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FD17" w14:textId="77777777" w:rsidR="00245300" w:rsidRPr="00EC20A0" w:rsidRDefault="00F17249">
      <w:pPr>
        <w:pStyle w:val="BodyText"/>
        <w:spacing w:line="44" w:lineRule="exact"/>
        <w:ind w:left="390"/>
        <w:rPr>
          <w:sz w:val="4"/>
        </w:rPr>
      </w:pPr>
      <w:r w:rsidRPr="00EC20A0">
        <w:rPr>
          <w:noProof/>
          <w:sz w:val="4"/>
        </w:rPr>
        <mc:AlternateContent>
          <mc:Choice Requires="wpg">
            <w:drawing>
              <wp:inline distT="0" distB="0" distL="0" distR="0" wp14:anchorId="24D62ABF" wp14:editId="24D62AC0">
                <wp:extent cx="5981700" cy="28575"/>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8575"/>
                          <a:chOff x="0" y="0"/>
                          <a:chExt cx="5981700" cy="28575"/>
                        </a:xfrm>
                      </wpg:grpSpPr>
                      <wps:wsp>
                        <wps:cNvPr id="36" name="Graphic 36"/>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B31FBC" id="Group 35" o:spid="_x0000_s1026" style="width:471pt;height:2.25pt;mso-position-horizontal-relative:char;mso-position-vertical-relative:line" coordsize="598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">
                <v:shape id="Graphic 36" o:spid="_x0000_s1027" style="position:absolute;width:59817;height:285;visibility:visible;mso-wrap-style:square;v-text-anchor:top" coordsize="59817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" path="m5981700,l,,,28194r5981700,l5981700,xe" fillcolor="black" stroked="f">
                  <v:path arrowok="t"/>
                </v:shape>
                <w10:anchorlock/>
              </v:group>
            </w:pict>
          </mc:Fallback>
        </mc:AlternateContent>
      </w:r>
    </w:p>
    <w:p w14:paraId="24D5FD18" w14:textId="77777777" w:rsidR="00245300" w:rsidRPr="00EC20A0" w:rsidRDefault="00245300">
      <w:pPr>
        <w:pStyle w:val="BodyText"/>
        <w:spacing w:before="101"/>
        <w:rPr>
          <w:sz w:val="32"/>
        </w:rPr>
      </w:pPr>
    </w:p>
    <w:p w14:paraId="24D5FD19" w14:textId="77777777" w:rsidR="00245300" w:rsidRPr="00EC20A0" w:rsidRDefault="00F17249">
      <w:pPr>
        <w:pStyle w:val="Heading3"/>
        <w:spacing w:before="0"/>
        <w:ind w:left="420"/>
        <w:rPr>
          <w:u w:val="none"/>
        </w:rPr>
      </w:pPr>
      <w:bookmarkStart w:id="0" w:name="Summary_of_Significant_Changes"/>
      <w:bookmarkEnd w:id="0"/>
      <w:r w:rsidRPr="00EC20A0">
        <w:t>Summary</w:t>
      </w:r>
      <w:r w:rsidRPr="00EC20A0">
        <w:rPr>
          <w:spacing w:val="-5"/>
        </w:rPr>
        <w:t xml:space="preserve"> </w:t>
      </w:r>
      <w:r w:rsidRPr="00EC20A0">
        <w:t>of</w:t>
      </w:r>
      <w:r w:rsidRPr="00EC20A0">
        <w:rPr>
          <w:spacing w:val="-6"/>
        </w:rPr>
        <w:t xml:space="preserve"> </w:t>
      </w:r>
      <w:r w:rsidRPr="00EC20A0">
        <w:t>Significant</w:t>
      </w:r>
      <w:r w:rsidRPr="00EC20A0">
        <w:rPr>
          <w:spacing w:val="-5"/>
        </w:rPr>
        <w:t xml:space="preserve"> </w:t>
      </w:r>
      <w:r w:rsidRPr="00EC20A0">
        <w:rPr>
          <w:spacing w:val="-2"/>
        </w:rPr>
        <w:t>Changes</w:t>
      </w:r>
    </w:p>
    <w:p w14:paraId="24D5FD1A" w14:textId="77777777" w:rsidR="00245300" w:rsidRPr="00EC20A0" w:rsidRDefault="00F17249">
      <w:pPr>
        <w:pStyle w:val="BodyText"/>
        <w:spacing w:before="176"/>
        <w:ind w:left="420"/>
      </w:pPr>
      <w:r w:rsidRPr="00EC20A0">
        <w:t>This</w:t>
      </w:r>
      <w:r w:rsidRPr="00EC20A0">
        <w:rPr>
          <w:spacing w:val="-7"/>
        </w:rPr>
        <w:t xml:space="preserve"> </w:t>
      </w:r>
      <w:r w:rsidRPr="00EC20A0">
        <w:t>summary</w:t>
      </w:r>
      <w:r w:rsidRPr="00EC20A0">
        <w:rPr>
          <w:spacing w:val="-6"/>
        </w:rPr>
        <w:t xml:space="preserve"> </w:t>
      </w:r>
      <w:r w:rsidRPr="00EC20A0">
        <w:t>lists</w:t>
      </w:r>
      <w:r w:rsidRPr="00EC20A0">
        <w:rPr>
          <w:spacing w:val="-7"/>
        </w:rPr>
        <w:t xml:space="preserve"> </w:t>
      </w:r>
      <w:r w:rsidRPr="00EC20A0">
        <w:t>significant</w:t>
      </w:r>
      <w:r w:rsidRPr="00EC20A0">
        <w:rPr>
          <w:spacing w:val="-6"/>
        </w:rPr>
        <w:t xml:space="preserve"> </w:t>
      </w:r>
      <w:r w:rsidRPr="00EC20A0">
        <w:t>changes</w:t>
      </w:r>
      <w:r w:rsidRPr="00EC20A0">
        <w:rPr>
          <w:spacing w:val="-7"/>
        </w:rPr>
        <w:t xml:space="preserve"> </w:t>
      </w:r>
      <w:r w:rsidRPr="00EC20A0">
        <w:t>from</w:t>
      </w:r>
      <w:r w:rsidRPr="00EC20A0">
        <w:rPr>
          <w:spacing w:val="-6"/>
        </w:rPr>
        <w:t xml:space="preserve"> </w:t>
      </w:r>
      <w:r w:rsidRPr="00EC20A0">
        <w:t>the</w:t>
      </w:r>
      <w:r w:rsidRPr="00EC20A0">
        <w:rPr>
          <w:spacing w:val="-7"/>
        </w:rPr>
        <w:t xml:space="preserve"> </w:t>
      </w:r>
      <w:r w:rsidRPr="00EC20A0">
        <w:t>May</w:t>
      </w:r>
      <w:r w:rsidRPr="00EC20A0">
        <w:rPr>
          <w:spacing w:val="-6"/>
        </w:rPr>
        <w:t xml:space="preserve"> </w:t>
      </w:r>
      <w:r w:rsidRPr="00EC20A0">
        <w:t>2023</w:t>
      </w:r>
      <w:r w:rsidRPr="00EC20A0">
        <w:rPr>
          <w:spacing w:val="-7"/>
        </w:rPr>
        <w:t xml:space="preserve"> </w:t>
      </w:r>
      <w:r w:rsidRPr="00EC20A0">
        <w:t>revision</w:t>
      </w:r>
      <w:r w:rsidRPr="00EC20A0">
        <w:rPr>
          <w:spacing w:val="-6"/>
        </w:rPr>
        <w:t xml:space="preserve"> </w:t>
      </w:r>
      <w:r w:rsidRPr="00EC20A0">
        <w:t>of</w:t>
      </w:r>
      <w:r w:rsidRPr="00EC20A0">
        <w:rPr>
          <w:spacing w:val="-7"/>
        </w:rPr>
        <w:t xml:space="preserve"> </w:t>
      </w:r>
      <w:r w:rsidRPr="00EC20A0">
        <w:t>FAM</w:t>
      </w:r>
      <w:r w:rsidRPr="00EC20A0">
        <w:rPr>
          <w:spacing w:val="-8"/>
        </w:rPr>
        <w:t xml:space="preserve"> </w:t>
      </w:r>
      <w:r w:rsidRPr="00EC20A0">
        <w:t>volume</w:t>
      </w:r>
      <w:r w:rsidRPr="00EC20A0">
        <w:rPr>
          <w:spacing w:val="-6"/>
        </w:rPr>
        <w:t xml:space="preserve"> </w:t>
      </w:r>
      <w:r w:rsidRPr="00EC20A0">
        <w:rPr>
          <w:spacing w:val="-5"/>
        </w:rPr>
        <w:t>2.</w:t>
      </w:r>
    </w:p>
    <w:p w14:paraId="24D5FD1B" w14:textId="77777777" w:rsidR="00245300" w:rsidRPr="00EC20A0" w:rsidRDefault="00245300">
      <w:pPr>
        <w:pStyle w:val="BodyText"/>
        <w:spacing w:before="8"/>
        <w:rPr>
          <w:sz w:val="20"/>
        </w:rPr>
      </w:pPr>
    </w:p>
    <w:tbl>
      <w:tblPr>
        <w:tblW w:w="0" w:type="auto"/>
        <w:tblInd w:w="397" w:type="dxa"/>
        <w:tblLayout w:type="fixed"/>
        <w:tblCellMar>
          <w:left w:w="0" w:type="dxa"/>
          <w:right w:w="0" w:type="dxa"/>
        </w:tblCellMar>
        <w:tblLook w:val="01E0" w:firstRow="1" w:lastRow="1" w:firstColumn="1" w:lastColumn="1" w:noHBand="0" w:noVBand="0"/>
      </w:tblPr>
      <w:tblGrid>
        <w:gridCol w:w="6904"/>
        <w:gridCol w:w="2516"/>
      </w:tblGrid>
      <w:tr w:rsidR="00245300" w:rsidRPr="00EC20A0" w14:paraId="24D5FD1E" w14:textId="77777777">
        <w:trPr>
          <w:trHeight w:val="563"/>
        </w:trPr>
        <w:tc>
          <w:tcPr>
            <w:tcW w:w="6904" w:type="dxa"/>
            <w:tcBorders>
              <w:top w:val="single" w:sz="4" w:space="0" w:color="000000"/>
              <w:bottom w:val="single" w:sz="4" w:space="0" w:color="000000"/>
            </w:tcBorders>
            <w:shd w:val="clear" w:color="auto" w:fill="D9D9D9"/>
          </w:tcPr>
          <w:p w14:paraId="24D5FD1C" w14:textId="77777777" w:rsidR="00245300" w:rsidRPr="00EC20A0" w:rsidRDefault="00F17249">
            <w:pPr>
              <w:pStyle w:val="TableParagraph"/>
              <w:spacing w:before="28"/>
              <w:ind w:left="44"/>
              <w:rPr>
                <w:b/>
              </w:rPr>
            </w:pPr>
            <w:r w:rsidRPr="00EC20A0">
              <w:rPr>
                <w:b/>
              </w:rPr>
              <w:t>Change</w:t>
            </w:r>
            <w:r w:rsidRPr="00EC20A0">
              <w:rPr>
                <w:b/>
                <w:spacing w:val="-10"/>
              </w:rPr>
              <w:t xml:space="preserve"> </w:t>
            </w:r>
            <w:r w:rsidRPr="00EC20A0">
              <w:rPr>
                <w:b/>
                <w:spacing w:val="-2"/>
              </w:rPr>
              <w:t>description</w:t>
            </w:r>
          </w:p>
        </w:tc>
        <w:tc>
          <w:tcPr>
            <w:tcW w:w="2516" w:type="dxa"/>
            <w:tcBorders>
              <w:top w:val="single" w:sz="4" w:space="0" w:color="000000"/>
              <w:bottom w:val="single" w:sz="4" w:space="0" w:color="000000"/>
            </w:tcBorders>
            <w:shd w:val="clear" w:color="auto" w:fill="D9D9D9"/>
          </w:tcPr>
          <w:p w14:paraId="24D5FD1D" w14:textId="77777777" w:rsidR="00245300" w:rsidRPr="00EC20A0" w:rsidRDefault="00F17249">
            <w:pPr>
              <w:pStyle w:val="TableParagraph"/>
              <w:spacing w:before="28"/>
              <w:ind w:left="146"/>
              <w:rPr>
                <w:b/>
              </w:rPr>
            </w:pPr>
            <w:r w:rsidRPr="00EC20A0">
              <w:rPr>
                <w:b/>
              </w:rPr>
              <w:t>Section</w:t>
            </w:r>
            <w:r w:rsidRPr="00EC20A0">
              <w:rPr>
                <w:b/>
                <w:spacing w:val="-16"/>
              </w:rPr>
              <w:t xml:space="preserve"> </w:t>
            </w:r>
            <w:r w:rsidRPr="00EC20A0">
              <w:rPr>
                <w:b/>
              </w:rPr>
              <w:t>or</w:t>
            </w:r>
            <w:r w:rsidRPr="00EC20A0">
              <w:rPr>
                <w:b/>
                <w:spacing w:val="-15"/>
              </w:rPr>
              <w:t xml:space="preserve"> </w:t>
            </w:r>
            <w:r w:rsidRPr="00EC20A0">
              <w:rPr>
                <w:b/>
              </w:rPr>
              <w:t xml:space="preserve">paragraph </w:t>
            </w:r>
            <w:r w:rsidRPr="00EC20A0">
              <w:rPr>
                <w:b/>
                <w:spacing w:val="-2"/>
              </w:rPr>
              <w:t>reference</w:t>
            </w:r>
          </w:p>
        </w:tc>
      </w:tr>
      <w:tr w:rsidR="00245300" w:rsidRPr="00EC20A0" w14:paraId="24D5FD21" w14:textId="77777777">
        <w:trPr>
          <w:trHeight w:val="1070"/>
        </w:trPr>
        <w:tc>
          <w:tcPr>
            <w:tcW w:w="6904" w:type="dxa"/>
            <w:tcBorders>
              <w:top w:val="single" w:sz="4" w:space="0" w:color="000000"/>
              <w:bottom w:val="single" w:sz="4" w:space="0" w:color="000000"/>
            </w:tcBorders>
          </w:tcPr>
          <w:p w14:paraId="24D5FD1F" w14:textId="77777777" w:rsidR="00245300" w:rsidRPr="00EC20A0" w:rsidRDefault="00F17249">
            <w:pPr>
              <w:pStyle w:val="TableParagraph"/>
              <w:spacing w:before="28"/>
              <w:ind w:left="44" w:right="634"/>
            </w:pPr>
            <w:r w:rsidRPr="00EC20A0">
              <w:t>Replaced</w:t>
            </w:r>
            <w:r w:rsidRPr="00EC20A0">
              <w:rPr>
                <w:spacing w:val="-6"/>
              </w:rPr>
              <w:t xml:space="preserve"> </w:t>
            </w:r>
            <w:r w:rsidRPr="00EC20A0">
              <w:t>“classes</w:t>
            </w:r>
            <w:r w:rsidRPr="00EC20A0">
              <w:rPr>
                <w:spacing w:val="-6"/>
              </w:rPr>
              <w:t xml:space="preserve"> </w:t>
            </w:r>
            <w:r w:rsidRPr="00EC20A0">
              <w:t>of</w:t>
            </w:r>
            <w:r w:rsidRPr="00EC20A0">
              <w:rPr>
                <w:spacing w:val="-6"/>
              </w:rPr>
              <w:t xml:space="preserve"> </w:t>
            </w:r>
            <w:r w:rsidRPr="00EC20A0">
              <w:t>transactions,</w:t>
            </w:r>
            <w:r w:rsidRPr="00EC20A0">
              <w:rPr>
                <w:spacing w:val="-6"/>
              </w:rPr>
              <w:t xml:space="preserve"> </w:t>
            </w:r>
            <w:r w:rsidRPr="00EC20A0">
              <w:t>account</w:t>
            </w:r>
            <w:r w:rsidRPr="00EC20A0">
              <w:rPr>
                <w:spacing w:val="-6"/>
              </w:rPr>
              <w:t xml:space="preserve"> </w:t>
            </w:r>
            <w:r w:rsidRPr="00EC20A0">
              <w:t>balances,</w:t>
            </w:r>
            <w:r w:rsidRPr="00EC20A0">
              <w:rPr>
                <w:spacing w:val="-6"/>
              </w:rPr>
              <w:t xml:space="preserve"> </w:t>
            </w:r>
            <w:r w:rsidRPr="00EC20A0">
              <w:t>and</w:t>
            </w:r>
            <w:r w:rsidRPr="00EC20A0">
              <w:rPr>
                <w:spacing w:val="-6"/>
              </w:rPr>
              <w:t xml:space="preserve"> </w:t>
            </w:r>
            <w:r w:rsidRPr="00EC20A0">
              <w:t>note disclosures”</w:t>
            </w:r>
            <w:r w:rsidRPr="00EC20A0">
              <w:rPr>
                <w:spacing w:val="-1"/>
              </w:rPr>
              <w:t xml:space="preserve"> </w:t>
            </w:r>
            <w:r w:rsidRPr="00EC20A0">
              <w:t xml:space="preserve">or any </w:t>
            </w:r>
            <w:r w:rsidRPr="00EC20A0">
              <w:t>variation thereof</w:t>
            </w:r>
            <w:r w:rsidRPr="00EC20A0">
              <w:rPr>
                <w:spacing w:val="-1"/>
              </w:rPr>
              <w:t xml:space="preserve"> </w:t>
            </w:r>
            <w:r w:rsidRPr="00EC20A0">
              <w:t>with “line items, accounts, note disclosures, and classes of transactions.” Replaced “significant” with “material” when referring to these items.</w:t>
            </w:r>
          </w:p>
        </w:tc>
        <w:tc>
          <w:tcPr>
            <w:tcW w:w="2516" w:type="dxa"/>
            <w:tcBorders>
              <w:top w:val="single" w:sz="4" w:space="0" w:color="000000"/>
              <w:bottom w:val="single" w:sz="4" w:space="0" w:color="000000"/>
            </w:tcBorders>
          </w:tcPr>
          <w:p w14:paraId="24D5FD20" w14:textId="77777777" w:rsidR="00245300" w:rsidRPr="00EC20A0" w:rsidRDefault="00F17249">
            <w:pPr>
              <w:pStyle w:val="TableParagraph"/>
              <w:spacing w:before="28"/>
              <w:ind w:left="146"/>
            </w:pPr>
            <w:r w:rsidRPr="00EC20A0">
              <w:rPr>
                <w:spacing w:val="-2"/>
              </w:rPr>
              <w:t>Throughout</w:t>
            </w:r>
          </w:p>
        </w:tc>
      </w:tr>
      <w:tr w:rsidR="00245300" w:rsidRPr="00EC20A0" w14:paraId="24D5FD24" w14:textId="77777777">
        <w:trPr>
          <w:trHeight w:val="563"/>
        </w:trPr>
        <w:tc>
          <w:tcPr>
            <w:tcW w:w="6904" w:type="dxa"/>
            <w:tcBorders>
              <w:top w:val="single" w:sz="4" w:space="0" w:color="000000"/>
              <w:bottom w:val="single" w:sz="4" w:space="0" w:color="000000"/>
            </w:tcBorders>
          </w:tcPr>
          <w:p w14:paraId="24D5FD22" w14:textId="77777777" w:rsidR="00245300" w:rsidRPr="00EC20A0" w:rsidRDefault="00F17249">
            <w:pPr>
              <w:pStyle w:val="TableParagraph"/>
              <w:spacing w:before="28"/>
              <w:ind w:left="44" w:right="634"/>
            </w:pPr>
            <w:r w:rsidRPr="00EC20A0">
              <w:t>Replaced</w:t>
            </w:r>
            <w:r w:rsidRPr="00EC20A0">
              <w:rPr>
                <w:spacing w:val="-8"/>
              </w:rPr>
              <w:t xml:space="preserve"> </w:t>
            </w:r>
            <w:r w:rsidRPr="00EC20A0">
              <w:t>“relevant</w:t>
            </w:r>
            <w:r w:rsidRPr="00EC20A0">
              <w:rPr>
                <w:spacing w:val="-8"/>
              </w:rPr>
              <w:t xml:space="preserve"> </w:t>
            </w:r>
            <w:r w:rsidRPr="00EC20A0">
              <w:t>assertion”</w:t>
            </w:r>
            <w:r w:rsidRPr="00EC20A0">
              <w:rPr>
                <w:spacing w:val="-8"/>
              </w:rPr>
              <w:t xml:space="preserve"> </w:t>
            </w:r>
            <w:r w:rsidRPr="00EC20A0">
              <w:t>with</w:t>
            </w:r>
            <w:r w:rsidRPr="00EC20A0">
              <w:rPr>
                <w:spacing w:val="-8"/>
              </w:rPr>
              <w:t xml:space="preserve"> </w:t>
            </w:r>
            <w:r w:rsidRPr="00EC20A0">
              <w:t>“significant</w:t>
            </w:r>
            <w:r w:rsidRPr="00EC20A0">
              <w:rPr>
                <w:spacing w:val="-8"/>
              </w:rPr>
              <w:t xml:space="preserve"> </w:t>
            </w:r>
            <w:r w:rsidRPr="00EC20A0">
              <w:t xml:space="preserve">assertion.” Deleted </w:t>
            </w:r>
            <w:r w:rsidRPr="00EC20A0">
              <w:t>“relevant” from “relevant assertion level.”</w:t>
            </w:r>
          </w:p>
        </w:tc>
        <w:tc>
          <w:tcPr>
            <w:tcW w:w="2516" w:type="dxa"/>
            <w:tcBorders>
              <w:top w:val="single" w:sz="4" w:space="0" w:color="000000"/>
              <w:bottom w:val="single" w:sz="4" w:space="0" w:color="000000"/>
            </w:tcBorders>
          </w:tcPr>
          <w:p w14:paraId="24D5FD23" w14:textId="77777777" w:rsidR="00245300" w:rsidRPr="00EC20A0" w:rsidRDefault="00F17249">
            <w:pPr>
              <w:pStyle w:val="TableParagraph"/>
              <w:spacing w:before="28"/>
              <w:ind w:left="146"/>
            </w:pPr>
            <w:r w:rsidRPr="00EC20A0">
              <w:rPr>
                <w:spacing w:val="-2"/>
              </w:rPr>
              <w:t>Throughout</w:t>
            </w:r>
          </w:p>
        </w:tc>
      </w:tr>
      <w:tr w:rsidR="00245300" w:rsidRPr="00EC20A0" w14:paraId="24D5FD29" w14:textId="77777777">
        <w:trPr>
          <w:trHeight w:val="816"/>
        </w:trPr>
        <w:tc>
          <w:tcPr>
            <w:tcW w:w="6904" w:type="dxa"/>
            <w:tcBorders>
              <w:top w:val="single" w:sz="4" w:space="0" w:color="000000"/>
              <w:bottom w:val="single" w:sz="4" w:space="0" w:color="000000"/>
            </w:tcBorders>
          </w:tcPr>
          <w:p w14:paraId="24D5FD25" w14:textId="77777777" w:rsidR="00245300" w:rsidRPr="00EC20A0" w:rsidRDefault="00F17249">
            <w:pPr>
              <w:pStyle w:val="TableParagraph"/>
              <w:spacing w:before="30"/>
              <w:ind w:left="44"/>
            </w:pPr>
            <w:r w:rsidRPr="00EC20A0">
              <w:t>Revised</w:t>
            </w:r>
            <w:r w:rsidRPr="00EC20A0">
              <w:rPr>
                <w:spacing w:val="-8"/>
              </w:rPr>
              <w:t xml:space="preserve"> </w:t>
            </w:r>
            <w:r w:rsidRPr="00EC20A0">
              <w:t>guidance</w:t>
            </w:r>
            <w:r w:rsidRPr="00EC20A0">
              <w:rPr>
                <w:spacing w:val="-7"/>
              </w:rPr>
              <w:t xml:space="preserve"> </w:t>
            </w:r>
            <w:r w:rsidRPr="00EC20A0">
              <w:t>related</w:t>
            </w:r>
            <w:r w:rsidRPr="00EC20A0">
              <w:rPr>
                <w:spacing w:val="-7"/>
              </w:rPr>
              <w:t xml:space="preserve"> </w:t>
            </w:r>
            <w:r w:rsidRPr="00EC20A0">
              <w:t>to</w:t>
            </w:r>
            <w:r w:rsidRPr="00EC20A0">
              <w:rPr>
                <w:spacing w:val="-8"/>
              </w:rPr>
              <w:t xml:space="preserve"> </w:t>
            </w:r>
            <w:r w:rsidRPr="00EC20A0">
              <w:t>service</w:t>
            </w:r>
            <w:r w:rsidRPr="00EC20A0">
              <w:rPr>
                <w:spacing w:val="-8"/>
              </w:rPr>
              <w:t xml:space="preserve"> </w:t>
            </w:r>
            <w:r w:rsidRPr="00EC20A0">
              <w:rPr>
                <w:spacing w:val="-2"/>
              </w:rPr>
              <w:t>organizations.</w:t>
            </w:r>
          </w:p>
        </w:tc>
        <w:tc>
          <w:tcPr>
            <w:tcW w:w="2516" w:type="dxa"/>
            <w:tcBorders>
              <w:top w:val="single" w:sz="4" w:space="0" w:color="000000"/>
              <w:bottom w:val="single" w:sz="4" w:space="0" w:color="000000"/>
            </w:tcBorders>
          </w:tcPr>
          <w:p w14:paraId="24D5FD26" w14:textId="77777777" w:rsidR="00245300" w:rsidRPr="00EC20A0" w:rsidRDefault="00F17249">
            <w:pPr>
              <w:pStyle w:val="TableParagraph"/>
              <w:spacing w:before="30" w:line="252" w:lineRule="exact"/>
              <w:ind w:left="146"/>
            </w:pPr>
            <w:r w:rsidRPr="00EC20A0">
              <w:rPr>
                <w:spacing w:val="-2"/>
              </w:rPr>
              <w:t>615.10</w:t>
            </w:r>
          </w:p>
          <w:p w14:paraId="24D5FD27" w14:textId="77777777" w:rsidR="00245300" w:rsidRPr="00EC20A0" w:rsidRDefault="00F17249">
            <w:pPr>
              <w:pStyle w:val="TableParagraph"/>
              <w:spacing w:line="252" w:lineRule="exact"/>
              <w:ind w:left="146"/>
            </w:pPr>
            <w:r w:rsidRPr="00EC20A0">
              <w:t>640.03,</w:t>
            </w:r>
            <w:r w:rsidRPr="00EC20A0">
              <w:rPr>
                <w:spacing w:val="-5"/>
              </w:rPr>
              <w:t xml:space="preserve"> </w:t>
            </w:r>
            <w:r w:rsidRPr="00EC20A0">
              <w:t>.10,</w:t>
            </w:r>
            <w:r w:rsidRPr="00EC20A0">
              <w:rPr>
                <w:spacing w:val="-6"/>
              </w:rPr>
              <w:t xml:space="preserve"> </w:t>
            </w:r>
            <w:r w:rsidRPr="00EC20A0">
              <w:t>.11,</w:t>
            </w:r>
            <w:r w:rsidRPr="00EC20A0">
              <w:rPr>
                <w:spacing w:val="-5"/>
              </w:rPr>
              <w:t xml:space="preserve"> .13</w:t>
            </w:r>
          </w:p>
          <w:p w14:paraId="24D5FD28" w14:textId="77777777" w:rsidR="00245300" w:rsidRPr="00EC20A0" w:rsidRDefault="00F17249">
            <w:pPr>
              <w:pStyle w:val="TableParagraph"/>
              <w:ind w:left="146"/>
            </w:pPr>
            <w:r w:rsidRPr="00EC20A0">
              <w:t>640</w:t>
            </w:r>
            <w:r w:rsidRPr="00EC20A0">
              <w:rPr>
                <w:spacing w:val="-4"/>
              </w:rPr>
              <w:t xml:space="preserve"> </w:t>
            </w:r>
            <w:r w:rsidRPr="00EC20A0">
              <w:t>A</w:t>
            </w:r>
            <w:r w:rsidRPr="00EC20A0">
              <w:rPr>
                <w:spacing w:val="-3"/>
              </w:rPr>
              <w:t xml:space="preserve"> </w:t>
            </w:r>
            <w:r w:rsidRPr="00EC20A0">
              <w:t>(step</w:t>
            </w:r>
            <w:r w:rsidRPr="00EC20A0">
              <w:rPr>
                <w:spacing w:val="-4"/>
              </w:rPr>
              <w:t xml:space="preserve"> </w:t>
            </w:r>
            <w:r w:rsidRPr="00EC20A0">
              <w:rPr>
                <w:spacing w:val="-2"/>
              </w:rPr>
              <w:t>VIII.2)</w:t>
            </w:r>
          </w:p>
        </w:tc>
      </w:tr>
      <w:tr w:rsidR="00245300" w:rsidRPr="00EC20A0" w14:paraId="24D5FD2E" w14:textId="77777777">
        <w:trPr>
          <w:trHeight w:val="1070"/>
        </w:trPr>
        <w:tc>
          <w:tcPr>
            <w:tcW w:w="6904" w:type="dxa"/>
            <w:tcBorders>
              <w:top w:val="single" w:sz="4" w:space="0" w:color="000000"/>
              <w:bottom w:val="single" w:sz="4" w:space="0" w:color="000000"/>
            </w:tcBorders>
          </w:tcPr>
          <w:p w14:paraId="24D5FD2A" w14:textId="77777777" w:rsidR="00245300" w:rsidRPr="00EC20A0" w:rsidRDefault="00F17249">
            <w:pPr>
              <w:pStyle w:val="TableParagraph"/>
              <w:spacing w:before="30"/>
              <w:ind w:left="44" w:right="177"/>
            </w:pPr>
            <w:r w:rsidRPr="00EC20A0">
              <w:t>Revised</w:t>
            </w:r>
            <w:r w:rsidRPr="00EC20A0">
              <w:rPr>
                <w:spacing w:val="-5"/>
              </w:rPr>
              <w:t xml:space="preserve"> </w:t>
            </w:r>
            <w:r w:rsidRPr="00EC20A0">
              <w:t>guidance</w:t>
            </w:r>
            <w:r w:rsidRPr="00EC20A0">
              <w:rPr>
                <w:spacing w:val="-5"/>
              </w:rPr>
              <w:t xml:space="preserve"> </w:t>
            </w:r>
            <w:r w:rsidRPr="00EC20A0">
              <w:t>based</w:t>
            </w:r>
            <w:r w:rsidRPr="00EC20A0">
              <w:rPr>
                <w:spacing w:val="-5"/>
              </w:rPr>
              <w:t xml:space="preserve"> </w:t>
            </w:r>
            <w:r w:rsidRPr="00EC20A0">
              <w:t>on</w:t>
            </w:r>
            <w:r w:rsidRPr="00EC20A0">
              <w:rPr>
                <w:spacing w:val="-4"/>
              </w:rPr>
              <w:t xml:space="preserve"> </w:t>
            </w:r>
            <w:r w:rsidRPr="00EC20A0">
              <w:t>Statement</w:t>
            </w:r>
            <w:r w:rsidRPr="00EC20A0">
              <w:rPr>
                <w:spacing w:val="-5"/>
              </w:rPr>
              <w:t xml:space="preserve"> </w:t>
            </w:r>
            <w:r w:rsidRPr="00EC20A0">
              <w:t>on</w:t>
            </w:r>
            <w:r w:rsidRPr="00EC20A0">
              <w:rPr>
                <w:spacing w:val="-5"/>
              </w:rPr>
              <w:t xml:space="preserve"> </w:t>
            </w:r>
            <w:r w:rsidRPr="00EC20A0">
              <w:t>Auditing</w:t>
            </w:r>
            <w:r w:rsidRPr="00EC20A0">
              <w:rPr>
                <w:spacing w:val="-5"/>
              </w:rPr>
              <w:t xml:space="preserve"> </w:t>
            </w:r>
            <w:r w:rsidRPr="00EC20A0">
              <w:t>Standards</w:t>
            </w:r>
            <w:r w:rsidRPr="00EC20A0">
              <w:rPr>
                <w:spacing w:val="-4"/>
              </w:rPr>
              <w:t xml:space="preserve"> </w:t>
            </w:r>
            <w:r w:rsidRPr="00EC20A0">
              <w:t xml:space="preserve">(SAS) 144, </w:t>
            </w:r>
            <w:r w:rsidRPr="00EC20A0">
              <w:rPr>
                <w:i/>
              </w:rPr>
              <w:t xml:space="preserve">Amendments to AU-C </w:t>
            </w:r>
            <w:r w:rsidRPr="00EC20A0">
              <w:rPr>
                <w:i/>
              </w:rPr>
              <w:t>Sections 501, 540, and 620 Related to the Use of Specialists and the Use of Pricing Information Obtained From External Information Sources</w:t>
            </w:r>
            <w:r w:rsidRPr="00EC20A0">
              <w:t>.</w:t>
            </w:r>
          </w:p>
        </w:tc>
        <w:tc>
          <w:tcPr>
            <w:tcW w:w="2516" w:type="dxa"/>
            <w:tcBorders>
              <w:top w:val="single" w:sz="4" w:space="0" w:color="000000"/>
              <w:bottom w:val="single" w:sz="4" w:space="0" w:color="000000"/>
            </w:tcBorders>
          </w:tcPr>
          <w:p w14:paraId="24D5FD2B" w14:textId="77777777" w:rsidR="00245300" w:rsidRPr="00EC20A0" w:rsidRDefault="00F17249">
            <w:pPr>
              <w:pStyle w:val="TableParagraph"/>
              <w:spacing w:before="30" w:line="252" w:lineRule="exact"/>
              <w:ind w:left="146"/>
            </w:pPr>
            <w:r w:rsidRPr="00EC20A0">
              <w:rPr>
                <w:spacing w:val="-2"/>
              </w:rPr>
              <w:t>615.07</w:t>
            </w:r>
          </w:p>
          <w:p w14:paraId="24D5FD2C" w14:textId="77777777" w:rsidR="00245300" w:rsidRPr="00EC20A0" w:rsidRDefault="00F17249">
            <w:pPr>
              <w:pStyle w:val="TableParagraph"/>
              <w:spacing w:line="252" w:lineRule="exact"/>
              <w:ind w:left="146"/>
            </w:pPr>
            <w:r w:rsidRPr="00EC20A0">
              <w:t>620.25,</w:t>
            </w:r>
            <w:r w:rsidRPr="00EC20A0">
              <w:rPr>
                <w:spacing w:val="-5"/>
              </w:rPr>
              <w:t xml:space="preserve"> </w:t>
            </w:r>
            <w:r w:rsidRPr="00EC20A0">
              <w:t>.29,</w:t>
            </w:r>
            <w:r w:rsidRPr="00EC20A0">
              <w:rPr>
                <w:spacing w:val="-6"/>
              </w:rPr>
              <w:t xml:space="preserve"> </w:t>
            </w:r>
            <w:r w:rsidRPr="00EC20A0">
              <w:t>.31,</w:t>
            </w:r>
            <w:r w:rsidRPr="00EC20A0">
              <w:rPr>
                <w:spacing w:val="-5"/>
              </w:rPr>
              <w:t xml:space="preserve"> .34</w:t>
            </w:r>
          </w:p>
          <w:p w14:paraId="24D5FD2D" w14:textId="77777777" w:rsidR="00245300" w:rsidRPr="00EC20A0" w:rsidRDefault="00F17249">
            <w:pPr>
              <w:pStyle w:val="TableParagraph"/>
              <w:ind w:left="146"/>
            </w:pPr>
            <w:r w:rsidRPr="00EC20A0">
              <w:t>625.04,</w:t>
            </w:r>
            <w:r w:rsidRPr="00EC20A0">
              <w:rPr>
                <w:spacing w:val="-5"/>
              </w:rPr>
              <w:t xml:space="preserve"> </w:t>
            </w:r>
            <w:r w:rsidRPr="00EC20A0">
              <w:t>.08,</w:t>
            </w:r>
            <w:r w:rsidRPr="00EC20A0">
              <w:rPr>
                <w:spacing w:val="-6"/>
              </w:rPr>
              <w:t xml:space="preserve"> </w:t>
            </w:r>
            <w:r w:rsidRPr="00EC20A0">
              <w:t>.12,</w:t>
            </w:r>
            <w:r w:rsidRPr="00EC20A0">
              <w:rPr>
                <w:spacing w:val="-5"/>
              </w:rPr>
              <w:t xml:space="preserve"> .13</w:t>
            </w:r>
          </w:p>
        </w:tc>
      </w:tr>
      <w:tr w:rsidR="00245300" w:rsidRPr="00EC20A0" w14:paraId="24D5FD33" w14:textId="77777777">
        <w:trPr>
          <w:trHeight w:val="816"/>
        </w:trPr>
        <w:tc>
          <w:tcPr>
            <w:tcW w:w="6904" w:type="dxa"/>
            <w:tcBorders>
              <w:top w:val="single" w:sz="4" w:space="0" w:color="000000"/>
              <w:bottom w:val="single" w:sz="4" w:space="0" w:color="000000"/>
            </w:tcBorders>
          </w:tcPr>
          <w:p w14:paraId="24D5FD2F" w14:textId="77777777" w:rsidR="00245300" w:rsidRPr="00EC20A0" w:rsidRDefault="00F17249">
            <w:pPr>
              <w:pStyle w:val="TableParagraph"/>
              <w:spacing w:before="30"/>
              <w:ind w:left="44"/>
            </w:pPr>
            <w:r w:rsidRPr="00EC20A0">
              <w:t>Clarified</w:t>
            </w:r>
            <w:r w:rsidRPr="00EC20A0">
              <w:rPr>
                <w:spacing w:val="-7"/>
              </w:rPr>
              <w:t xml:space="preserve"> </w:t>
            </w:r>
            <w:r w:rsidRPr="00EC20A0">
              <w:t>the</w:t>
            </w:r>
            <w:r w:rsidRPr="00EC20A0">
              <w:rPr>
                <w:spacing w:val="-8"/>
              </w:rPr>
              <w:t xml:space="preserve"> </w:t>
            </w:r>
            <w:r w:rsidRPr="00EC20A0">
              <w:t>reviewer’s</w:t>
            </w:r>
            <w:r w:rsidRPr="00EC20A0">
              <w:rPr>
                <w:spacing w:val="-6"/>
              </w:rPr>
              <w:t xml:space="preserve"> </w:t>
            </w:r>
            <w:r w:rsidRPr="00EC20A0">
              <w:t>involvement</w:t>
            </w:r>
            <w:r w:rsidRPr="00EC20A0">
              <w:rPr>
                <w:spacing w:val="-8"/>
              </w:rPr>
              <w:t xml:space="preserve"> </w:t>
            </w:r>
            <w:r w:rsidRPr="00EC20A0">
              <w:t>in</w:t>
            </w:r>
            <w:r w:rsidRPr="00EC20A0">
              <w:rPr>
                <w:spacing w:val="-7"/>
              </w:rPr>
              <w:t xml:space="preserve"> </w:t>
            </w:r>
            <w:r w:rsidRPr="00EC20A0">
              <w:t>an</w:t>
            </w:r>
            <w:r w:rsidRPr="00EC20A0">
              <w:rPr>
                <w:spacing w:val="-6"/>
              </w:rPr>
              <w:t xml:space="preserve"> </w:t>
            </w:r>
            <w:r w:rsidRPr="00EC20A0">
              <w:rPr>
                <w:spacing w:val="-2"/>
              </w:rPr>
              <w:t>engagement.</w:t>
            </w:r>
          </w:p>
        </w:tc>
        <w:tc>
          <w:tcPr>
            <w:tcW w:w="2516" w:type="dxa"/>
            <w:tcBorders>
              <w:top w:val="single" w:sz="4" w:space="0" w:color="000000"/>
              <w:bottom w:val="single" w:sz="4" w:space="0" w:color="000000"/>
            </w:tcBorders>
          </w:tcPr>
          <w:p w14:paraId="24D5FD30" w14:textId="77777777" w:rsidR="00245300" w:rsidRPr="00EC20A0" w:rsidRDefault="00F17249">
            <w:pPr>
              <w:pStyle w:val="TableParagraph"/>
              <w:spacing w:before="30" w:line="252" w:lineRule="exact"/>
              <w:ind w:left="146"/>
            </w:pPr>
            <w:r w:rsidRPr="00EC20A0">
              <w:t>615.31,</w:t>
            </w:r>
            <w:r w:rsidRPr="00EC20A0">
              <w:rPr>
                <w:spacing w:val="-9"/>
              </w:rPr>
              <w:t xml:space="preserve"> </w:t>
            </w:r>
            <w:r w:rsidRPr="00EC20A0">
              <w:t>670.15,</w:t>
            </w:r>
            <w:r w:rsidRPr="00EC20A0">
              <w:rPr>
                <w:spacing w:val="-8"/>
              </w:rPr>
              <w:t xml:space="preserve"> </w:t>
            </w:r>
            <w:r w:rsidRPr="00EC20A0">
              <w:rPr>
                <w:spacing w:val="-2"/>
              </w:rPr>
              <w:t>670.16</w:t>
            </w:r>
          </w:p>
          <w:p w14:paraId="24D5FD31" w14:textId="77777777" w:rsidR="00245300" w:rsidRPr="00EC20A0" w:rsidRDefault="00F17249">
            <w:pPr>
              <w:pStyle w:val="TableParagraph"/>
              <w:spacing w:line="252" w:lineRule="exact"/>
              <w:ind w:left="146"/>
            </w:pPr>
            <w:r w:rsidRPr="00EC20A0">
              <w:t>710</w:t>
            </w:r>
            <w:r w:rsidRPr="00EC20A0">
              <w:rPr>
                <w:spacing w:val="-4"/>
              </w:rPr>
              <w:t xml:space="preserve"> </w:t>
            </w:r>
            <w:r w:rsidRPr="00EC20A0">
              <w:t>E</w:t>
            </w:r>
            <w:r w:rsidRPr="00EC20A0">
              <w:rPr>
                <w:spacing w:val="-3"/>
              </w:rPr>
              <w:t xml:space="preserve"> </w:t>
            </w:r>
            <w:r w:rsidRPr="00EC20A0">
              <w:t>(step</w:t>
            </w:r>
            <w:r w:rsidRPr="00EC20A0">
              <w:rPr>
                <w:spacing w:val="-4"/>
              </w:rPr>
              <w:t xml:space="preserve"> </w:t>
            </w:r>
            <w:r w:rsidRPr="00EC20A0">
              <w:rPr>
                <w:spacing w:val="-5"/>
              </w:rPr>
              <w:t>12)</w:t>
            </w:r>
          </w:p>
          <w:p w14:paraId="24D5FD32" w14:textId="77777777" w:rsidR="00245300" w:rsidRPr="00EC20A0" w:rsidRDefault="00F17249">
            <w:pPr>
              <w:pStyle w:val="TableParagraph"/>
              <w:ind w:left="146"/>
            </w:pPr>
            <w:r w:rsidRPr="00EC20A0">
              <w:t>1003</w:t>
            </w:r>
            <w:r w:rsidRPr="00EC20A0">
              <w:rPr>
                <w:spacing w:val="-7"/>
              </w:rPr>
              <w:t xml:space="preserve"> </w:t>
            </w:r>
            <w:r w:rsidRPr="00EC20A0">
              <w:t>(section</w:t>
            </w:r>
            <w:r w:rsidRPr="00EC20A0">
              <w:rPr>
                <w:spacing w:val="-7"/>
              </w:rPr>
              <w:t xml:space="preserve"> </w:t>
            </w:r>
            <w:r w:rsidRPr="00EC20A0">
              <w:rPr>
                <w:spacing w:val="-4"/>
              </w:rPr>
              <w:t>III)</w:t>
            </w:r>
          </w:p>
        </w:tc>
      </w:tr>
      <w:tr w:rsidR="00245300" w:rsidRPr="00EC20A0" w14:paraId="24D5FD36" w14:textId="77777777">
        <w:trPr>
          <w:trHeight w:val="564"/>
        </w:trPr>
        <w:tc>
          <w:tcPr>
            <w:tcW w:w="6904" w:type="dxa"/>
            <w:tcBorders>
              <w:top w:val="single" w:sz="4" w:space="0" w:color="000000"/>
              <w:bottom w:val="single" w:sz="4" w:space="0" w:color="000000"/>
            </w:tcBorders>
          </w:tcPr>
          <w:p w14:paraId="24D5FD34" w14:textId="77777777" w:rsidR="00245300" w:rsidRPr="00EC20A0" w:rsidRDefault="00F17249">
            <w:pPr>
              <w:pStyle w:val="TableParagraph"/>
              <w:spacing w:before="30"/>
              <w:ind w:left="44" w:right="634"/>
            </w:pPr>
            <w:r w:rsidRPr="00EC20A0">
              <w:t>Revised</w:t>
            </w:r>
            <w:r w:rsidRPr="00EC20A0">
              <w:rPr>
                <w:spacing w:val="-7"/>
              </w:rPr>
              <w:t xml:space="preserve"> </w:t>
            </w:r>
            <w:r w:rsidRPr="00EC20A0">
              <w:t>guidance</w:t>
            </w:r>
            <w:r w:rsidRPr="00EC20A0">
              <w:rPr>
                <w:spacing w:val="-7"/>
              </w:rPr>
              <w:t xml:space="preserve"> </w:t>
            </w:r>
            <w:r w:rsidRPr="00EC20A0">
              <w:t>for</w:t>
            </w:r>
            <w:r w:rsidRPr="00EC20A0">
              <w:rPr>
                <w:spacing w:val="-7"/>
              </w:rPr>
              <w:t xml:space="preserve"> </w:t>
            </w:r>
            <w:r w:rsidRPr="00EC20A0">
              <w:t>reviewing</w:t>
            </w:r>
            <w:r w:rsidRPr="00EC20A0">
              <w:rPr>
                <w:spacing w:val="-7"/>
              </w:rPr>
              <w:t xml:space="preserve"> </w:t>
            </w:r>
            <w:r w:rsidRPr="00EC20A0">
              <w:t>a</w:t>
            </w:r>
            <w:r w:rsidRPr="00EC20A0">
              <w:rPr>
                <w:spacing w:val="-7"/>
              </w:rPr>
              <w:t xml:space="preserve"> </w:t>
            </w:r>
            <w:r w:rsidRPr="00EC20A0">
              <w:t>component</w:t>
            </w:r>
            <w:r w:rsidRPr="00EC20A0">
              <w:rPr>
                <w:spacing w:val="-7"/>
              </w:rPr>
              <w:t xml:space="preserve"> </w:t>
            </w:r>
            <w:r w:rsidRPr="00EC20A0">
              <w:t xml:space="preserve">auditor’s </w:t>
            </w:r>
            <w:r w:rsidRPr="00EC20A0">
              <w:rPr>
                <w:spacing w:val="-2"/>
              </w:rPr>
              <w:t>documentation.</w:t>
            </w:r>
          </w:p>
        </w:tc>
        <w:tc>
          <w:tcPr>
            <w:tcW w:w="2516" w:type="dxa"/>
            <w:tcBorders>
              <w:top w:val="single" w:sz="4" w:space="0" w:color="000000"/>
              <w:bottom w:val="single" w:sz="4" w:space="0" w:color="000000"/>
            </w:tcBorders>
          </w:tcPr>
          <w:p w14:paraId="24D5FD35" w14:textId="77777777" w:rsidR="00245300" w:rsidRPr="00EC20A0" w:rsidRDefault="00F17249">
            <w:pPr>
              <w:pStyle w:val="TableParagraph"/>
              <w:spacing w:before="30"/>
              <w:ind w:left="146"/>
            </w:pPr>
            <w:r w:rsidRPr="00EC20A0">
              <w:rPr>
                <w:spacing w:val="-2"/>
              </w:rPr>
              <w:t>630.10</w:t>
            </w:r>
          </w:p>
        </w:tc>
      </w:tr>
      <w:tr w:rsidR="00245300" w:rsidRPr="00EC20A0" w14:paraId="24D5FD3A" w14:textId="77777777">
        <w:trPr>
          <w:trHeight w:val="563"/>
        </w:trPr>
        <w:tc>
          <w:tcPr>
            <w:tcW w:w="6904" w:type="dxa"/>
            <w:tcBorders>
              <w:top w:val="single" w:sz="4" w:space="0" w:color="000000"/>
              <w:bottom w:val="single" w:sz="4" w:space="0" w:color="000000"/>
            </w:tcBorders>
          </w:tcPr>
          <w:p w14:paraId="24D5FD37" w14:textId="77777777" w:rsidR="00245300" w:rsidRPr="00EC20A0" w:rsidRDefault="00F17249">
            <w:pPr>
              <w:pStyle w:val="TableParagraph"/>
              <w:spacing w:before="28"/>
              <w:ind w:left="44"/>
            </w:pPr>
            <w:r w:rsidRPr="00EC20A0">
              <w:t>Clarified</w:t>
            </w:r>
            <w:r w:rsidRPr="00EC20A0">
              <w:rPr>
                <w:spacing w:val="-5"/>
              </w:rPr>
              <w:t xml:space="preserve"> </w:t>
            </w:r>
            <w:r w:rsidRPr="00EC20A0">
              <w:t>guidance</w:t>
            </w:r>
            <w:r w:rsidRPr="00EC20A0">
              <w:rPr>
                <w:spacing w:val="-5"/>
              </w:rPr>
              <w:t xml:space="preserve"> </w:t>
            </w:r>
            <w:r w:rsidRPr="00EC20A0">
              <w:t>for</w:t>
            </w:r>
            <w:r w:rsidRPr="00EC20A0">
              <w:rPr>
                <w:spacing w:val="-5"/>
              </w:rPr>
              <w:t xml:space="preserve"> </w:t>
            </w:r>
            <w:r w:rsidRPr="00EC20A0">
              <w:t>overseeing</w:t>
            </w:r>
            <w:r w:rsidRPr="00EC20A0">
              <w:rPr>
                <w:spacing w:val="-5"/>
              </w:rPr>
              <w:t xml:space="preserve"> </w:t>
            </w:r>
            <w:r w:rsidRPr="00EC20A0">
              <w:t>the</w:t>
            </w:r>
            <w:r w:rsidRPr="00EC20A0">
              <w:rPr>
                <w:spacing w:val="-6"/>
              </w:rPr>
              <w:t xml:space="preserve"> </w:t>
            </w:r>
            <w:r w:rsidRPr="00EC20A0">
              <w:t>work</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independent</w:t>
            </w:r>
            <w:r w:rsidRPr="00EC20A0">
              <w:rPr>
                <w:spacing w:val="-6"/>
              </w:rPr>
              <w:t xml:space="preserve"> </w:t>
            </w:r>
            <w:r w:rsidRPr="00EC20A0">
              <w:t>public accounting firm.</w:t>
            </w:r>
          </w:p>
        </w:tc>
        <w:tc>
          <w:tcPr>
            <w:tcW w:w="2516" w:type="dxa"/>
            <w:tcBorders>
              <w:top w:val="single" w:sz="4" w:space="0" w:color="000000"/>
              <w:bottom w:val="single" w:sz="4" w:space="0" w:color="000000"/>
            </w:tcBorders>
          </w:tcPr>
          <w:p w14:paraId="24D5FD38" w14:textId="77777777" w:rsidR="00245300" w:rsidRPr="00EC20A0" w:rsidRDefault="00F17249">
            <w:pPr>
              <w:pStyle w:val="TableParagraph"/>
              <w:spacing w:before="28"/>
              <w:ind w:left="146"/>
            </w:pPr>
            <w:r w:rsidRPr="00EC20A0">
              <w:t>670.09–.11,</w:t>
            </w:r>
            <w:r w:rsidRPr="00EC20A0">
              <w:rPr>
                <w:spacing w:val="-9"/>
              </w:rPr>
              <w:t xml:space="preserve"> </w:t>
            </w:r>
            <w:r w:rsidRPr="00EC20A0">
              <w:t>.15,</w:t>
            </w:r>
            <w:r w:rsidRPr="00EC20A0">
              <w:rPr>
                <w:spacing w:val="-8"/>
              </w:rPr>
              <w:t xml:space="preserve"> </w:t>
            </w:r>
            <w:r w:rsidRPr="00EC20A0">
              <w:rPr>
                <w:spacing w:val="-5"/>
              </w:rPr>
              <w:t>.16</w:t>
            </w:r>
          </w:p>
          <w:p w14:paraId="24D5FD39" w14:textId="77777777" w:rsidR="00245300" w:rsidRPr="00EC20A0" w:rsidRDefault="00F17249">
            <w:pPr>
              <w:pStyle w:val="TableParagraph"/>
              <w:spacing w:before="1"/>
              <w:ind w:left="146"/>
            </w:pPr>
            <w:r w:rsidRPr="00EC20A0">
              <w:t>670</w:t>
            </w:r>
            <w:r w:rsidRPr="00EC20A0">
              <w:rPr>
                <w:spacing w:val="-4"/>
              </w:rPr>
              <w:t xml:space="preserve"> </w:t>
            </w:r>
            <w:r w:rsidRPr="00EC20A0">
              <w:rPr>
                <w:spacing w:val="-10"/>
              </w:rPr>
              <w:t>A</w:t>
            </w:r>
          </w:p>
        </w:tc>
      </w:tr>
      <w:tr w:rsidR="00245300" w:rsidRPr="00EC20A0" w14:paraId="24D5FD3F" w14:textId="77777777">
        <w:trPr>
          <w:trHeight w:val="816"/>
        </w:trPr>
        <w:tc>
          <w:tcPr>
            <w:tcW w:w="6904" w:type="dxa"/>
            <w:tcBorders>
              <w:top w:val="single" w:sz="4" w:space="0" w:color="000000"/>
              <w:bottom w:val="single" w:sz="4" w:space="0" w:color="000000"/>
            </w:tcBorders>
          </w:tcPr>
          <w:p w14:paraId="24D5FD3B" w14:textId="77777777" w:rsidR="00245300" w:rsidRPr="00EC20A0" w:rsidRDefault="00F17249">
            <w:pPr>
              <w:pStyle w:val="TableParagraph"/>
              <w:spacing w:before="28"/>
              <w:ind w:left="44" w:right="177"/>
            </w:pPr>
            <w:r w:rsidRPr="00EC20A0">
              <w:t>Revised use of “relevant controls” and “relevant control activities.” Deleted</w:t>
            </w:r>
            <w:r w:rsidRPr="00EC20A0">
              <w:rPr>
                <w:spacing w:val="-4"/>
              </w:rPr>
              <w:t xml:space="preserve"> </w:t>
            </w:r>
            <w:r w:rsidRPr="00EC20A0">
              <w:t>“key”</w:t>
            </w:r>
            <w:r w:rsidRPr="00EC20A0">
              <w:rPr>
                <w:spacing w:val="-4"/>
              </w:rPr>
              <w:t xml:space="preserve"> </w:t>
            </w:r>
            <w:r w:rsidRPr="00EC20A0">
              <w:t>or</w:t>
            </w:r>
            <w:r w:rsidRPr="00EC20A0">
              <w:rPr>
                <w:spacing w:val="-4"/>
              </w:rPr>
              <w:t xml:space="preserve"> </w:t>
            </w:r>
            <w:r w:rsidRPr="00EC20A0">
              <w:t>replaced</w:t>
            </w:r>
            <w:r w:rsidRPr="00EC20A0">
              <w:rPr>
                <w:spacing w:val="-4"/>
              </w:rPr>
              <w:t xml:space="preserve"> </w:t>
            </w:r>
            <w:r w:rsidRPr="00EC20A0">
              <w:t>it</w:t>
            </w:r>
            <w:r w:rsidRPr="00EC20A0">
              <w:rPr>
                <w:spacing w:val="-4"/>
              </w:rPr>
              <w:t xml:space="preserve"> </w:t>
            </w:r>
            <w:r w:rsidRPr="00EC20A0">
              <w:t>with</w:t>
            </w:r>
            <w:r w:rsidRPr="00EC20A0">
              <w:rPr>
                <w:spacing w:val="-4"/>
              </w:rPr>
              <w:t xml:space="preserve"> </w:t>
            </w:r>
            <w:r w:rsidRPr="00EC20A0">
              <w:t>“relevant”</w:t>
            </w:r>
            <w:r w:rsidRPr="00EC20A0">
              <w:rPr>
                <w:spacing w:val="-4"/>
              </w:rPr>
              <w:t xml:space="preserve"> </w:t>
            </w:r>
            <w:r w:rsidRPr="00EC20A0">
              <w:t>when</w:t>
            </w:r>
            <w:r w:rsidRPr="00EC20A0">
              <w:rPr>
                <w:spacing w:val="-4"/>
              </w:rPr>
              <w:t xml:space="preserve"> </w:t>
            </w:r>
            <w:r w:rsidRPr="00EC20A0">
              <w:t>referring</w:t>
            </w:r>
            <w:r w:rsidRPr="00EC20A0">
              <w:rPr>
                <w:spacing w:val="-4"/>
              </w:rPr>
              <w:t xml:space="preserve"> </w:t>
            </w:r>
            <w:r w:rsidRPr="00EC20A0">
              <w:t>to</w:t>
            </w:r>
            <w:r w:rsidRPr="00EC20A0">
              <w:rPr>
                <w:spacing w:val="-5"/>
              </w:rPr>
              <w:t xml:space="preserve"> </w:t>
            </w:r>
            <w:r w:rsidRPr="00EC20A0">
              <w:t>controls or control activities.</w:t>
            </w:r>
          </w:p>
        </w:tc>
        <w:tc>
          <w:tcPr>
            <w:tcW w:w="2516" w:type="dxa"/>
            <w:tcBorders>
              <w:top w:val="single" w:sz="4" w:space="0" w:color="000000"/>
              <w:bottom w:val="single" w:sz="4" w:space="0" w:color="000000"/>
            </w:tcBorders>
          </w:tcPr>
          <w:p w14:paraId="24D5FD3C" w14:textId="77777777" w:rsidR="00245300" w:rsidRPr="00EC20A0" w:rsidRDefault="00F17249">
            <w:pPr>
              <w:pStyle w:val="TableParagraph"/>
              <w:spacing w:before="28"/>
              <w:ind w:left="146"/>
            </w:pPr>
            <w:r w:rsidRPr="00EC20A0">
              <w:t>701</w:t>
            </w:r>
            <w:r w:rsidRPr="00EC20A0">
              <w:rPr>
                <w:spacing w:val="-4"/>
              </w:rPr>
              <w:t xml:space="preserve"> </w:t>
            </w:r>
            <w:r w:rsidRPr="00EC20A0">
              <w:rPr>
                <w:spacing w:val="-10"/>
              </w:rPr>
              <w:t>A</w:t>
            </w:r>
          </w:p>
          <w:p w14:paraId="24D5FD3D" w14:textId="77777777" w:rsidR="00245300" w:rsidRPr="00EC20A0" w:rsidRDefault="00F17249">
            <w:pPr>
              <w:pStyle w:val="TableParagraph"/>
              <w:spacing w:before="1"/>
              <w:ind w:left="146"/>
            </w:pPr>
            <w:r w:rsidRPr="00EC20A0">
              <w:rPr>
                <w:spacing w:val="-5"/>
              </w:rPr>
              <w:t>900</w:t>
            </w:r>
          </w:p>
          <w:p w14:paraId="24D5FD3E" w14:textId="77777777" w:rsidR="00245300" w:rsidRPr="00EC20A0" w:rsidRDefault="00F17249">
            <w:pPr>
              <w:pStyle w:val="TableParagraph"/>
              <w:ind w:left="146"/>
            </w:pPr>
            <w:r w:rsidRPr="00EC20A0">
              <w:t>1003</w:t>
            </w:r>
            <w:r w:rsidRPr="00EC20A0">
              <w:rPr>
                <w:spacing w:val="-5"/>
              </w:rPr>
              <w:t xml:space="preserve"> </w:t>
            </w:r>
            <w:r w:rsidRPr="00EC20A0">
              <w:t>(step</w:t>
            </w:r>
            <w:r w:rsidRPr="00EC20A0">
              <w:rPr>
                <w:spacing w:val="-5"/>
              </w:rPr>
              <w:t xml:space="preserve"> </w:t>
            </w:r>
            <w:r w:rsidRPr="00EC20A0">
              <w:rPr>
                <w:spacing w:val="-2"/>
              </w:rPr>
              <w:t>II.20)</w:t>
            </w:r>
          </w:p>
        </w:tc>
      </w:tr>
      <w:tr w:rsidR="00245300" w:rsidRPr="00EC20A0" w14:paraId="24D5FD45" w14:textId="77777777">
        <w:trPr>
          <w:trHeight w:val="1114"/>
        </w:trPr>
        <w:tc>
          <w:tcPr>
            <w:tcW w:w="6904" w:type="dxa"/>
            <w:tcBorders>
              <w:top w:val="single" w:sz="4" w:space="0" w:color="000000"/>
              <w:bottom w:val="single" w:sz="4" w:space="0" w:color="000000"/>
            </w:tcBorders>
          </w:tcPr>
          <w:p w14:paraId="24D5FD40" w14:textId="77777777" w:rsidR="00245300" w:rsidRPr="00EC20A0" w:rsidRDefault="00F17249">
            <w:pPr>
              <w:pStyle w:val="TableParagraph"/>
              <w:spacing w:before="28" w:line="253" w:lineRule="exact"/>
              <w:ind w:left="44"/>
            </w:pPr>
            <w:r w:rsidRPr="00EC20A0">
              <w:t>For</w:t>
            </w:r>
            <w:r w:rsidRPr="00EC20A0">
              <w:rPr>
                <w:spacing w:val="-10"/>
              </w:rPr>
              <w:t xml:space="preserve"> </w:t>
            </w:r>
            <w:r w:rsidRPr="00EC20A0">
              <w:t>agreed-upon</w:t>
            </w:r>
            <w:r w:rsidRPr="00EC20A0">
              <w:rPr>
                <w:spacing w:val="-9"/>
              </w:rPr>
              <w:t xml:space="preserve"> </w:t>
            </w:r>
            <w:r w:rsidRPr="00EC20A0">
              <w:t>procedures</w:t>
            </w:r>
            <w:r w:rsidRPr="00EC20A0">
              <w:rPr>
                <w:spacing w:val="-9"/>
              </w:rPr>
              <w:t xml:space="preserve"> </w:t>
            </w:r>
            <w:r w:rsidRPr="00EC20A0">
              <w:rPr>
                <w:spacing w:val="-2"/>
              </w:rPr>
              <w:t>engagements,</w:t>
            </w:r>
          </w:p>
          <w:p w14:paraId="24D5FD41" w14:textId="77777777" w:rsidR="00245300" w:rsidRPr="00EC20A0" w:rsidRDefault="00F17249">
            <w:pPr>
              <w:pStyle w:val="TableParagraph"/>
              <w:numPr>
                <w:ilvl w:val="0"/>
                <w:numId w:val="221"/>
              </w:numPr>
              <w:tabs>
                <w:tab w:val="left" w:pos="301"/>
              </w:tabs>
              <w:spacing w:line="269" w:lineRule="exact"/>
              <w:ind w:left="301" w:hanging="269"/>
            </w:pPr>
            <w:r w:rsidRPr="00EC20A0">
              <w:t>revised</w:t>
            </w:r>
            <w:r w:rsidRPr="00EC20A0">
              <w:rPr>
                <w:spacing w:val="-6"/>
              </w:rPr>
              <w:t xml:space="preserve"> </w:t>
            </w:r>
            <w:r w:rsidRPr="00EC20A0">
              <w:t>step</w:t>
            </w:r>
            <w:r w:rsidRPr="00EC20A0">
              <w:rPr>
                <w:spacing w:val="-6"/>
              </w:rPr>
              <w:t xml:space="preserve"> </w:t>
            </w:r>
            <w:r w:rsidRPr="00EC20A0">
              <w:t>12</w:t>
            </w:r>
            <w:r w:rsidRPr="00EC20A0">
              <w:rPr>
                <w:spacing w:val="-6"/>
              </w:rPr>
              <w:t xml:space="preserve"> </w:t>
            </w:r>
            <w:r w:rsidRPr="00EC20A0">
              <w:t>of</w:t>
            </w:r>
            <w:r w:rsidRPr="00EC20A0">
              <w:rPr>
                <w:spacing w:val="-5"/>
              </w:rPr>
              <w:t xml:space="preserve"> </w:t>
            </w:r>
            <w:r w:rsidRPr="00EC20A0">
              <w:t>the</w:t>
            </w:r>
            <w:r w:rsidRPr="00EC20A0">
              <w:rPr>
                <w:spacing w:val="-5"/>
              </w:rPr>
              <w:t xml:space="preserve"> </w:t>
            </w:r>
            <w:r w:rsidRPr="00EC20A0">
              <w:t>completion</w:t>
            </w:r>
            <w:r w:rsidRPr="00EC20A0">
              <w:rPr>
                <w:spacing w:val="-6"/>
              </w:rPr>
              <w:t xml:space="preserve"> </w:t>
            </w:r>
            <w:r w:rsidRPr="00EC20A0">
              <w:rPr>
                <w:spacing w:val="-2"/>
              </w:rPr>
              <w:t>checklist,</w:t>
            </w:r>
          </w:p>
          <w:p w14:paraId="24D5FD42" w14:textId="77777777" w:rsidR="00245300" w:rsidRPr="00EC20A0" w:rsidRDefault="00F17249">
            <w:pPr>
              <w:pStyle w:val="TableParagraph"/>
              <w:numPr>
                <w:ilvl w:val="0"/>
                <w:numId w:val="221"/>
              </w:numPr>
              <w:tabs>
                <w:tab w:val="left" w:pos="301"/>
              </w:tabs>
              <w:spacing w:line="268" w:lineRule="exact"/>
              <w:ind w:left="301" w:hanging="269"/>
            </w:pPr>
            <w:r w:rsidRPr="00EC20A0">
              <w:t>revised</w:t>
            </w:r>
            <w:r w:rsidRPr="00EC20A0">
              <w:rPr>
                <w:spacing w:val="-7"/>
              </w:rPr>
              <w:t xml:space="preserve"> </w:t>
            </w:r>
            <w:r w:rsidRPr="00EC20A0">
              <w:t>title</w:t>
            </w:r>
            <w:r w:rsidRPr="00EC20A0">
              <w:rPr>
                <w:spacing w:val="-7"/>
              </w:rPr>
              <w:t xml:space="preserve"> </w:t>
            </w:r>
            <w:r w:rsidRPr="00EC20A0">
              <w:t>of</w:t>
            </w:r>
            <w:r w:rsidRPr="00EC20A0">
              <w:rPr>
                <w:spacing w:val="-6"/>
              </w:rPr>
              <w:t xml:space="preserve"> </w:t>
            </w:r>
            <w:r w:rsidRPr="00EC20A0">
              <w:t>second</w:t>
            </w:r>
            <w:r w:rsidRPr="00EC20A0">
              <w:rPr>
                <w:spacing w:val="-6"/>
              </w:rPr>
              <w:t xml:space="preserve"> </w:t>
            </w:r>
            <w:r w:rsidRPr="00EC20A0">
              <w:t>partner</w:t>
            </w:r>
            <w:r w:rsidRPr="00EC20A0">
              <w:rPr>
                <w:spacing w:val="-6"/>
              </w:rPr>
              <w:t xml:space="preserve"> </w:t>
            </w:r>
            <w:r w:rsidRPr="00EC20A0">
              <w:t>review</w:t>
            </w:r>
            <w:r w:rsidRPr="00EC20A0">
              <w:rPr>
                <w:spacing w:val="-7"/>
              </w:rPr>
              <w:t xml:space="preserve"> </w:t>
            </w:r>
            <w:r w:rsidRPr="00EC20A0">
              <w:t>form,</w:t>
            </w:r>
            <w:r w:rsidRPr="00EC20A0">
              <w:rPr>
                <w:spacing w:val="-6"/>
              </w:rPr>
              <w:t xml:space="preserve"> </w:t>
            </w:r>
            <w:r w:rsidRPr="00EC20A0">
              <w:rPr>
                <w:spacing w:val="-5"/>
              </w:rPr>
              <w:t>and</w:t>
            </w:r>
          </w:p>
          <w:p w14:paraId="24D5FD43" w14:textId="77777777" w:rsidR="00245300" w:rsidRPr="00EC20A0" w:rsidRDefault="00F17249">
            <w:pPr>
              <w:pStyle w:val="TableParagraph"/>
              <w:numPr>
                <w:ilvl w:val="0"/>
                <w:numId w:val="221"/>
              </w:numPr>
              <w:tabs>
                <w:tab w:val="left" w:pos="302"/>
              </w:tabs>
              <w:spacing w:line="269" w:lineRule="exact"/>
            </w:pPr>
            <w:r w:rsidRPr="00EC20A0">
              <w:t>deleted</w:t>
            </w:r>
            <w:r w:rsidRPr="00EC20A0">
              <w:rPr>
                <w:spacing w:val="-9"/>
              </w:rPr>
              <w:t xml:space="preserve"> </w:t>
            </w:r>
            <w:r w:rsidRPr="00EC20A0">
              <w:t>technical</w:t>
            </w:r>
            <w:r w:rsidRPr="00EC20A0">
              <w:rPr>
                <w:spacing w:val="-8"/>
              </w:rPr>
              <w:t xml:space="preserve"> </w:t>
            </w:r>
            <w:r w:rsidRPr="00EC20A0">
              <w:t>accounting</w:t>
            </w:r>
            <w:r w:rsidRPr="00EC20A0">
              <w:rPr>
                <w:spacing w:val="-8"/>
              </w:rPr>
              <w:t xml:space="preserve"> </w:t>
            </w:r>
            <w:r w:rsidRPr="00EC20A0">
              <w:t>and</w:t>
            </w:r>
            <w:r w:rsidRPr="00EC20A0">
              <w:rPr>
                <w:spacing w:val="-8"/>
              </w:rPr>
              <w:t xml:space="preserve"> </w:t>
            </w:r>
            <w:r w:rsidRPr="00EC20A0">
              <w:t>auditing</w:t>
            </w:r>
            <w:r w:rsidRPr="00EC20A0">
              <w:rPr>
                <w:spacing w:val="-8"/>
              </w:rPr>
              <w:t xml:space="preserve"> </w:t>
            </w:r>
            <w:r w:rsidRPr="00EC20A0">
              <w:t>expert</w:t>
            </w:r>
            <w:r w:rsidRPr="00EC20A0">
              <w:rPr>
                <w:spacing w:val="-8"/>
              </w:rPr>
              <w:t xml:space="preserve"> </w:t>
            </w:r>
            <w:r w:rsidRPr="00EC20A0">
              <w:t>review</w:t>
            </w:r>
            <w:r w:rsidRPr="00EC20A0">
              <w:rPr>
                <w:spacing w:val="-9"/>
              </w:rPr>
              <w:t xml:space="preserve"> </w:t>
            </w:r>
            <w:r w:rsidRPr="00EC20A0">
              <w:rPr>
                <w:spacing w:val="-2"/>
              </w:rPr>
              <w:t>form.</w:t>
            </w:r>
          </w:p>
        </w:tc>
        <w:tc>
          <w:tcPr>
            <w:tcW w:w="2516" w:type="dxa"/>
            <w:tcBorders>
              <w:top w:val="single" w:sz="4" w:space="0" w:color="000000"/>
              <w:bottom w:val="single" w:sz="4" w:space="0" w:color="000000"/>
            </w:tcBorders>
          </w:tcPr>
          <w:p w14:paraId="24D5FD44" w14:textId="77777777" w:rsidR="00245300" w:rsidRPr="00EC20A0" w:rsidRDefault="00F17249">
            <w:pPr>
              <w:pStyle w:val="TableParagraph"/>
              <w:spacing w:before="28"/>
              <w:ind w:left="146"/>
            </w:pPr>
            <w:r w:rsidRPr="00EC20A0">
              <w:t>710</w:t>
            </w:r>
            <w:r w:rsidRPr="00EC20A0">
              <w:rPr>
                <w:spacing w:val="32"/>
              </w:rPr>
              <w:t xml:space="preserve"> </w:t>
            </w:r>
            <w:r w:rsidRPr="00EC20A0">
              <w:rPr>
                <w:spacing w:val="-10"/>
              </w:rPr>
              <w:t>E</w:t>
            </w:r>
          </w:p>
        </w:tc>
      </w:tr>
      <w:tr w:rsidR="00245300" w:rsidRPr="00EC20A0" w14:paraId="24D5FD49" w14:textId="77777777">
        <w:trPr>
          <w:trHeight w:val="816"/>
        </w:trPr>
        <w:tc>
          <w:tcPr>
            <w:tcW w:w="6904" w:type="dxa"/>
            <w:tcBorders>
              <w:top w:val="single" w:sz="4" w:space="0" w:color="000000"/>
              <w:bottom w:val="single" w:sz="4" w:space="0" w:color="000000"/>
            </w:tcBorders>
          </w:tcPr>
          <w:p w14:paraId="24D5FD46" w14:textId="77777777" w:rsidR="00245300" w:rsidRPr="00EC20A0" w:rsidRDefault="00F17249">
            <w:pPr>
              <w:pStyle w:val="TableParagraph"/>
              <w:spacing w:before="28"/>
              <w:ind w:left="32"/>
            </w:pPr>
            <w:r w:rsidRPr="00EC20A0">
              <w:t>Revised guidance and example procedures for auditing intragovernmental</w:t>
            </w:r>
            <w:r w:rsidRPr="00EC20A0">
              <w:rPr>
                <w:spacing w:val="-5"/>
              </w:rPr>
              <w:t xml:space="preserve"> </w:t>
            </w:r>
            <w:r w:rsidRPr="00EC20A0">
              <w:t>activity</w:t>
            </w:r>
            <w:r w:rsidRPr="00EC20A0">
              <w:rPr>
                <w:spacing w:val="-5"/>
              </w:rPr>
              <w:t xml:space="preserve"> </w:t>
            </w:r>
            <w:r w:rsidRPr="00EC20A0">
              <w:t>and</w:t>
            </w:r>
            <w:r w:rsidRPr="00EC20A0">
              <w:rPr>
                <w:spacing w:val="-5"/>
              </w:rPr>
              <w:t xml:space="preserve"> </w:t>
            </w:r>
            <w:r w:rsidRPr="00EC20A0">
              <w:t>balances.</w:t>
            </w:r>
            <w:r w:rsidRPr="00EC20A0">
              <w:rPr>
                <w:spacing w:val="-5"/>
              </w:rPr>
              <w:t xml:space="preserve"> </w:t>
            </w:r>
            <w:r w:rsidRPr="00EC20A0">
              <w:t>Deleted</w:t>
            </w:r>
            <w:r w:rsidRPr="00EC20A0">
              <w:rPr>
                <w:spacing w:val="-6"/>
              </w:rPr>
              <w:t xml:space="preserve"> </w:t>
            </w:r>
            <w:r w:rsidRPr="00EC20A0">
              <w:t>the</w:t>
            </w:r>
            <w:r w:rsidRPr="00EC20A0">
              <w:rPr>
                <w:spacing w:val="-5"/>
              </w:rPr>
              <w:t xml:space="preserve"> </w:t>
            </w:r>
            <w:r w:rsidRPr="00EC20A0">
              <w:t>related</w:t>
            </w:r>
            <w:r w:rsidRPr="00EC20A0">
              <w:rPr>
                <w:spacing w:val="-5"/>
              </w:rPr>
              <w:t xml:space="preserve"> </w:t>
            </w:r>
            <w:r w:rsidRPr="00EC20A0">
              <w:t>line</w:t>
            </w:r>
            <w:r w:rsidRPr="00EC20A0">
              <w:rPr>
                <w:spacing w:val="-5"/>
              </w:rPr>
              <w:t xml:space="preserve"> </w:t>
            </w:r>
            <w:r w:rsidRPr="00EC20A0">
              <w:t>item risk analysis (LIRA) and specific control evaluation (SCE) examples.</w:t>
            </w:r>
          </w:p>
        </w:tc>
        <w:tc>
          <w:tcPr>
            <w:tcW w:w="2516" w:type="dxa"/>
            <w:tcBorders>
              <w:top w:val="single" w:sz="4" w:space="0" w:color="000000"/>
              <w:bottom w:val="single" w:sz="4" w:space="0" w:color="000000"/>
            </w:tcBorders>
          </w:tcPr>
          <w:p w14:paraId="24D5FD47" w14:textId="77777777" w:rsidR="00245300" w:rsidRPr="00EC20A0" w:rsidRDefault="00F17249">
            <w:pPr>
              <w:pStyle w:val="TableParagraph"/>
              <w:spacing w:before="28"/>
              <w:ind w:left="146"/>
            </w:pPr>
            <w:r w:rsidRPr="00EC20A0">
              <w:t>902.13,</w:t>
            </w:r>
            <w:r w:rsidRPr="00EC20A0">
              <w:rPr>
                <w:spacing w:val="-5"/>
              </w:rPr>
              <w:t xml:space="preserve"> </w:t>
            </w:r>
            <w:r w:rsidRPr="00EC20A0">
              <w:t>.15,</w:t>
            </w:r>
            <w:r w:rsidRPr="00EC20A0">
              <w:rPr>
                <w:spacing w:val="-6"/>
              </w:rPr>
              <w:t xml:space="preserve"> </w:t>
            </w:r>
            <w:r w:rsidRPr="00EC20A0">
              <w:t>.17,</w:t>
            </w:r>
            <w:r w:rsidRPr="00EC20A0">
              <w:rPr>
                <w:spacing w:val="-5"/>
              </w:rPr>
              <w:t xml:space="preserve"> .27</w:t>
            </w:r>
          </w:p>
          <w:p w14:paraId="24D5FD48" w14:textId="77777777" w:rsidR="00245300" w:rsidRPr="00EC20A0" w:rsidRDefault="00F17249">
            <w:pPr>
              <w:pStyle w:val="TableParagraph"/>
              <w:spacing w:before="1"/>
              <w:ind w:left="146" w:right="397"/>
            </w:pPr>
            <w:r w:rsidRPr="00EC20A0">
              <w:t>902</w:t>
            </w:r>
            <w:r w:rsidRPr="00EC20A0">
              <w:rPr>
                <w:spacing w:val="-9"/>
              </w:rPr>
              <w:t xml:space="preserve"> </w:t>
            </w:r>
            <w:r w:rsidRPr="00EC20A0">
              <w:t>A</w:t>
            </w:r>
            <w:r w:rsidRPr="00EC20A0">
              <w:rPr>
                <w:spacing w:val="-10"/>
              </w:rPr>
              <w:t xml:space="preserve"> </w:t>
            </w:r>
            <w:r w:rsidRPr="00EC20A0">
              <w:t>(steps</w:t>
            </w:r>
            <w:r w:rsidRPr="00EC20A0">
              <w:rPr>
                <w:spacing w:val="-9"/>
              </w:rPr>
              <w:t xml:space="preserve"> </w:t>
            </w:r>
            <w:r w:rsidRPr="00EC20A0">
              <w:t>I.4,</w:t>
            </w:r>
            <w:r w:rsidRPr="00EC20A0">
              <w:rPr>
                <w:spacing w:val="-10"/>
              </w:rPr>
              <w:t xml:space="preserve"> </w:t>
            </w:r>
            <w:r w:rsidRPr="00EC20A0">
              <w:t>I.7, II.6, III.1, III.2, III.4)</w:t>
            </w:r>
          </w:p>
        </w:tc>
      </w:tr>
      <w:tr w:rsidR="00245300" w:rsidRPr="00EC20A0" w14:paraId="24D5FD4D" w14:textId="77777777">
        <w:trPr>
          <w:trHeight w:val="563"/>
        </w:trPr>
        <w:tc>
          <w:tcPr>
            <w:tcW w:w="6904" w:type="dxa"/>
            <w:tcBorders>
              <w:top w:val="single" w:sz="4" w:space="0" w:color="000000"/>
              <w:bottom w:val="single" w:sz="4" w:space="0" w:color="000000"/>
            </w:tcBorders>
          </w:tcPr>
          <w:p w14:paraId="24D5FD4A" w14:textId="77777777" w:rsidR="00245300" w:rsidRPr="00EC20A0" w:rsidRDefault="00F17249">
            <w:pPr>
              <w:pStyle w:val="TableParagraph"/>
              <w:spacing w:before="28"/>
              <w:ind w:left="44" w:right="1343"/>
            </w:pPr>
            <w:r w:rsidRPr="00EC20A0">
              <w:t>Deleted</w:t>
            </w:r>
            <w:r w:rsidRPr="00EC20A0">
              <w:rPr>
                <w:spacing w:val="-6"/>
              </w:rPr>
              <w:t xml:space="preserve"> </w:t>
            </w:r>
            <w:r w:rsidRPr="00EC20A0">
              <w:t>“accounting</w:t>
            </w:r>
            <w:r w:rsidRPr="00EC20A0">
              <w:rPr>
                <w:spacing w:val="-6"/>
              </w:rPr>
              <w:t xml:space="preserve"> </w:t>
            </w:r>
            <w:r w:rsidRPr="00EC20A0">
              <w:t>system”</w:t>
            </w:r>
            <w:r w:rsidRPr="00EC20A0">
              <w:rPr>
                <w:spacing w:val="-6"/>
              </w:rPr>
              <w:t xml:space="preserve"> </w:t>
            </w:r>
            <w:r w:rsidRPr="00EC20A0">
              <w:t>or</w:t>
            </w:r>
            <w:r w:rsidRPr="00EC20A0">
              <w:rPr>
                <w:spacing w:val="-6"/>
              </w:rPr>
              <w:t xml:space="preserve"> </w:t>
            </w:r>
            <w:r w:rsidRPr="00EC20A0">
              <w:t>replaced</w:t>
            </w:r>
            <w:r w:rsidRPr="00EC20A0">
              <w:rPr>
                <w:spacing w:val="-6"/>
              </w:rPr>
              <w:t xml:space="preserve"> </w:t>
            </w:r>
            <w:r w:rsidRPr="00EC20A0">
              <w:t>it</w:t>
            </w:r>
            <w:r w:rsidRPr="00EC20A0">
              <w:rPr>
                <w:spacing w:val="-6"/>
              </w:rPr>
              <w:t xml:space="preserve"> </w:t>
            </w:r>
            <w:r w:rsidRPr="00EC20A0">
              <w:t>with</w:t>
            </w:r>
            <w:r w:rsidRPr="00EC20A0">
              <w:rPr>
                <w:spacing w:val="-7"/>
              </w:rPr>
              <w:t xml:space="preserve"> </w:t>
            </w:r>
            <w:r w:rsidRPr="00EC20A0">
              <w:t xml:space="preserve">“financial </w:t>
            </w:r>
            <w:r w:rsidRPr="00EC20A0">
              <w:t>management system.”</w:t>
            </w:r>
          </w:p>
        </w:tc>
        <w:tc>
          <w:tcPr>
            <w:tcW w:w="2516" w:type="dxa"/>
            <w:tcBorders>
              <w:top w:val="single" w:sz="4" w:space="0" w:color="000000"/>
              <w:bottom w:val="single" w:sz="4" w:space="0" w:color="000000"/>
            </w:tcBorders>
          </w:tcPr>
          <w:p w14:paraId="24D5FD4B" w14:textId="77777777" w:rsidR="00245300" w:rsidRPr="00EC20A0" w:rsidRDefault="00F17249">
            <w:pPr>
              <w:pStyle w:val="TableParagraph"/>
              <w:spacing w:before="28"/>
              <w:ind w:left="146"/>
            </w:pPr>
            <w:r w:rsidRPr="00EC20A0">
              <w:t>902.13,</w:t>
            </w:r>
            <w:r w:rsidRPr="00EC20A0">
              <w:rPr>
                <w:spacing w:val="-8"/>
              </w:rPr>
              <w:t xml:space="preserve"> </w:t>
            </w:r>
            <w:r w:rsidRPr="00EC20A0">
              <w:t>.22;</w:t>
            </w:r>
            <w:r w:rsidRPr="00EC20A0">
              <w:rPr>
                <w:spacing w:val="-6"/>
              </w:rPr>
              <w:t xml:space="preserve"> </w:t>
            </w:r>
            <w:r w:rsidRPr="00EC20A0">
              <w:rPr>
                <w:spacing w:val="-2"/>
              </w:rPr>
              <w:t>903.06</w:t>
            </w:r>
          </w:p>
          <w:p w14:paraId="24D5FD4C" w14:textId="77777777" w:rsidR="00245300" w:rsidRPr="00EC20A0" w:rsidRDefault="00F17249">
            <w:pPr>
              <w:pStyle w:val="TableParagraph"/>
              <w:spacing w:before="1"/>
              <w:ind w:left="146"/>
            </w:pPr>
            <w:r w:rsidRPr="00EC20A0">
              <w:t>931.07,</w:t>
            </w:r>
            <w:r w:rsidRPr="00EC20A0">
              <w:rPr>
                <w:spacing w:val="-8"/>
              </w:rPr>
              <w:t xml:space="preserve"> </w:t>
            </w:r>
            <w:r w:rsidRPr="00EC20A0">
              <w:rPr>
                <w:spacing w:val="-5"/>
              </w:rPr>
              <w:t>.10</w:t>
            </w:r>
          </w:p>
        </w:tc>
      </w:tr>
      <w:tr w:rsidR="00245300" w:rsidRPr="00EC20A0" w14:paraId="24D5FD50" w14:textId="77777777">
        <w:trPr>
          <w:trHeight w:val="564"/>
        </w:trPr>
        <w:tc>
          <w:tcPr>
            <w:tcW w:w="6904" w:type="dxa"/>
            <w:tcBorders>
              <w:top w:val="single" w:sz="4" w:space="0" w:color="000000"/>
              <w:bottom w:val="single" w:sz="4" w:space="0" w:color="000000"/>
            </w:tcBorders>
          </w:tcPr>
          <w:p w14:paraId="24D5FD4E" w14:textId="77777777" w:rsidR="00245300" w:rsidRPr="00EC20A0" w:rsidRDefault="00F17249">
            <w:pPr>
              <w:pStyle w:val="TableParagraph"/>
              <w:spacing w:before="30"/>
              <w:ind w:left="44" w:right="177"/>
            </w:pPr>
            <w:r w:rsidRPr="00EC20A0">
              <w:t>Revised</w:t>
            </w:r>
            <w:r w:rsidRPr="00EC20A0">
              <w:rPr>
                <w:spacing w:val="-5"/>
              </w:rPr>
              <w:t xml:space="preserve"> </w:t>
            </w:r>
            <w:r w:rsidRPr="00EC20A0">
              <w:t>and</w:t>
            </w:r>
            <w:r w:rsidRPr="00EC20A0">
              <w:rPr>
                <w:spacing w:val="-6"/>
              </w:rPr>
              <w:t xml:space="preserve"> </w:t>
            </w:r>
            <w:r w:rsidRPr="00EC20A0">
              <w:t>added</w:t>
            </w:r>
            <w:r w:rsidRPr="00EC20A0">
              <w:rPr>
                <w:spacing w:val="-5"/>
              </w:rPr>
              <w:t xml:space="preserve"> </w:t>
            </w:r>
            <w:r w:rsidRPr="00EC20A0">
              <w:t>requirements</w:t>
            </w:r>
            <w:r w:rsidRPr="00EC20A0">
              <w:rPr>
                <w:spacing w:val="-5"/>
              </w:rPr>
              <w:t xml:space="preserve"> </w:t>
            </w:r>
            <w:r w:rsidRPr="00EC20A0">
              <w:t>and</w:t>
            </w:r>
            <w:r w:rsidRPr="00EC20A0">
              <w:rPr>
                <w:spacing w:val="-5"/>
              </w:rPr>
              <w:t xml:space="preserve"> </w:t>
            </w:r>
            <w:r w:rsidRPr="00EC20A0">
              <w:t>guidance</w:t>
            </w:r>
            <w:r w:rsidRPr="00EC20A0">
              <w:rPr>
                <w:spacing w:val="-5"/>
              </w:rPr>
              <w:t xml:space="preserve"> </w:t>
            </w:r>
            <w:r w:rsidRPr="00EC20A0">
              <w:t>based</w:t>
            </w:r>
            <w:r w:rsidRPr="00EC20A0">
              <w:rPr>
                <w:spacing w:val="-5"/>
              </w:rPr>
              <w:t xml:space="preserve"> </w:t>
            </w:r>
            <w:r w:rsidRPr="00EC20A0">
              <w:t>on</w:t>
            </w:r>
            <w:r w:rsidRPr="00EC20A0">
              <w:rPr>
                <w:spacing w:val="-5"/>
              </w:rPr>
              <w:t xml:space="preserve"> </w:t>
            </w:r>
            <w:r w:rsidRPr="00EC20A0">
              <w:t>SAS</w:t>
            </w:r>
            <w:r w:rsidRPr="00EC20A0">
              <w:rPr>
                <w:spacing w:val="-5"/>
              </w:rPr>
              <w:t xml:space="preserve"> </w:t>
            </w:r>
            <w:r w:rsidRPr="00EC20A0">
              <w:t xml:space="preserve">No. 143, </w:t>
            </w:r>
            <w:r w:rsidRPr="00EC20A0">
              <w:rPr>
                <w:i/>
              </w:rPr>
              <w:t>Auditing Accounting Estimates and Related Disclosures</w:t>
            </w:r>
            <w:r w:rsidRPr="00EC20A0">
              <w:t>.</w:t>
            </w:r>
          </w:p>
        </w:tc>
        <w:tc>
          <w:tcPr>
            <w:tcW w:w="2516" w:type="dxa"/>
            <w:tcBorders>
              <w:top w:val="single" w:sz="4" w:space="0" w:color="000000"/>
              <w:bottom w:val="single" w:sz="4" w:space="0" w:color="000000"/>
            </w:tcBorders>
          </w:tcPr>
          <w:p w14:paraId="24D5FD4F" w14:textId="77777777" w:rsidR="00245300" w:rsidRPr="00EC20A0" w:rsidRDefault="00F17249">
            <w:pPr>
              <w:pStyle w:val="TableParagraph"/>
              <w:spacing w:before="30"/>
              <w:ind w:left="146"/>
            </w:pPr>
            <w:r w:rsidRPr="00EC20A0">
              <w:rPr>
                <w:spacing w:val="-5"/>
              </w:rPr>
              <w:t>905</w:t>
            </w:r>
          </w:p>
        </w:tc>
      </w:tr>
      <w:tr w:rsidR="00245300" w:rsidRPr="00EC20A0" w14:paraId="24D5FD53" w14:textId="77777777">
        <w:trPr>
          <w:trHeight w:val="816"/>
        </w:trPr>
        <w:tc>
          <w:tcPr>
            <w:tcW w:w="6904" w:type="dxa"/>
            <w:tcBorders>
              <w:top w:val="single" w:sz="4" w:space="0" w:color="000000"/>
              <w:bottom w:val="single" w:sz="4" w:space="0" w:color="000000"/>
            </w:tcBorders>
          </w:tcPr>
          <w:p w14:paraId="24D5FD51" w14:textId="77777777" w:rsidR="00245300" w:rsidRPr="00EC20A0" w:rsidRDefault="00F17249">
            <w:pPr>
              <w:pStyle w:val="TableParagraph"/>
              <w:spacing w:before="28"/>
              <w:ind w:left="44" w:right="177"/>
            </w:pPr>
            <w:r w:rsidRPr="00EC20A0">
              <w:t>Revised and added guidance for auditing fund balance with Treasury,</w:t>
            </w:r>
            <w:r w:rsidRPr="00EC20A0">
              <w:rPr>
                <w:spacing w:val="-6"/>
              </w:rPr>
              <w:t xml:space="preserve"> </w:t>
            </w:r>
            <w:r w:rsidRPr="00EC20A0">
              <w:t>including</w:t>
            </w:r>
            <w:r w:rsidRPr="00EC20A0">
              <w:rPr>
                <w:spacing w:val="-6"/>
              </w:rPr>
              <w:t xml:space="preserve"> </w:t>
            </w:r>
            <w:r w:rsidRPr="00EC20A0">
              <w:t>Treasury</w:t>
            </w:r>
            <w:r w:rsidRPr="00EC20A0">
              <w:rPr>
                <w:spacing w:val="-6"/>
              </w:rPr>
              <w:t xml:space="preserve"> </w:t>
            </w:r>
            <w:r w:rsidRPr="00EC20A0">
              <w:t>account</w:t>
            </w:r>
            <w:r w:rsidRPr="00EC20A0">
              <w:rPr>
                <w:spacing w:val="-6"/>
              </w:rPr>
              <w:t xml:space="preserve"> </w:t>
            </w:r>
            <w:r w:rsidRPr="00EC20A0">
              <w:t>symbols</w:t>
            </w:r>
            <w:r w:rsidRPr="00EC20A0">
              <w:rPr>
                <w:spacing w:val="-6"/>
              </w:rPr>
              <w:t xml:space="preserve"> </w:t>
            </w:r>
            <w:r w:rsidRPr="00EC20A0">
              <w:t>and</w:t>
            </w:r>
            <w:r w:rsidRPr="00EC20A0">
              <w:rPr>
                <w:spacing w:val="-6"/>
              </w:rPr>
              <w:t xml:space="preserve"> </w:t>
            </w:r>
            <w:r w:rsidRPr="00EC20A0">
              <w:t>business</w:t>
            </w:r>
            <w:r w:rsidRPr="00EC20A0">
              <w:rPr>
                <w:spacing w:val="-7"/>
              </w:rPr>
              <w:t xml:space="preserve"> </w:t>
            </w:r>
            <w:r w:rsidRPr="00EC20A0">
              <w:t>event type codes. Deleted related LIRA and SCE examples.</w:t>
            </w:r>
          </w:p>
        </w:tc>
        <w:tc>
          <w:tcPr>
            <w:tcW w:w="2516" w:type="dxa"/>
            <w:tcBorders>
              <w:top w:val="single" w:sz="4" w:space="0" w:color="000000"/>
              <w:bottom w:val="single" w:sz="4" w:space="0" w:color="000000"/>
            </w:tcBorders>
          </w:tcPr>
          <w:p w14:paraId="24D5FD52" w14:textId="77777777" w:rsidR="00245300" w:rsidRPr="00EC20A0" w:rsidRDefault="00F17249">
            <w:pPr>
              <w:pStyle w:val="TableParagraph"/>
              <w:spacing w:before="28"/>
              <w:ind w:left="146"/>
            </w:pPr>
            <w:r w:rsidRPr="00EC20A0">
              <w:t>921,</w:t>
            </w:r>
            <w:r w:rsidRPr="00EC20A0">
              <w:rPr>
                <w:spacing w:val="-4"/>
              </w:rPr>
              <w:t xml:space="preserve"> </w:t>
            </w:r>
            <w:r w:rsidRPr="00EC20A0">
              <w:t>921</w:t>
            </w:r>
            <w:r w:rsidRPr="00EC20A0">
              <w:rPr>
                <w:spacing w:val="-4"/>
              </w:rPr>
              <w:t xml:space="preserve"> </w:t>
            </w:r>
            <w:r w:rsidRPr="00EC20A0">
              <w:t>A,</w:t>
            </w:r>
            <w:r w:rsidRPr="00EC20A0">
              <w:rPr>
                <w:spacing w:val="-4"/>
              </w:rPr>
              <w:t xml:space="preserve"> </w:t>
            </w:r>
            <w:r w:rsidRPr="00EC20A0">
              <w:t>921</w:t>
            </w:r>
            <w:r w:rsidRPr="00EC20A0">
              <w:rPr>
                <w:spacing w:val="-3"/>
              </w:rPr>
              <w:t xml:space="preserve"> </w:t>
            </w:r>
            <w:r w:rsidRPr="00EC20A0">
              <w:rPr>
                <w:spacing w:val="-10"/>
              </w:rPr>
              <w:t>B</w:t>
            </w:r>
          </w:p>
        </w:tc>
      </w:tr>
    </w:tbl>
    <w:p w14:paraId="24D5FD54" w14:textId="77777777" w:rsidR="00245300" w:rsidRPr="00EC20A0" w:rsidRDefault="00245300">
      <w:pPr>
        <w:sectPr w:rsidR="00245300" w:rsidRPr="00EC20A0">
          <w:headerReference w:type="default" r:id="rId7"/>
          <w:footerReference w:type="default" r:id="rId8"/>
          <w:pgSz w:w="12240" w:h="15840"/>
          <w:pgMar w:top="1080" w:right="940" w:bottom="2183" w:left="1020" w:header="781" w:footer="706" w:gutter="0"/>
          <w:pgNumType w:start="1"/>
          <w:cols w:space="720"/>
        </w:sectPr>
      </w:pPr>
    </w:p>
    <w:tbl>
      <w:tblPr>
        <w:tblW w:w="0" w:type="auto"/>
        <w:tblInd w:w="397" w:type="dxa"/>
        <w:tblLayout w:type="fixed"/>
        <w:tblCellMar>
          <w:left w:w="0" w:type="dxa"/>
          <w:right w:w="0" w:type="dxa"/>
        </w:tblCellMar>
        <w:tblLook w:val="01E0" w:firstRow="1" w:lastRow="1" w:firstColumn="1" w:lastColumn="1" w:noHBand="0" w:noVBand="0"/>
      </w:tblPr>
      <w:tblGrid>
        <w:gridCol w:w="6900"/>
        <w:gridCol w:w="2520"/>
      </w:tblGrid>
      <w:tr w:rsidR="00245300" w:rsidRPr="00EC20A0" w14:paraId="24D5FD57" w14:textId="77777777">
        <w:trPr>
          <w:trHeight w:val="329"/>
        </w:trPr>
        <w:tc>
          <w:tcPr>
            <w:tcW w:w="6900" w:type="dxa"/>
            <w:tcBorders>
              <w:top w:val="single" w:sz="18" w:space="0" w:color="000000"/>
              <w:bottom w:val="single" w:sz="4" w:space="0" w:color="000000"/>
            </w:tcBorders>
          </w:tcPr>
          <w:p w14:paraId="24D5FD55" w14:textId="77777777" w:rsidR="00245300" w:rsidRPr="00EC20A0" w:rsidRDefault="00245300">
            <w:pPr>
              <w:pStyle w:val="TableParagraph"/>
              <w:rPr>
                <w:sz w:val="20"/>
              </w:rPr>
            </w:pPr>
          </w:p>
        </w:tc>
        <w:tc>
          <w:tcPr>
            <w:tcW w:w="2520" w:type="dxa"/>
            <w:tcBorders>
              <w:top w:val="single" w:sz="18" w:space="0" w:color="000000"/>
              <w:bottom w:val="single" w:sz="4" w:space="0" w:color="000000"/>
            </w:tcBorders>
          </w:tcPr>
          <w:p w14:paraId="24D5FD56" w14:textId="77777777" w:rsidR="00245300" w:rsidRPr="00EC20A0" w:rsidRDefault="00245300">
            <w:pPr>
              <w:pStyle w:val="TableParagraph"/>
              <w:rPr>
                <w:sz w:val="20"/>
              </w:rPr>
            </w:pPr>
          </w:p>
        </w:tc>
      </w:tr>
      <w:tr w:rsidR="00245300" w:rsidRPr="00EC20A0" w14:paraId="24D5FD5A" w14:textId="77777777">
        <w:trPr>
          <w:trHeight w:val="563"/>
        </w:trPr>
        <w:tc>
          <w:tcPr>
            <w:tcW w:w="6900" w:type="dxa"/>
            <w:tcBorders>
              <w:top w:val="single" w:sz="4" w:space="0" w:color="000000"/>
              <w:bottom w:val="single" w:sz="4" w:space="0" w:color="000000"/>
            </w:tcBorders>
            <w:shd w:val="clear" w:color="auto" w:fill="D9D9D9"/>
          </w:tcPr>
          <w:p w14:paraId="24D5FD58" w14:textId="77777777" w:rsidR="00245300" w:rsidRPr="00EC20A0" w:rsidRDefault="00F17249">
            <w:pPr>
              <w:pStyle w:val="TableParagraph"/>
              <w:spacing w:before="28"/>
              <w:ind w:left="44"/>
              <w:rPr>
                <w:b/>
              </w:rPr>
            </w:pPr>
            <w:r w:rsidRPr="00EC20A0">
              <w:rPr>
                <w:b/>
              </w:rPr>
              <w:t>Change</w:t>
            </w:r>
            <w:r w:rsidRPr="00EC20A0">
              <w:rPr>
                <w:b/>
                <w:spacing w:val="-10"/>
              </w:rPr>
              <w:t xml:space="preserve"> </w:t>
            </w:r>
            <w:r w:rsidRPr="00EC20A0">
              <w:rPr>
                <w:b/>
                <w:spacing w:val="-2"/>
              </w:rPr>
              <w:t>description</w:t>
            </w:r>
          </w:p>
        </w:tc>
        <w:tc>
          <w:tcPr>
            <w:tcW w:w="2520" w:type="dxa"/>
            <w:tcBorders>
              <w:top w:val="single" w:sz="4" w:space="0" w:color="000000"/>
              <w:bottom w:val="single" w:sz="4" w:space="0" w:color="000000"/>
            </w:tcBorders>
            <w:shd w:val="clear" w:color="auto" w:fill="D9D9D9"/>
          </w:tcPr>
          <w:p w14:paraId="24D5FD59" w14:textId="77777777" w:rsidR="00245300" w:rsidRPr="00EC20A0" w:rsidRDefault="00F17249">
            <w:pPr>
              <w:pStyle w:val="TableParagraph"/>
              <w:spacing w:before="28"/>
              <w:ind w:left="150"/>
              <w:rPr>
                <w:b/>
              </w:rPr>
            </w:pPr>
            <w:r w:rsidRPr="00EC20A0">
              <w:rPr>
                <w:b/>
              </w:rPr>
              <w:t>Section</w:t>
            </w:r>
            <w:r w:rsidRPr="00EC20A0">
              <w:rPr>
                <w:b/>
                <w:spacing w:val="-16"/>
              </w:rPr>
              <w:t xml:space="preserve"> </w:t>
            </w:r>
            <w:r w:rsidRPr="00EC20A0">
              <w:rPr>
                <w:b/>
              </w:rPr>
              <w:t>or</w:t>
            </w:r>
            <w:r w:rsidRPr="00EC20A0">
              <w:rPr>
                <w:b/>
                <w:spacing w:val="-15"/>
              </w:rPr>
              <w:t xml:space="preserve"> </w:t>
            </w:r>
            <w:r w:rsidRPr="00EC20A0">
              <w:rPr>
                <w:b/>
              </w:rPr>
              <w:t xml:space="preserve">paragraph </w:t>
            </w:r>
            <w:r w:rsidRPr="00EC20A0">
              <w:rPr>
                <w:b/>
                <w:spacing w:val="-2"/>
              </w:rPr>
              <w:t>reference</w:t>
            </w:r>
          </w:p>
        </w:tc>
      </w:tr>
      <w:tr w:rsidR="00245300" w:rsidRPr="00EC20A0" w14:paraId="24D5FD5E" w14:textId="77777777">
        <w:trPr>
          <w:trHeight w:val="1060"/>
        </w:trPr>
        <w:tc>
          <w:tcPr>
            <w:tcW w:w="6900" w:type="dxa"/>
            <w:tcBorders>
              <w:top w:val="single" w:sz="4" w:space="0" w:color="000000"/>
              <w:bottom w:val="single" w:sz="4" w:space="0" w:color="000000"/>
            </w:tcBorders>
          </w:tcPr>
          <w:p w14:paraId="24D5FD5B" w14:textId="77777777" w:rsidR="00245300" w:rsidRPr="00EC20A0" w:rsidRDefault="00F17249">
            <w:pPr>
              <w:pStyle w:val="TableParagraph"/>
              <w:spacing w:before="19"/>
              <w:ind w:left="44"/>
            </w:pPr>
            <w:r w:rsidRPr="00EC20A0">
              <w:t>Clarified</w:t>
            </w:r>
            <w:r w:rsidRPr="00EC20A0">
              <w:rPr>
                <w:spacing w:val="-5"/>
              </w:rPr>
              <w:t xml:space="preserve"> </w:t>
            </w:r>
            <w:r w:rsidRPr="00EC20A0">
              <w:t>guidance</w:t>
            </w:r>
            <w:r w:rsidRPr="00EC20A0">
              <w:rPr>
                <w:spacing w:val="-5"/>
              </w:rPr>
              <w:t xml:space="preserve"> </w:t>
            </w:r>
            <w:r w:rsidRPr="00EC20A0">
              <w:t>for</w:t>
            </w:r>
            <w:r w:rsidRPr="00EC20A0">
              <w:rPr>
                <w:spacing w:val="-5"/>
              </w:rPr>
              <w:t xml:space="preserve"> </w:t>
            </w:r>
            <w:r w:rsidRPr="00EC20A0">
              <w:t>auditing</w:t>
            </w:r>
            <w:r w:rsidRPr="00EC20A0">
              <w:rPr>
                <w:spacing w:val="-5"/>
              </w:rPr>
              <w:t xml:space="preserve"> </w:t>
            </w:r>
            <w:r w:rsidRPr="00EC20A0">
              <w:t>the</w:t>
            </w:r>
            <w:r w:rsidRPr="00EC20A0">
              <w:rPr>
                <w:spacing w:val="-5"/>
              </w:rPr>
              <w:t xml:space="preserve"> </w:t>
            </w:r>
            <w:r w:rsidRPr="00EC20A0">
              <w:t>Statement</w:t>
            </w:r>
            <w:r w:rsidRPr="00EC20A0">
              <w:rPr>
                <w:spacing w:val="-5"/>
              </w:rPr>
              <w:t xml:space="preserve"> </w:t>
            </w:r>
            <w:r w:rsidRPr="00EC20A0">
              <w:t>of</w:t>
            </w:r>
            <w:r w:rsidRPr="00EC20A0">
              <w:rPr>
                <w:spacing w:val="-5"/>
              </w:rPr>
              <w:t xml:space="preserve"> </w:t>
            </w:r>
            <w:r w:rsidRPr="00EC20A0">
              <w:t>Social</w:t>
            </w:r>
            <w:r w:rsidRPr="00EC20A0">
              <w:rPr>
                <w:spacing w:val="-5"/>
              </w:rPr>
              <w:t xml:space="preserve"> </w:t>
            </w:r>
            <w:r w:rsidRPr="00EC20A0">
              <w:t>Insurance</w:t>
            </w:r>
            <w:r w:rsidRPr="00EC20A0">
              <w:rPr>
                <w:spacing w:val="-5"/>
              </w:rPr>
              <w:t xml:space="preserve"> </w:t>
            </w:r>
            <w:r w:rsidRPr="00EC20A0">
              <w:t xml:space="preserve">and Statement of Changes in Social Insurance Amounts. Deleted </w:t>
            </w:r>
            <w:r w:rsidRPr="00EC20A0">
              <w:t>list of matters the auditor is required to understand related to accounting estimates and referred the user to FAM 220 for those matters.</w:t>
            </w:r>
          </w:p>
        </w:tc>
        <w:tc>
          <w:tcPr>
            <w:tcW w:w="2520" w:type="dxa"/>
            <w:tcBorders>
              <w:top w:val="single" w:sz="4" w:space="0" w:color="000000"/>
              <w:bottom w:val="single" w:sz="4" w:space="0" w:color="000000"/>
            </w:tcBorders>
          </w:tcPr>
          <w:p w14:paraId="24D5FD5C" w14:textId="77777777" w:rsidR="00245300" w:rsidRPr="00EC20A0" w:rsidRDefault="00F17249">
            <w:pPr>
              <w:pStyle w:val="TableParagraph"/>
              <w:spacing w:before="19"/>
              <w:ind w:left="150"/>
            </w:pPr>
            <w:r w:rsidRPr="00EC20A0">
              <w:t>941.01–.04,</w:t>
            </w:r>
            <w:r w:rsidRPr="00EC20A0">
              <w:rPr>
                <w:spacing w:val="-9"/>
              </w:rPr>
              <w:t xml:space="preserve"> </w:t>
            </w:r>
            <w:r w:rsidRPr="00EC20A0">
              <w:t>.06,</w:t>
            </w:r>
            <w:r w:rsidRPr="00EC20A0">
              <w:rPr>
                <w:spacing w:val="-8"/>
              </w:rPr>
              <w:t xml:space="preserve"> </w:t>
            </w:r>
            <w:r w:rsidRPr="00EC20A0">
              <w:rPr>
                <w:spacing w:val="-4"/>
              </w:rPr>
              <w:t>.08,</w:t>
            </w:r>
          </w:p>
          <w:p w14:paraId="24D5FD5D" w14:textId="77777777" w:rsidR="00245300" w:rsidRPr="00EC20A0" w:rsidRDefault="00F17249">
            <w:pPr>
              <w:pStyle w:val="TableParagraph"/>
              <w:ind w:left="150"/>
            </w:pPr>
            <w:r w:rsidRPr="00EC20A0">
              <w:t>.09,</w:t>
            </w:r>
            <w:r w:rsidRPr="00EC20A0">
              <w:rPr>
                <w:spacing w:val="-4"/>
              </w:rPr>
              <w:t xml:space="preserve"> </w:t>
            </w:r>
            <w:r w:rsidRPr="00EC20A0">
              <w:rPr>
                <w:spacing w:val="-5"/>
              </w:rPr>
              <w:t>.13</w:t>
            </w:r>
          </w:p>
        </w:tc>
      </w:tr>
      <w:tr w:rsidR="00245300" w:rsidRPr="00EC20A0" w14:paraId="24D5FD61" w14:textId="77777777">
        <w:trPr>
          <w:trHeight w:val="816"/>
        </w:trPr>
        <w:tc>
          <w:tcPr>
            <w:tcW w:w="6900" w:type="dxa"/>
            <w:tcBorders>
              <w:top w:val="single" w:sz="4" w:space="0" w:color="000000"/>
              <w:bottom w:val="single" w:sz="4" w:space="0" w:color="000000"/>
            </w:tcBorders>
          </w:tcPr>
          <w:p w14:paraId="24D5FD5F" w14:textId="77777777" w:rsidR="00245300" w:rsidRPr="00EC20A0" w:rsidRDefault="00F17249">
            <w:pPr>
              <w:pStyle w:val="TableParagraph"/>
              <w:spacing w:before="28"/>
              <w:ind w:left="44" w:right="64"/>
            </w:pPr>
            <w:r w:rsidRPr="00EC20A0">
              <w:t>Clarified guidance for obtaining management representations. Revised</w:t>
            </w:r>
            <w:r w:rsidRPr="00EC20A0">
              <w:rPr>
                <w:spacing w:val="-7"/>
              </w:rPr>
              <w:t xml:space="preserve"> </w:t>
            </w:r>
            <w:r w:rsidRPr="00EC20A0">
              <w:t>requirement</w:t>
            </w:r>
            <w:r w:rsidRPr="00EC20A0">
              <w:rPr>
                <w:spacing w:val="-7"/>
              </w:rPr>
              <w:t xml:space="preserve"> </w:t>
            </w:r>
            <w:r w:rsidRPr="00EC20A0">
              <w:t>related</w:t>
            </w:r>
            <w:r w:rsidRPr="00EC20A0">
              <w:rPr>
                <w:spacing w:val="-7"/>
              </w:rPr>
              <w:t xml:space="preserve"> </w:t>
            </w:r>
            <w:r w:rsidRPr="00EC20A0">
              <w:t>to</w:t>
            </w:r>
            <w:r w:rsidRPr="00EC20A0">
              <w:rPr>
                <w:spacing w:val="-7"/>
              </w:rPr>
              <w:t xml:space="preserve"> </w:t>
            </w:r>
            <w:r w:rsidRPr="00EC20A0">
              <w:t>management’s</w:t>
            </w:r>
            <w:r w:rsidRPr="00EC20A0">
              <w:rPr>
                <w:spacing w:val="-7"/>
              </w:rPr>
              <w:t xml:space="preserve"> </w:t>
            </w:r>
            <w:r w:rsidRPr="00EC20A0">
              <w:t>representation</w:t>
            </w:r>
            <w:r w:rsidRPr="00EC20A0">
              <w:rPr>
                <w:spacing w:val="-7"/>
              </w:rPr>
              <w:t xml:space="preserve"> </w:t>
            </w:r>
            <w:r w:rsidRPr="00EC20A0">
              <w:t>for accounting estimates.</w:t>
            </w:r>
          </w:p>
        </w:tc>
        <w:tc>
          <w:tcPr>
            <w:tcW w:w="2520" w:type="dxa"/>
            <w:tcBorders>
              <w:top w:val="single" w:sz="4" w:space="0" w:color="000000"/>
              <w:bottom w:val="single" w:sz="4" w:space="0" w:color="000000"/>
            </w:tcBorders>
          </w:tcPr>
          <w:p w14:paraId="24D5FD60" w14:textId="77777777" w:rsidR="00245300" w:rsidRPr="00EC20A0" w:rsidRDefault="00F17249">
            <w:pPr>
              <w:pStyle w:val="TableParagraph"/>
              <w:spacing w:before="28"/>
              <w:ind w:left="150"/>
            </w:pPr>
            <w:r w:rsidRPr="00EC20A0">
              <w:t>1001.03,</w:t>
            </w:r>
            <w:r w:rsidRPr="00EC20A0">
              <w:rPr>
                <w:spacing w:val="-6"/>
              </w:rPr>
              <w:t xml:space="preserve"> </w:t>
            </w:r>
            <w:r w:rsidRPr="00EC20A0">
              <w:t>.05,</w:t>
            </w:r>
            <w:r w:rsidRPr="00EC20A0">
              <w:rPr>
                <w:spacing w:val="-6"/>
              </w:rPr>
              <w:t xml:space="preserve"> </w:t>
            </w:r>
            <w:r w:rsidRPr="00EC20A0">
              <w:t>.16,</w:t>
            </w:r>
            <w:r w:rsidRPr="00EC20A0">
              <w:rPr>
                <w:spacing w:val="-5"/>
              </w:rPr>
              <w:t xml:space="preserve"> .18</w:t>
            </w:r>
          </w:p>
        </w:tc>
      </w:tr>
      <w:tr w:rsidR="00245300" w:rsidRPr="00EC20A0" w14:paraId="24D5FD65" w14:textId="77777777">
        <w:trPr>
          <w:trHeight w:val="563"/>
        </w:trPr>
        <w:tc>
          <w:tcPr>
            <w:tcW w:w="6900" w:type="dxa"/>
            <w:tcBorders>
              <w:top w:val="single" w:sz="4" w:space="0" w:color="000000"/>
              <w:bottom w:val="single" w:sz="4" w:space="0" w:color="000000"/>
            </w:tcBorders>
          </w:tcPr>
          <w:p w14:paraId="24D5FD62" w14:textId="77777777" w:rsidR="00245300" w:rsidRPr="00EC20A0" w:rsidRDefault="00F17249">
            <w:pPr>
              <w:pStyle w:val="TableParagraph"/>
              <w:spacing w:before="28"/>
              <w:ind w:left="44"/>
            </w:pPr>
            <w:r w:rsidRPr="00EC20A0">
              <w:t>Revised</w:t>
            </w:r>
            <w:r w:rsidRPr="00EC20A0">
              <w:rPr>
                <w:spacing w:val="-6"/>
              </w:rPr>
              <w:t xml:space="preserve"> </w:t>
            </w:r>
            <w:r w:rsidRPr="00EC20A0">
              <w:t>language</w:t>
            </w:r>
            <w:r w:rsidRPr="00EC20A0">
              <w:rPr>
                <w:spacing w:val="-6"/>
              </w:rPr>
              <w:t xml:space="preserve"> </w:t>
            </w:r>
            <w:r w:rsidRPr="00EC20A0">
              <w:t>for</w:t>
            </w:r>
            <w:r w:rsidRPr="00EC20A0">
              <w:rPr>
                <w:spacing w:val="-6"/>
              </w:rPr>
              <w:t xml:space="preserve"> </w:t>
            </w:r>
            <w:r w:rsidRPr="00EC20A0">
              <w:t>certain</w:t>
            </w:r>
            <w:r w:rsidRPr="00EC20A0">
              <w:rPr>
                <w:spacing w:val="-6"/>
              </w:rPr>
              <w:t xml:space="preserve"> </w:t>
            </w:r>
            <w:r w:rsidRPr="00EC20A0">
              <w:t>representations</w:t>
            </w:r>
            <w:r w:rsidRPr="00EC20A0">
              <w:rPr>
                <w:spacing w:val="-6"/>
              </w:rPr>
              <w:t xml:space="preserve"> </w:t>
            </w:r>
            <w:r w:rsidRPr="00EC20A0">
              <w:t>in</w:t>
            </w:r>
            <w:r w:rsidRPr="00EC20A0">
              <w:rPr>
                <w:spacing w:val="-7"/>
              </w:rPr>
              <w:t xml:space="preserve"> </w:t>
            </w:r>
            <w:r w:rsidRPr="00EC20A0">
              <w:t>the</w:t>
            </w:r>
            <w:r w:rsidRPr="00EC20A0">
              <w:rPr>
                <w:spacing w:val="-6"/>
              </w:rPr>
              <w:t xml:space="preserve"> </w:t>
            </w:r>
            <w:r w:rsidRPr="00EC20A0">
              <w:t>management representation letter example.</w:t>
            </w:r>
          </w:p>
        </w:tc>
        <w:tc>
          <w:tcPr>
            <w:tcW w:w="2520" w:type="dxa"/>
            <w:tcBorders>
              <w:top w:val="single" w:sz="4" w:space="0" w:color="000000"/>
              <w:bottom w:val="single" w:sz="4" w:space="0" w:color="000000"/>
            </w:tcBorders>
          </w:tcPr>
          <w:p w14:paraId="24D5FD63" w14:textId="77777777" w:rsidR="00245300" w:rsidRPr="00EC20A0" w:rsidRDefault="00F17249">
            <w:pPr>
              <w:pStyle w:val="TableParagraph"/>
              <w:spacing w:before="28"/>
              <w:ind w:left="150"/>
            </w:pPr>
            <w:r w:rsidRPr="00EC20A0">
              <w:t>1001</w:t>
            </w:r>
            <w:r w:rsidRPr="00EC20A0">
              <w:rPr>
                <w:spacing w:val="-5"/>
              </w:rPr>
              <w:t xml:space="preserve"> </w:t>
            </w:r>
            <w:r w:rsidRPr="00EC20A0">
              <w:rPr>
                <w:spacing w:val="-10"/>
              </w:rPr>
              <w:t>A</w:t>
            </w:r>
          </w:p>
          <w:p w14:paraId="24D5FD64" w14:textId="77777777" w:rsidR="00245300" w:rsidRPr="00EC20A0" w:rsidRDefault="00F17249">
            <w:pPr>
              <w:pStyle w:val="TableParagraph"/>
              <w:spacing w:before="1"/>
              <w:ind w:left="150"/>
            </w:pPr>
            <w:r w:rsidRPr="00EC20A0">
              <w:t>(items</w:t>
            </w:r>
            <w:r w:rsidRPr="00EC20A0">
              <w:rPr>
                <w:spacing w:val="-4"/>
              </w:rPr>
              <w:t xml:space="preserve"> </w:t>
            </w:r>
            <w:r w:rsidRPr="00EC20A0">
              <w:t>4,</w:t>
            </w:r>
            <w:r w:rsidRPr="00EC20A0">
              <w:rPr>
                <w:spacing w:val="-4"/>
              </w:rPr>
              <w:t xml:space="preserve"> </w:t>
            </w:r>
            <w:r w:rsidRPr="00EC20A0">
              <w:t>21,</w:t>
            </w:r>
            <w:r w:rsidRPr="00EC20A0">
              <w:rPr>
                <w:spacing w:val="-4"/>
              </w:rPr>
              <w:t xml:space="preserve"> </w:t>
            </w:r>
            <w:r w:rsidRPr="00EC20A0">
              <w:rPr>
                <w:spacing w:val="-5"/>
              </w:rPr>
              <w:t>43)</w:t>
            </w:r>
          </w:p>
        </w:tc>
      </w:tr>
      <w:tr w:rsidR="00245300" w:rsidRPr="00EC20A0" w14:paraId="24D5FD6E" w14:textId="77777777">
        <w:trPr>
          <w:trHeight w:val="2901"/>
        </w:trPr>
        <w:tc>
          <w:tcPr>
            <w:tcW w:w="6900" w:type="dxa"/>
            <w:tcBorders>
              <w:top w:val="single" w:sz="4" w:space="0" w:color="000000"/>
            </w:tcBorders>
          </w:tcPr>
          <w:p w14:paraId="24D5FD66" w14:textId="77777777" w:rsidR="00245300" w:rsidRPr="00EC20A0" w:rsidRDefault="00F17249">
            <w:pPr>
              <w:pStyle w:val="TableParagraph"/>
              <w:spacing w:before="30" w:line="253" w:lineRule="exact"/>
              <w:ind w:left="44"/>
            </w:pPr>
            <w:r w:rsidRPr="00EC20A0">
              <w:t>Revised</w:t>
            </w:r>
            <w:r w:rsidRPr="00EC20A0">
              <w:rPr>
                <w:spacing w:val="-9"/>
              </w:rPr>
              <w:t xml:space="preserve"> </w:t>
            </w:r>
            <w:r w:rsidRPr="00EC20A0">
              <w:t>financial</w:t>
            </w:r>
            <w:r w:rsidRPr="00EC20A0">
              <w:rPr>
                <w:spacing w:val="-9"/>
              </w:rPr>
              <w:t xml:space="preserve"> </w:t>
            </w:r>
            <w:r w:rsidRPr="00EC20A0">
              <w:t>statement</w:t>
            </w:r>
            <w:r w:rsidRPr="00EC20A0">
              <w:rPr>
                <w:spacing w:val="-8"/>
              </w:rPr>
              <w:t xml:space="preserve"> </w:t>
            </w:r>
            <w:r w:rsidRPr="00EC20A0">
              <w:t>audit</w:t>
            </w:r>
            <w:r w:rsidRPr="00EC20A0">
              <w:rPr>
                <w:spacing w:val="-9"/>
              </w:rPr>
              <w:t xml:space="preserve"> </w:t>
            </w:r>
            <w:r w:rsidRPr="00EC20A0">
              <w:t>completion</w:t>
            </w:r>
            <w:r w:rsidRPr="00EC20A0">
              <w:rPr>
                <w:spacing w:val="-8"/>
              </w:rPr>
              <w:t xml:space="preserve"> </w:t>
            </w:r>
            <w:r w:rsidRPr="00EC20A0">
              <w:t>checklist</w:t>
            </w:r>
            <w:r w:rsidRPr="00EC20A0">
              <w:rPr>
                <w:spacing w:val="-9"/>
              </w:rPr>
              <w:t xml:space="preserve"> </w:t>
            </w:r>
            <w:r w:rsidRPr="00EC20A0">
              <w:t>as</w:t>
            </w:r>
            <w:r w:rsidRPr="00EC20A0">
              <w:rPr>
                <w:spacing w:val="-8"/>
              </w:rPr>
              <w:t xml:space="preserve"> </w:t>
            </w:r>
            <w:r w:rsidRPr="00EC20A0">
              <w:rPr>
                <w:spacing w:val="-2"/>
              </w:rPr>
              <w:t>follows:</w:t>
            </w:r>
          </w:p>
          <w:p w14:paraId="24D5FD67" w14:textId="77777777" w:rsidR="00245300" w:rsidRPr="00EC20A0" w:rsidRDefault="00F17249">
            <w:pPr>
              <w:pStyle w:val="TableParagraph"/>
              <w:numPr>
                <w:ilvl w:val="0"/>
                <w:numId w:val="220"/>
              </w:numPr>
              <w:tabs>
                <w:tab w:val="left" w:pos="302"/>
              </w:tabs>
              <w:spacing w:line="268" w:lineRule="exact"/>
              <w:ind w:left="302" w:hanging="268"/>
            </w:pPr>
            <w:r w:rsidRPr="00EC20A0">
              <w:t>Replaced</w:t>
            </w:r>
            <w:r w:rsidRPr="00EC20A0">
              <w:rPr>
                <w:spacing w:val="-8"/>
              </w:rPr>
              <w:t xml:space="preserve"> </w:t>
            </w:r>
            <w:r w:rsidRPr="00EC20A0">
              <w:t>“chief</w:t>
            </w:r>
            <w:r w:rsidRPr="00EC20A0">
              <w:rPr>
                <w:spacing w:val="-7"/>
              </w:rPr>
              <w:t xml:space="preserve"> </w:t>
            </w:r>
            <w:r w:rsidRPr="00EC20A0">
              <w:t>accountant”</w:t>
            </w:r>
            <w:r w:rsidRPr="00EC20A0">
              <w:rPr>
                <w:spacing w:val="-8"/>
              </w:rPr>
              <w:t xml:space="preserve"> </w:t>
            </w:r>
            <w:r w:rsidRPr="00EC20A0">
              <w:t>with</w:t>
            </w:r>
            <w:r w:rsidRPr="00EC20A0">
              <w:rPr>
                <w:spacing w:val="-7"/>
              </w:rPr>
              <w:t xml:space="preserve"> </w:t>
            </w:r>
            <w:r w:rsidRPr="00EC20A0">
              <w:t>“reviewer”</w:t>
            </w:r>
            <w:r w:rsidRPr="00EC20A0">
              <w:rPr>
                <w:spacing w:val="-7"/>
              </w:rPr>
              <w:t xml:space="preserve"> </w:t>
            </w:r>
            <w:r w:rsidRPr="00EC20A0">
              <w:t>in</w:t>
            </w:r>
            <w:r w:rsidRPr="00EC20A0">
              <w:rPr>
                <w:spacing w:val="-8"/>
              </w:rPr>
              <w:t xml:space="preserve"> </w:t>
            </w:r>
            <w:r w:rsidRPr="00EC20A0">
              <w:t>the</w:t>
            </w:r>
            <w:r w:rsidRPr="00EC20A0">
              <w:rPr>
                <w:spacing w:val="-7"/>
              </w:rPr>
              <w:t xml:space="preserve"> </w:t>
            </w:r>
            <w:r w:rsidRPr="00EC20A0">
              <w:rPr>
                <w:spacing w:val="-2"/>
              </w:rPr>
              <w:t>instructions.</w:t>
            </w:r>
          </w:p>
          <w:p w14:paraId="24D5FD68" w14:textId="77777777" w:rsidR="00245300" w:rsidRPr="00EC20A0" w:rsidRDefault="00F17249">
            <w:pPr>
              <w:pStyle w:val="TableParagraph"/>
              <w:numPr>
                <w:ilvl w:val="0"/>
                <w:numId w:val="220"/>
              </w:numPr>
              <w:tabs>
                <w:tab w:val="left" w:pos="302"/>
              </w:tabs>
              <w:spacing w:line="268" w:lineRule="exact"/>
              <w:ind w:left="302" w:hanging="268"/>
            </w:pPr>
            <w:r w:rsidRPr="00EC20A0">
              <w:t>Added</w:t>
            </w:r>
            <w:r w:rsidRPr="00EC20A0">
              <w:rPr>
                <w:spacing w:val="-6"/>
              </w:rPr>
              <w:t xml:space="preserve"> </w:t>
            </w:r>
            <w:r w:rsidRPr="00EC20A0">
              <w:t>steps</w:t>
            </w:r>
            <w:r w:rsidRPr="00EC20A0">
              <w:rPr>
                <w:spacing w:val="-6"/>
              </w:rPr>
              <w:t xml:space="preserve"> </w:t>
            </w:r>
            <w:r w:rsidRPr="00EC20A0">
              <w:t>I.6.d</w:t>
            </w:r>
            <w:r w:rsidRPr="00EC20A0">
              <w:rPr>
                <w:spacing w:val="-5"/>
              </w:rPr>
              <w:t xml:space="preserve"> </w:t>
            </w:r>
            <w:r w:rsidRPr="00EC20A0">
              <w:t>and</w:t>
            </w:r>
            <w:r w:rsidRPr="00EC20A0">
              <w:rPr>
                <w:spacing w:val="-5"/>
              </w:rPr>
              <w:t xml:space="preserve"> </w:t>
            </w:r>
            <w:r w:rsidRPr="00EC20A0">
              <w:rPr>
                <w:spacing w:val="-2"/>
              </w:rPr>
              <w:t>I.6.l.</w:t>
            </w:r>
          </w:p>
          <w:p w14:paraId="24D5FD69" w14:textId="77777777" w:rsidR="00245300" w:rsidRPr="00EC20A0" w:rsidRDefault="00F17249">
            <w:pPr>
              <w:pStyle w:val="TableParagraph"/>
              <w:numPr>
                <w:ilvl w:val="0"/>
                <w:numId w:val="220"/>
              </w:numPr>
              <w:tabs>
                <w:tab w:val="left" w:pos="303"/>
              </w:tabs>
              <w:ind w:right="147"/>
            </w:pPr>
            <w:r w:rsidRPr="00EC20A0">
              <w:t>Revised</w:t>
            </w:r>
            <w:r w:rsidRPr="00EC20A0">
              <w:rPr>
                <w:spacing w:val="-4"/>
              </w:rPr>
              <w:t xml:space="preserve"> </w:t>
            </w:r>
            <w:r w:rsidRPr="00EC20A0">
              <w:t>steps</w:t>
            </w:r>
            <w:r w:rsidRPr="00EC20A0">
              <w:rPr>
                <w:spacing w:val="-4"/>
              </w:rPr>
              <w:t xml:space="preserve"> </w:t>
            </w:r>
            <w:r w:rsidRPr="00EC20A0">
              <w:t>I.6.h,</w:t>
            </w:r>
            <w:r w:rsidRPr="00EC20A0">
              <w:rPr>
                <w:spacing w:val="-4"/>
              </w:rPr>
              <w:t xml:space="preserve"> </w:t>
            </w:r>
            <w:r w:rsidRPr="00EC20A0">
              <w:t>I.6.k,</w:t>
            </w:r>
            <w:r w:rsidRPr="00EC20A0">
              <w:rPr>
                <w:spacing w:val="-4"/>
              </w:rPr>
              <w:t xml:space="preserve"> </w:t>
            </w:r>
            <w:r w:rsidRPr="00EC20A0">
              <w:t>I.6.m,</w:t>
            </w:r>
            <w:r w:rsidRPr="00EC20A0">
              <w:rPr>
                <w:spacing w:val="-4"/>
              </w:rPr>
              <w:t xml:space="preserve"> </w:t>
            </w:r>
            <w:r w:rsidRPr="00EC20A0">
              <w:t>I.10.d,</w:t>
            </w:r>
            <w:r w:rsidRPr="00EC20A0">
              <w:rPr>
                <w:spacing w:val="-4"/>
              </w:rPr>
              <w:t xml:space="preserve"> </w:t>
            </w:r>
            <w:r w:rsidRPr="00EC20A0">
              <w:t>II.1,</w:t>
            </w:r>
            <w:r w:rsidRPr="00EC20A0">
              <w:rPr>
                <w:spacing w:val="-4"/>
              </w:rPr>
              <w:t xml:space="preserve"> </w:t>
            </w:r>
            <w:r w:rsidRPr="00EC20A0">
              <w:t>II.6.b,</w:t>
            </w:r>
            <w:r w:rsidRPr="00EC20A0">
              <w:rPr>
                <w:spacing w:val="-4"/>
              </w:rPr>
              <w:t xml:space="preserve"> </w:t>
            </w:r>
            <w:r w:rsidRPr="00EC20A0">
              <w:t>II.12,</w:t>
            </w:r>
            <w:r w:rsidRPr="00EC20A0">
              <w:rPr>
                <w:spacing w:val="-4"/>
              </w:rPr>
              <w:t xml:space="preserve"> </w:t>
            </w:r>
            <w:r w:rsidRPr="00EC20A0">
              <w:t>II.14,</w:t>
            </w:r>
            <w:r w:rsidRPr="00EC20A0">
              <w:rPr>
                <w:spacing w:val="-5"/>
              </w:rPr>
              <w:t xml:space="preserve"> </w:t>
            </w:r>
            <w:r w:rsidRPr="00EC20A0">
              <w:t xml:space="preserve">II.20, II.21c, II.21e, II.23y, II.24m, II.24r, </w:t>
            </w:r>
            <w:r w:rsidRPr="00EC20A0">
              <w:t>III.3e, III.4, III.4i, III.4l, V.2b, V.2c, V.2j, V.3p, V.9, and V.12b.</w:t>
            </w:r>
          </w:p>
          <w:p w14:paraId="24D5FD6A" w14:textId="77777777" w:rsidR="00245300" w:rsidRPr="00EC20A0" w:rsidRDefault="00F17249">
            <w:pPr>
              <w:pStyle w:val="TableParagraph"/>
              <w:numPr>
                <w:ilvl w:val="0"/>
                <w:numId w:val="220"/>
              </w:numPr>
              <w:tabs>
                <w:tab w:val="left" w:pos="302"/>
              </w:tabs>
              <w:spacing w:line="267" w:lineRule="exact"/>
              <w:ind w:left="302" w:hanging="268"/>
            </w:pPr>
            <w:r w:rsidRPr="00EC20A0">
              <w:t>Revised</w:t>
            </w:r>
            <w:r w:rsidRPr="00EC20A0">
              <w:rPr>
                <w:spacing w:val="-7"/>
              </w:rPr>
              <w:t xml:space="preserve"> </w:t>
            </w:r>
            <w:r w:rsidRPr="00EC20A0">
              <w:t>lead-in</w:t>
            </w:r>
            <w:r w:rsidRPr="00EC20A0">
              <w:rPr>
                <w:spacing w:val="-7"/>
              </w:rPr>
              <w:t xml:space="preserve"> </w:t>
            </w:r>
            <w:r w:rsidRPr="00EC20A0">
              <w:t>question</w:t>
            </w:r>
            <w:r w:rsidRPr="00EC20A0">
              <w:rPr>
                <w:spacing w:val="-7"/>
              </w:rPr>
              <w:t xml:space="preserve"> </w:t>
            </w:r>
            <w:r w:rsidRPr="00EC20A0">
              <w:t>for</w:t>
            </w:r>
            <w:r w:rsidRPr="00EC20A0">
              <w:rPr>
                <w:spacing w:val="-7"/>
              </w:rPr>
              <w:t xml:space="preserve"> </w:t>
            </w:r>
            <w:r w:rsidRPr="00EC20A0">
              <w:t>steps</w:t>
            </w:r>
            <w:r w:rsidRPr="00EC20A0">
              <w:rPr>
                <w:spacing w:val="-6"/>
              </w:rPr>
              <w:t xml:space="preserve"> </w:t>
            </w:r>
            <w:r w:rsidRPr="00EC20A0">
              <w:t>II.11</w:t>
            </w:r>
            <w:r w:rsidRPr="00EC20A0">
              <w:rPr>
                <w:spacing w:val="-7"/>
              </w:rPr>
              <w:t xml:space="preserve"> </w:t>
            </w:r>
            <w:r w:rsidRPr="00EC20A0">
              <w:t>through</w:t>
            </w:r>
            <w:r w:rsidRPr="00EC20A0">
              <w:rPr>
                <w:spacing w:val="-8"/>
              </w:rPr>
              <w:t xml:space="preserve"> </w:t>
            </w:r>
            <w:r w:rsidRPr="00EC20A0">
              <w:rPr>
                <w:spacing w:val="-2"/>
              </w:rPr>
              <w:t>II.19.</w:t>
            </w:r>
          </w:p>
          <w:p w14:paraId="24D5FD6B" w14:textId="77777777" w:rsidR="00245300" w:rsidRPr="00EC20A0" w:rsidRDefault="00F17249">
            <w:pPr>
              <w:pStyle w:val="TableParagraph"/>
              <w:numPr>
                <w:ilvl w:val="0"/>
                <w:numId w:val="220"/>
              </w:numPr>
              <w:tabs>
                <w:tab w:val="left" w:pos="302"/>
              </w:tabs>
              <w:spacing w:line="268" w:lineRule="exact"/>
              <w:ind w:left="302" w:hanging="268"/>
            </w:pPr>
            <w:r w:rsidRPr="00EC20A0">
              <w:t>Revised</w:t>
            </w:r>
            <w:r w:rsidRPr="00EC20A0">
              <w:rPr>
                <w:spacing w:val="-6"/>
              </w:rPr>
              <w:t xml:space="preserve"> </w:t>
            </w:r>
            <w:r w:rsidRPr="00EC20A0">
              <w:t>title</w:t>
            </w:r>
            <w:r w:rsidRPr="00EC20A0">
              <w:rPr>
                <w:spacing w:val="-6"/>
              </w:rPr>
              <w:t xml:space="preserve"> </w:t>
            </w:r>
            <w:r w:rsidRPr="00EC20A0">
              <w:t>of</w:t>
            </w:r>
            <w:r w:rsidRPr="00EC20A0">
              <w:rPr>
                <w:spacing w:val="-5"/>
              </w:rPr>
              <w:t xml:space="preserve"> </w:t>
            </w:r>
            <w:r w:rsidRPr="00EC20A0">
              <w:t>section</w:t>
            </w:r>
            <w:r w:rsidRPr="00EC20A0">
              <w:rPr>
                <w:spacing w:val="-7"/>
              </w:rPr>
              <w:t xml:space="preserve"> </w:t>
            </w:r>
            <w:r w:rsidRPr="00EC20A0">
              <w:rPr>
                <w:spacing w:val="-4"/>
              </w:rPr>
              <w:t>III.</w:t>
            </w:r>
          </w:p>
          <w:p w14:paraId="24D5FD6C" w14:textId="77777777" w:rsidR="00245300" w:rsidRPr="00EC20A0" w:rsidRDefault="00F17249">
            <w:pPr>
              <w:pStyle w:val="TableParagraph"/>
              <w:numPr>
                <w:ilvl w:val="0"/>
                <w:numId w:val="220"/>
              </w:numPr>
              <w:tabs>
                <w:tab w:val="left" w:pos="303"/>
              </w:tabs>
              <w:spacing w:line="254" w:lineRule="exact"/>
              <w:ind w:right="774"/>
              <w:jc w:val="both"/>
            </w:pPr>
            <w:r w:rsidRPr="00EC20A0">
              <w:t>Deleted</w:t>
            </w:r>
            <w:r w:rsidRPr="00EC20A0">
              <w:rPr>
                <w:spacing w:val="-6"/>
              </w:rPr>
              <w:t xml:space="preserve"> </w:t>
            </w:r>
            <w:r w:rsidRPr="00EC20A0">
              <w:t>steps</w:t>
            </w:r>
            <w:r w:rsidRPr="00EC20A0">
              <w:rPr>
                <w:spacing w:val="-6"/>
              </w:rPr>
              <w:t xml:space="preserve"> </w:t>
            </w:r>
            <w:r w:rsidRPr="00EC20A0">
              <w:t>on</w:t>
            </w:r>
            <w:r w:rsidRPr="00EC20A0">
              <w:rPr>
                <w:spacing w:val="-6"/>
              </w:rPr>
              <w:t xml:space="preserve"> </w:t>
            </w:r>
            <w:r w:rsidRPr="00EC20A0">
              <w:t>“investments</w:t>
            </w:r>
            <w:r w:rsidRPr="00EC20A0">
              <w:rPr>
                <w:spacing w:val="-6"/>
              </w:rPr>
              <w:t xml:space="preserve"> </w:t>
            </w:r>
            <w:r w:rsidRPr="00EC20A0">
              <w:t>in</w:t>
            </w:r>
            <w:r w:rsidRPr="00EC20A0">
              <w:rPr>
                <w:spacing w:val="-6"/>
              </w:rPr>
              <w:t xml:space="preserve"> </w:t>
            </w:r>
            <w:r w:rsidRPr="00EC20A0">
              <w:t>derivative</w:t>
            </w:r>
            <w:r w:rsidRPr="00EC20A0">
              <w:rPr>
                <w:spacing w:val="-7"/>
              </w:rPr>
              <w:t xml:space="preserve"> </w:t>
            </w:r>
            <w:r w:rsidRPr="00EC20A0">
              <w:t>instruments</w:t>
            </w:r>
            <w:r w:rsidRPr="00EC20A0">
              <w:rPr>
                <w:spacing w:val="-6"/>
              </w:rPr>
              <w:t xml:space="preserve"> </w:t>
            </w:r>
            <w:r w:rsidRPr="00EC20A0">
              <w:t>and securities measured or disclosed at fair value,” “impairment losses,” and “unrealized appreciation or depreciation.”</w:t>
            </w:r>
          </w:p>
        </w:tc>
        <w:tc>
          <w:tcPr>
            <w:tcW w:w="2520" w:type="dxa"/>
            <w:tcBorders>
              <w:top w:val="single" w:sz="4" w:space="0" w:color="000000"/>
            </w:tcBorders>
          </w:tcPr>
          <w:p w14:paraId="24D5FD6D" w14:textId="77777777" w:rsidR="00245300" w:rsidRPr="00EC20A0" w:rsidRDefault="00F17249">
            <w:pPr>
              <w:pStyle w:val="TableParagraph"/>
              <w:spacing w:before="30"/>
              <w:ind w:left="150"/>
            </w:pPr>
            <w:r w:rsidRPr="00EC20A0">
              <w:rPr>
                <w:spacing w:val="-4"/>
              </w:rPr>
              <w:t>1003</w:t>
            </w:r>
          </w:p>
        </w:tc>
      </w:tr>
    </w:tbl>
    <w:p w14:paraId="24D5FD6F" w14:textId="77777777" w:rsidR="00245300" w:rsidRPr="00EC20A0" w:rsidRDefault="00245300">
      <w:pPr>
        <w:sectPr w:rsidR="00245300" w:rsidRPr="00EC20A0">
          <w:type w:val="continuous"/>
          <w:pgSz w:w="12240" w:h="15840"/>
          <w:pgMar w:top="1080" w:right="940" w:bottom="900" w:left="1020" w:header="781" w:footer="706" w:gutter="0"/>
          <w:cols w:space="720"/>
        </w:sectPr>
      </w:pPr>
    </w:p>
    <w:p w14:paraId="24D5FD70" w14:textId="77777777" w:rsidR="00245300" w:rsidRPr="00EC20A0" w:rsidRDefault="00F17249">
      <w:pPr>
        <w:pStyle w:val="BodyText"/>
        <w:spacing w:line="20" w:lineRule="exact"/>
        <w:ind w:left="420"/>
        <w:rPr>
          <w:sz w:val="2"/>
        </w:rPr>
      </w:pPr>
      <w:r w:rsidRPr="00EC20A0">
        <w:rPr>
          <w:noProof/>
          <w:sz w:val="2"/>
        </w:rPr>
        <w:lastRenderedPageBreak/>
        <mc:AlternateContent>
          <mc:Choice Requires="wpg">
            <w:drawing>
              <wp:inline distT="0" distB="0" distL="0" distR="0" wp14:anchorId="24D62AC1" wp14:editId="24D62AC2">
                <wp:extent cx="5813425" cy="9525"/>
                <wp:effectExtent l="9525"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3425" cy="9525"/>
                          <a:chOff x="0" y="0"/>
                          <a:chExt cx="5813425" cy="9525"/>
                        </a:xfrm>
                      </wpg:grpSpPr>
                      <wps:wsp>
                        <wps:cNvPr id="38" name="Graphic 38"/>
                        <wps:cNvSpPr/>
                        <wps:spPr>
                          <a:xfrm>
                            <a:off x="0" y="4762"/>
                            <a:ext cx="5813425" cy="1270"/>
                          </a:xfrm>
                          <a:custGeom>
                            <a:avLst/>
                            <a:gdLst/>
                            <a:ahLst/>
                            <a:cxnLst/>
                            <a:rect l="l" t="t" r="r" b="b"/>
                            <a:pathLst>
                              <a:path w="5813425">
                                <a:moveTo>
                                  <a:pt x="0" y="0"/>
                                </a:moveTo>
                                <a:lnTo>
                                  <a:pt x="58134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77770A" id="Group 37" o:spid="_x0000_s1026" style="width:457.75pt;height:.75pt;mso-position-horizontal-relative:char;mso-position-vertical-relative:line" coordsize="581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">
                <v:shape id="Graphic 38" o:spid="_x0000_s1027" style="position:absolute;top:47;width:58134;height:13;visibility:visible;mso-wrap-style:square;v-text-anchor:top" coordsize="581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" path="m,l5813425,e" filled="f">
                  <v:path arrowok="t"/>
                </v:shape>
                <w10:anchorlock/>
              </v:group>
            </w:pict>
          </mc:Fallback>
        </mc:AlternateContent>
      </w:r>
    </w:p>
    <w:p w14:paraId="24D5FD71" w14:textId="77777777" w:rsidR="00245300" w:rsidRPr="00EC20A0" w:rsidRDefault="00245300">
      <w:pPr>
        <w:pStyle w:val="BodyText"/>
        <w:spacing w:before="234"/>
        <w:rPr>
          <w:sz w:val="60"/>
        </w:rPr>
      </w:pPr>
    </w:p>
    <w:p w14:paraId="24D5FD72" w14:textId="77777777" w:rsidR="00245300" w:rsidRPr="00EC20A0" w:rsidRDefault="00F17249">
      <w:pPr>
        <w:pStyle w:val="Heading1"/>
        <w:ind w:left="6346"/>
      </w:pPr>
      <w:bookmarkStart w:id="1" w:name="Contents"/>
      <w:bookmarkEnd w:id="1"/>
      <w:r w:rsidRPr="00EC20A0">
        <w:rPr>
          <w:spacing w:val="-2"/>
        </w:rPr>
        <w:t>CONTENTS</w:t>
      </w:r>
    </w:p>
    <w:p w14:paraId="24D5FD73" w14:textId="77777777" w:rsidR="00245300" w:rsidRPr="00EC20A0" w:rsidRDefault="00245300">
      <w:pPr>
        <w:pStyle w:val="BodyText"/>
        <w:rPr>
          <w:sz w:val="20"/>
        </w:rPr>
      </w:pPr>
    </w:p>
    <w:p w14:paraId="24D5FD74" w14:textId="77777777" w:rsidR="00245300" w:rsidRPr="00EC20A0" w:rsidRDefault="00F17249">
      <w:pPr>
        <w:pStyle w:val="BodyText"/>
        <w:spacing w:before="67"/>
        <w:rPr>
          <w:sz w:val="20"/>
        </w:rPr>
      </w:pPr>
      <w:r w:rsidRPr="00EC20A0">
        <w:rPr>
          <w:noProof/>
        </w:rPr>
        <mc:AlternateContent>
          <mc:Choice Requires="wps">
            <w:drawing>
              <wp:anchor distT="0" distB="0" distL="0" distR="0" simplePos="0" relativeHeight="487591424" behindDoc="1" locked="0" layoutInCell="1" allowOverlap="1" wp14:anchorId="24D62AC3" wp14:editId="24D62AC4">
                <wp:simplePos x="0" y="0"/>
                <wp:positionH relativeFrom="page">
                  <wp:posOffset>914400</wp:posOffset>
                </wp:positionH>
                <wp:positionV relativeFrom="paragraph">
                  <wp:posOffset>204112</wp:posOffset>
                </wp:positionV>
                <wp:extent cx="5895340" cy="965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340" cy="96520"/>
                        </a:xfrm>
                        <a:custGeom>
                          <a:avLst/>
                          <a:gdLst/>
                          <a:ahLst/>
                          <a:cxnLst/>
                          <a:rect l="l" t="t" r="r" b="b"/>
                          <a:pathLst>
                            <a:path w="5895340" h="96520">
                              <a:moveTo>
                                <a:pt x="5895340" y="0"/>
                              </a:moveTo>
                              <a:lnTo>
                                <a:pt x="0" y="0"/>
                              </a:lnTo>
                              <a:lnTo>
                                <a:pt x="0" y="96520"/>
                              </a:lnTo>
                              <a:lnTo>
                                <a:pt x="5895340" y="96520"/>
                              </a:lnTo>
                              <a:lnTo>
                                <a:pt x="5895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36395" id="Graphic 39" o:spid="_x0000_s1026" style="position:absolute;margin-left:1in;margin-top:16.05pt;width:464.2pt;height:7.6pt;z-index:-15725056;visibility:visible;mso-wrap-style:square;mso-wrap-distance-left:0;mso-wrap-distance-top:0;mso-wrap-distance-right:0;mso-wrap-distance-bottom:0;mso-position-horizontal:absolute;mso-position-horizontal-relative:page;mso-position-vertical:absolute;mso-position-vertical-relative:text;v-text-anchor:top" coordsize="5895340,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" path="m5895340,l,,,96520r5895340,l5895340,xe" fillcolor="black" stroked="f">
                <v:path arrowok="t"/>
                <w10:wrap type="topAndBottom" anchorx="page"/>
              </v:shape>
            </w:pict>
          </mc:Fallback>
        </mc:AlternateContent>
      </w:r>
    </w:p>
    <w:p w14:paraId="24D5FD75" w14:textId="77777777" w:rsidR="00245300" w:rsidRPr="00EC20A0" w:rsidRDefault="00245300">
      <w:pPr>
        <w:pStyle w:val="BodyText"/>
        <w:rPr>
          <w:sz w:val="20"/>
        </w:rPr>
      </w:pPr>
    </w:p>
    <w:p w14:paraId="24D5FD76" w14:textId="77777777" w:rsidR="00245300" w:rsidRPr="00EC20A0" w:rsidRDefault="00245300">
      <w:pPr>
        <w:pStyle w:val="BodyText"/>
        <w:rPr>
          <w:sz w:val="20"/>
        </w:rPr>
      </w:pPr>
    </w:p>
    <w:p w14:paraId="24D5FD77" w14:textId="77777777" w:rsidR="00245300" w:rsidRPr="00EC20A0" w:rsidRDefault="00245300">
      <w:pPr>
        <w:pStyle w:val="BodyText"/>
        <w:rPr>
          <w:sz w:val="20"/>
        </w:rPr>
      </w:pPr>
    </w:p>
    <w:p w14:paraId="24D5FD78" w14:textId="77777777" w:rsidR="00245300" w:rsidRPr="00EC20A0" w:rsidRDefault="00245300">
      <w:pPr>
        <w:pStyle w:val="BodyText"/>
        <w:rPr>
          <w:sz w:val="20"/>
        </w:rPr>
      </w:pPr>
    </w:p>
    <w:p w14:paraId="24D5FD79" w14:textId="77777777" w:rsidR="00245300" w:rsidRPr="00EC20A0" w:rsidRDefault="00245300">
      <w:pPr>
        <w:pStyle w:val="BodyText"/>
        <w:rPr>
          <w:sz w:val="20"/>
        </w:rPr>
      </w:pPr>
    </w:p>
    <w:p w14:paraId="24D5FD7A" w14:textId="77777777" w:rsidR="00245300" w:rsidRPr="00EC20A0" w:rsidRDefault="00245300">
      <w:pPr>
        <w:pStyle w:val="BodyText"/>
        <w:rPr>
          <w:sz w:val="20"/>
        </w:rPr>
      </w:pPr>
    </w:p>
    <w:p w14:paraId="24D5FD7B" w14:textId="77777777" w:rsidR="00245300" w:rsidRPr="00EC20A0" w:rsidRDefault="00245300">
      <w:pPr>
        <w:pStyle w:val="BodyText"/>
        <w:rPr>
          <w:sz w:val="20"/>
        </w:rPr>
      </w:pPr>
    </w:p>
    <w:p w14:paraId="24D5FD7C" w14:textId="77777777" w:rsidR="00245300" w:rsidRPr="00EC20A0" w:rsidRDefault="00245300">
      <w:pPr>
        <w:pStyle w:val="BodyText"/>
        <w:rPr>
          <w:sz w:val="20"/>
        </w:rPr>
      </w:pPr>
    </w:p>
    <w:p w14:paraId="24D5FD7D" w14:textId="77777777" w:rsidR="00245300" w:rsidRPr="00EC20A0" w:rsidRDefault="00245300">
      <w:pPr>
        <w:pStyle w:val="BodyText"/>
        <w:rPr>
          <w:sz w:val="20"/>
        </w:rPr>
      </w:pPr>
    </w:p>
    <w:p w14:paraId="24D5FD7E" w14:textId="77777777" w:rsidR="00245300" w:rsidRPr="00EC20A0" w:rsidRDefault="00245300">
      <w:pPr>
        <w:pStyle w:val="BodyText"/>
        <w:rPr>
          <w:sz w:val="20"/>
        </w:rPr>
      </w:pPr>
    </w:p>
    <w:p w14:paraId="24D5FD7F" w14:textId="77777777" w:rsidR="00245300" w:rsidRPr="00EC20A0" w:rsidRDefault="00245300">
      <w:pPr>
        <w:pStyle w:val="BodyText"/>
        <w:rPr>
          <w:sz w:val="20"/>
        </w:rPr>
      </w:pPr>
    </w:p>
    <w:p w14:paraId="24D5FD80" w14:textId="77777777" w:rsidR="00245300" w:rsidRPr="00EC20A0" w:rsidRDefault="00245300">
      <w:pPr>
        <w:pStyle w:val="BodyText"/>
        <w:rPr>
          <w:sz w:val="20"/>
        </w:rPr>
      </w:pPr>
    </w:p>
    <w:p w14:paraId="24D5FD81" w14:textId="77777777" w:rsidR="00245300" w:rsidRPr="00EC20A0" w:rsidRDefault="00245300">
      <w:pPr>
        <w:pStyle w:val="BodyText"/>
        <w:rPr>
          <w:sz w:val="20"/>
        </w:rPr>
      </w:pPr>
    </w:p>
    <w:p w14:paraId="24D5FD82" w14:textId="77777777" w:rsidR="00245300" w:rsidRPr="00EC20A0" w:rsidRDefault="00245300">
      <w:pPr>
        <w:pStyle w:val="BodyText"/>
        <w:rPr>
          <w:sz w:val="20"/>
        </w:rPr>
      </w:pPr>
    </w:p>
    <w:p w14:paraId="24D5FD83" w14:textId="77777777" w:rsidR="00245300" w:rsidRPr="00EC20A0" w:rsidRDefault="00245300">
      <w:pPr>
        <w:pStyle w:val="BodyText"/>
        <w:rPr>
          <w:sz w:val="20"/>
        </w:rPr>
      </w:pPr>
    </w:p>
    <w:p w14:paraId="24D5FD84" w14:textId="77777777" w:rsidR="00245300" w:rsidRPr="00EC20A0" w:rsidRDefault="00245300">
      <w:pPr>
        <w:pStyle w:val="BodyText"/>
        <w:rPr>
          <w:sz w:val="20"/>
        </w:rPr>
      </w:pPr>
    </w:p>
    <w:p w14:paraId="24D5FD85" w14:textId="77777777" w:rsidR="00245300" w:rsidRPr="00EC20A0" w:rsidRDefault="00245300">
      <w:pPr>
        <w:pStyle w:val="BodyText"/>
        <w:rPr>
          <w:sz w:val="20"/>
        </w:rPr>
      </w:pPr>
    </w:p>
    <w:p w14:paraId="24D5FD86" w14:textId="77777777" w:rsidR="00245300" w:rsidRPr="00EC20A0" w:rsidRDefault="00245300">
      <w:pPr>
        <w:pStyle w:val="BodyText"/>
        <w:rPr>
          <w:sz w:val="20"/>
        </w:rPr>
      </w:pPr>
    </w:p>
    <w:p w14:paraId="24D5FD87" w14:textId="77777777" w:rsidR="00245300" w:rsidRPr="00EC20A0" w:rsidRDefault="00245300">
      <w:pPr>
        <w:pStyle w:val="BodyText"/>
        <w:rPr>
          <w:sz w:val="20"/>
        </w:rPr>
      </w:pPr>
    </w:p>
    <w:p w14:paraId="24D5FD88" w14:textId="77777777" w:rsidR="00245300" w:rsidRPr="00EC20A0" w:rsidRDefault="00245300">
      <w:pPr>
        <w:pStyle w:val="BodyText"/>
        <w:rPr>
          <w:sz w:val="20"/>
        </w:rPr>
      </w:pPr>
    </w:p>
    <w:p w14:paraId="24D5FD89" w14:textId="77777777" w:rsidR="00245300" w:rsidRPr="00EC20A0" w:rsidRDefault="00245300">
      <w:pPr>
        <w:pStyle w:val="BodyText"/>
        <w:rPr>
          <w:sz w:val="20"/>
        </w:rPr>
      </w:pPr>
    </w:p>
    <w:p w14:paraId="24D5FD8A" w14:textId="77777777" w:rsidR="00245300" w:rsidRPr="00EC20A0" w:rsidRDefault="00245300">
      <w:pPr>
        <w:pStyle w:val="BodyText"/>
        <w:rPr>
          <w:sz w:val="20"/>
        </w:rPr>
      </w:pPr>
    </w:p>
    <w:p w14:paraId="24D5FD8B" w14:textId="77777777" w:rsidR="00245300" w:rsidRPr="00EC20A0" w:rsidRDefault="00245300">
      <w:pPr>
        <w:pStyle w:val="BodyText"/>
        <w:rPr>
          <w:sz w:val="20"/>
        </w:rPr>
      </w:pPr>
    </w:p>
    <w:p w14:paraId="24D5FD8C" w14:textId="77777777" w:rsidR="00245300" w:rsidRPr="00EC20A0" w:rsidRDefault="00245300">
      <w:pPr>
        <w:pStyle w:val="BodyText"/>
        <w:rPr>
          <w:sz w:val="20"/>
        </w:rPr>
      </w:pPr>
    </w:p>
    <w:p w14:paraId="24D5FD8D" w14:textId="77777777" w:rsidR="00245300" w:rsidRPr="00EC20A0" w:rsidRDefault="00245300">
      <w:pPr>
        <w:pStyle w:val="BodyText"/>
        <w:rPr>
          <w:sz w:val="20"/>
        </w:rPr>
      </w:pPr>
    </w:p>
    <w:p w14:paraId="24D5FD8E" w14:textId="77777777" w:rsidR="00245300" w:rsidRPr="00EC20A0" w:rsidRDefault="00245300">
      <w:pPr>
        <w:pStyle w:val="BodyText"/>
        <w:rPr>
          <w:sz w:val="20"/>
        </w:rPr>
      </w:pPr>
    </w:p>
    <w:p w14:paraId="24D5FD8F" w14:textId="77777777" w:rsidR="00245300" w:rsidRPr="00EC20A0" w:rsidRDefault="00245300">
      <w:pPr>
        <w:pStyle w:val="BodyText"/>
        <w:rPr>
          <w:sz w:val="20"/>
        </w:rPr>
      </w:pPr>
    </w:p>
    <w:p w14:paraId="24D5FD90" w14:textId="77777777" w:rsidR="00245300" w:rsidRPr="00EC20A0" w:rsidRDefault="00245300">
      <w:pPr>
        <w:pStyle w:val="BodyText"/>
        <w:rPr>
          <w:sz w:val="20"/>
        </w:rPr>
      </w:pPr>
    </w:p>
    <w:p w14:paraId="24D5FD91" w14:textId="77777777" w:rsidR="00245300" w:rsidRPr="00EC20A0" w:rsidRDefault="00245300">
      <w:pPr>
        <w:pStyle w:val="BodyText"/>
        <w:rPr>
          <w:sz w:val="20"/>
        </w:rPr>
      </w:pPr>
    </w:p>
    <w:p w14:paraId="24D5FD92" w14:textId="77777777" w:rsidR="00245300" w:rsidRPr="00EC20A0" w:rsidRDefault="00245300">
      <w:pPr>
        <w:pStyle w:val="BodyText"/>
        <w:rPr>
          <w:sz w:val="20"/>
        </w:rPr>
      </w:pPr>
    </w:p>
    <w:p w14:paraId="24D5FD93" w14:textId="77777777" w:rsidR="00245300" w:rsidRPr="00EC20A0" w:rsidRDefault="00245300">
      <w:pPr>
        <w:pStyle w:val="BodyText"/>
        <w:rPr>
          <w:sz w:val="20"/>
        </w:rPr>
      </w:pPr>
    </w:p>
    <w:p w14:paraId="24D5FD94" w14:textId="77777777" w:rsidR="00245300" w:rsidRPr="00EC20A0" w:rsidRDefault="00245300">
      <w:pPr>
        <w:pStyle w:val="BodyText"/>
        <w:rPr>
          <w:sz w:val="20"/>
        </w:rPr>
      </w:pPr>
    </w:p>
    <w:p w14:paraId="24D5FD95" w14:textId="77777777" w:rsidR="00245300" w:rsidRPr="00EC20A0" w:rsidRDefault="00245300">
      <w:pPr>
        <w:pStyle w:val="BodyText"/>
        <w:rPr>
          <w:sz w:val="20"/>
        </w:rPr>
      </w:pPr>
    </w:p>
    <w:p w14:paraId="24D5FD96" w14:textId="77777777" w:rsidR="00245300" w:rsidRPr="00EC20A0" w:rsidRDefault="00245300">
      <w:pPr>
        <w:pStyle w:val="BodyText"/>
        <w:rPr>
          <w:sz w:val="20"/>
        </w:rPr>
      </w:pPr>
    </w:p>
    <w:p w14:paraId="24D5FD97" w14:textId="77777777" w:rsidR="00245300" w:rsidRPr="00EC20A0" w:rsidRDefault="00245300">
      <w:pPr>
        <w:pStyle w:val="BodyText"/>
        <w:rPr>
          <w:sz w:val="20"/>
        </w:rPr>
      </w:pPr>
    </w:p>
    <w:p w14:paraId="24D5FD98" w14:textId="77777777" w:rsidR="00245300" w:rsidRPr="00EC20A0" w:rsidRDefault="00245300">
      <w:pPr>
        <w:pStyle w:val="BodyText"/>
        <w:rPr>
          <w:sz w:val="20"/>
        </w:rPr>
      </w:pPr>
    </w:p>
    <w:p w14:paraId="24D5FD99" w14:textId="77777777" w:rsidR="00245300" w:rsidRPr="00EC20A0" w:rsidRDefault="00245300">
      <w:pPr>
        <w:pStyle w:val="BodyText"/>
        <w:rPr>
          <w:sz w:val="20"/>
        </w:rPr>
      </w:pPr>
    </w:p>
    <w:p w14:paraId="24D5FD9A" w14:textId="77777777" w:rsidR="00245300" w:rsidRPr="00EC20A0" w:rsidRDefault="00245300">
      <w:pPr>
        <w:pStyle w:val="BodyText"/>
        <w:rPr>
          <w:sz w:val="20"/>
        </w:rPr>
      </w:pPr>
    </w:p>
    <w:p w14:paraId="24D5FD9B" w14:textId="77777777" w:rsidR="00245300" w:rsidRPr="00EC20A0" w:rsidRDefault="00245300">
      <w:pPr>
        <w:pStyle w:val="BodyText"/>
        <w:rPr>
          <w:sz w:val="20"/>
        </w:rPr>
      </w:pPr>
    </w:p>
    <w:p w14:paraId="24D5FD9C" w14:textId="77777777" w:rsidR="00245300" w:rsidRPr="00EC20A0" w:rsidRDefault="00245300">
      <w:pPr>
        <w:pStyle w:val="BodyText"/>
        <w:rPr>
          <w:sz w:val="20"/>
        </w:rPr>
      </w:pPr>
    </w:p>
    <w:p w14:paraId="24D5FD9D" w14:textId="77777777" w:rsidR="00245300" w:rsidRPr="00EC20A0" w:rsidRDefault="00245300">
      <w:pPr>
        <w:pStyle w:val="BodyText"/>
        <w:rPr>
          <w:sz w:val="20"/>
        </w:rPr>
      </w:pPr>
    </w:p>
    <w:p w14:paraId="24D5FD9E" w14:textId="77777777" w:rsidR="00245300" w:rsidRPr="00EC20A0" w:rsidRDefault="00245300">
      <w:pPr>
        <w:pStyle w:val="BodyText"/>
        <w:rPr>
          <w:sz w:val="20"/>
        </w:rPr>
      </w:pPr>
    </w:p>
    <w:p w14:paraId="24D5FD9F" w14:textId="77777777" w:rsidR="00245300" w:rsidRPr="00EC20A0" w:rsidRDefault="00245300">
      <w:pPr>
        <w:pStyle w:val="BodyText"/>
        <w:rPr>
          <w:sz w:val="20"/>
        </w:rPr>
      </w:pPr>
    </w:p>
    <w:p w14:paraId="24D5FDA0" w14:textId="77777777" w:rsidR="00245300" w:rsidRPr="00EC20A0" w:rsidRDefault="00245300">
      <w:pPr>
        <w:pStyle w:val="BodyText"/>
        <w:rPr>
          <w:sz w:val="20"/>
        </w:rPr>
      </w:pPr>
    </w:p>
    <w:p w14:paraId="24D5FDA1" w14:textId="77777777" w:rsidR="00245300" w:rsidRPr="00EC20A0" w:rsidRDefault="00245300">
      <w:pPr>
        <w:pStyle w:val="BodyText"/>
        <w:rPr>
          <w:sz w:val="20"/>
        </w:rPr>
      </w:pPr>
    </w:p>
    <w:p w14:paraId="24D5FDA2" w14:textId="77777777" w:rsidR="00245300" w:rsidRPr="00EC20A0" w:rsidRDefault="00245300">
      <w:pPr>
        <w:pStyle w:val="BodyText"/>
        <w:rPr>
          <w:sz w:val="20"/>
        </w:rPr>
      </w:pPr>
    </w:p>
    <w:p w14:paraId="24D5FDA3" w14:textId="77777777" w:rsidR="00245300" w:rsidRPr="00EC20A0" w:rsidRDefault="00245300">
      <w:pPr>
        <w:pStyle w:val="BodyText"/>
        <w:rPr>
          <w:sz w:val="20"/>
        </w:rPr>
      </w:pPr>
    </w:p>
    <w:p w14:paraId="24D5FDA4" w14:textId="77777777" w:rsidR="00245300" w:rsidRPr="00EC20A0" w:rsidRDefault="00245300">
      <w:pPr>
        <w:pStyle w:val="BodyText"/>
        <w:rPr>
          <w:sz w:val="20"/>
        </w:rPr>
      </w:pPr>
    </w:p>
    <w:p w14:paraId="24D5FDA5" w14:textId="77777777" w:rsidR="00245300" w:rsidRPr="00EC20A0" w:rsidRDefault="00F17249">
      <w:pPr>
        <w:pStyle w:val="BodyText"/>
        <w:spacing w:before="122"/>
        <w:rPr>
          <w:sz w:val="20"/>
        </w:rPr>
      </w:pPr>
      <w:r w:rsidRPr="00EC20A0">
        <w:rPr>
          <w:noProof/>
        </w:rPr>
        <mc:AlternateContent>
          <mc:Choice Requires="wps">
            <w:drawing>
              <wp:anchor distT="0" distB="0" distL="0" distR="0" simplePos="0" relativeHeight="487591936" behindDoc="1" locked="0" layoutInCell="1" allowOverlap="1" wp14:anchorId="24D62AC5" wp14:editId="24D62AC6">
                <wp:simplePos x="0" y="0"/>
                <wp:positionH relativeFrom="page">
                  <wp:posOffset>895350</wp:posOffset>
                </wp:positionH>
                <wp:positionV relativeFrom="paragraph">
                  <wp:posOffset>238747</wp:posOffset>
                </wp:positionV>
                <wp:extent cx="5982335" cy="1270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12700"/>
                        </a:xfrm>
                        <a:custGeom>
                          <a:avLst/>
                          <a:gdLst/>
                          <a:ahLst/>
                          <a:cxnLst/>
                          <a:rect l="l" t="t" r="r" b="b"/>
                          <a:pathLst>
                            <a:path w="5982335" h="12700">
                              <a:moveTo>
                                <a:pt x="5981712" y="0"/>
                              </a:moveTo>
                              <a:lnTo>
                                <a:pt x="0" y="0"/>
                              </a:lnTo>
                              <a:lnTo>
                                <a:pt x="0" y="12192"/>
                              </a:lnTo>
                              <a:lnTo>
                                <a:pt x="5981712" y="12192"/>
                              </a:lnTo>
                              <a:lnTo>
                                <a:pt x="5981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272630" id="Graphic 40" o:spid="_x0000_s1026" style="position:absolute;margin-left:70.5pt;margin-top:18.8pt;width:471.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9823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" path="m5981712,l,,,12192r5981712,l5981712,xe" fillcolor="black" stroked="f">
                <v:path arrowok="t"/>
                <w10:wrap type="topAndBottom" anchorx="page"/>
              </v:shape>
            </w:pict>
          </mc:Fallback>
        </mc:AlternateContent>
      </w:r>
    </w:p>
    <w:p w14:paraId="24D5FDA6" w14:textId="77777777" w:rsidR="00245300" w:rsidRPr="00EC20A0" w:rsidRDefault="00245300">
      <w:pPr>
        <w:rPr>
          <w:sz w:val="20"/>
        </w:rPr>
        <w:sectPr w:rsidR="00245300" w:rsidRPr="00EC20A0">
          <w:headerReference w:type="default" r:id="rId9"/>
          <w:footerReference w:type="default" r:id="rId10"/>
          <w:pgSz w:w="12240" w:h="15840"/>
          <w:pgMar w:top="1060" w:right="940" w:bottom="280" w:left="1020" w:header="0" w:footer="0" w:gutter="0"/>
          <w:cols w:space="720"/>
        </w:sectPr>
      </w:pPr>
    </w:p>
    <w:p w14:paraId="24D5FDA7" w14:textId="77777777" w:rsidR="00245300" w:rsidRPr="00EC20A0" w:rsidRDefault="00F17249">
      <w:pPr>
        <w:pStyle w:val="BodyText"/>
        <w:tabs>
          <w:tab w:val="left" w:pos="1769"/>
        </w:tabs>
        <w:spacing w:before="121"/>
        <w:ind w:left="1773" w:right="656" w:hanging="720"/>
      </w:pPr>
      <w:r w:rsidRPr="00EC20A0">
        <w:rPr>
          <w:spacing w:val="-4"/>
        </w:rPr>
        <w:t>.01</w:t>
      </w:r>
      <w:r w:rsidRPr="00EC20A0">
        <w:tab/>
        <w:t xml:space="preserve">Volume 2 provides detailed implementation guidance, which </w:t>
      </w:r>
      <w:r w:rsidRPr="00EC20A0">
        <w:t>includes activities that would be performed during other phases of the audit. Thus, the auditor may refer to the FAM sections in volume 2 early in the audit. For example, FAM 600 includes guidance to auditors on designing and performing oversight and other procedures when using the work of others. FAM 701, Determining Financial Management Systems’ Compliance with the Federal Financial Management Improvement</w:t>
      </w:r>
      <w:r w:rsidRPr="00EC20A0">
        <w:rPr>
          <w:spacing w:val="-4"/>
        </w:rPr>
        <w:t xml:space="preserve"> </w:t>
      </w:r>
      <w:r w:rsidRPr="00EC20A0">
        <w:t>Act</w:t>
      </w:r>
      <w:r w:rsidRPr="00EC20A0">
        <w:rPr>
          <w:spacing w:val="-4"/>
        </w:rPr>
        <w:t xml:space="preserve"> </w:t>
      </w:r>
      <w:r w:rsidRPr="00EC20A0">
        <w:t>of</w:t>
      </w:r>
      <w:r w:rsidRPr="00EC20A0">
        <w:rPr>
          <w:spacing w:val="-4"/>
        </w:rPr>
        <w:t xml:space="preserve"> </w:t>
      </w:r>
      <w:r w:rsidRPr="00EC20A0">
        <w:t>1996</w:t>
      </w:r>
      <w:r w:rsidRPr="00EC20A0">
        <w:rPr>
          <w:spacing w:val="-4"/>
        </w:rPr>
        <w:t xml:space="preserve"> </w:t>
      </w:r>
      <w:r w:rsidRPr="00EC20A0">
        <w:t>(FFMIA),</w:t>
      </w:r>
      <w:r w:rsidRPr="00EC20A0">
        <w:rPr>
          <w:spacing w:val="-4"/>
        </w:rPr>
        <w:t xml:space="preserve"> </w:t>
      </w:r>
      <w:r w:rsidRPr="00EC20A0">
        <w:t>includes</w:t>
      </w:r>
      <w:r w:rsidRPr="00EC20A0">
        <w:rPr>
          <w:spacing w:val="-4"/>
        </w:rPr>
        <w:t xml:space="preserve"> </w:t>
      </w:r>
      <w:r w:rsidRPr="00EC20A0">
        <w:t>procedures</w:t>
      </w:r>
      <w:r w:rsidRPr="00EC20A0">
        <w:rPr>
          <w:spacing w:val="-4"/>
        </w:rPr>
        <w:t xml:space="preserve"> </w:t>
      </w:r>
      <w:r w:rsidRPr="00EC20A0">
        <w:t>that</w:t>
      </w:r>
      <w:r w:rsidRPr="00EC20A0">
        <w:rPr>
          <w:spacing w:val="-5"/>
        </w:rPr>
        <w:t xml:space="preserve"> </w:t>
      </w:r>
      <w:r w:rsidRPr="00EC20A0">
        <w:t>would</w:t>
      </w:r>
      <w:r w:rsidRPr="00EC20A0">
        <w:rPr>
          <w:spacing w:val="-4"/>
        </w:rPr>
        <w:t xml:space="preserve"> </w:t>
      </w:r>
      <w:r w:rsidRPr="00EC20A0">
        <w:t>be</w:t>
      </w:r>
      <w:r w:rsidRPr="00EC20A0">
        <w:rPr>
          <w:spacing w:val="-4"/>
        </w:rPr>
        <w:t xml:space="preserve"> </w:t>
      </w:r>
      <w:r w:rsidRPr="00EC20A0">
        <w:t>performed throughout the audit, not</w:t>
      </w:r>
      <w:r w:rsidRPr="00EC20A0">
        <w:rPr>
          <w:spacing w:val="-1"/>
        </w:rPr>
        <w:t xml:space="preserve"> </w:t>
      </w:r>
      <w:r w:rsidRPr="00EC20A0">
        <w:t>just durin</w:t>
      </w:r>
      <w:r w:rsidRPr="00EC20A0">
        <w:t>g the internal control phase, although many of them would be performed then. Also, FAM 902, Intragovernmental Activity and Balances,</w:t>
      </w:r>
      <w:r w:rsidRPr="00EC20A0">
        <w:rPr>
          <w:spacing w:val="-1"/>
        </w:rPr>
        <w:t xml:space="preserve"> </w:t>
      </w:r>
      <w:r w:rsidRPr="00EC20A0">
        <w:t>has</w:t>
      </w:r>
      <w:r w:rsidRPr="00EC20A0">
        <w:rPr>
          <w:spacing w:val="-1"/>
        </w:rPr>
        <w:t xml:space="preserve"> </w:t>
      </w:r>
      <w:r w:rsidRPr="00EC20A0">
        <w:t>procedures</w:t>
      </w:r>
      <w:r w:rsidRPr="00EC20A0">
        <w:rPr>
          <w:spacing w:val="-1"/>
        </w:rPr>
        <w:t xml:space="preserve"> </w:t>
      </w:r>
      <w:r w:rsidRPr="00EC20A0">
        <w:t>that</w:t>
      </w:r>
      <w:r w:rsidRPr="00EC20A0">
        <w:rPr>
          <w:spacing w:val="-1"/>
        </w:rPr>
        <w:t xml:space="preserve"> </w:t>
      </w:r>
      <w:r w:rsidRPr="00EC20A0">
        <w:t>the</w:t>
      </w:r>
      <w:r w:rsidRPr="00EC20A0">
        <w:rPr>
          <w:spacing w:val="-1"/>
        </w:rPr>
        <w:t xml:space="preserve"> </w:t>
      </w:r>
      <w:r w:rsidRPr="00EC20A0">
        <w:t>auditor</w:t>
      </w:r>
      <w:r w:rsidRPr="00EC20A0">
        <w:rPr>
          <w:spacing w:val="-1"/>
        </w:rPr>
        <w:t xml:space="preserve"> </w:t>
      </w:r>
      <w:r w:rsidRPr="00EC20A0">
        <w:t>may</w:t>
      </w:r>
      <w:r w:rsidRPr="00EC20A0">
        <w:rPr>
          <w:spacing w:val="-1"/>
        </w:rPr>
        <w:t xml:space="preserve"> </w:t>
      </w:r>
      <w:r w:rsidRPr="00EC20A0">
        <w:t>decide</w:t>
      </w:r>
      <w:r w:rsidRPr="00EC20A0">
        <w:rPr>
          <w:spacing w:val="-1"/>
        </w:rPr>
        <w:t xml:space="preserve"> </w:t>
      </w:r>
      <w:r w:rsidRPr="00EC20A0">
        <w:t>to</w:t>
      </w:r>
      <w:r w:rsidRPr="00EC20A0">
        <w:rPr>
          <w:spacing w:val="-1"/>
        </w:rPr>
        <w:t xml:space="preserve"> </w:t>
      </w:r>
      <w:r w:rsidRPr="00EC20A0">
        <w:t>perform</w:t>
      </w:r>
      <w:r w:rsidRPr="00EC20A0">
        <w:rPr>
          <w:spacing w:val="-2"/>
        </w:rPr>
        <w:t xml:space="preserve"> </w:t>
      </w:r>
      <w:r w:rsidRPr="00EC20A0">
        <w:t>in</w:t>
      </w:r>
      <w:r w:rsidRPr="00EC20A0">
        <w:rPr>
          <w:spacing w:val="-1"/>
        </w:rPr>
        <w:t xml:space="preserve"> </w:t>
      </w:r>
      <w:r w:rsidRPr="00EC20A0">
        <w:t>the</w:t>
      </w:r>
      <w:r w:rsidRPr="00EC20A0">
        <w:rPr>
          <w:spacing w:val="-1"/>
        </w:rPr>
        <w:t xml:space="preserve"> </w:t>
      </w:r>
      <w:r w:rsidRPr="00EC20A0">
        <w:t>planning and internal control phases of the audit as well as during the testing phase.</w:t>
      </w:r>
    </w:p>
    <w:p w14:paraId="24D5FDA8" w14:textId="77777777" w:rsidR="00245300" w:rsidRPr="00EC20A0" w:rsidRDefault="00F17249">
      <w:pPr>
        <w:pStyle w:val="BodyText"/>
        <w:tabs>
          <w:tab w:val="left" w:pos="1769"/>
        </w:tabs>
        <w:spacing w:before="120"/>
        <w:ind w:left="1769" w:right="562" w:hanging="631"/>
      </w:pPr>
      <w:r w:rsidRPr="00EC20A0">
        <w:rPr>
          <w:spacing w:val="-4"/>
        </w:rPr>
        <w:t>.02</w:t>
      </w:r>
      <w:r w:rsidRPr="00EC20A0">
        <w:tab/>
        <w:t>The</w:t>
      </w:r>
      <w:r w:rsidRPr="00EC20A0">
        <w:rPr>
          <w:spacing w:val="-1"/>
        </w:rPr>
        <w:t xml:space="preserve"> </w:t>
      </w:r>
      <w:r w:rsidRPr="00EC20A0">
        <w:t>audit</w:t>
      </w:r>
      <w:r w:rsidRPr="00EC20A0">
        <w:rPr>
          <w:spacing w:val="-1"/>
        </w:rPr>
        <w:t xml:space="preserve"> </w:t>
      </w:r>
      <w:r w:rsidRPr="00EC20A0">
        <w:t>procedures</w:t>
      </w:r>
      <w:r w:rsidRPr="00EC20A0">
        <w:rPr>
          <w:spacing w:val="-1"/>
        </w:rPr>
        <w:t xml:space="preserve"> </w:t>
      </w:r>
      <w:r w:rsidRPr="00EC20A0">
        <w:t>presented</w:t>
      </w:r>
      <w:r w:rsidRPr="00EC20A0">
        <w:rPr>
          <w:spacing w:val="-1"/>
        </w:rPr>
        <w:t xml:space="preserve"> </w:t>
      </w:r>
      <w:r w:rsidRPr="00EC20A0">
        <w:t>in</w:t>
      </w:r>
      <w:r w:rsidRPr="00EC20A0">
        <w:rPr>
          <w:spacing w:val="-1"/>
        </w:rPr>
        <w:t xml:space="preserve"> </w:t>
      </w:r>
      <w:r w:rsidRPr="00EC20A0">
        <w:t>the</w:t>
      </w:r>
      <w:r w:rsidRPr="00EC20A0">
        <w:rPr>
          <w:spacing w:val="-1"/>
        </w:rPr>
        <w:t xml:space="preserve"> </w:t>
      </w:r>
      <w:r w:rsidRPr="00EC20A0">
        <w:t>examples</w:t>
      </w:r>
      <w:r w:rsidRPr="00EC20A0">
        <w:rPr>
          <w:spacing w:val="-1"/>
        </w:rPr>
        <w:t xml:space="preserve"> </w:t>
      </w:r>
      <w:r w:rsidRPr="00EC20A0">
        <w:t>in</w:t>
      </w:r>
      <w:r w:rsidRPr="00EC20A0">
        <w:rPr>
          <w:spacing w:val="-1"/>
        </w:rPr>
        <w:t xml:space="preserve"> </w:t>
      </w:r>
      <w:r w:rsidRPr="00EC20A0">
        <w:t>the</w:t>
      </w:r>
      <w:r w:rsidRPr="00EC20A0">
        <w:rPr>
          <w:spacing w:val="-1"/>
        </w:rPr>
        <w:t xml:space="preserve"> </w:t>
      </w:r>
      <w:r w:rsidRPr="00EC20A0">
        <w:t>FAM</w:t>
      </w:r>
      <w:r w:rsidRPr="00EC20A0">
        <w:rPr>
          <w:spacing w:val="-2"/>
        </w:rPr>
        <w:t xml:space="preserve"> </w:t>
      </w:r>
      <w:r w:rsidRPr="00EC20A0">
        <w:t>sections</w:t>
      </w:r>
      <w:r w:rsidRPr="00EC20A0">
        <w:rPr>
          <w:spacing w:val="-2"/>
        </w:rPr>
        <w:t xml:space="preserve"> </w:t>
      </w:r>
      <w:r w:rsidRPr="00EC20A0">
        <w:t>of</w:t>
      </w:r>
      <w:r w:rsidRPr="00EC20A0">
        <w:rPr>
          <w:spacing w:val="-1"/>
        </w:rPr>
        <w:t xml:space="preserve"> </w:t>
      </w:r>
      <w:r w:rsidRPr="00EC20A0">
        <w:t>volume</w:t>
      </w:r>
      <w:r w:rsidRPr="00EC20A0">
        <w:rPr>
          <w:spacing w:val="-1"/>
        </w:rPr>
        <w:t xml:space="preserve"> </w:t>
      </w:r>
      <w:r w:rsidRPr="00EC20A0">
        <w:t xml:space="preserve">2 are examples of some of the audit steps typically performed in each area. They are used in conjunction with the appropriate FAM sections. In </w:t>
      </w:r>
      <w:r w:rsidRPr="00EC20A0">
        <w:t>using these procedures, the auditor uses professional judgment to add additional procedures, delete irrelevant procedures, modify procedures, indicate the extent and timing of procedures, and change the terminology to that used by the entity to be audited. The auditor may integrate these steps with the audit plans for related line items. For</w:t>
      </w:r>
      <w:r w:rsidRPr="00EC20A0">
        <w:rPr>
          <w:spacing w:val="-4"/>
        </w:rPr>
        <w:t xml:space="preserve"> </w:t>
      </w:r>
      <w:r w:rsidRPr="00EC20A0">
        <w:t>example,</w:t>
      </w:r>
      <w:r w:rsidRPr="00EC20A0">
        <w:rPr>
          <w:spacing w:val="-4"/>
        </w:rPr>
        <w:t xml:space="preserve"> </w:t>
      </w:r>
      <w:r w:rsidRPr="00EC20A0">
        <w:t>tests</w:t>
      </w:r>
      <w:r w:rsidRPr="00EC20A0">
        <w:rPr>
          <w:spacing w:val="-4"/>
        </w:rPr>
        <w:t xml:space="preserve"> </w:t>
      </w:r>
      <w:r w:rsidRPr="00EC20A0">
        <w:t>of</w:t>
      </w:r>
      <w:r w:rsidRPr="00EC20A0">
        <w:rPr>
          <w:spacing w:val="-4"/>
        </w:rPr>
        <w:t xml:space="preserve"> </w:t>
      </w:r>
      <w:r w:rsidRPr="00EC20A0">
        <w:t>intragovernmental</w:t>
      </w:r>
      <w:r w:rsidRPr="00EC20A0">
        <w:rPr>
          <w:spacing w:val="-4"/>
        </w:rPr>
        <w:t xml:space="preserve"> </w:t>
      </w:r>
      <w:r w:rsidRPr="00EC20A0">
        <w:t>activity</w:t>
      </w:r>
      <w:r w:rsidRPr="00EC20A0">
        <w:rPr>
          <w:spacing w:val="-4"/>
        </w:rPr>
        <w:t xml:space="preserve"> </w:t>
      </w:r>
      <w:r w:rsidRPr="00EC20A0">
        <w:t>and</w:t>
      </w:r>
      <w:r w:rsidRPr="00EC20A0">
        <w:rPr>
          <w:spacing w:val="-4"/>
        </w:rPr>
        <w:t xml:space="preserve"> </w:t>
      </w:r>
      <w:r w:rsidRPr="00EC20A0">
        <w:t>balances</w:t>
      </w:r>
      <w:r w:rsidRPr="00EC20A0">
        <w:rPr>
          <w:spacing w:val="-4"/>
        </w:rPr>
        <w:t xml:space="preserve"> </w:t>
      </w:r>
      <w:r w:rsidRPr="00EC20A0">
        <w:t>in</w:t>
      </w:r>
      <w:r w:rsidRPr="00EC20A0">
        <w:rPr>
          <w:spacing w:val="-4"/>
        </w:rPr>
        <w:t xml:space="preserve"> </w:t>
      </w:r>
      <w:r w:rsidRPr="00EC20A0">
        <w:t>FAM</w:t>
      </w:r>
      <w:r w:rsidRPr="00EC20A0">
        <w:rPr>
          <w:spacing w:val="-4"/>
        </w:rPr>
        <w:t xml:space="preserve"> </w:t>
      </w:r>
      <w:r w:rsidRPr="00EC20A0">
        <w:t>902</w:t>
      </w:r>
      <w:r w:rsidRPr="00EC20A0">
        <w:rPr>
          <w:spacing w:val="-4"/>
        </w:rPr>
        <w:t xml:space="preserve"> </w:t>
      </w:r>
      <w:r w:rsidRPr="00EC20A0">
        <w:t>may</w:t>
      </w:r>
      <w:r w:rsidRPr="00EC20A0">
        <w:rPr>
          <w:spacing w:val="-4"/>
        </w:rPr>
        <w:t xml:space="preserve"> </w:t>
      </w:r>
      <w:r w:rsidRPr="00EC20A0">
        <w:t xml:space="preserve">be integrated with tests of accounts receivable and payable, and to improve effectiveness, the </w:t>
      </w:r>
      <w:r w:rsidRPr="00EC20A0">
        <w:t>auditor may coordinate those tests with related non- intragovernmental activity and balances.</w:t>
      </w:r>
    </w:p>
    <w:p w14:paraId="24D5FDA9" w14:textId="77777777" w:rsidR="00245300" w:rsidRPr="00EC20A0" w:rsidRDefault="00245300">
      <w:pPr>
        <w:sectPr w:rsidR="00245300" w:rsidRPr="00EC20A0">
          <w:headerReference w:type="default" r:id="rId11"/>
          <w:footerReference w:type="default" r:id="rId12"/>
          <w:pgSz w:w="12240" w:h="15840"/>
          <w:pgMar w:top="1100" w:right="940" w:bottom="940" w:left="1020" w:header="721" w:footer="757" w:gutter="0"/>
          <w:pgNumType w:start="1"/>
          <w:cols w:space="720"/>
        </w:sectPr>
      </w:pPr>
    </w:p>
    <w:p w14:paraId="24D5FDAA" w14:textId="77777777" w:rsidR="00245300" w:rsidRPr="00EC20A0" w:rsidRDefault="00F17249">
      <w:pPr>
        <w:pStyle w:val="Heading3"/>
        <w:spacing w:before="241"/>
        <w:ind w:left="420" w:right="562"/>
        <w:rPr>
          <w:u w:val="none"/>
        </w:rPr>
      </w:pPr>
      <w:r w:rsidRPr="00EC20A0">
        <w:t>Contents</w:t>
      </w:r>
      <w:r w:rsidRPr="00EC20A0">
        <w:rPr>
          <w:spacing w:val="-11"/>
        </w:rPr>
        <w:t xml:space="preserve"> </w:t>
      </w:r>
      <w:r w:rsidRPr="00EC20A0">
        <w:t>of</w:t>
      </w:r>
      <w:r w:rsidRPr="00EC20A0">
        <w:rPr>
          <w:spacing w:val="-11"/>
        </w:rPr>
        <w:t xml:space="preserve"> </w:t>
      </w:r>
      <w:r w:rsidRPr="00EC20A0">
        <w:t>FAM</w:t>
      </w:r>
      <w:r w:rsidRPr="00EC20A0">
        <w:rPr>
          <w:spacing w:val="-11"/>
        </w:rPr>
        <w:t xml:space="preserve"> </w:t>
      </w:r>
      <w:r w:rsidRPr="00EC20A0">
        <w:t>Volume</w:t>
      </w:r>
      <w:r w:rsidRPr="00EC20A0">
        <w:rPr>
          <w:spacing w:val="-11"/>
        </w:rPr>
        <w:t xml:space="preserve"> </w:t>
      </w:r>
      <w:r w:rsidRPr="00EC20A0">
        <w:t>2</w:t>
      </w:r>
      <w:r w:rsidRPr="00EC20A0">
        <w:rPr>
          <w:spacing w:val="-11"/>
        </w:rPr>
        <w:t xml:space="preserve"> </w:t>
      </w:r>
      <w:r w:rsidRPr="00EC20A0">
        <w:t>–</w:t>
      </w:r>
      <w:r w:rsidRPr="00EC20A0">
        <w:rPr>
          <w:spacing w:val="-9"/>
        </w:rPr>
        <w:t xml:space="preserve"> </w:t>
      </w:r>
      <w:r w:rsidRPr="00EC20A0">
        <w:t>Detailed</w:t>
      </w:r>
      <w:r w:rsidRPr="00EC20A0">
        <w:rPr>
          <w:spacing w:val="-11"/>
        </w:rPr>
        <w:t xml:space="preserve"> </w:t>
      </w:r>
      <w:r w:rsidRPr="00EC20A0">
        <w:t>Implementation</w:t>
      </w:r>
      <w:r w:rsidRPr="00EC20A0">
        <w:rPr>
          <w:spacing w:val="-10"/>
        </w:rPr>
        <w:t xml:space="preserve"> </w:t>
      </w:r>
      <w:r w:rsidRPr="00EC20A0">
        <w:rPr>
          <w:spacing w:val="-10"/>
          <w:u w:val="none"/>
        </w:rPr>
        <w:t xml:space="preserve"> </w:t>
      </w:r>
      <w:r w:rsidRPr="00EC20A0">
        <w:rPr>
          <w:spacing w:val="-2"/>
        </w:rPr>
        <w:t>Guidance</w:t>
      </w:r>
    </w:p>
    <w:p w14:paraId="24D5FDAB" w14:textId="77777777" w:rsidR="00245300" w:rsidRPr="00EC20A0" w:rsidRDefault="00245300">
      <w:pPr>
        <w:pStyle w:val="BodyText"/>
        <w:spacing w:before="240"/>
        <w:rPr>
          <w:b/>
        </w:rPr>
      </w:pPr>
    </w:p>
    <w:p w14:paraId="24D5FDAC" w14:textId="77777777" w:rsidR="00245300" w:rsidRPr="00EC20A0" w:rsidRDefault="00F17249">
      <w:pPr>
        <w:pStyle w:val="Heading6"/>
        <w:tabs>
          <w:tab w:val="left" w:pos="2579"/>
        </w:tabs>
        <w:spacing w:before="0"/>
        <w:ind w:left="967"/>
      </w:pPr>
      <w:hyperlink w:anchor="_bookmark0" w:history="1">
        <w:r w:rsidRPr="00EC20A0">
          <w:rPr>
            <w:spacing w:val="-5"/>
          </w:rPr>
          <w:t>600</w:t>
        </w:r>
        <w:r w:rsidRPr="00EC20A0">
          <w:tab/>
          <w:t>Using</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4"/>
          </w:rPr>
          <w:t xml:space="preserve"> </w:t>
        </w:r>
        <w:r w:rsidRPr="00EC20A0">
          <w:rPr>
            <w:spacing w:val="-2"/>
          </w:rPr>
          <w:t>Others</w:t>
        </w:r>
      </w:hyperlink>
    </w:p>
    <w:p w14:paraId="24D5FDAD" w14:textId="77777777" w:rsidR="00245300" w:rsidRPr="00EC20A0" w:rsidRDefault="00F17249">
      <w:pPr>
        <w:pStyle w:val="BodyText"/>
        <w:tabs>
          <w:tab w:val="left" w:pos="2588"/>
        </w:tabs>
        <w:spacing w:before="120"/>
        <w:ind w:left="968"/>
      </w:pPr>
      <w:hyperlink w:anchor="_bookmark1" w:history="1">
        <w:r w:rsidRPr="00EC20A0">
          <w:rPr>
            <w:spacing w:val="-5"/>
          </w:rPr>
          <w:t>610</w:t>
        </w:r>
        <w:r w:rsidRPr="00EC20A0">
          <w:tab/>
          <w:t>Overview</w:t>
        </w:r>
        <w:r w:rsidRPr="00EC20A0">
          <w:rPr>
            <w:spacing w:val="-6"/>
          </w:rPr>
          <w:t xml:space="preserve"> </w:t>
        </w:r>
        <w:r w:rsidRPr="00EC20A0">
          <w:t>of</w:t>
        </w:r>
        <w:r w:rsidRPr="00EC20A0">
          <w:rPr>
            <w:spacing w:val="-5"/>
          </w:rPr>
          <w:t xml:space="preserve"> </w:t>
        </w:r>
        <w:r w:rsidRPr="00EC20A0">
          <w:t>Using</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5"/>
          </w:rPr>
          <w:t xml:space="preserve"> </w:t>
        </w:r>
        <w:r w:rsidRPr="00EC20A0">
          <w:rPr>
            <w:spacing w:val="-2"/>
          </w:rPr>
          <w:t>Others</w:t>
        </w:r>
      </w:hyperlink>
    </w:p>
    <w:p w14:paraId="24D5FDAE" w14:textId="77777777" w:rsidR="00245300" w:rsidRPr="00EC20A0" w:rsidRDefault="00F17249">
      <w:pPr>
        <w:pStyle w:val="BodyText"/>
        <w:tabs>
          <w:tab w:val="left" w:pos="2579"/>
        </w:tabs>
        <w:ind w:left="2579" w:right="1511" w:hanging="1620"/>
      </w:pPr>
      <w:hyperlink w:anchor="_bookmark2" w:history="1">
        <w:r w:rsidRPr="00EC20A0">
          <w:rPr>
            <w:spacing w:val="-4"/>
          </w:rPr>
          <w:t>615</w:t>
        </w:r>
        <w:r w:rsidRPr="00EC20A0">
          <w:tab/>
          <w:t>Evaluating</w:t>
        </w:r>
        <w:r w:rsidRPr="00EC20A0">
          <w:rPr>
            <w:spacing w:val="-5"/>
          </w:rPr>
          <w:t xml:space="preserve"> </w:t>
        </w:r>
        <w:r w:rsidRPr="00EC20A0">
          <w:t>the</w:t>
        </w:r>
        <w:r w:rsidRPr="00EC20A0">
          <w:rPr>
            <w:spacing w:val="-5"/>
          </w:rPr>
          <w:t xml:space="preserve"> </w:t>
        </w:r>
        <w:r w:rsidRPr="00EC20A0">
          <w:t>Objectivity</w:t>
        </w:r>
        <w:r w:rsidRPr="00EC20A0">
          <w:rPr>
            <w:spacing w:val="-5"/>
          </w:rPr>
          <w:t xml:space="preserve"> </w:t>
        </w:r>
        <w:r w:rsidRPr="00EC20A0">
          <w:t>and</w:t>
        </w:r>
        <w:r w:rsidRPr="00EC20A0">
          <w:rPr>
            <w:spacing w:val="-5"/>
          </w:rPr>
          <w:t xml:space="preserve"> </w:t>
        </w:r>
        <w:r w:rsidRPr="00EC20A0">
          <w:t>Competence</w:t>
        </w:r>
        <w:r w:rsidRPr="00EC20A0">
          <w:rPr>
            <w:spacing w:val="-5"/>
          </w:rPr>
          <w:t xml:space="preserve"> </w:t>
        </w:r>
        <w:r w:rsidRPr="00EC20A0">
          <w:t>of</w:t>
        </w:r>
        <w:r w:rsidRPr="00EC20A0">
          <w:rPr>
            <w:spacing w:val="-4"/>
          </w:rPr>
          <w:t xml:space="preserve"> </w:t>
        </w:r>
        <w:r w:rsidRPr="00EC20A0">
          <w:t>Other</w:t>
        </w:r>
        <w:r w:rsidRPr="00EC20A0">
          <w:rPr>
            <w:spacing w:val="-5"/>
          </w:rPr>
          <w:t xml:space="preserve"> </w:t>
        </w:r>
        <w:r w:rsidRPr="00EC20A0">
          <w:t>Auditors</w:t>
        </w:r>
        <w:r w:rsidRPr="00EC20A0">
          <w:rPr>
            <w:spacing w:val="-6"/>
          </w:rPr>
          <w:t xml:space="preserve"> </w:t>
        </w:r>
        <w:r w:rsidRPr="00EC20A0">
          <w:t xml:space="preserve">or </w:t>
        </w:r>
        <w:r w:rsidRPr="00EC20A0">
          <w:rPr>
            <w:spacing w:val="-2"/>
          </w:rPr>
          <w:t>Specialists</w:t>
        </w:r>
      </w:hyperlink>
    </w:p>
    <w:p w14:paraId="24D5FDAF" w14:textId="77777777" w:rsidR="00245300" w:rsidRPr="00EC20A0" w:rsidRDefault="00F17249">
      <w:pPr>
        <w:pStyle w:val="BodyText"/>
        <w:tabs>
          <w:tab w:val="left" w:pos="2579"/>
        </w:tabs>
        <w:spacing w:line="252" w:lineRule="exact"/>
        <w:ind w:left="968"/>
      </w:pPr>
      <w:hyperlink w:anchor="_bookmark10" w:history="1">
        <w:r w:rsidRPr="00EC20A0">
          <w:rPr>
            <w:spacing w:val="-5"/>
          </w:rPr>
          <w:t>620</w:t>
        </w:r>
        <w:r w:rsidRPr="00EC20A0">
          <w:tab/>
          <w:t>Using</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Auditor’s</w:t>
        </w:r>
        <w:r w:rsidRPr="00EC20A0">
          <w:rPr>
            <w:spacing w:val="-5"/>
          </w:rPr>
          <w:t xml:space="preserve"> </w:t>
        </w:r>
        <w:r w:rsidRPr="00EC20A0">
          <w:rPr>
            <w:spacing w:val="-2"/>
          </w:rPr>
          <w:t>Specialist</w:t>
        </w:r>
      </w:hyperlink>
    </w:p>
    <w:p w14:paraId="24D5FDB0" w14:textId="77777777" w:rsidR="00245300" w:rsidRPr="00EC20A0" w:rsidRDefault="00F17249">
      <w:pPr>
        <w:pStyle w:val="BodyText"/>
        <w:tabs>
          <w:tab w:val="left" w:pos="2579"/>
        </w:tabs>
        <w:ind w:left="968"/>
      </w:pPr>
      <w:hyperlink w:anchor="_bookmark12" w:history="1">
        <w:r w:rsidRPr="00EC20A0">
          <w:rPr>
            <w:spacing w:val="-5"/>
          </w:rPr>
          <w:t>625</w:t>
        </w:r>
        <w:r w:rsidRPr="00EC20A0">
          <w:tab/>
          <w:t>Using</w:t>
        </w:r>
        <w:r w:rsidRPr="00EC20A0">
          <w:rPr>
            <w:spacing w:val="-7"/>
          </w:rPr>
          <w:t xml:space="preserve"> </w:t>
        </w:r>
        <w:r w:rsidRPr="00EC20A0">
          <w:t>the</w:t>
        </w:r>
        <w:r w:rsidRPr="00EC20A0">
          <w:rPr>
            <w:spacing w:val="-7"/>
          </w:rPr>
          <w:t xml:space="preserve"> </w:t>
        </w:r>
        <w:r w:rsidRPr="00EC20A0">
          <w:t>Work</w:t>
        </w:r>
        <w:r w:rsidRPr="00EC20A0">
          <w:rPr>
            <w:spacing w:val="-7"/>
          </w:rPr>
          <w:t xml:space="preserve"> </w:t>
        </w:r>
        <w:r w:rsidRPr="00EC20A0">
          <w:t>of</w:t>
        </w:r>
        <w:r w:rsidRPr="00EC20A0">
          <w:rPr>
            <w:spacing w:val="-7"/>
          </w:rPr>
          <w:t xml:space="preserve"> </w:t>
        </w:r>
        <w:r w:rsidRPr="00EC20A0">
          <w:t>Management’s</w:t>
        </w:r>
        <w:r w:rsidRPr="00EC20A0">
          <w:rPr>
            <w:spacing w:val="-7"/>
          </w:rPr>
          <w:t xml:space="preserve"> </w:t>
        </w:r>
        <w:r w:rsidRPr="00EC20A0">
          <w:rPr>
            <w:spacing w:val="-2"/>
          </w:rPr>
          <w:t>Specialists</w:t>
        </w:r>
      </w:hyperlink>
    </w:p>
    <w:p w14:paraId="24D5FDB1" w14:textId="77777777" w:rsidR="00245300" w:rsidRPr="00EC20A0" w:rsidRDefault="00F17249">
      <w:pPr>
        <w:pStyle w:val="BodyText"/>
        <w:tabs>
          <w:tab w:val="left" w:pos="2579"/>
        </w:tabs>
        <w:spacing w:before="1"/>
        <w:ind w:left="959"/>
      </w:pPr>
      <w:hyperlink w:anchor="_bookmark14" w:history="1">
        <w:r w:rsidRPr="00EC20A0">
          <w:rPr>
            <w:spacing w:val="-5"/>
          </w:rPr>
          <w:t>630</w:t>
        </w:r>
        <w:r w:rsidRPr="00EC20A0">
          <w:tab/>
          <w:t>Audits</w:t>
        </w:r>
        <w:r w:rsidRPr="00EC20A0">
          <w:rPr>
            <w:spacing w:val="-7"/>
          </w:rPr>
          <w:t xml:space="preserve"> </w:t>
        </w:r>
        <w:r w:rsidRPr="00EC20A0">
          <w:t>of</w:t>
        </w:r>
        <w:r w:rsidRPr="00EC20A0">
          <w:rPr>
            <w:spacing w:val="-6"/>
          </w:rPr>
          <w:t xml:space="preserve"> </w:t>
        </w:r>
        <w:r w:rsidRPr="00EC20A0">
          <w:t>Group</w:t>
        </w:r>
        <w:r w:rsidRPr="00EC20A0">
          <w:rPr>
            <w:spacing w:val="-7"/>
          </w:rPr>
          <w:t xml:space="preserve"> </w:t>
        </w:r>
        <w:r w:rsidRPr="00EC20A0">
          <w:t>Financial</w:t>
        </w:r>
        <w:r w:rsidRPr="00EC20A0">
          <w:rPr>
            <w:spacing w:val="-6"/>
          </w:rPr>
          <w:t xml:space="preserve"> </w:t>
        </w:r>
        <w:r w:rsidRPr="00EC20A0">
          <w:rPr>
            <w:spacing w:val="-2"/>
          </w:rPr>
          <w:t>Statements</w:t>
        </w:r>
      </w:hyperlink>
    </w:p>
    <w:p w14:paraId="24D5FDB2" w14:textId="77777777" w:rsidR="00245300" w:rsidRPr="00EC20A0" w:rsidRDefault="00F17249">
      <w:pPr>
        <w:pStyle w:val="BodyText"/>
        <w:tabs>
          <w:tab w:val="left" w:pos="2579"/>
        </w:tabs>
        <w:ind w:left="968"/>
      </w:pPr>
      <w:hyperlink w:anchor="_bookmark18" w:history="1">
        <w:r w:rsidRPr="00EC20A0">
          <w:rPr>
            <w:spacing w:val="-5"/>
          </w:rPr>
          <w:t>640</w:t>
        </w:r>
      </w:hyperlink>
      <w:r w:rsidRPr="00EC20A0">
        <w:tab/>
      </w:r>
      <w:hyperlink w:anchor="_bookmark14" w:history="1">
        <w:r w:rsidRPr="00EC20A0">
          <w:t>Entities</w:t>
        </w:r>
        <w:r w:rsidRPr="00EC20A0">
          <w:rPr>
            <w:spacing w:val="-7"/>
          </w:rPr>
          <w:t xml:space="preserve"> </w:t>
        </w:r>
        <w:r w:rsidRPr="00EC20A0">
          <w:t>Using</w:t>
        </w:r>
        <w:r w:rsidRPr="00EC20A0">
          <w:rPr>
            <w:spacing w:val="-6"/>
          </w:rPr>
          <w:t xml:space="preserve"> </w:t>
        </w:r>
        <w:r w:rsidRPr="00EC20A0">
          <w:t>a</w:t>
        </w:r>
        <w:r w:rsidRPr="00EC20A0">
          <w:rPr>
            <w:spacing w:val="-7"/>
          </w:rPr>
          <w:t xml:space="preserve"> </w:t>
        </w:r>
        <w:r w:rsidRPr="00EC20A0">
          <w:t>Service</w:t>
        </w:r>
        <w:r w:rsidRPr="00EC20A0">
          <w:rPr>
            <w:spacing w:val="-7"/>
          </w:rPr>
          <w:t xml:space="preserve"> </w:t>
        </w:r>
        <w:r w:rsidRPr="00EC20A0">
          <w:rPr>
            <w:spacing w:val="-2"/>
          </w:rPr>
          <w:t>Organization</w:t>
        </w:r>
      </w:hyperlink>
    </w:p>
    <w:p w14:paraId="24D5FDB3" w14:textId="77777777" w:rsidR="00245300" w:rsidRPr="00EC20A0" w:rsidRDefault="00F17249">
      <w:pPr>
        <w:pStyle w:val="BodyText"/>
        <w:tabs>
          <w:tab w:val="left" w:pos="2579"/>
        </w:tabs>
        <w:ind w:left="968" w:right="2454"/>
      </w:pPr>
      <w:hyperlink w:anchor="_bookmark24" w:history="1">
        <w:r w:rsidRPr="00EC20A0">
          <w:t>640 A</w:t>
        </w:r>
        <w:r w:rsidRPr="00EC20A0">
          <w:tab/>
          <w:t>Service</w:t>
        </w:r>
        <w:r w:rsidRPr="00EC20A0">
          <w:rPr>
            <w:spacing w:val="-7"/>
          </w:rPr>
          <w:t xml:space="preserve"> </w:t>
        </w:r>
        <w:r w:rsidRPr="00EC20A0">
          <w:t>Organization</w:t>
        </w:r>
        <w:r w:rsidRPr="00EC20A0">
          <w:rPr>
            <w:spacing w:val="-7"/>
          </w:rPr>
          <w:t xml:space="preserve"> </w:t>
        </w:r>
        <w:r w:rsidRPr="00EC20A0">
          <w:t>Type</w:t>
        </w:r>
        <w:r w:rsidRPr="00EC20A0">
          <w:rPr>
            <w:spacing w:val="-7"/>
          </w:rPr>
          <w:t xml:space="preserve"> </w:t>
        </w:r>
        <w:r w:rsidRPr="00EC20A0">
          <w:t>2</w:t>
        </w:r>
        <w:r w:rsidRPr="00EC20A0">
          <w:rPr>
            <w:spacing w:val="-7"/>
          </w:rPr>
          <w:t xml:space="preserve"> </w:t>
        </w:r>
        <w:r w:rsidRPr="00EC20A0">
          <w:t>Report</w:t>
        </w:r>
        <w:r w:rsidRPr="00EC20A0">
          <w:rPr>
            <w:spacing w:val="-7"/>
          </w:rPr>
          <w:t xml:space="preserve"> </w:t>
        </w:r>
        <w:r w:rsidRPr="00EC20A0">
          <w:t>Assessment</w:t>
        </w:r>
        <w:r w:rsidRPr="00EC20A0">
          <w:rPr>
            <w:spacing w:val="-8"/>
          </w:rPr>
          <w:t xml:space="preserve"> </w:t>
        </w:r>
        <w:r w:rsidRPr="00EC20A0">
          <w:t>Tool</w:t>
        </w:r>
      </w:hyperlink>
      <w:r w:rsidRPr="00EC20A0">
        <w:t xml:space="preserve"> </w:t>
      </w:r>
      <w:hyperlink w:anchor="_bookmark26" w:history="1">
        <w:r w:rsidRPr="00EC20A0">
          <w:rPr>
            <w:spacing w:val="-4"/>
          </w:rPr>
          <w:t>645</w:t>
        </w:r>
        <w:r w:rsidRPr="00EC20A0">
          <w:tab/>
          <w:t>Using the Work of an Internal Auditor</w:t>
        </w:r>
      </w:hyperlink>
    </w:p>
    <w:p w14:paraId="24D5FDB4" w14:textId="77777777" w:rsidR="00245300" w:rsidRPr="00EC20A0" w:rsidRDefault="00F17249">
      <w:pPr>
        <w:pStyle w:val="BodyText"/>
        <w:tabs>
          <w:tab w:val="left" w:pos="2579"/>
        </w:tabs>
        <w:ind w:left="2579" w:right="1083" w:hanging="1620"/>
      </w:pPr>
      <w:hyperlink w:anchor="_bookmark27" w:history="1">
        <w:r w:rsidRPr="00EC20A0">
          <w:rPr>
            <w:spacing w:val="-4"/>
          </w:rPr>
          <w:t>670</w:t>
        </w:r>
        <w:r w:rsidRPr="00EC20A0">
          <w:tab/>
          <w:t>IG</w:t>
        </w:r>
        <w:r w:rsidRPr="00EC20A0">
          <w:rPr>
            <w:spacing w:val="-6"/>
          </w:rPr>
          <w:t xml:space="preserve"> </w:t>
        </w:r>
        <w:r w:rsidRPr="00EC20A0">
          <w:t>Oversight</w:t>
        </w:r>
        <w:r w:rsidRPr="00EC20A0">
          <w:rPr>
            <w:spacing w:val="-5"/>
          </w:rPr>
          <w:t xml:space="preserve"> </w:t>
        </w:r>
        <w:r w:rsidRPr="00EC20A0">
          <w:t>of</w:t>
        </w:r>
        <w:r w:rsidRPr="00EC20A0">
          <w:rPr>
            <w:spacing w:val="-5"/>
          </w:rPr>
          <w:t xml:space="preserve"> </w:t>
        </w:r>
        <w:r w:rsidRPr="00EC20A0">
          <w:t>Audits</w:t>
        </w:r>
        <w:r w:rsidRPr="00EC20A0">
          <w:rPr>
            <w:spacing w:val="-5"/>
          </w:rPr>
          <w:t xml:space="preserve"> </w:t>
        </w:r>
        <w:r w:rsidRPr="00EC20A0">
          <w:t>Performed</w:t>
        </w:r>
        <w:r w:rsidRPr="00EC20A0">
          <w:rPr>
            <w:spacing w:val="-5"/>
          </w:rPr>
          <w:t xml:space="preserve"> </w:t>
        </w:r>
        <w:r w:rsidRPr="00EC20A0">
          <w:t>by</w:t>
        </w:r>
        <w:r w:rsidRPr="00EC20A0">
          <w:rPr>
            <w:spacing w:val="-5"/>
          </w:rPr>
          <w:t xml:space="preserve"> </w:t>
        </w:r>
        <w:r w:rsidRPr="00EC20A0">
          <w:t>Contracted</w:t>
        </w:r>
        <w:r w:rsidRPr="00EC20A0">
          <w:rPr>
            <w:spacing w:val="-5"/>
          </w:rPr>
          <w:t xml:space="preserve"> </w:t>
        </w:r>
        <w:r w:rsidRPr="00EC20A0">
          <w:t>Independent</w:t>
        </w:r>
        <w:r w:rsidRPr="00EC20A0">
          <w:rPr>
            <w:spacing w:val="-6"/>
          </w:rPr>
          <w:t xml:space="preserve"> </w:t>
        </w:r>
        <w:r w:rsidRPr="00EC20A0">
          <w:t>Public Accounting (IPA) Firms</w:t>
        </w:r>
      </w:hyperlink>
    </w:p>
    <w:p w14:paraId="24D5FDB5" w14:textId="77777777" w:rsidR="00245300" w:rsidRPr="00EC20A0" w:rsidRDefault="00F17249">
      <w:pPr>
        <w:pStyle w:val="BodyText"/>
        <w:tabs>
          <w:tab w:val="left" w:pos="2579"/>
        </w:tabs>
        <w:ind w:left="2579" w:right="1122" w:hanging="1620"/>
      </w:pPr>
      <w:hyperlink w:anchor="_bookmark34" w:history="1">
        <w:r w:rsidRPr="00EC20A0">
          <w:t>670 A</w:t>
        </w:r>
        <w:r w:rsidRPr="00EC20A0">
          <w:tab/>
          <w:t>Summary</w:t>
        </w:r>
        <w:r w:rsidRPr="00EC20A0">
          <w:rPr>
            <w:spacing w:val="-5"/>
          </w:rPr>
          <w:t xml:space="preserve"> </w:t>
        </w:r>
        <w:r w:rsidRPr="00EC20A0">
          <w:t>of</w:t>
        </w:r>
        <w:r w:rsidRPr="00EC20A0">
          <w:rPr>
            <w:spacing w:val="-5"/>
          </w:rPr>
          <w:t xml:space="preserve"> </w:t>
        </w:r>
        <w:r w:rsidRPr="00EC20A0">
          <w:t>Procedures</w:t>
        </w:r>
        <w:r w:rsidRPr="00EC20A0">
          <w:rPr>
            <w:spacing w:val="-6"/>
          </w:rPr>
          <w:t xml:space="preserve"> </w:t>
        </w:r>
        <w:r w:rsidRPr="00EC20A0">
          <w:t>and</w:t>
        </w:r>
        <w:r w:rsidRPr="00EC20A0">
          <w:rPr>
            <w:spacing w:val="-5"/>
          </w:rPr>
          <w:t xml:space="preserve"> </w:t>
        </w:r>
        <w:r w:rsidRPr="00EC20A0">
          <w:t>Documentation</w:t>
        </w:r>
        <w:r w:rsidRPr="00EC20A0">
          <w:rPr>
            <w:spacing w:val="-5"/>
          </w:rPr>
          <w:t xml:space="preserve"> </w:t>
        </w:r>
        <w:r w:rsidRPr="00EC20A0">
          <w:t>for</w:t>
        </w:r>
        <w:r w:rsidRPr="00EC20A0">
          <w:rPr>
            <w:spacing w:val="-7"/>
          </w:rPr>
          <w:t xml:space="preserve"> </w:t>
        </w:r>
        <w:r w:rsidRPr="00EC20A0">
          <w:t>Oversight</w:t>
        </w:r>
        <w:r w:rsidRPr="00EC20A0">
          <w:rPr>
            <w:spacing w:val="-5"/>
          </w:rPr>
          <w:t xml:space="preserve"> </w:t>
        </w:r>
        <w:r w:rsidRPr="00EC20A0">
          <w:t>of</w:t>
        </w:r>
        <w:r w:rsidRPr="00EC20A0">
          <w:rPr>
            <w:spacing w:val="-6"/>
          </w:rPr>
          <w:t xml:space="preserve"> </w:t>
        </w:r>
        <w:r w:rsidRPr="00EC20A0">
          <w:t>Audits Performed by Contracted IPA Firms</w:t>
        </w:r>
      </w:hyperlink>
    </w:p>
    <w:p w14:paraId="24D5FDB6" w14:textId="77777777" w:rsidR="00245300" w:rsidRPr="00EC20A0" w:rsidRDefault="00F17249">
      <w:pPr>
        <w:pStyle w:val="BodyText"/>
        <w:tabs>
          <w:tab w:val="left" w:pos="2579"/>
        </w:tabs>
        <w:ind w:left="2579" w:right="1536" w:hanging="1620"/>
      </w:pPr>
      <w:hyperlink w:anchor="_bookmark35" w:history="1">
        <w:r w:rsidRPr="00EC20A0">
          <w:t>670 B</w:t>
        </w:r>
        <w:r w:rsidRPr="00EC20A0">
          <w:tab/>
          <w:t>Example</w:t>
        </w:r>
        <w:r w:rsidRPr="00EC20A0">
          <w:rPr>
            <w:spacing w:val="-6"/>
          </w:rPr>
          <w:t xml:space="preserve"> </w:t>
        </w:r>
        <w:r w:rsidRPr="00EC20A0">
          <w:t>Transmittal</w:t>
        </w:r>
        <w:r w:rsidRPr="00EC20A0">
          <w:rPr>
            <w:spacing w:val="-6"/>
          </w:rPr>
          <w:t xml:space="preserve"> </w:t>
        </w:r>
        <w:r w:rsidRPr="00EC20A0">
          <w:t>Letter</w:t>
        </w:r>
        <w:r w:rsidRPr="00EC20A0">
          <w:rPr>
            <w:spacing w:val="-6"/>
          </w:rPr>
          <w:t xml:space="preserve"> </w:t>
        </w:r>
        <w:r w:rsidRPr="00EC20A0">
          <w:t>When</w:t>
        </w:r>
        <w:r w:rsidRPr="00EC20A0">
          <w:rPr>
            <w:spacing w:val="-6"/>
          </w:rPr>
          <w:t xml:space="preserve"> </w:t>
        </w:r>
        <w:r w:rsidRPr="00EC20A0">
          <w:t>Providing</w:t>
        </w:r>
        <w:r w:rsidRPr="00EC20A0">
          <w:rPr>
            <w:spacing w:val="-6"/>
          </w:rPr>
          <w:t xml:space="preserve"> </w:t>
        </w:r>
        <w:r w:rsidRPr="00EC20A0">
          <w:t>Oversight</w:t>
        </w:r>
        <w:r w:rsidRPr="00EC20A0">
          <w:rPr>
            <w:spacing w:val="-6"/>
          </w:rPr>
          <w:t xml:space="preserve"> </w:t>
        </w:r>
        <w:r w:rsidRPr="00EC20A0">
          <w:t>of</w:t>
        </w:r>
        <w:r w:rsidRPr="00EC20A0">
          <w:rPr>
            <w:spacing w:val="-6"/>
          </w:rPr>
          <w:t xml:space="preserve"> </w:t>
        </w:r>
        <w:r w:rsidRPr="00EC20A0">
          <w:t>Audits Performed by Contracted IPA Firms</w:t>
        </w:r>
      </w:hyperlink>
    </w:p>
    <w:p w14:paraId="24D5FDB7" w14:textId="77777777" w:rsidR="00245300" w:rsidRPr="00EC20A0" w:rsidRDefault="00F17249">
      <w:pPr>
        <w:pStyle w:val="Heading6"/>
        <w:tabs>
          <w:tab w:val="left" w:pos="2579"/>
        </w:tabs>
        <w:spacing w:before="119"/>
        <w:ind w:left="959"/>
      </w:pPr>
      <w:hyperlink w:anchor="_bookmark43" w:history="1">
        <w:r w:rsidRPr="00EC20A0">
          <w:rPr>
            <w:spacing w:val="-5"/>
          </w:rPr>
          <w:t>700</w:t>
        </w:r>
        <w:r w:rsidRPr="00EC20A0">
          <w:tab/>
          <w:t>FFMIA</w:t>
        </w:r>
        <w:r w:rsidRPr="00EC20A0">
          <w:rPr>
            <w:spacing w:val="-12"/>
          </w:rPr>
          <w:t xml:space="preserve"> </w:t>
        </w:r>
        <w:r w:rsidRPr="00EC20A0">
          <w:t>Guidance</w:t>
        </w:r>
        <w:r w:rsidRPr="00EC20A0">
          <w:rPr>
            <w:spacing w:val="-10"/>
          </w:rPr>
          <w:t xml:space="preserve"> </w:t>
        </w:r>
        <w:r w:rsidRPr="00EC20A0">
          <w:t>and</w:t>
        </w:r>
        <w:r w:rsidRPr="00EC20A0">
          <w:rPr>
            <w:spacing w:val="-10"/>
          </w:rPr>
          <w:t xml:space="preserve"> </w:t>
        </w:r>
        <w:r w:rsidRPr="00EC20A0">
          <w:t>Agreed-Upon</w:t>
        </w:r>
        <w:r w:rsidRPr="00EC20A0">
          <w:rPr>
            <w:spacing w:val="-11"/>
          </w:rPr>
          <w:t xml:space="preserve"> </w:t>
        </w:r>
        <w:r w:rsidRPr="00EC20A0">
          <w:t>Procedures</w:t>
        </w:r>
        <w:r w:rsidRPr="00EC20A0">
          <w:rPr>
            <w:spacing w:val="-9"/>
          </w:rPr>
          <w:t xml:space="preserve"> </w:t>
        </w:r>
        <w:r w:rsidRPr="00EC20A0">
          <w:rPr>
            <w:spacing w:val="-2"/>
          </w:rPr>
          <w:t>Guidance</w:t>
        </w:r>
      </w:hyperlink>
    </w:p>
    <w:p w14:paraId="24D5FDB8" w14:textId="77777777" w:rsidR="00245300" w:rsidRPr="00EC20A0" w:rsidRDefault="00F17249">
      <w:pPr>
        <w:pStyle w:val="BodyText"/>
        <w:tabs>
          <w:tab w:val="left" w:pos="2579"/>
        </w:tabs>
        <w:spacing w:before="139" w:line="266" w:lineRule="auto"/>
        <w:ind w:left="2579" w:right="1231" w:hanging="1620"/>
      </w:pPr>
      <w:hyperlink w:anchor="_bookmark44" w:history="1">
        <w:r w:rsidRPr="00EC20A0">
          <w:rPr>
            <w:spacing w:val="-4"/>
          </w:rPr>
          <w:t>701</w:t>
        </w:r>
        <w:r w:rsidRPr="00EC20A0">
          <w:tab/>
          <w:t>Determining</w:t>
        </w:r>
        <w:r w:rsidRPr="00EC20A0">
          <w:rPr>
            <w:spacing w:val="-7"/>
          </w:rPr>
          <w:t xml:space="preserve"> </w:t>
        </w:r>
        <w:r w:rsidRPr="00EC20A0">
          <w:t>Financial</w:t>
        </w:r>
        <w:r w:rsidRPr="00EC20A0">
          <w:rPr>
            <w:spacing w:val="-7"/>
          </w:rPr>
          <w:t xml:space="preserve"> </w:t>
        </w:r>
        <w:r w:rsidRPr="00EC20A0">
          <w:t>Management</w:t>
        </w:r>
        <w:r w:rsidRPr="00EC20A0">
          <w:rPr>
            <w:spacing w:val="-7"/>
          </w:rPr>
          <w:t xml:space="preserve"> </w:t>
        </w:r>
        <w:r w:rsidRPr="00EC20A0">
          <w:t>Systems’</w:t>
        </w:r>
        <w:r w:rsidRPr="00EC20A0">
          <w:rPr>
            <w:spacing w:val="-7"/>
          </w:rPr>
          <w:t xml:space="preserve"> </w:t>
        </w:r>
        <w:r w:rsidRPr="00EC20A0">
          <w:t>Compliance</w:t>
        </w:r>
        <w:r w:rsidRPr="00EC20A0">
          <w:rPr>
            <w:spacing w:val="-7"/>
          </w:rPr>
          <w:t xml:space="preserve"> </w:t>
        </w:r>
        <w:r w:rsidRPr="00EC20A0">
          <w:t>with</w:t>
        </w:r>
        <w:r w:rsidRPr="00EC20A0">
          <w:rPr>
            <w:spacing w:val="-7"/>
          </w:rPr>
          <w:t xml:space="preserve"> </w:t>
        </w:r>
        <w:r w:rsidRPr="00EC20A0">
          <w:t>the Federal Financial Management Improvement Act of 1996 (FFMIA)</w:t>
        </w:r>
      </w:hyperlink>
    </w:p>
    <w:p w14:paraId="24D5FDB9" w14:textId="77777777" w:rsidR="00245300" w:rsidRPr="00EC20A0" w:rsidRDefault="00F17249">
      <w:pPr>
        <w:pStyle w:val="BodyText"/>
        <w:tabs>
          <w:tab w:val="left" w:pos="2579"/>
        </w:tabs>
        <w:spacing w:line="266" w:lineRule="auto"/>
        <w:ind w:left="2579" w:right="1096" w:hanging="1620"/>
      </w:pPr>
      <w:hyperlink w:anchor="_bookmark58" w:history="1">
        <w:r w:rsidRPr="00EC20A0">
          <w:t xml:space="preserve">701 </w:t>
        </w:r>
        <w:proofErr w:type="gramStart"/>
        <w:r w:rsidRPr="00EC20A0">
          <w:t>A</w:t>
        </w:r>
        <w:proofErr w:type="gramEnd"/>
        <w:r w:rsidRPr="00EC20A0">
          <w:tab/>
          <w:t>Example</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for</w:t>
        </w:r>
        <w:r w:rsidRPr="00EC20A0">
          <w:rPr>
            <w:spacing w:val="-5"/>
          </w:rPr>
          <w:t xml:space="preserve"> </w:t>
        </w:r>
        <w:r w:rsidRPr="00EC20A0">
          <w:t>Testing</w:t>
        </w:r>
        <w:r w:rsidRPr="00EC20A0">
          <w:rPr>
            <w:spacing w:val="-5"/>
          </w:rPr>
          <w:t xml:space="preserve"> </w:t>
        </w:r>
        <w:r w:rsidRPr="00EC20A0">
          <w:t>Systems</w:t>
        </w:r>
        <w:r w:rsidRPr="00EC20A0">
          <w:rPr>
            <w:spacing w:val="-5"/>
          </w:rPr>
          <w:t xml:space="preserve"> </w:t>
        </w:r>
        <w:r w:rsidRPr="00EC20A0">
          <w:t>for</w:t>
        </w:r>
        <w:r w:rsidRPr="00EC20A0">
          <w:rPr>
            <w:spacing w:val="-5"/>
          </w:rPr>
          <w:t xml:space="preserve"> </w:t>
        </w:r>
        <w:r w:rsidRPr="00EC20A0">
          <w:t>Compliance</w:t>
        </w:r>
        <w:r w:rsidRPr="00EC20A0">
          <w:rPr>
            <w:spacing w:val="-5"/>
          </w:rPr>
          <w:t xml:space="preserve"> </w:t>
        </w:r>
        <w:r w:rsidRPr="00EC20A0">
          <w:t xml:space="preserve">with </w:t>
        </w:r>
        <w:r w:rsidRPr="00EC20A0">
          <w:rPr>
            <w:spacing w:val="-2"/>
          </w:rPr>
          <w:t>FFMIA</w:t>
        </w:r>
      </w:hyperlink>
    </w:p>
    <w:p w14:paraId="24D5FDBA" w14:textId="77777777" w:rsidR="00245300" w:rsidRPr="00EC20A0" w:rsidRDefault="00F17249">
      <w:pPr>
        <w:pStyle w:val="BodyText"/>
        <w:tabs>
          <w:tab w:val="left" w:pos="2579"/>
        </w:tabs>
        <w:spacing w:before="9" w:line="266" w:lineRule="auto"/>
        <w:ind w:left="2579" w:right="1096" w:hanging="1620"/>
      </w:pPr>
      <w:hyperlink w:anchor="_bookmark61" w:history="1">
        <w:r w:rsidRPr="00EC20A0">
          <w:t>701 B</w:t>
        </w:r>
        <w:r w:rsidRPr="00EC20A0">
          <w:tab/>
          <w:t>Summary</w:t>
        </w:r>
        <w:r w:rsidRPr="00EC20A0">
          <w:rPr>
            <w:spacing w:val="-6"/>
          </w:rPr>
          <w:t xml:space="preserve"> </w:t>
        </w:r>
        <w:r w:rsidRPr="00EC20A0">
          <w:t>Schedule</w:t>
        </w:r>
        <w:r w:rsidRPr="00EC20A0">
          <w:rPr>
            <w:spacing w:val="-6"/>
          </w:rPr>
          <w:t xml:space="preserve"> </w:t>
        </w:r>
        <w:r w:rsidRPr="00EC20A0">
          <w:t>of</w:t>
        </w:r>
        <w:r w:rsidRPr="00EC20A0">
          <w:rPr>
            <w:spacing w:val="-6"/>
          </w:rPr>
          <w:t xml:space="preserve"> </w:t>
        </w:r>
        <w:r w:rsidRPr="00EC20A0">
          <w:t>Instances</w:t>
        </w:r>
        <w:r w:rsidRPr="00EC20A0">
          <w:rPr>
            <w:spacing w:val="-6"/>
          </w:rPr>
          <w:t xml:space="preserve"> </w:t>
        </w:r>
        <w:r w:rsidRPr="00EC20A0">
          <w:t>of</w:t>
        </w:r>
        <w:r w:rsidRPr="00EC20A0">
          <w:rPr>
            <w:spacing w:val="-7"/>
          </w:rPr>
          <w:t xml:space="preserve"> </w:t>
        </w:r>
        <w:r w:rsidRPr="00EC20A0">
          <w:t>Financial</w:t>
        </w:r>
        <w:r w:rsidRPr="00EC20A0">
          <w:rPr>
            <w:spacing w:val="-6"/>
          </w:rPr>
          <w:t xml:space="preserve"> </w:t>
        </w:r>
        <w:r w:rsidRPr="00EC20A0">
          <w:t>Management</w:t>
        </w:r>
        <w:r w:rsidRPr="00EC20A0">
          <w:rPr>
            <w:spacing w:val="-6"/>
          </w:rPr>
          <w:t xml:space="preserve"> </w:t>
        </w:r>
        <w:r w:rsidRPr="00EC20A0">
          <w:t>Systems Noncompliance with FFMIA</w:t>
        </w:r>
      </w:hyperlink>
    </w:p>
    <w:p w14:paraId="24D5FDBB" w14:textId="77777777" w:rsidR="00245300" w:rsidRPr="00EC20A0" w:rsidRDefault="00F17249">
      <w:pPr>
        <w:pStyle w:val="BodyText"/>
        <w:tabs>
          <w:tab w:val="left" w:pos="2587"/>
        </w:tabs>
        <w:spacing w:line="247" w:lineRule="exact"/>
        <w:ind w:left="968"/>
      </w:pPr>
      <w:hyperlink w:anchor="_bookmark62" w:history="1">
        <w:r w:rsidRPr="00EC20A0">
          <w:rPr>
            <w:spacing w:val="-5"/>
          </w:rPr>
          <w:t>710</w:t>
        </w:r>
        <w:r w:rsidRPr="00EC20A0">
          <w:tab/>
          <w:t>Agreed-Upon</w:t>
        </w:r>
        <w:r w:rsidRPr="00EC20A0">
          <w:rPr>
            <w:spacing w:val="-15"/>
          </w:rPr>
          <w:t xml:space="preserve"> </w:t>
        </w:r>
        <w:r w:rsidRPr="00EC20A0">
          <w:rPr>
            <w:spacing w:val="-2"/>
          </w:rPr>
          <w:t>Procedures</w:t>
        </w:r>
      </w:hyperlink>
    </w:p>
    <w:p w14:paraId="24D5FDBC" w14:textId="77777777" w:rsidR="00245300" w:rsidRPr="00EC20A0" w:rsidRDefault="00F17249">
      <w:pPr>
        <w:pStyle w:val="BodyText"/>
        <w:tabs>
          <w:tab w:val="left" w:pos="2586"/>
        </w:tabs>
        <w:spacing w:before="31"/>
        <w:ind w:left="968"/>
      </w:pPr>
      <w:hyperlink w:anchor="_bookmark64" w:history="1">
        <w:r w:rsidRPr="00EC20A0">
          <w:t>710</w:t>
        </w:r>
        <w:r w:rsidRPr="00EC20A0">
          <w:rPr>
            <w:spacing w:val="-4"/>
          </w:rPr>
          <w:t xml:space="preserve"> </w:t>
        </w:r>
        <w:proofErr w:type="gramStart"/>
        <w:r w:rsidRPr="00EC20A0">
          <w:rPr>
            <w:spacing w:val="-10"/>
          </w:rPr>
          <w:t>A</w:t>
        </w:r>
        <w:proofErr w:type="gramEnd"/>
        <w:r w:rsidRPr="00EC20A0">
          <w:tab/>
          <w:t>Example</w:t>
        </w:r>
        <w:r w:rsidRPr="00EC20A0">
          <w:rPr>
            <w:spacing w:val="-13"/>
          </w:rPr>
          <w:t xml:space="preserve"> </w:t>
        </w:r>
        <w:r w:rsidRPr="00EC20A0">
          <w:t>Agreed-Upon</w:t>
        </w:r>
        <w:r w:rsidRPr="00EC20A0">
          <w:rPr>
            <w:spacing w:val="-13"/>
          </w:rPr>
          <w:t xml:space="preserve"> </w:t>
        </w:r>
        <w:r w:rsidRPr="00EC20A0">
          <w:t>Procedures</w:t>
        </w:r>
        <w:r w:rsidRPr="00EC20A0">
          <w:rPr>
            <w:spacing w:val="-14"/>
          </w:rPr>
          <w:t xml:space="preserve"> </w:t>
        </w:r>
        <w:r w:rsidRPr="00EC20A0">
          <w:t>Engagement</w:t>
        </w:r>
        <w:r w:rsidRPr="00EC20A0">
          <w:rPr>
            <w:spacing w:val="-13"/>
          </w:rPr>
          <w:t xml:space="preserve"> </w:t>
        </w:r>
        <w:r w:rsidRPr="00EC20A0">
          <w:rPr>
            <w:spacing w:val="-2"/>
          </w:rPr>
          <w:t>Letter</w:t>
        </w:r>
      </w:hyperlink>
    </w:p>
    <w:p w14:paraId="24D5FDBD" w14:textId="77777777" w:rsidR="00245300" w:rsidRPr="00EC20A0" w:rsidRDefault="00F17249">
      <w:pPr>
        <w:pStyle w:val="BodyText"/>
        <w:tabs>
          <w:tab w:val="left" w:pos="2579"/>
        </w:tabs>
        <w:spacing w:before="11" w:line="249" w:lineRule="auto"/>
        <w:ind w:left="2579" w:right="924" w:hanging="1612"/>
      </w:pPr>
      <w:hyperlink w:anchor="_bookmark66" w:history="1">
        <w:r w:rsidRPr="00EC20A0">
          <w:t>710 B</w:t>
        </w:r>
        <w:r w:rsidRPr="00EC20A0">
          <w:tab/>
          <w:t>Example</w:t>
        </w:r>
        <w:r w:rsidRPr="00EC20A0">
          <w:rPr>
            <w:spacing w:val="-6"/>
          </w:rPr>
          <w:t xml:space="preserve"> </w:t>
        </w:r>
        <w:r w:rsidRPr="00EC20A0">
          <w:t>Representation</w:t>
        </w:r>
        <w:r w:rsidRPr="00EC20A0">
          <w:rPr>
            <w:spacing w:val="-7"/>
          </w:rPr>
          <w:t xml:space="preserve"> </w:t>
        </w:r>
        <w:r w:rsidRPr="00EC20A0">
          <w:t>Letter</w:t>
        </w:r>
        <w:r w:rsidRPr="00EC20A0">
          <w:rPr>
            <w:spacing w:val="-6"/>
          </w:rPr>
          <w:t xml:space="preserve"> </w:t>
        </w:r>
        <w:r w:rsidRPr="00EC20A0">
          <w:t>from</w:t>
        </w:r>
        <w:r w:rsidRPr="00EC20A0">
          <w:rPr>
            <w:spacing w:val="-7"/>
          </w:rPr>
          <w:t xml:space="preserve"> </w:t>
        </w:r>
        <w:r w:rsidRPr="00EC20A0">
          <w:t>Engaging</w:t>
        </w:r>
        <w:r w:rsidRPr="00EC20A0">
          <w:rPr>
            <w:spacing w:val="-5"/>
          </w:rPr>
          <w:t xml:space="preserve"> </w:t>
        </w:r>
        <w:r w:rsidRPr="00EC20A0">
          <w:t>Party</w:t>
        </w:r>
        <w:r w:rsidRPr="00EC20A0">
          <w:rPr>
            <w:spacing w:val="-6"/>
          </w:rPr>
          <w:t xml:space="preserve"> </w:t>
        </w:r>
        <w:r w:rsidRPr="00EC20A0">
          <w:t>on</w:t>
        </w:r>
        <w:r w:rsidRPr="00EC20A0">
          <w:rPr>
            <w:spacing w:val="-6"/>
          </w:rPr>
          <w:t xml:space="preserve"> </w:t>
        </w:r>
        <w:r w:rsidRPr="00EC20A0">
          <w:t>Agreed-Upon Procedures Engagement</w:t>
        </w:r>
      </w:hyperlink>
    </w:p>
    <w:p w14:paraId="24D5FDBE" w14:textId="77777777" w:rsidR="00245300" w:rsidRPr="00EC20A0" w:rsidRDefault="00F17249">
      <w:pPr>
        <w:pStyle w:val="BodyText"/>
        <w:tabs>
          <w:tab w:val="left" w:pos="2579"/>
        </w:tabs>
        <w:spacing w:before="17" w:line="261" w:lineRule="auto"/>
        <w:ind w:left="2579" w:right="2011" w:hanging="1612"/>
      </w:pPr>
      <w:hyperlink w:anchor="_bookmark67" w:history="1">
        <w:r w:rsidRPr="00EC20A0">
          <w:t>710 C</w:t>
        </w:r>
        <w:r w:rsidRPr="00EC20A0">
          <w:tab/>
          <w:t>Example</w:t>
        </w:r>
        <w:r w:rsidRPr="00EC20A0">
          <w:rPr>
            <w:spacing w:val="-6"/>
          </w:rPr>
          <w:t xml:space="preserve"> </w:t>
        </w:r>
        <w:r w:rsidRPr="00EC20A0">
          <w:t>Representation</w:t>
        </w:r>
        <w:r w:rsidRPr="00EC20A0">
          <w:rPr>
            <w:spacing w:val="-7"/>
          </w:rPr>
          <w:t xml:space="preserve"> </w:t>
        </w:r>
        <w:r w:rsidRPr="00EC20A0">
          <w:t>Letter</w:t>
        </w:r>
        <w:r w:rsidRPr="00EC20A0">
          <w:rPr>
            <w:spacing w:val="-6"/>
          </w:rPr>
          <w:t xml:space="preserve"> </w:t>
        </w:r>
        <w:r w:rsidRPr="00EC20A0">
          <w:t>from</w:t>
        </w:r>
        <w:r w:rsidRPr="00EC20A0">
          <w:rPr>
            <w:spacing w:val="-7"/>
          </w:rPr>
          <w:t xml:space="preserve"> </w:t>
        </w:r>
        <w:r w:rsidRPr="00EC20A0">
          <w:t>Responsible</w:t>
        </w:r>
        <w:r w:rsidRPr="00EC20A0">
          <w:rPr>
            <w:spacing w:val="-6"/>
          </w:rPr>
          <w:t xml:space="preserve"> </w:t>
        </w:r>
        <w:r w:rsidRPr="00EC20A0">
          <w:t>Party</w:t>
        </w:r>
        <w:r w:rsidRPr="00EC20A0">
          <w:rPr>
            <w:spacing w:val="-6"/>
          </w:rPr>
          <w:t xml:space="preserve"> </w:t>
        </w:r>
        <w:r w:rsidRPr="00EC20A0">
          <w:t>on Agreed-Upon Procedures Engagement</w:t>
        </w:r>
      </w:hyperlink>
    </w:p>
    <w:p w14:paraId="24D5FDBF" w14:textId="77777777" w:rsidR="00245300" w:rsidRPr="00EC20A0" w:rsidRDefault="00F17249">
      <w:pPr>
        <w:pStyle w:val="BodyText"/>
        <w:tabs>
          <w:tab w:val="left" w:pos="2579"/>
        </w:tabs>
        <w:spacing w:line="247" w:lineRule="auto"/>
        <w:ind w:left="2579" w:right="692" w:hanging="1612"/>
      </w:pPr>
      <w:hyperlink w:anchor="_bookmark68" w:history="1">
        <w:r w:rsidRPr="00EC20A0">
          <w:t>710 D</w:t>
        </w:r>
        <w:r w:rsidRPr="00EC20A0">
          <w:tab/>
          <w:t>Example</w:t>
        </w:r>
        <w:r w:rsidRPr="00EC20A0">
          <w:rPr>
            <w:spacing w:val="-5"/>
          </w:rPr>
          <w:t xml:space="preserve"> </w:t>
        </w:r>
        <w:r w:rsidRPr="00EC20A0">
          <w:t>Agreed-Upon</w:t>
        </w:r>
        <w:r w:rsidRPr="00EC20A0">
          <w:rPr>
            <w:spacing w:val="-5"/>
          </w:rPr>
          <w:t xml:space="preserve"> </w:t>
        </w:r>
        <w:r w:rsidRPr="00EC20A0">
          <w:t>Procedures</w:t>
        </w:r>
        <w:r w:rsidRPr="00EC20A0">
          <w:rPr>
            <w:spacing w:val="-6"/>
          </w:rPr>
          <w:t xml:space="preserve"> </w:t>
        </w:r>
        <w:r w:rsidRPr="00EC20A0">
          <w:t>Report</w:t>
        </w:r>
        <w:r w:rsidRPr="00EC20A0">
          <w:rPr>
            <w:spacing w:val="-4"/>
          </w:rPr>
          <w:t xml:space="preserve"> </w:t>
        </w:r>
        <w:r w:rsidRPr="00EC20A0">
          <w:t>Where</w:t>
        </w:r>
        <w:r w:rsidRPr="00EC20A0">
          <w:rPr>
            <w:spacing w:val="-5"/>
          </w:rPr>
          <w:t xml:space="preserve"> </w:t>
        </w:r>
        <w:r w:rsidRPr="00EC20A0">
          <w:t>the</w:t>
        </w:r>
        <w:r w:rsidRPr="00EC20A0">
          <w:rPr>
            <w:spacing w:val="-5"/>
          </w:rPr>
          <w:t xml:space="preserve"> </w:t>
        </w:r>
        <w:r w:rsidRPr="00EC20A0">
          <w:t>Engaging</w:t>
        </w:r>
        <w:r w:rsidRPr="00EC20A0">
          <w:rPr>
            <w:spacing w:val="-5"/>
          </w:rPr>
          <w:t xml:space="preserve"> </w:t>
        </w:r>
        <w:r w:rsidRPr="00EC20A0">
          <w:t>Party</w:t>
        </w:r>
        <w:r w:rsidRPr="00EC20A0">
          <w:rPr>
            <w:spacing w:val="-5"/>
          </w:rPr>
          <w:t xml:space="preserve"> </w:t>
        </w:r>
        <w:r w:rsidRPr="00EC20A0">
          <w:t>Is Not the Responsible Party</w:t>
        </w:r>
      </w:hyperlink>
    </w:p>
    <w:p w14:paraId="24D5FDC0" w14:textId="77777777" w:rsidR="00245300" w:rsidRPr="00EC20A0" w:rsidRDefault="00F17249">
      <w:pPr>
        <w:pStyle w:val="BodyText"/>
        <w:tabs>
          <w:tab w:val="left" w:pos="2586"/>
        </w:tabs>
        <w:ind w:left="967"/>
      </w:pPr>
      <w:hyperlink w:anchor="_bookmark69" w:history="1">
        <w:r w:rsidRPr="00EC20A0">
          <w:t>710</w:t>
        </w:r>
        <w:r w:rsidRPr="00EC20A0">
          <w:rPr>
            <w:spacing w:val="-4"/>
          </w:rPr>
          <w:t xml:space="preserve"> </w:t>
        </w:r>
        <w:r w:rsidRPr="00EC20A0">
          <w:rPr>
            <w:spacing w:val="-10"/>
          </w:rPr>
          <w:t>E</w:t>
        </w:r>
        <w:r w:rsidRPr="00EC20A0">
          <w:tab/>
          <w:t>Agreed-Upon</w:t>
        </w:r>
        <w:r w:rsidRPr="00EC20A0">
          <w:rPr>
            <w:spacing w:val="-14"/>
          </w:rPr>
          <w:t xml:space="preserve"> </w:t>
        </w:r>
        <w:r w:rsidRPr="00EC20A0">
          <w:t>Procedures</w:t>
        </w:r>
        <w:r w:rsidRPr="00EC20A0">
          <w:rPr>
            <w:spacing w:val="-13"/>
          </w:rPr>
          <w:t xml:space="preserve"> </w:t>
        </w:r>
        <w:r w:rsidRPr="00EC20A0">
          <w:t>Engagement</w:t>
        </w:r>
        <w:r w:rsidRPr="00EC20A0">
          <w:rPr>
            <w:spacing w:val="-14"/>
          </w:rPr>
          <w:t xml:space="preserve"> </w:t>
        </w:r>
        <w:r w:rsidRPr="00EC20A0">
          <w:t>Completion</w:t>
        </w:r>
        <w:r w:rsidRPr="00EC20A0">
          <w:rPr>
            <w:spacing w:val="-13"/>
          </w:rPr>
          <w:t xml:space="preserve"> </w:t>
        </w:r>
        <w:r w:rsidRPr="00EC20A0">
          <w:rPr>
            <w:spacing w:val="-2"/>
          </w:rPr>
          <w:t>Checklist</w:t>
        </w:r>
      </w:hyperlink>
    </w:p>
    <w:p w14:paraId="24D5FDC1" w14:textId="77777777" w:rsidR="00245300" w:rsidRPr="00EC20A0" w:rsidRDefault="00F17249">
      <w:pPr>
        <w:pStyle w:val="Heading6"/>
        <w:tabs>
          <w:tab w:val="left" w:pos="2579"/>
        </w:tabs>
        <w:spacing w:before="125"/>
        <w:ind w:left="959"/>
      </w:pPr>
      <w:hyperlink w:anchor="_bookmark70" w:history="1">
        <w:r w:rsidRPr="00EC20A0">
          <w:rPr>
            <w:spacing w:val="-5"/>
          </w:rPr>
          <w:t>800</w:t>
        </w:r>
        <w:r w:rsidRPr="00EC20A0">
          <w:tab/>
        </w:r>
        <w:r w:rsidRPr="00EC20A0">
          <w:rPr>
            <w:spacing w:val="-2"/>
          </w:rPr>
          <w:t>Compliance</w:t>
        </w:r>
      </w:hyperlink>
    </w:p>
    <w:p w14:paraId="24D5FDC2" w14:textId="77777777" w:rsidR="00245300" w:rsidRPr="00EC20A0" w:rsidRDefault="00F17249">
      <w:pPr>
        <w:pStyle w:val="ListParagraph"/>
        <w:numPr>
          <w:ilvl w:val="0"/>
          <w:numId w:val="219"/>
        </w:numPr>
        <w:tabs>
          <w:tab w:val="left" w:pos="2579"/>
        </w:tabs>
        <w:spacing w:before="138"/>
      </w:pPr>
      <w:hyperlink w:anchor="_bookmark71" w:history="1">
        <w:r w:rsidRPr="00EC20A0">
          <w:t>General</w:t>
        </w:r>
        <w:r w:rsidRPr="00EC20A0">
          <w:rPr>
            <w:spacing w:val="-12"/>
          </w:rPr>
          <w:t xml:space="preserve"> </w:t>
        </w:r>
        <w:r w:rsidRPr="00EC20A0">
          <w:t>Compliance</w:t>
        </w:r>
        <w:r w:rsidRPr="00EC20A0">
          <w:rPr>
            <w:spacing w:val="-11"/>
          </w:rPr>
          <w:t xml:space="preserve"> </w:t>
        </w:r>
        <w:r w:rsidRPr="00EC20A0">
          <w:rPr>
            <w:spacing w:val="-2"/>
          </w:rPr>
          <w:t>Checklist</w:t>
        </w:r>
      </w:hyperlink>
    </w:p>
    <w:p w14:paraId="24D5FDC3" w14:textId="77777777" w:rsidR="00245300" w:rsidRPr="00EC20A0" w:rsidRDefault="00F17249">
      <w:pPr>
        <w:pStyle w:val="ListParagraph"/>
        <w:numPr>
          <w:ilvl w:val="0"/>
          <w:numId w:val="219"/>
        </w:numPr>
        <w:tabs>
          <w:tab w:val="left" w:pos="2579"/>
        </w:tabs>
        <w:spacing w:before="21" w:line="259" w:lineRule="auto"/>
        <w:ind w:right="533"/>
      </w:pPr>
      <w:hyperlink w:anchor="_bookmark73" w:history="1">
        <w:proofErr w:type="spellStart"/>
        <w:r w:rsidRPr="00EC20A0">
          <w:t>Antideficiency</w:t>
        </w:r>
        <w:proofErr w:type="spellEnd"/>
        <w:r w:rsidRPr="00EC20A0">
          <w:rPr>
            <w:spacing w:val="-4"/>
          </w:rPr>
          <w:t xml:space="preserve"> </w:t>
        </w:r>
        <w:r w:rsidRPr="00EC20A0">
          <w:t>Act</w:t>
        </w:r>
        <w:r w:rsidRPr="00EC20A0">
          <w:rPr>
            <w:spacing w:val="-4"/>
          </w:rPr>
          <w:t xml:space="preserve"> </w:t>
        </w:r>
        <w:r w:rsidRPr="00EC20A0">
          <w:t>(ADA),</w:t>
        </w:r>
        <w:r w:rsidRPr="00EC20A0">
          <w:rPr>
            <w:spacing w:val="-4"/>
          </w:rPr>
          <w:t xml:space="preserve"> </w:t>
        </w:r>
        <w:r w:rsidRPr="00EC20A0">
          <w:t>as</w:t>
        </w:r>
        <w:r w:rsidRPr="00EC20A0">
          <w:rPr>
            <w:spacing w:val="-4"/>
          </w:rPr>
          <w:t xml:space="preserve"> </w:t>
        </w:r>
        <w:r w:rsidRPr="00EC20A0">
          <w:t>Provided</w:t>
        </w:r>
        <w:r w:rsidRPr="00EC20A0">
          <w:rPr>
            <w:spacing w:val="-4"/>
          </w:rPr>
          <w:t xml:space="preserve"> </w:t>
        </w:r>
        <w:r w:rsidRPr="00EC20A0">
          <w:t>Primarily</w:t>
        </w:r>
        <w:r w:rsidRPr="00EC20A0">
          <w:rPr>
            <w:spacing w:val="-4"/>
          </w:rPr>
          <w:t xml:space="preserve"> </w:t>
        </w:r>
        <w:r w:rsidRPr="00EC20A0">
          <w:t>in</w:t>
        </w:r>
        <w:r w:rsidRPr="00EC20A0">
          <w:rPr>
            <w:spacing w:val="-4"/>
          </w:rPr>
          <w:t xml:space="preserve"> </w:t>
        </w:r>
        <w:r w:rsidRPr="00EC20A0">
          <w:t>31</w:t>
        </w:r>
        <w:r w:rsidRPr="00EC20A0">
          <w:rPr>
            <w:spacing w:val="-4"/>
          </w:rPr>
          <w:t xml:space="preserve"> </w:t>
        </w:r>
        <w:r w:rsidRPr="00EC20A0">
          <w:t>U.S.C.</w:t>
        </w:r>
        <w:r w:rsidRPr="00EC20A0">
          <w:rPr>
            <w:spacing w:val="-4"/>
          </w:rPr>
          <w:t xml:space="preserve"> </w:t>
        </w:r>
        <w:r w:rsidRPr="00EC20A0">
          <w:t>Chapters</w:t>
        </w:r>
        <w:r w:rsidRPr="00EC20A0">
          <w:rPr>
            <w:spacing w:val="-4"/>
          </w:rPr>
          <w:t xml:space="preserve"> </w:t>
        </w:r>
        <w:r w:rsidRPr="00EC20A0">
          <w:t xml:space="preserve">13, </w:t>
        </w:r>
        <w:r w:rsidRPr="00EC20A0">
          <w:rPr>
            <w:spacing w:val="-6"/>
          </w:rPr>
          <w:t>15</w:t>
        </w:r>
      </w:hyperlink>
    </w:p>
    <w:p w14:paraId="24D5FDC4" w14:textId="77777777" w:rsidR="00245300" w:rsidRPr="00EC20A0" w:rsidRDefault="00F17249">
      <w:pPr>
        <w:pStyle w:val="ListParagraph"/>
        <w:numPr>
          <w:ilvl w:val="0"/>
          <w:numId w:val="219"/>
        </w:numPr>
        <w:tabs>
          <w:tab w:val="left" w:pos="2579"/>
        </w:tabs>
        <w:spacing w:before="0" w:line="259" w:lineRule="auto"/>
        <w:ind w:right="827"/>
      </w:pPr>
      <w:hyperlink w:anchor="_bookmark76" w:history="1">
        <w:r w:rsidRPr="00EC20A0">
          <w:t>Federal</w:t>
        </w:r>
        <w:r w:rsidRPr="00EC20A0">
          <w:rPr>
            <w:spacing w:val="-4"/>
          </w:rPr>
          <w:t xml:space="preserve"> </w:t>
        </w:r>
        <w:r w:rsidRPr="00EC20A0">
          <w:t>Credit</w:t>
        </w:r>
        <w:r w:rsidRPr="00EC20A0">
          <w:rPr>
            <w:spacing w:val="-4"/>
          </w:rPr>
          <w:t xml:space="preserve"> </w:t>
        </w:r>
        <w:r w:rsidRPr="00EC20A0">
          <w:t>Reform</w:t>
        </w:r>
        <w:r w:rsidRPr="00EC20A0">
          <w:rPr>
            <w:spacing w:val="-5"/>
          </w:rPr>
          <w:t xml:space="preserve"> </w:t>
        </w:r>
        <w:r w:rsidRPr="00EC20A0">
          <w:t>Act</w:t>
        </w:r>
        <w:r w:rsidRPr="00EC20A0">
          <w:rPr>
            <w:spacing w:val="-4"/>
          </w:rPr>
          <w:t xml:space="preserve"> </w:t>
        </w:r>
        <w:r w:rsidRPr="00EC20A0">
          <w:t>of</w:t>
        </w:r>
        <w:r w:rsidRPr="00EC20A0">
          <w:rPr>
            <w:spacing w:val="-4"/>
          </w:rPr>
          <w:t xml:space="preserve"> </w:t>
        </w:r>
        <w:r w:rsidRPr="00EC20A0">
          <w:t>1990</w:t>
        </w:r>
        <w:r w:rsidRPr="00EC20A0">
          <w:rPr>
            <w:spacing w:val="-4"/>
          </w:rPr>
          <w:t xml:space="preserve"> </w:t>
        </w:r>
        <w:r w:rsidRPr="00EC20A0">
          <w:t>(FCRA),</w:t>
        </w:r>
        <w:r w:rsidRPr="00EC20A0">
          <w:rPr>
            <w:spacing w:val="-4"/>
          </w:rPr>
          <w:t xml:space="preserve"> </w:t>
        </w:r>
        <w:r w:rsidRPr="00EC20A0">
          <w:t>as</w:t>
        </w:r>
        <w:r w:rsidRPr="00EC20A0">
          <w:rPr>
            <w:spacing w:val="-2"/>
          </w:rPr>
          <w:t xml:space="preserve"> </w:t>
        </w:r>
        <w:r w:rsidRPr="00EC20A0">
          <w:t>Provided</w:t>
        </w:r>
        <w:r w:rsidRPr="00EC20A0">
          <w:rPr>
            <w:spacing w:val="-4"/>
          </w:rPr>
          <w:t xml:space="preserve"> </w:t>
        </w:r>
        <w:r w:rsidRPr="00EC20A0">
          <w:t>in</w:t>
        </w:r>
        <w:r w:rsidRPr="00EC20A0">
          <w:rPr>
            <w:spacing w:val="-5"/>
          </w:rPr>
          <w:t xml:space="preserve"> </w:t>
        </w:r>
        <w:r w:rsidRPr="00EC20A0">
          <w:t>2</w:t>
        </w:r>
        <w:r w:rsidRPr="00EC20A0">
          <w:rPr>
            <w:spacing w:val="-4"/>
          </w:rPr>
          <w:t xml:space="preserve"> </w:t>
        </w:r>
        <w:r w:rsidRPr="00EC20A0">
          <w:t>U.S.C.</w:t>
        </w:r>
        <w:r w:rsidRPr="00EC20A0">
          <w:rPr>
            <w:spacing w:val="-4"/>
          </w:rPr>
          <w:t xml:space="preserve"> </w:t>
        </w:r>
        <w:r w:rsidRPr="00EC20A0">
          <w:t xml:space="preserve">§§ </w:t>
        </w:r>
        <w:r w:rsidRPr="00EC20A0">
          <w:rPr>
            <w:spacing w:val="-2"/>
          </w:rPr>
          <w:t>661-661f</w:t>
        </w:r>
      </w:hyperlink>
    </w:p>
    <w:p w14:paraId="24D5FDC5" w14:textId="77777777" w:rsidR="00245300" w:rsidRPr="00EC20A0" w:rsidRDefault="00F17249">
      <w:pPr>
        <w:pStyle w:val="ListParagraph"/>
        <w:numPr>
          <w:ilvl w:val="0"/>
          <w:numId w:val="219"/>
        </w:numPr>
        <w:tabs>
          <w:tab w:val="left" w:pos="2579"/>
        </w:tabs>
        <w:spacing w:before="0" w:line="252" w:lineRule="exact"/>
      </w:pPr>
      <w:hyperlink w:anchor="_bookmark97" w:history="1">
        <w:r w:rsidRPr="00EC20A0">
          <w:t>Federal</w:t>
        </w:r>
        <w:r w:rsidRPr="00EC20A0">
          <w:rPr>
            <w:spacing w:val="-7"/>
          </w:rPr>
          <w:t xml:space="preserve"> </w:t>
        </w:r>
        <w:r w:rsidRPr="00EC20A0">
          <w:t>Debt</w:t>
        </w:r>
        <w:r w:rsidRPr="00EC20A0">
          <w:rPr>
            <w:spacing w:val="-7"/>
          </w:rPr>
          <w:t xml:space="preserve"> </w:t>
        </w:r>
        <w:r w:rsidRPr="00EC20A0">
          <w:t>Collection</w:t>
        </w:r>
        <w:r w:rsidRPr="00EC20A0">
          <w:rPr>
            <w:spacing w:val="-8"/>
          </w:rPr>
          <w:t xml:space="preserve"> </w:t>
        </w:r>
        <w:r w:rsidRPr="00EC20A0">
          <w:t>Authorities,</w:t>
        </w:r>
        <w:r w:rsidRPr="00EC20A0">
          <w:rPr>
            <w:spacing w:val="-8"/>
          </w:rPr>
          <w:t xml:space="preserve"> </w:t>
        </w:r>
        <w:r w:rsidRPr="00EC20A0">
          <w:t>as</w:t>
        </w:r>
        <w:r w:rsidRPr="00EC20A0">
          <w:rPr>
            <w:spacing w:val="-7"/>
          </w:rPr>
          <w:t xml:space="preserve"> </w:t>
        </w:r>
        <w:r w:rsidRPr="00EC20A0">
          <w:t>Provided</w:t>
        </w:r>
        <w:r w:rsidRPr="00EC20A0">
          <w:rPr>
            <w:spacing w:val="-8"/>
          </w:rPr>
          <w:t xml:space="preserve"> </w:t>
        </w:r>
        <w:r w:rsidRPr="00EC20A0">
          <w:t>in</w:t>
        </w:r>
        <w:r w:rsidRPr="00EC20A0">
          <w:rPr>
            <w:spacing w:val="-7"/>
          </w:rPr>
          <w:t xml:space="preserve"> </w:t>
        </w:r>
        <w:r w:rsidRPr="00EC20A0">
          <w:t>31</w:t>
        </w:r>
        <w:r w:rsidRPr="00EC20A0">
          <w:rPr>
            <w:spacing w:val="-7"/>
          </w:rPr>
          <w:t xml:space="preserve"> </w:t>
        </w:r>
        <w:r w:rsidRPr="00EC20A0">
          <w:t>U.S.C.</w:t>
        </w:r>
        <w:r w:rsidRPr="00EC20A0">
          <w:rPr>
            <w:spacing w:val="-7"/>
          </w:rPr>
          <w:t xml:space="preserve"> </w:t>
        </w:r>
        <w:r w:rsidRPr="00EC20A0">
          <w:t>Chapter</w:t>
        </w:r>
        <w:r w:rsidRPr="00EC20A0">
          <w:rPr>
            <w:spacing w:val="-7"/>
          </w:rPr>
          <w:t xml:space="preserve"> </w:t>
        </w:r>
        <w:r w:rsidRPr="00EC20A0">
          <w:rPr>
            <w:spacing w:val="-5"/>
          </w:rPr>
          <w:t>37</w:t>
        </w:r>
      </w:hyperlink>
    </w:p>
    <w:p w14:paraId="24D5FDC6" w14:textId="77777777" w:rsidR="00245300" w:rsidRPr="00EC20A0" w:rsidRDefault="00F17249">
      <w:pPr>
        <w:pStyle w:val="ListParagraph"/>
        <w:numPr>
          <w:ilvl w:val="0"/>
          <w:numId w:val="219"/>
        </w:numPr>
        <w:tabs>
          <w:tab w:val="left" w:pos="2579"/>
        </w:tabs>
        <w:spacing w:before="31" w:line="251" w:lineRule="exact"/>
      </w:pPr>
      <w:hyperlink w:anchor="_bookmark115" w:history="1">
        <w:r w:rsidRPr="00EC20A0">
          <w:t>Prompt</w:t>
        </w:r>
        <w:r w:rsidRPr="00EC20A0">
          <w:rPr>
            <w:spacing w:val="-7"/>
          </w:rPr>
          <w:t xml:space="preserve"> </w:t>
        </w:r>
        <w:r w:rsidRPr="00EC20A0">
          <w:t>Payment</w:t>
        </w:r>
        <w:r w:rsidRPr="00EC20A0">
          <w:rPr>
            <w:spacing w:val="-6"/>
          </w:rPr>
          <w:t xml:space="preserve"> </w:t>
        </w:r>
        <w:r w:rsidRPr="00EC20A0">
          <w:t>Act</w:t>
        </w:r>
        <w:r w:rsidRPr="00EC20A0">
          <w:rPr>
            <w:spacing w:val="-6"/>
          </w:rPr>
          <w:t xml:space="preserve"> </w:t>
        </w:r>
        <w:r w:rsidRPr="00EC20A0">
          <w:t>(PPA),</w:t>
        </w:r>
        <w:r w:rsidRPr="00EC20A0">
          <w:rPr>
            <w:spacing w:val="-6"/>
          </w:rPr>
          <w:t xml:space="preserve"> </w:t>
        </w:r>
        <w:r w:rsidRPr="00EC20A0">
          <w:t>as</w:t>
        </w:r>
        <w:r w:rsidRPr="00EC20A0">
          <w:rPr>
            <w:spacing w:val="-6"/>
          </w:rPr>
          <w:t xml:space="preserve"> </w:t>
        </w:r>
        <w:r w:rsidRPr="00EC20A0">
          <w:t>Provided</w:t>
        </w:r>
        <w:r w:rsidRPr="00EC20A0">
          <w:rPr>
            <w:spacing w:val="-6"/>
          </w:rPr>
          <w:t xml:space="preserve"> </w:t>
        </w:r>
        <w:r w:rsidRPr="00EC20A0">
          <w:t>in</w:t>
        </w:r>
        <w:r w:rsidRPr="00EC20A0">
          <w:rPr>
            <w:spacing w:val="-6"/>
          </w:rPr>
          <w:t xml:space="preserve"> </w:t>
        </w:r>
        <w:r w:rsidRPr="00EC20A0">
          <w:t>31</w:t>
        </w:r>
        <w:r w:rsidRPr="00EC20A0">
          <w:rPr>
            <w:spacing w:val="-7"/>
          </w:rPr>
          <w:t xml:space="preserve"> </w:t>
        </w:r>
        <w:r w:rsidRPr="00EC20A0">
          <w:t>U.S.C.</w:t>
        </w:r>
        <w:r w:rsidRPr="00EC20A0">
          <w:rPr>
            <w:spacing w:val="-6"/>
          </w:rPr>
          <w:t xml:space="preserve"> </w:t>
        </w:r>
        <w:r w:rsidRPr="00EC20A0">
          <w:t>Chapter</w:t>
        </w:r>
        <w:r w:rsidRPr="00EC20A0">
          <w:rPr>
            <w:spacing w:val="-6"/>
          </w:rPr>
          <w:t xml:space="preserve"> </w:t>
        </w:r>
        <w:r w:rsidRPr="00EC20A0">
          <w:rPr>
            <w:spacing w:val="-5"/>
          </w:rPr>
          <w:t>39</w:t>
        </w:r>
      </w:hyperlink>
    </w:p>
    <w:p w14:paraId="24D5FDC7" w14:textId="77777777" w:rsidR="00245300" w:rsidRPr="00EC20A0" w:rsidRDefault="00F17249">
      <w:pPr>
        <w:pStyle w:val="ListParagraph"/>
        <w:numPr>
          <w:ilvl w:val="0"/>
          <w:numId w:val="219"/>
        </w:numPr>
        <w:tabs>
          <w:tab w:val="left" w:pos="2578"/>
        </w:tabs>
        <w:spacing w:before="10" w:line="225" w:lineRule="auto"/>
        <w:ind w:left="2578" w:right="596"/>
      </w:pPr>
      <w:hyperlink w:anchor="_bookmark126" w:history="1">
        <w:r w:rsidRPr="00EC20A0">
          <w:t>Pay</w:t>
        </w:r>
        <w:r w:rsidRPr="00EC20A0">
          <w:rPr>
            <w:spacing w:val="-5"/>
          </w:rPr>
          <w:t xml:space="preserve"> </w:t>
        </w:r>
        <w:r w:rsidRPr="00EC20A0">
          <w:t>and</w:t>
        </w:r>
        <w:r w:rsidRPr="00EC20A0">
          <w:rPr>
            <w:spacing w:val="-5"/>
          </w:rPr>
          <w:t xml:space="preserve"> </w:t>
        </w:r>
        <w:r w:rsidRPr="00EC20A0">
          <w:t>Allowance</w:t>
        </w:r>
        <w:r w:rsidRPr="00EC20A0">
          <w:rPr>
            <w:spacing w:val="-5"/>
          </w:rPr>
          <w:t xml:space="preserve"> </w:t>
        </w:r>
        <w:r w:rsidRPr="00EC20A0">
          <w:t>System</w:t>
        </w:r>
        <w:r w:rsidRPr="00EC20A0">
          <w:rPr>
            <w:spacing w:val="-6"/>
          </w:rPr>
          <w:t xml:space="preserve"> </w:t>
        </w:r>
        <w:r w:rsidRPr="00EC20A0">
          <w:t>for</w:t>
        </w:r>
        <w:r w:rsidRPr="00EC20A0">
          <w:rPr>
            <w:spacing w:val="-5"/>
          </w:rPr>
          <w:t xml:space="preserve"> </w:t>
        </w:r>
        <w:r w:rsidRPr="00EC20A0">
          <w:t>Civilian</w:t>
        </w:r>
        <w:r w:rsidRPr="00EC20A0">
          <w:rPr>
            <w:spacing w:val="-5"/>
          </w:rPr>
          <w:t xml:space="preserve"> </w:t>
        </w:r>
        <w:r w:rsidRPr="00EC20A0">
          <w:t>Employees,</w:t>
        </w:r>
        <w:r w:rsidRPr="00EC20A0">
          <w:rPr>
            <w:spacing w:val="-5"/>
          </w:rPr>
          <w:t xml:space="preserve"> </w:t>
        </w:r>
        <w:r w:rsidRPr="00EC20A0">
          <w:t>as</w:t>
        </w:r>
        <w:r w:rsidRPr="00EC20A0">
          <w:rPr>
            <w:spacing w:val="-5"/>
          </w:rPr>
          <w:t xml:space="preserve"> </w:t>
        </w:r>
        <w:r w:rsidRPr="00EC20A0">
          <w:t>Provided</w:t>
        </w:r>
        <w:r w:rsidRPr="00EC20A0">
          <w:rPr>
            <w:spacing w:val="-5"/>
          </w:rPr>
          <w:t xml:space="preserve"> </w:t>
        </w:r>
        <w:r w:rsidRPr="00EC20A0">
          <w:t>Primarily in 5 U.S.C. Chapters 51-59</w:t>
        </w:r>
      </w:hyperlink>
    </w:p>
    <w:p w14:paraId="24D5FDC8" w14:textId="77777777" w:rsidR="00245300" w:rsidRPr="00EC20A0" w:rsidRDefault="00F17249">
      <w:pPr>
        <w:pStyle w:val="ListParagraph"/>
        <w:numPr>
          <w:ilvl w:val="0"/>
          <w:numId w:val="219"/>
        </w:numPr>
        <w:tabs>
          <w:tab w:val="left" w:pos="2578"/>
        </w:tabs>
        <w:spacing w:before="10"/>
        <w:ind w:left="2578"/>
      </w:pPr>
      <w:hyperlink w:anchor="_bookmark128" w:history="1">
        <w:r w:rsidRPr="00EC20A0">
          <w:t>Civil</w:t>
        </w:r>
        <w:r w:rsidRPr="00EC20A0">
          <w:rPr>
            <w:spacing w:val="-7"/>
          </w:rPr>
          <w:t xml:space="preserve"> </w:t>
        </w:r>
        <w:r w:rsidRPr="00EC20A0">
          <w:t>Service</w:t>
        </w:r>
        <w:r w:rsidRPr="00EC20A0">
          <w:rPr>
            <w:spacing w:val="-8"/>
          </w:rPr>
          <w:t xml:space="preserve"> </w:t>
        </w:r>
        <w:r w:rsidRPr="00EC20A0">
          <w:t>Retirement</w:t>
        </w:r>
        <w:r w:rsidRPr="00EC20A0">
          <w:rPr>
            <w:spacing w:val="-7"/>
          </w:rPr>
          <w:t xml:space="preserve"> </w:t>
        </w:r>
        <w:r w:rsidRPr="00EC20A0">
          <w:t>Act</w:t>
        </w:r>
        <w:r w:rsidRPr="00EC20A0">
          <w:rPr>
            <w:spacing w:val="-7"/>
          </w:rPr>
          <w:t xml:space="preserve"> </w:t>
        </w:r>
        <w:r w:rsidRPr="00EC20A0">
          <w:t>(CSRA),</w:t>
        </w:r>
        <w:r w:rsidRPr="00EC20A0">
          <w:rPr>
            <w:spacing w:val="-6"/>
          </w:rPr>
          <w:t xml:space="preserve"> </w:t>
        </w:r>
        <w:r w:rsidRPr="00EC20A0">
          <w:t>as</w:t>
        </w:r>
        <w:r w:rsidRPr="00EC20A0">
          <w:rPr>
            <w:spacing w:val="-7"/>
          </w:rPr>
          <w:t xml:space="preserve"> </w:t>
        </w:r>
        <w:r w:rsidRPr="00EC20A0">
          <w:t>Provided</w:t>
        </w:r>
        <w:r w:rsidRPr="00EC20A0">
          <w:rPr>
            <w:spacing w:val="-8"/>
          </w:rPr>
          <w:t xml:space="preserve"> </w:t>
        </w:r>
        <w:r w:rsidRPr="00EC20A0">
          <w:t>in</w:t>
        </w:r>
        <w:r w:rsidRPr="00EC20A0">
          <w:rPr>
            <w:spacing w:val="-7"/>
          </w:rPr>
          <w:t xml:space="preserve"> </w:t>
        </w:r>
        <w:r w:rsidRPr="00EC20A0">
          <w:t>5</w:t>
        </w:r>
        <w:r w:rsidRPr="00EC20A0">
          <w:rPr>
            <w:spacing w:val="-7"/>
          </w:rPr>
          <w:t xml:space="preserve"> </w:t>
        </w:r>
        <w:r w:rsidRPr="00EC20A0">
          <w:t>U.S.C.</w:t>
        </w:r>
        <w:r w:rsidRPr="00EC20A0">
          <w:rPr>
            <w:spacing w:val="-7"/>
          </w:rPr>
          <w:t xml:space="preserve"> </w:t>
        </w:r>
        <w:r w:rsidRPr="00EC20A0">
          <w:t>Chapter</w:t>
        </w:r>
        <w:r w:rsidRPr="00EC20A0">
          <w:rPr>
            <w:spacing w:val="-7"/>
          </w:rPr>
          <w:t xml:space="preserve"> </w:t>
        </w:r>
        <w:r w:rsidRPr="00EC20A0">
          <w:rPr>
            <w:spacing w:val="-5"/>
          </w:rPr>
          <w:t>83</w:t>
        </w:r>
      </w:hyperlink>
    </w:p>
    <w:p w14:paraId="24D5FDC9" w14:textId="77777777" w:rsidR="00245300" w:rsidRPr="00EC20A0" w:rsidRDefault="00245300">
      <w:pPr>
        <w:sectPr w:rsidR="00245300" w:rsidRPr="00EC20A0">
          <w:pgSz w:w="12240" w:h="15840"/>
          <w:pgMar w:top="1100" w:right="940" w:bottom="1020" w:left="1020" w:header="721" w:footer="757" w:gutter="0"/>
          <w:cols w:space="720"/>
        </w:sectPr>
      </w:pPr>
    </w:p>
    <w:p w14:paraId="24D5FDCA" w14:textId="77777777" w:rsidR="00245300" w:rsidRPr="00EC20A0" w:rsidRDefault="00F17249">
      <w:pPr>
        <w:pStyle w:val="ListParagraph"/>
        <w:numPr>
          <w:ilvl w:val="0"/>
          <w:numId w:val="219"/>
        </w:numPr>
        <w:tabs>
          <w:tab w:val="left" w:pos="2579"/>
        </w:tabs>
        <w:spacing w:before="133" w:line="259" w:lineRule="auto"/>
        <w:ind w:right="521"/>
      </w:pPr>
      <w:hyperlink w:anchor="_bookmark134" w:history="1">
        <w:r w:rsidRPr="00EC20A0">
          <w:t>Federal</w:t>
        </w:r>
        <w:r w:rsidRPr="00EC20A0">
          <w:rPr>
            <w:spacing w:val="-4"/>
          </w:rPr>
          <w:t xml:space="preserve"> </w:t>
        </w:r>
        <w:r w:rsidRPr="00EC20A0">
          <w:t>Employees</w:t>
        </w:r>
        <w:r w:rsidRPr="00EC20A0">
          <w:rPr>
            <w:spacing w:val="-4"/>
          </w:rPr>
          <w:t xml:space="preserve"> </w:t>
        </w:r>
        <w:r w:rsidRPr="00EC20A0">
          <w:t>Health</w:t>
        </w:r>
        <w:r w:rsidRPr="00EC20A0">
          <w:rPr>
            <w:spacing w:val="-4"/>
          </w:rPr>
          <w:t xml:space="preserve"> </w:t>
        </w:r>
        <w:r w:rsidRPr="00EC20A0">
          <w:t>Benefits</w:t>
        </w:r>
        <w:r w:rsidRPr="00EC20A0">
          <w:rPr>
            <w:spacing w:val="-5"/>
          </w:rPr>
          <w:t xml:space="preserve"> </w:t>
        </w:r>
        <w:r w:rsidRPr="00EC20A0">
          <w:t>Act</w:t>
        </w:r>
        <w:r w:rsidRPr="00EC20A0">
          <w:rPr>
            <w:spacing w:val="-4"/>
          </w:rPr>
          <w:t xml:space="preserve"> </w:t>
        </w:r>
        <w:r w:rsidRPr="00EC20A0">
          <w:t>(FEHBA),</w:t>
        </w:r>
        <w:r w:rsidRPr="00EC20A0">
          <w:rPr>
            <w:spacing w:val="-4"/>
          </w:rPr>
          <w:t xml:space="preserve"> </w:t>
        </w:r>
        <w:r w:rsidRPr="00EC20A0">
          <w:t>as</w:t>
        </w:r>
        <w:r w:rsidRPr="00EC20A0">
          <w:rPr>
            <w:spacing w:val="-4"/>
          </w:rPr>
          <w:t xml:space="preserve"> </w:t>
        </w:r>
        <w:r w:rsidRPr="00EC20A0">
          <w:t>Provided</w:t>
        </w:r>
        <w:r w:rsidRPr="00EC20A0">
          <w:rPr>
            <w:spacing w:val="-4"/>
          </w:rPr>
          <w:t xml:space="preserve"> </w:t>
        </w:r>
        <w:r w:rsidRPr="00EC20A0">
          <w:t>in</w:t>
        </w:r>
        <w:r w:rsidRPr="00EC20A0">
          <w:rPr>
            <w:spacing w:val="-4"/>
          </w:rPr>
          <w:t xml:space="preserve"> </w:t>
        </w:r>
        <w:r w:rsidRPr="00EC20A0">
          <w:t>5</w:t>
        </w:r>
        <w:r w:rsidRPr="00EC20A0">
          <w:rPr>
            <w:spacing w:val="-4"/>
          </w:rPr>
          <w:t xml:space="preserve"> </w:t>
        </w:r>
        <w:r w:rsidRPr="00EC20A0">
          <w:t>U.S.C. Chapter 89</w:t>
        </w:r>
      </w:hyperlink>
    </w:p>
    <w:p w14:paraId="24D5FDCB" w14:textId="77777777" w:rsidR="00245300" w:rsidRPr="00EC20A0" w:rsidRDefault="00F17249">
      <w:pPr>
        <w:pStyle w:val="ListParagraph"/>
        <w:numPr>
          <w:ilvl w:val="0"/>
          <w:numId w:val="219"/>
        </w:numPr>
        <w:tabs>
          <w:tab w:val="left" w:pos="2579"/>
        </w:tabs>
        <w:spacing w:before="6" w:line="266" w:lineRule="auto"/>
        <w:ind w:right="698"/>
      </w:pPr>
      <w:hyperlink w:anchor="_bookmark138" w:history="1">
        <w:r w:rsidRPr="00EC20A0">
          <w:t>Federal</w:t>
        </w:r>
        <w:r w:rsidRPr="00EC20A0">
          <w:rPr>
            <w:spacing w:val="-5"/>
          </w:rPr>
          <w:t xml:space="preserve"> </w:t>
        </w:r>
        <w:r w:rsidRPr="00EC20A0">
          <w:t>Employees'</w:t>
        </w:r>
        <w:r w:rsidRPr="00EC20A0">
          <w:rPr>
            <w:spacing w:val="-5"/>
          </w:rPr>
          <w:t xml:space="preserve"> </w:t>
        </w:r>
        <w:r w:rsidRPr="00EC20A0">
          <w:t>Compensation</w:t>
        </w:r>
        <w:r w:rsidRPr="00EC20A0">
          <w:rPr>
            <w:spacing w:val="-5"/>
          </w:rPr>
          <w:t xml:space="preserve"> </w:t>
        </w:r>
        <w:r w:rsidRPr="00EC20A0">
          <w:t>Act</w:t>
        </w:r>
        <w:r w:rsidRPr="00EC20A0">
          <w:rPr>
            <w:spacing w:val="-5"/>
          </w:rPr>
          <w:t xml:space="preserve"> </w:t>
        </w:r>
        <w:r w:rsidRPr="00EC20A0">
          <w:t>(FECA),</w:t>
        </w:r>
        <w:r w:rsidRPr="00EC20A0">
          <w:rPr>
            <w:spacing w:val="-4"/>
          </w:rPr>
          <w:t xml:space="preserve"> </w:t>
        </w:r>
        <w:r w:rsidRPr="00EC20A0">
          <w:t>as</w:t>
        </w:r>
        <w:r w:rsidRPr="00EC20A0">
          <w:rPr>
            <w:spacing w:val="-4"/>
          </w:rPr>
          <w:t xml:space="preserve"> </w:t>
        </w:r>
        <w:r w:rsidRPr="00EC20A0">
          <w:t>Provided</w:t>
        </w:r>
        <w:r w:rsidRPr="00EC20A0">
          <w:rPr>
            <w:spacing w:val="-6"/>
          </w:rPr>
          <w:t xml:space="preserve"> </w:t>
        </w:r>
        <w:r w:rsidRPr="00EC20A0">
          <w:t>in</w:t>
        </w:r>
        <w:r w:rsidRPr="00EC20A0">
          <w:rPr>
            <w:spacing w:val="-5"/>
          </w:rPr>
          <w:t xml:space="preserve"> </w:t>
        </w:r>
        <w:r w:rsidRPr="00EC20A0">
          <w:t>5</w:t>
        </w:r>
        <w:r w:rsidRPr="00EC20A0">
          <w:rPr>
            <w:spacing w:val="-5"/>
          </w:rPr>
          <w:t xml:space="preserve"> </w:t>
        </w:r>
        <w:r w:rsidRPr="00EC20A0">
          <w:t>U.S.C. Chapter 81</w:t>
        </w:r>
      </w:hyperlink>
    </w:p>
    <w:p w14:paraId="24D5FDCC" w14:textId="77777777" w:rsidR="00245300" w:rsidRPr="00EC20A0" w:rsidRDefault="00F17249">
      <w:pPr>
        <w:pStyle w:val="ListParagraph"/>
        <w:numPr>
          <w:ilvl w:val="0"/>
          <w:numId w:val="219"/>
        </w:numPr>
        <w:tabs>
          <w:tab w:val="left" w:pos="2579"/>
        </w:tabs>
        <w:spacing w:before="0" w:line="252" w:lineRule="exact"/>
      </w:pPr>
      <w:hyperlink w:anchor="_bookmark141" w:history="1">
        <w:r w:rsidRPr="00EC20A0">
          <w:t>Federal</w:t>
        </w:r>
        <w:r w:rsidRPr="00EC20A0">
          <w:rPr>
            <w:spacing w:val="-8"/>
          </w:rPr>
          <w:t xml:space="preserve"> </w:t>
        </w:r>
        <w:r w:rsidRPr="00EC20A0">
          <w:t>Employees’</w:t>
        </w:r>
        <w:r w:rsidRPr="00EC20A0">
          <w:rPr>
            <w:spacing w:val="-8"/>
          </w:rPr>
          <w:t xml:space="preserve"> </w:t>
        </w:r>
        <w:r w:rsidRPr="00EC20A0">
          <w:t>Retirement</w:t>
        </w:r>
        <w:r w:rsidRPr="00EC20A0">
          <w:rPr>
            <w:spacing w:val="-7"/>
          </w:rPr>
          <w:t xml:space="preserve"> </w:t>
        </w:r>
        <w:r w:rsidRPr="00EC20A0">
          <w:t>System</w:t>
        </w:r>
        <w:r w:rsidRPr="00EC20A0">
          <w:rPr>
            <w:spacing w:val="-9"/>
          </w:rPr>
          <w:t xml:space="preserve"> </w:t>
        </w:r>
        <w:r w:rsidRPr="00EC20A0">
          <w:t>Act</w:t>
        </w:r>
        <w:r w:rsidRPr="00EC20A0">
          <w:rPr>
            <w:spacing w:val="-7"/>
          </w:rPr>
          <w:t xml:space="preserve"> </w:t>
        </w:r>
        <w:r w:rsidRPr="00EC20A0">
          <w:t>(FERSA),</w:t>
        </w:r>
        <w:r w:rsidRPr="00EC20A0">
          <w:rPr>
            <w:spacing w:val="-8"/>
          </w:rPr>
          <w:t xml:space="preserve"> </w:t>
        </w:r>
        <w:r w:rsidRPr="00EC20A0">
          <w:t>as</w:t>
        </w:r>
        <w:r w:rsidRPr="00EC20A0">
          <w:rPr>
            <w:spacing w:val="-8"/>
          </w:rPr>
          <w:t xml:space="preserve"> </w:t>
        </w:r>
        <w:r w:rsidRPr="00EC20A0">
          <w:t>Provided</w:t>
        </w:r>
        <w:r w:rsidRPr="00EC20A0">
          <w:rPr>
            <w:spacing w:val="-7"/>
          </w:rPr>
          <w:t xml:space="preserve"> </w:t>
        </w:r>
        <w:r w:rsidRPr="00EC20A0">
          <w:t>in</w:t>
        </w:r>
        <w:r w:rsidRPr="00EC20A0">
          <w:rPr>
            <w:spacing w:val="-8"/>
          </w:rPr>
          <w:t xml:space="preserve"> </w:t>
        </w:r>
        <w:r w:rsidRPr="00EC20A0">
          <w:rPr>
            <w:spacing w:val="-10"/>
          </w:rPr>
          <w:t>5</w:t>
        </w:r>
      </w:hyperlink>
    </w:p>
    <w:p w14:paraId="24D5FDCD" w14:textId="77777777" w:rsidR="00245300" w:rsidRPr="00EC20A0" w:rsidRDefault="00F17249">
      <w:pPr>
        <w:pStyle w:val="BodyText"/>
        <w:spacing w:before="26"/>
        <w:ind w:left="2580"/>
      </w:pPr>
      <w:hyperlink w:anchor="_bookmark141" w:history="1">
        <w:r w:rsidRPr="00EC20A0">
          <w:t>U.S.C.</w:t>
        </w:r>
        <w:r w:rsidRPr="00EC20A0">
          <w:rPr>
            <w:spacing w:val="-9"/>
          </w:rPr>
          <w:t xml:space="preserve"> </w:t>
        </w:r>
        <w:r w:rsidRPr="00EC20A0">
          <w:t>Chapter</w:t>
        </w:r>
        <w:r w:rsidRPr="00EC20A0">
          <w:rPr>
            <w:spacing w:val="-9"/>
          </w:rPr>
          <w:t xml:space="preserve"> </w:t>
        </w:r>
        <w:r w:rsidRPr="00EC20A0">
          <w:rPr>
            <w:spacing w:val="-5"/>
          </w:rPr>
          <w:t>84</w:t>
        </w:r>
      </w:hyperlink>
    </w:p>
    <w:p w14:paraId="24D5FDCE" w14:textId="77777777" w:rsidR="00245300" w:rsidRPr="00EC20A0" w:rsidRDefault="00F17249">
      <w:pPr>
        <w:pStyle w:val="Heading6"/>
        <w:tabs>
          <w:tab w:val="left" w:pos="2580"/>
        </w:tabs>
        <w:spacing w:before="129"/>
        <w:ind w:left="960"/>
      </w:pPr>
      <w:hyperlink w:anchor="_bookmark148" w:history="1">
        <w:r w:rsidRPr="00EC20A0">
          <w:rPr>
            <w:spacing w:val="-5"/>
          </w:rPr>
          <w:t>900</w:t>
        </w:r>
        <w:r w:rsidRPr="00EC20A0">
          <w:tab/>
          <w:t>Substantive</w:t>
        </w:r>
        <w:r w:rsidRPr="00EC20A0">
          <w:rPr>
            <w:spacing w:val="-13"/>
          </w:rPr>
          <w:t xml:space="preserve"> </w:t>
        </w:r>
        <w:r w:rsidRPr="00EC20A0">
          <w:t>Testing</w:t>
        </w:r>
        <w:r w:rsidRPr="00EC20A0">
          <w:rPr>
            <w:spacing w:val="-13"/>
          </w:rPr>
          <w:t xml:space="preserve"> </w:t>
        </w:r>
        <w:r w:rsidRPr="00EC20A0">
          <w:t>Implementation</w:t>
        </w:r>
        <w:r w:rsidRPr="00EC20A0">
          <w:rPr>
            <w:spacing w:val="-13"/>
          </w:rPr>
          <w:t xml:space="preserve"> </w:t>
        </w:r>
        <w:r w:rsidRPr="00EC20A0">
          <w:rPr>
            <w:spacing w:val="-2"/>
          </w:rPr>
          <w:t>Guidance</w:t>
        </w:r>
      </w:hyperlink>
    </w:p>
    <w:p w14:paraId="24D5FDCF" w14:textId="77777777" w:rsidR="00245300" w:rsidRPr="00EC20A0" w:rsidRDefault="00F17249">
      <w:pPr>
        <w:pStyle w:val="BodyText"/>
        <w:tabs>
          <w:tab w:val="left" w:pos="2587"/>
        </w:tabs>
        <w:spacing w:before="138"/>
        <w:ind w:left="967"/>
      </w:pPr>
      <w:hyperlink w:anchor="_bookmark149" w:history="1">
        <w:r w:rsidRPr="00EC20A0">
          <w:rPr>
            <w:spacing w:val="-5"/>
          </w:rPr>
          <w:t>902</w:t>
        </w:r>
        <w:r w:rsidRPr="00EC20A0">
          <w:tab/>
          <w:t>Intragovernmental</w:t>
        </w:r>
        <w:r w:rsidRPr="00EC20A0">
          <w:rPr>
            <w:spacing w:val="-11"/>
          </w:rPr>
          <w:t xml:space="preserve"> </w:t>
        </w:r>
        <w:r w:rsidRPr="00EC20A0">
          <w:t>Activity</w:t>
        </w:r>
        <w:r w:rsidRPr="00EC20A0">
          <w:rPr>
            <w:spacing w:val="-11"/>
          </w:rPr>
          <w:t xml:space="preserve"> </w:t>
        </w:r>
        <w:r w:rsidRPr="00EC20A0">
          <w:t>and</w:t>
        </w:r>
        <w:r w:rsidRPr="00EC20A0">
          <w:rPr>
            <w:spacing w:val="-11"/>
          </w:rPr>
          <w:t xml:space="preserve"> </w:t>
        </w:r>
        <w:r w:rsidRPr="00EC20A0">
          <w:rPr>
            <w:spacing w:val="-2"/>
          </w:rPr>
          <w:t>Balances</w:t>
        </w:r>
      </w:hyperlink>
    </w:p>
    <w:p w14:paraId="24D5FDD0" w14:textId="77777777" w:rsidR="00245300" w:rsidRPr="00EC20A0" w:rsidRDefault="00F17249">
      <w:pPr>
        <w:pStyle w:val="BodyText"/>
        <w:tabs>
          <w:tab w:val="left" w:pos="2580"/>
        </w:tabs>
        <w:spacing w:before="21" w:line="259" w:lineRule="auto"/>
        <w:ind w:left="2580" w:right="1756" w:hanging="1613"/>
      </w:pPr>
      <w:hyperlink w:anchor="_bookmark164" w:history="1">
        <w:r w:rsidRPr="00EC20A0">
          <w:t xml:space="preserve">902 </w:t>
        </w:r>
        <w:proofErr w:type="gramStart"/>
        <w:r w:rsidRPr="00EC20A0">
          <w:t>A</w:t>
        </w:r>
        <w:proofErr w:type="gramEnd"/>
        <w:r w:rsidRPr="00EC20A0">
          <w:tab/>
          <w:t>Example</w:t>
        </w:r>
        <w:r w:rsidRPr="00EC20A0">
          <w:rPr>
            <w:spacing w:val="-7"/>
          </w:rPr>
          <w:t xml:space="preserve"> </w:t>
        </w:r>
        <w:r w:rsidRPr="00EC20A0">
          <w:t>Audit</w:t>
        </w:r>
        <w:r w:rsidRPr="00EC20A0">
          <w:rPr>
            <w:spacing w:val="-7"/>
          </w:rPr>
          <w:t xml:space="preserve"> </w:t>
        </w:r>
        <w:r w:rsidRPr="00EC20A0">
          <w:t>Procedures</w:t>
        </w:r>
        <w:r w:rsidRPr="00EC20A0">
          <w:rPr>
            <w:spacing w:val="-7"/>
          </w:rPr>
          <w:t xml:space="preserve"> </w:t>
        </w:r>
        <w:r w:rsidRPr="00EC20A0">
          <w:t>for</w:t>
        </w:r>
        <w:r w:rsidRPr="00EC20A0">
          <w:rPr>
            <w:spacing w:val="-7"/>
          </w:rPr>
          <w:t xml:space="preserve"> </w:t>
        </w:r>
        <w:r w:rsidRPr="00EC20A0">
          <w:t>Intragovernmental</w:t>
        </w:r>
        <w:r w:rsidRPr="00EC20A0">
          <w:rPr>
            <w:spacing w:val="-7"/>
          </w:rPr>
          <w:t xml:space="preserve"> </w:t>
        </w:r>
        <w:r w:rsidRPr="00EC20A0">
          <w:t>Activity</w:t>
        </w:r>
        <w:r w:rsidRPr="00EC20A0">
          <w:rPr>
            <w:spacing w:val="-8"/>
          </w:rPr>
          <w:t xml:space="preserve"> </w:t>
        </w:r>
        <w:r w:rsidRPr="00EC20A0">
          <w:t xml:space="preserve">and </w:t>
        </w:r>
        <w:r w:rsidRPr="00EC20A0">
          <w:rPr>
            <w:spacing w:val="-2"/>
          </w:rPr>
          <w:t>Balances</w:t>
        </w:r>
      </w:hyperlink>
    </w:p>
    <w:p w14:paraId="24D5FDD1" w14:textId="77777777" w:rsidR="00245300" w:rsidRPr="00EC20A0" w:rsidRDefault="00F17249">
      <w:pPr>
        <w:pStyle w:val="BodyText"/>
        <w:tabs>
          <w:tab w:val="left" w:pos="2588"/>
        </w:tabs>
        <w:spacing w:line="251" w:lineRule="exact"/>
        <w:ind w:left="967"/>
      </w:pPr>
      <w:hyperlink w:anchor="_bookmark169" w:history="1">
        <w:r w:rsidRPr="00EC20A0">
          <w:rPr>
            <w:spacing w:val="-5"/>
          </w:rPr>
          <w:t>903</w:t>
        </w:r>
        <w:r w:rsidRPr="00EC20A0">
          <w:tab/>
          <w:t>Auditing</w:t>
        </w:r>
        <w:r w:rsidRPr="00EC20A0">
          <w:rPr>
            <w:spacing w:val="-8"/>
          </w:rPr>
          <w:t xml:space="preserve"> </w:t>
        </w:r>
        <w:r w:rsidRPr="00EC20A0">
          <w:t>Cost</w:t>
        </w:r>
        <w:r w:rsidRPr="00EC20A0">
          <w:rPr>
            <w:spacing w:val="-7"/>
          </w:rPr>
          <w:t xml:space="preserve"> </w:t>
        </w:r>
        <w:r w:rsidRPr="00EC20A0">
          <w:rPr>
            <w:spacing w:val="-2"/>
          </w:rPr>
          <w:t>Information</w:t>
        </w:r>
      </w:hyperlink>
    </w:p>
    <w:p w14:paraId="24D5FDD2" w14:textId="77777777" w:rsidR="00245300" w:rsidRPr="00EC20A0" w:rsidRDefault="00F17249">
      <w:pPr>
        <w:pStyle w:val="BodyText"/>
        <w:tabs>
          <w:tab w:val="left" w:pos="2588"/>
        </w:tabs>
        <w:spacing w:before="18"/>
        <w:ind w:left="967"/>
      </w:pPr>
      <w:hyperlink w:anchor="_bookmark170" w:history="1">
        <w:r w:rsidRPr="00EC20A0">
          <w:rPr>
            <w:spacing w:val="-5"/>
          </w:rPr>
          <w:t>904</w:t>
        </w:r>
        <w:r w:rsidRPr="00EC20A0">
          <w:tab/>
          <w:t>Disclosure</w:t>
        </w:r>
        <w:r w:rsidRPr="00EC20A0">
          <w:rPr>
            <w:spacing w:val="-11"/>
          </w:rPr>
          <w:t xml:space="preserve"> </w:t>
        </w:r>
        <w:r w:rsidRPr="00EC20A0">
          <w:t>Entities,</w:t>
        </w:r>
        <w:r w:rsidRPr="00EC20A0">
          <w:rPr>
            <w:spacing w:val="-11"/>
          </w:rPr>
          <w:t xml:space="preserve"> </w:t>
        </w:r>
        <w:r w:rsidRPr="00EC20A0">
          <w:t>Related</w:t>
        </w:r>
        <w:r w:rsidRPr="00EC20A0">
          <w:rPr>
            <w:spacing w:val="-10"/>
          </w:rPr>
          <w:t xml:space="preserve"> </w:t>
        </w:r>
        <w:r w:rsidRPr="00EC20A0">
          <w:t>Parties,</w:t>
        </w:r>
        <w:r w:rsidRPr="00EC20A0">
          <w:rPr>
            <w:spacing w:val="-10"/>
          </w:rPr>
          <w:t xml:space="preserve"> </w:t>
        </w:r>
        <w:r w:rsidRPr="00EC20A0">
          <w:t>and</w:t>
        </w:r>
        <w:r w:rsidRPr="00EC20A0">
          <w:rPr>
            <w:spacing w:val="-10"/>
          </w:rPr>
          <w:t xml:space="preserve"> </w:t>
        </w:r>
        <w:r w:rsidRPr="00EC20A0">
          <w:t>Public-Private</w:t>
        </w:r>
        <w:r w:rsidRPr="00EC20A0">
          <w:rPr>
            <w:spacing w:val="-10"/>
          </w:rPr>
          <w:t xml:space="preserve"> </w:t>
        </w:r>
        <w:r w:rsidRPr="00EC20A0">
          <w:rPr>
            <w:spacing w:val="-2"/>
          </w:rPr>
          <w:t>Partnershi</w:t>
        </w:r>
      </w:hyperlink>
      <w:r w:rsidRPr="00EC20A0">
        <w:rPr>
          <w:spacing w:val="-2"/>
        </w:rPr>
        <w:t>ps</w:t>
      </w:r>
    </w:p>
    <w:p w14:paraId="24D5FDD3" w14:textId="77777777" w:rsidR="00245300" w:rsidRPr="00EC20A0" w:rsidRDefault="00F17249">
      <w:pPr>
        <w:pStyle w:val="BodyText"/>
        <w:tabs>
          <w:tab w:val="left" w:pos="2587"/>
        </w:tabs>
        <w:spacing w:before="19"/>
        <w:ind w:left="967"/>
      </w:pPr>
      <w:hyperlink w:anchor="_bookmark171" w:history="1">
        <w:r w:rsidRPr="00EC20A0">
          <w:rPr>
            <w:spacing w:val="-5"/>
          </w:rPr>
          <w:t>905</w:t>
        </w:r>
        <w:r w:rsidRPr="00EC20A0">
          <w:tab/>
          <w:t>Auditing</w:t>
        </w:r>
        <w:r w:rsidRPr="00EC20A0">
          <w:rPr>
            <w:spacing w:val="-11"/>
          </w:rPr>
          <w:t xml:space="preserve"> </w:t>
        </w:r>
        <w:r w:rsidRPr="00EC20A0">
          <w:t>Accounting</w:t>
        </w:r>
        <w:r w:rsidRPr="00EC20A0">
          <w:rPr>
            <w:spacing w:val="-11"/>
          </w:rPr>
          <w:t xml:space="preserve"> </w:t>
        </w:r>
        <w:r w:rsidRPr="00EC20A0">
          <w:rPr>
            <w:spacing w:val="-2"/>
          </w:rPr>
          <w:t>Estimates</w:t>
        </w:r>
      </w:hyperlink>
    </w:p>
    <w:p w14:paraId="24D5FDD4" w14:textId="77777777" w:rsidR="00245300" w:rsidRPr="00EC20A0" w:rsidRDefault="00F17249">
      <w:pPr>
        <w:pStyle w:val="BodyText"/>
        <w:tabs>
          <w:tab w:val="left" w:pos="2587"/>
        </w:tabs>
        <w:spacing w:before="21"/>
        <w:ind w:left="967"/>
      </w:pPr>
      <w:hyperlink w:anchor="_bookmark172" w:history="1">
        <w:r w:rsidRPr="00EC20A0">
          <w:rPr>
            <w:spacing w:val="-5"/>
          </w:rPr>
          <w:t>921</w:t>
        </w:r>
        <w:r w:rsidRPr="00EC20A0">
          <w:tab/>
          <w:t>Auditing</w:t>
        </w:r>
        <w:r w:rsidRPr="00EC20A0">
          <w:rPr>
            <w:spacing w:val="-8"/>
          </w:rPr>
          <w:t xml:space="preserve"> </w:t>
        </w:r>
        <w:r w:rsidRPr="00EC20A0">
          <w:t>Fund</w:t>
        </w:r>
        <w:r w:rsidRPr="00EC20A0">
          <w:rPr>
            <w:spacing w:val="-7"/>
          </w:rPr>
          <w:t xml:space="preserve"> </w:t>
        </w:r>
        <w:r w:rsidRPr="00EC20A0">
          <w:t>Balance</w:t>
        </w:r>
        <w:r w:rsidRPr="00EC20A0">
          <w:rPr>
            <w:spacing w:val="-8"/>
          </w:rPr>
          <w:t xml:space="preserve"> </w:t>
        </w:r>
        <w:r w:rsidRPr="00EC20A0">
          <w:t>with</w:t>
        </w:r>
        <w:r w:rsidRPr="00EC20A0">
          <w:rPr>
            <w:spacing w:val="-7"/>
          </w:rPr>
          <w:t xml:space="preserve"> </w:t>
        </w:r>
        <w:r w:rsidRPr="00EC20A0">
          <w:rPr>
            <w:spacing w:val="-2"/>
          </w:rPr>
          <w:t>Treasury</w:t>
        </w:r>
      </w:hyperlink>
    </w:p>
    <w:p w14:paraId="24D5FDD5" w14:textId="77777777" w:rsidR="00245300" w:rsidRPr="00EC20A0" w:rsidRDefault="00F17249">
      <w:pPr>
        <w:pStyle w:val="BodyText"/>
        <w:tabs>
          <w:tab w:val="left" w:pos="2580"/>
        </w:tabs>
        <w:spacing w:before="19" w:line="259" w:lineRule="auto"/>
        <w:ind w:left="967" w:right="1968"/>
      </w:pPr>
      <w:hyperlink w:anchor="_bookmark190" w:history="1">
        <w:r w:rsidRPr="00EC20A0">
          <w:t xml:space="preserve">921 </w:t>
        </w:r>
        <w:proofErr w:type="gramStart"/>
        <w:r w:rsidRPr="00EC20A0">
          <w:t>A</w:t>
        </w:r>
        <w:proofErr w:type="gramEnd"/>
        <w:r w:rsidRPr="00EC20A0">
          <w:tab/>
        </w:r>
        <w:r w:rsidRPr="00EC20A0">
          <w:rPr>
            <w:spacing w:val="-54"/>
          </w:rPr>
          <w:t xml:space="preserve"> </w:t>
        </w:r>
        <w:r w:rsidRPr="00EC20A0">
          <w:t>Example</w:t>
        </w:r>
        <w:r w:rsidRPr="00EC20A0">
          <w:rPr>
            <w:spacing w:val="-6"/>
          </w:rPr>
          <w:t xml:space="preserve"> </w:t>
        </w:r>
        <w:r w:rsidRPr="00EC20A0">
          <w:t>Audit</w:t>
        </w:r>
        <w:r w:rsidRPr="00EC20A0">
          <w:rPr>
            <w:spacing w:val="-6"/>
          </w:rPr>
          <w:t xml:space="preserve"> </w:t>
        </w:r>
        <w:r w:rsidRPr="00EC20A0">
          <w:t>Procedures</w:t>
        </w:r>
        <w:r w:rsidRPr="00EC20A0">
          <w:rPr>
            <w:spacing w:val="-5"/>
          </w:rPr>
          <w:t xml:space="preserve"> </w:t>
        </w:r>
        <w:r w:rsidRPr="00EC20A0">
          <w:t>for</w:t>
        </w:r>
        <w:r w:rsidRPr="00EC20A0">
          <w:rPr>
            <w:spacing w:val="-6"/>
          </w:rPr>
          <w:t xml:space="preserve"> </w:t>
        </w:r>
        <w:r w:rsidRPr="00EC20A0">
          <w:t>Fund</w:t>
        </w:r>
        <w:r w:rsidRPr="00EC20A0">
          <w:rPr>
            <w:spacing w:val="-7"/>
          </w:rPr>
          <w:t xml:space="preserve"> </w:t>
        </w:r>
        <w:r w:rsidRPr="00EC20A0">
          <w:t>Balance</w:t>
        </w:r>
        <w:r w:rsidRPr="00EC20A0">
          <w:rPr>
            <w:spacing w:val="-6"/>
          </w:rPr>
          <w:t xml:space="preserve"> </w:t>
        </w:r>
        <w:r w:rsidRPr="00EC20A0">
          <w:t>with</w:t>
        </w:r>
        <w:r w:rsidRPr="00EC20A0">
          <w:rPr>
            <w:spacing w:val="-6"/>
          </w:rPr>
          <w:t xml:space="preserve"> </w:t>
        </w:r>
        <w:r w:rsidRPr="00EC20A0">
          <w:t>Treasury</w:t>
        </w:r>
      </w:hyperlink>
      <w:r w:rsidRPr="00EC20A0">
        <w:t xml:space="preserve"> </w:t>
      </w:r>
      <w:hyperlink w:anchor="_bookmark192" w:history="1">
        <w:r w:rsidRPr="00EC20A0">
          <w:t>921 B</w:t>
        </w:r>
        <w:r w:rsidRPr="00EC20A0">
          <w:tab/>
          <w:t>Example Audit Procedures for Auditing TAS and BETC</w:t>
        </w:r>
      </w:hyperlink>
      <w:r w:rsidRPr="00EC20A0">
        <w:rPr>
          <w:spacing w:val="40"/>
        </w:rPr>
        <w:t xml:space="preserve"> </w:t>
      </w:r>
      <w:hyperlink w:anchor="_bookmark193" w:history="1">
        <w:r w:rsidRPr="00EC20A0">
          <w:rPr>
            <w:spacing w:val="-4"/>
          </w:rPr>
          <w:t>931</w:t>
        </w:r>
        <w:r w:rsidRPr="00EC20A0">
          <w:tab/>
        </w:r>
        <w:r w:rsidRPr="00EC20A0">
          <w:rPr>
            <w:spacing w:val="-49"/>
          </w:rPr>
          <w:t xml:space="preserve"> </w:t>
        </w:r>
        <w:r w:rsidRPr="00EC20A0">
          <w:t>Auditing Heritage Assets and Stewardship Land</w:t>
        </w:r>
      </w:hyperlink>
    </w:p>
    <w:p w14:paraId="24D5FDD6" w14:textId="77777777" w:rsidR="00245300" w:rsidRPr="00EC20A0" w:rsidRDefault="00F17249">
      <w:pPr>
        <w:pStyle w:val="BodyText"/>
        <w:tabs>
          <w:tab w:val="left" w:pos="2580"/>
        </w:tabs>
        <w:spacing w:line="259" w:lineRule="auto"/>
        <w:ind w:left="2580" w:right="1434" w:hanging="1613"/>
      </w:pPr>
      <w:hyperlink w:anchor="_bookmark195" w:history="1">
        <w:r w:rsidRPr="00EC20A0">
          <w:rPr>
            <w:spacing w:val="-4"/>
          </w:rPr>
          <w:t>941</w:t>
        </w:r>
        <w:r w:rsidRPr="00EC20A0">
          <w:tab/>
          <w:t>Auditing</w:t>
        </w:r>
        <w:r w:rsidRPr="00EC20A0">
          <w:rPr>
            <w:spacing w:val="-4"/>
          </w:rPr>
          <w:t xml:space="preserve"> </w:t>
        </w:r>
        <w:r w:rsidRPr="00EC20A0">
          <w:t>the</w:t>
        </w:r>
        <w:r w:rsidRPr="00EC20A0">
          <w:rPr>
            <w:spacing w:val="-5"/>
          </w:rPr>
          <w:t xml:space="preserve"> </w:t>
        </w:r>
        <w:r w:rsidRPr="00EC20A0">
          <w:t>Statement</w:t>
        </w:r>
        <w:r w:rsidRPr="00EC20A0">
          <w:rPr>
            <w:spacing w:val="-4"/>
          </w:rPr>
          <w:t xml:space="preserve"> </w:t>
        </w:r>
        <w:r w:rsidRPr="00EC20A0">
          <w:t>of</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Statement</w:t>
        </w:r>
        <w:r w:rsidRPr="00EC20A0">
          <w:rPr>
            <w:spacing w:val="-4"/>
          </w:rPr>
          <w:t xml:space="preserve"> </w:t>
        </w:r>
        <w:r w:rsidRPr="00EC20A0">
          <w:t>of Changes in Social Insurance Amounts</w:t>
        </w:r>
      </w:hyperlink>
    </w:p>
    <w:p w14:paraId="24D5FDD7" w14:textId="77777777" w:rsidR="00245300" w:rsidRPr="00EC20A0" w:rsidRDefault="00F17249">
      <w:pPr>
        <w:pStyle w:val="Heading6"/>
        <w:tabs>
          <w:tab w:val="left" w:pos="2580"/>
        </w:tabs>
        <w:spacing w:before="105"/>
        <w:ind w:left="968"/>
      </w:pPr>
      <w:hyperlink w:anchor="_bookmark207" w:history="1">
        <w:r w:rsidRPr="00EC20A0">
          <w:rPr>
            <w:spacing w:val="-4"/>
          </w:rPr>
          <w:t>1000</w:t>
        </w:r>
        <w:r w:rsidRPr="00EC20A0">
          <w:tab/>
          <w:t>Reporting</w:t>
        </w:r>
        <w:r w:rsidRPr="00EC20A0">
          <w:rPr>
            <w:spacing w:val="-15"/>
          </w:rPr>
          <w:t xml:space="preserve"> </w:t>
        </w:r>
        <w:r w:rsidRPr="00EC20A0">
          <w:t>Implementation</w:t>
        </w:r>
        <w:r w:rsidRPr="00EC20A0">
          <w:rPr>
            <w:spacing w:val="-14"/>
          </w:rPr>
          <w:t xml:space="preserve"> </w:t>
        </w:r>
        <w:r w:rsidRPr="00EC20A0">
          <w:rPr>
            <w:spacing w:val="-2"/>
          </w:rPr>
          <w:t>Guidance</w:t>
        </w:r>
      </w:hyperlink>
    </w:p>
    <w:p w14:paraId="24D5FDD8" w14:textId="77777777" w:rsidR="00245300" w:rsidRPr="00EC20A0" w:rsidRDefault="00F17249">
      <w:pPr>
        <w:pStyle w:val="BodyText"/>
        <w:tabs>
          <w:tab w:val="left" w:pos="2588"/>
        </w:tabs>
        <w:spacing w:before="132"/>
        <w:ind w:left="968"/>
      </w:pPr>
      <w:hyperlink w:anchor="_bookmark208" w:history="1">
        <w:r w:rsidRPr="00EC20A0">
          <w:rPr>
            <w:spacing w:val="-4"/>
          </w:rPr>
          <w:t>1001</w:t>
        </w:r>
        <w:r w:rsidRPr="00EC20A0">
          <w:tab/>
          <w:t>Management</w:t>
        </w:r>
        <w:r w:rsidRPr="00EC20A0">
          <w:rPr>
            <w:spacing w:val="-14"/>
          </w:rPr>
          <w:t xml:space="preserve"> </w:t>
        </w:r>
        <w:r w:rsidRPr="00EC20A0">
          <w:rPr>
            <w:spacing w:val="-2"/>
          </w:rPr>
          <w:t>Representations</w:t>
        </w:r>
      </w:hyperlink>
    </w:p>
    <w:p w14:paraId="24D5FDD9" w14:textId="77777777" w:rsidR="00245300" w:rsidRPr="00EC20A0" w:rsidRDefault="00F17249">
      <w:pPr>
        <w:pStyle w:val="BodyText"/>
        <w:tabs>
          <w:tab w:val="left" w:pos="2588"/>
        </w:tabs>
        <w:spacing w:before="18" w:line="259" w:lineRule="auto"/>
        <w:ind w:left="968" w:right="3313"/>
      </w:pPr>
      <w:hyperlink w:anchor="_bookmark209" w:history="1">
        <w:r w:rsidRPr="00EC20A0">
          <w:t>1001 A</w:t>
        </w:r>
        <w:r w:rsidRPr="00EC20A0">
          <w:tab/>
          <w:t>Management</w:t>
        </w:r>
        <w:r w:rsidRPr="00EC20A0">
          <w:rPr>
            <w:spacing w:val="-13"/>
          </w:rPr>
          <w:t xml:space="preserve"> </w:t>
        </w:r>
        <w:r w:rsidRPr="00EC20A0">
          <w:t>Representation</w:t>
        </w:r>
        <w:r w:rsidRPr="00EC20A0">
          <w:rPr>
            <w:spacing w:val="-13"/>
          </w:rPr>
          <w:t xml:space="preserve"> </w:t>
        </w:r>
        <w:r w:rsidRPr="00EC20A0">
          <w:t>Letter</w:t>
        </w:r>
        <w:r w:rsidRPr="00EC20A0">
          <w:rPr>
            <w:spacing w:val="-15"/>
          </w:rPr>
          <w:t xml:space="preserve"> </w:t>
        </w:r>
        <w:r w:rsidRPr="00EC20A0">
          <w:t>Example</w:t>
        </w:r>
      </w:hyperlink>
      <w:r w:rsidRPr="00EC20A0">
        <w:t xml:space="preserve"> </w:t>
      </w:r>
      <w:hyperlink w:anchor="_bookmark213" w:history="1">
        <w:r w:rsidRPr="00EC20A0">
          <w:rPr>
            <w:spacing w:val="-4"/>
          </w:rPr>
          <w:t>1002</w:t>
        </w:r>
        <w:r w:rsidRPr="00EC20A0">
          <w:tab/>
          <w:t>Litigation, Claims, and Assessments</w:t>
        </w:r>
      </w:hyperlink>
    </w:p>
    <w:p w14:paraId="24D5FDDA" w14:textId="77777777" w:rsidR="00245300" w:rsidRPr="00EC20A0" w:rsidRDefault="00F17249">
      <w:pPr>
        <w:pStyle w:val="BodyText"/>
        <w:tabs>
          <w:tab w:val="left" w:pos="2588"/>
        </w:tabs>
        <w:spacing w:line="256" w:lineRule="auto"/>
        <w:ind w:left="968" w:right="1173"/>
      </w:pPr>
      <w:hyperlink w:anchor="_bookmark223" w:history="1">
        <w:r w:rsidRPr="00EC20A0">
          <w:t xml:space="preserve">1002 </w:t>
        </w:r>
        <w:proofErr w:type="gramStart"/>
        <w:r w:rsidRPr="00EC20A0">
          <w:t>A</w:t>
        </w:r>
        <w:proofErr w:type="gramEnd"/>
        <w:r w:rsidRPr="00EC20A0">
          <w:tab/>
          <w:t>Example</w:t>
        </w:r>
        <w:r w:rsidRPr="00EC20A0">
          <w:rPr>
            <w:spacing w:val="-6"/>
          </w:rPr>
          <w:t xml:space="preserve"> </w:t>
        </w:r>
        <w:r w:rsidRPr="00EC20A0">
          <w:t>Audit</w:t>
        </w:r>
        <w:r w:rsidRPr="00EC20A0">
          <w:rPr>
            <w:spacing w:val="-6"/>
          </w:rPr>
          <w:t xml:space="preserve"> </w:t>
        </w:r>
        <w:r w:rsidRPr="00EC20A0">
          <w:t>Procedures</w:t>
        </w:r>
        <w:r w:rsidRPr="00EC20A0">
          <w:rPr>
            <w:spacing w:val="-6"/>
          </w:rPr>
          <w:t xml:space="preserve"> </w:t>
        </w:r>
        <w:r w:rsidRPr="00EC20A0">
          <w:t>for</w:t>
        </w:r>
        <w:r w:rsidRPr="00EC20A0">
          <w:rPr>
            <w:spacing w:val="-6"/>
          </w:rPr>
          <w:t xml:space="preserve"> </w:t>
        </w:r>
        <w:r w:rsidRPr="00EC20A0">
          <w:t>Litigation,</w:t>
        </w:r>
        <w:r w:rsidRPr="00EC20A0">
          <w:rPr>
            <w:spacing w:val="-6"/>
          </w:rPr>
          <w:t xml:space="preserve"> </w:t>
        </w:r>
        <w:r w:rsidRPr="00EC20A0">
          <w:t>Claims,</w:t>
        </w:r>
        <w:r w:rsidRPr="00EC20A0">
          <w:rPr>
            <w:spacing w:val="-6"/>
          </w:rPr>
          <w:t xml:space="preserve"> </w:t>
        </w:r>
        <w:r w:rsidRPr="00EC20A0">
          <w:t>and</w:t>
        </w:r>
        <w:r w:rsidRPr="00EC20A0">
          <w:rPr>
            <w:spacing w:val="-6"/>
          </w:rPr>
          <w:t xml:space="preserve"> </w:t>
        </w:r>
        <w:r w:rsidRPr="00EC20A0">
          <w:t>Assessments</w:t>
        </w:r>
      </w:hyperlink>
      <w:r w:rsidRPr="00EC20A0">
        <w:t xml:space="preserve"> </w:t>
      </w:r>
      <w:hyperlink w:anchor="_bookmark224" w:history="1">
        <w:r w:rsidRPr="00EC20A0">
          <w:t>1002 B</w:t>
        </w:r>
        <w:r w:rsidRPr="00EC20A0">
          <w:tab/>
          <w:t>Example Legal Counsel Request</w:t>
        </w:r>
      </w:hyperlink>
    </w:p>
    <w:p w14:paraId="24D5FDDB" w14:textId="77777777" w:rsidR="00245300" w:rsidRPr="00EC20A0" w:rsidRDefault="00F17249">
      <w:pPr>
        <w:pStyle w:val="BodyText"/>
        <w:tabs>
          <w:tab w:val="left" w:pos="2588"/>
        </w:tabs>
        <w:spacing w:before="1" w:line="259" w:lineRule="auto"/>
        <w:ind w:left="968" w:right="4314" w:hanging="1"/>
      </w:pPr>
      <w:hyperlink w:anchor="_bookmark226" w:history="1">
        <w:r w:rsidRPr="00EC20A0">
          <w:t>1002 C</w:t>
        </w:r>
        <w:r w:rsidRPr="00EC20A0">
          <w:tab/>
          <w:t>Example</w:t>
        </w:r>
        <w:r w:rsidRPr="00EC20A0">
          <w:rPr>
            <w:spacing w:val="-13"/>
          </w:rPr>
          <w:t xml:space="preserve"> </w:t>
        </w:r>
        <w:r w:rsidRPr="00EC20A0">
          <w:t>Legal</w:t>
        </w:r>
        <w:r w:rsidRPr="00EC20A0">
          <w:rPr>
            <w:spacing w:val="-13"/>
          </w:rPr>
          <w:t xml:space="preserve"> </w:t>
        </w:r>
        <w:r w:rsidRPr="00EC20A0">
          <w:t>Counsel</w:t>
        </w:r>
        <w:r w:rsidRPr="00EC20A0">
          <w:rPr>
            <w:spacing w:val="-14"/>
          </w:rPr>
          <w:t xml:space="preserve"> </w:t>
        </w:r>
        <w:r w:rsidRPr="00EC20A0">
          <w:t>Response</w:t>
        </w:r>
      </w:hyperlink>
      <w:r w:rsidRPr="00EC20A0">
        <w:t xml:space="preserve"> </w:t>
      </w:r>
      <w:hyperlink w:anchor="_bookmark228" w:history="1">
        <w:r w:rsidRPr="00EC20A0">
          <w:t>1002 D</w:t>
        </w:r>
        <w:r w:rsidRPr="00EC20A0">
          <w:tab/>
          <w:t>Example Management Schedule</w:t>
        </w:r>
      </w:hyperlink>
    </w:p>
    <w:p w14:paraId="24D5FDDC" w14:textId="77777777" w:rsidR="00245300" w:rsidRPr="00EC20A0" w:rsidRDefault="00F17249">
      <w:pPr>
        <w:pStyle w:val="BodyText"/>
        <w:tabs>
          <w:tab w:val="left" w:pos="2588"/>
        </w:tabs>
        <w:spacing w:line="259" w:lineRule="auto"/>
        <w:ind w:left="968" w:right="3053"/>
      </w:pPr>
      <w:hyperlink w:anchor="_bookmark229" w:history="1">
        <w:r w:rsidRPr="00EC20A0">
          <w:rPr>
            <w:spacing w:val="-4"/>
          </w:rPr>
          <w:t>1003</w:t>
        </w:r>
        <w:r w:rsidRPr="00EC20A0">
          <w:tab/>
          <w:t>Financial</w:t>
        </w:r>
        <w:r w:rsidRPr="00EC20A0">
          <w:rPr>
            <w:spacing w:val="-9"/>
          </w:rPr>
          <w:t xml:space="preserve"> </w:t>
        </w:r>
        <w:r w:rsidRPr="00EC20A0">
          <w:t>Statement</w:t>
        </w:r>
        <w:r w:rsidRPr="00EC20A0">
          <w:rPr>
            <w:spacing w:val="-9"/>
          </w:rPr>
          <w:t xml:space="preserve"> </w:t>
        </w:r>
        <w:r w:rsidRPr="00EC20A0">
          <w:t>Audit</w:t>
        </w:r>
        <w:r w:rsidRPr="00EC20A0">
          <w:rPr>
            <w:spacing w:val="-9"/>
          </w:rPr>
          <w:t xml:space="preserve"> </w:t>
        </w:r>
        <w:r w:rsidRPr="00EC20A0">
          <w:t>Completion</w:t>
        </w:r>
        <w:r w:rsidRPr="00EC20A0">
          <w:rPr>
            <w:spacing w:val="-9"/>
          </w:rPr>
          <w:t xml:space="preserve"> </w:t>
        </w:r>
        <w:r w:rsidRPr="00EC20A0">
          <w:t>Checklist</w:t>
        </w:r>
      </w:hyperlink>
      <w:r w:rsidRPr="00EC20A0">
        <w:t xml:space="preserve"> </w:t>
      </w:r>
      <w:hyperlink w:anchor="_bookmark233" w:history="1">
        <w:r w:rsidRPr="00EC20A0">
          <w:rPr>
            <w:spacing w:val="-4"/>
          </w:rPr>
          <w:t>1005</w:t>
        </w:r>
        <w:r w:rsidRPr="00EC20A0">
          <w:tab/>
          <w:t>Subsequent Events Review</w:t>
        </w:r>
      </w:hyperlink>
    </w:p>
    <w:p w14:paraId="24D5FDDD" w14:textId="77777777" w:rsidR="00245300" w:rsidRPr="00EC20A0" w:rsidRDefault="00245300">
      <w:pPr>
        <w:spacing w:line="259" w:lineRule="auto"/>
        <w:sectPr w:rsidR="00245300" w:rsidRPr="00EC20A0">
          <w:pgSz w:w="12240" w:h="15840"/>
          <w:pgMar w:top="1100" w:right="940" w:bottom="940" w:left="1020" w:header="721" w:footer="757" w:gutter="0"/>
          <w:cols w:space="720"/>
        </w:sectPr>
      </w:pPr>
    </w:p>
    <w:p w14:paraId="24D5FDDE" w14:textId="77777777" w:rsidR="00245300" w:rsidRPr="00EC20A0" w:rsidRDefault="00F17249">
      <w:pPr>
        <w:pStyle w:val="BodyText"/>
        <w:spacing w:line="20" w:lineRule="exact"/>
        <w:ind w:left="356"/>
        <w:rPr>
          <w:sz w:val="2"/>
        </w:rPr>
      </w:pPr>
      <w:r w:rsidRPr="00EC20A0">
        <w:rPr>
          <w:noProof/>
          <w:sz w:val="2"/>
        </w:rPr>
        <mc:AlternateContent>
          <mc:Choice Requires="wpg">
            <w:drawing>
              <wp:inline distT="0" distB="0" distL="0" distR="0" wp14:anchorId="24D62AC7" wp14:editId="24D62AC8">
                <wp:extent cx="5997575" cy="9525"/>
                <wp:effectExtent l="9525" t="0" r="3175"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9525"/>
                          <a:chOff x="0" y="0"/>
                          <a:chExt cx="5997575" cy="9525"/>
                        </a:xfrm>
                      </wpg:grpSpPr>
                      <wps:wsp>
                        <wps:cNvPr id="49" name="Graphic 49"/>
                        <wps:cNvSpPr/>
                        <wps:spPr>
                          <a:xfrm>
                            <a:off x="0" y="4762"/>
                            <a:ext cx="5997575" cy="1270"/>
                          </a:xfrm>
                          <a:custGeom>
                            <a:avLst/>
                            <a:gdLst/>
                            <a:ahLst/>
                            <a:cxnLst/>
                            <a:rect l="l" t="t" r="r" b="b"/>
                            <a:pathLst>
                              <a:path w="5997575">
                                <a:moveTo>
                                  <a:pt x="0" y="0"/>
                                </a:moveTo>
                                <a:lnTo>
                                  <a:pt x="59975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970EEB" id="Group 48" o:spid="_x0000_s1026" style="width:472.25pt;height:.75pt;mso-position-horizontal-relative:char;mso-position-vertical-relative:line" coordsize="599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">
                <v:shape id="Graphic 49" o:spid="_x0000_s1027" style="position:absolute;top:47;width:59975;height:13;visibility:visible;mso-wrap-style:square;v-text-anchor:top" coordsize="5997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" path="m,l5997575,e" filled="f">
                  <v:path arrowok="t"/>
                </v:shape>
                <w10:anchorlock/>
              </v:group>
            </w:pict>
          </mc:Fallback>
        </mc:AlternateContent>
      </w:r>
    </w:p>
    <w:p w14:paraId="24D5FDDF" w14:textId="77777777" w:rsidR="00245300" w:rsidRPr="00EC20A0" w:rsidRDefault="00245300">
      <w:pPr>
        <w:pStyle w:val="BodyText"/>
        <w:spacing w:before="26"/>
        <w:rPr>
          <w:sz w:val="60"/>
        </w:rPr>
      </w:pPr>
    </w:p>
    <w:p w14:paraId="24D5FDE0" w14:textId="77777777" w:rsidR="00245300" w:rsidRPr="00EC20A0" w:rsidRDefault="00F17249">
      <w:pPr>
        <w:pStyle w:val="Heading1"/>
        <w:spacing w:before="1"/>
        <w:ind w:left="5946"/>
      </w:pPr>
      <w:bookmarkStart w:id="2" w:name="Section_600_-_Using_the_Work_of_Others"/>
      <w:bookmarkStart w:id="3" w:name="_bookmark0"/>
      <w:bookmarkEnd w:id="2"/>
      <w:bookmarkEnd w:id="3"/>
      <w:r w:rsidRPr="00EC20A0">
        <w:t>SECTION</w:t>
      </w:r>
      <w:r w:rsidRPr="00EC20A0">
        <w:rPr>
          <w:spacing w:val="-4"/>
        </w:rPr>
        <w:t xml:space="preserve"> </w:t>
      </w:r>
      <w:r w:rsidRPr="00EC20A0">
        <w:rPr>
          <w:spacing w:val="-5"/>
        </w:rPr>
        <w:t>600</w:t>
      </w:r>
    </w:p>
    <w:p w14:paraId="24D5FDE1" w14:textId="77777777" w:rsidR="00245300" w:rsidRPr="00EC20A0" w:rsidRDefault="00245300">
      <w:pPr>
        <w:pStyle w:val="BodyText"/>
        <w:rPr>
          <w:sz w:val="20"/>
        </w:rPr>
      </w:pPr>
    </w:p>
    <w:p w14:paraId="24D5FDE2" w14:textId="77777777" w:rsidR="00245300" w:rsidRPr="00EC20A0" w:rsidRDefault="00F17249">
      <w:pPr>
        <w:pStyle w:val="BodyText"/>
        <w:spacing w:before="152"/>
        <w:rPr>
          <w:sz w:val="20"/>
        </w:rPr>
      </w:pPr>
      <w:r w:rsidRPr="00EC20A0">
        <w:rPr>
          <w:noProof/>
        </w:rPr>
        <mc:AlternateContent>
          <mc:Choice Requires="wps">
            <w:drawing>
              <wp:anchor distT="0" distB="0" distL="0" distR="0" simplePos="0" relativeHeight="487592960" behindDoc="1" locked="0" layoutInCell="1" allowOverlap="1" wp14:anchorId="24D62AC9" wp14:editId="24D62ACA">
                <wp:simplePos x="0" y="0"/>
                <wp:positionH relativeFrom="page">
                  <wp:posOffset>930275</wp:posOffset>
                </wp:positionH>
                <wp:positionV relativeFrom="paragraph">
                  <wp:posOffset>257896</wp:posOffset>
                </wp:positionV>
                <wp:extent cx="5927725" cy="9144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725" cy="91440"/>
                        </a:xfrm>
                        <a:custGeom>
                          <a:avLst/>
                          <a:gdLst/>
                          <a:ahLst/>
                          <a:cxnLst/>
                          <a:rect l="l" t="t" r="r" b="b"/>
                          <a:pathLst>
                            <a:path w="5927725" h="91440">
                              <a:moveTo>
                                <a:pt x="5927725" y="0"/>
                              </a:moveTo>
                              <a:lnTo>
                                <a:pt x="0" y="0"/>
                              </a:lnTo>
                              <a:lnTo>
                                <a:pt x="0" y="91440"/>
                              </a:lnTo>
                              <a:lnTo>
                                <a:pt x="5927725" y="91440"/>
                              </a:lnTo>
                              <a:lnTo>
                                <a:pt x="5927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DDD4C5" id="Graphic 50" o:spid="_x0000_s1026" style="position:absolute;margin-left:73.25pt;margin-top:20.3pt;width:466.75pt;height:7.2pt;z-index:-15723520;visibility:visible;mso-wrap-style:square;mso-wrap-distance-left:0;mso-wrap-distance-top:0;mso-wrap-distance-right:0;mso-wrap-distance-bottom:0;mso-position-horizontal:absolute;mso-position-horizontal-relative:page;mso-position-vertical:absolute;mso-position-vertical-relative:text;v-text-anchor:top" coordsize="592772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" path="m5927725,l,,,91440r5927725,l5927725,xe" fillcolor="black" stroked="f">
                <v:path arrowok="t"/>
                <w10:wrap type="topAndBottom" anchorx="page"/>
              </v:shape>
            </w:pict>
          </mc:Fallback>
        </mc:AlternateContent>
      </w:r>
    </w:p>
    <w:p w14:paraId="24D5FDE3" w14:textId="77777777" w:rsidR="00245300" w:rsidRPr="00EC20A0" w:rsidRDefault="00F17249">
      <w:pPr>
        <w:pStyle w:val="Heading2"/>
        <w:spacing w:before="359"/>
        <w:ind w:left="4392"/>
        <w:jc w:val="left"/>
      </w:pPr>
      <w:r w:rsidRPr="00EC20A0">
        <w:t>Using</w:t>
      </w:r>
      <w:r w:rsidRPr="00EC20A0">
        <w:rPr>
          <w:spacing w:val="-3"/>
        </w:rPr>
        <w:t xml:space="preserve"> </w:t>
      </w:r>
      <w:r w:rsidRPr="00EC20A0">
        <w:t>the</w:t>
      </w:r>
      <w:r w:rsidRPr="00EC20A0">
        <w:rPr>
          <w:spacing w:val="-2"/>
        </w:rPr>
        <w:t xml:space="preserve"> </w:t>
      </w:r>
      <w:r w:rsidRPr="00EC20A0">
        <w:t>Work</w:t>
      </w:r>
      <w:r w:rsidRPr="00EC20A0">
        <w:rPr>
          <w:spacing w:val="-3"/>
        </w:rPr>
        <w:t xml:space="preserve"> </w:t>
      </w:r>
      <w:r w:rsidRPr="00EC20A0">
        <w:t>of</w:t>
      </w:r>
      <w:r w:rsidRPr="00EC20A0">
        <w:rPr>
          <w:spacing w:val="-2"/>
        </w:rPr>
        <w:t xml:space="preserve"> Others</w:t>
      </w:r>
    </w:p>
    <w:p w14:paraId="24D5FDE4" w14:textId="77777777" w:rsidR="00245300" w:rsidRPr="00EC20A0" w:rsidRDefault="00245300">
      <w:pPr>
        <w:pStyle w:val="BodyText"/>
        <w:rPr>
          <w:sz w:val="20"/>
        </w:rPr>
      </w:pPr>
    </w:p>
    <w:p w14:paraId="24D5FDE5" w14:textId="77777777" w:rsidR="00245300" w:rsidRPr="00EC20A0" w:rsidRDefault="00245300">
      <w:pPr>
        <w:pStyle w:val="BodyText"/>
        <w:rPr>
          <w:sz w:val="20"/>
        </w:rPr>
      </w:pPr>
    </w:p>
    <w:p w14:paraId="24D5FDE6" w14:textId="77777777" w:rsidR="00245300" w:rsidRPr="00EC20A0" w:rsidRDefault="00245300">
      <w:pPr>
        <w:pStyle w:val="BodyText"/>
        <w:rPr>
          <w:sz w:val="20"/>
        </w:rPr>
      </w:pPr>
    </w:p>
    <w:p w14:paraId="24D5FDE7" w14:textId="77777777" w:rsidR="00245300" w:rsidRPr="00EC20A0" w:rsidRDefault="00245300">
      <w:pPr>
        <w:pStyle w:val="BodyText"/>
        <w:rPr>
          <w:sz w:val="20"/>
        </w:rPr>
      </w:pPr>
    </w:p>
    <w:p w14:paraId="24D5FDE8" w14:textId="77777777" w:rsidR="00245300" w:rsidRPr="00EC20A0" w:rsidRDefault="00245300">
      <w:pPr>
        <w:pStyle w:val="BodyText"/>
        <w:rPr>
          <w:sz w:val="20"/>
        </w:rPr>
      </w:pPr>
    </w:p>
    <w:p w14:paraId="24D5FDE9" w14:textId="77777777" w:rsidR="00245300" w:rsidRPr="00EC20A0" w:rsidRDefault="00245300">
      <w:pPr>
        <w:pStyle w:val="BodyText"/>
        <w:rPr>
          <w:sz w:val="20"/>
        </w:rPr>
      </w:pPr>
    </w:p>
    <w:p w14:paraId="24D5FDEA" w14:textId="77777777" w:rsidR="00245300" w:rsidRPr="00EC20A0" w:rsidRDefault="00245300">
      <w:pPr>
        <w:pStyle w:val="BodyText"/>
        <w:rPr>
          <w:sz w:val="20"/>
        </w:rPr>
      </w:pPr>
    </w:p>
    <w:p w14:paraId="24D5FDEB" w14:textId="77777777" w:rsidR="00245300" w:rsidRPr="00EC20A0" w:rsidRDefault="00245300">
      <w:pPr>
        <w:pStyle w:val="BodyText"/>
        <w:rPr>
          <w:sz w:val="20"/>
        </w:rPr>
      </w:pPr>
    </w:p>
    <w:p w14:paraId="24D5FDEC" w14:textId="77777777" w:rsidR="00245300" w:rsidRPr="00EC20A0" w:rsidRDefault="00245300">
      <w:pPr>
        <w:pStyle w:val="BodyText"/>
        <w:rPr>
          <w:sz w:val="20"/>
        </w:rPr>
      </w:pPr>
    </w:p>
    <w:p w14:paraId="24D5FDED" w14:textId="77777777" w:rsidR="00245300" w:rsidRPr="00EC20A0" w:rsidRDefault="00245300">
      <w:pPr>
        <w:pStyle w:val="BodyText"/>
        <w:rPr>
          <w:sz w:val="20"/>
        </w:rPr>
      </w:pPr>
    </w:p>
    <w:p w14:paraId="24D5FDEE" w14:textId="77777777" w:rsidR="00245300" w:rsidRPr="00EC20A0" w:rsidRDefault="00245300">
      <w:pPr>
        <w:pStyle w:val="BodyText"/>
        <w:rPr>
          <w:sz w:val="20"/>
        </w:rPr>
      </w:pPr>
    </w:p>
    <w:p w14:paraId="24D5FDEF" w14:textId="77777777" w:rsidR="00245300" w:rsidRPr="00EC20A0" w:rsidRDefault="00245300">
      <w:pPr>
        <w:pStyle w:val="BodyText"/>
        <w:rPr>
          <w:sz w:val="20"/>
        </w:rPr>
      </w:pPr>
    </w:p>
    <w:p w14:paraId="24D5FDF0" w14:textId="77777777" w:rsidR="00245300" w:rsidRPr="00EC20A0" w:rsidRDefault="00245300">
      <w:pPr>
        <w:pStyle w:val="BodyText"/>
        <w:rPr>
          <w:sz w:val="20"/>
        </w:rPr>
      </w:pPr>
    </w:p>
    <w:p w14:paraId="24D5FDF1" w14:textId="77777777" w:rsidR="00245300" w:rsidRPr="00EC20A0" w:rsidRDefault="00245300">
      <w:pPr>
        <w:pStyle w:val="BodyText"/>
        <w:rPr>
          <w:sz w:val="20"/>
        </w:rPr>
      </w:pPr>
    </w:p>
    <w:p w14:paraId="24D5FDF2" w14:textId="77777777" w:rsidR="00245300" w:rsidRPr="00EC20A0" w:rsidRDefault="00245300">
      <w:pPr>
        <w:pStyle w:val="BodyText"/>
        <w:rPr>
          <w:sz w:val="20"/>
        </w:rPr>
      </w:pPr>
    </w:p>
    <w:p w14:paraId="24D5FDF3" w14:textId="77777777" w:rsidR="00245300" w:rsidRPr="00EC20A0" w:rsidRDefault="00245300">
      <w:pPr>
        <w:pStyle w:val="BodyText"/>
        <w:rPr>
          <w:sz w:val="20"/>
        </w:rPr>
      </w:pPr>
    </w:p>
    <w:p w14:paraId="24D5FDF4" w14:textId="77777777" w:rsidR="00245300" w:rsidRPr="00EC20A0" w:rsidRDefault="00245300">
      <w:pPr>
        <w:pStyle w:val="BodyText"/>
        <w:rPr>
          <w:sz w:val="20"/>
        </w:rPr>
      </w:pPr>
    </w:p>
    <w:p w14:paraId="24D5FDF5" w14:textId="77777777" w:rsidR="00245300" w:rsidRPr="00EC20A0" w:rsidRDefault="00245300">
      <w:pPr>
        <w:pStyle w:val="BodyText"/>
        <w:rPr>
          <w:sz w:val="20"/>
        </w:rPr>
      </w:pPr>
    </w:p>
    <w:p w14:paraId="24D5FDF6" w14:textId="77777777" w:rsidR="00245300" w:rsidRPr="00EC20A0" w:rsidRDefault="00245300">
      <w:pPr>
        <w:pStyle w:val="BodyText"/>
        <w:rPr>
          <w:sz w:val="20"/>
        </w:rPr>
      </w:pPr>
    </w:p>
    <w:p w14:paraId="24D5FDF7" w14:textId="77777777" w:rsidR="00245300" w:rsidRPr="00EC20A0" w:rsidRDefault="00245300">
      <w:pPr>
        <w:pStyle w:val="BodyText"/>
        <w:rPr>
          <w:sz w:val="20"/>
        </w:rPr>
      </w:pPr>
    </w:p>
    <w:p w14:paraId="24D5FDF8" w14:textId="77777777" w:rsidR="00245300" w:rsidRPr="00EC20A0" w:rsidRDefault="00245300">
      <w:pPr>
        <w:pStyle w:val="BodyText"/>
        <w:rPr>
          <w:sz w:val="20"/>
        </w:rPr>
      </w:pPr>
    </w:p>
    <w:p w14:paraId="24D5FDF9" w14:textId="77777777" w:rsidR="00245300" w:rsidRPr="00EC20A0" w:rsidRDefault="00245300">
      <w:pPr>
        <w:pStyle w:val="BodyText"/>
        <w:rPr>
          <w:sz w:val="20"/>
        </w:rPr>
      </w:pPr>
    </w:p>
    <w:p w14:paraId="24D5FDFA" w14:textId="77777777" w:rsidR="00245300" w:rsidRPr="00EC20A0" w:rsidRDefault="00245300">
      <w:pPr>
        <w:pStyle w:val="BodyText"/>
        <w:rPr>
          <w:sz w:val="20"/>
        </w:rPr>
      </w:pPr>
    </w:p>
    <w:p w14:paraId="24D5FDFB" w14:textId="77777777" w:rsidR="00245300" w:rsidRPr="00EC20A0" w:rsidRDefault="00245300">
      <w:pPr>
        <w:pStyle w:val="BodyText"/>
        <w:rPr>
          <w:sz w:val="20"/>
        </w:rPr>
      </w:pPr>
    </w:p>
    <w:p w14:paraId="24D5FDFC" w14:textId="77777777" w:rsidR="00245300" w:rsidRPr="00EC20A0" w:rsidRDefault="00245300">
      <w:pPr>
        <w:pStyle w:val="BodyText"/>
        <w:rPr>
          <w:sz w:val="20"/>
        </w:rPr>
      </w:pPr>
    </w:p>
    <w:p w14:paraId="24D5FDFD" w14:textId="77777777" w:rsidR="00245300" w:rsidRPr="00EC20A0" w:rsidRDefault="00245300">
      <w:pPr>
        <w:pStyle w:val="BodyText"/>
        <w:rPr>
          <w:sz w:val="20"/>
        </w:rPr>
      </w:pPr>
    </w:p>
    <w:p w14:paraId="24D5FDFE" w14:textId="77777777" w:rsidR="00245300" w:rsidRPr="00EC20A0" w:rsidRDefault="00245300">
      <w:pPr>
        <w:pStyle w:val="BodyText"/>
        <w:rPr>
          <w:sz w:val="20"/>
        </w:rPr>
      </w:pPr>
    </w:p>
    <w:p w14:paraId="24D5FDFF" w14:textId="77777777" w:rsidR="00245300" w:rsidRPr="00EC20A0" w:rsidRDefault="00245300">
      <w:pPr>
        <w:pStyle w:val="BodyText"/>
        <w:rPr>
          <w:sz w:val="20"/>
        </w:rPr>
      </w:pPr>
    </w:p>
    <w:p w14:paraId="24D5FE00" w14:textId="77777777" w:rsidR="00245300" w:rsidRPr="00EC20A0" w:rsidRDefault="00245300">
      <w:pPr>
        <w:pStyle w:val="BodyText"/>
        <w:rPr>
          <w:sz w:val="20"/>
        </w:rPr>
      </w:pPr>
    </w:p>
    <w:p w14:paraId="24D5FE01" w14:textId="77777777" w:rsidR="00245300" w:rsidRPr="00EC20A0" w:rsidRDefault="00245300">
      <w:pPr>
        <w:pStyle w:val="BodyText"/>
        <w:rPr>
          <w:sz w:val="20"/>
        </w:rPr>
      </w:pPr>
    </w:p>
    <w:p w14:paraId="24D5FE02" w14:textId="77777777" w:rsidR="00245300" w:rsidRPr="00EC20A0" w:rsidRDefault="00245300">
      <w:pPr>
        <w:pStyle w:val="BodyText"/>
        <w:rPr>
          <w:sz w:val="20"/>
        </w:rPr>
      </w:pPr>
    </w:p>
    <w:p w14:paraId="24D5FE03" w14:textId="77777777" w:rsidR="00245300" w:rsidRPr="00EC20A0" w:rsidRDefault="00245300">
      <w:pPr>
        <w:pStyle w:val="BodyText"/>
        <w:rPr>
          <w:sz w:val="20"/>
        </w:rPr>
      </w:pPr>
    </w:p>
    <w:p w14:paraId="24D5FE04" w14:textId="77777777" w:rsidR="00245300" w:rsidRPr="00EC20A0" w:rsidRDefault="00245300">
      <w:pPr>
        <w:pStyle w:val="BodyText"/>
        <w:rPr>
          <w:sz w:val="20"/>
        </w:rPr>
      </w:pPr>
    </w:p>
    <w:p w14:paraId="24D5FE05" w14:textId="77777777" w:rsidR="00245300" w:rsidRPr="00EC20A0" w:rsidRDefault="00245300">
      <w:pPr>
        <w:pStyle w:val="BodyText"/>
        <w:rPr>
          <w:sz w:val="20"/>
        </w:rPr>
      </w:pPr>
    </w:p>
    <w:p w14:paraId="24D5FE06" w14:textId="77777777" w:rsidR="00245300" w:rsidRPr="00EC20A0" w:rsidRDefault="00245300">
      <w:pPr>
        <w:pStyle w:val="BodyText"/>
        <w:rPr>
          <w:sz w:val="20"/>
        </w:rPr>
      </w:pPr>
    </w:p>
    <w:p w14:paraId="24D5FE07" w14:textId="77777777" w:rsidR="00245300" w:rsidRPr="00EC20A0" w:rsidRDefault="00245300">
      <w:pPr>
        <w:pStyle w:val="BodyText"/>
        <w:rPr>
          <w:sz w:val="20"/>
        </w:rPr>
      </w:pPr>
    </w:p>
    <w:p w14:paraId="24D5FE08" w14:textId="77777777" w:rsidR="00245300" w:rsidRPr="00EC20A0" w:rsidRDefault="00245300">
      <w:pPr>
        <w:pStyle w:val="BodyText"/>
        <w:rPr>
          <w:sz w:val="20"/>
        </w:rPr>
      </w:pPr>
    </w:p>
    <w:p w14:paraId="24D5FE09" w14:textId="77777777" w:rsidR="00245300" w:rsidRPr="00EC20A0" w:rsidRDefault="00245300">
      <w:pPr>
        <w:pStyle w:val="BodyText"/>
        <w:rPr>
          <w:sz w:val="20"/>
        </w:rPr>
      </w:pPr>
    </w:p>
    <w:p w14:paraId="24D5FE0A" w14:textId="77777777" w:rsidR="00245300" w:rsidRPr="00EC20A0" w:rsidRDefault="00245300">
      <w:pPr>
        <w:pStyle w:val="BodyText"/>
        <w:rPr>
          <w:sz w:val="20"/>
        </w:rPr>
      </w:pPr>
    </w:p>
    <w:p w14:paraId="24D5FE0B" w14:textId="77777777" w:rsidR="00245300" w:rsidRPr="00EC20A0" w:rsidRDefault="00245300">
      <w:pPr>
        <w:pStyle w:val="BodyText"/>
        <w:rPr>
          <w:sz w:val="20"/>
        </w:rPr>
      </w:pPr>
    </w:p>
    <w:p w14:paraId="24D5FE0C" w14:textId="77777777" w:rsidR="00245300" w:rsidRPr="00EC20A0" w:rsidRDefault="00245300">
      <w:pPr>
        <w:pStyle w:val="BodyText"/>
        <w:rPr>
          <w:sz w:val="20"/>
        </w:rPr>
      </w:pPr>
    </w:p>
    <w:p w14:paraId="24D5FE0D" w14:textId="77777777" w:rsidR="00245300" w:rsidRPr="00EC20A0" w:rsidRDefault="00245300">
      <w:pPr>
        <w:pStyle w:val="BodyText"/>
        <w:rPr>
          <w:sz w:val="20"/>
        </w:rPr>
      </w:pPr>
    </w:p>
    <w:p w14:paraId="24D5FE0E" w14:textId="77777777" w:rsidR="00245300" w:rsidRPr="00EC20A0" w:rsidRDefault="00245300">
      <w:pPr>
        <w:pStyle w:val="BodyText"/>
        <w:rPr>
          <w:sz w:val="20"/>
        </w:rPr>
      </w:pPr>
    </w:p>
    <w:p w14:paraId="24D5FE0F" w14:textId="77777777" w:rsidR="00245300" w:rsidRPr="00EC20A0" w:rsidRDefault="00245300">
      <w:pPr>
        <w:pStyle w:val="BodyText"/>
        <w:rPr>
          <w:sz w:val="20"/>
        </w:rPr>
      </w:pPr>
    </w:p>
    <w:p w14:paraId="24D5FE10" w14:textId="77777777" w:rsidR="00245300" w:rsidRPr="00EC20A0" w:rsidRDefault="00245300">
      <w:pPr>
        <w:pStyle w:val="BodyText"/>
        <w:rPr>
          <w:sz w:val="20"/>
        </w:rPr>
      </w:pPr>
    </w:p>
    <w:p w14:paraId="24D5FE11" w14:textId="77777777" w:rsidR="00245300" w:rsidRPr="00EC20A0" w:rsidRDefault="00F17249">
      <w:pPr>
        <w:pStyle w:val="BodyText"/>
        <w:spacing w:before="81"/>
        <w:rPr>
          <w:sz w:val="20"/>
        </w:rPr>
      </w:pPr>
      <w:r w:rsidRPr="00EC20A0">
        <w:rPr>
          <w:noProof/>
        </w:rPr>
        <mc:AlternateContent>
          <mc:Choice Requires="wps">
            <w:drawing>
              <wp:anchor distT="0" distB="0" distL="0" distR="0" simplePos="0" relativeHeight="487593472" behindDoc="1" locked="0" layoutInCell="1" allowOverlap="1" wp14:anchorId="24D62ACB" wp14:editId="24D62ACC">
                <wp:simplePos x="0" y="0"/>
                <wp:positionH relativeFrom="page">
                  <wp:posOffset>895350</wp:posOffset>
                </wp:positionH>
                <wp:positionV relativeFrom="paragraph">
                  <wp:posOffset>212712</wp:posOffset>
                </wp:positionV>
                <wp:extent cx="5981700" cy="2857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3"/>
                              </a:lnTo>
                              <a:lnTo>
                                <a:pt x="5981700" y="28193"/>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961CE0" id="Graphic 51" o:spid="_x0000_s1026" style="position:absolute;margin-left:70.5pt;margin-top:16.75pt;width:471pt;height:2.25pt;z-index:-15723008;visibility:visible;mso-wrap-style:square;mso-wrap-distance-left:0;mso-wrap-distance-top:0;mso-wrap-distance-right:0;mso-wrap-distance-bottom:0;mso-position-horizontal:absolute;mso-position-horizontal-relative:page;mso-position-vertical:absolute;mso-position-vertical-relative:text;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RoIAIAAMEEAAAOAAAAZHJzL2Uyb0RvYy54bWysVMFu2zAMvQ/YPwi6L04yZE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" path="m5981700,l,,,28193r5981700,l5981700,xe" fillcolor="black" stroked="f">
                <v:path arrowok="t"/>
                <w10:wrap type="topAndBottom" anchorx="page"/>
              </v:shape>
            </w:pict>
          </mc:Fallback>
        </mc:AlternateContent>
      </w:r>
    </w:p>
    <w:p w14:paraId="24D5FE12" w14:textId="77777777" w:rsidR="00245300" w:rsidRPr="00EC20A0" w:rsidRDefault="00245300">
      <w:pPr>
        <w:rPr>
          <w:sz w:val="20"/>
        </w:rPr>
        <w:sectPr w:rsidR="00245300" w:rsidRPr="00EC20A0">
          <w:headerReference w:type="default" r:id="rId13"/>
          <w:footerReference w:type="default" r:id="rId14"/>
          <w:pgSz w:w="12240" w:h="15840"/>
          <w:pgMar w:top="1020" w:right="940" w:bottom="280" w:left="1020" w:header="0" w:footer="0" w:gutter="0"/>
          <w:cols w:space="720"/>
        </w:sectPr>
      </w:pPr>
    </w:p>
    <w:p w14:paraId="24D5FE13" w14:textId="77777777" w:rsidR="00245300" w:rsidRPr="00EC20A0" w:rsidRDefault="00F17249">
      <w:pPr>
        <w:pStyle w:val="Heading3"/>
        <w:spacing w:before="241"/>
        <w:ind w:left="420"/>
        <w:rPr>
          <w:u w:val="none"/>
        </w:rPr>
      </w:pPr>
      <w:bookmarkStart w:id="4" w:name="Contents_-_Using_the_Work_of_Others"/>
      <w:bookmarkEnd w:id="4"/>
      <w:r w:rsidRPr="00EC20A0">
        <w:t>Contents</w:t>
      </w:r>
      <w:r w:rsidRPr="00EC20A0">
        <w:rPr>
          <w:spacing w:val="-6"/>
        </w:rPr>
        <w:t xml:space="preserve"> </w:t>
      </w:r>
      <w:r w:rsidRPr="00EC20A0">
        <w:t>-</w:t>
      </w:r>
      <w:r w:rsidRPr="00EC20A0">
        <w:rPr>
          <w:spacing w:val="-5"/>
        </w:rPr>
        <w:t xml:space="preserve"> </w:t>
      </w:r>
      <w:r w:rsidRPr="00EC20A0">
        <w:t>Using</w:t>
      </w:r>
      <w:r w:rsidRPr="00EC20A0">
        <w:rPr>
          <w:spacing w:val="-5"/>
        </w:rPr>
        <w:t xml:space="preserve"> </w:t>
      </w:r>
      <w:r w:rsidRPr="00EC20A0">
        <w:t>the</w:t>
      </w:r>
      <w:r w:rsidRPr="00EC20A0">
        <w:rPr>
          <w:spacing w:val="-4"/>
        </w:rPr>
        <w:t xml:space="preserve"> </w:t>
      </w:r>
      <w:r w:rsidRPr="00EC20A0">
        <w:t>Work</w:t>
      </w:r>
      <w:r w:rsidRPr="00EC20A0">
        <w:rPr>
          <w:spacing w:val="-4"/>
        </w:rPr>
        <w:t xml:space="preserve"> </w:t>
      </w:r>
      <w:r w:rsidRPr="00EC20A0">
        <w:t>of</w:t>
      </w:r>
      <w:r w:rsidRPr="00EC20A0">
        <w:rPr>
          <w:spacing w:val="-5"/>
        </w:rPr>
        <w:t xml:space="preserve"> </w:t>
      </w:r>
      <w:r w:rsidRPr="00EC20A0">
        <w:rPr>
          <w:spacing w:val="-2"/>
        </w:rPr>
        <w:t>Others</w:t>
      </w:r>
    </w:p>
    <w:p w14:paraId="24D5FE14" w14:textId="77777777" w:rsidR="00245300" w:rsidRPr="00EC20A0" w:rsidRDefault="00245300">
      <w:pPr>
        <w:pStyle w:val="BodyText"/>
        <w:spacing w:before="18"/>
        <w:rPr>
          <w:b/>
          <w:sz w:val="20"/>
        </w:rPr>
      </w:pPr>
    </w:p>
    <w:tbl>
      <w:tblPr>
        <w:tblW w:w="0" w:type="auto"/>
        <w:tblInd w:w="737" w:type="dxa"/>
        <w:tblLayout w:type="fixed"/>
        <w:tblCellMar>
          <w:left w:w="0" w:type="dxa"/>
          <w:right w:w="0" w:type="dxa"/>
        </w:tblCellMar>
        <w:tblLook w:val="01E0" w:firstRow="1" w:lastRow="1" w:firstColumn="1" w:lastColumn="1" w:noHBand="0" w:noVBand="0"/>
      </w:tblPr>
      <w:tblGrid>
        <w:gridCol w:w="7754"/>
        <w:gridCol w:w="1030"/>
      </w:tblGrid>
      <w:tr w:rsidR="00245300" w:rsidRPr="00EC20A0" w14:paraId="24D5FE17" w14:textId="77777777">
        <w:trPr>
          <w:trHeight w:val="368"/>
        </w:trPr>
        <w:tc>
          <w:tcPr>
            <w:tcW w:w="7754" w:type="dxa"/>
          </w:tcPr>
          <w:p w14:paraId="24D5FE15" w14:textId="77777777" w:rsidR="00245300" w:rsidRPr="00EC20A0" w:rsidRDefault="00245300">
            <w:pPr>
              <w:pStyle w:val="TableParagraph"/>
            </w:pPr>
          </w:p>
        </w:tc>
        <w:tc>
          <w:tcPr>
            <w:tcW w:w="1030" w:type="dxa"/>
          </w:tcPr>
          <w:p w14:paraId="24D5FE16" w14:textId="77777777" w:rsidR="00245300" w:rsidRPr="00EC20A0" w:rsidRDefault="00F17249">
            <w:pPr>
              <w:pStyle w:val="TableParagraph"/>
              <w:spacing w:line="245" w:lineRule="exact"/>
              <w:ind w:left="362"/>
              <w:rPr>
                <w:b/>
              </w:rPr>
            </w:pPr>
            <w:r w:rsidRPr="00EC20A0">
              <w:rPr>
                <w:b/>
                <w:spacing w:val="-5"/>
              </w:rPr>
              <w:t>FAM</w:t>
            </w:r>
          </w:p>
        </w:tc>
      </w:tr>
      <w:tr w:rsidR="00245300" w:rsidRPr="00EC20A0" w14:paraId="24D5FE1A" w14:textId="77777777">
        <w:trPr>
          <w:trHeight w:val="492"/>
        </w:trPr>
        <w:tc>
          <w:tcPr>
            <w:tcW w:w="7754" w:type="dxa"/>
          </w:tcPr>
          <w:p w14:paraId="24D5FE18" w14:textId="77777777" w:rsidR="00245300" w:rsidRPr="00EC20A0" w:rsidRDefault="00F17249">
            <w:pPr>
              <w:pStyle w:val="TableParagraph"/>
              <w:spacing w:before="115"/>
              <w:ind w:left="50"/>
            </w:pPr>
            <w:r w:rsidRPr="00EC20A0">
              <w:t>Overview</w:t>
            </w:r>
            <w:r w:rsidRPr="00EC20A0">
              <w:rPr>
                <w:spacing w:val="-6"/>
              </w:rPr>
              <w:t xml:space="preserve"> </w:t>
            </w:r>
            <w:r w:rsidRPr="00EC20A0">
              <w:t>of</w:t>
            </w:r>
            <w:r w:rsidRPr="00EC20A0">
              <w:rPr>
                <w:spacing w:val="-5"/>
              </w:rPr>
              <w:t xml:space="preserve"> </w:t>
            </w:r>
            <w:r w:rsidRPr="00EC20A0">
              <w:t>Using</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5"/>
              </w:rPr>
              <w:t xml:space="preserve"> </w:t>
            </w:r>
            <w:r w:rsidRPr="00EC20A0">
              <w:rPr>
                <w:spacing w:val="-2"/>
              </w:rPr>
              <w:t>Others</w:t>
            </w:r>
          </w:p>
        </w:tc>
        <w:tc>
          <w:tcPr>
            <w:tcW w:w="1030" w:type="dxa"/>
          </w:tcPr>
          <w:p w14:paraId="24D5FE19" w14:textId="77777777" w:rsidR="00245300" w:rsidRPr="00EC20A0" w:rsidRDefault="00F17249">
            <w:pPr>
              <w:pStyle w:val="TableParagraph"/>
              <w:spacing w:before="115"/>
              <w:ind w:left="416"/>
            </w:pPr>
            <w:r w:rsidRPr="00EC20A0">
              <w:rPr>
                <w:spacing w:val="-5"/>
              </w:rPr>
              <w:t>610</w:t>
            </w:r>
          </w:p>
        </w:tc>
      </w:tr>
      <w:tr w:rsidR="00245300" w:rsidRPr="00EC20A0" w14:paraId="24D5FE1D" w14:textId="77777777">
        <w:trPr>
          <w:trHeight w:val="493"/>
        </w:trPr>
        <w:tc>
          <w:tcPr>
            <w:tcW w:w="7754" w:type="dxa"/>
          </w:tcPr>
          <w:p w14:paraId="24D5FE1B" w14:textId="77777777" w:rsidR="00245300" w:rsidRPr="00EC20A0" w:rsidRDefault="00F17249">
            <w:pPr>
              <w:pStyle w:val="TableParagraph"/>
              <w:spacing w:before="116"/>
              <w:ind w:left="50"/>
            </w:pPr>
            <w:r w:rsidRPr="00EC20A0">
              <w:t>Evaluating</w:t>
            </w:r>
            <w:r w:rsidRPr="00EC20A0">
              <w:rPr>
                <w:spacing w:val="-8"/>
              </w:rPr>
              <w:t xml:space="preserve"> </w:t>
            </w:r>
            <w:r w:rsidRPr="00EC20A0">
              <w:t>the</w:t>
            </w:r>
            <w:r w:rsidRPr="00EC20A0">
              <w:rPr>
                <w:spacing w:val="-7"/>
              </w:rPr>
              <w:t xml:space="preserve"> </w:t>
            </w:r>
            <w:r w:rsidRPr="00EC20A0">
              <w:t>Objectivity</w:t>
            </w:r>
            <w:r w:rsidRPr="00EC20A0">
              <w:rPr>
                <w:spacing w:val="-8"/>
              </w:rPr>
              <w:t xml:space="preserve"> </w:t>
            </w:r>
            <w:r w:rsidRPr="00EC20A0">
              <w:t>and</w:t>
            </w:r>
            <w:r w:rsidRPr="00EC20A0">
              <w:rPr>
                <w:spacing w:val="-7"/>
              </w:rPr>
              <w:t xml:space="preserve"> </w:t>
            </w:r>
            <w:r w:rsidRPr="00EC20A0">
              <w:t>Competence</w:t>
            </w:r>
            <w:r w:rsidRPr="00EC20A0">
              <w:rPr>
                <w:spacing w:val="-7"/>
              </w:rPr>
              <w:t xml:space="preserve"> </w:t>
            </w:r>
            <w:r w:rsidRPr="00EC20A0">
              <w:t>of</w:t>
            </w:r>
            <w:r w:rsidRPr="00EC20A0">
              <w:rPr>
                <w:spacing w:val="-8"/>
              </w:rPr>
              <w:t xml:space="preserve"> </w:t>
            </w:r>
            <w:r w:rsidRPr="00EC20A0">
              <w:t>Other</w:t>
            </w:r>
            <w:r w:rsidRPr="00EC20A0">
              <w:rPr>
                <w:spacing w:val="-7"/>
              </w:rPr>
              <w:t xml:space="preserve"> </w:t>
            </w:r>
            <w:r w:rsidRPr="00EC20A0">
              <w:t>Auditors</w:t>
            </w:r>
            <w:r w:rsidRPr="00EC20A0">
              <w:rPr>
                <w:spacing w:val="-8"/>
              </w:rPr>
              <w:t xml:space="preserve"> </w:t>
            </w:r>
            <w:r w:rsidRPr="00EC20A0">
              <w:t>or</w:t>
            </w:r>
            <w:r w:rsidRPr="00EC20A0">
              <w:rPr>
                <w:spacing w:val="-7"/>
              </w:rPr>
              <w:t xml:space="preserve"> </w:t>
            </w:r>
            <w:r w:rsidRPr="00EC20A0">
              <w:rPr>
                <w:spacing w:val="-2"/>
              </w:rPr>
              <w:t>Specialists</w:t>
            </w:r>
          </w:p>
        </w:tc>
        <w:tc>
          <w:tcPr>
            <w:tcW w:w="1030" w:type="dxa"/>
          </w:tcPr>
          <w:p w14:paraId="24D5FE1C" w14:textId="77777777" w:rsidR="00245300" w:rsidRPr="00EC20A0" w:rsidRDefault="00F17249">
            <w:pPr>
              <w:pStyle w:val="TableParagraph"/>
              <w:spacing w:before="116"/>
              <w:ind w:left="416"/>
            </w:pPr>
            <w:r w:rsidRPr="00EC20A0">
              <w:rPr>
                <w:spacing w:val="-5"/>
              </w:rPr>
              <w:t>615</w:t>
            </w:r>
          </w:p>
        </w:tc>
      </w:tr>
      <w:tr w:rsidR="00245300" w:rsidRPr="00EC20A0" w14:paraId="24D5FE20" w14:textId="77777777">
        <w:trPr>
          <w:trHeight w:val="493"/>
        </w:trPr>
        <w:tc>
          <w:tcPr>
            <w:tcW w:w="7754" w:type="dxa"/>
          </w:tcPr>
          <w:p w14:paraId="24D5FE1E" w14:textId="77777777" w:rsidR="00245300" w:rsidRPr="00EC20A0" w:rsidRDefault="00F17249">
            <w:pPr>
              <w:pStyle w:val="TableParagraph"/>
              <w:spacing w:before="116"/>
              <w:ind w:left="50"/>
            </w:pPr>
            <w:r w:rsidRPr="00EC20A0">
              <w:t>Using</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Auditor’s</w:t>
            </w:r>
            <w:r w:rsidRPr="00EC20A0">
              <w:rPr>
                <w:spacing w:val="-5"/>
              </w:rPr>
              <w:t xml:space="preserve"> </w:t>
            </w:r>
            <w:r w:rsidRPr="00EC20A0">
              <w:rPr>
                <w:spacing w:val="-2"/>
              </w:rPr>
              <w:t>Specialist</w:t>
            </w:r>
          </w:p>
        </w:tc>
        <w:tc>
          <w:tcPr>
            <w:tcW w:w="1030" w:type="dxa"/>
          </w:tcPr>
          <w:p w14:paraId="24D5FE1F" w14:textId="77777777" w:rsidR="00245300" w:rsidRPr="00EC20A0" w:rsidRDefault="00F17249">
            <w:pPr>
              <w:pStyle w:val="TableParagraph"/>
              <w:spacing w:before="116"/>
              <w:ind w:left="416"/>
            </w:pPr>
            <w:r w:rsidRPr="00EC20A0">
              <w:rPr>
                <w:spacing w:val="-5"/>
              </w:rPr>
              <w:t>620</w:t>
            </w:r>
          </w:p>
        </w:tc>
      </w:tr>
      <w:tr w:rsidR="00245300" w:rsidRPr="00EC20A0" w14:paraId="24D5FE23" w14:textId="77777777">
        <w:trPr>
          <w:trHeight w:val="493"/>
        </w:trPr>
        <w:tc>
          <w:tcPr>
            <w:tcW w:w="7754" w:type="dxa"/>
          </w:tcPr>
          <w:p w14:paraId="24D5FE21" w14:textId="77777777" w:rsidR="00245300" w:rsidRPr="00EC20A0" w:rsidRDefault="00F17249">
            <w:pPr>
              <w:pStyle w:val="TableParagraph"/>
              <w:spacing w:before="116"/>
              <w:ind w:left="50"/>
            </w:pPr>
            <w:r w:rsidRPr="00EC20A0">
              <w:t>Using</w:t>
            </w:r>
            <w:r w:rsidRPr="00EC20A0">
              <w:rPr>
                <w:spacing w:val="-7"/>
              </w:rPr>
              <w:t xml:space="preserve"> </w:t>
            </w:r>
            <w:r w:rsidRPr="00EC20A0">
              <w:t>the</w:t>
            </w:r>
            <w:r w:rsidRPr="00EC20A0">
              <w:rPr>
                <w:spacing w:val="-7"/>
              </w:rPr>
              <w:t xml:space="preserve"> </w:t>
            </w:r>
            <w:r w:rsidRPr="00EC20A0">
              <w:t>Work</w:t>
            </w:r>
            <w:r w:rsidRPr="00EC20A0">
              <w:rPr>
                <w:spacing w:val="-7"/>
              </w:rPr>
              <w:t xml:space="preserve"> </w:t>
            </w:r>
            <w:r w:rsidRPr="00EC20A0">
              <w:t>of</w:t>
            </w:r>
            <w:r w:rsidRPr="00EC20A0">
              <w:rPr>
                <w:spacing w:val="-7"/>
              </w:rPr>
              <w:t xml:space="preserve"> </w:t>
            </w:r>
            <w:r w:rsidRPr="00EC20A0">
              <w:t>Management’s</w:t>
            </w:r>
            <w:r w:rsidRPr="00EC20A0">
              <w:rPr>
                <w:spacing w:val="-7"/>
              </w:rPr>
              <w:t xml:space="preserve"> </w:t>
            </w:r>
            <w:r w:rsidRPr="00EC20A0">
              <w:rPr>
                <w:spacing w:val="-2"/>
              </w:rPr>
              <w:t>Specialists</w:t>
            </w:r>
          </w:p>
        </w:tc>
        <w:tc>
          <w:tcPr>
            <w:tcW w:w="1030" w:type="dxa"/>
          </w:tcPr>
          <w:p w14:paraId="24D5FE22" w14:textId="77777777" w:rsidR="00245300" w:rsidRPr="00EC20A0" w:rsidRDefault="00F17249">
            <w:pPr>
              <w:pStyle w:val="TableParagraph"/>
              <w:spacing w:before="116"/>
              <w:ind w:left="416"/>
            </w:pPr>
            <w:r w:rsidRPr="00EC20A0">
              <w:rPr>
                <w:spacing w:val="-5"/>
              </w:rPr>
              <w:t>625</w:t>
            </w:r>
          </w:p>
        </w:tc>
      </w:tr>
      <w:tr w:rsidR="00245300" w:rsidRPr="00EC20A0" w14:paraId="24D5FE26" w14:textId="77777777">
        <w:trPr>
          <w:trHeight w:val="492"/>
        </w:trPr>
        <w:tc>
          <w:tcPr>
            <w:tcW w:w="7754" w:type="dxa"/>
          </w:tcPr>
          <w:p w14:paraId="24D5FE24" w14:textId="77777777" w:rsidR="00245300" w:rsidRPr="00EC20A0" w:rsidRDefault="00F17249">
            <w:pPr>
              <w:pStyle w:val="TableParagraph"/>
              <w:spacing w:before="116"/>
              <w:ind w:left="50"/>
            </w:pPr>
            <w:r w:rsidRPr="00EC20A0">
              <w:t>Audits</w:t>
            </w:r>
            <w:r w:rsidRPr="00EC20A0">
              <w:rPr>
                <w:spacing w:val="-7"/>
              </w:rPr>
              <w:t xml:space="preserve"> </w:t>
            </w:r>
            <w:r w:rsidRPr="00EC20A0">
              <w:t>of</w:t>
            </w:r>
            <w:r w:rsidRPr="00EC20A0">
              <w:rPr>
                <w:spacing w:val="-6"/>
              </w:rPr>
              <w:t xml:space="preserve"> </w:t>
            </w:r>
            <w:r w:rsidRPr="00EC20A0">
              <w:t>Group</w:t>
            </w:r>
            <w:r w:rsidRPr="00EC20A0">
              <w:rPr>
                <w:spacing w:val="-7"/>
              </w:rPr>
              <w:t xml:space="preserve"> </w:t>
            </w:r>
            <w:r w:rsidRPr="00EC20A0">
              <w:t>Financial</w:t>
            </w:r>
            <w:r w:rsidRPr="00EC20A0">
              <w:rPr>
                <w:spacing w:val="-6"/>
              </w:rPr>
              <w:t xml:space="preserve"> </w:t>
            </w:r>
            <w:r w:rsidRPr="00EC20A0">
              <w:rPr>
                <w:spacing w:val="-2"/>
              </w:rPr>
              <w:t>Statements</w:t>
            </w:r>
          </w:p>
        </w:tc>
        <w:tc>
          <w:tcPr>
            <w:tcW w:w="1030" w:type="dxa"/>
          </w:tcPr>
          <w:p w14:paraId="24D5FE25" w14:textId="77777777" w:rsidR="00245300" w:rsidRPr="00EC20A0" w:rsidRDefault="00F17249">
            <w:pPr>
              <w:pStyle w:val="TableParagraph"/>
              <w:spacing w:before="116"/>
              <w:ind w:left="416"/>
            </w:pPr>
            <w:r w:rsidRPr="00EC20A0">
              <w:rPr>
                <w:spacing w:val="-5"/>
              </w:rPr>
              <w:t>630</w:t>
            </w:r>
          </w:p>
        </w:tc>
      </w:tr>
      <w:tr w:rsidR="00245300" w:rsidRPr="00EC20A0" w14:paraId="24D5FE29" w14:textId="77777777">
        <w:trPr>
          <w:trHeight w:val="492"/>
        </w:trPr>
        <w:tc>
          <w:tcPr>
            <w:tcW w:w="7754" w:type="dxa"/>
          </w:tcPr>
          <w:p w14:paraId="24D5FE27" w14:textId="77777777" w:rsidR="00245300" w:rsidRPr="00EC20A0" w:rsidRDefault="00F17249">
            <w:pPr>
              <w:pStyle w:val="TableParagraph"/>
              <w:spacing w:before="115"/>
              <w:ind w:left="50"/>
            </w:pPr>
            <w:r w:rsidRPr="00EC20A0">
              <w:t>Entities</w:t>
            </w:r>
            <w:r w:rsidRPr="00EC20A0">
              <w:rPr>
                <w:spacing w:val="-7"/>
              </w:rPr>
              <w:t xml:space="preserve"> </w:t>
            </w:r>
            <w:r w:rsidRPr="00EC20A0">
              <w:t>Using</w:t>
            </w:r>
            <w:r w:rsidRPr="00EC20A0">
              <w:rPr>
                <w:spacing w:val="-6"/>
              </w:rPr>
              <w:t xml:space="preserve"> </w:t>
            </w:r>
            <w:r w:rsidRPr="00EC20A0">
              <w:t>a</w:t>
            </w:r>
            <w:r w:rsidRPr="00EC20A0">
              <w:rPr>
                <w:spacing w:val="-7"/>
              </w:rPr>
              <w:t xml:space="preserve"> </w:t>
            </w:r>
            <w:r w:rsidRPr="00EC20A0">
              <w:t>Service</w:t>
            </w:r>
            <w:r w:rsidRPr="00EC20A0">
              <w:rPr>
                <w:spacing w:val="-7"/>
              </w:rPr>
              <w:t xml:space="preserve"> </w:t>
            </w:r>
            <w:r w:rsidRPr="00EC20A0">
              <w:rPr>
                <w:spacing w:val="-2"/>
              </w:rPr>
              <w:t>Organization</w:t>
            </w:r>
          </w:p>
        </w:tc>
        <w:tc>
          <w:tcPr>
            <w:tcW w:w="1030" w:type="dxa"/>
          </w:tcPr>
          <w:p w14:paraId="24D5FE28" w14:textId="77777777" w:rsidR="00245300" w:rsidRPr="00EC20A0" w:rsidRDefault="00F17249">
            <w:pPr>
              <w:pStyle w:val="TableParagraph"/>
              <w:spacing w:before="115"/>
              <w:ind w:left="416"/>
            </w:pPr>
            <w:r w:rsidRPr="00EC20A0">
              <w:rPr>
                <w:spacing w:val="-5"/>
              </w:rPr>
              <w:t>640</w:t>
            </w:r>
          </w:p>
        </w:tc>
      </w:tr>
      <w:tr w:rsidR="00245300" w:rsidRPr="00EC20A0" w14:paraId="24D5FE2C" w14:textId="77777777">
        <w:trPr>
          <w:trHeight w:val="493"/>
        </w:trPr>
        <w:tc>
          <w:tcPr>
            <w:tcW w:w="7754" w:type="dxa"/>
          </w:tcPr>
          <w:p w14:paraId="24D5FE2A" w14:textId="77777777" w:rsidR="00245300" w:rsidRPr="00EC20A0" w:rsidRDefault="00F17249">
            <w:pPr>
              <w:pStyle w:val="TableParagraph"/>
              <w:spacing w:before="116"/>
              <w:ind w:left="50"/>
            </w:pPr>
            <w:r w:rsidRPr="00EC20A0">
              <w:t>Service</w:t>
            </w:r>
            <w:r w:rsidRPr="00EC20A0">
              <w:rPr>
                <w:spacing w:val="-9"/>
              </w:rPr>
              <w:t xml:space="preserve"> </w:t>
            </w:r>
            <w:r w:rsidRPr="00EC20A0">
              <w:t>Organization</w:t>
            </w:r>
            <w:r w:rsidRPr="00EC20A0">
              <w:rPr>
                <w:spacing w:val="-9"/>
              </w:rPr>
              <w:t xml:space="preserve"> </w:t>
            </w:r>
            <w:r w:rsidRPr="00EC20A0">
              <w:t>Type</w:t>
            </w:r>
            <w:r w:rsidRPr="00EC20A0">
              <w:rPr>
                <w:spacing w:val="-8"/>
              </w:rPr>
              <w:t xml:space="preserve"> </w:t>
            </w:r>
            <w:r w:rsidRPr="00EC20A0">
              <w:t>2</w:t>
            </w:r>
            <w:r w:rsidRPr="00EC20A0">
              <w:rPr>
                <w:spacing w:val="-9"/>
              </w:rPr>
              <w:t xml:space="preserve"> </w:t>
            </w:r>
            <w:r w:rsidRPr="00EC20A0">
              <w:t>Report</w:t>
            </w:r>
            <w:r w:rsidRPr="00EC20A0">
              <w:rPr>
                <w:spacing w:val="-9"/>
              </w:rPr>
              <w:t xml:space="preserve"> </w:t>
            </w:r>
            <w:r w:rsidRPr="00EC20A0">
              <w:t>Assessment</w:t>
            </w:r>
            <w:r w:rsidRPr="00EC20A0">
              <w:rPr>
                <w:spacing w:val="-9"/>
              </w:rPr>
              <w:t xml:space="preserve"> </w:t>
            </w:r>
            <w:r w:rsidRPr="00EC20A0">
              <w:rPr>
                <w:spacing w:val="-4"/>
              </w:rPr>
              <w:t>Tool</w:t>
            </w:r>
          </w:p>
        </w:tc>
        <w:tc>
          <w:tcPr>
            <w:tcW w:w="1030" w:type="dxa"/>
          </w:tcPr>
          <w:p w14:paraId="24D5FE2B" w14:textId="77777777" w:rsidR="00245300" w:rsidRPr="00EC20A0" w:rsidRDefault="00F17249">
            <w:pPr>
              <w:pStyle w:val="TableParagraph"/>
              <w:spacing w:before="116"/>
              <w:ind w:right="48"/>
              <w:jc w:val="right"/>
            </w:pPr>
            <w:r w:rsidRPr="00EC20A0">
              <w:t>640</w:t>
            </w:r>
            <w:r w:rsidRPr="00EC20A0">
              <w:rPr>
                <w:spacing w:val="-4"/>
              </w:rPr>
              <w:t xml:space="preserve"> </w:t>
            </w:r>
            <w:r w:rsidRPr="00EC20A0">
              <w:rPr>
                <w:spacing w:val="-10"/>
              </w:rPr>
              <w:t>A</w:t>
            </w:r>
          </w:p>
        </w:tc>
      </w:tr>
      <w:tr w:rsidR="00245300" w:rsidRPr="00EC20A0" w14:paraId="24D5FE2F" w14:textId="77777777">
        <w:trPr>
          <w:trHeight w:val="493"/>
        </w:trPr>
        <w:tc>
          <w:tcPr>
            <w:tcW w:w="7754" w:type="dxa"/>
          </w:tcPr>
          <w:p w14:paraId="24D5FE2D" w14:textId="77777777" w:rsidR="00245300" w:rsidRPr="00EC20A0" w:rsidRDefault="00F17249">
            <w:pPr>
              <w:pStyle w:val="TableParagraph"/>
              <w:spacing w:before="116"/>
              <w:ind w:left="50"/>
            </w:pPr>
            <w:r w:rsidRPr="00EC20A0">
              <w:t>Using</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Internal</w:t>
            </w:r>
            <w:r w:rsidRPr="00EC20A0">
              <w:rPr>
                <w:spacing w:val="-5"/>
              </w:rPr>
              <w:t xml:space="preserve"> </w:t>
            </w:r>
            <w:r w:rsidRPr="00EC20A0">
              <w:rPr>
                <w:spacing w:val="-2"/>
              </w:rPr>
              <w:t>Auditor</w:t>
            </w:r>
          </w:p>
        </w:tc>
        <w:tc>
          <w:tcPr>
            <w:tcW w:w="1030" w:type="dxa"/>
          </w:tcPr>
          <w:p w14:paraId="24D5FE2E" w14:textId="77777777" w:rsidR="00245300" w:rsidRPr="00EC20A0" w:rsidRDefault="00F17249">
            <w:pPr>
              <w:pStyle w:val="TableParagraph"/>
              <w:spacing w:before="116"/>
              <w:ind w:left="416"/>
            </w:pPr>
            <w:r w:rsidRPr="00EC20A0">
              <w:rPr>
                <w:spacing w:val="-5"/>
              </w:rPr>
              <w:t>645</w:t>
            </w:r>
          </w:p>
        </w:tc>
      </w:tr>
      <w:tr w:rsidR="00245300" w:rsidRPr="00EC20A0" w14:paraId="24D5FE32" w14:textId="77777777">
        <w:trPr>
          <w:trHeight w:val="745"/>
        </w:trPr>
        <w:tc>
          <w:tcPr>
            <w:tcW w:w="7754" w:type="dxa"/>
          </w:tcPr>
          <w:p w14:paraId="24D5FE30" w14:textId="77777777" w:rsidR="00245300" w:rsidRPr="00EC20A0" w:rsidRDefault="00F17249">
            <w:pPr>
              <w:pStyle w:val="TableParagraph"/>
              <w:spacing w:before="116"/>
              <w:ind w:left="50" w:right="287"/>
            </w:pPr>
            <w:r w:rsidRPr="00EC20A0">
              <w:t>IG</w:t>
            </w:r>
            <w:r w:rsidRPr="00EC20A0">
              <w:rPr>
                <w:spacing w:val="-6"/>
              </w:rPr>
              <w:t xml:space="preserve"> </w:t>
            </w:r>
            <w:r w:rsidRPr="00EC20A0">
              <w:t>Oversight</w:t>
            </w:r>
            <w:r w:rsidRPr="00EC20A0">
              <w:rPr>
                <w:spacing w:val="-5"/>
              </w:rPr>
              <w:t xml:space="preserve"> </w:t>
            </w:r>
            <w:r w:rsidRPr="00EC20A0">
              <w:t>of</w:t>
            </w:r>
            <w:r w:rsidRPr="00EC20A0">
              <w:rPr>
                <w:spacing w:val="-5"/>
              </w:rPr>
              <w:t xml:space="preserve"> </w:t>
            </w:r>
            <w:r w:rsidRPr="00EC20A0">
              <w:t>Audits</w:t>
            </w:r>
            <w:r w:rsidRPr="00EC20A0">
              <w:rPr>
                <w:spacing w:val="-5"/>
              </w:rPr>
              <w:t xml:space="preserve"> </w:t>
            </w:r>
            <w:r w:rsidRPr="00EC20A0">
              <w:t>Performed</w:t>
            </w:r>
            <w:r w:rsidRPr="00EC20A0">
              <w:rPr>
                <w:spacing w:val="-5"/>
              </w:rPr>
              <w:t xml:space="preserve"> </w:t>
            </w:r>
            <w:r w:rsidRPr="00EC20A0">
              <w:t>by</w:t>
            </w:r>
            <w:r w:rsidRPr="00EC20A0">
              <w:rPr>
                <w:spacing w:val="-5"/>
              </w:rPr>
              <w:t xml:space="preserve"> </w:t>
            </w:r>
            <w:r w:rsidRPr="00EC20A0">
              <w:t>Contracted</w:t>
            </w:r>
            <w:r w:rsidRPr="00EC20A0">
              <w:rPr>
                <w:spacing w:val="-5"/>
              </w:rPr>
              <w:t xml:space="preserve"> </w:t>
            </w:r>
            <w:r w:rsidRPr="00EC20A0">
              <w:t>Independent</w:t>
            </w:r>
            <w:r w:rsidRPr="00EC20A0">
              <w:rPr>
                <w:spacing w:val="-6"/>
              </w:rPr>
              <w:t xml:space="preserve"> </w:t>
            </w:r>
            <w:r w:rsidRPr="00EC20A0">
              <w:t>Public Accounting (IPA) Firms</w:t>
            </w:r>
          </w:p>
        </w:tc>
        <w:tc>
          <w:tcPr>
            <w:tcW w:w="1030" w:type="dxa"/>
          </w:tcPr>
          <w:p w14:paraId="24D5FE31" w14:textId="77777777" w:rsidR="00245300" w:rsidRPr="00EC20A0" w:rsidRDefault="00F17249">
            <w:pPr>
              <w:pStyle w:val="TableParagraph"/>
              <w:spacing w:before="116"/>
              <w:ind w:left="416"/>
            </w:pPr>
            <w:r w:rsidRPr="00EC20A0">
              <w:rPr>
                <w:spacing w:val="-5"/>
              </w:rPr>
              <w:t>670</w:t>
            </w:r>
          </w:p>
        </w:tc>
      </w:tr>
      <w:tr w:rsidR="00245300" w:rsidRPr="00EC20A0" w14:paraId="24D5FE35" w14:textId="77777777">
        <w:trPr>
          <w:trHeight w:val="745"/>
        </w:trPr>
        <w:tc>
          <w:tcPr>
            <w:tcW w:w="7754" w:type="dxa"/>
          </w:tcPr>
          <w:p w14:paraId="24D5FE33" w14:textId="77777777" w:rsidR="00245300" w:rsidRPr="00EC20A0" w:rsidRDefault="00F17249">
            <w:pPr>
              <w:pStyle w:val="TableParagraph"/>
              <w:spacing w:before="115"/>
              <w:ind w:left="50" w:right="287"/>
            </w:pPr>
            <w:r w:rsidRPr="00EC20A0">
              <w:t>Summary</w:t>
            </w:r>
            <w:r w:rsidRPr="00EC20A0">
              <w:rPr>
                <w:spacing w:val="-5"/>
              </w:rPr>
              <w:t xml:space="preserve"> </w:t>
            </w:r>
            <w:r w:rsidRPr="00EC20A0">
              <w:t>of</w:t>
            </w:r>
            <w:r w:rsidRPr="00EC20A0">
              <w:rPr>
                <w:spacing w:val="-5"/>
              </w:rPr>
              <w:t xml:space="preserve"> </w:t>
            </w:r>
            <w:r w:rsidRPr="00EC20A0">
              <w:t>Procedures</w:t>
            </w:r>
            <w:r w:rsidRPr="00EC20A0">
              <w:rPr>
                <w:spacing w:val="-6"/>
              </w:rPr>
              <w:t xml:space="preserve"> </w:t>
            </w:r>
            <w:r w:rsidRPr="00EC20A0">
              <w:t>and</w:t>
            </w:r>
            <w:r w:rsidRPr="00EC20A0">
              <w:rPr>
                <w:spacing w:val="-5"/>
              </w:rPr>
              <w:t xml:space="preserve"> </w:t>
            </w:r>
            <w:r w:rsidRPr="00EC20A0">
              <w:t>Documentation</w:t>
            </w:r>
            <w:r w:rsidRPr="00EC20A0">
              <w:rPr>
                <w:spacing w:val="-5"/>
              </w:rPr>
              <w:t xml:space="preserve"> </w:t>
            </w:r>
            <w:r w:rsidRPr="00EC20A0">
              <w:t>for</w:t>
            </w:r>
            <w:r w:rsidRPr="00EC20A0">
              <w:rPr>
                <w:spacing w:val="-7"/>
              </w:rPr>
              <w:t xml:space="preserve"> </w:t>
            </w:r>
            <w:r w:rsidRPr="00EC20A0">
              <w:t>Oversight</w:t>
            </w:r>
            <w:r w:rsidRPr="00EC20A0">
              <w:rPr>
                <w:spacing w:val="-5"/>
              </w:rPr>
              <w:t xml:space="preserve"> </w:t>
            </w:r>
            <w:r w:rsidRPr="00EC20A0">
              <w:t>of</w:t>
            </w:r>
            <w:r w:rsidRPr="00EC20A0">
              <w:rPr>
                <w:spacing w:val="-6"/>
              </w:rPr>
              <w:t xml:space="preserve"> </w:t>
            </w:r>
            <w:r w:rsidRPr="00EC20A0">
              <w:t>Audits Performed by Contracted IPA Firms</w:t>
            </w:r>
          </w:p>
        </w:tc>
        <w:tc>
          <w:tcPr>
            <w:tcW w:w="1030" w:type="dxa"/>
          </w:tcPr>
          <w:p w14:paraId="24D5FE34" w14:textId="77777777" w:rsidR="00245300" w:rsidRPr="00EC20A0" w:rsidRDefault="00F17249">
            <w:pPr>
              <w:pStyle w:val="TableParagraph"/>
              <w:spacing w:before="117"/>
              <w:ind w:right="48"/>
              <w:jc w:val="right"/>
            </w:pPr>
            <w:r w:rsidRPr="00EC20A0">
              <w:t>670</w:t>
            </w:r>
            <w:r w:rsidRPr="00EC20A0">
              <w:rPr>
                <w:spacing w:val="-4"/>
              </w:rPr>
              <w:t xml:space="preserve"> </w:t>
            </w:r>
            <w:r w:rsidRPr="00EC20A0">
              <w:rPr>
                <w:spacing w:val="-10"/>
              </w:rPr>
              <w:t>A</w:t>
            </w:r>
          </w:p>
        </w:tc>
      </w:tr>
      <w:tr w:rsidR="00245300" w:rsidRPr="00EC20A0" w14:paraId="24D5FE38" w14:textId="77777777">
        <w:trPr>
          <w:trHeight w:val="622"/>
        </w:trPr>
        <w:tc>
          <w:tcPr>
            <w:tcW w:w="7754" w:type="dxa"/>
          </w:tcPr>
          <w:p w14:paraId="24D5FE36" w14:textId="77777777" w:rsidR="00245300" w:rsidRPr="00EC20A0" w:rsidRDefault="00F17249">
            <w:pPr>
              <w:pStyle w:val="TableParagraph"/>
              <w:spacing w:before="96" w:line="250" w:lineRule="atLeast"/>
              <w:ind w:left="50" w:right="287"/>
            </w:pPr>
            <w:r w:rsidRPr="00EC20A0">
              <w:t>Example</w:t>
            </w:r>
            <w:r w:rsidRPr="00EC20A0">
              <w:rPr>
                <w:spacing w:val="-6"/>
              </w:rPr>
              <w:t xml:space="preserve"> </w:t>
            </w:r>
            <w:r w:rsidRPr="00EC20A0">
              <w:t>Transmittal</w:t>
            </w:r>
            <w:r w:rsidRPr="00EC20A0">
              <w:rPr>
                <w:spacing w:val="-6"/>
              </w:rPr>
              <w:t xml:space="preserve"> </w:t>
            </w:r>
            <w:r w:rsidRPr="00EC20A0">
              <w:t>Letter</w:t>
            </w:r>
            <w:r w:rsidRPr="00EC20A0">
              <w:rPr>
                <w:spacing w:val="-6"/>
              </w:rPr>
              <w:t xml:space="preserve"> </w:t>
            </w:r>
            <w:r w:rsidRPr="00EC20A0">
              <w:t>When</w:t>
            </w:r>
            <w:r w:rsidRPr="00EC20A0">
              <w:rPr>
                <w:spacing w:val="-6"/>
              </w:rPr>
              <w:t xml:space="preserve"> </w:t>
            </w:r>
            <w:r w:rsidRPr="00EC20A0">
              <w:t>Providing</w:t>
            </w:r>
            <w:r w:rsidRPr="00EC20A0">
              <w:rPr>
                <w:spacing w:val="-6"/>
              </w:rPr>
              <w:t xml:space="preserve"> </w:t>
            </w:r>
            <w:r w:rsidRPr="00EC20A0">
              <w:t>Oversight</w:t>
            </w:r>
            <w:r w:rsidRPr="00EC20A0">
              <w:rPr>
                <w:spacing w:val="-6"/>
              </w:rPr>
              <w:t xml:space="preserve"> </w:t>
            </w:r>
            <w:r w:rsidRPr="00EC20A0">
              <w:t>of</w:t>
            </w:r>
            <w:r w:rsidRPr="00EC20A0">
              <w:rPr>
                <w:spacing w:val="-6"/>
              </w:rPr>
              <w:t xml:space="preserve"> </w:t>
            </w:r>
            <w:r w:rsidRPr="00EC20A0">
              <w:t>Audits</w:t>
            </w:r>
            <w:r w:rsidRPr="00EC20A0">
              <w:rPr>
                <w:spacing w:val="-5"/>
              </w:rPr>
              <w:t xml:space="preserve"> </w:t>
            </w:r>
            <w:r w:rsidRPr="00EC20A0">
              <w:t>Performed by Contracted IPA Firms</w:t>
            </w:r>
          </w:p>
        </w:tc>
        <w:tc>
          <w:tcPr>
            <w:tcW w:w="1030" w:type="dxa"/>
          </w:tcPr>
          <w:p w14:paraId="24D5FE37" w14:textId="77777777" w:rsidR="00245300" w:rsidRPr="00EC20A0" w:rsidRDefault="00F17249">
            <w:pPr>
              <w:pStyle w:val="TableParagraph"/>
              <w:spacing w:before="116"/>
              <w:ind w:right="48"/>
              <w:jc w:val="right"/>
            </w:pPr>
            <w:r w:rsidRPr="00EC20A0">
              <w:t>670</w:t>
            </w:r>
            <w:r w:rsidRPr="00EC20A0">
              <w:rPr>
                <w:spacing w:val="-4"/>
              </w:rPr>
              <w:t xml:space="preserve"> </w:t>
            </w:r>
            <w:r w:rsidRPr="00EC20A0">
              <w:rPr>
                <w:spacing w:val="-10"/>
              </w:rPr>
              <w:t>B</w:t>
            </w:r>
          </w:p>
        </w:tc>
      </w:tr>
    </w:tbl>
    <w:p w14:paraId="24D5FE39" w14:textId="77777777" w:rsidR="00245300" w:rsidRPr="00EC20A0" w:rsidRDefault="00245300">
      <w:pPr>
        <w:jc w:val="right"/>
        <w:sectPr w:rsidR="00245300" w:rsidRPr="00EC20A0">
          <w:headerReference w:type="default" r:id="rId15"/>
          <w:footerReference w:type="default" r:id="rId16"/>
          <w:pgSz w:w="12240" w:h="15840"/>
          <w:pgMar w:top="1340" w:right="940" w:bottom="940" w:left="1020" w:header="721" w:footer="757" w:gutter="0"/>
          <w:cols w:space="720"/>
        </w:sectPr>
      </w:pPr>
    </w:p>
    <w:p w14:paraId="24D5FE3A" w14:textId="77777777" w:rsidR="00245300" w:rsidRPr="00EC20A0" w:rsidRDefault="00F17249" w:rsidP="00EC20A0">
      <w:pPr>
        <w:pStyle w:val="Heading3"/>
        <w:ind w:left="360"/>
      </w:pPr>
      <w:bookmarkStart w:id="5" w:name="610_–_Overview_of_Using_the_Work_of_Othe"/>
      <w:bookmarkStart w:id="6" w:name="_bookmark1"/>
      <w:bookmarkEnd w:id="5"/>
      <w:bookmarkEnd w:id="6"/>
      <w:r w:rsidRPr="00EC20A0">
        <w:t>610</w:t>
      </w:r>
      <w:r w:rsidRPr="00EC20A0">
        <w:rPr>
          <w:spacing w:val="-6"/>
        </w:rPr>
        <w:t xml:space="preserve"> </w:t>
      </w:r>
      <w:r w:rsidRPr="00EC20A0">
        <w:t>–</w:t>
      </w:r>
      <w:r w:rsidRPr="00EC20A0">
        <w:rPr>
          <w:spacing w:val="-3"/>
        </w:rPr>
        <w:t xml:space="preserve"> </w:t>
      </w:r>
      <w:r w:rsidRPr="00EC20A0">
        <w:t>Overview</w:t>
      </w:r>
      <w:r w:rsidRPr="00EC20A0">
        <w:rPr>
          <w:spacing w:val="-4"/>
        </w:rPr>
        <w:t xml:space="preserve"> </w:t>
      </w:r>
      <w:r w:rsidRPr="00EC20A0">
        <w:t>of</w:t>
      </w:r>
      <w:r w:rsidRPr="00EC20A0">
        <w:rPr>
          <w:spacing w:val="-3"/>
        </w:rPr>
        <w:t xml:space="preserve"> </w:t>
      </w:r>
      <w:r w:rsidRPr="00EC20A0">
        <w:t>Using</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4"/>
        </w:rPr>
        <w:t xml:space="preserve"> </w:t>
      </w:r>
      <w:r w:rsidRPr="00EC20A0">
        <w:rPr>
          <w:spacing w:val="-2"/>
        </w:rPr>
        <w:t>Others</w:t>
      </w:r>
    </w:p>
    <w:p w14:paraId="24D5FE3B" w14:textId="77777777" w:rsidR="00245300" w:rsidRPr="00EC20A0" w:rsidRDefault="00F17249">
      <w:pPr>
        <w:pStyle w:val="ListParagraph"/>
        <w:numPr>
          <w:ilvl w:val="0"/>
          <w:numId w:val="22"/>
        </w:numPr>
        <w:tabs>
          <w:tab w:val="left" w:pos="1860"/>
        </w:tabs>
        <w:spacing w:before="239"/>
        <w:ind w:right="531"/>
      </w:pPr>
      <w:r w:rsidRPr="00EC20A0">
        <w:t>In</w:t>
      </w:r>
      <w:r w:rsidRPr="00EC20A0">
        <w:rPr>
          <w:spacing w:val="-3"/>
        </w:rPr>
        <w:t xml:space="preserve"> </w:t>
      </w:r>
      <w:r w:rsidRPr="00EC20A0">
        <w:t>many</w:t>
      </w:r>
      <w:r w:rsidRPr="00EC20A0">
        <w:rPr>
          <w:spacing w:val="-3"/>
        </w:rPr>
        <w:t xml:space="preserve"> </w:t>
      </w:r>
      <w:r w:rsidRPr="00EC20A0">
        <w:t>financial</w:t>
      </w:r>
      <w:r w:rsidRPr="00EC20A0">
        <w:rPr>
          <w:spacing w:val="-3"/>
        </w:rPr>
        <w:t xml:space="preserve"> </w:t>
      </w:r>
      <w:r w:rsidRPr="00EC20A0">
        <w:t>statement</w:t>
      </w:r>
      <w:r w:rsidRPr="00EC20A0">
        <w:rPr>
          <w:spacing w:val="-3"/>
        </w:rPr>
        <w:t xml:space="preserve"> </w:t>
      </w:r>
      <w:r w:rsidRPr="00EC20A0">
        <w:t>audits,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uses</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and</w:t>
      </w:r>
      <w:r w:rsidRPr="00EC20A0">
        <w:rPr>
          <w:spacing w:val="-3"/>
        </w:rPr>
        <w:t xml:space="preserve"> </w:t>
      </w:r>
      <w:r w:rsidRPr="00EC20A0">
        <w:t>reports</w:t>
      </w:r>
      <w:r w:rsidRPr="00EC20A0">
        <w:rPr>
          <w:spacing w:val="-3"/>
        </w:rPr>
        <w:t xml:space="preserve"> </w:t>
      </w:r>
      <w:r w:rsidRPr="00EC20A0">
        <w:t>of</w:t>
      </w:r>
      <w:r w:rsidRPr="00EC20A0">
        <w:rPr>
          <w:spacing w:val="-3"/>
        </w:rPr>
        <w:t xml:space="preserve"> </w:t>
      </w:r>
      <w:r w:rsidRPr="00EC20A0">
        <w:t xml:space="preserve">other auditors and specialists. Other auditors may include independent public accounting (IPA) firms, inspectors general (IG), state auditors, and internal </w:t>
      </w:r>
      <w:r w:rsidRPr="00EC20A0">
        <w:t>auditors. Specialists may include statisticians, actuaries, economists, and information technology professionals.</w:t>
      </w:r>
    </w:p>
    <w:p w14:paraId="24D5FE3C" w14:textId="77777777" w:rsidR="00245300" w:rsidRPr="00EC20A0" w:rsidRDefault="00F17249">
      <w:pPr>
        <w:pStyle w:val="ListParagraph"/>
        <w:numPr>
          <w:ilvl w:val="0"/>
          <w:numId w:val="22"/>
        </w:numPr>
        <w:tabs>
          <w:tab w:val="left" w:pos="1860"/>
        </w:tabs>
        <w:ind w:right="701"/>
      </w:pPr>
      <w:r w:rsidRPr="00EC20A0">
        <w:t>U.S. Government Accountability Office (GAO) and Council of the Inspectors General</w:t>
      </w:r>
      <w:r w:rsidRPr="00EC20A0">
        <w:rPr>
          <w:spacing w:val="-4"/>
        </w:rPr>
        <w:t xml:space="preserve"> </w:t>
      </w:r>
      <w:r w:rsidRPr="00EC20A0">
        <w:t>on</w:t>
      </w:r>
      <w:r w:rsidRPr="00EC20A0">
        <w:rPr>
          <w:spacing w:val="-4"/>
        </w:rPr>
        <w:t xml:space="preserve"> </w:t>
      </w:r>
      <w:r w:rsidRPr="00EC20A0">
        <w:t>Integrity</w:t>
      </w:r>
      <w:r w:rsidRPr="00EC20A0">
        <w:rPr>
          <w:spacing w:val="-4"/>
        </w:rPr>
        <w:t xml:space="preserve"> </w:t>
      </w:r>
      <w:r w:rsidRPr="00EC20A0">
        <w:t>and</w:t>
      </w:r>
      <w:r w:rsidRPr="00EC20A0">
        <w:rPr>
          <w:spacing w:val="-5"/>
        </w:rPr>
        <w:t xml:space="preserve"> </w:t>
      </w:r>
      <w:r w:rsidRPr="00EC20A0">
        <w:t>Efficiency’s</w:t>
      </w:r>
      <w:r w:rsidRPr="00EC20A0">
        <w:rPr>
          <w:spacing w:val="-5"/>
        </w:rPr>
        <w:t xml:space="preserve"> </w:t>
      </w:r>
      <w:r w:rsidRPr="00EC20A0">
        <w:t>(CIGIE)</w:t>
      </w:r>
      <w:r w:rsidRPr="00EC20A0">
        <w:rPr>
          <w:spacing w:val="-4"/>
        </w:rPr>
        <w:t xml:space="preserve"> </w:t>
      </w:r>
      <w:r w:rsidRPr="00EC20A0">
        <w:rPr>
          <w:i/>
        </w:rPr>
        <w:t>Financial</w:t>
      </w:r>
      <w:r w:rsidRPr="00EC20A0">
        <w:rPr>
          <w:i/>
          <w:spacing w:val="-4"/>
        </w:rPr>
        <w:t xml:space="preserve"> </w:t>
      </w:r>
      <w:r w:rsidRPr="00EC20A0">
        <w:rPr>
          <w:i/>
        </w:rPr>
        <w:t>Audit</w:t>
      </w:r>
      <w:r w:rsidRPr="00EC20A0">
        <w:rPr>
          <w:i/>
          <w:spacing w:val="-5"/>
        </w:rPr>
        <w:t xml:space="preserve"> </w:t>
      </w:r>
      <w:r w:rsidRPr="00EC20A0">
        <w:rPr>
          <w:i/>
        </w:rPr>
        <w:t>Manual</w:t>
      </w:r>
      <w:r w:rsidRPr="00EC20A0">
        <w:rPr>
          <w:i/>
          <w:spacing w:val="-3"/>
        </w:rPr>
        <w:t xml:space="preserve"> </w:t>
      </w:r>
      <w:r w:rsidRPr="00EC20A0">
        <w:t>(FAM)</w:t>
      </w:r>
      <w:r w:rsidRPr="00EC20A0">
        <w:rPr>
          <w:spacing w:val="-4"/>
        </w:rPr>
        <w:t xml:space="preserve"> </w:t>
      </w:r>
      <w:r w:rsidRPr="00EC20A0">
        <w:t>600 provides guidance to auditors of federal entities on designing and performing oversight and other procedures when using the work of others as follows:</w:t>
      </w:r>
    </w:p>
    <w:p w14:paraId="24D5FE3D" w14:textId="77777777" w:rsidR="00245300" w:rsidRPr="00EC20A0" w:rsidRDefault="00F17249">
      <w:pPr>
        <w:pStyle w:val="ListParagraph"/>
        <w:numPr>
          <w:ilvl w:val="1"/>
          <w:numId w:val="22"/>
        </w:numPr>
        <w:tabs>
          <w:tab w:val="left" w:pos="2221"/>
        </w:tabs>
        <w:ind w:right="988" w:hanging="361"/>
      </w:pPr>
      <w:r w:rsidRPr="00EC20A0">
        <w:t>evaluating</w:t>
      </w:r>
      <w:r w:rsidRPr="00EC20A0">
        <w:rPr>
          <w:spacing w:val="-5"/>
        </w:rPr>
        <w:t xml:space="preserve"> </w:t>
      </w:r>
      <w:r w:rsidRPr="00EC20A0">
        <w:t>the</w:t>
      </w:r>
      <w:r w:rsidRPr="00EC20A0">
        <w:rPr>
          <w:spacing w:val="-5"/>
        </w:rPr>
        <w:t xml:space="preserve"> </w:t>
      </w:r>
      <w:r w:rsidRPr="00EC20A0">
        <w:t>objectivity</w:t>
      </w:r>
      <w:r w:rsidRPr="00EC20A0">
        <w:rPr>
          <w:spacing w:val="-5"/>
        </w:rPr>
        <w:t xml:space="preserve"> </w:t>
      </w:r>
      <w:r w:rsidRPr="00EC20A0">
        <w:t>and</w:t>
      </w:r>
      <w:r w:rsidRPr="00EC20A0">
        <w:rPr>
          <w:spacing w:val="-5"/>
        </w:rPr>
        <w:t xml:space="preserve"> </w:t>
      </w:r>
      <w:r w:rsidRPr="00EC20A0">
        <w:t>competence</w:t>
      </w:r>
      <w:r w:rsidRPr="00EC20A0">
        <w:rPr>
          <w:spacing w:val="-5"/>
        </w:rPr>
        <w:t xml:space="preserve"> </w:t>
      </w:r>
      <w:r w:rsidRPr="00EC20A0">
        <w:t>of</w:t>
      </w:r>
      <w:r w:rsidRPr="00EC20A0">
        <w:rPr>
          <w:spacing w:val="-5"/>
        </w:rPr>
        <w:t xml:space="preserve"> </w:t>
      </w:r>
      <w:r w:rsidRPr="00EC20A0">
        <w:t>other</w:t>
      </w:r>
      <w:r w:rsidRPr="00EC20A0">
        <w:rPr>
          <w:spacing w:val="-5"/>
        </w:rPr>
        <w:t xml:space="preserve"> </w:t>
      </w:r>
      <w:r w:rsidRPr="00EC20A0">
        <w:t>auditors</w:t>
      </w:r>
      <w:r w:rsidRPr="00EC20A0">
        <w:rPr>
          <w:spacing w:val="-5"/>
        </w:rPr>
        <w:t xml:space="preserve"> </w:t>
      </w:r>
      <w:r w:rsidRPr="00EC20A0">
        <w:t>or</w:t>
      </w:r>
      <w:r w:rsidRPr="00EC20A0">
        <w:rPr>
          <w:spacing w:val="-5"/>
        </w:rPr>
        <w:t xml:space="preserve"> </w:t>
      </w:r>
      <w:r w:rsidRPr="00EC20A0">
        <w:t>specialists (FAM 615),</w:t>
      </w:r>
    </w:p>
    <w:p w14:paraId="24D5FE3E" w14:textId="77777777" w:rsidR="00245300" w:rsidRPr="00EC20A0" w:rsidRDefault="00F17249">
      <w:pPr>
        <w:pStyle w:val="ListParagraph"/>
        <w:numPr>
          <w:ilvl w:val="1"/>
          <w:numId w:val="22"/>
        </w:numPr>
        <w:tabs>
          <w:tab w:val="left" w:pos="2221"/>
        </w:tabs>
        <w:spacing w:before="239"/>
      </w:pPr>
      <w:r w:rsidRPr="00EC20A0">
        <w:t>using</w:t>
      </w:r>
      <w:r w:rsidRPr="00EC20A0">
        <w:rPr>
          <w:spacing w:val="-6"/>
        </w:rPr>
        <w:t xml:space="preserve"> </w:t>
      </w:r>
      <w:r w:rsidRPr="00EC20A0">
        <w:t>the</w:t>
      </w:r>
      <w:r w:rsidRPr="00EC20A0">
        <w:rPr>
          <w:spacing w:val="-6"/>
        </w:rPr>
        <w:t xml:space="preserve"> </w:t>
      </w:r>
      <w:r w:rsidRPr="00EC20A0">
        <w:t>work</w:t>
      </w:r>
      <w:r w:rsidRPr="00EC20A0">
        <w:rPr>
          <w:spacing w:val="-6"/>
        </w:rPr>
        <w:t xml:space="preserve"> </w:t>
      </w:r>
      <w:r w:rsidRPr="00EC20A0">
        <w:t>of</w:t>
      </w:r>
      <w:r w:rsidRPr="00EC20A0">
        <w:rPr>
          <w:spacing w:val="-6"/>
        </w:rPr>
        <w:t xml:space="preserve"> </w:t>
      </w:r>
      <w:r w:rsidRPr="00EC20A0">
        <w:t>an</w:t>
      </w:r>
      <w:r w:rsidRPr="00EC20A0">
        <w:rPr>
          <w:spacing w:val="-5"/>
        </w:rPr>
        <w:t xml:space="preserve"> </w:t>
      </w:r>
      <w:r w:rsidRPr="00EC20A0">
        <w:t>auditor’s</w:t>
      </w:r>
      <w:r w:rsidRPr="00EC20A0">
        <w:rPr>
          <w:spacing w:val="-6"/>
        </w:rPr>
        <w:t xml:space="preserve"> </w:t>
      </w:r>
      <w:r w:rsidRPr="00EC20A0">
        <w:t>specialist</w:t>
      </w:r>
      <w:r w:rsidRPr="00EC20A0">
        <w:rPr>
          <w:spacing w:val="-6"/>
        </w:rPr>
        <w:t xml:space="preserve"> </w:t>
      </w:r>
      <w:r w:rsidRPr="00EC20A0">
        <w:t>(FAM</w:t>
      </w:r>
      <w:r w:rsidRPr="00EC20A0">
        <w:rPr>
          <w:spacing w:val="-6"/>
        </w:rPr>
        <w:t xml:space="preserve"> </w:t>
      </w:r>
      <w:r w:rsidRPr="00EC20A0">
        <w:rPr>
          <w:spacing w:val="-4"/>
        </w:rPr>
        <w:t>620),</w:t>
      </w:r>
    </w:p>
    <w:p w14:paraId="24D5FE3F" w14:textId="77777777" w:rsidR="00245300" w:rsidRPr="00EC20A0" w:rsidRDefault="00F17249">
      <w:pPr>
        <w:pStyle w:val="ListParagraph"/>
        <w:numPr>
          <w:ilvl w:val="1"/>
          <w:numId w:val="22"/>
        </w:numPr>
        <w:tabs>
          <w:tab w:val="left" w:pos="2220"/>
        </w:tabs>
        <w:spacing w:before="238"/>
        <w:ind w:left="2220"/>
      </w:pPr>
      <w:r w:rsidRPr="00EC20A0">
        <w:t>using</w:t>
      </w:r>
      <w:r w:rsidRPr="00EC20A0">
        <w:rPr>
          <w:spacing w:val="-8"/>
        </w:rPr>
        <w:t xml:space="preserve"> </w:t>
      </w:r>
      <w:r w:rsidRPr="00EC20A0">
        <w:t>the</w:t>
      </w:r>
      <w:r w:rsidRPr="00EC20A0">
        <w:rPr>
          <w:spacing w:val="-8"/>
        </w:rPr>
        <w:t xml:space="preserve"> </w:t>
      </w:r>
      <w:r w:rsidRPr="00EC20A0">
        <w:t>work</w:t>
      </w:r>
      <w:r w:rsidRPr="00EC20A0">
        <w:rPr>
          <w:spacing w:val="-7"/>
        </w:rPr>
        <w:t xml:space="preserve"> </w:t>
      </w:r>
      <w:r w:rsidRPr="00EC20A0">
        <w:t>of</w:t>
      </w:r>
      <w:r w:rsidRPr="00EC20A0">
        <w:rPr>
          <w:spacing w:val="-8"/>
        </w:rPr>
        <w:t xml:space="preserve"> </w:t>
      </w:r>
      <w:r w:rsidRPr="00EC20A0">
        <w:t>management’s</w:t>
      </w:r>
      <w:r w:rsidRPr="00EC20A0">
        <w:rPr>
          <w:spacing w:val="-7"/>
        </w:rPr>
        <w:t xml:space="preserve"> </w:t>
      </w:r>
      <w:r w:rsidRPr="00EC20A0">
        <w:t>specialists</w:t>
      </w:r>
      <w:r w:rsidRPr="00EC20A0">
        <w:rPr>
          <w:spacing w:val="-7"/>
        </w:rPr>
        <w:t xml:space="preserve"> </w:t>
      </w:r>
      <w:r w:rsidRPr="00EC20A0">
        <w:t>(FAM</w:t>
      </w:r>
      <w:r w:rsidRPr="00EC20A0">
        <w:rPr>
          <w:spacing w:val="-8"/>
        </w:rPr>
        <w:t xml:space="preserve"> </w:t>
      </w:r>
      <w:r w:rsidRPr="00EC20A0">
        <w:rPr>
          <w:spacing w:val="-2"/>
        </w:rPr>
        <w:t>625),</w:t>
      </w:r>
    </w:p>
    <w:p w14:paraId="24D5FE40" w14:textId="77777777" w:rsidR="00245300" w:rsidRPr="00EC20A0" w:rsidRDefault="00F17249">
      <w:pPr>
        <w:pStyle w:val="ListParagraph"/>
        <w:numPr>
          <w:ilvl w:val="1"/>
          <w:numId w:val="22"/>
        </w:numPr>
        <w:tabs>
          <w:tab w:val="left" w:pos="2220"/>
        </w:tabs>
        <w:spacing w:before="237"/>
        <w:ind w:left="2220" w:right="1295" w:hanging="361"/>
      </w:pPr>
      <w:r w:rsidRPr="00EC20A0">
        <w:t>audits</w:t>
      </w:r>
      <w:r w:rsidRPr="00EC20A0">
        <w:rPr>
          <w:spacing w:val="-3"/>
        </w:rPr>
        <w:t xml:space="preserve"> </w:t>
      </w:r>
      <w:r w:rsidRPr="00EC20A0">
        <w:t>of</w:t>
      </w:r>
      <w:r w:rsidRPr="00EC20A0">
        <w:rPr>
          <w:spacing w:val="-4"/>
        </w:rPr>
        <w:t xml:space="preserve"> </w:t>
      </w:r>
      <w:r w:rsidRPr="00EC20A0">
        <w:t>group</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and</w:t>
      </w:r>
      <w:r w:rsidRPr="00EC20A0">
        <w:rPr>
          <w:spacing w:val="-4"/>
        </w:rPr>
        <w:t xml:space="preserve"> </w:t>
      </w:r>
      <w:r w:rsidRPr="00EC20A0">
        <w:t>using</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of</w:t>
      </w:r>
      <w:r w:rsidRPr="00EC20A0">
        <w:rPr>
          <w:spacing w:val="-4"/>
        </w:rPr>
        <w:t xml:space="preserve"> </w:t>
      </w:r>
      <w:r w:rsidRPr="00EC20A0">
        <w:t>component auditors (FAM 630),</w:t>
      </w:r>
    </w:p>
    <w:p w14:paraId="24D5FE41" w14:textId="77777777" w:rsidR="00245300" w:rsidRPr="00EC20A0" w:rsidRDefault="00F17249">
      <w:pPr>
        <w:pStyle w:val="ListParagraph"/>
        <w:numPr>
          <w:ilvl w:val="1"/>
          <w:numId w:val="22"/>
        </w:numPr>
        <w:tabs>
          <w:tab w:val="left" w:pos="2220"/>
        </w:tabs>
        <w:spacing w:before="239"/>
        <w:ind w:left="2220"/>
      </w:pPr>
      <w:r w:rsidRPr="00EC20A0">
        <w:t>entities</w:t>
      </w:r>
      <w:r w:rsidRPr="00EC20A0">
        <w:rPr>
          <w:spacing w:val="-7"/>
        </w:rPr>
        <w:t xml:space="preserve"> </w:t>
      </w:r>
      <w:r w:rsidRPr="00EC20A0">
        <w:t>using</w:t>
      </w:r>
      <w:r w:rsidRPr="00EC20A0">
        <w:rPr>
          <w:spacing w:val="-6"/>
        </w:rPr>
        <w:t xml:space="preserve"> </w:t>
      </w:r>
      <w:r w:rsidRPr="00EC20A0">
        <w:t>the</w:t>
      </w:r>
      <w:r w:rsidRPr="00EC20A0">
        <w:rPr>
          <w:spacing w:val="-6"/>
        </w:rPr>
        <w:t xml:space="preserve"> </w:t>
      </w:r>
      <w:r w:rsidRPr="00EC20A0">
        <w:t>work</w:t>
      </w:r>
      <w:r w:rsidRPr="00EC20A0">
        <w:rPr>
          <w:spacing w:val="-6"/>
        </w:rPr>
        <w:t xml:space="preserve"> </w:t>
      </w:r>
      <w:r w:rsidRPr="00EC20A0">
        <w:t>of</w:t>
      </w:r>
      <w:r w:rsidRPr="00EC20A0">
        <w:rPr>
          <w:spacing w:val="-6"/>
        </w:rPr>
        <w:t xml:space="preserve"> </w:t>
      </w:r>
      <w:r w:rsidRPr="00EC20A0">
        <w:t>a</w:t>
      </w:r>
      <w:r w:rsidRPr="00EC20A0">
        <w:rPr>
          <w:spacing w:val="-6"/>
        </w:rPr>
        <w:t xml:space="preserve"> </w:t>
      </w:r>
      <w:r w:rsidRPr="00EC20A0">
        <w:t>service</w:t>
      </w:r>
      <w:r w:rsidRPr="00EC20A0">
        <w:rPr>
          <w:spacing w:val="-7"/>
        </w:rPr>
        <w:t xml:space="preserve"> </w:t>
      </w:r>
      <w:r w:rsidRPr="00EC20A0">
        <w:t>organization</w:t>
      </w:r>
      <w:r w:rsidRPr="00EC20A0">
        <w:rPr>
          <w:spacing w:val="-6"/>
        </w:rPr>
        <w:t xml:space="preserve"> </w:t>
      </w:r>
      <w:r w:rsidRPr="00EC20A0">
        <w:t>(FAM</w:t>
      </w:r>
      <w:r w:rsidRPr="00EC20A0">
        <w:rPr>
          <w:spacing w:val="-7"/>
        </w:rPr>
        <w:t xml:space="preserve"> </w:t>
      </w:r>
      <w:r w:rsidRPr="00EC20A0">
        <w:rPr>
          <w:spacing w:val="-2"/>
        </w:rPr>
        <w:t>640),</w:t>
      </w:r>
    </w:p>
    <w:p w14:paraId="24D5FE42" w14:textId="77777777" w:rsidR="00245300" w:rsidRPr="00EC20A0" w:rsidRDefault="00F17249">
      <w:pPr>
        <w:pStyle w:val="ListParagraph"/>
        <w:numPr>
          <w:ilvl w:val="1"/>
          <w:numId w:val="22"/>
        </w:numPr>
        <w:tabs>
          <w:tab w:val="left" w:pos="2220"/>
        </w:tabs>
        <w:spacing w:before="238"/>
        <w:ind w:left="2220"/>
      </w:pPr>
      <w:r w:rsidRPr="00EC20A0">
        <w:t>using</w:t>
      </w:r>
      <w:r w:rsidRPr="00EC20A0">
        <w:rPr>
          <w:spacing w:val="-6"/>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internal</w:t>
      </w:r>
      <w:r w:rsidRPr="00EC20A0">
        <w:rPr>
          <w:spacing w:val="-6"/>
        </w:rPr>
        <w:t xml:space="preserve"> </w:t>
      </w:r>
      <w:r w:rsidRPr="00EC20A0">
        <w:t>auditor</w:t>
      </w:r>
      <w:r w:rsidRPr="00EC20A0">
        <w:rPr>
          <w:spacing w:val="-6"/>
        </w:rPr>
        <w:t xml:space="preserve"> </w:t>
      </w:r>
      <w:r w:rsidRPr="00EC20A0">
        <w:t>(FAM</w:t>
      </w:r>
      <w:r w:rsidRPr="00EC20A0">
        <w:rPr>
          <w:spacing w:val="-6"/>
        </w:rPr>
        <w:t xml:space="preserve"> </w:t>
      </w:r>
      <w:r w:rsidRPr="00EC20A0">
        <w:t>645),</w:t>
      </w:r>
      <w:r w:rsidRPr="00EC20A0">
        <w:rPr>
          <w:spacing w:val="-4"/>
        </w:rPr>
        <w:t xml:space="preserve"> </w:t>
      </w:r>
      <w:r w:rsidRPr="00EC20A0">
        <w:rPr>
          <w:spacing w:val="-5"/>
        </w:rPr>
        <w:t>and</w:t>
      </w:r>
    </w:p>
    <w:p w14:paraId="24D5FE43" w14:textId="77777777" w:rsidR="00245300" w:rsidRPr="00EC20A0" w:rsidRDefault="00F17249">
      <w:pPr>
        <w:pStyle w:val="ListParagraph"/>
        <w:numPr>
          <w:ilvl w:val="1"/>
          <w:numId w:val="22"/>
        </w:numPr>
        <w:tabs>
          <w:tab w:val="left" w:pos="2220"/>
        </w:tabs>
        <w:spacing w:before="239"/>
        <w:ind w:left="2220"/>
      </w:pPr>
      <w:r w:rsidRPr="00EC20A0">
        <w:t>IG</w:t>
      </w:r>
      <w:r w:rsidRPr="00EC20A0">
        <w:rPr>
          <w:spacing w:val="-8"/>
        </w:rPr>
        <w:t xml:space="preserve"> </w:t>
      </w:r>
      <w:r w:rsidRPr="00EC20A0">
        <w:t>oversight</w:t>
      </w:r>
      <w:r w:rsidRPr="00EC20A0">
        <w:rPr>
          <w:spacing w:val="-7"/>
        </w:rPr>
        <w:t xml:space="preserve"> </w:t>
      </w:r>
      <w:r w:rsidRPr="00EC20A0">
        <w:t>of</w:t>
      </w:r>
      <w:r w:rsidRPr="00EC20A0">
        <w:rPr>
          <w:spacing w:val="-6"/>
        </w:rPr>
        <w:t xml:space="preserve"> </w:t>
      </w:r>
      <w:r w:rsidRPr="00EC20A0">
        <w:t>contracted</w:t>
      </w:r>
      <w:r w:rsidRPr="00EC20A0">
        <w:rPr>
          <w:spacing w:val="-6"/>
        </w:rPr>
        <w:t xml:space="preserve"> </w:t>
      </w:r>
      <w:r w:rsidRPr="00EC20A0">
        <w:t>IPAs</w:t>
      </w:r>
      <w:r w:rsidRPr="00EC20A0">
        <w:rPr>
          <w:spacing w:val="-7"/>
        </w:rPr>
        <w:t xml:space="preserve"> </w:t>
      </w:r>
      <w:r w:rsidRPr="00EC20A0">
        <w:t>(FAM</w:t>
      </w:r>
      <w:r w:rsidRPr="00EC20A0">
        <w:rPr>
          <w:spacing w:val="-7"/>
        </w:rPr>
        <w:t xml:space="preserve"> </w:t>
      </w:r>
      <w:r w:rsidRPr="00EC20A0">
        <w:rPr>
          <w:spacing w:val="-2"/>
        </w:rPr>
        <w:t>670).</w:t>
      </w:r>
    </w:p>
    <w:p w14:paraId="24D5FE44" w14:textId="77777777" w:rsidR="00245300" w:rsidRPr="00EC20A0" w:rsidRDefault="00F17249">
      <w:pPr>
        <w:pStyle w:val="ListParagraph"/>
        <w:numPr>
          <w:ilvl w:val="0"/>
          <w:numId w:val="22"/>
        </w:numPr>
        <w:tabs>
          <w:tab w:val="left" w:pos="1860"/>
        </w:tabs>
        <w:spacing w:before="238"/>
        <w:ind w:right="789"/>
      </w:pPr>
      <w:r w:rsidRPr="00EC20A0">
        <w:t>The</w:t>
      </w:r>
      <w:r w:rsidRPr="00EC20A0">
        <w:rPr>
          <w:spacing w:val="-3"/>
        </w:rPr>
        <w:t xml:space="preserve"> </w:t>
      </w:r>
      <w:r w:rsidRPr="00EC20A0">
        <w:t>auditor</w:t>
      </w:r>
      <w:r w:rsidRPr="00EC20A0">
        <w:rPr>
          <w:spacing w:val="-5"/>
        </w:rPr>
        <w:t xml:space="preserve"> </w:t>
      </w:r>
      <w:r w:rsidRPr="00EC20A0">
        <w:t>may</w:t>
      </w:r>
      <w:r w:rsidRPr="00EC20A0">
        <w:rPr>
          <w:spacing w:val="-2"/>
        </w:rPr>
        <w:t xml:space="preserve"> </w:t>
      </w:r>
      <w:r w:rsidRPr="00EC20A0">
        <w:t>contract</w:t>
      </w:r>
      <w:r w:rsidRPr="00EC20A0">
        <w:rPr>
          <w:spacing w:val="-3"/>
        </w:rPr>
        <w:t xml:space="preserve"> </w:t>
      </w:r>
      <w:r w:rsidRPr="00EC20A0">
        <w:t>with</w:t>
      </w:r>
      <w:r w:rsidRPr="00EC20A0">
        <w:rPr>
          <w:spacing w:val="-3"/>
        </w:rPr>
        <w:t xml:space="preserve"> </w:t>
      </w:r>
      <w:r w:rsidRPr="00EC20A0">
        <w:t>an</w:t>
      </w:r>
      <w:r w:rsidRPr="00EC20A0">
        <w:rPr>
          <w:spacing w:val="-3"/>
        </w:rPr>
        <w:t xml:space="preserve"> </w:t>
      </w:r>
      <w:r w:rsidRPr="00EC20A0">
        <w:t>IPA</w:t>
      </w:r>
      <w:r w:rsidRPr="00EC20A0">
        <w:rPr>
          <w:spacing w:val="-3"/>
        </w:rPr>
        <w:t xml:space="preserve"> </w:t>
      </w:r>
      <w:r w:rsidRPr="00EC20A0">
        <w:t>firm</w:t>
      </w:r>
      <w:r w:rsidRPr="00EC20A0">
        <w:rPr>
          <w:spacing w:val="-4"/>
        </w:rPr>
        <w:t xml:space="preserve"> </w:t>
      </w:r>
      <w:r w:rsidRPr="00EC20A0">
        <w:t>to</w:t>
      </w:r>
      <w:r w:rsidRPr="00EC20A0">
        <w:rPr>
          <w:spacing w:val="-3"/>
        </w:rPr>
        <w:t xml:space="preserve"> </w:t>
      </w:r>
      <w:r w:rsidRPr="00EC20A0">
        <w:t>perform</w:t>
      </w:r>
      <w:r w:rsidRPr="00EC20A0">
        <w:rPr>
          <w:spacing w:val="-4"/>
        </w:rPr>
        <w:t xml:space="preserve"> </w:t>
      </w:r>
      <w:r w:rsidRPr="00EC20A0">
        <w:t>the</w:t>
      </w:r>
      <w:r w:rsidRPr="00EC20A0">
        <w:rPr>
          <w:spacing w:val="-3"/>
        </w:rPr>
        <w:t xml:space="preserve"> </w:t>
      </w:r>
      <w:r w:rsidRPr="00EC20A0">
        <w:t>entire</w:t>
      </w:r>
      <w:r w:rsidRPr="00EC20A0">
        <w:rPr>
          <w:spacing w:val="-3"/>
        </w:rPr>
        <w:t xml:space="preserve"> </w:t>
      </w:r>
      <w:r w:rsidRPr="00EC20A0">
        <w:t>audit.</w:t>
      </w:r>
      <w:r w:rsidRPr="00EC20A0">
        <w:rPr>
          <w:spacing w:val="-3"/>
        </w:rPr>
        <w:t xml:space="preserve"> </w:t>
      </w:r>
      <w:r w:rsidRPr="00EC20A0">
        <w:t>FAM</w:t>
      </w:r>
      <w:r w:rsidRPr="00EC20A0">
        <w:rPr>
          <w:spacing w:val="-4"/>
        </w:rPr>
        <w:t xml:space="preserve"> </w:t>
      </w:r>
      <w:r w:rsidRPr="00EC20A0">
        <w:t>670 provides guidance to IGs in designing procedures for the oversight on those engagements, and FAM 615 provides guidance on evaluating their objectivity and competence.</w:t>
      </w:r>
    </w:p>
    <w:p w14:paraId="24D5FE45" w14:textId="77777777" w:rsidR="00245300" w:rsidRPr="00EC20A0" w:rsidRDefault="00F17249">
      <w:pPr>
        <w:pStyle w:val="ListParagraph"/>
        <w:numPr>
          <w:ilvl w:val="0"/>
          <w:numId w:val="22"/>
        </w:numPr>
        <w:tabs>
          <w:tab w:val="left" w:pos="1861"/>
        </w:tabs>
        <w:ind w:left="1861" w:right="516"/>
      </w:pPr>
      <w:r w:rsidRPr="00EC20A0">
        <w:t>The auditor</w:t>
      </w:r>
      <w:r w:rsidRPr="00EC20A0">
        <w:rPr>
          <w:spacing w:val="-2"/>
        </w:rPr>
        <w:t xml:space="preserve"> </w:t>
      </w:r>
      <w:r w:rsidRPr="00EC20A0">
        <w:t>may contract with an IPA firm</w:t>
      </w:r>
      <w:r w:rsidRPr="00EC20A0">
        <w:rPr>
          <w:spacing w:val="-1"/>
        </w:rPr>
        <w:t xml:space="preserve"> </w:t>
      </w:r>
      <w:r w:rsidRPr="00EC20A0">
        <w:t>to perform</w:t>
      </w:r>
      <w:r w:rsidRPr="00EC20A0">
        <w:rPr>
          <w:spacing w:val="-1"/>
        </w:rPr>
        <w:t xml:space="preserve"> </w:t>
      </w:r>
      <w:r w:rsidRPr="00EC20A0">
        <w:t>parts of an audit. An auditor may find FAM 630, adapted as necessary in the circumstances, useful when that auditor involves other auditors (those with expertise in accounting or auditing) in the audit of financial statements that are not group financial statements. For example, an auditor may involve another auditor to observe the inventory count or</w:t>
      </w:r>
      <w:r w:rsidRPr="00EC20A0">
        <w:rPr>
          <w:spacing w:val="-4"/>
        </w:rPr>
        <w:t xml:space="preserve"> </w:t>
      </w:r>
      <w:r w:rsidRPr="00EC20A0">
        <w:t>inspect</w:t>
      </w:r>
      <w:r w:rsidRPr="00EC20A0">
        <w:rPr>
          <w:spacing w:val="-4"/>
        </w:rPr>
        <w:t xml:space="preserve"> </w:t>
      </w:r>
      <w:r w:rsidRPr="00EC20A0">
        <w:t>physical</w:t>
      </w:r>
      <w:r w:rsidRPr="00EC20A0">
        <w:rPr>
          <w:spacing w:val="-4"/>
        </w:rPr>
        <w:t xml:space="preserve"> </w:t>
      </w:r>
      <w:r w:rsidRPr="00EC20A0">
        <w:t>fixed</w:t>
      </w:r>
      <w:r w:rsidRPr="00EC20A0">
        <w:rPr>
          <w:spacing w:val="-5"/>
        </w:rPr>
        <w:t xml:space="preserve"> </w:t>
      </w:r>
      <w:r w:rsidRPr="00EC20A0">
        <w:t>assets</w:t>
      </w:r>
      <w:r w:rsidRPr="00EC20A0">
        <w:rPr>
          <w:spacing w:val="-4"/>
        </w:rPr>
        <w:t xml:space="preserve"> </w:t>
      </w:r>
      <w:r w:rsidRPr="00EC20A0">
        <w:t>at</w:t>
      </w:r>
      <w:r w:rsidRPr="00EC20A0">
        <w:rPr>
          <w:spacing w:val="-5"/>
        </w:rPr>
        <w:t xml:space="preserve"> </w:t>
      </w:r>
      <w:r w:rsidRPr="00EC20A0">
        <w:t>a</w:t>
      </w:r>
      <w:r w:rsidRPr="00EC20A0">
        <w:rPr>
          <w:spacing w:val="-5"/>
        </w:rPr>
        <w:t xml:space="preserve"> </w:t>
      </w:r>
      <w:r w:rsidRPr="00EC20A0">
        <w:t>remote</w:t>
      </w:r>
      <w:r w:rsidRPr="00EC20A0">
        <w:rPr>
          <w:spacing w:val="-4"/>
        </w:rPr>
        <w:t xml:space="preserve"> </w:t>
      </w:r>
      <w:r w:rsidRPr="00EC20A0">
        <w:t>location</w:t>
      </w:r>
      <w:r w:rsidRPr="00EC20A0">
        <w:rPr>
          <w:spacing w:val="-4"/>
        </w:rPr>
        <w:t xml:space="preserve"> </w:t>
      </w:r>
      <w:r w:rsidRPr="00EC20A0">
        <w:t>(AICPA’s</w:t>
      </w:r>
      <w:r w:rsidRPr="00EC20A0">
        <w:rPr>
          <w:spacing w:val="-4"/>
        </w:rPr>
        <w:t xml:space="preserve"> </w:t>
      </w:r>
      <w:r w:rsidRPr="00EC20A0">
        <w:rPr>
          <w:i/>
        </w:rPr>
        <w:t>Auditing</w:t>
      </w:r>
      <w:r w:rsidRPr="00EC20A0">
        <w:rPr>
          <w:i/>
          <w:spacing w:val="-4"/>
        </w:rPr>
        <w:t xml:space="preserve"> </w:t>
      </w:r>
      <w:r w:rsidRPr="00EC20A0">
        <w:rPr>
          <w:i/>
        </w:rPr>
        <w:t xml:space="preserve">Standards [Clarified] </w:t>
      </w:r>
      <w:r w:rsidRPr="00EC20A0">
        <w:t>(AU-C) 600.02). The audito</w:t>
      </w:r>
      <w:r w:rsidRPr="00EC20A0">
        <w:t xml:space="preserve">r’s responsibilities for supervising other auditors who are essentially functioning as part of the engagement team are the same as those for </w:t>
      </w:r>
      <w:r w:rsidRPr="00EC20A0">
        <w:t>supervising other engagement team members, as discussed</w:t>
      </w:r>
      <w:r w:rsidRPr="00EC20A0">
        <w:rPr>
          <w:spacing w:val="40"/>
        </w:rPr>
        <w:t xml:space="preserve"> </w:t>
      </w:r>
      <w:r w:rsidRPr="00EC20A0">
        <w:t>in FAM 200. However, as outside auditors are not subject to a firm’s quality control procedures, the auditor should evaluate their objectivity and competence (see FAM 615).</w:t>
      </w:r>
    </w:p>
    <w:p w14:paraId="24D5FE46" w14:textId="77777777" w:rsidR="00245300" w:rsidRPr="00EC20A0" w:rsidRDefault="00245300">
      <w:pPr>
        <w:sectPr w:rsidR="00245300" w:rsidRPr="00EC20A0">
          <w:headerReference w:type="default" r:id="rId17"/>
          <w:footerReference w:type="default" r:id="rId18"/>
          <w:pgSz w:w="12240" w:h="15840"/>
          <w:pgMar w:top="1340" w:right="940" w:bottom="940" w:left="1020" w:header="721" w:footer="757" w:gutter="0"/>
          <w:cols w:space="720"/>
        </w:sectPr>
      </w:pPr>
    </w:p>
    <w:p w14:paraId="24D5FE47" w14:textId="77777777" w:rsidR="00245300" w:rsidRPr="00EC20A0" w:rsidRDefault="00F17249">
      <w:pPr>
        <w:pStyle w:val="Heading3"/>
        <w:spacing w:before="241"/>
        <w:ind w:left="420"/>
        <w:rPr>
          <w:u w:val="none"/>
        </w:rPr>
      </w:pPr>
      <w:bookmarkStart w:id="7" w:name="615_–_Evaluating_the_Objectivity_and_Com"/>
      <w:bookmarkStart w:id="8" w:name="_bookmark2"/>
      <w:bookmarkEnd w:id="7"/>
      <w:bookmarkEnd w:id="8"/>
      <w:r w:rsidRPr="00EC20A0">
        <w:t>615</w:t>
      </w:r>
      <w:r w:rsidRPr="00EC20A0">
        <w:rPr>
          <w:spacing w:val="-6"/>
        </w:rPr>
        <w:t xml:space="preserve"> </w:t>
      </w:r>
      <w:r w:rsidRPr="00EC20A0">
        <w:t>–</w:t>
      </w:r>
      <w:r w:rsidRPr="00EC20A0">
        <w:rPr>
          <w:spacing w:val="-5"/>
        </w:rPr>
        <w:t xml:space="preserve"> </w:t>
      </w:r>
      <w:r w:rsidRPr="00EC20A0">
        <w:t>Evaluating</w:t>
      </w:r>
      <w:r w:rsidRPr="00EC20A0">
        <w:rPr>
          <w:spacing w:val="-6"/>
        </w:rPr>
        <w:t xml:space="preserve"> </w:t>
      </w:r>
      <w:r w:rsidRPr="00EC20A0">
        <w:t>the</w:t>
      </w:r>
      <w:r w:rsidRPr="00EC20A0">
        <w:rPr>
          <w:spacing w:val="-6"/>
        </w:rPr>
        <w:t xml:space="preserve"> </w:t>
      </w:r>
      <w:r w:rsidRPr="00EC20A0">
        <w:t>Objectivity</w:t>
      </w:r>
      <w:r w:rsidRPr="00EC20A0">
        <w:rPr>
          <w:spacing w:val="-5"/>
        </w:rPr>
        <w:t xml:space="preserve"> </w:t>
      </w:r>
      <w:r w:rsidRPr="00EC20A0">
        <w:t>and</w:t>
      </w:r>
      <w:r w:rsidRPr="00EC20A0">
        <w:rPr>
          <w:spacing w:val="-6"/>
        </w:rPr>
        <w:t xml:space="preserve"> </w:t>
      </w:r>
      <w:r w:rsidRPr="00EC20A0">
        <w:t>Competence</w:t>
      </w:r>
      <w:r w:rsidRPr="00EC20A0">
        <w:rPr>
          <w:spacing w:val="-5"/>
        </w:rPr>
        <w:t xml:space="preserve"> </w:t>
      </w:r>
      <w:r w:rsidRPr="00EC20A0">
        <w:t>of</w:t>
      </w:r>
      <w:r w:rsidRPr="00EC20A0">
        <w:rPr>
          <w:spacing w:val="-6"/>
        </w:rPr>
        <w:t xml:space="preserve"> </w:t>
      </w:r>
      <w:r w:rsidRPr="00EC20A0">
        <w:t>Other</w:t>
      </w:r>
      <w:r w:rsidRPr="00EC20A0">
        <w:rPr>
          <w:u w:val="none"/>
        </w:rPr>
        <w:t xml:space="preserve"> </w:t>
      </w:r>
      <w:r w:rsidRPr="00EC20A0">
        <w:t>Auditors or Specialists</w:t>
      </w:r>
    </w:p>
    <w:p w14:paraId="24D5FE48" w14:textId="77777777" w:rsidR="00245300" w:rsidRPr="00EC20A0" w:rsidRDefault="00F17249">
      <w:pPr>
        <w:pStyle w:val="Heading4"/>
      </w:pPr>
      <w:r w:rsidRPr="00EC20A0">
        <w:rPr>
          <w:spacing w:val="-2"/>
        </w:rPr>
        <w:t>Overview</w:t>
      </w:r>
    </w:p>
    <w:p w14:paraId="24D5FE49" w14:textId="77777777" w:rsidR="00245300" w:rsidRPr="00EC20A0" w:rsidRDefault="00F17249">
      <w:pPr>
        <w:pStyle w:val="ListParagraph"/>
        <w:numPr>
          <w:ilvl w:val="0"/>
          <w:numId w:val="21"/>
        </w:numPr>
        <w:tabs>
          <w:tab w:val="left" w:pos="1860"/>
        </w:tabs>
        <w:spacing w:before="239"/>
        <w:ind w:right="516"/>
      </w:pPr>
      <w:r w:rsidRPr="00EC20A0">
        <w:t xml:space="preserve">FAM 600 discusses </w:t>
      </w:r>
      <w:r w:rsidRPr="00EC20A0">
        <w:t>circumstances where an auditor may use or review the work of others. Regardless of the purpose for using the work of others, the auditor should evaluate whether the other auditors or specialists have the necessary objectivity and competence for the auditor’s purposes. This section provides guidance to assist the auditor in determining the procedures for evaluating the objectivity and competence of other auditors and specialists. The auditor should use the work of component and service auditors only if these</w:t>
      </w:r>
      <w:r w:rsidRPr="00EC20A0">
        <w:t xml:space="preserve"> auditors are independent and competent. The auditor should consider if the degree of objectivity is sufficient for the type of work that the specialists and internal auditors perform that the auditor will use. There are also specific procedures (as noted in the sections below) that the auditor may need to perform when using or reviewing the work of specialists, component auditors, service auditors, internal auditors,</w:t>
      </w:r>
      <w:r w:rsidRPr="00EC20A0">
        <w:rPr>
          <w:spacing w:val="-3"/>
        </w:rPr>
        <w:t xml:space="preserve"> </w:t>
      </w:r>
      <w:r w:rsidRPr="00EC20A0">
        <w:t>or</w:t>
      </w:r>
      <w:r w:rsidRPr="00EC20A0">
        <w:rPr>
          <w:spacing w:val="-3"/>
        </w:rPr>
        <w:t xml:space="preserve"> </w:t>
      </w:r>
      <w:r w:rsidRPr="00EC20A0">
        <w:t>IPA</w:t>
      </w:r>
      <w:r w:rsidRPr="00EC20A0">
        <w:rPr>
          <w:spacing w:val="-4"/>
        </w:rPr>
        <w:t xml:space="preserve"> </w:t>
      </w:r>
      <w:r w:rsidRPr="00EC20A0">
        <w:t>firms.</w:t>
      </w:r>
      <w:r w:rsidRPr="00EC20A0">
        <w:rPr>
          <w:spacing w:val="-3"/>
        </w:rPr>
        <w:t xml:space="preserve"> </w:t>
      </w:r>
      <w:r w:rsidRPr="00EC20A0">
        <w:t>The</w:t>
      </w:r>
      <w:r w:rsidRPr="00EC20A0">
        <w:rPr>
          <w:spacing w:val="-3"/>
        </w:rPr>
        <w:t xml:space="preserve"> </w:t>
      </w:r>
      <w:r w:rsidRPr="00EC20A0">
        <w:t>chart</w:t>
      </w:r>
      <w:r w:rsidRPr="00EC20A0">
        <w:rPr>
          <w:spacing w:val="-3"/>
        </w:rPr>
        <w:t xml:space="preserve"> </w:t>
      </w:r>
      <w:r w:rsidRPr="00EC20A0">
        <w:t>below</w:t>
      </w:r>
      <w:r w:rsidRPr="00EC20A0">
        <w:rPr>
          <w:spacing w:val="-4"/>
        </w:rPr>
        <w:t xml:space="preserve"> </w:t>
      </w:r>
      <w:r w:rsidRPr="00EC20A0">
        <w:t>links</w:t>
      </w:r>
      <w:r w:rsidRPr="00EC20A0">
        <w:rPr>
          <w:spacing w:val="-3"/>
        </w:rPr>
        <w:t xml:space="preserve"> </w:t>
      </w:r>
      <w:r w:rsidRPr="00EC20A0">
        <w:t>the</w:t>
      </w:r>
      <w:r w:rsidRPr="00EC20A0">
        <w:rPr>
          <w:spacing w:val="-3"/>
        </w:rPr>
        <w:t xml:space="preserve"> </w:t>
      </w:r>
      <w:r w:rsidRPr="00EC20A0">
        <w:t>different</w:t>
      </w:r>
      <w:r w:rsidRPr="00EC20A0">
        <w:rPr>
          <w:spacing w:val="-3"/>
        </w:rPr>
        <w:t xml:space="preserve"> </w:t>
      </w:r>
      <w:r w:rsidRPr="00EC20A0">
        <w:t>FAM</w:t>
      </w:r>
      <w:r w:rsidRPr="00EC20A0">
        <w:rPr>
          <w:spacing w:val="-4"/>
        </w:rPr>
        <w:t xml:space="preserve"> </w:t>
      </w:r>
      <w:r w:rsidRPr="00EC20A0">
        <w:t>600</w:t>
      </w:r>
      <w:r w:rsidRPr="00EC20A0">
        <w:rPr>
          <w:spacing w:val="-3"/>
        </w:rPr>
        <w:t xml:space="preserve"> </w:t>
      </w:r>
      <w:r w:rsidRPr="00EC20A0">
        <w:t>sections</w:t>
      </w:r>
      <w:r w:rsidRPr="00EC20A0">
        <w:rPr>
          <w:spacing w:val="-3"/>
        </w:rPr>
        <w:t xml:space="preserve"> </w:t>
      </w:r>
      <w:r w:rsidRPr="00EC20A0">
        <w:t>to</w:t>
      </w:r>
      <w:r w:rsidRPr="00EC20A0">
        <w:rPr>
          <w:spacing w:val="-3"/>
        </w:rPr>
        <w:t xml:space="preserve"> </w:t>
      </w:r>
      <w:r w:rsidRPr="00EC20A0">
        <w:t>the applicable parag</w:t>
      </w:r>
      <w:r w:rsidRPr="00EC20A0">
        <w:t>raphs of this section.</w:t>
      </w:r>
    </w:p>
    <w:p w14:paraId="24D5FE4A" w14:textId="77777777" w:rsidR="00245300" w:rsidRPr="00EC20A0" w:rsidRDefault="00245300">
      <w:pPr>
        <w:pStyle w:val="BodyText"/>
        <w:spacing w:before="4"/>
        <w:rPr>
          <w:sz w:val="11"/>
        </w:rPr>
      </w:pPr>
    </w:p>
    <w:tbl>
      <w:tblPr>
        <w:tblW w:w="0" w:type="auto"/>
        <w:tblInd w:w="18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060"/>
        <w:gridCol w:w="2430"/>
        <w:gridCol w:w="2430"/>
      </w:tblGrid>
      <w:tr w:rsidR="00245300" w:rsidRPr="00EC20A0" w14:paraId="24D5FE4E" w14:textId="77777777">
        <w:trPr>
          <w:trHeight w:val="470"/>
        </w:trPr>
        <w:tc>
          <w:tcPr>
            <w:tcW w:w="3060" w:type="dxa"/>
            <w:tcBorders>
              <w:right w:val="single" w:sz="4" w:space="0" w:color="000000"/>
            </w:tcBorders>
          </w:tcPr>
          <w:p w14:paraId="24D5FE4B" w14:textId="77777777" w:rsidR="00245300" w:rsidRPr="00EC20A0" w:rsidRDefault="00F17249">
            <w:pPr>
              <w:pStyle w:val="TableParagraph"/>
              <w:spacing w:before="121"/>
              <w:ind w:left="97"/>
              <w:rPr>
                <w:b/>
                <w:sz w:val="20"/>
              </w:rPr>
            </w:pPr>
            <w:r w:rsidRPr="00EC20A0">
              <w:rPr>
                <w:b/>
                <w:sz w:val="20"/>
              </w:rPr>
              <w:t>Relevant</w:t>
            </w:r>
            <w:r w:rsidRPr="00EC20A0">
              <w:rPr>
                <w:b/>
                <w:spacing w:val="-3"/>
                <w:sz w:val="20"/>
              </w:rPr>
              <w:t xml:space="preserve"> </w:t>
            </w:r>
            <w:r w:rsidRPr="00EC20A0">
              <w:rPr>
                <w:b/>
                <w:sz w:val="20"/>
              </w:rPr>
              <w:t>FAM</w:t>
            </w:r>
            <w:r w:rsidRPr="00EC20A0">
              <w:rPr>
                <w:b/>
                <w:spacing w:val="-3"/>
                <w:sz w:val="20"/>
              </w:rPr>
              <w:t xml:space="preserve"> </w:t>
            </w:r>
            <w:r w:rsidRPr="00EC20A0">
              <w:rPr>
                <w:b/>
                <w:sz w:val="20"/>
              </w:rPr>
              <w:t>600</w:t>
            </w:r>
            <w:r w:rsidRPr="00EC20A0">
              <w:rPr>
                <w:b/>
                <w:spacing w:val="-2"/>
                <w:sz w:val="20"/>
              </w:rPr>
              <w:t xml:space="preserve"> section</w:t>
            </w:r>
          </w:p>
        </w:tc>
        <w:tc>
          <w:tcPr>
            <w:tcW w:w="2430" w:type="dxa"/>
            <w:tcBorders>
              <w:left w:val="single" w:sz="4" w:space="0" w:color="000000"/>
              <w:right w:val="single" w:sz="4" w:space="0" w:color="000000"/>
            </w:tcBorders>
          </w:tcPr>
          <w:p w14:paraId="24D5FE4C" w14:textId="77777777" w:rsidR="00245300" w:rsidRPr="00EC20A0" w:rsidRDefault="00F17249">
            <w:pPr>
              <w:pStyle w:val="TableParagraph"/>
              <w:spacing w:before="121"/>
              <w:ind w:left="107"/>
              <w:rPr>
                <w:b/>
                <w:sz w:val="20"/>
              </w:rPr>
            </w:pPr>
            <w:r w:rsidRPr="00EC20A0">
              <w:rPr>
                <w:b/>
                <w:spacing w:val="-2"/>
                <w:sz w:val="20"/>
              </w:rPr>
              <w:t>Objectivity</w:t>
            </w:r>
          </w:p>
        </w:tc>
        <w:tc>
          <w:tcPr>
            <w:tcW w:w="2430" w:type="dxa"/>
            <w:tcBorders>
              <w:left w:val="single" w:sz="4" w:space="0" w:color="000000"/>
            </w:tcBorders>
          </w:tcPr>
          <w:p w14:paraId="24D5FE4D" w14:textId="77777777" w:rsidR="00245300" w:rsidRPr="00EC20A0" w:rsidRDefault="00F17249">
            <w:pPr>
              <w:pStyle w:val="TableParagraph"/>
              <w:spacing w:before="121"/>
              <w:ind w:left="107"/>
              <w:rPr>
                <w:b/>
                <w:sz w:val="20"/>
              </w:rPr>
            </w:pPr>
            <w:r w:rsidRPr="00EC20A0">
              <w:rPr>
                <w:b/>
                <w:spacing w:val="-2"/>
                <w:sz w:val="20"/>
              </w:rPr>
              <w:t>Competence</w:t>
            </w:r>
          </w:p>
        </w:tc>
      </w:tr>
      <w:tr w:rsidR="00245300" w:rsidRPr="00EC20A0" w14:paraId="24D5FE53" w14:textId="77777777">
        <w:trPr>
          <w:trHeight w:val="700"/>
        </w:trPr>
        <w:tc>
          <w:tcPr>
            <w:tcW w:w="3060" w:type="dxa"/>
            <w:tcBorders>
              <w:bottom w:val="single" w:sz="4" w:space="0" w:color="000000"/>
              <w:right w:val="single" w:sz="4" w:space="0" w:color="000000"/>
            </w:tcBorders>
          </w:tcPr>
          <w:p w14:paraId="24D5FE4F" w14:textId="77777777" w:rsidR="00245300" w:rsidRPr="00EC20A0" w:rsidRDefault="00F17249">
            <w:pPr>
              <w:pStyle w:val="TableParagraph"/>
              <w:spacing w:before="120"/>
              <w:ind w:left="97" w:right="172"/>
              <w:rPr>
                <w:sz w:val="20"/>
              </w:rPr>
            </w:pPr>
            <w:r w:rsidRPr="00EC20A0">
              <w:rPr>
                <w:b/>
                <w:sz w:val="20"/>
              </w:rPr>
              <w:t>FAM</w:t>
            </w:r>
            <w:r w:rsidRPr="00EC20A0">
              <w:rPr>
                <w:b/>
                <w:spacing w:val="-6"/>
                <w:sz w:val="20"/>
              </w:rPr>
              <w:t xml:space="preserve"> </w:t>
            </w:r>
            <w:r w:rsidRPr="00EC20A0">
              <w:rPr>
                <w:b/>
                <w:sz w:val="20"/>
              </w:rPr>
              <w:t>620</w:t>
            </w:r>
            <w:r w:rsidRPr="00EC20A0">
              <w:rPr>
                <w:b/>
                <w:spacing w:val="-6"/>
                <w:sz w:val="20"/>
              </w:rPr>
              <w:t xml:space="preserve"> </w:t>
            </w:r>
            <w:r w:rsidRPr="00EC20A0">
              <w:rPr>
                <w:sz w:val="20"/>
              </w:rPr>
              <w:t>–</w:t>
            </w:r>
            <w:r w:rsidRPr="00EC20A0">
              <w:rPr>
                <w:spacing w:val="-6"/>
                <w:sz w:val="20"/>
              </w:rPr>
              <w:t xml:space="preserve"> </w:t>
            </w:r>
            <w:r w:rsidRPr="00EC20A0">
              <w:rPr>
                <w:sz w:val="20"/>
              </w:rPr>
              <w:t>Using</w:t>
            </w:r>
            <w:r w:rsidRPr="00EC20A0">
              <w:rPr>
                <w:spacing w:val="-6"/>
                <w:sz w:val="20"/>
              </w:rPr>
              <w:t xml:space="preserve"> </w:t>
            </w:r>
            <w:r w:rsidRPr="00EC20A0">
              <w:rPr>
                <w:sz w:val="20"/>
              </w:rPr>
              <w:t>the</w:t>
            </w:r>
            <w:r w:rsidRPr="00EC20A0">
              <w:rPr>
                <w:spacing w:val="-7"/>
                <w:sz w:val="20"/>
              </w:rPr>
              <w:t xml:space="preserve"> </w:t>
            </w:r>
            <w:r w:rsidRPr="00EC20A0">
              <w:rPr>
                <w:sz w:val="20"/>
              </w:rPr>
              <w:t>Work</w:t>
            </w:r>
            <w:r w:rsidRPr="00EC20A0">
              <w:rPr>
                <w:spacing w:val="-6"/>
                <w:sz w:val="20"/>
              </w:rPr>
              <w:t xml:space="preserve"> </w:t>
            </w:r>
            <w:r w:rsidRPr="00EC20A0">
              <w:rPr>
                <w:sz w:val="20"/>
              </w:rPr>
              <w:t>of an Auditor’s Specialist</w:t>
            </w:r>
          </w:p>
        </w:tc>
        <w:tc>
          <w:tcPr>
            <w:tcW w:w="2430" w:type="dxa"/>
            <w:tcBorders>
              <w:left w:val="single" w:sz="4" w:space="0" w:color="000000"/>
              <w:bottom w:val="single" w:sz="4" w:space="0" w:color="000000"/>
              <w:right w:val="single" w:sz="4" w:space="0" w:color="000000"/>
            </w:tcBorders>
          </w:tcPr>
          <w:p w14:paraId="24D5FE50" w14:textId="77777777" w:rsidR="00245300" w:rsidRPr="00EC20A0" w:rsidRDefault="00F17249">
            <w:pPr>
              <w:pStyle w:val="TableParagraph"/>
              <w:spacing w:before="121"/>
              <w:ind w:left="107"/>
              <w:rPr>
                <w:sz w:val="20"/>
              </w:rPr>
            </w:pPr>
            <w:r w:rsidRPr="00EC20A0">
              <w:rPr>
                <w:sz w:val="20"/>
              </w:rPr>
              <w:t>FAM</w:t>
            </w:r>
            <w:r w:rsidRPr="00EC20A0">
              <w:rPr>
                <w:spacing w:val="-2"/>
                <w:sz w:val="20"/>
              </w:rPr>
              <w:t xml:space="preserve"> 615.03–.06</w:t>
            </w:r>
          </w:p>
        </w:tc>
        <w:tc>
          <w:tcPr>
            <w:tcW w:w="2430" w:type="dxa"/>
            <w:tcBorders>
              <w:left w:val="single" w:sz="4" w:space="0" w:color="000000"/>
              <w:bottom w:val="single" w:sz="4" w:space="0" w:color="000000"/>
            </w:tcBorders>
          </w:tcPr>
          <w:p w14:paraId="24D5FE51" w14:textId="77777777" w:rsidR="00245300" w:rsidRPr="00EC20A0" w:rsidRDefault="00F17249">
            <w:pPr>
              <w:pStyle w:val="TableParagraph"/>
              <w:spacing w:before="120"/>
              <w:ind w:left="107"/>
              <w:rPr>
                <w:sz w:val="20"/>
              </w:rPr>
            </w:pPr>
            <w:r w:rsidRPr="00EC20A0">
              <w:rPr>
                <w:sz w:val="20"/>
              </w:rPr>
              <w:t>FAM</w:t>
            </w:r>
            <w:r w:rsidRPr="00EC20A0">
              <w:rPr>
                <w:spacing w:val="-4"/>
                <w:sz w:val="20"/>
              </w:rPr>
              <w:t xml:space="preserve"> </w:t>
            </w:r>
            <w:r w:rsidRPr="00EC20A0">
              <w:rPr>
                <w:sz w:val="20"/>
              </w:rPr>
              <w:t>615.12–.15,</w:t>
            </w:r>
            <w:r w:rsidRPr="00EC20A0">
              <w:rPr>
                <w:spacing w:val="-4"/>
                <w:sz w:val="20"/>
              </w:rPr>
              <w:t xml:space="preserve"> .17,</w:t>
            </w:r>
          </w:p>
          <w:p w14:paraId="24D5FE52" w14:textId="77777777" w:rsidR="00245300" w:rsidRPr="00EC20A0" w:rsidRDefault="00F17249">
            <w:pPr>
              <w:pStyle w:val="TableParagraph"/>
              <w:ind w:left="107"/>
              <w:rPr>
                <w:sz w:val="20"/>
              </w:rPr>
            </w:pPr>
            <w:r w:rsidRPr="00EC20A0">
              <w:rPr>
                <w:sz w:val="20"/>
              </w:rPr>
              <w:t>.19–.21,</w:t>
            </w:r>
            <w:r w:rsidRPr="00EC20A0">
              <w:rPr>
                <w:spacing w:val="-3"/>
                <w:sz w:val="20"/>
              </w:rPr>
              <w:t xml:space="preserve"> </w:t>
            </w:r>
            <w:r w:rsidRPr="00EC20A0">
              <w:rPr>
                <w:sz w:val="20"/>
              </w:rPr>
              <w:t>.24,</w:t>
            </w:r>
            <w:r w:rsidRPr="00EC20A0">
              <w:rPr>
                <w:spacing w:val="-2"/>
                <w:sz w:val="20"/>
              </w:rPr>
              <w:t xml:space="preserve"> .26–.29</w:t>
            </w:r>
          </w:p>
        </w:tc>
      </w:tr>
      <w:tr w:rsidR="00245300" w:rsidRPr="00EC20A0" w14:paraId="24D5FE58" w14:textId="77777777">
        <w:trPr>
          <w:trHeight w:val="700"/>
        </w:trPr>
        <w:tc>
          <w:tcPr>
            <w:tcW w:w="3060" w:type="dxa"/>
            <w:tcBorders>
              <w:top w:val="single" w:sz="4" w:space="0" w:color="000000"/>
              <w:bottom w:val="single" w:sz="4" w:space="0" w:color="000000"/>
              <w:right w:val="single" w:sz="4" w:space="0" w:color="000000"/>
            </w:tcBorders>
          </w:tcPr>
          <w:p w14:paraId="24D5FE54" w14:textId="77777777" w:rsidR="00245300" w:rsidRPr="00EC20A0" w:rsidRDefault="00F17249">
            <w:pPr>
              <w:pStyle w:val="TableParagraph"/>
              <w:spacing w:before="120"/>
              <w:ind w:left="97"/>
              <w:rPr>
                <w:sz w:val="20"/>
              </w:rPr>
            </w:pPr>
            <w:r w:rsidRPr="00EC20A0">
              <w:rPr>
                <w:b/>
                <w:sz w:val="20"/>
              </w:rPr>
              <w:t>FAM</w:t>
            </w:r>
            <w:r w:rsidRPr="00EC20A0">
              <w:rPr>
                <w:b/>
                <w:spacing w:val="-6"/>
                <w:sz w:val="20"/>
              </w:rPr>
              <w:t xml:space="preserve"> </w:t>
            </w:r>
            <w:r w:rsidRPr="00EC20A0">
              <w:rPr>
                <w:b/>
                <w:sz w:val="20"/>
              </w:rPr>
              <w:t>625</w:t>
            </w:r>
            <w:r w:rsidRPr="00EC20A0">
              <w:rPr>
                <w:b/>
                <w:spacing w:val="-6"/>
                <w:sz w:val="20"/>
              </w:rPr>
              <w:t xml:space="preserve"> </w:t>
            </w:r>
            <w:r w:rsidRPr="00EC20A0">
              <w:rPr>
                <w:sz w:val="20"/>
              </w:rPr>
              <w:t>–</w:t>
            </w:r>
            <w:r w:rsidRPr="00EC20A0">
              <w:rPr>
                <w:spacing w:val="-6"/>
                <w:sz w:val="20"/>
              </w:rPr>
              <w:t xml:space="preserve"> </w:t>
            </w:r>
            <w:r w:rsidRPr="00EC20A0">
              <w:rPr>
                <w:sz w:val="20"/>
              </w:rPr>
              <w:t>Using</w:t>
            </w:r>
            <w:r w:rsidRPr="00EC20A0">
              <w:rPr>
                <w:spacing w:val="-6"/>
                <w:sz w:val="20"/>
              </w:rPr>
              <w:t xml:space="preserve"> </w:t>
            </w:r>
            <w:r w:rsidRPr="00EC20A0">
              <w:rPr>
                <w:sz w:val="20"/>
              </w:rPr>
              <w:t>the</w:t>
            </w:r>
            <w:r w:rsidRPr="00EC20A0">
              <w:rPr>
                <w:spacing w:val="-7"/>
                <w:sz w:val="20"/>
              </w:rPr>
              <w:t xml:space="preserve"> </w:t>
            </w:r>
            <w:r w:rsidRPr="00EC20A0">
              <w:rPr>
                <w:sz w:val="20"/>
              </w:rPr>
              <w:t>Work</w:t>
            </w:r>
            <w:r w:rsidRPr="00EC20A0">
              <w:rPr>
                <w:spacing w:val="-6"/>
                <w:sz w:val="20"/>
              </w:rPr>
              <w:t xml:space="preserve"> </w:t>
            </w:r>
            <w:r w:rsidRPr="00EC20A0">
              <w:rPr>
                <w:sz w:val="20"/>
              </w:rPr>
              <w:t>of Management’s Specialists</w:t>
            </w:r>
          </w:p>
        </w:tc>
        <w:tc>
          <w:tcPr>
            <w:tcW w:w="2430" w:type="dxa"/>
            <w:tcBorders>
              <w:top w:val="single" w:sz="4" w:space="0" w:color="000000"/>
              <w:left w:val="single" w:sz="4" w:space="0" w:color="000000"/>
              <w:bottom w:val="single" w:sz="4" w:space="0" w:color="000000"/>
              <w:right w:val="single" w:sz="4" w:space="0" w:color="000000"/>
            </w:tcBorders>
          </w:tcPr>
          <w:p w14:paraId="24D5FE55" w14:textId="77777777" w:rsidR="00245300" w:rsidRPr="00EC20A0" w:rsidRDefault="00F17249">
            <w:pPr>
              <w:pStyle w:val="TableParagraph"/>
              <w:spacing w:before="120"/>
              <w:ind w:left="107"/>
              <w:rPr>
                <w:sz w:val="20"/>
              </w:rPr>
            </w:pPr>
            <w:r w:rsidRPr="00EC20A0">
              <w:rPr>
                <w:sz w:val="20"/>
              </w:rPr>
              <w:t>FAM</w:t>
            </w:r>
            <w:r w:rsidRPr="00EC20A0">
              <w:rPr>
                <w:spacing w:val="-3"/>
                <w:sz w:val="20"/>
              </w:rPr>
              <w:t xml:space="preserve"> </w:t>
            </w:r>
            <w:r w:rsidRPr="00EC20A0">
              <w:rPr>
                <w:sz w:val="20"/>
              </w:rPr>
              <w:t>615.03,</w:t>
            </w:r>
            <w:r w:rsidRPr="00EC20A0">
              <w:rPr>
                <w:spacing w:val="-3"/>
                <w:sz w:val="20"/>
              </w:rPr>
              <w:t xml:space="preserve"> </w:t>
            </w:r>
            <w:r w:rsidRPr="00EC20A0">
              <w:rPr>
                <w:spacing w:val="-5"/>
                <w:sz w:val="20"/>
              </w:rPr>
              <w:t>.07</w:t>
            </w:r>
          </w:p>
        </w:tc>
        <w:tc>
          <w:tcPr>
            <w:tcW w:w="2430" w:type="dxa"/>
            <w:tcBorders>
              <w:top w:val="single" w:sz="4" w:space="0" w:color="000000"/>
              <w:left w:val="single" w:sz="4" w:space="0" w:color="000000"/>
              <w:bottom w:val="single" w:sz="4" w:space="0" w:color="000000"/>
            </w:tcBorders>
          </w:tcPr>
          <w:p w14:paraId="24D5FE56" w14:textId="77777777" w:rsidR="00245300" w:rsidRPr="00EC20A0" w:rsidRDefault="00F17249">
            <w:pPr>
              <w:pStyle w:val="TableParagraph"/>
              <w:spacing w:before="120"/>
              <w:ind w:left="107"/>
              <w:rPr>
                <w:sz w:val="20"/>
              </w:rPr>
            </w:pPr>
            <w:r w:rsidRPr="00EC20A0">
              <w:rPr>
                <w:sz w:val="20"/>
              </w:rPr>
              <w:t>FAM</w:t>
            </w:r>
            <w:r w:rsidRPr="00EC20A0">
              <w:rPr>
                <w:spacing w:val="-3"/>
                <w:sz w:val="20"/>
              </w:rPr>
              <w:t xml:space="preserve"> </w:t>
            </w:r>
            <w:r w:rsidRPr="00EC20A0">
              <w:rPr>
                <w:sz w:val="20"/>
              </w:rPr>
              <w:t>615.12,</w:t>
            </w:r>
            <w:r w:rsidRPr="00EC20A0">
              <w:rPr>
                <w:spacing w:val="-3"/>
                <w:sz w:val="20"/>
              </w:rPr>
              <w:t xml:space="preserve"> </w:t>
            </w:r>
            <w:r w:rsidRPr="00EC20A0">
              <w:rPr>
                <w:spacing w:val="-2"/>
                <w:sz w:val="20"/>
              </w:rPr>
              <w:t>.19–.21,</w:t>
            </w:r>
          </w:p>
          <w:p w14:paraId="24D5FE57" w14:textId="77777777" w:rsidR="00245300" w:rsidRPr="00EC20A0" w:rsidRDefault="00F17249">
            <w:pPr>
              <w:pStyle w:val="TableParagraph"/>
              <w:spacing w:before="1"/>
              <w:ind w:left="107"/>
              <w:rPr>
                <w:sz w:val="20"/>
              </w:rPr>
            </w:pPr>
            <w:r w:rsidRPr="00EC20A0">
              <w:rPr>
                <w:spacing w:val="-2"/>
                <w:sz w:val="20"/>
              </w:rPr>
              <w:t>.24–.25</w:t>
            </w:r>
          </w:p>
        </w:tc>
      </w:tr>
      <w:tr w:rsidR="00245300" w:rsidRPr="00EC20A0" w14:paraId="24D5FE5E" w14:textId="77777777">
        <w:trPr>
          <w:trHeight w:val="929"/>
        </w:trPr>
        <w:tc>
          <w:tcPr>
            <w:tcW w:w="3060" w:type="dxa"/>
            <w:tcBorders>
              <w:top w:val="single" w:sz="4" w:space="0" w:color="000000"/>
              <w:bottom w:val="single" w:sz="4" w:space="0" w:color="000000"/>
              <w:right w:val="single" w:sz="4" w:space="0" w:color="000000"/>
            </w:tcBorders>
          </w:tcPr>
          <w:p w14:paraId="24D5FE59" w14:textId="77777777" w:rsidR="00245300" w:rsidRPr="00EC20A0" w:rsidRDefault="00F17249">
            <w:pPr>
              <w:pStyle w:val="TableParagraph"/>
              <w:spacing w:before="120"/>
              <w:ind w:left="97" w:right="172"/>
              <w:rPr>
                <w:sz w:val="20"/>
              </w:rPr>
            </w:pPr>
            <w:r w:rsidRPr="00EC20A0">
              <w:rPr>
                <w:b/>
                <w:sz w:val="20"/>
              </w:rPr>
              <w:t>FAM</w:t>
            </w:r>
            <w:r w:rsidRPr="00EC20A0">
              <w:rPr>
                <w:b/>
                <w:spacing w:val="-8"/>
                <w:sz w:val="20"/>
              </w:rPr>
              <w:t xml:space="preserve"> </w:t>
            </w:r>
            <w:r w:rsidRPr="00EC20A0">
              <w:rPr>
                <w:b/>
                <w:sz w:val="20"/>
              </w:rPr>
              <w:t>630</w:t>
            </w:r>
            <w:r w:rsidRPr="00EC20A0">
              <w:rPr>
                <w:b/>
                <w:spacing w:val="-8"/>
                <w:sz w:val="20"/>
              </w:rPr>
              <w:t xml:space="preserve"> </w:t>
            </w:r>
            <w:r w:rsidRPr="00EC20A0">
              <w:rPr>
                <w:sz w:val="20"/>
              </w:rPr>
              <w:t>–</w:t>
            </w:r>
            <w:r w:rsidRPr="00EC20A0">
              <w:rPr>
                <w:spacing w:val="-8"/>
                <w:sz w:val="20"/>
              </w:rPr>
              <w:t xml:space="preserve"> </w:t>
            </w:r>
            <w:r w:rsidRPr="00EC20A0">
              <w:rPr>
                <w:sz w:val="20"/>
              </w:rPr>
              <w:t>Group</w:t>
            </w:r>
            <w:r w:rsidRPr="00EC20A0">
              <w:rPr>
                <w:spacing w:val="-8"/>
                <w:sz w:val="20"/>
              </w:rPr>
              <w:t xml:space="preserve"> </w:t>
            </w:r>
            <w:r w:rsidRPr="00EC20A0">
              <w:rPr>
                <w:sz w:val="20"/>
              </w:rPr>
              <w:t>Audits</w:t>
            </w:r>
            <w:r w:rsidRPr="00EC20A0">
              <w:rPr>
                <w:spacing w:val="-7"/>
                <w:sz w:val="20"/>
              </w:rPr>
              <w:t xml:space="preserve"> </w:t>
            </w:r>
            <w:r w:rsidRPr="00EC20A0">
              <w:rPr>
                <w:sz w:val="20"/>
              </w:rPr>
              <w:t>&amp; Using the Work of a Component Auditor</w:t>
            </w:r>
          </w:p>
        </w:tc>
        <w:tc>
          <w:tcPr>
            <w:tcW w:w="2430" w:type="dxa"/>
            <w:tcBorders>
              <w:top w:val="single" w:sz="4" w:space="0" w:color="000000"/>
              <w:left w:val="single" w:sz="4" w:space="0" w:color="000000"/>
              <w:bottom w:val="single" w:sz="4" w:space="0" w:color="000000"/>
              <w:right w:val="single" w:sz="4" w:space="0" w:color="000000"/>
            </w:tcBorders>
          </w:tcPr>
          <w:p w14:paraId="24D5FE5A" w14:textId="77777777" w:rsidR="00245300" w:rsidRPr="00EC20A0" w:rsidRDefault="00F17249">
            <w:pPr>
              <w:pStyle w:val="TableParagraph"/>
              <w:spacing w:before="121"/>
              <w:ind w:left="107"/>
              <w:rPr>
                <w:sz w:val="20"/>
              </w:rPr>
            </w:pPr>
            <w:r w:rsidRPr="00EC20A0">
              <w:rPr>
                <w:sz w:val="20"/>
              </w:rPr>
              <w:t>FAM</w:t>
            </w:r>
            <w:r w:rsidRPr="00EC20A0">
              <w:rPr>
                <w:spacing w:val="-4"/>
                <w:sz w:val="20"/>
              </w:rPr>
              <w:t xml:space="preserve"> </w:t>
            </w:r>
            <w:r w:rsidRPr="00EC20A0">
              <w:rPr>
                <w:sz w:val="20"/>
              </w:rPr>
              <w:t>615.03–.05,</w:t>
            </w:r>
            <w:r w:rsidRPr="00EC20A0">
              <w:rPr>
                <w:spacing w:val="-3"/>
                <w:sz w:val="20"/>
              </w:rPr>
              <w:t xml:space="preserve"> </w:t>
            </w:r>
            <w:r w:rsidRPr="00EC20A0">
              <w:rPr>
                <w:spacing w:val="-4"/>
                <w:sz w:val="20"/>
              </w:rPr>
              <w:t>.08,</w:t>
            </w:r>
          </w:p>
          <w:p w14:paraId="24D5FE5B" w14:textId="77777777" w:rsidR="00245300" w:rsidRPr="00EC20A0" w:rsidRDefault="00F17249">
            <w:pPr>
              <w:pStyle w:val="TableParagraph"/>
              <w:ind w:left="107"/>
              <w:rPr>
                <w:sz w:val="20"/>
              </w:rPr>
            </w:pPr>
            <w:r w:rsidRPr="00EC20A0">
              <w:rPr>
                <w:spacing w:val="-5"/>
                <w:sz w:val="20"/>
              </w:rPr>
              <w:t>.11</w:t>
            </w:r>
          </w:p>
        </w:tc>
        <w:tc>
          <w:tcPr>
            <w:tcW w:w="2430" w:type="dxa"/>
            <w:tcBorders>
              <w:top w:val="single" w:sz="4" w:space="0" w:color="000000"/>
              <w:left w:val="single" w:sz="4" w:space="0" w:color="000000"/>
              <w:bottom w:val="single" w:sz="4" w:space="0" w:color="000000"/>
            </w:tcBorders>
          </w:tcPr>
          <w:p w14:paraId="24D5FE5C" w14:textId="77777777" w:rsidR="00245300" w:rsidRPr="00EC20A0" w:rsidRDefault="00F17249">
            <w:pPr>
              <w:pStyle w:val="TableParagraph"/>
              <w:spacing w:before="121"/>
              <w:ind w:left="107"/>
              <w:rPr>
                <w:sz w:val="20"/>
              </w:rPr>
            </w:pPr>
            <w:r w:rsidRPr="00EC20A0">
              <w:rPr>
                <w:sz w:val="20"/>
              </w:rPr>
              <w:t>FAM</w:t>
            </w:r>
            <w:r w:rsidRPr="00EC20A0">
              <w:rPr>
                <w:spacing w:val="-4"/>
                <w:sz w:val="20"/>
              </w:rPr>
              <w:t xml:space="preserve"> </w:t>
            </w:r>
            <w:r w:rsidRPr="00EC20A0">
              <w:rPr>
                <w:sz w:val="20"/>
              </w:rPr>
              <w:t>615.12–.15,</w:t>
            </w:r>
            <w:r w:rsidRPr="00EC20A0">
              <w:rPr>
                <w:spacing w:val="-3"/>
                <w:sz w:val="20"/>
              </w:rPr>
              <w:t xml:space="preserve"> </w:t>
            </w:r>
            <w:r w:rsidRPr="00EC20A0">
              <w:rPr>
                <w:spacing w:val="-4"/>
                <w:sz w:val="20"/>
              </w:rPr>
              <w:t>.18–</w:t>
            </w:r>
          </w:p>
          <w:p w14:paraId="24D5FE5D" w14:textId="77777777" w:rsidR="00245300" w:rsidRPr="00EC20A0" w:rsidRDefault="00F17249">
            <w:pPr>
              <w:pStyle w:val="TableParagraph"/>
              <w:ind w:left="107"/>
              <w:rPr>
                <w:sz w:val="20"/>
              </w:rPr>
            </w:pPr>
            <w:r w:rsidRPr="00EC20A0">
              <w:rPr>
                <w:spacing w:val="-5"/>
                <w:sz w:val="20"/>
              </w:rPr>
              <w:t>.23</w:t>
            </w:r>
          </w:p>
        </w:tc>
      </w:tr>
      <w:tr w:rsidR="00245300" w:rsidRPr="00EC20A0" w14:paraId="24D5FE63" w14:textId="77777777">
        <w:trPr>
          <w:trHeight w:val="699"/>
        </w:trPr>
        <w:tc>
          <w:tcPr>
            <w:tcW w:w="3060" w:type="dxa"/>
            <w:tcBorders>
              <w:top w:val="single" w:sz="4" w:space="0" w:color="000000"/>
              <w:bottom w:val="single" w:sz="4" w:space="0" w:color="000000"/>
              <w:right w:val="single" w:sz="4" w:space="0" w:color="000000"/>
            </w:tcBorders>
          </w:tcPr>
          <w:p w14:paraId="24D5FE5F" w14:textId="77777777" w:rsidR="00245300" w:rsidRPr="00EC20A0" w:rsidRDefault="00F17249">
            <w:pPr>
              <w:pStyle w:val="TableParagraph"/>
              <w:spacing w:before="120"/>
              <w:ind w:left="97"/>
              <w:rPr>
                <w:sz w:val="20"/>
              </w:rPr>
            </w:pPr>
            <w:r w:rsidRPr="00EC20A0">
              <w:rPr>
                <w:b/>
                <w:sz w:val="20"/>
              </w:rPr>
              <w:t>FAM</w:t>
            </w:r>
            <w:r w:rsidRPr="00EC20A0">
              <w:rPr>
                <w:b/>
                <w:spacing w:val="-6"/>
                <w:sz w:val="20"/>
              </w:rPr>
              <w:t xml:space="preserve"> </w:t>
            </w:r>
            <w:r w:rsidRPr="00EC20A0">
              <w:rPr>
                <w:b/>
                <w:sz w:val="20"/>
              </w:rPr>
              <w:t>640</w:t>
            </w:r>
            <w:r w:rsidRPr="00EC20A0">
              <w:rPr>
                <w:b/>
                <w:spacing w:val="-6"/>
                <w:sz w:val="20"/>
              </w:rPr>
              <w:t xml:space="preserve"> </w:t>
            </w:r>
            <w:r w:rsidRPr="00EC20A0">
              <w:rPr>
                <w:sz w:val="20"/>
              </w:rPr>
              <w:t>–</w:t>
            </w:r>
            <w:r w:rsidRPr="00EC20A0">
              <w:rPr>
                <w:spacing w:val="-6"/>
                <w:sz w:val="20"/>
              </w:rPr>
              <w:t xml:space="preserve"> </w:t>
            </w:r>
            <w:r w:rsidRPr="00EC20A0">
              <w:rPr>
                <w:sz w:val="20"/>
              </w:rPr>
              <w:t>Using</w:t>
            </w:r>
            <w:r w:rsidRPr="00EC20A0">
              <w:rPr>
                <w:spacing w:val="-6"/>
                <w:sz w:val="20"/>
              </w:rPr>
              <w:t xml:space="preserve"> </w:t>
            </w:r>
            <w:r w:rsidRPr="00EC20A0">
              <w:rPr>
                <w:sz w:val="20"/>
              </w:rPr>
              <w:t>the</w:t>
            </w:r>
            <w:r w:rsidRPr="00EC20A0">
              <w:rPr>
                <w:spacing w:val="-7"/>
                <w:sz w:val="20"/>
              </w:rPr>
              <w:t xml:space="preserve"> </w:t>
            </w:r>
            <w:r w:rsidRPr="00EC20A0">
              <w:rPr>
                <w:sz w:val="20"/>
              </w:rPr>
              <w:t>Work</w:t>
            </w:r>
            <w:r w:rsidRPr="00EC20A0">
              <w:rPr>
                <w:spacing w:val="-7"/>
                <w:sz w:val="20"/>
              </w:rPr>
              <w:t xml:space="preserve"> </w:t>
            </w:r>
            <w:r w:rsidRPr="00EC20A0">
              <w:rPr>
                <w:sz w:val="20"/>
              </w:rPr>
              <w:t>of Service Auditors</w:t>
            </w:r>
          </w:p>
        </w:tc>
        <w:tc>
          <w:tcPr>
            <w:tcW w:w="2430" w:type="dxa"/>
            <w:tcBorders>
              <w:top w:val="single" w:sz="4" w:space="0" w:color="000000"/>
              <w:left w:val="single" w:sz="4" w:space="0" w:color="000000"/>
              <w:bottom w:val="single" w:sz="4" w:space="0" w:color="000000"/>
              <w:right w:val="single" w:sz="4" w:space="0" w:color="000000"/>
            </w:tcBorders>
          </w:tcPr>
          <w:p w14:paraId="24D5FE60" w14:textId="77777777" w:rsidR="00245300" w:rsidRPr="00EC20A0" w:rsidRDefault="00F17249">
            <w:pPr>
              <w:pStyle w:val="TableParagraph"/>
              <w:spacing w:before="120"/>
              <w:ind w:left="107"/>
              <w:rPr>
                <w:sz w:val="20"/>
              </w:rPr>
            </w:pPr>
            <w:r w:rsidRPr="00EC20A0">
              <w:rPr>
                <w:sz w:val="20"/>
              </w:rPr>
              <w:t>FAM</w:t>
            </w:r>
            <w:r w:rsidRPr="00EC20A0">
              <w:rPr>
                <w:spacing w:val="-3"/>
                <w:sz w:val="20"/>
              </w:rPr>
              <w:t xml:space="preserve"> </w:t>
            </w:r>
            <w:r w:rsidRPr="00EC20A0">
              <w:rPr>
                <w:sz w:val="20"/>
              </w:rPr>
              <w:t>615.03,</w:t>
            </w:r>
            <w:r w:rsidRPr="00EC20A0">
              <w:rPr>
                <w:spacing w:val="-4"/>
                <w:sz w:val="20"/>
              </w:rPr>
              <w:t xml:space="preserve"> </w:t>
            </w:r>
            <w:r w:rsidRPr="00EC20A0">
              <w:rPr>
                <w:sz w:val="20"/>
              </w:rPr>
              <w:t>.09,</w:t>
            </w:r>
            <w:r w:rsidRPr="00EC20A0">
              <w:rPr>
                <w:spacing w:val="-3"/>
                <w:sz w:val="20"/>
              </w:rPr>
              <w:t xml:space="preserve"> </w:t>
            </w:r>
            <w:r w:rsidRPr="00EC20A0">
              <w:rPr>
                <w:spacing w:val="-5"/>
                <w:sz w:val="20"/>
              </w:rPr>
              <w:t>.10</w:t>
            </w:r>
          </w:p>
        </w:tc>
        <w:tc>
          <w:tcPr>
            <w:tcW w:w="2430" w:type="dxa"/>
            <w:tcBorders>
              <w:top w:val="single" w:sz="4" w:space="0" w:color="000000"/>
              <w:left w:val="single" w:sz="4" w:space="0" w:color="000000"/>
              <w:bottom w:val="single" w:sz="4" w:space="0" w:color="000000"/>
            </w:tcBorders>
          </w:tcPr>
          <w:p w14:paraId="24D5FE61" w14:textId="77777777" w:rsidR="00245300" w:rsidRPr="00EC20A0" w:rsidRDefault="00F17249">
            <w:pPr>
              <w:pStyle w:val="TableParagraph"/>
              <w:spacing w:before="120"/>
              <w:ind w:left="107"/>
              <w:rPr>
                <w:sz w:val="20"/>
              </w:rPr>
            </w:pPr>
            <w:r w:rsidRPr="00EC20A0">
              <w:rPr>
                <w:sz w:val="20"/>
              </w:rPr>
              <w:t>FAM</w:t>
            </w:r>
            <w:r w:rsidRPr="00EC20A0">
              <w:rPr>
                <w:spacing w:val="-3"/>
                <w:sz w:val="20"/>
              </w:rPr>
              <w:t xml:space="preserve"> </w:t>
            </w:r>
            <w:r w:rsidRPr="00EC20A0">
              <w:rPr>
                <w:sz w:val="20"/>
              </w:rPr>
              <w:t>615.12,</w:t>
            </w:r>
            <w:r w:rsidRPr="00EC20A0">
              <w:rPr>
                <w:spacing w:val="-3"/>
                <w:sz w:val="20"/>
              </w:rPr>
              <w:t xml:space="preserve"> </w:t>
            </w:r>
            <w:r w:rsidRPr="00EC20A0">
              <w:rPr>
                <w:sz w:val="20"/>
              </w:rPr>
              <w:t>.16,</w:t>
            </w:r>
            <w:r w:rsidRPr="00EC20A0">
              <w:rPr>
                <w:spacing w:val="-3"/>
                <w:sz w:val="20"/>
              </w:rPr>
              <w:t xml:space="preserve"> </w:t>
            </w:r>
            <w:r w:rsidRPr="00EC20A0">
              <w:rPr>
                <w:spacing w:val="-4"/>
                <w:sz w:val="20"/>
              </w:rPr>
              <w:t>.19–</w:t>
            </w:r>
          </w:p>
          <w:p w14:paraId="24D5FE62" w14:textId="77777777" w:rsidR="00245300" w:rsidRPr="00EC20A0" w:rsidRDefault="00F17249">
            <w:pPr>
              <w:pStyle w:val="TableParagraph"/>
              <w:spacing w:before="1"/>
              <w:ind w:left="107"/>
              <w:rPr>
                <w:sz w:val="20"/>
              </w:rPr>
            </w:pPr>
            <w:r w:rsidRPr="00EC20A0">
              <w:rPr>
                <w:sz w:val="20"/>
              </w:rPr>
              <w:t>.20,</w:t>
            </w:r>
            <w:r w:rsidRPr="00EC20A0">
              <w:rPr>
                <w:spacing w:val="-2"/>
                <w:sz w:val="20"/>
              </w:rPr>
              <w:t xml:space="preserve"> </w:t>
            </w:r>
            <w:r w:rsidRPr="00EC20A0">
              <w:rPr>
                <w:spacing w:val="-5"/>
                <w:sz w:val="20"/>
              </w:rPr>
              <w:t>.30</w:t>
            </w:r>
          </w:p>
        </w:tc>
      </w:tr>
      <w:tr w:rsidR="00245300" w:rsidRPr="00EC20A0" w14:paraId="24D5FE68" w14:textId="77777777">
        <w:trPr>
          <w:trHeight w:val="700"/>
        </w:trPr>
        <w:tc>
          <w:tcPr>
            <w:tcW w:w="3060" w:type="dxa"/>
            <w:tcBorders>
              <w:top w:val="single" w:sz="4" w:space="0" w:color="000000"/>
              <w:bottom w:val="single" w:sz="4" w:space="0" w:color="000000"/>
              <w:right w:val="single" w:sz="4" w:space="0" w:color="000000"/>
            </w:tcBorders>
          </w:tcPr>
          <w:p w14:paraId="24D5FE64" w14:textId="77777777" w:rsidR="00245300" w:rsidRPr="00EC20A0" w:rsidRDefault="00F17249">
            <w:pPr>
              <w:pStyle w:val="TableParagraph"/>
              <w:spacing w:before="120"/>
              <w:ind w:left="97"/>
              <w:rPr>
                <w:sz w:val="20"/>
              </w:rPr>
            </w:pPr>
            <w:r w:rsidRPr="00EC20A0">
              <w:rPr>
                <w:b/>
                <w:sz w:val="20"/>
              </w:rPr>
              <w:t>FAM</w:t>
            </w:r>
            <w:r w:rsidRPr="00EC20A0">
              <w:rPr>
                <w:b/>
                <w:spacing w:val="-6"/>
                <w:sz w:val="20"/>
              </w:rPr>
              <w:t xml:space="preserve"> </w:t>
            </w:r>
            <w:r w:rsidRPr="00EC20A0">
              <w:rPr>
                <w:b/>
                <w:sz w:val="20"/>
              </w:rPr>
              <w:t>645</w:t>
            </w:r>
            <w:r w:rsidRPr="00EC20A0">
              <w:rPr>
                <w:b/>
                <w:spacing w:val="-6"/>
                <w:sz w:val="20"/>
              </w:rPr>
              <w:t xml:space="preserve"> </w:t>
            </w:r>
            <w:r w:rsidRPr="00EC20A0">
              <w:rPr>
                <w:sz w:val="20"/>
              </w:rPr>
              <w:t>–</w:t>
            </w:r>
            <w:r w:rsidRPr="00EC20A0">
              <w:rPr>
                <w:spacing w:val="-6"/>
                <w:sz w:val="20"/>
              </w:rPr>
              <w:t xml:space="preserve"> </w:t>
            </w:r>
            <w:r w:rsidRPr="00EC20A0">
              <w:rPr>
                <w:sz w:val="20"/>
              </w:rPr>
              <w:t>Using</w:t>
            </w:r>
            <w:r w:rsidRPr="00EC20A0">
              <w:rPr>
                <w:spacing w:val="-6"/>
                <w:sz w:val="20"/>
              </w:rPr>
              <w:t xml:space="preserve"> </w:t>
            </w:r>
            <w:r w:rsidRPr="00EC20A0">
              <w:rPr>
                <w:sz w:val="20"/>
              </w:rPr>
              <w:t>the</w:t>
            </w:r>
            <w:r w:rsidRPr="00EC20A0">
              <w:rPr>
                <w:spacing w:val="-7"/>
                <w:sz w:val="20"/>
              </w:rPr>
              <w:t xml:space="preserve"> </w:t>
            </w:r>
            <w:r w:rsidRPr="00EC20A0">
              <w:rPr>
                <w:sz w:val="20"/>
              </w:rPr>
              <w:t>Work</w:t>
            </w:r>
            <w:r w:rsidRPr="00EC20A0">
              <w:rPr>
                <w:spacing w:val="-6"/>
                <w:sz w:val="20"/>
              </w:rPr>
              <w:t xml:space="preserve"> </w:t>
            </w:r>
            <w:r w:rsidRPr="00EC20A0">
              <w:rPr>
                <w:sz w:val="20"/>
              </w:rPr>
              <w:t>of Internal Auditors</w:t>
            </w:r>
          </w:p>
        </w:tc>
        <w:tc>
          <w:tcPr>
            <w:tcW w:w="2430" w:type="dxa"/>
            <w:tcBorders>
              <w:top w:val="single" w:sz="4" w:space="0" w:color="000000"/>
              <w:left w:val="single" w:sz="4" w:space="0" w:color="000000"/>
              <w:bottom w:val="single" w:sz="4" w:space="0" w:color="000000"/>
              <w:right w:val="single" w:sz="4" w:space="0" w:color="000000"/>
            </w:tcBorders>
          </w:tcPr>
          <w:p w14:paraId="24D5FE65" w14:textId="77777777" w:rsidR="00245300" w:rsidRPr="00EC20A0" w:rsidRDefault="00F17249">
            <w:pPr>
              <w:pStyle w:val="TableParagraph"/>
              <w:spacing w:before="122"/>
              <w:ind w:left="107"/>
              <w:rPr>
                <w:sz w:val="20"/>
              </w:rPr>
            </w:pPr>
            <w:r w:rsidRPr="00EC20A0">
              <w:rPr>
                <w:sz w:val="20"/>
              </w:rPr>
              <w:t>FAM</w:t>
            </w:r>
            <w:r w:rsidRPr="00EC20A0">
              <w:rPr>
                <w:spacing w:val="-3"/>
                <w:sz w:val="20"/>
              </w:rPr>
              <w:t xml:space="preserve"> </w:t>
            </w:r>
            <w:r w:rsidRPr="00EC20A0">
              <w:rPr>
                <w:sz w:val="20"/>
              </w:rPr>
              <w:t>615.03,</w:t>
            </w:r>
            <w:r w:rsidRPr="00EC20A0">
              <w:rPr>
                <w:spacing w:val="-3"/>
                <w:sz w:val="20"/>
              </w:rPr>
              <w:t xml:space="preserve"> </w:t>
            </w:r>
            <w:r w:rsidRPr="00EC20A0">
              <w:rPr>
                <w:spacing w:val="-5"/>
                <w:sz w:val="20"/>
              </w:rPr>
              <w:t>.11</w:t>
            </w:r>
          </w:p>
        </w:tc>
        <w:tc>
          <w:tcPr>
            <w:tcW w:w="2430" w:type="dxa"/>
            <w:tcBorders>
              <w:top w:val="single" w:sz="4" w:space="0" w:color="000000"/>
              <w:left w:val="single" w:sz="4" w:space="0" w:color="000000"/>
              <w:bottom w:val="single" w:sz="4" w:space="0" w:color="000000"/>
            </w:tcBorders>
          </w:tcPr>
          <w:p w14:paraId="24D5FE66" w14:textId="77777777" w:rsidR="00245300" w:rsidRPr="00EC20A0" w:rsidRDefault="00F17249">
            <w:pPr>
              <w:pStyle w:val="TableParagraph"/>
              <w:spacing w:before="120"/>
              <w:ind w:left="107"/>
              <w:rPr>
                <w:sz w:val="20"/>
              </w:rPr>
            </w:pPr>
            <w:r w:rsidRPr="00EC20A0">
              <w:rPr>
                <w:sz w:val="20"/>
              </w:rPr>
              <w:t>FAM</w:t>
            </w:r>
            <w:r w:rsidRPr="00EC20A0">
              <w:rPr>
                <w:spacing w:val="-3"/>
                <w:sz w:val="20"/>
              </w:rPr>
              <w:t xml:space="preserve"> </w:t>
            </w:r>
            <w:r w:rsidRPr="00EC20A0">
              <w:rPr>
                <w:sz w:val="20"/>
              </w:rPr>
              <w:t>615.12,</w:t>
            </w:r>
            <w:r w:rsidRPr="00EC20A0">
              <w:rPr>
                <w:spacing w:val="-3"/>
                <w:sz w:val="20"/>
              </w:rPr>
              <w:t xml:space="preserve"> </w:t>
            </w:r>
            <w:r w:rsidRPr="00EC20A0">
              <w:rPr>
                <w:sz w:val="20"/>
              </w:rPr>
              <w:t>.15,</w:t>
            </w:r>
            <w:r w:rsidRPr="00EC20A0">
              <w:rPr>
                <w:spacing w:val="-3"/>
                <w:sz w:val="20"/>
              </w:rPr>
              <w:t xml:space="preserve"> </w:t>
            </w:r>
            <w:r w:rsidRPr="00EC20A0">
              <w:rPr>
                <w:spacing w:val="-4"/>
                <w:sz w:val="20"/>
              </w:rPr>
              <w:t>.21–</w:t>
            </w:r>
          </w:p>
          <w:p w14:paraId="24D5FE67" w14:textId="77777777" w:rsidR="00245300" w:rsidRPr="00EC20A0" w:rsidRDefault="00F17249">
            <w:pPr>
              <w:pStyle w:val="TableParagraph"/>
              <w:spacing w:before="1"/>
              <w:ind w:left="107"/>
              <w:rPr>
                <w:sz w:val="20"/>
              </w:rPr>
            </w:pPr>
            <w:r w:rsidRPr="00EC20A0">
              <w:rPr>
                <w:spacing w:val="-5"/>
                <w:sz w:val="20"/>
              </w:rPr>
              <w:t>.23</w:t>
            </w:r>
          </w:p>
        </w:tc>
      </w:tr>
      <w:tr w:rsidR="00245300" w:rsidRPr="00EC20A0" w14:paraId="24D5FE6D" w14:textId="77777777">
        <w:trPr>
          <w:trHeight w:val="930"/>
        </w:trPr>
        <w:tc>
          <w:tcPr>
            <w:tcW w:w="3060" w:type="dxa"/>
            <w:tcBorders>
              <w:top w:val="single" w:sz="4" w:space="0" w:color="000000"/>
              <w:right w:val="single" w:sz="4" w:space="0" w:color="000000"/>
            </w:tcBorders>
          </w:tcPr>
          <w:p w14:paraId="24D5FE69" w14:textId="77777777" w:rsidR="00245300" w:rsidRPr="00EC20A0" w:rsidRDefault="00F17249">
            <w:pPr>
              <w:pStyle w:val="TableParagraph"/>
              <w:spacing w:before="120"/>
              <w:ind w:left="97"/>
              <w:rPr>
                <w:sz w:val="20"/>
              </w:rPr>
            </w:pPr>
            <w:r w:rsidRPr="00EC20A0">
              <w:rPr>
                <w:b/>
                <w:sz w:val="20"/>
              </w:rPr>
              <w:t>FAM</w:t>
            </w:r>
            <w:r w:rsidRPr="00EC20A0">
              <w:rPr>
                <w:b/>
                <w:spacing w:val="-8"/>
                <w:sz w:val="20"/>
              </w:rPr>
              <w:t xml:space="preserve"> </w:t>
            </w:r>
            <w:r w:rsidRPr="00EC20A0">
              <w:rPr>
                <w:b/>
                <w:sz w:val="20"/>
              </w:rPr>
              <w:t>670</w:t>
            </w:r>
            <w:r w:rsidRPr="00EC20A0">
              <w:rPr>
                <w:b/>
                <w:spacing w:val="-8"/>
                <w:sz w:val="20"/>
              </w:rPr>
              <w:t xml:space="preserve"> </w:t>
            </w:r>
            <w:r w:rsidRPr="00EC20A0">
              <w:rPr>
                <w:sz w:val="20"/>
              </w:rPr>
              <w:t>–</w:t>
            </w:r>
            <w:r w:rsidRPr="00EC20A0">
              <w:rPr>
                <w:spacing w:val="-8"/>
                <w:sz w:val="20"/>
              </w:rPr>
              <w:t xml:space="preserve"> </w:t>
            </w:r>
            <w:r w:rsidRPr="00EC20A0">
              <w:rPr>
                <w:sz w:val="20"/>
              </w:rPr>
              <w:t>Oversight</w:t>
            </w:r>
            <w:r w:rsidRPr="00EC20A0">
              <w:rPr>
                <w:spacing w:val="-8"/>
                <w:sz w:val="20"/>
              </w:rPr>
              <w:t xml:space="preserve"> </w:t>
            </w:r>
            <w:r w:rsidRPr="00EC20A0">
              <w:rPr>
                <w:sz w:val="20"/>
              </w:rPr>
              <w:t>of</w:t>
            </w:r>
            <w:r w:rsidRPr="00EC20A0">
              <w:rPr>
                <w:spacing w:val="-8"/>
                <w:sz w:val="20"/>
              </w:rPr>
              <w:t xml:space="preserve"> </w:t>
            </w:r>
            <w:r w:rsidRPr="00EC20A0">
              <w:rPr>
                <w:sz w:val="20"/>
              </w:rPr>
              <w:t xml:space="preserve">Audits Performed by Contracted IPA </w:t>
            </w:r>
            <w:r w:rsidRPr="00EC20A0">
              <w:rPr>
                <w:spacing w:val="-2"/>
                <w:sz w:val="20"/>
              </w:rPr>
              <w:t>Firms</w:t>
            </w:r>
          </w:p>
        </w:tc>
        <w:tc>
          <w:tcPr>
            <w:tcW w:w="2430" w:type="dxa"/>
            <w:tcBorders>
              <w:top w:val="single" w:sz="4" w:space="0" w:color="000000"/>
              <w:left w:val="single" w:sz="4" w:space="0" w:color="000000"/>
              <w:right w:val="single" w:sz="4" w:space="0" w:color="000000"/>
            </w:tcBorders>
          </w:tcPr>
          <w:p w14:paraId="24D5FE6A" w14:textId="77777777" w:rsidR="00245300" w:rsidRPr="00EC20A0" w:rsidRDefault="00F17249">
            <w:pPr>
              <w:pStyle w:val="TableParagraph"/>
              <w:spacing w:before="121"/>
              <w:ind w:left="107"/>
              <w:rPr>
                <w:sz w:val="20"/>
              </w:rPr>
            </w:pPr>
            <w:r w:rsidRPr="00EC20A0">
              <w:rPr>
                <w:sz w:val="20"/>
              </w:rPr>
              <w:t>FAM</w:t>
            </w:r>
            <w:r w:rsidRPr="00EC20A0">
              <w:rPr>
                <w:spacing w:val="-2"/>
                <w:sz w:val="20"/>
              </w:rPr>
              <w:t xml:space="preserve"> 615.03–.05</w:t>
            </w:r>
          </w:p>
        </w:tc>
        <w:tc>
          <w:tcPr>
            <w:tcW w:w="2430" w:type="dxa"/>
            <w:tcBorders>
              <w:top w:val="single" w:sz="4" w:space="0" w:color="000000"/>
              <w:left w:val="single" w:sz="4" w:space="0" w:color="000000"/>
            </w:tcBorders>
          </w:tcPr>
          <w:p w14:paraId="24D5FE6B" w14:textId="77777777" w:rsidR="00245300" w:rsidRPr="00EC20A0" w:rsidRDefault="00F17249">
            <w:pPr>
              <w:pStyle w:val="TableParagraph"/>
              <w:spacing w:before="121"/>
              <w:ind w:left="107"/>
              <w:rPr>
                <w:sz w:val="20"/>
              </w:rPr>
            </w:pPr>
            <w:r w:rsidRPr="00EC20A0">
              <w:rPr>
                <w:sz w:val="20"/>
              </w:rPr>
              <w:t>FAM</w:t>
            </w:r>
            <w:r w:rsidRPr="00EC20A0">
              <w:rPr>
                <w:spacing w:val="-4"/>
                <w:sz w:val="20"/>
              </w:rPr>
              <w:t xml:space="preserve"> </w:t>
            </w:r>
            <w:r w:rsidRPr="00EC20A0">
              <w:rPr>
                <w:sz w:val="20"/>
              </w:rPr>
              <w:t>615.12–.14,</w:t>
            </w:r>
            <w:r w:rsidRPr="00EC20A0">
              <w:rPr>
                <w:spacing w:val="-4"/>
                <w:sz w:val="20"/>
              </w:rPr>
              <w:t xml:space="preserve"> .19–</w:t>
            </w:r>
          </w:p>
          <w:p w14:paraId="24D5FE6C" w14:textId="77777777" w:rsidR="00245300" w:rsidRPr="00EC20A0" w:rsidRDefault="00F17249">
            <w:pPr>
              <w:pStyle w:val="TableParagraph"/>
              <w:ind w:left="107"/>
              <w:rPr>
                <w:sz w:val="20"/>
              </w:rPr>
            </w:pPr>
            <w:r w:rsidRPr="00EC20A0">
              <w:rPr>
                <w:sz w:val="20"/>
              </w:rPr>
              <w:t>.23,</w:t>
            </w:r>
            <w:r w:rsidRPr="00EC20A0">
              <w:rPr>
                <w:spacing w:val="-5"/>
                <w:sz w:val="20"/>
              </w:rPr>
              <w:t xml:space="preserve"> .31</w:t>
            </w:r>
          </w:p>
        </w:tc>
      </w:tr>
    </w:tbl>
    <w:p w14:paraId="24D5FE6E" w14:textId="77777777" w:rsidR="00245300" w:rsidRPr="00EC20A0" w:rsidRDefault="00F17249">
      <w:pPr>
        <w:pStyle w:val="ListParagraph"/>
        <w:numPr>
          <w:ilvl w:val="0"/>
          <w:numId w:val="21"/>
        </w:numPr>
        <w:tabs>
          <w:tab w:val="left" w:pos="1860"/>
        </w:tabs>
        <w:spacing w:before="111"/>
        <w:ind w:right="616"/>
      </w:pPr>
      <w:r w:rsidRPr="00EC20A0">
        <w:t xml:space="preserve">When using the work of other auditors in situations not </w:t>
      </w:r>
      <w:r w:rsidRPr="00EC20A0">
        <w:t>specifically addressed above,</w:t>
      </w:r>
      <w:r w:rsidRPr="00EC20A0">
        <w:rPr>
          <w:spacing w:val="-3"/>
        </w:rPr>
        <w:t xml:space="preserve"> </w:t>
      </w:r>
      <w:r w:rsidRPr="00EC20A0">
        <w:t>auditors</w:t>
      </w:r>
      <w:r w:rsidRPr="00EC20A0">
        <w:rPr>
          <w:spacing w:val="-3"/>
        </w:rPr>
        <w:t xml:space="preserve"> </w:t>
      </w:r>
      <w:r w:rsidRPr="00EC20A0">
        <w:t>may</w:t>
      </w:r>
      <w:r w:rsidRPr="00EC20A0">
        <w:rPr>
          <w:spacing w:val="-3"/>
        </w:rPr>
        <w:t xml:space="preserve"> </w:t>
      </w:r>
      <w:r w:rsidRPr="00EC20A0">
        <w:t>find</w:t>
      </w:r>
      <w:r w:rsidRPr="00EC20A0">
        <w:rPr>
          <w:spacing w:val="-4"/>
        </w:rPr>
        <w:t xml:space="preserve"> </w:t>
      </w:r>
      <w:r w:rsidRPr="00EC20A0">
        <w:t>guidance</w:t>
      </w:r>
      <w:r w:rsidRPr="00EC20A0">
        <w:rPr>
          <w:spacing w:val="-3"/>
        </w:rPr>
        <w:t xml:space="preserve"> </w:t>
      </w:r>
      <w:r w:rsidRPr="00EC20A0">
        <w:t>from</w:t>
      </w:r>
      <w:r w:rsidRPr="00EC20A0">
        <w:rPr>
          <w:spacing w:val="-4"/>
        </w:rPr>
        <w:t xml:space="preserve"> </w:t>
      </w:r>
      <w:r w:rsidRPr="00EC20A0">
        <w:t>the</w:t>
      </w:r>
      <w:r w:rsidRPr="00EC20A0">
        <w:rPr>
          <w:spacing w:val="-3"/>
        </w:rPr>
        <w:t xml:space="preserve"> </w:t>
      </w:r>
      <w:r w:rsidRPr="00EC20A0">
        <w:t>applicable</w:t>
      </w:r>
      <w:r w:rsidRPr="00EC20A0">
        <w:rPr>
          <w:spacing w:val="-3"/>
        </w:rPr>
        <w:t xml:space="preserve"> </w:t>
      </w:r>
      <w:r w:rsidRPr="00EC20A0">
        <w:t>AU-C</w:t>
      </w:r>
      <w:r w:rsidRPr="00EC20A0">
        <w:rPr>
          <w:spacing w:val="-4"/>
        </w:rPr>
        <w:t xml:space="preserve"> </w:t>
      </w:r>
      <w:r w:rsidRPr="00EC20A0">
        <w:t>sections</w:t>
      </w:r>
      <w:r w:rsidRPr="00EC20A0">
        <w:rPr>
          <w:spacing w:val="-4"/>
        </w:rPr>
        <w:t xml:space="preserve"> </w:t>
      </w:r>
      <w:r w:rsidRPr="00EC20A0">
        <w:t>and</w:t>
      </w:r>
      <w:r w:rsidRPr="00EC20A0">
        <w:rPr>
          <w:spacing w:val="-3"/>
        </w:rPr>
        <w:t xml:space="preserve"> </w:t>
      </w:r>
      <w:r w:rsidRPr="00EC20A0">
        <w:t>in</w:t>
      </w:r>
      <w:r w:rsidRPr="00EC20A0">
        <w:rPr>
          <w:spacing w:val="-3"/>
        </w:rPr>
        <w:t xml:space="preserve"> </w:t>
      </w:r>
      <w:r w:rsidRPr="00EC20A0">
        <w:t>this FAM section (FAM 615), adapted as necessary, useful when evaluating the objectivity and competence of the other auditors.</w:t>
      </w:r>
    </w:p>
    <w:p w14:paraId="24D5FE6F" w14:textId="77777777" w:rsidR="00245300" w:rsidRPr="00EC20A0" w:rsidRDefault="00F17249">
      <w:pPr>
        <w:pStyle w:val="Heading4"/>
        <w:spacing w:before="241"/>
      </w:pPr>
      <w:bookmarkStart w:id="9" w:name="Evaluating_the_Other_Auditors’_or_Specia"/>
      <w:bookmarkEnd w:id="9"/>
      <w:r w:rsidRPr="00EC20A0">
        <w:t>Evaluating</w:t>
      </w:r>
      <w:r w:rsidRPr="00EC20A0">
        <w:rPr>
          <w:spacing w:val="-13"/>
        </w:rPr>
        <w:t xml:space="preserve"> </w:t>
      </w:r>
      <w:r w:rsidRPr="00EC20A0">
        <w:t>the</w:t>
      </w:r>
      <w:r w:rsidRPr="00EC20A0">
        <w:rPr>
          <w:spacing w:val="-12"/>
        </w:rPr>
        <w:t xml:space="preserve"> </w:t>
      </w:r>
      <w:r w:rsidRPr="00EC20A0">
        <w:t>Other</w:t>
      </w:r>
      <w:r w:rsidRPr="00EC20A0">
        <w:rPr>
          <w:spacing w:val="-11"/>
        </w:rPr>
        <w:t xml:space="preserve"> </w:t>
      </w:r>
      <w:r w:rsidRPr="00EC20A0">
        <w:t>Auditors’</w:t>
      </w:r>
      <w:r w:rsidRPr="00EC20A0">
        <w:rPr>
          <w:spacing w:val="-12"/>
        </w:rPr>
        <w:t xml:space="preserve"> </w:t>
      </w:r>
      <w:r w:rsidRPr="00EC20A0">
        <w:t>or</w:t>
      </w:r>
      <w:r w:rsidRPr="00EC20A0">
        <w:rPr>
          <w:spacing w:val="-12"/>
        </w:rPr>
        <w:t xml:space="preserve"> </w:t>
      </w:r>
      <w:r w:rsidRPr="00EC20A0">
        <w:t>Specialists’</w:t>
      </w:r>
      <w:r w:rsidRPr="00EC20A0">
        <w:rPr>
          <w:spacing w:val="-12"/>
        </w:rPr>
        <w:t xml:space="preserve"> </w:t>
      </w:r>
      <w:r w:rsidRPr="00EC20A0">
        <w:rPr>
          <w:spacing w:val="-2"/>
        </w:rPr>
        <w:t>Objectivity</w:t>
      </w:r>
    </w:p>
    <w:p w14:paraId="24D5FE70" w14:textId="77777777" w:rsidR="00245300" w:rsidRPr="00EC20A0" w:rsidRDefault="00F17249">
      <w:pPr>
        <w:pStyle w:val="ListParagraph"/>
        <w:numPr>
          <w:ilvl w:val="0"/>
          <w:numId w:val="21"/>
        </w:numPr>
        <w:tabs>
          <w:tab w:val="left" w:pos="1860"/>
        </w:tabs>
        <w:ind w:right="995"/>
      </w:pPr>
      <w:r w:rsidRPr="00EC20A0">
        <w:t>The credibility of auditing in the government sector is based on the auditor’s objectivity</w:t>
      </w:r>
      <w:r w:rsidRPr="00EC20A0">
        <w:rPr>
          <w:spacing w:val="-6"/>
        </w:rPr>
        <w:t xml:space="preserve"> </w:t>
      </w:r>
      <w:r w:rsidRPr="00EC20A0">
        <w:t>in</w:t>
      </w:r>
      <w:r w:rsidRPr="00EC20A0">
        <w:rPr>
          <w:spacing w:val="-7"/>
        </w:rPr>
        <w:t xml:space="preserve"> </w:t>
      </w:r>
      <w:r w:rsidRPr="00EC20A0">
        <w:t>discharging</w:t>
      </w:r>
      <w:r w:rsidRPr="00EC20A0">
        <w:rPr>
          <w:spacing w:val="-7"/>
        </w:rPr>
        <w:t xml:space="preserve"> </w:t>
      </w:r>
      <w:r w:rsidRPr="00EC20A0">
        <w:t>its</w:t>
      </w:r>
      <w:r w:rsidRPr="00EC20A0">
        <w:rPr>
          <w:spacing w:val="-6"/>
        </w:rPr>
        <w:t xml:space="preserve"> </w:t>
      </w:r>
      <w:r w:rsidRPr="00EC20A0">
        <w:t>professional</w:t>
      </w:r>
      <w:r w:rsidRPr="00EC20A0">
        <w:rPr>
          <w:spacing w:val="-6"/>
        </w:rPr>
        <w:t xml:space="preserve"> </w:t>
      </w:r>
      <w:r w:rsidRPr="00EC20A0">
        <w:t>responsibilities.</w:t>
      </w:r>
      <w:r w:rsidRPr="00EC20A0">
        <w:rPr>
          <w:spacing w:val="-6"/>
        </w:rPr>
        <w:t xml:space="preserve"> </w:t>
      </w:r>
      <w:r w:rsidRPr="00EC20A0">
        <w:t>Objectivity</w:t>
      </w:r>
      <w:r w:rsidRPr="00EC20A0">
        <w:rPr>
          <w:spacing w:val="-6"/>
        </w:rPr>
        <w:t xml:space="preserve"> </w:t>
      </w:r>
      <w:r w:rsidRPr="00EC20A0">
        <w:t>includes</w:t>
      </w:r>
    </w:p>
    <w:p w14:paraId="24D5FE71" w14:textId="77777777" w:rsidR="00245300" w:rsidRPr="00EC20A0" w:rsidRDefault="00245300">
      <w:pPr>
        <w:sectPr w:rsidR="00245300" w:rsidRPr="00EC20A0">
          <w:headerReference w:type="default" r:id="rId19"/>
          <w:footerReference w:type="default" r:id="rId20"/>
          <w:pgSz w:w="12240" w:h="15840"/>
          <w:pgMar w:top="1340" w:right="940" w:bottom="940" w:left="1020" w:header="721" w:footer="757" w:gutter="0"/>
          <w:cols w:space="720"/>
        </w:sectPr>
      </w:pPr>
    </w:p>
    <w:p w14:paraId="24D5FE72" w14:textId="77777777" w:rsidR="00245300" w:rsidRPr="00EC20A0" w:rsidRDefault="00F17249">
      <w:pPr>
        <w:pStyle w:val="BodyText"/>
        <w:spacing w:before="121"/>
        <w:ind w:left="1859" w:right="562"/>
      </w:pPr>
      <w:r w:rsidRPr="00EC20A0">
        <w:t>independence of mind and appearance when conducting engagements, maintaining</w:t>
      </w:r>
      <w:r w:rsidRPr="00EC20A0">
        <w:rPr>
          <w:spacing w:val="-4"/>
        </w:rPr>
        <w:t xml:space="preserve"> </w:t>
      </w:r>
      <w:r w:rsidRPr="00EC20A0">
        <w:t>an</w:t>
      </w:r>
      <w:r w:rsidRPr="00EC20A0">
        <w:rPr>
          <w:spacing w:val="-4"/>
        </w:rPr>
        <w:t xml:space="preserve"> </w:t>
      </w:r>
      <w:r w:rsidRPr="00EC20A0">
        <w:t>attitude</w:t>
      </w:r>
      <w:r w:rsidRPr="00EC20A0">
        <w:rPr>
          <w:spacing w:val="-4"/>
        </w:rPr>
        <w:t xml:space="preserve"> </w:t>
      </w:r>
      <w:r w:rsidRPr="00EC20A0">
        <w:t>of</w:t>
      </w:r>
      <w:r w:rsidRPr="00EC20A0">
        <w:rPr>
          <w:spacing w:val="-4"/>
        </w:rPr>
        <w:t xml:space="preserve"> </w:t>
      </w:r>
      <w:r w:rsidRPr="00EC20A0">
        <w:t>impartiality,</w:t>
      </w:r>
      <w:r w:rsidRPr="00EC20A0">
        <w:rPr>
          <w:spacing w:val="-4"/>
        </w:rPr>
        <w:t xml:space="preserve"> </w:t>
      </w:r>
      <w:r w:rsidRPr="00EC20A0">
        <w:t>having</w:t>
      </w:r>
      <w:r w:rsidRPr="00EC20A0">
        <w:rPr>
          <w:spacing w:val="-4"/>
        </w:rPr>
        <w:t xml:space="preserve"> </w:t>
      </w:r>
      <w:r w:rsidRPr="00EC20A0">
        <w:t>intellectual</w:t>
      </w:r>
      <w:r w:rsidRPr="00EC20A0">
        <w:rPr>
          <w:spacing w:val="-4"/>
        </w:rPr>
        <w:t xml:space="preserve"> </w:t>
      </w:r>
      <w:r w:rsidRPr="00EC20A0">
        <w:t>honesty,</w:t>
      </w:r>
      <w:r w:rsidRPr="00EC20A0">
        <w:rPr>
          <w:spacing w:val="-4"/>
        </w:rPr>
        <w:t xml:space="preserve"> </w:t>
      </w:r>
      <w:r w:rsidRPr="00EC20A0">
        <w:t>and</w:t>
      </w:r>
      <w:r w:rsidRPr="00EC20A0">
        <w:rPr>
          <w:spacing w:val="-4"/>
        </w:rPr>
        <w:t xml:space="preserve"> </w:t>
      </w:r>
      <w:r w:rsidRPr="00EC20A0">
        <w:t>being</w:t>
      </w:r>
      <w:r w:rsidRPr="00EC20A0">
        <w:rPr>
          <w:spacing w:val="-4"/>
        </w:rPr>
        <w:t xml:space="preserve"> </w:t>
      </w:r>
      <w:r w:rsidRPr="00EC20A0">
        <w:t>free of conflicts of interest. Maintaining objectivity includes continually assessing relationships with audited entities and other stakeholders in the context of the auditors’ responsibility to the public. The concepts of objectivity and independence are closely related. Independence impairments affect objectivity (see GAGAS (2018) 3.11).</w:t>
      </w:r>
    </w:p>
    <w:p w14:paraId="24D5FE73" w14:textId="77777777" w:rsidR="00245300" w:rsidRPr="00EC20A0" w:rsidRDefault="00F17249">
      <w:pPr>
        <w:pStyle w:val="BodyText"/>
        <w:spacing w:before="239"/>
        <w:ind w:left="1859" w:right="511"/>
        <w:rPr>
          <w:sz w:val="14"/>
        </w:rPr>
      </w:pPr>
      <w:r w:rsidRPr="00EC20A0">
        <w:t xml:space="preserve">When using or reviewing the work of others, the auditor should evaluate whether the other auditors’ or specialists’ organizations, as well as the individual auditors or specialists, are objective (or independent, as applicable). Component auditors and service auditors should be independent in order for the auditor to use their work. There are also varying degrees of objectivity for evaluating specialists and internal auditors. </w:t>
      </w:r>
      <w:r w:rsidRPr="00EC20A0">
        <w:rPr>
          <w:color w:val="242424"/>
        </w:rPr>
        <w:t xml:space="preserve">If </w:t>
      </w:r>
      <w:r w:rsidRPr="00EC20A0">
        <w:t>the auditor has previously evaluated the objectivity of the other auditors or specialists for another engagement, the auditor should update the previous evaluation. The nature and extent of evidence needed will depend on the significance of the other auditors’ or specialists’ work to the current audit objectives and the extent to which the auditor will use the work. T</w:t>
      </w:r>
      <w:r w:rsidRPr="00EC20A0">
        <w:rPr>
          <w:color w:val="242424"/>
        </w:rPr>
        <w:t>he following procedures may be used in evaluating the objectivity of other auditors or specialists</w:t>
      </w:r>
      <w:r w:rsidRPr="00EC20A0">
        <w:t>.</w:t>
      </w:r>
      <w:r w:rsidRPr="00EC20A0">
        <w:rPr>
          <w:spacing w:val="-5"/>
        </w:rPr>
        <w:t xml:space="preserve"> </w:t>
      </w:r>
      <w:r w:rsidRPr="00EC20A0">
        <w:t>In</w:t>
      </w:r>
      <w:r w:rsidRPr="00EC20A0">
        <w:rPr>
          <w:spacing w:val="-4"/>
        </w:rPr>
        <w:t xml:space="preserve"> </w:t>
      </w:r>
      <w:r w:rsidRPr="00EC20A0">
        <w:t>addition,</w:t>
      </w:r>
      <w:r w:rsidRPr="00EC20A0">
        <w:rPr>
          <w:spacing w:val="-4"/>
        </w:rPr>
        <w:t xml:space="preserve"> </w:t>
      </w:r>
      <w:r w:rsidRPr="00EC20A0">
        <w:t>auditors</w:t>
      </w:r>
      <w:r w:rsidRPr="00EC20A0">
        <w:rPr>
          <w:spacing w:val="-4"/>
        </w:rPr>
        <w:t xml:space="preserve"> </w:t>
      </w:r>
      <w:r w:rsidRPr="00EC20A0">
        <w:t>may</w:t>
      </w:r>
      <w:r w:rsidRPr="00EC20A0">
        <w:rPr>
          <w:spacing w:val="-5"/>
        </w:rPr>
        <w:t xml:space="preserve"> </w:t>
      </w:r>
      <w:r w:rsidRPr="00EC20A0">
        <w:t>refer</w:t>
      </w:r>
      <w:r w:rsidRPr="00EC20A0">
        <w:rPr>
          <w:spacing w:val="-4"/>
        </w:rPr>
        <w:t xml:space="preserve"> </w:t>
      </w:r>
      <w:r w:rsidRPr="00EC20A0">
        <w:t>to</w:t>
      </w:r>
      <w:r w:rsidRPr="00EC20A0">
        <w:rPr>
          <w:spacing w:val="-4"/>
        </w:rPr>
        <w:t xml:space="preserve"> </w:t>
      </w:r>
      <w:r w:rsidRPr="00EC20A0">
        <w:t>U.S.</w:t>
      </w:r>
      <w:r w:rsidRPr="00EC20A0">
        <w:rPr>
          <w:spacing w:val="-4"/>
        </w:rPr>
        <w:t xml:space="preserve"> </w:t>
      </w:r>
      <w:r w:rsidRPr="00EC20A0">
        <w:t>generally</w:t>
      </w:r>
      <w:r w:rsidRPr="00EC20A0">
        <w:rPr>
          <w:spacing w:val="-4"/>
        </w:rPr>
        <w:t xml:space="preserve"> </w:t>
      </w:r>
      <w:r w:rsidRPr="00EC20A0">
        <w:t>accepted</w:t>
      </w:r>
      <w:r w:rsidRPr="00EC20A0">
        <w:rPr>
          <w:spacing w:val="-4"/>
        </w:rPr>
        <w:t xml:space="preserve"> </w:t>
      </w:r>
      <w:r w:rsidRPr="00EC20A0">
        <w:t xml:space="preserve">government auditing standards (GAGAS) as needed when making independence </w:t>
      </w:r>
      <w:r w:rsidRPr="00EC20A0">
        <w:rPr>
          <w:spacing w:val="-2"/>
        </w:rPr>
        <w:t>determinations.</w:t>
      </w:r>
      <w:hyperlink w:anchor="_bookmark3" w:history="1">
        <w:r w:rsidRPr="00EC20A0">
          <w:rPr>
            <w:spacing w:val="-2"/>
            <w:position w:val="7"/>
            <w:sz w:val="14"/>
          </w:rPr>
          <w:t>1</w:t>
        </w:r>
      </w:hyperlink>
    </w:p>
    <w:p w14:paraId="24D5FE74" w14:textId="77777777" w:rsidR="00245300" w:rsidRPr="00EC20A0" w:rsidRDefault="00F17249">
      <w:pPr>
        <w:pStyle w:val="ListParagraph"/>
        <w:numPr>
          <w:ilvl w:val="0"/>
          <w:numId w:val="21"/>
        </w:numPr>
        <w:tabs>
          <w:tab w:val="left" w:pos="1860"/>
        </w:tabs>
        <w:spacing w:before="241"/>
        <w:ind w:right="504"/>
      </w:pPr>
      <w:r w:rsidRPr="00EC20A0">
        <w:t>If</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engages</w:t>
      </w:r>
      <w:r w:rsidRPr="00EC20A0">
        <w:rPr>
          <w:spacing w:val="-2"/>
        </w:rPr>
        <w:t xml:space="preserve"> </w:t>
      </w:r>
      <w:r w:rsidRPr="00EC20A0">
        <w:t>the</w:t>
      </w:r>
      <w:r w:rsidRPr="00EC20A0">
        <w:rPr>
          <w:spacing w:val="-3"/>
        </w:rPr>
        <w:t xml:space="preserve"> </w:t>
      </w:r>
      <w:r w:rsidRPr="00EC20A0">
        <w:t>other</w:t>
      </w:r>
      <w:r w:rsidRPr="00EC20A0">
        <w:rPr>
          <w:spacing w:val="-3"/>
        </w:rPr>
        <w:t xml:space="preserve"> </w:t>
      </w:r>
      <w:r w:rsidRPr="00EC20A0">
        <w:t>auditors</w:t>
      </w:r>
      <w:r w:rsidRPr="00EC20A0">
        <w:rPr>
          <w:spacing w:val="-3"/>
        </w:rPr>
        <w:t xml:space="preserve"> </w:t>
      </w:r>
      <w:r w:rsidRPr="00EC20A0">
        <w:t>or</w:t>
      </w:r>
      <w:r w:rsidRPr="00EC20A0">
        <w:rPr>
          <w:spacing w:val="-3"/>
        </w:rPr>
        <w:t xml:space="preserve"> </w:t>
      </w:r>
      <w:r w:rsidRPr="00EC20A0">
        <w:t>specialists</w:t>
      </w:r>
      <w:r w:rsidRPr="00EC20A0">
        <w:rPr>
          <w:spacing w:val="-3"/>
        </w:rPr>
        <w:t xml:space="preserve"> </w:t>
      </w:r>
      <w:r w:rsidRPr="00EC20A0">
        <w:t>as</w:t>
      </w:r>
      <w:r w:rsidRPr="00EC20A0">
        <w:rPr>
          <w:spacing w:val="-3"/>
        </w:rPr>
        <w:t xml:space="preserve"> </w:t>
      </w:r>
      <w:r w:rsidRPr="00EC20A0">
        <w:t>a</w:t>
      </w:r>
      <w:r w:rsidRPr="00EC20A0">
        <w:rPr>
          <w:spacing w:val="-3"/>
        </w:rPr>
        <w:t xml:space="preserve"> </w:t>
      </w:r>
      <w:r w:rsidRPr="00EC20A0">
        <w:t>contractor,</w:t>
      </w:r>
      <w:r w:rsidRPr="00EC20A0">
        <w:rPr>
          <w:spacing w:val="-3"/>
        </w:rPr>
        <w:t xml:space="preserve"> </w:t>
      </w:r>
      <w:r w:rsidRPr="00EC20A0">
        <w:t>the</w:t>
      </w:r>
      <w:r w:rsidRPr="00EC20A0">
        <w:rPr>
          <w:spacing w:val="-3"/>
        </w:rPr>
        <w:t xml:space="preserve"> </w:t>
      </w:r>
      <w:r w:rsidRPr="00EC20A0">
        <w:t>auditor may use a contracting process that is part of its organization or a procurement function within the entity to be audited to evaluate independence and objectivity of</w:t>
      </w:r>
      <w:r w:rsidRPr="00EC20A0">
        <w:rPr>
          <w:spacing w:val="-3"/>
        </w:rPr>
        <w:t xml:space="preserve"> </w:t>
      </w:r>
      <w:r w:rsidRPr="00EC20A0">
        <w:t>other</w:t>
      </w:r>
      <w:r w:rsidRPr="00EC20A0">
        <w:rPr>
          <w:spacing w:val="-3"/>
        </w:rPr>
        <w:t xml:space="preserve"> </w:t>
      </w:r>
      <w:r w:rsidRPr="00EC20A0">
        <w:t>auditors</w:t>
      </w:r>
      <w:r w:rsidRPr="00EC20A0">
        <w:rPr>
          <w:spacing w:val="-3"/>
        </w:rPr>
        <w:t xml:space="preserve"> </w:t>
      </w:r>
      <w:r w:rsidRPr="00EC20A0">
        <w:t>or</w:t>
      </w:r>
      <w:r w:rsidRPr="00EC20A0">
        <w:rPr>
          <w:spacing w:val="-3"/>
        </w:rPr>
        <w:t xml:space="preserve"> </w:t>
      </w:r>
      <w:r w:rsidRPr="00EC20A0">
        <w:t>specialists.</w:t>
      </w:r>
      <w:r w:rsidRPr="00EC20A0">
        <w:rPr>
          <w:spacing w:val="-3"/>
        </w:rPr>
        <w:t xml:space="preserve"> </w:t>
      </w:r>
      <w:r w:rsidRPr="00EC20A0">
        <w:t>For</w:t>
      </w:r>
      <w:r w:rsidRPr="00EC20A0">
        <w:rPr>
          <w:spacing w:val="-3"/>
        </w:rPr>
        <w:t xml:space="preserve"> </w:t>
      </w:r>
      <w:r w:rsidRPr="00EC20A0">
        <w:t>example,</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could</w:t>
      </w:r>
      <w:r w:rsidRPr="00EC20A0">
        <w:rPr>
          <w:spacing w:val="-3"/>
        </w:rPr>
        <w:t xml:space="preserve"> </w:t>
      </w:r>
      <w:r w:rsidRPr="00EC20A0">
        <w:t>determine</w:t>
      </w:r>
      <w:r w:rsidRPr="00EC20A0">
        <w:rPr>
          <w:spacing w:val="-3"/>
        </w:rPr>
        <w:t xml:space="preserve"> </w:t>
      </w:r>
      <w:r w:rsidRPr="00EC20A0">
        <w:t>whether the firm selected made the following representations in the proposal: that it and the assigned engagement team</w:t>
      </w:r>
    </w:p>
    <w:p w14:paraId="24D5FE75" w14:textId="77777777" w:rsidR="00245300" w:rsidRPr="00EC20A0" w:rsidRDefault="00F17249">
      <w:pPr>
        <w:pStyle w:val="ListParagraph"/>
        <w:numPr>
          <w:ilvl w:val="1"/>
          <w:numId w:val="21"/>
        </w:numPr>
        <w:tabs>
          <w:tab w:val="left" w:pos="2220"/>
        </w:tabs>
      </w:pPr>
      <w:r w:rsidRPr="00EC20A0">
        <w:t>are</w:t>
      </w:r>
      <w:r w:rsidRPr="00EC20A0">
        <w:rPr>
          <w:spacing w:val="-7"/>
        </w:rPr>
        <w:t xml:space="preserve"> </w:t>
      </w:r>
      <w:r w:rsidRPr="00EC20A0">
        <w:t>independent</w:t>
      </w:r>
      <w:r w:rsidRPr="00EC20A0">
        <w:rPr>
          <w:spacing w:val="-6"/>
        </w:rPr>
        <w:t xml:space="preserve"> </w:t>
      </w:r>
      <w:r w:rsidRPr="00EC20A0">
        <w:t>and</w:t>
      </w:r>
      <w:r w:rsidRPr="00EC20A0">
        <w:rPr>
          <w:spacing w:val="-6"/>
        </w:rPr>
        <w:t xml:space="preserve"> </w:t>
      </w:r>
      <w:r w:rsidRPr="00EC20A0">
        <w:t>objective</w:t>
      </w:r>
      <w:r w:rsidRPr="00EC20A0">
        <w:rPr>
          <w:spacing w:val="-7"/>
        </w:rPr>
        <w:t xml:space="preserve"> </w:t>
      </w:r>
      <w:r w:rsidRPr="00EC20A0">
        <w:t>with</w:t>
      </w:r>
      <w:r w:rsidRPr="00EC20A0">
        <w:rPr>
          <w:spacing w:val="-6"/>
        </w:rPr>
        <w:t xml:space="preserve"> </w:t>
      </w:r>
      <w:r w:rsidRPr="00EC20A0">
        <w:t>respect</w:t>
      </w:r>
      <w:r w:rsidRPr="00EC20A0">
        <w:rPr>
          <w:spacing w:val="-6"/>
        </w:rPr>
        <w:t xml:space="preserve"> </w:t>
      </w:r>
      <w:r w:rsidRPr="00EC20A0">
        <w:t>to</w:t>
      </w:r>
      <w:r w:rsidRPr="00EC20A0">
        <w:rPr>
          <w:spacing w:val="-7"/>
        </w:rPr>
        <w:t xml:space="preserve"> </w:t>
      </w:r>
      <w:r w:rsidRPr="00EC20A0">
        <w:t>the</w:t>
      </w:r>
      <w:r w:rsidRPr="00EC20A0">
        <w:rPr>
          <w:spacing w:val="-6"/>
        </w:rPr>
        <w:t xml:space="preserve"> </w:t>
      </w:r>
      <w:r w:rsidRPr="00EC20A0">
        <w:t>audited</w:t>
      </w:r>
      <w:r w:rsidRPr="00EC20A0">
        <w:rPr>
          <w:spacing w:val="-6"/>
        </w:rPr>
        <w:t xml:space="preserve"> </w:t>
      </w:r>
      <w:r w:rsidRPr="00EC20A0">
        <w:rPr>
          <w:spacing w:val="-2"/>
        </w:rPr>
        <w:t>entity,</w:t>
      </w:r>
    </w:p>
    <w:p w14:paraId="24D5FE76" w14:textId="77777777" w:rsidR="00245300" w:rsidRPr="00EC20A0" w:rsidRDefault="00F17249">
      <w:pPr>
        <w:pStyle w:val="ListParagraph"/>
        <w:numPr>
          <w:ilvl w:val="1"/>
          <w:numId w:val="21"/>
        </w:numPr>
        <w:tabs>
          <w:tab w:val="left" w:pos="2219"/>
        </w:tabs>
        <w:spacing w:before="237"/>
        <w:ind w:left="2219" w:hanging="359"/>
      </w:pPr>
      <w:r w:rsidRPr="00EC20A0">
        <w:t>will</w:t>
      </w:r>
      <w:r w:rsidRPr="00EC20A0">
        <w:rPr>
          <w:spacing w:val="-8"/>
        </w:rPr>
        <w:t xml:space="preserve"> </w:t>
      </w:r>
      <w:r w:rsidRPr="00EC20A0">
        <w:t>remain</w:t>
      </w:r>
      <w:r w:rsidRPr="00EC20A0">
        <w:rPr>
          <w:spacing w:val="-8"/>
        </w:rPr>
        <w:t xml:space="preserve"> </w:t>
      </w:r>
      <w:r w:rsidRPr="00EC20A0">
        <w:t>independent</w:t>
      </w:r>
      <w:r w:rsidRPr="00EC20A0">
        <w:rPr>
          <w:spacing w:val="-9"/>
        </w:rPr>
        <w:t xml:space="preserve"> </w:t>
      </w:r>
      <w:r w:rsidRPr="00EC20A0">
        <w:t>throughout</w:t>
      </w:r>
      <w:r w:rsidRPr="00EC20A0">
        <w:rPr>
          <w:spacing w:val="-8"/>
        </w:rPr>
        <w:t xml:space="preserve"> </w:t>
      </w:r>
      <w:r w:rsidRPr="00EC20A0">
        <w:t>the</w:t>
      </w:r>
      <w:r w:rsidRPr="00EC20A0">
        <w:rPr>
          <w:spacing w:val="-8"/>
        </w:rPr>
        <w:t xml:space="preserve"> </w:t>
      </w:r>
      <w:r w:rsidRPr="00EC20A0">
        <w:rPr>
          <w:spacing w:val="-2"/>
        </w:rPr>
        <w:t>audit,</w:t>
      </w:r>
    </w:p>
    <w:p w14:paraId="24D5FE77" w14:textId="77777777" w:rsidR="00245300" w:rsidRPr="00EC20A0" w:rsidRDefault="00F17249">
      <w:pPr>
        <w:pStyle w:val="ListParagraph"/>
        <w:numPr>
          <w:ilvl w:val="1"/>
          <w:numId w:val="21"/>
        </w:numPr>
        <w:tabs>
          <w:tab w:val="left" w:pos="2219"/>
        </w:tabs>
        <w:spacing w:before="238"/>
        <w:ind w:left="2219" w:hanging="359"/>
      </w:pPr>
      <w:r w:rsidRPr="00EC20A0">
        <w:t>will</w:t>
      </w:r>
      <w:r w:rsidRPr="00EC20A0">
        <w:rPr>
          <w:spacing w:val="-9"/>
        </w:rPr>
        <w:t xml:space="preserve"> </w:t>
      </w:r>
      <w:r w:rsidRPr="00EC20A0">
        <w:t>disclose</w:t>
      </w:r>
      <w:r w:rsidRPr="00EC20A0">
        <w:rPr>
          <w:spacing w:val="-10"/>
        </w:rPr>
        <w:t xml:space="preserve"> </w:t>
      </w:r>
      <w:r w:rsidRPr="00EC20A0">
        <w:t>any</w:t>
      </w:r>
      <w:r w:rsidRPr="00EC20A0">
        <w:rPr>
          <w:spacing w:val="-8"/>
        </w:rPr>
        <w:t xml:space="preserve"> </w:t>
      </w:r>
      <w:r w:rsidRPr="00EC20A0">
        <w:t>independence</w:t>
      </w:r>
      <w:r w:rsidRPr="00EC20A0">
        <w:rPr>
          <w:spacing w:val="-9"/>
        </w:rPr>
        <w:t xml:space="preserve"> </w:t>
      </w:r>
      <w:r w:rsidRPr="00EC20A0">
        <w:t>issues</w:t>
      </w:r>
      <w:r w:rsidRPr="00EC20A0">
        <w:rPr>
          <w:spacing w:val="-9"/>
        </w:rPr>
        <w:t xml:space="preserve"> </w:t>
      </w:r>
      <w:r w:rsidRPr="00EC20A0">
        <w:t>discovered,</w:t>
      </w:r>
      <w:r w:rsidRPr="00EC20A0">
        <w:rPr>
          <w:spacing w:val="-8"/>
        </w:rPr>
        <w:t xml:space="preserve"> </w:t>
      </w:r>
      <w:r w:rsidRPr="00EC20A0">
        <w:rPr>
          <w:spacing w:val="-5"/>
        </w:rPr>
        <w:t>and</w:t>
      </w:r>
    </w:p>
    <w:p w14:paraId="24D5FE78" w14:textId="77777777" w:rsidR="00245300" w:rsidRPr="00EC20A0" w:rsidRDefault="00F17249">
      <w:pPr>
        <w:pStyle w:val="ListParagraph"/>
        <w:numPr>
          <w:ilvl w:val="1"/>
          <w:numId w:val="21"/>
        </w:numPr>
        <w:tabs>
          <w:tab w:val="left" w:pos="2220"/>
        </w:tabs>
        <w:spacing w:before="238"/>
        <w:ind w:right="744"/>
      </w:pPr>
      <w:r w:rsidRPr="00EC20A0">
        <w:t>will immediately notify the appropriate official(s) (such as the contracting officer’s representative (COR)) when considering submitting a proposal on any</w:t>
      </w:r>
      <w:r w:rsidRPr="00EC20A0">
        <w:rPr>
          <w:spacing w:val="-4"/>
        </w:rPr>
        <w:t xml:space="preserve"> </w:t>
      </w:r>
      <w:r w:rsidRPr="00EC20A0">
        <w:t>contracts</w:t>
      </w:r>
      <w:r w:rsidRPr="00EC20A0">
        <w:rPr>
          <w:spacing w:val="-4"/>
        </w:rPr>
        <w:t xml:space="preserve"> </w:t>
      </w:r>
      <w:r w:rsidRPr="00EC20A0">
        <w:t>involving</w:t>
      </w:r>
      <w:r w:rsidRPr="00EC20A0">
        <w:rPr>
          <w:spacing w:val="-4"/>
        </w:rPr>
        <w:t xml:space="preserve"> </w:t>
      </w:r>
      <w:r w:rsidRPr="00EC20A0">
        <w:t>the</w:t>
      </w:r>
      <w:r w:rsidRPr="00EC20A0">
        <w:rPr>
          <w:spacing w:val="-4"/>
        </w:rPr>
        <w:t xml:space="preserve"> </w:t>
      </w:r>
      <w:r w:rsidRPr="00EC20A0">
        <w:t>audited</w:t>
      </w:r>
      <w:r w:rsidRPr="00EC20A0">
        <w:rPr>
          <w:spacing w:val="-4"/>
        </w:rPr>
        <w:t xml:space="preserve"> </w:t>
      </w:r>
      <w:r w:rsidRPr="00EC20A0">
        <w:t>entity</w:t>
      </w:r>
      <w:r w:rsidRPr="00EC20A0">
        <w:rPr>
          <w:spacing w:val="-4"/>
        </w:rPr>
        <w:t xml:space="preserve"> </w:t>
      </w:r>
      <w:r w:rsidRPr="00EC20A0">
        <w:t>to</w:t>
      </w:r>
      <w:r w:rsidRPr="00EC20A0">
        <w:rPr>
          <w:spacing w:val="-4"/>
        </w:rPr>
        <w:t xml:space="preserve"> </w:t>
      </w:r>
      <w:r w:rsidRPr="00EC20A0">
        <w:t>permit</w:t>
      </w:r>
      <w:r w:rsidRPr="00EC20A0">
        <w:rPr>
          <w:spacing w:val="-4"/>
        </w:rPr>
        <w:t xml:space="preserve"> </w:t>
      </w:r>
      <w:r w:rsidRPr="00EC20A0">
        <w:t>evaluation</w:t>
      </w:r>
      <w:r w:rsidRPr="00EC20A0">
        <w:rPr>
          <w:spacing w:val="-5"/>
        </w:rPr>
        <w:t xml:space="preserve"> </w:t>
      </w:r>
      <w:r w:rsidRPr="00EC20A0">
        <w:t>of</w:t>
      </w:r>
      <w:r w:rsidRPr="00EC20A0">
        <w:rPr>
          <w:spacing w:val="-4"/>
        </w:rPr>
        <w:t xml:space="preserve"> </w:t>
      </w:r>
      <w:r w:rsidRPr="00EC20A0">
        <w:t>whether</w:t>
      </w:r>
      <w:r w:rsidRPr="00EC20A0">
        <w:rPr>
          <w:spacing w:val="-4"/>
        </w:rPr>
        <w:t xml:space="preserve"> </w:t>
      </w:r>
      <w:r w:rsidRPr="00EC20A0">
        <w:t>its auditors’ independence could be impaired.</w:t>
      </w:r>
    </w:p>
    <w:p w14:paraId="24D5FE79" w14:textId="77777777" w:rsidR="00245300" w:rsidRPr="00EC20A0" w:rsidRDefault="00F17249">
      <w:pPr>
        <w:pStyle w:val="BodyText"/>
        <w:spacing w:before="240"/>
        <w:ind w:left="1859" w:right="562"/>
      </w:pPr>
      <w:r w:rsidRPr="00EC20A0">
        <w:t>Firms</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asked</w:t>
      </w:r>
      <w:r w:rsidRPr="00EC20A0">
        <w:rPr>
          <w:spacing w:val="-4"/>
        </w:rPr>
        <w:t xml:space="preserve"> </w:t>
      </w:r>
      <w:r w:rsidRPr="00EC20A0">
        <w:t>to</w:t>
      </w:r>
      <w:r w:rsidRPr="00EC20A0">
        <w:rPr>
          <w:spacing w:val="-4"/>
        </w:rPr>
        <w:t xml:space="preserve"> </w:t>
      </w:r>
      <w:r w:rsidRPr="00EC20A0">
        <w:t>describe</w:t>
      </w:r>
      <w:r w:rsidRPr="00EC20A0">
        <w:rPr>
          <w:spacing w:val="-4"/>
        </w:rPr>
        <w:t xml:space="preserve"> </w:t>
      </w:r>
      <w:r w:rsidRPr="00EC20A0">
        <w:t>in</w:t>
      </w:r>
      <w:r w:rsidRPr="00EC20A0">
        <w:rPr>
          <w:spacing w:val="-4"/>
        </w:rPr>
        <w:t xml:space="preserve"> </w:t>
      </w:r>
      <w:r w:rsidRPr="00EC20A0">
        <w:t>their</w:t>
      </w:r>
      <w:r w:rsidRPr="00EC20A0">
        <w:rPr>
          <w:spacing w:val="-4"/>
        </w:rPr>
        <w:t xml:space="preserve"> </w:t>
      </w:r>
      <w:r w:rsidRPr="00EC20A0">
        <w:t>proposals</w:t>
      </w:r>
      <w:r w:rsidRPr="00EC20A0">
        <w:rPr>
          <w:spacing w:val="-4"/>
        </w:rPr>
        <w:t xml:space="preserve"> </w:t>
      </w:r>
      <w:r w:rsidRPr="00EC20A0">
        <w:t>all</w:t>
      </w:r>
      <w:r w:rsidRPr="00EC20A0">
        <w:rPr>
          <w:spacing w:val="-4"/>
        </w:rPr>
        <w:t xml:space="preserve"> </w:t>
      </w:r>
      <w:r w:rsidRPr="00EC20A0">
        <w:t>work,</w:t>
      </w:r>
      <w:r w:rsidRPr="00EC20A0">
        <w:rPr>
          <w:spacing w:val="-4"/>
        </w:rPr>
        <w:t xml:space="preserve"> </w:t>
      </w:r>
      <w:r w:rsidRPr="00EC20A0">
        <w:t>including</w:t>
      </w:r>
      <w:r w:rsidRPr="00EC20A0">
        <w:rPr>
          <w:spacing w:val="-4"/>
        </w:rPr>
        <w:t xml:space="preserve"> </w:t>
      </w:r>
      <w:r w:rsidRPr="00EC20A0">
        <w:t>nonaudit services, they have done for the audited entity in the last several years. See GAGAS (2018) 3.64 through 3.106.</w:t>
      </w:r>
    </w:p>
    <w:p w14:paraId="24D5FE7A" w14:textId="77777777" w:rsidR="00245300" w:rsidRPr="00EC20A0" w:rsidRDefault="00F17249">
      <w:pPr>
        <w:pStyle w:val="BodyText"/>
        <w:spacing w:before="239"/>
        <w:ind w:left="1859" w:right="562"/>
      </w:pPr>
      <w:r w:rsidRPr="00EC20A0">
        <w:t>The auditor may wish to include in the statement of work (SOW) or request for proposal</w:t>
      </w:r>
      <w:r w:rsidRPr="00EC20A0">
        <w:rPr>
          <w:spacing w:val="-4"/>
        </w:rPr>
        <w:t xml:space="preserve"> </w:t>
      </w:r>
      <w:r w:rsidRPr="00EC20A0">
        <w:t>(RFP)</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government</w:t>
      </w:r>
      <w:r w:rsidRPr="00EC20A0">
        <w:rPr>
          <w:spacing w:val="-4"/>
        </w:rPr>
        <w:t xml:space="preserve"> </w:t>
      </w:r>
      <w:r w:rsidRPr="00EC20A0">
        <w:t>will</w:t>
      </w:r>
      <w:r w:rsidRPr="00EC20A0">
        <w:rPr>
          <w:spacing w:val="-4"/>
        </w:rPr>
        <w:t xml:space="preserve"> </w:t>
      </w:r>
      <w:r w:rsidRPr="00EC20A0">
        <w:t>determine</w:t>
      </w:r>
      <w:r w:rsidRPr="00EC20A0">
        <w:rPr>
          <w:spacing w:val="-4"/>
        </w:rPr>
        <w:t xml:space="preserve"> </w:t>
      </w:r>
      <w:r w:rsidRPr="00EC20A0">
        <w:t>whether</w:t>
      </w:r>
      <w:r w:rsidRPr="00EC20A0">
        <w:rPr>
          <w:spacing w:val="-4"/>
        </w:rPr>
        <w:t xml:space="preserve"> </w:t>
      </w:r>
      <w:r w:rsidRPr="00EC20A0">
        <w:t>a</w:t>
      </w:r>
      <w:r w:rsidRPr="00EC20A0">
        <w:rPr>
          <w:spacing w:val="-4"/>
        </w:rPr>
        <w:t xml:space="preserve"> </w:t>
      </w:r>
      <w:r w:rsidRPr="00EC20A0">
        <w:t>firm</w:t>
      </w:r>
      <w:r w:rsidRPr="00EC20A0">
        <w:rPr>
          <w:spacing w:val="-5"/>
        </w:rPr>
        <w:t xml:space="preserve"> </w:t>
      </w:r>
      <w:r w:rsidRPr="00EC20A0">
        <w:t>is</w:t>
      </w:r>
      <w:r w:rsidRPr="00EC20A0">
        <w:rPr>
          <w:spacing w:val="-4"/>
        </w:rPr>
        <w:t xml:space="preserve"> </w:t>
      </w:r>
      <w:r w:rsidRPr="00EC20A0">
        <w:t>independent for the purpose of performing an audit of financial statements of the entity. This</w:t>
      </w:r>
    </w:p>
    <w:p w14:paraId="24D5FE7B" w14:textId="77777777" w:rsidR="00245300" w:rsidRPr="00EC20A0" w:rsidRDefault="00F17249">
      <w:pPr>
        <w:pStyle w:val="BodyText"/>
        <w:spacing w:before="70"/>
        <w:rPr>
          <w:sz w:val="20"/>
        </w:rPr>
      </w:pPr>
      <w:r w:rsidRPr="00EC20A0">
        <w:rPr>
          <w:noProof/>
        </w:rPr>
        <mc:AlternateContent>
          <mc:Choice Requires="wps">
            <w:drawing>
              <wp:anchor distT="0" distB="0" distL="0" distR="0" simplePos="0" relativeHeight="487593984" behindDoc="1" locked="0" layoutInCell="1" allowOverlap="1" wp14:anchorId="24D62ACD" wp14:editId="24D62ACE">
                <wp:simplePos x="0" y="0"/>
                <wp:positionH relativeFrom="page">
                  <wp:posOffset>914400</wp:posOffset>
                </wp:positionH>
                <wp:positionV relativeFrom="paragraph">
                  <wp:posOffset>205808</wp:posOffset>
                </wp:positionV>
                <wp:extent cx="1828800" cy="571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196B0" id="Graphic 80" o:spid="_x0000_s1026" style="position:absolute;margin-left:1in;margin-top:16.2pt;width:2in;height:.4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" path="m1828800,l,,,5321r1828800,l1828800,xe" fillcolor="black" stroked="f">
                <v:path arrowok="t"/>
                <w10:wrap type="topAndBottom" anchorx="page"/>
              </v:shape>
            </w:pict>
          </mc:Fallback>
        </mc:AlternateContent>
      </w:r>
    </w:p>
    <w:p w14:paraId="24D5FE7C" w14:textId="77777777" w:rsidR="00245300" w:rsidRPr="00EC20A0" w:rsidRDefault="00F17249">
      <w:pPr>
        <w:spacing w:before="202" w:line="249" w:lineRule="auto"/>
        <w:ind w:left="419" w:right="656"/>
        <w:rPr>
          <w:sz w:val="18"/>
        </w:rPr>
      </w:pPr>
      <w:bookmarkStart w:id="10" w:name="_bookmark3"/>
      <w:bookmarkEnd w:id="10"/>
      <w:r w:rsidRPr="00EC20A0">
        <w:rPr>
          <w:position w:val="7"/>
          <w:sz w:val="14"/>
        </w:rPr>
        <w:t>1</w:t>
      </w:r>
      <w:r w:rsidRPr="00EC20A0">
        <w:rPr>
          <w:sz w:val="18"/>
        </w:rPr>
        <w:t>See</w:t>
      </w:r>
      <w:r w:rsidRPr="00EC20A0">
        <w:rPr>
          <w:spacing w:val="-4"/>
          <w:sz w:val="18"/>
        </w:rPr>
        <w:t xml:space="preserve"> </w:t>
      </w:r>
      <w:r w:rsidRPr="00EC20A0">
        <w:rPr>
          <w:sz w:val="18"/>
        </w:rPr>
        <w:t>GAGAS</w:t>
      </w:r>
      <w:r w:rsidRPr="00EC20A0">
        <w:rPr>
          <w:spacing w:val="-3"/>
          <w:sz w:val="18"/>
        </w:rPr>
        <w:t xml:space="preserve"> </w:t>
      </w:r>
      <w:r w:rsidRPr="00EC20A0">
        <w:rPr>
          <w:sz w:val="18"/>
        </w:rPr>
        <w:t>(2018)</w:t>
      </w:r>
      <w:r w:rsidRPr="00EC20A0">
        <w:rPr>
          <w:spacing w:val="-3"/>
          <w:sz w:val="18"/>
        </w:rPr>
        <w:t xml:space="preserve"> </w:t>
      </w:r>
      <w:r w:rsidRPr="00EC20A0">
        <w:rPr>
          <w:sz w:val="18"/>
        </w:rPr>
        <w:t>3.17</w:t>
      </w:r>
      <w:r w:rsidRPr="00EC20A0">
        <w:rPr>
          <w:spacing w:val="-4"/>
          <w:sz w:val="18"/>
        </w:rPr>
        <w:t xml:space="preserve"> </w:t>
      </w:r>
      <w:r w:rsidRPr="00EC20A0">
        <w:rPr>
          <w:sz w:val="18"/>
        </w:rPr>
        <w:t>through</w:t>
      </w:r>
      <w:r w:rsidRPr="00EC20A0">
        <w:rPr>
          <w:spacing w:val="-3"/>
          <w:sz w:val="18"/>
        </w:rPr>
        <w:t xml:space="preserve"> </w:t>
      </w:r>
      <w:r w:rsidRPr="00EC20A0">
        <w:rPr>
          <w:sz w:val="18"/>
        </w:rPr>
        <w:t>3.63</w:t>
      </w:r>
      <w:r w:rsidRPr="00EC20A0">
        <w:rPr>
          <w:spacing w:val="-4"/>
          <w:sz w:val="18"/>
        </w:rPr>
        <w:t xml:space="preserve"> </w:t>
      </w:r>
      <w:r w:rsidRPr="00EC20A0">
        <w:rPr>
          <w:sz w:val="18"/>
        </w:rPr>
        <w:t>for</w:t>
      </w:r>
      <w:r w:rsidRPr="00EC20A0">
        <w:rPr>
          <w:spacing w:val="-3"/>
          <w:sz w:val="18"/>
        </w:rPr>
        <w:t xml:space="preserve"> </w:t>
      </w:r>
      <w:r w:rsidRPr="00EC20A0">
        <w:rPr>
          <w:sz w:val="18"/>
        </w:rPr>
        <w:t>additional</w:t>
      </w:r>
      <w:r w:rsidRPr="00EC20A0">
        <w:rPr>
          <w:spacing w:val="-3"/>
          <w:sz w:val="18"/>
        </w:rPr>
        <w:t xml:space="preserve"> </w:t>
      </w:r>
      <w:r w:rsidRPr="00EC20A0">
        <w:rPr>
          <w:sz w:val="18"/>
        </w:rPr>
        <w:t>discussion</w:t>
      </w:r>
      <w:r w:rsidRPr="00EC20A0">
        <w:rPr>
          <w:spacing w:val="-4"/>
          <w:sz w:val="18"/>
        </w:rPr>
        <w:t xml:space="preserve"> </w:t>
      </w:r>
      <w:r w:rsidRPr="00EC20A0">
        <w:rPr>
          <w:sz w:val="18"/>
        </w:rPr>
        <w:t>related</w:t>
      </w:r>
      <w:r w:rsidRPr="00EC20A0">
        <w:rPr>
          <w:spacing w:val="-4"/>
          <w:sz w:val="18"/>
        </w:rPr>
        <w:t xml:space="preserve"> </w:t>
      </w:r>
      <w:r w:rsidRPr="00EC20A0">
        <w:rPr>
          <w:sz w:val="18"/>
        </w:rPr>
        <w:t>to</w:t>
      </w:r>
      <w:r w:rsidRPr="00EC20A0">
        <w:rPr>
          <w:spacing w:val="-4"/>
          <w:sz w:val="18"/>
        </w:rPr>
        <w:t xml:space="preserve"> </w:t>
      </w:r>
      <w:r w:rsidRPr="00EC20A0">
        <w:rPr>
          <w:sz w:val="18"/>
        </w:rPr>
        <w:t>independence</w:t>
      </w:r>
      <w:r w:rsidRPr="00EC20A0">
        <w:rPr>
          <w:spacing w:val="-4"/>
          <w:sz w:val="18"/>
        </w:rPr>
        <w:t xml:space="preserve"> </w:t>
      </w:r>
      <w:r w:rsidRPr="00EC20A0">
        <w:rPr>
          <w:sz w:val="18"/>
        </w:rPr>
        <w:t>and</w:t>
      </w:r>
      <w:r w:rsidRPr="00EC20A0">
        <w:rPr>
          <w:spacing w:val="-4"/>
          <w:sz w:val="18"/>
        </w:rPr>
        <w:t xml:space="preserve"> </w:t>
      </w:r>
      <w:r w:rsidRPr="00EC20A0">
        <w:rPr>
          <w:sz w:val="18"/>
        </w:rPr>
        <w:t>applying</w:t>
      </w:r>
      <w:r w:rsidRPr="00EC20A0">
        <w:rPr>
          <w:spacing w:val="-4"/>
          <w:sz w:val="18"/>
        </w:rPr>
        <w:t xml:space="preserve"> </w:t>
      </w:r>
      <w:r w:rsidRPr="00EC20A0">
        <w:rPr>
          <w:sz w:val="18"/>
        </w:rPr>
        <w:t>the conceptual framework approach to independence.</w:t>
      </w:r>
    </w:p>
    <w:p w14:paraId="24D5FE7D" w14:textId="77777777" w:rsidR="00245300" w:rsidRPr="00EC20A0" w:rsidRDefault="00245300">
      <w:pPr>
        <w:spacing w:line="249" w:lineRule="auto"/>
        <w:rPr>
          <w:sz w:val="18"/>
        </w:rPr>
        <w:sectPr w:rsidR="00245300" w:rsidRPr="00EC20A0">
          <w:headerReference w:type="default" r:id="rId21"/>
          <w:footerReference w:type="default" r:id="rId22"/>
          <w:pgSz w:w="12240" w:h="15840"/>
          <w:pgMar w:top="1340" w:right="940" w:bottom="940" w:left="1020" w:header="721" w:footer="757" w:gutter="0"/>
          <w:pgNumType w:start="2"/>
          <w:cols w:space="720"/>
        </w:sectPr>
      </w:pPr>
    </w:p>
    <w:p w14:paraId="24D5FE7E" w14:textId="77777777" w:rsidR="00245300" w:rsidRPr="00EC20A0" w:rsidRDefault="00F17249">
      <w:pPr>
        <w:pStyle w:val="BodyText"/>
        <w:spacing w:before="121"/>
        <w:ind w:left="1859" w:right="527"/>
      </w:pPr>
      <w:r w:rsidRPr="00EC20A0">
        <w:t>avoids a potential dispute where, for example, the firm</w:t>
      </w:r>
      <w:r w:rsidRPr="00EC20A0">
        <w:rPr>
          <w:spacing w:val="-1"/>
        </w:rPr>
        <w:t xml:space="preserve"> </w:t>
      </w:r>
      <w:r w:rsidRPr="00EC20A0">
        <w:t>does substantial</w:t>
      </w:r>
      <w:r w:rsidRPr="00EC20A0">
        <w:rPr>
          <w:spacing w:val="-1"/>
        </w:rPr>
        <w:t xml:space="preserve"> </w:t>
      </w:r>
      <w:r w:rsidRPr="00EC20A0">
        <w:t>nonaudit work</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to</w:t>
      </w:r>
      <w:r w:rsidRPr="00EC20A0">
        <w:rPr>
          <w:spacing w:val="-3"/>
        </w:rPr>
        <w:t xml:space="preserve"> </w:t>
      </w:r>
      <w:r w:rsidRPr="00EC20A0">
        <w:t>be</w:t>
      </w:r>
      <w:r w:rsidRPr="00EC20A0">
        <w:rPr>
          <w:spacing w:val="-4"/>
        </w:rPr>
        <w:t xml:space="preserve"> </w:t>
      </w:r>
      <w:r w:rsidRPr="00EC20A0">
        <w:t>audited</w:t>
      </w:r>
      <w:r w:rsidRPr="00EC20A0">
        <w:rPr>
          <w:spacing w:val="-3"/>
        </w:rPr>
        <w:t xml:space="preserve"> </w:t>
      </w:r>
      <w:r w:rsidRPr="00EC20A0">
        <w:t>that</w:t>
      </w:r>
      <w:r w:rsidRPr="00EC20A0">
        <w:rPr>
          <w:spacing w:val="-4"/>
        </w:rPr>
        <w:t xml:space="preserve"> </w:t>
      </w:r>
      <w:r w:rsidRPr="00EC20A0">
        <w:t>the</w:t>
      </w:r>
      <w:r w:rsidRPr="00EC20A0">
        <w:rPr>
          <w:spacing w:val="-3"/>
        </w:rPr>
        <w:t xml:space="preserve"> </w:t>
      </w:r>
      <w:r w:rsidRPr="00EC20A0">
        <w:t>auditor</w:t>
      </w:r>
      <w:r w:rsidRPr="00EC20A0">
        <w:rPr>
          <w:spacing w:val="-3"/>
        </w:rPr>
        <w:t xml:space="preserve"> </w:t>
      </w:r>
      <w:r w:rsidRPr="00EC20A0">
        <w:t>views</w:t>
      </w:r>
      <w:r w:rsidRPr="00EC20A0">
        <w:rPr>
          <w:spacing w:val="-3"/>
        </w:rPr>
        <w:t xml:space="preserve"> </w:t>
      </w:r>
      <w:r w:rsidRPr="00EC20A0">
        <w:t>as</w:t>
      </w:r>
      <w:r w:rsidRPr="00EC20A0">
        <w:rPr>
          <w:spacing w:val="-2"/>
        </w:rPr>
        <w:t xml:space="preserve"> </w:t>
      </w:r>
      <w:r w:rsidRPr="00EC20A0">
        <w:t>a</w:t>
      </w:r>
      <w:r w:rsidRPr="00EC20A0">
        <w:rPr>
          <w:spacing w:val="-3"/>
        </w:rPr>
        <w:t xml:space="preserve"> </w:t>
      </w:r>
      <w:r w:rsidRPr="00EC20A0">
        <w:t>conflict.</w:t>
      </w:r>
      <w:r w:rsidRPr="00EC20A0">
        <w:rPr>
          <w:spacing w:val="-3"/>
        </w:rPr>
        <w:t xml:space="preserve"> </w:t>
      </w:r>
      <w:r w:rsidRPr="00EC20A0">
        <w:t>The</w:t>
      </w:r>
      <w:r w:rsidRPr="00EC20A0">
        <w:rPr>
          <w:spacing w:val="-3"/>
        </w:rPr>
        <w:t xml:space="preserve"> </w:t>
      </w:r>
      <w:r w:rsidRPr="00EC20A0">
        <w:t>technical evaluation panel may evaluate whether the nature and extent of nonaudit services or other factors cause an independence or objectivity issue, either in independence of mind or independence in appearance.</w:t>
      </w:r>
    </w:p>
    <w:p w14:paraId="24D5FE7F" w14:textId="77777777" w:rsidR="00245300" w:rsidRPr="00EC20A0" w:rsidRDefault="00F17249">
      <w:pPr>
        <w:pStyle w:val="ListParagraph"/>
        <w:numPr>
          <w:ilvl w:val="0"/>
          <w:numId w:val="21"/>
        </w:numPr>
        <w:tabs>
          <w:tab w:val="left" w:pos="1859"/>
        </w:tabs>
        <w:ind w:left="1859" w:right="1043" w:hanging="720"/>
      </w:pPr>
      <w:r w:rsidRPr="00EC20A0">
        <w:t>When</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does</w:t>
      </w:r>
      <w:r w:rsidRPr="00EC20A0">
        <w:rPr>
          <w:spacing w:val="-4"/>
        </w:rPr>
        <w:t xml:space="preserve"> </w:t>
      </w:r>
      <w:r w:rsidRPr="00EC20A0">
        <w:t>not</w:t>
      </w:r>
      <w:r w:rsidRPr="00EC20A0">
        <w:rPr>
          <w:spacing w:val="-3"/>
        </w:rPr>
        <w:t xml:space="preserve"> </w:t>
      </w:r>
      <w:r w:rsidRPr="00EC20A0">
        <w:t>participate</w:t>
      </w:r>
      <w:r w:rsidRPr="00EC20A0">
        <w:rPr>
          <w:spacing w:val="-3"/>
        </w:rPr>
        <w:t xml:space="preserve"> </w:t>
      </w:r>
      <w:r w:rsidRPr="00EC20A0">
        <w:t>in</w:t>
      </w:r>
      <w:r w:rsidRPr="00EC20A0">
        <w:rPr>
          <w:spacing w:val="-3"/>
        </w:rPr>
        <w:t xml:space="preserve"> </w:t>
      </w:r>
      <w:r w:rsidRPr="00EC20A0">
        <w:t>contracting</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other</w:t>
      </w:r>
      <w:r w:rsidRPr="00EC20A0">
        <w:rPr>
          <w:spacing w:val="-3"/>
        </w:rPr>
        <w:t xml:space="preserve"> </w:t>
      </w:r>
      <w:r w:rsidRPr="00EC20A0">
        <w:t>auditors</w:t>
      </w:r>
      <w:r w:rsidRPr="00EC20A0">
        <w:rPr>
          <w:spacing w:val="-4"/>
        </w:rPr>
        <w:t xml:space="preserve"> </w:t>
      </w:r>
      <w:r w:rsidRPr="00EC20A0">
        <w:t>or specialists,</w:t>
      </w:r>
      <w:r w:rsidRPr="00EC20A0">
        <w:rPr>
          <w:spacing w:val="-4"/>
        </w:rPr>
        <w:t xml:space="preserve"> </w:t>
      </w:r>
      <w:r w:rsidRPr="00EC20A0">
        <w:t>the</w:t>
      </w:r>
      <w:r w:rsidRPr="00EC20A0">
        <w:rPr>
          <w:spacing w:val="-3"/>
        </w:rPr>
        <w:t xml:space="preserve"> </w:t>
      </w:r>
      <w:r w:rsidRPr="00EC20A0">
        <w:t>auditor</w:t>
      </w:r>
      <w:r w:rsidRPr="00EC20A0">
        <w:rPr>
          <w:spacing w:val="-3"/>
        </w:rPr>
        <w:t xml:space="preserve"> </w:t>
      </w:r>
      <w:r w:rsidRPr="00EC20A0">
        <w:t>may</w:t>
      </w:r>
      <w:r w:rsidRPr="00EC20A0">
        <w:rPr>
          <w:spacing w:val="-3"/>
        </w:rPr>
        <w:t xml:space="preserve"> </w:t>
      </w:r>
      <w:r w:rsidRPr="00EC20A0">
        <w:t>obtain</w:t>
      </w:r>
      <w:r w:rsidRPr="00EC20A0">
        <w:rPr>
          <w:spacing w:val="-3"/>
        </w:rPr>
        <w:t xml:space="preserve"> </w:t>
      </w:r>
      <w:r w:rsidRPr="00EC20A0">
        <w:t>an</w:t>
      </w:r>
      <w:r w:rsidRPr="00EC20A0">
        <w:rPr>
          <w:spacing w:val="-4"/>
        </w:rPr>
        <w:t xml:space="preserve"> </w:t>
      </w:r>
      <w:r w:rsidRPr="00EC20A0">
        <w:t>overview</w:t>
      </w:r>
      <w:r w:rsidRPr="00EC20A0">
        <w:rPr>
          <w:spacing w:val="-4"/>
        </w:rPr>
        <w:t xml:space="preserve"> </w:t>
      </w:r>
      <w:r w:rsidRPr="00EC20A0">
        <w:t>of</w:t>
      </w:r>
      <w:r w:rsidRPr="00EC20A0">
        <w:rPr>
          <w:spacing w:val="-4"/>
        </w:rPr>
        <w:t xml:space="preserve"> </w:t>
      </w:r>
      <w:r w:rsidRPr="00EC20A0">
        <w:t>the</w:t>
      </w:r>
      <w:r w:rsidRPr="00EC20A0">
        <w:rPr>
          <w:spacing w:val="-3"/>
        </w:rPr>
        <w:t xml:space="preserve"> </w:t>
      </w:r>
      <w:r w:rsidRPr="00EC20A0">
        <w:t>contracting</w:t>
      </w:r>
      <w:r w:rsidRPr="00EC20A0">
        <w:rPr>
          <w:spacing w:val="-3"/>
        </w:rPr>
        <w:t xml:space="preserve"> </w:t>
      </w:r>
      <w:r w:rsidRPr="00EC20A0">
        <w:t>process</w:t>
      </w:r>
      <w:r w:rsidRPr="00EC20A0">
        <w:rPr>
          <w:spacing w:val="-4"/>
        </w:rPr>
        <w:t xml:space="preserve"> </w:t>
      </w:r>
      <w:r w:rsidRPr="00EC20A0">
        <w:t xml:space="preserve">to provide background in evaluating the objectivity of the other auditors or </w:t>
      </w:r>
      <w:r w:rsidRPr="00EC20A0">
        <w:t>specialists, including</w:t>
      </w:r>
    </w:p>
    <w:p w14:paraId="24D5FE80" w14:textId="77777777" w:rsidR="00245300" w:rsidRPr="00EC20A0" w:rsidRDefault="00F17249">
      <w:pPr>
        <w:pStyle w:val="ListParagraph"/>
        <w:numPr>
          <w:ilvl w:val="1"/>
          <w:numId w:val="21"/>
        </w:numPr>
        <w:tabs>
          <w:tab w:val="left" w:pos="2219"/>
        </w:tabs>
        <w:spacing w:before="239"/>
        <w:ind w:left="2219"/>
      </w:pPr>
      <w:r w:rsidRPr="00EC20A0">
        <w:t>reading</w:t>
      </w:r>
      <w:r w:rsidRPr="00EC20A0">
        <w:rPr>
          <w:spacing w:val="-5"/>
        </w:rPr>
        <w:t xml:space="preserve"> </w:t>
      </w:r>
      <w:r w:rsidRPr="00EC20A0">
        <w:t>the</w:t>
      </w:r>
      <w:r w:rsidRPr="00EC20A0">
        <w:rPr>
          <w:spacing w:val="-6"/>
        </w:rPr>
        <w:t xml:space="preserve"> </w:t>
      </w:r>
      <w:r w:rsidRPr="00EC20A0">
        <w:t>SOW</w:t>
      </w:r>
      <w:r w:rsidRPr="00EC20A0">
        <w:rPr>
          <w:spacing w:val="-5"/>
        </w:rPr>
        <w:t xml:space="preserve"> </w:t>
      </w:r>
      <w:r w:rsidRPr="00EC20A0">
        <w:t>or</w:t>
      </w:r>
      <w:r w:rsidRPr="00EC20A0">
        <w:rPr>
          <w:spacing w:val="-5"/>
        </w:rPr>
        <w:t xml:space="preserve"> </w:t>
      </w:r>
      <w:r w:rsidRPr="00EC20A0">
        <w:rPr>
          <w:spacing w:val="-4"/>
        </w:rPr>
        <w:t>RFP,</w:t>
      </w:r>
    </w:p>
    <w:p w14:paraId="24D5FE81" w14:textId="77777777" w:rsidR="00245300" w:rsidRPr="00EC20A0" w:rsidRDefault="00F17249">
      <w:pPr>
        <w:pStyle w:val="ListParagraph"/>
        <w:numPr>
          <w:ilvl w:val="1"/>
          <w:numId w:val="21"/>
        </w:numPr>
        <w:tabs>
          <w:tab w:val="left" w:pos="2219"/>
        </w:tabs>
        <w:spacing w:before="238"/>
        <w:ind w:left="2219"/>
      </w:pPr>
      <w:r w:rsidRPr="00EC20A0">
        <w:t>reviewing</w:t>
      </w:r>
      <w:r w:rsidRPr="00EC20A0">
        <w:rPr>
          <w:spacing w:val="-7"/>
        </w:rPr>
        <w:t xml:space="preserve"> </w:t>
      </w:r>
      <w:r w:rsidRPr="00EC20A0">
        <w:t>the</w:t>
      </w:r>
      <w:r w:rsidRPr="00EC20A0">
        <w:rPr>
          <w:spacing w:val="-6"/>
        </w:rPr>
        <w:t xml:space="preserve"> </w:t>
      </w:r>
      <w:r w:rsidRPr="00EC20A0">
        <w:t>proposal</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firm</w:t>
      </w:r>
      <w:r w:rsidRPr="00EC20A0">
        <w:rPr>
          <w:spacing w:val="-7"/>
        </w:rPr>
        <w:t xml:space="preserve"> </w:t>
      </w:r>
      <w:r w:rsidRPr="00EC20A0">
        <w:t>selected,</w:t>
      </w:r>
      <w:r w:rsidRPr="00EC20A0">
        <w:rPr>
          <w:spacing w:val="-6"/>
        </w:rPr>
        <w:t xml:space="preserve"> </w:t>
      </w:r>
      <w:r w:rsidRPr="00EC20A0">
        <w:rPr>
          <w:spacing w:val="-5"/>
        </w:rPr>
        <w:t>and</w:t>
      </w:r>
    </w:p>
    <w:p w14:paraId="24D5FE82" w14:textId="77777777" w:rsidR="00245300" w:rsidRPr="00EC20A0" w:rsidRDefault="00F17249">
      <w:pPr>
        <w:pStyle w:val="ListParagraph"/>
        <w:numPr>
          <w:ilvl w:val="1"/>
          <w:numId w:val="21"/>
        </w:numPr>
        <w:tabs>
          <w:tab w:val="left" w:pos="2219"/>
        </w:tabs>
        <w:spacing w:before="239"/>
        <w:ind w:left="2219"/>
      </w:pPr>
      <w:r w:rsidRPr="00EC20A0">
        <w:t>understanding</w:t>
      </w:r>
      <w:r w:rsidRPr="00EC20A0">
        <w:rPr>
          <w:spacing w:val="-7"/>
        </w:rPr>
        <w:t xml:space="preserve"> </w:t>
      </w:r>
      <w:r w:rsidRPr="00EC20A0">
        <w:t>the</w:t>
      </w:r>
      <w:r w:rsidRPr="00EC20A0">
        <w:rPr>
          <w:spacing w:val="-6"/>
        </w:rPr>
        <w:t xml:space="preserve"> </w:t>
      </w:r>
      <w:r w:rsidRPr="00EC20A0">
        <w:t>evaluations</w:t>
      </w:r>
      <w:r w:rsidRPr="00EC20A0">
        <w:rPr>
          <w:spacing w:val="-6"/>
        </w:rPr>
        <w:t xml:space="preserve"> </w:t>
      </w:r>
      <w:r w:rsidRPr="00EC20A0">
        <w:t>of</w:t>
      </w:r>
      <w:r w:rsidRPr="00EC20A0">
        <w:rPr>
          <w:spacing w:val="-6"/>
        </w:rPr>
        <w:t xml:space="preserve"> </w:t>
      </w:r>
      <w:r w:rsidRPr="00EC20A0">
        <w:t>the</w:t>
      </w:r>
      <w:r w:rsidRPr="00EC20A0">
        <w:rPr>
          <w:spacing w:val="-7"/>
        </w:rPr>
        <w:t xml:space="preserve"> </w:t>
      </w:r>
      <w:r w:rsidRPr="00EC20A0">
        <w:t>panel</w:t>
      </w:r>
      <w:r w:rsidRPr="00EC20A0">
        <w:rPr>
          <w:spacing w:val="-6"/>
        </w:rPr>
        <w:t xml:space="preserve"> </w:t>
      </w:r>
      <w:r w:rsidRPr="00EC20A0">
        <w:t>that</w:t>
      </w:r>
      <w:r w:rsidRPr="00EC20A0">
        <w:rPr>
          <w:spacing w:val="-6"/>
        </w:rPr>
        <w:t xml:space="preserve"> </w:t>
      </w:r>
      <w:r w:rsidRPr="00EC20A0">
        <w:t>selects</w:t>
      </w:r>
      <w:r w:rsidRPr="00EC20A0">
        <w:rPr>
          <w:spacing w:val="-6"/>
        </w:rPr>
        <w:t xml:space="preserve"> </w:t>
      </w:r>
      <w:r w:rsidRPr="00EC20A0">
        <w:t>the</w:t>
      </w:r>
      <w:r w:rsidRPr="00EC20A0">
        <w:rPr>
          <w:spacing w:val="-6"/>
        </w:rPr>
        <w:t xml:space="preserve"> </w:t>
      </w:r>
      <w:r w:rsidRPr="00EC20A0">
        <w:rPr>
          <w:spacing w:val="-2"/>
        </w:rPr>
        <w:t>firm.</w:t>
      </w:r>
    </w:p>
    <w:p w14:paraId="24D5FE83" w14:textId="77777777" w:rsidR="00245300" w:rsidRPr="00EC20A0" w:rsidRDefault="00F17249">
      <w:pPr>
        <w:pStyle w:val="BodyText"/>
        <w:spacing w:before="239"/>
        <w:ind w:left="1859" w:right="527"/>
      </w:pPr>
      <w:r w:rsidRPr="00EC20A0">
        <w:t>The auditor may determine whether the other auditors’ or specialists’ firm provided</w:t>
      </w:r>
      <w:r w:rsidRPr="00EC20A0">
        <w:rPr>
          <w:spacing w:val="-1"/>
        </w:rPr>
        <w:t xml:space="preserve"> </w:t>
      </w:r>
      <w:r w:rsidRPr="00EC20A0">
        <w:t>a</w:t>
      </w:r>
      <w:r w:rsidRPr="00EC20A0">
        <w:rPr>
          <w:spacing w:val="-1"/>
        </w:rPr>
        <w:t xml:space="preserve"> </w:t>
      </w:r>
      <w:r w:rsidRPr="00EC20A0">
        <w:t>representation</w:t>
      </w:r>
      <w:r w:rsidRPr="00EC20A0">
        <w:rPr>
          <w:spacing w:val="-1"/>
        </w:rPr>
        <w:t xml:space="preserve"> </w:t>
      </w:r>
      <w:r w:rsidRPr="00EC20A0">
        <w:t>as</w:t>
      </w:r>
      <w:r w:rsidRPr="00EC20A0">
        <w:rPr>
          <w:spacing w:val="-1"/>
        </w:rPr>
        <w:t xml:space="preserve"> </w:t>
      </w:r>
      <w:r w:rsidRPr="00EC20A0">
        <w:t>to</w:t>
      </w:r>
      <w:r w:rsidRPr="00EC20A0">
        <w:rPr>
          <w:spacing w:val="-1"/>
        </w:rPr>
        <w:t xml:space="preserve"> </w:t>
      </w:r>
      <w:r w:rsidRPr="00EC20A0">
        <w:t>objectivity</w:t>
      </w:r>
      <w:r w:rsidRPr="00EC20A0">
        <w:rPr>
          <w:spacing w:val="-1"/>
        </w:rPr>
        <w:t xml:space="preserve"> </w:t>
      </w:r>
      <w:r w:rsidRPr="00EC20A0">
        <w:t>(usually</w:t>
      </w:r>
      <w:r w:rsidRPr="00EC20A0">
        <w:rPr>
          <w:spacing w:val="-1"/>
        </w:rPr>
        <w:t xml:space="preserve"> </w:t>
      </w:r>
      <w:r w:rsidRPr="00EC20A0">
        <w:t>in</w:t>
      </w:r>
      <w:r w:rsidRPr="00EC20A0">
        <w:rPr>
          <w:spacing w:val="-1"/>
        </w:rPr>
        <w:t xml:space="preserve"> </w:t>
      </w:r>
      <w:r w:rsidRPr="00EC20A0">
        <w:t>its</w:t>
      </w:r>
      <w:r w:rsidRPr="00EC20A0">
        <w:rPr>
          <w:spacing w:val="-1"/>
        </w:rPr>
        <w:t xml:space="preserve"> </w:t>
      </w:r>
      <w:r w:rsidRPr="00EC20A0">
        <w:t>proposal).</w:t>
      </w:r>
      <w:r w:rsidRPr="00EC20A0">
        <w:rPr>
          <w:spacing w:val="-1"/>
        </w:rPr>
        <w:t xml:space="preserve"> </w:t>
      </w:r>
      <w:r w:rsidRPr="00EC20A0">
        <w:t>If</w:t>
      </w:r>
      <w:r w:rsidRPr="00EC20A0">
        <w:rPr>
          <w:spacing w:val="-1"/>
        </w:rPr>
        <w:t xml:space="preserve"> </w:t>
      </w:r>
      <w:r w:rsidRPr="00EC20A0">
        <w:t>the</w:t>
      </w:r>
      <w:r w:rsidRPr="00EC20A0">
        <w:rPr>
          <w:spacing w:val="-1"/>
        </w:rPr>
        <w:t xml:space="preserve"> </w:t>
      </w:r>
      <w:r w:rsidRPr="00EC20A0">
        <w:t>firm</w:t>
      </w:r>
      <w:r w:rsidRPr="00EC20A0">
        <w:rPr>
          <w:spacing w:val="-2"/>
        </w:rPr>
        <w:t xml:space="preserve"> </w:t>
      </w:r>
      <w:r w:rsidRPr="00EC20A0">
        <w:t>has not provided such a representation, the auditor may wish to obtain one from the firm. If the auditor is not familiar with the firm, the auditor can inquire of professional organizations, such as the American Institute of Certified Public Accountants (AICPA) or the Public Company Accounting Oversight Board (PCAOB),</w:t>
      </w:r>
      <w:r w:rsidRPr="00EC20A0">
        <w:rPr>
          <w:spacing w:val="-4"/>
        </w:rPr>
        <w:t xml:space="preserve"> </w:t>
      </w:r>
      <w:r w:rsidRPr="00EC20A0">
        <w:t>about</w:t>
      </w:r>
      <w:r w:rsidRPr="00EC20A0">
        <w:rPr>
          <w:spacing w:val="-4"/>
        </w:rPr>
        <w:t xml:space="preserve"> </w:t>
      </w:r>
      <w:r w:rsidRPr="00EC20A0">
        <w:t>the</w:t>
      </w:r>
      <w:r w:rsidRPr="00EC20A0">
        <w:rPr>
          <w:spacing w:val="-4"/>
        </w:rPr>
        <w:t xml:space="preserve"> </w:t>
      </w:r>
      <w:r w:rsidRPr="00EC20A0">
        <w:t>firm’s</w:t>
      </w:r>
      <w:r w:rsidRPr="00EC20A0">
        <w:rPr>
          <w:spacing w:val="-4"/>
        </w:rPr>
        <w:t xml:space="preserve"> </w:t>
      </w:r>
      <w:r w:rsidRPr="00EC20A0">
        <w:t>professional</w:t>
      </w:r>
      <w:r w:rsidRPr="00EC20A0">
        <w:rPr>
          <w:spacing w:val="-4"/>
        </w:rPr>
        <w:t xml:space="preserve"> </w:t>
      </w:r>
      <w:r w:rsidRPr="00EC20A0">
        <w:t>reputation</w:t>
      </w:r>
      <w:r w:rsidRPr="00EC20A0">
        <w:rPr>
          <w:spacing w:val="-4"/>
        </w:rPr>
        <w:t xml:space="preserve"> </w:t>
      </w:r>
      <w:r w:rsidRPr="00EC20A0">
        <w:t>and</w:t>
      </w:r>
      <w:r w:rsidRPr="00EC20A0">
        <w:rPr>
          <w:spacing w:val="-4"/>
        </w:rPr>
        <w:t xml:space="preserve"> </w:t>
      </w:r>
      <w:r w:rsidRPr="00EC20A0">
        <w:t>standing.</w:t>
      </w:r>
      <w:r w:rsidRPr="00EC20A0">
        <w:rPr>
          <w:spacing w:val="-4"/>
        </w:rPr>
        <w:t xml:space="preserve"> </w:t>
      </w:r>
      <w:r w:rsidRPr="00EC20A0">
        <w:rPr>
          <w:color w:val="242424"/>
        </w:rPr>
        <w:t>The</w:t>
      </w:r>
      <w:r w:rsidRPr="00EC20A0">
        <w:rPr>
          <w:color w:val="242424"/>
          <w:spacing w:val="-4"/>
        </w:rPr>
        <w:t xml:space="preserve"> </w:t>
      </w:r>
      <w:r w:rsidRPr="00EC20A0">
        <w:rPr>
          <w:color w:val="242424"/>
        </w:rPr>
        <w:t>auditor</w:t>
      </w:r>
      <w:r w:rsidRPr="00EC20A0">
        <w:rPr>
          <w:color w:val="242424"/>
          <w:spacing w:val="-4"/>
        </w:rPr>
        <w:t xml:space="preserve"> </w:t>
      </w:r>
      <w:r w:rsidRPr="00EC20A0">
        <w:rPr>
          <w:color w:val="242424"/>
        </w:rPr>
        <w:t>may also consider whether the other auditors’ or spec</w:t>
      </w:r>
      <w:r w:rsidRPr="00EC20A0">
        <w:rPr>
          <w:color w:val="242424"/>
        </w:rPr>
        <w:t>ialists’ work is subject to technical performance standards or other professional or industry requirements (for example, specialists may be subject to ethical standards and other membership requirements of a professional body or industry association, accreditation standards of a licensing body, or requirements imposed by law or regulation (AU-C 620.A17)).</w:t>
      </w:r>
    </w:p>
    <w:p w14:paraId="24D5FE84" w14:textId="77777777" w:rsidR="00245300" w:rsidRPr="00EC20A0" w:rsidRDefault="00F17249">
      <w:pPr>
        <w:pStyle w:val="Heading5"/>
        <w:spacing w:before="240"/>
        <w:ind w:left="1140" w:right="562"/>
        <w:rPr>
          <w:u w:val="none"/>
        </w:rPr>
      </w:pPr>
      <w:bookmarkStart w:id="11" w:name="Additional_Procedures_to_Perform_in_Eval"/>
      <w:bookmarkEnd w:id="11"/>
      <w:r w:rsidRPr="00EC20A0">
        <w:t>Additional</w:t>
      </w:r>
      <w:r w:rsidRPr="00EC20A0">
        <w:rPr>
          <w:spacing w:val="-4"/>
        </w:rPr>
        <w:t xml:space="preserve"> </w:t>
      </w:r>
      <w:r w:rsidRPr="00EC20A0">
        <w:t>Procedures</w:t>
      </w:r>
      <w:r w:rsidRPr="00EC20A0">
        <w:rPr>
          <w:spacing w:val="-5"/>
        </w:rPr>
        <w:t xml:space="preserve"> </w:t>
      </w:r>
      <w:r w:rsidRPr="00EC20A0">
        <w:t>to</w:t>
      </w:r>
      <w:r w:rsidRPr="00EC20A0">
        <w:rPr>
          <w:spacing w:val="-5"/>
        </w:rPr>
        <w:t xml:space="preserve"> </w:t>
      </w:r>
      <w:r w:rsidRPr="00EC20A0">
        <w:t>Perform</w:t>
      </w:r>
      <w:r w:rsidRPr="00EC20A0">
        <w:rPr>
          <w:spacing w:val="-5"/>
        </w:rPr>
        <w:t xml:space="preserve"> </w:t>
      </w:r>
      <w:r w:rsidRPr="00EC20A0">
        <w:t>in</w:t>
      </w:r>
      <w:r w:rsidRPr="00EC20A0">
        <w:rPr>
          <w:spacing w:val="-5"/>
        </w:rPr>
        <w:t xml:space="preserve"> </w:t>
      </w:r>
      <w:r w:rsidRPr="00EC20A0">
        <w:t>Evaluating</w:t>
      </w:r>
      <w:r w:rsidRPr="00EC20A0">
        <w:rPr>
          <w:spacing w:val="-5"/>
        </w:rPr>
        <w:t xml:space="preserve"> </w:t>
      </w:r>
      <w:r w:rsidRPr="00EC20A0">
        <w:t>Objectivity</w:t>
      </w:r>
      <w:r w:rsidRPr="00EC20A0">
        <w:rPr>
          <w:spacing w:val="-6"/>
        </w:rPr>
        <w:t xml:space="preserve"> </w:t>
      </w:r>
      <w:r w:rsidRPr="00EC20A0">
        <w:t>for</w:t>
      </w:r>
      <w:r w:rsidRPr="00EC20A0">
        <w:rPr>
          <w:spacing w:val="-5"/>
        </w:rPr>
        <w:t xml:space="preserve"> </w:t>
      </w:r>
      <w:r w:rsidRPr="00EC20A0">
        <w:t>Specific</w:t>
      </w:r>
      <w:r w:rsidRPr="00EC20A0">
        <w:rPr>
          <w:u w:val="none"/>
        </w:rPr>
        <w:t xml:space="preserve"> </w:t>
      </w:r>
      <w:r w:rsidRPr="00EC20A0">
        <w:t>Types of Specialists and Auditors</w:t>
      </w:r>
    </w:p>
    <w:p w14:paraId="24D5FE85" w14:textId="77777777" w:rsidR="00245300" w:rsidRPr="00EC20A0" w:rsidRDefault="00F17249">
      <w:pPr>
        <w:spacing w:before="240"/>
        <w:ind w:left="1140"/>
        <w:rPr>
          <w:b/>
          <w:sz w:val="24"/>
        </w:rPr>
      </w:pPr>
      <w:bookmarkStart w:id="12" w:name="Internal_Specialists"/>
      <w:bookmarkEnd w:id="12"/>
      <w:r w:rsidRPr="00EC20A0">
        <w:rPr>
          <w:b/>
          <w:sz w:val="24"/>
        </w:rPr>
        <w:t>Internal</w:t>
      </w:r>
      <w:r w:rsidRPr="00EC20A0">
        <w:rPr>
          <w:b/>
          <w:spacing w:val="-3"/>
          <w:sz w:val="24"/>
        </w:rPr>
        <w:t xml:space="preserve"> </w:t>
      </w:r>
      <w:r w:rsidRPr="00EC20A0">
        <w:rPr>
          <w:b/>
          <w:spacing w:val="-2"/>
          <w:sz w:val="24"/>
        </w:rPr>
        <w:t>Specialists</w:t>
      </w:r>
    </w:p>
    <w:p w14:paraId="24D5FE86" w14:textId="77777777" w:rsidR="00245300" w:rsidRPr="00EC20A0" w:rsidRDefault="00F17249">
      <w:pPr>
        <w:pStyle w:val="ListParagraph"/>
        <w:numPr>
          <w:ilvl w:val="0"/>
          <w:numId w:val="21"/>
        </w:numPr>
        <w:tabs>
          <w:tab w:val="left" w:pos="1859"/>
        </w:tabs>
        <w:spacing w:before="239"/>
        <w:ind w:left="1859" w:right="517" w:hanging="720"/>
      </w:pPr>
      <w:r w:rsidRPr="00EC20A0">
        <w:rPr>
          <w:color w:val="242424"/>
        </w:rPr>
        <w:t xml:space="preserve">An auditor’s </w:t>
      </w:r>
      <w:r w:rsidRPr="00EC20A0">
        <w:rPr>
          <w:color w:val="242424"/>
        </w:rPr>
        <w:t>internal specialist may be a partner or staff member, including temporary</w:t>
      </w:r>
      <w:r w:rsidRPr="00EC20A0">
        <w:rPr>
          <w:color w:val="242424"/>
          <w:spacing w:val="-4"/>
        </w:rPr>
        <w:t xml:space="preserve"> </w:t>
      </w:r>
      <w:r w:rsidRPr="00EC20A0">
        <w:rPr>
          <w:color w:val="242424"/>
        </w:rPr>
        <w:t>staff</w:t>
      </w:r>
      <w:r w:rsidRPr="00EC20A0">
        <w:rPr>
          <w:color w:val="242424"/>
          <w:spacing w:val="-4"/>
        </w:rPr>
        <w:t xml:space="preserve"> </w:t>
      </w:r>
      <w:r w:rsidRPr="00EC20A0">
        <w:rPr>
          <w:color w:val="242424"/>
        </w:rPr>
        <w:t>member,</w:t>
      </w:r>
      <w:r w:rsidRPr="00EC20A0">
        <w:rPr>
          <w:color w:val="242424"/>
          <w:spacing w:val="-3"/>
        </w:rPr>
        <w:t xml:space="preserve"> </w:t>
      </w:r>
      <w:r w:rsidRPr="00EC20A0">
        <w:rPr>
          <w:color w:val="242424"/>
        </w:rPr>
        <w:t>of</w:t>
      </w:r>
      <w:r w:rsidRPr="00EC20A0">
        <w:rPr>
          <w:color w:val="242424"/>
          <w:spacing w:val="-4"/>
        </w:rPr>
        <w:t xml:space="preserve"> </w:t>
      </w:r>
      <w:r w:rsidRPr="00EC20A0">
        <w:rPr>
          <w:color w:val="242424"/>
        </w:rPr>
        <w:t>the</w:t>
      </w:r>
      <w:r w:rsidRPr="00EC20A0">
        <w:rPr>
          <w:color w:val="242424"/>
          <w:spacing w:val="-4"/>
        </w:rPr>
        <w:t xml:space="preserve"> </w:t>
      </w:r>
      <w:r w:rsidRPr="00EC20A0">
        <w:rPr>
          <w:color w:val="242424"/>
        </w:rPr>
        <w:t>auditor’s</w:t>
      </w:r>
      <w:r w:rsidRPr="00EC20A0">
        <w:rPr>
          <w:color w:val="242424"/>
          <w:spacing w:val="-4"/>
        </w:rPr>
        <w:t xml:space="preserve"> </w:t>
      </w:r>
      <w:r w:rsidRPr="00EC20A0">
        <w:rPr>
          <w:color w:val="242424"/>
        </w:rPr>
        <w:t>organization</w:t>
      </w:r>
      <w:r w:rsidRPr="00EC20A0">
        <w:rPr>
          <w:color w:val="242424"/>
          <w:spacing w:val="-4"/>
        </w:rPr>
        <w:t xml:space="preserve"> </w:t>
      </w:r>
      <w:r w:rsidRPr="00EC20A0">
        <w:rPr>
          <w:color w:val="242424"/>
        </w:rPr>
        <w:t>and</w:t>
      </w:r>
      <w:r w:rsidRPr="00EC20A0">
        <w:rPr>
          <w:color w:val="242424"/>
          <w:spacing w:val="-4"/>
        </w:rPr>
        <w:t xml:space="preserve"> </w:t>
      </w:r>
      <w:r w:rsidRPr="00EC20A0">
        <w:rPr>
          <w:color w:val="242424"/>
        </w:rPr>
        <w:t>therefore</w:t>
      </w:r>
      <w:r w:rsidRPr="00EC20A0">
        <w:rPr>
          <w:color w:val="242424"/>
          <w:spacing w:val="-4"/>
        </w:rPr>
        <w:t xml:space="preserve"> </w:t>
      </w:r>
      <w:r w:rsidRPr="00EC20A0">
        <w:rPr>
          <w:color w:val="242424"/>
        </w:rPr>
        <w:t>subject</w:t>
      </w:r>
      <w:r w:rsidRPr="00EC20A0">
        <w:rPr>
          <w:color w:val="242424"/>
          <w:spacing w:val="-4"/>
        </w:rPr>
        <w:t xml:space="preserve"> </w:t>
      </w:r>
      <w:r w:rsidRPr="00EC20A0">
        <w:rPr>
          <w:color w:val="242424"/>
        </w:rPr>
        <w:t>to</w:t>
      </w:r>
      <w:r w:rsidRPr="00EC20A0">
        <w:rPr>
          <w:color w:val="242424"/>
          <w:spacing w:val="-4"/>
        </w:rPr>
        <w:t xml:space="preserve"> </w:t>
      </w:r>
      <w:r w:rsidRPr="00EC20A0">
        <w:rPr>
          <w:color w:val="242424"/>
        </w:rPr>
        <w:t xml:space="preserve">the independence and/or objectivity quality control policies and procedures of that organization (AU-C 620.A12). In accordance with </w:t>
      </w:r>
      <w:r w:rsidRPr="00EC20A0">
        <w:t>AU-C 220A</w:t>
      </w:r>
      <w:r w:rsidRPr="00EC20A0">
        <w:rPr>
          <w:color w:val="242424"/>
        </w:rPr>
        <w:t xml:space="preserve">, </w:t>
      </w:r>
      <w:r w:rsidRPr="00EC20A0">
        <w:rPr>
          <w:i/>
          <w:color w:val="242424"/>
        </w:rPr>
        <w:t>Quality Control for an Engagement Conducted in Accordance With Generally Accepted Auditing Standards</w:t>
      </w:r>
      <w:r w:rsidRPr="00EC20A0">
        <w:rPr>
          <w:color w:val="242424"/>
        </w:rPr>
        <w:t>, the auditor is entitled to rely on the organization’s system of quality control unless the auditor’s engagement partner dete</w:t>
      </w:r>
      <w:r w:rsidRPr="00EC20A0">
        <w:rPr>
          <w:color w:val="242424"/>
        </w:rPr>
        <w:t xml:space="preserve">rmines that it is inappropriate to do so based on information provided by the other auditors’ or specialists’ firms or other parties. However, such reliance does not reduce the auditor’s responsibility to meet the requirements of AU-C 620, </w:t>
      </w:r>
      <w:r w:rsidRPr="00EC20A0">
        <w:rPr>
          <w:i/>
          <w:color w:val="242424"/>
        </w:rPr>
        <w:t xml:space="preserve">Using the Work of an Auditor’s Specialist </w:t>
      </w:r>
      <w:r w:rsidRPr="00EC20A0">
        <w:rPr>
          <w:color w:val="242424"/>
        </w:rPr>
        <w:t>(AU-C 620.A13).</w:t>
      </w:r>
    </w:p>
    <w:p w14:paraId="24D5FE87" w14:textId="77777777" w:rsidR="00245300" w:rsidRPr="00EC20A0" w:rsidRDefault="00F17249">
      <w:pPr>
        <w:spacing w:before="241"/>
        <w:ind w:left="1140"/>
        <w:rPr>
          <w:b/>
          <w:sz w:val="24"/>
        </w:rPr>
      </w:pPr>
      <w:bookmarkStart w:id="13" w:name="Management’s_Specialists"/>
      <w:bookmarkEnd w:id="13"/>
      <w:r w:rsidRPr="00EC20A0">
        <w:rPr>
          <w:b/>
          <w:sz w:val="24"/>
        </w:rPr>
        <w:t>Management’s</w:t>
      </w:r>
      <w:r w:rsidRPr="00EC20A0">
        <w:rPr>
          <w:b/>
          <w:spacing w:val="-7"/>
          <w:sz w:val="24"/>
        </w:rPr>
        <w:t xml:space="preserve"> </w:t>
      </w:r>
      <w:r w:rsidRPr="00EC20A0">
        <w:rPr>
          <w:b/>
          <w:spacing w:val="-2"/>
          <w:sz w:val="24"/>
        </w:rPr>
        <w:t>Specialists</w:t>
      </w:r>
    </w:p>
    <w:p w14:paraId="24D5FE88" w14:textId="77777777" w:rsidR="00245300" w:rsidRPr="00EC20A0" w:rsidRDefault="00F17249">
      <w:pPr>
        <w:pStyle w:val="ListParagraph"/>
        <w:numPr>
          <w:ilvl w:val="0"/>
          <w:numId w:val="21"/>
        </w:numPr>
        <w:tabs>
          <w:tab w:val="left" w:pos="1859"/>
        </w:tabs>
        <w:spacing w:before="239"/>
        <w:ind w:left="1859" w:right="545" w:hanging="720"/>
      </w:pPr>
      <w:r w:rsidRPr="00EC20A0">
        <w:t>Based on AU-C 501.A73, when evaluating the objectivity of management’s specialists,</w:t>
      </w:r>
      <w:r w:rsidRPr="00EC20A0">
        <w:rPr>
          <w:spacing w:val="-4"/>
        </w:rPr>
        <w:t xml:space="preserve"> </w:t>
      </w:r>
      <w:r w:rsidRPr="00EC20A0">
        <w:t>the</w:t>
      </w:r>
      <w:r w:rsidRPr="00EC20A0">
        <w:rPr>
          <w:spacing w:val="-3"/>
        </w:rPr>
        <w:t xml:space="preserve"> </w:t>
      </w:r>
      <w:r w:rsidRPr="00EC20A0">
        <w:t>auditor</w:t>
      </w:r>
      <w:r w:rsidRPr="00EC20A0">
        <w:rPr>
          <w:spacing w:val="-3"/>
        </w:rPr>
        <w:t xml:space="preserve"> </w:t>
      </w:r>
      <w:r w:rsidRPr="00EC20A0">
        <w:t>may</w:t>
      </w:r>
      <w:r w:rsidRPr="00EC20A0">
        <w:rPr>
          <w:spacing w:val="-3"/>
        </w:rPr>
        <w:t xml:space="preserve"> </w:t>
      </w:r>
      <w:r w:rsidRPr="00EC20A0">
        <w:t>consider</w:t>
      </w:r>
      <w:r w:rsidRPr="00EC20A0">
        <w:rPr>
          <w:spacing w:val="-5"/>
        </w:rPr>
        <w:t xml:space="preserve"> </w:t>
      </w:r>
      <w:r w:rsidRPr="00EC20A0">
        <w:t>any</w:t>
      </w:r>
      <w:r w:rsidRPr="00EC20A0">
        <w:rPr>
          <w:spacing w:val="-3"/>
        </w:rPr>
        <w:t xml:space="preserve"> </w:t>
      </w:r>
      <w:r w:rsidRPr="00EC20A0">
        <w:t>controls</w:t>
      </w:r>
      <w:r w:rsidRPr="00EC20A0">
        <w:rPr>
          <w:spacing w:val="-4"/>
        </w:rPr>
        <w:t xml:space="preserve"> </w:t>
      </w:r>
      <w:r w:rsidRPr="00EC20A0">
        <w:t>within</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over</w:t>
      </w:r>
      <w:r w:rsidRPr="00EC20A0">
        <w:rPr>
          <w:spacing w:val="-3"/>
        </w:rPr>
        <w:t xml:space="preserve"> </w:t>
      </w:r>
      <w:r w:rsidRPr="00EC20A0">
        <w:t>their</w:t>
      </w:r>
      <w:r w:rsidRPr="00EC20A0">
        <w:rPr>
          <w:spacing w:val="-3"/>
        </w:rPr>
        <w:t xml:space="preserve"> </w:t>
      </w:r>
      <w:r w:rsidRPr="00EC20A0">
        <w:t>work</w:t>
      </w:r>
    </w:p>
    <w:p w14:paraId="24D5FE89" w14:textId="77777777" w:rsidR="00245300" w:rsidRPr="00EC20A0" w:rsidRDefault="00245300">
      <w:pPr>
        <w:sectPr w:rsidR="00245300" w:rsidRPr="00EC20A0">
          <w:pgSz w:w="12240" w:h="15840"/>
          <w:pgMar w:top="1340" w:right="940" w:bottom="1020" w:left="1020" w:header="721" w:footer="757" w:gutter="0"/>
          <w:cols w:space="720"/>
        </w:sectPr>
      </w:pPr>
    </w:p>
    <w:p w14:paraId="24D5FE8A" w14:textId="77777777" w:rsidR="00245300" w:rsidRPr="00EC20A0" w:rsidRDefault="00F17249">
      <w:pPr>
        <w:pStyle w:val="BodyText"/>
        <w:spacing w:before="121"/>
        <w:ind w:left="1859" w:right="562"/>
      </w:pPr>
      <w:r w:rsidRPr="00EC20A0">
        <w:t>as</w:t>
      </w:r>
      <w:r w:rsidRPr="00EC20A0">
        <w:rPr>
          <w:spacing w:val="-3"/>
        </w:rPr>
        <w:t xml:space="preserve"> </w:t>
      </w:r>
      <w:r w:rsidRPr="00EC20A0">
        <w:t>important</w:t>
      </w:r>
      <w:r w:rsidRPr="00EC20A0">
        <w:rPr>
          <w:spacing w:val="-3"/>
        </w:rPr>
        <w:t xml:space="preserve"> </w:t>
      </w:r>
      <w:r w:rsidRPr="00EC20A0">
        <w:t>factors</w:t>
      </w:r>
      <w:r w:rsidRPr="00EC20A0">
        <w:rPr>
          <w:spacing w:val="-3"/>
        </w:rPr>
        <w:t xml:space="preserve"> </w:t>
      </w:r>
      <w:r w:rsidRPr="00EC20A0">
        <w:t>with</w:t>
      </w:r>
      <w:r w:rsidRPr="00EC20A0">
        <w:rPr>
          <w:spacing w:val="-4"/>
        </w:rPr>
        <w:t xml:space="preserve"> </w:t>
      </w:r>
      <w:r w:rsidRPr="00EC20A0">
        <w:t>regard</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reliability</w:t>
      </w:r>
      <w:r w:rsidRPr="00EC20A0">
        <w:rPr>
          <w:spacing w:val="-3"/>
        </w:rPr>
        <w:t xml:space="preserve"> </w:t>
      </w:r>
      <w:r w:rsidRPr="00EC20A0">
        <w:t>of</w:t>
      </w:r>
      <w:r w:rsidRPr="00EC20A0">
        <w:rPr>
          <w:spacing w:val="-3"/>
        </w:rPr>
        <w:t xml:space="preserve"> </w:t>
      </w:r>
      <w:r w:rsidRPr="00EC20A0">
        <w:t>any</w:t>
      </w:r>
      <w:r w:rsidRPr="00EC20A0">
        <w:rPr>
          <w:spacing w:val="-3"/>
        </w:rPr>
        <w:t xml:space="preserve"> </w:t>
      </w:r>
      <w:r w:rsidRPr="00EC20A0">
        <w:t>information</w:t>
      </w:r>
      <w:r w:rsidRPr="00EC20A0">
        <w:rPr>
          <w:spacing w:val="-3"/>
        </w:rPr>
        <w:t xml:space="preserve"> </w:t>
      </w:r>
      <w:r w:rsidRPr="00EC20A0">
        <w:t>they</w:t>
      </w:r>
      <w:r w:rsidRPr="00EC20A0">
        <w:rPr>
          <w:spacing w:val="-2"/>
        </w:rPr>
        <w:t xml:space="preserve"> </w:t>
      </w:r>
      <w:r w:rsidRPr="00EC20A0">
        <w:t>produce. A broad range of circumstances may threaten objectivity, for example, self- interest threats, advocacy threats, familiarity threats, self-review threats, and intimidation threats (AU-C 501.A77).</w:t>
      </w:r>
    </w:p>
    <w:p w14:paraId="24D5FE8B" w14:textId="77777777" w:rsidR="00245300" w:rsidRPr="00EC20A0" w:rsidRDefault="00F17249">
      <w:pPr>
        <w:pStyle w:val="BodyText"/>
        <w:spacing w:before="240"/>
        <w:ind w:left="1859" w:right="521"/>
      </w:pPr>
      <w:r w:rsidRPr="00EC20A0">
        <w:t>Although safeguards cannot eliminate all threats to the objectivity of management’s specialists, threats such as intimidation threats may be of less significance</w:t>
      </w:r>
      <w:r w:rsidRPr="00EC20A0">
        <w:rPr>
          <w:spacing w:val="-4"/>
        </w:rPr>
        <w:t xml:space="preserve"> </w:t>
      </w:r>
      <w:r w:rsidRPr="00EC20A0">
        <w:t>to</w:t>
      </w:r>
      <w:r w:rsidRPr="00EC20A0">
        <w:rPr>
          <w:spacing w:val="-3"/>
        </w:rPr>
        <w:t xml:space="preserve"> </w:t>
      </w:r>
      <w:r w:rsidRPr="00EC20A0">
        <w:t>a</w:t>
      </w:r>
      <w:r w:rsidRPr="00EC20A0">
        <w:rPr>
          <w:spacing w:val="-3"/>
        </w:rPr>
        <w:t xml:space="preserve"> </w:t>
      </w:r>
      <w:r w:rsidRPr="00EC20A0">
        <w:t>specialist</w:t>
      </w:r>
      <w:r w:rsidRPr="00EC20A0">
        <w:rPr>
          <w:spacing w:val="-3"/>
        </w:rPr>
        <w:t xml:space="preserve"> </w:t>
      </w:r>
      <w:r w:rsidRPr="00EC20A0">
        <w:t>engaged</w:t>
      </w:r>
      <w:r w:rsidRPr="00EC20A0">
        <w:rPr>
          <w:spacing w:val="-4"/>
        </w:rPr>
        <w:t xml:space="preserve"> </w:t>
      </w:r>
      <w:r w:rsidRPr="00EC20A0">
        <w:t>by</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than</w:t>
      </w:r>
      <w:r w:rsidRPr="00EC20A0">
        <w:rPr>
          <w:spacing w:val="-3"/>
        </w:rPr>
        <w:t xml:space="preserve"> </w:t>
      </w:r>
      <w:r w:rsidRPr="00EC20A0">
        <w:t>to</w:t>
      </w:r>
      <w:r w:rsidRPr="00EC20A0">
        <w:rPr>
          <w:spacing w:val="-3"/>
        </w:rPr>
        <w:t xml:space="preserve"> </w:t>
      </w:r>
      <w:r w:rsidRPr="00EC20A0">
        <w:t>a</w:t>
      </w:r>
      <w:r w:rsidRPr="00EC20A0">
        <w:rPr>
          <w:spacing w:val="-3"/>
        </w:rPr>
        <w:t xml:space="preserve"> </w:t>
      </w:r>
      <w:r w:rsidRPr="00EC20A0">
        <w:t>specialist</w:t>
      </w:r>
      <w:r w:rsidRPr="00EC20A0">
        <w:rPr>
          <w:spacing w:val="-3"/>
        </w:rPr>
        <w:t xml:space="preserve"> </w:t>
      </w:r>
      <w:r w:rsidRPr="00EC20A0">
        <w:t>employed</w:t>
      </w:r>
      <w:r w:rsidRPr="00EC20A0">
        <w:rPr>
          <w:spacing w:val="-3"/>
        </w:rPr>
        <w:t xml:space="preserve"> </w:t>
      </w:r>
      <w:r w:rsidRPr="00EC20A0">
        <w:t>by the entity, and the effectiveness of safeguards such as quality control policies and procedures may be greater. Because the threat to objectivity created by being an employee of the entity will always be present, a specialist employed by the entity cannot ordinarily be regarded as being more likely to be objective than other employees of the entity (AU-C 501.A78).</w:t>
      </w:r>
    </w:p>
    <w:p w14:paraId="24D5FE8C" w14:textId="77777777" w:rsidR="00245300" w:rsidRPr="00EC20A0" w:rsidRDefault="00F17249">
      <w:pPr>
        <w:pStyle w:val="BodyText"/>
        <w:spacing w:before="240"/>
        <w:ind w:left="1859" w:right="562"/>
      </w:pPr>
      <w:r w:rsidRPr="00EC20A0">
        <w:t>When evaluating the objectivity of a specialist engaged by the entity, it may be relevant to discuss with management and that specialist any interests and relationships that may create threats to the specialist’s objectivity and any applicable</w:t>
      </w:r>
      <w:r w:rsidRPr="00EC20A0">
        <w:rPr>
          <w:spacing w:val="-6"/>
        </w:rPr>
        <w:t xml:space="preserve"> </w:t>
      </w:r>
      <w:r w:rsidRPr="00EC20A0">
        <w:t>safeguards,</w:t>
      </w:r>
      <w:r w:rsidRPr="00EC20A0">
        <w:rPr>
          <w:spacing w:val="-4"/>
        </w:rPr>
        <w:t xml:space="preserve"> </w:t>
      </w:r>
      <w:r w:rsidRPr="00EC20A0">
        <w:t>including</w:t>
      </w:r>
      <w:r w:rsidRPr="00EC20A0">
        <w:rPr>
          <w:spacing w:val="-5"/>
        </w:rPr>
        <w:t xml:space="preserve"> </w:t>
      </w:r>
      <w:r w:rsidRPr="00EC20A0">
        <w:t>any</w:t>
      </w:r>
      <w:r w:rsidRPr="00EC20A0">
        <w:rPr>
          <w:spacing w:val="-5"/>
        </w:rPr>
        <w:t xml:space="preserve"> </w:t>
      </w:r>
      <w:r w:rsidRPr="00EC20A0">
        <w:t>professional</w:t>
      </w:r>
      <w:r w:rsidRPr="00EC20A0">
        <w:rPr>
          <w:spacing w:val="-5"/>
        </w:rPr>
        <w:t xml:space="preserve"> </w:t>
      </w:r>
      <w:r w:rsidRPr="00EC20A0">
        <w:t>requirements</w:t>
      </w:r>
      <w:r w:rsidRPr="00EC20A0">
        <w:rPr>
          <w:spacing w:val="-4"/>
        </w:rPr>
        <w:t xml:space="preserve"> </w:t>
      </w:r>
      <w:r w:rsidRPr="00EC20A0">
        <w:t>that</w:t>
      </w:r>
      <w:r w:rsidRPr="00EC20A0">
        <w:rPr>
          <w:spacing w:val="-5"/>
        </w:rPr>
        <w:t xml:space="preserve"> </w:t>
      </w:r>
      <w:r w:rsidRPr="00EC20A0">
        <w:t>apply</w:t>
      </w:r>
      <w:r w:rsidRPr="00EC20A0">
        <w:rPr>
          <w:spacing w:val="-5"/>
        </w:rPr>
        <w:t xml:space="preserve"> </w:t>
      </w:r>
      <w:r w:rsidRPr="00EC20A0">
        <w:t>to</w:t>
      </w:r>
      <w:r w:rsidRPr="00EC20A0">
        <w:rPr>
          <w:spacing w:val="-5"/>
        </w:rPr>
        <w:t xml:space="preserve"> </w:t>
      </w:r>
      <w:r w:rsidRPr="00EC20A0">
        <w:t>the specialist, and to evaluate whether the safeguards are adequate. Relevant information may be obtained by performing the procedures described in FAM 220, 265, 280, 550, and 904 pertaining to related parties. Interests and relationships creating threats may include</w:t>
      </w:r>
    </w:p>
    <w:p w14:paraId="24D5FE8D" w14:textId="77777777" w:rsidR="00245300" w:rsidRPr="00EC20A0" w:rsidRDefault="00F17249">
      <w:pPr>
        <w:pStyle w:val="ListParagraph"/>
        <w:numPr>
          <w:ilvl w:val="1"/>
          <w:numId w:val="21"/>
        </w:numPr>
        <w:tabs>
          <w:tab w:val="left" w:pos="2219"/>
        </w:tabs>
        <w:spacing w:before="239"/>
        <w:ind w:left="2219"/>
      </w:pPr>
      <w:r w:rsidRPr="00EC20A0">
        <w:t>financial</w:t>
      </w:r>
      <w:r w:rsidRPr="00EC20A0">
        <w:rPr>
          <w:spacing w:val="-10"/>
        </w:rPr>
        <w:t xml:space="preserve"> </w:t>
      </w:r>
      <w:r w:rsidRPr="00EC20A0">
        <w:rPr>
          <w:spacing w:val="-2"/>
        </w:rPr>
        <w:t>interests,</w:t>
      </w:r>
    </w:p>
    <w:p w14:paraId="24D5FE8E" w14:textId="77777777" w:rsidR="00245300" w:rsidRPr="00EC20A0" w:rsidRDefault="00F17249">
      <w:pPr>
        <w:pStyle w:val="ListParagraph"/>
        <w:numPr>
          <w:ilvl w:val="1"/>
          <w:numId w:val="21"/>
        </w:numPr>
        <w:tabs>
          <w:tab w:val="left" w:pos="2219"/>
        </w:tabs>
        <w:spacing w:before="238"/>
        <w:ind w:left="2219" w:right="940"/>
      </w:pPr>
      <w:r w:rsidRPr="00EC20A0">
        <w:t>business</w:t>
      </w:r>
      <w:r w:rsidRPr="00EC20A0">
        <w:rPr>
          <w:spacing w:val="-5"/>
        </w:rPr>
        <w:t xml:space="preserve"> </w:t>
      </w:r>
      <w:r w:rsidRPr="00EC20A0">
        <w:t>and</w:t>
      </w:r>
      <w:r w:rsidRPr="00EC20A0">
        <w:rPr>
          <w:spacing w:val="-4"/>
        </w:rPr>
        <w:t xml:space="preserve"> </w:t>
      </w:r>
      <w:r w:rsidRPr="00EC20A0">
        <w:t>personal</w:t>
      </w:r>
      <w:r w:rsidRPr="00EC20A0">
        <w:rPr>
          <w:spacing w:val="-4"/>
        </w:rPr>
        <w:t xml:space="preserve"> </w:t>
      </w:r>
      <w:r w:rsidRPr="00EC20A0">
        <w:t>relationships</w:t>
      </w:r>
      <w:r w:rsidRPr="00EC20A0">
        <w:rPr>
          <w:spacing w:val="-5"/>
        </w:rPr>
        <w:t xml:space="preserve"> </w:t>
      </w:r>
      <w:r w:rsidRPr="00EC20A0">
        <w:t>between</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individual specialist and between the entity and the organization that employs the individual specialist, and</w:t>
      </w:r>
    </w:p>
    <w:p w14:paraId="24D5FE8F" w14:textId="77777777" w:rsidR="00245300" w:rsidRPr="00EC20A0" w:rsidRDefault="00F17249">
      <w:pPr>
        <w:pStyle w:val="ListParagraph"/>
        <w:numPr>
          <w:ilvl w:val="1"/>
          <w:numId w:val="21"/>
        </w:numPr>
        <w:tabs>
          <w:tab w:val="left" w:pos="2219"/>
        </w:tabs>
        <w:spacing w:before="239"/>
        <w:ind w:left="2219"/>
      </w:pPr>
      <w:r w:rsidRPr="00EC20A0">
        <w:t>provision</w:t>
      </w:r>
      <w:r w:rsidRPr="00EC20A0">
        <w:rPr>
          <w:spacing w:val="-7"/>
        </w:rPr>
        <w:t xml:space="preserve"> </w:t>
      </w:r>
      <w:r w:rsidRPr="00EC20A0">
        <w:t>of</w:t>
      </w:r>
      <w:r w:rsidRPr="00EC20A0">
        <w:rPr>
          <w:spacing w:val="-8"/>
        </w:rPr>
        <w:t xml:space="preserve"> </w:t>
      </w:r>
      <w:r w:rsidRPr="00EC20A0">
        <w:t>other</w:t>
      </w:r>
      <w:r w:rsidRPr="00EC20A0">
        <w:rPr>
          <w:spacing w:val="-7"/>
        </w:rPr>
        <w:t xml:space="preserve"> </w:t>
      </w:r>
      <w:r w:rsidRPr="00EC20A0">
        <w:t>services</w:t>
      </w:r>
      <w:r w:rsidRPr="00EC20A0">
        <w:rPr>
          <w:spacing w:val="-7"/>
        </w:rPr>
        <w:t xml:space="preserve"> </w:t>
      </w:r>
      <w:r w:rsidRPr="00EC20A0">
        <w:t>(AU-C</w:t>
      </w:r>
      <w:r w:rsidRPr="00EC20A0">
        <w:rPr>
          <w:spacing w:val="-7"/>
        </w:rPr>
        <w:t xml:space="preserve"> </w:t>
      </w:r>
      <w:r w:rsidRPr="00EC20A0">
        <w:rPr>
          <w:spacing w:val="-2"/>
        </w:rPr>
        <w:t>501.A79).</w:t>
      </w:r>
    </w:p>
    <w:p w14:paraId="24D5FE90" w14:textId="77777777" w:rsidR="00245300" w:rsidRPr="00EC20A0" w:rsidRDefault="00F17249">
      <w:pPr>
        <w:spacing w:before="239"/>
        <w:ind w:left="1140"/>
        <w:rPr>
          <w:b/>
          <w:sz w:val="24"/>
        </w:rPr>
      </w:pPr>
      <w:bookmarkStart w:id="14" w:name="Component_Auditors_of_a_Group_Audit"/>
      <w:bookmarkEnd w:id="14"/>
      <w:r w:rsidRPr="00EC20A0">
        <w:rPr>
          <w:b/>
          <w:sz w:val="24"/>
        </w:rPr>
        <w:t>Component</w:t>
      </w:r>
      <w:r w:rsidRPr="00EC20A0">
        <w:rPr>
          <w:b/>
          <w:spacing w:val="-3"/>
          <w:sz w:val="24"/>
        </w:rPr>
        <w:t xml:space="preserve"> </w:t>
      </w:r>
      <w:r w:rsidRPr="00EC20A0">
        <w:rPr>
          <w:b/>
          <w:sz w:val="24"/>
        </w:rPr>
        <w:t>Auditors</w:t>
      </w:r>
      <w:r w:rsidRPr="00EC20A0">
        <w:rPr>
          <w:b/>
          <w:spacing w:val="-3"/>
          <w:sz w:val="24"/>
        </w:rPr>
        <w:t xml:space="preserve"> </w:t>
      </w:r>
      <w:r w:rsidRPr="00EC20A0">
        <w:rPr>
          <w:b/>
          <w:sz w:val="24"/>
        </w:rPr>
        <w:t>of</w:t>
      </w:r>
      <w:r w:rsidRPr="00EC20A0">
        <w:rPr>
          <w:b/>
          <w:spacing w:val="-2"/>
          <w:sz w:val="24"/>
        </w:rPr>
        <w:t xml:space="preserve"> </w:t>
      </w:r>
      <w:r w:rsidRPr="00EC20A0">
        <w:rPr>
          <w:b/>
          <w:sz w:val="24"/>
        </w:rPr>
        <w:t>a</w:t>
      </w:r>
      <w:r w:rsidRPr="00EC20A0">
        <w:rPr>
          <w:b/>
          <w:spacing w:val="-3"/>
          <w:sz w:val="24"/>
        </w:rPr>
        <w:t xml:space="preserve"> </w:t>
      </w:r>
      <w:r w:rsidRPr="00EC20A0">
        <w:rPr>
          <w:b/>
          <w:sz w:val="24"/>
        </w:rPr>
        <w:t>Group</w:t>
      </w:r>
      <w:r w:rsidRPr="00EC20A0">
        <w:rPr>
          <w:b/>
          <w:spacing w:val="-3"/>
          <w:sz w:val="24"/>
        </w:rPr>
        <w:t xml:space="preserve"> </w:t>
      </w:r>
      <w:r w:rsidRPr="00EC20A0">
        <w:rPr>
          <w:b/>
          <w:spacing w:val="-4"/>
          <w:sz w:val="24"/>
        </w:rPr>
        <w:t>Audit</w:t>
      </w:r>
    </w:p>
    <w:p w14:paraId="24D5FE91" w14:textId="77777777" w:rsidR="00245300" w:rsidRPr="00EC20A0" w:rsidRDefault="00F17249">
      <w:pPr>
        <w:pStyle w:val="ListParagraph"/>
        <w:numPr>
          <w:ilvl w:val="0"/>
          <w:numId w:val="21"/>
        </w:numPr>
        <w:tabs>
          <w:tab w:val="left" w:pos="1859"/>
        </w:tabs>
        <w:spacing w:before="239"/>
        <w:ind w:left="1859" w:right="505" w:hanging="720"/>
      </w:pPr>
      <w:r w:rsidRPr="00EC20A0">
        <w:t xml:space="preserve">In addition to evaluating whether a </w:t>
      </w:r>
      <w:r w:rsidRPr="00EC20A0">
        <w:rPr>
          <w:b/>
        </w:rPr>
        <w:t xml:space="preserve">component auditor </w:t>
      </w:r>
      <w:r w:rsidRPr="00EC20A0">
        <w:t>is independent and objective, the auditor (group engagement team) should obtain an understanding of whether a component auditor understands and will comply with the ethical requirements that are relevant to the group audit (AU-C 600A.22 and see FAM 630). Such requirements may be different from or in addition to those applying to a component auditor when performing an audit in the component auditor’s jurisdiction. The auditor, therefore, obtains an understanding about the component auditor’</w:t>
      </w:r>
      <w:r w:rsidRPr="00EC20A0">
        <w:t>s understanding of, and compliance with, the ethical requirements</w:t>
      </w:r>
      <w:r w:rsidRPr="00EC20A0">
        <w:rPr>
          <w:spacing w:val="-1"/>
        </w:rPr>
        <w:t xml:space="preserve"> </w:t>
      </w:r>
      <w:r w:rsidRPr="00EC20A0">
        <w:t>that</w:t>
      </w:r>
      <w:r w:rsidRPr="00EC20A0">
        <w:rPr>
          <w:spacing w:val="-1"/>
        </w:rPr>
        <w:t xml:space="preserve"> </w:t>
      </w:r>
      <w:r w:rsidRPr="00EC20A0">
        <w:t>are</w:t>
      </w:r>
      <w:r w:rsidRPr="00EC20A0">
        <w:rPr>
          <w:spacing w:val="-1"/>
        </w:rPr>
        <w:t xml:space="preserve"> </w:t>
      </w:r>
      <w:r w:rsidRPr="00EC20A0">
        <w:t>relevant</w:t>
      </w:r>
      <w:r w:rsidRPr="00EC20A0">
        <w:rPr>
          <w:spacing w:val="-1"/>
        </w:rPr>
        <w:t xml:space="preserve"> </w:t>
      </w:r>
      <w:r w:rsidRPr="00EC20A0">
        <w:t>to</w:t>
      </w:r>
      <w:r w:rsidRPr="00EC20A0">
        <w:rPr>
          <w:spacing w:val="-1"/>
        </w:rPr>
        <w:t xml:space="preserve"> </w:t>
      </w:r>
      <w:r w:rsidRPr="00EC20A0">
        <w:t>the</w:t>
      </w:r>
      <w:r w:rsidRPr="00EC20A0">
        <w:rPr>
          <w:spacing w:val="-2"/>
        </w:rPr>
        <w:t xml:space="preserve"> </w:t>
      </w:r>
      <w:r w:rsidRPr="00EC20A0">
        <w:t>group</w:t>
      </w:r>
      <w:r w:rsidRPr="00EC20A0">
        <w:rPr>
          <w:spacing w:val="-1"/>
        </w:rPr>
        <w:t xml:space="preserve"> </w:t>
      </w:r>
      <w:r w:rsidRPr="00EC20A0">
        <w:t>audit</w:t>
      </w:r>
      <w:r w:rsidRPr="00EC20A0">
        <w:rPr>
          <w:spacing w:val="-2"/>
        </w:rPr>
        <w:t xml:space="preserve"> </w:t>
      </w:r>
      <w:r w:rsidRPr="00EC20A0">
        <w:t>and</w:t>
      </w:r>
      <w:r w:rsidRPr="00EC20A0">
        <w:rPr>
          <w:spacing w:val="-1"/>
        </w:rPr>
        <w:t xml:space="preserve"> </w:t>
      </w:r>
      <w:r w:rsidRPr="00EC20A0">
        <w:t>whether</w:t>
      </w:r>
      <w:r w:rsidRPr="00EC20A0">
        <w:rPr>
          <w:spacing w:val="-1"/>
        </w:rPr>
        <w:t xml:space="preserve"> </w:t>
      </w:r>
      <w:r w:rsidRPr="00EC20A0">
        <w:t>these</w:t>
      </w:r>
      <w:r w:rsidRPr="00EC20A0">
        <w:rPr>
          <w:spacing w:val="-1"/>
        </w:rPr>
        <w:t xml:space="preserve"> </w:t>
      </w:r>
      <w:r w:rsidRPr="00EC20A0">
        <w:t>are sufficient to fulfill the component auditor’s responsibilities in the group audit. When the component</w:t>
      </w:r>
      <w:r w:rsidRPr="00EC20A0">
        <w:rPr>
          <w:spacing w:val="-3"/>
        </w:rPr>
        <w:t xml:space="preserve"> </w:t>
      </w:r>
      <w:r w:rsidRPr="00EC20A0">
        <w:t>auditor</w:t>
      </w:r>
      <w:r w:rsidRPr="00EC20A0">
        <w:rPr>
          <w:spacing w:val="-3"/>
        </w:rPr>
        <w:t xml:space="preserve"> </w:t>
      </w:r>
      <w:r w:rsidRPr="00EC20A0">
        <w:t>is</w:t>
      </w:r>
      <w:r w:rsidRPr="00EC20A0">
        <w:rPr>
          <w:spacing w:val="-3"/>
        </w:rPr>
        <w:t xml:space="preserve"> </w:t>
      </w:r>
      <w:r w:rsidRPr="00EC20A0">
        <w:t>not</w:t>
      </w:r>
      <w:r w:rsidRPr="00EC20A0">
        <w:rPr>
          <w:spacing w:val="-3"/>
        </w:rPr>
        <w:t xml:space="preserve"> </w:t>
      </w:r>
      <w:r w:rsidRPr="00EC20A0">
        <w:t>subject</w:t>
      </w:r>
      <w:r w:rsidRPr="00EC20A0">
        <w:rPr>
          <w:spacing w:val="-3"/>
        </w:rPr>
        <w:t xml:space="preserve"> </w:t>
      </w:r>
      <w:r w:rsidRPr="00EC20A0">
        <w:t>to</w:t>
      </w:r>
      <w:r w:rsidRPr="00EC20A0">
        <w:rPr>
          <w:spacing w:val="-4"/>
        </w:rPr>
        <w:t xml:space="preserve"> </w:t>
      </w:r>
      <w:r w:rsidRPr="00EC20A0">
        <w:t>the</w:t>
      </w:r>
      <w:r w:rsidRPr="00EC20A0">
        <w:rPr>
          <w:spacing w:val="-3"/>
        </w:rPr>
        <w:t xml:space="preserve"> </w:t>
      </w:r>
      <w:r w:rsidRPr="00EC20A0">
        <w:t>AICPA</w:t>
      </w:r>
      <w:r w:rsidRPr="00EC20A0">
        <w:rPr>
          <w:spacing w:val="-3"/>
        </w:rPr>
        <w:t xml:space="preserve"> </w:t>
      </w:r>
      <w:r w:rsidRPr="00EC20A0">
        <w:t>Code</w:t>
      </w:r>
      <w:r w:rsidRPr="00EC20A0">
        <w:rPr>
          <w:spacing w:val="-3"/>
        </w:rPr>
        <w:t xml:space="preserve"> </w:t>
      </w:r>
      <w:r w:rsidRPr="00EC20A0">
        <w:t>of</w:t>
      </w:r>
      <w:r w:rsidRPr="00EC20A0">
        <w:rPr>
          <w:spacing w:val="-3"/>
        </w:rPr>
        <w:t xml:space="preserve"> </w:t>
      </w:r>
      <w:r w:rsidRPr="00EC20A0">
        <w:t>Professional</w:t>
      </w:r>
      <w:r w:rsidRPr="00EC20A0">
        <w:rPr>
          <w:spacing w:val="-3"/>
        </w:rPr>
        <w:t xml:space="preserve"> </w:t>
      </w:r>
      <w:r w:rsidRPr="00EC20A0">
        <w:t>Conduct,</w:t>
      </w:r>
      <w:r w:rsidRPr="00EC20A0">
        <w:rPr>
          <w:spacing w:val="-3"/>
        </w:rPr>
        <w:t xml:space="preserve"> </w:t>
      </w:r>
      <w:r w:rsidRPr="00EC20A0">
        <w:t>the component auditor’s compliance with the ethics and independence requirements set forth in the International Federation of Accountants Code of Ethics for Professional Accountants is sufficient to fulfill the component auditor's ethical responsibilities in the group audit (AU-C 600A.A46).</w:t>
      </w:r>
    </w:p>
    <w:p w14:paraId="24D5FE92" w14:textId="77777777" w:rsidR="00245300" w:rsidRPr="00EC20A0" w:rsidRDefault="00F17249">
      <w:pPr>
        <w:pStyle w:val="BodyText"/>
        <w:spacing w:before="240"/>
        <w:ind w:left="1859" w:right="562"/>
      </w:pPr>
      <w:r w:rsidRPr="00EC20A0">
        <w:t>The auditor should obtain written representations from the component auditor that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best</w:t>
      </w:r>
      <w:r w:rsidRPr="00EC20A0">
        <w:rPr>
          <w:spacing w:val="-3"/>
        </w:rPr>
        <w:t xml:space="preserve"> </w:t>
      </w:r>
      <w:r w:rsidRPr="00EC20A0">
        <w:t>of</w:t>
      </w:r>
      <w:r w:rsidRPr="00EC20A0">
        <w:rPr>
          <w:spacing w:val="-3"/>
        </w:rPr>
        <w:t xml:space="preserve"> </w:t>
      </w:r>
      <w:r w:rsidRPr="00EC20A0">
        <w:t>their</w:t>
      </w:r>
      <w:r w:rsidRPr="00EC20A0">
        <w:rPr>
          <w:spacing w:val="-3"/>
        </w:rPr>
        <w:t xml:space="preserve"> </w:t>
      </w:r>
      <w:r w:rsidRPr="00EC20A0">
        <w:t>knowledge,</w:t>
      </w:r>
      <w:r w:rsidRPr="00EC20A0">
        <w:rPr>
          <w:spacing w:val="-3"/>
        </w:rPr>
        <w:t xml:space="preserve"> </w:t>
      </w:r>
      <w:r w:rsidRPr="00EC20A0">
        <w:t>the</w:t>
      </w:r>
      <w:r w:rsidRPr="00EC20A0">
        <w:rPr>
          <w:spacing w:val="-3"/>
        </w:rPr>
        <w:t xml:space="preserve"> </w:t>
      </w:r>
      <w:r w:rsidRPr="00EC20A0">
        <w:t>firm</w:t>
      </w:r>
      <w:r w:rsidRPr="00EC20A0">
        <w:rPr>
          <w:spacing w:val="-4"/>
        </w:rPr>
        <w:t xml:space="preserve"> </w:t>
      </w:r>
      <w:r w:rsidRPr="00EC20A0">
        <w:t>and</w:t>
      </w:r>
      <w:r w:rsidRPr="00EC20A0">
        <w:rPr>
          <w:spacing w:val="-3"/>
        </w:rPr>
        <w:t xml:space="preserve"> </w:t>
      </w:r>
      <w:r w:rsidRPr="00EC20A0">
        <w:t>the</w:t>
      </w:r>
      <w:r w:rsidRPr="00EC20A0">
        <w:rPr>
          <w:spacing w:val="-3"/>
        </w:rPr>
        <w:t xml:space="preserve"> </w:t>
      </w:r>
      <w:r w:rsidRPr="00EC20A0">
        <w:t>individual</w:t>
      </w:r>
      <w:r w:rsidRPr="00EC20A0">
        <w:rPr>
          <w:spacing w:val="-3"/>
        </w:rPr>
        <w:t xml:space="preserve"> </w:t>
      </w:r>
      <w:r w:rsidRPr="00EC20A0">
        <w:t>auditors</w:t>
      </w:r>
      <w:r w:rsidRPr="00EC20A0">
        <w:rPr>
          <w:spacing w:val="-3"/>
        </w:rPr>
        <w:t xml:space="preserve"> </w:t>
      </w:r>
      <w:r w:rsidRPr="00EC20A0">
        <w:t>doing</w:t>
      </w:r>
      <w:r w:rsidRPr="00EC20A0">
        <w:rPr>
          <w:spacing w:val="-3"/>
        </w:rPr>
        <w:t xml:space="preserve"> </w:t>
      </w:r>
      <w:r w:rsidRPr="00EC20A0">
        <w:t>the</w:t>
      </w:r>
    </w:p>
    <w:p w14:paraId="24D5FE93" w14:textId="77777777" w:rsidR="00245300" w:rsidRPr="00EC20A0" w:rsidRDefault="00245300">
      <w:pPr>
        <w:sectPr w:rsidR="00245300" w:rsidRPr="00EC20A0">
          <w:pgSz w:w="12240" w:h="15840"/>
          <w:pgMar w:top="1340" w:right="940" w:bottom="940" w:left="1020" w:header="721" w:footer="757" w:gutter="0"/>
          <w:cols w:space="720"/>
        </w:sectPr>
      </w:pPr>
    </w:p>
    <w:p w14:paraId="24D5FE94" w14:textId="77777777" w:rsidR="00245300" w:rsidRPr="00EC20A0" w:rsidRDefault="00F17249">
      <w:pPr>
        <w:pStyle w:val="BodyText"/>
        <w:spacing w:before="121"/>
        <w:ind w:left="1860" w:right="562"/>
      </w:pPr>
      <w:r w:rsidRPr="00EC20A0">
        <w:t>work</w:t>
      </w:r>
      <w:r w:rsidRPr="00EC20A0">
        <w:rPr>
          <w:spacing w:val="-4"/>
        </w:rPr>
        <w:t xml:space="preserve"> </w:t>
      </w:r>
      <w:r w:rsidRPr="00EC20A0">
        <w:t>have</w:t>
      </w:r>
      <w:r w:rsidRPr="00EC20A0">
        <w:rPr>
          <w:spacing w:val="-4"/>
        </w:rPr>
        <w:t xml:space="preserve"> </w:t>
      </w:r>
      <w:r w:rsidRPr="00EC20A0">
        <w:t>complied</w:t>
      </w:r>
      <w:r w:rsidRPr="00EC20A0">
        <w:rPr>
          <w:spacing w:val="-4"/>
        </w:rPr>
        <w:t xml:space="preserve"> </w:t>
      </w:r>
      <w:r w:rsidRPr="00EC20A0">
        <w:t>with</w:t>
      </w:r>
      <w:r w:rsidRPr="00EC20A0">
        <w:rPr>
          <w:spacing w:val="-4"/>
        </w:rPr>
        <w:t xml:space="preserve"> </w:t>
      </w:r>
      <w:r w:rsidRPr="00EC20A0">
        <w:t>ethical</w:t>
      </w:r>
      <w:r w:rsidRPr="00EC20A0">
        <w:rPr>
          <w:spacing w:val="-4"/>
        </w:rPr>
        <w:t xml:space="preserve"> </w:t>
      </w:r>
      <w:r w:rsidRPr="00EC20A0">
        <w:t>requirements</w:t>
      </w:r>
      <w:r w:rsidRPr="00EC20A0">
        <w:rPr>
          <w:spacing w:val="-4"/>
        </w:rPr>
        <w:t xml:space="preserve"> </w:t>
      </w:r>
      <w:r w:rsidRPr="00EC20A0">
        <w:t>relevant</w:t>
      </w:r>
      <w:r w:rsidRPr="00EC20A0">
        <w:rPr>
          <w:spacing w:val="-4"/>
        </w:rPr>
        <w:t xml:space="preserve"> </w:t>
      </w:r>
      <w:r w:rsidRPr="00EC20A0">
        <w:t>to</w:t>
      </w:r>
      <w:r w:rsidRPr="00EC20A0">
        <w:rPr>
          <w:spacing w:val="-4"/>
        </w:rPr>
        <w:t xml:space="preserve"> </w:t>
      </w:r>
      <w:r w:rsidRPr="00EC20A0">
        <w:t>the</w:t>
      </w:r>
      <w:r w:rsidRPr="00EC20A0">
        <w:rPr>
          <w:spacing w:val="-5"/>
        </w:rPr>
        <w:t xml:space="preserve"> </w:t>
      </w:r>
      <w:r w:rsidRPr="00EC20A0">
        <w:t>group</w:t>
      </w:r>
      <w:r w:rsidRPr="00EC20A0">
        <w:rPr>
          <w:spacing w:val="-4"/>
        </w:rPr>
        <w:t xml:space="preserve"> </w:t>
      </w:r>
      <w:r w:rsidRPr="00EC20A0">
        <w:t>audit, including independence (AU-C 600A.42).</w:t>
      </w:r>
    </w:p>
    <w:p w14:paraId="24D5FE95" w14:textId="77777777" w:rsidR="00245300" w:rsidRPr="00EC20A0" w:rsidRDefault="00F17249">
      <w:pPr>
        <w:spacing w:before="241"/>
        <w:ind w:left="1140"/>
        <w:rPr>
          <w:b/>
          <w:sz w:val="24"/>
        </w:rPr>
      </w:pPr>
      <w:r w:rsidRPr="00EC20A0">
        <w:rPr>
          <w:b/>
          <w:sz w:val="24"/>
        </w:rPr>
        <w:t>Service</w:t>
      </w:r>
      <w:r w:rsidRPr="00EC20A0">
        <w:rPr>
          <w:b/>
          <w:spacing w:val="-4"/>
          <w:sz w:val="24"/>
        </w:rPr>
        <w:t xml:space="preserve"> </w:t>
      </w:r>
      <w:r w:rsidRPr="00EC20A0">
        <w:rPr>
          <w:b/>
          <w:spacing w:val="-2"/>
          <w:sz w:val="24"/>
        </w:rPr>
        <w:t>Auditors</w:t>
      </w:r>
    </w:p>
    <w:p w14:paraId="24D5FE96" w14:textId="77777777" w:rsidR="00245300" w:rsidRPr="00EC20A0" w:rsidRDefault="00F17249">
      <w:pPr>
        <w:pStyle w:val="ListParagraph"/>
        <w:numPr>
          <w:ilvl w:val="0"/>
          <w:numId w:val="21"/>
        </w:numPr>
        <w:tabs>
          <w:tab w:val="left" w:pos="1860"/>
        </w:tabs>
        <w:spacing w:before="238"/>
        <w:ind w:right="543" w:hanging="720"/>
      </w:pPr>
      <w:r w:rsidRPr="00EC20A0">
        <w:rPr>
          <w:color w:val="242424"/>
        </w:rPr>
        <w:t>When</w:t>
      </w:r>
      <w:r w:rsidRPr="00EC20A0">
        <w:rPr>
          <w:color w:val="242424"/>
          <w:spacing w:val="-1"/>
        </w:rPr>
        <w:t xml:space="preserve"> </w:t>
      </w:r>
      <w:r w:rsidRPr="00EC20A0">
        <w:rPr>
          <w:color w:val="242424"/>
        </w:rPr>
        <w:t>the</w:t>
      </w:r>
      <w:r w:rsidRPr="00EC20A0">
        <w:rPr>
          <w:color w:val="242424"/>
          <w:spacing w:val="-1"/>
        </w:rPr>
        <w:t xml:space="preserve"> </w:t>
      </w:r>
      <w:r w:rsidRPr="00EC20A0">
        <w:rPr>
          <w:color w:val="242424"/>
        </w:rPr>
        <w:t>auditor</w:t>
      </w:r>
      <w:r w:rsidRPr="00EC20A0">
        <w:rPr>
          <w:color w:val="242424"/>
          <w:spacing w:val="-1"/>
        </w:rPr>
        <w:t xml:space="preserve"> </w:t>
      </w:r>
      <w:r w:rsidRPr="00EC20A0">
        <w:rPr>
          <w:color w:val="242424"/>
        </w:rPr>
        <w:t>is</w:t>
      </w:r>
      <w:r w:rsidRPr="00EC20A0">
        <w:rPr>
          <w:color w:val="242424"/>
          <w:spacing w:val="-1"/>
        </w:rPr>
        <w:t xml:space="preserve"> </w:t>
      </w:r>
      <w:r w:rsidRPr="00EC20A0">
        <w:rPr>
          <w:color w:val="242424"/>
        </w:rPr>
        <w:t>using</w:t>
      </w:r>
      <w:r w:rsidRPr="00EC20A0">
        <w:rPr>
          <w:color w:val="242424"/>
          <w:spacing w:val="-1"/>
        </w:rPr>
        <w:t xml:space="preserve"> </w:t>
      </w:r>
      <w:r w:rsidRPr="00EC20A0">
        <w:rPr>
          <w:color w:val="242424"/>
        </w:rPr>
        <w:t>a</w:t>
      </w:r>
      <w:r w:rsidRPr="00EC20A0">
        <w:rPr>
          <w:color w:val="242424"/>
          <w:spacing w:val="-1"/>
        </w:rPr>
        <w:t xml:space="preserve"> </w:t>
      </w:r>
      <w:r w:rsidRPr="00EC20A0">
        <w:rPr>
          <w:color w:val="242424"/>
        </w:rPr>
        <w:t>type</w:t>
      </w:r>
      <w:r w:rsidRPr="00EC20A0">
        <w:rPr>
          <w:color w:val="242424"/>
          <w:spacing w:val="-1"/>
        </w:rPr>
        <w:t xml:space="preserve"> </w:t>
      </w:r>
      <w:r w:rsidRPr="00EC20A0">
        <w:rPr>
          <w:color w:val="242424"/>
        </w:rPr>
        <w:t>1</w:t>
      </w:r>
      <w:r w:rsidRPr="00EC20A0">
        <w:rPr>
          <w:color w:val="242424"/>
          <w:spacing w:val="-2"/>
        </w:rPr>
        <w:t xml:space="preserve"> </w:t>
      </w:r>
      <w:r w:rsidRPr="00EC20A0">
        <w:rPr>
          <w:color w:val="242424"/>
        </w:rPr>
        <w:t>or</w:t>
      </w:r>
      <w:r w:rsidRPr="00EC20A0">
        <w:rPr>
          <w:color w:val="242424"/>
          <w:spacing w:val="-1"/>
        </w:rPr>
        <w:t xml:space="preserve"> </w:t>
      </w:r>
      <w:r w:rsidRPr="00EC20A0">
        <w:rPr>
          <w:color w:val="242424"/>
        </w:rPr>
        <w:t>type</w:t>
      </w:r>
      <w:r w:rsidRPr="00EC20A0">
        <w:rPr>
          <w:color w:val="242424"/>
          <w:spacing w:val="-1"/>
        </w:rPr>
        <w:t xml:space="preserve"> </w:t>
      </w:r>
      <w:r w:rsidRPr="00EC20A0">
        <w:rPr>
          <w:color w:val="242424"/>
        </w:rPr>
        <w:t>2</w:t>
      </w:r>
      <w:r w:rsidRPr="00EC20A0">
        <w:rPr>
          <w:color w:val="242424"/>
          <w:spacing w:val="-1"/>
        </w:rPr>
        <w:t xml:space="preserve"> </w:t>
      </w:r>
      <w:r w:rsidRPr="00EC20A0">
        <w:rPr>
          <w:color w:val="242424"/>
        </w:rPr>
        <w:t>report</w:t>
      </w:r>
      <w:r w:rsidRPr="00EC20A0">
        <w:rPr>
          <w:color w:val="242424"/>
          <w:spacing w:val="-1"/>
        </w:rPr>
        <w:t xml:space="preserve"> </w:t>
      </w:r>
      <w:r w:rsidRPr="00EC20A0">
        <w:rPr>
          <w:color w:val="242424"/>
        </w:rPr>
        <w:t>prepared</w:t>
      </w:r>
      <w:r w:rsidRPr="00EC20A0">
        <w:rPr>
          <w:color w:val="242424"/>
          <w:spacing w:val="-1"/>
        </w:rPr>
        <w:t xml:space="preserve"> </w:t>
      </w:r>
      <w:r w:rsidRPr="00EC20A0">
        <w:rPr>
          <w:color w:val="242424"/>
        </w:rPr>
        <w:t>by</w:t>
      </w:r>
      <w:r w:rsidRPr="00EC20A0">
        <w:rPr>
          <w:color w:val="242424"/>
          <w:spacing w:val="-1"/>
        </w:rPr>
        <w:t xml:space="preserve"> </w:t>
      </w:r>
      <w:r w:rsidRPr="00EC20A0">
        <w:rPr>
          <w:color w:val="242424"/>
        </w:rPr>
        <w:t>a</w:t>
      </w:r>
      <w:r w:rsidRPr="00EC20A0">
        <w:rPr>
          <w:color w:val="242424"/>
          <w:spacing w:val="-1"/>
        </w:rPr>
        <w:t xml:space="preserve"> </w:t>
      </w:r>
      <w:r w:rsidRPr="00EC20A0">
        <w:rPr>
          <w:color w:val="242424"/>
        </w:rPr>
        <w:t>service</w:t>
      </w:r>
      <w:r w:rsidRPr="00EC20A0">
        <w:rPr>
          <w:color w:val="242424"/>
          <w:spacing w:val="-1"/>
        </w:rPr>
        <w:t xml:space="preserve"> </w:t>
      </w:r>
      <w:r w:rsidRPr="00EC20A0">
        <w:rPr>
          <w:color w:val="242424"/>
        </w:rPr>
        <w:t xml:space="preserve">auditor,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be</w:t>
      </w:r>
      <w:r w:rsidRPr="00EC20A0">
        <w:rPr>
          <w:spacing w:val="-4"/>
        </w:rPr>
        <w:t xml:space="preserve"> </w:t>
      </w:r>
      <w:r w:rsidRPr="00EC20A0">
        <w:t>satisfied</w:t>
      </w:r>
      <w:r w:rsidRPr="00EC20A0">
        <w:rPr>
          <w:spacing w:val="-4"/>
        </w:rPr>
        <w:t xml:space="preserve"> </w:t>
      </w:r>
      <w:r w:rsidRPr="00EC20A0">
        <w:t>regarding</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auditor’s</w:t>
      </w:r>
      <w:r w:rsidRPr="00EC20A0">
        <w:rPr>
          <w:spacing w:val="-5"/>
        </w:rPr>
        <w:t xml:space="preserve"> </w:t>
      </w:r>
      <w:r w:rsidRPr="00EC20A0">
        <w:t>independence</w:t>
      </w:r>
      <w:r w:rsidRPr="00EC20A0">
        <w:rPr>
          <w:spacing w:val="-4"/>
        </w:rPr>
        <w:t xml:space="preserve"> </w:t>
      </w:r>
      <w:r w:rsidRPr="00EC20A0">
        <w:t>from the service organization (see FAM 640.07). However, a service auditor need not be independent of the entity (AU-C 402.A22).</w:t>
      </w:r>
    </w:p>
    <w:p w14:paraId="24D5FE97" w14:textId="77777777" w:rsidR="00245300" w:rsidRPr="00EC20A0" w:rsidRDefault="00F17249">
      <w:pPr>
        <w:pStyle w:val="ListParagraph"/>
        <w:numPr>
          <w:ilvl w:val="0"/>
          <w:numId w:val="218"/>
        </w:numPr>
        <w:tabs>
          <w:tab w:val="left" w:pos="1860"/>
        </w:tabs>
        <w:spacing w:before="241"/>
        <w:ind w:right="602" w:hanging="720"/>
      </w:pPr>
      <w:r w:rsidRPr="00EC20A0">
        <w:t xml:space="preserve">Unless evidence to the contrary comes to the auditor’s attention, a service auditor’s report implies that the service auditor is independent of the service organization (AU-C 402.A22). The service auditor is required to include “independent” in the title of the report (AICPA’s </w:t>
      </w:r>
      <w:r w:rsidRPr="00EC20A0">
        <w:rPr>
          <w:i/>
        </w:rPr>
        <w:t xml:space="preserve">Standards for Attestation Engagements [Clarified] </w:t>
      </w:r>
      <w:r w:rsidRPr="00EC20A0">
        <w:t>(AT-C) 320.40–.41). If the auditor has questions or concerns</w:t>
      </w:r>
      <w:r w:rsidRPr="00EC20A0">
        <w:rPr>
          <w:spacing w:val="-4"/>
        </w:rPr>
        <w:t xml:space="preserve"> </w:t>
      </w:r>
      <w:r w:rsidRPr="00EC20A0">
        <w:t>about</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auditor’s</w:t>
      </w:r>
      <w:r w:rsidRPr="00EC20A0">
        <w:rPr>
          <w:spacing w:val="-5"/>
        </w:rPr>
        <w:t xml:space="preserve"> </w:t>
      </w:r>
      <w:r w:rsidRPr="00EC20A0">
        <w:t>independence,</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work</w:t>
      </w:r>
      <w:r w:rsidRPr="00EC20A0">
        <w:rPr>
          <w:spacing w:val="-4"/>
        </w:rPr>
        <w:t xml:space="preserve"> </w:t>
      </w:r>
      <w:r w:rsidRPr="00EC20A0">
        <w:t>with the entity under audit to assess the service auditor’s independence from the service</w:t>
      </w:r>
      <w:r w:rsidRPr="00EC20A0">
        <w:rPr>
          <w:spacing w:val="-3"/>
        </w:rPr>
        <w:t xml:space="preserve"> </w:t>
      </w:r>
      <w:r w:rsidRPr="00EC20A0">
        <w:t>organization</w:t>
      </w:r>
      <w:r w:rsidRPr="00EC20A0">
        <w:rPr>
          <w:spacing w:val="-3"/>
        </w:rPr>
        <w:t xml:space="preserve"> </w:t>
      </w:r>
      <w:r w:rsidRPr="00EC20A0">
        <w:t>using</w:t>
      </w:r>
      <w:r w:rsidRPr="00EC20A0">
        <w:rPr>
          <w:spacing w:val="-3"/>
        </w:rPr>
        <w:t xml:space="preserve"> </w:t>
      </w:r>
      <w:r w:rsidRPr="00EC20A0">
        <w:t>chapter</w:t>
      </w:r>
      <w:r w:rsidRPr="00EC20A0">
        <w:rPr>
          <w:spacing w:val="-3"/>
        </w:rPr>
        <w:t xml:space="preserve"> </w:t>
      </w:r>
      <w:r w:rsidRPr="00EC20A0">
        <w:t>3</w:t>
      </w:r>
      <w:r w:rsidRPr="00EC20A0">
        <w:rPr>
          <w:spacing w:val="-4"/>
        </w:rPr>
        <w:t xml:space="preserve"> </w:t>
      </w:r>
      <w:r w:rsidRPr="00EC20A0">
        <w:t>of</w:t>
      </w:r>
      <w:r w:rsidRPr="00EC20A0">
        <w:rPr>
          <w:spacing w:val="-3"/>
        </w:rPr>
        <w:t xml:space="preserve"> </w:t>
      </w:r>
      <w:r w:rsidRPr="00EC20A0">
        <w:t>GAGAS</w:t>
      </w:r>
      <w:r w:rsidRPr="00EC20A0">
        <w:rPr>
          <w:spacing w:val="-3"/>
        </w:rPr>
        <w:t xml:space="preserve"> </w:t>
      </w:r>
      <w:r w:rsidRPr="00EC20A0">
        <w:t>(2018)</w:t>
      </w:r>
      <w:r w:rsidRPr="00EC20A0">
        <w:rPr>
          <w:spacing w:val="-3"/>
        </w:rPr>
        <w:t xml:space="preserve"> </w:t>
      </w:r>
      <w:r w:rsidRPr="00EC20A0">
        <w:t>and</w:t>
      </w:r>
      <w:r w:rsidRPr="00EC20A0">
        <w:rPr>
          <w:spacing w:val="-3"/>
        </w:rPr>
        <w:t xml:space="preserve"> </w:t>
      </w:r>
      <w:r w:rsidRPr="00EC20A0">
        <w:t>FAM</w:t>
      </w:r>
      <w:r w:rsidRPr="00EC20A0">
        <w:rPr>
          <w:spacing w:val="-4"/>
        </w:rPr>
        <w:t xml:space="preserve"> </w:t>
      </w:r>
      <w:r w:rsidRPr="00EC20A0">
        <w:t>615.03</w:t>
      </w:r>
      <w:r w:rsidRPr="00EC20A0">
        <w:rPr>
          <w:spacing w:val="-3"/>
        </w:rPr>
        <w:t xml:space="preserve"> </w:t>
      </w:r>
      <w:r w:rsidRPr="00EC20A0">
        <w:t>through</w:t>
      </w:r>
    </w:p>
    <w:p w14:paraId="24D5FE98" w14:textId="77777777" w:rsidR="00245300" w:rsidRPr="00EC20A0" w:rsidRDefault="00F17249">
      <w:pPr>
        <w:pStyle w:val="BodyText"/>
        <w:spacing w:line="253" w:lineRule="exact"/>
        <w:ind w:left="1860"/>
      </w:pPr>
      <w:r w:rsidRPr="00EC20A0">
        <w:rPr>
          <w:spacing w:val="-4"/>
        </w:rPr>
        <w:t>.05.</w:t>
      </w:r>
    </w:p>
    <w:p w14:paraId="24D5FE99" w14:textId="77777777" w:rsidR="00245300" w:rsidRPr="00EC20A0" w:rsidRDefault="00F17249">
      <w:pPr>
        <w:spacing w:before="241"/>
        <w:ind w:left="1140"/>
        <w:rPr>
          <w:b/>
          <w:sz w:val="24"/>
        </w:rPr>
      </w:pPr>
      <w:bookmarkStart w:id="15" w:name="Government_Auditors"/>
      <w:bookmarkEnd w:id="15"/>
      <w:r w:rsidRPr="00EC20A0">
        <w:rPr>
          <w:b/>
          <w:sz w:val="24"/>
        </w:rPr>
        <w:t>Government</w:t>
      </w:r>
      <w:r w:rsidRPr="00EC20A0">
        <w:rPr>
          <w:b/>
          <w:spacing w:val="-5"/>
          <w:sz w:val="24"/>
        </w:rPr>
        <w:t xml:space="preserve"> </w:t>
      </w:r>
      <w:r w:rsidRPr="00EC20A0">
        <w:rPr>
          <w:b/>
          <w:spacing w:val="-2"/>
          <w:sz w:val="24"/>
        </w:rPr>
        <w:t>Auditors</w:t>
      </w:r>
    </w:p>
    <w:p w14:paraId="24D5FE9A" w14:textId="77777777" w:rsidR="00245300" w:rsidRPr="00EC20A0" w:rsidRDefault="00F17249">
      <w:pPr>
        <w:pStyle w:val="ListParagraph"/>
        <w:numPr>
          <w:ilvl w:val="0"/>
          <w:numId w:val="218"/>
        </w:numPr>
        <w:tabs>
          <w:tab w:val="left" w:pos="1859"/>
        </w:tabs>
        <w:spacing w:before="239"/>
        <w:ind w:left="1859" w:right="712" w:hanging="720"/>
      </w:pPr>
      <w:r w:rsidRPr="00EC20A0">
        <w:t>When using the work of government auditors, the auditor should also consider the</w:t>
      </w:r>
      <w:r w:rsidRPr="00EC20A0">
        <w:rPr>
          <w:spacing w:val="-4"/>
        </w:rPr>
        <w:t xml:space="preserve"> </w:t>
      </w:r>
      <w:r w:rsidRPr="00EC20A0">
        <w:t>guidance</w:t>
      </w:r>
      <w:r w:rsidRPr="00EC20A0">
        <w:rPr>
          <w:spacing w:val="-4"/>
        </w:rPr>
        <w:t xml:space="preserve"> </w:t>
      </w:r>
      <w:r w:rsidRPr="00EC20A0">
        <w:t>in</w:t>
      </w:r>
      <w:r w:rsidRPr="00EC20A0">
        <w:rPr>
          <w:spacing w:val="-4"/>
        </w:rPr>
        <w:t xml:space="preserve"> </w:t>
      </w:r>
      <w:r w:rsidRPr="00EC20A0">
        <w:t>GAGAS</w:t>
      </w:r>
      <w:r w:rsidRPr="00EC20A0">
        <w:rPr>
          <w:spacing w:val="-3"/>
        </w:rPr>
        <w:t xml:space="preserve"> </w:t>
      </w:r>
      <w:r w:rsidRPr="00EC20A0">
        <w:t>(2018)</w:t>
      </w:r>
      <w:r w:rsidRPr="00EC20A0">
        <w:rPr>
          <w:spacing w:val="-4"/>
        </w:rPr>
        <w:t xml:space="preserve"> </w:t>
      </w:r>
      <w:r w:rsidRPr="00EC20A0">
        <w:t>3.52</w:t>
      </w:r>
      <w:r w:rsidRPr="00EC20A0">
        <w:rPr>
          <w:spacing w:val="-4"/>
        </w:rPr>
        <w:t xml:space="preserve"> </w:t>
      </w:r>
      <w:r w:rsidRPr="00EC20A0">
        <w:t>through</w:t>
      </w:r>
      <w:r w:rsidRPr="00EC20A0">
        <w:rPr>
          <w:spacing w:val="-4"/>
        </w:rPr>
        <w:t xml:space="preserve"> </w:t>
      </w:r>
      <w:r w:rsidRPr="00EC20A0">
        <w:t>3.58</w:t>
      </w:r>
      <w:r w:rsidRPr="00EC20A0">
        <w:rPr>
          <w:spacing w:val="-4"/>
        </w:rPr>
        <w:t xml:space="preserve"> </w:t>
      </w:r>
      <w:r w:rsidRPr="00EC20A0">
        <w:t>in</w:t>
      </w:r>
      <w:r w:rsidRPr="00EC20A0">
        <w:rPr>
          <w:spacing w:val="-4"/>
        </w:rPr>
        <w:t xml:space="preserve"> </w:t>
      </w:r>
      <w:r w:rsidRPr="00EC20A0">
        <w:t>determining</w:t>
      </w:r>
      <w:r w:rsidRPr="00EC20A0">
        <w:rPr>
          <w:spacing w:val="-4"/>
        </w:rPr>
        <w:t xml:space="preserve"> </w:t>
      </w:r>
      <w:r w:rsidRPr="00EC20A0">
        <w:t>independence and objectivity.</w:t>
      </w:r>
    </w:p>
    <w:p w14:paraId="24D5FE9B" w14:textId="77777777" w:rsidR="00245300" w:rsidRPr="00EC20A0" w:rsidRDefault="00F17249">
      <w:pPr>
        <w:pStyle w:val="Heading4"/>
        <w:spacing w:before="241"/>
      </w:pPr>
      <w:r w:rsidRPr="00EC20A0">
        <w:t>Evaluating</w:t>
      </w:r>
      <w:r w:rsidRPr="00EC20A0">
        <w:rPr>
          <w:spacing w:val="-14"/>
        </w:rPr>
        <w:t xml:space="preserve"> </w:t>
      </w:r>
      <w:r w:rsidRPr="00EC20A0">
        <w:t>Other</w:t>
      </w:r>
      <w:r w:rsidRPr="00EC20A0">
        <w:rPr>
          <w:spacing w:val="-13"/>
        </w:rPr>
        <w:t xml:space="preserve"> </w:t>
      </w:r>
      <w:r w:rsidRPr="00EC20A0">
        <w:t>Auditors’</w:t>
      </w:r>
      <w:r w:rsidRPr="00EC20A0">
        <w:rPr>
          <w:spacing w:val="-12"/>
        </w:rPr>
        <w:t xml:space="preserve"> </w:t>
      </w:r>
      <w:r w:rsidRPr="00EC20A0">
        <w:t>or</w:t>
      </w:r>
      <w:r w:rsidRPr="00EC20A0">
        <w:rPr>
          <w:spacing w:val="-13"/>
        </w:rPr>
        <w:t xml:space="preserve"> </w:t>
      </w:r>
      <w:r w:rsidRPr="00EC20A0">
        <w:t>Specialists’</w:t>
      </w:r>
      <w:r w:rsidRPr="00EC20A0">
        <w:rPr>
          <w:spacing w:val="-15"/>
        </w:rPr>
        <w:t xml:space="preserve"> </w:t>
      </w:r>
      <w:r w:rsidRPr="00EC20A0">
        <w:rPr>
          <w:spacing w:val="-2"/>
        </w:rPr>
        <w:t>Competence</w:t>
      </w:r>
    </w:p>
    <w:p w14:paraId="24D5FE9C" w14:textId="77777777" w:rsidR="00245300" w:rsidRPr="00EC20A0" w:rsidRDefault="00F17249">
      <w:pPr>
        <w:pStyle w:val="Heading5"/>
        <w:spacing w:before="240"/>
        <w:ind w:left="1140"/>
        <w:rPr>
          <w:u w:val="none"/>
        </w:rPr>
      </w:pPr>
      <w:r w:rsidRPr="00EC20A0">
        <w:rPr>
          <w:spacing w:val="-2"/>
        </w:rPr>
        <w:t>Overview</w:t>
      </w:r>
    </w:p>
    <w:p w14:paraId="24D5FE9D" w14:textId="77777777" w:rsidR="00245300" w:rsidRPr="00EC20A0" w:rsidRDefault="00F17249">
      <w:pPr>
        <w:pStyle w:val="ListParagraph"/>
        <w:numPr>
          <w:ilvl w:val="0"/>
          <w:numId w:val="218"/>
        </w:numPr>
        <w:tabs>
          <w:tab w:val="left" w:pos="1859"/>
        </w:tabs>
        <w:spacing w:before="239"/>
        <w:ind w:left="1859" w:right="507" w:hanging="720"/>
      </w:pPr>
      <w:r w:rsidRPr="00EC20A0">
        <w:t>After evaluating the other auditors’ or specialists’ objectivity (and independence, as appropriate), the auditor should evaluate their competence to perform the specific tasks required (AU-C 402.13, AU-C 501.27, AU-C 600A.22, AU-C 610.13, and AU-C 620.09). This involves evaluating the competence of the other auditors’</w:t>
      </w:r>
      <w:r w:rsidRPr="00EC20A0">
        <w:rPr>
          <w:spacing w:val="-3"/>
        </w:rPr>
        <w:t xml:space="preserve"> </w:t>
      </w:r>
      <w:r w:rsidRPr="00EC20A0">
        <w:t>or</w:t>
      </w:r>
      <w:r w:rsidRPr="00EC20A0">
        <w:rPr>
          <w:spacing w:val="-4"/>
        </w:rPr>
        <w:t xml:space="preserve"> </w:t>
      </w:r>
      <w:r w:rsidRPr="00EC20A0">
        <w:t>specialists’</w:t>
      </w:r>
      <w:r w:rsidRPr="00EC20A0">
        <w:rPr>
          <w:spacing w:val="-3"/>
        </w:rPr>
        <w:t xml:space="preserve"> </w:t>
      </w:r>
      <w:r w:rsidRPr="00EC20A0">
        <w:t>firms</w:t>
      </w:r>
      <w:r w:rsidRPr="00EC20A0">
        <w:rPr>
          <w:spacing w:val="-3"/>
        </w:rPr>
        <w:t xml:space="preserve"> </w:t>
      </w:r>
      <w:r w:rsidRPr="00EC20A0">
        <w:t>as</w:t>
      </w:r>
      <w:r w:rsidRPr="00EC20A0">
        <w:rPr>
          <w:spacing w:val="-3"/>
        </w:rPr>
        <w:t xml:space="preserve"> </w:t>
      </w:r>
      <w:r w:rsidRPr="00EC20A0">
        <w:t>well</w:t>
      </w:r>
      <w:r w:rsidRPr="00EC20A0">
        <w:rPr>
          <w:spacing w:val="-4"/>
        </w:rPr>
        <w:t xml:space="preserve"> </w:t>
      </w:r>
      <w:r w:rsidRPr="00EC20A0">
        <w:t>as</w:t>
      </w:r>
      <w:r w:rsidRPr="00EC20A0">
        <w:rPr>
          <w:spacing w:val="-3"/>
        </w:rPr>
        <w:t xml:space="preserve"> </w:t>
      </w:r>
      <w:r w:rsidRPr="00EC20A0">
        <w:t>that</w:t>
      </w:r>
      <w:r w:rsidRPr="00EC20A0">
        <w:rPr>
          <w:spacing w:val="-3"/>
        </w:rPr>
        <w:t xml:space="preserve"> </w:t>
      </w:r>
      <w:r w:rsidRPr="00EC20A0">
        <w:t>of</w:t>
      </w:r>
      <w:r w:rsidRPr="00EC20A0">
        <w:rPr>
          <w:spacing w:val="-3"/>
        </w:rPr>
        <w:t xml:space="preserve"> </w:t>
      </w:r>
      <w:r w:rsidRPr="00EC20A0">
        <w:t>specific</w:t>
      </w:r>
      <w:r w:rsidRPr="00EC20A0">
        <w:rPr>
          <w:spacing w:val="-3"/>
        </w:rPr>
        <w:t xml:space="preserve"> </w:t>
      </w:r>
      <w:r w:rsidRPr="00EC20A0">
        <w:t>team</w:t>
      </w:r>
      <w:r w:rsidRPr="00EC20A0">
        <w:rPr>
          <w:spacing w:val="-4"/>
        </w:rPr>
        <w:t xml:space="preserve"> </w:t>
      </w:r>
      <w:r w:rsidRPr="00EC20A0">
        <w:t>members.</w:t>
      </w:r>
      <w:r w:rsidRPr="00EC20A0">
        <w:rPr>
          <w:spacing w:val="-2"/>
        </w:rPr>
        <w:t xml:space="preserve"> </w:t>
      </w:r>
      <w:r w:rsidRPr="00EC20A0">
        <w:t>Where</w:t>
      </w:r>
      <w:r w:rsidRPr="00EC20A0">
        <w:rPr>
          <w:spacing w:val="-3"/>
        </w:rPr>
        <w:t xml:space="preserve"> </w:t>
      </w:r>
      <w:r w:rsidRPr="00EC20A0">
        <w:t>the auditor has previously used the work of the same other auditors or specialists,</w:t>
      </w:r>
      <w:r w:rsidRPr="00EC20A0">
        <w:rPr>
          <w:spacing w:val="40"/>
        </w:rPr>
        <w:t xml:space="preserve"> </w:t>
      </w:r>
      <w:r w:rsidRPr="00EC20A0">
        <w:t>the auditor generally should update the previous evaluation.</w:t>
      </w:r>
    </w:p>
    <w:p w14:paraId="24D5FE9E" w14:textId="77777777" w:rsidR="00245300" w:rsidRPr="00EC20A0" w:rsidRDefault="00F17249">
      <w:pPr>
        <w:pStyle w:val="Heading5"/>
        <w:ind w:left="1140" w:right="562"/>
        <w:rPr>
          <w:u w:val="none"/>
        </w:rPr>
      </w:pPr>
      <w:r w:rsidRPr="00EC20A0">
        <w:t>Evaluating</w:t>
      </w:r>
      <w:r w:rsidRPr="00EC20A0">
        <w:rPr>
          <w:spacing w:val="-6"/>
        </w:rPr>
        <w:t xml:space="preserve"> </w:t>
      </w:r>
      <w:r w:rsidRPr="00EC20A0">
        <w:t>Other</w:t>
      </w:r>
      <w:r w:rsidRPr="00EC20A0">
        <w:rPr>
          <w:spacing w:val="-7"/>
        </w:rPr>
        <w:t xml:space="preserve"> </w:t>
      </w:r>
      <w:r w:rsidRPr="00EC20A0">
        <w:t>Auditors’</w:t>
      </w:r>
      <w:r w:rsidRPr="00EC20A0">
        <w:rPr>
          <w:spacing w:val="-5"/>
        </w:rPr>
        <w:t xml:space="preserve"> </w:t>
      </w:r>
      <w:r w:rsidRPr="00EC20A0">
        <w:t>or</w:t>
      </w:r>
      <w:r w:rsidRPr="00EC20A0">
        <w:rPr>
          <w:spacing w:val="-8"/>
        </w:rPr>
        <w:t xml:space="preserve"> </w:t>
      </w:r>
      <w:r w:rsidRPr="00EC20A0">
        <w:t>Specialists’</w:t>
      </w:r>
      <w:r w:rsidRPr="00EC20A0">
        <w:rPr>
          <w:spacing w:val="-5"/>
        </w:rPr>
        <w:t xml:space="preserve"> </w:t>
      </w:r>
      <w:r w:rsidRPr="00EC20A0">
        <w:t>Competence</w:t>
      </w:r>
      <w:r w:rsidRPr="00EC20A0">
        <w:rPr>
          <w:spacing w:val="-6"/>
        </w:rPr>
        <w:t xml:space="preserve"> </w:t>
      </w:r>
      <w:r w:rsidRPr="00EC20A0">
        <w:t>at</w:t>
      </w:r>
      <w:r w:rsidRPr="00EC20A0">
        <w:rPr>
          <w:spacing w:val="-5"/>
        </w:rPr>
        <w:t xml:space="preserve"> </w:t>
      </w:r>
      <w:r w:rsidRPr="00EC20A0">
        <w:t>the</w:t>
      </w:r>
      <w:r w:rsidRPr="00EC20A0">
        <w:rPr>
          <w:u w:val="none"/>
        </w:rPr>
        <w:t xml:space="preserve"> </w:t>
      </w:r>
      <w:r w:rsidRPr="00EC20A0">
        <w:t>Organization/Firm Level</w:t>
      </w:r>
    </w:p>
    <w:p w14:paraId="24D5FE9F" w14:textId="77777777" w:rsidR="00245300" w:rsidRPr="00EC20A0" w:rsidRDefault="00F17249">
      <w:pPr>
        <w:pStyle w:val="ListParagraph"/>
        <w:numPr>
          <w:ilvl w:val="0"/>
          <w:numId w:val="218"/>
        </w:numPr>
        <w:tabs>
          <w:tab w:val="left" w:pos="1859"/>
        </w:tabs>
        <w:spacing w:before="239"/>
        <w:ind w:left="1859" w:right="504" w:hanging="720"/>
      </w:pPr>
      <w:r w:rsidRPr="00EC20A0">
        <w:t>If</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engages</w:t>
      </w:r>
      <w:r w:rsidRPr="00EC20A0">
        <w:rPr>
          <w:spacing w:val="-2"/>
        </w:rPr>
        <w:t xml:space="preserve"> </w:t>
      </w:r>
      <w:r w:rsidRPr="00EC20A0">
        <w:t>the</w:t>
      </w:r>
      <w:r w:rsidRPr="00EC20A0">
        <w:rPr>
          <w:spacing w:val="-3"/>
        </w:rPr>
        <w:t xml:space="preserve"> </w:t>
      </w:r>
      <w:r w:rsidRPr="00EC20A0">
        <w:t>other</w:t>
      </w:r>
      <w:r w:rsidRPr="00EC20A0">
        <w:rPr>
          <w:spacing w:val="-3"/>
        </w:rPr>
        <w:t xml:space="preserve"> </w:t>
      </w:r>
      <w:r w:rsidRPr="00EC20A0">
        <w:t>auditors</w:t>
      </w:r>
      <w:r w:rsidRPr="00EC20A0">
        <w:rPr>
          <w:spacing w:val="-3"/>
        </w:rPr>
        <w:t xml:space="preserve"> </w:t>
      </w:r>
      <w:r w:rsidRPr="00EC20A0">
        <w:t>or</w:t>
      </w:r>
      <w:r w:rsidRPr="00EC20A0">
        <w:rPr>
          <w:spacing w:val="-3"/>
        </w:rPr>
        <w:t xml:space="preserve"> </w:t>
      </w:r>
      <w:r w:rsidRPr="00EC20A0">
        <w:t>specialists</w:t>
      </w:r>
      <w:r w:rsidRPr="00EC20A0">
        <w:rPr>
          <w:spacing w:val="-3"/>
        </w:rPr>
        <w:t xml:space="preserve"> </w:t>
      </w:r>
      <w:r w:rsidRPr="00EC20A0">
        <w:t>as</w:t>
      </w:r>
      <w:r w:rsidRPr="00EC20A0">
        <w:rPr>
          <w:spacing w:val="-3"/>
        </w:rPr>
        <w:t xml:space="preserve"> </w:t>
      </w:r>
      <w:r w:rsidRPr="00EC20A0">
        <w:t>a</w:t>
      </w:r>
      <w:r w:rsidRPr="00EC20A0">
        <w:rPr>
          <w:spacing w:val="-3"/>
        </w:rPr>
        <w:t xml:space="preserve"> </w:t>
      </w:r>
      <w:r w:rsidRPr="00EC20A0">
        <w:t>contractor,</w:t>
      </w:r>
      <w:r w:rsidRPr="00EC20A0">
        <w:rPr>
          <w:spacing w:val="-3"/>
        </w:rPr>
        <w:t xml:space="preserve"> </w:t>
      </w:r>
      <w:r w:rsidRPr="00EC20A0">
        <w:t>the</w:t>
      </w:r>
      <w:r w:rsidRPr="00EC20A0">
        <w:rPr>
          <w:spacing w:val="-3"/>
        </w:rPr>
        <w:t xml:space="preserve"> </w:t>
      </w:r>
      <w:r w:rsidRPr="00EC20A0">
        <w:t xml:space="preserve">auditor generally should evaluate the other </w:t>
      </w:r>
      <w:r w:rsidRPr="00EC20A0">
        <w:t>auditors’ or specialists’ firms’ qualifications through the contracting process, usually by using a technical evaluation panel for selecting a qualified firm. A firm may submit résumés for its key team members, demonstrate why its team is qualified to do the work, and submit its plan for performing the work.</w:t>
      </w:r>
    </w:p>
    <w:p w14:paraId="24D5FEA0" w14:textId="77777777" w:rsidR="00245300" w:rsidRPr="00EC20A0" w:rsidRDefault="00F17249">
      <w:pPr>
        <w:pStyle w:val="BodyText"/>
        <w:spacing w:before="240"/>
        <w:ind w:left="1859" w:right="527"/>
      </w:pPr>
      <w:r w:rsidRPr="00EC20A0">
        <w:t>Audit firms should submit their latest peer review report (GAGAS (2018) 5.80), letter</w:t>
      </w:r>
      <w:r w:rsidRPr="00EC20A0">
        <w:rPr>
          <w:spacing w:val="-3"/>
        </w:rPr>
        <w:t xml:space="preserve"> </w:t>
      </w:r>
      <w:r w:rsidRPr="00EC20A0">
        <w:t>of</w:t>
      </w:r>
      <w:r w:rsidRPr="00EC20A0">
        <w:rPr>
          <w:spacing w:val="-3"/>
        </w:rPr>
        <w:t xml:space="preserve"> </w:t>
      </w:r>
      <w:r w:rsidRPr="00EC20A0">
        <w:t>comments,</w:t>
      </w:r>
      <w:r w:rsidRPr="00EC20A0">
        <w:rPr>
          <w:spacing w:val="-3"/>
        </w:rPr>
        <w:t xml:space="preserve"> </w:t>
      </w:r>
      <w:r w:rsidRPr="00EC20A0">
        <w:t>and</w:t>
      </w:r>
      <w:r w:rsidRPr="00EC20A0">
        <w:rPr>
          <w:spacing w:val="-3"/>
        </w:rPr>
        <w:t xml:space="preserve"> </w:t>
      </w:r>
      <w:r w:rsidRPr="00EC20A0">
        <w:t>response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peer</w:t>
      </w:r>
      <w:r w:rsidRPr="00EC20A0">
        <w:rPr>
          <w:spacing w:val="-3"/>
        </w:rPr>
        <w:t xml:space="preserve"> </w:t>
      </w:r>
      <w:r w:rsidRPr="00EC20A0">
        <w:t>review</w:t>
      </w:r>
      <w:r w:rsidRPr="00EC20A0">
        <w:rPr>
          <w:spacing w:val="-4"/>
        </w:rPr>
        <w:t xml:space="preserve"> </w:t>
      </w:r>
      <w:r w:rsidRPr="00EC20A0">
        <w:t>report</w:t>
      </w:r>
      <w:r w:rsidRPr="00EC20A0">
        <w:rPr>
          <w:spacing w:val="-3"/>
        </w:rPr>
        <w:t xml:space="preserve"> </w:t>
      </w:r>
      <w:r w:rsidRPr="00EC20A0">
        <w:t>(see</w:t>
      </w:r>
      <w:r w:rsidRPr="00EC20A0">
        <w:rPr>
          <w:spacing w:val="-3"/>
        </w:rPr>
        <w:t xml:space="preserve"> </w:t>
      </w:r>
      <w:r w:rsidRPr="00EC20A0">
        <w:t>FAM</w:t>
      </w:r>
      <w:r w:rsidRPr="00EC20A0">
        <w:rPr>
          <w:spacing w:val="-4"/>
        </w:rPr>
        <w:t xml:space="preserve"> </w:t>
      </w:r>
      <w:r w:rsidRPr="00EC20A0">
        <w:t>615.27–.29</w:t>
      </w:r>
    </w:p>
    <w:p w14:paraId="24D5FEA1" w14:textId="77777777" w:rsidR="00245300" w:rsidRPr="00EC20A0" w:rsidRDefault="00245300">
      <w:pPr>
        <w:sectPr w:rsidR="00245300" w:rsidRPr="00EC20A0">
          <w:pgSz w:w="12240" w:h="15840"/>
          <w:pgMar w:top="1340" w:right="940" w:bottom="940" w:left="1020" w:header="721" w:footer="757" w:gutter="0"/>
          <w:cols w:space="720"/>
        </w:sectPr>
      </w:pPr>
    </w:p>
    <w:p w14:paraId="24D5FEA2" w14:textId="77777777" w:rsidR="00245300" w:rsidRPr="00EC20A0" w:rsidRDefault="00F17249">
      <w:pPr>
        <w:pStyle w:val="BodyText"/>
        <w:spacing w:before="121"/>
        <w:ind w:left="1859" w:right="508"/>
        <w:jc w:val="both"/>
        <w:rPr>
          <w:sz w:val="14"/>
        </w:rPr>
      </w:pPr>
      <w:r w:rsidRPr="00EC20A0">
        <w:t>for</w:t>
      </w:r>
      <w:r w:rsidRPr="00EC20A0">
        <w:rPr>
          <w:spacing w:val="-1"/>
        </w:rPr>
        <w:t xml:space="preserve"> </w:t>
      </w:r>
      <w:r w:rsidRPr="00EC20A0">
        <w:t>internal</w:t>
      </w:r>
      <w:r w:rsidRPr="00EC20A0">
        <w:rPr>
          <w:spacing w:val="-1"/>
        </w:rPr>
        <w:t xml:space="preserve"> </w:t>
      </w:r>
      <w:r w:rsidRPr="00EC20A0">
        <w:t>specialists</w:t>
      </w:r>
      <w:r w:rsidRPr="00EC20A0">
        <w:rPr>
          <w:spacing w:val="-1"/>
        </w:rPr>
        <w:t xml:space="preserve"> </w:t>
      </w:r>
      <w:r w:rsidRPr="00EC20A0">
        <w:t>who</w:t>
      </w:r>
      <w:r w:rsidRPr="00EC20A0">
        <w:rPr>
          <w:spacing w:val="-1"/>
        </w:rPr>
        <w:t xml:space="preserve"> </w:t>
      </w:r>
      <w:r w:rsidRPr="00EC20A0">
        <w:t>do</w:t>
      </w:r>
      <w:r w:rsidRPr="00EC20A0">
        <w:rPr>
          <w:spacing w:val="-1"/>
        </w:rPr>
        <w:t xml:space="preserve"> </w:t>
      </w:r>
      <w:r w:rsidRPr="00EC20A0">
        <w:t>not</w:t>
      </w:r>
      <w:r w:rsidRPr="00EC20A0">
        <w:rPr>
          <w:spacing w:val="-1"/>
        </w:rPr>
        <w:t xml:space="preserve"> </w:t>
      </w:r>
      <w:r w:rsidRPr="00EC20A0">
        <w:t>have</w:t>
      </w:r>
      <w:r w:rsidRPr="00EC20A0">
        <w:rPr>
          <w:spacing w:val="-1"/>
        </w:rPr>
        <w:t xml:space="preserve"> </w:t>
      </w:r>
      <w:r w:rsidRPr="00EC20A0">
        <w:t>peer</w:t>
      </w:r>
      <w:r w:rsidRPr="00EC20A0">
        <w:rPr>
          <w:spacing w:val="-1"/>
        </w:rPr>
        <w:t xml:space="preserve"> </w:t>
      </w:r>
      <w:r w:rsidRPr="00EC20A0">
        <w:t>review</w:t>
      </w:r>
      <w:r w:rsidRPr="00EC20A0">
        <w:rPr>
          <w:spacing w:val="-2"/>
        </w:rPr>
        <w:t xml:space="preserve"> </w:t>
      </w:r>
      <w:r w:rsidRPr="00EC20A0">
        <w:t>report).</w:t>
      </w:r>
      <w:hyperlink w:anchor="_bookmark4" w:history="1">
        <w:r w:rsidRPr="00EC20A0">
          <w:rPr>
            <w:position w:val="7"/>
            <w:sz w:val="14"/>
          </w:rPr>
          <w:t>2</w:t>
        </w:r>
      </w:hyperlink>
      <w:r w:rsidRPr="00EC20A0">
        <w:rPr>
          <w:spacing w:val="20"/>
          <w:position w:val="7"/>
          <w:sz w:val="14"/>
        </w:rPr>
        <w:t xml:space="preserve"> </w:t>
      </w:r>
      <w:r w:rsidRPr="00EC20A0">
        <w:t>The</w:t>
      </w:r>
      <w:r w:rsidRPr="00EC20A0">
        <w:rPr>
          <w:spacing w:val="-1"/>
        </w:rPr>
        <w:t xml:space="preserve"> </w:t>
      </w:r>
      <w:r w:rsidRPr="00EC20A0">
        <w:t>firm</w:t>
      </w:r>
      <w:r w:rsidRPr="00EC20A0">
        <w:rPr>
          <w:spacing w:val="-2"/>
        </w:rPr>
        <w:t xml:space="preserve"> </w:t>
      </w:r>
      <w:r w:rsidRPr="00EC20A0">
        <w:t>should</w:t>
      </w:r>
      <w:r w:rsidRPr="00EC20A0">
        <w:rPr>
          <w:spacing w:val="-1"/>
        </w:rPr>
        <w:t xml:space="preserve"> </w:t>
      </w:r>
      <w:r w:rsidRPr="00EC20A0">
        <w:t>also agree to submit updated peer review</w:t>
      </w:r>
      <w:r w:rsidRPr="00EC20A0">
        <w:rPr>
          <w:spacing w:val="-1"/>
        </w:rPr>
        <w:t xml:space="preserve"> </w:t>
      </w:r>
      <w:r w:rsidRPr="00EC20A0">
        <w:t>reports during the period of the contract. To comply</w:t>
      </w:r>
      <w:r w:rsidRPr="00EC20A0">
        <w:rPr>
          <w:spacing w:val="-3"/>
        </w:rPr>
        <w:t xml:space="preserve"> </w:t>
      </w:r>
      <w:r w:rsidRPr="00EC20A0">
        <w:t>with</w:t>
      </w:r>
      <w:r w:rsidRPr="00EC20A0">
        <w:rPr>
          <w:spacing w:val="-3"/>
        </w:rPr>
        <w:t xml:space="preserve"> </w:t>
      </w:r>
      <w:r w:rsidRPr="00EC20A0">
        <w:t>GAGAS,</w:t>
      </w:r>
      <w:r w:rsidRPr="00EC20A0">
        <w:rPr>
          <w:spacing w:val="-3"/>
        </w:rPr>
        <w:t xml:space="preserve"> </w:t>
      </w:r>
      <w:r w:rsidRPr="00EC20A0">
        <w:t>a</w:t>
      </w:r>
      <w:r w:rsidRPr="00EC20A0">
        <w:rPr>
          <w:spacing w:val="-3"/>
        </w:rPr>
        <w:t xml:space="preserve"> </w:t>
      </w:r>
      <w:r w:rsidRPr="00EC20A0">
        <w:t>firm</w:t>
      </w:r>
      <w:r w:rsidRPr="00EC20A0">
        <w:rPr>
          <w:spacing w:val="-4"/>
        </w:rPr>
        <w:t xml:space="preserve"> </w:t>
      </w:r>
      <w:r w:rsidRPr="00EC20A0">
        <w:t>must</w:t>
      </w:r>
      <w:r w:rsidRPr="00EC20A0">
        <w:rPr>
          <w:spacing w:val="-3"/>
        </w:rPr>
        <w:t xml:space="preserve"> </w:t>
      </w:r>
      <w:r w:rsidRPr="00EC20A0">
        <w:t>have</w:t>
      </w:r>
      <w:r w:rsidRPr="00EC20A0">
        <w:rPr>
          <w:spacing w:val="-3"/>
        </w:rPr>
        <w:t xml:space="preserve"> </w:t>
      </w:r>
      <w:r w:rsidRPr="00EC20A0">
        <w:t>had</w:t>
      </w:r>
      <w:r w:rsidRPr="00EC20A0">
        <w:rPr>
          <w:spacing w:val="-3"/>
        </w:rPr>
        <w:t xml:space="preserve"> </w:t>
      </w:r>
      <w:r w:rsidRPr="00EC20A0">
        <w:t>an</w:t>
      </w:r>
      <w:r w:rsidRPr="00EC20A0">
        <w:rPr>
          <w:spacing w:val="-3"/>
        </w:rPr>
        <w:t xml:space="preserve"> </w:t>
      </w:r>
      <w:r w:rsidRPr="00EC20A0">
        <w:t>external</w:t>
      </w:r>
      <w:r w:rsidRPr="00EC20A0">
        <w:rPr>
          <w:spacing w:val="-3"/>
        </w:rPr>
        <w:t xml:space="preserve"> </w:t>
      </w:r>
      <w:r w:rsidRPr="00EC20A0">
        <w:t>peer</w:t>
      </w:r>
      <w:r w:rsidRPr="00EC20A0">
        <w:rPr>
          <w:spacing w:val="-3"/>
        </w:rPr>
        <w:t xml:space="preserve"> </w:t>
      </w:r>
      <w:r w:rsidRPr="00EC20A0">
        <w:t>review</w:t>
      </w:r>
      <w:r w:rsidRPr="00EC20A0">
        <w:rPr>
          <w:spacing w:val="-4"/>
        </w:rPr>
        <w:t xml:space="preserve"> </w:t>
      </w:r>
      <w:r w:rsidRPr="00EC20A0">
        <w:t>within</w:t>
      </w:r>
      <w:r w:rsidRPr="00EC20A0">
        <w:rPr>
          <w:spacing w:val="-4"/>
        </w:rPr>
        <w:t xml:space="preserve"> </w:t>
      </w:r>
      <w:r w:rsidRPr="00EC20A0">
        <w:t>the</w:t>
      </w:r>
      <w:r w:rsidRPr="00EC20A0">
        <w:rPr>
          <w:spacing w:val="-3"/>
        </w:rPr>
        <w:t xml:space="preserve"> </w:t>
      </w:r>
      <w:r w:rsidRPr="00EC20A0">
        <w:t>last 3 years (see GAGAS (2018) 5.84).</w:t>
      </w:r>
      <w:hyperlink w:anchor="_bookmark5" w:history="1">
        <w:r w:rsidRPr="00EC20A0">
          <w:rPr>
            <w:position w:val="7"/>
            <w:sz w:val="14"/>
          </w:rPr>
          <w:t>3</w:t>
        </w:r>
      </w:hyperlink>
    </w:p>
    <w:p w14:paraId="24D5FEA3" w14:textId="77777777" w:rsidR="00245300" w:rsidRPr="00EC20A0" w:rsidRDefault="00F17249">
      <w:pPr>
        <w:pStyle w:val="BodyText"/>
        <w:spacing w:before="240"/>
        <w:ind w:left="1860" w:right="562" w:hanging="1"/>
        <w:rPr>
          <w:sz w:val="14"/>
        </w:rPr>
      </w:pPr>
      <w:r w:rsidRPr="00EC20A0">
        <w:t>An IPA firm may also be asked to submit its latest public inspection report that the PCAOB prepared, but these reports pertain to audits of publicly traded companies and related quality controls. However, to the extent that they raise issues</w:t>
      </w:r>
      <w:r w:rsidRPr="00EC20A0">
        <w:rPr>
          <w:spacing w:val="-3"/>
        </w:rPr>
        <w:t xml:space="preserve"> </w:t>
      </w:r>
      <w:r w:rsidRPr="00EC20A0">
        <w:t>about</w:t>
      </w:r>
      <w:r w:rsidRPr="00EC20A0">
        <w:rPr>
          <w:spacing w:val="-3"/>
        </w:rPr>
        <w:t xml:space="preserve"> </w:t>
      </w:r>
      <w:r w:rsidRPr="00EC20A0">
        <w:t>quality</w:t>
      </w:r>
      <w:r w:rsidRPr="00EC20A0">
        <w:rPr>
          <w:spacing w:val="-4"/>
        </w:rPr>
        <w:t xml:space="preserve"> </w:t>
      </w:r>
      <w:r w:rsidRPr="00EC20A0">
        <w:t>controls</w:t>
      </w:r>
      <w:r w:rsidRPr="00EC20A0">
        <w:rPr>
          <w:spacing w:val="-3"/>
        </w:rPr>
        <w:t xml:space="preserve"> </w:t>
      </w:r>
      <w:r w:rsidRPr="00EC20A0">
        <w:t>or</w:t>
      </w:r>
      <w:r w:rsidRPr="00EC20A0">
        <w:rPr>
          <w:spacing w:val="-3"/>
        </w:rPr>
        <w:t xml:space="preserve"> </w:t>
      </w:r>
      <w:r w:rsidRPr="00EC20A0">
        <w:t>methodology,</w:t>
      </w:r>
      <w:r w:rsidRPr="00EC20A0">
        <w:rPr>
          <w:spacing w:val="-3"/>
        </w:rPr>
        <w:t xml:space="preserve"> </w:t>
      </w:r>
      <w:r w:rsidRPr="00EC20A0">
        <w:t>they</w:t>
      </w:r>
      <w:r w:rsidRPr="00EC20A0">
        <w:rPr>
          <w:spacing w:val="-3"/>
        </w:rPr>
        <w:t xml:space="preserve"> </w:t>
      </w:r>
      <w:r w:rsidRPr="00EC20A0">
        <w:t>may</w:t>
      </w:r>
      <w:r w:rsidRPr="00EC20A0">
        <w:rPr>
          <w:spacing w:val="-3"/>
        </w:rPr>
        <w:t xml:space="preserve"> </w:t>
      </w:r>
      <w:r w:rsidRPr="00EC20A0">
        <w:t>be</w:t>
      </w:r>
      <w:r w:rsidRPr="00EC20A0">
        <w:rPr>
          <w:spacing w:val="-3"/>
        </w:rPr>
        <w:t xml:space="preserve"> </w:t>
      </w:r>
      <w:r w:rsidRPr="00EC20A0">
        <w:t>applicable</w:t>
      </w:r>
      <w:r w:rsidRPr="00EC20A0">
        <w:rPr>
          <w:spacing w:val="-3"/>
        </w:rPr>
        <w:t xml:space="preserve"> </w:t>
      </w:r>
      <w:r w:rsidRPr="00EC20A0">
        <w:t>to</w:t>
      </w:r>
      <w:r w:rsidRPr="00EC20A0">
        <w:rPr>
          <w:spacing w:val="-4"/>
        </w:rPr>
        <w:t xml:space="preserve"> </w:t>
      </w:r>
      <w:r w:rsidRPr="00EC20A0">
        <w:t>audits</w:t>
      </w:r>
      <w:r w:rsidRPr="00EC20A0">
        <w:rPr>
          <w:spacing w:val="-3"/>
        </w:rPr>
        <w:t xml:space="preserve"> </w:t>
      </w:r>
      <w:r w:rsidRPr="00EC20A0">
        <w:t xml:space="preserve">of </w:t>
      </w:r>
      <w:r w:rsidRPr="00EC20A0">
        <w:rPr>
          <w:spacing w:val="-2"/>
        </w:rPr>
        <w:t>entities.</w:t>
      </w:r>
      <w:hyperlink w:anchor="_bookmark6" w:history="1">
        <w:r w:rsidRPr="00EC20A0">
          <w:rPr>
            <w:spacing w:val="-2"/>
            <w:position w:val="7"/>
            <w:sz w:val="14"/>
          </w:rPr>
          <w:t>4</w:t>
        </w:r>
      </w:hyperlink>
    </w:p>
    <w:p w14:paraId="24D5FEA4" w14:textId="77777777" w:rsidR="00245300" w:rsidRPr="00EC20A0" w:rsidRDefault="00F17249">
      <w:pPr>
        <w:pStyle w:val="ListParagraph"/>
        <w:numPr>
          <w:ilvl w:val="0"/>
          <w:numId w:val="218"/>
        </w:numPr>
        <w:tabs>
          <w:tab w:val="left" w:pos="1859"/>
        </w:tabs>
        <w:ind w:left="1859" w:right="798" w:hanging="720"/>
      </w:pPr>
      <w:r w:rsidRPr="00EC20A0">
        <w:t>Where the auditor did not participate in the contracting process for the other auditors</w:t>
      </w:r>
      <w:r w:rsidRPr="00EC20A0">
        <w:rPr>
          <w:spacing w:val="-4"/>
        </w:rPr>
        <w:t xml:space="preserve"> </w:t>
      </w:r>
      <w:r w:rsidRPr="00EC20A0">
        <w:t>or</w:t>
      </w:r>
      <w:r w:rsidRPr="00EC20A0">
        <w:rPr>
          <w:spacing w:val="-4"/>
        </w:rPr>
        <w:t xml:space="preserve"> </w:t>
      </w:r>
      <w:r w:rsidRPr="00EC20A0">
        <w:t>specialists,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determine</w:t>
      </w:r>
      <w:r w:rsidRPr="00EC20A0">
        <w:rPr>
          <w:spacing w:val="-4"/>
        </w:rPr>
        <w:t xml:space="preserve"> </w:t>
      </w:r>
      <w:r w:rsidRPr="00EC20A0">
        <w:t>how</w:t>
      </w:r>
      <w:r w:rsidRPr="00EC20A0">
        <w:rPr>
          <w:spacing w:val="-5"/>
        </w:rPr>
        <w:t xml:space="preserve"> </w:t>
      </w:r>
      <w:r w:rsidRPr="00EC20A0">
        <w:t>the</w:t>
      </w:r>
      <w:r w:rsidRPr="00EC20A0">
        <w:rPr>
          <w:spacing w:val="-4"/>
        </w:rPr>
        <w:t xml:space="preserve"> </w:t>
      </w:r>
      <w:r w:rsidRPr="00EC20A0">
        <w:t>qualifications</w:t>
      </w:r>
      <w:r w:rsidRPr="00EC20A0">
        <w:rPr>
          <w:spacing w:val="-4"/>
        </w:rPr>
        <w:t xml:space="preserve"> </w:t>
      </w:r>
      <w:r w:rsidRPr="00EC20A0">
        <w:t>of</w:t>
      </w:r>
      <w:r w:rsidRPr="00EC20A0">
        <w:rPr>
          <w:spacing w:val="-4"/>
        </w:rPr>
        <w:t xml:space="preserve"> </w:t>
      </w:r>
      <w:r w:rsidRPr="00EC20A0">
        <w:t>a firm were evaluated. For example, consider whether the technical evaluation panel or entity under audit review provided the following:</w:t>
      </w:r>
    </w:p>
    <w:p w14:paraId="24D5FEA5" w14:textId="77777777" w:rsidR="00245300" w:rsidRPr="00EC20A0" w:rsidRDefault="00F17249">
      <w:pPr>
        <w:pStyle w:val="ListParagraph"/>
        <w:numPr>
          <w:ilvl w:val="1"/>
          <w:numId w:val="218"/>
        </w:numPr>
        <w:tabs>
          <w:tab w:val="left" w:pos="2219"/>
        </w:tabs>
      </w:pPr>
      <w:r w:rsidRPr="00EC20A0">
        <w:t>résumés</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key</w:t>
      </w:r>
      <w:r w:rsidRPr="00EC20A0">
        <w:rPr>
          <w:spacing w:val="-5"/>
        </w:rPr>
        <w:t xml:space="preserve"> </w:t>
      </w:r>
      <w:r w:rsidRPr="00EC20A0">
        <w:t>team</w:t>
      </w:r>
      <w:r w:rsidRPr="00EC20A0">
        <w:rPr>
          <w:spacing w:val="-5"/>
        </w:rPr>
        <w:t xml:space="preserve"> </w:t>
      </w:r>
      <w:r w:rsidRPr="00EC20A0">
        <w:rPr>
          <w:spacing w:val="-2"/>
        </w:rPr>
        <w:t>members,</w:t>
      </w:r>
    </w:p>
    <w:p w14:paraId="24D5FEA6" w14:textId="77777777" w:rsidR="00245300" w:rsidRPr="00EC20A0" w:rsidRDefault="00F17249">
      <w:pPr>
        <w:pStyle w:val="ListParagraph"/>
        <w:numPr>
          <w:ilvl w:val="1"/>
          <w:numId w:val="218"/>
        </w:numPr>
        <w:tabs>
          <w:tab w:val="left" w:pos="2219"/>
        </w:tabs>
        <w:spacing w:before="238"/>
      </w:pPr>
      <w:r w:rsidRPr="00EC20A0">
        <w:t>the</w:t>
      </w:r>
      <w:r w:rsidRPr="00EC20A0">
        <w:rPr>
          <w:spacing w:val="-4"/>
        </w:rPr>
        <w:t xml:space="preserve"> </w:t>
      </w:r>
      <w:r w:rsidRPr="00EC20A0">
        <w:t>audit</w:t>
      </w:r>
      <w:r w:rsidRPr="00EC20A0">
        <w:rPr>
          <w:spacing w:val="-4"/>
        </w:rPr>
        <w:t xml:space="preserve"> </w:t>
      </w:r>
      <w:r w:rsidRPr="00EC20A0">
        <w:rPr>
          <w:spacing w:val="-2"/>
        </w:rPr>
        <w:t>approach,</w:t>
      </w:r>
    </w:p>
    <w:p w14:paraId="24D5FEA7" w14:textId="77777777" w:rsidR="00245300" w:rsidRPr="00EC20A0" w:rsidRDefault="00F17249">
      <w:pPr>
        <w:pStyle w:val="ListParagraph"/>
        <w:numPr>
          <w:ilvl w:val="1"/>
          <w:numId w:val="218"/>
        </w:numPr>
        <w:tabs>
          <w:tab w:val="left" w:pos="2219"/>
        </w:tabs>
        <w:spacing w:before="238"/>
      </w:pPr>
      <w:r w:rsidRPr="00EC20A0">
        <w:t>the</w:t>
      </w:r>
      <w:r w:rsidRPr="00EC20A0">
        <w:rPr>
          <w:spacing w:val="-6"/>
        </w:rPr>
        <w:t xml:space="preserve"> </w:t>
      </w:r>
      <w:r w:rsidRPr="00EC20A0">
        <w:t>peer</w:t>
      </w:r>
      <w:r w:rsidRPr="00EC20A0">
        <w:rPr>
          <w:spacing w:val="-5"/>
        </w:rPr>
        <w:t xml:space="preserve"> </w:t>
      </w:r>
      <w:r w:rsidRPr="00EC20A0">
        <w:t>review</w:t>
      </w:r>
      <w:r w:rsidRPr="00EC20A0">
        <w:rPr>
          <w:spacing w:val="-6"/>
        </w:rPr>
        <w:t xml:space="preserve"> </w:t>
      </w:r>
      <w:r w:rsidRPr="00EC20A0">
        <w:t>report</w:t>
      </w:r>
      <w:r w:rsidRPr="00EC20A0">
        <w:rPr>
          <w:spacing w:val="-6"/>
        </w:rPr>
        <w:t xml:space="preserve"> </w:t>
      </w:r>
      <w:r w:rsidRPr="00EC20A0">
        <w:t>and</w:t>
      </w:r>
      <w:r w:rsidRPr="00EC20A0">
        <w:rPr>
          <w:spacing w:val="-5"/>
        </w:rPr>
        <w:t xml:space="preserve"> </w:t>
      </w:r>
      <w:r w:rsidRPr="00EC20A0">
        <w:t>related</w:t>
      </w:r>
      <w:r w:rsidRPr="00EC20A0">
        <w:rPr>
          <w:spacing w:val="-5"/>
        </w:rPr>
        <w:t xml:space="preserve"> </w:t>
      </w:r>
      <w:r w:rsidRPr="00EC20A0">
        <w:t>letter</w:t>
      </w:r>
      <w:r w:rsidRPr="00EC20A0">
        <w:rPr>
          <w:spacing w:val="-6"/>
        </w:rPr>
        <w:t xml:space="preserve"> </w:t>
      </w:r>
      <w:r w:rsidRPr="00EC20A0">
        <w:t>of</w:t>
      </w:r>
      <w:r w:rsidRPr="00EC20A0">
        <w:rPr>
          <w:spacing w:val="-5"/>
        </w:rPr>
        <w:t xml:space="preserve"> </w:t>
      </w:r>
      <w:r w:rsidRPr="00EC20A0">
        <w:t>comments</w:t>
      </w:r>
      <w:r w:rsidRPr="00EC20A0">
        <w:rPr>
          <w:spacing w:val="-5"/>
        </w:rPr>
        <w:t xml:space="preserve"> </w:t>
      </w:r>
      <w:r w:rsidRPr="00EC20A0">
        <w:t>(if</w:t>
      </w:r>
      <w:r w:rsidRPr="00EC20A0">
        <w:rPr>
          <w:spacing w:val="-6"/>
        </w:rPr>
        <w:t xml:space="preserve"> </w:t>
      </w:r>
      <w:r w:rsidRPr="00EC20A0">
        <w:t>any),</w:t>
      </w:r>
      <w:r w:rsidRPr="00EC20A0">
        <w:rPr>
          <w:spacing w:val="-6"/>
        </w:rPr>
        <w:t xml:space="preserve"> </w:t>
      </w:r>
      <w:r w:rsidRPr="00EC20A0">
        <w:rPr>
          <w:spacing w:val="-5"/>
        </w:rPr>
        <w:t>and</w:t>
      </w:r>
    </w:p>
    <w:p w14:paraId="24D5FEA8" w14:textId="77777777" w:rsidR="00245300" w:rsidRPr="00EC20A0" w:rsidRDefault="00F17249">
      <w:pPr>
        <w:pStyle w:val="ListParagraph"/>
        <w:numPr>
          <w:ilvl w:val="1"/>
          <w:numId w:val="218"/>
        </w:numPr>
        <w:tabs>
          <w:tab w:val="left" w:pos="2219"/>
        </w:tabs>
        <w:spacing w:before="238"/>
      </w:pPr>
      <w:r w:rsidRPr="00EC20A0">
        <w:t>the</w:t>
      </w:r>
      <w:r w:rsidRPr="00EC20A0">
        <w:rPr>
          <w:spacing w:val="-6"/>
        </w:rPr>
        <w:t xml:space="preserve"> </w:t>
      </w:r>
      <w:r w:rsidRPr="00EC20A0">
        <w:t>firm’s</w:t>
      </w:r>
      <w:r w:rsidRPr="00EC20A0">
        <w:rPr>
          <w:spacing w:val="-5"/>
        </w:rPr>
        <w:t xml:space="preserve"> </w:t>
      </w:r>
      <w:r w:rsidRPr="00EC20A0">
        <w:t>response</w:t>
      </w:r>
      <w:r w:rsidRPr="00EC20A0">
        <w:rPr>
          <w:spacing w:val="-5"/>
        </w:rPr>
        <w:t xml:space="preserve"> </w:t>
      </w:r>
      <w:r w:rsidRPr="00EC20A0">
        <w:t>to</w:t>
      </w:r>
      <w:r w:rsidRPr="00EC20A0">
        <w:rPr>
          <w:spacing w:val="-6"/>
        </w:rPr>
        <w:t xml:space="preserve"> </w:t>
      </w:r>
      <w:r w:rsidRPr="00EC20A0">
        <w:t>the</w:t>
      </w:r>
      <w:r w:rsidRPr="00EC20A0">
        <w:rPr>
          <w:spacing w:val="-5"/>
        </w:rPr>
        <w:t xml:space="preserve"> </w:t>
      </w:r>
      <w:r w:rsidRPr="00EC20A0">
        <w:t>peer</w:t>
      </w:r>
      <w:r w:rsidRPr="00EC20A0">
        <w:rPr>
          <w:spacing w:val="-5"/>
        </w:rPr>
        <w:t xml:space="preserve"> </w:t>
      </w:r>
      <w:r w:rsidRPr="00EC20A0">
        <w:t>review</w:t>
      </w:r>
      <w:r w:rsidRPr="00EC20A0">
        <w:rPr>
          <w:spacing w:val="-7"/>
        </w:rPr>
        <w:t xml:space="preserve"> </w:t>
      </w:r>
      <w:r w:rsidRPr="00EC20A0">
        <w:rPr>
          <w:spacing w:val="-2"/>
        </w:rPr>
        <w:t>report.</w:t>
      </w:r>
    </w:p>
    <w:p w14:paraId="24D5FEA9" w14:textId="77777777" w:rsidR="00245300" w:rsidRPr="00EC20A0" w:rsidRDefault="00F17249">
      <w:pPr>
        <w:pStyle w:val="BodyText"/>
        <w:spacing w:before="238"/>
        <w:ind w:left="1859" w:right="562" w:hanging="1"/>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read</w:t>
      </w:r>
      <w:r w:rsidRPr="00EC20A0">
        <w:rPr>
          <w:spacing w:val="-5"/>
        </w:rPr>
        <w:t xml:space="preserve"> </w:t>
      </w:r>
      <w:r w:rsidRPr="00EC20A0">
        <w:t>the</w:t>
      </w:r>
      <w:r w:rsidRPr="00EC20A0">
        <w:rPr>
          <w:spacing w:val="-3"/>
        </w:rPr>
        <w:t xml:space="preserve"> </w:t>
      </w:r>
      <w:r w:rsidRPr="00EC20A0">
        <w:t>reviewed</w:t>
      </w:r>
      <w:r w:rsidRPr="00EC20A0">
        <w:rPr>
          <w:spacing w:val="-4"/>
        </w:rPr>
        <w:t xml:space="preserve"> </w:t>
      </w:r>
      <w:r w:rsidRPr="00EC20A0">
        <w:t>documents</w:t>
      </w:r>
      <w:r w:rsidRPr="00EC20A0">
        <w:rPr>
          <w:spacing w:val="-3"/>
        </w:rPr>
        <w:t xml:space="preserve"> </w:t>
      </w:r>
      <w:r w:rsidRPr="00EC20A0">
        <w:t>and</w:t>
      </w:r>
      <w:r w:rsidRPr="00EC20A0">
        <w:rPr>
          <w:spacing w:val="-4"/>
        </w:rPr>
        <w:t xml:space="preserve"> </w:t>
      </w:r>
      <w:r w:rsidRPr="00EC20A0">
        <w:t>conclude</w:t>
      </w:r>
      <w:r w:rsidRPr="00EC20A0">
        <w:rPr>
          <w:spacing w:val="-4"/>
        </w:rPr>
        <w:t xml:space="preserve"> </w:t>
      </w:r>
      <w:r w:rsidRPr="00EC20A0">
        <w:t>on</w:t>
      </w:r>
      <w:r w:rsidRPr="00EC20A0">
        <w:rPr>
          <w:spacing w:val="-4"/>
        </w:rPr>
        <w:t xml:space="preserve"> </w:t>
      </w:r>
      <w:r w:rsidRPr="00EC20A0">
        <w:t>competence (see FAM 615.19–.21).</w:t>
      </w:r>
    </w:p>
    <w:p w14:paraId="24D5FEAA" w14:textId="77777777" w:rsidR="00245300" w:rsidRPr="00EC20A0" w:rsidRDefault="00F17249">
      <w:pPr>
        <w:pStyle w:val="ListParagraph"/>
        <w:numPr>
          <w:ilvl w:val="0"/>
          <w:numId w:val="218"/>
        </w:numPr>
        <w:tabs>
          <w:tab w:val="left" w:pos="1860"/>
        </w:tabs>
        <w:spacing w:before="241"/>
        <w:ind w:right="544"/>
      </w:pPr>
      <w:r w:rsidRPr="00EC20A0">
        <w:rPr>
          <w:b/>
        </w:rPr>
        <w:t>For government internal or external auditors</w:t>
      </w:r>
      <w:r w:rsidRPr="00EC20A0">
        <w:t>, the auditor should ask whether the audit organization had a peer review and the date of that review (see FAM 615.19–.20). IGs have peer reviews performed every 3 years by other IGs. Most state</w:t>
      </w:r>
      <w:r w:rsidRPr="00EC20A0">
        <w:rPr>
          <w:spacing w:val="-3"/>
        </w:rPr>
        <w:t xml:space="preserve"> </w:t>
      </w:r>
      <w:r w:rsidRPr="00EC20A0">
        <w:t>auditors</w:t>
      </w:r>
      <w:r w:rsidRPr="00EC20A0">
        <w:rPr>
          <w:spacing w:val="-3"/>
        </w:rPr>
        <w:t xml:space="preserve"> </w:t>
      </w:r>
      <w:r w:rsidRPr="00EC20A0">
        <w:t>also</w:t>
      </w:r>
      <w:r w:rsidRPr="00EC20A0">
        <w:rPr>
          <w:spacing w:val="-3"/>
        </w:rPr>
        <w:t xml:space="preserve"> </w:t>
      </w:r>
      <w:r w:rsidRPr="00EC20A0">
        <w:t>have</w:t>
      </w:r>
      <w:r w:rsidRPr="00EC20A0">
        <w:rPr>
          <w:spacing w:val="-4"/>
        </w:rPr>
        <w:t xml:space="preserve"> </w:t>
      </w:r>
      <w:r w:rsidRPr="00EC20A0">
        <w:t>peer</w:t>
      </w:r>
      <w:r w:rsidRPr="00EC20A0">
        <w:rPr>
          <w:spacing w:val="-3"/>
        </w:rPr>
        <w:t xml:space="preserve"> </w:t>
      </w:r>
      <w:r w:rsidRPr="00EC20A0">
        <w:t>reviews</w:t>
      </w:r>
      <w:r w:rsidRPr="00EC20A0">
        <w:rPr>
          <w:spacing w:val="-3"/>
        </w:rPr>
        <w:t xml:space="preserve"> </w:t>
      </w:r>
      <w:r w:rsidRPr="00EC20A0">
        <w:t>every</w:t>
      </w:r>
      <w:r w:rsidRPr="00EC20A0">
        <w:rPr>
          <w:spacing w:val="-3"/>
        </w:rPr>
        <w:t xml:space="preserve"> </w:t>
      </w:r>
      <w:r w:rsidRPr="00EC20A0">
        <w:t>3</w:t>
      </w:r>
      <w:r w:rsidRPr="00EC20A0">
        <w:rPr>
          <w:spacing w:val="-4"/>
        </w:rPr>
        <w:t xml:space="preserve"> </w:t>
      </w:r>
      <w:r w:rsidRPr="00EC20A0">
        <w:t>years.</w:t>
      </w:r>
      <w:r w:rsidRPr="00EC20A0">
        <w:rPr>
          <w:spacing w:val="-3"/>
        </w:rPr>
        <w:t xml:space="preserve"> </w:t>
      </w:r>
      <w:r w:rsidRPr="00EC20A0">
        <w:t>To</w:t>
      </w:r>
      <w:r w:rsidRPr="00EC20A0">
        <w:rPr>
          <w:spacing w:val="-3"/>
        </w:rPr>
        <w:t xml:space="preserve"> </w:t>
      </w:r>
      <w:r w:rsidRPr="00EC20A0">
        <w:t>comply</w:t>
      </w:r>
      <w:r w:rsidRPr="00EC20A0">
        <w:rPr>
          <w:spacing w:val="-3"/>
        </w:rPr>
        <w:t xml:space="preserve"> </w:t>
      </w:r>
      <w:r w:rsidRPr="00EC20A0">
        <w:t>with</w:t>
      </w:r>
      <w:r w:rsidRPr="00EC20A0">
        <w:rPr>
          <w:spacing w:val="-3"/>
        </w:rPr>
        <w:t xml:space="preserve"> </w:t>
      </w:r>
      <w:r w:rsidRPr="00EC20A0">
        <w:t>GAGAS,</w:t>
      </w:r>
      <w:r w:rsidRPr="00EC20A0">
        <w:rPr>
          <w:spacing w:val="-3"/>
        </w:rPr>
        <w:t xml:space="preserve"> </w:t>
      </w:r>
      <w:r w:rsidRPr="00EC20A0">
        <w:t>the audit organization should have a peer review performed by reviewers independent of the audit organization every 3 years (GAGAS (2018) 5.84).</w:t>
      </w:r>
    </w:p>
    <w:p w14:paraId="24D5FEAB" w14:textId="77777777" w:rsidR="00245300" w:rsidRPr="00EC20A0" w:rsidRDefault="00F17249">
      <w:pPr>
        <w:pStyle w:val="BodyText"/>
        <w:spacing w:before="240"/>
        <w:ind w:left="1860" w:right="562"/>
      </w:pPr>
      <w:r w:rsidRPr="00EC20A0">
        <w:t>The</w:t>
      </w:r>
      <w:r w:rsidRPr="00EC20A0">
        <w:rPr>
          <w:spacing w:val="-3"/>
        </w:rPr>
        <w:t xml:space="preserve"> </w:t>
      </w:r>
      <w:r w:rsidRPr="00EC20A0">
        <w:t>auditor</w:t>
      </w:r>
      <w:r w:rsidRPr="00EC20A0">
        <w:rPr>
          <w:spacing w:val="-5"/>
        </w:rPr>
        <w:t xml:space="preserve"> </w:t>
      </w:r>
      <w:r w:rsidRPr="00EC20A0">
        <w:t>should</w:t>
      </w:r>
      <w:r w:rsidRPr="00EC20A0">
        <w:rPr>
          <w:spacing w:val="-3"/>
        </w:rPr>
        <w:t xml:space="preserve"> </w:t>
      </w:r>
      <w:r w:rsidRPr="00EC20A0">
        <w:t>read</w:t>
      </w:r>
      <w:r w:rsidRPr="00EC20A0">
        <w:rPr>
          <w:spacing w:val="-4"/>
        </w:rPr>
        <w:t xml:space="preserve"> </w:t>
      </w:r>
      <w:r w:rsidRPr="00EC20A0">
        <w:t>the</w:t>
      </w:r>
      <w:r w:rsidRPr="00EC20A0">
        <w:rPr>
          <w:spacing w:val="-3"/>
        </w:rPr>
        <w:t xml:space="preserve"> </w:t>
      </w:r>
      <w:r w:rsidRPr="00EC20A0">
        <w:t>peer</w:t>
      </w:r>
      <w:r w:rsidRPr="00EC20A0">
        <w:rPr>
          <w:spacing w:val="-2"/>
        </w:rPr>
        <w:t xml:space="preserve"> </w:t>
      </w:r>
      <w:r w:rsidRPr="00EC20A0">
        <w:t>review</w:t>
      </w:r>
      <w:r w:rsidRPr="00EC20A0">
        <w:rPr>
          <w:spacing w:val="-4"/>
        </w:rPr>
        <w:t xml:space="preserve"> </w:t>
      </w:r>
      <w:r w:rsidRPr="00EC20A0">
        <w:t>report,</w:t>
      </w:r>
      <w:r w:rsidRPr="00EC20A0">
        <w:rPr>
          <w:spacing w:val="-3"/>
        </w:rPr>
        <w:t xml:space="preserve"> </w:t>
      </w:r>
      <w:r w:rsidRPr="00EC20A0">
        <w:t>the</w:t>
      </w:r>
      <w:r w:rsidRPr="00EC20A0">
        <w:rPr>
          <w:spacing w:val="-3"/>
        </w:rPr>
        <w:t xml:space="preserve"> </w:t>
      </w:r>
      <w:r w:rsidRPr="00EC20A0">
        <w:t>letter</w:t>
      </w:r>
      <w:r w:rsidRPr="00EC20A0">
        <w:rPr>
          <w:spacing w:val="-3"/>
        </w:rPr>
        <w:t xml:space="preserve"> </w:t>
      </w:r>
      <w:r w:rsidRPr="00EC20A0">
        <w:t>of</w:t>
      </w:r>
      <w:r w:rsidRPr="00EC20A0">
        <w:rPr>
          <w:spacing w:val="-3"/>
        </w:rPr>
        <w:t xml:space="preserve"> </w:t>
      </w:r>
      <w:r w:rsidRPr="00EC20A0">
        <w:t>comments,</w:t>
      </w:r>
      <w:r w:rsidRPr="00EC20A0">
        <w:rPr>
          <w:spacing w:val="-3"/>
        </w:rPr>
        <w:t xml:space="preserve"> </w:t>
      </w:r>
      <w:r w:rsidRPr="00EC20A0">
        <w:t>and</w:t>
      </w:r>
      <w:r w:rsidRPr="00EC20A0">
        <w:rPr>
          <w:spacing w:val="-3"/>
        </w:rPr>
        <w:t xml:space="preserve"> </w:t>
      </w:r>
      <w:r w:rsidRPr="00EC20A0">
        <w:t>the audit organization’s response.</w:t>
      </w:r>
    </w:p>
    <w:p w14:paraId="24D5FEAC" w14:textId="77777777" w:rsidR="00245300" w:rsidRPr="00EC20A0" w:rsidRDefault="00F17249">
      <w:pPr>
        <w:pStyle w:val="ListParagraph"/>
        <w:numPr>
          <w:ilvl w:val="0"/>
          <w:numId w:val="218"/>
        </w:numPr>
        <w:tabs>
          <w:tab w:val="left" w:pos="1859"/>
        </w:tabs>
        <w:spacing w:before="239"/>
        <w:ind w:left="1859" w:right="568" w:hanging="720"/>
      </w:pPr>
      <w:r w:rsidRPr="00EC20A0">
        <w:t xml:space="preserve">If using the work of a </w:t>
      </w:r>
      <w:r w:rsidRPr="00EC20A0">
        <w:rPr>
          <w:b/>
        </w:rPr>
        <w:t>service auditor</w:t>
      </w:r>
      <w:r w:rsidRPr="00EC20A0">
        <w:t xml:space="preserve">, the auditor should request from the entity </w:t>
      </w:r>
      <w:r w:rsidRPr="00EC20A0">
        <w:t>under audit the service auditor’s most recent peer review report and any other written</w:t>
      </w:r>
      <w:r w:rsidRPr="00EC20A0">
        <w:rPr>
          <w:spacing w:val="-4"/>
        </w:rPr>
        <w:t xml:space="preserve"> </w:t>
      </w:r>
      <w:r w:rsidRPr="00EC20A0">
        <w:t>communication</w:t>
      </w:r>
      <w:r w:rsidRPr="00EC20A0">
        <w:rPr>
          <w:spacing w:val="-4"/>
        </w:rPr>
        <w:t xml:space="preserve"> </w:t>
      </w:r>
      <w:r w:rsidRPr="00EC20A0">
        <w:t>issued.</w:t>
      </w:r>
      <w:r w:rsidRPr="00EC20A0">
        <w:rPr>
          <w:spacing w:val="-4"/>
        </w:rPr>
        <w:t xml:space="preserve"> </w:t>
      </w:r>
      <w:r w:rsidRPr="00EC20A0">
        <w:t>The</w:t>
      </w:r>
      <w:r w:rsidRPr="00EC20A0">
        <w:rPr>
          <w:spacing w:val="-5"/>
        </w:rPr>
        <w:t xml:space="preserve"> </w:t>
      </w:r>
      <w:r w:rsidRPr="00EC20A0">
        <w:t>auditor</w:t>
      </w:r>
      <w:r w:rsidRPr="00EC20A0">
        <w:rPr>
          <w:spacing w:val="-4"/>
        </w:rPr>
        <w:t xml:space="preserve"> </w:t>
      </w:r>
      <w:r w:rsidRPr="00EC20A0">
        <w:t>should</w:t>
      </w:r>
      <w:r w:rsidRPr="00EC20A0">
        <w:rPr>
          <w:spacing w:val="-4"/>
        </w:rPr>
        <w:t xml:space="preserve"> </w:t>
      </w:r>
      <w:r w:rsidRPr="00EC20A0">
        <w:t>evaluate</w:t>
      </w:r>
      <w:r w:rsidRPr="00EC20A0">
        <w:rPr>
          <w:spacing w:val="-4"/>
        </w:rPr>
        <w:t xml:space="preserve"> </w:t>
      </w:r>
      <w:r w:rsidRPr="00EC20A0">
        <w:t>the</w:t>
      </w:r>
      <w:r w:rsidRPr="00EC20A0">
        <w:rPr>
          <w:spacing w:val="-4"/>
        </w:rPr>
        <w:t xml:space="preserve"> </w:t>
      </w:r>
      <w:r w:rsidRPr="00EC20A0">
        <w:t>reports</w:t>
      </w:r>
      <w:r w:rsidRPr="00EC20A0">
        <w:rPr>
          <w:spacing w:val="-4"/>
        </w:rPr>
        <w:t xml:space="preserve"> </w:t>
      </w:r>
      <w:r w:rsidRPr="00EC20A0">
        <w:t>(see</w:t>
      </w:r>
      <w:r w:rsidRPr="00EC20A0">
        <w:rPr>
          <w:spacing w:val="-4"/>
        </w:rPr>
        <w:t xml:space="preserve"> </w:t>
      </w:r>
      <w:r w:rsidRPr="00EC20A0">
        <w:t>FAM 615.19–.20) and work with the entity under audit if any additional information is needed to evaluate the competency of the service auditor’s firm.</w:t>
      </w:r>
    </w:p>
    <w:p w14:paraId="24D5FEAD" w14:textId="77777777" w:rsidR="00245300" w:rsidRPr="00EC20A0" w:rsidRDefault="00245300">
      <w:pPr>
        <w:pStyle w:val="BodyText"/>
        <w:rPr>
          <w:sz w:val="20"/>
        </w:rPr>
      </w:pPr>
    </w:p>
    <w:p w14:paraId="24D5FEAE" w14:textId="77777777" w:rsidR="00245300" w:rsidRPr="00EC20A0" w:rsidRDefault="00F17249">
      <w:pPr>
        <w:pStyle w:val="BodyText"/>
        <w:spacing w:before="224"/>
        <w:rPr>
          <w:sz w:val="20"/>
        </w:rPr>
      </w:pPr>
      <w:r w:rsidRPr="00EC20A0">
        <w:rPr>
          <w:noProof/>
        </w:rPr>
        <mc:AlternateContent>
          <mc:Choice Requires="wps">
            <w:drawing>
              <wp:anchor distT="0" distB="0" distL="0" distR="0" simplePos="0" relativeHeight="487594496" behindDoc="1" locked="0" layoutInCell="1" allowOverlap="1" wp14:anchorId="24D62ACF" wp14:editId="24D62AD0">
                <wp:simplePos x="0" y="0"/>
                <wp:positionH relativeFrom="page">
                  <wp:posOffset>914400</wp:posOffset>
                </wp:positionH>
                <wp:positionV relativeFrom="paragraph">
                  <wp:posOffset>304009</wp:posOffset>
                </wp:positionV>
                <wp:extent cx="1828800" cy="571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E4586" id="Graphic 81" o:spid="_x0000_s1026" style="position:absolute;margin-left:1in;margin-top:23.95pt;width:2in;height:.4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" path="m1828800,l,,,5321r1828800,l1828800,xe" fillcolor="black" stroked="f">
                <v:path arrowok="t"/>
                <w10:wrap type="topAndBottom" anchorx="page"/>
              </v:shape>
            </w:pict>
          </mc:Fallback>
        </mc:AlternateContent>
      </w:r>
    </w:p>
    <w:p w14:paraId="24D5FEAF" w14:textId="77777777" w:rsidR="00245300" w:rsidRPr="00EC20A0" w:rsidRDefault="00F17249">
      <w:pPr>
        <w:spacing w:before="200"/>
        <w:ind w:left="420"/>
        <w:rPr>
          <w:sz w:val="18"/>
        </w:rPr>
      </w:pPr>
      <w:bookmarkStart w:id="16" w:name="_bookmark4"/>
      <w:bookmarkEnd w:id="16"/>
      <w:r w:rsidRPr="00EC20A0">
        <w:rPr>
          <w:position w:val="7"/>
          <w:sz w:val="14"/>
        </w:rPr>
        <w:t>2</w:t>
      </w:r>
      <w:r w:rsidRPr="00EC20A0">
        <w:rPr>
          <w:sz w:val="18"/>
        </w:rPr>
        <w:t>IPA</w:t>
      </w:r>
      <w:r w:rsidRPr="00EC20A0">
        <w:rPr>
          <w:spacing w:val="-2"/>
          <w:sz w:val="18"/>
        </w:rPr>
        <w:t xml:space="preserve"> </w:t>
      </w:r>
      <w:r w:rsidRPr="00EC20A0">
        <w:rPr>
          <w:sz w:val="18"/>
        </w:rPr>
        <w:t>firms</w:t>
      </w:r>
      <w:r w:rsidRPr="00EC20A0">
        <w:rPr>
          <w:spacing w:val="-2"/>
          <w:sz w:val="18"/>
        </w:rPr>
        <w:t xml:space="preserve"> </w:t>
      </w:r>
      <w:r w:rsidRPr="00EC20A0">
        <w:rPr>
          <w:sz w:val="18"/>
        </w:rPr>
        <w:t>have</w:t>
      </w:r>
      <w:r w:rsidRPr="00EC20A0">
        <w:rPr>
          <w:spacing w:val="-3"/>
          <w:sz w:val="18"/>
        </w:rPr>
        <w:t xml:space="preserve"> </w:t>
      </w:r>
      <w:r w:rsidRPr="00EC20A0">
        <w:rPr>
          <w:sz w:val="18"/>
        </w:rPr>
        <w:t>peer</w:t>
      </w:r>
      <w:r w:rsidRPr="00EC20A0">
        <w:rPr>
          <w:spacing w:val="-2"/>
          <w:sz w:val="18"/>
        </w:rPr>
        <w:t xml:space="preserve"> </w:t>
      </w:r>
      <w:r w:rsidRPr="00EC20A0">
        <w:rPr>
          <w:sz w:val="18"/>
        </w:rPr>
        <w:t>reviews</w:t>
      </w:r>
      <w:r w:rsidRPr="00EC20A0">
        <w:rPr>
          <w:spacing w:val="-2"/>
          <w:sz w:val="18"/>
        </w:rPr>
        <w:t xml:space="preserve"> </w:t>
      </w:r>
      <w:r w:rsidRPr="00EC20A0">
        <w:rPr>
          <w:sz w:val="18"/>
        </w:rPr>
        <w:t>performed</w:t>
      </w:r>
      <w:r w:rsidRPr="00EC20A0">
        <w:rPr>
          <w:spacing w:val="-3"/>
          <w:sz w:val="18"/>
        </w:rPr>
        <w:t xml:space="preserve"> </w:t>
      </w:r>
      <w:r w:rsidRPr="00EC20A0">
        <w:rPr>
          <w:sz w:val="18"/>
        </w:rPr>
        <w:t>every</w:t>
      </w:r>
      <w:r w:rsidRPr="00EC20A0">
        <w:rPr>
          <w:spacing w:val="-1"/>
          <w:sz w:val="18"/>
        </w:rPr>
        <w:t xml:space="preserve"> </w:t>
      </w:r>
      <w:r w:rsidRPr="00EC20A0">
        <w:rPr>
          <w:sz w:val="18"/>
        </w:rPr>
        <w:t>3</w:t>
      </w:r>
      <w:r w:rsidRPr="00EC20A0">
        <w:rPr>
          <w:spacing w:val="-2"/>
          <w:sz w:val="18"/>
        </w:rPr>
        <w:t xml:space="preserve"> years.</w:t>
      </w:r>
    </w:p>
    <w:p w14:paraId="24D5FEB0" w14:textId="77777777" w:rsidR="00245300" w:rsidRPr="00EC20A0" w:rsidRDefault="00F17249">
      <w:pPr>
        <w:spacing w:before="134" w:line="244" w:lineRule="auto"/>
        <w:ind w:left="418" w:right="527" w:firstLine="1"/>
        <w:rPr>
          <w:sz w:val="18"/>
        </w:rPr>
      </w:pPr>
      <w:bookmarkStart w:id="17" w:name="_bookmark5"/>
      <w:bookmarkEnd w:id="17"/>
      <w:r w:rsidRPr="00EC20A0">
        <w:rPr>
          <w:position w:val="7"/>
          <w:sz w:val="14"/>
        </w:rPr>
        <w:t>3</w:t>
      </w:r>
      <w:r w:rsidRPr="00EC20A0">
        <w:rPr>
          <w:sz w:val="18"/>
        </w:rPr>
        <w:t>In cases of unusual difficulty or hardship, extensions of the deadlines for submitting the peer review report</w:t>
      </w:r>
      <w:r w:rsidRPr="00EC20A0">
        <w:rPr>
          <w:spacing w:val="40"/>
          <w:sz w:val="18"/>
        </w:rPr>
        <w:t xml:space="preserve"> </w:t>
      </w:r>
      <w:r w:rsidRPr="00EC20A0">
        <w:rPr>
          <w:sz w:val="18"/>
        </w:rPr>
        <w:t>exceeding</w:t>
      </w:r>
      <w:r w:rsidRPr="00EC20A0">
        <w:rPr>
          <w:spacing w:val="-3"/>
          <w:sz w:val="18"/>
        </w:rPr>
        <w:t xml:space="preserve"> </w:t>
      </w:r>
      <w:r w:rsidRPr="00EC20A0">
        <w:rPr>
          <w:sz w:val="18"/>
        </w:rPr>
        <w:t>3</w:t>
      </w:r>
      <w:r w:rsidRPr="00EC20A0">
        <w:rPr>
          <w:spacing w:val="-3"/>
          <w:sz w:val="18"/>
        </w:rPr>
        <w:t xml:space="preserve"> </w:t>
      </w:r>
      <w:r w:rsidRPr="00EC20A0">
        <w:rPr>
          <w:sz w:val="18"/>
        </w:rPr>
        <w:t>months</w:t>
      </w:r>
      <w:r w:rsidRPr="00EC20A0">
        <w:rPr>
          <w:spacing w:val="-2"/>
          <w:sz w:val="18"/>
        </w:rPr>
        <w:t xml:space="preserve"> </w:t>
      </w:r>
      <w:r w:rsidRPr="00EC20A0">
        <w:rPr>
          <w:sz w:val="18"/>
        </w:rPr>
        <w:t>beyond</w:t>
      </w:r>
      <w:r w:rsidRPr="00EC20A0">
        <w:rPr>
          <w:spacing w:val="-3"/>
          <w:sz w:val="18"/>
        </w:rPr>
        <w:t xml:space="preserve"> </w:t>
      </w:r>
      <w:r w:rsidRPr="00EC20A0">
        <w:rPr>
          <w:sz w:val="18"/>
        </w:rPr>
        <w:t>the</w:t>
      </w:r>
      <w:r w:rsidRPr="00EC20A0">
        <w:rPr>
          <w:spacing w:val="-2"/>
          <w:sz w:val="18"/>
        </w:rPr>
        <w:t xml:space="preserve"> </w:t>
      </w:r>
      <w:r w:rsidRPr="00EC20A0">
        <w:rPr>
          <w:sz w:val="18"/>
        </w:rPr>
        <w:t>due</w:t>
      </w:r>
      <w:r w:rsidRPr="00EC20A0">
        <w:rPr>
          <w:spacing w:val="-3"/>
          <w:sz w:val="18"/>
        </w:rPr>
        <w:t xml:space="preserve"> </w:t>
      </w:r>
      <w:r w:rsidRPr="00EC20A0">
        <w:rPr>
          <w:sz w:val="18"/>
        </w:rPr>
        <w:t>date</w:t>
      </w:r>
      <w:r w:rsidRPr="00EC20A0">
        <w:rPr>
          <w:spacing w:val="-3"/>
          <w:sz w:val="18"/>
        </w:rPr>
        <w:t xml:space="preserve"> </w:t>
      </w:r>
      <w:r w:rsidRPr="00EC20A0">
        <w:rPr>
          <w:sz w:val="18"/>
        </w:rPr>
        <w:t>may</w:t>
      </w:r>
      <w:r w:rsidRPr="00EC20A0">
        <w:rPr>
          <w:spacing w:val="-2"/>
          <w:sz w:val="18"/>
        </w:rPr>
        <w:t xml:space="preserve"> </w:t>
      </w:r>
      <w:r w:rsidRPr="00EC20A0">
        <w:rPr>
          <w:sz w:val="18"/>
        </w:rPr>
        <w:t>be</w:t>
      </w:r>
      <w:r w:rsidRPr="00EC20A0">
        <w:rPr>
          <w:spacing w:val="-2"/>
          <w:sz w:val="18"/>
        </w:rPr>
        <w:t xml:space="preserve"> </w:t>
      </w:r>
      <w:r w:rsidRPr="00EC20A0">
        <w:rPr>
          <w:sz w:val="18"/>
        </w:rPr>
        <w:t>granted</w:t>
      </w:r>
      <w:r w:rsidRPr="00EC20A0">
        <w:rPr>
          <w:spacing w:val="-1"/>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entities</w:t>
      </w:r>
      <w:r w:rsidRPr="00EC20A0">
        <w:rPr>
          <w:spacing w:val="-2"/>
          <w:sz w:val="18"/>
        </w:rPr>
        <w:t xml:space="preserve"> </w:t>
      </w:r>
      <w:r w:rsidRPr="00EC20A0">
        <w:rPr>
          <w:sz w:val="18"/>
        </w:rPr>
        <w:t>that</w:t>
      </w:r>
      <w:r w:rsidRPr="00EC20A0">
        <w:rPr>
          <w:spacing w:val="-2"/>
          <w:sz w:val="18"/>
        </w:rPr>
        <w:t xml:space="preserve"> </w:t>
      </w:r>
      <w:r w:rsidRPr="00EC20A0">
        <w:rPr>
          <w:sz w:val="18"/>
        </w:rPr>
        <w:t>administer</w:t>
      </w:r>
      <w:r w:rsidRPr="00EC20A0">
        <w:rPr>
          <w:spacing w:val="-1"/>
          <w:sz w:val="18"/>
        </w:rPr>
        <w:t xml:space="preserve"> </w:t>
      </w:r>
      <w:r w:rsidRPr="00EC20A0">
        <w:rPr>
          <w:sz w:val="18"/>
        </w:rPr>
        <w:t>the</w:t>
      </w:r>
      <w:r w:rsidRPr="00EC20A0">
        <w:rPr>
          <w:spacing w:val="-3"/>
          <w:sz w:val="18"/>
        </w:rPr>
        <w:t xml:space="preserve"> </w:t>
      </w:r>
      <w:r w:rsidRPr="00EC20A0">
        <w:rPr>
          <w:sz w:val="18"/>
        </w:rPr>
        <w:t>peer</w:t>
      </w:r>
      <w:r w:rsidRPr="00EC20A0">
        <w:rPr>
          <w:spacing w:val="-2"/>
          <w:sz w:val="18"/>
        </w:rPr>
        <w:t xml:space="preserve"> </w:t>
      </w:r>
      <w:r w:rsidRPr="00EC20A0">
        <w:rPr>
          <w:sz w:val="18"/>
        </w:rPr>
        <w:t>review</w:t>
      </w:r>
      <w:r w:rsidRPr="00EC20A0">
        <w:rPr>
          <w:spacing w:val="-2"/>
          <w:sz w:val="18"/>
        </w:rPr>
        <w:t xml:space="preserve"> </w:t>
      </w:r>
      <w:r w:rsidRPr="00EC20A0">
        <w:rPr>
          <w:sz w:val="18"/>
        </w:rPr>
        <w:t>program</w:t>
      </w:r>
      <w:r w:rsidRPr="00EC20A0">
        <w:rPr>
          <w:spacing w:val="-2"/>
          <w:sz w:val="18"/>
        </w:rPr>
        <w:t xml:space="preserve"> </w:t>
      </w:r>
      <w:r w:rsidRPr="00EC20A0">
        <w:rPr>
          <w:sz w:val="18"/>
        </w:rPr>
        <w:t>and GAO (see GAGAS (2018) 5.64).</w:t>
      </w:r>
    </w:p>
    <w:p w14:paraId="24D5FEB1" w14:textId="77777777" w:rsidR="00245300" w:rsidRPr="00EC20A0" w:rsidRDefault="00F17249">
      <w:pPr>
        <w:spacing w:before="121" w:line="249" w:lineRule="auto"/>
        <w:ind w:left="420" w:right="562"/>
        <w:rPr>
          <w:sz w:val="18"/>
        </w:rPr>
      </w:pPr>
      <w:bookmarkStart w:id="18" w:name="_bookmark6"/>
      <w:bookmarkEnd w:id="18"/>
      <w:r w:rsidRPr="00EC20A0">
        <w:rPr>
          <w:position w:val="7"/>
          <w:sz w:val="14"/>
        </w:rPr>
        <w:t>4</w:t>
      </w:r>
      <w:r w:rsidRPr="00EC20A0">
        <w:rPr>
          <w:sz w:val="18"/>
        </w:rPr>
        <w:t>Further</w:t>
      </w:r>
      <w:r w:rsidRPr="00EC20A0">
        <w:rPr>
          <w:spacing w:val="-3"/>
          <w:sz w:val="18"/>
        </w:rPr>
        <w:t xml:space="preserve"> </w:t>
      </w:r>
      <w:r w:rsidRPr="00EC20A0">
        <w:rPr>
          <w:sz w:val="18"/>
        </w:rPr>
        <w:t>information</w:t>
      </w:r>
      <w:r w:rsidRPr="00EC20A0">
        <w:rPr>
          <w:spacing w:val="-3"/>
          <w:sz w:val="18"/>
        </w:rPr>
        <w:t xml:space="preserve"> </w:t>
      </w:r>
      <w:r w:rsidRPr="00EC20A0">
        <w:rPr>
          <w:sz w:val="18"/>
        </w:rPr>
        <w:t>on</w:t>
      </w:r>
      <w:r w:rsidRPr="00EC20A0">
        <w:rPr>
          <w:spacing w:val="-4"/>
          <w:sz w:val="18"/>
        </w:rPr>
        <w:t xml:space="preserve"> </w:t>
      </w:r>
      <w:r w:rsidRPr="00EC20A0">
        <w:rPr>
          <w:sz w:val="18"/>
        </w:rPr>
        <w:t>the</w:t>
      </w:r>
      <w:r w:rsidRPr="00EC20A0">
        <w:rPr>
          <w:spacing w:val="-3"/>
          <w:sz w:val="18"/>
        </w:rPr>
        <w:t xml:space="preserve"> </w:t>
      </w:r>
      <w:r w:rsidRPr="00EC20A0">
        <w:rPr>
          <w:sz w:val="18"/>
        </w:rPr>
        <w:t>PCAOB</w:t>
      </w:r>
      <w:r w:rsidRPr="00EC20A0">
        <w:rPr>
          <w:spacing w:val="-3"/>
          <w:sz w:val="18"/>
        </w:rPr>
        <w:t xml:space="preserve"> </w:t>
      </w:r>
      <w:r w:rsidRPr="00EC20A0">
        <w:rPr>
          <w:sz w:val="18"/>
        </w:rPr>
        <w:t>inspection</w:t>
      </w:r>
      <w:r w:rsidRPr="00EC20A0">
        <w:rPr>
          <w:spacing w:val="-3"/>
          <w:sz w:val="18"/>
        </w:rPr>
        <w:t xml:space="preserve"> </w:t>
      </w:r>
      <w:r w:rsidRPr="00EC20A0">
        <w:rPr>
          <w:sz w:val="18"/>
        </w:rPr>
        <w:t>report</w:t>
      </w:r>
      <w:r w:rsidRPr="00EC20A0">
        <w:rPr>
          <w:spacing w:val="-3"/>
          <w:sz w:val="18"/>
        </w:rPr>
        <w:t xml:space="preserve"> </w:t>
      </w:r>
      <w:r w:rsidRPr="00EC20A0">
        <w:rPr>
          <w:sz w:val="18"/>
        </w:rPr>
        <w:t>process</w:t>
      </w:r>
      <w:r w:rsidRPr="00EC20A0">
        <w:rPr>
          <w:spacing w:val="-3"/>
          <w:sz w:val="18"/>
        </w:rPr>
        <w:t xml:space="preserve"> </w:t>
      </w:r>
      <w:r w:rsidRPr="00EC20A0">
        <w:rPr>
          <w:sz w:val="18"/>
        </w:rPr>
        <w:t>is</w:t>
      </w:r>
      <w:r w:rsidRPr="00EC20A0">
        <w:rPr>
          <w:spacing w:val="-3"/>
          <w:sz w:val="18"/>
        </w:rPr>
        <w:t xml:space="preserve"> </w:t>
      </w:r>
      <w:r w:rsidRPr="00EC20A0">
        <w:rPr>
          <w:sz w:val="18"/>
        </w:rPr>
        <w:t>available</w:t>
      </w:r>
      <w:r w:rsidRPr="00EC20A0">
        <w:rPr>
          <w:spacing w:val="-4"/>
          <w:sz w:val="18"/>
        </w:rPr>
        <w:t xml:space="preserve"> </w:t>
      </w:r>
      <w:r w:rsidRPr="00EC20A0">
        <w:rPr>
          <w:sz w:val="18"/>
        </w:rPr>
        <w:t>at</w:t>
      </w:r>
      <w:r w:rsidRPr="00EC20A0">
        <w:rPr>
          <w:spacing w:val="-2"/>
          <w:sz w:val="18"/>
        </w:rPr>
        <w:t xml:space="preserve"> </w:t>
      </w:r>
      <w:hyperlink r:id="rId23">
        <w:r w:rsidRPr="00EC20A0">
          <w:rPr>
            <w:color w:val="0000FF"/>
            <w:sz w:val="18"/>
            <w:u w:val="single" w:color="0000FF"/>
          </w:rPr>
          <w:t>https://pcaobus.org</w:t>
        </w:r>
      </w:hyperlink>
      <w:r w:rsidRPr="00EC20A0">
        <w:rPr>
          <w:color w:val="0000FF"/>
          <w:spacing w:val="-3"/>
          <w:sz w:val="18"/>
        </w:rPr>
        <w:t xml:space="preserve"> </w:t>
      </w:r>
      <w:r w:rsidRPr="00EC20A0">
        <w:rPr>
          <w:sz w:val="18"/>
        </w:rPr>
        <w:t>(accessed</w:t>
      </w:r>
      <w:r w:rsidRPr="00EC20A0">
        <w:rPr>
          <w:spacing w:val="-4"/>
          <w:sz w:val="18"/>
        </w:rPr>
        <w:t xml:space="preserve"> </w:t>
      </w:r>
      <w:r w:rsidRPr="00EC20A0">
        <w:rPr>
          <w:sz w:val="18"/>
        </w:rPr>
        <w:t>June</w:t>
      </w:r>
      <w:r w:rsidRPr="00EC20A0">
        <w:rPr>
          <w:spacing w:val="-4"/>
          <w:sz w:val="18"/>
        </w:rPr>
        <w:t xml:space="preserve"> </w:t>
      </w:r>
      <w:r w:rsidRPr="00EC20A0">
        <w:rPr>
          <w:sz w:val="18"/>
        </w:rPr>
        <w:t xml:space="preserve">3, </w:t>
      </w:r>
      <w:r w:rsidRPr="00EC20A0">
        <w:rPr>
          <w:spacing w:val="-2"/>
          <w:sz w:val="18"/>
        </w:rPr>
        <w:t>2024).</w:t>
      </w:r>
    </w:p>
    <w:p w14:paraId="24D5FEB2" w14:textId="77777777" w:rsidR="00245300" w:rsidRPr="00EC20A0" w:rsidRDefault="00245300">
      <w:pPr>
        <w:spacing w:line="249" w:lineRule="auto"/>
        <w:rPr>
          <w:sz w:val="18"/>
        </w:rPr>
        <w:sectPr w:rsidR="00245300" w:rsidRPr="00EC20A0">
          <w:pgSz w:w="12240" w:h="15840"/>
          <w:pgMar w:top="1340" w:right="940" w:bottom="940" w:left="1020" w:header="721" w:footer="757" w:gutter="0"/>
          <w:cols w:space="720"/>
        </w:sectPr>
      </w:pPr>
    </w:p>
    <w:p w14:paraId="24D5FEB3" w14:textId="77777777" w:rsidR="00245300" w:rsidRPr="00EC20A0" w:rsidRDefault="00F17249">
      <w:pPr>
        <w:pStyle w:val="ListParagraph"/>
        <w:numPr>
          <w:ilvl w:val="0"/>
          <w:numId w:val="218"/>
        </w:numPr>
        <w:tabs>
          <w:tab w:val="left" w:pos="1859"/>
        </w:tabs>
        <w:spacing w:before="121"/>
        <w:ind w:left="1859" w:right="518" w:hanging="720"/>
      </w:pPr>
      <w:r w:rsidRPr="00EC20A0">
        <w:t xml:space="preserve">If the auditor is using an </w:t>
      </w:r>
      <w:r w:rsidRPr="00EC20A0">
        <w:rPr>
          <w:b/>
        </w:rPr>
        <w:t xml:space="preserve">internal specialist </w:t>
      </w:r>
      <w:r w:rsidRPr="00EC20A0">
        <w:t>(which may be a partner or staff member, including a temporary staff member, of the auditor’s organization), the internal</w:t>
      </w:r>
      <w:r w:rsidRPr="00EC20A0">
        <w:rPr>
          <w:spacing w:val="-4"/>
        </w:rPr>
        <w:t xml:space="preserve"> </w:t>
      </w:r>
      <w:r w:rsidRPr="00EC20A0">
        <w:t>specialist</w:t>
      </w:r>
      <w:r w:rsidRPr="00EC20A0">
        <w:rPr>
          <w:spacing w:val="-4"/>
        </w:rPr>
        <w:t xml:space="preserve"> </w:t>
      </w:r>
      <w:r w:rsidRPr="00EC20A0">
        <w:t>would</w:t>
      </w:r>
      <w:r w:rsidRPr="00EC20A0">
        <w:rPr>
          <w:spacing w:val="-5"/>
        </w:rPr>
        <w:t xml:space="preserve"> </w:t>
      </w:r>
      <w:r w:rsidRPr="00EC20A0">
        <w:t>be</w:t>
      </w:r>
      <w:r w:rsidRPr="00EC20A0">
        <w:rPr>
          <w:spacing w:val="-4"/>
        </w:rPr>
        <w:t xml:space="preserve"> </w:t>
      </w:r>
      <w:r w:rsidRPr="00EC20A0">
        <w:t>subject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competence</w:t>
      </w:r>
      <w:r w:rsidRPr="00EC20A0">
        <w:rPr>
          <w:spacing w:val="-4"/>
        </w:rPr>
        <w:t xml:space="preserve"> </w:t>
      </w:r>
      <w:r w:rsidRPr="00EC20A0">
        <w:t>quality</w:t>
      </w:r>
      <w:r w:rsidRPr="00EC20A0">
        <w:rPr>
          <w:spacing w:val="-4"/>
        </w:rPr>
        <w:t xml:space="preserve"> </w:t>
      </w:r>
      <w:r w:rsidRPr="00EC20A0">
        <w:t>control</w:t>
      </w:r>
      <w:r w:rsidRPr="00EC20A0">
        <w:rPr>
          <w:spacing w:val="-4"/>
        </w:rPr>
        <w:t xml:space="preserve"> </w:t>
      </w:r>
      <w:r w:rsidRPr="00EC20A0">
        <w:t>policies</w:t>
      </w:r>
      <w:r w:rsidRPr="00EC20A0">
        <w:rPr>
          <w:spacing w:val="-4"/>
        </w:rPr>
        <w:t xml:space="preserve"> </w:t>
      </w:r>
      <w:r w:rsidRPr="00EC20A0">
        <w:t>and procedures of that organization (AU-C 620.A12). In accordance with AU-C 220A, auditors are entitled to rely on the organization’s system of quality control unless the auditor’s engagement partner determines that it is inappropriate to do so based on information provided by firms or other parties.</w:t>
      </w:r>
    </w:p>
    <w:p w14:paraId="24D5FEB4" w14:textId="77777777" w:rsidR="00245300" w:rsidRPr="00EC20A0" w:rsidRDefault="00F17249">
      <w:pPr>
        <w:pStyle w:val="ListParagraph"/>
        <w:numPr>
          <w:ilvl w:val="0"/>
          <w:numId w:val="218"/>
        </w:numPr>
        <w:tabs>
          <w:tab w:val="left" w:pos="1860"/>
        </w:tabs>
        <w:spacing w:before="239"/>
        <w:ind w:right="810" w:hanging="720"/>
      </w:pPr>
      <w:r w:rsidRPr="00EC20A0">
        <w:t xml:space="preserve">For group audits, the auditor should obtain written representations from the </w:t>
      </w:r>
      <w:r w:rsidRPr="00EC20A0">
        <w:rPr>
          <w:b/>
        </w:rPr>
        <w:t>component</w:t>
      </w:r>
      <w:r w:rsidRPr="00EC20A0">
        <w:rPr>
          <w:b/>
          <w:spacing w:val="-4"/>
        </w:rPr>
        <w:t xml:space="preserve"> </w:t>
      </w:r>
      <w:r w:rsidRPr="00EC20A0">
        <w:rPr>
          <w:b/>
        </w:rPr>
        <w:t>auditor</w:t>
      </w:r>
      <w:r w:rsidRPr="00EC20A0">
        <w:rPr>
          <w:b/>
          <w:spacing w:val="-4"/>
        </w:rPr>
        <w:t xml:space="preserve"> </w:t>
      </w:r>
      <w:r w:rsidRPr="00EC20A0">
        <w:t>that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best</w:t>
      </w:r>
      <w:r w:rsidRPr="00EC20A0">
        <w:rPr>
          <w:spacing w:val="-5"/>
        </w:rPr>
        <w:t xml:space="preserve"> </w:t>
      </w:r>
      <w:r w:rsidRPr="00EC20A0">
        <w:t>of</w:t>
      </w:r>
      <w:r w:rsidRPr="00EC20A0">
        <w:rPr>
          <w:spacing w:val="-4"/>
        </w:rPr>
        <w:t xml:space="preserve"> </w:t>
      </w:r>
      <w:r w:rsidRPr="00EC20A0">
        <w:t>their</w:t>
      </w:r>
      <w:r w:rsidRPr="00EC20A0">
        <w:rPr>
          <w:spacing w:val="-4"/>
        </w:rPr>
        <w:t xml:space="preserve"> </w:t>
      </w:r>
      <w:r w:rsidRPr="00EC20A0">
        <w:t>knowledge</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 has complied with ethical requirements relevant to the group audit, including professional competence (AU-C 600A.42).</w:t>
      </w:r>
    </w:p>
    <w:p w14:paraId="24D5FEB5" w14:textId="77777777" w:rsidR="00245300" w:rsidRPr="00EC20A0" w:rsidRDefault="00F17249">
      <w:pPr>
        <w:spacing w:before="241"/>
        <w:ind w:left="1140"/>
        <w:rPr>
          <w:b/>
          <w:sz w:val="24"/>
        </w:rPr>
      </w:pPr>
      <w:bookmarkStart w:id="19" w:name="Evaluation_of_Peer_Review_Reports"/>
      <w:bookmarkEnd w:id="19"/>
      <w:r w:rsidRPr="00EC20A0">
        <w:rPr>
          <w:b/>
          <w:sz w:val="24"/>
        </w:rPr>
        <w:t>Evaluation</w:t>
      </w:r>
      <w:r w:rsidRPr="00EC20A0">
        <w:rPr>
          <w:b/>
          <w:spacing w:val="-6"/>
          <w:sz w:val="24"/>
        </w:rPr>
        <w:t xml:space="preserve"> </w:t>
      </w:r>
      <w:r w:rsidRPr="00EC20A0">
        <w:rPr>
          <w:b/>
          <w:sz w:val="24"/>
        </w:rPr>
        <w:t>of</w:t>
      </w:r>
      <w:r w:rsidRPr="00EC20A0">
        <w:rPr>
          <w:b/>
          <w:spacing w:val="-2"/>
          <w:sz w:val="24"/>
        </w:rPr>
        <w:t xml:space="preserve"> </w:t>
      </w:r>
      <w:r w:rsidRPr="00EC20A0">
        <w:rPr>
          <w:b/>
          <w:sz w:val="24"/>
        </w:rPr>
        <w:t>Peer</w:t>
      </w:r>
      <w:r w:rsidRPr="00EC20A0">
        <w:rPr>
          <w:b/>
          <w:spacing w:val="-4"/>
          <w:sz w:val="24"/>
        </w:rPr>
        <w:t xml:space="preserve"> </w:t>
      </w:r>
      <w:r w:rsidRPr="00EC20A0">
        <w:rPr>
          <w:b/>
          <w:sz w:val="24"/>
        </w:rPr>
        <w:t>Review</w:t>
      </w:r>
      <w:r w:rsidRPr="00EC20A0">
        <w:rPr>
          <w:b/>
          <w:spacing w:val="-2"/>
          <w:sz w:val="24"/>
        </w:rPr>
        <w:t xml:space="preserve"> Reports</w:t>
      </w:r>
    </w:p>
    <w:p w14:paraId="24D5FEB6" w14:textId="77777777" w:rsidR="00245300" w:rsidRPr="00EC20A0" w:rsidRDefault="00F17249">
      <w:pPr>
        <w:pStyle w:val="ListParagraph"/>
        <w:numPr>
          <w:ilvl w:val="0"/>
          <w:numId w:val="218"/>
        </w:numPr>
        <w:tabs>
          <w:tab w:val="left" w:pos="1859"/>
        </w:tabs>
        <w:ind w:left="1859" w:right="628" w:hanging="720"/>
      </w:pPr>
      <w:r w:rsidRPr="00EC20A0">
        <w:t>Where</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or</w:t>
      </w:r>
      <w:r w:rsidRPr="00EC20A0">
        <w:rPr>
          <w:spacing w:val="-3"/>
        </w:rPr>
        <w:t xml:space="preserve"> </w:t>
      </w:r>
      <w:r w:rsidRPr="00EC20A0">
        <w:t>specialists’</w:t>
      </w:r>
      <w:r w:rsidRPr="00EC20A0">
        <w:rPr>
          <w:spacing w:val="-3"/>
        </w:rPr>
        <w:t xml:space="preserve"> </w:t>
      </w:r>
      <w:r w:rsidRPr="00EC20A0">
        <w:t>firm</w:t>
      </w:r>
      <w:r w:rsidRPr="00EC20A0">
        <w:rPr>
          <w:spacing w:val="-4"/>
        </w:rPr>
        <w:t xml:space="preserve"> </w:t>
      </w:r>
      <w:r w:rsidRPr="00EC20A0">
        <w:t>has</w:t>
      </w:r>
      <w:r w:rsidRPr="00EC20A0">
        <w:rPr>
          <w:spacing w:val="-3"/>
        </w:rPr>
        <w:t xml:space="preserve"> </w:t>
      </w:r>
      <w:r w:rsidRPr="00EC20A0">
        <w:t>received</w:t>
      </w:r>
      <w:r w:rsidRPr="00EC20A0">
        <w:rPr>
          <w:spacing w:val="-3"/>
        </w:rPr>
        <w:t xml:space="preserve"> </w:t>
      </w:r>
      <w:r w:rsidRPr="00EC20A0">
        <w:t>a</w:t>
      </w:r>
      <w:r w:rsidRPr="00EC20A0">
        <w:rPr>
          <w:spacing w:val="-3"/>
        </w:rPr>
        <w:t xml:space="preserve"> </w:t>
      </w:r>
      <w:r w:rsidRPr="00EC20A0">
        <w:t>peer</w:t>
      </w:r>
      <w:r w:rsidRPr="00EC20A0">
        <w:rPr>
          <w:spacing w:val="-3"/>
        </w:rPr>
        <w:t xml:space="preserve"> </w:t>
      </w:r>
      <w:r w:rsidRPr="00EC20A0">
        <w:t>review</w:t>
      </w:r>
      <w:r w:rsidRPr="00EC20A0">
        <w:rPr>
          <w:spacing w:val="-4"/>
        </w:rPr>
        <w:t xml:space="preserve"> </w:t>
      </w:r>
      <w:r w:rsidRPr="00EC20A0">
        <w:t>rating</w:t>
      </w:r>
      <w:r w:rsidRPr="00EC20A0">
        <w:rPr>
          <w:spacing w:val="-4"/>
        </w:rPr>
        <w:t xml:space="preserve"> </w:t>
      </w:r>
      <w:r w:rsidRPr="00EC20A0">
        <w:t>of</w:t>
      </w:r>
      <w:r w:rsidRPr="00EC20A0">
        <w:rPr>
          <w:spacing w:val="-3"/>
        </w:rPr>
        <w:t xml:space="preserve"> </w:t>
      </w:r>
      <w:r w:rsidRPr="00EC20A0">
        <w:t xml:space="preserve">pass within the last 3 </w:t>
      </w:r>
      <w:r w:rsidRPr="00EC20A0">
        <w:t>years, the auditor generally need not perform further review of the</w:t>
      </w:r>
      <w:r w:rsidRPr="00EC20A0">
        <w:rPr>
          <w:spacing w:val="-1"/>
        </w:rPr>
        <w:t xml:space="preserve"> </w:t>
      </w:r>
      <w:r w:rsidRPr="00EC20A0">
        <w:t>firm’s</w:t>
      </w:r>
      <w:r w:rsidRPr="00EC20A0">
        <w:rPr>
          <w:spacing w:val="-1"/>
        </w:rPr>
        <w:t xml:space="preserve"> </w:t>
      </w:r>
      <w:r w:rsidRPr="00EC20A0">
        <w:t>quality</w:t>
      </w:r>
      <w:r w:rsidRPr="00EC20A0">
        <w:rPr>
          <w:spacing w:val="-1"/>
        </w:rPr>
        <w:t xml:space="preserve"> </w:t>
      </w:r>
      <w:r w:rsidRPr="00EC20A0">
        <w:t>controls.</w:t>
      </w:r>
      <w:r w:rsidRPr="00EC20A0">
        <w:rPr>
          <w:spacing w:val="-1"/>
        </w:rPr>
        <w:t xml:space="preserve"> </w:t>
      </w:r>
      <w:r w:rsidRPr="00EC20A0">
        <w:t>However,</w:t>
      </w:r>
      <w:r w:rsidRPr="00EC20A0">
        <w:rPr>
          <w:spacing w:val="-1"/>
        </w:rPr>
        <w:t xml:space="preserve"> </w:t>
      </w:r>
      <w:r w:rsidRPr="00EC20A0">
        <w:t>the</w:t>
      </w:r>
      <w:r w:rsidRPr="00EC20A0">
        <w:rPr>
          <w:spacing w:val="-1"/>
        </w:rPr>
        <w:t xml:space="preserve"> </w:t>
      </w:r>
      <w:r w:rsidRPr="00EC20A0">
        <w:t>auditor</w:t>
      </w:r>
      <w:r w:rsidRPr="00EC20A0">
        <w:rPr>
          <w:spacing w:val="-1"/>
        </w:rPr>
        <w:t xml:space="preserve"> </w:t>
      </w:r>
      <w:r w:rsidRPr="00EC20A0">
        <w:t>may</w:t>
      </w:r>
      <w:r w:rsidRPr="00EC20A0">
        <w:rPr>
          <w:spacing w:val="-1"/>
        </w:rPr>
        <w:t xml:space="preserve"> </w:t>
      </w:r>
      <w:r w:rsidRPr="00EC20A0">
        <w:t>request</w:t>
      </w:r>
      <w:r w:rsidRPr="00EC20A0">
        <w:rPr>
          <w:spacing w:val="-1"/>
        </w:rPr>
        <w:t xml:space="preserve"> </w:t>
      </w:r>
      <w:r w:rsidRPr="00EC20A0">
        <w:t>and</w:t>
      </w:r>
      <w:r w:rsidRPr="00EC20A0">
        <w:rPr>
          <w:spacing w:val="-1"/>
        </w:rPr>
        <w:t xml:space="preserve"> </w:t>
      </w:r>
      <w:r w:rsidRPr="00EC20A0">
        <w:t>review</w:t>
      </w:r>
      <w:r w:rsidRPr="00EC20A0">
        <w:rPr>
          <w:spacing w:val="-2"/>
        </w:rPr>
        <w:t xml:space="preserve"> </w:t>
      </w:r>
      <w:r w:rsidRPr="00EC20A0">
        <w:t>letter</w:t>
      </w:r>
      <w:r w:rsidRPr="00EC20A0">
        <w:rPr>
          <w:spacing w:val="-1"/>
        </w:rPr>
        <w:t xml:space="preserve"> </w:t>
      </w:r>
      <w:r w:rsidRPr="00EC20A0">
        <w:t>of comments, if any, relating to the peer review.</w:t>
      </w:r>
    </w:p>
    <w:p w14:paraId="24D5FEB7" w14:textId="77777777" w:rsidR="00245300" w:rsidRPr="00EC20A0" w:rsidRDefault="00F17249">
      <w:pPr>
        <w:pStyle w:val="ListParagraph"/>
        <w:numPr>
          <w:ilvl w:val="0"/>
          <w:numId w:val="218"/>
        </w:numPr>
        <w:tabs>
          <w:tab w:val="left" w:pos="1859"/>
        </w:tabs>
        <w:ind w:left="1859" w:right="516" w:hanging="720"/>
      </w:pPr>
      <w:r w:rsidRPr="00EC20A0">
        <w:t xml:space="preserve">Where the other auditors’ or specialists’ firm </w:t>
      </w:r>
      <w:r w:rsidRPr="00EC20A0">
        <w:t>receives a peer review or inspection report rating of pass with deficiencies or fail, the auditor should evaluate whether the quality control system has since been strengthened to allow the auditor to</w:t>
      </w:r>
      <w:r w:rsidRPr="00EC20A0">
        <w:rPr>
          <w:spacing w:val="40"/>
        </w:rPr>
        <w:t xml:space="preserve"> </w:t>
      </w:r>
      <w:r w:rsidRPr="00EC20A0">
        <w:t>use the other auditors’ or specialists’ work. The auditor may review the firm’s action plan for improving quality controls and inspection results in determining whether</w:t>
      </w:r>
      <w:r w:rsidRPr="00EC20A0">
        <w:rPr>
          <w:spacing w:val="-3"/>
        </w:rPr>
        <w:t xml:space="preserve"> </w:t>
      </w:r>
      <w:r w:rsidRPr="00EC20A0">
        <w:t>quality</w:t>
      </w:r>
      <w:r w:rsidRPr="00EC20A0">
        <w:rPr>
          <w:spacing w:val="-4"/>
        </w:rPr>
        <w:t xml:space="preserve"> </w:t>
      </w:r>
      <w:r w:rsidRPr="00EC20A0">
        <w:t>controls</w:t>
      </w:r>
      <w:r w:rsidRPr="00EC20A0">
        <w:rPr>
          <w:spacing w:val="-4"/>
        </w:rPr>
        <w:t xml:space="preserve"> </w:t>
      </w:r>
      <w:r w:rsidRPr="00EC20A0">
        <w:t>have</w:t>
      </w:r>
      <w:r w:rsidRPr="00EC20A0">
        <w:rPr>
          <w:spacing w:val="-3"/>
        </w:rPr>
        <w:t xml:space="preserve"> </w:t>
      </w:r>
      <w:r w:rsidRPr="00EC20A0">
        <w:t>improved</w:t>
      </w:r>
      <w:r w:rsidRPr="00EC20A0">
        <w:rPr>
          <w:spacing w:val="-4"/>
        </w:rPr>
        <w:t xml:space="preserve"> </w:t>
      </w:r>
      <w:r w:rsidRPr="00EC20A0">
        <w:t>since</w:t>
      </w:r>
      <w:r w:rsidRPr="00EC20A0">
        <w:rPr>
          <w:spacing w:val="-3"/>
        </w:rPr>
        <w:t xml:space="preserve"> </w:t>
      </w:r>
      <w:r w:rsidRPr="00EC20A0">
        <w:t>the</w:t>
      </w:r>
      <w:r w:rsidRPr="00EC20A0">
        <w:rPr>
          <w:spacing w:val="-4"/>
        </w:rPr>
        <w:t xml:space="preserve"> </w:t>
      </w:r>
      <w:r w:rsidRPr="00EC20A0">
        <w:t>peer</w:t>
      </w:r>
      <w:r w:rsidRPr="00EC20A0">
        <w:rPr>
          <w:spacing w:val="-3"/>
        </w:rPr>
        <w:t xml:space="preserve"> </w:t>
      </w:r>
      <w:r w:rsidRPr="00EC20A0">
        <w:t>review.</w:t>
      </w:r>
      <w:r w:rsidRPr="00EC20A0">
        <w:rPr>
          <w:spacing w:val="-4"/>
        </w:rPr>
        <w:t xml:space="preserve"> </w:t>
      </w:r>
      <w:r w:rsidRPr="00EC20A0">
        <w:t>The</w:t>
      </w:r>
      <w:r w:rsidRPr="00EC20A0">
        <w:rPr>
          <w:spacing w:val="-3"/>
        </w:rPr>
        <w:t xml:space="preserve"> </w:t>
      </w:r>
      <w:r w:rsidRPr="00EC20A0">
        <w:t>auditor</w:t>
      </w:r>
      <w:r w:rsidRPr="00EC20A0">
        <w:rPr>
          <w:spacing w:val="-4"/>
        </w:rPr>
        <w:t xml:space="preserve"> </w:t>
      </w:r>
      <w:r w:rsidRPr="00EC20A0">
        <w:t xml:space="preserve">should evaluate the effect of remaining weaknesses in determining the </w:t>
      </w:r>
      <w:r w:rsidRPr="00EC20A0">
        <w:t>nature and</w:t>
      </w:r>
      <w:r w:rsidRPr="00EC20A0">
        <w:rPr>
          <w:spacing w:val="40"/>
        </w:rPr>
        <w:t xml:space="preserve"> </w:t>
      </w:r>
      <w:r w:rsidRPr="00EC20A0">
        <w:t>extent of procedures to be performed.</w:t>
      </w:r>
    </w:p>
    <w:p w14:paraId="24D5FEB8" w14:textId="77777777" w:rsidR="00245300" w:rsidRPr="00EC20A0" w:rsidRDefault="00F17249">
      <w:pPr>
        <w:pStyle w:val="Heading5"/>
        <w:ind w:left="1140" w:right="562"/>
        <w:rPr>
          <w:u w:val="none"/>
        </w:rPr>
      </w:pPr>
      <w:bookmarkStart w:id="20" w:name="Evaluating_Other_Auditors’_or_Specialist"/>
      <w:bookmarkEnd w:id="20"/>
      <w:r w:rsidRPr="00EC20A0">
        <w:t>Evaluating</w:t>
      </w:r>
      <w:r w:rsidRPr="00EC20A0">
        <w:rPr>
          <w:spacing w:val="-5"/>
        </w:rPr>
        <w:t xml:space="preserve"> </w:t>
      </w:r>
      <w:r w:rsidRPr="00EC20A0">
        <w:t>Other</w:t>
      </w:r>
      <w:r w:rsidRPr="00EC20A0">
        <w:rPr>
          <w:spacing w:val="-6"/>
        </w:rPr>
        <w:t xml:space="preserve"> </w:t>
      </w:r>
      <w:r w:rsidRPr="00EC20A0">
        <w:t>Auditors’</w:t>
      </w:r>
      <w:r w:rsidRPr="00EC20A0">
        <w:rPr>
          <w:spacing w:val="-4"/>
        </w:rPr>
        <w:t xml:space="preserve"> </w:t>
      </w:r>
      <w:r w:rsidRPr="00EC20A0">
        <w:t>or</w:t>
      </w:r>
      <w:r w:rsidRPr="00EC20A0">
        <w:rPr>
          <w:spacing w:val="-7"/>
        </w:rPr>
        <w:t xml:space="preserve"> </w:t>
      </w:r>
      <w:r w:rsidRPr="00EC20A0">
        <w:t>Specialists’</w:t>
      </w:r>
      <w:r w:rsidRPr="00EC20A0">
        <w:rPr>
          <w:spacing w:val="-4"/>
        </w:rPr>
        <w:t xml:space="preserve"> </w:t>
      </w:r>
      <w:r w:rsidRPr="00EC20A0">
        <w:t>Competence</w:t>
      </w:r>
      <w:r w:rsidRPr="00EC20A0">
        <w:rPr>
          <w:spacing w:val="-5"/>
        </w:rPr>
        <w:t xml:space="preserve"> </w:t>
      </w:r>
      <w:r w:rsidRPr="00EC20A0">
        <w:t>at</w:t>
      </w:r>
      <w:r w:rsidRPr="00EC20A0">
        <w:rPr>
          <w:spacing w:val="-4"/>
        </w:rPr>
        <w:t xml:space="preserve"> </w:t>
      </w:r>
      <w:r w:rsidRPr="00EC20A0">
        <w:t>the</w:t>
      </w:r>
      <w:r w:rsidRPr="00EC20A0">
        <w:rPr>
          <w:spacing w:val="-5"/>
        </w:rPr>
        <w:t xml:space="preserve"> </w:t>
      </w:r>
      <w:r w:rsidRPr="00EC20A0">
        <w:t>Individual</w:t>
      </w:r>
      <w:r w:rsidRPr="00EC20A0">
        <w:rPr>
          <w:u w:val="none"/>
        </w:rPr>
        <w:t xml:space="preserve"> </w:t>
      </w:r>
      <w:r w:rsidRPr="00EC20A0">
        <w:t>Team Member Level</w:t>
      </w:r>
    </w:p>
    <w:p w14:paraId="24D5FEB9" w14:textId="77777777" w:rsidR="00245300" w:rsidRPr="00EC20A0" w:rsidRDefault="00F17249">
      <w:pPr>
        <w:pStyle w:val="ListParagraph"/>
        <w:numPr>
          <w:ilvl w:val="0"/>
          <w:numId w:val="218"/>
        </w:numPr>
        <w:tabs>
          <w:tab w:val="left" w:pos="1859"/>
        </w:tabs>
        <w:spacing w:before="238"/>
        <w:ind w:left="1859" w:right="529" w:hanging="720"/>
      </w:pPr>
      <w:r w:rsidRPr="00EC20A0">
        <w:t>In</w:t>
      </w:r>
      <w:r w:rsidRPr="00EC20A0">
        <w:rPr>
          <w:spacing w:val="-2"/>
        </w:rPr>
        <w:t xml:space="preserve"> </w:t>
      </w:r>
      <w:r w:rsidRPr="00EC20A0">
        <w:t>addition</w:t>
      </w:r>
      <w:r w:rsidRPr="00EC20A0">
        <w:rPr>
          <w:spacing w:val="-2"/>
        </w:rPr>
        <w:t xml:space="preserve"> </w:t>
      </w:r>
      <w:r w:rsidRPr="00EC20A0">
        <w:t>to</w:t>
      </w:r>
      <w:r w:rsidRPr="00EC20A0">
        <w:rPr>
          <w:spacing w:val="-2"/>
        </w:rPr>
        <w:t xml:space="preserve"> </w:t>
      </w:r>
      <w:r w:rsidRPr="00EC20A0">
        <w:t>evaluating</w:t>
      </w:r>
      <w:r w:rsidRPr="00EC20A0">
        <w:rPr>
          <w:spacing w:val="-3"/>
        </w:rPr>
        <w:t xml:space="preserve"> </w:t>
      </w:r>
      <w:r w:rsidRPr="00EC20A0">
        <w:t>the</w:t>
      </w:r>
      <w:r w:rsidRPr="00EC20A0">
        <w:rPr>
          <w:spacing w:val="-2"/>
        </w:rPr>
        <w:t xml:space="preserve"> </w:t>
      </w:r>
      <w:r w:rsidRPr="00EC20A0">
        <w:t>other</w:t>
      </w:r>
      <w:r w:rsidRPr="00EC20A0">
        <w:rPr>
          <w:spacing w:val="-2"/>
        </w:rPr>
        <w:t xml:space="preserve"> </w:t>
      </w:r>
      <w:r w:rsidRPr="00EC20A0">
        <w:t>auditors’</w:t>
      </w:r>
      <w:r w:rsidRPr="00EC20A0">
        <w:rPr>
          <w:spacing w:val="-2"/>
        </w:rPr>
        <w:t xml:space="preserve"> </w:t>
      </w:r>
      <w:r w:rsidRPr="00EC20A0">
        <w:t>or</w:t>
      </w:r>
      <w:r w:rsidRPr="00EC20A0">
        <w:rPr>
          <w:spacing w:val="-2"/>
        </w:rPr>
        <w:t xml:space="preserve"> </w:t>
      </w:r>
      <w:r w:rsidRPr="00EC20A0">
        <w:t>firms’</w:t>
      </w:r>
      <w:r w:rsidRPr="00EC20A0">
        <w:rPr>
          <w:spacing w:val="-2"/>
        </w:rPr>
        <w:t xml:space="preserve"> </w:t>
      </w:r>
      <w:r w:rsidRPr="00EC20A0">
        <w:t>competence,</w:t>
      </w:r>
      <w:r w:rsidRPr="00EC20A0">
        <w:rPr>
          <w:spacing w:val="-2"/>
        </w:rPr>
        <w:t xml:space="preserve"> </w:t>
      </w:r>
      <w:r w:rsidRPr="00EC20A0">
        <w:t>the</w:t>
      </w:r>
      <w:r w:rsidRPr="00EC20A0">
        <w:rPr>
          <w:spacing w:val="-2"/>
        </w:rPr>
        <w:t xml:space="preserve"> </w:t>
      </w:r>
      <w:r w:rsidRPr="00EC20A0">
        <w:t>auditor</w:t>
      </w:r>
      <w:r w:rsidRPr="00EC20A0">
        <w:rPr>
          <w:spacing w:val="-2"/>
        </w:rPr>
        <w:t xml:space="preserve"> </w:t>
      </w:r>
      <w:r w:rsidRPr="00EC20A0">
        <w:t>also should evaluate the overall competence of the key individual team members assigned</w:t>
      </w:r>
      <w:r w:rsidRPr="00EC20A0">
        <w:rPr>
          <w:spacing w:val="-3"/>
        </w:rPr>
        <w:t xml:space="preserve"> </w:t>
      </w:r>
      <w:r w:rsidRPr="00EC20A0">
        <w:t>to</w:t>
      </w:r>
      <w:r w:rsidRPr="00EC20A0">
        <w:rPr>
          <w:spacing w:val="-4"/>
        </w:rPr>
        <w:t xml:space="preserve"> </w:t>
      </w:r>
      <w:r w:rsidRPr="00EC20A0">
        <w:t>do</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may</w:t>
      </w:r>
      <w:r w:rsidRPr="00EC20A0">
        <w:rPr>
          <w:spacing w:val="-3"/>
        </w:rPr>
        <w:t xml:space="preserve"> </w:t>
      </w:r>
      <w:r w:rsidRPr="00EC20A0">
        <w:t>review</w:t>
      </w:r>
      <w:r w:rsidRPr="00EC20A0">
        <w:rPr>
          <w:spacing w:val="-4"/>
        </w:rPr>
        <w:t xml:space="preserve"> </w:t>
      </w:r>
      <w:r w:rsidRPr="00EC20A0">
        <w:t>résumés</w:t>
      </w:r>
      <w:r w:rsidRPr="00EC20A0">
        <w:rPr>
          <w:spacing w:val="-3"/>
        </w:rPr>
        <w:t xml:space="preserve"> </w:t>
      </w:r>
      <w:r w:rsidRPr="00EC20A0">
        <w:t>and</w:t>
      </w:r>
      <w:r w:rsidRPr="00EC20A0">
        <w:rPr>
          <w:spacing w:val="-3"/>
        </w:rPr>
        <w:t xml:space="preserve"> </w:t>
      </w:r>
      <w:r w:rsidRPr="00EC20A0">
        <w:t>training</w:t>
      </w:r>
      <w:r w:rsidRPr="00EC20A0">
        <w:rPr>
          <w:spacing w:val="-3"/>
        </w:rPr>
        <w:t xml:space="preserve"> </w:t>
      </w:r>
      <w:r w:rsidRPr="00EC20A0">
        <w:t>records</w:t>
      </w:r>
      <w:r w:rsidRPr="00EC20A0">
        <w:rPr>
          <w:spacing w:val="-3"/>
        </w:rPr>
        <w:t xml:space="preserve"> </w:t>
      </w:r>
      <w:r w:rsidRPr="00EC20A0">
        <w:t xml:space="preserve">of key team members to accomplish this. The auditor should review the specific education, training, certifications, and </w:t>
      </w:r>
      <w:r w:rsidRPr="00EC20A0">
        <w:t>experience of key team members. In evaluating qualifications, the auditor should review the specific role of team members on the job. When the auditor has knowledge of competence from prior experience for key team members, the auditor should inquire about their experience since the last audit.</w:t>
      </w:r>
    </w:p>
    <w:p w14:paraId="24D5FEBA" w14:textId="77777777" w:rsidR="00245300" w:rsidRPr="00EC20A0" w:rsidRDefault="00F17249">
      <w:pPr>
        <w:spacing w:before="241"/>
        <w:ind w:left="1140"/>
        <w:rPr>
          <w:b/>
          <w:sz w:val="24"/>
        </w:rPr>
      </w:pPr>
      <w:bookmarkStart w:id="21" w:name="Other_Auditors_(Except_Service_Auditors)"/>
      <w:bookmarkEnd w:id="21"/>
      <w:r w:rsidRPr="00EC20A0">
        <w:rPr>
          <w:b/>
          <w:sz w:val="24"/>
        </w:rPr>
        <w:t>Other</w:t>
      </w:r>
      <w:r w:rsidRPr="00EC20A0">
        <w:rPr>
          <w:b/>
          <w:spacing w:val="-5"/>
          <w:sz w:val="24"/>
        </w:rPr>
        <w:t xml:space="preserve"> </w:t>
      </w:r>
      <w:r w:rsidRPr="00EC20A0">
        <w:rPr>
          <w:b/>
          <w:sz w:val="24"/>
        </w:rPr>
        <w:t>Auditors</w:t>
      </w:r>
      <w:r w:rsidRPr="00EC20A0">
        <w:rPr>
          <w:b/>
          <w:spacing w:val="-3"/>
          <w:sz w:val="24"/>
        </w:rPr>
        <w:t xml:space="preserve"> </w:t>
      </w:r>
      <w:r w:rsidRPr="00EC20A0">
        <w:rPr>
          <w:b/>
          <w:sz w:val="24"/>
        </w:rPr>
        <w:t>(Except</w:t>
      </w:r>
      <w:r w:rsidRPr="00EC20A0">
        <w:rPr>
          <w:b/>
          <w:spacing w:val="-3"/>
          <w:sz w:val="24"/>
        </w:rPr>
        <w:t xml:space="preserve"> </w:t>
      </w:r>
      <w:r w:rsidRPr="00EC20A0">
        <w:rPr>
          <w:b/>
          <w:sz w:val="24"/>
        </w:rPr>
        <w:t>Service</w:t>
      </w:r>
      <w:r w:rsidRPr="00EC20A0">
        <w:rPr>
          <w:b/>
          <w:spacing w:val="-3"/>
          <w:sz w:val="24"/>
        </w:rPr>
        <w:t xml:space="preserve"> </w:t>
      </w:r>
      <w:r w:rsidRPr="00EC20A0">
        <w:rPr>
          <w:b/>
          <w:spacing w:val="-2"/>
          <w:sz w:val="24"/>
        </w:rPr>
        <w:t>Auditors)</w:t>
      </w:r>
    </w:p>
    <w:p w14:paraId="24D5FEBB" w14:textId="77777777" w:rsidR="00245300" w:rsidRPr="00EC20A0" w:rsidRDefault="00F17249">
      <w:pPr>
        <w:pStyle w:val="ListParagraph"/>
        <w:numPr>
          <w:ilvl w:val="0"/>
          <w:numId w:val="218"/>
        </w:numPr>
        <w:tabs>
          <w:tab w:val="left" w:pos="1859"/>
        </w:tabs>
        <w:ind w:left="1859" w:right="519" w:hanging="720"/>
      </w:pPr>
      <w:r w:rsidRPr="00EC20A0">
        <w:t>The auditor should determine that other auditors engaged to assist in performing financial audits, who do not work for a government audit organization, are licensed</w:t>
      </w:r>
      <w:r w:rsidRPr="00EC20A0">
        <w:rPr>
          <w:spacing w:val="-5"/>
        </w:rPr>
        <w:t xml:space="preserve"> </w:t>
      </w:r>
      <w:r w:rsidRPr="00EC20A0">
        <w:t>certified</w:t>
      </w:r>
      <w:r w:rsidRPr="00EC20A0">
        <w:rPr>
          <w:spacing w:val="-4"/>
        </w:rPr>
        <w:t xml:space="preserve"> </w:t>
      </w:r>
      <w:r w:rsidRPr="00EC20A0">
        <w:t>public</w:t>
      </w:r>
      <w:r w:rsidRPr="00EC20A0">
        <w:rPr>
          <w:spacing w:val="-5"/>
        </w:rPr>
        <w:t xml:space="preserve"> </w:t>
      </w:r>
      <w:r w:rsidRPr="00EC20A0">
        <w:t>accountants,</w:t>
      </w:r>
      <w:r w:rsidRPr="00EC20A0">
        <w:rPr>
          <w:spacing w:val="-4"/>
        </w:rPr>
        <w:t xml:space="preserve"> </w:t>
      </w:r>
      <w:r w:rsidRPr="00EC20A0">
        <w:t>persons</w:t>
      </w:r>
      <w:r w:rsidRPr="00EC20A0">
        <w:rPr>
          <w:spacing w:val="-4"/>
        </w:rPr>
        <w:t xml:space="preserve"> </w:t>
      </w:r>
      <w:r w:rsidRPr="00EC20A0">
        <w:t>working</w:t>
      </w:r>
      <w:r w:rsidRPr="00EC20A0">
        <w:rPr>
          <w:spacing w:val="-4"/>
        </w:rPr>
        <w:t xml:space="preserve"> </w:t>
      </w:r>
      <w:r w:rsidRPr="00EC20A0">
        <w:t>for</w:t>
      </w:r>
      <w:r w:rsidRPr="00EC20A0">
        <w:rPr>
          <w:spacing w:val="-5"/>
        </w:rPr>
        <w:t xml:space="preserve"> </w:t>
      </w:r>
      <w:r w:rsidRPr="00EC20A0">
        <w:t>licensed</w:t>
      </w:r>
      <w:r w:rsidRPr="00EC20A0">
        <w:rPr>
          <w:spacing w:val="-4"/>
        </w:rPr>
        <w:t xml:space="preserve"> </w:t>
      </w:r>
      <w:r w:rsidRPr="00EC20A0">
        <w:t>certified</w:t>
      </w:r>
      <w:r w:rsidRPr="00EC20A0">
        <w:rPr>
          <w:spacing w:val="-4"/>
        </w:rPr>
        <w:t xml:space="preserve"> </w:t>
      </w:r>
      <w:r w:rsidRPr="00EC20A0">
        <w:t>public accounting firms, or licensed accountants in states that have multiclass licensing systems that recognize licensed accountants other than certified public</w:t>
      </w:r>
    </w:p>
    <w:p w14:paraId="24D5FEBC" w14:textId="77777777" w:rsidR="00245300" w:rsidRPr="00EC20A0" w:rsidRDefault="00245300">
      <w:pPr>
        <w:sectPr w:rsidR="00245300" w:rsidRPr="00EC20A0">
          <w:pgSz w:w="12240" w:h="15840"/>
          <w:pgMar w:top="1340" w:right="940" w:bottom="940" w:left="1020" w:header="721" w:footer="757" w:gutter="0"/>
          <w:cols w:space="720"/>
        </w:sectPr>
      </w:pPr>
    </w:p>
    <w:p w14:paraId="24D5FEBD" w14:textId="77777777" w:rsidR="00245300" w:rsidRPr="00EC20A0" w:rsidRDefault="00F17249">
      <w:pPr>
        <w:pStyle w:val="BodyText"/>
        <w:spacing w:before="121"/>
        <w:ind w:left="1859" w:right="562"/>
      </w:pPr>
      <w:r w:rsidRPr="00EC20A0">
        <w:t>accountants (GAGAS (2018) 6.04).</w:t>
      </w:r>
      <w:hyperlink w:anchor="_bookmark7" w:history="1">
        <w:r w:rsidRPr="00EC20A0">
          <w:rPr>
            <w:position w:val="7"/>
            <w:sz w:val="14"/>
          </w:rPr>
          <w:t>5</w:t>
        </w:r>
      </w:hyperlink>
      <w:r w:rsidRPr="00EC20A0">
        <w:rPr>
          <w:spacing w:val="28"/>
          <w:position w:val="7"/>
          <w:sz w:val="14"/>
        </w:rPr>
        <w:t xml:space="preserve"> </w:t>
      </w:r>
      <w:r w:rsidRPr="00EC20A0">
        <w:t>The auditor should also determine whether the other auditors are competent as required by GAGAS, including having completed</w:t>
      </w:r>
      <w:r w:rsidRPr="00EC20A0">
        <w:rPr>
          <w:spacing w:val="-5"/>
        </w:rPr>
        <w:t xml:space="preserve"> </w:t>
      </w:r>
      <w:r w:rsidRPr="00EC20A0">
        <w:t>continuing</w:t>
      </w:r>
      <w:r w:rsidRPr="00EC20A0">
        <w:rPr>
          <w:spacing w:val="-5"/>
        </w:rPr>
        <w:t xml:space="preserve"> </w:t>
      </w:r>
      <w:r w:rsidRPr="00EC20A0">
        <w:t>professional</w:t>
      </w:r>
      <w:r w:rsidRPr="00EC20A0">
        <w:rPr>
          <w:spacing w:val="-6"/>
        </w:rPr>
        <w:t xml:space="preserve"> </w:t>
      </w:r>
      <w:r w:rsidRPr="00EC20A0">
        <w:t>education</w:t>
      </w:r>
      <w:r w:rsidRPr="00EC20A0">
        <w:rPr>
          <w:spacing w:val="-5"/>
        </w:rPr>
        <w:t xml:space="preserve"> </w:t>
      </w:r>
      <w:r w:rsidRPr="00EC20A0">
        <w:t>(CPE)</w:t>
      </w:r>
      <w:r w:rsidRPr="00EC20A0">
        <w:rPr>
          <w:spacing w:val="-5"/>
        </w:rPr>
        <w:t xml:space="preserve"> </w:t>
      </w:r>
      <w:r w:rsidRPr="00EC20A0">
        <w:t>requirements.</w:t>
      </w:r>
      <w:r w:rsidRPr="00EC20A0">
        <w:rPr>
          <w:spacing w:val="-5"/>
        </w:rPr>
        <w:t xml:space="preserve"> </w:t>
      </w:r>
      <w:r w:rsidRPr="00EC20A0">
        <w:t>See</w:t>
      </w:r>
      <w:r w:rsidRPr="00EC20A0">
        <w:rPr>
          <w:spacing w:val="-5"/>
        </w:rPr>
        <w:t xml:space="preserve"> </w:t>
      </w:r>
      <w:r w:rsidRPr="00EC20A0">
        <w:t>chapter</w:t>
      </w:r>
      <w:r w:rsidRPr="00EC20A0">
        <w:rPr>
          <w:spacing w:val="-5"/>
        </w:rPr>
        <w:t xml:space="preserve"> </w:t>
      </w:r>
      <w:r w:rsidRPr="00EC20A0">
        <w:t>4 of GAGAS (2018) (Competence and Continuing Professional Education). This may include obtaining an assertion, reviewing years of experience, reviewing types of past audits performed, and reviewing CPE history.</w:t>
      </w:r>
    </w:p>
    <w:p w14:paraId="24D5FEBE" w14:textId="77777777" w:rsidR="00245300" w:rsidRPr="00EC20A0" w:rsidRDefault="00F17249">
      <w:pPr>
        <w:pStyle w:val="ListParagraph"/>
        <w:numPr>
          <w:ilvl w:val="0"/>
          <w:numId w:val="218"/>
        </w:numPr>
        <w:tabs>
          <w:tab w:val="left" w:pos="1860"/>
        </w:tabs>
        <w:ind w:right="640"/>
      </w:pPr>
      <w:r w:rsidRPr="00EC20A0">
        <w:t>The</w:t>
      </w:r>
      <w:r w:rsidRPr="00EC20A0">
        <w:rPr>
          <w:spacing w:val="-5"/>
        </w:rPr>
        <w:t xml:space="preserve"> </w:t>
      </w:r>
      <w:r w:rsidRPr="00EC20A0">
        <w:t>auditor’s</w:t>
      </w:r>
      <w:r w:rsidRPr="00EC20A0">
        <w:rPr>
          <w:spacing w:val="-5"/>
        </w:rPr>
        <w:t xml:space="preserve"> </w:t>
      </w:r>
      <w:r w:rsidRPr="00EC20A0">
        <w:t>understanding</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other</w:t>
      </w:r>
      <w:r w:rsidRPr="00EC20A0">
        <w:rPr>
          <w:spacing w:val="-5"/>
        </w:rPr>
        <w:t xml:space="preserve"> </w:t>
      </w:r>
      <w:r w:rsidRPr="00EC20A0">
        <w:t>auditors’</w:t>
      </w:r>
      <w:r w:rsidRPr="00EC20A0">
        <w:rPr>
          <w:spacing w:val="-5"/>
        </w:rPr>
        <w:t xml:space="preserve"> </w:t>
      </w:r>
      <w:r w:rsidRPr="00EC20A0">
        <w:t>professional</w:t>
      </w:r>
      <w:r w:rsidRPr="00EC20A0">
        <w:rPr>
          <w:spacing w:val="-5"/>
        </w:rPr>
        <w:t xml:space="preserve"> </w:t>
      </w:r>
      <w:r w:rsidRPr="00EC20A0">
        <w:t>competence</w:t>
      </w:r>
      <w:r w:rsidRPr="00EC20A0">
        <w:rPr>
          <w:spacing w:val="-5"/>
        </w:rPr>
        <w:t xml:space="preserve"> </w:t>
      </w:r>
      <w:r w:rsidRPr="00EC20A0">
        <w:t>may include whether the other auditors (AU-C 600A.A48)</w:t>
      </w:r>
    </w:p>
    <w:p w14:paraId="24D5FEBF" w14:textId="77777777" w:rsidR="00245300" w:rsidRPr="00EC20A0" w:rsidRDefault="00F17249">
      <w:pPr>
        <w:pStyle w:val="ListParagraph"/>
        <w:numPr>
          <w:ilvl w:val="1"/>
          <w:numId w:val="218"/>
        </w:numPr>
        <w:tabs>
          <w:tab w:val="left" w:pos="2220"/>
        </w:tabs>
        <w:spacing w:before="239"/>
        <w:ind w:left="2220" w:right="709"/>
        <w:jc w:val="both"/>
      </w:pPr>
      <w:r w:rsidRPr="00EC20A0">
        <w:t>possess</w:t>
      </w:r>
      <w:r w:rsidRPr="00EC20A0">
        <w:rPr>
          <w:spacing w:val="-3"/>
        </w:rPr>
        <w:t xml:space="preserve"> </w:t>
      </w:r>
      <w:r w:rsidRPr="00EC20A0">
        <w:t>an</w:t>
      </w:r>
      <w:r w:rsidRPr="00EC20A0">
        <w:rPr>
          <w:spacing w:val="-3"/>
        </w:rPr>
        <w:t xml:space="preserve"> </w:t>
      </w:r>
      <w:r w:rsidRPr="00EC20A0">
        <w:t>understanding</w:t>
      </w:r>
      <w:r w:rsidRPr="00EC20A0">
        <w:rPr>
          <w:spacing w:val="-2"/>
        </w:rPr>
        <w:t xml:space="preserve"> </w:t>
      </w:r>
      <w:r w:rsidRPr="00EC20A0">
        <w:t>of</w:t>
      </w:r>
      <w:r w:rsidRPr="00EC20A0">
        <w:rPr>
          <w:spacing w:val="-2"/>
        </w:rPr>
        <w:t xml:space="preserve"> </w:t>
      </w:r>
      <w:r w:rsidRPr="00EC20A0">
        <w:t>the</w:t>
      </w:r>
      <w:r w:rsidRPr="00EC20A0">
        <w:rPr>
          <w:spacing w:val="-2"/>
        </w:rPr>
        <w:t xml:space="preserve"> </w:t>
      </w:r>
      <w:r w:rsidRPr="00EC20A0">
        <w:t>auditing</w:t>
      </w:r>
      <w:r w:rsidRPr="00EC20A0">
        <w:rPr>
          <w:spacing w:val="-2"/>
        </w:rPr>
        <w:t xml:space="preserve"> </w:t>
      </w:r>
      <w:r w:rsidRPr="00EC20A0">
        <w:t>and</w:t>
      </w:r>
      <w:r w:rsidRPr="00EC20A0">
        <w:rPr>
          <w:spacing w:val="-2"/>
        </w:rPr>
        <w:t xml:space="preserve"> </w:t>
      </w:r>
      <w:r w:rsidRPr="00EC20A0">
        <w:t>other</w:t>
      </w:r>
      <w:r w:rsidRPr="00EC20A0">
        <w:rPr>
          <w:spacing w:val="-2"/>
        </w:rPr>
        <w:t xml:space="preserve"> </w:t>
      </w:r>
      <w:r w:rsidRPr="00EC20A0">
        <w:t>standards</w:t>
      </w:r>
      <w:r w:rsidRPr="00EC20A0">
        <w:rPr>
          <w:spacing w:val="-2"/>
        </w:rPr>
        <w:t xml:space="preserve"> </w:t>
      </w:r>
      <w:r w:rsidRPr="00EC20A0">
        <w:t>applicable</w:t>
      </w:r>
      <w:r w:rsidRPr="00EC20A0">
        <w:rPr>
          <w:spacing w:val="-2"/>
        </w:rPr>
        <w:t xml:space="preserve"> </w:t>
      </w:r>
      <w:r w:rsidRPr="00EC20A0">
        <w:t>to the</w:t>
      </w:r>
      <w:r w:rsidRPr="00EC20A0">
        <w:rPr>
          <w:spacing w:val="-4"/>
        </w:rPr>
        <w:t xml:space="preserve"> </w:t>
      </w:r>
      <w:r w:rsidRPr="00EC20A0">
        <w:t>audit,</w:t>
      </w:r>
      <w:r w:rsidRPr="00EC20A0">
        <w:rPr>
          <w:spacing w:val="-4"/>
        </w:rPr>
        <w:t xml:space="preserve"> </w:t>
      </w:r>
      <w:r w:rsidRPr="00EC20A0">
        <w:t>such</w:t>
      </w:r>
      <w:r w:rsidRPr="00EC20A0">
        <w:rPr>
          <w:spacing w:val="-4"/>
        </w:rPr>
        <w:t xml:space="preserve"> </w:t>
      </w:r>
      <w:r w:rsidRPr="00EC20A0">
        <w:t>as</w:t>
      </w:r>
      <w:r w:rsidRPr="00EC20A0">
        <w:rPr>
          <w:spacing w:val="-4"/>
        </w:rPr>
        <w:t xml:space="preserve"> </w:t>
      </w:r>
      <w:r w:rsidRPr="00EC20A0">
        <w:t>U.S.</w:t>
      </w:r>
      <w:r w:rsidRPr="00EC20A0">
        <w:rPr>
          <w:spacing w:val="-4"/>
        </w:rPr>
        <w:t xml:space="preserve"> </w:t>
      </w:r>
      <w:r w:rsidRPr="00EC20A0">
        <w:t>generally</w:t>
      </w:r>
      <w:r w:rsidRPr="00EC20A0">
        <w:rPr>
          <w:spacing w:val="-4"/>
        </w:rPr>
        <w:t xml:space="preserve"> </w:t>
      </w:r>
      <w:r w:rsidRPr="00EC20A0">
        <w:t>accepted</w:t>
      </w:r>
      <w:r w:rsidRPr="00EC20A0">
        <w:rPr>
          <w:spacing w:val="-4"/>
        </w:rPr>
        <w:t xml:space="preserve"> </w:t>
      </w:r>
      <w:r w:rsidRPr="00EC20A0">
        <w:t>auditing</w:t>
      </w:r>
      <w:r w:rsidRPr="00EC20A0">
        <w:rPr>
          <w:spacing w:val="-4"/>
        </w:rPr>
        <w:t xml:space="preserve"> </w:t>
      </w:r>
      <w:r w:rsidRPr="00EC20A0">
        <w:t>standards</w:t>
      </w:r>
      <w:r w:rsidRPr="00EC20A0">
        <w:rPr>
          <w:spacing w:val="-4"/>
        </w:rPr>
        <w:t xml:space="preserve"> </w:t>
      </w:r>
      <w:r w:rsidRPr="00EC20A0">
        <w:t>(U.S.</w:t>
      </w:r>
      <w:r w:rsidRPr="00EC20A0">
        <w:rPr>
          <w:spacing w:val="-4"/>
        </w:rPr>
        <w:t xml:space="preserve"> </w:t>
      </w:r>
      <w:r w:rsidRPr="00EC20A0">
        <w:t>GAAS), that is sufficient to fulfill the other auditors’ responsibilities;</w:t>
      </w:r>
    </w:p>
    <w:p w14:paraId="24D5FEC0" w14:textId="77777777" w:rsidR="00245300" w:rsidRPr="00EC20A0" w:rsidRDefault="00F17249">
      <w:pPr>
        <w:pStyle w:val="ListParagraph"/>
        <w:numPr>
          <w:ilvl w:val="1"/>
          <w:numId w:val="218"/>
        </w:numPr>
        <w:tabs>
          <w:tab w:val="left" w:pos="2218"/>
        </w:tabs>
        <w:spacing w:before="238"/>
        <w:ind w:left="2218" w:right="893"/>
      </w:pPr>
      <w:r w:rsidRPr="00EC20A0">
        <w:t>possess the special skills (for example, industry-specific knowledge or knowledge</w:t>
      </w:r>
      <w:r w:rsidRPr="00EC20A0">
        <w:rPr>
          <w:spacing w:val="-6"/>
        </w:rPr>
        <w:t xml:space="preserve"> </w:t>
      </w:r>
      <w:r w:rsidRPr="00EC20A0">
        <w:t>of</w:t>
      </w:r>
      <w:r w:rsidRPr="00EC20A0">
        <w:rPr>
          <w:spacing w:val="-5"/>
        </w:rPr>
        <w:t xml:space="preserve"> </w:t>
      </w:r>
      <w:r w:rsidRPr="00EC20A0">
        <w:t>relevant</w:t>
      </w:r>
      <w:r w:rsidRPr="00EC20A0">
        <w:rPr>
          <w:spacing w:val="-5"/>
        </w:rPr>
        <w:t xml:space="preserve"> </w:t>
      </w:r>
      <w:r w:rsidRPr="00EC20A0">
        <w:t>financial</w:t>
      </w:r>
      <w:r w:rsidRPr="00EC20A0">
        <w:rPr>
          <w:spacing w:val="-5"/>
        </w:rPr>
        <w:t xml:space="preserve"> </w:t>
      </w:r>
      <w:r w:rsidRPr="00EC20A0">
        <w:t>reporting</w:t>
      </w:r>
      <w:r w:rsidRPr="00EC20A0">
        <w:rPr>
          <w:spacing w:val="-5"/>
        </w:rPr>
        <w:t xml:space="preserve"> </w:t>
      </w:r>
      <w:r w:rsidRPr="00EC20A0">
        <w:t>requirements</w:t>
      </w:r>
      <w:r w:rsidRPr="00EC20A0">
        <w:rPr>
          <w:spacing w:val="-5"/>
        </w:rPr>
        <w:t xml:space="preserve"> </w:t>
      </w:r>
      <w:r w:rsidRPr="00EC20A0">
        <w:t>for</w:t>
      </w:r>
      <w:r w:rsidRPr="00EC20A0">
        <w:rPr>
          <w:spacing w:val="-5"/>
        </w:rPr>
        <w:t xml:space="preserve"> </w:t>
      </w:r>
      <w:r w:rsidRPr="00EC20A0">
        <w:t>statements</w:t>
      </w:r>
      <w:r w:rsidRPr="00EC20A0">
        <w:rPr>
          <w:spacing w:val="-5"/>
        </w:rPr>
        <w:t xml:space="preserve"> </w:t>
      </w:r>
      <w:r w:rsidRPr="00EC20A0">
        <w:t xml:space="preserve">and schedules to be filed with </w:t>
      </w:r>
      <w:r w:rsidRPr="00EC20A0">
        <w:t>regulatory agencies) necessary to perform the work; and</w:t>
      </w:r>
    </w:p>
    <w:p w14:paraId="24D5FEC1" w14:textId="77777777" w:rsidR="00245300" w:rsidRPr="00EC20A0" w:rsidRDefault="00F17249">
      <w:pPr>
        <w:pStyle w:val="ListParagraph"/>
        <w:numPr>
          <w:ilvl w:val="1"/>
          <w:numId w:val="218"/>
        </w:numPr>
        <w:tabs>
          <w:tab w:val="left" w:pos="2218"/>
        </w:tabs>
        <w:spacing w:before="239"/>
        <w:ind w:left="2218" w:right="537"/>
        <w:rPr>
          <w:sz w:val="14"/>
        </w:rPr>
      </w:pPr>
      <w:r w:rsidRPr="00EC20A0">
        <w:t>when</w:t>
      </w:r>
      <w:r w:rsidRPr="00EC20A0">
        <w:rPr>
          <w:spacing w:val="-4"/>
        </w:rPr>
        <w:t xml:space="preserve"> </w:t>
      </w:r>
      <w:r w:rsidRPr="00EC20A0">
        <w:t>relevant,</w:t>
      </w:r>
      <w:r w:rsidRPr="00EC20A0">
        <w:rPr>
          <w:spacing w:val="-4"/>
        </w:rPr>
        <w:t xml:space="preserve"> </w:t>
      </w:r>
      <w:r w:rsidRPr="00EC20A0">
        <w:t>possess</w:t>
      </w:r>
      <w:r w:rsidRPr="00EC20A0">
        <w:rPr>
          <w:spacing w:val="-5"/>
        </w:rPr>
        <w:t xml:space="preserve"> </w:t>
      </w:r>
      <w:r w:rsidRPr="00EC20A0">
        <w:t>an</w:t>
      </w:r>
      <w:r w:rsidRPr="00EC20A0">
        <w:rPr>
          <w:spacing w:val="-4"/>
        </w:rPr>
        <w:t xml:space="preserve"> </w:t>
      </w:r>
      <w:r w:rsidRPr="00EC20A0">
        <w:t>understanding</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applicable</w:t>
      </w:r>
      <w:r w:rsidRPr="00EC20A0">
        <w:rPr>
          <w:spacing w:val="-5"/>
        </w:rPr>
        <w:t xml:space="preserve"> </w:t>
      </w:r>
      <w:r w:rsidRPr="00EC20A0">
        <w:t>financial</w:t>
      </w:r>
      <w:r w:rsidRPr="00EC20A0">
        <w:rPr>
          <w:spacing w:val="-4"/>
        </w:rPr>
        <w:t xml:space="preserve"> </w:t>
      </w:r>
      <w:r w:rsidRPr="00EC20A0">
        <w:t xml:space="preserve">reporting framework (generally U.S. GAAP) that is sufficient to fulfill the other auditors’ responsibilities in the audit </w:t>
      </w:r>
      <w:r w:rsidRPr="00EC20A0">
        <w:t>(instructions that the auditor issues to the other auditors</w:t>
      </w:r>
      <w:r w:rsidRPr="00EC20A0">
        <w:rPr>
          <w:spacing w:val="-4"/>
        </w:rPr>
        <w:t xml:space="preserve"> </w:t>
      </w:r>
      <w:r w:rsidRPr="00EC20A0">
        <w:t>often</w:t>
      </w:r>
      <w:r w:rsidRPr="00EC20A0">
        <w:rPr>
          <w:spacing w:val="-4"/>
        </w:rPr>
        <w:t xml:space="preserve"> </w:t>
      </w:r>
      <w:r w:rsidRPr="00EC20A0">
        <w:t>describe</w:t>
      </w:r>
      <w:r w:rsidRPr="00EC20A0">
        <w:rPr>
          <w:spacing w:val="-4"/>
        </w:rPr>
        <w:t xml:space="preserve"> </w:t>
      </w:r>
      <w:r w:rsidRPr="00EC20A0">
        <w:t>the</w:t>
      </w:r>
      <w:r w:rsidRPr="00EC20A0">
        <w:rPr>
          <w:spacing w:val="-4"/>
        </w:rPr>
        <w:t xml:space="preserve"> </w:t>
      </w:r>
      <w:r w:rsidRPr="00EC20A0">
        <w:t>characteristics</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applicable</w:t>
      </w:r>
      <w:r w:rsidRPr="00EC20A0">
        <w:rPr>
          <w:spacing w:val="-5"/>
        </w:rPr>
        <w:t xml:space="preserve"> </w:t>
      </w:r>
      <w:r w:rsidRPr="00EC20A0">
        <w:t>financial</w:t>
      </w:r>
      <w:r w:rsidRPr="00EC20A0">
        <w:rPr>
          <w:spacing w:val="-4"/>
        </w:rPr>
        <w:t xml:space="preserve"> </w:t>
      </w:r>
      <w:r w:rsidRPr="00EC20A0">
        <w:t xml:space="preserve">reporting </w:t>
      </w:r>
      <w:r w:rsidRPr="00EC20A0">
        <w:rPr>
          <w:spacing w:val="-2"/>
        </w:rPr>
        <w:t>framework).</w:t>
      </w:r>
      <w:hyperlink w:anchor="_bookmark8" w:history="1">
        <w:r w:rsidRPr="00EC20A0">
          <w:rPr>
            <w:spacing w:val="-2"/>
            <w:position w:val="7"/>
            <w:sz w:val="14"/>
          </w:rPr>
          <w:t>6</w:t>
        </w:r>
      </w:hyperlink>
    </w:p>
    <w:p w14:paraId="24D5FEC2" w14:textId="77777777" w:rsidR="00245300" w:rsidRPr="00EC20A0" w:rsidRDefault="00F17249">
      <w:pPr>
        <w:spacing w:before="239"/>
        <w:ind w:left="1140"/>
        <w:rPr>
          <w:b/>
          <w:sz w:val="24"/>
        </w:rPr>
      </w:pPr>
      <w:bookmarkStart w:id="22" w:name="Specialists"/>
      <w:bookmarkEnd w:id="22"/>
      <w:r w:rsidRPr="00EC20A0">
        <w:rPr>
          <w:b/>
          <w:spacing w:val="-2"/>
          <w:sz w:val="24"/>
        </w:rPr>
        <w:t>Specialists</w:t>
      </w:r>
    </w:p>
    <w:p w14:paraId="24D5FEC3" w14:textId="77777777" w:rsidR="00245300" w:rsidRPr="00EC20A0" w:rsidRDefault="00F17249">
      <w:pPr>
        <w:pStyle w:val="ListParagraph"/>
        <w:numPr>
          <w:ilvl w:val="0"/>
          <w:numId w:val="218"/>
        </w:numPr>
        <w:tabs>
          <w:tab w:val="left" w:pos="1860"/>
        </w:tabs>
        <w:spacing w:before="239"/>
        <w:ind w:right="848"/>
      </w:pPr>
      <w:r w:rsidRPr="00EC20A0">
        <w:t>Sources that may inform the auditor’s assessment of the competence and professional</w:t>
      </w:r>
      <w:r w:rsidRPr="00EC20A0">
        <w:rPr>
          <w:spacing w:val="-5"/>
        </w:rPr>
        <w:t xml:space="preserve"> </w:t>
      </w:r>
      <w:r w:rsidRPr="00EC20A0">
        <w:t>qualifications</w:t>
      </w:r>
      <w:r w:rsidRPr="00EC20A0">
        <w:rPr>
          <w:spacing w:val="-4"/>
        </w:rPr>
        <w:t xml:space="preserve"> </w:t>
      </w:r>
      <w:r w:rsidRPr="00EC20A0">
        <w:t>of</w:t>
      </w:r>
      <w:r w:rsidRPr="00EC20A0">
        <w:rPr>
          <w:spacing w:val="-4"/>
        </w:rPr>
        <w:t xml:space="preserve"> </w:t>
      </w:r>
      <w:r w:rsidRPr="00EC20A0">
        <w:t>a</w:t>
      </w:r>
      <w:r w:rsidRPr="00EC20A0">
        <w:rPr>
          <w:spacing w:val="-4"/>
        </w:rPr>
        <w:t xml:space="preserve"> </w:t>
      </w:r>
      <w:r w:rsidRPr="00EC20A0">
        <w:t>specialist</w:t>
      </w:r>
      <w:r w:rsidRPr="00EC20A0">
        <w:rPr>
          <w:spacing w:val="-4"/>
        </w:rPr>
        <w:t xml:space="preserve"> </w:t>
      </w:r>
      <w:r w:rsidRPr="00EC20A0">
        <w:t>include</w:t>
      </w:r>
      <w:r w:rsidRPr="00EC20A0">
        <w:rPr>
          <w:spacing w:val="-5"/>
        </w:rPr>
        <w:t xml:space="preserve"> </w:t>
      </w:r>
      <w:r w:rsidRPr="00EC20A0">
        <w:t>the</w:t>
      </w:r>
      <w:r w:rsidRPr="00EC20A0">
        <w:rPr>
          <w:spacing w:val="-4"/>
        </w:rPr>
        <w:t xml:space="preserve"> </w:t>
      </w:r>
      <w:r w:rsidRPr="00EC20A0">
        <w:t>following</w:t>
      </w:r>
      <w:r w:rsidRPr="00EC20A0">
        <w:rPr>
          <w:spacing w:val="-5"/>
        </w:rPr>
        <w:t xml:space="preserve"> </w:t>
      </w:r>
      <w:r w:rsidRPr="00EC20A0">
        <w:t>(GAGAS</w:t>
      </w:r>
      <w:r w:rsidRPr="00EC20A0">
        <w:rPr>
          <w:spacing w:val="-4"/>
        </w:rPr>
        <w:t xml:space="preserve"> </w:t>
      </w:r>
      <w:r w:rsidRPr="00EC20A0">
        <w:t xml:space="preserve">(2018) </w:t>
      </w:r>
      <w:r w:rsidRPr="00EC20A0">
        <w:rPr>
          <w:spacing w:val="-2"/>
        </w:rPr>
        <w:t>4.15):</w:t>
      </w:r>
    </w:p>
    <w:p w14:paraId="24D5FEC4" w14:textId="77777777" w:rsidR="00245300" w:rsidRPr="00EC20A0" w:rsidRDefault="00F17249">
      <w:pPr>
        <w:pStyle w:val="ListParagraph"/>
        <w:numPr>
          <w:ilvl w:val="1"/>
          <w:numId w:val="218"/>
        </w:numPr>
        <w:tabs>
          <w:tab w:val="left" w:pos="2220"/>
        </w:tabs>
        <w:ind w:left="2220" w:right="633" w:hanging="361"/>
      </w:pPr>
      <w:r w:rsidRPr="00EC20A0">
        <w:t>the</w:t>
      </w:r>
      <w:r w:rsidRPr="00EC20A0">
        <w:rPr>
          <w:spacing w:val="-5"/>
        </w:rPr>
        <w:t xml:space="preserve"> </w:t>
      </w:r>
      <w:r w:rsidRPr="00EC20A0">
        <w:t>professional</w:t>
      </w:r>
      <w:r w:rsidRPr="00EC20A0">
        <w:rPr>
          <w:spacing w:val="-5"/>
        </w:rPr>
        <w:t xml:space="preserve"> </w:t>
      </w:r>
      <w:r w:rsidRPr="00EC20A0">
        <w:t>certification,</w:t>
      </w:r>
      <w:r w:rsidRPr="00EC20A0">
        <w:rPr>
          <w:spacing w:val="-5"/>
        </w:rPr>
        <w:t xml:space="preserve"> </w:t>
      </w:r>
      <w:r w:rsidRPr="00EC20A0">
        <w:t>license,</w:t>
      </w:r>
      <w:r w:rsidRPr="00EC20A0">
        <w:rPr>
          <w:spacing w:val="-5"/>
        </w:rPr>
        <w:t xml:space="preserve"> </w:t>
      </w:r>
      <w:r w:rsidRPr="00EC20A0">
        <w:t>or</w:t>
      </w:r>
      <w:r w:rsidRPr="00EC20A0">
        <w:rPr>
          <w:spacing w:val="-5"/>
        </w:rPr>
        <w:t xml:space="preserve"> </w:t>
      </w:r>
      <w:r w:rsidRPr="00EC20A0">
        <w:t>other</w:t>
      </w:r>
      <w:r w:rsidRPr="00EC20A0">
        <w:rPr>
          <w:spacing w:val="-5"/>
        </w:rPr>
        <w:t xml:space="preserve"> </w:t>
      </w:r>
      <w:r w:rsidRPr="00EC20A0">
        <w:t>recognition</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 xml:space="preserve">competence of the specialist in the specialist’s field, as </w:t>
      </w:r>
      <w:r w:rsidRPr="00EC20A0">
        <w:t>appropriate;</w:t>
      </w:r>
    </w:p>
    <w:p w14:paraId="24D5FEC5" w14:textId="77777777" w:rsidR="00245300" w:rsidRPr="00EC20A0" w:rsidRDefault="00F17249">
      <w:pPr>
        <w:pStyle w:val="ListParagraph"/>
        <w:numPr>
          <w:ilvl w:val="1"/>
          <w:numId w:val="218"/>
        </w:numPr>
        <w:tabs>
          <w:tab w:val="left" w:pos="2220"/>
        </w:tabs>
        <w:spacing w:before="239"/>
        <w:ind w:left="2220" w:right="647"/>
      </w:pPr>
      <w:r w:rsidRPr="00EC20A0">
        <w:t>the</w:t>
      </w:r>
      <w:r w:rsidRPr="00EC20A0">
        <w:rPr>
          <w:spacing w:val="-4"/>
        </w:rPr>
        <w:t xml:space="preserve"> </w:t>
      </w:r>
      <w:r w:rsidRPr="00EC20A0">
        <w:t>reputation</w:t>
      </w:r>
      <w:r w:rsidRPr="00EC20A0">
        <w:rPr>
          <w:spacing w:val="-4"/>
        </w:rPr>
        <w:t xml:space="preserve"> </w:t>
      </w:r>
      <w:r w:rsidRPr="00EC20A0">
        <w:t>and</w:t>
      </w:r>
      <w:r w:rsidRPr="00EC20A0">
        <w:rPr>
          <w:spacing w:val="-4"/>
        </w:rPr>
        <w:t xml:space="preserve"> </w:t>
      </w:r>
      <w:r w:rsidRPr="00EC20A0">
        <w:t>standing</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specialist</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views</w:t>
      </w:r>
      <w:r w:rsidRPr="00EC20A0">
        <w:rPr>
          <w:spacing w:val="-2"/>
        </w:rPr>
        <w:t xml:space="preserve"> </w:t>
      </w:r>
      <w:r w:rsidRPr="00EC20A0">
        <w:t>of</w:t>
      </w:r>
      <w:r w:rsidRPr="00EC20A0">
        <w:rPr>
          <w:spacing w:val="-4"/>
        </w:rPr>
        <w:t xml:space="preserve"> </w:t>
      </w:r>
      <w:r w:rsidRPr="00EC20A0">
        <w:t>peers</w:t>
      </w:r>
      <w:r w:rsidRPr="00EC20A0">
        <w:rPr>
          <w:spacing w:val="-4"/>
        </w:rPr>
        <w:t xml:space="preserve"> </w:t>
      </w:r>
      <w:r w:rsidRPr="00EC20A0">
        <w:t>and</w:t>
      </w:r>
      <w:r w:rsidRPr="00EC20A0">
        <w:rPr>
          <w:spacing w:val="-4"/>
        </w:rPr>
        <w:t xml:space="preserve"> </w:t>
      </w:r>
      <w:r w:rsidRPr="00EC20A0">
        <w:t>others familiar with the specialist’s capability or performance;</w:t>
      </w:r>
    </w:p>
    <w:p w14:paraId="24D5FEC6" w14:textId="77777777" w:rsidR="00245300" w:rsidRPr="00EC20A0" w:rsidRDefault="00F17249">
      <w:pPr>
        <w:pStyle w:val="ListParagraph"/>
        <w:numPr>
          <w:ilvl w:val="1"/>
          <w:numId w:val="218"/>
        </w:numPr>
        <w:tabs>
          <w:tab w:val="left" w:pos="2219"/>
        </w:tabs>
        <w:spacing w:before="238"/>
        <w:ind w:hanging="359"/>
      </w:pPr>
      <w:r w:rsidRPr="00EC20A0">
        <w:t>the</w:t>
      </w:r>
      <w:r w:rsidRPr="00EC20A0">
        <w:rPr>
          <w:spacing w:val="-7"/>
        </w:rPr>
        <w:t xml:space="preserve"> </w:t>
      </w:r>
      <w:r w:rsidRPr="00EC20A0">
        <w:t>specialist’s</w:t>
      </w:r>
      <w:r w:rsidRPr="00EC20A0">
        <w:rPr>
          <w:spacing w:val="-7"/>
        </w:rPr>
        <w:t xml:space="preserve"> </w:t>
      </w:r>
      <w:r w:rsidRPr="00EC20A0">
        <w:t>experience</w:t>
      </w:r>
      <w:r w:rsidRPr="00EC20A0">
        <w:rPr>
          <w:spacing w:val="-6"/>
        </w:rPr>
        <w:t xml:space="preserve"> </w:t>
      </w:r>
      <w:r w:rsidRPr="00EC20A0">
        <w:t>and</w:t>
      </w:r>
      <w:r w:rsidRPr="00EC20A0">
        <w:rPr>
          <w:spacing w:val="-7"/>
        </w:rPr>
        <w:t xml:space="preserve"> </w:t>
      </w:r>
      <w:r w:rsidRPr="00EC20A0">
        <w:t>previous</w:t>
      </w:r>
      <w:r w:rsidRPr="00EC20A0">
        <w:rPr>
          <w:spacing w:val="-6"/>
        </w:rPr>
        <w:t xml:space="preserve"> </w:t>
      </w:r>
      <w:r w:rsidRPr="00EC20A0">
        <w:t>work</w:t>
      </w:r>
      <w:r w:rsidRPr="00EC20A0">
        <w:rPr>
          <w:spacing w:val="-7"/>
        </w:rPr>
        <w:t xml:space="preserve"> </w:t>
      </w:r>
      <w:r w:rsidRPr="00EC20A0">
        <w:t>in</w:t>
      </w:r>
      <w:r w:rsidRPr="00EC20A0">
        <w:rPr>
          <w:spacing w:val="-7"/>
        </w:rPr>
        <w:t xml:space="preserve"> </w:t>
      </w:r>
      <w:r w:rsidRPr="00EC20A0">
        <w:t>the</w:t>
      </w:r>
      <w:r w:rsidRPr="00EC20A0">
        <w:rPr>
          <w:spacing w:val="-6"/>
        </w:rPr>
        <w:t xml:space="preserve"> </w:t>
      </w:r>
      <w:r w:rsidRPr="00EC20A0">
        <w:t>subject</w:t>
      </w:r>
      <w:r w:rsidRPr="00EC20A0">
        <w:rPr>
          <w:spacing w:val="-7"/>
        </w:rPr>
        <w:t xml:space="preserve"> </w:t>
      </w:r>
      <w:r w:rsidRPr="00EC20A0">
        <w:rPr>
          <w:spacing w:val="-2"/>
        </w:rPr>
        <w:t>matter;</w:t>
      </w:r>
    </w:p>
    <w:p w14:paraId="24D5FEC7" w14:textId="77777777" w:rsidR="00245300" w:rsidRPr="00EC20A0" w:rsidRDefault="00F17249">
      <w:pPr>
        <w:pStyle w:val="ListParagraph"/>
        <w:numPr>
          <w:ilvl w:val="1"/>
          <w:numId w:val="218"/>
        </w:numPr>
        <w:tabs>
          <w:tab w:val="left" w:pos="2220"/>
        </w:tabs>
        <w:spacing w:before="238"/>
        <w:ind w:left="2220" w:right="1124" w:hanging="361"/>
      </w:pPr>
      <w:r w:rsidRPr="00EC20A0">
        <w:t>the</w:t>
      </w:r>
      <w:r w:rsidRPr="00EC20A0">
        <w:rPr>
          <w:spacing w:val="-5"/>
        </w:rPr>
        <w:t xml:space="preserve"> </w:t>
      </w:r>
      <w:r w:rsidRPr="00EC20A0">
        <w:t>auditor’s</w:t>
      </w:r>
      <w:r w:rsidRPr="00EC20A0">
        <w:rPr>
          <w:spacing w:val="-6"/>
        </w:rPr>
        <w:t xml:space="preserve"> </w:t>
      </w:r>
      <w:r w:rsidRPr="00EC20A0">
        <w:t>assessment</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specialist’s</w:t>
      </w:r>
      <w:r w:rsidRPr="00EC20A0">
        <w:rPr>
          <w:spacing w:val="-5"/>
        </w:rPr>
        <w:t xml:space="preserve"> </w:t>
      </w:r>
      <w:r w:rsidRPr="00EC20A0">
        <w:t>knowledge</w:t>
      </w:r>
      <w:r w:rsidRPr="00EC20A0">
        <w:rPr>
          <w:spacing w:val="-5"/>
        </w:rPr>
        <w:t xml:space="preserve"> </w:t>
      </w:r>
      <w:r w:rsidRPr="00EC20A0">
        <w:t>and</w:t>
      </w:r>
      <w:r w:rsidRPr="00EC20A0">
        <w:rPr>
          <w:spacing w:val="-5"/>
        </w:rPr>
        <w:t xml:space="preserve"> </w:t>
      </w:r>
      <w:r w:rsidRPr="00EC20A0">
        <w:t>qualification based on prior experience in using the specialist’s work;</w:t>
      </w:r>
    </w:p>
    <w:p w14:paraId="24D5FEC8" w14:textId="77777777" w:rsidR="00245300" w:rsidRPr="00EC20A0" w:rsidRDefault="00F17249">
      <w:pPr>
        <w:pStyle w:val="ListParagraph"/>
        <w:numPr>
          <w:ilvl w:val="1"/>
          <w:numId w:val="218"/>
        </w:numPr>
        <w:tabs>
          <w:tab w:val="left" w:pos="2219"/>
        </w:tabs>
        <w:spacing w:before="238"/>
        <w:ind w:right="576"/>
      </w:pPr>
      <w:r w:rsidRPr="00EC20A0">
        <w:t xml:space="preserve">the specialist’s knowledge of any technical performance standards or other professional or industry requirements in the specialist’s field (for example, </w:t>
      </w:r>
      <w:r w:rsidRPr="00EC20A0">
        <w:t>ethical</w:t>
      </w:r>
      <w:r w:rsidRPr="00EC20A0">
        <w:rPr>
          <w:spacing w:val="-5"/>
        </w:rPr>
        <w:t xml:space="preserve"> </w:t>
      </w:r>
      <w:r w:rsidRPr="00EC20A0">
        <w:t>standards</w:t>
      </w:r>
      <w:r w:rsidRPr="00EC20A0">
        <w:rPr>
          <w:spacing w:val="-5"/>
        </w:rPr>
        <w:t xml:space="preserve"> </w:t>
      </w:r>
      <w:r w:rsidRPr="00EC20A0">
        <w:t>and</w:t>
      </w:r>
      <w:r w:rsidRPr="00EC20A0">
        <w:rPr>
          <w:spacing w:val="-5"/>
        </w:rPr>
        <w:t xml:space="preserve"> </w:t>
      </w:r>
      <w:r w:rsidRPr="00EC20A0">
        <w:t>other</w:t>
      </w:r>
      <w:r w:rsidRPr="00EC20A0">
        <w:rPr>
          <w:spacing w:val="-5"/>
        </w:rPr>
        <w:t xml:space="preserve"> </w:t>
      </w:r>
      <w:r w:rsidRPr="00EC20A0">
        <w:t>membership</w:t>
      </w:r>
      <w:r w:rsidRPr="00EC20A0">
        <w:rPr>
          <w:spacing w:val="-5"/>
        </w:rPr>
        <w:t xml:space="preserve"> </w:t>
      </w:r>
      <w:r w:rsidRPr="00EC20A0">
        <w:t>requirements</w:t>
      </w:r>
      <w:r w:rsidRPr="00EC20A0">
        <w:rPr>
          <w:spacing w:val="-5"/>
        </w:rPr>
        <w:t xml:space="preserve"> </w:t>
      </w:r>
      <w:r w:rsidRPr="00EC20A0">
        <w:t>of</w:t>
      </w:r>
      <w:r w:rsidRPr="00EC20A0">
        <w:rPr>
          <w:spacing w:val="-5"/>
        </w:rPr>
        <w:t xml:space="preserve"> </w:t>
      </w:r>
      <w:r w:rsidRPr="00EC20A0">
        <w:t>a</w:t>
      </w:r>
      <w:r w:rsidRPr="00EC20A0">
        <w:rPr>
          <w:spacing w:val="-5"/>
        </w:rPr>
        <w:t xml:space="preserve"> </w:t>
      </w:r>
      <w:r w:rsidRPr="00EC20A0">
        <w:t>professional</w:t>
      </w:r>
      <w:r w:rsidRPr="00EC20A0">
        <w:rPr>
          <w:spacing w:val="-7"/>
        </w:rPr>
        <w:t xml:space="preserve"> </w:t>
      </w:r>
      <w:r w:rsidRPr="00EC20A0">
        <w:t>body</w:t>
      </w:r>
    </w:p>
    <w:p w14:paraId="24D5FEC9" w14:textId="77777777" w:rsidR="00245300" w:rsidRPr="00EC20A0" w:rsidRDefault="00245300">
      <w:pPr>
        <w:pStyle w:val="BodyText"/>
        <w:rPr>
          <w:sz w:val="20"/>
        </w:rPr>
      </w:pPr>
    </w:p>
    <w:p w14:paraId="24D5FECA" w14:textId="77777777" w:rsidR="00245300" w:rsidRPr="00EC20A0" w:rsidRDefault="00F17249">
      <w:pPr>
        <w:pStyle w:val="BodyText"/>
        <w:spacing w:before="180"/>
        <w:rPr>
          <w:sz w:val="20"/>
        </w:rPr>
      </w:pPr>
      <w:r w:rsidRPr="00EC20A0">
        <w:rPr>
          <w:noProof/>
        </w:rPr>
        <mc:AlternateContent>
          <mc:Choice Requires="wps">
            <w:drawing>
              <wp:anchor distT="0" distB="0" distL="0" distR="0" simplePos="0" relativeHeight="487595008" behindDoc="1" locked="0" layoutInCell="1" allowOverlap="1" wp14:anchorId="24D62AD1" wp14:editId="24D62AD2">
                <wp:simplePos x="0" y="0"/>
                <wp:positionH relativeFrom="page">
                  <wp:posOffset>914400</wp:posOffset>
                </wp:positionH>
                <wp:positionV relativeFrom="paragraph">
                  <wp:posOffset>275976</wp:posOffset>
                </wp:positionV>
                <wp:extent cx="1828800" cy="571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046F3" id="Graphic 82" o:spid="_x0000_s1026" style="position:absolute;margin-left:1in;margin-top:21.75pt;width:2in;height:.4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" path="m1828800,l,,,5333r1828800,l1828800,xe" fillcolor="black" stroked="f">
                <v:path arrowok="t"/>
                <w10:wrap type="topAndBottom" anchorx="page"/>
              </v:shape>
            </w:pict>
          </mc:Fallback>
        </mc:AlternateContent>
      </w:r>
    </w:p>
    <w:p w14:paraId="24D5FECB" w14:textId="77777777" w:rsidR="00245300" w:rsidRPr="00EC20A0" w:rsidRDefault="00F17249">
      <w:pPr>
        <w:spacing w:before="202" w:line="249" w:lineRule="auto"/>
        <w:ind w:left="419" w:right="562"/>
        <w:rPr>
          <w:sz w:val="18"/>
        </w:rPr>
      </w:pPr>
      <w:bookmarkStart w:id="23" w:name="_bookmark7"/>
      <w:bookmarkEnd w:id="23"/>
      <w:r w:rsidRPr="00EC20A0">
        <w:rPr>
          <w:position w:val="7"/>
          <w:sz w:val="14"/>
        </w:rPr>
        <w:t>5</w:t>
      </w:r>
      <w:r w:rsidRPr="00EC20A0">
        <w:rPr>
          <w:sz w:val="18"/>
        </w:rPr>
        <w:t>See</w:t>
      </w:r>
      <w:r w:rsidRPr="00EC20A0">
        <w:rPr>
          <w:spacing w:val="-3"/>
          <w:sz w:val="18"/>
        </w:rPr>
        <w:t xml:space="preserve"> </w:t>
      </w:r>
      <w:r w:rsidRPr="00EC20A0">
        <w:rPr>
          <w:sz w:val="18"/>
        </w:rPr>
        <w:t>GAGAS</w:t>
      </w:r>
      <w:r w:rsidRPr="00EC20A0">
        <w:rPr>
          <w:spacing w:val="-3"/>
          <w:sz w:val="18"/>
        </w:rPr>
        <w:t xml:space="preserve"> </w:t>
      </w:r>
      <w:r w:rsidRPr="00EC20A0">
        <w:rPr>
          <w:sz w:val="18"/>
        </w:rPr>
        <w:t>(2018)</w:t>
      </w:r>
      <w:r w:rsidRPr="00EC20A0">
        <w:rPr>
          <w:spacing w:val="-3"/>
          <w:sz w:val="18"/>
        </w:rPr>
        <w:t xml:space="preserve"> </w:t>
      </w:r>
      <w:r w:rsidRPr="00EC20A0">
        <w:rPr>
          <w:sz w:val="18"/>
        </w:rPr>
        <w:t>6.05</w:t>
      </w:r>
      <w:r w:rsidRPr="00EC20A0">
        <w:rPr>
          <w:spacing w:val="-3"/>
          <w:sz w:val="18"/>
        </w:rPr>
        <w:t xml:space="preserve"> </w:t>
      </w:r>
      <w:r w:rsidRPr="00EC20A0">
        <w:rPr>
          <w:sz w:val="18"/>
        </w:rPr>
        <w:t>for</w:t>
      </w:r>
      <w:r w:rsidRPr="00EC20A0">
        <w:rPr>
          <w:spacing w:val="-3"/>
          <w:sz w:val="18"/>
        </w:rPr>
        <w:t xml:space="preserve"> </w:t>
      </w:r>
      <w:r w:rsidRPr="00EC20A0">
        <w:rPr>
          <w:sz w:val="18"/>
        </w:rPr>
        <w:t>licensing</w:t>
      </w:r>
      <w:r w:rsidRPr="00EC20A0">
        <w:rPr>
          <w:spacing w:val="-3"/>
          <w:sz w:val="18"/>
        </w:rPr>
        <w:t xml:space="preserve"> </w:t>
      </w:r>
      <w:r w:rsidRPr="00EC20A0">
        <w:rPr>
          <w:sz w:val="18"/>
        </w:rPr>
        <w:t>requirements</w:t>
      </w:r>
      <w:r w:rsidRPr="00EC20A0">
        <w:rPr>
          <w:spacing w:val="-3"/>
          <w:sz w:val="18"/>
        </w:rPr>
        <w:t xml:space="preserve"> </w:t>
      </w:r>
      <w:r w:rsidRPr="00EC20A0">
        <w:rPr>
          <w:sz w:val="18"/>
        </w:rPr>
        <w:t>for</w:t>
      </w:r>
      <w:r w:rsidRPr="00EC20A0">
        <w:rPr>
          <w:spacing w:val="-3"/>
          <w:sz w:val="18"/>
        </w:rPr>
        <w:t xml:space="preserve"> </w:t>
      </w:r>
      <w:r w:rsidRPr="00EC20A0">
        <w:rPr>
          <w:sz w:val="18"/>
        </w:rPr>
        <w:t>auditors</w:t>
      </w:r>
      <w:r w:rsidRPr="00EC20A0">
        <w:rPr>
          <w:spacing w:val="-3"/>
          <w:sz w:val="18"/>
        </w:rPr>
        <w:t xml:space="preserve"> </w:t>
      </w:r>
      <w:r w:rsidRPr="00EC20A0">
        <w:rPr>
          <w:sz w:val="18"/>
        </w:rPr>
        <w:t>who</w:t>
      </w:r>
      <w:r w:rsidRPr="00EC20A0">
        <w:rPr>
          <w:spacing w:val="-3"/>
          <w:sz w:val="18"/>
        </w:rPr>
        <w:t xml:space="preserve"> </w:t>
      </w:r>
      <w:r w:rsidRPr="00EC20A0">
        <w:rPr>
          <w:sz w:val="18"/>
        </w:rPr>
        <w:t>are</w:t>
      </w:r>
      <w:r w:rsidRPr="00EC20A0">
        <w:rPr>
          <w:spacing w:val="-3"/>
          <w:sz w:val="18"/>
        </w:rPr>
        <w:t xml:space="preserve"> </w:t>
      </w:r>
      <w:r w:rsidRPr="00EC20A0">
        <w:rPr>
          <w:sz w:val="18"/>
        </w:rPr>
        <w:t>engaged</w:t>
      </w:r>
      <w:r w:rsidRPr="00EC20A0">
        <w:rPr>
          <w:spacing w:val="-3"/>
          <w:sz w:val="18"/>
        </w:rPr>
        <w:t xml:space="preserve"> </w:t>
      </w:r>
      <w:r w:rsidRPr="00EC20A0">
        <w:rPr>
          <w:sz w:val="18"/>
        </w:rPr>
        <w:t>to</w:t>
      </w:r>
      <w:r w:rsidRPr="00EC20A0">
        <w:rPr>
          <w:spacing w:val="-3"/>
          <w:sz w:val="18"/>
        </w:rPr>
        <w:t xml:space="preserve"> </w:t>
      </w:r>
      <w:r w:rsidRPr="00EC20A0">
        <w:rPr>
          <w:sz w:val="18"/>
        </w:rPr>
        <w:t>conduct</w:t>
      </w:r>
      <w:r w:rsidRPr="00EC20A0">
        <w:rPr>
          <w:spacing w:val="-3"/>
          <w:sz w:val="18"/>
        </w:rPr>
        <w:t xml:space="preserve"> </w:t>
      </w:r>
      <w:r w:rsidRPr="00EC20A0">
        <w:rPr>
          <w:sz w:val="18"/>
        </w:rPr>
        <w:t>financial</w:t>
      </w:r>
      <w:r w:rsidRPr="00EC20A0">
        <w:rPr>
          <w:spacing w:val="-3"/>
          <w:sz w:val="18"/>
        </w:rPr>
        <w:t xml:space="preserve"> </w:t>
      </w:r>
      <w:r w:rsidRPr="00EC20A0">
        <w:rPr>
          <w:sz w:val="18"/>
        </w:rPr>
        <w:t>audits</w:t>
      </w:r>
      <w:r w:rsidRPr="00EC20A0">
        <w:rPr>
          <w:spacing w:val="-3"/>
          <w:sz w:val="18"/>
        </w:rPr>
        <w:t xml:space="preserve"> </w:t>
      </w:r>
      <w:r w:rsidRPr="00EC20A0">
        <w:rPr>
          <w:sz w:val="18"/>
        </w:rPr>
        <w:t>of entities operating outside the United States.</w:t>
      </w:r>
    </w:p>
    <w:p w14:paraId="24D5FECC" w14:textId="77777777" w:rsidR="00245300" w:rsidRPr="00EC20A0" w:rsidRDefault="00F17249">
      <w:pPr>
        <w:spacing w:before="176"/>
        <w:ind w:left="420"/>
        <w:rPr>
          <w:sz w:val="18"/>
        </w:rPr>
      </w:pPr>
      <w:bookmarkStart w:id="24" w:name="_bookmark8"/>
      <w:bookmarkEnd w:id="24"/>
      <w:r w:rsidRPr="00EC20A0">
        <w:rPr>
          <w:position w:val="7"/>
          <w:sz w:val="14"/>
        </w:rPr>
        <w:t>6</w:t>
      </w:r>
      <w:r w:rsidRPr="00EC20A0">
        <w:rPr>
          <w:sz w:val="18"/>
        </w:rPr>
        <w:t>For</w:t>
      </w:r>
      <w:r w:rsidRPr="00EC20A0">
        <w:rPr>
          <w:spacing w:val="-5"/>
          <w:sz w:val="18"/>
        </w:rPr>
        <w:t xml:space="preserve"> </w:t>
      </w:r>
      <w:r w:rsidRPr="00EC20A0">
        <w:rPr>
          <w:sz w:val="18"/>
        </w:rPr>
        <w:t>federal</w:t>
      </w:r>
      <w:r w:rsidRPr="00EC20A0">
        <w:rPr>
          <w:spacing w:val="-3"/>
          <w:sz w:val="18"/>
        </w:rPr>
        <w:t xml:space="preserve"> </w:t>
      </w:r>
      <w:r w:rsidRPr="00EC20A0">
        <w:rPr>
          <w:sz w:val="18"/>
        </w:rPr>
        <w:t>entities,</w:t>
      </w:r>
      <w:r w:rsidRPr="00EC20A0">
        <w:rPr>
          <w:spacing w:val="-2"/>
          <w:sz w:val="18"/>
        </w:rPr>
        <w:t xml:space="preserve"> </w:t>
      </w:r>
      <w:r w:rsidRPr="00EC20A0">
        <w:rPr>
          <w:sz w:val="18"/>
        </w:rPr>
        <w:t>the</w:t>
      </w:r>
      <w:r w:rsidRPr="00EC20A0">
        <w:rPr>
          <w:spacing w:val="-4"/>
          <w:sz w:val="18"/>
        </w:rPr>
        <w:t xml:space="preserve"> </w:t>
      </w:r>
      <w:r w:rsidRPr="00EC20A0">
        <w:rPr>
          <w:sz w:val="18"/>
        </w:rPr>
        <w:t>applicable</w:t>
      </w:r>
      <w:r w:rsidRPr="00EC20A0">
        <w:rPr>
          <w:spacing w:val="-3"/>
          <w:sz w:val="18"/>
        </w:rPr>
        <w:t xml:space="preserve"> </w:t>
      </w:r>
      <w:r w:rsidRPr="00EC20A0">
        <w:rPr>
          <w:sz w:val="18"/>
        </w:rPr>
        <w:t>financial</w:t>
      </w:r>
      <w:r w:rsidRPr="00EC20A0">
        <w:rPr>
          <w:spacing w:val="-2"/>
          <w:sz w:val="18"/>
        </w:rPr>
        <w:t xml:space="preserve"> </w:t>
      </w:r>
      <w:r w:rsidRPr="00EC20A0">
        <w:rPr>
          <w:sz w:val="18"/>
        </w:rPr>
        <w:t>reporting</w:t>
      </w:r>
      <w:r w:rsidRPr="00EC20A0">
        <w:rPr>
          <w:spacing w:val="-4"/>
          <w:sz w:val="18"/>
        </w:rPr>
        <w:t xml:space="preserve"> </w:t>
      </w:r>
      <w:r w:rsidRPr="00EC20A0">
        <w:rPr>
          <w:sz w:val="18"/>
        </w:rPr>
        <w:t>framework</w:t>
      </w:r>
      <w:r w:rsidRPr="00EC20A0">
        <w:rPr>
          <w:spacing w:val="-2"/>
          <w:sz w:val="18"/>
        </w:rPr>
        <w:t xml:space="preserve"> </w:t>
      </w:r>
      <w:r w:rsidRPr="00EC20A0">
        <w:rPr>
          <w:sz w:val="18"/>
        </w:rPr>
        <w:t>is</w:t>
      </w:r>
      <w:r w:rsidRPr="00EC20A0">
        <w:rPr>
          <w:spacing w:val="-3"/>
          <w:sz w:val="18"/>
        </w:rPr>
        <w:t xml:space="preserve"> </w:t>
      </w:r>
      <w:r w:rsidRPr="00EC20A0">
        <w:rPr>
          <w:sz w:val="18"/>
        </w:rPr>
        <w:t>generally</w:t>
      </w:r>
      <w:r w:rsidRPr="00EC20A0">
        <w:rPr>
          <w:spacing w:val="-3"/>
          <w:sz w:val="18"/>
        </w:rPr>
        <w:t xml:space="preserve"> </w:t>
      </w:r>
      <w:r w:rsidRPr="00EC20A0">
        <w:rPr>
          <w:sz w:val="18"/>
        </w:rPr>
        <w:t>U.S.</w:t>
      </w:r>
      <w:r w:rsidRPr="00EC20A0">
        <w:rPr>
          <w:spacing w:val="-2"/>
          <w:sz w:val="18"/>
        </w:rPr>
        <w:t xml:space="preserve"> </w:t>
      </w:r>
      <w:r w:rsidRPr="00EC20A0">
        <w:rPr>
          <w:sz w:val="18"/>
        </w:rPr>
        <w:t>GAAP.</w:t>
      </w:r>
      <w:r w:rsidRPr="00EC20A0">
        <w:rPr>
          <w:spacing w:val="-4"/>
          <w:sz w:val="18"/>
        </w:rPr>
        <w:t xml:space="preserve"> </w:t>
      </w:r>
      <w:r w:rsidRPr="00EC20A0">
        <w:rPr>
          <w:sz w:val="18"/>
        </w:rPr>
        <w:t>See</w:t>
      </w:r>
      <w:r w:rsidRPr="00EC20A0">
        <w:rPr>
          <w:spacing w:val="-3"/>
          <w:sz w:val="18"/>
        </w:rPr>
        <w:t xml:space="preserve"> </w:t>
      </w:r>
      <w:r w:rsidRPr="00EC20A0">
        <w:rPr>
          <w:sz w:val="18"/>
        </w:rPr>
        <w:t>FAM</w:t>
      </w:r>
      <w:r w:rsidRPr="00EC20A0">
        <w:rPr>
          <w:spacing w:val="-2"/>
          <w:sz w:val="18"/>
        </w:rPr>
        <w:t xml:space="preserve"> 110.02.</w:t>
      </w:r>
    </w:p>
    <w:p w14:paraId="24D5FECD"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5FECE" w14:textId="77777777" w:rsidR="00245300" w:rsidRPr="00EC20A0" w:rsidRDefault="00F17249">
      <w:pPr>
        <w:pStyle w:val="BodyText"/>
        <w:spacing w:before="121"/>
        <w:ind w:left="2219" w:right="562"/>
      </w:pPr>
      <w:r w:rsidRPr="00EC20A0">
        <w:t>or</w:t>
      </w:r>
      <w:r w:rsidRPr="00EC20A0">
        <w:rPr>
          <w:spacing w:val="-4"/>
        </w:rPr>
        <w:t xml:space="preserve"> </w:t>
      </w:r>
      <w:r w:rsidRPr="00EC20A0">
        <w:t>industry</w:t>
      </w:r>
      <w:r w:rsidRPr="00EC20A0">
        <w:rPr>
          <w:spacing w:val="-4"/>
        </w:rPr>
        <w:t xml:space="preserve"> </w:t>
      </w:r>
      <w:r w:rsidRPr="00EC20A0">
        <w:t>association,</w:t>
      </w:r>
      <w:r w:rsidRPr="00EC20A0">
        <w:rPr>
          <w:spacing w:val="-4"/>
        </w:rPr>
        <w:t xml:space="preserve"> </w:t>
      </w:r>
      <w:r w:rsidRPr="00EC20A0">
        <w:t>accreditation</w:t>
      </w:r>
      <w:r w:rsidRPr="00EC20A0">
        <w:rPr>
          <w:spacing w:val="-5"/>
        </w:rPr>
        <w:t xml:space="preserve"> </w:t>
      </w:r>
      <w:r w:rsidRPr="00EC20A0">
        <w:t>standards</w:t>
      </w:r>
      <w:r w:rsidRPr="00EC20A0">
        <w:rPr>
          <w:spacing w:val="-4"/>
        </w:rPr>
        <w:t xml:space="preserve"> </w:t>
      </w:r>
      <w:r w:rsidRPr="00EC20A0">
        <w:t>of</w:t>
      </w:r>
      <w:r w:rsidRPr="00EC20A0">
        <w:rPr>
          <w:spacing w:val="-5"/>
        </w:rPr>
        <w:t xml:space="preserve"> </w:t>
      </w:r>
      <w:r w:rsidRPr="00EC20A0">
        <w:t>a</w:t>
      </w:r>
      <w:r w:rsidRPr="00EC20A0">
        <w:rPr>
          <w:spacing w:val="-4"/>
        </w:rPr>
        <w:t xml:space="preserve"> </w:t>
      </w:r>
      <w:r w:rsidRPr="00EC20A0">
        <w:t>licensing</w:t>
      </w:r>
      <w:r w:rsidRPr="00EC20A0">
        <w:rPr>
          <w:spacing w:val="-5"/>
        </w:rPr>
        <w:t xml:space="preserve"> </w:t>
      </w:r>
      <w:r w:rsidRPr="00EC20A0">
        <w:t>body,</w:t>
      </w:r>
      <w:r w:rsidRPr="00EC20A0">
        <w:rPr>
          <w:spacing w:val="-4"/>
        </w:rPr>
        <w:t xml:space="preserve"> </w:t>
      </w:r>
      <w:r w:rsidRPr="00EC20A0">
        <w:t>or requirements imposed by law or regulation);</w:t>
      </w:r>
    </w:p>
    <w:p w14:paraId="24D5FECF" w14:textId="77777777" w:rsidR="00245300" w:rsidRPr="00EC20A0" w:rsidRDefault="00F17249">
      <w:pPr>
        <w:pStyle w:val="ListParagraph"/>
        <w:numPr>
          <w:ilvl w:val="1"/>
          <w:numId w:val="218"/>
        </w:numPr>
        <w:tabs>
          <w:tab w:val="left" w:pos="2219"/>
        </w:tabs>
        <w:ind w:right="820"/>
      </w:pPr>
      <w:r w:rsidRPr="00EC20A0">
        <w:t>the</w:t>
      </w:r>
      <w:r w:rsidRPr="00EC20A0">
        <w:rPr>
          <w:spacing w:val="-4"/>
        </w:rPr>
        <w:t xml:space="preserve"> </w:t>
      </w:r>
      <w:r w:rsidRPr="00EC20A0">
        <w:t>knowledge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specialist</w:t>
      </w:r>
      <w:r w:rsidRPr="00EC20A0">
        <w:rPr>
          <w:spacing w:val="-4"/>
        </w:rPr>
        <w:t xml:space="preserve"> </w:t>
      </w:r>
      <w:r w:rsidRPr="00EC20A0">
        <w:t>with</w:t>
      </w:r>
      <w:r w:rsidRPr="00EC20A0">
        <w:rPr>
          <w:spacing w:val="-5"/>
        </w:rPr>
        <w:t xml:space="preserve"> </w:t>
      </w:r>
      <w:r w:rsidRPr="00EC20A0">
        <w:t>respect</w:t>
      </w:r>
      <w:r w:rsidRPr="00EC20A0">
        <w:rPr>
          <w:spacing w:val="-4"/>
        </w:rPr>
        <w:t xml:space="preserve"> </w:t>
      </w:r>
      <w:r w:rsidRPr="00EC20A0">
        <w:t>to</w:t>
      </w:r>
      <w:r w:rsidRPr="00EC20A0">
        <w:rPr>
          <w:spacing w:val="-4"/>
        </w:rPr>
        <w:t xml:space="preserve"> </w:t>
      </w:r>
      <w:r w:rsidRPr="00EC20A0">
        <w:t>relevant</w:t>
      </w:r>
      <w:r w:rsidRPr="00EC20A0">
        <w:rPr>
          <w:spacing w:val="-4"/>
        </w:rPr>
        <w:t xml:space="preserve"> </w:t>
      </w:r>
      <w:r w:rsidRPr="00EC20A0">
        <w:t>auditing</w:t>
      </w:r>
      <w:r w:rsidRPr="00EC20A0">
        <w:rPr>
          <w:spacing w:val="-4"/>
        </w:rPr>
        <w:t xml:space="preserve"> </w:t>
      </w:r>
      <w:r w:rsidRPr="00EC20A0">
        <w:t xml:space="preserve">standards; </w:t>
      </w:r>
      <w:r w:rsidRPr="00EC20A0">
        <w:rPr>
          <w:spacing w:val="-4"/>
        </w:rPr>
        <w:t>and</w:t>
      </w:r>
    </w:p>
    <w:p w14:paraId="24D5FED0" w14:textId="77777777" w:rsidR="00245300" w:rsidRPr="00EC20A0" w:rsidRDefault="00F17249">
      <w:pPr>
        <w:pStyle w:val="ListParagraph"/>
        <w:numPr>
          <w:ilvl w:val="1"/>
          <w:numId w:val="218"/>
        </w:numPr>
        <w:tabs>
          <w:tab w:val="left" w:pos="2219"/>
        </w:tabs>
        <w:spacing w:before="238"/>
        <w:ind w:right="499"/>
      </w:pPr>
      <w:r w:rsidRPr="00EC20A0">
        <w:t>the</w:t>
      </w:r>
      <w:r w:rsidRPr="00EC20A0">
        <w:rPr>
          <w:spacing w:val="-4"/>
        </w:rPr>
        <w:t xml:space="preserve"> </w:t>
      </w:r>
      <w:r w:rsidRPr="00EC20A0">
        <w:t>assessment</w:t>
      </w:r>
      <w:r w:rsidRPr="00EC20A0">
        <w:rPr>
          <w:spacing w:val="-4"/>
        </w:rPr>
        <w:t xml:space="preserve"> </w:t>
      </w:r>
      <w:r w:rsidRPr="00EC20A0">
        <w:t>of</w:t>
      </w:r>
      <w:r w:rsidRPr="00EC20A0">
        <w:rPr>
          <w:spacing w:val="-4"/>
        </w:rPr>
        <w:t xml:space="preserve"> </w:t>
      </w:r>
      <w:r w:rsidRPr="00EC20A0">
        <w:t>unexpected</w:t>
      </w:r>
      <w:r w:rsidRPr="00EC20A0">
        <w:rPr>
          <w:spacing w:val="-4"/>
        </w:rPr>
        <w:t xml:space="preserve"> </w:t>
      </w:r>
      <w:r w:rsidRPr="00EC20A0">
        <w:t>events,</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conditions,</w:t>
      </w:r>
      <w:r w:rsidRPr="00EC20A0">
        <w:rPr>
          <w:spacing w:val="-4"/>
        </w:rPr>
        <w:t xml:space="preserve"> </w:t>
      </w:r>
      <w:r w:rsidRPr="00EC20A0">
        <w:t>or</w:t>
      </w:r>
      <w:r w:rsidRPr="00EC20A0">
        <w:rPr>
          <w:spacing w:val="-4"/>
        </w:rPr>
        <w:t xml:space="preserve"> </w:t>
      </w:r>
      <w:r w:rsidRPr="00EC20A0">
        <w:t>the</w:t>
      </w:r>
      <w:r w:rsidRPr="00EC20A0">
        <w:rPr>
          <w:spacing w:val="-4"/>
        </w:rPr>
        <w:t xml:space="preserve"> </w:t>
      </w:r>
      <w:r w:rsidRPr="00EC20A0">
        <w:t xml:space="preserve">evidence obtained from the results of engagement procedures that indicate it may be necessary to reconsider the initial </w:t>
      </w:r>
      <w:r w:rsidRPr="00EC20A0">
        <w:t>evaluation of the competence and qualifications of a specialist as the engagement progresses.</w:t>
      </w:r>
    </w:p>
    <w:p w14:paraId="24D5FED1" w14:textId="77777777" w:rsidR="00245300" w:rsidRPr="00EC20A0" w:rsidRDefault="00F17249">
      <w:pPr>
        <w:pStyle w:val="ListParagraph"/>
        <w:numPr>
          <w:ilvl w:val="0"/>
          <w:numId w:val="218"/>
        </w:numPr>
        <w:tabs>
          <w:tab w:val="left" w:pos="1859"/>
        </w:tabs>
        <w:spacing w:before="238"/>
        <w:ind w:left="1859" w:right="542"/>
      </w:pPr>
      <w:r w:rsidRPr="00EC20A0">
        <w:t xml:space="preserve">When using the work of </w:t>
      </w:r>
      <w:r w:rsidRPr="00EC20A0">
        <w:rPr>
          <w:b/>
        </w:rPr>
        <w:t>management’s specialists</w:t>
      </w:r>
      <w:r w:rsidRPr="00EC20A0">
        <w:t>, the auditor may consider their competence with respect to relevant accounting requirements, for example, knowledge</w:t>
      </w:r>
      <w:r w:rsidRPr="00EC20A0">
        <w:rPr>
          <w:spacing w:val="-6"/>
        </w:rPr>
        <w:t xml:space="preserve"> </w:t>
      </w:r>
      <w:r w:rsidRPr="00EC20A0">
        <w:t>of</w:t>
      </w:r>
      <w:r w:rsidRPr="00EC20A0">
        <w:rPr>
          <w:spacing w:val="-4"/>
        </w:rPr>
        <w:t xml:space="preserve"> </w:t>
      </w:r>
      <w:r w:rsidRPr="00EC20A0">
        <w:t>assumptions</w:t>
      </w:r>
      <w:r w:rsidRPr="00EC20A0">
        <w:rPr>
          <w:spacing w:val="-5"/>
        </w:rPr>
        <w:t xml:space="preserve"> </w:t>
      </w:r>
      <w:r w:rsidRPr="00EC20A0">
        <w:t>and</w:t>
      </w:r>
      <w:r w:rsidRPr="00EC20A0">
        <w:rPr>
          <w:spacing w:val="-5"/>
        </w:rPr>
        <w:t xml:space="preserve"> </w:t>
      </w:r>
      <w:r w:rsidRPr="00EC20A0">
        <w:t>methods,</w:t>
      </w:r>
      <w:r w:rsidRPr="00EC20A0">
        <w:rPr>
          <w:spacing w:val="-5"/>
        </w:rPr>
        <w:t xml:space="preserve"> </w:t>
      </w:r>
      <w:r w:rsidRPr="00EC20A0">
        <w:t>including</w:t>
      </w:r>
      <w:r w:rsidRPr="00EC20A0">
        <w:rPr>
          <w:spacing w:val="-4"/>
        </w:rPr>
        <w:t xml:space="preserve"> </w:t>
      </w:r>
      <w:r w:rsidRPr="00EC20A0">
        <w:t>models,</w:t>
      </w:r>
      <w:r w:rsidRPr="00EC20A0">
        <w:rPr>
          <w:spacing w:val="-5"/>
        </w:rPr>
        <w:t xml:space="preserve"> </w:t>
      </w:r>
      <w:r w:rsidRPr="00EC20A0">
        <w:t>when</w:t>
      </w:r>
      <w:r w:rsidRPr="00EC20A0">
        <w:rPr>
          <w:spacing w:val="-5"/>
        </w:rPr>
        <w:t xml:space="preserve"> </w:t>
      </w:r>
      <w:r w:rsidRPr="00EC20A0">
        <w:t>applicable,</w:t>
      </w:r>
      <w:r w:rsidRPr="00EC20A0">
        <w:rPr>
          <w:spacing w:val="-5"/>
        </w:rPr>
        <w:t xml:space="preserve"> </w:t>
      </w:r>
      <w:r w:rsidRPr="00EC20A0">
        <w:t>that are consistent with the applicable financial reporting framework (generally U.S. GAAP) (AU-C 501.A76). Refer to AU-C 501.A73 through .A76 for additional guidance specific to management’s specialists.</w:t>
      </w:r>
    </w:p>
    <w:p w14:paraId="24D5FED2" w14:textId="77777777" w:rsidR="00245300" w:rsidRPr="00EC20A0" w:rsidRDefault="00F17249">
      <w:pPr>
        <w:pStyle w:val="ListParagraph"/>
        <w:numPr>
          <w:ilvl w:val="0"/>
          <w:numId w:val="218"/>
        </w:numPr>
        <w:tabs>
          <w:tab w:val="left" w:pos="1859"/>
        </w:tabs>
        <w:ind w:left="1859" w:right="531" w:hanging="719"/>
      </w:pPr>
      <w:r w:rsidRPr="00EC20A0">
        <w:t xml:space="preserve">The auditor should determine that </w:t>
      </w:r>
      <w:r w:rsidRPr="00EC20A0">
        <w:rPr>
          <w:b/>
        </w:rPr>
        <w:t xml:space="preserve">external specialists </w:t>
      </w:r>
      <w:r w:rsidRPr="00EC20A0">
        <w:t>(specialists who are hired/engaged from outside the auditor’s organization) assisting in performing a GAGAS engagement are qualified and competent in their areas of specialization (GAGAS (2018) 4.12). However, external specialists are not auditors subject to the</w:t>
      </w:r>
      <w:r w:rsidRPr="00EC20A0">
        <w:rPr>
          <w:spacing w:val="-4"/>
        </w:rPr>
        <w:t xml:space="preserve"> </w:t>
      </w:r>
      <w:r w:rsidRPr="00EC20A0">
        <w:t>GAGAS</w:t>
      </w:r>
      <w:r w:rsidRPr="00EC20A0">
        <w:rPr>
          <w:spacing w:val="-3"/>
        </w:rPr>
        <w:t xml:space="preserve"> </w:t>
      </w:r>
      <w:r w:rsidRPr="00EC20A0">
        <w:t>CPE</w:t>
      </w:r>
      <w:r w:rsidRPr="00EC20A0">
        <w:rPr>
          <w:spacing w:val="-4"/>
        </w:rPr>
        <w:t xml:space="preserve"> </w:t>
      </w:r>
      <w:r w:rsidRPr="00EC20A0">
        <w:t>requirements</w:t>
      </w:r>
      <w:r w:rsidRPr="00EC20A0">
        <w:rPr>
          <w:spacing w:val="-3"/>
        </w:rPr>
        <w:t xml:space="preserve"> </w:t>
      </w:r>
      <w:r w:rsidRPr="00EC20A0">
        <w:t>(GAGAS</w:t>
      </w:r>
      <w:r w:rsidRPr="00EC20A0">
        <w:rPr>
          <w:spacing w:val="-4"/>
        </w:rPr>
        <w:t xml:space="preserve"> </w:t>
      </w:r>
      <w:r w:rsidRPr="00EC20A0">
        <w:t>(2018)</w:t>
      </w:r>
      <w:r w:rsidRPr="00EC20A0">
        <w:rPr>
          <w:spacing w:val="-4"/>
        </w:rPr>
        <w:t xml:space="preserve"> </w:t>
      </w:r>
      <w:r w:rsidRPr="00EC20A0">
        <w:t>4.30).</w:t>
      </w:r>
      <w:r w:rsidRPr="00EC20A0">
        <w:rPr>
          <w:spacing w:val="-4"/>
        </w:rPr>
        <w:t xml:space="preserve"> </w:t>
      </w:r>
      <w:r w:rsidRPr="00EC20A0">
        <w:t>Auditors</w:t>
      </w:r>
      <w:r w:rsidRPr="00EC20A0">
        <w:rPr>
          <w:spacing w:val="-4"/>
        </w:rPr>
        <w:t xml:space="preserve"> </w:t>
      </w:r>
      <w:r w:rsidRPr="00EC20A0">
        <w:t>who</w:t>
      </w:r>
      <w:r w:rsidRPr="00EC20A0">
        <w:rPr>
          <w:spacing w:val="-4"/>
        </w:rPr>
        <w:t xml:space="preserve"> </w:t>
      </w:r>
      <w:r w:rsidRPr="00EC20A0">
        <w:t>use</w:t>
      </w:r>
      <w:r w:rsidRPr="00EC20A0">
        <w:rPr>
          <w:spacing w:val="-4"/>
        </w:rPr>
        <w:t xml:space="preserve"> </w:t>
      </w:r>
      <w:r w:rsidRPr="00EC20A0">
        <w:t>the</w:t>
      </w:r>
      <w:r w:rsidRPr="00EC20A0">
        <w:rPr>
          <w:spacing w:val="-4"/>
        </w:rPr>
        <w:t xml:space="preserve"> </w:t>
      </w:r>
      <w:r w:rsidRPr="00EC20A0">
        <w:t>work of external specialists should assess the professional qualifications of such specialists and document their findings and conclusions.</w:t>
      </w:r>
    </w:p>
    <w:p w14:paraId="24D5FED3" w14:textId="77777777" w:rsidR="00245300" w:rsidRPr="00EC20A0" w:rsidRDefault="00F17249">
      <w:pPr>
        <w:pStyle w:val="ListParagraph"/>
        <w:numPr>
          <w:ilvl w:val="0"/>
          <w:numId w:val="218"/>
        </w:numPr>
        <w:tabs>
          <w:tab w:val="left" w:pos="1859"/>
        </w:tabs>
        <w:spacing w:before="241"/>
        <w:ind w:left="1859" w:right="518"/>
      </w:pPr>
      <w:r w:rsidRPr="00EC20A0">
        <w:t xml:space="preserve">The auditor should determine that </w:t>
      </w:r>
      <w:r w:rsidRPr="00EC20A0">
        <w:rPr>
          <w:b/>
        </w:rPr>
        <w:t xml:space="preserve">internal specialists </w:t>
      </w:r>
      <w:r w:rsidRPr="00EC20A0">
        <w:t>(specialists who are from within</w:t>
      </w:r>
      <w:r w:rsidRPr="00EC20A0">
        <w:rPr>
          <w:spacing w:val="-4"/>
        </w:rPr>
        <w:t xml:space="preserve"> </w:t>
      </w:r>
      <w:r w:rsidRPr="00EC20A0">
        <w:t>the</w:t>
      </w:r>
      <w:r w:rsidRPr="00EC20A0">
        <w:rPr>
          <w:spacing w:val="-4"/>
        </w:rPr>
        <w:t xml:space="preserve"> </w:t>
      </w:r>
      <w:r w:rsidRPr="00EC20A0">
        <w:t>auditor’s</w:t>
      </w:r>
      <w:r w:rsidRPr="00EC20A0">
        <w:rPr>
          <w:spacing w:val="-3"/>
        </w:rPr>
        <w:t xml:space="preserve"> </w:t>
      </w:r>
      <w:r w:rsidRPr="00EC20A0">
        <w:t>organization)</w:t>
      </w:r>
      <w:r w:rsidRPr="00EC20A0">
        <w:rPr>
          <w:spacing w:val="-4"/>
        </w:rPr>
        <w:t xml:space="preserve"> </w:t>
      </w:r>
      <w:r w:rsidRPr="00EC20A0">
        <w:t>assisting</w:t>
      </w:r>
      <w:r w:rsidRPr="00EC20A0">
        <w:rPr>
          <w:spacing w:val="-4"/>
        </w:rPr>
        <w:t xml:space="preserve"> </w:t>
      </w:r>
      <w:r w:rsidRPr="00EC20A0">
        <w:t>on</w:t>
      </w:r>
      <w:r w:rsidRPr="00EC20A0">
        <w:rPr>
          <w:spacing w:val="-4"/>
        </w:rPr>
        <w:t xml:space="preserve"> </w:t>
      </w:r>
      <w:r w:rsidRPr="00EC20A0">
        <w:t>a</w:t>
      </w:r>
      <w:r w:rsidRPr="00EC20A0">
        <w:rPr>
          <w:spacing w:val="-5"/>
        </w:rPr>
        <w:t xml:space="preserve"> </w:t>
      </w:r>
      <w:r w:rsidRPr="00EC20A0">
        <w:t>GAGAS</w:t>
      </w:r>
      <w:r w:rsidRPr="00EC20A0">
        <w:rPr>
          <w:spacing w:val="-5"/>
        </w:rPr>
        <w:t xml:space="preserve"> </w:t>
      </w:r>
      <w:r w:rsidRPr="00EC20A0">
        <w:t>engagement</w:t>
      </w:r>
      <w:r w:rsidRPr="00EC20A0">
        <w:rPr>
          <w:spacing w:val="-4"/>
        </w:rPr>
        <w:t xml:space="preserve"> </w:t>
      </w:r>
      <w:r w:rsidRPr="00EC20A0">
        <w:t>who</w:t>
      </w:r>
      <w:r w:rsidRPr="00EC20A0">
        <w:rPr>
          <w:spacing w:val="-4"/>
        </w:rPr>
        <w:t xml:space="preserve"> </w:t>
      </w:r>
      <w:r w:rsidRPr="00EC20A0">
        <w:t>are</w:t>
      </w:r>
      <w:r w:rsidRPr="00EC20A0">
        <w:rPr>
          <w:spacing w:val="-4"/>
        </w:rPr>
        <w:t xml:space="preserve"> </w:t>
      </w:r>
      <w:r w:rsidRPr="00EC20A0">
        <w:t xml:space="preserve">not involved in planning, directing, performing engagement </w:t>
      </w:r>
      <w:r w:rsidRPr="00EC20A0">
        <w:t>procedures, or reporting on a GAGAS engagement, are qualified and competent in their areas of specialization (GAGAS (2018) 4.12). However, these internal specialists are not auditors subject to the GAGAS CPE requirements (GAGAS (2018) 4.30).</w:t>
      </w:r>
    </w:p>
    <w:p w14:paraId="24D5FED4" w14:textId="77777777" w:rsidR="00245300" w:rsidRPr="00EC20A0" w:rsidRDefault="00F17249">
      <w:pPr>
        <w:pStyle w:val="ListParagraph"/>
        <w:numPr>
          <w:ilvl w:val="0"/>
          <w:numId w:val="218"/>
        </w:numPr>
        <w:tabs>
          <w:tab w:val="left" w:pos="1858"/>
        </w:tabs>
        <w:ind w:left="1858" w:right="529" w:hanging="719"/>
      </w:pPr>
      <w:r w:rsidRPr="00EC20A0">
        <w:t>The</w:t>
      </w:r>
      <w:r w:rsidRPr="00EC20A0">
        <w:rPr>
          <w:spacing w:val="-3"/>
        </w:rPr>
        <w:t xml:space="preserve"> </w:t>
      </w:r>
      <w:r w:rsidRPr="00EC20A0">
        <w:t>auditor</w:t>
      </w:r>
      <w:r w:rsidRPr="00EC20A0">
        <w:rPr>
          <w:spacing w:val="-4"/>
        </w:rPr>
        <w:t xml:space="preserve"> </w:t>
      </w:r>
      <w:r w:rsidRPr="00EC20A0">
        <w:t>should</w:t>
      </w:r>
      <w:r w:rsidRPr="00EC20A0">
        <w:rPr>
          <w:spacing w:val="-3"/>
        </w:rPr>
        <w:t xml:space="preserve"> </w:t>
      </w:r>
      <w:r w:rsidRPr="00EC20A0">
        <w:t>determine</w:t>
      </w:r>
      <w:r w:rsidRPr="00EC20A0">
        <w:rPr>
          <w:spacing w:val="-3"/>
        </w:rPr>
        <w:t xml:space="preserve"> </w:t>
      </w:r>
      <w:r w:rsidRPr="00EC20A0">
        <w:t>that</w:t>
      </w:r>
      <w:r w:rsidRPr="00EC20A0">
        <w:rPr>
          <w:spacing w:val="-3"/>
        </w:rPr>
        <w:t xml:space="preserve"> </w:t>
      </w:r>
      <w:r w:rsidRPr="00EC20A0">
        <w:rPr>
          <w:b/>
        </w:rPr>
        <w:t>internal</w:t>
      </w:r>
      <w:r w:rsidRPr="00EC20A0">
        <w:rPr>
          <w:b/>
          <w:spacing w:val="-3"/>
        </w:rPr>
        <w:t xml:space="preserve"> </w:t>
      </w:r>
      <w:r w:rsidRPr="00EC20A0">
        <w:rPr>
          <w:b/>
        </w:rPr>
        <w:t>specialists</w:t>
      </w:r>
      <w:r w:rsidRPr="00EC20A0">
        <w:t>,</w:t>
      </w:r>
      <w:r w:rsidRPr="00EC20A0">
        <w:rPr>
          <w:spacing w:val="-3"/>
        </w:rPr>
        <w:t xml:space="preserve"> </w:t>
      </w:r>
      <w:r w:rsidRPr="00EC20A0">
        <w:t>who</w:t>
      </w:r>
      <w:r w:rsidRPr="00EC20A0">
        <w:rPr>
          <w:spacing w:val="-3"/>
        </w:rPr>
        <w:t xml:space="preserve"> </w:t>
      </w:r>
      <w:r w:rsidRPr="00EC20A0">
        <w:t>are</w:t>
      </w:r>
      <w:r w:rsidRPr="00EC20A0">
        <w:rPr>
          <w:spacing w:val="-3"/>
        </w:rPr>
        <w:t xml:space="preserve"> </w:t>
      </w:r>
      <w:r w:rsidRPr="00EC20A0">
        <w:t>performing</w:t>
      </w:r>
      <w:r w:rsidRPr="00EC20A0">
        <w:rPr>
          <w:spacing w:val="-3"/>
        </w:rPr>
        <w:t xml:space="preserve"> </w:t>
      </w:r>
      <w:r w:rsidRPr="00EC20A0">
        <w:t>work in</w:t>
      </w:r>
      <w:r w:rsidRPr="00EC20A0">
        <w:rPr>
          <w:spacing w:val="-4"/>
        </w:rPr>
        <w:t xml:space="preserve"> </w:t>
      </w:r>
      <w:r w:rsidRPr="00EC20A0">
        <w:t>accordance</w:t>
      </w:r>
      <w:r w:rsidRPr="00EC20A0">
        <w:rPr>
          <w:spacing w:val="-4"/>
        </w:rPr>
        <w:t xml:space="preserve"> </w:t>
      </w:r>
      <w:r w:rsidRPr="00EC20A0">
        <w:t>with</w:t>
      </w:r>
      <w:r w:rsidRPr="00EC20A0">
        <w:rPr>
          <w:spacing w:val="-4"/>
        </w:rPr>
        <w:t xml:space="preserve"> </w:t>
      </w:r>
      <w:r w:rsidRPr="00EC20A0">
        <w:t>GAGAS</w:t>
      </w:r>
      <w:r w:rsidRPr="00EC20A0">
        <w:rPr>
          <w:spacing w:val="-4"/>
        </w:rPr>
        <w:t xml:space="preserve"> </w:t>
      </w:r>
      <w:r w:rsidRPr="00EC20A0">
        <w:t>as</w:t>
      </w:r>
      <w:r w:rsidRPr="00EC20A0">
        <w:rPr>
          <w:spacing w:val="-4"/>
        </w:rPr>
        <w:t xml:space="preserve"> </w:t>
      </w:r>
      <w:r w:rsidRPr="00EC20A0">
        <w:t>part</w:t>
      </w:r>
      <w:r w:rsidRPr="00EC20A0">
        <w:rPr>
          <w:spacing w:val="-3"/>
        </w:rPr>
        <w:t xml:space="preserve"> </w:t>
      </w:r>
      <w:r w:rsidRPr="00EC20A0">
        <w:t>of</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team—including</w:t>
      </w:r>
      <w:r w:rsidRPr="00EC20A0">
        <w:rPr>
          <w:spacing w:val="-4"/>
        </w:rPr>
        <w:t xml:space="preserve"> </w:t>
      </w:r>
      <w:r w:rsidRPr="00EC20A0">
        <w:t>planning, directing, performing engagement procedures, or reporting on a GAGAS engagement—are considered auditors and are subject to the GAGAS CPE requirements (see GAGAS (2018) 4.16–4.53). The GAGAS CPE requirements become effective for internal specialists when an audit organization first assigns an internal specialist to an engagement. Because internal specialists</w:t>
      </w:r>
      <w:r w:rsidRPr="00EC20A0">
        <w:t xml:space="preserve"> apply specialized knowledge in government engagements, CPE in their areas of specialization qualifies under the requirement for 24 hours of CPE that directly relates to government auditing, the government environment, or the specific or unique environment in which the audited entity operates (GAGAS (2018) 4.31).</w:t>
      </w:r>
    </w:p>
    <w:p w14:paraId="24D5FED5" w14:textId="77777777" w:rsidR="00245300" w:rsidRPr="00EC20A0" w:rsidRDefault="00F17249">
      <w:pPr>
        <w:pStyle w:val="ListParagraph"/>
        <w:numPr>
          <w:ilvl w:val="0"/>
          <w:numId w:val="218"/>
        </w:numPr>
        <w:tabs>
          <w:tab w:val="left" w:pos="1859"/>
        </w:tabs>
        <w:spacing w:before="239"/>
        <w:ind w:left="1859" w:right="524"/>
      </w:pPr>
      <w:r w:rsidRPr="00EC20A0">
        <w:t xml:space="preserve">An auditor's </w:t>
      </w:r>
      <w:r w:rsidRPr="00EC20A0">
        <w:rPr>
          <w:b/>
        </w:rPr>
        <w:t xml:space="preserve">internal specialist </w:t>
      </w:r>
      <w:r w:rsidRPr="00EC20A0">
        <w:t>may be a partner or staff member, including a temporary</w:t>
      </w:r>
      <w:r w:rsidRPr="00EC20A0">
        <w:rPr>
          <w:spacing w:val="-4"/>
        </w:rPr>
        <w:t xml:space="preserve"> </w:t>
      </w:r>
      <w:r w:rsidRPr="00EC20A0">
        <w:t>staff</w:t>
      </w:r>
      <w:r w:rsidRPr="00EC20A0">
        <w:rPr>
          <w:spacing w:val="-4"/>
        </w:rPr>
        <w:t xml:space="preserve"> </w:t>
      </w:r>
      <w:r w:rsidRPr="00EC20A0">
        <w:t>member,</w:t>
      </w:r>
      <w:r w:rsidRPr="00EC20A0">
        <w:rPr>
          <w:spacing w:val="-3"/>
        </w:rPr>
        <w:t xml:space="preserve"> </w:t>
      </w:r>
      <w:r w:rsidRPr="00EC20A0">
        <w:t>of</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organization</w:t>
      </w:r>
      <w:r w:rsidRPr="00EC20A0">
        <w:rPr>
          <w:spacing w:val="-4"/>
        </w:rPr>
        <w:t xml:space="preserve"> </w:t>
      </w:r>
      <w:r w:rsidRPr="00EC20A0">
        <w:t>and</w:t>
      </w:r>
      <w:r w:rsidRPr="00EC20A0">
        <w:rPr>
          <w:spacing w:val="-4"/>
        </w:rPr>
        <w:t xml:space="preserve"> </w:t>
      </w:r>
      <w:r w:rsidRPr="00EC20A0">
        <w:t>therefore</w:t>
      </w:r>
      <w:r w:rsidRPr="00EC20A0">
        <w:rPr>
          <w:spacing w:val="-4"/>
        </w:rPr>
        <w:t xml:space="preserve"> </w:t>
      </w:r>
      <w:r w:rsidRPr="00EC20A0">
        <w:t>subject</w:t>
      </w:r>
      <w:r w:rsidRPr="00EC20A0">
        <w:rPr>
          <w:spacing w:val="-4"/>
        </w:rPr>
        <w:t xml:space="preserve"> </w:t>
      </w:r>
      <w:r w:rsidRPr="00EC20A0">
        <w:t>to</w:t>
      </w:r>
      <w:r w:rsidRPr="00EC20A0">
        <w:rPr>
          <w:spacing w:val="-4"/>
        </w:rPr>
        <w:t xml:space="preserve"> </w:t>
      </w:r>
      <w:r w:rsidRPr="00EC20A0">
        <w:t>the competence quality control policies and procedures of that firm. (AU-C 620.A12) In accordance with AU-C 220A, auditors are entitled to rely on the organization’s system of quality control unless the auditor’s engagement partner determines</w:t>
      </w:r>
      <w:r w:rsidRPr="00EC20A0">
        <w:rPr>
          <w:spacing w:val="40"/>
        </w:rPr>
        <w:t xml:space="preserve"> </w:t>
      </w:r>
      <w:r w:rsidRPr="00EC20A0">
        <w:t>that</w:t>
      </w:r>
      <w:r w:rsidRPr="00EC20A0">
        <w:rPr>
          <w:spacing w:val="-3"/>
        </w:rPr>
        <w:t xml:space="preserve"> </w:t>
      </w:r>
      <w:r w:rsidRPr="00EC20A0">
        <w:t>it</w:t>
      </w:r>
      <w:r w:rsidRPr="00EC20A0">
        <w:rPr>
          <w:spacing w:val="-3"/>
        </w:rPr>
        <w:t xml:space="preserve"> </w:t>
      </w:r>
      <w:r w:rsidRPr="00EC20A0">
        <w:t>is</w:t>
      </w:r>
      <w:r w:rsidRPr="00EC20A0">
        <w:rPr>
          <w:spacing w:val="-4"/>
        </w:rPr>
        <w:t xml:space="preserve"> </w:t>
      </w:r>
      <w:r w:rsidRPr="00EC20A0">
        <w:t>inappropriate</w:t>
      </w:r>
      <w:r w:rsidRPr="00EC20A0">
        <w:rPr>
          <w:spacing w:val="-3"/>
        </w:rPr>
        <w:t xml:space="preserve"> </w:t>
      </w:r>
      <w:r w:rsidRPr="00EC20A0">
        <w:t>to</w:t>
      </w:r>
      <w:r w:rsidRPr="00EC20A0">
        <w:rPr>
          <w:spacing w:val="-3"/>
        </w:rPr>
        <w:t xml:space="preserve"> </w:t>
      </w:r>
      <w:r w:rsidRPr="00EC20A0">
        <w:t>do</w:t>
      </w:r>
      <w:r w:rsidRPr="00EC20A0">
        <w:rPr>
          <w:spacing w:val="-3"/>
        </w:rPr>
        <w:t xml:space="preserve"> </w:t>
      </w:r>
      <w:r w:rsidRPr="00EC20A0">
        <w:t>so</w:t>
      </w:r>
      <w:r w:rsidRPr="00EC20A0">
        <w:rPr>
          <w:spacing w:val="-3"/>
        </w:rPr>
        <w:t xml:space="preserve"> </w:t>
      </w:r>
      <w:r w:rsidRPr="00EC20A0">
        <w:t>based</w:t>
      </w:r>
      <w:r w:rsidRPr="00EC20A0">
        <w:rPr>
          <w:spacing w:val="-3"/>
        </w:rPr>
        <w:t xml:space="preserve"> </w:t>
      </w:r>
      <w:r w:rsidRPr="00EC20A0">
        <w:t>on</w:t>
      </w:r>
      <w:r w:rsidRPr="00EC20A0">
        <w:rPr>
          <w:spacing w:val="-3"/>
        </w:rPr>
        <w:t xml:space="preserve"> </w:t>
      </w:r>
      <w:r w:rsidRPr="00EC20A0">
        <w:t>information</w:t>
      </w:r>
      <w:r w:rsidRPr="00EC20A0">
        <w:rPr>
          <w:spacing w:val="-3"/>
        </w:rPr>
        <w:t xml:space="preserve"> </w:t>
      </w:r>
      <w:r w:rsidRPr="00EC20A0">
        <w:t>provided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organization or other parties. However, such reliance does not reduce the auditor’s</w:t>
      </w:r>
    </w:p>
    <w:p w14:paraId="24D5FED6" w14:textId="77777777" w:rsidR="00245300" w:rsidRPr="00EC20A0" w:rsidRDefault="00245300">
      <w:pPr>
        <w:sectPr w:rsidR="00245300" w:rsidRPr="00EC20A0">
          <w:pgSz w:w="12240" w:h="15840"/>
          <w:pgMar w:top="1340" w:right="940" w:bottom="1020" w:left="1020" w:header="721" w:footer="757" w:gutter="0"/>
          <w:cols w:space="720"/>
        </w:sectPr>
      </w:pPr>
    </w:p>
    <w:p w14:paraId="24D5FED7" w14:textId="77777777" w:rsidR="00245300" w:rsidRPr="00EC20A0" w:rsidRDefault="00F17249">
      <w:pPr>
        <w:pStyle w:val="BodyText"/>
        <w:spacing w:before="121"/>
        <w:ind w:left="1859" w:right="1251"/>
      </w:pPr>
      <w:r w:rsidRPr="00EC20A0">
        <w:t>responsibility</w:t>
      </w:r>
      <w:r w:rsidRPr="00EC20A0">
        <w:rPr>
          <w:spacing w:val="-4"/>
        </w:rPr>
        <w:t xml:space="preserve"> </w:t>
      </w:r>
      <w:r w:rsidRPr="00EC20A0">
        <w:t>to</w:t>
      </w:r>
      <w:r w:rsidRPr="00EC20A0">
        <w:rPr>
          <w:spacing w:val="-4"/>
        </w:rPr>
        <w:t xml:space="preserve"> </w:t>
      </w:r>
      <w:r w:rsidRPr="00EC20A0">
        <w:t>meet</w:t>
      </w:r>
      <w:r w:rsidRPr="00EC20A0">
        <w:rPr>
          <w:spacing w:val="-4"/>
        </w:rPr>
        <w:t xml:space="preserve"> </w:t>
      </w:r>
      <w:r w:rsidRPr="00EC20A0">
        <w:t>the</w:t>
      </w:r>
      <w:r w:rsidRPr="00EC20A0">
        <w:rPr>
          <w:spacing w:val="-4"/>
        </w:rPr>
        <w:t xml:space="preserve"> </w:t>
      </w:r>
      <w:r w:rsidRPr="00EC20A0">
        <w:t>requirements</w:t>
      </w:r>
      <w:r w:rsidRPr="00EC20A0">
        <w:rPr>
          <w:spacing w:val="-4"/>
        </w:rPr>
        <w:t xml:space="preserve"> </w:t>
      </w:r>
      <w:r w:rsidRPr="00EC20A0">
        <w:t>of</w:t>
      </w:r>
      <w:r w:rsidRPr="00EC20A0">
        <w:rPr>
          <w:spacing w:val="-4"/>
        </w:rPr>
        <w:t xml:space="preserve"> </w:t>
      </w:r>
      <w:r w:rsidRPr="00EC20A0">
        <w:t>this</w:t>
      </w:r>
      <w:r w:rsidRPr="00EC20A0">
        <w:rPr>
          <w:spacing w:val="-4"/>
        </w:rPr>
        <w:t xml:space="preserve"> </w:t>
      </w:r>
      <w:r w:rsidRPr="00EC20A0">
        <w:t>FAM</w:t>
      </w:r>
      <w:r w:rsidRPr="00EC20A0">
        <w:rPr>
          <w:spacing w:val="-5"/>
        </w:rPr>
        <w:t xml:space="preserve"> </w:t>
      </w:r>
      <w:r w:rsidRPr="00EC20A0">
        <w:t>section</w:t>
      </w:r>
      <w:r w:rsidRPr="00EC20A0">
        <w:rPr>
          <w:spacing w:val="-4"/>
        </w:rPr>
        <w:t xml:space="preserve"> </w:t>
      </w:r>
      <w:r w:rsidRPr="00EC20A0">
        <w:t>and</w:t>
      </w:r>
      <w:r w:rsidRPr="00EC20A0">
        <w:rPr>
          <w:spacing w:val="-4"/>
        </w:rPr>
        <w:t xml:space="preserve"> </w:t>
      </w:r>
      <w:r w:rsidRPr="00EC20A0">
        <w:t>AU-C</w:t>
      </w:r>
      <w:r w:rsidRPr="00EC20A0">
        <w:rPr>
          <w:spacing w:val="-5"/>
        </w:rPr>
        <w:t xml:space="preserve"> </w:t>
      </w:r>
      <w:r w:rsidRPr="00EC20A0">
        <w:t>620 (AU-C 620.A13).</w:t>
      </w:r>
    </w:p>
    <w:p w14:paraId="24D5FED8" w14:textId="77777777" w:rsidR="00245300" w:rsidRPr="00EC20A0" w:rsidRDefault="00F17249">
      <w:pPr>
        <w:spacing w:before="241"/>
        <w:ind w:left="1140"/>
        <w:rPr>
          <w:b/>
          <w:sz w:val="24"/>
        </w:rPr>
      </w:pPr>
      <w:bookmarkStart w:id="25" w:name="Service_Auditors"/>
      <w:bookmarkEnd w:id="25"/>
      <w:r w:rsidRPr="00EC20A0">
        <w:rPr>
          <w:b/>
          <w:sz w:val="24"/>
        </w:rPr>
        <w:t>Service</w:t>
      </w:r>
      <w:r w:rsidRPr="00EC20A0">
        <w:rPr>
          <w:b/>
          <w:spacing w:val="-4"/>
          <w:sz w:val="24"/>
        </w:rPr>
        <w:t xml:space="preserve"> </w:t>
      </w:r>
      <w:r w:rsidRPr="00EC20A0">
        <w:rPr>
          <w:b/>
          <w:spacing w:val="-2"/>
          <w:sz w:val="24"/>
        </w:rPr>
        <w:t>Auditors</w:t>
      </w:r>
    </w:p>
    <w:p w14:paraId="24D5FED9" w14:textId="77777777" w:rsidR="00245300" w:rsidRPr="00EC20A0" w:rsidRDefault="00F17249">
      <w:pPr>
        <w:pStyle w:val="ListParagraph"/>
        <w:numPr>
          <w:ilvl w:val="0"/>
          <w:numId w:val="218"/>
        </w:numPr>
        <w:tabs>
          <w:tab w:val="left" w:pos="1859"/>
        </w:tabs>
        <w:spacing w:before="238"/>
        <w:ind w:left="1859" w:right="518" w:hanging="720"/>
      </w:pPr>
      <w:r w:rsidRPr="00EC20A0">
        <w:t xml:space="preserve">The auditor is not </w:t>
      </w:r>
      <w:r w:rsidRPr="00EC20A0">
        <w:t>required to assess the competence of the individual team members working on a service organization audit. If the auditor is satisfied with the service auditor firm’s competence (see FAM 615.16), then no further procedures</w:t>
      </w:r>
      <w:r w:rsidRPr="00EC20A0">
        <w:rPr>
          <w:spacing w:val="-4"/>
        </w:rPr>
        <w:t xml:space="preserve"> </w:t>
      </w:r>
      <w:r w:rsidRPr="00EC20A0">
        <w:t>are</w:t>
      </w:r>
      <w:r w:rsidRPr="00EC20A0">
        <w:rPr>
          <w:spacing w:val="-3"/>
        </w:rPr>
        <w:t xml:space="preserve"> </w:t>
      </w:r>
      <w:r w:rsidRPr="00EC20A0">
        <w:t>necessary.</w:t>
      </w:r>
      <w:r w:rsidRPr="00EC20A0">
        <w:rPr>
          <w:spacing w:val="-3"/>
        </w:rPr>
        <w:t xml:space="preserve"> </w:t>
      </w:r>
      <w:r w:rsidRPr="00EC20A0">
        <w:t>However,</w:t>
      </w:r>
      <w:r w:rsidRPr="00EC20A0">
        <w:rPr>
          <w:spacing w:val="-3"/>
        </w:rPr>
        <w:t xml:space="preserve"> </w:t>
      </w:r>
      <w:r w:rsidRPr="00EC20A0">
        <w:t>if</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is</w:t>
      </w:r>
      <w:r w:rsidRPr="00EC20A0">
        <w:rPr>
          <w:spacing w:val="-3"/>
        </w:rPr>
        <w:t xml:space="preserve"> </w:t>
      </w:r>
      <w:r w:rsidRPr="00EC20A0">
        <w:t>not</w:t>
      </w:r>
      <w:r w:rsidRPr="00EC20A0">
        <w:rPr>
          <w:spacing w:val="-3"/>
        </w:rPr>
        <w:t xml:space="preserve"> </w:t>
      </w:r>
      <w:r w:rsidRPr="00EC20A0">
        <w:t>satisfied</w:t>
      </w:r>
      <w:r w:rsidRPr="00EC20A0">
        <w:rPr>
          <w:spacing w:val="-3"/>
        </w:rPr>
        <w:t xml:space="preserve"> </w:t>
      </w:r>
      <w:r w:rsidRPr="00EC20A0">
        <w:t>with</w:t>
      </w:r>
      <w:r w:rsidRPr="00EC20A0">
        <w:rPr>
          <w:spacing w:val="-3"/>
        </w:rPr>
        <w:t xml:space="preserve"> </w:t>
      </w:r>
      <w:r w:rsidRPr="00EC20A0">
        <w:t>the</w:t>
      </w:r>
      <w:r w:rsidRPr="00EC20A0">
        <w:rPr>
          <w:spacing w:val="-3"/>
        </w:rPr>
        <w:t xml:space="preserve"> </w:t>
      </w:r>
      <w:r w:rsidRPr="00EC20A0">
        <w:t>service auditor firm’s competence, the auditor may make inquiries to the entity under audit regarding the service organization’s individual team members’ competence (see FAM 615.21).</w:t>
      </w:r>
    </w:p>
    <w:p w14:paraId="24D5FEDA" w14:textId="77777777" w:rsidR="00245300" w:rsidRPr="00EC20A0" w:rsidRDefault="00F17249">
      <w:pPr>
        <w:pStyle w:val="Heading4"/>
        <w:spacing w:before="241"/>
      </w:pPr>
      <w:r w:rsidRPr="00EC20A0">
        <w:rPr>
          <w:spacing w:val="-2"/>
        </w:rPr>
        <w:t>Documentation</w:t>
      </w:r>
    </w:p>
    <w:p w14:paraId="24D5FEDB" w14:textId="77777777" w:rsidR="00245300" w:rsidRPr="00EC20A0" w:rsidRDefault="00F17249">
      <w:pPr>
        <w:pStyle w:val="ListParagraph"/>
        <w:numPr>
          <w:ilvl w:val="0"/>
          <w:numId w:val="218"/>
        </w:numPr>
        <w:tabs>
          <w:tab w:val="left" w:pos="1859"/>
        </w:tabs>
        <w:spacing w:before="239"/>
        <w:ind w:left="1859" w:right="750" w:hanging="720"/>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document</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performed</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conclusions</w:t>
      </w:r>
      <w:r w:rsidRPr="00EC20A0">
        <w:rPr>
          <w:spacing w:val="-4"/>
        </w:rPr>
        <w:t xml:space="preserve"> </w:t>
      </w:r>
      <w:r w:rsidRPr="00EC20A0">
        <w:t xml:space="preserve">reached as to the other auditors’ or specialists’ firm’s independence, objectivity, and qualifications, as well as that of the individual team members of the other auditors’ or specialists’ firms. The auditor should also document whether the other auditors’ or specialists’ individual team members have any significant threats to independence and whether necessary safeguards were applied </w:t>
      </w:r>
      <w:r w:rsidRPr="00EC20A0">
        <w:rPr>
          <w:color w:val="242424"/>
        </w:rPr>
        <w:t>to eliminate those threats or reduce to an acceptable level</w:t>
      </w:r>
      <w:r w:rsidRPr="00EC20A0">
        <w:t>. See GAGAS (201</w:t>
      </w:r>
      <w:r w:rsidRPr="00EC20A0">
        <w:t>8)</w:t>
      </w:r>
    </w:p>
    <w:p w14:paraId="24D5FEDC" w14:textId="77777777" w:rsidR="00245300" w:rsidRPr="00EC20A0" w:rsidRDefault="00F17249">
      <w:pPr>
        <w:pStyle w:val="BodyText"/>
        <w:spacing w:before="1"/>
        <w:ind w:left="1858" w:right="562"/>
        <w:rPr>
          <w:sz w:val="14"/>
        </w:rPr>
      </w:pPr>
      <w:r w:rsidRPr="00EC20A0">
        <w:t>3.32 for additional information. The documentation should indicate the auditor’s conclusion as to whether the other auditors or specialists are independent, objective, and qualified to perform the tasks required and the basis for that conclusion. If the auditor has questions or concerns about the other auditors’ or specialists’ independence, objectivity, or qualifications, the auditor must provide the</w:t>
      </w:r>
      <w:r w:rsidRPr="00EC20A0">
        <w:rPr>
          <w:spacing w:val="-3"/>
        </w:rPr>
        <w:t xml:space="preserve"> </w:t>
      </w:r>
      <w:r w:rsidRPr="00EC20A0">
        <w:t>related</w:t>
      </w:r>
      <w:r w:rsidRPr="00EC20A0">
        <w:rPr>
          <w:spacing w:val="-3"/>
        </w:rPr>
        <w:t xml:space="preserve"> </w:t>
      </w:r>
      <w:r w:rsidRPr="00EC20A0">
        <w:t>documentation</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reviewer</w:t>
      </w:r>
      <w:r w:rsidRPr="00EC20A0">
        <w:rPr>
          <w:spacing w:val="-3"/>
        </w:rPr>
        <w:t xml:space="preserve"> </w:t>
      </w:r>
      <w:r w:rsidRPr="00EC20A0">
        <w:t>in</w:t>
      </w:r>
      <w:r w:rsidRPr="00EC20A0">
        <w:rPr>
          <w:spacing w:val="-3"/>
        </w:rPr>
        <w:t xml:space="preserve"> </w:t>
      </w:r>
      <w:r w:rsidRPr="00EC20A0">
        <w:t>a</w:t>
      </w:r>
      <w:r w:rsidRPr="00EC20A0">
        <w:rPr>
          <w:spacing w:val="-3"/>
        </w:rPr>
        <w:t xml:space="preserve"> </w:t>
      </w:r>
      <w:r w:rsidRPr="00EC20A0">
        <w:t>timely</w:t>
      </w:r>
      <w:r w:rsidRPr="00EC20A0">
        <w:rPr>
          <w:spacing w:val="-3"/>
        </w:rPr>
        <w:t xml:space="preserve"> </w:t>
      </w:r>
      <w:r w:rsidRPr="00EC20A0">
        <w:t>manner</w:t>
      </w:r>
      <w:r w:rsidRPr="00EC20A0">
        <w:rPr>
          <w:spacing w:val="-3"/>
        </w:rPr>
        <w:t xml:space="preserve"> </w:t>
      </w:r>
      <w:r w:rsidRPr="00EC20A0">
        <w:t>to</w:t>
      </w:r>
      <w:r w:rsidRPr="00EC20A0">
        <w:rPr>
          <w:spacing w:val="-3"/>
        </w:rPr>
        <w:t xml:space="preserve"> </w:t>
      </w:r>
      <w:r w:rsidRPr="00EC20A0">
        <w:t>allow</w:t>
      </w:r>
      <w:r w:rsidRPr="00EC20A0">
        <w:rPr>
          <w:spacing w:val="-4"/>
        </w:rPr>
        <w:t xml:space="preserve"> </w:t>
      </w:r>
      <w:r w:rsidRPr="00EC20A0">
        <w:t>any</w:t>
      </w:r>
      <w:r w:rsidRPr="00EC20A0">
        <w:rPr>
          <w:spacing w:val="-3"/>
        </w:rPr>
        <w:t xml:space="preserve"> </w:t>
      </w:r>
      <w:r w:rsidRPr="00EC20A0">
        <w:t>issues to be promptly identified and resolved.</w:t>
      </w:r>
      <w:hyperlink w:anchor="_bookmark9" w:history="1">
        <w:r w:rsidRPr="00EC20A0">
          <w:rPr>
            <w:position w:val="7"/>
            <w:sz w:val="14"/>
          </w:rPr>
          <w:t>7</w:t>
        </w:r>
      </w:hyperlink>
    </w:p>
    <w:p w14:paraId="24D5FEDD" w14:textId="77777777" w:rsidR="00245300" w:rsidRPr="00EC20A0" w:rsidRDefault="00F17249">
      <w:pPr>
        <w:pStyle w:val="ListParagraph"/>
        <w:numPr>
          <w:ilvl w:val="0"/>
          <w:numId w:val="218"/>
        </w:numPr>
        <w:tabs>
          <w:tab w:val="left" w:pos="1859"/>
        </w:tabs>
        <w:ind w:left="1859" w:right="958" w:hanging="720"/>
        <w:jc w:val="both"/>
      </w:pPr>
      <w:r w:rsidRPr="00EC20A0">
        <w:t>If</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has</w:t>
      </w:r>
      <w:r w:rsidRPr="00EC20A0">
        <w:rPr>
          <w:spacing w:val="-3"/>
        </w:rPr>
        <w:t xml:space="preserve"> </w:t>
      </w:r>
      <w:r w:rsidRPr="00EC20A0">
        <w:t>significant</w:t>
      </w:r>
      <w:r w:rsidRPr="00EC20A0">
        <w:rPr>
          <w:spacing w:val="-3"/>
        </w:rPr>
        <w:t xml:space="preserve"> </w:t>
      </w:r>
      <w:r w:rsidRPr="00EC20A0">
        <w:t>concerns</w:t>
      </w:r>
      <w:r w:rsidRPr="00EC20A0">
        <w:rPr>
          <w:spacing w:val="-3"/>
        </w:rPr>
        <w:t xml:space="preserve"> </w:t>
      </w:r>
      <w:r w:rsidRPr="00EC20A0">
        <w:t>about</w:t>
      </w:r>
      <w:r w:rsidRPr="00EC20A0">
        <w:rPr>
          <w:spacing w:val="-3"/>
        </w:rPr>
        <w:t xml:space="preserve"> </w:t>
      </w:r>
      <w:r w:rsidRPr="00EC20A0">
        <w:t>the</w:t>
      </w:r>
      <w:r w:rsidRPr="00EC20A0">
        <w:rPr>
          <w:spacing w:val="-4"/>
        </w:rPr>
        <w:t xml:space="preserve"> </w:t>
      </w:r>
      <w:r w:rsidRPr="00EC20A0">
        <w:t>other</w:t>
      </w:r>
      <w:r w:rsidRPr="00EC20A0">
        <w:rPr>
          <w:spacing w:val="-3"/>
        </w:rPr>
        <w:t xml:space="preserve"> </w:t>
      </w:r>
      <w:r w:rsidRPr="00EC20A0">
        <w:t>auditors’</w:t>
      </w:r>
      <w:r w:rsidRPr="00EC20A0">
        <w:rPr>
          <w:spacing w:val="-3"/>
        </w:rPr>
        <w:t xml:space="preserve"> </w:t>
      </w:r>
      <w:r w:rsidRPr="00EC20A0">
        <w:t>or</w:t>
      </w:r>
      <w:r w:rsidRPr="00EC20A0">
        <w:rPr>
          <w:spacing w:val="-3"/>
        </w:rPr>
        <w:t xml:space="preserve"> </w:t>
      </w:r>
      <w:r w:rsidRPr="00EC20A0">
        <w:t>specialists’ independence,</w:t>
      </w:r>
      <w:r w:rsidRPr="00EC20A0">
        <w:rPr>
          <w:spacing w:val="-5"/>
        </w:rPr>
        <w:t xml:space="preserve"> </w:t>
      </w:r>
      <w:r w:rsidRPr="00EC20A0">
        <w:t>objectivity,</w:t>
      </w:r>
      <w:r w:rsidRPr="00EC20A0">
        <w:rPr>
          <w:spacing w:val="-5"/>
        </w:rPr>
        <w:t xml:space="preserve"> </w:t>
      </w:r>
      <w:r w:rsidRPr="00EC20A0">
        <w:t>or</w:t>
      </w:r>
      <w:r w:rsidRPr="00EC20A0">
        <w:rPr>
          <w:spacing w:val="-5"/>
        </w:rPr>
        <w:t xml:space="preserve"> </w:t>
      </w:r>
      <w:r w:rsidRPr="00EC20A0">
        <w:t>qualifications,</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should</w:t>
      </w:r>
      <w:r w:rsidRPr="00EC20A0">
        <w:rPr>
          <w:spacing w:val="-5"/>
        </w:rPr>
        <w:t xml:space="preserve"> </w:t>
      </w:r>
      <w:r w:rsidRPr="00EC20A0">
        <w:t>revise</w:t>
      </w:r>
      <w:r w:rsidRPr="00EC20A0">
        <w:rPr>
          <w:spacing w:val="-5"/>
        </w:rPr>
        <w:t xml:space="preserve"> </w:t>
      </w:r>
      <w:r w:rsidRPr="00EC20A0">
        <w:t>its</w:t>
      </w:r>
      <w:r w:rsidRPr="00EC20A0">
        <w:rPr>
          <w:spacing w:val="-5"/>
        </w:rPr>
        <w:t xml:space="preserve"> </w:t>
      </w:r>
      <w:r w:rsidRPr="00EC20A0">
        <w:t xml:space="preserve">audit </w:t>
      </w:r>
      <w:r w:rsidRPr="00EC20A0">
        <w:t>strategy. For example, the auditor may</w:t>
      </w:r>
    </w:p>
    <w:p w14:paraId="24D5FEDE" w14:textId="77777777" w:rsidR="00245300" w:rsidRPr="00EC20A0" w:rsidRDefault="00F17249">
      <w:pPr>
        <w:pStyle w:val="ListParagraph"/>
        <w:numPr>
          <w:ilvl w:val="1"/>
          <w:numId w:val="218"/>
        </w:numPr>
        <w:tabs>
          <w:tab w:val="left" w:pos="2219"/>
        </w:tabs>
        <w:spacing w:before="239"/>
      </w:pPr>
      <w:r w:rsidRPr="00EC20A0">
        <w:t>perform</w:t>
      </w:r>
      <w:r w:rsidRPr="00EC20A0">
        <w:rPr>
          <w:spacing w:val="-6"/>
        </w:rPr>
        <w:t xml:space="preserve"> </w:t>
      </w:r>
      <w:r w:rsidRPr="00EC20A0">
        <w:t>a</w:t>
      </w:r>
      <w:r w:rsidRPr="00EC20A0">
        <w:rPr>
          <w:spacing w:val="-5"/>
        </w:rPr>
        <w:t xml:space="preserve"> </w:t>
      </w:r>
      <w:r w:rsidRPr="00EC20A0">
        <w:t>more</w:t>
      </w:r>
      <w:r w:rsidRPr="00EC20A0">
        <w:rPr>
          <w:spacing w:val="-5"/>
        </w:rPr>
        <w:t xml:space="preserve"> </w:t>
      </w:r>
      <w:r w:rsidRPr="00EC20A0">
        <w:t>detailed</w:t>
      </w:r>
      <w:r w:rsidRPr="00EC20A0">
        <w:rPr>
          <w:spacing w:val="-6"/>
        </w:rPr>
        <w:t xml:space="preserve"> </w:t>
      </w:r>
      <w:r w:rsidRPr="00EC20A0">
        <w:t>review</w:t>
      </w:r>
      <w:r w:rsidRPr="00EC20A0">
        <w:rPr>
          <w:spacing w:val="-5"/>
        </w:rPr>
        <w:t xml:space="preserve"> </w:t>
      </w:r>
      <w:r w:rsidRPr="00EC20A0">
        <w:t>of</w:t>
      </w:r>
      <w:r w:rsidRPr="00EC20A0">
        <w:rPr>
          <w:spacing w:val="-4"/>
        </w:rPr>
        <w:t xml:space="preserve"> </w:t>
      </w:r>
      <w:r w:rsidRPr="00EC20A0">
        <w:t>the</w:t>
      </w:r>
      <w:r w:rsidRPr="00EC20A0">
        <w:rPr>
          <w:spacing w:val="-5"/>
        </w:rPr>
        <w:t xml:space="preserve"> </w:t>
      </w:r>
      <w:r w:rsidRPr="00EC20A0">
        <w:rPr>
          <w:spacing w:val="-2"/>
        </w:rPr>
        <w:t>documentation,</w:t>
      </w:r>
    </w:p>
    <w:p w14:paraId="24D5FEDF" w14:textId="77777777" w:rsidR="00245300" w:rsidRPr="00EC20A0" w:rsidRDefault="00F17249">
      <w:pPr>
        <w:pStyle w:val="ListParagraph"/>
        <w:numPr>
          <w:ilvl w:val="1"/>
          <w:numId w:val="218"/>
        </w:numPr>
        <w:tabs>
          <w:tab w:val="left" w:pos="2220"/>
        </w:tabs>
        <w:spacing w:before="239"/>
        <w:ind w:left="2220" w:right="1699" w:hanging="361"/>
      </w:pPr>
      <w:r w:rsidRPr="00EC20A0">
        <w:t>perform</w:t>
      </w:r>
      <w:r w:rsidRPr="00EC20A0">
        <w:rPr>
          <w:spacing w:val="-6"/>
        </w:rPr>
        <w:t xml:space="preserve"> </w:t>
      </w:r>
      <w:r w:rsidRPr="00EC20A0">
        <w:t>supplemental</w:t>
      </w:r>
      <w:r w:rsidRPr="00EC20A0">
        <w:rPr>
          <w:spacing w:val="-5"/>
        </w:rPr>
        <w:t xml:space="preserve"> </w:t>
      </w:r>
      <w:r w:rsidRPr="00EC20A0">
        <w:t>tests</w:t>
      </w:r>
      <w:r w:rsidRPr="00EC20A0">
        <w:rPr>
          <w:spacing w:val="-5"/>
        </w:rPr>
        <w:t xml:space="preserve"> </w:t>
      </w:r>
      <w:r w:rsidRPr="00EC20A0">
        <w:t>for</w:t>
      </w:r>
      <w:r w:rsidRPr="00EC20A0">
        <w:rPr>
          <w:spacing w:val="-5"/>
        </w:rPr>
        <w:t xml:space="preserve"> </w:t>
      </w:r>
      <w:r w:rsidRPr="00EC20A0">
        <w:t>material</w:t>
      </w:r>
      <w:r w:rsidRPr="00EC20A0">
        <w:rPr>
          <w:spacing w:val="-5"/>
        </w:rPr>
        <w:t xml:space="preserve"> </w:t>
      </w:r>
      <w:r w:rsidRPr="00EC20A0">
        <w:t>line</w:t>
      </w:r>
      <w:r w:rsidRPr="00EC20A0">
        <w:rPr>
          <w:spacing w:val="-6"/>
        </w:rPr>
        <w:t xml:space="preserve"> </w:t>
      </w:r>
      <w:r w:rsidRPr="00EC20A0">
        <w:t>items,</w:t>
      </w:r>
      <w:r w:rsidRPr="00EC20A0">
        <w:rPr>
          <w:spacing w:val="-5"/>
        </w:rPr>
        <w:t xml:space="preserve"> </w:t>
      </w:r>
      <w:r w:rsidRPr="00EC20A0">
        <w:t>accounts,</w:t>
      </w:r>
      <w:r w:rsidRPr="00EC20A0">
        <w:rPr>
          <w:spacing w:val="-7"/>
        </w:rPr>
        <w:t xml:space="preserve"> </w:t>
      </w:r>
      <w:r w:rsidRPr="00EC20A0">
        <w:t>note disclosures, or classes of transactions;</w:t>
      </w:r>
    </w:p>
    <w:p w14:paraId="24D5FEE0" w14:textId="77777777" w:rsidR="00245300" w:rsidRPr="00EC20A0" w:rsidRDefault="00F17249">
      <w:pPr>
        <w:pStyle w:val="ListParagraph"/>
        <w:numPr>
          <w:ilvl w:val="1"/>
          <w:numId w:val="218"/>
        </w:numPr>
        <w:tabs>
          <w:tab w:val="left" w:pos="2220"/>
        </w:tabs>
        <w:spacing w:before="238"/>
        <w:ind w:left="2220"/>
      </w:pPr>
      <w:r w:rsidRPr="00EC20A0">
        <w:t>contract</w:t>
      </w:r>
      <w:r w:rsidRPr="00EC20A0">
        <w:rPr>
          <w:spacing w:val="-8"/>
        </w:rPr>
        <w:t xml:space="preserve"> </w:t>
      </w:r>
      <w:r w:rsidRPr="00EC20A0">
        <w:t>with</w:t>
      </w:r>
      <w:r w:rsidRPr="00EC20A0">
        <w:rPr>
          <w:spacing w:val="-7"/>
        </w:rPr>
        <w:t xml:space="preserve"> </w:t>
      </w:r>
      <w:r w:rsidRPr="00EC20A0">
        <w:t>another</w:t>
      </w:r>
      <w:r w:rsidRPr="00EC20A0">
        <w:rPr>
          <w:spacing w:val="-8"/>
        </w:rPr>
        <w:t xml:space="preserve"> </w:t>
      </w:r>
      <w:r w:rsidRPr="00EC20A0">
        <w:rPr>
          <w:spacing w:val="-4"/>
        </w:rPr>
        <w:t>firm;</w:t>
      </w:r>
    </w:p>
    <w:p w14:paraId="24D5FEE1" w14:textId="77777777" w:rsidR="00245300" w:rsidRPr="00EC20A0" w:rsidRDefault="00F17249">
      <w:pPr>
        <w:pStyle w:val="ListParagraph"/>
        <w:numPr>
          <w:ilvl w:val="1"/>
          <w:numId w:val="218"/>
        </w:numPr>
        <w:tabs>
          <w:tab w:val="left" w:pos="2220"/>
        </w:tabs>
        <w:spacing w:before="238"/>
        <w:ind w:left="2220" w:right="951"/>
      </w:pPr>
      <w:r w:rsidRPr="00EC20A0">
        <w:t>ask</w:t>
      </w:r>
      <w:r w:rsidRPr="00EC20A0">
        <w:rPr>
          <w:spacing w:val="-4"/>
        </w:rPr>
        <w:t xml:space="preserve"> </w:t>
      </w:r>
      <w:r w:rsidRPr="00EC20A0">
        <w:t>the</w:t>
      </w:r>
      <w:r w:rsidRPr="00EC20A0">
        <w:rPr>
          <w:spacing w:val="-4"/>
        </w:rPr>
        <w:t xml:space="preserve"> </w:t>
      </w:r>
      <w:r w:rsidRPr="00EC20A0">
        <w:t>other</w:t>
      </w:r>
      <w:r w:rsidRPr="00EC20A0">
        <w:rPr>
          <w:spacing w:val="-4"/>
        </w:rPr>
        <w:t xml:space="preserve"> </w:t>
      </w:r>
      <w:r w:rsidRPr="00EC20A0">
        <w:t>auditors</w:t>
      </w:r>
      <w:r w:rsidRPr="00EC20A0">
        <w:rPr>
          <w:spacing w:val="-4"/>
        </w:rPr>
        <w:t xml:space="preserve"> </w:t>
      </w:r>
      <w:r w:rsidRPr="00EC20A0">
        <w:t>to</w:t>
      </w:r>
      <w:r w:rsidRPr="00EC20A0">
        <w:rPr>
          <w:spacing w:val="-5"/>
        </w:rPr>
        <w:t xml:space="preserve"> </w:t>
      </w:r>
      <w:r w:rsidRPr="00EC20A0">
        <w:t>substitute</w:t>
      </w:r>
      <w:r w:rsidRPr="00EC20A0">
        <w:rPr>
          <w:spacing w:val="-4"/>
        </w:rPr>
        <w:t xml:space="preserve"> </w:t>
      </w:r>
      <w:r w:rsidRPr="00EC20A0">
        <w:t>more</w:t>
      </w:r>
      <w:r w:rsidRPr="00EC20A0">
        <w:rPr>
          <w:spacing w:val="-4"/>
        </w:rPr>
        <w:t xml:space="preserve"> </w:t>
      </w:r>
      <w:r w:rsidRPr="00EC20A0">
        <w:t>highly</w:t>
      </w:r>
      <w:r w:rsidRPr="00EC20A0">
        <w:rPr>
          <w:spacing w:val="-4"/>
        </w:rPr>
        <w:t xml:space="preserve"> </w:t>
      </w:r>
      <w:r w:rsidRPr="00EC20A0">
        <w:t>qualified</w:t>
      </w:r>
      <w:r w:rsidRPr="00EC20A0">
        <w:rPr>
          <w:spacing w:val="-4"/>
        </w:rPr>
        <w:t xml:space="preserve"> </w:t>
      </w:r>
      <w:r w:rsidRPr="00EC20A0">
        <w:t>or</w:t>
      </w:r>
      <w:r w:rsidRPr="00EC20A0">
        <w:rPr>
          <w:spacing w:val="-4"/>
        </w:rPr>
        <w:t xml:space="preserve"> </w:t>
      </w:r>
      <w:r w:rsidRPr="00EC20A0">
        <w:t>objective</w:t>
      </w:r>
      <w:r w:rsidRPr="00EC20A0">
        <w:rPr>
          <w:spacing w:val="-5"/>
        </w:rPr>
        <w:t xml:space="preserve"> </w:t>
      </w:r>
      <w:r w:rsidRPr="00EC20A0">
        <w:t xml:space="preserve">staff </w:t>
      </w:r>
      <w:r w:rsidRPr="00EC20A0">
        <w:rPr>
          <w:spacing w:val="-2"/>
        </w:rPr>
        <w:t>members;</w:t>
      </w:r>
    </w:p>
    <w:p w14:paraId="24D5FEE2" w14:textId="77777777" w:rsidR="00245300" w:rsidRPr="00EC20A0" w:rsidRDefault="00F17249">
      <w:pPr>
        <w:pStyle w:val="ListParagraph"/>
        <w:numPr>
          <w:ilvl w:val="1"/>
          <w:numId w:val="218"/>
        </w:numPr>
        <w:tabs>
          <w:tab w:val="left" w:pos="2220"/>
        </w:tabs>
        <w:spacing w:before="239"/>
        <w:ind w:left="2220" w:right="905" w:hanging="361"/>
      </w:pPr>
      <w:r w:rsidRPr="00EC20A0">
        <w:t>perform</w:t>
      </w:r>
      <w:r w:rsidRPr="00EC20A0">
        <w:rPr>
          <w:spacing w:val="-5"/>
        </w:rPr>
        <w:t xml:space="preserve"> </w:t>
      </w:r>
      <w:r w:rsidRPr="00EC20A0">
        <w:t>the</w:t>
      </w:r>
      <w:r w:rsidRPr="00EC20A0">
        <w:rPr>
          <w:spacing w:val="-4"/>
        </w:rPr>
        <w:t xml:space="preserve"> </w:t>
      </w:r>
      <w:r w:rsidRPr="00EC20A0">
        <w:t>audit</w:t>
      </w:r>
      <w:r w:rsidRPr="00EC20A0">
        <w:rPr>
          <w:spacing w:val="-4"/>
        </w:rPr>
        <w:t xml:space="preserve"> </w:t>
      </w:r>
      <w:r w:rsidRPr="00EC20A0">
        <w:t>without</w:t>
      </w:r>
      <w:r w:rsidRPr="00EC20A0">
        <w:rPr>
          <w:spacing w:val="-4"/>
        </w:rPr>
        <w:t xml:space="preserve"> </w:t>
      </w:r>
      <w:r w:rsidRPr="00EC20A0">
        <w:t>using</w:t>
      </w:r>
      <w:r w:rsidRPr="00EC20A0">
        <w:rPr>
          <w:spacing w:val="-4"/>
        </w:rPr>
        <w:t xml:space="preserve"> </w:t>
      </w:r>
      <w:r w:rsidRPr="00EC20A0">
        <w:t>the</w:t>
      </w:r>
      <w:r w:rsidRPr="00EC20A0">
        <w:rPr>
          <w:spacing w:val="-4"/>
        </w:rPr>
        <w:t xml:space="preserve"> </w:t>
      </w:r>
      <w:r w:rsidRPr="00EC20A0">
        <w:t>other</w:t>
      </w:r>
      <w:r w:rsidRPr="00EC20A0">
        <w:rPr>
          <w:spacing w:val="-4"/>
        </w:rPr>
        <w:t xml:space="preserve"> </w:t>
      </w:r>
      <w:r w:rsidRPr="00EC20A0">
        <w:t>auditors’</w:t>
      </w:r>
      <w:r w:rsidRPr="00EC20A0">
        <w:rPr>
          <w:spacing w:val="-4"/>
        </w:rPr>
        <w:t xml:space="preserve"> </w:t>
      </w:r>
      <w:r w:rsidRPr="00EC20A0">
        <w:t>work,</w:t>
      </w:r>
      <w:r w:rsidRPr="00EC20A0">
        <w:rPr>
          <w:spacing w:val="-4"/>
        </w:rPr>
        <w:t xml:space="preserve"> </w:t>
      </w:r>
      <w:r w:rsidRPr="00EC20A0">
        <w:t>treating</w:t>
      </w:r>
      <w:r w:rsidRPr="00EC20A0">
        <w:rPr>
          <w:spacing w:val="-4"/>
        </w:rPr>
        <w:t xml:space="preserve"> </w:t>
      </w:r>
      <w:r w:rsidRPr="00EC20A0">
        <w:t>any</w:t>
      </w:r>
      <w:r w:rsidRPr="00EC20A0">
        <w:rPr>
          <w:spacing w:val="-4"/>
        </w:rPr>
        <w:t xml:space="preserve"> </w:t>
      </w:r>
      <w:r w:rsidRPr="00EC20A0">
        <w:t>work done by the other auditors as prepared by the audited entity;</w:t>
      </w:r>
    </w:p>
    <w:p w14:paraId="24D5FEE3" w14:textId="77777777" w:rsidR="00245300" w:rsidRPr="00EC20A0" w:rsidRDefault="00F17249">
      <w:pPr>
        <w:pStyle w:val="BodyText"/>
        <w:spacing w:before="198"/>
        <w:rPr>
          <w:sz w:val="20"/>
        </w:rPr>
      </w:pPr>
      <w:r w:rsidRPr="00EC20A0">
        <w:rPr>
          <w:noProof/>
        </w:rPr>
        <mc:AlternateContent>
          <mc:Choice Requires="wps">
            <w:drawing>
              <wp:anchor distT="0" distB="0" distL="0" distR="0" simplePos="0" relativeHeight="487595520" behindDoc="1" locked="0" layoutInCell="1" allowOverlap="1" wp14:anchorId="24D62AD3" wp14:editId="24D62AD4">
                <wp:simplePos x="0" y="0"/>
                <wp:positionH relativeFrom="page">
                  <wp:posOffset>914400</wp:posOffset>
                </wp:positionH>
                <wp:positionV relativeFrom="paragraph">
                  <wp:posOffset>287316</wp:posOffset>
                </wp:positionV>
                <wp:extent cx="1828800" cy="571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953211" id="Graphic 83" o:spid="_x0000_s1026" style="position:absolute;margin-left:1in;margin-top:22.6pt;width:2in;height:.4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" path="m1828800,l,,,5334r1828800,l1828800,xe" fillcolor="black" stroked="f">
                <v:path arrowok="t"/>
                <w10:wrap type="topAndBottom" anchorx="page"/>
              </v:shape>
            </w:pict>
          </mc:Fallback>
        </mc:AlternateContent>
      </w:r>
    </w:p>
    <w:p w14:paraId="24D5FEE4" w14:textId="77777777" w:rsidR="00245300" w:rsidRPr="00EC20A0" w:rsidRDefault="00F17249">
      <w:pPr>
        <w:spacing w:before="202" w:line="249" w:lineRule="auto"/>
        <w:ind w:left="420" w:hanging="1"/>
        <w:rPr>
          <w:sz w:val="18"/>
        </w:rPr>
      </w:pPr>
      <w:bookmarkStart w:id="26" w:name="_bookmark9"/>
      <w:bookmarkEnd w:id="26"/>
      <w:r w:rsidRPr="00EC20A0">
        <w:rPr>
          <w:position w:val="7"/>
          <w:sz w:val="14"/>
        </w:rPr>
        <w:t>7</w:t>
      </w:r>
      <w:r w:rsidRPr="00EC20A0">
        <w:rPr>
          <w:sz w:val="18"/>
        </w:rPr>
        <w:t>There</w:t>
      </w:r>
      <w:r w:rsidRPr="00EC20A0">
        <w:rPr>
          <w:spacing w:val="-4"/>
          <w:sz w:val="18"/>
        </w:rPr>
        <w:t xml:space="preserve"> </w:t>
      </w:r>
      <w:r w:rsidRPr="00EC20A0">
        <w:rPr>
          <w:sz w:val="18"/>
        </w:rPr>
        <w:t>are</w:t>
      </w:r>
      <w:r w:rsidRPr="00EC20A0">
        <w:rPr>
          <w:spacing w:val="-4"/>
          <w:sz w:val="18"/>
        </w:rPr>
        <w:t xml:space="preserve"> </w:t>
      </w:r>
      <w:r w:rsidRPr="00EC20A0">
        <w:rPr>
          <w:sz w:val="18"/>
        </w:rPr>
        <w:t>a</w:t>
      </w:r>
      <w:r w:rsidRPr="00EC20A0">
        <w:rPr>
          <w:spacing w:val="-4"/>
          <w:sz w:val="18"/>
        </w:rPr>
        <w:t xml:space="preserve"> </w:t>
      </w:r>
      <w:r w:rsidRPr="00EC20A0">
        <w:rPr>
          <w:sz w:val="18"/>
        </w:rPr>
        <w:t>few</w:t>
      </w:r>
      <w:r w:rsidRPr="00EC20A0">
        <w:rPr>
          <w:spacing w:val="-3"/>
          <w:sz w:val="18"/>
        </w:rPr>
        <w:t xml:space="preserve"> </w:t>
      </w:r>
      <w:r w:rsidRPr="00EC20A0">
        <w:rPr>
          <w:sz w:val="18"/>
        </w:rPr>
        <w:t>circumstances</w:t>
      </w:r>
      <w:r w:rsidRPr="00EC20A0">
        <w:rPr>
          <w:spacing w:val="-3"/>
          <w:sz w:val="18"/>
        </w:rPr>
        <w:t xml:space="preserve"> </w:t>
      </w:r>
      <w:r w:rsidRPr="00EC20A0">
        <w:rPr>
          <w:sz w:val="18"/>
        </w:rPr>
        <w:t>identified</w:t>
      </w:r>
      <w:r w:rsidRPr="00EC20A0">
        <w:rPr>
          <w:spacing w:val="-4"/>
          <w:sz w:val="18"/>
        </w:rPr>
        <w:t xml:space="preserve"> </w:t>
      </w:r>
      <w:r w:rsidRPr="00EC20A0">
        <w:rPr>
          <w:sz w:val="18"/>
        </w:rPr>
        <w:t>in</w:t>
      </w:r>
      <w:r w:rsidRPr="00EC20A0">
        <w:rPr>
          <w:spacing w:val="-2"/>
          <w:sz w:val="18"/>
        </w:rPr>
        <w:t xml:space="preserve"> </w:t>
      </w:r>
      <w:r w:rsidRPr="00EC20A0">
        <w:rPr>
          <w:sz w:val="18"/>
        </w:rPr>
        <w:t>the</w:t>
      </w:r>
      <w:r w:rsidRPr="00EC20A0">
        <w:rPr>
          <w:spacing w:val="-4"/>
          <w:sz w:val="18"/>
        </w:rPr>
        <w:t xml:space="preserve"> </w:t>
      </w:r>
      <w:r w:rsidRPr="00EC20A0">
        <w:rPr>
          <w:sz w:val="18"/>
        </w:rPr>
        <w:t>FAM</w:t>
      </w:r>
      <w:r w:rsidRPr="00EC20A0">
        <w:rPr>
          <w:spacing w:val="-3"/>
          <w:sz w:val="18"/>
        </w:rPr>
        <w:t xml:space="preserve"> </w:t>
      </w:r>
      <w:r w:rsidRPr="00EC20A0">
        <w:rPr>
          <w:sz w:val="18"/>
        </w:rPr>
        <w:t>where</w:t>
      </w:r>
      <w:r w:rsidRPr="00EC20A0">
        <w:rPr>
          <w:spacing w:val="-2"/>
          <w:sz w:val="18"/>
        </w:rPr>
        <w:t xml:space="preserve"> </w:t>
      </w:r>
      <w:r w:rsidRPr="00EC20A0">
        <w:rPr>
          <w:sz w:val="18"/>
        </w:rPr>
        <w:t>timely</w:t>
      </w:r>
      <w:r w:rsidRPr="00EC20A0">
        <w:rPr>
          <w:spacing w:val="-3"/>
          <w:sz w:val="18"/>
        </w:rPr>
        <w:t xml:space="preserve"> </w:t>
      </w:r>
      <w:r w:rsidRPr="00EC20A0">
        <w:rPr>
          <w:sz w:val="18"/>
        </w:rPr>
        <w:t>review</w:t>
      </w:r>
      <w:r w:rsidRPr="00EC20A0">
        <w:rPr>
          <w:spacing w:val="-2"/>
          <w:sz w:val="18"/>
        </w:rPr>
        <w:t xml:space="preserve"> </w:t>
      </w:r>
      <w:r w:rsidRPr="00EC20A0">
        <w:rPr>
          <w:sz w:val="18"/>
        </w:rPr>
        <w:t>of</w:t>
      </w:r>
      <w:r w:rsidRPr="00EC20A0">
        <w:rPr>
          <w:spacing w:val="-3"/>
          <w:sz w:val="18"/>
        </w:rPr>
        <w:t xml:space="preserve"> </w:t>
      </w:r>
      <w:r w:rsidRPr="00EC20A0">
        <w:rPr>
          <w:sz w:val="18"/>
        </w:rPr>
        <w:t>audit</w:t>
      </w:r>
      <w:r w:rsidRPr="00EC20A0">
        <w:rPr>
          <w:spacing w:val="-3"/>
          <w:sz w:val="18"/>
        </w:rPr>
        <w:t xml:space="preserve"> </w:t>
      </w:r>
      <w:r w:rsidRPr="00EC20A0">
        <w:rPr>
          <w:sz w:val="18"/>
        </w:rPr>
        <w:t>documentation</w:t>
      </w:r>
      <w:r w:rsidRPr="00EC20A0">
        <w:rPr>
          <w:spacing w:val="-3"/>
          <w:sz w:val="18"/>
        </w:rPr>
        <w:t xml:space="preserve"> </w:t>
      </w:r>
      <w:r w:rsidRPr="00EC20A0">
        <w:rPr>
          <w:sz w:val="18"/>
        </w:rPr>
        <w:t>by</w:t>
      </w:r>
      <w:r w:rsidRPr="00EC20A0">
        <w:rPr>
          <w:spacing w:val="-3"/>
          <w:sz w:val="18"/>
        </w:rPr>
        <w:t xml:space="preserve"> </w:t>
      </w:r>
      <w:r w:rsidRPr="00EC20A0">
        <w:rPr>
          <w:sz w:val="18"/>
        </w:rPr>
        <w:t>the</w:t>
      </w:r>
      <w:r w:rsidRPr="00EC20A0">
        <w:rPr>
          <w:spacing w:val="-2"/>
          <w:sz w:val="18"/>
        </w:rPr>
        <w:t xml:space="preserve"> </w:t>
      </w:r>
      <w:r w:rsidRPr="00EC20A0">
        <w:rPr>
          <w:sz w:val="18"/>
        </w:rPr>
        <w:t>reviewer</w:t>
      </w:r>
      <w:r w:rsidRPr="00EC20A0">
        <w:rPr>
          <w:spacing w:val="-3"/>
          <w:sz w:val="18"/>
        </w:rPr>
        <w:t xml:space="preserve"> </w:t>
      </w:r>
      <w:r w:rsidRPr="00EC20A0">
        <w:rPr>
          <w:sz w:val="18"/>
        </w:rPr>
        <w:t>at appropriate stages during the engagement is required to ensure the effectiveness and efficiency of the audit.</w:t>
      </w:r>
    </w:p>
    <w:p w14:paraId="24D5FEE5" w14:textId="77777777" w:rsidR="00245300" w:rsidRPr="00EC20A0" w:rsidRDefault="00F17249">
      <w:pPr>
        <w:ind w:left="419" w:right="527"/>
        <w:rPr>
          <w:sz w:val="18"/>
        </w:rPr>
      </w:pPr>
      <w:r w:rsidRPr="00EC20A0">
        <w:rPr>
          <w:sz w:val="18"/>
        </w:rPr>
        <w:t>Generally,</w:t>
      </w:r>
      <w:r w:rsidRPr="00EC20A0">
        <w:rPr>
          <w:spacing w:val="-3"/>
          <w:sz w:val="18"/>
        </w:rPr>
        <w:t xml:space="preserve"> </w:t>
      </w:r>
      <w:r w:rsidRPr="00EC20A0">
        <w:rPr>
          <w:sz w:val="18"/>
        </w:rPr>
        <w:t>timely</w:t>
      </w:r>
      <w:r w:rsidRPr="00EC20A0">
        <w:rPr>
          <w:spacing w:val="-3"/>
          <w:sz w:val="18"/>
        </w:rPr>
        <w:t xml:space="preserve"> </w:t>
      </w:r>
      <w:r w:rsidRPr="00EC20A0">
        <w:rPr>
          <w:sz w:val="18"/>
        </w:rPr>
        <w:t>manner</w:t>
      </w:r>
      <w:r w:rsidRPr="00EC20A0">
        <w:rPr>
          <w:spacing w:val="-3"/>
          <w:sz w:val="18"/>
        </w:rPr>
        <w:t xml:space="preserve"> </w:t>
      </w:r>
      <w:r w:rsidRPr="00EC20A0">
        <w:rPr>
          <w:sz w:val="18"/>
        </w:rPr>
        <w:t>in</w:t>
      </w:r>
      <w:r w:rsidRPr="00EC20A0">
        <w:rPr>
          <w:spacing w:val="-4"/>
          <w:sz w:val="18"/>
        </w:rPr>
        <w:t xml:space="preserve"> </w:t>
      </w:r>
      <w:r w:rsidRPr="00EC20A0">
        <w:rPr>
          <w:sz w:val="18"/>
        </w:rPr>
        <w:t>this</w:t>
      </w:r>
      <w:r w:rsidRPr="00EC20A0">
        <w:rPr>
          <w:spacing w:val="-3"/>
          <w:sz w:val="18"/>
        </w:rPr>
        <w:t xml:space="preserve"> </w:t>
      </w:r>
      <w:r w:rsidRPr="00EC20A0">
        <w:rPr>
          <w:sz w:val="18"/>
        </w:rPr>
        <w:t>context</w:t>
      </w:r>
      <w:r w:rsidRPr="00EC20A0">
        <w:rPr>
          <w:spacing w:val="-3"/>
          <w:sz w:val="18"/>
        </w:rPr>
        <w:t xml:space="preserve"> </w:t>
      </w:r>
      <w:r w:rsidRPr="00EC20A0">
        <w:rPr>
          <w:sz w:val="18"/>
        </w:rPr>
        <w:t>means</w:t>
      </w:r>
      <w:r w:rsidRPr="00EC20A0">
        <w:rPr>
          <w:spacing w:val="-3"/>
          <w:sz w:val="18"/>
        </w:rPr>
        <w:t xml:space="preserve"> </w:t>
      </w:r>
      <w:r w:rsidRPr="00EC20A0">
        <w:rPr>
          <w:sz w:val="18"/>
        </w:rPr>
        <w:t>after</w:t>
      </w:r>
      <w:r w:rsidRPr="00EC20A0">
        <w:rPr>
          <w:spacing w:val="-3"/>
          <w:sz w:val="18"/>
        </w:rPr>
        <w:t xml:space="preserve"> </w:t>
      </w:r>
      <w:r w:rsidRPr="00EC20A0">
        <w:rPr>
          <w:sz w:val="18"/>
        </w:rPr>
        <w:t>the</w:t>
      </w:r>
      <w:r w:rsidRPr="00EC20A0">
        <w:rPr>
          <w:spacing w:val="-4"/>
          <w:sz w:val="18"/>
        </w:rPr>
        <w:t xml:space="preserve"> </w:t>
      </w:r>
      <w:r w:rsidRPr="00EC20A0">
        <w:rPr>
          <w:sz w:val="18"/>
        </w:rPr>
        <w:t>engagement</w:t>
      </w:r>
      <w:r w:rsidRPr="00EC20A0">
        <w:rPr>
          <w:spacing w:val="-3"/>
          <w:sz w:val="18"/>
        </w:rPr>
        <w:t xml:space="preserve"> </w:t>
      </w:r>
      <w:r w:rsidRPr="00EC20A0">
        <w:rPr>
          <w:sz w:val="18"/>
        </w:rPr>
        <w:t>team</w:t>
      </w:r>
      <w:r w:rsidRPr="00EC20A0">
        <w:rPr>
          <w:spacing w:val="-2"/>
          <w:sz w:val="18"/>
        </w:rPr>
        <w:t xml:space="preserve"> </w:t>
      </w:r>
      <w:r w:rsidRPr="00EC20A0">
        <w:rPr>
          <w:sz w:val="18"/>
        </w:rPr>
        <w:t>makes</w:t>
      </w:r>
      <w:r w:rsidRPr="00EC20A0">
        <w:rPr>
          <w:spacing w:val="-3"/>
          <w:sz w:val="18"/>
        </w:rPr>
        <w:t xml:space="preserve"> </w:t>
      </w:r>
      <w:r w:rsidRPr="00EC20A0">
        <w:rPr>
          <w:sz w:val="18"/>
        </w:rPr>
        <w:t>a</w:t>
      </w:r>
      <w:r w:rsidRPr="00EC20A0">
        <w:rPr>
          <w:spacing w:val="-4"/>
          <w:sz w:val="18"/>
        </w:rPr>
        <w:t xml:space="preserve"> </w:t>
      </w:r>
      <w:r w:rsidRPr="00EC20A0">
        <w:rPr>
          <w:sz w:val="18"/>
        </w:rPr>
        <w:t>judgment</w:t>
      </w:r>
      <w:r w:rsidRPr="00EC20A0">
        <w:rPr>
          <w:spacing w:val="-3"/>
          <w:sz w:val="18"/>
        </w:rPr>
        <w:t xml:space="preserve"> </w:t>
      </w:r>
      <w:r w:rsidRPr="00EC20A0">
        <w:rPr>
          <w:sz w:val="18"/>
        </w:rPr>
        <w:t>or</w:t>
      </w:r>
      <w:r w:rsidRPr="00EC20A0">
        <w:rPr>
          <w:spacing w:val="-3"/>
          <w:sz w:val="18"/>
        </w:rPr>
        <w:t xml:space="preserve"> </w:t>
      </w:r>
      <w:r w:rsidRPr="00EC20A0">
        <w:rPr>
          <w:sz w:val="18"/>
        </w:rPr>
        <w:t>conclusion</w:t>
      </w:r>
      <w:r w:rsidRPr="00EC20A0">
        <w:rPr>
          <w:spacing w:val="-4"/>
          <w:sz w:val="18"/>
        </w:rPr>
        <w:t xml:space="preserve"> </w:t>
      </w:r>
      <w:r w:rsidRPr="00EC20A0">
        <w:rPr>
          <w:sz w:val="18"/>
        </w:rPr>
        <w:t>about</w:t>
      </w:r>
      <w:r w:rsidRPr="00EC20A0">
        <w:rPr>
          <w:spacing w:val="-2"/>
          <w:sz w:val="18"/>
        </w:rPr>
        <w:t xml:space="preserve"> </w:t>
      </w:r>
      <w:r w:rsidRPr="00EC20A0">
        <w:rPr>
          <w:sz w:val="18"/>
        </w:rPr>
        <w:t>an issue and before the judgment or conclusion is implemented or finalized.</w:t>
      </w:r>
    </w:p>
    <w:p w14:paraId="24D5FEE6"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5FEE7" w14:textId="77777777" w:rsidR="00245300" w:rsidRPr="00EC20A0" w:rsidRDefault="00F17249">
      <w:pPr>
        <w:pStyle w:val="ListParagraph"/>
        <w:numPr>
          <w:ilvl w:val="1"/>
          <w:numId w:val="218"/>
        </w:numPr>
        <w:tabs>
          <w:tab w:val="left" w:pos="2220"/>
        </w:tabs>
        <w:spacing w:before="121"/>
        <w:ind w:left="2220" w:right="1183" w:hanging="361"/>
      </w:pPr>
      <w:r w:rsidRPr="00EC20A0">
        <w:t>divide</w:t>
      </w:r>
      <w:r w:rsidRPr="00EC20A0">
        <w:rPr>
          <w:spacing w:val="-3"/>
        </w:rPr>
        <w:t xml:space="preserve"> </w:t>
      </w:r>
      <w:r w:rsidRPr="00EC20A0">
        <w:t>the</w:t>
      </w:r>
      <w:r w:rsidRPr="00EC20A0">
        <w:rPr>
          <w:spacing w:val="-3"/>
        </w:rPr>
        <w:t xml:space="preserve"> </w:t>
      </w:r>
      <w:r w:rsidRPr="00EC20A0">
        <w:t>work</w:t>
      </w:r>
      <w:r w:rsidRPr="00EC20A0">
        <w:rPr>
          <w:spacing w:val="-2"/>
        </w:rPr>
        <w:t xml:space="preserve"> </w:t>
      </w:r>
      <w:r w:rsidRPr="00EC20A0">
        <w:t>so</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other</w:t>
      </w:r>
      <w:r w:rsidRPr="00EC20A0">
        <w:rPr>
          <w:spacing w:val="-3"/>
        </w:rPr>
        <w:t xml:space="preserve"> </w:t>
      </w:r>
      <w:r w:rsidRPr="00EC20A0">
        <w:t>auditors</w:t>
      </w:r>
      <w:r w:rsidRPr="00EC20A0">
        <w:rPr>
          <w:spacing w:val="-3"/>
        </w:rPr>
        <w:t xml:space="preserve"> </w:t>
      </w:r>
      <w:r w:rsidRPr="00EC20A0">
        <w:t>test</w:t>
      </w:r>
      <w:r w:rsidRPr="00EC20A0">
        <w:rPr>
          <w:spacing w:val="-3"/>
        </w:rPr>
        <w:t xml:space="preserve"> </w:t>
      </w:r>
      <w:r w:rsidRPr="00EC20A0">
        <w:t>the</w:t>
      </w:r>
      <w:r w:rsidRPr="00EC20A0">
        <w:rPr>
          <w:spacing w:val="-3"/>
        </w:rPr>
        <w:t xml:space="preserve"> </w:t>
      </w:r>
      <w:r w:rsidRPr="00EC20A0">
        <w:t>areas</w:t>
      </w:r>
      <w:r w:rsidRPr="00EC20A0">
        <w:rPr>
          <w:spacing w:val="-3"/>
        </w:rPr>
        <w:t xml:space="preserve"> </w:t>
      </w:r>
      <w:r w:rsidRPr="00EC20A0">
        <w:t>where</w:t>
      </w:r>
      <w:r w:rsidRPr="00EC20A0">
        <w:rPr>
          <w:spacing w:val="-3"/>
        </w:rPr>
        <w:t xml:space="preserve"> </w:t>
      </w:r>
      <w:r w:rsidRPr="00EC20A0">
        <w:t>they</w:t>
      </w:r>
      <w:r w:rsidRPr="00EC20A0">
        <w:rPr>
          <w:spacing w:val="-3"/>
        </w:rPr>
        <w:t xml:space="preserve"> </w:t>
      </w:r>
      <w:r w:rsidRPr="00EC20A0">
        <w:t xml:space="preserve">are qualified and the auditor does the </w:t>
      </w:r>
      <w:r w:rsidRPr="00EC20A0">
        <w:t>rest of the audit; or</w:t>
      </w:r>
    </w:p>
    <w:p w14:paraId="24D5FEE8" w14:textId="77777777" w:rsidR="00245300" w:rsidRPr="00EC20A0" w:rsidRDefault="00F17249">
      <w:pPr>
        <w:pStyle w:val="ListParagraph"/>
        <w:numPr>
          <w:ilvl w:val="1"/>
          <w:numId w:val="218"/>
        </w:numPr>
        <w:tabs>
          <w:tab w:val="left" w:pos="2220"/>
        </w:tabs>
        <w:spacing w:before="238"/>
        <w:ind w:left="2220" w:right="586"/>
      </w:pPr>
      <w:r w:rsidRPr="00EC20A0">
        <w:t>if the auditor is unable to resolve the concerns, determine the effect on the audit</w:t>
      </w:r>
      <w:r w:rsidRPr="00EC20A0">
        <w:rPr>
          <w:spacing w:val="-3"/>
        </w:rPr>
        <w:t xml:space="preserve"> </w:t>
      </w:r>
      <w:r w:rsidRPr="00EC20A0">
        <w:t>opinion</w:t>
      </w:r>
      <w:r w:rsidRPr="00EC20A0">
        <w:rPr>
          <w:spacing w:val="-3"/>
        </w:rPr>
        <w:t xml:space="preserve"> </w:t>
      </w:r>
      <w:r w:rsidRPr="00EC20A0">
        <w:t>(e.g.,</w:t>
      </w:r>
      <w:r w:rsidRPr="00EC20A0">
        <w:rPr>
          <w:spacing w:val="-3"/>
        </w:rPr>
        <w:t xml:space="preserve"> </w:t>
      </w:r>
      <w:r w:rsidRPr="00EC20A0">
        <w:t>if</w:t>
      </w:r>
      <w:r w:rsidRPr="00EC20A0">
        <w:rPr>
          <w:spacing w:val="-3"/>
        </w:rPr>
        <w:t xml:space="preserve"> </w:t>
      </w:r>
      <w:r w:rsidRPr="00EC20A0">
        <w:t>there</w:t>
      </w:r>
      <w:r w:rsidRPr="00EC20A0">
        <w:rPr>
          <w:spacing w:val="-3"/>
        </w:rPr>
        <w:t xml:space="preserve"> </w:t>
      </w:r>
      <w:r w:rsidRPr="00EC20A0">
        <w:t>is</w:t>
      </w:r>
      <w:r w:rsidRPr="00EC20A0">
        <w:rPr>
          <w:spacing w:val="-3"/>
        </w:rPr>
        <w:t xml:space="preserve"> </w:t>
      </w:r>
      <w:r w:rsidRPr="00EC20A0">
        <w:t>a</w:t>
      </w:r>
      <w:r w:rsidRPr="00EC20A0">
        <w:rPr>
          <w:spacing w:val="-3"/>
        </w:rPr>
        <w:t xml:space="preserve"> </w:t>
      </w:r>
      <w:r w:rsidRPr="00EC20A0">
        <w:t>scope</w:t>
      </w:r>
      <w:r w:rsidRPr="00EC20A0">
        <w:rPr>
          <w:spacing w:val="-3"/>
        </w:rPr>
        <w:t xml:space="preserve"> </w:t>
      </w:r>
      <w:r w:rsidRPr="00EC20A0">
        <w:t>limitation</w:t>
      </w:r>
      <w:r w:rsidRPr="00EC20A0">
        <w:rPr>
          <w:spacing w:val="-3"/>
        </w:rPr>
        <w:t xml:space="preserve"> </w:t>
      </w:r>
      <w:r w:rsidRPr="00EC20A0">
        <w:t>requiring</w:t>
      </w:r>
      <w:r w:rsidRPr="00EC20A0">
        <w:rPr>
          <w:spacing w:val="-3"/>
        </w:rPr>
        <w:t xml:space="preserve"> </w:t>
      </w:r>
      <w:r w:rsidRPr="00EC20A0">
        <w:t>a</w:t>
      </w:r>
      <w:r w:rsidRPr="00EC20A0">
        <w:rPr>
          <w:spacing w:val="-3"/>
        </w:rPr>
        <w:t xml:space="preserve"> </w:t>
      </w:r>
      <w:r w:rsidRPr="00EC20A0">
        <w:t>modification</w:t>
      </w:r>
      <w:r w:rsidRPr="00EC20A0">
        <w:rPr>
          <w:spacing w:val="-4"/>
        </w:rPr>
        <w:t xml:space="preserve"> </w:t>
      </w:r>
      <w:r w:rsidRPr="00EC20A0">
        <w:t>to</w:t>
      </w:r>
      <w:r w:rsidRPr="00EC20A0">
        <w:rPr>
          <w:spacing w:val="-3"/>
        </w:rPr>
        <w:t xml:space="preserve"> </w:t>
      </w:r>
      <w:r w:rsidRPr="00EC20A0">
        <w:t>the audit opinion).</w:t>
      </w:r>
    </w:p>
    <w:p w14:paraId="24D5FEE9" w14:textId="77777777" w:rsidR="00245300" w:rsidRPr="00EC20A0" w:rsidRDefault="00245300">
      <w:pPr>
        <w:sectPr w:rsidR="00245300" w:rsidRPr="00EC20A0">
          <w:pgSz w:w="12240" w:h="15840"/>
          <w:pgMar w:top="1340" w:right="940" w:bottom="940" w:left="1020" w:header="721" w:footer="757" w:gutter="0"/>
          <w:cols w:space="720"/>
        </w:sectPr>
      </w:pPr>
    </w:p>
    <w:p w14:paraId="24D5FEEA" w14:textId="77777777" w:rsidR="00245300" w:rsidRPr="00EC20A0" w:rsidRDefault="00F17249">
      <w:pPr>
        <w:pStyle w:val="Heading3"/>
        <w:spacing w:before="241"/>
        <w:ind w:left="420"/>
        <w:rPr>
          <w:u w:val="none"/>
        </w:rPr>
      </w:pPr>
      <w:bookmarkStart w:id="27" w:name="620_–_Using_the_Work_of_an_Auditor’s_Spe"/>
      <w:bookmarkStart w:id="28" w:name="_bookmark10"/>
      <w:bookmarkEnd w:id="27"/>
      <w:bookmarkEnd w:id="28"/>
      <w:r w:rsidRPr="00EC20A0">
        <w:t>620</w:t>
      </w:r>
      <w:r w:rsidRPr="00EC20A0">
        <w:rPr>
          <w:spacing w:val="-6"/>
        </w:rPr>
        <w:t xml:space="preserve"> </w:t>
      </w:r>
      <w:r w:rsidRPr="00EC20A0">
        <w:t>–</w:t>
      </w:r>
      <w:r w:rsidRPr="00EC20A0">
        <w:rPr>
          <w:spacing w:val="-3"/>
        </w:rPr>
        <w:t xml:space="preserve"> </w:t>
      </w:r>
      <w:r w:rsidRPr="00EC20A0">
        <w:t>Using</w:t>
      </w:r>
      <w:r w:rsidRPr="00EC20A0">
        <w:rPr>
          <w:spacing w:val="-4"/>
        </w:rPr>
        <w:t xml:space="preserve"> </w:t>
      </w:r>
      <w:r w:rsidRPr="00EC20A0">
        <w:t>the</w:t>
      </w:r>
      <w:r w:rsidRPr="00EC20A0">
        <w:rPr>
          <w:spacing w:val="-4"/>
        </w:rPr>
        <w:t xml:space="preserve"> </w:t>
      </w:r>
      <w:r w:rsidRPr="00EC20A0">
        <w:t>Work</w:t>
      </w:r>
      <w:r w:rsidRPr="00EC20A0">
        <w:rPr>
          <w:spacing w:val="-3"/>
        </w:rPr>
        <w:t xml:space="preserve"> </w:t>
      </w:r>
      <w:r w:rsidRPr="00EC20A0">
        <w:t>of</w:t>
      </w:r>
      <w:r w:rsidRPr="00EC20A0">
        <w:rPr>
          <w:spacing w:val="-4"/>
        </w:rPr>
        <w:t xml:space="preserve"> </w:t>
      </w:r>
      <w:r w:rsidRPr="00EC20A0">
        <w:t>an</w:t>
      </w:r>
      <w:r w:rsidRPr="00EC20A0">
        <w:rPr>
          <w:spacing w:val="-16"/>
        </w:rPr>
        <w:t xml:space="preserve"> </w:t>
      </w:r>
      <w:r w:rsidRPr="00EC20A0">
        <w:t>Auditor’s</w:t>
      </w:r>
      <w:r w:rsidRPr="00EC20A0">
        <w:rPr>
          <w:spacing w:val="-3"/>
        </w:rPr>
        <w:t xml:space="preserve"> </w:t>
      </w:r>
      <w:r w:rsidRPr="00EC20A0">
        <w:rPr>
          <w:spacing w:val="-2"/>
        </w:rPr>
        <w:t>Specialist</w:t>
      </w:r>
    </w:p>
    <w:p w14:paraId="24D5FEEB" w14:textId="77777777" w:rsidR="00245300" w:rsidRPr="00EC20A0" w:rsidRDefault="00F17249">
      <w:pPr>
        <w:pStyle w:val="Heading4"/>
      </w:pPr>
      <w:r w:rsidRPr="00EC20A0">
        <w:rPr>
          <w:spacing w:val="-2"/>
        </w:rPr>
        <w:t>Overview</w:t>
      </w:r>
    </w:p>
    <w:p w14:paraId="24D5FEEC" w14:textId="77777777" w:rsidR="00245300" w:rsidRPr="00EC20A0" w:rsidRDefault="00F17249">
      <w:pPr>
        <w:pStyle w:val="ListParagraph"/>
        <w:numPr>
          <w:ilvl w:val="0"/>
          <w:numId w:val="20"/>
        </w:numPr>
        <w:tabs>
          <w:tab w:val="left" w:pos="1859"/>
        </w:tabs>
        <w:ind w:right="689" w:hanging="720"/>
      </w:pPr>
      <w:r w:rsidRPr="00EC20A0">
        <w:rPr>
          <w:color w:val="242424"/>
        </w:rPr>
        <w:t>FAM</w:t>
      </w:r>
      <w:r w:rsidRPr="00EC20A0">
        <w:rPr>
          <w:color w:val="242424"/>
          <w:spacing w:val="-5"/>
        </w:rPr>
        <w:t xml:space="preserve"> </w:t>
      </w:r>
      <w:r w:rsidRPr="00EC20A0">
        <w:rPr>
          <w:color w:val="242424"/>
        </w:rPr>
        <w:t>620</w:t>
      </w:r>
      <w:r w:rsidRPr="00EC20A0">
        <w:rPr>
          <w:color w:val="242424"/>
          <w:spacing w:val="-4"/>
        </w:rPr>
        <w:t xml:space="preserve"> </w:t>
      </w:r>
      <w:r w:rsidRPr="00EC20A0">
        <w:rPr>
          <w:color w:val="242424"/>
        </w:rPr>
        <w:t>provides</w:t>
      </w:r>
      <w:r w:rsidRPr="00EC20A0">
        <w:rPr>
          <w:color w:val="242424"/>
          <w:spacing w:val="-4"/>
        </w:rPr>
        <w:t xml:space="preserve"> </w:t>
      </w:r>
      <w:r w:rsidRPr="00EC20A0">
        <w:rPr>
          <w:color w:val="242424"/>
        </w:rPr>
        <w:t>guidance</w:t>
      </w:r>
      <w:r w:rsidRPr="00EC20A0">
        <w:rPr>
          <w:color w:val="242424"/>
          <w:spacing w:val="-4"/>
        </w:rPr>
        <w:t xml:space="preserve"> </w:t>
      </w:r>
      <w:r w:rsidRPr="00EC20A0">
        <w:rPr>
          <w:color w:val="242424"/>
        </w:rPr>
        <w:t>on</w:t>
      </w:r>
      <w:r w:rsidRPr="00EC20A0">
        <w:rPr>
          <w:color w:val="242424"/>
          <w:spacing w:val="-4"/>
        </w:rPr>
        <w:t xml:space="preserve"> </w:t>
      </w:r>
      <w:r w:rsidRPr="00EC20A0">
        <w:rPr>
          <w:color w:val="242424"/>
        </w:rPr>
        <w:t>the</w:t>
      </w:r>
      <w:r w:rsidRPr="00EC20A0">
        <w:rPr>
          <w:color w:val="242424"/>
          <w:spacing w:val="-5"/>
        </w:rPr>
        <w:t xml:space="preserve"> </w:t>
      </w:r>
      <w:r w:rsidRPr="00EC20A0">
        <w:rPr>
          <w:color w:val="242424"/>
        </w:rPr>
        <w:t>auditor’s</w:t>
      </w:r>
      <w:r w:rsidRPr="00EC20A0">
        <w:rPr>
          <w:color w:val="242424"/>
          <w:spacing w:val="-4"/>
        </w:rPr>
        <w:t xml:space="preserve"> </w:t>
      </w:r>
      <w:r w:rsidRPr="00EC20A0">
        <w:rPr>
          <w:color w:val="242424"/>
        </w:rPr>
        <w:t>responsibilities</w:t>
      </w:r>
      <w:r w:rsidRPr="00EC20A0">
        <w:rPr>
          <w:color w:val="242424"/>
          <w:spacing w:val="-5"/>
        </w:rPr>
        <w:t xml:space="preserve"> </w:t>
      </w:r>
      <w:r w:rsidRPr="00EC20A0">
        <w:rPr>
          <w:color w:val="242424"/>
        </w:rPr>
        <w:t>relating</w:t>
      </w:r>
      <w:r w:rsidRPr="00EC20A0">
        <w:rPr>
          <w:color w:val="242424"/>
          <w:spacing w:val="-4"/>
        </w:rPr>
        <w:t xml:space="preserve"> </w:t>
      </w:r>
      <w:r w:rsidRPr="00EC20A0">
        <w:rPr>
          <w:color w:val="242424"/>
        </w:rPr>
        <w:t>to</w:t>
      </w:r>
      <w:r w:rsidRPr="00EC20A0">
        <w:rPr>
          <w:color w:val="242424"/>
          <w:spacing w:val="-4"/>
        </w:rPr>
        <w:t xml:space="preserve"> </w:t>
      </w:r>
      <w:r w:rsidRPr="00EC20A0">
        <w:rPr>
          <w:color w:val="242424"/>
        </w:rPr>
        <w:t>the</w:t>
      </w:r>
      <w:r w:rsidRPr="00EC20A0">
        <w:rPr>
          <w:color w:val="242424"/>
          <w:spacing w:val="-4"/>
        </w:rPr>
        <w:t xml:space="preserve"> </w:t>
      </w:r>
      <w:r w:rsidRPr="00EC20A0">
        <w:rPr>
          <w:color w:val="242424"/>
        </w:rPr>
        <w:t xml:space="preserve">work of an individual or organization possessing expertise in a field other than accounting or auditing when that work is used to assist the auditor in </w:t>
      </w:r>
      <w:r w:rsidRPr="00EC20A0">
        <w:rPr>
          <w:color w:val="242424"/>
        </w:rPr>
        <w:t>obtaining sufficient appropriate audit evidence (AU-C 620.01).</w:t>
      </w:r>
    </w:p>
    <w:p w14:paraId="24D5FEED" w14:textId="77777777" w:rsidR="00245300" w:rsidRPr="00EC20A0" w:rsidRDefault="00F17249">
      <w:pPr>
        <w:pStyle w:val="ListParagraph"/>
        <w:numPr>
          <w:ilvl w:val="0"/>
          <w:numId w:val="20"/>
        </w:numPr>
        <w:tabs>
          <w:tab w:val="left" w:pos="1858"/>
          <w:tab w:val="left" w:pos="1860"/>
        </w:tabs>
        <w:ind w:left="1860" w:right="677"/>
        <w:jc w:val="both"/>
      </w:pPr>
      <w:r w:rsidRPr="00EC20A0">
        <w:t>FAM</w:t>
      </w:r>
      <w:r w:rsidRPr="00EC20A0">
        <w:rPr>
          <w:spacing w:val="-4"/>
        </w:rPr>
        <w:t xml:space="preserve"> </w:t>
      </w:r>
      <w:r w:rsidRPr="00EC20A0">
        <w:t>620</w:t>
      </w:r>
      <w:r w:rsidRPr="00EC20A0">
        <w:rPr>
          <w:spacing w:val="-3"/>
        </w:rPr>
        <w:t xml:space="preserve"> </w:t>
      </w:r>
      <w:r w:rsidRPr="00EC20A0">
        <w:t>does</w:t>
      </w:r>
      <w:r w:rsidRPr="00EC20A0">
        <w:rPr>
          <w:spacing w:val="-3"/>
        </w:rPr>
        <w:t xml:space="preserve"> </w:t>
      </w:r>
      <w:r w:rsidRPr="00EC20A0">
        <w:t>not</w:t>
      </w:r>
      <w:r w:rsidRPr="00EC20A0">
        <w:rPr>
          <w:spacing w:val="-3"/>
        </w:rPr>
        <w:t xml:space="preserve"> </w:t>
      </w:r>
      <w:r w:rsidRPr="00EC20A0">
        <w:t>address</w:t>
      </w:r>
      <w:r w:rsidRPr="00EC20A0">
        <w:rPr>
          <w:spacing w:val="-3"/>
        </w:rPr>
        <w:t xml:space="preserve"> </w:t>
      </w:r>
      <w:r w:rsidRPr="00EC20A0">
        <w:t>situations</w:t>
      </w:r>
      <w:r w:rsidRPr="00EC20A0">
        <w:rPr>
          <w:spacing w:val="-4"/>
        </w:rPr>
        <w:t xml:space="preserve"> </w:t>
      </w:r>
      <w:r w:rsidRPr="00EC20A0">
        <w:t>in</w:t>
      </w:r>
      <w:r w:rsidRPr="00EC20A0">
        <w:rPr>
          <w:spacing w:val="-3"/>
        </w:rPr>
        <w:t xml:space="preserve"> </w:t>
      </w:r>
      <w:r w:rsidRPr="00EC20A0">
        <w:t>which</w:t>
      </w:r>
      <w:r w:rsidRPr="00EC20A0">
        <w:rPr>
          <w:spacing w:val="-3"/>
        </w:rPr>
        <w:t xml:space="preserve"> </w:t>
      </w:r>
      <w:r w:rsidRPr="00EC20A0">
        <w:t>the</w:t>
      </w:r>
      <w:r w:rsidRPr="00EC20A0">
        <w:rPr>
          <w:spacing w:val="-4"/>
        </w:rPr>
        <w:t xml:space="preserve"> </w:t>
      </w:r>
      <w:r w:rsidRPr="00EC20A0">
        <w:t>engagement</w:t>
      </w:r>
      <w:r w:rsidRPr="00EC20A0">
        <w:rPr>
          <w:spacing w:val="-3"/>
        </w:rPr>
        <w:t xml:space="preserve"> </w:t>
      </w:r>
      <w:r w:rsidRPr="00EC20A0">
        <w:t>team</w:t>
      </w:r>
      <w:r w:rsidRPr="00EC20A0">
        <w:rPr>
          <w:spacing w:val="-4"/>
        </w:rPr>
        <w:t xml:space="preserve"> </w:t>
      </w:r>
      <w:r w:rsidRPr="00EC20A0">
        <w:t>includes</w:t>
      </w:r>
      <w:r w:rsidRPr="00EC20A0">
        <w:rPr>
          <w:spacing w:val="-3"/>
        </w:rPr>
        <w:t xml:space="preserve"> </w:t>
      </w:r>
      <w:r w:rsidRPr="00EC20A0">
        <w:t>a member or consults</w:t>
      </w:r>
      <w:r w:rsidRPr="00EC20A0">
        <w:rPr>
          <w:spacing w:val="-1"/>
        </w:rPr>
        <w:t xml:space="preserve"> </w:t>
      </w:r>
      <w:r w:rsidRPr="00EC20A0">
        <w:t>an individual or</w:t>
      </w:r>
      <w:r w:rsidRPr="00EC20A0">
        <w:rPr>
          <w:spacing w:val="-2"/>
        </w:rPr>
        <w:t xml:space="preserve"> </w:t>
      </w:r>
      <w:r w:rsidRPr="00EC20A0">
        <w:t>organization</w:t>
      </w:r>
      <w:r w:rsidRPr="00EC20A0">
        <w:rPr>
          <w:spacing w:val="-1"/>
        </w:rPr>
        <w:t xml:space="preserve"> </w:t>
      </w:r>
      <w:r w:rsidRPr="00EC20A0">
        <w:t xml:space="preserve">with expertise in a specialized area of accounting or </w:t>
      </w:r>
      <w:r w:rsidRPr="00EC20A0">
        <w:t>auditing, which are addressed in FAM 210.08 and</w:t>
      </w:r>
    </w:p>
    <w:p w14:paraId="24D5FEEE" w14:textId="77777777" w:rsidR="00245300" w:rsidRPr="00EC20A0" w:rsidRDefault="00F17249">
      <w:pPr>
        <w:pStyle w:val="BodyText"/>
        <w:ind w:left="1860"/>
        <w:jc w:val="both"/>
      </w:pPr>
      <w:r w:rsidRPr="00EC20A0">
        <w:t>AU-C</w:t>
      </w:r>
      <w:r w:rsidRPr="00EC20A0">
        <w:rPr>
          <w:spacing w:val="-7"/>
        </w:rPr>
        <w:t xml:space="preserve"> </w:t>
      </w:r>
      <w:r w:rsidRPr="00EC20A0">
        <w:t>220A</w:t>
      </w:r>
      <w:r w:rsidRPr="00EC20A0">
        <w:rPr>
          <w:spacing w:val="-6"/>
        </w:rPr>
        <w:t xml:space="preserve"> </w:t>
      </w:r>
      <w:r w:rsidRPr="00EC20A0">
        <w:t>(AU-C</w:t>
      </w:r>
      <w:r w:rsidRPr="00EC20A0">
        <w:rPr>
          <w:spacing w:val="-7"/>
        </w:rPr>
        <w:t xml:space="preserve"> </w:t>
      </w:r>
      <w:r w:rsidRPr="00EC20A0">
        <w:t>620.02a).</w:t>
      </w:r>
      <w:r w:rsidRPr="00EC20A0">
        <w:rPr>
          <w:spacing w:val="-7"/>
        </w:rPr>
        <w:t xml:space="preserve"> </w:t>
      </w:r>
      <w:r w:rsidRPr="00EC20A0">
        <w:t>See</w:t>
      </w:r>
      <w:r w:rsidRPr="00EC20A0">
        <w:rPr>
          <w:spacing w:val="-7"/>
        </w:rPr>
        <w:t xml:space="preserve"> </w:t>
      </w:r>
      <w:r w:rsidRPr="00EC20A0">
        <w:t>also</w:t>
      </w:r>
      <w:r w:rsidRPr="00EC20A0">
        <w:rPr>
          <w:spacing w:val="-6"/>
        </w:rPr>
        <w:t xml:space="preserve"> </w:t>
      </w:r>
      <w:r w:rsidRPr="00EC20A0">
        <w:t>FAM</w:t>
      </w:r>
      <w:r w:rsidRPr="00EC20A0">
        <w:rPr>
          <w:spacing w:val="-8"/>
        </w:rPr>
        <w:t xml:space="preserve"> </w:t>
      </w:r>
      <w:r w:rsidRPr="00EC20A0">
        <w:rPr>
          <w:spacing w:val="-2"/>
        </w:rPr>
        <w:t>610.04.</w:t>
      </w:r>
    </w:p>
    <w:p w14:paraId="24D5FEEF" w14:textId="77777777" w:rsidR="00245300" w:rsidRPr="00EC20A0" w:rsidRDefault="00F17249">
      <w:pPr>
        <w:pStyle w:val="ListParagraph"/>
        <w:numPr>
          <w:ilvl w:val="0"/>
          <w:numId w:val="20"/>
        </w:numPr>
        <w:tabs>
          <w:tab w:val="left" w:pos="1858"/>
        </w:tabs>
        <w:spacing w:before="239"/>
        <w:ind w:left="1858" w:right="568" w:hanging="719"/>
      </w:pPr>
      <w:r w:rsidRPr="00EC20A0">
        <w:t>FAM 620 does not address the auditor’s use of the work of an individual or organization possessing expertise in a field other than accounting or auditing, whose work in that field the entity to be audited uses to assist it in preparing the financial</w:t>
      </w:r>
      <w:r w:rsidRPr="00EC20A0">
        <w:rPr>
          <w:spacing w:val="-5"/>
        </w:rPr>
        <w:t xml:space="preserve"> </w:t>
      </w:r>
      <w:r w:rsidRPr="00EC20A0">
        <w:t>statements</w:t>
      </w:r>
      <w:r w:rsidRPr="00EC20A0">
        <w:rPr>
          <w:spacing w:val="-4"/>
        </w:rPr>
        <w:t xml:space="preserve"> </w:t>
      </w:r>
      <w:r w:rsidRPr="00EC20A0">
        <w:t>(management’s</w:t>
      </w:r>
      <w:r w:rsidRPr="00EC20A0">
        <w:rPr>
          <w:spacing w:val="-4"/>
        </w:rPr>
        <w:t xml:space="preserve"> </w:t>
      </w:r>
      <w:r w:rsidRPr="00EC20A0">
        <w:t>specialists),</w:t>
      </w:r>
      <w:r w:rsidRPr="00EC20A0">
        <w:rPr>
          <w:spacing w:val="-5"/>
        </w:rPr>
        <w:t xml:space="preserve"> </w:t>
      </w:r>
      <w:r w:rsidRPr="00EC20A0">
        <w:t>which</w:t>
      </w:r>
      <w:r w:rsidRPr="00EC20A0">
        <w:rPr>
          <w:spacing w:val="-4"/>
        </w:rPr>
        <w:t xml:space="preserve"> </w:t>
      </w:r>
      <w:r w:rsidRPr="00EC20A0">
        <w:t>is</w:t>
      </w:r>
      <w:r w:rsidRPr="00EC20A0">
        <w:rPr>
          <w:spacing w:val="-4"/>
        </w:rPr>
        <w:t xml:space="preserve"> </w:t>
      </w:r>
      <w:r w:rsidRPr="00EC20A0">
        <w:t>addressed</w:t>
      </w:r>
      <w:r w:rsidRPr="00EC20A0">
        <w:rPr>
          <w:spacing w:val="-4"/>
        </w:rPr>
        <w:t xml:space="preserve"> </w:t>
      </w:r>
      <w:r w:rsidRPr="00EC20A0">
        <w:t>in</w:t>
      </w:r>
      <w:r w:rsidRPr="00EC20A0">
        <w:rPr>
          <w:spacing w:val="-4"/>
        </w:rPr>
        <w:t xml:space="preserve"> </w:t>
      </w:r>
      <w:r w:rsidRPr="00EC20A0">
        <w:t>FAM</w:t>
      </w:r>
      <w:r w:rsidRPr="00EC20A0">
        <w:rPr>
          <w:spacing w:val="-5"/>
        </w:rPr>
        <w:t xml:space="preserve"> </w:t>
      </w:r>
      <w:r w:rsidRPr="00EC20A0">
        <w:t>625 (AU-C 620.02b).</w:t>
      </w:r>
    </w:p>
    <w:p w14:paraId="24D5FEF0" w14:textId="77777777" w:rsidR="00245300" w:rsidRPr="00EC20A0" w:rsidRDefault="00F17249">
      <w:pPr>
        <w:pStyle w:val="ListParagraph"/>
        <w:numPr>
          <w:ilvl w:val="0"/>
          <w:numId w:val="20"/>
        </w:numPr>
        <w:tabs>
          <w:tab w:val="left" w:pos="1858"/>
        </w:tabs>
        <w:ind w:left="1858" w:right="1166"/>
      </w:pPr>
      <w:r w:rsidRPr="00EC20A0">
        <w:t>Expertise</w:t>
      </w:r>
      <w:r w:rsidRPr="00EC20A0">
        <w:rPr>
          <w:spacing w:val="-4"/>
        </w:rPr>
        <w:t xml:space="preserve"> </w:t>
      </w:r>
      <w:r w:rsidRPr="00EC20A0">
        <w:t>in</w:t>
      </w:r>
      <w:r w:rsidRPr="00EC20A0">
        <w:rPr>
          <w:spacing w:val="-5"/>
        </w:rPr>
        <w:t xml:space="preserve"> </w:t>
      </w:r>
      <w:r w:rsidRPr="00EC20A0">
        <w:t>a</w:t>
      </w:r>
      <w:r w:rsidRPr="00EC20A0">
        <w:rPr>
          <w:spacing w:val="-4"/>
        </w:rPr>
        <w:t xml:space="preserve"> </w:t>
      </w:r>
      <w:r w:rsidRPr="00EC20A0">
        <w:t>field</w:t>
      </w:r>
      <w:r w:rsidRPr="00EC20A0">
        <w:rPr>
          <w:spacing w:val="-4"/>
        </w:rPr>
        <w:t xml:space="preserve"> </w:t>
      </w:r>
      <w:r w:rsidRPr="00EC20A0">
        <w:t>other</w:t>
      </w:r>
      <w:r w:rsidRPr="00EC20A0">
        <w:rPr>
          <w:spacing w:val="-5"/>
        </w:rPr>
        <w:t xml:space="preserve"> </w:t>
      </w:r>
      <w:r w:rsidRPr="00EC20A0">
        <w:t>than</w:t>
      </w:r>
      <w:r w:rsidRPr="00EC20A0">
        <w:rPr>
          <w:spacing w:val="-4"/>
        </w:rPr>
        <w:t xml:space="preserve"> </w:t>
      </w:r>
      <w:r w:rsidRPr="00EC20A0">
        <w:t>accounting</w:t>
      </w:r>
      <w:r w:rsidRPr="00EC20A0">
        <w:rPr>
          <w:spacing w:val="-4"/>
        </w:rPr>
        <w:t xml:space="preserve"> </w:t>
      </w:r>
      <w:r w:rsidRPr="00EC20A0">
        <w:t>or</w:t>
      </w:r>
      <w:r w:rsidRPr="00EC20A0">
        <w:rPr>
          <w:spacing w:val="-4"/>
        </w:rPr>
        <w:t xml:space="preserve"> </w:t>
      </w:r>
      <w:r w:rsidRPr="00EC20A0">
        <w:t>auditing</w:t>
      </w:r>
      <w:r w:rsidRPr="00EC20A0">
        <w:rPr>
          <w:spacing w:val="-4"/>
        </w:rPr>
        <w:t xml:space="preserve"> </w:t>
      </w:r>
      <w:r w:rsidRPr="00EC20A0">
        <w:t>may</w:t>
      </w:r>
      <w:r w:rsidRPr="00EC20A0">
        <w:rPr>
          <w:spacing w:val="-4"/>
        </w:rPr>
        <w:t xml:space="preserve"> </w:t>
      </w:r>
      <w:r w:rsidRPr="00EC20A0">
        <w:t>include</w:t>
      </w:r>
      <w:r w:rsidRPr="00EC20A0">
        <w:rPr>
          <w:spacing w:val="-4"/>
        </w:rPr>
        <w:t xml:space="preserve"> </w:t>
      </w:r>
      <w:r w:rsidRPr="00EC20A0">
        <w:t>expertise regarding such matters as the following (AU-C 620.A1):</w:t>
      </w:r>
    </w:p>
    <w:p w14:paraId="24D5FEF1" w14:textId="77777777" w:rsidR="00245300" w:rsidRPr="00EC20A0" w:rsidRDefault="00F17249">
      <w:pPr>
        <w:pStyle w:val="ListParagraph"/>
        <w:numPr>
          <w:ilvl w:val="1"/>
          <w:numId w:val="20"/>
        </w:numPr>
        <w:tabs>
          <w:tab w:val="left" w:pos="2218"/>
        </w:tabs>
        <w:ind w:right="600"/>
      </w:pPr>
      <w:r w:rsidRPr="00EC20A0">
        <w:t>the valuation of complex financial instruments and nonfinancial assets and liabilities measured at fair value, such as land and buildings, plant and machinery,</w:t>
      </w:r>
      <w:r w:rsidRPr="00EC20A0">
        <w:rPr>
          <w:spacing w:val="-5"/>
        </w:rPr>
        <w:t xml:space="preserve"> </w:t>
      </w:r>
      <w:r w:rsidRPr="00EC20A0">
        <w:t>jewelry,</w:t>
      </w:r>
      <w:r w:rsidRPr="00EC20A0">
        <w:rPr>
          <w:spacing w:val="-5"/>
        </w:rPr>
        <w:t xml:space="preserve"> </w:t>
      </w:r>
      <w:r w:rsidRPr="00EC20A0">
        <w:t>works</w:t>
      </w:r>
      <w:r w:rsidRPr="00EC20A0">
        <w:rPr>
          <w:spacing w:val="-5"/>
        </w:rPr>
        <w:t xml:space="preserve"> </w:t>
      </w:r>
      <w:r w:rsidRPr="00EC20A0">
        <w:t>of</w:t>
      </w:r>
      <w:r w:rsidRPr="00EC20A0">
        <w:rPr>
          <w:spacing w:val="-5"/>
        </w:rPr>
        <w:t xml:space="preserve"> </w:t>
      </w:r>
      <w:r w:rsidRPr="00EC20A0">
        <w:t>art,</w:t>
      </w:r>
      <w:r w:rsidRPr="00EC20A0">
        <w:rPr>
          <w:spacing w:val="-5"/>
        </w:rPr>
        <w:t xml:space="preserve"> </w:t>
      </w:r>
      <w:r w:rsidRPr="00EC20A0">
        <w:t>antiques,</w:t>
      </w:r>
      <w:r w:rsidRPr="00EC20A0">
        <w:rPr>
          <w:spacing w:val="-5"/>
        </w:rPr>
        <w:t xml:space="preserve"> </w:t>
      </w:r>
      <w:r w:rsidRPr="00EC20A0">
        <w:t>intangible</w:t>
      </w:r>
      <w:r w:rsidRPr="00EC20A0">
        <w:rPr>
          <w:spacing w:val="-5"/>
        </w:rPr>
        <w:t xml:space="preserve"> </w:t>
      </w:r>
      <w:r w:rsidRPr="00EC20A0">
        <w:t>assets,</w:t>
      </w:r>
      <w:r w:rsidRPr="00EC20A0">
        <w:rPr>
          <w:spacing w:val="-5"/>
        </w:rPr>
        <w:t xml:space="preserve"> </w:t>
      </w:r>
      <w:r w:rsidRPr="00EC20A0">
        <w:t>assets</w:t>
      </w:r>
      <w:r w:rsidRPr="00EC20A0">
        <w:rPr>
          <w:spacing w:val="-5"/>
        </w:rPr>
        <w:t xml:space="preserve"> </w:t>
      </w:r>
      <w:r w:rsidRPr="00EC20A0">
        <w:t>acquired and liabilities assumed in business combinations, and assets that may have been impaired;</w:t>
      </w:r>
    </w:p>
    <w:p w14:paraId="24D5FEF2" w14:textId="77777777" w:rsidR="00245300" w:rsidRPr="00EC20A0" w:rsidRDefault="00F17249">
      <w:pPr>
        <w:pStyle w:val="ListParagraph"/>
        <w:numPr>
          <w:ilvl w:val="1"/>
          <w:numId w:val="20"/>
        </w:numPr>
        <w:tabs>
          <w:tab w:val="left" w:pos="2218"/>
        </w:tabs>
        <w:spacing w:before="239"/>
        <w:ind w:right="832" w:hanging="361"/>
      </w:pPr>
      <w:r w:rsidRPr="00EC20A0">
        <w:t>the</w:t>
      </w:r>
      <w:r w:rsidRPr="00EC20A0">
        <w:rPr>
          <w:spacing w:val="-4"/>
        </w:rPr>
        <w:t xml:space="preserve"> </w:t>
      </w:r>
      <w:r w:rsidRPr="00EC20A0">
        <w:t>actuarial</w:t>
      </w:r>
      <w:r w:rsidRPr="00EC20A0">
        <w:rPr>
          <w:spacing w:val="-5"/>
        </w:rPr>
        <w:t xml:space="preserve"> </w:t>
      </w:r>
      <w:r w:rsidRPr="00EC20A0">
        <w:t>calculation</w:t>
      </w:r>
      <w:r w:rsidRPr="00EC20A0">
        <w:rPr>
          <w:spacing w:val="-5"/>
        </w:rPr>
        <w:t xml:space="preserve"> </w:t>
      </w:r>
      <w:r w:rsidRPr="00EC20A0">
        <w:t>of</w:t>
      </w:r>
      <w:r w:rsidRPr="00EC20A0">
        <w:rPr>
          <w:spacing w:val="-4"/>
        </w:rPr>
        <w:t xml:space="preserve"> </w:t>
      </w:r>
      <w:r w:rsidRPr="00EC20A0">
        <w:t>liabilities</w:t>
      </w:r>
      <w:r w:rsidRPr="00EC20A0">
        <w:rPr>
          <w:spacing w:val="-5"/>
        </w:rPr>
        <w:t xml:space="preserve"> </w:t>
      </w:r>
      <w:r w:rsidRPr="00EC20A0">
        <w:t>associated</w:t>
      </w:r>
      <w:r w:rsidRPr="00EC20A0">
        <w:rPr>
          <w:spacing w:val="-5"/>
        </w:rPr>
        <w:t xml:space="preserve"> </w:t>
      </w:r>
      <w:r w:rsidRPr="00EC20A0">
        <w:t>with</w:t>
      </w:r>
      <w:r w:rsidRPr="00EC20A0">
        <w:rPr>
          <w:spacing w:val="-4"/>
        </w:rPr>
        <w:t xml:space="preserve"> </w:t>
      </w:r>
      <w:r w:rsidRPr="00EC20A0">
        <w:t>insurance</w:t>
      </w:r>
      <w:r w:rsidRPr="00EC20A0">
        <w:rPr>
          <w:spacing w:val="-4"/>
        </w:rPr>
        <w:t xml:space="preserve"> </w:t>
      </w:r>
      <w:r w:rsidRPr="00EC20A0">
        <w:t>contracts</w:t>
      </w:r>
      <w:r w:rsidRPr="00EC20A0">
        <w:rPr>
          <w:spacing w:val="-5"/>
        </w:rPr>
        <w:t xml:space="preserve"> </w:t>
      </w:r>
      <w:r w:rsidRPr="00EC20A0">
        <w:t>or employee benefit plans;</w:t>
      </w:r>
    </w:p>
    <w:p w14:paraId="24D5FEF3" w14:textId="77777777" w:rsidR="00245300" w:rsidRPr="00EC20A0" w:rsidRDefault="00F17249">
      <w:pPr>
        <w:pStyle w:val="ListParagraph"/>
        <w:numPr>
          <w:ilvl w:val="1"/>
          <w:numId w:val="20"/>
        </w:numPr>
        <w:tabs>
          <w:tab w:val="left" w:pos="2218"/>
        </w:tabs>
        <w:spacing w:before="238"/>
      </w:pPr>
      <w:r w:rsidRPr="00EC20A0">
        <w:t>the</w:t>
      </w:r>
      <w:r w:rsidRPr="00EC20A0">
        <w:rPr>
          <w:spacing w:val="-6"/>
        </w:rPr>
        <w:t xml:space="preserve"> </w:t>
      </w:r>
      <w:r w:rsidRPr="00EC20A0">
        <w:t>estimation</w:t>
      </w:r>
      <w:r w:rsidRPr="00EC20A0">
        <w:rPr>
          <w:spacing w:val="-5"/>
        </w:rPr>
        <w:t xml:space="preserve"> </w:t>
      </w:r>
      <w:r w:rsidRPr="00EC20A0">
        <w:t>of</w:t>
      </w:r>
      <w:r w:rsidRPr="00EC20A0">
        <w:rPr>
          <w:spacing w:val="-5"/>
        </w:rPr>
        <w:t xml:space="preserve"> </w:t>
      </w:r>
      <w:r w:rsidRPr="00EC20A0">
        <w:t>oil</w:t>
      </w:r>
      <w:r w:rsidRPr="00EC20A0">
        <w:rPr>
          <w:spacing w:val="-5"/>
        </w:rPr>
        <w:t xml:space="preserve"> </w:t>
      </w:r>
      <w:r w:rsidRPr="00EC20A0">
        <w:t>and</w:t>
      </w:r>
      <w:r w:rsidRPr="00EC20A0">
        <w:rPr>
          <w:spacing w:val="-6"/>
        </w:rPr>
        <w:t xml:space="preserve"> </w:t>
      </w:r>
      <w:r w:rsidRPr="00EC20A0">
        <w:t>other</w:t>
      </w:r>
      <w:r w:rsidRPr="00EC20A0">
        <w:rPr>
          <w:spacing w:val="-5"/>
        </w:rPr>
        <w:t xml:space="preserve"> </w:t>
      </w:r>
      <w:r w:rsidRPr="00EC20A0">
        <w:t>mineral</w:t>
      </w:r>
      <w:r w:rsidRPr="00EC20A0">
        <w:rPr>
          <w:spacing w:val="-6"/>
        </w:rPr>
        <w:t xml:space="preserve"> </w:t>
      </w:r>
      <w:r w:rsidRPr="00EC20A0">
        <w:rPr>
          <w:spacing w:val="-2"/>
        </w:rPr>
        <w:t>reserves;</w:t>
      </w:r>
    </w:p>
    <w:p w14:paraId="24D5FEF4" w14:textId="77777777" w:rsidR="00245300" w:rsidRPr="00EC20A0" w:rsidRDefault="00F17249">
      <w:pPr>
        <w:pStyle w:val="ListParagraph"/>
        <w:numPr>
          <w:ilvl w:val="1"/>
          <w:numId w:val="20"/>
        </w:numPr>
        <w:tabs>
          <w:tab w:val="left" w:pos="2218"/>
        </w:tabs>
        <w:spacing w:before="238"/>
      </w:pPr>
      <w:r w:rsidRPr="00EC20A0">
        <w:t>the</w:t>
      </w:r>
      <w:r w:rsidRPr="00EC20A0">
        <w:rPr>
          <w:spacing w:val="-7"/>
        </w:rPr>
        <w:t xml:space="preserve"> </w:t>
      </w:r>
      <w:r w:rsidRPr="00EC20A0">
        <w:t>valuation</w:t>
      </w:r>
      <w:r w:rsidRPr="00EC20A0">
        <w:rPr>
          <w:spacing w:val="-7"/>
        </w:rPr>
        <w:t xml:space="preserve"> </w:t>
      </w:r>
      <w:r w:rsidRPr="00EC20A0">
        <w:t>of</w:t>
      </w:r>
      <w:r w:rsidRPr="00EC20A0">
        <w:rPr>
          <w:spacing w:val="-7"/>
        </w:rPr>
        <w:t xml:space="preserve"> </w:t>
      </w:r>
      <w:r w:rsidRPr="00EC20A0">
        <w:t>environmental</w:t>
      </w:r>
      <w:r w:rsidRPr="00EC20A0">
        <w:rPr>
          <w:spacing w:val="-7"/>
        </w:rPr>
        <w:t xml:space="preserve"> </w:t>
      </w:r>
      <w:r w:rsidRPr="00EC20A0">
        <w:t>liabilities</w:t>
      </w:r>
      <w:r w:rsidRPr="00EC20A0">
        <w:rPr>
          <w:spacing w:val="-7"/>
        </w:rPr>
        <w:t xml:space="preserve"> </w:t>
      </w:r>
      <w:r w:rsidRPr="00EC20A0">
        <w:t>and</w:t>
      </w:r>
      <w:r w:rsidRPr="00EC20A0">
        <w:rPr>
          <w:spacing w:val="-7"/>
        </w:rPr>
        <w:t xml:space="preserve"> </w:t>
      </w:r>
      <w:r w:rsidRPr="00EC20A0">
        <w:t>site</w:t>
      </w:r>
      <w:r w:rsidRPr="00EC20A0">
        <w:rPr>
          <w:spacing w:val="-8"/>
        </w:rPr>
        <w:t xml:space="preserve"> </w:t>
      </w:r>
      <w:r w:rsidRPr="00EC20A0">
        <w:t>cleanup</w:t>
      </w:r>
      <w:r w:rsidRPr="00EC20A0">
        <w:rPr>
          <w:spacing w:val="-7"/>
        </w:rPr>
        <w:t xml:space="preserve"> </w:t>
      </w:r>
      <w:r w:rsidRPr="00EC20A0">
        <w:rPr>
          <w:spacing w:val="-2"/>
        </w:rPr>
        <w:t>costs;</w:t>
      </w:r>
    </w:p>
    <w:p w14:paraId="24D5FEF5" w14:textId="77777777" w:rsidR="00245300" w:rsidRPr="00EC20A0" w:rsidRDefault="00F17249">
      <w:pPr>
        <w:pStyle w:val="ListParagraph"/>
        <w:numPr>
          <w:ilvl w:val="1"/>
          <w:numId w:val="20"/>
        </w:numPr>
        <w:tabs>
          <w:tab w:val="left" w:pos="2218"/>
        </w:tabs>
        <w:spacing w:before="238"/>
      </w:pPr>
      <w:r w:rsidRPr="00EC20A0">
        <w:t>the</w:t>
      </w:r>
      <w:r w:rsidRPr="00EC20A0">
        <w:rPr>
          <w:spacing w:val="-8"/>
        </w:rPr>
        <w:t xml:space="preserve"> </w:t>
      </w:r>
      <w:r w:rsidRPr="00EC20A0">
        <w:t>interpretation</w:t>
      </w:r>
      <w:r w:rsidRPr="00EC20A0">
        <w:rPr>
          <w:spacing w:val="-7"/>
        </w:rPr>
        <w:t xml:space="preserve"> </w:t>
      </w:r>
      <w:r w:rsidRPr="00EC20A0">
        <w:t>of</w:t>
      </w:r>
      <w:r w:rsidRPr="00EC20A0">
        <w:rPr>
          <w:spacing w:val="-7"/>
        </w:rPr>
        <w:t xml:space="preserve"> </w:t>
      </w:r>
      <w:r w:rsidRPr="00EC20A0">
        <w:t>laws,</w:t>
      </w:r>
      <w:r w:rsidRPr="00EC20A0">
        <w:rPr>
          <w:spacing w:val="-8"/>
        </w:rPr>
        <w:t xml:space="preserve"> </w:t>
      </w:r>
      <w:r w:rsidRPr="00EC20A0">
        <w:t>regulations,</w:t>
      </w:r>
      <w:r w:rsidRPr="00EC20A0">
        <w:rPr>
          <w:spacing w:val="-7"/>
        </w:rPr>
        <w:t xml:space="preserve"> </w:t>
      </w:r>
      <w:r w:rsidRPr="00EC20A0">
        <w:t>contracts,</w:t>
      </w:r>
      <w:r w:rsidRPr="00EC20A0">
        <w:rPr>
          <w:spacing w:val="-9"/>
        </w:rPr>
        <w:t xml:space="preserve"> </w:t>
      </w:r>
      <w:r w:rsidRPr="00EC20A0">
        <w:t>and</w:t>
      </w:r>
      <w:r w:rsidRPr="00EC20A0">
        <w:rPr>
          <w:spacing w:val="-8"/>
        </w:rPr>
        <w:t xml:space="preserve"> </w:t>
      </w:r>
      <w:r w:rsidRPr="00EC20A0">
        <w:t>grant</w:t>
      </w:r>
      <w:r w:rsidRPr="00EC20A0">
        <w:rPr>
          <w:spacing w:val="-7"/>
        </w:rPr>
        <w:t xml:space="preserve"> </w:t>
      </w:r>
      <w:r w:rsidRPr="00EC20A0">
        <w:rPr>
          <w:spacing w:val="-2"/>
        </w:rPr>
        <w:t>agreements;</w:t>
      </w:r>
    </w:p>
    <w:p w14:paraId="24D5FEF6" w14:textId="77777777" w:rsidR="00245300" w:rsidRPr="00EC20A0" w:rsidRDefault="00F17249">
      <w:pPr>
        <w:pStyle w:val="ListParagraph"/>
        <w:numPr>
          <w:ilvl w:val="1"/>
          <w:numId w:val="20"/>
        </w:numPr>
        <w:tabs>
          <w:tab w:val="left" w:pos="2218"/>
        </w:tabs>
        <w:spacing w:before="238"/>
      </w:pPr>
      <w:r w:rsidRPr="00EC20A0">
        <w:t>the</w:t>
      </w:r>
      <w:r w:rsidRPr="00EC20A0">
        <w:rPr>
          <w:spacing w:val="-7"/>
        </w:rPr>
        <w:t xml:space="preserve"> </w:t>
      </w:r>
      <w:r w:rsidRPr="00EC20A0">
        <w:t>analysis</w:t>
      </w:r>
      <w:r w:rsidRPr="00EC20A0">
        <w:rPr>
          <w:spacing w:val="-7"/>
        </w:rPr>
        <w:t xml:space="preserve"> </w:t>
      </w:r>
      <w:r w:rsidRPr="00EC20A0">
        <w:t>of</w:t>
      </w:r>
      <w:r w:rsidRPr="00EC20A0">
        <w:rPr>
          <w:spacing w:val="-6"/>
        </w:rPr>
        <w:t xml:space="preserve"> </w:t>
      </w:r>
      <w:r w:rsidRPr="00EC20A0">
        <w:t>complex</w:t>
      </w:r>
      <w:r w:rsidRPr="00EC20A0">
        <w:rPr>
          <w:spacing w:val="-7"/>
        </w:rPr>
        <w:t xml:space="preserve"> </w:t>
      </w:r>
      <w:r w:rsidRPr="00EC20A0">
        <w:t>or</w:t>
      </w:r>
      <w:r w:rsidRPr="00EC20A0">
        <w:rPr>
          <w:spacing w:val="-7"/>
        </w:rPr>
        <w:t xml:space="preserve"> </w:t>
      </w:r>
      <w:r w:rsidRPr="00EC20A0">
        <w:t>unusual</w:t>
      </w:r>
      <w:r w:rsidRPr="00EC20A0">
        <w:rPr>
          <w:spacing w:val="-6"/>
        </w:rPr>
        <w:t xml:space="preserve"> </w:t>
      </w:r>
      <w:r w:rsidRPr="00EC20A0">
        <w:t>tax</w:t>
      </w:r>
      <w:r w:rsidRPr="00EC20A0">
        <w:rPr>
          <w:spacing w:val="-6"/>
        </w:rPr>
        <w:t xml:space="preserve"> </w:t>
      </w:r>
      <w:r w:rsidRPr="00EC20A0">
        <w:t>compliance</w:t>
      </w:r>
      <w:r w:rsidRPr="00EC20A0">
        <w:rPr>
          <w:spacing w:val="-6"/>
        </w:rPr>
        <w:t xml:space="preserve"> </w:t>
      </w:r>
      <w:r w:rsidRPr="00EC20A0">
        <w:rPr>
          <w:spacing w:val="-2"/>
        </w:rPr>
        <w:t>issues;</w:t>
      </w:r>
    </w:p>
    <w:p w14:paraId="24D5FEF7" w14:textId="77777777" w:rsidR="00245300" w:rsidRPr="00EC20A0" w:rsidRDefault="00F17249">
      <w:pPr>
        <w:pStyle w:val="ListParagraph"/>
        <w:numPr>
          <w:ilvl w:val="1"/>
          <w:numId w:val="20"/>
        </w:numPr>
        <w:tabs>
          <w:tab w:val="left" w:pos="2219"/>
        </w:tabs>
        <w:spacing w:before="239"/>
        <w:ind w:left="2219" w:right="548"/>
      </w:pPr>
      <w:r w:rsidRPr="00EC20A0">
        <w:t xml:space="preserve">the determination of </w:t>
      </w:r>
      <w:r w:rsidRPr="00EC20A0">
        <w:t>physical characteristics relating to quantity on hand or condition</w:t>
      </w:r>
      <w:r w:rsidRPr="00EC20A0">
        <w:rPr>
          <w:spacing w:val="-4"/>
        </w:rPr>
        <w:t xml:space="preserve"> </w:t>
      </w:r>
      <w:r w:rsidRPr="00EC20A0">
        <w:t>(for</w:t>
      </w:r>
      <w:r w:rsidRPr="00EC20A0">
        <w:rPr>
          <w:spacing w:val="-4"/>
        </w:rPr>
        <w:t xml:space="preserve"> </w:t>
      </w:r>
      <w:r w:rsidRPr="00EC20A0">
        <w:t>example,</w:t>
      </w:r>
      <w:r w:rsidRPr="00EC20A0">
        <w:rPr>
          <w:spacing w:val="-4"/>
        </w:rPr>
        <w:t xml:space="preserve"> </w:t>
      </w:r>
      <w:r w:rsidRPr="00EC20A0">
        <w:t>quantity</w:t>
      </w:r>
      <w:r w:rsidRPr="00EC20A0">
        <w:rPr>
          <w:spacing w:val="-4"/>
        </w:rPr>
        <w:t xml:space="preserve"> </w:t>
      </w:r>
      <w:r w:rsidRPr="00EC20A0">
        <w:t>or</w:t>
      </w:r>
      <w:r w:rsidRPr="00EC20A0">
        <w:rPr>
          <w:spacing w:val="-4"/>
        </w:rPr>
        <w:t xml:space="preserve"> </w:t>
      </w:r>
      <w:r w:rsidRPr="00EC20A0">
        <w:t>condition</w:t>
      </w:r>
      <w:r w:rsidRPr="00EC20A0">
        <w:rPr>
          <w:spacing w:val="-4"/>
        </w:rPr>
        <w:t xml:space="preserve"> </w:t>
      </w:r>
      <w:r w:rsidRPr="00EC20A0">
        <w:t>of</w:t>
      </w:r>
      <w:r w:rsidRPr="00EC20A0">
        <w:rPr>
          <w:spacing w:val="-4"/>
        </w:rPr>
        <w:t xml:space="preserve"> </w:t>
      </w:r>
      <w:r w:rsidRPr="00EC20A0">
        <w:t>minerals</w:t>
      </w:r>
      <w:r w:rsidRPr="00EC20A0">
        <w:rPr>
          <w:spacing w:val="-4"/>
        </w:rPr>
        <w:t xml:space="preserve"> </w:t>
      </w:r>
      <w:r w:rsidRPr="00EC20A0">
        <w:t>or</w:t>
      </w:r>
      <w:r w:rsidRPr="00EC20A0">
        <w:rPr>
          <w:spacing w:val="-4"/>
        </w:rPr>
        <w:t xml:space="preserve"> </w:t>
      </w:r>
      <w:r w:rsidRPr="00EC20A0">
        <w:t>materials</w:t>
      </w:r>
      <w:r w:rsidRPr="00EC20A0">
        <w:rPr>
          <w:spacing w:val="-4"/>
        </w:rPr>
        <w:t xml:space="preserve"> </w:t>
      </w:r>
      <w:r w:rsidRPr="00EC20A0">
        <w:t>stored</w:t>
      </w:r>
      <w:r w:rsidRPr="00EC20A0">
        <w:rPr>
          <w:spacing w:val="-4"/>
        </w:rPr>
        <w:t xml:space="preserve"> </w:t>
      </w:r>
      <w:r w:rsidRPr="00EC20A0">
        <w:t xml:space="preserve">in </w:t>
      </w:r>
      <w:r w:rsidRPr="00EC20A0">
        <w:rPr>
          <w:spacing w:val="-2"/>
        </w:rPr>
        <w:t>stockpiles);</w:t>
      </w:r>
    </w:p>
    <w:p w14:paraId="24D5FEF8" w14:textId="77777777" w:rsidR="00245300" w:rsidRPr="00EC20A0" w:rsidRDefault="00F17249">
      <w:pPr>
        <w:pStyle w:val="ListParagraph"/>
        <w:numPr>
          <w:ilvl w:val="1"/>
          <w:numId w:val="20"/>
        </w:numPr>
        <w:tabs>
          <w:tab w:val="left" w:pos="2219"/>
        </w:tabs>
        <w:spacing w:before="238"/>
        <w:ind w:left="2219" w:right="647"/>
      </w:pPr>
      <w:r w:rsidRPr="00EC20A0">
        <w:t>the</w:t>
      </w:r>
      <w:r w:rsidRPr="00EC20A0">
        <w:rPr>
          <w:spacing w:val="-3"/>
        </w:rPr>
        <w:t xml:space="preserve"> </w:t>
      </w:r>
      <w:r w:rsidRPr="00EC20A0">
        <w:t>analysis</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effect</w:t>
      </w:r>
      <w:r w:rsidRPr="00EC20A0">
        <w:rPr>
          <w:spacing w:val="-4"/>
        </w:rPr>
        <w:t xml:space="preserve"> </w:t>
      </w:r>
      <w:r w:rsidRPr="00EC20A0">
        <w:t>of</w:t>
      </w:r>
      <w:r w:rsidRPr="00EC20A0">
        <w:rPr>
          <w:spacing w:val="-3"/>
        </w:rPr>
        <w:t xml:space="preserve"> </w:t>
      </w:r>
      <w:r w:rsidRPr="00EC20A0">
        <w:t>information</w:t>
      </w:r>
      <w:r w:rsidRPr="00EC20A0">
        <w:rPr>
          <w:spacing w:val="-3"/>
        </w:rPr>
        <w:t xml:space="preserve"> </w:t>
      </w:r>
      <w:r w:rsidRPr="00EC20A0">
        <w:t>system</w:t>
      </w:r>
      <w:r w:rsidRPr="00EC20A0">
        <w:rPr>
          <w:spacing w:val="-4"/>
        </w:rPr>
        <w:t xml:space="preserve"> </w:t>
      </w:r>
      <w:r w:rsidRPr="00EC20A0">
        <w:t>(IS)</w:t>
      </w:r>
      <w:r w:rsidRPr="00EC20A0">
        <w:rPr>
          <w:spacing w:val="-3"/>
        </w:rPr>
        <w:t xml:space="preserve"> </w:t>
      </w:r>
      <w:r w:rsidRPr="00EC20A0">
        <w:t>controls</w:t>
      </w:r>
      <w:r w:rsidRPr="00EC20A0">
        <w:rPr>
          <w:spacing w:val="-3"/>
        </w:rPr>
        <w:t xml:space="preserve"> </w:t>
      </w:r>
      <w:r w:rsidRPr="00EC20A0">
        <w:t>on</w:t>
      </w:r>
      <w:r w:rsidRPr="00EC20A0">
        <w:rPr>
          <w:spacing w:val="-4"/>
        </w:rPr>
        <w:t xml:space="preserve"> </w:t>
      </w:r>
      <w:r w:rsidRPr="00EC20A0">
        <w:t>the</w:t>
      </w:r>
      <w:r w:rsidRPr="00EC20A0">
        <w:rPr>
          <w:spacing w:val="-3"/>
        </w:rPr>
        <w:t xml:space="preserve"> </w:t>
      </w:r>
      <w:r w:rsidRPr="00EC20A0">
        <w:t>audit</w:t>
      </w:r>
      <w:r w:rsidRPr="00EC20A0">
        <w:rPr>
          <w:spacing w:val="-3"/>
        </w:rPr>
        <w:t xml:space="preserve"> </w:t>
      </w:r>
      <w:r w:rsidRPr="00EC20A0">
        <w:t xml:space="preserve">and the </w:t>
      </w:r>
      <w:r w:rsidRPr="00EC20A0">
        <w:t>understanding and evaluation of IS controls (AU-C 300.A18); and</w:t>
      </w:r>
    </w:p>
    <w:p w14:paraId="24D5FEF9" w14:textId="77777777" w:rsidR="00245300" w:rsidRPr="00EC20A0" w:rsidRDefault="00F17249">
      <w:pPr>
        <w:pStyle w:val="ListParagraph"/>
        <w:numPr>
          <w:ilvl w:val="1"/>
          <w:numId w:val="20"/>
        </w:numPr>
        <w:tabs>
          <w:tab w:val="left" w:pos="2219"/>
        </w:tabs>
        <w:spacing w:before="238"/>
        <w:ind w:left="2219"/>
      </w:pPr>
      <w:r w:rsidRPr="00EC20A0">
        <w:t>statistical</w:t>
      </w:r>
      <w:r w:rsidRPr="00EC20A0">
        <w:rPr>
          <w:spacing w:val="-11"/>
        </w:rPr>
        <w:t xml:space="preserve"> </w:t>
      </w:r>
      <w:r w:rsidRPr="00EC20A0">
        <w:rPr>
          <w:spacing w:val="-2"/>
        </w:rPr>
        <w:t>analysis.</w:t>
      </w:r>
    </w:p>
    <w:p w14:paraId="24D5FEFA" w14:textId="77777777" w:rsidR="00245300" w:rsidRPr="00EC20A0" w:rsidRDefault="00F17249">
      <w:pPr>
        <w:pStyle w:val="ListParagraph"/>
        <w:numPr>
          <w:ilvl w:val="0"/>
          <w:numId w:val="20"/>
        </w:numPr>
        <w:tabs>
          <w:tab w:val="left" w:pos="1859"/>
        </w:tabs>
        <w:spacing w:before="239"/>
        <w:ind w:right="1033" w:hanging="720"/>
      </w:pPr>
      <w:r w:rsidRPr="00EC20A0">
        <w:t>The</w:t>
      </w:r>
      <w:r w:rsidRPr="00EC20A0">
        <w:rPr>
          <w:spacing w:val="-4"/>
        </w:rPr>
        <w:t xml:space="preserve"> </w:t>
      </w:r>
      <w:r w:rsidRPr="00EC20A0">
        <w:t>following</w:t>
      </w:r>
      <w:r w:rsidRPr="00EC20A0">
        <w:rPr>
          <w:spacing w:val="-4"/>
        </w:rPr>
        <w:t xml:space="preserve"> </w:t>
      </w:r>
      <w:r w:rsidRPr="00EC20A0">
        <w:t>are</w:t>
      </w:r>
      <w:r w:rsidRPr="00EC20A0">
        <w:rPr>
          <w:spacing w:val="-4"/>
        </w:rPr>
        <w:t xml:space="preserve"> </w:t>
      </w:r>
      <w:r w:rsidRPr="00EC20A0">
        <w:t>examples</w:t>
      </w:r>
      <w:r w:rsidRPr="00EC20A0">
        <w:rPr>
          <w:spacing w:val="-4"/>
        </w:rPr>
        <w:t xml:space="preserve"> </w:t>
      </w:r>
      <w:r w:rsidRPr="00EC20A0">
        <w:t>of</w:t>
      </w:r>
      <w:r w:rsidRPr="00EC20A0">
        <w:rPr>
          <w:spacing w:val="-4"/>
        </w:rPr>
        <w:t xml:space="preserve"> </w:t>
      </w:r>
      <w:r w:rsidRPr="00EC20A0">
        <w:t>positions</w:t>
      </w:r>
      <w:r w:rsidRPr="00EC20A0">
        <w:rPr>
          <w:spacing w:val="-4"/>
        </w:rPr>
        <w:t xml:space="preserve"> </w:t>
      </w:r>
      <w:r w:rsidRPr="00EC20A0">
        <w:t>that</w:t>
      </w:r>
      <w:r w:rsidRPr="00EC20A0">
        <w:rPr>
          <w:spacing w:val="-4"/>
        </w:rPr>
        <w:t xml:space="preserve"> </w:t>
      </w:r>
      <w:r w:rsidRPr="00EC20A0">
        <w:t>generally</w:t>
      </w:r>
      <w:r w:rsidRPr="00EC20A0">
        <w:rPr>
          <w:spacing w:val="-4"/>
        </w:rPr>
        <w:t xml:space="preserve"> </w:t>
      </w:r>
      <w:r w:rsidRPr="00EC20A0">
        <w:t>should</w:t>
      </w:r>
      <w:r w:rsidRPr="00EC20A0">
        <w:rPr>
          <w:spacing w:val="-5"/>
        </w:rPr>
        <w:t xml:space="preserve"> </w:t>
      </w:r>
      <w:r w:rsidRPr="00EC20A0">
        <w:t>be</w:t>
      </w:r>
      <w:r w:rsidRPr="00EC20A0">
        <w:rPr>
          <w:spacing w:val="-4"/>
        </w:rPr>
        <w:t xml:space="preserve"> </w:t>
      </w:r>
      <w:r w:rsidRPr="00EC20A0">
        <w:t>considered auditor’s specialists:</w:t>
      </w:r>
    </w:p>
    <w:p w14:paraId="24D5FEFB" w14:textId="77777777" w:rsidR="00245300" w:rsidRPr="00EC20A0" w:rsidRDefault="00245300">
      <w:pPr>
        <w:sectPr w:rsidR="00245300" w:rsidRPr="00EC20A0">
          <w:headerReference w:type="default" r:id="rId24"/>
          <w:footerReference w:type="default" r:id="rId25"/>
          <w:pgSz w:w="12240" w:h="15840"/>
          <w:pgMar w:top="1340" w:right="940" w:bottom="940" w:left="1020" w:header="721" w:footer="757" w:gutter="0"/>
          <w:pgNumType w:start="1"/>
          <w:cols w:space="720"/>
        </w:sectPr>
      </w:pPr>
    </w:p>
    <w:p w14:paraId="24D5FEFC" w14:textId="77777777" w:rsidR="00245300" w:rsidRPr="00EC20A0" w:rsidRDefault="00F17249">
      <w:pPr>
        <w:pStyle w:val="ListParagraph"/>
        <w:numPr>
          <w:ilvl w:val="1"/>
          <w:numId w:val="20"/>
        </w:numPr>
        <w:tabs>
          <w:tab w:val="left" w:pos="2219"/>
        </w:tabs>
        <w:spacing w:before="121"/>
        <w:ind w:left="2219" w:hanging="359"/>
      </w:pPr>
      <w:r w:rsidRPr="00EC20A0">
        <w:t>statistician</w:t>
      </w:r>
      <w:r w:rsidRPr="00EC20A0">
        <w:rPr>
          <w:spacing w:val="-9"/>
        </w:rPr>
        <w:t xml:space="preserve"> </w:t>
      </w:r>
      <w:r w:rsidRPr="00EC20A0">
        <w:t>(with</w:t>
      </w:r>
      <w:r w:rsidRPr="00EC20A0">
        <w:rPr>
          <w:spacing w:val="-8"/>
        </w:rPr>
        <w:t xml:space="preserve"> </w:t>
      </w:r>
      <w:r w:rsidRPr="00EC20A0">
        <w:t>audit</w:t>
      </w:r>
      <w:r w:rsidRPr="00EC20A0">
        <w:rPr>
          <w:spacing w:val="-9"/>
        </w:rPr>
        <w:t xml:space="preserve"> </w:t>
      </w:r>
      <w:r w:rsidRPr="00EC20A0">
        <w:t>sampling</w:t>
      </w:r>
      <w:r w:rsidRPr="00EC20A0">
        <w:rPr>
          <w:spacing w:val="-8"/>
        </w:rPr>
        <w:t xml:space="preserve"> </w:t>
      </w:r>
      <w:r w:rsidRPr="00EC20A0">
        <w:rPr>
          <w:spacing w:val="-2"/>
        </w:rPr>
        <w:t>experience),</w:t>
      </w:r>
    </w:p>
    <w:p w14:paraId="24D5FEFD" w14:textId="77777777" w:rsidR="00245300" w:rsidRPr="00EC20A0" w:rsidRDefault="00F17249">
      <w:pPr>
        <w:pStyle w:val="ListParagraph"/>
        <w:numPr>
          <w:ilvl w:val="1"/>
          <w:numId w:val="20"/>
        </w:numPr>
        <w:tabs>
          <w:tab w:val="left" w:pos="2219"/>
        </w:tabs>
        <w:spacing w:before="237"/>
        <w:ind w:left="2219"/>
      </w:pPr>
      <w:r w:rsidRPr="00EC20A0">
        <w:t>audit</w:t>
      </w:r>
      <w:r w:rsidRPr="00EC20A0">
        <w:rPr>
          <w:spacing w:val="-8"/>
        </w:rPr>
        <w:t xml:space="preserve"> </w:t>
      </w:r>
      <w:r w:rsidRPr="00EC20A0">
        <w:t>sampling</w:t>
      </w:r>
      <w:r w:rsidRPr="00EC20A0">
        <w:rPr>
          <w:spacing w:val="-8"/>
        </w:rPr>
        <w:t xml:space="preserve"> </w:t>
      </w:r>
      <w:r w:rsidRPr="00EC20A0">
        <w:rPr>
          <w:spacing w:val="-2"/>
        </w:rPr>
        <w:t>specialist,</w:t>
      </w:r>
    </w:p>
    <w:p w14:paraId="24D5FEFE" w14:textId="77777777" w:rsidR="00245300" w:rsidRPr="00EC20A0" w:rsidRDefault="00F17249">
      <w:pPr>
        <w:pStyle w:val="ListParagraph"/>
        <w:numPr>
          <w:ilvl w:val="1"/>
          <w:numId w:val="20"/>
        </w:numPr>
        <w:tabs>
          <w:tab w:val="left" w:pos="2219"/>
        </w:tabs>
        <w:spacing w:before="238"/>
        <w:ind w:left="2219"/>
      </w:pPr>
      <w:r w:rsidRPr="00EC20A0">
        <w:t>legal</w:t>
      </w:r>
      <w:r w:rsidRPr="00EC20A0">
        <w:rPr>
          <w:spacing w:val="-5"/>
        </w:rPr>
        <w:t xml:space="preserve"> </w:t>
      </w:r>
      <w:r w:rsidRPr="00EC20A0">
        <w:rPr>
          <w:spacing w:val="-2"/>
        </w:rPr>
        <w:t>counsel,</w:t>
      </w:r>
    </w:p>
    <w:p w14:paraId="24D5FEFF" w14:textId="77777777" w:rsidR="00245300" w:rsidRPr="00EC20A0" w:rsidRDefault="00F17249">
      <w:pPr>
        <w:pStyle w:val="ListParagraph"/>
        <w:numPr>
          <w:ilvl w:val="1"/>
          <w:numId w:val="20"/>
        </w:numPr>
        <w:tabs>
          <w:tab w:val="left" w:pos="2219"/>
        </w:tabs>
        <w:spacing w:before="238"/>
        <w:ind w:left="2219"/>
        <w:rPr>
          <w:sz w:val="14"/>
        </w:rPr>
      </w:pPr>
      <w:r w:rsidRPr="00EC20A0">
        <w:t>information</w:t>
      </w:r>
      <w:r w:rsidRPr="00EC20A0">
        <w:rPr>
          <w:spacing w:val="-12"/>
        </w:rPr>
        <w:t xml:space="preserve"> </w:t>
      </w:r>
      <w:r w:rsidRPr="00EC20A0">
        <w:t>technology</w:t>
      </w:r>
      <w:r w:rsidRPr="00EC20A0">
        <w:rPr>
          <w:spacing w:val="-12"/>
        </w:rPr>
        <w:t xml:space="preserve"> </w:t>
      </w:r>
      <w:r w:rsidRPr="00EC20A0">
        <w:rPr>
          <w:spacing w:val="-2"/>
        </w:rPr>
        <w:t>specialist,</w:t>
      </w:r>
      <w:hyperlink w:anchor="_bookmark11" w:history="1">
        <w:r w:rsidRPr="00EC20A0">
          <w:rPr>
            <w:spacing w:val="-2"/>
            <w:position w:val="7"/>
            <w:sz w:val="14"/>
          </w:rPr>
          <w:t>8</w:t>
        </w:r>
      </w:hyperlink>
    </w:p>
    <w:p w14:paraId="24D5FF00" w14:textId="77777777" w:rsidR="00245300" w:rsidRPr="00EC20A0" w:rsidRDefault="00F17249">
      <w:pPr>
        <w:pStyle w:val="ListParagraph"/>
        <w:numPr>
          <w:ilvl w:val="1"/>
          <w:numId w:val="20"/>
        </w:numPr>
        <w:tabs>
          <w:tab w:val="left" w:pos="2220"/>
        </w:tabs>
        <w:ind w:left="2220"/>
      </w:pPr>
      <w:r w:rsidRPr="00EC20A0">
        <w:t>actuary</w:t>
      </w:r>
      <w:r w:rsidRPr="00EC20A0">
        <w:rPr>
          <w:spacing w:val="-7"/>
        </w:rPr>
        <w:t xml:space="preserve"> </w:t>
      </w:r>
      <w:r w:rsidRPr="00EC20A0">
        <w:t>(for</w:t>
      </w:r>
      <w:r w:rsidRPr="00EC20A0">
        <w:rPr>
          <w:spacing w:val="-7"/>
        </w:rPr>
        <w:t xml:space="preserve"> </w:t>
      </w:r>
      <w:r w:rsidRPr="00EC20A0">
        <w:t>insurance</w:t>
      </w:r>
      <w:r w:rsidRPr="00EC20A0">
        <w:rPr>
          <w:spacing w:val="-7"/>
        </w:rPr>
        <w:t xml:space="preserve"> </w:t>
      </w:r>
      <w:r w:rsidRPr="00EC20A0">
        <w:t>and</w:t>
      </w:r>
      <w:r w:rsidRPr="00EC20A0">
        <w:rPr>
          <w:spacing w:val="-6"/>
        </w:rPr>
        <w:t xml:space="preserve"> </w:t>
      </w:r>
      <w:r w:rsidRPr="00EC20A0">
        <w:t>pension</w:t>
      </w:r>
      <w:r w:rsidRPr="00EC20A0">
        <w:rPr>
          <w:spacing w:val="-7"/>
        </w:rPr>
        <w:t xml:space="preserve"> </w:t>
      </w:r>
      <w:r w:rsidRPr="00EC20A0">
        <w:rPr>
          <w:spacing w:val="-2"/>
        </w:rPr>
        <w:t>audits),</w:t>
      </w:r>
    </w:p>
    <w:p w14:paraId="24D5FF01" w14:textId="77777777" w:rsidR="00245300" w:rsidRPr="00EC20A0" w:rsidRDefault="00F17249">
      <w:pPr>
        <w:pStyle w:val="ListParagraph"/>
        <w:numPr>
          <w:ilvl w:val="1"/>
          <w:numId w:val="20"/>
        </w:numPr>
        <w:tabs>
          <w:tab w:val="left" w:pos="2220"/>
        </w:tabs>
        <w:spacing w:before="238"/>
        <w:ind w:left="2220"/>
      </w:pPr>
      <w:r w:rsidRPr="00EC20A0">
        <w:rPr>
          <w:spacing w:val="-2"/>
        </w:rPr>
        <w:t>economist,</w:t>
      </w:r>
    </w:p>
    <w:p w14:paraId="24D5FF02" w14:textId="77777777" w:rsidR="00245300" w:rsidRPr="00EC20A0" w:rsidRDefault="00F17249">
      <w:pPr>
        <w:pStyle w:val="ListParagraph"/>
        <w:numPr>
          <w:ilvl w:val="1"/>
          <w:numId w:val="20"/>
        </w:numPr>
        <w:tabs>
          <w:tab w:val="left" w:pos="2219"/>
        </w:tabs>
        <w:spacing w:before="238"/>
        <w:ind w:left="2219"/>
      </w:pPr>
      <w:r w:rsidRPr="00EC20A0">
        <w:t>financial</w:t>
      </w:r>
      <w:r w:rsidRPr="00EC20A0">
        <w:rPr>
          <w:spacing w:val="-9"/>
        </w:rPr>
        <w:t xml:space="preserve"> </w:t>
      </w:r>
      <w:r w:rsidRPr="00EC20A0">
        <w:t>analyst,</w:t>
      </w:r>
      <w:r w:rsidRPr="00EC20A0">
        <w:rPr>
          <w:spacing w:val="-9"/>
        </w:rPr>
        <w:t xml:space="preserve"> </w:t>
      </w:r>
      <w:r w:rsidRPr="00EC20A0">
        <w:rPr>
          <w:spacing w:val="-5"/>
        </w:rPr>
        <w:t>and</w:t>
      </w:r>
    </w:p>
    <w:p w14:paraId="24D5FF03" w14:textId="77777777" w:rsidR="00245300" w:rsidRPr="00EC20A0" w:rsidRDefault="00F17249">
      <w:pPr>
        <w:pStyle w:val="ListParagraph"/>
        <w:numPr>
          <w:ilvl w:val="1"/>
          <w:numId w:val="20"/>
        </w:numPr>
        <w:tabs>
          <w:tab w:val="left" w:pos="2219"/>
        </w:tabs>
        <w:spacing w:before="238"/>
        <w:ind w:left="2219"/>
      </w:pPr>
      <w:r w:rsidRPr="00EC20A0">
        <w:t>environmental</w:t>
      </w:r>
      <w:r w:rsidRPr="00EC20A0">
        <w:rPr>
          <w:spacing w:val="-15"/>
        </w:rPr>
        <w:t xml:space="preserve"> </w:t>
      </w:r>
      <w:r w:rsidRPr="00EC20A0">
        <w:rPr>
          <w:spacing w:val="-2"/>
        </w:rPr>
        <w:t>specialist.</w:t>
      </w:r>
    </w:p>
    <w:p w14:paraId="24D5FF04" w14:textId="77777777" w:rsidR="00245300" w:rsidRPr="00EC20A0" w:rsidRDefault="00F17249">
      <w:pPr>
        <w:pStyle w:val="ListParagraph"/>
        <w:numPr>
          <w:ilvl w:val="0"/>
          <w:numId w:val="20"/>
        </w:numPr>
        <w:tabs>
          <w:tab w:val="left" w:pos="1859"/>
        </w:tabs>
        <w:spacing w:before="238"/>
        <w:ind w:right="825"/>
      </w:pPr>
      <w:r w:rsidRPr="00EC20A0">
        <w:rPr>
          <w:color w:val="242424"/>
        </w:rPr>
        <w:t>In</w:t>
      </w:r>
      <w:r w:rsidRPr="00EC20A0">
        <w:rPr>
          <w:color w:val="242424"/>
          <w:spacing w:val="-4"/>
        </w:rPr>
        <w:t xml:space="preserve"> </w:t>
      </w:r>
      <w:r w:rsidRPr="00EC20A0">
        <w:rPr>
          <w:color w:val="242424"/>
        </w:rPr>
        <w:t>many</w:t>
      </w:r>
      <w:r w:rsidRPr="00EC20A0">
        <w:rPr>
          <w:color w:val="242424"/>
          <w:spacing w:val="-4"/>
        </w:rPr>
        <w:t xml:space="preserve"> </w:t>
      </w:r>
      <w:r w:rsidRPr="00EC20A0">
        <w:rPr>
          <w:color w:val="242424"/>
        </w:rPr>
        <w:t>cases,</w:t>
      </w:r>
      <w:r w:rsidRPr="00EC20A0">
        <w:rPr>
          <w:color w:val="242424"/>
          <w:spacing w:val="-4"/>
        </w:rPr>
        <w:t xml:space="preserve"> </w:t>
      </w:r>
      <w:r w:rsidRPr="00EC20A0">
        <w:rPr>
          <w:color w:val="242424"/>
        </w:rPr>
        <w:t>distinguishing</w:t>
      </w:r>
      <w:r w:rsidRPr="00EC20A0">
        <w:rPr>
          <w:color w:val="242424"/>
          <w:spacing w:val="-4"/>
        </w:rPr>
        <w:t xml:space="preserve"> </w:t>
      </w:r>
      <w:r w:rsidRPr="00EC20A0">
        <w:rPr>
          <w:color w:val="242424"/>
        </w:rPr>
        <w:t>between</w:t>
      </w:r>
      <w:r w:rsidRPr="00EC20A0">
        <w:rPr>
          <w:color w:val="242424"/>
          <w:spacing w:val="-4"/>
        </w:rPr>
        <w:t xml:space="preserve"> </w:t>
      </w:r>
      <w:r w:rsidRPr="00EC20A0">
        <w:rPr>
          <w:color w:val="242424"/>
        </w:rPr>
        <w:t>expertise</w:t>
      </w:r>
      <w:r w:rsidRPr="00EC20A0">
        <w:rPr>
          <w:color w:val="242424"/>
          <w:spacing w:val="-5"/>
        </w:rPr>
        <w:t xml:space="preserve"> </w:t>
      </w:r>
      <w:r w:rsidRPr="00EC20A0">
        <w:rPr>
          <w:color w:val="242424"/>
        </w:rPr>
        <w:t>in</w:t>
      </w:r>
      <w:r w:rsidRPr="00EC20A0">
        <w:rPr>
          <w:color w:val="242424"/>
          <w:spacing w:val="-4"/>
        </w:rPr>
        <w:t xml:space="preserve"> </w:t>
      </w:r>
      <w:r w:rsidRPr="00EC20A0">
        <w:rPr>
          <w:color w:val="242424"/>
        </w:rPr>
        <w:t>accounting</w:t>
      </w:r>
      <w:r w:rsidRPr="00EC20A0">
        <w:rPr>
          <w:color w:val="242424"/>
          <w:spacing w:val="-4"/>
        </w:rPr>
        <w:t xml:space="preserve"> </w:t>
      </w:r>
      <w:r w:rsidRPr="00EC20A0">
        <w:rPr>
          <w:color w:val="242424"/>
        </w:rPr>
        <w:t>or</w:t>
      </w:r>
      <w:r w:rsidRPr="00EC20A0">
        <w:rPr>
          <w:color w:val="242424"/>
          <w:spacing w:val="-4"/>
        </w:rPr>
        <w:t xml:space="preserve"> </w:t>
      </w:r>
      <w:r w:rsidRPr="00EC20A0">
        <w:rPr>
          <w:color w:val="242424"/>
        </w:rPr>
        <w:t>auditing</w:t>
      </w:r>
      <w:r w:rsidRPr="00EC20A0">
        <w:rPr>
          <w:color w:val="242424"/>
          <w:spacing w:val="-4"/>
        </w:rPr>
        <w:t xml:space="preserve"> </w:t>
      </w:r>
      <w:r w:rsidRPr="00EC20A0">
        <w:rPr>
          <w:color w:val="242424"/>
        </w:rPr>
        <w:t>and expertise in another field will be straightforward, even when this involves a specialized area of accounting or auditing. The table below highlights some examples (AU-C 620.A2).</w:t>
      </w:r>
    </w:p>
    <w:p w14:paraId="24D5FF05" w14:textId="77777777" w:rsidR="00245300" w:rsidRPr="00EC20A0" w:rsidRDefault="00245300">
      <w:pPr>
        <w:pStyle w:val="BodyText"/>
        <w:spacing w:before="5"/>
        <w:rPr>
          <w:sz w:val="11"/>
        </w:rPr>
      </w:pPr>
    </w:p>
    <w:tbl>
      <w:tblPr>
        <w:tblW w:w="0" w:type="auto"/>
        <w:tblInd w:w="18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0"/>
        <w:gridCol w:w="3420"/>
        <w:gridCol w:w="3348"/>
      </w:tblGrid>
      <w:tr w:rsidR="00245300" w:rsidRPr="00EC20A0" w14:paraId="24D5FF10" w14:textId="77777777">
        <w:trPr>
          <w:trHeight w:val="1170"/>
        </w:trPr>
        <w:tc>
          <w:tcPr>
            <w:tcW w:w="1260" w:type="dxa"/>
            <w:tcBorders>
              <w:right w:val="single" w:sz="8" w:space="0" w:color="000000"/>
            </w:tcBorders>
          </w:tcPr>
          <w:p w14:paraId="24D5FF06" w14:textId="77777777" w:rsidR="00245300" w:rsidRPr="00EC20A0" w:rsidRDefault="00245300">
            <w:pPr>
              <w:pStyle w:val="TableParagraph"/>
              <w:rPr>
                <w:sz w:val="20"/>
              </w:rPr>
            </w:pPr>
          </w:p>
          <w:p w14:paraId="24D5FF07" w14:textId="77777777" w:rsidR="00245300" w:rsidRPr="00EC20A0" w:rsidRDefault="00245300">
            <w:pPr>
              <w:pStyle w:val="TableParagraph"/>
              <w:rPr>
                <w:sz w:val="20"/>
              </w:rPr>
            </w:pPr>
          </w:p>
          <w:p w14:paraId="24D5FF08" w14:textId="77777777" w:rsidR="00245300" w:rsidRPr="00EC20A0" w:rsidRDefault="00245300">
            <w:pPr>
              <w:pStyle w:val="TableParagraph"/>
              <w:spacing w:before="131"/>
              <w:rPr>
                <w:sz w:val="20"/>
              </w:rPr>
            </w:pPr>
          </w:p>
          <w:p w14:paraId="24D5FF09" w14:textId="77777777" w:rsidR="00245300" w:rsidRPr="00EC20A0" w:rsidRDefault="00F17249">
            <w:pPr>
              <w:pStyle w:val="TableParagraph"/>
              <w:ind w:left="97"/>
              <w:rPr>
                <w:b/>
                <w:sz w:val="20"/>
              </w:rPr>
            </w:pPr>
            <w:r w:rsidRPr="00EC20A0">
              <w:rPr>
                <w:b/>
                <w:color w:val="242424"/>
                <w:spacing w:val="-4"/>
                <w:sz w:val="20"/>
              </w:rPr>
              <w:t>Area</w:t>
            </w:r>
          </w:p>
        </w:tc>
        <w:tc>
          <w:tcPr>
            <w:tcW w:w="3420" w:type="dxa"/>
            <w:tcBorders>
              <w:left w:val="single" w:sz="8" w:space="0" w:color="000000"/>
              <w:right w:val="single" w:sz="8" w:space="0" w:color="000000"/>
            </w:tcBorders>
          </w:tcPr>
          <w:p w14:paraId="24D5FF0A" w14:textId="77777777" w:rsidR="00245300" w:rsidRPr="00EC20A0" w:rsidRDefault="00F17249">
            <w:pPr>
              <w:pStyle w:val="TableParagraph"/>
              <w:spacing w:before="120"/>
              <w:ind w:left="102"/>
              <w:rPr>
                <w:b/>
                <w:sz w:val="20"/>
              </w:rPr>
            </w:pPr>
            <w:r w:rsidRPr="00EC20A0">
              <w:rPr>
                <w:b/>
                <w:color w:val="242424"/>
                <w:sz w:val="20"/>
              </w:rPr>
              <w:t>Expertise</w:t>
            </w:r>
            <w:r w:rsidRPr="00EC20A0">
              <w:rPr>
                <w:b/>
                <w:color w:val="242424"/>
                <w:spacing w:val="-12"/>
                <w:sz w:val="20"/>
              </w:rPr>
              <w:t xml:space="preserve"> </w:t>
            </w:r>
            <w:r w:rsidRPr="00EC20A0">
              <w:rPr>
                <w:b/>
                <w:color w:val="242424"/>
                <w:sz w:val="20"/>
              </w:rPr>
              <w:t>in</w:t>
            </w:r>
            <w:r w:rsidRPr="00EC20A0">
              <w:rPr>
                <w:b/>
                <w:color w:val="242424"/>
                <w:spacing w:val="-12"/>
                <w:sz w:val="20"/>
              </w:rPr>
              <w:t xml:space="preserve"> </w:t>
            </w:r>
            <w:r w:rsidRPr="00EC20A0">
              <w:rPr>
                <w:b/>
                <w:color w:val="242424"/>
                <w:sz w:val="20"/>
              </w:rPr>
              <w:t>accounting</w:t>
            </w:r>
            <w:r w:rsidRPr="00EC20A0">
              <w:rPr>
                <w:b/>
                <w:color w:val="242424"/>
                <w:spacing w:val="-13"/>
                <w:sz w:val="20"/>
              </w:rPr>
              <w:t xml:space="preserve"> </w:t>
            </w:r>
            <w:r w:rsidRPr="00EC20A0">
              <w:rPr>
                <w:b/>
                <w:color w:val="242424"/>
                <w:sz w:val="20"/>
              </w:rPr>
              <w:t xml:space="preserve">and </w:t>
            </w:r>
            <w:r w:rsidRPr="00EC20A0">
              <w:rPr>
                <w:b/>
                <w:color w:val="242424"/>
                <w:spacing w:val="-2"/>
                <w:sz w:val="20"/>
              </w:rPr>
              <w:t>auditing</w:t>
            </w:r>
          </w:p>
          <w:p w14:paraId="24D5FF0B" w14:textId="77777777" w:rsidR="00245300" w:rsidRPr="00EC20A0" w:rsidRDefault="00245300">
            <w:pPr>
              <w:pStyle w:val="TableParagraph"/>
              <w:spacing w:before="11"/>
              <w:rPr>
                <w:sz w:val="20"/>
              </w:rPr>
            </w:pPr>
          </w:p>
          <w:p w14:paraId="24D5FF0C" w14:textId="77777777" w:rsidR="00245300" w:rsidRPr="00EC20A0" w:rsidRDefault="00F17249">
            <w:pPr>
              <w:pStyle w:val="TableParagraph"/>
              <w:ind w:left="102"/>
              <w:rPr>
                <w:sz w:val="20"/>
              </w:rPr>
            </w:pPr>
            <w:r w:rsidRPr="00EC20A0">
              <w:rPr>
                <w:color w:val="242424"/>
                <w:spacing w:val="-2"/>
                <w:sz w:val="20"/>
              </w:rPr>
              <w:t>(Auditor)</w:t>
            </w:r>
          </w:p>
        </w:tc>
        <w:tc>
          <w:tcPr>
            <w:tcW w:w="3348" w:type="dxa"/>
            <w:tcBorders>
              <w:left w:val="single" w:sz="8" w:space="0" w:color="000000"/>
            </w:tcBorders>
          </w:tcPr>
          <w:p w14:paraId="24D5FF0D" w14:textId="77777777" w:rsidR="00245300" w:rsidRPr="00EC20A0" w:rsidRDefault="00F17249">
            <w:pPr>
              <w:pStyle w:val="TableParagraph"/>
              <w:spacing w:before="120"/>
              <w:ind w:left="102"/>
              <w:rPr>
                <w:b/>
                <w:sz w:val="20"/>
              </w:rPr>
            </w:pPr>
            <w:r w:rsidRPr="00EC20A0">
              <w:rPr>
                <w:b/>
                <w:color w:val="242424"/>
                <w:sz w:val="20"/>
              </w:rPr>
              <w:t>Expertise</w:t>
            </w:r>
            <w:r w:rsidRPr="00EC20A0">
              <w:rPr>
                <w:b/>
                <w:color w:val="242424"/>
                <w:spacing w:val="-7"/>
                <w:sz w:val="20"/>
              </w:rPr>
              <w:t xml:space="preserve"> </w:t>
            </w:r>
            <w:r w:rsidRPr="00EC20A0">
              <w:rPr>
                <w:b/>
                <w:color w:val="242424"/>
                <w:sz w:val="20"/>
              </w:rPr>
              <w:t>in</w:t>
            </w:r>
            <w:r w:rsidRPr="00EC20A0">
              <w:rPr>
                <w:b/>
                <w:color w:val="242424"/>
                <w:spacing w:val="-7"/>
                <w:sz w:val="20"/>
              </w:rPr>
              <w:t xml:space="preserve"> </w:t>
            </w:r>
            <w:r w:rsidRPr="00EC20A0">
              <w:rPr>
                <w:b/>
                <w:color w:val="242424"/>
                <w:sz w:val="20"/>
              </w:rPr>
              <w:t>a</w:t>
            </w:r>
            <w:r w:rsidRPr="00EC20A0">
              <w:rPr>
                <w:b/>
                <w:color w:val="242424"/>
                <w:spacing w:val="-7"/>
                <w:sz w:val="20"/>
              </w:rPr>
              <w:t xml:space="preserve"> </w:t>
            </w:r>
            <w:r w:rsidRPr="00EC20A0">
              <w:rPr>
                <w:b/>
                <w:color w:val="242424"/>
                <w:sz w:val="20"/>
              </w:rPr>
              <w:t>field</w:t>
            </w:r>
            <w:r w:rsidRPr="00EC20A0">
              <w:rPr>
                <w:b/>
                <w:color w:val="242424"/>
                <w:spacing w:val="-7"/>
                <w:sz w:val="20"/>
              </w:rPr>
              <w:t xml:space="preserve"> </w:t>
            </w:r>
            <w:r w:rsidRPr="00EC20A0">
              <w:rPr>
                <w:b/>
                <w:color w:val="242424"/>
                <w:sz w:val="20"/>
                <w:u w:val="single" w:color="242424"/>
              </w:rPr>
              <w:t>other</w:t>
            </w:r>
            <w:r w:rsidRPr="00EC20A0">
              <w:rPr>
                <w:b/>
                <w:color w:val="242424"/>
                <w:spacing w:val="-8"/>
                <w:sz w:val="20"/>
              </w:rPr>
              <w:t xml:space="preserve"> </w:t>
            </w:r>
            <w:r w:rsidRPr="00EC20A0">
              <w:rPr>
                <w:b/>
                <w:color w:val="242424"/>
                <w:sz w:val="20"/>
              </w:rPr>
              <w:t>than accounting and auditing</w:t>
            </w:r>
          </w:p>
          <w:p w14:paraId="24D5FF0E" w14:textId="77777777" w:rsidR="00245300" w:rsidRPr="00EC20A0" w:rsidRDefault="00245300">
            <w:pPr>
              <w:pStyle w:val="TableParagraph"/>
              <w:spacing w:before="11"/>
              <w:rPr>
                <w:sz w:val="20"/>
              </w:rPr>
            </w:pPr>
          </w:p>
          <w:p w14:paraId="24D5FF0F" w14:textId="77777777" w:rsidR="00245300" w:rsidRPr="00EC20A0" w:rsidRDefault="00F17249">
            <w:pPr>
              <w:pStyle w:val="TableParagraph"/>
              <w:ind w:left="102"/>
              <w:rPr>
                <w:sz w:val="20"/>
              </w:rPr>
            </w:pPr>
            <w:r w:rsidRPr="00EC20A0">
              <w:rPr>
                <w:color w:val="242424"/>
                <w:sz w:val="20"/>
              </w:rPr>
              <w:t>(Auditor’s</w:t>
            </w:r>
            <w:r w:rsidRPr="00EC20A0">
              <w:rPr>
                <w:color w:val="242424"/>
                <w:spacing w:val="-5"/>
                <w:sz w:val="20"/>
              </w:rPr>
              <w:t xml:space="preserve"> </w:t>
            </w:r>
            <w:r w:rsidRPr="00EC20A0">
              <w:rPr>
                <w:color w:val="242424"/>
                <w:spacing w:val="-2"/>
                <w:sz w:val="20"/>
              </w:rPr>
              <w:t>specialist)</w:t>
            </w:r>
          </w:p>
        </w:tc>
      </w:tr>
      <w:tr w:rsidR="00245300" w:rsidRPr="00EC20A0" w14:paraId="24D5FF14" w14:textId="77777777">
        <w:trPr>
          <w:trHeight w:val="699"/>
        </w:trPr>
        <w:tc>
          <w:tcPr>
            <w:tcW w:w="1260" w:type="dxa"/>
            <w:tcBorders>
              <w:bottom w:val="single" w:sz="8" w:space="0" w:color="000000"/>
              <w:right w:val="single" w:sz="8" w:space="0" w:color="000000"/>
            </w:tcBorders>
          </w:tcPr>
          <w:p w14:paraId="24D5FF11" w14:textId="77777777" w:rsidR="00245300" w:rsidRPr="00EC20A0" w:rsidRDefault="00F17249">
            <w:pPr>
              <w:pStyle w:val="TableParagraph"/>
              <w:spacing w:before="120"/>
              <w:ind w:left="97" w:right="244"/>
              <w:rPr>
                <w:sz w:val="20"/>
              </w:rPr>
            </w:pPr>
            <w:r w:rsidRPr="00EC20A0">
              <w:rPr>
                <w:color w:val="242424"/>
                <w:spacing w:val="-2"/>
                <w:sz w:val="20"/>
              </w:rPr>
              <w:t>Employee benefits</w:t>
            </w:r>
          </w:p>
        </w:tc>
        <w:tc>
          <w:tcPr>
            <w:tcW w:w="3420" w:type="dxa"/>
            <w:tcBorders>
              <w:left w:val="single" w:sz="8" w:space="0" w:color="000000"/>
              <w:bottom w:val="single" w:sz="8" w:space="0" w:color="000000"/>
              <w:right w:val="single" w:sz="8" w:space="0" w:color="000000"/>
            </w:tcBorders>
          </w:tcPr>
          <w:p w14:paraId="24D5FF12" w14:textId="77777777" w:rsidR="00245300" w:rsidRPr="00EC20A0" w:rsidRDefault="00F17249">
            <w:pPr>
              <w:pStyle w:val="TableParagraph"/>
              <w:spacing w:before="120"/>
              <w:ind w:left="102"/>
              <w:rPr>
                <w:sz w:val="20"/>
              </w:rPr>
            </w:pPr>
            <w:r w:rsidRPr="00EC20A0">
              <w:rPr>
                <w:color w:val="242424"/>
                <w:sz w:val="20"/>
              </w:rPr>
              <w:t>Applying</w:t>
            </w:r>
            <w:r w:rsidRPr="00EC20A0">
              <w:rPr>
                <w:color w:val="242424"/>
                <w:spacing w:val="-10"/>
                <w:sz w:val="20"/>
              </w:rPr>
              <w:t xml:space="preserve"> </w:t>
            </w:r>
            <w:r w:rsidRPr="00EC20A0">
              <w:rPr>
                <w:color w:val="242424"/>
                <w:sz w:val="20"/>
              </w:rPr>
              <w:t>methods</w:t>
            </w:r>
            <w:r w:rsidRPr="00EC20A0">
              <w:rPr>
                <w:color w:val="242424"/>
                <w:spacing w:val="-9"/>
                <w:sz w:val="20"/>
              </w:rPr>
              <w:t xml:space="preserve"> </w:t>
            </w:r>
            <w:r w:rsidRPr="00EC20A0">
              <w:rPr>
                <w:color w:val="242424"/>
                <w:sz w:val="20"/>
              </w:rPr>
              <w:t>of</w:t>
            </w:r>
            <w:r w:rsidRPr="00EC20A0">
              <w:rPr>
                <w:color w:val="242424"/>
                <w:spacing w:val="-10"/>
                <w:sz w:val="20"/>
              </w:rPr>
              <w:t xml:space="preserve"> </w:t>
            </w:r>
            <w:r w:rsidRPr="00EC20A0">
              <w:rPr>
                <w:color w:val="242424"/>
                <w:sz w:val="20"/>
              </w:rPr>
              <w:t>accounting</w:t>
            </w:r>
            <w:r w:rsidRPr="00EC20A0">
              <w:rPr>
                <w:color w:val="242424"/>
                <w:spacing w:val="-10"/>
                <w:sz w:val="20"/>
              </w:rPr>
              <w:t xml:space="preserve"> </w:t>
            </w:r>
            <w:r w:rsidRPr="00EC20A0">
              <w:rPr>
                <w:color w:val="242424"/>
                <w:sz w:val="20"/>
              </w:rPr>
              <w:t>for employee benefit accrual</w:t>
            </w:r>
          </w:p>
        </w:tc>
        <w:tc>
          <w:tcPr>
            <w:tcW w:w="3348" w:type="dxa"/>
            <w:tcBorders>
              <w:left w:val="single" w:sz="8" w:space="0" w:color="000000"/>
              <w:bottom w:val="single" w:sz="8" w:space="0" w:color="000000"/>
            </w:tcBorders>
          </w:tcPr>
          <w:p w14:paraId="24D5FF13" w14:textId="77777777" w:rsidR="00245300" w:rsidRPr="00EC20A0" w:rsidRDefault="00F17249">
            <w:pPr>
              <w:pStyle w:val="TableParagraph"/>
              <w:spacing w:before="120"/>
              <w:ind w:left="102"/>
              <w:rPr>
                <w:sz w:val="20"/>
              </w:rPr>
            </w:pPr>
            <w:r w:rsidRPr="00EC20A0">
              <w:rPr>
                <w:color w:val="242424"/>
                <w:sz w:val="20"/>
              </w:rPr>
              <w:t>Actuarial</w:t>
            </w:r>
            <w:r w:rsidRPr="00EC20A0">
              <w:rPr>
                <w:color w:val="242424"/>
                <w:spacing w:val="-12"/>
                <w:sz w:val="20"/>
              </w:rPr>
              <w:t xml:space="preserve"> </w:t>
            </w:r>
            <w:r w:rsidRPr="00EC20A0">
              <w:rPr>
                <w:color w:val="242424"/>
                <w:sz w:val="20"/>
              </w:rPr>
              <w:t>computation</w:t>
            </w:r>
            <w:r w:rsidRPr="00EC20A0">
              <w:rPr>
                <w:color w:val="242424"/>
                <w:spacing w:val="-12"/>
                <w:sz w:val="20"/>
              </w:rPr>
              <w:t xml:space="preserve"> </w:t>
            </w:r>
            <w:r w:rsidRPr="00EC20A0">
              <w:rPr>
                <w:color w:val="242424"/>
                <w:sz w:val="20"/>
              </w:rPr>
              <w:t>of</w:t>
            </w:r>
            <w:r w:rsidRPr="00EC20A0">
              <w:rPr>
                <w:color w:val="242424"/>
                <w:spacing w:val="-12"/>
                <w:sz w:val="20"/>
              </w:rPr>
              <w:t xml:space="preserve"> </w:t>
            </w:r>
            <w:r w:rsidRPr="00EC20A0">
              <w:rPr>
                <w:color w:val="242424"/>
                <w:sz w:val="20"/>
              </w:rPr>
              <w:t xml:space="preserve">employee </w:t>
            </w:r>
            <w:r w:rsidRPr="00EC20A0">
              <w:rPr>
                <w:color w:val="242424"/>
                <w:spacing w:val="-2"/>
                <w:sz w:val="20"/>
              </w:rPr>
              <w:t>benefits</w:t>
            </w:r>
          </w:p>
        </w:tc>
      </w:tr>
      <w:tr w:rsidR="00245300" w:rsidRPr="00EC20A0" w14:paraId="24D5FF18" w14:textId="77777777">
        <w:trPr>
          <w:trHeight w:val="835"/>
        </w:trPr>
        <w:tc>
          <w:tcPr>
            <w:tcW w:w="1260" w:type="dxa"/>
            <w:tcBorders>
              <w:top w:val="single" w:sz="8" w:space="0" w:color="000000"/>
              <w:right w:val="single" w:sz="8" w:space="0" w:color="000000"/>
            </w:tcBorders>
          </w:tcPr>
          <w:p w14:paraId="24D5FF15" w14:textId="77777777" w:rsidR="00245300" w:rsidRPr="00EC20A0" w:rsidRDefault="00F17249">
            <w:pPr>
              <w:pStyle w:val="TableParagraph"/>
              <w:spacing w:before="187"/>
              <w:ind w:left="97"/>
              <w:rPr>
                <w:sz w:val="20"/>
              </w:rPr>
            </w:pPr>
            <w:r w:rsidRPr="00EC20A0">
              <w:rPr>
                <w:color w:val="242424"/>
                <w:spacing w:val="-2"/>
                <w:sz w:val="20"/>
              </w:rPr>
              <w:t>Financial instruments</w:t>
            </w:r>
          </w:p>
        </w:tc>
        <w:tc>
          <w:tcPr>
            <w:tcW w:w="3420" w:type="dxa"/>
            <w:tcBorders>
              <w:top w:val="single" w:sz="8" w:space="0" w:color="000000"/>
              <w:left w:val="single" w:sz="8" w:space="0" w:color="000000"/>
              <w:right w:val="single" w:sz="8" w:space="0" w:color="000000"/>
            </w:tcBorders>
          </w:tcPr>
          <w:p w14:paraId="24D5FF16" w14:textId="77777777" w:rsidR="00245300" w:rsidRPr="00EC20A0" w:rsidRDefault="00F17249">
            <w:pPr>
              <w:pStyle w:val="TableParagraph"/>
              <w:spacing w:before="187"/>
              <w:ind w:left="102"/>
              <w:rPr>
                <w:sz w:val="20"/>
              </w:rPr>
            </w:pPr>
            <w:r w:rsidRPr="00EC20A0">
              <w:rPr>
                <w:color w:val="242424"/>
                <w:sz w:val="20"/>
              </w:rPr>
              <w:t>Applying</w:t>
            </w:r>
            <w:r w:rsidRPr="00EC20A0">
              <w:rPr>
                <w:color w:val="242424"/>
                <w:spacing w:val="-10"/>
                <w:sz w:val="20"/>
              </w:rPr>
              <w:t xml:space="preserve"> </w:t>
            </w:r>
            <w:r w:rsidRPr="00EC20A0">
              <w:rPr>
                <w:color w:val="242424"/>
                <w:sz w:val="20"/>
              </w:rPr>
              <w:t>methods</w:t>
            </w:r>
            <w:r w:rsidRPr="00EC20A0">
              <w:rPr>
                <w:color w:val="242424"/>
                <w:spacing w:val="-9"/>
                <w:sz w:val="20"/>
              </w:rPr>
              <w:t xml:space="preserve"> </w:t>
            </w:r>
            <w:r w:rsidRPr="00EC20A0">
              <w:rPr>
                <w:color w:val="242424"/>
                <w:sz w:val="20"/>
              </w:rPr>
              <w:t>of</w:t>
            </w:r>
            <w:r w:rsidRPr="00EC20A0">
              <w:rPr>
                <w:color w:val="242424"/>
                <w:spacing w:val="-10"/>
                <w:sz w:val="20"/>
              </w:rPr>
              <w:t xml:space="preserve"> </w:t>
            </w:r>
            <w:r w:rsidRPr="00EC20A0">
              <w:rPr>
                <w:color w:val="242424"/>
                <w:sz w:val="20"/>
              </w:rPr>
              <w:t>accounting</w:t>
            </w:r>
            <w:r w:rsidRPr="00EC20A0">
              <w:rPr>
                <w:color w:val="242424"/>
                <w:spacing w:val="-10"/>
                <w:sz w:val="20"/>
              </w:rPr>
              <w:t xml:space="preserve"> </w:t>
            </w:r>
            <w:r w:rsidRPr="00EC20A0">
              <w:rPr>
                <w:color w:val="242424"/>
                <w:sz w:val="20"/>
              </w:rPr>
              <w:t xml:space="preserve">for financial </w:t>
            </w:r>
            <w:r w:rsidRPr="00EC20A0">
              <w:rPr>
                <w:color w:val="242424"/>
                <w:sz w:val="20"/>
              </w:rPr>
              <w:t>instruments</w:t>
            </w:r>
          </w:p>
        </w:tc>
        <w:tc>
          <w:tcPr>
            <w:tcW w:w="3348" w:type="dxa"/>
            <w:tcBorders>
              <w:top w:val="single" w:sz="8" w:space="0" w:color="000000"/>
              <w:left w:val="single" w:sz="8" w:space="0" w:color="000000"/>
            </w:tcBorders>
          </w:tcPr>
          <w:p w14:paraId="24D5FF17" w14:textId="77777777" w:rsidR="00245300" w:rsidRPr="00EC20A0" w:rsidRDefault="00F17249">
            <w:pPr>
              <w:pStyle w:val="TableParagraph"/>
              <w:spacing w:before="187"/>
              <w:ind w:left="102" w:right="55"/>
              <w:rPr>
                <w:sz w:val="20"/>
              </w:rPr>
            </w:pPr>
            <w:r w:rsidRPr="00EC20A0">
              <w:rPr>
                <w:color w:val="242424"/>
                <w:sz w:val="20"/>
              </w:rPr>
              <w:t>Complex</w:t>
            </w:r>
            <w:r w:rsidRPr="00EC20A0">
              <w:rPr>
                <w:color w:val="242424"/>
                <w:spacing w:val="-10"/>
                <w:sz w:val="20"/>
              </w:rPr>
              <w:t xml:space="preserve"> </w:t>
            </w:r>
            <w:r w:rsidRPr="00EC20A0">
              <w:rPr>
                <w:color w:val="242424"/>
                <w:sz w:val="20"/>
              </w:rPr>
              <w:t>modeling</w:t>
            </w:r>
            <w:r w:rsidRPr="00EC20A0">
              <w:rPr>
                <w:color w:val="242424"/>
                <w:spacing w:val="-10"/>
                <w:sz w:val="20"/>
              </w:rPr>
              <w:t xml:space="preserve"> </w:t>
            </w:r>
            <w:r w:rsidRPr="00EC20A0">
              <w:rPr>
                <w:color w:val="242424"/>
                <w:sz w:val="20"/>
              </w:rPr>
              <w:t>for</w:t>
            </w:r>
            <w:r w:rsidRPr="00EC20A0">
              <w:rPr>
                <w:color w:val="242424"/>
                <w:spacing w:val="-9"/>
                <w:sz w:val="20"/>
              </w:rPr>
              <w:t xml:space="preserve"> </w:t>
            </w:r>
            <w:r w:rsidRPr="00EC20A0">
              <w:rPr>
                <w:color w:val="242424"/>
                <w:sz w:val="20"/>
              </w:rPr>
              <w:t>the</w:t>
            </w:r>
            <w:r w:rsidRPr="00EC20A0">
              <w:rPr>
                <w:color w:val="242424"/>
                <w:spacing w:val="-10"/>
                <w:sz w:val="20"/>
              </w:rPr>
              <w:t xml:space="preserve"> </w:t>
            </w:r>
            <w:r w:rsidRPr="00EC20A0">
              <w:rPr>
                <w:color w:val="242424"/>
                <w:sz w:val="20"/>
              </w:rPr>
              <w:t>purpose of valuing financial instruments</w:t>
            </w:r>
          </w:p>
        </w:tc>
      </w:tr>
    </w:tbl>
    <w:p w14:paraId="24D5FF19" w14:textId="77777777" w:rsidR="00245300" w:rsidRPr="00EC20A0" w:rsidRDefault="00F17249">
      <w:pPr>
        <w:pStyle w:val="ListParagraph"/>
        <w:numPr>
          <w:ilvl w:val="0"/>
          <w:numId w:val="20"/>
        </w:numPr>
        <w:tabs>
          <w:tab w:val="left" w:pos="1859"/>
        </w:tabs>
        <w:spacing w:before="110"/>
        <w:ind w:right="504" w:hanging="720"/>
      </w:pPr>
      <w:r w:rsidRPr="00EC20A0">
        <w:rPr>
          <w:color w:val="242424"/>
        </w:rPr>
        <w:t xml:space="preserve">However, in some cases, particularly those involving an emerging area of accounting or auditing expertise, distinguishing between specialized areas of accounting or </w:t>
      </w:r>
      <w:r w:rsidRPr="00EC20A0">
        <w:rPr>
          <w:color w:val="242424"/>
        </w:rPr>
        <w:t>auditing and expertise in another field will be a matter of professional judgment. Applicable professional rules and standards regarding education</w:t>
      </w:r>
      <w:r w:rsidRPr="00EC20A0">
        <w:rPr>
          <w:color w:val="242424"/>
          <w:spacing w:val="-4"/>
        </w:rPr>
        <w:t xml:space="preserve"> </w:t>
      </w:r>
      <w:r w:rsidRPr="00EC20A0">
        <w:rPr>
          <w:color w:val="242424"/>
        </w:rPr>
        <w:t>and</w:t>
      </w:r>
      <w:r w:rsidRPr="00EC20A0">
        <w:rPr>
          <w:color w:val="242424"/>
          <w:spacing w:val="-4"/>
        </w:rPr>
        <w:t xml:space="preserve"> </w:t>
      </w:r>
      <w:r w:rsidRPr="00EC20A0">
        <w:rPr>
          <w:color w:val="242424"/>
        </w:rPr>
        <w:t>competency</w:t>
      </w:r>
      <w:r w:rsidRPr="00EC20A0">
        <w:rPr>
          <w:color w:val="242424"/>
          <w:spacing w:val="-4"/>
        </w:rPr>
        <w:t xml:space="preserve"> </w:t>
      </w:r>
      <w:r w:rsidRPr="00EC20A0">
        <w:rPr>
          <w:color w:val="242424"/>
        </w:rPr>
        <w:t>requirements</w:t>
      </w:r>
      <w:r w:rsidRPr="00EC20A0">
        <w:rPr>
          <w:color w:val="242424"/>
          <w:spacing w:val="-4"/>
        </w:rPr>
        <w:t xml:space="preserve"> </w:t>
      </w:r>
      <w:r w:rsidRPr="00EC20A0">
        <w:rPr>
          <w:color w:val="242424"/>
        </w:rPr>
        <w:t>for</w:t>
      </w:r>
      <w:r w:rsidRPr="00EC20A0">
        <w:rPr>
          <w:color w:val="242424"/>
          <w:spacing w:val="-4"/>
        </w:rPr>
        <w:t xml:space="preserve"> </w:t>
      </w:r>
      <w:r w:rsidRPr="00EC20A0">
        <w:rPr>
          <w:color w:val="242424"/>
        </w:rPr>
        <w:t>accountants</w:t>
      </w:r>
      <w:r w:rsidRPr="00EC20A0">
        <w:rPr>
          <w:color w:val="242424"/>
          <w:spacing w:val="-4"/>
        </w:rPr>
        <w:t xml:space="preserve"> </w:t>
      </w:r>
      <w:r w:rsidRPr="00EC20A0">
        <w:rPr>
          <w:color w:val="242424"/>
        </w:rPr>
        <w:t>and</w:t>
      </w:r>
      <w:r w:rsidRPr="00EC20A0">
        <w:rPr>
          <w:color w:val="242424"/>
          <w:spacing w:val="-4"/>
        </w:rPr>
        <w:t xml:space="preserve"> </w:t>
      </w:r>
      <w:r w:rsidRPr="00EC20A0">
        <w:rPr>
          <w:color w:val="242424"/>
        </w:rPr>
        <w:t>auditors</w:t>
      </w:r>
      <w:r w:rsidRPr="00EC20A0">
        <w:rPr>
          <w:color w:val="242424"/>
          <w:spacing w:val="-5"/>
        </w:rPr>
        <w:t xml:space="preserve"> </w:t>
      </w:r>
      <w:r w:rsidRPr="00EC20A0">
        <w:rPr>
          <w:color w:val="242424"/>
        </w:rPr>
        <w:t>may</w:t>
      </w:r>
      <w:r w:rsidRPr="00EC20A0">
        <w:rPr>
          <w:color w:val="242424"/>
          <w:spacing w:val="-4"/>
        </w:rPr>
        <w:t xml:space="preserve"> </w:t>
      </w:r>
      <w:r w:rsidRPr="00EC20A0">
        <w:rPr>
          <w:color w:val="242424"/>
        </w:rPr>
        <w:t xml:space="preserve">assist the auditor in exercising that </w:t>
      </w:r>
      <w:r w:rsidRPr="00EC20A0">
        <w:rPr>
          <w:color w:val="242424"/>
        </w:rPr>
        <w:t>judgment (AU-C 620.A2).</w:t>
      </w:r>
    </w:p>
    <w:p w14:paraId="24D5FF1A" w14:textId="77777777" w:rsidR="00245300" w:rsidRPr="00EC20A0" w:rsidRDefault="00F17249">
      <w:pPr>
        <w:pStyle w:val="ListParagraph"/>
        <w:numPr>
          <w:ilvl w:val="0"/>
          <w:numId w:val="20"/>
        </w:numPr>
        <w:tabs>
          <w:tab w:val="left" w:pos="1858"/>
        </w:tabs>
        <w:ind w:left="1858" w:right="849" w:hanging="720"/>
      </w:pPr>
      <w:r w:rsidRPr="00EC20A0">
        <w:rPr>
          <w:color w:val="242424"/>
        </w:rPr>
        <w:t>An individual may possess expertise in accounting or auditing, as well as expertise in a field other than accounting or auditing (for example, an actuary also may be an accountant). In that circumstance, determining whether that individual is an auditor or an auditor’s specialist depends on the nature of the work</w:t>
      </w:r>
      <w:r w:rsidRPr="00EC20A0">
        <w:rPr>
          <w:color w:val="242424"/>
          <w:spacing w:val="-3"/>
        </w:rPr>
        <w:t xml:space="preserve"> </w:t>
      </w:r>
      <w:r w:rsidRPr="00EC20A0">
        <w:rPr>
          <w:color w:val="242424"/>
        </w:rPr>
        <w:t>that</w:t>
      </w:r>
      <w:r w:rsidRPr="00EC20A0">
        <w:rPr>
          <w:color w:val="242424"/>
          <w:spacing w:val="-3"/>
        </w:rPr>
        <w:t xml:space="preserve"> </w:t>
      </w:r>
      <w:r w:rsidRPr="00EC20A0">
        <w:rPr>
          <w:color w:val="242424"/>
        </w:rPr>
        <w:t>individual</w:t>
      </w:r>
      <w:r w:rsidRPr="00EC20A0">
        <w:rPr>
          <w:color w:val="242424"/>
          <w:spacing w:val="-3"/>
        </w:rPr>
        <w:t xml:space="preserve"> </w:t>
      </w:r>
      <w:r w:rsidRPr="00EC20A0">
        <w:rPr>
          <w:color w:val="242424"/>
        </w:rPr>
        <w:t>performs</w:t>
      </w:r>
      <w:r w:rsidRPr="00EC20A0">
        <w:rPr>
          <w:color w:val="242424"/>
          <w:spacing w:val="-3"/>
        </w:rPr>
        <w:t xml:space="preserve"> </w:t>
      </w:r>
      <w:r w:rsidRPr="00EC20A0">
        <w:rPr>
          <w:color w:val="242424"/>
        </w:rPr>
        <w:t>that</w:t>
      </w:r>
      <w:r w:rsidRPr="00EC20A0">
        <w:rPr>
          <w:color w:val="242424"/>
          <w:spacing w:val="-3"/>
        </w:rPr>
        <w:t xml:space="preserve"> </w:t>
      </w:r>
      <w:r w:rsidRPr="00EC20A0">
        <w:rPr>
          <w:color w:val="242424"/>
        </w:rPr>
        <w:t>the</w:t>
      </w:r>
      <w:r w:rsidRPr="00EC20A0">
        <w:rPr>
          <w:color w:val="242424"/>
          <w:spacing w:val="-3"/>
        </w:rPr>
        <w:t xml:space="preserve"> </w:t>
      </w:r>
      <w:r w:rsidRPr="00EC20A0">
        <w:rPr>
          <w:color w:val="242424"/>
        </w:rPr>
        <w:t>auditor</w:t>
      </w:r>
      <w:r w:rsidRPr="00EC20A0">
        <w:rPr>
          <w:color w:val="242424"/>
          <w:spacing w:val="-3"/>
        </w:rPr>
        <w:t xml:space="preserve"> </w:t>
      </w:r>
      <w:r w:rsidRPr="00EC20A0">
        <w:rPr>
          <w:color w:val="242424"/>
        </w:rPr>
        <w:t>is</w:t>
      </w:r>
      <w:r w:rsidRPr="00EC20A0">
        <w:rPr>
          <w:color w:val="242424"/>
          <w:spacing w:val="-4"/>
        </w:rPr>
        <w:t xml:space="preserve"> </w:t>
      </w:r>
      <w:r w:rsidRPr="00EC20A0">
        <w:rPr>
          <w:color w:val="242424"/>
        </w:rPr>
        <w:t>using</w:t>
      </w:r>
      <w:r w:rsidRPr="00EC20A0">
        <w:rPr>
          <w:color w:val="242424"/>
          <w:spacing w:val="-3"/>
        </w:rPr>
        <w:t xml:space="preserve"> </w:t>
      </w:r>
      <w:r w:rsidRPr="00EC20A0">
        <w:rPr>
          <w:color w:val="242424"/>
        </w:rPr>
        <w:t>for</w:t>
      </w:r>
      <w:r w:rsidRPr="00EC20A0">
        <w:rPr>
          <w:color w:val="242424"/>
          <w:spacing w:val="-3"/>
        </w:rPr>
        <w:t xml:space="preserve"> </w:t>
      </w:r>
      <w:r w:rsidRPr="00EC20A0">
        <w:rPr>
          <w:color w:val="242424"/>
        </w:rPr>
        <w:t>purposes</w:t>
      </w:r>
      <w:r w:rsidRPr="00EC20A0">
        <w:rPr>
          <w:color w:val="242424"/>
          <w:spacing w:val="-3"/>
        </w:rPr>
        <w:t xml:space="preserve"> </w:t>
      </w:r>
      <w:r w:rsidRPr="00EC20A0">
        <w:rPr>
          <w:color w:val="242424"/>
        </w:rPr>
        <w:t>of</w:t>
      </w:r>
      <w:r w:rsidRPr="00EC20A0">
        <w:rPr>
          <w:color w:val="242424"/>
          <w:spacing w:val="-3"/>
        </w:rPr>
        <w:t xml:space="preserve"> </w:t>
      </w:r>
      <w:r w:rsidRPr="00EC20A0">
        <w:rPr>
          <w:color w:val="242424"/>
        </w:rPr>
        <w:t>the</w:t>
      </w:r>
      <w:r w:rsidRPr="00EC20A0">
        <w:rPr>
          <w:color w:val="242424"/>
          <w:spacing w:val="-4"/>
        </w:rPr>
        <w:t xml:space="preserve"> </w:t>
      </w:r>
      <w:r w:rsidRPr="00EC20A0">
        <w:rPr>
          <w:color w:val="242424"/>
        </w:rPr>
        <w:t>audit (AU-C 620.A3).</w:t>
      </w:r>
    </w:p>
    <w:p w14:paraId="24D5FF1B" w14:textId="77777777" w:rsidR="00245300" w:rsidRPr="00EC20A0" w:rsidRDefault="00F17249">
      <w:pPr>
        <w:pStyle w:val="BodyText"/>
        <w:spacing w:before="142"/>
        <w:rPr>
          <w:sz w:val="20"/>
        </w:rPr>
      </w:pPr>
      <w:r w:rsidRPr="00EC20A0">
        <w:rPr>
          <w:noProof/>
        </w:rPr>
        <mc:AlternateContent>
          <mc:Choice Requires="wps">
            <w:drawing>
              <wp:anchor distT="0" distB="0" distL="0" distR="0" simplePos="0" relativeHeight="487596032" behindDoc="1" locked="0" layoutInCell="1" allowOverlap="1" wp14:anchorId="24D62AD5" wp14:editId="24D62AD6">
                <wp:simplePos x="0" y="0"/>
                <wp:positionH relativeFrom="page">
                  <wp:posOffset>914400</wp:posOffset>
                </wp:positionH>
                <wp:positionV relativeFrom="paragraph">
                  <wp:posOffset>251884</wp:posOffset>
                </wp:positionV>
                <wp:extent cx="1828800" cy="571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04F4A2" id="Graphic 91" o:spid="_x0000_s1026" style="position:absolute;margin-left:1in;margin-top:19.85pt;width:2in;height:.4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" path="m1828800,l,,,5333r1828800,l1828800,xe" fillcolor="black" stroked="f">
                <v:path arrowok="t"/>
                <w10:wrap type="topAndBottom" anchorx="page"/>
              </v:shape>
            </w:pict>
          </mc:Fallback>
        </mc:AlternateContent>
      </w:r>
    </w:p>
    <w:p w14:paraId="24D5FF1C" w14:textId="77777777" w:rsidR="00245300" w:rsidRPr="00EC20A0" w:rsidRDefault="00F17249">
      <w:pPr>
        <w:spacing w:before="200" w:line="242" w:lineRule="auto"/>
        <w:ind w:left="418" w:right="527" w:firstLine="1"/>
        <w:rPr>
          <w:sz w:val="18"/>
        </w:rPr>
      </w:pPr>
      <w:bookmarkStart w:id="29" w:name="_bookmark11"/>
      <w:bookmarkEnd w:id="29"/>
      <w:r w:rsidRPr="00EC20A0">
        <w:rPr>
          <w:position w:val="7"/>
          <w:sz w:val="14"/>
        </w:rPr>
        <w:t>8</w:t>
      </w:r>
      <w:r w:rsidRPr="00EC20A0">
        <w:rPr>
          <w:sz w:val="18"/>
        </w:rPr>
        <w:t>An information technology specialist differs from an IS controls auditor. An information technology specialist possesses</w:t>
      </w:r>
      <w:r w:rsidRPr="00EC20A0">
        <w:rPr>
          <w:spacing w:val="-3"/>
          <w:sz w:val="18"/>
        </w:rPr>
        <w:t xml:space="preserve"> </w:t>
      </w:r>
      <w:r w:rsidRPr="00EC20A0">
        <w:rPr>
          <w:sz w:val="18"/>
        </w:rPr>
        <w:t>special</w:t>
      </w:r>
      <w:r w:rsidRPr="00EC20A0">
        <w:rPr>
          <w:spacing w:val="-3"/>
          <w:sz w:val="18"/>
        </w:rPr>
        <w:t xml:space="preserve"> </w:t>
      </w:r>
      <w:r w:rsidRPr="00EC20A0">
        <w:rPr>
          <w:sz w:val="18"/>
        </w:rPr>
        <w:t>skills</w:t>
      </w:r>
      <w:r w:rsidRPr="00EC20A0">
        <w:rPr>
          <w:spacing w:val="-3"/>
          <w:sz w:val="18"/>
        </w:rPr>
        <w:t xml:space="preserve"> </w:t>
      </w:r>
      <w:r w:rsidRPr="00EC20A0">
        <w:rPr>
          <w:sz w:val="18"/>
        </w:rPr>
        <w:t>or</w:t>
      </w:r>
      <w:r w:rsidRPr="00EC20A0">
        <w:rPr>
          <w:spacing w:val="-3"/>
          <w:sz w:val="18"/>
        </w:rPr>
        <w:t xml:space="preserve"> </w:t>
      </w:r>
      <w:r w:rsidRPr="00EC20A0">
        <w:rPr>
          <w:sz w:val="18"/>
        </w:rPr>
        <w:t>knowledge</w:t>
      </w:r>
      <w:r w:rsidRPr="00EC20A0">
        <w:rPr>
          <w:spacing w:val="-3"/>
          <w:sz w:val="18"/>
        </w:rPr>
        <w:t xml:space="preserve"> </w:t>
      </w:r>
      <w:r w:rsidRPr="00EC20A0">
        <w:rPr>
          <w:sz w:val="18"/>
        </w:rPr>
        <w:t>in</w:t>
      </w:r>
      <w:r w:rsidRPr="00EC20A0">
        <w:rPr>
          <w:spacing w:val="-4"/>
          <w:sz w:val="18"/>
        </w:rPr>
        <w:t xml:space="preserve"> </w:t>
      </w:r>
      <w:r w:rsidRPr="00EC20A0">
        <w:rPr>
          <w:sz w:val="18"/>
        </w:rPr>
        <w:t>the</w:t>
      </w:r>
      <w:r w:rsidRPr="00EC20A0">
        <w:rPr>
          <w:spacing w:val="-2"/>
          <w:sz w:val="18"/>
        </w:rPr>
        <w:t xml:space="preserve"> </w:t>
      </w:r>
      <w:r w:rsidRPr="00EC20A0">
        <w:rPr>
          <w:sz w:val="18"/>
        </w:rPr>
        <w:t>information</w:t>
      </w:r>
      <w:r w:rsidRPr="00EC20A0">
        <w:rPr>
          <w:spacing w:val="-4"/>
          <w:sz w:val="18"/>
        </w:rPr>
        <w:t xml:space="preserve"> </w:t>
      </w:r>
      <w:r w:rsidRPr="00EC20A0">
        <w:rPr>
          <w:sz w:val="18"/>
        </w:rPr>
        <w:t>technology</w:t>
      </w:r>
      <w:r w:rsidRPr="00EC20A0">
        <w:rPr>
          <w:spacing w:val="-3"/>
          <w:sz w:val="18"/>
        </w:rPr>
        <w:t xml:space="preserve"> </w:t>
      </w:r>
      <w:r w:rsidRPr="00EC20A0">
        <w:rPr>
          <w:sz w:val="18"/>
        </w:rPr>
        <w:t>field</w:t>
      </w:r>
      <w:r w:rsidRPr="00EC20A0">
        <w:rPr>
          <w:spacing w:val="-4"/>
          <w:sz w:val="18"/>
        </w:rPr>
        <w:t xml:space="preserve"> </w:t>
      </w:r>
      <w:r w:rsidRPr="00EC20A0">
        <w:rPr>
          <w:sz w:val="18"/>
        </w:rPr>
        <w:t>that</w:t>
      </w:r>
      <w:r w:rsidRPr="00EC20A0">
        <w:rPr>
          <w:spacing w:val="-3"/>
          <w:sz w:val="18"/>
        </w:rPr>
        <w:t xml:space="preserve"> </w:t>
      </w:r>
      <w:r w:rsidRPr="00EC20A0">
        <w:rPr>
          <w:sz w:val="18"/>
        </w:rPr>
        <w:t>extend</w:t>
      </w:r>
      <w:r w:rsidRPr="00EC20A0">
        <w:rPr>
          <w:spacing w:val="-3"/>
          <w:sz w:val="18"/>
        </w:rPr>
        <w:t xml:space="preserve"> </w:t>
      </w:r>
      <w:r w:rsidRPr="00EC20A0">
        <w:rPr>
          <w:sz w:val="18"/>
        </w:rPr>
        <w:t>beyond</w:t>
      </w:r>
      <w:r w:rsidRPr="00EC20A0">
        <w:rPr>
          <w:spacing w:val="-4"/>
          <w:sz w:val="18"/>
        </w:rPr>
        <w:t xml:space="preserve"> </w:t>
      </w:r>
      <w:r w:rsidRPr="00EC20A0">
        <w:rPr>
          <w:sz w:val="18"/>
        </w:rPr>
        <w:t>the</w:t>
      </w:r>
      <w:r w:rsidRPr="00EC20A0">
        <w:rPr>
          <w:spacing w:val="-4"/>
          <w:sz w:val="18"/>
        </w:rPr>
        <w:t xml:space="preserve"> </w:t>
      </w:r>
      <w:r w:rsidRPr="00EC20A0">
        <w:rPr>
          <w:sz w:val="18"/>
        </w:rPr>
        <w:t>skills</w:t>
      </w:r>
      <w:r w:rsidRPr="00EC20A0">
        <w:rPr>
          <w:spacing w:val="-3"/>
          <w:sz w:val="18"/>
        </w:rPr>
        <w:t xml:space="preserve"> </w:t>
      </w:r>
      <w:r w:rsidRPr="00EC20A0">
        <w:rPr>
          <w:sz w:val="18"/>
        </w:rPr>
        <w:t>and</w:t>
      </w:r>
      <w:r w:rsidRPr="00EC20A0">
        <w:rPr>
          <w:spacing w:val="-4"/>
          <w:sz w:val="18"/>
        </w:rPr>
        <w:t xml:space="preserve"> </w:t>
      </w:r>
      <w:r w:rsidRPr="00EC20A0">
        <w:rPr>
          <w:sz w:val="18"/>
        </w:rPr>
        <w:t xml:space="preserve">knowledge normally possessed by those working in specialized fields of auditing, such as IS controls </w:t>
      </w:r>
      <w:r w:rsidRPr="00EC20A0">
        <w:rPr>
          <w:sz w:val="18"/>
        </w:rPr>
        <w:t>auditing. Auditors and IS controls auditors may decide to seek the assistance of an information technology specialist to complete various aspects of the engagement.</w:t>
      </w:r>
    </w:p>
    <w:p w14:paraId="24D5FF1D" w14:textId="77777777" w:rsidR="00245300" w:rsidRPr="00EC20A0" w:rsidRDefault="00245300">
      <w:pPr>
        <w:spacing w:line="242" w:lineRule="auto"/>
        <w:rPr>
          <w:sz w:val="18"/>
        </w:rPr>
        <w:sectPr w:rsidR="00245300" w:rsidRPr="00EC20A0">
          <w:pgSz w:w="12240" w:h="15840"/>
          <w:pgMar w:top="1340" w:right="940" w:bottom="940" w:left="1020" w:header="721" w:footer="757" w:gutter="0"/>
          <w:cols w:space="720"/>
        </w:sectPr>
      </w:pPr>
    </w:p>
    <w:p w14:paraId="24D5FF1E" w14:textId="77777777" w:rsidR="00245300" w:rsidRPr="00EC20A0" w:rsidRDefault="00F17249">
      <w:pPr>
        <w:pStyle w:val="ListParagraph"/>
        <w:numPr>
          <w:ilvl w:val="0"/>
          <w:numId w:val="20"/>
        </w:numPr>
        <w:tabs>
          <w:tab w:val="left" w:pos="1858"/>
          <w:tab w:val="left" w:pos="1860"/>
        </w:tabs>
        <w:spacing w:before="121"/>
        <w:ind w:left="1860" w:right="984"/>
        <w:jc w:val="both"/>
      </w:pPr>
      <w:r w:rsidRPr="00EC20A0">
        <w:rPr>
          <w:color w:val="242424"/>
        </w:rPr>
        <w:t>An</w:t>
      </w:r>
      <w:r w:rsidRPr="00EC20A0">
        <w:rPr>
          <w:color w:val="242424"/>
          <w:spacing w:val="-1"/>
        </w:rPr>
        <w:t xml:space="preserve"> </w:t>
      </w:r>
      <w:r w:rsidRPr="00EC20A0">
        <w:rPr>
          <w:color w:val="242424"/>
        </w:rPr>
        <w:t>auditor’s</w:t>
      </w:r>
      <w:r w:rsidRPr="00EC20A0">
        <w:rPr>
          <w:color w:val="242424"/>
          <w:spacing w:val="-2"/>
        </w:rPr>
        <w:t xml:space="preserve"> </w:t>
      </w:r>
      <w:r w:rsidRPr="00EC20A0">
        <w:rPr>
          <w:color w:val="242424"/>
        </w:rPr>
        <w:t>specialist</w:t>
      </w:r>
      <w:r w:rsidRPr="00EC20A0">
        <w:rPr>
          <w:color w:val="242424"/>
          <w:spacing w:val="-1"/>
        </w:rPr>
        <w:t xml:space="preserve"> </w:t>
      </w:r>
      <w:r w:rsidRPr="00EC20A0">
        <w:rPr>
          <w:color w:val="242424"/>
        </w:rPr>
        <w:t>may</w:t>
      </w:r>
      <w:r w:rsidRPr="00EC20A0">
        <w:rPr>
          <w:color w:val="242424"/>
          <w:spacing w:val="-1"/>
        </w:rPr>
        <w:t xml:space="preserve"> </w:t>
      </w:r>
      <w:r w:rsidRPr="00EC20A0">
        <w:rPr>
          <w:color w:val="242424"/>
        </w:rPr>
        <w:t>be</w:t>
      </w:r>
      <w:r w:rsidRPr="00EC20A0">
        <w:rPr>
          <w:color w:val="242424"/>
          <w:spacing w:val="-1"/>
        </w:rPr>
        <w:t xml:space="preserve"> </w:t>
      </w:r>
      <w:r w:rsidRPr="00EC20A0">
        <w:rPr>
          <w:color w:val="242424"/>
        </w:rPr>
        <w:t>either</w:t>
      </w:r>
      <w:r w:rsidRPr="00EC20A0">
        <w:rPr>
          <w:color w:val="242424"/>
          <w:spacing w:val="-3"/>
        </w:rPr>
        <w:t xml:space="preserve"> </w:t>
      </w:r>
      <w:r w:rsidRPr="00EC20A0">
        <w:rPr>
          <w:color w:val="242424"/>
        </w:rPr>
        <w:t>an</w:t>
      </w:r>
      <w:r w:rsidRPr="00EC20A0">
        <w:rPr>
          <w:color w:val="242424"/>
          <w:spacing w:val="-1"/>
        </w:rPr>
        <w:t xml:space="preserve"> </w:t>
      </w:r>
      <w:r w:rsidRPr="00EC20A0">
        <w:rPr>
          <w:color w:val="242424"/>
        </w:rPr>
        <w:t>auditor’s</w:t>
      </w:r>
      <w:r w:rsidRPr="00EC20A0">
        <w:rPr>
          <w:color w:val="242424"/>
          <w:spacing w:val="-2"/>
        </w:rPr>
        <w:t xml:space="preserve"> </w:t>
      </w:r>
      <w:r w:rsidRPr="00EC20A0">
        <w:rPr>
          <w:color w:val="242424"/>
        </w:rPr>
        <w:t>internal</w:t>
      </w:r>
      <w:r w:rsidRPr="00EC20A0">
        <w:rPr>
          <w:color w:val="242424"/>
          <w:spacing w:val="-1"/>
        </w:rPr>
        <w:t xml:space="preserve"> </w:t>
      </w:r>
      <w:r w:rsidRPr="00EC20A0">
        <w:rPr>
          <w:color w:val="242424"/>
        </w:rPr>
        <w:t>specialist</w:t>
      </w:r>
      <w:r w:rsidRPr="00EC20A0">
        <w:rPr>
          <w:color w:val="242424"/>
          <w:spacing w:val="-1"/>
        </w:rPr>
        <w:t xml:space="preserve"> </w:t>
      </w:r>
      <w:r w:rsidRPr="00EC20A0">
        <w:rPr>
          <w:color w:val="242424"/>
        </w:rPr>
        <w:t>(who</w:t>
      </w:r>
      <w:r w:rsidRPr="00EC20A0">
        <w:rPr>
          <w:color w:val="242424"/>
          <w:spacing w:val="-1"/>
        </w:rPr>
        <w:t xml:space="preserve"> </w:t>
      </w:r>
      <w:r w:rsidRPr="00EC20A0">
        <w:rPr>
          <w:color w:val="242424"/>
        </w:rPr>
        <w:t>is</w:t>
      </w:r>
      <w:r w:rsidRPr="00EC20A0">
        <w:rPr>
          <w:color w:val="242424"/>
          <w:spacing w:val="-1"/>
        </w:rPr>
        <w:t xml:space="preserve"> </w:t>
      </w:r>
      <w:r w:rsidRPr="00EC20A0">
        <w:rPr>
          <w:color w:val="242424"/>
        </w:rPr>
        <w:t>a partner</w:t>
      </w:r>
      <w:r w:rsidRPr="00EC20A0">
        <w:rPr>
          <w:color w:val="242424"/>
          <w:spacing w:val="-4"/>
        </w:rPr>
        <w:t xml:space="preserve"> </w:t>
      </w:r>
      <w:r w:rsidRPr="00EC20A0">
        <w:rPr>
          <w:color w:val="242424"/>
        </w:rPr>
        <w:t>or</w:t>
      </w:r>
      <w:r w:rsidRPr="00EC20A0">
        <w:rPr>
          <w:color w:val="242424"/>
          <w:spacing w:val="-4"/>
        </w:rPr>
        <w:t xml:space="preserve"> </w:t>
      </w:r>
      <w:r w:rsidRPr="00EC20A0">
        <w:rPr>
          <w:color w:val="242424"/>
        </w:rPr>
        <w:t>staff</w:t>
      </w:r>
      <w:r w:rsidRPr="00EC20A0">
        <w:rPr>
          <w:color w:val="242424"/>
          <w:spacing w:val="-4"/>
        </w:rPr>
        <w:t xml:space="preserve"> </w:t>
      </w:r>
      <w:r w:rsidRPr="00EC20A0">
        <w:rPr>
          <w:color w:val="242424"/>
        </w:rPr>
        <w:t>member,</w:t>
      </w:r>
      <w:r w:rsidRPr="00EC20A0">
        <w:rPr>
          <w:color w:val="242424"/>
          <w:spacing w:val="-3"/>
        </w:rPr>
        <w:t xml:space="preserve"> </w:t>
      </w:r>
      <w:r w:rsidRPr="00EC20A0">
        <w:rPr>
          <w:color w:val="242424"/>
        </w:rPr>
        <w:t>including</w:t>
      </w:r>
      <w:r w:rsidRPr="00EC20A0">
        <w:rPr>
          <w:color w:val="242424"/>
          <w:spacing w:val="-5"/>
        </w:rPr>
        <w:t xml:space="preserve"> </w:t>
      </w:r>
      <w:r w:rsidRPr="00EC20A0">
        <w:rPr>
          <w:color w:val="242424"/>
        </w:rPr>
        <w:t>a</w:t>
      </w:r>
      <w:r w:rsidRPr="00EC20A0">
        <w:rPr>
          <w:color w:val="242424"/>
          <w:spacing w:val="-5"/>
        </w:rPr>
        <w:t xml:space="preserve"> </w:t>
      </w:r>
      <w:r w:rsidRPr="00EC20A0">
        <w:rPr>
          <w:color w:val="242424"/>
        </w:rPr>
        <w:t>temporary</w:t>
      </w:r>
      <w:r w:rsidRPr="00EC20A0">
        <w:rPr>
          <w:color w:val="242424"/>
          <w:spacing w:val="-4"/>
        </w:rPr>
        <w:t xml:space="preserve"> </w:t>
      </w:r>
      <w:r w:rsidRPr="00EC20A0">
        <w:rPr>
          <w:color w:val="242424"/>
        </w:rPr>
        <w:t>staff</w:t>
      </w:r>
      <w:r w:rsidRPr="00EC20A0">
        <w:rPr>
          <w:color w:val="242424"/>
          <w:spacing w:val="-4"/>
        </w:rPr>
        <w:t xml:space="preserve"> </w:t>
      </w:r>
      <w:r w:rsidRPr="00EC20A0">
        <w:rPr>
          <w:color w:val="242424"/>
        </w:rPr>
        <w:t>member,</w:t>
      </w:r>
      <w:r w:rsidRPr="00EC20A0">
        <w:rPr>
          <w:color w:val="242424"/>
          <w:spacing w:val="-3"/>
        </w:rPr>
        <w:t xml:space="preserve"> </w:t>
      </w:r>
      <w:r w:rsidRPr="00EC20A0">
        <w:rPr>
          <w:color w:val="242424"/>
        </w:rPr>
        <w:t>of</w:t>
      </w:r>
      <w:r w:rsidRPr="00EC20A0">
        <w:rPr>
          <w:color w:val="242424"/>
          <w:spacing w:val="-4"/>
        </w:rPr>
        <w:t xml:space="preserve"> </w:t>
      </w:r>
      <w:r w:rsidRPr="00EC20A0">
        <w:rPr>
          <w:color w:val="242424"/>
        </w:rPr>
        <w:t>the</w:t>
      </w:r>
      <w:r w:rsidRPr="00EC20A0">
        <w:rPr>
          <w:color w:val="242424"/>
          <w:spacing w:val="-4"/>
        </w:rPr>
        <w:t xml:space="preserve"> </w:t>
      </w:r>
      <w:r w:rsidRPr="00EC20A0">
        <w:rPr>
          <w:color w:val="242424"/>
        </w:rPr>
        <w:t>auditor’s organization) or an auditor’s external specialist (AU-C 620.06).</w:t>
      </w:r>
    </w:p>
    <w:p w14:paraId="24D5FF1F" w14:textId="77777777" w:rsidR="00245300" w:rsidRPr="00EC20A0" w:rsidRDefault="00F17249">
      <w:pPr>
        <w:pStyle w:val="Heading4"/>
      </w:pPr>
      <w:bookmarkStart w:id="30" w:name="Determining_the_Need_for_an_Auditor’s_Sp"/>
      <w:bookmarkEnd w:id="30"/>
      <w:r w:rsidRPr="00EC20A0">
        <w:t>Determining</w:t>
      </w:r>
      <w:r w:rsidRPr="00EC20A0">
        <w:rPr>
          <w:spacing w:val="-11"/>
        </w:rPr>
        <w:t xml:space="preserve"> </w:t>
      </w:r>
      <w:r w:rsidRPr="00EC20A0">
        <w:t>the</w:t>
      </w:r>
      <w:r w:rsidRPr="00EC20A0">
        <w:rPr>
          <w:spacing w:val="-9"/>
        </w:rPr>
        <w:t xml:space="preserve"> </w:t>
      </w:r>
      <w:r w:rsidRPr="00EC20A0">
        <w:t>Need</w:t>
      </w:r>
      <w:r w:rsidRPr="00EC20A0">
        <w:rPr>
          <w:spacing w:val="-10"/>
        </w:rPr>
        <w:t xml:space="preserve"> </w:t>
      </w:r>
      <w:r w:rsidRPr="00EC20A0">
        <w:t>for</w:t>
      </w:r>
      <w:r w:rsidRPr="00EC20A0">
        <w:rPr>
          <w:spacing w:val="-10"/>
        </w:rPr>
        <w:t xml:space="preserve"> </w:t>
      </w:r>
      <w:r w:rsidRPr="00EC20A0">
        <w:t>an</w:t>
      </w:r>
      <w:r w:rsidRPr="00EC20A0">
        <w:rPr>
          <w:spacing w:val="-10"/>
        </w:rPr>
        <w:t xml:space="preserve"> </w:t>
      </w:r>
      <w:r w:rsidRPr="00EC20A0">
        <w:t>Auditor’s</w:t>
      </w:r>
      <w:r w:rsidRPr="00EC20A0">
        <w:rPr>
          <w:spacing w:val="-9"/>
        </w:rPr>
        <w:t xml:space="preserve"> </w:t>
      </w:r>
      <w:r w:rsidRPr="00EC20A0">
        <w:rPr>
          <w:spacing w:val="-2"/>
        </w:rPr>
        <w:t>Specialist</w:t>
      </w:r>
    </w:p>
    <w:p w14:paraId="24D5FF20" w14:textId="77777777" w:rsidR="00245300" w:rsidRPr="00EC20A0" w:rsidRDefault="00F17249">
      <w:pPr>
        <w:pStyle w:val="ListParagraph"/>
        <w:numPr>
          <w:ilvl w:val="0"/>
          <w:numId w:val="217"/>
        </w:numPr>
        <w:tabs>
          <w:tab w:val="left" w:pos="1859"/>
        </w:tabs>
        <w:ind w:right="590" w:hanging="720"/>
      </w:pPr>
      <w:r w:rsidRPr="00EC20A0">
        <w:t xml:space="preserve">If expertise in a field other than </w:t>
      </w:r>
      <w:r w:rsidRPr="00EC20A0">
        <w:t>accounting or auditing is necessary to obtain sufficient appropriate audit evidence, the auditor should determine whether to use</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an</w:t>
      </w:r>
      <w:r w:rsidRPr="00EC20A0">
        <w:rPr>
          <w:spacing w:val="-3"/>
        </w:rPr>
        <w:t xml:space="preserve"> </w:t>
      </w:r>
      <w:r w:rsidRPr="00EC20A0">
        <w:t>auditor’s</w:t>
      </w:r>
      <w:r w:rsidRPr="00EC20A0">
        <w:rPr>
          <w:spacing w:val="-2"/>
        </w:rPr>
        <w:t xml:space="preserve"> </w:t>
      </w:r>
      <w:r w:rsidRPr="00EC20A0">
        <w:t>specialist</w:t>
      </w:r>
      <w:r w:rsidRPr="00EC20A0">
        <w:rPr>
          <w:spacing w:val="-3"/>
        </w:rPr>
        <w:t xml:space="preserve"> </w:t>
      </w:r>
      <w:r w:rsidRPr="00EC20A0">
        <w:t>(AU-C</w:t>
      </w:r>
      <w:r w:rsidRPr="00EC20A0">
        <w:rPr>
          <w:spacing w:val="-4"/>
        </w:rPr>
        <w:t xml:space="preserve"> </w:t>
      </w:r>
      <w:r w:rsidRPr="00EC20A0">
        <w:t>620.07).</w:t>
      </w:r>
      <w:r w:rsidRPr="00EC20A0">
        <w:rPr>
          <w:spacing w:val="-3"/>
        </w:rPr>
        <w:t xml:space="preserve"> </w:t>
      </w:r>
      <w:r w:rsidRPr="00EC20A0">
        <w:t>As</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progresses</w:t>
      </w:r>
      <w:r w:rsidRPr="00EC20A0">
        <w:rPr>
          <w:spacing w:val="-3"/>
        </w:rPr>
        <w:t xml:space="preserve"> </w:t>
      </w:r>
      <w:r w:rsidRPr="00EC20A0">
        <w:t>or as</w:t>
      </w:r>
      <w:r w:rsidRPr="00EC20A0">
        <w:rPr>
          <w:spacing w:val="-4"/>
        </w:rPr>
        <w:t xml:space="preserve"> </w:t>
      </w:r>
      <w:r w:rsidRPr="00EC20A0">
        <w:t>circumstances</w:t>
      </w:r>
      <w:r w:rsidRPr="00EC20A0">
        <w:rPr>
          <w:spacing w:val="-4"/>
        </w:rPr>
        <w:t xml:space="preserve"> </w:t>
      </w:r>
      <w:r w:rsidRPr="00EC20A0">
        <w:t>change,</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may</w:t>
      </w:r>
      <w:r w:rsidRPr="00EC20A0">
        <w:rPr>
          <w:spacing w:val="-4"/>
        </w:rPr>
        <w:t xml:space="preserve"> </w:t>
      </w:r>
      <w:r w:rsidRPr="00EC20A0">
        <w:t>need</w:t>
      </w:r>
      <w:r w:rsidRPr="00EC20A0">
        <w:rPr>
          <w:spacing w:val="-4"/>
        </w:rPr>
        <w:t xml:space="preserve"> </w:t>
      </w:r>
      <w:r w:rsidRPr="00EC20A0">
        <w:t>to</w:t>
      </w:r>
      <w:r w:rsidRPr="00EC20A0">
        <w:rPr>
          <w:spacing w:val="-4"/>
        </w:rPr>
        <w:t xml:space="preserve"> </w:t>
      </w:r>
      <w:r w:rsidRPr="00EC20A0">
        <w:t>revise</w:t>
      </w:r>
      <w:r w:rsidRPr="00EC20A0">
        <w:rPr>
          <w:spacing w:val="-4"/>
        </w:rPr>
        <w:t xml:space="preserve"> </w:t>
      </w:r>
      <w:r w:rsidRPr="00EC20A0">
        <w:t>earlier</w:t>
      </w:r>
      <w:r w:rsidRPr="00EC20A0">
        <w:rPr>
          <w:spacing w:val="-4"/>
        </w:rPr>
        <w:t xml:space="preserve"> </w:t>
      </w:r>
      <w:r w:rsidRPr="00EC20A0">
        <w:t>decisions</w:t>
      </w:r>
      <w:r w:rsidRPr="00EC20A0">
        <w:rPr>
          <w:spacing w:val="-4"/>
        </w:rPr>
        <w:t xml:space="preserve"> </w:t>
      </w:r>
      <w:r w:rsidRPr="00EC20A0">
        <w:t>about using the work of an auditor’s specialist (AU-C 620.A7).</w:t>
      </w:r>
    </w:p>
    <w:p w14:paraId="24D5FF21" w14:textId="77777777" w:rsidR="00245300" w:rsidRPr="00EC20A0" w:rsidRDefault="00F17249">
      <w:pPr>
        <w:pStyle w:val="ListParagraph"/>
        <w:numPr>
          <w:ilvl w:val="0"/>
          <w:numId w:val="217"/>
        </w:numPr>
        <w:tabs>
          <w:tab w:val="left" w:pos="1860"/>
        </w:tabs>
        <w:ind w:left="1860" w:right="652"/>
      </w:pPr>
      <w:r w:rsidRPr="00EC20A0">
        <w:t>An</w:t>
      </w:r>
      <w:r w:rsidRPr="00EC20A0">
        <w:rPr>
          <w:spacing w:val="-3"/>
        </w:rPr>
        <w:t xml:space="preserve"> </w:t>
      </w:r>
      <w:r w:rsidRPr="00EC20A0">
        <w:t>auditor’s</w:t>
      </w:r>
      <w:r w:rsidRPr="00EC20A0">
        <w:rPr>
          <w:spacing w:val="-4"/>
        </w:rPr>
        <w:t xml:space="preserve"> </w:t>
      </w:r>
      <w:r w:rsidRPr="00EC20A0">
        <w:t>specialist</w:t>
      </w:r>
      <w:r w:rsidRPr="00EC20A0">
        <w:rPr>
          <w:spacing w:val="-3"/>
        </w:rPr>
        <w:t xml:space="preserve"> </w:t>
      </w:r>
      <w:r w:rsidRPr="00EC20A0">
        <w:t>may</w:t>
      </w:r>
      <w:r w:rsidRPr="00EC20A0">
        <w:rPr>
          <w:spacing w:val="-3"/>
        </w:rPr>
        <w:t xml:space="preserve"> </w:t>
      </w:r>
      <w:r w:rsidRPr="00EC20A0">
        <w:t>be</w:t>
      </w:r>
      <w:r w:rsidRPr="00EC20A0">
        <w:rPr>
          <w:spacing w:val="-3"/>
        </w:rPr>
        <w:t xml:space="preserve"> </w:t>
      </w:r>
      <w:r w:rsidRPr="00EC20A0">
        <w:t>needed</w:t>
      </w:r>
      <w:r w:rsidRPr="00EC20A0">
        <w:rPr>
          <w:spacing w:val="-3"/>
        </w:rPr>
        <w:t xml:space="preserve"> </w:t>
      </w:r>
      <w:r w:rsidRPr="00EC20A0">
        <w:t>to</w:t>
      </w:r>
      <w:r w:rsidRPr="00EC20A0">
        <w:rPr>
          <w:spacing w:val="-3"/>
        </w:rPr>
        <w:t xml:space="preserve"> </w:t>
      </w:r>
      <w:r w:rsidRPr="00EC20A0">
        <w:t>assist</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in</w:t>
      </w:r>
      <w:r w:rsidRPr="00EC20A0">
        <w:rPr>
          <w:spacing w:val="-4"/>
        </w:rPr>
        <w:t xml:space="preserve"> </w:t>
      </w:r>
      <w:r w:rsidRPr="00EC20A0">
        <w:t>one</w:t>
      </w:r>
      <w:r w:rsidRPr="00EC20A0">
        <w:rPr>
          <w:spacing w:val="-3"/>
        </w:rPr>
        <w:t xml:space="preserve"> </w:t>
      </w:r>
      <w:r w:rsidRPr="00EC20A0">
        <w:t>or</w:t>
      </w:r>
      <w:r w:rsidRPr="00EC20A0">
        <w:rPr>
          <w:spacing w:val="-3"/>
        </w:rPr>
        <w:t xml:space="preserve"> </w:t>
      </w:r>
      <w:r w:rsidRPr="00EC20A0">
        <w:t>more</w:t>
      </w:r>
      <w:r w:rsidRPr="00EC20A0">
        <w:rPr>
          <w:spacing w:val="-3"/>
        </w:rPr>
        <w:t xml:space="preserve"> </w:t>
      </w:r>
      <w:r w:rsidRPr="00EC20A0">
        <w:t>of</w:t>
      </w:r>
      <w:r w:rsidRPr="00EC20A0">
        <w:rPr>
          <w:spacing w:val="-3"/>
        </w:rPr>
        <w:t xml:space="preserve"> </w:t>
      </w:r>
      <w:r w:rsidRPr="00EC20A0">
        <w:t>the following (AU-C 620.A5):</w:t>
      </w:r>
    </w:p>
    <w:p w14:paraId="24D5FF22" w14:textId="77777777" w:rsidR="00245300" w:rsidRPr="00EC20A0" w:rsidRDefault="00F17249">
      <w:pPr>
        <w:pStyle w:val="ListParagraph"/>
        <w:numPr>
          <w:ilvl w:val="1"/>
          <w:numId w:val="217"/>
        </w:numPr>
        <w:tabs>
          <w:tab w:val="left" w:pos="2220"/>
        </w:tabs>
        <w:spacing w:before="239"/>
        <w:ind w:right="586"/>
      </w:pPr>
      <w:r w:rsidRPr="00EC20A0">
        <w:t xml:space="preserve">obtaining an understanding of the entity and its </w:t>
      </w:r>
      <w:r w:rsidRPr="00EC20A0">
        <w:t>environment, the applicable financial</w:t>
      </w:r>
      <w:r w:rsidRPr="00EC20A0">
        <w:rPr>
          <w:spacing w:val="-5"/>
        </w:rPr>
        <w:t xml:space="preserve"> </w:t>
      </w:r>
      <w:r w:rsidRPr="00EC20A0">
        <w:t>reporting</w:t>
      </w:r>
      <w:r w:rsidRPr="00EC20A0">
        <w:rPr>
          <w:spacing w:val="-5"/>
        </w:rPr>
        <w:t xml:space="preserve"> </w:t>
      </w:r>
      <w:r w:rsidRPr="00EC20A0">
        <w:t>framework</w:t>
      </w:r>
      <w:r w:rsidRPr="00EC20A0">
        <w:rPr>
          <w:spacing w:val="-5"/>
        </w:rPr>
        <w:t xml:space="preserve"> </w:t>
      </w:r>
      <w:r w:rsidRPr="00EC20A0">
        <w:t>(generally</w:t>
      </w:r>
      <w:r w:rsidRPr="00EC20A0">
        <w:rPr>
          <w:spacing w:val="-5"/>
        </w:rPr>
        <w:t xml:space="preserve"> </w:t>
      </w:r>
      <w:r w:rsidRPr="00EC20A0">
        <w:t>U.S.</w:t>
      </w:r>
      <w:r w:rsidRPr="00EC20A0">
        <w:rPr>
          <w:spacing w:val="-5"/>
        </w:rPr>
        <w:t xml:space="preserve"> </w:t>
      </w:r>
      <w:r w:rsidRPr="00EC20A0">
        <w:t>GAAP),</w:t>
      </w:r>
      <w:r w:rsidRPr="00EC20A0">
        <w:rPr>
          <w:spacing w:val="-5"/>
        </w:rPr>
        <w:t xml:space="preserve"> </w:t>
      </w:r>
      <w:r w:rsidRPr="00EC20A0">
        <w:t>and</w:t>
      </w:r>
      <w:r w:rsidRPr="00EC20A0">
        <w:rPr>
          <w:spacing w:val="-5"/>
        </w:rPr>
        <w:t xml:space="preserve"> </w:t>
      </w:r>
      <w:r w:rsidRPr="00EC20A0">
        <w:t>the</w:t>
      </w:r>
      <w:r w:rsidRPr="00EC20A0">
        <w:rPr>
          <w:spacing w:val="-5"/>
        </w:rPr>
        <w:t xml:space="preserve"> </w:t>
      </w:r>
      <w:r w:rsidRPr="00EC20A0">
        <w:t>entity’s</w:t>
      </w:r>
      <w:r w:rsidRPr="00EC20A0">
        <w:rPr>
          <w:spacing w:val="-5"/>
        </w:rPr>
        <w:t xml:space="preserve"> </w:t>
      </w:r>
      <w:r w:rsidRPr="00EC20A0">
        <w:t xml:space="preserve">internal </w:t>
      </w:r>
      <w:r w:rsidRPr="00EC20A0">
        <w:rPr>
          <w:spacing w:val="-2"/>
        </w:rPr>
        <w:t>control;</w:t>
      </w:r>
    </w:p>
    <w:p w14:paraId="24D5FF23" w14:textId="77777777" w:rsidR="00245300" w:rsidRPr="00EC20A0" w:rsidRDefault="00F17249">
      <w:pPr>
        <w:pStyle w:val="ListParagraph"/>
        <w:numPr>
          <w:ilvl w:val="1"/>
          <w:numId w:val="217"/>
        </w:numPr>
        <w:tabs>
          <w:tab w:val="left" w:pos="2219"/>
        </w:tabs>
        <w:spacing w:before="238"/>
        <w:ind w:left="2219"/>
      </w:pPr>
      <w:r w:rsidRPr="00EC20A0">
        <w:t>identifying</w:t>
      </w:r>
      <w:r w:rsidRPr="00EC20A0">
        <w:rPr>
          <w:spacing w:val="-8"/>
        </w:rPr>
        <w:t xml:space="preserve"> </w:t>
      </w:r>
      <w:r w:rsidRPr="00EC20A0">
        <w:t>and</w:t>
      </w:r>
      <w:r w:rsidRPr="00EC20A0">
        <w:rPr>
          <w:spacing w:val="-7"/>
        </w:rPr>
        <w:t xml:space="preserve"> </w:t>
      </w:r>
      <w:r w:rsidRPr="00EC20A0">
        <w:t>assessing</w:t>
      </w:r>
      <w:r w:rsidRPr="00EC20A0">
        <w:rPr>
          <w:spacing w:val="-6"/>
        </w:rPr>
        <w:t xml:space="preserve"> </w:t>
      </w:r>
      <w:r w:rsidRPr="00EC20A0">
        <w:t>the</w:t>
      </w:r>
      <w:r w:rsidRPr="00EC20A0">
        <w:rPr>
          <w:spacing w:val="-7"/>
        </w:rPr>
        <w:t xml:space="preserve"> </w:t>
      </w:r>
      <w:r w:rsidRPr="00EC20A0">
        <w:t>risks</w:t>
      </w:r>
      <w:r w:rsidRPr="00EC20A0">
        <w:rPr>
          <w:spacing w:val="-7"/>
        </w:rPr>
        <w:t xml:space="preserve"> </w:t>
      </w:r>
      <w:r w:rsidRPr="00EC20A0">
        <w:t>of</w:t>
      </w:r>
      <w:r w:rsidRPr="00EC20A0">
        <w:rPr>
          <w:spacing w:val="-6"/>
        </w:rPr>
        <w:t xml:space="preserve"> </w:t>
      </w:r>
      <w:r w:rsidRPr="00EC20A0">
        <w:t>material</w:t>
      </w:r>
      <w:r w:rsidRPr="00EC20A0">
        <w:rPr>
          <w:spacing w:val="-7"/>
        </w:rPr>
        <w:t xml:space="preserve"> </w:t>
      </w:r>
      <w:r w:rsidRPr="00EC20A0">
        <w:rPr>
          <w:spacing w:val="-2"/>
        </w:rPr>
        <w:t>misstatement;</w:t>
      </w:r>
    </w:p>
    <w:p w14:paraId="24D5FF24" w14:textId="77777777" w:rsidR="00245300" w:rsidRPr="00EC20A0" w:rsidRDefault="00F17249">
      <w:pPr>
        <w:pStyle w:val="ListParagraph"/>
        <w:numPr>
          <w:ilvl w:val="1"/>
          <w:numId w:val="217"/>
        </w:numPr>
        <w:tabs>
          <w:tab w:val="left" w:pos="2219"/>
        </w:tabs>
        <w:spacing w:before="238"/>
        <w:ind w:left="2219" w:right="966"/>
      </w:pPr>
      <w:r w:rsidRPr="00EC20A0">
        <w:t>determining</w:t>
      </w:r>
      <w:r w:rsidRPr="00EC20A0">
        <w:rPr>
          <w:spacing w:val="-5"/>
        </w:rPr>
        <w:t xml:space="preserve"> </w:t>
      </w:r>
      <w:r w:rsidRPr="00EC20A0">
        <w:t>and</w:t>
      </w:r>
      <w:r w:rsidRPr="00EC20A0">
        <w:rPr>
          <w:spacing w:val="-5"/>
        </w:rPr>
        <w:t xml:space="preserve"> </w:t>
      </w:r>
      <w:r w:rsidRPr="00EC20A0">
        <w:t>implementing</w:t>
      </w:r>
      <w:r w:rsidRPr="00EC20A0">
        <w:rPr>
          <w:spacing w:val="-5"/>
        </w:rPr>
        <w:t xml:space="preserve"> </w:t>
      </w:r>
      <w:r w:rsidRPr="00EC20A0">
        <w:t>overall</w:t>
      </w:r>
      <w:r w:rsidRPr="00EC20A0">
        <w:rPr>
          <w:spacing w:val="-5"/>
        </w:rPr>
        <w:t xml:space="preserve"> </w:t>
      </w:r>
      <w:r w:rsidRPr="00EC20A0">
        <w:t>responses</w:t>
      </w:r>
      <w:r w:rsidRPr="00EC20A0">
        <w:rPr>
          <w:spacing w:val="-6"/>
        </w:rPr>
        <w:t xml:space="preserve"> </w:t>
      </w:r>
      <w:r w:rsidRPr="00EC20A0">
        <w:t>to</w:t>
      </w:r>
      <w:r w:rsidRPr="00EC20A0">
        <w:rPr>
          <w:spacing w:val="-5"/>
        </w:rPr>
        <w:t xml:space="preserve"> </w:t>
      </w:r>
      <w:r w:rsidRPr="00EC20A0">
        <w:t>assessed</w:t>
      </w:r>
      <w:r w:rsidRPr="00EC20A0">
        <w:rPr>
          <w:spacing w:val="-5"/>
        </w:rPr>
        <w:t xml:space="preserve"> </w:t>
      </w:r>
      <w:r w:rsidRPr="00EC20A0">
        <w:t>risks</w:t>
      </w:r>
      <w:r w:rsidRPr="00EC20A0">
        <w:rPr>
          <w:spacing w:val="-5"/>
        </w:rPr>
        <w:t xml:space="preserve"> </w:t>
      </w:r>
      <w:r w:rsidRPr="00EC20A0">
        <w:t>at</w:t>
      </w:r>
      <w:r w:rsidRPr="00EC20A0">
        <w:rPr>
          <w:spacing w:val="-5"/>
        </w:rPr>
        <w:t xml:space="preserve"> </w:t>
      </w:r>
      <w:r w:rsidRPr="00EC20A0">
        <w:t>the financial statement level;</w:t>
      </w:r>
    </w:p>
    <w:p w14:paraId="24D5FF25" w14:textId="77777777" w:rsidR="00245300" w:rsidRPr="00EC20A0" w:rsidRDefault="00F17249">
      <w:pPr>
        <w:pStyle w:val="ListParagraph"/>
        <w:numPr>
          <w:ilvl w:val="1"/>
          <w:numId w:val="217"/>
        </w:numPr>
        <w:tabs>
          <w:tab w:val="left" w:pos="2219"/>
        </w:tabs>
        <w:spacing w:before="239"/>
        <w:ind w:left="2219" w:right="645"/>
      </w:pPr>
      <w:r w:rsidRPr="00EC20A0">
        <w:t>designing</w:t>
      </w:r>
      <w:r w:rsidRPr="00EC20A0">
        <w:rPr>
          <w:spacing w:val="-4"/>
        </w:rPr>
        <w:t xml:space="preserve"> </w:t>
      </w:r>
      <w:r w:rsidRPr="00EC20A0">
        <w:t>and</w:t>
      </w:r>
      <w:r w:rsidRPr="00EC20A0">
        <w:rPr>
          <w:spacing w:val="-4"/>
        </w:rPr>
        <w:t xml:space="preserve"> </w:t>
      </w:r>
      <w:r w:rsidRPr="00EC20A0">
        <w:t>performing</w:t>
      </w:r>
      <w:r w:rsidRPr="00EC20A0">
        <w:rPr>
          <w:spacing w:val="-4"/>
        </w:rPr>
        <w:t xml:space="preserve"> </w:t>
      </w:r>
      <w:r w:rsidRPr="00EC20A0">
        <w:t>additional</w:t>
      </w:r>
      <w:r w:rsidRPr="00EC20A0">
        <w:rPr>
          <w:spacing w:val="-4"/>
        </w:rPr>
        <w:t xml:space="preserve"> </w:t>
      </w:r>
      <w:r w:rsidRPr="00EC20A0">
        <w:t>audit</w:t>
      </w:r>
      <w:r w:rsidRPr="00EC20A0">
        <w:rPr>
          <w:spacing w:val="-4"/>
        </w:rPr>
        <w:t xml:space="preserve"> </w:t>
      </w:r>
      <w:r w:rsidRPr="00EC20A0">
        <w:t>procedures</w:t>
      </w:r>
      <w:r w:rsidRPr="00EC20A0">
        <w:rPr>
          <w:spacing w:val="-4"/>
        </w:rPr>
        <w:t xml:space="preserve"> </w:t>
      </w:r>
      <w:r w:rsidRPr="00EC20A0">
        <w:t>to</w:t>
      </w:r>
      <w:r w:rsidRPr="00EC20A0">
        <w:rPr>
          <w:spacing w:val="-4"/>
        </w:rPr>
        <w:t xml:space="preserve"> </w:t>
      </w:r>
      <w:r w:rsidRPr="00EC20A0">
        <w:t>respond</w:t>
      </w:r>
      <w:r w:rsidRPr="00EC20A0">
        <w:rPr>
          <w:spacing w:val="-4"/>
        </w:rPr>
        <w:t xml:space="preserve"> </w:t>
      </w:r>
      <w:r w:rsidRPr="00EC20A0">
        <w:t>to</w:t>
      </w:r>
      <w:r w:rsidRPr="00EC20A0">
        <w:rPr>
          <w:spacing w:val="-4"/>
        </w:rPr>
        <w:t xml:space="preserve"> </w:t>
      </w:r>
      <w:r w:rsidRPr="00EC20A0">
        <w:t>the</w:t>
      </w:r>
      <w:r w:rsidRPr="00EC20A0">
        <w:rPr>
          <w:spacing w:val="-5"/>
        </w:rPr>
        <w:t xml:space="preserve"> </w:t>
      </w:r>
      <w:r w:rsidRPr="00EC20A0">
        <w:t>risks of material misstatement at the assertion level, which may include tests of controls or substantive procedures; and</w:t>
      </w:r>
    </w:p>
    <w:p w14:paraId="24D5FF26" w14:textId="77777777" w:rsidR="00245300" w:rsidRPr="00EC20A0" w:rsidRDefault="00F17249">
      <w:pPr>
        <w:pStyle w:val="ListParagraph"/>
        <w:numPr>
          <w:ilvl w:val="1"/>
          <w:numId w:val="217"/>
        </w:numPr>
        <w:tabs>
          <w:tab w:val="left" w:pos="2219"/>
        </w:tabs>
        <w:spacing w:before="238"/>
        <w:ind w:left="2219" w:right="670"/>
      </w:pPr>
      <w:r w:rsidRPr="00EC20A0">
        <w:t>evaluating</w:t>
      </w:r>
      <w:r w:rsidRPr="00EC20A0">
        <w:rPr>
          <w:spacing w:val="-5"/>
        </w:rPr>
        <w:t xml:space="preserve"> </w:t>
      </w:r>
      <w:r w:rsidRPr="00EC20A0">
        <w:t>the</w:t>
      </w:r>
      <w:r w:rsidRPr="00EC20A0">
        <w:rPr>
          <w:spacing w:val="-5"/>
        </w:rPr>
        <w:t xml:space="preserve"> </w:t>
      </w:r>
      <w:r w:rsidRPr="00EC20A0">
        <w:t>sufficiency</w:t>
      </w:r>
      <w:r w:rsidRPr="00EC20A0">
        <w:rPr>
          <w:spacing w:val="-5"/>
        </w:rPr>
        <w:t xml:space="preserve"> </w:t>
      </w:r>
      <w:r w:rsidRPr="00EC20A0">
        <w:t>and</w:t>
      </w:r>
      <w:r w:rsidRPr="00EC20A0">
        <w:rPr>
          <w:spacing w:val="-5"/>
        </w:rPr>
        <w:t xml:space="preserve"> </w:t>
      </w:r>
      <w:r w:rsidRPr="00EC20A0">
        <w:t>appropriateness</w:t>
      </w:r>
      <w:r w:rsidRPr="00EC20A0">
        <w:rPr>
          <w:spacing w:val="-5"/>
        </w:rPr>
        <w:t xml:space="preserve"> </w:t>
      </w:r>
      <w:r w:rsidRPr="00EC20A0">
        <w:t>of</w:t>
      </w:r>
      <w:r w:rsidRPr="00EC20A0">
        <w:rPr>
          <w:spacing w:val="-5"/>
        </w:rPr>
        <w:t xml:space="preserve"> </w:t>
      </w:r>
      <w:r w:rsidRPr="00EC20A0">
        <w:t>audit</w:t>
      </w:r>
      <w:r w:rsidRPr="00EC20A0">
        <w:rPr>
          <w:spacing w:val="-5"/>
        </w:rPr>
        <w:t xml:space="preserve"> </w:t>
      </w:r>
      <w:r w:rsidRPr="00EC20A0">
        <w:t>evidence</w:t>
      </w:r>
      <w:r w:rsidRPr="00EC20A0">
        <w:rPr>
          <w:spacing w:val="-5"/>
        </w:rPr>
        <w:t xml:space="preserve"> </w:t>
      </w:r>
      <w:r w:rsidRPr="00EC20A0">
        <w:t>obtained</w:t>
      </w:r>
      <w:r w:rsidRPr="00EC20A0">
        <w:rPr>
          <w:spacing w:val="-5"/>
        </w:rPr>
        <w:t xml:space="preserve"> </w:t>
      </w:r>
      <w:r w:rsidRPr="00EC20A0">
        <w:t>in forming an opinion on the financial statements.</w:t>
      </w:r>
    </w:p>
    <w:p w14:paraId="24D5FF27" w14:textId="77777777" w:rsidR="00245300" w:rsidRPr="00EC20A0" w:rsidRDefault="00F17249">
      <w:pPr>
        <w:pStyle w:val="ListParagraph"/>
        <w:numPr>
          <w:ilvl w:val="0"/>
          <w:numId w:val="217"/>
        </w:numPr>
        <w:tabs>
          <w:tab w:val="left" w:pos="1859"/>
        </w:tabs>
        <w:spacing w:before="239"/>
        <w:ind w:right="629" w:hanging="720"/>
      </w:pPr>
      <w:r w:rsidRPr="00EC20A0">
        <w:t>In</w:t>
      </w:r>
      <w:r w:rsidRPr="00EC20A0">
        <w:rPr>
          <w:spacing w:val="-3"/>
        </w:rPr>
        <w:t xml:space="preserve"> </w:t>
      </w:r>
      <w:r w:rsidRPr="00EC20A0">
        <w:t>some</w:t>
      </w:r>
      <w:r w:rsidRPr="00EC20A0">
        <w:rPr>
          <w:spacing w:val="-3"/>
        </w:rPr>
        <w:t xml:space="preserve"> </w:t>
      </w:r>
      <w:r w:rsidRPr="00EC20A0">
        <w:t>situations,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may</w:t>
      </w:r>
      <w:r w:rsidRPr="00EC20A0">
        <w:rPr>
          <w:spacing w:val="-3"/>
        </w:rPr>
        <w:t xml:space="preserve"> </w:t>
      </w:r>
      <w:r w:rsidRPr="00EC20A0">
        <w:t>determine</w:t>
      </w:r>
      <w:r w:rsidRPr="00EC20A0">
        <w:rPr>
          <w:spacing w:val="-3"/>
        </w:rPr>
        <w:t xml:space="preserve"> </w:t>
      </w:r>
      <w:r w:rsidRPr="00EC20A0">
        <w:t>that</w:t>
      </w:r>
      <w:r w:rsidRPr="00EC20A0">
        <w:rPr>
          <w:spacing w:val="-3"/>
        </w:rPr>
        <w:t xml:space="preserve"> </w:t>
      </w:r>
      <w:r w:rsidRPr="00EC20A0">
        <w:t>it</w:t>
      </w:r>
      <w:r w:rsidRPr="00EC20A0">
        <w:rPr>
          <w:spacing w:val="-3"/>
        </w:rPr>
        <w:t xml:space="preserve"> </w:t>
      </w:r>
      <w:r w:rsidRPr="00EC20A0">
        <w:t>is</w:t>
      </w:r>
      <w:r w:rsidRPr="00EC20A0">
        <w:rPr>
          <w:spacing w:val="-3"/>
        </w:rPr>
        <w:t xml:space="preserve"> </w:t>
      </w:r>
      <w:r w:rsidRPr="00EC20A0">
        <w:t>necessary</w:t>
      </w:r>
      <w:r w:rsidRPr="00EC20A0">
        <w:rPr>
          <w:spacing w:val="-3"/>
        </w:rPr>
        <w:t xml:space="preserve"> </w:t>
      </w:r>
      <w:r w:rsidRPr="00EC20A0">
        <w:t>to</w:t>
      </w:r>
      <w:r w:rsidRPr="00EC20A0">
        <w:rPr>
          <w:spacing w:val="-3"/>
        </w:rPr>
        <w:t xml:space="preserve"> </w:t>
      </w:r>
      <w:r w:rsidRPr="00EC20A0">
        <w:t>use,</w:t>
      </w:r>
      <w:r w:rsidRPr="00EC20A0">
        <w:rPr>
          <w:spacing w:val="-3"/>
        </w:rPr>
        <w:t xml:space="preserve"> </w:t>
      </w:r>
      <w:r w:rsidRPr="00EC20A0">
        <w:t>or</w:t>
      </w:r>
      <w:r w:rsidRPr="00EC20A0">
        <w:rPr>
          <w:spacing w:val="-3"/>
        </w:rPr>
        <w:t xml:space="preserve"> </w:t>
      </w:r>
      <w:r w:rsidRPr="00EC20A0">
        <w:t>may choose</w:t>
      </w:r>
      <w:r w:rsidRPr="00EC20A0">
        <w:rPr>
          <w:spacing w:val="-1"/>
        </w:rPr>
        <w:t xml:space="preserve"> </w:t>
      </w:r>
      <w:r w:rsidRPr="00EC20A0">
        <w:t>to</w:t>
      </w:r>
      <w:r w:rsidRPr="00EC20A0">
        <w:rPr>
          <w:spacing w:val="-1"/>
        </w:rPr>
        <w:t xml:space="preserve"> </w:t>
      </w:r>
      <w:r w:rsidRPr="00EC20A0">
        <w:t>use,</w:t>
      </w:r>
      <w:r w:rsidRPr="00EC20A0">
        <w:rPr>
          <w:spacing w:val="-1"/>
        </w:rPr>
        <w:t xml:space="preserve"> </w:t>
      </w:r>
      <w:r w:rsidRPr="00EC20A0">
        <w:t>an</w:t>
      </w:r>
      <w:r w:rsidRPr="00EC20A0">
        <w:rPr>
          <w:spacing w:val="-1"/>
        </w:rPr>
        <w:t xml:space="preserve"> </w:t>
      </w:r>
      <w:r w:rsidRPr="00EC20A0">
        <w:t>auditor’s specialist</w:t>
      </w:r>
      <w:r w:rsidRPr="00EC20A0">
        <w:rPr>
          <w:spacing w:val="-1"/>
        </w:rPr>
        <w:t xml:space="preserve"> </w:t>
      </w:r>
      <w:r w:rsidRPr="00EC20A0">
        <w:t>to</w:t>
      </w:r>
      <w:r w:rsidRPr="00EC20A0">
        <w:rPr>
          <w:spacing w:val="-1"/>
        </w:rPr>
        <w:t xml:space="preserve"> </w:t>
      </w:r>
      <w:r w:rsidRPr="00EC20A0">
        <w:t>assist</w:t>
      </w:r>
      <w:r w:rsidRPr="00EC20A0">
        <w:rPr>
          <w:spacing w:val="-1"/>
        </w:rPr>
        <w:t xml:space="preserve"> </w:t>
      </w:r>
      <w:r w:rsidRPr="00EC20A0">
        <w:t>in</w:t>
      </w:r>
      <w:r w:rsidRPr="00EC20A0">
        <w:rPr>
          <w:spacing w:val="-1"/>
        </w:rPr>
        <w:t xml:space="preserve"> </w:t>
      </w:r>
      <w:r w:rsidRPr="00EC20A0">
        <w:t>obtaining</w:t>
      </w:r>
      <w:r w:rsidRPr="00EC20A0">
        <w:rPr>
          <w:spacing w:val="-2"/>
        </w:rPr>
        <w:t xml:space="preserve"> </w:t>
      </w:r>
      <w:r w:rsidRPr="00EC20A0">
        <w:t>sufficient</w:t>
      </w:r>
      <w:r w:rsidRPr="00EC20A0">
        <w:rPr>
          <w:spacing w:val="-1"/>
        </w:rPr>
        <w:t xml:space="preserve"> </w:t>
      </w:r>
      <w:r w:rsidRPr="00EC20A0">
        <w:t>appropriate audit evidence. Considerations when deciding whether to use an auditor’s specialist may include the following (AU-C 620.A9):</w:t>
      </w:r>
    </w:p>
    <w:p w14:paraId="24D5FF28" w14:textId="77777777" w:rsidR="00245300" w:rsidRPr="00EC20A0" w:rsidRDefault="00F17249">
      <w:pPr>
        <w:pStyle w:val="ListParagraph"/>
        <w:numPr>
          <w:ilvl w:val="1"/>
          <w:numId w:val="217"/>
        </w:numPr>
        <w:tabs>
          <w:tab w:val="left" w:pos="2219"/>
        </w:tabs>
        <w:spacing w:before="239"/>
        <w:ind w:left="2219" w:right="1368"/>
      </w:pPr>
      <w:r w:rsidRPr="00EC20A0">
        <w:t>whether</w:t>
      </w:r>
      <w:r w:rsidRPr="00EC20A0">
        <w:rPr>
          <w:spacing w:val="-4"/>
        </w:rPr>
        <w:t xml:space="preserve"> </w:t>
      </w:r>
      <w:r w:rsidRPr="00EC20A0">
        <w:t>management</w:t>
      </w:r>
      <w:r w:rsidRPr="00EC20A0">
        <w:rPr>
          <w:spacing w:val="-4"/>
        </w:rPr>
        <w:t xml:space="preserve"> </w:t>
      </w:r>
      <w:r w:rsidRPr="00EC20A0">
        <w:t>has</w:t>
      </w:r>
      <w:r w:rsidRPr="00EC20A0">
        <w:rPr>
          <w:spacing w:val="-4"/>
        </w:rPr>
        <w:t xml:space="preserve"> </w:t>
      </w:r>
      <w:r w:rsidRPr="00EC20A0">
        <w:t>used</w:t>
      </w:r>
      <w:r w:rsidRPr="00EC20A0">
        <w:rPr>
          <w:spacing w:val="-4"/>
        </w:rPr>
        <w:t xml:space="preserve"> </w:t>
      </w:r>
      <w:r w:rsidRPr="00EC20A0">
        <w:t>a</w:t>
      </w:r>
      <w:r w:rsidRPr="00EC20A0">
        <w:rPr>
          <w:spacing w:val="-4"/>
        </w:rPr>
        <w:t xml:space="preserve"> </w:t>
      </w:r>
      <w:r w:rsidRPr="00EC20A0">
        <w:t>specialist</w:t>
      </w:r>
      <w:r w:rsidRPr="00EC20A0">
        <w:rPr>
          <w:spacing w:val="-4"/>
        </w:rPr>
        <w:t xml:space="preserve"> </w:t>
      </w:r>
      <w:r w:rsidRPr="00EC20A0">
        <w:t>in</w:t>
      </w:r>
      <w:r w:rsidRPr="00EC20A0">
        <w:rPr>
          <w:spacing w:val="-4"/>
        </w:rPr>
        <w:t xml:space="preserve"> </w:t>
      </w:r>
      <w:r w:rsidRPr="00EC20A0">
        <w:t>preparing</w:t>
      </w:r>
      <w:r w:rsidRPr="00EC20A0">
        <w:rPr>
          <w:spacing w:val="-4"/>
        </w:rPr>
        <w:t xml:space="preserve"> </w:t>
      </w:r>
      <w:r w:rsidRPr="00EC20A0">
        <w:t>the</w:t>
      </w:r>
      <w:r w:rsidRPr="00EC20A0">
        <w:rPr>
          <w:spacing w:val="-5"/>
        </w:rPr>
        <w:t xml:space="preserve"> </w:t>
      </w:r>
      <w:r w:rsidRPr="00EC20A0">
        <w:t>financial statements (see AU-C 620.A10);</w:t>
      </w:r>
    </w:p>
    <w:p w14:paraId="24D5FF29" w14:textId="77777777" w:rsidR="00245300" w:rsidRPr="00EC20A0" w:rsidRDefault="00F17249">
      <w:pPr>
        <w:pStyle w:val="ListParagraph"/>
        <w:numPr>
          <w:ilvl w:val="1"/>
          <w:numId w:val="217"/>
        </w:numPr>
        <w:tabs>
          <w:tab w:val="left" w:pos="2219"/>
        </w:tabs>
        <w:spacing w:before="239"/>
        <w:ind w:left="2219"/>
      </w:pPr>
      <w:r w:rsidRPr="00EC20A0">
        <w:t>the</w:t>
      </w:r>
      <w:r w:rsidRPr="00EC20A0">
        <w:rPr>
          <w:spacing w:val="-6"/>
        </w:rPr>
        <w:t xml:space="preserve"> </w:t>
      </w:r>
      <w:r w:rsidRPr="00EC20A0">
        <w:t>nature</w:t>
      </w:r>
      <w:r w:rsidRPr="00EC20A0">
        <w:rPr>
          <w:spacing w:val="-6"/>
        </w:rPr>
        <w:t xml:space="preserve"> </w:t>
      </w:r>
      <w:r w:rsidRPr="00EC20A0">
        <w:t>and</w:t>
      </w:r>
      <w:r w:rsidRPr="00EC20A0">
        <w:rPr>
          <w:spacing w:val="-6"/>
        </w:rPr>
        <w:t xml:space="preserve"> </w:t>
      </w:r>
      <w:r w:rsidRPr="00EC20A0">
        <w:t>significance</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matter,</w:t>
      </w:r>
      <w:r w:rsidRPr="00EC20A0">
        <w:rPr>
          <w:spacing w:val="-6"/>
        </w:rPr>
        <w:t xml:space="preserve"> </w:t>
      </w:r>
      <w:r w:rsidRPr="00EC20A0">
        <w:t>including</w:t>
      </w:r>
      <w:r w:rsidRPr="00EC20A0">
        <w:rPr>
          <w:spacing w:val="-6"/>
        </w:rPr>
        <w:t xml:space="preserve"> </w:t>
      </w:r>
      <w:r w:rsidRPr="00EC20A0">
        <w:t>its</w:t>
      </w:r>
      <w:r w:rsidRPr="00EC20A0">
        <w:rPr>
          <w:spacing w:val="-6"/>
        </w:rPr>
        <w:t xml:space="preserve"> </w:t>
      </w:r>
      <w:r w:rsidRPr="00EC20A0">
        <w:rPr>
          <w:spacing w:val="-2"/>
        </w:rPr>
        <w:t>complexity;</w:t>
      </w:r>
    </w:p>
    <w:p w14:paraId="24D5FF2A" w14:textId="77777777" w:rsidR="00245300" w:rsidRPr="00EC20A0" w:rsidRDefault="00F17249">
      <w:pPr>
        <w:pStyle w:val="ListParagraph"/>
        <w:numPr>
          <w:ilvl w:val="1"/>
          <w:numId w:val="217"/>
        </w:numPr>
        <w:tabs>
          <w:tab w:val="left" w:pos="2220"/>
        </w:tabs>
        <w:spacing w:before="239"/>
      </w:pPr>
      <w:r w:rsidRPr="00EC20A0">
        <w:t>the</w:t>
      </w:r>
      <w:r w:rsidRPr="00EC20A0">
        <w:rPr>
          <w:spacing w:val="-6"/>
        </w:rPr>
        <w:t xml:space="preserve"> </w:t>
      </w:r>
      <w:r w:rsidRPr="00EC20A0">
        <w:t>risks</w:t>
      </w:r>
      <w:r w:rsidRPr="00EC20A0">
        <w:rPr>
          <w:spacing w:val="-7"/>
        </w:rPr>
        <w:t xml:space="preserve"> </w:t>
      </w:r>
      <w:r w:rsidRPr="00EC20A0">
        <w:t>of</w:t>
      </w:r>
      <w:r w:rsidRPr="00EC20A0">
        <w:rPr>
          <w:spacing w:val="-7"/>
        </w:rPr>
        <w:t xml:space="preserve"> </w:t>
      </w:r>
      <w:r w:rsidRPr="00EC20A0">
        <w:t>material</w:t>
      </w:r>
      <w:r w:rsidRPr="00EC20A0">
        <w:rPr>
          <w:spacing w:val="-5"/>
        </w:rPr>
        <w:t xml:space="preserve"> </w:t>
      </w:r>
      <w:r w:rsidRPr="00EC20A0">
        <w:t>misstatement</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matter;</w:t>
      </w:r>
      <w:r w:rsidRPr="00EC20A0">
        <w:rPr>
          <w:spacing w:val="-6"/>
        </w:rPr>
        <w:t xml:space="preserve"> </w:t>
      </w:r>
      <w:r w:rsidRPr="00EC20A0">
        <w:rPr>
          <w:spacing w:val="-5"/>
        </w:rPr>
        <w:t>and</w:t>
      </w:r>
    </w:p>
    <w:p w14:paraId="24D5FF2B" w14:textId="77777777" w:rsidR="00245300" w:rsidRPr="00EC20A0" w:rsidRDefault="00F17249">
      <w:pPr>
        <w:pStyle w:val="ListParagraph"/>
        <w:numPr>
          <w:ilvl w:val="1"/>
          <w:numId w:val="217"/>
        </w:numPr>
        <w:tabs>
          <w:tab w:val="left" w:pos="2219"/>
        </w:tabs>
        <w:spacing w:before="238"/>
        <w:ind w:left="2219" w:right="550"/>
      </w:pPr>
      <w:r w:rsidRPr="00EC20A0">
        <w:t>the</w:t>
      </w:r>
      <w:r w:rsidRPr="00EC20A0">
        <w:rPr>
          <w:spacing w:val="-4"/>
        </w:rPr>
        <w:t xml:space="preserve"> </w:t>
      </w:r>
      <w:r w:rsidRPr="00EC20A0">
        <w:t>expected</w:t>
      </w:r>
      <w:r w:rsidRPr="00EC20A0">
        <w:rPr>
          <w:spacing w:val="-4"/>
        </w:rPr>
        <w:t xml:space="preserve"> </w:t>
      </w:r>
      <w:r w:rsidRPr="00EC20A0">
        <w:t>nature</w:t>
      </w:r>
      <w:r w:rsidRPr="00EC20A0">
        <w:rPr>
          <w:spacing w:val="-4"/>
        </w:rPr>
        <w:t xml:space="preserve"> </w:t>
      </w:r>
      <w:r w:rsidRPr="00EC20A0">
        <w:t>of</w:t>
      </w:r>
      <w:r w:rsidRPr="00EC20A0">
        <w:rPr>
          <w:spacing w:val="-5"/>
        </w:rPr>
        <w:t xml:space="preserve"> </w:t>
      </w:r>
      <w:r w:rsidRPr="00EC20A0">
        <w:t>procedures</w:t>
      </w:r>
      <w:r w:rsidRPr="00EC20A0">
        <w:rPr>
          <w:spacing w:val="-3"/>
        </w:rPr>
        <w:t xml:space="preserve"> </w:t>
      </w:r>
      <w:r w:rsidRPr="00EC20A0">
        <w:t>to</w:t>
      </w:r>
      <w:r w:rsidRPr="00EC20A0">
        <w:rPr>
          <w:spacing w:val="-4"/>
        </w:rPr>
        <w:t xml:space="preserve"> </w:t>
      </w:r>
      <w:r w:rsidRPr="00EC20A0">
        <w:t>respond</w:t>
      </w:r>
      <w:r w:rsidRPr="00EC20A0">
        <w:rPr>
          <w:spacing w:val="-4"/>
        </w:rPr>
        <w:t xml:space="preserve"> </w:t>
      </w:r>
      <w:r w:rsidRPr="00EC20A0">
        <w:t>to</w:t>
      </w:r>
      <w:r w:rsidRPr="00EC20A0">
        <w:rPr>
          <w:spacing w:val="-5"/>
        </w:rPr>
        <w:t xml:space="preserve"> </w:t>
      </w:r>
      <w:r w:rsidRPr="00EC20A0">
        <w:t>identified</w:t>
      </w:r>
      <w:r w:rsidRPr="00EC20A0">
        <w:rPr>
          <w:spacing w:val="-4"/>
        </w:rPr>
        <w:t xml:space="preserve"> </w:t>
      </w:r>
      <w:r w:rsidRPr="00EC20A0">
        <w:t>risks,</w:t>
      </w:r>
      <w:r w:rsidRPr="00EC20A0">
        <w:rPr>
          <w:spacing w:val="-4"/>
        </w:rPr>
        <w:t xml:space="preserve"> </w:t>
      </w:r>
      <w:r w:rsidRPr="00EC20A0">
        <w:t>including</w:t>
      </w:r>
      <w:r w:rsidRPr="00EC20A0">
        <w:rPr>
          <w:spacing w:val="-4"/>
        </w:rPr>
        <w:t xml:space="preserve"> </w:t>
      </w:r>
      <w:r w:rsidRPr="00EC20A0">
        <w:t>the auditor’s knowledge of, and experience with, the work of specialists on such matters and the availability of alternative sources of audit evidence.</w:t>
      </w:r>
    </w:p>
    <w:p w14:paraId="24D5FF2C" w14:textId="77777777" w:rsidR="00245300" w:rsidRPr="00EC20A0" w:rsidRDefault="00F17249">
      <w:pPr>
        <w:pStyle w:val="ListParagraph"/>
        <w:numPr>
          <w:ilvl w:val="0"/>
          <w:numId w:val="217"/>
        </w:numPr>
        <w:tabs>
          <w:tab w:val="left" w:pos="1858"/>
        </w:tabs>
        <w:spacing w:before="237"/>
        <w:ind w:left="1858" w:right="517" w:hanging="720"/>
      </w:pPr>
      <w:r w:rsidRPr="00EC20A0">
        <w:t>An auditor’s specialist may also be needed to assist the auditor and the IS controls</w:t>
      </w:r>
      <w:r w:rsidRPr="00EC20A0">
        <w:rPr>
          <w:spacing w:val="-4"/>
        </w:rPr>
        <w:t xml:space="preserve"> </w:t>
      </w:r>
      <w:r w:rsidRPr="00EC20A0">
        <w:t>auditor</w:t>
      </w:r>
      <w:r w:rsidRPr="00EC20A0">
        <w:rPr>
          <w:spacing w:val="-4"/>
        </w:rPr>
        <w:t xml:space="preserve"> </w:t>
      </w:r>
      <w:r w:rsidRPr="00EC20A0">
        <w:t>in</w:t>
      </w:r>
      <w:r w:rsidRPr="00EC20A0">
        <w:rPr>
          <w:spacing w:val="-4"/>
        </w:rPr>
        <w:t xml:space="preserve"> </w:t>
      </w:r>
      <w:r w:rsidRPr="00EC20A0">
        <w:t>understanding</w:t>
      </w:r>
      <w:r w:rsidRPr="00EC20A0">
        <w:rPr>
          <w:spacing w:val="-4"/>
        </w:rPr>
        <w:t xml:space="preserve"> </w:t>
      </w:r>
      <w:r w:rsidRPr="00EC20A0">
        <w:t>technical</w:t>
      </w:r>
      <w:r w:rsidRPr="00EC20A0">
        <w:rPr>
          <w:spacing w:val="-4"/>
        </w:rPr>
        <w:t xml:space="preserve"> </w:t>
      </w:r>
      <w:r w:rsidRPr="00EC20A0">
        <w:t>aspects</w:t>
      </w:r>
      <w:r w:rsidRPr="00EC20A0">
        <w:rPr>
          <w:spacing w:val="-4"/>
        </w:rPr>
        <w:t xml:space="preserve"> </w:t>
      </w:r>
      <w:r w:rsidRPr="00EC20A0">
        <w:t>of</w:t>
      </w:r>
      <w:r w:rsidRPr="00EC20A0">
        <w:rPr>
          <w:spacing w:val="-4"/>
        </w:rPr>
        <w:t xml:space="preserve"> </w:t>
      </w:r>
      <w:r w:rsidRPr="00EC20A0">
        <w:t>information</w:t>
      </w:r>
      <w:r w:rsidRPr="00EC20A0">
        <w:rPr>
          <w:spacing w:val="-4"/>
        </w:rPr>
        <w:t xml:space="preserve"> </w:t>
      </w:r>
      <w:r w:rsidRPr="00EC20A0">
        <w:t>systems</w:t>
      </w:r>
      <w:r w:rsidRPr="00EC20A0">
        <w:rPr>
          <w:spacing w:val="-4"/>
        </w:rPr>
        <w:t xml:space="preserve"> </w:t>
      </w:r>
      <w:r w:rsidRPr="00EC20A0">
        <w:t>and</w:t>
      </w:r>
      <w:r w:rsidRPr="00EC20A0">
        <w:rPr>
          <w:spacing w:val="-4"/>
        </w:rPr>
        <w:t xml:space="preserve"> </w:t>
      </w:r>
      <w:r w:rsidRPr="00EC20A0">
        <w:t xml:space="preserve">IS controls. </w:t>
      </w:r>
      <w:r w:rsidRPr="00EC20A0">
        <w:t>Specialized information technology skills may be needed in situations where (AU-C 300.A18)</w:t>
      </w:r>
    </w:p>
    <w:p w14:paraId="24D5FF2D" w14:textId="77777777" w:rsidR="00245300" w:rsidRPr="00EC20A0" w:rsidRDefault="00245300">
      <w:pPr>
        <w:sectPr w:rsidR="00245300" w:rsidRPr="00EC20A0">
          <w:pgSz w:w="12240" w:h="15840"/>
          <w:pgMar w:top="1340" w:right="940" w:bottom="940" w:left="1020" w:header="721" w:footer="757" w:gutter="0"/>
          <w:cols w:space="720"/>
        </w:sectPr>
      </w:pPr>
    </w:p>
    <w:p w14:paraId="24D5FF2E" w14:textId="77777777" w:rsidR="00245300" w:rsidRPr="00EC20A0" w:rsidRDefault="00F17249">
      <w:pPr>
        <w:pStyle w:val="ListParagraph"/>
        <w:numPr>
          <w:ilvl w:val="1"/>
          <w:numId w:val="217"/>
        </w:numPr>
        <w:tabs>
          <w:tab w:val="left" w:pos="2219"/>
        </w:tabs>
        <w:spacing w:before="121"/>
        <w:ind w:left="2219" w:right="1002"/>
      </w:pPr>
      <w:r w:rsidRPr="00EC20A0">
        <w:t>the</w:t>
      </w:r>
      <w:r w:rsidRPr="00EC20A0">
        <w:rPr>
          <w:spacing w:val="-3"/>
        </w:rPr>
        <w:t xml:space="preserve"> </w:t>
      </w:r>
      <w:r w:rsidRPr="00EC20A0">
        <w:t>entity’s</w:t>
      </w:r>
      <w:r w:rsidRPr="00EC20A0">
        <w:rPr>
          <w:spacing w:val="-3"/>
        </w:rPr>
        <w:t xml:space="preserve"> </w:t>
      </w:r>
      <w:r w:rsidRPr="00EC20A0">
        <w:t>systems,</w:t>
      </w:r>
      <w:r w:rsidRPr="00EC20A0">
        <w:rPr>
          <w:spacing w:val="-3"/>
        </w:rPr>
        <w:t xml:space="preserve"> </w:t>
      </w:r>
      <w:r w:rsidRPr="00EC20A0">
        <w:t>IS</w:t>
      </w:r>
      <w:r w:rsidRPr="00EC20A0">
        <w:rPr>
          <w:spacing w:val="-3"/>
        </w:rPr>
        <w:t xml:space="preserve"> </w:t>
      </w:r>
      <w:r w:rsidRPr="00EC20A0">
        <w:t>controls,</w:t>
      </w:r>
      <w:r w:rsidRPr="00EC20A0">
        <w:rPr>
          <w:spacing w:val="-3"/>
        </w:rPr>
        <w:t xml:space="preserve"> </w:t>
      </w:r>
      <w:r w:rsidRPr="00EC20A0">
        <w:t>or</w:t>
      </w:r>
      <w:r w:rsidRPr="00EC20A0">
        <w:rPr>
          <w:spacing w:val="-3"/>
        </w:rPr>
        <w:t xml:space="preserve"> </w:t>
      </w:r>
      <w:r w:rsidRPr="00EC20A0">
        <w:t>the</w:t>
      </w:r>
      <w:r w:rsidRPr="00EC20A0">
        <w:rPr>
          <w:spacing w:val="-3"/>
        </w:rPr>
        <w:t xml:space="preserve"> </w:t>
      </w:r>
      <w:r w:rsidRPr="00EC20A0">
        <w:t>manner</w:t>
      </w:r>
      <w:r w:rsidRPr="00EC20A0">
        <w:rPr>
          <w:spacing w:val="-3"/>
        </w:rPr>
        <w:t xml:space="preserve"> </w:t>
      </w:r>
      <w:r w:rsidRPr="00EC20A0">
        <w:t>in</w:t>
      </w:r>
      <w:r w:rsidRPr="00EC20A0">
        <w:rPr>
          <w:spacing w:val="-3"/>
        </w:rPr>
        <w:t xml:space="preserve"> </w:t>
      </w:r>
      <w:r w:rsidRPr="00EC20A0">
        <w:t>which</w:t>
      </w:r>
      <w:r w:rsidRPr="00EC20A0">
        <w:rPr>
          <w:spacing w:val="-3"/>
        </w:rPr>
        <w:t xml:space="preserve"> </w:t>
      </w:r>
      <w:r w:rsidRPr="00EC20A0">
        <w:t>they</w:t>
      </w:r>
      <w:r w:rsidRPr="00EC20A0">
        <w:rPr>
          <w:spacing w:val="-3"/>
        </w:rPr>
        <w:t xml:space="preserve"> </w:t>
      </w:r>
      <w:r w:rsidRPr="00EC20A0">
        <w:t>are</w:t>
      </w:r>
      <w:r w:rsidRPr="00EC20A0">
        <w:rPr>
          <w:spacing w:val="-3"/>
        </w:rPr>
        <w:t xml:space="preserve"> </w:t>
      </w:r>
      <w:r w:rsidRPr="00EC20A0">
        <w:t>used</w:t>
      </w:r>
      <w:r w:rsidRPr="00EC20A0">
        <w:rPr>
          <w:spacing w:val="-3"/>
        </w:rPr>
        <w:t xml:space="preserve"> </w:t>
      </w:r>
      <w:r w:rsidRPr="00EC20A0">
        <w:t>in conducting the entity’s business are complex;</w:t>
      </w:r>
    </w:p>
    <w:p w14:paraId="24D5FF2F" w14:textId="77777777" w:rsidR="00245300" w:rsidRPr="00EC20A0" w:rsidRDefault="00F17249">
      <w:pPr>
        <w:pStyle w:val="ListParagraph"/>
        <w:numPr>
          <w:ilvl w:val="1"/>
          <w:numId w:val="217"/>
        </w:numPr>
        <w:tabs>
          <w:tab w:val="left" w:pos="2219"/>
        </w:tabs>
        <w:spacing w:before="238"/>
        <w:ind w:left="2219" w:right="978"/>
      </w:pPr>
      <w:r w:rsidRPr="00EC20A0">
        <w:t>significant</w:t>
      </w:r>
      <w:r w:rsidRPr="00EC20A0">
        <w:rPr>
          <w:spacing w:val="-4"/>
        </w:rPr>
        <w:t xml:space="preserve"> </w:t>
      </w:r>
      <w:r w:rsidRPr="00EC20A0">
        <w:t>changes</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made</w:t>
      </w:r>
      <w:r w:rsidRPr="00EC20A0">
        <w:rPr>
          <w:spacing w:val="-4"/>
        </w:rPr>
        <w:t xml:space="preserve"> </w:t>
      </w:r>
      <w:r w:rsidRPr="00EC20A0">
        <w:t>to</w:t>
      </w:r>
      <w:r w:rsidRPr="00EC20A0">
        <w:rPr>
          <w:spacing w:val="-4"/>
        </w:rPr>
        <w:t xml:space="preserve"> </w:t>
      </w:r>
      <w:r w:rsidRPr="00EC20A0">
        <w:t>existing</w:t>
      </w:r>
      <w:r w:rsidRPr="00EC20A0">
        <w:rPr>
          <w:spacing w:val="-5"/>
        </w:rPr>
        <w:t xml:space="preserve"> </w:t>
      </w:r>
      <w:r w:rsidRPr="00EC20A0">
        <w:t>systems</w:t>
      </w:r>
      <w:r w:rsidRPr="00EC20A0">
        <w:rPr>
          <w:spacing w:val="-4"/>
        </w:rPr>
        <w:t xml:space="preserve"> </w:t>
      </w:r>
      <w:r w:rsidRPr="00EC20A0">
        <w:t>or</w:t>
      </w:r>
      <w:r w:rsidRPr="00EC20A0">
        <w:rPr>
          <w:spacing w:val="-6"/>
        </w:rPr>
        <w:t xml:space="preserve"> </w:t>
      </w:r>
      <w:r w:rsidRPr="00EC20A0">
        <w:t>new</w:t>
      </w:r>
      <w:r w:rsidRPr="00EC20A0">
        <w:rPr>
          <w:spacing w:val="-3"/>
        </w:rPr>
        <w:t xml:space="preserve"> </w:t>
      </w:r>
      <w:r w:rsidRPr="00EC20A0">
        <w:t>systems have been implemented;</w:t>
      </w:r>
    </w:p>
    <w:p w14:paraId="24D5FF30" w14:textId="77777777" w:rsidR="00245300" w:rsidRPr="00EC20A0" w:rsidRDefault="00F17249">
      <w:pPr>
        <w:pStyle w:val="ListParagraph"/>
        <w:numPr>
          <w:ilvl w:val="1"/>
          <w:numId w:val="217"/>
        </w:numPr>
        <w:tabs>
          <w:tab w:val="left" w:pos="2219"/>
        </w:tabs>
        <w:spacing w:before="238"/>
        <w:ind w:left="2219" w:hanging="359"/>
      </w:pPr>
      <w:r w:rsidRPr="00EC20A0">
        <w:t>data</w:t>
      </w:r>
      <w:r w:rsidRPr="00EC20A0">
        <w:rPr>
          <w:spacing w:val="-8"/>
        </w:rPr>
        <w:t xml:space="preserve"> </w:t>
      </w:r>
      <w:r w:rsidRPr="00EC20A0">
        <w:t>are</w:t>
      </w:r>
      <w:r w:rsidRPr="00EC20A0">
        <w:rPr>
          <w:spacing w:val="-8"/>
        </w:rPr>
        <w:t xml:space="preserve"> </w:t>
      </w:r>
      <w:r w:rsidRPr="00EC20A0">
        <w:t>extensively</w:t>
      </w:r>
      <w:r w:rsidRPr="00EC20A0">
        <w:rPr>
          <w:spacing w:val="-7"/>
        </w:rPr>
        <w:t xml:space="preserve"> </w:t>
      </w:r>
      <w:r w:rsidRPr="00EC20A0">
        <w:t>shared</w:t>
      </w:r>
      <w:r w:rsidRPr="00EC20A0">
        <w:rPr>
          <w:spacing w:val="-8"/>
        </w:rPr>
        <w:t xml:space="preserve"> </w:t>
      </w:r>
      <w:r w:rsidRPr="00EC20A0">
        <w:t>among</w:t>
      </w:r>
      <w:r w:rsidRPr="00EC20A0">
        <w:rPr>
          <w:spacing w:val="-7"/>
        </w:rPr>
        <w:t xml:space="preserve"> </w:t>
      </w:r>
      <w:r w:rsidRPr="00EC20A0">
        <w:rPr>
          <w:spacing w:val="-2"/>
        </w:rPr>
        <w:t>systems;</w:t>
      </w:r>
    </w:p>
    <w:p w14:paraId="24D5FF31" w14:textId="77777777" w:rsidR="00245300" w:rsidRPr="00EC20A0" w:rsidRDefault="00F17249">
      <w:pPr>
        <w:pStyle w:val="ListParagraph"/>
        <w:numPr>
          <w:ilvl w:val="1"/>
          <w:numId w:val="217"/>
        </w:numPr>
        <w:tabs>
          <w:tab w:val="left" w:pos="2219"/>
        </w:tabs>
        <w:spacing w:before="238"/>
        <w:ind w:left="2219" w:hanging="359"/>
      </w:pPr>
      <w:r w:rsidRPr="00EC20A0">
        <w:t>the</w:t>
      </w:r>
      <w:r w:rsidRPr="00EC20A0">
        <w:rPr>
          <w:spacing w:val="-7"/>
        </w:rPr>
        <w:t xml:space="preserve"> </w:t>
      </w:r>
      <w:r w:rsidRPr="00EC20A0">
        <w:t>entity</w:t>
      </w:r>
      <w:r w:rsidRPr="00EC20A0">
        <w:rPr>
          <w:spacing w:val="-6"/>
        </w:rPr>
        <w:t xml:space="preserve"> </w:t>
      </w:r>
      <w:r w:rsidRPr="00EC20A0">
        <w:t>participates</w:t>
      </w:r>
      <w:r w:rsidRPr="00EC20A0">
        <w:rPr>
          <w:spacing w:val="-8"/>
        </w:rPr>
        <w:t xml:space="preserve"> </w:t>
      </w:r>
      <w:r w:rsidRPr="00EC20A0">
        <w:t>in</w:t>
      </w:r>
      <w:r w:rsidRPr="00EC20A0">
        <w:rPr>
          <w:spacing w:val="-7"/>
        </w:rPr>
        <w:t xml:space="preserve"> </w:t>
      </w:r>
      <w:r w:rsidRPr="00EC20A0">
        <w:t>electronic</w:t>
      </w:r>
      <w:r w:rsidRPr="00EC20A0">
        <w:rPr>
          <w:spacing w:val="-7"/>
        </w:rPr>
        <w:t xml:space="preserve"> </w:t>
      </w:r>
      <w:r w:rsidRPr="00EC20A0">
        <w:rPr>
          <w:spacing w:val="-2"/>
        </w:rPr>
        <w:t>commerce;</w:t>
      </w:r>
    </w:p>
    <w:p w14:paraId="24D5FF32" w14:textId="77777777" w:rsidR="00245300" w:rsidRPr="00EC20A0" w:rsidRDefault="00F17249">
      <w:pPr>
        <w:pStyle w:val="ListParagraph"/>
        <w:numPr>
          <w:ilvl w:val="1"/>
          <w:numId w:val="217"/>
        </w:numPr>
        <w:tabs>
          <w:tab w:val="left" w:pos="2219"/>
        </w:tabs>
        <w:spacing w:before="238"/>
        <w:ind w:left="2219"/>
      </w:pPr>
      <w:r w:rsidRPr="00EC20A0">
        <w:t>the</w:t>
      </w:r>
      <w:r w:rsidRPr="00EC20A0">
        <w:rPr>
          <w:spacing w:val="-8"/>
        </w:rPr>
        <w:t xml:space="preserve"> </w:t>
      </w:r>
      <w:r w:rsidRPr="00EC20A0">
        <w:t>entity</w:t>
      </w:r>
      <w:r w:rsidRPr="00EC20A0">
        <w:rPr>
          <w:spacing w:val="-8"/>
        </w:rPr>
        <w:t xml:space="preserve"> </w:t>
      </w:r>
      <w:r w:rsidRPr="00EC20A0">
        <w:t>uses</w:t>
      </w:r>
      <w:r w:rsidRPr="00EC20A0">
        <w:rPr>
          <w:spacing w:val="-7"/>
        </w:rPr>
        <w:t xml:space="preserve"> </w:t>
      </w:r>
      <w:r w:rsidRPr="00EC20A0">
        <w:t>emerging</w:t>
      </w:r>
      <w:r w:rsidRPr="00EC20A0">
        <w:rPr>
          <w:spacing w:val="-8"/>
        </w:rPr>
        <w:t xml:space="preserve"> </w:t>
      </w:r>
      <w:r w:rsidRPr="00EC20A0">
        <w:t>technologies;</w:t>
      </w:r>
      <w:r w:rsidRPr="00EC20A0">
        <w:rPr>
          <w:spacing w:val="-8"/>
        </w:rPr>
        <w:t xml:space="preserve"> </w:t>
      </w:r>
      <w:r w:rsidRPr="00EC20A0">
        <w:rPr>
          <w:spacing w:val="-5"/>
        </w:rPr>
        <w:t>or</w:t>
      </w:r>
    </w:p>
    <w:p w14:paraId="24D5FF33" w14:textId="77777777" w:rsidR="00245300" w:rsidRPr="00EC20A0" w:rsidRDefault="00F17249">
      <w:pPr>
        <w:pStyle w:val="ListParagraph"/>
        <w:numPr>
          <w:ilvl w:val="1"/>
          <w:numId w:val="217"/>
        </w:numPr>
        <w:tabs>
          <w:tab w:val="left" w:pos="2219"/>
        </w:tabs>
        <w:spacing w:before="238"/>
        <w:ind w:left="2219" w:hanging="359"/>
      </w:pPr>
      <w:r w:rsidRPr="00EC20A0">
        <w:t>significant</w:t>
      </w:r>
      <w:r w:rsidRPr="00EC20A0">
        <w:rPr>
          <w:spacing w:val="-8"/>
        </w:rPr>
        <w:t xml:space="preserve"> </w:t>
      </w:r>
      <w:r w:rsidRPr="00EC20A0">
        <w:t>audit</w:t>
      </w:r>
      <w:r w:rsidRPr="00EC20A0">
        <w:rPr>
          <w:spacing w:val="-7"/>
        </w:rPr>
        <w:t xml:space="preserve"> </w:t>
      </w:r>
      <w:r w:rsidRPr="00EC20A0">
        <w:t>evidence</w:t>
      </w:r>
      <w:r w:rsidRPr="00EC20A0">
        <w:rPr>
          <w:spacing w:val="-7"/>
        </w:rPr>
        <w:t xml:space="preserve"> </w:t>
      </w:r>
      <w:r w:rsidRPr="00EC20A0">
        <w:t>is</w:t>
      </w:r>
      <w:r w:rsidRPr="00EC20A0">
        <w:rPr>
          <w:spacing w:val="-7"/>
        </w:rPr>
        <w:t xml:space="preserve"> </w:t>
      </w:r>
      <w:r w:rsidRPr="00EC20A0">
        <w:t>available</w:t>
      </w:r>
      <w:r w:rsidRPr="00EC20A0">
        <w:rPr>
          <w:spacing w:val="-7"/>
        </w:rPr>
        <w:t xml:space="preserve"> </w:t>
      </w:r>
      <w:r w:rsidRPr="00EC20A0">
        <w:t>only</w:t>
      </w:r>
      <w:r w:rsidRPr="00EC20A0">
        <w:rPr>
          <w:spacing w:val="-7"/>
        </w:rPr>
        <w:t xml:space="preserve"> </w:t>
      </w:r>
      <w:r w:rsidRPr="00EC20A0">
        <w:t>in</w:t>
      </w:r>
      <w:r w:rsidRPr="00EC20A0">
        <w:rPr>
          <w:spacing w:val="-7"/>
        </w:rPr>
        <w:t xml:space="preserve"> </w:t>
      </w:r>
      <w:r w:rsidRPr="00EC20A0">
        <w:t>electronic</w:t>
      </w:r>
      <w:r w:rsidRPr="00EC20A0">
        <w:rPr>
          <w:spacing w:val="-7"/>
        </w:rPr>
        <w:t xml:space="preserve"> </w:t>
      </w:r>
      <w:r w:rsidRPr="00EC20A0">
        <w:rPr>
          <w:spacing w:val="-2"/>
        </w:rPr>
        <w:t>form.</w:t>
      </w:r>
    </w:p>
    <w:p w14:paraId="24D5FF34" w14:textId="77777777" w:rsidR="00245300" w:rsidRPr="00EC20A0" w:rsidRDefault="00F17249">
      <w:pPr>
        <w:pStyle w:val="ListParagraph"/>
        <w:numPr>
          <w:ilvl w:val="0"/>
          <w:numId w:val="217"/>
        </w:numPr>
        <w:tabs>
          <w:tab w:val="left" w:pos="1860"/>
        </w:tabs>
        <w:spacing w:before="238"/>
        <w:ind w:left="1860" w:right="933"/>
      </w:pPr>
      <w:r w:rsidRPr="00EC20A0">
        <w:t>In other cases, however, an auditor who is not a specialist in a relevant field other than accounting or auditing may be able to obtain a sufficient understanding</w:t>
      </w:r>
      <w:r w:rsidRPr="00EC20A0">
        <w:rPr>
          <w:spacing w:val="-4"/>
        </w:rPr>
        <w:t xml:space="preserve"> </w:t>
      </w:r>
      <w:r w:rsidRPr="00EC20A0">
        <w:t>of</w:t>
      </w:r>
      <w:r w:rsidRPr="00EC20A0">
        <w:rPr>
          <w:spacing w:val="-4"/>
        </w:rPr>
        <w:t xml:space="preserve"> </w:t>
      </w:r>
      <w:r w:rsidRPr="00EC20A0">
        <w:t>that</w:t>
      </w:r>
      <w:r w:rsidRPr="00EC20A0">
        <w:rPr>
          <w:spacing w:val="-4"/>
        </w:rPr>
        <w:t xml:space="preserve"> </w:t>
      </w:r>
      <w:r w:rsidRPr="00EC20A0">
        <w:t>field</w:t>
      </w:r>
      <w:r w:rsidRPr="00EC20A0">
        <w:rPr>
          <w:spacing w:val="-4"/>
        </w:rPr>
        <w:t xml:space="preserve"> </w:t>
      </w:r>
      <w:r w:rsidRPr="00EC20A0">
        <w:t>to</w:t>
      </w:r>
      <w:r w:rsidRPr="00EC20A0">
        <w:rPr>
          <w:spacing w:val="-4"/>
        </w:rPr>
        <w:t xml:space="preserve"> </w:t>
      </w:r>
      <w:r w:rsidRPr="00EC20A0">
        <w:t>perform</w:t>
      </w:r>
      <w:r w:rsidRPr="00EC20A0">
        <w:rPr>
          <w:spacing w:val="-5"/>
        </w:rPr>
        <w:t xml:space="preserve"> </w:t>
      </w:r>
      <w:r w:rsidRPr="00EC20A0">
        <w:t>the</w:t>
      </w:r>
      <w:r w:rsidRPr="00EC20A0">
        <w:rPr>
          <w:spacing w:val="-4"/>
        </w:rPr>
        <w:t xml:space="preserve"> </w:t>
      </w:r>
      <w:r w:rsidRPr="00EC20A0">
        <w:t>audit</w:t>
      </w:r>
      <w:r w:rsidRPr="00EC20A0">
        <w:rPr>
          <w:spacing w:val="-4"/>
        </w:rPr>
        <w:t xml:space="preserve"> </w:t>
      </w:r>
      <w:r w:rsidRPr="00EC20A0">
        <w:t>without</w:t>
      </w:r>
      <w:r w:rsidRPr="00EC20A0">
        <w:rPr>
          <w:spacing w:val="-4"/>
        </w:rPr>
        <w:t xml:space="preserve"> </w:t>
      </w:r>
      <w:r w:rsidRPr="00EC20A0">
        <w:t>an</w:t>
      </w:r>
      <w:r w:rsidRPr="00EC20A0">
        <w:rPr>
          <w:spacing w:val="-4"/>
        </w:rPr>
        <w:t xml:space="preserve"> </w:t>
      </w:r>
      <w:r w:rsidRPr="00EC20A0">
        <w:t>auditor’s</w:t>
      </w:r>
      <w:r w:rsidRPr="00EC20A0">
        <w:rPr>
          <w:spacing w:val="-3"/>
        </w:rPr>
        <w:t xml:space="preserve"> </w:t>
      </w:r>
      <w:r w:rsidRPr="00EC20A0">
        <w:t>specialist.</w:t>
      </w:r>
    </w:p>
    <w:p w14:paraId="24D5FF35" w14:textId="77777777" w:rsidR="00245300" w:rsidRPr="00EC20A0" w:rsidRDefault="00F17249">
      <w:pPr>
        <w:pStyle w:val="BodyText"/>
        <w:spacing w:before="1"/>
        <w:ind w:left="1860" w:right="1496"/>
      </w:pPr>
      <w:r w:rsidRPr="00EC20A0">
        <w:t>This</w:t>
      </w:r>
      <w:r w:rsidRPr="00EC20A0">
        <w:rPr>
          <w:spacing w:val="-5"/>
        </w:rPr>
        <w:t xml:space="preserve"> </w:t>
      </w:r>
      <w:r w:rsidRPr="00EC20A0">
        <w:t>understanding</w:t>
      </w:r>
      <w:r w:rsidRPr="00EC20A0">
        <w:rPr>
          <w:spacing w:val="-4"/>
        </w:rPr>
        <w:t xml:space="preserve"> </w:t>
      </w:r>
      <w:r w:rsidRPr="00EC20A0">
        <w:t>may</w:t>
      </w:r>
      <w:r w:rsidRPr="00EC20A0">
        <w:rPr>
          <w:spacing w:val="-5"/>
        </w:rPr>
        <w:t xml:space="preserve"> </w:t>
      </w:r>
      <w:r w:rsidRPr="00EC20A0">
        <w:t>be</w:t>
      </w:r>
      <w:r w:rsidRPr="00EC20A0">
        <w:rPr>
          <w:spacing w:val="-5"/>
        </w:rPr>
        <w:t xml:space="preserve"> </w:t>
      </w:r>
      <w:r w:rsidRPr="00EC20A0">
        <w:t>obtained</w:t>
      </w:r>
      <w:r w:rsidRPr="00EC20A0">
        <w:rPr>
          <w:spacing w:val="-6"/>
        </w:rPr>
        <w:t xml:space="preserve"> </w:t>
      </w:r>
      <w:r w:rsidRPr="00EC20A0">
        <w:t>through</w:t>
      </w:r>
      <w:r w:rsidRPr="00EC20A0">
        <w:rPr>
          <w:spacing w:val="-5"/>
        </w:rPr>
        <w:t xml:space="preserve"> </w:t>
      </w:r>
      <w:r w:rsidRPr="00EC20A0">
        <w:t>the</w:t>
      </w:r>
      <w:r w:rsidRPr="00EC20A0">
        <w:rPr>
          <w:spacing w:val="-6"/>
        </w:rPr>
        <w:t xml:space="preserve"> </w:t>
      </w:r>
      <w:r w:rsidRPr="00EC20A0">
        <w:t>following,</w:t>
      </w:r>
      <w:r w:rsidRPr="00EC20A0">
        <w:rPr>
          <w:spacing w:val="-5"/>
        </w:rPr>
        <w:t xml:space="preserve"> </w:t>
      </w:r>
      <w:r w:rsidRPr="00EC20A0">
        <w:t>for</w:t>
      </w:r>
      <w:r w:rsidRPr="00EC20A0">
        <w:rPr>
          <w:spacing w:val="-5"/>
        </w:rPr>
        <w:t xml:space="preserve"> </w:t>
      </w:r>
      <w:r w:rsidRPr="00EC20A0">
        <w:t>example (AU-C 620.A8):</w:t>
      </w:r>
    </w:p>
    <w:p w14:paraId="24D5FF36" w14:textId="77777777" w:rsidR="00245300" w:rsidRPr="00EC20A0" w:rsidRDefault="00F17249">
      <w:pPr>
        <w:pStyle w:val="ListParagraph"/>
        <w:numPr>
          <w:ilvl w:val="1"/>
          <w:numId w:val="217"/>
        </w:numPr>
        <w:tabs>
          <w:tab w:val="left" w:pos="2219"/>
        </w:tabs>
        <w:ind w:left="2219" w:right="769"/>
      </w:pPr>
      <w:r w:rsidRPr="00EC20A0">
        <w:t>Experience</w:t>
      </w:r>
      <w:r w:rsidRPr="00EC20A0">
        <w:rPr>
          <w:spacing w:val="-4"/>
        </w:rPr>
        <w:t xml:space="preserve"> </w:t>
      </w:r>
      <w:r w:rsidRPr="00EC20A0">
        <w:t>in</w:t>
      </w:r>
      <w:r w:rsidRPr="00EC20A0">
        <w:rPr>
          <w:spacing w:val="-4"/>
        </w:rPr>
        <w:t xml:space="preserve"> </w:t>
      </w:r>
      <w:r w:rsidRPr="00EC20A0">
        <w:t>auditing</w:t>
      </w:r>
      <w:r w:rsidRPr="00EC20A0">
        <w:rPr>
          <w:spacing w:val="-4"/>
        </w:rPr>
        <w:t xml:space="preserve"> </w:t>
      </w:r>
      <w:r w:rsidRPr="00EC20A0">
        <w:t>entities</w:t>
      </w:r>
      <w:r w:rsidRPr="00EC20A0">
        <w:rPr>
          <w:spacing w:val="-4"/>
        </w:rPr>
        <w:t xml:space="preserve"> </w:t>
      </w:r>
      <w:r w:rsidRPr="00EC20A0">
        <w:t>that</w:t>
      </w:r>
      <w:r w:rsidRPr="00EC20A0">
        <w:rPr>
          <w:spacing w:val="-4"/>
        </w:rPr>
        <w:t xml:space="preserve"> </w:t>
      </w:r>
      <w:r w:rsidRPr="00EC20A0">
        <w:t>require</w:t>
      </w:r>
      <w:r w:rsidRPr="00EC20A0">
        <w:rPr>
          <w:spacing w:val="-4"/>
        </w:rPr>
        <w:t xml:space="preserve"> </w:t>
      </w:r>
      <w:r w:rsidRPr="00EC20A0">
        <w:t>such</w:t>
      </w:r>
      <w:r w:rsidRPr="00EC20A0">
        <w:rPr>
          <w:spacing w:val="-5"/>
        </w:rPr>
        <w:t xml:space="preserve"> </w:t>
      </w:r>
      <w:r w:rsidRPr="00EC20A0">
        <w:t>expertise</w:t>
      </w:r>
      <w:r w:rsidRPr="00EC20A0">
        <w:rPr>
          <w:spacing w:val="-4"/>
        </w:rPr>
        <w:t xml:space="preserve"> </w:t>
      </w:r>
      <w:r w:rsidRPr="00EC20A0">
        <w:t>in</w:t>
      </w:r>
      <w:r w:rsidRPr="00EC20A0">
        <w:rPr>
          <w:spacing w:val="-5"/>
        </w:rPr>
        <w:t xml:space="preserve"> </w:t>
      </w:r>
      <w:r w:rsidRPr="00EC20A0">
        <w:t>preparing</w:t>
      </w:r>
      <w:r w:rsidRPr="00EC20A0">
        <w:rPr>
          <w:spacing w:val="-4"/>
        </w:rPr>
        <w:t xml:space="preserve"> </w:t>
      </w:r>
      <w:r w:rsidRPr="00EC20A0">
        <w:t>their financial statements.</w:t>
      </w:r>
    </w:p>
    <w:p w14:paraId="24D5FF37" w14:textId="77777777" w:rsidR="00245300" w:rsidRPr="00EC20A0" w:rsidRDefault="00F17249">
      <w:pPr>
        <w:pStyle w:val="ListParagraph"/>
        <w:numPr>
          <w:ilvl w:val="1"/>
          <w:numId w:val="217"/>
        </w:numPr>
        <w:tabs>
          <w:tab w:val="left" w:pos="2219"/>
        </w:tabs>
        <w:spacing w:before="238"/>
        <w:ind w:left="2219" w:right="499"/>
      </w:pPr>
      <w:r w:rsidRPr="00EC20A0">
        <w:t xml:space="preserve">Education or professional development in the particular field. This may </w:t>
      </w:r>
      <w:r w:rsidRPr="00EC20A0">
        <w:t>include formal courses or discussion with individuals possessing expertise in the</w:t>
      </w:r>
      <w:r w:rsidRPr="00EC20A0">
        <w:rPr>
          <w:spacing w:val="-3"/>
        </w:rPr>
        <w:t xml:space="preserve"> </w:t>
      </w:r>
      <w:r w:rsidRPr="00EC20A0">
        <w:t>relevant</w:t>
      </w:r>
      <w:r w:rsidRPr="00EC20A0">
        <w:rPr>
          <w:spacing w:val="-4"/>
        </w:rPr>
        <w:t xml:space="preserve"> </w:t>
      </w:r>
      <w:r w:rsidRPr="00EC20A0">
        <w:t>field</w:t>
      </w:r>
      <w:r w:rsidRPr="00EC20A0">
        <w:rPr>
          <w:spacing w:val="-3"/>
        </w:rPr>
        <w:t xml:space="preserve"> </w:t>
      </w:r>
      <w:r w:rsidRPr="00EC20A0">
        <w:t>to</w:t>
      </w:r>
      <w:r w:rsidRPr="00EC20A0">
        <w:rPr>
          <w:spacing w:val="-3"/>
        </w:rPr>
        <w:t xml:space="preserve"> </w:t>
      </w:r>
      <w:r w:rsidRPr="00EC20A0">
        <w:t>enhance</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own</w:t>
      </w:r>
      <w:r w:rsidRPr="00EC20A0">
        <w:rPr>
          <w:spacing w:val="-3"/>
        </w:rPr>
        <w:t xml:space="preserve"> </w:t>
      </w:r>
      <w:r w:rsidRPr="00EC20A0">
        <w:t>capacity</w:t>
      </w:r>
      <w:r w:rsidRPr="00EC20A0">
        <w:rPr>
          <w:spacing w:val="-3"/>
        </w:rPr>
        <w:t xml:space="preserve"> </w:t>
      </w:r>
      <w:r w:rsidRPr="00EC20A0">
        <w:t>to</w:t>
      </w:r>
      <w:r w:rsidRPr="00EC20A0">
        <w:rPr>
          <w:spacing w:val="-3"/>
        </w:rPr>
        <w:t xml:space="preserve"> </w:t>
      </w:r>
      <w:r w:rsidRPr="00EC20A0">
        <w:t>deal</w:t>
      </w:r>
      <w:r w:rsidRPr="00EC20A0">
        <w:rPr>
          <w:spacing w:val="-3"/>
        </w:rPr>
        <w:t xml:space="preserve"> </w:t>
      </w:r>
      <w:r w:rsidRPr="00EC20A0">
        <w:t>with</w:t>
      </w:r>
      <w:r w:rsidRPr="00EC20A0">
        <w:rPr>
          <w:spacing w:val="-3"/>
        </w:rPr>
        <w:t xml:space="preserve"> </w:t>
      </w:r>
      <w:r w:rsidRPr="00EC20A0">
        <w:t>matters</w:t>
      </w:r>
      <w:r w:rsidRPr="00EC20A0">
        <w:rPr>
          <w:spacing w:val="-3"/>
        </w:rPr>
        <w:t xml:space="preserve"> </w:t>
      </w:r>
      <w:r w:rsidRPr="00EC20A0">
        <w:t>in that</w:t>
      </w:r>
      <w:r w:rsidRPr="00EC20A0">
        <w:rPr>
          <w:spacing w:val="-4"/>
        </w:rPr>
        <w:t xml:space="preserve"> </w:t>
      </w:r>
      <w:r w:rsidRPr="00EC20A0">
        <w:t>field.</w:t>
      </w:r>
      <w:r w:rsidRPr="00EC20A0">
        <w:rPr>
          <w:spacing w:val="-4"/>
        </w:rPr>
        <w:t xml:space="preserve"> </w:t>
      </w:r>
      <w:r w:rsidRPr="00EC20A0">
        <w:t>Such</w:t>
      </w:r>
      <w:r w:rsidRPr="00EC20A0">
        <w:rPr>
          <w:spacing w:val="-4"/>
        </w:rPr>
        <w:t xml:space="preserve"> </w:t>
      </w:r>
      <w:r w:rsidRPr="00EC20A0">
        <w:t>discussion</w:t>
      </w:r>
      <w:r w:rsidRPr="00EC20A0">
        <w:rPr>
          <w:spacing w:val="-4"/>
        </w:rPr>
        <w:t xml:space="preserve"> </w:t>
      </w:r>
      <w:r w:rsidRPr="00EC20A0">
        <w:t>differs</w:t>
      </w:r>
      <w:r w:rsidRPr="00EC20A0">
        <w:rPr>
          <w:spacing w:val="-4"/>
        </w:rPr>
        <w:t xml:space="preserve"> </w:t>
      </w:r>
      <w:r w:rsidRPr="00EC20A0">
        <w:t>from</w:t>
      </w:r>
      <w:r w:rsidRPr="00EC20A0">
        <w:rPr>
          <w:spacing w:val="-5"/>
        </w:rPr>
        <w:t xml:space="preserve"> </w:t>
      </w:r>
      <w:r w:rsidRPr="00EC20A0">
        <w:t>consultation</w:t>
      </w:r>
      <w:r w:rsidRPr="00EC20A0">
        <w:rPr>
          <w:spacing w:val="-4"/>
        </w:rPr>
        <w:t xml:space="preserve"> </w:t>
      </w:r>
      <w:r w:rsidRPr="00EC20A0">
        <w:t>with</w:t>
      </w:r>
      <w:r w:rsidRPr="00EC20A0">
        <w:rPr>
          <w:spacing w:val="-4"/>
        </w:rPr>
        <w:t xml:space="preserve"> </w:t>
      </w:r>
      <w:r w:rsidRPr="00EC20A0">
        <w:t>an</w:t>
      </w:r>
      <w:r w:rsidRPr="00EC20A0">
        <w:rPr>
          <w:spacing w:val="-4"/>
        </w:rPr>
        <w:t xml:space="preserve"> </w:t>
      </w:r>
      <w:r w:rsidRPr="00EC20A0">
        <w:t>auditor’s</w:t>
      </w:r>
      <w:r w:rsidRPr="00EC20A0">
        <w:rPr>
          <w:spacing w:val="-3"/>
        </w:rPr>
        <w:t xml:space="preserve"> </w:t>
      </w:r>
      <w:r w:rsidRPr="00EC20A0">
        <w:t>specialist regarding a specific set of circumstances encountered on the engagement in which that specialist is given all the relevant facts that will enable the specialist to provide informed advice about the particular matter.</w:t>
      </w:r>
    </w:p>
    <w:p w14:paraId="24D5FF38" w14:textId="77777777" w:rsidR="00245300" w:rsidRPr="00EC20A0" w:rsidRDefault="00F17249">
      <w:pPr>
        <w:pStyle w:val="Heading4"/>
      </w:pPr>
      <w:bookmarkStart w:id="31" w:name="Planning_the_Review_of_the_Work_of_an_Au"/>
      <w:bookmarkEnd w:id="31"/>
      <w:r w:rsidRPr="00EC20A0">
        <w:t>Planning</w:t>
      </w:r>
      <w:r w:rsidRPr="00EC20A0">
        <w:rPr>
          <w:spacing w:val="-7"/>
        </w:rPr>
        <w:t xml:space="preserve"> </w:t>
      </w:r>
      <w:r w:rsidRPr="00EC20A0">
        <w:t>the</w:t>
      </w:r>
      <w:r w:rsidRPr="00EC20A0">
        <w:rPr>
          <w:spacing w:val="-8"/>
        </w:rPr>
        <w:t xml:space="preserve"> </w:t>
      </w:r>
      <w:r w:rsidRPr="00EC20A0">
        <w:t>Review</w:t>
      </w:r>
      <w:r w:rsidRPr="00EC20A0">
        <w:rPr>
          <w:spacing w:val="-9"/>
        </w:rPr>
        <w:t xml:space="preserve"> </w:t>
      </w:r>
      <w:r w:rsidRPr="00EC20A0">
        <w:t>of</w:t>
      </w:r>
      <w:r w:rsidRPr="00EC20A0">
        <w:rPr>
          <w:spacing w:val="-8"/>
        </w:rPr>
        <w:t xml:space="preserve"> </w:t>
      </w:r>
      <w:r w:rsidRPr="00EC20A0">
        <w:t>the</w:t>
      </w:r>
      <w:r w:rsidRPr="00EC20A0">
        <w:rPr>
          <w:spacing w:val="-8"/>
        </w:rPr>
        <w:t xml:space="preserve"> </w:t>
      </w:r>
      <w:r w:rsidRPr="00EC20A0">
        <w:t>Work</w:t>
      </w:r>
      <w:r w:rsidRPr="00EC20A0">
        <w:rPr>
          <w:spacing w:val="-8"/>
        </w:rPr>
        <w:t xml:space="preserve"> </w:t>
      </w:r>
      <w:r w:rsidRPr="00EC20A0">
        <w:t>of</w:t>
      </w:r>
      <w:r w:rsidRPr="00EC20A0">
        <w:rPr>
          <w:spacing w:val="-8"/>
        </w:rPr>
        <w:t xml:space="preserve"> </w:t>
      </w:r>
      <w:r w:rsidRPr="00EC20A0">
        <w:t>an</w:t>
      </w:r>
      <w:r w:rsidRPr="00EC20A0">
        <w:rPr>
          <w:spacing w:val="-8"/>
        </w:rPr>
        <w:t xml:space="preserve"> </w:t>
      </w:r>
      <w:r w:rsidRPr="00EC20A0">
        <w:t>Auditor’s</w:t>
      </w:r>
      <w:r w:rsidRPr="00EC20A0">
        <w:rPr>
          <w:spacing w:val="-8"/>
        </w:rPr>
        <w:t xml:space="preserve"> </w:t>
      </w:r>
      <w:r w:rsidRPr="00EC20A0">
        <w:rPr>
          <w:spacing w:val="-2"/>
        </w:rPr>
        <w:t>Specialist</w:t>
      </w:r>
    </w:p>
    <w:p w14:paraId="24D5FF39" w14:textId="77777777" w:rsidR="00245300" w:rsidRPr="00EC20A0" w:rsidRDefault="00F17249">
      <w:pPr>
        <w:pStyle w:val="ListParagraph"/>
        <w:numPr>
          <w:ilvl w:val="0"/>
          <w:numId w:val="217"/>
        </w:numPr>
        <w:tabs>
          <w:tab w:val="left" w:pos="1859"/>
        </w:tabs>
        <w:spacing w:before="239"/>
        <w:ind w:right="517" w:hanging="720"/>
      </w:pPr>
      <w:r w:rsidRPr="00EC20A0">
        <w:t>The nature, timing, and extent of the auditor’s procedures with respect to the requirements in FAM 620.18, .19, .21, .27, and .29 will vary depending on the circumstances.</w:t>
      </w:r>
      <w:r w:rsidRPr="00EC20A0">
        <w:rPr>
          <w:spacing w:val="-4"/>
        </w:rPr>
        <w:t xml:space="preserve"> </w:t>
      </w:r>
      <w:r w:rsidRPr="00EC20A0">
        <w:t>In</w:t>
      </w:r>
      <w:r w:rsidRPr="00EC20A0">
        <w:rPr>
          <w:spacing w:val="-4"/>
        </w:rPr>
        <w:t xml:space="preserve"> </w:t>
      </w:r>
      <w:r w:rsidRPr="00EC20A0">
        <w:t>determining</w:t>
      </w:r>
      <w:r w:rsidRPr="00EC20A0">
        <w:rPr>
          <w:spacing w:val="-4"/>
        </w:rPr>
        <w:t xml:space="preserve"> </w:t>
      </w:r>
      <w:r w:rsidRPr="00EC20A0">
        <w:t>the</w:t>
      </w:r>
      <w:r w:rsidRPr="00EC20A0">
        <w:rPr>
          <w:spacing w:val="-4"/>
        </w:rPr>
        <w:t xml:space="preserve"> </w:t>
      </w:r>
      <w:r w:rsidRPr="00EC20A0">
        <w:t>nature,</w:t>
      </w:r>
      <w:r w:rsidRPr="00EC20A0">
        <w:rPr>
          <w:spacing w:val="-4"/>
        </w:rPr>
        <w:t xml:space="preserve"> </w:t>
      </w:r>
      <w:r w:rsidRPr="00EC20A0">
        <w:t>timing,</w:t>
      </w:r>
      <w:r w:rsidRPr="00EC20A0">
        <w:rPr>
          <w:spacing w:val="-4"/>
        </w:rPr>
        <w:t xml:space="preserve"> </w:t>
      </w:r>
      <w:r w:rsidRPr="00EC20A0">
        <w:t>and</w:t>
      </w:r>
      <w:r w:rsidRPr="00EC20A0">
        <w:rPr>
          <w:spacing w:val="-4"/>
        </w:rPr>
        <w:t xml:space="preserve"> </w:t>
      </w:r>
      <w:r w:rsidRPr="00EC20A0">
        <w:t>extent</w:t>
      </w:r>
      <w:r w:rsidRPr="00EC20A0">
        <w:rPr>
          <w:spacing w:val="-5"/>
        </w:rPr>
        <w:t xml:space="preserve"> </w:t>
      </w:r>
      <w:r w:rsidRPr="00EC20A0">
        <w:t>of</w:t>
      </w:r>
      <w:r w:rsidRPr="00EC20A0">
        <w:rPr>
          <w:spacing w:val="-4"/>
        </w:rPr>
        <w:t xml:space="preserve"> </w:t>
      </w:r>
      <w:r w:rsidRPr="00EC20A0">
        <w:t>those</w:t>
      </w:r>
      <w:r w:rsidRPr="00EC20A0">
        <w:rPr>
          <w:spacing w:val="-4"/>
        </w:rPr>
        <w:t xml:space="preserve"> </w:t>
      </w:r>
      <w:r w:rsidRPr="00EC20A0">
        <w:t>procedures, the auditor should consider matters including (AU-C 620.08)</w:t>
      </w:r>
    </w:p>
    <w:p w14:paraId="24D5FF3A" w14:textId="77777777" w:rsidR="00245300" w:rsidRPr="00EC20A0" w:rsidRDefault="00F17249">
      <w:pPr>
        <w:pStyle w:val="ListParagraph"/>
        <w:numPr>
          <w:ilvl w:val="1"/>
          <w:numId w:val="217"/>
        </w:numPr>
        <w:tabs>
          <w:tab w:val="left" w:pos="2219"/>
        </w:tabs>
        <w:spacing w:before="239"/>
        <w:ind w:left="2219" w:hanging="359"/>
      </w:pPr>
      <w:r w:rsidRPr="00EC20A0">
        <w:t>the</w:t>
      </w:r>
      <w:r w:rsidRPr="00EC20A0">
        <w:rPr>
          <w:spacing w:val="-6"/>
        </w:rPr>
        <w:t xml:space="preserve"> </w:t>
      </w:r>
      <w:r w:rsidRPr="00EC20A0">
        <w:t>nature</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matter</w:t>
      </w:r>
      <w:r w:rsidRPr="00EC20A0">
        <w:rPr>
          <w:spacing w:val="-5"/>
        </w:rPr>
        <w:t xml:space="preserve"> </w:t>
      </w:r>
      <w:r w:rsidRPr="00EC20A0">
        <w:t>to</w:t>
      </w:r>
      <w:r w:rsidRPr="00EC20A0">
        <w:rPr>
          <w:spacing w:val="-5"/>
        </w:rPr>
        <w:t xml:space="preserve"> </w:t>
      </w:r>
      <w:r w:rsidRPr="00EC20A0">
        <w:t>which</w:t>
      </w:r>
      <w:r w:rsidRPr="00EC20A0">
        <w:rPr>
          <w:spacing w:val="-5"/>
        </w:rPr>
        <w:t xml:space="preserve"> </w:t>
      </w:r>
      <w:r w:rsidRPr="00EC20A0">
        <w:t>the</w:t>
      </w:r>
      <w:r w:rsidRPr="00EC20A0">
        <w:rPr>
          <w:spacing w:val="-6"/>
        </w:rPr>
        <w:t xml:space="preserve"> </w:t>
      </w:r>
      <w:r w:rsidRPr="00EC20A0">
        <w:t>work</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auditor’s</w:t>
      </w:r>
      <w:r w:rsidRPr="00EC20A0">
        <w:rPr>
          <w:spacing w:val="-5"/>
        </w:rPr>
        <w:t xml:space="preserve"> </w:t>
      </w:r>
      <w:r w:rsidRPr="00EC20A0">
        <w:t>specialist</w:t>
      </w:r>
      <w:r w:rsidRPr="00EC20A0">
        <w:rPr>
          <w:spacing w:val="-5"/>
        </w:rPr>
        <w:t xml:space="preserve"> </w:t>
      </w:r>
      <w:r w:rsidRPr="00EC20A0">
        <w:rPr>
          <w:spacing w:val="-2"/>
        </w:rPr>
        <w:t>relates;</w:t>
      </w:r>
    </w:p>
    <w:p w14:paraId="24D5FF3B" w14:textId="77777777" w:rsidR="00245300" w:rsidRPr="00EC20A0" w:rsidRDefault="00F17249">
      <w:pPr>
        <w:pStyle w:val="ListParagraph"/>
        <w:numPr>
          <w:ilvl w:val="1"/>
          <w:numId w:val="217"/>
        </w:numPr>
        <w:tabs>
          <w:tab w:val="left" w:pos="2219"/>
        </w:tabs>
        <w:spacing w:before="238"/>
        <w:ind w:left="2219" w:right="1125"/>
      </w:pPr>
      <w:r w:rsidRPr="00EC20A0">
        <w:t>the</w:t>
      </w:r>
      <w:r w:rsidRPr="00EC20A0">
        <w:rPr>
          <w:spacing w:val="-3"/>
        </w:rPr>
        <w:t xml:space="preserve"> </w:t>
      </w:r>
      <w:r w:rsidRPr="00EC20A0">
        <w:t>risks</w:t>
      </w:r>
      <w:r w:rsidRPr="00EC20A0">
        <w:rPr>
          <w:spacing w:val="-4"/>
        </w:rPr>
        <w:t xml:space="preserve"> </w:t>
      </w:r>
      <w:r w:rsidRPr="00EC20A0">
        <w:t>of</w:t>
      </w:r>
      <w:r w:rsidRPr="00EC20A0">
        <w:rPr>
          <w:spacing w:val="-4"/>
        </w:rPr>
        <w:t xml:space="preserve"> </w:t>
      </w:r>
      <w:r w:rsidRPr="00EC20A0">
        <w:t>material</w:t>
      </w:r>
      <w:r w:rsidRPr="00EC20A0">
        <w:rPr>
          <w:spacing w:val="-3"/>
        </w:rPr>
        <w:t xml:space="preserve"> </w:t>
      </w:r>
      <w:r w:rsidRPr="00EC20A0">
        <w:t>misstatement</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matter</w:t>
      </w:r>
      <w:r w:rsidRPr="00EC20A0">
        <w:rPr>
          <w:spacing w:val="-3"/>
        </w:rPr>
        <w:t xml:space="preserve"> </w:t>
      </w:r>
      <w:r w:rsidRPr="00EC20A0">
        <w:t>to</w:t>
      </w:r>
      <w:r w:rsidRPr="00EC20A0">
        <w:rPr>
          <w:spacing w:val="-3"/>
        </w:rPr>
        <w:t xml:space="preserve"> </w:t>
      </w:r>
      <w:r w:rsidRPr="00EC20A0">
        <w:t>which</w:t>
      </w:r>
      <w:r w:rsidRPr="00EC20A0">
        <w:rPr>
          <w:spacing w:val="-3"/>
        </w:rPr>
        <w:t xml:space="preserve"> </w:t>
      </w:r>
      <w:r w:rsidRPr="00EC20A0">
        <w:t>the</w:t>
      </w:r>
      <w:r w:rsidRPr="00EC20A0">
        <w:rPr>
          <w:spacing w:val="-4"/>
        </w:rPr>
        <w:t xml:space="preserve"> </w:t>
      </w:r>
      <w:r w:rsidRPr="00EC20A0">
        <w:t>work</w:t>
      </w:r>
      <w:r w:rsidRPr="00EC20A0">
        <w:rPr>
          <w:spacing w:val="-3"/>
        </w:rPr>
        <w:t xml:space="preserve"> </w:t>
      </w:r>
      <w:r w:rsidRPr="00EC20A0">
        <w:t>of</w:t>
      </w:r>
      <w:r w:rsidRPr="00EC20A0">
        <w:rPr>
          <w:spacing w:val="-3"/>
        </w:rPr>
        <w:t xml:space="preserve"> </w:t>
      </w:r>
      <w:r w:rsidRPr="00EC20A0">
        <w:t>the auditor’s specialist relates;</w:t>
      </w:r>
    </w:p>
    <w:p w14:paraId="24D5FF3C" w14:textId="77777777" w:rsidR="00245300" w:rsidRPr="00EC20A0" w:rsidRDefault="00F17249">
      <w:pPr>
        <w:pStyle w:val="ListParagraph"/>
        <w:numPr>
          <w:ilvl w:val="1"/>
          <w:numId w:val="217"/>
        </w:numPr>
        <w:tabs>
          <w:tab w:val="left" w:pos="2219"/>
        </w:tabs>
        <w:spacing w:before="239"/>
        <w:ind w:left="2219" w:right="951"/>
      </w:pPr>
      <w:r w:rsidRPr="00EC20A0">
        <w:t>the</w:t>
      </w:r>
      <w:r w:rsidRPr="00EC20A0">
        <w:rPr>
          <w:spacing w:val="-3"/>
        </w:rPr>
        <w:t xml:space="preserve"> </w:t>
      </w:r>
      <w:r w:rsidRPr="00EC20A0">
        <w:t>significance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specialist</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context</w:t>
      </w:r>
      <w:r w:rsidRPr="00EC20A0">
        <w:rPr>
          <w:spacing w:val="-3"/>
        </w:rPr>
        <w:t xml:space="preserve"> </w:t>
      </w:r>
      <w:r w:rsidRPr="00EC20A0">
        <w:t>of</w:t>
      </w:r>
      <w:r w:rsidRPr="00EC20A0">
        <w:rPr>
          <w:spacing w:val="-3"/>
        </w:rPr>
        <w:t xml:space="preserve"> </w:t>
      </w:r>
      <w:r w:rsidRPr="00EC20A0">
        <w:t xml:space="preserve">the </w:t>
      </w:r>
      <w:r w:rsidRPr="00EC20A0">
        <w:rPr>
          <w:spacing w:val="-2"/>
        </w:rPr>
        <w:t>audit;</w:t>
      </w:r>
    </w:p>
    <w:p w14:paraId="24D5FF3D" w14:textId="77777777" w:rsidR="00245300" w:rsidRPr="00EC20A0" w:rsidRDefault="00F17249">
      <w:pPr>
        <w:pStyle w:val="ListParagraph"/>
        <w:numPr>
          <w:ilvl w:val="1"/>
          <w:numId w:val="217"/>
        </w:numPr>
        <w:tabs>
          <w:tab w:val="left" w:pos="2220"/>
        </w:tabs>
        <w:spacing w:before="238"/>
        <w:ind w:right="1148" w:hanging="361"/>
      </w:pPr>
      <w:r w:rsidRPr="00EC20A0">
        <w:t>the</w:t>
      </w:r>
      <w:r w:rsidRPr="00EC20A0">
        <w:rPr>
          <w:spacing w:val="-4"/>
        </w:rPr>
        <w:t xml:space="preserve"> </w:t>
      </w:r>
      <w:r w:rsidRPr="00EC20A0">
        <w:t>auditor’s</w:t>
      </w:r>
      <w:r w:rsidRPr="00EC20A0">
        <w:rPr>
          <w:spacing w:val="-5"/>
        </w:rPr>
        <w:t xml:space="preserve"> </w:t>
      </w:r>
      <w:r w:rsidRPr="00EC20A0">
        <w:t>knowledge</w:t>
      </w:r>
      <w:r w:rsidRPr="00EC20A0">
        <w:rPr>
          <w:spacing w:val="-5"/>
        </w:rPr>
        <w:t xml:space="preserve"> </w:t>
      </w:r>
      <w:r w:rsidRPr="00EC20A0">
        <w:t>of,</w:t>
      </w:r>
      <w:r w:rsidRPr="00EC20A0">
        <w:rPr>
          <w:spacing w:val="-4"/>
        </w:rPr>
        <w:t xml:space="preserve"> </w:t>
      </w:r>
      <w:r w:rsidRPr="00EC20A0">
        <w:t>and</w:t>
      </w:r>
      <w:r w:rsidRPr="00EC20A0">
        <w:rPr>
          <w:spacing w:val="-4"/>
        </w:rPr>
        <w:t xml:space="preserve"> </w:t>
      </w:r>
      <w:r w:rsidRPr="00EC20A0">
        <w:t>experience</w:t>
      </w:r>
      <w:r w:rsidRPr="00EC20A0">
        <w:rPr>
          <w:spacing w:val="-4"/>
        </w:rPr>
        <w:t xml:space="preserve"> </w:t>
      </w:r>
      <w:r w:rsidRPr="00EC20A0">
        <w:t>with,</w:t>
      </w:r>
      <w:r w:rsidRPr="00EC20A0">
        <w:rPr>
          <w:spacing w:val="-5"/>
        </w:rPr>
        <w:t xml:space="preserve"> </w:t>
      </w:r>
      <w:r w:rsidRPr="00EC20A0">
        <w:t>previous</w:t>
      </w:r>
      <w:r w:rsidRPr="00EC20A0">
        <w:rPr>
          <w:spacing w:val="-4"/>
        </w:rPr>
        <w:t xml:space="preserve"> </w:t>
      </w:r>
      <w:r w:rsidRPr="00EC20A0">
        <w:t>work</w:t>
      </w:r>
      <w:r w:rsidRPr="00EC20A0">
        <w:rPr>
          <w:spacing w:val="-4"/>
        </w:rPr>
        <w:t xml:space="preserve"> </w:t>
      </w:r>
      <w:r w:rsidRPr="00EC20A0">
        <w:t>that</w:t>
      </w:r>
      <w:r w:rsidRPr="00EC20A0">
        <w:rPr>
          <w:spacing w:val="-4"/>
        </w:rPr>
        <w:t xml:space="preserve"> </w:t>
      </w:r>
      <w:r w:rsidRPr="00EC20A0">
        <w:t>the auditor’s specialist performed; and</w:t>
      </w:r>
    </w:p>
    <w:p w14:paraId="24D5FF3E" w14:textId="77777777" w:rsidR="00245300" w:rsidRPr="00EC20A0" w:rsidRDefault="00F17249">
      <w:pPr>
        <w:pStyle w:val="ListParagraph"/>
        <w:numPr>
          <w:ilvl w:val="1"/>
          <w:numId w:val="217"/>
        </w:numPr>
        <w:tabs>
          <w:tab w:val="left" w:pos="2220"/>
        </w:tabs>
        <w:spacing w:before="238"/>
        <w:ind w:right="1784" w:hanging="361"/>
      </w:pPr>
      <w:r w:rsidRPr="00EC20A0">
        <w:t>whether</w:t>
      </w:r>
      <w:r w:rsidRPr="00EC20A0">
        <w:rPr>
          <w:spacing w:val="-5"/>
        </w:rPr>
        <w:t xml:space="preserve"> </w:t>
      </w:r>
      <w:r w:rsidRPr="00EC20A0">
        <w:t>the</w:t>
      </w:r>
      <w:r w:rsidRPr="00EC20A0">
        <w:rPr>
          <w:spacing w:val="-5"/>
        </w:rPr>
        <w:t xml:space="preserve"> </w:t>
      </w:r>
      <w:r w:rsidRPr="00EC20A0">
        <w:t>auditor’s</w:t>
      </w:r>
      <w:r w:rsidRPr="00EC20A0">
        <w:rPr>
          <w:spacing w:val="-5"/>
        </w:rPr>
        <w:t xml:space="preserve"> </w:t>
      </w:r>
      <w:r w:rsidRPr="00EC20A0">
        <w:t>internal</w:t>
      </w:r>
      <w:r w:rsidRPr="00EC20A0">
        <w:rPr>
          <w:spacing w:val="-5"/>
        </w:rPr>
        <w:t xml:space="preserve"> </w:t>
      </w:r>
      <w:r w:rsidRPr="00EC20A0">
        <w:t>specialist</w:t>
      </w:r>
      <w:r w:rsidRPr="00EC20A0">
        <w:rPr>
          <w:spacing w:val="-5"/>
        </w:rPr>
        <w:t xml:space="preserve"> </w:t>
      </w:r>
      <w:r w:rsidRPr="00EC20A0">
        <w:t>is</w:t>
      </w:r>
      <w:r w:rsidRPr="00EC20A0">
        <w:rPr>
          <w:spacing w:val="-5"/>
        </w:rPr>
        <w:t xml:space="preserve"> </w:t>
      </w:r>
      <w:r w:rsidRPr="00EC20A0">
        <w:t>subject</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auditor’s organization’s quality control policies and procedures.</w:t>
      </w:r>
    </w:p>
    <w:p w14:paraId="24D5FF3F" w14:textId="77777777" w:rsidR="00245300" w:rsidRPr="00EC20A0" w:rsidRDefault="00245300">
      <w:pPr>
        <w:sectPr w:rsidR="00245300" w:rsidRPr="00EC20A0">
          <w:pgSz w:w="12240" w:h="15840"/>
          <w:pgMar w:top="1340" w:right="940" w:bottom="940" w:left="1020" w:header="721" w:footer="757" w:gutter="0"/>
          <w:cols w:space="720"/>
        </w:sectPr>
      </w:pPr>
    </w:p>
    <w:p w14:paraId="24D5FF40" w14:textId="77777777" w:rsidR="00245300" w:rsidRPr="00EC20A0" w:rsidRDefault="00F17249">
      <w:pPr>
        <w:pStyle w:val="ListParagraph"/>
        <w:numPr>
          <w:ilvl w:val="0"/>
          <w:numId w:val="217"/>
        </w:numPr>
        <w:tabs>
          <w:tab w:val="left" w:pos="1860"/>
        </w:tabs>
        <w:spacing w:before="121"/>
        <w:ind w:left="1860" w:right="641"/>
      </w:pPr>
      <w:r w:rsidRPr="00EC20A0">
        <w:t>For</w:t>
      </w:r>
      <w:r w:rsidRPr="00EC20A0">
        <w:rPr>
          <w:spacing w:val="-4"/>
        </w:rPr>
        <w:t xml:space="preserve"> </w:t>
      </w:r>
      <w:r w:rsidRPr="00EC20A0">
        <w:t>internal</w:t>
      </w:r>
      <w:r w:rsidRPr="00EC20A0">
        <w:rPr>
          <w:spacing w:val="-5"/>
        </w:rPr>
        <w:t xml:space="preserve"> </w:t>
      </w:r>
      <w:r w:rsidRPr="00EC20A0">
        <w:t>specialists</w:t>
      </w:r>
      <w:r w:rsidRPr="00EC20A0">
        <w:rPr>
          <w:spacing w:val="-4"/>
        </w:rPr>
        <w:t xml:space="preserve"> </w:t>
      </w:r>
      <w:r w:rsidRPr="00EC20A0">
        <w:t>(i.e.,</w:t>
      </w:r>
      <w:r w:rsidRPr="00EC20A0">
        <w:rPr>
          <w:spacing w:val="-4"/>
        </w:rPr>
        <w:t xml:space="preserve"> </w:t>
      </w:r>
      <w:r w:rsidRPr="00EC20A0">
        <w:t>partners</w:t>
      </w:r>
      <w:r w:rsidRPr="00EC20A0">
        <w:rPr>
          <w:spacing w:val="-5"/>
        </w:rPr>
        <w:t xml:space="preserve"> </w:t>
      </w:r>
      <w:r w:rsidRPr="00EC20A0">
        <w:t>or</w:t>
      </w:r>
      <w:r w:rsidRPr="00EC20A0">
        <w:rPr>
          <w:spacing w:val="-4"/>
        </w:rPr>
        <w:t xml:space="preserve"> </w:t>
      </w:r>
      <w:r w:rsidRPr="00EC20A0">
        <w:t>staff</w:t>
      </w:r>
      <w:r w:rsidRPr="00EC20A0">
        <w:rPr>
          <w:spacing w:val="-4"/>
        </w:rPr>
        <w:t xml:space="preserve"> </w:t>
      </w:r>
      <w:r w:rsidRPr="00EC20A0">
        <w:t>members,</w:t>
      </w:r>
      <w:r w:rsidRPr="00EC20A0">
        <w:rPr>
          <w:spacing w:val="-4"/>
        </w:rPr>
        <w:t xml:space="preserve"> </w:t>
      </w:r>
      <w:r w:rsidRPr="00EC20A0">
        <w:t>including</w:t>
      </w:r>
      <w:r w:rsidRPr="00EC20A0">
        <w:rPr>
          <w:spacing w:val="-4"/>
        </w:rPr>
        <w:t xml:space="preserve"> </w:t>
      </w:r>
      <w:r w:rsidRPr="00EC20A0">
        <w:t>temporary</w:t>
      </w:r>
      <w:r w:rsidRPr="00EC20A0">
        <w:rPr>
          <w:spacing w:val="-4"/>
        </w:rPr>
        <w:t xml:space="preserve"> </w:t>
      </w:r>
      <w:r w:rsidRPr="00EC20A0">
        <w:t xml:space="preserve">staff members, within the auditor’s organization), in accordance with </w:t>
      </w:r>
      <w:hyperlink r:id="rId26">
        <w:r w:rsidRPr="00EC20A0">
          <w:t>AU-C</w:t>
        </w:r>
      </w:hyperlink>
      <w:r w:rsidRPr="00EC20A0">
        <w:t xml:space="preserve"> 220A.05, auditors are entitled to rely on the auditor’s organization’s system of quality control unless the auditor’s engagement partner determines that it is inappropriate to do so based on information provided by the auditor’s organization or other parties. The extent of that reliance will vary based on the circumstances and may affect the nature, timing, and extent of the auditor’s procedures with respect to such matters as the following (AU-C 620.A13):</w:t>
      </w:r>
    </w:p>
    <w:p w14:paraId="24D5FF41" w14:textId="77777777" w:rsidR="00245300" w:rsidRPr="00EC20A0" w:rsidRDefault="00F17249">
      <w:pPr>
        <w:pStyle w:val="ListParagraph"/>
        <w:numPr>
          <w:ilvl w:val="1"/>
          <w:numId w:val="217"/>
        </w:numPr>
        <w:tabs>
          <w:tab w:val="left" w:pos="2219"/>
        </w:tabs>
        <w:spacing w:before="239"/>
        <w:ind w:left="2219" w:hanging="359"/>
      </w:pPr>
      <w:r w:rsidRPr="00EC20A0">
        <w:t>Competence</w:t>
      </w:r>
      <w:r w:rsidRPr="00EC20A0">
        <w:rPr>
          <w:spacing w:val="-10"/>
        </w:rPr>
        <w:t xml:space="preserve"> </w:t>
      </w:r>
      <w:r w:rsidRPr="00EC20A0">
        <w:t>and</w:t>
      </w:r>
      <w:r w:rsidRPr="00EC20A0">
        <w:rPr>
          <w:spacing w:val="-9"/>
        </w:rPr>
        <w:t xml:space="preserve"> </w:t>
      </w:r>
      <w:r w:rsidRPr="00EC20A0">
        <w:t>capabilities</w:t>
      </w:r>
      <w:r w:rsidRPr="00EC20A0">
        <w:rPr>
          <w:spacing w:val="-9"/>
        </w:rPr>
        <w:t xml:space="preserve"> </w:t>
      </w:r>
      <w:r w:rsidRPr="00EC20A0">
        <w:t>through</w:t>
      </w:r>
      <w:r w:rsidRPr="00EC20A0">
        <w:rPr>
          <w:spacing w:val="-9"/>
        </w:rPr>
        <w:t xml:space="preserve"> </w:t>
      </w:r>
      <w:r w:rsidRPr="00EC20A0">
        <w:t>recruitment</w:t>
      </w:r>
      <w:r w:rsidRPr="00EC20A0">
        <w:rPr>
          <w:spacing w:val="-9"/>
        </w:rPr>
        <w:t xml:space="preserve"> </w:t>
      </w:r>
      <w:r w:rsidRPr="00EC20A0">
        <w:t>and</w:t>
      </w:r>
      <w:r w:rsidRPr="00EC20A0">
        <w:rPr>
          <w:spacing w:val="-9"/>
        </w:rPr>
        <w:t xml:space="preserve"> </w:t>
      </w:r>
      <w:r w:rsidRPr="00EC20A0">
        <w:t>training</w:t>
      </w:r>
      <w:r w:rsidRPr="00EC20A0">
        <w:rPr>
          <w:spacing w:val="-9"/>
        </w:rPr>
        <w:t xml:space="preserve"> </w:t>
      </w:r>
      <w:r w:rsidRPr="00EC20A0">
        <w:rPr>
          <w:spacing w:val="-2"/>
        </w:rPr>
        <w:t>programs.</w:t>
      </w:r>
    </w:p>
    <w:p w14:paraId="24D5FF42" w14:textId="77777777" w:rsidR="00245300" w:rsidRPr="00EC20A0" w:rsidRDefault="00F17249">
      <w:pPr>
        <w:pStyle w:val="ListParagraph"/>
        <w:numPr>
          <w:ilvl w:val="1"/>
          <w:numId w:val="217"/>
        </w:numPr>
        <w:tabs>
          <w:tab w:val="left" w:pos="2219"/>
        </w:tabs>
        <w:spacing w:before="239"/>
        <w:ind w:left="2219" w:right="572" w:hanging="361"/>
      </w:pPr>
      <w:r w:rsidRPr="00EC20A0">
        <w:t>Independence</w:t>
      </w:r>
      <w:r w:rsidRPr="00EC20A0">
        <w:rPr>
          <w:spacing w:val="-4"/>
        </w:rPr>
        <w:t xml:space="preserve"> </w:t>
      </w:r>
      <w:r w:rsidRPr="00EC20A0">
        <w:t>and</w:t>
      </w:r>
      <w:r w:rsidRPr="00EC20A0">
        <w:rPr>
          <w:spacing w:val="-4"/>
        </w:rPr>
        <w:t xml:space="preserve"> </w:t>
      </w:r>
      <w:r w:rsidRPr="00EC20A0">
        <w:t>objectivity.</w:t>
      </w:r>
      <w:r w:rsidRPr="00EC20A0">
        <w:rPr>
          <w:spacing w:val="-4"/>
        </w:rPr>
        <w:t xml:space="preserve"> </w:t>
      </w:r>
      <w:r w:rsidRPr="00EC20A0">
        <w:t>The</w:t>
      </w:r>
      <w:r w:rsidRPr="00EC20A0">
        <w:rPr>
          <w:spacing w:val="-5"/>
        </w:rPr>
        <w:t xml:space="preserve"> </w:t>
      </w:r>
      <w:r w:rsidRPr="00EC20A0">
        <w:t>auditor’s</w:t>
      </w:r>
      <w:r w:rsidRPr="00EC20A0">
        <w:rPr>
          <w:spacing w:val="-4"/>
        </w:rPr>
        <w:t xml:space="preserve"> </w:t>
      </w:r>
      <w:r w:rsidRPr="00EC20A0">
        <w:t>internal</w:t>
      </w:r>
      <w:r w:rsidRPr="00EC20A0">
        <w:rPr>
          <w:spacing w:val="-4"/>
        </w:rPr>
        <w:t xml:space="preserve"> </w:t>
      </w:r>
      <w:r w:rsidRPr="00EC20A0">
        <w:t>specialists</w:t>
      </w:r>
      <w:r w:rsidRPr="00EC20A0">
        <w:rPr>
          <w:spacing w:val="-4"/>
        </w:rPr>
        <w:t xml:space="preserve"> </w:t>
      </w:r>
      <w:r w:rsidRPr="00EC20A0">
        <w:t>are</w:t>
      </w:r>
      <w:r w:rsidRPr="00EC20A0">
        <w:rPr>
          <w:spacing w:val="-5"/>
        </w:rPr>
        <w:t xml:space="preserve"> </w:t>
      </w:r>
      <w:r w:rsidRPr="00EC20A0">
        <w:t>subject</w:t>
      </w:r>
      <w:r w:rsidRPr="00EC20A0">
        <w:rPr>
          <w:spacing w:val="-4"/>
        </w:rPr>
        <w:t xml:space="preserve"> </w:t>
      </w:r>
      <w:r w:rsidRPr="00EC20A0">
        <w:t>to relevant ethical requirements, including those pertaining to independence.</w:t>
      </w:r>
    </w:p>
    <w:p w14:paraId="24D5FF43" w14:textId="77777777" w:rsidR="00245300" w:rsidRPr="00EC20A0" w:rsidRDefault="00F17249">
      <w:pPr>
        <w:pStyle w:val="ListParagraph"/>
        <w:numPr>
          <w:ilvl w:val="1"/>
          <w:numId w:val="217"/>
        </w:numPr>
        <w:tabs>
          <w:tab w:val="left" w:pos="2219"/>
        </w:tabs>
        <w:spacing w:before="238"/>
        <w:ind w:left="2219" w:hanging="359"/>
      </w:pPr>
      <w:r w:rsidRPr="00EC20A0">
        <w:t>Agreement</w:t>
      </w:r>
      <w:r w:rsidRPr="00EC20A0">
        <w:rPr>
          <w:spacing w:val="-7"/>
        </w:rPr>
        <w:t xml:space="preserve"> </w:t>
      </w:r>
      <w:r w:rsidRPr="00EC20A0">
        <w:t>with</w:t>
      </w:r>
      <w:r w:rsidRPr="00EC20A0">
        <w:rPr>
          <w:spacing w:val="-7"/>
        </w:rPr>
        <w:t xml:space="preserve"> </w:t>
      </w:r>
      <w:r w:rsidRPr="00EC20A0">
        <w:t>the</w:t>
      </w:r>
      <w:r w:rsidRPr="00EC20A0">
        <w:rPr>
          <w:spacing w:val="-8"/>
        </w:rPr>
        <w:t xml:space="preserve"> </w:t>
      </w:r>
      <w:r w:rsidRPr="00EC20A0">
        <w:t>auditor’s</w:t>
      </w:r>
      <w:r w:rsidRPr="00EC20A0">
        <w:rPr>
          <w:spacing w:val="-7"/>
        </w:rPr>
        <w:t xml:space="preserve"> </w:t>
      </w:r>
      <w:r w:rsidRPr="00EC20A0">
        <w:t>internal</w:t>
      </w:r>
      <w:r w:rsidRPr="00EC20A0">
        <w:rPr>
          <w:spacing w:val="-8"/>
        </w:rPr>
        <w:t xml:space="preserve"> </w:t>
      </w:r>
      <w:r w:rsidRPr="00EC20A0">
        <w:rPr>
          <w:spacing w:val="-2"/>
        </w:rPr>
        <w:t>specialist.</w:t>
      </w:r>
    </w:p>
    <w:p w14:paraId="24D5FF44" w14:textId="77777777" w:rsidR="00245300" w:rsidRPr="00EC20A0" w:rsidRDefault="00F17249">
      <w:pPr>
        <w:pStyle w:val="ListParagraph"/>
        <w:numPr>
          <w:ilvl w:val="1"/>
          <w:numId w:val="217"/>
        </w:numPr>
        <w:tabs>
          <w:tab w:val="left" w:pos="2218"/>
        </w:tabs>
        <w:spacing w:before="238"/>
        <w:ind w:left="2218" w:right="526"/>
      </w:pPr>
      <w:r w:rsidRPr="00EC20A0">
        <w:t>The auditor’s evaluation of the adequacy of the auditor’s internal specialist’s work. For example, the auditor’s organization’s training programs may provide the auditor’s internal specialists with an appropriate understanding of the interrelationship of their expertise with the audit process. Reliance on such</w:t>
      </w:r>
      <w:r w:rsidRPr="00EC20A0">
        <w:rPr>
          <w:spacing w:val="-4"/>
        </w:rPr>
        <w:t xml:space="preserve"> </w:t>
      </w:r>
      <w:r w:rsidRPr="00EC20A0">
        <w:t>training</w:t>
      </w:r>
      <w:r w:rsidRPr="00EC20A0">
        <w:rPr>
          <w:spacing w:val="-4"/>
        </w:rPr>
        <w:t xml:space="preserve"> </w:t>
      </w:r>
      <w:r w:rsidRPr="00EC20A0">
        <w:t>and</w:t>
      </w:r>
      <w:r w:rsidRPr="00EC20A0">
        <w:rPr>
          <w:spacing w:val="-4"/>
        </w:rPr>
        <w:t xml:space="preserve"> </w:t>
      </w:r>
      <w:r w:rsidRPr="00EC20A0">
        <w:t>other</w:t>
      </w:r>
      <w:r w:rsidRPr="00EC20A0">
        <w:rPr>
          <w:spacing w:val="-6"/>
        </w:rPr>
        <w:t xml:space="preserve"> </w:t>
      </w:r>
      <w:r w:rsidRPr="00EC20A0">
        <w:t>organization</w:t>
      </w:r>
      <w:r w:rsidRPr="00EC20A0">
        <w:rPr>
          <w:spacing w:val="-5"/>
        </w:rPr>
        <w:t xml:space="preserve"> </w:t>
      </w:r>
      <w:r w:rsidRPr="00EC20A0">
        <w:t>processes,</w:t>
      </w:r>
      <w:r w:rsidRPr="00EC20A0">
        <w:rPr>
          <w:spacing w:val="-5"/>
        </w:rPr>
        <w:t xml:space="preserve"> </w:t>
      </w:r>
      <w:r w:rsidRPr="00EC20A0">
        <w:t>such</w:t>
      </w:r>
      <w:r w:rsidRPr="00EC20A0">
        <w:rPr>
          <w:spacing w:val="-4"/>
        </w:rPr>
        <w:t xml:space="preserve"> </w:t>
      </w:r>
      <w:r w:rsidRPr="00EC20A0">
        <w:t>as</w:t>
      </w:r>
      <w:r w:rsidRPr="00EC20A0">
        <w:rPr>
          <w:spacing w:val="-4"/>
        </w:rPr>
        <w:t xml:space="preserve"> </w:t>
      </w:r>
      <w:r w:rsidRPr="00EC20A0">
        <w:t>protocols</w:t>
      </w:r>
      <w:r w:rsidRPr="00EC20A0">
        <w:rPr>
          <w:spacing w:val="-4"/>
        </w:rPr>
        <w:t xml:space="preserve"> </w:t>
      </w:r>
      <w:r w:rsidRPr="00EC20A0">
        <w:t>for</w:t>
      </w:r>
      <w:r w:rsidRPr="00EC20A0">
        <w:rPr>
          <w:spacing w:val="-5"/>
        </w:rPr>
        <w:t xml:space="preserve"> </w:t>
      </w:r>
      <w:r w:rsidRPr="00EC20A0">
        <w:t xml:space="preserve">scoping the work of the auditor’s internal specialists, may affect the nature, timing, and extent of the auditor’s </w:t>
      </w:r>
      <w:r w:rsidRPr="00EC20A0">
        <w:t>procedures for evaluating the adequacy the auditor's internal specialist’s work.</w:t>
      </w:r>
    </w:p>
    <w:p w14:paraId="24D5FF45" w14:textId="77777777" w:rsidR="00245300" w:rsidRPr="00EC20A0" w:rsidRDefault="00F17249">
      <w:pPr>
        <w:pStyle w:val="ListParagraph"/>
        <w:numPr>
          <w:ilvl w:val="1"/>
          <w:numId w:val="217"/>
        </w:numPr>
        <w:tabs>
          <w:tab w:val="left" w:pos="2218"/>
        </w:tabs>
        <w:spacing w:before="239"/>
        <w:ind w:left="2218" w:right="1515" w:hanging="361"/>
      </w:pPr>
      <w:r w:rsidRPr="00EC20A0">
        <w:t>Adherence</w:t>
      </w:r>
      <w:r w:rsidRPr="00EC20A0">
        <w:rPr>
          <w:spacing w:val="-6"/>
        </w:rPr>
        <w:t xml:space="preserve"> </w:t>
      </w:r>
      <w:r w:rsidRPr="00EC20A0">
        <w:t>to</w:t>
      </w:r>
      <w:r w:rsidRPr="00EC20A0">
        <w:rPr>
          <w:spacing w:val="-6"/>
        </w:rPr>
        <w:t xml:space="preserve"> </w:t>
      </w:r>
      <w:r w:rsidRPr="00EC20A0">
        <w:t>legal</w:t>
      </w:r>
      <w:r w:rsidRPr="00EC20A0">
        <w:rPr>
          <w:spacing w:val="-6"/>
        </w:rPr>
        <w:t xml:space="preserve"> </w:t>
      </w:r>
      <w:r w:rsidRPr="00EC20A0">
        <w:t>and</w:t>
      </w:r>
      <w:r w:rsidRPr="00EC20A0">
        <w:rPr>
          <w:spacing w:val="-6"/>
        </w:rPr>
        <w:t xml:space="preserve"> </w:t>
      </w:r>
      <w:r w:rsidRPr="00EC20A0">
        <w:t>regulatory</w:t>
      </w:r>
      <w:r w:rsidRPr="00EC20A0">
        <w:rPr>
          <w:spacing w:val="-6"/>
        </w:rPr>
        <w:t xml:space="preserve"> </w:t>
      </w:r>
      <w:r w:rsidRPr="00EC20A0">
        <w:t>requirements</w:t>
      </w:r>
      <w:r w:rsidRPr="00EC20A0">
        <w:rPr>
          <w:spacing w:val="-6"/>
        </w:rPr>
        <w:t xml:space="preserve"> </w:t>
      </w:r>
      <w:r w:rsidRPr="00EC20A0">
        <w:t>through</w:t>
      </w:r>
      <w:r w:rsidRPr="00EC20A0">
        <w:rPr>
          <w:spacing w:val="-6"/>
        </w:rPr>
        <w:t xml:space="preserve"> </w:t>
      </w:r>
      <w:r w:rsidRPr="00EC20A0">
        <w:t xml:space="preserve">monitoring </w:t>
      </w:r>
      <w:r w:rsidRPr="00EC20A0">
        <w:rPr>
          <w:spacing w:val="-2"/>
        </w:rPr>
        <w:t>processes.</w:t>
      </w:r>
    </w:p>
    <w:p w14:paraId="24D5FF46" w14:textId="77777777" w:rsidR="00245300" w:rsidRPr="00EC20A0" w:rsidRDefault="00F17249">
      <w:pPr>
        <w:pStyle w:val="BodyText"/>
        <w:spacing w:before="237"/>
        <w:ind w:left="1858" w:right="562"/>
      </w:pPr>
      <w:r w:rsidRPr="00EC20A0">
        <w:t>Such</w:t>
      </w:r>
      <w:r w:rsidRPr="00EC20A0">
        <w:rPr>
          <w:spacing w:val="-4"/>
        </w:rPr>
        <w:t xml:space="preserve"> </w:t>
      </w:r>
      <w:r w:rsidRPr="00EC20A0">
        <w:t>reliance</w:t>
      </w:r>
      <w:r w:rsidRPr="00EC20A0">
        <w:rPr>
          <w:spacing w:val="-4"/>
        </w:rPr>
        <w:t xml:space="preserve"> </w:t>
      </w:r>
      <w:r w:rsidRPr="00EC20A0">
        <w:t>does</w:t>
      </w:r>
      <w:r w:rsidRPr="00EC20A0">
        <w:rPr>
          <w:spacing w:val="-4"/>
        </w:rPr>
        <w:t xml:space="preserve"> </w:t>
      </w:r>
      <w:r w:rsidRPr="00EC20A0">
        <w:t>not</w:t>
      </w:r>
      <w:r w:rsidRPr="00EC20A0">
        <w:rPr>
          <w:spacing w:val="-4"/>
        </w:rPr>
        <w:t xml:space="preserve"> </w:t>
      </w:r>
      <w:r w:rsidRPr="00EC20A0">
        <w:t>reduce</w:t>
      </w:r>
      <w:r w:rsidRPr="00EC20A0">
        <w:rPr>
          <w:spacing w:val="-4"/>
        </w:rPr>
        <w:t xml:space="preserve"> </w:t>
      </w:r>
      <w:r w:rsidRPr="00EC20A0">
        <w:t>the</w:t>
      </w:r>
      <w:r w:rsidRPr="00EC20A0">
        <w:rPr>
          <w:spacing w:val="-4"/>
        </w:rPr>
        <w:t xml:space="preserve"> </w:t>
      </w:r>
      <w:r w:rsidRPr="00EC20A0">
        <w:t>auditor’s</w:t>
      </w:r>
      <w:r w:rsidRPr="00EC20A0">
        <w:rPr>
          <w:spacing w:val="-3"/>
        </w:rPr>
        <w:t xml:space="preserve"> </w:t>
      </w:r>
      <w:r w:rsidRPr="00EC20A0">
        <w:t>responsibility</w:t>
      </w:r>
      <w:r w:rsidRPr="00EC20A0">
        <w:rPr>
          <w:spacing w:val="-4"/>
        </w:rPr>
        <w:t xml:space="preserve"> </w:t>
      </w:r>
      <w:r w:rsidRPr="00EC20A0">
        <w:t>to</w:t>
      </w:r>
      <w:r w:rsidRPr="00EC20A0">
        <w:rPr>
          <w:spacing w:val="-5"/>
        </w:rPr>
        <w:t xml:space="preserve"> </w:t>
      </w:r>
      <w:r w:rsidRPr="00EC20A0">
        <w:t>meet</w:t>
      </w:r>
      <w:r w:rsidRPr="00EC20A0">
        <w:rPr>
          <w:spacing w:val="-4"/>
        </w:rPr>
        <w:t xml:space="preserve"> </w:t>
      </w:r>
      <w:r w:rsidRPr="00EC20A0">
        <w:t xml:space="preserve">the requirements of this </w:t>
      </w:r>
      <w:r w:rsidRPr="00EC20A0">
        <w:t>section (AU-C 620.A13).</w:t>
      </w:r>
    </w:p>
    <w:p w14:paraId="24D5FF47" w14:textId="77777777" w:rsidR="00245300" w:rsidRPr="00EC20A0" w:rsidRDefault="00F17249">
      <w:pPr>
        <w:pStyle w:val="ListParagraph"/>
        <w:numPr>
          <w:ilvl w:val="0"/>
          <w:numId w:val="217"/>
        </w:numPr>
        <w:tabs>
          <w:tab w:val="left" w:pos="1858"/>
        </w:tabs>
        <w:spacing w:before="241"/>
        <w:ind w:left="1858" w:right="517" w:hanging="719"/>
      </w:pPr>
      <w:r w:rsidRPr="00EC20A0">
        <w:t>It is necessary to apply professional judgment when considering how the requirements of this section are affected by the fact that an auditor’s specialist may be either an individual or an organization.</w:t>
      </w:r>
      <w:r w:rsidRPr="00EC20A0">
        <w:rPr>
          <w:spacing w:val="-1"/>
        </w:rPr>
        <w:t xml:space="preserve"> </w:t>
      </w:r>
      <w:r w:rsidRPr="00EC20A0">
        <w:t>For example, when evaluating the independence,</w:t>
      </w:r>
      <w:r w:rsidRPr="00EC20A0">
        <w:rPr>
          <w:spacing w:val="-5"/>
        </w:rPr>
        <w:t xml:space="preserve"> </w:t>
      </w:r>
      <w:r w:rsidRPr="00EC20A0">
        <w:t>objectivity,</w:t>
      </w:r>
      <w:r w:rsidRPr="00EC20A0">
        <w:rPr>
          <w:spacing w:val="-5"/>
        </w:rPr>
        <w:t xml:space="preserve"> </w:t>
      </w:r>
      <w:r w:rsidRPr="00EC20A0">
        <w:t>competence,</w:t>
      </w:r>
      <w:r w:rsidRPr="00EC20A0">
        <w:rPr>
          <w:spacing w:val="-5"/>
        </w:rPr>
        <w:t xml:space="preserve"> </w:t>
      </w:r>
      <w:r w:rsidRPr="00EC20A0">
        <w:t>and</w:t>
      </w:r>
      <w:r w:rsidRPr="00EC20A0">
        <w:rPr>
          <w:spacing w:val="-5"/>
        </w:rPr>
        <w:t xml:space="preserve"> </w:t>
      </w:r>
      <w:r w:rsidRPr="00EC20A0">
        <w:t>capabilities</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auditor’s</w:t>
      </w:r>
      <w:r w:rsidRPr="00EC20A0">
        <w:rPr>
          <w:spacing w:val="-6"/>
        </w:rPr>
        <w:t xml:space="preserve"> </w:t>
      </w:r>
      <w:r w:rsidRPr="00EC20A0">
        <w:t>specialist, it may be that the specialist is an organization that the auditor has previously used, but the auditor has no prior experience with the individual specialist assigned by the organization for the particular engagement, or it may be the reverse (that is, the auditor may be familiar with the work of an individual specialist but not with the organization that now employs the specialist). In eith</w:t>
      </w:r>
      <w:r w:rsidRPr="00EC20A0">
        <w:t>er case, both the personal attributes of the individual and the managerial attributes of the organization (such as systems of quality control that the organization implements) may be relevant to the auditor’s evaluation (AU-C 620.A4).</w:t>
      </w:r>
    </w:p>
    <w:p w14:paraId="24D5FF48" w14:textId="77777777" w:rsidR="00245300" w:rsidRPr="00EC20A0" w:rsidRDefault="00F17249">
      <w:pPr>
        <w:pStyle w:val="Heading4"/>
        <w:ind w:right="562" w:hanging="1"/>
      </w:pPr>
      <w:bookmarkStart w:id="32" w:name="Evaluating_the_Objectivity,_Competence,_"/>
      <w:bookmarkEnd w:id="32"/>
      <w:r w:rsidRPr="00EC20A0">
        <w:t>Evaluating</w:t>
      </w:r>
      <w:r w:rsidRPr="00EC20A0">
        <w:rPr>
          <w:spacing w:val="-7"/>
        </w:rPr>
        <w:t xml:space="preserve"> </w:t>
      </w:r>
      <w:r w:rsidRPr="00EC20A0">
        <w:t>the</w:t>
      </w:r>
      <w:r w:rsidRPr="00EC20A0">
        <w:rPr>
          <w:spacing w:val="-6"/>
        </w:rPr>
        <w:t xml:space="preserve"> </w:t>
      </w:r>
      <w:r w:rsidRPr="00EC20A0">
        <w:t>Objectivity,</w:t>
      </w:r>
      <w:r w:rsidRPr="00EC20A0">
        <w:rPr>
          <w:spacing w:val="-6"/>
        </w:rPr>
        <w:t xml:space="preserve"> </w:t>
      </w:r>
      <w:r w:rsidRPr="00EC20A0">
        <w:t>Competence,</w:t>
      </w:r>
      <w:r w:rsidRPr="00EC20A0">
        <w:rPr>
          <w:spacing w:val="-6"/>
        </w:rPr>
        <w:t xml:space="preserve"> </w:t>
      </w:r>
      <w:r w:rsidRPr="00EC20A0">
        <w:t>and</w:t>
      </w:r>
      <w:r w:rsidRPr="00EC20A0">
        <w:rPr>
          <w:spacing w:val="-7"/>
        </w:rPr>
        <w:t xml:space="preserve"> </w:t>
      </w:r>
      <w:r w:rsidRPr="00EC20A0">
        <w:t>Capabilities</w:t>
      </w:r>
      <w:r w:rsidRPr="00EC20A0">
        <w:rPr>
          <w:spacing w:val="-6"/>
        </w:rPr>
        <w:t xml:space="preserve"> </w:t>
      </w:r>
      <w:r w:rsidRPr="00EC20A0">
        <w:t>of</w:t>
      </w:r>
      <w:r w:rsidRPr="00EC20A0">
        <w:rPr>
          <w:spacing w:val="-7"/>
        </w:rPr>
        <w:t xml:space="preserve"> </w:t>
      </w:r>
      <w:r w:rsidRPr="00EC20A0">
        <w:t>the Auditor’s Specialist</w:t>
      </w:r>
    </w:p>
    <w:p w14:paraId="24D5FF49" w14:textId="77777777" w:rsidR="00245300" w:rsidRPr="00EC20A0" w:rsidRDefault="00F17249">
      <w:pPr>
        <w:pStyle w:val="ListParagraph"/>
        <w:numPr>
          <w:ilvl w:val="0"/>
          <w:numId w:val="217"/>
        </w:numPr>
        <w:tabs>
          <w:tab w:val="left" w:pos="1859"/>
        </w:tabs>
        <w:spacing w:before="241"/>
        <w:ind w:right="505" w:hanging="720"/>
      </w:pPr>
      <w:r w:rsidRPr="00EC20A0">
        <w:t>The auditor should evaluate whether the auditor’s specialist has the necessary objectivity,</w:t>
      </w:r>
      <w:r w:rsidRPr="00EC20A0">
        <w:rPr>
          <w:spacing w:val="-5"/>
        </w:rPr>
        <w:t xml:space="preserve"> </w:t>
      </w:r>
      <w:r w:rsidRPr="00EC20A0">
        <w:t>competence,</w:t>
      </w:r>
      <w:r w:rsidRPr="00EC20A0">
        <w:rPr>
          <w:spacing w:val="-4"/>
        </w:rPr>
        <w:t xml:space="preserve"> </w:t>
      </w:r>
      <w:r w:rsidRPr="00EC20A0">
        <w:t>and</w:t>
      </w:r>
      <w:r w:rsidRPr="00EC20A0">
        <w:rPr>
          <w:spacing w:val="-4"/>
        </w:rPr>
        <w:t xml:space="preserve"> </w:t>
      </w:r>
      <w:r w:rsidRPr="00EC20A0">
        <w:t>capabilities</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auditor’s</w:t>
      </w:r>
      <w:r w:rsidRPr="00EC20A0">
        <w:rPr>
          <w:spacing w:val="-3"/>
        </w:rPr>
        <w:t xml:space="preserve"> </w:t>
      </w:r>
      <w:r w:rsidRPr="00EC20A0">
        <w:t>purposes.</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case</w:t>
      </w:r>
      <w:r w:rsidRPr="00EC20A0">
        <w:rPr>
          <w:spacing w:val="-4"/>
        </w:rPr>
        <w:t xml:space="preserve"> </w:t>
      </w:r>
      <w:r w:rsidRPr="00EC20A0">
        <w:t>of an</w:t>
      </w:r>
      <w:r w:rsidRPr="00EC20A0">
        <w:rPr>
          <w:spacing w:val="-2"/>
        </w:rPr>
        <w:t xml:space="preserve"> </w:t>
      </w:r>
      <w:r w:rsidRPr="00EC20A0">
        <w:t>auditor’s</w:t>
      </w:r>
      <w:r w:rsidRPr="00EC20A0">
        <w:rPr>
          <w:spacing w:val="-2"/>
        </w:rPr>
        <w:t xml:space="preserve"> </w:t>
      </w:r>
      <w:r w:rsidRPr="00EC20A0">
        <w:t>external</w:t>
      </w:r>
      <w:r w:rsidRPr="00EC20A0">
        <w:rPr>
          <w:spacing w:val="-2"/>
        </w:rPr>
        <w:t xml:space="preserve"> </w:t>
      </w:r>
      <w:r w:rsidRPr="00EC20A0">
        <w:t>specialist,</w:t>
      </w:r>
      <w:r w:rsidRPr="00EC20A0">
        <w:rPr>
          <w:spacing w:val="-2"/>
        </w:rPr>
        <w:t xml:space="preserve"> </w:t>
      </w:r>
      <w:r w:rsidRPr="00EC20A0">
        <w:t>the</w:t>
      </w:r>
      <w:r w:rsidRPr="00EC20A0">
        <w:rPr>
          <w:spacing w:val="-2"/>
        </w:rPr>
        <w:t xml:space="preserve"> </w:t>
      </w:r>
      <w:r w:rsidRPr="00EC20A0">
        <w:t>evaluation</w:t>
      </w:r>
      <w:r w:rsidRPr="00EC20A0">
        <w:rPr>
          <w:spacing w:val="-2"/>
        </w:rPr>
        <w:t xml:space="preserve"> </w:t>
      </w:r>
      <w:r w:rsidRPr="00EC20A0">
        <w:t>of</w:t>
      </w:r>
      <w:r w:rsidRPr="00EC20A0">
        <w:rPr>
          <w:spacing w:val="-2"/>
        </w:rPr>
        <w:t xml:space="preserve"> </w:t>
      </w:r>
      <w:r w:rsidRPr="00EC20A0">
        <w:t>objectivity</w:t>
      </w:r>
      <w:r w:rsidRPr="00EC20A0">
        <w:rPr>
          <w:spacing w:val="-2"/>
        </w:rPr>
        <w:t xml:space="preserve"> </w:t>
      </w:r>
      <w:r w:rsidRPr="00EC20A0">
        <w:t>should</w:t>
      </w:r>
      <w:r w:rsidRPr="00EC20A0">
        <w:rPr>
          <w:spacing w:val="-2"/>
        </w:rPr>
        <w:t xml:space="preserve"> </w:t>
      </w:r>
      <w:r w:rsidRPr="00EC20A0">
        <w:t>include</w:t>
      </w:r>
      <w:r w:rsidRPr="00EC20A0">
        <w:rPr>
          <w:spacing w:val="-2"/>
        </w:rPr>
        <w:t xml:space="preserve"> </w:t>
      </w:r>
      <w:r w:rsidRPr="00EC20A0">
        <w:t>inquiry regarding interests and relationships that may create a threat to the objectivity of</w:t>
      </w:r>
    </w:p>
    <w:p w14:paraId="24D5FF4A" w14:textId="77777777" w:rsidR="00245300" w:rsidRPr="00EC20A0" w:rsidRDefault="00245300">
      <w:pPr>
        <w:sectPr w:rsidR="00245300" w:rsidRPr="00EC20A0">
          <w:pgSz w:w="12240" w:h="15840"/>
          <w:pgMar w:top="1340" w:right="940" w:bottom="940" w:left="1020" w:header="721" w:footer="757" w:gutter="0"/>
          <w:cols w:space="720"/>
        </w:sectPr>
      </w:pPr>
    </w:p>
    <w:p w14:paraId="24D5FF4B" w14:textId="77777777" w:rsidR="00245300" w:rsidRPr="00EC20A0" w:rsidRDefault="00F17249">
      <w:pPr>
        <w:pStyle w:val="BodyText"/>
        <w:spacing w:before="121"/>
        <w:ind w:left="1860"/>
      </w:pPr>
      <w:r w:rsidRPr="00EC20A0">
        <w:t>the</w:t>
      </w:r>
      <w:r w:rsidRPr="00EC20A0">
        <w:rPr>
          <w:spacing w:val="-7"/>
        </w:rPr>
        <w:t xml:space="preserve"> </w:t>
      </w:r>
      <w:r w:rsidRPr="00EC20A0">
        <w:t>auditor’s</w:t>
      </w:r>
      <w:r w:rsidRPr="00EC20A0">
        <w:rPr>
          <w:spacing w:val="-7"/>
        </w:rPr>
        <w:t xml:space="preserve"> </w:t>
      </w:r>
      <w:r w:rsidRPr="00EC20A0">
        <w:t>specialist.</w:t>
      </w:r>
      <w:r w:rsidRPr="00EC20A0">
        <w:rPr>
          <w:spacing w:val="-7"/>
        </w:rPr>
        <w:t xml:space="preserve"> </w:t>
      </w:r>
      <w:r w:rsidRPr="00EC20A0">
        <w:t>(AU-C</w:t>
      </w:r>
      <w:r w:rsidRPr="00EC20A0">
        <w:rPr>
          <w:spacing w:val="-7"/>
        </w:rPr>
        <w:t xml:space="preserve"> </w:t>
      </w:r>
      <w:r w:rsidRPr="00EC20A0">
        <w:t>620.09)</w:t>
      </w:r>
      <w:r w:rsidRPr="00EC20A0">
        <w:rPr>
          <w:spacing w:val="-6"/>
        </w:rPr>
        <w:t xml:space="preserve"> </w:t>
      </w:r>
      <w:r w:rsidRPr="00EC20A0">
        <w:t>See</w:t>
      </w:r>
      <w:r w:rsidRPr="00EC20A0">
        <w:rPr>
          <w:spacing w:val="-7"/>
        </w:rPr>
        <w:t xml:space="preserve"> </w:t>
      </w:r>
      <w:r w:rsidRPr="00EC20A0">
        <w:t>FAM</w:t>
      </w:r>
      <w:r w:rsidRPr="00EC20A0">
        <w:rPr>
          <w:spacing w:val="-6"/>
        </w:rPr>
        <w:t xml:space="preserve"> </w:t>
      </w:r>
      <w:r w:rsidRPr="00EC20A0">
        <w:t>615</w:t>
      </w:r>
      <w:r w:rsidRPr="00EC20A0">
        <w:rPr>
          <w:spacing w:val="-6"/>
        </w:rPr>
        <w:t xml:space="preserve"> </w:t>
      </w:r>
      <w:r w:rsidRPr="00EC20A0">
        <w:t>and</w:t>
      </w:r>
      <w:r w:rsidRPr="00EC20A0">
        <w:rPr>
          <w:spacing w:val="-7"/>
        </w:rPr>
        <w:t xml:space="preserve"> </w:t>
      </w:r>
      <w:r w:rsidRPr="00EC20A0">
        <w:t>AU-C</w:t>
      </w:r>
      <w:r w:rsidRPr="00EC20A0">
        <w:rPr>
          <w:spacing w:val="-7"/>
        </w:rPr>
        <w:t xml:space="preserve"> </w:t>
      </w:r>
      <w:r w:rsidRPr="00EC20A0">
        <w:t>620.A15</w:t>
      </w:r>
      <w:r w:rsidRPr="00EC20A0">
        <w:rPr>
          <w:spacing w:val="-7"/>
        </w:rPr>
        <w:t xml:space="preserve"> </w:t>
      </w:r>
      <w:r w:rsidRPr="00EC20A0">
        <w:rPr>
          <w:spacing w:val="-2"/>
        </w:rPr>
        <w:t>through</w:t>
      </w:r>
    </w:p>
    <w:p w14:paraId="24D5FF4C" w14:textId="77777777" w:rsidR="00245300" w:rsidRPr="00EC20A0" w:rsidRDefault="00F17249">
      <w:pPr>
        <w:pStyle w:val="BodyText"/>
        <w:ind w:left="1859"/>
      </w:pPr>
      <w:r w:rsidRPr="00EC20A0">
        <w:t>.A22</w:t>
      </w:r>
      <w:r w:rsidRPr="00EC20A0">
        <w:rPr>
          <w:spacing w:val="-6"/>
        </w:rPr>
        <w:t xml:space="preserve"> </w:t>
      </w:r>
      <w:r w:rsidRPr="00EC20A0">
        <w:t>for</w:t>
      </w:r>
      <w:r w:rsidRPr="00EC20A0">
        <w:rPr>
          <w:spacing w:val="-5"/>
        </w:rPr>
        <w:t xml:space="preserve"> </w:t>
      </w:r>
      <w:r w:rsidRPr="00EC20A0">
        <w:t>additional</w:t>
      </w:r>
      <w:r w:rsidRPr="00EC20A0">
        <w:rPr>
          <w:spacing w:val="-6"/>
        </w:rPr>
        <w:t xml:space="preserve"> </w:t>
      </w:r>
      <w:r w:rsidRPr="00EC20A0">
        <w:rPr>
          <w:spacing w:val="-2"/>
        </w:rPr>
        <w:t>guidance.</w:t>
      </w:r>
    </w:p>
    <w:p w14:paraId="24D5FF4D" w14:textId="77777777" w:rsidR="00245300" w:rsidRPr="00EC20A0" w:rsidRDefault="00F17249">
      <w:pPr>
        <w:pStyle w:val="Heading4"/>
        <w:spacing w:before="241"/>
        <w:ind w:left="419"/>
      </w:pPr>
      <w:bookmarkStart w:id="33" w:name="Obtaining_an_Understanding_of_the_Field_"/>
      <w:bookmarkEnd w:id="33"/>
      <w:r w:rsidRPr="00EC20A0">
        <w:t>Obtaining</w:t>
      </w:r>
      <w:r w:rsidRPr="00EC20A0">
        <w:rPr>
          <w:spacing w:val="-5"/>
        </w:rPr>
        <w:t xml:space="preserve"> </w:t>
      </w:r>
      <w:r w:rsidRPr="00EC20A0">
        <w:t>an</w:t>
      </w:r>
      <w:r w:rsidRPr="00EC20A0">
        <w:rPr>
          <w:spacing w:val="-5"/>
        </w:rPr>
        <w:t xml:space="preserve"> </w:t>
      </w:r>
      <w:r w:rsidRPr="00EC20A0">
        <w:t>Understanding</w:t>
      </w:r>
      <w:r w:rsidRPr="00EC20A0">
        <w:rPr>
          <w:spacing w:val="-5"/>
        </w:rPr>
        <w:t xml:space="preserve"> </w:t>
      </w:r>
      <w:r w:rsidRPr="00EC20A0">
        <w:t>of</w:t>
      </w:r>
      <w:r w:rsidRPr="00EC20A0">
        <w:rPr>
          <w:spacing w:val="-4"/>
        </w:rPr>
        <w:t xml:space="preserve"> </w:t>
      </w:r>
      <w:r w:rsidRPr="00EC20A0">
        <w:t>the</w:t>
      </w:r>
      <w:r w:rsidRPr="00EC20A0">
        <w:rPr>
          <w:spacing w:val="-3"/>
        </w:rPr>
        <w:t xml:space="preserve"> </w:t>
      </w:r>
      <w:r w:rsidRPr="00EC20A0">
        <w:t>Field</w:t>
      </w:r>
      <w:r w:rsidRPr="00EC20A0">
        <w:rPr>
          <w:spacing w:val="-5"/>
        </w:rPr>
        <w:t xml:space="preserve"> </w:t>
      </w:r>
      <w:r w:rsidRPr="00EC20A0">
        <w:t>of</w:t>
      </w:r>
      <w:r w:rsidRPr="00EC20A0">
        <w:rPr>
          <w:spacing w:val="-4"/>
        </w:rPr>
        <w:t xml:space="preserve"> </w:t>
      </w:r>
      <w:r w:rsidRPr="00EC20A0">
        <w:t>Expertise</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 xml:space="preserve">Auditor’s </w:t>
      </w:r>
      <w:r w:rsidRPr="00EC20A0">
        <w:rPr>
          <w:spacing w:val="-2"/>
        </w:rPr>
        <w:t>Specialist</w:t>
      </w:r>
    </w:p>
    <w:p w14:paraId="24D5FF4E" w14:textId="77777777" w:rsidR="00245300" w:rsidRPr="00EC20A0" w:rsidRDefault="00F17249">
      <w:pPr>
        <w:pStyle w:val="ListParagraph"/>
        <w:numPr>
          <w:ilvl w:val="0"/>
          <w:numId w:val="217"/>
        </w:numPr>
        <w:tabs>
          <w:tab w:val="left" w:pos="1859"/>
        </w:tabs>
        <w:spacing w:before="239"/>
        <w:ind w:right="652" w:hanging="720"/>
      </w:pPr>
      <w:r w:rsidRPr="00EC20A0">
        <w:t>The auditor should obtain a sufficient understanding of the field of expertise of the</w:t>
      </w:r>
      <w:r w:rsidRPr="00EC20A0">
        <w:rPr>
          <w:spacing w:val="-3"/>
        </w:rPr>
        <w:t xml:space="preserve"> </w:t>
      </w:r>
      <w:r w:rsidRPr="00EC20A0">
        <w:t>auditor’s</w:t>
      </w:r>
      <w:r w:rsidRPr="00EC20A0">
        <w:rPr>
          <w:spacing w:val="-4"/>
        </w:rPr>
        <w:t xml:space="preserve"> </w:t>
      </w:r>
      <w:r w:rsidRPr="00EC20A0">
        <w:t>specialist</w:t>
      </w:r>
      <w:r w:rsidRPr="00EC20A0">
        <w:rPr>
          <w:spacing w:val="-3"/>
        </w:rPr>
        <w:t xml:space="preserve"> </w:t>
      </w:r>
      <w:r w:rsidRPr="00EC20A0">
        <w:t>to</w:t>
      </w:r>
      <w:r w:rsidRPr="00EC20A0">
        <w:rPr>
          <w:spacing w:val="-4"/>
        </w:rPr>
        <w:t xml:space="preserve"> </w:t>
      </w:r>
      <w:r w:rsidRPr="00EC20A0">
        <w:t>enable</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to</w:t>
      </w:r>
      <w:r w:rsidRPr="00EC20A0">
        <w:rPr>
          <w:spacing w:val="-3"/>
        </w:rPr>
        <w:t xml:space="preserve"> </w:t>
      </w:r>
      <w:r w:rsidRPr="00EC20A0">
        <w:t>determine</w:t>
      </w:r>
      <w:r w:rsidRPr="00EC20A0">
        <w:rPr>
          <w:spacing w:val="-3"/>
        </w:rPr>
        <w:t xml:space="preserve"> </w:t>
      </w:r>
      <w:r w:rsidRPr="00EC20A0">
        <w:t>the</w:t>
      </w:r>
      <w:r w:rsidRPr="00EC20A0">
        <w:rPr>
          <w:spacing w:val="-3"/>
        </w:rPr>
        <w:t xml:space="preserve"> </w:t>
      </w:r>
      <w:r w:rsidRPr="00EC20A0">
        <w:t>nature,</w:t>
      </w:r>
      <w:r w:rsidRPr="00EC20A0">
        <w:rPr>
          <w:spacing w:val="-3"/>
        </w:rPr>
        <w:t xml:space="preserve"> </w:t>
      </w:r>
      <w:r w:rsidRPr="00EC20A0">
        <w:t>scope,</w:t>
      </w:r>
      <w:r w:rsidRPr="00EC20A0">
        <w:rPr>
          <w:spacing w:val="-3"/>
        </w:rPr>
        <w:t xml:space="preserve"> </w:t>
      </w:r>
      <w:r w:rsidRPr="00EC20A0">
        <w:t>and objectives of the specialist’s work for the auditor’s purposes and evaluate the adequacy of that work for the auditor’s purposes (AU-C 620.10).</w:t>
      </w:r>
    </w:p>
    <w:p w14:paraId="24D5FF4F" w14:textId="77777777" w:rsidR="00245300" w:rsidRPr="00EC20A0" w:rsidRDefault="00F17249">
      <w:pPr>
        <w:pStyle w:val="ListParagraph"/>
        <w:numPr>
          <w:ilvl w:val="0"/>
          <w:numId w:val="217"/>
        </w:numPr>
        <w:tabs>
          <w:tab w:val="left" w:pos="1860"/>
        </w:tabs>
        <w:spacing w:before="239"/>
        <w:ind w:left="1860" w:right="1740" w:hanging="720"/>
      </w:pPr>
      <w:r w:rsidRPr="00EC20A0">
        <w:t>Aspects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field</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auditor’s</w:t>
      </w:r>
      <w:r w:rsidRPr="00EC20A0">
        <w:rPr>
          <w:spacing w:val="-5"/>
        </w:rPr>
        <w:t xml:space="preserve"> </w:t>
      </w:r>
      <w:r w:rsidRPr="00EC20A0">
        <w:t>specialist</w:t>
      </w:r>
      <w:r w:rsidRPr="00EC20A0">
        <w:rPr>
          <w:spacing w:val="-4"/>
        </w:rPr>
        <w:t xml:space="preserve"> </w:t>
      </w:r>
      <w:r w:rsidRPr="00EC20A0">
        <w:t>relevant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auditor’s understanding may include the following (AU-C 620.A24):</w:t>
      </w:r>
    </w:p>
    <w:p w14:paraId="24D5FF50" w14:textId="77777777" w:rsidR="00245300" w:rsidRPr="00EC20A0" w:rsidRDefault="00F17249">
      <w:pPr>
        <w:pStyle w:val="ListParagraph"/>
        <w:numPr>
          <w:ilvl w:val="1"/>
          <w:numId w:val="217"/>
        </w:numPr>
        <w:tabs>
          <w:tab w:val="left" w:pos="2219"/>
        </w:tabs>
        <w:ind w:left="2219" w:right="562" w:hanging="361"/>
      </w:pPr>
      <w:r w:rsidRPr="00EC20A0">
        <w:t>whether</w:t>
      </w:r>
      <w:r w:rsidRPr="00EC20A0">
        <w:rPr>
          <w:spacing w:val="-3"/>
        </w:rPr>
        <w:t xml:space="preserve"> </w:t>
      </w:r>
      <w:r w:rsidRPr="00EC20A0">
        <w:t>the</w:t>
      </w:r>
      <w:r w:rsidRPr="00EC20A0">
        <w:rPr>
          <w:spacing w:val="-3"/>
        </w:rPr>
        <w:t xml:space="preserve"> </w:t>
      </w:r>
      <w:r w:rsidRPr="00EC20A0">
        <w:t>field</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specialist</w:t>
      </w:r>
      <w:r w:rsidRPr="00EC20A0">
        <w:rPr>
          <w:spacing w:val="-3"/>
        </w:rPr>
        <w:t xml:space="preserve"> </w:t>
      </w:r>
      <w:r w:rsidRPr="00EC20A0">
        <w:t>has</w:t>
      </w:r>
      <w:r w:rsidRPr="00EC20A0">
        <w:rPr>
          <w:spacing w:val="-3"/>
        </w:rPr>
        <w:t xml:space="preserve"> </w:t>
      </w:r>
      <w:r w:rsidRPr="00EC20A0">
        <w:t>areas</w:t>
      </w:r>
      <w:r w:rsidRPr="00EC20A0">
        <w:rPr>
          <w:spacing w:val="-3"/>
        </w:rPr>
        <w:t xml:space="preserve"> </w:t>
      </w:r>
      <w:r w:rsidRPr="00EC20A0">
        <w:t>of</w:t>
      </w:r>
      <w:r w:rsidRPr="00EC20A0">
        <w:rPr>
          <w:spacing w:val="-3"/>
        </w:rPr>
        <w:t xml:space="preserve"> </w:t>
      </w:r>
      <w:r w:rsidRPr="00EC20A0">
        <w:t>specialty</w:t>
      </w:r>
      <w:r w:rsidRPr="00EC20A0">
        <w:rPr>
          <w:spacing w:val="-3"/>
        </w:rPr>
        <w:t xml:space="preserve"> </w:t>
      </w:r>
      <w:r w:rsidRPr="00EC20A0">
        <w:t>within</w:t>
      </w:r>
      <w:r w:rsidRPr="00EC20A0">
        <w:rPr>
          <w:spacing w:val="-3"/>
        </w:rPr>
        <w:t xml:space="preserve"> </w:t>
      </w:r>
      <w:r w:rsidRPr="00EC20A0">
        <w:t>it</w:t>
      </w:r>
      <w:r w:rsidRPr="00EC20A0">
        <w:rPr>
          <w:spacing w:val="-6"/>
        </w:rPr>
        <w:t xml:space="preserve"> </w:t>
      </w:r>
      <w:r w:rsidRPr="00EC20A0">
        <w:t>that are relevant to the audit;</w:t>
      </w:r>
    </w:p>
    <w:p w14:paraId="24D5FF51" w14:textId="77777777" w:rsidR="00245300" w:rsidRPr="00EC20A0" w:rsidRDefault="00F17249">
      <w:pPr>
        <w:pStyle w:val="ListParagraph"/>
        <w:numPr>
          <w:ilvl w:val="1"/>
          <w:numId w:val="217"/>
        </w:numPr>
        <w:tabs>
          <w:tab w:val="left" w:pos="2219"/>
        </w:tabs>
        <w:spacing w:before="238"/>
        <w:ind w:left="2219" w:right="1515"/>
      </w:pPr>
      <w:r w:rsidRPr="00EC20A0">
        <w:t>whether</w:t>
      </w:r>
      <w:r w:rsidRPr="00EC20A0">
        <w:rPr>
          <w:spacing w:val="-5"/>
        </w:rPr>
        <w:t xml:space="preserve"> </w:t>
      </w:r>
      <w:r w:rsidRPr="00EC20A0">
        <w:t>any</w:t>
      </w:r>
      <w:r w:rsidRPr="00EC20A0">
        <w:rPr>
          <w:spacing w:val="-5"/>
        </w:rPr>
        <w:t xml:space="preserve"> </w:t>
      </w:r>
      <w:r w:rsidRPr="00EC20A0">
        <w:t>professional</w:t>
      </w:r>
      <w:r w:rsidRPr="00EC20A0">
        <w:rPr>
          <w:spacing w:val="-5"/>
        </w:rPr>
        <w:t xml:space="preserve"> </w:t>
      </w:r>
      <w:r w:rsidRPr="00EC20A0">
        <w:t>or</w:t>
      </w:r>
      <w:r w:rsidRPr="00EC20A0">
        <w:rPr>
          <w:spacing w:val="-5"/>
        </w:rPr>
        <w:t xml:space="preserve"> </w:t>
      </w:r>
      <w:r w:rsidRPr="00EC20A0">
        <w:t>other</w:t>
      </w:r>
      <w:r w:rsidRPr="00EC20A0">
        <w:rPr>
          <w:spacing w:val="-5"/>
        </w:rPr>
        <w:t xml:space="preserve"> </w:t>
      </w:r>
      <w:r w:rsidRPr="00EC20A0">
        <w:t>standards</w:t>
      </w:r>
      <w:r w:rsidRPr="00EC20A0">
        <w:rPr>
          <w:spacing w:val="-5"/>
        </w:rPr>
        <w:t xml:space="preserve"> </w:t>
      </w:r>
      <w:r w:rsidRPr="00EC20A0">
        <w:t>and</w:t>
      </w:r>
      <w:r w:rsidRPr="00EC20A0">
        <w:rPr>
          <w:spacing w:val="-5"/>
        </w:rPr>
        <w:t xml:space="preserve"> </w:t>
      </w:r>
      <w:r w:rsidRPr="00EC20A0">
        <w:t>legal</w:t>
      </w:r>
      <w:r w:rsidRPr="00EC20A0">
        <w:rPr>
          <w:spacing w:val="-5"/>
        </w:rPr>
        <w:t xml:space="preserve"> </w:t>
      </w:r>
      <w:r w:rsidRPr="00EC20A0">
        <w:t>or</w:t>
      </w:r>
      <w:r w:rsidRPr="00EC20A0">
        <w:rPr>
          <w:spacing w:val="-5"/>
        </w:rPr>
        <w:t xml:space="preserve"> </w:t>
      </w:r>
      <w:r w:rsidRPr="00EC20A0">
        <w:t>regulatory requirements apply;</w:t>
      </w:r>
    </w:p>
    <w:p w14:paraId="24D5FF52" w14:textId="77777777" w:rsidR="00245300" w:rsidRPr="00EC20A0" w:rsidRDefault="00F17249">
      <w:pPr>
        <w:pStyle w:val="ListParagraph"/>
        <w:numPr>
          <w:ilvl w:val="1"/>
          <w:numId w:val="217"/>
        </w:numPr>
        <w:tabs>
          <w:tab w:val="left" w:pos="2220"/>
        </w:tabs>
        <w:spacing w:before="239"/>
        <w:ind w:right="585" w:hanging="361"/>
      </w:pPr>
      <w:r w:rsidRPr="00EC20A0">
        <w:t xml:space="preserve">what assumptions and methods, including </w:t>
      </w:r>
      <w:r w:rsidRPr="00EC20A0">
        <w:t>models, when applicable, the auditor’s</w:t>
      </w:r>
      <w:r w:rsidRPr="00EC20A0">
        <w:rPr>
          <w:spacing w:val="-4"/>
        </w:rPr>
        <w:t xml:space="preserve"> </w:t>
      </w:r>
      <w:r w:rsidRPr="00EC20A0">
        <w:t>specialist</w:t>
      </w:r>
      <w:r w:rsidRPr="00EC20A0">
        <w:rPr>
          <w:spacing w:val="-4"/>
        </w:rPr>
        <w:t xml:space="preserve"> </w:t>
      </w:r>
      <w:r w:rsidRPr="00EC20A0">
        <w:t>uses,</w:t>
      </w:r>
      <w:r w:rsidRPr="00EC20A0">
        <w:rPr>
          <w:spacing w:val="-4"/>
        </w:rPr>
        <w:t xml:space="preserve"> </w:t>
      </w:r>
      <w:r w:rsidRPr="00EC20A0">
        <w:t>and</w:t>
      </w:r>
      <w:r w:rsidRPr="00EC20A0">
        <w:rPr>
          <w:spacing w:val="-4"/>
        </w:rPr>
        <w:t xml:space="preserve"> </w:t>
      </w:r>
      <w:r w:rsidRPr="00EC20A0">
        <w:t>whether</w:t>
      </w:r>
      <w:r w:rsidRPr="00EC20A0">
        <w:rPr>
          <w:spacing w:val="-4"/>
        </w:rPr>
        <w:t xml:space="preserve"> </w:t>
      </w:r>
      <w:r w:rsidRPr="00EC20A0">
        <w:t>they</w:t>
      </w:r>
      <w:r w:rsidRPr="00EC20A0">
        <w:rPr>
          <w:spacing w:val="-4"/>
        </w:rPr>
        <w:t xml:space="preserve"> </w:t>
      </w:r>
      <w:r w:rsidRPr="00EC20A0">
        <w:t>are</w:t>
      </w:r>
      <w:r w:rsidRPr="00EC20A0">
        <w:rPr>
          <w:spacing w:val="-5"/>
        </w:rPr>
        <w:t xml:space="preserve"> </w:t>
      </w:r>
      <w:r w:rsidRPr="00EC20A0">
        <w:t>generally</w:t>
      </w:r>
      <w:r w:rsidRPr="00EC20A0">
        <w:rPr>
          <w:spacing w:val="-4"/>
        </w:rPr>
        <w:t xml:space="preserve"> </w:t>
      </w:r>
      <w:r w:rsidRPr="00EC20A0">
        <w:t>accepted</w:t>
      </w:r>
      <w:r w:rsidRPr="00EC20A0">
        <w:rPr>
          <w:spacing w:val="-4"/>
        </w:rPr>
        <w:t xml:space="preserve"> </w:t>
      </w:r>
      <w:r w:rsidRPr="00EC20A0">
        <w:t>within</w:t>
      </w:r>
      <w:r w:rsidRPr="00EC20A0">
        <w:rPr>
          <w:spacing w:val="-4"/>
        </w:rPr>
        <w:t xml:space="preserve"> </w:t>
      </w:r>
      <w:r w:rsidRPr="00EC20A0">
        <w:t>that field and appropriate for financial reporting purposes; and</w:t>
      </w:r>
    </w:p>
    <w:p w14:paraId="24D5FF53" w14:textId="77777777" w:rsidR="00245300" w:rsidRPr="00EC20A0" w:rsidRDefault="00F17249">
      <w:pPr>
        <w:pStyle w:val="ListParagraph"/>
        <w:numPr>
          <w:ilvl w:val="1"/>
          <w:numId w:val="217"/>
        </w:numPr>
        <w:tabs>
          <w:tab w:val="left" w:pos="2219"/>
        </w:tabs>
        <w:spacing w:before="238"/>
        <w:ind w:left="2219" w:right="1185"/>
      </w:pPr>
      <w:r w:rsidRPr="00EC20A0">
        <w:t>the</w:t>
      </w:r>
      <w:r w:rsidRPr="00EC20A0">
        <w:rPr>
          <w:spacing w:val="-4"/>
        </w:rPr>
        <w:t xml:space="preserve"> </w:t>
      </w:r>
      <w:r w:rsidRPr="00EC20A0">
        <w:t>nature</w:t>
      </w:r>
      <w:r w:rsidRPr="00EC20A0">
        <w:rPr>
          <w:spacing w:val="-4"/>
        </w:rPr>
        <w:t xml:space="preserve"> </w:t>
      </w:r>
      <w:r w:rsidRPr="00EC20A0">
        <w:t>of</w:t>
      </w:r>
      <w:r w:rsidRPr="00EC20A0">
        <w:rPr>
          <w:spacing w:val="-4"/>
        </w:rPr>
        <w:t xml:space="preserve"> </w:t>
      </w:r>
      <w:r w:rsidRPr="00EC20A0">
        <w:t>internal</w:t>
      </w:r>
      <w:r w:rsidRPr="00EC20A0">
        <w:rPr>
          <w:spacing w:val="-4"/>
        </w:rPr>
        <w:t xml:space="preserve"> </w:t>
      </w:r>
      <w:r w:rsidRPr="00EC20A0">
        <w:t>and</w:t>
      </w:r>
      <w:r w:rsidRPr="00EC20A0">
        <w:rPr>
          <w:spacing w:val="-4"/>
        </w:rPr>
        <w:t xml:space="preserve"> </w:t>
      </w:r>
      <w:r w:rsidRPr="00EC20A0">
        <w:t>external</w:t>
      </w:r>
      <w:r w:rsidRPr="00EC20A0">
        <w:rPr>
          <w:spacing w:val="-4"/>
        </w:rPr>
        <w:t xml:space="preserve"> </w:t>
      </w:r>
      <w:r w:rsidRPr="00EC20A0">
        <w:t>data</w:t>
      </w:r>
      <w:r w:rsidRPr="00EC20A0">
        <w:rPr>
          <w:spacing w:val="-4"/>
        </w:rPr>
        <w:t xml:space="preserve"> </w:t>
      </w:r>
      <w:r w:rsidRPr="00EC20A0">
        <w:t>or</w:t>
      </w:r>
      <w:r w:rsidRPr="00EC20A0">
        <w:rPr>
          <w:spacing w:val="-4"/>
        </w:rPr>
        <w:t xml:space="preserve"> </w:t>
      </w:r>
      <w:r w:rsidRPr="00EC20A0">
        <w:t>information</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 xml:space="preserve">auditor’s </w:t>
      </w:r>
      <w:r w:rsidRPr="00EC20A0">
        <w:t>specialist uses.</w:t>
      </w:r>
    </w:p>
    <w:p w14:paraId="24D5FF54" w14:textId="77777777" w:rsidR="00245300" w:rsidRPr="00EC20A0" w:rsidRDefault="00F17249">
      <w:pPr>
        <w:pStyle w:val="Heading4"/>
        <w:spacing w:before="239"/>
      </w:pPr>
      <w:bookmarkStart w:id="34" w:name="Agreement_with_the_Auditor’s_Specialist"/>
      <w:bookmarkEnd w:id="34"/>
      <w:r w:rsidRPr="00EC20A0">
        <w:t>Agreement</w:t>
      </w:r>
      <w:r w:rsidRPr="00EC20A0">
        <w:rPr>
          <w:spacing w:val="-12"/>
        </w:rPr>
        <w:t xml:space="preserve"> </w:t>
      </w:r>
      <w:r w:rsidRPr="00EC20A0">
        <w:t>with</w:t>
      </w:r>
      <w:r w:rsidRPr="00EC20A0">
        <w:rPr>
          <w:spacing w:val="-12"/>
        </w:rPr>
        <w:t xml:space="preserve"> </w:t>
      </w:r>
      <w:r w:rsidRPr="00EC20A0">
        <w:t>the</w:t>
      </w:r>
      <w:r w:rsidRPr="00EC20A0">
        <w:rPr>
          <w:spacing w:val="-11"/>
        </w:rPr>
        <w:t xml:space="preserve"> </w:t>
      </w:r>
      <w:r w:rsidRPr="00EC20A0">
        <w:t>Auditor’s</w:t>
      </w:r>
      <w:r w:rsidRPr="00EC20A0">
        <w:rPr>
          <w:spacing w:val="-11"/>
        </w:rPr>
        <w:t xml:space="preserve"> </w:t>
      </w:r>
      <w:r w:rsidRPr="00EC20A0">
        <w:rPr>
          <w:spacing w:val="-2"/>
        </w:rPr>
        <w:t>Specialist</w:t>
      </w:r>
    </w:p>
    <w:p w14:paraId="24D5FF55" w14:textId="77777777" w:rsidR="00245300" w:rsidRPr="00EC20A0" w:rsidRDefault="00F17249">
      <w:pPr>
        <w:pStyle w:val="ListParagraph"/>
        <w:numPr>
          <w:ilvl w:val="0"/>
          <w:numId w:val="217"/>
        </w:numPr>
        <w:tabs>
          <w:tab w:val="left" w:pos="1859"/>
        </w:tabs>
        <w:ind w:right="1448" w:hanging="720"/>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agree,</w:t>
      </w:r>
      <w:r w:rsidRPr="00EC20A0">
        <w:rPr>
          <w:spacing w:val="-4"/>
        </w:rPr>
        <w:t xml:space="preserve"> </w:t>
      </w:r>
      <w:r w:rsidRPr="00EC20A0">
        <w:t>in</w:t>
      </w:r>
      <w:r w:rsidRPr="00EC20A0">
        <w:rPr>
          <w:spacing w:val="-4"/>
        </w:rPr>
        <w:t xml:space="preserve"> </w:t>
      </w:r>
      <w:r w:rsidRPr="00EC20A0">
        <w:t>writing</w:t>
      </w:r>
      <w:r w:rsidRPr="00EC20A0">
        <w:rPr>
          <w:spacing w:val="-5"/>
        </w:rPr>
        <w:t xml:space="preserve"> </w:t>
      </w:r>
      <w:r w:rsidRPr="00EC20A0">
        <w:t>when</w:t>
      </w:r>
      <w:r w:rsidRPr="00EC20A0">
        <w:rPr>
          <w:spacing w:val="-4"/>
        </w:rPr>
        <w:t xml:space="preserve"> </w:t>
      </w:r>
      <w:r w:rsidRPr="00EC20A0">
        <w:t>appropriate,</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auditor’s specialists regarding (AU-C 620.11)</w:t>
      </w:r>
    </w:p>
    <w:p w14:paraId="24D5FF56" w14:textId="77777777" w:rsidR="00245300" w:rsidRPr="00EC20A0" w:rsidRDefault="00F17249">
      <w:pPr>
        <w:pStyle w:val="ListParagraph"/>
        <w:numPr>
          <w:ilvl w:val="1"/>
          <w:numId w:val="217"/>
        </w:numPr>
        <w:tabs>
          <w:tab w:val="left" w:pos="2219"/>
        </w:tabs>
        <w:ind w:left="2219"/>
      </w:pPr>
      <w:r w:rsidRPr="00EC20A0">
        <w:t>the</w:t>
      </w:r>
      <w:r w:rsidRPr="00EC20A0">
        <w:rPr>
          <w:spacing w:val="-6"/>
        </w:rPr>
        <w:t xml:space="preserve"> </w:t>
      </w:r>
      <w:r w:rsidRPr="00EC20A0">
        <w:t>nature,</w:t>
      </w:r>
      <w:r w:rsidRPr="00EC20A0">
        <w:rPr>
          <w:spacing w:val="-5"/>
        </w:rPr>
        <w:t xml:space="preserve"> </w:t>
      </w:r>
      <w:r w:rsidRPr="00EC20A0">
        <w:t>scope,</w:t>
      </w:r>
      <w:r w:rsidRPr="00EC20A0">
        <w:rPr>
          <w:spacing w:val="-5"/>
        </w:rPr>
        <w:t xml:space="preserve"> </w:t>
      </w:r>
      <w:r w:rsidRPr="00EC20A0">
        <w:t>and</w:t>
      </w:r>
      <w:r w:rsidRPr="00EC20A0">
        <w:rPr>
          <w:spacing w:val="-5"/>
        </w:rPr>
        <w:t xml:space="preserve"> </w:t>
      </w:r>
      <w:r w:rsidRPr="00EC20A0">
        <w:t>objectives</w:t>
      </w:r>
      <w:r w:rsidRPr="00EC20A0">
        <w:rPr>
          <w:spacing w:val="-5"/>
        </w:rPr>
        <w:t xml:space="preserve"> </w:t>
      </w:r>
      <w:r w:rsidRPr="00EC20A0">
        <w:t>of</w:t>
      </w:r>
      <w:r w:rsidRPr="00EC20A0">
        <w:rPr>
          <w:spacing w:val="-5"/>
        </w:rPr>
        <w:t xml:space="preserve"> </w:t>
      </w:r>
      <w:r w:rsidRPr="00EC20A0">
        <w:t>the</w:t>
      </w:r>
      <w:r w:rsidRPr="00EC20A0">
        <w:rPr>
          <w:spacing w:val="-6"/>
        </w:rPr>
        <w:t xml:space="preserve"> </w:t>
      </w:r>
      <w:r w:rsidRPr="00EC20A0">
        <w:t>work</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auditor’s</w:t>
      </w:r>
      <w:r w:rsidRPr="00EC20A0">
        <w:rPr>
          <w:spacing w:val="-6"/>
        </w:rPr>
        <w:t xml:space="preserve"> </w:t>
      </w:r>
      <w:r w:rsidRPr="00EC20A0">
        <w:rPr>
          <w:spacing w:val="-2"/>
        </w:rPr>
        <w:t>specialist;</w:t>
      </w:r>
    </w:p>
    <w:p w14:paraId="24D5FF57" w14:textId="77777777" w:rsidR="00245300" w:rsidRPr="00EC20A0" w:rsidRDefault="00F17249">
      <w:pPr>
        <w:pStyle w:val="ListParagraph"/>
        <w:numPr>
          <w:ilvl w:val="1"/>
          <w:numId w:val="217"/>
        </w:numPr>
        <w:tabs>
          <w:tab w:val="left" w:pos="2219"/>
        </w:tabs>
        <w:spacing w:before="238"/>
        <w:ind w:left="2219" w:right="1184"/>
      </w:pPr>
      <w:r w:rsidRPr="00EC20A0">
        <w:t>the</w:t>
      </w:r>
      <w:r w:rsidRPr="00EC20A0">
        <w:rPr>
          <w:spacing w:val="-4"/>
        </w:rPr>
        <w:t xml:space="preserve"> </w:t>
      </w:r>
      <w:r w:rsidRPr="00EC20A0">
        <w:t>respective</w:t>
      </w:r>
      <w:r w:rsidRPr="00EC20A0">
        <w:rPr>
          <w:spacing w:val="-4"/>
        </w:rPr>
        <w:t xml:space="preserve"> </w:t>
      </w:r>
      <w:r w:rsidRPr="00EC20A0">
        <w:t>roles</w:t>
      </w:r>
      <w:r w:rsidRPr="00EC20A0">
        <w:rPr>
          <w:spacing w:val="-4"/>
        </w:rPr>
        <w:t xml:space="preserve"> </w:t>
      </w:r>
      <w:r w:rsidRPr="00EC20A0">
        <w:t>and</w:t>
      </w:r>
      <w:r w:rsidRPr="00EC20A0">
        <w:rPr>
          <w:spacing w:val="-5"/>
        </w:rPr>
        <w:t xml:space="preserve"> </w:t>
      </w:r>
      <w:r w:rsidRPr="00EC20A0">
        <w:t>responsibilities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and</w:t>
      </w:r>
      <w:r w:rsidRPr="00EC20A0">
        <w:rPr>
          <w:spacing w:val="-4"/>
        </w:rPr>
        <w:t xml:space="preserve"> </w:t>
      </w:r>
      <w:r w:rsidRPr="00EC20A0">
        <w:t>the</w:t>
      </w:r>
      <w:r w:rsidRPr="00EC20A0">
        <w:rPr>
          <w:spacing w:val="-5"/>
        </w:rPr>
        <w:t xml:space="preserve"> </w:t>
      </w:r>
      <w:r w:rsidRPr="00EC20A0">
        <w:t xml:space="preserve">auditor’s </w:t>
      </w:r>
      <w:r w:rsidRPr="00EC20A0">
        <w:rPr>
          <w:spacing w:val="-2"/>
        </w:rPr>
        <w:t>specialist;</w:t>
      </w:r>
    </w:p>
    <w:p w14:paraId="24D5FF58" w14:textId="77777777" w:rsidR="00245300" w:rsidRPr="00EC20A0" w:rsidRDefault="00F17249">
      <w:pPr>
        <w:pStyle w:val="ListParagraph"/>
        <w:numPr>
          <w:ilvl w:val="1"/>
          <w:numId w:val="217"/>
        </w:numPr>
        <w:tabs>
          <w:tab w:val="left" w:pos="2219"/>
        </w:tabs>
        <w:spacing w:before="238"/>
        <w:ind w:left="2219" w:right="635"/>
      </w:pPr>
      <w:r w:rsidRPr="00EC20A0">
        <w:t>the</w:t>
      </w:r>
      <w:r w:rsidRPr="00EC20A0">
        <w:rPr>
          <w:spacing w:val="-4"/>
        </w:rPr>
        <w:t xml:space="preserve"> </w:t>
      </w:r>
      <w:r w:rsidRPr="00EC20A0">
        <w:t>nature,</w:t>
      </w:r>
      <w:r w:rsidRPr="00EC20A0">
        <w:rPr>
          <w:spacing w:val="-4"/>
        </w:rPr>
        <w:t xml:space="preserve"> </w:t>
      </w:r>
      <w:r w:rsidRPr="00EC20A0">
        <w:t>timing,</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communication</w:t>
      </w:r>
      <w:r w:rsidRPr="00EC20A0">
        <w:rPr>
          <w:spacing w:val="-5"/>
        </w:rPr>
        <w:t xml:space="preserve"> </w:t>
      </w:r>
      <w:r w:rsidRPr="00EC20A0">
        <w:t>between</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and</w:t>
      </w:r>
      <w:r w:rsidRPr="00EC20A0">
        <w:rPr>
          <w:spacing w:val="-5"/>
        </w:rPr>
        <w:t xml:space="preserve"> </w:t>
      </w:r>
      <w:r w:rsidRPr="00EC20A0">
        <w:t>the auditor’s specialist, including the form of any report that the specialist is to provide; and</w:t>
      </w:r>
    </w:p>
    <w:p w14:paraId="24D5FF59" w14:textId="77777777" w:rsidR="00245300" w:rsidRPr="00EC20A0" w:rsidRDefault="00F17249">
      <w:pPr>
        <w:pStyle w:val="ListParagraph"/>
        <w:numPr>
          <w:ilvl w:val="1"/>
          <w:numId w:val="217"/>
        </w:numPr>
        <w:tabs>
          <w:tab w:val="left" w:pos="2219"/>
        </w:tabs>
        <w:spacing w:before="239"/>
        <w:ind w:left="2219" w:hanging="359"/>
      </w:pPr>
      <w:r w:rsidRPr="00EC20A0">
        <w:t>the</w:t>
      </w:r>
      <w:r w:rsidRPr="00EC20A0">
        <w:rPr>
          <w:spacing w:val="-7"/>
        </w:rPr>
        <w:t xml:space="preserve"> </w:t>
      </w:r>
      <w:r w:rsidRPr="00EC20A0">
        <w:t>need</w:t>
      </w:r>
      <w:r w:rsidRPr="00EC20A0">
        <w:rPr>
          <w:spacing w:val="-7"/>
        </w:rPr>
        <w:t xml:space="preserve"> </w:t>
      </w:r>
      <w:r w:rsidRPr="00EC20A0">
        <w:t>for</w:t>
      </w:r>
      <w:r w:rsidRPr="00EC20A0">
        <w:rPr>
          <w:spacing w:val="-7"/>
        </w:rPr>
        <w:t xml:space="preserve"> </w:t>
      </w:r>
      <w:r w:rsidRPr="00EC20A0">
        <w:t>the</w:t>
      </w:r>
      <w:r w:rsidRPr="00EC20A0">
        <w:rPr>
          <w:spacing w:val="-7"/>
        </w:rPr>
        <w:t xml:space="preserve"> </w:t>
      </w:r>
      <w:r w:rsidRPr="00EC20A0">
        <w:t>auditor’s</w:t>
      </w:r>
      <w:r w:rsidRPr="00EC20A0">
        <w:rPr>
          <w:spacing w:val="-7"/>
        </w:rPr>
        <w:t xml:space="preserve"> </w:t>
      </w:r>
      <w:r w:rsidRPr="00EC20A0">
        <w:t>specialist</w:t>
      </w:r>
      <w:r w:rsidRPr="00EC20A0">
        <w:rPr>
          <w:spacing w:val="-7"/>
        </w:rPr>
        <w:t xml:space="preserve"> </w:t>
      </w:r>
      <w:r w:rsidRPr="00EC20A0">
        <w:t>to</w:t>
      </w:r>
      <w:r w:rsidRPr="00EC20A0">
        <w:rPr>
          <w:spacing w:val="-7"/>
        </w:rPr>
        <w:t xml:space="preserve"> </w:t>
      </w:r>
      <w:r w:rsidRPr="00EC20A0">
        <w:t>observe</w:t>
      </w:r>
      <w:r w:rsidRPr="00EC20A0">
        <w:rPr>
          <w:spacing w:val="-7"/>
        </w:rPr>
        <w:t xml:space="preserve"> </w:t>
      </w:r>
      <w:r w:rsidRPr="00EC20A0">
        <w:t>confidentiality</w:t>
      </w:r>
      <w:r w:rsidRPr="00EC20A0">
        <w:rPr>
          <w:spacing w:val="-7"/>
        </w:rPr>
        <w:t xml:space="preserve"> </w:t>
      </w:r>
      <w:r w:rsidRPr="00EC20A0">
        <w:rPr>
          <w:spacing w:val="-2"/>
        </w:rPr>
        <w:t>requirements.</w:t>
      </w:r>
    </w:p>
    <w:p w14:paraId="24D5FF5A" w14:textId="77777777" w:rsidR="00245300" w:rsidRPr="00EC20A0" w:rsidRDefault="00F17249">
      <w:pPr>
        <w:pStyle w:val="BodyText"/>
        <w:spacing w:before="238"/>
        <w:ind w:left="1859" w:right="656"/>
      </w:pPr>
      <w:r w:rsidRPr="00EC20A0">
        <w:t>AU-C</w:t>
      </w:r>
      <w:r w:rsidRPr="00EC20A0">
        <w:rPr>
          <w:spacing w:val="-5"/>
        </w:rPr>
        <w:t xml:space="preserve"> </w:t>
      </w:r>
      <w:r w:rsidRPr="00EC20A0">
        <w:t>620.A25</w:t>
      </w:r>
      <w:r w:rsidRPr="00EC20A0">
        <w:rPr>
          <w:spacing w:val="-4"/>
        </w:rPr>
        <w:t xml:space="preserve"> </w:t>
      </w:r>
      <w:r w:rsidRPr="00EC20A0">
        <w:t>through</w:t>
      </w:r>
      <w:r w:rsidRPr="00EC20A0">
        <w:rPr>
          <w:spacing w:val="-4"/>
        </w:rPr>
        <w:t xml:space="preserve"> </w:t>
      </w:r>
      <w:r w:rsidRPr="00EC20A0">
        <w:t>.A34</w:t>
      </w:r>
      <w:r w:rsidRPr="00EC20A0">
        <w:rPr>
          <w:spacing w:val="-4"/>
        </w:rPr>
        <w:t xml:space="preserve"> </w:t>
      </w:r>
      <w:r w:rsidRPr="00EC20A0">
        <w:t>provide</w:t>
      </w:r>
      <w:r w:rsidRPr="00EC20A0">
        <w:rPr>
          <w:spacing w:val="-5"/>
        </w:rPr>
        <w:t xml:space="preserve"> </w:t>
      </w:r>
      <w:r w:rsidRPr="00EC20A0">
        <w:t>additional</w:t>
      </w:r>
      <w:r w:rsidRPr="00EC20A0">
        <w:rPr>
          <w:spacing w:val="-4"/>
        </w:rPr>
        <w:t xml:space="preserve"> </w:t>
      </w:r>
      <w:r w:rsidRPr="00EC20A0">
        <w:t>guidance</w:t>
      </w:r>
      <w:r w:rsidRPr="00EC20A0">
        <w:rPr>
          <w:spacing w:val="-4"/>
        </w:rPr>
        <w:t xml:space="preserve"> </w:t>
      </w:r>
      <w:r w:rsidRPr="00EC20A0">
        <w:t>on</w:t>
      </w:r>
      <w:r w:rsidRPr="00EC20A0">
        <w:rPr>
          <w:spacing w:val="-4"/>
        </w:rPr>
        <w:t xml:space="preserve"> </w:t>
      </w:r>
      <w:r w:rsidRPr="00EC20A0">
        <w:t>this</w:t>
      </w:r>
      <w:r w:rsidRPr="00EC20A0">
        <w:rPr>
          <w:spacing w:val="-4"/>
        </w:rPr>
        <w:t xml:space="preserve"> </w:t>
      </w:r>
      <w:r w:rsidRPr="00EC20A0">
        <w:t>agreement, some of which is discussed below.</w:t>
      </w:r>
    </w:p>
    <w:p w14:paraId="24D5FF5B" w14:textId="77777777" w:rsidR="00245300" w:rsidRPr="00EC20A0" w:rsidRDefault="00F17249">
      <w:pPr>
        <w:pStyle w:val="ListParagraph"/>
        <w:numPr>
          <w:ilvl w:val="0"/>
          <w:numId w:val="217"/>
        </w:numPr>
        <w:tabs>
          <w:tab w:val="left" w:pos="1859"/>
        </w:tabs>
        <w:spacing w:before="239"/>
        <w:ind w:right="518" w:hanging="720"/>
      </w:pPr>
      <w:r w:rsidRPr="00EC20A0">
        <w:t xml:space="preserve">The matters noted in </w:t>
      </w:r>
      <w:hyperlink r:id="rId27">
        <w:r w:rsidRPr="00EC20A0">
          <w:t>FAM</w:t>
        </w:r>
      </w:hyperlink>
      <w:r w:rsidRPr="00EC20A0">
        <w:t xml:space="preserve"> 620.15 may affect the level of detail and formality of the</w:t>
      </w:r>
      <w:r w:rsidRPr="00EC20A0">
        <w:rPr>
          <w:spacing w:val="-4"/>
        </w:rPr>
        <w:t xml:space="preserve"> </w:t>
      </w:r>
      <w:r w:rsidRPr="00EC20A0">
        <w:t>agreement</w:t>
      </w:r>
      <w:r w:rsidRPr="00EC20A0">
        <w:rPr>
          <w:spacing w:val="-4"/>
        </w:rPr>
        <w:t xml:space="preserve"> </w:t>
      </w:r>
      <w:r w:rsidRPr="00EC20A0">
        <w:t>between</w:t>
      </w:r>
      <w:r w:rsidRPr="00EC20A0">
        <w:rPr>
          <w:spacing w:val="-4"/>
        </w:rPr>
        <w:t xml:space="preserve"> </w:t>
      </w:r>
      <w:r w:rsidRPr="00EC20A0">
        <w:t>the</w:t>
      </w:r>
      <w:r w:rsidRPr="00EC20A0">
        <w:rPr>
          <w:spacing w:val="-4"/>
        </w:rPr>
        <w:t xml:space="preserve"> </w:t>
      </w:r>
      <w:r w:rsidRPr="00EC20A0">
        <w:t>auditor</w:t>
      </w:r>
      <w:r w:rsidRPr="00EC20A0">
        <w:rPr>
          <w:spacing w:val="-6"/>
        </w:rPr>
        <w:t xml:space="preserve"> </w:t>
      </w:r>
      <w:r w:rsidRPr="00EC20A0">
        <w:t>and</w:t>
      </w:r>
      <w:r w:rsidRPr="00EC20A0">
        <w:rPr>
          <w:spacing w:val="-4"/>
        </w:rPr>
        <w:t xml:space="preserve"> </w:t>
      </w:r>
      <w:r w:rsidRPr="00EC20A0">
        <w:t>the</w:t>
      </w:r>
      <w:r w:rsidRPr="00EC20A0">
        <w:rPr>
          <w:spacing w:val="-4"/>
        </w:rPr>
        <w:t xml:space="preserve"> </w:t>
      </w:r>
      <w:r w:rsidRPr="00EC20A0">
        <w:t>auditor’s</w:t>
      </w:r>
      <w:r w:rsidRPr="00EC20A0">
        <w:rPr>
          <w:spacing w:val="-3"/>
        </w:rPr>
        <w:t xml:space="preserve"> </w:t>
      </w:r>
      <w:r w:rsidRPr="00EC20A0">
        <w:t>specialist,</w:t>
      </w:r>
      <w:r w:rsidRPr="00EC20A0">
        <w:rPr>
          <w:spacing w:val="-4"/>
        </w:rPr>
        <w:t xml:space="preserve"> </w:t>
      </w:r>
      <w:r w:rsidRPr="00EC20A0">
        <w:t>including</w:t>
      </w:r>
      <w:r w:rsidRPr="00EC20A0">
        <w:rPr>
          <w:spacing w:val="-5"/>
        </w:rPr>
        <w:t xml:space="preserve"> </w:t>
      </w:r>
      <w:r w:rsidRPr="00EC20A0">
        <w:t xml:space="preserve">whether it is appropriate that the agreement be in writing. For example, the following factors may suggest the need for a more detailed agreement than </w:t>
      </w:r>
      <w:r w:rsidRPr="00EC20A0">
        <w:t>would otherwise be the case or for the agreement to be in writing (AU-C 620.A26):</w:t>
      </w:r>
    </w:p>
    <w:p w14:paraId="24D5FF5C" w14:textId="77777777" w:rsidR="00245300" w:rsidRPr="00EC20A0" w:rsidRDefault="00245300">
      <w:pPr>
        <w:sectPr w:rsidR="00245300" w:rsidRPr="00EC20A0">
          <w:pgSz w:w="12240" w:h="15840"/>
          <w:pgMar w:top="1340" w:right="940" w:bottom="940" w:left="1020" w:header="721" w:footer="757" w:gutter="0"/>
          <w:cols w:space="720"/>
        </w:sectPr>
      </w:pPr>
    </w:p>
    <w:p w14:paraId="24D5FF5D" w14:textId="77777777" w:rsidR="00245300" w:rsidRPr="00EC20A0" w:rsidRDefault="00F17249">
      <w:pPr>
        <w:pStyle w:val="ListParagraph"/>
        <w:numPr>
          <w:ilvl w:val="1"/>
          <w:numId w:val="217"/>
        </w:numPr>
        <w:tabs>
          <w:tab w:val="left" w:pos="2219"/>
        </w:tabs>
        <w:spacing w:before="121"/>
        <w:ind w:left="2219" w:right="1062"/>
      </w:pPr>
      <w:r w:rsidRPr="00EC20A0">
        <w:t>the</w:t>
      </w:r>
      <w:r w:rsidRPr="00EC20A0">
        <w:rPr>
          <w:spacing w:val="-4"/>
        </w:rPr>
        <w:t xml:space="preserve"> </w:t>
      </w:r>
      <w:r w:rsidRPr="00EC20A0">
        <w:t>auditor’s</w:t>
      </w:r>
      <w:r w:rsidRPr="00EC20A0">
        <w:rPr>
          <w:spacing w:val="-5"/>
        </w:rPr>
        <w:t xml:space="preserve"> </w:t>
      </w:r>
      <w:r w:rsidRPr="00EC20A0">
        <w:t>specialist</w:t>
      </w:r>
      <w:r w:rsidRPr="00EC20A0">
        <w:rPr>
          <w:spacing w:val="-4"/>
        </w:rPr>
        <w:t xml:space="preserve"> </w:t>
      </w:r>
      <w:r w:rsidRPr="00EC20A0">
        <w:t>will</w:t>
      </w:r>
      <w:r w:rsidRPr="00EC20A0">
        <w:rPr>
          <w:spacing w:val="-4"/>
        </w:rPr>
        <w:t xml:space="preserve"> </w:t>
      </w:r>
      <w:r w:rsidRPr="00EC20A0">
        <w:t>have</w:t>
      </w:r>
      <w:r w:rsidRPr="00EC20A0">
        <w:rPr>
          <w:spacing w:val="-4"/>
        </w:rPr>
        <w:t xml:space="preserve"> </w:t>
      </w:r>
      <w:r w:rsidRPr="00EC20A0">
        <w:t>access</w:t>
      </w:r>
      <w:r w:rsidRPr="00EC20A0">
        <w:rPr>
          <w:spacing w:val="-4"/>
        </w:rPr>
        <w:t xml:space="preserve"> </w:t>
      </w:r>
      <w:r w:rsidRPr="00EC20A0">
        <w:t>to</w:t>
      </w:r>
      <w:r w:rsidRPr="00EC20A0">
        <w:rPr>
          <w:spacing w:val="-4"/>
        </w:rPr>
        <w:t xml:space="preserve"> </w:t>
      </w:r>
      <w:r w:rsidRPr="00EC20A0">
        <w:t>sensitive</w:t>
      </w:r>
      <w:r w:rsidRPr="00EC20A0">
        <w:rPr>
          <w:spacing w:val="-4"/>
        </w:rPr>
        <w:t xml:space="preserve"> </w:t>
      </w:r>
      <w:r w:rsidRPr="00EC20A0">
        <w:t>or</w:t>
      </w:r>
      <w:r w:rsidRPr="00EC20A0">
        <w:rPr>
          <w:spacing w:val="-4"/>
        </w:rPr>
        <w:t xml:space="preserve"> </w:t>
      </w:r>
      <w:r w:rsidRPr="00EC20A0">
        <w:t>confidential</w:t>
      </w:r>
      <w:r w:rsidRPr="00EC20A0">
        <w:rPr>
          <w:spacing w:val="-4"/>
        </w:rPr>
        <w:t xml:space="preserve"> </w:t>
      </w:r>
      <w:r w:rsidRPr="00EC20A0">
        <w:t xml:space="preserve">entity </w:t>
      </w:r>
      <w:r w:rsidRPr="00EC20A0">
        <w:rPr>
          <w:spacing w:val="-2"/>
        </w:rPr>
        <w:t>information;</w:t>
      </w:r>
    </w:p>
    <w:p w14:paraId="24D5FF5E" w14:textId="77777777" w:rsidR="00245300" w:rsidRPr="00EC20A0" w:rsidRDefault="00F17249">
      <w:pPr>
        <w:pStyle w:val="ListParagraph"/>
        <w:numPr>
          <w:ilvl w:val="1"/>
          <w:numId w:val="217"/>
        </w:numPr>
        <w:tabs>
          <w:tab w:val="left" w:pos="2219"/>
        </w:tabs>
        <w:spacing w:before="238"/>
        <w:ind w:left="2219" w:right="1356"/>
      </w:pPr>
      <w:r w:rsidRPr="00EC20A0">
        <w:t>the</w:t>
      </w:r>
      <w:r w:rsidRPr="00EC20A0">
        <w:rPr>
          <w:spacing w:val="-4"/>
        </w:rPr>
        <w:t xml:space="preserve"> </w:t>
      </w:r>
      <w:r w:rsidRPr="00EC20A0">
        <w:t>respective</w:t>
      </w:r>
      <w:r w:rsidRPr="00EC20A0">
        <w:rPr>
          <w:spacing w:val="-4"/>
        </w:rPr>
        <w:t xml:space="preserve"> </w:t>
      </w:r>
      <w:r w:rsidRPr="00EC20A0">
        <w:t>roles</w:t>
      </w:r>
      <w:r w:rsidRPr="00EC20A0">
        <w:rPr>
          <w:spacing w:val="-4"/>
        </w:rPr>
        <w:t xml:space="preserve"> </w:t>
      </w:r>
      <w:r w:rsidRPr="00EC20A0">
        <w:t>or</w:t>
      </w:r>
      <w:r w:rsidRPr="00EC20A0">
        <w:rPr>
          <w:spacing w:val="-4"/>
        </w:rPr>
        <w:t xml:space="preserve"> </w:t>
      </w:r>
      <w:r w:rsidRPr="00EC20A0">
        <w:t>responsibilities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and</w:t>
      </w:r>
      <w:r w:rsidRPr="00EC20A0">
        <w:rPr>
          <w:spacing w:val="-4"/>
        </w:rPr>
        <w:t xml:space="preserve"> </w:t>
      </w:r>
      <w:r w:rsidRPr="00EC20A0">
        <w:t>the</w:t>
      </w:r>
      <w:r w:rsidRPr="00EC20A0">
        <w:rPr>
          <w:spacing w:val="-5"/>
        </w:rPr>
        <w:t xml:space="preserve"> </w:t>
      </w:r>
      <w:r w:rsidRPr="00EC20A0">
        <w:t>auditor’s specialist are different from those normally expected;</w:t>
      </w:r>
    </w:p>
    <w:p w14:paraId="24D5FF5F" w14:textId="77777777" w:rsidR="00245300" w:rsidRPr="00EC20A0" w:rsidRDefault="00F17249">
      <w:pPr>
        <w:pStyle w:val="ListParagraph"/>
        <w:numPr>
          <w:ilvl w:val="1"/>
          <w:numId w:val="217"/>
        </w:numPr>
        <w:tabs>
          <w:tab w:val="left" w:pos="2219"/>
        </w:tabs>
        <w:spacing w:before="238"/>
        <w:ind w:left="2219"/>
      </w:pPr>
      <w:r w:rsidRPr="00EC20A0">
        <w:t>multijurisdictional</w:t>
      </w:r>
      <w:r w:rsidRPr="00EC20A0">
        <w:rPr>
          <w:spacing w:val="-11"/>
        </w:rPr>
        <w:t xml:space="preserve"> </w:t>
      </w:r>
      <w:r w:rsidRPr="00EC20A0">
        <w:t>legal</w:t>
      </w:r>
      <w:r w:rsidRPr="00EC20A0">
        <w:rPr>
          <w:spacing w:val="-11"/>
        </w:rPr>
        <w:t xml:space="preserve"> </w:t>
      </w:r>
      <w:r w:rsidRPr="00EC20A0">
        <w:t>or</w:t>
      </w:r>
      <w:r w:rsidRPr="00EC20A0">
        <w:rPr>
          <w:spacing w:val="-10"/>
        </w:rPr>
        <w:t xml:space="preserve"> </w:t>
      </w:r>
      <w:r w:rsidRPr="00EC20A0">
        <w:t>regulatory</w:t>
      </w:r>
      <w:r w:rsidRPr="00EC20A0">
        <w:rPr>
          <w:spacing w:val="-11"/>
        </w:rPr>
        <w:t xml:space="preserve"> </w:t>
      </w:r>
      <w:r w:rsidRPr="00EC20A0">
        <w:t>requirements</w:t>
      </w:r>
      <w:r w:rsidRPr="00EC20A0">
        <w:rPr>
          <w:spacing w:val="-10"/>
        </w:rPr>
        <w:t xml:space="preserve"> </w:t>
      </w:r>
      <w:r w:rsidRPr="00EC20A0">
        <w:rPr>
          <w:spacing w:val="-2"/>
        </w:rPr>
        <w:t>apply;</w:t>
      </w:r>
    </w:p>
    <w:p w14:paraId="24D5FF60" w14:textId="77777777" w:rsidR="00245300" w:rsidRPr="00EC20A0" w:rsidRDefault="00F17249">
      <w:pPr>
        <w:pStyle w:val="ListParagraph"/>
        <w:numPr>
          <w:ilvl w:val="1"/>
          <w:numId w:val="217"/>
        </w:numPr>
        <w:tabs>
          <w:tab w:val="left" w:pos="2219"/>
        </w:tabs>
        <w:spacing w:before="238"/>
        <w:ind w:left="2219" w:right="1260"/>
      </w:pPr>
      <w:r w:rsidRPr="00EC20A0">
        <w:t>the</w:t>
      </w:r>
      <w:r w:rsidRPr="00EC20A0">
        <w:rPr>
          <w:spacing w:val="-4"/>
        </w:rPr>
        <w:t xml:space="preserve"> </w:t>
      </w:r>
      <w:r w:rsidRPr="00EC20A0">
        <w:t>matter</w:t>
      </w:r>
      <w:r w:rsidRPr="00EC20A0">
        <w:rPr>
          <w:spacing w:val="-4"/>
        </w:rPr>
        <w:t xml:space="preserve"> </w:t>
      </w:r>
      <w:r w:rsidRPr="00EC20A0">
        <w:t>to</w:t>
      </w:r>
      <w:r w:rsidRPr="00EC20A0">
        <w:rPr>
          <w:spacing w:val="-4"/>
        </w:rPr>
        <w:t xml:space="preserve"> </w:t>
      </w:r>
      <w:r w:rsidRPr="00EC20A0">
        <w:t>which</w:t>
      </w:r>
      <w:r w:rsidRPr="00EC20A0">
        <w:rPr>
          <w:spacing w:val="-4"/>
        </w:rPr>
        <w:t xml:space="preserve"> </w:t>
      </w:r>
      <w:r w:rsidRPr="00EC20A0">
        <w:t>the</w:t>
      </w:r>
      <w:r w:rsidRPr="00EC20A0">
        <w:rPr>
          <w:spacing w:val="-5"/>
        </w:rPr>
        <w:t xml:space="preserve"> </w:t>
      </w:r>
      <w:r w:rsidRPr="00EC20A0">
        <w:t>work</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specialist</w:t>
      </w:r>
      <w:r w:rsidRPr="00EC20A0">
        <w:rPr>
          <w:spacing w:val="-4"/>
        </w:rPr>
        <w:t xml:space="preserve"> </w:t>
      </w:r>
      <w:r w:rsidRPr="00EC20A0">
        <w:t>relates</w:t>
      </w:r>
      <w:r w:rsidRPr="00EC20A0">
        <w:rPr>
          <w:spacing w:val="-4"/>
        </w:rPr>
        <w:t xml:space="preserve"> </w:t>
      </w:r>
      <w:r w:rsidRPr="00EC20A0">
        <w:t>is</w:t>
      </w:r>
      <w:r w:rsidRPr="00EC20A0">
        <w:rPr>
          <w:spacing w:val="-4"/>
        </w:rPr>
        <w:t xml:space="preserve"> </w:t>
      </w:r>
      <w:r w:rsidRPr="00EC20A0">
        <w:t xml:space="preserve">highly </w:t>
      </w:r>
      <w:r w:rsidRPr="00EC20A0">
        <w:rPr>
          <w:spacing w:val="-2"/>
        </w:rPr>
        <w:t>complex;</w:t>
      </w:r>
    </w:p>
    <w:p w14:paraId="24D5FF61" w14:textId="77777777" w:rsidR="00245300" w:rsidRPr="00EC20A0" w:rsidRDefault="00F17249">
      <w:pPr>
        <w:pStyle w:val="ListParagraph"/>
        <w:numPr>
          <w:ilvl w:val="1"/>
          <w:numId w:val="217"/>
        </w:numPr>
        <w:tabs>
          <w:tab w:val="left" w:pos="2219"/>
        </w:tabs>
        <w:spacing w:before="238"/>
        <w:ind w:left="2219" w:right="1504"/>
      </w:pPr>
      <w:r w:rsidRPr="00EC20A0">
        <w:t>the</w:t>
      </w:r>
      <w:r w:rsidRPr="00EC20A0">
        <w:rPr>
          <w:spacing w:val="-4"/>
        </w:rPr>
        <w:t xml:space="preserve"> </w:t>
      </w:r>
      <w:r w:rsidRPr="00EC20A0">
        <w:t>auditor</w:t>
      </w:r>
      <w:r w:rsidRPr="00EC20A0">
        <w:rPr>
          <w:spacing w:val="-4"/>
        </w:rPr>
        <w:t xml:space="preserve"> </w:t>
      </w:r>
      <w:r w:rsidRPr="00EC20A0">
        <w:t>has</w:t>
      </w:r>
      <w:r w:rsidRPr="00EC20A0">
        <w:rPr>
          <w:spacing w:val="-4"/>
        </w:rPr>
        <w:t xml:space="preserve"> </w:t>
      </w:r>
      <w:r w:rsidRPr="00EC20A0">
        <w:t>not</w:t>
      </w:r>
      <w:r w:rsidRPr="00EC20A0">
        <w:rPr>
          <w:spacing w:val="-4"/>
        </w:rPr>
        <w:t xml:space="preserve"> </w:t>
      </w:r>
      <w:r w:rsidRPr="00EC20A0">
        <w:t>previously</w:t>
      </w:r>
      <w:r w:rsidRPr="00EC20A0">
        <w:rPr>
          <w:spacing w:val="-4"/>
        </w:rPr>
        <w:t xml:space="preserve"> </w:t>
      </w:r>
      <w:r w:rsidRPr="00EC20A0">
        <w:t>used</w:t>
      </w:r>
      <w:r w:rsidRPr="00EC20A0">
        <w:rPr>
          <w:spacing w:val="-5"/>
        </w:rPr>
        <w:t xml:space="preserve"> </w:t>
      </w:r>
      <w:r w:rsidRPr="00EC20A0">
        <w:t>work</w:t>
      </w:r>
      <w:r w:rsidRPr="00EC20A0">
        <w:rPr>
          <w:spacing w:val="-4"/>
        </w:rPr>
        <w:t xml:space="preserve"> </w:t>
      </w:r>
      <w:r w:rsidRPr="00EC20A0">
        <w:t>performed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auditor’s specialist; and</w:t>
      </w:r>
    </w:p>
    <w:p w14:paraId="24D5FF62" w14:textId="77777777" w:rsidR="00245300" w:rsidRPr="00EC20A0" w:rsidRDefault="00F17249">
      <w:pPr>
        <w:pStyle w:val="ListParagraph"/>
        <w:numPr>
          <w:ilvl w:val="1"/>
          <w:numId w:val="217"/>
        </w:numPr>
        <w:tabs>
          <w:tab w:val="left" w:pos="2219"/>
        </w:tabs>
        <w:spacing w:before="238"/>
        <w:ind w:left="2219" w:right="978"/>
      </w:pPr>
      <w:r w:rsidRPr="00EC20A0">
        <w:t>the</w:t>
      </w:r>
      <w:r w:rsidRPr="00EC20A0">
        <w:rPr>
          <w:spacing w:val="-3"/>
        </w:rPr>
        <w:t xml:space="preserve"> </w:t>
      </w:r>
      <w:r w:rsidRPr="00EC20A0">
        <w:t>auditor’s</w:t>
      </w:r>
      <w:r w:rsidRPr="00EC20A0">
        <w:rPr>
          <w:spacing w:val="-4"/>
        </w:rPr>
        <w:t xml:space="preserve"> </w:t>
      </w:r>
      <w:r w:rsidRPr="00EC20A0">
        <w:t>use</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work</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specialist</w:t>
      </w:r>
      <w:r w:rsidRPr="00EC20A0">
        <w:rPr>
          <w:spacing w:val="-3"/>
        </w:rPr>
        <w:t xml:space="preserve"> </w:t>
      </w:r>
      <w:r w:rsidRPr="00EC20A0">
        <w:t>is</w:t>
      </w:r>
      <w:r w:rsidRPr="00EC20A0">
        <w:rPr>
          <w:spacing w:val="-3"/>
        </w:rPr>
        <w:t xml:space="preserve"> </w:t>
      </w:r>
      <w:r w:rsidRPr="00EC20A0">
        <w:t>extensive</w:t>
      </w:r>
      <w:r w:rsidRPr="00EC20A0">
        <w:rPr>
          <w:spacing w:val="-3"/>
        </w:rPr>
        <w:t xml:space="preserve"> </w:t>
      </w:r>
      <w:r w:rsidRPr="00EC20A0">
        <w:t>and</w:t>
      </w:r>
      <w:r w:rsidRPr="00EC20A0">
        <w:rPr>
          <w:spacing w:val="-4"/>
        </w:rPr>
        <w:t xml:space="preserve"> </w:t>
      </w:r>
      <w:r w:rsidRPr="00EC20A0">
        <w:t>is significant in the context of the audit.</w:t>
      </w:r>
    </w:p>
    <w:p w14:paraId="24D5FF63" w14:textId="77777777" w:rsidR="00245300" w:rsidRPr="00EC20A0" w:rsidRDefault="00F17249">
      <w:pPr>
        <w:pStyle w:val="ListParagraph"/>
        <w:numPr>
          <w:ilvl w:val="0"/>
          <w:numId w:val="217"/>
        </w:numPr>
        <w:tabs>
          <w:tab w:val="left" w:pos="1859"/>
        </w:tabs>
        <w:spacing w:before="239"/>
        <w:ind w:right="1020"/>
      </w:pPr>
      <w:r w:rsidRPr="00EC20A0">
        <w:t>In establishing the agreement with the auditor’s specialist, an important consideration</w:t>
      </w:r>
      <w:r w:rsidRPr="00EC20A0">
        <w:rPr>
          <w:spacing w:val="-1"/>
        </w:rPr>
        <w:t xml:space="preserve"> </w:t>
      </w:r>
      <w:r w:rsidRPr="00EC20A0">
        <w:t>is</w:t>
      </w:r>
      <w:r w:rsidRPr="00EC20A0">
        <w:rPr>
          <w:spacing w:val="-1"/>
        </w:rPr>
        <w:t xml:space="preserve"> </w:t>
      </w:r>
      <w:r w:rsidRPr="00EC20A0">
        <w:t>whether</w:t>
      </w:r>
      <w:r w:rsidRPr="00EC20A0">
        <w:rPr>
          <w:spacing w:val="-2"/>
        </w:rPr>
        <w:t xml:space="preserve"> </w:t>
      </w:r>
      <w:r w:rsidRPr="00EC20A0">
        <w:t>the</w:t>
      </w:r>
      <w:r w:rsidRPr="00EC20A0">
        <w:rPr>
          <w:spacing w:val="-1"/>
        </w:rPr>
        <w:t xml:space="preserve"> </w:t>
      </w:r>
      <w:r w:rsidRPr="00EC20A0">
        <w:t>work</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auditor’s</w:t>
      </w:r>
      <w:r w:rsidRPr="00EC20A0">
        <w:rPr>
          <w:spacing w:val="-2"/>
        </w:rPr>
        <w:t xml:space="preserve"> </w:t>
      </w:r>
      <w:r w:rsidRPr="00EC20A0">
        <w:t>specialist</w:t>
      </w:r>
      <w:r w:rsidRPr="00EC20A0">
        <w:rPr>
          <w:spacing w:val="-1"/>
        </w:rPr>
        <w:t xml:space="preserve"> </w:t>
      </w:r>
      <w:r w:rsidRPr="00EC20A0">
        <w:t>is</w:t>
      </w:r>
      <w:r w:rsidRPr="00EC20A0">
        <w:rPr>
          <w:spacing w:val="-2"/>
        </w:rPr>
        <w:t xml:space="preserve"> </w:t>
      </w:r>
      <w:r w:rsidRPr="00EC20A0">
        <w:t>subject</w:t>
      </w:r>
      <w:r w:rsidRPr="00EC20A0">
        <w:rPr>
          <w:spacing w:val="-1"/>
        </w:rPr>
        <w:t xml:space="preserve"> </w:t>
      </w:r>
      <w:r w:rsidRPr="00EC20A0">
        <w:t>to</w:t>
      </w:r>
      <w:r w:rsidRPr="00EC20A0">
        <w:rPr>
          <w:spacing w:val="-1"/>
        </w:rPr>
        <w:t xml:space="preserve"> </w:t>
      </w:r>
      <w:r w:rsidRPr="00EC20A0">
        <w:t>any reservation,</w:t>
      </w:r>
      <w:r w:rsidRPr="00EC20A0">
        <w:rPr>
          <w:spacing w:val="-5"/>
        </w:rPr>
        <w:t xml:space="preserve"> </w:t>
      </w:r>
      <w:r w:rsidRPr="00EC20A0">
        <w:t>limitation,</w:t>
      </w:r>
      <w:r w:rsidRPr="00EC20A0">
        <w:rPr>
          <w:spacing w:val="-4"/>
        </w:rPr>
        <w:t xml:space="preserve"> </w:t>
      </w:r>
      <w:r w:rsidRPr="00EC20A0">
        <w:t>or</w:t>
      </w:r>
      <w:r w:rsidRPr="00EC20A0">
        <w:rPr>
          <w:spacing w:val="-5"/>
        </w:rPr>
        <w:t xml:space="preserve"> </w:t>
      </w:r>
      <w:r w:rsidRPr="00EC20A0">
        <w:t>restriction</w:t>
      </w:r>
      <w:r w:rsidRPr="00EC20A0">
        <w:rPr>
          <w:spacing w:val="-5"/>
        </w:rPr>
        <w:t xml:space="preserve"> </w:t>
      </w:r>
      <w:r w:rsidRPr="00EC20A0">
        <w:t>and</w:t>
      </w:r>
      <w:r w:rsidRPr="00EC20A0">
        <w:rPr>
          <w:spacing w:val="-4"/>
        </w:rPr>
        <w:t xml:space="preserve"> </w:t>
      </w:r>
      <w:r w:rsidRPr="00EC20A0">
        <w:t>whether</w:t>
      </w:r>
      <w:r w:rsidRPr="00EC20A0">
        <w:rPr>
          <w:spacing w:val="-4"/>
        </w:rPr>
        <w:t xml:space="preserve"> </w:t>
      </w:r>
      <w:r w:rsidRPr="00EC20A0">
        <w:t>this</w:t>
      </w:r>
      <w:r w:rsidRPr="00EC20A0">
        <w:rPr>
          <w:spacing w:val="-4"/>
        </w:rPr>
        <w:t xml:space="preserve"> </w:t>
      </w:r>
      <w:r w:rsidRPr="00EC20A0">
        <w:t>has</w:t>
      </w:r>
      <w:r w:rsidRPr="00EC20A0">
        <w:rPr>
          <w:spacing w:val="-4"/>
        </w:rPr>
        <w:t xml:space="preserve"> </w:t>
      </w:r>
      <w:r w:rsidRPr="00EC20A0">
        <w:t>implications</w:t>
      </w:r>
      <w:r w:rsidRPr="00EC20A0">
        <w:rPr>
          <w:spacing w:val="-4"/>
        </w:rPr>
        <w:t xml:space="preserve"> </w:t>
      </w:r>
      <w:r w:rsidRPr="00EC20A0">
        <w:t>for</w:t>
      </w:r>
      <w:r w:rsidRPr="00EC20A0">
        <w:rPr>
          <w:spacing w:val="-4"/>
        </w:rPr>
        <w:t xml:space="preserve"> </w:t>
      </w:r>
      <w:r w:rsidRPr="00EC20A0">
        <w:t>the auditor (AU-C 620.A27).</w:t>
      </w:r>
    </w:p>
    <w:p w14:paraId="24D5FF64" w14:textId="77777777" w:rsidR="00245300" w:rsidRPr="00EC20A0" w:rsidRDefault="00F17249">
      <w:pPr>
        <w:pStyle w:val="ListParagraph"/>
        <w:numPr>
          <w:ilvl w:val="0"/>
          <w:numId w:val="217"/>
        </w:numPr>
        <w:tabs>
          <w:tab w:val="left" w:pos="1858"/>
        </w:tabs>
        <w:ind w:left="1858" w:right="1227" w:hanging="720"/>
      </w:pPr>
      <w:r w:rsidRPr="00EC20A0">
        <w:t xml:space="preserve">When no written agreement exists between the auditor and the auditor’s </w:t>
      </w:r>
      <w:r w:rsidRPr="00EC20A0">
        <w:t>specialist,</w:t>
      </w:r>
      <w:r w:rsidRPr="00EC20A0">
        <w:rPr>
          <w:spacing w:val="-4"/>
        </w:rPr>
        <w:t xml:space="preserve"> </w:t>
      </w:r>
      <w:r w:rsidRPr="00EC20A0">
        <w:t>evidence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agreement</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included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for example (AU-C 620.A29):</w:t>
      </w:r>
    </w:p>
    <w:p w14:paraId="24D5FF65" w14:textId="77777777" w:rsidR="00245300" w:rsidRPr="00EC20A0" w:rsidRDefault="00F17249">
      <w:pPr>
        <w:pStyle w:val="ListParagraph"/>
        <w:numPr>
          <w:ilvl w:val="1"/>
          <w:numId w:val="217"/>
        </w:numPr>
        <w:tabs>
          <w:tab w:val="left" w:pos="2218"/>
        </w:tabs>
        <w:ind w:left="2218" w:right="1345"/>
      </w:pPr>
      <w:r w:rsidRPr="00EC20A0">
        <w:t>Planning</w:t>
      </w:r>
      <w:r w:rsidRPr="00EC20A0">
        <w:rPr>
          <w:spacing w:val="-5"/>
        </w:rPr>
        <w:t xml:space="preserve"> </w:t>
      </w:r>
      <w:r w:rsidRPr="00EC20A0">
        <w:t>memorandums</w:t>
      </w:r>
      <w:r w:rsidRPr="00EC20A0">
        <w:rPr>
          <w:spacing w:val="-3"/>
        </w:rPr>
        <w:t xml:space="preserve"> </w:t>
      </w:r>
      <w:r w:rsidRPr="00EC20A0">
        <w:t>or</w:t>
      </w:r>
      <w:r w:rsidRPr="00EC20A0">
        <w:rPr>
          <w:spacing w:val="-5"/>
        </w:rPr>
        <w:t xml:space="preserve"> </w:t>
      </w:r>
      <w:r w:rsidRPr="00EC20A0">
        <w:t>related</w:t>
      </w:r>
      <w:r w:rsidRPr="00EC20A0">
        <w:rPr>
          <w:spacing w:val="-5"/>
        </w:rPr>
        <w:t xml:space="preserve"> </w:t>
      </w:r>
      <w:r w:rsidRPr="00EC20A0">
        <w:t>working</w:t>
      </w:r>
      <w:r w:rsidRPr="00EC20A0">
        <w:rPr>
          <w:spacing w:val="-5"/>
        </w:rPr>
        <w:t xml:space="preserve"> </w:t>
      </w:r>
      <w:r w:rsidRPr="00EC20A0">
        <w:t>papers,</w:t>
      </w:r>
      <w:r w:rsidRPr="00EC20A0">
        <w:rPr>
          <w:spacing w:val="-5"/>
        </w:rPr>
        <w:t xml:space="preserve"> </w:t>
      </w:r>
      <w:r w:rsidRPr="00EC20A0">
        <w:t>such</w:t>
      </w:r>
      <w:r w:rsidRPr="00EC20A0">
        <w:rPr>
          <w:spacing w:val="-5"/>
        </w:rPr>
        <w:t xml:space="preserve"> </w:t>
      </w:r>
      <w:r w:rsidRPr="00EC20A0">
        <w:t>as</w:t>
      </w:r>
      <w:r w:rsidRPr="00EC20A0">
        <w:rPr>
          <w:spacing w:val="-5"/>
        </w:rPr>
        <w:t xml:space="preserve"> </w:t>
      </w:r>
      <w:r w:rsidRPr="00EC20A0">
        <w:t>the</w:t>
      </w:r>
      <w:r w:rsidRPr="00EC20A0">
        <w:rPr>
          <w:spacing w:val="-5"/>
        </w:rPr>
        <w:t xml:space="preserve"> </w:t>
      </w:r>
      <w:r w:rsidRPr="00EC20A0">
        <w:t xml:space="preserve">audit </w:t>
      </w:r>
      <w:r w:rsidRPr="00EC20A0">
        <w:rPr>
          <w:spacing w:val="-2"/>
        </w:rPr>
        <w:t>program.</w:t>
      </w:r>
    </w:p>
    <w:p w14:paraId="24D5FF66" w14:textId="77777777" w:rsidR="00245300" w:rsidRPr="00EC20A0" w:rsidRDefault="00F17249">
      <w:pPr>
        <w:pStyle w:val="ListParagraph"/>
        <w:numPr>
          <w:ilvl w:val="1"/>
          <w:numId w:val="217"/>
        </w:numPr>
        <w:tabs>
          <w:tab w:val="left" w:pos="2217"/>
        </w:tabs>
        <w:spacing w:before="238"/>
        <w:ind w:left="2217" w:right="601" w:hanging="359"/>
      </w:pPr>
      <w:r w:rsidRPr="00EC20A0">
        <w:t xml:space="preserve">The policies and procedures of the auditor’s firm. In the case of an </w:t>
      </w:r>
      <w:r w:rsidRPr="00EC20A0">
        <w:t>auditor’s internal specialist, the established policies and procedures to which the auditor’s specialist is subject may include particular policies and procedures regarding</w:t>
      </w:r>
      <w:r w:rsidRPr="00EC20A0">
        <w:rPr>
          <w:spacing w:val="-2"/>
        </w:rPr>
        <w:t xml:space="preserve"> </w:t>
      </w:r>
      <w:r w:rsidRPr="00EC20A0">
        <w:t>the</w:t>
      </w:r>
      <w:r w:rsidRPr="00EC20A0">
        <w:rPr>
          <w:spacing w:val="-2"/>
        </w:rPr>
        <w:t xml:space="preserve"> </w:t>
      </w:r>
      <w:r w:rsidRPr="00EC20A0">
        <w:t>work</w:t>
      </w:r>
      <w:r w:rsidRPr="00EC20A0">
        <w:rPr>
          <w:spacing w:val="-2"/>
        </w:rPr>
        <w:t xml:space="preserve"> </w:t>
      </w:r>
      <w:r w:rsidRPr="00EC20A0">
        <w:t>of</w:t>
      </w:r>
      <w:r w:rsidRPr="00EC20A0">
        <w:rPr>
          <w:spacing w:val="-2"/>
        </w:rPr>
        <w:t xml:space="preserve"> </w:t>
      </w:r>
      <w:r w:rsidRPr="00EC20A0">
        <w:t>the</w:t>
      </w:r>
      <w:r w:rsidRPr="00EC20A0">
        <w:rPr>
          <w:spacing w:val="-2"/>
        </w:rPr>
        <w:t xml:space="preserve"> </w:t>
      </w:r>
      <w:r w:rsidRPr="00EC20A0">
        <w:t>auditor’s</w:t>
      </w:r>
      <w:r w:rsidRPr="00EC20A0">
        <w:rPr>
          <w:spacing w:val="-3"/>
        </w:rPr>
        <w:t xml:space="preserve"> </w:t>
      </w:r>
      <w:r w:rsidRPr="00EC20A0">
        <w:t>specialist.</w:t>
      </w:r>
      <w:r w:rsidRPr="00EC20A0">
        <w:rPr>
          <w:spacing w:val="-2"/>
        </w:rPr>
        <w:t xml:space="preserve"> </w:t>
      </w:r>
      <w:r w:rsidRPr="00EC20A0">
        <w:t>The</w:t>
      </w:r>
      <w:r w:rsidRPr="00EC20A0">
        <w:rPr>
          <w:spacing w:val="-2"/>
        </w:rPr>
        <w:t xml:space="preserve"> </w:t>
      </w:r>
      <w:r w:rsidRPr="00EC20A0">
        <w:t>extent</w:t>
      </w:r>
      <w:r w:rsidRPr="00EC20A0">
        <w:rPr>
          <w:spacing w:val="-2"/>
        </w:rPr>
        <w:t xml:space="preserve"> </w:t>
      </w:r>
      <w:r w:rsidRPr="00EC20A0">
        <w:t>of</w:t>
      </w:r>
      <w:r w:rsidRPr="00EC20A0">
        <w:rPr>
          <w:spacing w:val="-2"/>
        </w:rPr>
        <w:t xml:space="preserve"> </w:t>
      </w:r>
      <w:r w:rsidRPr="00EC20A0">
        <w:t>documentation</w:t>
      </w:r>
      <w:r w:rsidRPr="00EC20A0">
        <w:rPr>
          <w:spacing w:val="-2"/>
        </w:rPr>
        <w:t xml:space="preserve"> </w:t>
      </w:r>
      <w:r w:rsidRPr="00EC20A0">
        <w:t xml:space="preserve">in the </w:t>
      </w:r>
      <w:r w:rsidRPr="00EC20A0">
        <w:t>auditor’s working papers depends on the nature of such policies and procedures.</w:t>
      </w:r>
      <w:r w:rsidRPr="00EC20A0">
        <w:rPr>
          <w:spacing w:val="-5"/>
        </w:rPr>
        <w:t xml:space="preserve"> </w:t>
      </w:r>
      <w:r w:rsidRPr="00EC20A0">
        <w:t>For</w:t>
      </w:r>
      <w:r w:rsidRPr="00EC20A0">
        <w:rPr>
          <w:spacing w:val="-4"/>
        </w:rPr>
        <w:t xml:space="preserve"> </w:t>
      </w:r>
      <w:r w:rsidRPr="00EC20A0">
        <w:t>example,</w:t>
      </w:r>
      <w:r w:rsidRPr="00EC20A0">
        <w:rPr>
          <w:spacing w:val="-4"/>
        </w:rPr>
        <w:t xml:space="preserve"> </w:t>
      </w:r>
      <w:r w:rsidRPr="00EC20A0">
        <w:t>no</w:t>
      </w:r>
      <w:r w:rsidRPr="00EC20A0">
        <w:rPr>
          <w:spacing w:val="-4"/>
        </w:rPr>
        <w:t xml:space="preserve"> </w:t>
      </w:r>
      <w:r w:rsidRPr="00EC20A0">
        <w:t>documentation</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required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auditor’s working papers if the auditor’s organization has detailed protocols covering the circumstances in which the work of such an internal specialist is used.</w:t>
      </w:r>
    </w:p>
    <w:p w14:paraId="24D5FF67" w14:textId="77777777" w:rsidR="00245300" w:rsidRPr="00EC20A0" w:rsidRDefault="00F17249">
      <w:pPr>
        <w:pStyle w:val="Heading4"/>
      </w:pPr>
      <w:bookmarkStart w:id="35" w:name="Evaluating_the_Adequacy_of_the_Work_of_a"/>
      <w:bookmarkEnd w:id="35"/>
      <w:r w:rsidRPr="00EC20A0">
        <w:t>Evaluating</w:t>
      </w:r>
      <w:r w:rsidRPr="00EC20A0">
        <w:rPr>
          <w:spacing w:val="-10"/>
        </w:rPr>
        <w:t xml:space="preserve"> </w:t>
      </w:r>
      <w:r w:rsidRPr="00EC20A0">
        <w:t>the</w:t>
      </w:r>
      <w:r w:rsidRPr="00EC20A0">
        <w:rPr>
          <w:spacing w:val="-9"/>
        </w:rPr>
        <w:t xml:space="preserve"> </w:t>
      </w:r>
      <w:r w:rsidRPr="00EC20A0">
        <w:t>Adequacy</w:t>
      </w:r>
      <w:r w:rsidRPr="00EC20A0">
        <w:rPr>
          <w:spacing w:val="-8"/>
        </w:rPr>
        <w:t xml:space="preserve"> </w:t>
      </w:r>
      <w:r w:rsidRPr="00EC20A0">
        <w:t>of</w:t>
      </w:r>
      <w:r w:rsidRPr="00EC20A0">
        <w:rPr>
          <w:spacing w:val="-9"/>
        </w:rPr>
        <w:t xml:space="preserve"> </w:t>
      </w:r>
      <w:r w:rsidRPr="00EC20A0">
        <w:t>the</w:t>
      </w:r>
      <w:r w:rsidRPr="00EC20A0">
        <w:rPr>
          <w:spacing w:val="-9"/>
        </w:rPr>
        <w:t xml:space="preserve"> </w:t>
      </w:r>
      <w:r w:rsidRPr="00EC20A0">
        <w:t>Work</w:t>
      </w:r>
      <w:r w:rsidRPr="00EC20A0">
        <w:rPr>
          <w:spacing w:val="-8"/>
        </w:rPr>
        <w:t xml:space="preserve"> </w:t>
      </w:r>
      <w:r w:rsidRPr="00EC20A0">
        <w:t>of</w:t>
      </w:r>
      <w:r w:rsidRPr="00EC20A0">
        <w:rPr>
          <w:spacing w:val="-9"/>
        </w:rPr>
        <w:t xml:space="preserve"> </w:t>
      </w:r>
      <w:r w:rsidRPr="00EC20A0">
        <w:t>an</w:t>
      </w:r>
      <w:r w:rsidRPr="00EC20A0">
        <w:rPr>
          <w:spacing w:val="-10"/>
        </w:rPr>
        <w:t xml:space="preserve"> </w:t>
      </w:r>
      <w:r w:rsidRPr="00EC20A0">
        <w:t>Auditor’s</w:t>
      </w:r>
      <w:r w:rsidRPr="00EC20A0">
        <w:rPr>
          <w:spacing w:val="-8"/>
        </w:rPr>
        <w:t xml:space="preserve"> </w:t>
      </w:r>
      <w:r w:rsidRPr="00EC20A0">
        <w:rPr>
          <w:spacing w:val="-2"/>
        </w:rPr>
        <w:t>Specialist</w:t>
      </w:r>
    </w:p>
    <w:p w14:paraId="24D5FF68" w14:textId="77777777" w:rsidR="00245300" w:rsidRPr="00EC20A0" w:rsidRDefault="00F17249">
      <w:pPr>
        <w:pStyle w:val="ListParagraph"/>
        <w:numPr>
          <w:ilvl w:val="0"/>
          <w:numId w:val="217"/>
        </w:numPr>
        <w:tabs>
          <w:tab w:val="left" w:pos="1859"/>
        </w:tabs>
        <w:spacing w:before="239"/>
        <w:ind w:right="908" w:hanging="720"/>
      </w:pPr>
      <w:r w:rsidRPr="00EC20A0">
        <w:t>The following affect the nature, timing, and extent of audit procedures for evaluating</w:t>
      </w:r>
      <w:r w:rsidRPr="00EC20A0">
        <w:rPr>
          <w:spacing w:val="-3"/>
        </w:rPr>
        <w:t xml:space="preserve"> </w:t>
      </w:r>
      <w:r w:rsidRPr="00EC20A0">
        <w:t>the</w:t>
      </w:r>
      <w:r w:rsidRPr="00EC20A0">
        <w:rPr>
          <w:spacing w:val="-4"/>
        </w:rPr>
        <w:t xml:space="preserve"> </w:t>
      </w:r>
      <w:r w:rsidRPr="00EC20A0">
        <w:t>adequacy</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work</w:t>
      </w:r>
      <w:r w:rsidRPr="00EC20A0">
        <w:rPr>
          <w:spacing w:val="-4"/>
        </w:rPr>
        <w:t xml:space="preserve"> </w:t>
      </w:r>
      <w:r w:rsidRPr="00EC20A0">
        <w:t>of</w:t>
      </w:r>
      <w:r w:rsidRPr="00EC20A0">
        <w:rPr>
          <w:spacing w:val="-3"/>
        </w:rPr>
        <w:t xml:space="preserve"> </w:t>
      </w:r>
      <w:r w:rsidRPr="00EC20A0">
        <w:t>an</w:t>
      </w:r>
      <w:r w:rsidRPr="00EC20A0">
        <w:rPr>
          <w:spacing w:val="-4"/>
        </w:rPr>
        <w:t xml:space="preserve"> </w:t>
      </w:r>
      <w:r w:rsidRPr="00EC20A0">
        <w:t>auditor’s</w:t>
      </w:r>
      <w:r w:rsidRPr="00EC20A0">
        <w:rPr>
          <w:spacing w:val="-3"/>
        </w:rPr>
        <w:t xml:space="preserve"> </w:t>
      </w:r>
      <w:r w:rsidRPr="00EC20A0">
        <w:t>specialist</w:t>
      </w:r>
      <w:r w:rsidRPr="00EC20A0">
        <w:rPr>
          <w:spacing w:val="-4"/>
        </w:rPr>
        <w:t xml:space="preserve"> </w:t>
      </w:r>
      <w:r w:rsidRPr="00EC20A0">
        <w:t>for</w:t>
      </w:r>
      <w:r w:rsidRPr="00EC20A0">
        <w:rPr>
          <w:spacing w:val="-3"/>
        </w:rPr>
        <w:t xml:space="preserve"> </w:t>
      </w:r>
      <w:r w:rsidRPr="00EC20A0">
        <w:t>the</w:t>
      </w:r>
      <w:r w:rsidRPr="00EC20A0">
        <w:rPr>
          <w:spacing w:val="-4"/>
        </w:rPr>
        <w:t xml:space="preserve"> </w:t>
      </w:r>
      <w:r w:rsidRPr="00EC20A0">
        <w:t>auditor’s purposes (AU-C 620.A35):</w:t>
      </w:r>
    </w:p>
    <w:p w14:paraId="24D5FF69" w14:textId="77777777" w:rsidR="00245300" w:rsidRPr="00EC20A0" w:rsidRDefault="00F17249">
      <w:pPr>
        <w:pStyle w:val="ListParagraph"/>
        <w:numPr>
          <w:ilvl w:val="1"/>
          <w:numId w:val="217"/>
        </w:numPr>
        <w:tabs>
          <w:tab w:val="left" w:pos="2219"/>
        </w:tabs>
        <w:spacing w:before="239"/>
        <w:ind w:left="2219" w:right="585" w:hanging="361"/>
      </w:pPr>
      <w:r w:rsidRPr="00EC20A0">
        <w:t>the</w:t>
      </w:r>
      <w:r w:rsidRPr="00EC20A0">
        <w:rPr>
          <w:spacing w:val="-4"/>
        </w:rPr>
        <w:t xml:space="preserve"> </w:t>
      </w:r>
      <w:r w:rsidRPr="00EC20A0">
        <w:t>auditor’s</w:t>
      </w:r>
      <w:r w:rsidRPr="00EC20A0">
        <w:rPr>
          <w:spacing w:val="-5"/>
        </w:rPr>
        <w:t xml:space="preserve"> </w:t>
      </w:r>
      <w:r w:rsidRPr="00EC20A0">
        <w:t>evaluation</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objectivity,</w:t>
      </w:r>
      <w:r w:rsidRPr="00EC20A0">
        <w:rPr>
          <w:spacing w:val="-5"/>
        </w:rPr>
        <w:t xml:space="preserve"> </w:t>
      </w:r>
      <w:r w:rsidRPr="00EC20A0">
        <w:t>competence,</w:t>
      </w:r>
      <w:r w:rsidRPr="00EC20A0">
        <w:rPr>
          <w:spacing w:val="-4"/>
        </w:rPr>
        <w:t xml:space="preserve"> </w:t>
      </w:r>
      <w:r w:rsidRPr="00EC20A0">
        <w:t>and</w:t>
      </w:r>
      <w:r w:rsidRPr="00EC20A0">
        <w:rPr>
          <w:spacing w:val="-4"/>
        </w:rPr>
        <w:t xml:space="preserve"> </w:t>
      </w:r>
      <w:r w:rsidRPr="00EC20A0">
        <w:t>capabilities</w:t>
      </w:r>
      <w:r w:rsidRPr="00EC20A0">
        <w:rPr>
          <w:spacing w:val="-4"/>
        </w:rPr>
        <w:t xml:space="preserve"> </w:t>
      </w:r>
      <w:r w:rsidRPr="00EC20A0">
        <w:t>of</w:t>
      </w:r>
      <w:r w:rsidRPr="00EC20A0">
        <w:rPr>
          <w:spacing w:val="-5"/>
        </w:rPr>
        <w:t xml:space="preserve"> </w:t>
      </w:r>
      <w:r w:rsidRPr="00EC20A0">
        <w:t xml:space="preserve">the </w:t>
      </w:r>
      <w:r w:rsidRPr="00EC20A0">
        <w:rPr>
          <w:spacing w:val="-2"/>
        </w:rPr>
        <w:t>specialist;</w:t>
      </w:r>
    </w:p>
    <w:p w14:paraId="24D5FF6A" w14:textId="77777777" w:rsidR="00245300" w:rsidRPr="00EC20A0" w:rsidRDefault="00F17249">
      <w:pPr>
        <w:pStyle w:val="ListParagraph"/>
        <w:numPr>
          <w:ilvl w:val="1"/>
          <w:numId w:val="217"/>
        </w:numPr>
        <w:tabs>
          <w:tab w:val="left" w:pos="2219"/>
        </w:tabs>
        <w:spacing w:before="238"/>
        <w:ind w:left="2219"/>
      </w:pPr>
      <w:r w:rsidRPr="00EC20A0">
        <w:t>the</w:t>
      </w:r>
      <w:r w:rsidRPr="00EC20A0">
        <w:rPr>
          <w:spacing w:val="-7"/>
        </w:rPr>
        <w:t xml:space="preserve"> </w:t>
      </w:r>
      <w:r w:rsidRPr="00EC20A0">
        <w:t>auditor’s</w:t>
      </w:r>
      <w:r w:rsidRPr="00EC20A0">
        <w:rPr>
          <w:spacing w:val="-7"/>
        </w:rPr>
        <w:t xml:space="preserve"> </w:t>
      </w:r>
      <w:r w:rsidRPr="00EC20A0">
        <w:t>familiarity</w:t>
      </w:r>
      <w:r w:rsidRPr="00EC20A0">
        <w:rPr>
          <w:spacing w:val="-7"/>
        </w:rPr>
        <w:t xml:space="preserve"> </w:t>
      </w:r>
      <w:r w:rsidRPr="00EC20A0">
        <w:t>with</w:t>
      </w:r>
      <w:r w:rsidRPr="00EC20A0">
        <w:rPr>
          <w:spacing w:val="-7"/>
        </w:rPr>
        <w:t xml:space="preserve"> </w:t>
      </w:r>
      <w:r w:rsidRPr="00EC20A0">
        <w:t>the</w:t>
      </w:r>
      <w:r w:rsidRPr="00EC20A0">
        <w:rPr>
          <w:spacing w:val="-6"/>
        </w:rPr>
        <w:t xml:space="preserve"> </w:t>
      </w:r>
      <w:r w:rsidRPr="00EC20A0">
        <w:t>specialist’s</w:t>
      </w:r>
      <w:r w:rsidRPr="00EC20A0">
        <w:rPr>
          <w:spacing w:val="-7"/>
        </w:rPr>
        <w:t xml:space="preserve"> </w:t>
      </w:r>
      <w:r w:rsidRPr="00EC20A0">
        <w:t>field</w:t>
      </w:r>
      <w:r w:rsidRPr="00EC20A0">
        <w:rPr>
          <w:spacing w:val="-6"/>
        </w:rPr>
        <w:t xml:space="preserve"> </w:t>
      </w:r>
      <w:r w:rsidRPr="00EC20A0">
        <w:t>of</w:t>
      </w:r>
      <w:r w:rsidRPr="00EC20A0">
        <w:rPr>
          <w:spacing w:val="-7"/>
        </w:rPr>
        <w:t xml:space="preserve"> </w:t>
      </w:r>
      <w:r w:rsidRPr="00EC20A0">
        <w:rPr>
          <w:spacing w:val="-2"/>
        </w:rPr>
        <w:t>expertise;</w:t>
      </w:r>
    </w:p>
    <w:p w14:paraId="24D5FF6B" w14:textId="77777777" w:rsidR="00245300" w:rsidRPr="00EC20A0" w:rsidRDefault="00F17249">
      <w:pPr>
        <w:pStyle w:val="ListParagraph"/>
        <w:numPr>
          <w:ilvl w:val="1"/>
          <w:numId w:val="217"/>
        </w:numPr>
        <w:tabs>
          <w:tab w:val="left" w:pos="2219"/>
        </w:tabs>
        <w:ind w:left="2219" w:right="724"/>
      </w:pPr>
      <w:r w:rsidRPr="00EC20A0">
        <w:t>the</w:t>
      </w:r>
      <w:r w:rsidRPr="00EC20A0">
        <w:rPr>
          <w:spacing w:val="-4"/>
        </w:rPr>
        <w:t xml:space="preserve"> </w:t>
      </w:r>
      <w:r w:rsidRPr="00EC20A0">
        <w:t>risk</w:t>
      </w:r>
      <w:r w:rsidRPr="00EC20A0">
        <w:rPr>
          <w:spacing w:val="-4"/>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matter</w:t>
      </w:r>
      <w:r w:rsidRPr="00EC20A0">
        <w:rPr>
          <w:spacing w:val="-4"/>
        </w:rPr>
        <w:t xml:space="preserve"> </w:t>
      </w:r>
      <w:r w:rsidRPr="00EC20A0">
        <w:t>to</w:t>
      </w:r>
      <w:r w:rsidRPr="00EC20A0">
        <w:rPr>
          <w:spacing w:val="-4"/>
        </w:rPr>
        <w:t xml:space="preserve"> </w:t>
      </w:r>
      <w:r w:rsidRPr="00EC20A0">
        <w:t>which</w:t>
      </w:r>
      <w:r w:rsidRPr="00EC20A0">
        <w:rPr>
          <w:spacing w:val="-4"/>
        </w:rPr>
        <w:t xml:space="preserve"> </w:t>
      </w:r>
      <w:r w:rsidRPr="00EC20A0">
        <w:t>the</w:t>
      </w:r>
      <w:r w:rsidRPr="00EC20A0">
        <w:rPr>
          <w:spacing w:val="-4"/>
        </w:rPr>
        <w:t xml:space="preserve"> </w:t>
      </w:r>
      <w:r w:rsidRPr="00EC20A0">
        <w:t>specialist’s</w:t>
      </w:r>
      <w:r w:rsidRPr="00EC20A0">
        <w:rPr>
          <w:spacing w:val="-4"/>
        </w:rPr>
        <w:t xml:space="preserve"> </w:t>
      </w:r>
      <w:r w:rsidRPr="00EC20A0">
        <w:t xml:space="preserve">work </w:t>
      </w:r>
      <w:r w:rsidRPr="00EC20A0">
        <w:rPr>
          <w:spacing w:val="-2"/>
        </w:rPr>
        <w:t>relates;</w:t>
      </w:r>
    </w:p>
    <w:p w14:paraId="24D5FF6C" w14:textId="77777777" w:rsidR="00245300" w:rsidRPr="00EC20A0" w:rsidRDefault="00245300">
      <w:pPr>
        <w:sectPr w:rsidR="00245300" w:rsidRPr="00EC20A0">
          <w:pgSz w:w="12240" w:h="15840"/>
          <w:pgMar w:top="1340" w:right="940" w:bottom="940" w:left="1020" w:header="721" w:footer="757" w:gutter="0"/>
          <w:cols w:space="720"/>
        </w:sectPr>
      </w:pPr>
    </w:p>
    <w:p w14:paraId="24D5FF6D" w14:textId="77777777" w:rsidR="00245300" w:rsidRPr="00EC20A0" w:rsidRDefault="00F17249">
      <w:pPr>
        <w:pStyle w:val="ListParagraph"/>
        <w:numPr>
          <w:ilvl w:val="1"/>
          <w:numId w:val="217"/>
        </w:numPr>
        <w:tabs>
          <w:tab w:val="left" w:pos="2219"/>
        </w:tabs>
        <w:spacing w:before="121"/>
        <w:ind w:left="2219" w:hanging="359"/>
      </w:pPr>
      <w:r w:rsidRPr="00EC20A0">
        <w:t>the</w:t>
      </w:r>
      <w:r w:rsidRPr="00EC20A0">
        <w:rPr>
          <w:spacing w:val="-6"/>
        </w:rPr>
        <w:t xml:space="preserve"> </w:t>
      </w:r>
      <w:r w:rsidRPr="00EC20A0">
        <w:t>nature</w:t>
      </w:r>
      <w:r w:rsidRPr="00EC20A0">
        <w:rPr>
          <w:spacing w:val="-5"/>
        </w:rPr>
        <w:t xml:space="preserve"> </w:t>
      </w:r>
      <w:r w:rsidRPr="00EC20A0">
        <w:t>of</w:t>
      </w:r>
      <w:r w:rsidRPr="00EC20A0">
        <w:rPr>
          <w:spacing w:val="-6"/>
        </w:rPr>
        <w:t xml:space="preserve"> </w:t>
      </w:r>
      <w:r w:rsidRPr="00EC20A0">
        <w:t>the</w:t>
      </w:r>
      <w:r w:rsidRPr="00EC20A0">
        <w:rPr>
          <w:spacing w:val="-5"/>
        </w:rPr>
        <w:t xml:space="preserve"> </w:t>
      </w:r>
      <w:r w:rsidRPr="00EC20A0">
        <w:t>work</w:t>
      </w:r>
      <w:r w:rsidRPr="00EC20A0">
        <w:rPr>
          <w:spacing w:val="-6"/>
        </w:rPr>
        <w:t xml:space="preserve"> </w:t>
      </w:r>
      <w:r w:rsidRPr="00EC20A0">
        <w:t>performed</w:t>
      </w:r>
      <w:r w:rsidRPr="00EC20A0">
        <w:rPr>
          <w:spacing w:val="-5"/>
        </w:rPr>
        <w:t xml:space="preserve"> </w:t>
      </w:r>
      <w:r w:rsidRPr="00EC20A0">
        <w:t>by</w:t>
      </w:r>
      <w:r w:rsidRPr="00EC20A0">
        <w:rPr>
          <w:spacing w:val="-6"/>
        </w:rPr>
        <w:t xml:space="preserve"> </w:t>
      </w:r>
      <w:r w:rsidRPr="00EC20A0">
        <w:t>the</w:t>
      </w:r>
      <w:r w:rsidRPr="00EC20A0">
        <w:rPr>
          <w:spacing w:val="-5"/>
        </w:rPr>
        <w:t xml:space="preserve"> </w:t>
      </w:r>
      <w:r w:rsidRPr="00EC20A0">
        <w:t>specialist;</w:t>
      </w:r>
      <w:r w:rsidRPr="00EC20A0">
        <w:rPr>
          <w:spacing w:val="-5"/>
        </w:rPr>
        <w:t xml:space="preserve"> and</w:t>
      </w:r>
    </w:p>
    <w:p w14:paraId="24D5FF6E" w14:textId="77777777" w:rsidR="00245300" w:rsidRPr="00EC20A0" w:rsidRDefault="00F17249">
      <w:pPr>
        <w:pStyle w:val="ListParagraph"/>
        <w:numPr>
          <w:ilvl w:val="1"/>
          <w:numId w:val="217"/>
        </w:numPr>
        <w:tabs>
          <w:tab w:val="left" w:pos="2219"/>
        </w:tabs>
        <w:spacing w:before="237"/>
        <w:ind w:left="2219" w:hanging="359"/>
      </w:pPr>
      <w:r w:rsidRPr="00EC20A0">
        <w:t>the</w:t>
      </w:r>
      <w:r w:rsidRPr="00EC20A0">
        <w:rPr>
          <w:spacing w:val="-6"/>
        </w:rPr>
        <w:t xml:space="preserve"> </w:t>
      </w:r>
      <w:r w:rsidRPr="00EC20A0">
        <w:t>significance</w:t>
      </w:r>
      <w:r w:rsidRPr="00EC20A0">
        <w:rPr>
          <w:spacing w:val="-5"/>
        </w:rPr>
        <w:t xml:space="preserve"> </w:t>
      </w:r>
      <w:r w:rsidRPr="00EC20A0">
        <w:t>of</w:t>
      </w:r>
      <w:r w:rsidRPr="00EC20A0">
        <w:rPr>
          <w:spacing w:val="-6"/>
        </w:rPr>
        <w:t xml:space="preserve"> </w:t>
      </w:r>
      <w:r w:rsidRPr="00EC20A0">
        <w:t>the</w:t>
      </w:r>
      <w:r w:rsidRPr="00EC20A0">
        <w:rPr>
          <w:spacing w:val="-5"/>
        </w:rPr>
        <w:t xml:space="preserve"> </w:t>
      </w:r>
      <w:r w:rsidRPr="00EC20A0">
        <w:t>specialist’s</w:t>
      </w:r>
      <w:r w:rsidRPr="00EC20A0">
        <w:rPr>
          <w:spacing w:val="-6"/>
        </w:rPr>
        <w:t xml:space="preserve"> </w:t>
      </w:r>
      <w:r w:rsidRPr="00EC20A0">
        <w:t>work</w:t>
      </w:r>
      <w:r w:rsidRPr="00EC20A0">
        <w:rPr>
          <w:spacing w:val="-5"/>
        </w:rPr>
        <w:t xml:space="preserve"> </w:t>
      </w:r>
      <w:r w:rsidRPr="00EC20A0">
        <w:t>in</w:t>
      </w:r>
      <w:r w:rsidRPr="00EC20A0">
        <w:rPr>
          <w:spacing w:val="-5"/>
        </w:rPr>
        <w:t xml:space="preserve"> </w:t>
      </w:r>
      <w:r w:rsidRPr="00EC20A0">
        <w:t>the</w:t>
      </w:r>
      <w:r w:rsidRPr="00EC20A0">
        <w:rPr>
          <w:spacing w:val="-6"/>
        </w:rPr>
        <w:t xml:space="preserve"> </w:t>
      </w:r>
      <w:r w:rsidRPr="00EC20A0">
        <w:t>context</w:t>
      </w:r>
      <w:r w:rsidRPr="00EC20A0">
        <w:rPr>
          <w:spacing w:val="-5"/>
        </w:rPr>
        <w:t xml:space="preserve"> </w:t>
      </w:r>
      <w:r w:rsidRPr="00EC20A0">
        <w:t>of</w:t>
      </w:r>
      <w:r w:rsidRPr="00EC20A0">
        <w:rPr>
          <w:spacing w:val="-6"/>
        </w:rPr>
        <w:t xml:space="preserve"> </w:t>
      </w:r>
      <w:r w:rsidRPr="00EC20A0">
        <w:t>the</w:t>
      </w:r>
      <w:r w:rsidRPr="00EC20A0">
        <w:rPr>
          <w:spacing w:val="-6"/>
        </w:rPr>
        <w:t xml:space="preserve"> </w:t>
      </w:r>
      <w:r w:rsidRPr="00EC20A0">
        <w:rPr>
          <w:spacing w:val="-2"/>
        </w:rPr>
        <w:t>audit.</w:t>
      </w:r>
    </w:p>
    <w:p w14:paraId="24D5FF6F" w14:textId="77777777" w:rsidR="00245300" w:rsidRPr="00EC20A0" w:rsidRDefault="00F17249">
      <w:pPr>
        <w:pStyle w:val="ListParagraph"/>
        <w:numPr>
          <w:ilvl w:val="0"/>
          <w:numId w:val="217"/>
        </w:numPr>
        <w:tabs>
          <w:tab w:val="left" w:pos="1859"/>
        </w:tabs>
        <w:spacing w:before="239"/>
        <w:ind w:right="738" w:hanging="720"/>
      </w:pPr>
      <w:r w:rsidRPr="00EC20A0">
        <w:t>The</w:t>
      </w:r>
      <w:r w:rsidRPr="00EC20A0">
        <w:rPr>
          <w:spacing w:val="-4"/>
        </w:rPr>
        <w:t xml:space="preserve"> </w:t>
      </w:r>
      <w:r w:rsidRPr="00EC20A0">
        <w:t>level</w:t>
      </w:r>
      <w:r w:rsidRPr="00EC20A0">
        <w:rPr>
          <w:spacing w:val="-4"/>
        </w:rPr>
        <w:t xml:space="preserve"> </w:t>
      </w:r>
      <w:r w:rsidRPr="00EC20A0">
        <w:t>of</w:t>
      </w:r>
      <w:r w:rsidRPr="00EC20A0">
        <w:rPr>
          <w:spacing w:val="-5"/>
        </w:rPr>
        <w:t xml:space="preserve"> </w:t>
      </w:r>
      <w:r w:rsidRPr="00EC20A0">
        <w:t>review</w:t>
      </w:r>
      <w:r w:rsidRPr="00EC20A0">
        <w:rPr>
          <w:spacing w:val="-4"/>
        </w:rPr>
        <w:t xml:space="preserve"> </w:t>
      </w:r>
      <w:r w:rsidRPr="00EC20A0">
        <w:t>is</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professional</w:t>
      </w:r>
      <w:r w:rsidRPr="00EC20A0">
        <w:rPr>
          <w:spacing w:val="-5"/>
        </w:rPr>
        <w:t xml:space="preserve"> </w:t>
      </w:r>
      <w:r w:rsidRPr="00EC20A0">
        <w:t>judgment</w:t>
      </w:r>
      <w:r w:rsidRPr="00EC20A0">
        <w:rPr>
          <w:spacing w:val="-4"/>
        </w:rPr>
        <w:t xml:space="preserve"> </w:t>
      </w:r>
      <w:r w:rsidRPr="00EC20A0">
        <w:t>considering the following factors along with matters identified in FAM 620.15:</w:t>
      </w:r>
    </w:p>
    <w:p w14:paraId="24D5FF70" w14:textId="77777777" w:rsidR="00245300" w:rsidRPr="00EC20A0" w:rsidRDefault="00F17249">
      <w:pPr>
        <w:pStyle w:val="ListParagraph"/>
        <w:numPr>
          <w:ilvl w:val="1"/>
          <w:numId w:val="217"/>
        </w:numPr>
        <w:tabs>
          <w:tab w:val="left" w:pos="2219"/>
        </w:tabs>
        <w:ind w:left="2219" w:right="1294" w:hanging="361"/>
      </w:pPr>
      <w:r w:rsidRPr="00EC20A0">
        <w:t>The</w:t>
      </w:r>
      <w:r w:rsidRPr="00EC20A0">
        <w:rPr>
          <w:spacing w:val="-4"/>
        </w:rPr>
        <w:t xml:space="preserve"> </w:t>
      </w:r>
      <w:r w:rsidRPr="00EC20A0">
        <w:rPr>
          <w:b/>
        </w:rPr>
        <w:t>specialist’s</w:t>
      </w:r>
      <w:r w:rsidRPr="00EC20A0">
        <w:rPr>
          <w:b/>
          <w:spacing w:val="-4"/>
        </w:rPr>
        <w:t xml:space="preserve"> </w:t>
      </w:r>
      <w:r w:rsidRPr="00EC20A0">
        <w:rPr>
          <w:b/>
        </w:rPr>
        <w:t>objectivity.</w:t>
      </w:r>
      <w:r w:rsidRPr="00EC20A0">
        <w:rPr>
          <w:b/>
          <w:spacing w:val="-4"/>
        </w:rPr>
        <w:t xml:space="preserve"> </w:t>
      </w:r>
      <w:r w:rsidRPr="00EC20A0">
        <w:t>The</w:t>
      </w:r>
      <w:r w:rsidRPr="00EC20A0">
        <w:rPr>
          <w:spacing w:val="-4"/>
        </w:rPr>
        <w:t xml:space="preserve"> </w:t>
      </w:r>
      <w:r w:rsidRPr="00EC20A0">
        <w:t>level</w:t>
      </w:r>
      <w:r w:rsidRPr="00EC20A0">
        <w:rPr>
          <w:spacing w:val="-4"/>
        </w:rPr>
        <w:t xml:space="preserve"> </w:t>
      </w:r>
      <w:r w:rsidRPr="00EC20A0">
        <w:t>of</w:t>
      </w:r>
      <w:r w:rsidRPr="00EC20A0">
        <w:rPr>
          <w:spacing w:val="-4"/>
        </w:rPr>
        <w:t xml:space="preserve"> </w:t>
      </w:r>
      <w:r w:rsidRPr="00EC20A0">
        <w:t>auditor</w:t>
      </w:r>
      <w:r w:rsidRPr="00EC20A0">
        <w:rPr>
          <w:spacing w:val="-5"/>
        </w:rPr>
        <w:t xml:space="preserve"> </w:t>
      </w:r>
      <w:r w:rsidRPr="00EC20A0">
        <w:t>review</w:t>
      </w:r>
      <w:r w:rsidRPr="00EC20A0">
        <w:rPr>
          <w:spacing w:val="-4"/>
        </w:rPr>
        <w:t xml:space="preserve"> </w:t>
      </w:r>
      <w:r w:rsidRPr="00EC20A0">
        <w:t>increases</w:t>
      </w:r>
      <w:r w:rsidRPr="00EC20A0">
        <w:rPr>
          <w:spacing w:val="-4"/>
        </w:rPr>
        <w:t xml:space="preserve"> </w:t>
      </w:r>
      <w:r w:rsidRPr="00EC20A0">
        <w:t>as specialist’s objectivity decreases.</w:t>
      </w:r>
    </w:p>
    <w:p w14:paraId="24D5FF71" w14:textId="77777777" w:rsidR="00245300" w:rsidRPr="00EC20A0" w:rsidRDefault="00F17249">
      <w:pPr>
        <w:pStyle w:val="ListParagraph"/>
        <w:numPr>
          <w:ilvl w:val="1"/>
          <w:numId w:val="217"/>
        </w:numPr>
        <w:tabs>
          <w:tab w:val="left" w:pos="2219"/>
        </w:tabs>
        <w:spacing w:before="238"/>
        <w:ind w:left="2219" w:right="501"/>
      </w:pPr>
      <w:r w:rsidRPr="00EC20A0">
        <w:t xml:space="preserve">The </w:t>
      </w:r>
      <w:r w:rsidRPr="00EC20A0">
        <w:rPr>
          <w:b/>
        </w:rPr>
        <w:t xml:space="preserve">specialist’s qualifications </w:t>
      </w:r>
      <w:r w:rsidRPr="00EC20A0">
        <w:t>(both for the specialist’s firm and its engagement</w:t>
      </w:r>
      <w:r w:rsidRPr="00EC20A0">
        <w:rPr>
          <w:spacing w:val="-3"/>
        </w:rPr>
        <w:t xml:space="preserve"> </w:t>
      </w:r>
      <w:r w:rsidRPr="00EC20A0">
        <w:t>team)</w:t>
      </w:r>
      <w:r w:rsidRPr="00EC20A0">
        <w:rPr>
          <w:spacing w:val="-3"/>
        </w:rPr>
        <w:t xml:space="preserve"> </w:t>
      </w:r>
      <w:r w:rsidRPr="00EC20A0">
        <w:t>to</w:t>
      </w:r>
      <w:r w:rsidRPr="00EC20A0">
        <w:rPr>
          <w:spacing w:val="-3"/>
        </w:rPr>
        <w:t xml:space="preserve"> </w:t>
      </w:r>
      <w:r w:rsidRPr="00EC20A0">
        <w:t>perform</w:t>
      </w:r>
      <w:r w:rsidRPr="00EC20A0">
        <w:rPr>
          <w:spacing w:val="-4"/>
        </w:rPr>
        <w:t xml:space="preserve"> </w:t>
      </w:r>
      <w:r w:rsidRPr="00EC20A0">
        <w:t>the</w:t>
      </w:r>
      <w:r w:rsidRPr="00EC20A0">
        <w:rPr>
          <w:spacing w:val="-3"/>
        </w:rPr>
        <w:t xml:space="preserve"> </w:t>
      </w:r>
      <w:r w:rsidRPr="00EC20A0">
        <w:t>work</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wishes</w:t>
      </w:r>
      <w:r w:rsidRPr="00EC20A0">
        <w:rPr>
          <w:spacing w:val="-3"/>
        </w:rPr>
        <w:t xml:space="preserve"> </w:t>
      </w:r>
      <w:r w:rsidRPr="00EC20A0">
        <w:t>to</w:t>
      </w:r>
      <w:r w:rsidRPr="00EC20A0">
        <w:rPr>
          <w:spacing w:val="-4"/>
        </w:rPr>
        <w:t xml:space="preserve"> </w:t>
      </w:r>
      <w:r w:rsidRPr="00EC20A0">
        <w:t>use.</w:t>
      </w:r>
      <w:r w:rsidRPr="00EC20A0">
        <w:rPr>
          <w:spacing w:val="-3"/>
        </w:rPr>
        <w:t xml:space="preserve"> </w:t>
      </w:r>
      <w:r w:rsidRPr="00EC20A0">
        <w:t>The</w:t>
      </w:r>
      <w:r w:rsidRPr="00EC20A0">
        <w:rPr>
          <w:spacing w:val="-3"/>
        </w:rPr>
        <w:t xml:space="preserve"> </w:t>
      </w:r>
      <w:r w:rsidRPr="00EC20A0">
        <w:t>level</w:t>
      </w:r>
      <w:r w:rsidRPr="00EC20A0">
        <w:rPr>
          <w:spacing w:val="-3"/>
        </w:rPr>
        <w:t xml:space="preserve"> </w:t>
      </w:r>
      <w:r w:rsidRPr="00EC20A0">
        <w:t>of auditor review increases as the specialist’s qualifications decrease.</w:t>
      </w:r>
    </w:p>
    <w:p w14:paraId="24D5FF72" w14:textId="77777777" w:rsidR="00245300" w:rsidRPr="00EC20A0" w:rsidRDefault="00F17249">
      <w:pPr>
        <w:pStyle w:val="ListParagraph"/>
        <w:numPr>
          <w:ilvl w:val="1"/>
          <w:numId w:val="217"/>
        </w:numPr>
        <w:tabs>
          <w:tab w:val="left" w:pos="2218"/>
        </w:tabs>
        <w:spacing w:before="239"/>
        <w:ind w:left="2218" w:right="612"/>
      </w:pPr>
      <w:r w:rsidRPr="00EC20A0">
        <w:t xml:space="preserve">The </w:t>
      </w:r>
      <w:r w:rsidRPr="00EC20A0">
        <w:rPr>
          <w:b/>
        </w:rPr>
        <w:t xml:space="preserve">auditor’s prior experience </w:t>
      </w:r>
      <w:r w:rsidRPr="00EC20A0">
        <w:t>with the specialist. The level of auditor review</w:t>
      </w:r>
      <w:r w:rsidRPr="00EC20A0">
        <w:rPr>
          <w:spacing w:val="-5"/>
        </w:rPr>
        <w:t xml:space="preserve"> </w:t>
      </w:r>
      <w:r w:rsidRPr="00EC20A0">
        <w:t>tends</w:t>
      </w:r>
      <w:r w:rsidRPr="00EC20A0">
        <w:rPr>
          <w:spacing w:val="-4"/>
        </w:rPr>
        <w:t xml:space="preserve"> </w:t>
      </w:r>
      <w:r w:rsidRPr="00EC20A0">
        <w:t>to</w:t>
      </w:r>
      <w:r w:rsidRPr="00EC20A0">
        <w:rPr>
          <w:spacing w:val="-4"/>
        </w:rPr>
        <w:t xml:space="preserve"> </w:t>
      </w:r>
      <w:r w:rsidRPr="00EC20A0">
        <w:t>decrease</w:t>
      </w:r>
      <w:r w:rsidRPr="00EC20A0">
        <w:rPr>
          <w:spacing w:val="-4"/>
        </w:rPr>
        <w:t xml:space="preserve"> </w:t>
      </w:r>
      <w:r w:rsidRPr="00EC20A0">
        <w:t>as</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confidence</w:t>
      </w:r>
      <w:r w:rsidRPr="00EC20A0">
        <w:rPr>
          <w:spacing w:val="-4"/>
        </w:rPr>
        <w:t xml:space="preserve"> </w:t>
      </w:r>
      <w:r w:rsidRPr="00EC20A0">
        <w:t>increases</w:t>
      </w:r>
      <w:r w:rsidRPr="00EC20A0">
        <w:rPr>
          <w:spacing w:val="-4"/>
        </w:rPr>
        <w:t xml:space="preserve"> </w:t>
      </w:r>
      <w:r w:rsidRPr="00EC20A0">
        <w:t>from</w:t>
      </w:r>
      <w:r w:rsidRPr="00EC20A0">
        <w:rPr>
          <w:spacing w:val="-5"/>
        </w:rPr>
        <w:t xml:space="preserve"> </w:t>
      </w:r>
      <w:r w:rsidRPr="00EC20A0">
        <w:t>working with the specialist.</w:t>
      </w:r>
    </w:p>
    <w:p w14:paraId="24D5FF73" w14:textId="77777777" w:rsidR="00245300" w:rsidRPr="00EC20A0" w:rsidRDefault="00F17249">
      <w:pPr>
        <w:pStyle w:val="ListParagraph"/>
        <w:numPr>
          <w:ilvl w:val="1"/>
          <w:numId w:val="217"/>
        </w:numPr>
        <w:tabs>
          <w:tab w:val="left" w:pos="2217"/>
        </w:tabs>
        <w:spacing w:before="238"/>
        <w:ind w:left="2217" w:right="600"/>
      </w:pPr>
      <w:r w:rsidRPr="00EC20A0">
        <w:t xml:space="preserve">The </w:t>
      </w:r>
      <w:r w:rsidRPr="00EC20A0">
        <w:rPr>
          <w:b/>
        </w:rPr>
        <w:t xml:space="preserve">materiality of the line item </w:t>
      </w:r>
      <w:r w:rsidRPr="00EC20A0">
        <w:t>in relation to the financial statements as a whole.</w:t>
      </w:r>
      <w:r w:rsidRPr="00EC20A0">
        <w:rPr>
          <w:spacing w:val="-3"/>
        </w:rPr>
        <w:t xml:space="preserve"> </w:t>
      </w:r>
      <w:r w:rsidRPr="00EC20A0">
        <w:t>The</w:t>
      </w:r>
      <w:r w:rsidRPr="00EC20A0">
        <w:rPr>
          <w:spacing w:val="-3"/>
        </w:rPr>
        <w:t xml:space="preserve"> </w:t>
      </w:r>
      <w:r w:rsidRPr="00EC20A0">
        <w:t>level</w:t>
      </w:r>
      <w:r w:rsidRPr="00EC20A0">
        <w:rPr>
          <w:spacing w:val="-3"/>
        </w:rPr>
        <w:t xml:space="preserve"> </w:t>
      </w:r>
      <w:r w:rsidRPr="00EC20A0">
        <w:t>of</w:t>
      </w:r>
      <w:r w:rsidRPr="00EC20A0">
        <w:rPr>
          <w:spacing w:val="-3"/>
        </w:rPr>
        <w:t xml:space="preserve"> </w:t>
      </w:r>
      <w:r w:rsidRPr="00EC20A0">
        <w:t>auditor</w:t>
      </w:r>
      <w:r w:rsidRPr="00EC20A0">
        <w:rPr>
          <w:spacing w:val="-3"/>
        </w:rPr>
        <w:t xml:space="preserve"> </w:t>
      </w:r>
      <w:r w:rsidRPr="00EC20A0">
        <w:t>review</w:t>
      </w:r>
      <w:r w:rsidRPr="00EC20A0">
        <w:rPr>
          <w:spacing w:val="-4"/>
        </w:rPr>
        <w:t xml:space="preserve"> </w:t>
      </w:r>
      <w:r w:rsidRPr="00EC20A0">
        <w:t>increases</w:t>
      </w:r>
      <w:r w:rsidRPr="00EC20A0">
        <w:rPr>
          <w:spacing w:val="-3"/>
        </w:rPr>
        <w:t xml:space="preserve"> </w:t>
      </w:r>
      <w:r w:rsidRPr="00EC20A0">
        <w:t>as</w:t>
      </w:r>
      <w:r w:rsidRPr="00EC20A0">
        <w:rPr>
          <w:spacing w:val="-3"/>
        </w:rPr>
        <w:t xml:space="preserve"> </w:t>
      </w:r>
      <w:r w:rsidRPr="00EC20A0">
        <w:t>the</w:t>
      </w:r>
      <w:r w:rsidRPr="00EC20A0">
        <w:rPr>
          <w:spacing w:val="-3"/>
        </w:rPr>
        <w:t xml:space="preserve"> </w:t>
      </w:r>
      <w:r w:rsidRPr="00EC20A0">
        <w:t>line</w:t>
      </w:r>
      <w:r w:rsidRPr="00EC20A0">
        <w:rPr>
          <w:spacing w:val="-3"/>
        </w:rPr>
        <w:t xml:space="preserve"> </w:t>
      </w:r>
      <w:r w:rsidRPr="00EC20A0">
        <w:t>item</w:t>
      </w:r>
      <w:r w:rsidRPr="00EC20A0">
        <w:rPr>
          <w:spacing w:val="-5"/>
        </w:rPr>
        <w:t xml:space="preserve"> </w:t>
      </w:r>
      <w:r w:rsidRPr="00EC20A0">
        <w:t>value</w:t>
      </w:r>
      <w:r w:rsidRPr="00EC20A0">
        <w:rPr>
          <w:spacing w:val="-3"/>
        </w:rPr>
        <w:t xml:space="preserve"> </w:t>
      </w:r>
      <w:r w:rsidRPr="00EC20A0">
        <w:t>increases.</w:t>
      </w:r>
    </w:p>
    <w:p w14:paraId="24D5FF74" w14:textId="77777777" w:rsidR="00245300" w:rsidRPr="00EC20A0" w:rsidRDefault="00F17249">
      <w:pPr>
        <w:pStyle w:val="ListParagraph"/>
        <w:numPr>
          <w:ilvl w:val="1"/>
          <w:numId w:val="217"/>
        </w:numPr>
        <w:tabs>
          <w:tab w:val="left" w:pos="2217"/>
        </w:tabs>
        <w:spacing w:before="238"/>
        <w:ind w:left="2217" w:right="625"/>
      </w:pPr>
      <w:r w:rsidRPr="00EC20A0">
        <w:t xml:space="preserve">The </w:t>
      </w:r>
      <w:r w:rsidRPr="00EC20A0">
        <w:rPr>
          <w:b/>
        </w:rPr>
        <w:t>risk of material misstatement</w:t>
      </w:r>
      <w:r w:rsidRPr="00EC20A0">
        <w:t>, including the risk of material fraud for the</w:t>
      </w:r>
      <w:r w:rsidRPr="00EC20A0">
        <w:rPr>
          <w:spacing w:val="-3"/>
        </w:rPr>
        <w:t xml:space="preserve"> </w:t>
      </w:r>
      <w:r w:rsidRPr="00EC20A0">
        <w:t>line</w:t>
      </w:r>
      <w:r w:rsidRPr="00EC20A0">
        <w:rPr>
          <w:spacing w:val="-3"/>
        </w:rPr>
        <w:t xml:space="preserve"> </w:t>
      </w:r>
      <w:r w:rsidRPr="00EC20A0">
        <w:t>item</w:t>
      </w:r>
      <w:r w:rsidRPr="00EC20A0">
        <w:rPr>
          <w:spacing w:val="-5"/>
        </w:rPr>
        <w:t xml:space="preserve"> </w:t>
      </w:r>
      <w:r w:rsidRPr="00EC20A0">
        <w:t>and</w:t>
      </w:r>
      <w:r w:rsidRPr="00EC20A0">
        <w:rPr>
          <w:spacing w:val="-3"/>
        </w:rPr>
        <w:t xml:space="preserve"> </w:t>
      </w:r>
      <w:r w:rsidRPr="00EC20A0">
        <w:t>assertion</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on</w:t>
      </w:r>
      <w:r w:rsidRPr="00EC20A0">
        <w:rPr>
          <w:spacing w:val="-3"/>
        </w:rPr>
        <w:t xml:space="preserve"> </w:t>
      </w:r>
      <w:r w:rsidRPr="00EC20A0">
        <w:t>which</w:t>
      </w:r>
      <w:r w:rsidRPr="00EC20A0">
        <w:rPr>
          <w:spacing w:val="-3"/>
        </w:rPr>
        <w:t xml:space="preserve"> </w:t>
      </w:r>
      <w:r w:rsidRPr="00EC20A0">
        <w:t>the</w:t>
      </w:r>
      <w:r w:rsidRPr="00EC20A0">
        <w:rPr>
          <w:spacing w:val="-3"/>
        </w:rPr>
        <w:t xml:space="preserve"> </w:t>
      </w:r>
      <w:r w:rsidRPr="00EC20A0">
        <w:t>specialist is</w:t>
      </w:r>
      <w:r w:rsidRPr="00EC20A0">
        <w:rPr>
          <w:spacing w:val="-3"/>
        </w:rPr>
        <w:t xml:space="preserve"> </w:t>
      </w:r>
      <w:r w:rsidRPr="00EC20A0">
        <w:t>performing</w:t>
      </w:r>
      <w:r w:rsidRPr="00EC20A0">
        <w:rPr>
          <w:spacing w:val="-3"/>
        </w:rPr>
        <w:t xml:space="preserve"> </w:t>
      </w:r>
      <w:r w:rsidRPr="00EC20A0">
        <w:t>procedures.</w:t>
      </w:r>
      <w:r w:rsidRPr="00EC20A0">
        <w:rPr>
          <w:spacing w:val="-3"/>
        </w:rPr>
        <w:t xml:space="preserve"> </w:t>
      </w:r>
      <w:r w:rsidRPr="00EC20A0">
        <w:t>The</w:t>
      </w:r>
      <w:r w:rsidRPr="00EC20A0">
        <w:rPr>
          <w:spacing w:val="-3"/>
        </w:rPr>
        <w:t xml:space="preserve"> </w:t>
      </w:r>
      <w:r w:rsidRPr="00EC20A0">
        <w:t>level</w:t>
      </w:r>
      <w:r w:rsidRPr="00EC20A0">
        <w:rPr>
          <w:spacing w:val="-4"/>
        </w:rPr>
        <w:t xml:space="preserve"> </w:t>
      </w:r>
      <w:r w:rsidRPr="00EC20A0">
        <w:t>of</w:t>
      </w:r>
      <w:r w:rsidRPr="00EC20A0">
        <w:rPr>
          <w:spacing w:val="-3"/>
        </w:rPr>
        <w:t xml:space="preserve"> </w:t>
      </w:r>
      <w:r w:rsidRPr="00EC20A0">
        <w:t>auditor</w:t>
      </w:r>
      <w:r w:rsidRPr="00EC20A0">
        <w:rPr>
          <w:spacing w:val="-3"/>
        </w:rPr>
        <w:t xml:space="preserve"> </w:t>
      </w:r>
      <w:r w:rsidRPr="00EC20A0">
        <w:t>review</w:t>
      </w:r>
      <w:r w:rsidRPr="00EC20A0">
        <w:rPr>
          <w:spacing w:val="-4"/>
        </w:rPr>
        <w:t xml:space="preserve"> </w:t>
      </w:r>
      <w:r w:rsidRPr="00EC20A0">
        <w:t>increases</w:t>
      </w:r>
      <w:r w:rsidRPr="00EC20A0">
        <w:rPr>
          <w:spacing w:val="-3"/>
        </w:rPr>
        <w:t xml:space="preserve"> </w:t>
      </w:r>
      <w:r w:rsidRPr="00EC20A0">
        <w:t>as</w:t>
      </w:r>
      <w:r w:rsidRPr="00EC20A0">
        <w:rPr>
          <w:spacing w:val="-3"/>
        </w:rPr>
        <w:t xml:space="preserve"> </w:t>
      </w:r>
      <w:r w:rsidRPr="00EC20A0">
        <w:t>the</w:t>
      </w:r>
      <w:r w:rsidRPr="00EC20A0">
        <w:rPr>
          <w:spacing w:val="-3"/>
        </w:rPr>
        <w:t xml:space="preserve"> </w:t>
      </w:r>
      <w:r w:rsidRPr="00EC20A0">
        <w:t>risk</w:t>
      </w:r>
      <w:r w:rsidRPr="00EC20A0">
        <w:rPr>
          <w:spacing w:val="-3"/>
        </w:rPr>
        <w:t xml:space="preserve"> </w:t>
      </w:r>
      <w:r w:rsidRPr="00EC20A0">
        <w:t>of material misstatement increases.</w:t>
      </w:r>
    </w:p>
    <w:p w14:paraId="24D5FF75" w14:textId="77777777" w:rsidR="00245300" w:rsidRPr="00EC20A0" w:rsidRDefault="00F17249">
      <w:pPr>
        <w:pStyle w:val="ListParagraph"/>
        <w:numPr>
          <w:ilvl w:val="1"/>
          <w:numId w:val="217"/>
        </w:numPr>
        <w:tabs>
          <w:tab w:val="left" w:pos="2217"/>
        </w:tabs>
        <w:spacing w:before="238"/>
        <w:ind w:left="2217" w:right="699"/>
      </w:pPr>
      <w:r w:rsidRPr="00EC20A0">
        <w:t>The</w:t>
      </w:r>
      <w:r w:rsidRPr="00EC20A0">
        <w:rPr>
          <w:spacing w:val="-4"/>
        </w:rPr>
        <w:t xml:space="preserve"> </w:t>
      </w:r>
      <w:r w:rsidRPr="00EC20A0">
        <w:t>specialist</w:t>
      </w:r>
      <w:r w:rsidRPr="00EC20A0">
        <w:rPr>
          <w:spacing w:val="-4"/>
        </w:rPr>
        <w:t xml:space="preserve"> </w:t>
      </w:r>
      <w:r w:rsidRPr="00EC20A0">
        <w:t>is</w:t>
      </w:r>
      <w:r w:rsidRPr="00EC20A0">
        <w:rPr>
          <w:spacing w:val="-4"/>
        </w:rPr>
        <w:t xml:space="preserve"> </w:t>
      </w:r>
      <w:r w:rsidRPr="00EC20A0">
        <w:t>an</w:t>
      </w:r>
      <w:r w:rsidRPr="00EC20A0">
        <w:rPr>
          <w:spacing w:val="-4"/>
        </w:rPr>
        <w:t xml:space="preserve"> </w:t>
      </w:r>
      <w:r w:rsidRPr="00EC20A0">
        <w:rPr>
          <w:b/>
        </w:rPr>
        <w:t>internal</w:t>
      </w:r>
      <w:r w:rsidRPr="00EC20A0">
        <w:rPr>
          <w:b/>
          <w:spacing w:val="-4"/>
        </w:rPr>
        <w:t xml:space="preserve"> </w:t>
      </w:r>
      <w:r w:rsidRPr="00EC20A0">
        <w:rPr>
          <w:b/>
        </w:rPr>
        <w:t>specialist</w:t>
      </w:r>
      <w:r w:rsidRPr="00EC20A0">
        <w:t>.</w:t>
      </w:r>
      <w:r w:rsidRPr="00EC20A0">
        <w:rPr>
          <w:spacing w:val="-4"/>
        </w:rPr>
        <w:t xml:space="preserve"> </w:t>
      </w:r>
      <w:r w:rsidRPr="00EC20A0">
        <w:t>The</w:t>
      </w:r>
      <w:r w:rsidRPr="00EC20A0">
        <w:rPr>
          <w:spacing w:val="-4"/>
        </w:rPr>
        <w:t xml:space="preserve"> </w:t>
      </w:r>
      <w:r w:rsidRPr="00EC20A0">
        <w:t>level</w:t>
      </w:r>
      <w:r w:rsidRPr="00EC20A0">
        <w:rPr>
          <w:spacing w:val="-4"/>
        </w:rPr>
        <w:t xml:space="preserve"> </w:t>
      </w:r>
      <w:r w:rsidRPr="00EC20A0">
        <w:t>of</w:t>
      </w:r>
      <w:r w:rsidRPr="00EC20A0">
        <w:rPr>
          <w:spacing w:val="-4"/>
        </w:rPr>
        <w:t xml:space="preserve"> </w:t>
      </w:r>
      <w:r w:rsidRPr="00EC20A0">
        <w:t>review</w:t>
      </w:r>
      <w:r w:rsidRPr="00EC20A0">
        <w:rPr>
          <w:spacing w:val="-4"/>
        </w:rPr>
        <w:t xml:space="preserve"> </w:t>
      </w:r>
      <w:r w:rsidRPr="00EC20A0">
        <w:t>decreases</w:t>
      </w:r>
      <w:r w:rsidRPr="00EC20A0">
        <w:rPr>
          <w:spacing w:val="-4"/>
        </w:rPr>
        <w:t xml:space="preserve"> </w:t>
      </w:r>
      <w:r w:rsidRPr="00EC20A0">
        <w:t>if</w:t>
      </w:r>
      <w:r w:rsidRPr="00EC20A0">
        <w:rPr>
          <w:spacing w:val="-4"/>
        </w:rPr>
        <w:t xml:space="preserve"> </w:t>
      </w:r>
      <w:r w:rsidRPr="00EC20A0">
        <w:t>the work the auditor wishes to use is subject to the auditor’s quality control policies and procedures.</w:t>
      </w:r>
    </w:p>
    <w:p w14:paraId="24D5FF76" w14:textId="77777777" w:rsidR="00245300" w:rsidRPr="00EC20A0" w:rsidRDefault="00F17249">
      <w:pPr>
        <w:pStyle w:val="BodyText"/>
        <w:spacing w:before="239"/>
        <w:ind w:left="1859"/>
      </w:pPr>
      <w:r w:rsidRPr="00EC20A0">
        <w:t>The auditor may need to reevaluate the planned level of review as the work progresses.</w:t>
      </w:r>
      <w:r w:rsidRPr="00EC20A0">
        <w:rPr>
          <w:spacing w:val="-4"/>
        </w:rPr>
        <w:t xml:space="preserve"> </w:t>
      </w:r>
      <w:r w:rsidRPr="00EC20A0">
        <w:t>If</w:t>
      </w:r>
      <w:r w:rsidRPr="00EC20A0">
        <w:rPr>
          <w:spacing w:val="-3"/>
        </w:rPr>
        <w:t xml:space="preserve"> </w:t>
      </w:r>
      <w:r w:rsidRPr="00EC20A0">
        <w:t>serving</w:t>
      </w:r>
      <w:r w:rsidRPr="00EC20A0">
        <w:rPr>
          <w:spacing w:val="-3"/>
        </w:rPr>
        <w:t xml:space="preserve"> </w:t>
      </w:r>
      <w:r w:rsidRPr="00EC20A0">
        <w:t>as</w:t>
      </w:r>
      <w:r w:rsidRPr="00EC20A0">
        <w:rPr>
          <w:spacing w:val="-4"/>
        </w:rPr>
        <w:t xml:space="preserve"> </w:t>
      </w:r>
      <w:r w:rsidRPr="00EC20A0">
        <w:t>the</w:t>
      </w:r>
      <w:r w:rsidRPr="00EC20A0">
        <w:rPr>
          <w:spacing w:val="-3"/>
        </w:rPr>
        <w:t xml:space="preserve"> </w:t>
      </w:r>
      <w:r w:rsidRPr="00EC20A0">
        <w:t>COR,</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will</w:t>
      </w:r>
      <w:r w:rsidRPr="00EC20A0">
        <w:rPr>
          <w:spacing w:val="-4"/>
        </w:rPr>
        <w:t xml:space="preserve"> </w:t>
      </w:r>
      <w:r w:rsidRPr="00EC20A0">
        <w:t>assist</w:t>
      </w:r>
      <w:r w:rsidRPr="00EC20A0">
        <w:rPr>
          <w:spacing w:val="-4"/>
        </w:rPr>
        <w:t xml:space="preserve"> </w:t>
      </w:r>
      <w:r w:rsidRPr="00EC20A0">
        <w:t>the</w:t>
      </w:r>
      <w:r w:rsidRPr="00EC20A0">
        <w:rPr>
          <w:spacing w:val="-3"/>
        </w:rPr>
        <w:t xml:space="preserve"> </w:t>
      </w:r>
      <w:r w:rsidRPr="00EC20A0">
        <w:t>contracting</w:t>
      </w:r>
      <w:r w:rsidRPr="00EC20A0">
        <w:rPr>
          <w:spacing w:val="-3"/>
        </w:rPr>
        <w:t xml:space="preserve"> </w:t>
      </w:r>
      <w:r w:rsidRPr="00EC20A0">
        <w:t>officer</w:t>
      </w:r>
      <w:r w:rsidRPr="00EC20A0">
        <w:rPr>
          <w:spacing w:val="-3"/>
        </w:rPr>
        <w:t xml:space="preserve"> </w:t>
      </w:r>
      <w:r w:rsidRPr="00EC20A0">
        <w:t>to ensure contractor compliance with the terms and conditions of the contract.</w:t>
      </w:r>
    </w:p>
    <w:p w14:paraId="24D5FF77" w14:textId="77777777" w:rsidR="00245300" w:rsidRPr="00EC20A0" w:rsidRDefault="00F17249">
      <w:pPr>
        <w:pStyle w:val="ListParagraph"/>
        <w:numPr>
          <w:ilvl w:val="0"/>
          <w:numId w:val="217"/>
        </w:numPr>
        <w:tabs>
          <w:tab w:val="left" w:pos="1859"/>
        </w:tabs>
        <w:ind w:right="690" w:hanging="720"/>
      </w:pPr>
      <w:r w:rsidRPr="00EC20A0">
        <w:t>It is not necessary to perform supplemental tests of the work of specialists. As indicated</w:t>
      </w:r>
      <w:r w:rsidRPr="00EC20A0">
        <w:rPr>
          <w:spacing w:val="-4"/>
        </w:rPr>
        <w:t xml:space="preserve"> </w:t>
      </w:r>
      <w:r w:rsidRPr="00EC20A0">
        <w:t>in</w:t>
      </w:r>
      <w:r w:rsidRPr="00EC20A0">
        <w:rPr>
          <w:spacing w:val="-5"/>
        </w:rPr>
        <w:t xml:space="preserve"> </w:t>
      </w:r>
      <w:r w:rsidRPr="00EC20A0">
        <w:t>AU-C</w:t>
      </w:r>
      <w:r w:rsidRPr="00EC20A0">
        <w:rPr>
          <w:spacing w:val="-5"/>
        </w:rPr>
        <w:t xml:space="preserve"> </w:t>
      </w:r>
      <w:r w:rsidRPr="00EC20A0">
        <w:t>620.12,</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evaluate</w:t>
      </w:r>
      <w:r w:rsidRPr="00EC20A0">
        <w:rPr>
          <w:spacing w:val="-4"/>
        </w:rPr>
        <w:t xml:space="preserve"> </w:t>
      </w:r>
      <w:r w:rsidRPr="00EC20A0">
        <w:t>the</w:t>
      </w:r>
      <w:r w:rsidRPr="00EC20A0">
        <w:rPr>
          <w:spacing w:val="-4"/>
        </w:rPr>
        <w:t xml:space="preserve"> </w:t>
      </w:r>
      <w:r w:rsidRPr="00EC20A0">
        <w:t>adequacy</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work of an auditor’s specialist for the auditor’s purposes, including</w:t>
      </w:r>
    </w:p>
    <w:p w14:paraId="24D5FF78" w14:textId="77777777" w:rsidR="00245300" w:rsidRPr="00EC20A0" w:rsidRDefault="00F17249">
      <w:pPr>
        <w:pStyle w:val="ListParagraph"/>
        <w:numPr>
          <w:ilvl w:val="1"/>
          <w:numId w:val="217"/>
        </w:numPr>
        <w:tabs>
          <w:tab w:val="left" w:pos="2219"/>
        </w:tabs>
        <w:ind w:left="2219" w:right="646" w:hanging="361"/>
      </w:pPr>
      <w:r w:rsidRPr="00EC20A0">
        <w:t>evaluating</w:t>
      </w:r>
      <w:r w:rsidRPr="00EC20A0">
        <w:rPr>
          <w:spacing w:val="-4"/>
        </w:rPr>
        <w:t xml:space="preserve"> </w:t>
      </w:r>
      <w:r w:rsidRPr="00EC20A0">
        <w:t>the</w:t>
      </w:r>
      <w:r w:rsidRPr="00EC20A0">
        <w:rPr>
          <w:spacing w:val="-4"/>
        </w:rPr>
        <w:t xml:space="preserve"> </w:t>
      </w:r>
      <w:r w:rsidRPr="00EC20A0">
        <w:t>relevance</w:t>
      </w:r>
      <w:r w:rsidRPr="00EC20A0">
        <w:rPr>
          <w:spacing w:val="-4"/>
        </w:rPr>
        <w:t xml:space="preserve"> </w:t>
      </w:r>
      <w:r w:rsidRPr="00EC20A0">
        <w:t>and</w:t>
      </w:r>
      <w:r w:rsidRPr="00EC20A0">
        <w:rPr>
          <w:spacing w:val="-4"/>
        </w:rPr>
        <w:t xml:space="preserve"> </w:t>
      </w:r>
      <w:r w:rsidRPr="00EC20A0">
        <w:t>reasonableness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specialist’s</w:t>
      </w:r>
      <w:r w:rsidRPr="00EC20A0">
        <w:rPr>
          <w:spacing w:val="-4"/>
        </w:rPr>
        <w:t xml:space="preserve"> </w:t>
      </w:r>
      <w:r w:rsidRPr="00EC20A0">
        <w:t>findings</w:t>
      </w:r>
      <w:r w:rsidRPr="00EC20A0">
        <w:rPr>
          <w:spacing w:val="-5"/>
        </w:rPr>
        <w:t xml:space="preserve"> </w:t>
      </w:r>
      <w:r w:rsidRPr="00EC20A0">
        <w:t xml:space="preserve">and conclusions and consistency with other </w:t>
      </w:r>
      <w:r w:rsidRPr="00EC20A0">
        <w:t>audit evidence (see FAM 620.30);</w:t>
      </w:r>
    </w:p>
    <w:p w14:paraId="24D5FF79" w14:textId="77777777" w:rsidR="00245300" w:rsidRPr="00EC20A0" w:rsidRDefault="00F17249">
      <w:pPr>
        <w:pStyle w:val="ListParagraph"/>
        <w:numPr>
          <w:ilvl w:val="1"/>
          <w:numId w:val="217"/>
        </w:numPr>
        <w:tabs>
          <w:tab w:val="left" w:pos="2219"/>
        </w:tabs>
        <w:spacing w:before="238"/>
        <w:ind w:left="2219" w:right="512"/>
      </w:pPr>
      <w:r w:rsidRPr="00EC20A0">
        <w:t>obtaining an understanding of the significant assumptions and methods that the specialist used and evaluating the relevance and reasonableness of</w:t>
      </w:r>
      <w:r w:rsidRPr="00EC20A0">
        <w:rPr>
          <w:spacing w:val="40"/>
        </w:rPr>
        <w:t xml:space="preserve"> </w:t>
      </w:r>
      <w:r w:rsidRPr="00EC20A0">
        <w:t>those</w:t>
      </w:r>
      <w:r w:rsidRPr="00EC20A0">
        <w:rPr>
          <w:spacing w:val="-5"/>
        </w:rPr>
        <w:t xml:space="preserve"> </w:t>
      </w:r>
      <w:r w:rsidRPr="00EC20A0">
        <w:t>assumptions</w:t>
      </w:r>
      <w:r w:rsidRPr="00EC20A0">
        <w:rPr>
          <w:spacing w:val="-5"/>
        </w:rPr>
        <w:t xml:space="preserve"> </w:t>
      </w:r>
      <w:r w:rsidRPr="00EC20A0">
        <w:t>and</w:t>
      </w:r>
      <w:r w:rsidRPr="00EC20A0">
        <w:rPr>
          <w:spacing w:val="-5"/>
        </w:rPr>
        <w:t xml:space="preserve"> </w:t>
      </w:r>
      <w:r w:rsidRPr="00EC20A0">
        <w:t>methods</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circumstances,</w:t>
      </w:r>
      <w:r w:rsidRPr="00EC20A0">
        <w:rPr>
          <w:spacing w:val="-5"/>
        </w:rPr>
        <w:t xml:space="preserve"> </w:t>
      </w:r>
      <w:r w:rsidRPr="00EC20A0">
        <w:t>giving</w:t>
      </w:r>
      <w:r w:rsidRPr="00EC20A0">
        <w:rPr>
          <w:spacing w:val="-5"/>
        </w:rPr>
        <w:t xml:space="preserve"> </w:t>
      </w:r>
      <w:r w:rsidRPr="00EC20A0">
        <w:t>consideration</w:t>
      </w:r>
      <w:r w:rsidRPr="00EC20A0">
        <w:rPr>
          <w:spacing w:val="-5"/>
        </w:rPr>
        <w:t xml:space="preserve"> </w:t>
      </w:r>
      <w:r w:rsidRPr="00EC20A0">
        <w:t>to the rationale and support provided by the specialist and in relation to the auditor’s other findings and conclusions (see FAM 620.31 through .33); and</w:t>
      </w:r>
    </w:p>
    <w:p w14:paraId="24D5FF7A" w14:textId="77777777" w:rsidR="00245300" w:rsidRPr="00EC20A0" w:rsidRDefault="00F17249">
      <w:pPr>
        <w:pStyle w:val="ListParagraph"/>
        <w:numPr>
          <w:ilvl w:val="1"/>
          <w:numId w:val="217"/>
        </w:numPr>
        <w:tabs>
          <w:tab w:val="left" w:pos="2218"/>
        </w:tabs>
        <w:spacing w:before="238"/>
        <w:ind w:left="2218" w:right="500"/>
      </w:pPr>
      <w:r w:rsidRPr="00EC20A0">
        <w:t>evaluating</w:t>
      </w:r>
      <w:r w:rsidRPr="00EC20A0">
        <w:rPr>
          <w:spacing w:val="-4"/>
        </w:rPr>
        <w:t xml:space="preserve"> </w:t>
      </w:r>
      <w:r w:rsidRPr="00EC20A0">
        <w:t>the</w:t>
      </w:r>
      <w:r w:rsidRPr="00EC20A0">
        <w:rPr>
          <w:spacing w:val="-4"/>
        </w:rPr>
        <w:t xml:space="preserve"> </w:t>
      </w:r>
      <w:r w:rsidRPr="00EC20A0">
        <w:t>relevance,</w:t>
      </w:r>
      <w:r w:rsidRPr="00EC20A0">
        <w:rPr>
          <w:spacing w:val="-4"/>
        </w:rPr>
        <w:t xml:space="preserve"> </w:t>
      </w:r>
      <w:r w:rsidRPr="00EC20A0">
        <w:t>completeness,</w:t>
      </w:r>
      <w:r w:rsidRPr="00EC20A0">
        <w:rPr>
          <w:spacing w:val="-4"/>
        </w:rPr>
        <w:t xml:space="preserve"> </w:t>
      </w:r>
      <w:r w:rsidRPr="00EC20A0">
        <w:t>and</w:t>
      </w:r>
      <w:r w:rsidRPr="00EC20A0">
        <w:rPr>
          <w:spacing w:val="-4"/>
        </w:rPr>
        <w:t xml:space="preserve"> </w:t>
      </w:r>
      <w:r w:rsidRPr="00EC20A0">
        <w:t>accuracy</w:t>
      </w:r>
      <w:r w:rsidRPr="00EC20A0">
        <w:rPr>
          <w:spacing w:val="-4"/>
        </w:rPr>
        <w:t xml:space="preserve"> </w:t>
      </w:r>
      <w:r w:rsidRPr="00EC20A0">
        <w:t>of</w:t>
      </w:r>
      <w:r w:rsidRPr="00EC20A0">
        <w:rPr>
          <w:spacing w:val="-4"/>
        </w:rPr>
        <w:t xml:space="preserve"> </w:t>
      </w:r>
      <w:r w:rsidRPr="00EC20A0">
        <w:t>source</w:t>
      </w:r>
      <w:r w:rsidRPr="00EC20A0">
        <w:rPr>
          <w:spacing w:val="-4"/>
        </w:rPr>
        <w:t xml:space="preserve"> </w:t>
      </w:r>
      <w:r w:rsidRPr="00EC20A0">
        <w:t>data</w:t>
      </w:r>
      <w:r w:rsidRPr="00EC20A0">
        <w:rPr>
          <w:spacing w:val="-4"/>
        </w:rPr>
        <w:t xml:space="preserve"> </w:t>
      </w:r>
      <w:r w:rsidRPr="00EC20A0">
        <w:t>that</w:t>
      </w:r>
      <w:r w:rsidRPr="00EC20A0">
        <w:rPr>
          <w:spacing w:val="-4"/>
        </w:rPr>
        <w:t xml:space="preserve"> </w:t>
      </w:r>
      <w:r w:rsidRPr="00EC20A0">
        <w:t>are significant to the work of the auditor’s specialist (extent of testing is based on risk and materiality) (see FAM 620.34 through .35).</w:t>
      </w:r>
    </w:p>
    <w:p w14:paraId="24D5FF7B" w14:textId="77777777" w:rsidR="00245300" w:rsidRPr="00EC20A0" w:rsidRDefault="00245300">
      <w:pPr>
        <w:sectPr w:rsidR="00245300" w:rsidRPr="00EC20A0">
          <w:pgSz w:w="12240" w:h="15840"/>
          <w:pgMar w:top="1340" w:right="940" w:bottom="940" w:left="1020" w:header="721" w:footer="757" w:gutter="0"/>
          <w:cols w:space="720"/>
        </w:sectPr>
      </w:pPr>
    </w:p>
    <w:p w14:paraId="24D5FF7C" w14:textId="77777777" w:rsidR="00245300" w:rsidRPr="00EC20A0" w:rsidRDefault="00F17249">
      <w:pPr>
        <w:pStyle w:val="ListParagraph"/>
        <w:numPr>
          <w:ilvl w:val="0"/>
          <w:numId w:val="217"/>
        </w:numPr>
        <w:tabs>
          <w:tab w:val="left" w:pos="1859"/>
        </w:tabs>
        <w:spacing w:before="121"/>
        <w:ind w:right="763" w:hanging="720"/>
      </w:pPr>
      <w:r w:rsidRPr="00EC20A0">
        <w:t>Specific procedures to evaluate the adequacy of the work of the auditor’s specialist</w:t>
      </w:r>
      <w:r w:rsidRPr="00EC20A0">
        <w:rPr>
          <w:spacing w:val="-4"/>
        </w:rPr>
        <w:t xml:space="preserve"> </w:t>
      </w:r>
      <w:r w:rsidRPr="00EC20A0">
        <w:t>for</w:t>
      </w:r>
      <w:r w:rsidRPr="00EC20A0">
        <w:rPr>
          <w:spacing w:val="-5"/>
        </w:rPr>
        <w:t xml:space="preserve"> </w:t>
      </w:r>
      <w:r w:rsidRPr="00EC20A0">
        <w:t>the</w:t>
      </w:r>
      <w:r w:rsidRPr="00EC20A0">
        <w:rPr>
          <w:spacing w:val="-4"/>
        </w:rPr>
        <w:t xml:space="preserve"> </w:t>
      </w:r>
      <w:r w:rsidRPr="00EC20A0">
        <w:t>auditor’s</w:t>
      </w:r>
      <w:r w:rsidRPr="00EC20A0">
        <w:rPr>
          <w:spacing w:val="-4"/>
        </w:rPr>
        <w:t xml:space="preserve"> </w:t>
      </w:r>
      <w:r w:rsidRPr="00EC20A0">
        <w:t>purposes</w:t>
      </w:r>
      <w:r w:rsidRPr="00EC20A0">
        <w:rPr>
          <w:spacing w:val="-5"/>
        </w:rPr>
        <w:t xml:space="preserve"> </w:t>
      </w:r>
      <w:r w:rsidRPr="00EC20A0">
        <w:t>may</w:t>
      </w:r>
      <w:r w:rsidRPr="00EC20A0">
        <w:rPr>
          <w:spacing w:val="-4"/>
        </w:rPr>
        <w:t xml:space="preserve"> </w:t>
      </w:r>
      <w:r w:rsidRPr="00EC20A0">
        <w:t>include</w:t>
      </w:r>
      <w:r w:rsidRPr="00EC20A0">
        <w:rPr>
          <w:spacing w:val="-5"/>
        </w:rPr>
        <w:t xml:space="preserve"> </w:t>
      </w:r>
      <w:r w:rsidRPr="00EC20A0">
        <w:t>the</w:t>
      </w:r>
      <w:r w:rsidRPr="00EC20A0">
        <w:rPr>
          <w:spacing w:val="-4"/>
        </w:rPr>
        <w:t xml:space="preserve"> </w:t>
      </w:r>
      <w:r w:rsidRPr="00EC20A0">
        <w:t>following</w:t>
      </w:r>
      <w:r w:rsidRPr="00EC20A0">
        <w:rPr>
          <w:spacing w:val="-4"/>
        </w:rPr>
        <w:t xml:space="preserve"> </w:t>
      </w:r>
      <w:r w:rsidRPr="00EC20A0">
        <w:t>(AU-C</w:t>
      </w:r>
      <w:r w:rsidRPr="00EC20A0">
        <w:rPr>
          <w:spacing w:val="-4"/>
        </w:rPr>
        <w:t xml:space="preserve"> </w:t>
      </w:r>
      <w:r w:rsidRPr="00EC20A0">
        <w:t>620.A36):</w:t>
      </w:r>
    </w:p>
    <w:p w14:paraId="24D5FF7D" w14:textId="77777777" w:rsidR="00245300" w:rsidRPr="00EC20A0" w:rsidRDefault="00F17249">
      <w:pPr>
        <w:pStyle w:val="ListParagraph"/>
        <w:numPr>
          <w:ilvl w:val="1"/>
          <w:numId w:val="217"/>
        </w:numPr>
        <w:tabs>
          <w:tab w:val="left" w:pos="2219"/>
        </w:tabs>
        <w:ind w:left="2219"/>
      </w:pPr>
      <w:r w:rsidRPr="00EC20A0">
        <w:t>making</w:t>
      </w:r>
      <w:r w:rsidRPr="00EC20A0">
        <w:rPr>
          <w:spacing w:val="-7"/>
        </w:rPr>
        <w:t xml:space="preserve"> </w:t>
      </w:r>
      <w:r w:rsidRPr="00EC20A0">
        <w:t>inquiries</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auditor’s</w:t>
      </w:r>
      <w:r w:rsidRPr="00EC20A0">
        <w:rPr>
          <w:spacing w:val="-6"/>
        </w:rPr>
        <w:t xml:space="preserve"> </w:t>
      </w:r>
      <w:r w:rsidRPr="00EC20A0">
        <w:rPr>
          <w:spacing w:val="-2"/>
        </w:rPr>
        <w:t>specialist;</w:t>
      </w:r>
    </w:p>
    <w:p w14:paraId="24D5FF7E" w14:textId="77777777" w:rsidR="00245300" w:rsidRPr="00EC20A0" w:rsidRDefault="00F17249">
      <w:pPr>
        <w:pStyle w:val="ListParagraph"/>
        <w:numPr>
          <w:ilvl w:val="1"/>
          <w:numId w:val="217"/>
        </w:numPr>
        <w:tabs>
          <w:tab w:val="left" w:pos="2220"/>
        </w:tabs>
        <w:spacing w:before="238"/>
      </w:pPr>
      <w:r w:rsidRPr="00EC20A0">
        <w:t>reviewing</w:t>
      </w:r>
      <w:r w:rsidRPr="00EC20A0">
        <w:rPr>
          <w:spacing w:val="-7"/>
        </w:rPr>
        <w:t xml:space="preserve"> </w:t>
      </w:r>
      <w:r w:rsidRPr="00EC20A0">
        <w:t>the</w:t>
      </w:r>
      <w:r w:rsidRPr="00EC20A0">
        <w:rPr>
          <w:spacing w:val="-7"/>
        </w:rPr>
        <w:t xml:space="preserve"> </w:t>
      </w:r>
      <w:r w:rsidRPr="00EC20A0">
        <w:t>working</w:t>
      </w:r>
      <w:r w:rsidRPr="00EC20A0">
        <w:rPr>
          <w:spacing w:val="-6"/>
        </w:rPr>
        <w:t xml:space="preserve"> </w:t>
      </w:r>
      <w:r w:rsidRPr="00EC20A0">
        <w:t>papers</w:t>
      </w:r>
      <w:r w:rsidRPr="00EC20A0">
        <w:rPr>
          <w:spacing w:val="-7"/>
        </w:rPr>
        <w:t xml:space="preserve"> </w:t>
      </w:r>
      <w:r w:rsidRPr="00EC20A0">
        <w:t>and</w:t>
      </w:r>
      <w:r w:rsidRPr="00EC20A0">
        <w:rPr>
          <w:spacing w:val="-6"/>
        </w:rPr>
        <w:t xml:space="preserve"> </w:t>
      </w:r>
      <w:r w:rsidRPr="00EC20A0">
        <w:t>reports</w:t>
      </w:r>
      <w:r w:rsidRPr="00EC20A0">
        <w:rPr>
          <w:spacing w:val="-7"/>
        </w:rPr>
        <w:t xml:space="preserve"> </w:t>
      </w:r>
      <w:r w:rsidRPr="00EC20A0">
        <w:t>of</w:t>
      </w:r>
      <w:r w:rsidRPr="00EC20A0">
        <w:rPr>
          <w:spacing w:val="-6"/>
        </w:rPr>
        <w:t xml:space="preserve"> </w:t>
      </w:r>
      <w:r w:rsidRPr="00EC20A0">
        <w:t>the</w:t>
      </w:r>
      <w:r w:rsidRPr="00EC20A0">
        <w:rPr>
          <w:spacing w:val="-7"/>
        </w:rPr>
        <w:t xml:space="preserve"> </w:t>
      </w:r>
      <w:r w:rsidRPr="00EC20A0">
        <w:t>auditor’s</w:t>
      </w:r>
      <w:r w:rsidRPr="00EC20A0">
        <w:rPr>
          <w:spacing w:val="-8"/>
        </w:rPr>
        <w:t xml:space="preserve"> </w:t>
      </w:r>
      <w:r w:rsidRPr="00EC20A0">
        <w:rPr>
          <w:spacing w:val="-2"/>
        </w:rPr>
        <w:t>specialist;</w:t>
      </w:r>
    </w:p>
    <w:p w14:paraId="24D5FF7F" w14:textId="77777777" w:rsidR="00245300" w:rsidRPr="00EC20A0" w:rsidRDefault="00F17249">
      <w:pPr>
        <w:pStyle w:val="ListParagraph"/>
        <w:numPr>
          <w:ilvl w:val="1"/>
          <w:numId w:val="217"/>
        </w:numPr>
        <w:tabs>
          <w:tab w:val="left" w:pos="2220"/>
        </w:tabs>
        <w:spacing w:before="238"/>
      </w:pPr>
      <w:r w:rsidRPr="00EC20A0">
        <w:t>performing</w:t>
      </w:r>
      <w:r w:rsidRPr="00EC20A0">
        <w:rPr>
          <w:spacing w:val="-11"/>
        </w:rPr>
        <w:t xml:space="preserve"> </w:t>
      </w:r>
      <w:r w:rsidRPr="00EC20A0">
        <w:t>corroborative</w:t>
      </w:r>
      <w:r w:rsidRPr="00EC20A0">
        <w:rPr>
          <w:spacing w:val="-11"/>
        </w:rPr>
        <w:t xml:space="preserve"> </w:t>
      </w:r>
      <w:r w:rsidRPr="00EC20A0">
        <w:t>procedures,</w:t>
      </w:r>
      <w:r w:rsidRPr="00EC20A0">
        <w:rPr>
          <w:spacing w:val="-11"/>
        </w:rPr>
        <w:t xml:space="preserve"> </w:t>
      </w:r>
      <w:r w:rsidRPr="00EC20A0">
        <w:t>such</w:t>
      </w:r>
      <w:r w:rsidRPr="00EC20A0">
        <w:rPr>
          <w:spacing w:val="-10"/>
        </w:rPr>
        <w:t xml:space="preserve"> </w:t>
      </w:r>
      <w:r w:rsidRPr="00EC20A0">
        <w:rPr>
          <w:spacing w:val="-5"/>
        </w:rPr>
        <w:t>as</w:t>
      </w:r>
    </w:p>
    <w:p w14:paraId="24D5FF80" w14:textId="77777777" w:rsidR="00245300" w:rsidRPr="00EC20A0" w:rsidRDefault="00F17249">
      <w:pPr>
        <w:pStyle w:val="ListParagraph"/>
        <w:numPr>
          <w:ilvl w:val="2"/>
          <w:numId w:val="217"/>
        </w:numPr>
        <w:tabs>
          <w:tab w:val="left" w:pos="2579"/>
        </w:tabs>
        <w:spacing w:before="238"/>
        <w:ind w:hanging="359"/>
      </w:pPr>
      <w:r w:rsidRPr="00EC20A0">
        <w:t>observing</w:t>
      </w:r>
      <w:r w:rsidRPr="00EC20A0">
        <w:rPr>
          <w:spacing w:val="-6"/>
        </w:rPr>
        <w:t xml:space="preserve"> </w:t>
      </w:r>
      <w:r w:rsidRPr="00EC20A0">
        <w:t>the</w:t>
      </w:r>
      <w:r w:rsidRPr="00EC20A0">
        <w:rPr>
          <w:spacing w:val="-5"/>
        </w:rPr>
        <w:t xml:space="preserve"> </w:t>
      </w:r>
      <w:r w:rsidRPr="00EC20A0">
        <w:t>work</w:t>
      </w:r>
      <w:r w:rsidRPr="00EC20A0">
        <w:rPr>
          <w:spacing w:val="-6"/>
        </w:rPr>
        <w:t xml:space="preserve"> </w:t>
      </w:r>
      <w:r w:rsidRPr="00EC20A0">
        <w:t>of</w:t>
      </w:r>
      <w:r w:rsidRPr="00EC20A0">
        <w:rPr>
          <w:spacing w:val="-5"/>
        </w:rPr>
        <w:t xml:space="preserve"> </w:t>
      </w:r>
      <w:r w:rsidRPr="00EC20A0">
        <w:t>the</w:t>
      </w:r>
      <w:r w:rsidRPr="00EC20A0">
        <w:rPr>
          <w:spacing w:val="-6"/>
        </w:rPr>
        <w:t xml:space="preserve"> </w:t>
      </w:r>
      <w:r w:rsidRPr="00EC20A0">
        <w:t>auditor’s</w:t>
      </w:r>
      <w:r w:rsidRPr="00EC20A0">
        <w:rPr>
          <w:spacing w:val="-6"/>
        </w:rPr>
        <w:t xml:space="preserve"> </w:t>
      </w:r>
      <w:r w:rsidRPr="00EC20A0">
        <w:rPr>
          <w:spacing w:val="-2"/>
        </w:rPr>
        <w:t>specialist,</w:t>
      </w:r>
    </w:p>
    <w:p w14:paraId="24D5FF81" w14:textId="77777777" w:rsidR="00245300" w:rsidRPr="00EC20A0" w:rsidRDefault="00F17249">
      <w:pPr>
        <w:pStyle w:val="ListParagraph"/>
        <w:numPr>
          <w:ilvl w:val="2"/>
          <w:numId w:val="217"/>
        </w:numPr>
        <w:tabs>
          <w:tab w:val="left" w:pos="2579"/>
        </w:tabs>
        <w:spacing w:before="234" w:line="223" w:lineRule="auto"/>
        <w:ind w:right="1069"/>
      </w:pPr>
      <w:r w:rsidRPr="00EC20A0">
        <w:t>examining</w:t>
      </w:r>
      <w:r w:rsidRPr="00EC20A0">
        <w:rPr>
          <w:spacing w:val="-5"/>
        </w:rPr>
        <w:t xml:space="preserve"> </w:t>
      </w:r>
      <w:r w:rsidRPr="00EC20A0">
        <w:t>published</w:t>
      </w:r>
      <w:r w:rsidRPr="00EC20A0">
        <w:rPr>
          <w:spacing w:val="-5"/>
        </w:rPr>
        <w:t xml:space="preserve"> </w:t>
      </w:r>
      <w:r w:rsidRPr="00EC20A0">
        <w:t>data,</w:t>
      </w:r>
      <w:r w:rsidRPr="00EC20A0">
        <w:rPr>
          <w:spacing w:val="-5"/>
        </w:rPr>
        <w:t xml:space="preserve"> </w:t>
      </w:r>
      <w:r w:rsidRPr="00EC20A0">
        <w:t>such</w:t>
      </w:r>
      <w:r w:rsidRPr="00EC20A0">
        <w:rPr>
          <w:spacing w:val="-4"/>
        </w:rPr>
        <w:t xml:space="preserve"> </w:t>
      </w:r>
      <w:r w:rsidRPr="00EC20A0">
        <w:t>as</w:t>
      </w:r>
      <w:r w:rsidRPr="00EC20A0">
        <w:rPr>
          <w:spacing w:val="-6"/>
        </w:rPr>
        <w:t xml:space="preserve"> </w:t>
      </w:r>
      <w:r w:rsidRPr="00EC20A0">
        <w:t>statistical</w:t>
      </w:r>
      <w:r w:rsidRPr="00EC20A0">
        <w:rPr>
          <w:spacing w:val="-5"/>
        </w:rPr>
        <w:t xml:space="preserve"> </w:t>
      </w:r>
      <w:r w:rsidRPr="00EC20A0">
        <w:t>reports</w:t>
      </w:r>
      <w:r w:rsidRPr="00EC20A0">
        <w:rPr>
          <w:spacing w:val="-5"/>
        </w:rPr>
        <w:t xml:space="preserve"> </w:t>
      </w:r>
      <w:r w:rsidRPr="00EC20A0">
        <w:t>from</w:t>
      </w:r>
      <w:r w:rsidRPr="00EC20A0">
        <w:rPr>
          <w:spacing w:val="-6"/>
        </w:rPr>
        <w:t xml:space="preserve"> </w:t>
      </w:r>
      <w:r w:rsidRPr="00EC20A0">
        <w:t>reputable, authoritative sources,</w:t>
      </w:r>
    </w:p>
    <w:p w14:paraId="24D5FF82" w14:textId="77777777" w:rsidR="00245300" w:rsidRPr="00EC20A0" w:rsidRDefault="00F17249">
      <w:pPr>
        <w:pStyle w:val="ListParagraph"/>
        <w:numPr>
          <w:ilvl w:val="2"/>
          <w:numId w:val="217"/>
        </w:numPr>
        <w:tabs>
          <w:tab w:val="left" w:pos="2578"/>
        </w:tabs>
        <w:spacing w:before="244"/>
        <w:ind w:left="2578" w:hanging="359"/>
      </w:pPr>
      <w:r w:rsidRPr="00EC20A0">
        <w:t>confirming</w:t>
      </w:r>
      <w:r w:rsidRPr="00EC20A0">
        <w:rPr>
          <w:spacing w:val="-8"/>
        </w:rPr>
        <w:t xml:space="preserve"> </w:t>
      </w:r>
      <w:r w:rsidRPr="00EC20A0">
        <w:t>relevant</w:t>
      </w:r>
      <w:r w:rsidRPr="00EC20A0">
        <w:rPr>
          <w:spacing w:val="-8"/>
        </w:rPr>
        <w:t xml:space="preserve"> </w:t>
      </w:r>
      <w:r w:rsidRPr="00EC20A0">
        <w:t>matters</w:t>
      </w:r>
      <w:r w:rsidRPr="00EC20A0">
        <w:rPr>
          <w:spacing w:val="-8"/>
        </w:rPr>
        <w:t xml:space="preserve"> </w:t>
      </w:r>
      <w:r w:rsidRPr="00EC20A0">
        <w:t>with</w:t>
      </w:r>
      <w:r w:rsidRPr="00EC20A0">
        <w:rPr>
          <w:spacing w:val="-7"/>
        </w:rPr>
        <w:t xml:space="preserve"> </w:t>
      </w:r>
      <w:r w:rsidRPr="00EC20A0">
        <w:t>third</w:t>
      </w:r>
      <w:r w:rsidRPr="00EC20A0">
        <w:rPr>
          <w:spacing w:val="-8"/>
        </w:rPr>
        <w:t xml:space="preserve"> </w:t>
      </w:r>
      <w:r w:rsidRPr="00EC20A0">
        <w:rPr>
          <w:spacing w:val="-2"/>
        </w:rPr>
        <w:t>parties,</w:t>
      </w:r>
    </w:p>
    <w:p w14:paraId="24D5FF83" w14:textId="77777777" w:rsidR="00245300" w:rsidRPr="00EC20A0" w:rsidRDefault="00F17249">
      <w:pPr>
        <w:pStyle w:val="ListParagraph"/>
        <w:numPr>
          <w:ilvl w:val="2"/>
          <w:numId w:val="217"/>
        </w:numPr>
        <w:tabs>
          <w:tab w:val="left" w:pos="2578"/>
        </w:tabs>
        <w:spacing w:before="219"/>
        <w:ind w:left="2578" w:hanging="359"/>
      </w:pPr>
      <w:r w:rsidRPr="00EC20A0">
        <w:t>performing</w:t>
      </w:r>
      <w:r w:rsidRPr="00EC20A0">
        <w:rPr>
          <w:spacing w:val="-11"/>
        </w:rPr>
        <w:t xml:space="preserve"> </w:t>
      </w:r>
      <w:r w:rsidRPr="00EC20A0">
        <w:t>detailed</w:t>
      </w:r>
      <w:r w:rsidRPr="00EC20A0">
        <w:rPr>
          <w:spacing w:val="-11"/>
        </w:rPr>
        <w:t xml:space="preserve"> </w:t>
      </w:r>
      <w:r w:rsidRPr="00EC20A0">
        <w:t>analytical</w:t>
      </w:r>
      <w:r w:rsidRPr="00EC20A0">
        <w:rPr>
          <w:spacing w:val="-11"/>
        </w:rPr>
        <w:t xml:space="preserve"> </w:t>
      </w:r>
      <w:r w:rsidRPr="00EC20A0">
        <w:t>procedures,</w:t>
      </w:r>
      <w:r w:rsidRPr="00EC20A0">
        <w:rPr>
          <w:spacing w:val="-12"/>
        </w:rPr>
        <w:t xml:space="preserve"> </w:t>
      </w:r>
      <w:r w:rsidRPr="00EC20A0">
        <w:rPr>
          <w:spacing w:val="-5"/>
        </w:rPr>
        <w:t>and</w:t>
      </w:r>
    </w:p>
    <w:p w14:paraId="24D5FF84" w14:textId="77777777" w:rsidR="00245300" w:rsidRPr="00EC20A0" w:rsidRDefault="00F17249">
      <w:pPr>
        <w:pStyle w:val="ListParagraph"/>
        <w:numPr>
          <w:ilvl w:val="2"/>
          <w:numId w:val="217"/>
        </w:numPr>
        <w:tabs>
          <w:tab w:val="left" w:pos="2578"/>
        </w:tabs>
        <w:spacing w:before="221"/>
        <w:ind w:left="2578" w:hanging="359"/>
      </w:pPr>
      <w:r w:rsidRPr="00EC20A0">
        <w:t>reperforming</w:t>
      </w:r>
      <w:r w:rsidRPr="00EC20A0">
        <w:rPr>
          <w:spacing w:val="-14"/>
        </w:rPr>
        <w:t xml:space="preserve"> </w:t>
      </w:r>
      <w:r w:rsidRPr="00EC20A0">
        <w:rPr>
          <w:spacing w:val="-2"/>
        </w:rPr>
        <w:t>calculations;</w:t>
      </w:r>
    </w:p>
    <w:p w14:paraId="24D5FF85" w14:textId="77777777" w:rsidR="00245300" w:rsidRPr="00EC20A0" w:rsidRDefault="00F17249">
      <w:pPr>
        <w:pStyle w:val="ListParagraph"/>
        <w:numPr>
          <w:ilvl w:val="1"/>
          <w:numId w:val="217"/>
        </w:numPr>
        <w:tabs>
          <w:tab w:val="left" w:pos="2218"/>
        </w:tabs>
        <w:spacing w:before="220"/>
        <w:ind w:left="2218" w:right="709"/>
      </w:pPr>
      <w:r w:rsidRPr="00EC20A0">
        <w:t>engaging</w:t>
      </w:r>
      <w:r w:rsidRPr="00EC20A0">
        <w:rPr>
          <w:spacing w:val="-4"/>
        </w:rPr>
        <w:t xml:space="preserve"> </w:t>
      </w:r>
      <w:r w:rsidRPr="00EC20A0">
        <w:t>in</w:t>
      </w:r>
      <w:r w:rsidRPr="00EC20A0">
        <w:rPr>
          <w:spacing w:val="-5"/>
        </w:rPr>
        <w:t xml:space="preserve"> </w:t>
      </w:r>
      <w:r w:rsidRPr="00EC20A0">
        <w:t>discussion</w:t>
      </w:r>
      <w:r w:rsidRPr="00EC20A0">
        <w:rPr>
          <w:spacing w:val="-5"/>
        </w:rPr>
        <w:t xml:space="preserve"> </w:t>
      </w:r>
      <w:r w:rsidRPr="00EC20A0">
        <w:t>with</w:t>
      </w:r>
      <w:r w:rsidRPr="00EC20A0">
        <w:rPr>
          <w:spacing w:val="-4"/>
        </w:rPr>
        <w:t xml:space="preserve"> </w:t>
      </w:r>
      <w:r w:rsidRPr="00EC20A0">
        <w:t>another</w:t>
      </w:r>
      <w:r w:rsidRPr="00EC20A0">
        <w:rPr>
          <w:spacing w:val="-4"/>
        </w:rPr>
        <w:t xml:space="preserve"> </w:t>
      </w:r>
      <w:r w:rsidRPr="00EC20A0">
        <w:t>specialist</w:t>
      </w:r>
      <w:r w:rsidRPr="00EC20A0">
        <w:rPr>
          <w:spacing w:val="-4"/>
        </w:rPr>
        <w:t xml:space="preserve"> </w:t>
      </w:r>
      <w:r w:rsidRPr="00EC20A0">
        <w:t>with</w:t>
      </w:r>
      <w:r w:rsidRPr="00EC20A0">
        <w:rPr>
          <w:spacing w:val="-4"/>
        </w:rPr>
        <w:t xml:space="preserve"> </w:t>
      </w:r>
      <w:r w:rsidRPr="00EC20A0">
        <w:t>relevant</w:t>
      </w:r>
      <w:r w:rsidRPr="00EC20A0">
        <w:rPr>
          <w:spacing w:val="-5"/>
        </w:rPr>
        <w:t xml:space="preserve"> </w:t>
      </w:r>
      <w:r w:rsidRPr="00EC20A0">
        <w:t>expertise</w:t>
      </w:r>
      <w:r w:rsidRPr="00EC20A0">
        <w:rPr>
          <w:spacing w:val="-4"/>
        </w:rPr>
        <w:t xml:space="preserve"> </w:t>
      </w:r>
      <w:r w:rsidRPr="00EC20A0">
        <w:t>when, for example, the findings or conclusions of the auditor’s specialist are not consistent with other audit evidence; and</w:t>
      </w:r>
    </w:p>
    <w:p w14:paraId="24D5FF86" w14:textId="77777777" w:rsidR="00245300" w:rsidRPr="00EC20A0" w:rsidRDefault="00F17249">
      <w:pPr>
        <w:pStyle w:val="ListParagraph"/>
        <w:numPr>
          <w:ilvl w:val="1"/>
          <w:numId w:val="217"/>
        </w:numPr>
        <w:tabs>
          <w:tab w:val="left" w:pos="2218"/>
        </w:tabs>
        <w:spacing w:before="239"/>
        <w:ind w:left="2218"/>
      </w:pPr>
      <w:r w:rsidRPr="00EC20A0">
        <w:t>discussing</w:t>
      </w:r>
      <w:r w:rsidRPr="00EC20A0">
        <w:rPr>
          <w:spacing w:val="-7"/>
        </w:rPr>
        <w:t xml:space="preserve"> </w:t>
      </w:r>
      <w:r w:rsidRPr="00EC20A0">
        <w:t>the</w:t>
      </w:r>
      <w:r w:rsidRPr="00EC20A0">
        <w:rPr>
          <w:spacing w:val="-6"/>
        </w:rPr>
        <w:t xml:space="preserve"> </w:t>
      </w:r>
      <w:r w:rsidRPr="00EC20A0">
        <w:t>report</w:t>
      </w:r>
      <w:r w:rsidRPr="00EC20A0">
        <w:rPr>
          <w:spacing w:val="-7"/>
        </w:rPr>
        <w:t xml:space="preserve"> </w:t>
      </w:r>
      <w:r w:rsidRPr="00EC20A0">
        <w:t>of</w:t>
      </w:r>
      <w:r w:rsidRPr="00EC20A0">
        <w:rPr>
          <w:spacing w:val="-6"/>
        </w:rPr>
        <w:t xml:space="preserve"> </w:t>
      </w:r>
      <w:r w:rsidRPr="00EC20A0">
        <w:t>the</w:t>
      </w:r>
      <w:r w:rsidRPr="00EC20A0">
        <w:rPr>
          <w:spacing w:val="-7"/>
        </w:rPr>
        <w:t xml:space="preserve"> </w:t>
      </w:r>
      <w:r w:rsidRPr="00EC20A0">
        <w:t>auditor’s</w:t>
      </w:r>
      <w:r w:rsidRPr="00EC20A0">
        <w:rPr>
          <w:spacing w:val="-7"/>
        </w:rPr>
        <w:t xml:space="preserve"> </w:t>
      </w:r>
      <w:r w:rsidRPr="00EC20A0">
        <w:t>specialist</w:t>
      </w:r>
      <w:r w:rsidRPr="00EC20A0">
        <w:rPr>
          <w:spacing w:val="-6"/>
        </w:rPr>
        <w:t xml:space="preserve"> </w:t>
      </w:r>
      <w:r w:rsidRPr="00EC20A0">
        <w:t>with</w:t>
      </w:r>
      <w:r w:rsidRPr="00EC20A0">
        <w:rPr>
          <w:spacing w:val="-7"/>
        </w:rPr>
        <w:t xml:space="preserve"> </w:t>
      </w:r>
      <w:r w:rsidRPr="00EC20A0">
        <w:rPr>
          <w:spacing w:val="-2"/>
        </w:rPr>
        <w:t>management.</w:t>
      </w:r>
    </w:p>
    <w:p w14:paraId="24D5FF87" w14:textId="77777777" w:rsidR="00245300" w:rsidRPr="00EC20A0" w:rsidRDefault="00F17249">
      <w:pPr>
        <w:pStyle w:val="ListParagraph"/>
        <w:numPr>
          <w:ilvl w:val="0"/>
          <w:numId w:val="217"/>
        </w:numPr>
        <w:tabs>
          <w:tab w:val="left" w:pos="1858"/>
        </w:tabs>
        <w:spacing w:before="238"/>
        <w:ind w:left="1858" w:right="543"/>
      </w:pPr>
      <w:r w:rsidRPr="00EC20A0">
        <w:t xml:space="preserve">If the auditor </w:t>
      </w:r>
      <w:r w:rsidRPr="00EC20A0">
        <w:t>determines that the work of the auditor’s specialist is not adequate for the auditor’s purposes, the auditor should (1) agree with the auditor’s specialist</w:t>
      </w:r>
      <w:r w:rsidRPr="00EC20A0">
        <w:rPr>
          <w:spacing w:val="-2"/>
        </w:rPr>
        <w:t xml:space="preserve"> </w:t>
      </w:r>
      <w:r w:rsidRPr="00EC20A0">
        <w:t>on</w:t>
      </w:r>
      <w:r w:rsidRPr="00EC20A0">
        <w:rPr>
          <w:spacing w:val="-3"/>
        </w:rPr>
        <w:t xml:space="preserve"> </w:t>
      </w:r>
      <w:r w:rsidRPr="00EC20A0">
        <w:t>the</w:t>
      </w:r>
      <w:r w:rsidRPr="00EC20A0">
        <w:rPr>
          <w:spacing w:val="-2"/>
        </w:rPr>
        <w:t xml:space="preserve"> </w:t>
      </w:r>
      <w:r w:rsidRPr="00EC20A0">
        <w:t>nature</w:t>
      </w:r>
      <w:r w:rsidRPr="00EC20A0">
        <w:rPr>
          <w:spacing w:val="-3"/>
        </w:rPr>
        <w:t xml:space="preserve"> </w:t>
      </w:r>
      <w:r w:rsidRPr="00EC20A0">
        <w:t>and</w:t>
      </w:r>
      <w:r w:rsidRPr="00EC20A0">
        <w:rPr>
          <w:spacing w:val="-2"/>
        </w:rPr>
        <w:t xml:space="preserve"> </w:t>
      </w:r>
      <w:r w:rsidRPr="00EC20A0">
        <w:t>extent</w:t>
      </w:r>
      <w:r w:rsidRPr="00EC20A0">
        <w:rPr>
          <w:spacing w:val="-2"/>
        </w:rPr>
        <w:t xml:space="preserve"> </w:t>
      </w:r>
      <w:r w:rsidRPr="00EC20A0">
        <w:t>of</w:t>
      </w:r>
      <w:r w:rsidRPr="00EC20A0">
        <w:rPr>
          <w:spacing w:val="-2"/>
        </w:rPr>
        <w:t xml:space="preserve"> </w:t>
      </w:r>
      <w:r w:rsidRPr="00EC20A0">
        <w:t>further</w:t>
      </w:r>
      <w:r w:rsidRPr="00EC20A0">
        <w:rPr>
          <w:spacing w:val="-2"/>
        </w:rPr>
        <w:t xml:space="preserve"> </w:t>
      </w:r>
      <w:r w:rsidRPr="00EC20A0">
        <w:t>work</w:t>
      </w:r>
      <w:r w:rsidRPr="00EC20A0">
        <w:rPr>
          <w:spacing w:val="-2"/>
        </w:rPr>
        <w:t xml:space="preserve"> </w:t>
      </w:r>
      <w:r w:rsidRPr="00EC20A0">
        <w:t>that</w:t>
      </w:r>
      <w:r w:rsidRPr="00EC20A0">
        <w:rPr>
          <w:spacing w:val="-2"/>
        </w:rPr>
        <w:t xml:space="preserve"> </w:t>
      </w:r>
      <w:r w:rsidRPr="00EC20A0">
        <w:t>the</w:t>
      </w:r>
      <w:r w:rsidRPr="00EC20A0">
        <w:rPr>
          <w:spacing w:val="-2"/>
        </w:rPr>
        <w:t xml:space="preserve"> </w:t>
      </w:r>
      <w:r w:rsidRPr="00EC20A0">
        <w:t>specialist</w:t>
      </w:r>
      <w:r w:rsidRPr="00EC20A0">
        <w:rPr>
          <w:spacing w:val="-2"/>
        </w:rPr>
        <w:t xml:space="preserve"> </w:t>
      </w:r>
      <w:r w:rsidRPr="00EC20A0">
        <w:t>is</w:t>
      </w:r>
      <w:r w:rsidRPr="00EC20A0">
        <w:rPr>
          <w:spacing w:val="-2"/>
        </w:rPr>
        <w:t xml:space="preserve"> </w:t>
      </w:r>
      <w:r w:rsidRPr="00EC20A0">
        <w:t>to</w:t>
      </w:r>
      <w:r w:rsidRPr="00EC20A0">
        <w:rPr>
          <w:spacing w:val="-5"/>
        </w:rPr>
        <w:t xml:space="preserve"> </w:t>
      </w:r>
      <w:r w:rsidRPr="00EC20A0">
        <w:t>perform or (2) perform additional audit procedures appropriate to the circumstances (AU- C 620.13). Additional audit procedures may involve additional work being performed</w:t>
      </w:r>
      <w:r w:rsidRPr="00EC20A0">
        <w:rPr>
          <w:spacing w:val="-4"/>
        </w:rPr>
        <w:t xml:space="preserve"> </w:t>
      </w:r>
      <w:r w:rsidRPr="00EC20A0">
        <w:t>by</w:t>
      </w:r>
      <w:r w:rsidRPr="00EC20A0">
        <w:rPr>
          <w:spacing w:val="-4"/>
        </w:rPr>
        <w:t xml:space="preserve"> </w:t>
      </w:r>
      <w:r w:rsidRPr="00EC20A0">
        <w:t>both</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specialist</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or</w:t>
      </w:r>
      <w:r w:rsidRPr="00EC20A0">
        <w:rPr>
          <w:spacing w:val="-4"/>
        </w:rPr>
        <w:t xml:space="preserve"> </w:t>
      </w:r>
      <w:r w:rsidRPr="00EC20A0">
        <w:t>include</w:t>
      </w:r>
      <w:r w:rsidRPr="00EC20A0">
        <w:rPr>
          <w:spacing w:val="-4"/>
        </w:rPr>
        <w:t xml:space="preserve"> </w:t>
      </w:r>
      <w:r w:rsidRPr="00EC20A0">
        <w:t>employing</w:t>
      </w:r>
      <w:r w:rsidRPr="00EC20A0">
        <w:rPr>
          <w:spacing w:val="-4"/>
        </w:rPr>
        <w:t xml:space="preserve"> </w:t>
      </w:r>
      <w:r w:rsidRPr="00EC20A0">
        <w:t>or engaging</w:t>
      </w:r>
      <w:r w:rsidRPr="00EC20A0">
        <w:rPr>
          <w:spacing w:val="-3"/>
        </w:rPr>
        <w:t xml:space="preserve"> </w:t>
      </w:r>
      <w:r w:rsidRPr="00EC20A0">
        <w:t>another</w:t>
      </w:r>
      <w:r w:rsidRPr="00EC20A0">
        <w:rPr>
          <w:spacing w:val="-3"/>
        </w:rPr>
        <w:t xml:space="preserve"> </w:t>
      </w:r>
      <w:r w:rsidRPr="00EC20A0">
        <w:t>specialist</w:t>
      </w:r>
      <w:r w:rsidRPr="00EC20A0">
        <w:rPr>
          <w:spacing w:val="-3"/>
        </w:rPr>
        <w:t xml:space="preserve"> </w:t>
      </w:r>
      <w:r w:rsidRPr="00EC20A0">
        <w:t>(AU-C</w:t>
      </w:r>
      <w:r w:rsidRPr="00EC20A0">
        <w:rPr>
          <w:spacing w:val="-4"/>
        </w:rPr>
        <w:t xml:space="preserve"> </w:t>
      </w:r>
      <w:r w:rsidRPr="00EC20A0">
        <w:t>620.A44).</w:t>
      </w:r>
      <w:r w:rsidRPr="00EC20A0">
        <w:rPr>
          <w:spacing w:val="-3"/>
        </w:rPr>
        <w:t xml:space="preserve"> </w:t>
      </w:r>
      <w:r w:rsidRPr="00EC20A0">
        <w:t>See</w:t>
      </w:r>
      <w:r w:rsidRPr="00EC20A0">
        <w:rPr>
          <w:spacing w:val="-3"/>
        </w:rPr>
        <w:t xml:space="preserve"> </w:t>
      </w:r>
      <w:r w:rsidRPr="00EC20A0">
        <w:t>AU-C</w:t>
      </w:r>
      <w:r w:rsidRPr="00EC20A0">
        <w:rPr>
          <w:spacing w:val="-4"/>
        </w:rPr>
        <w:t xml:space="preserve"> </w:t>
      </w:r>
      <w:r w:rsidRPr="00EC20A0">
        <w:t>620.A43</w:t>
      </w:r>
      <w:r w:rsidRPr="00EC20A0">
        <w:rPr>
          <w:spacing w:val="-3"/>
        </w:rPr>
        <w:t xml:space="preserve"> </w:t>
      </w:r>
      <w:r w:rsidRPr="00EC20A0">
        <w:t>for</w:t>
      </w:r>
      <w:r w:rsidRPr="00EC20A0">
        <w:rPr>
          <w:spacing w:val="-3"/>
        </w:rPr>
        <w:t xml:space="preserve"> </w:t>
      </w:r>
      <w:r w:rsidRPr="00EC20A0">
        <w:t>examples</w:t>
      </w:r>
      <w:r w:rsidRPr="00EC20A0">
        <w:rPr>
          <w:spacing w:val="-3"/>
        </w:rPr>
        <w:t xml:space="preserve"> </w:t>
      </w:r>
      <w:r w:rsidRPr="00EC20A0">
        <w:t>of situations in which the auditor may conclude that the work of the auditor’s specialist is not adequate for the auditor’s purposes.</w:t>
      </w:r>
    </w:p>
    <w:p w14:paraId="24D5FF88" w14:textId="77777777" w:rsidR="00245300" w:rsidRPr="00EC20A0" w:rsidRDefault="00F17249">
      <w:pPr>
        <w:pStyle w:val="Heading5"/>
        <w:ind w:left="1140"/>
        <w:rPr>
          <w:u w:val="none"/>
        </w:rPr>
      </w:pPr>
      <w:bookmarkStart w:id="36" w:name="Evaluating_Findings_and_Conclusions"/>
      <w:bookmarkEnd w:id="36"/>
      <w:r w:rsidRPr="00EC20A0">
        <w:t>Evaluating</w:t>
      </w:r>
      <w:r w:rsidRPr="00EC20A0">
        <w:rPr>
          <w:spacing w:val="-5"/>
        </w:rPr>
        <w:t xml:space="preserve"> </w:t>
      </w:r>
      <w:r w:rsidRPr="00EC20A0">
        <w:t>Findings</w:t>
      </w:r>
      <w:r w:rsidRPr="00EC20A0">
        <w:rPr>
          <w:spacing w:val="-5"/>
        </w:rPr>
        <w:t xml:space="preserve"> </w:t>
      </w:r>
      <w:r w:rsidRPr="00EC20A0">
        <w:t>and</w:t>
      </w:r>
      <w:r w:rsidRPr="00EC20A0">
        <w:rPr>
          <w:spacing w:val="-4"/>
        </w:rPr>
        <w:t xml:space="preserve"> </w:t>
      </w:r>
      <w:r w:rsidRPr="00EC20A0">
        <w:rPr>
          <w:spacing w:val="-2"/>
        </w:rPr>
        <w:t>Conclusions</w:t>
      </w:r>
    </w:p>
    <w:p w14:paraId="24D5FF89" w14:textId="77777777" w:rsidR="00245300" w:rsidRPr="00EC20A0" w:rsidRDefault="00F17249">
      <w:pPr>
        <w:pStyle w:val="ListParagraph"/>
        <w:numPr>
          <w:ilvl w:val="0"/>
          <w:numId w:val="217"/>
        </w:numPr>
        <w:tabs>
          <w:tab w:val="left" w:pos="1860"/>
        </w:tabs>
        <w:spacing w:before="239"/>
        <w:ind w:left="1860" w:right="945"/>
      </w:pPr>
      <w:r w:rsidRPr="00EC20A0">
        <w:t xml:space="preserve">Relevant factors when evaluating the relevance and </w:t>
      </w:r>
      <w:r w:rsidRPr="00EC20A0">
        <w:t>reasonableness of the findings</w:t>
      </w:r>
      <w:r w:rsidRPr="00EC20A0">
        <w:rPr>
          <w:spacing w:val="-3"/>
        </w:rPr>
        <w:t xml:space="preserve"> </w:t>
      </w:r>
      <w:r w:rsidRPr="00EC20A0">
        <w:t>or</w:t>
      </w:r>
      <w:r w:rsidRPr="00EC20A0">
        <w:rPr>
          <w:spacing w:val="-5"/>
        </w:rPr>
        <w:t xml:space="preserve"> </w:t>
      </w:r>
      <w:r w:rsidRPr="00EC20A0">
        <w:t>conclusions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specialist,</w:t>
      </w:r>
      <w:r w:rsidRPr="00EC20A0">
        <w:rPr>
          <w:spacing w:val="-6"/>
        </w:rPr>
        <w:t xml:space="preserve"> </w:t>
      </w:r>
      <w:r w:rsidRPr="00EC20A0">
        <w:t>whether</w:t>
      </w:r>
      <w:r w:rsidRPr="00EC20A0">
        <w:rPr>
          <w:spacing w:val="-3"/>
        </w:rPr>
        <w:t xml:space="preserve"> </w:t>
      </w:r>
      <w:r w:rsidRPr="00EC20A0">
        <w:t>in</w:t>
      </w:r>
      <w:r w:rsidRPr="00EC20A0">
        <w:rPr>
          <w:spacing w:val="-3"/>
        </w:rPr>
        <w:t xml:space="preserve"> </w:t>
      </w:r>
      <w:r w:rsidRPr="00EC20A0">
        <w:t>a</w:t>
      </w:r>
      <w:r w:rsidRPr="00EC20A0">
        <w:rPr>
          <w:spacing w:val="-3"/>
        </w:rPr>
        <w:t xml:space="preserve"> </w:t>
      </w:r>
      <w:r w:rsidRPr="00EC20A0">
        <w:t>report</w:t>
      </w:r>
      <w:r w:rsidRPr="00EC20A0">
        <w:rPr>
          <w:spacing w:val="-3"/>
        </w:rPr>
        <w:t xml:space="preserve"> </w:t>
      </w:r>
      <w:r w:rsidRPr="00EC20A0">
        <w:t>or</w:t>
      </w:r>
      <w:r w:rsidRPr="00EC20A0">
        <w:rPr>
          <w:spacing w:val="-3"/>
        </w:rPr>
        <w:t xml:space="preserve"> </w:t>
      </w:r>
      <w:r w:rsidRPr="00EC20A0">
        <w:t>other form, may include whether they are (AU-C 620.A37)</w:t>
      </w:r>
    </w:p>
    <w:p w14:paraId="24D5FF8A" w14:textId="77777777" w:rsidR="00245300" w:rsidRPr="00EC20A0" w:rsidRDefault="00F17249">
      <w:pPr>
        <w:pStyle w:val="ListParagraph"/>
        <w:numPr>
          <w:ilvl w:val="1"/>
          <w:numId w:val="217"/>
        </w:numPr>
        <w:tabs>
          <w:tab w:val="left" w:pos="2220"/>
        </w:tabs>
        <w:ind w:right="756"/>
      </w:pPr>
      <w:r w:rsidRPr="00EC20A0">
        <w:t>presented</w:t>
      </w:r>
      <w:r w:rsidRPr="00EC20A0">
        <w:rPr>
          <w:spacing w:val="-3"/>
        </w:rPr>
        <w:t xml:space="preserve"> </w:t>
      </w:r>
      <w:r w:rsidRPr="00EC20A0">
        <w:t>in</w:t>
      </w:r>
      <w:r w:rsidRPr="00EC20A0">
        <w:rPr>
          <w:spacing w:val="-4"/>
        </w:rPr>
        <w:t xml:space="preserve"> </w:t>
      </w:r>
      <w:r w:rsidRPr="00EC20A0">
        <w:t>a</w:t>
      </w:r>
      <w:r w:rsidRPr="00EC20A0">
        <w:rPr>
          <w:spacing w:val="-3"/>
        </w:rPr>
        <w:t xml:space="preserve"> </w:t>
      </w:r>
      <w:r w:rsidRPr="00EC20A0">
        <w:t>manner</w:t>
      </w:r>
      <w:r w:rsidRPr="00EC20A0">
        <w:rPr>
          <w:spacing w:val="-3"/>
        </w:rPr>
        <w:t xml:space="preserve"> </w:t>
      </w:r>
      <w:r w:rsidRPr="00EC20A0">
        <w:t>that</w:t>
      </w:r>
      <w:r w:rsidRPr="00EC20A0">
        <w:rPr>
          <w:spacing w:val="-3"/>
        </w:rPr>
        <w:t xml:space="preserve"> </w:t>
      </w:r>
      <w:r w:rsidRPr="00EC20A0">
        <w:t>is</w:t>
      </w:r>
      <w:r w:rsidRPr="00EC20A0">
        <w:rPr>
          <w:spacing w:val="-3"/>
        </w:rPr>
        <w:t xml:space="preserve"> </w:t>
      </w:r>
      <w:r w:rsidRPr="00EC20A0">
        <w:t>consistent</w:t>
      </w:r>
      <w:r w:rsidRPr="00EC20A0">
        <w:rPr>
          <w:spacing w:val="-3"/>
        </w:rPr>
        <w:t xml:space="preserve"> </w:t>
      </w:r>
      <w:r w:rsidRPr="00EC20A0">
        <w:t>with</w:t>
      </w:r>
      <w:r w:rsidRPr="00EC20A0">
        <w:rPr>
          <w:spacing w:val="-3"/>
        </w:rPr>
        <w:t xml:space="preserve"> </w:t>
      </w:r>
      <w:r w:rsidRPr="00EC20A0">
        <w:t>any</w:t>
      </w:r>
      <w:r w:rsidRPr="00EC20A0">
        <w:rPr>
          <w:spacing w:val="-3"/>
        </w:rPr>
        <w:t xml:space="preserve"> </w:t>
      </w:r>
      <w:r w:rsidRPr="00EC20A0">
        <w:t>standards</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auditor’s specialist’s profession or industry;</w:t>
      </w:r>
    </w:p>
    <w:p w14:paraId="24D5FF8B" w14:textId="77777777" w:rsidR="00245300" w:rsidRPr="00EC20A0" w:rsidRDefault="00F17249">
      <w:pPr>
        <w:pStyle w:val="ListParagraph"/>
        <w:numPr>
          <w:ilvl w:val="1"/>
          <w:numId w:val="217"/>
        </w:numPr>
        <w:tabs>
          <w:tab w:val="left" w:pos="2219"/>
        </w:tabs>
        <w:spacing w:before="238"/>
        <w:ind w:left="2219" w:right="844"/>
      </w:pPr>
      <w:r w:rsidRPr="00EC20A0">
        <w:t>clearly</w:t>
      </w:r>
      <w:r w:rsidRPr="00EC20A0">
        <w:rPr>
          <w:spacing w:val="-4"/>
        </w:rPr>
        <w:t xml:space="preserve"> </w:t>
      </w:r>
      <w:r w:rsidRPr="00EC20A0">
        <w:t>expressed,</w:t>
      </w:r>
      <w:r w:rsidRPr="00EC20A0">
        <w:rPr>
          <w:spacing w:val="-4"/>
        </w:rPr>
        <w:t xml:space="preserve"> </w:t>
      </w:r>
      <w:r w:rsidRPr="00EC20A0">
        <w:t>including</w:t>
      </w:r>
      <w:r w:rsidRPr="00EC20A0">
        <w:rPr>
          <w:spacing w:val="-4"/>
        </w:rPr>
        <w:t xml:space="preserve"> </w:t>
      </w:r>
      <w:r w:rsidRPr="00EC20A0">
        <w:t>reference</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objectives</w:t>
      </w:r>
      <w:r w:rsidRPr="00EC20A0">
        <w:rPr>
          <w:spacing w:val="-5"/>
        </w:rPr>
        <w:t xml:space="preserve"> </w:t>
      </w:r>
      <w:r w:rsidRPr="00EC20A0">
        <w:t>agreed</w:t>
      </w:r>
      <w:r w:rsidRPr="00EC20A0">
        <w:rPr>
          <w:spacing w:val="-4"/>
        </w:rPr>
        <w:t xml:space="preserve"> </w:t>
      </w:r>
      <w:r w:rsidRPr="00EC20A0">
        <w:t>on</w:t>
      </w:r>
      <w:r w:rsidRPr="00EC20A0">
        <w:rPr>
          <w:spacing w:val="-4"/>
        </w:rPr>
        <w:t xml:space="preserve"> </w:t>
      </w:r>
      <w:r w:rsidRPr="00EC20A0">
        <w:t>with</w:t>
      </w:r>
      <w:r w:rsidRPr="00EC20A0">
        <w:rPr>
          <w:spacing w:val="-4"/>
        </w:rPr>
        <w:t xml:space="preserve"> </w:t>
      </w:r>
      <w:r w:rsidRPr="00EC20A0">
        <w:t>the auditor, the scope of the work performed, and standards applied;</w:t>
      </w:r>
    </w:p>
    <w:p w14:paraId="24D5FF8C" w14:textId="77777777" w:rsidR="00245300" w:rsidRPr="00EC20A0" w:rsidRDefault="00F17249">
      <w:pPr>
        <w:pStyle w:val="ListParagraph"/>
        <w:numPr>
          <w:ilvl w:val="1"/>
          <w:numId w:val="217"/>
        </w:numPr>
        <w:tabs>
          <w:tab w:val="left" w:pos="2219"/>
        </w:tabs>
        <w:spacing w:before="239"/>
        <w:ind w:left="2219" w:right="879"/>
      </w:pPr>
      <w:r w:rsidRPr="00EC20A0">
        <w:t>based</w:t>
      </w:r>
      <w:r w:rsidRPr="00EC20A0">
        <w:rPr>
          <w:spacing w:val="-4"/>
        </w:rPr>
        <w:t xml:space="preserve"> </w:t>
      </w:r>
      <w:r w:rsidRPr="00EC20A0">
        <w:t>on</w:t>
      </w:r>
      <w:r w:rsidRPr="00EC20A0">
        <w:rPr>
          <w:spacing w:val="-4"/>
        </w:rPr>
        <w:t xml:space="preserve"> </w:t>
      </w:r>
      <w:r w:rsidRPr="00EC20A0">
        <w:t>an</w:t>
      </w:r>
      <w:r w:rsidRPr="00EC20A0">
        <w:rPr>
          <w:spacing w:val="-5"/>
        </w:rPr>
        <w:t xml:space="preserve"> </w:t>
      </w:r>
      <w:r w:rsidRPr="00EC20A0">
        <w:t>appropriate</w:t>
      </w:r>
      <w:r w:rsidRPr="00EC20A0">
        <w:rPr>
          <w:spacing w:val="-5"/>
        </w:rPr>
        <w:t xml:space="preserve"> </w:t>
      </w:r>
      <w:r w:rsidRPr="00EC20A0">
        <w:t>period</w:t>
      </w:r>
      <w:r w:rsidRPr="00EC20A0">
        <w:rPr>
          <w:spacing w:val="-4"/>
        </w:rPr>
        <w:t xml:space="preserve"> </w:t>
      </w:r>
      <w:r w:rsidRPr="00EC20A0">
        <w:t>and</w:t>
      </w:r>
      <w:r w:rsidRPr="00EC20A0">
        <w:rPr>
          <w:spacing w:val="-3"/>
        </w:rPr>
        <w:t xml:space="preserve"> </w:t>
      </w:r>
      <w:r w:rsidRPr="00EC20A0">
        <w:t>take</w:t>
      </w:r>
      <w:r w:rsidRPr="00EC20A0">
        <w:rPr>
          <w:spacing w:val="-4"/>
        </w:rPr>
        <w:t xml:space="preserve"> </w:t>
      </w:r>
      <w:r w:rsidRPr="00EC20A0">
        <w:t>into</w:t>
      </w:r>
      <w:r w:rsidRPr="00EC20A0">
        <w:rPr>
          <w:spacing w:val="-4"/>
        </w:rPr>
        <w:t xml:space="preserve"> </w:t>
      </w:r>
      <w:r w:rsidRPr="00EC20A0">
        <w:t>account</w:t>
      </w:r>
      <w:r w:rsidRPr="00EC20A0">
        <w:rPr>
          <w:spacing w:val="-4"/>
        </w:rPr>
        <w:t xml:space="preserve"> </w:t>
      </w:r>
      <w:r w:rsidRPr="00EC20A0">
        <w:t>subsequent</w:t>
      </w:r>
      <w:r w:rsidRPr="00EC20A0">
        <w:rPr>
          <w:spacing w:val="-4"/>
        </w:rPr>
        <w:t xml:space="preserve"> </w:t>
      </w:r>
      <w:r w:rsidRPr="00EC20A0">
        <w:t>events, when relevant; and</w:t>
      </w:r>
    </w:p>
    <w:p w14:paraId="24D5FF8D" w14:textId="77777777" w:rsidR="00245300" w:rsidRPr="00EC20A0" w:rsidRDefault="00245300">
      <w:pPr>
        <w:sectPr w:rsidR="00245300" w:rsidRPr="00EC20A0">
          <w:pgSz w:w="12240" w:h="15840"/>
          <w:pgMar w:top="1340" w:right="940" w:bottom="940" w:left="1020" w:header="721" w:footer="757" w:gutter="0"/>
          <w:cols w:space="720"/>
        </w:sectPr>
      </w:pPr>
    </w:p>
    <w:p w14:paraId="24D5FF8E" w14:textId="77777777" w:rsidR="00245300" w:rsidRPr="00EC20A0" w:rsidRDefault="00F17249">
      <w:pPr>
        <w:pStyle w:val="ListParagraph"/>
        <w:numPr>
          <w:ilvl w:val="1"/>
          <w:numId w:val="217"/>
        </w:numPr>
        <w:tabs>
          <w:tab w:val="left" w:pos="2219"/>
        </w:tabs>
        <w:spacing w:before="121"/>
        <w:ind w:left="2219" w:right="733"/>
      </w:pPr>
      <w:r w:rsidRPr="00EC20A0">
        <w:t>based</w:t>
      </w:r>
      <w:r w:rsidRPr="00EC20A0">
        <w:rPr>
          <w:spacing w:val="-4"/>
        </w:rPr>
        <w:t xml:space="preserve"> </w:t>
      </w:r>
      <w:r w:rsidRPr="00EC20A0">
        <w:t>on</w:t>
      </w:r>
      <w:r w:rsidRPr="00EC20A0">
        <w:rPr>
          <w:spacing w:val="-4"/>
        </w:rPr>
        <w:t xml:space="preserve"> </w:t>
      </w:r>
      <w:r w:rsidRPr="00EC20A0">
        <w:t>appropriate</w:t>
      </w:r>
      <w:r w:rsidRPr="00EC20A0">
        <w:rPr>
          <w:spacing w:val="-4"/>
        </w:rPr>
        <w:t xml:space="preserve"> </w:t>
      </w:r>
      <w:r w:rsidRPr="00EC20A0">
        <w:t>consideration</w:t>
      </w:r>
      <w:r w:rsidRPr="00EC20A0">
        <w:rPr>
          <w:spacing w:val="-5"/>
        </w:rPr>
        <w:t xml:space="preserve"> </w:t>
      </w:r>
      <w:r w:rsidRPr="00EC20A0">
        <w:t>of</w:t>
      </w:r>
      <w:r w:rsidRPr="00EC20A0">
        <w:rPr>
          <w:spacing w:val="-4"/>
        </w:rPr>
        <w:t xml:space="preserve"> </w:t>
      </w:r>
      <w:r w:rsidRPr="00EC20A0">
        <w:t>errors</w:t>
      </w:r>
      <w:r w:rsidRPr="00EC20A0">
        <w:rPr>
          <w:spacing w:val="-4"/>
        </w:rPr>
        <w:t xml:space="preserve"> </w:t>
      </w:r>
      <w:r w:rsidRPr="00EC20A0">
        <w:t>or</w:t>
      </w:r>
      <w:r w:rsidRPr="00EC20A0">
        <w:rPr>
          <w:spacing w:val="-6"/>
        </w:rPr>
        <w:t xml:space="preserve"> </w:t>
      </w:r>
      <w:r w:rsidRPr="00EC20A0">
        <w:t>deviations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auditor’s specialist encountered.</w:t>
      </w:r>
    </w:p>
    <w:p w14:paraId="24D5FF8F" w14:textId="77777777" w:rsidR="00245300" w:rsidRPr="00EC20A0" w:rsidRDefault="00F17249">
      <w:pPr>
        <w:pStyle w:val="Heading5"/>
        <w:spacing w:before="239"/>
        <w:ind w:left="1140"/>
        <w:rPr>
          <w:u w:val="none"/>
        </w:rPr>
      </w:pPr>
      <w:bookmarkStart w:id="37" w:name="Evaluating_Significant_Assumptions_and_M"/>
      <w:bookmarkEnd w:id="37"/>
      <w:r w:rsidRPr="00EC20A0">
        <w:t>Evaluating</w:t>
      </w:r>
      <w:r w:rsidRPr="00EC20A0">
        <w:rPr>
          <w:spacing w:val="-6"/>
        </w:rPr>
        <w:t xml:space="preserve"> </w:t>
      </w:r>
      <w:r w:rsidRPr="00EC20A0">
        <w:t>Significant</w:t>
      </w:r>
      <w:r w:rsidRPr="00EC20A0">
        <w:rPr>
          <w:spacing w:val="-5"/>
        </w:rPr>
        <w:t xml:space="preserve"> </w:t>
      </w:r>
      <w:r w:rsidRPr="00EC20A0">
        <w:t>Assumptions</w:t>
      </w:r>
      <w:r w:rsidRPr="00EC20A0">
        <w:rPr>
          <w:spacing w:val="-5"/>
        </w:rPr>
        <w:t xml:space="preserve"> </w:t>
      </w:r>
      <w:r w:rsidRPr="00EC20A0">
        <w:t>and</w:t>
      </w:r>
      <w:r w:rsidRPr="00EC20A0">
        <w:rPr>
          <w:spacing w:val="-5"/>
        </w:rPr>
        <w:t xml:space="preserve"> </w:t>
      </w:r>
      <w:r w:rsidRPr="00EC20A0">
        <w:rPr>
          <w:spacing w:val="-2"/>
        </w:rPr>
        <w:t>Methods</w:t>
      </w:r>
    </w:p>
    <w:p w14:paraId="24D5FF90" w14:textId="77777777" w:rsidR="00245300" w:rsidRPr="00EC20A0" w:rsidRDefault="00F17249">
      <w:pPr>
        <w:pStyle w:val="ListParagraph"/>
        <w:numPr>
          <w:ilvl w:val="0"/>
          <w:numId w:val="217"/>
        </w:numPr>
        <w:tabs>
          <w:tab w:val="left" w:pos="1859"/>
        </w:tabs>
        <w:spacing w:before="239"/>
        <w:ind w:right="592" w:hanging="720"/>
      </w:pPr>
      <w:r w:rsidRPr="00EC20A0">
        <w:t>When the work of an auditor’s specialist involves using significant assumptions and methods, the appropriateness and reasonableness of those assumptions and methods used and their application are the responsibility of the auditor's specialist. The auditor is responsible for obtaining an understanding of those assumptions and methods and evaluating the relevance and reasonableness of those assumptions and methods in the circumstances. Factors relevant to the auditor’s</w:t>
      </w:r>
      <w:r w:rsidRPr="00EC20A0">
        <w:rPr>
          <w:spacing w:val="-3"/>
        </w:rPr>
        <w:t xml:space="preserve"> </w:t>
      </w:r>
      <w:r w:rsidRPr="00EC20A0">
        <w:t>evaluation</w:t>
      </w:r>
      <w:r w:rsidRPr="00EC20A0">
        <w:rPr>
          <w:spacing w:val="-4"/>
        </w:rPr>
        <w:t xml:space="preserve"> </w:t>
      </w:r>
      <w:r w:rsidRPr="00EC20A0">
        <w:t>of</w:t>
      </w:r>
      <w:r w:rsidRPr="00EC20A0">
        <w:rPr>
          <w:spacing w:val="-4"/>
        </w:rPr>
        <w:t xml:space="preserve"> </w:t>
      </w:r>
      <w:r w:rsidRPr="00EC20A0">
        <w:t>those</w:t>
      </w:r>
      <w:r w:rsidRPr="00EC20A0">
        <w:rPr>
          <w:spacing w:val="-4"/>
        </w:rPr>
        <w:t xml:space="preserve"> </w:t>
      </w:r>
      <w:r w:rsidRPr="00EC20A0">
        <w:t>assumptions</w:t>
      </w:r>
      <w:r w:rsidRPr="00EC20A0">
        <w:rPr>
          <w:spacing w:val="-4"/>
        </w:rPr>
        <w:t xml:space="preserve"> </w:t>
      </w:r>
      <w:r w:rsidRPr="00EC20A0">
        <w:t>and</w:t>
      </w:r>
      <w:r w:rsidRPr="00EC20A0">
        <w:rPr>
          <w:spacing w:val="-5"/>
        </w:rPr>
        <w:t xml:space="preserve"> </w:t>
      </w:r>
      <w:r w:rsidRPr="00EC20A0">
        <w:t>methods</w:t>
      </w:r>
      <w:r w:rsidRPr="00EC20A0">
        <w:rPr>
          <w:spacing w:val="-4"/>
        </w:rPr>
        <w:t xml:space="preserve"> </w:t>
      </w:r>
      <w:r w:rsidRPr="00EC20A0">
        <w:t>include</w:t>
      </w:r>
      <w:r w:rsidRPr="00EC20A0">
        <w:rPr>
          <w:spacing w:val="-4"/>
        </w:rPr>
        <w:t xml:space="preserve"> </w:t>
      </w:r>
      <w:r w:rsidRPr="00EC20A0">
        <w:t>whether</w:t>
      </w:r>
      <w:r w:rsidRPr="00EC20A0">
        <w:rPr>
          <w:spacing w:val="-4"/>
        </w:rPr>
        <w:t xml:space="preserve"> </w:t>
      </w:r>
      <w:r w:rsidRPr="00EC20A0">
        <w:t>they</w:t>
      </w:r>
      <w:r w:rsidRPr="00EC20A0">
        <w:rPr>
          <w:spacing w:val="-4"/>
        </w:rPr>
        <w:t xml:space="preserve"> </w:t>
      </w:r>
      <w:r w:rsidRPr="00EC20A0">
        <w:t>are</w:t>
      </w:r>
    </w:p>
    <w:p w14:paraId="24D5FF91" w14:textId="77777777" w:rsidR="00245300" w:rsidRPr="00EC20A0" w:rsidRDefault="00F17249">
      <w:pPr>
        <w:pStyle w:val="ListParagraph"/>
        <w:numPr>
          <w:ilvl w:val="1"/>
          <w:numId w:val="217"/>
        </w:numPr>
        <w:tabs>
          <w:tab w:val="left" w:pos="2219"/>
        </w:tabs>
        <w:ind w:left="2219"/>
      </w:pPr>
      <w:r w:rsidRPr="00EC20A0">
        <w:t>generally</w:t>
      </w:r>
      <w:r w:rsidRPr="00EC20A0">
        <w:rPr>
          <w:spacing w:val="-9"/>
        </w:rPr>
        <w:t xml:space="preserve"> </w:t>
      </w:r>
      <w:r w:rsidRPr="00EC20A0">
        <w:t>accepted</w:t>
      </w:r>
      <w:r w:rsidRPr="00EC20A0">
        <w:rPr>
          <w:spacing w:val="-8"/>
        </w:rPr>
        <w:t xml:space="preserve"> </w:t>
      </w:r>
      <w:r w:rsidRPr="00EC20A0">
        <w:t>within</w:t>
      </w:r>
      <w:r w:rsidRPr="00EC20A0">
        <w:rPr>
          <w:spacing w:val="-8"/>
        </w:rPr>
        <w:t xml:space="preserve"> </w:t>
      </w:r>
      <w:r w:rsidRPr="00EC20A0">
        <w:t>the</w:t>
      </w:r>
      <w:r w:rsidRPr="00EC20A0">
        <w:rPr>
          <w:spacing w:val="-8"/>
        </w:rPr>
        <w:t xml:space="preserve"> </w:t>
      </w:r>
      <w:r w:rsidRPr="00EC20A0">
        <w:t>specialist’s</w:t>
      </w:r>
      <w:r w:rsidRPr="00EC20A0">
        <w:rPr>
          <w:spacing w:val="-9"/>
        </w:rPr>
        <w:t xml:space="preserve"> </w:t>
      </w:r>
      <w:r w:rsidRPr="00EC20A0">
        <w:rPr>
          <w:spacing w:val="-2"/>
        </w:rPr>
        <w:t>field;</w:t>
      </w:r>
    </w:p>
    <w:p w14:paraId="24D5FF92" w14:textId="77777777" w:rsidR="00245300" w:rsidRPr="00EC20A0" w:rsidRDefault="00F17249">
      <w:pPr>
        <w:pStyle w:val="ListParagraph"/>
        <w:numPr>
          <w:ilvl w:val="1"/>
          <w:numId w:val="217"/>
        </w:numPr>
        <w:tabs>
          <w:tab w:val="left" w:pos="2219"/>
        </w:tabs>
        <w:spacing w:before="238"/>
        <w:ind w:left="2219" w:right="1443"/>
      </w:pPr>
      <w:r w:rsidRPr="00EC20A0">
        <w:t>consistent</w:t>
      </w:r>
      <w:r w:rsidRPr="00EC20A0">
        <w:rPr>
          <w:spacing w:val="-5"/>
        </w:rPr>
        <w:t xml:space="preserve"> </w:t>
      </w:r>
      <w:r w:rsidRPr="00EC20A0">
        <w:t>with</w:t>
      </w:r>
      <w:r w:rsidRPr="00EC20A0">
        <w:rPr>
          <w:spacing w:val="-5"/>
        </w:rPr>
        <w:t xml:space="preserve"> </w:t>
      </w:r>
      <w:r w:rsidRPr="00EC20A0">
        <w:t>the</w:t>
      </w:r>
      <w:r w:rsidRPr="00EC20A0">
        <w:rPr>
          <w:spacing w:val="-5"/>
        </w:rPr>
        <w:t xml:space="preserve"> </w:t>
      </w:r>
      <w:r w:rsidRPr="00EC20A0">
        <w:t>requirements</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applicable</w:t>
      </w:r>
      <w:r w:rsidRPr="00EC20A0">
        <w:rPr>
          <w:spacing w:val="-6"/>
        </w:rPr>
        <w:t xml:space="preserve"> </w:t>
      </w:r>
      <w:r w:rsidRPr="00EC20A0">
        <w:t>financial</w:t>
      </w:r>
      <w:r w:rsidRPr="00EC20A0">
        <w:rPr>
          <w:spacing w:val="-6"/>
        </w:rPr>
        <w:t xml:space="preserve"> </w:t>
      </w:r>
      <w:r w:rsidRPr="00EC20A0">
        <w:t>reporting framework (generally U.S. GAAP);</w:t>
      </w:r>
    </w:p>
    <w:p w14:paraId="24D5FF93" w14:textId="77777777" w:rsidR="00245300" w:rsidRPr="00EC20A0" w:rsidRDefault="00F17249">
      <w:pPr>
        <w:pStyle w:val="ListParagraph"/>
        <w:numPr>
          <w:ilvl w:val="1"/>
          <w:numId w:val="217"/>
        </w:numPr>
        <w:tabs>
          <w:tab w:val="left" w:pos="2219"/>
        </w:tabs>
        <w:spacing w:before="238"/>
        <w:ind w:left="2219"/>
      </w:pPr>
      <w:r w:rsidRPr="00EC20A0">
        <w:t>dependent</w:t>
      </w:r>
      <w:r w:rsidRPr="00EC20A0">
        <w:rPr>
          <w:spacing w:val="-6"/>
        </w:rPr>
        <w:t xml:space="preserve"> </w:t>
      </w:r>
      <w:r w:rsidRPr="00EC20A0">
        <w:t>on</w:t>
      </w:r>
      <w:r w:rsidRPr="00EC20A0">
        <w:rPr>
          <w:spacing w:val="-6"/>
        </w:rPr>
        <w:t xml:space="preserve"> </w:t>
      </w:r>
      <w:r w:rsidRPr="00EC20A0">
        <w:t>the</w:t>
      </w:r>
      <w:r w:rsidRPr="00EC20A0">
        <w:rPr>
          <w:spacing w:val="-6"/>
        </w:rPr>
        <w:t xml:space="preserve"> </w:t>
      </w:r>
      <w:r w:rsidRPr="00EC20A0">
        <w:t>use</w:t>
      </w:r>
      <w:r w:rsidRPr="00EC20A0">
        <w:rPr>
          <w:spacing w:val="-5"/>
        </w:rPr>
        <w:t xml:space="preserve"> </w:t>
      </w:r>
      <w:r w:rsidRPr="00EC20A0">
        <w:t>of</w:t>
      </w:r>
      <w:r w:rsidRPr="00EC20A0">
        <w:rPr>
          <w:spacing w:val="-7"/>
        </w:rPr>
        <w:t xml:space="preserve"> </w:t>
      </w:r>
      <w:r w:rsidRPr="00EC20A0">
        <w:t>specialized</w:t>
      </w:r>
      <w:r w:rsidRPr="00EC20A0">
        <w:rPr>
          <w:spacing w:val="-7"/>
        </w:rPr>
        <w:t xml:space="preserve"> </w:t>
      </w:r>
      <w:r w:rsidRPr="00EC20A0">
        <w:t>models</w:t>
      </w:r>
      <w:r w:rsidRPr="00EC20A0">
        <w:rPr>
          <w:spacing w:val="-5"/>
        </w:rPr>
        <w:t xml:space="preserve"> </w:t>
      </w:r>
      <w:r w:rsidRPr="00EC20A0">
        <w:t>(see</w:t>
      </w:r>
      <w:r w:rsidRPr="00EC20A0">
        <w:rPr>
          <w:spacing w:val="-6"/>
        </w:rPr>
        <w:t xml:space="preserve"> </w:t>
      </w:r>
      <w:r w:rsidRPr="00EC20A0">
        <w:t>FAM</w:t>
      </w:r>
      <w:r w:rsidRPr="00EC20A0">
        <w:rPr>
          <w:spacing w:val="-7"/>
        </w:rPr>
        <w:t xml:space="preserve"> </w:t>
      </w:r>
      <w:r w:rsidRPr="00EC20A0">
        <w:t>905);</w:t>
      </w:r>
      <w:r w:rsidRPr="00EC20A0">
        <w:rPr>
          <w:spacing w:val="-5"/>
        </w:rPr>
        <w:t xml:space="preserve"> and</w:t>
      </w:r>
    </w:p>
    <w:p w14:paraId="24D5FF94" w14:textId="77777777" w:rsidR="00245300" w:rsidRPr="00EC20A0" w:rsidRDefault="00F17249">
      <w:pPr>
        <w:pStyle w:val="ListParagraph"/>
        <w:numPr>
          <w:ilvl w:val="1"/>
          <w:numId w:val="217"/>
        </w:numPr>
        <w:tabs>
          <w:tab w:val="left" w:pos="2219"/>
        </w:tabs>
        <w:spacing w:before="238"/>
        <w:ind w:left="2219" w:right="709" w:hanging="361"/>
      </w:pPr>
      <w:r w:rsidRPr="00EC20A0">
        <w:t>consistent</w:t>
      </w:r>
      <w:r w:rsidRPr="00EC20A0">
        <w:rPr>
          <w:spacing w:val="-4"/>
        </w:rPr>
        <w:t xml:space="preserve"> </w:t>
      </w:r>
      <w:r w:rsidRPr="00EC20A0">
        <w:t>with</w:t>
      </w:r>
      <w:r w:rsidRPr="00EC20A0">
        <w:rPr>
          <w:spacing w:val="-4"/>
        </w:rPr>
        <w:t xml:space="preserve"> </w:t>
      </w:r>
      <w:r w:rsidRPr="00EC20A0">
        <w:t>those</w:t>
      </w:r>
      <w:r w:rsidRPr="00EC20A0">
        <w:rPr>
          <w:spacing w:val="-4"/>
        </w:rPr>
        <w:t xml:space="preserve"> </w:t>
      </w:r>
      <w:r w:rsidRPr="00EC20A0">
        <w:t>of</w:t>
      </w:r>
      <w:r w:rsidRPr="00EC20A0">
        <w:rPr>
          <w:spacing w:val="-5"/>
        </w:rPr>
        <w:t xml:space="preserve"> </w:t>
      </w:r>
      <w:r w:rsidRPr="00EC20A0">
        <w:t>management—if</w:t>
      </w:r>
      <w:r w:rsidRPr="00EC20A0">
        <w:rPr>
          <w:spacing w:val="-4"/>
        </w:rPr>
        <w:t xml:space="preserve"> </w:t>
      </w:r>
      <w:r w:rsidRPr="00EC20A0">
        <w:t>not</w:t>
      </w:r>
      <w:r w:rsidRPr="00EC20A0">
        <w:rPr>
          <w:spacing w:val="-4"/>
        </w:rPr>
        <w:t xml:space="preserve"> </w:t>
      </w:r>
      <w:r w:rsidRPr="00EC20A0">
        <w:t>consistent,</w:t>
      </w:r>
      <w:r w:rsidRPr="00EC20A0">
        <w:rPr>
          <w:spacing w:val="-4"/>
        </w:rPr>
        <w:t xml:space="preserve"> </w:t>
      </w:r>
      <w:r w:rsidRPr="00EC20A0">
        <w:t>the</w:t>
      </w:r>
      <w:r w:rsidRPr="00EC20A0">
        <w:rPr>
          <w:spacing w:val="-5"/>
        </w:rPr>
        <w:t xml:space="preserve"> </w:t>
      </w:r>
      <w:r w:rsidRPr="00EC20A0">
        <w:t>reason</w:t>
      </w:r>
      <w:r w:rsidRPr="00EC20A0">
        <w:rPr>
          <w:spacing w:val="-4"/>
        </w:rPr>
        <w:t xml:space="preserve"> </w:t>
      </w:r>
      <w:r w:rsidRPr="00EC20A0">
        <w:t>for,</w:t>
      </w:r>
      <w:r w:rsidRPr="00EC20A0">
        <w:rPr>
          <w:spacing w:val="-4"/>
        </w:rPr>
        <w:t xml:space="preserve"> </w:t>
      </w:r>
      <w:r w:rsidRPr="00EC20A0">
        <w:t>and effects of, the differences should be provided. (AU-C 620.A40)</w:t>
      </w:r>
    </w:p>
    <w:p w14:paraId="24D5FF95" w14:textId="77777777" w:rsidR="00245300" w:rsidRPr="00EC20A0" w:rsidRDefault="00F17249">
      <w:pPr>
        <w:pStyle w:val="ListParagraph"/>
        <w:numPr>
          <w:ilvl w:val="0"/>
          <w:numId w:val="217"/>
        </w:numPr>
        <w:tabs>
          <w:tab w:val="left" w:pos="1858"/>
        </w:tabs>
        <w:spacing w:before="239"/>
        <w:ind w:left="1858" w:right="506" w:hanging="720"/>
      </w:pPr>
      <w:r w:rsidRPr="00EC20A0">
        <w:t>When the purpose of the auditor’s specialist’s work is to evaluate underlying assumptions and methods, including models, when applicable, that management uses in developing an accounting estimate, the auditor’s procedures are likely to be</w:t>
      </w:r>
      <w:r w:rsidRPr="00EC20A0">
        <w:rPr>
          <w:spacing w:val="-4"/>
        </w:rPr>
        <w:t xml:space="preserve"> </w:t>
      </w:r>
      <w:r w:rsidRPr="00EC20A0">
        <w:t>primarily</w:t>
      </w:r>
      <w:r w:rsidRPr="00EC20A0">
        <w:rPr>
          <w:spacing w:val="-5"/>
        </w:rPr>
        <w:t xml:space="preserve"> </w:t>
      </w:r>
      <w:r w:rsidRPr="00EC20A0">
        <w:t>directed</w:t>
      </w:r>
      <w:r w:rsidRPr="00EC20A0">
        <w:rPr>
          <w:spacing w:val="-4"/>
        </w:rPr>
        <w:t xml:space="preserve"> </w:t>
      </w:r>
      <w:r w:rsidRPr="00EC20A0">
        <w:t>to</w:t>
      </w:r>
      <w:r w:rsidRPr="00EC20A0">
        <w:rPr>
          <w:spacing w:val="-4"/>
        </w:rPr>
        <w:t xml:space="preserve"> </w:t>
      </w:r>
      <w:r w:rsidRPr="00EC20A0">
        <w:t>evaluating</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auditor’s</w:t>
      </w:r>
      <w:r w:rsidRPr="00EC20A0">
        <w:rPr>
          <w:spacing w:val="-3"/>
        </w:rPr>
        <w:t xml:space="preserve"> </w:t>
      </w:r>
      <w:r w:rsidRPr="00EC20A0">
        <w:t>specialist</w:t>
      </w:r>
      <w:r w:rsidRPr="00EC20A0">
        <w:rPr>
          <w:spacing w:val="-4"/>
        </w:rPr>
        <w:t xml:space="preserve"> </w:t>
      </w:r>
      <w:r w:rsidRPr="00EC20A0">
        <w:t>has</w:t>
      </w:r>
      <w:r w:rsidRPr="00EC20A0">
        <w:rPr>
          <w:spacing w:val="-5"/>
        </w:rPr>
        <w:t xml:space="preserve"> </w:t>
      </w:r>
      <w:r w:rsidRPr="00EC20A0">
        <w:t>adequately reviewed those assumptions and methods. When the purpose of the auditor’s specialist’s</w:t>
      </w:r>
      <w:r w:rsidRPr="00EC20A0">
        <w:rPr>
          <w:spacing w:val="-4"/>
        </w:rPr>
        <w:t xml:space="preserve"> </w:t>
      </w:r>
      <w:r w:rsidRPr="00EC20A0">
        <w:t>work</w:t>
      </w:r>
      <w:r w:rsidRPr="00EC20A0">
        <w:rPr>
          <w:spacing w:val="-3"/>
        </w:rPr>
        <w:t xml:space="preserve"> </w:t>
      </w:r>
      <w:r w:rsidRPr="00EC20A0">
        <w:t>is</w:t>
      </w:r>
      <w:r w:rsidRPr="00EC20A0">
        <w:rPr>
          <w:spacing w:val="-3"/>
        </w:rPr>
        <w:t xml:space="preserve"> </w:t>
      </w:r>
      <w:r w:rsidRPr="00EC20A0">
        <w:t>to</w:t>
      </w:r>
      <w:r w:rsidRPr="00EC20A0">
        <w:rPr>
          <w:spacing w:val="-3"/>
        </w:rPr>
        <w:t xml:space="preserve"> </w:t>
      </w:r>
      <w:r w:rsidRPr="00EC20A0">
        <w:t>develop</w:t>
      </w:r>
      <w:r w:rsidRPr="00EC20A0">
        <w:rPr>
          <w:spacing w:val="-3"/>
        </w:rPr>
        <w:t xml:space="preserve"> </w:t>
      </w:r>
      <w:r w:rsidRPr="00EC20A0">
        <w:t>an</w:t>
      </w:r>
      <w:r w:rsidRPr="00EC20A0">
        <w:rPr>
          <w:spacing w:val="-3"/>
        </w:rPr>
        <w:t xml:space="preserve"> </w:t>
      </w:r>
      <w:r w:rsidRPr="00EC20A0">
        <w:t>auditor’s</w:t>
      </w:r>
      <w:r w:rsidRPr="00EC20A0">
        <w:rPr>
          <w:spacing w:val="-2"/>
        </w:rPr>
        <w:t xml:space="preserve"> </w:t>
      </w:r>
      <w:r w:rsidRPr="00EC20A0">
        <w:t>point</w:t>
      </w:r>
      <w:r w:rsidRPr="00EC20A0">
        <w:rPr>
          <w:spacing w:val="-3"/>
        </w:rPr>
        <w:t xml:space="preserve"> </w:t>
      </w:r>
      <w:r w:rsidRPr="00EC20A0">
        <w:t>estimate</w:t>
      </w:r>
      <w:r w:rsidRPr="00EC20A0">
        <w:rPr>
          <w:spacing w:val="-3"/>
        </w:rPr>
        <w:t xml:space="preserve"> </w:t>
      </w:r>
      <w:r w:rsidRPr="00EC20A0">
        <w:t>or</w:t>
      </w:r>
      <w:r w:rsidRPr="00EC20A0">
        <w:rPr>
          <w:spacing w:val="-3"/>
        </w:rPr>
        <w:t xml:space="preserve"> </w:t>
      </w:r>
      <w:r w:rsidRPr="00EC20A0">
        <w:t>an</w:t>
      </w:r>
      <w:r w:rsidRPr="00EC20A0">
        <w:rPr>
          <w:spacing w:val="-3"/>
        </w:rPr>
        <w:t xml:space="preserve"> </w:t>
      </w:r>
      <w:r w:rsidRPr="00EC20A0">
        <w:t>auditor’s</w:t>
      </w:r>
      <w:r w:rsidRPr="00EC20A0">
        <w:rPr>
          <w:spacing w:val="-4"/>
        </w:rPr>
        <w:t xml:space="preserve"> </w:t>
      </w:r>
      <w:r w:rsidRPr="00EC20A0">
        <w:t>range</w:t>
      </w:r>
      <w:r w:rsidRPr="00EC20A0">
        <w:rPr>
          <w:spacing w:val="-3"/>
        </w:rPr>
        <w:t xml:space="preserve"> </w:t>
      </w:r>
      <w:r w:rsidRPr="00EC20A0">
        <w:t>for comparison with management’s point estimate, the auditor’s procedures may be primarily directed to evaluating the assumptions and methods, including models, when appropriate, used by the specialist. (AU-C 620.A38)</w:t>
      </w:r>
    </w:p>
    <w:p w14:paraId="24D5FF96" w14:textId="77777777" w:rsidR="00245300" w:rsidRPr="00EC20A0" w:rsidRDefault="00F17249">
      <w:pPr>
        <w:pStyle w:val="ListParagraph"/>
        <w:numPr>
          <w:ilvl w:val="0"/>
          <w:numId w:val="217"/>
        </w:numPr>
        <w:tabs>
          <w:tab w:val="left" w:pos="1859"/>
        </w:tabs>
        <w:ind w:right="787" w:hanging="720"/>
      </w:pPr>
      <w:r w:rsidRPr="00EC20A0">
        <w:t>FAM 905 discusses the assumptions and methods that management uses in making accounting estimates, including the use, in some cases, of highly specialized,</w:t>
      </w:r>
      <w:r w:rsidRPr="00EC20A0">
        <w:rPr>
          <w:spacing w:val="-5"/>
        </w:rPr>
        <w:t xml:space="preserve"> </w:t>
      </w:r>
      <w:r w:rsidRPr="00EC20A0">
        <w:t>entity-developed</w:t>
      </w:r>
      <w:r w:rsidRPr="00EC20A0">
        <w:rPr>
          <w:spacing w:val="-5"/>
        </w:rPr>
        <w:t xml:space="preserve"> </w:t>
      </w:r>
      <w:r w:rsidRPr="00EC20A0">
        <w:t>models.</w:t>
      </w:r>
      <w:r w:rsidRPr="00EC20A0">
        <w:rPr>
          <w:spacing w:val="-5"/>
        </w:rPr>
        <w:t xml:space="preserve"> </w:t>
      </w:r>
      <w:r w:rsidRPr="00EC20A0">
        <w:t>Although</w:t>
      </w:r>
      <w:r w:rsidRPr="00EC20A0">
        <w:rPr>
          <w:spacing w:val="-5"/>
        </w:rPr>
        <w:t xml:space="preserve"> </w:t>
      </w:r>
      <w:r w:rsidRPr="00EC20A0">
        <w:t>that</w:t>
      </w:r>
      <w:r w:rsidRPr="00EC20A0">
        <w:rPr>
          <w:spacing w:val="-4"/>
        </w:rPr>
        <w:t xml:space="preserve"> </w:t>
      </w:r>
      <w:r w:rsidRPr="00EC20A0">
        <w:t>discussion</w:t>
      </w:r>
      <w:r w:rsidRPr="00EC20A0">
        <w:rPr>
          <w:spacing w:val="-5"/>
        </w:rPr>
        <w:t xml:space="preserve"> </w:t>
      </w:r>
      <w:r w:rsidRPr="00EC20A0">
        <w:t>is</w:t>
      </w:r>
      <w:r w:rsidRPr="00EC20A0">
        <w:rPr>
          <w:spacing w:val="-5"/>
        </w:rPr>
        <w:t xml:space="preserve"> </w:t>
      </w:r>
      <w:r w:rsidRPr="00EC20A0">
        <w:t>written</w:t>
      </w:r>
      <w:r w:rsidRPr="00EC20A0">
        <w:rPr>
          <w:spacing w:val="-5"/>
        </w:rPr>
        <w:t xml:space="preserve"> </w:t>
      </w:r>
      <w:r w:rsidRPr="00EC20A0">
        <w:t>in</w:t>
      </w:r>
      <w:r w:rsidRPr="00EC20A0">
        <w:rPr>
          <w:spacing w:val="-5"/>
        </w:rPr>
        <w:t xml:space="preserve"> </w:t>
      </w:r>
      <w:r w:rsidRPr="00EC20A0">
        <w:t>the context of the auditor obtaining sufficient appropriate audit evidence regarding management’s assumptions and methods, it also may assist the auditor when evaluating the assumptions and methods of an auditor’s specialist</w:t>
      </w:r>
    </w:p>
    <w:p w14:paraId="24D5FF97" w14:textId="77777777" w:rsidR="00245300" w:rsidRPr="00EC20A0" w:rsidRDefault="00F17249">
      <w:pPr>
        <w:pStyle w:val="BodyText"/>
        <w:ind w:left="1859"/>
      </w:pPr>
      <w:r w:rsidRPr="00EC20A0">
        <w:t>(AU-C</w:t>
      </w:r>
      <w:r w:rsidRPr="00EC20A0">
        <w:rPr>
          <w:spacing w:val="-11"/>
        </w:rPr>
        <w:t xml:space="preserve"> </w:t>
      </w:r>
      <w:r w:rsidRPr="00EC20A0">
        <w:rPr>
          <w:spacing w:val="-2"/>
        </w:rPr>
        <w:t>620.A39).</w:t>
      </w:r>
    </w:p>
    <w:p w14:paraId="24D5FF98" w14:textId="77777777" w:rsidR="00245300" w:rsidRPr="00EC20A0" w:rsidRDefault="00F17249">
      <w:pPr>
        <w:pStyle w:val="Heading5"/>
        <w:ind w:left="1140"/>
        <w:rPr>
          <w:u w:val="none"/>
        </w:rPr>
      </w:pPr>
      <w:bookmarkStart w:id="38" w:name="Evaluating_Source_Data"/>
      <w:bookmarkEnd w:id="38"/>
      <w:r w:rsidRPr="00EC20A0">
        <w:t>Evaluating</w:t>
      </w:r>
      <w:r w:rsidRPr="00EC20A0">
        <w:rPr>
          <w:spacing w:val="-5"/>
        </w:rPr>
        <w:t xml:space="preserve"> </w:t>
      </w:r>
      <w:r w:rsidRPr="00EC20A0">
        <w:t>Source</w:t>
      </w:r>
      <w:r w:rsidRPr="00EC20A0">
        <w:rPr>
          <w:spacing w:val="-5"/>
        </w:rPr>
        <w:t xml:space="preserve"> </w:t>
      </w:r>
      <w:r w:rsidRPr="00EC20A0">
        <w:rPr>
          <w:spacing w:val="-4"/>
        </w:rPr>
        <w:t>Data</w:t>
      </w:r>
    </w:p>
    <w:p w14:paraId="24D5FF99" w14:textId="77777777" w:rsidR="00245300" w:rsidRPr="00EC20A0" w:rsidRDefault="00F17249">
      <w:pPr>
        <w:pStyle w:val="ListParagraph"/>
        <w:numPr>
          <w:ilvl w:val="0"/>
          <w:numId w:val="217"/>
        </w:numPr>
        <w:tabs>
          <w:tab w:val="left" w:pos="1859"/>
        </w:tabs>
        <w:spacing w:before="239"/>
        <w:ind w:right="616" w:hanging="720"/>
      </w:pPr>
      <w:r w:rsidRPr="00EC20A0">
        <w:t xml:space="preserve">As discussed in FAM 410.02, the auditor </w:t>
      </w:r>
      <w:r w:rsidRPr="00EC20A0">
        <w:t>should evaluate the relevance and reliability</w:t>
      </w:r>
      <w:r w:rsidRPr="00EC20A0">
        <w:rPr>
          <w:spacing w:val="-4"/>
        </w:rPr>
        <w:t xml:space="preserve"> </w:t>
      </w:r>
      <w:r w:rsidRPr="00EC20A0">
        <w:t>of</w:t>
      </w:r>
      <w:r w:rsidRPr="00EC20A0">
        <w:rPr>
          <w:spacing w:val="-4"/>
        </w:rPr>
        <w:t xml:space="preserve"> </w:t>
      </w:r>
      <w:r w:rsidRPr="00EC20A0">
        <w:t>information</w:t>
      </w:r>
      <w:r w:rsidRPr="00EC20A0">
        <w:rPr>
          <w:spacing w:val="-4"/>
        </w:rPr>
        <w:t xml:space="preserve"> </w:t>
      </w:r>
      <w:r w:rsidRPr="00EC20A0">
        <w:t>to</w:t>
      </w:r>
      <w:r w:rsidRPr="00EC20A0">
        <w:rPr>
          <w:spacing w:val="-4"/>
        </w:rPr>
        <w:t xml:space="preserve"> </w:t>
      </w:r>
      <w:r w:rsidRPr="00EC20A0">
        <w:t>be</w:t>
      </w:r>
      <w:r w:rsidRPr="00EC20A0">
        <w:rPr>
          <w:spacing w:val="-4"/>
        </w:rPr>
        <w:t xml:space="preserve"> </w:t>
      </w:r>
      <w:r w:rsidRPr="00EC20A0">
        <w:t>used</w:t>
      </w:r>
      <w:r w:rsidRPr="00EC20A0">
        <w:rPr>
          <w:spacing w:val="-4"/>
        </w:rPr>
        <w:t xml:space="preserve"> </w:t>
      </w:r>
      <w:r w:rsidRPr="00EC20A0">
        <w:t>as</w:t>
      </w:r>
      <w:r w:rsidRPr="00EC20A0">
        <w:rPr>
          <w:spacing w:val="-4"/>
        </w:rPr>
        <w:t xml:space="preserve"> </w:t>
      </w:r>
      <w:r w:rsidRPr="00EC20A0">
        <w:t>audit</w:t>
      </w:r>
      <w:r w:rsidRPr="00EC20A0">
        <w:rPr>
          <w:spacing w:val="-4"/>
        </w:rPr>
        <w:t xml:space="preserve"> </w:t>
      </w:r>
      <w:r w:rsidRPr="00EC20A0">
        <w:t>evidence,</w:t>
      </w:r>
      <w:r w:rsidRPr="00EC20A0">
        <w:rPr>
          <w:spacing w:val="-4"/>
        </w:rPr>
        <w:t xml:space="preserve"> </w:t>
      </w:r>
      <w:r w:rsidRPr="00EC20A0">
        <w:t>including</w:t>
      </w:r>
      <w:r w:rsidRPr="00EC20A0">
        <w:rPr>
          <w:spacing w:val="-4"/>
        </w:rPr>
        <w:t xml:space="preserve"> </w:t>
      </w:r>
      <w:r w:rsidRPr="00EC20A0">
        <w:t>its</w:t>
      </w:r>
      <w:r w:rsidRPr="00EC20A0">
        <w:rPr>
          <w:spacing w:val="-4"/>
        </w:rPr>
        <w:t xml:space="preserve"> </w:t>
      </w:r>
      <w:r w:rsidRPr="00EC20A0">
        <w:t>source.</w:t>
      </w:r>
      <w:r w:rsidRPr="00EC20A0">
        <w:rPr>
          <w:spacing w:val="-4"/>
        </w:rPr>
        <w:t xml:space="preserve"> </w:t>
      </w:r>
      <w:r w:rsidRPr="00EC20A0">
        <w:t xml:space="preserve">When the work of an auditor’s specialist involves the use of source data that are significant to the work of the auditor's </w:t>
      </w:r>
      <w:r w:rsidRPr="00EC20A0">
        <w:t>specialist, the auditor may perform procedures such as the following to test such data (AU-C 620.A41):</w:t>
      </w:r>
    </w:p>
    <w:p w14:paraId="24D5FF9A" w14:textId="77777777" w:rsidR="00245300" w:rsidRPr="00EC20A0" w:rsidRDefault="00F17249">
      <w:pPr>
        <w:pStyle w:val="ListParagraph"/>
        <w:numPr>
          <w:ilvl w:val="1"/>
          <w:numId w:val="217"/>
        </w:numPr>
        <w:tabs>
          <w:tab w:val="left" w:pos="2218"/>
        </w:tabs>
        <w:ind w:left="2218" w:right="733"/>
      </w:pPr>
      <w:r w:rsidRPr="00EC20A0">
        <w:t>verifying</w:t>
      </w:r>
      <w:r w:rsidRPr="00EC20A0">
        <w:rPr>
          <w:spacing w:val="-4"/>
        </w:rPr>
        <w:t xml:space="preserve"> </w:t>
      </w:r>
      <w:r w:rsidRPr="00EC20A0">
        <w:t>the</w:t>
      </w:r>
      <w:r w:rsidRPr="00EC20A0">
        <w:rPr>
          <w:spacing w:val="-5"/>
        </w:rPr>
        <w:t xml:space="preserve"> </w:t>
      </w:r>
      <w:r w:rsidRPr="00EC20A0">
        <w:t>origin</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data,</w:t>
      </w:r>
      <w:r w:rsidRPr="00EC20A0">
        <w:rPr>
          <w:spacing w:val="-4"/>
        </w:rPr>
        <w:t xml:space="preserve"> </w:t>
      </w:r>
      <w:r w:rsidRPr="00EC20A0">
        <w:t>including</w:t>
      </w:r>
      <w:r w:rsidRPr="00EC20A0">
        <w:rPr>
          <w:spacing w:val="-4"/>
        </w:rPr>
        <w:t xml:space="preserve"> </w:t>
      </w:r>
      <w:r w:rsidRPr="00EC20A0">
        <w:t>obtaining</w:t>
      </w:r>
      <w:r w:rsidRPr="00EC20A0">
        <w:rPr>
          <w:spacing w:val="-4"/>
        </w:rPr>
        <w:t xml:space="preserve"> </w:t>
      </w:r>
      <w:r w:rsidRPr="00EC20A0">
        <w:t>an</w:t>
      </w:r>
      <w:r w:rsidRPr="00EC20A0">
        <w:rPr>
          <w:spacing w:val="-4"/>
        </w:rPr>
        <w:t xml:space="preserve"> </w:t>
      </w:r>
      <w:r w:rsidRPr="00EC20A0">
        <w:t>understanding</w:t>
      </w:r>
      <w:r w:rsidRPr="00EC20A0">
        <w:rPr>
          <w:spacing w:val="-4"/>
        </w:rPr>
        <w:t xml:space="preserve"> </w:t>
      </w:r>
      <w:r w:rsidRPr="00EC20A0">
        <w:t>of</w:t>
      </w:r>
      <w:r w:rsidRPr="00EC20A0">
        <w:rPr>
          <w:spacing w:val="-4"/>
        </w:rPr>
        <w:t xml:space="preserve"> </w:t>
      </w:r>
      <w:r w:rsidRPr="00EC20A0">
        <w:t>and, when applicable, testing the internal controls over the data and, when relevant, their transmission to the auditor’s specialist, and</w:t>
      </w:r>
    </w:p>
    <w:p w14:paraId="24D5FF9B" w14:textId="77777777" w:rsidR="00245300" w:rsidRPr="00EC20A0" w:rsidRDefault="00245300">
      <w:pPr>
        <w:sectPr w:rsidR="00245300" w:rsidRPr="00EC20A0">
          <w:pgSz w:w="12240" w:h="15840"/>
          <w:pgMar w:top="1340" w:right="940" w:bottom="1020" w:left="1020" w:header="721" w:footer="757" w:gutter="0"/>
          <w:cols w:space="720"/>
        </w:sectPr>
      </w:pPr>
    </w:p>
    <w:p w14:paraId="24D5FF9C" w14:textId="77777777" w:rsidR="00245300" w:rsidRPr="00EC20A0" w:rsidRDefault="00F17249">
      <w:pPr>
        <w:pStyle w:val="ListParagraph"/>
        <w:numPr>
          <w:ilvl w:val="1"/>
          <w:numId w:val="217"/>
        </w:numPr>
        <w:tabs>
          <w:tab w:val="left" w:pos="2219"/>
        </w:tabs>
        <w:spacing w:before="121"/>
        <w:ind w:left="2219" w:hanging="359"/>
      </w:pPr>
      <w:r w:rsidRPr="00EC20A0">
        <w:t>reviewing</w:t>
      </w:r>
      <w:r w:rsidRPr="00EC20A0">
        <w:rPr>
          <w:spacing w:val="-7"/>
        </w:rPr>
        <w:t xml:space="preserve"> </w:t>
      </w:r>
      <w:r w:rsidRPr="00EC20A0">
        <w:t>the</w:t>
      </w:r>
      <w:r w:rsidRPr="00EC20A0">
        <w:rPr>
          <w:spacing w:val="-7"/>
        </w:rPr>
        <w:t xml:space="preserve"> </w:t>
      </w:r>
      <w:r w:rsidRPr="00EC20A0">
        <w:t>data</w:t>
      </w:r>
      <w:r w:rsidRPr="00EC20A0">
        <w:rPr>
          <w:spacing w:val="-7"/>
        </w:rPr>
        <w:t xml:space="preserve"> </w:t>
      </w:r>
      <w:r w:rsidRPr="00EC20A0">
        <w:t>for</w:t>
      </w:r>
      <w:r w:rsidRPr="00EC20A0">
        <w:rPr>
          <w:spacing w:val="-7"/>
        </w:rPr>
        <w:t xml:space="preserve"> </w:t>
      </w:r>
      <w:r w:rsidRPr="00EC20A0">
        <w:t>completeness</w:t>
      </w:r>
      <w:r w:rsidRPr="00EC20A0">
        <w:rPr>
          <w:spacing w:val="-8"/>
        </w:rPr>
        <w:t xml:space="preserve"> </w:t>
      </w:r>
      <w:r w:rsidRPr="00EC20A0">
        <w:t>and</w:t>
      </w:r>
      <w:r w:rsidRPr="00EC20A0">
        <w:rPr>
          <w:spacing w:val="-6"/>
        </w:rPr>
        <w:t xml:space="preserve"> </w:t>
      </w:r>
      <w:r w:rsidRPr="00EC20A0">
        <w:t>internal</w:t>
      </w:r>
      <w:r w:rsidRPr="00EC20A0">
        <w:rPr>
          <w:spacing w:val="-8"/>
        </w:rPr>
        <w:t xml:space="preserve"> </w:t>
      </w:r>
      <w:r w:rsidRPr="00EC20A0">
        <w:rPr>
          <w:spacing w:val="-2"/>
        </w:rPr>
        <w:t>consistency.</w:t>
      </w:r>
    </w:p>
    <w:p w14:paraId="24D5FF9D" w14:textId="77777777" w:rsidR="00245300" w:rsidRPr="00EC20A0" w:rsidRDefault="00F17249">
      <w:pPr>
        <w:pStyle w:val="ListParagraph"/>
        <w:numPr>
          <w:ilvl w:val="0"/>
          <w:numId w:val="217"/>
        </w:numPr>
        <w:tabs>
          <w:tab w:val="left" w:pos="1860"/>
        </w:tabs>
        <w:spacing w:before="238"/>
        <w:ind w:left="1860" w:right="542"/>
      </w:pPr>
      <w:r w:rsidRPr="00EC20A0">
        <w:t>In many cases, the auditor may test source data. However, in other cases, when the nature of the source</w:t>
      </w:r>
      <w:r w:rsidRPr="00EC20A0">
        <w:rPr>
          <w:spacing w:val="-1"/>
        </w:rPr>
        <w:t xml:space="preserve"> </w:t>
      </w:r>
      <w:r w:rsidRPr="00EC20A0">
        <w:t>data used by an auditor’s specialist</w:t>
      </w:r>
      <w:r w:rsidRPr="00EC20A0">
        <w:rPr>
          <w:spacing w:val="-1"/>
        </w:rPr>
        <w:t xml:space="preserve"> </w:t>
      </w:r>
      <w:r w:rsidRPr="00EC20A0">
        <w:t>is highly</w:t>
      </w:r>
      <w:r w:rsidRPr="00EC20A0">
        <w:rPr>
          <w:spacing w:val="-1"/>
        </w:rPr>
        <w:t xml:space="preserve"> </w:t>
      </w:r>
      <w:r w:rsidRPr="00EC20A0">
        <w:t>technical in relation</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field</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auditor’s</w:t>
      </w:r>
      <w:r w:rsidRPr="00EC20A0">
        <w:rPr>
          <w:spacing w:val="-4"/>
        </w:rPr>
        <w:t xml:space="preserve"> </w:t>
      </w:r>
      <w:r w:rsidRPr="00EC20A0">
        <w:t>specialist,</w:t>
      </w:r>
      <w:r w:rsidRPr="00EC20A0">
        <w:rPr>
          <w:spacing w:val="-3"/>
        </w:rPr>
        <w:t xml:space="preserve"> </w:t>
      </w:r>
      <w:r w:rsidRPr="00EC20A0">
        <w:t>that</w:t>
      </w:r>
      <w:r w:rsidRPr="00EC20A0">
        <w:rPr>
          <w:spacing w:val="-5"/>
        </w:rPr>
        <w:t xml:space="preserve"> </w:t>
      </w:r>
      <w:r w:rsidRPr="00EC20A0">
        <w:t>auditor’s</w:t>
      </w:r>
      <w:r w:rsidRPr="00EC20A0">
        <w:rPr>
          <w:spacing w:val="-3"/>
        </w:rPr>
        <w:t xml:space="preserve"> </w:t>
      </w:r>
      <w:r w:rsidRPr="00EC20A0">
        <w:t>specialist</w:t>
      </w:r>
      <w:r w:rsidRPr="00EC20A0">
        <w:rPr>
          <w:spacing w:val="-3"/>
        </w:rPr>
        <w:t xml:space="preserve"> </w:t>
      </w:r>
      <w:r w:rsidRPr="00EC20A0">
        <w:t>may</w:t>
      </w:r>
      <w:r w:rsidRPr="00EC20A0">
        <w:rPr>
          <w:spacing w:val="-3"/>
        </w:rPr>
        <w:t xml:space="preserve"> </w:t>
      </w:r>
      <w:r w:rsidRPr="00EC20A0">
        <w:t>test</w:t>
      </w:r>
      <w:r w:rsidRPr="00EC20A0">
        <w:rPr>
          <w:spacing w:val="-3"/>
        </w:rPr>
        <w:t xml:space="preserve"> </w:t>
      </w:r>
      <w:r w:rsidRPr="00EC20A0">
        <w:t xml:space="preserve">the source data. If the auditor’s specialist has tested the source data, it may be appropriate for the auditor to </w:t>
      </w:r>
      <w:r w:rsidRPr="00EC20A0">
        <w:t>conduct inquiry of the auditor’s specialist or to supervise or review the specialist’s test to evaluate the data’s relevance, completeness, and accuracy (AU-C 620.A42).</w:t>
      </w:r>
    </w:p>
    <w:p w14:paraId="24D5FF9E" w14:textId="77777777" w:rsidR="00245300" w:rsidRPr="00EC20A0" w:rsidRDefault="00F17249">
      <w:pPr>
        <w:pStyle w:val="Heading4"/>
      </w:pPr>
      <w:bookmarkStart w:id="39" w:name="Reference_to_the_Auditor’s_Specialist_in"/>
      <w:bookmarkEnd w:id="39"/>
      <w:r w:rsidRPr="00EC20A0">
        <w:t>Reference</w:t>
      </w:r>
      <w:r w:rsidRPr="00EC20A0">
        <w:rPr>
          <w:spacing w:val="-10"/>
        </w:rPr>
        <w:t xml:space="preserve"> </w:t>
      </w:r>
      <w:r w:rsidRPr="00EC20A0">
        <w:t>to</w:t>
      </w:r>
      <w:r w:rsidRPr="00EC20A0">
        <w:rPr>
          <w:spacing w:val="-11"/>
        </w:rPr>
        <w:t xml:space="preserve"> </w:t>
      </w:r>
      <w:r w:rsidRPr="00EC20A0">
        <w:t>the</w:t>
      </w:r>
      <w:r w:rsidRPr="00EC20A0">
        <w:rPr>
          <w:spacing w:val="-11"/>
        </w:rPr>
        <w:t xml:space="preserve"> </w:t>
      </w:r>
      <w:r w:rsidRPr="00EC20A0">
        <w:t>Auditor’s</w:t>
      </w:r>
      <w:r w:rsidRPr="00EC20A0">
        <w:rPr>
          <w:spacing w:val="-9"/>
        </w:rPr>
        <w:t xml:space="preserve"> </w:t>
      </w:r>
      <w:r w:rsidRPr="00EC20A0">
        <w:t>Specialist</w:t>
      </w:r>
      <w:r w:rsidRPr="00EC20A0">
        <w:rPr>
          <w:spacing w:val="-10"/>
        </w:rPr>
        <w:t xml:space="preserve"> </w:t>
      </w:r>
      <w:r w:rsidRPr="00EC20A0">
        <w:t>in</w:t>
      </w:r>
      <w:r w:rsidRPr="00EC20A0">
        <w:rPr>
          <w:spacing w:val="-11"/>
        </w:rPr>
        <w:t xml:space="preserve"> </w:t>
      </w:r>
      <w:r w:rsidRPr="00EC20A0">
        <w:t>the</w:t>
      </w:r>
      <w:r w:rsidRPr="00EC20A0">
        <w:rPr>
          <w:spacing w:val="-10"/>
        </w:rPr>
        <w:t xml:space="preserve"> </w:t>
      </w:r>
      <w:r w:rsidRPr="00EC20A0">
        <w:t>Auditor’s</w:t>
      </w:r>
      <w:r w:rsidRPr="00EC20A0">
        <w:rPr>
          <w:spacing w:val="-10"/>
        </w:rPr>
        <w:t xml:space="preserve"> </w:t>
      </w:r>
      <w:r w:rsidRPr="00EC20A0">
        <w:rPr>
          <w:spacing w:val="-2"/>
        </w:rPr>
        <w:t>Report</w:t>
      </w:r>
    </w:p>
    <w:p w14:paraId="24D5FF9F" w14:textId="77777777" w:rsidR="00245300" w:rsidRPr="00EC20A0" w:rsidRDefault="00F17249">
      <w:pPr>
        <w:pStyle w:val="ListParagraph"/>
        <w:numPr>
          <w:ilvl w:val="0"/>
          <w:numId w:val="217"/>
        </w:numPr>
        <w:tabs>
          <w:tab w:val="left" w:pos="1859"/>
        </w:tabs>
        <w:ind w:right="590" w:hanging="720"/>
      </w:pPr>
      <w:r w:rsidRPr="00EC20A0">
        <w:t>The auditor has sole responsibility for the audit opinion expressed, and that responsibility is not reduced by the auditor’s use of the work of an auditor’s specialist. Nonetheless,</w:t>
      </w:r>
      <w:r w:rsidRPr="00EC20A0">
        <w:rPr>
          <w:spacing w:val="-1"/>
        </w:rPr>
        <w:t xml:space="preserve"> </w:t>
      </w:r>
      <w:r w:rsidRPr="00EC20A0">
        <w:t>if the auditor</w:t>
      </w:r>
      <w:r w:rsidRPr="00EC20A0">
        <w:rPr>
          <w:spacing w:val="-1"/>
        </w:rPr>
        <w:t xml:space="preserve"> </w:t>
      </w:r>
      <w:r w:rsidRPr="00EC20A0">
        <w:t>using an auditor’s specialist’s work,</w:t>
      </w:r>
      <w:r w:rsidRPr="00EC20A0">
        <w:rPr>
          <w:spacing w:val="-1"/>
        </w:rPr>
        <w:t xml:space="preserve"> </w:t>
      </w:r>
      <w:r w:rsidRPr="00EC20A0">
        <w:t>having followed this section, concludes that the work of that specialist is adequate for the auditor’s purposes, the auditor may accept that specialist’s findings or conclusions</w:t>
      </w:r>
      <w:r w:rsidRPr="00EC20A0">
        <w:rPr>
          <w:spacing w:val="-5"/>
        </w:rPr>
        <w:t xml:space="preserve"> </w:t>
      </w:r>
      <w:r w:rsidRPr="00EC20A0">
        <w:t>in</w:t>
      </w:r>
      <w:r w:rsidRPr="00EC20A0">
        <w:rPr>
          <w:spacing w:val="-4"/>
        </w:rPr>
        <w:t xml:space="preserve"> </w:t>
      </w:r>
      <w:r w:rsidRPr="00EC20A0">
        <w:t>the</w:t>
      </w:r>
      <w:r w:rsidRPr="00EC20A0">
        <w:rPr>
          <w:spacing w:val="-4"/>
        </w:rPr>
        <w:t xml:space="preserve"> </w:t>
      </w:r>
      <w:r w:rsidRPr="00EC20A0">
        <w:t>specialist’s</w:t>
      </w:r>
      <w:r w:rsidRPr="00EC20A0">
        <w:rPr>
          <w:spacing w:val="-4"/>
        </w:rPr>
        <w:t xml:space="preserve"> </w:t>
      </w:r>
      <w:r w:rsidRPr="00EC20A0">
        <w:t>field</w:t>
      </w:r>
      <w:r w:rsidRPr="00EC20A0">
        <w:rPr>
          <w:spacing w:val="-4"/>
        </w:rPr>
        <w:t xml:space="preserve"> </w:t>
      </w:r>
      <w:r w:rsidRPr="00EC20A0">
        <w:t>as</w:t>
      </w:r>
      <w:r w:rsidRPr="00EC20A0">
        <w:rPr>
          <w:spacing w:val="-4"/>
        </w:rPr>
        <w:t xml:space="preserve"> </w:t>
      </w:r>
      <w:r w:rsidRPr="00EC20A0">
        <w:t>appropriate</w:t>
      </w:r>
      <w:r w:rsidRPr="00EC20A0">
        <w:rPr>
          <w:spacing w:val="-4"/>
        </w:rPr>
        <w:t xml:space="preserve"> </w:t>
      </w:r>
      <w:r w:rsidRPr="00EC20A0">
        <w:t>audit</w:t>
      </w:r>
      <w:r w:rsidRPr="00EC20A0">
        <w:rPr>
          <w:spacing w:val="-4"/>
        </w:rPr>
        <w:t xml:space="preserve"> </w:t>
      </w:r>
      <w:r w:rsidRPr="00EC20A0">
        <w:t>evidence</w:t>
      </w:r>
      <w:r w:rsidRPr="00EC20A0">
        <w:rPr>
          <w:spacing w:val="-4"/>
        </w:rPr>
        <w:t xml:space="preserve"> </w:t>
      </w:r>
      <w:r w:rsidRPr="00EC20A0">
        <w:t>(AU-C</w:t>
      </w:r>
      <w:r w:rsidRPr="00EC20A0">
        <w:rPr>
          <w:spacing w:val="-3"/>
        </w:rPr>
        <w:t xml:space="preserve"> </w:t>
      </w:r>
      <w:r w:rsidRPr="00EC20A0">
        <w:t>620.03).</w:t>
      </w:r>
    </w:p>
    <w:p w14:paraId="24D5FFA0" w14:textId="77777777" w:rsidR="00245300" w:rsidRPr="00EC20A0" w:rsidRDefault="00F17249">
      <w:pPr>
        <w:pStyle w:val="ListParagraph"/>
        <w:numPr>
          <w:ilvl w:val="0"/>
          <w:numId w:val="217"/>
        </w:numPr>
        <w:tabs>
          <w:tab w:val="left" w:pos="1859"/>
        </w:tabs>
        <w:ind w:right="689" w:hanging="720"/>
      </w:pPr>
      <w:r w:rsidRPr="00EC20A0">
        <w:t>If the auditor concludes that the work of the auditor’s specialist is not adequate for</w:t>
      </w:r>
      <w:r w:rsidRPr="00EC20A0">
        <w:rPr>
          <w:spacing w:val="-4"/>
        </w:rPr>
        <w:t xml:space="preserve"> </w:t>
      </w:r>
      <w:r w:rsidRPr="00EC20A0">
        <w:t>the</w:t>
      </w:r>
      <w:r w:rsidRPr="00EC20A0">
        <w:rPr>
          <w:spacing w:val="-4"/>
        </w:rPr>
        <w:t xml:space="preserve"> </w:t>
      </w:r>
      <w:r w:rsidRPr="00EC20A0">
        <w:t>auditor’s</w:t>
      </w:r>
      <w:r w:rsidRPr="00EC20A0">
        <w:rPr>
          <w:spacing w:val="-3"/>
        </w:rPr>
        <w:t xml:space="preserve"> </w:t>
      </w:r>
      <w:r w:rsidRPr="00EC20A0">
        <w:t>purposes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cannot</w:t>
      </w:r>
      <w:r w:rsidRPr="00EC20A0">
        <w:rPr>
          <w:spacing w:val="-4"/>
        </w:rPr>
        <w:t xml:space="preserve"> </w:t>
      </w:r>
      <w:r w:rsidRPr="00EC20A0">
        <w:t>resolve</w:t>
      </w:r>
      <w:r w:rsidRPr="00EC20A0">
        <w:rPr>
          <w:spacing w:val="-4"/>
        </w:rPr>
        <w:t xml:space="preserve"> </w:t>
      </w:r>
      <w:r w:rsidRPr="00EC20A0">
        <w:t>the</w:t>
      </w:r>
      <w:r w:rsidRPr="00EC20A0">
        <w:rPr>
          <w:spacing w:val="-4"/>
        </w:rPr>
        <w:t xml:space="preserve"> </w:t>
      </w:r>
      <w:r w:rsidRPr="00EC20A0">
        <w:t>matter</w:t>
      </w:r>
      <w:r w:rsidRPr="00EC20A0">
        <w:rPr>
          <w:spacing w:val="-4"/>
        </w:rPr>
        <w:t xml:space="preserve"> </w:t>
      </w:r>
      <w:r w:rsidRPr="00EC20A0">
        <w:t>through</w:t>
      </w:r>
      <w:r w:rsidRPr="00EC20A0">
        <w:rPr>
          <w:spacing w:val="-4"/>
        </w:rPr>
        <w:t xml:space="preserve"> </w:t>
      </w:r>
      <w:r w:rsidRPr="00EC20A0">
        <w:t xml:space="preserve">the additional audit procedures discussed in FAM 620.29, it may be necessary to express a modified opinion in the auditor’s report, as </w:t>
      </w:r>
      <w:r w:rsidRPr="00EC20A0">
        <w:t>discussed in FAM 580 (AU-C 620.A44).</w:t>
      </w:r>
    </w:p>
    <w:p w14:paraId="24D5FFA1" w14:textId="77777777" w:rsidR="00245300" w:rsidRPr="00EC20A0" w:rsidRDefault="00F17249">
      <w:pPr>
        <w:pStyle w:val="ListParagraph"/>
        <w:numPr>
          <w:ilvl w:val="0"/>
          <w:numId w:val="217"/>
        </w:numPr>
        <w:tabs>
          <w:tab w:val="left" w:pos="1859"/>
        </w:tabs>
        <w:ind w:right="654" w:hanging="720"/>
      </w:pPr>
      <w:r w:rsidRPr="00EC20A0">
        <w:t xml:space="preserve">The auditor should </w:t>
      </w:r>
      <w:r w:rsidRPr="00EC20A0">
        <w:rPr>
          <w:u w:val="single"/>
        </w:rPr>
        <w:t>not</w:t>
      </w:r>
      <w:r w:rsidRPr="00EC20A0">
        <w:t xml:space="preserve"> refer to the work of an auditor’s specialist in an auditor’s report containing an unmodified opinion (AU-C 620.14). In this situation, the auditor issues the example report in FAM 595 A (as if no specialist were involved). This means that the auditor takes responsibility for the specialist’s work. Professional standards do not permit referring to a specialist unless the auditor</w:t>
      </w:r>
      <w:r w:rsidRPr="00EC20A0">
        <w:rPr>
          <w:spacing w:val="-3"/>
        </w:rPr>
        <w:t xml:space="preserve"> </w:t>
      </w:r>
      <w:r w:rsidRPr="00EC20A0">
        <w:t>issues</w:t>
      </w:r>
      <w:r w:rsidRPr="00EC20A0">
        <w:rPr>
          <w:spacing w:val="-3"/>
        </w:rPr>
        <w:t xml:space="preserve"> </w:t>
      </w:r>
      <w:r w:rsidRPr="00EC20A0">
        <w:t>a</w:t>
      </w:r>
      <w:r w:rsidRPr="00EC20A0">
        <w:rPr>
          <w:spacing w:val="-3"/>
        </w:rPr>
        <w:t xml:space="preserve"> </w:t>
      </w:r>
      <w:r w:rsidRPr="00EC20A0">
        <w:t>qualified</w:t>
      </w:r>
      <w:r w:rsidRPr="00EC20A0">
        <w:rPr>
          <w:spacing w:val="-3"/>
        </w:rPr>
        <w:t xml:space="preserve"> </w:t>
      </w:r>
      <w:r w:rsidRPr="00EC20A0">
        <w:t>or</w:t>
      </w:r>
      <w:r w:rsidRPr="00EC20A0">
        <w:rPr>
          <w:spacing w:val="-3"/>
        </w:rPr>
        <w:t xml:space="preserve"> </w:t>
      </w:r>
      <w:r w:rsidRPr="00EC20A0">
        <w:t>adverse</w:t>
      </w:r>
      <w:r w:rsidRPr="00EC20A0">
        <w:rPr>
          <w:spacing w:val="-4"/>
        </w:rPr>
        <w:t xml:space="preserve"> </w:t>
      </w:r>
      <w:r w:rsidRPr="00EC20A0">
        <w:t>opinion</w:t>
      </w:r>
      <w:r w:rsidRPr="00EC20A0">
        <w:rPr>
          <w:spacing w:val="-3"/>
        </w:rPr>
        <w:t xml:space="preserve"> </w:t>
      </w:r>
      <w:r w:rsidRPr="00EC20A0">
        <w:t>or</w:t>
      </w:r>
      <w:r w:rsidRPr="00EC20A0">
        <w:rPr>
          <w:spacing w:val="-3"/>
        </w:rPr>
        <w:t xml:space="preserve"> </w:t>
      </w:r>
      <w:r w:rsidRPr="00EC20A0">
        <w:t>a</w:t>
      </w:r>
      <w:r w:rsidRPr="00EC20A0">
        <w:rPr>
          <w:spacing w:val="-4"/>
        </w:rPr>
        <w:t xml:space="preserve"> </w:t>
      </w:r>
      <w:r w:rsidRPr="00EC20A0">
        <w:t>disclaimer</w:t>
      </w:r>
      <w:r w:rsidRPr="00EC20A0">
        <w:rPr>
          <w:spacing w:val="-3"/>
        </w:rPr>
        <w:t xml:space="preserve"> </w:t>
      </w:r>
      <w:r w:rsidRPr="00EC20A0">
        <w:t>of</w:t>
      </w:r>
      <w:r w:rsidRPr="00EC20A0">
        <w:rPr>
          <w:spacing w:val="-3"/>
        </w:rPr>
        <w:t xml:space="preserve"> </w:t>
      </w:r>
      <w:r w:rsidRPr="00EC20A0">
        <w:t>opinion</w:t>
      </w:r>
      <w:r w:rsidRPr="00EC20A0">
        <w:rPr>
          <w:spacing w:val="-3"/>
        </w:rPr>
        <w:t xml:space="preserve"> </w:t>
      </w:r>
      <w:r w:rsidRPr="00EC20A0">
        <w:t>based</w:t>
      </w:r>
      <w:r w:rsidRPr="00EC20A0">
        <w:rPr>
          <w:spacing w:val="-3"/>
        </w:rPr>
        <w:t xml:space="preserve"> </w:t>
      </w:r>
      <w:r w:rsidRPr="00EC20A0">
        <w:t>on the specialist’s work.</w:t>
      </w:r>
    </w:p>
    <w:p w14:paraId="24D5FFA2" w14:textId="77777777" w:rsidR="00245300" w:rsidRPr="00EC20A0" w:rsidRDefault="00F17249">
      <w:pPr>
        <w:pStyle w:val="ListParagraph"/>
        <w:numPr>
          <w:ilvl w:val="0"/>
          <w:numId w:val="217"/>
        </w:numPr>
        <w:tabs>
          <w:tab w:val="left" w:pos="1860"/>
        </w:tabs>
        <w:ind w:left="1860" w:right="505"/>
      </w:pPr>
      <w:r w:rsidRPr="00EC20A0">
        <w:t>If</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makes</w:t>
      </w:r>
      <w:r w:rsidRPr="00EC20A0">
        <w:rPr>
          <w:spacing w:val="-3"/>
        </w:rPr>
        <w:t xml:space="preserve"> </w:t>
      </w:r>
      <w:r w:rsidRPr="00EC20A0">
        <w:t>reference</w:t>
      </w:r>
      <w:r w:rsidRPr="00EC20A0">
        <w:rPr>
          <w:spacing w:val="-3"/>
        </w:rPr>
        <w:t xml:space="preserve"> </w:t>
      </w:r>
      <w:r w:rsidRPr="00EC20A0">
        <w:t>to</w:t>
      </w:r>
      <w:r w:rsidRPr="00EC20A0">
        <w:rPr>
          <w:spacing w:val="-3"/>
        </w:rPr>
        <w:t xml:space="preserve"> </w:t>
      </w:r>
      <w:r w:rsidRPr="00EC20A0">
        <w:t>the</w:t>
      </w:r>
      <w:r w:rsidRPr="00EC20A0">
        <w:rPr>
          <w:spacing w:val="-4"/>
        </w:rPr>
        <w:t xml:space="preserve"> </w:t>
      </w:r>
      <w:r w:rsidRPr="00EC20A0">
        <w:t>work</w:t>
      </w:r>
      <w:r w:rsidRPr="00EC20A0">
        <w:rPr>
          <w:spacing w:val="-3"/>
        </w:rPr>
        <w:t xml:space="preserve"> </w:t>
      </w:r>
      <w:r w:rsidRPr="00EC20A0">
        <w:t>of</w:t>
      </w:r>
      <w:r w:rsidRPr="00EC20A0">
        <w:rPr>
          <w:spacing w:val="-3"/>
        </w:rPr>
        <w:t xml:space="preserve"> </w:t>
      </w:r>
      <w:r w:rsidRPr="00EC20A0">
        <w:t>an</w:t>
      </w:r>
      <w:r w:rsidRPr="00EC20A0">
        <w:rPr>
          <w:spacing w:val="-3"/>
        </w:rPr>
        <w:t xml:space="preserve"> </w:t>
      </w:r>
      <w:r w:rsidRPr="00EC20A0">
        <w:t>auditor’s</w:t>
      </w:r>
      <w:r w:rsidRPr="00EC20A0">
        <w:rPr>
          <w:spacing w:val="-3"/>
        </w:rPr>
        <w:t xml:space="preserve"> </w:t>
      </w:r>
      <w:r w:rsidRPr="00EC20A0">
        <w:t>external</w:t>
      </w:r>
      <w:r w:rsidRPr="00EC20A0">
        <w:rPr>
          <w:spacing w:val="-3"/>
        </w:rPr>
        <w:t xml:space="preserve"> </w:t>
      </w:r>
      <w:r w:rsidRPr="00EC20A0">
        <w:t>specialist</w:t>
      </w:r>
      <w:r w:rsidRPr="00EC20A0">
        <w:rPr>
          <w:spacing w:val="-3"/>
        </w:rPr>
        <w:t xml:space="preserve"> </w:t>
      </w:r>
      <w:r w:rsidRPr="00EC20A0">
        <w:t>in</w:t>
      </w:r>
      <w:r w:rsidRPr="00EC20A0">
        <w:rPr>
          <w:spacing w:val="-3"/>
        </w:rPr>
        <w:t xml:space="preserve"> </w:t>
      </w:r>
      <w:r w:rsidRPr="00EC20A0">
        <w:t xml:space="preserve">the auditor’s report because such reference is relevant to an understanding of a modification to the auditor’s opinion, the auditor should </w:t>
      </w:r>
      <w:r w:rsidRPr="00EC20A0">
        <w:t>indicate in the auditor's report that such reference does not reduce the auditor’s responsibility for that opinion (AU-C 620.15). In such circumstances, the auditor may need the specialist’s permission before making such a reference (AU-C 620.A46).</w:t>
      </w:r>
    </w:p>
    <w:p w14:paraId="24D5FFA3" w14:textId="77777777" w:rsidR="00245300" w:rsidRPr="00EC20A0" w:rsidRDefault="00F17249">
      <w:pPr>
        <w:pStyle w:val="Heading4"/>
        <w:spacing w:before="241"/>
      </w:pPr>
      <w:r w:rsidRPr="00EC20A0">
        <w:rPr>
          <w:spacing w:val="-2"/>
        </w:rPr>
        <w:t>Documentation</w:t>
      </w:r>
    </w:p>
    <w:p w14:paraId="24D5FFA4" w14:textId="77777777" w:rsidR="00245300" w:rsidRPr="00EC20A0" w:rsidRDefault="00F17249">
      <w:pPr>
        <w:pStyle w:val="ListParagraph"/>
        <w:numPr>
          <w:ilvl w:val="0"/>
          <w:numId w:val="217"/>
        </w:numPr>
        <w:tabs>
          <w:tab w:val="left" w:pos="1860"/>
        </w:tabs>
        <w:spacing w:before="239"/>
        <w:ind w:left="1860" w:right="553"/>
      </w:pPr>
      <w:r w:rsidRPr="00EC20A0">
        <w:t>In the overall audit strategy, the auditor should include or refer to other documentation</w:t>
      </w:r>
      <w:r w:rsidRPr="00EC20A0">
        <w:rPr>
          <w:spacing w:val="-4"/>
        </w:rPr>
        <w:t xml:space="preserve"> </w:t>
      </w:r>
      <w:r w:rsidRPr="00EC20A0">
        <w:t>where</w:t>
      </w:r>
      <w:r w:rsidRPr="00EC20A0">
        <w:rPr>
          <w:spacing w:val="-4"/>
        </w:rPr>
        <w:t xml:space="preserve"> </w:t>
      </w:r>
      <w:r w:rsidRPr="00EC20A0">
        <w:t>this</w:t>
      </w:r>
      <w:r w:rsidRPr="00EC20A0">
        <w:rPr>
          <w:spacing w:val="-4"/>
        </w:rPr>
        <w:t xml:space="preserve"> </w:t>
      </w:r>
      <w:r w:rsidRPr="00EC20A0">
        <w:t>information</w:t>
      </w:r>
      <w:r w:rsidRPr="00EC20A0">
        <w:rPr>
          <w:spacing w:val="-4"/>
        </w:rPr>
        <w:t xml:space="preserve"> </w:t>
      </w:r>
      <w:r w:rsidRPr="00EC20A0">
        <w:t>is</w:t>
      </w:r>
      <w:r w:rsidRPr="00EC20A0">
        <w:rPr>
          <w:spacing w:val="-4"/>
        </w:rPr>
        <w:t xml:space="preserve"> </w:t>
      </w:r>
      <w:r w:rsidRPr="00EC20A0">
        <w:t>described</w:t>
      </w:r>
      <w:r w:rsidRPr="00EC20A0">
        <w:rPr>
          <w:spacing w:val="-4"/>
        </w:rPr>
        <w:t xml:space="preserve"> </w:t>
      </w:r>
      <w:r w:rsidRPr="00EC20A0">
        <w:t>in</w:t>
      </w:r>
      <w:r w:rsidRPr="00EC20A0">
        <w:rPr>
          <w:spacing w:val="-4"/>
        </w:rPr>
        <w:t xml:space="preserve"> </w:t>
      </w:r>
      <w:r w:rsidRPr="00EC20A0">
        <w:t>more</w:t>
      </w:r>
      <w:r w:rsidRPr="00EC20A0">
        <w:rPr>
          <w:spacing w:val="-4"/>
        </w:rPr>
        <w:t xml:space="preserve"> </w:t>
      </w:r>
      <w:r w:rsidRPr="00EC20A0">
        <w:t>detail</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 xml:space="preserve">following </w:t>
      </w:r>
      <w:r w:rsidRPr="00EC20A0">
        <w:rPr>
          <w:spacing w:val="-2"/>
        </w:rPr>
        <w:t>areas:</w:t>
      </w:r>
    </w:p>
    <w:p w14:paraId="24D5FFA5" w14:textId="77777777" w:rsidR="00245300" w:rsidRPr="00EC20A0" w:rsidRDefault="00F17249">
      <w:pPr>
        <w:pStyle w:val="ListParagraph"/>
        <w:numPr>
          <w:ilvl w:val="1"/>
          <w:numId w:val="217"/>
        </w:numPr>
        <w:tabs>
          <w:tab w:val="left" w:pos="2219"/>
        </w:tabs>
        <w:spacing w:before="239"/>
        <w:ind w:left="2219" w:right="1638"/>
      </w:pPr>
      <w:r w:rsidRPr="00EC20A0">
        <w:t>Determination</w:t>
      </w:r>
      <w:r w:rsidRPr="00EC20A0">
        <w:rPr>
          <w:spacing w:val="-4"/>
        </w:rPr>
        <w:t xml:space="preserve"> </w:t>
      </w:r>
      <w:r w:rsidRPr="00EC20A0">
        <w:t>of</w:t>
      </w:r>
      <w:r w:rsidRPr="00EC20A0">
        <w:rPr>
          <w:spacing w:val="-4"/>
        </w:rPr>
        <w:t xml:space="preserve"> </w:t>
      </w:r>
      <w:r w:rsidRPr="00EC20A0">
        <w:t>whether</w:t>
      </w:r>
      <w:r w:rsidRPr="00EC20A0">
        <w:rPr>
          <w:spacing w:val="-4"/>
        </w:rPr>
        <w:t xml:space="preserve"> </w:t>
      </w:r>
      <w:r w:rsidRPr="00EC20A0">
        <w:t>to</w:t>
      </w:r>
      <w:r w:rsidRPr="00EC20A0">
        <w:rPr>
          <w:spacing w:val="-4"/>
        </w:rPr>
        <w:t xml:space="preserve"> </w:t>
      </w:r>
      <w:r w:rsidRPr="00EC20A0">
        <w:t>use</w:t>
      </w:r>
      <w:r w:rsidRPr="00EC20A0">
        <w:rPr>
          <w:spacing w:val="-4"/>
        </w:rPr>
        <w:t xml:space="preserve"> </w:t>
      </w:r>
      <w:r w:rsidRPr="00EC20A0">
        <w:t>the</w:t>
      </w:r>
      <w:r w:rsidRPr="00EC20A0">
        <w:rPr>
          <w:spacing w:val="-5"/>
        </w:rPr>
        <w:t xml:space="preserve"> </w:t>
      </w:r>
      <w:r w:rsidRPr="00EC20A0">
        <w:t>work</w:t>
      </w:r>
      <w:r w:rsidRPr="00EC20A0">
        <w:rPr>
          <w:spacing w:val="-4"/>
        </w:rPr>
        <w:t xml:space="preserve"> </w:t>
      </w:r>
      <w:r w:rsidRPr="00EC20A0">
        <w:t>of</w:t>
      </w:r>
      <w:r w:rsidRPr="00EC20A0">
        <w:rPr>
          <w:spacing w:val="-4"/>
        </w:rPr>
        <w:t xml:space="preserve"> </w:t>
      </w:r>
      <w:r w:rsidRPr="00EC20A0">
        <w:t>an</w:t>
      </w:r>
      <w:r w:rsidRPr="00EC20A0">
        <w:rPr>
          <w:spacing w:val="-4"/>
        </w:rPr>
        <w:t xml:space="preserve"> </w:t>
      </w:r>
      <w:r w:rsidRPr="00EC20A0">
        <w:t>auditor’s</w:t>
      </w:r>
      <w:r w:rsidRPr="00EC20A0">
        <w:rPr>
          <w:spacing w:val="-4"/>
        </w:rPr>
        <w:t xml:space="preserve"> </w:t>
      </w:r>
      <w:r w:rsidRPr="00EC20A0">
        <w:t xml:space="preserve">specialist (AU-C </w:t>
      </w:r>
      <w:r w:rsidRPr="00EC20A0">
        <w:t>620.07).</w:t>
      </w:r>
    </w:p>
    <w:p w14:paraId="24D5FFA6" w14:textId="77777777" w:rsidR="00245300" w:rsidRPr="00EC20A0" w:rsidRDefault="00245300">
      <w:pPr>
        <w:sectPr w:rsidR="00245300" w:rsidRPr="00EC20A0">
          <w:pgSz w:w="12240" w:h="15840"/>
          <w:pgMar w:top="1340" w:right="940" w:bottom="940" w:left="1020" w:header="721" w:footer="757" w:gutter="0"/>
          <w:cols w:space="720"/>
        </w:sectPr>
      </w:pPr>
    </w:p>
    <w:p w14:paraId="24D5FFA7" w14:textId="77777777" w:rsidR="00245300" w:rsidRPr="00EC20A0" w:rsidRDefault="00F17249">
      <w:pPr>
        <w:pStyle w:val="ListParagraph"/>
        <w:numPr>
          <w:ilvl w:val="1"/>
          <w:numId w:val="217"/>
        </w:numPr>
        <w:tabs>
          <w:tab w:val="left" w:pos="2219"/>
        </w:tabs>
        <w:spacing w:before="121"/>
        <w:ind w:left="2219" w:right="866"/>
      </w:pPr>
      <w:r w:rsidRPr="00EC20A0">
        <w:t>Matters</w:t>
      </w:r>
      <w:r w:rsidRPr="00EC20A0">
        <w:rPr>
          <w:spacing w:val="-4"/>
        </w:rPr>
        <w:t xml:space="preserve"> </w:t>
      </w:r>
      <w:r w:rsidRPr="00EC20A0">
        <w:t>considered</w:t>
      </w:r>
      <w:r w:rsidRPr="00EC20A0">
        <w:rPr>
          <w:spacing w:val="-4"/>
        </w:rPr>
        <w:t xml:space="preserve"> </w:t>
      </w:r>
      <w:r w:rsidRPr="00EC20A0">
        <w:t>when</w:t>
      </w:r>
      <w:r w:rsidRPr="00EC20A0">
        <w:rPr>
          <w:spacing w:val="-4"/>
        </w:rPr>
        <w:t xml:space="preserve"> </w:t>
      </w:r>
      <w:r w:rsidRPr="00EC20A0">
        <w:t>determining</w:t>
      </w:r>
      <w:r w:rsidRPr="00EC20A0">
        <w:rPr>
          <w:spacing w:val="-4"/>
        </w:rPr>
        <w:t xml:space="preserve"> </w:t>
      </w:r>
      <w:r w:rsidRPr="00EC20A0">
        <w:t>the</w:t>
      </w:r>
      <w:r w:rsidRPr="00EC20A0">
        <w:rPr>
          <w:spacing w:val="-4"/>
        </w:rPr>
        <w:t xml:space="preserve"> </w:t>
      </w:r>
      <w:r w:rsidRPr="00EC20A0">
        <w:t>nature,</w:t>
      </w:r>
      <w:r w:rsidRPr="00EC20A0">
        <w:rPr>
          <w:spacing w:val="-4"/>
        </w:rPr>
        <w:t xml:space="preserve"> </w:t>
      </w:r>
      <w:r w:rsidRPr="00EC20A0">
        <w:t>timing,</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the auditor’s procedures with respect to the requirements of this section</w:t>
      </w:r>
    </w:p>
    <w:p w14:paraId="24D5FFA8" w14:textId="77777777" w:rsidR="00245300" w:rsidRPr="00EC20A0" w:rsidRDefault="00F17249">
      <w:pPr>
        <w:pStyle w:val="BodyText"/>
        <w:spacing w:line="252" w:lineRule="exact"/>
        <w:ind w:left="2219"/>
      </w:pPr>
      <w:r w:rsidRPr="00EC20A0">
        <w:t>(AU-C</w:t>
      </w:r>
      <w:r w:rsidRPr="00EC20A0">
        <w:rPr>
          <w:spacing w:val="-9"/>
        </w:rPr>
        <w:t xml:space="preserve"> </w:t>
      </w:r>
      <w:r w:rsidRPr="00EC20A0">
        <w:rPr>
          <w:spacing w:val="-2"/>
        </w:rPr>
        <w:t>620.08).</w:t>
      </w:r>
    </w:p>
    <w:p w14:paraId="24D5FFA9" w14:textId="77777777" w:rsidR="00245300" w:rsidRPr="00EC20A0" w:rsidRDefault="00F17249">
      <w:pPr>
        <w:pStyle w:val="ListParagraph"/>
        <w:numPr>
          <w:ilvl w:val="1"/>
          <w:numId w:val="217"/>
        </w:numPr>
        <w:tabs>
          <w:tab w:val="left" w:pos="2219"/>
        </w:tabs>
        <w:spacing w:before="239"/>
        <w:ind w:left="2219" w:right="684"/>
      </w:pPr>
      <w:r w:rsidRPr="00EC20A0">
        <w:t>Evaluation of whether the specialist has the necessary independence, objectivity, competence, and capabilities for the auditor’s purposes (AU-C 620.09). This evaluation may be limited if the individual or organization is subject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organization’s</w:t>
      </w:r>
      <w:r w:rsidRPr="00EC20A0">
        <w:rPr>
          <w:spacing w:val="-4"/>
        </w:rPr>
        <w:t xml:space="preserve"> </w:t>
      </w:r>
      <w:r w:rsidRPr="00EC20A0">
        <w:t>quality</w:t>
      </w:r>
      <w:r w:rsidRPr="00EC20A0">
        <w:rPr>
          <w:spacing w:val="-5"/>
        </w:rPr>
        <w:t xml:space="preserve"> </w:t>
      </w:r>
      <w:r w:rsidRPr="00EC20A0">
        <w:t>control</w:t>
      </w:r>
      <w:r w:rsidRPr="00EC20A0">
        <w:rPr>
          <w:spacing w:val="-4"/>
        </w:rPr>
        <w:t xml:space="preserve"> </w:t>
      </w:r>
      <w:r w:rsidRPr="00EC20A0">
        <w:t>procedures</w:t>
      </w:r>
      <w:r w:rsidRPr="00EC20A0">
        <w:rPr>
          <w:spacing w:val="-4"/>
        </w:rPr>
        <w:t xml:space="preserve"> </w:t>
      </w:r>
      <w:r w:rsidRPr="00EC20A0">
        <w:t>or</w:t>
      </w:r>
      <w:r w:rsidRPr="00EC20A0">
        <w:rPr>
          <w:spacing w:val="-4"/>
        </w:rPr>
        <w:t xml:space="preserve"> </w:t>
      </w:r>
      <w:r w:rsidRPr="00EC20A0">
        <w:t>to</w:t>
      </w:r>
      <w:r w:rsidRPr="00EC20A0">
        <w:rPr>
          <w:spacing w:val="-4"/>
        </w:rPr>
        <w:t xml:space="preserve"> </w:t>
      </w:r>
      <w:r w:rsidRPr="00EC20A0">
        <w:t xml:space="preserve">formal </w:t>
      </w:r>
      <w:r w:rsidRPr="00EC20A0">
        <w:rPr>
          <w:spacing w:val="-2"/>
        </w:rPr>
        <w:t>contracts.</w:t>
      </w:r>
    </w:p>
    <w:p w14:paraId="24D5FFAA" w14:textId="77777777" w:rsidR="00245300" w:rsidRPr="00EC20A0" w:rsidRDefault="00F17249">
      <w:pPr>
        <w:pStyle w:val="ListParagraph"/>
        <w:numPr>
          <w:ilvl w:val="1"/>
          <w:numId w:val="217"/>
        </w:numPr>
        <w:tabs>
          <w:tab w:val="left" w:pos="2218"/>
        </w:tabs>
        <w:spacing w:before="238"/>
        <w:ind w:left="2218" w:right="733"/>
      </w:pPr>
      <w:r w:rsidRPr="00EC20A0">
        <w:t>Understanding of the auditor’s specialist’s field of expertise, enabling the auditor to determine the nature, scope, and objectives of the auditor’s specialist’s</w:t>
      </w:r>
      <w:r w:rsidRPr="00EC20A0">
        <w:rPr>
          <w:spacing w:val="-5"/>
        </w:rPr>
        <w:t xml:space="preserve"> </w:t>
      </w:r>
      <w:r w:rsidRPr="00EC20A0">
        <w:t>work</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purposes</w:t>
      </w:r>
      <w:r w:rsidRPr="00EC20A0">
        <w:rPr>
          <w:spacing w:val="-4"/>
        </w:rPr>
        <w:t xml:space="preserve"> </w:t>
      </w:r>
      <w:r w:rsidRPr="00EC20A0">
        <w:t>and</w:t>
      </w:r>
      <w:r w:rsidRPr="00EC20A0">
        <w:rPr>
          <w:spacing w:val="-4"/>
        </w:rPr>
        <w:t xml:space="preserve"> </w:t>
      </w:r>
      <w:r w:rsidRPr="00EC20A0">
        <w:t>to</w:t>
      </w:r>
      <w:r w:rsidRPr="00EC20A0">
        <w:rPr>
          <w:spacing w:val="-4"/>
        </w:rPr>
        <w:t xml:space="preserve"> </w:t>
      </w:r>
      <w:r w:rsidRPr="00EC20A0">
        <w:t>evaluate</w:t>
      </w:r>
      <w:r w:rsidRPr="00EC20A0">
        <w:rPr>
          <w:spacing w:val="-4"/>
        </w:rPr>
        <w:t xml:space="preserve"> </w:t>
      </w:r>
      <w:r w:rsidRPr="00EC20A0">
        <w:t>the</w:t>
      </w:r>
      <w:r w:rsidRPr="00EC20A0">
        <w:rPr>
          <w:spacing w:val="-4"/>
        </w:rPr>
        <w:t xml:space="preserve"> </w:t>
      </w:r>
      <w:r w:rsidRPr="00EC20A0">
        <w:t>adequacy</w:t>
      </w:r>
      <w:r w:rsidRPr="00EC20A0">
        <w:rPr>
          <w:spacing w:val="-4"/>
        </w:rPr>
        <w:t xml:space="preserve"> </w:t>
      </w:r>
      <w:r w:rsidRPr="00EC20A0">
        <w:t xml:space="preserve">of that work for the auditor’s purposes (AU-C </w:t>
      </w:r>
      <w:r w:rsidRPr="00EC20A0">
        <w:t>620.10).</w:t>
      </w:r>
    </w:p>
    <w:p w14:paraId="24D5FFAB" w14:textId="77777777" w:rsidR="00245300" w:rsidRPr="00EC20A0" w:rsidRDefault="00F17249">
      <w:pPr>
        <w:pStyle w:val="ListParagraph"/>
        <w:numPr>
          <w:ilvl w:val="0"/>
          <w:numId w:val="217"/>
        </w:numPr>
        <w:tabs>
          <w:tab w:val="left" w:pos="1859"/>
        </w:tabs>
        <w:spacing w:before="239"/>
        <w:ind w:right="518"/>
      </w:pPr>
      <w:r w:rsidRPr="00EC20A0">
        <w:t>The auditor should document the understanding of the agreement between the auditor and the specialist (AU-C 620.11). This documentation may consist of planning</w:t>
      </w:r>
      <w:r w:rsidRPr="00EC20A0">
        <w:rPr>
          <w:spacing w:val="-5"/>
        </w:rPr>
        <w:t xml:space="preserve"> </w:t>
      </w:r>
      <w:r w:rsidRPr="00EC20A0">
        <w:t>memorandums,</w:t>
      </w:r>
      <w:r w:rsidRPr="00EC20A0">
        <w:rPr>
          <w:spacing w:val="-4"/>
        </w:rPr>
        <w:t xml:space="preserve"> </w:t>
      </w:r>
      <w:r w:rsidRPr="00EC20A0">
        <w:t>audit</w:t>
      </w:r>
      <w:r w:rsidRPr="00EC20A0">
        <w:rPr>
          <w:spacing w:val="-5"/>
        </w:rPr>
        <w:t xml:space="preserve"> </w:t>
      </w:r>
      <w:r w:rsidRPr="00EC20A0">
        <w:t>programs,</w:t>
      </w:r>
      <w:r w:rsidRPr="00EC20A0">
        <w:rPr>
          <w:spacing w:val="-5"/>
        </w:rPr>
        <w:t xml:space="preserve"> </w:t>
      </w:r>
      <w:r w:rsidRPr="00EC20A0">
        <w:t>policies</w:t>
      </w:r>
      <w:r w:rsidRPr="00EC20A0">
        <w:rPr>
          <w:spacing w:val="-5"/>
        </w:rPr>
        <w:t xml:space="preserve"> </w:t>
      </w:r>
      <w:r w:rsidRPr="00EC20A0">
        <w:t>and</w:t>
      </w:r>
      <w:r w:rsidRPr="00EC20A0">
        <w:rPr>
          <w:spacing w:val="-5"/>
        </w:rPr>
        <w:t xml:space="preserve"> </w:t>
      </w:r>
      <w:r w:rsidRPr="00EC20A0">
        <w:t>procedures</w:t>
      </w:r>
      <w:r w:rsidRPr="00EC20A0">
        <w:rPr>
          <w:spacing w:val="-5"/>
        </w:rPr>
        <w:t xml:space="preserve"> </w:t>
      </w:r>
      <w:r w:rsidRPr="00EC20A0">
        <w:t>of</w:t>
      </w:r>
      <w:r w:rsidRPr="00EC20A0">
        <w:rPr>
          <w:spacing w:val="-5"/>
        </w:rPr>
        <w:t xml:space="preserve"> </w:t>
      </w:r>
      <w:r w:rsidRPr="00EC20A0">
        <w:t>the</w:t>
      </w:r>
      <w:r w:rsidRPr="00EC20A0">
        <w:rPr>
          <w:spacing w:val="-6"/>
        </w:rPr>
        <w:t xml:space="preserve"> </w:t>
      </w:r>
      <w:r w:rsidRPr="00EC20A0">
        <w:t>auditor’s organization, or formal contracts when appropriate.</w:t>
      </w:r>
    </w:p>
    <w:p w14:paraId="24D5FFAC" w14:textId="77777777" w:rsidR="00245300" w:rsidRPr="00EC20A0" w:rsidRDefault="00F17249">
      <w:pPr>
        <w:pStyle w:val="ListParagraph"/>
        <w:numPr>
          <w:ilvl w:val="0"/>
          <w:numId w:val="217"/>
        </w:numPr>
        <w:tabs>
          <w:tab w:val="left" w:pos="1858"/>
        </w:tabs>
        <w:ind w:left="1858" w:right="579" w:hanging="719"/>
      </w:pPr>
      <w:r w:rsidRPr="00EC20A0">
        <w:t>The auditor should document evaluation of the adequacy of the auditor’s specialist’s work in the audit summary memorandum, including the auditor’s conclusions</w:t>
      </w:r>
      <w:r w:rsidRPr="00EC20A0">
        <w:rPr>
          <w:spacing w:val="-5"/>
        </w:rPr>
        <w:t xml:space="preserve"> </w:t>
      </w:r>
      <w:r w:rsidRPr="00EC20A0">
        <w:t>on</w:t>
      </w:r>
      <w:r w:rsidRPr="00EC20A0">
        <w:rPr>
          <w:spacing w:val="-4"/>
        </w:rPr>
        <w:t xml:space="preserve"> </w:t>
      </w:r>
      <w:r w:rsidRPr="00EC20A0">
        <w:t>the</w:t>
      </w:r>
      <w:r w:rsidRPr="00EC20A0">
        <w:rPr>
          <w:spacing w:val="-4"/>
        </w:rPr>
        <w:t xml:space="preserve"> </w:t>
      </w:r>
      <w:r w:rsidRPr="00EC20A0">
        <w:t>(1)</w:t>
      </w:r>
      <w:r w:rsidRPr="00EC20A0">
        <w:rPr>
          <w:spacing w:val="-4"/>
        </w:rPr>
        <w:t xml:space="preserve"> </w:t>
      </w:r>
      <w:r w:rsidRPr="00EC20A0">
        <w:t>relevance</w:t>
      </w:r>
      <w:r w:rsidRPr="00EC20A0">
        <w:rPr>
          <w:spacing w:val="-4"/>
        </w:rPr>
        <w:t xml:space="preserve"> </w:t>
      </w:r>
      <w:r w:rsidRPr="00EC20A0">
        <w:t>and</w:t>
      </w:r>
      <w:r w:rsidRPr="00EC20A0">
        <w:rPr>
          <w:spacing w:val="-5"/>
        </w:rPr>
        <w:t xml:space="preserve"> </w:t>
      </w:r>
      <w:r w:rsidRPr="00EC20A0">
        <w:t>reasonableness</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auditor’s</w:t>
      </w:r>
      <w:r w:rsidRPr="00EC20A0">
        <w:rPr>
          <w:spacing w:val="-4"/>
        </w:rPr>
        <w:t xml:space="preserve"> </w:t>
      </w:r>
      <w:r w:rsidRPr="00EC20A0">
        <w:t>specialist’s findings and conclusions and consistency with other audit evidence; (2) relevance and reasonableness of any significant assumptions and methods the specialist used; and (3) the relevance, completeness, and accuracy of any source data that are significant to the auditor’s specialist’s work (AU-C 620.12). In the memorandum, the auditor may refer to other documentation where this information is described in more detail.</w:t>
      </w:r>
    </w:p>
    <w:p w14:paraId="24D5FFAD" w14:textId="77777777" w:rsidR="00245300" w:rsidRPr="00EC20A0" w:rsidRDefault="00245300">
      <w:pPr>
        <w:sectPr w:rsidR="00245300" w:rsidRPr="00EC20A0">
          <w:pgSz w:w="12240" w:h="15840"/>
          <w:pgMar w:top="1340" w:right="940" w:bottom="940" w:left="1020" w:header="721" w:footer="757" w:gutter="0"/>
          <w:cols w:space="720"/>
        </w:sectPr>
      </w:pPr>
    </w:p>
    <w:p w14:paraId="24D5FFAE" w14:textId="77777777" w:rsidR="00245300" w:rsidRPr="00EC20A0" w:rsidRDefault="00F17249">
      <w:pPr>
        <w:pStyle w:val="Heading3"/>
        <w:spacing w:before="241"/>
        <w:ind w:left="420"/>
        <w:rPr>
          <w:u w:val="none"/>
        </w:rPr>
      </w:pPr>
      <w:bookmarkStart w:id="40" w:name="625_–_Using_the_Work_of_Management’s_Spe"/>
      <w:bookmarkStart w:id="41" w:name="_bookmark12"/>
      <w:bookmarkEnd w:id="40"/>
      <w:bookmarkEnd w:id="41"/>
      <w:r w:rsidRPr="00EC20A0">
        <w:t>625</w:t>
      </w:r>
      <w:r w:rsidRPr="00EC20A0">
        <w:rPr>
          <w:spacing w:val="-8"/>
        </w:rPr>
        <w:t xml:space="preserve"> </w:t>
      </w:r>
      <w:r w:rsidRPr="00EC20A0">
        <w:t>–</w:t>
      </w:r>
      <w:r w:rsidRPr="00EC20A0">
        <w:rPr>
          <w:spacing w:val="-6"/>
        </w:rPr>
        <w:t xml:space="preserve"> </w:t>
      </w:r>
      <w:r w:rsidRPr="00EC20A0">
        <w:t>Using</w:t>
      </w:r>
      <w:r w:rsidRPr="00EC20A0">
        <w:rPr>
          <w:spacing w:val="-5"/>
        </w:rPr>
        <w:t xml:space="preserve"> </w:t>
      </w:r>
      <w:r w:rsidRPr="00EC20A0">
        <w:t>the</w:t>
      </w:r>
      <w:r w:rsidRPr="00EC20A0">
        <w:rPr>
          <w:spacing w:val="-6"/>
        </w:rPr>
        <w:t xml:space="preserve"> </w:t>
      </w:r>
      <w:r w:rsidRPr="00EC20A0">
        <w:t>Work</w:t>
      </w:r>
      <w:r w:rsidRPr="00EC20A0">
        <w:rPr>
          <w:spacing w:val="-6"/>
        </w:rPr>
        <w:t xml:space="preserve"> </w:t>
      </w:r>
      <w:r w:rsidRPr="00EC20A0">
        <w:t>of</w:t>
      </w:r>
      <w:r w:rsidRPr="00EC20A0">
        <w:rPr>
          <w:spacing w:val="-6"/>
        </w:rPr>
        <w:t xml:space="preserve"> </w:t>
      </w:r>
      <w:r w:rsidRPr="00EC20A0">
        <w:t>Management’s</w:t>
      </w:r>
      <w:r w:rsidRPr="00EC20A0">
        <w:rPr>
          <w:spacing w:val="-5"/>
        </w:rPr>
        <w:t xml:space="preserve"> </w:t>
      </w:r>
      <w:r w:rsidRPr="00EC20A0">
        <w:rPr>
          <w:spacing w:val="-2"/>
        </w:rPr>
        <w:t>Specialists</w:t>
      </w:r>
    </w:p>
    <w:p w14:paraId="24D5FFAF" w14:textId="77777777" w:rsidR="00245300" w:rsidRPr="00EC20A0" w:rsidRDefault="00F17249">
      <w:pPr>
        <w:pStyle w:val="Heading4"/>
      </w:pPr>
      <w:r w:rsidRPr="00EC20A0">
        <w:rPr>
          <w:spacing w:val="-2"/>
        </w:rPr>
        <w:t>Overview</w:t>
      </w:r>
    </w:p>
    <w:p w14:paraId="24D5FFB0" w14:textId="77777777" w:rsidR="00245300" w:rsidRPr="00EC20A0" w:rsidRDefault="00F17249">
      <w:pPr>
        <w:pStyle w:val="ListParagraph"/>
        <w:numPr>
          <w:ilvl w:val="0"/>
          <w:numId w:val="19"/>
        </w:numPr>
        <w:tabs>
          <w:tab w:val="left" w:pos="1859"/>
        </w:tabs>
        <w:ind w:right="676" w:hanging="720"/>
      </w:pPr>
      <w:r w:rsidRPr="00EC20A0">
        <w:t>FAM</w:t>
      </w:r>
      <w:r w:rsidRPr="00EC20A0">
        <w:rPr>
          <w:spacing w:val="-4"/>
        </w:rPr>
        <w:t xml:space="preserve"> </w:t>
      </w:r>
      <w:r w:rsidRPr="00EC20A0">
        <w:t>625</w:t>
      </w:r>
      <w:r w:rsidRPr="00EC20A0">
        <w:rPr>
          <w:spacing w:val="-4"/>
        </w:rPr>
        <w:t xml:space="preserve"> </w:t>
      </w:r>
      <w:r w:rsidRPr="00EC20A0">
        <w:t>provides</w:t>
      </w:r>
      <w:r w:rsidRPr="00EC20A0">
        <w:rPr>
          <w:spacing w:val="-4"/>
        </w:rPr>
        <w:t xml:space="preserve"> </w:t>
      </w:r>
      <w:r w:rsidRPr="00EC20A0">
        <w:t>guidance</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responsibilities</w:t>
      </w:r>
      <w:r w:rsidRPr="00EC20A0">
        <w:rPr>
          <w:spacing w:val="-4"/>
        </w:rPr>
        <w:t xml:space="preserve"> </w:t>
      </w:r>
      <w:r w:rsidRPr="00EC20A0">
        <w:t>related</w:t>
      </w:r>
      <w:r w:rsidRPr="00EC20A0">
        <w:rPr>
          <w:spacing w:val="-4"/>
        </w:rPr>
        <w:t xml:space="preserve"> </w:t>
      </w:r>
      <w:r w:rsidRPr="00EC20A0">
        <w:t>to</w:t>
      </w:r>
      <w:r w:rsidRPr="00EC20A0">
        <w:rPr>
          <w:spacing w:val="-4"/>
        </w:rPr>
        <w:t xml:space="preserve"> </w:t>
      </w:r>
      <w:r w:rsidRPr="00EC20A0">
        <w:rPr>
          <w:color w:val="242424"/>
        </w:rPr>
        <w:t>using</w:t>
      </w:r>
      <w:r w:rsidRPr="00EC20A0">
        <w:rPr>
          <w:color w:val="242424"/>
          <w:spacing w:val="-4"/>
        </w:rPr>
        <w:t xml:space="preserve"> </w:t>
      </w:r>
      <w:r w:rsidRPr="00EC20A0">
        <w:rPr>
          <w:color w:val="242424"/>
        </w:rPr>
        <w:t xml:space="preserve">the work of management’s specialists. Management’s specialists are individuals or organizations possessing expertise in a field </w:t>
      </w:r>
      <w:r w:rsidRPr="00EC20A0">
        <w:rPr>
          <w:color w:val="242424"/>
          <w:u w:val="single" w:color="242424"/>
        </w:rPr>
        <w:t>other</w:t>
      </w:r>
      <w:r w:rsidRPr="00EC20A0">
        <w:rPr>
          <w:color w:val="242424"/>
        </w:rPr>
        <w:t xml:space="preserve"> than accounting or auditing, whose work in that field</w:t>
      </w:r>
      <w:r w:rsidRPr="00EC20A0">
        <w:rPr>
          <w:color w:val="242424"/>
          <w:spacing w:val="-1"/>
        </w:rPr>
        <w:t xml:space="preserve"> </w:t>
      </w:r>
      <w:r w:rsidRPr="00EC20A0">
        <w:rPr>
          <w:color w:val="242424"/>
        </w:rPr>
        <w:t>is used by the entity to assist</w:t>
      </w:r>
      <w:r w:rsidRPr="00EC20A0">
        <w:rPr>
          <w:color w:val="242424"/>
          <w:spacing w:val="-2"/>
        </w:rPr>
        <w:t xml:space="preserve"> </w:t>
      </w:r>
      <w:r w:rsidRPr="00EC20A0">
        <w:rPr>
          <w:color w:val="242424"/>
        </w:rPr>
        <w:t>it in preparing its financial statements (AU-C 501.04)</w:t>
      </w:r>
      <w:r w:rsidRPr="00EC20A0">
        <w:t>.</w:t>
      </w:r>
    </w:p>
    <w:p w14:paraId="24D5FFB1" w14:textId="77777777" w:rsidR="00245300" w:rsidRPr="00EC20A0" w:rsidRDefault="00F17249">
      <w:pPr>
        <w:pStyle w:val="ListParagraph"/>
        <w:numPr>
          <w:ilvl w:val="0"/>
          <w:numId w:val="19"/>
        </w:numPr>
        <w:tabs>
          <w:tab w:val="left" w:pos="1860"/>
        </w:tabs>
        <w:ind w:left="1860" w:right="579"/>
      </w:pPr>
      <w:r w:rsidRPr="00EC20A0">
        <w:t>See</w:t>
      </w:r>
      <w:r w:rsidRPr="00EC20A0">
        <w:rPr>
          <w:spacing w:val="-4"/>
        </w:rPr>
        <w:t xml:space="preserve"> </w:t>
      </w:r>
      <w:r w:rsidRPr="00EC20A0">
        <w:t>FAM</w:t>
      </w:r>
      <w:r w:rsidRPr="00EC20A0">
        <w:rPr>
          <w:spacing w:val="-5"/>
        </w:rPr>
        <w:t xml:space="preserve"> </w:t>
      </w:r>
      <w:r w:rsidRPr="00EC20A0">
        <w:t>620.04</w:t>
      </w:r>
      <w:r w:rsidRPr="00EC20A0">
        <w:rPr>
          <w:spacing w:val="-4"/>
        </w:rPr>
        <w:t xml:space="preserve"> </w:t>
      </w:r>
      <w:r w:rsidRPr="00EC20A0">
        <w:t>through</w:t>
      </w:r>
      <w:r w:rsidRPr="00EC20A0">
        <w:rPr>
          <w:spacing w:val="-4"/>
        </w:rPr>
        <w:t xml:space="preserve"> </w:t>
      </w:r>
      <w:r w:rsidRPr="00EC20A0">
        <w:t>.05</w:t>
      </w:r>
      <w:r w:rsidRPr="00EC20A0">
        <w:rPr>
          <w:spacing w:val="-4"/>
        </w:rPr>
        <w:t xml:space="preserve"> </w:t>
      </w:r>
      <w:r w:rsidRPr="00EC20A0">
        <w:t>for</w:t>
      </w:r>
      <w:r w:rsidRPr="00EC20A0">
        <w:rPr>
          <w:spacing w:val="-4"/>
        </w:rPr>
        <w:t xml:space="preserve"> </w:t>
      </w:r>
      <w:r w:rsidRPr="00EC20A0">
        <w:t>examples</w:t>
      </w:r>
      <w:r w:rsidRPr="00EC20A0">
        <w:rPr>
          <w:spacing w:val="-4"/>
        </w:rPr>
        <w:t xml:space="preserve"> </w:t>
      </w:r>
      <w:r w:rsidRPr="00EC20A0">
        <w:t>of</w:t>
      </w:r>
      <w:r w:rsidRPr="00EC20A0">
        <w:rPr>
          <w:spacing w:val="-4"/>
        </w:rPr>
        <w:t xml:space="preserve"> </w:t>
      </w:r>
      <w:r w:rsidRPr="00EC20A0">
        <w:t>specialists</w:t>
      </w:r>
      <w:r w:rsidRPr="00EC20A0">
        <w:rPr>
          <w:spacing w:val="-4"/>
        </w:rPr>
        <w:t xml:space="preserve"> </w:t>
      </w:r>
      <w:r w:rsidRPr="00EC20A0">
        <w:t>that</w:t>
      </w:r>
      <w:r w:rsidRPr="00EC20A0">
        <w:rPr>
          <w:spacing w:val="-5"/>
        </w:rPr>
        <w:t xml:space="preserve"> </w:t>
      </w:r>
      <w:r w:rsidRPr="00EC20A0">
        <w:t>management</w:t>
      </w:r>
      <w:r w:rsidRPr="00EC20A0">
        <w:rPr>
          <w:spacing w:val="-4"/>
        </w:rPr>
        <w:t xml:space="preserve"> </w:t>
      </w:r>
      <w:r w:rsidRPr="00EC20A0">
        <w:t xml:space="preserve">might </w:t>
      </w:r>
      <w:r w:rsidRPr="00EC20A0">
        <w:rPr>
          <w:spacing w:val="-4"/>
        </w:rPr>
        <w:t>use.</w:t>
      </w:r>
    </w:p>
    <w:p w14:paraId="24D5FFB2" w14:textId="77777777" w:rsidR="00245300" w:rsidRPr="00EC20A0" w:rsidRDefault="00F17249">
      <w:pPr>
        <w:pStyle w:val="Heading4"/>
      </w:pPr>
      <w:bookmarkStart w:id="42" w:name="Planning_the_Review_of_the_Work_of_Manag"/>
      <w:bookmarkEnd w:id="42"/>
      <w:r w:rsidRPr="00EC20A0">
        <w:t>Planning</w:t>
      </w:r>
      <w:r w:rsidRPr="00EC20A0">
        <w:rPr>
          <w:spacing w:val="-9"/>
        </w:rPr>
        <w:t xml:space="preserve"> </w:t>
      </w:r>
      <w:r w:rsidRPr="00EC20A0">
        <w:t>the</w:t>
      </w:r>
      <w:r w:rsidRPr="00EC20A0">
        <w:rPr>
          <w:spacing w:val="-10"/>
        </w:rPr>
        <w:t xml:space="preserve"> </w:t>
      </w:r>
      <w:r w:rsidRPr="00EC20A0">
        <w:t>Review</w:t>
      </w:r>
      <w:r w:rsidRPr="00EC20A0">
        <w:rPr>
          <w:spacing w:val="-10"/>
        </w:rPr>
        <w:t xml:space="preserve"> </w:t>
      </w:r>
      <w:r w:rsidRPr="00EC20A0">
        <w:t>of</w:t>
      </w:r>
      <w:r w:rsidRPr="00EC20A0">
        <w:rPr>
          <w:spacing w:val="-10"/>
        </w:rPr>
        <w:t xml:space="preserve"> </w:t>
      </w:r>
      <w:r w:rsidRPr="00EC20A0">
        <w:t>the</w:t>
      </w:r>
      <w:r w:rsidRPr="00EC20A0">
        <w:rPr>
          <w:spacing w:val="-9"/>
        </w:rPr>
        <w:t xml:space="preserve"> </w:t>
      </w:r>
      <w:r w:rsidRPr="00EC20A0">
        <w:t>Work</w:t>
      </w:r>
      <w:r w:rsidRPr="00EC20A0">
        <w:rPr>
          <w:spacing w:val="-10"/>
        </w:rPr>
        <w:t xml:space="preserve"> </w:t>
      </w:r>
      <w:r w:rsidRPr="00EC20A0">
        <w:t>of</w:t>
      </w:r>
      <w:r w:rsidRPr="00EC20A0">
        <w:rPr>
          <w:spacing w:val="-10"/>
        </w:rPr>
        <w:t xml:space="preserve"> </w:t>
      </w:r>
      <w:r w:rsidRPr="00EC20A0">
        <w:t>Management’s</w:t>
      </w:r>
      <w:r w:rsidRPr="00EC20A0">
        <w:rPr>
          <w:spacing w:val="-9"/>
        </w:rPr>
        <w:t xml:space="preserve"> </w:t>
      </w:r>
      <w:r w:rsidRPr="00EC20A0">
        <w:rPr>
          <w:spacing w:val="-2"/>
        </w:rPr>
        <w:t>Specialists</w:t>
      </w:r>
    </w:p>
    <w:p w14:paraId="24D5FFB3" w14:textId="77777777" w:rsidR="00245300" w:rsidRPr="00EC20A0" w:rsidRDefault="00F17249">
      <w:pPr>
        <w:pStyle w:val="ListParagraph"/>
        <w:numPr>
          <w:ilvl w:val="0"/>
          <w:numId w:val="19"/>
        </w:numPr>
        <w:tabs>
          <w:tab w:val="left" w:pos="1859"/>
        </w:tabs>
        <w:ind w:right="505" w:hanging="720"/>
      </w:pPr>
      <w:r w:rsidRPr="00EC20A0">
        <w:t>If information to be used as audit evidence has been prepared using the work of management’s</w:t>
      </w:r>
      <w:r w:rsidRPr="00EC20A0">
        <w:rPr>
          <w:spacing w:val="-4"/>
        </w:rPr>
        <w:t xml:space="preserve"> </w:t>
      </w:r>
      <w:r w:rsidRPr="00EC20A0">
        <w:t>specialists,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extent</w:t>
      </w:r>
      <w:r w:rsidRPr="00EC20A0">
        <w:rPr>
          <w:spacing w:val="-4"/>
        </w:rPr>
        <w:t xml:space="preserve"> </w:t>
      </w:r>
      <w:r w:rsidRPr="00EC20A0">
        <w:t>necessary,</w:t>
      </w:r>
      <w:r w:rsidRPr="00EC20A0">
        <w:rPr>
          <w:spacing w:val="-6"/>
        </w:rPr>
        <w:t xml:space="preserve"> </w:t>
      </w:r>
      <w:r w:rsidRPr="00EC20A0">
        <w:t>taking</w:t>
      </w:r>
      <w:r w:rsidRPr="00EC20A0">
        <w:rPr>
          <w:spacing w:val="-4"/>
        </w:rPr>
        <w:t xml:space="preserve"> </w:t>
      </w:r>
      <w:r w:rsidRPr="00EC20A0">
        <w:t>into account the significance of those specialists’ work for the auditor’s purposes, perform the following (AU-C 501.27):</w:t>
      </w:r>
    </w:p>
    <w:p w14:paraId="24D5FFB4" w14:textId="77777777" w:rsidR="00245300" w:rsidRPr="00EC20A0" w:rsidRDefault="00F17249">
      <w:pPr>
        <w:pStyle w:val="ListParagraph"/>
        <w:numPr>
          <w:ilvl w:val="1"/>
          <w:numId w:val="19"/>
        </w:numPr>
        <w:tabs>
          <w:tab w:val="left" w:pos="2219"/>
        </w:tabs>
        <w:spacing w:before="239"/>
        <w:ind w:left="2219" w:hanging="359"/>
      </w:pPr>
      <w:r w:rsidRPr="00EC20A0">
        <w:t>evaluate</w:t>
      </w:r>
      <w:r w:rsidRPr="00EC20A0">
        <w:rPr>
          <w:spacing w:val="-8"/>
        </w:rPr>
        <w:t xml:space="preserve"> </w:t>
      </w:r>
      <w:r w:rsidRPr="00EC20A0">
        <w:t>the</w:t>
      </w:r>
      <w:r w:rsidRPr="00EC20A0">
        <w:rPr>
          <w:spacing w:val="-9"/>
        </w:rPr>
        <w:t xml:space="preserve"> </w:t>
      </w:r>
      <w:r w:rsidRPr="00EC20A0">
        <w:t>competence,</w:t>
      </w:r>
      <w:r w:rsidRPr="00EC20A0">
        <w:rPr>
          <w:spacing w:val="-8"/>
        </w:rPr>
        <w:t xml:space="preserve"> </w:t>
      </w:r>
      <w:r w:rsidRPr="00EC20A0">
        <w:t>capabilities,</w:t>
      </w:r>
      <w:r w:rsidRPr="00EC20A0">
        <w:rPr>
          <w:spacing w:val="-7"/>
        </w:rPr>
        <w:t xml:space="preserve"> </w:t>
      </w:r>
      <w:r w:rsidRPr="00EC20A0">
        <w:t>and</w:t>
      </w:r>
      <w:r w:rsidRPr="00EC20A0">
        <w:rPr>
          <w:spacing w:val="-8"/>
        </w:rPr>
        <w:t xml:space="preserve"> </w:t>
      </w:r>
      <w:r w:rsidRPr="00EC20A0">
        <w:t>objectivity</w:t>
      </w:r>
      <w:r w:rsidRPr="00EC20A0">
        <w:rPr>
          <w:spacing w:val="-8"/>
        </w:rPr>
        <w:t xml:space="preserve"> </w:t>
      </w:r>
      <w:r w:rsidRPr="00EC20A0">
        <w:t>of</w:t>
      </w:r>
      <w:r w:rsidRPr="00EC20A0">
        <w:rPr>
          <w:spacing w:val="-8"/>
        </w:rPr>
        <w:t xml:space="preserve"> </w:t>
      </w:r>
      <w:r w:rsidRPr="00EC20A0">
        <w:t>those</w:t>
      </w:r>
      <w:r w:rsidRPr="00EC20A0">
        <w:rPr>
          <w:spacing w:val="-8"/>
        </w:rPr>
        <w:t xml:space="preserve"> </w:t>
      </w:r>
      <w:r w:rsidRPr="00EC20A0">
        <w:rPr>
          <w:spacing w:val="-2"/>
        </w:rPr>
        <w:t>specialists;</w:t>
      </w:r>
    </w:p>
    <w:p w14:paraId="24D5FFB5" w14:textId="77777777" w:rsidR="00245300" w:rsidRPr="00EC20A0" w:rsidRDefault="00F17249">
      <w:pPr>
        <w:pStyle w:val="ListParagraph"/>
        <w:numPr>
          <w:ilvl w:val="1"/>
          <w:numId w:val="19"/>
        </w:numPr>
        <w:tabs>
          <w:tab w:val="left" w:pos="2220"/>
        </w:tabs>
        <w:spacing w:before="238"/>
      </w:pPr>
      <w:r w:rsidRPr="00EC20A0">
        <w:t>obtain</w:t>
      </w:r>
      <w:r w:rsidRPr="00EC20A0">
        <w:rPr>
          <w:spacing w:val="-6"/>
        </w:rPr>
        <w:t xml:space="preserve"> </w:t>
      </w:r>
      <w:r w:rsidRPr="00EC20A0">
        <w:t>an</w:t>
      </w:r>
      <w:r w:rsidRPr="00EC20A0">
        <w:rPr>
          <w:spacing w:val="-6"/>
        </w:rPr>
        <w:t xml:space="preserve"> </w:t>
      </w:r>
      <w:r w:rsidRPr="00EC20A0">
        <w:t>understanding</w:t>
      </w:r>
      <w:r w:rsidRPr="00EC20A0">
        <w:rPr>
          <w:spacing w:val="-7"/>
        </w:rPr>
        <w:t xml:space="preserve"> </w:t>
      </w:r>
      <w:r w:rsidRPr="00EC20A0">
        <w:t>of</w:t>
      </w:r>
      <w:r w:rsidRPr="00EC20A0">
        <w:rPr>
          <w:spacing w:val="-5"/>
        </w:rPr>
        <w:t xml:space="preserve"> </w:t>
      </w:r>
      <w:r w:rsidRPr="00EC20A0">
        <w:t>the</w:t>
      </w:r>
      <w:r w:rsidRPr="00EC20A0">
        <w:rPr>
          <w:spacing w:val="-6"/>
        </w:rPr>
        <w:t xml:space="preserve"> </w:t>
      </w:r>
      <w:r w:rsidRPr="00EC20A0">
        <w:t>work</w:t>
      </w:r>
      <w:r w:rsidRPr="00EC20A0">
        <w:rPr>
          <w:spacing w:val="-6"/>
        </w:rPr>
        <w:t xml:space="preserve"> </w:t>
      </w:r>
      <w:r w:rsidRPr="00EC20A0">
        <w:t>of</w:t>
      </w:r>
      <w:r w:rsidRPr="00EC20A0">
        <w:rPr>
          <w:spacing w:val="-6"/>
        </w:rPr>
        <w:t xml:space="preserve"> </w:t>
      </w:r>
      <w:r w:rsidRPr="00EC20A0">
        <w:t>those</w:t>
      </w:r>
      <w:r w:rsidRPr="00EC20A0">
        <w:rPr>
          <w:spacing w:val="-6"/>
        </w:rPr>
        <w:t xml:space="preserve"> </w:t>
      </w:r>
      <w:r w:rsidRPr="00EC20A0">
        <w:t>specialists;</w:t>
      </w:r>
      <w:r w:rsidRPr="00EC20A0">
        <w:rPr>
          <w:spacing w:val="-6"/>
        </w:rPr>
        <w:t xml:space="preserve"> </w:t>
      </w:r>
      <w:r w:rsidRPr="00EC20A0">
        <w:rPr>
          <w:spacing w:val="-5"/>
        </w:rPr>
        <w:t>and</w:t>
      </w:r>
    </w:p>
    <w:p w14:paraId="24D5FFB6" w14:textId="77777777" w:rsidR="00245300" w:rsidRPr="00EC20A0" w:rsidRDefault="00F17249">
      <w:pPr>
        <w:pStyle w:val="ListParagraph"/>
        <w:numPr>
          <w:ilvl w:val="1"/>
          <w:numId w:val="19"/>
        </w:numPr>
        <w:tabs>
          <w:tab w:val="left" w:pos="2220"/>
        </w:tabs>
        <w:ind w:right="633" w:hanging="361"/>
        <w:rPr>
          <w:sz w:val="14"/>
        </w:rPr>
      </w:pPr>
      <w:r w:rsidRPr="00EC20A0">
        <w:t>evaluate</w:t>
      </w:r>
      <w:r w:rsidRPr="00EC20A0">
        <w:rPr>
          <w:spacing w:val="-4"/>
        </w:rPr>
        <w:t xml:space="preserve"> </w:t>
      </w:r>
      <w:r w:rsidRPr="00EC20A0">
        <w:t>the</w:t>
      </w:r>
      <w:r w:rsidRPr="00EC20A0">
        <w:rPr>
          <w:spacing w:val="-5"/>
        </w:rPr>
        <w:t xml:space="preserve"> </w:t>
      </w:r>
      <w:r w:rsidRPr="00EC20A0">
        <w:t>appropriateness</w:t>
      </w:r>
      <w:r w:rsidRPr="00EC20A0">
        <w:rPr>
          <w:spacing w:val="-4"/>
        </w:rPr>
        <w:t xml:space="preserve"> </w:t>
      </w:r>
      <w:r w:rsidRPr="00EC20A0">
        <w:t>of</w:t>
      </w:r>
      <w:r w:rsidRPr="00EC20A0">
        <w:rPr>
          <w:spacing w:val="-4"/>
        </w:rPr>
        <w:t xml:space="preserve"> </w:t>
      </w:r>
      <w:r w:rsidRPr="00EC20A0">
        <w:t>those</w:t>
      </w:r>
      <w:r w:rsidRPr="00EC20A0">
        <w:rPr>
          <w:spacing w:val="-4"/>
        </w:rPr>
        <w:t xml:space="preserve"> </w:t>
      </w:r>
      <w:r w:rsidRPr="00EC20A0">
        <w:t>specialists’</w:t>
      </w:r>
      <w:r w:rsidRPr="00EC20A0">
        <w:rPr>
          <w:spacing w:val="-4"/>
        </w:rPr>
        <w:t xml:space="preserve"> </w:t>
      </w:r>
      <w:r w:rsidRPr="00EC20A0">
        <w:t>work</w:t>
      </w:r>
      <w:r w:rsidRPr="00EC20A0">
        <w:rPr>
          <w:spacing w:val="-4"/>
        </w:rPr>
        <w:t xml:space="preserve"> </w:t>
      </w:r>
      <w:r w:rsidRPr="00EC20A0">
        <w:t>as</w:t>
      </w:r>
      <w:r w:rsidRPr="00EC20A0">
        <w:rPr>
          <w:spacing w:val="-4"/>
        </w:rPr>
        <w:t xml:space="preserve"> </w:t>
      </w:r>
      <w:r w:rsidRPr="00EC20A0">
        <w:t>audit</w:t>
      </w:r>
      <w:r w:rsidRPr="00EC20A0">
        <w:rPr>
          <w:spacing w:val="-4"/>
        </w:rPr>
        <w:t xml:space="preserve"> </w:t>
      </w:r>
      <w:r w:rsidRPr="00EC20A0">
        <w:t>evidence</w:t>
      </w:r>
      <w:r w:rsidRPr="00EC20A0">
        <w:rPr>
          <w:spacing w:val="-5"/>
        </w:rPr>
        <w:t xml:space="preserve"> </w:t>
      </w:r>
      <w:r w:rsidRPr="00EC20A0">
        <w:t>for the significant assertion.</w:t>
      </w:r>
      <w:hyperlink w:anchor="_bookmark13" w:history="1">
        <w:r w:rsidRPr="00EC20A0">
          <w:rPr>
            <w:position w:val="7"/>
            <w:sz w:val="14"/>
          </w:rPr>
          <w:t>9</w:t>
        </w:r>
      </w:hyperlink>
    </w:p>
    <w:p w14:paraId="24D5FFB7" w14:textId="77777777" w:rsidR="00245300" w:rsidRPr="00EC20A0" w:rsidRDefault="00F17249">
      <w:pPr>
        <w:pStyle w:val="ListParagraph"/>
        <w:numPr>
          <w:ilvl w:val="0"/>
          <w:numId w:val="19"/>
        </w:numPr>
        <w:tabs>
          <w:tab w:val="left" w:pos="1859"/>
        </w:tabs>
        <w:spacing w:before="237"/>
        <w:ind w:right="554" w:hanging="720"/>
      </w:pPr>
      <w:r w:rsidRPr="00EC20A0">
        <w:t>The</w:t>
      </w:r>
      <w:r w:rsidRPr="00EC20A0">
        <w:rPr>
          <w:spacing w:val="-4"/>
        </w:rPr>
        <w:t xml:space="preserve"> </w:t>
      </w:r>
      <w:r w:rsidRPr="00EC20A0">
        <w:t>nature,</w:t>
      </w:r>
      <w:r w:rsidRPr="00EC20A0">
        <w:rPr>
          <w:spacing w:val="-4"/>
        </w:rPr>
        <w:t xml:space="preserve"> </w:t>
      </w:r>
      <w:r w:rsidRPr="00EC20A0">
        <w:t>timing,</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audit</w:t>
      </w:r>
      <w:r w:rsidRPr="00EC20A0">
        <w:rPr>
          <w:spacing w:val="-4"/>
        </w:rPr>
        <w:t xml:space="preserve"> </w:t>
      </w:r>
      <w:r w:rsidRPr="00EC20A0">
        <w:t>procedures</w:t>
      </w:r>
      <w:r w:rsidRPr="00EC20A0">
        <w:rPr>
          <w:spacing w:val="-4"/>
        </w:rPr>
        <w:t xml:space="preserve"> </w:t>
      </w:r>
      <w:r w:rsidRPr="00EC20A0">
        <w:t>with</w:t>
      </w:r>
      <w:r w:rsidRPr="00EC20A0">
        <w:rPr>
          <w:spacing w:val="-4"/>
        </w:rPr>
        <w:t xml:space="preserve"> </w:t>
      </w:r>
      <w:r w:rsidRPr="00EC20A0">
        <w:t>regard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 xml:space="preserve">requirement in </w:t>
      </w:r>
      <w:hyperlink r:id="rId28">
        <w:r w:rsidRPr="00EC20A0">
          <w:t>FAM</w:t>
        </w:r>
      </w:hyperlink>
      <w:r w:rsidRPr="00EC20A0">
        <w:t xml:space="preserve"> 625.03 may be affected by matters such as the following (AU-C </w:t>
      </w:r>
      <w:r w:rsidRPr="00EC20A0">
        <w:rPr>
          <w:spacing w:val="-2"/>
        </w:rPr>
        <w:t>501.A72):</w:t>
      </w:r>
    </w:p>
    <w:p w14:paraId="24D5FFB8" w14:textId="77777777" w:rsidR="00245300" w:rsidRPr="00EC20A0" w:rsidRDefault="00F17249">
      <w:pPr>
        <w:pStyle w:val="ListParagraph"/>
        <w:numPr>
          <w:ilvl w:val="0"/>
          <w:numId w:val="216"/>
        </w:numPr>
        <w:tabs>
          <w:tab w:val="left" w:pos="2217"/>
          <w:tab w:val="left" w:pos="2219"/>
        </w:tabs>
        <w:spacing w:before="241"/>
        <w:ind w:right="734" w:hanging="361"/>
      </w:pPr>
      <w:r w:rsidRPr="00EC20A0">
        <w:t>the</w:t>
      </w:r>
      <w:r w:rsidRPr="00EC20A0">
        <w:rPr>
          <w:spacing w:val="-3"/>
        </w:rPr>
        <w:t xml:space="preserve"> </w:t>
      </w:r>
      <w:r w:rsidRPr="00EC20A0">
        <w:t>nature</w:t>
      </w:r>
      <w:r w:rsidRPr="00EC20A0">
        <w:rPr>
          <w:spacing w:val="-3"/>
        </w:rPr>
        <w:t xml:space="preserve"> </w:t>
      </w:r>
      <w:r w:rsidRPr="00EC20A0">
        <w:t>and</w:t>
      </w:r>
      <w:r w:rsidRPr="00EC20A0">
        <w:rPr>
          <w:spacing w:val="-3"/>
        </w:rPr>
        <w:t xml:space="preserve"> </w:t>
      </w:r>
      <w:r w:rsidRPr="00EC20A0">
        <w:t>complexity</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matter</w:t>
      </w:r>
      <w:r w:rsidRPr="00EC20A0">
        <w:rPr>
          <w:spacing w:val="-3"/>
        </w:rPr>
        <w:t xml:space="preserve"> </w:t>
      </w:r>
      <w:r w:rsidRPr="00EC20A0">
        <w:t>to</w:t>
      </w:r>
      <w:r w:rsidRPr="00EC20A0">
        <w:rPr>
          <w:spacing w:val="-3"/>
        </w:rPr>
        <w:t xml:space="preserve"> </w:t>
      </w:r>
      <w:r w:rsidRPr="00EC20A0">
        <w:t>which</w:t>
      </w:r>
      <w:r w:rsidRPr="00EC20A0">
        <w:rPr>
          <w:spacing w:val="-4"/>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 xml:space="preserve">management’s </w:t>
      </w:r>
      <w:r w:rsidRPr="00EC20A0">
        <w:t>specialists relates;</w:t>
      </w:r>
    </w:p>
    <w:p w14:paraId="24D5FFB9" w14:textId="77777777" w:rsidR="00245300" w:rsidRPr="00EC20A0" w:rsidRDefault="00F17249">
      <w:pPr>
        <w:pStyle w:val="ListParagraph"/>
        <w:numPr>
          <w:ilvl w:val="0"/>
          <w:numId w:val="216"/>
        </w:numPr>
        <w:tabs>
          <w:tab w:val="left" w:pos="2218"/>
        </w:tabs>
        <w:ind w:left="2218" w:hanging="359"/>
      </w:pPr>
      <w:r w:rsidRPr="00EC20A0">
        <w:t>the</w:t>
      </w:r>
      <w:r w:rsidRPr="00EC20A0">
        <w:rPr>
          <w:spacing w:val="-6"/>
        </w:rPr>
        <w:t xml:space="preserve"> </w:t>
      </w:r>
      <w:r w:rsidRPr="00EC20A0">
        <w:t>risks</w:t>
      </w:r>
      <w:r w:rsidRPr="00EC20A0">
        <w:rPr>
          <w:spacing w:val="-6"/>
        </w:rPr>
        <w:t xml:space="preserve"> </w:t>
      </w:r>
      <w:r w:rsidRPr="00EC20A0">
        <w:t>of</w:t>
      </w:r>
      <w:r w:rsidRPr="00EC20A0">
        <w:rPr>
          <w:spacing w:val="-7"/>
        </w:rPr>
        <w:t xml:space="preserve"> </w:t>
      </w:r>
      <w:r w:rsidRPr="00EC20A0">
        <w:t>material</w:t>
      </w:r>
      <w:r w:rsidRPr="00EC20A0">
        <w:rPr>
          <w:spacing w:val="-5"/>
        </w:rPr>
        <w:t xml:space="preserve"> </w:t>
      </w:r>
      <w:r w:rsidRPr="00EC20A0">
        <w:t>misstatement</w:t>
      </w:r>
      <w:r w:rsidRPr="00EC20A0">
        <w:rPr>
          <w:spacing w:val="-6"/>
        </w:rPr>
        <w:t xml:space="preserve"> </w:t>
      </w:r>
      <w:r w:rsidRPr="00EC20A0">
        <w:t>of</w:t>
      </w:r>
      <w:r w:rsidRPr="00EC20A0">
        <w:rPr>
          <w:spacing w:val="-5"/>
        </w:rPr>
        <w:t xml:space="preserve"> </w:t>
      </w:r>
      <w:r w:rsidRPr="00EC20A0">
        <w:t>the</w:t>
      </w:r>
      <w:r w:rsidRPr="00EC20A0">
        <w:rPr>
          <w:spacing w:val="-6"/>
        </w:rPr>
        <w:t xml:space="preserve"> </w:t>
      </w:r>
      <w:r w:rsidRPr="00EC20A0">
        <w:rPr>
          <w:spacing w:val="-2"/>
        </w:rPr>
        <w:t>matter;</w:t>
      </w:r>
    </w:p>
    <w:p w14:paraId="24D5FFBA" w14:textId="77777777" w:rsidR="00245300" w:rsidRPr="00EC20A0" w:rsidRDefault="00F17249">
      <w:pPr>
        <w:pStyle w:val="ListParagraph"/>
        <w:numPr>
          <w:ilvl w:val="0"/>
          <w:numId w:val="216"/>
        </w:numPr>
        <w:tabs>
          <w:tab w:val="left" w:pos="2218"/>
        </w:tabs>
        <w:spacing w:before="239"/>
        <w:ind w:left="2218" w:hanging="359"/>
      </w:pPr>
      <w:r w:rsidRPr="00EC20A0">
        <w:t>the</w:t>
      </w:r>
      <w:r w:rsidRPr="00EC20A0">
        <w:rPr>
          <w:spacing w:val="-7"/>
        </w:rPr>
        <w:t xml:space="preserve"> </w:t>
      </w:r>
      <w:r w:rsidRPr="00EC20A0">
        <w:t>availability</w:t>
      </w:r>
      <w:r w:rsidRPr="00EC20A0">
        <w:rPr>
          <w:spacing w:val="-6"/>
        </w:rPr>
        <w:t xml:space="preserve"> </w:t>
      </w:r>
      <w:r w:rsidRPr="00EC20A0">
        <w:t>of</w:t>
      </w:r>
      <w:r w:rsidRPr="00EC20A0">
        <w:rPr>
          <w:spacing w:val="-6"/>
        </w:rPr>
        <w:t xml:space="preserve"> </w:t>
      </w:r>
      <w:r w:rsidRPr="00EC20A0">
        <w:t>alternative</w:t>
      </w:r>
      <w:r w:rsidRPr="00EC20A0">
        <w:rPr>
          <w:spacing w:val="-6"/>
        </w:rPr>
        <w:t xml:space="preserve"> </w:t>
      </w:r>
      <w:r w:rsidRPr="00EC20A0">
        <w:t>sources</w:t>
      </w:r>
      <w:r w:rsidRPr="00EC20A0">
        <w:rPr>
          <w:spacing w:val="-8"/>
        </w:rPr>
        <w:t xml:space="preserve"> </w:t>
      </w:r>
      <w:r w:rsidRPr="00EC20A0">
        <w:t>of</w:t>
      </w:r>
      <w:r w:rsidRPr="00EC20A0">
        <w:rPr>
          <w:spacing w:val="-6"/>
        </w:rPr>
        <w:t xml:space="preserve"> </w:t>
      </w:r>
      <w:r w:rsidRPr="00EC20A0">
        <w:t>audit</w:t>
      </w:r>
      <w:r w:rsidRPr="00EC20A0">
        <w:rPr>
          <w:spacing w:val="-6"/>
        </w:rPr>
        <w:t xml:space="preserve"> </w:t>
      </w:r>
      <w:r w:rsidRPr="00EC20A0">
        <w:rPr>
          <w:spacing w:val="-2"/>
        </w:rPr>
        <w:t>evidence;</w:t>
      </w:r>
    </w:p>
    <w:p w14:paraId="24D5FFBB" w14:textId="77777777" w:rsidR="00245300" w:rsidRPr="00EC20A0" w:rsidRDefault="00F17249">
      <w:pPr>
        <w:pStyle w:val="ListParagraph"/>
        <w:numPr>
          <w:ilvl w:val="0"/>
          <w:numId w:val="216"/>
        </w:numPr>
        <w:tabs>
          <w:tab w:val="left" w:pos="2218"/>
        </w:tabs>
        <w:ind w:left="2218" w:hanging="359"/>
      </w:pPr>
      <w:r w:rsidRPr="00EC20A0">
        <w:t>the</w:t>
      </w:r>
      <w:r w:rsidRPr="00EC20A0">
        <w:rPr>
          <w:spacing w:val="-7"/>
        </w:rPr>
        <w:t xml:space="preserve"> </w:t>
      </w:r>
      <w:r w:rsidRPr="00EC20A0">
        <w:t>nature,</w:t>
      </w:r>
      <w:r w:rsidRPr="00EC20A0">
        <w:rPr>
          <w:spacing w:val="-6"/>
        </w:rPr>
        <w:t xml:space="preserve"> </w:t>
      </w:r>
      <w:r w:rsidRPr="00EC20A0">
        <w:t>scope,</w:t>
      </w:r>
      <w:r w:rsidRPr="00EC20A0">
        <w:rPr>
          <w:spacing w:val="-6"/>
        </w:rPr>
        <w:t xml:space="preserve"> </w:t>
      </w:r>
      <w:r w:rsidRPr="00EC20A0">
        <w:t>and</w:t>
      </w:r>
      <w:r w:rsidRPr="00EC20A0">
        <w:rPr>
          <w:spacing w:val="-6"/>
        </w:rPr>
        <w:t xml:space="preserve"> </w:t>
      </w:r>
      <w:r w:rsidRPr="00EC20A0">
        <w:t>objectives</w:t>
      </w:r>
      <w:r w:rsidRPr="00EC20A0">
        <w:rPr>
          <w:spacing w:val="-6"/>
        </w:rPr>
        <w:t xml:space="preserve"> </w:t>
      </w:r>
      <w:r w:rsidRPr="00EC20A0">
        <w:t>of</w:t>
      </w:r>
      <w:r w:rsidRPr="00EC20A0">
        <w:rPr>
          <w:spacing w:val="-6"/>
        </w:rPr>
        <w:t xml:space="preserve"> </w:t>
      </w:r>
      <w:r w:rsidRPr="00EC20A0">
        <w:t>the</w:t>
      </w:r>
      <w:r w:rsidRPr="00EC20A0">
        <w:rPr>
          <w:spacing w:val="-7"/>
        </w:rPr>
        <w:t xml:space="preserve"> </w:t>
      </w:r>
      <w:r w:rsidRPr="00EC20A0">
        <w:t>work</w:t>
      </w:r>
      <w:r w:rsidRPr="00EC20A0">
        <w:rPr>
          <w:spacing w:val="-6"/>
        </w:rPr>
        <w:t xml:space="preserve"> </w:t>
      </w:r>
      <w:r w:rsidRPr="00EC20A0">
        <w:t>of</w:t>
      </w:r>
      <w:r w:rsidRPr="00EC20A0">
        <w:rPr>
          <w:spacing w:val="-6"/>
        </w:rPr>
        <w:t xml:space="preserve"> </w:t>
      </w:r>
      <w:r w:rsidRPr="00EC20A0">
        <w:t>management’s</w:t>
      </w:r>
      <w:r w:rsidRPr="00EC20A0">
        <w:rPr>
          <w:spacing w:val="-5"/>
        </w:rPr>
        <w:t xml:space="preserve"> </w:t>
      </w:r>
      <w:r w:rsidRPr="00EC20A0">
        <w:rPr>
          <w:spacing w:val="-2"/>
        </w:rPr>
        <w:t>specialists;</w:t>
      </w:r>
    </w:p>
    <w:p w14:paraId="24D5FFBC" w14:textId="77777777" w:rsidR="00245300" w:rsidRPr="00EC20A0" w:rsidRDefault="00F17249">
      <w:pPr>
        <w:pStyle w:val="ListParagraph"/>
        <w:numPr>
          <w:ilvl w:val="0"/>
          <w:numId w:val="216"/>
        </w:numPr>
        <w:tabs>
          <w:tab w:val="left" w:pos="2219"/>
        </w:tabs>
        <w:spacing w:before="241"/>
        <w:ind w:right="500"/>
      </w:pPr>
      <w:r w:rsidRPr="00EC20A0">
        <w:t>whether</w:t>
      </w:r>
      <w:r w:rsidRPr="00EC20A0">
        <w:rPr>
          <w:spacing w:val="-4"/>
        </w:rPr>
        <w:t xml:space="preserve"> </w:t>
      </w:r>
      <w:r w:rsidRPr="00EC20A0">
        <w:t>management’s</w:t>
      </w:r>
      <w:r w:rsidRPr="00EC20A0">
        <w:rPr>
          <w:spacing w:val="-4"/>
        </w:rPr>
        <w:t xml:space="preserve"> </w:t>
      </w:r>
      <w:r w:rsidRPr="00EC20A0">
        <w:t>specialists</w:t>
      </w:r>
      <w:r w:rsidRPr="00EC20A0">
        <w:rPr>
          <w:spacing w:val="-4"/>
        </w:rPr>
        <w:t xml:space="preserve"> </w:t>
      </w:r>
      <w:r w:rsidRPr="00EC20A0">
        <w:t>are</w:t>
      </w:r>
      <w:r w:rsidRPr="00EC20A0">
        <w:rPr>
          <w:spacing w:val="-4"/>
        </w:rPr>
        <w:t xml:space="preserve"> </w:t>
      </w:r>
      <w:r w:rsidRPr="00EC20A0">
        <w:t>employed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or</w:t>
      </w:r>
      <w:r w:rsidRPr="00EC20A0">
        <w:rPr>
          <w:spacing w:val="-4"/>
        </w:rPr>
        <w:t xml:space="preserve"> </w:t>
      </w:r>
      <w:r w:rsidRPr="00EC20A0">
        <w:t>are</w:t>
      </w:r>
      <w:r w:rsidRPr="00EC20A0">
        <w:rPr>
          <w:spacing w:val="-4"/>
        </w:rPr>
        <w:t xml:space="preserve"> </w:t>
      </w:r>
      <w:r w:rsidRPr="00EC20A0">
        <w:t>engaged by it to provide relevant services;</w:t>
      </w:r>
    </w:p>
    <w:p w14:paraId="24D5FFBD" w14:textId="77777777" w:rsidR="00245300" w:rsidRPr="00EC20A0" w:rsidRDefault="00F17249">
      <w:pPr>
        <w:pStyle w:val="ListParagraph"/>
        <w:numPr>
          <w:ilvl w:val="0"/>
          <w:numId w:val="216"/>
        </w:numPr>
        <w:tabs>
          <w:tab w:val="left" w:pos="2220"/>
        </w:tabs>
        <w:spacing w:before="239"/>
        <w:ind w:left="2220" w:right="721" w:hanging="361"/>
      </w:pPr>
      <w:r w:rsidRPr="00EC20A0">
        <w:t>the extent to which management can exercise control or influence over management’s</w:t>
      </w:r>
      <w:r w:rsidRPr="00EC20A0">
        <w:rPr>
          <w:spacing w:val="-5"/>
        </w:rPr>
        <w:t xml:space="preserve"> </w:t>
      </w:r>
      <w:r w:rsidRPr="00EC20A0">
        <w:t>specialists</w:t>
      </w:r>
      <w:r w:rsidRPr="00EC20A0">
        <w:rPr>
          <w:spacing w:val="-6"/>
        </w:rPr>
        <w:t xml:space="preserve"> </w:t>
      </w:r>
      <w:r w:rsidRPr="00EC20A0">
        <w:t>(including,</w:t>
      </w:r>
      <w:r w:rsidRPr="00EC20A0">
        <w:rPr>
          <w:spacing w:val="-7"/>
        </w:rPr>
        <w:t xml:space="preserve"> </w:t>
      </w:r>
      <w:r w:rsidRPr="00EC20A0">
        <w:t>when</w:t>
      </w:r>
      <w:r w:rsidRPr="00EC20A0">
        <w:rPr>
          <w:spacing w:val="-6"/>
        </w:rPr>
        <w:t xml:space="preserve"> </w:t>
      </w:r>
      <w:r w:rsidRPr="00EC20A0">
        <w:t>applicable,</w:t>
      </w:r>
      <w:r w:rsidRPr="00EC20A0">
        <w:rPr>
          <w:spacing w:val="-6"/>
        </w:rPr>
        <w:t xml:space="preserve"> </w:t>
      </w:r>
      <w:r w:rsidRPr="00EC20A0">
        <w:t>the</w:t>
      </w:r>
      <w:r w:rsidRPr="00EC20A0">
        <w:rPr>
          <w:spacing w:val="-6"/>
        </w:rPr>
        <w:t xml:space="preserve"> </w:t>
      </w:r>
      <w:r w:rsidRPr="00EC20A0">
        <w:t>organization</w:t>
      </w:r>
      <w:r w:rsidRPr="00EC20A0">
        <w:rPr>
          <w:spacing w:val="-6"/>
        </w:rPr>
        <w:t xml:space="preserve"> </w:t>
      </w:r>
      <w:r w:rsidRPr="00EC20A0">
        <w:t xml:space="preserve">that employs an individual specialist), thereby influencing the work of its </w:t>
      </w:r>
      <w:r w:rsidRPr="00EC20A0">
        <w:rPr>
          <w:spacing w:val="-2"/>
        </w:rPr>
        <w:t>specialists;</w:t>
      </w:r>
    </w:p>
    <w:p w14:paraId="24D5FFBE" w14:textId="77777777" w:rsidR="00245300" w:rsidRPr="00EC20A0" w:rsidRDefault="00245300">
      <w:pPr>
        <w:pStyle w:val="BodyText"/>
        <w:rPr>
          <w:sz w:val="20"/>
        </w:rPr>
      </w:pPr>
    </w:p>
    <w:p w14:paraId="24D5FFBF" w14:textId="77777777" w:rsidR="00245300" w:rsidRPr="00EC20A0" w:rsidRDefault="00F17249">
      <w:pPr>
        <w:pStyle w:val="BodyText"/>
        <w:spacing w:before="33"/>
        <w:rPr>
          <w:sz w:val="20"/>
        </w:rPr>
      </w:pPr>
      <w:r w:rsidRPr="00EC20A0">
        <w:rPr>
          <w:noProof/>
        </w:rPr>
        <mc:AlternateContent>
          <mc:Choice Requires="wps">
            <w:drawing>
              <wp:anchor distT="0" distB="0" distL="0" distR="0" simplePos="0" relativeHeight="487596544" behindDoc="1" locked="0" layoutInCell="1" allowOverlap="1" wp14:anchorId="24D62AD7" wp14:editId="24D62AD8">
                <wp:simplePos x="0" y="0"/>
                <wp:positionH relativeFrom="page">
                  <wp:posOffset>914400</wp:posOffset>
                </wp:positionH>
                <wp:positionV relativeFrom="paragraph">
                  <wp:posOffset>182308</wp:posOffset>
                </wp:positionV>
                <wp:extent cx="1828800" cy="571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A776B" id="Graphic 99" o:spid="_x0000_s1026" style="position:absolute;margin-left:1in;margin-top:14.35pt;width:2in;height:.4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Cbn9qp3wAAAAkBAAAPAAAAAAAAAAAAAAAAAHgEAABkcnMvZG93bnJldi54&#10;bWxQSwUGAAAAAAQABADzAAAAhAUAAAAA&#10;" path="m1828800,l,,,5333r1828800,l1828800,xe" fillcolor="black" stroked="f">
                <v:path arrowok="t"/>
                <w10:wrap type="topAndBottom" anchorx="page"/>
              </v:shape>
            </w:pict>
          </mc:Fallback>
        </mc:AlternateContent>
      </w:r>
    </w:p>
    <w:p w14:paraId="24D5FFC0" w14:textId="77777777" w:rsidR="00245300" w:rsidRPr="00EC20A0" w:rsidRDefault="00245300">
      <w:pPr>
        <w:pStyle w:val="BodyText"/>
        <w:spacing w:before="53"/>
        <w:rPr>
          <w:sz w:val="18"/>
        </w:rPr>
      </w:pPr>
    </w:p>
    <w:p w14:paraId="24D5FFC1" w14:textId="77777777" w:rsidR="00245300" w:rsidRPr="00EC20A0" w:rsidRDefault="00F17249">
      <w:pPr>
        <w:ind w:left="420"/>
        <w:rPr>
          <w:sz w:val="18"/>
        </w:rPr>
      </w:pPr>
      <w:bookmarkStart w:id="43" w:name="_bookmark13"/>
      <w:bookmarkEnd w:id="43"/>
      <w:r w:rsidRPr="00EC20A0">
        <w:rPr>
          <w:position w:val="7"/>
          <w:sz w:val="14"/>
        </w:rPr>
        <w:t>9</w:t>
      </w:r>
      <w:r w:rsidRPr="00EC20A0">
        <w:rPr>
          <w:sz w:val="18"/>
        </w:rPr>
        <w:t>“Significant</w:t>
      </w:r>
      <w:r w:rsidRPr="00EC20A0">
        <w:rPr>
          <w:spacing w:val="-5"/>
          <w:sz w:val="18"/>
        </w:rPr>
        <w:t xml:space="preserve"> </w:t>
      </w:r>
      <w:r w:rsidRPr="00EC20A0">
        <w:rPr>
          <w:sz w:val="18"/>
        </w:rPr>
        <w:t>assertion”</w:t>
      </w:r>
      <w:r w:rsidRPr="00EC20A0">
        <w:rPr>
          <w:spacing w:val="-2"/>
          <w:sz w:val="18"/>
        </w:rPr>
        <w:t xml:space="preserve"> </w:t>
      </w:r>
      <w:r w:rsidRPr="00EC20A0">
        <w:rPr>
          <w:sz w:val="18"/>
        </w:rPr>
        <w:t>as</w:t>
      </w:r>
      <w:r w:rsidRPr="00EC20A0">
        <w:rPr>
          <w:spacing w:val="-2"/>
          <w:sz w:val="18"/>
        </w:rPr>
        <w:t xml:space="preserve"> </w:t>
      </w:r>
      <w:r w:rsidRPr="00EC20A0">
        <w:rPr>
          <w:sz w:val="18"/>
        </w:rPr>
        <w:t>used</w:t>
      </w:r>
      <w:r w:rsidRPr="00EC20A0">
        <w:rPr>
          <w:spacing w:val="-1"/>
          <w:sz w:val="18"/>
        </w:rPr>
        <w:t xml:space="preserve"> </w:t>
      </w:r>
      <w:r w:rsidRPr="00EC20A0">
        <w:rPr>
          <w:sz w:val="18"/>
        </w:rPr>
        <w:t>in</w:t>
      </w:r>
      <w:r w:rsidRPr="00EC20A0">
        <w:rPr>
          <w:spacing w:val="-3"/>
          <w:sz w:val="18"/>
        </w:rPr>
        <w:t xml:space="preserve"> </w:t>
      </w:r>
      <w:r w:rsidRPr="00EC20A0">
        <w:rPr>
          <w:sz w:val="18"/>
        </w:rPr>
        <w:t>the</w:t>
      </w:r>
      <w:r w:rsidRPr="00EC20A0">
        <w:rPr>
          <w:spacing w:val="-3"/>
          <w:sz w:val="18"/>
        </w:rPr>
        <w:t xml:space="preserve"> </w:t>
      </w:r>
      <w:r w:rsidRPr="00EC20A0">
        <w:rPr>
          <w:sz w:val="18"/>
        </w:rPr>
        <w:t>FAM</w:t>
      </w:r>
      <w:r w:rsidRPr="00EC20A0">
        <w:rPr>
          <w:spacing w:val="-2"/>
          <w:sz w:val="18"/>
        </w:rPr>
        <w:t xml:space="preserve"> </w:t>
      </w:r>
      <w:r w:rsidRPr="00EC20A0">
        <w:rPr>
          <w:sz w:val="18"/>
        </w:rPr>
        <w:t>is</w:t>
      </w:r>
      <w:r w:rsidRPr="00EC20A0">
        <w:rPr>
          <w:spacing w:val="-3"/>
          <w:sz w:val="18"/>
        </w:rPr>
        <w:t xml:space="preserve"> </w:t>
      </w:r>
      <w:r w:rsidRPr="00EC20A0">
        <w:rPr>
          <w:sz w:val="18"/>
        </w:rPr>
        <w:t>referred</w:t>
      </w:r>
      <w:r w:rsidRPr="00EC20A0">
        <w:rPr>
          <w:spacing w:val="-3"/>
          <w:sz w:val="18"/>
        </w:rPr>
        <w:t xml:space="preserve"> </w:t>
      </w:r>
      <w:r w:rsidRPr="00EC20A0">
        <w:rPr>
          <w:sz w:val="18"/>
        </w:rPr>
        <w:t>to</w:t>
      </w:r>
      <w:r w:rsidRPr="00EC20A0">
        <w:rPr>
          <w:spacing w:val="-3"/>
          <w:sz w:val="18"/>
        </w:rPr>
        <w:t xml:space="preserve"> </w:t>
      </w:r>
      <w:r w:rsidRPr="00EC20A0">
        <w:rPr>
          <w:sz w:val="18"/>
        </w:rPr>
        <w:t>as</w:t>
      </w:r>
      <w:r w:rsidRPr="00EC20A0">
        <w:rPr>
          <w:spacing w:val="-2"/>
          <w:sz w:val="18"/>
        </w:rPr>
        <w:t xml:space="preserve"> </w:t>
      </w:r>
      <w:r w:rsidRPr="00EC20A0">
        <w:rPr>
          <w:sz w:val="18"/>
        </w:rPr>
        <w:t>relevant</w:t>
      </w:r>
      <w:r w:rsidRPr="00EC20A0">
        <w:rPr>
          <w:spacing w:val="-2"/>
          <w:sz w:val="18"/>
        </w:rPr>
        <w:t xml:space="preserve"> </w:t>
      </w:r>
      <w:r w:rsidRPr="00EC20A0">
        <w:rPr>
          <w:sz w:val="18"/>
        </w:rPr>
        <w:t>assertion</w:t>
      </w:r>
      <w:r w:rsidRPr="00EC20A0">
        <w:rPr>
          <w:spacing w:val="-3"/>
          <w:sz w:val="18"/>
        </w:rPr>
        <w:t xml:space="preserve"> </w:t>
      </w:r>
      <w:r w:rsidRPr="00EC20A0">
        <w:rPr>
          <w:sz w:val="18"/>
        </w:rPr>
        <w:t>in</w:t>
      </w:r>
      <w:r w:rsidRPr="00EC20A0">
        <w:rPr>
          <w:spacing w:val="-3"/>
          <w:sz w:val="18"/>
        </w:rPr>
        <w:t xml:space="preserve"> </w:t>
      </w:r>
      <w:r w:rsidRPr="00EC20A0">
        <w:rPr>
          <w:sz w:val="18"/>
        </w:rPr>
        <w:t>AU-C</w:t>
      </w:r>
      <w:r w:rsidRPr="00EC20A0">
        <w:rPr>
          <w:spacing w:val="-2"/>
          <w:sz w:val="18"/>
        </w:rPr>
        <w:t xml:space="preserve"> </w:t>
      </w:r>
      <w:r w:rsidRPr="00EC20A0">
        <w:rPr>
          <w:spacing w:val="-4"/>
          <w:sz w:val="18"/>
        </w:rPr>
        <w:t>315.</w:t>
      </w:r>
    </w:p>
    <w:p w14:paraId="24D5FFC2" w14:textId="77777777" w:rsidR="00245300" w:rsidRPr="00EC20A0" w:rsidRDefault="00245300">
      <w:pPr>
        <w:rPr>
          <w:sz w:val="18"/>
        </w:rPr>
        <w:sectPr w:rsidR="00245300" w:rsidRPr="00EC20A0">
          <w:headerReference w:type="default" r:id="rId29"/>
          <w:footerReference w:type="default" r:id="rId30"/>
          <w:pgSz w:w="12240" w:h="15840"/>
          <w:pgMar w:top="1340" w:right="940" w:bottom="940" w:left="1020" w:header="721" w:footer="757" w:gutter="0"/>
          <w:pgNumType w:start="1"/>
          <w:cols w:space="720"/>
        </w:sectPr>
      </w:pPr>
    </w:p>
    <w:p w14:paraId="24D5FFC3" w14:textId="77777777" w:rsidR="00245300" w:rsidRPr="00EC20A0" w:rsidRDefault="00F17249">
      <w:pPr>
        <w:pStyle w:val="ListParagraph"/>
        <w:numPr>
          <w:ilvl w:val="0"/>
          <w:numId w:val="216"/>
        </w:numPr>
        <w:tabs>
          <w:tab w:val="left" w:pos="2219"/>
        </w:tabs>
        <w:spacing w:before="121"/>
        <w:ind w:right="1087"/>
      </w:pPr>
      <w:r w:rsidRPr="00EC20A0">
        <w:t>whether</w:t>
      </w:r>
      <w:r w:rsidRPr="00EC20A0">
        <w:rPr>
          <w:spacing w:val="-6"/>
        </w:rPr>
        <w:t xml:space="preserve"> </w:t>
      </w:r>
      <w:r w:rsidRPr="00EC20A0">
        <w:t>management’s</w:t>
      </w:r>
      <w:r w:rsidRPr="00EC20A0">
        <w:rPr>
          <w:spacing w:val="-6"/>
        </w:rPr>
        <w:t xml:space="preserve"> </w:t>
      </w:r>
      <w:r w:rsidRPr="00EC20A0">
        <w:t>specialists</w:t>
      </w:r>
      <w:r w:rsidRPr="00EC20A0">
        <w:rPr>
          <w:spacing w:val="-6"/>
        </w:rPr>
        <w:t xml:space="preserve"> </w:t>
      </w:r>
      <w:r w:rsidRPr="00EC20A0">
        <w:t>are</w:t>
      </w:r>
      <w:r w:rsidRPr="00EC20A0">
        <w:rPr>
          <w:spacing w:val="-6"/>
        </w:rPr>
        <w:t xml:space="preserve"> </w:t>
      </w:r>
      <w:r w:rsidRPr="00EC20A0">
        <w:t>subject</w:t>
      </w:r>
      <w:r w:rsidRPr="00EC20A0">
        <w:rPr>
          <w:spacing w:val="-6"/>
        </w:rPr>
        <w:t xml:space="preserve"> </w:t>
      </w:r>
      <w:r w:rsidRPr="00EC20A0">
        <w:t>to</w:t>
      </w:r>
      <w:r w:rsidRPr="00EC20A0">
        <w:rPr>
          <w:spacing w:val="-6"/>
        </w:rPr>
        <w:t xml:space="preserve"> </w:t>
      </w:r>
      <w:r w:rsidRPr="00EC20A0">
        <w:t>technical</w:t>
      </w:r>
      <w:r w:rsidRPr="00EC20A0">
        <w:rPr>
          <w:spacing w:val="-6"/>
        </w:rPr>
        <w:t xml:space="preserve"> </w:t>
      </w:r>
      <w:r w:rsidRPr="00EC20A0">
        <w:t>performance standards or other professional or industry requirements;</w:t>
      </w:r>
    </w:p>
    <w:p w14:paraId="24D5FFC4" w14:textId="77777777" w:rsidR="00245300" w:rsidRPr="00EC20A0" w:rsidRDefault="00F17249">
      <w:pPr>
        <w:pStyle w:val="ListParagraph"/>
        <w:numPr>
          <w:ilvl w:val="0"/>
          <w:numId w:val="216"/>
        </w:numPr>
        <w:tabs>
          <w:tab w:val="left" w:pos="2219"/>
        </w:tabs>
        <w:spacing w:before="239"/>
        <w:ind w:right="1284"/>
      </w:pPr>
      <w:r w:rsidRPr="00EC20A0">
        <w:t>the</w:t>
      </w:r>
      <w:r w:rsidRPr="00EC20A0">
        <w:rPr>
          <w:spacing w:val="-3"/>
        </w:rPr>
        <w:t xml:space="preserve"> </w:t>
      </w:r>
      <w:r w:rsidRPr="00EC20A0">
        <w:t>nature</w:t>
      </w:r>
      <w:r w:rsidRPr="00EC20A0">
        <w:rPr>
          <w:spacing w:val="-3"/>
        </w:rPr>
        <w:t xml:space="preserve"> </w:t>
      </w:r>
      <w:r w:rsidRPr="00EC20A0">
        <w:t>and</w:t>
      </w:r>
      <w:r w:rsidRPr="00EC20A0">
        <w:rPr>
          <w:spacing w:val="-3"/>
        </w:rPr>
        <w:t xml:space="preserve"> </w:t>
      </w:r>
      <w:r w:rsidRPr="00EC20A0">
        <w:t>extent</w:t>
      </w:r>
      <w:r w:rsidRPr="00EC20A0">
        <w:rPr>
          <w:spacing w:val="-3"/>
        </w:rPr>
        <w:t xml:space="preserve"> </w:t>
      </w:r>
      <w:r w:rsidRPr="00EC20A0">
        <w:t>of</w:t>
      </w:r>
      <w:r w:rsidRPr="00EC20A0">
        <w:rPr>
          <w:spacing w:val="-4"/>
        </w:rPr>
        <w:t xml:space="preserve"> </w:t>
      </w:r>
      <w:r w:rsidRPr="00EC20A0">
        <w:t>any</w:t>
      </w:r>
      <w:r w:rsidRPr="00EC20A0">
        <w:rPr>
          <w:spacing w:val="-3"/>
        </w:rPr>
        <w:t xml:space="preserve"> </w:t>
      </w:r>
      <w:r w:rsidRPr="00EC20A0">
        <w:t>controls</w:t>
      </w:r>
      <w:r w:rsidRPr="00EC20A0">
        <w:rPr>
          <w:spacing w:val="-4"/>
        </w:rPr>
        <w:t xml:space="preserve"> </w:t>
      </w:r>
      <w:r w:rsidRPr="00EC20A0">
        <w:t>within</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over</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 management’s specialists;</w:t>
      </w:r>
    </w:p>
    <w:p w14:paraId="24D5FFC5" w14:textId="77777777" w:rsidR="00245300" w:rsidRPr="00EC20A0" w:rsidRDefault="00F17249">
      <w:pPr>
        <w:pStyle w:val="ListParagraph"/>
        <w:numPr>
          <w:ilvl w:val="0"/>
          <w:numId w:val="216"/>
        </w:numPr>
        <w:tabs>
          <w:tab w:val="left" w:pos="2219"/>
        </w:tabs>
        <w:spacing w:before="241"/>
        <w:ind w:right="976"/>
      </w:pPr>
      <w:r w:rsidRPr="00EC20A0">
        <w:t>the</w:t>
      </w:r>
      <w:r w:rsidRPr="00EC20A0">
        <w:rPr>
          <w:spacing w:val="-3"/>
        </w:rPr>
        <w:t xml:space="preserve"> </w:t>
      </w:r>
      <w:r w:rsidRPr="00EC20A0">
        <w:t>auditor’s</w:t>
      </w:r>
      <w:r w:rsidRPr="00EC20A0">
        <w:rPr>
          <w:spacing w:val="-4"/>
        </w:rPr>
        <w:t xml:space="preserve"> </w:t>
      </w:r>
      <w:r w:rsidRPr="00EC20A0">
        <w:t>knowledge</w:t>
      </w:r>
      <w:r w:rsidRPr="00EC20A0">
        <w:rPr>
          <w:spacing w:val="-4"/>
        </w:rPr>
        <w:t xml:space="preserve"> </w:t>
      </w:r>
      <w:r w:rsidRPr="00EC20A0">
        <w:t>of,</w:t>
      </w:r>
      <w:r w:rsidRPr="00EC20A0">
        <w:rPr>
          <w:spacing w:val="-3"/>
        </w:rPr>
        <w:t xml:space="preserve"> </w:t>
      </w:r>
      <w:r w:rsidRPr="00EC20A0">
        <w:t>and</w:t>
      </w:r>
      <w:r w:rsidRPr="00EC20A0">
        <w:rPr>
          <w:spacing w:val="-3"/>
        </w:rPr>
        <w:t xml:space="preserve"> </w:t>
      </w:r>
      <w:r w:rsidRPr="00EC20A0">
        <w:t>experience</w:t>
      </w:r>
      <w:r w:rsidRPr="00EC20A0">
        <w:rPr>
          <w:spacing w:val="-3"/>
        </w:rPr>
        <w:t xml:space="preserve"> </w:t>
      </w:r>
      <w:r w:rsidRPr="00EC20A0">
        <w:t>with,</w:t>
      </w:r>
      <w:r w:rsidRPr="00EC20A0">
        <w:rPr>
          <w:spacing w:val="-4"/>
        </w:rPr>
        <w:t xml:space="preserve"> </w:t>
      </w:r>
      <w:r w:rsidRPr="00EC20A0">
        <w:t>the</w:t>
      </w:r>
      <w:r w:rsidRPr="00EC20A0">
        <w:rPr>
          <w:spacing w:val="-3"/>
        </w:rPr>
        <w:t xml:space="preserve"> </w:t>
      </w:r>
      <w:r w:rsidRPr="00EC20A0">
        <w:t>fields</w:t>
      </w:r>
      <w:r w:rsidRPr="00EC20A0">
        <w:rPr>
          <w:spacing w:val="-3"/>
        </w:rPr>
        <w:t xml:space="preserve"> </w:t>
      </w:r>
      <w:r w:rsidRPr="00EC20A0">
        <w:t>of</w:t>
      </w:r>
      <w:r w:rsidRPr="00EC20A0">
        <w:rPr>
          <w:spacing w:val="-4"/>
        </w:rPr>
        <w:t xml:space="preserve"> </w:t>
      </w:r>
      <w:r w:rsidRPr="00EC20A0">
        <w:t>expertise</w:t>
      </w:r>
      <w:r w:rsidRPr="00EC20A0">
        <w:rPr>
          <w:spacing w:val="-3"/>
        </w:rPr>
        <w:t xml:space="preserve"> </w:t>
      </w:r>
      <w:r w:rsidRPr="00EC20A0">
        <w:t>of management’s specialists; and</w:t>
      </w:r>
    </w:p>
    <w:p w14:paraId="24D5FFC6" w14:textId="77777777" w:rsidR="00245300" w:rsidRPr="00EC20A0" w:rsidRDefault="00F17249">
      <w:pPr>
        <w:pStyle w:val="ListParagraph"/>
        <w:numPr>
          <w:ilvl w:val="0"/>
          <w:numId w:val="216"/>
        </w:numPr>
        <w:tabs>
          <w:tab w:val="left" w:pos="2219"/>
        </w:tabs>
      </w:pPr>
      <w:r w:rsidRPr="00EC20A0">
        <w:t>the</w:t>
      </w:r>
      <w:r w:rsidRPr="00EC20A0">
        <w:rPr>
          <w:spacing w:val="-8"/>
        </w:rPr>
        <w:t xml:space="preserve"> </w:t>
      </w:r>
      <w:r w:rsidRPr="00EC20A0">
        <w:t>auditor’s</w:t>
      </w:r>
      <w:r w:rsidRPr="00EC20A0">
        <w:rPr>
          <w:spacing w:val="-8"/>
        </w:rPr>
        <w:t xml:space="preserve"> </w:t>
      </w:r>
      <w:r w:rsidRPr="00EC20A0">
        <w:t>previous</w:t>
      </w:r>
      <w:r w:rsidRPr="00EC20A0">
        <w:rPr>
          <w:spacing w:val="-7"/>
        </w:rPr>
        <w:t xml:space="preserve"> </w:t>
      </w:r>
      <w:r w:rsidRPr="00EC20A0">
        <w:t>experience</w:t>
      </w:r>
      <w:r w:rsidRPr="00EC20A0">
        <w:rPr>
          <w:spacing w:val="-7"/>
        </w:rPr>
        <w:t xml:space="preserve"> </w:t>
      </w:r>
      <w:r w:rsidRPr="00EC20A0">
        <w:t>with</w:t>
      </w:r>
      <w:r w:rsidRPr="00EC20A0">
        <w:rPr>
          <w:spacing w:val="-8"/>
        </w:rPr>
        <w:t xml:space="preserve"> </w:t>
      </w:r>
      <w:r w:rsidRPr="00EC20A0">
        <w:t>the</w:t>
      </w:r>
      <w:r w:rsidRPr="00EC20A0">
        <w:rPr>
          <w:spacing w:val="-7"/>
        </w:rPr>
        <w:t xml:space="preserve"> </w:t>
      </w:r>
      <w:r w:rsidRPr="00EC20A0">
        <w:t>work</w:t>
      </w:r>
      <w:r w:rsidRPr="00EC20A0">
        <w:rPr>
          <w:spacing w:val="-7"/>
        </w:rPr>
        <w:t xml:space="preserve"> </w:t>
      </w:r>
      <w:r w:rsidRPr="00EC20A0">
        <w:t>of</w:t>
      </w:r>
      <w:r w:rsidRPr="00EC20A0">
        <w:rPr>
          <w:spacing w:val="-8"/>
        </w:rPr>
        <w:t xml:space="preserve"> </w:t>
      </w:r>
      <w:r w:rsidRPr="00EC20A0">
        <w:t>management’s</w:t>
      </w:r>
      <w:r w:rsidRPr="00EC20A0">
        <w:rPr>
          <w:spacing w:val="-7"/>
        </w:rPr>
        <w:t xml:space="preserve"> </w:t>
      </w:r>
      <w:r w:rsidRPr="00EC20A0">
        <w:rPr>
          <w:spacing w:val="-2"/>
        </w:rPr>
        <w:t>specialists.</w:t>
      </w:r>
    </w:p>
    <w:p w14:paraId="24D5FFC7" w14:textId="77777777" w:rsidR="00245300" w:rsidRPr="00EC20A0" w:rsidRDefault="00F17249">
      <w:pPr>
        <w:pStyle w:val="BodyText"/>
        <w:spacing w:before="239"/>
        <w:ind w:left="1858"/>
      </w:pPr>
      <w:r w:rsidRPr="00EC20A0">
        <w:t>More</w:t>
      </w:r>
      <w:r w:rsidRPr="00EC20A0">
        <w:rPr>
          <w:spacing w:val="-7"/>
        </w:rPr>
        <w:t xml:space="preserve"> </w:t>
      </w:r>
      <w:r w:rsidRPr="00EC20A0">
        <w:t>persuasive</w:t>
      </w:r>
      <w:r w:rsidRPr="00EC20A0">
        <w:rPr>
          <w:spacing w:val="-8"/>
        </w:rPr>
        <w:t xml:space="preserve"> </w:t>
      </w:r>
      <w:r w:rsidRPr="00EC20A0">
        <w:t>audit</w:t>
      </w:r>
      <w:r w:rsidRPr="00EC20A0">
        <w:rPr>
          <w:spacing w:val="-7"/>
        </w:rPr>
        <w:t xml:space="preserve"> </w:t>
      </w:r>
      <w:r w:rsidRPr="00EC20A0">
        <w:t>evidence</w:t>
      </w:r>
      <w:r w:rsidRPr="00EC20A0">
        <w:rPr>
          <w:spacing w:val="-7"/>
        </w:rPr>
        <w:t xml:space="preserve"> </w:t>
      </w:r>
      <w:r w:rsidRPr="00EC20A0">
        <w:t>is</w:t>
      </w:r>
      <w:r w:rsidRPr="00EC20A0">
        <w:rPr>
          <w:spacing w:val="-8"/>
        </w:rPr>
        <w:t xml:space="preserve"> </w:t>
      </w:r>
      <w:r w:rsidRPr="00EC20A0">
        <w:t>needed</w:t>
      </w:r>
      <w:r w:rsidRPr="00EC20A0">
        <w:rPr>
          <w:spacing w:val="-6"/>
        </w:rPr>
        <w:t xml:space="preserve"> </w:t>
      </w:r>
      <w:r w:rsidRPr="00EC20A0">
        <w:t>regarding</w:t>
      </w:r>
      <w:r w:rsidRPr="00EC20A0">
        <w:rPr>
          <w:spacing w:val="-7"/>
        </w:rPr>
        <w:t xml:space="preserve"> </w:t>
      </w:r>
      <w:r w:rsidRPr="00EC20A0">
        <w:t>the</w:t>
      </w:r>
      <w:r w:rsidRPr="00EC20A0">
        <w:rPr>
          <w:spacing w:val="-7"/>
        </w:rPr>
        <w:t xml:space="preserve"> </w:t>
      </w:r>
      <w:r w:rsidRPr="00EC20A0">
        <w:t>requirement</w:t>
      </w:r>
      <w:r w:rsidRPr="00EC20A0">
        <w:rPr>
          <w:spacing w:val="-7"/>
        </w:rPr>
        <w:t xml:space="preserve"> </w:t>
      </w:r>
      <w:r w:rsidRPr="00EC20A0">
        <w:t>in</w:t>
      </w:r>
      <w:r w:rsidRPr="00EC20A0">
        <w:rPr>
          <w:spacing w:val="-7"/>
        </w:rPr>
        <w:t xml:space="preserve"> </w:t>
      </w:r>
      <w:r w:rsidRPr="00EC20A0">
        <w:rPr>
          <w:spacing w:val="-5"/>
        </w:rPr>
        <w:t>FAM</w:t>
      </w:r>
    </w:p>
    <w:p w14:paraId="24D5FFC8" w14:textId="77777777" w:rsidR="00245300" w:rsidRPr="00EC20A0" w:rsidRDefault="00F17249">
      <w:pPr>
        <w:pStyle w:val="BodyText"/>
        <w:ind w:left="1858" w:right="656"/>
      </w:pPr>
      <w:r w:rsidRPr="00EC20A0">
        <w:t>625.03</w:t>
      </w:r>
      <w:r w:rsidRPr="00EC20A0">
        <w:rPr>
          <w:spacing w:val="-3"/>
        </w:rPr>
        <w:t xml:space="preserve"> </w:t>
      </w:r>
      <w:r w:rsidRPr="00EC20A0">
        <w:t>as</w:t>
      </w:r>
      <w:r w:rsidRPr="00EC20A0">
        <w:rPr>
          <w:spacing w:val="-3"/>
        </w:rPr>
        <w:t xml:space="preserve"> </w:t>
      </w:r>
      <w:r w:rsidRPr="00EC20A0">
        <w:t>the</w:t>
      </w:r>
      <w:r w:rsidRPr="00EC20A0">
        <w:rPr>
          <w:spacing w:val="-3"/>
        </w:rPr>
        <w:t xml:space="preserve"> </w:t>
      </w:r>
      <w:r w:rsidRPr="00EC20A0">
        <w:t>significance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management’s</w:t>
      </w:r>
      <w:r w:rsidRPr="00EC20A0">
        <w:rPr>
          <w:spacing w:val="-3"/>
        </w:rPr>
        <w:t xml:space="preserve"> </w:t>
      </w:r>
      <w:r w:rsidRPr="00EC20A0">
        <w:t>specialists,</w:t>
      </w:r>
      <w:r w:rsidRPr="00EC20A0">
        <w:rPr>
          <w:spacing w:val="-4"/>
        </w:rPr>
        <w:t xml:space="preserve"> </w:t>
      </w:r>
      <w:r w:rsidRPr="00EC20A0">
        <w:t>the</w:t>
      </w:r>
      <w:r w:rsidRPr="00EC20A0">
        <w:rPr>
          <w:spacing w:val="-3"/>
        </w:rPr>
        <w:t xml:space="preserve"> </w:t>
      </w:r>
      <w:r w:rsidRPr="00EC20A0">
        <w:t>risk</w:t>
      </w:r>
      <w:r w:rsidRPr="00EC20A0">
        <w:rPr>
          <w:spacing w:val="-3"/>
        </w:rPr>
        <w:t xml:space="preserve"> </w:t>
      </w:r>
      <w:r w:rsidRPr="00EC20A0">
        <w:t xml:space="preserve">of material misstatement at the assertion level, or the ability of </w:t>
      </w:r>
      <w:r w:rsidRPr="00EC20A0">
        <w:t>management to affect the specialists’ judgments increase, or as the competence, capabilities, and objectivity of specialists in the particular fields decrease.</w:t>
      </w:r>
    </w:p>
    <w:p w14:paraId="24D5FFC9" w14:textId="77777777" w:rsidR="00245300" w:rsidRPr="00EC20A0" w:rsidRDefault="00F17249">
      <w:pPr>
        <w:pStyle w:val="ListParagraph"/>
        <w:numPr>
          <w:ilvl w:val="0"/>
          <w:numId w:val="19"/>
        </w:numPr>
        <w:tabs>
          <w:tab w:val="left" w:pos="1858"/>
        </w:tabs>
        <w:spacing w:before="241"/>
        <w:ind w:left="1858" w:right="642" w:hanging="720"/>
      </w:pPr>
      <w:r w:rsidRPr="00EC20A0">
        <w:t xml:space="preserve">It is necessary to apply professional judgment when considering how the requirements of this </w:t>
      </w:r>
      <w:r w:rsidRPr="00EC20A0">
        <w:t>section are affected by the fact that management’s specialists</w:t>
      </w:r>
      <w:r w:rsidRPr="00EC20A0">
        <w:rPr>
          <w:spacing w:val="-5"/>
        </w:rPr>
        <w:t xml:space="preserve"> </w:t>
      </w:r>
      <w:r w:rsidRPr="00EC20A0">
        <w:t>may</w:t>
      </w:r>
      <w:r w:rsidRPr="00EC20A0">
        <w:rPr>
          <w:spacing w:val="-4"/>
        </w:rPr>
        <w:t xml:space="preserve"> </w:t>
      </w:r>
      <w:r w:rsidRPr="00EC20A0">
        <w:t>be</w:t>
      </w:r>
      <w:r w:rsidRPr="00EC20A0">
        <w:rPr>
          <w:spacing w:val="-4"/>
        </w:rPr>
        <w:t xml:space="preserve"> </w:t>
      </w:r>
      <w:r w:rsidRPr="00EC20A0">
        <w:t>either</w:t>
      </w:r>
      <w:r w:rsidRPr="00EC20A0">
        <w:rPr>
          <w:spacing w:val="-4"/>
        </w:rPr>
        <w:t xml:space="preserve"> </w:t>
      </w:r>
      <w:r w:rsidRPr="00EC20A0">
        <w:t>individuals</w:t>
      </w:r>
      <w:r w:rsidRPr="00EC20A0">
        <w:rPr>
          <w:spacing w:val="-4"/>
        </w:rPr>
        <w:t xml:space="preserve"> </w:t>
      </w:r>
      <w:r w:rsidRPr="00EC20A0">
        <w:t>or</w:t>
      </w:r>
      <w:r w:rsidRPr="00EC20A0">
        <w:rPr>
          <w:spacing w:val="-4"/>
        </w:rPr>
        <w:t xml:space="preserve"> </w:t>
      </w:r>
      <w:r w:rsidRPr="00EC20A0">
        <w:t>organizations.</w:t>
      </w:r>
      <w:r w:rsidRPr="00EC20A0">
        <w:rPr>
          <w:spacing w:val="-4"/>
        </w:rPr>
        <w:t xml:space="preserve"> </w:t>
      </w:r>
      <w:r w:rsidRPr="00EC20A0">
        <w:t>See</w:t>
      </w:r>
      <w:r w:rsidRPr="00EC20A0">
        <w:rPr>
          <w:spacing w:val="-5"/>
        </w:rPr>
        <w:t xml:space="preserve"> </w:t>
      </w:r>
      <w:r w:rsidRPr="00EC20A0">
        <w:t>FAM</w:t>
      </w:r>
      <w:r w:rsidRPr="00EC20A0">
        <w:rPr>
          <w:spacing w:val="-5"/>
        </w:rPr>
        <w:t xml:space="preserve"> </w:t>
      </w:r>
      <w:r w:rsidRPr="00EC20A0">
        <w:t>620.17</w:t>
      </w:r>
      <w:r w:rsidRPr="00EC20A0">
        <w:rPr>
          <w:spacing w:val="-3"/>
        </w:rPr>
        <w:t xml:space="preserve"> </w:t>
      </w:r>
      <w:r w:rsidRPr="00EC20A0">
        <w:t>for</w:t>
      </w:r>
      <w:r w:rsidRPr="00EC20A0">
        <w:rPr>
          <w:spacing w:val="-4"/>
        </w:rPr>
        <w:t xml:space="preserve"> </w:t>
      </w:r>
      <w:r w:rsidRPr="00EC20A0">
        <w:t xml:space="preserve">more </w:t>
      </w:r>
      <w:r w:rsidRPr="00EC20A0">
        <w:rPr>
          <w:spacing w:val="-2"/>
        </w:rPr>
        <w:t>information.</w:t>
      </w:r>
    </w:p>
    <w:p w14:paraId="24D5FFCA" w14:textId="77777777" w:rsidR="00245300" w:rsidRPr="00EC20A0" w:rsidRDefault="00F17249">
      <w:pPr>
        <w:pStyle w:val="Heading4"/>
        <w:ind w:left="419" w:right="562"/>
      </w:pPr>
      <w:bookmarkStart w:id="44" w:name="Evaluating_the_Competence,_Capabilities,"/>
      <w:bookmarkEnd w:id="44"/>
      <w:r w:rsidRPr="00EC20A0">
        <w:t>Evaluating</w:t>
      </w:r>
      <w:r w:rsidRPr="00EC20A0">
        <w:rPr>
          <w:spacing w:val="-7"/>
        </w:rPr>
        <w:t xml:space="preserve"> </w:t>
      </w:r>
      <w:r w:rsidRPr="00EC20A0">
        <w:t>the</w:t>
      </w:r>
      <w:r w:rsidRPr="00EC20A0">
        <w:rPr>
          <w:spacing w:val="-6"/>
        </w:rPr>
        <w:t xml:space="preserve"> </w:t>
      </w:r>
      <w:r w:rsidRPr="00EC20A0">
        <w:t>Competence,</w:t>
      </w:r>
      <w:r w:rsidRPr="00EC20A0">
        <w:rPr>
          <w:spacing w:val="-6"/>
        </w:rPr>
        <w:t xml:space="preserve"> </w:t>
      </w:r>
      <w:r w:rsidRPr="00EC20A0">
        <w:t>Capabilities,</w:t>
      </w:r>
      <w:r w:rsidRPr="00EC20A0">
        <w:rPr>
          <w:spacing w:val="-7"/>
        </w:rPr>
        <w:t xml:space="preserve"> </w:t>
      </w:r>
      <w:r w:rsidRPr="00EC20A0">
        <w:t>and</w:t>
      </w:r>
      <w:r w:rsidRPr="00EC20A0">
        <w:rPr>
          <w:spacing w:val="-7"/>
        </w:rPr>
        <w:t xml:space="preserve"> </w:t>
      </w:r>
      <w:r w:rsidRPr="00EC20A0">
        <w:t>Objectivity</w:t>
      </w:r>
      <w:r w:rsidRPr="00EC20A0">
        <w:rPr>
          <w:spacing w:val="-7"/>
        </w:rPr>
        <w:t xml:space="preserve"> </w:t>
      </w:r>
      <w:r w:rsidRPr="00EC20A0">
        <w:t>of Management’s Specialists</w:t>
      </w:r>
    </w:p>
    <w:p w14:paraId="24D5FFCB" w14:textId="77777777" w:rsidR="00245300" w:rsidRPr="00EC20A0" w:rsidRDefault="00F17249">
      <w:pPr>
        <w:pStyle w:val="ListParagraph"/>
        <w:numPr>
          <w:ilvl w:val="0"/>
          <w:numId w:val="19"/>
        </w:numPr>
        <w:tabs>
          <w:tab w:val="left" w:pos="1859"/>
        </w:tabs>
        <w:spacing w:before="239"/>
        <w:ind w:right="520" w:hanging="720"/>
      </w:pPr>
      <w:r w:rsidRPr="00EC20A0">
        <w:t>As</w:t>
      </w:r>
      <w:r w:rsidRPr="00EC20A0">
        <w:rPr>
          <w:spacing w:val="-4"/>
        </w:rPr>
        <w:t xml:space="preserve"> </w:t>
      </w:r>
      <w:r w:rsidRPr="00EC20A0">
        <w:t>discussed</w:t>
      </w:r>
      <w:r w:rsidRPr="00EC20A0">
        <w:rPr>
          <w:spacing w:val="-4"/>
        </w:rPr>
        <w:t xml:space="preserve"> </w:t>
      </w:r>
      <w:r w:rsidRPr="00EC20A0">
        <w:t>in</w:t>
      </w:r>
      <w:r w:rsidRPr="00EC20A0">
        <w:rPr>
          <w:spacing w:val="-4"/>
        </w:rPr>
        <w:t xml:space="preserve"> </w:t>
      </w:r>
      <w:r w:rsidRPr="00EC20A0">
        <w:t>FAM</w:t>
      </w:r>
      <w:r w:rsidRPr="00EC20A0">
        <w:rPr>
          <w:spacing w:val="-5"/>
        </w:rPr>
        <w:t xml:space="preserve"> </w:t>
      </w:r>
      <w:r w:rsidRPr="00EC20A0">
        <w:t>625.03,</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5"/>
        </w:rPr>
        <w:t xml:space="preserve"> </w:t>
      </w:r>
      <w:r w:rsidRPr="00EC20A0">
        <w:t>evaluate</w:t>
      </w:r>
      <w:r w:rsidRPr="00EC20A0">
        <w:rPr>
          <w:spacing w:val="-4"/>
        </w:rPr>
        <w:t xml:space="preserve"> </w:t>
      </w:r>
      <w:r w:rsidRPr="00EC20A0">
        <w:t>whether</w:t>
      </w:r>
      <w:r w:rsidRPr="00EC20A0">
        <w:rPr>
          <w:spacing w:val="-4"/>
        </w:rPr>
        <w:t xml:space="preserve"> </w:t>
      </w:r>
      <w:r w:rsidRPr="00EC20A0">
        <w:t>management’s specialists have the necessary competence, capabilities, and objectivity for the auditor’s purposes. See FAM 615 for additional guidance.</w:t>
      </w:r>
    </w:p>
    <w:p w14:paraId="24D5FFCC" w14:textId="77777777" w:rsidR="00245300" w:rsidRPr="00EC20A0" w:rsidRDefault="00F17249">
      <w:pPr>
        <w:pStyle w:val="Heading4"/>
        <w:spacing w:before="241"/>
      </w:pPr>
      <w:bookmarkStart w:id="45" w:name="Obtaining_an_Understanding_of_the_Work_o"/>
      <w:bookmarkEnd w:id="45"/>
      <w:r w:rsidRPr="00EC20A0">
        <w:t>Obtaining</w:t>
      </w:r>
      <w:r w:rsidRPr="00EC20A0">
        <w:rPr>
          <w:spacing w:val="-12"/>
        </w:rPr>
        <w:t xml:space="preserve"> </w:t>
      </w:r>
      <w:r w:rsidRPr="00EC20A0">
        <w:t>an</w:t>
      </w:r>
      <w:r w:rsidRPr="00EC20A0">
        <w:rPr>
          <w:spacing w:val="-12"/>
        </w:rPr>
        <w:t xml:space="preserve"> </w:t>
      </w:r>
      <w:r w:rsidRPr="00EC20A0">
        <w:t>Understanding</w:t>
      </w:r>
      <w:r w:rsidRPr="00EC20A0">
        <w:rPr>
          <w:spacing w:val="-12"/>
        </w:rPr>
        <w:t xml:space="preserve"> </w:t>
      </w:r>
      <w:r w:rsidRPr="00EC20A0">
        <w:t>of</w:t>
      </w:r>
      <w:r w:rsidRPr="00EC20A0">
        <w:rPr>
          <w:spacing w:val="-11"/>
        </w:rPr>
        <w:t xml:space="preserve"> </w:t>
      </w:r>
      <w:r w:rsidRPr="00EC20A0">
        <w:t>the</w:t>
      </w:r>
      <w:r w:rsidRPr="00EC20A0">
        <w:rPr>
          <w:spacing w:val="-10"/>
        </w:rPr>
        <w:t xml:space="preserve"> </w:t>
      </w:r>
      <w:r w:rsidRPr="00EC20A0">
        <w:t>Work</w:t>
      </w:r>
      <w:r w:rsidRPr="00EC20A0">
        <w:rPr>
          <w:spacing w:val="-11"/>
        </w:rPr>
        <w:t xml:space="preserve"> </w:t>
      </w:r>
      <w:r w:rsidRPr="00EC20A0">
        <w:t>of</w:t>
      </w:r>
      <w:r w:rsidRPr="00EC20A0">
        <w:rPr>
          <w:spacing w:val="-11"/>
        </w:rPr>
        <w:t xml:space="preserve"> </w:t>
      </w:r>
      <w:r w:rsidRPr="00EC20A0">
        <w:t>Management’s</w:t>
      </w:r>
      <w:r w:rsidRPr="00EC20A0">
        <w:rPr>
          <w:spacing w:val="-12"/>
        </w:rPr>
        <w:t xml:space="preserve"> </w:t>
      </w:r>
      <w:r w:rsidRPr="00EC20A0">
        <w:rPr>
          <w:spacing w:val="-2"/>
        </w:rPr>
        <w:t>Specialists</w:t>
      </w:r>
    </w:p>
    <w:p w14:paraId="24D5FFCD" w14:textId="77777777" w:rsidR="00245300" w:rsidRPr="00EC20A0" w:rsidRDefault="00F17249">
      <w:pPr>
        <w:pStyle w:val="ListParagraph"/>
        <w:numPr>
          <w:ilvl w:val="0"/>
          <w:numId w:val="19"/>
        </w:numPr>
        <w:tabs>
          <w:tab w:val="left" w:pos="1860"/>
        </w:tabs>
        <w:spacing w:before="239"/>
        <w:ind w:left="1860" w:right="553"/>
      </w:pPr>
      <w:r w:rsidRPr="00EC20A0">
        <w:t xml:space="preserve">An understanding of the work of management’s specialists includes an understanding of the relevant fields of expertise. An understanding of the relevant fields of expertise may be obtained in conjunction with the auditor’s determination of whether the auditor has the expertise to evaluate the work of </w:t>
      </w:r>
      <w:r w:rsidRPr="00EC20A0">
        <w:rPr>
          <w:color w:val="242424"/>
        </w:rPr>
        <w:t>management’s</w:t>
      </w:r>
      <w:r w:rsidRPr="00EC20A0">
        <w:rPr>
          <w:color w:val="242424"/>
          <w:spacing w:val="-3"/>
        </w:rPr>
        <w:t xml:space="preserve"> </w:t>
      </w:r>
      <w:r w:rsidRPr="00EC20A0">
        <w:t>specialists</w:t>
      </w:r>
      <w:r w:rsidRPr="00EC20A0">
        <w:rPr>
          <w:spacing w:val="-4"/>
        </w:rPr>
        <w:t xml:space="preserve"> </w:t>
      </w:r>
      <w:r w:rsidRPr="00EC20A0">
        <w:t>or</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auditor</w:t>
      </w:r>
      <w:r w:rsidRPr="00EC20A0">
        <w:rPr>
          <w:spacing w:val="-5"/>
        </w:rPr>
        <w:t xml:space="preserve"> </w:t>
      </w:r>
      <w:r w:rsidRPr="00EC20A0">
        <w:t>needs</w:t>
      </w:r>
      <w:r w:rsidRPr="00EC20A0">
        <w:rPr>
          <w:spacing w:val="-4"/>
        </w:rPr>
        <w:t xml:space="preserve"> </w:t>
      </w:r>
      <w:r w:rsidRPr="00EC20A0">
        <w:t>an</w:t>
      </w:r>
      <w:r w:rsidRPr="00EC20A0">
        <w:rPr>
          <w:spacing w:val="-4"/>
        </w:rPr>
        <w:t xml:space="preserve"> </w:t>
      </w:r>
      <w:r w:rsidRPr="00EC20A0">
        <w:t>auditor’s</w:t>
      </w:r>
      <w:r w:rsidRPr="00EC20A0">
        <w:rPr>
          <w:spacing w:val="-4"/>
        </w:rPr>
        <w:t xml:space="preserve"> </w:t>
      </w:r>
      <w:r w:rsidRPr="00EC20A0">
        <w:t>specialist</w:t>
      </w:r>
      <w:r w:rsidRPr="00EC20A0">
        <w:rPr>
          <w:spacing w:val="-4"/>
        </w:rPr>
        <w:t xml:space="preserve"> </w:t>
      </w:r>
      <w:r w:rsidRPr="00EC20A0">
        <w:t>for this purpose (AU-C 501.A80) (see FAM 620).</w:t>
      </w:r>
    </w:p>
    <w:p w14:paraId="24D5FFCE" w14:textId="77777777" w:rsidR="00245300" w:rsidRPr="00EC20A0" w:rsidRDefault="00F17249">
      <w:pPr>
        <w:pStyle w:val="ListParagraph"/>
        <w:numPr>
          <w:ilvl w:val="0"/>
          <w:numId w:val="19"/>
        </w:numPr>
        <w:tabs>
          <w:tab w:val="left" w:pos="1860"/>
        </w:tabs>
        <w:spacing w:before="241"/>
        <w:ind w:left="1860" w:right="968"/>
      </w:pPr>
      <w:r w:rsidRPr="00EC20A0">
        <w:t>Aspects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fields</w:t>
      </w:r>
      <w:r w:rsidRPr="00EC20A0">
        <w:rPr>
          <w:spacing w:val="-3"/>
        </w:rPr>
        <w:t xml:space="preserve"> </w:t>
      </w:r>
      <w:r w:rsidRPr="00EC20A0">
        <w:t>of</w:t>
      </w:r>
      <w:r w:rsidRPr="00EC20A0">
        <w:rPr>
          <w:spacing w:val="-4"/>
        </w:rPr>
        <w:t xml:space="preserve"> </w:t>
      </w:r>
      <w:r w:rsidRPr="00EC20A0">
        <w:t>expertise</w:t>
      </w:r>
      <w:r w:rsidRPr="00EC20A0">
        <w:rPr>
          <w:spacing w:val="-3"/>
        </w:rPr>
        <w:t xml:space="preserve"> </w:t>
      </w:r>
      <w:r w:rsidRPr="00EC20A0">
        <w:t>of</w:t>
      </w:r>
      <w:r w:rsidRPr="00EC20A0">
        <w:rPr>
          <w:spacing w:val="-4"/>
        </w:rPr>
        <w:t xml:space="preserve"> </w:t>
      </w:r>
      <w:r w:rsidRPr="00EC20A0">
        <w:t>management’s</w:t>
      </w:r>
      <w:r w:rsidRPr="00EC20A0">
        <w:rPr>
          <w:spacing w:val="-3"/>
        </w:rPr>
        <w:t xml:space="preserve"> </w:t>
      </w:r>
      <w:r w:rsidRPr="00EC20A0">
        <w:t>specialists</w:t>
      </w:r>
      <w:r w:rsidRPr="00EC20A0">
        <w:rPr>
          <w:spacing w:val="-3"/>
        </w:rPr>
        <w:t xml:space="preserve"> </w:t>
      </w:r>
      <w:r w:rsidRPr="00EC20A0">
        <w:t>relevant</w:t>
      </w:r>
      <w:r w:rsidRPr="00EC20A0">
        <w:rPr>
          <w:spacing w:val="-3"/>
        </w:rPr>
        <w:t xml:space="preserve"> </w:t>
      </w:r>
      <w:r w:rsidRPr="00EC20A0">
        <w:t>to</w:t>
      </w:r>
      <w:r w:rsidRPr="00EC20A0">
        <w:rPr>
          <w:spacing w:val="-4"/>
        </w:rPr>
        <w:t xml:space="preserve"> </w:t>
      </w:r>
      <w:r w:rsidRPr="00EC20A0">
        <w:t>the auditor’s understanding may include (AU-C 501.A81)</w:t>
      </w:r>
    </w:p>
    <w:p w14:paraId="24D5FFCF" w14:textId="77777777" w:rsidR="00245300" w:rsidRPr="00EC20A0" w:rsidRDefault="00F17249">
      <w:pPr>
        <w:pStyle w:val="ListParagraph"/>
        <w:numPr>
          <w:ilvl w:val="1"/>
          <w:numId w:val="19"/>
        </w:numPr>
        <w:tabs>
          <w:tab w:val="left" w:pos="2220"/>
        </w:tabs>
        <w:ind w:right="549"/>
      </w:pPr>
      <w:r w:rsidRPr="00EC20A0">
        <w:t>whether</w:t>
      </w:r>
      <w:r w:rsidRPr="00EC20A0">
        <w:rPr>
          <w:spacing w:val="-4"/>
        </w:rPr>
        <w:t xml:space="preserve"> </w:t>
      </w:r>
      <w:r w:rsidRPr="00EC20A0">
        <w:t>those</w:t>
      </w:r>
      <w:r w:rsidRPr="00EC20A0">
        <w:rPr>
          <w:spacing w:val="-4"/>
        </w:rPr>
        <w:t xml:space="preserve"> </w:t>
      </w:r>
      <w:r w:rsidRPr="00EC20A0">
        <w:t>specialists’</w:t>
      </w:r>
      <w:r w:rsidRPr="00EC20A0">
        <w:rPr>
          <w:spacing w:val="-4"/>
        </w:rPr>
        <w:t xml:space="preserve"> </w:t>
      </w:r>
      <w:r w:rsidRPr="00EC20A0">
        <w:t>fields</w:t>
      </w:r>
      <w:r w:rsidRPr="00EC20A0">
        <w:rPr>
          <w:spacing w:val="-4"/>
        </w:rPr>
        <w:t xml:space="preserve"> </w:t>
      </w:r>
      <w:r w:rsidRPr="00EC20A0">
        <w:t>include</w:t>
      </w:r>
      <w:r w:rsidRPr="00EC20A0">
        <w:rPr>
          <w:spacing w:val="-4"/>
        </w:rPr>
        <w:t xml:space="preserve"> </w:t>
      </w:r>
      <w:r w:rsidRPr="00EC20A0">
        <w:t>areas</w:t>
      </w:r>
      <w:r w:rsidRPr="00EC20A0">
        <w:rPr>
          <w:spacing w:val="-4"/>
        </w:rPr>
        <w:t xml:space="preserve"> </w:t>
      </w:r>
      <w:r w:rsidRPr="00EC20A0">
        <w:t>of</w:t>
      </w:r>
      <w:r w:rsidRPr="00EC20A0">
        <w:rPr>
          <w:spacing w:val="-5"/>
        </w:rPr>
        <w:t xml:space="preserve"> </w:t>
      </w:r>
      <w:r w:rsidRPr="00EC20A0">
        <w:t>specialty</w:t>
      </w:r>
      <w:r w:rsidRPr="00EC20A0">
        <w:rPr>
          <w:spacing w:val="-4"/>
        </w:rPr>
        <w:t xml:space="preserve"> </w:t>
      </w:r>
      <w:r w:rsidRPr="00EC20A0">
        <w:t>that</w:t>
      </w:r>
      <w:r w:rsidRPr="00EC20A0">
        <w:rPr>
          <w:spacing w:val="-4"/>
        </w:rPr>
        <w:t xml:space="preserve"> </w:t>
      </w:r>
      <w:r w:rsidRPr="00EC20A0">
        <w:t>are</w:t>
      </w:r>
      <w:r w:rsidRPr="00EC20A0">
        <w:rPr>
          <w:spacing w:val="-4"/>
        </w:rPr>
        <w:t xml:space="preserve"> </w:t>
      </w:r>
      <w:r w:rsidRPr="00EC20A0">
        <w:t>relevant</w:t>
      </w:r>
      <w:r w:rsidRPr="00EC20A0">
        <w:rPr>
          <w:spacing w:val="-4"/>
        </w:rPr>
        <w:t xml:space="preserve"> </w:t>
      </w:r>
      <w:r w:rsidRPr="00EC20A0">
        <w:t>to the audit;</w:t>
      </w:r>
    </w:p>
    <w:p w14:paraId="24D5FFD0" w14:textId="77777777" w:rsidR="00245300" w:rsidRPr="00EC20A0" w:rsidRDefault="00F17249">
      <w:pPr>
        <w:pStyle w:val="ListParagraph"/>
        <w:numPr>
          <w:ilvl w:val="1"/>
          <w:numId w:val="19"/>
        </w:numPr>
        <w:tabs>
          <w:tab w:val="left" w:pos="2220"/>
        </w:tabs>
        <w:spacing w:before="238"/>
        <w:ind w:right="1514" w:hanging="361"/>
      </w:pPr>
      <w:r w:rsidRPr="00EC20A0">
        <w:t>whether</w:t>
      </w:r>
      <w:r w:rsidRPr="00EC20A0">
        <w:rPr>
          <w:spacing w:val="-5"/>
        </w:rPr>
        <w:t xml:space="preserve"> </w:t>
      </w:r>
      <w:r w:rsidRPr="00EC20A0">
        <w:t>any</w:t>
      </w:r>
      <w:r w:rsidRPr="00EC20A0">
        <w:rPr>
          <w:spacing w:val="-5"/>
        </w:rPr>
        <w:t xml:space="preserve"> </w:t>
      </w:r>
      <w:r w:rsidRPr="00EC20A0">
        <w:t>professional</w:t>
      </w:r>
      <w:r w:rsidRPr="00EC20A0">
        <w:rPr>
          <w:spacing w:val="-5"/>
        </w:rPr>
        <w:t xml:space="preserve"> </w:t>
      </w:r>
      <w:r w:rsidRPr="00EC20A0">
        <w:t>or</w:t>
      </w:r>
      <w:r w:rsidRPr="00EC20A0">
        <w:rPr>
          <w:spacing w:val="-5"/>
        </w:rPr>
        <w:t xml:space="preserve"> </w:t>
      </w:r>
      <w:r w:rsidRPr="00EC20A0">
        <w:t>other</w:t>
      </w:r>
      <w:r w:rsidRPr="00EC20A0">
        <w:rPr>
          <w:spacing w:val="-5"/>
        </w:rPr>
        <w:t xml:space="preserve"> </w:t>
      </w:r>
      <w:r w:rsidRPr="00EC20A0">
        <w:t>standards</w:t>
      </w:r>
      <w:r w:rsidRPr="00EC20A0">
        <w:rPr>
          <w:spacing w:val="-5"/>
        </w:rPr>
        <w:t xml:space="preserve"> </w:t>
      </w:r>
      <w:r w:rsidRPr="00EC20A0">
        <w:t>and</w:t>
      </w:r>
      <w:r w:rsidRPr="00EC20A0">
        <w:rPr>
          <w:spacing w:val="-5"/>
        </w:rPr>
        <w:t xml:space="preserve"> </w:t>
      </w:r>
      <w:r w:rsidRPr="00EC20A0">
        <w:t>legal</w:t>
      </w:r>
      <w:r w:rsidRPr="00EC20A0">
        <w:rPr>
          <w:spacing w:val="-5"/>
        </w:rPr>
        <w:t xml:space="preserve"> </w:t>
      </w:r>
      <w:r w:rsidRPr="00EC20A0">
        <w:t>or</w:t>
      </w:r>
      <w:r w:rsidRPr="00EC20A0">
        <w:rPr>
          <w:spacing w:val="-5"/>
        </w:rPr>
        <w:t xml:space="preserve"> </w:t>
      </w:r>
      <w:r w:rsidRPr="00EC20A0">
        <w:t>regulatory requirements apply;</w:t>
      </w:r>
    </w:p>
    <w:p w14:paraId="24D5FFD1" w14:textId="77777777" w:rsidR="00245300" w:rsidRPr="00EC20A0" w:rsidRDefault="00F17249">
      <w:pPr>
        <w:pStyle w:val="ListParagraph"/>
        <w:numPr>
          <w:ilvl w:val="1"/>
          <w:numId w:val="19"/>
        </w:numPr>
        <w:tabs>
          <w:tab w:val="left" w:pos="2220"/>
        </w:tabs>
        <w:spacing w:before="238"/>
        <w:ind w:right="743" w:hanging="361"/>
      </w:pPr>
      <w:r w:rsidRPr="00EC20A0">
        <w:t>what</w:t>
      </w:r>
      <w:r w:rsidRPr="00EC20A0">
        <w:rPr>
          <w:spacing w:val="-5"/>
        </w:rPr>
        <w:t xml:space="preserve"> </w:t>
      </w:r>
      <w:r w:rsidRPr="00EC20A0">
        <w:t>assumptions</w:t>
      </w:r>
      <w:r w:rsidRPr="00EC20A0">
        <w:rPr>
          <w:spacing w:val="-5"/>
        </w:rPr>
        <w:t xml:space="preserve"> </w:t>
      </w:r>
      <w:r w:rsidRPr="00EC20A0">
        <w:t>and</w:t>
      </w:r>
      <w:r w:rsidRPr="00EC20A0">
        <w:rPr>
          <w:spacing w:val="-6"/>
        </w:rPr>
        <w:t xml:space="preserve"> </w:t>
      </w:r>
      <w:r w:rsidRPr="00EC20A0">
        <w:t>methods</w:t>
      </w:r>
      <w:r w:rsidRPr="00EC20A0">
        <w:rPr>
          <w:spacing w:val="-4"/>
        </w:rPr>
        <w:t xml:space="preserve"> </w:t>
      </w:r>
      <w:r w:rsidRPr="00EC20A0">
        <w:t>are</w:t>
      </w:r>
      <w:r w:rsidRPr="00EC20A0">
        <w:rPr>
          <w:spacing w:val="-5"/>
        </w:rPr>
        <w:t xml:space="preserve"> </w:t>
      </w:r>
      <w:r w:rsidRPr="00EC20A0">
        <w:t>used</w:t>
      </w:r>
      <w:r w:rsidRPr="00EC20A0">
        <w:rPr>
          <w:spacing w:val="-5"/>
        </w:rPr>
        <w:t xml:space="preserve"> </w:t>
      </w:r>
      <w:r w:rsidRPr="00EC20A0">
        <w:t>by</w:t>
      </w:r>
      <w:r w:rsidRPr="00EC20A0">
        <w:rPr>
          <w:spacing w:val="-5"/>
        </w:rPr>
        <w:t xml:space="preserve"> </w:t>
      </w:r>
      <w:r w:rsidRPr="00EC20A0">
        <w:t>management’s</w:t>
      </w:r>
      <w:r w:rsidRPr="00EC20A0">
        <w:rPr>
          <w:spacing w:val="-4"/>
        </w:rPr>
        <w:t xml:space="preserve"> </w:t>
      </w:r>
      <w:r w:rsidRPr="00EC20A0">
        <w:t>specialists</w:t>
      </w:r>
      <w:r w:rsidRPr="00EC20A0">
        <w:rPr>
          <w:spacing w:val="-5"/>
        </w:rPr>
        <w:t xml:space="preserve"> </w:t>
      </w:r>
      <w:r w:rsidRPr="00EC20A0">
        <w:t>and whether they are generally accepted within those specialists’ fields and appropriately applied under the applicable financial reporting framework (generally U.S. GAAP); and</w:t>
      </w:r>
    </w:p>
    <w:p w14:paraId="24D5FFD2" w14:textId="77777777" w:rsidR="00245300" w:rsidRPr="00EC20A0" w:rsidRDefault="00245300">
      <w:pPr>
        <w:sectPr w:rsidR="00245300" w:rsidRPr="00EC20A0">
          <w:pgSz w:w="12240" w:h="15840"/>
          <w:pgMar w:top="1340" w:right="940" w:bottom="940" w:left="1020" w:header="721" w:footer="757" w:gutter="0"/>
          <w:cols w:space="720"/>
        </w:sectPr>
      </w:pPr>
    </w:p>
    <w:p w14:paraId="24D5FFD3" w14:textId="77777777" w:rsidR="00245300" w:rsidRPr="00EC20A0" w:rsidRDefault="00F17249">
      <w:pPr>
        <w:pStyle w:val="ListParagraph"/>
        <w:numPr>
          <w:ilvl w:val="1"/>
          <w:numId w:val="19"/>
        </w:numPr>
        <w:tabs>
          <w:tab w:val="left" w:pos="2219"/>
        </w:tabs>
        <w:spacing w:before="121"/>
        <w:ind w:left="2219" w:right="1370"/>
      </w:pPr>
      <w:r w:rsidRPr="00EC20A0">
        <w:t>the</w:t>
      </w:r>
      <w:r w:rsidRPr="00EC20A0">
        <w:rPr>
          <w:spacing w:val="-5"/>
        </w:rPr>
        <w:t xml:space="preserve"> </w:t>
      </w:r>
      <w:r w:rsidRPr="00EC20A0">
        <w:t>nature</w:t>
      </w:r>
      <w:r w:rsidRPr="00EC20A0">
        <w:rPr>
          <w:spacing w:val="-5"/>
        </w:rPr>
        <w:t xml:space="preserve"> </w:t>
      </w:r>
      <w:r w:rsidRPr="00EC20A0">
        <w:t>of</w:t>
      </w:r>
      <w:r w:rsidRPr="00EC20A0">
        <w:rPr>
          <w:spacing w:val="-5"/>
        </w:rPr>
        <w:t xml:space="preserve"> </w:t>
      </w:r>
      <w:r w:rsidRPr="00EC20A0">
        <w:t>internal</w:t>
      </w:r>
      <w:r w:rsidRPr="00EC20A0">
        <w:rPr>
          <w:spacing w:val="-5"/>
        </w:rPr>
        <w:t xml:space="preserve"> </w:t>
      </w:r>
      <w:r w:rsidRPr="00EC20A0">
        <w:t>and</w:t>
      </w:r>
      <w:r w:rsidRPr="00EC20A0">
        <w:rPr>
          <w:spacing w:val="-5"/>
        </w:rPr>
        <w:t xml:space="preserve"> </w:t>
      </w:r>
      <w:r w:rsidRPr="00EC20A0">
        <w:t>external</w:t>
      </w:r>
      <w:r w:rsidRPr="00EC20A0">
        <w:rPr>
          <w:spacing w:val="-5"/>
        </w:rPr>
        <w:t xml:space="preserve"> </w:t>
      </w:r>
      <w:r w:rsidRPr="00EC20A0">
        <w:t>data</w:t>
      </w:r>
      <w:r w:rsidRPr="00EC20A0">
        <w:rPr>
          <w:spacing w:val="-5"/>
        </w:rPr>
        <w:t xml:space="preserve"> </w:t>
      </w:r>
      <w:r w:rsidRPr="00EC20A0">
        <w:t>or</w:t>
      </w:r>
      <w:r w:rsidRPr="00EC20A0">
        <w:rPr>
          <w:spacing w:val="-5"/>
        </w:rPr>
        <w:t xml:space="preserve"> </w:t>
      </w:r>
      <w:r w:rsidRPr="00EC20A0">
        <w:t>information</w:t>
      </w:r>
      <w:r w:rsidRPr="00EC20A0">
        <w:rPr>
          <w:spacing w:val="-5"/>
        </w:rPr>
        <w:t xml:space="preserve"> </w:t>
      </w:r>
      <w:r w:rsidRPr="00EC20A0">
        <w:t>management’s specialists use.</w:t>
      </w:r>
    </w:p>
    <w:p w14:paraId="24D5FFD4" w14:textId="77777777" w:rsidR="00245300" w:rsidRPr="00EC20A0" w:rsidRDefault="00F17249">
      <w:pPr>
        <w:pStyle w:val="ListParagraph"/>
        <w:numPr>
          <w:ilvl w:val="0"/>
          <w:numId w:val="19"/>
        </w:numPr>
        <w:tabs>
          <w:tab w:val="left" w:pos="1859"/>
        </w:tabs>
        <w:spacing w:before="238"/>
        <w:ind w:right="629" w:hanging="720"/>
      </w:pPr>
      <w:r w:rsidRPr="00EC20A0">
        <w:t xml:space="preserve">In the case of management’s specialists engaged by the entity, there will ordinarily be an engagement letter or other written form of agreement between the entity and the </w:t>
      </w:r>
      <w:r w:rsidRPr="00EC20A0">
        <w:t>specialist. Evaluating that agreement when obtaining an understanding</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of</w:t>
      </w:r>
      <w:r w:rsidRPr="00EC20A0">
        <w:rPr>
          <w:spacing w:val="-4"/>
        </w:rPr>
        <w:t xml:space="preserve"> </w:t>
      </w:r>
      <w:r w:rsidRPr="00EC20A0">
        <w:rPr>
          <w:color w:val="242424"/>
        </w:rPr>
        <w:t>management’s</w:t>
      </w:r>
      <w:r w:rsidRPr="00EC20A0">
        <w:rPr>
          <w:color w:val="242424"/>
          <w:spacing w:val="-4"/>
        </w:rPr>
        <w:t xml:space="preserve"> </w:t>
      </w:r>
      <w:r w:rsidRPr="00EC20A0">
        <w:t>specialists</w:t>
      </w:r>
      <w:r w:rsidRPr="00EC20A0">
        <w:rPr>
          <w:spacing w:val="-4"/>
        </w:rPr>
        <w:t xml:space="preserve"> </w:t>
      </w:r>
      <w:r w:rsidRPr="00EC20A0">
        <w:t>may</w:t>
      </w:r>
      <w:r w:rsidRPr="00EC20A0">
        <w:rPr>
          <w:spacing w:val="-5"/>
        </w:rPr>
        <w:t xml:space="preserve"> </w:t>
      </w:r>
      <w:r w:rsidRPr="00EC20A0">
        <w:t>assist</w:t>
      </w:r>
      <w:r w:rsidRPr="00EC20A0">
        <w:rPr>
          <w:spacing w:val="-5"/>
        </w:rPr>
        <w:t xml:space="preserve"> </w:t>
      </w:r>
      <w:r w:rsidRPr="00EC20A0">
        <w:t>the</w:t>
      </w:r>
      <w:r w:rsidRPr="00EC20A0">
        <w:rPr>
          <w:spacing w:val="-4"/>
        </w:rPr>
        <w:t xml:space="preserve"> </w:t>
      </w:r>
      <w:r w:rsidRPr="00EC20A0">
        <w:t>auditor</w:t>
      </w:r>
      <w:r w:rsidRPr="00EC20A0">
        <w:rPr>
          <w:spacing w:val="-4"/>
        </w:rPr>
        <w:t xml:space="preserve"> </w:t>
      </w:r>
      <w:r w:rsidRPr="00EC20A0">
        <w:t>in determining, for the auditor’s purposes, the appropriateness of</w:t>
      </w:r>
    </w:p>
    <w:p w14:paraId="24D5FFD5" w14:textId="77777777" w:rsidR="00245300" w:rsidRPr="00EC20A0" w:rsidRDefault="00F17249">
      <w:pPr>
        <w:pStyle w:val="ListParagraph"/>
        <w:numPr>
          <w:ilvl w:val="1"/>
          <w:numId w:val="19"/>
        </w:numPr>
        <w:tabs>
          <w:tab w:val="left" w:pos="2219"/>
        </w:tabs>
        <w:ind w:left="2219" w:hanging="359"/>
      </w:pPr>
      <w:r w:rsidRPr="00EC20A0">
        <w:t>the</w:t>
      </w:r>
      <w:r w:rsidRPr="00EC20A0">
        <w:rPr>
          <w:spacing w:val="-7"/>
        </w:rPr>
        <w:t xml:space="preserve"> </w:t>
      </w:r>
      <w:r w:rsidRPr="00EC20A0">
        <w:t>nature,</w:t>
      </w:r>
      <w:r w:rsidRPr="00EC20A0">
        <w:rPr>
          <w:spacing w:val="-7"/>
        </w:rPr>
        <w:t xml:space="preserve"> </w:t>
      </w:r>
      <w:r w:rsidRPr="00EC20A0">
        <w:t>scope,</w:t>
      </w:r>
      <w:r w:rsidRPr="00EC20A0">
        <w:rPr>
          <w:spacing w:val="-7"/>
        </w:rPr>
        <w:t xml:space="preserve"> </w:t>
      </w:r>
      <w:r w:rsidRPr="00EC20A0">
        <w:t>and</w:t>
      </w:r>
      <w:r w:rsidRPr="00EC20A0">
        <w:rPr>
          <w:spacing w:val="-7"/>
        </w:rPr>
        <w:t xml:space="preserve"> </w:t>
      </w:r>
      <w:r w:rsidRPr="00EC20A0">
        <w:t>objectives</w:t>
      </w:r>
      <w:r w:rsidRPr="00EC20A0">
        <w:rPr>
          <w:spacing w:val="-7"/>
        </w:rPr>
        <w:t xml:space="preserve"> </w:t>
      </w:r>
      <w:r w:rsidRPr="00EC20A0">
        <w:t>of</w:t>
      </w:r>
      <w:r w:rsidRPr="00EC20A0">
        <w:rPr>
          <w:spacing w:val="-7"/>
        </w:rPr>
        <w:t xml:space="preserve"> </w:t>
      </w:r>
      <w:r w:rsidRPr="00EC20A0">
        <w:t>those</w:t>
      </w:r>
      <w:r w:rsidRPr="00EC20A0">
        <w:rPr>
          <w:spacing w:val="-6"/>
        </w:rPr>
        <w:t xml:space="preserve"> </w:t>
      </w:r>
      <w:r w:rsidRPr="00EC20A0">
        <w:t>specialists’</w:t>
      </w:r>
      <w:r w:rsidRPr="00EC20A0">
        <w:rPr>
          <w:spacing w:val="-7"/>
        </w:rPr>
        <w:t xml:space="preserve"> </w:t>
      </w:r>
      <w:r w:rsidRPr="00EC20A0">
        <w:rPr>
          <w:spacing w:val="-2"/>
        </w:rPr>
        <w:t>work;</w:t>
      </w:r>
    </w:p>
    <w:p w14:paraId="24D5FFD6" w14:textId="77777777" w:rsidR="00245300" w:rsidRPr="00EC20A0" w:rsidRDefault="00F17249">
      <w:pPr>
        <w:pStyle w:val="ListParagraph"/>
        <w:numPr>
          <w:ilvl w:val="1"/>
          <w:numId w:val="19"/>
        </w:numPr>
        <w:tabs>
          <w:tab w:val="left" w:pos="2219"/>
        </w:tabs>
        <w:spacing w:before="238"/>
        <w:ind w:left="2219" w:right="1599"/>
      </w:pPr>
      <w:r w:rsidRPr="00EC20A0">
        <w:t>the</w:t>
      </w:r>
      <w:r w:rsidRPr="00EC20A0">
        <w:rPr>
          <w:spacing w:val="-5"/>
        </w:rPr>
        <w:t xml:space="preserve"> </w:t>
      </w:r>
      <w:r w:rsidRPr="00EC20A0">
        <w:t>respective</w:t>
      </w:r>
      <w:r w:rsidRPr="00EC20A0">
        <w:rPr>
          <w:spacing w:val="-5"/>
        </w:rPr>
        <w:t xml:space="preserve"> </w:t>
      </w:r>
      <w:r w:rsidRPr="00EC20A0">
        <w:t>roles</w:t>
      </w:r>
      <w:r w:rsidRPr="00EC20A0">
        <w:rPr>
          <w:spacing w:val="-5"/>
        </w:rPr>
        <w:t xml:space="preserve"> </w:t>
      </w:r>
      <w:r w:rsidRPr="00EC20A0">
        <w:t>and</w:t>
      </w:r>
      <w:r w:rsidRPr="00EC20A0">
        <w:rPr>
          <w:spacing w:val="-6"/>
        </w:rPr>
        <w:t xml:space="preserve"> </w:t>
      </w:r>
      <w:r w:rsidRPr="00EC20A0">
        <w:t>responsibilities</w:t>
      </w:r>
      <w:r w:rsidRPr="00EC20A0">
        <w:rPr>
          <w:spacing w:val="-5"/>
        </w:rPr>
        <w:t xml:space="preserve"> </w:t>
      </w:r>
      <w:r w:rsidRPr="00EC20A0">
        <w:t>of</w:t>
      </w:r>
      <w:r w:rsidRPr="00EC20A0">
        <w:rPr>
          <w:spacing w:val="-5"/>
        </w:rPr>
        <w:t xml:space="preserve"> </w:t>
      </w:r>
      <w:r w:rsidRPr="00EC20A0">
        <w:t>management</w:t>
      </w:r>
      <w:r w:rsidRPr="00EC20A0">
        <w:rPr>
          <w:spacing w:val="-5"/>
        </w:rPr>
        <w:t xml:space="preserve"> </w:t>
      </w:r>
      <w:r w:rsidRPr="00EC20A0">
        <w:t>and</w:t>
      </w:r>
      <w:r w:rsidRPr="00EC20A0">
        <w:rPr>
          <w:spacing w:val="-5"/>
        </w:rPr>
        <w:t xml:space="preserve"> </w:t>
      </w:r>
      <w:r w:rsidRPr="00EC20A0">
        <w:t>those specialists; and</w:t>
      </w:r>
    </w:p>
    <w:p w14:paraId="24D5FFD7" w14:textId="77777777" w:rsidR="00245300" w:rsidRPr="00EC20A0" w:rsidRDefault="00F17249">
      <w:pPr>
        <w:pStyle w:val="ListParagraph"/>
        <w:numPr>
          <w:ilvl w:val="1"/>
          <w:numId w:val="19"/>
        </w:numPr>
        <w:tabs>
          <w:tab w:val="left" w:pos="2218"/>
        </w:tabs>
        <w:spacing w:before="238"/>
        <w:ind w:left="2218" w:right="758"/>
      </w:pPr>
      <w:r w:rsidRPr="00EC20A0">
        <w:t>the</w:t>
      </w:r>
      <w:r w:rsidRPr="00EC20A0">
        <w:rPr>
          <w:spacing w:val="-5"/>
        </w:rPr>
        <w:t xml:space="preserve"> </w:t>
      </w:r>
      <w:r w:rsidRPr="00EC20A0">
        <w:t>nature,</w:t>
      </w:r>
      <w:r w:rsidRPr="00EC20A0">
        <w:rPr>
          <w:spacing w:val="-5"/>
        </w:rPr>
        <w:t xml:space="preserve"> </w:t>
      </w:r>
      <w:r w:rsidRPr="00EC20A0">
        <w:t>timing,</w:t>
      </w:r>
      <w:r w:rsidRPr="00EC20A0">
        <w:rPr>
          <w:spacing w:val="-5"/>
        </w:rPr>
        <w:t xml:space="preserve"> </w:t>
      </w:r>
      <w:r w:rsidRPr="00EC20A0">
        <w:t>and</w:t>
      </w:r>
      <w:r w:rsidRPr="00EC20A0">
        <w:rPr>
          <w:spacing w:val="-5"/>
        </w:rPr>
        <w:t xml:space="preserve"> </w:t>
      </w:r>
      <w:r w:rsidRPr="00EC20A0">
        <w:t>extent</w:t>
      </w:r>
      <w:r w:rsidRPr="00EC20A0">
        <w:rPr>
          <w:spacing w:val="-5"/>
        </w:rPr>
        <w:t xml:space="preserve"> </w:t>
      </w:r>
      <w:r w:rsidRPr="00EC20A0">
        <w:t>of</w:t>
      </w:r>
      <w:r w:rsidRPr="00EC20A0">
        <w:rPr>
          <w:spacing w:val="-5"/>
        </w:rPr>
        <w:t xml:space="preserve"> </w:t>
      </w:r>
      <w:r w:rsidRPr="00EC20A0">
        <w:t>communication</w:t>
      </w:r>
      <w:r w:rsidRPr="00EC20A0">
        <w:rPr>
          <w:spacing w:val="-5"/>
        </w:rPr>
        <w:t xml:space="preserve"> </w:t>
      </w:r>
      <w:r w:rsidRPr="00EC20A0">
        <w:t>between</w:t>
      </w:r>
      <w:r w:rsidRPr="00EC20A0">
        <w:rPr>
          <w:spacing w:val="-5"/>
        </w:rPr>
        <w:t xml:space="preserve"> </w:t>
      </w:r>
      <w:r w:rsidRPr="00EC20A0">
        <w:t>management</w:t>
      </w:r>
      <w:r w:rsidRPr="00EC20A0">
        <w:rPr>
          <w:spacing w:val="-5"/>
        </w:rPr>
        <w:t xml:space="preserve"> </w:t>
      </w:r>
      <w:r w:rsidRPr="00EC20A0">
        <w:t xml:space="preserve">and those specialists, including the form of any report to be provided by those </w:t>
      </w:r>
      <w:r w:rsidRPr="00EC20A0">
        <w:t>specialists (AU-C 501.A82).</w:t>
      </w:r>
    </w:p>
    <w:p w14:paraId="24D5FFD8" w14:textId="77777777" w:rsidR="00245300" w:rsidRPr="00EC20A0" w:rsidRDefault="00F17249">
      <w:pPr>
        <w:pStyle w:val="ListParagraph"/>
        <w:numPr>
          <w:ilvl w:val="0"/>
          <w:numId w:val="215"/>
        </w:numPr>
        <w:tabs>
          <w:tab w:val="left" w:pos="1858"/>
        </w:tabs>
        <w:spacing w:before="239"/>
        <w:ind w:right="617" w:hanging="720"/>
      </w:pPr>
      <w:r w:rsidRPr="00EC20A0">
        <w:t>In the case of management’s specialists employed by the entity, it is less likely that there will be a written agreement of this kind. Inquiry of the specialists and other</w:t>
      </w:r>
      <w:r w:rsidRPr="00EC20A0">
        <w:rPr>
          <w:spacing w:val="-4"/>
        </w:rPr>
        <w:t xml:space="preserve"> </w:t>
      </w:r>
      <w:r w:rsidRPr="00EC20A0">
        <w:t>members</w:t>
      </w:r>
      <w:r w:rsidRPr="00EC20A0">
        <w:rPr>
          <w:spacing w:val="-4"/>
        </w:rPr>
        <w:t xml:space="preserve"> </w:t>
      </w:r>
      <w:r w:rsidRPr="00EC20A0">
        <w:t>of</w:t>
      </w:r>
      <w:r w:rsidRPr="00EC20A0">
        <w:rPr>
          <w:spacing w:val="-4"/>
        </w:rPr>
        <w:t xml:space="preserve"> </w:t>
      </w:r>
      <w:r w:rsidRPr="00EC20A0">
        <w:t>management</w:t>
      </w:r>
      <w:r w:rsidRPr="00EC20A0">
        <w:rPr>
          <w:spacing w:val="-4"/>
        </w:rPr>
        <w:t xml:space="preserve"> </w:t>
      </w:r>
      <w:r w:rsidRPr="00EC20A0">
        <w:t>may</w:t>
      </w:r>
      <w:r w:rsidRPr="00EC20A0">
        <w:rPr>
          <w:spacing w:val="-3"/>
        </w:rPr>
        <w:t xml:space="preserve"> </w:t>
      </w:r>
      <w:r w:rsidRPr="00EC20A0">
        <w:t>be</w:t>
      </w:r>
      <w:r w:rsidRPr="00EC20A0">
        <w:rPr>
          <w:spacing w:val="-4"/>
        </w:rPr>
        <w:t xml:space="preserve"> </w:t>
      </w:r>
      <w:r w:rsidRPr="00EC20A0">
        <w:t>the</w:t>
      </w:r>
      <w:r w:rsidRPr="00EC20A0">
        <w:rPr>
          <w:spacing w:val="-4"/>
        </w:rPr>
        <w:t xml:space="preserve"> </w:t>
      </w:r>
      <w:r w:rsidRPr="00EC20A0">
        <w:t>most</w:t>
      </w:r>
      <w:r w:rsidRPr="00EC20A0">
        <w:rPr>
          <w:spacing w:val="-4"/>
        </w:rPr>
        <w:t xml:space="preserve"> </w:t>
      </w:r>
      <w:r w:rsidRPr="00EC20A0">
        <w:t>appropriate</w:t>
      </w:r>
      <w:r w:rsidRPr="00EC20A0">
        <w:rPr>
          <w:spacing w:val="-5"/>
        </w:rPr>
        <w:t xml:space="preserve"> </w:t>
      </w:r>
      <w:r w:rsidRPr="00EC20A0">
        <w:t>way</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auditor to obtain the necessary understanding (AU-C 501.A83).</w:t>
      </w:r>
    </w:p>
    <w:p w14:paraId="24D5FFD9" w14:textId="77777777" w:rsidR="00245300" w:rsidRPr="00EC20A0" w:rsidRDefault="00F17249">
      <w:pPr>
        <w:pStyle w:val="Heading4"/>
        <w:ind w:left="419" w:right="562"/>
      </w:pPr>
      <w:bookmarkStart w:id="46" w:name="Evaluating_the_Appropriateness_of_the_Wo"/>
      <w:bookmarkEnd w:id="46"/>
      <w:r w:rsidRPr="00EC20A0">
        <w:t>Evaluating</w:t>
      </w:r>
      <w:r w:rsidRPr="00EC20A0">
        <w:rPr>
          <w:spacing w:val="-6"/>
        </w:rPr>
        <w:t xml:space="preserve"> </w:t>
      </w:r>
      <w:r w:rsidRPr="00EC20A0">
        <w:t>the</w:t>
      </w:r>
      <w:r w:rsidRPr="00EC20A0">
        <w:rPr>
          <w:spacing w:val="-6"/>
        </w:rPr>
        <w:t xml:space="preserve"> </w:t>
      </w:r>
      <w:r w:rsidRPr="00EC20A0">
        <w:t>Appropriateness</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Work</w:t>
      </w:r>
      <w:r w:rsidRPr="00EC20A0">
        <w:rPr>
          <w:spacing w:val="-6"/>
        </w:rPr>
        <w:t xml:space="preserve"> </w:t>
      </w:r>
      <w:r w:rsidRPr="00EC20A0">
        <w:t>of</w:t>
      </w:r>
      <w:r w:rsidRPr="00EC20A0">
        <w:rPr>
          <w:spacing w:val="-6"/>
        </w:rPr>
        <w:t xml:space="preserve"> </w:t>
      </w:r>
      <w:r w:rsidRPr="00EC20A0">
        <w:t xml:space="preserve">Management’s </w:t>
      </w:r>
      <w:r w:rsidRPr="00EC20A0">
        <w:rPr>
          <w:spacing w:val="-2"/>
        </w:rPr>
        <w:t>Specialists</w:t>
      </w:r>
    </w:p>
    <w:p w14:paraId="24D5FFDA" w14:textId="77777777" w:rsidR="00245300" w:rsidRPr="00EC20A0" w:rsidRDefault="00F17249">
      <w:pPr>
        <w:pStyle w:val="ListParagraph"/>
        <w:numPr>
          <w:ilvl w:val="0"/>
          <w:numId w:val="215"/>
        </w:numPr>
        <w:tabs>
          <w:tab w:val="left" w:pos="1860"/>
        </w:tabs>
        <w:ind w:left="1860" w:right="665"/>
      </w:pPr>
      <w:r w:rsidRPr="00EC20A0">
        <w:t>The auditor may use FAM 620.26, .28, and .30 through .35, adapted as necessary</w:t>
      </w:r>
      <w:r w:rsidRPr="00EC20A0">
        <w:rPr>
          <w:spacing w:val="-5"/>
        </w:rPr>
        <w:t xml:space="preserve"> </w:t>
      </w:r>
      <w:r w:rsidRPr="00EC20A0">
        <w:t>in</w:t>
      </w:r>
      <w:r w:rsidRPr="00EC20A0">
        <w:rPr>
          <w:spacing w:val="-4"/>
        </w:rPr>
        <w:t xml:space="preserve"> </w:t>
      </w:r>
      <w:r w:rsidRPr="00EC20A0">
        <w:t>the</w:t>
      </w:r>
      <w:r w:rsidRPr="00EC20A0">
        <w:rPr>
          <w:spacing w:val="-4"/>
        </w:rPr>
        <w:t xml:space="preserve"> </w:t>
      </w:r>
      <w:r w:rsidRPr="00EC20A0">
        <w:t>circumstances,</w:t>
      </w:r>
      <w:r w:rsidRPr="00EC20A0">
        <w:rPr>
          <w:spacing w:val="-4"/>
        </w:rPr>
        <w:t xml:space="preserve"> </w:t>
      </w:r>
      <w:r w:rsidRPr="00EC20A0">
        <w:t>for</w:t>
      </w:r>
      <w:r w:rsidRPr="00EC20A0">
        <w:rPr>
          <w:spacing w:val="-5"/>
        </w:rPr>
        <w:t xml:space="preserve"> </w:t>
      </w:r>
      <w:r w:rsidRPr="00EC20A0">
        <w:t>the</w:t>
      </w:r>
      <w:r w:rsidRPr="00EC20A0">
        <w:rPr>
          <w:spacing w:val="-4"/>
        </w:rPr>
        <w:t xml:space="preserve"> </w:t>
      </w:r>
      <w:r w:rsidRPr="00EC20A0">
        <w:t>level</w:t>
      </w:r>
      <w:r w:rsidRPr="00EC20A0">
        <w:rPr>
          <w:spacing w:val="-4"/>
        </w:rPr>
        <w:t xml:space="preserve"> </w:t>
      </w:r>
      <w:r w:rsidRPr="00EC20A0">
        <w:t>of</w:t>
      </w:r>
      <w:r w:rsidRPr="00EC20A0">
        <w:rPr>
          <w:spacing w:val="-4"/>
        </w:rPr>
        <w:t xml:space="preserve"> </w:t>
      </w:r>
      <w:r w:rsidRPr="00EC20A0">
        <w:t>review</w:t>
      </w:r>
      <w:r w:rsidRPr="00EC20A0">
        <w:rPr>
          <w:spacing w:val="-5"/>
        </w:rPr>
        <w:t xml:space="preserve"> </w:t>
      </w:r>
      <w:r w:rsidRPr="00EC20A0">
        <w:t>and</w:t>
      </w:r>
      <w:r w:rsidRPr="00EC20A0">
        <w:rPr>
          <w:spacing w:val="-4"/>
        </w:rPr>
        <w:t xml:space="preserve"> </w:t>
      </w:r>
      <w:r w:rsidRPr="00EC20A0">
        <w:t>example</w:t>
      </w:r>
      <w:r w:rsidRPr="00EC20A0">
        <w:rPr>
          <w:spacing w:val="-4"/>
        </w:rPr>
        <w:t xml:space="preserve"> </w:t>
      </w:r>
      <w:r w:rsidRPr="00EC20A0">
        <w:t>procedures for evaluating the appropriateness of the work of management’s specialists.</w:t>
      </w:r>
    </w:p>
    <w:p w14:paraId="24D5FFDB" w14:textId="77777777" w:rsidR="00245300" w:rsidRPr="00EC20A0" w:rsidRDefault="00F17249">
      <w:pPr>
        <w:pStyle w:val="ListParagraph"/>
        <w:numPr>
          <w:ilvl w:val="0"/>
          <w:numId w:val="215"/>
        </w:numPr>
        <w:tabs>
          <w:tab w:val="left" w:pos="1860"/>
        </w:tabs>
        <w:ind w:left="1860" w:right="971"/>
      </w:pPr>
      <w:r w:rsidRPr="00EC20A0">
        <w:t>Considerations when evaluating the appropriateness of the work of management’s</w:t>
      </w:r>
      <w:r w:rsidRPr="00EC20A0">
        <w:rPr>
          <w:spacing w:val="-5"/>
        </w:rPr>
        <w:t xml:space="preserve"> </w:t>
      </w:r>
      <w:r w:rsidRPr="00EC20A0">
        <w:t>specialists</w:t>
      </w:r>
      <w:r w:rsidRPr="00EC20A0">
        <w:rPr>
          <w:spacing w:val="-5"/>
        </w:rPr>
        <w:t xml:space="preserve"> </w:t>
      </w:r>
      <w:r w:rsidRPr="00EC20A0">
        <w:t>as</w:t>
      </w:r>
      <w:r w:rsidRPr="00EC20A0">
        <w:rPr>
          <w:spacing w:val="-5"/>
        </w:rPr>
        <w:t xml:space="preserve"> </w:t>
      </w:r>
      <w:r w:rsidRPr="00EC20A0">
        <w:t>audit</w:t>
      </w:r>
      <w:r w:rsidRPr="00EC20A0">
        <w:rPr>
          <w:spacing w:val="-5"/>
        </w:rPr>
        <w:t xml:space="preserve"> </w:t>
      </w:r>
      <w:r w:rsidRPr="00EC20A0">
        <w:t>evidence</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significant</w:t>
      </w:r>
      <w:r w:rsidRPr="00EC20A0">
        <w:rPr>
          <w:spacing w:val="-5"/>
        </w:rPr>
        <w:t xml:space="preserve"> </w:t>
      </w:r>
      <w:r w:rsidRPr="00EC20A0">
        <w:t>assertion</w:t>
      </w:r>
      <w:r w:rsidRPr="00EC20A0">
        <w:rPr>
          <w:spacing w:val="-6"/>
        </w:rPr>
        <w:t xml:space="preserve"> </w:t>
      </w:r>
      <w:r w:rsidRPr="00EC20A0">
        <w:t xml:space="preserve">may </w:t>
      </w:r>
      <w:r w:rsidRPr="00EC20A0">
        <w:rPr>
          <w:spacing w:val="-2"/>
        </w:rPr>
        <w:t>include</w:t>
      </w:r>
    </w:p>
    <w:p w14:paraId="24D5FFDC" w14:textId="77777777" w:rsidR="00245300" w:rsidRPr="00EC20A0" w:rsidRDefault="00F17249">
      <w:pPr>
        <w:pStyle w:val="ListParagraph"/>
        <w:numPr>
          <w:ilvl w:val="1"/>
          <w:numId w:val="215"/>
        </w:numPr>
        <w:tabs>
          <w:tab w:val="left" w:pos="2219"/>
        </w:tabs>
        <w:ind w:left="2219" w:right="538"/>
      </w:pPr>
      <w:r w:rsidRPr="00EC20A0">
        <w:t>if the specialist’s work involves significant assumptions, the appropriateness of</w:t>
      </w:r>
      <w:r w:rsidRPr="00EC20A0">
        <w:rPr>
          <w:spacing w:val="-4"/>
        </w:rPr>
        <w:t xml:space="preserve"> </w:t>
      </w:r>
      <w:r w:rsidRPr="00EC20A0">
        <w:t>the</w:t>
      </w:r>
      <w:r w:rsidRPr="00EC20A0">
        <w:rPr>
          <w:spacing w:val="-4"/>
        </w:rPr>
        <w:t xml:space="preserve"> </w:t>
      </w:r>
      <w:r w:rsidRPr="00EC20A0">
        <w:t>assumptions,</w:t>
      </w:r>
      <w:r w:rsidRPr="00EC20A0">
        <w:rPr>
          <w:spacing w:val="-4"/>
        </w:rPr>
        <w:t xml:space="preserve"> </w:t>
      </w:r>
      <w:r w:rsidRPr="00EC20A0">
        <w:t>taking</w:t>
      </w:r>
      <w:r w:rsidRPr="00EC20A0">
        <w:rPr>
          <w:spacing w:val="-4"/>
        </w:rPr>
        <w:t xml:space="preserve"> </w:t>
      </w:r>
      <w:r w:rsidRPr="00EC20A0">
        <w:t>into</w:t>
      </w:r>
      <w:r w:rsidRPr="00EC20A0">
        <w:rPr>
          <w:spacing w:val="-4"/>
        </w:rPr>
        <w:t xml:space="preserve"> </w:t>
      </w:r>
      <w:r w:rsidRPr="00EC20A0">
        <w:t>account</w:t>
      </w:r>
      <w:r w:rsidRPr="00EC20A0">
        <w:rPr>
          <w:spacing w:val="-4"/>
        </w:rPr>
        <w:t xml:space="preserve"> </w:t>
      </w:r>
      <w:r w:rsidRPr="00EC20A0">
        <w:t>the</w:t>
      </w:r>
      <w:r w:rsidRPr="00EC20A0">
        <w:rPr>
          <w:spacing w:val="-4"/>
        </w:rPr>
        <w:t xml:space="preserve"> </w:t>
      </w:r>
      <w:r w:rsidRPr="00EC20A0">
        <w:t>consistency</w:t>
      </w:r>
      <w:r w:rsidRPr="00EC20A0">
        <w:rPr>
          <w:spacing w:val="-4"/>
        </w:rPr>
        <w:t xml:space="preserve"> </w:t>
      </w:r>
      <w:r w:rsidRPr="00EC20A0">
        <w:t>of</w:t>
      </w:r>
      <w:r w:rsidRPr="00EC20A0">
        <w:rPr>
          <w:spacing w:val="-4"/>
        </w:rPr>
        <w:t xml:space="preserve"> </w:t>
      </w:r>
      <w:r w:rsidRPr="00EC20A0">
        <w:t>those</w:t>
      </w:r>
      <w:r w:rsidRPr="00EC20A0">
        <w:rPr>
          <w:spacing w:val="-4"/>
        </w:rPr>
        <w:t xml:space="preserve"> </w:t>
      </w:r>
      <w:r w:rsidRPr="00EC20A0">
        <w:t>assumptions with relevant information;</w:t>
      </w:r>
    </w:p>
    <w:p w14:paraId="24D5FFDD" w14:textId="77777777" w:rsidR="00245300" w:rsidRPr="00EC20A0" w:rsidRDefault="00F17249">
      <w:pPr>
        <w:pStyle w:val="ListParagraph"/>
        <w:numPr>
          <w:ilvl w:val="1"/>
          <w:numId w:val="215"/>
        </w:numPr>
        <w:tabs>
          <w:tab w:val="left" w:pos="2219"/>
        </w:tabs>
        <w:spacing w:before="238"/>
        <w:ind w:left="2219" w:right="721"/>
      </w:pPr>
      <w:r w:rsidRPr="00EC20A0">
        <w:t xml:space="preserve">if the specialist’s work involves the use of methods, the </w:t>
      </w:r>
      <w:r w:rsidRPr="00EC20A0">
        <w:t>appropriateness of the</w:t>
      </w:r>
      <w:r w:rsidRPr="00EC20A0">
        <w:rPr>
          <w:spacing w:val="-5"/>
        </w:rPr>
        <w:t xml:space="preserve"> </w:t>
      </w:r>
      <w:r w:rsidRPr="00EC20A0">
        <w:t>methods</w:t>
      </w:r>
      <w:r w:rsidRPr="00EC20A0">
        <w:rPr>
          <w:spacing w:val="-5"/>
        </w:rPr>
        <w:t xml:space="preserve"> </w:t>
      </w:r>
      <w:r w:rsidRPr="00EC20A0">
        <w:t>under</w:t>
      </w:r>
      <w:r w:rsidRPr="00EC20A0">
        <w:rPr>
          <w:spacing w:val="-5"/>
        </w:rPr>
        <w:t xml:space="preserve"> </w:t>
      </w:r>
      <w:r w:rsidRPr="00EC20A0">
        <w:t>the</w:t>
      </w:r>
      <w:r w:rsidRPr="00EC20A0">
        <w:rPr>
          <w:spacing w:val="-5"/>
        </w:rPr>
        <w:t xml:space="preserve"> </w:t>
      </w:r>
      <w:r w:rsidRPr="00EC20A0">
        <w:t>circumstances,</w:t>
      </w:r>
      <w:r w:rsidRPr="00EC20A0">
        <w:rPr>
          <w:spacing w:val="-5"/>
        </w:rPr>
        <w:t xml:space="preserve"> </w:t>
      </w:r>
      <w:r w:rsidRPr="00EC20A0">
        <w:t>taking</w:t>
      </w:r>
      <w:r w:rsidRPr="00EC20A0">
        <w:rPr>
          <w:spacing w:val="-5"/>
        </w:rPr>
        <w:t xml:space="preserve"> </w:t>
      </w:r>
      <w:r w:rsidRPr="00EC20A0">
        <w:t>into</w:t>
      </w:r>
      <w:r w:rsidRPr="00EC20A0">
        <w:rPr>
          <w:spacing w:val="-5"/>
        </w:rPr>
        <w:t xml:space="preserve"> </w:t>
      </w:r>
      <w:r w:rsidRPr="00EC20A0">
        <w:t>account</w:t>
      </w:r>
      <w:r w:rsidRPr="00EC20A0">
        <w:rPr>
          <w:spacing w:val="-5"/>
        </w:rPr>
        <w:t xml:space="preserve"> </w:t>
      </w:r>
      <w:r w:rsidRPr="00EC20A0">
        <w:t>the</w:t>
      </w:r>
      <w:r w:rsidRPr="00EC20A0">
        <w:rPr>
          <w:spacing w:val="-5"/>
        </w:rPr>
        <w:t xml:space="preserve"> </w:t>
      </w:r>
      <w:r w:rsidRPr="00EC20A0">
        <w:t>requirements of the applicable financial reporting framework (generally U.S. GAAP);</w:t>
      </w:r>
    </w:p>
    <w:p w14:paraId="24D5FFDE" w14:textId="77777777" w:rsidR="00245300" w:rsidRPr="00EC20A0" w:rsidRDefault="00F17249">
      <w:pPr>
        <w:pStyle w:val="ListParagraph"/>
        <w:numPr>
          <w:ilvl w:val="1"/>
          <w:numId w:val="215"/>
        </w:numPr>
        <w:tabs>
          <w:tab w:val="left" w:pos="2218"/>
        </w:tabs>
        <w:spacing w:before="238"/>
        <w:ind w:left="2218" w:right="561"/>
      </w:pPr>
      <w:r w:rsidRPr="00EC20A0">
        <w:t>if the specialist’s work involves significant use of source data, including data produced</w:t>
      </w:r>
      <w:r w:rsidRPr="00EC20A0">
        <w:rPr>
          <w:spacing w:val="-3"/>
        </w:rPr>
        <w:t xml:space="preserve"> </w:t>
      </w:r>
      <w:r w:rsidRPr="00EC20A0">
        <w:t>by</w:t>
      </w:r>
      <w:r w:rsidRPr="00EC20A0">
        <w:rPr>
          <w:spacing w:val="-4"/>
        </w:rPr>
        <w:t xml:space="preserve"> </w:t>
      </w:r>
      <w:r w:rsidRPr="00EC20A0">
        <w:t>the</w:t>
      </w:r>
      <w:r w:rsidRPr="00EC20A0">
        <w:rPr>
          <w:spacing w:val="-3"/>
        </w:rPr>
        <w:t xml:space="preserve"> </w:t>
      </w:r>
      <w:r w:rsidRPr="00EC20A0">
        <w:t>entity,</w:t>
      </w:r>
      <w:r w:rsidRPr="00EC20A0">
        <w:rPr>
          <w:spacing w:val="-3"/>
        </w:rPr>
        <w:t xml:space="preserve"> </w:t>
      </w:r>
      <w:r w:rsidRPr="00EC20A0">
        <w:t>the</w:t>
      </w:r>
      <w:r w:rsidRPr="00EC20A0">
        <w:rPr>
          <w:spacing w:val="-3"/>
        </w:rPr>
        <w:t xml:space="preserve"> </w:t>
      </w:r>
      <w:r w:rsidRPr="00EC20A0">
        <w:t>relevance</w:t>
      </w:r>
      <w:r w:rsidRPr="00EC20A0">
        <w:rPr>
          <w:spacing w:val="-3"/>
        </w:rPr>
        <w:t xml:space="preserve"> </w:t>
      </w:r>
      <w:r w:rsidRPr="00EC20A0">
        <w:t>and</w:t>
      </w:r>
      <w:r w:rsidRPr="00EC20A0">
        <w:rPr>
          <w:spacing w:val="-3"/>
        </w:rPr>
        <w:t xml:space="preserve"> </w:t>
      </w:r>
      <w:r w:rsidRPr="00EC20A0">
        <w:t>reliability</w:t>
      </w:r>
      <w:r w:rsidRPr="00EC20A0">
        <w:rPr>
          <w:spacing w:val="-3"/>
        </w:rPr>
        <w:t xml:space="preserve"> </w:t>
      </w:r>
      <w:r w:rsidRPr="00EC20A0">
        <w:t>of</w:t>
      </w:r>
      <w:r w:rsidRPr="00EC20A0">
        <w:rPr>
          <w:spacing w:val="-3"/>
        </w:rPr>
        <w:t xml:space="preserve"> </w:t>
      </w:r>
      <w:r w:rsidRPr="00EC20A0">
        <w:t>those</w:t>
      </w:r>
      <w:r w:rsidRPr="00EC20A0">
        <w:rPr>
          <w:spacing w:val="-4"/>
        </w:rPr>
        <w:t xml:space="preserve"> </w:t>
      </w:r>
      <w:r w:rsidRPr="00EC20A0">
        <w:t>source</w:t>
      </w:r>
      <w:r w:rsidRPr="00EC20A0">
        <w:rPr>
          <w:spacing w:val="-3"/>
        </w:rPr>
        <w:t xml:space="preserve"> </w:t>
      </w:r>
      <w:r w:rsidRPr="00EC20A0">
        <w:t>data</w:t>
      </w:r>
      <w:r w:rsidRPr="00EC20A0">
        <w:rPr>
          <w:spacing w:val="-4"/>
        </w:rPr>
        <w:t xml:space="preserve"> </w:t>
      </w:r>
      <w:r w:rsidRPr="00EC20A0">
        <w:t>(see FAM 480.01); and</w:t>
      </w:r>
    </w:p>
    <w:p w14:paraId="24D5FFDF" w14:textId="77777777" w:rsidR="00245300" w:rsidRPr="00EC20A0" w:rsidRDefault="00F17249">
      <w:pPr>
        <w:pStyle w:val="ListParagraph"/>
        <w:numPr>
          <w:ilvl w:val="1"/>
          <w:numId w:val="215"/>
        </w:numPr>
        <w:tabs>
          <w:tab w:val="left" w:pos="2218"/>
        </w:tabs>
        <w:spacing w:before="238"/>
        <w:ind w:left="2218" w:right="611"/>
      </w:pPr>
      <w:r w:rsidRPr="00EC20A0">
        <w:t>the</w:t>
      </w:r>
      <w:r w:rsidRPr="00EC20A0">
        <w:rPr>
          <w:spacing w:val="-4"/>
        </w:rPr>
        <w:t xml:space="preserve"> </w:t>
      </w:r>
      <w:r w:rsidRPr="00EC20A0">
        <w:t>relevance</w:t>
      </w:r>
      <w:r w:rsidRPr="00EC20A0">
        <w:rPr>
          <w:spacing w:val="-4"/>
        </w:rPr>
        <w:t xml:space="preserve"> </w:t>
      </w:r>
      <w:r w:rsidRPr="00EC20A0">
        <w:t>and</w:t>
      </w:r>
      <w:r w:rsidRPr="00EC20A0">
        <w:rPr>
          <w:spacing w:val="-5"/>
        </w:rPr>
        <w:t xml:space="preserve"> </w:t>
      </w:r>
      <w:r w:rsidRPr="00EC20A0">
        <w:t>reasonableness</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specialist’s</w:t>
      </w:r>
      <w:r w:rsidRPr="00EC20A0">
        <w:rPr>
          <w:spacing w:val="-4"/>
        </w:rPr>
        <w:t xml:space="preserve"> </w:t>
      </w:r>
      <w:r w:rsidRPr="00EC20A0">
        <w:t>findings</w:t>
      </w:r>
      <w:r w:rsidRPr="00EC20A0">
        <w:rPr>
          <w:spacing w:val="-5"/>
        </w:rPr>
        <w:t xml:space="preserve"> </w:t>
      </w:r>
      <w:r w:rsidRPr="00EC20A0">
        <w:t>or</w:t>
      </w:r>
      <w:r w:rsidRPr="00EC20A0">
        <w:rPr>
          <w:spacing w:val="-4"/>
        </w:rPr>
        <w:t xml:space="preserve"> </w:t>
      </w:r>
      <w:r w:rsidRPr="00EC20A0">
        <w:t xml:space="preserve">conclusions, the consistency of the findings or conclusions with other audit evidence, and whether the </w:t>
      </w:r>
      <w:r w:rsidRPr="00EC20A0">
        <w:t>findings or conclusions have been appropriately reflected in the financial statements (AU-C 501.A84).</w:t>
      </w:r>
    </w:p>
    <w:p w14:paraId="24D5FFE0" w14:textId="77777777" w:rsidR="00245300" w:rsidRPr="00EC20A0" w:rsidRDefault="00245300">
      <w:pPr>
        <w:sectPr w:rsidR="00245300" w:rsidRPr="00EC20A0">
          <w:pgSz w:w="12240" w:h="15840"/>
          <w:pgMar w:top="1340" w:right="940" w:bottom="940" w:left="1020" w:header="721" w:footer="757" w:gutter="0"/>
          <w:cols w:space="720"/>
        </w:sectPr>
      </w:pPr>
    </w:p>
    <w:p w14:paraId="24D5FFE1" w14:textId="77777777" w:rsidR="00245300" w:rsidRPr="00EC20A0" w:rsidRDefault="00F17249">
      <w:pPr>
        <w:pStyle w:val="BodyText"/>
        <w:spacing w:before="121"/>
        <w:ind w:left="1860" w:right="562" w:hanging="1"/>
      </w:pPr>
      <w:r w:rsidRPr="00EC20A0">
        <w:t>See AU-C 501.A85 and .A86 for further guidance if the work of management’s specialist</w:t>
      </w:r>
      <w:r w:rsidRPr="00EC20A0">
        <w:rPr>
          <w:spacing w:val="-4"/>
        </w:rPr>
        <w:t xml:space="preserve"> </w:t>
      </w:r>
      <w:r w:rsidRPr="00EC20A0">
        <w:t>involves</w:t>
      </w:r>
      <w:r w:rsidRPr="00EC20A0">
        <w:rPr>
          <w:spacing w:val="-4"/>
        </w:rPr>
        <w:t xml:space="preserve"> </w:t>
      </w:r>
      <w:r w:rsidRPr="00EC20A0">
        <w:t>the</w:t>
      </w:r>
      <w:r w:rsidRPr="00EC20A0">
        <w:rPr>
          <w:spacing w:val="-4"/>
        </w:rPr>
        <w:t xml:space="preserve"> </w:t>
      </w:r>
      <w:r w:rsidRPr="00EC20A0">
        <w:t>use</w:t>
      </w:r>
      <w:r w:rsidRPr="00EC20A0">
        <w:rPr>
          <w:spacing w:val="-4"/>
        </w:rPr>
        <w:t xml:space="preserve"> </w:t>
      </w:r>
      <w:r w:rsidRPr="00EC20A0">
        <w:t>of</w:t>
      </w:r>
      <w:r w:rsidRPr="00EC20A0">
        <w:rPr>
          <w:spacing w:val="-4"/>
        </w:rPr>
        <w:t xml:space="preserve"> </w:t>
      </w:r>
      <w:r w:rsidRPr="00EC20A0">
        <w:t>significant</w:t>
      </w:r>
      <w:r w:rsidRPr="00EC20A0">
        <w:rPr>
          <w:spacing w:val="-4"/>
        </w:rPr>
        <w:t xml:space="preserve"> </w:t>
      </w:r>
      <w:r w:rsidRPr="00EC20A0">
        <w:t>assumptions</w:t>
      </w:r>
      <w:r w:rsidRPr="00EC20A0">
        <w:rPr>
          <w:spacing w:val="-4"/>
        </w:rPr>
        <w:t xml:space="preserve"> </w:t>
      </w:r>
      <w:r w:rsidRPr="00EC20A0">
        <w:t>that</w:t>
      </w:r>
      <w:r w:rsidRPr="00EC20A0">
        <w:rPr>
          <w:spacing w:val="-4"/>
        </w:rPr>
        <w:t xml:space="preserve"> </w:t>
      </w:r>
      <w:r w:rsidRPr="00EC20A0">
        <w:t>a</w:t>
      </w:r>
      <w:r w:rsidRPr="00EC20A0">
        <w:rPr>
          <w:spacing w:val="-4"/>
        </w:rPr>
        <w:t xml:space="preserve"> </w:t>
      </w:r>
      <w:r w:rsidRPr="00EC20A0">
        <w:t>specialist</w:t>
      </w:r>
      <w:r w:rsidRPr="00EC20A0">
        <w:rPr>
          <w:spacing w:val="-4"/>
        </w:rPr>
        <w:t xml:space="preserve"> </w:t>
      </w:r>
      <w:r w:rsidRPr="00EC20A0">
        <w:t xml:space="preserve">developed or a proprietary model. Also see AU-C 540, </w:t>
      </w:r>
      <w:r w:rsidRPr="00EC20A0">
        <w:rPr>
          <w:i/>
        </w:rPr>
        <w:t>Auditing Accounting Estimates and Related Disclosures</w:t>
      </w:r>
      <w:r w:rsidRPr="00EC20A0">
        <w:t>, for requirements and guidance related to accounting estimates, including the selection and application of the methods, significant assumptions, and data used in making the accounting estimate.</w:t>
      </w:r>
    </w:p>
    <w:p w14:paraId="24D5FFE2" w14:textId="77777777" w:rsidR="00245300" w:rsidRPr="00EC20A0" w:rsidRDefault="00F17249">
      <w:pPr>
        <w:pStyle w:val="ListParagraph"/>
        <w:numPr>
          <w:ilvl w:val="0"/>
          <w:numId w:val="215"/>
        </w:numPr>
        <w:tabs>
          <w:tab w:val="left" w:pos="1860"/>
        </w:tabs>
        <w:ind w:left="1860" w:right="1042"/>
      </w:pPr>
      <w:r w:rsidRPr="00EC20A0">
        <w:t>Factors</w:t>
      </w:r>
      <w:r w:rsidRPr="00EC20A0">
        <w:rPr>
          <w:spacing w:val="-4"/>
        </w:rPr>
        <w:t xml:space="preserve"> </w:t>
      </w:r>
      <w:r w:rsidRPr="00EC20A0">
        <w:t>that</w:t>
      </w:r>
      <w:r w:rsidRPr="00EC20A0">
        <w:rPr>
          <w:spacing w:val="-5"/>
        </w:rPr>
        <w:t xml:space="preserve"> </w:t>
      </w:r>
      <w:r w:rsidRPr="00EC20A0">
        <w:t>affect</w:t>
      </w:r>
      <w:r w:rsidRPr="00EC20A0">
        <w:rPr>
          <w:spacing w:val="-4"/>
        </w:rPr>
        <w:t xml:space="preserve"> </w:t>
      </w:r>
      <w:r w:rsidRPr="00EC20A0">
        <w:t>the</w:t>
      </w:r>
      <w:r w:rsidRPr="00EC20A0">
        <w:rPr>
          <w:spacing w:val="-4"/>
        </w:rPr>
        <w:t xml:space="preserve"> </w:t>
      </w:r>
      <w:r w:rsidRPr="00EC20A0">
        <w:t>relevance</w:t>
      </w:r>
      <w:r w:rsidRPr="00EC20A0">
        <w:rPr>
          <w:spacing w:val="-4"/>
        </w:rPr>
        <w:t xml:space="preserve"> </w:t>
      </w:r>
      <w:r w:rsidRPr="00EC20A0">
        <w:t>and</w:t>
      </w:r>
      <w:r w:rsidRPr="00EC20A0">
        <w:rPr>
          <w:spacing w:val="-5"/>
        </w:rPr>
        <w:t xml:space="preserve"> </w:t>
      </w:r>
      <w:r w:rsidRPr="00EC20A0">
        <w:t>reliability</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of</w:t>
      </w:r>
      <w:r w:rsidRPr="00EC20A0">
        <w:rPr>
          <w:spacing w:val="-4"/>
        </w:rPr>
        <w:t xml:space="preserve"> </w:t>
      </w:r>
      <w:r w:rsidRPr="00EC20A0">
        <w:t>management’s specialists include the following (AU-C 501.A87):</w:t>
      </w:r>
    </w:p>
    <w:p w14:paraId="24D5FFE3" w14:textId="77777777" w:rsidR="00245300" w:rsidRPr="00EC20A0" w:rsidRDefault="00F17249">
      <w:pPr>
        <w:pStyle w:val="ListParagraph"/>
        <w:numPr>
          <w:ilvl w:val="1"/>
          <w:numId w:val="215"/>
        </w:numPr>
        <w:tabs>
          <w:tab w:val="left" w:pos="2220"/>
        </w:tabs>
        <w:spacing w:before="239"/>
        <w:ind w:right="1453"/>
      </w:pPr>
      <w:r w:rsidRPr="00EC20A0">
        <w:t>the</w:t>
      </w:r>
      <w:r w:rsidRPr="00EC20A0">
        <w:rPr>
          <w:spacing w:val="-4"/>
        </w:rPr>
        <w:t xml:space="preserve"> </w:t>
      </w:r>
      <w:r w:rsidRPr="00EC20A0">
        <w:t>results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procedures</w:t>
      </w:r>
      <w:r w:rsidRPr="00EC20A0">
        <w:rPr>
          <w:spacing w:val="-4"/>
        </w:rPr>
        <w:t xml:space="preserve"> </w:t>
      </w:r>
      <w:r w:rsidRPr="00EC20A0">
        <w:t>over</w:t>
      </w:r>
      <w:r w:rsidRPr="00EC20A0">
        <w:rPr>
          <w:spacing w:val="-4"/>
        </w:rPr>
        <w:t xml:space="preserve"> </w:t>
      </w:r>
      <w:r w:rsidRPr="00EC20A0">
        <w:t>internal</w:t>
      </w:r>
      <w:r w:rsidRPr="00EC20A0">
        <w:rPr>
          <w:spacing w:val="-3"/>
        </w:rPr>
        <w:t xml:space="preserve"> </w:t>
      </w:r>
      <w:r w:rsidRPr="00EC20A0">
        <w:t>or</w:t>
      </w:r>
      <w:r w:rsidRPr="00EC20A0">
        <w:rPr>
          <w:spacing w:val="-4"/>
        </w:rPr>
        <w:t xml:space="preserve"> </w:t>
      </w:r>
      <w:r w:rsidRPr="00EC20A0">
        <w:t>external</w:t>
      </w:r>
      <w:r w:rsidRPr="00EC20A0">
        <w:rPr>
          <w:spacing w:val="-4"/>
        </w:rPr>
        <w:t xml:space="preserve"> </w:t>
      </w:r>
      <w:r w:rsidRPr="00EC20A0">
        <w:t>data, significant assumptions, and methods;</w:t>
      </w:r>
    </w:p>
    <w:p w14:paraId="24D5FFE4" w14:textId="77777777" w:rsidR="00245300" w:rsidRPr="00EC20A0" w:rsidRDefault="00F17249">
      <w:pPr>
        <w:pStyle w:val="ListParagraph"/>
        <w:numPr>
          <w:ilvl w:val="1"/>
          <w:numId w:val="215"/>
        </w:numPr>
        <w:tabs>
          <w:tab w:val="left" w:pos="2220"/>
        </w:tabs>
        <w:spacing w:before="238"/>
        <w:ind w:right="978" w:hanging="361"/>
      </w:pPr>
      <w:r w:rsidRPr="00EC20A0">
        <w:t>the</w:t>
      </w:r>
      <w:r w:rsidRPr="00EC20A0">
        <w:rPr>
          <w:spacing w:val="-4"/>
        </w:rPr>
        <w:t xml:space="preserve"> </w:t>
      </w:r>
      <w:r w:rsidRPr="00EC20A0">
        <w:t>nature</w:t>
      </w:r>
      <w:r w:rsidRPr="00EC20A0">
        <w:rPr>
          <w:spacing w:val="-4"/>
        </w:rPr>
        <w:t xml:space="preserve"> </w:t>
      </w:r>
      <w:r w:rsidRPr="00EC20A0">
        <w:t>of</w:t>
      </w:r>
      <w:r w:rsidRPr="00EC20A0">
        <w:rPr>
          <w:spacing w:val="-4"/>
        </w:rPr>
        <w:t xml:space="preserve"> </w:t>
      </w:r>
      <w:r w:rsidRPr="00EC20A0">
        <w:t>any</w:t>
      </w:r>
      <w:r w:rsidRPr="00EC20A0">
        <w:rPr>
          <w:spacing w:val="-4"/>
        </w:rPr>
        <w:t xml:space="preserve"> </w:t>
      </w:r>
      <w:r w:rsidRPr="00EC20A0">
        <w:t>restrictions,</w:t>
      </w:r>
      <w:r w:rsidRPr="00EC20A0">
        <w:rPr>
          <w:spacing w:val="-4"/>
        </w:rPr>
        <w:t xml:space="preserve"> </w:t>
      </w:r>
      <w:r w:rsidRPr="00EC20A0">
        <w:t>disclaimers,</w:t>
      </w:r>
      <w:r w:rsidRPr="00EC20A0">
        <w:rPr>
          <w:spacing w:val="-4"/>
        </w:rPr>
        <w:t xml:space="preserve"> </w:t>
      </w:r>
      <w:r w:rsidRPr="00EC20A0">
        <w:t>or</w:t>
      </w:r>
      <w:r w:rsidRPr="00EC20A0">
        <w:rPr>
          <w:spacing w:val="-4"/>
        </w:rPr>
        <w:t xml:space="preserve"> </w:t>
      </w:r>
      <w:r w:rsidRPr="00EC20A0">
        <w:t>limitations</w:t>
      </w:r>
      <w:r w:rsidRPr="00EC20A0">
        <w:rPr>
          <w:spacing w:val="-3"/>
        </w:rPr>
        <w:t xml:space="preserve"> </w:t>
      </w:r>
      <w:r w:rsidRPr="00EC20A0">
        <w:t>in</w:t>
      </w:r>
      <w:r w:rsidRPr="00EC20A0">
        <w:rPr>
          <w:spacing w:val="-4"/>
        </w:rPr>
        <w:t xml:space="preserve"> </w:t>
      </w:r>
      <w:r w:rsidRPr="00EC20A0">
        <w:t>the</w:t>
      </w:r>
      <w:r w:rsidRPr="00EC20A0">
        <w:rPr>
          <w:spacing w:val="-4"/>
        </w:rPr>
        <w:t xml:space="preserve"> </w:t>
      </w:r>
      <w:r w:rsidRPr="00EC20A0">
        <w:t>specialist’s report or equivalent communication; and</w:t>
      </w:r>
    </w:p>
    <w:p w14:paraId="24D5FFE5" w14:textId="77777777" w:rsidR="00245300" w:rsidRPr="00EC20A0" w:rsidRDefault="00F17249">
      <w:pPr>
        <w:pStyle w:val="ListParagraph"/>
        <w:numPr>
          <w:ilvl w:val="1"/>
          <w:numId w:val="215"/>
        </w:numPr>
        <w:tabs>
          <w:tab w:val="left" w:pos="2219"/>
        </w:tabs>
        <w:spacing w:before="238"/>
        <w:ind w:left="2219" w:right="1098"/>
      </w:pPr>
      <w:r w:rsidRPr="00EC20A0">
        <w:t>the consistency of the work of the specialist with (1) other evidence the auditor</w:t>
      </w:r>
      <w:r w:rsidRPr="00EC20A0">
        <w:rPr>
          <w:spacing w:val="-4"/>
        </w:rPr>
        <w:t xml:space="preserve"> </w:t>
      </w:r>
      <w:r w:rsidRPr="00EC20A0">
        <w:t>obtained</w:t>
      </w:r>
      <w:r w:rsidRPr="00EC20A0">
        <w:rPr>
          <w:spacing w:val="-4"/>
        </w:rPr>
        <w:t xml:space="preserve"> </w:t>
      </w:r>
      <w:r w:rsidRPr="00EC20A0">
        <w:t>and</w:t>
      </w:r>
      <w:r w:rsidRPr="00EC20A0">
        <w:rPr>
          <w:spacing w:val="-4"/>
        </w:rPr>
        <w:t xml:space="preserve"> </w:t>
      </w:r>
      <w:r w:rsidRPr="00EC20A0">
        <w:t>(2)</w:t>
      </w:r>
      <w:r w:rsidRPr="00EC20A0">
        <w:rPr>
          <w:spacing w:val="-4"/>
        </w:rPr>
        <w:t xml:space="preserve"> </w:t>
      </w:r>
      <w:r w:rsidRPr="00EC20A0">
        <w:t>the</w:t>
      </w:r>
      <w:r w:rsidRPr="00EC20A0">
        <w:rPr>
          <w:spacing w:val="-4"/>
        </w:rPr>
        <w:t xml:space="preserve"> </w:t>
      </w:r>
      <w:r w:rsidRPr="00EC20A0">
        <w:t>auditor’s</w:t>
      </w:r>
      <w:r w:rsidRPr="00EC20A0">
        <w:rPr>
          <w:spacing w:val="-5"/>
        </w:rPr>
        <w:t xml:space="preserve"> </w:t>
      </w:r>
      <w:r w:rsidRPr="00EC20A0">
        <w:t>understanding</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and</w:t>
      </w:r>
      <w:r w:rsidRPr="00EC20A0">
        <w:rPr>
          <w:spacing w:val="-4"/>
        </w:rPr>
        <w:t xml:space="preserve"> </w:t>
      </w:r>
      <w:r w:rsidRPr="00EC20A0">
        <w:t xml:space="preserve">its </w:t>
      </w:r>
      <w:r w:rsidRPr="00EC20A0">
        <w:rPr>
          <w:spacing w:val="-2"/>
        </w:rPr>
        <w:t>environment.</w:t>
      </w:r>
    </w:p>
    <w:p w14:paraId="24D5FFE6" w14:textId="77777777" w:rsidR="00245300" w:rsidRPr="00EC20A0" w:rsidRDefault="00F17249">
      <w:pPr>
        <w:pStyle w:val="BodyText"/>
        <w:spacing w:before="239"/>
        <w:ind w:left="1859" w:right="542"/>
      </w:pPr>
      <w:r w:rsidRPr="00EC20A0">
        <w:t>Additional procedures may be necessary if the findings or conclusions of management’s specialists appear to contradict the significant assertion, or their work</w:t>
      </w:r>
      <w:r w:rsidRPr="00EC20A0">
        <w:rPr>
          <w:spacing w:val="-4"/>
        </w:rPr>
        <w:t xml:space="preserve"> </w:t>
      </w:r>
      <w:r w:rsidRPr="00EC20A0">
        <w:t>does</w:t>
      </w:r>
      <w:r w:rsidRPr="00EC20A0">
        <w:rPr>
          <w:spacing w:val="-4"/>
        </w:rPr>
        <w:t xml:space="preserve"> </w:t>
      </w:r>
      <w:r w:rsidRPr="00EC20A0">
        <w:t>not</w:t>
      </w:r>
      <w:r w:rsidRPr="00EC20A0">
        <w:rPr>
          <w:spacing w:val="-4"/>
        </w:rPr>
        <w:t xml:space="preserve"> </w:t>
      </w:r>
      <w:r w:rsidRPr="00EC20A0">
        <w:t>provide</w:t>
      </w:r>
      <w:r w:rsidRPr="00EC20A0">
        <w:rPr>
          <w:spacing w:val="-4"/>
        </w:rPr>
        <w:t xml:space="preserve"> </w:t>
      </w:r>
      <w:r w:rsidRPr="00EC20A0">
        <w:t>sufficient</w:t>
      </w:r>
      <w:r w:rsidRPr="00EC20A0">
        <w:rPr>
          <w:spacing w:val="-4"/>
        </w:rPr>
        <w:t xml:space="preserve"> </w:t>
      </w:r>
      <w:r w:rsidRPr="00EC20A0">
        <w:t>appropriate</w:t>
      </w:r>
      <w:r w:rsidRPr="00EC20A0">
        <w:rPr>
          <w:spacing w:val="-4"/>
        </w:rPr>
        <w:t xml:space="preserve"> </w:t>
      </w:r>
      <w:r w:rsidRPr="00EC20A0">
        <w:t>audit</w:t>
      </w:r>
      <w:r w:rsidRPr="00EC20A0">
        <w:rPr>
          <w:spacing w:val="-4"/>
        </w:rPr>
        <w:t xml:space="preserve"> </w:t>
      </w:r>
      <w:r w:rsidRPr="00EC20A0">
        <w:t>evidence</w:t>
      </w:r>
      <w:r w:rsidRPr="00EC20A0">
        <w:rPr>
          <w:spacing w:val="-4"/>
        </w:rPr>
        <w:t xml:space="preserve"> </w:t>
      </w:r>
      <w:r w:rsidRPr="00EC20A0">
        <w:t>(AU-C</w:t>
      </w:r>
      <w:r w:rsidRPr="00EC20A0">
        <w:rPr>
          <w:spacing w:val="-5"/>
        </w:rPr>
        <w:t xml:space="preserve"> </w:t>
      </w:r>
      <w:r w:rsidRPr="00EC20A0">
        <w:t>501.A88).</w:t>
      </w:r>
      <w:r w:rsidRPr="00EC20A0">
        <w:rPr>
          <w:spacing w:val="-4"/>
        </w:rPr>
        <w:t xml:space="preserve"> </w:t>
      </w:r>
      <w:r w:rsidRPr="00EC20A0">
        <w:t xml:space="preserve">See AU-C 501.A88 for examples of situations in which additional procedures may be </w:t>
      </w:r>
      <w:r w:rsidRPr="00EC20A0">
        <w:rPr>
          <w:spacing w:val="-2"/>
        </w:rPr>
        <w:t>necessary.</w:t>
      </w:r>
    </w:p>
    <w:p w14:paraId="24D5FFE7" w14:textId="77777777" w:rsidR="00245300" w:rsidRPr="00EC20A0" w:rsidRDefault="00F17249">
      <w:pPr>
        <w:pStyle w:val="Heading4"/>
        <w:ind w:left="419" w:right="656"/>
      </w:pPr>
      <w:bookmarkStart w:id="47" w:name="Making_Reference_to_Management’s_Special"/>
      <w:bookmarkEnd w:id="47"/>
      <w:r w:rsidRPr="00EC20A0">
        <w:t>Making</w:t>
      </w:r>
      <w:r w:rsidRPr="00EC20A0">
        <w:rPr>
          <w:spacing w:val="-5"/>
        </w:rPr>
        <w:t xml:space="preserve"> </w:t>
      </w:r>
      <w:r w:rsidRPr="00EC20A0">
        <w:t>Reference</w:t>
      </w:r>
      <w:r w:rsidRPr="00EC20A0">
        <w:rPr>
          <w:spacing w:val="-5"/>
        </w:rPr>
        <w:t xml:space="preserve"> </w:t>
      </w:r>
      <w:r w:rsidRPr="00EC20A0">
        <w:t>to</w:t>
      </w:r>
      <w:r w:rsidRPr="00EC20A0">
        <w:rPr>
          <w:spacing w:val="-6"/>
        </w:rPr>
        <w:t xml:space="preserve"> </w:t>
      </w:r>
      <w:r w:rsidRPr="00EC20A0">
        <w:t>Management’s</w:t>
      </w:r>
      <w:r w:rsidRPr="00EC20A0">
        <w:rPr>
          <w:spacing w:val="-5"/>
        </w:rPr>
        <w:t xml:space="preserve"> </w:t>
      </w:r>
      <w:r w:rsidRPr="00EC20A0">
        <w:t>Specialists</w:t>
      </w:r>
      <w:r w:rsidRPr="00EC20A0">
        <w:rPr>
          <w:spacing w:val="-5"/>
        </w:rPr>
        <w:t xml:space="preserve"> </w:t>
      </w:r>
      <w:r w:rsidRPr="00EC20A0">
        <w:t>in</w:t>
      </w:r>
      <w:r w:rsidRPr="00EC20A0">
        <w:rPr>
          <w:spacing w:val="-6"/>
        </w:rPr>
        <w:t xml:space="preserve"> </w:t>
      </w:r>
      <w:r w:rsidRPr="00EC20A0">
        <w:t>the</w:t>
      </w:r>
      <w:r w:rsidRPr="00EC20A0">
        <w:rPr>
          <w:spacing w:val="-5"/>
        </w:rPr>
        <w:t xml:space="preserve"> </w:t>
      </w:r>
      <w:r w:rsidRPr="00EC20A0">
        <w:t xml:space="preserve">Auditor’s </w:t>
      </w:r>
      <w:r w:rsidRPr="00EC20A0">
        <w:rPr>
          <w:spacing w:val="-2"/>
        </w:rPr>
        <w:t>Report</w:t>
      </w:r>
    </w:p>
    <w:p w14:paraId="24D5FFE8" w14:textId="77777777" w:rsidR="00245300" w:rsidRPr="00EC20A0" w:rsidRDefault="00F17249">
      <w:pPr>
        <w:pStyle w:val="ListParagraph"/>
        <w:numPr>
          <w:ilvl w:val="0"/>
          <w:numId w:val="215"/>
        </w:numPr>
        <w:tabs>
          <w:tab w:val="left" w:pos="1860"/>
        </w:tabs>
        <w:spacing w:before="241"/>
        <w:ind w:left="1860" w:right="1153"/>
      </w:pPr>
      <w:r w:rsidRPr="00EC20A0">
        <w:t>See</w:t>
      </w:r>
      <w:r w:rsidRPr="00EC20A0">
        <w:rPr>
          <w:spacing w:val="-3"/>
        </w:rPr>
        <w:t xml:space="preserve"> </w:t>
      </w:r>
      <w:r w:rsidRPr="00EC20A0">
        <w:t>FAM</w:t>
      </w:r>
      <w:r w:rsidRPr="00EC20A0">
        <w:rPr>
          <w:spacing w:val="-4"/>
        </w:rPr>
        <w:t xml:space="preserve"> </w:t>
      </w:r>
      <w:r w:rsidRPr="00EC20A0">
        <w:t>620.36</w:t>
      </w:r>
      <w:r w:rsidRPr="00EC20A0">
        <w:rPr>
          <w:spacing w:val="-3"/>
        </w:rPr>
        <w:t xml:space="preserve"> </w:t>
      </w:r>
      <w:r w:rsidRPr="00EC20A0">
        <w:t>through</w:t>
      </w:r>
      <w:r w:rsidRPr="00EC20A0">
        <w:rPr>
          <w:spacing w:val="-3"/>
        </w:rPr>
        <w:t xml:space="preserve"> </w:t>
      </w:r>
      <w:r w:rsidRPr="00EC20A0">
        <w:t>.39</w:t>
      </w:r>
      <w:r w:rsidRPr="00EC20A0">
        <w:rPr>
          <w:spacing w:val="-3"/>
        </w:rPr>
        <w:t xml:space="preserve"> </w:t>
      </w:r>
      <w:r w:rsidRPr="00EC20A0">
        <w:t>for</w:t>
      </w:r>
      <w:r w:rsidRPr="00EC20A0">
        <w:rPr>
          <w:spacing w:val="-3"/>
        </w:rPr>
        <w:t xml:space="preserve"> </w:t>
      </w:r>
      <w:r w:rsidRPr="00EC20A0">
        <w:t>guidance</w:t>
      </w:r>
      <w:r w:rsidRPr="00EC20A0">
        <w:rPr>
          <w:spacing w:val="-3"/>
        </w:rPr>
        <w:t xml:space="preserve"> </w:t>
      </w:r>
      <w:r w:rsidRPr="00EC20A0">
        <w:t>related</w:t>
      </w:r>
      <w:r w:rsidRPr="00EC20A0">
        <w:rPr>
          <w:spacing w:val="-3"/>
        </w:rPr>
        <w:t xml:space="preserve"> </w:t>
      </w:r>
      <w:r w:rsidRPr="00EC20A0">
        <w:t>to</w:t>
      </w:r>
      <w:r w:rsidRPr="00EC20A0">
        <w:rPr>
          <w:spacing w:val="-3"/>
        </w:rPr>
        <w:t xml:space="preserve"> </w:t>
      </w:r>
      <w:r w:rsidRPr="00EC20A0">
        <w:t>making</w:t>
      </w:r>
      <w:r w:rsidRPr="00EC20A0">
        <w:rPr>
          <w:spacing w:val="-3"/>
        </w:rPr>
        <w:t xml:space="preserve"> </w:t>
      </w:r>
      <w:r w:rsidRPr="00EC20A0">
        <w:t>reference</w:t>
      </w:r>
      <w:r w:rsidRPr="00EC20A0">
        <w:rPr>
          <w:spacing w:val="-3"/>
        </w:rPr>
        <w:t xml:space="preserve"> </w:t>
      </w:r>
      <w:r w:rsidRPr="00EC20A0">
        <w:t>to</w:t>
      </w:r>
      <w:r w:rsidRPr="00EC20A0">
        <w:rPr>
          <w:spacing w:val="-4"/>
        </w:rPr>
        <w:t xml:space="preserve"> </w:t>
      </w:r>
      <w:r w:rsidRPr="00EC20A0">
        <w:t>a specialist in the auditor’s report.</w:t>
      </w:r>
    </w:p>
    <w:p w14:paraId="24D5FFE9" w14:textId="77777777" w:rsidR="00245300" w:rsidRPr="00EC20A0" w:rsidRDefault="00F17249">
      <w:pPr>
        <w:pStyle w:val="Heading4"/>
      </w:pPr>
      <w:r w:rsidRPr="00EC20A0">
        <w:rPr>
          <w:spacing w:val="-2"/>
        </w:rPr>
        <w:t>Documentation</w:t>
      </w:r>
    </w:p>
    <w:p w14:paraId="24D5FFEA" w14:textId="77777777" w:rsidR="00245300" w:rsidRPr="00EC20A0" w:rsidRDefault="00F17249">
      <w:pPr>
        <w:pStyle w:val="ListParagraph"/>
        <w:numPr>
          <w:ilvl w:val="0"/>
          <w:numId w:val="215"/>
        </w:numPr>
        <w:tabs>
          <w:tab w:val="left" w:pos="1859"/>
        </w:tabs>
        <w:ind w:left="1859" w:right="553" w:hanging="720"/>
      </w:pPr>
      <w:r w:rsidRPr="00EC20A0">
        <w:t>In the overall audit strategy, the auditor should include or refer to other documentation</w:t>
      </w:r>
      <w:r w:rsidRPr="00EC20A0">
        <w:rPr>
          <w:spacing w:val="-4"/>
        </w:rPr>
        <w:t xml:space="preserve"> </w:t>
      </w:r>
      <w:r w:rsidRPr="00EC20A0">
        <w:t>where</w:t>
      </w:r>
      <w:r w:rsidRPr="00EC20A0">
        <w:rPr>
          <w:spacing w:val="-4"/>
        </w:rPr>
        <w:t xml:space="preserve"> </w:t>
      </w:r>
      <w:r w:rsidRPr="00EC20A0">
        <w:t>this</w:t>
      </w:r>
      <w:r w:rsidRPr="00EC20A0">
        <w:rPr>
          <w:spacing w:val="-4"/>
        </w:rPr>
        <w:t xml:space="preserve"> </w:t>
      </w:r>
      <w:r w:rsidRPr="00EC20A0">
        <w:t>information</w:t>
      </w:r>
      <w:r w:rsidRPr="00EC20A0">
        <w:rPr>
          <w:spacing w:val="-4"/>
        </w:rPr>
        <w:t xml:space="preserve"> </w:t>
      </w:r>
      <w:r w:rsidRPr="00EC20A0">
        <w:t>is</w:t>
      </w:r>
      <w:r w:rsidRPr="00EC20A0">
        <w:rPr>
          <w:spacing w:val="-4"/>
        </w:rPr>
        <w:t xml:space="preserve"> </w:t>
      </w:r>
      <w:r w:rsidRPr="00EC20A0">
        <w:t>described</w:t>
      </w:r>
      <w:r w:rsidRPr="00EC20A0">
        <w:rPr>
          <w:spacing w:val="-4"/>
        </w:rPr>
        <w:t xml:space="preserve"> </w:t>
      </w:r>
      <w:r w:rsidRPr="00EC20A0">
        <w:t>in</w:t>
      </w:r>
      <w:r w:rsidRPr="00EC20A0">
        <w:rPr>
          <w:spacing w:val="-4"/>
        </w:rPr>
        <w:t xml:space="preserve"> </w:t>
      </w:r>
      <w:r w:rsidRPr="00EC20A0">
        <w:t>more</w:t>
      </w:r>
      <w:r w:rsidRPr="00EC20A0">
        <w:rPr>
          <w:spacing w:val="-4"/>
        </w:rPr>
        <w:t xml:space="preserve"> </w:t>
      </w:r>
      <w:r w:rsidRPr="00EC20A0">
        <w:t>detail</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 xml:space="preserve">following </w:t>
      </w:r>
      <w:r w:rsidRPr="00EC20A0">
        <w:rPr>
          <w:spacing w:val="-2"/>
        </w:rPr>
        <w:t>areas:</w:t>
      </w:r>
    </w:p>
    <w:p w14:paraId="24D5FFEB" w14:textId="77777777" w:rsidR="00245300" w:rsidRPr="00EC20A0" w:rsidRDefault="00F17249">
      <w:pPr>
        <w:pStyle w:val="ListParagraph"/>
        <w:numPr>
          <w:ilvl w:val="1"/>
          <w:numId w:val="215"/>
        </w:numPr>
        <w:tabs>
          <w:tab w:val="left" w:pos="2219"/>
        </w:tabs>
        <w:spacing w:before="239"/>
        <w:ind w:left="2219" w:right="965"/>
      </w:pPr>
      <w:r w:rsidRPr="00EC20A0">
        <w:t>determination</w:t>
      </w:r>
      <w:r w:rsidRPr="00EC20A0">
        <w:rPr>
          <w:spacing w:val="-4"/>
        </w:rPr>
        <w:t xml:space="preserve"> </w:t>
      </w:r>
      <w:r w:rsidRPr="00EC20A0">
        <w:t>of</w:t>
      </w:r>
      <w:r w:rsidRPr="00EC20A0">
        <w:rPr>
          <w:spacing w:val="-4"/>
        </w:rPr>
        <w:t xml:space="preserve"> </w:t>
      </w:r>
      <w:r w:rsidRPr="00EC20A0">
        <w:t>whether</w:t>
      </w:r>
      <w:r w:rsidRPr="00EC20A0">
        <w:rPr>
          <w:spacing w:val="-4"/>
        </w:rPr>
        <w:t xml:space="preserve"> </w:t>
      </w:r>
      <w:r w:rsidRPr="00EC20A0">
        <w:t>to</w:t>
      </w:r>
      <w:r w:rsidRPr="00EC20A0">
        <w:rPr>
          <w:spacing w:val="-4"/>
        </w:rPr>
        <w:t xml:space="preserve"> </w:t>
      </w:r>
      <w:r w:rsidRPr="00EC20A0">
        <w:t>use</w:t>
      </w:r>
      <w:r w:rsidRPr="00EC20A0">
        <w:rPr>
          <w:spacing w:val="-4"/>
        </w:rPr>
        <w:t xml:space="preserve"> </w:t>
      </w:r>
      <w:r w:rsidRPr="00EC20A0">
        <w:t>the</w:t>
      </w:r>
      <w:r w:rsidRPr="00EC20A0">
        <w:rPr>
          <w:spacing w:val="-5"/>
        </w:rPr>
        <w:t xml:space="preserve"> </w:t>
      </w:r>
      <w:r w:rsidRPr="00EC20A0">
        <w:t>work</w:t>
      </w:r>
      <w:r w:rsidRPr="00EC20A0">
        <w:rPr>
          <w:spacing w:val="-4"/>
        </w:rPr>
        <w:t xml:space="preserve"> </w:t>
      </w:r>
      <w:r w:rsidRPr="00EC20A0">
        <w:t>of</w:t>
      </w:r>
      <w:r w:rsidRPr="00EC20A0">
        <w:rPr>
          <w:spacing w:val="-4"/>
        </w:rPr>
        <w:t xml:space="preserve"> </w:t>
      </w:r>
      <w:r w:rsidRPr="00EC20A0">
        <w:t>management’s</w:t>
      </w:r>
      <w:r w:rsidRPr="00EC20A0">
        <w:rPr>
          <w:spacing w:val="-3"/>
        </w:rPr>
        <w:t xml:space="preserve"> </w:t>
      </w:r>
      <w:r w:rsidRPr="00EC20A0">
        <w:t>specialists</w:t>
      </w:r>
      <w:r w:rsidRPr="00EC20A0">
        <w:rPr>
          <w:spacing w:val="-4"/>
        </w:rPr>
        <w:t xml:space="preserve"> </w:t>
      </w:r>
      <w:r w:rsidRPr="00EC20A0">
        <w:t>as audit evidence;</w:t>
      </w:r>
    </w:p>
    <w:p w14:paraId="24D5FFEC" w14:textId="77777777" w:rsidR="00245300" w:rsidRPr="00EC20A0" w:rsidRDefault="00F17249">
      <w:pPr>
        <w:pStyle w:val="ListParagraph"/>
        <w:numPr>
          <w:ilvl w:val="1"/>
          <w:numId w:val="215"/>
        </w:numPr>
        <w:tabs>
          <w:tab w:val="left" w:pos="2218"/>
        </w:tabs>
        <w:spacing w:before="238"/>
        <w:ind w:left="2218" w:right="868"/>
      </w:pPr>
      <w:r w:rsidRPr="00EC20A0">
        <w:t>matters</w:t>
      </w:r>
      <w:r w:rsidRPr="00EC20A0">
        <w:rPr>
          <w:spacing w:val="-4"/>
        </w:rPr>
        <w:t xml:space="preserve"> </w:t>
      </w:r>
      <w:r w:rsidRPr="00EC20A0">
        <w:t>considered</w:t>
      </w:r>
      <w:r w:rsidRPr="00EC20A0">
        <w:rPr>
          <w:spacing w:val="-4"/>
        </w:rPr>
        <w:t xml:space="preserve"> </w:t>
      </w:r>
      <w:r w:rsidRPr="00EC20A0">
        <w:t>when</w:t>
      </w:r>
      <w:r w:rsidRPr="00EC20A0">
        <w:rPr>
          <w:spacing w:val="-4"/>
        </w:rPr>
        <w:t xml:space="preserve"> </w:t>
      </w:r>
      <w:r w:rsidRPr="00EC20A0">
        <w:t>determining</w:t>
      </w:r>
      <w:r w:rsidRPr="00EC20A0">
        <w:rPr>
          <w:spacing w:val="-4"/>
        </w:rPr>
        <w:t xml:space="preserve"> </w:t>
      </w:r>
      <w:r w:rsidRPr="00EC20A0">
        <w:t>the</w:t>
      </w:r>
      <w:r w:rsidRPr="00EC20A0">
        <w:rPr>
          <w:spacing w:val="-4"/>
        </w:rPr>
        <w:t xml:space="preserve"> </w:t>
      </w:r>
      <w:r w:rsidRPr="00EC20A0">
        <w:t>nature,</w:t>
      </w:r>
      <w:r w:rsidRPr="00EC20A0">
        <w:rPr>
          <w:spacing w:val="-4"/>
        </w:rPr>
        <w:t xml:space="preserve"> </w:t>
      </w:r>
      <w:r w:rsidRPr="00EC20A0">
        <w:t>timing,</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the auditor’s procedures with respect to the requirements of this section;</w:t>
      </w:r>
    </w:p>
    <w:p w14:paraId="24D5FFED" w14:textId="77777777" w:rsidR="00245300" w:rsidRPr="00EC20A0" w:rsidRDefault="00F17249">
      <w:pPr>
        <w:pStyle w:val="ListParagraph"/>
        <w:numPr>
          <w:ilvl w:val="1"/>
          <w:numId w:val="215"/>
        </w:numPr>
        <w:tabs>
          <w:tab w:val="left" w:pos="2218"/>
        </w:tabs>
        <w:spacing w:before="238"/>
        <w:ind w:left="2218"/>
      </w:pPr>
      <w:r w:rsidRPr="00EC20A0">
        <w:t>understanding</w:t>
      </w:r>
      <w:r w:rsidRPr="00EC20A0">
        <w:rPr>
          <w:spacing w:val="-9"/>
        </w:rPr>
        <w:t xml:space="preserve"> </w:t>
      </w:r>
      <w:r w:rsidRPr="00EC20A0">
        <w:t>of</w:t>
      </w:r>
      <w:r w:rsidRPr="00EC20A0">
        <w:rPr>
          <w:spacing w:val="-8"/>
        </w:rPr>
        <w:t xml:space="preserve"> </w:t>
      </w:r>
      <w:r w:rsidRPr="00EC20A0">
        <w:t>the</w:t>
      </w:r>
      <w:r w:rsidRPr="00EC20A0">
        <w:rPr>
          <w:spacing w:val="-8"/>
        </w:rPr>
        <w:t xml:space="preserve"> </w:t>
      </w:r>
      <w:r w:rsidRPr="00EC20A0">
        <w:t>work</w:t>
      </w:r>
      <w:r w:rsidRPr="00EC20A0">
        <w:rPr>
          <w:spacing w:val="-8"/>
        </w:rPr>
        <w:t xml:space="preserve"> </w:t>
      </w:r>
      <w:r w:rsidRPr="00EC20A0">
        <w:t>of</w:t>
      </w:r>
      <w:r w:rsidRPr="00EC20A0">
        <w:rPr>
          <w:spacing w:val="-8"/>
        </w:rPr>
        <w:t xml:space="preserve"> </w:t>
      </w:r>
      <w:r w:rsidRPr="00EC20A0">
        <w:t>management’s</w:t>
      </w:r>
      <w:r w:rsidRPr="00EC20A0">
        <w:rPr>
          <w:spacing w:val="-7"/>
        </w:rPr>
        <w:t xml:space="preserve"> </w:t>
      </w:r>
      <w:r w:rsidRPr="00EC20A0">
        <w:t>specialists;</w:t>
      </w:r>
      <w:r w:rsidRPr="00EC20A0">
        <w:rPr>
          <w:spacing w:val="-8"/>
        </w:rPr>
        <w:t xml:space="preserve"> </w:t>
      </w:r>
      <w:r w:rsidRPr="00EC20A0">
        <w:rPr>
          <w:spacing w:val="-5"/>
        </w:rPr>
        <w:t>and</w:t>
      </w:r>
    </w:p>
    <w:p w14:paraId="24D5FFEE" w14:textId="77777777" w:rsidR="00245300" w:rsidRPr="00EC20A0" w:rsidRDefault="00F17249">
      <w:pPr>
        <w:pStyle w:val="ListParagraph"/>
        <w:numPr>
          <w:ilvl w:val="1"/>
          <w:numId w:val="215"/>
        </w:numPr>
        <w:tabs>
          <w:tab w:val="left" w:pos="2218"/>
        </w:tabs>
        <w:spacing w:before="238"/>
        <w:ind w:left="2218" w:right="1418"/>
      </w:pPr>
      <w:r w:rsidRPr="00EC20A0">
        <w:t>evaluation</w:t>
      </w:r>
      <w:r w:rsidRPr="00EC20A0">
        <w:rPr>
          <w:spacing w:val="-6"/>
        </w:rPr>
        <w:t xml:space="preserve"> </w:t>
      </w:r>
      <w:r w:rsidRPr="00EC20A0">
        <w:t>of</w:t>
      </w:r>
      <w:r w:rsidRPr="00EC20A0">
        <w:rPr>
          <w:spacing w:val="-6"/>
        </w:rPr>
        <w:t xml:space="preserve"> </w:t>
      </w:r>
      <w:r w:rsidRPr="00EC20A0">
        <w:t>whether</w:t>
      </w:r>
      <w:r w:rsidRPr="00EC20A0">
        <w:rPr>
          <w:spacing w:val="-6"/>
        </w:rPr>
        <w:t xml:space="preserve"> </w:t>
      </w:r>
      <w:r w:rsidRPr="00EC20A0">
        <w:t>management’s</w:t>
      </w:r>
      <w:r w:rsidRPr="00EC20A0">
        <w:rPr>
          <w:spacing w:val="-6"/>
        </w:rPr>
        <w:t xml:space="preserve"> </w:t>
      </w:r>
      <w:r w:rsidRPr="00EC20A0">
        <w:t>specialists</w:t>
      </w:r>
      <w:r w:rsidRPr="00EC20A0">
        <w:rPr>
          <w:spacing w:val="-7"/>
        </w:rPr>
        <w:t xml:space="preserve"> </w:t>
      </w:r>
      <w:r w:rsidRPr="00EC20A0">
        <w:t>have</w:t>
      </w:r>
      <w:r w:rsidRPr="00EC20A0">
        <w:rPr>
          <w:spacing w:val="-6"/>
        </w:rPr>
        <w:t xml:space="preserve"> </w:t>
      </w:r>
      <w:r w:rsidRPr="00EC20A0">
        <w:t>the</w:t>
      </w:r>
      <w:r w:rsidRPr="00EC20A0">
        <w:rPr>
          <w:spacing w:val="-6"/>
        </w:rPr>
        <w:t xml:space="preserve"> </w:t>
      </w:r>
      <w:r w:rsidRPr="00EC20A0">
        <w:t>necessary competence, capabilities, and objectivity for the auditor’s purposes.</w:t>
      </w:r>
    </w:p>
    <w:p w14:paraId="24D5FFEF" w14:textId="77777777" w:rsidR="00245300" w:rsidRPr="00EC20A0" w:rsidRDefault="00245300">
      <w:pPr>
        <w:sectPr w:rsidR="00245300" w:rsidRPr="00EC20A0">
          <w:pgSz w:w="12240" w:h="15840"/>
          <w:pgMar w:top="1340" w:right="940" w:bottom="940" w:left="1020" w:header="721" w:footer="757" w:gutter="0"/>
          <w:cols w:space="720"/>
        </w:sectPr>
      </w:pPr>
    </w:p>
    <w:p w14:paraId="24D5FFF0" w14:textId="77777777" w:rsidR="00245300" w:rsidRPr="00EC20A0" w:rsidRDefault="00F17249">
      <w:pPr>
        <w:pStyle w:val="ListParagraph"/>
        <w:numPr>
          <w:ilvl w:val="0"/>
          <w:numId w:val="215"/>
        </w:numPr>
        <w:tabs>
          <w:tab w:val="left" w:pos="1859"/>
        </w:tabs>
        <w:spacing w:before="121"/>
        <w:ind w:left="1859" w:right="505" w:hanging="720"/>
      </w:pPr>
      <w:r w:rsidRPr="00EC20A0">
        <w:t>The</w:t>
      </w:r>
      <w:r w:rsidRPr="00EC20A0">
        <w:rPr>
          <w:spacing w:val="-3"/>
        </w:rPr>
        <w:t xml:space="preserve"> </w:t>
      </w:r>
      <w:r w:rsidRPr="00EC20A0">
        <w:t>auditor</w:t>
      </w:r>
      <w:r w:rsidRPr="00EC20A0">
        <w:rPr>
          <w:spacing w:val="-4"/>
        </w:rPr>
        <w:t xml:space="preserve"> </w:t>
      </w:r>
      <w:r w:rsidRPr="00EC20A0">
        <w:t>should</w:t>
      </w:r>
      <w:r w:rsidRPr="00EC20A0">
        <w:rPr>
          <w:spacing w:val="-3"/>
        </w:rPr>
        <w:t xml:space="preserve"> </w:t>
      </w:r>
      <w:r w:rsidRPr="00EC20A0">
        <w:t>document</w:t>
      </w:r>
      <w:r w:rsidRPr="00EC20A0">
        <w:rPr>
          <w:spacing w:val="-3"/>
        </w:rPr>
        <w:t xml:space="preserve"> </w:t>
      </w:r>
      <w:r w:rsidRPr="00EC20A0">
        <w:t>the</w:t>
      </w:r>
      <w:r w:rsidRPr="00EC20A0">
        <w:rPr>
          <w:spacing w:val="-4"/>
        </w:rPr>
        <w:t xml:space="preserve"> </w:t>
      </w:r>
      <w:r w:rsidRPr="00EC20A0">
        <w:t>evaluation</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appropriateness</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work</w:t>
      </w:r>
      <w:r w:rsidRPr="00EC20A0">
        <w:rPr>
          <w:spacing w:val="-3"/>
        </w:rPr>
        <w:t xml:space="preserve"> </w:t>
      </w:r>
      <w:r w:rsidRPr="00EC20A0">
        <w:t>of management’s specialists as audit evidence for the significant assertion in the audit summary memorandum, including the auditor’s conclusions on the</w:t>
      </w:r>
    </w:p>
    <w:p w14:paraId="24D5FFF1" w14:textId="77777777" w:rsidR="00245300" w:rsidRPr="00EC20A0" w:rsidRDefault="00F17249">
      <w:pPr>
        <w:pStyle w:val="ListParagraph"/>
        <w:numPr>
          <w:ilvl w:val="1"/>
          <w:numId w:val="215"/>
        </w:numPr>
        <w:tabs>
          <w:tab w:val="left" w:pos="2219"/>
        </w:tabs>
        <w:spacing w:before="239"/>
        <w:ind w:left="2219" w:right="856"/>
      </w:pPr>
      <w:r w:rsidRPr="00EC20A0">
        <w:t xml:space="preserve">relevance and reasonableness of the findings and conclusions of </w:t>
      </w:r>
      <w:r w:rsidRPr="00EC20A0">
        <w:t>management’s</w:t>
      </w:r>
      <w:r w:rsidRPr="00EC20A0">
        <w:rPr>
          <w:spacing w:val="-5"/>
        </w:rPr>
        <w:t xml:space="preserve"> </w:t>
      </w:r>
      <w:r w:rsidRPr="00EC20A0">
        <w:t>specialists</w:t>
      </w:r>
      <w:r w:rsidRPr="00EC20A0">
        <w:rPr>
          <w:spacing w:val="-5"/>
        </w:rPr>
        <w:t xml:space="preserve"> </w:t>
      </w:r>
      <w:r w:rsidRPr="00EC20A0">
        <w:t>and</w:t>
      </w:r>
      <w:r w:rsidRPr="00EC20A0">
        <w:rPr>
          <w:spacing w:val="-5"/>
        </w:rPr>
        <w:t xml:space="preserve"> </w:t>
      </w:r>
      <w:r w:rsidRPr="00EC20A0">
        <w:t>their</w:t>
      </w:r>
      <w:r w:rsidRPr="00EC20A0">
        <w:rPr>
          <w:spacing w:val="-5"/>
        </w:rPr>
        <w:t xml:space="preserve"> </w:t>
      </w:r>
      <w:r w:rsidRPr="00EC20A0">
        <w:t>consistency</w:t>
      </w:r>
      <w:r w:rsidRPr="00EC20A0">
        <w:rPr>
          <w:spacing w:val="-6"/>
        </w:rPr>
        <w:t xml:space="preserve"> </w:t>
      </w:r>
      <w:r w:rsidRPr="00EC20A0">
        <w:t>with</w:t>
      </w:r>
      <w:r w:rsidRPr="00EC20A0">
        <w:rPr>
          <w:spacing w:val="-5"/>
        </w:rPr>
        <w:t xml:space="preserve"> </w:t>
      </w:r>
      <w:r w:rsidRPr="00EC20A0">
        <w:t>other</w:t>
      </w:r>
      <w:r w:rsidRPr="00EC20A0">
        <w:rPr>
          <w:spacing w:val="-5"/>
        </w:rPr>
        <w:t xml:space="preserve"> </w:t>
      </w:r>
      <w:r w:rsidRPr="00EC20A0">
        <w:t>audit</w:t>
      </w:r>
      <w:r w:rsidRPr="00EC20A0">
        <w:rPr>
          <w:spacing w:val="-5"/>
        </w:rPr>
        <w:t xml:space="preserve"> </w:t>
      </w:r>
      <w:r w:rsidRPr="00EC20A0">
        <w:t>evidence;</w:t>
      </w:r>
    </w:p>
    <w:p w14:paraId="24D5FFF2" w14:textId="77777777" w:rsidR="00245300" w:rsidRPr="00EC20A0" w:rsidRDefault="00F17249">
      <w:pPr>
        <w:pStyle w:val="ListParagraph"/>
        <w:numPr>
          <w:ilvl w:val="1"/>
          <w:numId w:val="215"/>
        </w:numPr>
        <w:tabs>
          <w:tab w:val="left" w:pos="2219"/>
        </w:tabs>
        <w:spacing w:before="238"/>
        <w:ind w:left="2219" w:right="732" w:hanging="361"/>
      </w:pPr>
      <w:r w:rsidRPr="00EC20A0">
        <w:t>relevance</w:t>
      </w:r>
      <w:r w:rsidRPr="00EC20A0">
        <w:rPr>
          <w:spacing w:val="-5"/>
        </w:rPr>
        <w:t xml:space="preserve"> </w:t>
      </w:r>
      <w:r w:rsidRPr="00EC20A0">
        <w:t>and</w:t>
      </w:r>
      <w:r w:rsidRPr="00EC20A0">
        <w:rPr>
          <w:spacing w:val="-5"/>
        </w:rPr>
        <w:t xml:space="preserve"> </w:t>
      </w:r>
      <w:r w:rsidRPr="00EC20A0">
        <w:t>reasonableness</w:t>
      </w:r>
      <w:r w:rsidRPr="00EC20A0">
        <w:rPr>
          <w:spacing w:val="-4"/>
        </w:rPr>
        <w:t xml:space="preserve"> </w:t>
      </w:r>
      <w:r w:rsidRPr="00EC20A0">
        <w:t>of</w:t>
      </w:r>
      <w:r w:rsidRPr="00EC20A0">
        <w:rPr>
          <w:spacing w:val="-5"/>
        </w:rPr>
        <w:t xml:space="preserve"> </w:t>
      </w:r>
      <w:r w:rsidRPr="00EC20A0">
        <w:t>any</w:t>
      </w:r>
      <w:r w:rsidRPr="00EC20A0">
        <w:rPr>
          <w:spacing w:val="-5"/>
        </w:rPr>
        <w:t xml:space="preserve"> </w:t>
      </w:r>
      <w:r w:rsidRPr="00EC20A0">
        <w:t>significant</w:t>
      </w:r>
      <w:r w:rsidRPr="00EC20A0">
        <w:rPr>
          <w:spacing w:val="-6"/>
        </w:rPr>
        <w:t xml:space="preserve"> </w:t>
      </w:r>
      <w:r w:rsidRPr="00EC20A0">
        <w:t>assumptions</w:t>
      </w:r>
      <w:r w:rsidRPr="00EC20A0">
        <w:rPr>
          <w:spacing w:val="-5"/>
        </w:rPr>
        <w:t xml:space="preserve"> </w:t>
      </w:r>
      <w:r w:rsidRPr="00EC20A0">
        <w:t>and</w:t>
      </w:r>
      <w:r w:rsidRPr="00EC20A0">
        <w:rPr>
          <w:spacing w:val="-5"/>
        </w:rPr>
        <w:t xml:space="preserve"> </w:t>
      </w:r>
      <w:r w:rsidRPr="00EC20A0">
        <w:t>methods used by management’s specialists; and</w:t>
      </w:r>
    </w:p>
    <w:p w14:paraId="24D5FFF3" w14:textId="77777777" w:rsidR="00245300" w:rsidRPr="00EC20A0" w:rsidRDefault="00F17249">
      <w:pPr>
        <w:pStyle w:val="ListParagraph"/>
        <w:numPr>
          <w:ilvl w:val="1"/>
          <w:numId w:val="215"/>
        </w:numPr>
        <w:tabs>
          <w:tab w:val="left" w:pos="2219"/>
        </w:tabs>
        <w:spacing w:before="238"/>
        <w:ind w:left="2219" w:right="1147"/>
      </w:pPr>
      <w:r w:rsidRPr="00EC20A0">
        <w:t>the</w:t>
      </w:r>
      <w:r w:rsidRPr="00EC20A0">
        <w:rPr>
          <w:spacing w:val="-4"/>
        </w:rPr>
        <w:t xml:space="preserve"> </w:t>
      </w:r>
      <w:r w:rsidRPr="00EC20A0">
        <w:t>relevance,</w:t>
      </w:r>
      <w:r w:rsidRPr="00EC20A0">
        <w:rPr>
          <w:spacing w:val="-4"/>
        </w:rPr>
        <w:t xml:space="preserve"> </w:t>
      </w:r>
      <w:r w:rsidRPr="00EC20A0">
        <w:t>completeness,</w:t>
      </w:r>
      <w:r w:rsidRPr="00EC20A0">
        <w:rPr>
          <w:spacing w:val="-4"/>
        </w:rPr>
        <w:t xml:space="preserve"> </w:t>
      </w:r>
      <w:r w:rsidRPr="00EC20A0">
        <w:t>and</w:t>
      </w:r>
      <w:r w:rsidRPr="00EC20A0">
        <w:rPr>
          <w:spacing w:val="-4"/>
        </w:rPr>
        <w:t xml:space="preserve"> </w:t>
      </w:r>
      <w:r w:rsidRPr="00EC20A0">
        <w:t>accuracy</w:t>
      </w:r>
      <w:r w:rsidRPr="00EC20A0">
        <w:rPr>
          <w:spacing w:val="-4"/>
        </w:rPr>
        <w:t xml:space="preserve"> </w:t>
      </w:r>
      <w:r w:rsidRPr="00EC20A0">
        <w:t>of</w:t>
      </w:r>
      <w:r w:rsidRPr="00EC20A0">
        <w:rPr>
          <w:spacing w:val="-4"/>
        </w:rPr>
        <w:t xml:space="preserve"> </w:t>
      </w:r>
      <w:r w:rsidRPr="00EC20A0">
        <w:t>any</w:t>
      </w:r>
      <w:r w:rsidRPr="00EC20A0">
        <w:rPr>
          <w:spacing w:val="-4"/>
        </w:rPr>
        <w:t xml:space="preserve"> </w:t>
      </w:r>
      <w:r w:rsidRPr="00EC20A0">
        <w:t>source</w:t>
      </w:r>
      <w:r w:rsidRPr="00EC20A0">
        <w:rPr>
          <w:spacing w:val="-4"/>
        </w:rPr>
        <w:t xml:space="preserve"> </w:t>
      </w:r>
      <w:r w:rsidRPr="00EC20A0">
        <w:t>data</w:t>
      </w:r>
      <w:r w:rsidRPr="00EC20A0">
        <w:rPr>
          <w:spacing w:val="-4"/>
        </w:rPr>
        <w:t xml:space="preserve"> </w:t>
      </w:r>
      <w:r w:rsidRPr="00EC20A0">
        <w:t>that</w:t>
      </w:r>
      <w:r w:rsidRPr="00EC20A0">
        <w:rPr>
          <w:spacing w:val="-4"/>
        </w:rPr>
        <w:t xml:space="preserve"> </w:t>
      </w:r>
      <w:r w:rsidRPr="00EC20A0">
        <w:t xml:space="preserve">are </w:t>
      </w:r>
      <w:r w:rsidRPr="00EC20A0">
        <w:t>significant to the work of management’s specialists.</w:t>
      </w:r>
    </w:p>
    <w:p w14:paraId="24D5FFF4" w14:textId="77777777" w:rsidR="00245300" w:rsidRPr="00EC20A0" w:rsidRDefault="00F17249">
      <w:pPr>
        <w:pStyle w:val="BodyText"/>
        <w:spacing w:before="239"/>
        <w:ind w:left="1859"/>
      </w:pPr>
      <w:r w:rsidRPr="00EC20A0">
        <w:t>In</w:t>
      </w:r>
      <w:r w:rsidRPr="00EC20A0">
        <w:rPr>
          <w:spacing w:val="-4"/>
        </w:rPr>
        <w:t xml:space="preserve"> </w:t>
      </w:r>
      <w:r w:rsidRPr="00EC20A0">
        <w:t>the</w:t>
      </w:r>
      <w:r w:rsidRPr="00EC20A0">
        <w:rPr>
          <w:spacing w:val="-4"/>
        </w:rPr>
        <w:t xml:space="preserve"> </w:t>
      </w:r>
      <w:r w:rsidRPr="00EC20A0">
        <w:t>memorandum,</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may</w:t>
      </w:r>
      <w:r w:rsidRPr="00EC20A0">
        <w:rPr>
          <w:spacing w:val="-3"/>
        </w:rPr>
        <w:t xml:space="preserve"> </w:t>
      </w:r>
      <w:r w:rsidRPr="00EC20A0">
        <w:t>refer</w:t>
      </w:r>
      <w:r w:rsidRPr="00EC20A0">
        <w:rPr>
          <w:spacing w:val="-4"/>
        </w:rPr>
        <w:t xml:space="preserve"> </w:t>
      </w:r>
      <w:r w:rsidRPr="00EC20A0">
        <w:t>to</w:t>
      </w:r>
      <w:r w:rsidRPr="00EC20A0">
        <w:rPr>
          <w:spacing w:val="-4"/>
        </w:rPr>
        <w:t xml:space="preserve"> </w:t>
      </w:r>
      <w:r w:rsidRPr="00EC20A0">
        <w:t>other</w:t>
      </w:r>
      <w:r w:rsidRPr="00EC20A0">
        <w:rPr>
          <w:spacing w:val="-4"/>
        </w:rPr>
        <w:t xml:space="preserve"> </w:t>
      </w:r>
      <w:r w:rsidRPr="00EC20A0">
        <w:t>documentation</w:t>
      </w:r>
      <w:r w:rsidRPr="00EC20A0">
        <w:rPr>
          <w:spacing w:val="-4"/>
        </w:rPr>
        <w:t xml:space="preserve"> </w:t>
      </w:r>
      <w:r w:rsidRPr="00EC20A0">
        <w:t>where</w:t>
      </w:r>
      <w:r w:rsidRPr="00EC20A0">
        <w:rPr>
          <w:spacing w:val="-4"/>
        </w:rPr>
        <w:t xml:space="preserve"> </w:t>
      </w:r>
      <w:r w:rsidRPr="00EC20A0">
        <w:t>this information is described in more detail.</w:t>
      </w:r>
    </w:p>
    <w:p w14:paraId="24D5FFF5" w14:textId="77777777" w:rsidR="00245300" w:rsidRPr="00EC20A0" w:rsidRDefault="00245300">
      <w:pPr>
        <w:sectPr w:rsidR="00245300" w:rsidRPr="00EC20A0">
          <w:pgSz w:w="12240" w:h="15840"/>
          <w:pgMar w:top="1340" w:right="940" w:bottom="940" w:left="1020" w:header="721" w:footer="757" w:gutter="0"/>
          <w:cols w:space="720"/>
        </w:sectPr>
      </w:pPr>
    </w:p>
    <w:p w14:paraId="24D5FFF6" w14:textId="77777777" w:rsidR="00245300" w:rsidRPr="00EC20A0" w:rsidRDefault="00F17249">
      <w:pPr>
        <w:pStyle w:val="Heading3"/>
        <w:spacing w:before="241"/>
        <w:ind w:left="420"/>
        <w:rPr>
          <w:u w:val="none"/>
        </w:rPr>
      </w:pPr>
      <w:bookmarkStart w:id="48" w:name="630_–_Audits_of_Group_Financial_Statemen"/>
      <w:bookmarkStart w:id="49" w:name="_bookmark14"/>
      <w:bookmarkEnd w:id="48"/>
      <w:bookmarkEnd w:id="49"/>
      <w:r w:rsidRPr="00EC20A0">
        <w:t>630</w:t>
      </w:r>
      <w:r w:rsidRPr="00EC20A0">
        <w:rPr>
          <w:spacing w:val="-6"/>
        </w:rPr>
        <w:t xml:space="preserve"> </w:t>
      </w:r>
      <w:r w:rsidRPr="00EC20A0">
        <w:t>–</w:t>
      </w:r>
      <w:r w:rsidRPr="00EC20A0">
        <w:rPr>
          <w:spacing w:val="-14"/>
        </w:rPr>
        <w:t xml:space="preserve"> </w:t>
      </w:r>
      <w:r w:rsidRPr="00EC20A0">
        <w:t>Audits</w:t>
      </w:r>
      <w:r w:rsidRPr="00EC20A0">
        <w:rPr>
          <w:spacing w:val="-2"/>
        </w:rPr>
        <w:t xml:space="preserve"> </w:t>
      </w:r>
      <w:r w:rsidRPr="00EC20A0">
        <w:t>of</w:t>
      </w:r>
      <w:r w:rsidRPr="00EC20A0">
        <w:rPr>
          <w:spacing w:val="-5"/>
        </w:rPr>
        <w:t xml:space="preserve"> </w:t>
      </w:r>
      <w:r w:rsidRPr="00EC20A0">
        <w:t>Group</w:t>
      </w:r>
      <w:r w:rsidRPr="00EC20A0">
        <w:rPr>
          <w:spacing w:val="-4"/>
        </w:rPr>
        <w:t xml:space="preserve"> </w:t>
      </w:r>
      <w:r w:rsidRPr="00EC20A0">
        <w:t>Financial</w:t>
      </w:r>
      <w:r w:rsidRPr="00EC20A0">
        <w:rPr>
          <w:spacing w:val="-3"/>
        </w:rPr>
        <w:t xml:space="preserve"> </w:t>
      </w:r>
      <w:r w:rsidRPr="00EC20A0">
        <w:rPr>
          <w:spacing w:val="-2"/>
        </w:rPr>
        <w:t>Statements</w:t>
      </w:r>
    </w:p>
    <w:p w14:paraId="24D5FFF7" w14:textId="77777777" w:rsidR="00245300" w:rsidRPr="00EC20A0" w:rsidRDefault="00F17249">
      <w:pPr>
        <w:pStyle w:val="Heading4"/>
      </w:pPr>
      <w:r w:rsidRPr="00EC20A0">
        <w:rPr>
          <w:spacing w:val="-2"/>
        </w:rPr>
        <w:t>Overview</w:t>
      </w:r>
    </w:p>
    <w:p w14:paraId="24D5FFF8" w14:textId="77777777" w:rsidR="00245300" w:rsidRPr="00EC20A0" w:rsidRDefault="00F17249">
      <w:pPr>
        <w:pStyle w:val="ListParagraph"/>
        <w:numPr>
          <w:ilvl w:val="0"/>
          <w:numId w:val="18"/>
        </w:numPr>
        <w:tabs>
          <w:tab w:val="left" w:pos="1859"/>
        </w:tabs>
        <w:ind w:right="588"/>
      </w:pPr>
      <w:r w:rsidRPr="00EC20A0">
        <w:t xml:space="preserve">FAM 630 </w:t>
      </w:r>
      <w:r w:rsidRPr="00EC20A0">
        <w:t>provides guidance to auditors on designing and performing a group audit.</w:t>
      </w:r>
      <w:hyperlink w:anchor="_bookmark15" w:history="1">
        <w:r w:rsidRPr="00EC20A0">
          <w:rPr>
            <w:position w:val="7"/>
            <w:sz w:val="14"/>
          </w:rPr>
          <w:t>10</w:t>
        </w:r>
      </w:hyperlink>
      <w:r w:rsidRPr="00EC20A0">
        <w:rPr>
          <w:spacing w:val="40"/>
          <w:position w:val="7"/>
          <w:sz w:val="14"/>
        </w:rPr>
        <w:t xml:space="preserve"> </w:t>
      </w:r>
      <w:r w:rsidRPr="00EC20A0">
        <w:t xml:space="preserve">AU-C 600A, </w:t>
      </w:r>
      <w:r w:rsidRPr="00EC20A0">
        <w:rPr>
          <w:i/>
        </w:rPr>
        <w:t>Special Considerations</w:t>
      </w:r>
      <w:r w:rsidRPr="00EC20A0">
        <w:rPr>
          <w:i/>
          <w:sz w:val="23"/>
        </w:rPr>
        <w:t>—</w:t>
      </w:r>
      <w:r w:rsidRPr="00EC20A0">
        <w:rPr>
          <w:i/>
        </w:rPr>
        <w:t>Audits of Group Financial Statements</w:t>
      </w:r>
      <w:r w:rsidRPr="00EC20A0">
        <w:rPr>
          <w:i/>
          <w:spacing w:val="-4"/>
        </w:rPr>
        <w:t xml:space="preserve"> </w:t>
      </w:r>
      <w:r w:rsidRPr="00EC20A0">
        <w:rPr>
          <w:i/>
        </w:rPr>
        <w:t>(Including</w:t>
      </w:r>
      <w:r w:rsidRPr="00EC20A0">
        <w:rPr>
          <w:i/>
          <w:spacing w:val="-4"/>
        </w:rPr>
        <w:t xml:space="preserve"> </w:t>
      </w:r>
      <w:r w:rsidRPr="00EC20A0">
        <w:rPr>
          <w:i/>
        </w:rPr>
        <w:t>the</w:t>
      </w:r>
      <w:r w:rsidRPr="00EC20A0">
        <w:rPr>
          <w:i/>
          <w:spacing w:val="-4"/>
        </w:rPr>
        <w:t xml:space="preserve"> </w:t>
      </w:r>
      <w:r w:rsidRPr="00EC20A0">
        <w:rPr>
          <w:i/>
        </w:rPr>
        <w:t>Work</w:t>
      </w:r>
      <w:r w:rsidRPr="00EC20A0">
        <w:rPr>
          <w:i/>
          <w:spacing w:val="-4"/>
        </w:rPr>
        <w:t xml:space="preserve"> </w:t>
      </w:r>
      <w:r w:rsidRPr="00EC20A0">
        <w:rPr>
          <w:i/>
        </w:rPr>
        <w:t>of</w:t>
      </w:r>
      <w:r w:rsidRPr="00EC20A0">
        <w:rPr>
          <w:i/>
          <w:spacing w:val="-4"/>
        </w:rPr>
        <w:t xml:space="preserve"> </w:t>
      </w:r>
      <w:r w:rsidRPr="00EC20A0">
        <w:rPr>
          <w:i/>
        </w:rPr>
        <w:t>Component</w:t>
      </w:r>
      <w:r w:rsidRPr="00EC20A0">
        <w:rPr>
          <w:i/>
          <w:spacing w:val="-4"/>
        </w:rPr>
        <w:t xml:space="preserve"> </w:t>
      </w:r>
      <w:r w:rsidRPr="00EC20A0">
        <w:rPr>
          <w:i/>
        </w:rPr>
        <w:t>Auditors),</w:t>
      </w:r>
      <w:r w:rsidRPr="00EC20A0">
        <w:rPr>
          <w:i/>
          <w:spacing w:val="-4"/>
        </w:rPr>
        <w:t xml:space="preserve"> </w:t>
      </w:r>
      <w:r w:rsidRPr="00EC20A0">
        <w:t>also</w:t>
      </w:r>
      <w:r w:rsidRPr="00EC20A0">
        <w:rPr>
          <w:spacing w:val="-4"/>
        </w:rPr>
        <w:t xml:space="preserve"> </w:t>
      </w:r>
      <w:r w:rsidRPr="00EC20A0">
        <w:t>provides</w:t>
      </w:r>
      <w:r w:rsidRPr="00EC20A0">
        <w:rPr>
          <w:spacing w:val="-4"/>
        </w:rPr>
        <w:t xml:space="preserve"> </w:t>
      </w:r>
      <w:r w:rsidRPr="00EC20A0">
        <w:t>guidance in this area. This standard has different requirements depending on whether the group auditor elects to make reference or to not make reference to the work performed by the component auditors. Under AU-C 600A, the principal auditor (formerly under AU 543) is now referred to as group engagement partner, group engagement</w:t>
      </w:r>
      <w:r w:rsidRPr="00EC20A0">
        <w:rPr>
          <w:spacing w:val="-4"/>
        </w:rPr>
        <w:t xml:space="preserve"> </w:t>
      </w:r>
      <w:r w:rsidRPr="00EC20A0">
        <w:t>team,</w:t>
      </w:r>
      <w:r w:rsidRPr="00EC20A0">
        <w:rPr>
          <w:spacing w:val="-4"/>
        </w:rPr>
        <w:t xml:space="preserve"> </w:t>
      </w:r>
      <w:r w:rsidRPr="00EC20A0">
        <w:t>auditor</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or</w:t>
      </w:r>
      <w:r w:rsidRPr="00EC20A0">
        <w:rPr>
          <w:spacing w:val="-4"/>
        </w:rPr>
        <w:t xml:space="preserve"> </w:t>
      </w:r>
      <w:r w:rsidRPr="00EC20A0">
        <w:t>group</w:t>
      </w:r>
      <w:r w:rsidRPr="00EC20A0">
        <w:rPr>
          <w:spacing w:val="-4"/>
        </w:rPr>
        <w:t xml:space="preserve"> </w:t>
      </w:r>
      <w:r w:rsidRPr="00EC20A0">
        <w:t>auditor;</w:t>
      </w:r>
      <w:r w:rsidRPr="00EC20A0">
        <w:rPr>
          <w:spacing w:val="-4"/>
        </w:rPr>
        <w:t xml:space="preserve"> </w:t>
      </w:r>
      <w:r w:rsidRPr="00EC20A0">
        <w:t>all of these terms are used interchangeably throughout this section.</w:t>
      </w:r>
    </w:p>
    <w:p w14:paraId="24D5FFF9" w14:textId="77777777" w:rsidR="00245300" w:rsidRPr="00EC20A0" w:rsidRDefault="00F17249">
      <w:pPr>
        <w:pStyle w:val="ListParagraph"/>
        <w:numPr>
          <w:ilvl w:val="0"/>
          <w:numId w:val="18"/>
        </w:numPr>
        <w:tabs>
          <w:tab w:val="left" w:pos="1861"/>
        </w:tabs>
        <w:ind w:left="1861" w:right="541"/>
      </w:pPr>
      <w:r w:rsidRPr="00EC20A0">
        <w:t>The</w:t>
      </w:r>
      <w:r w:rsidRPr="00EC20A0">
        <w:rPr>
          <w:spacing w:val="-3"/>
        </w:rPr>
        <w:t xml:space="preserve"> </w:t>
      </w:r>
      <w:r w:rsidRPr="00EC20A0">
        <w:t>objectives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are</w:t>
      </w:r>
      <w:r w:rsidRPr="00EC20A0">
        <w:rPr>
          <w:spacing w:val="-3"/>
        </w:rPr>
        <w:t xml:space="preserve"> </w:t>
      </w:r>
      <w:r w:rsidRPr="00EC20A0">
        <w:t>to</w:t>
      </w:r>
      <w:r w:rsidRPr="00EC20A0">
        <w:rPr>
          <w:spacing w:val="-4"/>
        </w:rPr>
        <w:t xml:space="preserve"> </w:t>
      </w:r>
      <w:r w:rsidRPr="00EC20A0">
        <w:t>determine</w:t>
      </w:r>
      <w:r w:rsidRPr="00EC20A0">
        <w:rPr>
          <w:spacing w:val="-3"/>
        </w:rPr>
        <w:t xml:space="preserve"> </w:t>
      </w:r>
      <w:r w:rsidRPr="00EC20A0">
        <w:t>whether</w:t>
      </w:r>
      <w:r w:rsidRPr="00EC20A0">
        <w:rPr>
          <w:spacing w:val="-3"/>
        </w:rPr>
        <w:t xml:space="preserve"> </w:t>
      </w:r>
      <w:r w:rsidRPr="00EC20A0">
        <w:t>to</w:t>
      </w:r>
      <w:r w:rsidRPr="00EC20A0">
        <w:rPr>
          <w:spacing w:val="-3"/>
        </w:rPr>
        <w:t xml:space="preserve"> </w:t>
      </w:r>
      <w:r w:rsidRPr="00EC20A0">
        <w:t>act</w:t>
      </w:r>
      <w:r w:rsidRPr="00EC20A0">
        <w:rPr>
          <w:spacing w:val="-4"/>
        </w:rPr>
        <w:t xml:space="preserve"> </w:t>
      </w:r>
      <w:r w:rsidRPr="00EC20A0">
        <w:t>as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of</w:t>
      </w:r>
      <w:r w:rsidRPr="00EC20A0">
        <w:rPr>
          <w:spacing w:val="-3"/>
        </w:rPr>
        <w:t xml:space="preserve"> </w:t>
      </w:r>
      <w:r w:rsidRPr="00EC20A0">
        <w:t>the group financial statements and, if so, to</w:t>
      </w:r>
    </w:p>
    <w:p w14:paraId="24D5FFFA" w14:textId="77777777" w:rsidR="00245300" w:rsidRPr="00EC20A0" w:rsidRDefault="00F17249">
      <w:pPr>
        <w:pStyle w:val="ListParagraph"/>
        <w:numPr>
          <w:ilvl w:val="1"/>
          <w:numId w:val="18"/>
        </w:numPr>
        <w:tabs>
          <w:tab w:val="left" w:pos="2220"/>
        </w:tabs>
        <w:spacing w:before="239"/>
        <w:ind w:right="707"/>
      </w:pPr>
      <w:r w:rsidRPr="00EC20A0">
        <w:t>determine</w:t>
      </w:r>
      <w:r w:rsidRPr="00EC20A0">
        <w:rPr>
          <w:spacing w:val="-3"/>
        </w:rPr>
        <w:t xml:space="preserve"> </w:t>
      </w:r>
      <w:r w:rsidRPr="00EC20A0">
        <w:t>whether</w:t>
      </w:r>
      <w:r w:rsidRPr="00EC20A0">
        <w:rPr>
          <w:spacing w:val="-3"/>
        </w:rPr>
        <w:t xml:space="preserve"> </w:t>
      </w:r>
      <w:r w:rsidRPr="00EC20A0">
        <w:t>to</w:t>
      </w:r>
      <w:r w:rsidRPr="00EC20A0">
        <w:rPr>
          <w:spacing w:val="-3"/>
        </w:rPr>
        <w:t xml:space="preserve"> </w:t>
      </w:r>
      <w:r w:rsidRPr="00EC20A0">
        <w:t>make</w:t>
      </w:r>
      <w:r w:rsidRPr="00EC20A0">
        <w:rPr>
          <w:spacing w:val="-3"/>
        </w:rPr>
        <w:t xml:space="preserve"> </w:t>
      </w:r>
      <w:r w:rsidRPr="00EC20A0">
        <w:t>reference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of</w:t>
      </w:r>
      <w:r w:rsidRPr="00EC20A0">
        <w:rPr>
          <w:spacing w:val="-3"/>
        </w:rPr>
        <w:t xml:space="preserve"> </w:t>
      </w:r>
      <w:r w:rsidRPr="00EC20A0">
        <w:t>a</w:t>
      </w:r>
      <w:r w:rsidRPr="00EC20A0">
        <w:rPr>
          <w:spacing w:val="-3"/>
        </w:rPr>
        <w:t xml:space="preserve"> </w:t>
      </w:r>
      <w:r w:rsidRPr="00EC20A0">
        <w:t>component</w:t>
      </w:r>
      <w:r w:rsidRPr="00EC20A0">
        <w:rPr>
          <w:spacing w:val="-3"/>
        </w:rPr>
        <w:t xml:space="preserve"> </w:t>
      </w:r>
      <w:r w:rsidRPr="00EC20A0">
        <w:t>auditor</w:t>
      </w:r>
      <w:r w:rsidRPr="00EC20A0">
        <w:rPr>
          <w:spacing w:val="-5"/>
        </w:rPr>
        <w:t xml:space="preserve"> </w:t>
      </w:r>
      <w:r w:rsidRPr="00EC20A0">
        <w:t>in the auditor’s report on the group financial statements;</w:t>
      </w:r>
    </w:p>
    <w:p w14:paraId="24D5FFFB" w14:textId="77777777" w:rsidR="00245300" w:rsidRPr="00EC20A0" w:rsidRDefault="00F17249">
      <w:pPr>
        <w:pStyle w:val="ListParagraph"/>
        <w:numPr>
          <w:ilvl w:val="1"/>
          <w:numId w:val="18"/>
        </w:numPr>
        <w:tabs>
          <w:tab w:val="left" w:pos="2220"/>
        </w:tabs>
        <w:spacing w:before="238"/>
      </w:pPr>
      <w:r w:rsidRPr="00EC20A0">
        <w:t>communicate</w:t>
      </w:r>
      <w:r w:rsidRPr="00EC20A0">
        <w:rPr>
          <w:spacing w:val="-10"/>
        </w:rPr>
        <w:t xml:space="preserve"> </w:t>
      </w:r>
      <w:r w:rsidRPr="00EC20A0">
        <w:t>clearly</w:t>
      </w:r>
      <w:r w:rsidRPr="00EC20A0">
        <w:rPr>
          <w:spacing w:val="-10"/>
        </w:rPr>
        <w:t xml:space="preserve"> </w:t>
      </w:r>
      <w:r w:rsidRPr="00EC20A0">
        <w:t>with</w:t>
      </w:r>
      <w:r w:rsidRPr="00EC20A0">
        <w:rPr>
          <w:spacing w:val="-10"/>
        </w:rPr>
        <w:t xml:space="preserve"> </w:t>
      </w:r>
      <w:r w:rsidRPr="00EC20A0">
        <w:t>component</w:t>
      </w:r>
      <w:r w:rsidRPr="00EC20A0">
        <w:rPr>
          <w:spacing w:val="-9"/>
        </w:rPr>
        <w:t xml:space="preserve"> </w:t>
      </w:r>
      <w:r w:rsidRPr="00EC20A0">
        <w:t>auditors;</w:t>
      </w:r>
      <w:r w:rsidRPr="00EC20A0">
        <w:rPr>
          <w:spacing w:val="-10"/>
        </w:rPr>
        <w:t xml:space="preserve"> </w:t>
      </w:r>
      <w:r w:rsidRPr="00EC20A0">
        <w:rPr>
          <w:spacing w:val="-5"/>
        </w:rPr>
        <w:t>and</w:t>
      </w:r>
    </w:p>
    <w:p w14:paraId="24D5FFFC" w14:textId="77777777" w:rsidR="00245300" w:rsidRPr="00EC20A0" w:rsidRDefault="00F17249">
      <w:pPr>
        <w:pStyle w:val="ListParagraph"/>
        <w:numPr>
          <w:ilvl w:val="1"/>
          <w:numId w:val="18"/>
        </w:numPr>
        <w:tabs>
          <w:tab w:val="left" w:pos="2219"/>
        </w:tabs>
        <w:spacing w:before="239"/>
        <w:ind w:left="2219" w:right="500"/>
      </w:pPr>
      <w:r w:rsidRPr="00EC20A0">
        <w:t>obtain</w:t>
      </w:r>
      <w:r w:rsidRPr="00EC20A0">
        <w:rPr>
          <w:spacing w:val="-5"/>
        </w:rPr>
        <w:t xml:space="preserve"> </w:t>
      </w:r>
      <w:r w:rsidRPr="00EC20A0">
        <w:t>sufficient</w:t>
      </w:r>
      <w:r w:rsidRPr="00EC20A0">
        <w:rPr>
          <w:spacing w:val="-5"/>
        </w:rPr>
        <w:t xml:space="preserve"> </w:t>
      </w:r>
      <w:r w:rsidRPr="00EC20A0">
        <w:t>appropriate</w:t>
      </w:r>
      <w:r w:rsidRPr="00EC20A0">
        <w:rPr>
          <w:spacing w:val="-5"/>
        </w:rPr>
        <w:t xml:space="preserve"> </w:t>
      </w:r>
      <w:r w:rsidRPr="00EC20A0">
        <w:t>audit</w:t>
      </w:r>
      <w:r w:rsidRPr="00EC20A0">
        <w:rPr>
          <w:spacing w:val="-5"/>
        </w:rPr>
        <w:t xml:space="preserve"> </w:t>
      </w:r>
      <w:r w:rsidRPr="00EC20A0">
        <w:t>evidence</w:t>
      </w:r>
      <w:r w:rsidRPr="00EC20A0">
        <w:rPr>
          <w:spacing w:val="-5"/>
        </w:rPr>
        <w:t xml:space="preserve"> </w:t>
      </w:r>
      <w:r w:rsidRPr="00EC20A0">
        <w:t>regarding</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information of</w:t>
      </w:r>
      <w:r w:rsidRPr="00EC20A0">
        <w:rPr>
          <w:spacing w:val="-3"/>
        </w:rPr>
        <w:t xml:space="preserve"> </w:t>
      </w:r>
      <w:r w:rsidRPr="00EC20A0">
        <w:t>the</w:t>
      </w:r>
      <w:r w:rsidRPr="00EC20A0">
        <w:rPr>
          <w:spacing w:val="-3"/>
        </w:rPr>
        <w:t xml:space="preserve"> </w:t>
      </w:r>
      <w:r w:rsidRPr="00EC20A0">
        <w:t>components</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consolidation</w:t>
      </w:r>
      <w:r w:rsidRPr="00EC20A0">
        <w:rPr>
          <w:spacing w:val="-3"/>
        </w:rPr>
        <w:t xml:space="preserve"> </w:t>
      </w:r>
      <w:r w:rsidRPr="00EC20A0">
        <w:t>process</w:t>
      </w:r>
      <w:r w:rsidRPr="00EC20A0">
        <w:rPr>
          <w:spacing w:val="-3"/>
        </w:rPr>
        <w:t xml:space="preserve"> </w:t>
      </w:r>
      <w:r w:rsidRPr="00EC20A0">
        <w:t>to</w:t>
      </w:r>
      <w:r w:rsidRPr="00EC20A0">
        <w:rPr>
          <w:spacing w:val="-3"/>
        </w:rPr>
        <w:t xml:space="preserve"> </w:t>
      </w:r>
      <w:r w:rsidRPr="00EC20A0">
        <w:t>express</w:t>
      </w:r>
      <w:r w:rsidRPr="00EC20A0">
        <w:rPr>
          <w:spacing w:val="-4"/>
        </w:rPr>
        <w:t xml:space="preserve"> </w:t>
      </w:r>
      <w:r w:rsidRPr="00EC20A0">
        <w:t>an</w:t>
      </w:r>
      <w:r w:rsidRPr="00EC20A0">
        <w:rPr>
          <w:spacing w:val="-3"/>
        </w:rPr>
        <w:t xml:space="preserve"> </w:t>
      </w:r>
      <w:r w:rsidRPr="00EC20A0">
        <w:t>opinion</w:t>
      </w:r>
      <w:r w:rsidRPr="00EC20A0">
        <w:rPr>
          <w:spacing w:val="-4"/>
        </w:rPr>
        <w:t xml:space="preserve"> </w:t>
      </w:r>
      <w:r w:rsidRPr="00EC20A0">
        <w:t xml:space="preserve">about whether the group financial statements are prepared, in all </w:t>
      </w:r>
      <w:r w:rsidRPr="00EC20A0">
        <w:t>material respects, in accordance with the applicable financial reporting framework (generally U.S. GAAP).</w:t>
      </w:r>
    </w:p>
    <w:p w14:paraId="24D5FFFD" w14:textId="77777777" w:rsidR="00245300" w:rsidRPr="00EC20A0" w:rsidRDefault="00F17249">
      <w:pPr>
        <w:pStyle w:val="ListParagraph"/>
        <w:numPr>
          <w:ilvl w:val="0"/>
          <w:numId w:val="18"/>
        </w:numPr>
        <w:tabs>
          <w:tab w:val="left" w:pos="1859"/>
        </w:tabs>
        <w:spacing w:before="239"/>
      </w:pPr>
      <w:r w:rsidRPr="00EC20A0">
        <w:t>The</w:t>
      </w:r>
      <w:r w:rsidRPr="00EC20A0">
        <w:rPr>
          <w:spacing w:val="-7"/>
        </w:rPr>
        <w:t xml:space="preserve"> </w:t>
      </w:r>
      <w:r w:rsidRPr="00EC20A0">
        <w:t>group</w:t>
      </w:r>
      <w:r w:rsidRPr="00EC20A0">
        <w:rPr>
          <w:spacing w:val="-6"/>
        </w:rPr>
        <w:t xml:space="preserve"> </w:t>
      </w:r>
      <w:r w:rsidRPr="00EC20A0">
        <w:t>engagement</w:t>
      </w:r>
      <w:r w:rsidRPr="00EC20A0">
        <w:rPr>
          <w:spacing w:val="-6"/>
        </w:rPr>
        <w:t xml:space="preserve"> </w:t>
      </w:r>
      <w:r w:rsidRPr="00EC20A0">
        <w:t>partner</w:t>
      </w:r>
      <w:r w:rsidRPr="00EC20A0">
        <w:rPr>
          <w:spacing w:val="-6"/>
        </w:rPr>
        <w:t xml:space="preserve"> </w:t>
      </w:r>
      <w:r w:rsidRPr="00EC20A0">
        <w:t>is</w:t>
      </w:r>
      <w:r w:rsidRPr="00EC20A0">
        <w:rPr>
          <w:spacing w:val="-6"/>
        </w:rPr>
        <w:t xml:space="preserve"> </w:t>
      </w:r>
      <w:r w:rsidRPr="00EC20A0">
        <w:t>responsible</w:t>
      </w:r>
      <w:r w:rsidRPr="00EC20A0">
        <w:rPr>
          <w:spacing w:val="-7"/>
        </w:rPr>
        <w:t xml:space="preserve"> </w:t>
      </w:r>
      <w:r w:rsidRPr="00EC20A0">
        <w:t>for</w:t>
      </w:r>
      <w:r w:rsidRPr="00EC20A0">
        <w:rPr>
          <w:spacing w:val="-6"/>
        </w:rPr>
        <w:t xml:space="preserve"> </w:t>
      </w:r>
      <w:r w:rsidRPr="00EC20A0">
        <w:t>the</w:t>
      </w:r>
      <w:r w:rsidRPr="00EC20A0">
        <w:rPr>
          <w:spacing w:val="-7"/>
        </w:rPr>
        <w:t xml:space="preserve"> </w:t>
      </w:r>
      <w:r w:rsidRPr="00EC20A0">
        <w:rPr>
          <w:spacing w:val="-2"/>
        </w:rPr>
        <w:t>following:</w:t>
      </w:r>
    </w:p>
    <w:p w14:paraId="24D5FFFE" w14:textId="77777777" w:rsidR="00245300" w:rsidRPr="00EC20A0" w:rsidRDefault="00F17249">
      <w:pPr>
        <w:pStyle w:val="ListParagraph"/>
        <w:numPr>
          <w:ilvl w:val="1"/>
          <w:numId w:val="18"/>
        </w:numPr>
        <w:tabs>
          <w:tab w:val="left" w:pos="2219"/>
        </w:tabs>
        <w:spacing w:before="239"/>
        <w:ind w:left="2219" w:right="1113"/>
      </w:pPr>
      <w:r w:rsidRPr="00EC20A0">
        <w:t>directing, supervising, and performing the group audit engagement in compliance</w:t>
      </w:r>
      <w:r w:rsidRPr="00EC20A0">
        <w:rPr>
          <w:spacing w:val="-7"/>
        </w:rPr>
        <w:t xml:space="preserve"> </w:t>
      </w:r>
      <w:r w:rsidRPr="00EC20A0">
        <w:t>with</w:t>
      </w:r>
      <w:r w:rsidRPr="00EC20A0">
        <w:rPr>
          <w:spacing w:val="-6"/>
        </w:rPr>
        <w:t xml:space="preserve"> </w:t>
      </w:r>
      <w:r w:rsidRPr="00EC20A0">
        <w:t>professional</w:t>
      </w:r>
      <w:r w:rsidRPr="00EC20A0">
        <w:rPr>
          <w:spacing w:val="-6"/>
        </w:rPr>
        <w:t xml:space="preserve"> </w:t>
      </w:r>
      <w:r w:rsidRPr="00EC20A0">
        <w:t>standards,</w:t>
      </w:r>
      <w:r w:rsidRPr="00EC20A0">
        <w:rPr>
          <w:spacing w:val="-6"/>
        </w:rPr>
        <w:t xml:space="preserve"> </w:t>
      </w:r>
      <w:r w:rsidRPr="00EC20A0">
        <w:t>applicable</w:t>
      </w:r>
      <w:r w:rsidRPr="00EC20A0">
        <w:rPr>
          <w:spacing w:val="-6"/>
        </w:rPr>
        <w:t xml:space="preserve"> </w:t>
      </w:r>
      <w:r w:rsidRPr="00EC20A0">
        <w:t>legal</w:t>
      </w:r>
      <w:r w:rsidRPr="00EC20A0">
        <w:rPr>
          <w:spacing w:val="-6"/>
        </w:rPr>
        <w:t xml:space="preserve"> </w:t>
      </w:r>
      <w:r w:rsidRPr="00EC20A0">
        <w:t>and</w:t>
      </w:r>
      <w:r w:rsidRPr="00EC20A0">
        <w:rPr>
          <w:spacing w:val="-6"/>
        </w:rPr>
        <w:t xml:space="preserve"> </w:t>
      </w:r>
      <w:r w:rsidRPr="00EC20A0">
        <w:t>regulatory requirements, and the audit entity’s policies and procedures and</w:t>
      </w:r>
    </w:p>
    <w:p w14:paraId="24D5FFFF" w14:textId="77777777" w:rsidR="00245300" w:rsidRPr="00EC20A0" w:rsidRDefault="00F17249">
      <w:pPr>
        <w:pStyle w:val="ListParagraph"/>
        <w:numPr>
          <w:ilvl w:val="1"/>
          <w:numId w:val="18"/>
        </w:numPr>
        <w:tabs>
          <w:tab w:val="left" w:pos="2218"/>
        </w:tabs>
        <w:spacing w:before="239"/>
        <w:ind w:left="2218" w:right="856"/>
      </w:pPr>
      <w:r w:rsidRPr="00EC20A0">
        <w:t>determining</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t>issued</w:t>
      </w:r>
      <w:r w:rsidRPr="00EC20A0">
        <w:rPr>
          <w:spacing w:val="-4"/>
        </w:rPr>
        <w:t xml:space="preserve"> </w:t>
      </w:r>
      <w:r w:rsidRPr="00EC20A0">
        <w:t>is</w:t>
      </w:r>
      <w:r w:rsidRPr="00EC20A0">
        <w:rPr>
          <w:spacing w:val="-4"/>
        </w:rPr>
        <w:t xml:space="preserve"> </w:t>
      </w:r>
      <w:r w:rsidRPr="00EC20A0">
        <w:t>appropriate</w:t>
      </w:r>
      <w:r w:rsidRPr="00EC20A0">
        <w:rPr>
          <w:spacing w:val="-4"/>
        </w:rPr>
        <w:t xml:space="preserve"> </w:t>
      </w:r>
      <w:r w:rsidRPr="00EC20A0">
        <w:t>in</w:t>
      </w:r>
      <w:r w:rsidRPr="00EC20A0">
        <w:rPr>
          <w:spacing w:val="-4"/>
        </w:rPr>
        <w:t xml:space="preserve"> </w:t>
      </w:r>
      <w:r w:rsidRPr="00EC20A0">
        <w:t xml:space="preserve">the </w:t>
      </w:r>
      <w:r w:rsidRPr="00EC20A0">
        <w:rPr>
          <w:spacing w:val="-2"/>
        </w:rPr>
        <w:t>circumstances.</w:t>
      </w:r>
    </w:p>
    <w:p w14:paraId="24D60000" w14:textId="77777777" w:rsidR="00245300" w:rsidRPr="00EC20A0" w:rsidRDefault="00F17249">
      <w:pPr>
        <w:pStyle w:val="ListParagraph"/>
        <w:numPr>
          <w:ilvl w:val="0"/>
          <w:numId w:val="18"/>
        </w:numPr>
        <w:tabs>
          <w:tab w:val="left" w:pos="1858"/>
        </w:tabs>
        <w:spacing w:before="237"/>
        <w:ind w:left="1858" w:right="519"/>
      </w:pPr>
      <w:r w:rsidRPr="00EC20A0">
        <w:t>The group engagement team may use the work of component auditors. In the federal</w:t>
      </w:r>
      <w:r w:rsidRPr="00EC20A0">
        <w:rPr>
          <w:spacing w:val="-4"/>
        </w:rPr>
        <w:t xml:space="preserve"> </w:t>
      </w:r>
      <w:r w:rsidRPr="00EC20A0">
        <w:t>environment,</w:t>
      </w:r>
      <w:r w:rsidRPr="00EC20A0">
        <w:rPr>
          <w:spacing w:val="-4"/>
        </w:rPr>
        <w:t xml:space="preserve"> </w:t>
      </w:r>
      <w:r w:rsidRPr="00EC20A0">
        <w:t>component</w:t>
      </w:r>
      <w:r w:rsidRPr="00EC20A0">
        <w:rPr>
          <w:spacing w:val="-4"/>
        </w:rPr>
        <w:t xml:space="preserve"> </w:t>
      </w:r>
      <w:r w:rsidRPr="00EC20A0">
        <w:t>auditors</w:t>
      </w:r>
      <w:r w:rsidRPr="00EC20A0">
        <w:rPr>
          <w:spacing w:val="-3"/>
        </w:rPr>
        <w:t xml:space="preserve"> </w:t>
      </w:r>
      <w:r w:rsidRPr="00EC20A0">
        <w:t>may</w:t>
      </w:r>
      <w:r w:rsidRPr="00EC20A0">
        <w:rPr>
          <w:spacing w:val="-4"/>
        </w:rPr>
        <w:t xml:space="preserve"> </w:t>
      </w:r>
      <w:r w:rsidRPr="00EC20A0">
        <w:t>be</w:t>
      </w:r>
      <w:r w:rsidRPr="00EC20A0">
        <w:rPr>
          <w:spacing w:val="-4"/>
        </w:rPr>
        <w:t xml:space="preserve"> </w:t>
      </w:r>
      <w:r w:rsidRPr="00EC20A0">
        <w:t>used</w:t>
      </w:r>
      <w:r w:rsidRPr="00EC20A0">
        <w:rPr>
          <w:spacing w:val="-4"/>
        </w:rPr>
        <w:t xml:space="preserve"> </w:t>
      </w:r>
      <w:r w:rsidRPr="00EC20A0">
        <w:t>in</w:t>
      </w:r>
      <w:r w:rsidRPr="00EC20A0">
        <w:rPr>
          <w:spacing w:val="-4"/>
        </w:rPr>
        <w:t xml:space="preserve"> </w:t>
      </w:r>
      <w:r w:rsidRPr="00EC20A0">
        <w:t>various</w:t>
      </w:r>
      <w:r w:rsidRPr="00EC20A0">
        <w:rPr>
          <w:spacing w:val="-4"/>
        </w:rPr>
        <w:t xml:space="preserve"> </w:t>
      </w:r>
      <w:r w:rsidRPr="00EC20A0">
        <w:t>situations,</w:t>
      </w:r>
      <w:r w:rsidRPr="00EC20A0">
        <w:rPr>
          <w:spacing w:val="-4"/>
        </w:rPr>
        <w:t xml:space="preserve"> </w:t>
      </w:r>
      <w:r w:rsidRPr="00EC20A0">
        <w:t>such as audits of individual bureaus, agencies, funds, or other components performed by either IGs or IPA firms.</w:t>
      </w:r>
    </w:p>
    <w:p w14:paraId="24D60001" w14:textId="77777777" w:rsidR="00245300" w:rsidRPr="00EC20A0" w:rsidRDefault="00245300">
      <w:pPr>
        <w:pStyle w:val="BodyText"/>
        <w:rPr>
          <w:sz w:val="20"/>
        </w:rPr>
      </w:pPr>
    </w:p>
    <w:p w14:paraId="24D60002" w14:textId="77777777" w:rsidR="00245300" w:rsidRPr="00EC20A0" w:rsidRDefault="00245300">
      <w:pPr>
        <w:pStyle w:val="BodyText"/>
        <w:rPr>
          <w:sz w:val="20"/>
        </w:rPr>
      </w:pPr>
    </w:p>
    <w:p w14:paraId="24D60003" w14:textId="77777777" w:rsidR="00245300" w:rsidRPr="00EC20A0" w:rsidRDefault="00245300">
      <w:pPr>
        <w:pStyle w:val="BodyText"/>
        <w:rPr>
          <w:sz w:val="20"/>
        </w:rPr>
      </w:pPr>
    </w:p>
    <w:p w14:paraId="24D60004" w14:textId="77777777" w:rsidR="00245300" w:rsidRPr="00EC20A0" w:rsidRDefault="00245300">
      <w:pPr>
        <w:pStyle w:val="BodyText"/>
        <w:rPr>
          <w:sz w:val="20"/>
        </w:rPr>
      </w:pPr>
    </w:p>
    <w:p w14:paraId="24D60005" w14:textId="77777777" w:rsidR="00245300" w:rsidRPr="00EC20A0" w:rsidRDefault="00F17249">
      <w:pPr>
        <w:pStyle w:val="BodyText"/>
        <w:spacing w:before="202"/>
        <w:rPr>
          <w:sz w:val="20"/>
        </w:rPr>
      </w:pPr>
      <w:r w:rsidRPr="00EC20A0">
        <w:rPr>
          <w:noProof/>
        </w:rPr>
        <mc:AlternateContent>
          <mc:Choice Requires="wps">
            <w:drawing>
              <wp:anchor distT="0" distB="0" distL="0" distR="0" simplePos="0" relativeHeight="487597056" behindDoc="1" locked="0" layoutInCell="1" allowOverlap="1" wp14:anchorId="24D62AD9" wp14:editId="24D62ADA">
                <wp:simplePos x="0" y="0"/>
                <wp:positionH relativeFrom="page">
                  <wp:posOffset>914400</wp:posOffset>
                </wp:positionH>
                <wp:positionV relativeFrom="paragraph">
                  <wp:posOffset>290173</wp:posOffset>
                </wp:positionV>
                <wp:extent cx="1828800" cy="571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6E37EC" id="Graphic 107" o:spid="_x0000_s1026" style="position:absolute;margin-left:1in;margin-top:22.85pt;width:2in;height:.4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" path="m1828800,l,,,5321r1828800,l1828800,xe" fillcolor="black" stroked="f">
                <v:path arrowok="t"/>
                <w10:wrap type="topAndBottom" anchorx="page"/>
              </v:shape>
            </w:pict>
          </mc:Fallback>
        </mc:AlternateContent>
      </w:r>
    </w:p>
    <w:p w14:paraId="24D60006" w14:textId="77777777" w:rsidR="00245300" w:rsidRPr="00EC20A0" w:rsidRDefault="00F17249">
      <w:pPr>
        <w:spacing w:before="202" w:line="242" w:lineRule="auto"/>
        <w:ind w:left="418" w:right="656" w:firstLine="1"/>
        <w:rPr>
          <w:sz w:val="18"/>
        </w:rPr>
      </w:pPr>
      <w:bookmarkStart w:id="50" w:name="_bookmark15"/>
      <w:bookmarkEnd w:id="50"/>
      <w:r w:rsidRPr="00EC20A0">
        <w:rPr>
          <w:position w:val="7"/>
          <w:sz w:val="14"/>
        </w:rPr>
        <w:t>10</w:t>
      </w:r>
      <w:r w:rsidRPr="00EC20A0">
        <w:rPr>
          <w:sz w:val="18"/>
        </w:rPr>
        <w:t xml:space="preserve">A group audit is the audit of </w:t>
      </w:r>
      <w:r w:rsidRPr="00EC20A0">
        <w:rPr>
          <w:sz w:val="18"/>
        </w:rPr>
        <w:t>group financial statements. Group financial statements are defined as financial statements</w:t>
      </w:r>
      <w:r w:rsidRPr="00EC20A0">
        <w:rPr>
          <w:spacing w:val="-3"/>
          <w:sz w:val="18"/>
        </w:rPr>
        <w:t xml:space="preserve"> </w:t>
      </w:r>
      <w:r w:rsidRPr="00EC20A0">
        <w:rPr>
          <w:sz w:val="18"/>
        </w:rPr>
        <w:t>that</w:t>
      </w:r>
      <w:r w:rsidRPr="00EC20A0">
        <w:rPr>
          <w:spacing w:val="-3"/>
          <w:sz w:val="18"/>
        </w:rPr>
        <w:t xml:space="preserve"> </w:t>
      </w:r>
      <w:r w:rsidRPr="00EC20A0">
        <w:rPr>
          <w:sz w:val="18"/>
        </w:rPr>
        <w:t>include</w:t>
      </w:r>
      <w:r w:rsidRPr="00EC20A0">
        <w:rPr>
          <w:spacing w:val="-3"/>
          <w:sz w:val="18"/>
        </w:rPr>
        <w:t xml:space="preserve"> </w:t>
      </w:r>
      <w:r w:rsidRPr="00EC20A0">
        <w:rPr>
          <w:sz w:val="18"/>
        </w:rPr>
        <w:t>the</w:t>
      </w:r>
      <w:r w:rsidRPr="00EC20A0">
        <w:rPr>
          <w:spacing w:val="-4"/>
          <w:sz w:val="18"/>
        </w:rPr>
        <w:t xml:space="preserve"> </w:t>
      </w:r>
      <w:r w:rsidRPr="00EC20A0">
        <w:rPr>
          <w:sz w:val="18"/>
        </w:rPr>
        <w:t>financial</w:t>
      </w:r>
      <w:r w:rsidRPr="00EC20A0">
        <w:rPr>
          <w:spacing w:val="-3"/>
          <w:sz w:val="18"/>
        </w:rPr>
        <w:t xml:space="preserve"> </w:t>
      </w:r>
      <w:r w:rsidRPr="00EC20A0">
        <w:rPr>
          <w:sz w:val="18"/>
        </w:rPr>
        <w:t>information</w:t>
      </w:r>
      <w:r w:rsidRPr="00EC20A0">
        <w:rPr>
          <w:spacing w:val="-4"/>
          <w:sz w:val="18"/>
        </w:rPr>
        <w:t xml:space="preserve"> </w:t>
      </w:r>
      <w:r w:rsidRPr="00EC20A0">
        <w:rPr>
          <w:sz w:val="18"/>
        </w:rPr>
        <w:t>of</w:t>
      </w:r>
      <w:r w:rsidRPr="00EC20A0">
        <w:rPr>
          <w:spacing w:val="-3"/>
          <w:sz w:val="18"/>
        </w:rPr>
        <w:t xml:space="preserve"> </w:t>
      </w:r>
      <w:r w:rsidRPr="00EC20A0">
        <w:rPr>
          <w:sz w:val="18"/>
        </w:rPr>
        <w:t>more</w:t>
      </w:r>
      <w:r w:rsidRPr="00EC20A0">
        <w:rPr>
          <w:spacing w:val="-4"/>
          <w:sz w:val="18"/>
        </w:rPr>
        <w:t xml:space="preserve"> </w:t>
      </w:r>
      <w:r w:rsidRPr="00EC20A0">
        <w:rPr>
          <w:sz w:val="18"/>
        </w:rPr>
        <w:t>than</w:t>
      </w:r>
      <w:r w:rsidRPr="00EC20A0">
        <w:rPr>
          <w:spacing w:val="-3"/>
          <w:sz w:val="18"/>
        </w:rPr>
        <w:t xml:space="preserve"> </w:t>
      </w:r>
      <w:r w:rsidRPr="00EC20A0">
        <w:rPr>
          <w:sz w:val="18"/>
        </w:rPr>
        <w:t>one</w:t>
      </w:r>
      <w:r w:rsidRPr="00EC20A0">
        <w:rPr>
          <w:spacing w:val="-3"/>
          <w:sz w:val="18"/>
        </w:rPr>
        <w:t xml:space="preserve"> </w:t>
      </w:r>
      <w:r w:rsidRPr="00EC20A0">
        <w:rPr>
          <w:sz w:val="18"/>
        </w:rPr>
        <w:t>component.</w:t>
      </w:r>
      <w:r w:rsidRPr="00EC20A0">
        <w:rPr>
          <w:spacing w:val="-3"/>
          <w:sz w:val="18"/>
        </w:rPr>
        <w:t xml:space="preserve"> </w:t>
      </w:r>
      <w:r w:rsidRPr="00EC20A0">
        <w:rPr>
          <w:sz w:val="18"/>
        </w:rPr>
        <w:t>Group</w:t>
      </w:r>
      <w:r w:rsidRPr="00EC20A0">
        <w:rPr>
          <w:spacing w:val="-4"/>
          <w:sz w:val="18"/>
        </w:rPr>
        <w:t xml:space="preserve"> </w:t>
      </w:r>
      <w:r w:rsidRPr="00EC20A0">
        <w:rPr>
          <w:sz w:val="18"/>
        </w:rPr>
        <w:t>financial</w:t>
      </w:r>
      <w:r w:rsidRPr="00EC20A0">
        <w:rPr>
          <w:spacing w:val="-3"/>
          <w:sz w:val="18"/>
        </w:rPr>
        <w:t xml:space="preserve"> </w:t>
      </w:r>
      <w:r w:rsidRPr="00EC20A0">
        <w:rPr>
          <w:sz w:val="18"/>
        </w:rPr>
        <w:t>statements</w:t>
      </w:r>
      <w:r w:rsidRPr="00EC20A0">
        <w:rPr>
          <w:spacing w:val="-3"/>
          <w:sz w:val="18"/>
        </w:rPr>
        <w:t xml:space="preserve"> </w:t>
      </w:r>
      <w:r w:rsidRPr="00EC20A0">
        <w:rPr>
          <w:sz w:val="18"/>
        </w:rPr>
        <w:t>also</w:t>
      </w:r>
      <w:r w:rsidRPr="00EC20A0">
        <w:rPr>
          <w:spacing w:val="-4"/>
          <w:sz w:val="18"/>
        </w:rPr>
        <w:t xml:space="preserve"> </w:t>
      </w:r>
      <w:r w:rsidRPr="00EC20A0">
        <w:rPr>
          <w:sz w:val="18"/>
        </w:rPr>
        <w:t>refer to combined financial statements aggregating the financial information prepared by components that are under common control. (AU-C 600A.11)</w:t>
      </w:r>
    </w:p>
    <w:p w14:paraId="24D60007" w14:textId="77777777" w:rsidR="00245300" w:rsidRPr="00EC20A0" w:rsidRDefault="00245300">
      <w:pPr>
        <w:spacing w:line="242" w:lineRule="auto"/>
        <w:rPr>
          <w:sz w:val="18"/>
        </w:rPr>
        <w:sectPr w:rsidR="00245300" w:rsidRPr="00EC20A0">
          <w:headerReference w:type="default" r:id="rId31"/>
          <w:footerReference w:type="default" r:id="rId32"/>
          <w:pgSz w:w="12240" w:h="15840"/>
          <w:pgMar w:top="1340" w:right="940" w:bottom="940" w:left="1020" w:header="721" w:footer="757" w:gutter="0"/>
          <w:pgNumType w:start="1"/>
          <w:cols w:space="720"/>
        </w:sectPr>
      </w:pPr>
    </w:p>
    <w:p w14:paraId="24D60008" w14:textId="77777777" w:rsidR="00245300" w:rsidRPr="00EC20A0" w:rsidRDefault="00F17249">
      <w:pPr>
        <w:pStyle w:val="Heading4"/>
        <w:spacing w:before="121"/>
      </w:pPr>
      <w:bookmarkStart w:id="51" w:name="Determining_Whether_to_Accept_and_Contin"/>
      <w:bookmarkEnd w:id="51"/>
      <w:r w:rsidRPr="00EC20A0">
        <w:t>Determining</w:t>
      </w:r>
      <w:r w:rsidRPr="00EC20A0">
        <w:rPr>
          <w:spacing w:val="-12"/>
        </w:rPr>
        <w:t xml:space="preserve"> </w:t>
      </w:r>
      <w:r w:rsidRPr="00EC20A0">
        <w:t>Whether</w:t>
      </w:r>
      <w:r w:rsidRPr="00EC20A0">
        <w:rPr>
          <w:spacing w:val="-11"/>
        </w:rPr>
        <w:t xml:space="preserve"> </w:t>
      </w:r>
      <w:r w:rsidRPr="00EC20A0">
        <w:t>to</w:t>
      </w:r>
      <w:r w:rsidRPr="00EC20A0">
        <w:rPr>
          <w:spacing w:val="-11"/>
        </w:rPr>
        <w:t xml:space="preserve"> </w:t>
      </w:r>
      <w:r w:rsidRPr="00EC20A0">
        <w:t>Accept</w:t>
      </w:r>
      <w:r w:rsidRPr="00EC20A0">
        <w:rPr>
          <w:spacing w:val="-11"/>
        </w:rPr>
        <w:t xml:space="preserve"> </w:t>
      </w:r>
      <w:r w:rsidRPr="00EC20A0">
        <w:t>and</w:t>
      </w:r>
      <w:r w:rsidRPr="00EC20A0">
        <w:rPr>
          <w:spacing w:val="-11"/>
        </w:rPr>
        <w:t xml:space="preserve"> </w:t>
      </w:r>
      <w:r w:rsidRPr="00EC20A0">
        <w:rPr>
          <w:spacing w:val="-2"/>
        </w:rPr>
        <w:t>Continue</w:t>
      </w:r>
    </w:p>
    <w:p w14:paraId="24D60009" w14:textId="77777777" w:rsidR="00245300" w:rsidRPr="00EC20A0" w:rsidRDefault="00F17249">
      <w:pPr>
        <w:pStyle w:val="ListParagraph"/>
        <w:numPr>
          <w:ilvl w:val="0"/>
          <w:numId w:val="18"/>
        </w:numPr>
        <w:tabs>
          <w:tab w:val="left" w:pos="1859"/>
        </w:tabs>
        <w:ind w:right="675"/>
      </w:pPr>
      <w:r w:rsidRPr="00EC20A0">
        <w:t>The</w:t>
      </w:r>
      <w:r w:rsidRPr="00EC20A0">
        <w:rPr>
          <w:spacing w:val="-5"/>
        </w:rPr>
        <w:t xml:space="preserve"> </w:t>
      </w:r>
      <w:r w:rsidRPr="00EC20A0">
        <w:t>group</w:t>
      </w:r>
      <w:r w:rsidRPr="00EC20A0">
        <w:rPr>
          <w:spacing w:val="-5"/>
        </w:rPr>
        <w:t xml:space="preserve"> </w:t>
      </w:r>
      <w:r w:rsidRPr="00EC20A0">
        <w:t>engagement</w:t>
      </w:r>
      <w:r w:rsidRPr="00EC20A0">
        <w:rPr>
          <w:spacing w:val="-5"/>
        </w:rPr>
        <w:t xml:space="preserve"> </w:t>
      </w:r>
      <w:r w:rsidRPr="00EC20A0">
        <w:t>partner</w:t>
      </w:r>
      <w:r w:rsidRPr="00EC20A0">
        <w:rPr>
          <w:spacing w:val="-5"/>
        </w:rPr>
        <w:t xml:space="preserve"> </w:t>
      </w:r>
      <w:r w:rsidRPr="00EC20A0">
        <w:t>should</w:t>
      </w:r>
      <w:r w:rsidRPr="00EC20A0">
        <w:rPr>
          <w:spacing w:val="-5"/>
        </w:rPr>
        <w:t xml:space="preserve"> </w:t>
      </w:r>
      <w:r w:rsidRPr="00EC20A0">
        <w:t>determine</w:t>
      </w:r>
      <w:r w:rsidRPr="00EC20A0">
        <w:rPr>
          <w:spacing w:val="-5"/>
        </w:rPr>
        <w:t xml:space="preserve"> </w:t>
      </w:r>
      <w:r w:rsidRPr="00EC20A0">
        <w:t>whether</w:t>
      </w:r>
      <w:r w:rsidRPr="00EC20A0">
        <w:rPr>
          <w:spacing w:val="-5"/>
        </w:rPr>
        <w:t xml:space="preserve"> </w:t>
      </w:r>
      <w:r w:rsidRPr="00EC20A0">
        <w:t>sufficient</w:t>
      </w:r>
      <w:r w:rsidRPr="00EC20A0">
        <w:rPr>
          <w:spacing w:val="-5"/>
        </w:rPr>
        <w:t xml:space="preserve"> </w:t>
      </w:r>
      <w:r w:rsidRPr="00EC20A0">
        <w:t>appropriate audit evidence can reasonably be expected to be obtained regarding the consolidation</w:t>
      </w:r>
      <w:r w:rsidRPr="00EC20A0">
        <w:rPr>
          <w:spacing w:val="-3"/>
        </w:rPr>
        <w:t xml:space="preserve"> </w:t>
      </w:r>
      <w:r w:rsidRPr="00EC20A0">
        <w:t>process</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information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components</w:t>
      </w:r>
      <w:r w:rsidRPr="00EC20A0">
        <w:rPr>
          <w:spacing w:val="-3"/>
        </w:rPr>
        <w:t xml:space="preserve"> </w:t>
      </w:r>
      <w:r w:rsidRPr="00EC20A0">
        <w:t>on</w:t>
      </w:r>
      <w:r w:rsidRPr="00EC20A0">
        <w:rPr>
          <w:spacing w:val="-3"/>
        </w:rPr>
        <w:t xml:space="preserve"> </w:t>
      </w:r>
      <w:r w:rsidRPr="00EC20A0">
        <w:t>which to base the group audit opinion. For this purpose, the group engagement team should obtain an understanding of the group, its components, and their environments that is sufficient to identify components that are likely to be significant components (AU-C 600A.14).</w:t>
      </w:r>
    </w:p>
    <w:p w14:paraId="24D6000A" w14:textId="77777777" w:rsidR="00245300" w:rsidRPr="00EC20A0" w:rsidRDefault="00F17249">
      <w:pPr>
        <w:pStyle w:val="ListParagraph"/>
        <w:numPr>
          <w:ilvl w:val="0"/>
          <w:numId w:val="18"/>
        </w:numPr>
        <w:tabs>
          <w:tab w:val="left" w:pos="1858"/>
        </w:tabs>
        <w:ind w:left="1858" w:right="512" w:hanging="719"/>
      </w:pPr>
      <w:r w:rsidRPr="00EC20A0">
        <w:t>The group engagement partner should evaluate whether the group engagement team will be able to obtain sufficient appropriate audit evidence through the</w:t>
      </w:r>
      <w:r w:rsidRPr="00EC20A0">
        <w:rPr>
          <w:spacing w:val="40"/>
        </w:rPr>
        <w:t xml:space="preserve"> </w:t>
      </w:r>
      <w:r w:rsidRPr="00EC20A0">
        <w:t>group</w:t>
      </w:r>
      <w:r w:rsidRPr="00EC20A0">
        <w:rPr>
          <w:spacing w:val="-3"/>
        </w:rPr>
        <w:t xml:space="preserve"> </w:t>
      </w:r>
      <w:r w:rsidRPr="00EC20A0">
        <w:t>engagement</w:t>
      </w:r>
      <w:r w:rsidRPr="00EC20A0">
        <w:rPr>
          <w:spacing w:val="-3"/>
        </w:rPr>
        <w:t xml:space="preserve"> </w:t>
      </w:r>
      <w:r w:rsidRPr="00EC20A0">
        <w:t>team's</w:t>
      </w:r>
      <w:r w:rsidRPr="00EC20A0">
        <w:rPr>
          <w:spacing w:val="-3"/>
        </w:rPr>
        <w:t xml:space="preserve"> </w:t>
      </w:r>
      <w:r w:rsidRPr="00EC20A0">
        <w:t>work</w:t>
      </w:r>
      <w:r w:rsidRPr="00EC20A0">
        <w:rPr>
          <w:spacing w:val="-2"/>
        </w:rPr>
        <w:t xml:space="preserve"> </w:t>
      </w:r>
      <w:r w:rsidRPr="00EC20A0">
        <w:t>or</w:t>
      </w:r>
      <w:r w:rsidRPr="00EC20A0">
        <w:rPr>
          <w:spacing w:val="-3"/>
        </w:rPr>
        <w:t xml:space="preserve"> </w:t>
      </w:r>
      <w:r w:rsidRPr="00EC20A0">
        <w:t>use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component</w:t>
      </w:r>
      <w:r w:rsidRPr="00EC20A0">
        <w:rPr>
          <w:spacing w:val="-3"/>
        </w:rPr>
        <w:t xml:space="preserve"> </w:t>
      </w:r>
      <w:r w:rsidRPr="00EC20A0">
        <w:t>auditors</w:t>
      </w:r>
      <w:r w:rsidRPr="00EC20A0">
        <w:rPr>
          <w:spacing w:val="-3"/>
        </w:rPr>
        <w:t xml:space="preserve"> </w:t>
      </w:r>
      <w:r w:rsidRPr="00EC20A0">
        <w:t>(that</w:t>
      </w:r>
      <w:r w:rsidRPr="00EC20A0">
        <w:rPr>
          <w:spacing w:val="-3"/>
        </w:rPr>
        <w:t xml:space="preserve"> </w:t>
      </w:r>
      <w:r w:rsidRPr="00EC20A0">
        <w:t>is, through assuming responsibility for the work of component auditors or through making reference to the</w:t>
      </w:r>
      <w:r w:rsidRPr="00EC20A0">
        <w:rPr>
          <w:spacing w:val="-1"/>
        </w:rPr>
        <w:t xml:space="preserve"> </w:t>
      </w:r>
      <w:r w:rsidRPr="00EC20A0">
        <w:t>audit of a component auditor or report on internal</w:t>
      </w:r>
      <w:r w:rsidRPr="00EC20A0">
        <w:rPr>
          <w:spacing w:val="-1"/>
        </w:rPr>
        <w:t xml:space="preserve"> </w:t>
      </w:r>
      <w:r w:rsidRPr="00EC20A0">
        <w:t>control over financial reporting of a component auditor in the auditor’s report) to act as the auditor of the group financial statements and report as such on the group financial statements (AU-C 600A.15 and AU-C 940.78). Factors in determining whether</w:t>
      </w:r>
      <w:r w:rsidRPr="00EC20A0">
        <w:rPr>
          <w:spacing w:val="-1"/>
        </w:rPr>
        <w:t xml:space="preserve"> </w:t>
      </w:r>
      <w:r w:rsidRPr="00EC20A0">
        <w:t>the</w:t>
      </w:r>
      <w:r w:rsidRPr="00EC20A0">
        <w:rPr>
          <w:spacing w:val="-1"/>
        </w:rPr>
        <w:t xml:space="preserve"> </w:t>
      </w:r>
      <w:r w:rsidRPr="00EC20A0">
        <w:t>group</w:t>
      </w:r>
      <w:r w:rsidRPr="00EC20A0">
        <w:rPr>
          <w:spacing w:val="-1"/>
        </w:rPr>
        <w:t xml:space="preserve"> </w:t>
      </w:r>
      <w:r w:rsidRPr="00EC20A0">
        <w:t>engagement</w:t>
      </w:r>
      <w:r w:rsidRPr="00EC20A0">
        <w:rPr>
          <w:spacing w:val="-1"/>
        </w:rPr>
        <w:t xml:space="preserve"> </w:t>
      </w:r>
      <w:r w:rsidRPr="00EC20A0">
        <w:t>team</w:t>
      </w:r>
      <w:r w:rsidRPr="00EC20A0">
        <w:rPr>
          <w:spacing w:val="-2"/>
        </w:rPr>
        <w:t xml:space="preserve"> </w:t>
      </w:r>
      <w:r w:rsidRPr="00EC20A0">
        <w:t>can</w:t>
      </w:r>
      <w:r w:rsidRPr="00EC20A0">
        <w:rPr>
          <w:spacing w:val="-1"/>
        </w:rPr>
        <w:t xml:space="preserve"> </w:t>
      </w:r>
      <w:r w:rsidRPr="00EC20A0">
        <w:t>act</w:t>
      </w:r>
      <w:r w:rsidRPr="00EC20A0">
        <w:rPr>
          <w:spacing w:val="-1"/>
        </w:rPr>
        <w:t xml:space="preserve"> </w:t>
      </w:r>
      <w:r w:rsidRPr="00EC20A0">
        <w:t>as</w:t>
      </w:r>
      <w:r w:rsidRPr="00EC20A0">
        <w:rPr>
          <w:spacing w:val="-1"/>
        </w:rPr>
        <w:t xml:space="preserve"> </w:t>
      </w:r>
      <w:r w:rsidRPr="00EC20A0">
        <w:t>the</w:t>
      </w:r>
      <w:r w:rsidRPr="00EC20A0">
        <w:rPr>
          <w:spacing w:val="-1"/>
        </w:rPr>
        <w:t xml:space="preserve"> </w:t>
      </w:r>
      <w:r w:rsidRPr="00EC20A0">
        <w:t>auditor</w:t>
      </w:r>
      <w:r w:rsidRPr="00EC20A0">
        <w:rPr>
          <w:spacing w:val="-2"/>
        </w:rPr>
        <w:t xml:space="preserve"> </w:t>
      </w:r>
      <w:r w:rsidRPr="00EC20A0">
        <w:t>of</w:t>
      </w:r>
      <w:r w:rsidRPr="00EC20A0">
        <w:rPr>
          <w:spacing w:val="-1"/>
        </w:rPr>
        <w:t xml:space="preserve"> </w:t>
      </w:r>
      <w:r w:rsidRPr="00EC20A0">
        <w:t>the</w:t>
      </w:r>
      <w:r w:rsidRPr="00EC20A0">
        <w:rPr>
          <w:spacing w:val="-1"/>
        </w:rPr>
        <w:t xml:space="preserve"> </w:t>
      </w:r>
      <w:r w:rsidRPr="00EC20A0">
        <w:t>group</w:t>
      </w:r>
      <w:r w:rsidRPr="00EC20A0">
        <w:rPr>
          <w:spacing w:val="-1"/>
        </w:rPr>
        <w:t xml:space="preserve"> </w:t>
      </w:r>
      <w:r w:rsidRPr="00EC20A0">
        <w:t>financial statements include, the financial significance of the components for which the group engagement team is assuming responsibility and the extent to which the group financial statements’ risks of material misstatement are included in those components (AU-C 600A.A18).</w:t>
      </w:r>
    </w:p>
    <w:p w14:paraId="24D6000B" w14:textId="77777777" w:rsidR="00245300" w:rsidRPr="00EC20A0" w:rsidRDefault="00F17249">
      <w:pPr>
        <w:pStyle w:val="ListParagraph"/>
        <w:numPr>
          <w:ilvl w:val="0"/>
          <w:numId w:val="18"/>
        </w:numPr>
        <w:tabs>
          <w:tab w:val="left" w:pos="1859"/>
        </w:tabs>
        <w:spacing w:before="239"/>
        <w:ind w:right="554"/>
      </w:pPr>
      <w:r w:rsidRPr="00EC20A0">
        <w:t>In some circumstances, the group engagement partner may conclude that it will not</w:t>
      </w:r>
      <w:r w:rsidRPr="00EC20A0">
        <w:rPr>
          <w:spacing w:val="-4"/>
        </w:rPr>
        <w:t xml:space="preserve"> </w:t>
      </w:r>
      <w:r w:rsidRPr="00EC20A0">
        <w:t>be</w:t>
      </w:r>
      <w:r w:rsidRPr="00EC20A0">
        <w:rPr>
          <w:spacing w:val="-4"/>
        </w:rPr>
        <w:t xml:space="preserve"> </w:t>
      </w:r>
      <w:r w:rsidRPr="00EC20A0">
        <w:t>possible,</w:t>
      </w:r>
      <w:r w:rsidRPr="00EC20A0">
        <w:rPr>
          <w:spacing w:val="-4"/>
        </w:rPr>
        <w:t xml:space="preserve"> </w:t>
      </w:r>
      <w:r w:rsidRPr="00EC20A0">
        <w:t>due</w:t>
      </w:r>
      <w:r w:rsidRPr="00EC20A0">
        <w:rPr>
          <w:spacing w:val="-4"/>
        </w:rPr>
        <w:t xml:space="preserve"> </w:t>
      </w:r>
      <w:r w:rsidRPr="00EC20A0">
        <w:t>to</w:t>
      </w:r>
      <w:r w:rsidRPr="00EC20A0">
        <w:rPr>
          <w:spacing w:val="-4"/>
        </w:rPr>
        <w:t xml:space="preserve"> </w:t>
      </w:r>
      <w:r w:rsidRPr="00EC20A0">
        <w:t>restrictions</w:t>
      </w:r>
      <w:r w:rsidRPr="00EC20A0">
        <w:rPr>
          <w:spacing w:val="-4"/>
        </w:rPr>
        <w:t xml:space="preserve"> </w:t>
      </w:r>
      <w:r w:rsidRPr="00EC20A0">
        <w:t>imposed</w:t>
      </w:r>
      <w:r w:rsidRPr="00EC20A0">
        <w:rPr>
          <w:spacing w:val="-4"/>
        </w:rPr>
        <w:t xml:space="preserve"> </w:t>
      </w:r>
      <w:r w:rsidRPr="00EC20A0">
        <w:t>by</w:t>
      </w:r>
      <w:r w:rsidRPr="00EC20A0">
        <w:rPr>
          <w:spacing w:val="-4"/>
        </w:rPr>
        <w:t xml:space="preserve"> </w:t>
      </w:r>
      <w:r w:rsidRPr="00EC20A0">
        <w:t>group</w:t>
      </w:r>
      <w:r w:rsidRPr="00EC20A0">
        <w:rPr>
          <w:spacing w:val="-4"/>
        </w:rPr>
        <w:t xml:space="preserve"> </w:t>
      </w:r>
      <w:r w:rsidRPr="00EC20A0">
        <w:t>management,</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 xml:space="preserve">group engagement team to obtain sufficient appropriate audit evidence through the group engagement team's work or use of </w:t>
      </w:r>
      <w:r w:rsidRPr="00EC20A0">
        <w:t>component auditors’ work, and the possible effect of this inability will result in a disclaimer of opinion on the group financial statements. In such circumstances, the auditor of the group financial statements should refer to AU-C 600A.16.</w:t>
      </w:r>
    </w:p>
    <w:p w14:paraId="24D6000C" w14:textId="77777777" w:rsidR="00245300" w:rsidRPr="00EC20A0" w:rsidRDefault="00F17249">
      <w:pPr>
        <w:pStyle w:val="Heading4"/>
        <w:spacing w:before="241"/>
      </w:pPr>
      <w:bookmarkStart w:id="52" w:name="Overall_Audit_Strategy_and_Audit_Plan"/>
      <w:bookmarkEnd w:id="52"/>
      <w:r w:rsidRPr="00EC20A0">
        <w:t>Overall</w:t>
      </w:r>
      <w:r w:rsidRPr="00EC20A0">
        <w:rPr>
          <w:spacing w:val="-11"/>
        </w:rPr>
        <w:t xml:space="preserve"> </w:t>
      </w:r>
      <w:r w:rsidRPr="00EC20A0">
        <w:t>Audit</w:t>
      </w:r>
      <w:r w:rsidRPr="00EC20A0">
        <w:rPr>
          <w:spacing w:val="-10"/>
        </w:rPr>
        <w:t xml:space="preserve"> </w:t>
      </w:r>
      <w:r w:rsidRPr="00EC20A0">
        <w:t>Strategy</w:t>
      </w:r>
      <w:r w:rsidRPr="00EC20A0">
        <w:rPr>
          <w:spacing w:val="-9"/>
        </w:rPr>
        <w:t xml:space="preserve"> </w:t>
      </w:r>
      <w:r w:rsidRPr="00EC20A0">
        <w:t>and</w:t>
      </w:r>
      <w:r w:rsidRPr="00EC20A0">
        <w:rPr>
          <w:spacing w:val="-11"/>
        </w:rPr>
        <w:t xml:space="preserve"> </w:t>
      </w:r>
      <w:r w:rsidRPr="00EC20A0">
        <w:t>Audit</w:t>
      </w:r>
      <w:r w:rsidRPr="00EC20A0">
        <w:rPr>
          <w:spacing w:val="-9"/>
        </w:rPr>
        <w:t xml:space="preserve"> </w:t>
      </w:r>
      <w:r w:rsidRPr="00EC20A0">
        <w:rPr>
          <w:spacing w:val="-4"/>
        </w:rPr>
        <w:t>Plan</w:t>
      </w:r>
    </w:p>
    <w:p w14:paraId="24D6000D" w14:textId="77777777" w:rsidR="00245300" w:rsidRPr="00EC20A0" w:rsidRDefault="00F17249">
      <w:pPr>
        <w:pStyle w:val="ListParagraph"/>
        <w:numPr>
          <w:ilvl w:val="0"/>
          <w:numId w:val="18"/>
        </w:numPr>
        <w:tabs>
          <w:tab w:val="left" w:pos="1859"/>
        </w:tabs>
        <w:spacing w:before="239"/>
        <w:ind w:right="541"/>
      </w:pPr>
      <w:r w:rsidRPr="00EC20A0">
        <w:t>The group engagement team should establish both an overall group audit strategy and a group audit plan. In developing the group audit plan, the group engagement team should assess the extent to which the group engagement team</w:t>
      </w:r>
      <w:r w:rsidRPr="00EC20A0">
        <w:rPr>
          <w:spacing w:val="-4"/>
        </w:rPr>
        <w:t xml:space="preserve"> </w:t>
      </w:r>
      <w:r w:rsidRPr="00EC20A0">
        <w:t>will</w:t>
      </w:r>
      <w:r w:rsidRPr="00EC20A0">
        <w:rPr>
          <w:spacing w:val="-3"/>
        </w:rPr>
        <w:t xml:space="preserve"> </w:t>
      </w:r>
      <w:r w:rsidRPr="00EC20A0">
        <w:t>use</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component</w:t>
      </w:r>
      <w:r w:rsidRPr="00EC20A0">
        <w:rPr>
          <w:spacing w:val="-3"/>
        </w:rPr>
        <w:t xml:space="preserve"> </w:t>
      </w:r>
      <w:r w:rsidRPr="00EC20A0">
        <w:t>auditors</w:t>
      </w:r>
      <w:r w:rsidRPr="00EC20A0">
        <w:rPr>
          <w:spacing w:val="-3"/>
        </w:rPr>
        <w:t xml:space="preserve"> </w:t>
      </w:r>
      <w:r w:rsidRPr="00EC20A0">
        <w:t>and</w:t>
      </w:r>
      <w:r w:rsidRPr="00EC20A0">
        <w:rPr>
          <w:spacing w:val="-3"/>
        </w:rPr>
        <w:t xml:space="preserve"> </w:t>
      </w:r>
      <w:r w:rsidRPr="00EC20A0">
        <w:t>whether</w:t>
      </w:r>
      <w:r w:rsidRPr="00EC20A0">
        <w:rPr>
          <w:spacing w:val="-3"/>
        </w:rPr>
        <w:t xml:space="preserve"> </w:t>
      </w:r>
      <w:r w:rsidRPr="00EC20A0">
        <w:t>the</w:t>
      </w:r>
      <w:r w:rsidRPr="00EC20A0">
        <w:rPr>
          <w:spacing w:val="-3"/>
        </w:rPr>
        <w:t xml:space="preserve"> </w:t>
      </w:r>
      <w:r w:rsidRPr="00EC20A0">
        <w:t>auditor’s</w:t>
      </w:r>
      <w:r w:rsidRPr="00EC20A0">
        <w:rPr>
          <w:spacing w:val="-2"/>
        </w:rPr>
        <w:t xml:space="preserve"> </w:t>
      </w:r>
      <w:r w:rsidRPr="00EC20A0">
        <w:t>report</w:t>
      </w:r>
      <w:r w:rsidRPr="00EC20A0">
        <w:rPr>
          <w:spacing w:val="-3"/>
        </w:rPr>
        <w:t xml:space="preserve"> </w:t>
      </w:r>
      <w:r w:rsidRPr="00EC20A0">
        <w:t>on the group financial statements will make reference to the audit of a component auditor (AU-C 600A.18). The group engagement partner should review and approve the overall group audit strategy and group audit plan (AU-C 600A.19).</w:t>
      </w:r>
    </w:p>
    <w:p w14:paraId="24D6000E" w14:textId="77777777" w:rsidR="00245300" w:rsidRPr="00EC20A0" w:rsidRDefault="00F17249">
      <w:pPr>
        <w:pStyle w:val="ListParagraph"/>
        <w:numPr>
          <w:ilvl w:val="0"/>
          <w:numId w:val="18"/>
        </w:numPr>
        <w:tabs>
          <w:tab w:val="left" w:pos="1858"/>
        </w:tabs>
        <w:spacing w:before="241"/>
        <w:ind w:left="1858" w:right="519"/>
      </w:pPr>
      <w:r w:rsidRPr="00EC20A0">
        <w:rPr>
          <w:color w:val="242424"/>
        </w:rPr>
        <w:t>T</w:t>
      </w:r>
      <w:r w:rsidRPr="00EC20A0">
        <w:t>he group engagement team should determine the level of review to be performed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3"/>
        </w:rPr>
        <w:t xml:space="preserve"> </w:t>
      </w:r>
      <w:r w:rsidRPr="00EC20A0">
        <w:t>audit</w:t>
      </w:r>
      <w:r w:rsidRPr="00EC20A0">
        <w:rPr>
          <w:spacing w:val="-4"/>
        </w:rPr>
        <w:t xml:space="preserve"> </w:t>
      </w:r>
      <w:r w:rsidRPr="00EC20A0">
        <w:t>work</w:t>
      </w:r>
      <w:r w:rsidRPr="00EC20A0">
        <w:rPr>
          <w:spacing w:val="-5"/>
        </w:rPr>
        <w:t xml:space="preserve"> </w:t>
      </w:r>
      <w:r w:rsidRPr="00EC20A0">
        <w:t>on</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information</w:t>
      </w:r>
      <w:r w:rsidRPr="00EC20A0">
        <w:rPr>
          <w:spacing w:val="-4"/>
        </w:rPr>
        <w:t xml:space="preserve"> </w:t>
      </w:r>
      <w:r w:rsidRPr="00EC20A0">
        <w:t>of</w:t>
      </w:r>
      <w:r w:rsidRPr="00EC20A0">
        <w:rPr>
          <w:spacing w:val="-4"/>
        </w:rPr>
        <w:t xml:space="preserve"> </w:t>
      </w:r>
      <w:r w:rsidRPr="00EC20A0">
        <w:t xml:space="preserve">a component that will be used as audit evidence for the </w:t>
      </w:r>
      <w:r w:rsidRPr="00EC20A0">
        <w:t>group audit. The level of review is a matter of professional judgment. In some situations, the group engagement team may determine that it is appropriate to perform significantly more work, including performing additional audit procedures. In other situations, the auditor may decide less review or no review is necessary. These situations typically</w:t>
      </w:r>
      <w:r w:rsidRPr="00EC20A0">
        <w:rPr>
          <w:spacing w:val="-2"/>
        </w:rPr>
        <w:t xml:space="preserve"> </w:t>
      </w:r>
      <w:r w:rsidRPr="00EC20A0">
        <w:t>involve</w:t>
      </w:r>
      <w:r w:rsidRPr="00EC20A0">
        <w:rPr>
          <w:spacing w:val="-2"/>
        </w:rPr>
        <w:t xml:space="preserve"> </w:t>
      </w:r>
      <w:r w:rsidRPr="00EC20A0">
        <w:t>entities</w:t>
      </w:r>
      <w:r w:rsidRPr="00EC20A0">
        <w:rPr>
          <w:spacing w:val="-3"/>
        </w:rPr>
        <w:t xml:space="preserve"> </w:t>
      </w:r>
      <w:r w:rsidRPr="00EC20A0">
        <w:t>or</w:t>
      </w:r>
      <w:r w:rsidRPr="00EC20A0">
        <w:rPr>
          <w:spacing w:val="-2"/>
        </w:rPr>
        <w:t xml:space="preserve"> </w:t>
      </w:r>
      <w:r w:rsidRPr="00EC20A0">
        <w:t>line</w:t>
      </w:r>
      <w:r w:rsidRPr="00EC20A0">
        <w:rPr>
          <w:spacing w:val="-2"/>
        </w:rPr>
        <w:t xml:space="preserve"> </w:t>
      </w:r>
      <w:r w:rsidRPr="00EC20A0">
        <w:t>items</w:t>
      </w:r>
      <w:r w:rsidRPr="00EC20A0">
        <w:rPr>
          <w:spacing w:val="-3"/>
        </w:rPr>
        <w:t xml:space="preserve"> </w:t>
      </w:r>
      <w:r w:rsidRPr="00EC20A0">
        <w:t>that</w:t>
      </w:r>
      <w:r w:rsidRPr="00EC20A0">
        <w:rPr>
          <w:spacing w:val="-2"/>
        </w:rPr>
        <w:t xml:space="preserve"> </w:t>
      </w:r>
      <w:r w:rsidRPr="00EC20A0">
        <w:t>are</w:t>
      </w:r>
      <w:r w:rsidRPr="00EC20A0">
        <w:rPr>
          <w:spacing w:val="-2"/>
        </w:rPr>
        <w:t xml:space="preserve"> </w:t>
      </w:r>
      <w:r w:rsidRPr="00EC20A0">
        <w:t>very</w:t>
      </w:r>
      <w:r w:rsidRPr="00EC20A0">
        <w:rPr>
          <w:spacing w:val="-2"/>
        </w:rPr>
        <w:t xml:space="preserve"> </w:t>
      </w:r>
      <w:r w:rsidRPr="00EC20A0">
        <w:t>small</w:t>
      </w:r>
      <w:r w:rsidRPr="00EC20A0">
        <w:rPr>
          <w:spacing w:val="-2"/>
        </w:rPr>
        <w:t xml:space="preserve"> </w:t>
      </w:r>
      <w:r w:rsidRPr="00EC20A0">
        <w:t>in</w:t>
      </w:r>
      <w:r w:rsidRPr="00EC20A0">
        <w:rPr>
          <w:spacing w:val="-2"/>
        </w:rPr>
        <w:t xml:space="preserve"> </w:t>
      </w:r>
      <w:r w:rsidRPr="00EC20A0">
        <w:t>relation</w:t>
      </w:r>
      <w:r w:rsidRPr="00EC20A0">
        <w:rPr>
          <w:spacing w:val="-2"/>
        </w:rPr>
        <w:t xml:space="preserve"> </w:t>
      </w:r>
      <w:r w:rsidRPr="00EC20A0">
        <w:t>to</w:t>
      </w:r>
      <w:r w:rsidRPr="00EC20A0">
        <w:rPr>
          <w:spacing w:val="-2"/>
        </w:rPr>
        <w:t xml:space="preserve"> </w:t>
      </w:r>
      <w:r w:rsidRPr="00EC20A0">
        <w:t>the</w:t>
      </w:r>
      <w:r w:rsidRPr="00EC20A0">
        <w:rPr>
          <w:spacing w:val="-2"/>
        </w:rPr>
        <w:t xml:space="preserve"> </w:t>
      </w:r>
      <w:r w:rsidRPr="00EC20A0">
        <w:t>financial statements as a whole. In these situations, the group engagement team may</w:t>
      </w:r>
    </w:p>
    <w:p w14:paraId="24D6000F" w14:textId="77777777" w:rsidR="00245300" w:rsidRPr="00EC20A0" w:rsidRDefault="00245300">
      <w:pPr>
        <w:sectPr w:rsidR="00245300" w:rsidRPr="00EC20A0">
          <w:pgSz w:w="12240" w:h="15840"/>
          <w:pgMar w:top="1340" w:right="940" w:bottom="940" w:left="1020" w:header="721" w:footer="757" w:gutter="0"/>
          <w:cols w:space="720"/>
        </w:sectPr>
      </w:pPr>
    </w:p>
    <w:p w14:paraId="24D60010" w14:textId="77777777" w:rsidR="00245300" w:rsidRPr="00EC20A0" w:rsidRDefault="00F17249">
      <w:pPr>
        <w:pStyle w:val="BodyText"/>
        <w:spacing w:before="121"/>
        <w:ind w:left="1859" w:right="562"/>
      </w:pPr>
      <w:r w:rsidRPr="00EC20A0">
        <w:t>decide</w:t>
      </w:r>
      <w:r w:rsidRPr="00EC20A0">
        <w:rPr>
          <w:spacing w:val="-4"/>
        </w:rPr>
        <w:t xml:space="preserve"> </w:t>
      </w:r>
      <w:r w:rsidRPr="00EC20A0">
        <w:t>to</w:t>
      </w:r>
      <w:r w:rsidRPr="00EC20A0">
        <w:rPr>
          <w:spacing w:val="-4"/>
        </w:rPr>
        <w:t xml:space="preserve"> </w:t>
      </w:r>
      <w:r w:rsidRPr="00EC20A0">
        <w:t>read</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and ask questions if anything seems unusual.</w:t>
      </w:r>
    </w:p>
    <w:p w14:paraId="24D60011" w14:textId="77777777" w:rsidR="00245300" w:rsidRPr="00EC20A0" w:rsidRDefault="00F17249">
      <w:pPr>
        <w:pStyle w:val="ListParagraph"/>
        <w:numPr>
          <w:ilvl w:val="0"/>
          <w:numId w:val="214"/>
        </w:numPr>
        <w:tabs>
          <w:tab w:val="left" w:pos="1859"/>
        </w:tabs>
        <w:spacing w:before="239"/>
        <w:ind w:right="775"/>
      </w:pPr>
      <w:r w:rsidRPr="00EC20A0">
        <w:t>As noted above, the extent of the group engagement team’s review of the component auditor’s documentation depends on the level of review and is a matter</w:t>
      </w:r>
      <w:r w:rsidRPr="00EC20A0">
        <w:rPr>
          <w:spacing w:val="-4"/>
        </w:rPr>
        <w:t xml:space="preserve"> </w:t>
      </w:r>
      <w:r w:rsidRPr="00EC20A0">
        <w:t>of</w:t>
      </w:r>
      <w:r w:rsidRPr="00EC20A0">
        <w:rPr>
          <w:spacing w:val="-4"/>
        </w:rPr>
        <w:t xml:space="preserve"> </w:t>
      </w:r>
      <w:r w:rsidRPr="00EC20A0">
        <w:t>professional</w:t>
      </w:r>
      <w:r w:rsidRPr="00EC20A0">
        <w:rPr>
          <w:spacing w:val="-5"/>
        </w:rPr>
        <w:t xml:space="preserve"> </w:t>
      </w:r>
      <w:r w:rsidRPr="00EC20A0">
        <w:t>judgment.</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consider using</w:t>
      </w:r>
      <w:r w:rsidRPr="00EC20A0">
        <w:rPr>
          <w:spacing w:val="-2"/>
        </w:rPr>
        <w:t xml:space="preserve"> </w:t>
      </w:r>
      <w:r w:rsidRPr="00EC20A0">
        <w:t>the</w:t>
      </w:r>
      <w:r w:rsidRPr="00EC20A0">
        <w:rPr>
          <w:spacing w:val="-2"/>
        </w:rPr>
        <w:t xml:space="preserve"> </w:t>
      </w:r>
      <w:r w:rsidRPr="00EC20A0">
        <w:t>following</w:t>
      </w:r>
      <w:r w:rsidRPr="00EC20A0">
        <w:rPr>
          <w:spacing w:val="-3"/>
        </w:rPr>
        <w:t xml:space="preserve"> </w:t>
      </w:r>
      <w:r w:rsidRPr="00EC20A0">
        <w:t>framework</w:t>
      </w:r>
      <w:r w:rsidRPr="00EC20A0">
        <w:rPr>
          <w:spacing w:val="-2"/>
        </w:rPr>
        <w:t xml:space="preserve"> </w:t>
      </w:r>
      <w:r w:rsidRPr="00EC20A0">
        <w:t>in</w:t>
      </w:r>
      <w:r w:rsidRPr="00EC20A0">
        <w:rPr>
          <w:spacing w:val="-2"/>
        </w:rPr>
        <w:t xml:space="preserve"> </w:t>
      </w:r>
      <w:r w:rsidRPr="00EC20A0">
        <w:t>planning</w:t>
      </w:r>
      <w:r w:rsidRPr="00EC20A0">
        <w:rPr>
          <w:spacing w:val="-3"/>
        </w:rPr>
        <w:t xml:space="preserve"> </w:t>
      </w:r>
      <w:r w:rsidRPr="00EC20A0">
        <w:t>and</w:t>
      </w:r>
      <w:r w:rsidRPr="00EC20A0">
        <w:rPr>
          <w:spacing w:val="-2"/>
        </w:rPr>
        <w:t xml:space="preserve"> </w:t>
      </w:r>
      <w:r w:rsidRPr="00EC20A0">
        <w:t>performing</w:t>
      </w:r>
      <w:r w:rsidRPr="00EC20A0">
        <w:rPr>
          <w:spacing w:val="-2"/>
        </w:rPr>
        <w:t xml:space="preserve"> </w:t>
      </w:r>
      <w:r w:rsidRPr="00EC20A0">
        <w:t>the</w:t>
      </w:r>
      <w:r w:rsidRPr="00EC20A0">
        <w:rPr>
          <w:spacing w:val="-3"/>
        </w:rPr>
        <w:t xml:space="preserve"> </w:t>
      </w:r>
      <w:r w:rsidRPr="00EC20A0">
        <w:t>level</w:t>
      </w:r>
      <w:r w:rsidRPr="00EC20A0">
        <w:rPr>
          <w:spacing w:val="-2"/>
        </w:rPr>
        <w:t xml:space="preserve"> </w:t>
      </w:r>
      <w:r w:rsidRPr="00EC20A0">
        <w:t>of</w:t>
      </w:r>
      <w:r w:rsidRPr="00EC20A0">
        <w:rPr>
          <w:spacing w:val="-2"/>
        </w:rPr>
        <w:t xml:space="preserve"> </w:t>
      </w:r>
      <w:r w:rsidRPr="00EC20A0">
        <w:t>review</w:t>
      </w:r>
      <w:r w:rsidRPr="00EC20A0">
        <w:rPr>
          <w:spacing w:val="-3"/>
        </w:rPr>
        <w:t xml:space="preserve"> </w:t>
      </w:r>
      <w:r w:rsidRPr="00EC20A0">
        <w:t>of the component auditor’s documentation:</w:t>
      </w:r>
    </w:p>
    <w:p w14:paraId="24D60012" w14:textId="77777777" w:rsidR="00245300" w:rsidRPr="00EC20A0" w:rsidRDefault="00F17249">
      <w:pPr>
        <w:pStyle w:val="BodyText"/>
        <w:spacing w:before="240"/>
        <w:ind w:left="1860"/>
      </w:pPr>
      <w:r w:rsidRPr="00EC20A0">
        <w:t>For</w:t>
      </w:r>
      <w:r w:rsidRPr="00EC20A0">
        <w:rPr>
          <w:spacing w:val="-3"/>
        </w:rPr>
        <w:t xml:space="preserve"> </w:t>
      </w:r>
      <w:r w:rsidRPr="00EC20A0">
        <w:t>a</w:t>
      </w:r>
      <w:r w:rsidRPr="00EC20A0">
        <w:rPr>
          <w:spacing w:val="-3"/>
        </w:rPr>
        <w:t xml:space="preserve"> </w:t>
      </w:r>
      <w:r w:rsidRPr="00EC20A0">
        <w:rPr>
          <w:b/>
        </w:rPr>
        <w:t>low</w:t>
      </w:r>
      <w:r w:rsidRPr="00EC20A0">
        <w:rPr>
          <w:b/>
          <w:spacing w:val="-4"/>
        </w:rPr>
        <w:t xml:space="preserve"> </w:t>
      </w:r>
      <w:r w:rsidRPr="00EC20A0">
        <w:rPr>
          <w:b/>
        </w:rPr>
        <w:t>level</w:t>
      </w:r>
      <w:r w:rsidRPr="00EC20A0">
        <w:rPr>
          <w:b/>
          <w:spacing w:val="-3"/>
        </w:rPr>
        <w:t xml:space="preserve"> </w:t>
      </w:r>
      <w:r w:rsidRPr="00EC20A0">
        <w:rPr>
          <w:b/>
        </w:rPr>
        <w:t>of</w:t>
      </w:r>
      <w:r w:rsidRPr="00EC20A0">
        <w:rPr>
          <w:b/>
          <w:spacing w:val="-3"/>
        </w:rPr>
        <w:t xml:space="preserve"> </w:t>
      </w:r>
      <w:r w:rsidRPr="00EC20A0">
        <w:rPr>
          <w:b/>
        </w:rPr>
        <w:t>review</w:t>
      </w:r>
      <w:r w:rsidRPr="00EC20A0">
        <w:t>,</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engagement</w:t>
      </w:r>
      <w:r w:rsidRPr="00EC20A0">
        <w:rPr>
          <w:spacing w:val="-3"/>
        </w:rPr>
        <w:t xml:space="preserve"> </w:t>
      </w:r>
      <w:r w:rsidRPr="00EC20A0">
        <w:t>team</w:t>
      </w:r>
      <w:r w:rsidRPr="00EC20A0">
        <w:rPr>
          <w:spacing w:val="-4"/>
        </w:rPr>
        <w:t xml:space="preserve"> </w:t>
      </w:r>
      <w:r w:rsidRPr="00EC20A0">
        <w:t>may</w:t>
      </w:r>
      <w:r w:rsidRPr="00EC20A0">
        <w:rPr>
          <w:spacing w:val="-3"/>
        </w:rPr>
        <w:t xml:space="preserve"> </w:t>
      </w:r>
      <w:r w:rsidRPr="00EC20A0">
        <w:t>limit</w:t>
      </w:r>
      <w:r w:rsidRPr="00EC20A0">
        <w:rPr>
          <w:spacing w:val="-3"/>
        </w:rPr>
        <w:t xml:space="preserve"> </w:t>
      </w:r>
      <w:r w:rsidRPr="00EC20A0">
        <w:t>the</w:t>
      </w:r>
      <w:r w:rsidRPr="00EC20A0">
        <w:rPr>
          <w:spacing w:val="-3"/>
        </w:rPr>
        <w:t xml:space="preserve"> </w:t>
      </w:r>
      <w:r w:rsidRPr="00EC20A0">
        <w:t>review</w:t>
      </w:r>
      <w:r w:rsidRPr="00EC20A0">
        <w:rPr>
          <w:spacing w:val="-4"/>
        </w:rPr>
        <w:t xml:space="preserve"> </w:t>
      </w:r>
      <w:r w:rsidRPr="00EC20A0">
        <w:t>of documentation to key summary planning and completion documentation.</w:t>
      </w:r>
    </w:p>
    <w:p w14:paraId="24D60013" w14:textId="77777777" w:rsidR="00245300" w:rsidRPr="00EC20A0" w:rsidRDefault="00F17249">
      <w:pPr>
        <w:pStyle w:val="BodyText"/>
        <w:spacing w:before="240"/>
        <w:ind w:left="1860" w:right="656"/>
      </w:pPr>
      <w:r w:rsidRPr="00EC20A0">
        <w:t xml:space="preserve">For a </w:t>
      </w:r>
      <w:r w:rsidRPr="00EC20A0">
        <w:rPr>
          <w:b/>
        </w:rPr>
        <w:t>moderate level of review</w:t>
      </w:r>
      <w:r w:rsidRPr="00EC20A0">
        <w:t>, in addition to the documentation reviewed at the low level of review, the group engagement team should consider reviewing more of the component auditor’s documentation, especially those documents evidencing</w:t>
      </w:r>
      <w:r w:rsidRPr="00EC20A0">
        <w:rPr>
          <w:spacing w:val="-5"/>
        </w:rPr>
        <w:t xml:space="preserve"> </w:t>
      </w:r>
      <w:r w:rsidRPr="00EC20A0">
        <w:t>important</w:t>
      </w:r>
      <w:r w:rsidRPr="00EC20A0">
        <w:rPr>
          <w:spacing w:val="-4"/>
        </w:rPr>
        <w:t xml:space="preserve"> </w:t>
      </w:r>
      <w:r w:rsidRPr="00EC20A0">
        <w:t>decisions.</w:t>
      </w:r>
      <w:r w:rsidRPr="00EC20A0">
        <w:rPr>
          <w:spacing w:val="-4"/>
        </w:rPr>
        <w:t xml:space="preserve"> </w:t>
      </w:r>
      <w:r w:rsidRPr="00EC20A0">
        <w:t>For</w:t>
      </w:r>
      <w:r w:rsidRPr="00EC20A0">
        <w:rPr>
          <w:spacing w:val="-5"/>
        </w:rPr>
        <w:t xml:space="preserve"> </w:t>
      </w:r>
      <w:r w:rsidRPr="00EC20A0">
        <w:t>financial</w:t>
      </w:r>
      <w:r w:rsidRPr="00EC20A0">
        <w:rPr>
          <w:spacing w:val="-5"/>
        </w:rPr>
        <w:t xml:space="preserve"> </w:t>
      </w:r>
      <w:r w:rsidRPr="00EC20A0">
        <w:t>statement</w:t>
      </w:r>
      <w:r w:rsidRPr="00EC20A0">
        <w:rPr>
          <w:spacing w:val="-4"/>
        </w:rPr>
        <w:t xml:space="preserve"> </w:t>
      </w:r>
      <w:r w:rsidRPr="00EC20A0">
        <w:t>audits,</w:t>
      </w:r>
      <w:r w:rsidRPr="00EC20A0">
        <w:rPr>
          <w:spacing w:val="-4"/>
        </w:rPr>
        <w:t xml:space="preserve"> </w:t>
      </w:r>
      <w:r w:rsidRPr="00EC20A0">
        <w:t>this</w:t>
      </w:r>
      <w:r w:rsidRPr="00EC20A0">
        <w:rPr>
          <w:spacing w:val="-5"/>
        </w:rPr>
        <w:t xml:space="preserve"> </w:t>
      </w:r>
      <w:r w:rsidRPr="00EC20A0">
        <w:t>includes</w:t>
      </w:r>
      <w:r w:rsidRPr="00EC20A0">
        <w:rPr>
          <w:spacing w:val="-4"/>
        </w:rPr>
        <w:t xml:space="preserve"> </w:t>
      </w:r>
      <w:r w:rsidRPr="00EC20A0">
        <w:t>the following or equivalent documents:</w:t>
      </w:r>
    </w:p>
    <w:p w14:paraId="24D60014" w14:textId="77777777" w:rsidR="00245300" w:rsidRPr="00EC20A0" w:rsidRDefault="00F17249">
      <w:pPr>
        <w:pStyle w:val="ListParagraph"/>
        <w:numPr>
          <w:ilvl w:val="1"/>
          <w:numId w:val="214"/>
        </w:numPr>
        <w:tabs>
          <w:tab w:val="left" w:pos="2219"/>
        </w:tabs>
        <w:ind w:hanging="359"/>
      </w:pPr>
      <w:r w:rsidRPr="00EC20A0">
        <w:t>audit</w:t>
      </w:r>
      <w:r w:rsidRPr="00EC20A0">
        <w:rPr>
          <w:spacing w:val="-6"/>
        </w:rPr>
        <w:t xml:space="preserve"> </w:t>
      </w:r>
      <w:r w:rsidRPr="00EC20A0">
        <w:t>strategy</w:t>
      </w:r>
      <w:r w:rsidRPr="00EC20A0">
        <w:rPr>
          <w:spacing w:val="-6"/>
        </w:rPr>
        <w:t xml:space="preserve"> </w:t>
      </w:r>
      <w:r w:rsidRPr="00EC20A0">
        <w:t>and</w:t>
      </w:r>
      <w:r w:rsidRPr="00EC20A0">
        <w:rPr>
          <w:spacing w:val="-5"/>
        </w:rPr>
        <w:t xml:space="preserve"> </w:t>
      </w:r>
      <w:r w:rsidRPr="00EC20A0">
        <w:t>audit</w:t>
      </w:r>
      <w:r w:rsidRPr="00EC20A0">
        <w:rPr>
          <w:spacing w:val="-7"/>
        </w:rPr>
        <w:t xml:space="preserve"> </w:t>
      </w:r>
      <w:r w:rsidRPr="00EC20A0">
        <w:rPr>
          <w:spacing w:val="-2"/>
        </w:rPr>
        <w:t>procedures;</w:t>
      </w:r>
    </w:p>
    <w:p w14:paraId="24D60015" w14:textId="77777777" w:rsidR="00245300" w:rsidRPr="00EC20A0" w:rsidRDefault="00F17249">
      <w:pPr>
        <w:pStyle w:val="ListParagraph"/>
        <w:numPr>
          <w:ilvl w:val="1"/>
          <w:numId w:val="214"/>
        </w:numPr>
        <w:tabs>
          <w:tab w:val="left" w:pos="2219"/>
        </w:tabs>
        <w:spacing w:before="239"/>
      </w:pPr>
      <w:r w:rsidRPr="00EC20A0">
        <w:t>line</w:t>
      </w:r>
      <w:r w:rsidRPr="00EC20A0">
        <w:rPr>
          <w:spacing w:val="-6"/>
        </w:rPr>
        <w:t xml:space="preserve"> </w:t>
      </w:r>
      <w:r w:rsidRPr="00EC20A0">
        <w:t>item</w:t>
      </w:r>
      <w:r w:rsidRPr="00EC20A0">
        <w:rPr>
          <w:spacing w:val="-5"/>
        </w:rPr>
        <w:t xml:space="preserve"> </w:t>
      </w:r>
      <w:r w:rsidRPr="00EC20A0">
        <w:t>risk</w:t>
      </w:r>
      <w:r w:rsidRPr="00EC20A0">
        <w:rPr>
          <w:spacing w:val="-6"/>
        </w:rPr>
        <w:t xml:space="preserve"> </w:t>
      </w:r>
      <w:r w:rsidRPr="00EC20A0">
        <w:t>analysis</w:t>
      </w:r>
      <w:r w:rsidRPr="00EC20A0">
        <w:rPr>
          <w:spacing w:val="-5"/>
        </w:rPr>
        <w:t xml:space="preserve"> </w:t>
      </w:r>
      <w:r w:rsidRPr="00EC20A0">
        <w:t>(LIRA)</w:t>
      </w:r>
      <w:r w:rsidRPr="00EC20A0">
        <w:rPr>
          <w:spacing w:val="-5"/>
        </w:rPr>
        <w:t xml:space="preserve"> </w:t>
      </w:r>
      <w:r w:rsidRPr="00EC20A0">
        <w:t>forms</w:t>
      </w:r>
      <w:r w:rsidRPr="00EC20A0">
        <w:rPr>
          <w:spacing w:val="-5"/>
        </w:rPr>
        <w:t xml:space="preserve"> </w:t>
      </w:r>
      <w:r w:rsidRPr="00EC20A0">
        <w:t>at</w:t>
      </w:r>
      <w:r w:rsidRPr="00EC20A0">
        <w:rPr>
          <w:spacing w:val="-5"/>
        </w:rPr>
        <w:t xml:space="preserve"> </w:t>
      </w:r>
      <w:r w:rsidRPr="00EC20A0">
        <w:t>FAM</w:t>
      </w:r>
      <w:r w:rsidRPr="00EC20A0">
        <w:rPr>
          <w:spacing w:val="-6"/>
        </w:rPr>
        <w:t xml:space="preserve"> </w:t>
      </w:r>
      <w:r w:rsidRPr="00EC20A0">
        <w:t>395</w:t>
      </w:r>
      <w:r w:rsidRPr="00EC20A0">
        <w:rPr>
          <w:spacing w:val="-4"/>
        </w:rPr>
        <w:t xml:space="preserve"> </w:t>
      </w:r>
      <w:r w:rsidRPr="00EC20A0">
        <w:rPr>
          <w:spacing w:val="-5"/>
        </w:rPr>
        <w:t>H;</w:t>
      </w:r>
    </w:p>
    <w:p w14:paraId="24D60016" w14:textId="77777777" w:rsidR="00245300" w:rsidRPr="00EC20A0" w:rsidRDefault="00F17249">
      <w:pPr>
        <w:pStyle w:val="ListParagraph"/>
        <w:numPr>
          <w:ilvl w:val="1"/>
          <w:numId w:val="214"/>
        </w:numPr>
        <w:tabs>
          <w:tab w:val="left" w:pos="2219"/>
        </w:tabs>
        <w:spacing w:before="238"/>
      </w:pPr>
      <w:r w:rsidRPr="00EC20A0">
        <w:t>specific</w:t>
      </w:r>
      <w:r w:rsidRPr="00EC20A0">
        <w:rPr>
          <w:spacing w:val="-8"/>
        </w:rPr>
        <w:t xml:space="preserve"> </w:t>
      </w:r>
      <w:r w:rsidRPr="00EC20A0">
        <w:t>control</w:t>
      </w:r>
      <w:r w:rsidRPr="00EC20A0">
        <w:rPr>
          <w:spacing w:val="-7"/>
        </w:rPr>
        <w:t xml:space="preserve"> </w:t>
      </w:r>
      <w:r w:rsidRPr="00EC20A0">
        <w:t>evaluation</w:t>
      </w:r>
      <w:r w:rsidRPr="00EC20A0">
        <w:rPr>
          <w:spacing w:val="-8"/>
        </w:rPr>
        <w:t xml:space="preserve"> </w:t>
      </w:r>
      <w:r w:rsidRPr="00EC20A0">
        <w:t>(SCE)</w:t>
      </w:r>
      <w:r w:rsidRPr="00EC20A0">
        <w:rPr>
          <w:spacing w:val="-7"/>
        </w:rPr>
        <w:t xml:space="preserve"> </w:t>
      </w:r>
      <w:r w:rsidRPr="00EC20A0">
        <w:t>worksheets</w:t>
      </w:r>
      <w:r w:rsidRPr="00EC20A0">
        <w:rPr>
          <w:spacing w:val="-8"/>
        </w:rPr>
        <w:t xml:space="preserve"> </w:t>
      </w:r>
      <w:r w:rsidRPr="00EC20A0">
        <w:t>at</w:t>
      </w:r>
      <w:r w:rsidRPr="00EC20A0">
        <w:rPr>
          <w:spacing w:val="-7"/>
        </w:rPr>
        <w:t xml:space="preserve"> </w:t>
      </w:r>
      <w:r w:rsidRPr="00EC20A0">
        <w:t>FAM</w:t>
      </w:r>
      <w:r w:rsidRPr="00EC20A0">
        <w:rPr>
          <w:spacing w:val="-8"/>
        </w:rPr>
        <w:t xml:space="preserve"> </w:t>
      </w:r>
      <w:r w:rsidRPr="00EC20A0">
        <w:t>395</w:t>
      </w:r>
      <w:r w:rsidRPr="00EC20A0">
        <w:rPr>
          <w:spacing w:val="-8"/>
        </w:rPr>
        <w:t xml:space="preserve"> </w:t>
      </w:r>
      <w:r w:rsidRPr="00EC20A0">
        <w:rPr>
          <w:spacing w:val="-5"/>
        </w:rPr>
        <w:t>G;</w:t>
      </w:r>
    </w:p>
    <w:p w14:paraId="24D60017" w14:textId="77777777" w:rsidR="00245300" w:rsidRPr="00EC20A0" w:rsidRDefault="00F17249">
      <w:pPr>
        <w:pStyle w:val="ListParagraph"/>
        <w:numPr>
          <w:ilvl w:val="1"/>
          <w:numId w:val="214"/>
        </w:numPr>
        <w:tabs>
          <w:tab w:val="left" w:pos="2219"/>
        </w:tabs>
        <w:spacing w:before="238"/>
        <w:ind w:right="1259"/>
      </w:pPr>
      <w:r w:rsidRPr="00EC20A0">
        <w:t>documentation</w:t>
      </w:r>
      <w:r w:rsidRPr="00EC20A0">
        <w:rPr>
          <w:spacing w:val="-5"/>
        </w:rPr>
        <w:t xml:space="preserve"> </w:t>
      </w:r>
      <w:r w:rsidRPr="00EC20A0">
        <w:t>for</w:t>
      </w:r>
      <w:r w:rsidRPr="00EC20A0">
        <w:rPr>
          <w:spacing w:val="-5"/>
        </w:rPr>
        <w:t xml:space="preserve"> </w:t>
      </w:r>
      <w:r w:rsidRPr="00EC20A0">
        <w:t>material</w:t>
      </w:r>
      <w:r w:rsidRPr="00EC20A0">
        <w:rPr>
          <w:spacing w:val="-5"/>
        </w:rPr>
        <w:t xml:space="preserve"> </w:t>
      </w:r>
      <w:r w:rsidRPr="00EC20A0">
        <w:t>line</w:t>
      </w:r>
      <w:r w:rsidRPr="00EC20A0">
        <w:rPr>
          <w:spacing w:val="-6"/>
        </w:rPr>
        <w:t xml:space="preserve"> </w:t>
      </w:r>
      <w:r w:rsidRPr="00EC20A0">
        <w:t>items,</w:t>
      </w:r>
      <w:r w:rsidRPr="00EC20A0">
        <w:rPr>
          <w:spacing w:val="-5"/>
        </w:rPr>
        <w:t xml:space="preserve"> </w:t>
      </w:r>
      <w:r w:rsidRPr="00EC20A0">
        <w:t>accounts,</w:t>
      </w:r>
      <w:r w:rsidRPr="00EC20A0">
        <w:rPr>
          <w:spacing w:val="-7"/>
        </w:rPr>
        <w:t xml:space="preserve"> </w:t>
      </w:r>
      <w:r w:rsidRPr="00EC20A0">
        <w:t>note</w:t>
      </w:r>
      <w:r w:rsidRPr="00EC20A0">
        <w:rPr>
          <w:spacing w:val="-5"/>
        </w:rPr>
        <w:t xml:space="preserve"> </w:t>
      </w:r>
      <w:r w:rsidRPr="00EC20A0">
        <w:t>disclosures,</w:t>
      </w:r>
      <w:r w:rsidRPr="00EC20A0">
        <w:rPr>
          <w:spacing w:val="-5"/>
        </w:rPr>
        <w:t xml:space="preserve"> </w:t>
      </w:r>
      <w:r w:rsidRPr="00EC20A0">
        <w:t>and classes of transactions with high risk of material misstatement;</w:t>
      </w:r>
    </w:p>
    <w:p w14:paraId="24D60018" w14:textId="77777777" w:rsidR="00245300" w:rsidRPr="00EC20A0" w:rsidRDefault="00F17249">
      <w:pPr>
        <w:pStyle w:val="ListParagraph"/>
        <w:numPr>
          <w:ilvl w:val="1"/>
          <w:numId w:val="214"/>
        </w:numPr>
        <w:tabs>
          <w:tab w:val="left" w:pos="2219"/>
        </w:tabs>
        <w:spacing w:before="239"/>
        <w:ind w:hanging="359"/>
      </w:pPr>
      <w:r w:rsidRPr="00EC20A0">
        <w:t>overall</w:t>
      </w:r>
      <w:r w:rsidRPr="00EC20A0">
        <w:rPr>
          <w:spacing w:val="-9"/>
        </w:rPr>
        <w:t xml:space="preserve"> </w:t>
      </w:r>
      <w:r w:rsidRPr="00EC20A0">
        <w:t>analytical</w:t>
      </w:r>
      <w:r w:rsidRPr="00EC20A0">
        <w:rPr>
          <w:spacing w:val="-8"/>
        </w:rPr>
        <w:t xml:space="preserve"> </w:t>
      </w:r>
      <w:r w:rsidRPr="00EC20A0">
        <w:rPr>
          <w:spacing w:val="-2"/>
        </w:rPr>
        <w:t>procedures;</w:t>
      </w:r>
    </w:p>
    <w:p w14:paraId="24D60019" w14:textId="77777777" w:rsidR="00245300" w:rsidRPr="00EC20A0" w:rsidRDefault="00F17249">
      <w:pPr>
        <w:pStyle w:val="ListParagraph"/>
        <w:numPr>
          <w:ilvl w:val="1"/>
          <w:numId w:val="214"/>
        </w:numPr>
        <w:tabs>
          <w:tab w:val="left" w:pos="2219"/>
        </w:tabs>
        <w:spacing w:before="238"/>
      </w:pPr>
      <w:r w:rsidRPr="00EC20A0">
        <w:t>audit</w:t>
      </w:r>
      <w:r w:rsidRPr="00EC20A0">
        <w:rPr>
          <w:spacing w:val="-8"/>
        </w:rPr>
        <w:t xml:space="preserve"> </w:t>
      </w:r>
      <w:r w:rsidRPr="00EC20A0">
        <w:t>completion</w:t>
      </w:r>
      <w:r w:rsidRPr="00EC20A0">
        <w:rPr>
          <w:spacing w:val="-7"/>
        </w:rPr>
        <w:t xml:space="preserve"> </w:t>
      </w:r>
      <w:r w:rsidRPr="00EC20A0">
        <w:t>checklist</w:t>
      </w:r>
      <w:r w:rsidRPr="00EC20A0">
        <w:rPr>
          <w:spacing w:val="-7"/>
        </w:rPr>
        <w:t xml:space="preserve"> </w:t>
      </w:r>
      <w:r w:rsidRPr="00EC20A0">
        <w:t>at</w:t>
      </w:r>
      <w:r w:rsidRPr="00EC20A0">
        <w:rPr>
          <w:spacing w:val="-7"/>
        </w:rPr>
        <w:t xml:space="preserve"> </w:t>
      </w:r>
      <w:r w:rsidRPr="00EC20A0">
        <w:t>FAM</w:t>
      </w:r>
      <w:r w:rsidRPr="00EC20A0">
        <w:rPr>
          <w:spacing w:val="-8"/>
        </w:rPr>
        <w:t xml:space="preserve"> </w:t>
      </w:r>
      <w:r w:rsidRPr="00EC20A0">
        <w:rPr>
          <w:spacing w:val="-2"/>
        </w:rPr>
        <w:t>1003;</w:t>
      </w:r>
    </w:p>
    <w:p w14:paraId="24D6001A" w14:textId="77777777" w:rsidR="00245300" w:rsidRPr="00EC20A0" w:rsidRDefault="00F17249">
      <w:pPr>
        <w:pStyle w:val="ListParagraph"/>
        <w:numPr>
          <w:ilvl w:val="1"/>
          <w:numId w:val="214"/>
        </w:numPr>
        <w:tabs>
          <w:tab w:val="left" w:pos="2219"/>
        </w:tabs>
        <w:spacing w:before="238"/>
      </w:pPr>
      <w:r w:rsidRPr="00EC20A0">
        <w:t>audit</w:t>
      </w:r>
      <w:r w:rsidRPr="00EC20A0">
        <w:rPr>
          <w:spacing w:val="-8"/>
        </w:rPr>
        <w:t xml:space="preserve"> </w:t>
      </w:r>
      <w:r w:rsidRPr="00EC20A0">
        <w:t>summary</w:t>
      </w:r>
      <w:r w:rsidRPr="00EC20A0">
        <w:rPr>
          <w:spacing w:val="-7"/>
        </w:rPr>
        <w:t xml:space="preserve"> </w:t>
      </w:r>
      <w:r w:rsidRPr="00EC20A0">
        <w:rPr>
          <w:spacing w:val="-2"/>
        </w:rPr>
        <w:t>memorandum;</w:t>
      </w:r>
    </w:p>
    <w:p w14:paraId="24D6001B" w14:textId="77777777" w:rsidR="00245300" w:rsidRPr="00EC20A0" w:rsidRDefault="00F17249">
      <w:pPr>
        <w:pStyle w:val="ListParagraph"/>
        <w:numPr>
          <w:ilvl w:val="1"/>
          <w:numId w:val="214"/>
        </w:numPr>
        <w:tabs>
          <w:tab w:val="left" w:pos="2219"/>
        </w:tabs>
        <w:spacing w:before="238"/>
      </w:pPr>
      <w:r w:rsidRPr="00EC20A0">
        <w:t>summary</w:t>
      </w:r>
      <w:r w:rsidRPr="00EC20A0">
        <w:rPr>
          <w:spacing w:val="-7"/>
        </w:rPr>
        <w:t xml:space="preserve"> </w:t>
      </w:r>
      <w:r w:rsidRPr="00EC20A0">
        <w:t>of</w:t>
      </w:r>
      <w:r w:rsidRPr="00EC20A0">
        <w:rPr>
          <w:spacing w:val="-7"/>
        </w:rPr>
        <w:t xml:space="preserve"> </w:t>
      </w:r>
      <w:r w:rsidRPr="00EC20A0">
        <w:t>uncorrected</w:t>
      </w:r>
      <w:r w:rsidRPr="00EC20A0">
        <w:rPr>
          <w:spacing w:val="-8"/>
        </w:rPr>
        <w:t xml:space="preserve"> </w:t>
      </w:r>
      <w:r w:rsidRPr="00EC20A0">
        <w:t>misstatements</w:t>
      </w:r>
      <w:r w:rsidRPr="00EC20A0">
        <w:rPr>
          <w:spacing w:val="-6"/>
        </w:rPr>
        <w:t xml:space="preserve"> </w:t>
      </w:r>
      <w:r w:rsidRPr="00EC20A0">
        <w:t>at</w:t>
      </w:r>
      <w:r w:rsidRPr="00EC20A0">
        <w:rPr>
          <w:spacing w:val="-7"/>
        </w:rPr>
        <w:t xml:space="preserve"> </w:t>
      </w:r>
      <w:r w:rsidRPr="00EC20A0">
        <w:t>FAM</w:t>
      </w:r>
      <w:r w:rsidRPr="00EC20A0">
        <w:rPr>
          <w:spacing w:val="-8"/>
        </w:rPr>
        <w:t xml:space="preserve"> </w:t>
      </w:r>
      <w:r w:rsidRPr="00EC20A0">
        <w:t>595</w:t>
      </w:r>
      <w:r w:rsidRPr="00EC20A0">
        <w:rPr>
          <w:spacing w:val="-7"/>
        </w:rPr>
        <w:t xml:space="preserve"> </w:t>
      </w:r>
      <w:r w:rsidRPr="00EC20A0">
        <w:t>C;</w:t>
      </w:r>
      <w:r w:rsidRPr="00EC20A0">
        <w:rPr>
          <w:spacing w:val="-7"/>
        </w:rPr>
        <w:t xml:space="preserve"> </w:t>
      </w:r>
      <w:r w:rsidRPr="00EC20A0">
        <w:rPr>
          <w:spacing w:val="-5"/>
        </w:rPr>
        <w:t>and</w:t>
      </w:r>
    </w:p>
    <w:p w14:paraId="24D6001C" w14:textId="77777777" w:rsidR="00245300" w:rsidRPr="00EC20A0" w:rsidRDefault="00F17249">
      <w:pPr>
        <w:pStyle w:val="ListParagraph"/>
        <w:numPr>
          <w:ilvl w:val="1"/>
          <w:numId w:val="214"/>
        </w:numPr>
        <w:tabs>
          <w:tab w:val="left" w:pos="2218"/>
        </w:tabs>
        <w:spacing w:before="239"/>
        <w:ind w:left="2218" w:hanging="359"/>
      </w:pPr>
      <w:r w:rsidRPr="00EC20A0">
        <w:t>documentation</w:t>
      </w:r>
      <w:r w:rsidRPr="00EC20A0">
        <w:rPr>
          <w:spacing w:val="-8"/>
        </w:rPr>
        <w:t xml:space="preserve"> </w:t>
      </w:r>
      <w:r w:rsidRPr="00EC20A0">
        <w:t>of</w:t>
      </w:r>
      <w:r w:rsidRPr="00EC20A0">
        <w:rPr>
          <w:spacing w:val="-8"/>
        </w:rPr>
        <w:t xml:space="preserve"> </w:t>
      </w:r>
      <w:r w:rsidRPr="00EC20A0">
        <w:t>key</w:t>
      </w:r>
      <w:r w:rsidRPr="00EC20A0">
        <w:rPr>
          <w:spacing w:val="-8"/>
        </w:rPr>
        <w:t xml:space="preserve"> </w:t>
      </w:r>
      <w:r w:rsidRPr="00EC20A0">
        <w:t>decisions</w:t>
      </w:r>
      <w:r w:rsidRPr="00EC20A0">
        <w:rPr>
          <w:spacing w:val="-7"/>
        </w:rPr>
        <w:t xml:space="preserve"> </w:t>
      </w:r>
      <w:r w:rsidRPr="00EC20A0">
        <w:t>and</w:t>
      </w:r>
      <w:r w:rsidRPr="00EC20A0">
        <w:rPr>
          <w:spacing w:val="-9"/>
        </w:rPr>
        <w:t xml:space="preserve"> </w:t>
      </w:r>
      <w:r w:rsidRPr="00EC20A0">
        <w:t>significant</w:t>
      </w:r>
      <w:r w:rsidRPr="00EC20A0">
        <w:rPr>
          <w:spacing w:val="-8"/>
        </w:rPr>
        <w:t xml:space="preserve"> </w:t>
      </w:r>
      <w:r w:rsidRPr="00EC20A0">
        <w:rPr>
          <w:spacing w:val="-2"/>
        </w:rPr>
        <w:t>judgments.</w:t>
      </w:r>
    </w:p>
    <w:p w14:paraId="24D6001D" w14:textId="77777777" w:rsidR="00245300" w:rsidRPr="00EC20A0" w:rsidRDefault="00F17249">
      <w:pPr>
        <w:pStyle w:val="BodyText"/>
        <w:spacing w:before="238"/>
        <w:ind w:left="1858" w:right="604" w:firstLine="1"/>
      </w:pPr>
      <w:r w:rsidRPr="00EC20A0">
        <w:t xml:space="preserve">For a </w:t>
      </w:r>
      <w:r w:rsidRPr="00EC20A0">
        <w:rPr>
          <w:b/>
        </w:rPr>
        <w:t>high level of review</w:t>
      </w:r>
      <w:r w:rsidRPr="00EC20A0">
        <w:t xml:space="preserve">, the group engagement team should </w:t>
      </w:r>
      <w:r w:rsidRPr="00EC20A0">
        <w:t>consider reviewing all of the items for the moderate level of review plus any important documentation, particularly relating to areas with significant risk, such as memorandums documenting key meetings and discussions with management, the evaluation of sample results, and the summary of uncorrected misstatements.</w:t>
      </w:r>
      <w:r w:rsidRPr="00EC20A0">
        <w:rPr>
          <w:spacing w:val="-4"/>
        </w:rPr>
        <w:t xml:space="preserve"> </w:t>
      </w:r>
      <w:r w:rsidRPr="00EC20A0">
        <w:t>In</w:t>
      </w:r>
      <w:r w:rsidRPr="00EC20A0">
        <w:rPr>
          <w:spacing w:val="-4"/>
        </w:rPr>
        <w:t xml:space="preserve"> </w:t>
      </w:r>
      <w:r w:rsidRPr="00EC20A0">
        <w:t>some</w:t>
      </w:r>
      <w:r w:rsidRPr="00EC20A0">
        <w:rPr>
          <w:spacing w:val="-4"/>
        </w:rPr>
        <w:t xml:space="preserve"> </w:t>
      </w:r>
      <w:r w:rsidRPr="00EC20A0">
        <w:t>cases,</w:t>
      </w:r>
      <w:r w:rsidRPr="00EC20A0">
        <w:rPr>
          <w:spacing w:val="-4"/>
        </w:rPr>
        <w:t xml:space="preserve"> </w:t>
      </w:r>
      <w:r w:rsidRPr="00EC20A0">
        <w:t>the</w:t>
      </w:r>
      <w:r w:rsidRPr="00EC20A0">
        <w:rPr>
          <w:spacing w:val="-7"/>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may</w:t>
      </w:r>
      <w:r w:rsidRPr="00EC20A0">
        <w:rPr>
          <w:spacing w:val="-4"/>
        </w:rPr>
        <w:t xml:space="preserve"> </w:t>
      </w:r>
      <w:r w:rsidRPr="00EC20A0">
        <w:t>determine</w:t>
      </w:r>
      <w:r w:rsidRPr="00EC20A0">
        <w:rPr>
          <w:spacing w:val="-4"/>
        </w:rPr>
        <w:t xml:space="preserve"> </w:t>
      </w:r>
      <w:r w:rsidRPr="00EC20A0">
        <w:t xml:space="preserve">that it should coordinate or concur with the component auditor’s major planning decisions before audit work is started. Additionally, in some </w:t>
      </w:r>
      <w:r w:rsidRPr="00EC20A0">
        <w:t>cases, the group engagement team should hold discussions with audited entity management and/or perform additional audit procedures in order to meet the relevant requirements of GAGAS.</w:t>
      </w:r>
    </w:p>
    <w:p w14:paraId="24D6001E" w14:textId="77777777" w:rsidR="00245300" w:rsidRPr="00EC20A0" w:rsidRDefault="00245300">
      <w:pPr>
        <w:sectPr w:rsidR="00245300" w:rsidRPr="00EC20A0">
          <w:pgSz w:w="12240" w:h="15840"/>
          <w:pgMar w:top="1340" w:right="940" w:bottom="940" w:left="1020" w:header="721" w:footer="757" w:gutter="0"/>
          <w:cols w:space="720"/>
        </w:sectPr>
      </w:pPr>
    </w:p>
    <w:p w14:paraId="24D6001F" w14:textId="77777777" w:rsidR="00245300" w:rsidRPr="00EC20A0" w:rsidRDefault="00F17249">
      <w:pPr>
        <w:pStyle w:val="Heading4"/>
        <w:spacing w:before="121"/>
      </w:pPr>
      <w:bookmarkStart w:id="53" w:name="Understanding_the_Group,_Its_Components,"/>
      <w:bookmarkEnd w:id="53"/>
      <w:r w:rsidRPr="00EC20A0">
        <w:t>Understanding</w:t>
      </w:r>
      <w:r w:rsidRPr="00EC20A0">
        <w:rPr>
          <w:spacing w:val="-13"/>
        </w:rPr>
        <w:t xml:space="preserve"> </w:t>
      </w:r>
      <w:r w:rsidRPr="00EC20A0">
        <w:t>the</w:t>
      </w:r>
      <w:r w:rsidRPr="00EC20A0">
        <w:rPr>
          <w:spacing w:val="-12"/>
        </w:rPr>
        <w:t xml:space="preserve"> </w:t>
      </w:r>
      <w:r w:rsidRPr="00EC20A0">
        <w:t>Group,</w:t>
      </w:r>
      <w:r w:rsidRPr="00EC20A0">
        <w:rPr>
          <w:spacing w:val="-11"/>
        </w:rPr>
        <w:t xml:space="preserve"> </w:t>
      </w:r>
      <w:r w:rsidRPr="00EC20A0">
        <w:t>Its</w:t>
      </w:r>
      <w:r w:rsidRPr="00EC20A0">
        <w:rPr>
          <w:spacing w:val="-12"/>
        </w:rPr>
        <w:t xml:space="preserve"> </w:t>
      </w:r>
      <w:r w:rsidRPr="00EC20A0">
        <w:t>Components,</w:t>
      </w:r>
      <w:r w:rsidRPr="00EC20A0">
        <w:rPr>
          <w:spacing w:val="-12"/>
        </w:rPr>
        <w:t xml:space="preserve"> </w:t>
      </w:r>
      <w:r w:rsidRPr="00EC20A0">
        <w:t>and</w:t>
      </w:r>
      <w:r w:rsidRPr="00EC20A0">
        <w:rPr>
          <w:spacing w:val="-13"/>
        </w:rPr>
        <w:t xml:space="preserve"> </w:t>
      </w:r>
      <w:r w:rsidRPr="00EC20A0">
        <w:t>Their</w:t>
      </w:r>
      <w:r w:rsidRPr="00EC20A0">
        <w:rPr>
          <w:spacing w:val="-12"/>
        </w:rPr>
        <w:t xml:space="preserve"> </w:t>
      </w:r>
      <w:r w:rsidRPr="00EC20A0">
        <w:rPr>
          <w:spacing w:val="-2"/>
        </w:rPr>
        <w:t>Environments</w:t>
      </w:r>
    </w:p>
    <w:p w14:paraId="24D60020" w14:textId="77777777" w:rsidR="00245300" w:rsidRPr="00EC20A0" w:rsidRDefault="00F17249">
      <w:pPr>
        <w:pStyle w:val="ListParagraph"/>
        <w:numPr>
          <w:ilvl w:val="0"/>
          <w:numId w:val="214"/>
        </w:numPr>
        <w:tabs>
          <w:tab w:val="left" w:pos="1859"/>
        </w:tabs>
        <w:ind w:right="702" w:hanging="720"/>
      </w:pPr>
      <w:r w:rsidRPr="00EC20A0">
        <w:t>The</w:t>
      </w:r>
      <w:r w:rsidRPr="00EC20A0">
        <w:rPr>
          <w:spacing w:val="-3"/>
        </w:rPr>
        <w:t xml:space="preserve"> </w:t>
      </w:r>
      <w:r w:rsidRPr="00EC20A0">
        <w:t>auditor</w:t>
      </w:r>
      <w:r w:rsidRPr="00EC20A0">
        <w:rPr>
          <w:spacing w:val="-3"/>
        </w:rPr>
        <w:t xml:space="preserve"> </w:t>
      </w:r>
      <w:r w:rsidRPr="00EC20A0">
        <w:t>is</w:t>
      </w:r>
      <w:r w:rsidRPr="00EC20A0">
        <w:rPr>
          <w:spacing w:val="-3"/>
        </w:rPr>
        <w:t xml:space="preserve"> </w:t>
      </w:r>
      <w:r w:rsidRPr="00EC20A0">
        <w:t>required</w:t>
      </w:r>
      <w:r w:rsidRPr="00EC20A0">
        <w:rPr>
          <w:spacing w:val="-3"/>
        </w:rPr>
        <w:t xml:space="preserve"> </w:t>
      </w:r>
      <w:r w:rsidRPr="00EC20A0">
        <w:t>to</w:t>
      </w:r>
      <w:r w:rsidRPr="00EC20A0">
        <w:rPr>
          <w:spacing w:val="-4"/>
        </w:rPr>
        <w:t xml:space="preserve"> </w:t>
      </w:r>
      <w:r w:rsidRPr="00EC20A0">
        <w:t>identify</w:t>
      </w:r>
      <w:r w:rsidRPr="00EC20A0">
        <w:rPr>
          <w:spacing w:val="-3"/>
        </w:rPr>
        <w:t xml:space="preserve"> </w:t>
      </w:r>
      <w:r w:rsidRPr="00EC20A0">
        <w:t>and</w:t>
      </w:r>
      <w:r w:rsidRPr="00EC20A0">
        <w:rPr>
          <w:spacing w:val="-4"/>
        </w:rPr>
        <w:t xml:space="preserve"> </w:t>
      </w:r>
      <w:r w:rsidRPr="00EC20A0">
        <w:t>assess</w:t>
      </w:r>
      <w:r w:rsidRPr="00EC20A0">
        <w:rPr>
          <w:spacing w:val="-4"/>
        </w:rPr>
        <w:t xml:space="preserve"> </w:t>
      </w:r>
      <w:r w:rsidRPr="00EC20A0">
        <w:t>the</w:t>
      </w:r>
      <w:r w:rsidRPr="00EC20A0">
        <w:rPr>
          <w:spacing w:val="-4"/>
        </w:rPr>
        <w:t xml:space="preserve"> </w:t>
      </w:r>
      <w:r w:rsidRPr="00EC20A0">
        <w:t>risks</w:t>
      </w:r>
      <w:r w:rsidRPr="00EC20A0">
        <w:rPr>
          <w:spacing w:val="-3"/>
        </w:rPr>
        <w:t xml:space="preserve"> </w:t>
      </w:r>
      <w:r w:rsidRPr="00EC20A0">
        <w:t>of</w:t>
      </w:r>
      <w:r w:rsidRPr="00EC20A0">
        <w:rPr>
          <w:spacing w:val="-3"/>
        </w:rPr>
        <w:t xml:space="preserve"> </w:t>
      </w:r>
      <w:r w:rsidRPr="00EC20A0">
        <w:t>material</w:t>
      </w:r>
      <w:r w:rsidRPr="00EC20A0">
        <w:rPr>
          <w:spacing w:val="-3"/>
        </w:rPr>
        <w:t xml:space="preserve"> </w:t>
      </w:r>
      <w:r w:rsidRPr="00EC20A0">
        <w:t>misstatement by obtaining an understanding of the entity and its environment, the applicable financial reporting framework (generally U.S. GAAP), and the entity’s internal control. The group engagement team should enhance its understanding of the group, its components, and their environments, including group-wide controls, obtained during the acceptance or continuance stage. (AU-C 600A.20)</w:t>
      </w:r>
    </w:p>
    <w:p w14:paraId="24D60021" w14:textId="77777777" w:rsidR="00245300" w:rsidRPr="00EC20A0" w:rsidRDefault="00F17249">
      <w:pPr>
        <w:pStyle w:val="BodyText"/>
        <w:spacing w:before="240"/>
        <w:ind w:left="1858" w:right="562"/>
      </w:pPr>
      <w:r w:rsidRPr="00EC20A0">
        <w:t>The group engagement team should also obtain an understanding of the consolidation process,</w:t>
      </w:r>
      <w:r w:rsidRPr="00EC20A0">
        <w:rPr>
          <w:spacing w:val="-1"/>
        </w:rPr>
        <w:t xml:space="preserve"> </w:t>
      </w:r>
      <w:r w:rsidRPr="00EC20A0">
        <w:t>including the instructions that group management issued to components (AU-C 600A.20). Group management ordinarily issues instructions to components in order to achieve uniformity and comparability of financial information. A group engagement team’s understanding of these instructions</w:t>
      </w:r>
      <w:r w:rsidRPr="00EC20A0">
        <w:rPr>
          <w:spacing w:val="-5"/>
        </w:rPr>
        <w:t xml:space="preserve"> </w:t>
      </w:r>
      <w:r w:rsidRPr="00EC20A0">
        <w:t>may</w:t>
      </w:r>
      <w:r w:rsidRPr="00EC20A0">
        <w:rPr>
          <w:spacing w:val="-4"/>
        </w:rPr>
        <w:t xml:space="preserve"> </w:t>
      </w:r>
      <w:r w:rsidRPr="00EC20A0">
        <w:t>include</w:t>
      </w:r>
      <w:r w:rsidRPr="00EC20A0">
        <w:rPr>
          <w:spacing w:val="-5"/>
        </w:rPr>
        <w:t xml:space="preserve"> </w:t>
      </w:r>
      <w:r w:rsidRPr="00EC20A0">
        <w:t>whether</w:t>
      </w:r>
      <w:r w:rsidRPr="00EC20A0">
        <w:rPr>
          <w:spacing w:val="-4"/>
        </w:rPr>
        <w:t xml:space="preserve"> </w:t>
      </w:r>
      <w:r w:rsidRPr="00EC20A0">
        <w:t>the</w:t>
      </w:r>
      <w:r w:rsidRPr="00EC20A0">
        <w:rPr>
          <w:spacing w:val="-4"/>
        </w:rPr>
        <w:t xml:space="preserve"> </w:t>
      </w:r>
      <w:r w:rsidRPr="00EC20A0">
        <w:t>instructions</w:t>
      </w:r>
      <w:r w:rsidRPr="00EC20A0">
        <w:rPr>
          <w:spacing w:val="-5"/>
        </w:rPr>
        <w:t xml:space="preserve"> </w:t>
      </w:r>
      <w:r w:rsidRPr="00EC20A0">
        <w:t>describe</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reporting framework (generally U.S. GAAP), provide for disclosures consistent with the framework, and provide for component management’s approval of the financial inf</w:t>
      </w:r>
      <w:r w:rsidRPr="00EC20A0">
        <w:t>ormation. (AU-C 600A.A32–.A34)</w:t>
      </w:r>
    </w:p>
    <w:p w14:paraId="24D60022" w14:textId="77777777" w:rsidR="00245300" w:rsidRPr="00EC20A0" w:rsidRDefault="00F17249">
      <w:pPr>
        <w:pStyle w:val="ListParagraph"/>
        <w:numPr>
          <w:ilvl w:val="0"/>
          <w:numId w:val="214"/>
        </w:numPr>
        <w:tabs>
          <w:tab w:val="left" w:pos="1859"/>
        </w:tabs>
        <w:ind w:hanging="719"/>
      </w:pPr>
      <w:r w:rsidRPr="00EC20A0">
        <w:t>The</w:t>
      </w:r>
      <w:r w:rsidRPr="00EC20A0">
        <w:rPr>
          <w:spacing w:val="-7"/>
        </w:rPr>
        <w:t xml:space="preserve"> </w:t>
      </w:r>
      <w:r w:rsidRPr="00EC20A0">
        <w:t>group</w:t>
      </w:r>
      <w:r w:rsidRPr="00EC20A0">
        <w:rPr>
          <w:spacing w:val="-7"/>
        </w:rPr>
        <w:t xml:space="preserve"> </w:t>
      </w:r>
      <w:r w:rsidRPr="00EC20A0">
        <w:t>engagement</w:t>
      </w:r>
      <w:r w:rsidRPr="00EC20A0">
        <w:rPr>
          <w:spacing w:val="-7"/>
        </w:rPr>
        <w:t xml:space="preserve"> </w:t>
      </w:r>
      <w:r w:rsidRPr="00EC20A0">
        <w:t>team</w:t>
      </w:r>
      <w:r w:rsidRPr="00EC20A0">
        <w:rPr>
          <w:spacing w:val="-7"/>
        </w:rPr>
        <w:t xml:space="preserve"> </w:t>
      </w:r>
      <w:r w:rsidRPr="00EC20A0">
        <w:t>should</w:t>
      </w:r>
      <w:r w:rsidRPr="00EC20A0">
        <w:rPr>
          <w:spacing w:val="-7"/>
        </w:rPr>
        <w:t xml:space="preserve"> </w:t>
      </w:r>
      <w:r w:rsidRPr="00EC20A0">
        <w:t>obtain</w:t>
      </w:r>
      <w:r w:rsidRPr="00EC20A0">
        <w:rPr>
          <w:spacing w:val="-7"/>
        </w:rPr>
        <w:t xml:space="preserve"> </w:t>
      </w:r>
      <w:r w:rsidRPr="00EC20A0">
        <w:t>an</w:t>
      </w:r>
      <w:r w:rsidRPr="00EC20A0">
        <w:rPr>
          <w:spacing w:val="-6"/>
        </w:rPr>
        <w:t xml:space="preserve"> </w:t>
      </w:r>
      <w:r w:rsidRPr="00EC20A0">
        <w:t>understanding</w:t>
      </w:r>
      <w:r w:rsidRPr="00EC20A0">
        <w:rPr>
          <w:spacing w:val="-8"/>
        </w:rPr>
        <w:t xml:space="preserve"> </w:t>
      </w:r>
      <w:r w:rsidRPr="00EC20A0">
        <w:t>that</w:t>
      </w:r>
      <w:r w:rsidRPr="00EC20A0">
        <w:rPr>
          <w:spacing w:val="-6"/>
        </w:rPr>
        <w:t xml:space="preserve"> </w:t>
      </w:r>
      <w:r w:rsidRPr="00EC20A0">
        <w:t>is</w:t>
      </w:r>
      <w:r w:rsidRPr="00EC20A0">
        <w:rPr>
          <w:spacing w:val="-7"/>
        </w:rPr>
        <w:t xml:space="preserve"> </w:t>
      </w:r>
      <w:r w:rsidRPr="00EC20A0">
        <w:t>sufficient</w:t>
      </w:r>
      <w:r w:rsidRPr="00EC20A0">
        <w:rPr>
          <w:spacing w:val="-7"/>
        </w:rPr>
        <w:t xml:space="preserve"> </w:t>
      </w:r>
      <w:r w:rsidRPr="00EC20A0">
        <w:rPr>
          <w:spacing w:val="-5"/>
        </w:rPr>
        <w:t>to</w:t>
      </w:r>
    </w:p>
    <w:p w14:paraId="24D60023" w14:textId="77777777" w:rsidR="00245300" w:rsidRPr="00EC20A0" w:rsidRDefault="00F17249">
      <w:pPr>
        <w:pStyle w:val="ListParagraph"/>
        <w:numPr>
          <w:ilvl w:val="1"/>
          <w:numId w:val="214"/>
        </w:numPr>
        <w:tabs>
          <w:tab w:val="left" w:pos="2220"/>
        </w:tabs>
        <w:spacing w:before="239"/>
        <w:ind w:left="2220" w:right="891" w:hanging="361"/>
      </w:pPr>
      <w:r w:rsidRPr="00EC20A0">
        <w:t>confirm</w:t>
      </w:r>
      <w:r w:rsidRPr="00EC20A0">
        <w:rPr>
          <w:spacing w:val="-4"/>
        </w:rPr>
        <w:t xml:space="preserve"> </w:t>
      </w:r>
      <w:r w:rsidRPr="00EC20A0">
        <w:t>or</w:t>
      </w:r>
      <w:r w:rsidRPr="00EC20A0">
        <w:rPr>
          <w:spacing w:val="-3"/>
        </w:rPr>
        <w:t xml:space="preserve"> </w:t>
      </w:r>
      <w:r w:rsidRPr="00EC20A0">
        <w:t>revise</w:t>
      </w:r>
      <w:r w:rsidRPr="00EC20A0">
        <w:rPr>
          <w:spacing w:val="-3"/>
        </w:rPr>
        <w:t xml:space="preserve"> </w:t>
      </w:r>
      <w:r w:rsidRPr="00EC20A0">
        <w:t>its</w:t>
      </w:r>
      <w:r w:rsidRPr="00EC20A0">
        <w:rPr>
          <w:spacing w:val="-3"/>
        </w:rPr>
        <w:t xml:space="preserve"> </w:t>
      </w:r>
      <w:r w:rsidRPr="00EC20A0">
        <w:t>initial</w:t>
      </w:r>
      <w:r w:rsidRPr="00EC20A0">
        <w:rPr>
          <w:spacing w:val="-3"/>
        </w:rPr>
        <w:t xml:space="preserve"> </w:t>
      </w:r>
      <w:r w:rsidRPr="00EC20A0">
        <w:t>identification</w:t>
      </w:r>
      <w:r w:rsidRPr="00EC20A0">
        <w:rPr>
          <w:spacing w:val="-3"/>
        </w:rPr>
        <w:t xml:space="preserve"> </w:t>
      </w:r>
      <w:r w:rsidRPr="00EC20A0">
        <w:t>of</w:t>
      </w:r>
      <w:r w:rsidRPr="00EC20A0">
        <w:rPr>
          <w:spacing w:val="-3"/>
        </w:rPr>
        <w:t xml:space="preserve"> </w:t>
      </w:r>
      <w:r w:rsidRPr="00EC20A0">
        <w:t>components</w:t>
      </w:r>
      <w:r w:rsidRPr="00EC20A0">
        <w:rPr>
          <w:spacing w:val="-3"/>
        </w:rPr>
        <w:t xml:space="preserve"> </w:t>
      </w:r>
      <w:r w:rsidRPr="00EC20A0">
        <w:t>that</w:t>
      </w:r>
      <w:r w:rsidRPr="00EC20A0">
        <w:rPr>
          <w:spacing w:val="-3"/>
        </w:rPr>
        <w:t xml:space="preserve"> </w:t>
      </w:r>
      <w:r w:rsidRPr="00EC20A0">
        <w:t>are</w:t>
      </w:r>
      <w:r w:rsidRPr="00EC20A0">
        <w:rPr>
          <w:spacing w:val="-3"/>
        </w:rPr>
        <w:t xml:space="preserve"> </w:t>
      </w:r>
      <w:r w:rsidRPr="00EC20A0">
        <w:t>likely</w:t>
      </w:r>
      <w:r w:rsidRPr="00EC20A0">
        <w:rPr>
          <w:spacing w:val="-3"/>
        </w:rPr>
        <w:t xml:space="preserve"> </w:t>
      </w:r>
      <w:r w:rsidRPr="00EC20A0">
        <w:t>to</w:t>
      </w:r>
      <w:r w:rsidRPr="00EC20A0">
        <w:rPr>
          <w:spacing w:val="-3"/>
        </w:rPr>
        <w:t xml:space="preserve"> </w:t>
      </w:r>
      <w:r w:rsidRPr="00EC20A0">
        <w:t xml:space="preserve">be </w:t>
      </w:r>
      <w:r w:rsidRPr="00EC20A0">
        <w:t>significant and</w:t>
      </w:r>
    </w:p>
    <w:p w14:paraId="24D60024" w14:textId="77777777" w:rsidR="00245300" w:rsidRPr="00EC20A0" w:rsidRDefault="00F17249">
      <w:pPr>
        <w:pStyle w:val="ListParagraph"/>
        <w:numPr>
          <w:ilvl w:val="1"/>
          <w:numId w:val="214"/>
        </w:numPr>
        <w:tabs>
          <w:tab w:val="left" w:pos="2219"/>
        </w:tabs>
        <w:spacing w:before="238"/>
        <w:ind w:right="733"/>
      </w:pPr>
      <w:r w:rsidRPr="00EC20A0">
        <w:t>assess</w:t>
      </w:r>
      <w:r w:rsidRPr="00EC20A0">
        <w:rPr>
          <w:spacing w:val="-5"/>
        </w:rPr>
        <w:t xml:space="preserve"> </w:t>
      </w:r>
      <w:r w:rsidRPr="00EC20A0">
        <w:t>the</w:t>
      </w:r>
      <w:r w:rsidRPr="00EC20A0">
        <w:rPr>
          <w:spacing w:val="-4"/>
        </w:rPr>
        <w:t xml:space="preserve"> </w:t>
      </w:r>
      <w:r w:rsidRPr="00EC20A0">
        <w:t>risks</w:t>
      </w:r>
      <w:r w:rsidRPr="00EC20A0">
        <w:rPr>
          <w:spacing w:val="-4"/>
        </w:rPr>
        <w:t xml:space="preserve"> </w:t>
      </w:r>
      <w:r w:rsidRPr="00EC20A0">
        <w:t>of</w:t>
      </w:r>
      <w:r w:rsidRPr="00EC20A0">
        <w:rPr>
          <w:spacing w:val="-5"/>
        </w:rPr>
        <w:t xml:space="preserve"> </w:t>
      </w:r>
      <w:r w:rsidRPr="00EC20A0">
        <w:t>material</w:t>
      </w:r>
      <w:r w:rsidRPr="00EC20A0">
        <w:rPr>
          <w:spacing w:val="-4"/>
        </w:rPr>
        <w:t xml:space="preserve"> </w:t>
      </w:r>
      <w:r w:rsidRPr="00EC20A0">
        <w:t>misstatement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financial</w:t>
      </w:r>
      <w:r w:rsidRPr="00EC20A0">
        <w:rPr>
          <w:spacing w:val="-4"/>
        </w:rPr>
        <w:t xml:space="preserve"> </w:t>
      </w:r>
      <w:r w:rsidRPr="00EC20A0">
        <w:t>statements, whether due to fraud or error (AU-C 600A.21).</w:t>
      </w:r>
    </w:p>
    <w:p w14:paraId="24D60025" w14:textId="77777777" w:rsidR="00245300" w:rsidRPr="00EC20A0" w:rsidRDefault="00F17249">
      <w:pPr>
        <w:pStyle w:val="BodyText"/>
        <w:spacing w:before="239"/>
        <w:ind w:left="1860" w:right="604" w:hanging="1"/>
      </w:pP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3"/>
        </w:rPr>
        <w:t xml:space="preserve"> </w:t>
      </w:r>
      <w:r w:rsidRPr="00EC20A0">
        <w:t>team’s</w:t>
      </w:r>
      <w:r w:rsidRPr="00EC20A0">
        <w:rPr>
          <w:spacing w:val="-4"/>
        </w:rPr>
        <w:t xml:space="preserve"> </w:t>
      </w:r>
      <w:r w:rsidRPr="00EC20A0">
        <w:t>assessment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risks</w:t>
      </w:r>
      <w:r w:rsidRPr="00EC20A0">
        <w:rPr>
          <w:spacing w:val="-4"/>
        </w:rPr>
        <w:t xml:space="preserve"> </w:t>
      </w:r>
      <w:r w:rsidRPr="00EC20A0">
        <w:t>of</w:t>
      </w:r>
      <w:r w:rsidRPr="00EC20A0">
        <w:rPr>
          <w:spacing w:val="-5"/>
        </w:rPr>
        <w:t xml:space="preserve"> </w:t>
      </w:r>
      <w:r w:rsidRPr="00EC20A0">
        <w:t>material</w:t>
      </w:r>
      <w:r w:rsidRPr="00EC20A0">
        <w:rPr>
          <w:spacing w:val="-4"/>
        </w:rPr>
        <w:t xml:space="preserve"> </w:t>
      </w:r>
      <w:r w:rsidRPr="00EC20A0">
        <w:t xml:space="preserve">misstatement of the group financial </w:t>
      </w:r>
      <w:r w:rsidRPr="00EC20A0">
        <w:t>statements is based on information such as the following (AU-C 600A.A38–.A39):</w:t>
      </w:r>
    </w:p>
    <w:p w14:paraId="24D60026" w14:textId="77777777" w:rsidR="00245300" w:rsidRPr="00EC20A0" w:rsidRDefault="00F17249">
      <w:pPr>
        <w:pStyle w:val="ListParagraph"/>
        <w:numPr>
          <w:ilvl w:val="1"/>
          <w:numId w:val="214"/>
        </w:numPr>
        <w:tabs>
          <w:tab w:val="left" w:pos="2219"/>
        </w:tabs>
        <w:ind w:right="522"/>
      </w:pPr>
      <w:r w:rsidRPr="00EC20A0">
        <w:t>information obtained based on understanding of the group, its components, and their environments and of the consolidation process, including audit evidence</w:t>
      </w:r>
      <w:r w:rsidRPr="00EC20A0">
        <w:rPr>
          <w:spacing w:val="-4"/>
        </w:rPr>
        <w:t xml:space="preserve"> </w:t>
      </w:r>
      <w:r w:rsidRPr="00EC20A0">
        <w:t>obtained</w:t>
      </w:r>
      <w:r w:rsidRPr="00EC20A0">
        <w:rPr>
          <w:spacing w:val="-4"/>
        </w:rPr>
        <w:t xml:space="preserve"> </w:t>
      </w:r>
      <w:r w:rsidRPr="00EC20A0">
        <w:t>in</w:t>
      </w:r>
      <w:r w:rsidRPr="00EC20A0">
        <w:rPr>
          <w:spacing w:val="-4"/>
        </w:rPr>
        <w:t xml:space="preserve"> </w:t>
      </w:r>
      <w:r w:rsidRPr="00EC20A0">
        <w:t>evaluating</w:t>
      </w:r>
      <w:r w:rsidRPr="00EC20A0">
        <w:rPr>
          <w:spacing w:val="-4"/>
        </w:rPr>
        <w:t xml:space="preserve"> </w:t>
      </w:r>
      <w:r w:rsidRPr="00EC20A0">
        <w:t>the</w:t>
      </w:r>
      <w:r w:rsidRPr="00EC20A0">
        <w:rPr>
          <w:spacing w:val="-5"/>
        </w:rPr>
        <w:t xml:space="preserve"> </w:t>
      </w:r>
      <w:r w:rsidRPr="00EC20A0">
        <w:t>design</w:t>
      </w:r>
      <w:r w:rsidRPr="00EC20A0">
        <w:rPr>
          <w:spacing w:val="-4"/>
        </w:rPr>
        <w:t xml:space="preserve"> </w:t>
      </w:r>
      <w:r w:rsidRPr="00EC20A0">
        <w:t>and</w:t>
      </w:r>
      <w:r w:rsidRPr="00EC20A0">
        <w:rPr>
          <w:spacing w:val="-4"/>
        </w:rPr>
        <w:t xml:space="preserve"> </w:t>
      </w:r>
      <w:r w:rsidRPr="00EC20A0">
        <w:t>implementation</w:t>
      </w:r>
      <w:r w:rsidRPr="00EC20A0">
        <w:rPr>
          <w:spacing w:val="-4"/>
        </w:rPr>
        <w:t xml:space="preserve"> </w:t>
      </w:r>
      <w:r w:rsidRPr="00EC20A0">
        <w:t>of</w:t>
      </w:r>
      <w:r w:rsidRPr="00EC20A0">
        <w:rPr>
          <w:spacing w:val="-4"/>
        </w:rPr>
        <w:t xml:space="preserve"> </w:t>
      </w:r>
      <w:r w:rsidRPr="00EC20A0">
        <w:t xml:space="preserve">group-wide controls and controls that are relevant to the consolidation (refer to appendix B at AU-C 600A.A95 for examples of conditions or events that may indicate risks of material misstatement of the group </w:t>
      </w:r>
      <w:r w:rsidRPr="00EC20A0">
        <w:t>financial statements), and</w:t>
      </w:r>
    </w:p>
    <w:p w14:paraId="24D60027" w14:textId="77777777" w:rsidR="00245300" w:rsidRPr="00EC20A0" w:rsidRDefault="00F17249">
      <w:pPr>
        <w:pStyle w:val="ListParagraph"/>
        <w:numPr>
          <w:ilvl w:val="1"/>
          <w:numId w:val="214"/>
        </w:numPr>
        <w:tabs>
          <w:tab w:val="left" w:pos="2220"/>
        </w:tabs>
        <w:spacing w:before="238"/>
        <w:ind w:left="2220"/>
      </w:pPr>
      <w:r w:rsidRPr="00EC20A0">
        <w:t>information</w:t>
      </w:r>
      <w:r w:rsidRPr="00EC20A0">
        <w:rPr>
          <w:spacing w:val="-9"/>
        </w:rPr>
        <w:t xml:space="preserve"> </w:t>
      </w:r>
      <w:r w:rsidRPr="00EC20A0">
        <w:t>obtained</w:t>
      </w:r>
      <w:r w:rsidRPr="00EC20A0">
        <w:rPr>
          <w:spacing w:val="-8"/>
        </w:rPr>
        <w:t xml:space="preserve"> </w:t>
      </w:r>
      <w:r w:rsidRPr="00EC20A0">
        <w:t>from</w:t>
      </w:r>
      <w:r w:rsidRPr="00EC20A0">
        <w:rPr>
          <w:spacing w:val="-9"/>
        </w:rPr>
        <w:t xml:space="preserve"> </w:t>
      </w:r>
      <w:r w:rsidRPr="00EC20A0">
        <w:t>the</w:t>
      </w:r>
      <w:r w:rsidRPr="00EC20A0">
        <w:rPr>
          <w:spacing w:val="-8"/>
        </w:rPr>
        <w:t xml:space="preserve"> </w:t>
      </w:r>
      <w:r w:rsidRPr="00EC20A0">
        <w:t>component</w:t>
      </w:r>
      <w:r w:rsidRPr="00EC20A0">
        <w:rPr>
          <w:spacing w:val="-8"/>
        </w:rPr>
        <w:t xml:space="preserve"> </w:t>
      </w:r>
      <w:r w:rsidRPr="00EC20A0">
        <w:rPr>
          <w:spacing w:val="-2"/>
        </w:rPr>
        <w:t>auditors.</w:t>
      </w:r>
    </w:p>
    <w:p w14:paraId="24D60028" w14:textId="77777777" w:rsidR="00245300" w:rsidRPr="00EC20A0" w:rsidRDefault="00F17249">
      <w:pPr>
        <w:pStyle w:val="ListParagraph"/>
        <w:numPr>
          <w:ilvl w:val="0"/>
          <w:numId w:val="214"/>
        </w:numPr>
        <w:tabs>
          <w:tab w:val="left" w:pos="1860"/>
        </w:tabs>
        <w:spacing w:before="239"/>
        <w:ind w:left="1860" w:right="577"/>
      </w:pPr>
      <w:r w:rsidRPr="00EC20A0">
        <w:t>The auditor is required to identify and assess the risks of material misstatement of the financial statements due to fraud or error and to design and implement appropriate</w:t>
      </w:r>
      <w:r w:rsidRPr="00EC20A0">
        <w:rPr>
          <w:spacing w:val="-5"/>
        </w:rPr>
        <w:t xml:space="preserve"> </w:t>
      </w:r>
      <w:r w:rsidRPr="00EC20A0">
        <w:t>responses</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assessed</w:t>
      </w:r>
      <w:r w:rsidRPr="00EC20A0">
        <w:rPr>
          <w:spacing w:val="-4"/>
        </w:rPr>
        <w:t xml:space="preserve"> </w:t>
      </w:r>
      <w:r w:rsidRPr="00EC20A0">
        <w:t>risk.</w:t>
      </w:r>
      <w:r w:rsidRPr="00EC20A0">
        <w:rPr>
          <w:spacing w:val="-5"/>
        </w:rPr>
        <w:t xml:space="preserve"> </w:t>
      </w:r>
      <w:r w:rsidRPr="00EC20A0">
        <w:t>Information</w:t>
      </w:r>
      <w:r w:rsidRPr="00EC20A0">
        <w:rPr>
          <w:spacing w:val="-4"/>
        </w:rPr>
        <w:t xml:space="preserve"> </w:t>
      </w:r>
      <w:r w:rsidRPr="00EC20A0">
        <w:t>used</w:t>
      </w:r>
      <w:r w:rsidRPr="00EC20A0">
        <w:rPr>
          <w:spacing w:val="-4"/>
        </w:rPr>
        <w:t xml:space="preserve"> </w:t>
      </w:r>
      <w:r w:rsidRPr="00EC20A0">
        <w:t>to</w:t>
      </w:r>
      <w:r w:rsidRPr="00EC20A0">
        <w:rPr>
          <w:spacing w:val="-4"/>
        </w:rPr>
        <w:t xml:space="preserve"> </w:t>
      </w:r>
      <w:r w:rsidRPr="00EC20A0">
        <w:t>identify</w:t>
      </w:r>
      <w:r w:rsidRPr="00EC20A0">
        <w:rPr>
          <w:spacing w:val="-4"/>
        </w:rPr>
        <w:t xml:space="preserve"> </w:t>
      </w:r>
      <w:r w:rsidRPr="00EC20A0">
        <w:t>the</w:t>
      </w:r>
      <w:r w:rsidRPr="00EC20A0">
        <w:rPr>
          <w:spacing w:val="-4"/>
        </w:rPr>
        <w:t xml:space="preserve"> </w:t>
      </w:r>
      <w:r w:rsidRPr="00EC20A0">
        <w:t>risks of material misstatement of the group financial statements due to fraud may include the following (AU-C 600A.A35):</w:t>
      </w:r>
    </w:p>
    <w:p w14:paraId="24D60029" w14:textId="77777777" w:rsidR="00245300" w:rsidRPr="00EC20A0" w:rsidRDefault="00F17249">
      <w:pPr>
        <w:pStyle w:val="ListParagraph"/>
        <w:numPr>
          <w:ilvl w:val="0"/>
          <w:numId w:val="213"/>
        </w:numPr>
        <w:tabs>
          <w:tab w:val="left" w:pos="2219"/>
        </w:tabs>
        <w:ind w:right="1346"/>
      </w:pPr>
      <w:r w:rsidRPr="00EC20A0">
        <w:t>group</w:t>
      </w:r>
      <w:r w:rsidRPr="00EC20A0">
        <w:rPr>
          <w:spacing w:val="-5"/>
        </w:rPr>
        <w:t xml:space="preserve"> </w:t>
      </w:r>
      <w:r w:rsidRPr="00EC20A0">
        <w:t>management’s</w:t>
      </w:r>
      <w:r w:rsidRPr="00EC20A0">
        <w:rPr>
          <w:spacing w:val="-5"/>
        </w:rPr>
        <w:t xml:space="preserve"> </w:t>
      </w:r>
      <w:r w:rsidRPr="00EC20A0">
        <w:t>assessment</w:t>
      </w:r>
      <w:r w:rsidRPr="00EC20A0">
        <w:rPr>
          <w:spacing w:val="-5"/>
        </w:rPr>
        <w:t xml:space="preserve"> </w:t>
      </w:r>
      <w:r w:rsidRPr="00EC20A0">
        <w:t>of</w:t>
      </w:r>
      <w:r w:rsidRPr="00EC20A0">
        <w:rPr>
          <w:spacing w:val="-6"/>
        </w:rPr>
        <w:t xml:space="preserve"> </w:t>
      </w:r>
      <w:r w:rsidRPr="00EC20A0">
        <w:t>the</w:t>
      </w:r>
      <w:r w:rsidRPr="00EC20A0">
        <w:rPr>
          <w:spacing w:val="-5"/>
        </w:rPr>
        <w:t xml:space="preserve"> </w:t>
      </w:r>
      <w:r w:rsidRPr="00EC20A0">
        <w:t>risks</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group</w:t>
      </w:r>
      <w:r w:rsidRPr="00EC20A0">
        <w:rPr>
          <w:spacing w:val="-6"/>
        </w:rPr>
        <w:t xml:space="preserve"> </w:t>
      </w:r>
      <w:r w:rsidRPr="00EC20A0">
        <w:t>financial statements may be materially misstated as a result of fraud or error;</w:t>
      </w:r>
    </w:p>
    <w:p w14:paraId="24D6002A" w14:textId="77777777" w:rsidR="00245300" w:rsidRPr="00EC20A0" w:rsidRDefault="00F17249">
      <w:pPr>
        <w:pStyle w:val="ListParagraph"/>
        <w:numPr>
          <w:ilvl w:val="0"/>
          <w:numId w:val="213"/>
        </w:numPr>
        <w:tabs>
          <w:tab w:val="left" w:pos="2218"/>
        </w:tabs>
        <w:ind w:left="2218" w:right="843"/>
      </w:pPr>
      <w:r w:rsidRPr="00EC20A0">
        <w:t>group</w:t>
      </w:r>
      <w:r w:rsidRPr="00EC20A0">
        <w:rPr>
          <w:spacing w:val="-4"/>
        </w:rPr>
        <w:t xml:space="preserve"> </w:t>
      </w:r>
      <w:r w:rsidRPr="00EC20A0">
        <w:t>management’s</w:t>
      </w:r>
      <w:r w:rsidRPr="00EC20A0">
        <w:rPr>
          <w:spacing w:val="-4"/>
        </w:rPr>
        <w:t xml:space="preserve"> </w:t>
      </w:r>
      <w:r w:rsidRPr="00EC20A0">
        <w:t>process</w:t>
      </w:r>
      <w:r w:rsidRPr="00EC20A0">
        <w:rPr>
          <w:spacing w:val="-4"/>
        </w:rPr>
        <w:t xml:space="preserve"> </w:t>
      </w:r>
      <w:r w:rsidRPr="00EC20A0">
        <w:t>for</w:t>
      </w:r>
      <w:r w:rsidRPr="00EC20A0">
        <w:rPr>
          <w:spacing w:val="-5"/>
        </w:rPr>
        <w:t xml:space="preserve"> </w:t>
      </w:r>
      <w:r w:rsidRPr="00EC20A0">
        <w:t>identifying</w:t>
      </w:r>
      <w:r w:rsidRPr="00EC20A0">
        <w:rPr>
          <w:spacing w:val="-4"/>
        </w:rPr>
        <w:t xml:space="preserve"> </w:t>
      </w:r>
      <w:r w:rsidRPr="00EC20A0">
        <w:t>and</w:t>
      </w:r>
      <w:r w:rsidRPr="00EC20A0">
        <w:rPr>
          <w:spacing w:val="-4"/>
        </w:rPr>
        <w:t xml:space="preserve"> </w:t>
      </w:r>
      <w:r w:rsidRPr="00EC20A0">
        <w:t>responding</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risks</w:t>
      </w:r>
      <w:r w:rsidRPr="00EC20A0">
        <w:rPr>
          <w:spacing w:val="-4"/>
        </w:rPr>
        <w:t xml:space="preserve"> </w:t>
      </w:r>
      <w:r w:rsidRPr="00EC20A0">
        <w:t>of fraud or error in the group, including any specific fraud risks that group</w:t>
      </w:r>
    </w:p>
    <w:p w14:paraId="24D6002B" w14:textId="77777777" w:rsidR="00245300" w:rsidRPr="00EC20A0" w:rsidRDefault="00245300">
      <w:pPr>
        <w:sectPr w:rsidR="00245300" w:rsidRPr="00EC20A0">
          <w:pgSz w:w="12240" w:h="15840"/>
          <w:pgMar w:top="1340" w:right="940" w:bottom="940" w:left="1020" w:header="721" w:footer="757" w:gutter="0"/>
          <w:cols w:space="720"/>
        </w:sectPr>
      </w:pPr>
    </w:p>
    <w:p w14:paraId="24D6002C" w14:textId="77777777" w:rsidR="00245300" w:rsidRPr="00EC20A0" w:rsidRDefault="00F17249">
      <w:pPr>
        <w:pStyle w:val="BodyText"/>
        <w:spacing w:before="121"/>
        <w:ind w:left="2220" w:hanging="1"/>
        <w:rPr>
          <w:sz w:val="14"/>
        </w:rPr>
      </w:pPr>
      <w:r w:rsidRPr="00EC20A0">
        <w:t>management</w:t>
      </w:r>
      <w:r w:rsidRPr="00EC20A0">
        <w:rPr>
          <w:spacing w:val="-4"/>
        </w:rPr>
        <w:t xml:space="preserve"> </w:t>
      </w:r>
      <w:r w:rsidRPr="00EC20A0">
        <w:t>identified</w:t>
      </w:r>
      <w:r w:rsidRPr="00EC20A0">
        <w:rPr>
          <w:spacing w:val="-4"/>
        </w:rPr>
        <w:t xml:space="preserve"> </w:t>
      </w:r>
      <w:r w:rsidRPr="00EC20A0">
        <w:t>or</w:t>
      </w:r>
      <w:r w:rsidRPr="00EC20A0">
        <w:rPr>
          <w:spacing w:val="-4"/>
        </w:rPr>
        <w:t xml:space="preserve"> </w:t>
      </w:r>
      <w:r w:rsidRPr="00EC20A0">
        <w:t>line</w:t>
      </w:r>
      <w:r w:rsidRPr="00EC20A0">
        <w:rPr>
          <w:spacing w:val="-4"/>
        </w:rPr>
        <w:t xml:space="preserve"> </w:t>
      </w:r>
      <w:r w:rsidRPr="00EC20A0">
        <w:t>items,</w:t>
      </w:r>
      <w:r w:rsidRPr="00EC20A0">
        <w:rPr>
          <w:spacing w:val="-5"/>
        </w:rPr>
        <w:t xml:space="preserve"> </w:t>
      </w:r>
      <w:r w:rsidRPr="00EC20A0">
        <w:t>accounts,</w:t>
      </w:r>
      <w:r w:rsidRPr="00EC20A0">
        <w:rPr>
          <w:spacing w:val="-4"/>
        </w:rPr>
        <w:t xml:space="preserve"> </w:t>
      </w:r>
      <w:r w:rsidRPr="00EC20A0">
        <w:t>note</w:t>
      </w:r>
      <w:r w:rsidRPr="00EC20A0">
        <w:rPr>
          <w:spacing w:val="-4"/>
        </w:rPr>
        <w:t xml:space="preserve"> </w:t>
      </w:r>
      <w:r w:rsidRPr="00EC20A0">
        <w:t>disclosures,</w:t>
      </w:r>
      <w:r w:rsidRPr="00EC20A0">
        <w:rPr>
          <w:spacing w:val="-4"/>
        </w:rPr>
        <w:t xml:space="preserve"> </w:t>
      </w:r>
      <w:r w:rsidRPr="00EC20A0">
        <w:t>or</w:t>
      </w:r>
      <w:r w:rsidRPr="00EC20A0">
        <w:rPr>
          <w:spacing w:val="-4"/>
        </w:rPr>
        <w:t xml:space="preserve"> </w:t>
      </w:r>
      <w:r w:rsidRPr="00EC20A0">
        <w:t>classes</w:t>
      </w:r>
      <w:r w:rsidRPr="00EC20A0">
        <w:rPr>
          <w:spacing w:val="-4"/>
        </w:rPr>
        <w:t xml:space="preserve"> </w:t>
      </w:r>
      <w:r w:rsidRPr="00EC20A0">
        <w:t>of transactions, for which a risk of fraud is likely;</w:t>
      </w:r>
      <w:hyperlink w:anchor="_bookmark16" w:history="1">
        <w:r w:rsidRPr="00EC20A0">
          <w:rPr>
            <w:position w:val="7"/>
            <w:sz w:val="14"/>
          </w:rPr>
          <w:t>11</w:t>
        </w:r>
      </w:hyperlink>
    </w:p>
    <w:p w14:paraId="24D6002D" w14:textId="77777777" w:rsidR="00245300" w:rsidRPr="00EC20A0" w:rsidRDefault="00F17249">
      <w:pPr>
        <w:pStyle w:val="ListParagraph"/>
        <w:numPr>
          <w:ilvl w:val="0"/>
          <w:numId w:val="213"/>
        </w:numPr>
        <w:tabs>
          <w:tab w:val="left" w:pos="2218"/>
        </w:tabs>
        <w:ind w:left="2218" w:hanging="359"/>
      </w:pPr>
      <w:r w:rsidRPr="00EC20A0">
        <w:t>whether</w:t>
      </w:r>
      <w:r w:rsidRPr="00EC20A0">
        <w:rPr>
          <w:spacing w:val="-6"/>
        </w:rPr>
        <w:t xml:space="preserve"> </w:t>
      </w:r>
      <w:r w:rsidRPr="00EC20A0">
        <w:t>particular</w:t>
      </w:r>
      <w:r w:rsidRPr="00EC20A0">
        <w:rPr>
          <w:spacing w:val="-5"/>
        </w:rPr>
        <w:t xml:space="preserve"> </w:t>
      </w:r>
      <w:r w:rsidRPr="00EC20A0">
        <w:t>components</w:t>
      </w:r>
      <w:r w:rsidRPr="00EC20A0">
        <w:rPr>
          <w:spacing w:val="-5"/>
        </w:rPr>
        <w:t xml:space="preserve"> </w:t>
      </w:r>
      <w:r w:rsidRPr="00EC20A0">
        <w:t>exist</w:t>
      </w:r>
      <w:r w:rsidRPr="00EC20A0">
        <w:rPr>
          <w:spacing w:val="-6"/>
        </w:rPr>
        <w:t xml:space="preserve"> </w:t>
      </w:r>
      <w:r w:rsidRPr="00EC20A0">
        <w:t>for</w:t>
      </w:r>
      <w:r w:rsidRPr="00EC20A0">
        <w:rPr>
          <w:spacing w:val="-5"/>
        </w:rPr>
        <w:t xml:space="preserve"> </w:t>
      </w:r>
      <w:r w:rsidRPr="00EC20A0">
        <w:t>which</w:t>
      </w:r>
      <w:r w:rsidRPr="00EC20A0">
        <w:rPr>
          <w:spacing w:val="-5"/>
        </w:rPr>
        <w:t xml:space="preserve"> </w:t>
      </w:r>
      <w:r w:rsidRPr="00EC20A0">
        <w:t>a</w:t>
      </w:r>
      <w:r w:rsidRPr="00EC20A0">
        <w:rPr>
          <w:spacing w:val="-6"/>
        </w:rPr>
        <w:t xml:space="preserve"> </w:t>
      </w:r>
      <w:r w:rsidRPr="00EC20A0">
        <w:t>risk</w:t>
      </w:r>
      <w:r w:rsidRPr="00EC20A0">
        <w:rPr>
          <w:spacing w:val="-5"/>
        </w:rPr>
        <w:t xml:space="preserve"> </w:t>
      </w:r>
      <w:r w:rsidRPr="00EC20A0">
        <w:t>of</w:t>
      </w:r>
      <w:r w:rsidRPr="00EC20A0">
        <w:rPr>
          <w:spacing w:val="-5"/>
        </w:rPr>
        <w:t xml:space="preserve"> </w:t>
      </w:r>
      <w:r w:rsidRPr="00EC20A0">
        <w:t>fraud</w:t>
      </w:r>
      <w:r w:rsidRPr="00EC20A0">
        <w:rPr>
          <w:spacing w:val="-6"/>
        </w:rPr>
        <w:t xml:space="preserve"> </w:t>
      </w:r>
      <w:r w:rsidRPr="00EC20A0">
        <w:t>or</w:t>
      </w:r>
      <w:r w:rsidRPr="00EC20A0">
        <w:rPr>
          <w:spacing w:val="-6"/>
        </w:rPr>
        <w:t xml:space="preserve"> </w:t>
      </w:r>
      <w:r w:rsidRPr="00EC20A0">
        <w:t>error</w:t>
      </w:r>
      <w:r w:rsidRPr="00EC20A0">
        <w:rPr>
          <w:spacing w:val="-5"/>
        </w:rPr>
        <w:t xml:space="preserve"> </w:t>
      </w:r>
      <w:r w:rsidRPr="00EC20A0">
        <w:t>is</w:t>
      </w:r>
      <w:r w:rsidRPr="00EC20A0">
        <w:rPr>
          <w:spacing w:val="-5"/>
        </w:rPr>
        <w:t xml:space="preserve"> </w:t>
      </w:r>
      <w:r w:rsidRPr="00EC20A0">
        <w:rPr>
          <w:spacing w:val="-2"/>
        </w:rPr>
        <w:t>likely;</w:t>
      </w:r>
    </w:p>
    <w:p w14:paraId="24D6002E" w14:textId="77777777" w:rsidR="00245300" w:rsidRPr="00EC20A0" w:rsidRDefault="00F17249">
      <w:pPr>
        <w:pStyle w:val="ListParagraph"/>
        <w:numPr>
          <w:ilvl w:val="0"/>
          <w:numId w:val="213"/>
        </w:numPr>
        <w:tabs>
          <w:tab w:val="left" w:pos="2218"/>
          <w:tab w:val="left" w:pos="2220"/>
        </w:tabs>
        <w:spacing w:before="239"/>
        <w:ind w:left="2220" w:right="672" w:hanging="361"/>
      </w:pPr>
      <w:r w:rsidRPr="00EC20A0">
        <w:t>how those charged with governance of the group monitor group management’s</w:t>
      </w:r>
      <w:r w:rsidRPr="00EC20A0">
        <w:rPr>
          <w:spacing w:val="-4"/>
        </w:rPr>
        <w:t xml:space="preserve"> </w:t>
      </w:r>
      <w:r w:rsidRPr="00EC20A0">
        <w:t>processes</w:t>
      </w:r>
      <w:r w:rsidRPr="00EC20A0">
        <w:rPr>
          <w:spacing w:val="-4"/>
        </w:rPr>
        <w:t xml:space="preserve"> </w:t>
      </w:r>
      <w:r w:rsidRPr="00EC20A0">
        <w:t>for</w:t>
      </w:r>
      <w:r w:rsidRPr="00EC20A0">
        <w:rPr>
          <w:spacing w:val="-4"/>
        </w:rPr>
        <w:t xml:space="preserve"> </w:t>
      </w:r>
      <w:r w:rsidRPr="00EC20A0">
        <w:t>identifying</w:t>
      </w:r>
      <w:r w:rsidRPr="00EC20A0">
        <w:rPr>
          <w:spacing w:val="-4"/>
        </w:rPr>
        <w:t xml:space="preserve"> </w:t>
      </w:r>
      <w:r w:rsidRPr="00EC20A0">
        <w:t>and</w:t>
      </w:r>
      <w:r w:rsidRPr="00EC20A0">
        <w:rPr>
          <w:spacing w:val="-4"/>
        </w:rPr>
        <w:t xml:space="preserve"> </w:t>
      </w:r>
      <w:r w:rsidRPr="00EC20A0">
        <w:t>responding</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risks</w:t>
      </w:r>
      <w:r w:rsidRPr="00EC20A0">
        <w:rPr>
          <w:spacing w:val="-4"/>
        </w:rPr>
        <w:t xml:space="preserve"> </w:t>
      </w:r>
      <w:r w:rsidRPr="00EC20A0">
        <w:t>of</w:t>
      </w:r>
      <w:r w:rsidRPr="00EC20A0">
        <w:rPr>
          <w:spacing w:val="-4"/>
        </w:rPr>
        <w:t xml:space="preserve"> </w:t>
      </w:r>
      <w:r w:rsidRPr="00EC20A0">
        <w:t>fraud or</w:t>
      </w:r>
      <w:r w:rsidRPr="00EC20A0">
        <w:rPr>
          <w:spacing w:val="-3"/>
        </w:rPr>
        <w:t xml:space="preserve"> </w:t>
      </w:r>
      <w:r w:rsidRPr="00EC20A0">
        <w:t>error</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controls</w:t>
      </w:r>
      <w:r w:rsidRPr="00EC20A0">
        <w:rPr>
          <w:spacing w:val="-4"/>
        </w:rPr>
        <w:t xml:space="preserve"> </w:t>
      </w:r>
      <w:r w:rsidRPr="00EC20A0">
        <w:t>group</w:t>
      </w:r>
      <w:r w:rsidRPr="00EC20A0">
        <w:rPr>
          <w:spacing w:val="-3"/>
        </w:rPr>
        <w:t xml:space="preserve"> </w:t>
      </w:r>
      <w:r w:rsidRPr="00EC20A0">
        <w:t>management</w:t>
      </w:r>
      <w:r w:rsidRPr="00EC20A0">
        <w:rPr>
          <w:spacing w:val="-3"/>
        </w:rPr>
        <w:t xml:space="preserve"> </w:t>
      </w:r>
      <w:r w:rsidRPr="00EC20A0">
        <w:t>has</w:t>
      </w:r>
      <w:r w:rsidRPr="00EC20A0">
        <w:rPr>
          <w:spacing w:val="-3"/>
        </w:rPr>
        <w:t xml:space="preserve"> </w:t>
      </w:r>
      <w:r w:rsidRPr="00EC20A0">
        <w:t>established</w:t>
      </w:r>
      <w:r w:rsidRPr="00EC20A0">
        <w:rPr>
          <w:spacing w:val="-3"/>
        </w:rPr>
        <w:t xml:space="preserve"> </w:t>
      </w:r>
      <w:r w:rsidRPr="00EC20A0">
        <w:t>to mitigate these risks; and</w:t>
      </w:r>
    </w:p>
    <w:p w14:paraId="24D6002F" w14:textId="77777777" w:rsidR="00245300" w:rsidRPr="00EC20A0" w:rsidRDefault="00F17249">
      <w:pPr>
        <w:pStyle w:val="ListParagraph"/>
        <w:numPr>
          <w:ilvl w:val="0"/>
          <w:numId w:val="213"/>
        </w:numPr>
        <w:tabs>
          <w:tab w:val="left" w:pos="2218"/>
        </w:tabs>
        <w:ind w:left="2218" w:right="525" w:hanging="359"/>
      </w:pPr>
      <w:r w:rsidRPr="00EC20A0">
        <w:t xml:space="preserve">responses of </w:t>
      </w:r>
      <w:r w:rsidRPr="00EC20A0">
        <w:t>those charged with governance of the group, group management, and appropriate individuals within the internal audit function (and, if considered appropriate, component management, the component auditors,</w:t>
      </w:r>
      <w:r w:rsidRPr="00EC20A0">
        <w:rPr>
          <w:spacing w:val="-3"/>
        </w:rPr>
        <w:t xml:space="preserve"> </w:t>
      </w:r>
      <w:r w:rsidRPr="00EC20A0">
        <w:t>and</w:t>
      </w:r>
      <w:r w:rsidRPr="00EC20A0">
        <w:rPr>
          <w:spacing w:val="-3"/>
        </w:rPr>
        <w:t xml:space="preserve"> </w:t>
      </w:r>
      <w:r w:rsidRPr="00EC20A0">
        <w:t>others)</w:t>
      </w:r>
      <w:r w:rsidRPr="00EC20A0">
        <w:rPr>
          <w:spacing w:val="-3"/>
        </w:rPr>
        <w:t xml:space="preserve"> </w:t>
      </w:r>
      <w:r w:rsidRPr="00EC20A0">
        <w:t>to</w:t>
      </w:r>
      <w:r w:rsidRPr="00EC20A0">
        <w:rPr>
          <w:spacing w:val="-4"/>
        </w:rPr>
        <w:t xml:space="preserve"> </w:t>
      </w:r>
      <w:r w:rsidRPr="00EC20A0">
        <w:t>the</w:t>
      </w:r>
      <w:r w:rsidRPr="00EC20A0">
        <w:rPr>
          <w:spacing w:val="-3"/>
        </w:rPr>
        <w:t xml:space="preserve"> </w:t>
      </w:r>
      <w:r w:rsidRPr="00EC20A0">
        <w:t>group</w:t>
      </w:r>
      <w:r w:rsidRPr="00EC20A0">
        <w:rPr>
          <w:spacing w:val="-3"/>
        </w:rPr>
        <w:t xml:space="preserve"> </w:t>
      </w:r>
      <w:r w:rsidRPr="00EC20A0">
        <w:t>engagement</w:t>
      </w:r>
      <w:r w:rsidRPr="00EC20A0">
        <w:rPr>
          <w:spacing w:val="-3"/>
        </w:rPr>
        <w:t xml:space="preserve"> </w:t>
      </w:r>
      <w:r w:rsidRPr="00EC20A0">
        <w:t>team’s</w:t>
      </w:r>
      <w:r w:rsidRPr="00EC20A0">
        <w:rPr>
          <w:spacing w:val="-3"/>
        </w:rPr>
        <w:t xml:space="preserve"> </w:t>
      </w:r>
      <w:r w:rsidRPr="00EC20A0">
        <w:t>inquiry</w:t>
      </w:r>
      <w:r w:rsidRPr="00EC20A0">
        <w:rPr>
          <w:spacing w:val="-3"/>
        </w:rPr>
        <w:t xml:space="preserve"> </w:t>
      </w:r>
      <w:r w:rsidRPr="00EC20A0">
        <w:t>of</w:t>
      </w:r>
      <w:r w:rsidRPr="00EC20A0">
        <w:rPr>
          <w:spacing w:val="-3"/>
        </w:rPr>
        <w:t xml:space="preserve"> </w:t>
      </w:r>
      <w:r w:rsidRPr="00EC20A0">
        <w:t>whether</w:t>
      </w:r>
      <w:r w:rsidRPr="00EC20A0">
        <w:rPr>
          <w:spacing w:val="-3"/>
        </w:rPr>
        <w:t xml:space="preserve"> </w:t>
      </w:r>
      <w:r w:rsidRPr="00EC20A0">
        <w:t>they have</w:t>
      </w:r>
      <w:r w:rsidRPr="00EC20A0">
        <w:rPr>
          <w:spacing w:val="-4"/>
        </w:rPr>
        <w:t xml:space="preserve"> </w:t>
      </w:r>
      <w:r w:rsidRPr="00EC20A0">
        <w:t>knowledge</w:t>
      </w:r>
      <w:r w:rsidRPr="00EC20A0">
        <w:rPr>
          <w:spacing w:val="-4"/>
        </w:rPr>
        <w:t xml:space="preserve"> </w:t>
      </w:r>
      <w:r w:rsidRPr="00EC20A0">
        <w:t>of</w:t>
      </w:r>
      <w:r w:rsidRPr="00EC20A0">
        <w:rPr>
          <w:spacing w:val="-4"/>
        </w:rPr>
        <w:t xml:space="preserve"> </w:t>
      </w:r>
      <w:r w:rsidRPr="00EC20A0">
        <w:t>any</w:t>
      </w:r>
      <w:r w:rsidRPr="00EC20A0">
        <w:rPr>
          <w:spacing w:val="-4"/>
        </w:rPr>
        <w:t xml:space="preserve"> </w:t>
      </w:r>
      <w:r w:rsidRPr="00EC20A0">
        <w:t>actual,</w:t>
      </w:r>
      <w:r w:rsidRPr="00EC20A0">
        <w:rPr>
          <w:spacing w:val="-4"/>
        </w:rPr>
        <w:t xml:space="preserve"> </w:t>
      </w:r>
      <w:r w:rsidRPr="00EC20A0">
        <w:t>suspected,</w:t>
      </w:r>
      <w:r w:rsidRPr="00EC20A0">
        <w:rPr>
          <w:spacing w:val="-4"/>
        </w:rPr>
        <w:t xml:space="preserve"> </w:t>
      </w:r>
      <w:r w:rsidRPr="00EC20A0">
        <w:t>or</w:t>
      </w:r>
      <w:r w:rsidRPr="00EC20A0">
        <w:rPr>
          <w:spacing w:val="-4"/>
        </w:rPr>
        <w:t xml:space="preserve"> </w:t>
      </w:r>
      <w:r w:rsidRPr="00EC20A0">
        <w:t>alleged</w:t>
      </w:r>
      <w:r w:rsidRPr="00EC20A0">
        <w:rPr>
          <w:spacing w:val="-4"/>
        </w:rPr>
        <w:t xml:space="preserve"> </w:t>
      </w:r>
      <w:r w:rsidRPr="00EC20A0">
        <w:t>fraud</w:t>
      </w:r>
      <w:r w:rsidRPr="00EC20A0">
        <w:rPr>
          <w:spacing w:val="-4"/>
        </w:rPr>
        <w:t xml:space="preserve"> </w:t>
      </w:r>
      <w:r w:rsidRPr="00EC20A0">
        <w:t>or</w:t>
      </w:r>
      <w:r w:rsidRPr="00EC20A0">
        <w:rPr>
          <w:spacing w:val="-4"/>
        </w:rPr>
        <w:t xml:space="preserve"> </w:t>
      </w:r>
      <w:r w:rsidRPr="00EC20A0">
        <w:t>error</w:t>
      </w:r>
      <w:r w:rsidRPr="00EC20A0">
        <w:rPr>
          <w:spacing w:val="-4"/>
        </w:rPr>
        <w:t xml:space="preserve"> </w:t>
      </w:r>
      <w:r w:rsidRPr="00EC20A0">
        <w:t>affecting</w:t>
      </w:r>
      <w:r w:rsidRPr="00EC20A0">
        <w:rPr>
          <w:spacing w:val="-4"/>
        </w:rPr>
        <w:t xml:space="preserve"> </w:t>
      </w:r>
      <w:r w:rsidRPr="00EC20A0">
        <w:t>a component or the group.</w:t>
      </w:r>
    </w:p>
    <w:p w14:paraId="24D60030" w14:textId="77777777" w:rsidR="00245300" w:rsidRPr="00EC20A0" w:rsidRDefault="00F17249">
      <w:pPr>
        <w:pStyle w:val="Heading4"/>
        <w:spacing w:before="242"/>
      </w:pPr>
      <w:bookmarkStart w:id="54" w:name="Understanding_the_Component_Auditor"/>
      <w:bookmarkEnd w:id="54"/>
      <w:r w:rsidRPr="00EC20A0">
        <w:t>Understanding</w:t>
      </w:r>
      <w:r w:rsidRPr="00EC20A0">
        <w:rPr>
          <w:spacing w:val="-18"/>
        </w:rPr>
        <w:t xml:space="preserve"> </w:t>
      </w:r>
      <w:r w:rsidRPr="00EC20A0">
        <w:t>the</w:t>
      </w:r>
      <w:r w:rsidRPr="00EC20A0">
        <w:rPr>
          <w:spacing w:val="-16"/>
        </w:rPr>
        <w:t xml:space="preserve"> </w:t>
      </w:r>
      <w:r w:rsidRPr="00EC20A0">
        <w:t>Component</w:t>
      </w:r>
      <w:r w:rsidRPr="00EC20A0">
        <w:rPr>
          <w:spacing w:val="-16"/>
        </w:rPr>
        <w:t xml:space="preserve"> </w:t>
      </w:r>
      <w:r w:rsidRPr="00EC20A0">
        <w:rPr>
          <w:spacing w:val="-2"/>
        </w:rPr>
        <w:t>Auditor</w:t>
      </w:r>
    </w:p>
    <w:p w14:paraId="24D60031" w14:textId="77777777" w:rsidR="00245300" w:rsidRPr="00EC20A0" w:rsidRDefault="00F17249">
      <w:pPr>
        <w:pStyle w:val="ListParagraph"/>
        <w:numPr>
          <w:ilvl w:val="0"/>
          <w:numId w:val="214"/>
        </w:numPr>
        <w:tabs>
          <w:tab w:val="left" w:pos="1859"/>
        </w:tabs>
        <w:spacing w:before="239"/>
        <w:ind w:right="517" w:hanging="720"/>
      </w:pPr>
      <w:r w:rsidRPr="00EC20A0">
        <w:t>Regardless</w:t>
      </w:r>
      <w:r w:rsidRPr="00EC20A0">
        <w:rPr>
          <w:spacing w:val="-4"/>
        </w:rPr>
        <w:t xml:space="preserve"> </w:t>
      </w:r>
      <w:r w:rsidRPr="00EC20A0">
        <w:t>of</w:t>
      </w:r>
      <w:r w:rsidRPr="00EC20A0">
        <w:rPr>
          <w:spacing w:val="-3"/>
        </w:rPr>
        <w:t xml:space="preserve"> </w:t>
      </w:r>
      <w:r w:rsidRPr="00EC20A0">
        <w:t>whether</w:t>
      </w:r>
      <w:r w:rsidRPr="00EC20A0">
        <w:rPr>
          <w:spacing w:val="-3"/>
        </w:rPr>
        <w:t xml:space="preserve"> </w:t>
      </w:r>
      <w:r w:rsidRPr="00EC20A0">
        <w:t>reference</w:t>
      </w:r>
      <w:r w:rsidRPr="00EC20A0">
        <w:rPr>
          <w:spacing w:val="-3"/>
        </w:rPr>
        <w:t xml:space="preserve"> </w:t>
      </w:r>
      <w:r w:rsidRPr="00EC20A0">
        <w:t>will</w:t>
      </w:r>
      <w:r w:rsidRPr="00EC20A0">
        <w:rPr>
          <w:spacing w:val="-4"/>
        </w:rPr>
        <w:t xml:space="preserve"> </w:t>
      </w:r>
      <w:r w:rsidRPr="00EC20A0">
        <w:t>be</w:t>
      </w:r>
      <w:r w:rsidRPr="00EC20A0">
        <w:rPr>
          <w:spacing w:val="-3"/>
        </w:rPr>
        <w:t xml:space="preserve"> </w:t>
      </w:r>
      <w:r w:rsidRPr="00EC20A0">
        <w:t>made</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auditor’s</w:t>
      </w:r>
      <w:r w:rsidRPr="00EC20A0">
        <w:rPr>
          <w:spacing w:val="-4"/>
        </w:rPr>
        <w:t xml:space="preserve"> </w:t>
      </w:r>
      <w:r w:rsidRPr="00EC20A0">
        <w:t>report</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 xml:space="preserve">group financial </w:t>
      </w:r>
      <w:r w:rsidRPr="00EC20A0">
        <w:t>statements to the audit of a component auditor, the group engagement team should obtain an understanding of the following (AU-C 600A.22):</w:t>
      </w:r>
    </w:p>
    <w:p w14:paraId="24D60032" w14:textId="77777777" w:rsidR="00245300" w:rsidRPr="00EC20A0" w:rsidRDefault="00F17249">
      <w:pPr>
        <w:pStyle w:val="ListParagraph"/>
        <w:numPr>
          <w:ilvl w:val="0"/>
          <w:numId w:val="212"/>
        </w:numPr>
        <w:tabs>
          <w:tab w:val="left" w:pos="2219"/>
        </w:tabs>
        <w:spacing w:before="239"/>
        <w:ind w:right="856"/>
      </w:pPr>
      <w:r w:rsidRPr="00EC20A0">
        <w:t>whether</w:t>
      </w:r>
      <w:r w:rsidRPr="00EC20A0">
        <w:rPr>
          <w:spacing w:val="-3"/>
        </w:rPr>
        <w:t xml:space="preserve"> </w:t>
      </w:r>
      <w:r w:rsidRPr="00EC20A0">
        <w:t>a</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understands</w:t>
      </w:r>
      <w:r w:rsidRPr="00EC20A0">
        <w:rPr>
          <w:spacing w:val="-3"/>
        </w:rPr>
        <w:t xml:space="preserve"> </w:t>
      </w:r>
      <w:r w:rsidRPr="00EC20A0">
        <w:t>and</w:t>
      </w:r>
      <w:r w:rsidRPr="00EC20A0">
        <w:rPr>
          <w:spacing w:val="-4"/>
        </w:rPr>
        <w:t xml:space="preserve"> </w:t>
      </w:r>
      <w:r w:rsidRPr="00EC20A0">
        <w:t>will</w:t>
      </w:r>
      <w:r w:rsidRPr="00EC20A0">
        <w:rPr>
          <w:spacing w:val="-3"/>
        </w:rPr>
        <w:t xml:space="preserve"> </w:t>
      </w:r>
      <w:r w:rsidRPr="00EC20A0">
        <w:t>comply</w:t>
      </w:r>
      <w:r w:rsidRPr="00EC20A0">
        <w:rPr>
          <w:spacing w:val="-4"/>
        </w:rPr>
        <w:t xml:space="preserve"> </w:t>
      </w:r>
      <w:r w:rsidRPr="00EC20A0">
        <w:t>with</w:t>
      </w:r>
      <w:r w:rsidRPr="00EC20A0">
        <w:rPr>
          <w:spacing w:val="-3"/>
        </w:rPr>
        <w:t xml:space="preserve"> </w:t>
      </w:r>
      <w:r w:rsidRPr="00EC20A0">
        <w:t>the</w:t>
      </w:r>
      <w:r w:rsidRPr="00EC20A0">
        <w:rPr>
          <w:spacing w:val="-3"/>
        </w:rPr>
        <w:t xml:space="preserve"> </w:t>
      </w:r>
      <w:r w:rsidRPr="00EC20A0">
        <w:t>ethical requirements</w:t>
      </w:r>
      <w:r w:rsidRPr="00EC20A0">
        <w:rPr>
          <w:spacing w:val="-3"/>
        </w:rPr>
        <w:t xml:space="preserve"> </w:t>
      </w:r>
      <w:r w:rsidRPr="00EC20A0">
        <w:t>relevant</w:t>
      </w:r>
      <w:r w:rsidRPr="00EC20A0">
        <w:rPr>
          <w:spacing w:val="-4"/>
        </w:rPr>
        <w:t xml:space="preserve"> </w:t>
      </w:r>
      <w:r w:rsidRPr="00EC20A0">
        <w:t>to</w:t>
      </w:r>
      <w:r w:rsidRPr="00EC20A0">
        <w:rPr>
          <w:spacing w:val="-5"/>
        </w:rPr>
        <w:t xml:space="preserve"> </w:t>
      </w:r>
      <w:r w:rsidRPr="00EC20A0">
        <w:t>the</w:t>
      </w:r>
      <w:r w:rsidRPr="00EC20A0">
        <w:rPr>
          <w:spacing w:val="-4"/>
        </w:rPr>
        <w:t xml:space="preserve"> </w:t>
      </w:r>
      <w:r w:rsidRPr="00EC20A0">
        <w:t>group</w:t>
      </w:r>
      <w:r w:rsidRPr="00EC20A0">
        <w:rPr>
          <w:spacing w:val="-4"/>
        </w:rPr>
        <w:t xml:space="preserve"> </w:t>
      </w:r>
      <w:r w:rsidRPr="00EC20A0">
        <w:t>audit</w:t>
      </w:r>
      <w:r w:rsidRPr="00EC20A0">
        <w:rPr>
          <w:spacing w:val="-4"/>
        </w:rPr>
        <w:t xml:space="preserve"> </w:t>
      </w:r>
      <w:r w:rsidRPr="00EC20A0">
        <w:t>and,</w:t>
      </w:r>
      <w:r w:rsidRPr="00EC20A0">
        <w:rPr>
          <w:spacing w:val="-4"/>
        </w:rPr>
        <w:t xml:space="preserve"> </w:t>
      </w:r>
      <w:r w:rsidRPr="00EC20A0">
        <w:t>in</w:t>
      </w:r>
      <w:r w:rsidRPr="00EC20A0">
        <w:rPr>
          <w:spacing w:val="-5"/>
        </w:rPr>
        <w:t xml:space="preserve"> </w:t>
      </w:r>
      <w:r w:rsidRPr="00EC20A0">
        <w:t>particular,</w:t>
      </w:r>
      <w:r w:rsidRPr="00EC20A0">
        <w:rPr>
          <w:spacing w:val="-4"/>
        </w:rPr>
        <w:t xml:space="preserve"> </w:t>
      </w:r>
      <w:r w:rsidRPr="00EC20A0">
        <w:t>is</w:t>
      </w:r>
      <w:r w:rsidRPr="00EC20A0">
        <w:rPr>
          <w:spacing w:val="-5"/>
        </w:rPr>
        <w:t xml:space="preserve"> </w:t>
      </w:r>
      <w:r w:rsidRPr="00EC20A0">
        <w:t>independent;</w:t>
      </w:r>
    </w:p>
    <w:p w14:paraId="24D60033" w14:textId="77777777" w:rsidR="00245300" w:rsidRPr="00EC20A0" w:rsidRDefault="00F17249">
      <w:pPr>
        <w:pStyle w:val="ListParagraph"/>
        <w:numPr>
          <w:ilvl w:val="0"/>
          <w:numId w:val="212"/>
        </w:numPr>
        <w:tabs>
          <w:tab w:val="left" w:pos="2219"/>
        </w:tabs>
        <w:spacing w:before="241"/>
        <w:ind w:hanging="359"/>
      </w:pPr>
      <w:r w:rsidRPr="00EC20A0">
        <w:t>a</w:t>
      </w:r>
      <w:r w:rsidRPr="00EC20A0">
        <w:rPr>
          <w:spacing w:val="-9"/>
        </w:rPr>
        <w:t xml:space="preserve"> </w:t>
      </w:r>
      <w:r w:rsidRPr="00EC20A0">
        <w:t>component</w:t>
      </w:r>
      <w:r w:rsidRPr="00EC20A0">
        <w:rPr>
          <w:spacing w:val="-9"/>
        </w:rPr>
        <w:t xml:space="preserve"> </w:t>
      </w:r>
      <w:r w:rsidRPr="00EC20A0">
        <w:t>auditor’s</w:t>
      </w:r>
      <w:r w:rsidRPr="00EC20A0">
        <w:rPr>
          <w:spacing w:val="-9"/>
        </w:rPr>
        <w:t xml:space="preserve"> </w:t>
      </w:r>
      <w:r w:rsidRPr="00EC20A0">
        <w:t>professional</w:t>
      </w:r>
      <w:r w:rsidRPr="00EC20A0">
        <w:rPr>
          <w:spacing w:val="-10"/>
        </w:rPr>
        <w:t xml:space="preserve"> </w:t>
      </w:r>
      <w:r w:rsidRPr="00EC20A0">
        <w:rPr>
          <w:spacing w:val="-2"/>
        </w:rPr>
        <w:t>competence;</w:t>
      </w:r>
    </w:p>
    <w:p w14:paraId="24D60034" w14:textId="77777777" w:rsidR="00245300" w:rsidRPr="00EC20A0" w:rsidRDefault="00F17249">
      <w:pPr>
        <w:pStyle w:val="ListParagraph"/>
        <w:numPr>
          <w:ilvl w:val="0"/>
          <w:numId w:val="212"/>
        </w:numPr>
        <w:tabs>
          <w:tab w:val="left" w:pos="2219"/>
        </w:tabs>
        <w:ind w:right="991"/>
      </w:pPr>
      <w:r w:rsidRPr="00EC20A0">
        <w:t>the</w:t>
      </w:r>
      <w:r w:rsidRPr="00EC20A0">
        <w:rPr>
          <w:spacing w:val="-3"/>
        </w:rPr>
        <w:t xml:space="preserve"> </w:t>
      </w:r>
      <w:r w:rsidRPr="00EC20A0">
        <w:t>extent,</w:t>
      </w:r>
      <w:r w:rsidRPr="00EC20A0">
        <w:rPr>
          <w:spacing w:val="-3"/>
        </w:rPr>
        <w:t xml:space="preserve"> </w:t>
      </w:r>
      <w:r w:rsidRPr="00EC20A0">
        <w:t>if</w:t>
      </w:r>
      <w:r w:rsidRPr="00EC20A0">
        <w:rPr>
          <w:spacing w:val="-4"/>
        </w:rPr>
        <w:t xml:space="preserve"> </w:t>
      </w:r>
      <w:r w:rsidRPr="00EC20A0">
        <w:t>any,</w:t>
      </w:r>
      <w:r w:rsidRPr="00EC20A0">
        <w:rPr>
          <w:spacing w:val="-3"/>
        </w:rPr>
        <w:t xml:space="preserve"> </w:t>
      </w:r>
      <w:r w:rsidRPr="00EC20A0">
        <w:t>to</w:t>
      </w:r>
      <w:r w:rsidRPr="00EC20A0">
        <w:rPr>
          <w:spacing w:val="-3"/>
        </w:rPr>
        <w:t xml:space="preserve"> </w:t>
      </w:r>
      <w:r w:rsidRPr="00EC20A0">
        <w:t>which</w:t>
      </w:r>
      <w:r w:rsidRPr="00EC20A0">
        <w:rPr>
          <w:spacing w:val="-3"/>
        </w:rPr>
        <w:t xml:space="preserve"> </w:t>
      </w:r>
      <w:r w:rsidRPr="00EC20A0">
        <w:t>the</w:t>
      </w:r>
      <w:r w:rsidRPr="00EC20A0">
        <w:rPr>
          <w:spacing w:val="-3"/>
        </w:rPr>
        <w:t xml:space="preserve"> </w:t>
      </w:r>
      <w:r w:rsidRPr="00EC20A0">
        <w:t>group</w:t>
      </w:r>
      <w:r w:rsidRPr="00EC20A0">
        <w:rPr>
          <w:spacing w:val="-4"/>
        </w:rPr>
        <w:t xml:space="preserve"> </w:t>
      </w:r>
      <w:r w:rsidRPr="00EC20A0">
        <w:t>engagement</w:t>
      </w:r>
      <w:r w:rsidRPr="00EC20A0">
        <w:rPr>
          <w:spacing w:val="-3"/>
        </w:rPr>
        <w:t xml:space="preserve"> </w:t>
      </w:r>
      <w:r w:rsidRPr="00EC20A0">
        <w:t>team</w:t>
      </w:r>
      <w:r w:rsidRPr="00EC20A0">
        <w:rPr>
          <w:spacing w:val="-4"/>
        </w:rPr>
        <w:t xml:space="preserve"> </w:t>
      </w:r>
      <w:r w:rsidRPr="00EC20A0">
        <w:t>will</w:t>
      </w:r>
      <w:r w:rsidRPr="00EC20A0">
        <w:rPr>
          <w:spacing w:val="-3"/>
        </w:rPr>
        <w:t xml:space="preserve"> </w:t>
      </w:r>
      <w:r w:rsidRPr="00EC20A0">
        <w:t>be</w:t>
      </w:r>
      <w:r w:rsidRPr="00EC20A0">
        <w:rPr>
          <w:spacing w:val="-3"/>
        </w:rPr>
        <w:t xml:space="preserve"> </w:t>
      </w:r>
      <w:r w:rsidRPr="00EC20A0">
        <w:t>able</w:t>
      </w:r>
      <w:r w:rsidRPr="00EC20A0">
        <w:rPr>
          <w:spacing w:val="-3"/>
        </w:rPr>
        <w:t xml:space="preserve"> </w:t>
      </w:r>
      <w:r w:rsidRPr="00EC20A0">
        <w:t>to</w:t>
      </w:r>
      <w:r w:rsidRPr="00EC20A0">
        <w:rPr>
          <w:spacing w:val="-3"/>
        </w:rPr>
        <w:t xml:space="preserve"> </w:t>
      </w:r>
      <w:r w:rsidRPr="00EC20A0">
        <w:t>be involved in the work of the component auditor;</w:t>
      </w:r>
    </w:p>
    <w:p w14:paraId="24D60035" w14:textId="77777777" w:rsidR="00245300" w:rsidRPr="00EC20A0" w:rsidRDefault="00F17249">
      <w:pPr>
        <w:pStyle w:val="ListParagraph"/>
        <w:numPr>
          <w:ilvl w:val="0"/>
          <w:numId w:val="212"/>
        </w:numPr>
        <w:tabs>
          <w:tab w:val="left" w:pos="2219"/>
        </w:tabs>
        <w:spacing w:before="239"/>
        <w:ind w:right="1246"/>
      </w:pPr>
      <w:r w:rsidRPr="00EC20A0">
        <w:t>whether</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4"/>
        </w:rPr>
        <w:t xml:space="preserve"> </w:t>
      </w:r>
      <w:r w:rsidRPr="00EC20A0">
        <w:t>will</w:t>
      </w:r>
      <w:r w:rsidRPr="00EC20A0">
        <w:rPr>
          <w:spacing w:val="-4"/>
        </w:rPr>
        <w:t xml:space="preserve"> </w:t>
      </w:r>
      <w:r w:rsidRPr="00EC20A0">
        <w:t>be</w:t>
      </w:r>
      <w:r w:rsidRPr="00EC20A0">
        <w:rPr>
          <w:spacing w:val="-4"/>
        </w:rPr>
        <w:t xml:space="preserve"> </w:t>
      </w:r>
      <w:r w:rsidRPr="00EC20A0">
        <w:t>able</w:t>
      </w:r>
      <w:r w:rsidRPr="00EC20A0">
        <w:rPr>
          <w:spacing w:val="-4"/>
        </w:rPr>
        <w:t xml:space="preserve"> </w:t>
      </w:r>
      <w:r w:rsidRPr="00EC20A0">
        <w:t>to</w:t>
      </w:r>
      <w:r w:rsidRPr="00EC20A0">
        <w:rPr>
          <w:spacing w:val="-4"/>
        </w:rPr>
        <w:t xml:space="preserve"> </w:t>
      </w:r>
      <w:r w:rsidRPr="00EC20A0">
        <w:t>obtain</w:t>
      </w:r>
      <w:r w:rsidRPr="00EC20A0">
        <w:rPr>
          <w:spacing w:val="-4"/>
        </w:rPr>
        <w:t xml:space="preserve"> </w:t>
      </w:r>
      <w:r w:rsidRPr="00EC20A0">
        <w:t>information affecting the consolidation process from a component auditor; and</w:t>
      </w:r>
    </w:p>
    <w:p w14:paraId="24D60036" w14:textId="77777777" w:rsidR="00245300" w:rsidRPr="00EC20A0" w:rsidRDefault="00F17249">
      <w:pPr>
        <w:pStyle w:val="ListParagraph"/>
        <w:numPr>
          <w:ilvl w:val="0"/>
          <w:numId w:val="212"/>
        </w:numPr>
        <w:tabs>
          <w:tab w:val="left" w:pos="2218"/>
        </w:tabs>
        <w:spacing w:before="241"/>
        <w:ind w:left="2218" w:right="1137"/>
      </w:pPr>
      <w:r w:rsidRPr="00EC20A0">
        <w:t>whether</w:t>
      </w:r>
      <w:r w:rsidRPr="00EC20A0">
        <w:rPr>
          <w:spacing w:val="-5"/>
        </w:rPr>
        <w:t xml:space="preserve"> </w:t>
      </w:r>
      <w:r w:rsidRPr="00EC20A0">
        <w:t>a</w:t>
      </w:r>
      <w:r w:rsidRPr="00EC20A0">
        <w:rPr>
          <w:spacing w:val="-5"/>
        </w:rPr>
        <w:t xml:space="preserve"> </w:t>
      </w:r>
      <w:r w:rsidRPr="00EC20A0">
        <w:t>component</w:t>
      </w:r>
      <w:r w:rsidRPr="00EC20A0">
        <w:rPr>
          <w:spacing w:val="-5"/>
        </w:rPr>
        <w:t xml:space="preserve"> </w:t>
      </w:r>
      <w:r w:rsidRPr="00EC20A0">
        <w:t>auditor</w:t>
      </w:r>
      <w:r w:rsidRPr="00EC20A0">
        <w:rPr>
          <w:spacing w:val="-5"/>
        </w:rPr>
        <w:t xml:space="preserve"> </w:t>
      </w:r>
      <w:r w:rsidRPr="00EC20A0">
        <w:t>operates</w:t>
      </w:r>
      <w:r w:rsidRPr="00EC20A0">
        <w:rPr>
          <w:spacing w:val="-5"/>
        </w:rPr>
        <w:t xml:space="preserve"> </w:t>
      </w:r>
      <w:r w:rsidRPr="00EC20A0">
        <w:t>in</w:t>
      </w:r>
      <w:r w:rsidRPr="00EC20A0">
        <w:rPr>
          <w:spacing w:val="-5"/>
        </w:rPr>
        <w:t xml:space="preserve"> </w:t>
      </w:r>
      <w:r w:rsidRPr="00EC20A0">
        <w:t>a</w:t>
      </w:r>
      <w:r w:rsidRPr="00EC20A0">
        <w:rPr>
          <w:spacing w:val="-5"/>
        </w:rPr>
        <w:t xml:space="preserve"> </w:t>
      </w:r>
      <w:r w:rsidRPr="00EC20A0">
        <w:t>regulatory</w:t>
      </w:r>
      <w:r w:rsidRPr="00EC20A0">
        <w:rPr>
          <w:spacing w:val="-5"/>
        </w:rPr>
        <w:t xml:space="preserve"> </w:t>
      </w:r>
      <w:r w:rsidRPr="00EC20A0">
        <w:t>environment</w:t>
      </w:r>
      <w:r w:rsidRPr="00EC20A0">
        <w:rPr>
          <w:spacing w:val="-5"/>
        </w:rPr>
        <w:t xml:space="preserve"> </w:t>
      </w:r>
      <w:r w:rsidRPr="00EC20A0">
        <w:t>that actively oversees auditors.</w:t>
      </w:r>
    </w:p>
    <w:p w14:paraId="24D60037" w14:textId="77777777" w:rsidR="00245300" w:rsidRPr="00EC20A0" w:rsidRDefault="00F17249">
      <w:pPr>
        <w:pStyle w:val="BodyText"/>
        <w:spacing w:before="239"/>
        <w:ind w:left="1858" w:hanging="1"/>
      </w:pPr>
      <w:r w:rsidRPr="00EC20A0">
        <w:t>See</w:t>
      </w:r>
      <w:r w:rsidRPr="00EC20A0">
        <w:rPr>
          <w:spacing w:val="-4"/>
        </w:rPr>
        <w:t xml:space="preserve"> </w:t>
      </w:r>
      <w:r w:rsidRPr="00EC20A0">
        <w:t>FAM</w:t>
      </w:r>
      <w:r w:rsidRPr="00EC20A0">
        <w:rPr>
          <w:spacing w:val="-5"/>
        </w:rPr>
        <w:t xml:space="preserve"> </w:t>
      </w:r>
      <w:r w:rsidRPr="00EC20A0">
        <w:t>615</w:t>
      </w:r>
      <w:r w:rsidRPr="00EC20A0">
        <w:rPr>
          <w:spacing w:val="-4"/>
        </w:rPr>
        <w:t xml:space="preserve"> </w:t>
      </w:r>
      <w:r w:rsidRPr="00EC20A0">
        <w:t>for</w:t>
      </w:r>
      <w:r w:rsidRPr="00EC20A0">
        <w:rPr>
          <w:spacing w:val="-4"/>
        </w:rPr>
        <w:t xml:space="preserve"> </w:t>
      </w:r>
      <w:r w:rsidRPr="00EC20A0">
        <w:t>requirements</w:t>
      </w:r>
      <w:r w:rsidRPr="00EC20A0">
        <w:rPr>
          <w:spacing w:val="-4"/>
        </w:rPr>
        <w:t xml:space="preserve"> </w:t>
      </w:r>
      <w:r w:rsidRPr="00EC20A0">
        <w:t>related</w:t>
      </w:r>
      <w:r w:rsidRPr="00EC20A0">
        <w:rPr>
          <w:spacing w:val="-4"/>
        </w:rPr>
        <w:t xml:space="preserve"> </w:t>
      </w:r>
      <w:r w:rsidRPr="00EC20A0">
        <w:t>to</w:t>
      </w:r>
      <w:r w:rsidRPr="00EC20A0">
        <w:rPr>
          <w:spacing w:val="-4"/>
        </w:rPr>
        <w:t xml:space="preserve"> </w:t>
      </w:r>
      <w:r w:rsidRPr="00EC20A0">
        <w:t>evaluating</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 independence, objectivity, and qualifications.</w:t>
      </w:r>
    </w:p>
    <w:p w14:paraId="24D60038" w14:textId="77777777" w:rsidR="00245300" w:rsidRPr="00EC20A0" w:rsidRDefault="00F17249">
      <w:pPr>
        <w:pStyle w:val="ListParagraph"/>
        <w:numPr>
          <w:ilvl w:val="0"/>
          <w:numId w:val="214"/>
        </w:numPr>
        <w:tabs>
          <w:tab w:val="left" w:pos="1858"/>
        </w:tabs>
        <w:ind w:left="1858" w:right="617"/>
      </w:pPr>
      <w:r w:rsidRPr="00EC20A0">
        <w:t>When a component auditor does not meet the independence requirements that are relevant to the group audit or the group engagement team has serious concerns</w:t>
      </w:r>
      <w:r w:rsidRPr="00EC20A0">
        <w:rPr>
          <w:spacing w:val="-4"/>
        </w:rPr>
        <w:t xml:space="preserve"> </w:t>
      </w:r>
      <w:r w:rsidRPr="00EC20A0">
        <w:t>about</w:t>
      </w:r>
      <w:r w:rsidRPr="00EC20A0">
        <w:rPr>
          <w:spacing w:val="-4"/>
        </w:rPr>
        <w:t xml:space="preserve"> </w:t>
      </w:r>
      <w:r w:rsidRPr="00EC20A0">
        <w:t>the</w:t>
      </w:r>
      <w:r w:rsidRPr="00EC20A0">
        <w:rPr>
          <w:spacing w:val="-4"/>
        </w:rPr>
        <w:t xml:space="preserve"> </w:t>
      </w:r>
      <w:r w:rsidRPr="00EC20A0">
        <w:t>other</w:t>
      </w:r>
      <w:r w:rsidRPr="00EC20A0">
        <w:rPr>
          <w:spacing w:val="-4"/>
        </w:rPr>
        <w:t xml:space="preserve"> </w:t>
      </w:r>
      <w:r w:rsidRPr="00EC20A0">
        <w:t>matters</w:t>
      </w:r>
      <w:r w:rsidRPr="00EC20A0">
        <w:rPr>
          <w:spacing w:val="-3"/>
        </w:rPr>
        <w:t xml:space="preserve"> </w:t>
      </w:r>
      <w:r w:rsidRPr="00EC20A0">
        <w:t>listed</w:t>
      </w:r>
      <w:r w:rsidRPr="00EC20A0">
        <w:rPr>
          <w:spacing w:val="-4"/>
        </w:rPr>
        <w:t xml:space="preserve"> </w:t>
      </w:r>
      <w:r w:rsidRPr="00EC20A0">
        <w:t>in</w:t>
      </w:r>
      <w:r w:rsidRPr="00EC20A0">
        <w:rPr>
          <w:spacing w:val="-4"/>
        </w:rPr>
        <w:t xml:space="preserve"> </w:t>
      </w:r>
      <w:r w:rsidRPr="00EC20A0">
        <w:t>FAM</w:t>
      </w:r>
      <w:r w:rsidRPr="00EC20A0">
        <w:rPr>
          <w:spacing w:val="-5"/>
        </w:rPr>
        <w:t xml:space="preserve"> </w:t>
      </w:r>
      <w:r w:rsidRPr="00EC20A0">
        <w:t>630.14</w:t>
      </w:r>
      <w:r w:rsidRPr="00EC20A0">
        <w:rPr>
          <w:spacing w:val="-4"/>
        </w:rPr>
        <w:t xml:space="preserve"> </w:t>
      </w:r>
      <w:r w:rsidRPr="00EC20A0">
        <w:t>regarding</w:t>
      </w:r>
      <w:r w:rsidRPr="00EC20A0">
        <w:rPr>
          <w:spacing w:val="-4"/>
        </w:rPr>
        <w:t xml:space="preserve"> </w:t>
      </w:r>
      <w:r w:rsidRPr="00EC20A0">
        <w:t>the</w:t>
      </w:r>
      <w:r w:rsidRPr="00EC20A0">
        <w:rPr>
          <w:spacing w:val="-4"/>
        </w:rPr>
        <w:t xml:space="preserve"> </w:t>
      </w:r>
      <w:r w:rsidRPr="00EC20A0">
        <w:t>component auditor’s independence and professional competence, the group engagement team should obtain sufficient appropriate audit evidence relating to the component’s financial information without making reference to the audit of that</w:t>
      </w:r>
    </w:p>
    <w:p w14:paraId="24D60039" w14:textId="77777777" w:rsidR="00245300" w:rsidRPr="00EC20A0" w:rsidRDefault="00F17249">
      <w:pPr>
        <w:pStyle w:val="BodyText"/>
        <w:spacing w:before="204"/>
        <w:rPr>
          <w:sz w:val="20"/>
        </w:rPr>
      </w:pPr>
      <w:r w:rsidRPr="00EC20A0">
        <w:rPr>
          <w:noProof/>
        </w:rPr>
        <mc:AlternateContent>
          <mc:Choice Requires="wps">
            <w:drawing>
              <wp:anchor distT="0" distB="0" distL="0" distR="0" simplePos="0" relativeHeight="487597568" behindDoc="1" locked="0" layoutInCell="1" allowOverlap="1" wp14:anchorId="24D62ADB" wp14:editId="24D62ADC">
                <wp:simplePos x="0" y="0"/>
                <wp:positionH relativeFrom="page">
                  <wp:posOffset>914400</wp:posOffset>
                </wp:positionH>
                <wp:positionV relativeFrom="paragraph">
                  <wp:posOffset>290929</wp:posOffset>
                </wp:positionV>
                <wp:extent cx="1828800" cy="5715"/>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1AE5BC" id="Graphic 108" o:spid="_x0000_s1026" style="position:absolute;margin-left:1in;margin-top:22.9pt;width:2in;height:.4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" path="m1828800,l,,,5321r1828800,l1828800,xe" fillcolor="black" stroked="f">
                <v:path arrowok="t"/>
                <w10:wrap type="topAndBottom" anchorx="page"/>
              </v:shape>
            </w:pict>
          </mc:Fallback>
        </mc:AlternateContent>
      </w:r>
    </w:p>
    <w:p w14:paraId="24D6003A" w14:textId="77777777" w:rsidR="00245300" w:rsidRPr="00EC20A0" w:rsidRDefault="00245300">
      <w:pPr>
        <w:pStyle w:val="BodyText"/>
        <w:spacing w:before="54"/>
        <w:rPr>
          <w:sz w:val="18"/>
        </w:rPr>
      </w:pPr>
    </w:p>
    <w:p w14:paraId="24D6003B" w14:textId="77777777" w:rsidR="00245300" w:rsidRPr="00EC20A0" w:rsidRDefault="00F17249">
      <w:pPr>
        <w:spacing w:before="1" w:line="242" w:lineRule="auto"/>
        <w:ind w:left="417" w:right="507" w:firstLine="2"/>
        <w:rPr>
          <w:sz w:val="18"/>
        </w:rPr>
      </w:pPr>
      <w:bookmarkStart w:id="55" w:name="_bookmark16"/>
      <w:bookmarkEnd w:id="55"/>
      <w:r w:rsidRPr="00EC20A0">
        <w:rPr>
          <w:position w:val="7"/>
          <w:sz w:val="14"/>
        </w:rPr>
        <w:t>11</w:t>
      </w:r>
      <w:r w:rsidRPr="00EC20A0">
        <w:rPr>
          <w:sz w:val="18"/>
        </w:rPr>
        <w:t>AU-C 600A discusses audit procedures for classes of transactions, account balances, and disclosures. The FAM discusses</w:t>
      </w:r>
      <w:r w:rsidRPr="00EC20A0">
        <w:rPr>
          <w:spacing w:val="-3"/>
          <w:sz w:val="18"/>
        </w:rPr>
        <w:t xml:space="preserve"> </w:t>
      </w:r>
      <w:r w:rsidRPr="00EC20A0">
        <w:rPr>
          <w:sz w:val="18"/>
        </w:rPr>
        <w:t>audit</w:t>
      </w:r>
      <w:r w:rsidRPr="00EC20A0">
        <w:rPr>
          <w:spacing w:val="-3"/>
          <w:sz w:val="18"/>
        </w:rPr>
        <w:t xml:space="preserve"> </w:t>
      </w:r>
      <w:r w:rsidRPr="00EC20A0">
        <w:rPr>
          <w:sz w:val="18"/>
        </w:rPr>
        <w:t>procedures</w:t>
      </w:r>
      <w:r w:rsidRPr="00EC20A0">
        <w:rPr>
          <w:spacing w:val="-3"/>
          <w:sz w:val="18"/>
        </w:rPr>
        <w:t xml:space="preserve"> </w:t>
      </w:r>
      <w:r w:rsidRPr="00EC20A0">
        <w:rPr>
          <w:sz w:val="18"/>
        </w:rPr>
        <w:t>for</w:t>
      </w:r>
      <w:r w:rsidRPr="00EC20A0">
        <w:rPr>
          <w:spacing w:val="-3"/>
          <w:sz w:val="18"/>
        </w:rPr>
        <w:t xml:space="preserve"> </w:t>
      </w:r>
      <w:r w:rsidRPr="00EC20A0">
        <w:rPr>
          <w:sz w:val="18"/>
        </w:rPr>
        <w:t>line</w:t>
      </w:r>
      <w:r w:rsidRPr="00EC20A0">
        <w:rPr>
          <w:spacing w:val="-4"/>
          <w:sz w:val="18"/>
        </w:rPr>
        <w:t xml:space="preserve"> </w:t>
      </w:r>
      <w:r w:rsidRPr="00EC20A0">
        <w:rPr>
          <w:sz w:val="18"/>
        </w:rPr>
        <w:t>items,</w:t>
      </w:r>
      <w:r w:rsidRPr="00EC20A0">
        <w:rPr>
          <w:spacing w:val="-3"/>
          <w:sz w:val="18"/>
        </w:rPr>
        <w:t xml:space="preserve"> </w:t>
      </w:r>
      <w:r w:rsidRPr="00EC20A0">
        <w:rPr>
          <w:sz w:val="18"/>
        </w:rPr>
        <w:t>accounts,</w:t>
      </w:r>
      <w:r w:rsidRPr="00EC20A0">
        <w:rPr>
          <w:spacing w:val="-3"/>
          <w:sz w:val="18"/>
        </w:rPr>
        <w:t xml:space="preserve"> </w:t>
      </w:r>
      <w:r w:rsidRPr="00EC20A0">
        <w:rPr>
          <w:sz w:val="18"/>
        </w:rPr>
        <w:t>note</w:t>
      </w:r>
      <w:r w:rsidRPr="00EC20A0">
        <w:rPr>
          <w:spacing w:val="-4"/>
          <w:sz w:val="18"/>
        </w:rPr>
        <w:t xml:space="preserve"> </w:t>
      </w:r>
      <w:r w:rsidRPr="00EC20A0">
        <w:rPr>
          <w:sz w:val="18"/>
        </w:rPr>
        <w:t>disclosures,</w:t>
      </w:r>
      <w:r w:rsidRPr="00EC20A0">
        <w:rPr>
          <w:spacing w:val="-3"/>
          <w:sz w:val="18"/>
        </w:rPr>
        <w:t xml:space="preserve"> </w:t>
      </w:r>
      <w:r w:rsidRPr="00EC20A0">
        <w:rPr>
          <w:sz w:val="18"/>
        </w:rPr>
        <w:t>and</w:t>
      </w:r>
      <w:r w:rsidRPr="00EC20A0">
        <w:rPr>
          <w:spacing w:val="-2"/>
          <w:sz w:val="18"/>
        </w:rPr>
        <w:t xml:space="preserve"> </w:t>
      </w:r>
      <w:r w:rsidRPr="00EC20A0">
        <w:rPr>
          <w:sz w:val="18"/>
        </w:rPr>
        <w:t>classes</w:t>
      </w:r>
      <w:r w:rsidRPr="00EC20A0">
        <w:rPr>
          <w:spacing w:val="-3"/>
          <w:sz w:val="18"/>
        </w:rPr>
        <w:t xml:space="preserve"> </w:t>
      </w:r>
      <w:r w:rsidRPr="00EC20A0">
        <w:rPr>
          <w:sz w:val="18"/>
        </w:rPr>
        <w:t>of</w:t>
      </w:r>
      <w:r w:rsidRPr="00EC20A0">
        <w:rPr>
          <w:spacing w:val="-3"/>
          <w:sz w:val="18"/>
        </w:rPr>
        <w:t xml:space="preserve"> </w:t>
      </w:r>
      <w:r w:rsidRPr="00EC20A0">
        <w:rPr>
          <w:sz w:val="18"/>
        </w:rPr>
        <w:t>transactions.</w:t>
      </w:r>
      <w:r w:rsidRPr="00EC20A0">
        <w:rPr>
          <w:spacing w:val="-3"/>
          <w:sz w:val="18"/>
        </w:rPr>
        <w:t xml:space="preserve"> </w:t>
      </w:r>
      <w:r w:rsidRPr="00EC20A0">
        <w:rPr>
          <w:sz w:val="18"/>
        </w:rPr>
        <w:t>The</w:t>
      </w:r>
      <w:r w:rsidRPr="00EC20A0">
        <w:rPr>
          <w:spacing w:val="-2"/>
          <w:sz w:val="18"/>
        </w:rPr>
        <w:t xml:space="preserve"> </w:t>
      </w:r>
      <w:r w:rsidRPr="00EC20A0">
        <w:rPr>
          <w:sz w:val="18"/>
        </w:rPr>
        <w:t>FAM</w:t>
      </w:r>
      <w:r w:rsidRPr="00EC20A0">
        <w:rPr>
          <w:spacing w:val="-3"/>
          <w:sz w:val="18"/>
        </w:rPr>
        <w:t xml:space="preserve"> </w:t>
      </w:r>
      <w:r w:rsidRPr="00EC20A0">
        <w:rPr>
          <w:sz w:val="18"/>
        </w:rPr>
        <w:t>uses</w:t>
      </w:r>
      <w:r w:rsidRPr="00EC20A0">
        <w:rPr>
          <w:spacing w:val="-3"/>
          <w:sz w:val="18"/>
        </w:rPr>
        <w:t xml:space="preserve"> </w:t>
      </w:r>
      <w:r w:rsidRPr="00EC20A0">
        <w:rPr>
          <w:sz w:val="18"/>
        </w:rPr>
        <w:t xml:space="preserve">line item to describe an </w:t>
      </w:r>
      <w:r w:rsidRPr="00EC20A0">
        <w:rPr>
          <w:sz w:val="18"/>
        </w:rPr>
        <w:t>aggregation of account balances. The FAM refers to information in the notes to the financial statements as note disclosures.</w:t>
      </w:r>
    </w:p>
    <w:p w14:paraId="24D6003C" w14:textId="77777777" w:rsidR="00245300" w:rsidRPr="00EC20A0" w:rsidRDefault="00245300">
      <w:pPr>
        <w:spacing w:line="242" w:lineRule="auto"/>
        <w:rPr>
          <w:sz w:val="18"/>
        </w:rPr>
        <w:sectPr w:rsidR="00245300" w:rsidRPr="00EC20A0">
          <w:pgSz w:w="12240" w:h="15840"/>
          <w:pgMar w:top="1340" w:right="940" w:bottom="940" w:left="1020" w:header="721" w:footer="757" w:gutter="0"/>
          <w:cols w:space="720"/>
        </w:sectPr>
      </w:pPr>
    </w:p>
    <w:p w14:paraId="24D6003D" w14:textId="77777777" w:rsidR="00245300" w:rsidRPr="00EC20A0" w:rsidRDefault="00F17249">
      <w:pPr>
        <w:pStyle w:val="BodyText"/>
        <w:spacing w:before="121"/>
        <w:ind w:left="1859" w:right="562"/>
      </w:pPr>
      <w:r w:rsidRPr="00EC20A0">
        <w:t>component</w:t>
      </w:r>
      <w:r w:rsidRPr="00EC20A0">
        <w:rPr>
          <w:spacing w:val="-4"/>
        </w:rPr>
        <w:t xml:space="preserve"> </w:t>
      </w:r>
      <w:r w:rsidRPr="00EC20A0">
        <w:t>auditor</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t>on</w:t>
      </w:r>
      <w:r w:rsidRPr="00EC20A0">
        <w:rPr>
          <w:spacing w:val="-4"/>
        </w:rPr>
        <w:t xml:space="preserve"> </w:t>
      </w:r>
      <w:r w:rsidRPr="00EC20A0">
        <w:t>the</w:t>
      </w:r>
      <w:r w:rsidRPr="00EC20A0">
        <w:rPr>
          <w:spacing w:val="-5"/>
        </w:rPr>
        <w:t xml:space="preserve"> </w:t>
      </w:r>
      <w:r w:rsidRPr="00EC20A0">
        <w:t>group</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or otherwise using the work of that component auditor (AU-C 600A.23).</w:t>
      </w:r>
    </w:p>
    <w:p w14:paraId="24D6003E" w14:textId="77777777" w:rsidR="00245300" w:rsidRPr="00EC20A0" w:rsidRDefault="00F17249">
      <w:pPr>
        <w:pStyle w:val="Heading4"/>
        <w:spacing w:before="241"/>
        <w:ind w:left="419" w:right="562"/>
      </w:pPr>
      <w:bookmarkStart w:id="56" w:name="Determining_Whether_to_Make_Reference_to"/>
      <w:bookmarkEnd w:id="56"/>
      <w:r w:rsidRPr="00EC20A0">
        <w:t>Determining</w:t>
      </w:r>
      <w:r w:rsidRPr="00EC20A0">
        <w:rPr>
          <w:spacing w:val="-5"/>
        </w:rPr>
        <w:t xml:space="preserve"> </w:t>
      </w:r>
      <w:r w:rsidRPr="00EC20A0">
        <w:t>Whether</w:t>
      </w:r>
      <w:r w:rsidRPr="00EC20A0">
        <w:rPr>
          <w:spacing w:val="-4"/>
        </w:rPr>
        <w:t xml:space="preserve"> </w:t>
      </w:r>
      <w:r w:rsidRPr="00EC20A0">
        <w:t>to</w:t>
      </w:r>
      <w:r w:rsidRPr="00EC20A0">
        <w:rPr>
          <w:spacing w:val="-5"/>
        </w:rPr>
        <w:t xml:space="preserve"> </w:t>
      </w:r>
      <w:r w:rsidRPr="00EC20A0">
        <w:t>Make</w:t>
      </w:r>
      <w:r w:rsidRPr="00EC20A0">
        <w:rPr>
          <w:spacing w:val="-4"/>
        </w:rPr>
        <w:t xml:space="preserve"> </w:t>
      </w:r>
      <w:r w:rsidRPr="00EC20A0">
        <w:t>Reference</w:t>
      </w:r>
      <w:r w:rsidRPr="00EC20A0">
        <w:rPr>
          <w:spacing w:val="-4"/>
        </w:rPr>
        <w:t xml:space="preserve"> </w:t>
      </w:r>
      <w:r w:rsidRPr="00EC20A0">
        <w:t>to</w:t>
      </w:r>
      <w:r w:rsidRPr="00EC20A0">
        <w:rPr>
          <w:spacing w:val="-6"/>
        </w:rPr>
        <w:t xml:space="preserve"> </w:t>
      </w:r>
      <w:r w:rsidRPr="00EC20A0">
        <w:t>a</w:t>
      </w:r>
      <w:r w:rsidRPr="00EC20A0">
        <w:rPr>
          <w:spacing w:val="-4"/>
        </w:rPr>
        <w:t xml:space="preserve"> </w:t>
      </w:r>
      <w:r w:rsidRPr="00EC20A0">
        <w:t>Component</w:t>
      </w:r>
      <w:r w:rsidRPr="00EC20A0">
        <w:rPr>
          <w:spacing w:val="-4"/>
        </w:rPr>
        <w:t xml:space="preserve"> </w:t>
      </w:r>
      <w:r w:rsidRPr="00EC20A0">
        <w:t>Auditor</w:t>
      </w:r>
      <w:r w:rsidRPr="00EC20A0">
        <w:rPr>
          <w:spacing w:val="-4"/>
        </w:rPr>
        <w:t xml:space="preserve"> </w:t>
      </w:r>
      <w:r w:rsidRPr="00EC20A0">
        <w:t>in the Auditor’s Report on the Group Financial Statements</w:t>
      </w:r>
    </w:p>
    <w:p w14:paraId="24D6003F" w14:textId="77777777" w:rsidR="00245300" w:rsidRPr="00EC20A0" w:rsidRDefault="00F17249">
      <w:pPr>
        <w:pStyle w:val="ListParagraph"/>
        <w:numPr>
          <w:ilvl w:val="0"/>
          <w:numId w:val="214"/>
        </w:numPr>
        <w:tabs>
          <w:tab w:val="left" w:pos="1859"/>
        </w:tabs>
        <w:spacing w:before="239"/>
        <w:ind w:right="580" w:hanging="720"/>
      </w:pPr>
      <w:r w:rsidRPr="00EC20A0">
        <w:t>Having gained an understanding of each component auditor, the group engagement partner should decide whether to make reference to a component auditor in the auditor’s report on the group financial statements. (AU-C 600A.24) The decision about whether to make reference to a component auditor in the report</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of</w:t>
      </w:r>
      <w:r w:rsidRPr="00EC20A0">
        <w:rPr>
          <w:spacing w:val="-3"/>
        </w:rPr>
        <w:t xml:space="preserve"> </w:t>
      </w:r>
      <w:r w:rsidRPr="00EC20A0">
        <w:t>internal</w:t>
      </w:r>
      <w:r w:rsidRPr="00EC20A0">
        <w:rPr>
          <w:spacing w:val="-3"/>
        </w:rPr>
        <w:t xml:space="preserve"> </w:t>
      </w:r>
      <w:r w:rsidRPr="00EC20A0">
        <w:t>control</w:t>
      </w:r>
      <w:r w:rsidRPr="00EC20A0">
        <w:rPr>
          <w:spacing w:val="-4"/>
        </w:rPr>
        <w:t xml:space="preserve"> </w:t>
      </w:r>
      <w:r w:rsidRPr="00EC20A0">
        <w:t>over</w:t>
      </w:r>
      <w:r w:rsidRPr="00EC20A0">
        <w:rPr>
          <w:spacing w:val="-3"/>
        </w:rPr>
        <w:t xml:space="preserve"> </w:t>
      </w:r>
      <w:r w:rsidRPr="00EC20A0">
        <w:t>financial</w:t>
      </w:r>
      <w:r w:rsidRPr="00EC20A0">
        <w:rPr>
          <w:spacing w:val="-3"/>
        </w:rPr>
        <w:t xml:space="preserve"> </w:t>
      </w:r>
      <w:r w:rsidRPr="00EC20A0">
        <w:t>reporting</w:t>
      </w:r>
      <w:r w:rsidRPr="00EC20A0">
        <w:rPr>
          <w:spacing w:val="-4"/>
        </w:rPr>
        <w:t xml:space="preserve"> </w:t>
      </w:r>
      <w:r w:rsidRPr="00EC20A0">
        <w:t>might</w:t>
      </w:r>
      <w:r w:rsidRPr="00EC20A0">
        <w:rPr>
          <w:spacing w:val="-3"/>
        </w:rPr>
        <w:t xml:space="preserve"> </w:t>
      </w:r>
      <w:r w:rsidRPr="00EC20A0">
        <w:t>differ</w:t>
      </w:r>
      <w:r w:rsidRPr="00EC20A0">
        <w:rPr>
          <w:spacing w:val="-3"/>
        </w:rPr>
        <w:t xml:space="preserve"> </w:t>
      </w:r>
      <w:r w:rsidRPr="00EC20A0">
        <w:t>from</w:t>
      </w:r>
      <w:r w:rsidRPr="00EC20A0">
        <w:rPr>
          <w:spacing w:val="-4"/>
        </w:rPr>
        <w:t xml:space="preserve"> </w:t>
      </w:r>
      <w:r w:rsidRPr="00EC20A0">
        <w:t>the corresponding decision as it relates to the audit of the financial statements</w:t>
      </w:r>
    </w:p>
    <w:p w14:paraId="24D60040" w14:textId="77777777" w:rsidR="00245300" w:rsidRPr="00EC20A0" w:rsidRDefault="00F17249">
      <w:pPr>
        <w:pStyle w:val="BodyText"/>
        <w:ind w:left="1860"/>
      </w:pPr>
      <w:r w:rsidRPr="00EC20A0">
        <w:t>(AU-C</w:t>
      </w:r>
      <w:r w:rsidRPr="00EC20A0">
        <w:rPr>
          <w:spacing w:val="-8"/>
        </w:rPr>
        <w:t xml:space="preserve"> </w:t>
      </w:r>
      <w:r w:rsidRPr="00EC20A0">
        <w:rPr>
          <w:spacing w:val="-2"/>
        </w:rPr>
        <w:t>940.A128).</w:t>
      </w:r>
    </w:p>
    <w:p w14:paraId="24D60041" w14:textId="77777777" w:rsidR="00245300" w:rsidRPr="00EC20A0" w:rsidRDefault="00F17249">
      <w:pPr>
        <w:pStyle w:val="ListParagraph"/>
        <w:numPr>
          <w:ilvl w:val="0"/>
          <w:numId w:val="214"/>
        </w:numPr>
        <w:tabs>
          <w:tab w:val="left" w:pos="1860"/>
        </w:tabs>
        <w:ind w:left="1860" w:right="516"/>
      </w:pPr>
      <w:r w:rsidRPr="00EC20A0">
        <w:t>Reference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of</w:t>
      </w:r>
      <w:r w:rsidRPr="00EC20A0">
        <w:rPr>
          <w:spacing w:val="-3"/>
        </w:rPr>
        <w:t xml:space="preserve"> </w:t>
      </w:r>
      <w:r w:rsidRPr="00EC20A0">
        <w:t>a</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in</w:t>
      </w:r>
      <w:r w:rsidRPr="00EC20A0">
        <w:rPr>
          <w:spacing w:val="-4"/>
        </w:rPr>
        <w:t xml:space="preserve"> </w:t>
      </w:r>
      <w:r w:rsidRPr="00EC20A0">
        <w:t>the</w:t>
      </w:r>
      <w:r w:rsidRPr="00EC20A0">
        <w:rPr>
          <w:spacing w:val="-3"/>
        </w:rPr>
        <w:t xml:space="preserve"> </w:t>
      </w:r>
      <w:r w:rsidRPr="00EC20A0">
        <w:t>auditor’s</w:t>
      </w:r>
      <w:r w:rsidRPr="00EC20A0">
        <w:rPr>
          <w:spacing w:val="-4"/>
        </w:rPr>
        <w:t xml:space="preserve"> </w:t>
      </w:r>
      <w:r w:rsidRPr="00EC20A0">
        <w:t>report</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group financial statements or on internal control over financial reporting over the group financial statements should not be made unless</w:t>
      </w:r>
    </w:p>
    <w:p w14:paraId="24D60042" w14:textId="77777777" w:rsidR="00245300" w:rsidRPr="00EC20A0" w:rsidRDefault="00F17249">
      <w:pPr>
        <w:pStyle w:val="ListParagraph"/>
        <w:numPr>
          <w:ilvl w:val="0"/>
          <w:numId w:val="211"/>
        </w:numPr>
        <w:tabs>
          <w:tab w:val="left" w:pos="2219"/>
        </w:tabs>
        <w:spacing w:before="239"/>
        <w:ind w:left="2219" w:right="549"/>
      </w:pPr>
      <w:r w:rsidRPr="00EC20A0">
        <w:t>the group engagement partner has determined that the component auditor has</w:t>
      </w:r>
      <w:r w:rsidRPr="00EC20A0">
        <w:rPr>
          <w:spacing w:val="-3"/>
        </w:rPr>
        <w:t xml:space="preserve"> </w:t>
      </w:r>
      <w:r w:rsidRPr="00EC20A0">
        <w:t>performed</w:t>
      </w:r>
      <w:r w:rsidRPr="00EC20A0">
        <w:rPr>
          <w:spacing w:val="-3"/>
        </w:rPr>
        <w:t xml:space="preserve"> </w:t>
      </w:r>
      <w:r w:rsidRPr="00EC20A0">
        <w:t>an</w:t>
      </w:r>
      <w:r w:rsidRPr="00EC20A0">
        <w:rPr>
          <w:spacing w:val="-3"/>
        </w:rPr>
        <w:t xml:space="preserve"> </w:t>
      </w:r>
      <w:r w:rsidRPr="00EC20A0">
        <w:t>audit</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component</w:t>
      </w:r>
      <w:r w:rsidRPr="00EC20A0">
        <w:rPr>
          <w:spacing w:val="-3"/>
        </w:rPr>
        <w:t xml:space="preserve"> </w:t>
      </w:r>
      <w:r w:rsidRPr="00EC20A0">
        <w:t>or</w:t>
      </w:r>
      <w:r w:rsidRPr="00EC20A0">
        <w:rPr>
          <w:spacing w:val="-3"/>
        </w:rPr>
        <w:t xml:space="preserve"> </w:t>
      </w:r>
      <w:r w:rsidRPr="00EC20A0">
        <w:t>of</w:t>
      </w:r>
      <w:r w:rsidRPr="00EC20A0">
        <w:rPr>
          <w:spacing w:val="-3"/>
        </w:rPr>
        <w:t xml:space="preserve"> </w:t>
      </w:r>
      <w:r w:rsidRPr="00EC20A0">
        <w:t>the component’s internal control over financial reporting in accordance with the relevant requirements of GAGAS and</w:t>
      </w:r>
    </w:p>
    <w:p w14:paraId="24D60043" w14:textId="77777777" w:rsidR="00245300" w:rsidRPr="00EC20A0" w:rsidRDefault="00F17249">
      <w:pPr>
        <w:pStyle w:val="ListParagraph"/>
        <w:numPr>
          <w:ilvl w:val="0"/>
          <w:numId w:val="211"/>
        </w:numPr>
        <w:tabs>
          <w:tab w:val="left" w:pos="2219"/>
        </w:tabs>
        <w:ind w:left="2219" w:right="647"/>
      </w:pPr>
      <w:r w:rsidRPr="00EC20A0">
        <w:t>the</w:t>
      </w:r>
      <w:r w:rsidRPr="00EC20A0">
        <w:rPr>
          <w:spacing w:val="-3"/>
        </w:rPr>
        <w:t xml:space="preserve"> </w:t>
      </w:r>
      <w:r w:rsidRPr="00EC20A0">
        <w:t>component</w:t>
      </w:r>
      <w:r w:rsidRPr="00EC20A0">
        <w:rPr>
          <w:spacing w:val="-4"/>
        </w:rPr>
        <w:t xml:space="preserve"> </w:t>
      </w:r>
      <w:r w:rsidRPr="00EC20A0">
        <w:t>auditor</w:t>
      </w:r>
      <w:r w:rsidRPr="00EC20A0">
        <w:rPr>
          <w:spacing w:val="-3"/>
        </w:rPr>
        <w:t xml:space="preserve"> </w:t>
      </w:r>
      <w:r w:rsidRPr="00EC20A0">
        <w:t>has</w:t>
      </w:r>
      <w:r w:rsidRPr="00EC20A0">
        <w:rPr>
          <w:spacing w:val="-4"/>
        </w:rPr>
        <w:t xml:space="preserve"> </w:t>
      </w:r>
      <w:r w:rsidRPr="00EC20A0">
        <w:t>issued</w:t>
      </w:r>
      <w:r w:rsidRPr="00EC20A0">
        <w:rPr>
          <w:spacing w:val="-3"/>
        </w:rPr>
        <w:t xml:space="preserve"> </w:t>
      </w:r>
      <w:r w:rsidRPr="00EC20A0">
        <w:t>an</w:t>
      </w:r>
      <w:r w:rsidRPr="00EC20A0">
        <w:rPr>
          <w:spacing w:val="-4"/>
        </w:rPr>
        <w:t xml:space="preserve"> </w:t>
      </w:r>
      <w:r w:rsidRPr="00EC20A0">
        <w:t>auditor’s</w:t>
      </w:r>
      <w:r w:rsidRPr="00EC20A0">
        <w:rPr>
          <w:spacing w:val="-3"/>
        </w:rPr>
        <w:t xml:space="preserve"> </w:t>
      </w:r>
      <w:r w:rsidRPr="00EC20A0">
        <w:t>report</w:t>
      </w:r>
      <w:r w:rsidRPr="00EC20A0">
        <w:rPr>
          <w:spacing w:val="-4"/>
        </w:rPr>
        <w:t xml:space="preserve"> </w:t>
      </w:r>
      <w:r w:rsidRPr="00EC20A0">
        <w:t>that</w:t>
      </w:r>
      <w:r w:rsidRPr="00EC20A0">
        <w:rPr>
          <w:spacing w:val="-3"/>
        </w:rPr>
        <w:t xml:space="preserve"> </w:t>
      </w:r>
      <w:r w:rsidRPr="00EC20A0">
        <w:t>is</w:t>
      </w:r>
      <w:r w:rsidRPr="00EC20A0">
        <w:rPr>
          <w:spacing w:val="-4"/>
        </w:rPr>
        <w:t xml:space="preserve"> </w:t>
      </w:r>
      <w:r w:rsidRPr="00EC20A0">
        <w:t>not</w:t>
      </w:r>
      <w:r w:rsidRPr="00EC20A0">
        <w:rPr>
          <w:spacing w:val="-3"/>
        </w:rPr>
        <w:t xml:space="preserve"> </w:t>
      </w:r>
      <w:r w:rsidRPr="00EC20A0">
        <w:t>restricted</w:t>
      </w:r>
      <w:r w:rsidRPr="00EC20A0">
        <w:rPr>
          <w:spacing w:val="-4"/>
        </w:rPr>
        <w:t xml:space="preserve"> </w:t>
      </w:r>
      <w:r w:rsidRPr="00EC20A0">
        <w:t>as to use (AU-C 600A.25 and AU-C 940.79).</w:t>
      </w:r>
    </w:p>
    <w:p w14:paraId="24D60044" w14:textId="77777777" w:rsidR="00245300" w:rsidRPr="00EC20A0" w:rsidRDefault="00F17249">
      <w:pPr>
        <w:pStyle w:val="ListParagraph"/>
        <w:numPr>
          <w:ilvl w:val="0"/>
          <w:numId w:val="214"/>
        </w:numPr>
        <w:tabs>
          <w:tab w:val="left" w:pos="1858"/>
        </w:tabs>
        <w:spacing w:before="241"/>
        <w:ind w:left="1858" w:right="651" w:hanging="719"/>
      </w:pPr>
      <w:r w:rsidRPr="00EC20A0">
        <w:t>For</w:t>
      </w:r>
      <w:r w:rsidRPr="00EC20A0">
        <w:rPr>
          <w:spacing w:val="-4"/>
        </w:rPr>
        <w:t xml:space="preserve"> </w:t>
      </w:r>
      <w:r w:rsidRPr="00EC20A0">
        <w:t>situations</w:t>
      </w:r>
      <w:r w:rsidRPr="00EC20A0">
        <w:rPr>
          <w:spacing w:val="-4"/>
        </w:rPr>
        <w:t xml:space="preserve"> </w:t>
      </w:r>
      <w:r w:rsidRPr="00EC20A0">
        <w:t>in</w:t>
      </w:r>
      <w:r w:rsidRPr="00EC20A0">
        <w:rPr>
          <w:spacing w:val="-4"/>
        </w:rPr>
        <w:t xml:space="preserve"> </w:t>
      </w:r>
      <w:r w:rsidRPr="00EC20A0">
        <w:t>which</w:t>
      </w:r>
      <w:r w:rsidRPr="00EC20A0">
        <w:rPr>
          <w:spacing w:val="-4"/>
        </w:rPr>
        <w:t xml:space="preserve"> </w:t>
      </w:r>
      <w:r w:rsidRPr="00EC20A0">
        <w:t>the</w:t>
      </w:r>
      <w:r w:rsidRPr="00EC20A0">
        <w:rPr>
          <w:spacing w:val="-4"/>
        </w:rPr>
        <w:t xml:space="preserve"> </w:t>
      </w:r>
      <w:r w:rsidRPr="00EC20A0">
        <w:t>component’s</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are</w:t>
      </w:r>
      <w:r w:rsidRPr="00EC20A0">
        <w:rPr>
          <w:spacing w:val="-4"/>
        </w:rPr>
        <w:t xml:space="preserve"> </w:t>
      </w:r>
      <w:r w:rsidRPr="00EC20A0">
        <w:t>prepared</w:t>
      </w:r>
      <w:r w:rsidRPr="00EC20A0">
        <w:rPr>
          <w:spacing w:val="-4"/>
        </w:rPr>
        <w:t xml:space="preserve"> </w:t>
      </w:r>
      <w:r w:rsidRPr="00EC20A0">
        <w:t>using a different financial reporting framework than that used for the group financial statements, see AU-C 600A.26.</w:t>
      </w:r>
    </w:p>
    <w:p w14:paraId="24D60045" w14:textId="77777777" w:rsidR="00245300" w:rsidRPr="00EC20A0" w:rsidRDefault="00F17249">
      <w:pPr>
        <w:pStyle w:val="Heading4"/>
      </w:pPr>
      <w:bookmarkStart w:id="57" w:name="Making_Reference_in_the_Auditor’s_Report"/>
      <w:bookmarkEnd w:id="57"/>
      <w:r w:rsidRPr="00EC20A0">
        <w:t>Making</w:t>
      </w:r>
      <w:r w:rsidRPr="00EC20A0">
        <w:rPr>
          <w:spacing w:val="-10"/>
        </w:rPr>
        <w:t xml:space="preserve"> </w:t>
      </w:r>
      <w:r w:rsidRPr="00EC20A0">
        <w:t>Reference</w:t>
      </w:r>
      <w:r w:rsidRPr="00EC20A0">
        <w:rPr>
          <w:spacing w:val="-10"/>
        </w:rPr>
        <w:t xml:space="preserve"> </w:t>
      </w:r>
      <w:r w:rsidRPr="00EC20A0">
        <w:t>in</w:t>
      </w:r>
      <w:r w:rsidRPr="00EC20A0">
        <w:rPr>
          <w:spacing w:val="-11"/>
        </w:rPr>
        <w:t xml:space="preserve"> </w:t>
      </w:r>
      <w:r w:rsidRPr="00EC20A0">
        <w:t>the</w:t>
      </w:r>
      <w:r w:rsidRPr="00EC20A0">
        <w:rPr>
          <w:spacing w:val="-11"/>
        </w:rPr>
        <w:t xml:space="preserve"> </w:t>
      </w:r>
      <w:r w:rsidRPr="00EC20A0">
        <w:t>Auditor’s</w:t>
      </w:r>
      <w:r w:rsidRPr="00EC20A0">
        <w:rPr>
          <w:spacing w:val="-10"/>
        </w:rPr>
        <w:t xml:space="preserve"> </w:t>
      </w:r>
      <w:r w:rsidRPr="00EC20A0">
        <w:rPr>
          <w:spacing w:val="-2"/>
        </w:rPr>
        <w:t>Report</w:t>
      </w:r>
    </w:p>
    <w:p w14:paraId="24D60046" w14:textId="77777777" w:rsidR="00245300" w:rsidRPr="00EC20A0" w:rsidRDefault="00F17249">
      <w:pPr>
        <w:pStyle w:val="ListParagraph"/>
        <w:numPr>
          <w:ilvl w:val="0"/>
          <w:numId w:val="214"/>
        </w:numPr>
        <w:tabs>
          <w:tab w:val="left" w:pos="1859"/>
        </w:tabs>
        <w:ind w:right="577" w:hanging="720"/>
      </w:pPr>
      <w:r w:rsidRPr="00EC20A0">
        <w:t>When</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engagement</w:t>
      </w:r>
      <w:r w:rsidRPr="00EC20A0">
        <w:rPr>
          <w:spacing w:val="-3"/>
        </w:rPr>
        <w:t xml:space="preserve"> </w:t>
      </w:r>
      <w:r w:rsidRPr="00EC20A0">
        <w:t>partner</w:t>
      </w:r>
      <w:r w:rsidRPr="00EC20A0">
        <w:rPr>
          <w:spacing w:val="-2"/>
        </w:rPr>
        <w:t xml:space="preserve"> </w:t>
      </w:r>
      <w:r w:rsidRPr="00EC20A0">
        <w:t>decides</w:t>
      </w:r>
      <w:r w:rsidRPr="00EC20A0">
        <w:rPr>
          <w:spacing w:val="-3"/>
        </w:rPr>
        <w:t xml:space="preserve"> </w:t>
      </w:r>
      <w:r w:rsidRPr="00EC20A0">
        <w:t>to</w:t>
      </w:r>
      <w:r w:rsidRPr="00EC20A0">
        <w:rPr>
          <w:spacing w:val="-4"/>
        </w:rPr>
        <w:t xml:space="preserve"> </w:t>
      </w:r>
      <w:r w:rsidRPr="00EC20A0">
        <w:t>make</w:t>
      </w:r>
      <w:r w:rsidRPr="00EC20A0">
        <w:rPr>
          <w:spacing w:val="-3"/>
        </w:rPr>
        <w:t xml:space="preserve"> </w:t>
      </w:r>
      <w:r w:rsidRPr="00EC20A0">
        <w:t>reference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of</w:t>
      </w:r>
      <w:r w:rsidRPr="00EC20A0">
        <w:rPr>
          <w:spacing w:val="-3"/>
        </w:rPr>
        <w:t xml:space="preserve"> </w:t>
      </w:r>
      <w:r w:rsidRPr="00EC20A0">
        <w:t>a component auditor in the auditor’s report on the group financial statements, the group engagement team</w:t>
      </w:r>
      <w:r w:rsidRPr="00EC20A0">
        <w:rPr>
          <w:spacing w:val="-1"/>
        </w:rPr>
        <w:t xml:space="preserve"> </w:t>
      </w:r>
      <w:r w:rsidRPr="00EC20A0">
        <w:t xml:space="preserve">should obtain sufficient appropriate audit evidence with regard to such components by performing the following procedures (AU-C </w:t>
      </w:r>
      <w:r w:rsidRPr="00EC20A0">
        <w:rPr>
          <w:spacing w:val="-2"/>
        </w:rPr>
        <w:t>600A.27):</w:t>
      </w:r>
    </w:p>
    <w:p w14:paraId="24D60047" w14:textId="77777777" w:rsidR="00245300" w:rsidRPr="00EC20A0" w:rsidRDefault="00F17249">
      <w:pPr>
        <w:pStyle w:val="ListParagraph"/>
        <w:numPr>
          <w:ilvl w:val="0"/>
          <w:numId w:val="210"/>
        </w:numPr>
        <w:tabs>
          <w:tab w:val="left" w:pos="2220"/>
        </w:tabs>
        <w:ind w:right="562"/>
      </w:pPr>
      <w:r w:rsidRPr="00EC20A0">
        <w:t>completing</w:t>
      </w:r>
      <w:r w:rsidRPr="00EC20A0">
        <w:rPr>
          <w:spacing w:val="-4"/>
        </w:rPr>
        <w:t xml:space="preserve"> </w:t>
      </w:r>
      <w:r w:rsidRPr="00EC20A0">
        <w:t>the</w:t>
      </w:r>
      <w:r w:rsidRPr="00EC20A0">
        <w:rPr>
          <w:spacing w:val="-4"/>
        </w:rPr>
        <w:t xml:space="preserve"> </w:t>
      </w:r>
      <w:r w:rsidRPr="00EC20A0">
        <w:t>procedures</w:t>
      </w:r>
      <w:r w:rsidRPr="00EC20A0">
        <w:rPr>
          <w:spacing w:val="-4"/>
        </w:rPr>
        <w:t xml:space="preserve"> </w:t>
      </w:r>
      <w:r w:rsidRPr="00EC20A0">
        <w:t>required</w:t>
      </w:r>
      <w:r w:rsidRPr="00EC20A0">
        <w:rPr>
          <w:spacing w:val="-5"/>
        </w:rPr>
        <w:t xml:space="preserve"> </w:t>
      </w:r>
      <w:r w:rsidRPr="00EC20A0">
        <w:t>by</w:t>
      </w:r>
      <w:r w:rsidRPr="00EC20A0">
        <w:rPr>
          <w:spacing w:val="-3"/>
        </w:rPr>
        <w:t xml:space="preserve"> </w:t>
      </w:r>
      <w:r w:rsidRPr="00EC20A0">
        <w:t>FAM</w:t>
      </w:r>
      <w:r w:rsidRPr="00EC20A0">
        <w:rPr>
          <w:spacing w:val="-5"/>
        </w:rPr>
        <w:t xml:space="preserve"> </w:t>
      </w:r>
      <w:r w:rsidRPr="00EC20A0">
        <w:t>630,</w:t>
      </w:r>
      <w:r w:rsidRPr="00EC20A0">
        <w:rPr>
          <w:spacing w:val="-4"/>
        </w:rPr>
        <w:t xml:space="preserve"> </w:t>
      </w:r>
      <w:r w:rsidRPr="00EC20A0">
        <w:t>except</w:t>
      </w:r>
      <w:r w:rsidRPr="00EC20A0">
        <w:rPr>
          <w:spacing w:val="-4"/>
        </w:rPr>
        <w:t xml:space="preserve"> </w:t>
      </w:r>
      <w:r w:rsidRPr="00EC20A0">
        <w:t>for</w:t>
      </w:r>
      <w:r w:rsidRPr="00EC20A0">
        <w:rPr>
          <w:spacing w:val="-4"/>
        </w:rPr>
        <w:t xml:space="preserve"> </w:t>
      </w:r>
      <w:r w:rsidRPr="00EC20A0">
        <w:t>those</w:t>
      </w:r>
      <w:r w:rsidRPr="00EC20A0">
        <w:rPr>
          <w:spacing w:val="-4"/>
        </w:rPr>
        <w:t xml:space="preserve"> </w:t>
      </w:r>
      <w:r w:rsidRPr="00EC20A0">
        <w:t>required</w:t>
      </w:r>
      <w:r w:rsidRPr="00EC20A0">
        <w:rPr>
          <w:spacing w:val="-4"/>
        </w:rPr>
        <w:t xml:space="preserve"> </w:t>
      </w:r>
      <w:r w:rsidRPr="00EC20A0">
        <w:t>in FAM 630.56 through .74, and</w:t>
      </w:r>
    </w:p>
    <w:p w14:paraId="24D60048" w14:textId="77777777" w:rsidR="00245300" w:rsidRPr="00EC20A0" w:rsidRDefault="00F17249">
      <w:pPr>
        <w:pStyle w:val="ListParagraph"/>
        <w:numPr>
          <w:ilvl w:val="0"/>
          <w:numId w:val="210"/>
        </w:numPr>
        <w:tabs>
          <w:tab w:val="left" w:pos="2219"/>
        </w:tabs>
        <w:ind w:left="2219" w:right="806"/>
      </w:pPr>
      <w:r w:rsidRPr="00EC20A0">
        <w:t>reading</w:t>
      </w:r>
      <w:r w:rsidRPr="00EC20A0">
        <w:rPr>
          <w:spacing w:val="-5"/>
        </w:rPr>
        <w:t xml:space="preserve"> </w:t>
      </w:r>
      <w:r w:rsidRPr="00EC20A0">
        <w:t>the</w:t>
      </w:r>
      <w:r w:rsidRPr="00EC20A0">
        <w:rPr>
          <w:spacing w:val="-6"/>
        </w:rPr>
        <w:t xml:space="preserve"> </w:t>
      </w:r>
      <w:r w:rsidRPr="00EC20A0">
        <w:t>component’s</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and</w:t>
      </w:r>
      <w:r w:rsidRPr="00EC20A0">
        <w:rPr>
          <w:spacing w:val="-5"/>
        </w:rPr>
        <w:t xml:space="preserve"> </w:t>
      </w:r>
      <w:r w:rsidRPr="00EC20A0">
        <w:t>the</w:t>
      </w:r>
      <w:r w:rsidRPr="00EC20A0">
        <w:rPr>
          <w:spacing w:val="-5"/>
        </w:rPr>
        <w:t xml:space="preserve"> </w:t>
      </w:r>
      <w:r w:rsidRPr="00EC20A0">
        <w:t>component</w:t>
      </w:r>
      <w:r w:rsidRPr="00EC20A0">
        <w:rPr>
          <w:spacing w:val="-5"/>
        </w:rPr>
        <w:t xml:space="preserve"> </w:t>
      </w:r>
      <w:r w:rsidRPr="00EC20A0">
        <w:t xml:space="preserve">auditor’s report thereon to identify significant findings and issues and, when considered necessary, communicating with the component auditor in this </w:t>
      </w:r>
      <w:r w:rsidRPr="00EC20A0">
        <w:rPr>
          <w:spacing w:val="-2"/>
        </w:rPr>
        <w:t>regard.</w:t>
      </w:r>
    </w:p>
    <w:p w14:paraId="24D60049" w14:textId="77777777" w:rsidR="00245300" w:rsidRPr="00EC20A0" w:rsidRDefault="00F17249">
      <w:pPr>
        <w:pStyle w:val="ListParagraph"/>
        <w:numPr>
          <w:ilvl w:val="0"/>
          <w:numId w:val="214"/>
        </w:numPr>
        <w:tabs>
          <w:tab w:val="left" w:pos="1858"/>
        </w:tabs>
        <w:ind w:left="1858" w:right="520" w:hanging="719"/>
      </w:pPr>
      <w:r w:rsidRPr="00EC20A0">
        <w:t>When the group engagement partner decides to make reference to the audit of a component auditor in the auditor’s report on the group financial statements, the report</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should</w:t>
      </w:r>
      <w:r w:rsidRPr="00EC20A0">
        <w:rPr>
          <w:spacing w:val="-5"/>
        </w:rPr>
        <w:t xml:space="preserve"> </w:t>
      </w:r>
      <w:r w:rsidRPr="00EC20A0">
        <w:t>clearly</w:t>
      </w:r>
      <w:r w:rsidRPr="00EC20A0">
        <w:rPr>
          <w:spacing w:val="-5"/>
        </w:rPr>
        <w:t xml:space="preserve"> </w:t>
      </w:r>
      <w:r w:rsidRPr="00EC20A0">
        <w:t>indicate</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(AU- C 600A.28):</w:t>
      </w:r>
    </w:p>
    <w:p w14:paraId="24D6004A" w14:textId="77777777" w:rsidR="00245300" w:rsidRPr="00EC20A0" w:rsidRDefault="00245300">
      <w:pPr>
        <w:sectPr w:rsidR="00245300" w:rsidRPr="00EC20A0">
          <w:pgSz w:w="12240" w:h="15840"/>
          <w:pgMar w:top="1340" w:right="940" w:bottom="940" w:left="1020" w:header="721" w:footer="757" w:gutter="0"/>
          <w:cols w:space="720"/>
        </w:sectPr>
      </w:pPr>
    </w:p>
    <w:p w14:paraId="24D6004B" w14:textId="77777777" w:rsidR="00245300" w:rsidRPr="00EC20A0" w:rsidRDefault="00F17249">
      <w:pPr>
        <w:pStyle w:val="ListParagraph"/>
        <w:numPr>
          <w:ilvl w:val="0"/>
          <w:numId w:val="209"/>
        </w:numPr>
        <w:tabs>
          <w:tab w:val="left" w:pos="2219"/>
        </w:tabs>
        <w:spacing w:before="121"/>
        <w:ind w:right="1073"/>
      </w:pPr>
      <w:r w:rsidRPr="00EC20A0">
        <w:t>that</w:t>
      </w:r>
      <w:r w:rsidRPr="00EC20A0">
        <w:rPr>
          <w:spacing w:val="-3"/>
        </w:rPr>
        <w:t xml:space="preserve"> </w:t>
      </w:r>
      <w:r w:rsidRPr="00EC20A0">
        <w:t>the</w:t>
      </w:r>
      <w:r w:rsidRPr="00EC20A0">
        <w:rPr>
          <w:spacing w:val="-3"/>
        </w:rPr>
        <w:t xml:space="preserve"> </w:t>
      </w:r>
      <w:r w:rsidRPr="00EC20A0">
        <w:t>component</w:t>
      </w:r>
      <w:r w:rsidRPr="00EC20A0">
        <w:rPr>
          <w:spacing w:val="-3"/>
        </w:rPr>
        <w:t xml:space="preserve"> </w:t>
      </w:r>
      <w:r w:rsidRPr="00EC20A0">
        <w:t>was</w:t>
      </w:r>
      <w:r w:rsidRPr="00EC20A0">
        <w:rPr>
          <w:spacing w:val="-3"/>
        </w:rPr>
        <w:t xml:space="preserve"> </w:t>
      </w:r>
      <w:r w:rsidRPr="00EC20A0">
        <w:t>not</w:t>
      </w:r>
      <w:r w:rsidRPr="00EC20A0">
        <w:rPr>
          <w:spacing w:val="-3"/>
        </w:rPr>
        <w:t xml:space="preserve"> </w:t>
      </w:r>
      <w:r w:rsidRPr="00EC20A0">
        <w:t>audited</w:t>
      </w:r>
      <w:r w:rsidRPr="00EC20A0">
        <w:rPr>
          <w:spacing w:val="-4"/>
        </w:rPr>
        <w:t xml:space="preserve"> </w:t>
      </w:r>
      <w:r w:rsidRPr="00EC20A0">
        <w:t>by</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 xml:space="preserve">financial </w:t>
      </w:r>
      <w:r w:rsidRPr="00EC20A0">
        <w:t>statements but was audited by the component auditor;</w:t>
      </w:r>
    </w:p>
    <w:p w14:paraId="24D6004C" w14:textId="77777777" w:rsidR="00245300" w:rsidRPr="00EC20A0" w:rsidRDefault="00F17249">
      <w:pPr>
        <w:pStyle w:val="ListParagraph"/>
        <w:numPr>
          <w:ilvl w:val="0"/>
          <w:numId w:val="209"/>
        </w:numPr>
        <w:tabs>
          <w:tab w:val="left" w:pos="2219"/>
        </w:tabs>
        <w:spacing w:before="239"/>
        <w:ind w:right="758"/>
      </w:pPr>
      <w:r w:rsidRPr="00EC20A0">
        <w:t>the</w:t>
      </w:r>
      <w:r w:rsidRPr="00EC20A0">
        <w:rPr>
          <w:spacing w:val="-4"/>
        </w:rPr>
        <w:t xml:space="preserve"> </w:t>
      </w:r>
      <w:r w:rsidRPr="00EC20A0">
        <w:t>magnitude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portion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component auditor audited;</w:t>
      </w:r>
    </w:p>
    <w:p w14:paraId="24D6004D" w14:textId="77777777" w:rsidR="00245300" w:rsidRPr="00EC20A0" w:rsidRDefault="00F17249">
      <w:pPr>
        <w:pStyle w:val="ListParagraph"/>
        <w:numPr>
          <w:ilvl w:val="0"/>
          <w:numId w:val="209"/>
        </w:numPr>
        <w:tabs>
          <w:tab w:val="left" w:pos="2219"/>
        </w:tabs>
        <w:spacing w:before="241"/>
        <w:ind w:right="905"/>
      </w:pPr>
      <w:r w:rsidRPr="00EC20A0">
        <w:t>when</w:t>
      </w:r>
      <w:r w:rsidRPr="00EC20A0">
        <w:rPr>
          <w:spacing w:val="-5"/>
        </w:rPr>
        <w:t xml:space="preserve"> </w:t>
      </w:r>
      <w:r w:rsidRPr="00EC20A0">
        <w:t>the</w:t>
      </w:r>
      <w:r w:rsidRPr="00EC20A0">
        <w:rPr>
          <w:spacing w:val="-5"/>
        </w:rPr>
        <w:t xml:space="preserve"> </w:t>
      </w:r>
      <w:r w:rsidRPr="00EC20A0">
        <w:t>component’s</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are</w:t>
      </w:r>
      <w:r w:rsidRPr="00EC20A0">
        <w:rPr>
          <w:spacing w:val="-5"/>
        </w:rPr>
        <w:t xml:space="preserve"> </w:t>
      </w:r>
      <w:r w:rsidRPr="00EC20A0">
        <w:t>prepared</w:t>
      </w:r>
      <w:r w:rsidRPr="00EC20A0">
        <w:rPr>
          <w:spacing w:val="-5"/>
        </w:rPr>
        <w:t xml:space="preserve"> </w:t>
      </w:r>
      <w:r w:rsidRPr="00EC20A0">
        <w:t>using</w:t>
      </w:r>
      <w:r w:rsidRPr="00EC20A0">
        <w:rPr>
          <w:spacing w:val="-5"/>
        </w:rPr>
        <w:t xml:space="preserve"> </w:t>
      </w:r>
      <w:r w:rsidRPr="00EC20A0">
        <w:t>a</w:t>
      </w:r>
      <w:r w:rsidRPr="00EC20A0">
        <w:rPr>
          <w:spacing w:val="-5"/>
        </w:rPr>
        <w:t xml:space="preserve"> </w:t>
      </w:r>
      <w:r w:rsidRPr="00EC20A0">
        <w:t xml:space="preserve">different financial reporting framework than that used for the group financial </w:t>
      </w:r>
      <w:r w:rsidRPr="00EC20A0">
        <w:rPr>
          <w:spacing w:val="-2"/>
        </w:rPr>
        <w:t>statements,</w:t>
      </w:r>
    </w:p>
    <w:p w14:paraId="24D6004E" w14:textId="77777777" w:rsidR="00245300" w:rsidRPr="00EC20A0" w:rsidRDefault="00F17249">
      <w:pPr>
        <w:pStyle w:val="ListParagraph"/>
        <w:numPr>
          <w:ilvl w:val="1"/>
          <w:numId w:val="209"/>
        </w:numPr>
        <w:tabs>
          <w:tab w:val="left" w:pos="2579"/>
        </w:tabs>
      </w:pPr>
      <w:r w:rsidRPr="00EC20A0">
        <w:t>the</w:t>
      </w:r>
      <w:r w:rsidRPr="00EC20A0">
        <w:rPr>
          <w:spacing w:val="-8"/>
        </w:rPr>
        <w:t xml:space="preserve"> </w:t>
      </w:r>
      <w:r w:rsidRPr="00EC20A0">
        <w:t>financial</w:t>
      </w:r>
      <w:r w:rsidRPr="00EC20A0">
        <w:rPr>
          <w:spacing w:val="-8"/>
        </w:rPr>
        <w:t xml:space="preserve"> </w:t>
      </w:r>
      <w:r w:rsidRPr="00EC20A0">
        <w:t>reporting</w:t>
      </w:r>
      <w:r w:rsidRPr="00EC20A0">
        <w:rPr>
          <w:spacing w:val="-7"/>
        </w:rPr>
        <w:t xml:space="preserve"> </w:t>
      </w:r>
      <w:r w:rsidRPr="00EC20A0">
        <w:t>framework</w:t>
      </w:r>
      <w:r w:rsidRPr="00EC20A0">
        <w:rPr>
          <w:spacing w:val="-7"/>
        </w:rPr>
        <w:t xml:space="preserve"> </w:t>
      </w:r>
      <w:r w:rsidRPr="00EC20A0">
        <w:t>used</w:t>
      </w:r>
      <w:r w:rsidRPr="00EC20A0">
        <w:rPr>
          <w:spacing w:val="-8"/>
        </w:rPr>
        <w:t xml:space="preserve"> </w:t>
      </w:r>
      <w:r w:rsidRPr="00EC20A0">
        <w:t>by</w:t>
      </w:r>
      <w:r w:rsidRPr="00EC20A0">
        <w:rPr>
          <w:spacing w:val="-6"/>
        </w:rPr>
        <w:t xml:space="preserve"> </w:t>
      </w:r>
      <w:r w:rsidRPr="00EC20A0">
        <w:t>the</w:t>
      </w:r>
      <w:r w:rsidRPr="00EC20A0">
        <w:rPr>
          <w:spacing w:val="-7"/>
        </w:rPr>
        <w:t xml:space="preserve"> </w:t>
      </w:r>
      <w:r w:rsidRPr="00EC20A0">
        <w:t>component</w:t>
      </w:r>
      <w:r w:rsidRPr="00EC20A0">
        <w:rPr>
          <w:spacing w:val="-8"/>
        </w:rPr>
        <w:t xml:space="preserve"> </w:t>
      </w:r>
      <w:r w:rsidRPr="00EC20A0">
        <w:rPr>
          <w:spacing w:val="-5"/>
        </w:rPr>
        <w:t>and</w:t>
      </w:r>
    </w:p>
    <w:p w14:paraId="24D6004F" w14:textId="77777777" w:rsidR="00245300" w:rsidRPr="00EC20A0" w:rsidRDefault="00F17249">
      <w:pPr>
        <w:pStyle w:val="ListParagraph"/>
        <w:numPr>
          <w:ilvl w:val="1"/>
          <w:numId w:val="209"/>
        </w:numPr>
        <w:tabs>
          <w:tab w:val="left" w:pos="2579"/>
        </w:tabs>
        <w:spacing w:before="238"/>
        <w:ind w:right="788"/>
      </w:pP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financial</w:t>
      </w:r>
      <w:r w:rsidRPr="00EC20A0">
        <w:rPr>
          <w:spacing w:val="-4"/>
        </w:rPr>
        <w:t xml:space="preserve"> </w:t>
      </w:r>
      <w:r w:rsidRPr="00EC20A0">
        <w:t>statements</w:t>
      </w:r>
      <w:r w:rsidRPr="00EC20A0">
        <w:rPr>
          <w:spacing w:val="-5"/>
        </w:rPr>
        <w:t xml:space="preserve"> </w:t>
      </w:r>
      <w:r w:rsidRPr="00EC20A0">
        <w:t>is</w:t>
      </w:r>
      <w:r w:rsidRPr="00EC20A0">
        <w:rPr>
          <w:spacing w:val="-4"/>
        </w:rPr>
        <w:t xml:space="preserve"> </w:t>
      </w:r>
      <w:r w:rsidRPr="00EC20A0">
        <w:t>taking</w:t>
      </w:r>
      <w:r w:rsidRPr="00EC20A0">
        <w:rPr>
          <w:spacing w:val="-4"/>
        </w:rPr>
        <w:t xml:space="preserve"> </w:t>
      </w:r>
      <w:r w:rsidRPr="00EC20A0">
        <w:t xml:space="preserve">responsibility for evaluating the appropriateness of the adjustments to convert the </w:t>
      </w:r>
      <w:r w:rsidRPr="00EC20A0">
        <w:t>component’s financial statements to the financial reporting framework used by the group; and</w:t>
      </w:r>
    </w:p>
    <w:p w14:paraId="24D60050" w14:textId="77777777" w:rsidR="00245300" w:rsidRPr="00EC20A0" w:rsidRDefault="00F17249">
      <w:pPr>
        <w:pStyle w:val="ListParagraph"/>
        <w:numPr>
          <w:ilvl w:val="0"/>
          <w:numId w:val="209"/>
        </w:numPr>
        <w:tabs>
          <w:tab w:val="left" w:pos="2218"/>
        </w:tabs>
        <w:spacing w:before="238"/>
        <w:ind w:left="2218" w:hanging="359"/>
      </w:pPr>
      <w:r w:rsidRPr="00EC20A0">
        <w:rPr>
          <w:spacing w:val="-4"/>
        </w:rPr>
        <w:t>when</w:t>
      </w:r>
    </w:p>
    <w:p w14:paraId="24D60051" w14:textId="77777777" w:rsidR="00245300" w:rsidRPr="00EC20A0" w:rsidRDefault="00F17249">
      <w:pPr>
        <w:pStyle w:val="ListParagraph"/>
        <w:numPr>
          <w:ilvl w:val="1"/>
          <w:numId w:val="209"/>
        </w:numPr>
        <w:tabs>
          <w:tab w:val="left" w:pos="2579"/>
        </w:tabs>
        <w:spacing w:before="239"/>
        <w:ind w:right="727"/>
        <w:jc w:val="both"/>
      </w:pPr>
      <w:r w:rsidRPr="00EC20A0">
        <w:t>the</w:t>
      </w:r>
      <w:r w:rsidRPr="00EC20A0">
        <w:rPr>
          <w:spacing w:val="-5"/>
        </w:rPr>
        <w:t xml:space="preserve"> </w:t>
      </w:r>
      <w:r w:rsidRPr="00EC20A0">
        <w:t>component</w:t>
      </w:r>
      <w:r w:rsidRPr="00EC20A0">
        <w:rPr>
          <w:spacing w:val="-5"/>
        </w:rPr>
        <w:t xml:space="preserve"> </w:t>
      </w:r>
      <w:r w:rsidRPr="00EC20A0">
        <w:t>auditor’s</w:t>
      </w:r>
      <w:r w:rsidRPr="00EC20A0">
        <w:rPr>
          <w:spacing w:val="-6"/>
        </w:rPr>
        <w:t xml:space="preserve"> </w:t>
      </w:r>
      <w:r w:rsidRPr="00EC20A0">
        <w:t>report</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component’s</w:t>
      </w:r>
      <w:r w:rsidRPr="00EC20A0">
        <w:rPr>
          <w:spacing w:val="-5"/>
        </w:rPr>
        <w:t xml:space="preserve"> </w:t>
      </w:r>
      <w:r w:rsidRPr="00EC20A0">
        <w:t>financial</w:t>
      </w:r>
      <w:r w:rsidRPr="00EC20A0">
        <w:rPr>
          <w:spacing w:val="-6"/>
        </w:rPr>
        <w:t xml:space="preserve"> </w:t>
      </w:r>
      <w:r w:rsidRPr="00EC20A0">
        <w:t>statements does</w:t>
      </w:r>
      <w:r w:rsidRPr="00EC20A0">
        <w:rPr>
          <w:spacing w:val="-3"/>
        </w:rPr>
        <w:t xml:space="preserve"> </w:t>
      </w:r>
      <w:r w:rsidRPr="00EC20A0">
        <w:t>not</w:t>
      </w:r>
      <w:r w:rsidRPr="00EC20A0">
        <w:rPr>
          <w:spacing w:val="-3"/>
        </w:rPr>
        <w:t xml:space="preserve"> </w:t>
      </w:r>
      <w:r w:rsidRPr="00EC20A0">
        <w:t>state</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was</w:t>
      </w:r>
      <w:r w:rsidRPr="00EC20A0">
        <w:rPr>
          <w:spacing w:val="-3"/>
        </w:rPr>
        <w:t xml:space="preserve"> </w:t>
      </w:r>
      <w:r w:rsidRPr="00EC20A0">
        <w:t>performed</w:t>
      </w:r>
      <w:r w:rsidRPr="00EC20A0">
        <w:rPr>
          <w:spacing w:val="-3"/>
        </w:rPr>
        <w:t xml:space="preserve"> </w:t>
      </w:r>
      <w:r w:rsidRPr="00EC20A0">
        <w:t>in</w:t>
      </w:r>
      <w:r w:rsidRPr="00EC20A0">
        <w:rPr>
          <w:spacing w:val="-3"/>
        </w:rPr>
        <w:t xml:space="preserve"> </w:t>
      </w:r>
      <w:r w:rsidRPr="00EC20A0">
        <w:t>accordance</w:t>
      </w:r>
      <w:r w:rsidRPr="00EC20A0">
        <w:rPr>
          <w:spacing w:val="-3"/>
        </w:rPr>
        <w:t xml:space="preserve"> </w:t>
      </w:r>
      <w:r w:rsidRPr="00EC20A0">
        <w:t>with</w:t>
      </w:r>
      <w:r w:rsidRPr="00EC20A0">
        <w:rPr>
          <w:spacing w:val="-3"/>
        </w:rPr>
        <w:t xml:space="preserve"> </w:t>
      </w:r>
      <w:r w:rsidRPr="00EC20A0">
        <w:t xml:space="preserve">GAGAS </w:t>
      </w:r>
      <w:r w:rsidRPr="00EC20A0">
        <w:rPr>
          <w:spacing w:val="-4"/>
        </w:rPr>
        <w:t>and</w:t>
      </w:r>
    </w:p>
    <w:p w14:paraId="24D60052" w14:textId="77777777" w:rsidR="00245300" w:rsidRPr="00EC20A0" w:rsidRDefault="00F17249">
      <w:pPr>
        <w:pStyle w:val="ListParagraph"/>
        <w:numPr>
          <w:ilvl w:val="1"/>
          <w:numId w:val="209"/>
        </w:numPr>
        <w:tabs>
          <w:tab w:val="left" w:pos="2578"/>
        </w:tabs>
        <w:spacing w:before="239"/>
        <w:ind w:left="2578" w:right="1204"/>
      </w:pPr>
      <w:r w:rsidRPr="00EC20A0">
        <w:t>the</w:t>
      </w:r>
      <w:r w:rsidRPr="00EC20A0">
        <w:rPr>
          <w:spacing w:val="-5"/>
        </w:rPr>
        <w:t xml:space="preserve"> </w:t>
      </w:r>
      <w:r w:rsidRPr="00EC20A0">
        <w:t>group</w:t>
      </w:r>
      <w:r w:rsidRPr="00EC20A0">
        <w:rPr>
          <w:spacing w:val="-5"/>
        </w:rPr>
        <w:t xml:space="preserve"> </w:t>
      </w:r>
      <w:r w:rsidRPr="00EC20A0">
        <w:t>engagement</w:t>
      </w:r>
      <w:r w:rsidRPr="00EC20A0">
        <w:rPr>
          <w:spacing w:val="-5"/>
        </w:rPr>
        <w:t xml:space="preserve"> </w:t>
      </w:r>
      <w:r w:rsidRPr="00EC20A0">
        <w:t>partner</w:t>
      </w:r>
      <w:r w:rsidRPr="00EC20A0">
        <w:rPr>
          <w:spacing w:val="-5"/>
        </w:rPr>
        <w:t xml:space="preserve"> </w:t>
      </w:r>
      <w:r w:rsidRPr="00EC20A0">
        <w:t>has</w:t>
      </w:r>
      <w:r w:rsidRPr="00EC20A0">
        <w:rPr>
          <w:spacing w:val="-6"/>
        </w:rPr>
        <w:t xml:space="preserve"> </w:t>
      </w:r>
      <w:r w:rsidRPr="00EC20A0">
        <w:t>determined</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component auditor performed additional audit procedures in order to meet the relevant requirements of GAGAS,</w:t>
      </w:r>
    </w:p>
    <w:p w14:paraId="24D60053" w14:textId="77777777" w:rsidR="00245300" w:rsidRPr="00EC20A0" w:rsidRDefault="00F17249">
      <w:pPr>
        <w:pStyle w:val="ListParagraph"/>
        <w:numPr>
          <w:ilvl w:val="2"/>
          <w:numId w:val="209"/>
        </w:numPr>
        <w:tabs>
          <w:tab w:val="left" w:pos="2937"/>
        </w:tabs>
        <w:spacing w:before="239"/>
        <w:ind w:left="2937" w:hanging="359"/>
      </w:pPr>
      <w:r w:rsidRPr="00EC20A0">
        <w:t>the</w:t>
      </w:r>
      <w:r w:rsidRPr="00EC20A0">
        <w:rPr>
          <w:spacing w:val="-6"/>
        </w:rPr>
        <w:t xml:space="preserve"> </w:t>
      </w:r>
      <w:r w:rsidRPr="00EC20A0">
        <w:t>set</w:t>
      </w:r>
      <w:r w:rsidRPr="00EC20A0">
        <w:rPr>
          <w:spacing w:val="-6"/>
        </w:rPr>
        <w:t xml:space="preserve"> </w:t>
      </w:r>
      <w:r w:rsidRPr="00EC20A0">
        <w:t>of</w:t>
      </w:r>
      <w:r w:rsidRPr="00EC20A0">
        <w:rPr>
          <w:spacing w:val="-6"/>
        </w:rPr>
        <w:t xml:space="preserve"> </w:t>
      </w:r>
      <w:r w:rsidRPr="00EC20A0">
        <w:t>auditing</w:t>
      </w:r>
      <w:r w:rsidRPr="00EC20A0">
        <w:rPr>
          <w:spacing w:val="-5"/>
        </w:rPr>
        <w:t xml:space="preserve"> </w:t>
      </w:r>
      <w:r w:rsidRPr="00EC20A0">
        <w:t>standards</w:t>
      </w:r>
      <w:r w:rsidRPr="00EC20A0">
        <w:rPr>
          <w:spacing w:val="-6"/>
        </w:rPr>
        <w:t xml:space="preserve"> </w:t>
      </w:r>
      <w:r w:rsidRPr="00EC20A0">
        <w:t>used</w:t>
      </w:r>
      <w:r w:rsidRPr="00EC20A0">
        <w:rPr>
          <w:spacing w:val="-6"/>
        </w:rPr>
        <w:t xml:space="preserve"> </w:t>
      </w:r>
      <w:r w:rsidRPr="00EC20A0">
        <w:t>by</w:t>
      </w:r>
      <w:r w:rsidRPr="00EC20A0">
        <w:rPr>
          <w:spacing w:val="-5"/>
        </w:rPr>
        <w:t xml:space="preserve"> </w:t>
      </w:r>
      <w:r w:rsidRPr="00EC20A0">
        <w:t>the</w:t>
      </w:r>
      <w:r w:rsidRPr="00EC20A0">
        <w:rPr>
          <w:spacing w:val="-6"/>
        </w:rPr>
        <w:t xml:space="preserve"> </w:t>
      </w:r>
      <w:r w:rsidRPr="00EC20A0">
        <w:t>component</w:t>
      </w:r>
      <w:r w:rsidRPr="00EC20A0">
        <w:rPr>
          <w:spacing w:val="-6"/>
        </w:rPr>
        <w:t xml:space="preserve"> </w:t>
      </w:r>
      <w:r w:rsidRPr="00EC20A0">
        <w:t>auditor</w:t>
      </w:r>
      <w:r w:rsidRPr="00EC20A0">
        <w:rPr>
          <w:spacing w:val="-7"/>
        </w:rPr>
        <w:t xml:space="preserve"> </w:t>
      </w:r>
      <w:r w:rsidRPr="00EC20A0">
        <w:rPr>
          <w:spacing w:val="-5"/>
        </w:rPr>
        <w:t>and</w:t>
      </w:r>
    </w:p>
    <w:p w14:paraId="24D60054" w14:textId="77777777" w:rsidR="00245300" w:rsidRPr="00EC20A0" w:rsidRDefault="00F17249">
      <w:pPr>
        <w:pStyle w:val="ListParagraph"/>
        <w:numPr>
          <w:ilvl w:val="2"/>
          <w:numId w:val="209"/>
        </w:numPr>
        <w:tabs>
          <w:tab w:val="left" w:pos="2938"/>
        </w:tabs>
        <w:spacing w:before="233" w:line="223" w:lineRule="auto"/>
        <w:ind w:right="858"/>
      </w:pPr>
      <w:r w:rsidRPr="00EC20A0">
        <w:t>that</w:t>
      </w:r>
      <w:r w:rsidRPr="00EC20A0">
        <w:rPr>
          <w:spacing w:val="-5"/>
        </w:rPr>
        <w:t xml:space="preserve"> </w:t>
      </w:r>
      <w:r w:rsidRPr="00EC20A0">
        <w:t>additional</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were</w:t>
      </w:r>
      <w:r w:rsidRPr="00EC20A0">
        <w:rPr>
          <w:spacing w:val="-5"/>
        </w:rPr>
        <w:t xml:space="preserve"> </w:t>
      </w:r>
      <w:r w:rsidRPr="00EC20A0">
        <w:t>performed</w:t>
      </w:r>
      <w:r w:rsidRPr="00EC20A0">
        <w:rPr>
          <w:spacing w:val="-5"/>
        </w:rPr>
        <w:t xml:space="preserve"> </w:t>
      </w:r>
      <w:r w:rsidRPr="00EC20A0">
        <w:t>by</w:t>
      </w:r>
      <w:r w:rsidRPr="00EC20A0">
        <w:rPr>
          <w:spacing w:val="-5"/>
        </w:rPr>
        <w:t xml:space="preserve"> </w:t>
      </w:r>
      <w:r w:rsidRPr="00EC20A0">
        <w:t>the</w:t>
      </w:r>
      <w:r w:rsidRPr="00EC20A0">
        <w:rPr>
          <w:spacing w:val="-5"/>
        </w:rPr>
        <w:t xml:space="preserve"> </w:t>
      </w:r>
      <w:r w:rsidRPr="00EC20A0">
        <w:t>component auditor to meet the relevant requirements of GAGAS.</w:t>
      </w:r>
    </w:p>
    <w:p w14:paraId="24D60055" w14:textId="77777777" w:rsidR="00245300" w:rsidRPr="00EC20A0" w:rsidRDefault="00F17249">
      <w:pPr>
        <w:pStyle w:val="ListParagraph"/>
        <w:numPr>
          <w:ilvl w:val="0"/>
          <w:numId w:val="214"/>
        </w:numPr>
        <w:tabs>
          <w:tab w:val="left" w:pos="1858"/>
        </w:tabs>
        <w:spacing w:before="243"/>
        <w:ind w:left="1858" w:right="505" w:hanging="720"/>
      </w:pPr>
      <w:r w:rsidRPr="00EC20A0">
        <w:t>If the group engagement partner decides to name a component auditor in the auditor’s report on the group financial statements, the component auditor’s express permission should be obtained and the component auditor’s report should be presented together with that of the auditor’s report on the group financial statements (AU-C 600A.29). For IPA firms, this permission may be obtained</w:t>
      </w:r>
      <w:r w:rsidRPr="00EC20A0">
        <w:rPr>
          <w:spacing w:val="-3"/>
        </w:rPr>
        <w:t xml:space="preserve"> </w:t>
      </w:r>
      <w:r w:rsidRPr="00EC20A0">
        <w:t>as</w:t>
      </w:r>
      <w:r w:rsidRPr="00EC20A0">
        <w:rPr>
          <w:spacing w:val="-4"/>
        </w:rPr>
        <w:t xml:space="preserve"> </w:t>
      </w:r>
      <w:r w:rsidRPr="00EC20A0">
        <w:t>part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contracting</w:t>
      </w:r>
      <w:r w:rsidRPr="00EC20A0">
        <w:rPr>
          <w:spacing w:val="-3"/>
        </w:rPr>
        <w:t xml:space="preserve"> </w:t>
      </w:r>
      <w:r w:rsidRPr="00EC20A0">
        <w:t>process.</w:t>
      </w:r>
      <w:r w:rsidRPr="00EC20A0">
        <w:rPr>
          <w:spacing w:val="-3"/>
        </w:rPr>
        <w:t xml:space="preserve"> </w:t>
      </w:r>
      <w:r w:rsidRPr="00EC20A0">
        <w:t>As</w:t>
      </w:r>
      <w:r w:rsidRPr="00EC20A0">
        <w:rPr>
          <w:spacing w:val="-3"/>
        </w:rPr>
        <w:t xml:space="preserve"> </w:t>
      </w:r>
      <w:r w:rsidRPr="00EC20A0">
        <w:t>a</w:t>
      </w:r>
      <w:r w:rsidRPr="00EC20A0">
        <w:rPr>
          <w:spacing w:val="-5"/>
        </w:rPr>
        <w:t xml:space="preserve"> </w:t>
      </w:r>
      <w:r w:rsidRPr="00EC20A0">
        <w:t>professional</w:t>
      </w:r>
      <w:r w:rsidRPr="00EC20A0">
        <w:rPr>
          <w:spacing w:val="-4"/>
        </w:rPr>
        <w:t xml:space="preserve"> </w:t>
      </w:r>
      <w:r w:rsidRPr="00EC20A0">
        <w:t>courtesy,</w:t>
      </w:r>
      <w:r w:rsidRPr="00EC20A0">
        <w:rPr>
          <w:spacing w:val="-3"/>
        </w:rPr>
        <w:t xml:space="preserve"> </w:t>
      </w:r>
      <w:r w:rsidRPr="00EC20A0">
        <w:t>the</w:t>
      </w:r>
      <w:r w:rsidRPr="00EC20A0">
        <w:rPr>
          <w:spacing w:val="-3"/>
        </w:rPr>
        <w:t xml:space="preserve"> </w:t>
      </w:r>
      <w:r w:rsidRPr="00EC20A0">
        <w:t>group engagement team generally should also provide component auditors with a draft of its report so that the auditors can read the report before final issuance.</w:t>
      </w:r>
    </w:p>
    <w:p w14:paraId="24D60056" w14:textId="77777777" w:rsidR="00245300" w:rsidRPr="00EC20A0" w:rsidRDefault="00F17249">
      <w:pPr>
        <w:pStyle w:val="ListParagraph"/>
        <w:numPr>
          <w:ilvl w:val="0"/>
          <w:numId w:val="214"/>
        </w:numPr>
        <w:tabs>
          <w:tab w:val="left" w:pos="1860"/>
        </w:tabs>
        <w:spacing w:before="241"/>
        <w:ind w:left="1860" w:right="541"/>
      </w:pPr>
      <w:r w:rsidRPr="00EC20A0">
        <w:t>When the auditor of the group’s internal control audit decides to make reference to</w:t>
      </w:r>
      <w:r w:rsidRPr="00EC20A0">
        <w:rPr>
          <w:spacing w:val="-3"/>
        </w:rPr>
        <w:t xml:space="preserve"> </w:t>
      </w:r>
      <w:r w:rsidRPr="00EC20A0">
        <w:t>the</w:t>
      </w:r>
      <w:r w:rsidRPr="00EC20A0">
        <w:rPr>
          <w:spacing w:val="-3"/>
        </w:rPr>
        <w:t xml:space="preserve"> </w:t>
      </w:r>
      <w:r w:rsidRPr="00EC20A0">
        <w:t>report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as</w:t>
      </w:r>
      <w:r w:rsidRPr="00EC20A0">
        <w:rPr>
          <w:spacing w:val="-3"/>
        </w:rPr>
        <w:t xml:space="preserve"> </w:t>
      </w:r>
      <w:r w:rsidRPr="00EC20A0">
        <w:t>a</w:t>
      </w:r>
      <w:r w:rsidRPr="00EC20A0">
        <w:rPr>
          <w:spacing w:val="-3"/>
        </w:rPr>
        <w:t xml:space="preserve"> </w:t>
      </w:r>
      <w:r w:rsidRPr="00EC20A0">
        <w:t>basis,</w:t>
      </w:r>
      <w:r w:rsidRPr="00EC20A0">
        <w:rPr>
          <w:spacing w:val="-4"/>
        </w:rPr>
        <w:t xml:space="preserve"> </w:t>
      </w:r>
      <w:r w:rsidRPr="00EC20A0">
        <w:t>in</w:t>
      </w:r>
      <w:r w:rsidRPr="00EC20A0">
        <w:rPr>
          <w:spacing w:val="-3"/>
        </w:rPr>
        <w:t xml:space="preserve"> </w:t>
      </w:r>
      <w:r w:rsidRPr="00EC20A0">
        <w:t>part,</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auditor’s</w:t>
      </w:r>
      <w:r w:rsidRPr="00EC20A0">
        <w:rPr>
          <w:spacing w:val="-4"/>
        </w:rPr>
        <w:t xml:space="preserve"> </w:t>
      </w:r>
      <w:r w:rsidRPr="00EC20A0">
        <w:t>opinion on the group’s internal control, the auditor should modify the report on internal control over financial reporting.</w:t>
      </w:r>
    </w:p>
    <w:p w14:paraId="24D60057" w14:textId="77777777" w:rsidR="00245300" w:rsidRPr="00EC20A0" w:rsidRDefault="00F17249">
      <w:pPr>
        <w:pStyle w:val="ListParagraph"/>
        <w:numPr>
          <w:ilvl w:val="0"/>
          <w:numId w:val="214"/>
        </w:numPr>
        <w:tabs>
          <w:tab w:val="left" w:pos="1859"/>
        </w:tabs>
        <w:ind w:right="517" w:hanging="720"/>
      </w:pPr>
      <w:r w:rsidRPr="00EC20A0">
        <w:t>If the group engagement partner decides to assume responsibility for work of a component</w:t>
      </w:r>
      <w:r w:rsidRPr="00EC20A0">
        <w:rPr>
          <w:spacing w:val="-4"/>
        </w:rPr>
        <w:t xml:space="preserve"> </w:t>
      </w:r>
      <w:r w:rsidRPr="00EC20A0">
        <w:t>auditor,</w:t>
      </w:r>
      <w:r w:rsidRPr="00EC20A0">
        <w:rPr>
          <w:spacing w:val="-4"/>
        </w:rPr>
        <w:t xml:space="preserve"> </w:t>
      </w:r>
      <w:r w:rsidRPr="00EC20A0">
        <w:t>no</w:t>
      </w:r>
      <w:r w:rsidRPr="00EC20A0">
        <w:rPr>
          <w:spacing w:val="-4"/>
        </w:rPr>
        <w:t xml:space="preserve"> </w:t>
      </w:r>
      <w:r w:rsidRPr="00EC20A0">
        <w:t>reference</w:t>
      </w:r>
      <w:r w:rsidRPr="00EC20A0">
        <w:rPr>
          <w:spacing w:val="-4"/>
        </w:rPr>
        <w:t xml:space="preserve"> </w:t>
      </w:r>
      <w:r w:rsidRPr="00EC20A0">
        <w:t>should</w:t>
      </w:r>
      <w:r w:rsidRPr="00EC20A0">
        <w:rPr>
          <w:spacing w:val="-4"/>
        </w:rPr>
        <w:t xml:space="preserve"> </w:t>
      </w:r>
      <w:r w:rsidRPr="00EC20A0">
        <w:t>be</w:t>
      </w:r>
      <w:r w:rsidRPr="00EC20A0">
        <w:rPr>
          <w:spacing w:val="-4"/>
        </w:rPr>
        <w:t xml:space="preserve"> </w:t>
      </w:r>
      <w:r w:rsidRPr="00EC20A0">
        <w:t>made</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w:t>
      </w:r>
      <w:r w:rsidRPr="00EC20A0">
        <w:rPr>
          <w:spacing w:val="-4"/>
        </w:rPr>
        <w:t xml:space="preserve"> </w:t>
      </w:r>
      <w:r w:rsidRPr="00EC20A0">
        <w:t>in</w:t>
      </w:r>
      <w:r w:rsidRPr="00EC20A0">
        <w:rPr>
          <w:spacing w:val="-4"/>
        </w:rPr>
        <w:t xml:space="preserve"> </w:t>
      </w:r>
      <w:r w:rsidRPr="00EC20A0">
        <w:t>the auditor’s report on the group financial statements (AU-C 600A.31).</w:t>
      </w:r>
    </w:p>
    <w:p w14:paraId="24D60058" w14:textId="77777777" w:rsidR="00245300" w:rsidRPr="00EC20A0" w:rsidRDefault="00245300">
      <w:pPr>
        <w:sectPr w:rsidR="00245300" w:rsidRPr="00EC20A0">
          <w:pgSz w:w="12240" w:h="15840"/>
          <w:pgMar w:top="1340" w:right="940" w:bottom="940" w:left="1020" w:header="721" w:footer="757" w:gutter="0"/>
          <w:cols w:space="720"/>
        </w:sectPr>
      </w:pPr>
    </w:p>
    <w:p w14:paraId="24D60059" w14:textId="77777777" w:rsidR="00245300" w:rsidRPr="00EC20A0" w:rsidRDefault="00F17249">
      <w:pPr>
        <w:pStyle w:val="Heading4"/>
        <w:spacing w:before="121"/>
      </w:pPr>
      <w:r w:rsidRPr="00EC20A0">
        <w:rPr>
          <w:spacing w:val="-2"/>
        </w:rPr>
        <w:t>Materiality</w:t>
      </w:r>
    </w:p>
    <w:p w14:paraId="24D6005A" w14:textId="77777777" w:rsidR="00245300" w:rsidRPr="00EC20A0" w:rsidRDefault="00F17249">
      <w:pPr>
        <w:pStyle w:val="ListParagraph"/>
        <w:numPr>
          <w:ilvl w:val="0"/>
          <w:numId w:val="214"/>
        </w:numPr>
        <w:tabs>
          <w:tab w:val="left" w:pos="1859"/>
        </w:tabs>
        <w:ind w:hanging="719"/>
      </w:pPr>
      <w:r w:rsidRPr="00EC20A0">
        <w:t>The</w:t>
      </w:r>
      <w:r w:rsidRPr="00EC20A0">
        <w:rPr>
          <w:spacing w:val="-8"/>
        </w:rPr>
        <w:t xml:space="preserve"> </w:t>
      </w:r>
      <w:r w:rsidRPr="00EC20A0">
        <w:t>group</w:t>
      </w:r>
      <w:r w:rsidRPr="00EC20A0">
        <w:rPr>
          <w:spacing w:val="-8"/>
        </w:rPr>
        <w:t xml:space="preserve"> </w:t>
      </w:r>
      <w:r w:rsidRPr="00EC20A0">
        <w:t>engagement</w:t>
      </w:r>
      <w:r w:rsidRPr="00EC20A0">
        <w:rPr>
          <w:spacing w:val="-7"/>
        </w:rPr>
        <w:t xml:space="preserve"> </w:t>
      </w:r>
      <w:r w:rsidRPr="00EC20A0">
        <w:t>team</w:t>
      </w:r>
      <w:r w:rsidRPr="00EC20A0">
        <w:rPr>
          <w:spacing w:val="-9"/>
        </w:rPr>
        <w:t xml:space="preserve"> </w:t>
      </w:r>
      <w:r w:rsidRPr="00EC20A0">
        <w:t>should</w:t>
      </w:r>
      <w:r w:rsidRPr="00EC20A0">
        <w:rPr>
          <w:spacing w:val="-8"/>
        </w:rPr>
        <w:t xml:space="preserve"> </w:t>
      </w:r>
      <w:r w:rsidRPr="00EC20A0">
        <w:t>determine</w:t>
      </w:r>
      <w:r w:rsidRPr="00EC20A0">
        <w:rPr>
          <w:spacing w:val="-7"/>
        </w:rPr>
        <w:t xml:space="preserve"> </w:t>
      </w:r>
      <w:r w:rsidRPr="00EC20A0">
        <w:t>the</w:t>
      </w:r>
      <w:r w:rsidRPr="00EC20A0">
        <w:rPr>
          <w:spacing w:val="-8"/>
        </w:rPr>
        <w:t xml:space="preserve"> </w:t>
      </w:r>
      <w:r w:rsidRPr="00EC20A0">
        <w:t>following</w:t>
      </w:r>
      <w:r w:rsidRPr="00EC20A0">
        <w:rPr>
          <w:spacing w:val="-8"/>
        </w:rPr>
        <w:t xml:space="preserve"> </w:t>
      </w:r>
      <w:r w:rsidRPr="00EC20A0">
        <w:t>(AU-C</w:t>
      </w:r>
      <w:r w:rsidRPr="00EC20A0">
        <w:rPr>
          <w:spacing w:val="-8"/>
        </w:rPr>
        <w:t xml:space="preserve"> </w:t>
      </w:r>
      <w:r w:rsidRPr="00EC20A0">
        <w:rPr>
          <w:spacing w:val="-2"/>
        </w:rPr>
        <w:t>600A.32):</w:t>
      </w:r>
    </w:p>
    <w:p w14:paraId="24D6005B" w14:textId="77777777" w:rsidR="00245300" w:rsidRPr="00EC20A0" w:rsidRDefault="00F17249">
      <w:pPr>
        <w:pStyle w:val="ListParagraph"/>
        <w:numPr>
          <w:ilvl w:val="0"/>
          <w:numId w:val="208"/>
        </w:numPr>
        <w:tabs>
          <w:tab w:val="left" w:pos="2219"/>
        </w:tabs>
        <w:ind w:right="916"/>
      </w:pPr>
      <w:r w:rsidRPr="00EC20A0">
        <w:t>Materiality, including performance materiality, for the group financial statements</w:t>
      </w:r>
      <w:r w:rsidRPr="00EC20A0">
        <w:rPr>
          <w:spacing w:val="-4"/>
        </w:rPr>
        <w:t xml:space="preserve"> </w:t>
      </w:r>
      <w:r w:rsidRPr="00EC20A0">
        <w:t>as</w:t>
      </w:r>
      <w:r w:rsidRPr="00EC20A0">
        <w:rPr>
          <w:spacing w:val="-4"/>
        </w:rPr>
        <w:t xml:space="preserve"> </w:t>
      </w:r>
      <w:r w:rsidRPr="00EC20A0">
        <w:t>a</w:t>
      </w:r>
      <w:r w:rsidRPr="00EC20A0">
        <w:rPr>
          <w:spacing w:val="-4"/>
        </w:rPr>
        <w:t xml:space="preserve"> </w:t>
      </w:r>
      <w:r w:rsidRPr="00EC20A0">
        <w:t>whole</w:t>
      </w:r>
      <w:r w:rsidRPr="00EC20A0">
        <w:rPr>
          <w:spacing w:val="-5"/>
        </w:rPr>
        <w:t xml:space="preserve"> </w:t>
      </w:r>
      <w:r w:rsidRPr="00EC20A0">
        <w:t>when</w:t>
      </w:r>
      <w:r w:rsidRPr="00EC20A0">
        <w:rPr>
          <w:spacing w:val="-4"/>
        </w:rPr>
        <w:t xml:space="preserve"> </w:t>
      </w:r>
      <w:r w:rsidRPr="00EC20A0">
        <w:t>establishing</w:t>
      </w:r>
      <w:r w:rsidRPr="00EC20A0">
        <w:rPr>
          <w:spacing w:val="-4"/>
        </w:rPr>
        <w:t xml:space="preserve"> </w:t>
      </w:r>
      <w:r w:rsidRPr="00EC20A0">
        <w:t>the</w:t>
      </w:r>
      <w:r w:rsidRPr="00EC20A0">
        <w:rPr>
          <w:spacing w:val="-4"/>
        </w:rPr>
        <w:t xml:space="preserve"> </w:t>
      </w:r>
      <w:r w:rsidRPr="00EC20A0">
        <w:t>overall</w:t>
      </w:r>
      <w:r w:rsidRPr="00EC20A0">
        <w:rPr>
          <w:spacing w:val="-4"/>
        </w:rPr>
        <w:t xml:space="preserve"> </w:t>
      </w:r>
      <w:r w:rsidRPr="00EC20A0">
        <w:t>group</w:t>
      </w:r>
      <w:r w:rsidRPr="00EC20A0">
        <w:rPr>
          <w:spacing w:val="-4"/>
        </w:rPr>
        <w:t xml:space="preserve"> </w:t>
      </w:r>
      <w:r w:rsidRPr="00EC20A0">
        <w:t>audit</w:t>
      </w:r>
      <w:r w:rsidRPr="00EC20A0">
        <w:rPr>
          <w:spacing w:val="-4"/>
        </w:rPr>
        <w:t xml:space="preserve"> </w:t>
      </w:r>
      <w:r w:rsidRPr="00EC20A0">
        <w:t>strategy.</w:t>
      </w:r>
    </w:p>
    <w:p w14:paraId="24D6005C" w14:textId="77777777" w:rsidR="00245300" w:rsidRPr="00EC20A0" w:rsidRDefault="00F17249">
      <w:pPr>
        <w:pStyle w:val="ListParagraph"/>
        <w:numPr>
          <w:ilvl w:val="0"/>
          <w:numId w:val="208"/>
        </w:numPr>
        <w:tabs>
          <w:tab w:val="left" w:pos="2218"/>
        </w:tabs>
        <w:ind w:left="2218" w:right="512" w:hanging="359"/>
      </w:pPr>
      <w:r w:rsidRPr="00EC20A0">
        <w:t>Whether, in the specific circumstances of the group, particular line items, accounts, note disclosures, or classes of transactions in the group financial statements exist for which there is a substantial likelihood that misstatements of lesser amounts than materiality for the group financial statements as a whole</w:t>
      </w:r>
      <w:r w:rsidRPr="00EC20A0">
        <w:rPr>
          <w:spacing w:val="-4"/>
        </w:rPr>
        <w:t xml:space="preserve"> </w:t>
      </w:r>
      <w:r w:rsidRPr="00EC20A0">
        <w:t>would</w:t>
      </w:r>
      <w:r w:rsidRPr="00EC20A0">
        <w:rPr>
          <w:spacing w:val="-4"/>
        </w:rPr>
        <w:t xml:space="preserve"> </w:t>
      </w:r>
      <w:r w:rsidRPr="00EC20A0">
        <w:t>influence</w:t>
      </w:r>
      <w:r w:rsidRPr="00EC20A0">
        <w:rPr>
          <w:spacing w:val="-4"/>
        </w:rPr>
        <w:t xml:space="preserve"> </w:t>
      </w:r>
      <w:r w:rsidRPr="00EC20A0">
        <w:t>the</w:t>
      </w:r>
      <w:r w:rsidRPr="00EC20A0">
        <w:rPr>
          <w:spacing w:val="-4"/>
        </w:rPr>
        <w:t xml:space="preserve"> </w:t>
      </w:r>
      <w:r w:rsidRPr="00EC20A0">
        <w:t>judgment</w:t>
      </w:r>
      <w:r w:rsidRPr="00EC20A0">
        <w:rPr>
          <w:spacing w:val="-4"/>
        </w:rPr>
        <w:t xml:space="preserve"> </w:t>
      </w:r>
      <w:r w:rsidRPr="00EC20A0">
        <w:t>made</w:t>
      </w:r>
      <w:r w:rsidRPr="00EC20A0">
        <w:rPr>
          <w:spacing w:val="-4"/>
        </w:rPr>
        <w:t xml:space="preserve"> </w:t>
      </w:r>
      <w:r w:rsidRPr="00EC20A0">
        <w:t>by</w:t>
      </w:r>
      <w:r w:rsidRPr="00EC20A0">
        <w:rPr>
          <w:spacing w:val="-4"/>
        </w:rPr>
        <w:t xml:space="preserve"> </w:t>
      </w:r>
      <w:r w:rsidRPr="00EC20A0">
        <w:t>a</w:t>
      </w:r>
      <w:r w:rsidRPr="00EC20A0">
        <w:rPr>
          <w:spacing w:val="-4"/>
        </w:rPr>
        <w:t xml:space="preserve"> </w:t>
      </w:r>
      <w:r w:rsidRPr="00EC20A0">
        <w:t>reasonable</w:t>
      </w:r>
      <w:r w:rsidRPr="00EC20A0">
        <w:rPr>
          <w:spacing w:val="-4"/>
        </w:rPr>
        <w:t xml:space="preserve"> </w:t>
      </w:r>
      <w:r w:rsidRPr="00EC20A0">
        <w:t>user</w:t>
      </w:r>
      <w:r w:rsidRPr="00EC20A0">
        <w:rPr>
          <w:spacing w:val="-4"/>
        </w:rPr>
        <w:t xml:space="preserve"> </w:t>
      </w:r>
      <w:r w:rsidRPr="00EC20A0">
        <w:t>based</w:t>
      </w:r>
      <w:r w:rsidRPr="00EC20A0">
        <w:rPr>
          <w:spacing w:val="-3"/>
        </w:rPr>
        <w:t xml:space="preserve"> </w:t>
      </w:r>
      <w:r w:rsidRPr="00EC20A0">
        <w:t>on</w:t>
      </w:r>
      <w:r w:rsidRPr="00EC20A0">
        <w:rPr>
          <w:spacing w:val="-4"/>
        </w:rPr>
        <w:t xml:space="preserve"> </w:t>
      </w:r>
      <w:r w:rsidRPr="00EC20A0">
        <w:t xml:space="preserve">the group financial statements. In such circumstances, the group engagement team should determine materiality to be applied to those particular line items, accounts, note disclosures, or </w:t>
      </w:r>
      <w:r w:rsidRPr="00EC20A0">
        <w:t>classes of transactions.</w:t>
      </w:r>
    </w:p>
    <w:p w14:paraId="24D6005D" w14:textId="77777777" w:rsidR="00245300" w:rsidRPr="00EC20A0" w:rsidRDefault="00F17249">
      <w:pPr>
        <w:pStyle w:val="ListParagraph"/>
        <w:numPr>
          <w:ilvl w:val="0"/>
          <w:numId w:val="208"/>
        </w:numPr>
        <w:tabs>
          <w:tab w:val="left" w:pos="2217"/>
        </w:tabs>
        <w:ind w:left="2217" w:right="502"/>
      </w:pPr>
      <w:r w:rsidRPr="00EC20A0">
        <w:t>Component materiality for those components on which the group</w:t>
      </w:r>
      <w:r w:rsidRPr="00EC20A0">
        <w:rPr>
          <w:spacing w:val="40"/>
        </w:rPr>
        <w:t xml:space="preserve"> </w:t>
      </w:r>
      <w:r w:rsidRPr="00EC20A0">
        <w:t>engagement team will perform, or for which the auditor of the group financial statements will assume responsibility for the work of a component auditor</w:t>
      </w:r>
      <w:r w:rsidRPr="00EC20A0">
        <w:rPr>
          <w:spacing w:val="40"/>
        </w:rPr>
        <w:t xml:space="preserve"> </w:t>
      </w:r>
      <w:r w:rsidRPr="00EC20A0">
        <w:t>who performs, an audit or a review. Determining component materiality should take into account all components, regardless of whether reference is made</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report</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financial</w:t>
      </w:r>
      <w:r w:rsidRPr="00EC20A0">
        <w:rPr>
          <w:spacing w:val="-3"/>
        </w:rPr>
        <w:t xml:space="preserve"> </w:t>
      </w:r>
      <w:r w:rsidRPr="00EC20A0">
        <w:t>statements</w:t>
      </w:r>
      <w:r w:rsidRPr="00EC20A0">
        <w:rPr>
          <w:spacing w:val="-4"/>
        </w:rPr>
        <w:t xml:space="preserve"> </w:t>
      </w:r>
      <w:r w:rsidRPr="00EC20A0">
        <w:t>to</w:t>
      </w:r>
      <w:r w:rsidRPr="00EC20A0">
        <w:rPr>
          <w:spacing w:val="-3"/>
        </w:rPr>
        <w:t xml:space="preserve"> </w:t>
      </w:r>
      <w:r w:rsidRPr="00EC20A0">
        <w:t>the</w:t>
      </w:r>
      <w:r w:rsidRPr="00EC20A0">
        <w:rPr>
          <w:spacing w:val="-3"/>
        </w:rPr>
        <w:t xml:space="preserve"> </w:t>
      </w:r>
      <w:r w:rsidRPr="00EC20A0">
        <w:t>audit</w:t>
      </w:r>
      <w:r w:rsidRPr="00EC20A0">
        <w:rPr>
          <w:spacing w:val="-4"/>
        </w:rPr>
        <w:t xml:space="preserve"> </w:t>
      </w:r>
      <w:r w:rsidRPr="00EC20A0">
        <w:t>of</w:t>
      </w:r>
      <w:r w:rsidRPr="00EC20A0">
        <w:rPr>
          <w:spacing w:val="-3"/>
        </w:rPr>
        <w:t xml:space="preserve"> </w:t>
      </w:r>
      <w:r w:rsidRPr="00EC20A0">
        <w:t>a component auditor. To reduce the risk that the aggregate of uncorrected and undetected misstatements in the group financial statemen</w:t>
      </w:r>
      <w:r w:rsidRPr="00EC20A0">
        <w:t>ts exceeds the materiality for the group financial statements as a whole, component materiality should be lower than the materiality for the group financial statements as a whole, and component performance materiality should be lower than performance materiality for the group financial statements as a whole. Different materiality may be established for different components, and the aggregate component materiality may exceed the group materiality (see AU-C 600A.A64–.A66 for further guidance).</w:t>
      </w:r>
    </w:p>
    <w:p w14:paraId="24D6005E" w14:textId="77777777" w:rsidR="00245300" w:rsidRPr="00EC20A0" w:rsidRDefault="00F17249">
      <w:pPr>
        <w:pStyle w:val="ListParagraph"/>
        <w:numPr>
          <w:ilvl w:val="0"/>
          <w:numId w:val="208"/>
        </w:numPr>
        <w:tabs>
          <w:tab w:val="left" w:pos="2219"/>
        </w:tabs>
        <w:spacing w:before="239"/>
        <w:ind w:right="991"/>
      </w:pPr>
      <w:r w:rsidRPr="00EC20A0">
        <w:t>The</w:t>
      </w:r>
      <w:r w:rsidRPr="00EC20A0">
        <w:rPr>
          <w:spacing w:val="-5"/>
        </w:rPr>
        <w:t xml:space="preserve"> </w:t>
      </w:r>
      <w:r w:rsidRPr="00EC20A0">
        <w:t>threshold</w:t>
      </w:r>
      <w:r w:rsidRPr="00EC20A0">
        <w:rPr>
          <w:spacing w:val="-5"/>
        </w:rPr>
        <w:t xml:space="preserve"> </w:t>
      </w:r>
      <w:r w:rsidRPr="00EC20A0">
        <w:t>above</w:t>
      </w:r>
      <w:r w:rsidRPr="00EC20A0">
        <w:rPr>
          <w:spacing w:val="-5"/>
        </w:rPr>
        <w:t xml:space="preserve"> </w:t>
      </w:r>
      <w:r w:rsidRPr="00EC20A0">
        <w:t>which</w:t>
      </w:r>
      <w:r w:rsidRPr="00EC20A0">
        <w:rPr>
          <w:spacing w:val="-5"/>
        </w:rPr>
        <w:t xml:space="preserve"> </w:t>
      </w:r>
      <w:r w:rsidRPr="00EC20A0">
        <w:t>misstatements</w:t>
      </w:r>
      <w:r w:rsidRPr="00EC20A0">
        <w:rPr>
          <w:spacing w:val="-5"/>
        </w:rPr>
        <w:t xml:space="preserve"> </w:t>
      </w:r>
      <w:r w:rsidRPr="00EC20A0">
        <w:t>cannot</w:t>
      </w:r>
      <w:r w:rsidRPr="00EC20A0">
        <w:rPr>
          <w:spacing w:val="-5"/>
        </w:rPr>
        <w:t xml:space="preserve"> </w:t>
      </w:r>
      <w:r w:rsidRPr="00EC20A0">
        <w:t>be</w:t>
      </w:r>
      <w:r w:rsidRPr="00EC20A0">
        <w:rPr>
          <w:spacing w:val="-5"/>
        </w:rPr>
        <w:t xml:space="preserve"> </w:t>
      </w:r>
      <w:r w:rsidRPr="00EC20A0">
        <w:t>regarded</w:t>
      </w:r>
      <w:r w:rsidRPr="00EC20A0">
        <w:rPr>
          <w:spacing w:val="-5"/>
        </w:rPr>
        <w:t xml:space="preserve"> </w:t>
      </w:r>
      <w:r w:rsidRPr="00EC20A0">
        <w:t>as</w:t>
      </w:r>
      <w:r w:rsidRPr="00EC20A0">
        <w:rPr>
          <w:spacing w:val="-5"/>
        </w:rPr>
        <w:t xml:space="preserve"> </w:t>
      </w:r>
      <w:r w:rsidRPr="00EC20A0">
        <w:t>clearly trivial to the group financial statements.</w:t>
      </w:r>
    </w:p>
    <w:p w14:paraId="24D6005F" w14:textId="77777777" w:rsidR="00245300" w:rsidRPr="00EC20A0" w:rsidRDefault="00F17249">
      <w:pPr>
        <w:pStyle w:val="BodyText"/>
        <w:spacing w:before="241"/>
        <w:ind w:left="1859" w:right="656"/>
      </w:pPr>
      <w:r w:rsidRPr="00EC20A0">
        <w:t>See</w:t>
      </w:r>
      <w:r w:rsidRPr="00EC20A0">
        <w:rPr>
          <w:spacing w:val="-5"/>
        </w:rPr>
        <w:t xml:space="preserve"> </w:t>
      </w:r>
      <w:r w:rsidRPr="00EC20A0">
        <w:t>FAM</w:t>
      </w:r>
      <w:r w:rsidRPr="00EC20A0">
        <w:rPr>
          <w:spacing w:val="-5"/>
        </w:rPr>
        <w:t xml:space="preserve"> </w:t>
      </w:r>
      <w:r w:rsidRPr="00EC20A0">
        <w:t>630.56</w:t>
      </w:r>
      <w:r w:rsidRPr="00EC20A0">
        <w:rPr>
          <w:spacing w:val="-5"/>
        </w:rPr>
        <w:t xml:space="preserve"> </w:t>
      </w:r>
      <w:r w:rsidRPr="00EC20A0">
        <w:t>for</w:t>
      </w:r>
      <w:r w:rsidRPr="00EC20A0">
        <w:rPr>
          <w:spacing w:val="-5"/>
        </w:rPr>
        <w:t xml:space="preserve"> </w:t>
      </w:r>
      <w:r w:rsidRPr="00EC20A0">
        <w:t>additional</w:t>
      </w:r>
      <w:r w:rsidRPr="00EC20A0">
        <w:rPr>
          <w:spacing w:val="-5"/>
        </w:rPr>
        <w:t xml:space="preserve"> </w:t>
      </w:r>
      <w:r w:rsidRPr="00EC20A0">
        <w:t>requirements</w:t>
      </w:r>
      <w:r w:rsidRPr="00EC20A0">
        <w:rPr>
          <w:spacing w:val="-5"/>
        </w:rPr>
        <w:t xml:space="preserve"> </w:t>
      </w:r>
      <w:r w:rsidRPr="00EC20A0">
        <w:t>when</w:t>
      </w:r>
      <w:r w:rsidRPr="00EC20A0">
        <w:rPr>
          <w:spacing w:val="-5"/>
        </w:rPr>
        <w:t xml:space="preserve"> </w:t>
      </w:r>
      <w:r w:rsidRPr="00EC20A0">
        <w:t>assuming</w:t>
      </w:r>
      <w:r w:rsidRPr="00EC20A0">
        <w:rPr>
          <w:spacing w:val="-5"/>
        </w:rPr>
        <w:t xml:space="preserve"> </w:t>
      </w:r>
      <w:r w:rsidRPr="00EC20A0">
        <w:t>responsibility</w:t>
      </w:r>
      <w:r w:rsidRPr="00EC20A0">
        <w:rPr>
          <w:spacing w:val="-5"/>
        </w:rPr>
        <w:t xml:space="preserve"> </w:t>
      </w:r>
      <w:r w:rsidRPr="00EC20A0">
        <w:t>for the work of a component auditor.</w:t>
      </w:r>
    </w:p>
    <w:p w14:paraId="24D60060" w14:textId="77777777" w:rsidR="00245300" w:rsidRPr="00EC20A0" w:rsidRDefault="00F17249">
      <w:pPr>
        <w:pStyle w:val="Heading4"/>
      </w:pPr>
      <w:bookmarkStart w:id="58" w:name="Responding_to_Assessed_Risk"/>
      <w:bookmarkEnd w:id="58"/>
      <w:r w:rsidRPr="00EC20A0">
        <w:t>Responding</w:t>
      </w:r>
      <w:r w:rsidRPr="00EC20A0">
        <w:rPr>
          <w:spacing w:val="-14"/>
        </w:rPr>
        <w:t xml:space="preserve"> </w:t>
      </w:r>
      <w:r w:rsidRPr="00EC20A0">
        <w:t>to</w:t>
      </w:r>
      <w:r w:rsidRPr="00EC20A0">
        <w:rPr>
          <w:spacing w:val="-13"/>
        </w:rPr>
        <w:t xml:space="preserve"> </w:t>
      </w:r>
      <w:r w:rsidRPr="00EC20A0">
        <w:t>Assessed</w:t>
      </w:r>
      <w:r w:rsidRPr="00EC20A0">
        <w:rPr>
          <w:spacing w:val="-13"/>
        </w:rPr>
        <w:t xml:space="preserve"> </w:t>
      </w:r>
      <w:r w:rsidRPr="00EC20A0">
        <w:rPr>
          <w:spacing w:val="-4"/>
        </w:rPr>
        <w:t>Risk</w:t>
      </w:r>
    </w:p>
    <w:p w14:paraId="24D60061" w14:textId="77777777" w:rsidR="00245300" w:rsidRPr="00EC20A0" w:rsidRDefault="00F17249">
      <w:pPr>
        <w:pStyle w:val="ListParagraph"/>
        <w:numPr>
          <w:ilvl w:val="0"/>
          <w:numId w:val="214"/>
        </w:numPr>
        <w:tabs>
          <w:tab w:val="left" w:pos="1860"/>
        </w:tabs>
        <w:ind w:left="1860" w:right="614"/>
      </w:pPr>
      <w:r w:rsidRPr="00EC20A0">
        <w:t>The auditor is required to design and implement appropriate responses to address</w:t>
      </w:r>
      <w:r w:rsidRPr="00EC20A0">
        <w:rPr>
          <w:spacing w:val="-3"/>
        </w:rPr>
        <w:t xml:space="preserve"> </w:t>
      </w:r>
      <w:r w:rsidRPr="00EC20A0">
        <w:t>the</w:t>
      </w:r>
      <w:r w:rsidRPr="00EC20A0">
        <w:rPr>
          <w:spacing w:val="-4"/>
        </w:rPr>
        <w:t xml:space="preserve"> </w:t>
      </w:r>
      <w:r w:rsidRPr="00EC20A0">
        <w:t>assessed</w:t>
      </w:r>
      <w:r w:rsidRPr="00EC20A0">
        <w:rPr>
          <w:spacing w:val="-3"/>
        </w:rPr>
        <w:t xml:space="preserve"> </w:t>
      </w:r>
      <w:r w:rsidRPr="00EC20A0">
        <w:t>risks</w:t>
      </w:r>
      <w:r w:rsidRPr="00EC20A0">
        <w:rPr>
          <w:spacing w:val="-3"/>
        </w:rPr>
        <w:t xml:space="preserve"> </w:t>
      </w:r>
      <w:r w:rsidRPr="00EC20A0">
        <w:t>of</w:t>
      </w:r>
      <w:r w:rsidRPr="00EC20A0">
        <w:rPr>
          <w:spacing w:val="-3"/>
        </w:rPr>
        <w:t xml:space="preserve"> </w:t>
      </w:r>
      <w:r w:rsidRPr="00EC20A0">
        <w:t>material</w:t>
      </w:r>
      <w:r w:rsidRPr="00EC20A0">
        <w:rPr>
          <w:spacing w:val="-3"/>
        </w:rPr>
        <w:t xml:space="preserve"> </w:t>
      </w:r>
      <w:r w:rsidRPr="00EC20A0">
        <w:t>misstatement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financial</w:t>
      </w:r>
      <w:r w:rsidRPr="00EC20A0">
        <w:rPr>
          <w:spacing w:val="-4"/>
        </w:rPr>
        <w:t xml:space="preserve"> </w:t>
      </w:r>
      <w:r w:rsidRPr="00EC20A0">
        <w:t>statements. If</w:t>
      </w:r>
      <w:r w:rsidRPr="00EC20A0">
        <w:rPr>
          <w:spacing w:val="-3"/>
        </w:rPr>
        <w:t xml:space="preserve"> </w:t>
      </w:r>
      <w:r w:rsidRPr="00EC20A0">
        <w:t>the</w:t>
      </w:r>
      <w:r w:rsidRPr="00EC20A0">
        <w:rPr>
          <w:spacing w:val="-3"/>
        </w:rPr>
        <w:t xml:space="preserve"> </w:t>
      </w:r>
      <w:r w:rsidRPr="00EC20A0">
        <w:t>nature,</w:t>
      </w:r>
      <w:r w:rsidRPr="00EC20A0">
        <w:rPr>
          <w:spacing w:val="-3"/>
        </w:rPr>
        <w:t xml:space="preserve"> </w:t>
      </w:r>
      <w:r w:rsidRPr="00EC20A0">
        <w:t>timing,</w:t>
      </w:r>
      <w:r w:rsidRPr="00EC20A0">
        <w:rPr>
          <w:spacing w:val="-3"/>
        </w:rPr>
        <w:t xml:space="preserve"> </w:t>
      </w:r>
      <w:r w:rsidRPr="00EC20A0">
        <w:t>and</w:t>
      </w:r>
      <w:r w:rsidRPr="00EC20A0">
        <w:rPr>
          <w:spacing w:val="-3"/>
        </w:rPr>
        <w:t xml:space="preserve"> </w:t>
      </w:r>
      <w:r w:rsidRPr="00EC20A0">
        <w:t>extent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performed</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consolidation process or the component’s financial information are based on an expectation that group-wide controls are operating effectively, or when substantive procedures alone cannot provide sufficient appropriate audit evidence at the assertion level, the group engagement team should test, or have a component auditor</w:t>
      </w:r>
      <w:r w:rsidRPr="00EC20A0">
        <w:rPr>
          <w:spacing w:val="-3"/>
        </w:rPr>
        <w:t xml:space="preserve"> </w:t>
      </w:r>
      <w:r w:rsidRPr="00EC20A0">
        <w:t>test</w:t>
      </w:r>
      <w:r w:rsidRPr="00EC20A0">
        <w:rPr>
          <w:spacing w:val="-4"/>
        </w:rPr>
        <w:t xml:space="preserve"> </w:t>
      </w:r>
      <w:r w:rsidRPr="00EC20A0">
        <w:t>on</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engagement</w:t>
      </w:r>
      <w:r w:rsidRPr="00EC20A0">
        <w:rPr>
          <w:spacing w:val="-3"/>
        </w:rPr>
        <w:t xml:space="preserve"> </w:t>
      </w:r>
      <w:r w:rsidRPr="00EC20A0">
        <w:t>team’s</w:t>
      </w:r>
      <w:r w:rsidRPr="00EC20A0">
        <w:rPr>
          <w:spacing w:val="-3"/>
        </w:rPr>
        <w:t xml:space="preserve"> </w:t>
      </w:r>
      <w:r w:rsidRPr="00EC20A0">
        <w:t>behalf,</w:t>
      </w:r>
      <w:r w:rsidRPr="00EC20A0">
        <w:rPr>
          <w:spacing w:val="-3"/>
        </w:rPr>
        <w:t xml:space="preserve"> </w:t>
      </w:r>
      <w:r w:rsidRPr="00EC20A0">
        <w:t>the</w:t>
      </w:r>
      <w:r w:rsidRPr="00EC20A0">
        <w:rPr>
          <w:spacing w:val="-3"/>
        </w:rPr>
        <w:t xml:space="preserve"> </w:t>
      </w:r>
      <w:r w:rsidRPr="00EC20A0">
        <w:t>operating</w:t>
      </w:r>
      <w:r w:rsidRPr="00EC20A0">
        <w:rPr>
          <w:spacing w:val="-3"/>
        </w:rPr>
        <w:t xml:space="preserve"> </w:t>
      </w:r>
      <w:r w:rsidRPr="00EC20A0">
        <w:t>effectiveness of those controls over specified risks that present a reasonable possibili</w:t>
      </w:r>
      <w:r w:rsidRPr="00EC20A0">
        <w:t>ty of material misstatement to the group financial statements (AU-C 600A.33 and</w:t>
      </w:r>
    </w:p>
    <w:p w14:paraId="24D60062" w14:textId="77777777" w:rsidR="00245300" w:rsidRPr="00EC20A0" w:rsidRDefault="00F17249">
      <w:pPr>
        <w:pStyle w:val="BodyText"/>
        <w:ind w:left="1860" w:hanging="1"/>
      </w:pPr>
      <w:r w:rsidRPr="00EC20A0">
        <w:t>AU-C</w:t>
      </w:r>
      <w:r w:rsidRPr="00EC20A0">
        <w:rPr>
          <w:spacing w:val="-4"/>
        </w:rPr>
        <w:t xml:space="preserve"> </w:t>
      </w:r>
      <w:r w:rsidRPr="00EC20A0">
        <w:t>940.82).</w:t>
      </w:r>
      <w:r w:rsidRPr="00EC20A0">
        <w:rPr>
          <w:spacing w:val="-4"/>
        </w:rPr>
        <w:t xml:space="preserve"> </w:t>
      </w:r>
      <w:r w:rsidRPr="00EC20A0">
        <w:t>See</w:t>
      </w:r>
      <w:r w:rsidRPr="00EC20A0">
        <w:rPr>
          <w:spacing w:val="-4"/>
        </w:rPr>
        <w:t xml:space="preserve"> </w:t>
      </w:r>
      <w:r w:rsidRPr="00EC20A0">
        <w:t>FAM</w:t>
      </w:r>
      <w:r w:rsidRPr="00EC20A0">
        <w:rPr>
          <w:spacing w:val="-5"/>
        </w:rPr>
        <w:t xml:space="preserve"> </w:t>
      </w:r>
      <w:r w:rsidRPr="00EC20A0">
        <w:t>630.66</w:t>
      </w:r>
      <w:r w:rsidRPr="00EC20A0">
        <w:rPr>
          <w:spacing w:val="-4"/>
        </w:rPr>
        <w:t xml:space="preserve"> </w:t>
      </w:r>
      <w:r w:rsidRPr="00EC20A0">
        <w:t>for</w:t>
      </w:r>
      <w:r w:rsidRPr="00EC20A0">
        <w:rPr>
          <w:spacing w:val="-4"/>
        </w:rPr>
        <w:t xml:space="preserve"> </w:t>
      </w:r>
      <w:r w:rsidRPr="00EC20A0">
        <w:t>additional</w:t>
      </w:r>
      <w:r w:rsidRPr="00EC20A0">
        <w:rPr>
          <w:spacing w:val="-5"/>
        </w:rPr>
        <w:t xml:space="preserve"> </w:t>
      </w:r>
      <w:r w:rsidRPr="00EC20A0">
        <w:t>audit</w:t>
      </w:r>
      <w:r w:rsidRPr="00EC20A0">
        <w:rPr>
          <w:spacing w:val="-4"/>
        </w:rPr>
        <w:t xml:space="preserve"> </w:t>
      </w:r>
      <w:r w:rsidRPr="00EC20A0">
        <w:t>procedures</w:t>
      </w:r>
      <w:r w:rsidRPr="00EC20A0">
        <w:rPr>
          <w:spacing w:val="-4"/>
        </w:rPr>
        <w:t xml:space="preserve"> </w:t>
      </w:r>
      <w:r w:rsidRPr="00EC20A0">
        <w:t>when</w:t>
      </w:r>
      <w:r w:rsidRPr="00EC20A0">
        <w:rPr>
          <w:spacing w:val="-4"/>
        </w:rPr>
        <w:t xml:space="preserve"> </w:t>
      </w:r>
      <w:r w:rsidRPr="00EC20A0">
        <w:t>assuming responsibility for the work of a component auditor.</w:t>
      </w:r>
    </w:p>
    <w:p w14:paraId="24D60063" w14:textId="77777777" w:rsidR="00245300" w:rsidRPr="00EC20A0" w:rsidRDefault="00245300">
      <w:pPr>
        <w:sectPr w:rsidR="00245300" w:rsidRPr="00EC20A0">
          <w:pgSz w:w="12240" w:h="15840"/>
          <w:pgMar w:top="1340" w:right="940" w:bottom="1020" w:left="1020" w:header="721" w:footer="757" w:gutter="0"/>
          <w:cols w:space="720"/>
        </w:sectPr>
      </w:pPr>
    </w:p>
    <w:p w14:paraId="24D60064" w14:textId="77777777" w:rsidR="00245300" w:rsidRPr="00EC20A0" w:rsidRDefault="00F17249">
      <w:pPr>
        <w:pStyle w:val="ListParagraph"/>
        <w:numPr>
          <w:ilvl w:val="0"/>
          <w:numId w:val="214"/>
        </w:numPr>
        <w:tabs>
          <w:tab w:val="left" w:pos="1859"/>
        </w:tabs>
        <w:spacing w:before="121"/>
        <w:ind w:right="714" w:hanging="720"/>
      </w:pPr>
      <w:r w:rsidRPr="00EC20A0">
        <w:t>Responses</w:t>
      </w:r>
      <w:r w:rsidRPr="00EC20A0">
        <w:rPr>
          <w:spacing w:val="-4"/>
        </w:rPr>
        <w:t xml:space="preserve"> </w:t>
      </w:r>
      <w:r w:rsidRPr="00EC20A0">
        <w:t>to</w:t>
      </w:r>
      <w:r w:rsidRPr="00EC20A0">
        <w:rPr>
          <w:spacing w:val="-4"/>
        </w:rPr>
        <w:t xml:space="preserve"> </w:t>
      </w:r>
      <w:r w:rsidRPr="00EC20A0">
        <w:t>assessed</w:t>
      </w:r>
      <w:r w:rsidRPr="00EC20A0">
        <w:rPr>
          <w:spacing w:val="-5"/>
        </w:rPr>
        <w:t xml:space="preserve"> </w:t>
      </w:r>
      <w:r w:rsidRPr="00EC20A0">
        <w:t>risks</w:t>
      </w:r>
      <w:r w:rsidRPr="00EC20A0">
        <w:rPr>
          <w:spacing w:val="-4"/>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for</w:t>
      </w:r>
      <w:r w:rsidRPr="00EC20A0">
        <w:rPr>
          <w:spacing w:val="-4"/>
        </w:rPr>
        <w:t xml:space="preserve"> </w:t>
      </w:r>
      <w:r w:rsidRPr="00EC20A0">
        <w:t>some</w:t>
      </w:r>
      <w:r w:rsidRPr="00EC20A0">
        <w:rPr>
          <w:spacing w:val="-4"/>
        </w:rPr>
        <w:t xml:space="preserve"> </w:t>
      </w:r>
      <w:r w:rsidRPr="00EC20A0">
        <w:t>or</w:t>
      </w:r>
      <w:r w:rsidRPr="00EC20A0">
        <w:rPr>
          <w:spacing w:val="-4"/>
        </w:rPr>
        <w:t xml:space="preserve"> </w:t>
      </w:r>
      <w:r w:rsidRPr="00EC20A0">
        <w:t>all</w:t>
      </w:r>
      <w:r w:rsidRPr="00EC20A0">
        <w:rPr>
          <w:spacing w:val="-4"/>
        </w:rPr>
        <w:t xml:space="preserve"> </w:t>
      </w:r>
      <w:r w:rsidRPr="00EC20A0">
        <w:t xml:space="preserve">accounts may be implemented at the group level, without involving the component auditors, if deemed appropriate by the group engagement team (AU-C </w:t>
      </w:r>
      <w:r w:rsidRPr="00EC20A0">
        <w:rPr>
          <w:spacing w:val="-2"/>
        </w:rPr>
        <w:t>600A.A68).</w:t>
      </w:r>
    </w:p>
    <w:p w14:paraId="24D60065" w14:textId="77777777" w:rsidR="00245300" w:rsidRPr="00EC20A0" w:rsidRDefault="00F17249">
      <w:pPr>
        <w:pStyle w:val="ListParagraph"/>
        <w:numPr>
          <w:ilvl w:val="0"/>
          <w:numId w:val="214"/>
        </w:numPr>
        <w:tabs>
          <w:tab w:val="left" w:pos="1860"/>
        </w:tabs>
        <w:ind w:left="1860" w:right="640"/>
      </w:pPr>
      <w:r w:rsidRPr="00EC20A0">
        <w:t xml:space="preserve">In determining the components at which to perform tests of </w:t>
      </w:r>
      <w:r w:rsidRPr="00EC20A0">
        <w:t>controls, the group engagement team should assess the risk of material misstatement to the financial</w:t>
      </w:r>
      <w:r w:rsidRPr="00EC20A0">
        <w:rPr>
          <w:spacing w:val="-5"/>
        </w:rPr>
        <w:t xml:space="preserve"> </w:t>
      </w:r>
      <w:r w:rsidRPr="00EC20A0">
        <w:t>statements</w:t>
      </w:r>
      <w:r w:rsidRPr="00EC20A0">
        <w:rPr>
          <w:spacing w:val="-4"/>
        </w:rPr>
        <w:t xml:space="preserve"> </w:t>
      </w:r>
      <w:r w:rsidRPr="00EC20A0">
        <w:t>associated</w:t>
      </w:r>
      <w:r w:rsidRPr="00EC20A0">
        <w:rPr>
          <w:spacing w:val="-4"/>
        </w:rPr>
        <w:t xml:space="preserve"> </w:t>
      </w:r>
      <w:r w:rsidRPr="00EC20A0">
        <w:t>with</w:t>
      </w:r>
      <w:r w:rsidRPr="00EC20A0">
        <w:rPr>
          <w:spacing w:val="-5"/>
        </w:rPr>
        <w:t xml:space="preserve"> </w:t>
      </w:r>
      <w:r w:rsidRPr="00EC20A0">
        <w:t>the</w:t>
      </w:r>
      <w:r w:rsidRPr="00EC20A0">
        <w:rPr>
          <w:spacing w:val="-4"/>
        </w:rPr>
        <w:t xml:space="preserve"> </w:t>
      </w:r>
      <w:r w:rsidRPr="00EC20A0">
        <w:t>component</w:t>
      </w:r>
      <w:r w:rsidRPr="00EC20A0">
        <w:rPr>
          <w:spacing w:val="-4"/>
        </w:rPr>
        <w:t xml:space="preserve"> </w:t>
      </w:r>
      <w:r w:rsidRPr="00EC20A0">
        <w:t>and</w:t>
      </w:r>
      <w:r w:rsidRPr="00EC20A0">
        <w:rPr>
          <w:spacing w:val="-4"/>
        </w:rPr>
        <w:t xml:space="preserve"> </w:t>
      </w:r>
      <w:r w:rsidRPr="00EC20A0">
        <w:t>correlate</w:t>
      </w:r>
      <w:r w:rsidRPr="00EC20A0">
        <w:rPr>
          <w:spacing w:val="-4"/>
        </w:rPr>
        <w:t xml:space="preserve"> </w:t>
      </w:r>
      <w:r w:rsidRPr="00EC20A0">
        <w:t>the</w:t>
      </w:r>
      <w:r w:rsidRPr="00EC20A0">
        <w:rPr>
          <w:spacing w:val="-4"/>
        </w:rPr>
        <w:t xml:space="preserve"> </w:t>
      </w:r>
      <w:r w:rsidRPr="00EC20A0">
        <w:t>amount</w:t>
      </w:r>
      <w:r w:rsidRPr="00EC20A0">
        <w:rPr>
          <w:spacing w:val="-4"/>
        </w:rPr>
        <w:t xml:space="preserve"> </w:t>
      </w:r>
      <w:r w:rsidRPr="00EC20A0">
        <w:t>of attention devoted to a component with the degree of risk (AU-C 940.81).</w:t>
      </w:r>
    </w:p>
    <w:p w14:paraId="24D60066" w14:textId="77777777" w:rsidR="00245300" w:rsidRPr="00EC20A0" w:rsidRDefault="00F17249">
      <w:pPr>
        <w:pStyle w:val="Heading4"/>
        <w:spacing w:before="239"/>
      </w:pPr>
      <w:bookmarkStart w:id="59" w:name="Consolidation_Process"/>
      <w:bookmarkEnd w:id="59"/>
      <w:r w:rsidRPr="00EC20A0">
        <w:rPr>
          <w:spacing w:val="-2"/>
        </w:rPr>
        <w:t>Consolidation</w:t>
      </w:r>
      <w:r w:rsidRPr="00EC20A0">
        <w:rPr>
          <w:spacing w:val="2"/>
        </w:rPr>
        <w:t xml:space="preserve"> </w:t>
      </w:r>
      <w:r w:rsidRPr="00EC20A0">
        <w:rPr>
          <w:spacing w:val="-2"/>
        </w:rPr>
        <w:t>Process</w:t>
      </w:r>
    </w:p>
    <w:p w14:paraId="24D60067" w14:textId="77777777" w:rsidR="00245300" w:rsidRPr="00EC20A0" w:rsidRDefault="00F17249">
      <w:pPr>
        <w:pStyle w:val="ListParagraph"/>
        <w:numPr>
          <w:ilvl w:val="0"/>
          <w:numId w:val="214"/>
        </w:numPr>
        <w:tabs>
          <w:tab w:val="left" w:pos="1859"/>
        </w:tabs>
        <w:spacing w:before="241"/>
        <w:ind w:right="666" w:hanging="720"/>
      </w:pPr>
      <w:r w:rsidRPr="00EC20A0">
        <w:t xml:space="preserve">In accordance with </w:t>
      </w:r>
      <w:hyperlink r:id="rId33">
        <w:r w:rsidRPr="00EC20A0">
          <w:t>FAM</w:t>
        </w:r>
      </w:hyperlink>
      <w:r w:rsidRPr="00EC20A0">
        <w:t xml:space="preserve"> 630.11, the group engagement team obtains an understanding of group-wide controls and the consolidation process, including the instructions that group management issued to components. In accordance with </w:t>
      </w:r>
      <w:hyperlink r:id="rId34">
        <w:r w:rsidRPr="00EC20A0">
          <w:t>FAM</w:t>
        </w:r>
      </w:hyperlink>
      <w:r w:rsidRPr="00EC20A0">
        <w:t xml:space="preserve"> 630.25, the group engagement team, or component auditor at the request of the group engagement team, tests the operating effectiveness of group-wide</w:t>
      </w:r>
      <w:r w:rsidRPr="00EC20A0">
        <w:rPr>
          <w:spacing w:val="-3"/>
        </w:rPr>
        <w:t xml:space="preserve"> </w:t>
      </w:r>
      <w:r w:rsidRPr="00EC20A0">
        <w:t>controls</w:t>
      </w:r>
      <w:r w:rsidRPr="00EC20A0">
        <w:rPr>
          <w:spacing w:val="-3"/>
        </w:rPr>
        <w:t xml:space="preserve"> </w:t>
      </w:r>
      <w:r w:rsidRPr="00EC20A0">
        <w:t>if</w:t>
      </w:r>
      <w:r w:rsidRPr="00EC20A0">
        <w:rPr>
          <w:spacing w:val="-4"/>
        </w:rPr>
        <w:t xml:space="preserve"> </w:t>
      </w:r>
      <w:r w:rsidRPr="00EC20A0">
        <w:t>the</w:t>
      </w:r>
      <w:r w:rsidRPr="00EC20A0">
        <w:rPr>
          <w:spacing w:val="-3"/>
        </w:rPr>
        <w:t xml:space="preserve"> </w:t>
      </w:r>
      <w:r w:rsidRPr="00EC20A0">
        <w:t>nature,</w:t>
      </w:r>
      <w:r w:rsidRPr="00EC20A0">
        <w:rPr>
          <w:spacing w:val="-3"/>
        </w:rPr>
        <w:t xml:space="preserve"> </w:t>
      </w:r>
      <w:r w:rsidRPr="00EC20A0">
        <w:t>timing,</w:t>
      </w:r>
      <w:r w:rsidRPr="00EC20A0">
        <w:rPr>
          <w:spacing w:val="-3"/>
        </w:rPr>
        <w:t xml:space="preserve"> </w:t>
      </w:r>
      <w:r w:rsidRPr="00EC20A0">
        <w:t>and</w:t>
      </w:r>
      <w:r w:rsidRPr="00EC20A0">
        <w:rPr>
          <w:spacing w:val="-3"/>
        </w:rPr>
        <w:t xml:space="preserve"> </w:t>
      </w:r>
      <w:r w:rsidRPr="00EC20A0">
        <w:t>extent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 xml:space="preserve">performed on the consolidation process are based on an expectation that group-wide controls are operating effectively or when substantive procedures alone cannot provide sufficient appropriate audit evidence at the assertion level (AU-C </w:t>
      </w:r>
      <w:r w:rsidRPr="00EC20A0">
        <w:rPr>
          <w:spacing w:val="-2"/>
        </w:rPr>
        <w:t>600A.34).</w:t>
      </w:r>
    </w:p>
    <w:p w14:paraId="24D60068" w14:textId="77777777" w:rsidR="00245300" w:rsidRPr="00EC20A0" w:rsidRDefault="00F17249">
      <w:pPr>
        <w:pStyle w:val="ListParagraph"/>
        <w:numPr>
          <w:ilvl w:val="0"/>
          <w:numId w:val="214"/>
        </w:numPr>
        <w:tabs>
          <w:tab w:val="left" w:pos="1859"/>
        </w:tabs>
        <w:ind w:right="518" w:hanging="720"/>
      </w:pP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design</w:t>
      </w:r>
      <w:r w:rsidRPr="00EC20A0">
        <w:rPr>
          <w:spacing w:val="-4"/>
        </w:rPr>
        <w:t xml:space="preserve"> </w:t>
      </w:r>
      <w:r w:rsidRPr="00EC20A0">
        <w:t>and</w:t>
      </w:r>
      <w:r w:rsidRPr="00EC20A0">
        <w:rPr>
          <w:spacing w:val="-5"/>
        </w:rPr>
        <w:t xml:space="preserve"> </w:t>
      </w:r>
      <w:r w:rsidRPr="00EC20A0">
        <w:t>perform</w:t>
      </w:r>
      <w:r w:rsidRPr="00EC20A0">
        <w:rPr>
          <w:spacing w:val="-5"/>
        </w:rPr>
        <w:t xml:space="preserve"> </w:t>
      </w:r>
      <w:r w:rsidRPr="00EC20A0">
        <w:t>further</w:t>
      </w:r>
      <w:r w:rsidRPr="00EC20A0">
        <w:rPr>
          <w:spacing w:val="-4"/>
        </w:rPr>
        <w:t xml:space="preserve"> </w:t>
      </w:r>
      <w:r w:rsidRPr="00EC20A0">
        <w:t>audit</w:t>
      </w:r>
      <w:r w:rsidRPr="00EC20A0">
        <w:rPr>
          <w:spacing w:val="-4"/>
        </w:rPr>
        <w:t xml:space="preserve"> </w:t>
      </w:r>
      <w:r w:rsidRPr="00EC20A0">
        <w:t>procedures on the consolidation process to respond to the assessed risks of material misstatement of the group financial statements arising from the consolidation process. This should include evaluating whether all components have been included in the group financial statements (AU-C 600A.35).</w:t>
      </w:r>
    </w:p>
    <w:p w14:paraId="24D60069" w14:textId="77777777" w:rsidR="00245300" w:rsidRPr="00EC20A0" w:rsidRDefault="00F17249">
      <w:pPr>
        <w:pStyle w:val="ListParagraph"/>
        <w:numPr>
          <w:ilvl w:val="0"/>
          <w:numId w:val="214"/>
        </w:numPr>
        <w:tabs>
          <w:tab w:val="left" w:pos="1858"/>
        </w:tabs>
        <w:ind w:left="1858" w:right="750" w:hanging="720"/>
      </w:pPr>
      <w:r w:rsidRPr="00EC20A0">
        <w:t>The group engagement team should evaluate the appropriateness, completeness,</w:t>
      </w:r>
      <w:r w:rsidRPr="00EC20A0">
        <w:rPr>
          <w:spacing w:val="-5"/>
        </w:rPr>
        <w:t xml:space="preserve"> </w:t>
      </w:r>
      <w:r w:rsidRPr="00EC20A0">
        <w:t>and</w:t>
      </w:r>
      <w:r w:rsidRPr="00EC20A0">
        <w:rPr>
          <w:spacing w:val="-5"/>
        </w:rPr>
        <w:t xml:space="preserve"> </w:t>
      </w:r>
      <w:r w:rsidRPr="00EC20A0">
        <w:t>accuracy</w:t>
      </w:r>
      <w:r w:rsidRPr="00EC20A0">
        <w:rPr>
          <w:spacing w:val="-5"/>
        </w:rPr>
        <w:t xml:space="preserve"> </w:t>
      </w:r>
      <w:r w:rsidRPr="00EC20A0">
        <w:t>of</w:t>
      </w:r>
      <w:r w:rsidRPr="00EC20A0">
        <w:rPr>
          <w:spacing w:val="-5"/>
        </w:rPr>
        <w:t xml:space="preserve"> </w:t>
      </w:r>
      <w:r w:rsidRPr="00EC20A0">
        <w:t>consolidation</w:t>
      </w:r>
      <w:r w:rsidRPr="00EC20A0">
        <w:rPr>
          <w:spacing w:val="-6"/>
        </w:rPr>
        <w:t xml:space="preserve"> </w:t>
      </w:r>
      <w:r w:rsidRPr="00EC20A0">
        <w:t>adjustments</w:t>
      </w:r>
      <w:r w:rsidRPr="00EC20A0">
        <w:rPr>
          <w:spacing w:val="-6"/>
        </w:rPr>
        <w:t xml:space="preserve"> </w:t>
      </w:r>
      <w:r w:rsidRPr="00EC20A0">
        <w:t>and</w:t>
      </w:r>
      <w:r w:rsidRPr="00EC20A0">
        <w:rPr>
          <w:spacing w:val="-5"/>
        </w:rPr>
        <w:t xml:space="preserve"> </w:t>
      </w:r>
      <w:r w:rsidRPr="00EC20A0">
        <w:t>reclassifications and should evaluate whether any fraud risk factors or indicators of possible management bias exist (AU-C 600A.36). The group engagement team’s evaluation may include (1) evaluating whether significant adjustments reflect actual events and determining if the</w:t>
      </w:r>
      <w:r w:rsidRPr="00EC20A0">
        <w:rPr>
          <w:spacing w:val="-2"/>
        </w:rPr>
        <w:t xml:space="preserve"> </w:t>
      </w:r>
      <w:r w:rsidRPr="00EC20A0">
        <w:t>adjustments were correctly calculated and supported and (2) checking the reconciliation of intragroup account balances (AU-C 600A.A69).</w:t>
      </w:r>
    </w:p>
    <w:p w14:paraId="24D6006A" w14:textId="77777777" w:rsidR="00245300" w:rsidRPr="00EC20A0" w:rsidRDefault="00F17249">
      <w:pPr>
        <w:pStyle w:val="ListParagraph"/>
        <w:numPr>
          <w:ilvl w:val="0"/>
          <w:numId w:val="214"/>
        </w:numPr>
        <w:tabs>
          <w:tab w:val="left" w:pos="1857"/>
        </w:tabs>
        <w:spacing w:before="239"/>
        <w:ind w:left="1857" w:right="518" w:hanging="720"/>
      </w:pPr>
      <w:r w:rsidRPr="00EC20A0">
        <w:t>If the financial information of a component has not been prepared in accordance with the same accounting policies applied to the group financial statements, the 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evaluate</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information</w:t>
      </w:r>
      <w:r w:rsidRPr="00EC20A0">
        <w:rPr>
          <w:spacing w:val="-4"/>
        </w:rPr>
        <w:t xml:space="preserve"> </w:t>
      </w:r>
      <w:r w:rsidRPr="00EC20A0">
        <w:t>of</w:t>
      </w:r>
      <w:r w:rsidRPr="00EC20A0">
        <w:rPr>
          <w:spacing w:val="-4"/>
        </w:rPr>
        <w:t xml:space="preserve"> </w:t>
      </w:r>
      <w:r w:rsidRPr="00EC20A0">
        <w:t xml:space="preserve">that component has been appropriately adjusted for purposes of the preparation and fair presentation of the group financial statements in </w:t>
      </w:r>
      <w:r w:rsidRPr="00EC20A0">
        <w:t>accordance with the applicable financial reporting framework (generally U.S. GAAP) (AU-C 600A.37).</w:t>
      </w:r>
    </w:p>
    <w:p w14:paraId="24D6006B" w14:textId="77777777" w:rsidR="00245300" w:rsidRPr="00EC20A0" w:rsidRDefault="00F17249">
      <w:pPr>
        <w:pStyle w:val="ListParagraph"/>
        <w:numPr>
          <w:ilvl w:val="0"/>
          <w:numId w:val="214"/>
        </w:numPr>
        <w:tabs>
          <w:tab w:val="left" w:pos="1860"/>
        </w:tabs>
        <w:ind w:left="1860" w:right="506"/>
      </w:pPr>
      <w:r w:rsidRPr="00EC20A0">
        <w:t>The group engagement team should determine whether the financial information identified</w:t>
      </w:r>
      <w:r w:rsidRPr="00EC20A0">
        <w:rPr>
          <w:spacing w:val="-4"/>
        </w:rPr>
        <w:t xml:space="preserve"> </w:t>
      </w:r>
      <w:r w:rsidRPr="00EC20A0">
        <w:t>in</w:t>
      </w:r>
      <w:r w:rsidRPr="00EC20A0">
        <w:rPr>
          <w:spacing w:val="-5"/>
        </w:rPr>
        <w:t xml:space="preserve"> </w:t>
      </w:r>
      <w:r w:rsidRPr="00EC20A0">
        <w:t>a</w:t>
      </w:r>
      <w:r w:rsidRPr="00EC20A0">
        <w:rPr>
          <w:spacing w:val="-4"/>
        </w:rPr>
        <w:t xml:space="preserve"> </w:t>
      </w:r>
      <w:r w:rsidRPr="00EC20A0">
        <w:t>component</w:t>
      </w:r>
      <w:r w:rsidRPr="00EC20A0">
        <w:rPr>
          <w:spacing w:val="-4"/>
        </w:rPr>
        <w:t xml:space="preserve"> </w:t>
      </w:r>
      <w:r w:rsidRPr="00EC20A0">
        <w:t>auditor’s</w:t>
      </w:r>
      <w:r w:rsidRPr="00EC20A0">
        <w:rPr>
          <w:spacing w:val="-5"/>
        </w:rPr>
        <w:t xml:space="preserve"> </w:t>
      </w:r>
      <w:r w:rsidRPr="00EC20A0">
        <w:t>communication</w:t>
      </w:r>
      <w:r w:rsidRPr="00EC20A0">
        <w:rPr>
          <w:spacing w:val="-4"/>
        </w:rPr>
        <w:t xml:space="preserve"> </w:t>
      </w:r>
      <w:r w:rsidRPr="00EC20A0">
        <w:t>is</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information</w:t>
      </w:r>
      <w:r w:rsidRPr="00EC20A0">
        <w:rPr>
          <w:spacing w:val="-4"/>
        </w:rPr>
        <w:t xml:space="preserve"> </w:t>
      </w:r>
      <w:r w:rsidRPr="00EC20A0">
        <w:t>that is incorporated in the group financial statements (AU-C 600A.38).</w:t>
      </w:r>
    </w:p>
    <w:p w14:paraId="24D6006C" w14:textId="77777777" w:rsidR="00245300" w:rsidRPr="00EC20A0" w:rsidRDefault="00F17249">
      <w:pPr>
        <w:pStyle w:val="ListParagraph"/>
        <w:numPr>
          <w:ilvl w:val="0"/>
          <w:numId w:val="214"/>
        </w:numPr>
        <w:tabs>
          <w:tab w:val="left" w:pos="1859"/>
        </w:tabs>
        <w:spacing w:before="241"/>
        <w:ind w:right="592" w:hanging="720"/>
        <w:jc w:val="both"/>
      </w:pPr>
      <w:r w:rsidRPr="00EC20A0">
        <w:t>If</w:t>
      </w:r>
      <w:r w:rsidRPr="00EC20A0">
        <w:rPr>
          <w:spacing w:val="-4"/>
        </w:rPr>
        <w:t xml:space="preserve"> </w:t>
      </w:r>
      <w:r w:rsidRPr="00EC20A0">
        <w:t>the</w:t>
      </w:r>
      <w:r w:rsidRPr="00EC20A0">
        <w:rPr>
          <w:spacing w:val="-4"/>
        </w:rPr>
        <w:t xml:space="preserve"> </w:t>
      </w:r>
      <w:r w:rsidRPr="00EC20A0">
        <w:t>group</w:t>
      </w:r>
      <w:r w:rsidRPr="00EC20A0">
        <w:rPr>
          <w:spacing w:val="-5"/>
        </w:rPr>
        <w:t xml:space="preserve"> </w:t>
      </w:r>
      <w:r w:rsidRPr="00EC20A0">
        <w:t>financial</w:t>
      </w:r>
      <w:r w:rsidRPr="00EC20A0">
        <w:rPr>
          <w:spacing w:val="-5"/>
        </w:rPr>
        <w:t xml:space="preserve"> </w:t>
      </w:r>
      <w:r w:rsidRPr="00EC20A0">
        <w:t>statements</w:t>
      </w:r>
      <w:r w:rsidRPr="00EC20A0">
        <w:rPr>
          <w:spacing w:val="-4"/>
        </w:rPr>
        <w:t xml:space="preserve"> </w:t>
      </w:r>
      <w:r w:rsidRPr="00EC20A0">
        <w:t>include</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of</w:t>
      </w:r>
      <w:r w:rsidRPr="00EC20A0">
        <w:rPr>
          <w:spacing w:val="-4"/>
        </w:rPr>
        <w:t xml:space="preserve"> </w:t>
      </w:r>
      <w:r w:rsidRPr="00EC20A0">
        <w:t>a</w:t>
      </w:r>
      <w:r w:rsidRPr="00EC20A0">
        <w:rPr>
          <w:spacing w:val="-4"/>
        </w:rPr>
        <w:t xml:space="preserve"> </w:t>
      </w:r>
      <w:r w:rsidRPr="00EC20A0">
        <w:t>component with a financial reporting</w:t>
      </w:r>
      <w:r w:rsidRPr="00EC20A0">
        <w:rPr>
          <w:spacing w:val="-1"/>
        </w:rPr>
        <w:t xml:space="preserve"> </w:t>
      </w:r>
      <w:r w:rsidRPr="00EC20A0">
        <w:t>period end that differs from</w:t>
      </w:r>
      <w:r w:rsidRPr="00EC20A0">
        <w:rPr>
          <w:spacing w:val="-1"/>
        </w:rPr>
        <w:t xml:space="preserve"> </w:t>
      </w:r>
      <w:r w:rsidRPr="00EC20A0">
        <w:t>that of the group, the</w:t>
      </w:r>
      <w:r w:rsidRPr="00EC20A0">
        <w:rPr>
          <w:spacing w:val="-1"/>
        </w:rPr>
        <w:t xml:space="preserve"> </w:t>
      </w:r>
      <w:r w:rsidRPr="00EC20A0">
        <w:t>group engagement team should evaluate whether appropriate adjustments have been</w:t>
      </w:r>
    </w:p>
    <w:p w14:paraId="24D6006D" w14:textId="77777777" w:rsidR="00245300" w:rsidRPr="00EC20A0" w:rsidRDefault="00245300">
      <w:pPr>
        <w:jc w:val="both"/>
        <w:sectPr w:rsidR="00245300" w:rsidRPr="00EC20A0">
          <w:pgSz w:w="12240" w:h="15840"/>
          <w:pgMar w:top="1340" w:right="940" w:bottom="1020" w:left="1020" w:header="721" w:footer="757" w:gutter="0"/>
          <w:cols w:space="720"/>
        </w:sectPr>
      </w:pPr>
    </w:p>
    <w:p w14:paraId="24D6006E" w14:textId="77777777" w:rsidR="00245300" w:rsidRPr="00EC20A0" w:rsidRDefault="00F17249">
      <w:pPr>
        <w:pStyle w:val="BodyText"/>
        <w:spacing w:before="121"/>
        <w:ind w:left="1860" w:right="562"/>
      </w:pPr>
      <w:r w:rsidRPr="00EC20A0">
        <w:t>made</w:t>
      </w:r>
      <w:r w:rsidRPr="00EC20A0">
        <w:rPr>
          <w:spacing w:val="-4"/>
        </w:rPr>
        <w:t xml:space="preserve"> </w:t>
      </w:r>
      <w:r w:rsidRPr="00EC20A0">
        <w:t>to</w:t>
      </w:r>
      <w:r w:rsidRPr="00EC20A0">
        <w:rPr>
          <w:spacing w:val="-4"/>
        </w:rPr>
        <w:t xml:space="preserve"> </w:t>
      </w:r>
      <w:r w:rsidRPr="00EC20A0">
        <w:t>those</w:t>
      </w:r>
      <w:r w:rsidRPr="00EC20A0">
        <w:rPr>
          <w:spacing w:val="-4"/>
        </w:rPr>
        <w:t xml:space="preserve"> </w:t>
      </w:r>
      <w:r w:rsidRPr="00EC20A0">
        <w:t>financial</w:t>
      </w:r>
      <w:r w:rsidRPr="00EC20A0">
        <w:rPr>
          <w:spacing w:val="-5"/>
        </w:rPr>
        <w:t xml:space="preserve"> </w:t>
      </w:r>
      <w:r w:rsidRPr="00EC20A0">
        <w:t>statements</w:t>
      </w:r>
      <w:r w:rsidRPr="00EC20A0">
        <w:rPr>
          <w:spacing w:val="-3"/>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applicable</w:t>
      </w:r>
      <w:r w:rsidRPr="00EC20A0">
        <w:rPr>
          <w:spacing w:val="-4"/>
        </w:rPr>
        <w:t xml:space="preserve"> </w:t>
      </w:r>
      <w:r w:rsidRPr="00EC20A0">
        <w:t>financial reporting framework (generally U.S. GAAP) (AU-C 600A.39).</w:t>
      </w:r>
    </w:p>
    <w:p w14:paraId="24D6006F" w14:textId="77777777" w:rsidR="00245300" w:rsidRPr="00EC20A0" w:rsidRDefault="00F17249">
      <w:pPr>
        <w:pStyle w:val="Heading4"/>
        <w:spacing w:before="241"/>
      </w:pPr>
      <w:r w:rsidRPr="00EC20A0">
        <w:rPr>
          <w:spacing w:val="-2"/>
        </w:rPr>
        <w:t>Subsequent</w:t>
      </w:r>
      <w:r w:rsidRPr="00EC20A0">
        <w:rPr>
          <w:spacing w:val="-1"/>
        </w:rPr>
        <w:t xml:space="preserve"> </w:t>
      </w:r>
      <w:r w:rsidRPr="00EC20A0">
        <w:rPr>
          <w:spacing w:val="-2"/>
        </w:rPr>
        <w:t>Events</w:t>
      </w:r>
    </w:p>
    <w:p w14:paraId="24D60070" w14:textId="77777777" w:rsidR="00245300" w:rsidRPr="00EC20A0" w:rsidRDefault="00F17249">
      <w:pPr>
        <w:pStyle w:val="ListParagraph"/>
        <w:numPr>
          <w:ilvl w:val="0"/>
          <w:numId w:val="214"/>
        </w:numPr>
        <w:tabs>
          <w:tab w:val="left" w:pos="1859"/>
        </w:tabs>
        <w:spacing w:before="239"/>
        <w:ind w:right="626" w:hanging="720"/>
      </w:pPr>
      <w:r w:rsidRPr="00EC20A0">
        <w:t>When</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4"/>
        </w:rPr>
        <w:t xml:space="preserve"> </w:t>
      </w:r>
      <w:r w:rsidRPr="00EC20A0">
        <w:t>or</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perform</w:t>
      </w:r>
      <w:r w:rsidRPr="00EC20A0">
        <w:rPr>
          <w:spacing w:val="-4"/>
        </w:rPr>
        <w:t xml:space="preserve"> </w:t>
      </w:r>
      <w:r w:rsidRPr="00EC20A0">
        <w:t>audits</w:t>
      </w:r>
      <w:r w:rsidRPr="00EC20A0">
        <w:rPr>
          <w:spacing w:val="-4"/>
        </w:rPr>
        <w:t xml:space="preserve"> </w:t>
      </w:r>
      <w:r w:rsidRPr="00EC20A0">
        <w:t>on</w:t>
      </w:r>
      <w:r w:rsidRPr="00EC20A0">
        <w:rPr>
          <w:spacing w:val="-4"/>
        </w:rPr>
        <w:t xml:space="preserve"> </w:t>
      </w:r>
      <w:r w:rsidRPr="00EC20A0">
        <w:t xml:space="preserve">the financial information of components, the group engagement team or the component auditors should perform procedures designed to identify events at those components that occur between the dates of the financial information of the components and the date of the auditor’s report on the group financial statements and that may require adjustment </w:t>
      </w:r>
      <w:proofErr w:type="spellStart"/>
      <w:r w:rsidRPr="00EC20A0">
        <w:t>to,</w:t>
      </w:r>
      <w:proofErr w:type="spellEnd"/>
      <w:r w:rsidRPr="00EC20A0">
        <w:t xml:space="preserve"> or disclosure in, the group financial statements. See FAM 630.68 for additional requirements when assuming</w:t>
      </w:r>
      <w:r w:rsidRPr="00EC20A0">
        <w:t xml:space="preserve"> responsibility for the work of a component auditor (AU-C 600A.40).</w:t>
      </w:r>
    </w:p>
    <w:p w14:paraId="24D60071" w14:textId="77777777" w:rsidR="00245300" w:rsidRPr="00EC20A0" w:rsidRDefault="00F17249">
      <w:pPr>
        <w:pStyle w:val="ListParagraph"/>
        <w:numPr>
          <w:ilvl w:val="0"/>
          <w:numId w:val="214"/>
        </w:numPr>
        <w:tabs>
          <w:tab w:val="left" w:pos="1859"/>
        </w:tabs>
        <w:spacing w:before="239"/>
        <w:ind w:right="627" w:hanging="720"/>
      </w:pPr>
      <w:r w:rsidRPr="00EC20A0">
        <w:t>The group engagement team may ask the component auditors to update the subsequent events review to the required date, or the group engagement team may update the subsequent events review. However, since this requires additional work, the group engagement team should attempt to complete audit work</w:t>
      </w:r>
      <w:r w:rsidRPr="00EC20A0">
        <w:rPr>
          <w:spacing w:val="-4"/>
        </w:rPr>
        <w:t xml:space="preserve"> </w:t>
      </w:r>
      <w:r w:rsidRPr="00EC20A0">
        <w:t>when</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complete</w:t>
      </w:r>
      <w:r w:rsidRPr="00EC20A0">
        <w:rPr>
          <w:spacing w:val="-4"/>
        </w:rPr>
        <w:t xml:space="preserve"> </w:t>
      </w:r>
      <w:r w:rsidRPr="00EC20A0">
        <w:t>their</w:t>
      </w:r>
      <w:r w:rsidRPr="00EC20A0">
        <w:rPr>
          <w:spacing w:val="-4"/>
        </w:rPr>
        <w:t xml:space="preserve"> </w:t>
      </w:r>
      <w:r w:rsidRPr="00EC20A0">
        <w:t>work.</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 team should evaluate this issue and coordinate with the component auditors when planning the audit.</w:t>
      </w:r>
    </w:p>
    <w:p w14:paraId="24D60072" w14:textId="77777777" w:rsidR="00245300" w:rsidRPr="00EC20A0" w:rsidRDefault="00F17249">
      <w:pPr>
        <w:pStyle w:val="Heading4"/>
        <w:spacing w:before="241"/>
      </w:pPr>
      <w:bookmarkStart w:id="60" w:name="Communication_with_the_Component_Auditor"/>
      <w:bookmarkEnd w:id="60"/>
      <w:r w:rsidRPr="00EC20A0">
        <w:t>Communication</w:t>
      </w:r>
      <w:r w:rsidRPr="00EC20A0">
        <w:rPr>
          <w:spacing w:val="-16"/>
        </w:rPr>
        <w:t xml:space="preserve"> </w:t>
      </w:r>
      <w:r w:rsidRPr="00EC20A0">
        <w:t>with</w:t>
      </w:r>
      <w:r w:rsidRPr="00EC20A0">
        <w:rPr>
          <w:spacing w:val="-15"/>
        </w:rPr>
        <w:t xml:space="preserve"> </w:t>
      </w:r>
      <w:r w:rsidRPr="00EC20A0">
        <w:t>the</w:t>
      </w:r>
      <w:r w:rsidRPr="00EC20A0">
        <w:rPr>
          <w:spacing w:val="-14"/>
        </w:rPr>
        <w:t xml:space="preserve"> </w:t>
      </w:r>
      <w:r w:rsidRPr="00EC20A0">
        <w:t>Component</w:t>
      </w:r>
      <w:r w:rsidRPr="00EC20A0">
        <w:rPr>
          <w:spacing w:val="-14"/>
        </w:rPr>
        <w:t xml:space="preserve"> </w:t>
      </w:r>
      <w:r w:rsidRPr="00EC20A0">
        <w:rPr>
          <w:spacing w:val="-2"/>
        </w:rPr>
        <w:t>Auditor</w:t>
      </w:r>
    </w:p>
    <w:p w14:paraId="24D60073" w14:textId="77777777" w:rsidR="00245300" w:rsidRPr="00EC20A0" w:rsidRDefault="00F17249">
      <w:pPr>
        <w:pStyle w:val="ListParagraph"/>
        <w:numPr>
          <w:ilvl w:val="0"/>
          <w:numId w:val="214"/>
        </w:numPr>
        <w:tabs>
          <w:tab w:val="left" w:pos="1859"/>
        </w:tabs>
        <w:spacing w:before="239"/>
        <w:ind w:right="984" w:hanging="720"/>
      </w:pPr>
      <w:r w:rsidRPr="00EC20A0">
        <w:t>The group engagement team should communicate its requirements to a component</w:t>
      </w:r>
      <w:r w:rsidRPr="00EC20A0">
        <w:rPr>
          <w:spacing w:val="-4"/>
        </w:rPr>
        <w:t xml:space="preserve"> </w:t>
      </w:r>
      <w:r w:rsidRPr="00EC20A0">
        <w:t>auditor</w:t>
      </w:r>
      <w:r w:rsidRPr="00EC20A0">
        <w:rPr>
          <w:spacing w:val="-4"/>
        </w:rPr>
        <w:t xml:space="preserve"> </w:t>
      </w:r>
      <w:r w:rsidRPr="00EC20A0">
        <w:t>on</w:t>
      </w:r>
      <w:r w:rsidRPr="00EC20A0">
        <w:rPr>
          <w:spacing w:val="-4"/>
        </w:rPr>
        <w:t xml:space="preserve"> </w:t>
      </w:r>
      <w:r w:rsidRPr="00EC20A0">
        <w:t>a</w:t>
      </w:r>
      <w:r w:rsidRPr="00EC20A0">
        <w:rPr>
          <w:spacing w:val="-5"/>
        </w:rPr>
        <w:t xml:space="preserve"> </w:t>
      </w:r>
      <w:r w:rsidRPr="00EC20A0">
        <w:t>timely</w:t>
      </w:r>
      <w:r w:rsidRPr="00EC20A0">
        <w:rPr>
          <w:spacing w:val="-4"/>
        </w:rPr>
        <w:t xml:space="preserve"> </w:t>
      </w:r>
      <w:r w:rsidRPr="00EC20A0">
        <w:t>basis.</w:t>
      </w:r>
      <w:r w:rsidRPr="00EC20A0">
        <w:rPr>
          <w:spacing w:val="-5"/>
        </w:rPr>
        <w:t xml:space="preserve"> </w:t>
      </w:r>
      <w:r w:rsidRPr="00EC20A0">
        <w:t>This</w:t>
      </w:r>
      <w:r w:rsidRPr="00EC20A0">
        <w:rPr>
          <w:spacing w:val="-4"/>
        </w:rPr>
        <w:t xml:space="preserve"> </w:t>
      </w:r>
      <w:r w:rsidRPr="00EC20A0">
        <w:t>communication</w:t>
      </w:r>
      <w:r w:rsidRPr="00EC20A0">
        <w:rPr>
          <w:spacing w:val="-5"/>
        </w:rPr>
        <w:t xml:space="preserve"> </w:t>
      </w:r>
      <w:r w:rsidRPr="00EC20A0">
        <w:t>should</w:t>
      </w:r>
      <w:r w:rsidRPr="00EC20A0">
        <w:rPr>
          <w:spacing w:val="-4"/>
        </w:rPr>
        <w:t xml:space="preserve"> </w:t>
      </w:r>
      <w:r w:rsidRPr="00EC20A0">
        <w:t>include</w:t>
      </w:r>
      <w:r w:rsidRPr="00EC20A0">
        <w:rPr>
          <w:spacing w:val="-5"/>
        </w:rPr>
        <w:t xml:space="preserve"> </w:t>
      </w:r>
      <w:r w:rsidRPr="00EC20A0">
        <w:t xml:space="preserve">the </w:t>
      </w:r>
      <w:r w:rsidRPr="00EC20A0">
        <w:rPr>
          <w:spacing w:val="-2"/>
        </w:rPr>
        <w:t>following:</w:t>
      </w:r>
    </w:p>
    <w:p w14:paraId="24D60074" w14:textId="77777777" w:rsidR="00245300" w:rsidRPr="00EC20A0" w:rsidRDefault="00F17249">
      <w:pPr>
        <w:pStyle w:val="ListParagraph"/>
        <w:numPr>
          <w:ilvl w:val="0"/>
          <w:numId w:val="207"/>
        </w:numPr>
        <w:tabs>
          <w:tab w:val="left" w:pos="2219"/>
        </w:tabs>
        <w:spacing w:before="241"/>
        <w:ind w:right="524"/>
      </w:pPr>
      <w:r w:rsidRPr="00EC20A0">
        <w:t>A</w:t>
      </w:r>
      <w:r w:rsidRPr="00EC20A0">
        <w:rPr>
          <w:spacing w:val="-4"/>
        </w:rPr>
        <w:t xml:space="preserve"> </w:t>
      </w:r>
      <w:r w:rsidRPr="00EC20A0">
        <w:t>request</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knowing</w:t>
      </w:r>
      <w:r w:rsidRPr="00EC20A0">
        <w:rPr>
          <w:spacing w:val="-3"/>
        </w:rPr>
        <w:t xml:space="preserve"> </w:t>
      </w:r>
      <w:r w:rsidRPr="00EC20A0">
        <w:t>the</w:t>
      </w:r>
      <w:r w:rsidRPr="00EC20A0">
        <w:rPr>
          <w:spacing w:val="-3"/>
        </w:rPr>
        <w:t xml:space="preserve"> </w:t>
      </w:r>
      <w:r w:rsidRPr="00EC20A0">
        <w:t>context</w:t>
      </w:r>
      <w:r w:rsidRPr="00EC20A0">
        <w:rPr>
          <w:spacing w:val="-3"/>
        </w:rPr>
        <w:t xml:space="preserve"> </w:t>
      </w:r>
      <w:r w:rsidRPr="00EC20A0">
        <w:t>in</w:t>
      </w:r>
      <w:r w:rsidRPr="00EC20A0">
        <w:rPr>
          <w:spacing w:val="-3"/>
        </w:rPr>
        <w:t xml:space="preserve"> </w:t>
      </w:r>
      <w:r w:rsidRPr="00EC20A0">
        <w:t>which</w:t>
      </w:r>
      <w:r w:rsidRPr="00EC20A0">
        <w:rPr>
          <w:spacing w:val="-3"/>
        </w:rPr>
        <w:t xml:space="preserve"> </w:t>
      </w:r>
      <w:r w:rsidRPr="00EC20A0">
        <w:t>the</w:t>
      </w:r>
      <w:r w:rsidRPr="00EC20A0">
        <w:rPr>
          <w:spacing w:val="-4"/>
        </w:rPr>
        <w:t xml:space="preserve"> </w:t>
      </w:r>
      <w:r w:rsidRPr="00EC20A0">
        <w:t xml:space="preserve">group engagement team will use the component auditor’s work, confirm that the component auditor will cooperate with the group engagement team (AU-C </w:t>
      </w:r>
      <w:r w:rsidRPr="00EC20A0">
        <w:rPr>
          <w:spacing w:val="-2"/>
        </w:rPr>
        <w:t>600A.41a).</w:t>
      </w:r>
    </w:p>
    <w:p w14:paraId="24D60075" w14:textId="77777777" w:rsidR="00245300" w:rsidRPr="00EC20A0" w:rsidRDefault="00F17249">
      <w:pPr>
        <w:pStyle w:val="ListParagraph"/>
        <w:numPr>
          <w:ilvl w:val="0"/>
          <w:numId w:val="207"/>
        </w:numPr>
        <w:tabs>
          <w:tab w:val="left" w:pos="2218"/>
        </w:tabs>
        <w:ind w:left="2218" w:right="1332"/>
      </w:pPr>
      <w:r w:rsidRPr="00EC20A0">
        <w:t>The</w:t>
      </w:r>
      <w:r w:rsidRPr="00EC20A0">
        <w:rPr>
          <w:spacing w:val="-4"/>
        </w:rPr>
        <w:t xml:space="preserve"> </w:t>
      </w:r>
      <w:r w:rsidRPr="00EC20A0">
        <w:t>ethical</w:t>
      </w:r>
      <w:r w:rsidRPr="00EC20A0">
        <w:rPr>
          <w:spacing w:val="-4"/>
        </w:rPr>
        <w:t xml:space="preserve"> </w:t>
      </w:r>
      <w:r w:rsidRPr="00EC20A0">
        <w:t>requirements</w:t>
      </w:r>
      <w:r w:rsidRPr="00EC20A0">
        <w:rPr>
          <w:spacing w:val="-4"/>
        </w:rPr>
        <w:t xml:space="preserve"> </w:t>
      </w:r>
      <w:r w:rsidRPr="00EC20A0">
        <w:t>relevant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audit,</w:t>
      </w:r>
      <w:r w:rsidRPr="00EC20A0">
        <w:rPr>
          <w:spacing w:val="-4"/>
        </w:rPr>
        <w:t xml:space="preserve"> </w:t>
      </w:r>
      <w:r w:rsidRPr="00EC20A0">
        <w:t>in</w:t>
      </w:r>
      <w:r w:rsidRPr="00EC20A0">
        <w:rPr>
          <w:spacing w:val="-4"/>
        </w:rPr>
        <w:t xml:space="preserve"> </w:t>
      </w:r>
      <w:r w:rsidRPr="00EC20A0">
        <w:t>particular,</w:t>
      </w:r>
      <w:r w:rsidRPr="00EC20A0">
        <w:rPr>
          <w:spacing w:val="-4"/>
        </w:rPr>
        <w:t xml:space="preserve"> </w:t>
      </w:r>
      <w:r w:rsidRPr="00EC20A0">
        <w:t>the independence requirements (AU-C 600A.41b).</w:t>
      </w:r>
    </w:p>
    <w:p w14:paraId="24D60076" w14:textId="77777777" w:rsidR="00245300" w:rsidRPr="00EC20A0" w:rsidRDefault="00F17249">
      <w:pPr>
        <w:pStyle w:val="ListParagraph"/>
        <w:numPr>
          <w:ilvl w:val="0"/>
          <w:numId w:val="207"/>
        </w:numPr>
        <w:tabs>
          <w:tab w:val="left" w:pos="2216"/>
          <w:tab w:val="left" w:pos="2218"/>
        </w:tabs>
        <w:ind w:left="2218" w:right="659" w:hanging="361"/>
      </w:pPr>
      <w:r w:rsidRPr="00EC20A0">
        <w:t>A list of disclosure entities, related parties, and public-private partnerships that</w:t>
      </w:r>
      <w:r w:rsidRPr="00EC20A0">
        <w:rPr>
          <w:spacing w:val="-1"/>
        </w:rPr>
        <w:t xml:space="preserve"> </w:t>
      </w:r>
      <w:r w:rsidRPr="00EC20A0">
        <w:t>group</w:t>
      </w:r>
      <w:r w:rsidRPr="00EC20A0">
        <w:rPr>
          <w:spacing w:val="-1"/>
        </w:rPr>
        <w:t xml:space="preserve"> </w:t>
      </w:r>
      <w:r w:rsidRPr="00EC20A0">
        <w:t>management</w:t>
      </w:r>
      <w:r w:rsidRPr="00EC20A0">
        <w:rPr>
          <w:spacing w:val="-1"/>
        </w:rPr>
        <w:t xml:space="preserve"> </w:t>
      </w:r>
      <w:r w:rsidRPr="00EC20A0">
        <w:t>prepared</w:t>
      </w:r>
      <w:r w:rsidRPr="00EC20A0">
        <w:rPr>
          <w:spacing w:val="-1"/>
        </w:rPr>
        <w:t xml:space="preserve"> </w:t>
      </w:r>
      <w:r w:rsidRPr="00EC20A0">
        <w:t>and</w:t>
      </w:r>
      <w:r w:rsidRPr="00EC20A0">
        <w:rPr>
          <w:spacing w:val="-1"/>
        </w:rPr>
        <w:t xml:space="preserve"> </w:t>
      </w:r>
      <w:r w:rsidRPr="00EC20A0">
        <w:t>any</w:t>
      </w:r>
      <w:r w:rsidRPr="00EC20A0">
        <w:rPr>
          <w:spacing w:val="-1"/>
        </w:rPr>
        <w:t xml:space="preserve"> </w:t>
      </w:r>
      <w:r w:rsidRPr="00EC20A0">
        <w:t>other</w:t>
      </w:r>
      <w:r w:rsidRPr="00EC20A0">
        <w:rPr>
          <w:spacing w:val="-2"/>
        </w:rPr>
        <w:t xml:space="preserve"> </w:t>
      </w:r>
      <w:r w:rsidRPr="00EC20A0">
        <w:t>related</w:t>
      </w:r>
      <w:r w:rsidRPr="00EC20A0">
        <w:rPr>
          <w:spacing w:val="-1"/>
        </w:rPr>
        <w:t xml:space="preserve"> </w:t>
      </w:r>
      <w:r w:rsidRPr="00EC20A0">
        <w:t>parties</w:t>
      </w:r>
      <w:r w:rsidRPr="00EC20A0">
        <w:rPr>
          <w:spacing w:val="-1"/>
        </w:rPr>
        <w:t xml:space="preserve"> </w:t>
      </w:r>
      <w:r w:rsidRPr="00EC20A0">
        <w:t>of</w:t>
      </w:r>
      <w:r w:rsidRPr="00EC20A0">
        <w:rPr>
          <w:spacing w:val="-1"/>
        </w:rPr>
        <w:t xml:space="preserve"> </w:t>
      </w:r>
      <w:r w:rsidRPr="00EC20A0">
        <w:t>which</w:t>
      </w:r>
      <w:r w:rsidRPr="00EC20A0">
        <w:rPr>
          <w:spacing w:val="-1"/>
        </w:rPr>
        <w:t xml:space="preserve"> </w:t>
      </w:r>
      <w:r w:rsidRPr="00EC20A0">
        <w:t>the group engagement team is aware, including the nature of the entity’s relationships and transactions with those parties.</w:t>
      </w:r>
      <w:hyperlink w:anchor="_bookmark17" w:history="1">
        <w:r w:rsidRPr="00EC20A0">
          <w:rPr>
            <w:position w:val="7"/>
            <w:sz w:val="14"/>
          </w:rPr>
          <w:t>12</w:t>
        </w:r>
      </w:hyperlink>
      <w:r w:rsidRPr="00EC20A0">
        <w:rPr>
          <w:spacing w:val="35"/>
          <w:position w:val="7"/>
          <w:sz w:val="14"/>
        </w:rPr>
        <w:t xml:space="preserve"> </w:t>
      </w:r>
      <w:r w:rsidRPr="00EC20A0">
        <w:t>The group engagement team should request that the component auditor communicate on a timely basis</w:t>
      </w:r>
      <w:r w:rsidRPr="00EC20A0">
        <w:rPr>
          <w:spacing w:val="-5"/>
        </w:rPr>
        <w:t xml:space="preserve"> </w:t>
      </w:r>
      <w:r w:rsidRPr="00EC20A0">
        <w:t>disclosure</w:t>
      </w:r>
      <w:r w:rsidRPr="00EC20A0">
        <w:rPr>
          <w:spacing w:val="-5"/>
        </w:rPr>
        <w:t xml:space="preserve"> </w:t>
      </w:r>
      <w:r w:rsidRPr="00EC20A0">
        <w:t>entities,</w:t>
      </w:r>
      <w:r w:rsidRPr="00EC20A0">
        <w:rPr>
          <w:spacing w:val="-5"/>
        </w:rPr>
        <w:t xml:space="preserve"> </w:t>
      </w:r>
      <w:r w:rsidRPr="00EC20A0">
        <w:t>related</w:t>
      </w:r>
      <w:r w:rsidRPr="00EC20A0">
        <w:rPr>
          <w:spacing w:val="-5"/>
        </w:rPr>
        <w:t xml:space="preserve"> </w:t>
      </w:r>
      <w:r w:rsidRPr="00EC20A0">
        <w:t>parties,</w:t>
      </w:r>
      <w:r w:rsidRPr="00EC20A0">
        <w:rPr>
          <w:spacing w:val="-5"/>
        </w:rPr>
        <w:t xml:space="preserve"> </w:t>
      </w:r>
      <w:r w:rsidRPr="00EC20A0">
        <w:t>and</w:t>
      </w:r>
      <w:r w:rsidRPr="00EC20A0">
        <w:rPr>
          <w:spacing w:val="-5"/>
        </w:rPr>
        <w:t xml:space="preserve"> </w:t>
      </w:r>
      <w:r w:rsidRPr="00EC20A0">
        <w:t>public-private</w:t>
      </w:r>
      <w:r w:rsidRPr="00EC20A0">
        <w:rPr>
          <w:spacing w:val="-6"/>
        </w:rPr>
        <w:t xml:space="preserve"> </w:t>
      </w:r>
      <w:r w:rsidRPr="00EC20A0">
        <w:t>partnerships</w:t>
      </w:r>
      <w:r w:rsidRPr="00EC20A0">
        <w:rPr>
          <w:spacing w:val="-6"/>
        </w:rPr>
        <w:t xml:space="preserve"> </w:t>
      </w:r>
      <w:r w:rsidRPr="00EC20A0">
        <w:t>that</w:t>
      </w:r>
    </w:p>
    <w:p w14:paraId="24D60077" w14:textId="77777777" w:rsidR="00245300" w:rsidRPr="00EC20A0" w:rsidRDefault="00F17249">
      <w:pPr>
        <w:pStyle w:val="BodyText"/>
        <w:spacing w:before="59"/>
        <w:rPr>
          <w:sz w:val="20"/>
        </w:rPr>
      </w:pPr>
      <w:r w:rsidRPr="00EC20A0">
        <w:rPr>
          <w:noProof/>
        </w:rPr>
        <mc:AlternateContent>
          <mc:Choice Requires="wps">
            <w:drawing>
              <wp:anchor distT="0" distB="0" distL="0" distR="0" simplePos="0" relativeHeight="487598080" behindDoc="1" locked="0" layoutInCell="1" allowOverlap="1" wp14:anchorId="24D62ADD" wp14:editId="24D62ADE">
                <wp:simplePos x="0" y="0"/>
                <wp:positionH relativeFrom="page">
                  <wp:posOffset>914400</wp:posOffset>
                </wp:positionH>
                <wp:positionV relativeFrom="paragraph">
                  <wp:posOffset>199226</wp:posOffset>
                </wp:positionV>
                <wp:extent cx="1828800" cy="571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EF097" id="Graphic 109" o:spid="_x0000_s1026" style="position:absolute;margin-left:1in;margin-top:15.7pt;width:2in;height:.4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" path="m1828800,l,,,5333r1828800,l1828800,xe" fillcolor="black" stroked="f">
                <v:path arrowok="t"/>
                <w10:wrap type="topAndBottom" anchorx="page"/>
              </v:shape>
            </w:pict>
          </mc:Fallback>
        </mc:AlternateContent>
      </w:r>
    </w:p>
    <w:p w14:paraId="24D60078" w14:textId="77777777" w:rsidR="00245300" w:rsidRPr="00EC20A0" w:rsidRDefault="00F17249">
      <w:pPr>
        <w:spacing w:before="200" w:line="242" w:lineRule="auto"/>
        <w:ind w:left="416" w:right="562" w:firstLine="3"/>
        <w:rPr>
          <w:sz w:val="18"/>
        </w:rPr>
      </w:pPr>
      <w:bookmarkStart w:id="61" w:name="_bookmark17"/>
      <w:bookmarkEnd w:id="61"/>
      <w:r w:rsidRPr="00EC20A0">
        <w:rPr>
          <w:position w:val="7"/>
          <w:sz w:val="14"/>
        </w:rPr>
        <w:t>12</w:t>
      </w:r>
      <w:r w:rsidRPr="00EC20A0">
        <w:rPr>
          <w:sz w:val="18"/>
        </w:rPr>
        <w:t>Under Federal Accounting Standards Advisory Board (FASAB) standards, organizations are considered to be related</w:t>
      </w:r>
      <w:r w:rsidRPr="00EC20A0">
        <w:rPr>
          <w:spacing w:val="-3"/>
          <w:sz w:val="18"/>
        </w:rPr>
        <w:t xml:space="preserve"> </w:t>
      </w:r>
      <w:r w:rsidRPr="00EC20A0">
        <w:rPr>
          <w:sz w:val="18"/>
        </w:rPr>
        <w:t>parties</w:t>
      </w:r>
      <w:r w:rsidRPr="00EC20A0">
        <w:rPr>
          <w:spacing w:val="-2"/>
          <w:sz w:val="18"/>
        </w:rPr>
        <w:t xml:space="preserve"> </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existing</w:t>
      </w:r>
      <w:r w:rsidRPr="00EC20A0">
        <w:rPr>
          <w:spacing w:val="-3"/>
          <w:sz w:val="18"/>
        </w:rPr>
        <w:t xml:space="preserve"> </w:t>
      </w:r>
      <w:r w:rsidRPr="00EC20A0">
        <w:rPr>
          <w:sz w:val="18"/>
        </w:rPr>
        <w:t>relationship</w:t>
      </w:r>
      <w:r w:rsidRPr="00EC20A0">
        <w:rPr>
          <w:spacing w:val="-3"/>
          <w:sz w:val="18"/>
        </w:rPr>
        <w:t xml:space="preserve"> </w:t>
      </w:r>
      <w:r w:rsidRPr="00EC20A0">
        <w:rPr>
          <w:sz w:val="18"/>
        </w:rPr>
        <w:t>or</w:t>
      </w:r>
      <w:r w:rsidRPr="00EC20A0">
        <w:rPr>
          <w:spacing w:val="-2"/>
          <w:sz w:val="18"/>
        </w:rPr>
        <w:t xml:space="preserve"> </w:t>
      </w:r>
      <w:r w:rsidRPr="00EC20A0">
        <w:rPr>
          <w:sz w:val="18"/>
        </w:rPr>
        <w:t>one</w:t>
      </w:r>
      <w:r w:rsidRPr="00EC20A0">
        <w:rPr>
          <w:spacing w:val="-2"/>
          <w:sz w:val="18"/>
        </w:rPr>
        <w:t xml:space="preserve"> </w:t>
      </w:r>
      <w:r w:rsidRPr="00EC20A0">
        <w:rPr>
          <w:sz w:val="18"/>
        </w:rPr>
        <w:t>party</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1"/>
          <w:sz w:val="18"/>
        </w:rPr>
        <w:t xml:space="preserve"> </w:t>
      </w:r>
      <w:r w:rsidRPr="00EC20A0">
        <w:rPr>
          <w:sz w:val="18"/>
        </w:rPr>
        <w:t>existing</w:t>
      </w:r>
      <w:r w:rsidRPr="00EC20A0">
        <w:rPr>
          <w:spacing w:val="-3"/>
          <w:sz w:val="18"/>
        </w:rPr>
        <w:t xml:space="preserve"> </w:t>
      </w:r>
      <w:r w:rsidRPr="00EC20A0">
        <w:rPr>
          <w:sz w:val="18"/>
        </w:rPr>
        <w:t>relationship</w:t>
      </w:r>
      <w:r w:rsidRPr="00EC20A0">
        <w:rPr>
          <w:spacing w:val="-3"/>
          <w:sz w:val="18"/>
        </w:rPr>
        <w:t xml:space="preserve"> </w:t>
      </w:r>
      <w:r w:rsidRPr="00EC20A0">
        <w:rPr>
          <w:sz w:val="18"/>
        </w:rPr>
        <w:t>has</w:t>
      </w:r>
      <w:r w:rsidRPr="00EC20A0">
        <w:rPr>
          <w:spacing w:val="-2"/>
          <w:sz w:val="18"/>
        </w:rPr>
        <w:t xml:space="preserve"> </w:t>
      </w:r>
      <w:r w:rsidRPr="00EC20A0">
        <w:rPr>
          <w:sz w:val="18"/>
        </w:rPr>
        <w:t>the</w:t>
      </w:r>
      <w:r w:rsidRPr="00EC20A0">
        <w:rPr>
          <w:spacing w:val="-3"/>
          <w:sz w:val="18"/>
        </w:rPr>
        <w:t xml:space="preserve"> </w:t>
      </w:r>
      <w:r w:rsidRPr="00EC20A0">
        <w:rPr>
          <w:sz w:val="18"/>
        </w:rPr>
        <w:t>ability</w:t>
      </w:r>
      <w:r w:rsidRPr="00EC20A0">
        <w:rPr>
          <w:spacing w:val="-2"/>
          <w:sz w:val="18"/>
        </w:rPr>
        <w:t xml:space="preserve"> </w:t>
      </w:r>
      <w:r w:rsidRPr="00EC20A0">
        <w:rPr>
          <w:sz w:val="18"/>
        </w:rPr>
        <w:t>to</w:t>
      </w:r>
      <w:r w:rsidRPr="00EC20A0">
        <w:rPr>
          <w:spacing w:val="-3"/>
          <w:sz w:val="18"/>
        </w:rPr>
        <w:t xml:space="preserve"> </w:t>
      </w:r>
      <w:r w:rsidRPr="00EC20A0">
        <w:rPr>
          <w:sz w:val="18"/>
        </w:rPr>
        <w:t>exercise</w:t>
      </w:r>
      <w:r w:rsidRPr="00EC20A0">
        <w:rPr>
          <w:spacing w:val="-3"/>
          <w:sz w:val="18"/>
        </w:rPr>
        <w:t xml:space="preserve"> </w:t>
      </w:r>
      <w:r w:rsidRPr="00EC20A0">
        <w:rPr>
          <w:sz w:val="18"/>
        </w:rPr>
        <w:t>significant influence over the other party’s policy decisions. In the federal government, there are additional relationships that present risks similar to related parties, as defined by FASAB. These include disclosure entities and public-private partnerships. Consequently, while the AICPA aud</w:t>
      </w:r>
      <w:r w:rsidRPr="00EC20A0">
        <w:rPr>
          <w:sz w:val="18"/>
        </w:rPr>
        <w:t>iting standards address only related parties, the auditor should apply audit procedures required for related parties to disclosure entities and public-private partnerships. Note that FASAB and the Financial Accounting Standards Board (FASB) provide different definitions for related parties.</w:t>
      </w:r>
    </w:p>
    <w:p w14:paraId="24D60079" w14:textId="77777777" w:rsidR="00245300" w:rsidRPr="00EC20A0" w:rsidRDefault="00F17249">
      <w:pPr>
        <w:spacing w:line="242" w:lineRule="auto"/>
        <w:ind w:left="415"/>
        <w:rPr>
          <w:sz w:val="18"/>
        </w:rPr>
      </w:pPr>
      <w:r w:rsidRPr="00EC20A0">
        <w:rPr>
          <w:sz w:val="18"/>
        </w:rPr>
        <w:t>Procedures</w:t>
      </w:r>
      <w:r w:rsidRPr="00EC20A0">
        <w:rPr>
          <w:spacing w:val="-3"/>
          <w:sz w:val="18"/>
        </w:rPr>
        <w:t xml:space="preserve"> </w:t>
      </w:r>
      <w:r w:rsidRPr="00EC20A0">
        <w:rPr>
          <w:sz w:val="18"/>
        </w:rPr>
        <w:t>pertaining</w:t>
      </w:r>
      <w:r w:rsidRPr="00EC20A0">
        <w:rPr>
          <w:spacing w:val="-4"/>
          <w:sz w:val="18"/>
        </w:rPr>
        <w:t xml:space="preserve"> </w:t>
      </w:r>
      <w:r w:rsidRPr="00EC20A0">
        <w:rPr>
          <w:sz w:val="18"/>
        </w:rPr>
        <w:t>to</w:t>
      </w:r>
      <w:r w:rsidRPr="00EC20A0">
        <w:rPr>
          <w:spacing w:val="-4"/>
          <w:sz w:val="18"/>
        </w:rPr>
        <w:t xml:space="preserve"> </w:t>
      </w:r>
      <w:r w:rsidRPr="00EC20A0">
        <w:rPr>
          <w:sz w:val="18"/>
        </w:rPr>
        <w:t>disclosure</w:t>
      </w:r>
      <w:r w:rsidRPr="00EC20A0">
        <w:rPr>
          <w:spacing w:val="-4"/>
          <w:sz w:val="18"/>
        </w:rPr>
        <w:t xml:space="preserve"> </w:t>
      </w:r>
      <w:r w:rsidRPr="00EC20A0">
        <w:rPr>
          <w:sz w:val="18"/>
        </w:rPr>
        <w:t>entities</w:t>
      </w:r>
      <w:r w:rsidRPr="00EC20A0">
        <w:rPr>
          <w:spacing w:val="-3"/>
          <w:sz w:val="18"/>
        </w:rPr>
        <w:t xml:space="preserve"> </w:t>
      </w:r>
      <w:r w:rsidRPr="00EC20A0">
        <w:rPr>
          <w:sz w:val="18"/>
        </w:rPr>
        <w:t>and</w:t>
      </w:r>
      <w:r w:rsidRPr="00EC20A0">
        <w:rPr>
          <w:spacing w:val="-4"/>
          <w:sz w:val="18"/>
        </w:rPr>
        <w:t xml:space="preserve"> </w:t>
      </w:r>
      <w:r w:rsidRPr="00EC20A0">
        <w:rPr>
          <w:sz w:val="18"/>
        </w:rPr>
        <w:t>public-private</w:t>
      </w:r>
      <w:r w:rsidRPr="00EC20A0">
        <w:rPr>
          <w:spacing w:val="-4"/>
          <w:sz w:val="18"/>
        </w:rPr>
        <w:t xml:space="preserve"> </w:t>
      </w:r>
      <w:r w:rsidRPr="00EC20A0">
        <w:rPr>
          <w:sz w:val="18"/>
        </w:rPr>
        <w:t>partnerships</w:t>
      </w:r>
      <w:r w:rsidRPr="00EC20A0">
        <w:rPr>
          <w:spacing w:val="-3"/>
          <w:sz w:val="18"/>
        </w:rPr>
        <w:t xml:space="preserve"> </w:t>
      </w:r>
      <w:r w:rsidRPr="00EC20A0">
        <w:rPr>
          <w:sz w:val="18"/>
        </w:rPr>
        <w:t>do</w:t>
      </w:r>
      <w:r w:rsidRPr="00EC20A0">
        <w:rPr>
          <w:spacing w:val="-4"/>
          <w:sz w:val="18"/>
        </w:rPr>
        <w:t xml:space="preserve"> </w:t>
      </w:r>
      <w:r w:rsidRPr="00EC20A0">
        <w:rPr>
          <w:sz w:val="18"/>
        </w:rPr>
        <w:t>not</w:t>
      </w:r>
      <w:r w:rsidRPr="00EC20A0">
        <w:rPr>
          <w:spacing w:val="-2"/>
          <w:sz w:val="18"/>
        </w:rPr>
        <w:t xml:space="preserve"> </w:t>
      </w:r>
      <w:r w:rsidRPr="00EC20A0">
        <w:rPr>
          <w:sz w:val="18"/>
        </w:rPr>
        <w:t>apply</w:t>
      </w:r>
      <w:r w:rsidRPr="00EC20A0">
        <w:rPr>
          <w:spacing w:val="-3"/>
          <w:sz w:val="18"/>
        </w:rPr>
        <w:t xml:space="preserve"> </w:t>
      </w:r>
      <w:r w:rsidRPr="00EC20A0">
        <w:rPr>
          <w:sz w:val="18"/>
        </w:rPr>
        <w:t>to</w:t>
      </w:r>
      <w:r w:rsidRPr="00EC20A0">
        <w:rPr>
          <w:spacing w:val="-2"/>
          <w:sz w:val="18"/>
        </w:rPr>
        <w:t xml:space="preserve"> </w:t>
      </w:r>
      <w:r w:rsidRPr="00EC20A0">
        <w:rPr>
          <w:sz w:val="18"/>
        </w:rPr>
        <w:t>entities</w:t>
      </w:r>
      <w:r w:rsidRPr="00EC20A0">
        <w:rPr>
          <w:spacing w:val="-3"/>
          <w:sz w:val="18"/>
        </w:rPr>
        <w:t xml:space="preserve"> </w:t>
      </w:r>
      <w:r w:rsidRPr="00EC20A0">
        <w:rPr>
          <w:sz w:val="18"/>
        </w:rPr>
        <w:t>issuing</w:t>
      </w:r>
      <w:r w:rsidRPr="00EC20A0">
        <w:rPr>
          <w:spacing w:val="-4"/>
          <w:sz w:val="18"/>
        </w:rPr>
        <w:t xml:space="preserve"> </w:t>
      </w:r>
      <w:r w:rsidRPr="00EC20A0">
        <w:rPr>
          <w:sz w:val="18"/>
        </w:rPr>
        <w:t xml:space="preserve">financial statements in </w:t>
      </w:r>
      <w:r w:rsidRPr="00EC20A0">
        <w:rPr>
          <w:sz w:val="18"/>
        </w:rPr>
        <w:t>accordance with FASB accounting standards.</w:t>
      </w:r>
    </w:p>
    <w:p w14:paraId="24D6007A" w14:textId="77777777" w:rsidR="00245300" w:rsidRPr="00EC20A0" w:rsidRDefault="00245300">
      <w:pPr>
        <w:spacing w:line="242" w:lineRule="auto"/>
        <w:rPr>
          <w:sz w:val="18"/>
        </w:rPr>
        <w:sectPr w:rsidR="00245300" w:rsidRPr="00EC20A0">
          <w:pgSz w:w="12240" w:h="15840"/>
          <w:pgMar w:top="1340" w:right="940" w:bottom="940" w:left="1020" w:header="721" w:footer="757" w:gutter="0"/>
          <w:cols w:space="720"/>
        </w:sectPr>
      </w:pPr>
    </w:p>
    <w:p w14:paraId="24D6007B" w14:textId="77777777" w:rsidR="00245300" w:rsidRPr="00EC20A0" w:rsidRDefault="00F17249">
      <w:pPr>
        <w:pStyle w:val="BodyText"/>
        <w:spacing w:before="121"/>
        <w:ind w:left="2220" w:right="562"/>
      </w:pPr>
      <w:r w:rsidRPr="00EC20A0">
        <w:t>group management or the group engagement team did not previously identify. The group engagement team should identify such additional disclosure</w:t>
      </w:r>
      <w:r w:rsidRPr="00EC20A0">
        <w:rPr>
          <w:spacing w:val="-5"/>
        </w:rPr>
        <w:t xml:space="preserve"> </w:t>
      </w:r>
      <w:r w:rsidRPr="00EC20A0">
        <w:t>entities,</w:t>
      </w:r>
      <w:r w:rsidRPr="00EC20A0">
        <w:rPr>
          <w:spacing w:val="-5"/>
        </w:rPr>
        <w:t xml:space="preserve"> </w:t>
      </w:r>
      <w:r w:rsidRPr="00EC20A0">
        <w:t>related</w:t>
      </w:r>
      <w:r w:rsidRPr="00EC20A0">
        <w:rPr>
          <w:spacing w:val="-5"/>
        </w:rPr>
        <w:t xml:space="preserve"> </w:t>
      </w:r>
      <w:r w:rsidRPr="00EC20A0">
        <w:t>parties,</w:t>
      </w:r>
      <w:r w:rsidRPr="00EC20A0">
        <w:rPr>
          <w:spacing w:val="-5"/>
        </w:rPr>
        <w:t xml:space="preserve"> </w:t>
      </w:r>
      <w:r w:rsidRPr="00EC20A0">
        <w:t>and</w:t>
      </w:r>
      <w:r w:rsidRPr="00EC20A0">
        <w:rPr>
          <w:spacing w:val="-5"/>
        </w:rPr>
        <w:t xml:space="preserve"> </w:t>
      </w:r>
      <w:r w:rsidRPr="00EC20A0">
        <w:t>public-private</w:t>
      </w:r>
      <w:r w:rsidRPr="00EC20A0">
        <w:rPr>
          <w:spacing w:val="-5"/>
        </w:rPr>
        <w:t xml:space="preserve"> </w:t>
      </w:r>
      <w:r w:rsidRPr="00EC20A0">
        <w:t>partnerships</w:t>
      </w:r>
      <w:r w:rsidRPr="00EC20A0">
        <w:rPr>
          <w:spacing w:val="-5"/>
        </w:rPr>
        <w:t xml:space="preserve"> </w:t>
      </w:r>
      <w:r w:rsidRPr="00EC20A0">
        <w:t>to</w:t>
      </w:r>
      <w:r w:rsidRPr="00EC20A0">
        <w:rPr>
          <w:spacing w:val="-5"/>
        </w:rPr>
        <w:t xml:space="preserve"> </w:t>
      </w:r>
      <w:r w:rsidRPr="00EC20A0">
        <w:t>other component auditors. (AU-C 600A.41c)</w:t>
      </w:r>
    </w:p>
    <w:p w14:paraId="24D6007C" w14:textId="77777777" w:rsidR="00245300" w:rsidRPr="00EC20A0" w:rsidRDefault="00F17249">
      <w:pPr>
        <w:pStyle w:val="ListParagraph"/>
        <w:numPr>
          <w:ilvl w:val="0"/>
          <w:numId w:val="207"/>
        </w:numPr>
        <w:tabs>
          <w:tab w:val="left" w:pos="2220"/>
        </w:tabs>
        <w:ind w:left="2220" w:right="536"/>
      </w:pPr>
      <w:r w:rsidRPr="00EC20A0">
        <w:t>Identified significant risks of material misstatement of the group financial statements,</w:t>
      </w:r>
      <w:r w:rsidRPr="00EC20A0">
        <w:rPr>
          <w:spacing w:val="-3"/>
        </w:rPr>
        <w:t xml:space="preserve"> </w:t>
      </w:r>
      <w:r w:rsidRPr="00EC20A0">
        <w:t>due</w:t>
      </w:r>
      <w:r w:rsidRPr="00EC20A0">
        <w:rPr>
          <w:spacing w:val="-4"/>
        </w:rPr>
        <w:t xml:space="preserve"> </w:t>
      </w:r>
      <w:r w:rsidRPr="00EC20A0">
        <w:t>to</w:t>
      </w:r>
      <w:r w:rsidRPr="00EC20A0">
        <w:rPr>
          <w:spacing w:val="-3"/>
        </w:rPr>
        <w:t xml:space="preserve"> </w:t>
      </w:r>
      <w:r w:rsidRPr="00EC20A0">
        <w:t>fraud</w:t>
      </w:r>
      <w:r w:rsidRPr="00EC20A0">
        <w:rPr>
          <w:spacing w:val="-4"/>
        </w:rPr>
        <w:t xml:space="preserve"> </w:t>
      </w:r>
      <w:r w:rsidRPr="00EC20A0">
        <w:t>or</w:t>
      </w:r>
      <w:r w:rsidRPr="00EC20A0">
        <w:rPr>
          <w:spacing w:val="-3"/>
        </w:rPr>
        <w:t xml:space="preserve"> </w:t>
      </w:r>
      <w:r w:rsidRPr="00EC20A0">
        <w:t>error,</w:t>
      </w:r>
      <w:r w:rsidRPr="00EC20A0">
        <w:rPr>
          <w:spacing w:val="-4"/>
        </w:rPr>
        <w:t xml:space="preserve"> </w:t>
      </w:r>
      <w:r w:rsidRPr="00EC20A0">
        <w:t>that</w:t>
      </w:r>
      <w:r w:rsidRPr="00EC20A0">
        <w:rPr>
          <w:spacing w:val="-3"/>
        </w:rPr>
        <w:t xml:space="preserve"> </w:t>
      </w:r>
      <w:r w:rsidRPr="00EC20A0">
        <w:t>are</w:t>
      </w:r>
      <w:r w:rsidRPr="00EC20A0">
        <w:rPr>
          <w:spacing w:val="-4"/>
        </w:rPr>
        <w:t xml:space="preserve"> </w:t>
      </w:r>
      <w:r w:rsidRPr="00EC20A0">
        <w:t>relevant</w:t>
      </w:r>
      <w:r w:rsidRPr="00EC20A0">
        <w:rPr>
          <w:spacing w:val="-3"/>
        </w:rPr>
        <w:t xml:space="preserve"> </w:t>
      </w:r>
      <w:r w:rsidRPr="00EC20A0">
        <w:t>to</w:t>
      </w:r>
      <w:r w:rsidRPr="00EC20A0">
        <w:rPr>
          <w:spacing w:val="-4"/>
        </w:rPr>
        <w:t xml:space="preserve"> </w:t>
      </w:r>
      <w:r w:rsidRPr="00EC20A0">
        <w:t>the</w:t>
      </w:r>
      <w:r w:rsidRPr="00EC20A0">
        <w:rPr>
          <w:spacing w:val="-3"/>
        </w:rPr>
        <w:t xml:space="preserve"> </w:t>
      </w:r>
      <w:r w:rsidRPr="00EC20A0">
        <w:t>component</w:t>
      </w:r>
      <w:r w:rsidRPr="00EC20A0">
        <w:rPr>
          <w:spacing w:val="-4"/>
        </w:rPr>
        <w:t xml:space="preserve"> </w:t>
      </w:r>
      <w:r w:rsidRPr="00EC20A0">
        <w:t>auditor’s work (AU-C 600A.41d).</w:t>
      </w:r>
    </w:p>
    <w:p w14:paraId="24D6007D" w14:textId="77777777" w:rsidR="00245300" w:rsidRPr="00EC20A0" w:rsidRDefault="00F17249">
      <w:pPr>
        <w:pStyle w:val="ListParagraph"/>
        <w:numPr>
          <w:ilvl w:val="0"/>
          <w:numId w:val="207"/>
        </w:numPr>
        <w:tabs>
          <w:tab w:val="left" w:pos="2220"/>
        </w:tabs>
        <w:spacing w:before="239"/>
        <w:ind w:left="2220" w:right="671"/>
        <w:jc w:val="both"/>
      </w:pPr>
      <w:r w:rsidRPr="00EC20A0">
        <w:t>Any</w:t>
      </w:r>
      <w:r w:rsidRPr="00EC20A0">
        <w:rPr>
          <w:spacing w:val="-2"/>
        </w:rPr>
        <w:t xml:space="preserve"> </w:t>
      </w:r>
      <w:r w:rsidRPr="00EC20A0">
        <w:t>significant</w:t>
      </w:r>
      <w:r w:rsidRPr="00EC20A0">
        <w:rPr>
          <w:spacing w:val="-2"/>
        </w:rPr>
        <w:t xml:space="preserve"> </w:t>
      </w:r>
      <w:r w:rsidRPr="00EC20A0">
        <w:t>deviations</w:t>
      </w:r>
      <w:r w:rsidRPr="00EC20A0">
        <w:rPr>
          <w:spacing w:val="-2"/>
        </w:rPr>
        <w:t xml:space="preserve"> </w:t>
      </w:r>
      <w:r w:rsidRPr="00EC20A0">
        <w:t>in</w:t>
      </w:r>
      <w:r w:rsidRPr="00EC20A0">
        <w:rPr>
          <w:spacing w:val="-2"/>
        </w:rPr>
        <w:t xml:space="preserve"> </w:t>
      </w:r>
      <w:r w:rsidRPr="00EC20A0">
        <w:t>the</w:t>
      </w:r>
      <w:r w:rsidRPr="00EC20A0">
        <w:rPr>
          <w:spacing w:val="-2"/>
        </w:rPr>
        <w:t xml:space="preserve"> </w:t>
      </w:r>
      <w:r w:rsidRPr="00EC20A0">
        <w:t>methodologies</w:t>
      </w:r>
      <w:r w:rsidRPr="00EC20A0">
        <w:rPr>
          <w:spacing w:val="-3"/>
        </w:rPr>
        <w:t xml:space="preserve"> </w:t>
      </w:r>
      <w:r w:rsidRPr="00EC20A0">
        <w:t>or</w:t>
      </w:r>
      <w:r w:rsidRPr="00EC20A0">
        <w:rPr>
          <w:spacing w:val="-2"/>
        </w:rPr>
        <w:t xml:space="preserve"> </w:t>
      </w:r>
      <w:r w:rsidRPr="00EC20A0">
        <w:t>audit</w:t>
      </w:r>
      <w:r w:rsidRPr="00EC20A0">
        <w:rPr>
          <w:spacing w:val="-2"/>
        </w:rPr>
        <w:t xml:space="preserve"> </w:t>
      </w:r>
      <w:r w:rsidRPr="00EC20A0">
        <w:t>approaches</w:t>
      </w:r>
      <w:r w:rsidRPr="00EC20A0">
        <w:rPr>
          <w:spacing w:val="-2"/>
        </w:rPr>
        <w:t xml:space="preserve"> </w:t>
      </w:r>
      <w:r w:rsidRPr="00EC20A0">
        <w:t>that</w:t>
      </w:r>
      <w:r w:rsidRPr="00EC20A0">
        <w:rPr>
          <w:spacing w:val="-3"/>
        </w:rPr>
        <w:t xml:space="preserve"> </w:t>
      </w:r>
      <w:r w:rsidRPr="00EC20A0">
        <w:t>the component</w:t>
      </w:r>
      <w:r w:rsidRPr="00EC20A0">
        <w:rPr>
          <w:spacing w:val="-4"/>
        </w:rPr>
        <w:t xml:space="preserve"> </w:t>
      </w:r>
      <w:r w:rsidRPr="00EC20A0">
        <w:t>auditor</w:t>
      </w:r>
      <w:r w:rsidRPr="00EC20A0">
        <w:rPr>
          <w:spacing w:val="-4"/>
        </w:rPr>
        <w:t xml:space="preserve"> </w:t>
      </w:r>
      <w:r w:rsidRPr="00EC20A0">
        <w:t>uses</w:t>
      </w:r>
      <w:r w:rsidRPr="00EC20A0">
        <w:rPr>
          <w:spacing w:val="-4"/>
        </w:rPr>
        <w:t xml:space="preserve"> </w:t>
      </w:r>
      <w:r w:rsidRPr="00EC20A0">
        <w:t>that</w:t>
      </w:r>
      <w:r w:rsidRPr="00EC20A0">
        <w:rPr>
          <w:spacing w:val="-4"/>
        </w:rPr>
        <w:t xml:space="preserve"> </w:t>
      </w:r>
      <w:r w:rsidRPr="00EC20A0">
        <w:t>are</w:t>
      </w:r>
      <w:r w:rsidRPr="00EC20A0">
        <w:rPr>
          <w:spacing w:val="-4"/>
        </w:rPr>
        <w:t xml:space="preserve"> </w:t>
      </w:r>
      <w:r w:rsidRPr="00EC20A0">
        <w:t>different</w:t>
      </w:r>
      <w:r w:rsidRPr="00EC20A0">
        <w:rPr>
          <w:spacing w:val="-4"/>
        </w:rPr>
        <w:t xml:space="preserve"> </w:t>
      </w:r>
      <w:r w:rsidRPr="00EC20A0">
        <w:t>from</w:t>
      </w:r>
      <w:r w:rsidRPr="00EC20A0">
        <w:rPr>
          <w:spacing w:val="-4"/>
        </w:rPr>
        <w:t xml:space="preserve"> </w:t>
      </w:r>
      <w:r w:rsidRPr="00EC20A0">
        <w:t>those</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 team would have used and whether those deviations comply with GAGAS.</w:t>
      </w:r>
    </w:p>
    <w:p w14:paraId="24D6007E" w14:textId="77777777" w:rsidR="00245300" w:rsidRPr="00EC20A0" w:rsidRDefault="00F17249">
      <w:pPr>
        <w:pStyle w:val="ListParagraph"/>
        <w:numPr>
          <w:ilvl w:val="0"/>
          <w:numId w:val="214"/>
        </w:numPr>
        <w:tabs>
          <w:tab w:val="left" w:pos="1860"/>
        </w:tabs>
        <w:spacing w:before="241"/>
        <w:ind w:left="1860" w:right="690" w:hanging="720"/>
      </w:pPr>
      <w:r w:rsidRPr="00EC20A0">
        <w:t xml:space="preserve">The group engagement team should </w:t>
      </w:r>
      <w:r w:rsidRPr="00EC20A0">
        <w:t>request that a component auditor communicate</w:t>
      </w:r>
      <w:r w:rsidRPr="00EC20A0">
        <w:rPr>
          <w:spacing w:val="-5"/>
        </w:rPr>
        <w:t xml:space="preserve"> </w:t>
      </w:r>
      <w:r w:rsidRPr="00EC20A0">
        <w:t>matters</w:t>
      </w:r>
      <w:r w:rsidRPr="00EC20A0">
        <w:rPr>
          <w:spacing w:val="-5"/>
        </w:rPr>
        <w:t xml:space="preserve"> </w:t>
      </w:r>
      <w:r w:rsidRPr="00EC20A0">
        <w:t>relevant</w:t>
      </w:r>
      <w:r w:rsidRPr="00EC20A0">
        <w:rPr>
          <w:spacing w:val="-5"/>
        </w:rPr>
        <w:t xml:space="preserve"> </w:t>
      </w:r>
      <w:r w:rsidRPr="00EC20A0">
        <w:t>to</w:t>
      </w:r>
      <w:r w:rsidRPr="00EC20A0">
        <w:rPr>
          <w:spacing w:val="-5"/>
        </w:rPr>
        <w:t xml:space="preserve"> </w:t>
      </w:r>
      <w:r w:rsidRPr="00EC20A0">
        <w:t>the</w:t>
      </w:r>
      <w:r w:rsidRPr="00EC20A0">
        <w:rPr>
          <w:spacing w:val="-6"/>
        </w:rPr>
        <w:t xml:space="preserve"> </w:t>
      </w:r>
      <w:r w:rsidRPr="00EC20A0">
        <w:t>group</w:t>
      </w:r>
      <w:r w:rsidRPr="00EC20A0">
        <w:rPr>
          <w:spacing w:val="-5"/>
        </w:rPr>
        <w:t xml:space="preserve"> </w:t>
      </w:r>
      <w:r w:rsidRPr="00EC20A0">
        <w:t>engagement</w:t>
      </w:r>
      <w:r w:rsidRPr="00EC20A0">
        <w:rPr>
          <w:spacing w:val="-5"/>
        </w:rPr>
        <w:t xml:space="preserve"> </w:t>
      </w:r>
      <w:r w:rsidRPr="00EC20A0">
        <w:t>team’s</w:t>
      </w:r>
      <w:r w:rsidRPr="00EC20A0">
        <w:rPr>
          <w:spacing w:val="-5"/>
        </w:rPr>
        <w:t xml:space="preserve"> </w:t>
      </w:r>
      <w:r w:rsidRPr="00EC20A0">
        <w:t>conclusion</w:t>
      </w:r>
      <w:r w:rsidRPr="00EC20A0">
        <w:rPr>
          <w:spacing w:val="-5"/>
        </w:rPr>
        <w:t xml:space="preserve"> </w:t>
      </w:r>
      <w:r w:rsidRPr="00EC20A0">
        <w:t>with regard to the group audit. Such communication should include the following (AU-C 600A.42):</w:t>
      </w:r>
    </w:p>
    <w:p w14:paraId="24D6007F" w14:textId="77777777" w:rsidR="00245300" w:rsidRPr="00EC20A0" w:rsidRDefault="00F17249">
      <w:pPr>
        <w:pStyle w:val="ListParagraph"/>
        <w:numPr>
          <w:ilvl w:val="0"/>
          <w:numId w:val="206"/>
        </w:numPr>
        <w:tabs>
          <w:tab w:val="left" w:pos="2220"/>
        </w:tabs>
        <w:spacing w:before="239"/>
        <w:ind w:right="1172" w:hanging="360"/>
      </w:pPr>
      <w:r w:rsidRPr="00EC20A0">
        <w:t>whether</w:t>
      </w:r>
      <w:r w:rsidRPr="00EC20A0">
        <w:rPr>
          <w:spacing w:val="-5"/>
        </w:rPr>
        <w:t xml:space="preserve"> </w:t>
      </w:r>
      <w:r w:rsidRPr="00EC20A0">
        <w:t>the</w:t>
      </w:r>
      <w:r w:rsidRPr="00EC20A0">
        <w:rPr>
          <w:spacing w:val="-5"/>
        </w:rPr>
        <w:t xml:space="preserve"> </w:t>
      </w:r>
      <w:r w:rsidRPr="00EC20A0">
        <w:t>component</w:t>
      </w:r>
      <w:r w:rsidRPr="00EC20A0">
        <w:rPr>
          <w:spacing w:val="-5"/>
        </w:rPr>
        <w:t xml:space="preserve"> </w:t>
      </w:r>
      <w:r w:rsidRPr="00EC20A0">
        <w:t>auditor</w:t>
      </w:r>
      <w:r w:rsidRPr="00EC20A0">
        <w:rPr>
          <w:spacing w:val="-5"/>
        </w:rPr>
        <w:t xml:space="preserve"> </w:t>
      </w:r>
      <w:r w:rsidRPr="00EC20A0">
        <w:t>has</w:t>
      </w:r>
      <w:r w:rsidRPr="00EC20A0">
        <w:rPr>
          <w:spacing w:val="-6"/>
        </w:rPr>
        <w:t xml:space="preserve"> </w:t>
      </w:r>
      <w:r w:rsidRPr="00EC20A0">
        <w:t>complied</w:t>
      </w:r>
      <w:r w:rsidRPr="00EC20A0">
        <w:rPr>
          <w:spacing w:val="-5"/>
        </w:rPr>
        <w:t xml:space="preserve"> </w:t>
      </w:r>
      <w:r w:rsidRPr="00EC20A0">
        <w:t>with</w:t>
      </w:r>
      <w:r w:rsidRPr="00EC20A0">
        <w:rPr>
          <w:spacing w:val="-5"/>
        </w:rPr>
        <w:t xml:space="preserve"> </w:t>
      </w:r>
      <w:r w:rsidRPr="00EC20A0">
        <w:t>ethical</w:t>
      </w:r>
      <w:r w:rsidRPr="00EC20A0">
        <w:rPr>
          <w:spacing w:val="-5"/>
        </w:rPr>
        <w:t xml:space="preserve"> </w:t>
      </w:r>
      <w:r w:rsidRPr="00EC20A0">
        <w:t xml:space="preserve">requirements relevant to the group audit, including independence and professional </w:t>
      </w:r>
      <w:r w:rsidRPr="00EC20A0">
        <w:rPr>
          <w:spacing w:val="-2"/>
        </w:rPr>
        <w:t>competence;</w:t>
      </w:r>
    </w:p>
    <w:p w14:paraId="24D60080" w14:textId="77777777" w:rsidR="00245300" w:rsidRPr="00EC20A0" w:rsidRDefault="00F17249">
      <w:pPr>
        <w:pStyle w:val="ListParagraph"/>
        <w:numPr>
          <w:ilvl w:val="0"/>
          <w:numId w:val="206"/>
        </w:numPr>
        <w:tabs>
          <w:tab w:val="left" w:pos="2220"/>
        </w:tabs>
        <w:spacing w:before="241"/>
        <w:ind w:right="1148" w:hanging="360"/>
      </w:pPr>
      <w:r w:rsidRPr="00EC20A0">
        <w:t>identification</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information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on</w:t>
      </w:r>
      <w:r w:rsidRPr="00EC20A0">
        <w:rPr>
          <w:spacing w:val="-4"/>
        </w:rPr>
        <w:t xml:space="preserve"> </w:t>
      </w:r>
      <w:r w:rsidRPr="00EC20A0">
        <w:t>which</w:t>
      </w:r>
      <w:r w:rsidRPr="00EC20A0">
        <w:rPr>
          <w:spacing w:val="-4"/>
        </w:rPr>
        <w:t xml:space="preserve"> </w:t>
      </w:r>
      <w:r w:rsidRPr="00EC20A0">
        <w:t>the component auditor is reporting; and</w:t>
      </w:r>
    </w:p>
    <w:p w14:paraId="24D60081" w14:textId="77777777" w:rsidR="00245300" w:rsidRPr="00EC20A0" w:rsidRDefault="00F17249">
      <w:pPr>
        <w:pStyle w:val="ListParagraph"/>
        <w:numPr>
          <w:ilvl w:val="0"/>
          <w:numId w:val="206"/>
        </w:numPr>
        <w:tabs>
          <w:tab w:val="left" w:pos="2219"/>
        </w:tabs>
        <w:spacing w:before="239"/>
        <w:ind w:left="2219" w:hanging="359"/>
      </w:pPr>
      <w:r w:rsidRPr="00EC20A0">
        <w:t>the</w:t>
      </w:r>
      <w:r w:rsidRPr="00EC20A0">
        <w:rPr>
          <w:spacing w:val="-8"/>
        </w:rPr>
        <w:t xml:space="preserve"> </w:t>
      </w:r>
      <w:r w:rsidRPr="00EC20A0">
        <w:t>component</w:t>
      </w:r>
      <w:r w:rsidRPr="00EC20A0">
        <w:rPr>
          <w:spacing w:val="-7"/>
        </w:rPr>
        <w:t xml:space="preserve"> </w:t>
      </w:r>
      <w:r w:rsidRPr="00EC20A0">
        <w:t>auditor’s</w:t>
      </w:r>
      <w:r w:rsidRPr="00EC20A0">
        <w:rPr>
          <w:spacing w:val="-8"/>
        </w:rPr>
        <w:t xml:space="preserve"> </w:t>
      </w:r>
      <w:r w:rsidRPr="00EC20A0">
        <w:t>overall</w:t>
      </w:r>
      <w:r w:rsidRPr="00EC20A0">
        <w:rPr>
          <w:spacing w:val="-7"/>
        </w:rPr>
        <w:t xml:space="preserve"> </w:t>
      </w:r>
      <w:r w:rsidRPr="00EC20A0">
        <w:t>findings,</w:t>
      </w:r>
      <w:r w:rsidRPr="00EC20A0">
        <w:rPr>
          <w:spacing w:val="-8"/>
        </w:rPr>
        <w:t xml:space="preserve"> </w:t>
      </w:r>
      <w:r w:rsidRPr="00EC20A0">
        <w:t>conclusions,</w:t>
      </w:r>
      <w:r w:rsidRPr="00EC20A0">
        <w:rPr>
          <w:spacing w:val="-7"/>
        </w:rPr>
        <w:t xml:space="preserve"> </w:t>
      </w:r>
      <w:r w:rsidRPr="00EC20A0">
        <w:t>or</w:t>
      </w:r>
      <w:r w:rsidRPr="00EC20A0">
        <w:rPr>
          <w:spacing w:val="-7"/>
        </w:rPr>
        <w:t xml:space="preserve"> </w:t>
      </w:r>
      <w:r w:rsidRPr="00EC20A0">
        <w:rPr>
          <w:spacing w:val="-2"/>
        </w:rPr>
        <w:t>opinion.</w:t>
      </w:r>
    </w:p>
    <w:p w14:paraId="24D60082" w14:textId="77777777" w:rsidR="00245300" w:rsidRPr="00EC20A0" w:rsidRDefault="00F17249">
      <w:pPr>
        <w:pStyle w:val="BodyText"/>
        <w:spacing w:before="241"/>
        <w:ind w:left="1860" w:right="562"/>
      </w:pPr>
      <w:r w:rsidRPr="00EC20A0">
        <w:t>See</w:t>
      </w:r>
      <w:r w:rsidRPr="00EC20A0">
        <w:rPr>
          <w:spacing w:val="-5"/>
        </w:rPr>
        <w:t xml:space="preserve"> </w:t>
      </w:r>
      <w:r w:rsidRPr="00EC20A0">
        <w:t>FAM</w:t>
      </w:r>
      <w:r w:rsidRPr="00EC20A0">
        <w:rPr>
          <w:spacing w:val="-5"/>
        </w:rPr>
        <w:t xml:space="preserve"> </w:t>
      </w:r>
      <w:r w:rsidRPr="00EC20A0">
        <w:t>630.69</w:t>
      </w:r>
      <w:r w:rsidRPr="00EC20A0">
        <w:rPr>
          <w:spacing w:val="-5"/>
        </w:rPr>
        <w:t xml:space="preserve"> </w:t>
      </w:r>
      <w:r w:rsidRPr="00EC20A0">
        <w:t>through</w:t>
      </w:r>
      <w:r w:rsidRPr="00EC20A0">
        <w:rPr>
          <w:spacing w:val="-5"/>
        </w:rPr>
        <w:t xml:space="preserve"> </w:t>
      </w:r>
      <w:r w:rsidRPr="00EC20A0">
        <w:t>.73</w:t>
      </w:r>
      <w:r w:rsidRPr="00EC20A0">
        <w:rPr>
          <w:spacing w:val="-5"/>
        </w:rPr>
        <w:t xml:space="preserve"> </w:t>
      </w:r>
      <w:r w:rsidRPr="00EC20A0">
        <w:t>for</w:t>
      </w:r>
      <w:r w:rsidRPr="00EC20A0">
        <w:rPr>
          <w:spacing w:val="-5"/>
        </w:rPr>
        <w:t xml:space="preserve"> </w:t>
      </w:r>
      <w:r w:rsidRPr="00EC20A0">
        <w:t>additional</w:t>
      </w:r>
      <w:r w:rsidRPr="00EC20A0">
        <w:rPr>
          <w:spacing w:val="-5"/>
        </w:rPr>
        <w:t xml:space="preserve"> </w:t>
      </w:r>
      <w:r w:rsidRPr="00EC20A0">
        <w:t>requirements</w:t>
      </w:r>
      <w:r w:rsidRPr="00EC20A0">
        <w:rPr>
          <w:spacing w:val="-5"/>
        </w:rPr>
        <w:t xml:space="preserve"> </w:t>
      </w:r>
      <w:r w:rsidRPr="00EC20A0">
        <w:t>when</w:t>
      </w:r>
      <w:r w:rsidRPr="00EC20A0">
        <w:rPr>
          <w:spacing w:val="-5"/>
        </w:rPr>
        <w:t xml:space="preserve"> </w:t>
      </w:r>
      <w:r w:rsidRPr="00EC20A0">
        <w:t>assuming responsibility for the work of a component auditor.</w:t>
      </w:r>
    </w:p>
    <w:p w14:paraId="24D60083" w14:textId="77777777" w:rsidR="00245300" w:rsidRPr="00EC20A0" w:rsidRDefault="00F17249">
      <w:pPr>
        <w:pStyle w:val="Heading4"/>
      </w:pPr>
      <w:bookmarkStart w:id="62" w:name="Evaluating_the_Sufficiency_and_Appropria"/>
      <w:bookmarkEnd w:id="62"/>
      <w:r w:rsidRPr="00EC20A0">
        <w:t>Evaluating</w:t>
      </w:r>
      <w:r w:rsidRPr="00EC20A0">
        <w:rPr>
          <w:spacing w:val="-11"/>
        </w:rPr>
        <w:t xml:space="preserve"> </w:t>
      </w:r>
      <w:r w:rsidRPr="00EC20A0">
        <w:t>the</w:t>
      </w:r>
      <w:r w:rsidRPr="00EC20A0">
        <w:rPr>
          <w:spacing w:val="-10"/>
        </w:rPr>
        <w:t xml:space="preserve"> </w:t>
      </w:r>
      <w:r w:rsidRPr="00EC20A0">
        <w:t>Sufficiency</w:t>
      </w:r>
      <w:r w:rsidRPr="00EC20A0">
        <w:rPr>
          <w:spacing w:val="-10"/>
        </w:rPr>
        <w:t xml:space="preserve"> </w:t>
      </w:r>
      <w:r w:rsidRPr="00EC20A0">
        <w:t>and</w:t>
      </w:r>
      <w:r w:rsidRPr="00EC20A0">
        <w:rPr>
          <w:spacing w:val="-10"/>
        </w:rPr>
        <w:t xml:space="preserve"> </w:t>
      </w:r>
      <w:r w:rsidRPr="00EC20A0">
        <w:t>Appropriateness</w:t>
      </w:r>
      <w:r w:rsidRPr="00EC20A0">
        <w:rPr>
          <w:spacing w:val="-10"/>
        </w:rPr>
        <w:t xml:space="preserve"> </w:t>
      </w:r>
      <w:r w:rsidRPr="00EC20A0">
        <w:t>of</w:t>
      </w:r>
      <w:r w:rsidRPr="00EC20A0">
        <w:rPr>
          <w:spacing w:val="-10"/>
        </w:rPr>
        <w:t xml:space="preserve"> </w:t>
      </w:r>
      <w:r w:rsidRPr="00EC20A0">
        <w:t>Audit</w:t>
      </w:r>
      <w:r w:rsidRPr="00EC20A0">
        <w:rPr>
          <w:spacing w:val="-10"/>
        </w:rPr>
        <w:t xml:space="preserve"> </w:t>
      </w:r>
      <w:r w:rsidRPr="00EC20A0">
        <w:rPr>
          <w:spacing w:val="-2"/>
        </w:rPr>
        <w:t>Evidence</w:t>
      </w:r>
    </w:p>
    <w:p w14:paraId="24D60084" w14:textId="77777777" w:rsidR="00245300" w:rsidRPr="00EC20A0" w:rsidRDefault="00F17249">
      <w:pPr>
        <w:pStyle w:val="ListParagraph"/>
        <w:numPr>
          <w:ilvl w:val="0"/>
          <w:numId w:val="214"/>
        </w:numPr>
        <w:tabs>
          <w:tab w:val="left" w:pos="1860"/>
        </w:tabs>
        <w:ind w:left="1860" w:right="652" w:hanging="720"/>
      </w:pPr>
      <w:r w:rsidRPr="00EC20A0">
        <w:t xml:space="preserve">The group engagement team should </w:t>
      </w:r>
      <w:r w:rsidRPr="00EC20A0">
        <w:t>evaluate a component auditor’s communication</w:t>
      </w:r>
      <w:r w:rsidRPr="00EC20A0">
        <w:rPr>
          <w:spacing w:val="-5"/>
        </w:rPr>
        <w:t xml:space="preserve"> </w:t>
      </w:r>
      <w:r w:rsidRPr="00EC20A0">
        <w:t>(see</w:t>
      </w:r>
      <w:r w:rsidRPr="00EC20A0">
        <w:rPr>
          <w:spacing w:val="-5"/>
        </w:rPr>
        <w:t xml:space="preserve"> </w:t>
      </w:r>
      <w:r w:rsidRPr="00EC20A0">
        <w:t>FAM</w:t>
      </w:r>
      <w:r w:rsidRPr="00EC20A0">
        <w:rPr>
          <w:spacing w:val="-5"/>
        </w:rPr>
        <w:t xml:space="preserve"> </w:t>
      </w:r>
      <w:r w:rsidRPr="00EC20A0">
        <w:t>630.36).</w:t>
      </w:r>
      <w:r w:rsidRPr="00EC20A0">
        <w:rPr>
          <w:spacing w:val="-5"/>
        </w:rPr>
        <w:t xml:space="preserve"> </w:t>
      </w:r>
      <w:r w:rsidRPr="00EC20A0">
        <w:t>The</w:t>
      </w:r>
      <w:r w:rsidRPr="00EC20A0">
        <w:rPr>
          <w:spacing w:val="-5"/>
        </w:rPr>
        <w:t xml:space="preserve"> </w:t>
      </w:r>
      <w:r w:rsidRPr="00EC20A0">
        <w:t>group</w:t>
      </w:r>
      <w:r w:rsidRPr="00EC20A0">
        <w:rPr>
          <w:spacing w:val="-5"/>
        </w:rPr>
        <w:t xml:space="preserve"> </w:t>
      </w:r>
      <w:r w:rsidRPr="00EC20A0">
        <w:t>engagement</w:t>
      </w:r>
      <w:r w:rsidRPr="00EC20A0">
        <w:rPr>
          <w:spacing w:val="-5"/>
        </w:rPr>
        <w:t xml:space="preserve"> </w:t>
      </w:r>
      <w:r w:rsidRPr="00EC20A0">
        <w:t>team</w:t>
      </w:r>
      <w:r w:rsidRPr="00EC20A0">
        <w:rPr>
          <w:spacing w:val="-5"/>
        </w:rPr>
        <w:t xml:space="preserve"> </w:t>
      </w:r>
      <w:r w:rsidRPr="00EC20A0">
        <w:t>should</w:t>
      </w:r>
      <w:r w:rsidRPr="00EC20A0">
        <w:rPr>
          <w:spacing w:val="-5"/>
        </w:rPr>
        <w:t xml:space="preserve"> </w:t>
      </w:r>
      <w:r w:rsidRPr="00EC20A0">
        <w:t xml:space="preserve">discuss significant findings and issues arising from that evaluation with the component auditor, component management, or group management, as appropriate (AU-C </w:t>
      </w:r>
      <w:r w:rsidRPr="00EC20A0">
        <w:rPr>
          <w:spacing w:val="-2"/>
        </w:rPr>
        <w:t>600A.43).</w:t>
      </w:r>
    </w:p>
    <w:p w14:paraId="24D60085" w14:textId="77777777" w:rsidR="00245300" w:rsidRPr="00EC20A0" w:rsidRDefault="00F17249">
      <w:pPr>
        <w:pStyle w:val="ListParagraph"/>
        <w:numPr>
          <w:ilvl w:val="0"/>
          <w:numId w:val="214"/>
        </w:numPr>
        <w:tabs>
          <w:tab w:val="left" w:pos="1860"/>
        </w:tabs>
        <w:ind w:left="1860" w:right="551" w:hanging="720"/>
      </w:pPr>
      <w:r w:rsidRPr="00EC20A0">
        <w:t>The</w:t>
      </w:r>
      <w:r w:rsidRPr="00EC20A0">
        <w:rPr>
          <w:spacing w:val="-3"/>
        </w:rPr>
        <w:t xml:space="preserve"> </w:t>
      </w:r>
      <w:r w:rsidRPr="00EC20A0">
        <w:t>auditor</w:t>
      </w:r>
      <w:r w:rsidRPr="00EC20A0">
        <w:rPr>
          <w:spacing w:val="-3"/>
        </w:rPr>
        <w:t xml:space="preserve"> </w:t>
      </w:r>
      <w:r w:rsidRPr="00EC20A0">
        <w:t>is</w:t>
      </w:r>
      <w:r w:rsidRPr="00EC20A0">
        <w:rPr>
          <w:spacing w:val="-3"/>
        </w:rPr>
        <w:t xml:space="preserve"> </w:t>
      </w:r>
      <w:r w:rsidRPr="00EC20A0">
        <w:t>required</w:t>
      </w:r>
      <w:r w:rsidRPr="00EC20A0">
        <w:rPr>
          <w:spacing w:val="-3"/>
        </w:rPr>
        <w:t xml:space="preserve"> </w:t>
      </w:r>
      <w:r w:rsidRPr="00EC20A0">
        <w:t>to</w:t>
      </w:r>
      <w:r w:rsidRPr="00EC20A0">
        <w:rPr>
          <w:spacing w:val="-4"/>
        </w:rPr>
        <w:t xml:space="preserve"> </w:t>
      </w:r>
      <w:r w:rsidRPr="00EC20A0">
        <w:t>obtain</w:t>
      </w:r>
      <w:r w:rsidRPr="00EC20A0">
        <w:rPr>
          <w:spacing w:val="-3"/>
        </w:rPr>
        <w:t xml:space="preserve"> </w:t>
      </w:r>
      <w:r w:rsidRPr="00EC20A0">
        <w:t>sufficient</w:t>
      </w:r>
      <w:r w:rsidRPr="00EC20A0">
        <w:rPr>
          <w:spacing w:val="-3"/>
        </w:rPr>
        <w:t xml:space="preserve"> </w:t>
      </w:r>
      <w:r w:rsidRPr="00EC20A0">
        <w:t>appropriate</w:t>
      </w:r>
      <w:r w:rsidRPr="00EC20A0">
        <w:rPr>
          <w:spacing w:val="-3"/>
        </w:rPr>
        <w:t xml:space="preserve"> </w:t>
      </w:r>
      <w:r w:rsidRPr="00EC20A0">
        <w:t>audit</w:t>
      </w:r>
      <w:r w:rsidRPr="00EC20A0">
        <w:rPr>
          <w:spacing w:val="-3"/>
        </w:rPr>
        <w:t xml:space="preserve"> </w:t>
      </w:r>
      <w:r w:rsidRPr="00EC20A0">
        <w:t>evidence</w:t>
      </w:r>
      <w:r w:rsidRPr="00EC20A0">
        <w:rPr>
          <w:spacing w:val="-3"/>
        </w:rPr>
        <w:t xml:space="preserve"> </w:t>
      </w:r>
      <w:r w:rsidRPr="00EC20A0">
        <w:t>on</w:t>
      </w:r>
      <w:r w:rsidRPr="00EC20A0">
        <w:rPr>
          <w:spacing w:val="-4"/>
        </w:rPr>
        <w:t xml:space="preserve"> </w:t>
      </w:r>
      <w:r w:rsidRPr="00EC20A0">
        <w:t>which</w:t>
      </w:r>
      <w:r w:rsidRPr="00EC20A0">
        <w:rPr>
          <w:spacing w:val="-3"/>
        </w:rPr>
        <w:t xml:space="preserve"> </w:t>
      </w:r>
      <w:r w:rsidRPr="00EC20A0">
        <w:t>to base the audit opinion. The group engagement team should evaluate whether sufficient appropriate audit evidence on which to base the group audit opinion has been obtained from the audit procedures performed on the consolidation process and the work performed by the group engagement team and the component auditors on the financial information of the components (AU-C 600A.44). If the group engagement team concludes that sufficien</w:t>
      </w:r>
      <w:r w:rsidRPr="00EC20A0">
        <w:t>t evidence has not</w:t>
      </w:r>
      <w:r w:rsidRPr="00EC20A0">
        <w:rPr>
          <w:spacing w:val="-4"/>
        </w:rPr>
        <w:t xml:space="preserve"> </w:t>
      </w:r>
      <w:r w:rsidRPr="00EC20A0">
        <w:t>been</w:t>
      </w:r>
      <w:r w:rsidRPr="00EC20A0">
        <w:rPr>
          <w:spacing w:val="-4"/>
        </w:rPr>
        <w:t xml:space="preserve"> </w:t>
      </w:r>
      <w:r w:rsidRPr="00EC20A0">
        <w:t>obtained,</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3"/>
        </w:rPr>
        <w:t xml:space="preserve"> </w:t>
      </w:r>
      <w:r w:rsidRPr="00EC20A0">
        <w:t>may</w:t>
      </w:r>
      <w:r w:rsidRPr="00EC20A0">
        <w:rPr>
          <w:spacing w:val="-4"/>
        </w:rPr>
        <w:t xml:space="preserve"> </w:t>
      </w:r>
      <w:r w:rsidRPr="00EC20A0">
        <w:t>request</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component auditor perform additional procedures or may alternatively perform its own procedures (AU-C 600A.A71). If the group engagement team has concerns about whether the component auditor’s work provides sufficient appropriate evidence, the group engagement team generally should discuss the matter with the group engagement partner before formally discussing the issue with the component auditor.</w:t>
      </w:r>
    </w:p>
    <w:p w14:paraId="24D60086" w14:textId="77777777" w:rsidR="00245300" w:rsidRPr="00EC20A0" w:rsidRDefault="00245300">
      <w:pPr>
        <w:sectPr w:rsidR="00245300" w:rsidRPr="00EC20A0">
          <w:pgSz w:w="12240" w:h="15840"/>
          <w:pgMar w:top="1340" w:right="940" w:bottom="1020" w:left="1020" w:header="721" w:footer="757" w:gutter="0"/>
          <w:cols w:space="720"/>
        </w:sectPr>
      </w:pPr>
    </w:p>
    <w:p w14:paraId="24D60087" w14:textId="77777777" w:rsidR="00245300" w:rsidRPr="00EC20A0" w:rsidRDefault="00F17249">
      <w:pPr>
        <w:pStyle w:val="ListParagraph"/>
        <w:numPr>
          <w:ilvl w:val="0"/>
          <w:numId w:val="214"/>
        </w:numPr>
        <w:tabs>
          <w:tab w:val="left" w:pos="1857"/>
          <w:tab w:val="left" w:pos="1859"/>
        </w:tabs>
        <w:spacing w:before="121"/>
        <w:ind w:left="1857" w:right="541" w:hanging="718"/>
      </w:pPr>
      <w:r w:rsidRPr="00EC20A0">
        <w:t>Sometimes component auditors use methodologies or audit approaches that are different from those that the group engagement team would have used. Auditing requires a great deal of professional judgment and there often are alternative ways to achieve audit objectives. Many IPA firms have developed, at considerable</w:t>
      </w:r>
      <w:r w:rsidRPr="00EC20A0">
        <w:rPr>
          <w:spacing w:val="-3"/>
        </w:rPr>
        <w:t xml:space="preserve"> </w:t>
      </w:r>
      <w:r w:rsidRPr="00EC20A0">
        <w:t>expense,</w:t>
      </w:r>
      <w:r w:rsidRPr="00EC20A0">
        <w:rPr>
          <w:spacing w:val="-4"/>
        </w:rPr>
        <w:t xml:space="preserve"> </w:t>
      </w:r>
      <w:r w:rsidRPr="00EC20A0">
        <w:t>proprietary</w:t>
      </w:r>
      <w:r w:rsidRPr="00EC20A0">
        <w:rPr>
          <w:spacing w:val="-4"/>
        </w:rPr>
        <w:t xml:space="preserve"> </w:t>
      </w:r>
      <w:r w:rsidRPr="00EC20A0">
        <w:t>audit</w:t>
      </w:r>
      <w:r w:rsidRPr="00EC20A0">
        <w:rPr>
          <w:spacing w:val="-3"/>
        </w:rPr>
        <w:t xml:space="preserve"> </w:t>
      </w:r>
      <w:r w:rsidRPr="00EC20A0">
        <w:t>methodologies</w:t>
      </w:r>
      <w:r w:rsidRPr="00EC20A0">
        <w:rPr>
          <w:spacing w:val="-3"/>
        </w:rPr>
        <w:t xml:space="preserve"> </w:t>
      </w:r>
      <w:r w:rsidRPr="00EC20A0">
        <w:t>to</w:t>
      </w:r>
      <w:r w:rsidRPr="00EC20A0">
        <w:rPr>
          <w:spacing w:val="-4"/>
        </w:rPr>
        <w:t xml:space="preserve"> </w:t>
      </w:r>
      <w:r w:rsidRPr="00EC20A0">
        <w:t>use</w:t>
      </w:r>
      <w:r w:rsidRPr="00EC20A0">
        <w:rPr>
          <w:spacing w:val="-3"/>
        </w:rPr>
        <w:t xml:space="preserve"> </w:t>
      </w:r>
      <w:r w:rsidRPr="00EC20A0">
        <w:t>on</w:t>
      </w:r>
      <w:r w:rsidRPr="00EC20A0">
        <w:rPr>
          <w:spacing w:val="-3"/>
        </w:rPr>
        <w:t xml:space="preserve"> </w:t>
      </w:r>
      <w:r w:rsidRPr="00EC20A0">
        <w:t>a</w:t>
      </w:r>
      <w:r w:rsidRPr="00EC20A0">
        <w:rPr>
          <w:spacing w:val="-3"/>
        </w:rPr>
        <w:t xml:space="preserve"> </w:t>
      </w:r>
      <w:r w:rsidRPr="00EC20A0">
        <w:t>wide</w:t>
      </w:r>
      <w:r w:rsidRPr="00EC20A0">
        <w:rPr>
          <w:spacing w:val="-3"/>
        </w:rPr>
        <w:t xml:space="preserve"> </w:t>
      </w:r>
      <w:r w:rsidRPr="00EC20A0">
        <w:t>range</w:t>
      </w:r>
      <w:r w:rsidRPr="00EC20A0">
        <w:rPr>
          <w:spacing w:val="-2"/>
        </w:rPr>
        <w:t xml:space="preserve"> </w:t>
      </w:r>
      <w:r w:rsidRPr="00EC20A0">
        <w:t>of public and private sector clients. Many of these audit methodologies use electronic technology where all audit documentation exists only in electronic form. Thus, the group engagement team generally should understand the component auditor’s audit methodology and basis for the nature, extent, and timing of audit procedures. This may require obtaining permission to use proprietary software to review the audit documentation. Additionally, wher</w:t>
      </w:r>
      <w:r w:rsidRPr="00EC20A0">
        <w:t>e the IPA firm software is retained, the group engagement team should develop a process to maintain the operability of the software to access the audit documentation in the future.</w:t>
      </w:r>
    </w:p>
    <w:p w14:paraId="24D60088" w14:textId="77777777" w:rsidR="00245300" w:rsidRPr="00EC20A0" w:rsidRDefault="00F17249">
      <w:pPr>
        <w:pStyle w:val="BodyText"/>
        <w:spacing w:before="240"/>
        <w:ind w:left="1857" w:right="562"/>
      </w:pPr>
      <w:r w:rsidRPr="00EC20A0">
        <w:t>As</w:t>
      </w:r>
      <w:r w:rsidRPr="00EC20A0">
        <w:rPr>
          <w:spacing w:val="-4"/>
        </w:rPr>
        <w:t xml:space="preserve"> </w:t>
      </w:r>
      <w:r w:rsidRPr="00EC20A0">
        <w:t>noted</w:t>
      </w:r>
      <w:r w:rsidRPr="00EC20A0">
        <w:rPr>
          <w:spacing w:val="-4"/>
        </w:rPr>
        <w:t xml:space="preserve"> </w:t>
      </w:r>
      <w:r w:rsidRPr="00EC20A0">
        <w:t>at</w:t>
      </w:r>
      <w:r w:rsidRPr="00EC20A0">
        <w:rPr>
          <w:spacing w:val="-5"/>
        </w:rPr>
        <w:t xml:space="preserve"> </w:t>
      </w:r>
      <w:r w:rsidRPr="00EC20A0">
        <w:t>FAM</w:t>
      </w:r>
      <w:r w:rsidRPr="00EC20A0">
        <w:rPr>
          <w:spacing w:val="-5"/>
        </w:rPr>
        <w:t xml:space="preserve"> </w:t>
      </w:r>
      <w:r w:rsidRPr="00EC20A0">
        <w:t>630.36.e,</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communicate</w:t>
      </w:r>
      <w:r w:rsidRPr="00EC20A0">
        <w:rPr>
          <w:spacing w:val="-4"/>
        </w:rPr>
        <w:t xml:space="preserve"> </w:t>
      </w:r>
      <w:r w:rsidRPr="00EC20A0">
        <w:t>its requirements</w:t>
      </w:r>
      <w:r w:rsidRPr="00EC20A0">
        <w:rPr>
          <w:spacing w:val="-3"/>
        </w:rPr>
        <w:t xml:space="preserve"> </w:t>
      </w:r>
      <w:r w:rsidRPr="00EC20A0">
        <w:t>for</w:t>
      </w:r>
      <w:r w:rsidRPr="00EC20A0">
        <w:rPr>
          <w:spacing w:val="-3"/>
        </w:rPr>
        <w:t xml:space="preserve"> </w:t>
      </w:r>
      <w:r w:rsidRPr="00EC20A0">
        <w:t>a</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to</w:t>
      </w:r>
      <w:r w:rsidRPr="00EC20A0">
        <w:rPr>
          <w:spacing w:val="-3"/>
        </w:rPr>
        <w:t xml:space="preserve"> </w:t>
      </w:r>
      <w:r w:rsidRPr="00EC20A0">
        <w:t>communicate</w:t>
      </w:r>
      <w:r w:rsidRPr="00EC20A0">
        <w:rPr>
          <w:spacing w:val="-3"/>
        </w:rPr>
        <w:t xml:space="preserve"> </w:t>
      </w:r>
      <w:r w:rsidRPr="00EC20A0">
        <w:t>any</w:t>
      </w:r>
      <w:r w:rsidRPr="00EC20A0">
        <w:rPr>
          <w:spacing w:val="-4"/>
        </w:rPr>
        <w:t xml:space="preserve"> </w:t>
      </w:r>
      <w:r w:rsidRPr="00EC20A0">
        <w:t>significant</w:t>
      </w:r>
      <w:r w:rsidRPr="00EC20A0">
        <w:rPr>
          <w:spacing w:val="-3"/>
        </w:rPr>
        <w:t xml:space="preserve"> </w:t>
      </w:r>
      <w:r w:rsidRPr="00EC20A0">
        <w:t>deviations in the methodologies or</w:t>
      </w:r>
      <w:r w:rsidRPr="00EC20A0">
        <w:rPr>
          <w:spacing w:val="-1"/>
        </w:rPr>
        <w:t xml:space="preserve"> </w:t>
      </w:r>
      <w:r w:rsidRPr="00EC20A0">
        <w:t>audit approaches used that are different from</w:t>
      </w:r>
      <w:r w:rsidRPr="00EC20A0">
        <w:rPr>
          <w:spacing w:val="-1"/>
        </w:rPr>
        <w:t xml:space="preserve"> </w:t>
      </w:r>
      <w:r w:rsidRPr="00EC20A0">
        <w:t>those that the group engagement team would have used and whether those deviations comply with GAGAS.</w:t>
      </w:r>
    </w:p>
    <w:p w14:paraId="24D60089" w14:textId="77777777" w:rsidR="00245300" w:rsidRPr="00EC20A0" w:rsidRDefault="00F17249">
      <w:pPr>
        <w:pStyle w:val="ListParagraph"/>
        <w:numPr>
          <w:ilvl w:val="0"/>
          <w:numId w:val="214"/>
        </w:numPr>
        <w:tabs>
          <w:tab w:val="left" w:pos="1858"/>
        </w:tabs>
        <w:spacing w:before="239"/>
        <w:ind w:left="1858" w:right="543" w:hanging="719"/>
      </w:pPr>
      <w:r w:rsidRPr="00EC20A0">
        <w:t>The group auditor should determine the significance of the test results to the audit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financial</w:t>
      </w:r>
      <w:r w:rsidRPr="00EC20A0">
        <w:rPr>
          <w:spacing w:val="-4"/>
        </w:rPr>
        <w:t xml:space="preserve"> </w:t>
      </w:r>
      <w:r w:rsidRPr="00EC20A0">
        <w:t>statements</w:t>
      </w:r>
      <w:r w:rsidRPr="00EC20A0">
        <w:rPr>
          <w:spacing w:val="-3"/>
        </w:rPr>
        <w:t xml:space="preserve"> </w:t>
      </w:r>
      <w:r w:rsidRPr="00EC20A0">
        <w:t>on</w:t>
      </w:r>
      <w:r w:rsidRPr="00EC20A0">
        <w:rPr>
          <w:spacing w:val="-3"/>
        </w:rPr>
        <w:t xml:space="preserve"> </w:t>
      </w:r>
      <w:r w:rsidRPr="00EC20A0">
        <w:t>which</w:t>
      </w:r>
      <w:r w:rsidRPr="00EC20A0">
        <w:rPr>
          <w:spacing w:val="-3"/>
        </w:rPr>
        <w:t xml:space="preserve"> </w:t>
      </w:r>
      <w:r w:rsidRPr="00EC20A0">
        <w:t>the</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is</w:t>
      </w:r>
      <w:r w:rsidRPr="00EC20A0">
        <w:rPr>
          <w:spacing w:val="-3"/>
        </w:rPr>
        <w:t xml:space="preserve"> </w:t>
      </w:r>
      <w:r w:rsidRPr="00EC20A0">
        <w:t>reporting.</w:t>
      </w:r>
      <w:r w:rsidRPr="00EC20A0">
        <w:rPr>
          <w:spacing w:val="-3"/>
        </w:rPr>
        <w:t xml:space="preserve"> </w:t>
      </w:r>
      <w:r w:rsidRPr="00EC20A0">
        <w:t>For example, the component auditor may have selected a nonstatistical sample or the sample size may be smaller than the sample size the group auditor would have selected. The group auditor may decide that this provides sufficient evidence in an area that is less material or has low or moderate risk of material misstatement. However, if the risk of material misstatement is high, the group auditor may conclude that sufficient appropriat</w:t>
      </w:r>
      <w:r w:rsidRPr="00EC20A0">
        <w:t>e evidence has not been obtained and that additional work is needed.</w:t>
      </w:r>
    </w:p>
    <w:p w14:paraId="24D6008A" w14:textId="77777777" w:rsidR="00245300" w:rsidRPr="00EC20A0" w:rsidRDefault="00F17249">
      <w:pPr>
        <w:pStyle w:val="BodyText"/>
        <w:spacing w:before="241"/>
        <w:ind w:left="1859" w:right="507"/>
      </w:pPr>
      <w:r w:rsidRPr="00EC20A0">
        <w:t>In this case, after consulting with the group engagement partner, the group engagement team generally should either ask the component auditor to perform additional</w:t>
      </w:r>
      <w:r w:rsidRPr="00EC20A0">
        <w:rPr>
          <w:spacing w:val="-3"/>
        </w:rPr>
        <w:t xml:space="preserve"> </w:t>
      </w:r>
      <w:r w:rsidRPr="00EC20A0">
        <w:t>tests</w:t>
      </w:r>
      <w:r w:rsidRPr="00EC20A0">
        <w:rPr>
          <w:spacing w:val="-3"/>
        </w:rPr>
        <w:t xml:space="preserve"> </w:t>
      </w:r>
      <w:r w:rsidRPr="00EC20A0">
        <w:t>or</w:t>
      </w:r>
      <w:r w:rsidRPr="00EC20A0">
        <w:rPr>
          <w:spacing w:val="-3"/>
        </w:rPr>
        <w:t xml:space="preserve"> </w:t>
      </w:r>
      <w:r w:rsidRPr="00EC20A0">
        <w:t>perform</w:t>
      </w:r>
      <w:r w:rsidRPr="00EC20A0">
        <w:rPr>
          <w:spacing w:val="-4"/>
        </w:rPr>
        <w:t xml:space="preserve"> </w:t>
      </w:r>
      <w:r w:rsidRPr="00EC20A0">
        <w:t>the</w:t>
      </w:r>
      <w:r w:rsidRPr="00EC20A0">
        <w:rPr>
          <w:spacing w:val="-3"/>
        </w:rPr>
        <w:t xml:space="preserve"> </w:t>
      </w:r>
      <w:r w:rsidRPr="00EC20A0">
        <w:t>additional</w:t>
      </w:r>
      <w:r w:rsidRPr="00EC20A0">
        <w:rPr>
          <w:spacing w:val="-3"/>
        </w:rPr>
        <w:t xml:space="preserve"> </w:t>
      </w:r>
      <w:r w:rsidRPr="00EC20A0">
        <w:t>tests</w:t>
      </w:r>
      <w:r w:rsidRPr="00EC20A0">
        <w:rPr>
          <w:spacing w:val="-4"/>
        </w:rPr>
        <w:t xml:space="preserve"> </w:t>
      </w:r>
      <w:r w:rsidRPr="00EC20A0">
        <w:t>itself.</w:t>
      </w:r>
      <w:r w:rsidRPr="00EC20A0">
        <w:rPr>
          <w:spacing w:val="-3"/>
        </w:rPr>
        <w:t xml:space="preserve"> </w:t>
      </w:r>
      <w:r w:rsidRPr="00EC20A0">
        <w:t>If</w:t>
      </w:r>
      <w:r w:rsidRPr="00EC20A0">
        <w:rPr>
          <w:spacing w:val="-3"/>
        </w:rPr>
        <w:t xml:space="preserve"> </w:t>
      </w:r>
      <w:r w:rsidRPr="00EC20A0">
        <w:t>this</w:t>
      </w:r>
      <w:r w:rsidRPr="00EC20A0">
        <w:rPr>
          <w:spacing w:val="-4"/>
        </w:rPr>
        <w:t xml:space="preserve"> </w:t>
      </w:r>
      <w:r w:rsidRPr="00EC20A0">
        <w:t>additional</w:t>
      </w:r>
      <w:r w:rsidRPr="00EC20A0">
        <w:rPr>
          <w:spacing w:val="-3"/>
        </w:rPr>
        <w:t xml:space="preserve"> </w:t>
      </w:r>
      <w:r w:rsidRPr="00EC20A0">
        <w:t>testing</w:t>
      </w:r>
      <w:r w:rsidRPr="00EC20A0">
        <w:rPr>
          <w:spacing w:val="-3"/>
        </w:rPr>
        <w:t xml:space="preserve"> </w:t>
      </w:r>
      <w:r w:rsidRPr="00EC20A0">
        <w:t>is</w:t>
      </w:r>
      <w:r w:rsidRPr="00EC20A0">
        <w:rPr>
          <w:spacing w:val="-3"/>
        </w:rPr>
        <w:t xml:space="preserve"> </w:t>
      </w:r>
      <w:r w:rsidRPr="00EC20A0">
        <w:t>not done, the group engagement team should determine the effect of any scope limitation on the group auditor’s report.</w:t>
      </w:r>
    </w:p>
    <w:p w14:paraId="24D6008B" w14:textId="77777777" w:rsidR="00245300" w:rsidRPr="00EC20A0" w:rsidRDefault="00F17249">
      <w:pPr>
        <w:pStyle w:val="ListParagraph"/>
        <w:numPr>
          <w:ilvl w:val="0"/>
          <w:numId w:val="214"/>
        </w:numPr>
        <w:tabs>
          <w:tab w:val="left" w:pos="1858"/>
        </w:tabs>
        <w:ind w:left="1858" w:right="762" w:hanging="720"/>
      </w:pPr>
      <w:r w:rsidRPr="00EC20A0">
        <w:t>Sometimes,</w:t>
      </w:r>
      <w:r w:rsidRPr="00EC20A0">
        <w:rPr>
          <w:spacing w:val="-3"/>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may</w:t>
      </w:r>
      <w:r w:rsidRPr="00EC20A0">
        <w:rPr>
          <w:spacing w:val="-4"/>
        </w:rPr>
        <w:t xml:space="preserve"> </w:t>
      </w:r>
      <w:r w:rsidRPr="00EC20A0">
        <w:t>disagree</w:t>
      </w:r>
      <w:r w:rsidRPr="00EC20A0">
        <w:rPr>
          <w:spacing w:val="-4"/>
        </w:rPr>
        <w:t xml:space="preserve"> </w:t>
      </w:r>
      <w:r w:rsidRPr="00EC20A0">
        <w:t>with</w:t>
      </w:r>
      <w:r w:rsidRPr="00EC20A0">
        <w:rPr>
          <w:spacing w:val="-5"/>
        </w:rPr>
        <w:t xml:space="preserve"> </w:t>
      </w:r>
      <w:r w:rsidRPr="00EC20A0">
        <w:t>the</w:t>
      </w:r>
      <w:r w:rsidRPr="00EC20A0">
        <w:rPr>
          <w:spacing w:val="-4"/>
        </w:rPr>
        <w:t xml:space="preserve"> </w:t>
      </w:r>
      <w:r w:rsidRPr="00EC20A0">
        <w:t>conclusions</w:t>
      </w:r>
      <w:r w:rsidRPr="00EC20A0">
        <w:rPr>
          <w:spacing w:val="-4"/>
        </w:rPr>
        <w:t xml:space="preserve"> </w:t>
      </w:r>
      <w:r w:rsidRPr="00EC20A0">
        <w:t>or judgments of the component auditors. In such a case, the group engagement team should evaluate the component auditor’s work as well as any other evidence or testing necessary to determine the appropriate conclusion.</w:t>
      </w:r>
    </w:p>
    <w:p w14:paraId="24D6008C" w14:textId="77777777" w:rsidR="00245300" w:rsidRPr="00EC20A0" w:rsidRDefault="00F17249">
      <w:pPr>
        <w:pStyle w:val="ListParagraph"/>
        <w:numPr>
          <w:ilvl w:val="0"/>
          <w:numId w:val="214"/>
        </w:numPr>
        <w:tabs>
          <w:tab w:val="left" w:pos="1859"/>
        </w:tabs>
        <w:ind w:right="517" w:hanging="720"/>
      </w:pP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discuss</w:t>
      </w:r>
      <w:r w:rsidRPr="00EC20A0">
        <w:rPr>
          <w:spacing w:val="-4"/>
        </w:rPr>
        <w:t xml:space="preserve"> </w:t>
      </w:r>
      <w:r w:rsidRPr="00EC20A0">
        <w:t>any</w:t>
      </w:r>
      <w:r w:rsidRPr="00EC20A0">
        <w:rPr>
          <w:spacing w:val="-5"/>
        </w:rPr>
        <w:t xml:space="preserve"> </w:t>
      </w:r>
      <w:r w:rsidRPr="00EC20A0">
        <w:t>issues</w:t>
      </w:r>
      <w:r w:rsidRPr="00EC20A0">
        <w:rPr>
          <w:spacing w:val="-4"/>
        </w:rPr>
        <w:t xml:space="preserve"> </w:t>
      </w:r>
      <w:r w:rsidRPr="00EC20A0">
        <w:t>of</w:t>
      </w:r>
      <w:r w:rsidRPr="00EC20A0">
        <w:rPr>
          <w:spacing w:val="-4"/>
        </w:rPr>
        <w:t xml:space="preserve"> </w:t>
      </w:r>
      <w:r w:rsidRPr="00EC20A0">
        <w:t>disagreement</w:t>
      </w:r>
      <w:r w:rsidRPr="00EC20A0">
        <w:rPr>
          <w:spacing w:val="-4"/>
        </w:rPr>
        <w:t xml:space="preserve"> </w:t>
      </w:r>
      <w:r w:rsidRPr="00EC20A0">
        <w:t>with</w:t>
      </w:r>
      <w:r w:rsidRPr="00EC20A0">
        <w:rPr>
          <w:spacing w:val="-4"/>
        </w:rPr>
        <w:t xml:space="preserve"> </w:t>
      </w:r>
      <w:r w:rsidRPr="00EC20A0">
        <w:t>the component auditors to attempt to resolve the disagreements. The group engagement team should attempt to resolve professional disagreements early to reduce confusion that may arise from differing auditor views. Once issues of disagreements are identified, the group engagement team should discuss the issues with the component auditors to resolve them in a timely manner and before the completion of the audit.</w:t>
      </w:r>
    </w:p>
    <w:p w14:paraId="24D6008D" w14:textId="77777777" w:rsidR="00245300" w:rsidRPr="00EC20A0" w:rsidRDefault="00245300">
      <w:pPr>
        <w:sectPr w:rsidR="00245300" w:rsidRPr="00EC20A0">
          <w:pgSz w:w="12240" w:h="15840"/>
          <w:pgMar w:top="1340" w:right="940" w:bottom="940" w:left="1020" w:header="721" w:footer="757" w:gutter="0"/>
          <w:cols w:space="720"/>
        </w:sectPr>
      </w:pPr>
    </w:p>
    <w:p w14:paraId="24D6008E" w14:textId="77777777" w:rsidR="00245300" w:rsidRPr="00EC20A0" w:rsidRDefault="00F17249">
      <w:pPr>
        <w:pStyle w:val="ListParagraph"/>
        <w:numPr>
          <w:ilvl w:val="0"/>
          <w:numId w:val="214"/>
        </w:numPr>
        <w:tabs>
          <w:tab w:val="left" w:pos="1860"/>
        </w:tabs>
        <w:spacing w:before="121"/>
        <w:ind w:left="1860" w:right="872"/>
      </w:pPr>
      <w:r w:rsidRPr="00EC20A0">
        <w:t>If</w:t>
      </w:r>
      <w:r w:rsidRPr="00EC20A0">
        <w:rPr>
          <w:spacing w:val="-4"/>
        </w:rPr>
        <w:t xml:space="preserve"> </w:t>
      </w:r>
      <w:r w:rsidRPr="00EC20A0">
        <w:t>the</w:t>
      </w:r>
      <w:r w:rsidRPr="00EC20A0">
        <w:rPr>
          <w:spacing w:val="-4"/>
        </w:rPr>
        <w:t xml:space="preserve"> </w:t>
      </w:r>
      <w:r w:rsidRPr="00EC20A0">
        <w:t>group</w:t>
      </w:r>
      <w:r w:rsidRPr="00EC20A0">
        <w:rPr>
          <w:spacing w:val="-5"/>
        </w:rPr>
        <w:t xml:space="preserve"> </w:t>
      </w:r>
      <w:r w:rsidRPr="00EC20A0">
        <w:t>engagement</w:t>
      </w:r>
      <w:r w:rsidRPr="00EC20A0">
        <w:rPr>
          <w:spacing w:val="-4"/>
        </w:rPr>
        <w:t xml:space="preserve"> </w:t>
      </w:r>
      <w:r w:rsidRPr="00EC20A0">
        <w:t>team</w:t>
      </w:r>
      <w:r w:rsidRPr="00EC20A0">
        <w:rPr>
          <w:spacing w:val="-5"/>
        </w:rPr>
        <w:t xml:space="preserve"> </w:t>
      </w:r>
      <w:r w:rsidRPr="00EC20A0">
        <w:t>does</w:t>
      </w:r>
      <w:r w:rsidRPr="00EC20A0">
        <w:rPr>
          <w:spacing w:val="-4"/>
        </w:rPr>
        <w:t xml:space="preserve"> </w:t>
      </w:r>
      <w:r w:rsidRPr="00EC20A0">
        <w:t>not</w:t>
      </w:r>
      <w:r w:rsidRPr="00EC20A0">
        <w:rPr>
          <w:spacing w:val="-4"/>
        </w:rPr>
        <w:t xml:space="preserve"> </w:t>
      </w:r>
      <w:r w:rsidRPr="00EC20A0">
        <w:t>reach</w:t>
      </w:r>
      <w:r w:rsidRPr="00EC20A0">
        <w:rPr>
          <w:spacing w:val="-4"/>
        </w:rPr>
        <w:t xml:space="preserve"> </w:t>
      </w:r>
      <w:r w:rsidRPr="00EC20A0">
        <w:t>agreement</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component auditors, the group engagement team should determine the impact that such disagreement may have on its audit report.</w:t>
      </w:r>
    </w:p>
    <w:p w14:paraId="24D6008F" w14:textId="77777777" w:rsidR="00245300" w:rsidRPr="00EC20A0" w:rsidRDefault="00F17249">
      <w:pPr>
        <w:pStyle w:val="ListParagraph"/>
        <w:numPr>
          <w:ilvl w:val="0"/>
          <w:numId w:val="214"/>
        </w:numPr>
        <w:tabs>
          <w:tab w:val="left" w:pos="1860"/>
        </w:tabs>
        <w:spacing w:before="239"/>
        <w:ind w:left="1860" w:right="504" w:hanging="720"/>
      </w:pPr>
      <w:r w:rsidRPr="00EC20A0">
        <w:t xml:space="preserve">The group engagement partner should evaluate the </w:t>
      </w:r>
      <w:r w:rsidRPr="00EC20A0">
        <w:t>effect on the group audit opinion of any uncorrected misstatements (either identified by the group engagement team or communicated by component auditors) and any instances</w:t>
      </w:r>
      <w:r w:rsidRPr="00EC20A0">
        <w:rPr>
          <w:spacing w:val="40"/>
        </w:rPr>
        <w:t xml:space="preserve"> </w:t>
      </w:r>
      <w:r w:rsidRPr="00EC20A0">
        <w:t>in</w:t>
      </w:r>
      <w:r w:rsidRPr="00EC20A0">
        <w:rPr>
          <w:spacing w:val="-3"/>
        </w:rPr>
        <w:t xml:space="preserve"> </w:t>
      </w:r>
      <w:r w:rsidRPr="00EC20A0">
        <w:t>which</w:t>
      </w:r>
      <w:r w:rsidRPr="00EC20A0">
        <w:rPr>
          <w:spacing w:val="-3"/>
        </w:rPr>
        <w:t xml:space="preserve"> </w:t>
      </w:r>
      <w:r w:rsidRPr="00EC20A0">
        <w:t>there</w:t>
      </w:r>
      <w:r w:rsidRPr="00EC20A0">
        <w:rPr>
          <w:spacing w:val="-3"/>
        </w:rPr>
        <w:t xml:space="preserve"> </w:t>
      </w:r>
      <w:r w:rsidRPr="00EC20A0">
        <w:t>has</w:t>
      </w:r>
      <w:r w:rsidRPr="00EC20A0">
        <w:rPr>
          <w:spacing w:val="-3"/>
        </w:rPr>
        <w:t xml:space="preserve"> </w:t>
      </w:r>
      <w:r w:rsidRPr="00EC20A0">
        <w:t>been</w:t>
      </w:r>
      <w:r w:rsidRPr="00EC20A0">
        <w:rPr>
          <w:spacing w:val="-4"/>
        </w:rPr>
        <w:t xml:space="preserve"> </w:t>
      </w:r>
      <w:r w:rsidRPr="00EC20A0">
        <w:t>an</w:t>
      </w:r>
      <w:r w:rsidRPr="00EC20A0">
        <w:rPr>
          <w:spacing w:val="-3"/>
        </w:rPr>
        <w:t xml:space="preserve"> </w:t>
      </w:r>
      <w:r w:rsidRPr="00EC20A0">
        <w:t>inability</w:t>
      </w:r>
      <w:r w:rsidRPr="00EC20A0">
        <w:rPr>
          <w:spacing w:val="-3"/>
        </w:rPr>
        <w:t xml:space="preserve"> </w:t>
      </w:r>
      <w:r w:rsidRPr="00EC20A0">
        <w:t>to</w:t>
      </w:r>
      <w:r w:rsidRPr="00EC20A0">
        <w:rPr>
          <w:spacing w:val="-3"/>
        </w:rPr>
        <w:t xml:space="preserve"> </w:t>
      </w:r>
      <w:r w:rsidRPr="00EC20A0">
        <w:t>obtain</w:t>
      </w:r>
      <w:r w:rsidRPr="00EC20A0">
        <w:rPr>
          <w:spacing w:val="-3"/>
        </w:rPr>
        <w:t xml:space="preserve"> </w:t>
      </w:r>
      <w:r w:rsidRPr="00EC20A0">
        <w:t>sufficient</w:t>
      </w:r>
      <w:r w:rsidRPr="00EC20A0">
        <w:rPr>
          <w:spacing w:val="-3"/>
        </w:rPr>
        <w:t xml:space="preserve"> </w:t>
      </w:r>
      <w:r w:rsidRPr="00EC20A0">
        <w:t>appropriate</w:t>
      </w:r>
      <w:r w:rsidRPr="00EC20A0">
        <w:rPr>
          <w:spacing w:val="-3"/>
        </w:rPr>
        <w:t xml:space="preserve"> </w:t>
      </w:r>
      <w:r w:rsidRPr="00EC20A0">
        <w:t>audit</w:t>
      </w:r>
      <w:r w:rsidRPr="00EC20A0">
        <w:rPr>
          <w:spacing w:val="-4"/>
        </w:rPr>
        <w:t xml:space="preserve"> </w:t>
      </w:r>
      <w:r w:rsidRPr="00EC20A0">
        <w:t>evidence (AU-C 600A.45).</w:t>
      </w:r>
    </w:p>
    <w:p w14:paraId="24D60090" w14:textId="77777777" w:rsidR="00245300" w:rsidRPr="00EC20A0" w:rsidRDefault="00F17249">
      <w:pPr>
        <w:pStyle w:val="ListParagraph"/>
        <w:numPr>
          <w:ilvl w:val="0"/>
          <w:numId w:val="214"/>
        </w:numPr>
        <w:tabs>
          <w:tab w:val="left" w:pos="1860"/>
        </w:tabs>
        <w:ind w:left="1860" w:right="614" w:hanging="720"/>
      </w:pPr>
      <w:r w:rsidRPr="00EC20A0">
        <w:t>If</w:t>
      </w:r>
      <w:r w:rsidRPr="00EC20A0">
        <w:rPr>
          <w:spacing w:val="-4"/>
        </w:rPr>
        <w:t xml:space="preserve"> </w:t>
      </w:r>
      <w:r w:rsidRPr="00EC20A0">
        <w:t>a</w:t>
      </w:r>
      <w:r w:rsidRPr="00EC20A0">
        <w:rPr>
          <w:spacing w:val="-4"/>
        </w:rPr>
        <w:t xml:space="preserve"> </w:t>
      </w:r>
      <w:r w:rsidRPr="00EC20A0">
        <w:t>component</w:t>
      </w:r>
      <w:r w:rsidRPr="00EC20A0">
        <w:rPr>
          <w:spacing w:val="-4"/>
        </w:rPr>
        <w:t xml:space="preserve"> </w:t>
      </w:r>
      <w:r w:rsidRPr="00EC20A0">
        <w:t>auditor</w:t>
      </w:r>
      <w:r w:rsidRPr="00EC20A0">
        <w:rPr>
          <w:spacing w:val="-4"/>
        </w:rPr>
        <w:t xml:space="preserve"> </w:t>
      </w:r>
      <w:r w:rsidRPr="00EC20A0">
        <w:t>disclaims</w:t>
      </w:r>
      <w:r w:rsidRPr="00EC20A0">
        <w:rPr>
          <w:spacing w:val="-4"/>
        </w:rPr>
        <w:t xml:space="preserve"> </w:t>
      </w:r>
      <w:r w:rsidRPr="00EC20A0">
        <w:t>an</w:t>
      </w:r>
      <w:r w:rsidRPr="00EC20A0">
        <w:rPr>
          <w:spacing w:val="-4"/>
        </w:rPr>
        <w:t xml:space="preserve"> </w:t>
      </w:r>
      <w:r w:rsidRPr="00EC20A0">
        <w:t>opinion</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because of a scope limitation, the group engagement team should consider the effect on the group auditor’s opinion. The group engagement team should confirm the nature and magnitude of the reason for the disclaimer. Additionally, the group engagement team generally need not hold discussions with entity management and/or perform additional audit procedures in this situation, and may limit the review of documentation to summary documentatio</w:t>
      </w:r>
      <w:r w:rsidRPr="00EC20A0">
        <w:t>n. However, the group engagement team may do additional work to learn about the entity, to help the component auditor plan future audits, or to help entity management correct the causes of the scope limitation.</w:t>
      </w:r>
    </w:p>
    <w:p w14:paraId="24D60091" w14:textId="77777777" w:rsidR="00245300" w:rsidRPr="00EC20A0" w:rsidRDefault="00F17249">
      <w:pPr>
        <w:pStyle w:val="ListParagraph"/>
        <w:numPr>
          <w:ilvl w:val="0"/>
          <w:numId w:val="214"/>
        </w:numPr>
        <w:tabs>
          <w:tab w:val="left" w:pos="1859"/>
        </w:tabs>
        <w:ind w:right="517" w:hanging="720"/>
      </w:pPr>
      <w:r w:rsidRPr="00EC20A0">
        <w:t>If the component auditor’s work had a scope limitation that results in a qualified opinion,</w:t>
      </w:r>
      <w:r w:rsidRPr="00EC20A0">
        <w:rPr>
          <w:spacing w:val="-4"/>
        </w:rPr>
        <w:t xml:space="preserve"> </w:t>
      </w:r>
      <w:r w:rsidRPr="00EC20A0">
        <w:t>the</w:t>
      </w:r>
      <w:r w:rsidRPr="00EC20A0">
        <w:rPr>
          <w:spacing w:val="-5"/>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confirm</w:t>
      </w:r>
      <w:r w:rsidRPr="00EC20A0">
        <w:rPr>
          <w:spacing w:val="-5"/>
        </w:rPr>
        <w:t xml:space="preserve"> </w:t>
      </w:r>
      <w:r w:rsidRPr="00EC20A0">
        <w:t>the</w:t>
      </w:r>
      <w:r w:rsidRPr="00EC20A0">
        <w:rPr>
          <w:spacing w:val="-4"/>
        </w:rPr>
        <w:t xml:space="preserve"> </w:t>
      </w:r>
      <w:r w:rsidRPr="00EC20A0">
        <w:t>nature</w:t>
      </w:r>
      <w:r w:rsidRPr="00EC20A0">
        <w:rPr>
          <w:spacing w:val="-4"/>
        </w:rPr>
        <w:t xml:space="preserve"> </w:t>
      </w:r>
      <w:r w:rsidRPr="00EC20A0">
        <w:t>and</w:t>
      </w:r>
      <w:r w:rsidRPr="00EC20A0">
        <w:rPr>
          <w:spacing w:val="-4"/>
        </w:rPr>
        <w:t xml:space="preserve"> </w:t>
      </w:r>
      <w:r w:rsidRPr="00EC20A0">
        <w:t>magnitude</w:t>
      </w:r>
      <w:r w:rsidRPr="00EC20A0">
        <w:rPr>
          <w:spacing w:val="-4"/>
        </w:rPr>
        <w:t xml:space="preserve"> </w:t>
      </w:r>
      <w:r w:rsidRPr="00EC20A0">
        <w:t xml:space="preserve">of the reason for the qualification and determine the effect on the group auditor’s </w:t>
      </w:r>
      <w:r w:rsidRPr="00EC20A0">
        <w:rPr>
          <w:spacing w:val="-2"/>
        </w:rPr>
        <w:t>opinion.</w:t>
      </w:r>
    </w:p>
    <w:p w14:paraId="24D60092" w14:textId="77777777" w:rsidR="00245300" w:rsidRPr="00EC20A0" w:rsidRDefault="00F17249">
      <w:pPr>
        <w:pStyle w:val="Heading4"/>
        <w:spacing w:before="241"/>
        <w:ind w:hanging="1"/>
      </w:pPr>
      <w:r w:rsidRPr="00EC20A0">
        <w:t>Communication</w:t>
      </w:r>
      <w:r w:rsidRPr="00EC20A0">
        <w:rPr>
          <w:spacing w:val="-6"/>
        </w:rPr>
        <w:t xml:space="preserve"> </w:t>
      </w:r>
      <w:r w:rsidRPr="00EC20A0">
        <w:t>with</w:t>
      </w:r>
      <w:r w:rsidRPr="00EC20A0">
        <w:rPr>
          <w:spacing w:val="-6"/>
        </w:rPr>
        <w:t xml:space="preserve"> </w:t>
      </w:r>
      <w:r w:rsidRPr="00EC20A0">
        <w:t>Group</w:t>
      </w:r>
      <w:r w:rsidRPr="00EC20A0">
        <w:rPr>
          <w:spacing w:val="-6"/>
        </w:rPr>
        <w:t xml:space="preserve"> </w:t>
      </w:r>
      <w:r w:rsidRPr="00EC20A0">
        <w:t>Management</w:t>
      </w:r>
      <w:r w:rsidRPr="00EC20A0">
        <w:rPr>
          <w:spacing w:val="-5"/>
        </w:rPr>
        <w:t xml:space="preserve"> </w:t>
      </w:r>
      <w:r w:rsidRPr="00EC20A0">
        <w:t>and</w:t>
      </w:r>
      <w:r w:rsidRPr="00EC20A0">
        <w:rPr>
          <w:spacing w:val="-6"/>
        </w:rPr>
        <w:t xml:space="preserve"> </w:t>
      </w:r>
      <w:r w:rsidRPr="00EC20A0">
        <w:t>Those</w:t>
      </w:r>
      <w:r w:rsidRPr="00EC20A0">
        <w:rPr>
          <w:spacing w:val="-5"/>
        </w:rPr>
        <w:t xml:space="preserve"> </w:t>
      </w:r>
      <w:r w:rsidRPr="00EC20A0">
        <w:t>Charged</w:t>
      </w:r>
      <w:r w:rsidRPr="00EC20A0">
        <w:rPr>
          <w:spacing w:val="-6"/>
        </w:rPr>
        <w:t xml:space="preserve"> </w:t>
      </w:r>
      <w:r w:rsidRPr="00EC20A0">
        <w:t xml:space="preserve">with </w:t>
      </w:r>
      <w:r w:rsidRPr="00EC20A0">
        <w:rPr>
          <w:spacing w:val="-2"/>
        </w:rPr>
        <w:t>Governance</w:t>
      </w:r>
    </w:p>
    <w:p w14:paraId="24D60093" w14:textId="77777777" w:rsidR="00245300" w:rsidRPr="00EC20A0" w:rsidRDefault="00F17249">
      <w:pPr>
        <w:pStyle w:val="ListParagraph"/>
        <w:numPr>
          <w:ilvl w:val="0"/>
          <w:numId w:val="214"/>
        </w:numPr>
        <w:tabs>
          <w:tab w:val="left" w:pos="1858"/>
        </w:tabs>
        <w:spacing w:before="239"/>
        <w:ind w:left="1858" w:right="542" w:hanging="719"/>
      </w:pPr>
      <w:r w:rsidRPr="00EC20A0">
        <w:t>The group engagement team should communicate to group management and those</w:t>
      </w:r>
      <w:r w:rsidRPr="00EC20A0">
        <w:rPr>
          <w:spacing w:val="-4"/>
        </w:rPr>
        <w:t xml:space="preserve"> </w:t>
      </w:r>
      <w:r w:rsidRPr="00EC20A0">
        <w:t>charged</w:t>
      </w:r>
      <w:r w:rsidRPr="00EC20A0">
        <w:rPr>
          <w:spacing w:val="-4"/>
        </w:rPr>
        <w:t xml:space="preserve"> </w:t>
      </w:r>
      <w:r w:rsidRPr="00EC20A0">
        <w:t>with</w:t>
      </w:r>
      <w:r w:rsidRPr="00EC20A0">
        <w:rPr>
          <w:spacing w:val="-4"/>
        </w:rPr>
        <w:t xml:space="preserve"> </w:t>
      </w:r>
      <w:r w:rsidRPr="00EC20A0">
        <w:t>governance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material</w:t>
      </w:r>
      <w:r w:rsidRPr="00EC20A0">
        <w:rPr>
          <w:spacing w:val="-4"/>
        </w:rPr>
        <w:t xml:space="preserve"> </w:t>
      </w:r>
      <w:r w:rsidRPr="00EC20A0">
        <w:t>weaknesses</w:t>
      </w:r>
      <w:r w:rsidRPr="00EC20A0">
        <w:rPr>
          <w:spacing w:val="-4"/>
        </w:rPr>
        <w:t xml:space="preserve"> </w:t>
      </w:r>
      <w:r w:rsidRPr="00EC20A0">
        <w:t>and</w:t>
      </w:r>
      <w:r w:rsidRPr="00EC20A0">
        <w:rPr>
          <w:spacing w:val="-5"/>
        </w:rPr>
        <w:t xml:space="preserve"> </w:t>
      </w:r>
      <w:r w:rsidRPr="00EC20A0">
        <w:t xml:space="preserve">significant deficiencies in internal control that are relevant to the </w:t>
      </w:r>
      <w:r w:rsidRPr="00EC20A0">
        <w:t>group (either identified by the group engagement team or brought to its attention by a component auditor during the audit) (AU-C 600A.46).</w:t>
      </w:r>
    </w:p>
    <w:p w14:paraId="24D60094" w14:textId="77777777" w:rsidR="00245300" w:rsidRPr="00EC20A0" w:rsidRDefault="00F17249">
      <w:pPr>
        <w:pStyle w:val="ListParagraph"/>
        <w:numPr>
          <w:ilvl w:val="0"/>
          <w:numId w:val="214"/>
        </w:numPr>
        <w:tabs>
          <w:tab w:val="left" w:pos="1857"/>
        </w:tabs>
        <w:ind w:left="1857" w:right="644" w:hanging="719"/>
      </w:pPr>
      <w:r w:rsidRPr="00EC20A0">
        <w:t>If fraud has been identified by the group engagement team or brought to its attention by a component auditor or if information indicates that a fraud may exist,</w:t>
      </w:r>
      <w:r w:rsidRPr="00EC20A0">
        <w:rPr>
          <w:spacing w:val="-2"/>
        </w:rPr>
        <w:t xml:space="preserve"> </w:t>
      </w:r>
      <w:r w:rsidRPr="00EC20A0">
        <w:t>the</w:t>
      </w:r>
      <w:r w:rsidRPr="00EC20A0">
        <w:rPr>
          <w:spacing w:val="-2"/>
        </w:rPr>
        <w:t xml:space="preserve"> </w:t>
      </w:r>
      <w:r w:rsidRPr="00EC20A0">
        <w:t>group</w:t>
      </w:r>
      <w:r w:rsidRPr="00EC20A0">
        <w:rPr>
          <w:spacing w:val="-2"/>
        </w:rPr>
        <w:t xml:space="preserve"> </w:t>
      </w:r>
      <w:r w:rsidRPr="00EC20A0">
        <w:t>engagement</w:t>
      </w:r>
      <w:r w:rsidRPr="00EC20A0">
        <w:rPr>
          <w:spacing w:val="-2"/>
        </w:rPr>
        <w:t xml:space="preserve"> </w:t>
      </w:r>
      <w:r w:rsidRPr="00EC20A0">
        <w:t>team</w:t>
      </w:r>
      <w:r w:rsidRPr="00EC20A0">
        <w:rPr>
          <w:spacing w:val="-3"/>
        </w:rPr>
        <w:t xml:space="preserve"> </w:t>
      </w:r>
      <w:r w:rsidRPr="00EC20A0">
        <w:t>should</w:t>
      </w:r>
      <w:r w:rsidRPr="00EC20A0">
        <w:rPr>
          <w:spacing w:val="-2"/>
        </w:rPr>
        <w:t xml:space="preserve"> </w:t>
      </w:r>
      <w:r w:rsidRPr="00EC20A0">
        <w:t>communicate</w:t>
      </w:r>
      <w:r w:rsidRPr="00EC20A0">
        <w:rPr>
          <w:spacing w:val="-2"/>
        </w:rPr>
        <w:t xml:space="preserve"> </w:t>
      </w:r>
      <w:r w:rsidRPr="00EC20A0">
        <w:t>this</w:t>
      </w:r>
      <w:r w:rsidRPr="00EC20A0">
        <w:rPr>
          <w:spacing w:val="-3"/>
        </w:rPr>
        <w:t xml:space="preserve"> </w:t>
      </w:r>
      <w:r w:rsidRPr="00EC20A0">
        <w:t>on</w:t>
      </w:r>
      <w:r w:rsidRPr="00EC20A0">
        <w:rPr>
          <w:spacing w:val="-2"/>
        </w:rPr>
        <w:t xml:space="preserve"> </w:t>
      </w:r>
      <w:r w:rsidRPr="00EC20A0">
        <w:t>a</w:t>
      </w:r>
      <w:r w:rsidRPr="00EC20A0">
        <w:rPr>
          <w:spacing w:val="-2"/>
        </w:rPr>
        <w:t xml:space="preserve"> </w:t>
      </w:r>
      <w:r w:rsidRPr="00EC20A0">
        <w:t>timely</w:t>
      </w:r>
      <w:r w:rsidRPr="00EC20A0">
        <w:rPr>
          <w:spacing w:val="-3"/>
        </w:rPr>
        <w:t xml:space="preserve"> </w:t>
      </w:r>
      <w:r w:rsidRPr="00EC20A0">
        <w:t>basis</w:t>
      </w:r>
      <w:r w:rsidRPr="00EC20A0">
        <w:rPr>
          <w:spacing w:val="-2"/>
        </w:rPr>
        <w:t xml:space="preserve"> </w:t>
      </w:r>
      <w:r w:rsidRPr="00EC20A0">
        <w:t>to the</w:t>
      </w:r>
      <w:r w:rsidRPr="00EC20A0">
        <w:rPr>
          <w:spacing w:val="-4"/>
        </w:rPr>
        <w:t xml:space="preserve"> </w:t>
      </w:r>
      <w:r w:rsidRPr="00EC20A0">
        <w:t>appropriate</w:t>
      </w:r>
      <w:r w:rsidRPr="00EC20A0">
        <w:rPr>
          <w:spacing w:val="-4"/>
        </w:rPr>
        <w:t xml:space="preserve"> </w:t>
      </w:r>
      <w:r w:rsidRPr="00EC20A0">
        <w:t>level</w:t>
      </w:r>
      <w:r w:rsidRPr="00EC20A0">
        <w:rPr>
          <w:spacing w:val="-4"/>
        </w:rPr>
        <w:t xml:space="preserve"> </w:t>
      </w:r>
      <w:r w:rsidRPr="00EC20A0">
        <w:t>of</w:t>
      </w:r>
      <w:r w:rsidRPr="00EC20A0">
        <w:rPr>
          <w:spacing w:val="-4"/>
        </w:rPr>
        <w:t xml:space="preserve"> </w:t>
      </w:r>
      <w:r w:rsidRPr="00EC20A0">
        <w:t>group</w:t>
      </w:r>
      <w:r w:rsidRPr="00EC20A0">
        <w:rPr>
          <w:spacing w:val="-4"/>
        </w:rPr>
        <w:t xml:space="preserve"> </w:t>
      </w:r>
      <w:r w:rsidRPr="00EC20A0">
        <w:t>management</w:t>
      </w:r>
      <w:r w:rsidRPr="00EC20A0">
        <w:rPr>
          <w:spacing w:val="-4"/>
        </w:rPr>
        <w:t xml:space="preserve"> </w:t>
      </w:r>
      <w:r w:rsidRPr="00EC20A0">
        <w:t>in</w:t>
      </w:r>
      <w:r w:rsidRPr="00EC20A0">
        <w:rPr>
          <w:spacing w:val="-4"/>
        </w:rPr>
        <w:t xml:space="preserve"> </w:t>
      </w:r>
      <w:r w:rsidRPr="00EC20A0">
        <w:t>order</w:t>
      </w:r>
      <w:r w:rsidRPr="00EC20A0">
        <w:rPr>
          <w:spacing w:val="-4"/>
        </w:rPr>
        <w:t xml:space="preserve"> </w:t>
      </w:r>
      <w:r w:rsidRPr="00EC20A0">
        <w:t>to</w:t>
      </w:r>
      <w:r w:rsidRPr="00EC20A0">
        <w:rPr>
          <w:spacing w:val="-4"/>
        </w:rPr>
        <w:t xml:space="preserve"> </w:t>
      </w:r>
      <w:r w:rsidRPr="00EC20A0">
        <w:t>inform</w:t>
      </w:r>
      <w:r w:rsidRPr="00EC20A0">
        <w:rPr>
          <w:spacing w:val="-4"/>
        </w:rPr>
        <w:t xml:space="preserve"> </w:t>
      </w:r>
      <w:r w:rsidRPr="00EC20A0">
        <w:t>those</w:t>
      </w:r>
      <w:r w:rsidRPr="00EC20A0">
        <w:rPr>
          <w:spacing w:val="-4"/>
        </w:rPr>
        <w:t xml:space="preserve"> </w:t>
      </w:r>
      <w:r w:rsidRPr="00EC20A0">
        <w:t>with</w:t>
      </w:r>
      <w:r w:rsidRPr="00EC20A0">
        <w:rPr>
          <w:spacing w:val="-4"/>
        </w:rPr>
        <w:t xml:space="preserve"> </w:t>
      </w:r>
      <w:r w:rsidRPr="00EC20A0">
        <w:t>primary responsibility for preventing and detecting fraud of matters relevant to their responsibilities (AU-C 600A.47).</w:t>
      </w:r>
    </w:p>
    <w:p w14:paraId="24D60095" w14:textId="77777777" w:rsidR="00245300" w:rsidRPr="00EC20A0" w:rsidRDefault="00F17249">
      <w:pPr>
        <w:pStyle w:val="ListParagraph"/>
        <w:numPr>
          <w:ilvl w:val="0"/>
          <w:numId w:val="214"/>
        </w:numPr>
        <w:tabs>
          <w:tab w:val="left" w:pos="1856"/>
        </w:tabs>
        <w:ind w:left="1856" w:right="507" w:hanging="719"/>
      </w:pPr>
      <w:r w:rsidRPr="00EC20A0">
        <w:t>When</w:t>
      </w:r>
      <w:r w:rsidRPr="00EC20A0">
        <w:rPr>
          <w:spacing w:val="-1"/>
        </w:rPr>
        <w:t xml:space="preserve"> </w:t>
      </w:r>
      <w:r w:rsidRPr="00EC20A0">
        <w:t>a</w:t>
      </w:r>
      <w:r w:rsidRPr="00EC20A0">
        <w:rPr>
          <w:spacing w:val="-1"/>
        </w:rPr>
        <w:t xml:space="preserve"> </w:t>
      </w:r>
      <w:r w:rsidRPr="00EC20A0">
        <w:t>component</w:t>
      </w:r>
      <w:r w:rsidRPr="00EC20A0">
        <w:rPr>
          <w:spacing w:val="-1"/>
        </w:rPr>
        <w:t xml:space="preserve"> </w:t>
      </w:r>
      <w:r w:rsidRPr="00EC20A0">
        <w:t>auditor</w:t>
      </w:r>
      <w:r w:rsidRPr="00EC20A0">
        <w:rPr>
          <w:spacing w:val="-1"/>
        </w:rPr>
        <w:t xml:space="preserve"> </w:t>
      </w:r>
      <w:r w:rsidRPr="00EC20A0">
        <w:t>has</w:t>
      </w:r>
      <w:r w:rsidRPr="00EC20A0">
        <w:rPr>
          <w:spacing w:val="-1"/>
        </w:rPr>
        <w:t xml:space="preserve"> </w:t>
      </w:r>
      <w:r w:rsidRPr="00EC20A0">
        <w:t>been</w:t>
      </w:r>
      <w:r w:rsidRPr="00EC20A0">
        <w:rPr>
          <w:spacing w:val="-1"/>
        </w:rPr>
        <w:t xml:space="preserve"> </w:t>
      </w:r>
      <w:r w:rsidRPr="00EC20A0">
        <w:t>engaged</w:t>
      </w:r>
      <w:r w:rsidRPr="00EC20A0">
        <w:rPr>
          <w:spacing w:val="-2"/>
        </w:rPr>
        <w:t xml:space="preserve"> </w:t>
      </w:r>
      <w:r w:rsidRPr="00EC20A0">
        <w:t>to</w:t>
      </w:r>
      <w:r w:rsidRPr="00EC20A0">
        <w:rPr>
          <w:spacing w:val="-1"/>
        </w:rPr>
        <w:t xml:space="preserve"> </w:t>
      </w:r>
      <w:r w:rsidRPr="00EC20A0">
        <w:t>express</w:t>
      </w:r>
      <w:r w:rsidRPr="00EC20A0">
        <w:rPr>
          <w:spacing w:val="-1"/>
        </w:rPr>
        <w:t xml:space="preserve"> </w:t>
      </w:r>
      <w:r w:rsidRPr="00EC20A0">
        <w:t>an</w:t>
      </w:r>
      <w:r w:rsidRPr="00EC20A0">
        <w:rPr>
          <w:spacing w:val="-1"/>
        </w:rPr>
        <w:t xml:space="preserve"> </w:t>
      </w:r>
      <w:r w:rsidRPr="00EC20A0">
        <w:t>audit</w:t>
      </w:r>
      <w:r w:rsidRPr="00EC20A0">
        <w:rPr>
          <w:spacing w:val="-1"/>
        </w:rPr>
        <w:t xml:space="preserve"> </w:t>
      </w:r>
      <w:r w:rsidRPr="00EC20A0">
        <w:t>opinion</w:t>
      </w:r>
      <w:r w:rsidRPr="00EC20A0">
        <w:rPr>
          <w:spacing w:val="-1"/>
        </w:rPr>
        <w:t xml:space="preserve"> </w:t>
      </w:r>
      <w:r w:rsidRPr="00EC20A0">
        <w:t>on</w:t>
      </w:r>
      <w:r w:rsidRPr="00EC20A0">
        <w:rPr>
          <w:spacing w:val="-1"/>
        </w:rPr>
        <w:t xml:space="preserve"> </w:t>
      </w:r>
      <w:r w:rsidRPr="00EC20A0">
        <w:t>the financial</w:t>
      </w:r>
      <w:r w:rsidRPr="00EC20A0">
        <w:rPr>
          <w:spacing w:val="-5"/>
        </w:rPr>
        <w:t xml:space="preserve"> </w:t>
      </w:r>
      <w:r w:rsidRPr="00EC20A0">
        <w:t>statements</w:t>
      </w:r>
      <w:r w:rsidRPr="00EC20A0">
        <w:rPr>
          <w:spacing w:val="-4"/>
        </w:rPr>
        <w:t xml:space="preserve"> </w:t>
      </w:r>
      <w:r w:rsidRPr="00EC20A0">
        <w:t>of</w:t>
      </w:r>
      <w:r w:rsidRPr="00EC20A0">
        <w:rPr>
          <w:spacing w:val="-4"/>
        </w:rPr>
        <w:t xml:space="preserve"> </w:t>
      </w:r>
      <w:r w:rsidRPr="00EC20A0">
        <w:t>a</w:t>
      </w:r>
      <w:r w:rsidRPr="00EC20A0">
        <w:rPr>
          <w:spacing w:val="-4"/>
        </w:rPr>
        <w:t xml:space="preserve"> </w:t>
      </w:r>
      <w:r w:rsidRPr="00EC20A0">
        <w:t>component,</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 xml:space="preserve">request that group management inform component </w:t>
      </w:r>
      <w:r w:rsidRPr="00EC20A0">
        <w:t>management of any matter of which the group engagement team becomes aware that may be significant to the financial statements of the component, but of which component management may be unaware. If group management refuses to communicate the matter to component management, the group</w:t>
      </w:r>
      <w:r w:rsidRPr="00EC20A0">
        <w:rPr>
          <w:spacing w:val="-1"/>
        </w:rPr>
        <w:t xml:space="preserve"> </w:t>
      </w:r>
      <w:r w:rsidRPr="00EC20A0">
        <w:t>engagement team</w:t>
      </w:r>
      <w:r w:rsidRPr="00EC20A0">
        <w:rPr>
          <w:spacing w:val="-1"/>
        </w:rPr>
        <w:t xml:space="preserve"> </w:t>
      </w:r>
      <w:r w:rsidRPr="00EC20A0">
        <w:t>should discuss the matter with those charged with governance of the group. If the matter remains unresolved, the group engagement team should refer to AU-C 600A.48.</w:t>
      </w:r>
    </w:p>
    <w:p w14:paraId="24D60096" w14:textId="77777777" w:rsidR="00245300" w:rsidRPr="00EC20A0" w:rsidRDefault="00245300">
      <w:pPr>
        <w:sectPr w:rsidR="00245300" w:rsidRPr="00EC20A0">
          <w:pgSz w:w="12240" w:h="15840"/>
          <w:pgMar w:top="1340" w:right="940" w:bottom="940" w:left="1020" w:header="721" w:footer="757" w:gutter="0"/>
          <w:cols w:space="720"/>
        </w:sectPr>
      </w:pPr>
    </w:p>
    <w:p w14:paraId="24D60097" w14:textId="77777777" w:rsidR="00245300" w:rsidRPr="00EC20A0" w:rsidRDefault="00F17249">
      <w:pPr>
        <w:pStyle w:val="ListParagraph"/>
        <w:numPr>
          <w:ilvl w:val="0"/>
          <w:numId w:val="214"/>
        </w:numPr>
        <w:tabs>
          <w:tab w:val="left" w:pos="1859"/>
        </w:tabs>
        <w:spacing w:before="121"/>
        <w:ind w:right="786" w:hanging="720"/>
      </w:pPr>
      <w:r w:rsidRPr="00EC20A0">
        <w:t xml:space="preserve">The group engagement team </w:t>
      </w:r>
      <w:r w:rsidRPr="00EC20A0">
        <w:t>should communicate the following matters—in addition</w:t>
      </w:r>
      <w:r w:rsidRPr="00EC20A0">
        <w:rPr>
          <w:spacing w:val="-4"/>
        </w:rPr>
        <w:t xml:space="preserve"> </w:t>
      </w:r>
      <w:r w:rsidRPr="00EC20A0">
        <w:t>to</w:t>
      </w:r>
      <w:r w:rsidRPr="00EC20A0">
        <w:rPr>
          <w:spacing w:val="-4"/>
        </w:rPr>
        <w:t xml:space="preserve"> </w:t>
      </w:r>
      <w:r w:rsidRPr="00EC20A0">
        <w:t>those</w:t>
      </w:r>
      <w:r w:rsidRPr="00EC20A0">
        <w:rPr>
          <w:spacing w:val="-4"/>
        </w:rPr>
        <w:t xml:space="preserve"> </w:t>
      </w:r>
      <w:r w:rsidRPr="00EC20A0">
        <w:t>discussed</w:t>
      </w:r>
      <w:r w:rsidRPr="00EC20A0">
        <w:rPr>
          <w:spacing w:val="-4"/>
        </w:rPr>
        <w:t xml:space="preserve"> </w:t>
      </w:r>
      <w:r w:rsidRPr="00EC20A0">
        <w:t>in</w:t>
      </w:r>
      <w:r w:rsidRPr="00EC20A0">
        <w:rPr>
          <w:spacing w:val="-4"/>
        </w:rPr>
        <w:t xml:space="preserve"> </w:t>
      </w:r>
      <w:r w:rsidRPr="00EC20A0">
        <w:t>FAM</w:t>
      </w:r>
      <w:r w:rsidRPr="00EC20A0">
        <w:rPr>
          <w:spacing w:val="-5"/>
        </w:rPr>
        <w:t xml:space="preserve"> </w:t>
      </w:r>
      <w:r w:rsidRPr="00EC20A0">
        <w:t>215.26</w:t>
      </w:r>
      <w:r w:rsidRPr="00EC20A0">
        <w:rPr>
          <w:spacing w:val="-4"/>
        </w:rPr>
        <w:t xml:space="preserve"> </w:t>
      </w:r>
      <w:r w:rsidRPr="00EC20A0">
        <w:t>through</w:t>
      </w:r>
      <w:r w:rsidRPr="00EC20A0">
        <w:rPr>
          <w:spacing w:val="-4"/>
        </w:rPr>
        <w:t xml:space="preserve"> </w:t>
      </w:r>
      <w:r w:rsidRPr="00EC20A0">
        <w:t>.38—to</w:t>
      </w:r>
      <w:r w:rsidRPr="00EC20A0">
        <w:rPr>
          <w:spacing w:val="-4"/>
        </w:rPr>
        <w:t xml:space="preserve"> </w:t>
      </w:r>
      <w:r w:rsidRPr="00EC20A0">
        <w:t>those</w:t>
      </w:r>
      <w:r w:rsidRPr="00EC20A0">
        <w:rPr>
          <w:spacing w:val="-4"/>
        </w:rPr>
        <w:t xml:space="preserve"> </w:t>
      </w:r>
      <w:r w:rsidRPr="00EC20A0">
        <w:t>charged</w:t>
      </w:r>
      <w:r w:rsidRPr="00EC20A0">
        <w:rPr>
          <w:spacing w:val="-4"/>
        </w:rPr>
        <w:t xml:space="preserve"> </w:t>
      </w:r>
      <w:r w:rsidRPr="00EC20A0">
        <w:t>with governance of the group (AU-C 600A.49):</w:t>
      </w:r>
    </w:p>
    <w:p w14:paraId="24D60098" w14:textId="77777777" w:rsidR="00245300" w:rsidRPr="00EC20A0" w:rsidRDefault="00F17249">
      <w:pPr>
        <w:pStyle w:val="ListParagraph"/>
        <w:numPr>
          <w:ilvl w:val="0"/>
          <w:numId w:val="205"/>
        </w:numPr>
        <w:tabs>
          <w:tab w:val="left" w:pos="2217"/>
          <w:tab w:val="left" w:pos="2219"/>
        </w:tabs>
        <w:spacing w:before="239"/>
        <w:ind w:right="609" w:hanging="361"/>
      </w:pPr>
      <w:r w:rsidRPr="00EC20A0">
        <w:t>an overview of the type of work to be performed on the financial information of the components, including the basis for the decision to make reference to the</w:t>
      </w:r>
      <w:r w:rsidRPr="00EC20A0">
        <w:rPr>
          <w:spacing w:val="-3"/>
        </w:rPr>
        <w:t xml:space="preserve"> </w:t>
      </w:r>
      <w:r w:rsidRPr="00EC20A0">
        <w:t>audit</w:t>
      </w:r>
      <w:r w:rsidRPr="00EC20A0">
        <w:rPr>
          <w:spacing w:val="-3"/>
        </w:rPr>
        <w:t xml:space="preserve"> </w:t>
      </w:r>
      <w:r w:rsidRPr="00EC20A0">
        <w:t>of</w:t>
      </w:r>
      <w:r w:rsidRPr="00EC20A0">
        <w:rPr>
          <w:spacing w:val="-4"/>
        </w:rPr>
        <w:t xml:space="preserve"> </w:t>
      </w:r>
      <w:r w:rsidRPr="00EC20A0">
        <w:t>a</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auditor’s</w:t>
      </w:r>
      <w:r w:rsidRPr="00EC20A0">
        <w:rPr>
          <w:spacing w:val="-4"/>
        </w:rPr>
        <w:t xml:space="preserve"> </w:t>
      </w:r>
      <w:r w:rsidRPr="00EC20A0">
        <w:t>report</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 xml:space="preserve">financial </w:t>
      </w:r>
      <w:r w:rsidRPr="00EC20A0">
        <w:rPr>
          <w:spacing w:val="-2"/>
        </w:rPr>
        <w:t>statements;</w:t>
      </w:r>
    </w:p>
    <w:p w14:paraId="24D60099" w14:textId="77777777" w:rsidR="00245300" w:rsidRPr="00EC20A0" w:rsidRDefault="00F17249">
      <w:pPr>
        <w:pStyle w:val="ListParagraph"/>
        <w:numPr>
          <w:ilvl w:val="0"/>
          <w:numId w:val="205"/>
        </w:numPr>
        <w:tabs>
          <w:tab w:val="left" w:pos="2219"/>
        </w:tabs>
        <w:ind w:right="857"/>
      </w:pPr>
      <w:r w:rsidRPr="00EC20A0">
        <w:t>an overview of the nature of the group engagement team’s planned involvement</w:t>
      </w:r>
      <w:r w:rsidRPr="00EC20A0">
        <w:rPr>
          <w:spacing w:val="-5"/>
        </w:rPr>
        <w:t xml:space="preserve"> </w:t>
      </w:r>
      <w:r w:rsidRPr="00EC20A0">
        <w:t>in</w:t>
      </w:r>
      <w:r w:rsidRPr="00EC20A0">
        <w:rPr>
          <w:spacing w:val="-4"/>
        </w:rPr>
        <w:t xml:space="preserve"> </w:t>
      </w:r>
      <w:r w:rsidRPr="00EC20A0">
        <w:t>the</w:t>
      </w:r>
      <w:r w:rsidRPr="00EC20A0">
        <w:rPr>
          <w:spacing w:val="-4"/>
        </w:rPr>
        <w:t xml:space="preserve"> </w:t>
      </w:r>
      <w:r w:rsidRPr="00EC20A0">
        <w:t>work</w:t>
      </w:r>
      <w:r w:rsidRPr="00EC20A0">
        <w:rPr>
          <w:spacing w:val="-5"/>
        </w:rPr>
        <w:t xml:space="preserve"> </w:t>
      </w:r>
      <w:r w:rsidRPr="00EC20A0">
        <w:t>that</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3"/>
        </w:rPr>
        <w:t xml:space="preserve"> </w:t>
      </w:r>
      <w:r w:rsidRPr="00EC20A0">
        <w:t>are</w:t>
      </w:r>
      <w:r w:rsidRPr="00EC20A0">
        <w:rPr>
          <w:spacing w:val="-4"/>
        </w:rPr>
        <w:t xml:space="preserve"> </w:t>
      </w:r>
      <w:r w:rsidRPr="00EC20A0">
        <w:t>to</w:t>
      </w:r>
      <w:r w:rsidRPr="00EC20A0">
        <w:rPr>
          <w:spacing w:val="-4"/>
        </w:rPr>
        <w:t xml:space="preserve"> </w:t>
      </w:r>
      <w:r w:rsidRPr="00EC20A0">
        <w:t>perform</w:t>
      </w:r>
      <w:r w:rsidRPr="00EC20A0">
        <w:rPr>
          <w:spacing w:val="-5"/>
        </w:rPr>
        <w:t xml:space="preserve"> </w:t>
      </w:r>
      <w:r w:rsidRPr="00EC20A0">
        <w:t>on</w:t>
      </w:r>
      <w:r w:rsidRPr="00EC20A0">
        <w:rPr>
          <w:spacing w:val="-4"/>
        </w:rPr>
        <w:t xml:space="preserve"> </w:t>
      </w:r>
      <w:r w:rsidRPr="00EC20A0">
        <w:t>the financial information of significant components;</w:t>
      </w:r>
    </w:p>
    <w:p w14:paraId="24D6009A" w14:textId="77777777" w:rsidR="00245300" w:rsidRPr="00EC20A0" w:rsidRDefault="00F17249">
      <w:pPr>
        <w:pStyle w:val="ListParagraph"/>
        <w:numPr>
          <w:ilvl w:val="0"/>
          <w:numId w:val="205"/>
        </w:numPr>
        <w:tabs>
          <w:tab w:val="left" w:pos="2219"/>
        </w:tabs>
        <w:spacing w:before="241"/>
        <w:ind w:right="647"/>
      </w:pPr>
      <w:r w:rsidRPr="00EC20A0">
        <w:t>instances</w:t>
      </w:r>
      <w:r w:rsidRPr="00EC20A0">
        <w:rPr>
          <w:spacing w:val="-4"/>
        </w:rPr>
        <w:t xml:space="preserve"> </w:t>
      </w:r>
      <w:r w:rsidRPr="00EC20A0">
        <w:t>in</w:t>
      </w:r>
      <w:r w:rsidRPr="00EC20A0">
        <w:rPr>
          <w:spacing w:val="-5"/>
        </w:rPr>
        <w:t xml:space="preserve"> </w:t>
      </w:r>
      <w:r w:rsidRPr="00EC20A0">
        <w:t>which</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3"/>
        </w:rPr>
        <w:t xml:space="preserve"> </w:t>
      </w:r>
      <w:r w:rsidRPr="00EC20A0">
        <w:t>team’s</w:t>
      </w:r>
      <w:r w:rsidRPr="00EC20A0">
        <w:rPr>
          <w:spacing w:val="-4"/>
        </w:rPr>
        <w:t xml:space="preserve"> </w:t>
      </w:r>
      <w:r w:rsidRPr="00EC20A0">
        <w:t>evaluation</w:t>
      </w:r>
      <w:r w:rsidRPr="00EC20A0">
        <w:rPr>
          <w:spacing w:val="-5"/>
        </w:rPr>
        <w:t xml:space="preserve"> </w:t>
      </w:r>
      <w:r w:rsidRPr="00EC20A0">
        <w:t>of</w:t>
      </w:r>
      <w:r w:rsidRPr="00EC20A0">
        <w:rPr>
          <w:spacing w:val="-4"/>
        </w:rPr>
        <w:t xml:space="preserve"> </w:t>
      </w:r>
      <w:r w:rsidRPr="00EC20A0">
        <w:t>a</w:t>
      </w:r>
      <w:r w:rsidRPr="00EC20A0">
        <w:rPr>
          <w:spacing w:val="-4"/>
        </w:rPr>
        <w:t xml:space="preserve"> </w:t>
      </w:r>
      <w:r w:rsidRPr="00EC20A0">
        <w:t>component auditor’s</w:t>
      </w:r>
      <w:r w:rsidRPr="00EC20A0">
        <w:rPr>
          <w:spacing w:val="-3"/>
        </w:rPr>
        <w:t xml:space="preserve"> </w:t>
      </w:r>
      <w:r w:rsidRPr="00EC20A0">
        <w:t>work</w:t>
      </w:r>
      <w:r w:rsidRPr="00EC20A0">
        <w:rPr>
          <w:spacing w:val="-3"/>
        </w:rPr>
        <w:t xml:space="preserve"> </w:t>
      </w:r>
      <w:r w:rsidRPr="00EC20A0">
        <w:t>gave</w:t>
      </w:r>
      <w:r w:rsidRPr="00EC20A0">
        <w:rPr>
          <w:spacing w:val="-3"/>
        </w:rPr>
        <w:t xml:space="preserve"> </w:t>
      </w:r>
      <w:r w:rsidRPr="00EC20A0">
        <w:t>rise</w:t>
      </w:r>
      <w:r w:rsidRPr="00EC20A0">
        <w:rPr>
          <w:spacing w:val="-6"/>
        </w:rPr>
        <w:t xml:space="preserve"> </w:t>
      </w:r>
      <w:r w:rsidRPr="00EC20A0">
        <w:t>to</w:t>
      </w:r>
      <w:r w:rsidRPr="00EC20A0">
        <w:rPr>
          <w:spacing w:val="-3"/>
        </w:rPr>
        <w:t xml:space="preserve"> </w:t>
      </w:r>
      <w:r w:rsidRPr="00EC20A0">
        <w:t>a</w:t>
      </w:r>
      <w:r w:rsidRPr="00EC20A0">
        <w:rPr>
          <w:spacing w:val="-3"/>
        </w:rPr>
        <w:t xml:space="preserve"> </w:t>
      </w:r>
      <w:r w:rsidRPr="00EC20A0">
        <w:t>concern</w:t>
      </w:r>
      <w:r w:rsidRPr="00EC20A0">
        <w:rPr>
          <w:spacing w:val="-4"/>
        </w:rPr>
        <w:t xml:space="preserve"> </w:t>
      </w:r>
      <w:r w:rsidRPr="00EC20A0">
        <w:t>about</w:t>
      </w:r>
      <w:r w:rsidRPr="00EC20A0">
        <w:rPr>
          <w:spacing w:val="-3"/>
        </w:rPr>
        <w:t xml:space="preserve"> </w:t>
      </w:r>
      <w:r w:rsidRPr="00EC20A0">
        <w:t>the</w:t>
      </w:r>
      <w:r w:rsidRPr="00EC20A0">
        <w:rPr>
          <w:spacing w:val="-3"/>
        </w:rPr>
        <w:t xml:space="preserve"> </w:t>
      </w:r>
      <w:r w:rsidRPr="00EC20A0">
        <w:t>quality</w:t>
      </w:r>
      <w:r w:rsidRPr="00EC20A0">
        <w:rPr>
          <w:spacing w:val="-3"/>
        </w:rPr>
        <w:t xml:space="preserve"> </w:t>
      </w:r>
      <w:r w:rsidRPr="00EC20A0">
        <w:t>of</w:t>
      </w:r>
      <w:r w:rsidRPr="00EC20A0">
        <w:rPr>
          <w:spacing w:val="-3"/>
        </w:rPr>
        <w:t xml:space="preserve"> </w:t>
      </w:r>
      <w:r w:rsidRPr="00EC20A0">
        <w:t>that</w:t>
      </w:r>
      <w:r w:rsidRPr="00EC20A0">
        <w:rPr>
          <w:spacing w:val="-5"/>
        </w:rPr>
        <w:t xml:space="preserve"> </w:t>
      </w:r>
      <w:r w:rsidRPr="00EC20A0">
        <w:t>auditor’s</w:t>
      </w:r>
      <w:r w:rsidRPr="00EC20A0">
        <w:rPr>
          <w:spacing w:val="-3"/>
        </w:rPr>
        <w:t xml:space="preserve"> </w:t>
      </w:r>
      <w:r w:rsidRPr="00EC20A0">
        <w:t>work;</w:t>
      </w:r>
    </w:p>
    <w:p w14:paraId="24D6009B" w14:textId="77777777" w:rsidR="00245300" w:rsidRPr="00EC20A0" w:rsidRDefault="00F17249">
      <w:pPr>
        <w:pStyle w:val="ListParagraph"/>
        <w:numPr>
          <w:ilvl w:val="0"/>
          <w:numId w:val="205"/>
        </w:numPr>
        <w:tabs>
          <w:tab w:val="left" w:pos="2219"/>
        </w:tabs>
        <w:ind w:right="623"/>
      </w:pPr>
      <w:r w:rsidRPr="00EC20A0">
        <w:t>any</w:t>
      </w:r>
      <w:r w:rsidRPr="00EC20A0">
        <w:rPr>
          <w:spacing w:val="-4"/>
        </w:rPr>
        <w:t xml:space="preserve"> </w:t>
      </w:r>
      <w:r w:rsidRPr="00EC20A0">
        <w:t>limitations</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audit</w:t>
      </w:r>
      <w:r w:rsidRPr="00EC20A0">
        <w:rPr>
          <w:spacing w:val="-4"/>
        </w:rPr>
        <w:t xml:space="preserve"> </w:t>
      </w:r>
      <w:r w:rsidRPr="00EC20A0">
        <w:t>(for</w:t>
      </w:r>
      <w:r w:rsidRPr="00EC20A0">
        <w:rPr>
          <w:spacing w:val="-4"/>
        </w:rPr>
        <w:t xml:space="preserve"> </w:t>
      </w:r>
      <w:r w:rsidRPr="00EC20A0">
        <w:t>example,</w:t>
      </w:r>
      <w:r w:rsidRPr="00EC20A0">
        <w:rPr>
          <w:spacing w:val="-4"/>
        </w:rPr>
        <w:t xml:space="preserve"> </w:t>
      </w:r>
      <w:r w:rsidRPr="00EC20A0">
        <w:t>when</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 team’s access to information may have been restricted); and</w:t>
      </w:r>
    </w:p>
    <w:p w14:paraId="24D6009C" w14:textId="77777777" w:rsidR="00245300" w:rsidRPr="00EC20A0" w:rsidRDefault="00F17249">
      <w:pPr>
        <w:pStyle w:val="ListParagraph"/>
        <w:numPr>
          <w:ilvl w:val="0"/>
          <w:numId w:val="205"/>
        </w:numPr>
        <w:tabs>
          <w:tab w:val="left" w:pos="2218"/>
        </w:tabs>
        <w:spacing w:before="239"/>
        <w:ind w:left="2218" w:right="699"/>
      </w:pPr>
      <w:r w:rsidRPr="00EC20A0">
        <w:t>fraud or suspected fraud involving group management, component management,</w:t>
      </w:r>
      <w:r w:rsidRPr="00EC20A0">
        <w:rPr>
          <w:spacing w:val="-1"/>
        </w:rPr>
        <w:t xml:space="preserve"> </w:t>
      </w:r>
      <w:r w:rsidRPr="00EC20A0">
        <w:t>employees</w:t>
      </w:r>
      <w:r w:rsidRPr="00EC20A0">
        <w:rPr>
          <w:spacing w:val="-1"/>
        </w:rPr>
        <w:t xml:space="preserve"> </w:t>
      </w:r>
      <w:r w:rsidRPr="00EC20A0">
        <w:t>who</w:t>
      </w:r>
      <w:r w:rsidRPr="00EC20A0">
        <w:rPr>
          <w:spacing w:val="-1"/>
        </w:rPr>
        <w:t xml:space="preserve"> </w:t>
      </w:r>
      <w:r w:rsidRPr="00EC20A0">
        <w:t>have</w:t>
      </w:r>
      <w:r w:rsidRPr="00EC20A0">
        <w:rPr>
          <w:spacing w:val="-2"/>
        </w:rPr>
        <w:t xml:space="preserve"> </w:t>
      </w:r>
      <w:r w:rsidRPr="00EC20A0">
        <w:t>significant</w:t>
      </w:r>
      <w:r w:rsidRPr="00EC20A0">
        <w:rPr>
          <w:spacing w:val="-1"/>
        </w:rPr>
        <w:t xml:space="preserve"> </w:t>
      </w:r>
      <w:r w:rsidRPr="00EC20A0">
        <w:t>roles</w:t>
      </w:r>
      <w:r w:rsidRPr="00EC20A0">
        <w:rPr>
          <w:spacing w:val="-1"/>
        </w:rPr>
        <w:t xml:space="preserve"> </w:t>
      </w:r>
      <w:r w:rsidRPr="00EC20A0">
        <w:t>in</w:t>
      </w:r>
      <w:r w:rsidRPr="00EC20A0">
        <w:rPr>
          <w:spacing w:val="-1"/>
        </w:rPr>
        <w:t xml:space="preserve"> </w:t>
      </w:r>
      <w:r w:rsidRPr="00EC20A0">
        <w:t>group-wide</w:t>
      </w:r>
      <w:r w:rsidRPr="00EC20A0">
        <w:rPr>
          <w:spacing w:val="-1"/>
        </w:rPr>
        <w:t xml:space="preserve"> </w:t>
      </w:r>
      <w:r w:rsidRPr="00EC20A0">
        <w:t>controls, or</w:t>
      </w:r>
      <w:r w:rsidRPr="00EC20A0">
        <w:rPr>
          <w:spacing w:val="-4"/>
        </w:rPr>
        <w:t xml:space="preserve"> </w:t>
      </w:r>
      <w:r w:rsidRPr="00EC20A0">
        <w:t>others</w:t>
      </w:r>
      <w:r w:rsidRPr="00EC20A0">
        <w:rPr>
          <w:spacing w:val="-4"/>
        </w:rPr>
        <w:t xml:space="preserve"> </w:t>
      </w:r>
      <w:r w:rsidRPr="00EC20A0">
        <w:t>in</w:t>
      </w:r>
      <w:r w:rsidRPr="00EC20A0">
        <w:rPr>
          <w:spacing w:val="-5"/>
        </w:rPr>
        <w:t xml:space="preserve"> </w:t>
      </w:r>
      <w:r w:rsidRPr="00EC20A0">
        <w:t>which</w:t>
      </w:r>
      <w:r w:rsidRPr="00EC20A0">
        <w:rPr>
          <w:spacing w:val="-4"/>
        </w:rPr>
        <w:t xml:space="preserve"> </w:t>
      </w:r>
      <w:r w:rsidRPr="00EC20A0">
        <w:t>a</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financial</w:t>
      </w:r>
      <w:r w:rsidRPr="00EC20A0">
        <w:rPr>
          <w:spacing w:val="-4"/>
        </w:rPr>
        <w:t xml:space="preserve"> </w:t>
      </w:r>
      <w:r w:rsidRPr="00EC20A0">
        <w:t>statements has or may have resulted from fraud.</w:t>
      </w:r>
    </w:p>
    <w:p w14:paraId="24D6009D" w14:textId="77777777" w:rsidR="00245300" w:rsidRPr="00EC20A0" w:rsidRDefault="00F17249">
      <w:pPr>
        <w:pStyle w:val="Heading4"/>
        <w:spacing w:before="241"/>
      </w:pPr>
      <w:r w:rsidRPr="00EC20A0">
        <w:rPr>
          <w:spacing w:val="-2"/>
        </w:rPr>
        <w:t>Documentation</w:t>
      </w:r>
    </w:p>
    <w:p w14:paraId="24D6009E" w14:textId="77777777" w:rsidR="00245300" w:rsidRPr="00EC20A0" w:rsidRDefault="00F17249">
      <w:pPr>
        <w:pStyle w:val="ListParagraph"/>
        <w:numPr>
          <w:ilvl w:val="0"/>
          <w:numId w:val="214"/>
        </w:numPr>
        <w:tabs>
          <w:tab w:val="left" w:pos="1859"/>
        </w:tabs>
        <w:ind w:right="1690" w:hanging="720"/>
      </w:pP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include</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audit documentation (AU-C 600A.50):</w:t>
      </w:r>
    </w:p>
    <w:p w14:paraId="24D6009F" w14:textId="77777777" w:rsidR="00245300" w:rsidRPr="00EC20A0" w:rsidRDefault="00F17249">
      <w:pPr>
        <w:pStyle w:val="ListParagraph"/>
        <w:numPr>
          <w:ilvl w:val="0"/>
          <w:numId w:val="204"/>
        </w:numPr>
        <w:tabs>
          <w:tab w:val="left" w:pos="2219"/>
        </w:tabs>
        <w:spacing w:before="239"/>
        <w:ind w:right="501"/>
      </w:pPr>
      <w:r w:rsidRPr="00EC20A0">
        <w:t>an</w:t>
      </w:r>
      <w:r w:rsidRPr="00EC20A0">
        <w:rPr>
          <w:spacing w:val="-4"/>
        </w:rPr>
        <w:t xml:space="preserve"> </w:t>
      </w:r>
      <w:r w:rsidRPr="00EC20A0">
        <w:t>analysis</w:t>
      </w:r>
      <w:r w:rsidRPr="00EC20A0">
        <w:rPr>
          <w:spacing w:val="-5"/>
        </w:rPr>
        <w:t xml:space="preserve"> </w:t>
      </w:r>
      <w:r w:rsidRPr="00EC20A0">
        <w:t>of</w:t>
      </w:r>
      <w:r w:rsidRPr="00EC20A0">
        <w:rPr>
          <w:spacing w:val="-4"/>
        </w:rPr>
        <w:t xml:space="preserve"> </w:t>
      </w:r>
      <w:r w:rsidRPr="00EC20A0">
        <w:t>components</w:t>
      </w:r>
      <w:r w:rsidRPr="00EC20A0">
        <w:rPr>
          <w:spacing w:val="-3"/>
        </w:rPr>
        <w:t xml:space="preserve"> </w:t>
      </w:r>
      <w:r w:rsidRPr="00EC20A0">
        <w:t>indicating</w:t>
      </w:r>
      <w:r w:rsidRPr="00EC20A0">
        <w:rPr>
          <w:spacing w:val="-4"/>
        </w:rPr>
        <w:t xml:space="preserve"> </w:t>
      </w:r>
      <w:r w:rsidRPr="00EC20A0">
        <w:t>those</w:t>
      </w:r>
      <w:r w:rsidRPr="00EC20A0">
        <w:rPr>
          <w:spacing w:val="-4"/>
        </w:rPr>
        <w:t xml:space="preserve"> </w:t>
      </w:r>
      <w:r w:rsidRPr="00EC20A0">
        <w:t>that</w:t>
      </w:r>
      <w:r w:rsidRPr="00EC20A0">
        <w:rPr>
          <w:spacing w:val="-5"/>
        </w:rPr>
        <w:t xml:space="preserve"> </w:t>
      </w:r>
      <w:r w:rsidRPr="00EC20A0">
        <w:t>are</w:t>
      </w:r>
      <w:r w:rsidRPr="00EC20A0">
        <w:rPr>
          <w:spacing w:val="-4"/>
        </w:rPr>
        <w:t xml:space="preserve"> </w:t>
      </w:r>
      <w:r w:rsidRPr="00EC20A0">
        <w:t>significant</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type</w:t>
      </w:r>
      <w:r w:rsidRPr="00EC20A0">
        <w:rPr>
          <w:spacing w:val="-4"/>
        </w:rPr>
        <w:t xml:space="preserve"> </w:t>
      </w:r>
      <w:r w:rsidRPr="00EC20A0">
        <w:t>of work performed on the financial information of the components;</w:t>
      </w:r>
    </w:p>
    <w:p w14:paraId="24D600A0" w14:textId="77777777" w:rsidR="00245300" w:rsidRPr="00EC20A0" w:rsidRDefault="00F17249">
      <w:pPr>
        <w:pStyle w:val="ListParagraph"/>
        <w:numPr>
          <w:ilvl w:val="0"/>
          <w:numId w:val="204"/>
        </w:numPr>
        <w:tabs>
          <w:tab w:val="left" w:pos="2217"/>
          <w:tab w:val="left" w:pos="2219"/>
        </w:tabs>
        <w:spacing w:before="241"/>
        <w:ind w:right="511" w:hanging="361"/>
      </w:pPr>
      <w:r w:rsidRPr="00EC20A0">
        <w:t>those</w:t>
      </w:r>
      <w:r w:rsidRPr="00EC20A0">
        <w:rPr>
          <w:spacing w:val="-4"/>
        </w:rPr>
        <w:t xml:space="preserve"> </w:t>
      </w:r>
      <w:r w:rsidRPr="00EC20A0">
        <w:t>components</w:t>
      </w:r>
      <w:r w:rsidRPr="00EC20A0">
        <w:rPr>
          <w:spacing w:val="-3"/>
        </w:rPr>
        <w:t xml:space="preserve"> </w:t>
      </w:r>
      <w:r w:rsidRPr="00EC20A0">
        <w:t>for</w:t>
      </w:r>
      <w:r w:rsidRPr="00EC20A0">
        <w:rPr>
          <w:spacing w:val="-4"/>
        </w:rPr>
        <w:t xml:space="preserve"> </w:t>
      </w:r>
      <w:r w:rsidRPr="00EC20A0">
        <w:t>which</w:t>
      </w:r>
      <w:r w:rsidRPr="00EC20A0">
        <w:rPr>
          <w:spacing w:val="-4"/>
        </w:rPr>
        <w:t xml:space="preserve"> </w:t>
      </w:r>
      <w:r w:rsidRPr="00EC20A0">
        <w:t>reference</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reports</w:t>
      </w:r>
      <w:r w:rsidRPr="00EC20A0">
        <w:rPr>
          <w:spacing w:val="-4"/>
        </w:rPr>
        <w:t xml:space="preserve"> </w:t>
      </w:r>
      <w:r w:rsidRPr="00EC20A0">
        <w:t>of</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 xml:space="preserve">is made in the auditor’s report on the </w:t>
      </w:r>
      <w:r w:rsidRPr="00EC20A0">
        <w:t>group financial statements;</w:t>
      </w:r>
    </w:p>
    <w:p w14:paraId="24D600A1" w14:textId="77777777" w:rsidR="00245300" w:rsidRPr="00EC20A0" w:rsidRDefault="00F17249">
      <w:pPr>
        <w:pStyle w:val="ListParagraph"/>
        <w:numPr>
          <w:ilvl w:val="0"/>
          <w:numId w:val="204"/>
        </w:numPr>
        <w:tabs>
          <w:tab w:val="left" w:pos="2219"/>
        </w:tabs>
        <w:ind w:right="696"/>
      </w:pPr>
      <w:r w:rsidRPr="00EC20A0">
        <w:t>written communications between the group engagement team and the component</w:t>
      </w:r>
      <w:r w:rsidRPr="00EC20A0">
        <w:rPr>
          <w:spacing w:val="-5"/>
        </w:rPr>
        <w:t xml:space="preserve"> </w:t>
      </w:r>
      <w:r w:rsidRPr="00EC20A0">
        <w:t>auditors</w:t>
      </w:r>
      <w:r w:rsidRPr="00EC20A0">
        <w:rPr>
          <w:spacing w:val="-5"/>
        </w:rPr>
        <w:t xml:space="preserve"> </w:t>
      </w:r>
      <w:r w:rsidRPr="00EC20A0">
        <w:t>about</w:t>
      </w:r>
      <w:r w:rsidRPr="00EC20A0">
        <w:rPr>
          <w:spacing w:val="-5"/>
        </w:rPr>
        <w:t xml:space="preserve"> </w:t>
      </w:r>
      <w:r w:rsidRPr="00EC20A0">
        <w:t>the</w:t>
      </w:r>
      <w:r w:rsidRPr="00EC20A0">
        <w:rPr>
          <w:spacing w:val="-5"/>
        </w:rPr>
        <w:t xml:space="preserve"> </w:t>
      </w:r>
      <w:r w:rsidRPr="00EC20A0">
        <w:t>group</w:t>
      </w:r>
      <w:r w:rsidRPr="00EC20A0">
        <w:rPr>
          <w:spacing w:val="-6"/>
        </w:rPr>
        <w:t xml:space="preserve"> </w:t>
      </w:r>
      <w:r w:rsidRPr="00EC20A0">
        <w:t>engagement</w:t>
      </w:r>
      <w:r w:rsidRPr="00EC20A0">
        <w:rPr>
          <w:spacing w:val="-5"/>
        </w:rPr>
        <w:t xml:space="preserve"> </w:t>
      </w:r>
      <w:r w:rsidRPr="00EC20A0">
        <w:t>team’s</w:t>
      </w:r>
      <w:r w:rsidRPr="00EC20A0">
        <w:rPr>
          <w:spacing w:val="-5"/>
        </w:rPr>
        <w:t xml:space="preserve"> </w:t>
      </w:r>
      <w:r w:rsidRPr="00EC20A0">
        <w:t>requirements;</w:t>
      </w:r>
      <w:r w:rsidRPr="00EC20A0">
        <w:rPr>
          <w:spacing w:val="-5"/>
        </w:rPr>
        <w:t xml:space="preserve"> </w:t>
      </w:r>
      <w:r w:rsidRPr="00EC20A0">
        <w:t>and</w:t>
      </w:r>
    </w:p>
    <w:p w14:paraId="24D600A2" w14:textId="77777777" w:rsidR="00245300" w:rsidRPr="00EC20A0" w:rsidRDefault="00F17249">
      <w:pPr>
        <w:pStyle w:val="ListParagraph"/>
        <w:numPr>
          <w:ilvl w:val="0"/>
          <w:numId w:val="204"/>
        </w:numPr>
        <w:tabs>
          <w:tab w:val="left" w:pos="2218"/>
          <w:tab w:val="left" w:pos="2220"/>
        </w:tabs>
        <w:spacing w:before="239"/>
        <w:ind w:left="2220" w:right="745" w:hanging="361"/>
      </w:pPr>
      <w:r w:rsidRPr="00EC20A0">
        <w:t>for</w:t>
      </w:r>
      <w:r w:rsidRPr="00EC20A0">
        <w:rPr>
          <w:spacing w:val="-3"/>
        </w:rPr>
        <w:t xml:space="preserve"> </w:t>
      </w:r>
      <w:r w:rsidRPr="00EC20A0">
        <w:t>those</w:t>
      </w:r>
      <w:r w:rsidRPr="00EC20A0">
        <w:rPr>
          <w:spacing w:val="-3"/>
        </w:rPr>
        <w:t xml:space="preserve"> </w:t>
      </w:r>
      <w:r w:rsidRPr="00EC20A0">
        <w:t>components</w:t>
      </w:r>
      <w:r w:rsidRPr="00EC20A0">
        <w:rPr>
          <w:spacing w:val="-2"/>
        </w:rPr>
        <w:t xml:space="preserve"> </w:t>
      </w:r>
      <w:r w:rsidRPr="00EC20A0">
        <w:t>for</w:t>
      </w:r>
      <w:r w:rsidRPr="00EC20A0">
        <w:rPr>
          <w:spacing w:val="-3"/>
        </w:rPr>
        <w:t xml:space="preserve"> </w:t>
      </w:r>
      <w:r w:rsidRPr="00EC20A0">
        <w:t>which</w:t>
      </w:r>
      <w:r w:rsidRPr="00EC20A0">
        <w:rPr>
          <w:spacing w:val="-3"/>
        </w:rPr>
        <w:t xml:space="preserve"> </w:t>
      </w:r>
      <w:r w:rsidRPr="00EC20A0">
        <w:t>reference</w:t>
      </w:r>
      <w:r w:rsidRPr="00EC20A0">
        <w:rPr>
          <w:spacing w:val="-3"/>
        </w:rPr>
        <w:t xml:space="preserve"> </w:t>
      </w:r>
      <w:r w:rsidRPr="00EC20A0">
        <w:t>is</w:t>
      </w:r>
      <w:r w:rsidRPr="00EC20A0">
        <w:rPr>
          <w:spacing w:val="-3"/>
        </w:rPr>
        <w:t xml:space="preserve"> </w:t>
      </w:r>
      <w:r w:rsidRPr="00EC20A0">
        <w:t>made</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report</w:t>
      </w:r>
      <w:r w:rsidRPr="00EC20A0">
        <w:rPr>
          <w:spacing w:val="-5"/>
        </w:rPr>
        <w:t xml:space="preserve"> </w:t>
      </w:r>
      <w:r w:rsidRPr="00EC20A0">
        <w:t xml:space="preserve">on the group </w:t>
      </w:r>
      <w:r w:rsidRPr="00EC20A0">
        <w:t>financial statements to the audit of a component auditor,</w:t>
      </w:r>
    </w:p>
    <w:p w14:paraId="24D600A3" w14:textId="77777777" w:rsidR="00245300" w:rsidRPr="00EC20A0" w:rsidRDefault="00F17249">
      <w:pPr>
        <w:pStyle w:val="ListParagraph"/>
        <w:numPr>
          <w:ilvl w:val="1"/>
          <w:numId w:val="204"/>
        </w:numPr>
        <w:tabs>
          <w:tab w:val="left" w:pos="2580"/>
        </w:tabs>
        <w:ind w:right="1583" w:hanging="361"/>
      </w:pPr>
      <w:r w:rsidRPr="00EC20A0">
        <w:t>the</w:t>
      </w:r>
      <w:r w:rsidRPr="00EC20A0">
        <w:rPr>
          <w:spacing w:val="-4"/>
        </w:rPr>
        <w:t xml:space="preserve"> </w:t>
      </w:r>
      <w:r w:rsidRPr="00EC20A0">
        <w:t>financial</w:t>
      </w:r>
      <w:r w:rsidRPr="00EC20A0">
        <w:rPr>
          <w:spacing w:val="-5"/>
        </w:rPr>
        <w:t xml:space="preserve"> </w:t>
      </w:r>
      <w:r w:rsidRPr="00EC20A0">
        <w:t>statements</w:t>
      </w:r>
      <w:r w:rsidRPr="00EC20A0">
        <w:rPr>
          <w:spacing w:val="-3"/>
        </w:rPr>
        <w:t xml:space="preserve"> </w:t>
      </w:r>
      <w:r w:rsidRPr="00EC20A0">
        <w:t>of</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report</w:t>
      </w:r>
      <w:r w:rsidRPr="00EC20A0">
        <w:rPr>
          <w:spacing w:val="-4"/>
        </w:rPr>
        <w:t xml:space="preserve"> </w:t>
      </w:r>
      <w:r w:rsidRPr="00EC20A0">
        <w:t>of</w:t>
      </w:r>
      <w:r w:rsidRPr="00EC20A0">
        <w:rPr>
          <w:spacing w:val="-4"/>
        </w:rPr>
        <w:t xml:space="preserve"> </w:t>
      </w:r>
      <w:r w:rsidRPr="00EC20A0">
        <w:t>the component auditor thereon and</w:t>
      </w:r>
    </w:p>
    <w:p w14:paraId="24D600A4" w14:textId="77777777" w:rsidR="00245300" w:rsidRPr="00EC20A0" w:rsidRDefault="00F17249">
      <w:pPr>
        <w:pStyle w:val="ListParagraph"/>
        <w:numPr>
          <w:ilvl w:val="1"/>
          <w:numId w:val="204"/>
        </w:numPr>
        <w:tabs>
          <w:tab w:val="left" w:pos="2579"/>
        </w:tabs>
        <w:spacing w:before="238"/>
        <w:ind w:left="2579" w:right="765"/>
      </w:pPr>
      <w:r w:rsidRPr="00EC20A0">
        <w:t xml:space="preserve">when the component auditor’s report on the component’s financial statements does not state that the </w:t>
      </w:r>
      <w:r w:rsidRPr="00EC20A0">
        <w:t>audit of the component’s financial statements was performed in accordance with GAGAS (which incorporates</w:t>
      </w:r>
      <w:r w:rsidRPr="00EC20A0">
        <w:rPr>
          <w:spacing w:val="-6"/>
        </w:rPr>
        <w:t xml:space="preserve"> </w:t>
      </w:r>
      <w:r w:rsidRPr="00EC20A0">
        <w:t>U.S.</w:t>
      </w:r>
      <w:r w:rsidRPr="00EC20A0">
        <w:rPr>
          <w:spacing w:val="-5"/>
        </w:rPr>
        <w:t xml:space="preserve"> </w:t>
      </w:r>
      <w:r w:rsidRPr="00EC20A0">
        <w:t>GAAS)</w:t>
      </w:r>
      <w:r w:rsidRPr="00EC20A0">
        <w:rPr>
          <w:spacing w:val="-5"/>
        </w:rPr>
        <w:t xml:space="preserve"> </w:t>
      </w:r>
      <w:r w:rsidRPr="00EC20A0">
        <w:t>or</w:t>
      </w:r>
      <w:r w:rsidRPr="00EC20A0">
        <w:rPr>
          <w:spacing w:val="-5"/>
        </w:rPr>
        <w:t xml:space="preserve"> </w:t>
      </w:r>
      <w:r w:rsidRPr="00EC20A0">
        <w:t>the</w:t>
      </w:r>
      <w:r w:rsidRPr="00EC20A0">
        <w:rPr>
          <w:spacing w:val="-5"/>
        </w:rPr>
        <w:t xml:space="preserve"> </w:t>
      </w:r>
      <w:r w:rsidRPr="00EC20A0">
        <w:t>standards</w:t>
      </w:r>
      <w:r w:rsidRPr="00EC20A0">
        <w:rPr>
          <w:spacing w:val="-5"/>
        </w:rPr>
        <w:t xml:space="preserve"> </w:t>
      </w:r>
      <w:r w:rsidRPr="00EC20A0">
        <w:t>promulgated</w:t>
      </w:r>
      <w:r w:rsidRPr="00EC20A0">
        <w:rPr>
          <w:spacing w:val="-4"/>
        </w:rPr>
        <w:t xml:space="preserve"> </w:t>
      </w:r>
      <w:r w:rsidRPr="00EC20A0">
        <w:t>by</w:t>
      </w:r>
      <w:r w:rsidRPr="00EC20A0">
        <w:rPr>
          <w:spacing w:val="-5"/>
        </w:rPr>
        <w:t xml:space="preserve"> </w:t>
      </w:r>
      <w:r w:rsidRPr="00EC20A0">
        <w:t>the</w:t>
      </w:r>
      <w:r w:rsidRPr="00EC20A0">
        <w:rPr>
          <w:spacing w:val="-5"/>
        </w:rPr>
        <w:t xml:space="preserve"> </w:t>
      </w:r>
      <w:r w:rsidRPr="00EC20A0">
        <w:t>PCAOB, the basis for the group engagement partner’s determination that the component auditor’s audit met the relevant requirements of GAGAS.</w:t>
      </w:r>
    </w:p>
    <w:p w14:paraId="24D600A5" w14:textId="77777777" w:rsidR="00245300" w:rsidRPr="00EC20A0" w:rsidRDefault="00245300">
      <w:pPr>
        <w:sectPr w:rsidR="00245300" w:rsidRPr="00EC20A0">
          <w:pgSz w:w="12240" w:h="15840"/>
          <w:pgMar w:top="1340" w:right="940" w:bottom="940" w:left="1020" w:header="721" w:footer="757" w:gutter="0"/>
          <w:cols w:space="720"/>
        </w:sectPr>
      </w:pPr>
    </w:p>
    <w:p w14:paraId="24D600A6" w14:textId="77777777" w:rsidR="00245300" w:rsidRPr="00EC20A0" w:rsidRDefault="00F17249">
      <w:pPr>
        <w:pStyle w:val="BodyText"/>
        <w:spacing w:before="121"/>
        <w:ind w:left="1860" w:right="656"/>
      </w:pPr>
      <w:r w:rsidRPr="00EC20A0">
        <w:t>See</w:t>
      </w:r>
      <w:r w:rsidRPr="00EC20A0">
        <w:rPr>
          <w:spacing w:val="-5"/>
        </w:rPr>
        <w:t xml:space="preserve"> </w:t>
      </w:r>
      <w:r w:rsidRPr="00EC20A0">
        <w:t>FAM</w:t>
      </w:r>
      <w:r w:rsidRPr="00EC20A0">
        <w:rPr>
          <w:spacing w:val="-5"/>
        </w:rPr>
        <w:t xml:space="preserve"> </w:t>
      </w:r>
      <w:r w:rsidRPr="00EC20A0">
        <w:t>630.74</w:t>
      </w:r>
      <w:r w:rsidRPr="00EC20A0">
        <w:rPr>
          <w:spacing w:val="-5"/>
        </w:rPr>
        <w:t xml:space="preserve"> </w:t>
      </w:r>
      <w:r w:rsidRPr="00EC20A0">
        <w:t>for</w:t>
      </w:r>
      <w:r w:rsidRPr="00EC20A0">
        <w:rPr>
          <w:spacing w:val="-5"/>
        </w:rPr>
        <w:t xml:space="preserve"> </w:t>
      </w:r>
      <w:r w:rsidRPr="00EC20A0">
        <w:t>additional</w:t>
      </w:r>
      <w:r w:rsidRPr="00EC20A0">
        <w:rPr>
          <w:spacing w:val="-5"/>
        </w:rPr>
        <w:t xml:space="preserve"> </w:t>
      </w:r>
      <w:r w:rsidRPr="00EC20A0">
        <w:t>requirements</w:t>
      </w:r>
      <w:r w:rsidRPr="00EC20A0">
        <w:rPr>
          <w:spacing w:val="-5"/>
        </w:rPr>
        <w:t xml:space="preserve"> </w:t>
      </w:r>
      <w:r w:rsidRPr="00EC20A0">
        <w:t>when</w:t>
      </w:r>
      <w:r w:rsidRPr="00EC20A0">
        <w:rPr>
          <w:spacing w:val="-5"/>
        </w:rPr>
        <w:t xml:space="preserve"> </w:t>
      </w:r>
      <w:r w:rsidRPr="00EC20A0">
        <w:t>assuming</w:t>
      </w:r>
      <w:r w:rsidRPr="00EC20A0">
        <w:rPr>
          <w:spacing w:val="-5"/>
        </w:rPr>
        <w:t xml:space="preserve"> </w:t>
      </w:r>
      <w:r w:rsidRPr="00EC20A0">
        <w:t>responsibility</w:t>
      </w:r>
      <w:r w:rsidRPr="00EC20A0">
        <w:rPr>
          <w:spacing w:val="-5"/>
        </w:rPr>
        <w:t xml:space="preserve"> </w:t>
      </w:r>
      <w:r w:rsidRPr="00EC20A0">
        <w:t>for the work of a component auditor.</w:t>
      </w:r>
    </w:p>
    <w:p w14:paraId="24D600A7" w14:textId="77777777" w:rsidR="00245300" w:rsidRPr="00EC20A0" w:rsidRDefault="00F17249">
      <w:pPr>
        <w:pStyle w:val="ListParagraph"/>
        <w:numPr>
          <w:ilvl w:val="0"/>
          <w:numId w:val="214"/>
        </w:numPr>
        <w:tabs>
          <w:tab w:val="left" w:pos="1860"/>
        </w:tabs>
        <w:spacing w:before="239"/>
        <w:ind w:left="1860" w:right="581"/>
      </w:pPr>
      <w:r w:rsidRPr="00EC20A0">
        <w:t>In addition, when the group engagement team performs additional audit procedures, the group engagement team’s documentation should contain a description</w:t>
      </w:r>
      <w:r w:rsidRPr="00EC20A0">
        <w:rPr>
          <w:spacing w:val="-6"/>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(this</w:t>
      </w:r>
      <w:r w:rsidRPr="00EC20A0">
        <w:rPr>
          <w:spacing w:val="-3"/>
        </w:rPr>
        <w:t xml:space="preserve"> </w:t>
      </w:r>
      <w:r w:rsidRPr="00EC20A0">
        <w:t>may</w:t>
      </w:r>
      <w:r w:rsidRPr="00EC20A0">
        <w:rPr>
          <w:spacing w:val="-3"/>
        </w:rPr>
        <w:t xml:space="preserve"> </w:t>
      </w:r>
      <w:r w:rsidRPr="00EC20A0">
        <w:t>be</w:t>
      </w:r>
      <w:r w:rsidRPr="00EC20A0">
        <w:rPr>
          <w:spacing w:val="-4"/>
        </w:rPr>
        <w:t xml:space="preserve"> </w:t>
      </w:r>
      <w:r w:rsidRPr="00EC20A0">
        <w:t>a</w:t>
      </w:r>
      <w:r w:rsidRPr="00EC20A0">
        <w:rPr>
          <w:spacing w:val="-3"/>
        </w:rPr>
        <w:t xml:space="preserve"> </w:t>
      </w:r>
      <w:r w:rsidRPr="00EC20A0">
        <w:t>list</w:t>
      </w:r>
      <w:r w:rsidRPr="00EC20A0">
        <w:rPr>
          <w:spacing w:val="-3"/>
        </w:rPr>
        <w:t xml:space="preserve"> </w:t>
      </w:r>
      <w:r w:rsidRPr="00EC20A0">
        <w:t>of</w:t>
      </w:r>
      <w:r w:rsidRPr="00EC20A0">
        <w:rPr>
          <w:spacing w:val="-3"/>
        </w:rPr>
        <w:t xml:space="preserve"> </w:t>
      </w:r>
      <w:r w:rsidRPr="00EC20A0">
        <w:t>the</w:t>
      </w:r>
      <w:r w:rsidRPr="00EC20A0">
        <w:rPr>
          <w:spacing w:val="-6"/>
        </w:rPr>
        <w:t xml:space="preserve"> </w:t>
      </w:r>
      <w:r w:rsidRPr="00EC20A0">
        <w:t>documents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 xml:space="preserve">examined or tick marks on a copy of the component auditor’s documentation if that is the basis for the selection) and the group </w:t>
      </w:r>
      <w:r w:rsidRPr="00EC20A0">
        <w:t>engagement team’s conclusion. It is not necessary to retain copies of the documents examined.</w:t>
      </w:r>
    </w:p>
    <w:p w14:paraId="24D600A8" w14:textId="77777777" w:rsidR="00245300" w:rsidRPr="00EC20A0" w:rsidRDefault="00F17249">
      <w:pPr>
        <w:pStyle w:val="ListParagraph"/>
        <w:numPr>
          <w:ilvl w:val="0"/>
          <w:numId w:val="214"/>
        </w:numPr>
        <w:tabs>
          <w:tab w:val="left" w:pos="1858"/>
        </w:tabs>
        <w:ind w:left="1858" w:right="556" w:hanging="719"/>
      </w:pPr>
      <w:r w:rsidRPr="00EC20A0">
        <w:t>There is a difference between the group engagement team’s responsibilities to review the documentation of component auditors and what the group engagement team may copy and retain from that documentation. The group engagement team uses professional judgment in deciding which of the component</w:t>
      </w:r>
      <w:r w:rsidRPr="00EC20A0">
        <w:rPr>
          <w:spacing w:val="-2"/>
        </w:rPr>
        <w:t xml:space="preserve"> </w:t>
      </w:r>
      <w:r w:rsidRPr="00EC20A0">
        <w:t>auditor’s</w:t>
      </w:r>
      <w:r w:rsidRPr="00EC20A0">
        <w:rPr>
          <w:spacing w:val="-2"/>
        </w:rPr>
        <w:t xml:space="preserve"> </w:t>
      </w:r>
      <w:r w:rsidRPr="00EC20A0">
        <w:t>documents</w:t>
      </w:r>
      <w:r w:rsidRPr="00EC20A0">
        <w:rPr>
          <w:spacing w:val="-2"/>
        </w:rPr>
        <w:t xml:space="preserve"> </w:t>
      </w:r>
      <w:r w:rsidRPr="00EC20A0">
        <w:t>to</w:t>
      </w:r>
      <w:r w:rsidRPr="00EC20A0">
        <w:rPr>
          <w:spacing w:val="-2"/>
        </w:rPr>
        <w:t xml:space="preserve"> </w:t>
      </w:r>
      <w:r w:rsidRPr="00EC20A0">
        <w:t>copy</w:t>
      </w:r>
      <w:r w:rsidRPr="00EC20A0">
        <w:rPr>
          <w:spacing w:val="-2"/>
        </w:rPr>
        <w:t xml:space="preserve"> </w:t>
      </w:r>
      <w:r w:rsidRPr="00EC20A0">
        <w:t>and</w:t>
      </w:r>
      <w:r w:rsidRPr="00EC20A0">
        <w:rPr>
          <w:spacing w:val="-2"/>
        </w:rPr>
        <w:t xml:space="preserve"> </w:t>
      </w:r>
      <w:r w:rsidRPr="00EC20A0">
        <w:t>retain.</w:t>
      </w:r>
      <w:r w:rsidRPr="00EC20A0">
        <w:rPr>
          <w:spacing w:val="-2"/>
        </w:rPr>
        <w:t xml:space="preserve"> </w:t>
      </w:r>
      <w:r w:rsidRPr="00EC20A0">
        <w:t>However,</w:t>
      </w:r>
      <w:r w:rsidRPr="00EC20A0">
        <w:rPr>
          <w:spacing w:val="-2"/>
        </w:rPr>
        <w:t xml:space="preserve"> </w:t>
      </w:r>
      <w:r w:rsidRPr="00EC20A0">
        <w:t>many</w:t>
      </w:r>
      <w:r w:rsidRPr="00EC20A0">
        <w:rPr>
          <w:spacing w:val="-2"/>
        </w:rPr>
        <w:t xml:space="preserve"> </w:t>
      </w:r>
      <w:r w:rsidRPr="00EC20A0">
        <w:t>auditors</w:t>
      </w:r>
      <w:r w:rsidRPr="00EC20A0">
        <w:rPr>
          <w:spacing w:val="-2"/>
        </w:rPr>
        <w:t xml:space="preserve"> </w:t>
      </w:r>
      <w:r w:rsidRPr="00EC20A0">
        <w:t>use electronic technology to retain documentation for the entire audit. The group engagement team may cite this documentation as part of the review to include any</w:t>
      </w:r>
      <w:r w:rsidRPr="00EC20A0">
        <w:rPr>
          <w:spacing w:val="-4"/>
        </w:rPr>
        <w:t xml:space="preserve"> </w:t>
      </w:r>
      <w:r w:rsidRPr="00EC20A0">
        <w:t>additional</w:t>
      </w:r>
      <w:r w:rsidRPr="00EC20A0">
        <w:rPr>
          <w:spacing w:val="-4"/>
        </w:rPr>
        <w:t xml:space="preserve"> </w:t>
      </w:r>
      <w:r w:rsidRPr="00EC20A0">
        <w:t>audit</w:t>
      </w:r>
      <w:r w:rsidRPr="00EC20A0">
        <w:rPr>
          <w:spacing w:val="-4"/>
        </w:rPr>
        <w:t xml:space="preserve"> </w:t>
      </w:r>
      <w:r w:rsidRPr="00EC20A0">
        <w:t>procedures</w:t>
      </w:r>
      <w:r w:rsidRPr="00EC20A0">
        <w:rPr>
          <w:spacing w:val="-3"/>
        </w:rPr>
        <w:t xml:space="preserve"> </w:t>
      </w:r>
      <w:r w:rsidRPr="00EC20A0">
        <w:t>performed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work.</w:t>
      </w:r>
      <w:r w:rsidRPr="00EC20A0">
        <w:rPr>
          <w:spacing w:val="-4"/>
        </w:rPr>
        <w:t xml:space="preserve"> </w:t>
      </w:r>
      <w:r w:rsidRPr="00EC20A0">
        <w:t>The group engagement team may print any documents as necessary.</w:t>
      </w:r>
    </w:p>
    <w:p w14:paraId="24D600A9" w14:textId="77777777" w:rsidR="00245300" w:rsidRPr="00EC20A0" w:rsidRDefault="00F17249">
      <w:pPr>
        <w:pStyle w:val="ListParagraph"/>
        <w:numPr>
          <w:ilvl w:val="0"/>
          <w:numId w:val="214"/>
        </w:numPr>
        <w:tabs>
          <w:tab w:val="left" w:pos="1857"/>
        </w:tabs>
        <w:spacing w:before="241"/>
        <w:ind w:left="1857" w:right="532" w:hanging="720"/>
      </w:pP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4"/>
        </w:rPr>
        <w:t xml:space="preserve"> </w:t>
      </w:r>
      <w:r w:rsidRPr="00EC20A0">
        <w:t>may</w:t>
      </w:r>
      <w:r w:rsidRPr="00EC20A0">
        <w:rPr>
          <w:spacing w:val="-4"/>
        </w:rPr>
        <w:t xml:space="preserve"> </w:t>
      </w:r>
      <w:r w:rsidRPr="00EC20A0">
        <w:t>retain</w:t>
      </w:r>
      <w:r w:rsidRPr="00EC20A0">
        <w:rPr>
          <w:spacing w:val="-4"/>
        </w:rPr>
        <w:t xml:space="preserve"> </w:t>
      </w:r>
      <w:r w:rsidRPr="00EC20A0">
        <w:t>other</w:t>
      </w:r>
      <w:r w:rsidRPr="00EC20A0">
        <w:rPr>
          <w:spacing w:val="-4"/>
        </w:rPr>
        <w:t xml:space="preserve"> </w:t>
      </w:r>
      <w:r w:rsidRPr="00EC20A0">
        <w:t>documentation</w:t>
      </w:r>
      <w:r w:rsidRPr="00EC20A0">
        <w:rPr>
          <w:spacing w:val="-4"/>
        </w:rPr>
        <w:t xml:space="preserve"> </w:t>
      </w:r>
      <w:r w:rsidRPr="00EC20A0">
        <w:t>if</w:t>
      </w:r>
      <w:r w:rsidRPr="00EC20A0">
        <w:rPr>
          <w:spacing w:val="-4"/>
        </w:rPr>
        <w:t xml:space="preserve"> </w:t>
      </w:r>
      <w:r w:rsidRPr="00EC20A0">
        <w:t>it</w:t>
      </w:r>
      <w:r w:rsidRPr="00EC20A0">
        <w:rPr>
          <w:spacing w:val="-4"/>
        </w:rPr>
        <w:t xml:space="preserve"> </w:t>
      </w:r>
      <w:r w:rsidRPr="00EC20A0">
        <w:t>might</w:t>
      </w:r>
      <w:r w:rsidRPr="00EC20A0">
        <w:rPr>
          <w:spacing w:val="-4"/>
        </w:rPr>
        <w:t xml:space="preserve"> </w:t>
      </w:r>
      <w:r w:rsidRPr="00EC20A0">
        <w:t>be</w:t>
      </w:r>
      <w:r w:rsidRPr="00EC20A0">
        <w:rPr>
          <w:spacing w:val="-4"/>
        </w:rPr>
        <w:t xml:space="preserve"> </w:t>
      </w:r>
      <w:r w:rsidRPr="00EC20A0">
        <w:t>useful in understanding the entity, training staff members, planning future audits, reviewing the documentation, or writing the report. Documentation in this category includes the entity profile (or equivalent), audit strategy, audit procedures, LIRA forms and SCE worksheets (or equivalent), trial balance or lead schedules, management representation letter, and legal counsel response. Auditors often find it helpful to keep copies of docume</w:t>
      </w:r>
      <w:r w:rsidRPr="00EC20A0">
        <w:t xml:space="preserve">nts (either electronically or in hard copy) in case questions are raised in review but not to include those copies in the audit documentation unless they are needed to document the work </w:t>
      </w:r>
      <w:r w:rsidRPr="00EC20A0">
        <w:rPr>
          <w:spacing w:val="-2"/>
        </w:rPr>
        <w:t>performed.</w:t>
      </w:r>
    </w:p>
    <w:p w14:paraId="24D600AA" w14:textId="77777777" w:rsidR="00245300" w:rsidRPr="00EC20A0" w:rsidRDefault="00F17249">
      <w:pPr>
        <w:pStyle w:val="BodyText"/>
        <w:spacing w:before="240"/>
        <w:ind w:left="1859" w:right="562"/>
      </w:pPr>
      <w:r w:rsidRPr="00EC20A0">
        <w:t>The group engagement team should retain documents in accordance with the contract or other legal requirements, but not less than 5 years from the report release</w:t>
      </w:r>
      <w:r w:rsidRPr="00EC20A0">
        <w:rPr>
          <w:spacing w:val="-4"/>
        </w:rPr>
        <w:t xml:space="preserve"> </w:t>
      </w:r>
      <w:r w:rsidRPr="00EC20A0">
        <w:t>date</w:t>
      </w:r>
      <w:r w:rsidRPr="00EC20A0">
        <w:rPr>
          <w:spacing w:val="-5"/>
        </w:rPr>
        <w:t xml:space="preserve"> </w:t>
      </w:r>
      <w:r w:rsidRPr="00EC20A0">
        <w:t>(AU-C</w:t>
      </w:r>
      <w:r w:rsidRPr="00EC20A0">
        <w:rPr>
          <w:spacing w:val="-4"/>
        </w:rPr>
        <w:t xml:space="preserve"> </w:t>
      </w:r>
      <w:r w:rsidRPr="00EC20A0">
        <w:t>230.17).</w:t>
      </w:r>
      <w:r w:rsidRPr="00EC20A0">
        <w:rPr>
          <w:spacing w:val="-4"/>
        </w:rPr>
        <w:t xml:space="preserve"> </w:t>
      </w:r>
      <w:r w:rsidRPr="00EC20A0">
        <w:t>Audit</w:t>
      </w:r>
      <w:r w:rsidRPr="00EC20A0">
        <w:rPr>
          <w:spacing w:val="-4"/>
        </w:rPr>
        <w:t xml:space="preserve"> </w:t>
      </w:r>
      <w:r w:rsidRPr="00EC20A0">
        <w:t>procedures</w:t>
      </w:r>
      <w:r w:rsidRPr="00EC20A0">
        <w:rPr>
          <w:spacing w:val="-4"/>
        </w:rPr>
        <w:t xml:space="preserve"> </w:t>
      </w:r>
      <w:r w:rsidRPr="00EC20A0">
        <w:t>may</w:t>
      </w:r>
      <w:r w:rsidRPr="00EC20A0">
        <w:rPr>
          <w:spacing w:val="-4"/>
        </w:rPr>
        <w:t xml:space="preserve"> </w:t>
      </w:r>
      <w:r w:rsidRPr="00EC20A0">
        <w:t>indicate</w:t>
      </w:r>
      <w:r w:rsidRPr="00EC20A0">
        <w:rPr>
          <w:spacing w:val="-5"/>
        </w:rPr>
        <w:t xml:space="preserve"> </w:t>
      </w:r>
      <w:r w:rsidRPr="00EC20A0">
        <w:t>which</w:t>
      </w:r>
      <w:r w:rsidRPr="00EC20A0">
        <w:rPr>
          <w:spacing w:val="-4"/>
        </w:rPr>
        <w:t xml:space="preserve"> </w:t>
      </w:r>
      <w:r w:rsidRPr="00EC20A0">
        <w:t>documents</w:t>
      </w:r>
      <w:r w:rsidRPr="00EC20A0">
        <w:rPr>
          <w:spacing w:val="-4"/>
        </w:rPr>
        <w:t xml:space="preserve"> </w:t>
      </w:r>
      <w:r w:rsidRPr="00EC20A0">
        <w:t xml:space="preserve">to retain. These documents should be included in the final audit file by the documentation </w:t>
      </w:r>
      <w:r w:rsidRPr="00EC20A0">
        <w:t>completion date (no later than 60 days after the report release date). The auditor should not discard documents between the documentation completion date and the end of the specified retention period (AU-C 230.16 through .17). In documenting the review, auditors may indicate the document number or index number used by the component auditor in order to locate the document at a later date.</w:t>
      </w:r>
    </w:p>
    <w:p w14:paraId="24D600AB" w14:textId="77777777" w:rsidR="00245300" w:rsidRPr="00EC20A0" w:rsidRDefault="00F17249">
      <w:pPr>
        <w:pStyle w:val="BodyText"/>
        <w:spacing w:before="240"/>
        <w:ind w:left="1859" w:right="562"/>
      </w:pPr>
      <w:r w:rsidRPr="00EC20A0">
        <w:t>Ownership</w:t>
      </w:r>
      <w:r w:rsidRPr="00EC20A0">
        <w:rPr>
          <w:spacing w:val="-5"/>
        </w:rPr>
        <w:t xml:space="preserve"> </w:t>
      </w:r>
      <w:r w:rsidRPr="00EC20A0">
        <w:t>and</w:t>
      </w:r>
      <w:r w:rsidRPr="00EC20A0">
        <w:rPr>
          <w:spacing w:val="-5"/>
        </w:rPr>
        <w:t xml:space="preserve"> </w:t>
      </w:r>
      <w:r w:rsidRPr="00EC20A0">
        <w:t>confidentiality</w:t>
      </w:r>
      <w:r w:rsidRPr="00EC20A0">
        <w:rPr>
          <w:spacing w:val="-5"/>
        </w:rPr>
        <w:t xml:space="preserve"> </w:t>
      </w:r>
      <w:r w:rsidRPr="00EC20A0">
        <w:t>of</w:t>
      </w:r>
      <w:r w:rsidRPr="00EC20A0">
        <w:rPr>
          <w:spacing w:val="-5"/>
        </w:rPr>
        <w:t xml:space="preserve"> </w:t>
      </w:r>
      <w:r w:rsidRPr="00EC20A0">
        <w:t>audit</w:t>
      </w:r>
      <w:r w:rsidRPr="00EC20A0">
        <w:rPr>
          <w:spacing w:val="-5"/>
        </w:rPr>
        <w:t xml:space="preserve"> </w:t>
      </w:r>
      <w:r w:rsidRPr="00EC20A0">
        <w:t>documentation</w:t>
      </w:r>
      <w:r w:rsidRPr="00EC20A0">
        <w:rPr>
          <w:spacing w:val="-5"/>
        </w:rPr>
        <w:t xml:space="preserve"> </w:t>
      </w:r>
      <w:r w:rsidRPr="00EC20A0">
        <w:t>is</w:t>
      </w:r>
      <w:r w:rsidRPr="00EC20A0">
        <w:rPr>
          <w:spacing w:val="-5"/>
        </w:rPr>
        <w:t xml:space="preserve"> </w:t>
      </w:r>
      <w:r w:rsidRPr="00EC20A0">
        <w:t>determined</w:t>
      </w:r>
      <w:r w:rsidRPr="00EC20A0">
        <w:rPr>
          <w:spacing w:val="-5"/>
        </w:rPr>
        <w:t xml:space="preserve"> </w:t>
      </w:r>
      <w:r w:rsidRPr="00EC20A0">
        <w:t>by</w:t>
      </w:r>
      <w:r w:rsidRPr="00EC20A0">
        <w:rPr>
          <w:spacing w:val="-5"/>
        </w:rPr>
        <w:t xml:space="preserve"> </w:t>
      </w:r>
      <w:r w:rsidRPr="00EC20A0">
        <w:t xml:space="preserve">contract and other legal requirements (see AU-C </w:t>
      </w:r>
      <w:r w:rsidRPr="00EC20A0">
        <w:t>230.A29).</w:t>
      </w:r>
    </w:p>
    <w:p w14:paraId="24D600AC" w14:textId="77777777" w:rsidR="00245300" w:rsidRPr="00EC20A0" w:rsidRDefault="00F17249">
      <w:pPr>
        <w:pStyle w:val="BodyText"/>
        <w:spacing w:before="240"/>
        <w:ind w:left="1859" w:right="656"/>
      </w:pPr>
      <w:r w:rsidRPr="00EC20A0">
        <w:t>See</w:t>
      </w:r>
      <w:r w:rsidRPr="00EC20A0">
        <w:rPr>
          <w:spacing w:val="-5"/>
        </w:rPr>
        <w:t xml:space="preserve"> </w:t>
      </w:r>
      <w:r w:rsidRPr="00EC20A0">
        <w:t>FAM</w:t>
      </w:r>
      <w:r w:rsidRPr="00EC20A0">
        <w:rPr>
          <w:spacing w:val="-6"/>
        </w:rPr>
        <w:t xml:space="preserve"> </w:t>
      </w:r>
      <w:r w:rsidRPr="00EC20A0">
        <w:t>630.74</w:t>
      </w:r>
      <w:r w:rsidRPr="00EC20A0">
        <w:rPr>
          <w:spacing w:val="-5"/>
        </w:rPr>
        <w:t xml:space="preserve"> </w:t>
      </w:r>
      <w:r w:rsidRPr="00EC20A0">
        <w:t>for</w:t>
      </w:r>
      <w:r w:rsidRPr="00EC20A0">
        <w:rPr>
          <w:spacing w:val="-5"/>
        </w:rPr>
        <w:t xml:space="preserve"> </w:t>
      </w:r>
      <w:r w:rsidRPr="00EC20A0">
        <w:t>additional</w:t>
      </w:r>
      <w:r w:rsidRPr="00EC20A0">
        <w:rPr>
          <w:spacing w:val="-5"/>
        </w:rPr>
        <w:t xml:space="preserve"> </w:t>
      </w:r>
      <w:r w:rsidRPr="00EC20A0">
        <w:t>requirements</w:t>
      </w:r>
      <w:r w:rsidRPr="00EC20A0">
        <w:rPr>
          <w:spacing w:val="-4"/>
        </w:rPr>
        <w:t xml:space="preserve"> </w:t>
      </w:r>
      <w:r w:rsidRPr="00EC20A0">
        <w:t>when</w:t>
      </w:r>
      <w:r w:rsidRPr="00EC20A0">
        <w:rPr>
          <w:spacing w:val="-5"/>
        </w:rPr>
        <w:t xml:space="preserve"> </w:t>
      </w:r>
      <w:r w:rsidRPr="00EC20A0">
        <w:t>assuming</w:t>
      </w:r>
      <w:r w:rsidRPr="00EC20A0">
        <w:rPr>
          <w:spacing w:val="-6"/>
        </w:rPr>
        <w:t xml:space="preserve"> </w:t>
      </w:r>
      <w:r w:rsidRPr="00EC20A0">
        <w:t>responsibility</w:t>
      </w:r>
      <w:r w:rsidRPr="00EC20A0">
        <w:rPr>
          <w:spacing w:val="-5"/>
        </w:rPr>
        <w:t xml:space="preserve"> </w:t>
      </w:r>
      <w:r w:rsidRPr="00EC20A0">
        <w:t>for the work of a component auditor.</w:t>
      </w:r>
    </w:p>
    <w:p w14:paraId="24D600AD" w14:textId="77777777" w:rsidR="00245300" w:rsidRPr="00EC20A0" w:rsidRDefault="00245300">
      <w:pPr>
        <w:sectPr w:rsidR="00245300" w:rsidRPr="00EC20A0">
          <w:pgSz w:w="12240" w:h="15840"/>
          <w:pgMar w:top="1340" w:right="940" w:bottom="940" w:left="1020" w:header="721" w:footer="757" w:gutter="0"/>
          <w:cols w:space="720"/>
        </w:sectPr>
      </w:pPr>
    </w:p>
    <w:p w14:paraId="24D600AE" w14:textId="77777777" w:rsidR="00245300" w:rsidRPr="00EC20A0" w:rsidRDefault="00F17249">
      <w:pPr>
        <w:pStyle w:val="Heading4"/>
        <w:spacing w:before="121"/>
        <w:ind w:left="419"/>
      </w:pPr>
      <w:bookmarkStart w:id="63" w:name="Additional_Procedures_if_Assuming_Respon"/>
      <w:bookmarkEnd w:id="63"/>
      <w:r w:rsidRPr="00EC20A0">
        <w:t>Additional</w:t>
      </w:r>
      <w:r w:rsidRPr="00EC20A0">
        <w:rPr>
          <w:spacing w:val="-6"/>
        </w:rPr>
        <w:t xml:space="preserve"> </w:t>
      </w:r>
      <w:r w:rsidRPr="00EC20A0">
        <w:t>Procedures</w:t>
      </w:r>
      <w:r w:rsidRPr="00EC20A0">
        <w:rPr>
          <w:spacing w:val="-6"/>
        </w:rPr>
        <w:t xml:space="preserve"> </w:t>
      </w:r>
      <w:r w:rsidRPr="00EC20A0">
        <w:t>if</w:t>
      </w:r>
      <w:r w:rsidRPr="00EC20A0">
        <w:rPr>
          <w:spacing w:val="-6"/>
        </w:rPr>
        <w:t xml:space="preserve"> </w:t>
      </w:r>
      <w:r w:rsidRPr="00EC20A0">
        <w:t>Assuming</w:t>
      </w:r>
      <w:r w:rsidRPr="00EC20A0">
        <w:rPr>
          <w:spacing w:val="-7"/>
        </w:rPr>
        <w:t xml:space="preserve"> </w:t>
      </w:r>
      <w:r w:rsidRPr="00EC20A0">
        <w:t>Responsibility</w:t>
      </w:r>
      <w:r w:rsidRPr="00EC20A0">
        <w:rPr>
          <w:spacing w:val="-7"/>
        </w:rPr>
        <w:t xml:space="preserve"> </w:t>
      </w:r>
      <w:r w:rsidRPr="00EC20A0">
        <w:t>for</w:t>
      </w:r>
      <w:r w:rsidRPr="00EC20A0">
        <w:rPr>
          <w:spacing w:val="-6"/>
        </w:rPr>
        <w:t xml:space="preserve"> </w:t>
      </w:r>
      <w:r w:rsidRPr="00EC20A0">
        <w:t>a</w:t>
      </w:r>
      <w:r w:rsidRPr="00EC20A0">
        <w:rPr>
          <w:spacing w:val="-6"/>
        </w:rPr>
        <w:t xml:space="preserve"> </w:t>
      </w:r>
      <w:r w:rsidRPr="00EC20A0">
        <w:t>Component Auditor’s Work</w:t>
      </w:r>
    </w:p>
    <w:p w14:paraId="24D600AF" w14:textId="77777777" w:rsidR="00245300" w:rsidRPr="00EC20A0" w:rsidRDefault="00F17249">
      <w:pPr>
        <w:pStyle w:val="Heading5"/>
        <w:ind w:left="1140"/>
        <w:rPr>
          <w:u w:val="none"/>
        </w:rPr>
      </w:pPr>
      <w:bookmarkStart w:id="64" w:name="Materiality"/>
      <w:bookmarkEnd w:id="64"/>
      <w:r w:rsidRPr="00EC20A0">
        <w:rPr>
          <w:spacing w:val="-2"/>
        </w:rPr>
        <w:t>Materiality</w:t>
      </w:r>
    </w:p>
    <w:p w14:paraId="24D600B0" w14:textId="77777777" w:rsidR="00245300" w:rsidRPr="00EC20A0" w:rsidRDefault="00F17249">
      <w:pPr>
        <w:pStyle w:val="ListParagraph"/>
        <w:numPr>
          <w:ilvl w:val="0"/>
          <w:numId w:val="214"/>
        </w:numPr>
        <w:tabs>
          <w:tab w:val="left" w:pos="1859"/>
        </w:tabs>
        <w:spacing w:before="238"/>
        <w:ind w:right="567" w:hanging="720"/>
      </w:pPr>
      <w:r w:rsidRPr="00EC20A0">
        <w:t>During</w:t>
      </w:r>
      <w:r w:rsidRPr="00EC20A0">
        <w:rPr>
          <w:spacing w:val="-1"/>
        </w:rPr>
        <w:t xml:space="preserve"> </w:t>
      </w:r>
      <w:r w:rsidRPr="00EC20A0">
        <w:t>an</w:t>
      </w:r>
      <w:r w:rsidRPr="00EC20A0">
        <w:rPr>
          <w:spacing w:val="-1"/>
        </w:rPr>
        <w:t xml:space="preserve"> </w:t>
      </w:r>
      <w:r w:rsidRPr="00EC20A0">
        <w:t>audit</w:t>
      </w:r>
      <w:r w:rsidRPr="00EC20A0">
        <w:rPr>
          <w:spacing w:val="-1"/>
        </w:rPr>
        <w:t xml:space="preserve"> </w:t>
      </w:r>
      <w:r w:rsidRPr="00EC20A0">
        <w:t>of</w:t>
      </w:r>
      <w:r w:rsidRPr="00EC20A0">
        <w:rPr>
          <w:spacing w:val="-1"/>
        </w:rPr>
        <w:t xml:space="preserve"> </w:t>
      </w:r>
      <w:r w:rsidRPr="00EC20A0">
        <w:t>a</w:t>
      </w:r>
      <w:r w:rsidRPr="00EC20A0">
        <w:rPr>
          <w:spacing w:val="-1"/>
        </w:rPr>
        <w:t xml:space="preserve"> </w:t>
      </w:r>
      <w:r w:rsidRPr="00EC20A0">
        <w:t>component’s</w:t>
      </w:r>
      <w:r w:rsidRPr="00EC20A0">
        <w:rPr>
          <w:spacing w:val="-1"/>
        </w:rPr>
        <w:t xml:space="preserve"> </w:t>
      </w:r>
      <w:r w:rsidRPr="00EC20A0">
        <w:t>financial</w:t>
      </w:r>
      <w:r w:rsidRPr="00EC20A0">
        <w:rPr>
          <w:spacing w:val="-1"/>
        </w:rPr>
        <w:t xml:space="preserve"> </w:t>
      </w:r>
      <w:r w:rsidRPr="00EC20A0">
        <w:t>information</w:t>
      </w:r>
      <w:r w:rsidRPr="00EC20A0">
        <w:rPr>
          <w:spacing w:val="-1"/>
        </w:rPr>
        <w:t xml:space="preserve"> </w:t>
      </w:r>
      <w:r w:rsidRPr="00EC20A0">
        <w:t>in</w:t>
      </w:r>
      <w:r w:rsidRPr="00EC20A0">
        <w:rPr>
          <w:spacing w:val="-1"/>
        </w:rPr>
        <w:t xml:space="preserve"> </w:t>
      </w:r>
      <w:r w:rsidRPr="00EC20A0">
        <w:t>which</w:t>
      </w:r>
      <w:r w:rsidRPr="00EC20A0">
        <w:rPr>
          <w:spacing w:val="-1"/>
        </w:rPr>
        <w:t xml:space="preserve"> </w:t>
      </w:r>
      <w:r w:rsidRPr="00EC20A0">
        <w:t>the</w:t>
      </w:r>
      <w:r w:rsidRPr="00EC20A0">
        <w:rPr>
          <w:spacing w:val="-1"/>
        </w:rPr>
        <w:t xml:space="preserve"> </w:t>
      </w:r>
      <w:r w:rsidRPr="00EC20A0">
        <w:t>auditor</w:t>
      </w:r>
      <w:r w:rsidRPr="00EC20A0">
        <w:rPr>
          <w:spacing w:val="-1"/>
        </w:rPr>
        <w:t xml:space="preserve"> </w:t>
      </w:r>
      <w:r w:rsidRPr="00EC20A0">
        <w:t>of</w:t>
      </w:r>
      <w:r w:rsidRPr="00EC20A0">
        <w:rPr>
          <w:spacing w:val="-1"/>
        </w:rPr>
        <w:t xml:space="preserve"> </w:t>
      </w:r>
      <w:r w:rsidRPr="00EC20A0">
        <w:t>the group</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is</w:t>
      </w:r>
      <w:r w:rsidRPr="00EC20A0">
        <w:rPr>
          <w:spacing w:val="-4"/>
        </w:rPr>
        <w:t xml:space="preserve"> </w:t>
      </w:r>
      <w:r w:rsidRPr="00EC20A0">
        <w:t>assuming</w:t>
      </w:r>
      <w:r w:rsidRPr="00EC20A0">
        <w:rPr>
          <w:spacing w:val="-4"/>
        </w:rPr>
        <w:t xml:space="preserve"> </w:t>
      </w:r>
      <w:r w:rsidRPr="00EC20A0">
        <w:t>responsibility</w:t>
      </w:r>
      <w:r w:rsidRPr="00EC20A0">
        <w:rPr>
          <w:spacing w:val="-4"/>
        </w:rPr>
        <w:t xml:space="preserve"> </w:t>
      </w:r>
      <w:r w:rsidRPr="00EC20A0">
        <w:t>for</w:t>
      </w:r>
      <w:r w:rsidRPr="00EC20A0">
        <w:rPr>
          <w:spacing w:val="-6"/>
        </w:rPr>
        <w:t xml:space="preserve"> </w:t>
      </w:r>
      <w:r w:rsidRPr="00EC20A0">
        <w:t>the</w:t>
      </w:r>
      <w:r w:rsidRPr="00EC20A0">
        <w:rPr>
          <w:spacing w:val="-5"/>
        </w:rPr>
        <w:t xml:space="preserve"> </w:t>
      </w:r>
      <w:r w:rsidRPr="00EC20A0">
        <w:t>component</w:t>
      </w:r>
      <w:r w:rsidRPr="00EC20A0">
        <w:rPr>
          <w:spacing w:val="-4"/>
        </w:rPr>
        <w:t xml:space="preserve"> </w:t>
      </w:r>
      <w:r w:rsidRPr="00EC20A0">
        <w:t xml:space="preserve">auditor’s work, the group engagement team should evaluate the appropriateness of performance materiality at the component level </w:t>
      </w:r>
      <w:r w:rsidRPr="00EC20A0">
        <w:t>(AU-C 600A.51).</w:t>
      </w:r>
    </w:p>
    <w:p w14:paraId="24D600B1" w14:textId="77777777" w:rsidR="00245300" w:rsidRPr="00EC20A0" w:rsidRDefault="00F17249">
      <w:pPr>
        <w:pStyle w:val="Heading5"/>
        <w:spacing w:before="242"/>
        <w:ind w:left="1140" w:right="507"/>
        <w:rPr>
          <w:u w:val="none"/>
        </w:rPr>
      </w:pPr>
      <w:bookmarkStart w:id="65" w:name="Determining_the_Type_of_Work_to_Be_Perfo"/>
      <w:bookmarkEnd w:id="65"/>
      <w:r w:rsidRPr="00EC20A0">
        <w:t>Determining</w:t>
      </w:r>
      <w:r w:rsidRPr="00EC20A0">
        <w:rPr>
          <w:spacing w:val="-4"/>
        </w:rPr>
        <w:t xml:space="preserve"> </w:t>
      </w:r>
      <w:r w:rsidRPr="00EC20A0">
        <w:t>the</w:t>
      </w:r>
      <w:r w:rsidRPr="00EC20A0">
        <w:rPr>
          <w:spacing w:val="-4"/>
        </w:rPr>
        <w:t xml:space="preserve"> </w:t>
      </w:r>
      <w:r w:rsidRPr="00EC20A0">
        <w:t>Type</w:t>
      </w:r>
      <w:r w:rsidRPr="00EC20A0">
        <w:rPr>
          <w:spacing w:val="-4"/>
        </w:rPr>
        <w:t xml:space="preserve"> </w:t>
      </w:r>
      <w:r w:rsidRPr="00EC20A0">
        <w:t>of</w:t>
      </w:r>
      <w:r w:rsidRPr="00EC20A0">
        <w:rPr>
          <w:spacing w:val="-3"/>
        </w:rPr>
        <w:t xml:space="preserve"> </w:t>
      </w:r>
      <w:r w:rsidRPr="00EC20A0">
        <w:t>Work</w:t>
      </w:r>
      <w:r w:rsidRPr="00EC20A0">
        <w:rPr>
          <w:spacing w:val="-5"/>
        </w:rPr>
        <w:t xml:space="preserve"> </w:t>
      </w:r>
      <w:r w:rsidRPr="00EC20A0">
        <w:t>to</w:t>
      </w:r>
      <w:r w:rsidRPr="00EC20A0">
        <w:rPr>
          <w:spacing w:val="-4"/>
        </w:rPr>
        <w:t xml:space="preserve"> </w:t>
      </w:r>
      <w:r w:rsidRPr="00EC20A0">
        <w:t>Be</w:t>
      </w:r>
      <w:r w:rsidRPr="00EC20A0">
        <w:rPr>
          <w:spacing w:val="-4"/>
        </w:rPr>
        <w:t xml:space="preserve"> </w:t>
      </w:r>
      <w:r w:rsidRPr="00EC20A0">
        <w:t>Performed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Information</w:t>
      </w:r>
      <w:r w:rsidRPr="00EC20A0">
        <w:rPr>
          <w:u w:val="none"/>
        </w:rPr>
        <w:t xml:space="preserve"> </w:t>
      </w:r>
      <w:r w:rsidRPr="00EC20A0">
        <w:t>of Components</w:t>
      </w:r>
    </w:p>
    <w:p w14:paraId="24D600B2" w14:textId="77777777" w:rsidR="00245300" w:rsidRPr="00EC20A0" w:rsidRDefault="00F17249">
      <w:pPr>
        <w:pStyle w:val="ListParagraph"/>
        <w:numPr>
          <w:ilvl w:val="0"/>
          <w:numId w:val="214"/>
        </w:numPr>
        <w:tabs>
          <w:tab w:val="left" w:pos="1858"/>
        </w:tabs>
        <w:spacing w:before="239"/>
        <w:ind w:left="1858" w:right="554" w:hanging="719"/>
      </w:pPr>
      <w:r w:rsidRPr="00EC20A0">
        <w:t>For components for which the auditor of the group financial statements is assuming</w:t>
      </w:r>
      <w:r w:rsidRPr="00EC20A0">
        <w:rPr>
          <w:spacing w:val="-4"/>
        </w:rPr>
        <w:t xml:space="preserve"> </w:t>
      </w:r>
      <w:r w:rsidRPr="00EC20A0">
        <w:t>responsibility</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work,</w:t>
      </w:r>
      <w:r w:rsidRPr="00EC20A0">
        <w:rPr>
          <w:spacing w:val="-4"/>
        </w:rPr>
        <w:t xml:space="preserve"> </w:t>
      </w:r>
      <w:r w:rsidRPr="00EC20A0">
        <w:t>the</w:t>
      </w:r>
      <w:r w:rsidRPr="00EC20A0">
        <w:rPr>
          <w:spacing w:val="-5"/>
        </w:rPr>
        <w:t xml:space="preserve"> </w:t>
      </w:r>
      <w:r w:rsidRPr="00EC20A0">
        <w:t>group</w:t>
      </w:r>
      <w:r w:rsidRPr="00EC20A0">
        <w:rPr>
          <w:spacing w:val="-4"/>
        </w:rPr>
        <w:t xml:space="preserve"> </w:t>
      </w:r>
      <w:r w:rsidRPr="00EC20A0">
        <w:t>engagement team should determine the type of work to be performed by the group engagement team or by component auditors on its behalf on the components’ financial information. The group engagement team also should determine the nature, timing, and extent of its involvement in the work of component auditors (see FAM 630.09 through .10 for a suggested framework for planning and performing a low, moderate, or high level of review of the component audi</w:t>
      </w:r>
      <w:r w:rsidRPr="00EC20A0">
        <w:t>tor’s documentation) (AU-C 600A.52).</w:t>
      </w:r>
    </w:p>
    <w:p w14:paraId="24D600B3" w14:textId="77777777" w:rsidR="00245300" w:rsidRPr="00EC20A0" w:rsidRDefault="00F17249">
      <w:pPr>
        <w:pStyle w:val="ListParagraph"/>
        <w:numPr>
          <w:ilvl w:val="0"/>
          <w:numId w:val="214"/>
        </w:numPr>
        <w:tabs>
          <w:tab w:val="left" w:pos="1859"/>
        </w:tabs>
        <w:ind w:right="653" w:hanging="720"/>
      </w:pPr>
      <w:r w:rsidRPr="00EC20A0">
        <w:t xml:space="preserve">The group engagement team </w:t>
      </w:r>
      <w:r w:rsidRPr="00EC20A0">
        <w:t>alone is responsible for determining the extent of additional procedures, if any, based on professional judgment. This determination</w:t>
      </w:r>
      <w:r w:rsidRPr="00EC20A0">
        <w:rPr>
          <w:spacing w:val="-3"/>
        </w:rPr>
        <w:t xml:space="preserve"> </w:t>
      </w:r>
      <w:r w:rsidRPr="00EC20A0">
        <w:t>in</w:t>
      </w:r>
      <w:r w:rsidRPr="00EC20A0">
        <w:rPr>
          <w:spacing w:val="-3"/>
        </w:rPr>
        <w:t xml:space="preserve"> </w:t>
      </w:r>
      <w:r w:rsidRPr="00EC20A0">
        <w:t>no</w:t>
      </w:r>
      <w:r w:rsidRPr="00EC20A0">
        <w:rPr>
          <w:spacing w:val="-3"/>
        </w:rPr>
        <w:t xml:space="preserve"> </w:t>
      </w:r>
      <w:r w:rsidRPr="00EC20A0">
        <w:t>way</w:t>
      </w:r>
      <w:r w:rsidRPr="00EC20A0">
        <w:rPr>
          <w:spacing w:val="-4"/>
        </w:rPr>
        <w:t xml:space="preserve"> </w:t>
      </w:r>
      <w:r w:rsidRPr="00EC20A0">
        <w:t>constitutes</w:t>
      </w:r>
      <w:r w:rsidRPr="00EC20A0">
        <w:rPr>
          <w:spacing w:val="-4"/>
        </w:rPr>
        <w:t xml:space="preserve"> </w:t>
      </w:r>
      <w:r w:rsidRPr="00EC20A0">
        <w:t>a</w:t>
      </w:r>
      <w:r w:rsidRPr="00EC20A0">
        <w:rPr>
          <w:spacing w:val="-3"/>
        </w:rPr>
        <w:t xml:space="preserve"> </w:t>
      </w:r>
      <w:r w:rsidRPr="00EC20A0">
        <w:t>reflection</w:t>
      </w:r>
      <w:r w:rsidRPr="00EC20A0">
        <w:rPr>
          <w:spacing w:val="-4"/>
        </w:rPr>
        <w:t xml:space="preserve"> </w:t>
      </w:r>
      <w:r w:rsidRPr="00EC20A0">
        <w:t>on</w:t>
      </w:r>
      <w:r w:rsidRPr="00EC20A0">
        <w:rPr>
          <w:spacing w:val="-3"/>
        </w:rPr>
        <w:t xml:space="preserve"> </w:t>
      </w:r>
      <w:r w:rsidRPr="00EC20A0">
        <w:t>the</w:t>
      </w:r>
      <w:r w:rsidRPr="00EC20A0">
        <w:rPr>
          <w:spacing w:val="-3"/>
        </w:rPr>
        <w:t xml:space="preserve"> </w:t>
      </w:r>
      <w:r w:rsidRPr="00EC20A0">
        <w:t>adequacy</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 xml:space="preserve">auditor’s </w:t>
      </w:r>
      <w:r w:rsidRPr="00EC20A0">
        <w:rPr>
          <w:spacing w:val="-2"/>
        </w:rPr>
        <w:t>work.</w:t>
      </w:r>
    </w:p>
    <w:p w14:paraId="24D600B4" w14:textId="77777777" w:rsidR="00245300" w:rsidRPr="00EC20A0" w:rsidRDefault="00F17249">
      <w:pPr>
        <w:pStyle w:val="ListParagraph"/>
        <w:numPr>
          <w:ilvl w:val="0"/>
          <w:numId w:val="214"/>
        </w:numPr>
        <w:tabs>
          <w:tab w:val="left" w:pos="1857"/>
          <w:tab w:val="left" w:pos="1859"/>
        </w:tabs>
        <w:ind w:left="1857" w:right="677" w:hanging="719"/>
      </w:pPr>
      <w:r w:rsidRPr="00EC20A0">
        <w:t>The objective of these additional procedures is for the group engagement team to</w:t>
      </w:r>
      <w:r w:rsidRPr="00EC20A0">
        <w:rPr>
          <w:spacing w:val="-4"/>
        </w:rPr>
        <w:t xml:space="preserve"> </w:t>
      </w:r>
      <w:r w:rsidRPr="00EC20A0">
        <w:t>obtain</w:t>
      </w:r>
      <w:r w:rsidRPr="00EC20A0">
        <w:rPr>
          <w:spacing w:val="-4"/>
        </w:rPr>
        <w:t xml:space="preserve"> </w:t>
      </w:r>
      <w:r w:rsidRPr="00EC20A0">
        <w:t>additional</w:t>
      </w:r>
      <w:r w:rsidRPr="00EC20A0">
        <w:rPr>
          <w:spacing w:val="-4"/>
        </w:rPr>
        <w:t xml:space="preserve"> </w:t>
      </w:r>
      <w:r w:rsidRPr="00EC20A0">
        <w:t>evidence</w:t>
      </w:r>
      <w:r w:rsidRPr="00EC20A0">
        <w:rPr>
          <w:spacing w:val="-4"/>
        </w:rPr>
        <w:t xml:space="preserve"> </w:t>
      </w:r>
      <w:r w:rsidRPr="00EC20A0">
        <w:t>about</w:t>
      </w:r>
      <w:r w:rsidRPr="00EC20A0">
        <w:rPr>
          <w:spacing w:val="-5"/>
        </w:rPr>
        <w:t xml:space="preserve"> </w:t>
      </w:r>
      <w:r w:rsidRPr="00EC20A0">
        <w:t>whether</w:t>
      </w:r>
      <w:r w:rsidRPr="00EC20A0">
        <w:rPr>
          <w:spacing w:val="-4"/>
        </w:rPr>
        <w:t xml:space="preserve"> </w:t>
      </w:r>
      <w:r w:rsidRPr="00EC20A0">
        <w:t>key</w:t>
      </w:r>
      <w:r w:rsidRPr="00EC20A0">
        <w:rPr>
          <w:spacing w:val="-5"/>
        </w:rPr>
        <w:t xml:space="preserve"> </w:t>
      </w:r>
      <w:r w:rsidRPr="00EC20A0">
        <w:t>items</w:t>
      </w:r>
      <w:r w:rsidRPr="00EC20A0">
        <w:rPr>
          <w:spacing w:val="-4"/>
        </w:rPr>
        <w:t xml:space="preserve"> </w:t>
      </w:r>
      <w:r w:rsidRPr="00EC20A0">
        <w:t>are</w:t>
      </w:r>
      <w:r w:rsidRPr="00EC20A0">
        <w:rPr>
          <w:spacing w:val="-4"/>
        </w:rPr>
        <w:t xml:space="preserve"> </w:t>
      </w:r>
      <w:r w:rsidRPr="00EC20A0">
        <w:t>properly</w:t>
      </w:r>
      <w:r w:rsidRPr="00EC20A0">
        <w:rPr>
          <w:spacing w:val="-4"/>
        </w:rPr>
        <w:t xml:space="preserve"> </w:t>
      </w:r>
      <w:r w:rsidRPr="00EC20A0">
        <w:t>handled</w:t>
      </w:r>
      <w:r w:rsidRPr="00EC20A0">
        <w:rPr>
          <w:spacing w:val="-4"/>
        </w:rPr>
        <w:t xml:space="preserve"> </w:t>
      </w:r>
      <w:r w:rsidRPr="00EC20A0">
        <w:t xml:space="preserve">and supported by sufficient appropriate evidence. For example, the group engagement team generally should discuss key items with entity management, especially estimates and judgments. This discussion generally should be conducted with the component auditors present. The group engagement team generally should attend the entrance and exit conferences and other key meetings held by component auditors. For key items that have high risk of </w:t>
      </w:r>
      <w:r w:rsidRPr="00EC20A0">
        <w:t xml:space="preserve">material misstatement, discussions with entity management may not provide sufficient evidence, and the group auditor should perform additional audit </w:t>
      </w:r>
      <w:r w:rsidRPr="00EC20A0">
        <w:rPr>
          <w:spacing w:val="-2"/>
        </w:rPr>
        <w:t>procedures.</w:t>
      </w:r>
    </w:p>
    <w:p w14:paraId="24D600B5" w14:textId="77777777" w:rsidR="00245300" w:rsidRPr="00EC20A0" w:rsidRDefault="00F17249">
      <w:pPr>
        <w:pStyle w:val="ListParagraph"/>
        <w:numPr>
          <w:ilvl w:val="0"/>
          <w:numId w:val="214"/>
        </w:numPr>
        <w:tabs>
          <w:tab w:val="left" w:pos="1858"/>
        </w:tabs>
        <w:ind w:left="1858" w:right="603" w:hanging="719"/>
      </w:pPr>
      <w:r w:rsidRPr="00EC20A0">
        <w:t>The group engagement team may perform additional audit procedures on a selection of the component auditor’s work, and/or additional tests of the accounting records. To perform additional audit procedures, the group engagement team should obtain access to the entity’s personnel and its books and</w:t>
      </w:r>
      <w:r w:rsidRPr="00EC20A0">
        <w:rPr>
          <w:spacing w:val="-1"/>
        </w:rPr>
        <w:t xml:space="preserve"> </w:t>
      </w:r>
      <w:r w:rsidRPr="00EC20A0">
        <w:t>records.</w:t>
      </w:r>
      <w:r w:rsidRPr="00EC20A0">
        <w:rPr>
          <w:spacing w:val="-2"/>
        </w:rPr>
        <w:t xml:space="preserve"> </w:t>
      </w:r>
      <w:r w:rsidRPr="00EC20A0">
        <w:t>The</w:t>
      </w:r>
      <w:r w:rsidRPr="00EC20A0">
        <w:rPr>
          <w:spacing w:val="-1"/>
        </w:rPr>
        <w:t xml:space="preserve"> </w:t>
      </w:r>
      <w:r w:rsidRPr="00EC20A0">
        <w:t>group</w:t>
      </w:r>
      <w:r w:rsidRPr="00EC20A0">
        <w:rPr>
          <w:spacing w:val="-1"/>
        </w:rPr>
        <w:t xml:space="preserve"> </w:t>
      </w:r>
      <w:r w:rsidRPr="00EC20A0">
        <w:t>engagement</w:t>
      </w:r>
      <w:r w:rsidRPr="00EC20A0">
        <w:rPr>
          <w:spacing w:val="-1"/>
        </w:rPr>
        <w:t xml:space="preserve"> </w:t>
      </w:r>
      <w:r w:rsidRPr="00EC20A0">
        <w:t>team</w:t>
      </w:r>
      <w:r w:rsidRPr="00EC20A0">
        <w:rPr>
          <w:spacing w:val="-2"/>
        </w:rPr>
        <w:t xml:space="preserve"> </w:t>
      </w:r>
      <w:r w:rsidRPr="00EC20A0">
        <w:t>may</w:t>
      </w:r>
      <w:r w:rsidRPr="00EC20A0">
        <w:rPr>
          <w:spacing w:val="-1"/>
        </w:rPr>
        <w:t xml:space="preserve"> </w:t>
      </w:r>
      <w:r w:rsidRPr="00EC20A0">
        <w:t>coordinate</w:t>
      </w:r>
      <w:r w:rsidRPr="00EC20A0">
        <w:rPr>
          <w:spacing w:val="-1"/>
        </w:rPr>
        <w:t xml:space="preserve"> </w:t>
      </w:r>
      <w:r w:rsidRPr="00EC20A0">
        <w:t>access</w:t>
      </w:r>
      <w:r w:rsidRPr="00EC20A0">
        <w:rPr>
          <w:spacing w:val="-1"/>
        </w:rPr>
        <w:t xml:space="preserve"> </w:t>
      </w:r>
      <w:r w:rsidRPr="00EC20A0">
        <w:t>to</w:t>
      </w:r>
      <w:r w:rsidRPr="00EC20A0">
        <w:rPr>
          <w:spacing w:val="-1"/>
        </w:rPr>
        <w:t xml:space="preserve"> </w:t>
      </w:r>
      <w:r w:rsidRPr="00EC20A0">
        <w:t>the</w:t>
      </w:r>
      <w:r w:rsidRPr="00EC20A0">
        <w:rPr>
          <w:spacing w:val="-4"/>
        </w:rPr>
        <w:t xml:space="preserve"> </w:t>
      </w:r>
      <w:r w:rsidRPr="00EC20A0">
        <w:t>entity’s personnel and records through the component auditor. The group engagement team and the component auditor also may jointly perform parts of a test, where the</w:t>
      </w:r>
      <w:r w:rsidRPr="00EC20A0">
        <w:rPr>
          <w:spacing w:val="-3"/>
        </w:rPr>
        <w:t xml:space="preserve"> </w:t>
      </w:r>
      <w:r w:rsidRPr="00EC20A0">
        <w:t>audit</w:t>
      </w:r>
      <w:r w:rsidRPr="00EC20A0">
        <w:rPr>
          <w:spacing w:val="-3"/>
        </w:rPr>
        <w:t xml:space="preserve"> </w:t>
      </w:r>
      <w:r w:rsidRPr="00EC20A0">
        <w:t>sample</w:t>
      </w:r>
      <w:r w:rsidRPr="00EC20A0">
        <w:rPr>
          <w:spacing w:val="-3"/>
        </w:rPr>
        <w:t xml:space="preserve"> </w:t>
      </w:r>
      <w:r w:rsidRPr="00EC20A0">
        <w:t>is</w:t>
      </w:r>
      <w:r w:rsidRPr="00EC20A0">
        <w:rPr>
          <w:spacing w:val="-3"/>
        </w:rPr>
        <w:t xml:space="preserve"> </w:t>
      </w:r>
      <w:r w:rsidRPr="00EC20A0">
        <w:t>planned</w:t>
      </w:r>
      <w:r w:rsidRPr="00EC20A0">
        <w:rPr>
          <w:spacing w:val="-3"/>
        </w:rPr>
        <w:t xml:space="preserve"> </w:t>
      </w:r>
      <w:r w:rsidRPr="00EC20A0">
        <w:t>jointly</w:t>
      </w:r>
      <w:r w:rsidRPr="00EC20A0">
        <w:rPr>
          <w:spacing w:val="-4"/>
        </w:rPr>
        <w:t xml:space="preserve"> </w:t>
      </w:r>
      <w:r w:rsidRPr="00EC20A0">
        <w:t>and</w:t>
      </w:r>
      <w:r w:rsidRPr="00EC20A0">
        <w:rPr>
          <w:spacing w:val="-3"/>
        </w:rPr>
        <w:t xml:space="preserve"> </w:t>
      </w:r>
      <w:r w:rsidRPr="00EC20A0">
        <w:t>the</w:t>
      </w:r>
      <w:r w:rsidRPr="00EC20A0">
        <w:rPr>
          <w:spacing w:val="-3"/>
        </w:rPr>
        <w:t xml:space="preserve"> </w:t>
      </w:r>
      <w:r w:rsidRPr="00EC20A0">
        <w:t>results</w:t>
      </w:r>
      <w:r w:rsidRPr="00EC20A0">
        <w:rPr>
          <w:spacing w:val="-3"/>
        </w:rPr>
        <w:t xml:space="preserve"> </w:t>
      </w:r>
      <w:r w:rsidRPr="00EC20A0">
        <w:t>are</w:t>
      </w:r>
      <w:r w:rsidRPr="00EC20A0">
        <w:rPr>
          <w:spacing w:val="-3"/>
        </w:rPr>
        <w:t xml:space="preserve"> </w:t>
      </w:r>
      <w:r w:rsidRPr="00EC20A0">
        <w:t>evaluated</w:t>
      </w:r>
      <w:r w:rsidRPr="00EC20A0">
        <w:rPr>
          <w:spacing w:val="-3"/>
        </w:rPr>
        <w:t xml:space="preserve"> </w:t>
      </w:r>
      <w:r w:rsidRPr="00EC20A0">
        <w:t>jointly.</w:t>
      </w:r>
      <w:r w:rsidRPr="00EC20A0">
        <w:rPr>
          <w:spacing w:val="-3"/>
        </w:rPr>
        <w:t xml:space="preserve"> </w:t>
      </w:r>
      <w:r w:rsidRPr="00EC20A0">
        <w:t>Although additional audit procedures are usually performed only when the level of review is high, the group engagement team may perform additional audit procedures in</w:t>
      </w:r>
    </w:p>
    <w:p w14:paraId="24D600B6" w14:textId="77777777" w:rsidR="00245300" w:rsidRPr="00EC20A0" w:rsidRDefault="00245300">
      <w:pPr>
        <w:sectPr w:rsidR="00245300" w:rsidRPr="00EC20A0">
          <w:pgSz w:w="12240" w:h="15840"/>
          <w:pgMar w:top="1340" w:right="940" w:bottom="940" w:left="1020" w:header="721" w:footer="757" w:gutter="0"/>
          <w:cols w:space="720"/>
        </w:sectPr>
      </w:pPr>
    </w:p>
    <w:p w14:paraId="24D600B7" w14:textId="77777777" w:rsidR="00245300" w:rsidRPr="00EC20A0" w:rsidRDefault="00F17249">
      <w:pPr>
        <w:pStyle w:val="BodyText"/>
        <w:spacing w:before="121"/>
        <w:ind w:left="1859" w:right="562"/>
      </w:pPr>
      <w:r w:rsidRPr="00EC20A0">
        <w:t>other</w:t>
      </w:r>
      <w:r w:rsidRPr="00EC20A0">
        <w:rPr>
          <w:spacing w:val="-3"/>
        </w:rPr>
        <w:t xml:space="preserve"> </w:t>
      </w:r>
      <w:r w:rsidRPr="00EC20A0">
        <w:t>situations</w:t>
      </w:r>
      <w:r w:rsidRPr="00EC20A0">
        <w:rPr>
          <w:spacing w:val="-3"/>
        </w:rPr>
        <w:t xml:space="preserve"> </w:t>
      </w:r>
      <w:r w:rsidRPr="00EC20A0">
        <w:t>to</w:t>
      </w:r>
      <w:r w:rsidRPr="00EC20A0">
        <w:rPr>
          <w:spacing w:val="-3"/>
        </w:rPr>
        <w:t xml:space="preserve"> </w:t>
      </w:r>
      <w:r w:rsidRPr="00EC20A0">
        <w:t>learn</w:t>
      </w:r>
      <w:r w:rsidRPr="00EC20A0">
        <w:rPr>
          <w:spacing w:val="-4"/>
        </w:rPr>
        <w:t xml:space="preserve"> </w:t>
      </w:r>
      <w:r w:rsidRPr="00EC20A0">
        <w:t>about</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to</w:t>
      </w:r>
      <w:r w:rsidRPr="00EC20A0">
        <w:rPr>
          <w:spacing w:val="-3"/>
        </w:rPr>
        <w:t xml:space="preserve"> </w:t>
      </w:r>
      <w:r w:rsidRPr="00EC20A0">
        <w:t>help</w:t>
      </w:r>
      <w:r w:rsidRPr="00EC20A0">
        <w:rPr>
          <w:spacing w:val="-4"/>
        </w:rPr>
        <w:t xml:space="preserve"> </w:t>
      </w:r>
      <w:r w:rsidRPr="00EC20A0">
        <w:t>the</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plan future audits, or to help entity management correct problems.</w:t>
      </w:r>
    </w:p>
    <w:p w14:paraId="24D600B8" w14:textId="77777777" w:rsidR="00245300" w:rsidRPr="00EC20A0" w:rsidRDefault="00F17249">
      <w:pPr>
        <w:pStyle w:val="ListParagraph"/>
        <w:numPr>
          <w:ilvl w:val="0"/>
          <w:numId w:val="214"/>
        </w:numPr>
        <w:tabs>
          <w:tab w:val="left" w:pos="1857"/>
          <w:tab w:val="left" w:pos="1859"/>
        </w:tabs>
        <w:spacing w:before="239"/>
        <w:ind w:left="1857" w:right="630" w:hanging="718"/>
      </w:pPr>
      <w:r w:rsidRPr="00EC20A0">
        <w:t>The group engagement team generally should limit discussions with entity management and/or additional audit procedures to significant assertions in line items that have a high risk of material misstatement. This is especially true in areas involving estimates and judgments or in areas on which users place extensive reliance. The group engagement team’s additional audit procedures generally should include some items tested by the component auditor, particularly</w:t>
      </w:r>
      <w:r w:rsidRPr="00EC20A0">
        <w:rPr>
          <w:spacing w:val="-4"/>
        </w:rPr>
        <w:t xml:space="preserve"> </w:t>
      </w:r>
      <w:r w:rsidRPr="00EC20A0">
        <w:t>any</w:t>
      </w:r>
      <w:r w:rsidRPr="00EC20A0">
        <w:rPr>
          <w:spacing w:val="-3"/>
        </w:rPr>
        <w:t xml:space="preserve"> </w:t>
      </w:r>
      <w:r w:rsidRPr="00EC20A0">
        <w:t>that</w:t>
      </w:r>
      <w:r w:rsidRPr="00EC20A0">
        <w:rPr>
          <w:spacing w:val="-3"/>
        </w:rPr>
        <w:t xml:space="preserve"> </w:t>
      </w:r>
      <w:r w:rsidRPr="00EC20A0">
        <w:t>appear</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exceptions,</w:t>
      </w:r>
      <w:r w:rsidRPr="00EC20A0">
        <w:rPr>
          <w:spacing w:val="-4"/>
        </w:rPr>
        <w:t xml:space="preserve"> </w:t>
      </w:r>
      <w:r w:rsidRPr="00EC20A0">
        <w:t>in</w:t>
      </w:r>
      <w:r w:rsidRPr="00EC20A0">
        <w:rPr>
          <w:spacing w:val="-4"/>
        </w:rPr>
        <w:t xml:space="preserve"> </w:t>
      </w:r>
      <w:r w:rsidRPr="00EC20A0">
        <w:t>order</w:t>
      </w:r>
      <w:r w:rsidRPr="00EC20A0">
        <w:rPr>
          <w:spacing w:val="-3"/>
        </w:rPr>
        <w:t xml:space="preserve"> </w:t>
      </w:r>
      <w:r w:rsidRPr="00EC20A0">
        <w:t>to</w:t>
      </w:r>
      <w:r w:rsidRPr="00EC20A0">
        <w:rPr>
          <w:spacing w:val="-3"/>
        </w:rPr>
        <w:t xml:space="preserve"> </w:t>
      </w:r>
      <w:r w:rsidRPr="00EC20A0">
        <w:t>determine</w:t>
      </w:r>
      <w:r w:rsidRPr="00EC20A0">
        <w:rPr>
          <w:spacing w:val="-3"/>
        </w:rPr>
        <w:t xml:space="preserve"> </w:t>
      </w:r>
      <w:r w:rsidRPr="00EC20A0">
        <w:t>whether</w:t>
      </w:r>
      <w:r w:rsidRPr="00EC20A0">
        <w:rPr>
          <w:spacing w:val="-3"/>
        </w:rPr>
        <w:t xml:space="preserve"> </w:t>
      </w:r>
      <w:r w:rsidRPr="00EC20A0">
        <w:t>they were appropriately evaluated in formulating an opinion. The group engagement team generally should plan to perform additional audit procedures while the component auditors are at the entity and have access to records, as this can minimize the inconvenience for everyone.</w:t>
      </w:r>
    </w:p>
    <w:p w14:paraId="24D600B9" w14:textId="77777777" w:rsidR="00245300" w:rsidRPr="00EC20A0" w:rsidRDefault="00F17249">
      <w:pPr>
        <w:pStyle w:val="Heading5"/>
        <w:spacing w:before="242"/>
        <w:ind w:left="1140"/>
        <w:rPr>
          <w:u w:val="none"/>
        </w:rPr>
      </w:pPr>
      <w:bookmarkStart w:id="66" w:name="Significant_Components"/>
      <w:bookmarkEnd w:id="66"/>
      <w:r w:rsidRPr="00EC20A0">
        <w:t>Significant</w:t>
      </w:r>
      <w:r w:rsidRPr="00EC20A0">
        <w:rPr>
          <w:spacing w:val="-7"/>
        </w:rPr>
        <w:t xml:space="preserve"> </w:t>
      </w:r>
      <w:r w:rsidRPr="00EC20A0">
        <w:rPr>
          <w:spacing w:val="-2"/>
        </w:rPr>
        <w:t>Components</w:t>
      </w:r>
    </w:p>
    <w:p w14:paraId="24D600BA" w14:textId="77777777" w:rsidR="00245300" w:rsidRPr="00EC20A0" w:rsidRDefault="00F17249">
      <w:pPr>
        <w:pStyle w:val="ListParagraph"/>
        <w:numPr>
          <w:ilvl w:val="0"/>
          <w:numId w:val="214"/>
        </w:numPr>
        <w:tabs>
          <w:tab w:val="left" w:pos="1858"/>
        </w:tabs>
        <w:spacing w:before="238"/>
        <w:ind w:left="1858" w:right="506" w:hanging="719"/>
      </w:pPr>
      <w:r w:rsidRPr="00EC20A0">
        <w:t>For a component that is significant due to its individual financial significance to the group, the group engagement team, or a component auditor on its behalf, should</w:t>
      </w:r>
      <w:r w:rsidRPr="00EC20A0">
        <w:rPr>
          <w:spacing w:val="-3"/>
        </w:rPr>
        <w:t xml:space="preserve"> </w:t>
      </w:r>
      <w:r w:rsidRPr="00EC20A0">
        <w:t>perform</w:t>
      </w:r>
      <w:r w:rsidRPr="00EC20A0">
        <w:rPr>
          <w:spacing w:val="-4"/>
        </w:rPr>
        <w:t xml:space="preserve"> </w:t>
      </w:r>
      <w:r w:rsidRPr="00EC20A0">
        <w:t>an</w:t>
      </w:r>
      <w:r w:rsidRPr="00EC20A0">
        <w:rPr>
          <w:spacing w:val="-3"/>
        </w:rPr>
        <w:t xml:space="preserve"> </w:t>
      </w:r>
      <w:r w:rsidRPr="00EC20A0">
        <w:t>audit</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financial</w:t>
      </w:r>
      <w:r w:rsidRPr="00EC20A0">
        <w:rPr>
          <w:spacing w:val="-3"/>
        </w:rPr>
        <w:t xml:space="preserve"> </w:t>
      </w:r>
      <w:r w:rsidRPr="00EC20A0">
        <w:t>information</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component,</w:t>
      </w:r>
      <w:r w:rsidRPr="00EC20A0">
        <w:rPr>
          <w:spacing w:val="-4"/>
        </w:rPr>
        <w:t xml:space="preserve"> </w:t>
      </w:r>
      <w:r w:rsidRPr="00EC20A0">
        <w:t>adapted</w:t>
      </w:r>
      <w:r w:rsidRPr="00EC20A0">
        <w:rPr>
          <w:spacing w:val="-3"/>
        </w:rPr>
        <w:t xml:space="preserve"> </w:t>
      </w:r>
      <w:r w:rsidRPr="00EC20A0">
        <w:t xml:space="preserve">as necessary to meet the needs of the group engagement team, using component materiality (AU-C </w:t>
      </w:r>
      <w:r w:rsidRPr="00EC20A0">
        <w:t>600A.53).</w:t>
      </w:r>
    </w:p>
    <w:p w14:paraId="24D600BB" w14:textId="77777777" w:rsidR="00245300" w:rsidRPr="00EC20A0" w:rsidRDefault="00F17249">
      <w:pPr>
        <w:pStyle w:val="ListParagraph"/>
        <w:numPr>
          <w:ilvl w:val="0"/>
          <w:numId w:val="214"/>
        </w:numPr>
        <w:tabs>
          <w:tab w:val="left" w:pos="1858"/>
        </w:tabs>
        <w:ind w:left="1858" w:right="642" w:hanging="720"/>
      </w:pPr>
      <w:r w:rsidRPr="00EC20A0">
        <w:t>For a component that is significant not due to its individual financial significance but</w:t>
      </w:r>
      <w:r w:rsidRPr="00EC20A0">
        <w:rPr>
          <w:spacing w:val="-2"/>
        </w:rPr>
        <w:t xml:space="preserve"> </w:t>
      </w:r>
      <w:r w:rsidRPr="00EC20A0">
        <w:t>because</w:t>
      </w:r>
      <w:r w:rsidRPr="00EC20A0">
        <w:rPr>
          <w:spacing w:val="-3"/>
        </w:rPr>
        <w:t xml:space="preserve"> </w:t>
      </w:r>
      <w:r w:rsidRPr="00EC20A0">
        <w:t>it</w:t>
      </w:r>
      <w:r w:rsidRPr="00EC20A0">
        <w:rPr>
          <w:spacing w:val="-2"/>
        </w:rPr>
        <w:t xml:space="preserve"> </w:t>
      </w:r>
      <w:r w:rsidRPr="00EC20A0">
        <w:t>is</w:t>
      </w:r>
      <w:r w:rsidRPr="00EC20A0">
        <w:rPr>
          <w:spacing w:val="-2"/>
        </w:rPr>
        <w:t xml:space="preserve"> </w:t>
      </w:r>
      <w:r w:rsidRPr="00EC20A0">
        <w:t>likely</w:t>
      </w:r>
      <w:r w:rsidRPr="00EC20A0">
        <w:rPr>
          <w:spacing w:val="-2"/>
        </w:rPr>
        <w:t xml:space="preserve"> </w:t>
      </w:r>
      <w:r w:rsidRPr="00EC20A0">
        <w:t>to</w:t>
      </w:r>
      <w:r w:rsidRPr="00EC20A0">
        <w:rPr>
          <w:spacing w:val="-3"/>
        </w:rPr>
        <w:t xml:space="preserve"> </w:t>
      </w:r>
      <w:r w:rsidRPr="00EC20A0">
        <w:t>include</w:t>
      </w:r>
      <w:r w:rsidRPr="00EC20A0">
        <w:rPr>
          <w:spacing w:val="-3"/>
        </w:rPr>
        <w:t xml:space="preserve"> </w:t>
      </w:r>
      <w:r w:rsidRPr="00EC20A0">
        <w:t>significant</w:t>
      </w:r>
      <w:r w:rsidRPr="00EC20A0">
        <w:rPr>
          <w:spacing w:val="-2"/>
        </w:rPr>
        <w:t xml:space="preserve"> </w:t>
      </w:r>
      <w:r w:rsidRPr="00EC20A0">
        <w:t>risks</w:t>
      </w:r>
      <w:r w:rsidRPr="00EC20A0">
        <w:rPr>
          <w:spacing w:val="-3"/>
        </w:rPr>
        <w:t xml:space="preserve"> </w:t>
      </w:r>
      <w:r w:rsidRPr="00EC20A0">
        <w:t>of</w:t>
      </w:r>
      <w:r w:rsidRPr="00EC20A0">
        <w:rPr>
          <w:spacing w:val="-2"/>
        </w:rPr>
        <w:t xml:space="preserve"> </w:t>
      </w:r>
      <w:r w:rsidRPr="00EC20A0">
        <w:t>material</w:t>
      </w:r>
      <w:r w:rsidRPr="00EC20A0">
        <w:rPr>
          <w:spacing w:val="-2"/>
        </w:rPr>
        <w:t xml:space="preserve"> </w:t>
      </w:r>
      <w:r w:rsidRPr="00EC20A0">
        <w:t>misstatement</w:t>
      </w:r>
      <w:r w:rsidRPr="00EC20A0">
        <w:rPr>
          <w:spacing w:val="-2"/>
        </w:rPr>
        <w:t xml:space="preserve"> </w:t>
      </w:r>
      <w:r w:rsidRPr="00EC20A0">
        <w:t>of</w:t>
      </w:r>
      <w:r w:rsidRPr="00EC20A0">
        <w:rPr>
          <w:spacing w:val="-2"/>
        </w:rPr>
        <w:t xml:space="preserve"> </w:t>
      </w:r>
      <w:r w:rsidRPr="00EC20A0">
        <w:t>the group</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due</w:t>
      </w:r>
      <w:r w:rsidRPr="00EC20A0">
        <w:rPr>
          <w:spacing w:val="-4"/>
        </w:rPr>
        <w:t xml:space="preserve"> </w:t>
      </w:r>
      <w:r w:rsidRPr="00EC20A0">
        <w:t>to</w:t>
      </w:r>
      <w:r w:rsidRPr="00EC20A0">
        <w:rPr>
          <w:spacing w:val="-4"/>
        </w:rPr>
        <w:t xml:space="preserve"> </w:t>
      </w:r>
      <w:r w:rsidRPr="00EC20A0">
        <w:t>its</w:t>
      </w:r>
      <w:r w:rsidRPr="00EC20A0">
        <w:rPr>
          <w:spacing w:val="-5"/>
        </w:rPr>
        <w:t xml:space="preserve"> </w:t>
      </w:r>
      <w:r w:rsidRPr="00EC20A0">
        <w:t>specific</w:t>
      </w:r>
      <w:r w:rsidRPr="00EC20A0">
        <w:rPr>
          <w:spacing w:val="-4"/>
        </w:rPr>
        <w:t xml:space="preserve"> </w:t>
      </w:r>
      <w:r w:rsidRPr="00EC20A0">
        <w:t>nature</w:t>
      </w:r>
      <w:r w:rsidRPr="00EC20A0">
        <w:rPr>
          <w:spacing w:val="-4"/>
        </w:rPr>
        <w:t xml:space="preserve"> </w:t>
      </w:r>
      <w:r w:rsidRPr="00EC20A0">
        <w:t>or</w:t>
      </w:r>
      <w:r w:rsidRPr="00EC20A0">
        <w:rPr>
          <w:spacing w:val="-4"/>
        </w:rPr>
        <w:t xml:space="preserve"> </w:t>
      </w:r>
      <w:r w:rsidRPr="00EC20A0">
        <w:t>circumstances,</w:t>
      </w:r>
      <w:r w:rsidRPr="00EC20A0">
        <w:rPr>
          <w:spacing w:val="-4"/>
        </w:rPr>
        <w:t xml:space="preserve"> </w:t>
      </w:r>
      <w:r w:rsidRPr="00EC20A0">
        <w:t>the</w:t>
      </w:r>
      <w:r w:rsidRPr="00EC20A0">
        <w:rPr>
          <w:spacing w:val="-5"/>
        </w:rPr>
        <w:t xml:space="preserve"> </w:t>
      </w:r>
      <w:r w:rsidRPr="00EC20A0">
        <w:t>group engagement team, or a component auditor on its behalf, should perform one or more of the following (AU-C 600A.54):</w:t>
      </w:r>
    </w:p>
    <w:p w14:paraId="24D600BC" w14:textId="77777777" w:rsidR="00245300" w:rsidRPr="00EC20A0" w:rsidRDefault="00F17249">
      <w:pPr>
        <w:pStyle w:val="ListParagraph"/>
        <w:numPr>
          <w:ilvl w:val="0"/>
          <w:numId w:val="203"/>
        </w:numPr>
        <w:tabs>
          <w:tab w:val="left" w:pos="2218"/>
        </w:tabs>
        <w:spacing w:before="241"/>
        <w:ind w:right="661"/>
      </w:pPr>
      <w:r w:rsidRPr="00EC20A0">
        <w:t>an</w:t>
      </w:r>
      <w:r w:rsidRPr="00EC20A0">
        <w:rPr>
          <w:spacing w:val="-4"/>
        </w:rPr>
        <w:t xml:space="preserve"> </w:t>
      </w:r>
      <w:r w:rsidRPr="00EC20A0">
        <w:t>audit,</w:t>
      </w:r>
      <w:r w:rsidRPr="00EC20A0">
        <w:rPr>
          <w:spacing w:val="-4"/>
        </w:rPr>
        <w:t xml:space="preserve"> </w:t>
      </w:r>
      <w:r w:rsidRPr="00EC20A0">
        <w:t>adapted</w:t>
      </w:r>
      <w:r w:rsidRPr="00EC20A0">
        <w:rPr>
          <w:spacing w:val="-4"/>
        </w:rPr>
        <w:t xml:space="preserve"> </w:t>
      </w:r>
      <w:r w:rsidRPr="00EC20A0">
        <w:t>as</w:t>
      </w:r>
      <w:r w:rsidRPr="00EC20A0">
        <w:rPr>
          <w:spacing w:val="-3"/>
        </w:rPr>
        <w:t xml:space="preserve"> </w:t>
      </w:r>
      <w:r w:rsidRPr="00EC20A0">
        <w:t>necessary</w:t>
      </w:r>
      <w:r w:rsidRPr="00EC20A0">
        <w:rPr>
          <w:spacing w:val="-5"/>
        </w:rPr>
        <w:t xml:space="preserve"> </w:t>
      </w:r>
      <w:r w:rsidRPr="00EC20A0">
        <w:t>to</w:t>
      </w:r>
      <w:r w:rsidRPr="00EC20A0">
        <w:rPr>
          <w:spacing w:val="-5"/>
        </w:rPr>
        <w:t xml:space="preserve"> </w:t>
      </w:r>
      <w:r w:rsidRPr="00EC20A0">
        <w:t>meet</w:t>
      </w:r>
      <w:r w:rsidRPr="00EC20A0">
        <w:rPr>
          <w:spacing w:val="-4"/>
        </w:rPr>
        <w:t xml:space="preserve"> </w:t>
      </w:r>
      <w:r w:rsidRPr="00EC20A0">
        <w:t>the</w:t>
      </w:r>
      <w:r w:rsidRPr="00EC20A0">
        <w:rPr>
          <w:spacing w:val="-4"/>
        </w:rPr>
        <w:t xml:space="preserve"> </w:t>
      </w:r>
      <w:r w:rsidRPr="00EC20A0">
        <w:t>needs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 xml:space="preserve">engagement team, of the financial information of the component, using component </w:t>
      </w:r>
      <w:r w:rsidRPr="00EC20A0">
        <w:rPr>
          <w:spacing w:val="-2"/>
        </w:rPr>
        <w:t>materiality;</w:t>
      </w:r>
    </w:p>
    <w:p w14:paraId="24D600BD" w14:textId="77777777" w:rsidR="00245300" w:rsidRPr="00EC20A0" w:rsidRDefault="00F17249">
      <w:pPr>
        <w:pStyle w:val="ListParagraph"/>
        <w:numPr>
          <w:ilvl w:val="0"/>
          <w:numId w:val="203"/>
        </w:numPr>
        <w:tabs>
          <w:tab w:val="left" w:pos="2218"/>
        </w:tabs>
        <w:ind w:right="661"/>
      </w:pPr>
      <w:r w:rsidRPr="00EC20A0">
        <w:t>an</w:t>
      </w:r>
      <w:r w:rsidRPr="00EC20A0">
        <w:rPr>
          <w:spacing w:val="-4"/>
        </w:rPr>
        <w:t xml:space="preserve"> </w:t>
      </w:r>
      <w:r w:rsidRPr="00EC20A0">
        <w:t>audit,</w:t>
      </w:r>
      <w:r w:rsidRPr="00EC20A0">
        <w:rPr>
          <w:spacing w:val="-4"/>
        </w:rPr>
        <w:t xml:space="preserve"> </w:t>
      </w:r>
      <w:r w:rsidRPr="00EC20A0">
        <w:t>adapted</w:t>
      </w:r>
      <w:r w:rsidRPr="00EC20A0">
        <w:rPr>
          <w:spacing w:val="-4"/>
        </w:rPr>
        <w:t xml:space="preserve"> </w:t>
      </w:r>
      <w:r w:rsidRPr="00EC20A0">
        <w:t>as</w:t>
      </w:r>
      <w:r w:rsidRPr="00EC20A0">
        <w:rPr>
          <w:spacing w:val="-4"/>
        </w:rPr>
        <w:t xml:space="preserve"> </w:t>
      </w:r>
      <w:r w:rsidRPr="00EC20A0">
        <w:t>necessary</w:t>
      </w:r>
      <w:r w:rsidRPr="00EC20A0">
        <w:rPr>
          <w:spacing w:val="-5"/>
        </w:rPr>
        <w:t xml:space="preserve"> </w:t>
      </w:r>
      <w:r w:rsidRPr="00EC20A0">
        <w:t>to</w:t>
      </w:r>
      <w:r w:rsidRPr="00EC20A0">
        <w:rPr>
          <w:spacing w:val="-5"/>
        </w:rPr>
        <w:t xml:space="preserve"> </w:t>
      </w:r>
      <w:r w:rsidRPr="00EC20A0">
        <w:t>meet</w:t>
      </w:r>
      <w:r w:rsidRPr="00EC20A0">
        <w:rPr>
          <w:spacing w:val="-4"/>
        </w:rPr>
        <w:t xml:space="preserve"> </w:t>
      </w:r>
      <w:r w:rsidRPr="00EC20A0">
        <w:t>the</w:t>
      </w:r>
      <w:r w:rsidRPr="00EC20A0">
        <w:rPr>
          <w:spacing w:val="-4"/>
        </w:rPr>
        <w:t xml:space="preserve"> </w:t>
      </w:r>
      <w:r w:rsidRPr="00EC20A0">
        <w:t>needs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 team, of one or more line items, accounts, note disclosures, or classes of transactions</w:t>
      </w:r>
      <w:r w:rsidRPr="00EC20A0">
        <w:rPr>
          <w:spacing w:val="-4"/>
        </w:rPr>
        <w:t xml:space="preserve"> </w:t>
      </w:r>
      <w:r w:rsidRPr="00EC20A0">
        <w:t>relating</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likely</w:t>
      </w:r>
      <w:r w:rsidRPr="00EC20A0">
        <w:rPr>
          <w:spacing w:val="-3"/>
        </w:rPr>
        <w:t xml:space="preserve"> </w:t>
      </w:r>
      <w:r w:rsidRPr="00EC20A0">
        <w:t>significant</w:t>
      </w:r>
      <w:r w:rsidRPr="00EC20A0">
        <w:rPr>
          <w:spacing w:val="-3"/>
        </w:rPr>
        <w:t xml:space="preserve"> </w:t>
      </w:r>
      <w:r w:rsidRPr="00EC20A0">
        <w:t>risks</w:t>
      </w:r>
      <w:r w:rsidRPr="00EC20A0">
        <w:rPr>
          <w:spacing w:val="-4"/>
        </w:rPr>
        <w:t xml:space="preserve"> </w:t>
      </w:r>
      <w:r w:rsidRPr="00EC20A0">
        <w:t>of</w:t>
      </w:r>
      <w:r w:rsidRPr="00EC20A0">
        <w:rPr>
          <w:spacing w:val="-3"/>
        </w:rPr>
        <w:t xml:space="preserve"> </w:t>
      </w:r>
      <w:r w:rsidRPr="00EC20A0">
        <w:t>material</w:t>
      </w:r>
      <w:r w:rsidRPr="00EC20A0">
        <w:rPr>
          <w:spacing w:val="-3"/>
        </w:rPr>
        <w:t xml:space="preserve"> </w:t>
      </w:r>
      <w:r w:rsidRPr="00EC20A0">
        <w:t>misstatement</w:t>
      </w:r>
      <w:r w:rsidRPr="00EC20A0">
        <w:rPr>
          <w:spacing w:val="-3"/>
        </w:rPr>
        <w:t xml:space="preserve"> </w:t>
      </w:r>
      <w:r w:rsidRPr="00EC20A0">
        <w:t>of the group financial statements; or</w:t>
      </w:r>
    </w:p>
    <w:p w14:paraId="24D600BE" w14:textId="77777777" w:rsidR="00245300" w:rsidRPr="00EC20A0" w:rsidRDefault="00F17249">
      <w:pPr>
        <w:pStyle w:val="ListParagraph"/>
        <w:numPr>
          <w:ilvl w:val="0"/>
          <w:numId w:val="203"/>
        </w:numPr>
        <w:tabs>
          <w:tab w:val="left" w:pos="2217"/>
        </w:tabs>
        <w:spacing w:before="239"/>
        <w:ind w:left="2217" w:right="907"/>
      </w:pPr>
      <w:r w:rsidRPr="00EC20A0">
        <w:t>specified</w:t>
      </w:r>
      <w:r w:rsidRPr="00EC20A0">
        <w:rPr>
          <w:spacing w:val="-5"/>
        </w:rPr>
        <w:t xml:space="preserve"> </w:t>
      </w:r>
      <w:r w:rsidRPr="00EC20A0">
        <w:t>audit</w:t>
      </w:r>
      <w:r w:rsidRPr="00EC20A0">
        <w:rPr>
          <w:spacing w:val="-4"/>
        </w:rPr>
        <w:t xml:space="preserve"> </w:t>
      </w:r>
      <w:r w:rsidRPr="00EC20A0">
        <w:t>procedures</w:t>
      </w:r>
      <w:r w:rsidRPr="00EC20A0">
        <w:rPr>
          <w:spacing w:val="-4"/>
        </w:rPr>
        <w:t xml:space="preserve"> </w:t>
      </w:r>
      <w:r w:rsidRPr="00EC20A0">
        <w:t>relating</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likely</w:t>
      </w:r>
      <w:r w:rsidRPr="00EC20A0">
        <w:rPr>
          <w:spacing w:val="-4"/>
        </w:rPr>
        <w:t xml:space="preserve"> </w:t>
      </w:r>
      <w:r w:rsidRPr="00EC20A0">
        <w:t>significant</w:t>
      </w:r>
      <w:r w:rsidRPr="00EC20A0">
        <w:rPr>
          <w:spacing w:val="-5"/>
        </w:rPr>
        <w:t xml:space="preserve"> </w:t>
      </w:r>
      <w:r w:rsidRPr="00EC20A0">
        <w:t>risks</w:t>
      </w:r>
      <w:r w:rsidRPr="00EC20A0">
        <w:rPr>
          <w:spacing w:val="-4"/>
        </w:rPr>
        <w:t xml:space="preserve"> </w:t>
      </w:r>
      <w:r w:rsidRPr="00EC20A0">
        <w:t>of</w:t>
      </w:r>
      <w:r w:rsidRPr="00EC20A0">
        <w:rPr>
          <w:spacing w:val="-4"/>
        </w:rPr>
        <w:t xml:space="preserve"> </w:t>
      </w:r>
      <w:r w:rsidRPr="00EC20A0">
        <w:t>material misstatement of the group financial statements.</w:t>
      </w:r>
    </w:p>
    <w:p w14:paraId="24D600BF" w14:textId="77777777" w:rsidR="00245300" w:rsidRPr="00EC20A0" w:rsidRDefault="00F17249">
      <w:pPr>
        <w:pStyle w:val="Heading5"/>
        <w:ind w:left="1140"/>
        <w:rPr>
          <w:u w:val="none"/>
        </w:rPr>
      </w:pPr>
      <w:bookmarkStart w:id="67" w:name="Components_That_Are_Not_Significant"/>
      <w:bookmarkEnd w:id="67"/>
      <w:r w:rsidRPr="00EC20A0">
        <w:t>Components</w:t>
      </w:r>
      <w:r w:rsidRPr="00EC20A0">
        <w:rPr>
          <w:spacing w:val="-3"/>
        </w:rPr>
        <w:t xml:space="preserve"> </w:t>
      </w:r>
      <w:r w:rsidRPr="00EC20A0">
        <w:t>That</w:t>
      </w:r>
      <w:r w:rsidRPr="00EC20A0">
        <w:rPr>
          <w:spacing w:val="-3"/>
        </w:rPr>
        <w:t xml:space="preserve"> </w:t>
      </w:r>
      <w:r w:rsidRPr="00EC20A0">
        <w:t>Are</w:t>
      </w:r>
      <w:r w:rsidRPr="00EC20A0">
        <w:rPr>
          <w:spacing w:val="-2"/>
        </w:rPr>
        <w:t xml:space="preserve"> </w:t>
      </w:r>
      <w:r w:rsidRPr="00EC20A0">
        <w:t>Not</w:t>
      </w:r>
      <w:r w:rsidRPr="00EC20A0">
        <w:rPr>
          <w:spacing w:val="-1"/>
        </w:rPr>
        <w:t xml:space="preserve"> </w:t>
      </w:r>
      <w:r w:rsidRPr="00EC20A0">
        <w:rPr>
          <w:spacing w:val="-2"/>
        </w:rPr>
        <w:t>Significant</w:t>
      </w:r>
    </w:p>
    <w:p w14:paraId="24D600C0" w14:textId="77777777" w:rsidR="00245300" w:rsidRPr="00EC20A0" w:rsidRDefault="00F17249">
      <w:pPr>
        <w:pStyle w:val="ListParagraph"/>
        <w:numPr>
          <w:ilvl w:val="0"/>
          <w:numId w:val="214"/>
        </w:numPr>
        <w:tabs>
          <w:tab w:val="left" w:pos="1860"/>
        </w:tabs>
        <w:ind w:left="1860" w:right="824"/>
      </w:pPr>
      <w:r w:rsidRPr="00EC20A0">
        <w:t>For components that are not significant components, the group engagement team</w:t>
      </w:r>
      <w:r w:rsidRPr="00EC20A0">
        <w:rPr>
          <w:spacing w:val="-5"/>
        </w:rPr>
        <w:t xml:space="preserve"> </w:t>
      </w:r>
      <w:r w:rsidRPr="00EC20A0">
        <w:t>should</w:t>
      </w:r>
      <w:r w:rsidRPr="00EC20A0">
        <w:rPr>
          <w:spacing w:val="-4"/>
        </w:rPr>
        <w:t xml:space="preserve"> </w:t>
      </w:r>
      <w:r w:rsidRPr="00EC20A0">
        <w:t>perform</w:t>
      </w:r>
      <w:r w:rsidRPr="00EC20A0">
        <w:rPr>
          <w:spacing w:val="-5"/>
        </w:rPr>
        <w:t xml:space="preserve"> </w:t>
      </w:r>
      <w:r w:rsidRPr="00EC20A0">
        <w:t>analytical</w:t>
      </w:r>
      <w:r w:rsidRPr="00EC20A0">
        <w:rPr>
          <w:spacing w:val="-4"/>
        </w:rPr>
        <w:t xml:space="preserve"> </w:t>
      </w:r>
      <w:r w:rsidRPr="00EC20A0">
        <w:t>procedures</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level</w:t>
      </w:r>
      <w:r w:rsidRPr="00EC20A0">
        <w:rPr>
          <w:spacing w:val="-4"/>
        </w:rPr>
        <w:t xml:space="preserve"> </w:t>
      </w:r>
      <w:r w:rsidRPr="00EC20A0">
        <w:t>(AU-C</w:t>
      </w:r>
      <w:r w:rsidRPr="00EC20A0">
        <w:rPr>
          <w:spacing w:val="-5"/>
        </w:rPr>
        <w:t xml:space="preserve"> </w:t>
      </w:r>
      <w:r w:rsidRPr="00EC20A0">
        <w:t>600A.55).</w:t>
      </w:r>
    </w:p>
    <w:p w14:paraId="24D600C1" w14:textId="77777777" w:rsidR="00245300" w:rsidRPr="00EC20A0" w:rsidRDefault="00F17249">
      <w:pPr>
        <w:pStyle w:val="ListParagraph"/>
        <w:numPr>
          <w:ilvl w:val="0"/>
          <w:numId w:val="214"/>
        </w:numPr>
        <w:tabs>
          <w:tab w:val="left" w:pos="1860"/>
        </w:tabs>
        <w:spacing w:before="239"/>
        <w:ind w:left="1860" w:right="518" w:hanging="720"/>
      </w:pPr>
      <w:r w:rsidRPr="00EC20A0">
        <w:t>In some circumstances, the group engagement team may determine that sufficient</w:t>
      </w:r>
      <w:r w:rsidRPr="00EC20A0">
        <w:rPr>
          <w:spacing w:val="-4"/>
        </w:rPr>
        <w:t xml:space="preserve"> </w:t>
      </w:r>
      <w:r w:rsidRPr="00EC20A0">
        <w:t>appropriate</w:t>
      </w:r>
      <w:r w:rsidRPr="00EC20A0">
        <w:rPr>
          <w:spacing w:val="-4"/>
        </w:rPr>
        <w:t xml:space="preserve"> </w:t>
      </w:r>
      <w:r w:rsidRPr="00EC20A0">
        <w:t>audit</w:t>
      </w:r>
      <w:r w:rsidRPr="00EC20A0">
        <w:rPr>
          <w:spacing w:val="-4"/>
        </w:rPr>
        <w:t xml:space="preserve"> </w:t>
      </w:r>
      <w:r w:rsidRPr="00EC20A0">
        <w:t>evidence</w:t>
      </w:r>
      <w:r w:rsidRPr="00EC20A0">
        <w:rPr>
          <w:spacing w:val="-5"/>
        </w:rPr>
        <w:t xml:space="preserve"> </w:t>
      </w:r>
      <w:r w:rsidRPr="00EC20A0">
        <w:t>on</w:t>
      </w:r>
      <w:r w:rsidRPr="00EC20A0">
        <w:rPr>
          <w:spacing w:val="-4"/>
        </w:rPr>
        <w:t xml:space="preserve"> </w:t>
      </w:r>
      <w:r w:rsidRPr="00EC20A0">
        <w:t>which</w:t>
      </w:r>
      <w:r w:rsidRPr="00EC20A0">
        <w:rPr>
          <w:spacing w:val="-4"/>
        </w:rPr>
        <w:t xml:space="preserve"> </w:t>
      </w:r>
      <w:r w:rsidRPr="00EC20A0">
        <w:t>to</w:t>
      </w:r>
      <w:r w:rsidRPr="00EC20A0">
        <w:rPr>
          <w:spacing w:val="-5"/>
        </w:rPr>
        <w:t xml:space="preserve"> </w:t>
      </w:r>
      <w:r w:rsidRPr="00EC20A0">
        <w:t>base</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audit</w:t>
      </w:r>
      <w:r w:rsidRPr="00EC20A0">
        <w:rPr>
          <w:spacing w:val="-4"/>
        </w:rPr>
        <w:t xml:space="preserve"> </w:t>
      </w:r>
      <w:r w:rsidRPr="00EC20A0">
        <w:t>opinion</w:t>
      </w:r>
      <w:r w:rsidRPr="00EC20A0">
        <w:rPr>
          <w:spacing w:val="-4"/>
        </w:rPr>
        <w:t xml:space="preserve"> </w:t>
      </w:r>
      <w:r w:rsidRPr="00EC20A0">
        <w:t>will not be obtained from the following (AU-C 600A.56):</w:t>
      </w:r>
    </w:p>
    <w:p w14:paraId="24D600C2" w14:textId="77777777" w:rsidR="00245300" w:rsidRPr="00EC20A0" w:rsidRDefault="00F17249">
      <w:pPr>
        <w:pStyle w:val="ListParagraph"/>
        <w:numPr>
          <w:ilvl w:val="0"/>
          <w:numId w:val="202"/>
        </w:numPr>
        <w:tabs>
          <w:tab w:val="left" w:pos="2219"/>
        </w:tabs>
        <w:spacing w:before="241"/>
        <w:ind w:left="2219" w:hanging="359"/>
      </w:pPr>
      <w:r w:rsidRPr="00EC20A0">
        <w:t>the</w:t>
      </w:r>
      <w:r w:rsidRPr="00EC20A0">
        <w:rPr>
          <w:spacing w:val="-7"/>
        </w:rPr>
        <w:t xml:space="preserve"> </w:t>
      </w:r>
      <w:r w:rsidRPr="00EC20A0">
        <w:t>work</w:t>
      </w:r>
      <w:r w:rsidRPr="00EC20A0">
        <w:rPr>
          <w:spacing w:val="-7"/>
        </w:rPr>
        <w:t xml:space="preserve"> </w:t>
      </w:r>
      <w:r w:rsidRPr="00EC20A0">
        <w:t>performed</w:t>
      </w:r>
      <w:r w:rsidRPr="00EC20A0">
        <w:rPr>
          <w:spacing w:val="-6"/>
        </w:rPr>
        <w:t xml:space="preserve"> </w:t>
      </w:r>
      <w:r w:rsidRPr="00EC20A0">
        <w:t>on</w:t>
      </w:r>
      <w:r w:rsidRPr="00EC20A0">
        <w:rPr>
          <w:spacing w:val="-7"/>
        </w:rPr>
        <w:t xml:space="preserve"> </w:t>
      </w:r>
      <w:r w:rsidRPr="00EC20A0">
        <w:t>the</w:t>
      </w:r>
      <w:r w:rsidRPr="00EC20A0">
        <w:rPr>
          <w:spacing w:val="-7"/>
        </w:rPr>
        <w:t xml:space="preserve"> </w:t>
      </w:r>
      <w:r w:rsidRPr="00EC20A0">
        <w:t>financial</w:t>
      </w:r>
      <w:r w:rsidRPr="00EC20A0">
        <w:rPr>
          <w:spacing w:val="-6"/>
        </w:rPr>
        <w:t xml:space="preserve"> </w:t>
      </w:r>
      <w:r w:rsidRPr="00EC20A0">
        <w:t>information</w:t>
      </w:r>
      <w:r w:rsidRPr="00EC20A0">
        <w:rPr>
          <w:spacing w:val="-7"/>
        </w:rPr>
        <w:t xml:space="preserve"> </w:t>
      </w:r>
      <w:r w:rsidRPr="00EC20A0">
        <w:t>of</w:t>
      </w:r>
      <w:r w:rsidRPr="00EC20A0">
        <w:rPr>
          <w:spacing w:val="-7"/>
        </w:rPr>
        <w:t xml:space="preserve"> </w:t>
      </w:r>
      <w:r w:rsidRPr="00EC20A0">
        <w:t>significant</w:t>
      </w:r>
      <w:r w:rsidRPr="00EC20A0">
        <w:rPr>
          <w:spacing w:val="-7"/>
        </w:rPr>
        <w:t xml:space="preserve"> </w:t>
      </w:r>
      <w:r w:rsidRPr="00EC20A0">
        <w:rPr>
          <w:spacing w:val="-2"/>
        </w:rPr>
        <w:t>components,</w:t>
      </w:r>
    </w:p>
    <w:p w14:paraId="24D600C3" w14:textId="77777777" w:rsidR="00245300" w:rsidRPr="00EC20A0" w:rsidRDefault="00245300">
      <w:pPr>
        <w:sectPr w:rsidR="00245300" w:rsidRPr="00EC20A0">
          <w:pgSz w:w="12240" w:h="15840"/>
          <w:pgMar w:top="1340" w:right="940" w:bottom="940" w:left="1020" w:header="721" w:footer="757" w:gutter="0"/>
          <w:cols w:space="720"/>
        </w:sectPr>
      </w:pPr>
    </w:p>
    <w:p w14:paraId="24D600C4" w14:textId="77777777" w:rsidR="00245300" w:rsidRPr="00EC20A0" w:rsidRDefault="00F17249">
      <w:pPr>
        <w:pStyle w:val="ListParagraph"/>
        <w:numPr>
          <w:ilvl w:val="0"/>
          <w:numId w:val="202"/>
        </w:numPr>
        <w:tabs>
          <w:tab w:val="left" w:pos="2219"/>
        </w:tabs>
        <w:spacing w:before="121"/>
        <w:ind w:left="2219" w:hanging="359"/>
      </w:pPr>
      <w:r w:rsidRPr="00EC20A0">
        <w:t>the</w:t>
      </w:r>
      <w:r w:rsidRPr="00EC20A0">
        <w:rPr>
          <w:spacing w:val="-8"/>
        </w:rPr>
        <w:t xml:space="preserve"> </w:t>
      </w:r>
      <w:r w:rsidRPr="00EC20A0">
        <w:t>work</w:t>
      </w:r>
      <w:r w:rsidRPr="00EC20A0">
        <w:rPr>
          <w:spacing w:val="-8"/>
        </w:rPr>
        <w:t xml:space="preserve"> </w:t>
      </w:r>
      <w:r w:rsidRPr="00EC20A0">
        <w:t>performed</w:t>
      </w:r>
      <w:r w:rsidRPr="00EC20A0">
        <w:rPr>
          <w:spacing w:val="-7"/>
        </w:rPr>
        <w:t xml:space="preserve"> </w:t>
      </w:r>
      <w:r w:rsidRPr="00EC20A0">
        <w:t>on</w:t>
      </w:r>
      <w:r w:rsidRPr="00EC20A0">
        <w:rPr>
          <w:spacing w:val="-8"/>
        </w:rPr>
        <w:t xml:space="preserve"> </w:t>
      </w:r>
      <w:r w:rsidRPr="00EC20A0">
        <w:t>group-wide</w:t>
      </w:r>
      <w:r w:rsidRPr="00EC20A0">
        <w:rPr>
          <w:spacing w:val="-7"/>
        </w:rPr>
        <w:t xml:space="preserve"> </w:t>
      </w:r>
      <w:r w:rsidRPr="00EC20A0">
        <w:t>controls</w:t>
      </w:r>
      <w:r w:rsidRPr="00EC20A0">
        <w:rPr>
          <w:spacing w:val="-8"/>
        </w:rPr>
        <w:t xml:space="preserve"> </w:t>
      </w:r>
      <w:r w:rsidRPr="00EC20A0">
        <w:t>and</w:t>
      </w:r>
      <w:r w:rsidRPr="00EC20A0">
        <w:rPr>
          <w:spacing w:val="-7"/>
        </w:rPr>
        <w:t xml:space="preserve"> </w:t>
      </w:r>
      <w:r w:rsidRPr="00EC20A0">
        <w:t>the</w:t>
      </w:r>
      <w:r w:rsidRPr="00EC20A0">
        <w:rPr>
          <w:spacing w:val="-8"/>
        </w:rPr>
        <w:t xml:space="preserve"> </w:t>
      </w:r>
      <w:r w:rsidRPr="00EC20A0">
        <w:t>consolidation</w:t>
      </w:r>
      <w:r w:rsidRPr="00EC20A0">
        <w:rPr>
          <w:spacing w:val="-8"/>
        </w:rPr>
        <w:t xml:space="preserve"> </w:t>
      </w:r>
      <w:r w:rsidRPr="00EC20A0">
        <w:t>process,</w:t>
      </w:r>
      <w:r w:rsidRPr="00EC20A0">
        <w:rPr>
          <w:spacing w:val="-7"/>
        </w:rPr>
        <w:t xml:space="preserve"> </w:t>
      </w:r>
      <w:r w:rsidRPr="00EC20A0">
        <w:rPr>
          <w:spacing w:val="-5"/>
        </w:rPr>
        <w:t>or</w:t>
      </w:r>
    </w:p>
    <w:p w14:paraId="24D600C5" w14:textId="77777777" w:rsidR="00245300" w:rsidRPr="00EC20A0" w:rsidRDefault="00F17249">
      <w:pPr>
        <w:pStyle w:val="ListParagraph"/>
        <w:numPr>
          <w:ilvl w:val="0"/>
          <w:numId w:val="202"/>
        </w:numPr>
        <w:tabs>
          <w:tab w:val="left" w:pos="2218"/>
        </w:tabs>
        <w:ind w:left="2218" w:hanging="359"/>
      </w:pPr>
      <w:r w:rsidRPr="00EC20A0">
        <w:t>the</w:t>
      </w:r>
      <w:r w:rsidRPr="00EC20A0">
        <w:rPr>
          <w:spacing w:val="-8"/>
        </w:rPr>
        <w:t xml:space="preserve"> </w:t>
      </w:r>
      <w:r w:rsidRPr="00EC20A0">
        <w:t>analytical</w:t>
      </w:r>
      <w:r w:rsidRPr="00EC20A0">
        <w:rPr>
          <w:spacing w:val="-7"/>
        </w:rPr>
        <w:t xml:space="preserve"> </w:t>
      </w:r>
      <w:r w:rsidRPr="00EC20A0">
        <w:t>procedures</w:t>
      </w:r>
      <w:r w:rsidRPr="00EC20A0">
        <w:rPr>
          <w:spacing w:val="-7"/>
        </w:rPr>
        <w:t xml:space="preserve"> </w:t>
      </w:r>
      <w:r w:rsidRPr="00EC20A0">
        <w:t>performed</w:t>
      </w:r>
      <w:r w:rsidRPr="00EC20A0">
        <w:rPr>
          <w:spacing w:val="-8"/>
        </w:rPr>
        <w:t xml:space="preserve"> </w:t>
      </w:r>
      <w:r w:rsidRPr="00EC20A0">
        <w:t>at</w:t>
      </w:r>
      <w:r w:rsidRPr="00EC20A0">
        <w:rPr>
          <w:spacing w:val="-7"/>
        </w:rPr>
        <w:t xml:space="preserve"> </w:t>
      </w:r>
      <w:r w:rsidRPr="00EC20A0">
        <w:t>group</w:t>
      </w:r>
      <w:r w:rsidRPr="00EC20A0">
        <w:rPr>
          <w:spacing w:val="-7"/>
        </w:rPr>
        <w:t xml:space="preserve"> </w:t>
      </w:r>
      <w:r w:rsidRPr="00EC20A0">
        <w:rPr>
          <w:spacing w:val="-2"/>
        </w:rPr>
        <w:t>level.</w:t>
      </w:r>
    </w:p>
    <w:p w14:paraId="24D600C6" w14:textId="77777777" w:rsidR="00245300" w:rsidRPr="00EC20A0" w:rsidRDefault="00F17249">
      <w:pPr>
        <w:pStyle w:val="BodyText"/>
        <w:spacing w:before="239"/>
        <w:ind w:left="1859" w:right="562" w:hanging="1"/>
      </w:pPr>
      <w:r w:rsidRPr="00EC20A0">
        <w:t>In such circumstances, the group engagement team should select additional components</w:t>
      </w:r>
      <w:r w:rsidRPr="00EC20A0">
        <w:rPr>
          <w:spacing w:val="-4"/>
        </w:rPr>
        <w:t xml:space="preserve"> </w:t>
      </w:r>
      <w:r w:rsidRPr="00EC20A0">
        <w:t>that</w:t>
      </w:r>
      <w:r w:rsidRPr="00EC20A0">
        <w:rPr>
          <w:spacing w:val="-4"/>
        </w:rPr>
        <w:t xml:space="preserve"> </w:t>
      </w:r>
      <w:r w:rsidRPr="00EC20A0">
        <w:t>are</w:t>
      </w:r>
      <w:r w:rsidRPr="00EC20A0">
        <w:rPr>
          <w:spacing w:val="-4"/>
        </w:rPr>
        <w:t xml:space="preserve"> </w:t>
      </w:r>
      <w:r w:rsidRPr="00EC20A0">
        <w:t>not</w:t>
      </w:r>
      <w:r w:rsidRPr="00EC20A0">
        <w:rPr>
          <w:spacing w:val="-5"/>
        </w:rPr>
        <w:t xml:space="preserve"> </w:t>
      </w:r>
      <w:r w:rsidRPr="00EC20A0">
        <w:t>significant</w:t>
      </w:r>
      <w:r w:rsidRPr="00EC20A0">
        <w:rPr>
          <w:spacing w:val="-4"/>
        </w:rPr>
        <w:t xml:space="preserve"> </w:t>
      </w:r>
      <w:r w:rsidRPr="00EC20A0">
        <w:t>components</w:t>
      </w:r>
      <w:r w:rsidRPr="00EC20A0">
        <w:rPr>
          <w:spacing w:val="-4"/>
        </w:rPr>
        <w:t xml:space="preserve"> </w:t>
      </w:r>
      <w:r w:rsidRPr="00EC20A0">
        <w:t>and</w:t>
      </w:r>
      <w:r w:rsidRPr="00EC20A0">
        <w:rPr>
          <w:spacing w:val="-4"/>
        </w:rPr>
        <w:t xml:space="preserve"> </w:t>
      </w:r>
      <w:r w:rsidRPr="00EC20A0">
        <w:t>should</w:t>
      </w:r>
      <w:r w:rsidRPr="00EC20A0">
        <w:rPr>
          <w:spacing w:val="-5"/>
        </w:rPr>
        <w:t xml:space="preserve"> </w:t>
      </w:r>
      <w:r w:rsidRPr="00EC20A0">
        <w:t>perform</w:t>
      </w:r>
      <w:r w:rsidRPr="00EC20A0">
        <w:rPr>
          <w:spacing w:val="-5"/>
        </w:rPr>
        <w:t xml:space="preserve"> </w:t>
      </w:r>
      <w:r w:rsidRPr="00EC20A0">
        <w:t>or</w:t>
      </w:r>
      <w:r w:rsidRPr="00EC20A0">
        <w:rPr>
          <w:spacing w:val="-4"/>
        </w:rPr>
        <w:t xml:space="preserve"> </w:t>
      </w:r>
      <w:r w:rsidRPr="00EC20A0">
        <w:t xml:space="preserve">request that a </w:t>
      </w:r>
      <w:r w:rsidRPr="00EC20A0">
        <w:t>component auditor perform one or more of the following on the financial information of the individual components selected (AU-C 600A.56):</w:t>
      </w:r>
    </w:p>
    <w:p w14:paraId="24D600C7" w14:textId="77777777" w:rsidR="00245300" w:rsidRPr="00EC20A0" w:rsidRDefault="00F17249">
      <w:pPr>
        <w:pStyle w:val="ListParagraph"/>
        <w:numPr>
          <w:ilvl w:val="0"/>
          <w:numId w:val="201"/>
        </w:numPr>
        <w:tabs>
          <w:tab w:val="left" w:pos="2219"/>
        </w:tabs>
        <w:spacing w:before="241"/>
        <w:ind w:right="660"/>
      </w:pPr>
      <w:r w:rsidRPr="00EC20A0">
        <w:t>an</w:t>
      </w:r>
      <w:r w:rsidRPr="00EC20A0">
        <w:rPr>
          <w:spacing w:val="-4"/>
        </w:rPr>
        <w:t xml:space="preserve"> </w:t>
      </w:r>
      <w:r w:rsidRPr="00EC20A0">
        <w:t>audit,</w:t>
      </w:r>
      <w:r w:rsidRPr="00EC20A0">
        <w:rPr>
          <w:spacing w:val="-4"/>
        </w:rPr>
        <w:t xml:space="preserve"> </w:t>
      </w:r>
      <w:r w:rsidRPr="00EC20A0">
        <w:t>adapted</w:t>
      </w:r>
      <w:r w:rsidRPr="00EC20A0">
        <w:rPr>
          <w:spacing w:val="-4"/>
        </w:rPr>
        <w:t xml:space="preserve"> </w:t>
      </w:r>
      <w:r w:rsidRPr="00EC20A0">
        <w:t>as</w:t>
      </w:r>
      <w:r w:rsidRPr="00EC20A0">
        <w:rPr>
          <w:spacing w:val="-3"/>
        </w:rPr>
        <w:t xml:space="preserve"> </w:t>
      </w:r>
      <w:r w:rsidRPr="00EC20A0">
        <w:t>necessary</w:t>
      </w:r>
      <w:r w:rsidRPr="00EC20A0">
        <w:rPr>
          <w:spacing w:val="-5"/>
        </w:rPr>
        <w:t xml:space="preserve"> </w:t>
      </w:r>
      <w:r w:rsidRPr="00EC20A0">
        <w:t>to</w:t>
      </w:r>
      <w:r w:rsidRPr="00EC20A0">
        <w:rPr>
          <w:spacing w:val="-5"/>
        </w:rPr>
        <w:t xml:space="preserve"> </w:t>
      </w:r>
      <w:r w:rsidRPr="00EC20A0">
        <w:t>meet</w:t>
      </w:r>
      <w:r w:rsidRPr="00EC20A0">
        <w:rPr>
          <w:spacing w:val="-4"/>
        </w:rPr>
        <w:t xml:space="preserve"> </w:t>
      </w:r>
      <w:r w:rsidRPr="00EC20A0">
        <w:t>the</w:t>
      </w:r>
      <w:r w:rsidRPr="00EC20A0">
        <w:rPr>
          <w:spacing w:val="-4"/>
        </w:rPr>
        <w:t xml:space="preserve"> </w:t>
      </w:r>
      <w:r w:rsidRPr="00EC20A0">
        <w:t>needs</w:t>
      </w:r>
      <w:r w:rsidRPr="00EC20A0">
        <w:rPr>
          <w:spacing w:val="-3"/>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 xml:space="preserve">engagement team, of the financial information of the component, using component </w:t>
      </w:r>
      <w:r w:rsidRPr="00EC20A0">
        <w:rPr>
          <w:spacing w:val="-2"/>
        </w:rPr>
        <w:t>materiality;</w:t>
      </w:r>
    </w:p>
    <w:p w14:paraId="24D600C8" w14:textId="77777777" w:rsidR="00245300" w:rsidRPr="00EC20A0" w:rsidRDefault="00F17249">
      <w:pPr>
        <w:pStyle w:val="ListParagraph"/>
        <w:numPr>
          <w:ilvl w:val="0"/>
          <w:numId w:val="201"/>
        </w:numPr>
        <w:tabs>
          <w:tab w:val="left" w:pos="2218"/>
        </w:tabs>
        <w:ind w:left="2218" w:right="661"/>
      </w:pPr>
      <w:r w:rsidRPr="00EC20A0">
        <w:t>an</w:t>
      </w:r>
      <w:r w:rsidRPr="00EC20A0">
        <w:rPr>
          <w:spacing w:val="-4"/>
        </w:rPr>
        <w:t xml:space="preserve"> </w:t>
      </w:r>
      <w:r w:rsidRPr="00EC20A0">
        <w:t>audit,</w:t>
      </w:r>
      <w:r w:rsidRPr="00EC20A0">
        <w:rPr>
          <w:spacing w:val="-4"/>
        </w:rPr>
        <w:t xml:space="preserve"> </w:t>
      </w:r>
      <w:r w:rsidRPr="00EC20A0">
        <w:t>adapted</w:t>
      </w:r>
      <w:r w:rsidRPr="00EC20A0">
        <w:rPr>
          <w:spacing w:val="-4"/>
        </w:rPr>
        <w:t xml:space="preserve"> </w:t>
      </w:r>
      <w:r w:rsidRPr="00EC20A0">
        <w:t>as</w:t>
      </w:r>
      <w:r w:rsidRPr="00EC20A0">
        <w:rPr>
          <w:spacing w:val="-4"/>
        </w:rPr>
        <w:t xml:space="preserve"> </w:t>
      </w:r>
      <w:r w:rsidRPr="00EC20A0">
        <w:t>necessary</w:t>
      </w:r>
      <w:r w:rsidRPr="00EC20A0">
        <w:rPr>
          <w:spacing w:val="-5"/>
        </w:rPr>
        <w:t xml:space="preserve"> </w:t>
      </w:r>
      <w:r w:rsidRPr="00EC20A0">
        <w:t>to</w:t>
      </w:r>
      <w:r w:rsidRPr="00EC20A0">
        <w:rPr>
          <w:spacing w:val="-5"/>
        </w:rPr>
        <w:t xml:space="preserve"> </w:t>
      </w:r>
      <w:r w:rsidRPr="00EC20A0">
        <w:t>meet</w:t>
      </w:r>
      <w:r w:rsidRPr="00EC20A0">
        <w:rPr>
          <w:spacing w:val="-4"/>
        </w:rPr>
        <w:t xml:space="preserve"> </w:t>
      </w:r>
      <w:r w:rsidRPr="00EC20A0">
        <w:t>the</w:t>
      </w:r>
      <w:r w:rsidRPr="00EC20A0">
        <w:rPr>
          <w:spacing w:val="-4"/>
        </w:rPr>
        <w:t xml:space="preserve"> </w:t>
      </w:r>
      <w:r w:rsidRPr="00EC20A0">
        <w:t>needs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 xml:space="preserve">engagement team, of one or more line items, accounts, note disclosures, or classes of </w:t>
      </w:r>
      <w:r w:rsidRPr="00EC20A0">
        <w:rPr>
          <w:spacing w:val="-2"/>
        </w:rPr>
        <w:t>transactions;</w:t>
      </w:r>
    </w:p>
    <w:p w14:paraId="24D600C9" w14:textId="77777777" w:rsidR="00245300" w:rsidRPr="00EC20A0" w:rsidRDefault="00F17249">
      <w:pPr>
        <w:pStyle w:val="ListParagraph"/>
        <w:numPr>
          <w:ilvl w:val="0"/>
          <w:numId w:val="201"/>
        </w:numPr>
        <w:tabs>
          <w:tab w:val="left" w:pos="2217"/>
        </w:tabs>
        <w:ind w:left="2217" w:right="577"/>
      </w:pPr>
      <w:r w:rsidRPr="00EC20A0">
        <w:t>a</w:t>
      </w:r>
      <w:r w:rsidRPr="00EC20A0">
        <w:rPr>
          <w:spacing w:val="-4"/>
        </w:rPr>
        <w:t xml:space="preserve"> </w:t>
      </w:r>
      <w:r w:rsidRPr="00EC20A0">
        <w:t>review</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information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adapted</w:t>
      </w:r>
      <w:r w:rsidRPr="00EC20A0">
        <w:rPr>
          <w:spacing w:val="-4"/>
        </w:rPr>
        <w:t xml:space="preserve"> </w:t>
      </w:r>
      <w:r w:rsidRPr="00EC20A0">
        <w:t>as</w:t>
      </w:r>
      <w:r w:rsidRPr="00EC20A0">
        <w:rPr>
          <w:spacing w:val="-4"/>
        </w:rPr>
        <w:t xml:space="preserve"> </w:t>
      </w:r>
      <w:r w:rsidRPr="00EC20A0">
        <w:t>necessary to meet the needs of the group engagement team, using component materiality; or</w:t>
      </w:r>
    </w:p>
    <w:p w14:paraId="24D600CA" w14:textId="77777777" w:rsidR="00245300" w:rsidRPr="00EC20A0" w:rsidRDefault="00F17249">
      <w:pPr>
        <w:pStyle w:val="ListParagraph"/>
        <w:numPr>
          <w:ilvl w:val="0"/>
          <w:numId w:val="201"/>
        </w:numPr>
        <w:tabs>
          <w:tab w:val="left" w:pos="2217"/>
        </w:tabs>
        <w:ind w:left="2217" w:hanging="359"/>
      </w:pPr>
      <w:r w:rsidRPr="00EC20A0">
        <w:t>specified</w:t>
      </w:r>
      <w:r w:rsidRPr="00EC20A0">
        <w:rPr>
          <w:spacing w:val="-9"/>
        </w:rPr>
        <w:t xml:space="preserve"> </w:t>
      </w:r>
      <w:r w:rsidRPr="00EC20A0">
        <w:t>audit</w:t>
      </w:r>
      <w:r w:rsidRPr="00EC20A0">
        <w:rPr>
          <w:spacing w:val="-7"/>
        </w:rPr>
        <w:t xml:space="preserve"> </w:t>
      </w:r>
      <w:r w:rsidRPr="00EC20A0">
        <w:rPr>
          <w:spacing w:val="-2"/>
        </w:rPr>
        <w:t>procedures.</w:t>
      </w:r>
    </w:p>
    <w:p w14:paraId="24D600CB" w14:textId="77777777" w:rsidR="00245300" w:rsidRPr="00EC20A0" w:rsidRDefault="00F17249">
      <w:pPr>
        <w:pStyle w:val="BodyText"/>
        <w:spacing w:before="240"/>
        <w:ind w:left="1858" w:right="562"/>
      </w:pP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vary</w:t>
      </w:r>
      <w:r w:rsidRPr="00EC20A0">
        <w:rPr>
          <w:spacing w:val="-4"/>
        </w:rPr>
        <w:t xml:space="preserve"> </w:t>
      </w:r>
      <w:r w:rsidRPr="00EC20A0">
        <w:t>the</w:t>
      </w:r>
      <w:r w:rsidRPr="00EC20A0">
        <w:rPr>
          <w:spacing w:val="-4"/>
        </w:rPr>
        <w:t xml:space="preserve"> </w:t>
      </w:r>
      <w:r w:rsidRPr="00EC20A0">
        <w:t>selection</w:t>
      </w:r>
      <w:r w:rsidRPr="00EC20A0">
        <w:rPr>
          <w:spacing w:val="-4"/>
        </w:rPr>
        <w:t xml:space="preserve"> </w:t>
      </w:r>
      <w:r w:rsidRPr="00EC20A0">
        <w:t>of</w:t>
      </w:r>
      <w:r w:rsidRPr="00EC20A0">
        <w:rPr>
          <w:spacing w:val="-4"/>
        </w:rPr>
        <w:t xml:space="preserve"> </w:t>
      </w:r>
      <w:r w:rsidRPr="00EC20A0">
        <w:t>such</w:t>
      </w:r>
      <w:r w:rsidRPr="00EC20A0">
        <w:rPr>
          <w:spacing w:val="-4"/>
        </w:rPr>
        <w:t xml:space="preserve"> </w:t>
      </w:r>
      <w:r w:rsidRPr="00EC20A0">
        <w:t>individual components over a period of time (AU-C 600A.56).</w:t>
      </w:r>
    </w:p>
    <w:p w14:paraId="24D600CC" w14:textId="77777777" w:rsidR="00245300" w:rsidRPr="00EC20A0" w:rsidRDefault="00F17249">
      <w:pPr>
        <w:pStyle w:val="Heading4"/>
      </w:pPr>
      <w:bookmarkStart w:id="68" w:name="Involvement_in_the_Work_Performed_by_Com"/>
      <w:bookmarkEnd w:id="68"/>
      <w:r w:rsidRPr="00EC20A0">
        <w:t>Involvement</w:t>
      </w:r>
      <w:r w:rsidRPr="00EC20A0">
        <w:rPr>
          <w:spacing w:val="-12"/>
        </w:rPr>
        <w:t xml:space="preserve"> </w:t>
      </w:r>
      <w:r w:rsidRPr="00EC20A0">
        <w:t>in</w:t>
      </w:r>
      <w:r w:rsidRPr="00EC20A0">
        <w:rPr>
          <w:spacing w:val="-12"/>
        </w:rPr>
        <w:t xml:space="preserve"> </w:t>
      </w:r>
      <w:r w:rsidRPr="00EC20A0">
        <w:t>the</w:t>
      </w:r>
      <w:r w:rsidRPr="00EC20A0">
        <w:rPr>
          <w:spacing w:val="-11"/>
        </w:rPr>
        <w:t xml:space="preserve"> </w:t>
      </w:r>
      <w:r w:rsidRPr="00EC20A0">
        <w:t>Work</w:t>
      </w:r>
      <w:r w:rsidRPr="00EC20A0">
        <w:rPr>
          <w:spacing w:val="-11"/>
        </w:rPr>
        <w:t xml:space="preserve"> </w:t>
      </w:r>
      <w:r w:rsidRPr="00EC20A0">
        <w:t>Performed</w:t>
      </w:r>
      <w:r w:rsidRPr="00EC20A0">
        <w:rPr>
          <w:spacing w:val="-12"/>
        </w:rPr>
        <w:t xml:space="preserve"> </w:t>
      </w:r>
      <w:r w:rsidRPr="00EC20A0">
        <w:t>by</w:t>
      </w:r>
      <w:r w:rsidRPr="00EC20A0">
        <w:rPr>
          <w:spacing w:val="-11"/>
        </w:rPr>
        <w:t xml:space="preserve"> </w:t>
      </w:r>
      <w:r w:rsidRPr="00EC20A0">
        <w:t>Component</w:t>
      </w:r>
      <w:r w:rsidRPr="00EC20A0">
        <w:rPr>
          <w:spacing w:val="-11"/>
        </w:rPr>
        <w:t xml:space="preserve"> </w:t>
      </w:r>
      <w:r w:rsidRPr="00EC20A0">
        <w:rPr>
          <w:spacing w:val="-2"/>
        </w:rPr>
        <w:t>Auditors</w:t>
      </w:r>
    </w:p>
    <w:p w14:paraId="24D600CD" w14:textId="77777777" w:rsidR="00245300" w:rsidRPr="00EC20A0" w:rsidRDefault="00F17249">
      <w:pPr>
        <w:pStyle w:val="Heading5"/>
        <w:spacing w:before="240"/>
        <w:ind w:left="1140"/>
        <w:rPr>
          <w:u w:val="none"/>
        </w:rPr>
      </w:pPr>
      <w:bookmarkStart w:id="69" w:name="Significant_Components_–_Risk_Assessment"/>
      <w:bookmarkEnd w:id="69"/>
      <w:r w:rsidRPr="00EC20A0">
        <w:t>Significant</w:t>
      </w:r>
      <w:r w:rsidRPr="00EC20A0">
        <w:rPr>
          <w:spacing w:val="-5"/>
        </w:rPr>
        <w:t xml:space="preserve"> </w:t>
      </w:r>
      <w:r w:rsidRPr="00EC20A0">
        <w:t>Components</w:t>
      </w:r>
      <w:r w:rsidRPr="00EC20A0">
        <w:rPr>
          <w:spacing w:val="-3"/>
        </w:rPr>
        <w:t xml:space="preserve"> </w:t>
      </w:r>
      <w:r w:rsidRPr="00EC20A0">
        <w:t>–</w:t>
      </w:r>
      <w:r w:rsidRPr="00EC20A0">
        <w:rPr>
          <w:spacing w:val="-4"/>
        </w:rPr>
        <w:t xml:space="preserve"> </w:t>
      </w:r>
      <w:r w:rsidRPr="00EC20A0">
        <w:t>Risk</w:t>
      </w:r>
      <w:r w:rsidRPr="00EC20A0">
        <w:rPr>
          <w:spacing w:val="-4"/>
        </w:rPr>
        <w:t xml:space="preserve"> </w:t>
      </w:r>
      <w:r w:rsidRPr="00EC20A0">
        <w:rPr>
          <w:spacing w:val="-2"/>
        </w:rPr>
        <w:t>Assessment</w:t>
      </w:r>
    </w:p>
    <w:p w14:paraId="24D600CE" w14:textId="77777777" w:rsidR="00245300" w:rsidRPr="00EC20A0" w:rsidRDefault="00F17249">
      <w:pPr>
        <w:pStyle w:val="ListParagraph"/>
        <w:numPr>
          <w:ilvl w:val="0"/>
          <w:numId w:val="214"/>
        </w:numPr>
        <w:tabs>
          <w:tab w:val="left" w:pos="1858"/>
        </w:tabs>
        <w:ind w:left="1858" w:right="556" w:hanging="719"/>
      </w:pPr>
      <w:r w:rsidRPr="00EC20A0">
        <w:t>When</w:t>
      </w:r>
      <w:r w:rsidRPr="00EC20A0">
        <w:rPr>
          <w:spacing w:val="-4"/>
        </w:rPr>
        <w:t xml:space="preserve"> </w:t>
      </w:r>
      <w:r w:rsidRPr="00EC20A0">
        <w:t>a</w:t>
      </w:r>
      <w:r w:rsidRPr="00EC20A0">
        <w:rPr>
          <w:spacing w:val="-4"/>
        </w:rPr>
        <w:t xml:space="preserve"> </w:t>
      </w:r>
      <w:r w:rsidRPr="00EC20A0">
        <w:t>component</w:t>
      </w:r>
      <w:r w:rsidRPr="00EC20A0">
        <w:rPr>
          <w:spacing w:val="-4"/>
        </w:rPr>
        <w:t xml:space="preserve"> </w:t>
      </w:r>
      <w:r w:rsidRPr="00EC20A0">
        <w:t>auditor</w:t>
      </w:r>
      <w:r w:rsidRPr="00EC20A0">
        <w:rPr>
          <w:spacing w:val="-4"/>
        </w:rPr>
        <w:t xml:space="preserve"> </w:t>
      </w:r>
      <w:r w:rsidRPr="00EC20A0">
        <w:t>performs</w:t>
      </w:r>
      <w:r w:rsidRPr="00EC20A0">
        <w:rPr>
          <w:spacing w:val="-4"/>
        </w:rPr>
        <w:t xml:space="preserve"> </w:t>
      </w:r>
      <w:r w:rsidRPr="00EC20A0">
        <w:t>an</w:t>
      </w:r>
      <w:r w:rsidRPr="00EC20A0">
        <w:rPr>
          <w:spacing w:val="-4"/>
        </w:rPr>
        <w:t xml:space="preserve"> </w:t>
      </w:r>
      <w:r w:rsidRPr="00EC20A0">
        <w:t>audit</w:t>
      </w:r>
      <w:r w:rsidRPr="00EC20A0">
        <w:rPr>
          <w:spacing w:val="-4"/>
        </w:rPr>
        <w:t xml:space="preserve"> </w:t>
      </w:r>
      <w:r w:rsidRPr="00EC20A0">
        <w:t>or</w:t>
      </w:r>
      <w:r w:rsidRPr="00EC20A0">
        <w:rPr>
          <w:spacing w:val="-4"/>
        </w:rPr>
        <w:t xml:space="preserve"> </w:t>
      </w:r>
      <w:r w:rsidRPr="00EC20A0">
        <w:t>other</w:t>
      </w:r>
      <w:r w:rsidRPr="00EC20A0">
        <w:rPr>
          <w:spacing w:val="-4"/>
        </w:rPr>
        <w:t xml:space="preserve"> </w:t>
      </w:r>
      <w:r w:rsidRPr="00EC20A0">
        <w:t>specified</w:t>
      </w:r>
      <w:r w:rsidRPr="00EC20A0">
        <w:rPr>
          <w:spacing w:val="-4"/>
        </w:rPr>
        <w:t xml:space="preserve"> </w:t>
      </w:r>
      <w:r w:rsidRPr="00EC20A0">
        <w:t>audit</w:t>
      </w:r>
      <w:r w:rsidRPr="00EC20A0">
        <w:rPr>
          <w:spacing w:val="-5"/>
        </w:rPr>
        <w:t xml:space="preserve"> </w:t>
      </w:r>
      <w:r w:rsidRPr="00EC20A0">
        <w:t>procedures of</w:t>
      </w:r>
      <w:r w:rsidRPr="00EC20A0">
        <w:rPr>
          <w:spacing w:val="-2"/>
        </w:rPr>
        <w:t xml:space="preserve"> </w:t>
      </w:r>
      <w:r w:rsidRPr="00EC20A0">
        <w:t>the</w:t>
      </w:r>
      <w:r w:rsidRPr="00EC20A0">
        <w:rPr>
          <w:spacing w:val="-2"/>
        </w:rPr>
        <w:t xml:space="preserve"> </w:t>
      </w:r>
      <w:r w:rsidRPr="00EC20A0">
        <w:t>financial</w:t>
      </w:r>
      <w:r w:rsidRPr="00EC20A0">
        <w:rPr>
          <w:spacing w:val="-2"/>
        </w:rPr>
        <w:t xml:space="preserve"> </w:t>
      </w:r>
      <w:r w:rsidRPr="00EC20A0">
        <w:t>information</w:t>
      </w:r>
      <w:r w:rsidRPr="00EC20A0">
        <w:rPr>
          <w:spacing w:val="-2"/>
        </w:rPr>
        <w:t xml:space="preserve"> </w:t>
      </w:r>
      <w:r w:rsidRPr="00EC20A0">
        <w:t>of</w:t>
      </w:r>
      <w:r w:rsidRPr="00EC20A0">
        <w:rPr>
          <w:spacing w:val="-2"/>
        </w:rPr>
        <w:t xml:space="preserve"> </w:t>
      </w:r>
      <w:r w:rsidRPr="00EC20A0">
        <w:t>a</w:t>
      </w:r>
      <w:r w:rsidRPr="00EC20A0">
        <w:rPr>
          <w:spacing w:val="-2"/>
        </w:rPr>
        <w:t xml:space="preserve"> </w:t>
      </w:r>
      <w:r w:rsidRPr="00EC20A0">
        <w:t>significant</w:t>
      </w:r>
      <w:r w:rsidRPr="00EC20A0">
        <w:rPr>
          <w:spacing w:val="-2"/>
        </w:rPr>
        <w:t xml:space="preserve"> </w:t>
      </w:r>
      <w:r w:rsidRPr="00EC20A0">
        <w:t>component</w:t>
      </w:r>
      <w:r w:rsidRPr="00EC20A0">
        <w:rPr>
          <w:spacing w:val="-2"/>
        </w:rPr>
        <w:t xml:space="preserve"> </w:t>
      </w:r>
      <w:r w:rsidRPr="00EC20A0">
        <w:t>for</w:t>
      </w:r>
      <w:r w:rsidRPr="00EC20A0">
        <w:rPr>
          <w:spacing w:val="-2"/>
        </w:rPr>
        <w:t xml:space="preserve"> </w:t>
      </w:r>
      <w:r w:rsidRPr="00EC20A0">
        <w:t>which</w:t>
      </w:r>
      <w:r w:rsidRPr="00EC20A0">
        <w:rPr>
          <w:spacing w:val="-2"/>
        </w:rPr>
        <w:t xml:space="preserve"> </w:t>
      </w:r>
      <w:r w:rsidRPr="00EC20A0">
        <w:t>the</w:t>
      </w:r>
      <w:r w:rsidRPr="00EC20A0">
        <w:rPr>
          <w:spacing w:val="-2"/>
        </w:rPr>
        <w:t xml:space="preserve"> </w:t>
      </w:r>
      <w:r w:rsidRPr="00EC20A0">
        <w:t>auditor</w:t>
      </w:r>
      <w:r w:rsidRPr="00EC20A0">
        <w:rPr>
          <w:spacing w:val="-2"/>
        </w:rPr>
        <w:t xml:space="preserve"> </w:t>
      </w:r>
      <w:r w:rsidRPr="00EC20A0">
        <w:t>of</w:t>
      </w:r>
      <w:r w:rsidRPr="00EC20A0">
        <w:rPr>
          <w:spacing w:val="-2"/>
        </w:rPr>
        <w:t xml:space="preserve"> </w:t>
      </w:r>
      <w:r w:rsidRPr="00EC20A0">
        <w:t>the group</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is</w:t>
      </w:r>
      <w:r w:rsidRPr="00EC20A0">
        <w:rPr>
          <w:spacing w:val="-3"/>
        </w:rPr>
        <w:t xml:space="preserve"> </w:t>
      </w:r>
      <w:r w:rsidRPr="00EC20A0">
        <w:t>assuming</w:t>
      </w:r>
      <w:r w:rsidRPr="00EC20A0">
        <w:rPr>
          <w:spacing w:val="-3"/>
        </w:rPr>
        <w:t xml:space="preserve"> </w:t>
      </w:r>
      <w:r w:rsidRPr="00EC20A0">
        <w:t>responsibility</w:t>
      </w:r>
      <w:r w:rsidRPr="00EC20A0">
        <w:rPr>
          <w:spacing w:val="-3"/>
        </w:rPr>
        <w:t xml:space="preserve"> </w:t>
      </w:r>
      <w:r w:rsidRPr="00EC20A0">
        <w:t>for</w:t>
      </w:r>
      <w:r w:rsidRPr="00EC20A0">
        <w:rPr>
          <w:spacing w:val="-5"/>
        </w:rPr>
        <w:t xml:space="preserve"> </w:t>
      </w:r>
      <w:r w:rsidRPr="00EC20A0">
        <w:t>the</w:t>
      </w:r>
      <w:r w:rsidRPr="00EC20A0">
        <w:rPr>
          <w:spacing w:val="-4"/>
        </w:rPr>
        <w:t xml:space="preserve"> </w:t>
      </w:r>
      <w:r w:rsidRPr="00EC20A0">
        <w:t>component</w:t>
      </w:r>
      <w:r w:rsidRPr="00EC20A0">
        <w:rPr>
          <w:spacing w:val="-3"/>
        </w:rPr>
        <w:t xml:space="preserve"> </w:t>
      </w:r>
      <w:r w:rsidRPr="00EC20A0">
        <w:t>auditor’s work, the group engagement team should be involved in the risk assessment of the component to identify significant risks of material misstatement of the group financial statements. The nature, timing, and extent of this involvement are affected by the group engagement team</w:t>
      </w:r>
      <w:r w:rsidRPr="00EC20A0">
        <w:t>’s understanding of the component auditor but, at a minimum, should include the following (AU-C 600A.57):</w:t>
      </w:r>
    </w:p>
    <w:p w14:paraId="24D600CF" w14:textId="77777777" w:rsidR="00245300" w:rsidRPr="00EC20A0" w:rsidRDefault="00F17249">
      <w:pPr>
        <w:pStyle w:val="ListParagraph"/>
        <w:numPr>
          <w:ilvl w:val="0"/>
          <w:numId w:val="200"/>
        </w:numPr>
        <w:tabs>
          <w:tab w:val="left" w:pos="2218"/>
        </w:tabs>
        <w:spacing w:before="239"/>
        <w:ind w:right="1212"/>
      </w:pPr>
      <w:r w:rsidRPr="00EC20A0">
        <w:t>discussing</w:t>
      </w:r>
      <w:r w:rsidRPr="00EC20A0">
        <w:rPr>
          <w:spacing w:val="-6"/>
        </w:rPr>
        <w:t xml:space="preserve"> </w:t>
      </w:r>
      <w:r w:rsidRPr="00EC20A0">
        <w:t>with</w:t>
      </w:r>
      <w:r w:rsidRPr="00EC20A0">
        <w:rPr>
          <w:spacing w:val="-5"/>
        </w:rPr>
        <w:t xml:space="preserve"> </w:t>
      </w:r>
      <w:r w:rsidRPr="00EC20A0">
        <w:t>the</w:t>
      </w:r>
      <w:r w:rsidRPr="00EC20A0">
        <w:rPr>
          <w:spacing w:val="-5"/>
        </w:rPr>
        <w:t xml:space="preserve"> </w:t>
      </w:r>
      <w:r w:rsidRPr="00EC20A0">
        <w:t>component</w:t>
      </w:r>
      <w:r w:rsidRPr="00EC20A0">
        <w:rPr>
          <w:spacing w:val="-5"/>
        </w:rPr>
        <w:t xml:space="preserve"> </w:t>
      </w:r>
      <w:r w:rsidRPr="00EC20A0">
        <w:t>auditor</w:t>
      </w:r>
      <w:r w:rsidRPr="00EC20A0">
        <w:rPr>
          <w:spacing w:val="-5"/>
        </w:rPr>
        <w:t xml:space="preserve"> </w:t>
      </w:r>
      <w:r w:rsidRPr="00EC20A0">
        <w:t>or</w:t>
      </w:r>
      <w:r w:rsidRPr="00EC20A0">
        <w:rPr>
          <w:spacing w:val="-5"/>
        </w:rPr>
        <w:t xml:space="preserve"> </w:t>
      </w:r>
      <w:r w:rsidRPr="00EC20A0">
        <w:t>component</w:t>
      </w:r>
      <w:r w:rsidRPr="00EC20A0">
        <w:rPr>
          <w:spacing w:val="-5"/>
        </w:rPr>
        <w:t xml:space="preserve"> </w:t>
      </w:r>
      <w:r w:rsidRPr="00EC20A0">
        <w:t>management</w:t>
      </w:r>
      <w:r w:rsidRPr="00EC20A0">
        <w:rPr>
          <w:spacing w:val="-5"/>
        </w:rPr>
        <w:t xml:space="preserve"> </w:t>
      </w:r>
      <w:r w:rsidRPr="00EC20A0">
        <w:t>the component’s business activities of significance to the group,</w:t>
      </w:r>
    </w:p>
    <w:p w14:paraId="24D600D0" w14:textId="77777777" w:rsidR="00245300" w:rsidRPr="00EC20A0" w:rsidRDefault="00F17249">
      <w:pPr>
        <w:pStyle w:val="ListParagraph"/>
        <w:numPr>
          <w:ilvl w:val="0"/>
          <w:numId w:val="200"/>
        </w:numPr>
        <w:tabs>
          <w:tab w:val="left" w:pos="2218"/>
        </w:tabs>
        <w:spacing w:before="241"/>
        <w:ind w:right="648"/>
      </w:pPr>
      <w:r w:rsidRPr="00EC20A0">
        <w:t>discussing</w:t>
      </w:r>
      <w:r w:rsidRPr="00EC20A0">
        <w:rPr>
          <w:spacing w:val="-5"/>
        </w:rPr>
        <w:t xml:space="preserve"> </w:t>
      </w:r>
      <w:r w:rsidRPr="00EC20A0">
        <w:t>with</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w:t>
      </w:r>
      <w:r w:rsidRPr="00EC20A0">
        <w:rPr>
          <w:spacing w:val="-4"/>
        </w:rPr>
        <w:t xml:space="preserve"> </w:t>
      </w:r>
      <w:r w:rsidRPr="00EC20A0">
        <w:t>the</w:t>
      </w:r>
      <w:r w:rsidRPr="00EC20A0">
        <w:rPr>
          <w:spacing w:val="-4"/>
        </w:rPr>
        <w:t xml:space="preserve"> </w:t>
      </w:r>
      <w:r w:rsidRPr="00EC20A0">
        <w:t>susceptibility</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component</w:t>
      </w:r>
      <w:r w:rsidRPr="00EC20A0">
        <w:rPr>
          <w:spacing w:val="-4"/>
        </w:rPr>
        <w:t xml:space="preserve"> </w:t>
      </w:r>
      <w:r w:rsidRPr="00EC20A0">
        <w:t>to material misstatement of the financial information due to fraud or error, and</w:t>
      </w:r>
    </w:p>
    <w:p w14:paraId="24D600D1" w14:textId="77777777" w:rsidR="00245300" w:rsidRPr="00EC20A0" w:rsidRDefault="00F17249">
      <w:pPr>
        <w:pStyle w:val="ListParagraph"/>
        <w:numPr>
          <w:ilvl w:val="0"/>
          <w:numId w:val="200"/>
        </w:numPr>
        <w:tabs>
          <w:tab w:val="left" w:pos="2217"/>
        </w:tabs>
        <w:ind w:left="2217" w:right="660"/>
      </w:pPr>
      <w:r w:rsidRPr="00EC20A0">
        <w:t>reviewing the component auditor’s documentation of identified significant risks of material misstatement of the group financial statements—such documentation may take the form of a memorandum that reflects the component</w:t>
      </w:r>
      <w:r w:rsidRPr="00EC20A0">
        <w:rPr>
          <w:spacing w:val="-4"/>
        </w:rPr>
        <w:t xml:space="preserve"> </w:t>
      </w:r>
      <w:r w:rsidRPr="00EC20A0">
        <w:t>auditor’s</w:t>
      </w:r>
      <w:r w:rsidRPr="00EC20A0">
        <w:rPr>
          <w:spacing w:val="-4"/>
        </w:rPr>
        <w:t xml:space="preserve"> </w:t>
      </w:r>
      <w:r w:rsidRPr="00EC20A0">
        <w:t>conclusion</w:t>
      </w:r>
      <w:r w:rsidRPr="00EC20A0">
        <w:rPr>
          <w:spacing w:val="-4"/>
        </w:rPr>
        <w:t xml:space="preserve"> </w:t>
      </w:r>
      <w:r w:rsidRPr="00EC20A0">
        <w:t>with</w:t>
      </w:r>
      <w:r w:rsidRPr="00EC20A0">
        <w:rPr>
          <w:spacing w:val="-4"/>
        </w:rPr>
        <w:t xml:space="preserve"> </w:t>
      </w:r>
      <w:r w:rsidRPr="00EC20A0">
        <w:t>regard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identified</w:t>
      </w:r>
      <w:r w:rsidRPr="00EC20A0">
        <w:rPr>
          <w:spacing w:val="-5"/>
        </w:rPr>
        <w:t xml:space="preserve"> </w:t>
      </w:r>
      <w:r w:rsidRPr="00EC20A0">
        <w:t>significant</w:t>
      </w:r>
      <w:r w:rsidRPr="00EC20A0">
        <w:rPr>
          <w:spacing w:val="-4"/>
        </w:rPr>
        <w:t xml:space="preserve"> </w:t>
      </w:r>
      <w:r w:rsidRPr="00EC20A0">
        <w:t>risks.</w:t>
      </w:r>
    </w:p>
    <w:p w14:paraId="24D600D2" w14:textId="77777777" w:rsidR="00245300" w:rsidRPr="00EC20A0" w:rsidRDefault="00245300">
      <w:pPr>
        <w:sectPr w:rsidR="00245300" w:rsidRPr="00EC20A0">
          <w:pgSz w:w="12240" w:h="15840"/>
          <w:pgMar w:top="1340" w:right="940" w:bottom="940" w:left="1020" w:header="721" w:footer="757" w:gutter="0"/>
          <w:cols w:space="720"/>
        </w:sectPr>
      </w:pPr>
    </w:p>
    <w:p w14:paraId="24D600D3" w14:textId="77777777" w:rsidR="00245300" w:rsidRPr="00EC20A0" w:rsidRDefault="00F17249">
      <w:pPr>
        <w:pStyle w:val="Heading4"/>
        <w:spacing w:before="121"/>
        <w:ind w:left="419"/>
      </w:pPr>
      <w:bookmarkStart w:id="70" w:name="Further_Audit_Procedures_for_Identified_"/>
      <w:bookmarkEnd w:id="70"/>
      <w:r w:rsidRPr="00EC20A0">
        <w:t>Further</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for</w:t>
      </w:r>
      <w:r w:rsidRPr="00EC20A0">
        <w:rPr>
          <w:spacing w:val="-5"/>
        </w:rPr>
        <w:t xml:space="preserve"> </w:t>
      </w:r>
      <w:r w:rsidRPr="00EC20A0">
        <w:t>Identified</w:t>
      </w:r>
      <w:r w:rsidRPr="00EC20A0">
        <w:rPr>
          <w:spacing w:val="-6"/>
        </w:rPr>
        <w:t xml:space="preserve"> </w:t>
      </w:r>
      <w:r w:rsidRPr="00EC20A0">
        <w:t>Significant</w:t>
      </w:r>
      <w:r w:rsidRPr="00EC20A0">
        <w:rPr>
          <w:spacing w:val="-5"/>
        </w:rPr>
        <w:t xml:space="preserve"> </w:t>
      </w:r>
      <w:r w:rsidRPr="00EC20A0">
        <w:t>Risk</w:t>
      </w:r>
      <w:r w:rsidRPr="00EC20A0">
        <w:rPr>
          <w:spacing w:val="-5"/>
        </w:rPr>
        <w:t xml:space="preserve"> </w:t>
      </w:r>
      <w:r w:rsidRPr="00EC20A0">
        <w:t>of</w:t>
      </w:r>
      <w:r w:rsidRPr="00EC20A0">
        <w:rPr>
          <w:spacing w:val="-5"/>
        </w:rPr>
        <w:t xml:space="preserve"> </w:t>
      </w:r>
      <w:r w:rsidRPr="00EC20A0">
        <w:t>Material Misstatement of the Group Financial Statements</w:t>
      </w:r>
    </w:p>
    <w:p w14:paraId="24D600D4" w14:textId="77777777" w:rsidR="00245300" w:rsidRPr="00EC20A0" w:rsidRDefault="00F17249">
      <w:pPr>
        <w:pStyle w:val="ListParagraph"/>
        <w:numPr>
          <w:ilvl w:val="0"/>
          <w:numId w:val="214"/>
        </w:numPr>
        <w:tabs>
          <w:tab w:val="left" w:pos="1860"/>
        </w:tabs>
        <w:spacing w:before="239"/>
        <w:ind w:left="1860" w:right="592"/>
      </w:pPr>
      <w:r w:rsidRPr="00EC20A0">
        <w:t>When</w:t>
      </w:r>
      <w:r w:rsidRPr="00EC20A0">
        <w:rPr>
          <w:spacing w:val="-4"/>
        </w:rPr>
        <w:t xml:space="preserve"> </w:t>
      </w:r>
      <w:r w:rsidRPr="00EC20A0">
        <w:t>significant</w:t>
      </w:r>
      <w:r w:rsidRPr="00EC20A0">
        <w:rPr>
          <w:spacing w:val="-4"/>
        </w:rPr>
        <w:t xml:space="preserve"> </w:t>
      </w:r>
      <w:r w:rsidRPr="00EC20A0">
        <w:t>risks</w:t>
      </w:r>
      <w:r w:rsidRPr="00EC20A0">
        <w:rPr>
          <w:spacing w:val="-4"/>
        </w:rPr>
        <w:t xml:space="preserve"> </w:t>
      </w:r>
      <w:r w:rsidRPr="00EC20A0">
        <w:t>of</w:t>
      </w:r>
      <w:r w:rsidRPr="00EC20A0">
        <w:rPr>
          <w:spacing w:val="-5"/>
        </w:rPr>
        <w:t xml:space="preserve"> </w:t>
      </w:r>
      <w:r w:rsidRPr="00EC20A0">
        <w:t>material</w:t>
      </w:r>
      <w:r w:rsidRPr="00EC20A0">
        <w:rPr>
          <w:spacing w:val="-4"/>
        </w:rPr>
        <w:t xml:space="preserve"> </w:t>
      </w:r>
      <w:r w:rsidRPr="00EC20A0">
        <w:t>misstatement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5"/>
        </w:rPr>
        <w:t xml:space="preserve"> </w:t>
      </w:r>
      <w:r w:rsidRPr="00EC20A0">
        <w:t>financial</w:t>
      </w:r>
      <w:r w:rsidRPr="00EC20A0">
        <w:rPr>
          <w:spacing w:val="-5"/>
        </w:rPr>
        <w:t xml:space="preserve"> </w:t>
      </w:r>
      <w:r w:rsidRPr="00EC20A0">
        <w:t xml:space="preserve">statements have been identified at a component for which the auditor of the group financial statements is assuming </w:t>
      </w:r>
      <w:r w:rsidRPr="00EC20A0">
        <w:t>responsibility for the work of the component’s auditor, the group engagement team should evaluate the appropriateness of the further audit procedures to be performed to respond to the identified significant risks of material misstatement of the group financial statements. Based on its understanding of the component auditor, the group engagement team should determine whether it is necessary to be involved in the further audit procedures (AU-C 600A.58).</w:t>
      </w:r>
    </w:p>
    <w:p w14:paraId="24D600D5" w14:textId="77777777" w:rsidR="00245300" w:rsidRPr="00EC20A0" w:rsidRDefault="00F17249">
      <w:pPr>
        <w:pStyle w:val="Heading5"/>
        <w:ind w:left="1140"/>
        <w:rPr>
          <w:u w:val="none"/>
        </w:rPr>
      </w:pPr>
      <w:bookmarkStart w:id="71" w:name="Subsequent_Events"/>
      <w:bookmarkEnd w:id="71"/>
      <w:r w:rsidRPr="00EC20A0">
        <w:t>Subsequent</w:t>
      </w:r>
      <w:r w:rsidRPr="00EC20A0">
        <w:rPr>
          <w:spacing w:val="-7"/>
        </w:rPr>
        <w:t xml:space="preserve"> </w:t>
      </w:r>
      <w:r w:rsidRPr="00EC20A0">
        <w:rPr>
          <w:spacing w:val="-2"/>
        </w:rPr>
        <w:t>Events</w:t>
      </w:r>
    </w:p>
    <w:p w14:paraId="24D600D6" w14:textId="77777777" w:rsidR="00245300" w:rsidRPr="00EC20A0" w:rsidRDefault="00F17249">
      <w:pPr>
        <w:pStyle w:val="ListParagraph"/>
        <w:numPr>
          <w:ilvl w:val="0"/>
          <w:numId w:val="214"/>
        </w:numPr>
        <w:tabs>
          <w:tab w:val="left" w:pos="1858"/>
        </w:tabs>
        <w:ind w:left="1858" w:right="591" w:hanging="719"/>
      </w:pPr>
      <w:r w:rsidRPr="00EC20A0">
        <w:t>When component auditors perform work other than audits of the components’ financial information at the request of the group engagement team, the group engagement team should request that the component auditors notify the group engagement team if they become aware of events at those components that occur between the dates of the financial information of the components and the date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report</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group</w:t>
      </w:r>
      <w:r w:rsidRPr="00EC20A0">
        <w:rPr>
          <w:spacing w:val="-3"/>
        </w:rPr>
        <w:t xml:space="preserve"> </w:t>
      </w:r>
      <w:r w:rsidRPr="00EC20A0">
        <w:t>financial</w:t>
      </w:r>
      <w:r w:rsidRPr="00EC20A0">
        <w:rPr>
          <w:spacing w:val="-4"/>
        </w:rPr>
        <w:t xml:space="preserve"> </w:t>
      </w:r>
      <w:r w:rsidRPr="00EC20A0">
        <w:t>statements</w:t>
      </w:r>
      <w:r w:rsidRPr="00EC20A0">
        <w:rPr>
          <w:spacing w:val="-3"/>
        </w:rPr>
        <w:t xml:space="preserve"> </w:t>
      </w:r>
      <w:r w:rsidRPr="00EC20A0">
        <w:t>that</w:t>
      </w:r>
      <w:r w:rsidRPr="00EC20A0">
        <w:rPr>
          <w:spacing w:val="-3"/>
        </w:rPr>
        <w:t xml:space="preserve"> </w:t>
      </w:r>
      <w:r w:rsidRPr="00EC20A0">
        <w:t>may</w:t>
      </w:r>
      <w:r w:rsidRPr="00EC20A0">
        <w:rPr>
          <w:spacing w:val="-3"/>
        </w:rPr>
        <w:t xml:space="preserve"> </w:t>
      </w:r>
      <w:r w:rsidRPr="00EC20A0">
        <w:t>require</w:t>
      </w:r>
      <w:r w:rsidRPr="00EC20A0">
        <w:rPr>
          <w:spacing w:val="-3"/>
        </w:rPr>
        <w:t xml:space="preserve"> </w:t>
      </w:r>
      <w:r w:rsidRPr="00EC20A0">
        <w:t xml:space="preserve">an adjustment </w:t>
      </w:r>
      <w:proofErr w:type="spellStart"/>
      <w:r w:rsidRPr="00EC20A0">
        <w:t>to,</w:t>
      </w:r>
      <w:proofErr w:type="spellEnd"/>
      <w:r w:rsidRPr="00EC20A0">
        <w:t xml:space="preserve"> or disclosure in, the group financial statements (AU-C 600A.59).</w:t>
      </w:r>
    </w:p>
    <w:p w14:paraId="24D600D7" w14:textId="77777777" w:rsidR="00245300" w:rsidRPr="00EC20A0" w:rsidRDefault="00F17249">
      <w:pPr>
        <w:pStyle w:val="Heading5"/>
        <w:ind w:left="1140"/>
        <w:rPr>
          <w:u w:val="none"/>
        </w:rPr>
      </w:pPr>
      <w:bookmarkStart w:id="72" w:name="Communication_with_a_Component_Auditor"/>
      <w:bookmarkEnd w:id="72"/>
      <w:r w:rsidRPr="00EC20A0">
        <w:t>Communication</w:t>
      </w:r>
      <w:r w:rsidRPr="00EC20A0">
        <w:rPr>
          <w:spacing w:val="-4"/>
        </w:rPr>
        <w:t xml:space="preserve"> </w:t>
      </w:r>
      <w:r w:rsidRPr="00EC20A0">
        <w:t>with</w:t>
      </w:r>
      <w:r w:rsidRPr="00EC20A0">
        <w:rPr>
          <w:spacing w:val="-4"/>
        </w:rPr>
        <w:t xml:space="preserve"> </w:t>
      </w:r>
      <w:r w:rsidRPr="00EC20A0">
        <w:t>a</w:t>
      </w:r>
      <w:r w:rsidRPr="00EC20A0">
        <w:rPr>
          <w:spacing w:val="-4"/>
        </w:rPr>
        <w:t xml:space="preserve"> </w:t>
      </w:r>
      <w:r w:rsidRPr="00EC20A0">
        <w:t>Component</w:t>
      </w:r>
      <w:r w:rsidRPr="00EC20A0">
        <w:rPr>
          <w:spacing w:val="-3"/>
        </w:rPr>
        <w:t xml:space="preserve"> </w:t>
      </w:r>
      <w:r w:rsidRPr="00EC20A0">
        <w:rPr>
          <w:spacing w:val="-2"/>
        </w:rPr>
        <w:t>Auditor</w:t>
      </w:r>
    </w:p>
    <w:p w14:paraId="24D600D8" w14:textId="77777777" w:rsidR="00245300" w:rsidRPr="00EC20A0" w:rsidRDefault="00F17249">
      <w:pPr>
        <w:pStyle w:val="ListParagraph"/>
        <w:numPr>
          <w:ilvl w:val="0"/>
          <w:numId w:val="214"/>
        </w:numPr>
        <w:tabs>
          <w:tab w:val="left" w:pos="1858"/>
        </w:tabs>
        <w:spacing w:before="238"/>
        <w:ind w:left="1858" w:right="543" w:hanging="719"/>
      </w:pPr>
      <w:r w:rsidRPr="00EC20A0">
        <w:t>When the auditor of the group financial statements is assuming responsibility for the work of a component auditor, the communication required in FAM 630.36 should set out the work to be performed and the form and content of the component auditor’s communication with the group engagement team. It also should</w:t>
      </w:r>
      <w:r w:rsidRPr="00EC20A0">
        <w:rPr>
          <w:spacing w:val="-3"/>
        </w:rPr>
        <w:t xml:space="preserve"> </w:t>
      </w:r>
      <w:r w:rsidRPr="00EC20A0">
        <w:t>include,</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case</w:t>
      </w:r>
      <w:r w:rsidRPr="00EC20A0">
        <w:rPr>
          <w:spacing w:val="-3"/>
        </w:rPr>
        <w:t xml:space="preserve"> </w:t>
      </w:r>
      <w:r w:rsidRPr="00EC20A0">
        <w:t>of</w:t>
      </w:r>
      <w:r w:rsidRPr="00EC20A0">
        <w:rPr>
          <w:spacing w:val="-3"/>
        </w:rPr>
        <w:t xml:space="preserve"> </w:t>
      </w:r>
      <w:r w:rsidRPr="00EC20A0">
        <w:t>an</w:t>
      </w:r>
      <w:r w:rsidRPr="00EC20A0">
        <w:rPr>
          <w:spacing w:val="-3"/>
        </w:rPr>
        <w:t xml:space="preserve"> </w:t>
      </w:r>
      <w:r w:rsidRPr="00EC20A0">
        <w:t>audit</w:t>
      </w:r>
      <w:r w:rsidRPr="00EC20A0">
        <w:rPr>
          <w:spacing w:val="-3"/>
        </w:rPr>
        <w:t xml:space="preserve"> </w:t>
      </w:r>
      <w:r w:rsidRPr="00EC20A0">
        <w:t>or</w:t>
      </w:r>
      <w:r w:rsidRPr="00EC20A0">
        <w:rPr>
          <w:spacing w:val="-3"/>
        </w:rPr>
        <w:t xml:space="preserve"> </w:t>
      </w:r>
      <w:r w:rsidRPr="00EC20A0">
        <w:t>review</w:t>
      </w:r>
      <w:r w:rsidRPr="00EC20A0">
        <w:rPr>
          <w:spacing w:val="-5"/>
        </w:rPr>
        <w:t xml:space="preserve"> </w:t>
      </w:r>
      <w:r w:rsidRPr="00EC20A0">
        <w:t>of</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information</w:t>
      </w:r>
      <w:r w:rsidRPr="00EC20A0">
        <w:rPr>
          <w:spacing w:val="-3"/>
        </w:rPr>
        <w:t xml:space="preserve"> </w:t>
      </w:r>
      <w:r w:rsidRPr="00EC20A0">
        <w:t>of</w:t>
      </w:r>
      <w:r w:rsidRPr="00EC20A0">
        <w:rPr>
          <w:spacing w:val="-3"/>
        </w:rPr>
        <w:t xml:space="preserve"> </w:t>
      </w:r>
      <w:r w:rsidRPr="00EC20A0">
        <w:t xml:space="preserve">the component, component materiality (and the amount or amounts lower than the </w:t>
      </w:r>
      <w:r w:rsidRPr="00EC20A0">
        <w:t>materiality for particular line items, accounts, note disclosures, or classes of transactions, if applicable) and the threshold above which misstatements cannot be regarded as clearly trivial to the group financial statements (AU-C 600A.60).</w:t>
      </w:r>
    </w:p>
    <w:p w14:paraId="24D600D9" w14:textId="77777777" w:rsidR="00245300" w:rsidRPr="00EC20A0" w:rsidRDefault="00F17249">
      <w:pPr>
        <w:pStyle w:val="ListParagraph"/>
        <w:numPr>
          <w:ilvl w:val="0"/>
          <w:numId w:val="214"/>
        </w:numPr>
        <w:tabs>
          <w:tab w:val="left" w:pos="1857"/>
        </w:tabs>
        <w:spacing w:before="241"/>
        <w:ind w:left="1857" w:right="604" w:hanging="720"/>
      </w:pPr>
      <w:r w:rsidRPr="00EC20A0">
        <w:t>When</w:t>
      </w:r>
      <w:r w:rsidRPr="00EC20A0">
        <w:rPr>
          <w:spacing w:val="-1"/>
        </w:rPr>
        <w:t xml:space="preserve"> </w:t>
      </w:r>
      <w:r w:rsidRPr="00EC20A0">
        <w:t>the</w:t>
      </w:r>
      <w:r w:rsidRPr="00EC20A0">
        <w:rPr>
          <w:spacing w:val="-1"/>
        </w:rPr>
        <w:t xml:space="preserve"> </w:t>
      </w:r>
      <w:r w:rsidRPr="00EC20A0">
        <w:t>auditor</w:t>
      </w:r>
      <w:r w:rsidRPr="00EC20A0">
        <w:rPr>
          <w:spacing w:val="-1"/>
        </w:rPr>
        <w:t xml:space="preserve"> </w:t>
      </w:r>
      <w:r w:rsidRPr="00EC20A0">
        <w:t>of</w:t>
      </w:r>
      <w:r w:rsidRPr="00EC20A0">
        <w:rPr>
          <w:spacing w:val="-1"/>
        </w:rPr>
        <w:t xml:space="preserve"> </w:t>
      </w:r>
      <w:r w:rsidRPr="00EC20A0">
        <w:t>the</w:t>
      </w:r>
      <w:r w:rsidRPr="00EC20A0">
        <w:rPr>
          <w:spacing w:val="-2"/>
        </w:rPr>
        <w:t xml:space="preserve"> </w:t>
      </w:r>
      <w:r w:rsidRPr="00EC20A0">
        <w:t>group</w:t>
      </w:r>
      <w:r w:rsidRPr="00EC20A0">
        <w:rPr>
          <w:spacing w:val="-1"/>
        </w:rPr>
        <w:t xml:space="preserve"> </w:t>
      </w:r>
      <w:r w:rsidRPr="00EC20A0">
        <w:t>financial</w:t>
      </w:r>
      <w:r w:rsidRPr="00EC20A0">
        <w:rPr>
          <w:spacing w:val="-1"/>
        </w:rPr>
        <w:t xml:space="preserve"> </w:t>
      </w:r>
      <w:r w:rsidRPr="00EC20A0">
        <w:t>statements</w:t>
      </w:r>
      <w:r w:rsidRPr="00EC20A0">
        <w:rPr>
          <w:spacing w:val="-1"/>
        </w:rPr>
        <w:t xml:space="preserve"> </w:t>
      </w:r>
      <w:r w:rsidRPr="00EC20A0">
        <w:t>is assuming</w:t>
      </w:r>
      <w:r w:rsidRPr="00EC20A0">
        <w:rPr>
          <w:spacing w:val="-1"/>
        </w:rPr>
        <w:t xml:space="preserve"> </w:t>
      </w:r>
      <w:r w:rsidRPr="00EC20A0">
        <w:t>responsibility</w:t>
      </w:r>
      <w:r w:rsidRPr="00EC20A0">
        <w:rPr>
          <w:spacing w:val="-1"/>
        </w:rPr>
        <w:t xml:space="preserve"> </w:t>
      </w:r>
      <w:r w:rsidRPr="00EC20A0">
        <w:t>for the work of a component auditor, the communication requested from the component</w:t>
      </w:r>
      <w:r w:rsidRPr="00EC20A0">
        <w:rPr>
          <w:spacing w:val="-4"/>
        </w:rPr>
        <w:t xml:space="preserve"> </w:t>
      </w:r>
      <w:r w:rsidRPr="00EC20A0">
        <w:t>auditor,</w:t>
      </w:r>
      <w:r w:rsidRPr="00EC20A0">
        <w:rPr>
          <w:spacing w:val="-4"/>
        </w:rPr>
        <w:t xml:space="preserve"> </w:t>
      </w:r>
      <w:r w:rsidRPr="00EC20A0">
        <w:t>as</w:t>
      </w:r>
      <w:r w:rsidRPr="00EC20A0">
        <w:rPr>
          <w:spacing w:val="-4"/>
        </w:rPr>
        <w:t xml:space="preserve"> </w:t>
      </w:r>
      <w:r w:rsidRPr="00EC20A0">
        <w:t>required</w:t>
      </w:r>
      <w:r w:rsidRPr="00EC20A0">
        <w:rPr>
          <w:spacing w:val="-4"/>
        </w:rPr>
        <w:t xml:space="preserve"> </w:t>
      </w:r>
      <w:r w:rsidRPr="00EC20A0">
        <w:t>in</w:t>
      </w:r>
      <w:r w:rsidRPr="00EC20A0">
        <w:rPr>
          <w:spacing w:val="-4"/>
        </w:rPr>
        <w:t xml:space="preserve"> </w:t>
      </w:r>
      <w:r w:rsidRPr="00EC20A0">
        <w:t>FAM</w:t>
      </w:r>
      <w:r w:rsidRPr="00EC20A0">
        <w:rPr>
          <w:spacing w:val="-5"/>
        </w:rPr>
        <w:t xml:space="preserve"> </w:t>
      </w:r>
      <w:r w:rsidRPr="00EC20A0">
        <w:t>630.37,</w:t>
      </w:r>
      <w:r w:rsidRPr="00EC20A0">
        <w:rPr>
          <w:spacing w:val="-3"/>
        </w:rPr>
        <w:t xml:space="preserve"> </w:t>
      </w:r>
      <w:r w:rsidRPr="00EC20A0">
        <w:t>also</w:t>
      </w:r>
      <w:r w:rsidRPr="00EC20A0">
        <w:rPr>
          <w:spacing w:val="-4"/>
        </w:rPr>
        <w:t xml:space="preserve"> </w:t>
      </w:r>
      <w:r w:rsidRPr="00EC20A0">
        <w:t>should</w:t>
      </w:r>
      <w:r w:rsidRPr="00EC20A0">
        <w:rPr>
          <w:spacing w:val="-4"/>
        </w:rPr>
        <w:t xml:space="preserve"> </w:t>
      </w:r>
      <w:r w:rsidRPr="00EC20A0">
        <w:t>include</w:t>
      </w:r>
      <w:r w:rsidRPr="00EC20A0">
        <w:rPr>
          <w:spacing w:val="-4"/>
        </w:rPr>
        <w:t xml:space="preserve"> </w:t>
      </w:r>
      <w:r w:rsidRPr="00EC20A0">
        <w:t>the</w:t>
      </w:r>
      <w:r w:rsidRPr="00EC20A0">
        <w:rPr>
          <w:spacing w:val="-4"/>
        </w:rPr>
        <w:t xml:space="preserve"> </w:t>
      </w:r>
      <w:r w:rsidRPr="00EC20A0">
        <w:t>following (AU-C 600A.61):</w:t>
      </w:r>
    </w:p>
    <w:p w14:paraId="24D600DA" w14:textId="77777777" w:rsidR="00245300" w:rsidRPr="00EC20A0" w:rsidRDefault="00F17249">
      <w:pPr>
        <w:pStyle w:val="ListParagraph"/>
        <w:numPr>
          <w:ilvl w:val="0"/>
          <w:numId w:val="199"/>
        </w:numPr>
        <w:tabs>
          <w:tab w:val="left" w:pos="2216"/>
          <w:tab w:val="left" w:pos="2218"/>
        </w:tabs>
        <w:ind w:right="893" w:hanging="361"/>
      </w:pPr>
      <w:r w:rsidRPr="00EC20A0">
        <w:t>Whether</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w:t>
      </w:r>
      <w:r w:rsidRPr="00EC20A0">
        <w:rPr>
          <w:spacing w:val="-4"/>
        </w:rPr>
        <w:t xml:space="preserve"> </w:t>
      </w:r>
      <w:r w:rsidRPr="00EC20A0">
        <w:t>has</w:t>
      </w:r>
      <w:r w:rsidRPr="00EC20A0">
        <w:rPr>
          <w:spacing w:val="-5"/>
        </w:rPr>
        <w:t xml:space="preserve"> </w:t>
      </w:r>
      <w:r w:rsidRPr="00EC20A0">
        <w:t>complied</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group</w:t>
      </w:r>
      <w:r w:rsidRPr="00EC20A0">
        <w:rPr>
          <w:spacing w:val="-5"/>
        </w:rPr>
        <w:t xml:space="preserve"> </w:t>
      </w:r>
      <w:r w:rsidRPr="00EC20A0">
        <w:t>engagement team’s requirements.</w:t>
      </w:r>
    </w:p>
    <w:p w14:paraId="24D600DB" w14:textId="77777777" w:rsidR="00245300" w:rsidRPr="00EC20A0" w:rsidRDefault="00F17249">
      <w:pPr>
        <w:pStyle w:val="ListParagraph"/>
        <w:numPr>
          <w:ilvl w:val="0"/>
          <w:numId w:val="199"/>
        </w:numPr>
        <w:tabs>
          <w:tab w:val="left" w:pos="2217"/>
        </w:tabs>
        <w:ind w:left="2217" w:right="576"/>
      </w:pPr>
      <w:r w:rsidRPr="00EC20A0">
        <w:t>Information</w:t>
      </w:r>
      <w:r w:rsidRPr="00EC20A0">
        <w:rPr>
          <w:spacing w:val="-5"/>
        </w:rPr>
        <w:t xml:space="preserve"> </w:t>
      </w:r>
      <w:r w:rsidRPr="00EC20A0">
        <w:t>on</w:t>
      </w:r>
      <w:r w:rsidRPr="00EC20A0">
        <w:rPr>
          <w:spacing w:val="-5"/>
        </w:rPr>
        <w:t xml:space="preserve"> </w:t>
      </w:r>
      <w:r w:rsidRPr="00EC20A0">
        <w:t>instances</w:t>
      </w:r>
      <w:r w:rsidRPr="00EC20A0">
        <w:rPr>
          <w:spacing w:val="-5"/>
        </w:rPr>
        <w:t xml:space="preserve"> </w:t>
      </w:r>
      <w:r w:rsidRPr="00EC20A0">
        <w:t>of</w:t>
      </w:r>
      <w:r w:rsidRPr="00EC20A0">
        <w:rPr>
          <w:spacing w:val="-5"/>
        </w:rPr>
        <w:t xml:space="preserve"> </w:t>
      </w:r>
      <w:r w:rsidRPr="00EC20A0">
        <w:t>noncompliance</w:t>
      </w:r>
      <w:r w:rsidRPr="00EC20A0">
        <w:rPr>
          <w:spacing w:val="-5"/>
        </w:rPr>
        <w:t xml:space="preserve"> </w:t>
      </w:r>
      <w:r w:rsidRPr="00EC20A0">
        <w:t>with</w:t>
      </w:r>
      <w:r w:rsidRPr="00EC20A0">
        <w:rPr>
          <w:spacing w:val="-5"/>
        </w:rPr>
        <w:t xml:space="preserve"> </w:t>
      </w:r>
      <w:r w:rsidRPr="00EC20A0">
        <w:t>provisions</w:t>
      </w:r>
      <w:r w:rsidRPr="00EC20A0">
        <w:rPr>
          <w:spacing w:val="-5"/>
        </w:rPr>
        <w:t xml:space="preserve"> </w:t>
      </w:r>
      <w:r w:rsidRPr="00EC20A0">
        <w:t>of</w:t>
      </w:r>
      <w:r w:rsidRPr="00EC20A0">
        <w:rPr>
          <w:spacing w:val="-5"/>
        </w:rPr>
        <w:t xml:space="preserve"> </w:t>
      </w:r>
      <w:r w:rsidRPr="00EC20A0">
        <w:t>applicable</w:t>
      </w:r>
      <w:r w:rsidRPr="00EC20A0">
        <w:rPr>
          <w:spacing w:val="-5"/>
        </w:rPr>
        <w:t xml:space="preserve"> </w:t>
      </w:r>
      <w:r w:rsidRPr="00EC20A0">
        <w:t>laws or regulations at the component or group level that could give rise to a material misstatement of the group financial statements.</w:t>
      </w:r>
    </w:p>
    <w:p w14:paraId="24D600DC" w14:textId="77777777" w:rsidR="00245300" w:rsidRPr="00EC20A0" w:rsidRDefault="00F17249">
      <w:pPr>
        <w:pStyle w:val="ListParagraph"/>
        <w:numPr>
          <w:ilvl w:val="0"/>
          <w:numId w:val="199"/>
        </w:numPr>
        <w:tabs>
          <w:tab w:val="left" w:pos="2219"/>
        </w:tabs>
        <w:ind w:left="2219" w:right="513"/>
      </w:pPr>
      <w:r w:rsidRPr="00EC20A0">
        <w:t>Significant risks of material misstatement of the group financial statements, due to fraud or error, identified by the component auditor in the component and</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responses</w:t>
      </w:r>
      <w:r w:rsidRPr="00EC20A0">
        <w:rPr>
          <w:spacing w:val="-4"/>
        </w:rPr>
        <w:t xml:space="preserve"> </w:t>
      </w:r>
      <w:r w:rsidRPr="00EC20A0">
        <w:t>to</w:t>
      </w:r>
      <w:r w:rsidRPr="00EC20A0">
        <w:rPr>
          <w:spacing w:val="-4"/>
        </w:rPr>
        <w:t xml:space="preserve"> </w:t>
      </w:r>
      <w:r w:rsidRPr="00EC20A0">
        <w:t>such</w:t>
      </w:r>
      <w:r w:rsidRPr="00EC20A0">
        <w:rPr>
          <w:spacing w:val="-4"/>
        </w:rPr>
        <w:t xml:space="preserve"> </w:t>
      </w:r>
      <w:r w:rsidRPr="00EC20A0">
        <w:t>risks.</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p>
    <w:p w14:paraId="24D600DD" w14:textId="77777777" w:rsidR="00245300" w:rsidRPr="00EC20A0" w:rsidRDefault="00245300">
      <w:pPr>
        <w:sectPr w:rsidR="00245300" w:rsidRPr="00EC20A0">
          <w:pgSz w:w="12240" w:h="15840"/>
          <w:pgMar w:top="1340" w:right="940" w:bottom="940" w:left="1020" w:header="721" w:footer="757" w:gutter="0"/>
          <w:cols w:space="720"/>
        </w:sectPr>
      </w:pPr>
    </w:p>
    <w:p w14:paraId="24D600DE" w14:textId="77777777" w:rsidR="00245300" w:rsidRPr="00EC20A0" w:rsidRDefault="00F17249">
      <w:pPr>
        <w:pStyle w:val="BodyText"/>
        <w:spacing w:before="121"/>
        <w:ind w:left="2220" w:right="656" w:hanging="1"/>
      </w:pPr>
      <w:r w:rsidRPr="00EC20A0">
        <w:t>team</w:t>
      </w:r>
      <w:r w:rsidRPr="00EC20A0">
        <w:rPr>
          <w:spacing w:val="-6"/>
        </w:rPr>
        <w:t xml:space="preserve"> </w:t>
      </w:r>
      <w:r w:rsidRPr="00EC20A0">
        <w:t>should</w:t>
      </w:r>
      <w:r w:rsidRPr="00EC20A0">
        <w:rPr>
          <w:spacing w:val="-5"/>
        </w:rPr>
        <w:t xml:space="preserve"> </w:t>
      </w:r>
      <w:r w:rsidRPr="00EC20A0">
        <w:t>request</w:t>
      </w:r>
      <w:r w:rsidRPr="00EC20A0">
        <w:rPr>
          <w:spacing w:val="-5"/>
        </w:rPr>
        <w:t xml:space="preserve"> </w:t>
      </w:r>
      <w:r w:rsidRPr="00EC20A0">
        <w:t>that</w:t>
      </w:r>
      <w:r w:rsidRPr="00EC20A0">
        <w:rPr>
          <w:spacing w:val="-6"/>
        </w:rPr>
        <w:t xml:space="preserve"> </w:t>
      </w:r>
      <w:r w:rsidRPr="00EC20A0">
        <w:t>the</w:t>
      </w:r>
      <w:r w:rsidRPr="00EC20A0">
        <w:rPr>
          <w:spacing w:val="-5"/>
        </w:rPr>
        <w:t xml:space="preserve"> </w:t>
      </w:r>
      <w:r w:rsidRPr="00EC20A0">
        <w:t>component</w:t>
      </w:r>
      <w:r w:rsidRPr="00EC20A0">
        <w:rPr>
          <w:spacing w:val="-5"/>
        </w:rPr>
        <w:t xml:space="preserve"> </w:t>
      </w:r>
      <w:r w:rsidRPr="00EC20A0">
        <w:t>auditor</w:t>
      </w:r>
      <w:r w:rsidRPr="00EC20A0">
        <w:rPr>
          <w:spacing w:val="-5"/>
        </w:rPr>
        <w:t xml:space="preserve"> </w:t>
      </w:r>
      <w:r w:rsidRPr="00EC20A0">
        <w:t>communicate</w:t>
      </w:r>
      <w:r w:rsidRPr="00EC20A0">
        <w:rPr>
          <w:spacing w:val="-4"/>
        </w:rPr>
        <w:t xml:space="preserve"> </w:t>
      </w:r>
      <w:r w:rsidRPr="00EC20A0">
        <w:t>such significant risks on a timely basis.</w:t>
      </w:r>
    </w:p>
    <w:p w14:paraId="24D600DF" w14:textId="77777777" w:rsidR="00245300" w:rsidRPr="00EC20A0" w:rsidRDefault="00F17249">
      <w:pPr>
        <w:pStyle w:val="ListParagraph"/>
        <w:numPr>
          <w:ilvl w:val="0"/>
          <w:numId w:val="199"/>
        </w:numPr>
        <w:tabs>
          <w:tab w:val="left" w:pos="2220"/>
        </w:tabs>
        <w:spacing w:before="239"/>
        <w:ind w:left="2220" w:right="598"/>
      </w:pPr>
      <w:r w:rsidRPr="00EC20A0">
        <w:t>A</w:t>
      </w:r>
      <w:r w:rsidRPr="00EC20A0">
        <w:rPr>
          <w:spacing w:val="-5"/>
        </w:rPr>
        <w:t xml:space="preserve"> </w:t>
      </w:r>
      <w:r w:rsidRPr="00EC20A0">
        <w:t>list</w:t>
      </w:r>
      <w:r w:rsidRPr="00EC20A0">
        <w:rPr>
          <w:spacing w:val="-4"/>
        </w:rPr>
        <w:t xml:space="preserve"> </w:t>
      </w:r>
      <w:r w:rsidRPr="00EC20A0">
        <w:t>of</w:t>
      </w:r>
      <w:r w:rsidRPr="00EC20A0">
        <w:rPr>
          <w:spacing w:val="-4"/>
        </w:rPr>
        <w:t xml:space="preserve"> </w:t>
      </w:r>
      <w:r w:rsidRPr="00EC20A0">
        <w:t>corrected</w:t>
      </w:r>
      <w:r w:rsidRPr="00EC20A0">
        <w:rPr>
          <w:spacing w:val="-4"/>
        </w:rPr>
        <w:t xml:space="preserve"> </w:t>
      </w:r>
      <w:r w:rsidRPr="00EC20A0">
        <w:t>and</w:t>
      </w:r>
      <w:r w:rsidRPr="00EC20A0">
        <w:rPr>
          <w:spacing w:val="-4"/>
        </w:rPr>
        <w:t xml:space="preserve"> </w:t>
      </w:r>
      <w:r w:rsidRPr="00EC20A0">
        <w:t>uncorrected</w:t>
      </w:r>
      <w:r w:rsidRPr="00EC20A0">
        <w:rPr>
          <w:spacing w:val="-5"/>
        </w:rPr>
        <w:t xml:space="preserve"> </w:t>
      </w:r>
      <w:r w:rsidRPr="00EC20A0">
        <w:t>misstatements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information of</w:t>
      </w:r>
      <w:r w:rsidRPr="00EC20A0">
        <w:rPr>
          <w:spacing w:val="-2"/>
        </w:rPr>
        <w:t xml:space="preserve"> </w:t>
      </w:r>
      <w:r w:rsidRPr="00EC20A0">
        <w:t>the</w:t>
      </w:r>
      <w:r w:rsidRPr="00EC20A0">
        <w:rPr>
          <w:spacing w:val="-2"/>
        </w:rPr>
        <w:t xml:space="preserve"> </w:t>
      </w:r>
      <w:r w:rsidRPr="00EC20A0">
        <w:t>component</w:t>
      </w:r>
      <w:r w:rsidRPr="00EC20A0">
        <w:rPr>
          <w:spacing w:val="-2"/>
        </w:rPr>
        <w:t xml:space="preserve"> </w:t>
      </w:r>
      <w:r w:rsidRPr="00EC20A0">
        <w:t>(the</w:t>
      </w:r>
      <w:r w:rsidRPr="00EC20A0">
        <w:rPr>
          <w:spacing w:val="-2"/>
        </w:rPr>
        <w:t xml:space="preserve"> </w:t>
      </w:r>
      <w:r w:rsidRPr="00EC20A0">
        <w:t>list</w:t>
      </w:r>
      <w:r w:rsidRPr="00EC20A0">
        <w:rPr>
          <w:spacing w:val="-2"/>
        </w:rPr>
        <w:t xml:space="preserve"> </w:t>
      </w:r>
      <w:r w:rsidRPr="00EC20A0">
        <w:t>need</w:t>
      </w:r>
      <w:r w:rsidRPr="00EC20A0">
        <w:rPr>
          <w:spacing w:val="-2"/>
        </w:rPr>
        <w:t xml:space="preserve"> </w:t>
      </w:r>
      <w:r w:rsidRPr="00EC20A0">
        <w:t>not</w:t>
      </w:r>
      <w:r w:rsidRPr="00EC20A0">
        <w:rPr>
          <w:spacing w:val="-2"/>
        </w:rPr>
        <w:t xml:space="preserve"> </w:t>
      </w:r>
      <w:r w:rsidRPr="00EC20A0">
        <w:t>include</w:t>
      </w:r>
      <w:r w:rsidRPr="00EC20A0">
        <w:rPr>
          <w:spacing w:val="-2"/>
        </w:rPr>
        <w:t xml:space="preserve"> </w:t>
      </w:r>
      <w:r w:rsidRPr="00EC20A0">
        <w:t>misstatements</w:t>
      </w:r>
      <w:r w:rsidRPr="00EC20A0">
        <w:rPr>
          <w:spacing w:val="-2"/>
        </w:rPr>
        <w:t xml:space="preserve"> </w:t>
      </w:r>
      <w:r w:rsidRPr="00EC20A0">
        <w:t>that</w:t>
      </w:r>
      <w:r w:rsidRPr="00EC20A0">
        <w:rPr>
          <w:spacing w:val="-2"/>
        </w:rPr>
        <w:t xml:space="preserve"> </w:t>
      </w:r>
      <w:r w:rsidRPr="00EC20A0">
        <w:t>are</w:t>
      </w:r>
      <w:r w:rsidRPr="00EC20A0">
        <w:rPr>
          <w:spacing w:val="-2"/>
        </w:rPr>
        <w:t xml:space="preserve"> </w:t>
      </w:r>
      <w:r w:rsidRPr="00EC20A0">
        <w:t>below</w:t>
      </w:r>
      <w:r w:rsidRPr="00EC20A0">
        <w:rPr>
          <w:spacing w:val="-3"/>
        </w:rPr>
        <w:t xml:space="preserve"> </w:t>
      </w:r>
      <w:r w:rsidRPr="00EC20A0">
        <w:t>the threshold for clearly trivial misstatements communicated by the group engagement team).</w:t>
      </w:r>
    </w:p>
    <w:p w14:paraId="24D600E0" w14:textId="77777777" w:rsidR="00245300" w:rsidRPr="00EC20A0" w:rsidRDefault="00F17249">
      <w:pPr>
        <w:pStyle w:val="ListParagraph"/>
        <w:numPr>
          <w:ilvl w:val="0"/>
          <w:numId w:val="199"/>
        </w:numPr>
        <w:tabs>
          <w:tab w:val="left" w:pos="2218"/>
          <w:tab w:val="left" w:pos="2220"/>
        </w:tabs>
        <w:spacing w:before="241"/>
        <w:ind w:left="2220" w:right="633" w:hanging="361"/>
      </w:pPr>
      <w:r w:rsidRPr="00EC20A0">
        <w:t>Indicators</w:t>
      </w:r>
      <w:r w:rsidRPr="00EC20A0">
        <w:rPr>
          <w:spacing w:val="-5"/>
        </w:rPr>
        <w:t xml:space="preserve"> </w:t>
      </w:r>
      <w:r w:rsidRPr="00EC20A0">
        <w:t>of</w:t>
      </w:r>
      <w:r w:rsidRPr="00EC20A0">
        <w:rPr>
          <w:spacing w:val="-6"/>
        </w:rPr>
        <w:t xml:space="preserve"> </w:t>
      </w:r>
      <w:r w:rsidRPr="00EC20A0">
        <w:t>possible</w:t>
      </w:r>
      <w:r w:rsidRPr="00EC20A0">
        <w:rPr>
          <w:spacing w:val="-6"/>
        </w:rPr>
        <w:t xml:space="preserve"> </w:t>
      </w:r>
      <w:r w:rsidRPr="00EC20A0">
        <w:t>management</w:t>
      </w:r>
      <w:r w:rsidRPr="00EC20A0">
        <w:rPr>
          <w:spacing w:val="-5"/>
        </w:rPr>
        <w:t xml:space="preserve"> </w:t>
      </w:r>
      <w:r w:rsidRPr="00EC20A0">
        <w:t>bias</w:t>
      </w:r>
      <w:r w:rsidRPr="00EC20A0">
        <w:rPr>
          <w:spacing w:val="-5"/>
        </w:rPr>
        <w:t xml:space="preserve"> </w:t>
      </w:r>
      <w:r w:rsidRPr="00EC20A0">
        <w:t>regarding</w:t>
      </w:r>
      <w:r w:rsidRPr="00EC20A0">
        <w:rPr>
          <w:spacing w:val="-5"/>
        </w:rPr>
        <w:t xml:space="preserve"> </w:t>
      </w:r>
      <w:r w:rsidRPr="00EC20A0">
        <w:t>accounting</w:t>
      </w:r>
      <w:r w:rsidRPr="00EC20A0">
        <w:rPr>
          <w:spacing w:val="-5"/>
        </w:rPr>
        <w:t xml:space="preserve"> </w:t>
      </w:r>
      <w:r w:rsidRPr="00EC20A0">
        <w:t>estimates</w:t>
      </w:r>
      <w:r w:rsidRPr="00EC20A0">
        <w:rPr>
          <w:spacing w:val="-5"/>
        </w:rPr>
        <w:t xml:space="preserve"> </w:t>
      </w:r>
      <w:r w:rsidRPr="00EC20A0">
        <w:t>and the application of accounting principles.</w:t>
      </w:r>
    </w:p>
    <w:p w14:paraId="24D600E1" w14:textId="77777777" w:rsidR="00245300" w:rsidRPr="00EC20A0" w:rsidRDefault="00F17249">
      <w:pPr>
        <w:pStyle w:val="ListParagraph"/>
        <w:numPr>
          <w:ilvl w:val="0"/>
          <w:numId w:val="199"/>
        </w:numPr>
        <w:tabs>
          <w:tab w:val="left" w:pos="2219"/>
        </w:tabs>
        <w:spacing w:before="239"/>
        <w:ind w:left="2219" w:right="1661"/>
      </w:pPr>
      <w:r w:rsidRPr="00EC20A0">
        <w:t>Descriptions</w:t>
      </w:r>
      <w:r w:rsidRPr="00EC20A0">
        <w:rPr>
          <w:spacing w:val="-6"/>
        </w:rPr>
        <w:t xml:space="preserve"> </w:t>
      </w:r>
      <w:r w:rsidRPr="00EC20A0">
        <w:t>of</w:t>
      </w:r>
      <w:r w:rsidRPr="00EC20A0">
        <w:rPr>
          <w:spacing w:val="-5"/>
        </w:rPr>
        <w:t xml:space="preserve"> </w:t>
      </w:r>
      <w:r w:rsidRPr="00EC20A0">
        <w:t>any</w:t>
      </w:r>
      <w:r w:rsidRPr="00EC20A0">
        <w:rPr>
          <w:spacing w:val="-5"/>
        </w:rPr>
        <w:t xml:space="preserve"> </w:t>
      </w:r>
      <w:r w:rsidRPr="00EC20A0">
        <w:t>identified</w:t>
      </w:r>
      <w:r w:rsidRPr="00EC20A0">
        <w:rPr>
          <w:spacing w:val="-5"/>
        </w:rPr>
        <w:t xml:space="preserve"> </w:t>
      </w:r>
      <w:r w:rsidRPr="00EC20A0">
        <w:t>material</w:t>
      </w:r>
      <w:r w:rsidRPr="00EC20A0">
        <w:rPr>
          <w:spacing w:val="-5"/>
        </w:rPr>
        <w:t xml:space="preserve"> </w:t>
      </w:r>
      <w:r w:rsidRPr="00EC20A0">
        <w:t>weaknesses</w:t>
      </w:r>
      <w:r w:rsidRPr="00EC20A0">
        <w:rPr>
          <w:spacing w:val="-5"/>
        </w:rPr>
        <w:t xml:space="preserve"> </w:t>
      </w:r>
      <w:r w:rsidRPr="00EC20A0">
        <w:t>and</w:t>
      </w:r>
      <w:r w:rsidRPr="00EC20A0">
        <w:rPr>
          <w:spacing w:val="-5"/>
        </w:rPr>
        <w:t xml:space="preserve"> </w:t>
      </w:r>
      <w:r w:rsidRPr="00EC20A0">
        <w:t>significant deficiencies in internal control at the component level.</w:t>
      </w:r>
    </w:p>
    <w:p w14:paraId="24D600E2" w14:textId="77777777" w:rsidR="00245300" w:rsidRPr="00EC20A0" w:rsidRDefault="00F17249">
      <w:pPr>
        <w:pStyle w:val="ListParagraph"/>
        <w:numPr>
          <w:ilvl w:val="0"/>
          <w:numId w:val="199"/>
        </w:numPr>
        <w:tabs>
          <w:tab w:val="left" w:pos="2218"/>
        </w:tabs>
        <w:spacing w:before="241"/>
        <w:ind w:right="576"/>
      </w:pPr>
      <w:r w:rsidRPr="00EC20A0">
        <w:t>Other significant findings and issues that the component auditor communicated</w:t>
      </w:r>
      <w:r w:rsidRPr="00EC20A0">
        <w:rPr>
          <w:spacing w:val="-5"/>
        </w:rPr>
        <w:t xml:space="preserve"> </w:t>
      </w:r>
      <w:r w:rsidRPr="00EC20A0">
        <w:t>or</w:t>
      </w:r>
      <w:r w:rsidRPr="00EC20A0">
        <w:rPr>
          <w:spacing w:val="-5"/>
        </w:rPr>
        <w:t xml:space="preserve"> </w:t>
      </w:r>
      <w:r w:rsidRPr="00EC20A0">
        <w:t>expects</w:t>
      </w:r>
      <w:r w:rsidRPr="00EC20A0">
        <w:rPr>
          <w:spacing w:val="-5"/>
        </w:rPr>
        <w:t xml:space="preserve"> </w:t>
      </w:r>
      <w:r w:rsidRPr="00EC20A0">
        <w:t>to</w:t>
      </w:r>
      <w:r w:rsidRPr="00EC20A0">
        <w:rPr>
          <w:spacing w:val="-5"/>
        </w:rPr>
        <w:t xml:space="preserve"> </w:t>
      </w:r>
      <w:r w:rsidRPr="00EC20A0">
        <w:t>communicate</w:t>
      </w:r>
      <w:r w:rsidRPr="00EC20A0">
        <w:rPr>
          <w:spacing w:val="-5"/>
        </w:rPr>
        <w:t xml:space="preserve"> </w:t>
      </w:r>
      <w:r w:rsidRPr="00EC20A0">
        <w:t>to</w:t>
      </w:r>
      <w:r w:rsidRPr="00EC20A0">
        <w:rPr>
          <w:spacing w:val="-5"/>
        </w:rPr>
        <w:t xml:space="preserve"> </w:t>
      </w:r>
      <w:r w:rsidRPr="00EC20A0">
        <w:t>those</w:t>
      </w:r>
      <w:r w:rsidRPr="00EC20A0">
        <w:rPr>
          <w:spacing w:val="-5"/>
        </w:rPr>
        <w:t xml:space="preserve"> </w:t>
      </w:r>
      <w:r w:rsidRPr="00EC20A0">
        <w:t>charged</w:t>
      </w:r>
      <w:r w:rsidRPr="00EC20A0">
        <w:rPr>
          <w:spacing w:val="-6"/>
        </w:rPr>
        <w:t xml:space="preserve"> </w:t>
      </w:r>
      <w:r w:rsidRPr="00EC20A0">
        <w:t>with</w:t>
      </w:r>
      <w:r w:rsidRPr="00EC20A0">
        <w:rPr>
          <w:spacing w:val="-5"/>
        </w:rPr>
        <w:t xml:space="preserve"> </w:t>
      </w:r>
      <w:r w:rsidRPr="00EC20A0">
        <w:t>governance of the component, including fraud or suspected fraud involving component management, employees who have significant roles in internal control at the component level, or others that resulted in a material misstatement of the component’s financial information.</w:t>
      </w:r>
    </w:p>
    <w:p w14:paraId="24D600E3" w14:textId="77777777" w:rsidR="00245300" w:rsidRPr="00EC20A0" w:rsidRDefault="00F17249">
      <w:pPr>
        <w:pStyle w:val="ListParagraph"/>
        <w:numPr>
          <w:ilvl w:val="0"/>
          <w:numId w:val="199"/>
        </w:numPr>
        <w:tabs>
          <w:tab w:val="left" w:pos="2218"/>
        </w:tabs>
        <w:ind w:right="684"/>
      </w:pPr>
      <w:r w:rsidRPr="00EC20A0">
        <w:t>Any other matters that may be relevant to the group audit or that the component</w:t>
      </w:r>
      <w:r w:rsidRPr="00EC20A0">
        <w:rPr>
          <w:spacing w:val="-4"/>
        </w:rPr>
        <w:t xml:space="preserve"> </w:t>
      </w:r>
      <w:r w:rsidRPr="00EC20A0">
        <w:t>auditor</w:t>
      </w:r>
      <w:r w:rsidRPr="00EC20A0">
        <w:rPr>
          <w:spacing w:val="-4"/>
        </w:rPr>
        <w:t xml:space="preserve"> </w:t>
      </w:r>
      <w:r w:rsidRPr="00EC20A0">
        <w:t>wishes</w:t>
      </w:r>
      <w:r w:rsidRPr="00EC20A0">
        <w:rPr>
          <w:spacing w:val="-4"/>
        </w:rPr>
        <w:t xml:space="preserve"> </w:t>
      </w:r>
      <w:r w:rsidRPr="00EC20A0">
        <w:t>to</w:t>
      </w:r>
      <w:r w:rsidRPr="00EC20A0">
        <w:rPr>
          <w:spacing w:val="-4"/>
        </w:rPr>
        <w:t xml:space="preserve"> </w:t>
      </w:r>
      <w:r w:rsidRPr="00EC20A0">
        <w:t>draw</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attention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 team, including exceptions noted in the written representations that the component auditor requested from component management.</w:t>
      </w:r>
    </w:p>
    <w:p w14:paraId="24D600E4" w14:textId="77777777" w:rsidR="00245300" w:rsidRPr="00EC20A0" w:rsidRDefault="00F17249">
      <w:pPr>
        <w:pStyle w:val="Heading5"/>
        <w:spacing w:before="240"/>
        <w:ind w:left="1140"/>
        <w:rPr>
          <w:u w:val="none"/>
        </w:rPr>
      </w:pPr>
      <w:bookmarkStart w:id="73" w:name="Evaluating_a_Component_Auditor’s_Communi"/>
      <w:bookmarkEnd w:id="73"/>
      <w:r w:rsidRPr="00EC20A0">
        <w:t>Evaluating</w:t>
      </w:r>
      <w:r w:rsidRPr="00EC20A0">
        <w:rPr>
          <w:spacing w:val="-6"/>
        </w:rPr>
        <w:t xml:space="preserve"> </w:t>
      </w:r>
      <w:r w:rsidRPr="00EC20A0">
        <w:t>a</w:t>
      </w:r>
      <w:r w:rsidRPr="00EC20A0">
        <w:rPr>
          <w:spacing w:val="-6"/>
        </w:rPr>
        <w:t xml:space="preserve"> </w:t>
      </w:r>
      <w:r w:rsidRPr="00EC20A0">
        <w:t>Component</w:t>
      </w:r>
      <w:r w:rsidRPr="00EC20A0">
        <w:rPr>
          <w:spacing w:val="-5"/>
        </w:rPr>
        <w:t xml:space="preserve"> </w:t>
      </w:r>
      <w:r w:rsidRPr="00EC20A0">
        <w:t>Auditor’s</w:t>
      </w:r>
      <w:r w:rsidRPr="00EC20A0">
        <w:rPr>
          <w:spacing w:val="-6"/>
        </w:rPr>
        <w:t xml:space="preserve"> </w:t>
      </w:r>
      <w:r w:rsidRPr="00EC20A0">
        <w:t>Communication</w:t>
      </w:r>
      <w:r w:rsidRPr="00EC20A0">
        <w:rPr>
          <w:spacing w:val="-6"/>
        </w:rPr>
        <w:t xml:space="preserve"> </w:t>
      </w:r>
      <w:r w:rsidRPr="00EC20A0">
        <w:t>and</w:t>
      </w:r>
      <w:r w:rsidRPr="00EC20A0">
        <w:rPr>
          <w:spacing w:val="-6"/>
        </w:rPr>
        <w:t xml:space="preserve"> </w:t>
      </w:r>
      <w:r w:rsidRPr="00EC20A0">
        <w:t>Adequacy</w:t>
      </w:r>
      <w:r w:rsidRPr="00EC20A0">
        <w:rPr>
          <w:spacing w:val="-6"/>
        </w:rPr>
        <w:t xml:space="preserve"> </w:t>
      </w:r>
      <w:r w:rsidRPr="00EC20A0">
        <w:t>of</w:t>
      </w:r>
      <w:r w:rsidRPr="00EC20A0">
        <w:rPr>
          <w:spacing w:val="-5"/>
        </w:rPr>
        <w:t xml:space="preserve"> </w:t>
      </w:r>
      <w:r w:rsidRPr="00EC20A0">
        <w:t>the</w:t>
      </w:r>
      <w:r w:rsidRPr="00EC20A0">
        <w:rPr>
          <w:u w:val="none"/>
        </w:rPr>
        <w:t xml:space="preserve"> </w:t>
      </w:r>
      <w:r w:rsidRPr="00EC20A0">
        <w:t>Component Auditor’s Work</w:t>
      </w:r>
    </w:p>
    <w:p w14:paraId="24D600E5" w14:textId="77777777" w:rsidR="00245300" w:rsidRPr="00EC20A0" w:rsidRDefault="00F17249">
      <w:pPr>
        <w:pStyle w:val="ListParagraph"/>
        <w:numPr>
          <w:ilvl w:val="0"/>
          <w:numId w:val="214"/>
        </w:numPr>
        <w:tabs>
          <w:tab w:val="left" w:pos="1859"/>
        </w:tabs>
        <w:ind w:right="504" w:hanging="720"/>
      </w:pP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determine,</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the</w:t>
      </w:r>
      <w:r w:rsidRPr="00EC20A0">
        <w:rPr>
          <w:spacing w:val="-5"/>
        </w:rPr>
        <w:t xml:space="preserve"> </w:t>
      </w:r>
      <w:r w:rsidRPr="00EC20A0">
        <w:t>evaluation</w:t>
      </w:r>
      <w:r w:rsidRPr="00EC20A0">
        <w:rPr>
          <w:spacing w:val="-4"/>
        </w:rPr>
        <w:t xml:space="preserve"> </w:t>
      </w:r>
      <w:r w:rsidRPr="00EC20A0">
        <w:t xml:space="preserve">required in FAM 630.38, whether it is necessary to review other relevant parts of a </w:t>
      </w:r>
      <w:r w:rsidRPr="00EC20A0">
        <w:t>component auditor’s audit documentation (see FAM 630.09 through .10 for a suggested framework for planning and performing a low, moderate, or high level of review of the component auditor’s documentation) (AU-C 600A.62).</w:t>
      </w:r>
    </w:p>
    <w:p w14:paraId="24D600E6" w14:textId="77777777" w:rsidR="00245300" w:rsidRPr="00EC20A0" w:rsidRDefault="00F17249">
      <w:pPr>
        <w:pStyle w:val="ListParagraph"/>
        <w:numPr>
          <w:ilvl w:val="0"/>
          <w:numId w:val="214"/>
        </w:numPr>
        <w:tabs>
          <w:tab w:val="left" w:pos="1859"/>
        </w:tabs>
        <w:ind w:right="567" w:hanging="720"/>
        <w:jc w:val="both"/>
      </w:pPr>
      <w:r w:rsidRPr="00EC20A0">
        <w:t>If</w:t>
      </w:r>
      <w:r w:rsidRPr="00EC20A0">
        <w:rPr>
          <w:spacing w:val="-3"/>
        </w:rPr>
        <w:t xml:space="preserve"> </w:t>
      </w:r>
      <w:r w:rsidRPr="00EC20A0">
        <w:t>the</w:t>
      </w:r>
      <w:r w:rsidRPr="00EC20A0">
        <w:rPr>
          <w:spacing w:val="-3"/>
        </w:rPr>
        <w:t xml:space="preserve"> </w:t>
      </w:r>
      <w:r w:rsidRPr="00EC20A0">
        <w:t>group</w:t>
      </w:r>
      <w:r w:rsidRPr="00EC20A0">
        <w:rPr>
          <w:spacing w:val="-4"/>
        </w:rPr>
        <w:t xml:space="preserve"> </w:t>
      </w:r>
      <w:r w:rsidRPr="00EC20A0">
        <w:t>engagement</w:t>
      </w:r>
      <w:r w:rsidRPr="00EC20A0">
        <w:rPr>
          <w:spacing w:val="-3"/>
        </w:rPr>
        <w:t xml:space="preserve"> </w:t>
      </w:r>
      <w:r w:rsidRPr="00EC20A0">
        <w:t>team</w:t>
      </w:r>
      <w:r w:rsidRPr="00EC20A0">
        <w:rPr>
          <w:spacing w:val="-4"/>
        </w:rPr>
        <w:t xml:space="preserve"> </w:t>
      </w:r>
      <w:r w:rsidRPr="00EC20A0">
        <w:t>concludes</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a</w:t>
      </w:r>
      <w:r w:rsidRPr="00EC20A0">
        <w:rPr>
          <w:spacing w:val="-3"/>
        </w:rPr>
        <w:t xml:space="preserve"> </w:t>
      </w:r>
      <w:r w:rsidRPr="00EC20A0">
        <w:t>component</w:t>
      </w:r>
      <w:r w:rsidRPr="00EC20A0">
        <w:rPr>
          <w:spacing w:val="-3"/>
        </w:rPr>
        <w:t xml:space="preserve"> </w:t>
      </w:r>
      <w:r w:rsidRPr="00EC20A0">
        <w:t>auditor</w:t>
      </w:r>
      <w:r w:rsidRPr="00EC20A0">
        <w:rPr>
          <w:spacing w:val="-3"/>
        </w:rPr>
        <w:t xml:space="preserve"> </w:t>
      </w:r>
      <w:r w:rsidRPr="00EC20A0">
        <w:t>is insufficient,</w:t>
      </w:r>
      <w:r w:rsidRPr="00EC20A0">
        <w:rPr>
          <w:spacing w:val="-4"/>
        </w:rPr>
        <w:t xml:space="preserve"> </w:t>
      </w:r>
      <w:r w:rsidRPr="00EC20A0">
        <w:t>the</w:t>
      </w:r>
      <w:r w:rsidRPr="00EC20A0">
        <w:rPr>
          <w:spacing w:val="-4"/>
        </w:rPr>
        <w:t xml:space="preserve"> </w:t>
      </w:r>
      <w:r w:rsidRPr="00EC20A0">
        <w:t>group</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should</w:t>
      </w:r>
      <w:r w:rsidRPr="00EC20A0">
        <w:rPr>
          <w:spacing w:val="-4"/>
        </w:rPr>
        <w:t xml:space="preserve"> </w:t>
      </w:r>
      <w:r w:rsidRPr="00EC20A0">
        <w:t>determine</w:t>
      </w:r>
      <w:r w:rsidRPr="00EC20A0">
        <w:rPr>
          <w:spacing w:val="-4"/>
        </w:rPr>
        <w:t xml:space="preserve"> </w:t>
      </w:r>
      <w:r w:rsidRPr="00EC20A0">
        <w:t>additional</w:t>
      </w:r>
      <w:r w:rsidRPr="00EC20A0">
        <w:rPr>
          <w:spacing w:val="-4"/>
        </w:rPr>
        <w:t xml:space="preserve"> </w:t>
      </w:r>
      <w:r w:rsidRPr="00EC20A0">
        <w:t>procedures to</w:t>
      </w:r>
      <w:r w:rsidRPr="00EC20A0">
        <w:rPr>
          <w:spacing w:val="-2"/>
        </w:rPr>
        <w:t xml:space="preserve"> </w:t>
      </w:r>
      <w:r w:rsidRPr="00EC20A0">
        <w:t>be</w:t>
      </w:r>
      <w:r w:rsidRPr="00EC20A0">
        <w:rPr>
          <w:spacing w:val="-2"/>
        </w:rPr>
        <w:t xml:space="preserve"> </w:t>
      </w:r>
      <w:r w:rsidRPr="00EC20A0">
        <w:t>performed</w:t>
      </w:r>
      <w:r w:rsidRPr="00EC20A0">
        <w:rPr>
          <w:spacing w:val="-2"/>
        </w:rPr>
        <w:t xml:space="preserve"> </w:t>
      </w:r>
      <w:r w:rsidRPr="00EC20A0">
        <w:t>and</w:t>
      </w:r>
      <w:r w:rsidRPr="00EC20A0">
        <w:rPr>
          <w:spacing w:val="-2"/>
        </w:rPr>
        <w:t xml:space="preserve"> </w:t>
      </w:r>
      <w:r w:rsidRPr="00EC20A0">
        <w:t>whether</w:t>
      </w:r>
      <w:r w:rsidRPr="00EC20A0">
        <w:rPr>
          <w:spacing w:val="-2"/>
        </w:rPr>
        <w:t xml:space="preserve"> </w:t>
      </w:r>
      <w:r w:rsidRPr="00EC20A0">
        <w:t>they</w:t>
      </w:r>
      <w:r w:rsidRPr="00EC20A0">
        <w:rPr>
          <w:spacing w:val="-2"/>
        </w:rPr>
        <w:t xml:space="preserve"> </w:t>
      </w:r>
      <w:r w:rsidRPr="00EC20A0">
        <w:t>are</w:t>
      </w:r>
      <w:r w:rsidRPr="00EC20A0">
        <w:rPr>
          <w:spacing w:val="-2"/>
        </w:rPr>
        <w:t xml:space="preserve"> </w:t>
      </w:r>
      <w:r w:rsidRPr="00EC20A0">
        <w:t>to</w:t>
      </w:r>
      <w:r w:rsidRPr="00EC20A0">
        <w:rPr>
          <w:spacing w:val="-2"/>
        </w:rPr>
        <w:t xml:space="preserve"> </w:t>
      </w:r>
      <w:r w:rsidRPr="00EC20A0">
        <w:t>be</w:t>
      </w:r>
      <w:r w:rsidRPr="00EC20A0">
        <w:rPr>
          <w:spacing w:val="-2"/>
        </w:rPr>
        <w:t xml:space="preserve"> </w:t>
      </w:r>
      <w:r w:rsidRPr="00EC20A0">
        <w:t>performed</w:t>
      </w:r>
      <w:r w:rsidRPr="00EC20A0">
        <w:rPr>
          <w:spacing w:val="-2"/>
        </w:rPr>
        <w:t xml:space="preserve"> </w:t>
      </w:r>
      <w:r w:rsidRPr="00EC20A0">
        <w:t>by</w:t>
      </w:r>
      <w:r w:rsidRPr="00EC20A0">
        <w:rPr>
          <w:spacing w:val="-2"/>
        </w:rPr>
        <w:t xml:space="preserve"> </w:t>
      </w:r>
      <w:r w:rsidRPr="00EC20A0">
        <w:t>the</w:t>
      </w:r>
      <w:r w:rsidRPr="00EC20A0">
        <w:rPr>
          <w:spacing w:val="-2"/>
        </w:rPr>
        <w:t xml:space="preserve"> </w:t>
      </w:r>
      <w:r w:rsidRPr="00EC20A0">
        <w:t>component</w:t>
      </w:r>
      <w:r w:rsidRPr="00EC20A0">
        <w:rPr>
          <w:spacing w:val="-2"/>
        </w:rPr>
        <w:t xml:space="preserve"> </w:t>
      </w:r>
      <w:r w:rsidRPr="00EC20A0">
        <w:t xml:space="preserve">auditor or by the group engagement team (AU-C </w:t>
      </w:r>
      <w:r w:rsidRPr="00EC20A0">
        <w:t>600A.63).</w:t>
      </w:r>
    </w:p>
    <w:p w14:paraId="24D600E7" w14:textId="77777777" w:rsidR="00245300" w:rsidRPr="00EC20A0" w:rsidRDefault="00F17249">
      <w:pPr>
        <w:pStyle w:val="Heading5"/>
        <w:ind w:left="1140" w:right="562"/>
        <w:rPr>
          <w:u w:val="none"/>
        </w:rPr>
      </w:pPr>
      <w:bookmarkStart w:id="74" w:name="Communication_with_Group_Management_and_"/>
      <w:bookmarkEnd w:id="74"/>
      <w:r w:rsidRPr="00EC20A0">
        <w:t>Communication</w:t>
      </w:r>
      <w:r w:rsidRPr="00EC20A0">
        <w:rPr>
          <w:spacing w:val="-6"/>
        </w:rPr>
        <w:t xml:space="preserve"> </w:t>
      </w:r>
      <w:r w:rsidRPr="00EC20A0">
        <w:t>with</w:t>
      </w:r>
      <w:r w:rsidRPr="00EC20A0">
        <w:rPr>
          <w:spacing w:val="-6"/>
        </w:rPr>
        <w:t xml:space="preserve"> </w:t>
      </w:r>
      <w:r w:rsidRPr="00EC20A0">
        <w:t>Group</w:t>
      </w:r>
      <w:r w:rsidRPr="00EC20A0">
        <w:rPr>
          <w:spacing w:val="-6"/>
        </w:rPr>
        <w:t xml:space="preserve"> </w:t>
      </w:r>
      <w:r w:rsidRPr="00EC20A0">
        <w:t>Management</w:t>
      </w:r>
      <w:r w:rsidRPr="00EC20A0">
        <w:rPr>
          <w:spacing w:val="-5"/>
        </w:rPr>
        <w:t xml:space="preserve"> </w:t>
      </w:r>
      <w:r w:rsidRPr="00EC20A0">
        <w:t>and</w:t>
      </w:r>
      <w:r w:rsidRPr="00EC20A0">
        <w:rPr>
          <w:spacing w:val="-7"/>
        </w:rPr>
        <w:t xml:space="preserve"> </w:t>
      </w:r>
      <w:r w:rsidRPr="00EC20A0">
        <w:t>Those</w:t>
      </w:r>
      <w:r w:rsidRPr="00EC20A0">
        <w:rPr>
          <w:spacing w:val="-6"/>
        </w:rPr>
        <w:t xml:space="preserve"> </w:t>
      </w:r>
      <w:r w:rsidRPr="00EC20A0">
        <w:t>Charged</w:t>
      </w:r>
      <w:r w:rsidRPr="00EC20A0">
        <w:rPr>
          <w:spacing w:val="-5"/>
        </w:rPr>
        <w:t xml:space="preserve"> </w:t>
      </w:r>
      <w:r w:rsidRPr="00EC20A0">
        <w:t>with</w:t>
      </w:r>
      <w:r w:rsidRPr="00EC20A0">
        <w:rPr>
          <w:u w:val="none"/>
        </w:rPr>
        <w:t xml:space="preserve"> </w:t>
      </w:r>
      <w:r w:rsidRPr="00EC20A0">
        <w:rPr>
          <w:spacing w:val="-2"/>
        </w:rPr>
        <w:t>Governance</w:t>
      </w:r>
    </w:p>
    <w:p w14:paraId="24D600E8" w14:textId="77777777" w:rsidR="00245300" w:rsidRPr="00EC20A0" w:rsidRDefault="00F17249">
      <w:pPr>
        <w:pStyle w:val="ListParagraph"/>
        <w:numPr>
          <w:ilvl w:val="0"/>
          <w:numId w:val="214"/>
        </w:numPr>
        <w:tabs>
          <w:tab w:val="left" w:pos="1859"/>
        </w:tabs>
        <w:spacing w:before="238"/>
        <w:ind w:right="666" w:hanging="720"/>
      </w:pPr>
      <w:r w:rsidRPr="00EC20A0">
        <w:t>If assuming responsibility for the component auditors’ work, the group engagement</w:t>
      </w:r>
      <w:r w:rsidRPr="00EC20A0">
        <w:rPr>
          <w:spacing w:val="-2"/>
        </w:rPr>
        <w:t xml:space="preserve"> </w:t>
      </w:r>
      <w:r w:rsidRPr="00EC20A0">
        <w:t>team</w:t>
      </w:r>
      <w:r w:rsidRPr="00EC20A0">
        <w:rPr>
          <w:spacing w:val="-3"/>
        </w:rPr>
        <w:t xml:space="preserve"> </w:t>
      </w:r>
      <w:r w:rsidRPr="00EC20A0">
        <w:t>should</w:t>
      </w:r>
      <w:r w:rsidRPr="00EC20A0">
        <w:rPr>
          <w:spacing w:val="-2"/>
        </w:rPr>
        <w:t xml:space="preserve"> </w:t>
      </w:r>
      <w:r w:rsidRPr="00EC20A0">
        <w:t>determine</w:t>
      </w:r>
      <w:r w:rsidRPr="00EC20A0">
        <w:rPr>
          <w:spacing w:val="-2"/>
        </w:rPr>
        <w:t xml:space="preserve"> </w:t>
      </w:r>
      <w:r w:rsidRPr="00EC20A0">
        <w:t>which</w:t>
      </w:r>
      <w:r w:rsidRPr="00EC20A0">
        <w:rPr>
          <w:spacing w:val="-2"/>
        </w:rPr>
        <w:t xml:space="preserve"> </w:t>
      </w:r>
      <w:r w:rsidRPr="00EC20A0">
        <w:t>material</w:t>
      </w:r>
      <w:r w:rsidRPr="00EC20A0">
        <w:rPr>
          <w:spacing w:val="-2"/>
        </w:rPr>
        <w:t xml:space="preserve"> </w:t>
      </w:r>
      <w:r w:rsidRPr="00EC20A0">
        <w:t>weaknesses</w:t>
      </w:r>
      <w:r w:rsidRPr="00EC20A0">
        <w:rPr>
          <w:spacing w:val="-2"/>
        </w:rPr>
        <w:t xml:space="preserve"> </w:t>
      </w:r>
      <w:r w:rsidRPr="00EC20A0">
        <w:t>and</w:t>
      </w:r>
      <w:r w:rsidRPr="00EC20A0">
        <w:rPr>
          <w:spacing w:val="-2"/>
        </w:rPr>
        <w:t xml:space="preserve"> </w:t>
      </w:r>
      <w:r w:rsidRPr="00EC20A0">
        <w:t>significant deficiencies in internal control that component auditors have brought to the attention of the group engagement team should be communicated to group management</w:t>
      </w:r>
      <w:r w:rsidRPr="00EC20A0">
        <w:rPr>
          <w:spacing w:val="-4"/>
        </w:rPr>
        <w:t xml:space="preserve"> </w:t>
      </w:r>
      <w:r w:rsidRPr="00EC20A0">
        <w:t>and</w:t>
      </w:r>
      <w:r w:rsidRPr="00EC20A0">
        <w:rPr>
          <w:spacing w:val="-4"/>
        </w:rPr>
        <w:t xml:space="preserve"> </w:t>
      </w:r>
      <w:r w:rsidRPr="00EC20A0">
        <w:t>those</w:t>
      </w:r>
      <w:r w:rsidRPr="00EC20A0">
        <w:rPr>
          <w:spacing w:val="-5"/>
        </w:rPr>
        <w:t xml:space="preserve"> </w:t>
      </w:r>
      <w:r w:rsidRPr="00EC20A0">
        <w:t>charged</w:t>
      </w:r>
      <w:r w:rsidRPr="00EC20A0">
        <w:rPr>
          <w:spacing w:val="-4"/>
        </w:rPr>
        <w:t xml:space="preserve"> </w:t>
      </w:r>
      <w:r w:rsidRPr="00EC20A0">
        <w:t>with</w:t>
      </w:r>
      <w:r w:rsidRPr="00EC20A0">
        <w:rPr>
          <w:spacing w:val="-4"/>
        </w:rPr>
        <w:t xml:space="preserve"> </w:t>
      </w:r>
      <w:r w:rsidRPr="00EC20A0">
        <w:t>governance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group</w:t>
      </w:r>
      <w:r w:rsidRPr="00EC20A0">
        <w:rPr>
          <w:spacing w:val="-3"/>
        </w:rPr>
        <w:t xml:space="preserve"> </w:t>
      </w:r>
      <w:r w:rsidRPr="00EC20A0">
        <w:t>(AU-C</w:t>
      </w:r>
      <w:r w:rsidRPr="00EC20A0">
        <w:rPr>
          <w:spacing w:val="-5"/>
        </w:rPr>
        <w:t xml:space="preserve"> </w:t>
      </w:r>
      <w:r w:rsidRPr="00EC20A0">
        <w:t>600A.64).</w:t>
      </w:r>
    </w:p>
    <w:p w14:paraId="24D600E9" w14:textId="77777777" w:rsidR="00245300" w:rsidRPr="00EC20A0" w:rsidRDefault="00245300">
      <w:pPr>
        <w:sectPr w:rsidR="00245300" w:rsidRPr="00EC20A0">
          <w:pgSz w:w="12240" w:h="15840"/>
          <w:pgMar w:top="1340" w:right="940" w:bottom="940" w:left="1020" w:header="721" w:footer="757" w:gutter="0"/>
          <w:cols w:space="720"/>
        </w:sectPr>
      </w:pPr>
    </w:p>
    <w:p w14:paraId="24D600EA" w14:textId="77777777" w:rsidR="00245300" w:rsidRPr="00EC20A0" w:rsidRDefault="00F17249">
      <w:pPr>
        <w:pStyle w:val="Heading5"/>
        <w:spacing w:before="121"/>
        <w:ind w:left="1140"/>
        <w:rPr>
          <w:u w:val="none"/>
        </w:rPr>
      </w:pPr>
      <w:r w:rsidRPr="00EC20A0">
        <w:rPr>
          <w:spacing w:val="-2"/>
        </w:rPr>
        <w:t>Documentation</w:t>
      </w:r>
    </w:p>
    <w:p w14:paraId="24D600EB" w14:textId="77777777" w:rsidR="00245300" w:rsidRPr="00EC20A0" w:rsidRDefault="00F17249">
      <w:pPr>
        <w:pStyle w:val="ListParagraph"/>
        <w:numPr>
          <w:ilvl w:val="0"/>
          <w:numId w:val="214"/>
        </w:numPr>
        <w:tabs>
          <w:tab w:val="left" w:pos="1858"/>
        </w:tabs>
        <w:ind w:left="1858" w:right="578" w:hanging="719"/>
      </w:pPr>
      <w:r w:rsidRPr="00EC20A0">
        <w:t xml:space="preserve">The group engagement team </w:t>
      </w:r>
      <w:r w:rsidRPr="00EC20A0">
        <w:t>should include in the audit documentation the nature, timing, and extent of the group engagement team’s involvement in the work</w:t>
      </w:r>
      <w:r w:rsidRPr="00EC20A0">
        <w:rPr>
          <w:spacing w:val="-4"/>
        </w:rPr>
        <w:t xml:space="preserve"> </w:t>
      </w:r>
      <w:r w:rsidRPr="00EC20A0">
        <w:t>performed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component</w:t>
      </w:r>
      <w:r w:rsidRPr="00EC20A0">
        <w:rPr>
          <w:spacing w:val="-4"/>
        </w:rPr>
        <w:t xml:space="preserve"> </w:t>
      </w:r>
      <w:r w:rsidRPr="00EC20A0">
        <w:t>auditors</w:t>
      </w:r>
      <w:r w:rsidRPr="00EC20A0">
        <w:rPr>
          <w:spacing w:val="-4"/>
        </w:rPr>
        <w:t xml:space="preserve"> </w:t>
      </w:r>
      <w:r w:rsidRPr="00EC20A0">
        <w:t>on</w:t>
      </w:r>
      <w:r w:rsidRPr="00EC20A0">
        <w:rPr>
          <w:spacing w:val="-5"/>
        </w:rPr>
        <w:t xml:space="preserve"> </w:t>
      </w:r>
      <w:r w:rsidRPr="00EC20A0">
        <w:t>significant</w:t>
      </w:r>
      <w:r w:rsidRPr="00EC20A0">
        <w:rPr>
          <w:spacing w:val="-4"/>
        </w:rPr>
        <w:t xml:space="preserve"> </w:t>
      </w:r>
      <w:r w:rsidRPr="00EC20A0">
        <w:t>components,</w:t>
      </w:r>
      <w:r w:rsidRPr="00EC20A0">
        <w:rPr>
          <w:spacing w:val="-4"/>
        </w:rPr>
        <w:t xml:space="preserve"> </w:t>
      </w:r>
      <w:r w:rsidRPr="00EC20A0">
        <w:t xml:space="preserve">including, when applicable, the group engagement team's review of relevant parts of the component auditors’ audit documentation and conclusions thereon (AU-C </w:t>
      </w:r>
      <w:r w:rsidRPr="00EC20A0">
        <w:rPr>
          <w:spacing w:val="-2"/>
        </w:rPr>
        <w:t>600A.65).</w:t>
      </w:r>
    </w:p>
    <w:p w14:paraId="24D600EC" w14:textId="77777777" w:rsidR="00245300" w:rsidRPr="00EC20A0" w:rsidRDefault="00245300">
      <w:pPr>
        <w:sectPr w:rsidR="00245300" w:rsidRPr="00EC20A0">
          <w:pgSz w:w="12240" w:h="15840"/>
          <w:pgMar w:top="1340" w:right="940" w:bottom="940" w:left="1020" w:header="721" w:footer="757" w:gutter="0"/>
          <w:cols w:space="720"/>
        </w:sectPr>
      </w:pPr>
    </w:p>
    <w:p w14:paraId="24D600ED" w14:textId="77777777" w:rsidR="00245300" w:rsidRPr="00EC20A0" w:rsidRDefault="00F17249">
      <w:pPr>
        <w:pStyle w:val="Heading3"/>
        <w:spacing w:before="241"/>
        <w:ind w:left="420"/>
        <w:rPr>
          <w:u w:val="none"/>
        </w:rPr>
      </w:pPr>
      <w:bookmarkStart w:id="75" w:name="640_–_Entities_Using_a_Service_Organizat"/>
      <w:bookmarkStart w:id="76" w:name="_bookmark18"/>
      <w:bookmarkEnd w:id="75"/>
      <w:bookmarkEnd w:id="76"/>
      <w:r w:rsidRPr="00EC20A0">
        <w:t>640</w:t>
      </w:r>
      <w:r w:rsidRPr="00EC20A0">
        <w:rPr>
          <w:spacing w:val="-6"/>
        </w:rPr>
        <w:t xml:space="preserve"> </w:t>
      </w:r>
      <w:r w:rsidRPr="00EC20A0">
        <w:t>–</w:t>
      </w:r>
      <w:r w:rsidRPr="00EC20A0">
        <w:rPr>
          <w:spacing w:val="-2"/>
        </w:rPr>
        <w:t xml:space="preserve"> </w:t>
      </w:r>
      <w:r w:rsidRPr="00EC20A0">
        <w:t>Entities</w:t>
      </w:r>
      <w:r w:rsidRPr="00EC20A0">
        <w:rPr>
          <w:spacing w:val="-3"/>
        </w:rPr>
        <w:t xml:space="preserve"> </w:t>
      </w:r>
      <w:r w:rsidRPr="00EC20A0">
        <w:t>Using</w:t>
      </w:r>
      <w:r w:rsidRPr="00EC20A0">
        <w:rPr>
          <w:spacing w:val="-4"/>
        </w:rPr>
        <w:t xml:space="preserve"> </w:t>
      </w:r>
      <w:r w:rsidRPr="00EC20A0">
        <w:t>a</w:t>
      </w:r>
      <w:r w:rsidRPr="00EC20A0">
        <w:rPr>
          <w:spacing w:val="-3"/>
        </w:rPr>
        <w:t xml:space="preserve"> </w:t>
      </w:r>
      <w:r w:rsidRPr="00EC20A0">
        <w:t>Service</w:t>
      </w:r>
      <w:r w:rsidRPr="00EC20A0">
        <w:rPr>
          <w:spacing w:val="-3"/>
        </w:rPr>
        <w:t xml:space="preserve"> </w:t>
      </w:r>
      <w:r w:rsidRPr="00EC20A0">
        <w:rPr>
          <w:spacing w:val="-2"/>
        </w:rPr>
        <w:t>Organization</w:t>
      </w:r>
    </w:p>
    <w:p w14:paraId="24D600EE" w14:textId="77777777" w:rsidR="00245300" w:rsidRPr="00EC20A0" w:rsidRDefault="00F17249">
      <w:pPr>
        <w:pStyle w:val="Heading4"/>
      </w:pPr>
      <w:r w:rsidRPr="00EC20A0">
        <w:rPr>
          <w:spacing w:val="-2"/>
        </w:rPr>
        <w:t>Overview</w:t>
      </w:r>
    </w:p>
    <w:p w14:paraId="24D600EF" w14:textId="77777777" w:rsidR="00245300" w:rsidRPr="00EC20A0" w:rsidRDefault="00F17249">
      <w:pPr>
        <w:pStyle w:val="ListParagraph"/>
        <w:numPr>
          <w:ilvl w:val="0"/>
          <w:numId w:val="17"/>
        </w:numPr>
        <w:tabs>
          <w:tab w:val="left" w:pos="1859"/>
        </w:tabs>
        <w:ind w:right="601"/>
        <w:jc w:val="left"/>
        <w:rPr>
          <w:sz w:val="14"/>
        </w:rPr>
      </w:pPr>
      <w:r w:rsidRPr="00EC20A0">
        <w:t xml:space="preserve">FAM 640 provides guidance to auditors when considering the services provided to the </w:t>
      </w:r>
      <w:r w:rsidRPr="00EC20A0">
        <w:t>entity by a service organization. As discussed in FAM 310.11, the auditor should obtain an understanding of how the entity uses the services of a service organization</w:t>
      </w:r>
      <w:r w:rsidRPr="00EC20A0">
        <w:rPr>
          <w:spacing w:val="-4"/>
        </w:rPr>
        <w:t xml:space="preserve"> </w:t>
      </w:r>
      <w:r w:rsidRPr="00EC20A0">
        <w:t>in</w:t>
      </w:r>
      <w:r w:rsidRPr="00EC20A0">
        <w:rPr>
          <w:spacing w:val="-3"/>
        </w:rPr>
        <w:t xml:space="preserve"> </w:t>
      </w:r>
      <w:r w:rsidRPr="00EC20A0">
        <w:t>the</w:t>
      </w:r>
      <w:r w:rsidRPr="00EC20A0">
        <w:rPr>
          <w:spacing w:val="-3"/>
        </w:rPr>
        <w:t xml:space="preserve"> </w:t>
      </w:r>
      <w:r w:rsidRPr="00EC20A0">
        <w:t>entity’s</w:t>
      </w:r>
      <w:r w:rsidRPr="00EC20A0">
        <w:rPr>
          <w:spacing w:val="-3"/>
        </w:rPr>
        <w:t xml:space="preserve"> </w:t>
      </w:r>
      <w:r w:rsidRPr="00EC20A0">
        <w:t>operations</w:t>
      </w:r>
      <w:r w:rsidRPr="00EC20A0">
        <w:rPr>
          <w:spacing w:val="-3"/>
        </w:rPr>
        <w:t xml:space="preserve"> </w:t>
      </w:r>
      <w:r w:rsidRPr="00EC20A0">
        <w:t>for</w:t>
      </w:r>
      <w:r w:rsidRPr="00EC20A0">
        <w:rPr>
          <w:spacing w:val="-4"/>
        </w:rPr>
        <w:t xml:space="preserve"> </w:t>
      </w:r>
      <w:r w:rsidRPr="00EC20A0">
        <w:t>assessing</w:t>
      </w:r>
      <w:r w:rsidRPr="00EC20A0">
        <w:rPr>
          <w:spacing w:val="-3"/>
        </w:rPr>
        <w:t xml:space="preserve"> </w:t>
      </w:r>
      <w:r w:rsidRPr="00EC20A0">
        <w:t>risk</w:t>
      </w:r>
      <w:r w:rsidRPr="00EC20A0">
        <w:rPr>
          <w:spacing w:val="-3"/>
        </w:rPr>
        <w:t xml:space="preserve"> </w:t>
      </w:r>
      <w:r w:rsidRPr="00EC20A0">
        <w:t>and</w:t>
      </w:r>
      <w:r w:rsidRPr="00EC20A0">
        <w:rPr>
          <w:spacing w:val="-4"/>
        </w:rPr>
        <w:t xml:space="preserve"> </w:t>
      </w:r>
      <w:r w:rsidRPr="00EC20A0">
        <w:t>planning</w:t>
      </w:r>
      <w:r w:rsidRPr="00EC20A0">
        <w:rPr>
          <w:spacing w:val="-3"/>
        </w:rPr>
        <w:t xml:space="preserve"> </w:t>
      </w:r>
      <w:r w:rsidRPr="00EC20A0">
        <w:t>other</w:t>
      </w:r>
      <w:r w:rsidRPr="00EC20A0">
        <w:rPr>
          <w:spacing w:val="-3"/>
        </w:rPr>
        <w:t xml:space="preserve"> </w:t>
      </w:r>
      <w:r w:rsidRPr="00EC20A0">
        <w:t xml:space="preserve">audit </w:t>
      </w:r>
      <w:r w:rsidRPr="00EC20A0">
        <w:rPr>
          <w:spacing w:val="-2"/>
        </w:rPr>
        <w:t>procedures.</w:t>
      </w:r>
      <w:hyperlink w:anchor="_bookmark19" w:history="1">
        <w:r w:rsidRPr="00EC20A0">
          <w:rPr>
            <w:spacing w:val="-2"/>
            <w:position w:val="7"/>
            <w:sz w:val="14"/>
          </w:rPr>
          <w:t>13</w:t>
        </w:r>
      </w:hyperlink>
    </w:p>
    <w:p w14:paraId="24D600F0" w14:textId="77777777" w:rsidR="00245300" w:rsidRPr="00EC20A0" w:rsidRDefault="00F17249">
      <w:pPr>
        <w:pStyle w:val="ListParagraph"/>
        <w:numPr>
          <w:ilvl w:val="0"/>
          <w:numId w:val="17"/>
        </w:numPr>
        <w:tabs>
          <w:tab w:val="left" w:pos="1859"/>
        </w:tabs>
        <w:ind w:right="589"/>
        <w:jc w:val="left"/>
      </w:pPr>
      <w:r w:rsidRPr="00EC20A0">
        <w:t>Many entities outsource aspects of their business activities to organizations that provide services ranging from performing a specific task under the direction of the</w:t>
      </w:r>
      <w:r w:rsidRPr="00EC20A0">
        <w:rPr>
          <w:spacing w:val="-3"/>
        </w:rPr>
        <w:t xml:space="preserve"> </w:t>
      </w:r>
      <w:r w:rsidRPr="00EC20A0">
        <w:t>entity</w:t>
      </w:r>
      <w:r w:rsidRPr="00EC20A0">
        <w:rPr>
          <w:spacing w:val="-3"/>
        </w:rPr>
        <w:t xml:space="preserve"> </w:t>
      </w:r>
      <w:r w:rsidRPr="00EC20A0">
        <w:t>to</w:t>
      </w:r>
      <w:r w:rsidRPr="00EC20A0">
        <w:rPr>
          <w:spacing w:val="-4"/>
        </w:rPr>
        <w:t xml:space="preserve"> </w:t>
      </w:r>
      <w:r w:rsidRPr="00EC20A0">
        <w:t>replacing</w:t>
      </w:r>
      <w:r w:rsidRPr="00EC20A0">
        <w:rPr>
          <w:spacing w:val="-3"/>
        </w:rPr>
        <w:t xml:space="preserve"> </w:t>
      </w:r>
      <w:r w:rsidRPr="00EC20A0">
        <w:t>entire</w:t>
      </w:r>
      <w:r w:rsidRPr="00EC20A0">
        <w:rPr>
          <w:spacing w:val="-3"/>
        </w:rPr>
        <w:t xml:space="preserve"> </w:t>
      </w:r>
      <w:r w:rsidRPr="00EC20A0">
        <w:t>business</w:t>
      </w:r>
      <w:r w:rsidRPr="00EC20A0">
        <w:rPr>
          <w:spacing w:val="-3"/>
        </w:rPr>
        <w:t xml:space="preserve"> </w:t>
      </w:r>
      <w:r w:rsidRPr="00EC20A0">
        <w:t>units</w:t>
      </w:r>
      <w:r w:rsidRPr="00EC20A0">
        <w:rPr>
          <w:spacing w:val="-3"/>
        </w:rPr>
        <w:t xml:space="preserve"> </w:t>
      </w:r>
      <w:r w:rsidRPr="00EC20A0">
        <w:t>or</w:t>
      </w:r>
      <w:r w:rsidRPr="00EC20A0">
        <w:rPr>
          <w:spacing w:val="-3"/>
        </w:rPr>
        <w:t xml:space="preserve"> </w:t>
      </w:r>
      <w:r w:rsidRPr="00EC20A0">
        <w:t>functions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Many</w:t>
      </w:r>
      <w:r w:rsidRPr="00EC20A0">
        <w:rPr>
          <w:spacing w:val="-3"/>
        </w:rPr>
        <w:t xml:space="preserve"> </w:t>
      </w:r>
      <w:r w:rsidRPr="00EC20A0">
        <w:t>of</w:t>
      </w:r>
      <w:r w:rsidRPr="00EC20A0">
        <w:rPr>
          <w:spacing w:val="-3"/>
        </w:rPr>
        <w:t xml:space="preserve"> </w:t>
      </w:r>
      <w:r w:rsidRPr="00EC20A0">
        <w:t>the services provided by such organizations are integral to an entity’s business operations; however, not all of those services are relevant to an audit</w:t>
      </w:r>
    </w:p>
    <w:p w14:paraId="24D600F1" w14:textId="77777777" w:rsidR="00245300" w:rsidRPr="00EC20A0" w:rsidRDefault="00F17249">
      <w:pPr>
        <w:pStyle w:val="BodyText"/>
        <w:ind w:left="1859" w:right="562"/>
      </w:pPr>
      <w:r w:rsidRPr="00EC20A0">
        <w:t>(AU-C</w:t>
      </w:r>
      <w:r w:rsidRPr="00EC20A0">
        <w:rPr>
          <w:spacing w:val="-1"/>
        </w:rPr>
        <w:t xml:space="preserve"> </w:t>
      </w:r>
      <w:r w:rsidRPr="00EC20A0">
        <w:t>402.02).</w:t>
      </w:r>
      <w:r w:rsidRPr="00EC20A0">
        <w:rPr>
          <w:spacing w:val="-1"/>
        </w:rPr>
        <w:t xml:space="preserve"> </w:t>
      </w:r>
      <w:r w:rsidRPr="00EC20A0">
        <w:t>Services</w:t>
      </w:r>
      <w:r w:rsidRPr="00EC20A0">
        <w:rPr>
          <w:spacing w:val="-2"/>
        </w:rPr>
        <w:t xml:space="preserve"> </w:t>
      </w:r>
      <w:r w:rsidRPr="00EC20A0">
        <w:t>provided</w:t>
      </w:r>
      <w:r w:rsidRPr="00EC20A0">
        <w:rPr>
          <w:spacing w:val="-1"/>
        </w:rPr>
        <w:t xml:space="preserve"> </w:t>
      </w:r>
      <w:r w:rsidRPr="00EC20A0">
        <w:t>by</w:t>
      </w:r>
      <w:r w:rsidRPr="00EC20A0">
        <w:rPr>
          <w:spacing w:val="-2"/>
        </w:rPr>
        <w:t xml:space="preserve"> </w:t>
      </w:r>
      <w:r w:rsidRPr="00EC20A0">
        <w:t>service</w:t>
      </w:r>
      <w:r w:rsidRPr="00EC20A0">
        <w:rPr>
          <w:spacing w:val="-1"/>
        </w:rPr>
        <w:t xml:space="preserve"> </w:t>
      </w:r>
      <w:r w:rsidRPr="00EC20A0">
        <w:t>organizations</w:t>
      </w:r>
      <w:r w:rsidRPr="00EC20A0">
        <w:rPr>
          <w:spacing w:val="-2"/>
        </w:rPr>
        <w:t xml:space="preserve"> </w:t>
      </w:r>
      <w:r w:rsidRPr="00EC20A0">
        <w:t>that</w:t>
      </w:r>
      <w:r w:rsidRPr="00EC20A0">
        <w:rPr>
          <w:spacing w:val="-1"/>
        </w:rPr>
        <w:t xml:space="preserve"> </w:t>
      </w:r>
      <w:r w:rsidRPr="00EC20A0">
        <w:t>may</w:t>
      </w:r>
      <w:r w:rsidRPr="00EC20A0">
        <w:rPr>
          <w:spacing w:val="-1"/>
        </w:rPr>
        <w:t xml:space="preserve"> </w:t>
      </w:r>
      <w:r w:rsidRPr="00EC20A0">
        <w:t>be</w:t>
      </w:r>
      <w:r w:rsidRPr="00EC20A0">
        <w:rPr>
          <w:spacing w:val="-1"/>
        </w:rPr>
        <w:t xml:space="preserve"> </w:t>
      </w:r>
      <w:r w:rsidRPr="00EC20A0">
        <w:t>relevant to</w:t>
      </w:r>
      <w:r w:rsidRPr="00EC20A0">
        <w:rPr>
          <w:spacing w:val="-4"/>
        </w:rPr>
        <w:t xml:space="preserve"> </w:t>
      </w:r>
      <w:r w:rsidRPr="00EC20A0">
        <w:t>an</w:t>
      </w:r>
      <w:r w:rsidRPr="00EC20A0">
        <w:rPr>
          <w:spacing w:val="-4"/>
        </w:rPr>
        <w:t xml:space="preserve"> </w:t>
      </w:r>
      <w:r w:rsidRPr="00EC20A0">
        <w:t>audit</w:t>
      </w:r>
      <w:r w:rsidRPr="00EC20A0">
        <w:rPr>
          <w:spacing w:val="-4"/>
        </w:rPr>
        <w:t xml:space="preserve"> </w:t>
      </w:r>
      <w:r w:rsidRPr="00EC20A0">
        <w:t>include</w:t>
      </w:r>
      <w:r w:rsidRPr="00EC20A0">
        <w:rPr>
          <w:spacing w:val="-4"/>
        </w:rPr>
        <w:t xml:space="preserve"> </w:t>
      </w:r>
      <w:r w:rsidRPr="00EC20A0">
        <w:t>maintenance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accounting</w:t>
      </w:r>
      <w:r w:rsidRPr="00EC20A0">
        <w:rPr>
          <w:spacing w:val="-4"/>
        </w:rPr>
        <w:t xml:space="preserve"> </w:t>
      </w:r>
      <w:r w:rsidRPr="00EC20A0">
        <w:t>records;</w:t>
      </w:r>
      <w:r w:rsidRPr="00EC20A0">
        <w:rPr>
          <w:spacing w:val="-4"/>
        </w:rPr>
        <w:t xml:space="preserve"> </w:t>
      </w:r>
      <w:r w:rsidRPr="00EC20A0">
        <w:t>management of the entity’s assets; and initiating, authorizing, recording, or processing transactions as an agent of the entity.</w:t>
      </w:r>
    </w:p>
    <w:p w14:paraId="24D600F2" w14:textId="77777777" w:rsidR="00245300" w:rsidRPr="00EC20A0" w:rsidRDefault="00F17249">
      <w:pPr>
        <w:pStyle w:val="ListParagraph"/>
        <w:numPr>
          <w:ilvl w:val="0"/>
          <w:numId w:val="17"/>
        </w:numPr>
        <w:tabs>
          <w:tab w:val="left" w:pos="1859"/>
        </w:tabs>
        <w:ind w:right="504"/>
        <w:jc w:val="left"/>
      </w:pPr>
      <w:r w:rsidRPr="00EC20A0">
        <w:t>Services</w:t>
      </w:r>
      <w:r w:rsidRPr="00EC20A0">
        <w:rPr>
          <w:spacing w:val="-3"/>
        </w:rPr>
        <w:t xml:space="preserve"> </w:t>
      </w:r>
      <w:r w:rsidRPr="00EC20A0">
        <w:t>provided</w:t>
      </w:r>
      <w:r w:rsidRPr="00EC20A0">
        <w:rPr>
          <w:spacing w:val="-3"/>
        </w:rPr>
        <w:t xml:space="preserve"> </w:t>
      </w:r>
      <w:r w:rsidRPr="00EC20A0">
        <w:t>by</w:t>
      </w:r>
      <w:r w:rsidRPr="00EC20A0">
        <w:rPr>
          <w:spacing w:val="-3"/>
        </w:rPr>
        <w:t xml:space="preserve"> </w:t>
      </w:r>
      <w:r w:rsidRPr="00EC20A0">
        <w:t>a</w:t>
      </w:r>
      <w:r w:rsidRPr="00EC20A0">
        <w:rPr>
          <w:spacing w:val="-4"/>
        </w:rPr>
        <w:t xml:space="preserve"> </w:t>
      </w:r>
      <w:r w:rsidRPr="00EC20A0">
        <w:t>service</w:t>
      </w:r>
      <w:r w:rsidRPr="00EC20A0">
        <w:rPr>
          <w:spacing w:val="-3"/>
        </w:rPr>
        <w:t xml:space="preserve"> </w:t>
      </w:r>
      <w:r w:rsidRPr="00EC20A0">
        <w:t>organization</w:t>
      </w:r>
      <w:r w:rsidRPr="00EC20A0">
        <w:rPr>
          <w:spacing w:val="-3"/>
        </w:rPr>
        <w:t xml:space="preserve"> </w:t>
      </w:r>
      <w:r w:rsidRPr="00EC20A0">
        <w:t>are</w:t>
      </w:r>
      <w:r w:rsidRPr="00EC20A0">
        <w:rPr>
          <w:spacing w:val="-3"/>
        </w:rPr>
        <w:t xml:space="preserve"> </w:t>
      </w:r>
      <w:r w:rsidRPr="00EC20A0">
        <w:t>relevant</w:t>
      </w:r>
      <w:r w:rsidRPr="00EC20A0">
        <w:rPr>
          <w:spacing w:val="-3"/>
        </w:rPr>
        <w:t xml:space="preserve"> </w:t>
      </w:r>
      <w:r w:rsidRPr="00EC20A0">
        <w:t>to</w:t>
      </w:r>
      <w:r w:rsidRPr="00EC20A0">
        <w:rPr>
          <w:spacing w:val="-2"/>
        </w:rPr>
        <w:t xml:space="preserve"> </w:t>
      </w:r>
      <w:r w:rsidRPr="00EC20A0">
        <w:t>the</w:t>
      </w:r>
      <w:r w:rsidRPr="00EC20A0">
        <w:rPr>
          <w:spacing w:val="-3"/>
        </w:rPr>
        <w:t xml:space="preserve"> </w:t>
      </w:r>
      <w:r w:rsidRPr="00EC20A0">
        <w:t>audit</w:t>
      </w:r>
      <w:r w:rsidRPr="00EC20A0">
        <w:rPr>
          <w:spacing w:val="-3"/>
        </w:rPr>
        <w:t xml:space="preserve"> </w:t>
      </w:r>
      <w:r w:rsidRPr="00EC20A0">
        <w:t>of</w:t>
      </w:r>
      <w:r w:rsidRPr="00EC20A0">
        <w:rPr>
          <w:spacing w:val="-3"/>
        </w:rPr>
        <w:t xml:space="preserve"> </w:t>
      </w:r>
      <w:r w:rsidRPr="00EC20A0">
        <w:t>an</w:t>
      </w:r>
      <w:r w:rsidRPr="00EC20A0">
        <w:rPr>
          <w:spacing w:val="-4"/>
        </w:rPr>
        <w:t xml:space="preserve"> </w:t>
      </w:r>
      <w:r w:rsidRPr="00EC20A0">
        <w:t>entity’s financial statements when those services and the controls over them affect the entity’s</w:t>
      </w:r>
      <w:r w:rsidRPr="00EC20A0">
        <w:rPr>
          <w:spacing w:val="-3"/>
        </w:rPr>
        <w:t xml:space="preserve"> </w:t>
      </w:r>
      <w:r w:rsidRPr="00EC20A0">
        <w:t>information</w:t>
      </w:r>
      <w:r w:rsidRPr="00EC20A0">
        <w:rPr>
          <w:spacing w:val="-2"/>
        </w:rPr>
        <w:t xml:space="preserve"> </w:t>
      </w:r>
      <w:r w:rsidRPr="00EC20A0">
        <w:t>system</w:t>
      </w:r>
      <w:r w:rsidRPr="00EC20A0">
        <w:rPr>
          <w:spacing w:val="-3"/>
        </w:rPr>
        <w:t xml:space="preserve"> </w:t>
      </w:r>
      <w:r w:rsidRPr="00EC20A0">
        <w:t>relevant</w:t>
      </w:r>
      <w:r w:rsidRPr="00EC20A0">
        <w:rPr>
          <w:spacing w:val="-2"/>
        </w:rPr>
        <w:t xml:space="preserve"> </w:t>
      </w:r>
      <w:r w:rsidRPr="00EC20A0">
        <w:t>to</w:t>
      </w:r>
      <w:r w:rsidRPr="00EC20A0">
        <w:rPr>
          <w:spacing w:val="-2"/>
        </w:rPr>
        <w:t xml:space="preserve"> </w:t>
      </w:r>
      <w:r w:rsidRPr="00EC20A0">
        <w:t>the</w:t>
      </w:r>
      <w:r w:rsidRPr="00EC20A0">
        <w:rPr>
          <w:spacing w:val="-2"/>
        </w:rPr>
        <w:t xml:space="preserve"> </w:t>
      </w:r>
      <w:r w:rsidRPr="00EC20A0">
        <w:t>preparation</w:t>
      </w:r>
      <w:r w:rsidRPr="00EC20A0">
        <w:rPr>
          <w:spacing w:val="-2"/>
        </w:rPr>
        <w:t xml:space="preserve"> </w:t>
      </w:r>
      <w:r w:rsidRPr="00EC20A0">
        <w:t>of</w:t>
      </w:r>
      <w:r w:rsidRPr="00EC20A0">
        <w:rPr>
          <w:spacing w:val="-2"/>
        </w:rPr>
        <w:t xml:space="preserve"> </w:t>
      </w:r>
      <w:r w:rsidRPr="00EC20A0">
        <w:t>the</w:t>
      </w:r>
      <w:r w:rsidRPr="00EC20A0">
        <w:rPr>
          <w:spacing w:val="-3"/>
        </w:rPr>
        <w:t xml:space="preserve"> </w:t>
      </w:r>
      <w:r w:rsidRPr="00EC20A0">
        <w:t>financial</w:t>
      </w:r>
      <w:r w:rsidRPr="00EC20A0">
        <w:rPr>
          <w:spacing w:val="-3"/>
        </w:rPr>
        <w:t xml:space="preserve"> </w:t>
      </w:r>
      <w:r w:rsidRPr="00EC20A0">
        <w:t>statements. Most controls at a service organization are likely to be part of the entity’s information</w:t>
      </w:r>
      <w:r w:rsidRPr="00EC20A0">
        <w:rPr>
          <w:spacing w:val="-4"/>
        </w:rPr>
        <w:t xml:space="preserve"> </w:t>
      </w:r>
      <w:r w:rsidRPr="00EC20A0">
        <w:t>system</w:t>
      </w:r>
      <w:r w:rsidRPr="00EC20A0">
        <w:rPr>
          <w:spacing w:val="-5"/>
        </w:rPr>
        <w:t xml:space="preserve"> </w:t>
      </w:r>
      <w:r w:rsidRPr="00EC20A0">
        <w:t>relevant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preparation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or</w:t>
      </w:r>
      <w:r w:rsidRPr="00EC20A0">
        <w:rPr>
          <w:spacing w:val="-4"/>
        </w:rPr>
        <w:t xml:space="preserve"> </w:t>
      </w:r>
      <w:r w:rsidRPr="00EC20A0">
        <w:t>other related</w:t>
      </w:r>
      <w:r w:rsidRPr="00EC20A0">
        <w:rPr>
          <w:spacing w:val="-1"/>
        </w:rPr>
        <w:t xml:space="preserve"> </w:t>
      </w:r>
      <w:r w:rsidRPr="00EC20A0">
        <w:t>controls,</w:t>
      </w:r>
      <w:r w:rsidRPr="00EC20A0">
        <w:rPr>
          <w:spacing w:val="-1"/>
        </w:rPr>
        <w:t xml:space="preserve"> </w:t>
      </w:r>
      <w:r w:rsidRPr="00EC20A0">
        <w:t>such</w:t>
      </w:r>
      <w:r w:rsidRPr="00EC20A0">
        <w:rPr>
          <w:spacing w:val="-1"/>
        </w:rPr>
        <w:t xml:space="preserve"> </w:t>
      </w:r>
      <w:r w:rsidRPr="00EC20A0">
        <w:t>as</w:t>
      </w:r>
      <w:r w:rsidRPr="00EC20A0">
        <w:rPr>
          <w:spacing w:val="-2"/>
        </w:rPr>
        <w:t xml:space="preserve"> </w:t>
      </w:r>
      <w:r w:rsidRPr="00EC20A0">
        <w:t>controls</w:t>
      </w:r>
      <w:r w:rsidRPr="00EC20A0">
        <w:rPr>
          <w:spacing w:val="-1"/>
        </w:rPr>
        <w:t xml:space="preserve"> </w:t>
      </w:r>
      <w:r w:rsidRPr="00EC20A0">
        <w:t>over</w:t>
      </w:r>
      <w:r w:rsidRPr="00EC20A0">
        <w:rPr>
          <w:spacing w:val="-1"/>
        </w:rPr>
        <w:t xml:space="preserve"> </w:t>
      </w:r>
      <w:r w:rsidRPr="00EC20A0">
        <w:t>the</w:t>
      </w:r>
      <w:r w:rsidRPr="00EC20A0">
        <w:rPr>
          <w:spacing w:val="-1"/>
        </w:rPr>
        <w:t xml:space="preserve"> </w:t>
      </w:r>
      <w:r w:rsidRPr="00EC20A0">
        <w:t>safeguarding</w:t>
      </w:r>
      <w:r w:rsidRPr="00EC20A0">
        <w:rPr>
          <w:spacing w:val="-1"/>
        </w:rPr>
        <w:t xml:space="preserve"> </w:t>
      </w:r>
      <w:r w:rsidRPr="00EC20A0">
        <w:t>of</w:t>
      </w:r>
      <w:r w:rsidRPr="00EC20A0">
        <w:rPr>
          <w:spacing w:val="-1"/>
        </w:rPr>
        <w:t xml:space="preserve"> </w:t>
      </w:r>
      <w:r w:rsidRPr="00EC20A0">
        <w:t>assets.</w:t>
      </w:r>
      <w:r w:rsidRPr="00EC20A0">
        <w:rPr>
          <w:spacing w:val="-1"/>
        </w:rPr>
        <w:t xml:space="preserve"> </w:t>
      </w:r>
      <w:r w:rsidRPr="00EC20A0">
        <w:t>(AU-C</w:t>
      </w:r>
      <w:r w:rsidRPr="00EC20A0">
        <w:rPr>
          <w:spacing w:val="-2"/>
        </w:rPr>
        <w:t xml:space="preserve"> </w:t>
      </w:r>
      <w:r w:rsidRPr="00EC20A0">
        <w:t>402.03)</w:t>
      </w:r>
    </w:p>
    <w:p w14:paraId="24D600F3" w14:textId="77777777" w:rsidR="00245300" w:rsidRPr="00EC20A0" w:rsidRDefault="00F17249">
      <w:pPr>
        <w:pStyle w:val="BodyText"/>
        <w:spacing w:before="240"/>
        <w:ind w:left="1859" w:right="656"/>
      </w:pPr>
      <w:r w:rsidRPr="00EC20A0">
        <w:t>A</w:t>
      </w:r>
      <w:r w:rsidRPr="00EC20A0">
        <w:rPr>
          <w:spacing w:val="-5"/>
        </w:rPr>
        <w:t xml:space="preserve"> </w:t>
      </w:r>
      <w:r w:rsidRPr="00EC20A0">
        <w:t>service</w:t>
      </w:r>
      <w:r w:rsidRPr="00EC20A0">
        <w:rPr>
          <w:spacing w:val="-4"/>
        </w:rPr>
        <w:t xml:space="preserve"> </w:t>
      </w:r>
      <w:r w:rsidRPr="00EC20A0">
        <w:t>organization’s</w:t>
      </w:r>
      <w:r w:rsidRPr="00EC20A0">
        <w:rPr>
          <w:spacing w:val="-5"/>
        </w:rPr>
        <w:t xml:space="preserve"> </w:t>
      </w:r>
      <w:r w:rsidRPr="00EC20A0">
        <w:t>services</w:t>
      </w:r>
      <w:r w:rsidRPr="00EC20A0">
        <w:rPr>
          <w:spacing w:val="-4"/>
        </w:rPr>
        <w:t xml:space="preserve"> </w:t>
      </w:r>
      <w:r w:rsidRPr="00EC20A0">
        <w:t>are</w:t>
      </w:r>
      <w:r w:rsidRPr="00EC20A0">
        <w:rPr>
          <w:spacing w:val="-5"/>
        </w:rPr>
        <w:t xml:space="preserve"> </w:t>
      </w:r>
      <w:r w:rsidRPr="00EC20A0">
        <w:t>part</w:t>
      </w:r>
      <w:r w:rsidRPr="00EC20A0">
        <w:rPr>
          <w:spacing w:val="-4"/>
        </w:rPr>
        <w:t xml:space="preserve"> </w:t>
      </w:r>
      <w:r w:rsidRPr="00EC20A0">
        <w:t>of</w:t>
      </w:r>
      <w:r w:rsidRPr="00EC20A0">
        <w:rPr>
          <w:spacing w:val="-4"/>
        </w:rPr>
        <w:t xml:space="preserve"> </w:t>
      </w:r>
      <w:r w:rsidRPr="00EC20A0">
        <w:t>an</w:t>
      </w:r>
      <w:r w:rsidRPr="00EC20A0">
        <w:rPr>
          <w:spacing w:val="-4"/>
        </w:rPr>
        <w:t xml:space="preserve"> </w:t>
      </w:r>
      <w:r w:rsidRPr="00EC20A0">
        <w:t>entity’s</w:t>
      </w:r>
      <w:r w:rsidRPr="00EC20A0">
        <w:rPr>
          <w:spacing w:val="-5"/>
        </w:rPr>
        <w:t xml:space="preserve"> </w:t>
      </w:r>
      <w:r w:rsidRPr="00EC20A0">
        <w:t>information</w:t>
      </w:r>
      <w:r w:rsidRPr="00EC20A0">
        <w:rPr>
          <w:spacing w:val="-4"/>
        </w:rPr>
        <w:t xml:space="preserve"> </w:t>
      </w:r>
      <w:r w:rsidRPr="00EC20A0">
        <w:t>system</w:t>
      </w:r>
      <w:r w:rsidRPr="00EC20A0">
        <w:rPr>
          <w:spacing w:val="-5"/>
        </w:rPr>
        <w:t xml:space="preserve"> </w:t>
      </w:r>
      <w:r w:rsidRPr="00EC20A0">
        <w:t>if these services affect any of the following (AU-C 402.03):</w:t>
      </w:r>
    </w:p>
    <w:p w14:paraId="24D600F4" w14:textId="77777777" w:rsidR="00245300" w:rsidRPr="00EC20A0" w:rsidRDefault="00F17249">
      <w:pPr>
        <w:pStyle w:val="ListParagraph"/>
        <w:numPr>
          <w:ilvl w:val="1"/>
          <w:numId w:val="17"/>
        </w:numPr>
        <w:tabs>
          <w:tab w:val="left" w:pos="2219"/>
        </w:tabs>
        <w:ind w:right="830"/>
      </w:pPr>
      <w:r w:rsidRPr="00EC20A0">
        <w:t>How</w:t>
      </w:r>
      <w:r w:rsidRPr="00EC20A0">
        <w:rPr>
          <w:spacing w:val="-5"/>
        </w:rPr>
        <w:t xml:space="preserve"> </w:t>
      </w:r>
      <w:r w:rsidRPr="00EC20A0">
        <w:t>information</w:t>
      </w:r>
      <w:r w:rsidRPr="00EC20A0">
        <w:rPr>
          <w:spacing w:val="-4"/>
        </w:rPr>
        <w:t xml:space="preserve"> </w:t>
      </w:r>
      <w:r w:rsidRPr="00EC20A0">
        <w:t>relating</w:t>
      </w:r>
      <w:r w:rsidRPr="00EC20A0">
        <w:rPr>
          <w:spacing w:val="-4"/>
        </w:rPr>
        <w:t xml:space="preserve"> </w:t>
      </w:r>
      <w:r w:rsidRPr="00EC20A0">
        <w:t>to</w:t>
      </w:r>
      <w:r w:rsidRPr="00EC20A0">
        <w:rPr>
          <w:spacing w:val="-4"/>
        </w:rPr>
        <w:t xml:space="preserve"> </w:t>
      </w:r>
      <w:r w:rsidRPr="00EC20A0">
        <w:t>material</w:t>
      </w:r>
      <w:r w:rsidRPr="00EC20A0">
        <w:rPr>
          <w:spacing w:val="-4"/>
        </w:rPr>
        <w:t xml:space="preserve"> </w:t>
      </w:r>
      <w:r w:rsidRPr="00EC20A0">
        <w:t>line</w:t>
      </w:r>
      <w:r w:rsidRPr="00EC20A0">
        <w:rPr>
          <w:spacing w:val="-4"/>
        </w:rPr>
        <w:t xml:space="preserve"> </w:t>
      </w:r>
      <w:r w:rsidRPr="00EC20A0">
        <w:t>items,</w:t>
      </w:r>
      <w:r w:rsidRPr="00EC20A0">
        <w:rPr>
          <w:spacing w:val="-5"/>
        </w:rPr>
        <w:t xml:space="preserve"> </w:t>
      </w:r>
      <w:r w:rsidRPr="00EC20A0">
        <w:t>accounts,</w:t>
      </w:r>
      <w:r w:rsidRPr="00EC20A0">
        <w:rPr>
          <w:spacing w:val="-4"/>
        </w:rPr>
        <w:t xml:space="preserve"> </w:t>
      </w:r>
      <w:r w:rsidRPr="00EC20A0">
        <w:t>note</w:t>
      </w:r>
      <w:r w:rsidRPr="00EC20A0">
        <w:rPr>
          <w:spacing w:val="-4"/>
        </w:rPr>
        <w:t xml:space="preserve"> </w:t>
      </w:r>
      <w:r w:rsidRPr="00EC20A0">
        <w:t>disclosures, and classes of transactions flows through the entity’s information system, whether manually or using information technology, and whether obtained from within or outside the general ledger and subsidiary ledgers. This includes when the service organization affects the following:</w:t>
      </w:r>
    </w:p>
    <w:p w14:paraId="24D600F5" w14:textId="77777777" w:rsidR="00245300" w:rsidRPr="00EC20A0" w:rsidRDefault="00F17249">
      <w:pPr>
        <w:pStyle w:val="ListParagraph"/>
        <w:numPr>
          <w:ilvl w:val="2"/>
          <w:numId w:val="17"/>
        </w:numPr>
        <w:tabs>
          <w:tab w:val="left" w:pos="2579"/>
        </w:tabs>
        <w:ind w:right="924"/>
      </w:pPr>
      <w:r w:rsidRPr="00EC20A0">
        <w:t>how transactions are initiated and how information about them is recorded,</w:t>
      </w:r>
      <w:r w:rsidRPr="00EC20A0">
        <w:rPr>
          <w:spacing w:val="-5"/>
        </w:rPr>
        <w:t xml:space="preserve"> </w:t>
      </w:r>
      <w:r w:rsidRPr="00EC20A0">
        <w:t>processed,</w:t>
      </w:r>
      <w:r w:rsidRPr="00EC20A0">
        <w:rPr>
          <w:spacing w:val="-6"/>
        </w:rPr>
        <w:t xml:space="preserve"> </w:t>
      </w:r>
      <w:r w:rsidRPr="00EC20A0">
        <w:t>corrected</w:t>
      </w:r>
      <w:r w:rsidRPr="00EC20A0">
        <w:rPr>
          <w:spacing w:val="-5"/>
        </w:rPr>
        <w:t xml:space="preserve"> </w:t>
      </w:r>
      <w:r w:rsidRPr="00EC20A0">
        <w:t>as</w:t>
      </w:r>
      <w:r w:rsidRPr="00EC20A0">
        <w:rPr>
          <w:spacing w:val="-5"/>
        </w:rPr>
        <w:t xml:space="preserve"> </w:t>
      </w:r>
      <w:r w:rsidRPr="00EC20A0">
        <w:t>necessary,</w:t>
      </w:r>
      <w:r w:rsidRPr="00EC20A0">
        <w:rPr>
          <w:spacing w:val="-6"/>
        </w:rPr>
        <w:t xml:space="preserve"> </w:t>
      </w:r>
      <w:r w:rsidRPr="00EC20A0">
        <w:t>and</w:t>
      </w:r>
      <w:r w:rsidRPr="00EC20A0">
        <w:rPr>
          <w:spacing w:val="-5"/>
        </w:rPr>
        <w:t xml:space="preserve"> </w:t>
      </w:r>
      <w:r w:rsidRPr="00EC20A0">
        <w:t>incorporated</w:t>
      </w:r>
      <w:r w:rsidRPr="00EC20A0">
        <w:rPr>
          <w:spacing w:val="-5"/>
        </w:rPr>
        <w:t xml:space="preserve"> </w:t>
      </w:r>
      <w:r w:rsidRPr="00EC20A0">
        <w:t>in</w:t>
      </w:r>
      <w:r w:rsidRPr="00EC20A0">
        <w:rPr>
          <w:spacing w:val="-5"/>
        </w:rPr>
        <w:t xml:space="preserve"> </w:t>
      </w:r>
      <w:r w:rsidRPr="00EC20A0">
        <w:t>the general ledger and reported in the financial statements and</w:t>
      </w:r>
    </w:p>
    <w:p w14:paraId="24D600F6" w14:textId="77777777" w:rsidR="00245300" w:rsidRPr="00EC20A0" w:rsidRDefault="00F17249">
      <w:pPr>
        <w:pStyle w:val="ListParagraph"/>
        <w:numPr>
          <w:ilvl w:val="2"/>
          <w:numId w:val="17"/>
        </w:numPr>
        <w:tabs>
          <w:tab w:val="left" w:pos="2579"/>
        </w:tabs>
        <w:spacing w:before="238"/>
        <w:ind w:right="873"/>
      </w:pPr>
      <w:r w:rsidRPr="00EC20A0">
        <w:t>how</w:t>
      </w:r>
      <w:r w:rsidRPr="00EC20A0">
        <w:rPr>
          <w:spacing w:val="-5"/>
        </w:rPr>
        <w:t xml:space="preserve"> </w:t>
      </w:r>
      <w:r w:rsidRPr="00EC20A0">
        <w:t>information</w:t>
      </w:r>
      <w:r w:rsidRPr="00EC20A0">
        <w:rPr>
          <w:spacing w:val="-4"/>
        </w:rPr>
        <w:t xml:space="preserve"> </w:t>
      </w:r>
      <w:r w:rsidRPr="00EC20A0">
        <w:t>about</w:t>
      </w:r>
      <w:r w:rsidRPr="00EC20A0">
        <w:rPr>
          <w:spacing w:val="-4"/>
        </w:rPr>
        <w:t xml:space="preserve"> </w:t>
      </w:r>
      <w:r w:rsidRPr="00EC20A0">
        <w:t>events</w:t>
      </w:r>
      <w:r w:rsidRPr="00EC20A0">
        <w:rPr>
          <w:spacing w:val="-4"/>
        </w:rPr>
        <w:t xml:space="preserve"> </w:t>
      </w:r>
      <w:r w:rsidRPr="00EC20A0">
        <w:t>or</w:t>
      </w:r>
      <w:r w:rsidRPr="00EC20A0">
        <w:rPr>
          <w:spacing w:val="-4"/>
        </w:rPr>
        <w:t xml:space="preserve"> </w:t>
      </w:r>
      <w:r w:rsidRPr="00EC20A0">
        <w:t>conditions,</w:t>
      </w:r>
      <w:r w:rsidRPr="00EC20A0">
        <w:rPr>
          <w:spacing w:val="-4"/>
        </w:rPr>
        <w:t xml:space="preserve"> </w:t>
      </w:r>
      <w:r w:rsidRPr="00EC20A0">
        <w:t>other</w:t>
      </w:r>
      <w:r w:rsidRPr="00EC20A0">
        <w:rPr>
          <w:spacing w:val="-4"/>
        </w:rPr>
        <w:t xml:space="preserve"> </w:t>
      </w:r>
      <w:r w:rsidRPr="00EC20A0">
        <w:t>than</w:t>
      </w:r>
      <w:r w:rsidRPr="00EC20A0">
        <w:rPr>
          <w:spacing w:val="-4"/>
        </w:rPr>
        <w:t xml:space="preserve"> </w:t>
      </w:r>
      <w:r w:rsidRPr="00EC20A0">
        <w:t>transactions,</w:t>
      </w:r>
      <w:r w:rsidRPr="00EC20A0">
        <w:rPr>
          <w:spacing w:val="-5"/>
        </w:rPr>
        <w:t xml:space="preserve"> </w:t>
      </w:r>
      <w:r w:rsidRPr="00EC20A0">
        <w:t xml:space="preserve">is captured, processed, and disclosed by the entity in the financial </w:t>
      </w:r>
      <w:r w:rsidRPr="00EC20A0">
        <w:rPr>
          <w:spacing w:val="-2"/>
        </w:rPr>
        <w:t>statements.</w:t>
      </w:r>
    </w:p>
    <w:p w14:paraId="24D600F7" w14:textId="77777777" w:rsidR="00245300" w:rsidRPr="00EC20A0" w:rsidRDefault="00245300">
      <w:pPr>
        <w:pStyle w:val="BodyText"/>
        <w:rPr>
          <w:sz w:val="20"/>
        </w:rPr>
      </w:pPr>
    </w:p>
    <w:p w14:paraId="24D600F8" w14:textId="77777777" w:rsidR="00245300" w:rsidRPr="00EC20A0" w:rsidRDefault="00245300">
      <w:pPr>
        <w:pStyle w:val="BodyText"/>
        <w:rPr>
          <w:sz w:val="20"/>
        </w:rPr>
      </w:pPr>
    </w:p>
    <w:p w14:paraId="24D600F9" w14:textId="77777777" w:rsidR="00245300" w:rsidRPr="00EC20A0" w:rsidRDefault="00F17249">
      <w:pPr>
        <w:pStyle w:val="BodyText"/>
        <w:spacing w:before="184"/>
        <w:rPr>
          <w:sz w:val="20"/>
        </w:rPr>
      </w:pPr>
      <w:r w:rsidRPr="00EC20A0">
        <w:rPr>
          <w:noProof/>
        </w:rPr>
        <mc:AlternateContent>
          <mc:Choice Requires="wps">
            <w:drawing>
              <wp:anchor distT="0" distB="0" distL="0" distR="0" simplePos="0" relativeHeight="487598592" behindDoc="1" locked="0" layoutInCell="1" allowOverlap="1" wp14:anchorId="24D62ADF" wp14:editId="24D62AE0">
                <wp:simplePos x="0" y="0"/>
                <wp:positionH relativeFrom="page">
                  <wp:posOffset>914400</wp:posOffset>
                </wp:positionH>
                <wp:positionV relativeFrom="paragraph">
                  <wp:posOffset>278219</wp:posOffset>
                </wp:positionV>
                <wp:extent cx="1828800" cy="5715"/>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F9ECEB" id="Graphic 117" o:spid="_x0000_s1026" style="position:absolute;margin-left:1in;margin-top:21.9pt;width:2in;height:.4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" path="m1828800,l,,,5321r1828800,l1828800,xe" fillcolor="black" stroked="f">
                <v:path arrowok="t"/>
                <w10:wrap type="topAndBottom" anchorx="page"/>
              </v:shape>
            </w:pict>
          </mc:Fallback>
        </mc:AlternateContent>
      </w:r>
    </w:p>
    <w:p w14:paraId="24D600FA" w14:textId="77777777" w:rsidR="00245300" w:rsidRPr="00EC20A0" w:rsidRDefault="00F17249">
      <w:pPr>
        <w:spacing w:before="202" w:line="242" w:lineRule="auto"/>
        <w:ind w:left="419" w:right="562"/>
        <w:rPr>
          <w:sz w:val="18"/>
        </w:rPr>
      </w:pPr>
      <w:bookmarkStart w:id="77" w:name="_bookmark19"/>
      <w:bookmarkEnd w:id="77"/>
      <w:r w:rsidRPr="00EC20A0">
        <w:rPr>
          <w:position w:val="7"/>
          <w:sz w:val="14"/>
        </w:rPr>
        <w:t>13</w:t>
      </w:r>
      <w:r w:rsidRPr="00EC20A0">
        <w:rPr>
          <w:sz w:val="18"/>
        </w:rPr>
        <w:t>In</w:t>
      </w:r>
      <w:r w:rsidRPr="00EC20A0">
        <w:rPr>
          <w:spacing w:val="-3"/>
          <w:sz w:val="18"/>
        </w:rPr>
        <w:t xml:space="preserve"> </w:t>
      </w:r>
      <w:r w:rsidRPr="00EC20A0">
        <w:rPr>
          <w:sz w:val="18"/>
        </w:rPr>
        <w:t>this</w:t>
      </w:r>
      <w:r w:rsidRPr="00EC20A0">
        <w:rPr>
          <w:spacing w:val="-2"/>
          <w:sz w:val="18"/>
        </w:rPr>
        <w:t xml:space="preserve"> </w:t>
      </w:r>
      <w:r w:rsidRPr="00EC20A0">
        <w:rPr>
          <w:sz w:val="18"/>
        </w:rPr>
        <w:t>section,</w:t>
      </w:r>
      <w:r w:rsidRPr="00EC20A0">
        <w:rPr>
          <w:spacing w:val="-2"/>
          <w:sz w:val="18"/>
        </w:rPr>
        <w:t xml:space="preserve"> </w:t>
      </w:r>
      <w:r w:rsidRPr="00EC20A0">
        <w:rPr>
          <w:sz w:val="18"/>
        </w:rPr>
        <w:t>“entity”</w:t>
      </w:r>
      <w:r w:rsidRPr="00EC20A0">
        <w:rPr>
          <w:spacing w:val="-2"/>
          <w:sz w:val="18"/>
        </w:rPr>
        <w:t xml:space="preserve"> </w:t>
      </w:r>
      <w:r w:rsidRPr="00EC20A0">
        <w:rPr>
          <w:sz w:val="18"/>
        </w:rPr>
        <w:t>refers</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user</w:t>
      </w:r>
      <w:r w:rsidRPr="00EC20A0">
        <w:rPr>
          <w:spacing w:val="-2"/>
          <w:sz w:val="18"/>
        </w:rPr>
        <w:t xml:space="preserve"> </w:t>
      </w:r>
      <w:r w:rsidRPr="00EC20A0">
        <w:rPr>
          <w:sz w:val="18"/>
        </w:rPr>
        <w:t>entity</w:t>
      </w:r>
      <w:r w:rsidRPr="00EC20A0">
        <w:rPr>
          <w:spacing w:val="-2"/>
          <w:sz w:val="18"/>
        </w:rPr>
        <w:t xml:space="preserve"> </w:t>
      </w:r>
      <w:r w:rsidRPr="00EC20A0">
        <w:rPr>
          <w:sz w:val="18"/>
        </w:rPr>
        <w:t>and</w:t>
      </w:r>
      <w:r w:rsidRPr="00EC20A0">
        <w:rPr>
          <w:spacing w:val="-2"/>
          <w:sz w:val="18"/>
        </w:rPr>
        <w:t xml:space="preserve"> </w:t>
      </w:r>
      <w:r w:rsidRPr="00EC20A0">
        <w:rPr>
          <w:sz w:val="18"/>
        </w:rPr>
        <w:t>“auditor”</w:t>
      </w:r>
      <w:r w:rsidRPr="00EC20A0">
        <w:rPr>
          <w:spacing w:val="-1"/>
          <w:sz w:val="18"/>
        </w:rPr>
        <w:t xml:space="preserve"> </w:t>
      </w:r>
      <w:r w:rsidRPr="00EC20A0">
        <w:rPr>
          <w:sz w:val="18"/>
        </w:rPr>
        <w:t>refers</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user</w:t>
      </w:r>
      <w:r w:rsidRPr="00EC20A0">
        <w:rPr>
          <w:spacing w:val="-2"/>
          <w:sz w:val="18"/>
        </w:rPr>
        <w:t xml:space="preserve"> </w:t>
      </w:r>
      <w:r w:rsidRPr="00EC20A0">
        <w:rPr>
          <w:sz w:val="18"/>
        </w:rPr>
        <w:t>auditor</w:t>
      </w:r>
      <w:r w:rsidRPr="00EC20A0">
        <w:rPr>
          <w:spacing w:val="-2"/>
          <w:sz w:val="18"/>
        </w:rPr>
        <w:t xml:space="preserve"> </w:t>
      </w:r>
      <w:r w:rsidRPr="00EC20A0">
        <w:rPr>
          <w:sz w:val="18"/>
        </w:rPr>
        <w:t>as</w:t>
      </w:r>
      <w:r w:rsidRPr="00EC20A0">
        <w:rPr>
          <w:spacing w:val="-2"/>
          <w:sz w:val="18"/>
        </w:rPr>
        <w:t xml:space="preserve"> </w:t>
      </w:r>
      <w:r w:rsidRPr="00EC20A0">
        <w:rPr>
          <w:sz w:val="18"/>
        </w:rPr>
        <w:t>defined</w:t>
      </w:r>
      <w:r w:rsidRPr="00EC20A0">
        <w:rPr>
          <w:spacing w:val="-3"/>
          <w:sz w:val="18"/>
        </w:rPr>
        <w:t xml:space="preserve"> </w:t>
      </w:r>
      <w:r w:rsidRPr="00EC20A0">
        <w:rPr>
          <w:sz w:val="18"/>
        </w:rPr>
        <w:t>in</w:t>
      </w:r>
      <w:r w:rsidRPr="00EC20A0">
        <w:rPr>
          <w:spacing w:val="-3"/>
          <w:sz w:val="18"/>
        </w:rPr>
        <w:t xml:space="preserve"> </w:t>
      </w:r>
      <w:r w:rsidRPr="00EC20A0">
        <w:rPr>
          <w:sz w:val="18"/>
        </w:rPr>
        <w:t>AU-C</w:t>
      </w:r>
      <w:r w:rsidRPr="00EC20A0">
        <w:rPr>
          <w:spacing w:val="-1"/>
          <w:sz w:val="18"/>
        </w:rPr>
        <w:t xml:space="preserve"> </w:t>
      </w:r>
      <w:r w:rsidRPr="00EC20A0">
        <w:rPr>
          <w:sz w:val="18"/>
        </w:rPr>
        <w:t>402,</w:t>
      </w:r>
      <w:r w:rsidRPr="00EC20A0">
        <w:rPr>
          <w:spacing w:val="-2"/>
          <w:sz w:val="18"/>
        </w:rPr>
        <w:t xml:space="preserve"> </w:t>
      </w:r>
      <w:r w:rsidRPr="00EC20A0">
        <w:rPr>
          <w:i/>
          <w:sz w:val="18"/>
        </w:rPr>
        <w:t>Audit Considerations Relating to an Entity Using a Service Organization</w:t>
      </w:r>
      <w:r w:rsidRPr="00EC20A0">
        <w:rPr>
          <w:sz w:val="18"/>
        </w:rPr>
        <w:t xml:space="preserve">. AU-C 402 defines (1) </w:t>
      </w:r>
      <w:r w:rsidRPr="00EC20A0">
        <w:rPr>
          <w:sz w:val="18"/>
        </w:rPr>
        <w:t>user entity as an entity that uses a service organization and whose financial statements are being audited and (2) user auditor as an auditor that audits and reports on the financial statements of a user entity.</w:t>
      </w:r>
    </w:p>
    <w:p w14:paraId="24D600FB" w14:textId="77777777" w:rsidR="00245300" w:rsidRPr="00EC20A0" w:rsidRDefault="00245300">
      <w:pPr>
        <w:spacing w:line="242" w:lineRule="auto"/>
        <w:rPr>
          <w:sz w:val="18"/>
        </w:rPr>
        <w:sectPr w:rsidR="00245300" w:rsidRPr="00EC20A0">
          <w:headerReference w:type="default" r:id="rId35"/>
          <w:footerReference w:type="default" r:id="rId36"/>
          <w:pgSz w:w="12240" w:h="15840"/>
          <w:pgMar w:top="1340" w:right="940" w:bottom="940" w:left="1020" w:header="721" w:footer="757" w:gutter="0"/>
          <w:pgNumType w:start="1"/>
          <w:cols w:space="720"/>
        </w:sectPr>
      </w:pPr>
    </w:p>
    <w:p w14:paraId="24D600FC" w14:textId="77777777" w:rsidR="00245300" w:rsidRPr="00EC20A0" w:rsidRDefault="00F17249">
      <w:pPr>
        <w:pStyle w:val="ListParagraph"/>
        <w:numPr>
          <w:ilvl w:val="1"/>
          <w:numId w:val="17"/>
        </w:numPr>
        <w:tabs>
          <w:tab w:val="left" w:pos="2219"/>
        </w:tabs>
        <w:spacing w:before="121"/>
        <w:ind w:right="621"/>
        <w:jc w:val="both"/>
      </w:pPr>
      <w:r w:rsidRPr="00EC20A0">
        <w:t>the</w:t>
      </w:r>
      <w:r w:rsidRPr="00EC20A0">
        <w:rPr>
          <w:spacing w:val="-4"/>
        </w:rPr>
        <w:t xml:space="preserve"> </w:t>
      </w:r>
      <w:r w:rsidRPr="00EC20A0">
        <w:t>accounting</w:t>
      </w:r>
      <w:r w:rsidRPr="00EC20A0">
        <w:rPr>
          <w:spacing w:val="-4"/>
        </w:rPr>
        <w:t xml:space="preserve"> </w:t>
      </w:r>
      <w:r w:rsidRPr="00EC20A0">
        <w:t>records,</w:t>
      </w:r>
      <w:r w:rsidRPr="00EC20A0">
        <w:rPr>
          <w:spacing w:val="-5"/>
        </w:rPr>
        <w:t xml:space="preserve"> </w:t>
      </w:r>
      <w:r w:rsidRPr="00EC20A0">
        <w:t>specific</w:t>
      </w:r>
      <w:r w:rsidRPr="00EC20A0">
        <w:rPr>
          <w:spacing w:val="-4"/>
        </w:rPr>
        <w:t xml:space="preserve"> </w:t>
      </w:r>
      <w:r w:rsidRPr="00EC20A0">
        <w:t>accounts</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entity’s</w:t>
      </w:r>
      <w:r w:rsidRPr="00EC20A0">
        <w:rPr>
          <w:spacing w:val="-5"/>
        </w:rPr>
        <w:t xml:space="preserve"> </w:t>
      </w:r>
      <w:r w:rsidRPr="00EC20A0">
        <w:t>financial</w:t>
      </w:r>
      <w:r w:rsidRPr="00EC20A0">
        <w:rPr>
          <w:spacing w:val="-4"/>
        </w:rPr>
        <w:t xml:space="preserve"> </w:t>
      </w:r>
      <w:r w:rsidRPr="00EC20A0">
        <w:t>statements, and</w:t>
      </w:r>
      <w:r w:rsidRPr="00EC20A0">
        <w:rPr>
          <w:spacing w:val="-1"/>
        </w:rPr>
        <w:t xml:space="preserve"> </w:t>
      </w:r>
      <w:r w:rsidRPr="00EC20A0">
        <w:t>other</w:t>
      </w:r>
      <w:r w:rsidRPr="00EC20A0">
        <w:rPr>
          <w:spacing w:val="-1"/>
        </w:rPr>
        <w:t xml:space="preserve"> </w:t>
      </w:r>
      <w:r w:rsidRPr="00EC20A0">
        <w:t>supporting</w:t>
      </w:r>
      <w:r w:rsidRPr="00EC20A0">
        <w:rPr>
          <w:spacing w:val="-1"/>
        </w:rPr>
        <w:t xml:space="preserve"> </w:t>
      </w:r>
      <w:r w:rsidRPr="00EC20A0">
        <w:t>records</w:t>
      </w:r>
      <w:r w:rsidRPr="00EC20A0">
        <w:rPr>
          <w:spacing w:val="-1"/>
        </w:rPr>
        <w:t xml:space="preserve"> </w:t>
      </w:r>
      <w:r w:rsidRPr="00EC20A0">
        <w:t>relating</w:t>
      </w:r>
      <w:r w:rsidRPr="00EC20A0">
        <w:rPr>
          <w:spacing w:val="-2"/>
        </w:rPr>
        <w:t xml:space="preserve"> </w:t>
      </w:r>
      <w:r w:rsidRPr="00EC20A0">
        <w:t>to</w:t>
      </w:r>
      <w:r w:rsidRPr="00EC20A0">
        <w:rPr>
          <w:spacing w:val="-1"/>
        </w:rPr>
        <w:t xml:space="preserve"> </w:t>
      </w:r>
      <w:r w:rsidRPr="00EC20A0">
        <w:t>the</w:t>
      </w:r>
      <w:r w:rsidRPr="00EC20A0">
        <w:rPr>
          <w:spacing w:val="-1"/>
        </w:rPr>
        <w:t xml:space="preserve"> </w:t>
      </w:r>
      <w:r w:rsidRPr="00EC20A0">
        <w:t>flows</w:t>
      </w:r>
      <w:r w:rsidRPr="00EC20A0">
        <w:rPr>
          <w:spacing w:val="-2"/>
        </w:rPr>
        <w:t xml:space="preserve"> </w:t>
      </w:r>
      <w:r w:rsidRPr="00EC20A0">
        <w:t>of</w:t>
      </w:r>
      <w:r w:rsidRPr="00EC20A0">
        <w:rPr>
          <w:spacing w:val="-1"/>
        </w:rPr>
        <w:t xml:space="preserve"> </w:t>
      </w:r>
      <w:r w:rsidRPr="00EC20A0">
        <w:t>information</w:t>
      </w:r>
      <w:r w:rsidRPr="00EC20A0">
        <w:rPr>
          <w:spacing w:val="-1"/>
        </w:rPr>
        <w:t xml:space="preserve"> </w:t>
      </w:r>
      <w:r w:rsidRPr="00EC20A0">
        <w:t>described</w:t>
      </w:r>
      <w:r w:rsidRPr="00EC20A0">
        <w:rPr>
          <w:spacing w:val="-1"/>
        </w:rPr>
        <w:t xml:space="preserve"> </w:t>
      </w:r>
      <w:r w:rsidRPr="00EC20A0">
        <w:t>in FAM 640.03a.</w:t>
      </w:r>
    </w:p>
    <w:p w14:paraId="24D600FD" w14:textId="77777777" w:rsidR="00245300" w:rsidRPr="00EC20A0" w:rsidRDefault="00F17249">
      <w:pPr>
        <w:pStyle w:val="ListParagraph"/>
        <w:numPr>
          <w:ilvl w:val="1"/>
          <w:numId w:val="17"/>
        </w:numPr>
        <w:tabs>
          <w:tab w:val="left" w:pos="2219"/>
        </w:tabs>
        <w:spacing w:before="239"/>
        <w:ind w:right="733"/>
      </w:pPr>
      <w:r w:rsidRPr="00EC20A0">
        <w:t>the financial reporting process used to prepare the entity’s financial statements from the records described in FAM 640.03b, including as it pertains to (1) note disclosures and (2) accounting estimates relating to material</w:t>
      </w:r>
      <w:r w:rsidRPr="00EC20A0">
        <w:rPr>
          <w:spacing w:val="-4"/>
        </w:rPr>
        <w:t xml:space="preserve"> </w:t>
      </w:r>
      <w:r w:rsidRPr="00EC20A0">
        <w:t>line</w:t>
      </w:r>
      <w:r w:rsidRPr="00EC20A0">
        <w:rPr>
          <w:spacing w:val="-5"/>
        </w:rPr>
        <w:t xml:space="preserve"> </w:t>
      </w:r>
      <w:r w:rsidRPr="00EC20A0">
        <w:t>items,</w:t>
      </w:r>
      <w:r w:rsidRPr="00EC20A0">
        <w:rPr>
          <w:spacing w:val="-4"/>
        </w:rPr>
        <w:t xml:space="preserve"> </w:t>
      </w:r>
      <w:r w:rsidRPr="00EC20A0">
        <w:t>accounts,</w:t>
      </w:r>
      <w:r w:rsidRPr="00EC20A0">
        <w:rPr>
          <w:spacing w:val="-4"/>
        </w:rPr>
        <w:t xml:space="preserve"> </w:t>
      </w:r>
      <w:r w:rsidRPr="00EC20A0">
        <w:t>note</w:t>
      </w:r>
      <w:r w:rsidRPr="00EC20A0">
        <w:rPr>
          <w:spacing w:val="-4"/>
        </w:rPr>
        <w:t xml:space="preserve"> </w:t>
      </w:r>
      <w:r w:rsidRPr="00EC20A0">
        <w:t>disclosures,</w:t>
      </w:r>
      <w:r w:rsidRPr="00EC20A0">
        <w:rPr>
          <w:spacing w:val="-4"/>
        </w:rPr>
        <w:t xml:space="preserve"> </w:t>
      </w:r>
      <w:r w:rsidRPr="00EC20A0">
        <w:t>and</w:t>
      </w:r>
      <w:r w:rsidRPr="00EC20A0">
        <w:rPr>
          <w:spacing w:val="-4"/>
        </w:rPr>
        <w:t xml:space="preserve"> </w:t>
      </w:r>
      <w:r w:rsidRPr="00EC20A0">
        <w:t>classes</w:t>
      </w:r>
      <w:r w:rsidRPr="00EC20A0">
        <w:rPr>
          <w:spacing w:val="-4"/>
        </w:rPr>
        <w:t xml:space="preserve"> </w:t>
      </w:r>
      <w:r w:rsidRPr="00EC20A0">
        <w:t>of</w:t>
      </w:r>
      <w:r w:rsidRPr="00EC20A0">
        <w:rPr>
          <w:spacing w:val="-4"/>
        </w:rPr>
        <w:t xml:space="preserve"> </w:t>
      </w:r>
      <w:r w:rsidRPr="00EC20A0">
        <w:t>transactions.</w:t>
      </w:r>
    </w:p>
    <w:p w14:paraId="24D600FE" w14:textId="77777777" w:rsidR="00245300" w:rsidRPr="00EC20A0" w:rsidRDefault="00F17249">
      <w:pPr>
        <w:pStyle w:val="ListParagraph"/>
        <w:numPr>
          <w:ilvl w:val="1"/>
          <w:numId w:val="17"/>
        </w:numPr>
        <w:tabs>
          <w:tab w:val="left" w:pos="2218"/>
          <w:tab w:val="left" w:pos="2220"/>
        </w:tabs>
        <w:ind w:left="2220" w:right="990" w:hanging="361"/>
      </w:pPr>
      <w:r w:rsidRPr="00EC20A0">
        <w:t>the</w:t>
      </w:r>
      <w:r w:rsidRPr="00EC20A0">
        <w:rPr>
          <w:spacing w:val="-5"/>
        </w:rPr>
        <w:t xml:space="preserve"> </w:t>
      </w:r>
      <w:r w:rsidRPr="00EC20A0">
        <w:t>entity’s</w:t>
      </w:r>
      <w:r w:rsidRPr="00EC20A0">
        <w:rPr>
          <w:spacing w:val="-5"/>
        </w:rPr>
        <w:t xml:space="preserve"> </w:t>
      </w:r>
      <w:r w:rsidRPr="00EC20A0">
        <w:t>information</w:t>
      </w:r>
      <w:r w:rsidRPr="00EC20A0">
        <w:rPr>
          <w:spacing w:val="-5"/>
        </w:rPr>
        <w:t xml:space="preserve"> </w:t>
      </w:r>
      <w:r w:rsidRPr="00EC20A0">
        <w:t>technology</w:t>
      </w:r>
      <w:r w:rsidRPr="00EC20A0">
        <w:rPr>
          <w:spacing w:val="-4"/>
        </w:rPr>
        <w:t xml:space="preserve"> </w:t>
      </w:r>
      <w:r w:rsidRPr="00EC20A0">
        <w:t>environment</w:t>
      </w:r>
      <w:r w:rsidRPr="00EC20A0">
        <w:rPr>
          <w:spacing w:val="-5"/>
        </w:rPr>
        <w:t xml:space="preserve"> </w:t>
      </w:r>
      <w:r w:rsidRPr="00EC20A0">
        <w:t>relevant</w:t>
      </w:r>
      <w:r w:rsidRPr="00EC20A0">
        <w:rPr>
          <w:spacing w:val="-5"/>
        </w:rPr>
        <w:t xml:space="preserve"> </w:t>
      </w:r>
      <w:r w:rsidRPr="00EC20A0">
        <w:t>to</w:t>
      </w:r>
      <w:r w:rsidRPr="00EC20A0">
        <w:rPr>
          <w:spacing w:val="-5"/>
        </w:rPr>
        <w:t xml:space="preserve"> </w:t>
      </w:r>
      <w:r w:rsidRPr="00EC20A0">
        <w:t>FAM</w:t>
      </w:r>
      <w:r w:rsidRPr="00EC20A0">
        <w:rPr>
          <w:spacing w:val="-6"/>
        </w:rPr>
        <w:t xml:space="preserve"> </w:t>
      </w:r>
      <w:r w:rsidRPr="00EC20A0">
        <w:t>640.03a through .03c.</w:t>
      </w:r>
    </w:p>
    <w:p w14:paraId="24D600FF" w14:textId="77777777" w:rsidR="00245300" w:rsidRPr="00EC20A0" w:rsidRDefault="00F17249">
      <w:pPr>
        <w:pStyle w:val="ListParagraph"/>
        <w:numPr>
          <w:ilvl w:val="0"/>
          <w:numId w:val="17"/>
        </w:numPr>
        <w:tabs>
          <w:tab w:val="left" w:pos="1860"/>
        </w:tabs>
        <w:ind w:left="1860" w:right="589"/>
        <w:jc w:val="left"/>
      </w:pPr>
      <w:r w:rsidRPr="00EC20A0">
        <w:t xml:space="preserve">The nature and extent of work to be performed by the auditor </w:t>
      </w:r>
      <w:r w:rsidRPr="00EC20A0">
        <w:t>regarding the services provided by a service organization depend on the nature and significance</w:t>
      </w:r>
      <w:r w:rsidRPr="00EC20A0">
        <w:rPr>
          <w:spacing w:val="-4"/>
        </w:rPr>
        <w:t xml:space="preserve"> </w:t>
      </w:r>
      <w:r w:rsidRPr="00EC20A0">
        <w:t>of</w:t>
      </w:r>
      <w:r w:rsidRPr="00EC20A0">
        <w:rPr>
          <w:spacing w:val="-3"/>
        </w:rPr>
        <w:t xml:space="preserve"> </w:t>
      </w:r>
      <w:r w:rsidRPr="00EC20A0">
        <w:t>those</w:t>
      </w:r>
      <w:r w:rsidRPr="00EC20A0">
        <w:rPr>
          <w:spacing w:val="-3"/>
        </w:rPr>
        <w:t xml:space="preserve"> </w:t>
      </w:r>
      <w:r w:rsidRPr="00EC20A0">
        <w:t>services</w:t>
      </w:r>
      <w:r w:rsidRPr="00EC20A0">
        <w:rPr>
          <w:spacing w:val="-3"/>
        </w:rPr>
        <w:t xml:space="preserve"> </w:t>
      </w:r>
      <w:r w:rsidRPr="00EC20A0">
        <w:t>to</w:t>
      </w:r>
      <w:r w:rsidRPr="00EC20A0">
        <w:rPr>
          <w:spacing w:val="-4"/>
        </w:rPr>
        <w:t xml:space="preserve"> </w:t>
      </w:r>
      <w:r w:rsidRPr="00EC20A0">
        <w:t>the</w:t>
      </w:r>
      <w:r w:rsidRPr="00EC20A0">
        <w:rPr>
          <w:spacing w:val="-5"/>
        </w:rPr>
        <w:t xml:space="preserve"> </w:t>
      </w:r>
      <w:r w:rsidRPr="00EC20A0">
        <w:t>entity</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relevance</w:t>
      </w:r>
      <w:r w:rsidRPr="00EC20A0">
        <w:rPr>
          <w:spacing w:val="-4"/>
        </w:rPr>
        <w:t xml:space="preserve"> </w:t>
      </w:r>
      <w:r w:rsidRPr="00EC20A0">
        <w:t>of</w:t>
      </w:r>
      <w:r w:rsidRPr="00EC20A0">
        <w:rPr>
          <w:spacing w:val="-3"/>
        </w:rPr>
        <w:t xml:space="preserve"> </w:t>
      </w:r>
      <w:r w:rsidRPr="00EC20A0">
        <w:t>those</w:t>
      </w:r>
      <w:r w:rsidRPr="00EC20A0">
        <w:rPr>
          <w:spacing w:val="-3"/>
        </w:rPr>
        <w:t xml:space="preserve"> </w:t>
      </w:r>
      <w:r w:rsidRPr="00EC20A0">
        <w:t>services</w:t>
      </w:r>
      <w:r w:rsidRPr="00EC20A0">
        <w:rPr>
          <w:spacing w:val="-3"/>
        </w:rPr>
        <w:t xml:space="preserve"> </w:t>
      </w:r>
      <w:r w:rsidRPr="00EC20A0">
        <w:t xml:space="preserve">to the audit (AU-C 402.04). If the service organization’s control activities are </w:t>
      </w:r>
      <w:r w:rsidRPr="00EC20A0">
        <w:t>included in the SCE worksheet,</w:t>
      </w:r>
      <w:hyperlink w:anchor="_bookmark20" w:history="1">
        <w:r w:rsidRPr="00EC20A0">
          <w:rPr>
            <w:position w:val="7"/>
            <w:sz w:val="14"/>
          </w:rPr>
          <w:t>14</w:t>
        </w:r>
      </w:hyperlink>
      <w:r w:rsidRPr="00EC20A0">
        <w:rPr>
          <w:spacing w:val="34"/>
          <w:position w:val="7"/>
          <w:sz w:val="14"/>
        </w:rPr>
        <w:t xml:space="preserve"> </w:t>
      </w:r>
      <w:r w:rsidRPr="00EC20A0">
        <w:t>then the auditor should follow the guidance outlined in the remaining paragraphs of this section.</w:t>
      </w:r>
    </w:p>
    <w:p w14:paraId="24D60100" w14:textId="77777777" w:rsidR="00245300" w:rsidRPr="00EC20A0" w:rsidRDefault="00F17249">
      <w:pPr>
        <w:pStyle w:val="ListParagraph"/>
        <w:numPr>
          <w:ilvl w:val="0"/>
          <w:numId w:val="17"/>
        </w:numPr>
        <w:tabs>
          <w:tab w:val="left" w:pos="1859"/>
        </w:tabs>
        <w:spacing w:before="241"/>
        <w:ind w:right="627" w:hanging="719"/>
        <w:jc w:val="left"/>
      </w:pPr>
      <w:r w:rsidRPr="00EC20A0">
        <w:t>In</w:t>
      </w:r>
      <w:r w:rsidRPr="00EC20A0">
        <w:rPr>
          <w:spacing w:val="-4"/>
        </w:rPr>
        <w:t xml:space="preserve"> </w:t>
      </w:r>
      <w:r w:rsidRPr="00EC20A0">
        <w:t>responding</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assessed</w:t>
      </w:r>
      <w:r w:rsidRPr="00EC20A0">
        <w:rPr>
          <w:spacing w:val="-4"/>
        </w:rPr>
        <w:t xml:space="preserve"> </w:t>
      </w:r>
      <w:r w:rsidRPr="00EC20A0">
        <w:t>risks</w:t>
      </w:r>
      <w:r w:rsidRPr="00EC20A0">
        <w:rPr>
          <w:spacing w:val="-5"/>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 FAM 420, the auditor should determine whether sufficient appropriate audit evidence concerning the significant assertions is available from records held at the entity. If not, then the auditor should perform further audit procedures to obtain sufficient appropriate audit evidence or use another auditor to perform those procedures at the service organization on the auditor’s behalf (AU-C 402.15). For example, the auditor may consid</w:t>
      </w:r>
      <w:r w:rsidRPr="00EC20A0">
        <w:t>er (1) inspecting records and documents held by the service organization or (2) obtaining confirmations of balances and transactions from the service organization (AU-C 402.A28).</w:t>
      </w:r>
    </w:p>
    <w:p w14:paraId="24D60101" w14:textId="77777777" w:rsidR="00245300" w:rsidRPr="00EC20A0" w:rsidRDefault="00F17249">
      <w:pPr>
        <w:pStyle w:val="BodyText"/>
        <w:ind w:left="1858" w:right="562"/>
      </w:pPr>
      <w:r w:rsidRPr="00EC20A0">
        <w:t>Alternatively,</w:t>
      </w:r>
      <w:r w:rsidRPr="00EC20A0">
        <w:rPr>
          <w:spacing w:val="-5"/>
        </w:rPr>
        <w:t xml:space="preserve"> </w:t>
      </w:r>
      <w:r w:rsidRPr="00EC20A0">
        <w:t>a</w:t>
      </w:r>
      <w:r w:rsidRPr="00EC20A0">
        <w:rPr>
          <w:spacing w:val="-5"/>
        </w:rPr>
        <w:t xml:space="preserve"> </w:t>
      </w:r>
      <w:r w:rsidRPr="00EC20A0">
        <w:t>service</w:t>
      </w:r>
      <w:r w:rsidRPr="00EC20A0">
        <w:rPr>
          <w:spacing w:val="-5"/>
        </w:rPr>
        <w:t xml:space="preserve"> </w:t>
      </w:r>
      <w:r w:rsidRPr="00EC20A0">
        <w:t>auditor</w:t>
      </w:r>
      <w:r w:rsidRPr="00EC20A0">
        <w:rPr>
          <w:spacing w:val="-5"/>
        </w:rPr>
        <w:t xml:space="preserve"> </w:t>
      </w:r>
      <w:r w:rsidRPr="00EC20A0">
        <w:t>may</w:t>
      </w:r>
      <w:r w:rsidRPr="00EC20A0">
        <w:rPr>
          <w:spacing w:val="-5"/>
        </w:rPr>
        <w:t xml:space="preserve"> </w:t>
      </w:r>
      <w:r w:rsidRPr="00EC20A0">
        <w:t>perform</w:t>
      </w:r>
      <w:r w:rsidRPr="00EC20A0">
        <w:rPr>
          <w:spacing w:val="-6"/>
        </w:rPr>
        <w:t xml:space="preserve"> </w:t>
      </w:r>
      <w:r w:rsidRPr="00EC20A0">
        <w:t>procedures</w:t>
      </w:r>
      <w:r w:rsidRPr="00EC20A0">
        <w:rPr>
          <w:spacing w:val="-5"/>
        </w:rPr>
        <w:t xml:space="preserve"> </w:t>
      </w:r>
      <w:r w:rsidRPr="00EC20A0">
        <w:t>under</w:t>
      </w:r>
      <w:r w:rsidRPr="00EC20A0">
        <w:rPr>
          <w:spacing w:val="-5"/>
        </w:rPr>
        <w:t xml:space="preserve"> </w:t>
      </w:r>
      <w:r w:rsidRPr="00EC20A0">
        <w:t>an</w:t>
      </w:r>
      <w:r w:rsidRPr="00EC20A0">
        <w:rPr>
          <w:spacing w:val="-5"/>
        </w:rPr>
        <w:t xml:space="preserve"> </w:t>
      </w:r>
      <w:r w:rsidRPr="00EC20A0">
        <w:t>agreed-upon procedures engagement that are substantive in nature for the benefit of the auditor (AU-C 402.A29).</w:t>
      </w:r>
    </w:p>
    <w:p w14:paraId="24D60102" w14:textId="77777777" w:rsidR="00245300" w:rsidRPr="00EC20A0" w:rsidRDefault="00F17249">
      <w:pPr>
        <w:pStyle w:val="ListParagraph"/>
        <w:numPr>
          <w:ilvl w:val="0"/>
          <w:numId w:val="17"/>
        </w:numPr>
        <w:tabs>
          <w:tab w:val="left" w:pos="1859"/>
        </w:tabs>
        <w:ind w:right="638"/>
        <w:jc w:val="left"/>
      </w:pPr>
      <w:r w:rsidRPr="00EC20A0">
        <w:t>OMB audit guidance states that for those service organization controls that are relevant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and</w:t>
      </w:r>
      <w:r w:rsidRPr="00EC20A0">
        <w:rPr>
          <w:spacing w:val="-4"/>
        </w:rPr>
        <w:t xml:space="preserve"> </w:t>
      </w:r>
      <w:r w:rsidRPr="00EC20A0">
        <w:t>have</w:t>
      </w:r>
      <w:r w:rsidRPr="00EC20A0">
        <w:rPr>
          <w:spacing w:val="-3"/>
        </w:rPr>
        <w:t xml:space="preserve"> </w:t>
      </w:r>
      <w:r w:rsidRPr="00EC20A0">
        <w:t>been</w:t>
      </w:r>
      <w:r w:rsidRPr="00EC20A0">
        <w:rPr>
          <w:spacing w:val="-4"/>
        </w:rPr>
        <w:t xml:space="preserve"> </w:t>
      </w:r>
      <w:r w:rsidRPr="00EC20A0">
        <w:t>suitably</w:t>
      </w:r>
      <w:r w:rsidRPr="00EC20A0">
        <w:rPr>
          <w:spacing w:val="-4"/>
        </w:rPr>
        <w:t xml:space="preserve"> </w:t>
      </w:r>
      <w:r w:rsidRPr="00EC20A0">
        <w:t>designed</w:t>
      </w:r>
      <w:r w:rsidRPr="00EC20A0">
        <w:rPr>
          <w:spacing w:val="-3"/>
        </w:rPr>
        <w:t xml:space="preserve"> </w:t>
      </w:r>
      <w:r w:rsidRPr="00EC20A0">
        <w:t>and</w:t>
      </w:r>
      <w:r w:rsidRPr="00EC20A0">
        <w:rPr>
          <w:spacing w:val="-3"/>
        </w:rPr>
        <w:t xml:space="preserve"> </w:t>
      </w:r>
      <w:r w:rsidRPr="00EC20A0">
        <w:t>implemented,</w:t>
      </w:r>
      <w:r w:rsidRPr="00EC20A0">
        <w:rPr>
          <w:spacing w:val="-3"/>
        </w:rPr>
        <w:t xml:space="preserve"> </w:t>
      </w:r>
      <w:r w:rsidRPr="00EC20A0">
        <w:t>service organizations</w:t>
      </w:r>
      <w:r w:rsidRPr="00EC20A0">
        <w:rPr>
          <w:spacing w:val="-3"/>
        </w:rPr>
        <w:t xml:space="preserve"> </w:t>
      </w:r>
      <w:r w:rsidRPr="00EC20A0">
        <w:t>must</w:t>
      </w:r>
      <w:r w:rsidRPr="00EC20A0">
        <w:rPr>
          <w:spacing w:val="-3"/>
        </w:rPr>
        <w:t xml:space="preserve"> </w:t>
      </w:r>
      <w:r w:rsidRPr="00EC20A0">
        <w:t>provide</w:t>
      </w:r>
      <w:r w:rsidRPr="00EC20A0">
        <w:rPr>
          <w:spacing w:val="-3"/>
        </w:rPr>
        <w:t xml:space="preserve"> </w:t>
      </w:r>
      <w:r w:rsidRPr="00EC20A0">
        <w:t>the</w:t>
      </w:r>
      <w:r w:rsidRPr="00EC20A0">
        <w:rPr>
          <w:spacing w:val="-3"/>
        </w:rPr>
        <w:t xml:space="preserve"> </w:t>
      </w:r>
      <w:r w:rsidRPr="00EC20A0">
        <w:t>entity</w:t>
      </w:r>
      <w:r w:rsidRPr="00EC20A0">
        <w:rPr>
          <w:spacing w:val="-4"/>
        </w:rPr>
        <w:t xml:space="preserve"> </w:t>
      </w:r>
      <w:r w:rsidRPr="00EC20A0">
        <w:t>with</w:t>
      </w:r>
      <w:r w:rsidRPr="00EC20A0">
        <w:rPr>
          <w:spacing w:val="-3"/>
        </w:rPr>
        <w:t xml:space="preserve"> </w:t>
      </w:r>
      <w:r w:rsidRPr="00EC20A0">
        <w:t>an</w:t>
      </w:r>
      <w:r w:rsidRPr="00EC20A0">
        <w:rPr>
          <w:spacing w:val="-3"/>
        </w:rPr>
        <w:t xml:space="preserve"> </w:t>
      </w:r>
      <w:r w:rsidRPr="00EC20A0">
        <w:t>auditor’s</w:t>
      </w:r>
      <w:r w:rsidRPr="00EC20A0">
        <w:rPr>
          <w:spacing w:val="-3"/>
        </w:rPr>
        <w:t xml:space="preserve"> </w:t>
      </w:r>
      <w:r w:rsidRPr="00EC20A0">
        <w:t>report</w:t>
      </w:r>
      <w:r w:rsidRPr="00EC20A0">
        <w:rPr>
          <w:spacing w:val="-4"/>
        </w:rPr>
        <w:t xml:space="preserve"> </w:t>
      </w:r>
      <w:r w:rsidRPr="00EC20A0">
        <w:t>or</w:t>
      </w:r>
      <w:r w:rsidRPr="00EC20A0">
        <w:rPr>
          <w:spacing w:val="-3"/>
        </w:rPr>
        <w:t xml:space="preserve"> </w:t>
      </w:r>
      <w:r w:rsidRPr="00EC20A0">
        <w:t>allow</w:t>
      </w:r>
      <w:r w:rsidRPr="00EC20A0">
        <w:rPr>
          <w:spacing w:val="-4"/>
        </w:rPr>
        <w:t xml:space="preserve"> </w:t>
      </w:r>
      <w:r w:rsidRPr="00EC20A0">
        <w:t>auditors</w:t>
      </w:r>
      <w:r w:rsidRPr="00EC20A0">
        <w:rPr>
          <w:spacing w:val="-3"/>
        </w:rPr>
        <w:t xml:space="preserve"> </w:t>
      </w:r>
      <w:r w:rsidRPr="00EC20A0">
        <w:t>to perform appropriate tests of controls at the service organization.</w:t>
      </w:r>
      <w:hyperlink w:anchor="_bookmark21" w:history="1">
        <w:r w:rsidRPr="00EC20A0">
          <w:rPr>
            <w:position w:val="7"/>
            <w:sz w:val="14"/>
          </w:rPr>
          <w:t>15</w:t>
        </w:r>
      </w:hyperlink>
      <w:r w:rsidRPr="00EC20A0">
        <w:rPr>
          <w:spacing w:val="35"/>
          <w:position w:val="7"/>
          <w:sz w:val="14"/>
        </w:rPr>
        <w:t xml:space="preserve"> </w:t>
      </w:r>
      <w:r w:rsidRPr="00EC20A0">
        <w:t>A service organization may provide the entity with one of the following (AU-C 402.08):</w:t>
      </w:r>
    </w:p>
    <w:p w14:paraId="24D60103" w14:textId="77777777" w:rsidR="00245300" w:rsidRPr="00EC20A0" w:rsidRDefault="00F17249">
      <w:pPr>
        <w:pStyle w:val="ListParagraph"/>
        <w:numPr>
          <w:ilvl w:val="0"/>
          <w:numId w:val="198"/>
        </w:numPr>
        <w:tabs>
          <w:tab w:val="left" w:pos="2219"/>
        </w:tabs>
        <w:spacing w:before="239"/>
        <w:ind w:right="759"/>
      </w:pPr>
      <w:r w:rsidRPr="00EC20A0">
        <w:rPr>
          <w:b/>
        </w:rPr>
        <w:t xml:space="preserve">Type 1 report </w:t>
      </w:r>
      <w:r w:rsidRPr="00EC20A0">
        <w:t>– a report on management’s description of a service organization’s</w:t>
      </w:r>
      <w:r w:rsidRPr="00EC20A0">
        <w:rPr>
          <w:spacing w:val="-4"/>
        </w:rPr>
        <w:t xml:space="preserve"> </w:t>
      </w:r>
      <w:r w:rsidRPr="00EC20A0">
        <w:t>system</w:t>
      </w:r>
      <w:r w:rsidRPr="00EC20A0">
        <w:rPr>
          <w:spacing w:val="-5"/>
        </w:rPr>
        <w:t xml:space="preserve"> </w:t>
      </w:r>
      <w:r w:rsidRPr="00EC20A0">
        <w:t>and</w:t>
      </w:r>
      <w:r w:rsidRPr="00EC20A0">
        <w:rPr>
          <w:spacing w:val="-4"/>
        </w:rPr>
        <w:t xml:space="preserve"> </w:t>
      </w:r>
      <w:r w:rsidRPr="00EC20A0">
        <w:t>a</w:t>
      </w:r>
      <w:r w:rsidRPr="00EC20A0">
        <w:rPr>
          <w:spacing w:val="-4"/>
        </w:rPr>
        <w:t xml:space="preserve"> </w:t>
      </w:r>
      <w:r w:rsidRPr="00EC20A0">
        <w:t>service</w:t>
      </w:r>
      <w:r w:rsidRPr="00EC20A0">
        <w:rPr>
          <w:spacing w:val="-5"/>
        </w:rPr>
        <w:t xml:space="preserve"> </w:t>
      </w:r>
      <w:r w:rsidRPr="00EC20A0">
        <w:t>auditor’s</w:t>
      </w:r>
      <w:r w:rsidRPr="00EC20A0">
        <w:rPr>
          <w:spacing w:val="-3"/>
        </w:rPr>
        <w:t xml:space="preserve"> </w:t>
      </w:r>
      <w:r w:rsidRPr="00EC20A0">
        <w:t>report</w:t>
      </w:r>
      <w:r w:rsidRPr="00EC20A0">
        <w:rPr>
          <w:spacing w:val="-4"/>
        </w:rPr>
        <w:t xml:space="preserve"> </w:t>
      </w:r>
      <w:r w:rsidRPr="00EC20A0">
        <w:t>on</w:t>
      </w:r>
      <w:r w:rsidRPr="00EC20A0">
        <w:rPr>
          <w:spacing w:val="-4"/>
        </w:rPr>
        <w:t xml:space="preserve"> </w:t>
      </w:r>
      <w:r w:rsidRPr="00EC20A0">
        <w:t>that</w:t>
      </w:r>
      <w:r w:rsidRPr="00EC20A0">
        <w:rPr>
          <w:spacing w:val="-4"/>
        </w:rPr>
        <w:t xml:space="preserve"> </w:t>
      </w:r>
      <w:r w:rsidRPr="00EC20A0">
        <w:t>description</w:t>
      </w:r>
      <w:r w:rsidRPr="00EC20A0">
        <w:rPr>
          <w:spacing w:val="-5"/>
        </w:rPr>
        <w:t xml:space="preserve"> </w:t>
      </w:r>
      <w:r w:rsidRPr="00EC20A0">
        <w:t>and on the suitability of the design of controls.</w:t>
      </w:r>
    </w:p>
    <w:p w14:paraId="24D60104" w14:textId="77777777" w:rsidR="00245300" w:rsidRPr="00EC20A0" w:rsidRDefault="00245300">
      <w:pPr>
        <w:pStyle w:val="BodyText"/>
        <w:rPr>
          <w:sz w:val="20"/>
        </w:rPr>
      </w:pPr>
    </w:p>
    <w:p w14:paraId="24D60105" w14:textId="77777777" w:rsidR="00245300" w:rsidRPr="00EC20A0" w:rsidRDefault="00245300">
      <w:pPr>
        <w:pStyle w:val="BodyText"/>
        <w:rPr>
          <w:sz w:val="20"/>
        </w:rPr>
      </w:pPr>
    </w:p>
    <w:p w14:paraId="24D60106" w14:textId="77777777" w:rsidR="00245300" w:rsidRPr="00EC20A0" w:rsidRDefault="00245300">
      <w:pPr>
        <w:pStyle w:val="BodyText"/>
        <w:rPr>
          <w:sz w:val="20"/>
        </w:rPr>
      </w:pPr>
    </w:p>
    <w:p w14:paraId="24D60107" w14:textId="77777777" w:rsidR="00245300" w:rsidRPr="00EC20A0" w:rsidRDefault="00F17249">
      <w:pPr>
        <w:pStyle w:val="BodyText"/>
        <w:spacing w:before="174"/>
        <w:rPr>
          <w:sz w:val="20"/>
        </w:rPr>
      </w:pPr>
      <w:r w:rsidRPr="00EC20A0">
        <w:rPr>
          <w:noProof/>
        </w:rPr>
        <mc:AlternateContent>
          <mc:Choice Requires="wps">
            <w:drawing>
              <wp:anchor distT="0" distB="0" distL="0" distR="0" simplePos="0" relativeHeight="487599104" behindDoc="1" locked="0" layoutInCell="1" allowOverlap="1" wp14:anchorId="24D62AE1" wp14:editId="24D62AE2">
                <wp:simplePos x="0" y="0"/>
                <wp:positionH relativeFrom="page">
                  <wp:posOffset>914400</wp:posOffset>
                </wp:positionH>
                <wp:positionV relativeFrom="paragraph">
                  <wp:posOffset>271835</wp:posOffset>
                </wp:positionV>
                <wp:extent cx="1828800" cy="571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0B64A2" id="Graphic 118" o:spid="_x0000_s1026" style="position:absolute;margin-left:1in;margin-top:21.4pt;width:2in;height:.4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" path="m1828800,l,,,5321r1828800,l1828800,xe" fillcolor="black" stroked="f">
                <v:path arrowok="t"/>
                <w10:wrap type="topAndBottom" anchorx="page"/>
              </v:shape>
            </w:pict>
          </mc:Fallback>
        </mc:AlternateContent>
      </w:r>
    </w:p>
    <w:p w14:paraId="24D60108" w14:textId="77777777" w:rsidR="00245300" w:rsidRPr="00EC20A0" w:rsidRDefault="00F17249">
      <w:pPr>
        <w:spacing w:before="200"/>
        <w:ind w:left="420"/>
        <w:rPr>
          <w:sz w:val="18"/>
        </w:rPr>
      </w:pPr>
      <w:bookmarkStart w:id="78" w:name="_bookmark20"/>
      <w:bookmarkEnd w:id="78"/>
      <w:r w:rsidRPr="00EC20A0">
        <w:rPr>
          <w:position w:val="7"/>
          <w:sz w:val="14"/>
        </w:rPr>
        <w:t>14</w:t>
      </w:r>
      <w:r w:rsidRPr="00EC20A0">
        <w:rPr>
          <w:sz w:val="18"/>
        </w:rPr>
        <w:t>“Control</w:t>
      </w:r>
      <w:r w:rsidRPr="00EC20A0">
        <w:rPr>
          <w:spacing w:val="-4"/>
          <w:sz w:val="18"/>
        </w:rPr>
        <w:t xml:space="preserve"> </w:t>
      </w:r>
      <w:r w:rsidRPr="00EC20A0">
        <w:rPr>
          <w:sz w:val="18"/>
        </w:rPr>
        <w:t>activities”</w:t>
      </w:r>
      <w:r w:rsidRPr="00EC20A0">
        <w:rPr>
          <w:spacing w:val="-2"/>
          <w:sz w:val="18"/>
        </w:rPr>
        <w:t xml:space="preserve"> </w:t>
      </w:r>
      <w:r w:rsidRPr="00EC20A0">
        <w:rPr>
          <w:sz w:val="18"/>
        </w:rPr>
        <w:t>as</w:t>
      </w:r>
      <w:r w:rsidRPr="00EC20A0">
        <w:rPr>
          <w:spacing w:val="-3"/>
          <w:sz w:val="18"/>
        </w:rPr>
        <w:t xml:space="preserve"> </w:t>
      </w:r>
      <w:r w:rsidRPr="00EC20A0">
        <w:rPr>
          <w:sz w:val="18"/>
        </w:rPr>
        <w:t>used</w:t>
      </w:r>
      <w:r w:rsidRPr="00EC20A0">
        <w:rPr>
          <w:spacing w:val="-3"/>
          <w:sz w:val="18"/>
        </w:rPr>
        <w:t xml:space="preserve"> </w:t>
      </w:r>
      <w:r w:rsidRPr="00EC20A0">
        <w:rPr>
          <w:sz w:val="18"/>
        </w:rPr>
        <w:t>in</w:t>
      </w:r>
      <w:r w:rsidRPr="00EC20A0">
        <w:rPr>
          <w:spacing w:val="-3"/>
          <w:sz w:val="18"/>
        </w:rPr>
        <w:t xml:space="preserve"> </w:t>
      </w:r>
      <w:r w:rsidRPr="00EC20A0">
        <w:rPr>
          <w:sz w:val="18"/>
        </w:rPr>
        <w:t>the</w:t>
      </w:r>
      <w:r w:rsidRPr="00EC20A0">
        <w:rPr>
          <w:spacing w:val="-4"/>
          <w:sz w:val="18"/>
        </w:rPr>
        <w:t xml:space="preserve"> </w:t>
      </w:r>
      <w:r w:rsidRPr="00EC20A0">
        <w:rPr>
          <w:sz w:val="18"/>
        </w:rPr>
        <w:t>FAM</w:t>
      </w:r>
      <w:r w:rsidRPr="00EC20A0">
        <w:rPr>
          <w:spacing w:val="-2"/>
          <w:sz w:val="18"/>
        </w:rPr>
        <w:t xml:space="preserve"> </w:t>
      </w:r>
      <w:r w:rsidRPr="00EC20A0">
        <w:rPr>
          <w:sz w:val="18"/>
        </w:rPr>
        <w:t>are</w:t>
      </w:r>
      <w:r w:rsidRPr="00EC20A0">
        <w:rPr>
          <w:spacing w:val="-3"/>
          <w:sz w:val="18"/>
        </w:rPr>
        <w:t xml:space="preserve"> </w:t>
      </w:r>
      <w:r w:rsidRPr="00EC20A0">
        <w:rPr>
          <w:sz w:val="18"/>
        </w:rPr>
        <w:t>referred</w:t>
      </w:r>
      <w:r w:rsidRPr="00EC20A0">
        <w:rPr>
          <w:spacing w:val="-4"/>
          <w:sz w:val="18"/>
        </w:rPr>
        <w:t xml:space="preserve"> </w:t>
      </w:r>
      <w:r w:rsidRPr="00EC20A0">
        <w:rPr>
          <w:sz w:val="18"/>
        </w:rPr>
        <w:t>to</w:t>
      </w:r>
      <w:r w:rsidRPr="00EC20A0">
        <w:rPr>
          <w:spacing w:val="-3"/>
          <w:sz w:val="18"/>
        </w:rPr>
        <w:t xml:space="preserve"> </w:t>
      </w:r>
      <w:r w:rsidRPr="00EC20A0">
        <w:rPr>
          <w:sz w:val="18"/>
        </w:rPr>
        <w:t>as</w:t>
      </w:r>
      <w:r w:rsidRPr="00EC20A0">
        <w:rPr>
          <w:spacing w:val="-2"/>
          <w:sz w:val="18"/>
        </w:rPr>
        <w:t xml:space="preserve"> </w:t>
      </w:r>
      <w:r w:rsidRPr="00EC20A0">
        <w:rPr>
          <w:sz w:val="18"/>
        </w:rPr>
        <w:t>controls</w:t>
      </w:r>
      <w:r w:rsidRPr="00EC20A0">
        <w:rPr>
          <w:spacing w:val="-3"/>
          <w:sz w:val="18"/>
        </w:rPr>
        <w:t xml:space="preserve"> </w:t>
      </w:r>
      <w:r w:rsidRPr="00EC20A0">
        <w:rPr>
          <w:sz w:val="18"/>
        </w:rPr>
        <w:t>in</w:t>
      </w:r>
      <w:r w:rsidRPr="00EC20A0">
        <w:rPr>
          <w:spacing w:val="-3"/>
          <w:sz w:val="18"/>
        </w:rPr>
        <w:t xml:space="preserve"> </w:t>
      </w:r>
      <w:r w:rsidRPr="00EC20A0">
        <w:rPr>
          <w:sz w:val="18"/>
        </w:rPr>
        <w:t>the</w:t>
      </w:r>
      <w:r w:rsidRPr="00EC20A0">
        <w:rPr>
          <w:spacing w:val="-3"/>
          <w:sz w:val="18"/>
        </w:rPr>
        <w:t xml:space="preserve"> </w:t>
      </w:r>
      <w:r w:rsidRPr="00EC20A0">
        <w:rPr>
          <w:sz w:val="18"/>
        </w:rPr>
        <w:t>control</w:t>
      </w:r>
      <w:r w:rsidRPr="00EC20A0">
        <w:rPr>
          <w:spacing w:val="-2"/>
          <w:sz w:val="18"/>
        </w:rPr>
        <w:t xml:space="preserve"> </w:t>
      </w:r>
      <w:r w:rsidRPr="00EC20A0">
        <w:rPr>
          <w:sz w:val="18"/>
        </w:rPr>
        <w:t>activities</w:t>
      </w:r>
      <w:r w:rsidRPr="00EC20A0">
        <w:rPr>
          <w:spacing w:val="-2"/>
          <w:sz w:val="18"/>
        </w:rPr>
        <w:t xml:space="preserve"> </w:t>
      </w:r>
      <w:r w:rsidRPr="00EC20A0">
        <w:rPr>
          <w:sz w:val="18"/>
        </w:rPr>
        <w:t>component</w:t>
      </w:r>
      <w:r w:rsidRPr="00EC20A0">
        <w:rPr>
          <w:spacing w:val="-3"/>
          <w:sz w:val="18"/>
        </w:rPr>
        <w:t xml:space="preserve"> </w:t>
      </w:r>
      <w:r w:rsidRPr="00EC20A0">
        <w:rPr>
          <w:sz w:val="18"/>
        </w:rPr>
        <w:t>in</w:t>
      </w:r>
      <w:r w:rsidRPr="00EC20A0">
        <w:rPr>
          <w:spacing w:val="-3"/>
          <w:sz w:val="18"/>
        </w:rPr>
        <w:t xml:space="preserve"> </w:t>
      </w:r>
      <w:r w:rsidRPr="00EC20A0">
        <w:rPr>
          <w:sz w:val="18"/>
        </w:rPr>
        <w:t>AU-C</w:t>
      </w:r>
      <w:r w:rsidRPr="00EC20A0">
        <w:rPr>
          <w:spacing w:val="-2"/>
          <w:sz w:val="18"/>
        </w:rPr>
        <w:t xml:space="preserve"> </w:t>
      </w:r>
      <w:r w:rsidRPr="00EC20A0">
        <w:rPr>
          <w:spacing w:val="-4"/>
          <w:sz w:val="18"/>
        </w:rPr>
        <w:t>540,</w:t>
      </w:r>
    </w:p>
    <w:p w14:paraId="24D60109" w14:textId="77777777" w:rsidR="00245300" w:rsidRPr="00EC20A0" w:rsidRDefault="00F17249">
      <w:pPr>
        <w:spacing w:before="9"/>
        <w:ind w:left="419"/>
        <w:rPr>
          <w:sz w:val="18"/>
        </w:rPr>
      </w:pPr>
      <w:r w:rsidRPr="00EC20A0">
        <w:rPr>
          <w:i/>
          <w:sz w:val="18"/>
        </w:rPr>
        <w:t>Auditing</w:t>
      </w:r>
      <w:r w:rsidRPr="00EC20A0">
        <w:rPr>
          <w:i/>
          <w:spacing w:val="-4"/>
          <w:sz w:val="18"/>
        </w:rPr>
        <w:t xml:space="preserve"> </w:t>
      </w:r>
      <w:r w:rsidRPr="00EC20A0">
        <w:rPr>
          <w:i/>
          <w:sz w:val="18"/>
        </w:rPr>
        <w:t>Accounting</w:t>
      </w:r>
      <w:r w:rsidRPr="00EC20A0">
        <w:rPr>
          <w:i/>
          <w:spacing w:val="-5"/>
          <w:sz w:val="18"/>
        </w:rPr>
        <w:t xml:space="preserve"> </w:t>
      </w:r>
      <w:r w:rsidRPr="00EC20A0">
        <w:rPr>
          <w:i/>
          <w:sz w:val="18"/>
        </w:rPr>
        <w:t>Estimates</w:t>
      </w:r>
      <w:r w:rsidRPr="00EC20A0">
        <w:rPr>
          <w:i/>
          <w:spacing w:val="-3"/>
          <w:sz w:val="18"/>
        </w:rPr>
        <w:t xml:space="preserve"> </w:t>
      </w:r>
      <w:r w:rsidRPr="00EC20A0">
        <w:rPr>
          <w:i/>
          <w:sz w:val="18"/>
        </w:rPr>
        <w:t>and</w:t>
      </w:r>
      <w:r w:rsidRPr="00EC20A0">
        <w:rPr>
          <w:i/>
          <w:spacing w:val="-5"/>
          <w:sz w:val="18"/>
        </w:rPr>
        <w:t xml:space="preserve"> </w:t>
      </w:r>
      <w:r w:rsidRPr="00EC20A0">
        <w:rPr>
          <w:i/>
          <w:sz w:val="18"/>
        </w:rPr>
        <w:t>Related</w:t>
      </w:r>
      <w:r w:rsidRPr="00EC20A0">
        <w:rPr>
          <w:i/>
          <w:spacing w:val="-4"/>
          <w:sz w:val="18"/>
        </w:rPr>
        <w:t xml:space="preserve"> </w:t>
      </w:r>
      <w:r w:rsidRPr="00EC20A0">
        <w:rPr>
          <w:i/>
          <w:spacing w:val="-2"/>
          <w:sz w:val="18"/>
        </w:rPr>
        <w:t>Disclosures</w:t>
      </w:r>
      <w:r w:rsidRPr="00EC20A0">
        <w:rPr>
          <w:spacing w:val="-2"/>
          <w:sz w:val="18"/>
        </w:rPr>
        <w:t>.</w:t>
      </w:r>
    </w:p>
    <w:p w14:paraId="24D6010A" w14:textId="77777777" w:rsidR="00245300" w:rsidRPr="00EC20A0" w:rsidRDefault="00F17249">
      <w:pPr>
        <w:spacing w:before="126" w:line="242" w:lineRule="auto"/>
        <w:ind w:left="418" w:right="719" w:firstLine="1"/>
        <w:rPr>
          <w:sz w:val="18"/>
        </w:rPr>
      </w:pPr>
      <w:bookmarkStart w:id="79" w:name="_bookmark21"/>
      <w:bookmarkEnd w:id="79"/>
      <w:r w:rsidRPr="00EC20A0">
        <w:rPr>
          <w:position w:val="7"/>
          <w:sz w:val="14"/>
        </w:rPr>
        <w:t>15</w:t>
      </w:r>
      <w:r w:rsidRPr="00EC20A0">
        <w:rPr>
          <w:sz w:val="18"/>
        </w:rPr>
        <w:t>The</w:t>
      </w:r>
      <w:r w:rsidRPr="00EC20A0">
        <w:rPr>
          <w:spacing w:val="-3"/>
          <w:sz w:val="18"/>
        </w:rPr>
        <w:t xml:space="preserve"> </w:t>
      </w:r>
      <w:r w:rsidRPr="00EC20A0">
        <w:rPr>
          <w:sz w:val="18"/>
        </w:rPr>
        <w:t>OMB</w:t>
      </w:r>
      <w:r w:rsidRPr="00EC20A0">
        <w:rPr>
          <w:spacing w:val="-2"/>
          <w:sz w:val="18"/>
        </w:rPr>
        <w:t xml:space="preserve"> </w:t>
      </w:r>
      <w:r w:rsidRPr="00EC20A0">
        <w:rPr>
          <w:sz w:val="18"/>
        </w:rPr>
        <w:t>audit guidance</w:t>
      </w:r>
      <w:r w:rsidRPr="00EC20A0">
        <w:rPr>
          <w:spacing w:val="-3"/>
          <w:sz w:val="18"/>
        </w:rPr>
        <w:t xml:space="preserve"> </w:t>
      </w:r>
      <w:r w:rsidRPr="00EC20A0">
        <w:rPr>
          <w:sz w:val="18"/>
        </w:rPr>
        <w:t>in</w:t>
      </w:r>
      <w:r w:rsidRPr="00EC20A0">
        <w:rPr>
          <w:spacing w:val="-3"/>
          <w:sz w:val="18"/>
        </w:rPr>
        <w:t xml:space="preserve"> </w:t>
      </w:r>
      <w:r w:rsidRPr="00EC20A0">
        <w:rPr>
          <w:sz w:val="18"/>
        </w:rPr>
        <w:t>effect</w:t>
      </w:r>
      <w:r w:rsidRPr="00EC20A0">
        <w:rPr>
          <w:spacing w:val="-2"/>
          <w:sz w:val="18"/>
        </w:rPr>
        <w:t xml:space="preserve"> </w:t>
      </w:r>
      <w:r w:rsidRPr="00EC20A0">
        <w:rPr>
          <w:sz w:val="18"/>
        </w:rPr>
        <w:t>as</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publication</w:t>
      </w:r>
      <w:r w:rsidRPr="00EC20A0">
        <w:rPr>
          <w:spacing w:val="-3"/>
          <w:sz w:val="18"/>
        </w:rPr>
        <w:t xml:space="preserve"> </w:t>
      </w:r>
      <w:r w:rsidRPr="00EC20A0">
        <w:rPr>
          <w:sz w:val="18"/>
        </w:rPr>
        <w:t>date</w:t>
      </w:r>
      <w:r w:rsidRPr="00EC20A0">
        <w:rPr>
          <w:spacing w:val="-1"/>
          <w:sz w:val="18"/>
        </w:rPr>
        <w:t xml:space="preserve"> </w:t>
      </w:r>
      <w:r w:rsidRPr="00EC20A0">
        <w:rPr>
          <w:sz w:val="18"/>
        </w:rPr>
        <w:t>of</w:t>
      </w:r>
      <w:r w:rsidRPr="00EC20A0">
        <w:rPr>
          <w:spacing w:val="-1"/>
          <w:sz w:val="18"/>
        </w:rPr>
        <w:t xml:space="preserve"> </w:t>
      </w:r>
      <w:r w:rsidRPr="00EC20A0">
        <w:rPr>
          <w:sz w:val="18"/>
        </w:rPr>
        <w:t>this</w:t>
      </w:r>
      <w:r w:rsidRPr="00EC20A0">
        <w:rPr>
          <w:spacing w:val="-2"/>
          <w:sz w:val="18"/>
        </w:rPr>
        <w:t xml:space="preserve"> </w:t>
      </w:r>
      <w:r w:rsidRPr="00EC20A0">
        <w:rPr>
          <w:sz w:val="18"/>
        </w:rPr>
        <w:t>version</w:t>
      </w:r>
      <w:r w:rsidRPr="00EC20A0">
        <w:rPr>
          <w:spacing w:val="-1"/>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FAM</w:t>
      </w:r>
      <w:r w:rsidRPr="00EC20A0">
        <w:rPr>
          <w:spacing w:val="-2"/>
          <w:sz w:val="18"/>
        </w:rPr>
        <w:t xml:space="preserve"> </w:t>
      </w:r>
      <w:r w:rsidRPr="00EC20A0">
        <w:rPr>
          <w:sz w:val="18"/>
        </w:rPr>
        <w:t>is</w:t>
      </w:r>
      <w:r w:rsidRPr="00EC20A0">
        <w:rPr>
          <w:spacing w:val="-3"/>
          <w:sz w:val="18"/>
        </w:rPr>
        <w:t xml:space="preserve"> </w:t>
      </w:r>
      <w:r w:rsidRPr="00EC20A0">
        <w:rPr>
          <w:sz w:val="18"/>
        </w:rPr>
        <w:t>OMB</w:t>
      </w:r>
      <w:r w:rsidRPr="00EC20A0">
        <w:rPr>
          <w:spacing w:val="-2"/>
          <w:sz w:val="18"/>
        </w:rPr>
        <w:t xml:space="preserve"> </w:t>
      </w:r>
      <w:r w:rsidRPr="00EC20A0">
        <w:rPr>
          <w:sz w:val="18"/>
        </w:rPr>
        <w:t>Bulletin</w:t>
      </w:r>
      <w:r w:rsidRPr="00EC20A0">
        <w:rPr>
          <w:spacing w:val="-1"/>
          <w:sz w:val="18"/>
        </w:rPr>
        <w:t xml:space="preserve"> </w:t>
      </w:r>
      <w:r w:rsidRPr="00EC20A0">
        <w:rPr>
          <w:sz w:val="18"/>
        </w:rPr>
        <w:t>No.</w:t>
      </w:r>
      <w:r w:rsidRPr="00EC20A0">
        <w:rPr>
          <w:spacing w:val="-2"/>
          <w:sz w:val="18"/>
        </w:rPr>
        <w:t xml:space="preserve"> </w:t>
      </w:r>
      <w:r w:rsidRPr="00EC20A0">
        <w:rPr>
          <w:sz w:val="18"/>
        </w:rPr>
        <w:t xml:space="preserve">24-01, </w:t>
      </w:r>
      <w:r w:rsidRPr="00EC20A0">
        <w:rPr>
          <w:i/>
          <w:sz w:val="18"/>
        </w:rPr>
        <w:t xml:space="preserve">Audit Requirements for Federal Financial Statements, </w:t>
      </w:r>
      <w:r w:rsidRPr="00EC20A0">
        <w:rPr>
          <w:sz w:val="18"/>
        </w:rPr>
        <w:t xml:space="preserve">issued on October 19, 2023. OMB audit guidance is periodically updated, and the current version can be found on the OMB website at </w:t>
      </w:r>
      <w:hyperlink r:id="rId37">
        <w:r w:rsidRPr="00EC20A0">
          <w:rPr>
            <w:color w:val="0000FF"/>
            <w:sz w:val="18"/>
            <w:u w:val="single" w:color="0000FF"/>
          </w:rPr>
          <w:t>https://www.whitehouse.gov/omb/information-for-agencies/bulletins/</w:t>
        </w:r>
      </w:hyperlink>
      <w:r w:rsidRPr="00EC20A0">
        <w:rPr>
          <w:color w:val="0000FF"/>
          <w:sz w:val="18"/>
        </w:rPr>
        <w:t xml:space="preserve"> </w:t>
      </w:r>
      <w:r w:rsidRPr="00EC20A0">
        <w:rPr>
          <w:sz w:val="18"/>
        </w:rPr>
        <w:t>(accessed June 3, 2024).</w:t>
      </w:r>
    </w:p>
    <w:p w14:paraId="24D6010B" w14:textId="77777777" w:rsidR="00245300" w:rsidRPr="00EC20A0" w:rsidRDefault="00245300">
      <w:pPr>
        <w:spacing w:line="242" w:lineRule="auto"/>
        <w:rPr>
          <w:sz w:val="18"/>
        </w:rPr>
        <w:sectPr w:rsidR="00245300" w:rsidRPr="00EC20A0">
          <w:pgSz w:w="12240" w:h="15840"/>
          <w:pgMar w:top="1340" w:right="940" w:bottom="940" w:left="1020" w:header="721" w:footer="757" w:gutter="0"/>
          <w:cols w:space="720"/>
        </w:sectPr>
      </w:pPr>
    </w:p>
    <w:p w14:paraId="24D6010C" w14:textId="77777777" w:rsidR="00245300" w:rsidRPr="00EC20A0" w:rsidRDefault="00F17249">
      <w:pPr>
        <w:pStyle w:val="ListParagraph"/>
        <w:numPr>
          <w:ilvl w:val="0"/>
          <w:numId w:val="198"/>
        </w:numPr>
        <w:tabs>
          <w:tab w:val="left" w:pos="2219"/>
        </w:tabs>
        <w:spacing w:before="121"/>
        <w:ind w:right="758"/>
        <w:rPr>
          <w:sz w:val="14"/>
        </w:rPr>
      </w:pPr>
      <w:r w:rsidRPr="00EC20A0">
        <w:rPr>
          <w:b/>
        </w:rPr>
        <w:t xml:space="preserve">Type 2 report </w:t>
      </w:r>
      <w:r w:rsidRPr="00EC20A0">
        <w:t>– a report on management’s description of a service organization’s</w:t>
      </w:r>
      <w:r w:rsidRPr="00EC20A0">
        <w:rPr>
          <w:spacing w:val="-4"/>
        </w:rPr>
        <w:t xml:space="preserve"> </w:t>
      </w:r>
      <w:r w:rsidRPr="00EC20A0">
        <w:t>system</w:t>
      </w:r>
      <w:r w:rsidRPr="00EC20A0">
        <w:rPr>
          <w:spacing w:val="-5"/>
        </w:rPr>
        <w:t xml:space="preserve"> </w:t>
      </w:r>
      <w:r w:rsidRPr="00EC20A0">
        <w:t>and</w:t>
      </w:r>
      <w:r w:rsidRPr="00EC20A0">
        <w:rPr>
          <w:spacing w:val="-4"/>
        </w:rPr>
        <w:t xml:space="preserve"> </w:t>
      </w:r>
      <w:r w:rsidRPr="00EC20A0">
        <w:t>a</w:t>
      </w:r>
      <w:r w:rsidRPr="00EC20A0">
        <w:rPr>
          <w:spacing w:val="-4"/>
        </w:rPr>
        <w:t xml:space="preserve"> </w:t>
      </w:r>
      <w:r w:rsidRPr="00EC20A0">
        <w:t>service</w:t>
      </w:r>
      <w:r w:rsidRPr="00EC20A0">
        <w:rPr>
          <w:spacing w:val="-5"/>
        </w:rPr>
        <w:t xml:space="preserve"> </w:t>
      </w:r>
      <w:r w:rsidRPr="00EC20A0">
        <w:t>auditor’s</w:t>
      </w:r>
      <w:r w:rsidRPr="00EC20A0">
        <w:rPr>
          <w:spacing w:val="-4"/>
        </w:rPr>
        <w:t xml:space="preserve"> </w:t>
      </w:r>
      <w:r w:rsidRPr="00EC20A0">
        <w:t>report</w:t>
      </w:r>
      <w:r w:rsidRPr="00EC20A0">
        <w:rPr>
          <w:spacing w:val="-4"/>
        </w:rPr>
        <w:t xml:space="preserve"> </w:t>
      </w:r>
      <w:r w:rsidRPr="00EC20A0">
        <w:t>on</w:t>
      </w:r>
      <w:r w:rsidRPr="00EC20A0">
        <w:rPr>
          <w:spacing w:val="-4"/>
        </w:rPr>
        <w:t xml:space="preserve"> </w:t>
      </w:r>
      <w:r w:rsidRPr="00EC20A0">
        <w:t>that</w:t>
      </w:r>
      <w:r w:rsidRPr="00EC20A0">
        <w:rPr>
          <w:spacing w:val="-4"/>
        </w:rPr>
        <w:t xml:space="preserve"> </w:t>
      </w:r>
      <w:r w:rsidRPr="00EC20A0">
        <w:t>description</w:t>
      </w:r>
      <w:r w:rsidRPr="00EC20A0">
        <w:rPr>
          <w:spacing w:val="-5"/>
        </w:rPr>
        <w:t xml:space="preserve"> </w:t>
      </w:r>
      <w:r w:rsidRPr="00EC20A0">
        <w:t>and on the suitability of the design and operating effectiveness of controls.</w:t>
      </w:r>
      <w:hyperlink w:anchor="_bookmark22" w:history="1">
        <w:r w:rsidRPr="00EC20A0">
          <w:rPr>
            <w:position w:val="7"/>
            <w:sz w:val="14"/>
          </w:rPr>
          <w:t>16</w:t>
        </w:r>
      </w:hyperlink>
    </w:p>
    <w:p w14:paraId="24D6010D" w14:textId="77777777" w:rsidR="00245300" w:rsidRPr="00EC20A0" w:rsidRDefault="00F17249">
      <w:pPr>
        <w:pStyle w:val="BodyText"/>
        <w:spacing w:before="238"/>
        <w:ind w:left="1859" w:right="527"/>
      </w:pPr>
      <w:r w:rsidRPr="00EC20A0">
        <w:t>Typically, the auditor will obtain a type 2 report that provides audit evidence whether</w:t>
      </w:r>
      <w:r w:rsidRPr="00EC20A0">
        <w:rPr>
          <w:spacing w:val="-4"/>
        </w:rPr>
        <w:t xml:space="preserve"> </w:t>
      </w:r>
      <w:r w:rsidRPr="00EC20A0">
        <w:t>controls</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organization</w:t>
      </w:r>
      <w:r w:rsidRPr="00EC20A0">
        <w:rPr>
          <w:spacing w:val="-4"/>
        </w:rPr>
        <w:t xml:space="preserve"> </w:t>
      </w:r>
      <w:r w:rsidRPr="00EC20A0">
        <w:t>are</w:t>
      </w:r>
      <w:r w:rsidRPr="00EC20A0">
        <w:rPr>
          <w:spacing w:val="-4"/>
        </w:rPr>
        <w:t xml:space="preserve"> </w:t>
      </w:r>
      <w:r w:rsidRPr="00EC20A0">
        <w:t>operating</w:t>
      </w:r>
      <w:r w:rsidRPr="00EC20A0">
        <w:rPr>
          <w:spacing w:val="-4"/>
        </w:rPr>
        <w:t xml:space="preserve"> </w:t>
      </w:r>
      <w:r w:rsidRPr="00EC20A0">
        <w:t>effectively.</w:t>
      </w:r>
      <w:r w:rsidRPr="00EC20A0">
        <w:rPr>
          <w:spacing w:val="-4"/>
        </w:rPr>
        <w:t xml:space="preserve"> </w:t>
      </w:r>
      <w:r w:rsidRPr="00EC20A0">
        <w:t>FAM</w:t>
      </w:r>
      <w:r w:rsidRPr="00EC20A0">
        <w:rPr>
          <w:spacing w:val="-5"/>
        </w:rPr>
        <w:t xml:space="preserve"> </w:t>
      </w:r>
      <w:r w:rsidRPr="00EC20A0">
        <w:t>640</w:t>
      </w:r>
      <w:r w:rsidRPr="00EC20A0">
        <w:rPr>
          <w:spacing w:val="-4"/>
        </w:rPr>
        <w:t xml:space="preserve"> </w:t>
      </w:r>
      <w:r w:rsidRPr="00EC20A0">
        <w:t>A provides</w:t>
      </w:r>
      <w:r w:rsidRPr="00EC20A0">
        <w:rPr>
          <w:spacing w:val="-2"/>
        </w:rPr>
        <w:t xml:space="preserve"> </w:t>
      </w:r>
      <w:r w:rsidRPr="00EC20A0">
        <w:t>an</w:t>
      </w:r>
      <w:r w:rsidRPr="00EC20A0">
        <w:rPr>
          <w:spacing w:val="-3"/>
        </w:rPr>
        <w:t xml:space="preserve"> </w:t>
      </w:r>
      <w:r w:rsidRPr="00EC20A0">
        <w:t>assessment</w:t>
      </w:r>
      <w:r w:rsidRPr="00EC20A0">
        <w:rPr>
          <w:spacing w:val="-3"/>
        </w:rPr>
        <w:t xml:space="preserve"> </w:t>
      </w:r>
      <w:r w:rsidRPr="00EC20A0">
        <w:t>tool</w:t>
      </w:r>
      <w:r w:rsidRPr="00EC20A0">
        <w:rPr>
          <w:spacing w:val="-2"/>
        </w:rPr>
        <w:t xml:space="preserve"> </w:t>
      </w:r>
      <w:r w:rsidRPr="00EC20A0">
        <w:t>designed</w:t>
      </w:r>
      <w:r w:rsidRPr="00EC20A0">
        <w:rPr>
          <w:spacing w:val="-2"/>
        </w:rPr>
        <w:t xml:space="preserve"> </w:t>
      </w:r>
      <w:r w:rsidRPr="00EC20A0">
        <w:t>to</w:t>
      </w:r>
      <w:r w:rsidRPr="00EC20A0">
        <w:rPr>
          <w:spacing w:val="-2"/>
        </w:rPr>
        <w:t xml:space="preserve"> </w:t>
      </w:r>
      <w:r w:rsidRPr="00EC20A0">
        <w:t>assist</w:t>
      </w:r>
      <w:r w:rsidRPr="00EC20A0">
        <w:rPr>
          <w:spacing w:val="-3"/>
        </w:rPr>
        <w:t xml:space="preserve"> </w:t>
      </w:r>
      <w:r w:rsidRPr="00EC20A0">
        <w:t>the</w:t>
      </w:r>
      <w:r w:rsidRPr="00EC20A0">
        <w:rPr>
          <w:spacing w:val="-2"/>
        </w:rPr>
        <w:t xml:space="preserve"> </w:t>
      </w:r>
      <w:r w:rsidRPr="00EC20A0">
        <w:t>auditor</w:t>
      </w:r>
      <w:r w:rsidRPr="00EC20A0">
        <w:rPr>
          <w:spacing w:val="-2"/>
        </w:rPr>
        <w:t xml:space="preserve"> </w:t>
      </w:r>
      <w:r w:rsidRPr="00EC20A0">
        <w:t>in</w:t>
      </w:r>
      <w:r w:rsidRPr="00EC20A0">
        <w:rPr>
          <w:spacing w:val="-2"/>
        </w:rPr>
        <w:t xml:space="preserve"> </w:t>
      </w:r>
      <w:r w:rsidRPr="00EC20A0">
        <w:t>evaluating</w:t>
      </w:r>
      <w:r w:rsidRPr="00EC20A0">
        <w:rPr>
          <w:spacing w:val="-3"/>
        </w:rPr>
        <w:t xml:space="preserve"> </w:t>
      </w:r>
      <w:r w:rsidRPr="00EC20A0">
        <w:t>a</w:t>
      </w:r>
      <w:r w:rsidRPr="00EC20A0">
        <w:rPr>
          <w:spacing w:val="-2"/>
        </w:rPr>
        <w:t xml:space="preserve"> </w:t>
      </w:r>
      <w:r w:rsidRPr="00EC20A0">
        <w:t>type</w:t>
      </w:r>
      <w:r w:rsidRPr="00EC20A0">
        <w:rPr>
          <w:spacing w:val="-2"/>
        </w:rPr>
        <w:t xml:space="preserve"> </w:t>
      </w:r>
      <w:r w:rsidRPr="00EC20A0">
        <w:t>2 report that can provide audit evidence about whether controls at a service organization are operating effectively and support the auditor’s risk assessment and report on internal control over financial reporting.</w:t>
      </w:r>
    </w:p>
    <w:p w14:paraId="24D6010E" w14:textId="77777777" w:rsidR="00245300" w:rsidRPr="00EC20A0" w:rsidRDefault="00F17249">
      <w:pPr>
        <w:pStyle w:val="ListParagraph"/>
        <w:numPr>
          <w:ilvl w:val="0"/>
          <w:numId w:val="17"/>
        </w:numPr>
        <w:tabs>
          <w:tab w:val="left" w:pos="1858"/>
        </w:tabs>
        <w:spacing w:before="239"/>
        <w:ind w:left="1858" w:right="505"/>
        <w:jc w:val="left"/>
      </w:pPr>
      <w:r w:rsidRPr="00EC20A0">
        <w:t>In</w:t>
      </w:r>
      <w:r w:rsidRPr="00EC20A0">
        <w:rPr>
          <w:spacing w:val="-4"/>
        </w:rPr>
        <w:t xml:space="preserve"> </w:t>
      </w:r>
      <w:r w:rsidRPr="00EC20A0">
        <w:t>determining</w:t>
      </w:r>
      <w:r w:rsidRPr="00EC20A0">
        <w:rPr>
          <w:spacing w:val="-4"/>
        </w:rPr>
        <w:t xml:space="preserve"> </w:t>
      </w:r>
      <w:r w:rsidRPr="00EC20A0">
        <w:t>the</w:t>
      </w:r>
      <w:r w:rsidRPr="00EC20A0">
        <w:rPr>
          <w:spacing w:val="-4"/>
        </w:rPr>
        <w:t xml:space="preserve"> </w:t>
      </w:r>
      <w:r w:rsidRPr="00EC20A0">
        <w:t>sufficiency</w:t>
      </w:r>
      <w:r w:rsidRPr="00EC20A0">
        <w:rPr>
          <w:spacing w:val="-4"/>
        </w:rPr>
        <w:t xml:space="preserve"> </w:t>
      </w:r>
      <w:r w:rsidRPr="00EC20A0">
        <w:t>and</w:t>
      </w:r>
      <w:r w:rsidRPr="00EC20A0">
        <w:rPr>
          <w:spacing w:val="-4"/>
        </w:rPr>
        <w:t xml:space="preserve"> </w:t>
      </w:r>
      <w:r w:rsidRPr="00EC20A0">
        <w:t>appropriateness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evidence</w:t>
      </w:r>
      <w:r w:rsidRPr="00EC20A0">
        <w:rPr>
          <w:spacing w:val="-4"/>
        </w:rPr>
        <w:t xml:space="preserve"> </w:t>
      </w:r>
      <w:r w:rsidRPr="00EC20A0">
        <w:t>provided by a type 1 or type 2 report, the auditor should be satisfied regarding the</w:t>
      </w:r>
      <w:r w:rsidRPr="00EC20A0">
        <w:rPr>
          <w:spacing w:val="40"/>
        </w:rPr>
        <w:t xml:space="preserve"> </w:t>
      </w:r>
      <w:r w:rsidRPr="00EC20A0">
        <w:t>following (AU-C 402.13):</w:t>
      </w:r>
    </w:p>
    <w:p w14:paraId="24D6010F" w14:textId="77777777" w:rsidR="00245300" w:rsidRPr="00EC20A0" w:rsidRDefault="00F17249">
      <w:pPr>
        <w:pStyle w:val="ListParagraph"/>
        <w:numPr>
          <w:ilvl w:val="0"/>
          <w:numId w:val="197"/>
        </w:numPr>
        <w:tabs>
          <w:tab w:val="left" w:pos="2218"/>
        </w:tabs>
        <w:spacing w:before="241"/>
        <w:ind w:right="857"/>
      </w:pPr>
      <w:r w:rsidRPr="00EC20A0">
        <w:t>the</w:t>
      </w:r>
      <w:r w:rsidRPr="00EC20A0">
        <w:rPr>
          <w:spacing w:val="-5"/>
        </w:rPr>
        <w:t xml:space="preserve"> </w:t>
      </w:r>
      <w:r w:rsidRPr="00EC20A0">
        <w:t>service</w:t>
      </w:r>
      <w:r w:rsidRPr="00EC20A0">
        <w:rPr>
          <w:spacing w:val="-6"/>
        </w:rPr>
        <w:t xml:space="preserve"> </w:t>
      </w:r>
      <w:r w:rsidRPr="00EC20A0">
        <w:t>auditor’s</w:t>
      </w:r>
      <w:r w:rsidRPr="00EC20A0">
        <w:rPr>
          <w:spacing w:val="-5"/>
        </w:rPr>
        <w:t xml:space="preserve"> </w:t>
      </w:r>
      <w:r w:rsidRPr="00EC20A0">
        <w:t>professional</w:t>
      </w:r>
      <w:r w:rsidRPr="00EC20A0">
        <w:rPr>
          <w:spacing w:val="-6"/>
        </w:rPr>
        <w:t xml:space="preserve"> </w:t>
      </w:r>
      <w:r w:rsidRPr="00EC20A0">
        <w:t>competence</w:t>
      </w:r>
      <w:r w:rsidRPr="00EC20A0">
        <w:rPr>
          <w:spacing w:val="-5"/>
        </w:rPr>
        <w:t xml:space="preserve"> </w:t>
      </w:r>
      <w:r w:rsidRPr="00EC20A0">
        <w:t>and</w:t>
      </w:r>
      <w:r w:rsidRPr="00EC20A0">
        <w:rPr>
          <w:spacing w:val="-5"/>
        </w:rPr>
        <w:t xml:space="preserve"> </w:t>
      </w:r>
      <w:r w:rsidRPr="00EC20A0">
        <w:t>independence</w:t>
      </w:r>
      <w:r w:rsidRPr="00EC20A0">
        <w:rPr>
          <w:spacing w:val="-5"/>
        </w:rPr>
        <w:t xml:space="preserve"> </w:t>
      </w:r>
      <w:r w:rsidRPr="00EC20A0">
        <w:t>from</w:t>
      </w:r>
      <w:r w:rsidRPr="00EC20A0">
        <w:rPr>
          <w:spacing w:val="-6"/>
        </w:rPr>
        <w:t xml:space="preserve"> </w:t>
      </w:r>
      <w:r w:rsidRPr="00EC20A0">
        <w:t xml:space="preserve">the service </w:t>
      </w:r>
      <w:r w:rsidRPr="00EC20A0">
        <w:t>organization (also see FAM 615) and</w:t>
      </w:r>
    </w:p>
    <w:p w14:paraId="24D60110" w14:textId="77777777" w:rsidR="00245300" w:rsidRPr="00EC20A0" w:rsidRDefault="00F17249">
      <w:pPr>
        <w:pStyle w:val="ListParagraph"/>
        <w:numPr>
          <w:ilvl w:val="0"/>
          <w:numId w:val="197"/>
        </w:numPr>
        <w:tabs>
          <w:tab w:val="left" w:pos="2217"/>
        </w:tabs>
        <w:spacing w:before="238"/>
        <w:ind w:left="2217" w:right="820" w:hanging="361"/>
      </w:pPr>
      <w:r w:rsidRPr="00EC20A0">
        <w:t>the</w:t>
      </w:r>
      <w:r w:rsidRPr="00EC20A0">
        <w:rPr>
          <w:spacing w:val="-3"/>
        </w:rPr>
        <w:t xml:space="preserve"> </w:t>
      </w:r>
      <w:r w:rsidRPr="00EC20A0">
        <w:t>adequacy</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standards</w:t>
      </w:r>
      <w:r w:rsidRPr="00EC20A0">
        <w:rPr>
          <w:spacing w:val="-2"/>
        </w:rPr>
        <w:t xml:space="preserve"> </w:t>
      </w:r>
      <w:r w:rsidRPr="00EC20A0">
        <w:t>under</w:t>
      </w:r>
      <w:r w:rsidRPr="00EC20A0">
        <w:rPr>
          <w:spacing w:val="-4"/>
        </w:rPr>
        <w:t xml:space="preserve"> </w:t>
      </w:r>
      <w:r w:rsidRPr="00EC20A0">
        <w:t>which</w:t>
      </w:r>
      <w:r w:rsidRPr="00EC20A0">
        <w:rPr>
          <w:spacing w:val="-3"/>
        </w:rPr>
        <w:t xml:space="preserve"> </w:t>
      </w:r>
      <w:r w:rsidRPr="00EC20A0">
        <w:t>the</w:t>
      </w:r>
      <w:r w:rsidRPr="00EC20A0">
        <w:rPr>
          <w:spacing w:val="-3"/>
        </w:rPr>
        <w:t xml:space="preserve"> </w:t>
      </w:r>
      <w:r w:rsidRPr="00EC20A0">
        <w:t>type</w:t>
      </w:r>
      <w:r w:rsidRPr="00EC20A0">
        <w:rPr>
          <w:spacing w:val="-3"/>
        </w:rPr>
        <w:t xml:space="preserve"> </w:t>
      </w:r>
      <w:r w:rsidRPr="00EC20A0">
        <w:t>1</w:t>
      </w:r>
      <w:r w:rsidRPr="00EC20A0">
        <w:rPr>
          <w:spacing w:val="-3"/>
        </w:rPr>
        <w:t xml:space="preserve"> </w:t>
      </w:r>
      <w:r w:rsidRPr="00EC20A0">
        <w:t>or</w:t>
      </w:r>
      <w:r w:rsidRPr="00EC20A0">
        <w:rPr>
          <w:spacing w:val="-3"/>
        </w:rPr>
        <w:t xml:space="preserve"> </w:t>
      </w:r>
      <w:r w:rsidRPr="00EC20A0">
        <w:t>type</w:t>
      </w:r>
      <w:r w:rsidRPr="00EC20A0">
        <w:rPr>
          <w:spacing w:val="-4"/>
        </w:rPr>
        <w:t xml:space="preserve"> </w:t>
      </w:r>
      <w:r w:rsidRPr="00EC20A0">
        <w:t>2</w:t>
      </w:r>
      <w:r w:rsidRPr="00EC20A0">
        <w:rPr>
          <w:spacing w:val="-3"/>
        </w:rPr>
        <w:t xml:space="preserve"> </w:t>
      </w:r>
      <w:r w:rsidRPr="00EC20A0">
        <w:t>report</w:t>
      </w:r>
      <w:r w:rsidRPr="00EC20A0">
        <w:rPr>
          <w:spacing w:val="-3"/>
        </w:rPr>
        <w:t xml:space="preserve"> </w:t>
      </w:r>
      <w:r w:rsidRPr="00EC20A0">
        <w:t xml:space="preserve">was </w:t>
      </w:r>
      <w:r w:rsidRPr="00EC20A0">
        <w:rPr>
          <w:spacing w:val="-2"/>
        </w:rPr>
        <w:t>issued.</w:t>
      </w:r>
    </w:p>
    <w:p w14:paraId="24D60111" w14:textId="77777777" w:rsidR="00245300" w:rsidRPr="00EC20A0" w:rsidRDefault="00F17249">
      <w:pPr>
        <w:pStyle w:val="ListParagraph"/>
        <w:numPr>
          <w:ilvl w:val="0"/>
          <w:numId w:val="17"/>
        </w:numPr>
        <w:tabs>
          <w:tab w:val="left" w:pos="1770"/>
        </w:tabs>
        <w:spacing w:before="239"/>
        <w:ind w:left="1770" w:right="839" w:hanging="721"/>
        <w:jc w:val="left"/>
      </w:pPr>
      <w:r w:rsidRPr="00EC20A0">
        <w:t>The auditor generally should obtain and review a type 1 or type 2 report, if available, to determine if it contains information that may affect the audit or increase</w:t>
      </w:r>
      <w:r w:rsidRPr="00EC20A0">
        <w:rPr>
          <w:spacing w:val="-3"/>
        </w:rPr>
        <w:t xml:space="preserve"> </w:t>
      </w:r>
      <w:r w:rsidRPr="00EC20A0">
        <w:t>the</w:t>
      </w:r>
      <w:r w:rsidRPr="00EC20A0">
        <w:rPr>
          <w:spacing w:val="-4"/>
        </w:rPr>
        <w:t xml:space="preserve"> </w:t>
      </w:r>
      <w:r w:rsidRPr="00EC20A0">
        <w:t>risks</w:t>
      </w:r>
      <w:r w:rsidRPr="00EC20A0">
        <w:rPr>
          <w:spacing w:val="-3"/>
        </w:rPr>
        <w:t xml:space="preserve"> </w:t>
      </w:r>
      <w:r w:rsidRPr="00EC20A0">
        <w:t>of</w:t>
      </w:r>
      <w:r w:rsidRPr="00EC20A0">
        <w:rPr>
          <w:spacing w:val="-4"/>
        </w:rPr>
        <w:t xml:space="preserve"> </w:t>
      </w:r>
      <w:r w:rsidRPr="00EC20A0">
        <w:t>material</w:t>
      </w:r>
      <w:r w:rsidRPr="00EC20A0">
        <w:rPr>
          <w:spacing w:val="-3"/>
        </w:rPr>
        <w:t xml:space="preserve"> </w:t>
      </w:r>
      <w:r w:rsidRPr="00EC20A0">
        <w:t>misstatement,</w:t>
      </w:r>
      <w:r w:rsidRPr="00EC20A0">
        <w:rPr>
          <w:spacing w:val="-3"/>
        </w:rPr>
        <w:t xml:space="preserve"> </w:t>
      </w:r>
      <w:r w:rsidRPr="00EC20A0">
        <w:t>even</w:t>
      </w:r>
      <w:r w:rsidRPr="00EC20A0">
        <w:rPr>
          <w:spacing w:val="-3"/>
        </w:rPr>
        <w:t xml:space="preserve"> </w:t>
      </w:r>
      <w:r w:rsidRPr="00EC20A0">
        <w:t>if</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does</w:t>
      </w:r>
      <w:r w:rsidRPr="00EC20A0">
        <w:rPr>
          <w:spacing w:val="-3"/>
        </w:rPr>
        <w:t xml:space="preserve"> </w:t>
      </w:r>
      <w:r w:rsidRPr="00EC20A0">
        <w:t>not</w:t>
      </w:r>
      <w:r w:rsidRPr="00EC20A0">
        <w:rPr>
          <w:spacing w:val="-3"/>
        </w:rPr>
        <w:t xml:space="preserve"> </w:t>
      </w:r>
      <w:r w:rsidRPr="00EC20A0">
        <w:t>plan</w:t>
      </w:r>
      <w:r w:rsidRPr="00EC20A0">
        <w:rPr>
          <w:spacing w:val="-3"/>
        </w:rPr>
        <w:t xml:space="preserve"> </w:t>
      </w:r>
      <w:r w:rsidRPr="00EC20A0">
        <w:t>to rely on the report to support the auditor’s risk assessment or report on internal control over financial reporting.</w:t>
      </w:r>
    </w:p>
    <w:p w14:paraId="24D60112" w14:textId="77777777" w:rsidR="00245300" w:rsidRPr="00EC20A0" w:rsidRDefault="00F17249">
      <w:pPr>
        <w:pStyle w:val="ListParagraph"/>
        <w:numPr>
          <w:ilvl w:val="0"/>
          <w:numId w:val="17"/>
        </w:numPr>
        <w:tabs>
          <w:tab w:val="left" w:pos="1768"/>
        </w:tabs>
        <w:ind w:left="1768" w:right="559" w:hanging="719"/>
        <w:jc w:val="left"/>
      </w:pPr>
      <w:r w:rsidRPr="00EC20A0">
        <w:t>The auditor</w:t>
      </w:r>
      <w:r w:rsidRPr="00EC20A0">
        <w:rPr>
          <w:spacing w:val="-1"/>
        </w:rPr>
        <w:t xml:space="preserve"> </w:t>
      </w:r>
      <w:r w:rsidRPr="00EC20A0">
        <w:t xml:space="preserve">should not refer to the </w:t>
      </w:r>
      <w:r w:rsidRPr="00EC20A0">
        <w:t>work of a service auditor in the auditor’s report containing an unmodified opinion (AU-C 402.21). Based on AU-C 940.96, the auditor</w:t>
      </w:r>
      <w:r w:rsidRPr="00EC20A0">
        <w:rPr>
          <w:spacing w:val="-3"/>
        </w:rPr>
        <w:t xml:space="preserve"> </w:t>
      </w:r>
      <w:r w:rsidRPr="00EC20A0">
        <w:t>also</w:t>
      </w:r>
      <w:r w:rsidRPr="00EC20A0">
        <w:rPr>
          <w:spacing w:val="-4"/>
        </w:rPr>
        <w:t xml:space="preserve"> </w:t>
      </w:r>
      <w:r w:rsidRPr="00EC20A0">
        <w:t>should</w:t>
      </w:r>
      <w:r w:rsidRPr="00EC20A0">
        <w:rPr>
          <w:spacing w:val="-3"/>
        </w:rPr>
        <w:t xml:space="preserve"> </w:t>
      </w:r>
      <w:r w:rsidRPr="00EC20A0">
        <w:t>not</w:t>
      </w:r>
      <w:r w:rsidRPr="00EC20A0">
        <w:rPr>
          <w:spacing w:val="-3"/>
        </w:rPr>
        <w:t xml:space="preserve"> </w:t>
      </w:r>
      <w:r w:rsidRPr="00EC20A0">
        <w:t>refer</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service</w:t>
      </w:r>
      <w:r w:rsidRPr="00EC20A0">
        <w:rPr>
          <w:spacing w:val="-3"/>
        </w:rPr>
        <w:t xml:space="preserve"> </w:t>
      </w:r>
      <w:r w:rsidRPr="00EC20A0">
        <w:t>auditor’s</w:t>
      </w:r>
      <w:r w:rsidRPr="00EC20A0">
        <w:rPr>
          <w:spacing w:val="-3"/>
        </w:rPr>
        <w:t xml:space="preserve"> </w:t>
      </w:r>
      <w:r w:rsidRPr="00EC20A0">
        <w:t>report</w:t>
      </w:r>
      <w:r w:rsidRPr="00EC20A0">
        <w:rPr>
          <w:spacing w:val="-3"/>
        </w:rPr>
        <w:t xml:space="preserve"> </w:t>
      </w:r>
      <w:r w:rsidRPr="00EC20A0">
        <w:t>in</w:t>
      </w:r>
      <w:r w:rsidRPr="00EC20A0">
        <w:rPr>
          <w:spacing w:val="-4"/>
        </w:rPr>
        <w:t xml:space="preserve"> </w:t>
      </w:r>
      <w:r w:rsidRPr="00EC20A0">
        <w:t>the</w:t>
      </w:r>
      <w:r w:rsidRPr="00EC20A0">
        <w:rPr>
          <w:spacing w:val="-3"/>
        </w:rPr>
        <w:t xml:space="preserve"> </w:t>
      </w:r>
      <w:r w:rsidRPr="00EC20A0">
        <w:t>report</w:t>
      </w:r>
      <w:r w:rsidRPr="00EC20A0">
        <w:rPr>
          <w:spacing w:val="-3"/>
        </w:rPr>
        <w:t xml:space="preserve"> </w:t>
      </w:r>
      <w:r w:rsidRPr="00EC20A0">
        <w:t>on</w:t>
      </w:r>
      <w:r w:rsidRPr="00EC20A0">
        <w:rPr>
          <w:spacing w:val="-3"/>
        </w:rPr>
        <w:t xml:space="preserve"> </w:t>
      </w:r>
      <w:r w:rsidRPr="00EC20A0">
        <w:t>internal control over financial reporting.</w:t>
      </w:r>
    </w:p>
    <w:p w14:paraId="24D60113" w14:textId="77777777" w:rsidR="00245300" w:rsidRPr="00EC20A0" w:rsidRDefault="00F17249">
      <w:pPr>
        <w:pStyle w:val="Heading4"/>
        <w:spacing w:before="239"/>
      </w:pPr>
      <w:bookmarkStart w:id="80" w:name="Evaluate_the_Design_and_Implementation_o"/>
      <w:bookmarkEnd w:id="80"/>
      <w:r w:rsidRPr="00EC20A0">
        <w:t>Evaluate</w:t>
      </w:r>
      <w:r w:rsidRPr="00EC20A0">
        <w:rPr>
          <w:spacing w:val="-11"/>
        </w:rPr>
        <w:t xml:space="preserve"> </w:t>
      </w:r>
      <w:r w:rsidRPr="00EC20A0">
        <w:t>the</w:t>
      </w:r>
      <w:r w:rsidRPr="00EC20A0">
        <w:rPr>
          <w:spacing w:val="-11"/>
        </w:rPr>
        <w:t xml:space="preserve"> </w:t>
      </w:r>
      <w:r w:rsidRPr="00EC20A0">
        <w:t>Design</w:t>
      </w:r>
      <w:r w:rsidRPr="00EC20A0">
        <w:rPr>
          <w:spacing w:val="-11"/>
        </w:rPr>
        <w:t xml:space="preserve"> </w:t>
      </w:r>
      <w:r w:rsidRPr="00EC20A0">
        <w:t>and</w:t>
      </w:r>
      <w:r w:rsidRPr="00EC20A0">
        <w:rPr>
          <w:spacing w:val="-12"/>
        </w:rPr>
        <w:t xml:space="preserve"> </w:t>
      </w:r>
      <w:r w:rsidRPr="00EC20A0">
        <w:t>Implementation</w:t>
      </w:r>
      <w:r w:rsidRPr="00EC20A0">
        <w:rPr>
          <w:spacing w:val="-11"/>
        </w:rPr>
        <w:t xml:space="preserve"> </w:t>
      </w:r>
      <w:r w:rsidRPr="00EC20A0">
        <w:t>of</w:t>
      </w:r>
      <w:r w:rsidRPr="00EC20A0">
        <w:rPr>
          <w:spacing w:val="-11"/>
        </w:rPr>
        <w:t xml:space="preserve"> </w:t>
      </w:r>
      <w:r w:rsidRPr="00EC20A0">
        <w:rPr>
          <w:spacing w:val="-2"/>
        </w:rPr>
        <w:t>Controls</w:t>
      </w:r>
    </w:p>
    <w:p w14:paraId="24D60114" w14:textId="77777777" w:rsidR="00245300" w:rsidRPr="00EC20A0" w:rsidRDefault="00F17249">
      <w:pPr>
        <w:pStyle w:val="ListParagraph"/>
        <w:numPr>
          <w:ilvl w:val="0"/>
          <w:numId w:val="196"/>
        </w:numPr>
        <w:tabs>
          <w:tab w:val="left" w:pos="1768"/>
        </w:tabs>
        <w:spacing w:before="241"/>
        <w:ind w:right="561" w:hanging="719"/>
        <w:jc w:val="left"/>
      </w:pPr>
      <w:r w:rsidRPr="00EC20A0">
        <w:t>As</w:t>
      </w:r>
      <w:r w:rsidRPr="00EC20A0">
        <w:rPr>
          <w:spacing w:val="-1"/>
        </w:rPr>
        <w:t xml:space="preserve"> </w:t>
      </w:r>
      <w:r w:rsidRPr="00EC20A0">
        <w:t>discussed</w:t>
      </w:r>
      <w:r w:rsidRPr="00EC20A0">
        <w:rPr>
          <w:spacing w:val="-1"/>
        </w:rPr>
        <w:t xml:space="preserve"> </w:t>
      </w:r>
      <w:r w:rsidRPr="00EC20A0">
        <w:t>in</w:t>
      </w:r>
      <w:r w:rsidRPr="00EC20A0">
        <w:rPr>
          <w:spacing w:val="-1"/>
        </w:rPr>
        <w:t xml:space="preserve"> </w:t>
      </w:r>
      <w:r w:rsidRPr="00EC20A0">
        <w:t>FAM</w:t>
      </w:r>
      <w:r w:rsidRPr="00EC20A0">
        <w:rPr>
          <w:spacing w:val="-2"/>
        </w:rPr>
        <w:t xml:space="preserve"> </w:t>
      </w:r>
      <w:r w:rsidRPr="00EC20A0">
        <w:t>310.11,</w:t>
      </w:r>
      <w:r w:rsidRPr="00EC20A0">
        <w:rPr>
          <w:spacing w:val="-1"/>
        </w:rPr>
        <w:t xml:space="preserve"> </w:t>
      </w:r>
      <w:r w:rsidRPr="00EC20A0">
        <w:t>the</w:t>
      </w:r>
      <w:r w:rsidRPr="00EC20A0">
        <w:rPr>
          <w:spacing w:val="-1"/>
        </w:rPr>
        <w:t xml:space="preserve"> </w:t>
      </w:r>
      <w:r w:rsidRPr="00EC20A0">
        <w:t>auditor</w:t>
      </w:r>
      <w:r w:rsidRPr="00EC20A0">
        <w:rPr>
          <w:spacing w:val="-1"/>
        </w:rPr>
        <w:t xml:space="preserve"> </w:t>
      </w:r>
      <w:r w:rsidRPr="00EC20A0">
        <w:t>should</w:t>
      </w:r>
      <w:r w:rsidRPr="00EC20A0">
        <w:rPr>
          <w:spacing w:val="-2"/>
        </w:rPr>
        <w:t xml:space="preserve"> </w:t>
      </w:r>
      <w:r w:rsidRPr="00EC20A0">
        <w:t>determine</w:t>
      </w:r>
      <w:r w:rsidRPr="00EC20A0">
        <w:rPr>
          <w:spacing w:val="-1"/>
        </w:rPr>
        <w:t xml:space="preserve"> </w:t>
      </w:r>
      <w:r w:rsidRPr="00EC20A0">
        <w:t>whether</w:t>
      </w:r>
      <w:r w:rsidRPr="00EC20A0">
        <w:rPr>
          <w:spacing w:val="-1"/>
        </w:rPr>
        <w:t xml:space="preserve"> </w:t>
      </w:r>
      <w:r w:rsidRPr="00EC20A0">
        <w:t>the</w:t>
      </w:r>
      <w:r w:rsidRPr="00EC20A0">
        <w:rPr>
          <w:spacing w:val="-1"/>
        </w:rPr>
        <w:t xml:space="preserve"> </w:t>
      </w:r>
      <w:r w:rsidRPr="00EC20A0">
        <w:t>entity has implemented relevant control activities that relate to the services provided by the service organization.</w:t>
      </w:r>
      <w:hyperlink w:anchor="_bookmark23" w:history="1">
        <w:r w:rsidRPr="00EC20A0">
          <w:rPr>
            <w:position w:val="7"/>
            <w:sz w:val="14"/>
          </w:rPr>
          <w:t>17</w:t>
        </w:r>
      </w:hyperlink>
      <w:r w:rsidRPr="00EC20A0">
        <w:rPr>
          <w:spacing w:val="39"/>
          <w:position w:val="7"/>
          <w:sz w:val="14"/>
        </w:rPr>
        <w:t xml:space="preserve"> </w:t>
      </w:r>
      <w:r w:rsidRPr="00EC20A0">
        <w:t xml:space="preserve">The auditor should determine whether a sufficient understanding of the nature and significance of the services provided by the service organization and their effect on the entity’s </w:t>
      </w:r>
      <w:r w:rsidRPr="00EC20A0">
        <w:t>internal control has been obtained to provide an appropriate basis for the identification and assessment of the</w:t>
      </w:r>
      <w:r w:rsidRPr="00EC20A0">
        <w:rPr>
          <w:spacing w:val="-3"/>
        </w:rPr>
        <w:t xml:space="preserve"> </w:t>
      </w:r>
      <w:r w:rsidRPr="00EC20A0">
        <w:t>risks</w:t>
      </w:r>
      <w:r w:rsidRPr="00EC20A0">
        <w:rPr>
          <w:spacing w:val="-4"/>
        </w:rPr>
        <w:t xml:space="preserve"> </w:t>
      </w:r>
      <w:r w:rsidRPr="00EC20A0">
        <w:t>of</w:t>
      </w:r>
      <w:r w:rsidRPr="00EC20A0">
        <w:rPr>
          <w:spacing w:val="-4"/>
        </w:rPr>
        <w:t xml:space="preserve"> </w:t>
      </w:r>
      <w:r w:rsidRPr="00EC20A0">
        <w:t>material</w:t>
      </w:r>
      <w:r w:rsidRPr="00EC20A0">
        <w:rPr>
          <w:spacing w:val="-3"/>
        </w:rPr>
        <w:t xml:space="preserve"> </w:t>
      </w:r>
      <w:r w:rsidRPr="00EC20A0">
        <w:t>misstatement</w:t>
      </w:r>
      <w:r w:rsidRPr="00EC20A0">
        <w:rPr>
          <w:spacing w:val="-3"/>
        </w:rPr>
        <w:t xml:space="preserve"> </w:t>
      </w:r>
      <w:r w:rsidRPr="00EC20A0">
        <w:t>(AU-C</w:t>
      </w:r>
      <w:r w:rsidRPr="00EC20A0">
        <w:rPr>
          <w:spacing w:val="-4"/>
        </w:rPr>
        <w:t xml:space="preserve"> </w:t>
      </w:r>
      <w:r w:rsidRPr="00EC20A0">
        <w:t>402.11).</w:t>
      </w:r>
      <w:r w:rsidRPr="00EC20A0">
        <w:rPr>
          <w:spacing w:val="-3"/>
        </w:rPr>
        <w:t xml:space="preserve"> </w:t>
      </w:r>
      <w:r w:rsidRPr="00EC20A0">
        <w:t>If</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is</w:t>
      </w:r>
      <w:r w:rsidRPr="00EC20A0">
        <w:rPr>
          <w:spacing w:val="-3"/>
        </w:rPr>
        <w:t xml:space="preserve"> </w:t>
      </w:r>
      <w:r w:rsidRPr="00EC20A0">
        <w:t>unable</w:t>
      </w:r>
      <w:r w:rsidRPr="00EC20A0">
        <w:rPr>
          <w:spacing w:val="-3"/>
        </w:rPr>
        <w:t xml:space="preserve"> </w:t>
      </w:r>
      <w:r w:rsidRPr="00EC20A0">
        <w:t>to</w:t>
      </w:r>
      <w:r w:rsidRPr="00EC20A0">
        <w:rPr>
          <w:spacing w:val="-3"/>
        </w:rPr>
        <w:t xml:space="preserve"> </w:t>
      </w:r>
      <w:r w:rsidRPr="00EC20A0">
        <w:t>obtain</w:t>
      </w:r>
    </w:p>
    <w:p w14:paraId="24D60115" w14:textId="77777777" w:rsidR="00245300" w:rsidRPr="00EC20A0" w:rsidRDefault="00245300">
      <w:pPr>
        <w:pStyle w:val="BodyText"/>
        <w:rPr>
          <w:sz w:val="20"/>
        </w:rPr>
      </w:pPr>
    </w:p>
    <w:p w14:paraId="24D60116" w14:textId="77777777" w:rsidR="00245300" w:rsidRPr="00EC20A0" w:rsidRDefault="00F17249">
      <w:pPr>
        <w:pStyle w:val="BodyText"/>
        <w:spacing w:before="147"/>
        <w:rPr>
          <w:sz w:val="20"/>
        </w:rPr>
      </w:pPr>
      <w:r w:rsidRPr="00EC20A0">
        <w:rPr>
          <w:noProof/>
        </w:rPr>
        <mc:AlternateContent>
          <mc:Choice Requires="wps">
            <w:drawing>
              <wp:anchor distT="0" distB="0" distL="0" distR="0" simplePos="0" relativeHeight="487599616" behindDoc="1" locked="0" layoutInCell="1" allowOverlap="1" wp14:anchorId="24D62AE3" wp14:editId="24D62AE4">
                <wp:simplePos x="0" y="0"/>
                <wp:positionH relativeFrom="page">
                  <wp:posOffset>914400</wp:posOffset>
                </wp:positionH>
                <wp:positionV relativeFrom="paragraph">
                  <wp:posOffset>255222</wp:posOffset>
                </wp:positionV>
                <wp:extent cx="1828800" cy="571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E252E9" id="Graphic 119" o:spid="_x0000_s1026" style="position:absolute;margin-left:1in;margin-top:20.1pt;width:2in;height:.4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" path="m1828800,l,,,5321r1828800,l1828800,xe" fillcolor="black" stroked="f">
                <v:path arrowok="t"/>
                <w10:wrap type="topAndBottom" anchorx="page"/>
              </v:shape>
            </w:pict>
          </mc:Fallback>
        </mc:AlternateContent>
      </w:r>
    </w:p>
    <w:p w14:paraId="24D60117" w14:textId="77777777" w:rsidR="00245300" w:rsidRPr="00EC20A0" w:rsidRDefault="00F17249">
      <w:pPr>
        <w:spacing w:before="200" w:line="242" w:lineRule="auto"/>
        <w:ind w:left="417" w:right="527" w:firstLine="2"/>
        <w:rPr>
          <w:sz w:val="18"/>
        </w:rPr>
      </w:pPr>
      <w:bookmarkStart w:id="81" w:name="_bookmark22"/>
      <w:bookmarkEnd w:id="81"/>
      <w:r w:rsidRPr="00EC20A0">
        <w:rPr>
          <w:position w:val="7"/>
          <w:sz w:val="14"/>
        </w:rPr>
        <w:t>16</w:t>
      </w:r>
      <w:r w:rsidRPr="00EC20A0">
        <w:rPr>
          <w:sz w:val="18"/>
        </w:rPr>
        <w:t>Type 1 and type 2 reports focus on controls likely to be relevant to entities’ internal control over financial reporting, issued</w:t>
      </w:r>
      <w:r w:rsidRPr="00EC20A0">
        <w:rPr>
          <w:spacing w:val="-3"/>
          <w:sz w:val="18"/>
        </w:rPr>
        <w:t xml:space="preserve"> </w:t>
      </w:r>
      <w:r w:rsidRPr="00EC20A0">
        <w:rPr>
          <w:sz w:val="18"/>
        </w:rPr>
        <w:t>under</w:t>
      </w:r>
      <w:r w:rsidRPr="00EC20A0">
        <w:rPr>
          <w:spacing w:val="-2"/>
          <w:sz w:val="18"/>
        </w:rPr>
        <w:t xml:space="preserve"> </w:t>
      </w:r>
      <w:r w:rsidRPr="00EC20A0">
        <w:rPr>
          <w:sz w:val="18"/>
        </w:rPr>
        <w:t>AT-C</w:t>
      </w:r>
      <w:r w:rsidRPr="00EC20A0">
        <w:rPr>
          <w:spacing w:val="-2"/>
          <w:sz w:val="18"/>
        </w:rPr>
        <w:t xml:space="preserve"> </w:t>
      </w:r>
      <w:r w:rsidRPr="00EC20A0">
        <w:rPr>
          <w:sz w:val="18"/>
        </w:rPr>
        <w:t>320,</w:t>
      </w:r>
      <w:r w:rsidRPr="00EC20A0">
        <w:rPr>
          <w:spacing w:val="-2"/>
          <w:sz w:val="18"/>
        </w:rPr>
        <w:t xml:space="preserve"> </w:t>
      </w:r>
      <w:r w:rsidRPr="00EC20A0">
        <w:rPr>
          <w:i/>
          <w:sz w:val="18"/>
        </w:rPr>
        <w:t>Reporting</w:t>
      </w:r>
      <w:r w:rsidRPr="00EC20A0">
        <w:rPr>
          <w:i/>
          <w:spacing w:val="-2"/>
          <w:sz w:val="18"/>
        </w:rPr>
        <w:t xml:space="preserve"> </w:t>
      </w:r>
      <w:r w:rsidRPr="00EC20A0">
        <w:rPr>
          <w:i/>
          <w:sz w:val="18"/>
        </w:rPr>
        <w:t>on</w:t>
      </w:r>
      <w:r w:rsidRPr="00EC20A0">
        <w:rPr>
          <w:i/>
          <w:spacing w:val="-3"/>
          <w:sz w:val="18"/>
        </w:rPr>
        <w:t xml:space="preserve"> </w:t>
      </w:r>
      <w:r w:rsidRPr="00EC20A0">
        <w:rPr>
          <w:i/>
          <w:sz w:val="18"/>
        </w:rPr>
        <w:t>an</w:t>
      </w:r>
      <w:r w:rsidRPr="00EC20A0">
        <w:rPr>
          <w:i/>
          <w:spacing w:val="-3"/>
          <w:sz w:val="18"/>
        </w:rPr>
        <w:t xml:space="preserve"> </w:t>
      </w:r>
      <w:r w:rsidRPr="00EC20A0">
        <w:rPr>
          <w:i/>
          <w:sz w:val="18"/>
        </w:rPr>
        <w:t>Examination</w:t>
      </w:r>
      <w:r w:rsidRPr="00EC20A0">
        <w:rPr>
          <w:i/>
          <w:spacing w:val="-3"/>
          <w:sz w:val="18"/>
        </w:rPr>
        <w:t xml:space="preserve"> </w:t>
      </w:r>
      <w:r w:rsidRPr="00EC20A0">
        <w:rPr>
          <w:i/>
          <w:sz w:val="18"/>
        </w:rPr>
        <w:t>of</w:t>
      </w:r>
      <w:r w:rsidRPr="00EC20A0">
        <w:rPr>
          <w:i/>
          <w:spacing w:val="-2"/>
          <w:sz w:val="18"/>
        </w:rPr>
        <w:t xml:space="preserve"> </w:t>
      </w:r>
      <w:r w:rsidRPr="00EC20A0">
        <w:rPr>
          <w:i/>
          <w:sz w:val="18"/>
        </w:rPr>
        <w:t>Controls</w:t>
      </w:r>
      <w:r w:rsidRPr="00EC20A0">
        <w:rPr>
          <w:i/>
          <w:spacing w:val="-2"/>
          <w:sz w:val="18"/>
        </w:rPr>
        <w:t xml:space="preserve"> </w:t>
      </w:r>
      <w:r w:rsidRPr="00EC20A0">
        <w:rPr>
          <w:i/>
          <w:sz w:val="18"/>
        </w:rPr>
        <w:t>at</w:t>
      </w:r>
      <w:r w:rsidRPr="00EC20A0">
        <w:rPr>
          <w:i/>
          <w:spacing w:val="-2"/>
          <w:sz w:val="18"/>
        </w:rPr>
        <w:t xml:space="preserve"> </w:t>
      </w:r>
      <w:r w:rsidRPr="00EC20A0">
        <w:rPr>
          <w:i/>
          <w:sz w:val="18"/>
        </w:rPr>
        <w:t>a</w:t>
      </w:r>
      <w:r w:rsidRPr="00EC20A0">
        <w:rPr>
          <w:i/>
          <w:spacing w:val="-3"/>
          <w:sz w:val="18"/>
        </w:rPr>
        <w:t xml:space="preserve"> </w:t>
      </w:r>
      <w:r w:rsidRPr="00EC20A0">
        <w:rPr>
          <w:i/>
          <w:sz w:val="18"/>
        </w:rPr>
        <w:t>Service</w:t>
      </w:r>
      <w:r w:rsidRPr="00EC20A0">
        <w:rPr>
          <w:i/>
          <w:spacing w:val="-3"/>
          <w:sz w:val="18"/>
        </w:rPr>
        <w:t xml:space="preserve"> </w:t>
      </w:r>
      <w:r w:rsidRPr="00EC20A0">
        <w:rPr>
          <w:i/>
          <w:sz w:val="18"/>
        </w:rPr>
        <w:t>Organization</w:t>
      </w:r>
      <w:r w:rsidRPr="00EC20A0">
        <w:rPr>
          <w:i/>
          <w:spacing w:val="-3"/>
          <w:sz w:val="18"/>
        </w:rPr>
        <w:t xml:space="preserve"> </w:t>
      </w:r>
      <w:r w:rsidRPr="00EC20A0">
        <w:rPr>
          <w:i/>
          <w:sz w:val="18"/>
        </w:rPr>
        <w:t>Relevant</w:t>
      </w:r>
      <w:r w:rsidRPr="00EC20A0">
        <w:rPr>
          <w:i/>
          <w:spacing w:val="-2"/>
          <w:sz w:val="18"/>
        </w:rPr>
        <w:t xml:space="preserve"> </w:t>
      </w:r>
      <w:r w:rsidRPr="00EC20A0">
        <w:rPr>
          <w:i/>
          <w:sz w:val="18"/>
        </w:rPr>
        <w:t>to</w:t>
      </w:r>
      <w:r w:rsidRPr="00EC20A0">
        <w:rPr>
          <w:i/>
          <w:spacing w:val="-1"/>
          <w:sz w:val="18"/>
        </w:rPr>
        <w:t xml:space="preserve"> </w:t>
      </w:r>
      <w:r w:rsidRPr="00EC20A0">
        <w:rPr>
          <w:i/>
          <w:sz w:val="18"/>
        </w:rPr>
        <w:t>User</w:t>
      </w:r>
      <w:r w:rsidRPr="00EC20A0">
        <w:rPr>
          <w:i/>
          <w:spacing w:val="-2"/>
          <w:sz w:val="18"/>
        </w:rPr>
        <w:t xml:space="preserve"> </w:t>
      </w:r>
      <w:r w:rsidRPr="00EC20A0">
        <w:rPr>
          <w:i/>
          <w:sz w:val="18"/>
        </w:rPr>
        <w:t xml:space="preserve">Entities’ Internal Control Over Financial Reporting. </w:t>
      </w:r>
      <w:r w:rsidRPr="00EC20A0">
        <w:rPr>
          <w:sz w:val="18"/>
        </w:rPr>
        <w:t>There are other types of reports on service organizations that may be available, including reports on controls at a service organization other than those likely to be relevant to entities’ internal control over financial reporting (for example, controls that are relevant to entities’ compliance with specified requirements of laws, regulations, contracts, or grant agreements).</w:t>
      </w:r>
    </w:p>
    <w:p w14:paraId="24D60118" w14:textId="77777777" w:rsidR="00245300" w:rsidRPr="00EC20A0" w:rsidRDefault="00F17249">
      <w:pPr>
        <w:spacing w:before="182" w:line="249" w:lineRule="auto"/>
        <w:ind w:left="419" w:right="562"/>
        <w:rPr>
          <w:sz w:val="18"/>
        </w:rPr>
      </w:pPr>
      <w:bookmarkStart w:id="82" w:name="_bookmark23"/>
      <w:bookmarkEnd w:id="82"/>
      <w:r w:rsidRPr="00EC20A0">
        <w:rPr>
          <w:position w:val="7"/>
          <w:sz w:val="14"/>
        </w:rPr>
        <w:t>17</w:t>
      </w:r>
      <w:r w:rsidRPr="00EC20A0">
        <w:rPr>
          <w:sz w:val="18"/>
        </w:rPr>
        <w:t>“Relevant</w:t>
      </w:r>
      <w:r w:rsidRPr="00EC20A0">
        <w:rPr>
          <w:spacing w:val="-2"/>
          <w:sz w:val="18"/>
        </w:rPr>
        <w:t xml:space="preserve"> </w:t>
      </w:r>
      <w:r w:rsidRPr="00EC20A0">
        <w:rPr>
          <w:sz w:val="18"/>
        </w:rPr>
        <w:t>control</w:t>
      </w:r>
      <w:r w:rsidRPr="00EC20A0">
        <w:rPr>
          <w:spacing w:val="-2"/>
          <w:sz w:val="18"/>
        </w:rPr>
        <w:t xml:space="preserve"> </w:t>
      </w:r>
      <w:r w:rsidRPr="00EC20A0">
        <w:rPr>
          <w:sz w:val="18"/>
        </w:rPr>
        <w:t>activities”</w:t>
      </w:r>
      <w:r w:rsidRPr="00EC20A0">
        <w:rPr>
          <w:spacing w:val="-2"/>
          <w:sz w:val="18"/>
        </w:rPr>
        <w:t xml:space="preserve"> </w:t>
      </w:r>
      <w:r w:rsidRPr="00EC20A0">
        <w:rPr>
          <w:sz w:val="18"/>
        </w:rPr>
        <w:t>as</w:t>
      </w:r>
      <w:r w:rsidRPr="00EC20A0">
        <w:rPr>
          <w:spacing w:val="-1"/>
          <w:sz w:val="18"/>
        </w:rPr>
        <w:t xml:space="preserve"> </w:t>
      </w:r>
      <w:r w:rsidRPr="00EC20A0">
        <w:rPr>
          <w:sz w:val="18"/>
        </w:rPr>
        <w:t>used</w:t>
      </w:r>
      <w:r w:rsidRPr="00EC20A0">
        <w:rPr>
          <w:spacing w:val="-3"/>
          <w:sz w:val="18"/>
        </w:rPr>
        <w:t xml:space="preserve"> </w:t>
      </w:r>
      <w:r w:rsidRPr="00EC20A0">
        <w:rPr>
          <w:sz w:val="18"/>
        </w:rPr>
        <w:t>in</w:t>
      </w:r>
      <w:r w:rsidRPr="00EC20A0">
        <w:rPr>
          <w:spacing w:val="-3"/>
          <w:sz w:val="18"/>
        </w:rPr>
        <w:t xml:space="preserve"> </w:t>
      </w:r>
      <w:r w:rsidRPr="00EC20A0">
        <w:rPr>
          <w:sz w:val="18"/>
        </w:rPr>
        <w:t>the</w:t>
      </w:r>
      <w:r w:rsidRPr="00EC20A0">
        <w:rPr>
          <w:spacing w:val="-3"/>
          <w:sz w:val="18"/>
        </w:rPr>
        <w:t xml:space="preserve"> </w:t>
      </w:r>
      <w:r w:rsidRPr="00EC20A0">
        <w:rPr>
          <w:sz w:val="18"/>
        </w:rPr>
        <w:t>FAM</w:t>
      </w:r>
      <w:r w:rsidRPr="00EC20A0">
        <w:rPr>
          <w:spacing w:val="-2"/>
          <w:sz w:val="18"/>
        </w:rPr>
        <w:t xml:space="preserve"> </w:t>
      </w:r>
      <w:r w:rsidRPr="00EC20A0">
        <w:rPr>
          <w:sz w:val="18"/>
        </w:rPr>
        <w:t>are</w:t>
      </w:r>
      <w:r w:rsidRPr="00EC20A0">
        <w:rPr>
          <w:spacing w:val="-3"/>
          <w:sz w:val="18"/>
        </w:rPr>
        <w:t xml:space="preserve"> </w:t>
      </w:r>
      <w:r w:rsidRPr="00EC20A0">
        <w:rPr>
          <w:sz w:val="18"/>
        </w:rPr>
        <w:t>referred</w:t>
      </w:r>
      <w:r w:rsidRPr="00EC20A0">
        <w:rPr>
          <w:spacing w:val="-1"/>
          <w:sz w:val="18"/>
        </w:rPr>
        <w:t xml:space="preserve"> </w:t>
      </w:r>
      <w:r w:rsidRPr="00EC20A0">
        <w:rPr>
          <w:sz w:val="18"/>
        </w:rPr>
        <w:t>to</w:t>
      </w:r>
      <w:r w:rsidRPr="00EC20A0">
        <w:rPr>
          <w:spacing w:val="-3"/>
          <w:sz w:val="18"/>
        </w:rPr>
        <w:t xml:space="preserve"> </w:t>
      </w:r>
      <w:r w:rsidRPr="00EC20A0">
        <w:rPr>
          <w:sz w:val="18"/>
        </w:rPr>
        <w:t>as</w:t>
      </w:r>
      <w:r w:rsidRPr="00EC20A0">
        <w:rPr>
          <w:spacing w:val="-2"/>
          <w:sz w:val="18"/>
        </w:rPr>
        <w:t xml:space="preserve"> </w:t>
      </w:r>
      <w:r w:rsidRPr="00EC20A0">
        <w:rPr>
          <w:sz w:val="18"/>
        </w:rPr>
        <w:t>identified</w:t>
      </w:r>
      <w:r w:rsidRPr="00EC20A0">
        <w:rPr>
          <w:spacing w:val="-1"/>
          <w:sz w:val="18"/>
        </w:rPr>
        <w:t xml:space="preserve"> </w:t>
      </w:r>
      <w:r w:rsidRPr="00EC20A0">
        <w:rPr>
          <w:sz w:val="18"/>
        </w:rPr>
        <w:t>controls</w:t>
      </w:r>
      <w:r w:rsidRPr="00EC20A0">
        <w:rPr>
          <w:spacing w:val="-2"/>
          <w:sz w:val="18"/>
        </w:rPr>
        <w:t xml:space="preserve"> </w:t>
      </w:r>
      <w:r w:rsidRPr="00EC20A0">
        <w:rPr>
          <w:sz w:val="18"/>
        </w:rPr>
        <w:t>or</w:t>
      </w:r>
      <w:r w:rsidRPr="00EC20A0">
        <w:rPr>
          <w:spacing w:val="-2"/>
          <w:sz w:val="18"/>
        </w:rPr>
        <w:t xml:space="preserve"> </w:t>
      </w:r>
      <w:r w:rsidRPr="00EC20A0">
        <w:rPr>
          <w:sz w:val="18"/>
        </w:rPr>
        <w:t>controls</w:t>
      </w:r>
      <w:r w:rsidRPr="00EC20A0">
        <w:rPr>
          <w:spacing w:val="-2"/>
          <w:sz w:val="18"/>
        </w:rPr>
        <w:t xml:space="preserve"> </w:t>
      </w:r>
      <w:r w:rsidRPr="00EC20A0">
        <w:rPr>
          <w:sz w:val="18"/>
        </w:rPr>
        <w:t>that</w:t>
      </w:r>
      <w:r w:rsidRPr="00EC20A0">
        <w:rPr>
          <w:spacing w:val="-2"/>
          <w:sz w:val="18"/>
        </w:rPr>
        <w:t xml:space="preserve"> </w:t>
      </w:r>
      <w:r w:rsidRPr="00EC20A0">
        <w:rPr>
          <w:sz w:val="18"/>
        </w:rPr>
        <w:t>address</w:t>
      </w:r>
      <w:r w:rsidRPr="00EC20A0">
        <w:rPr>
          <w:spacing w:val="-2"/>
          <w:sz w:val="18"/>
        </w:rPr>
        <w:t xml:space="preserve"> </w:t>
      </w:r>
      <w:r w:rsidRPr="00EC20A0">
        <w:rPr>
          <w:sz w:val="18"/>
        </w:rPr>
        <w:t>the risks of material misstatement at the assertion level in AU-C 315.</w:t>
      </w:r>
    </w:p>
    <w:p w14:paraId="24D60119" w14:textId="77777777" w:rsidR="00245300" w:rsidRPr="00EC20A0" w:rsidRDefault="00245300">
      <w:pPr>
        <w:spacing w:line="249" w:lineRule="auto"/>
        <w:rPr>
          <w:sz w:val="18"/>
        </w:rPr>
        <w:sectPr w:rsidR="00245300" w:rsidRPr="00EC20A0">
          <w:pgSz w:w="12240" w:h="15840"/>
          <w:pgMar w:top="1340" w:right="940" w:bottom="940" w:left="1020" w:header="721" w:footer="757" w:gutter="0"/>
          <w:cols w:space="720"/>
        </w:sectPr>
      </w:pPr>
    </w:p>
    <w:p w14:paraId="24D6011A" w14:textId="77777777" w:rsidR="00245300" w:rsidRPr="00EC20A0" w:rsidRDefault="00F17249">
      <w:pPr>
        <w:pStyle w:val="BodyText"/>
        <w:spacing w:before="121"/>
        <w:ind w:left="1770" w:right="562" w:hanging="1"/>
      </w:pPr>
      <w:r w:rsidRPr="00EC20A0">
        <w:t>a sufficient understanding from the entity, the auditor should obtain that understanding</w:t>
      </w:r>
      <w:r w:rsidRPr="00EC20A0">
        <w:rPr>
          <w:spacing w:val="-4"/>
        </w:rPr>
        <w:t xml:space="preserve"> </w:t>
      </w:r>
      <w:r w:rsidRPr="00EC20A0">
        <w:t>from</w:t>
      </w:r>
      <w:r w:rsidRPr="00EC20A0">
        <w:rPr>
          <w:spacing w:val="-5"/>
        </w:rPr>
        <w:t xml:space="preserve"> </w:t>
      </w:r>
      <w:r w:rsidRPr="00EC20A0">
        <w:t>one</w:t>
      </w:r>
      <w:r w:rsidRPr="00EC20A0">
        <w:rPr>
          <w:spacing w:val="-4"/>
        </w:rPr>
        <w:t xml:space="preserve"> </w:t>
      </w:r>
      <w:r w:rsidRPr="00EC20A0">
        <w:t>or</w:t>
      </w:r>
      <w:r w:rsidRPr="00EC20A0">
        <w:rPr>
          <w:spacing w:val="-4"/>
        </w:rPr>
        <w:t xml:space="preserve"> </w:t>
      </w:r>
      <w:r w:rsidRPr="00EC20A0">
        <w:t>more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following</w:t>
      </w:r>
      <w:r w:rsidRPr="00EC20A0">
        <w:rPr>
          <w:spacing w:val="-5"/>
        </w:rPr>
        <w:t xml:space="preserve"> </w:t>
      </w:r>
      <w:r w:rsidRPr="00EC20A0">
        <w:t>procedures</w:t>
      </w:r>
      <w:r w:rsidRPr="00EC20A0">
        <w:rPr>
          <w:spacing w:val="-5"/>
        </w:rPr>
        <w:t xml:space="preserve"> </w:t>
      </w:r>
      <w:r w:rsidRPr="00EC20A0">
        <w:t>(AU-C</w:t>
      </w:r>
      <w:r w:rsidRPr="00EC20A0">
        <w:rPr>
          <w:spacing w:val="-4"/>
        </w:rPr>
        <w:t xml:space="preserve"> </w:t>
      </w:r>
      <w:r w:rsidRPr="00EC20A0">
        <w:t>402.12):</w:t>
      </w:r>
    </w:p>
    <w:p w14:paraId="24D6011B" w14:textId="77777777" w:rsidR="00245300" w:rsidRPr="00EC20A0" w:rsidRDefault="00F17249">
      <w:pPr>
        <w:pStyle w:val="ListParagraph"/>
        <w:numPr>
          <w:ilvl w:val="1"/>
          <w:numId w:val="196"/>
        </w:numPr>
        <w:tabs>
          <w:tab w:val="left" w:pos="2219"/>
        </w:tabs>
        <w:ind w:left="2219" w:hanging="359"/>
      </w:pPr>
      <w:r w:rsidRPr="00EC20A0">
        <w:t>obtaining</w:t>
      </w:r>
      <w:r w:rsidRPr="00EC20A0">
        <w:rPr>
          <w:spacing w:val="-5"/>
        </w:rPr>
        <w:t xml:space="preserve"> </w:t>
      </w:r>
      <w:r w:rsidRPr="00EC20A0">
        <w:t>and</w:t>
      </w:r>
      <w:r w:rsidRPr="00EC20A0">
        <w:rPr>
          <w:spacing w:val="-4"/>
        </w:rPr>
        <w:t xml:space="preserve"> </w:t>
      </w:r>
      <w:r w:rsidRPr="00EC20A0">
        <w:t>reading</w:t>
      </w:r>
      <w:r w:rsidRPr="00EC20A0">
        <w:rPr>
          <w:spacing w:val="-4"/>
        </w:rPr>
        <w:t xml:space="preserve"> </w:t>
      </w:r>
      <w:r w:rsidRPr="00EC20A0">
        <w:t>a</w:t>
      </w:r>
      <w:r w:rsidRPr="00EC20A0">
        <w:rPr>
          <w:spacing w:val="-4"/>
        </w:rPr>
        <w:t xml:space="preserve"> </w:t>
      </w:r>
      <w:r w:rsidRPr="00EC20A0">
        <w:t>type</w:t>
      </w:r>
      <w:r w:rsidRPr="00EC20A0">
        <w:rPr>
          <w:spacing w:val="-4"/>
        </w:rPr>
        <w:t xml:space="preserve"> </w:t>
      </w:r>
      <w:r w:rsidRPr="00EC20A0">
        <w:t>1</w:t>
      </w:r>
      <w:r w:rsidRPr="00EC20A0">
        <w:rPr>
          <w:spacing w:val="-4"/>
        </w:rPr>
        <w:t xml:space="preserve"> </w:t>
      </w:r>
      <w:r w:rsidRPr="00EC20A0">
        <w:t>or</w:t>
      </w:r>
      <w:r w:rsidRPr="00EC20A0">
        <w:rPr>
          <w:spacing w:val="-4"/>
        </w:rPr>
        <w:t xml:space="preserve"> </w:t>
      </w:r>
      <w:r w:rsidRPr="00EC20A0">
        <w:t>type</w:t>
      </w:r>
      <w:r w:rsidRPr="00EC20A0">
        <w:rPr>
          <w:spacing w:val="-5"/>
        </w:rPr>
        <w:t xml:space="preserve"> </w:t>
      </w:r>
      <w:r w:rsidRPr="00EC20A0">
        <w:t>2</w:t>
      </w:r>
      <w:r w:rsidRPr="00EC20A0">
        <w:rPr>
          <w:spacing w:val="-4"/>
        </w:rPr>
        <w:t xml:space="preserve"> </w:t>
      </w:r>
      <w:r w:rsidRPr="00EC20A0">
        <w:t>report,</w:t>
      </w:r>
      <w:r w:rsidRPr="00EC20A0">
        <w:rPr>
          <w:spacing w:val="-4"/>
        </w:rPr>
        <w:t xml:space="preserve"> </w:t>
      </w:r>
      <w:r w:rsidRPr="00EC20A0">
        <w:t>if</w:t>
      </w:r>
      <w:r w:rsidRPr="00EC20A0">
        <w:rPr>
          <w:spacing w:val="-5"/>
        </w:rPr>
        <w:t xml:space="preserve"> </w:t>
      </w:r>
      <w:r w:rsidRPr="00EC20A0">
        <w:rPr>
          <w:spacing w:val="-2"/>
        </w:rPr>
        <w:t>available;</w:t>
      </w:r>
    </w:p>
    <w:p w14:paraId="24D6011C" w14:textId="77777777" w:rsidR="00245300" w:rsidRPr="00EC20A0" w:rsidRDefault="00F17249">
      <w:pPr>
        <w:pStyle w:val="ListParagraph"/>
        <w:numPr>
          <w:ilvl w:val="1"/>
          <w:numId w:val="196"/>
        </w:numPr>
        <w:tabs>
          <w:tab w:val="left" w:pos="2219"/>
        </w:tabs>
        <w:spacing w:before="239"/>
        <w:ind w:left="2219" w:right="1087"/>
      </w:pPr>
      <w:r w:rsidRPr="00EC20A0">
        <w:t>contacting</w:t>
      </w:r>
      <w:r w:rsidRPr="00EC20A0">
        <w:rPr>
          <w:spacing w:val="-4"/>
        </w:rPr>
        <w:t xml:space="preserve"> </w:t>
      </w:r>
      <w:r w:rsidRPr="00EC20A0">
        <w:t>the</w:t>
      </w:r>
      <w:r w:rsidRPr="00EC20A0">
        <w:rPr>
          <w:spacing w:val="-4"/>
        </w:rPr>
        <w:t xml:space="preserve"> </w:t>
      </w:r>
      <w:r w:rsidRPr="00EC20A0">
        <w:t>service</w:t>
      </w:r>
      <w:r w:rsidRPr="00EC20A0">
        <w:rPr>
          <w:spacing w:val="-5"/>
        </w:rPr>
        <w:t xml:space="preserve"> </w:t>
      </w:r>
      <w:r w:rsidRPr="00EC20A0">
        <w:t>organization,</w:t>
      </w:r>
      <w:r w:rsidRPr="00EC20A0">
        <w:rPr>
          <w:spacing w:val="-5"/>
        </w:rPr>
        <w:t xml:space="preserve"> </w:t>
      </w:r>
      <w:r w:rsidRPr="00EC20A0">
        <w:t>through</w:t>
      </w:r>
      <w:r w:rsidRPr="00EC20A0">
        <w:rPr>
          <w:spacing w:val="-4"/>
        </w:rPr>
        <w:t xml:space="preserve"> </w:t>
      </w:r>
      <w:r w:rsidRPr="00EC20A0">
        <w:t>the</w:t>
      </w:r>
      <w:r w:rsidRPr="00EC20A0">
        <w:rPr>
          <w:spacing w:val="-5"/>
        </w:rPr>
        <w:t xml:space="preserve"> </w:t>
      </w:r>
      <w:r w:rsidRPr="00EC20A0">
        <w:t>entity,</w:t>
      </w:r>
      <w:r w:rsidRPr="00EC20A0">
        <w:rPr>
          <w:spacing w:val="-4"/>
        </w:rPr>
        <w:t xml:space="preserve"> </w:t>
      </w:r>
      <w:r w:rsidRPr="00EC20A0">
        <w:t>to</w:t>
      </w:r>
      <w:r w:rsidRPr="00EC20A0">
        <w:rPr>
          <w:spacing w:val="-4"/>
        </w:rPr>
        <w:t xml:space="preserve"> </w:t>
      </w:r>
      <w:r w:rsidRPr="00EC20A0">
        <w:t>obtain</w:t>
      </w:r>
      <w:r w:rsidRPr="00EC20A0">
        <w:rPr>
          <w:spacing w:val="-4"/>
        </w:rPr>
        <w:t xml:space="preserve"> </w:t>
      </w:r>
      <w:r w:rsidRPr="00EC20A0">
        <w:t xml:space="preserve">specific </w:t>
      </w:r>
      <w:r w:rsidRPr="00EC20A0">
        <w:rPr>
          <w:spacing w:val="-2"/>
        </w:rPr>
        <w:t>information;</w:t>
      </w:r>
    </w:p>
    <w:p w14:paraId="24D6011D" w14:textId="77777777" w:rsidR="00245300" w:rsidRPr="00EC20A0" w:rsidRDefault="00F17249">
      <w:pPr>
        <w:pStyle w:val="ListParagraph"/>
        <w:numPr>
          <w:ilvl w:val="1"/>
          <w:numId w:val="196"/>
        </w:numPr>
        <w:tabs>
          <w:tab w:val="left" w:pos="2218"/>
        </w:tabs>
        <w:spacing w:before="241"/>
        <w:ind w:left="2218" w:right="721"/>
      </w:pPr>
      <w:r w:rsidRPr="00EC20A0">
        <w:t>visiting</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organization</w:t>
      </w:r>
      <w:r w:rsidRPr="00EC20A0">
        <w:rPr>
          <w:spacing w:val="-4"/>
        </w:rPr>
        <w:t xml:space="preserve"> </w:t>
      </w:r>
      <w:r w:rsidRPr="00EC20A0">
        <w:t>and</w:t>
      </w:r>
      <w:r w:rsidRPr="00EC20A0">
        <w:rPr>
          <w:spacing w:val="-5"/>
        </w:rPr>
        <w:t xml:space="preserve"> </w:t>
      </w:r>
      <w:r w:rsidRPr="00EC20A0">
        <w:t>performing</w:t>
      </w:r>
      <w:r w:rsidRPr="00EC20A0">
        <w:rPr>
          <w:spacing w:val="-4"/>
        </w:rPr>
        <w:t xml:space="preserve"> </w:t>
      </w:r>
      <w:r w:rsidRPr="00EC20A0">
        <w:t>procedures</w:t>
      </w:r>
      <w:r w:rsidRPr="00EC20A0">
        <w:rPr>
          <w:spacing w:val="-4"/>
        </w:rPr>
        <w:t xml:space="preserve"> </w:t>
      </w:r>
      <w:r w:rsidRPr="00EC20A0">
        <w:t>that</w:t>
      </w:r>
      <w:r w:rsidRPr="00EC20A0">
        <w:rPr>
          <w:spacing w:val="-4"/>
        </w:rPr>
        <w:t xml:space="preserve"> </w:t>
      </w:r>
      <w:r w:rsidRPr="00EC20A0">
        <w:t>will</w:t>
      </w:r>
      <w:r w:rsidRPr="00EC20A0">
        <w:rPr>
          <w:spacing w:val="-4"/>
        </w:rPr>
        <w:t xml:space="preserve"> </w:t>
      </w:r>
      <w:r w:rsidRPr="00EC20A0">
        <w:t>provide the necessary information about the relevant controls at the service organization; or</w:t>
      </w:r>
    </w:p>
    <w:p w14:paraId="24D6011E" w14:textId="77777777" w:rsidR="00245300" w:rsidRPr="00EC20A0" w:rsidRDefault="00F17249">
      <w:pPr>
        <w:pStyle w:val="ListParagraph"/>
        <w:numPr>
          <w:ilvl w:val="1"/>
          <w:numId w:val="196"/>
        </w:numPr>
        <w:tabs>
          <w:tab w:val="left" w:pos="2218"/>
        </w:tabs>
        <w:spacing w:before="239"/>
        <w:ind w:left="2218" w:right="760"/>
      </w:pPr>
      <w:r w:rsidRPr="00EC20A0">
        <w:t>using</w:t>
      </w:r>
      <w:r w:rsidRPr="00EC20A0">
        <w:rPr>
          <w:spacing w:val="-4"/>
        </w:rPr>
        <w:t xml:space="preserve"> </w:t>
      </w:r>
      <w:r w:rsidRPr="00EC20A0">
        <w:t>another</w:t>
      </w:r>
      <w:r w:rsidRPr="00EC20A0">
        <w:rPr>
          <w:spacing w:val="-4"/>
        </w:rPr>
        <w:t xml:space="preserve"> </w:t>
      </w:r>
      <w:r w:rsidRPr="00EC20A0">
        <w:t>auditor</w:t>
      </w:r>
      <w:r w:rsidRPr="00EC20A0">
        <w:rPr>
          <w:spacing w:val="-4"/>
        </w:rPr>
        <w:t xml:space="preserve"> </w:t>
      </w:r>
      <w:r w:rsidRPr="00EC20A0">
        <w:t>to</w:t>
      </w:r>
      <w:r w:rsidRPr="00EC20A0">
        <w:rPr>
          <w:spacing w:val="-5"/>
        </w:rPr>
        <w:t xml:space="preserve"> </w:t>
      </w:r>
      <w:r w:rsidRPr="00EC20A0">
        <w:t>perform</w:t>
      </w:r>
      <w:r w:rsidRPr="00EC20A0">
        <w:rPr>
          <w:spacing w:val="-5"/>
        </w:rPr>
        <w:t xml:space="preserve"> </w:t>
      </w:r>
      <w:r w:rsidRPr="00EC20A0">
        <w:t>procedures</w:t>
      </w:r>
      <w:r w:rsidRPr="00EC20A0">
        <w:rPr>
          <w:spacing w:val="-4"/>
        </w:rPr>
        <w:t xml:space="preserve"> </w:t>
      </w:r>
      <w:r w:rsidRPr="00EC20A0">
        <w:t>that</w:t>
      </w:r>
      <w:r w:rsidRPr="00EC20A0">
        <w:rPr>
          <w:spacing w:val="-5"/>
        </w:rPr>
        <w:t xml:space="preserve"> </w:t>
      </w:r>
      <w:r w:rsidRPr="00EC20A0">
        <w:t>will</w:t>
      </w:r>
      <w:r w:rsidRPr="00EC20A0">
        <w:rPr>
          <w:spacing w:val="-4"/>
        </w:rPr>
        <w:t xml:space="preserve"> </w:t>
      </w:r>
      <w:r w:rsidRPr="00EC20A0">
        <w:t>provide</w:t>
      </w:r>
      <w:r w:rsidRPr="00EC20A0">
        <w:rPr>
          <w:spacing w:val="-5"/>
        </w:rPr>
        <w:t xml:space="preserve"> </w:t>
      </w:r>
      <w:r w:rsidRPr="00EC20A0">
        <w:t>the</w:t>
      </w:r>
      <w:r w:rsidRPr="00EC20A0">
        <w:rPr>
          <w:spacing w:val="-4"/>
        </w:rPr>
        <w:t xml:space="preserve"> </w:t>
      </w:r>
      <w:r w:rsidRPr="00EC20A0">
        <w:t>necessary information about the relevant controls at the service organization.</w:t>
      </w:r>
    </w:p>
    <w:p w14:paraId="24D6011F" w14:textId="77777777" w:rsidR="00245300" w:rsidRPr="00EC20A0" w:rsidRDefault="00F17249">
      <w:pPr>
        <w:pStyle w:val="ListParagraph"/>
        <w:numPr>
          <w:ilvl w:val="0"/>
          <w:numId w:val="196"/>
        </w:numPr>
        <w:tabs>
          <w:tab w:val="left" w:pos="1858"/>
        </w:tabs>
        <w:spacing w:before="241"/>
        <w:ind w:left="1858" w:right="519" w:hanging="720"/>
        <w:jc w:val="left"/>
      </w:pPr>
      <w:r w:rsidRPr="00EC20A0">
        <w:t>As discussed in FAM</w:t>
      </w:r>
      <w:r w:rsidRPr="00EC20A0">
        <w:rPr>
          <w:spacing w:val="-1"/>
        </w:rPr>
        <w:t xml:space="preserve"> </w:t>
      </w:r>
      <w:r w:rsidRPr="00EC20A0">
        <w:t>640.08, the auditor generally should</w:t>
      </w:r>
      <w:r w:rsidRPr="00EC20A0">
        <w:rPr>
          <w:spacing w:val="-1"/>
        </w:rPr>
        <w:t xml:space="preserve"> </w:t>
      </w:r>
      <w:r w:rsidRPr="00EC20A0">
        <w:t>obtain and read a type 1 or type 2 report, if available. The auditor may determine that additional procedures</w:t>
      </w:r>
      <w:r w:rsidRPr="00EC20A0">
        <w:rPr>
          <w:spacing w:val="-4"/>
        </w:rPr>
        <w:t xml:space="preserve"> </w:t>
      </w:r>
      <w:r w:rsidRPr="00EC20A0">
        <w:t>are</w:t>
      </w:r>
      <w:r w:rsidRPr="00EC20A0">
        <w:rPr>
          <w:spacing w:val="-3"/>
        </w:rPr>
        <w:t xml:space="preserve"> </w:t>
      </w:r>
      <w:r w:rsidRPr="00EC20A0">
        <w:t>necessary</w:t>
      </w:r>
      <w:r w:rsidRPr="00EC20A0">
        <w:rPr>
          <w:spacing w:val="-3"/>
        </w:rPr>
        <w:t xml:space="preserve"> </w:t>
      </w:r>
      <w:r w:rsidRPr="00EC20A0">
        <w:t>based</w:t>
      </w:r>
      <w:r w:rsidRPr="00EC20A0">
        <w:rPr>
          <w:spacing w:val="-3"/>
        </w:rPr>
        <w:t xml:space="preserve"> </w:t>
      </w:r>
      <w:r w:rsidRPr="00EC20A0">
        <w:t>on</w:t>
      </w:r>
      <w:r w:rsidRPr="00EC20A0">
        <w:rPr>
          <w:spacing w:val="-4"/>
        </w:rPr>
        <w:t xml:space="preserve"> </w:t>
      </w:r>
      <w:r w:rsidRPr="00EC20A0">
        <w:t>reading</w:t>
      </w:r>
      <w:r w:rsidRPr="00EC20A0">
        <w:rPr>
          <w:spacing w:val="-3"/>
        </w:rPr>
        <w:t xml:space="preserve"> </w:t>
      </w:r>
      <w:r w:rsidRPr="00EC20A0">
        <w:t>the</w:t>
      </w:r>
      <w:r w:rsidRPr="00EC20A0">
        <w:rPr>
          <w:spacing w:val="-4"/>
        </w:rPr>
        <w:t xml:space="preserve"> </w:t>
      </w:r>
      <w:r w:rsidRPr="00EC20A0">
        <w:t>report.</w:t>
      </w:r>
      <w:r w:rsidRPr="00EC20A0">
        <w:rPr>
          <w:spacing w:val="-3"/>
        </w:rPr>
        <w:t xml:space="preserve"> </w:t>
      </w:r>
      <w:r w:rsidRPr="00EC20A0">
        <w:t>If</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plans</w:t>
      </w:r>
      <w:r w:rsidRPr="00EC20A0">
        <w:rPr>
          <w:spacing w:val="-3"/>
        </w:rPr>
        <w:t xml:space="preserve"> </w:t>
      </w:r>
      <w:r w:rsidRPr="00EC20A0">
        <w:t>to</w:t>
      </w:r>
      <w:r w:rsidRPr="00EC20A0">
        <w:rPr>
          <w:spacing w:val="-3"/>
        </w:rPr>
        <w:t xml:space="preserve"> </w:t>
      </w:r>
      <w:r w:rsidRPr="00EC20A0">
        <w:t>use a type</w:t>
      </w:r>
      <w:r w:rsidRPr="00EC20A0">
        <w:rPr>
          <w:spacing w:val="-1"/>
        </w:rPr>
        <w:t xml:space="preserve"> </w:t>
      </w:r>
      <w:r w:rsidRPr="00EC20A0">
        <w:t>1 or</w:t>
      </w:r>
      <w:r w:rsidRPr="00EC20A0">
        <w:rPr>
          <w:spacing w:val="-1"/>
        </w:rPr>
        <w:t xml:space="preserve"> </w:t>
      </w:r>
      <w:r w:rsidRPr="00EC20A0">
        <w:t>type 2</w:t>
      </w:r>
      <w:r w:rsidRPr="00EC20A0">
        <w:rPr>
          <w:spacing w:val="-1"/>
        </w:rPr>
        <w:t xml:space="preserve"> </w:t>
      </w:r>
      <w:r w:rsidRPr="00EC20A0">
        <w:t>report</w:t>
      </w:r>
      <w:r w:rsidRPr="00EC20A0">
        <w:rPr>
          <w:spacing w:val="-1"/>
        </w:rPr>
        <w:t xml:space="preserve"> </w:t>
      </w:r>
      <w:r w:rsidRPr="00EC20A0">
        <w:t>as</w:t>
      </w:r>
      <w:r w:rsidRPr="00EC20A0">
        <w:rPr>
          <w:spacing w:val="-1"/>
        </w:rPr>
        <w:t xml:space="preserve"> </w:t>
      </w:r>
      <w:r w:rsidRPr="00EC20A0">
        <w:t>audit evidence</w:t>
      </w:r>
      <w:r w:rsidRPr="00EC20A0">
        <w:rPr>
          <w:spacing w:val="-1"/>
        </w:rPr>
        <w:t xml:space="preserve"> </w:t>
      </w:r>
      <w:r w:rsidRPr="00EC20A0">
        <w:t>to support</w:t>
      </w:r>
      <w:r w:rsidRPr="00EC20A0">
        <w:rPr>
          <w:spacing w:val="-1"/>
        </w:rPr>
        <w:t xml:space="preserve"> </w:t>
      </w:r>
      <w:r w:rsidRPr="00EC20A0">
        <w:t>the auditor’s</w:t>
      </w:r>
      <w:r w:rsidRPr="00EC20A0">
        <w:rPr>
          <w:spacing w:val="-1"/>
        </w:rPr>
        <w:t xml:space="preserve"> </w:t>
      </w:r>
      <w:r w:rsidRPr="00EC20A0">
        <w:t>understanding about the design and implementation of relevant controls at the service organization, the auditor should</w:t>
      </w:r>
    </w:p>
    <w:p w14:paraId="24D60120" w14:textId="77777777" w:rsidR="00245300" w:rsidRPr="00EC20A0" w:rsidRDefault="00F17249">
      <w:pPr>
        <w:pStyle w:val="ListParagraph"/>
        <w:numPr>
          <w:ilvl w:val="1"/>
          <w:numId w:val="196"/>
        </w:numPr>
        <w:tabs>
          <w:tab w:val="left" w:pos="2216"/>
          <w:tab w:val="left" w:pos="2218"/>
        </w:tabs>
        <w:ind w:left="2218" w:right="759" w:hanging="361"/>
      </w:pPr>
      <w:r w:rsidRPr="00EC20A0">
        <w:t>evaluate</w:t>
      </w:r>
      <w:r w:rsidRPr="00EC20A0">
        <w:rPr>
          <w:spacing w:val="-2"/>
        </w:rPr>
        <w:t xml:space="preserve"> </w:t>
      </w:r>
      <w:r w:rsidRPr="00EC20A0">
        <w:t>whether</w:t>
      </w:r>
      <w:r w:rsidRPr="00EC20A0">
        <w:rPr>
          <w:spacing w:val="-2"/>
        </w:rPr>
        <w:t xml:space="preserve"> </w:t>
      </w:r>
      <w:r w:rsidRPr="00EC20A0">
        <w:t>the</w:t>
      </w:r>
      <w:r w:rsidRPr="00EC20A0">
        <w:rPr>
          <w:spacing w:val="-2"/>
        </w:rPr>
        <w:t xml:space="preserve"> </w:t>
      </w:r>
      <w:r w:rsidRPr="00EC20A0">
        <w:t>type</w:t>
      </w:r>
      <w:r w:rsidRPr="00EC20A0">
        <w:rPr>
          <w:spacing w:val="-2"/>
        </w:rPr>
        <w:t xml:space="preserve"> </w:t>
      </w:r>
      <w:r w:rsidRPr="00EC20A0">
        <w:t>1</w:t>
      </w:r>
      <w:r w:rsidRPr="00EC20A0">
        <w:rPr>
          <w:spacing w:val="-2"/>
        </w:rPr>
        <w:t xml:space="preserve"> </w:t>
      </w:r>
      <w:r w:rsidRPr="00EC20A0">
        <w:t>report</w:t>
      </w:r>
      <w:r w:rsidRPr="00EC20A0">
        <w:rPr>
          <w:spacing w:val="-2"/>
        </w:rPr>
        <w:t xml:space="preserve"> </w:t>
      </w:r>
      <w:r w:rsidRPr="00EC20A0">
        <w:t>is</w:t>
      </w:r>
      <w:r w:rsidRPr="00EC20A0">
        <w:rPr>
          <w:spacing w:val="-3"/>
        </w:rPr>
        <w:t xml:space="preserve"> </w:t>
      </w:r>
      <w:r w:rsidRPr="00EC20A0">
        <w:t>as</w:t>
      </w:r>
      <w:r w:rsidRPr="00EC20A0">
        <w:rPr>
          <w:spacing w:val="-2"/>
        </w:rPr>
        <w:t xml:space="preserve"> </w:t>
      </w:r>
      <w:r w:rsidRPr="00EC20A0">
        <w:t>of</w:t>
      </w:r>
      <w:r w:rsidRPr="00EC20A0">
        <w:rPr>
          <w:spacing w:val="-2"/>
        </w:rPr>
        <w:t xml:space="preserve"> </w:t>
      </w:r>
      <w:r w:rsidRPr="00EC20A0">
        <w:t>a</w:t>
      </w:r>
      <w:r w:rsidRPr="00EC20A0">
        <w:rPr>
          <w:spacing w:val="-2"/>
        </w:rPr>
        <w:t xml:space="preserve"> </w:t>
      </w:r>
      <w:r w:rsidRPr="00EC20A0">
        <w:t>date,</w:t>
      </w:r>
      <w:r w:rsidRPr="00EC20A0">
        <w:rPr>
          <w:spacing w:val="-3"/>
        </w:rPr>
        <w:t xml:space="preserve"> </w:t>
      </w:r>
      <w:r w:rsidRPr="00EC20A0">
        <w:t>or</w:t>
      </w:r>
      <w:r w:rsidRPr="00EC20A0">
        <w:rPr>
          <w:spacing w:val="-2"/>
        </w:rPr>
        <w:t xml:space="preserve"> </w:t>
      </w:r>
      <w:r w:rsidRPr="00EC20A0">
        <w:t>in</w:t>
      </w:r>
      <w:r w:rsidRPr="00EC20A0">
        <w:rPr>
          <w:spacing w:val="-2"/>
        </w:rPr>
        <w:t xml:space="preserve"> </w:t>
      </w:r>
      <w:r w:rsidRPr="00EC20A0">
        <w:t>the</w:t>
      </w:r>
      <w:r w:rsidRPr="00EC20A0">
        <w:rPr>
          <w:spacing w:val="-2"/>
        </w:rPr>
        <w:t xml:space="preserve"> </w:t>
      </w:r>
      <w:r w:rsidRPr="00EC20A0">
        <w:t>case</w:t>
      </w:r>
      <w:r w:rsidRPr="00EC20A0">
        <w:rPr>
          <w:spacing w:val="-2"/>
        </w:rPr>
        <w:t xml:space="preserve"> </w:t>
      </w:r>
      <w:r w:rsidRPr="00EC20A0">
        <w:t>of</w:t>
      </w:r>
      <w:r w:rsidRPr="00EC20A0">
        <w:rPr>
          <w:spacing w:val="-2"/>
        </w:rPr>
        <w:t xml:space="preserve"> </w:t>
      </w:r>
      <w:r w:rsidRPr="00EC20A0">
        <w:t>a</w:t>
      </w:r>
      <w:r w:rsidRPr="00EC20A0">
        <w:rPr>
          <w:spacing w:val="-2"/>
        </w:rPr>
        <w:t xml:space="preserve"> </w:t>
      </w:r>
      <w:r w:rsidRPr="00EC20A0">
        <w:t>type</w:t>
      </w:r>
      <w:r w:rsidRPr="00EC20A0">
        <w:rPr>
          <w:spacing w:val="-3"/>
        </w:rPr>
        <w:t xml:space="preserve"> </w:t>
      </w:r>
      <w:r w:rsidRPr="00EC20A0">
        <w:t xml:space="preserve">2 report, is for a </w:t>
      </w:r>
      <w:r w:rsidRPr="00EC20A0">
        <w:t>period that is appropriate for the auditor’s purposes;</w:t>
      </w:r>
    </w:p>
    <w:p w14:paraId="24D60121" w14:textId="77777777" w:rsidR="00245300" w:rsidRPr="00EC20A0" w:rsidRDefault="00F17249">
      <w:pPr>
        <w:pStyle w:val="ListParagraph"/>
        <w:numPr>
          <w:ilvl w:val="1"/>
          <w:numId w:val="196"/>
        </w:numPr>
        <w:tabs>
          <w:tab w:val="left" w:pos="2219"/>
        </w:tabs>
        <w:spacing w:before="239"/>
        <w:ind w:left="2219" w:right="549"/>
      </w:pPr>
      <w:r w:rsidRPr="00EC20A0">
        <w:t>evaluate the</w:t>
      </w:r>
      <w:r w:rsidRPr="00EC20A0">
        <w:rPr>
          <w:spacing w:val="-1"/>
        </w:rPr>
        <w:t xml:space="preserve"> </w:t>
      </w:r>
      <w:r w:rsidRPr="00EC20A0">
        <w:t>sufficiency</w:t>
      </w:r>
      <w:r w:rsidRPr="00EC20A0">
        <w:rPr>
          <w:spacing w:val="-1"/>
        </w:rPr>
        <w:t xml:space="preserve"> </w:t>
      </w:r>
      <w:r w:rsidRPr="00EC20A0">
        <w:t>and appropriateness of the evidence</w:t>
      </w:r>
      <w:r w:rsidRPr="00EC20A0">
        <w:rPr>
          <w:spacing w:val="-1"/>
        </w:rPr>
        <w:t xml:space="preserve"> </w:t>
      </w:r>
      <w:r w:rsidRPr="00EC20A0">
        <w:t>provided by</w:t>
      </w:r>
      <w:r w:rsidRPr="00EC20A0">
        <w:rPr>
          <w:spacing w:val="-1"/>
        </w:rPr>
        <w:t xml:space="preserve"> </w:t>
      </w:r>
      <w:r w:rsidRPr="00EC20A0">
        <w:t>the report</w:t>
      </w:r>
      <w:r w:rsidRPr="00EC20A0">
        <w:rPr>
          <w:spacing w:val="-4"/>
        </w:rPr>
        <w:t xml:space="preserve"> </w:t>
      </w:r>
      <w:r w:rsidRPr="00EC20A0">
        <w:t>for</w:t>
      </w:r>
      <w:r w:rsidRPr="00EC20A0">
        <w:rPr>
          <w:spacing w:val="-4"/>
        </w:rPr>
        <w:t xml:space="preserve"> </w:t>
      </w:r>
      <w:r w:rsidRPr="00EC20A0">
        <w:t>understanding</w:t>
      </w:r>
      <w:r w:rsidRPr="00EC20A0">
        <w:rPr>
          <w:spacing w:val="-5"/>
        </w:rPr>
        <w:t xml:space="preserve"> </w:t>
      </w:r>
      <w:r w:rsidRPr="00EC20A0">
        <w:t>the</w:t>
      </w:r>
      <w:r w:rsidRPr="00EC20A0">
        <w:rPr>
          <w:spacing w:val="-4"/>
        </w:rPr>
        <w:t xml:space="preserve"> </w:t>
      </w:r>
      <w:r w:rsidRPr="00EC20A0">
        <w:t>relevant</w:t>
      </w:r>
      <w:r w:rsidRPr="00EC20A0">
        <w:rPr>
          <w:spacing w:val="-5"/>
        </w:rPr>
        <w:t xml:space="preserve"> </w:t>
      </w:r>
      <w:r w:rsidRPr="00EC20A0">
        <w:t>controls</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service</w:t>
      </w:r>
      <w:r w:rsidRPr="00EC20A0">
        <w:rPr>
          <w:spacing w:val="-5"/>
        </w:rPr>
        <w:t xml:space="preserve"> </w:t>
      </w:r>
      <w:r w:rsidRPr="00EC20A0">
        <w:t>organization;</w:t>
      </w:r>
      <w:r w:rsidRPr="00EC20A0">
        <w:rPr>
          <w:spacing w:val="-5"/>
        </w:rPr>
        <w:t xml:space="preserve"> </w:t>
      </w:r>
      <w:r w:rsidRPr="00EC20A0">
        <w:t>and</w:t>
      </w:r>
    </w:p>
    <w:p w14:paraId="24D60122" w14:textId="77777777" w:rsidR="00245300" w:rsidRPr="00EC20A0" w:rsidRDefault="00F17249">
      <w:pPr>
        <w:pStyle w:val="ListParagraph"/>
        <w:numPr>
          <w:ilvl w:val="1"/>
          <w:numId w:val="196"/>
        </w:numPr>
        <w:tabs>
          <w:tab w:val="left" w:pos="2218"/>
        </w:tabs>
        <w:spacing w:before="241"/>
        <w:ind w:left="2218" w:right="527"/>
      </w:pPr>
      <w:r w:rsidRPr="00EC20A0">
        <w:t>determine whether complementary user entity controls identified by the service</w:t>
      </w:r>
      <w:r w:rsidRPr="00EC20A0">
        <w:rPr>
          <w:spacing w:val="-4"/>
        </w:rPr>
        <w:t xml:space="preserve"> </w:t>
      </w:r>
      <w:r w:rsidRPr="00EC20A0">
        <w:t>organization</w:t>
      </w:r>
      <w:r w:rsidRPr="00EC20A0">
        <w:rPr>
          <w:spacing w:val="-4"/>
        </w:rPr>
        <w:t xml:space="preserve"> </w:t>
      </w:r>
      <w:r w:rsidRPr="00EC20A0">
        <w:t>address</w:t>
      </w:r>
      <w:r w:rsidRPr="00EC20A0">
        <w:rPr>
          <w:spacing w:val="-3"/>
        </w:rPr>
        <w:t xml:space="preserve"> </w:t>
      </w:r>
      <w:r w:rsidRPr="00EC20A0">
        <w:t>the</w:t>
      </w:r>
      <w:r w:rsidRPr="00EC20A0">
        <w:rPr>
          <w:spacing w:val="-4"/>
        </w:rPr>
        <w:t xml:space="preserve"> </w:t>
      </w:r>
      <w:r w:rsidRPr="00EC20A0">
        <w:t>risks</w:t>
      </w:r>
      <w:r w:rsidRPr="00EC20A0">
        <w:rPr>
          <w:spacing w:val="-4"/>
        </w:rPr>
        <w:t xml:space="preserve"> </w:t>
      </w:r>
      <w:r w:rsidRPr="00EC20A0">
        <w:t>of</w:t>
      </w:r>
      <w:r w:rsidRPr="00EC20A0">
        <w:rPr>
          <w:spacing w:val="-4"/>
        </w:rPr>
        <w:t xml:space="preserve"> </w:t>
      </w:r>
      <w:r w:rsidRPr="00EC20A0">
        <w:t>material</w:t>
      </w:r>
      <w:r w:rsidRPr="00EC20A0">
        <w:rPr>
          <w:spacing w:val="-5"/>
        </w:rPr>
        <w:t xml:space="preserve"> </w:t>
      </w:r>
      <w:r w:rsidRPr="00EC20A0">
        <w:t>misstatement</w:t>
      </w:r>
      <w:r w:rsidRPr="00EC20A0">
        <w:rPr>
          <w:spacing w:val="-4"/>
        </w:rPr>
        <w:t xml:space="preserve"> </w:t>
      </w:r>
      <w:r w:rsidRPr="00EC20A0">
        <w:t>relating</w:t>
      </w:r>
      <w:r w:rsidRPr="00EC20A0">
        <w:rPr>
          <w:spacing w:val="-4"/>
        </w:rPr>
        <w:t xml:space="preserve"> </w:t>
      </w:r>
      <w:r w:rsidRPr="00EC20A0">
        <w:t>to</w:t>
      </w:r>
      <w:r w:rsidRPr="00EC20A0">
        <w:rPr>
          <w:spacing w:val="-5"/>
        </w:rPr>
        <w:t xml:space="preserve"> </w:t>
      </w:r>
      <w:r w:rsidRPr="00EC20A0">
        <w:t>the significant assertions in the entity’s financial statements and, if so, obtain an understanding of whether the entity has designed and implemented such controls (AU-C 402.14).</w:t>
      </w:r>
    </w:p>
    <w:p w14:paraId="24D60123" w14:textId="77777777" w:rsidR="00245300" w:rsidRPr="00EC20A0" w:rsidRDefault="00F17249">
      <w:pPr>
        <w:pStyle w:val="Heading4"/>
      </w:pPr>
      <w:bookmarkStart w:id="83" w:name="Evaluate_the_Operating_Effectiveness_of_"/>
      <w:bookmarkEnd w:id="83"/>
      <w:r w:rsidRPr="00EC20A0">
        <w:t>Evaluate</w:t>
      </w:r>
      <w:r w:rsidRPr="00EC20A0">
        <w:rPr>
          <w:spacing w:val="-13"/>
        </w:rPr>
        <w:t xml:space="preserve"> </w:t>
      </w:r>
      <w:r w:rsidRPr="00EC20A0">
        <w:t>the</w:t>
      </w:r>
      <w:r w:rsidRPr="00EC20A0">
        <w:rPr>
          <w:spacing w:val="-12"/>
        </w:rPr>
        <w:t xml:space="preserve"> </w:t>
      </w:r>
      <w:r w:rsidRPr="00EC20A0">
        <w:t>Operating</w:t>
      </w:r>
      <w:r w:rsidRPr="00EC20A0">
        <w:rPr>
          <w:spacing w:val="-13"/>
        </w:rPr>
        <w:t xml:space="preserve"> </w:t>
      </w:r>
      <w:r w:rsidRPr="00EC20A0">
        <w:t>Effectiveness</w:t>
      </w:r>
      <w:r w:rsidRPr="00EC20A0">
        <w:rPr>
          <w:spacing w:val="-12"/>
        </w:rPr>
        <w:t xml:space="preserve"> </w:t>
      </w:r>
      <w:r w:rsidRPr="00EC20A0">
        <w:t>of</w:t>
      </w:r>
      <w:r w:rsidRPr="00EC20A0">
        <w:rPr>
          <w:spacing w:val="-12"/>
        </w:rPr>
        <w:t xml:space="preserve"> </w:t>
      </w:r>
      <w:r w:rsidRPr="00EC20A0">
        <w:rPr>
          <w:spacing w:val="-2"/>
        </w:rPr>
        <w:t>Controls</w:t>
      </w:r>
    </w:p>
    <w:p w14:paraId="24D60124" w14:textId="77777777" w:rsidR="00245300" w:rsidRPr="00EC20A0" w:rsidRDefault="00F17249">
      <w:pPr>
        <w:pStyle w:val="ListParagraph"/>
        <w:numPr>
          <w:ilvl w:val="0"/>
          <w:numId w:val="196"/>
        </w:numPr>
        <w:tabs>
          <w:tab w:val="left" w:pos="1859"/>
        </w:tabs>
        <w:spacing w:before="239"/>
        <w:ind w:left="1859" w:right="589" w:hanging="720"/>
        <w:jc w:val="left"/>
      </w:pPr>
      <w:r w:rsidRPr="00EC20A0">
        <w:t xml:space="preserve">As discussed in FAM 310.04, OMB audit guidance requires the auditor to perform sufficient tests of internal controls that have been suitably designed and implemented to </w:t>
      </w:r>
      <w:r w:rsidRPr="00EC20A0">
        <w:t>support a low level of assessed control risk. When the auditor’s risk</w:t>
      </w:r>
      <w:r w:rsidRPr="00EC20A0">
        <w:rPr>
          <w:spacing w:val="-4"/>
        </w:rPr>
        <w:t xml:space="preserve"> </w:t>
      </w:r>
      <w:r w:rsidRPr="00EC20A0">
        <w:t>assessment</w:t>
      </w:r>
      <w:r w:rsidRPr="00EC20A0">
        <w:rPr>
          <w:spacing w:val="-4"/>
        </w:rPr>
        <w:t xml:space="preserve"> </w:t>
      </w:r>
      <w:r w:rsidRPr="00EC20A0">
        <w:t>includes</w:t>
      </w:r>
      <w:r w:rsidRPr="00EC20A0">
        <w:rPr>
          <w:spacing w:val="-4"/>
        </w:rPr>
        <w:t xml:space="preserve"> </w:t>
      </w:r>
      <w:r w:rsidRPr="00EC20A0">
        <w:t>an</w:t>
      </w:r>
      <w:r w:rsidRPr="00EC20A0">
        <w:rPr>
          <w:spacing w:val="-4"/>
        </w:rPr>
        <w:t xml:space="preserve"> </w:t>
      </w:r>
      <w:r w:rsidRPr="00EC20A0">
        <w:t>expectation</w:t>
      </w:r>
      <w:r w:rsidRPr="00EC20A0">
        <w:rPr>
          <w:spacing w:val="-4"/>
        </w:rPr>
        <w:t xml:space="preserve"> </w:t>
      </w:r>
      <w:r w:rsidRPr="00EC20A0">
        <w:t>that</w:t>
      </w:r>
      <w:r w:rsidRPr="00EC20A0">
        <w:rPr>
          <w:spacing w:val="-4"/>
        </w:rPr>
        <w:t xml:space="preserve"> </w:t>
      </w:r>
      <w:r w:rsidRPr="00EC20A0">
        <w:t>controls</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service</w:t>
      </w:r>
      <w:r w:rsidRPr="00EC20A0">
        <w:rPr>
          <w:spacing w:val="-5"/>
        </w:rPr>
        <w:t xml:space="preserve"> </w:t>
      </w:r>
      <w:r w:rsidRPr="00EC20A0">
        <w:t>organization are operating effectively, the auditor should obtain audit evidence about the operating effectiveness of those controls from one or more of the following procedures (AU-C 402.16):</w:t>
      </w:r>
    </w:p>
    <w:p w14:paraId="24D60125" w14:textId="77777777" w:rsidR="00245300" w:rsidRPr="00EC20A0" w:rsidRDefault="00F17249">
      <w:pPr>
        <w:pStyle w:val="ListParagraph"/>
        <w:numPr>
          <w:ilvl w:val="1"/>
          <w:numId w:val="196"/>
        </w:numPr>
        <w:tabs>
          <w:tab w:val="left" w:pos="2218"/>
        </w:tabs>
        <w:ind w:left="2218" w:hanging="359"/>
      </w:pPr>
      <w:r w:rsidRPr="00EC20A0">
        <w:t>obtaining</w:t>
      </w:r>
      <w:r w:rsidRPr="00EC20A0">
        <w:rPr>
          <w:spacing w:val="-7"/>
        </w:rPr>
        <w:t xml:space="preserve"> </w:t>
      </w:r>
      <w:r w:rsidRPr="00EC20A0">
        <w:t>and</w:t>
      </w:r>
      <w:r w:rsidRPr="00EC20A0">
        <w:rPr>
          <w:spacing w:val="-5"/>
        </w:rPr>
        <w:t xml:space="preserve"> </w:t>
      </w:r>
      <w:r w:rsidRPr="00EC20A0">
        <w:t>reading</w:t>
      </w:r>
      <w:r w:rsidRPr="00EC20A0">
        <w:rPr>
          <w:spacing w:val="-5"/>
        </w:rPr>
        <w:t xml:space="preserve"> </w:t>
      </w:r>
      <w:r w:rsidRPr="00EC20A0">
        <w:t>a</w:t>
      </w:r>
      <w:r w:rsidRPr="00EC20A0">
        <w:rPr>
          <w:spacing w:val="-4"/>
        </w:rPr>
        <w:t xml:space="preserve"> </w:t>
      </w:r>
      <w:r w:rsidRPr="00EC20A0">
        <w:t>type</w:t>
      </w:r>
      <w:r w:rsidRPr="00EC20A0">
        <w:rPr>
          <w:spacing w:val="-5"/>
        </w:rPr>
        <w:t xml:space="preserve"> </w:t>
      </w:r>
      <w:r w:rsidRPr="00EC20A0">
        <w:t>2</w:t>
      </w:r>
      <w:r w:rsidRPr="00EC20A0">
        <w:rPr>
          <w:spacing w:val="-5"/>
        </w:rPr>
        <w:t xml:space="preserve"> </w:t>
      </w:r>
      <w:r w:rsidRPr="00EC20A0">
        <w:t>report,</w:t>
      </w:r>
      <w:r w:rsidRPr="00EC20A0">
        <w:rPr>
          <w:spacing w:val="-5"/>
        </w:rPr>
        <w:t xml:space="preserve"> </w:t>
      </w:r>
      <w:r w:rsidRPr="00EC20A0">
        <w:t>if</w:t>
      </w:r>
      <w:r w:rsidRPr="00EC20A0">
        <w:rPr>
          <w:spacing w:val="-4"/>
        </w:rPr>
        <w:t xml:space="preserve"> </w:t>
      </w:r>
      <w:r w:rsidRPr="00EC20A0">
        <w:rPr>
          <w:spacing w:val="-2"/>
        </w:rPr>
        <w:t>available;</w:t>
      </w:r>
    </w:p>
    <w:p w14:paraId="24D60126" w14:textId="77777777" w:rsidR="00245300" w:rsidRPr="00EC20A0" w:rsidRDefault="00F17249">
      <w:pPr>
        <w:pStyle w:val="ListParagraph"/>
        <w:numPr>
          <w:ilvl w:val="1"/>
          <w:numId w:val="196"/>
        </w:numPr>
        <w:tabs>
          <w:tab w:val="left" w:pos="2218"/>
        </w:tabs>
        <w:spacing w:before="241"/>
        <w:ind w:left="2218" w:hanging="359"/>
      </w:pPr>
      <w:r w:rsidRPr="00EC20A0">
        <w:t>performing</w:t>
      </w:r>
      <w:r w:rsidRPr="00EC20A0">
        <w:rPr>
          <w:spacing w:val="-8"/>
        </w:rPr>
        <w:t xml:space="preserve"> </w:t>
      </w:r>
      <w:r w:rsidRPr="00EC20A0">
        <w:t>appropriate</w:t>
      </w:r>
      <w:r w:rsidRPr="00EC20A0">
        <w:rPr>
          <w:spacing w:val="-9"/>
        </w:rPr>
        <w:t xml:space="preserve"> </w:t>
      </w:r>
      <w:r w:rsidRPr="00EC20A0">
        <w:t>tests</w:t>
      </w:r>
      <w:r w:rsidRPr="00EC20A0">
        <w:rPr>
          <w:spacing w:val="-8"/>
        </w:rPr>
        <w:t xml:space="preserve"> </w:t>
      </w:r>
      <w:r w:rsidRPr="00EC20A0">
        <w:t>of</w:t>
      </w:r>
      <w:r w:rsidRPr="00EC20A0">
        <w:rPr>
          <w:spacing w:val="-7"/>
        </w:rPr>
        <w:t xml:space="preserve"> </w:t>
      </w:r>
      <w:r w:rsidRPr="00EC20A0">
        <w:t>controls</w:t>
      </w:r>
      <w:r w:rsidRPr="00EC20A0">
        <w:rPr>
          <w:spacing w:val="-8"/>
        </w:rPr>
        <w:t xml:space="preserve"> </w:t>
      </w:r>
      <w:r w:rsidRPr="00EC20A0">
        <w:t>at</w:t>
      </w:r>
      <w:r w:rsidRPr="00EC20A0">
        <w:rPr>
          <w:spacing w:val="-8"/>
        </w:rPr>
        <w:t xml:space="preserve"> </w:t>
      </w:r>
      <w:r w:rsidRPr="00EC20A0">
        <w:t>the</w:t>
      </w:r>
      <w:r w:rsidRPr="00EC20A0">
        <w:rPr>
          <w:spacing w:val="-7"/>
        </w:rPr>
        <w:t xml:space="preserve"> </w:t>
      </w:r>
      <w:r w:rsidRPr="00EC20A0">
        <w:t>service</w:t>
      </w:r>
      <w:r w:rsidRPr="00EC20A0">
        <w:rPr>
          <w:spacing w:val="-8"/>
        </w:rPr>
        <w:t xml:space="preserve"> </w:t>
      </w:r>
      <w:r w:rsidRPr="00EC20A0">
        <w:t>organization;</w:t>
      </w:r>
      <w:r w:rsidRPr="00EC20A0">
        <w:rPr>
          <w:spacing w:val="-8"/>
        </w:rPr>
        <w:t xml:space="preserve"> </w:t>
      </w:r>
      <w:r w:rsidRPr="00EC20A0">
        <w:rPr>
          <w:spacing w:val="-5"/>
        </w:rPr>
        <w:t>or</w:t>
      </w:r>
    </w:p>
    <w:p w14:paraId="24D60127" w14:textId="77777777" w:rsidR="00245300" w:rsidRPr="00EC20A0" w:rsidRDefault="00F17249">
      <w:pPr>
        <w:pStyle w:val="ListParagraph"/>
        <w:numPr>
          <w:ilvl w:val="1"/>
          <w:numId w:val="196"/>
        </w:numPr>
        <w:tabs>
          <w:tab w:val="left" w:pos="2218"/>
          <w:tab w:val="left" w:pos="2220"/>
        </w:tabs>
        <w:ind w:right="694" w:hanging="361"/>
      </w:pPr>
      <w:r w:rsidRPr="00EC20A0">
        <w:t>using</w:t>
      </w:r>
      <w:r w:rsidRPr="00EC20A0">
        <w:rPr>
          <w:spacing w:val="-3"/>
        </w:rPr>
        <w:t xml:space="preserve"> </w:t>
      </w:r>
      <w:r w:rsidRPr="00EC20A0">
        <w:t>another</w:t>
      </w:r>
      <w:r w:rsidRPr="00EC20A0">
        <w:rPr>
          <w:spacing w:val="-3"/>
        </w:rPr>
        <w:t xml:space="preserve"> </w:t>
      </w:r>
      <w:r w:rsidRPr="00EC20A0">
        <w:t>auditor</w:t>
      </w:r>
      <w:r w:rsidRPr="00EC20A0">
        <w:rPr>
          <w:spacing w:val="-3"/>
        </w:rPr>
        <w:t xml:space="preserve"> </w:t>
      </w:r>
      <w:r w:rsidRPr="00EC20A0">
        <w:t>to</w:t>
      </w:r>
      <w:r w:rsidRPr="00EC20A0">
        <w:rPr>
          <w:spacing w:val="-4"/>
        </w:rPr>
        <w:t xml:space="preserve"> </w:t>
      </w:r>
      <w:r w:rsidRPr="00EC20A0">
        <w:t>perform</w:t>
      </w:r>
      <w:r w:rsidRPr="00EC20A0">
        <w:rPr>
          <w:spacing w:val="-4"/>
        </w:rPr>
        <w:t xml:space="preserve"> </w:t>
      </w:r>
      <w:r w:rsidRPr="00EC20A0">
        <w:t>tests</w:t>
      </w:r>
      <w:r w:rsidRPr="00EC20A0">
        <w:rPr>
          <w:spacing w:val="-3"/>
        </w:rPr>
        <w:t xml:space="preserve"> </w:t>
      </w:r>
      <w:r w:rsidRPr="00EC20A0">
        <w:t>of</w:t>
      </w:r>
      <w:r w:rsidRPr="00EC20A0">
        <w:rPr>
          <w:spacing w:val="-3"/>
        </w:rPr>
        <w:t xml:space="preserve"> </w:t>
      </w:r>
      <w:r w:rsidRPr="00EC20A0">
        <w:t>controls</w:t>
      </w:r>
      <w:r w:rsidRPr="00EC20A0">
        <w:rPr>
          <w:spacing w:val="-3"/>
        </w:rPr>
        <w:t xml:space="preserve"> </w:t>
      </w:r>
      <w:r w:rsidRPr="00EC20A0">
        <w:t>at</w:t>
      </w:r>
      <w:r w:rsidRPr="00EC20A0">
        <w:rPr>
          <w:spacing w:val="-3"/>
        </w:rPr>
        <w:t xml:space="preserve"> </w:t>
      </w:r>
      <w:r w:rsidRPr="00EC20A0">
        <w:t>the</w:t>
      </w:r>
      <w:r w:rsidRPr="00EC20A0">
        <w:rPr>
          <w:spacing w:val="-3"/>
        </w:rPr>
        <w:t xml:space="preserve"> </w:t>
      </w:r>
      <w:r w:rsidRPr="00EC20A0">
        <w:t>service</w:t>
      </w:r>
      <w:r w:rsidRPr="00EC20A0">
        <w:rPr>
          <w:spacing w:val="-3"/>
        </w:rPr>
        <w:t xml:space="preserve"> </w:t>
      </w:r>
      <w:r w:rsidRPr="00EC20A0">
        <w:t>organization on behalf of the auditor.</w:t>
      </w:r>
    </w:p>
    <w:p w14:paraId="24D60128" w14:textId="77777777" w:rsidR="00245300" w:rsidRPr="00EC20A0" w:rsidRDefault="00245300">
      <w:pPr>
        <w:sectPr w:rsidR="00245300" w:rsidRPr="00EC20A0">
          <w:pgSz w:w="12240" w:h="15840"/>
          <w:pgMar w:top="1340" w:right="940" w:bottom="940" w:left="1020" w:header="721" w:footer="757" w:gutter="0"/>
          <w:cols w:space="720"/>
        </w:sectPr>
      </w:pPr>
    </w:p>
    <w:p w14:paraId="24D60129" w14:textId="77777777" w:rsidR="00245300" w:rsidRPr="00EC20A0" w:rsidRDefault="00F17249">
      <w:pPr>
        <w:pStyle w:val="BodyText"/>
        <w:spacing w:before="121"/>
        <w:ind w:left="1860" w:right="527"/>
      </w:pPr>
      <w:r w:rsidRPr="00EC20A0">
        <w:t>As</w:t>
      </w:r>
      <w:r w:rsidRPr="00EC20A0">
        <w:rPr>
          <w:spacing w:val="-3"/>
        </w:rPr>
        <w:t xml:space="preserve"> </w:t>
      </w:r>
      <w:r w:rsidRPr="00EC20A0">
        <w:t>discussed</w:t>
      </w:r>
      <w:r w:rsidRPr="00EC20A0">
        <w:rPr>
          <w:spacing w:val="-3"/>
        </w:rPr>
        <w:t xml:space="preserve"> </w:t>
      </w:r>
      <w:r w:rsidRPr="00EC20A0">
        <w:t>in</w:t>
      </w:r>
      <w:r w:rsidRPr="00EC20A0">
        <w:rPr>
          <w:spacing w:val="-3"/>
        </w:rPr>
        <w:t xml:space="preserve"> </w:t>
      </w:r>
      <w:r w:rsidRPr="00EC20A0">
        <w:t>FAM</w:t>
      </w:r>
      <w:r w:rsidRPr="00EC20A0">
        <w:rPr>
          <w:spacing w:val="-4"/>
        </w:rPr>
        <w:t xml:space="preserve"> </w:t>
      </w:r>
      <w:r w:rsidRPr="00EC20A0">
        <w:t>640.08,</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generally</w:t>
      </w:r>
      <w:r w:rsidRPr="00EC20A0">
        <w:rPr>
          <w:spacing w:val="-3"/>
        </w:rPr>
        <w:t xml:space="preserve"> </w:t>
      </w:r>
      <w:r w:rsidRPr="00EC20A0">
        <w:t>should</w:t>
      </w:r>
      <w:r w:rsidRPr="00EC20A0">
        <w:rPr>
          <w:spacing w:val="-4"/>
        </w:rPr>
        <w:t xml:space="preserve"> </w:t>
      </w:r>
      <w:r w:rsidRPr="00EC20A0">
        <w:t>obtain</w:t>
      </w:r>
      <w:r w:rsidRPr="00EC20A0">
        <w:rPr>
          <w:spacing w:val="-3"/>
        </w:rPr>
        <w:t xml:space="preserve"> </w:t>
      </w:r>
      <w:r w:rsidRPr="00EC20A0">
        <w:t>and</w:t>
      </w:r>
      <w:r w:rsidRPr="00EC20A0">
        <w:rPr>
          <w:spacing w:val="-3"/>
        </w:rPr>
        <w:t xml:space="preserve"> </w:t>
      </w:r>
      <w:r w:rsidRPr="00EC20A0">
        <w:t>read</w:t>
      </w:r>
      <w:r w:rsidRPr="00EC20A0">
        <w:rPr>
          <w:spacing w:val="-3"/>
        </w:rPr>
        <w:t xml:space="preserve"> </w:t>
      </w:r>
      <w:r w:rsidRPr="00EC20A0">
        <w:t>a</w:t>
      </w:r>
      <w:r w:rsidRPr="00EC20A0">
        <w:rPr>
          <w:spacing w:val="-3"/>
        </w:rPr>
        <w:t xml:space="preserve"> </w:t>
      </w:r>
      <w:r w:rsidRPr="00EC20A0">
        <w:t xml:space="preserve">type 2 report, if available. The auditor may determine that additional procedures are necessary based on reading the </w:t>
      </w:r>
      <w:r w:rsidRPr="00EC20A0">
        <w:t>report.</w:t>
      </w:r>
    </w:p>
    <w:p w14:paraId="24D6012A" w14:textId="77777777" w:rsidR="00245300" w:rsidRPr="00EC20A0" w:rsidRDefault="00F17249">
      <w:pPr>
        <w:pStyle w:val="ListParagraph"/>
        <w:numPr>
          <w:ilvl w:val="0"/>
          <w:numId w:val="196"/>
        </w:numPr>
        <w:tabs>
          <w:tab w:val="left" w:pos="1860"/>
        </w:tabs>
        <w:spacing w:before="239"/>
        <w:ind w:left="1860" w:right="505"/>
        <w:jc w:val="left"/>
      </w:pPr>
      <w:r w:rsidRPr="00EC20A0">
        <w:t>If the auditor plans to use a type 2 report as audit evidence that relevant controls at the service organization are operating effectively, the auditor should</w:t>
      </w:r>
      <w:r w:rsidRPr="00EC20A0">
        <w:rPr>
          <w:spacing w:val="-1"/>
        </w:rPr>
        <w:t xml:space="preserve"> </w:t>
      </w:r>
      <w:r w:rsidRPr="00EC20A0">
        <w:t>determine whether</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auditor’s</w:t>
      </w:r>
      <w:r w:rsidRPr="00EC20A0">
        <w:rPr>
          <w:spacing w:val="-4"/>
        </w:rPr>
        <w:t xml:space="preserve"> </w:t>
      </w:r>
      <w:r w:rsidRPr="00EC20A0">
        <w:t>report</w:t>
      </w:r>
      <w:r w:rsidRPr="00EC20A0">
        <w:rPr>
          <w:spacing w:val="-5"/>
        </w:rPr>
        <w:t xml:space="preserve"> </w:t>
      </w:r>
      <w:r w:rsidRPr="00EC20A0">
        <w:t>provides</w:t>
      </w:r>
      <w:r w:rsidRPr="00EC20A0">
        <w:rPr>
          <w:spacing w:val="-4"/>
        </w:rPr>
        <w:t xml:space="preserve"> </w:t>
      </w:r>
      <w:r w:rsidRPr="00EC20A0">
        <w:t>sufficient</w:t>
      </w:r>
      <w:r w:rsidRPr="00EC20A0">
        <w:rPr>
          <w:spacing w:val="-4"/>
        </w:rPr>
        <w:t xml:space="preserve"> </w:t>
      </w:r>
      <w:r w:rsidRPr="00EC20A0">
        <w:t>appropriate</w:t>
      </w:r>
      <w:r w:rsidRPr="00EC20A0">
        <w:rPr>
          <w:spacing w:val="-4"/>
        </w:rPr>
        <w:t xml:space="preserve"> </w:t>
      </w:r>
      <w:r w:rsidRPr="00EC20A0">
        <w:t>audit</w:t>
      </w:r>
      <w:r w:rsidRPr="00EC20A0">
        <w:rPr>
          <w:spacing w:val="-5"/>
        </w:rPr>
        <w:t xml:space="preserve"> </w:t>
      </w:r>
      <w:r w:rsidRPr="00EC20A0">
        <w:t>evidence about the effectiveness of the controls to support the auditor’s risk assessment</w:t>
      </w:r>
      <w:r w:rsidRPr="00EC20A0">
        <w:rPr>
          <w:spacing w:val="40"/>
        </w:rPr>
        <w:t xml:space="preserve"> </w:t>
      </w:r>
      <w:r w:rsidRPr="00EC20A0">
        <w:rPr>
          <w:spacing w:val="-6"/>
        </w:rPr>
        <w:t>by</w:t>
      </w:r>
    </w:p>
    <w:p w14:paraId="24D6012B" w14:textId="77777777" w:rsidR="00245300" w:rsidRPr="00EC20A0" w:rsidRDefault="00F17249">
      <w:pPr>
        <w:pStyle w:val="ListParagraph"/>
        <w:numPr>
          <w:ilvl w:val="1"/>
          <w:numId w:val="196"/>
        </w:numPr>
        <w:tabs>
          <w:tab w:val="left" w:pos="2219"/>
        </w:tabs>
        <w:ind w:left="2219" w:right="648"/>
      </w:pPr>
      <w:r w:rsidRPr="00EC20A0">
        <w:t>evaluating</w:t>
      </w:r>
      <w:r w:rsidRPr="00EC20A0">
        <w:rPr>
          <w:spacing w:val="-3"/>
        </w:rPr>
        <w:t xml:space="preserve"> </w:t>
      </w:r>
      <w:r w:rsidRPr="00EC20A0">
        <w:t>whether</w:t>
      </w:r>
      <w:r w:rsidRPr="00EC20A0">
        <w:rPr>
          <w:spacing w:val="-3"/>
        </w:rPr>
        <w:t xml:space="preserve"> </w:t>
      </w:r>
      <w:r w:rsidRPr="00EC20A0">
        <w:t>the</w:t>
      </w:r>
      <w:r w:rsidRPr="00EC20A0">
        <w:rPr>
          <w:spacing w:val="-3"/>
        </w:rPr>
        <w:t xml:space="preserve"> </w:t>
      </w:r>
      <w:r w:rsidRPr="00EC20A0">
        <w:t>type</w:t>
      </w:r>
      <w:r w:rsidRPr="00EC20A0">
        <w:rPr>
          <w:spacing w:val="-3"/>
        </w:rPr>
        <w:t xml:space="preserve"> </w:t>
      </w:r>
      <w:r w:rsidRPr="00EC20A0">
        <w:t>2</w:t>
      </w:r>
      <w:r w:rsidRPr="00EC20A0">
        <w:rPr>
          <w:spacing w:val="-3"/>
        </w:rPr>
        <w:t xml:space="preserve"> </w:t>
      </w:r>
      <w:r w:rsidRPr="00EC20A0">
        <w:t>report</w:t>
      </w:r>
      <w:r w:rsidRPr="00EC20A0">
        <w:rPr>
          <w:spacing w:val="-3"/>
        </w:rPr>
        <w:t xml:space="preserve"> </w:t>
      </w:r>
      <w:r w:rsidRPr="00EC20A0">
        <w:t>is</w:t>
      </w:r>
      <w:r w:rsidRPr="00EC20A0">
        <w:rPr>
          <w:spacing w:val="-3"/>
        </w:rPr>
        <w:t xml:space="preserve"> </w:t>
      </w:r>
      <w:r w:rsidRPr="00EC20A0">
        <w:t>for</w:t>
      </w:r>
      <w:r w:rsidRPr="00EC20A0">
        <w:rPr>
          <w:spacing w:val="-3"/>
        </w:rPr>
        <w:t xml:space="preserve"> </w:t>
      </w:r>
      <w:r w:rsidRPr="00EC20A0">
        <w:t>a</w:t>
      </w:r>
      <w:r w:rsidRPr="00EC20A0">
        <w:rPr>
          <w:spacing w:val="-3"/>
        </w:rPr>
        <w:t xml:space="preserve"> </w:t>
      </w:r>
      <w:r w:rsidRPr="00EC20A0">
        <w:t>period</w:t>
      </w:r>
      <w:r w:rsidRPr="00EC20A0">
        <w:rPr>
          <w:spacing w:val="-3"/>
        </w:rPr>
        <w:t xml:space="preserve"> </w:t>
      </w:r>
      <w:r w:rsidRPr="00EC20A0">
        <w:t>that</w:t>
      </w:r>
      <w:r w:rsidRPr="00EC20A0">
        <w:rPr>
          <w:spacing w:val="-3"/>
        </w:rPr>
        <w:t xml:space="preserve"> </w:t>
      </w:r>
      <w:r w:rsidRPr="00EC20A0">
        <w:t>is</w:t>
      </w:r>
      <w:r w:rsidRPr="00EC20A0">
        <w:rPr>
          <w:spacing w:val="-3"/>
        </w:rPr>
        <w:t xml:space="preserve"> </w:t>
      </w:r>
      <w:r w:rsidRPr="00EC20A0">
        <w:t>appropriate</w:t>
      </w:r>
      <w:r w:rsidRPr="00EC20A0">
        <w:rPr>
          <w:spacing w:val="-3"/>
        </w:rPr>
        <w:t xml:space="preserve"> </w:t>
      </w:r>
      <w:r w:rsidRPr="00EC20A0">
        <w:t>for</w:t>
      </w:r>
      <w:r w:rsidRPr="00EC20A0">
        <w:rPr>
          <w:spacing w:val="-3"/>
        </w:rPr>
        <w:t xml:space="preserve"> </w:t>
      </w:r>
      <w:r w:rsidRPr="00EC20A0">
        <w:t>the auditor’s purposes;</w:t>
      </w:r>
    </w:p>
    <w:p w14:paraId="24D6012C" w14:textId="77777777" w:rsidR="00245300" w:rsidRPr="00EC20A0" w:rsidRDefault="00F17249">
      <w:pPr>
        <w:pStyle w:val="ListParagraph"/>
        <w:numPr>
          <w:ilvl w:val="1"/>
          <w:numId w:val="196"/>
        </w:numPr>
        <w:tabs>
          <w:tab w:val="left" w:pos="2219"/>
        </w:tabs>
        <w:spacing w:before="241"/>
        <w:ind w:left="2219" w:right="708"/>
      </w:pPr>
      <w:r w:rsidRPr="00EC20A0">
        <w:t xml:space="preserve">determining whether complementary user entity controls that the </w:t>
      </w:r>
      <w:r w:rsidRPr="00EC20A0">
        <w:t>service organization</w:t>
      </w:r>
      <w:r w:rsidRPr="00EC20A0">
        <w:rPr>
          <w:spacing w:val="-5"/>
        </w:rPr>
        <w:t xml:space="preserve"> </w:t>
      </w:r>
      <w:r w:rsidRPr="00EC20A0">
        <w:t>identified</w:t>
      </w:r>
      <w:r w:rsidRPr="00EC20A0">
        <w:rPr>
          <w:spacing w:val="-4"/>
        </w:rPr>
        <w:t xml:space="preserve"> </w:t>
      </w:r>
      <w:r w:rsidRPr="00EC20A0">
        <w:t>address</w:t>
      </w:r>
      <w:r w:rsidRPr="00EC20A0">
        <w:rPr>
          <w:spacing w:val="-4"/>
        </w:rPr>
        <w:t xml:space="preserve"> </w:t>
      </w:r>
      <w:r w:rsidRPr="00EC20A0">
        <w:t>the</w:t>
      </w:r>
      <w:r w:rsidRPr="00EC20A0">
        <w:rPr>
          <w:spacing w:val="-4"/>
        </w:rPr>
        <w:t xml:space="preserve"> </w:t>
      </w:r>
      <w:r w:rsidRPr="00EC20A0">
        <w:t>risks</w:t>
      </w:r>
      <w:r w:rsidRPr="00EC20A0">
        <w:rPr>
          <w:spacing w:val="-4"/>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relating</w:t>
      </w:r>
      <w:r w:rsidRPr="00EC20A0">
        <w:rPr>
          <w:spacing w:val="-4"/>
        </w:rPr>
        <w:t xml:space="preserve"> </w:t>
      </w:r>
      <w:r w:rsidRPr="00EC20A0">
        <w:t xml:space="preserve">to the significant assertions in the entity’s financial statements and, if so, obtaining an understanding of whether the entity has designed and implemented such controls effectively and, if so, testing their operating </w:t>
      </w:r>
      <w:r w:rsidRPr="00EC20A0">
        <w:rPr>
          <w:spacing w:val="-2"/>
        </w:rPr>
        <w:t>effectiveness;</w:t>
      </w:r>
    </w:p>
    <w:p w14:paraId="24D6012D" w14:textId="77777777" w:rsidR="00245300" w:rsidRPr="00EC20A0" w:rsidRDefault="00F17249">
      <w:pPr>
        <w:pStyle w:val="ListParagraph"/>
        <w:numPr>
          <w:ilvl w:val="1"/>
          <w:numId w:val="196"/>
        </w:numPr>
        <w:tabs>
          <w:tab w:val="left" w:pos="2218"/>
        </w:tabs>
        <w:ind w:left="2218" w:right="805"/>
      </w:pPr>
      <w:r w:rsidRPr="00EC20A0">
        <w:t>evaluating</w:t>
      </w:r>
      <w:r w:rsidRPr="00EC20A0">
        <w:rPr>
          <w:spacing w:val="-3"/>
        </w:rPr>
        <w:t xml:space="preserve"> </w:t>
      </w:r>
      <w:r w:rsidRPr="00EC20A0">
        <w:t>the</w:t>
      </w:r>
      <w:r w:rsidRPr="00EC20A0">
        <w:rPr>
          <w:spacing w:val="-3"/>
        </w:rPr>
        <w:t xml:space="preserve"> </w:t>
      </w:r>
      <w:r w:rsidRPr="00EC20A0">
        <w:t>adequacy</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time</w:t>
      </w:r>
      <w:r w:rsidRPr="00EC20A0">
        <w:rPr>
          <w:spacing w:val="-3"/>
        </w:rPr>
        <w:t xml:space="preserve"> </w:t>
      </w:r>
      <w:r w:rsidRPr="00EC20A0">
        <w:t>period</w:t>
      </w:r>
      <w:r w:rsidRPr="00EC20A0">
        <w:rPr>
          <w:spacing w:val="-3"/>
        </w:rPr>
        <w:t xml:space="preserve"> </w:t>
      </w:r>
      <w:r w:rsidRPr="00EC20A0">
        <w:t>covered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tests</w:t>
      </w:r>
      <w:r w:rsidRPr="00EC20A0">
        <w:rPr>
          <w:spacing w:val="-3"/>
        </w:rPr>
        <w:t xml:space="preserve"> </w:t>
      </w:r>
      <w:r w:rsidRPr="00EC20A0">
        <w:t>of</w:t>
      </w:r>
      <w:r w:rsidRPr="00EC20A0">
        <w:rPr>
          <w:spacing w:val="-3"/>
        </w:rPr>
        <w:t xml:space="preserve"> </w:t>
      </w:r>
      <w:r w:rsidRPr="00EC20A0">
        <w:t>controls and the time elapsed since the performance of the tests of controls; and</w:t>
      </w:r>
    </w:p>
    <w:p w14:paraId="24D6012E" w14:textId="77777777" w:rsidR="00245300" w:rsidRPr="00EC20A0" w:rsidRDefault="00F17249">
      <w:pPr>
        <w:pStyle w:val="ListParagraph"/>
        <w:numPr>
          <w:ilvl w:val="1"/>
          <w:numId w:val="196"/>
        </w:numPr>
        <w:tabs>
          <w:tab w:val="left" w:pos="2219"/>
        </w:tabs>
        <w:spacing w:before="239"/>
        <w:ind w:left="2219" w:right="600"/>
      </w:pPr>
      <w:r w:rsidRPr="00EC20A0">
        <w:t>evaluating whether the tests of controls that the service auditor performed and the results thereof, as described in the service auditor’s report, are relevant to the assertions in the entity’s financial statements and provide sufficient</w:t>
      </w:r>
      <w:r w:rsidRPr="00EC20A0">
        <w:rPr>
          <w:spacing w:val="-5"/>
        </w:rPr>
        <w:t xml:space="preserve"> </w:t>
      </w:r>
      <w:r w:rsidRPr="00EC20A0">
        <w:t>appropriate</w:t>
      </w:r>
      <w:r w:rsidRPr="00EC20A0">
        <w:rPr>
          <w:spacing w:val="-5"/>
        </w:rPr>
        <w:t xml:space="preserve"> </w:t>
      </w:r>
      <w:r w:rsidRPr="00EC20A0">
        <w:t>audit</w:t>
      </w:r>
      <w:r w:rsidRPr="00EC20A0">
        <w:rPr>
          <w:spacing w:val="-5"/>
        </w:rPr>
        <w:t xml:space="preserve"> </w:t>
      </w:r>
      <w:r w:rsidRPr="00EC20A0">
        <w:t>evidence</w:t>
      </w:r>
      <w:r w:rsidRPr="00EC20A0">
        <w:rPr>
          <w:spacing w:val="-6"/>
        </w:rPr>
        <w:t xml:space="preserve"> </w:t>
      </w:r>
      <w:r w:rsidRPr="00EC20A0">
        <w:t>to</w:t>
      </w:r>
      <w:r w:rsidRPr="00EC20A0">
        <w:rPr>
          <w:spacing w:val="-5"/>
        </w:rPr>
        <w:t xml:space="preserve"> </w:t>
      </w:r>
      <w:r w:rsidRPr="00EC20A0">
        <w:t>support</w:t>
      </w:r>
      <w:r w:rsidRPr="00EC20A0">
        <w:rPr>
          <w:spacing w:val="-5"/>
        </w:rPr>
        <w:t xml:space="preserve"> </w:t>
      </w:r>
      <w:r w:rsidRPr="00EC20A0">
        <w:t>the</w:t>
      </w:r>
      <w:r w:rsidRPr="00EC20A0">
        <w:rPr>
          <w:spacing w:val="-5"/>
        </w:rPr>
        <w:t xml:space="preserve"> </w:t>
      </w:r>
      <w:r w:rsidRPr="00EC20A0">
        <w:t>auditor’s</w:t>
      </w:r>
      <w:r w:rsidRPr="00EC20A0">
        <w:rPr>
          <w:spacing w:val="-6"/>
        </w:rPr>
        <w:t xml:space="preserve"> </w:t>
      </w:r>
      <w:r w:rsidRPr="00EC20A0">
        <w:t>risk</w:t>
      </w:r>
      <w:r w:rsidRPr="00EC20A0">
        <w:rPr>
          <w:spacing w:val="-5"/>
        </w:rPr>
        <w:t xml:space="preserve"> </w:t>
      </w:r>
      <w:r w:rsidRPr="00EC20A0">
        <w:t>assessment (AU-C 402.17).</w:t>
      </w:r>
    </w:p>
    <w:p w14:paraId="24D6012F" w14:textId="77777777" w:rsidR="00245300" w:rsidRPr="00EC20A0" w:rsidRDefault="00F17249">
      <w:pPr>
        <w:pStyle w:val="Heading5"/>
        <w:spacing w:before="242"/>
        <w:ind w:left="1140"/>
        <w:rPr>
          <w:u w:val="none"/>
        </w:rPr>
      </w:pPr>
      <w:bookmarkStart w:id="84" w:name="Audit_of_Internal_Control_over_Financial"/>
      <w:bookmarkEnd w:id="84"/>
      <w:r w:rsidRPr="00EC20A0">
        <w:t>Audit</w:t>
      </w:r>
      <w:r w:rsidRPr="00EC20A0">
        <w:rPr>
          <w:spacing w:val="-5"/>
        </w:rPr>
        <w:t xml:space="preserve"> </w:t>
      </w:r>
      <w:r w:rsidRPr="00EC20A0">
        <w:t>of</w:t>
      </w:r>
      <w:r w:rsidRPr="00EC20A0">
        <w:rPr>
          <w:spacing w:val="-4"/>
        </w:rPr>
        <w:t xml:space="preserve"> </w:t>
      </w:r>
      <w:r w:rsidRPr="00EC20A0">
        <w:t>Internal</w:t>
      </w:r>
      <w:r w:rsidRPr="00EC20A0">
        <w:rPr>
          <w:spacing w:val="-3"/>
        </w:rPr>
        <w:t xml:space="preserve"> </w:t>
      </w:r>
      <w:r w:rsidRPr="00EC20A0">
        <w:t>Control</w:t>
      </w:r>
      <w:r w:rsidRPr="00EC20A0">
        <w:rPr>
          <w:spacing w:val="-2"/>
        </w:rPr>
        <w:t xml:space="preserve"> </w:t>
      </w:r>
      <w:r w:rsidRPr="00EC20A0">
        <w:t>over</w:t>
      </w:r>
      <w:r w:rsidRPr="00EC20A0">
        <w:rPr>
          <w:spacing w:val="-4"/>
        </w:rPr>
        <w:t xml:space="preserve"> </w:t>
      </w:r>
      <w:r w:rsidRPr="00EC20A0">
        <w:t>Financial</w:t>
      </w:r>
      <w:r w:rsidRPr="00EC20A0">
        <w:rPr>
          <w:spacing w:val="-2"/>
        </w:rPr>
        <w:t xml:space="preserve"> Reporting</w:t>
      </w:r>
    </w:p>
    <w:p w14:paraId="24D60130" w14:textId="77777777" w:rsidR="00245300" w:rsidRPr="00EC20A0" w:rsidRDefault="00F17249">
      <w:pPr>
        <w:pStyle w:val="ListParagraph"/>
        <w:numPr>
          <w:ilvl w:val="0"/>
          <w:numId w:val="196"/>
        </w:numPr>
        <w:tabs>
          <w:tab w:val="left" w:pos="1859"/>
        </w:tabs>
        <w:spacing w:before="239"/>
        <w:ind w:left="1859" w:right="628" w:hanging="720"/>
        <w:jc w:val="left"/>
      </w:pPr>
      <w:r w:rsidRPr="00EC20A0">
        <w:t xml:space="preserve">As discussed in FAM </w:t>
      </w:r>
      <w:proofErr w:type="gramStart"/>
      <w:r w:rsidRPr="00EC20A0">
        <w:t>310.11,</w:t>
      </w:r>
      <w:proofErr w:type="gramEnd"/>
      <w:r w:rsidRPr="00EC20A0">
        <w:t xml:space="preserve"> in performing an audit of internal control over financial reporting, the auditor should consider the activities of the service organization when determining the evidence required to support the auditor’s opinion on the effectiveness of the entity’s internal control over financial reporting. The auditor should obtain evidence that controls at the service organization that are relevant to the auditor’s opinion on internal control over financial</w:t>
      </w:r>
      <w:r w:rsidRPr="00EC20A0">
        <w:rPr>
          <w:spacing w:val="-4"/>
        </w:rPr>
        <w:t xml:space="preserve"> </w:t>
      </w:r>
      <w:r w:rsidRPr="00EC20A0">
        <w:t>reporting</w:t>
      </w:r>
      <w:r w:rsidRPr="00EC20A0">
        <w:rPr>
          <w:spacing w:val="-4"/>
        </w:rPr>
        <w:t xml:space="preserve"> </w:t>
      </w:r>
      <w:r w:rsidRPr="00EC20A0">
        <w:t>are</w:t>
      </w:r>
      <w:r w:rsidRPr="00EC20A0">
        <w:rPr>
          <w:spacing w:val="-4"/>
        </w:rPr>
        <w:t xml:space="preserve"> </w:t>
      </w:r>
      <w:r w:rsidRPr="00EC20A0">
        <w:t>operating</w:t>
      </w:r>
      <w:r w:rsidRPr="00EC20A0">
        <w:rPr>
          <w:spacing w:val="-4"/>
        </w:rPr>
        <w:t xml:space="preserve"> </w:t>
      </w:r>
      <w:r w:rsidRPr="00EC20A0">
        <w:t>effectively</w:t>
      </w:r>
      <w:r w:rsidRPr="00EC20A0">
        <w:rPr>
          <w:spacing w:val="-4"/>
        </w:rPr>
        <w:t xml:space="preserve"> </w:t>
      </w:r>
      <w:r w:rsidRPr="00EC20A0">
        <w:t>(AU-C</w:t>
      </w:r>
      <w:r w:rsidRPr="00EC20A0">
        <w:rPr>
          <w:spacing w:val="-5"/>
        </w:rPr>
        <w:t xml:space="preserve"> </w:t>
      </w:r>
      <w:r w:rsidRPr="00EC20A0">
        <w:t>940.89).</w:t>
      </w:r>
      <w:r w:rsidRPr="00EC20A0">
        <w:rPr>
          <w:spacing w:val="-4"/>
        </w:rPr>
        <w:t xml:space="preserve"> </w:t>
      </w:r>
      <w:r w:rsidRPr="00EC20A0">
        <w:t>If</w:t>
      </w:r>
      <w:r w:rsidRPr="00EC20A0">
        <w:rPr>
          <w:spacing w:val="-4"/>
        </w:rPr>
        <w:t xml:space="preserve"> </w:t>
      </w:r>
      <w:r w:rsidRPr="00EC20A0">
        <w:t>the</w:t>
      </w:r>
      <w:r w:rsidRPr="00EC20A0">
        <w:rPr>
          <w:spacing w:val="-4"/>
        </w:rPr>
        <w:t xml:space="preserve"> </w:t>
      </w:r>
      <w:r w:rsidRPr="00EC20A0">
        <w:t>audito</w:t>
      </w:r>
      <w:r w:rsidRPr="00EC20A0">
        <w:t>r</w:t>
      </w:r>
      <w:r w:rsidRPr="00EC20A0">
        <w:rPr>
          <w:spacing w:val="-6"/>
        </w:rPr>
        <w:t xml:space="preserve"> </w:t>
      </w:r>
      <w:r w:rsidRPr="00EC20A0">
        <w:t>plans</w:t>
      </w:r>
      <w:r w:rsidRPr="00EC20A0">
        <w:rPr>
          <w:spacing w:val="-3"/>
        </w:rPr>
        <w:t xml:space="preserve"> </w:t>
      </w:r>
      <w:r w:rsidRPr="00EC20A0">
        <w:t>to use a type 2 report as audit evidence that controls are operating effectively, the auditor should perform the following:</w:t>
      </w:r>
    </w:p>
    <w:p w14:paraId="24D60131" w14:textId="77777777" w:rsidR="00245300" w:rsidRPr="00EC20A0" w:rsidRDefault="00F17249">
      <w:pPr>
        <w:pStyle w:val="ListParagraph"/>
        <w:numPr>
          <w:ilvl w:val="1"/>
          <w:numId w:val="196"/>
        </w:numPr>
        <w:tabs>
          <w:tab w:val="left" w:pos="2219"/>
        </w:tabs>
        <w:ind w:left="2219" w:right="1003"/>
      </w:pPr>
      <w:r w:rsidRPr="00EC20A0">
        <w:t>Determine</w:t>
      </w:r>
      <w:r w:rsidRPr="00EC20A0">
        <w:rPr>
          <w:spacing w:val="-4"/>
        </w:rPr>
        <w:t xml:space="preserve"> </w:t>
      </w:r>
      <w:r w:rsidRPr="00EC20A0">
        <w:t>whether</w:t>
      </w:r>
      <w:r w:rsidRPr="00EC20A0">
        <w:rPr>
          <w:spacing w:val="-5"/>
        </w:rPr>
        <w:t xml:space="preserve"> </w:t>
      </w:r>
      <w:r w:rsidRPr="00EC20A0">
        <w:t>the</w:t>
      </w:r>
      <w:r w:rsidRPr="00EC20A0">
        <w:rPr>
          <w:spacing w:val="-5"/>
        </w:rPr>
        <w:t xml:space="preserve"> </w:t>
      </w:r>
      <w:r w:rsidRPr="00EC20A0">
        <w:t>type</w:t>
      </w:r>
      <w:r w:rsidRPr="00EC20A0">
        <w:rPr>
          <w:spacing w:val="-5"/>
        </w:rPr>
        <w:t xml:space="preserve"> </w:t>
      </w:r>
      <w:r w:rsidRPr="00EC20A0">
        <w:t>2</w:t>
      </w:r>
      <w:r w:rsidRPr="00EC20A0">
        <w:rPr>
          <w:spacing w:val="-5"/>
        </w:rPr>
        <w:t xml:space="preserve"> </w:t>
      </w:r>
      <w:r w:rsidRPr="00EC20A0">
        <w:t>report</w:t>
      </w:r>
      <w:r w:rsidRPr="00EC20A0">
        <w:rPr>
          <w:spacing w:val="-5"/>
        </w:rPr>
        <w:t xml:space="preserve"> </w:t>
      </w:r>
      <w:r w:rsidRPr="00EC20A0">
        <w:t>provides</w:t>
      </w:r>
      <w:r w:rsidRPr="00EC20A0">
        <w:rPr>
          <w:spacing w:val="-6"/>
        </w:rPr>
        <w:t xml:space="preserve"> </w:t>
      </w:r>
      <w:r w:rsidRPr="00EC20A0">
        <w:t>sufficient</w:t>
      </w:r>
      <w:r w:rsidRPr="00EC20A0">
        <w:rPr>
          <w:spacing w:val="-5"/>
        </w:rPr>
        <w:t xml:space="preserve"> </w:t>
      </w:r>
      <w:r w:rsidRPr="00EC20A0">
        <w:t>appropriate</w:t>
      </w:r>
      <w:r w:rsidRPr="00EC20A0">
        <w:rPr>
          <w:spacing w:val="-5"/>
        </w:rPr>
        <w:t xml:space="preserve"> </w:t>
      </w:r>
      <w:r w:rsidRPr="00EC20A0">
        <w:t>audit evidence about the effectiveness of the controls to support the auditor’s opinion by evaluating</w:t>
      </w:r>
    </w:p>
    <w:p w14:paraId="24D60132" w14:textId="77777777" w:rsidR="00245300" w:rsidRPr="00EC20A0" w:rsidRDefault="00F17249">
      <w:pPr>
        <w:pStyle w:val="ListParagraph"/>
        <w:numPr>
          <w:ilvl w:val="2"/>
          <w:numId w:val="196"/>
        </w:numPr>
        <w:tabs>
          <w:tab w:val="left" w:pos="2578"/>
        </w:tabs>
        <w:spacing w:before="239"/>
        <w:ind w:right="508"/>
        <w:jc w:val="both"/>
      </w:pPr>
      <w:r w:rsidRPr="00EC20A0">
        <w:t>the time period covered</w:t>
      </w:r>
      <w:r w:rsidRPr="00EC20A0">
        <w:rPr>
          <w:spacing w:val="-1"/>
        </w:rPr>
        <w:t xml:space="preserve"> </w:t>
      </w:r>
      <w:r w:rsidRPr="00EC20A0">
        <w:t>by the tests</w:t>
      </w:r>
      <w:r w:rsidRPr="00EC20A0">
        <w:rPr>
          <w:spacing w:val="-1"/>
        </w:rPr>
        <w:t xml:space="preserve"> </w:t>
      </w:r>
      <w:r w:rsidRPr="00EC20A0">
        <w:t>of controls and its relation to the date specified</w:t>
      </w:r>
      <w:r w:rsidRPr="00EC20A0">
        <w:rPr>
          <w:spacing w:val="-6"/>
        </w:rPr>
        <w:t xml:space="preserve"> </w:t>
      </w:r>
      <w:r w:rsidRPr="00EC20A0">
        <w:t>in</w:t>
      </w:r>
      <w:r w:rsidRPr="00EC20A0">
        <w:rPr>
          <w:spacing w:val="-6"/>
        </w:rPr>
        <w:t xml:space="preserve"> </w:t>
      </w:r>
      <w:r w:rsidRPr="00EC20A0">
        <w:t>management’s</w:t>
      </w:r>
      <w:r w:rsidRPr="00EC20A0">
        <w:rPr>
          <w:spacing w:val="-5"/>
        </w:rPr>
        <w:t xml:space="preserve"> </w:t>
      </w:r>
      <w:r w:rsidRPr="00EC20A0">
        <w:t>assessment</w:t>
      </w:r>
      <w:r w:rsidRPr="00EC20A0">
        <w:rPr>
          <w:spacing w:val="-5"/>
        </w:rPr>
        <w:t xml:space="preserve"> </w:t>
      </w:r>
      <w:r w:rsidRPr="00EC20A0">
        <w:t>about</w:t>
      </w:r>
      <w:r w:rsidRPr="00EC20A0">
        <w:rPr>
          <w:spacing w:val="-5"/>
        </w:rPr>
        <w:t xml:space="preserve"> </w:t>
      </w:r>
      <w:r w:rsidRPr="00EC20A0">
        <w:t>the</w:t>
      </w:r>
      <w:r w:rsidRPr="00EC20A0">
        <w:rPr>
          <w:spacing w:val="-5"/>
        </w:rPr>
        <w:t xml:space="preserve"> </w:t>
      </w:r>
      <w:r w:rsidRPr="00EC20A0">
        <w:t>effectiveness</w:t>
      </w:r>
      <w:r w:rsidRPr="00EC20A0">
        <w:rPr>
          <w:spacing w:val="-5"/>
        </w:rPr>
        <w:t xml:space="preserve"> </w:t>
      </w:r>
      <w:r w:rsidRPr="00EC20A0">
        <w:t>of</w:t>
      </w:r>
      <w:r w:rsidRPr="00EC20A0">
        <w:rPr>
          <w:spacing w:val="-5"/>
        </w:rPr>
        <w:t xml:space="preserve"> </w:t>
      </w:r>
      <w:r w:rsidRPr="00EC20A0">
        <w:t xml:space="preserve">internal control over financial reporting (i.e., balance sheet </w:t>
      </w:r>
      <w:r w:rsidRPr="00EC20A0">
        <w:t>date);</w:t>
      </w:r>
    </w:p>
    <w:p w14:paraId="24D60133" w14:textId="77777777" w:rsidR="00245300" w:rsidRPr="00EC20A0" w:rsidRDefault="00F17249">
      <w:pPr>
        <w:pStyle w:val="ListParagraph"/>
        <w:numPr>
          <w:ilvl w:val="2"/>
          <w:numId w:val="196"/>
        </w:numPr>
        <w:tabs>
          <w:tab w:val="left" w:pos="2578"/>
        </w:tabs>
        <w:spacing w:before="239"/>
        <w:ind w:right="790"/>
        <w:jc w:val="both"/>
      </w:pPr>
      <w:r w:rsidRPr="00EC20A0">
        <w:t>the</w:t>
      </w:r>
      <w:r w:rsidRPr="00EC20A0">
        <w:rPr>
          <w:spacing w:val="-3"/>
        </w:rPr>
        <w:t xml:space="preserve"> </w:t>
      </w:r>
      <w:r w:rsidRPr="00EC20A0">
        <w:t>scope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service</w:t>
      </w:r>
      <w:r w:rsidRPr="00EC20A0">
        <w:rPr>
          <w:spacing w:val="-3"/>
        </w:rPr>
        <w:t xml:space="preserve"> </w:t>
      </w:r>
      <w:r w:rsidRPr="00EC20A0">
        <w:t>auditor’s</w:t>
      </w:r>
      <w:r w:rsidRPr="00EC20A0">
        <w:rPr>
          <w:spacing w:val="-3"/>
        </w:rPr>
        <w:t xml:space="preserve"> </w:t>
      </w:r>
      <w:r w:rsidRPr="00EC20A0">
        <w:t>work</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services</w:t>
      </w:r>
      <w:r w:rsidRPr="00EC20A0">
        <w:rPr>
          <w:spacing w:val="-3"/>
        </w:rPr>
        <w:t xml:space="preserve"> </w:t>
      </w:r>
      <w:r w:rsidRPr="00EC20A0">
        <w:t>and</w:t>
      </w:r>
      <w:r w:rsidRPr="00EC20A0">
        <w:rPr>
          <w:spacing w:val="-3"/>
        </w:rPr>
        <w:t xml:space="preserve"> </w:t>
      </w:r>
      <w:r w:rsidRPr="00EC20A0">
        <w:t>processes covered,</w:t>
      </w:r>
      <w:r w:rsidRPr="00EC20A0">
        <w:rPr>
          <w:spacing w:val="-4"/>
        </w:rPr>
        <w:t xml:space="preserve"> </w:t>
      </w:r>
      <w:r w:rsidRPr="00EC20A0">
        <w:t>the</w:t>
      </w:r>
      <w:r w:rsidRPr="00EC20A0">
        <w:rPr>
          <w:spacing w:val="-5"/>
        </w:rPr>
        <w:t xml:space="preserve"> </w:t>
      </w:r>
      <w:r w:rsidRPr="00EC20A0">
        <w:t>controls</w:t>
      </w:r>
      <w:r w:rsidRPr="00EC20A0">
        <w:rPr>
          <w:spacing w:val="-4"/>
        </w:rPr>
        <w:t xml:space="preserve"> </w:t>
      </w:r>
      <w:r w:rsidRPr="00EC20A0">
        <w:t>tested,</w:t>
      </w:r>
      <w:r w:rsidRPr="00EC20A0">
        <w:rPr>
          <w:spacing w:val="-4"/>
        </w:rPr>
        <w:t xml:space="preserve"> </w:t>
      </w:r>
      <w:r w:rsidRPr="00EC20A0">
        <w:t>and</w:t>
      </w:r>
      <w:r w:rsidRPr="00EC20A0">
        <w:rPr>
          <w:spacing w:val="-4"/>
        </w:rPr>
        <w:t xml:space="preserve"> </w:t>
      </w:r>
      <w:r w:rsidRPr="00EC20A0">
        <w:t>the</w:t>
      </w:r>
      <w:r w:rsidRPr="00EC20A0">
        <w:rPr>
          <w:spacing w:val="-5"/>
        </w:rPr>
        <w:t xml:space="preserve"> </w:t>
      </w:r>
      <w:r w:rsidRPr="00EC20A0">
        <w:t>tests</w:t>
      </w:r>
      <w:r w:rsidRPr="00EC20A0">
        <w:rPr>
          <w:spacing w:val="-4"/>
        </w:rPr>
        <w:t xml:space="preserve"> </w:t>
      </w:r>
      <w:r w:rsidRPr="00EC20A0">
        <w:t>that</w:t>
      </w:r>
      <w:r w:rsidRPr="00EC20A0">
        <w:rPr>
          <w:spacing w:val="-4"/>
        </w:rPr>
        <w:t xml:space="preserve"> </w:t>
      </w:r>
      <w:r w:rsidRPr="00EC20A0">
        <w:t>were</w:t>
      </w:r>
      <w:r w:rsidRPr="00EC20A0">
        <w:rPr>
          <w:spacing w:val="-4"/>
        </w:rPr>
        <w:t xml:space="preserve"> </w:t>
      </w:r>
      <w:r w:rsidRPr="00EC20A0">
        <w:t>performed</w:t>
      </w:r>
      <w:r w:rsidRPr="00EC20A0">
        <w:rPr>
          <w:spacing w:val="-4"/>
        </w:rPr>
        <w:t xml:space="preserve"> </w:t>
      </w:r>
      <w:r w:rsidRPr="00EC20A0">
        <w:t>and</w:t>
      </w:r>
      <w:r w:rsidRPr="00EC20A0">
        <w:rPr>
          <w:spacing w:val="-4"/>
        </w:rPr>
        <w:t xml:space="preserve"> </w:t>
      </w:r>
      <w:r w:rsidRPr="00EC20A0">
        <w:t>the way in which tested controls relate to the entity’s controls; and</w:t>
      </w:r>
    </w:p>
    <w:p w14:paraId="24D60134" w14:textId="77777777" w:rsidR="00245300" w:rsidRPr="00EC20A0" w:rsidRDefault="00245300">
      <w:pPr>
        <w:jc w:val="both"/>
        <w:sectPr w:rsidR="00245300" w:rsidRPr="00EC20A0">
          <w:pgSz w:w="12240" w:h="15840"/>
          <w:pgMar w:top="1340" w:right="940" w:bottom="1020" w:left="1020" w:header="721" w:footer="757" w:gutter="0"/>
          <w:cols w:space="720"/>
        </w:sectPr>
      </w:pPr>
    </w:p>
    <w:p w14:paraId="24D60135" w14:textId="77777777" w:rsidR="00245300" w:rsidRPr="00EC20A0" w:rsidRDefault="00F17249">
      <w:pPr>
        <w:pStyle w:val="ListParagraph"/>
        <w:numPr>
          <w:ilvl w:val="2"/>
          <w:numId w:val="196"/>
        </w:numPr>
        <w:tabs>
          <w:tab w:val="left" w:pos="2580"/>
        </w:tabs>
        <w:spacing w:before="121"/>
        <w:ind w:left="2580" w:right="714" w:hanging="361"/>
      </w:pPr>
      <w:r w:rsidRPr="00EC20A0">
        <w:t>the</w:t>
      </w:r>
      <w:r w:rsidRPr="00EC20A0">
        <w:rPr>
          <w:spacing w:val="-3"/>
        </w:rPr>
        <w:t xml:space="preserve"> </w:t>
      </w:r>
      <w:r w:rsidRPr="00EC20A0">
        <w:t>results</w:t>
      </w:r>
      <w:r w:rsidRPr="00EC20A0">
        <w:rPr>
          <w:spacing w:val="-3"/>
        </w:rPr>
        <w:t xml:space="preserve"> </w:t>
      </w:r>
      <w:r w:rsidRPr="00EC20A0">
        <w:t>of</w:t>
      </w:r>
      <w:r w:rsidRPr="00EC20A0">
        <w:rPr>
          <w:spacing w:val="-3"/>
        </w:rPr>
        <w:t xml:space="preserve"> </w:t>
      </w:r>
      <w:r w:rsidRPr="00EC20A0">
        <w:t>those</w:t>
      </w:r>
      <w:r w:rsidRPr="00EC20A0">
        <w:rPr>
          <w:spacing w:val="-3"/>
        </w:rPr>
        <w:t xml:space="preserve"> </w:t>
      </w:r>
      <w:r w:rsidRPr="00EC20A0">
        <w:t>tests</w:t>
      </w:r>
      <w:r w:rsidRPr="00EC20A0">
        <w:rPr>
          <w:spacing w:val="-4"/>
        </w:rPr>
        <w:t xml:space="preserve"> </w:t>
      </w:r>
      <w:r w:rsidRPr="00EC20A0">
        <w:t>of</w:t>
      </w:r>
      <w:r w:rsidRPr="00EC20A0">
        <w:rPr>
          <w:spacing w:val="-3"/>
        </w:rPr>
        <w:t xml:space="preserve"> </w:t>
      </w:r>
      <w:r w:rsidRPr="00EC20A0">
        <w:t>controls</w:t>
      </w:r>
      <w:r w:rsidRPr="00EC20A0">
        <w:rPr>
          <w:spacing w:val="-4"/>
        </w:rPr>
        <w:t xml:space="preserve"> </w:t>
      </w:r>
      <w:r w:rsidRPr="00EC20A0">
        <w:t>and</w:t>
      </w:r>
      <w:r w:rsidRPr="00EC20A0">
        <w:rPr>
          <w:spacing w:val="-3"/>
        </w:rPr>
        <w:t xml:space="preserve"> </w:t>
      </w:r>
      <w:r w:rsidRPr="00EC20A0">
        <w:t>the</w:t>
      </w:r>
      <w:r w:rsidRPr="00EC20A0">
        <w:rPr>
          <w:spacing w:val="-3"/>
        </w:rPr>
        <w:t xml:space="preserve"> </w:t>
      </w:r>
      <w:r w:rsidRPr="00EC20A0">
        <w:t>service</w:t>
      </w:r>
      <w:r w:rsidRPr="00EC20A0">
        <w:rPr>
          <w:spacing w:val="-3"/>
        </w:rPr>
        <w:t xml:space="preserve"> </w:t>
      </w:r>
      <w:r w:rsidRPr="00EC20A0">
        <w:t>auditor’s</w:t>
      </w:r>
      <w:r w:rsidRPr="00EC20A0">
        <w:rPr>
          <w:spacing w:val="-4"/>
        </w:rPr>
        <w:t xml:space="preserve"> </w:t>
      </w:r>
      <w:r w:rsidRPr="00EC20A0">
        <w:t>opinion</w:t>
      </w:r>
      <w:r w:rsidRPr="00EC20A0">
        <w:rPr>
          <w:spacing w:val="-3"/>
        </w:rPr>
        <w:t xml:space="preserve"> </w:t>
      </w:r>
      <w:r w:rsidRPr="00EC20A0">
        <w:t>on the operating effectiveness of the controls (AU-C 940.04a and .90).</w:t>
      </w:r>
    </w:p>
    <w:p w14:paraId="24D60136" w14:textId="77777777" w:rsidR="00245300" w:rsidRPr="00EC20A0" w:rsidRDefault="00F17249">
      <w:pPr>
        <w:pStyle w:val="ListParagraph"/>
        <w:numPr>
          <w:ilvl w:val="1"/>
          <w:numId w:val="196"/>
        </w:numPr>
        <w:tabs>
          <w:tab w:val="left" w:pos="2220"/>
        </w:tabs>
        <w:spacing w:before="238"/>
        <w:ind w:right="550"/>
      </w:pPr>
      <w:r w:rsidRPr="00EC20A0">
        <w:t>Inquire</w:t>
      </w:r>
      <w:r w:rsidRPr="00EC20A0">
        <w:rPr>
          <w:spacing w:val="-5"/>
        </w:rPr>
        <w:t xml:space="preserve"> </w:t>
      </w:r>
      <w:r w:rsidRPr="00EC20A0">
        <w:t>of</w:t>
      </w:r>
      <w:r w:rsidRPr="00EC20A0">
        <w:rPr>
          <w:spacing w:val="-5"/>
        </w:rPr>
        <w:t xml:space="preserve"> </w:t>
      </w:r>
      <w:r w:rsidRPr="00EC20A0">
        <w:t>management</w:t>
      </w:r>
      <w:r w:rsidRPr="00EC20A0">
        <w:rPr>
          <w:spacing w:val="-5"/>
        </w:rPr>
        <w:t xml:space="preserve"> </w:t>
      </w:r>
      <w:r w:rsidRPr="00EC20A0">
        <w:t>to</w:t>
      </w:r>
      <w:r w:rsidRPr="00EC20A0">
        <w:rPr>
          <w:spacing w:val="-5"/>
        </w:rPr>
        <w:t xml:space="preserve"> </w:t>
      </w:r>
      <w:r w:rsidRPr="00EC20A0">
        <w:t>determine</w:t>
      </w:r>
      <w:r w:rsidRPr="00EC20A0">
        <w:rPr>
          <w:spacing w:val="-5"/>
        </w:rPr>
        <w:t xml:space="preserve"> </w:t>
      </w:r>
      <w:r w:rsidRPr="00EC20A0">
        <w:t>whether</w:t>
      </w:r>
      <w:r w:rsidRPr="00EC20A0">
        <w:rPr>
          <w:spacing w:val="-5"/>
        </w:rPr>
        <w:t xml:space="preserve"> </w:t>
      </w:r>
      <w:r w:rsidRPr="00EC20A0">
        <w:t>management</w:t>
      </w:r>
      <w:r w:rsidRPr="00EC20A0">
        <w:rPr>
          <w:spacing w:val="-5"/>
        </w:rPr>
        <w:t xml:space="preserve"> </w:t>
      </w:r>
      <w:r w:rsidRPr="00EC20A0">
        <w:t>has</w:t>
      </w:r>
      <w:r w:rsidRPr="00EC20A0">
        <w:rPr>
          <w:spacing w:val="-5"/>
        </w:rPr>
        <w:t xml:space="preserve"> </w:t>
      </w:r>
      <w:r w:rsidRPr="00EC20A0">
        <w:t>identified</w:t>
      </w:r>
      <w:r w:rsidRPr="00EC20A0">
        <w:rPr>
          <w:spacing w:val="-6"/>
        </w:rPr>
        <w:t xml:space="preserve"> </w:t>
      </w:r>
      <w:r w:rsidRPr="00EC20A0">
        <w:t xml:space="preserve">any changes in the service organization’s controls subsequent to the period covered by the service auditor’s report. If management has identified such changes, the auditor should evaluate the effect of such changes on the effectiveness of the entity’s internal control over financial reporting (AU-C </w:t>
      </w:r>
      <w:r w:rsidRPr="00EC20A0">
        <w:rPr>
          <w:spacing w:val="-2"/>
        </w:rPr>
        <w:t>940.93).</w:t>
      </w:r>
    </w:p>
    <w:p w14:paraId="24D60137" w14:textId="77777777" w:rsidR="00245300" w:rsidRPr="00EC20A0" w:rsidRDefault="00F17249">
      <w:pPr>
        <w:pStyle w:val="ListParagraph"/>
        <w:numPr>
          <w:ilvl w:val="1"/>
          <w:numId w:val="196"/>
        </w:numPr>
        <w:tabs>
          <w:tab w:val="left" w:pos="2220"/>
        </w:tabs>
        <w:spacing w:before="241"/>
        <w:ind w:right="1148"/>
      </w:pPr>
      <w:r w:rsidRPr="00EC20A0">
        <w:t>Evaluate</w:t>
      </w:r>
      <w:r w:rsidRPr="00EC20A0">
        <w:rPr>
          <w:spacing w:val="-5"/>
        </w:rPr>
        <w:t xml:space="preserve"> </w:t>
      </w:r>
      <w:r w:rsidRPr="00EC20A0">
        <w:t>whether</w:t>
      </w:r>
      <w:r w:rsidRPr="00EC20A0">
        <w:rPr>
          <w:spacing w:val="-5"/>
        </w:rPr>
        <w:t xml:space="preserve"> </w:t>
      </w:r>
      <w:r w:rsidRPr="00EC20A0">
        <w:t>the</w:t>
      </w:r>
      <w:r w:rsidRPr="00EC20A0">
        <w:rPr>
          <w:spacing w:val="-5"/>
        </w:rPr>
        <w:t xml:space="preserve"> </w:t>
      </w:r>
      <w:r w:rsidRPr="00EC20A0">
        <w:t>results</w:t>
      </w:r>
      <w:r w:rsidRPr="00EC20A0">
        <w:rPr>
          <w:spacing w:val="-5"/>
        </w:rPr>
        <w:t xml:space="preserve"> </w:t>
      </w:r>
      <w:r w:rsidRPr="00EC20A0">
        <w:t>of</w:t>
      </w:r>
      <w:r w:rsidRPr="00EC20A0">
        <w:rPr>
          <w:spacing w:val="-5"/>
        </w:rPr>
        <w:t xml:space="preserve"> </w:t>
      </w:r>
      <w:r w:rsidRPr="00EC20A0">
        <w:t>other</w:t>
      </w:r>
      <w:r w:rsidRPr="00EC20A0">
        <w:rPr>
          <w:spacing w:val="-5"/>
        </w:rPr>
        <w:t xml:space="preserve"> </w:t>
      </w:r>
      <w:r w:rsidRPr="00EC20A0">
        <w:t>procedures</w:t>
      </w:r>
      <w:r w:rsidRPr="00EC20A0">
        <w:rPr>
          <w:spacing w:val="-5"/>
        </w:rPr>
        <w:t xml:space="preserve"> </w:t>
      </w:r>
      <w:r w:rsidRPr="00EC20A0">
        <w:t>the</w:t>
      </w:r>
      <w:r w:rsidRPr="00EC20A0">
        <w:rPr>
          <w:spacing w:val="-5"/>
        </w:rPr>
        <w:t xml:space="preserve"> </w:t>
      </w:r>
      <w:r w:rsidRPr="00EC20A0">
        <w:t>auditor</w:t>
      </w:r>
      <w:r w:rsidRPr="00EC20A0">
        <w:rPr>
          <w:spacing w:val="-6"/>
        </w:rPr>
        <w:t xml:space="preserve"> </w:t>
      </w:r>
      <w:r w:rsidRPr="00EC20A0">
        <w:t>performed indicate that there have been changes in the controls at the service organization (AU-C 940.93).</w:t>
      </w:r>
    </w:p>
    <w:p w14:paraId="24D60138" w14:textId="77777777" w:rsidR="00245300" w:rsidRPr="00EC20A0" w:rsidRDefault="00F17249">
      <w:pPr>
        <w:pStyle w:val="ListParagraph"/>
        <w:numPr>
          <w:ilvl w:val="1"/>
          <w:numId w:val="196"/>
        </w:numPr>
        <w:tabs>
          <w:tab w:val="left" w:pos="2219"/>
        </w:tabs>
        <w:spacing w:before="239"/>
        <w:ind w:left="2219" w:right="550"/>
      </w:pPr>
      <w:r w:rsidRPr="00EC20A0">
        <w:t xml:space="preserve">Determine whether to obtain additional evidence about the operating effectiveness of </w:t>
      </w:r>
      <w:r w:rsidRPr="00EC20A0">
        <w:t>controls at the service organization based on (1) the procedures</w:t>
      </w:r>
      <w:r w:rsidRPr="00EC20A0">
        <w:rPr>
          <w:spacing w:val="-5"/>
        </w:rPr>
        <w:t xml:space="preserve"> </w:t>
      </w:r>
      <w:r w:rsidRPr="00EC20A0">
        <w:t>performed</w:t>
      </w:r>
      <w:r w:rsidRPr="00EC20A0">
        <w:rPr>
          <w:spacing w:val="-4"/>
        </w:rPr>
        <w:t xml:space="preserve"> </w:t>
      </w:r>
      <w:r w:rsidRPr="00EC20A0">
        <w:t>by</w:t>
      </w:r>
      <w:r w:rsidRPr="00EC20A0">
        <w:rPr>
          <w:spacing w:val="-4"/>
        </w:rPr>
        <w:t xml:space="preserve"> </w:t>
      </w:r>
      <w:r w:rsidRPr="00EC20A0">
        <w:t>management</w:t>
      </w:r>
      <w:r w:rsidRPr="00EC20A0">
        <w:rPr>
          <w:spacing w:val="-4"/>
        </w:rPr>
        <w:t xml:space="preserve"> </w:t>
      </w:r>
      <w:r w:rsidRPr="00EC20A0">
        <w:t>or</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results</w:t>
      </w:r>
      <w:r w:rsidRPr="00EC20A0">
        <w:rPr>
          <w:spacing w:val="-4"/>
        </w:rPr>
        <w:t xml:space="preserve"> </w:t>
      </w:r>
      <w:r w:rsidRPr="00EC20A0">
        <w:t>of</w:t>
      </w:r>
      <w:r w:rsidRPr="00EC20A0">
        <w:rPr>
          <w:spacing w:val="-4"/>
        </w:rPr>
        <w:t xml:space="preserve"> </w:t>
      </w:r>
      <w:r w:rsidRPr="00EC20A0">
        <w:t>those procedures and (2) an evaluation of the following risk factors (AU-C 940.06b and .94):</w:t>
      </w:r>
    </w:p>
    <w:p w14:paraId="24D60139" w14:textId="77777777" w:rsidR="00245300" w:rsidRPr="00EC20A0" w:rsidRDefault="00F17249">
      <w:pPr>
        <w:pStyle w:val="ListParagraph"/>
        <w:numPr>
          <w:ilvl w:val="2"/>
          <w:numId w:val="196"/>
        </w:numPr>
        <w:tabs>
          <w:tab w:val="left" w:pos="2579"/>
        </w:tabs>
        <w:ind w:left="2579" w:right="568"/>
      </w:pPr>
      <w:r w:rsidRPr="00EC20A0">
        <w:t>the</w:t>
      </w:r>
      <w:r w:rsidRPr="00EC20A0">
        <w:rPr>
          <w:spacing w:val="-3"/>
        </w:rPr>
        <w:t xml:space="preserve"> </w:t>
      </w:r>
      <w:r w:rsidRPr="00EC20A0">
        <w:t>elapsed</w:t>
      </w:r>
      <w:r w:rsidRPr="00EC20A0">
        <w:rPr>
          <w:spacing w:val="-4"/>
        </w:rPr>
        <w:t xml:space="preserve"> </w:t>
      </w:r>
      <w:r w:rsidRPr="00EC20A0">
        <w:t>time</w:t>
      </w:r>
      <w:r w:rsidRPr="00EC20A0">
        <w:rPr>
          <w:spacing w:val="-3"/>
        </w:rPr>
        <w:t xml:space="preserve"> </w:t>
      </w:r>
      <w:r w:rsidRPr="00EC20A0">
        <w:t>between</w:t>
      </w:r>
      <w:r w:rsidRPr="00EC20A0">
        <w:rPr>
          <w:spacing w:val="-3"/>
        </w:rPr>
        <w:t xml:space="preserve"> </w:t>
      </w:r>
      <w:r w:rsidRPr="00EC20A0">
        <w:t>the</w:t>
      </w:r>
      <w:r w:rsidRPr="00EC20A0">
        <w:rPr>
          <w:spacing w:val="-3"/>
        </w:rPr>
        <w:t xml:space="preserve"> </w:t>
      </w:r>
      <w:r w:rsidRPr="00EC20A0">
        <w:t>time</w:t>
      </w:r>
      <w:r w:rsidRPr="00EC20A0">
        <w:rPr>
          <w:spacing w:val="-3"/>
        </w:rPr>
        <w:t xml:space="preserve"> </w:t>
      </w:r>
      <w:r w:rsidRPr="00EC20A0">
        <w:t>period</w:t>
      </w:r>
      <w:r w:rsidRPr="00EC20A0">
        <w:rPr>
          <w:spacing w:val="-3"/>
        </w:rPr>
        <w:t xml:space="preserve"> </w:t>
      </w:r>
      <w:r w:rsidRPr="00EC20A0">
        <w:t>covered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tests</w:t>
      </w:r>
      <w:r w:rsidRPr="00EC20A0">
        <w:rPr>
          <w:spacing w:val="-3"/>
        </w:rPr>
        <w:t xml:space="preserve"> </w:t>
      </w:r>
      <w:r w:rsidRPr="00EC20A0">
        <w:t>of</w:t>
      </w:r>
      <w:r w:rsidRPr="00EC20A0">
        <w:rPr>
          <w:spacing w:val="-3"/>
        </w:rPr>
        <w:t xml:space="preserve"> </w:t>
      </w:r>
      <w:r w:rsidRPr="00EC20A0">
        <w:t>controls in the service auditor’s report and the balance sheet date,</w:t>
      </w:r>
    </w:p>
    <w:p w14:paraId="24D6013A" w14:textId="77777777" w:rsidR="00245300" w:rsidRPr="00EC20A0" w:rsidRDefault="00F17249">
      <w:pPr>
        <w:pStyle w:val="ListParagraph"/>
        <w:numPr>
          <w:ilvl w:val="2"/>
          <w:numId w:val="196"/>
        </w:numPr>
        <w:tabs>
          <w:tab w:val="left" w:pos="2579"/>
        </w:tabs>
        <w:spacing w:before="238"/>
        <w:ind w:left="2579" w:hanging="359"/>
      </w:pPr>
      <w:r w:rsidRPr="00EC20A0">
        <w:t>the</w:t>
      </w:r>
      <w:r w:rsidRPr="00EC20A0">
        <w:rPr>
          <w:spacing w:val="-6"/>
        </w:rPr>
        <w:t xml:space="preserve"> </w:t>
      </w:r>
      <w:r w:rsidRPr="00EC20A0">
        <w:t>significance</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activities</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service</w:t>
      </w:r>
      <w:r w:rsidRPr="00EC20A0">
        <w:rPr>
          <w:spacing w:val="-7"/>
        </w:rPr>
        <w:t xml:space="preserve"> </w:t>
      </w:r>
      <w:r w:rsidRPr="00EC20A0">
        <w:rPr>
          <w:spacing w:val="-2"/>
        </w:rPr>
        <w:t>organization,</w:t>
      </w:r>
    </w:p>
    <w:p w14:paraId="24D6013B" w14:textId="77777777" w:rsidR="00245300" w:rsidRPr="00EC20A0" w:rsidRDefault="00F17249">
      <w:pPr>
        <w:pStyle w:val="ListParagraph"/>
        <w:numPr>
          <w:ilvl w:val="2"/>
          <w:numId w:val="196"/>
        </w:numPr>
        <w:tabs>
          <w:tab w:val="left" w:pos="2579"/>
        </w:tabs>
        <w:spacing w:before="239"/>
        <w:ind w:left="2579" w:right="1523"/>
      </w:pPr>
      <w:r w:rsidRPr="00EC20A0">
        <w:t>whether</w:t>
      </w:r>
      <w:r w:rsidRPr="00EC20A0">
        <w:rPr>
          <w:spacing w:val="-4"/>
        </w:rPr>
        <w:t xml:space="preserve"> </w:t>
      </w:r>
      <w:r w:rsidRPr="00EC20A0">
        <w:t>there</w:t>
      </w:r>
      <w:r w:rsidRPr="00EC20A0">
        <w:rPr>
          <w:spacing w:val="-4"/>
        </w:rPr>
        <w:t xml:space="preserve"> </w:t>
      </w:r>
      <w:r w:rsidRPr="00EC20A0">
        <w:t>are</w:t>
      </w:r>
      <w:r w:rsidRPr="00EC20A0">
        <w:rPr>
          <w:spacing w:val="-4"/>
        </w:rPr>
        <w:t xml:space="preserve"> </w:t>
      </w:r>
      <w:r w:rsidRPr="00EC20A0">
        <w:t>errors</w:t>
      </w:r>
      <w:r w:rsidRPr="00EC20A0">
        <w:rPr>
          <w:spacing w:val="-5"/>
        </w:rPr>
        <w:t xml:space="preserve"> </w:t>
      </w:r>
      <w:r w:rsidRPr="00EC20A0">
        <w:t>that</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identified</w:t>
      </w:r>
      <w:r w:rsidRPr="00EC20A0">
        <w:rPr>
          <w:spacing w:val="-5"/>
        </w:rPr>
        <w:t xml:space="preserve"> </w:t>
      </w:r>
      <w:r w:rsidRPr="00EC20A0">
        <w:t>in</w:t>
      </w:r>
      <w:r w:rsidRPr="00EC20A0">
        <w:rPr>
          <w:spacing w:val="-4"/>
        </w:rPr>
        <w:t xml:space="preserve"> </w:t>
      </w:r>
      <w:r w:rsidRPr="00EC20A0">
        <w:t>the</w:t>
      </w:r>
      <w:r w:rsidRPr="00EC20A0">
        <w:rPr>
          <w:spacing w:val="-4"/>
        </w:rPr>
        <w:t xml:space="preserve"> </w:t>
      </w:r>
      <w:r w:rsidRPr="00EC20A0">
        <w:t xml:space="preserve">service organization’s </w:t>
      </w:r>
      <w:r w:rsidRPr="00EC20A0">
        <w:t>processing, and</w:t>
      </w:r>
    </w:p>
    <w:p w14:paraId="24D6013C" w14:textId="77777777" w:rsidR="00245300" w:rsidRPr="00EC20A0" w:rsidRDefault="00F17249">
      <w:pPr>
        <w:pStyle w:val="ListParagraph"/>
        <w:numPr>
          <w:ilvl w:val="2"/>
          <w:numId w:val="196"/>
        </w:numPr>
        <w:tabs>
          <w:tab w:val="left" w:pos="2579"/>
        </w:tabs>
        <w:spacing w:before="238"/>
        <w:ind w:left="2579" w:right="738" w:hanging="361"/>
      </w:pPr>
      <w:r w:rsidRPr="00EC20A0">
        <w:t>the</w:t>
      </w:r>
      <w:r w:rsidRPr="00EC20A0">
        <w:rPr>
          <w:spacing w:val="-4"/>
        </w:rPr>
        <w:t xml:space="preserve"> </w:t>
      </w:r>
      <w:r w:rsidRPr="00EC20A0">
        <w:t>nature</w:t>
      </w:r>
      <w:r w:rsidRPr="00EC20A0">
        <w:rPr>
          <w:spacing w:val="-4"/>
        </w:rPr>
        <w:t xml:space="preserve"> </w:t>
      </w:r>
      <w:r w:rsidRPr="00EC20A0">
        <w:t>and</w:t>
      </w:r>
      <w:r w:rsidRPr="00EC20A0">
        <w:rPr>
          <w:spacing w:val="-4"/>
        </w:rPr>
        <w:t xml:space="preserve"> </w:t>
      </w:r>
      <w:r w:rsidRPr="00EC20A0">
        <w:t>significance</w:t>
      </w:r>
      <w:r w:rsidRPr="00EC20A0">
        <w:rPr>
          <w:spacing w:val="-4"/>
        </w:rPr>
        <w:t xml:space="preserve"> </w:t>
      </w:r>
      <w:r w:rsidRPr="00EC20A0">
        <w:t>of</w:t>
      </w:r>
      <w:r w:rsidRPr="00EC20A0">
        <w:rPr>
          <w:spacing w:val="-4"/>
        </w:rPr>
        <w:t xml:space="preserve"> </w:t>
      </w:r>
      <w:r w:rsidRPr="00EC20A0">
        <w:t>any</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service</w:t>
      </w:r>
      <w:r w:rsidRPr="00EC20A0">
        <w:rPr>
          <w:spacing w:val="-4"/>
        </w:rPr>
        <w:t xml:space="preserve"> </w:t>
      </w:r>
      <w:r w:rsidRPr="00EC20A0">
        <w:t>organization’s controls identified by management or the auditor.</w:t>
      </w:r>
    </w:p>
    <w:p w14:paraId="24D6013D" w14:textId="77777777" w:rsidR="00245300" w:rsidRPr="00EC20A0" w:rsidRDefault="00F17249">
      <w:pPr>
        <w:pStyle w:val="ListParagraph"/>
        <w:numPr>
          <w:ilvl w:val="1"/>
          <w:numId w:val="196"/>
        </w:numPr>
        <w:tabs>
          <w:tab w:val="left" w:pos="2219"/>
        </w:tabs>
        <w:spacing w:before="238"/>
        <w:ind w:left="2219" w:right="500"/>
      </w:pPr>
      <w:r w:rsidRPr="00EC20A0">
        <w:t>When a significant period of time has elapsed between the time period covered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tests</w:t>
      </w:r>
      <w:r w:rsidRPr="00EC20A0">
        <w:rPr>
          <w:spacing w:val="-3"/>
        </w:rPr>
        <w:t xml:space="preserve"> </w:t>
      </w:r>
      <w:r w:rsidRPr="00EC20A0">
        <w:t>of</w:t>
      </w:r>
      <w:r w:rsidRPr="00EC20A0">
        <w:rPr>
          <w:spacing w:val="-4"/>
        </w:rPr>
        <w:t xml:space="preserve"> </w:t>
      </w:r>
      <w:r w:rsidRPr="00EC20A0">
        <w:t>controls</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service</w:t>
      </w:r>
      <w:r w:rsidRPr="00EC20A0">
        <w:rPr>
          <w:spacing w:val="-4"/>
        </w:rPr>
        <w:t xml:space="preserve"> </w:t>
      </w:r>
      <w:r w:rsidRPr="00EC20A0">
        <w:t>auditor’s</w:t>
      </w:r>
      <w:r w:rsidRPr="00EC20A0">
        <w:rPr>
          <w:spacing w:val="-3"/>
        </w:rPr>
        <w:t xml:space="preserve"> </w:t>
      </w:r>
      <w:r w:rsidRPr="00EC20A0">
        <w:t>report</w:t>
      </w:r>
      <w:r w:rsidRPr="00EC20A0">
        <w:rPr>
          <w:spacing w:val="-4"/>
        </w:rPr>
        <w:t xml:space="preserve"> </w:t>
      </w:r>
      <w:r w:rsidRPr="00EC20A0">
        <w:t>and</w:t>
      </w:r>
      <w:r w:rsidRPr="00EC20A0">
        <w:rPr>
          <w:spacing w:val="-3"/>
        </w:rPr>
        <w:t xml:space="preserve"> </w:t>
      </w:r>
      <w:r w:rsidRPr="00EC20A0">
        <w:t>the</w:t>
      </w:r>
      <w:r w:rsidRPr="00EC20A0">
        <w:rPr>
          <w:spacing w:val="-3"/>
        </w:rPr>
        <w:t xml:space="preserve"> </w:t>
      </w:r>
      <w:r w:rsidRPr="00EC20A0">
        <w:t>balance sheet date, perform additional procedures to obtain sufficient appropriate audit</w:t>
      </w:r>
      <w:r w:rsidRPr="00EC20A0">
        <w:rPr>
          <w:spacing w:val="-1"/>
        </w:rPr>
        <w:t xml:space="preserve"> </w:t>
      </w:r>
      <w:r w:rsidRPr="00EC20A0">
        <w:t>evidence</w:t>
      </w:r>
      <w:r w:rsidRPr="00EC20A0">
        <w:rPr>
          <w:spacing w:val="-1"/>
        </w:rPr>
        <w:t xml:space="preserve"> </w:t>
      </w:r>
      <w:r w:rsidRPr="00EC20A0">
        <w:t>about</w:t>
      </w:r>
      <w:r w:rsidRPr="00EC20A0">
        <w:rPr>
          <w:spacing w:val="-1"/>
        </w:rPr>
        <w:t xml:space="preserve"> </w:t>
      </w:r>
      <w:r w:rsidRPr="00EC20A0">
        <w:t>the</w:t>
      </w:r>
      <w:r w:rsidRPr="00EC20A0">
        <w:rPr>
          <w:spacing w:val="-2"/>
        </w:rPr>
        <w:t xml:space="preserve"> </w:t>
      </w:r>
      <w:r w:rsidRPr="00EC20A0">
        <w:t>operating</w:t>
      </w:r>
      <w:r w:rsidRPr="00EC20A0">
        <w:rPr>
          <w:spacing w:val="-1"/>
        </w:rPr>
        <w:t xml:space="preserve"> </w:t>
      </w:r>
      <w:r w:rsidRPr="00EC20A0">
        <w:t>effectiveness</w:t>
      </w:r>
      <w:r w:rsidRPr="00EC20A0">
        <w:rPr>
          <w:spacing w:val="-2"/>
        </w:rPr>
        <w:t xml:space="preserve"> </w:t>
      </w:r>
      <w:r w:rsidRPr="00EC20A0">
        <w:t>of</w:t>
      </w:r>
      <w:r w:rsidRPr="00EC20A0">
        <w:rPr>
          <w:spacing w:val="-1"/>
        </w:rPr>
        <w:t xml:space="preserve"> </w:t>
      </w:r>
      <w:r w:rsidRPr="00EC20A0">
        <w:t>the</w:t>
      </w:r>
      <w:r w:rsidRPr="00EC20A0">
        <w:rPr>
          <w:spacing w:val="-1"/>
        </w:rPr>
        <w:t xml:space="preserve"> </w:t>
      </w:r>
      <w:r w:rsidRPr="00EC20A0">
        <w:t>controls</w:t>
      </w:r>
      <w:r w:rsidRPr="00EC20A0">
        <w:rPr>
          <w:spacing w:val="-1"/>
        </w:rPr>
        <w:t xml:space="preserve"> </w:t>
      </w:r>
      <w:r w:rsidRPr="00EC20A0">
        <w:t>at</w:t>
      </w:r>
      <w:r w:rsidRPr="00EC20A0">
        <w:rPr>
          <w:spacing w:val="-1"/>
        </w:rPr>
        <w:t xml:space="preserve"> </w:t>
      </w:r>
      <w:r w:rsidRPr="00EC20A0">
        <w:t>the</w:t>
      </w:r>
      <w:r w:rsidRPr="00EC20A0">
        <w:rPr>
          <w:spacing w:val="-1"/>
        </w:rPr>
        <w:t xml:space="preserve"> </w:t>
      </w:r>
      <w:r w:rsidRPr="00EC20A0">
        <w:t xml:space="preserve">service organization that are relevant to the auditor’s </w:t>
      </w:r>
      <w:r w:rsidRPr="00EC20A0">
        <w:t>opinion on internal control over financial reporting (AU-C 940.06b and .95).</w:t>
      </w:r>
    </w:p>
    <w:p w14:paraId="24D6013E" w14:textId="77777777" w:rsidR="00245300" w:rsidRPr="00EC20A0" w:rsidRDefault="00F17249">
      <w:pPr>
        <w:pStyle w:val="ListParagraph"/>
        <w:numPr>
          <w:ilvl w:val="0"/>
          <w:numId w:val="196"/>
        </w:numPr>
        <w:tabs>
          <w:tab w:val="left" w:pos="1858"/>
        </w:tabs>
        <w:ind w:left="1858" w:right="1020" w:hanging="720"/>
        <w:jc w:val="left"/>
      </w:pPr>
      <w:r w:rsidRPr="00EC20A0">
        <w:t>If the auditor concludes that additional evidence about the operating effectiveness</w:t>
      </w:r>
      <w:r w:rsidRPr="00EC20A0">
        <w:rPr>
          <w:spacing w:val="-4"/>
        </w:rPr>
        <w:t xml:space="preserve"> </w:t>
      </w:r>
      <w:r w:rsidRPr="00EC20A0">
        <w:t>of</w:t>
      </w:r>
      <w:r w:rsidRPr="00EC20A0">
        <w:rPr>
          <w:spacing w:val="-4"/>
        </w:rPr>
        <w:t xml:space="preserve"> </w:t>
      </w:r>
      <w:r w:rsidRPr="00EC20A0">
        <w:t>controls</w:t>
      </w:r>
      <w:r w:rsidRPr="00EC20A0">
        <w:rPr>
          <w:spacing w:val="-5"/>
        </w:rPr>
        <w:t xml:space="preserve"> </w:t>
      </w:r>
      <w:r w:rsidRPr="00EC20A0">
        <w:t>at</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organization</w:t>
      </w:r>
      <w:r w:rsidRPr="00EC20A0">
        <w:rPr>
          <w:spacing w:val="-4"/>
        </w:rPr>
        <w:t xml:space="preserve"> </w:t>
      </w:r>
      <w:r w:rsidRPr="00EC20A0">
        <w:t>is</w:t>
      </w:r>
      <w:r w:rsidRPr="00EC20A0">
        <w:rPr>
          <w:spacing w:val="-4"/>
        </w:rPr>
        <w:t xml:space="preserve"> </w:t>
      </w:r>
      <w:r w:rsidRPr="00EC20A0">
        <w:t>required,</w:t>
      </w:r>
      <w:r w:rsidRPr="00EC20A0">
        <w:rPr>
          <w:spacing w:val="-4"/>
        </w:rPr>
        <w:t xml:space="preserve"> </w:t>
      </w:r>
      <w:r w:rsidRPr="00EC20A0">
        <w:t>the</w:t>
      </w:r>
      <w:r w:rsidRPr="00EC20A0">
        <w:rPr>
          <w:spacing w:val="-4"/>
        </w:rPr>
        <w:t xml:space="preserve"> </w:t>
      </w:r>
      <w:r w:rsidRPr="00EC20A0">
        <w:t>auditor’s additional procedures might include</w:t>
      </w:r>
    </w:p>
    <w:p w14:paraId="24D6013F" w14:textId="77777777" w:rsidR="00245300" w:rsidRPr="00EC20A0" w:rsidRDefault="00F17249">
      <w:pPr>
        <w:pStyle w:val="ListParagraph"/>
        <w:numPr>
          <w:ilvl w:val="1"/>
          <w:numId w:val="196"/>
        </w:numPr>
        <w:tabs>
          <w:tab w:val="left" w:pos="2218"/>
        </w:tabs>
        <w:ind w:left="2218" w:right="843"/>
      </w:pPr>
      <w:r w:rsidRPr="00EC20A0">
        <w:t>evaluating</w:t>
      </w:r>
      <w:r w:rsidRPr="00EC20A0">
        <w:rPr>
          <w:spacing w:val="-5"/>
        </w:rPr>
        <w:t xml:space="preserve"> </w:t>
      </w:r>
      <w:r w:rsidRPr="00EC20A0">
        <w:t>procedures</w:t>
      </w:r>
      <w:r w:rsidRPr="00EC20A0">
        <w:rPr>
          <w:spacing w:val="-4"/>
        </w:rPr>
        <w:t xml:space="preserve"> </w:t>
      </w:r>
      <w:r w:rsidRPr="00EC20A0">
        <w:t>performed</w:t>
      </w:r>
      <w:r w:rsidRPr="00EC20A0">
        <w:rPr>
          <w:spacing w:val="-5"/>
        </w:rPr>
        <w:t xml:space="preserve"> </w:t>
      </w:r>
      <w:r w:rsidRPr="00EC20A0">
        <w:t>by</w:t>
      </w:r>
      <w:r w:rsidRPr="00EC20A0">
        <w:rPr>
          <w:spacing w:val="-5"/>
        </w:rPr>
        <w:t xml:space="preserve"> </w:t>
      </w:r>
      <w:r w:rsidRPr="00EC20A0">
        <w:t>management</w:t>
      </w:r>
      <w:r w:rsidRPr="00EC20A0">
        <w:rPr>
          <w:spacing w:val="-5"/>
        </w:rPr>
        <w:t xml:space="preserve"> </w:t>
      </w:r>
      <w:r w:rsidRPr="00EC20A0">
        <w:t>and</w:t>
      </w:r>
      <w:r w:rsidRPr="00EC20A0">
        <w:rPr>
          <w:spacing w:val="-5"/>
        </w:rPr>
        <w:t xml:space="preserve"> </w:t>
      </w:r>
      <w:r w:rsidRPr="00EC20A0">
        <w:t>the</w:t>
      </w:r>
      <w:r w:rsidRPr="00EC20A0">
        <w:rPr>
          <w:spacing w:val="-5"/>
        </w:rPr>
        <w:t xml:space="preserve"> </w:t>
      </w:r>
      <w:r w:rsidRPr="00EC20A0">
        <w:t>results</w:t>
      </w:r>
      <w:r w:rsidRPr="00EC20A0">
        <w:rPr>
          <w:spacing w:val="-5"/>
        </w:rPr>
        <w:t xml:space="preserve"> </w:t>
      </w:r>
      <w:r w:rsidRPr="00EC20A0">
        <w:t>of</w:t>
      </w:r>
      <w:r w:rsidRPr="00EC20A0">
        <w:rPr>
          <w:spacing w:val="-5"/>
        </w:rPr>
        <w:t xml:space="preserve"> </w:t>
      </w:r>
      <w:r w:rsidRPr="00EC20A0">
        <w:t xml:space="preserve">those </w:t>
      </w:r>
      <w:r w:rsidRPr="00EC20A0">
        <w:rPr>
          <w:spacing w:val="-2"/>
        </w:rPr>
        <w:t>procedures;</w:t>
      </w:r>
    </w:p>
    <w:p w14:paraId="24D60140" w14:textId="77777777" w:rsidR="00245300" w:rsidRPr="00EC20A0" w:rsidRDefault="00F17249">
      <w:pPr>
        <w:pStyle w:val="ListParagraph"/>
        <w:numPr>
          <w:ilvl w:val="1"/>
          <w:numId w:val="196"/>
        </w:numPr>
        <w:tabs>
          <w:tab w:val="left" w:pos="2216"/>
          <w:tab w:val="left" w:pos="2218"/>
        </w:tabs>
        <w:spacing w:before="239"/>
        <w:ind w:left="2218" w:right="1087" w:hanging="361"/>
      </w:pPr>
      <w:r w:rsidRPr="00EC20A0">
        <w:t>contacting</w:t>
      </w:r>
      <w:r w:rsidRPr="00EC20A0">
        <w:rPr>
          <w:spacing w:val="-4"/>
        </w:rPr>
        <w:t xml:space="preserve"> </w:t>
      </w:r>
      <w:r w:rsidRPr="00EC20A0">
        <w:t>the</w:t>
      </w:r>
      <w:r w:rsidRPr="00EC20A0">
        <w:rPr>
          <w:spacing w:val="-4"/>
        </w:rPr>
        <w:t xml:space="preserve"> </w:t>
      </w:r>
      <w:r w:rsidRPr="00EC20A0">
        <w:t>service</w:t>
      </w:r>
      <w:r w:rsidRPr="00EC20A0">
        <w:rPr>
          <w:spacing w:val="-5"/>
        </w:rPr>
        <w:t xml:space="preserve"> </w:t>
      </w:r>
      <w:r w:rsidRPr="00EC20A0">
        <w:t>organization,</w:t>
      </w:r>
      <w:r w:rsidRPr="00EC20A0">
        <w:rPr>
          <w:spacing w:val="-5"/>
        </w:rPr>
        <w:t xml:space="preserve"> </w:t>
      </w:r>
      <w:r w:rsidRPr="00EC20A0">
        <w:t>through</w:t>
      </w:r>
      <w:r w:rsidRPr="00EC20A0">
        <w:rPr>
          <w:spacing w:val="-4"/>
        </w:rPr>
        <w:t xml:space="preserve"> </w:t>
      </w:r>
      <w:r w:rsidRPr="00EC20A0">
        <w:t>the</w:t>
      </w:r>
      <w:r w:rsidRPr="00EC20A0">
        <w:rPr>
          <w:spacing w:val="-5"/>
        </w:rPr>
        <w:t xml:space="preserve"> </w:t>
      </w:r>
      <w:r w:rsidRPr="00EC20A0">
        <w:t>entity,</w:t>
      </w:r>
      <w:r w:rsidRPr="00EC20A0">
        <w:rPr>
          <w:spacing w:val="-4"/>
        </w:rPr>
        <w:t xml:space="preserve"> </w:t>
      </w:r>
      <w:r w:rsidRPr="00EC20A0">
        <w:t>to</w:t>
      </w:r>
      <w:r w:rsidRPr="00EC20A0">
        <w:rPr>
          <w:spacing w:val="-4"/>
        </w:rPr>
        <w:t xml:space="preserve"> </w:t>
      </w:r>
      <w:r w:rsidRPr="00EC20A0">
        <w:t>obtain</w:t>
      </w:r>
      <w:r w:rsidRPr="00EC20A0">
        <w:rPr>
          <w:spacing w:val="-4"/>
        </w:rPr>
        <w:t xml:space="preserve"> </w:t>
      </w:r>
      <w:r w:rsidRPr="00EC20A0">
        <w:t xml:space="preserve">specific </w:t>
      </w:r>
      <w:r w:rsidRPr="00EC20A0">
        <w:rPr>
          <w:spacing w:val="-2"/>
        </w:rPr>
        <w:t>information;</w:t>
      </w:r>
    </w:p>
    <w:p w14:paraId="24D60141" w14:textId="77777777" w:rsidR="00245300" w:rsidRPr="00EC20A0" w:rsidRDefault="00F17249">
      <w:pPr>
        <w:pStyle w:val="ListParagraph"/>
        <w:numPr>
          <w:ilvl w:val="1"/>
          <w:numId w:val="196"/>
        </w:numPr>
        <w:tabs>
          <w:tab w:val="left" w:pos="2218"/>
          <w:tab w:val="left" w:pos="2220"/>
        </w:tabs>
        <w:spacing w:before="241"/>
        <w:ind w:right="684" w:hanging="361"/>
      </w:pPr>
      <w:r w:rsidRPr="00EC20A0">
        <w:t>requesting</w:t>
      </w:r>
      <w:r w:rsidRPr="00EC20A0">
        <w:rPr>
          <w:spacing w:val="-3"/>
        </w:rPr>
        <w:t xml:space="preserve"> </w:t>
      </w:r>
      <w:r w:rsidRPr="00EC20A0">
        <w:t>that</w:t>
      </w:r>
      <w:r w:rsidRPr="00EC20A0">
        <w:rPr>
          <w:spacing w:val="-3"/>
        </w:rPr>
        <w:t xml:space="preserve"> </w:t>
      </w:r>
      <w:r w:rsidRPr="00EC20A0">
        <w:t>a</w:t>
      </w:r>
      <w:r w:rsidRPr="00EC20A0">
        <w:rPr>
          <w:spacing w:val="-3"/>
        </w:rPr>
        <w:t xml:space="preserve"> </w:t>
      </w:r>
      <w:r w:rsidRPr="00EC20A0">
        <w:t>service</w:t>
      </w:r>
      <w:r w:rsidRPr="00EC20A0">
        <w:rPr>
          <w:spacing w:val="-3"/>
        </w:rPr>
        <w:t xml:space="preserve"> </w:t>
      </w:r>
      <w:r w:rsidRPr="00EC20A0">
        <w:t>auditor</w:t>
      </w:r>
      <w:r w:rsidRPr="00EC20A0">
        <w:rPr>
          <w:spacing w:val="-3"/>
        </w:rPr>
        <w:t xml:space="preserve"> </w:t>
      </w:r>
      <w:r w:rsidRPr="00EC20A0">
        <w:t>be</w:t>
      </w:r>
      <w:r w:rsidRPr="00EC20A0">
        <w:rPr>
          <w:spacing w:val="-4"/>
        </w:rPr>
        <w:t xml:space="preserve"> </w:t>
      </w:r>
      <w:r w:rsidRPr="00EC20A0">
        <w:t>engaged</w:t>
      </w:r>
      <w:r w:rsidRPr="00EC20A0">
        <w:rPr>
          <w:spacing w:val="-3"/>
        </w:rPr>
        <w:t xml:space="preserve"> </w:t>
      </w:r>
      <w:r w:rsidRPr="00EC20A0">
        <w:t>to</w:t>
      </w:r>
      <w:r w:rsidRPr="00EC20A0">
        <w:rPr>
          <w:spacing w:val="-4"/>
        </w:rPr>
        <w:t xml:space="preserve"> </w:t>
      </w:r>
      <w:r w:rsidRPr="00EC20A0">
        <w:t>perform</w:t>
      </w:r>
      <w:r w:rsidRPr="00EC20A0">
        <w:rPr>
          <w:spacing w:val="-4"/>
        </w:rPr>
        <w:t xml:space="preserve"> </w:t>
      </w:r>
      <w:r w:rsidRPr="00EC20A0">
        <w:t>procedures</w:t>
      </w:r>
      <w:r w:rsidRPr="00EC20A0">
        <w:rPr>
          <w:spacing w:val="-3"/>
        </w:rPr>
        <w:t xml:space="preserve"> </w:t>
      </w:r>
      <w:r w:rsidRPr="00EC20A0">
        <w:t>that</w:t>
      </w:r>
      <w:r w:rsidRPr="00EC20A0">
        <w:rPr>
          <w:spacing w:val="-4"/>
        </w:rPr>
        <w:t xml:space="preserve"> </w:t>
      </w:r>
      <w:r w:rsidRPr="00EC20A0">
        <w:t>will supply the necessary information; and</w:t>
      </w:r>
    </w:p>
    <w:p w14:paraId="24D60142" w14:textId="77777777" w:rsidR="00245300" w:rsidRPr="00EC20A0" w:rsidRDefault="00245300">
      <w:pPr>
        <w:sectPr w:rsidR="00245300" w:rsidRPr="00EC20A0">
          <w:pgSz w:w="12240" w:h="15840"/>
          <w:pgMar w:top="1340" w:right="940" w:bottom="940" w:left="1020" w:header="721" w:footer="757" w:gutter="0"/>
          <w:cols w:space="720"/>
        </w:sectPr>
      </w:pPr>
    </w:p>
    <w:p w14:paraId="24D60143" w14:textId="77777777" w:rsidR="00245300" w:rsidRPr="00EC20A0" w:rsidRDefault="00F17249">
      <w:pPr>
        <w:pStyle w:val="ListParagraph"/>
        <w:numPr>
          <w:ilvl w:val="1"/>
          <w:numId w:val="196"/>
        </w:numPr>
        <w:tabs>
          <w:tab w:val="left" w:pos="2218"/>
          <w:tab w:val="left" w:pos="2220"/>
        </w:tabs>
        <w:spacing w:before="121"/>
        <w:ind w:right="1100" w:hanging="361"/>
      </w:pPr>
      <w:r w:rsidRPr="00EC20A0">
        <w:t>visiting</w:t>
      </w:r>
      <w:r w:rsidRPr="00EC20A0">
        <w:rPr>
          <w:spacing w:val="-5"/>
        </w:rPr>
        <w:t xml:space="preserve"> </w:t>
      </w:r>
      <w:r w:rsidRPr="00EC20A0">
        <w:t>the</w:t>
      </w:r>
      <w:r w:rsidRPr="00EC20A0">
        <w:rPr>
          <w:spacing w:val="-5"/>
        </w:rPr>
        <w:t xml:space="preserve"> </w:t>
      </w:r>
      <w:r w:rsidRPr="00EC20A0">
        <w:t>service</w:t>
      </w:r>
      <w:r w:rsidRPr="00EC20A0">
        <w:rPr>
          <w:spacing w:val="-5"/>
        </w:rPr>
        <w:t xml:space="preserve"> </w:t>
      </w:r>
      <w:r w:rsidRPr="00EC20A0">
        <w:t>organization</w:t>
      </w:r>
      <w:r w:rsidRPr="00EC20A0">
        <w:rPr>
          <w:spacing w:val="-5"/>
        </w:rPr>
        <w:t xml:space="preserve"> </w:t>
      </w:r>
      <w:r w:rsidRPr="00EC20A0">
        <w:t>and</w:t>
      </w:r>
      <w:r w:rsidRPr="00EC20A0">
        <w:rPr>
          <w:spacing w:val="-6"/>
        </w:rPr>
        <w:t xml:space="preserve"> </w:t>
      </w:r>
      <w:r w:rsidRPr="00EC20A0">
        <w:t>performing</w:t>
      </w:r>
      <w:r w:rsidRPr="00EC20A0">
        <w:rPr>
          <w:spacing w:val="-5"/>
        </w:rPr>
        <w:t xml:space="preserve"> </w:t>
      </w:r>
      <w:r w:rsidRPr="00EC20A0">
        <w:t>such</w:t>
      </w:r>
      <w:r w:rsidRPr="00EC20A0">
        <w:rPr>
          <w:spacing w:val="-5"/>
        </w:rPr>
        <w:t xml:space="preserve"> </w:t>
      </w:r>
      <w:r w:rsidRPr="00EC20A0">
        <w:t>procedures</w:t>
      </w:r>
      <w:r w:rsidRPr="00EC20A0">
        <w:rPr>
          <w:spacing w:val="-5"/>
        </w:rPr>
        <w:t xml:space="preserve"> </w:t>
      </w:r>
      <w:r w:rsidRPr="00EC20A0">
        <w:t xml:space="preserve">(AU-C </w:t>
      </w:r>
      <w:r w:rsidRPr="00EC20A0">
        <w:rPr>
          <w:spacing w:val="-2"/>
        </w:rPr>
        <w:t>940.A148).</w:t>
      </w:r>
    </w:p>
    <w:p w14:paraId="24D60144" w14:textId="77777777" w:rsidR="00245300" w:rsidRPr="00EC20A0" w:rsidRDefault="00F17249">
      <w:pPr>
        <w:pStyle w:val="Heading4"/>
        <w:spacing w:before="241"/>
      </w:pPr>
      <w:bookmarkStart w:id="85" w:name="Use_of_Subservice_Organizations"/>
      <w:bookmarkEnd w:id="85"/>
      <w:r w:rsidRPr="00EC20A0">
        <w:t>Use</w:t>
      </w:r>
      <w:r w:rsidRPr="00EC20A0">
        <w:rPr>
          <w:spacing w:val="-9"/>
        </w:rPr>
        <w:t xml:space="preserve"> </w:t>
      </w:r>
      <w:r w:rsidRPr="00EC20A0">
        <w:t>of</w:t>
      </w:r>
      <w:r w:rsidRPr="00EC20A0">
        <w:rPr>
          <w:spacing w:val="-9"/>
        </w:rPr>
        <w:t xml:space="preserve"> </w:t>
      </w:r>
      <w:r w:rsidRPr="00EC20A0">
        <w:t>Subservice</w:t>
      </w:r>
      <w:r w:rsidRPr="00EC20A0">
        <w:rPr>
          <w:spacing w:val="-9"/>
        </w:rPr>
        <w:t xml:space="preserve"> </w:t>
      </w:r>
      <w:r w:rsidRPr="00EC20A0">
        <w:rPr>
          <w:spacing w:val="-2"/>
        </w:rPr>
        <w:t>Organizations</w:t>
      </w:r>
    </w:p>
    <w:p w14:paraId="24D60145" w14:textId="77777777" w:rsidR="00245300" w:rsidRPr="00EC20A0" w:rsidRDefault="00F17249">
      <w:pPr>
        <w:pStyle w:val="ListParagraph"/>
        <w:numPr>
          <w:ilvl w:val="0"/>
          <w:numId w:val="196"/>
        </w:numPr>
        <w:tabs>
          <w:tab w:val="left" w:pos="1859"/>
        </w:tabs>
        <w:spacing w:before="239"/>
        <w:ind w:left="1859" w:right="822" w:hanging="720"/>
        <w:jc w:val="left"/>
      </w:pPr>
      <w:r w:rsidRPr="00EC20A0">
        <w:t xml:space="preserve">An entity may use a service organization that in turn uses a subservice </w:t>
      </w:r>
      <w:r w:rsidRPr="00EC20A0">
        <w:t>organization to provide some of the services provided to the entity that are relevant to the entity’s internal control over financial reporting. The subservice organization</w:t>
      </w:r>
      <w:r w:rsidRPr="00EC20A0">
        <w:rPr>
          <w:spacing w:val="-4"/>
        </w:rPr>
        <w:t xml:space="preserve"> </w:t>
      </w:r>
      <w:r w:rsidRPr="00EC20A0">
        <w:t>may</w:t>
      </w:r>
      <w:r w:rsidRPr="00EC20A0">
        <w:rPr>
          <w:spacing w:val="-3"/>
        </w:rPr>
        <w:t xml:space="preserve"> </w:t>
      </w:r>
      <w:r w:rsidRPr="00EC20A0">
        <w:t>be</w:t>
      </w:r>
      <w:r w:rsidRPr="00EC20A0">
        <w:rPr>
          <w:spacing w:val="-3"/>
        </w:rPr>
        <w:t xml:space="preserve"> </w:t>
      </w:r>
      <w:r w:rsidRPr="00EC20A0">
        <w:t>a</w:t>
      </w:r>
      <w:r w:rsidRPr="00EC20A0">
        <w:rPr>
          <w:spacing w:val="-3"/>
        </w:rPr>
        <w:t xml:space="preserve"> </w:t>
      </w:r>
      <w:r w:rsidRPr="00EC20A0">
        <w:t>separate</w:t>
      </w:r>
      <w:r w:rsidRPr="00EC20A0">
        <w:rPr>
          <w:spacing w:val="-3"/>
        </w:rPr>
        <w:t xml:space="preserve"> </w:t>
      </w:r>
      <w:r w:rsidRPr="00EC20A0">
        <w:t>entity</w:t>
      </w:r>
      <w:r w:rsidRPr="00EC20A0">
        <w:rPr>
          <w:spacing w:val="-3"/>
        </w:rPr>
        <w:t xml:space="preserve"> </w:t>
      </w:r>
      <w:r w:rsidRPr="00EC20A0">
        <w:t>from</w:t>
      </w:r>
      <w:r w:rsidRPr="00EC20A0">
        <w:rPr>
          <w:spacing w:val="-4"/>
        </w:rPr>
        <w:t xml:space="preserve"> </w:t>
      </w:r>
      <w:r w:rsidRPr="00EC20A0">
        <w:t>the</w:t>
      </w:r>
      <w:r w:rsidRPr="00EC20A0">
        <w:rPr>
          <w:spacing w:val="-3"/>
        </w:rPr>
        <w:t xml:space="preserve"> </w:t>
      </w:r>
      <w:r w:rsidRPr="00EC20A0">
        <w:t>service</w:t>
      </w:r>
      <w:r w:rsidRPr="00EC20A0">
        <w:rPr>
          <w:spacing w:val="-3"/>
        </w:rPr>
        <w:t xml:space="preserve"> </w:t>
      </w:r>
      <w:r w:rsidRPr="00EC20A0">
        <w:t>organization</w:t>
      </w:r>
      <w:r w:rsidRPr="00EC20A0">
        <w:rPr>
          <w:spacing w:val="-3"/>
        </w:rPr>
        <w:t xml:space="preserve"> </w:t>
      </w:r>
      <w:r w:rsidRPr="00EC20A0">
        <w:t>or</w:t>
      </w:r>
      <w:r w:rsidRPr="00EC20A0">
        <w:rPr>
          <w:spacing w:val="-3"/>
        </w:rPr>
        <w:t xml:space="preserve"> </w:t>
      </w:r>
      <w:r w:rsidRPr="00EC20A0">
        <w:t>may</w:t>
      </w:r>
      <w:r w:rsidRPr="00EC20A0">
        <w:rPr>
          <w:spacing w:val="-3"/>
        </w:rPr>
        <w:t xml:space="preserve"> </w:t>
      </w:r>
      <w:r w:rsidRPr="00EC20A0">
        <w:t>be related to the service organization.</w:t>
      </w:r>
    </w:p>
    <w:p w14:paraId="24D60146" w14:textId="77777777" w:rsidR="00245300" w:rsidRPr="00EC20A0" w:rsidRDefault="00F17249">
      <w:pPr>
        <w:pStyle w:val="BodyText"/>
        <w:spacing w:before="240"/>
        <w:ind w:left="1858" w:right="507"/>
      </w:pPr>
      <w:r w:rsidRPr="00EC20A0">
        <w:t>In situations in which one or more subservice organizations are used, the interaction between the activities of the entity and those of the service organization is expanded to include the interaction between the entity, the</w:t>
      </w:r>
      <w:r w:rsidRPr="00EC20A0">
        <w:rPr>
          <w:spacing w:val="40"/>
        </w:rPr>
        <w:t xml:space="preserve"> </w:t>
      </w:r>
      <w:r w:rsidRPr="00EC20A0">
        <w:t>service organization, and the subservice organizations. The degree of this interaction as well as the nature and materiality of the transactions processed by the service organization and the subservice organizations are the most important factors for the auditor to consider in determining the significance of the service organization’s</w:t>
      </w:r>
      <w:r w:rsidRPr="00EC20A0">
        <w:rPr>
          <w:spacing w:val="-5"/>
        </w:rPr>
        <w:t xml:space="preserve"> </w:t>
      </w:r>
      <w:r w:rsidRPr="00EC20A0">
        <w:t>and</w:t>
      </w:r>
      <w:r w:rsidRPr="00EC20A0">
        <w:rPr>
          <w:spacing w:val="-5"/>
        </w:rPr>
        <w:t xml:space="preserve"> </w:t>
      </w:r>
      <w:r w:rsidRPr="00EC20A0">
        <w:t>subservice</w:t>
      </w:r>
      <w:r w:rsidRPr="00EC20A0">
        <w:rPr>
          <w:spacing w:val="-5"/>
        </w:rPr>
        <w:t xml:space="preserve"> </w:t>
      </w:r>
      <w:r w:rsidRPr="00EC20A0">
        <w:t>organization’s</w:t>
      </w:r>
      <w:r w:rsidRPr="00EC20A0">
        <w:rPr>
          <w:spacing w:val="-5"/>
        </w:rPr>
        <w:t xml:space="preserve"> </w:t>
      </w:r>
      <w:r w:rsidRPr="00EC20A0">
        <w:t>controls</w:t>
      </w:r>
      <w:r w:rsidRPr="00EC20A0">
        <w:rPr>
          <w:spacing w:val="-4"/>
        </w:rPr>
        <w:t xml:space="preserve"> </w:t>
      </w:r>
      <w:r w:rsidRPr="00EC20A0">
        <w:t>to</w:t>
      </w:r>
      <w:r w:rsidRPr="00EC20A0">
        <w:rPr>
          <w:spacing w:val="-5"/>
        </w:rPr>
        <w:t xml:space="preserve"> </w:t>
      </w:r>
      <w:r w:rsidRPr="00EC20A0">
        <w:t>the</w:t>
      </w:r>
      <w:r w:rsidRPr="00EC20A0">
        <w:rPr>
          <w:spacing w:val="-5"/>
        </w:rPr>
        <w:t xml:space="preserve"> </w:t>
      </w:r>
      <w:r w:rsidRPr="00EC20A0">
        <w:t>entity’s</w:t>
      </w:r>
      <w:r w:rsidRPr="00EC20A0">
        <w:rPr>
          <w:spacing w:val="-6"/>
        </w:rPr>
        <w:t xml:space="preserve"> </w:t>
      </w:r>
      <w:r w:rsidRPr="00EC20A0">
        <w:t>controls.</w:t>
      </w:r>
      <w:r w:rsidRPr="00EC20A0">
        <w:rPr>
          <w:spacing w:val="-5"/>
        </w:rPr>
        <w:t xml:space="preserve"> </w:t>
      </w:r>
      <w:r w:rsidRPr="00EC20A0">
        <w:t>(AU- C 402.A20)</w:t>
      </w:r>
    </w:p>
    <w:p w14:paraId="24D60147" w14:textId="77777777" w:rsidR="00245300" w:rsidRPr="00EC20A0" w:rsidRDefault="00F17249">
      <w:pPr>
        <w:pStyle w:val="ListParagraph"/>
        <w:numPr>
          <w:ilvl w:val="0"/>
          <w:numId w:val="196"/>
        </w:numPr>
        <w:tabs>
          <w:tab w:val="left" w:pos="1857"/>
        </w:tabs>
        <w:ind w:left="1857" w:right="532" w:hanging="720"/>
        <w:jc w:val="left"/>
      </w:pPr>
      <w:r w:rsidRPr="00EC20A0">
        <w:t xml:space="preserve">If a service organization uses a subservice organization, the service auditor’s report may either </w:t>
      </w:r>
      <w:r w:rsidRPr="00EC20A0">
        <w:t>include or exclude the subservice organization’s relevant control objectives and related controls in the service organization’s description of its system and in the scope of the service auditor’s engagement. These two methods of reporting are known as the inclusive method and the carve-out method,</w:t>
      </w:r>
      <w:r w:rsidRPr="00EC20A0">
        <w:rPr>
          <w:spacing w:val="-4"/>
        </w:rPr>
        <w:t xml:space="preserve"> </w:t>
      </w:r>
      <w:r w:rsidRPr="00EC20A0">
        <w:t>respectively</w:t>
      </w:r>
      <w:r w:rsidRPr="00EC20A0">
        <w:rPr>
          <w:spacing w:val="-4"/>
        </w:rPr>
        <w:t xml:space="preserve"> </w:t>
      </w:r>
      <w:r w:rsidRPr="00EC20A0">
        <w:t>(AU-C</w:t>
      </w:r>
      <w:r w:rsidRPr="00EC20A0">
        <w:rPr>
          <w:spacing w:val="-5"/>
        </w:rPr>
        <w:t xml:space="preserve"> </w:t>
      </w:r>
      <w:r w:rsidRPr="00EC20A0">
        <w:t>402.A42).</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describes</w:t>
      </w:r>
      <w:r w:rsidRPr="00EC20A0">
        <w:rPr>
          <w:spacing w:val="-4"/>
        </w:rPr>
        <w:t xml:space="preserve"> </w:t>
      </w:r>
      <w:r w:rsidRPr="00EC20A0">
        <w:t>each</w:t>
      </w:r>
      <w:r w:rsidRPr="00EC20A0">
        <w:rPr>
          <w:spacing w:val="-4"/>
        </w:rPr>
        <w:t xml:space="preserve"> </w:t>
      </w:r>
      <w:r w:rsidRPr="00EC20A0">
        <w:t>method</w:t>
      </w:r>
      <w:r w:rsidRPr="00EC20A0">
        <w:rPr>
          <w:spacing w:val="-4"/>
        </w:rPr>
        <w:t xml:space="preserve"> </w:t>
      </w:r>
      <w:r w:rsidRPr="00EC20A0">
        <w:t>(AT- C 320.08):</w:t>
      </w:r>
    </w:p>
    <w:p w14:paraId="24D60148" w14:textId="77777777" w:rsidR="00245300" w:rsidRPr="00EC20A0" w:rsidRDefault="00F17249">
      <w:pPr>
        <w:pStyle w:val="ListParagraph"/>
        <w:numPr>
          <w:ilvl w:val="0"/>
          <w:numId w:val="195"/>
        </w:numPr>
        <w:tabs>
          <w:tab w:val="left" w:pos="2219"/>
        </w:tabs>
        <w:spacing w:before="239"/>
        <w:ind w:right="549"/>
      </w:pPr>
      <w:r w:rsidRPr="00EC20A0">
        <w:rPr>
          <w:b/>
        </w:rPr>
        <w:t xml:space="preserve">Inclusive method. </w:t>
      </w:r>
      <w:r w:rsidRPr="00EC20A0">
        <w:t>Method of addressing the services provided by a subservice organization whereby management’s description of the service organization’s</w:t>
      </w:r>
      <w:r w:rsidRPr="00EC20A0">
        <w:rPr>
          <w:spacing w:val="-3"/>
        </w:rPr>
        <w:t xml:space="preserve"> </w:t>
      </w:r>
      <w:r w:rsidRPr="00EC20A0">
        <w:t>system</w:t>
      </w:r>
      <w:r w:rsidRPr="00EC20A0">
        <w:rPr>
          <w:spacing w:val="-4"/>
        </w:rPr>
        <w:t xml:space="preserve"> </w:t>
      </w:r>
      <w:r w:rsidRPr="00EC20A0">
        <w:t>includes</w:t>
      </w:r>
      <w:r w:rsidRPr="00EC20A0">
        <w:rPr>
          <w:spacing w:val="-3"/>
        </w:rPr>
        <w:t xml:space="preserve"> </w:t>
      </w:r>
      <w:r w:rsidRPr="00EC20A0">
        <w:t>a</w:t>
      </w:r>
      <w:r w:rsidRPr="00EC20A0">
        <w:rPr>
          <w:spacing w:val="-3"/>
        </w:rPr>
        <w:t xml:space="preserve"> </w:t>
      </w:r>
      <w:r w:rsidRPr="00EC20A0">
        <w:t>description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nature</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services</w:t>
      </w:r>
      <w:r w:rsidRPr="00EC20A0">
        <w:rPr>
          <w:spacing w:val="-3"/>
        </w:rPr>
        <w:t xml:space="preserve"> </w:t>
      </w:r>
      <w:r w:rsidRPr="00EC20A0">
        <w:t>that the</w:t>
      </w:r>
      <w:r w:rsidRPr="00EC20A0">
        <w:rPr>
          <w:spacing w:val="-4"/>
        </w:rPr>
        <w:t xml:space="preserve"> </w:t>
      </w:r>
      <w:r w:rsidRPr="00EC20A0">
        <w:t>subservice</w:t>
      </w:r>
      <w:r w:rsidRPr="00EC20A0">
        <w:rPr>
          <w:spacing w:val="-4"/>
        </w:rPr>
        <w:t xml:space="preserve"> </w:t>
      </w:r>
      <w:r w:rsidRPr="00EC20A0">
        <w:t>organization</w:t>
      </w:r>
      <w:r w:rsidRPr="00EC20A0">
        <w:rPr>
          <w:spacing w:val="-4"/>
        </w:rPr>
        <w:t xml:space="preserve"> </w:t>
      </w:r>
      <w:r w:rsidRPr="00EC20A0">
        <w:t>provided</w:t>
      </w:r>
      <w:r w:rsidRPr="00EC20A0">
        <w:rPr>
          <w:spacing w:val="-5"/>
        </w:rPr>
        <w:t xml:space="preserve"> </w:t>
      </w:r>
      <w:r w:rsidRPr="00EC20A0">
        <w:t>as</w:t>
      </w:r>
      <w:r w:rsidRPr="00EC20A0">
        <w:rPr>
          <w:spacing w:val="-4"/>
        </w:rPr>
        <w:t xml:space="preserve"> </w:t>
      </w:r>
      <w:r w:rsidRPr="00EC20A0">
        <w:t>well</w:t>
      </w:r>
      <w:r w:rsidRPr="00EC20A0">
        <w:rPr>
          <w:spacing w:val="-4"/>
        </w:rPr>
        <w:t xml:space="preserve"> </w:t>
      </w:r>
      <w:r w:rsidRPr="00EC20A0">
        <w:t>as</w:t>
      </w:r>
      <w:r w:rsidRPr="00EC20A0">
        <w:rPr>
          <w:spacing w:val="-4"/>
        </w:rPr>
        <w:t xml:space="preserve"> </w:t>
      </w:r>
      <w:r w:rsidRPr="00EC20A0">
        <w:t>the</w:t>
      </w:r>
      <w:r w:rsidRPr="00EC20A0">
        <w:rPr>
          <w:spacing w:val="-4"/>
        </w:rPr>
        <w:t xml:space="preserve"> </w:t>
      </w:r>
      <w:r w:rsidRPr="00EC20A0">
        <w:t>subservice</w:t>
      </w:r>
      <w:r w:rsidRPr="00EC20A0">
        <w:rPr>
          <w:spacing w:val="-4"/>
        </w:rPr>
        <w:t xml:space="preserve"> </w:t>
      </w:r>
      <w:r w:rsidRPr="00EC20A0">
        <w:t>organization’s relevant control objectives and related controls.</w:t>
      </w:r>
    </w:p>
    <w:p w14:paraId="24D60149" w14:textId="77777777" w:rsidR="00245300" w:rsidRPr="00EC20A0" w:rsidRDefault="00F17249">
      <w:pPr>
        <w:pStyle w:val="ListParagraph"/>
        <w:numPr>
          <w:ilvl w:val="0"/>
          <w:numId w:val="195"/>
        </w:numPr>
        <w:tabs>
          <w:tab w:val="left" w:pos="2219"/>
        </w:tabs>
        <w:spacing w:before="238"/>
        <w:ind w:right="501"/>
      </w:pPr>
      <w:r w:rsidRPr="00EC20A0">
        <w:rPr>
          <w:b/>
        </w:rPr>
        <w:t xml:space="preserve">Carve-out method. </w:t>
      </w:r>
      <w:r w:rsidRPr="00EC20A0">
        <w:t>Method of addressing the services provided by a subservice organization whereby management’s description of the service organization’s system identifies the nature of the services that the subservice organization</w:t>
      </w:r>
      <w:r w:rsidRPr="00EC20A0">
        <w:rPr>
          <w:spacing w:val="-5"/>
        </w:rPr>
        <w:t xml:space="preserve"> </w:t>
      </w:r>
      <w:r w:rsidRPr="00EC20A0">
        <w:t>performed</w:t>
      </w:r>
      <w:r w:rsidRPr="00EC20A0">
        <w:rPr>
          <w:spacing w:val="-4"/>
        </w:rPr>
        <w:t xml:space="preserve"> </w:t>
      </w:r>
      <w:r w:rsidRPr="00EC20A0">
        <w:t>and</w:t>
      </w:r>
      <w:r w:rsidRPr="00EC20A0">
        <w:rPr>
          <w:spacing w:val="-4"/>
        </w:rPr>
        <w:t xml:space="preserve"> </w:t>
      </w:r>
      <w:r w:rsidRPr="00EC20A0">
        <w:t>excludes</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description</w:t>
      </w:r>
      <w:r w:rsidRPr="00EC20A0">
        <w:rPr>
          <w:spacing w:val="-5"/>
        </w:rPr>
        <w:t xml:space="preserve"> </w:t>
      </w:r>
      <w:r w:rsidRPr="00EC20A0">
        <w:t>and</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 xml:space="preserve">scope of </w:t>
      </w:r>
      <w:r w:rsidRPr="00EC20A0">
        <w:t>the service auditor’s engagement the subservice organization’s relevant control objectives and related controls.</w:t>
      </w:r>
    </w:p>
    <w:p w14:paraId="24D6014A" w14:textId="77777777" w:rsidR="00245300" w:rsidRPr="00EC20A0" w:rsidRDefault="00F17249">
      <w:pPr>
        <w:pStyle w:val="ListParagraph"/>
        <w:numPr>
          <w:ilvl w:val="0"/>
          <w:numId w:val="196"/>
        </w:numPr>
        <w:tabs>
          <w:tab w:val="left" w:pos="1860"/>
        </w:tabs>
        <w:ind w:left="1860" w:right="566" w:hanging="720"/>
        <w:jc w:val="left"/>
      </w:pPr>
      <w:r w:rsidRPr="00EC20A0">
        <w:t>Based</w:t>
      </w:r>
      <w:r w:rsidRPr="00EC20A0">
        <w:rPr>
          <w:spacing w:val="-2"/>
        </w:rPr>
        <w:t xml:space="preserve"> </w:t>
      </w:r>
      <w:r w:rsidRPr="00EC20A0">
        <w:t>on</w:t>
      </w:r>
      <w:r w:rsidRPr="00EC20A0">
        <w:rPr>
          <w:spacing w:val="-2"/>
        </w:rPr>
        <w:t xml:space="preserve"> </w:t>
      </w:r>
      <w:r w:rsidRPr="00EC20A0">
        <w:t>AU-C</w:t>
      </w:r>
      <w:r w:rsidRPr="00EC20A0">
        <w:rPr>
          <w:spacing w:val="-3"/>
        </w:rPr>
        <w:t xml:space="preserve"> </w:t>
      </w:r>
      <w:r w:rsidRPr="00EC20A0">
        <w:t>402.18,</w:t>
      </w:r>
      <w:r w:rsidRPr="00EC20A0">
        <w:rPr>
          <w:spacing w:val="-2"/>
        </w:rPr>
        <w:t xml:space="preserve"> </w:t>
      </w:r>
      <w:r w:rsidRPr="00EC20A0">
        <w:t>if</w:t>
      </w:r>
      <w:r w:rsidRPr="00EC20A0">
        <w:rPr>
          <w:spacing w:val="-2"/>
        </w:rPr>
        <w:t xml:space="preserve"> </w:t>
      </w:r>
      <w:r w:rsidRPr="00EC20A0">
        <w:t>the</w:t>
      </w:r>
      <w:r w:rsidRPr="00EC20A0">
        <w:rPr>
          <w:spacing w:val="-2"/>
        </w:rPr>
        <w:t xml:space="preserve"> </w:t>
      </w:r>
      <w:r w:rsidRPr="00EC20A0">
        <w:t>auditor</w:t>
      </w:r>
      <w:r w:rsidRPr="00EC20A0">
        <w:rPr>
          <w:spacing w:val="-2"/>
        </w:rPr>
        <w:t xml:space="preserve"> </w:t>
      </w:r>
      <w:r w:rsidRPr="00EC20A0">
        <w:t>plans</w:t>
      </w:r>
      <w:r w:rsidRPr="00EC20A0">
        <w:rPr>
          <w:spacing w:val="-2"/>
        </w:rPr>
        <w:t xml:space="preserve"> </w:t>
      </w:r>
      <w:r w:rsidRPr="00EC20A0">
        <w:t>to</w:t>
      </w:r>
      <w:r w:rsidRPr="00EC20A0">
        <w:rPr>
          <w:spacing w:val="-2"/>
        </w:rPr>
        <w:t xml:space="preserve"> </w:t>
      </w:r>
      <w:r w:rsidRPr="00EC20A0">
        <w:t>use</w:t>
      </w:r>
      <w:r w:rsidRPr="00EC20A0">
        <w:rPr>
          <w:spacing w:val="-2"/>
        </w:rPr>
        <w:t xml:space="preserve"> </w:t>
      </w:r>
      <w:r w:rsidRPr="00EC20A0">
        <w:t>a</w:t>
      </w:r>
      <w:r w:rsidRPr="00EC20A0">
        <w:rPr>
          <w:spacing w:val="-2"/>
        </w:rPr>
        <w:t xml:space="preserve"> </w:t>
      </w:r>
      <w:r w:rsidRPr="00EC20A0">
        <w:t>type</w:t>
      </w:r>
      <w:r w:rsidRPr="00EC20A0">
        <w:rPr>
          <w:spacing w:val="-2"/>
        </w:rPr>
        <w:t xml:space="preserve"> </w:t>
      </w:r>
      <w:r w:rsidRPr="00EC20A0">
        <w:t>1</w:t>
      </w:r>
      <w:r w:rsidRPr="00EC20A0">
        <w:rPr>
          <w:spacing w:val="-2"/>
        </w:rPr>
        <w:t xml:space="preserve"> </w:t>
      </w:r>
      <w:r w:rsidRPr="00EC20A0">
        <w:t>or</w:t>
      </w:r>
      <w:r w:rsidRPr="00EC20A0">
        <w:rPr>
          <w:spacing w:val="-3"/>
        </w:rPr>
        <w:t xml:space="preserve"> </w:t>
      </w:r>
      <w:r w:rsidRPr="00EC20A0">
        <w:t>a</w:t>
      </w:r>
      <w:r w:rsidRPr="00EC20A0">
        <w:rPr>
          <w:spacing w:val="-2"/>
        </w:rPr>
        <w:t xml:space="preserve"> </w:t>
      </w:r>
      <w:r w:rsidRPr="00EC20A0">
        <w:t>type</w:t>
      </w:r>
      <w:r w:rsidRPr="00EC20A0">
        <w:rPr>
          <w:spacing w:val="-2"/>
        </w:rPr>
        <w:t xml:space="preserve"> </w:t>
      </w:r>
      <w:r w:rsidRPr="00EC20A0">
        <w:t>2</w:t>
      </w:r>
      <w:r w:rsidRPr="00EC20A0">
        <w:rPr>
          <w:spacing w:val="-2"/>
        </w:rPr>
        <w:t xml:space="preserve"> </w:t>
      </w:r>
      <w:r w:rsidRPr="00EC20A0">
        <w:t>report</w:t>
      </w:r>
      <w:r w:rsidRPr="00EC20A0">
        <w:rPr>
          <w:spacing w:val="-2"/>
        </w:rPr>
        <w:t xml:space="preserve"> </w:t>
      </w:r>
      <w:r w:rsidRPr="00EC20A0">
        <w:t xml:space="preserve">that excludes the services provided by a subservice organization and those services are relevant to the audit of the entity’s financial statements, the auditor should apply the requirements of FAM 640 with respect to the services provided by the subservice organization. These includes obtaining an understanding of whether the subservice organization has effectively designed and implemented the relevant subservice organization controls </w:t>
      </w:r>
      <w:r w:rsidRPr="00EC20A0">
        <w:t>and, if so, obtaining audit evidence about their operating effectiveness.</w:t>
      </w:r>
    </w:p>
    <w:p w14:paraId="24D6014B" w14:textId="77777777" w:rsidR="00245300" w:rsidRPr="00EC20A0" w:rsidRDefault="00245300">
      <w:pPr>
        <w:sectPr w:rsidR="00245300" w:rsidRPr="00EC20A0">
          <w:pgSz w:w="12240" w:h="15840"/>
          <w:pgMar w:top="1340" w:right="940" w:bottom="940" w:left="1020" w:header="721" w:footer="757" w:gutter="0"/>
          <w:cols w:space="720"/>
        </w:sectPr>
      </w:pPr>
    </w:p>
    <w:p w14:paraId="24D6014C" w14:textId="77777777" w:rsidR="00245300" w:rsidRPr="00EC20A0" w:rsidRDefault="00F17249">
      <w:pPr>
        <w:pStyle w:val="BodyText"/>
        <w:spacing w:before="121"/>
        <w:ind w:left="1859" w:right="562"/>
      </w:pPr>
      <w:r w:rsidRPr="00EC20A0">
        <w:t>The nature and extent of the work to be performed by the auditor regarding the services provided by a subservice organization depend on the nature and significance</w:t>
      </w:r>
      <w:r w:rsidRPr="00EC20A0">
        <w:rPr>
          <w:spacing w:val="-4"/>
        </w:rPr>
        <w:t xml:space="preserve"> </w:t>
      </w:r>
      <w:r w:rsidRPr="00EC20A0">
        <w:t>of</w:t>
      </w:r>
      <w:r w:rsidRPr="00EC20A0">
        <w:rPr>
          <w:spacing w:val="-3"/>
        </w:rPr>
        <w:t xml:space="preserve"> </w:t>
      </w:r>
      <w:r w:rsidRPr="00EC20A0">
        <w:t>those</w:t>
      </w:r>
      <w:r w:rsidRPr="00EC20A0">
        <w:rPr>
          <w:spacing w:val="-3"/>
        </w:rPr>
        <w:t xml:space="preserve"> </w:t>
      </w:r>
      <w:r w:rsidRPr="00EC20A0">
        <w:t>services</w:t>
      </w:r>
      <w:r w:rsidRPr="00EC20A0">
        <w:rPr>
          <w:spacing w:val="-2"/>
        </w:rPr>
        <w:t xml:space="preserve"> </w:t>
      </w:r>
      <w:r w:rsidRPr="00EC20A0">
        <w:t>to</w:t>
      </w:r>
      <w:r w:rsidRPr="00EC20A0">
        <w:rPr>
          <w:spacing w:val="-4"/>
        </w:rPr>
        <w:t xml:space="preserve"> </w:t>
      </w:r>
      <w:r w:rsidRPr="00EC20A0">
        <w:t>the</w:t>
      </w:r>
      <w:r w:rsidRPr="00EC20A0">
        <w:rPr>
          <w:spacing w:val="-4"/>
        </w:rPr>
        <w:t xml:space="preserve"> </w:t>
      </w:r>
      <w:r w:rsidRPr="00EC20A0">
        <w:t>entity</w:t>
      </w:r>
      <w:r w:rsidRPr="00EC20A0">
        <w:rPr>
          <w:spacing w:val="-2"/>
        </w:rPr>
        <w:t xml:space="preserve"> </w:t>
      </w:r>
      <w:r w:rsidRPr="00EC20A0">
        <w:t>and</w:t>
      </w:r>
      <w:r w:rsidRPr="00EC20A0">
        <w:rPr>
          <w:spacing w:val="-3"/>
        </w:rPr>
        <w:t xml:space="preserve"> </w:t>
      </w:r>
      <w:r w:rsidRPr="00EC20A0">
        <w:t>the</w:t>
      </w:r>
      <w:r w:rsidRPr="00EC20A0">
        <w:rPr>
          <w:spacing w:val="-3"/>
        </w:rPr>
        <w:t xml:space="preserve"> </w:t>
      </w:r>
      <w:r w:rsidRPr="00EC20A0">
        <w:t>relevance</w:t>
      </w:r>
      <w:r w:rsidRPr="00EC20A0">
        <w:rPr>
          <w:spacing w:val="-4"/>
        </w:rPr>
        <w:t xml:space="preserve"> </w:t>
      </w:r>
      <w:r w:rsidRPr="00EC20A0">
        <w:t>of</w:t>
      </w:r>
      <w:r w:rsidRPr="00EC20A0">
        <w:rPr>
          <w:spacing w:val="-3"/>
        </w:rPr>
        <w:t xml:space="preserve"> </w:t>
      </w:r>
      <w:r w:rsidRPr="00EC20A0">
        <w:t>those</w:t>
      </w:r>
      <w:r w:rsidRPr="00EC20A0">
        <w:rPr>
          <w:spacing w:val="-3"/>
        </w:rPr>
        <w:t xml:space="preserve"> </w:t>
      </w:r>
      <w:r w:rsidRPr="00EC20A0">
        <w:t>services</w:t>
      </w:r>
      <w:r w:rsidRPr="00EC20A0">
        <w:rPr>
          <w:spacing w:val="-3"/>
        </w:rPr>
        <w:t xml:space="preserve"> </w:t>
      </w:r>
      <w:r w:rsidRPr="00EC20A0">
        <w:t>to the audit (AU-C 402.A42). Based on AU-C 402.A42, the application of FAM</w:t>
      </w:r>
    </w:p>
    <w:p w14:paraId="24D6014D" w14:textId="77777777" w:rsidR="00245300" w:rsidRPr="00EC20A0" w:rsidRDefault="00F17249">
      <w:pPr>
        <w:pStyle w:val="BodyText"/>
        <w:ind w:left="1859" w:right="507"/>
      </w:pPr>
      <w:r w:rsidRPr="00EC20A0">
        <w:t>310.11</w:t>
      </w:r>
      <w:r w:rsidRPr="00EC20A0">
        <w:rPr>
          <w:spacing w:val="-4"/>
        </w:rPr>
        <w:t xml:space="preserve"> </w:t>
      </w:r>
      <w:r w:rsidRPr="00EC20A0">
        <w:t>assists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in</w:t>
      </w:r>
      <w:r w:rsidRPr="00EC20A0">
        <w:rPr>
          <w:spacing w:val="-4"/>
        </w:rPr>
        <w:t xml:space="preserve"> </w:t>
      </w:r>
      <w:r w:rsidRPr="00EC20A0">
        <w:t>determining</w:t>
      </w:r>
      <w:r w:rsidRPr="00EC20A0">
        <w:rPr>
          <w:spacing w:val="-4"/>
        </w:rPr>
        <w:t xml:space="preserve"> </w:t>
      </w:r>
      <w:r w:rsidRPr="00EC20A0">
        <w:t>the</w:t>
      </w:r>
      <w:r w:rsidRPr="00EC20A0">
        <w:rPr>
          <w:spacing w:val="-4"/>
        </w:rPr>
        <w:t xml:space="preserve"> </w:t>
      </w:r>
      <w:r w:rsidRPr="00EC20A0">
        <w:t>effect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subservice</w:t>
      </w:r>
      <w:r w:rsidRPr="00EC20A0">
        <w:rPr>
          <w:spacing w:val="-4"/>
        </w:rPr>
        <w:t xml:space="preserve"> </w:t>
      </w:r>
      <w:r w:rsidRPr="00EC20A0">
        <w:t>organization and the nature and extent of work to be performed.</w:t>
      </w:r>
    </w:p>
    <w:p w14:paraId="24D6014E" w14:textId="77777777" w:rsidR="00245300" w:rsidRPr="00EC20A0" w:rsidRDefault="00245300">
      <w:pPr>
        <w:sectPr w:rsidR="00245300" w:rsidRPr="00EC20A0">
          <w:pgSz w:w="12240" w:h="15840"/>
          <w:pgMar w:top="1340" w:right="940" w:bottom="940" w:left="1020" w:header="721" w:footer="757" w:gutter="0"/>
          <w:cols w:space="720"/>
        </w:sectPr>
      </w:pPr>
    </w:p>
    <w:p w14:paraId="24D6014F" w14:textId="77777777" w:rsidR="00245300" w:rsidRPr="00EC20A0" w:rsidRDefault="00F17249">
      <w:pPr>
        <w:pStyle w:val="Heading3"/>
        <w:spacing w:before="241"/>
        <w:ind w:left="420"/>
        <w:rPr>
          <w:u w:val="none"/>
        </w:rPr>
      </w:pPr>
      <w:bookmarkStart w:id="86" w:name="640_A_–_Service_Organization_Type_2_Repo"/>
      <w:bookmarkStart w:id="87" w:name="_bookmark24"/>
      <w:bookmarkEnd w:id="86"/>
      <w:bookmarkEnd w:id="87"/>
      <w:r w:rsidRPr="00EC20A0">
        <w:t>640</w:t>
      </w:r>
      <w:r w:rsidRPr="00EC20A0">
        <w:rPr>
          <w:spacing w:val="-20"/>
        </w:rPr>
        <w:t xml:space="preserve"> </w:t>
      </w:r>
      <w:r w:rsidRPr="00EC20A0">
        <w:t>A</w:t>
      </w:r>
      <w:r w:rsidRPr="00EC20A0">
        <w:rPr>
          <w:spacing w:val="-19"/>
        </w:rPr>
        <w:t xml:space="preserve"> </w:t>
      </w:r>
      <w:r w:rsidRPr="00EC20A0">
        <w:t>–</w:t>
      </w:r>
      <w:r w:rsidRPr="00EC20A0">
        <w:rPr>
          <w:spacing w:val="-6"/>
        </w:rPr>
        <w:t xml:space="preserve"> </w:t>
      </w:r>
      <w:r w:rsidRPr="00EC20A0">
        <w:t>Service</w:t>
      </w:r>
      <w:r w:rsidRPr="00EC20A0">
        <w:rPr>
          <w:spacing w:val="-7"/>
        </w:rPr>
        <w:t xml:space="preserve"> </w:t>
      </w:r>
      <w:r w:rsidRPr="00EC20A0">
        <w:t>Organization</w:t>
      </w:r>
      <w:r w:rsidRPr="00EC20A0">
        <w:rPr>
          <w:spacing w:val="-8"/>
        </w:rPr>
        <w:t xml:space="preserve"> </w:t>
      </w:r>
      <w:r w:rsidRPr="00EC20A0">
        <w:t>Type</w:t>
      </w:r>
      <w:r w:rsidRPr="00EC20A0">
        <w:rPr>
          <w:spacing w:val="-6"/>
        </w:rPr>
        <w:t xml:space="preserve"> </w:t>
      </w:r>
      <w:r w:rsidRPr="00EC20A0">
        <w:t>2</w:t>
      </w:r>
      <w:r w:rsidRPr="00EC20A0">
        <w:rPr>
          <w:spacing w:val="-7"/>
        </w:rPr>
        <w:t xml:space="preserve"> </w:t>
      </w:r>
      <w:r w:rsidRPr="00EC20A0">
        <w:t>Report</w:t>
      </w:r>
      <w:r w:rsidRPr="00EC20A0">
        <w:rPr>
          <w:spacing w:val="-17"/>
        </w:rPr>
        <w:t xml:space="preserve"> </w:t>
      </w:r>
      <w:r w:rsidRPr="00EC20A0">
        <w:t>Assessment</w:t>
      </w:r>
      <w:r w:rsidRPr="00EC20A0">
        <w:rPr>
          <w:spacing w:val="-6"/>
        </w:rPr>
        <w:t xml:space="preserve"> </w:t>
      </w:r>
      <w:r w:rsidRPr="00EC20A0">
        <w:rPr>
          <w:spacing w:val="-4"/>
        </w:rPr>
        <w:t>Tool</w:t>
      </w:r>
    </w:p>
    <w:p w14:paraId="24D60150" w14:textId="77777777" w:rsidR="00245300" w:rsidRPr="00EC20A0" w:rsidRDefault="00F17249">
      <w:pPr>
        <w:pStyle w:val="BodyText"/>
        <w:spacing w:before="239"/>
        <w:ind w:left="419" w:right="562"/>
      </w:pPr>
      <w:r w:rsidRPr="00EC20A0">
        <w:t xml:space="preserve">A type 2 report can provide audit </w:t>
      </w:r>
      <w:r w:rsidRPr="00EC20A0">
        <w:t>evidence about whether controls at a service organization were operating effectively and support the auditor’s risk assessment and report on internal control</w:t>
      </w:r>
      <w:r w:rsidRPr="00EC20A0">
        <w:rPr>
          <w:spacing w:val="-2"/>
        </w:rPr>
        <w:t xml:space="preserve"> </w:t>
      </w:r>
      <w:r w:rsidRPr="00EC20A0">
        <w:t>over</w:t>
      </w:r>
      <w:r w:rsidRPr="00EC20A0">
        <w:rPr>
          <w:spacing w:val="-3"/>
        </w:rPr>
        <w:t xml:space="preserve"> </w:t>
      </w:r>
      <w:r w:rsidRPr="00EC20A0">
        <w:t>financial</w:t>
      </w:r>
      <w:r w:rsidRPr="00EC20A0">
        <w:rPr>
          <w:spacing w:val="-2"/>
        </w:rPr>
        <w:t xml:space="preserve"> </w:t>
      </w:r>
      <w:r w:rsidRPr="00EC20A0">
        <w:t>reporting.</w:t>
      </w:r>
      <w:hyperlink w:anchor="_bookmark25" w:history="1">
        <w:r w:rsidRPr="00EC20A0">
          <w:rPr>
            <w:position w:val="7"/>
            <w:sz w:val="14"/>
          </w:rPr>
          <w:t>18</w:t>
        </w:r>
      </w:hyperlink>
      <w:r w:rsidRPr="00EC20A0">
        <w:rPr>
          <w:spacing w:val="19"/>
          <w:position w:val="7"/>
          <w:sz w:val="14"/>
        </w:rPr>
        <w:t xml:space="preserve"> </w:t>
      </w:r>
      <w:r w:rsidRPr="00EC20A0">
        <w:t>The</w:t>
      </w:r>
      <w:r w:rsidRPr="00EC20A0">
        <w:rPr>
          <w:spacing w:val="-2"/>
        </w:rPr>
        <w:t xml:space="preserve"> </w:t>
      </w:r>
      <w:r w:rsidRPr="00EC20A0">
        <w:t>auditor</w:t>
      </w:r>
      <w:r w:rsidRPr="00EC20A0">
        <w:rPr>
          <w:spacing w:val="-2"/>
        </w:rPr>
        <w:t xml:space="preserve"> </w:t>
      </w:r>
      <w:r w:rsidRPr="00EC20A0">
        <w:t>may</w:t>
      </w:r>
      <w:r w:rsidRPr="00EC20A0">
        <w:rPr>
          <w:spacing w:val="-2"/>
        </w:rPr>
        <w:t xml:space="preserve"> </w:t>
      </w:r>
      <w:r w:rsidRPr="00EC20A0">
        <w:t>complete</w:t>
      </w:r>
      <w:r w:rsidRPr="00EC20A0">
        <w:rPr>
          <w:spacing w:val="-2"/>
        </w:rPr>
        <w:t xml:space="preserve"> </w:t>
      </w:r>
      <w:r w:rsidRPr="00EC20A0">
        <w:t>the</w:t>
      </w:r>
      <w:r w:rsidRPr="00EC20A0">
        <w:rPr>
          <w:spacing w:val="-2"/>
        </w:rPr>
        <w:t xml:space="preserve"> </w:t>
      </w:r>
      <w:r w:rsidRPr="00EC20A0">
        <w:t>following</w:t>
      </w:r>
      <w:r w:rsidRPr="00EC20A0">
        <w:rPr>
          <w:spacing w:val="-2"/>
        </w:rPr>
        <w:t xml:space="preserve"> </w:t>
      </w:r>
      <w:r w:rsidRPr="00EC20A0">
        <w:t>tool</w:t>
      </w:r>
      <w:r w:rsidRPr="00EC20A0">
        <w:rPr>
          <w:spacing w:val="-2"/>
        </w:rPr>
        <w:t xml:space="preserve"> </w:t>
      </w:r>
      <w:r w:rsidRPr="00EC20A0">
        <w:t>for</w:t>
      </w:r>
      <w:r w:rsidRPr="00EC20A0">
        <w:rPr>
          <w:spacing w:val="-2"/>
        </w:rPr>
        <w:t xml:space="preserve"> </w:t>
      </w:r>
      <w:r w:rsidRPr="00EC20A0">
        <w:t>each</w:t>
      </w:r>
      <w:r w:rsidRPr="00EC20A0">
        <w:rPr>
          <w:spacing w:val="-3"/>
        </w:rPr>
        <w:t xml:space="preserve"> </w:t>
      </w:r>
      <w:r w:rsidRPr="00EC20A0">
        <w:t>type</w:t>
      </w:r>
      <w:r w:rsidRPr="00EC20A0">
        <w:rPr>
          <w:spacing w:val="-2"/>
        </w:rPr>
        <w:t xml:space="preserve"> </w:t>
      </w:r>
      <w:r w:rsidRPr="00EC20A0">
        <w:t>2 report prepared for a service organization that performs controls likely to be relevant to an entity’s internal control over financial reporting.</w:t>
      </w:r>
    </w:p>
    <w:p w14:paraId="24D60151" w14:textId="77777777" w:rsidR="00245300" w:rsidRPr="00EC20A0" w:rsidRDefault="00F17249">
      <w:pPr>
        <w:pStyle w:val="BodyText"/>
        <w:spacing w:before="240"/>
        <w:ind w:left="419" w:right="562"/>
      </w:pPr>
      <w:r w:rsidRPr="00EC20A0">
        <w:t>If</w:t>
      </w:r>
      <w:r w:rsidRPr="00EC20A0">
        <w:rPr>
          <w:spacing w:val="-3"/>
        </w:rPr>
        <w:t xml:space="preserve"> </w:t>
      </w:r>
      <w:r w:rsidRPr="00EC20A0">
        <w:t>available,</w:t>
      </w:r>
      <w:r w:rsidRPr="00EC20A0">
        <w:rPr>
          <w:spacing w:val="-4"/>
        </w:rPr>
        <w:t xml:space="preserve"> </w:t>
      </w:r>
      <w:r w:rsidRPr="00EC20A0">
        <w:t>the</w:t>
      </w:r>
      <w:r w:rsidRPr="00EC20A0">
        <w:rPr>
          <w:spacing w:val="-3"/>
        </w:rPr>
        <w:t xml:space="preserve"> </w:t>
      </w:r>
      <w:r w:rsidRPr="00EC20A0">
        <w:t>auditor</w:t>
      </w:r>
      <w:r w:rsidRPr="00EC20A0">
        <w:rPr>
          <w:spacing w:val="-3"/>
        </w:rPr>
        <w:t xml:space="preserve"> </w:t>
      </w:r>
      <w:r w:rsidRPr="00EC20A0">
        <w:t>generally</w:t>
      </w:r>
      <w:r w:rsidRPr="00EC20A0">
        <w:rPr>
          <w:spacing w:val="-3"/>
        </w:rPr>
        <w:t xml:space="preserve"> </w:t>
      </w:r>
      <w:r w:rsidRPr="00EC20A0">
        <w:t>should</w:t>
      </w:r>
      <w:r w:rsidRPr="00EC20A0">
        <w:rPr>
          <w:spacing w:val="-3"/>
        </w:rPr>
        <w:t xml:space="preserve"> </w:t>
      </w:r>
      <w:r w:rsidRPr="00EC20A0">
        <w:t>obtain</w:t>
      </w:r>
      <w:r w:rsidRPr="00EC20A0">
        <w:rPr>
          <w:spacing w:val="-3"/>
        </w:rPr>
        <w:t xml:space="preserve"> </w:t>
      </w:r>
      <w:r w:rsidRPr="00EC20A0">
        <w:t>or</w:t>
      </w:r>
      <w:r w:rsidRPr="00EC20A0">
        <w:rPr>
          <w:spacing w:val="-4"/>
        </w:rPr>
        <w:t xml:space="preserve"> </w:t>
      </w:r>
      <w:r w:rsidRPr="00EC20A0">
        <w:t>arrange</w:t>
      </w:r>
      <w:r w:rsidRPr="00EC20A0">
        <w:rPr>
          <w:spacing w:val="-3"/>
        </w:rPr>
        <w:t xml:space="preserve"> </w:t>
      </w:r>
      <w:r w:rsidRPr="00EC20A0">
        <w:t>access</w:t>
      </w:r>
      <w:r w:rsidRPr="00EC20A0">
        <w:rPr>
          <w:spacing w:val="-3"/>
        </w:rPr>
        <w:t xml:space="preserve"> </w:t>
      </w:r>
      <w:r w:rsidRPr="00EC20A0">
        <w:t>to</w:t>
      </w:r>
      <w:r w:rsidRPr="00EC20A0">
        <w:rPr>
          <w:spacing w:val="-3"/>
        </w:rPr>
        <w:t xml:space="preserve"> </w:t>
      </w:r>
      <w:r w:rsidRPr="00EC20A0">
        <w:t>(1)</w:t>
      </w:r>
      <w:r w:rsidRPr="00EC20A0">
        <w:rPr>
          <w:spacing w:val="-3"/>
        </w:rPr>
        <w:t xml:space="preserve"> </w:t>
      </w:r>
      <w:r w:rsidRPr="00EC20A0">
        <w:t>the</w:t>
      </w:r>
      <w:r w:rsidRPr="00EC20A0">
        <w:rPr>
          <w:spacing w:val="-3"/>
        </w:rPr>
        <w:t xml:space="preserve"> </w:t>
      </w:r>
      <w:r w:rsidRPr="00EC20A0">
        <w:t>most</w:t>
      </w:r>
      <w:r w:rsidRPr="00EC20A0">
        <w:rPr>
          <w:spacing w:val="-3"/>
        </w:rPr>
        <w:t xml:space="preserve"> </w:t>
      </w:r>
      <w:r w:rsidRPr="00EC20A0">
        <w:t>recent</w:t>
      </w:r>
      <w:r w:rsidRPr="00EC20A0">
        <w:rPr>
          <w:spacing w:val="-3"/>
        </w:rPr>
        <w:t xml:space="preserve"> </w:t>
      </w:r>
      <w:r w:rsidRPr="00EC20A0">
        <w:t>type</w:t>
      </w:r>
      <w:r w:rsidRPr="00EC20A0">
        <w:rPr>
          <w:spacing w:val="-3"/>
        </w:rPr>
        <w:t xml:space="preserve"> </w:t>
      </w:r>
      <w:r w:rsidRPr="00EC20A0">
        <w:t>2 report, (2) documentation of management’s review of this report, and (3) the most recent peer review report for the service auditor that prepared this report.</w:t>
      </w:r>
    </w:p>
    <w:p w14:paraId="24D60152" w14:textId="77777777" w:rsidR="00245300" w:rsidRPr="00EC20A0" w:rsidRDefault="00F17249">
      <w:pPr>
        <w:pStyle w:val="BodyText"/>
        <w:spacing w:before="241"/>
        <w:ind w:left="419"/>
      </w:pPr>
      <w:r w:rsidRPr="00EC20A0">
        <w:t>Based</w:t>
      </w:r>
      <w:r w:rsidRPr="00EC20A0">
        <w:rPr>
          <w:spacing w:val="-6"/>
        </w:rPr>
        <w:t xml:space="preserve"> </w:t>
      </w:r>
      <w:r w:rsidRPr="00EC20A0">
        <w:t>on</w:t>
      </w:r>
      <w:r w:rsidRPr="00EC20A0">
        <w:rPr>
          <w:spacing w:val="-6"/>
        </w:rPr>
        <w:t xml:space="preserve"> </w:t>
      </w:r>
      <w:r w:rsidRPr="00EC20A0">
        <w:t>review</w:t>
      </w:r>
      <w:r w:rsidRPr="00EC20A0">
        <w:rPr>
          <w:spacing w:val="-5"/>
        </w:rPr>
        <w:t xml:space="preserve"> </w:t>
      </w:r>
      <w:r w:rsidRPr="00EC20A0">
        <w:t>of</w:t>
      </w:r>
      <w:r w:rsidRPr="00EC20A0">
        <w:rPr>
          <w:spacing w:val="-6"/>
        </w:rPr>
        <w:t xml:space="preserve"> </w:t>
      </w:r>
      <w:r w:rsidRPr="00EC20A0">
        <w:t>the</w:t>
      </w:r>
      <w:r w:rsidRPr="00EC20A0">
        <w:rPr>
          <w:spacing w:val="-7"/>
        </w:rPr>
        <w:t xml:space="preserve"> </w:t>
      </w:r>
      <w:r w:rsidRPr="00EC20A0">
        <w:t>documentation,</w:t>
      </w:r>
      <w:r w:rsidRPr="00EC20A0">
        <w:rPr>
          <w:spacing w:val="-5"/>
        </w:rPr>
        <w:t xml:space="preserve"> </w:t>
      </w:r>
      <w:r w:rsidRPr="00EC20A0">
        <w:t>this</w:t>
      </w:r>
      <w:r w:rsidRPr="00EC20A0">
        <w:rPr>
          <w:spacing w:val="-6"/>
        </w:rPr>
        <w:t xml:space="preserve"> </w:t>
      </w:r>
      <w:r w:rsidRPr="00EC20A0">
        <w:t>tool</w:t>
      </w:r>
      <w:r w:rsidRPr="00EC20A0">
        <w:rPr>
          <w:spacing w:val="-6"/>
        </w:rPr>
        <w:t xml:space="preserve"> </w:t>
      </w:r>
      <w:r w:rsidRPr="00EC20A0">
        <w:t>will</w:t>
      </w:r>
      <w:r w:rsidRPr="00EC20A0">
        <w:rPr>
          <w:spacing w:val="-6"/>
        </w:rPr>
        <w:t xml:space="preserve"> </w:t>
      </w:r>
      <w:r w:rsidRPr="00EC20A0">
        <w:t>assist</w:t>
      </w:r>
      <w:r w:rsidRPr="00EC20A0">
        <w:rPr>
          <w:spacing w:val="-6"/>
        </w:rPr>
        <w:t xml:space="preserve"> </w:t>
      </w:r>
      <w:r w:rsidRPr="00EC20A0">
        <w:t>the</w:t>
      </w:r>
      <w:r w:rsidRPr="00EC20A0">
        <w:rPr>
          <w:spacing w:val="-5"/>
        </w:rPr>
        <w:t xml:space="preserve"> </w:t>
      </w:r>
      <w:r w:rsidRPr="00EC20A0">
        <w:t>auditor</w:t>
      </w:r>
      <w:r w:rsidRPr="00EC20A0">
        <w:rPr>
          <w:spacing w:val="-6"/>
        </w:rPr>
        <w:t xml:space="preserve"> </w:t>
      </w:r>
      <w:r w:rsidRPr="00EC20A0">
        <w:t>in</w:t>
      </w:r>
      <w:r w:rsidRPr="00EC20A0">
        <w:rPr>
          <w:spacing w:val="-6"/>
        </w:rPr>
        <w:t xml:space="preserve"> </w:t>
      </w:r>
      <w:r w:rsidRPr="00EC20A0">
        <w:t>determining</w:t>
      </w:r>
      <w:r w:rsidRPr="00EC20A0">
        <w:rPr>
          <w:spacing w:val="-6"/>
        </w:rPr>
        <w:t xml:space="preserve"> </w:t>
      </w:r>
      <w:r w:rsidRPr="00EC20A0">
        <w:rPr>
          <w:spacing w:val="-2"/>
        </w:rPr>
        <w:t>whether</w:t>
      </w:r>
    </w:p>
    <w:p w14:paraId="24D60153" w14:textId="77777777" w:rsidR="00245300" w:rsidRPr="00EC20A0" w:rsidRDefault="00F17249">
      <w:pPr>
        <w:pStyle w:val="ListParagraph"/>
        <w:numPr>
          <w:ilvl w:val="0"/>
          <w:numId w:val="16"/>
        </w:numPr>
        <w:tabs>
          <w:tab w:val="left" w:pos="779"/>
        </w:tabs>
        <w:ind w:right="569"/>
      </w:pPr>
      <w:r w:rsidRPr="00EC20A0">
        <w:t>the</w:t>
      </w:r>
      <w:r w:rsidRPr="00EC20A0">
        <w:rPr>
          <w:spacing w:val="-3"/>
        </w:rPr>
        <w:t xml:space="preserve"> </w:t>
      </w:r>
      <w:r w:rsidRPr="00EC20A0">
        <w:t>audit</w:t>
      </w:r>
      <w:r w:rsidRPr="00EC20A0">
        <w:rPr>
          <w:spacing w:val="-3"/>
        </w:rPr>
        <w:t xml:space="preserve"> </w:t>
      </w:r>
      <w:r w:rsidRPr="00EC20A0">
        <w:t>evidence</w:t>
      </w:r>
      <w:r w:rsidRPr="00EC20A0">
        <w:rPr>
          <w:spacing w:val="-3"/>
        </w:rPr>
        <w:t xml:space="preserve"> </w:t>
      </w:r>
      <w:r w:rsidRPr="00EC20A0">
        <w:t>provided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type</w:t>
      </w:r>
      <w:r w:rsidRPr="00EC20A0">
        <w:rPr>
          <w:spacing w:val="-3"/>
        </w:rPr>
        <w:t xml:space="preserve"> </w:t>
      </w:r>
      <w:r w:rsidRPr="00EC20A0">
        <w:t>2</w:t>
      </w:r>
      <w:r w:rsidRPr="00EC20A0">
        <w:rPr>
          <w:spacing w:val="-3"/>
        </w:rPr>
        <w:t xml:space="preserve"> </w:t>
      </w:r>
      <w:r w:rsidRPr="00EC20A0">
        <w:t>report</w:t>
      </w:r>
      <w:r w:rsidRPr="00EC20A0">
        <w:rPr>
          <w:spacing w:val="-4"/>
        </w:rPr>
        <w:t xml:space="preserve"> </w:t>
      </w:r>
      <w:r w:rsidRPr="00EC20A0">
        <w:t>is</w:t>
      </w:r>
      <w:r w:rsidRPr="00EC20A0">
        <w:rPr>
          <w:spacing w:val="-3"/>
        </w:rPr>
        <w:t xml:space="preserve"> </w:t>
      </w:r>
      <w:r w:rsidRPr="00EC20A0">
        <w:t>sufficient</w:t>
      </w:r>
      <w:r w:rsidRPr="00EC20A0">
        <w:rPr>
          <w:spacing w:val="-4"/>
        </w:rPr>
        <w:t xml:space="preserve"> </w:t>
      </w:r>
      <w:r w:rsidRPr="00EC20A0">
        <w:t>and</w:t>
      </w:r>
      <w:r w:rsidRPr="00EC20A0">
        <w:rPr>
          <w:spacing w:val="-3"/>
        </w:rPr>
        <w:t xml:space="preserve"> </w:t>
      </w:r>
      <w:r w:rsidRPr="00EC20A0">
        <w:t>appropriate</w:t>
      </w:r>
      <w:r w:rsidRPr="00EC20A0">
        <w:rPr>
          <w:spacing w:val="-3"/>
        </w:rPr>
        <w:t xml:space="preserve"> </w:t>
      </w:r>
      <w:r w:rsidRPr="00EC20A0">
        <w:t>for</w:t>
      </w:r>
      <w:r w:rsidRPr="00EC20A0">
        <w:rPr>
          <w:spacing w:val="-3"/>
        </w:rPr>
        <w:t xml:space="preserve"> </w:t>
      </w:r>
      <w:r w:rsidRPr="00EC20A0">
        <w:t>meeting</w:t>
      </w:r>
      <w:r w:rsidRPr="00EC20A0">
        <w:rPr>
          <w:spacing w:val="-3"/>
        </w:rPr>
        <w:t xml:space="preserve"> </w:t>
      </w:r>
      <w:r w:rsidRPr="00EC20A0">
        <w:t>the auditor’s objectives;</w:t>
      </w:r>
    </w:p>
    <w:p w14:paraId="24D60154" w14:textId="77777777" w:rsidR="00245300" w:rsidRPr="00EC20A0" w:rsidRDefault="00F17249">
      <w:pPr>
        <w:pStyle w:val="ListParagraph"/>
        <w:numPr>
          <w:ilvl w:val="0"/>
          <w:numId w:val="16"/>
        </w:numPr>
        <w:tabs>
          <w:tab w:val="left" w:pos="778"/>
        </w:tabs>
        <w:spacing w:before="239"/>
        <w:ind w:left="778" w:right="510"/>
      </w:pPr>
      <w:r w:rsidRPr="00EC20A0">
        <w:t xml:space="preserve">the relevant internal controls at the service organization and any relevant </w:t>
      </w:r>
      <w:r w:rsidRPr="00EC20A0">
        <w:t>complementary user</w:t>
      </w:r>
      <w:r w:rsidRPr="00EC20A0">
        <w:rPr>
          <w:spacing w:val="-4"/>
        </w:rPr>
        <w:t xml:space="preserve"> </w:t>
      </w:r>
      <w:r w:rsidRPr="00EC20A0">
        <w:t>entity</w:t>
      </w:r>
      <w:r w:rsidRPr="00EC20A0">
        <w:rPr>
          <w:spacing w:val="-4"/>
        </w:rPr>
        <w:t xml:space="preserve"> </w:t>
      </w:r>
      <w:r w:rsidRPr="00EC20A0">
        <w:t>and</w:t>
      </w:r>
      <w:r w:rsidRPr="00EC20A0">
        <w:rPr>
          <w:spacing w:val="-4"/>
        </w:rPr>
        <w:t xml:space="preserve"> </w:t>
      </w:r>
      <w:r w:rsidRPr="00EC20A0">
        <w:t>subservice</w:t>
      </w:r>
      <w:r w:rsidRPr="00EC20A0">
        <w:rPr>
          <w:spacing w:val="-4"/>
        </w:rPr>
        <w:t xml:space="preserve"> </w:t>
      </w:r>
      <w:r w:rsidRPr="00EC20A0">
        <w:t>organization</w:t>
      </w:r>
      <w:r w:rsidRPr="00EC20A0">
        <w:rPr>
          <w:spacing w:val="-4"/>
        </w:rPr>
        <w:t xml:space="preserve"> </w:t>
      </w:r>
      <w:r w:rsidRPr="00EC20A0">
        <w:t>controls</w:t>
      </w:r>
      <w:r w:rsidRPr="00EC20A0">
        <w:rPr>
          <w:spacing w:val="-5"/>
        </w:rPr>
        <w:t xml:space="preserve"> </w:t>
      </w:r>
      <w:r w:rsidRPr="00EC20A0">
        <w:t>were</w:t>
      </w:r>
      <w:r w:rsidRPr="00EC20A0">
        <w:rPr>
          <w:spacing w:val="-4"/>
        </w:rPr>
        <w:t xml:space="preserve"> </w:t>
      </w:r>
      <w:r w:rsidRPr="00EC20A0">
        <w:t>designed,</w:t>
      </w:r>
      <w:r w:rsidRPr="00EC20A0">
        <w:rPr>
          <w:spacing w:val="-4"/>
        </w:rPr>
        <w:t xml:space="preserve"> </w:t>
      </w:r>
      <w:r w:rsidRPr="00EC20A0">
        <w:t>implemented,</w:t>
      </w:r>
      <w:r w:rsidRPr="00EC20A0">
        <w:rPr>
          <w:spacing w:val="-4"/>
        </w:rPr>
        <w:t xml:space="preserve"> </w:t>
      </w:r>
      <w:r w:rsidRPr="00EC20A0">
        <w:t>and</w:t>
      </w:r>
      <w:r w:rsidRPr="00EC20A0">
        <w:rPr>
          <w:spacing w:val="-4"/>
        </w:rPr>
        <w:t xml:space="preserve"> </w:t>
      </w:r>
      <w:r w:rsidRPr="00EC20A0">
        <w:t xml:space="preserve">operating </w:t>
      </w:r>
      <w:r w:rsidRPr="00EC20A0">
        <w:rPr>
          <w:spacing w:val="-2"/>
        </w:rPr>
        <w:t>effectively;</w:t>
      </w:r>
    </w:p>
    <w:p w14:paraId="24D60155" w14:textId="77777777" w:rsidR="00245300" w:rsidRPr="00EC20A0" w:rsidRDefault="00F17249">
      <w:pPr>
        <w:pStyle w:val="ListParagraph"/>
        <w:numPr>
          <w:ilvl w:val="0"/>
          <w:numId w:val="16"/>
        </w:numPr>
        <w:tabs>
          <w:tab w:val="left" w:pos="779"/>
        </w:tabs>
        <w:spacing w:before="241"/>
        <w:ind w:right="522"/>
      </w:pPr>
      <w:r w:rsidRPr="00EC20A0">
        <w:t>effective</w:t>
      </w:r>
      <w:r w:rsidRPr="00EC20A0">
        <w:rPr>
          <w:spacing w:val="-5"/>
        </w:rPr>
        <w:t xml:space="preserve"> </w:t>
      </w:r>
      <w:r w:rsidRPr="00EC20A0">
        <w:t>compensating</w:t>
      </w:r>
      <w:r w:rsidRPr="00EC20A0">
        <w:rPr>
          <w:spacing w:val="-4"/>
        </w:rPr>
        <w:t xml:space="preserve"> </w:t>
      </w:r>
      <w:r w:rsidRPr="00EC20A0">
        <w:t>controls</w:t>
      </w:r>
      <w:r w:rsidRPr="00EC20A0">
        <w:rPr>
          <w:spacing w:val="-4"/>
        </w:rPr>
        <w:t xml:space="preserve"> </w:t>
      </w:r>
      <w:r w:rsidRPr="00EC20A0">
        <w:t>were</w:t>
      </w:r>
      <w:r w:rsidRPr="00EC20A0">
        <w:rPr>
          <w:spacing w:val="-4"/>
        </w:rPr>
        <w:t xml:space="preserve"> </w:t>
      </w:r>
      <w:r w:rsidRPr="00EC20A0">
        <w:t>in</w:t>
      </w:r>
      <w:r w:rsidRPr="00EC20A0">
        <w:rPr>
          <w:spacing w:val="-4"/>
        </w:rPr>
        <w:t xml:space="preserve"> </w:t>
      </w:r>
      <w:r w:rsidRPr="00EC20A0">
        <w:t>place</w:t>
      </w:r>
      <w:r w:rsidRPr="00EC20A0">
        <w:rPr>
          <w:spacing w:val="-4"/>
        </w:rPr>
        <w:t xml:space="preserve"> </w:t>
      </w:r>
      <w:r w:rsidRPr="00EC20A0">
        <w:t>for</w:t>
      </w:r>
      <w:r w:rsidRPr="00EC20A0">
        <w:rPr>
          <w:spacing w:val="-4"/>
        </w:rPr>
        <w:t xml:space="preserve"> </w:t>
      </w:r>
      <w:r w:rsidRPr="00EC20A0">
        <w:t>those</w:t>
      </w:r>
      <w:r w:rsidRPr="00EC20A0">
        <w:rPr>
          <w:spacing w:val="-4"/>
        </w:rPr>
        <w:t xml:space="preserve"> </w:t>
      </w:r>
      <w:r w:rsidRPr="00EC20A0">
        <w:t>relevant</w:t>
      </w:r>
      <w:r w:rsidRPr="00EC20A0">
        <w:rPr>
          <w:spacing w:val="-4"/>
        </w:rPr>
        <w:t xml:space="preserve"> </w:t>
      </w:r>
      <w:r w:rsidRPr="00EC20A0">
        <w:t>internal</w:t>
      </w:r>
      <w:r w:rsidRPr="00EC20A0">
        <w:rPr>
          <w:spacing w:val="-5"/>
        </w:rPr>
        <w:t xml:space="preserve"> </w:t>
      </w:r>
      <w:r w:rsidRPr="00EC20A0">
        <w:t>controls</w:t>
      </w:r>
      <w:r w:rsidRPr="00EC20A0">
        <w:rPr>
          <w:spacing w:val="-4"/>
        </w:rPr>
        <w:t xml:space="preserve"> </w:t>
      </w:r>
      <w:r w:rsidRPr="00EC20A0">
        <w:t>determined to be ineffective;</w:t>
      </w:r>
    </w:p>
    <w:p w14:paraId="24D60156" w14:textId="77777777" w:rsidR="00245300" w:rsidRPr="00EC20A0" w:rsidRDefault="00F17249">
      <w:pPr>
        <w:pStyle w:val="ListParagraph"/>
        <w:numPr>
          <w:ilvl w:val="0"/>
          <w:numId w:val="16"/>
        </w:numPr>
        <w:tabs>
          <w:tab w:val="left" w:pos="779"/>
        </w:tabs>
        <w:spacing w:before="239"/>
        <w:ind w:right="521"/>
      </w:pPr>
      <w:r w:rsidRPr="00EC20A0">
        <w:t>management appropriately reviewed and documented the results of its review of the type 2 report,</w:t>
      </w:r>
      <w:r w:rsidRPr="00EC20A0">
        <w:rPr>
          <w:spacing w:val="-4"/>
        </w:rPr>
        <w:t xml:space="preserve"> </w:t>
      </w:r>
      <w:r w:rsidRPr="00EC20A0">
        <w:t>reached</w:t>
      </w:r>
      <w:r w:rsidRPr="00EC20A0">
        <w:rPr>
          <w:spacing w:val="-4"/>
        </w:rPr>
        <w:t xml:space="preserve"> </w:t>
      </w:r>
      <w:r w:rsidRPr="00EC20A0">
        <w:t>reasonable</w:t>
      </w:r>
      <w:r w:rsidRPr="00EC20A0">
        <w:rPr>
          <w:spacing w:val="-4"/>
        </w:rPr>
        <w:t xml:space="preserve"> </w:t>
      </w:r>
      <w:r w:rsidRPr="00EC20A0">
        <w:t>conclusions,</w:t>
      </w:r>
      <w:r w:rsidRPr="00EC20A0">
        <w:rPr>
          <w:spacing w:val="-4"/>
        </w:rPr>
        <w:t xml:space="preserve"> </w:t>
      </w:r>
      <w:r w:rsidRPr="00EC20A0">
        <w:t>and</w:t>
      </w:r>
      <w:r w:rsidRPr="00EC20A0">
        <w:rPr>
          <w:spacing w:val="-4"/>
        </w:rPr>
        <w:t xml:space="preserve"> </w:t>
      </w:r>
      <w:r w:rsidRPr="00EC20A0">
        <w:t>took</w:t>
      </w:r>
      <w:r w:rsidRPr="00EC20A0">
        <w:rPr>
          <w:spacing w:val="-4"/>
        </w:rPr>
        <w:t xml:space="preserve"> </w:t>
      </w:r>
      <w:r w:rsidRPr="00EC20A0">
        <w:t>appropriate</w:t>
      </w:r>
      <w:r w:rsidRPr="00EC20A0">
        <w:rPr>
          <w:spacing w:val="-4"/>
        </w:rPr>
        <w:t xml:space="preserve"> </w:t>
      </w:r>
      <w:r w:rsidRPr="00EC20A0">
        <w:t>actions</w:t>
      </w:r>
      <w:r w:rsidRPr="00EC20A0">
        <w:rPr>
          <w:spacing w:val="-4"/>
        </w:rPr>
        <w:t xml:space="preserve"> </w:t>
      </w:r>
      <w:r w:rsidRPr="00EC20A0">
        <w:t>to</w:t>
      </w:r>
      <w:r w:rsidRPr="00EC20A0">
        <w:rPr>
          <w:spacing w:val="-5"/>
        </w:rPr>
        <w:t xml:space="preserve"> </w:t>
      </w:r>
      <w:r w:rsidRPr="00EC20A0">
        <w:t>address</w:t>
      </w:r>
      <w:r w:rsidRPr="00EC20A0">
        <w:rPr>
          <w:spacing w:val="-4"/>
        </w:rPr>
        <w:t xml:space="preserve"> </w:t>
      </w:r>
      <w:r w:rsidRPr="00EC20A0">
        <w:t>any</w:t>
      </w:r>
      <w:r w:rsidRPr="00EC20A0">
        <w:rPr>
          <w:spacing w:val="-5"/>
        </w:rPr>
        <w:t xml:space="preserve"> </w:t>
      </w:r>
      <w:r w:rsidRPr="00EC20A0">
        <w:t xml:space="preserve">control objectives not adequately addressed in the type 2 report and any exceptions identified that have </w:t>
      </w:r>
      <w:r w:rsidRPr="00EC20A0">
        <w:t>an impact on the relevant internal controls; and</w:t>
      </w:r>
    </w:p>
    <w:p w14:paraId="24D60157" w14:textId="77777777" w:rsidR="00245300" w:rsidRPr="00EC20A0" w:rsidRDefault="00F17249">
      <w:pPr>
        <w:pStyle w:val="ListParagraph"/>
        <w:numPr>
          <w:ilvl w:val="0"/>
          <w:numId w:val="16"/>
        </w:numPr>
        <w:tabs>
          <w:tab w:val="left" w:pos="779"/>
        </w:tabs>
        <w:spacing w:before="241"/>
        <w:ind w:right="754"/>
      </w:pPr>
      <w:r w:rsidRPr="00EC20A0">
        <w:t>additional</w:t>
      </w:r>
      <w:r w:rsidRPr="00EC20A0">
        <w:rPr>
          <w:spacing w:val="-4"/>
        </w:rPr>
        <w:t xml:space="preserve"> </w:t>
      </w:r>
      <w:r w:rsidRPr="00EC20A0">
        <w:t>procedures</w:t>
      </w:r>
      <w:r w:rsidRPr="00EC20A0">
        <w:rPr>
          <w:spacing w:val="-4"/>
        </w:rPr>
        <w:t xml:space="preserve"> </w:t>
      </w:r>
      <w:r w:rsidRPr="00EC20A0">
        <w:t>are</w:t>
      </w:r>
      <w:r w:rsidRPr="00EC20A0">
        <w:rPr>
          <w:spacing w:val="-4"/>
        </w:rPr>
        <w:t xml:space="preserve"> </w:t>
      </w:r>
      <w:r w:rsidRPr="00EC20A0">
        <w:t>needed</w:t>
      </w:r>
      <w:r w:rsidRPr="00EC20A0">
        <w:rPr>
          <w:spacing w:val="-4"/>
        </w:rPr>
        <w:t xml:space="preserve"> </w:t>
      </w:r>
      <w:r w:rsidRPr="00EC20A0">
        <w:t>to</w:t>
      </w:r>
      <w:r w:rsidRPr="00EC20A0">
        <w:rPr>
          <w:spacing w:val="-5"/>
        </w:rPr>
        <w:t xml:space="preserve"> </w:t>
      </w:r>
      <w:r w:rsidRPr="00EC20A0">
        <w:t>obtain</w:t>
      </w:r>
      <w:r w:rsidRPr="00EC20A0">
        <w:rPr>
          <w:spacing w:val="-4"/>
        </w:rPr>
        <w:t xml:space="preserve"> </w:t>
      </w:r>
      <w:r w:rsidRPr="00EC20A0">
        <w:t>sufficient</w:t>
      </w:r>
      <w:r w:rsidRPr="00EC20A0">
        <w:rPr>
          <w:spacing w:val="-4"/>
        </w:rPr>
        <w:t xml:space="preserve"> </w:t>
      </w:r>
      <w:r w:rsidRPr="00EC20A0">
        <w:t>appropriate</w:t>
      </w:r>
      <w:r w:rsidRPr="00EC20A0">
        <w:rPr>
          <w:spacing w:val="-4"/>
        </w:rPr>
        <w:t xml:space="preserve"> </w:t>
      </w:r>
      <w:r w:rsidRPr="00EC20A0">
        <w:t>audit</w:t>
      </w:r>
      <w:r w:rsidRPr="00EC20A0">
        <w:rPr>
          <w:spacing w:val="-4"/>
        </w:rPr>
        <w:t xml:space="preserve"> </w:t>
      </w:r>
      <w:r w:rsidRPr="00EC20A0">
        <w:t>evidence</w:t>
      </w:r>
      <w:r w:rsidRPr="00EC20A0">
        <w:rPr>
          <w:spacing w:val="-4"/>
        </w:rPr>
        <w:t xml:space="preserve"> </w:t>
      </w:r>
      <w:r w:rsidRPr="00EC20A0">
        <w:t>about</w:t>
      </w:r>
      <w:r w:rsidRPr="00EC20A0">
        <w:rPr>
          <w:spacing w:val="-5"/>
        </w:rPr>
        <w:t xml:space="preserve"> </w:t>
      </w:r>
      <w:r w:rsidRPr="00EC20A0">
        <w:t>the operating effectiveness of controls at the service organization or at the entity.</w:t>
      </w:r>
    </w:p>
    <w:p w14:paraId="24D60158" w14:textId="77777777" w:rsidR="00245300" w:rsidRPr="00EC20A0" w:rsidRDefault="00245300">
      <w:pPr>
        <w:pStyle w:val="BodyText"/>
        <w:rPr>
          <w:sz w:val="20"/>
        </w:rPr>
      </w:pPr>
    </w:p>
    <w:p w14:paraId="24D60159" w14:textId="77777777" w:rsidR="00245300" w:rsidRPr="00EC20A0" w:rsidRDefault="00245300">
      <w:pPr>
        <w:pStyle w:val="BodyText"/>
        <w:rPr>
          <w:sz w:val="20"/>
        </w:rPr>
      </w:pPr>
    </w:p>
    <w:p w14:paraId="24D6015A" w14:textId="77777777" w:rsidR="00245300" w:rsidRPr="00EC20A0" w:rsidRDefault="00245300">
      <w:pPr>
        <w:pStyle w:val="BodyText"/>
        <w:rPr>
          <w:sz w:val="20"/>
        </w:rPr>
      </w:pPr>
    </w:p>
    <w:p w14:paraId="24D6015B" w14:textId="77777777" w:rsidR="00245300" w:rsidRPr="00EC20A0" w:rsidRDefault="00245300">
      <w:pPr>
        <w:pStyle w:val="BodyText"/>
        <w:rPr>
          <w:sz w:val="20"/>
        </w:rPr>
      </w:pPr>
    </w:p>
    <w:p w14:paraId="24D6015C" w14:textId="77777777" w:rsidR="00245300" w:rsidRPr="00EC20A0" w:rsidRDefault="00245300">
      <w:pPr>
        <w:pStyle w:val="BodyText"/>
        <w:rPr>
          <w:sz w:val="20"/>
        </w:rPr>
      </w:pPr>
    </w:p>
    <w:p w14:paraId="24D6015D" w14:textId="77777777" w:rsidR="00245300" w:rsidRPr="00EC20A0" w:rsidRDefault="00245300">
      <w:pPr>
        <w:pStyle w:val="BodyText"/>
        <w:rPr>
          <w:sz w:val="20"/>
        </w:rPr>
      </w:pPr>
    </w:p>
    <w:p w14:paraId="24D6015E" w14:textId="77777777" w:rsidR="00245300" w:rsidRPr="00EC20A0" w:rsidRDefault="00245300">
      <w:pPr>
        <w:pStyle w:val="BodyText"/>
        <w:rPr>
          <w:sz w:val="20"/>
        </w:rPr>
      </w:pPr>
    </w:p>
    <w:p w14:paraId="24D6015F" w14:textId="77777777" w:rsidR="00245300" w:rsidRPr="00EC20A0" w:rsidRDefault="00245300">
      <w:pPr>
        <w:pStyle w:val="BodyText"/>
        <w:rPr>
          <w:sz w:val="20"/>
        </w:rPr>
      </w:pPr>
    </w:p>
    <w:p w14:paraId="24D60160" w14:textId="77777777" w:rsidR="00245300" w:rsidRPr="00EC20A0" w:rsidRDefault="00245300">
      <w:pPr>
        <w:pStyle w:val="BodyText"/>
        <w:rPr>
          <w:sz w:val="20"/>
        </w:rPr>
      </w:pPr>
    </w:p>
    <w:p w14:paraId="24D60161" w14:textId="77777777" w:rsidR="00245300" w:rsidRPr="00EC20A0" w:rsidRDefault="00245300">
      <w:pPr>
        <w:pStyle w:val="BodyText"/>
        <w:rPr>
          <w:sz w:val="20"/>
        </w:rPr>
      </w:pPr>
    </w:p>
    <w:p w14:paraId="24D60162" w14:textId="77777777" w:rsidR="00245300" w:rsidRPr="00EC20A0" w:rsidRDefault="00245300">
      <w:pPr>
        <w:pStyle w:val="BodyText"/>
        <w:rPr>
          <w:sz w:val="20"/>
        </w:rPr>
      </w:pPr>
    </w:p>
    <w:p w14:paraId="24D60163" w14:textId="77777777" w:rsidR="00245300" w:rsidRPr="00EC20A0" w:rsidRDefault="00F17249">
      <w:pPr>
        <w:pStyle w:val="BodyText"/>
        <w:spacing w:before="215"/>
        <w:rPr>
          <w:sz w:val="20"/>
        </w:rPr>
      </w:pPr>
      <w:r w:rsidRPr="00EC20A0">
        <w:rPr>
          <w:noProof/>
        </w:rPr>
        <mc:AlternateContent>
          <mc:Choice Requires="wps">
            <w:drawing>
              <wp:anchor distT="0" distB="0" distL="0" distR="0" simplePos="0" relativeHeight="487600128" behindDoc="1" locked="0" layoutInCell="1" allowOverlap="1" wp14:anchorId="24D62AE5" wp14:editId="24D62AE6">
                <wp:simplePos x="0" y="0"/>
                <wp:positionH relativeFrom="page">
                  <wp:posOffset>914400</wp:posOffset>
                </wp:positionH>
                <wp:positionV relativeFrom="paragraph">
                  <wp:posOffset>298271</wp:posOffset>
                </wp:positionV>
                <wp:extent cx="1828800" cy="571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F0345" id="Graphic 127" o:spid="_x0000_s1026" style="position:absolute;margin-left:1in;margin-top:23.5pt;width:2in;height:.4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" path="m1828800,l,,,5333r1828800,l1828800,xe" fillcolor="black" stroked="f">
                <v:path arrowok="t"/>
                <w10:wrap type="topAndBottom" anchorx="page"/>
              </v:shape>
            </w:pict>
          </mc:Fallback>
        </mc:AlternateContent>
      </w:r>
    </w:p>
    <w:p w14:paraId="24D60164" w14:textId="77777777" w:rsidR="00245300" w:rsidRPr="00EC20A0" w:rsidRDefault="00F17249">
      <w:pPr>
        <w:spacing w:before="200" w:line="242" w:lineRule="auto"/>
        <w:ind w:left="416" w:right="562" w:firstLine="3"/>
        <w:rPr>
          <w:sz w:val="18"/>
        </w:rPr>
      </w:pPr>
      <w:bookmarkStart w:id="88" w:name="_bookmark25"/>
      <w:bookmarkEnd w:id="88"/>
      <w:r w:rsidRPr="00EC20A0">
        <w:rPr>
          <w:position w:val="7"/>
          <w:sz w:val="14"/>
        </w:rPr>
        <w:t>18</w:t>
      </w:r>
      <w:r w:rsidRPr="00EC20A0">
        <w:rPr>
          <w:sz w:val="18"/>
        </w:rPr>
        <w:t xml:space="preserve">A type 2 </w:t>
      </w:r>
      <w:r w:rsidRPr="00EC20A0">
        <w:rPr>
          <w:sz w:val="18"/>
        </w:rPr>
        <w:t>report consists of a report on management’s description of a service organization’s system and a service auditor’s</w:t>
      </w:r>
      <w:r w:rsidRPr="00EC20A0">
        <w:rPr>
          <w:spacing w:val="-2"/>
          <w:sz w:val="18"/>
        </w:rPr>
        <w:t xml:space="preserve"> </w:t>
      </w:r>
      <w:r w:rsidRPr="00EC20A0">
        <w:rPr>
          <w:sz w:val="18"/>
        </w:rPr>
        <w:t>report</w:t>
      </w:r>
      <w:r w:rsidRPr="00EC20A0">
        <w:rPr>
          <w:spacing w:val="-2"/>
          <w:sz w:val="18"/>
        </w:rPr>
        <w:t xml:space="preserve"> </w:t>
      </w:r>
      <w:r w:rsidRPr="00EC20A0">
        <w:rPr>
          <w:sz w:val="18"/>
        </w:rPr>
        <w:t>on</w:t>
      </w:r>
      <w:r w:rsidRPr="00EC20A0">
        <w:rPr>
          <w:spacing w:val="-3"/>
          <w:sz w:val="18"/>
        </w:rPr>
        <w:t xml:space="preserve"> </w:t>
      </w:r>
      <w:r w:rsidRPr="00EC20A0">
        <w:rPr>
          <w:sz w:val="18"/>
        </w:rPr>
        <w:t>that</w:t>
      </w:r>
      <w:r w:rsidRPr="00EC20A0">
        <w:rPr>
          <w:spacing w:val="-2"/>
          <w:sz w:val="18"/>
        </w:rPr>
        <w:t xml:space="preserve"> </w:t>
      </w:r>
      <w:r w:rsidRPr="00EC20A0">
        <w:rPr>
          <w:sz w:val="18"/>
        </w:rPr>
        <w:t>description</w:t>
      </w:r>
      <w:r w:rsidRPr="00EC20A0">
        <w:rPr>
          <w:spacing w:val="-3"/>
          <w:sz w:val="18"/>
        </w:rPr>
        <w:t xml:space="preserve"> </w:t>
      </w:r>
      <w:r w:rsidRPr="00EC20A0">
        <w:rPr>
          <w:sz w:val="18"/>
        </w:rPr>
        <w:t>and</w:t>
      </w:r>
      <w:r w:rsidRPr="00EC20A0">
        <w:rPr>
          <w:spacing w:val="-2"/>
          <w:sz w:val="18"/>
        </w:rPr>
        <w:t xml:space="preserve"> </w:t>
      </w:r>
      <w:r w:rsidRPr="00EC20A0">
        <w:rPr>
          <w:sz w:val="18"/>
        </w:rPr>
        <w:t>on</w:t>
      </w:r>
      <w:r w:rsidRPr="00EC20A0">
        <w:rPr>
          <w:spacing w:val="-3"/>
          <w:sz w:val="18"/>
        </w:rPr>
        <w:t xml:space="preserve"> </w:t>
      </w:r>
      <w:r w:rsidRPr="00EC20A0">
        <w:rPr>
          <w:sz w:val="18"/>
        </w:rPr>
        <w:t>the</w:t>
      </w:r>
      <w:r w:rsidRPr="00EC20A0">
        <w:rPr>
          <w:spacing w:val="-3"/>
          <w:sz w:val="18"/>
        </w:rPr>
        <w:t xml:space="preserve"> </w:t>
      </w:r>
      <w:r w:rsidRPr="00EC20A0">
        <w:rPr>
          <w:sz w:val="18"/>
        </w:rPr>
        <w:t>suitability</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design</w:t>
      </w:r>
      <w:r w:rsidRPr="00EC20A0">
        <w:rPr>
          <w:spacing w:val="-3"/>
          <w:sz w:val="18"/>
        </w:rPr>
        <w:t xml:space="preserve"> </w:t>
      </w:r>
      <w:r w:rsidRPr="00EC20A0">
        <w:rPr>
          <w:sz w:val="18"/>
        </w:rPr>
        <w:t>and</w:t>
      </w:r>
      <w:r w:rsidRPr="00EC20A0">
        <w:rPr>
          <w:spacing w:val="-1"/>
          <w:sz w:val="18"/>
        </w:rPr>
        <w:t xml:space="preserve"> </w:t>
      </w:r>
      <w:r w:rsidRPr="00EC20A0">
        <w:rPr>
          <w:sz w:val="18"/>
        </w:rPr>
        <w:t>operating</w:t>
      </w:r>
      <w:r w:rsidRPr="00EC20A0">
        <w:rPr>
          <w:spacing w:val="-1"/>
          <w:sz w:val="18"/>
        </w:rPr>
        <w:t xml:space="preserve"> </w:t>
      </w:r>
      <w:r w:rsidRPr="00EC20A0">
        <w:rPr>
          <w:sz w:val="18"/>
        </w:rPr>
        <w:t>effectiveness</w:t>
      </w:r>
      <w:r w:rsidRPr="00EC20A0">
        <w:rPr>
          <w:spacing w:val="-2"/>
          <w:sz w:val="18"/>
        </w:rPr>
        <w:t xml:space="preserve"> </w:t>
      </w:r>
      <w:r w:rsidRPr="00EC20A0">
        <w:rPr>
          <w:sz w:val="18"/>
        </w:rPr>
        <w:t>of</w:t>
      </w:r>
      <w:r w:rsidRPr="00EC20A0">
        <w:rPr>
          <w:spacing w:val="-2"/>
          <w:sz w:val="18"/>
        </w:rPr>
        <w:t xml:space="preserve"> </w:t>
      </w:r>
      <w:r w:rsidRPr="00EC20A0">
        <w:rPr>
          <w:sz w:val="18"/>
        </w:rPr>
        <w:t>controls.</w:t>
      </w:r>
      <w:r w:rsidRPr="00EC20A0">
        <w:rPr>
          <w:spacing w:val="-2"/>
          <w:sz w:val="18"/>
        </w:rPr>
        <w:t xml:space="preserve"> </w:t>
      </w:r>
      <w:r w:rsidRPr="00EC20A0">
        <w:rPr>
          <w:sz w:val="18"/>
        </w:rPr>
        <w:t>Type</w:t>
      </w:r>
      <w:r w:rsidRPr="00EC20A0">
        <w:rPr>
          <w:spacing w:val="-3"/>
          <w:sz w:val="18"/>
        </w:rPr>
        <w:t xml:space="preserve"> </w:t>
      </w:r>
      <w:r w:rsidRPr="00EC20A0">
        <w:rPr>
          <w:sz w:val="18"/>
        </w:rPr>
        <w:t xml:space="preserve">2 reports focus on controls likely to be relevant to entities’ internal control over financial reporting, issued under AICPA’s </w:t>
      </w:r>
      <w:r w:rsidRPr="00EC20A0">
        <w:rPr>
          <w:i/>
          <w:sz w:val="18"/>
        </w:rPr>
        <w:t xml:space="preserve">Standards for Attestation Engagements [Clarified] </w:t>
      </w:r>
      <w:r w:rsidRPr="00EC20A0">
        <w:rPr>
          <w:sz w:val="18"/>
        </w:rPr>
        <w:t xml:space="preserve">(AT-C), section 320, </w:t>
      </w:r>
      <w:r w:rsidRPr="00EC20A0">
        <w:rPr>
          <w:i/>
          <w:sz w:val="18"/>
        </w:rPr>
        <w:t>Reporting on an Examination of Controls at a Service Organization Relevant to User Entities’ Internal Control Over Financial Reporting</w:t>
      </w:r>
      <w:r w:rsidRPr="00EC20A0">
        <w:rPr>
          <w:sz w:val="18"/>
        </w:rPr>
        <w:t>. There are other types of reports on service organizations that may be available, including reports on controls at a service organization other than those likely to be relevant to</w:t>
      </w:r>
      <w:r w:rsidRPr="00EC20A0">
        <w:rPr>
          <w:sz w:val="18"/>
        </w:rPr>
        <w:t xml:space="preserve"> entities’ internal control over financial reporting (for example, controls that are relevant to entities’ compliance with specified requirements of laws, regulations, contracts, or grant </w:t>
      </w:r>
      <w:r w:rsidRPr="00EC20A0">
        <w:rPr>
          <w:spacing w:val="-2"/>
          <w:sz w:val="18"/>
        </w:rPr>
        <w:t>agreements).</w:t>
      </w:r>
    </w:p>
    <w:p w14:paraId="24D60165" w14:textId="77777777" w:rsidR="00245300" w:rsidRPr="00EC20A0" w:rsidRDefault="00245300">
      <w:pPr>
        <w:spacing w:line="242" w:lineRule="auto"/>
        <w:rPr>
          <w:sz w:val="18"/>
        </w:rPr>
        <w:sectPr w:rsidR="00245300" w:rsidRPr="00EC20A0">
          <w:headerReference w:type="default" r:id="rId38"/>
          <w:footerReference w:type="default" r:id="rId39"/>
          <w:pgSz w:w="12240" w:h="15840"/>
          <w:pgMar w:top="1340" w:right="940" w:bottom="940" w:left="1020" w:header="721" w:footer="757" w:gutter="0"/>
          <w:pgNumType w:start="1"/>
          <w:cols w:space="720"/>
        </w:sectPr>
      </w:pPr>
    </w:p>
    <w:p w14:paraId="24D60166" w14:textId="77777777" w:rsidR="00245300" w:rsidRPr="00EC20A0" w:rsidRDefault="00245300">
      <w:pPr>
        <w:pStyle w:val="BodyText"/>
        <w:spacing w:before="17"/>
        <w:rPr>
          <w:sz w:val="20"/>
        </w:rPr>
      </w:pPr>
    </w:p>
    <w:tbl>
      <w:tblPr>
        <w:tblW w:w="0" w:type="auto"/>
        <w:tblInd w:w="375" w:type="dxa"/>
        <w:tblLayout w:type="fixed"/>
        <w:tblCellMar>
          <w:left w:w="0" w:type="dxa"/>
          <w:right w:w="0" w:type="dxa"/>
        </w:tblCellMar>
        <w:tblLook w:val="01E0" w:firstRow="1" w:lastRow="1" w:firstColumn="1" w:lastColumn="1" w:noHBand="0" w:noVBand="0"/>
      </w:tblPr>
      <w:tblGrid>
        <w:gridCol w:w="861"/>
        <w:gridCol w:w="8467"/>
      </w:tblGrid>
      <w:tr w:rsidR="00245300" w:rsidRPr="00EC20A0" w14:paraId="24D60169" w14:textId="77777777">
        <w:trPr>
          <w:trHeight w:val="387"/>
        </w:trPr>
        <w:tc>
          <w:tcPr>
            <w:tcW w:w="861" w:type="dxa"/>
          </w:tcPr>
          <w:p w14:paraId="24D60167" w14:textId="77777777" w:rsidR="00245300" w:rsidRPr="00EC20A0" w:rsidRDefault="00F17249">
            <w:pPr>
              <w:pStyle w:val="TableParagraph"/>
              <w:spacing w:line="268" w:lineRule="exact"/>
              <w:ind w:left="52"/>
              <w:rPr>
                <w:b/>
                <w:sz w:val="24"/>
              </w:rPr>
            </w:pPr>
            <w:r w:rsidRPr="00EC20A0">
              <w:rPr>
                <w:b/>
                <w:spacing w:val="-5"/>
                <w:sz w:val="24"/>
              </w:rPr>
              <w:t>I.</w:t>
            </w:r>
          </w:p>
        </w:tc>
        <w:tc>
          <w:tcPr>
            <w:tcW w:w="8467" w:type="dxa"/>
            <w:tcBorders>
              <w:bottom w:val="single" w:sz="2" w:space="0" w:color="000000"/>
            </w:tcBorders>
          </w:tcPr>
          <w:p w14:paraId="24D60168" w14:textId="77777777" w:rsidR="00245300" w:rsidRPr="00EC20A0" w:rsidRDefault="00F17249">
            <w:pPr>
              <w:pStyle w:val="TableParagraph"/>
              <w:spacing w:line="268" w:lineRule="exact"/>
              <w:ind w:left="2"/>
              <w:rPr>
                <w:b/>
                <w:sz w:val="24"/>
              </w:rPr>
            </w:pPr>
            <w:r w:rsidRPr="00EC20A0">
              <w:rPr>
                <w:b/>
                <w:sz w:val="24"/>
              </w:rPr>
              <w:t>Name</w:t>
            </w:r>
            <w:r w:rsidRPr="00EC20A0">
              <w:rPr>
                <w:b/>
                <w:spacing w:val="-3"/>
                <w:sz w:val="24"/>
              </w:rPr>
              <w:t xml:space="preserve"> </w:t>
            </w:r>
            <w:r w:rsidRPr="00EC20A0">
              <w:rPr>
                <w:b/>
                <w:sz w:val="24"/>
              </w:rPr>
              <w:t>of</w:t>
            </w:r>
            <w:r w:rsidRPr="00EC20A0">
              <w:rPr>
                <w:b/>
                <w:spacing w:val="-1"/>
                <w:sz w:val="24"/>
              </w:rPr>
              <w:t xml:space="preserve"> </w:t>
            </w:r>
            <w:r w:rsidRPr="00EC20A0">
              <w:rPr>
                <w:b/>
                <w:sz w:val="24"/>
              </w:rPr>
              <w:t>Service</w:t>
            </w:r>
            <w:r w:rsidRPr="00EC20A0">
              <w:rPr>
                <w:b/>
                <w:spacing w:val="-2"/>
                <w:sz w:val="24"/>
              </w:rPr>
              <w:t xml:space="preserve"> Organization</w:t>
            </w:r>
          </w:p>
        </w:tc>
      </w:tr>
      <w:tr w:rsidR="00245300" w:rsidRPr="00EC20A0" w14:paraId="24D6016C" w14:textId="77777777">
        <w:trPr>
          <w:trHeight w:val="515"/>
        </w:trPr>
        <w:tc>
          <w:tcPr>
            <w:tcW w:w="861" w:type="dxa"/>
            <w:tcBorders>
              <w:right w:val="single" w:sz="2" w:space="0" w:color="000000"/>
            </w:tcBorders>
          </w:tcPr>
          <w:p w14:paraId="24D6016A" w14:textId="77777777" w:rsidR="00245300" w:rsidRPr="00EC20A0" w:rsidRDefault="00245300">
            <w:pPr>
              <w:pStyle w:val="TableParagraph"/>
              <w:rPr>
                <w:sz w:val="20"/>
              </w:rPr>
            </w:pPr>
          </w:p>
        </w:tc>
        <w:tc>
          <w:tcPr>
            <w:tcW w:w="8467" w:type="dxa"/>
            <w:tcBorders>
              <w:top w:val="single" w:sz="2" w:space="0" w:color="000000"/>
              <w:left w:val="single" w:sz="2" w:space="0" w:color="000000"/>
              <w:bottom w:val="single" w:sz="2" w:space="0" w:color="000000"/>
              <w:right w:val="single" w:sz="2" w:space="0" w:color="000000"/>
            </w:tcBorders>
          </w:tcPr>
          <w:p w14:paraId="24D6016B" w14:textId="77777777" w:rsidR="00245300" w:rsidRPr="00EC20A0" w:rsidRDefault="00F17249">
            <w:pPr>
              <w:pStyle w:val="TableParagraph"/>
              <w:spacing w:before="120"/>
              <w:ind w:left="108"/>
              <w:rPr>
                <w:sz w:val="20"/>
              </w:rPr>
            </w:pPr>
            <w:r w:rsidRPr="00EC20A0">
              <w:rPr>
                <w:sz w:val="20"/>
              </w:rPr>
              <w:t>ABC</w:t>
            </w:r>
            <w:r w:rsidRPr="00EC20A0">
              <w:rPr>
                <w:spacing w:val="-3"/>
                <w:sz w:val="20"/>
              </w:rPr>
              <w:t xml:space="preserve"> </w:t>
            </w:r>
            <w:r w:rsidRPr="00EC20A0">
              <w:rPr>
                <w:sz w:val="20"/>
              </w:rPr>
              <w:t>Service</w:t>
            </w:r>
            <w:r w:rsidRPr="00EC20A0">
              <w:rPr>
                <w:spacing w:val="-4"/>
                <w:sz w:val="20"/>
              </w:rPr>
              <w:t xml:space="preserve"> </w:t>
            </w:r>
            <w:r w:rsidRPr="00EC20A0">
              <w:rPr>
                <w:spacing w:val="-2"/>
                <w:sz w:val="20"/>
              </w:rPr>
              <w:t>Organization</w:t>
            </w:r>
          </w:p>
        </w:tc>
      </w:tr>
      <w:tr w:rsidR="00245300" w:rsidRPr="00EC20A0" w14:paraId="24D6016F" w14:textId="77777777">
        <w:trPr>
          <w:trHeight w:val="791"/>
        </w:trPr>
        <w:tc>
          <w:tcPr>
            <w:tcW w:w="861" w:type="dxa"/>
          </w:tcPr>
          <w:p w14:paraId="24D6016D" w14:textId="77777777" w:rsidR="00245300" w:rsidRPr="00EC20A0" w:rsidRDefault="00F17249">
            <w:pPr>
              <w:pStyle w:val="TableParagraph"/>
              <w:spacing w:before="120"/>
              <w:ind w:left="52"/>
              <w:rPr>
                <w:b/>
                <w:sz w:val="24"/>
              </w:rPr>
            </w:pPr>
            <w:r w:rsidRPr="00EC20A0">
              <w:rPr>
                <w:b/>
                <w:spacing w:val="-5"/>
                <w:sz w:val="24"/>
              </w:rPr>
              <w:t>II.</w:t>
            </w:r>
          </w:p>
        </w:tc>
        <w:tc>
          <w:tcPr>
            <w:tcW w:w="8467" w:type="dxa"/>
            <w:tcBorders>
              <w:top w:val="single" w:sz="2" w:space="0" w:color="000000"/>
              <w:bottom w:val="single" w:sz="2" w:space="0" w:color="000000"/>
            </w:tcBorders>
          </w:tcPr>
          <w:p w14:paraId="24D6016E" w14:textId="77777777" w:rsidR="00245300" w:rsidRPr="00EC20A0" w:rsidRDefault="00F17249">
            <w:pPr>
              <w:pStyle w:val="TableParagraph"/>
              <w:spacing w:before="120"/>
              <w:ind w:left="2" w:right="200"/>
              <w:rPr>
                <w:b/>
                <w:sz w:val="24"/>
              </w:rPr>
            </w:pPr>
            <w:r w:rsidRPr="00EC20A0">
              <w:rPr>
                <w:b/>
                <w:sz w:val="24"/>
              </w:rPr>
              <w:t>Description</w:t>
            </w:r>
            <w:r w:rsidRPr="00EC20A0">
              <w:rPr>
                <w:b/>
                <w:spacing w:val="-6"/>
                <w:sz w:val="24"/>
              </w:rPr>
              <w:t xml:space="preserve"> </w:t>
            </w:r>
            <w:r w:rsidRPr="00EC20A0">
              <w:rPr>
                <w:b/>
                <w:sz w:val="24"/>
              </w:rPr>
              <w:t>of</w:t>
            </w:r>
            <w:r w:rsidRPr="00EC20A0">
              <w:rPr>
                <w:b/>
                <w:spacing w:val="-5"/>
                <w:sz w:val="24"/>
              </w:rPr>
              <w:t xml:space="preserve"> </w:t>
            </w:r>
            <w:r w:rsidRPr="00EC20A0">
              <w:rPr>
                <w:b/>
                <w:sz w:val="24"/>
              </w:rPr>
              <w:t>Service</w:t>
            </w:r>
            <w:r w:rsidRPr="00EC20A0">
              <w:rPr>
                <w:b/>
                <w:spacing w:val="-6"/>
                <w:sz w:val="24"/>
              </w:rPr>
              <w:t xml:space="preserve"> </w:t>
            </w:r>
            <w:r w:rsidRPr="00EC20A0">
              <w:rPr>
                <w:b/>
                <w:sz w:val="24"/>
              </w:rPr>
              <w:t>Provided</w:t>
            </w:r>
            <w:r w:rsidRPr="00EC20A0">
              <w:rPr>
                <w:b/>
                <w:spacing w:val="-5"/>
                <w:sz w:val="24"/>
              </w:rPr>
              <w:t xml:space="preserve"> </w:t>
            </w:r>
            <w:r w:rsidRPr="00EC20A0">
              <w:rPr>
                <w:b/>
                <w:sz w:val="24"/>
              </w:rPr>
              <w:t>or</w:t>
            </w:r>
            <w:r w:rsidRPr="00EC20A0">
              <w:rPr>
                <w:b/>
                <w:spacing w:val="-6"/>
                <w:sz w:val="24"/>
              </w:rPr>
              <w:t xml:space="preserve"> </w:t>
            </w:r>
            <w:r w:rsidRPr="00EC20A0">
              <w:rPr>
                <w:b/>
                <w:sz w:val="24"/>
              </w:rPr>
              <w:t>Name</w:t>
            </w:r>
            <w:r w:rsidRPr="00EC20A0">
              <w:rPr>
                <w:b/>
                <w:spacing w:val="-7"/>
                <w:sz w:val="24"/>
              </w:rPr>
              <w:t xml:space="preserve"> </w:t>
            </w:r>
            <w:r w:rsidRPr="00EC20A0">
              <w:rPr>
                <w:b/>
                <w:sz w:val="24"/>
              </w:rPr>
              <w:t>of</w:t>
            </w:r>
            <w:r w:rsidRPr="00EC20A0">
              <w:rPr>
                <w:b/>
                <w:spacing w:val="-5"/>
                <w:sz w:val="24"/>
              </w:rPr>
              <w:t xml:space="preserve"> </w:t>
            </w:r>
            <w:r w:rsidRPr="00EC20A0">
              <w:rPr>
                <w:b/>
                <w:sz w:val="24"/>
              </w:rPr>
              <w:t>Financial</w:t>
            </w:r>
            <w:r w:rsidRPr="00EC20A0">
              <w:rPr>
                <w:b/>
                <w:spacing w:val="-5"/>
                <w:sz w:val="24"/>
              </w:rPr>
              <w:t xml:space="preserve"> </w:t>
            </w:r>
            <w:r w:rsidRPr="00EC20A0">
              <w:rPr>
                <w:b/>
                <w:sz w:val="24"/>
              </w:rPr>
              <w:t>Reporting System(s) the Service Organization Owns/Operates</w:t>
            </w:r>
          </w:p>
        </w:tc>
      </w:tr>
      <w:tr w:rsidR="00245300" w:rsidRPr="00EC20A0" w14:paraId="24D60172" w14:textId="77777777">
        <w:trPr>
          <w:trHeight w:val="700"/>
        </w:trPr>
        <w:tc>
          <w:tcPr>
            <w:tcW w:w="861" w:type="dxa"/>
            <w:tcBorders>
              <w:right w:val="single" w:sz="2" w:space="0" w:color="000000"/>
            </w:tcBorders>
          </w:tcPr>
          <w:p w14:paraId="24D60170" w14:textId="77777777" w:rsidR="00245300" w:rsidRPr="00EC20A0" w:rsidRDefault="00245300">
            <w:pPr>
              <w:pStyle w:val="TableParagraph"/>
              <w:rPr>
                <w:sz w:val="20"/>
              </w:rPr>
            </w:pPr>
          </w:p>
        </w:tc>
        <w:tc>
          <w:tcPr>
            <w:tcW w:w="8467" w:type="dxa"/>
            <w:tcBorders>
              <w:top w:val="single" w:sz="2" w:space="0" w:color="000000"/>
              <w:left w:val="single" w:sz="2" w:space="0" w:color="000000"/>
              <w:bottom w:val="single" w:sz="2" w:space="0" w:color="000000"/>
              <w:right w:val="single" w:sz="2" w:space="0" w:color="000000"/>
            </w:tcBorders>
          </w:tcPr>
          <w:p w14:paraId="24D60171" w14:textId="77777777" w:rsidR="00245300" w:rsidRPr="00EC20A0" w:rsidRDefault="00F17249">
            <w:pPr>
              <w:pStyle w:val="TableParagraph"/>
              <w:spacing w:before="120"/>
              <w:ind w:left="108"/>
              <w:rPr>
                <w:sz w:val="20"/>
              </w:rPr>
            </w:pPr>
            <w:r w:rsidRPr="00EC20A0">
              <w:rPr>
                <w:sz w:val="20"/>
              </w:rPr>
              <w:t>ABC</w:t>
            </w:r>
            <w:r w:rsidRPr="00EC20A0">
              <w:rPr>
                <w:spacing w:val="-4"/>
                <w:sz w:val="20"/>
              </w:rPr>
              <w:t xml:space="preserve"> </w:t>
            </w:r>
            <w:r w:rsidRPr="00EC20A0">
              <w:rPr>
                <w:sz w:val="20"/>
              </w:rPr>
              <w:t>Service</w:t>
            </w:r>
            <w:r w:rsidRPr="00EC20A0">
              <w:rPr>
                <w:spacing w:val="-6"/>
                <w:sz w:val="20"/>
              </w:rPr>
              <w:t xml:space="preserve"> </w:t>
            </w:r>
            <w:r w:rsidRPr="00EC20A0">
              <w:rPr>
                <w:sz w:val="20"/>
              </w:rPr>
              <w:t>Organization</w:t>
            </w:r>
            <w:r w:rsidRPr="00EC20A0">
              <w:rPr>
                <w:spacing w:val="-6"/>
                <w:sz w:val="20"/>
              </w:rPr>
              <w:t xml:space="preserve"> </w:t>
            </w:r>
            <w:r w:rsidRPr="00EC20A0">
              <w:rPr>
                <w:sz w:val="20"/>
              </w:rPr>
              <w:t>processes</w:t>
            </w:r>
            <w:r w:rsidRPr="00EC20A0">
              <w:rPr>
                <w:spacing w:val="-4"/>
                <w:sz w:val="20"/>
              </w:rPr>
              <w:t xml:space="preserve"> </w:t>
            </w:r>
            <w:r w:rsidRPr="00EC20A0">
              <w:rPr>
                <w:sz w:val="20"/>
              </w:rPr>
              <w:t>XYZ</w:t>
            </w:r>
            <w:r w:rsidRPr="00EC20A0">
              <w:rPr>
                <w:spacing w:val="-5"/>
                <w:sz w:val="20"/>
              </w:rPr>
              <w:t xml:space="preserve"> </w:t>
            </w:r>
            <w:r w:rsidRPr="00EC20A0">
              <w:rPr>
                <w:sz w:val="20"/>
              </w:rPr>
              <w:t>Entity’s</w:t>
            </w:r>
            <w:r w:rsidRPr="00EC20A0">
              <w:rPr>
                <w:spacing w:val="-4"/>
                <w:sz w:val="20"/>
              </w:rPr>
              <w:t xml:space="preserve"> </w:t>
            </w:r>
            <w:r w:rsidRPr="00EC20A0">
              <w:rPr>
                <w:sz w:val="20"/>
              </w:rPr>
              <w:t>payroll</w:t>
            </w:r>
            <w:r w:rsidRPr="00EC20A0">
              <w:rPr>
                <w:spacing w:val="-5"/>
                <w:sz w:val="20"/>
              </w:rPr>
              <w:t xml:space="preserve"> </w:t>
            </w:r>
            <w:r w:rsidRPr="00EC20A0">
              <w:rPr>
                <w:sz w:val="20"/>
              </w:rPr>
              <w:t>transactions.</w:t>
            </w:r>
            <w:r w:rsidRPr="00EC20A0">
              <w:rPr>
                <w:spacing w:val="-5"/>
                <w:sz w:val="20"/>
              </w:rPr>
              <w:t xml:space="preserve"> </w:t>
            </w:r>
            <w:r w:rsidRPr="00EC20A0">
              <w:rPr>
                <w:sz w:val="20"/>
              </w:rPr>
              <w:t>ABC</w:t>
            </w:r>
            <w:r w:rsidRPr="00EC20A0">
              <w:rPr>
                <w:spacing w:val="-4"/>
                <w:sz w:val="20"/>
              </w:rPr>
              <w:t xml:space="preserve"> </w:t>
            </w:r>
            <w:r w:rsidRPr="00EC20A0">
              <w:rPr>
                <w:sz w:val="20"/>
              </w:rPr>
              <w:t>Service Organization owns and operations XXX IT system to process payroll.</w:t>
            </w:r>
          </w:p>
        </w:tc>
      </w:tr>
      <w:tr w:rsidR="00245300" w:rsidRPr="00EC20A0" w14:paraId="24D60175" w14:textId="77777777">
        <w:trPr>
          <w:trHeight w:val="1067"/>
        </w:trPr>
        <w:tc>
          <w:tcPr>
            <w:tcW w:w="861" w:type="dxa"/>
          </w:tcPr>
          <w:p w14:paraId="24D60173" w14:textId="77777777" w:rsidR="00245300" w:rsidRPr="00EC20A0" w:rsidRDefault="00F17249">
            <w:pPr>
              <w:pStyle w:val="TableParagraph"/>
              <w:spacing w:before="120"/>
              <w:ind w:left="52"/>
              <w:rPr>
                <w:b/>
                <w:sz w:val="24"/>
              </w:rPr>
            </w:pPr>
            <w:r w:rsidRPr="00EC20A0">
              <w:rPr>
                <w:b/>
                <w:spacing w:val="-4"/>
                <w:sz w:val="24"/>
              </w:rPr>
              <w:t>III.</w:t>
            </w:r>
          </w:p>
        </w:tc>
        <w:tc>
          <w:tcPr>
            <w:tcW w:w="8467" w:type="dxa"/>
            <w:tcBorders>
              <w:top w:val="single" w:sz="2" w:space="0" w:color="000000"/>
              <w:bottom w:val="single" w:sz="2" w:space="0" w:color="000000"/>
            </w:tcBorders>
          </w:tcPr>
          <w:p w14:paraId="24D60174" w14:textId="77777777" w:rsidR="00245300" w:rsidRPr="00EC20A0" w:rsidRDefault="00F17249">
            <w:pPr>
              <w:pStyle w:val="TableParagraph"/>
              <w:spacing w:before="120"/>
              <w:ind w:left="2" w:right="200"/>
              <w:rPr>
                <w:b/>
                <w:sz w:val="24"/>
              </w:rPr>
            </w:pPr>
            <w:r w:rsidRPr="00EC20A0">
              <w:rPr>
                <w:b/>
                <w:sz w:val="24"/>
              </w:rPr>
              <w:t xml:space="preserve">Description of </w:t>
            </w:r>
            <w:r w:rsidRPr="00EC20A0">
              <w:rPr>
                <w:b/>
                <w:sz w:val="24"/>
              </w:rPr>
              <w:t>Financial Statement Impact (e.g., nature of entity transactions processed, prior-year or year-to-date dollar value, transaction</w:t>
            </w:r>
            <w:r w:rsidRPr="00EC20A0">
              <w:rPr>
                <w:b/>
                <w:spacing w:val="-4"/>
                <w:sz w:val="24"/>
              </w:rPr>
              <w:t xml:space="preserve"> </w:t>
            </w:r>
            <w:r w:rsidRPr="00EC20A0">
              <w:rPr>
                <w:b/>
                <w:sz w:val="24"/>
              </w:rPr>
              <w:t>volume,</w:t>
            </w:r>
            <w:r w:rsidRPr="00EC20A0">
              <w:rPr>
                <w:b/>
                <w:spacing w:val="-5"/>
                <w:sz w:val="24"/>
              </w:rPr>
              <w:t xml:space="preserve"> </w:t>
            </w:r>
            <w:r w:rsidRPr="00EC20A0">
              <w:rPr>
                <w:b/>
                <w:sz w:val="24"/>
              </w:rPr>
              <w:t>and</w:t>
            </w:r>
            <w:r w:rsidRPr="00EC20A0">
              <w:rPr>
                <w:b/>
                <w:spacing w:val="-4"/>
                <w:sz w:val="24"/>
              </w:rPr>
              <w:t xml:space="preserve"> </w:t>
            </w:r>
            <w:r w:rsidRPr="00EC20A0">
              <w:rPr>
                <w:b/>
                <w:sz w:val="24"/>
              </w:rPr>
              <w:t>how</w:t>
            </w:r>
            <w:r w:rsidRPr="00EC20A0">
              <w:rPr>
                <w:b/>
                <w:spacing w:val="-3"/>
                <w:sz w:val="24"/>
              </w:rPr>
              <w:t xml:space="preserve"> </w:t>
            </w:r>
            <w:r w:rsidRPr="00EC20A0">
              <w:rPr>
                <w:b/>
                <w:sz w:val="24"/>
              </w:rPr>
              <w:t>it</w:t>
            </w:r>
            <w:r w:rsidRPr="00EC20A0">
              <w:rPr>
                <w:b/>
                <w:spacing w:val="-5"/>
                <w:sz w:val="24"/>
              </w:rPr>
              <w:t xml:space="preserve"> </w:t>
            </w:r>
            <w:r w:rsidRPr="00EC20A0">
              <w:rPr>
                <w:b/>
                <w:sz w:val="24"/>
              </w:rPr>
              <w:t>is</w:t>
            </w:r>
            <w:r w:rsidRPr="00EC20A0">
              <w:rPr>
                <w:b/>
                <w:spacing w:val="-4"/>
                <w:sz w:val="24"/>
              </w:rPr>
              <w:t xml:space="preserve"> </w:t>
            </w:r>
            <w:r w:rsidRPr="00EC20A0">
              <w:rPr>
                <w:b/>
                <w:sz w:val="24"/>
              </w:rPr>
              <w:t>reported</w:t>
            </w:r>
            <w:r w:rsidRPr="00EC20A0">
              <w:rPr>
                <w:b/>
                <w:spacing w:val="-4"/>
                <w:sz w:val="24"/>
              </w:rPr>
              <w:t xml:space="preserve"> </w:t>
            </w:r>
            <w:r w:rsidRPr="00EC20A0">
              <w:rPr>
                <w:b/>
                <w:sz w:val="24"/>
              </w:rPr>
              <w:t>in</w:t>
            </w:r>
            <w:r w:rsidRPr="00EC20A0">
              <w:rPr>
                <w:b/>
                <w:spacing w:val="-4"/>
                <w:sz w:val="24"/>
              </w:rPr>
              <w:t xml:space="preserve"> </w:t>
            </w:r>
            <w:r w:rsidRPr="00EC20A0">
              <w:rPr>
                <w:b/>
                <w:sz w:val="24"/>
              </w:rPr>
              <w:t>the</w:t>
            </w:r>
            <w:r w:rsidRPr="00EC20A0">
              <w:rPr>
                <w:b/>
                <w:spacing w:val="-5"/>
                <w:sz w:val="24"/>
              </w:rPr>
              <w:t xml:space="preserve"> </w:t>
            </w:r>
            <w:r w:rsidRPr="00EC20A0">
              <w:rPr>
                <w:b/>
                <w:sz w:val="24"/>
              </w:rPr>
              <w:t>financial</w:t>
            </w:r>
            <w:r w:rsidRPr="00EC20A0">
              <w:rPr>
                <w:b/>
                <w:spacing w:val="-4"/>
                <w:sz w:val="24"/>
              </w:rPr>
              <w:t xml:space="preserve"> </w:t>
            </w:r>
            <w:r w:rsidRPr="00EC20A0">
              <w:rPr>
                <w:b/>
                <w:sz w:val="24"/>
              </w:rPr>
              <w:t>statements)</w:t>
            </w:r>
          </w:p>
        </w:tc>
      </w:tr>
      <w:tr w:rsidR="00245300" w:rsidRPr="00EC20A0" w14:paraId="24D60179" w14:textId="77777777">
        <w:trPr>
          <w:trHeight w:val="1160"/>
        </w:trPr>
        <w:tc>
          <w:tcPr>
            <w:tcW w:w="861" w:type="dxa"/>
            <w:tcBorders>
              <w:right w:val="single" w:sz="2" w:space="0" w:color="000000"/>
            </w:tcBorders>
          </w:tcPr>
          <w:p w14:paraId="24D60176" w14:textId="77777777" w:rsidR="00245300" w:rsidRPr="00EC20A0" w:rsidRDefault="00245300">
            <w:pPr>
              <w:pStyle w:val="TableParagraph"/>
              <w:rPr>
                <w:sz w:val="20"/>
              </w:rPr>
            </w:pPr>
          </w:p>
        </w:tc>
        <w:tc>
          <w:tcPr>
            <w:tcW w:w="8467" w:type="dxa"/>
            <w:tcBorders>
              <w:top w:val="single" w:sz="2" w:space="0" w:color="000000"/>
              <w:left w:val="single" w:sz="2" w:space="0" w:color="000000"/>
              <w:bottom w:val="single" w:sz="2" w:space="0" w:color="000000"/>
              <w:right w:val="single" w:sz="2" w:space="0" w:color="000000"/>
            </w:tcBorders>
          </w:tcPr>
          <w:p w14:paraId="24D60177" w14:textId="77777777" w:rsidR="00245300" w:rsidRPr="00EC20A0" w:rsidRDefault="00F17249">
            <w:pPr>
              <w:pStyle w:val="TableParagraph"/>
              <w:spacing w:before="120"/>
              <w:ind w:left="106" w:right="181" w:firstLine="1"/>
              <w:jc w:val="both"/>
              <w:rPr>
                <w:sz w:val="20"/>
              </w:rPr>
            </w:pPr>
            <w:r w:rsidRPr="00EC20A0">
              <w:rPr>
                <w:sz w:val="20"/>
              </w:rPr>
              <w:t>Payroll</w:t>
            </w:r>
            <w:r w:rsidRPr="00EC20A0">
              <w:rPr>
                <w:spacing w:val="-1"/>
                <w:sz w:val="20"/>
              </w:rPr>
              <w:t xml:space="preserve"> </w:t>
            </w:r>
            <w:r w:rsidRPr="00EC20A0">
              <w:rPr>
                <w:sz w:val="20"/>
              </w:rPr>
              <w:t>transactions</w:t>
            </w:r>
            <w:r w:rsidRPr="00EC20A0">
              <w:rPr>
                <w:spacing w:val="-1"/>
                <w:sz w:val="20"/>
              </w:rPr>
              <w:t xml:space="preserve"> </w:t>
            </w:r>
            <w:r w:rsidRPr="00EC20A0">
              <w:rPr>
                <w:sz w:val="20"/>
              </w:rPr>
              <w:t>are</w:t>
            </w:r>
            <w:r w:rsidRPr="00EC20A0">
              <w:rPr>
                <w:spacing w:val="-2"/>
                <w:sz w:val="20"/>
              </w:rPr>
              <w:t xml:space="preserve"> </w:t>
            </w:r>
            <w:r w:rsidRPr="00EC20A0">
              <w:rPr>
                <w:sz w:val="20"/>
              </w:rPr>
              <w:t>recorded</w:t>
            </w:r>
            <w:r w:rsidRPr="00EC20A0">
              <w:rPr>
                <w:spacing w:val="-1"/>
                <w:sz w:val="20"/>
              </w:rPr>
              <w:t xml:space="preserve"> </w:t>
            </w:r>
            <w:r w:rsidRPr="00EC20A0">
              <w:rPr>
                <w:sz w:val="20"/>
              </w:rPr>
              <w:t>in</w:t>
            </w:r>
            <w:r w:rsidRPr="00EC20A0">
              <w:rPr>
                <w:spacing w:val="-1"/>
                <w:sz w:val="20"/>
              </w:rPr>
              <w:t xml:space="preserve"> </w:t>
            </w:r>
            <w:r w:rsidRPr="00EC20A0">
              <w:rPr>
                <w:sz w:val="20"/>
              </w:rPr>
              <w:t>“Payroll</w:t>
            </w:r>
            <w:r w:rsidRPr="00EC20A0">
              <w:rPr>
                <w:spacing w:val="-1"/>
                <w:sz w:val="20"/>
              </w:rPr>
              <w:t xml:space="preserve"> </w:t>
            </w:r>
            <w:r w:rsidRPr="00EC20A0">
              <w:rPr>
                <w:sz w:val="20"/>
              </w:rPr>
              <w:t>Expense”</w:t>
            </w:r>
            <w:r w:rsidRPr="00EC20A0">
              <w:rPr>
                <w:spacing w:val="-2"/>
                <w:sz w:val="20"/>
              </w:rPr>
              <w:t xml:space="preserve"> </w:t>
            </w:r>
            <w:r w:rsidRPr="00EC20A0">
              <w:rPr>
                <w:sz w:val="20"/>
              </w:rPr>
              <w:t>line</w:t>
            </w:r>
            <w:r w:rsidRPr="00EC20A0">
              <w:rPr>
                <w:spacing w:val="-1"/>
                <w:sz w:val="20"/>
              </w:rPr>
              <w:t xml:space="preserve"> </w:t>
            </w:r>
            <w:r w:rsidRPr="00EC20A0">
              <w:rPr>
                <w:sz w:val="20"/>
              </w:rPr>
              <w:t>item</w:t>
            </w:r>
            <w:r w:rsidRPr="00EC20A0">
              <w:rPr>
                <w:spacing w:val="-1"/>
                <w:sz w:val="20"/>
              </w:rPr>
              <w:t xml:space="preserve"> </w:t>
            </w:r>
            <w:r w:rsidRPr="00EC20A0">
              <w:rPr>
                <w:sz w:val="20"/>
              </w:rPr>
              <w:t>in</w:t>
            </w:r>
            <w:r w:rsidRPr="00EC20A0">
              <w:rPr>
                <w:spacing w:val="-1"/>
                <w:sz w:val="20"/>
              </w:rPr>
              <w:t xml:space="preserve"> </w:t>
            </w:r>
            <w:r w:rsidRPr="00EC20A0">
              <w:rPr>
                <w:sz w:val="20"/>
              </w:rPr>
              <w:t>the</w:t>
            </w:r>
            <w:r w:rsidRPr="00EC20A0">
              <w:rPr>
                <w:spacing w:val="-1"/>
                <w:sz w:val="20"/>
              </w:rPr>
              <w:t xml:space="preserve"> </w:t>
            </w:r>
            <w:r w:rsidRPr="00EC20A0">
              <w:rPr>
                <w:sz w:val="20"/>
              </w:rPr>
              <w:t>Statement</w:t>
            </w:r>
            <w:r w:rsidRPr="00EC20A0">
              <w:rPr>
                <w:spacing w:val="-1"/>
                <w:sz w:val="20"/>
              </w:rPr>
              <w:t xml:space="preserve"> </w:t>
            </w:r>
            <w:r w:rsidRPr="00EC20A0">
              <w:rPr>
                <w:sz w:val="20"/>
              </w:rPr>
              <w:t>of</w:t>
            </w:r>
            <w:r w:rsidRPr="00EC20A0">
              <w:rPr>
                <w:spacing w:val="-1"/>
                <w:sz w:val="20"/>
              </w:rPr>
              <w:t xml:space="preserve"> </w:t>
            </w:r>
            <w:r w:rsidRPr="00EC20A0">
              <w:rPr>
                <w:sz w:val="20"/>
              </w:rPr>
              <w:t>Net</w:t>
            </w:r>
            <w:r w:rsidRPr="00EC20A0">
              <w:rPr>
                <w:spacing w:val="-2"/>
                <w:sz w:val="20"/>
              </w:rPr>
              <w:t xml:space="preserve"> </w:t>
            </w:r>
            <w:r w:rsidRPr="00EC20A0">
              <w:rPr>
                <w:sz w:val="20"/>
              </w:rPr>
              <w:t>Cost and</w:t>
            </w:r>
            <w:r w:rsidRPr="00EC20A0">
              <w:rPr>
                <w:spacing w:val="-3"/>
                <w:sz w:val="20"/>
              </w:rPr>
              <w:t xml:space="preserve"> </w:t>
            </w:r>
            <w:r w:rsidRPr="00EC20A0">
              <w:rPr>
                <w:sz w:val="20"/>
              </w:rPr>
              <w:t>“Accrued</w:t>
            </w:r>
            <w:r w:rsidRPr="00EC20A0">
              <w:rPr>
                <w:spacing w:val="-4"/>
                <w:sz w:val="20"/>
              </w:rPr>
              <w:t xml:space="preserve"> </w:t>
            </w:r>
            <w:r w:rsidRPr="00EC20A0">
              <w:rPr>
                <w:sz w:val="20"/>
              </w:rPr>
              <w:t>Liabilities”</w:t>
            </w:r>
            <w:r w:rsidRPr="00EC20A0">
              <w:rPr>
                <w:spacing w:val="-2"/>
                <w:sz w:val="20"/>
              </w:rPr>
              <w:t xml:space="preserve"> </w:t>
            </w:r>
            <w:r w:rsidRPr="00EC20A0">
              <w:rPr>
                <w:sz w:val="20"/>
              </w:rPr>
              <w:t>line</w:t>
            </w:r>
            <w:r w:rsidRPr="00EC20A0">
              <w:rPr>
                <w:spacing w:val="-3"/>
                <w:sz w:val="20"/>
              </w:rPr>
              <w:t xml:space="preserve"> </w:t>
            </w:r>
            <w:r w:rsidRPr="00EC20A0">
              <w:rPr>
                <w:sz w:val="20"/>
              </w:rPr>
              <w:t>item</w:t>
            </w:r>
            <w:r w:rsidRPr="00EC20A0">
              <w:rPr>
                <w:spacing w:val="-3"/>
                <w:sz w:val="20"/>
              </w:rPr>
              <w:t xml:space="preserve"> </w:t>
            </w:r>
            <w:r w:rsidRPr="00EC20A0">
              <w:rPr>
                <w:sz w:val="20"/>
              </w:rPr>
              <w:t>on</w:t>
            </w:r>
            <w:r w:rsidRPr="00EC20A0">
              <w:rPr>
                <w:spacing w:val="-3"/>
                <w:sz w:val="20"/>
              </w:rPr>
              <w:t xml:space="preserve"> </w:t>
            </w:r>
            <w:r w:rsidRPr="00EC20A0">
              <w:rPr>
                <w:sz w:val="20"/>
              </w:rPr>
              <w:t>the</w:t>
            </w:r>
            <w:r w:rsidRPr="00EC20A0">
              <w:rPr>
                <w:spacing w:val="-3"/>
                <w:sz w:val="20"/>
              </w:rPr>
              <w:t xml:space="preserve"> </w:t>
            </w:r>
            <w:r w:rsidRPr="00EC20A0">
              <w:rPr>
                <w:sz w:val="20"/>
              </w:rPr>
              <w:t>Balance</w:t>
            </w:r>
            <w:r w:rsidRPr="00EC20A0">
              <w:rPr>
                <w:spacing w:val="-3"/>
                <w:sz w:val="20"/>
              </w:rPr>
              <w:t xml:space="preserve"> </w:t>
            </w:r>
            <w:r w:rsidRPr="00EC20A0">
              <w:rPr>
                <w:sz w:val="20"/>
              </w:rPr>
              <w:t>Sheet.</w:t>
            </w:r>
            <w:r w:rsidRPr="00EC20A0">
              <w:rPr>
                <w:spacing w:val="-3"/>
                <w:sz w:val="20"/>
              </w:rPr>
              <w:t xml:space="preserve"> </w:t>
            </w:r>
            <w:r w:rsidRPr="00EC20A0">
              <w:rPr>
                <w:sz w:val="20"/>
              </w:rPr>
              <w:t>For</w:t>
            </w:r>
            <w:r w:rsidRPr="00EC20A0">
              <w:rPr>
                <w:spacing w:val="-2"/>
                <w:sz w:val="20"/>
              </w:rPr>
              <w:t xml:space="preserve"> </w:t>
            </w:r>
            <w:r w:rsidRPr="00EC20A0">
              <w:rPr>
                <w:sz w:val="20"/>
              </w:rPr>
              <w:t>FY</w:t>
            </w:r>
            <w:r w:rsidRPr="00EC20A0">
              <w:rPr>
                <w:spacing w:val="-3"/>
                <w:sz w:val="20"/>
              </w:rPr>
              <w:t xml:space="preserve"> </w:t>
            </w:r>
            <w:r w:rsidRPr="00EC20A0">
              <w:rPr>
                <w:sz w:val="20"/>
              </w:rPr>
              <w:t>20XX,</w:t>
            </w:r>
            <w:r w:rsidRPr="00EC20A0">
              <w:rPr>
                <w:spacing w:val="-4"/>
                <w:sz w:val="20"/>
              </w:rPr>
              <w:t xml:space="preserve"> </w:t>
            </w:r>
            <w:r w:rsidRPr="00EC20A0">
              <w:rPr>
                <w:sz w:val="20"/>
              </w:rPr>
              <w:t>the</w:t>
            </w:r>
            <w:r w:rsidRPr="00EC20A0">
              <w:rPr>
                <w:spacing w:val="-3"/>
                <w:sz w:val="20"/>
              </w:rPr>
              <w:t xml:space="preserve"> </w:t>
            </w:r>
            <w:r w:rsidRPr="00EC20A0">
              <w:rPr>
                <w:sz w:val="20"/>
              </w:rPr>
              <w:t>amount</w:t>
            </w:r>
            <w:r w:rsidRPr="00EC20A0">
              <w:rPr>
                <w:spacing w:val="-3"/>
                <w:sz w:val="20"/>
              </w:rPr>
              <w:t xml:space="preserve"> </w:t>
            </w:r>
            <w:r w:rsidRPr="00EC20A0">
              <w:rPr>
                <w:sz w:val="20"/>
              </w:rPr>
              <w:t>of</w:t>
            </w:r>
            <w:r w:rsidRPr="00EC20A0">
              <w:rPr>
                <w:spacing w:val="-3"/>
                <w:sz w:val="20"/>
              </w:rPr>
              <w:t xml:space="preserve"> </w:t>
            </w:r>
            <w:r w:rsidRPr="00EC20A0">
              <w:rPr>
                <w:sz w:val="20"/>
              </w:rPr>
              <w:t>Payroll Expense was $XXX million and the amount of Accrued Liabilities (related to payroll) was</w:t>
            </w:r>
          </w:p>
          <w:p w14:paraId="24D60178" w14:textId="77777777" w:rsidR="00245300" w:rsidRPr="00EC20A0" w:rsidRDefault="00F17249">
            <w:pPr>
              <w:pStyle w:val="TableParagraph"/>
              <w:spacing w:before="1"/>
              <w:ind w:left="106"/>
              <w:jc w:val="both"/>
              <w:rPr>
                <w:sz w:val="20"/>
              </w:rPr>
            </w:pPr>
            <w:r w:rsidRPr="00EC20A0">
              <w:rPr>
                <w:sz w:val="20"/>
              </w:rPr>
              <w:t>$XXX</w:t>
            </w:r>
            <w:r w:rsidRPr="00EC20A0">
              <w:rPr>
                <w:spacing w:val="-6"/>
                <w:sz w:val="20"/>
              </w:rPr>
              <w:t xml:space="preserve"> </w:t>
            </w:r>
            <w:r w:rsidRPr="00EC20A0">
              <w:rPr>
                <w:sz w:val="20"/>
              </w:rPr>
              <w:t>million.</w:t>
            </w:r>
            <w:r w:rsidRPr="00EC20A0">
              <w:rPr>
                <w:spacing w:val="-6"/>
                <w:sz w:val="20"/>
              </w:rPr>
              <w:t xml:space="preserve"> </w:t>
            </w:r>
            <w:r w:rsidRPr="00EC20A0">
              <w:rPr>
                <w:sz w:val="20"/>
              </w:rPr>
              <w:t>Transactions</w:t>
            </w:r>
            <w:r w:rsidRPr="00EC20A0">
              <w:rPr>
                <w:spacing w:val="-6"/>
                <w:sz w:val="20"/>
              </w:rPr>
              <w:t xml:space="preserve"> </w:t>
            </w:r>
            <w:r w:rsidRPr="00EC20A0">
              <w:rPr>
                <w:sz w:val="20"/>
              </w:rPr>
              <w:t>are</w:t>
            </w:r>
            <w:r w:rsidRPr="00EC20A0">
              <w:rPr>
                <w:spacing w:val="-6"/>
                <w:sz w:val="20"/>
              </w:rPr>
              <w:t xml:space="preserve"> </w:t>
            </w:r>
            <w:r w:rsidRPr="00EC20A0">
              <w:rPr>
                <w:sz w:val="20"/>
              </w:rPr>
              <w:t>recorded</w:t>
            </w:r>
            <w:r w:rsidRPr="00EC20A0">
              <w:rPr>
                <w:spacing w:val="-5"/>
                <w:sz w:val="20"/>
              </w:rPr>
              <w:t xml:space="preserve"> </w:t>
            </w:r>
            <w:r w:rsidRPr="00EC20A0">
              <w:rPr>
                <w:spacing w:val="-2"/>
                <w:sz w:val="20"/>
              </w:rPr>
              <w:t>biweekly.</w:t>
            </w:r>
          </w:p>
        </w:tc>
      </w:tr>
      <w:tr w:rsidR="00245300" w:rsidRPr="00EC20A0" w14:paraId="24D6017C" w14:textId="77777777">
        <w:trPr>
          <w:trHeight w:val="515"/>
        </w:trPr>
        <w:tc>
          <w:tcPr>
            <w:tcW w:w="861" w:type="dxa"/>
          </w:tcPr>
          <w:p w14:paraId="24D6017A" w14:textId="77777777" w:rsidR="00245300" w:rsidRPr="00EC20A0" w:rsidRDefault="00F17249">
            <w:pPr>
              <w:pStyle w:val="TableParagraph"/>
              <w:spacing w:before="120"/>
              <w:ind w:left="52"/>
              <w:rPr>
                <w:b/>
                <w:sz w:val="24"/>
              </w:rPr>
            </w:pPr>
            <w:r w:rsidRPr="00EC20A0">
              <w:rPr>
                <w:b/>
                <w:spacing w:val="-5"/>
                <w:sz w:val="24"/>
              </w:rPr>
              <w:t>IV.</w:t>
            </w:r>
          </w:p>
        </w:tc>
        <w:tc>
          <w:tcPr>
            <w:tcW w:w="8467" w:type="dxa"/>
            <w:tcBorders>
              <w:top w:val="single" w:sz="2" w:space="0" w:color="000000"/>
              <w:bottom w:val="single" w:sz="2" w:space="0" w:color="000000"/>
            </w:tcBorders>
          </w:tcPr>
          <w:p w14:paraId="24D6017B" w14:textId="77777777" w:rsidR="00245300" w:rsidRPr="00EC20A0" w:rsidRDefault="00F17249">
            <w:pPr>
              <w:pStyle w:val="TableParagraph"/>
              <w:spacing w:before="120"/>
              <w:ind w:left="2"/>
              <w:rPr>
                <w:b/>
                <w:sz w:val="24"/>
              </w:rPr>
            </w:pPr>
            <w:r w:rsidRPr="00EC20A0">
              <w:rPr>
                <w:b/>
                <w:sz w:val="24"/>
              </w:rPr>
              <w:t>Date</w:t>
            </w:r>
            <w:r w:rsidRPr="00EC20A0">
              <w:rPr>
                <w:b/>
                <w:spacing w:val="-4"/>
                <w:sz w:val="24"/>
              </w:rPr>
              <w:t xml:space="preserve"> </w:t>
            </w:r>
            <w:r w:rsidRPr="00EC20A0">
              <w:rPr>
                <w:b/>
                <w:sz w:val="24"/>
              </w:rPr>
              <w:t>of</w:t>
            </w:r>
            <w:r w:rsidRPr="00EC20A0">
              <w:rPr>
                <w:b/>
                <w:spacing w:val="-1"/>
                <w:sz w:val="24"/>
              </w:rPr>
              <w:t xml:space="preserve"> </w:t>
            </w:r>
            <w:r w:rsidRPr="00EC20A0">
              <w:rPr>
                <w:b/>
                <w:sz w:val="24"/>
              </w:rPr>
              <w:t>the</w:t>
            </w:r>
            <w:r w:rsidRPr="00EC20A0">
              <w:rPr>
                <w:b/>
                <w:spacing w:val="-2"/>
                <w:sz w:val="24"/>
              </w:rPr>
              <w:t xml:space="preserve"> </w:t>
            </w:r>
            <w:r w:rsidRPr="00EC20A0">
              <w:rPr>
                <w:b/>
                <w:sz w:val="24"/>
              </w:rPr>
              <w:t>Type</w:t>
            </w:r>
            <w:r w:rsidRPr="00EC20A0">
              <w:rPr>
                <w:b/>
                <w:spacing w:val="-2"/>
                <w:sz w:val="24"/>
              </w:rPr>
              <w:t xml:space="preserve"> </w:t>
            </w:r>
            <w:r w:rsidRPr="00EC20A0">
              <w:rPr>
                <w:b/>
                <w:sz w:val="24"/>
              </w:rPr>
              <w:t>2</w:t>
            </w:r>
            <w:r w:rsidRPr="00EC20A0">
              <w:rPr>
                <w:b/>
                <w:spacing w:val="-2"/>
                <w:sz w:val="24"/>
              </w:rPr>
              <w:t xml:space="preserve"> </w:t>
            </w:r>
            <w:r w:rsidRPr="00EC20A0">
              <w:rPr>
                <w:b/>
                <w:sz w:val="24"/>
              </w:rPr>
              <w:t>Report</w:t>
            </w:r>
            <w:r w:rsidRPr="00EC20A0">
              <w:rPr>
                <w:b/>
                <w:spacing w:val="-1"/>
                <w:sz w:val="24"/>
              </w:rPr>
              <w:t xml:space="preserve"> </w:t>
            </w:r>
            <w:r w:rsidRPr="00EC20A0">
              <w:rPr>
                <w:b/>
                <w:sz w:val="24"/>
              </w:rPr>
              <w:t>and</w:t>
            </w:r>
            <w:r w:rsidRPr="00EC20A0">
              <w:rPr>
                <w:b/>
                <w:spacing w:val="-2"/>
                <w:sz w:val="24"/>
              </w:rPr>
              <w:t xml:space="preserve"> </w:t>
            </w:r>
            <w:r w:rsidRPr="00EC20A0">
              <w:rPr>
                <w:b/>
                <w:sz w:val="24"/>
              </w:rPr>
              <w:t>the</w:t>
            </w:r>
            <w:r w:rsidRPr="00EC20A0">
              <w:rPr>
                <w:b/>
                <w:spacing w:val="-2"/>
                <w:sz w:val="24"/>
              </w:rPr>
              <w:t xml:space="preserve"> </w:t>
            </w:r>
            <w:r w:rsidRPr="00EC20A0">
              <w:rPr>
                <w:b/>
                <w:sz w:val="24"/>
              </w:rPr>
              <w:t>Period</w:t>
            </w:r>
            <w:r w:rsidRPr="00EC20A0">
              <w:rPr>
                <w:b/>
                <w:spacing w:val="-1"/>
                <w:sz w:val="24"/>
              </w:rPr>
              <w:t xml:space="preserve"> </w:t>
            </w:r>
            <w:r w:rsidRPr="00EC20A0">
              <w:rPr>
                <w:b/>
                <w:spacing w:val="-2"/>
                <w:sz w:val="24"/>
              </w:rPr>
              <w:t>Covered</w:t>
            </w:r>
          </w:p>
        </w:tc>
      </w:tr>
      <w:tr w:rsidR="00245300" w:rsidRPr="00EC20A0" w14:paraId="24D6017F" w14:textId="77777777">
        <w:trPr>
          <w:trHeight w:val="699"/>
        </w:trPr>
        <w:tc>
          <w:tcPr>
            <w:tcW w:w="861" w:type="dxa"/>
            <w:tcBorders>
              <w:right w:val="single" w:sz="2" w:space="0" w:color="000000"/>
            </w:tcBorders>
          </w:tcPr>
          <w:p w14:paraId="24D6017D" w14:textId="77777777" w:rsidR="00245300" w:rsidRPr="00EC20A0" w:rsidRDefault="00245300">
            <w:pPr>
              <w:pStyle w:val="TableParagraph"/>
              <w:rPr>
                <w:sz w:val="20"/>
              </w:rPr>
            </w:pPr>
          </w:p>
        </w:tc>
        <w:tc>
          <w:tcPr>
            <w:tcW w:w="8467" w:type="dxa"/>
            <w:tcBorders>
              <w:top w:val="single" w:sz="2" w:space="0" w:color="000000"/>
              <w:left w:val="single" w:sz="2" w:space="0" w:color="000000"/>
              <w:bottom w:val="single" w:sz="2" w:space="0" w:color="000000"/>
              <w:right w:val="single" w:sz="2" w:space="0" w:color="000000"/>
            </w:tcBorders>
          </w:tcPr>
          <w:p w14:paraId="24D6017E" w14:textId="77777777" w:rsidR="00245300" w:rsidRPr="00EC20A0" w:rsidRDefault="00F17249">
            <w:pPr>
              <w:pStyle w:val="TableParagraph"/>
              <w:spacing w:before="120"/>
              <w:ind w:left="107"/>
              <w:rPr>
                <w:sz w:val="20"/>
              </w:rPr>
            </w:pPr>
            <w:r w:rsidRPr="00EC20A0">
              <w:rPr>
                <w:sz w:val="20"/>
              </w:rPr>
              <w:t>Report</w:t>
            </w:r>
            <w:r w:rsidRPr="00EC20A0">
              <w:rPr>
                <w:spacing w:val="-3"/>
                <w:sz w:val="20"/>
              </w:rPr>
              <w:t xml:space="preserve"> </w:t>
            </w:r>
            <w:r w:rsidRPr="00EC20A0">
              <w:rPr>
                <w:sz w:val="20"/>
              </w:rPr>
              <w:t>issued</w:t>
            </w:r>
            <w:r w:rsidRPr="00EC20A0">
              <w:rPr>
                <w:spacing w:val="-3"/>
                <w:sz w:val="20"/>
              </w:rPr>
              <w:t xml:space="preserve"> </w:t>
            </w:r>
            <w:r w:rsidRPr="00EC20A0">
              <w:rPr>
                <w:sz w:val="20"/>
              </w:rPr>
              <w:t>September</w:t>
            </w:r>
            <w:r w:rsidRPr="00EC20A0">
              <w:rPr>
                <w:spacing w:val="-2"/>
                <w:sz w:val="20"/>
              </w:rPr>
              <w:t xml:space="preserve"> </w:t>
            </w:r>
            <w:r w:rsidRPr="00EC20A0">
              <w:rPr>
                <w:sz w:val="20"/>
              </w:rPr>
              <w:t>XX,</w:t>
            </w:r>
            <w:r w:rsidRPr="00EC20A0">
              <w:rPr>
                <w:spacing w:val="-3"/>
                <w:sz w:val="20"/>
              </w:rPr>
              <w:t xml:space="preserve"> </w:t>
            </w:r>
            <w:r w:rsidRPr="00EC20A0">
              <w:rPr>
                <w:sz w:val="20"/>
              </w:rPr>
              <w:t>20X1,</w:t>
            </w:r>
            <w:r w:rsidRPr="00EC20A0">
              <w:rPr>
                <w:spacing w:val="-4"/>
                <w:sz w:val="20"/>
              </w:rPr>
              <w:t xml:space="preserve"> </w:t>
            </w:r>
            <w:r w:rsidRPr="00EC20A0">
              <w:rPr>
                <w:sz w:val="20"/>
              </w:rPr>
              <w:t>covering</w:t>
            </w:r>
            <w:r w:rsidRPr="00EC20A0">
              <w:rPr>
                <w:spacing w:val="-3"/>
                <w:sz w:val="20"/>
              </w:rPr>
              <w:t xml:space="preserve"> </w:t>
            </w:r>
            <w:r w:rsidRPr="00EC20A0">
              <w:rPr>
                <w:sz w:val="20"/>
              </w:rPr>
              <w:t>the</w:t>
            </w:r>
            <w:r w:rsidRPr="00EC20A0">
              <w:rPr>
                <w:spacing w:val="-3"/>
                <w:sz w:val="20"/>
              </w:rPr>
              <w:t xml:space="preserve"> </w:t>
            </w:r>
            <w:r w:rsidRPr="00EC20A0">
              <w:rPr>
                <w:sz w:val="20"/>
              </w:rPr>
              <w:t>period</w:t>
            </w:r>
            <w:r w:rsidRPr="00EC20A0">
              <w:rPr>
                <w:spacing w:val="-3"/>
                <w:sz w:val="20"/>
              </w:rPr>
              <w:t xml:space="preserve"> </w:t>
            </w:r>
            <w:r w:rsidRPr="00EC20A0">
              <w:rPr>
                <w:sz w:val="20"/>
              </w:rPr>
              <w:t>October</w:t>
            </w:r>
            <w:r w:rsidRPr="00EC20A0">
              <w:rPr>
                <w:spacing w:val="-2"/>
                <w:sz w:val="20"/>
              </w:rPr>
              <w:t xml:space="preserve"> </w:t>
            </w:r>
            <w:r w:rsidRPr="00EC20A0">
              <w:rPr>
                <w:sz w:val="20"/>
              </w:rPr>
              <w:t>1,</w:t>
            </w:r>
            <w:r w:rsidRPr="00EC20A0">
              <w:rPr>
                <w:spacing w:val="-3"/>
                <w:sz w:val="20"/>
              </w:rPr>
              <w:t xml:space="preserve"> </w:t>
            </w:r>
            <w:r w:rsidRPr="00EC20A0">
              <w:rPr>
                <w:sz w:val="20"/>
              </w:rPr>
              <w:t>20XX,</w:t>
            </w:r>
            <w:r w:rsidRPr="00EC20A0">
              <w:rPr>
                <w:spacing w:val="-3"/>
                <w:sz w:val="20"/>
              </w:rPr>
              <w:t xml:space="preserve"> </w:t>
            </w:r>
            <w:r w:rsidRPr="00EC20A0">
              <w:rPr>
                <w:sz w:val="20"/>
              </w:rPr>
              <w:t>through</w:t>
            </w:r>
            <w:r w:rsidRPr="00EC20A0">
              <w:rPr>
                <w:spacing w:val="-3"/>
                <w:sz w:val="20"/>
              </w:rPr>
              <w:t xml:space="preserve"> </w:t>
            </w:r>
            <w:r w:rsidRPr="00EC20A0">
              <w:rPr>
                <w:sz w:val="20"/>
              </w:rPr>
              <w:t>June</w:t>
            </w:r>
            <w:r w:rsidRPr="00EC20A0">
              <w:rPr>
                <w:spacing w:val="-3"/>
                <w:sz w:val="20"/>
              </w:rPr>
              <w:t xml:space="preserve"> </w:t>
            </w:r>
            <w:r w:rsidRPr="00EC20A0">
              <w:rPr>
                <w:sz w:val="20"/>
              </w:rPr>
              <w:t xml:space="preserve">30, </w:t>
            </w:r>
            <w:r w:rsidRPr="00EC20A0">
              <w:rPr>
                <w:spacing w:val="-4"/>
                <w:sz w:val="20"/>
              </w:rPr>
              <w:t>20X1</w:t>
            </w:r>
          </w:p>
        </w:tc>
      </w:tr>
      <w:tr w:rsidR="00245300" w:rsidRPr="00EC20A0" w14:paraId="24D60182" w14:textId="77777777">
        <w:trPr>
          <w:trHeight w:val="791"/>
        </w:trPr>
        <w:tc>
          <w:tcPr>
            <w:tcW w:w="861" w:type="dxa"/>
          </w:tcPr>
          <w:p w14:paraId="24D60180" w14:textId="77777777" w:rsidR="00245300" w:rsidRPr="00EC20A0" w:rsidRDefault="00F17249">
            <w:pPr>
              <w:pStyle w:val="TableParagraph"/>
              <w:spacing w:before="120"/>
              <w:ind w:left="52"/>
              <w:rPr>
                <w:b/>
                <w:sz w:val="24"/>
              </w:rPr>
            </w:pPr>
            <w:r w:rsidRPr="00EC20A0">
              <w:rPr>
                <w:b/>
                <w:spacing w:val="-5"/>
                <w:sz w:val="24"/>
              </w:rPr>
              <w:t>V.</w:t>
            </w:r>
          </w:p>
        </w:tc>
        <w:tc>
          <w:tcPr>
            <w:tcW w:w="8467" w:type="dxa"/>
            <w:tcBorders>
              <w:top w:val="single" w:sz="2" w:space="0" w:color="000000"/>
              <w:bottom w:val="single" w:sz="2" w:space="0" w:color="000000"/>
            </w:tcBorders>
          </w:tcPr>
          <w:p w14:paraId="24D60181" w14:textId="77777777" w:rsidR="00245300" w:rsidRPr="00EC20A0" w:rsidRDefault="00F17249">
            <w:pPr>
              <w:pStyle w:val="TableParagraph"/>
              <w:spacing w:before="120"/>
              <w:ind w:left="2" w:right="200"/>
              <w:rPr>
                <w:b/>
                <w:sz w:val="24"/>
              </w:rPr>
            </w:pPr>
            <w:r w:rsidRPr="00EC20A0">
              <w:rPr>
                <w:b/>
                <w:sz w:val="24"/>
              </w:rPr>
              <w:t>Name</w:t>
            </w:r>
            <w:r w:rsidRPr="00EC20A0">
              <w:rPr>
                <w:b/>
                <w:spacing w:val="-4"/>
                <w:sz w:val="24"/>
              </w:rPr>
              <w:t xml:space="preserve"> </w:t>
            </w:r>
            <w:r w:rsidRPr="00EC20A0">
              <w:rPr>
                <w:b/>
                <w:sz w:val="24"/>
              </w:rPr>
              <w:t>of</w:t>
            </w:r>
            <w:r w:rsidRPr="00EC20A0">
              <w:rPr>
                <w:b/>
                <w:spacing w:val="-3"/>
                <w:sz w:val="24"/>
              </w:rPr>
              <w:t xml:space="preserve"> </w:t>
            </w:r>
            <w:r w:rsidRPr="00EC20A0">
              <w:rPr>
                <w:b/>
                <w:sz w:val="24"/>
              </w:rPr>
              <w:t>the</w:t>
            </w:r>
            <w:r w:rsidRPr="00EC20A0">
              <w:rPr>
                <w:b/>
                <w:spacing w:val="-4"/>
                <w:sz w:val="24"/>
              </w:rPr>
              <w:t xml:space="preserve"> </w:t>
            </w:r>
            <w:r w:rsidRPr="00EC20A0">
              <w:rPr>
                <w:b/>
                <w:sz w:val="24"/>
              </w:rPr>
              <w:t>Service</w:t>
            </w:r>
            <w:r w:rsidRPr="00EC20A0">
              <w:rPr>
                <w:b/>
                <w:spacing w:val="-3"/>
                <w:sz w:val="24"/>
              </w:rPr>
              <w:t xml:space="preserve"> </w:t>
            </w:r>
            <w:r w:rsidRPr="00EC20A0">
              <w:rPr>
                <w:b/>
                <w:sz w:val="24"/>
              </w:rPr>
              <w:t>Auditor</w:t>
            </w:r>
            <w:r w:rsidRPr="00EC20A0">
              <w:rPr>
                <w:b/>
                <w:spacing w:val="-4"/>
                <w:sz w:val="24"/>
              </w:rPr>
              <w:t xml:space="preserve"> </w:t>
            </w:r>
            <w:r w:rsidRPr="00EC20A0">
              <w:rPr>
                <w:b/>
                <w:sz w:val="24"/>
              </w:rPr>
              <w:t>and</w:t>
            </w:r>
            <w:r w:rsidRPr="00EC20A0">
              <w:rPr>
                <w:b/>
                <w:spacing w:val="-4"/>
                <w:sz w:val="24"/>
              </w:rPr>
              <w:t xml:space="preserve"> </w:t>
            </w:r>
            <w:r w:rsidRPr="00EC20A0">
              <w:rPr>
                <w:b/>
                <w:sz w:val="24"/>
              </w:rPr>
              <w:t>Date</w:t>
            </w:r>
            <w:r w:rsidRPr="00EC20A0">
              <w:rPr>
                <w:b/>
                <w:spacing w:val="-4"/>
                <w:sz w:val="24"/>
              </w:rPr>
              <w:t xml:space="preserve"> </w:t>
            </w:r>
            <w:r w:rsidRPr="00EC20A0">
              <w:rPr>
                <w:b/>
                <w:sz w:val="24"/>
              </w:rPr>
              <w:t>of</w:t>
            </w:r>
            <w:r w:rsidRPr="00EC20A0">
              <w:rPr>
                <w:b/>
                <w:spacing w:val="-3"/>
                <w:sz w:val="24"/>
              </w:rPr>
              <w:t xml:space="preserve"> </w:t>
            </w:r>
            <w:r w:rsidRPr="00EC20A0">
              <w:rPr>
                <w:b/>
                <w:sz w:val="24"/>
              </w:rPr>
              <w:t>Most</w:t>
            </w:r>
            <w:r w:rsidRPr="00EC20A0">
              <w:rPr>
                <w:b/>
                <w:spacing w:val="-3"/>
                <w:sz w:val="24"/>
              </w:rPr>
              <w:t xml:space="preserve"> </w:t>
            </w:r>
            <w:r w:rsidRPr="00EC20A0">
              <w:rPr>
                <w:b/>
                <w:sz w:val="24"/>
              </w:rPr>
              <w:t>Recent</w:t>
            </w:r>
            <w:r w:rsidRPr="00EC20A0">
              <w:rPr>
                <w:b/>
                <w:spacing w:val="-3"/>
                <w:sz w:val="24"/>
              </w:rPr>
              <w:t xml:space="preserve"> </w:t>
            </w:r>
            <w:r w:rsidRPr="00EC20A0">
              <w:rPr>
                <w:b/>
                <w:sz w:val="24"/>
              </w:rPr>
              <w:t>Peer</w:t>
            </w:r>
            <w:r w:rsidRPr="00EC20A0">
              <w:rPr>
                <w:b/>
                <w:spacing w:val="-4"/>
                <w:sz w:val="24"/>
              </w:rPr>
              <w:t xml:space="preserve"> </w:t>
            </w:r>
            <w:r w:rsidRPr="00EC20A0">
              <w:rPr>
                <w:b/>
                <w:sz w:val="24"/>
              </w:rPr>
              <w:t xml:space="preserve">Review </w:t>
            </w:r>
            <w:r w:rsidRPr="00EC20A0">
              <w:rPr>
                <w:b/>
                <w:spacing w:val="-2"/>
                <w:sz w:val="24"/>
              </w:rPr>
              <w:t>Report</w:t>
            </w:r>
          </w:p>
        </w:tc>
      </w:tr>
      <w:tr w:rsidR="00245300" w:rsidRPr="00EC20A0" w14:paraId="24D60186" w14:textId="77777777">
        <w:trPr>
          <w:trHeight w:val="700"/>
        </w:trPr>
        <w:tc>
          <w:tcPr>
            <w:tcW w:w="861" w:type="dxa"/>
            <w:tcBorders>
              <w:right w:val="single" w:sz="2" w:space="0" w:color="000000"/>
            </w:tcBorders>
          </w:tcPr>
          <w:p w14:paraId="24D60183" w14:textId="77777777" w:rsidR="00245300" w:rsidRPr="00EC20A0" w:rsidRDefault="00245300">
            <w:pPr>
              <w:pStyle w:val="TableParagraph"/>
              <w:rPr>
                <w:sz w:val="20"/>
              </w:rPr>
            </w:pPr>
          </w:p>
        </w:tc>
        <w:tc>
          <w:tcPr>
            <w:tcW w:w="8467" w:type="dxa"/>
            <w:tcBorders>
              <w:top w:val="single" w:sz="2" w:space="0" w:color="000000"/>
              <w:left w:val="single" w:sz="2" w:space="0" w:color="000000"/>
              <w:bottom w:val="single" w:sz="2" w:space="0" w:color="000000"/>
              <w:right w:val="single" w:sz="2" w:space="0" w:color="000000"/>
            </w:tcBorders>
          </w:tcPr>
          <w:p w14:paraId="24D60184" w14:textId="77777777" w:rsidR="00245300" w:rsidRPr="00EC20A0" w:rsidRDefault="00F17249">
            <w:pPr>
              <w:pStyle w:val="TableParagraph"/>
              <w:spacing w:before="120"/>
              <w:ind w:left="108"/>
              <w:rPr>
                <w:sz w:val="20"/>
              </w:rPr>
            </w:pPr>
            <w:r w:rsidRPr="00EC20A0">
              <w:rPr>
                <w:sz w:val="20"/>
              </w:rPr>
              <w:t>IPA</w:t>
            </w:r>
            <w:r w:rsidRPr="00EC20A0">
              <w:rPr>
                <w:spacing w:val="-4"/>
                <w:sz w:val="20"/>
              </w:rPr>
              <w:t xml:space="preserve"> </w:t>
            </w:r>
            <w:r w:rsidRPr="00EC20A0">
              <w:rPr>
                <w:sz w:val="20"/>
              </w:rPr>
              <w:t>Public</w:t>
            </w:r>
            <w:r w:rsidRPr="00EC20A0">
              <w:rPr>
                <w:spacing w:val="-3"/>
                <w:sz w:val="20"/>
              </w:rPr>
              <w:t xml:space="preserve"> </w:t>
            </w:r>
            <w:r w:rsidRPr="00EC20A0">
              <w:rPr>
                <w:spacing w:val="-2"/>
                <w:sz w:val="20"/>
              </w:rPr>
              <w:t>Accountants.</w:t>
            </w:r>
          </w:p>
          <w:p w14:paraId="24D60185" w14:textId="77777777" w:rsidR="00245300" w:rsidRPr="00EC20A0" w:rsidRDefault="00F17249">
            <w:pPr>
              <w:pStyle w:val="TableParagraph"/>
              <w:spacing w:before="1"/>
              <w:ind w:left="107"/>
              <w:rPr>
                <w:sz w:val="20"/>
              </w:rPr>
            </w:pPr>
            <w:r w:rsidRPr="00EC20A0">
              <w:rPr>
                <w:sz w:val="20"/>
              </w:rPr>
              <w:t>Peer</w:t>
            </w:r>
            <w:r w:rsidRPr="00EC20A0">
              <w:rPr>
                <w:spacing w:val="-3"/>
                <w:sz w:val="20"/>
              </w:rPr>
              <w:t xml:space="preserve"> </w:t>
            </w:r>
            <w:r w:rsidRPr="00EC20A0">
              <w:rPr>
                <w:sz w:val="20"/>
              </w:rPr>
              <w:t>review</w:t>
            </w:r>
            <w:r w:rsidRPr="00EC20A0">
              <w:rPr>
                <w:spacing w:val="-4"/>
                <w:sz w:val="20"/>
              </w:rPr>
              <w:t xml:space="preserve"> </w:t>
            </w:r>
            <w:r w:rsidRPr="00EC20A0">
              <w:rPr>
                <w:sz w:val="20"/>
              </w:rPr>
              <w:t>report</w:t>
            </w:r>
            <w:r w:rsidRPr="00EC20A0">
              <w:rPr>
                <w:spacing w:val="-3"/>
                <w:sz w:val="20"/>
              </w:rPr>
              <w:t xml:space="preserve"> </w:t>
            </w:r>
            <w:r w:rsidRPr="00EC20A0">
              <w:rPr>
                <w:sz w:val="20"/>
              </w:rPr>
              <w:t>certified</w:t>
            </w:r>
            <w:r w:rsidRPr="00EC20A0">
              <w:rPr>
                <w:spacing w:val="-5"/>
                <w:sz w:val="20"/>
              </w:rPr>
              <w:t xml:space="preserve"> </w:t>
            </w:r>
            <w:r w:rsidRPr="00EC20A0">
              <w:rPr>
                <w:sz w:val="20"/>
              </w:rPr>
              <w:t>through</w:t>
            </w:r>
            <w:r w:rsidRPr="00EC20A0">
              <w:rPr>
                <w:spacing w:val="-4"/>
                <w:sz w:val="20"/>
              </w:rPr>
              <w:t xml:space="preserve"> </w:t>
            </w:r>
            <w:r w:rsidRPr="00EC20A0">
              <w:rPr>
                <w:sz w:val="20"/>
              </w:rPr>
              <w:t>November</w:t>
            </w:r>
            <w:r w:rsidRPr="00EC20A0">
              <w:rPr>
                <w:spacing w:val="-4"/>
                <w:sz w:val="20"/>
              </w:rPr>
              <w:t xml:space="preserve"> </w:t>
            </w:r>
            <w:r w:rsidRPr="00EC20A0">
              <w:rPr>
                <w:sz w:val="20"/>
              </w:rPr>
              <w:t>30,</w:t>
            </w:r>
            <w:r w:rsidRPr="00EC20A0">
              <w:rPr>
                <w:spacing w:val="-4"/>
                <w:sz w:val="20"/>
              </w:rPr>
              <w:t xml:space="preserve"> 20XX.</w:t>
            </w:r>
          </w:p>
        </w:tc>
      </w:tr>
      <w:tr w:rsidR="00245300" w:rsidRPr="00EC20A0" w14:paraId="24D60189" w14:textId="77777777">
        <w:trPr>
          <w:trHeight w:val="515"/>
        </w:trPr>
        <w:tc>
          <w:tcPr>
            <w:tcW w:w="861" w:type="dxa"/>
          </w:tcPr>
          <w:p w14:paraId="24D60187" w14:textId="77777777" w:rsidR="00245300" w:rsidRPr="00EC20A0" w:rsidRDefault="00F17249">
            <w:pPr>
              <w:pStyle w:val="TableParagraph"/>
              <w:spacing w:before="120"/>
              <w:ind w:left="52"/>
              <w:rPr>
                <w:b/>
                <w:sz w:val="24"/>
              </w:rPr>
            </w:pPr>
            <w:r w:rsidRPr="00EC20A0">
              <w:rPr>
                <w:b/>
                <w:spacing w:val="-5"/>
                <w:sz w:val="24"/>
              </w:rPr>
              <w:t>VI.</w:t>
            </w:r>
          </w:p>
        </w:tc>
        <w:tc>
          <w:tcPr>
            <w:tcW w:w="8467" w:type="dxa"/>
            <w:tcBorders>
              <w:top w:val="single" w:sz="2" w:space="0" w:color="000000"/>
              <w:bottom w:val="single" w:sz="2" w:space="0" w:color="000000"/>
            </w:tcBorders>
          </w:tcPr>
          <w:p w14:paraId="24D60188" w14:textId="77777777" w:rsidR="00245300" w:rsidRPr="00EC20A0" w:rsidRDefault="00F17249">
            <w:pPr>
              <w:pStyle w:val="TableParagraph"/>
              <w:spacing w:before="120"/>
              <w:ind w:left="2"/>
              <w:rPr>
                <w:b/>
                <w:sz w:val="24"/>
              </w:rPr>
            </w:pPr>
            <w:r w:rsidRPr="00EC20A0">
              <w:rPr>
                <w:b/>
                <w:sz w:val="24"/>
              </w:rPr>
              <w:t>Audit</w:t>
            </w:r>
            <w:r w:rsidRPr="00EC20A0">
              <w:rPr>
                <w:b/>
                <w:spacing w:val="-4"/>
                <w:sz w:val="24"/>
              </w:rPr>
              <w:t xml:space="preserve"> </w:t>
            </w:r>
            <w:r w:rsidRPr="00EC20A0">
              <w:rPr>
                <w:b/>
                <w:sz w:val="24"/>
              </w:rPr>
              <w:t>Cycles</w:t>
            </w:r>
            <w:r w:rsidRPr="00EC20A0">
              <w:rPr>
                <w:b/>
                <w:spacing w:val="-3"/>
                <w:sz w:val="24"/>
              </w:rPr>
              <w:t xml:space="preserve"> </w:t>
            </w:r>
            <w:r w:rsidRPr="00EC20A0">
              <w:rPr>
                <w:b/>
                <w:sz w:val="24"/>
              </w:rPr>
              <w:t>Affected</w:t>
            </w:r>
            <w:r w:rsidRPr="00EC20A0">
              <w:rPr>
                <w:b/>
                <w:spacing w:val="-2"/>
                <w:sz w:val="24"/>
              </w:rPr>
              <w:t xml:space="preserve"> </w:t>
            </w:r>
            <w:r w:rsidRPr="00EC20A0">
              <w:rPr>
                <w:b/>
                <w:sz w:val="24"/>
              </w:rPr>
              <w:t>by</w:t>
            </w:r>
            <w:r w:rsidRPr="00EC20A0">
              <w:rPr>
                <w:b/>
                <w:spacing w:val="-3"/>
                <w:sz w:val="24"/>
              </w:rPr>
              <w:t xml:space="preserve"> </w:t>
            </w:r>
            <w:r w:rsidRPr="00EC20A0">
              <w:rPr>
                <w:b/>
                <w:sz w:val="24"/>
              </w:rPr>
              <w:t>the</w:t>
            </w:r>
            <w:r w:rsidRPr="00EC20A0">
              <w:rPr>
                <w:b/>
                <w:spacing w:val="-3"/>
                <w:sz w:val="24"/>
              </w:rPr>
              <w:t xml:space="preserve"> </w:t>
            </w:r>
            <w:r w:rsidRPr="00EC20A0">
              <w:rPr>
                <w:b/>
                <w:sz w:val="24"/>
              </w:rPr>
              <w:t>Service</w:t>
            </w:r>
            <w:r w:rsidRPr="00EC20A0">
              <w:rPr>
                <w:b/>
                <w:spacing w:val="-2"/>
                <w:sz w:val="24"/>
              </w:rPr>
              <w:t xml:space="preserve"> Organization</w:t>
            </w:r>
          </w:p>
        </w:tc>
      </w:tr>
      <w:tr w:rsidR="00245300" w:rsidRPr="00EC20A0" w14:paraId="24D6018C" w14:textId="77777777">
        <w:trPr>
          <w:trHeight w:val="515"/>
        </w:trPr>
        <w:tc>
          <w:tcPr>
            <w:tcW w:w="861" w:type="dxa"/>
            <w:tcBorders>
              <w:right w:val="single" w:sz="2" w:space="0" w:color="000000"/>
            </w:tcBorders>
          </w:tcPr>
          <w:p w14:paraId="24D6018A" w14:textId="77777777" w:rsidR="00245300" w:rsidRPr="00EC20A0" w:rsidRDefault="00245300">
            <w:pPr>
              <w:pStyle w:val="TableParagraph"/>
              <w:rPr>
                <w:sz w:val="20"/>
              </w:rPr>
            </w:pPr>
          </w:p>
        </w:tc>
        <w:tc>
          <w:tcPr>
            <w:tcW w:w="8467" w:type="dxa"/>
            <w:tcBorders>
              <w:top w:val="single" w:sz="2" w:space="0" w:color="000000"/>
              <w:left w:val="single" w:sz="2" w:space="0" w:color="000000"/>
              <w:bottom w:val="single" w:sz="2" w:space="0" w:color="000000"/>
              <w:right w:val="single" w:sz="2" w:space="0" w:color="000000"/>
            </w:tcBorders>
          </w:tcPr>
          <w:p w14:paraId="24D6018B" w14:textId="77777777" w:rsidR="00245300" w:rsidRPr="00EC20A0" w:rsidRDefault="00F17249">
            <w:pPr>
              <w:pStyle w:val="TableParagraph"/>
              <w:spacing w:before="120"/>
              <w:ind w:left="108"/>
              <w:rPr>
                <w:sz w:val="20"/>
              </w:rPr>
            </w:pPr>
            <w:r w:rsidRPr="00EC20A0">
              <w:rPr>
                <w:sz w:val="20"/>
              </w:rPr>
              <w:t>Payroll</w:t>
            </w:r>
            <w:r w:rsidRPr="00EC20A0">
              <w:rPr>
                <w:spacing w:val="-4"/>
                <w:sz w:val="20"/>
              </w:rPr>
              <w:t xml:space="preserve"> </w:t>
            </w:r>
            <w:r w:rsidRPr="00EC20A0">
              <w:rPr>
                <w:sz w:val="20"/>
              </w:rPr>
              <w:t>cycle</w:t>
            </w:r>
            <w:r w:rsidRPr="00EC20A0">
              <w:rPr>
                <w:spacing w:val="-4"/>
                <w:sz w:val="20"/>
              </w:rPr>
              <w:t xml:space="preserve"> </w:t>
            </w:r>
            <w:r w:rsidRPr="00EC20A0">
              <w:rPr>
                <w:sz w:val="20"/>
              </w:rPr>
              <w:t>and</w:t>
            </w:r>
            <w:r w:rsidRPr="00EC20A0">
              <w:rPr>
                <w:spacing w:val="-3"/>
                <w:sz w:val="20"/>
              </w:rPr>
              <w:t xml:space="preserve"> </w:t>
            </w:r>
            <w:r w:rsidRPr="00EC20A0">
              <w:rPr>
                <w:sz w:val="20"/>
              </w:rPr>
              <w:t>Accounts</w:t>
            </w:r>
            <w:r w:rsidRPr="00EC20A0">
              <w:rPr>
                <w:spacing w:val="-5"/>
                <w:sz w:val="20"/>
              </w:rPr>
              <w:t xml:space="preserve"> </w:t>
            </w:r>
            <w:r w:rsidRPr="00EC20A0">
              <w:rPr>
                <w:sz w:val="20"/>
              </w:rPr>
              <w:t>Payable</w:t>
            </w:r>
            <w:r w:rsidRPr="00EC20A0">
              <w:rPr>
                <w:spacing w:val="-4"/>
                <w:sz w:val="20"/>
              </w:rPr>
              <w:t xml:space="preserve"> cycle</w:t>
            </w:r>
          </w:p>
        </w:tc>
      </w:tr>
      <w:tr w:rsidR="00245300" w:rsidRPr="00EC20A0" w14:paraId="24D6018F" w14:textId="77777777">
        <w:trPr>
          <w:trHeight w:val="791"/>
        </w:trPr>
        <w:tc>
          <w:tcPr>
            <w:tcW w:w="861" w:type="dxa"/>
          </w:tcPr>
          <w:p w14:paraId="24D6018D" w14:textId="77777777" w:rsidR="00245300" w:rsidRPr="00EC20A0" w:rsidRDefault="00F17249">
            <w:pPr>
              <w:pStyle w:val="TableParagraph"/>
              <w:spacing w:before="120"/>
              <w:ind w:left="52"/>
              <w:rPr>
                <w:b/>
                <w:sz w:val="24"/>
              </w:rPr>
            </w:pPr>
            <w:r w:rsidRPr="00EC20A0">
              <w:rPr>
                <w:b/>
                <w:spacing w:val="-4"/>
                <w:sz w:val="24"/>
              </w:rPr>
              <w:t>VII.</w:t>
            </w:r>
          </w:p>
        </w:tc>
        <w:tc>
          <w:tcPr>
            <w:tcW w:w="8467" w:type="dxa"/>
            <w:tcBorders>
              <w:top w:val="single" w:sz="2" w:space="0" w:color="000000"/>
              <w:bottom w:val="single" w:sz="2" w:space="0" w:color="000000"/>
            </w:tcBorders>
          </w:tcPr>
          <w:p w14:paraId="24D6018E" w14:textId="77777777" w:rsidR="00245300" w:rsidRPr="00EC20A0" w:rsidRDefault="00F17249">
            <w:pPr>
              <w:pStyle w:val="TableParagraph"/>
              <w:spacing w:before="120"/>
              <w:ind w:left="2"/>
              <w:rPr>
                <w:b/>
                <w:sz w:val="24"/>
              </w:rPr>
            </w:pPr>
            <w:r w:rsidRPr="00EC20A0">
              <w:rPr>
                <w:b/>
                <w:sz w:val="24"/>
              </w:rPr>
              <w:t>List</w:t>
            </w:r>
            <w:r w:rsidRPr="00EC20A0">
              <w:rPr>
                <w:b/>
                <w:spacing w:val="-3"/>
                <w:sz w:val="24"/>
              </w:rPr>
              <w:t xml:space="preserve"> </w:t>
            </w:r>
            <w:r w:rsidRPr="00EC20A0">
              <w:rPr>
                <w:b/>
                <w:sz w:val="24"/>
              </w:rPr>
              <w:t>of</w:t>
            </w:r>
            <w:r w:rsidRPr="00EC20A0">
              <w:rPr>
                <w:b/>
                <w:spacing w:val="-5"/>
                <w:sz w:val="24"/>
              </w:rPr>
              <w:t xml:space="preserve"> </w:t>
            </w:r>
            <w:r w:rsidRPr="00EC20A0">
              <w:rPr>
                <w:b/>
                <w:sz w:val="24"/>
              </w:rPr>
              <w:t>Control</w:t>
            </w:r>
            <w:r w:rsidRPr="00EC20A0">
              <w:rPr>
                <w:b/>
                <w:spacing w:val="-5"/>
                <w:sz w:val="24"/>
              </w:rPr>
              <w:t xml:space="preserve"> </w:t>
            </w:r>
            <w:r w:rsidRPr="00EC20A0">
              <w:rPr>
                <w:b/>
                <w:sz w:val="24"/>
              </w:rPr>
              <w:t>Activities</w:t>
            </w:r>
            <w:r w:rsidRPr="00EC20A0">
              <w:rPr>
                <w:b/>
                <w:spacing w:val="-5"/>
                <w:sz w:val="24"/>
              </w:rPr>
              <w:t xml:space="preserve"> </w:t>
            </w:r>
            <w:r w:rsidRPr="00EC20A0">
              <w:rPr>
                <w:b/>
                <w:sz w:val="24"/>
              </w:rPr>
              <w:t>from</w:t>
            </w:r>
            <w:r w:rsidRPr="00EC20A0">
              <w:rPr>
                <w:b/>
                <w:spacing w:val="-5"/>
                <w:sz w:val="24"/>
              </w:rPr>
              <w:t xml:space="preserve"> </w:t>
            </w:r>
            <w:r w:rsidRPr="00EC20A0">
              <w:rPr>
                <w:b/>
                <w:sz w:val="24"/>
              </w:rPr>
              <w:t>the</w:t>
            </w:r>
            <w:r w:rsidRPr="00EC20A0">
              <w:rPr>
                <w:b/>
                <w:spacing w:val="-4"/>
                <w:sz w:val="24"/>
              </w:rPr>
              <w:t xml:space="preserve"> </w:t>
            </w:r>
            <w:r w:rsidRPr="00EC20A0">
              <w:rPr>
                <w:b/>
                <w:sz w:val="24"/>
              </w:rPr>
              <w:t>Specific</w:t>
            </w:r>
            <w:r w:rsidRPr="00EC20A0">
              <w:rPr>
                <w:b/>
                <w:spacing w:val="-4"/>
                <w:sz w:val="24"/>
              </w:rPr>
              <w:t xml:space="preserve"> </w:t>
            </w:r>
            <w:r w:rsidRPr="00EC20A0">
              <w:rPr>
                <w:b/>
                <w:sz w:val="24"/>
              </w:rPr>
              <w:t>Control</w:t>
            </w:r>
            <w:r w:rsidRPr="00EC20A0">
              <w:rPr>
                <w:b/>
                <w:spacing w:val="-5"/>
                <w:sz w:val="24"/>
              </w:rPr>
              <w:t xml:space="preserve"> </w:t>
            </w:r>
            <w:r w:rsidRPr="00EC20A0">
              <w:rPr>
                <w:b/>
                <w:sz w:val="24"/>
              </w:rPr>
              <w:t>Evaluation</w:t>
            </w:r>
            <w:r w:rsidRPr="00EC20A0">
              <w:rPr>
                <w:b/>
                <w:spacing w:val="-4"/>
                <w:sz w:val="24"/>
              </w:rPr>
              <w:t xml:space="preserve"> </w:t>
            </w:r>
            <w:r w:rsidRPr="00EC20A0">
              <w:rPr>
                <w:b/>
                <w:sz w:val="24"/>
              </w:rPr>
              <w:t xml:space="preserve">(SCE) </w:t>
            </w:r>
            <w:r w:rsidRPr="00EC20A0">
              <w:rPr>
                <w:b/>
                <w:sz w:val="24"/>
              </w:rPr>
              <w:t>Worksheet That Are Being Reviewed for This Type 2 Report</w:t>
            </w:r>
          </w:p>
        </w:tc>
      </w:tr>
      <w:tr w:rsidR="00245300" w:rsidRPr="00EC20A0" w14:paraId="24D60196" w14:textId="77777777">
        <w:trPr>
          <w:trHeight w:val="1870"/>
        </w:trPr>
        <w:tc>
          <w:tcPr>
            <w:tcW w:w="861" w:type="dxa"/>
            <w:tcBorders>
              <w:right w:val="single" w:sz="2" w:space="0" w:color="000000"/>
            </w:tcBorders>
          </w:tcPr>
          <w:p w14:paraId="24D60190" w14:textId="77777777" w:rsidR="00245300" w:rsidRPr="00EC20A0" w:rsidRDefault="00245300">
            <w:pPr>
              <w:pStyle w:val="TableParagraph"/>
              <w:rPr>
                <w:sz w:val="20"/>
              </w:rPr>
            </w:pPr>
          </w:p>
        </w:tc>
        <w:tc>
          <w:tcPr>
            <w:tcW w:w="8467" w:type="dxa"/>
            <w:tcBorders>
              <w:top w:val="single" w:sz="2" w:space="0" w:color="000000"/>
              <w:left w:val="single" w:sz="2" w:space="0" w:color="000000"/>
              <w:bottom w:val="single" w:sz="2" w:space="0" w:color="000000"/>
              <w:right w:val="single" w:sz="2" w:space="0" w:color="000000"/>
            </w:tcBorders>
          </w:tcPr>
          <w:p w14:paraId="24D60191" w14:textId="77777777" w:rsidR="00245300" w:rsidRPr="00EC20A0" w:rsidRDefault="00F17249">
            <w:pPr>
              <w:pStyle w:val="TableParagraph"/>
              <w:spacing w:before="120"/>
              <w:ind w:left="108"/>
              <w:rPr>
                <w:b/>
                <w:sz w:val="20"/>
              </w:rPr>
            </w:pPr>
            <w:r w:rsidRPr="00EC20A0">
              <w:rPr>
                <w:b/>
                <w:spacing w:val="-2"/>
                <w:sz w:val="20"/>
                <w:u w:val="single"/>
              </w:rPr>
              <w:t>SCE.1:</w:t>
            </w:r>
          </w:p>
          <w:p w14:paraId="24D60192" w14:textId="77777777" w:rsidR="00245300" w:rsidRPr="00EC20A0" w:rsidRDefault="00245300">
            <w:pPr>
              <w:pStyle w:val="TableParagraph"/>
              <w:spacing w:before="11"/>
              <w:rPr>
                <w:sz w:val="20"/>
              </w:rPr>
            </w:pPr>
          </w:p>
          <w:p w14:paraId="24D60193" w14:textId="77777777" w:rsidR="00245300" w:rsidRPr="00EC20A0" w:rsidRDefault="00F17249">
            <w:pPr>
              <w:pStyle w:val="TableParagraph"/>
              <w:ind w:left="108"/>
              <w:rPr>
                <w:sz w:val="20"/>
              </w:rPr>
            </w:pPr>
            <w:r w:rsidRPr="00EC20A0">
              <w:rPr>
                <w:b/>
                <w:sz w:val="20"/>
              </w:rPr>
              <w:t>1a.1</w:t>
            </w:r>
            <w:r w:rsidRPr="00EC20A0">
              <w:rPr>
                <w:b/>
                <w:spacing w:val="-4"/>
                <w:sz w:val="20"/>
              </w:rPr>
              <w:t xml:space="preserve"> </w:t>
            </w:r>
            <w:r w:rsidRPr="00EC20A0">
              <w:rPr>
                <w:sz w:val="20"/>
              </w:rPr>
              <w:t>Only</w:t>
            </w:r>
            <w:r w:rsidRPr="00EC20A0">
              <w:rPr>
                <w:spacing w:val="-2"/>
                <w:sz w:val="20"/>
              </w:rPr>
              <w:t xml:space="preserve"> </w:t>
            </w:r>
            <w:r w:rsidRPr="00EC20A0">
              <w:rPr>
                <w:sz w:val="20"/>
              </w:rPr>
              <w:t>authorized</w:t>
            </w:r>
            <w:r w:rsidRPr="00EC20A0">
              <w:rPr>
                <w:spacing w:val="-3"/>
                <w:sz w:val="20"/>
              </w:rPr>
              <w:t xml:space="preserve"> </w:t>
            </w:r>
            <w:r w:rsidRPr="00EC20A0">
              <w:rPr>
                <w:sz w:val="20"/>
              </w:rPr>
              <w:t>users</w:t>
            </w:r>
            <w:r w:rsidRPr="00EC20A0">
              <w:rPr>
                <w:spacing w:val="-4"/>
                <w:sz w:val="20"/>
              </w:rPr>
              <w:t xml:space="preserve"> </w:t>
            </w:r>
            <w:r w:rsidRPr="00EC20A0">
              <w:rPr>
                <w:sz w:val="20"/>
              </w:rPr>
              <w:t>have</w:t>
            </w:r>
            <w:r w:rsidRPr="00EC20A0">
              <w:rPr>
                <w:spacing w:val="-3"/>
                <w:sz w:val="20"/>
              </w:rPr>
              <w:t xml:space="preserve"> </w:t>
            </w:r>
            <w:r w:rsidRPr="00EC20A0">
              <w:rPr>
                <w:sz w:val="20"/>
              </w:rPr>
              <w:t>access</w:t>
            </w:r>
            <w:r w:rsidRPr="00EC20A0">
              <w:rPr>
                <w:spacing w:val="-3"/>
                <w:sz w:val="20"/>
              </w:rPr>
              <w:t xml:space="preserve"> </w:t>
            </w:r>
            <w:r w:rsidRPr="00EC20A0">
              <w:rPr>
                <w:sz w:val="20"/>
              </w:rPr>
              <w:t>to</w:t>
            </w:r>
            <w:r w:rsidRPr="00EC20A0">
              <w:rPr>
                <w:spacing w:val="-3"/>
                <w:sz w:val="20"/>
              </w:rPr>
              <w:t xml:space="preserve"> </w:t>
            </w:r>
            <w:r w:rsidRPr="00EC20A0">
              <w:rPr>
                <w:sz w:val="20"/>
              </w:rPr>
              <w:t>XXX</w:t>
            </w:r>
            <w:r w:rsidRPr="00EC20A0">
              <w:rPr>
                <w:spacing w:val="-3"/>
                <w:sz w:val="20"/>
              </w:rPr>
              <w:t xml:space="preserve"> </w:t>
            </w:r>
            <w:r w:rsidRPr="00EC20A0">
              <w:rPr>
                <w:sz w:val="20"/>
              </w:rPr>
              <w:t>IT</w:t>
            </w:r>
            <w:r w:rsidRPr="00EC20A0">
              <w:rPr>
                <w:spacing w:val="-2"/>
                <w:sz w:val="20"/>
              </w:rPr>
              <w:t xml:space="preserve"> System.</w:t>
            </w:r>
          </w:p>
          <w:p w14:paraId="24D60194" w14:textId="77777777" w:rsidR="00245300" w:rsidRPr="00EC20A0" w:rsidRDefault="00245300">
            <w:pPr>
              <w:pStyle w:val="TableParagraph"/>
              <w:spacing w:before="9"/>
              <w:rPr>
                <w:sz w:val="20"/>
              </w:rPr>
            </w:pPr>
          </w:p>
          <w:p w14:paraId="24D60195" w14:textId="77777777" w:rsidR="00245300" w:rsidRPr="00EC20A0" w:rsidRDefault="00F17249">
            <w:pPr>
              <w:pStyle w:val="TableParagraph"/>
              <w:ind w:left="107" w:right="162"/>
              <w:rPr>
                <w:sz w:val="20"/>
              </w:rPr>
            </w:pPr>
            <w:r w:rsidRPr="00EC20A0">
              <w:rPr>
                <w:b/>
                <w:sz w:val="20"/>
              </w:rPr>
              <w:t xml:space="preserve">2a.2 </w:t>
            </w:r>
            <w:r w:rsidRPr="00EC20A0">
              <w:rPr>
                <w:sz w:val="20"/>
              </w:rPr>
              <w:t>ABC Service Organization accountant prepares a monthly reconciliation of payroll disbursements</w:t>
            </w:r>
            <w:r w:rsidRPr="00EC20A0">
              <w:rPr>
                <w:spacing w:val="-3"/>
                <w:sz w:val="20"/>
              </w:rPr>
              <w:t xml:space="preserve"> </w:t>
            </w:r>
            <w:r w:rsidRPr="00EC20A0">
              <w:rPr>
                <w:sz w:val="20"/>
              </w:rPr>
              <w:t>recorded</w:t>
            </w:r>
            <w:r w:rsidRPr="00EC20A0">
              <w:rPr>
                <w:spacing w:val="-4"/>
                <w:sz w:val="20"/>
              </w:rPr>
              <w:t xml:space="preserve"> </w:t>
            </w:r>
            <w:r w:rsidRPr="00EC20A0">
              <w:rPr>
                <w:sz w:val="20"/>
              </w:rPr>
              <w:t>in</w:t>
            </w:r>
            <w:r w:rsidRPr="00EC20A0">
              <w:rPr>
                <w:spacing w:val="-4"/>
                <w:sz w:val="20"/>
              </w:rPr>
              <w:t xml:space="preserve"> </w:t>
            </w:r>
            <w:r w:rsidRPr="00EC20A0">
              <w:rPr>
                <w:sz w:val="20"/>
              </w:rPr>
              <w:t>XXX</w:t>
            </w:r>
            <w:r w:rsidRPr="00EC20A0">
              <w:rPr>
                <w:spacing w:val="-4"/>
                <w:sz w:val="20"/>
              </w:rPr>
              <w:t xml:space="preserve"> </w:t>
            </w:r>
            <w:r w:rsidRPr="00EC20A0">
              <w:rPr>
                <w:sz w:val="20"/>
              </w:rPr>
              <w:t>IT</w:t>
            </w:r>
            <w:r w:rsidRPr="00EC20A0">
              <w:rPr>
                <w:spacing w:val="-4"/>
                <w:sz w:val="20"/>
              </w:rPr>
              <w:t xml:space="preserve"> </w:t>
            </w:r>
            <w:r w:rsidRPr="00EC20A0">
              <w:rPr>
                <w:sz w:val="20"/>
              </w:rPr>
              <w:t>System</w:t>
            </w:r>
            <w:r w:rsidRPr="00EC20A0">
              <w:rPr>
                <w:spacing w:val="-4"/>
                <w:sz w:val="20"/>
              </w:rPr>
              <w:t xml:space="preserve"> </w:t>
            </w:r>
            <w:r w:rsidRPr="00EC20A0">
              <w:rPr>
                <w:sz w:val="20"/>
              </w:rPr>
              <w:t>and</w:t>
            </w:r>
            <w:r w:rsidRPr="00EC20A0">
              <w:rPr>
                <w:spacing w:val="-4"/>
                <w:sz w:val="20"/>
              </w:rPr>
              <w:t xml:space="preserve"> </w:t>
            </w:r>
            <w:r w:rsidRPr="00EC20A0">
              <w:rPr>
                <w:sz w:val="20"/>
              </w:rPr>
              <w:t>the</w:t>
            </w:r>
            <w:r w:rsidRPr="00EC20A0">
              <w:rPr>
                <w:spacing w:val="-4"/>
                <w:sz w:val="20"/>
              </w:rPr>
              <w:t xml:space="preserve"> </w:t>
            </w:r>
            <w:r w:rsidRPr="00EC20A0">
              <w:rPr>
                <w:sz w:val="20"/>
              </w:rPr>
              <w:t>reconciliation</w:t>
            </w:r>
            <w:r w:rsidRPr="00EC20A0">
              <w:rPr>
                <w:spacing w:val="-4"/>
                <w:sz w:val="20"/>
              </w:rPr>
              <w:t xml:space="preserve"> </w:t>
            </w:r>
            <w:r w:rsidRPr="00EC20A0">
              <w:rPr>
                <w:sz w:val="20"/>
              </w:rPr>
              <w:t>is</w:t>
            </w:r>
            <w:r w:rsidRPr="00EC20A0">
              <w:rPr>
                <w:spacing w:val="-3"/>
                <w:sz w:val="20"/>
              </w:rPr>
              <w:t xml:space="preserve"> </w:t>
            </w:r>
            <w:r w:rsidRPr="00EC20A0">
              <w:rPr>
                <w:sz w:val="20"/>
              </w:rPr>
              <w:t>reviewed</w:t>
            </w:r>
            <w:r w:rsidRPr="00EC20A0">
              <w:rPr>
                <w:spacing w:val="-4"/>
                <w:sz w:val="20"/>
              </w:rPr>
              <w:t xml:space="preserve"> </w:t>
            </w:r>
            <w:r w:rsidRPr="00EC20A0">
              <w:rPr>
                <w:sz w:val="20"/>
              </w:rPr>
              <w:t>and</w:t>
            </w:r>
            <w:r w:rsidRPr="00EC20A0">
              <w:rPr>
                <w:spacing w:val="-5"/>
                <w:sz w:val="20"/>
              </w:rPr>
              <w:t xml:space="preserve"> </w:t>
            </w:r>
            <w:r w:rsidRPr="00EC20A0">
              <w:rPr>
                <w:sz w:val="20"/>
              </w:rPr>
              <w:t>approved by the ABC Service Organization manager.</w:t>
            </w:r>
          </w:p>
        </w:tc>
      </w:tr>
    </w:tbl>
    <w:p w14:paraId="24D60197" w14:textId="77777777" w:rsidR="00245300" w:rsidRPr="00EC20A0" w:rsidRDefault="00245300">
      <w:pPr>
        <w:rPr>
          <w:sz w:val="20"/>
        </w:rPr>
        <w:sectPr w:rsidR="00245300" w:rsidRPr="00EC20A0">
          <w:pgSz w:w="12240" w:h="15840"/>
          <w:pgMar w:top="1340" w:right="940" w:bottom="940" w:left="1020" w:header="721" w:footer="757" w:gutter="0"/>
          <w:cols w:space="720"/>
        </w:sectPr>
      </w:pPr>
    </w:p>
    <w:p w14:paraId="24D60198" w14:textId="77777777" w:rsidR="00245300" w:rsidRPr="00EC20A0" w:rsidRDefault="00F17249">
      <w:pPr>
        <w:spacing w:before="241"/>
        <w:ind w:left="420"/>
        <w:rPr>
          <w:b/>
          <w:sz w:val="24"/>
        </w:rPr>
      </w:pPr>
      <w:r w:rsidRPr="00EC20A0">
        <w:rPr>
          <w:b/>
          <w:sz w:val="24"/>
        </w:rPr>
        <w:t>VIII.</w:t>
      </w:r>
      <w:r w:rsidRPr="00EC20A0">
        <w:rPr>
          <w:b/>
          <w:spacing w:val="29"/>
          <w:sz w:val="24"/>
        </w:rPr>
        <w:t xml:space="preserve">  </w:t>
      </w:r>
      <w:r w:rsidRPr="00EC20A0">
        <w:rPr>
          <w:b/>
          <w:sz w:val="24"/>
        </w:rPr>
        <w:t>Observations</w:t>
      </w:r>
      <w:r w:rsidRPr="00EC20A0">
        <w:rPr>
          <w:b/>
          <w:spacing w:val="-1"/>
          <w:sz w:val="24"/>
        </w:rPr>
        <w:t xml:space="preserve"> </w:t>
      </w:r>
      <w:r w:rsidRPr="00EC20A0">
        <w:rPr>
          <w:b/>
          <w:sz w:val="24"/>
        </w:rPr>
        <w:t>and</w:t>
      </w:r>
      <w:r w:rsidRPr="00EC20A0">
        <w:rPr>
          <w:b/>
          <w:spacing w:val="-2"/>
          <w:sz w:val="24"/>
        </w:rPr>
        <w:t xml:space="preserve"> Conclusions</w:t>
      </w:r>
    </w:p>
    <w:p w14:paraId="24D60199" w14:textId="77777777" w:rsidR="00245300" w:rsidRPr="00EC20A0" w:rsidRDefault="00F17249">
      <w:pPr>
        <w:spacing w:before="239"/>
        <w:ind w:left="419" w:right="562"/>
        <w:rPr>
          <w:sz w:val="18"/>
        </w:rPr>
      </w:pPr>
      <w:r w:rsidRPr="00EC20A0">
        <w:rPr>
          <w:sz w:val="18"/>
        </w:rPr>
        <w:t xml:space="preserve">The questions in this section are to be answered “yes,” “no,” or “N/A” (not applicable). For any “no” </w:t>
      </w:r>
      <w:r w:rsidRPr="00EC20A0">
        <w:rPr>
          <w:sz w:val="18"/>
        </w:rPr>
        <w:t>responses, provide an explanation in the space provided at the end of this assessment tool to support the auditor’s assessment of</w:t>
      </w:r>
      <w:r w:rsidRPr="00EC20A0">
        <w:rPr>
          <w:spacing w:val="-2"/>
          <w:sz w:val="18"/>
        </w:rPr>
        <w:t xml:space="preserve"> </w:t>
      </w:r>
      <w:r w:rsidRPr="00EC20A0">
        <w:rPr>
          <w:sz w:val="18"/>
        </w:rPr>
        <w:t>the</w:t>
      </w:r>
      <w:r w:rsidRPr="00EC20A0">
        <w:rPr>
          <w:spacing w:val="-3"/>
          <w:sz w:val="18"/>
        </w:rPr>
        <w:t xml:space="preserve"> </w:t>
      </w:r>
      <w:r w:rsidRPr="00EC20A0">
        <w:rPr>
          <w:sz w:val="18"/>
        </w:rPr>
        <w:t>effect</w:t>
      </w:r>
      <w:r w:rsidRPr="00EC20A0">
        <w:rPr>
          <w:spacing w:val="-2"/>
          <w:sz w:val="18"/>
        </w:rPr>
        <w:t xml:space="preserve"> </w:t>
      </w:r>
      <w:r w:rsidRPr="00EC20A0">
        <w:rPr>
          <w:sz w:val="18"/>
        </w:rPr>
        <w:t>of</w:t>
      </w:r>
      <w:r w:rsidRPr="00EC20A0">
        <w:rPr>
          <w:spacing w:val="-3"/>
          <w:sz w:val="18"/>
        </w:rPr>
        <w:t xml:space="preserve"> </w:t>
      </w:r>
      <w:r w:rsidRPr="00EC20A0">
        <w:rPr>
          <w:sz w:val="18"/>
        </w:rPr>
        <w:t>the</w:t>
      </w:r>
      <w:r w:rsidRPr="00EC20A0">
        <w:rPr>
          <w:spacing w:val="-2"/>
          <w:sz w:val="18"/>
        </w:rPr>
        <w:t xml:space="preserve"> </w:t>
      </w:r>
      <w:r w:rsidRPr="00EC20A0">
        <w:rPr>
          <w:sz w:val="18"/>
        </w:rPr>
        <w:t>“no”</w:t>
      </w:r>
      <w:r w:rsidRPr="00EC20A0">
        <w:rPr>
          <w:spacing w:val="-2"/>
          <w:sz w:val="18"/>
        </w:rPr>
        <w:t xml:space="preserve"> </w:t>
      </w:r>
      <w:r w:rsidRPr="00EC20A0">
        <w:rPr>
          <w:sz w:val="18"/>
        </w:rPr>
        <w:t>response</w:t>
      </w:r>
      <w:r w:rsidRPr="00EC20A0">
        <w:rPr>
          <w:spacing w:val="-3"/>
          <w:sz w:val="18"/>
        </w:rPr>
        <w:t xml:space="preserve"> </w:t>
      </w:r>
      <w:r w:rsidRPr="00EC20A0">
        <w:rPr>
          <w:sz w:val="18"/>
        </w:rPr>
        <w:t>on</w:t>
      </w:r>
      <w:r w:rsidRPr="00EC20A0">
        <w:rPr>
          <w:spacing w:val="-2"/>
          <w:sz w:val="18"/>
        </w:rPr>
        <w:t xml:space="preserve"> </w:t>
      </w:r>
      <w:r w:rsidRPr="00EC20A0">
        <w:rPr>
          <w:sz w:val="18"/>
        </w:rPr>
        <w:t>the</w:t>
      </w:r>
      <w:r w:rsidRPr="00EC20A0">
        <w:rPr>
          <w:spacing w:val="-3"/>
          <w:sz w:val="18"/>
        </w:rPr>
        <w:t xml:space="preserve"> </w:t>
      </w:r>
      <w:r w:rsidRPr="00EC20A0">
        <w:rPr>
          <w:sz w:val="18"/>
        </w:rPr>
        <w:t>audit.</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may</w:t>
      </w:r>
      <w:r w:rsidRPr="00EC20A0">
        <w:rPr>
          <w:spacing w:val="-2"/>
          <w:sz w:val="18"/>
        </w:rPr>
        <w:t xml:space="preserve"> </w:t>
      </w:r>
      <w:r w:rsidRPr="00EC20A0">
        <w:rPr>
          <w:sz w:val="18"/>
        </w:rPr>
        <w:t>also</w:t>
      </w:r>
      <w:r w:rsidRPr="00EC20A0">
        <w:rPr>
          <w:spacing w:val="-2"/>
          <w:sz w:val="18"/>
        </w:rPr>
        <w:t xml:space="preserve"> </w:t>
      </w:r>
      <w:r w:rsidRPr="00EC20A0">
        <w:rPr>
          <w:sz w:val="18"/>
        </w:rPr>
        <w:t>use</w:t>
      </w:r>
      <w:r w:rsidRPr="00EC20A0">
        <w:rPr>
          <w:spacing w:val="-3"/>
          <w:sz w:val="18"/>
        </w:rPr>
        <w:t xml:space="preserve"> </w:t>
      </w:r>
      <w:r w:rsidRPr="00EC20A0">
        <w:rPr>
          <w:sz w:val="18"/>
        </w:rPr>
        <w:t>this</w:t>
      </w:r>
      <w:r w:rsidRPr="00EC20A0">
        <w:rPr>
          <w:spacing w:val="-2"/>
          <w:sz w:val="18"/>
        </w:rPr>
        <w:t xml:space="preserve"> </w:t>
      </w:r>
      <w:r w:rsidRPr="00EC20A0">
        <w:rPr>
          <w:sz w:val="18"/>
        </w:rPr>
        <w:t>space</w:t>
      </w:r>
      <w:r w:rsidRPr="00EC20A0">
        <w:rPr>
          <w:spacing w:val="-3"/>
          <w:sz w:val="18"/>
        </w:rPr>
        <w:t xml:space="preserve"> </w:t>
      </w:r>
      <w:r w:rsidRPr="00EC20A0">
        <w:rPr>
          <w:sz w:val="18"/>
        </w:rPr>
        <w:t>to</w:t>
      </w:r>
      <w:r w:rsidRPr="00EC20A0">
        <w:rPr>
          <w:spacing w:val="-3"/>
          <w:sz w:val="18"/>
        </w:rPr>
        <w:t xml:space="preserve"> </w:t>
      </w:r>
      <w:r w:rsidRPr="00EC20A0">
        <w:rPr>
          <w:sz w:val="18"/>
        </w:rPr>
        <w:t>explain</w:t>
      </w:r>
      <w:r w:rsidRPr="00EC20A0">
        <w:rPr>
          <w:spacing w:val="-2"/>
          <w:sz w:val="18"/>
        </w:rPr>
        <w:t xml:space="preserve"> </w:t>
      </w:r>
      <w:r w:rsidRPr="00EC20A0">
        <w:rPr>
          <w:sz w:val="18"/>
        </w:rPr>
        <w:t>other</w:t>
      </w:r>
      <w:r w:rsidRPr="00EC20A0">
        <w:rPr>
          <w:spacing w:val="-2"/>
          <w:sz w:val="18"/>
        </w:rPr>
        <w:t xml:space="preserve"> </w:t>
      </w:r>
      <w:r w:rsidRPr="00EC20A0">
        <w:rPr>
          <w:sz w:val="18"/>
        </w:rPr>
        <w:t>responses</w:t>
      </w:r>
      <w:r w:rsidRPr="00EC20A0">
        <w:rPr>
          <w:spacing w:val="-2"/>
          <w:sz w:val="18"/>
        </w:rPr>
        <w:t xml:space="preserve"> </w:t>
      </w:r>
      <w:r w:rsidRPr="00EC20A0">
        <w:rPr>
          <w:sz w:val="18"/>
        </w:rPr>
        <w:t>and</w:t>
      </w:r>
      <w:r w:rsidRPr="00EC20A0">
        <w:rPr>
          <w:spacing w:val="-3"/>
          <w:sz w:val="18"/>
        </w:rPr>
        <w:t xml:space="preserve"> </w:t>
      </w:r>
      <w:r w:rsidRPr="00EC20A0">
        <w:rPr>
          <w:sz w:val="18"/>
        </w:rPr>
        <w:t xml:space="preserve">to note </w:t>
      </w:r>
      <w:r w:rsidRPr="00EC20A0">
        <w:rPr>
          <w:sz w:val="18"/>
        </w:rPr>
        <w:t>additional observations.</w:t>
      </w:r>
    </w:p>
    <w:p w14:paraId="24D6019A" w14:textId="77777777" w:rsidR="00245300" w:rsidRPr="00EC20A0" w:rsidRDefault="00245300">
      <w:pPr>
        <w:pStyle w:val="BodyText"/>
        <w:spacing w:before="20" w:after="1"/>
        <w:rPr>
          <w:sz w:val="20"/>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245300" w:rsidRPr="00EC20A0" w14:paraId="24D601A3" w14:textId="77777777">
        <w:trPr>
          <w:trHeight w:val="860"/>
        </w:trPr>
        <w:tc>
          <w:tcPr>
            <w:tcW w:w="6091" w:type="dxa"/>
            <w:tcBorders>
              <w:right w:val="single" w:sz="4" w:space="0" w:color="000000"/>
            </w:tcBorders>
          </w:tcPr>
          <w:p w14:paraId="24D6019B" w14:textId="77777777" w:rsidR="00245300" w:rsidRPr="00EC20A0" w:rsidRDefault="00245300">
            <w:pPr>
              <w:pStyle w:val="TableParagraph"/>
              <w:rPr>
                <w:sz w:val="18"/>
              </w:rPr>
            </w:pPr>
          </w:p>
          <w:p w14:paraId="24D6019C" w14:textId="77777777" w:rsidR="00245300" w:rsidRPr="00EC20A0" w:rsidRDefault="00245300">
            <w:pPr>
              <w:pStyle w:val="TableParagraph"/>
              <w:spacing w:before="121"/>
              <w:rPr>
                <w:sz w:val="18"/>
              </w:rPr>
            </w:pPr>
          </w:p>
          <w:p w14:paraId="24D6019D" w14:textId="77777777" w:rsidR="00245300" w:rsidRPr="00EC20A0" w:rsidRDefault="00F17249">
            <w:pPr>
              <w:pStyle w:val="TableParagraph"/>
              <w:ind w:left="105"/>
              <w:rPr>
                <w:b/>
                <w:sz w:val="18"/>
              </w:rPr>
            </w:pPr>
            <w:r w:rsidRPr="00EC20A0">
              <w:rPr>
                <w:b/>
                <w:spacing w:val="-2"/>
                <w:sz w:val="18"/>
              </w:rPr>
              <w:t>Questions</w:t>
            </w:r>
          </w:p>
        </w:tc>
        <w:tc>
          <w:tcPr>
            <w:tcW w:w="720" w:type="dxa"/>
            <w:tcBorders>
              <w:left w:val="single" w:sz="4" w:space="0" w:color="000000"/>
              <w:right w:val="single" w:sz="4" w:space="0" w:color="000000"/>
            </w:tcBorders>
          </w:tcPr>
          <w:p w14:paraId="24D6019E" w14:textId="77777777" w:rsidR="00245300" w:rsidRPr="00EC20A0" w:rsidRDefault="00F17249">
            <w:pPr>
              <w:pStyle w:val="TableParagraph"/>
              <w:spacing w:before="119"/>
              <w:ind w:left="205" w:right="164" w:hanging="30"/>
              <w:jc w:val="both"/>
              <w:rPr>
                <w:b/>
                <w:sz w:val="18"/>
              </w:rPr>
            </w:pPr>
            <w:r w:rsidRPr="00EC20A0">
              <w:rPr>
                <w:b/>
                <w:spacing w:val="-4"/>
                <w:sz w:val="18"/>
              </w:rPr>
              <w:t xml:space="preserve">Yes, No, </w:t>
            </w:r>
            <w:r w:rsidRPr="00EC20A0">
              <w:rPr>
                <w:b/>
                <w:spacing w:val="-5"/>
                <w:sz w:val="18"/>
              </w:rPr>
              <w:t>N/A</w:t>
            </w:r>
          </w:p>
        </w:tc>
        <w:tc>
          <w:tcPr>
            <w:tcW w:w="1080" w:type="dxa"/>
            <w:tcBorders>
              <w:left w:val="single" w:sz="4" w:space="0" w:color="000000"/>
              <w:right w:val="single" w:sz="4" w:space="0" w:color="000000"/>
            </w:tcBorders>
          </w:tcPr>
          <w:p w14:paraId="24D6019F" w14:textId="77777777" w:rsidR="00245300" w:rsidRPr="00EC20A0" w:rsidRDefault="00245300">
            <w:pPr>
              <w:pStyle w:val="TableParagraph"/>
              <w:spacing w:before="119"/>
              <w:rPr>
                <w:sz w:val="18"/>
              </w:rPr>
            </w:pPr>
          </w:p>
          <w:p w14:paraId="24D601A0" w14:textId="77777777" w:rsidR="00245300" w:rsidRPr="00EC20A0" w:rsidRDefault="00F17249">
            <w:pPr>
              <w:pStyle w:val="TableParagraph"/>
              <w:ind w:left="168" w:firstLine="85"/>
              <w:rPr>
                <w:b/>
                <w:sz w:val="18"/>
              </w:rPr>
            </w:pPr>
            <w:r w:rsidRPr="00EC20A0">
              <w:rPr>
                <w:b/>
                <w:spacing w:val="-2"/>
                <w:sz w:val="18"/>
              </w:rPr>
              <w:t xml:space="preserve">Initials </w:t>
            </w:r>
            <w:r w:rsidRPr="00EC20A0">
              <w:rPr>
                <w:b/>
                <w:sz w:val="18"/>
              </w:rPr>
              <w:t>and</w:t>
            </w:r>
            <w:r w:rsidRPr="00EC20A0">
              <w:rPr>
                <w:b/>
                <w:spacing w:val="-1"/>
                <w:sz w:val="18"/>
              </w:rPr>
              <w:t xml:space="preserve"> </w:t>
            </w:r>
            <w:r w:rsidRPr="00EC20A0">
              <w:rPr>
                <w:b/>
                <w:spacing w:val="-4"/>
                <w:sz w:val="18"/>
              </w:rPr>
              <w:t>date</w:t>
            </w:r>
          </w:p>
        </w:tc>
        <w:tc>
          <w:tcPr>
            <w:tcW w:w="1379" w:type="dxa"/>
            <w:tcBorders>
              <w:left w:val="single" w:sz="4" w:space="0" w:color="000000"/>
            </w:tcBorders>
          </w:tcPr>
          <w:p w14:paraId="24D601A1" w14:textId="77777777" w:rsidR="00245300" w:rsidRPr="00EC20A0" w:rsidRDefault="00245300">
            <w:pPr>
              <w:pStyle w:val="TableParagraph"/>
              <w:spacing w:before="119"/>
              <w:rPr>
                <w:sz w:val="18"/>
              </w:rPr>
            </w:pPr>
          </w:p>
          <w:p w14:paraId="24D601A2" w14:textId="77777777" w:rsidR="00245300" w:rsidRPr="00EC20A0" w:rsidRDefault="00F17249">
            <w:pPr>
              <w:pStyle w:val="TableParagraph"/>
              <w:ind w:left="233" w:firstLine="14"/>
              <w:rPr>
                <w:b/>
                <w:sz w:val="18"/>
              </w:rPr>
            </w:pPr>
            <w:r w:rsidRPr="00EC20A0">
              <w:rPr>
                <w:b/>
                <w:sz w:val="18"/>
              </w:rPr>
              <w:t>Audit</w:t>
            </w:r>
            <w:r w:rsidRPr="00EC20A0">
              <w:rPr>
                <w:b/>
                <w:spacing w:val="-13"/>
                <w:sz w:val="18"/>
              </w:rPr>
              <w:t xml:space="preserve"> </w:t>
            </w:r>
            <w:r w:rsidRPr="00EC20A0">
              <w:rPr>
                <w:b/>
                <w:sz w:val="18"/>
              </w:rPr>
              <w:t xml:space="preserve">doc. </w:t>
            </w:r>
            <w:r w:rsidRPr="00EC20A0">
              <w:rPr>
                <w:b/>
                <w:spacing w:val="-2"/>
                <w:sz w:val="18"/>
              </w:rPr>
              <w:t>references</w:t>
            </w:r>
          </w:p>
        </w:tc>
      </w:tr>
      <w:tr w:rsidR="00245300" w:rsidRPr="00EC20A0" w14:paraId="24D601A5" w14:textId="77777777">
        <w:trPr>
          <w:trHeight w:val="448"/>
        </w:trPr>
        <w:tc>
          <w:tcPr>
            <w:tcW w:w="9270" w:type="dxa"/>
            <w:gridSpan w:val="4"/>
            <w:tcBorders>
              <w:bottom w:val="single" w:sz="4" w:space="0" w:color="000000"/>
            </w:tcBorders>
            <w:shd w:val="clear" w:color="auto" w:fill="D9D9D9"/>
          </w:tcPr>
          <w:p w14:paraId="24D601A4" w14:textId="77777777" w:rsidR="00245300" w:rsidRPr="00EC20A0" w:rsidRDefault="00F17249">
            <w:pPr>
              <w:pStyle w:val="TableParagraph"/>
              <w:spacing w:before="121"/>
              <w:ind w:left="105"/>
              <w:rPr>
                <w:b/>
                <w:sz w:val="18"/>
              </w:rPr>
            </w:pPr>
            <w:r w:rsidRPr="00EC20A0">
              <w:rPr>
                <w:b/>
                <w:sz w:val="18"/>
              </w:rPr>
              <w:t>Assess</w:t>
            </w:r>
            <w:r w:rsidRPr="00EC20A0">
              <w:rPr>
                <w:b/>
                <w:spacing w:val="-5"/>
                <w:sz w:val="18"/>
              </w:rPr>
              <w:t xml:space="preserve"> </w:t>
            </w:r>
            <w:r w:rsidRPr="00EC20A0">
              <w:rPr>
                <w:b/>
                <w:sz w:val="18"/>
              </w:rPr>
              <w:t>the</w:t>
            </w:r>
            <w:r w:rsidRPr="00EC20A0">
              <w:rPr>
                <w:b/>
                <w:spacing w:val="-3"/>
                <w:sz w:val="18"/>
              </w:rPr>
              <w:t xml:space="preserve"> </w:t>
            </w:r>
            <w:r w:rsidRPr="00EC20A0">
              <w:rPr>
                <w:b/>
                <w:sz w:val="18"/>
              </w:rPr>
              <w:t>adequacy</w:t>
            </w:r>
            <w:r w:rsidRPr="00EC20A0">
              <w:rPr>
                <w:b/>
                <w:spacing w:val="-1"/>
                <w:sz w:val="18"/>
              </w:rPr>
              <w:t xml:space="preserve"> </w:t>
            </w:r>
            <w:r w:rsidRPr="00EC20A0">
              <w:rPr>
                <w:b/>
                <w:sz w:val="18"/>
              </w:rPr>
              <w:t>of</w:t>
            </w:r>
            <w:r w:rsidRPr="00EC20A0">
              <w:rPr>
                <w:b/>
                <w:spacing w:val="-2"/>
                <w:sz w:val="18"/>
              </w:rPr>
              <w:t xml:space="preserve"> </w:t>
            </w:r>
            <w:r w:rsidRPr="00EC20A0">
              <w:rPr>
                <w:b/>
                <w:sz w:val="18"/>
              </w:rPr>
              <w:t>the</w:t>
            </w:r>
            <w:r w:rsidRPr="00EC20A0">
              <w:rPr>
                <w:b/>
                <w:spacing w:val="-2"/>
                <w:sz w:val="18"/>
              </w:rPr>
              <w:t xml:space="preserve"> </w:t>
            </w:r>
            <w:r w:rsidRPr="00EC20A0">
              <w:rPr>
                <w:b/>
                <w:sz w:val="18"/>
              </w:rPr>
              <w:t>standards</w:t>
            </w:r>
            <w:r w:rsidRPr="00EC20A0">
              <w:rPr>
                <w:b/>
                <w:spacing w:val="-3"/>
                <w:sz w:val="18"/>
              </w:rPr>
              <w:t xml:space="preserve"> </w:t>
            </w:r>
            <w:r w:rsidRPr="00EC20A0">
              <w:rPr>
                <w:b/>
                <w:sz w:val="18"/>
              </w:rPr>
              <w:t>under</w:t>
            </w:r>
            <w:r w:rsidRPr="00EC20A0">
              <w:rPr>
                <w:b/>
                <w:spacing w:val="-2"/>
                <w:sz w:val="18"/>
              </w:rPr>
              <w:t xml:space="preserve"> </w:t>
            </w:r>
            <w:r w:rsidRPr="00EC20A0">
              <w:rPr>
                <w:b/>
                <w:sz w:val="18"/>
              </w:rPr>
              <w:t>which</w:t>
            </w:r>
            <w:r w:rsidRPr="00EC20A0">
              <w:rPr>
                <w:b/>
                <w:spacing w:val="-2"/>
                <w:sz w:val="18"/>
              </w:rPr>
              <w:t xml:space="preserve"> </w:t>
            </w:r>
            <w:r w:rsidRPr="00EC20A0">
              <w:rPr>
                <w:b/>
                <w:sz w:val="18"/>
              </w:rPr>
              <w:t>the</w:t>
            </w:r>
            <w:r w:rsidRPr="00EC20A0">
              <w:rPr>
                <w:b/>
                <w:spacing w:val="-3"/>
                <w:sz w:val="18"/>
              </w:rPr>
              <w:t xml:space="preserve"> </w:t>
            </w:r>
            <w:r w:rsidRPr="00EC20A0">
              <w:rPr>
                <w:b/>
                <w:sz w:val="18"/>
              </w:rPr>
              <w:t>type</w:t>
            </w:r>
            <w:r w:rsidRPr="00EC20A0">
              <w:rPr>
                <w:b/>
                <w:spacing w:val="-3"/>
                <w:sz w:val="18"/>
              </w:rPr>
              <w:t xml:space="preserve"> </w:t>
            </w:r>
            <w:r w:rsidRPr="00EC20A0">
              <w:rPr>
                <w:b/>
                <w:sz w:val="18"/>
              </w:rPr>
              <w:t>2</w:t>
            </w:r>
            <w:r w:rsidRPr="00EC20A0">
              <w:rPr>
                <w:b/>
                <w:spacing w:val="-1"/>
                <w:sz w:val="18"/>
              </w:rPr>
              <w:t xml:space="preserve"> </w:t>
            </w:r>
            <w:r w:rsidRPr="00EC20A0">
              <w:rPr>
                <w:b/>
                <w:sz w:val="18"/>
              </w:rPr>
              <w:t>report</w:t>
            </w:r>
            <w:r w:rsidRPr="00EC20A0">
              <w:rPr>
                <w:b/>
                <w:spacing w:val="-2"/>
                <w:sz w:val="18"/>
              </w:rPr>
              <w:t xml:space="preserve"> </w:t>
            </w:r>
            <w:r w:rsidRPr="00EC20A0">
              <w:rPr>
                <w:b/>
                <w:sz w:val="18"/>
              </w:rPr>
              <w:t>was</w:t>
            </w:r>
            <w:r w:rsidRPr="00EC20A0">
              <w:rPr>
                <w:b/>
                <w:spacing w:val="-2"/>
                <w:sz w:val="18"/>
              </w:rPr>
              <w:t xml:space="preserve"> issued</w:t>
            </w:r>
          </w:p>
        </w:tc>
      </w:tr>
      <w:tr w:rsidR="00245300" w:rsidRPr="00EC20A0" w14:paraId="24D601AB" w14:textId="77777777">
        <w:trPr>
          <w:trHeight w:val="1601"/>
        </w:trPr>
        <w:tc>
          <w:tcPr>
            <w:tcW w:w="6091" w:type="dxa"/>
            <w:tcBorders>
              <w:top w:val="single" w:sz="4" w:space="0" w:color="000000"/>
              <w:bottom w:val="single" w:sz="4" w:space="0" w:color="000000"/>
              <w:right w:val="single" w:sz="4" w:space="0" w:color="000000"/>
            </w:tcBorders>
          </w:tcPr>
          <w:p w14:paraId="24D601A6" w14:textId="77777777" w:rsidR="00245300" w:rsidRPr="00EC20A0" w:rsidRDefault="00F17249">
            <w:pPr>
              <w:pStyle w:val="TableParagraph"/>
              <w:spacing w:before="119"/>
              <w:ind w:left="405" w:right="179" w:hanging="301"/>
              <w:rPr>
                <w:sz w:val="18"/>
              </w:rPr>
            </w:pPr>
            <w:r w:rsidRPr="00EC20A0">
              <w:rPr>
                <w:sz w:val="18"/>
              </w:rPr>
              <w:t>1)</w:t>
            </w:r>
            <w:r w:rsidRPr="00EC20A0">
              <w:rPr>
                <w:spacing w:val="80"/>
                <w:sz w:val="18"/>
              </w:rPr>
              <w:t xml:space="preserve"> </w:t>
            </w:r>
            <w:r w:rsidRPr="00EC20A0">
              <w:rPr>
                <w:sz w:val="18"/>
              </w:rPr>
              <w:t>Did</w:t>
            </w:r>
            <w:r w:rsidRPr="00EC20A0">
              <w:rPr>
                <w:spacing w:val="-4"/>
                <w:sz w:val="18"/>
              </w:rPr>
              <w:t xml:space="preserve"> </w:t>
            </w:r>
            <w:r w:rsidRPr="00EC20A0">
              <w:rPr>
                <w:sz w:val="18"/>
              </w:rPr>
              <w:t>the</w:t>
            </w:r>
            <w:r w:rsidRPr="00EC20A0">
              <w:rPr>
                <w:spacing w:val="-4"/>
                <w:sz w:val="18"/>
              </w:rPr>
              <w:t xml:space="preserve"> </w:t>
            </w:r>
            <w:r w:rsidRPr="00EC20A0">
              <w:rPr>
                <w:sz w:val="18"/>
              </w:rPr>
              <w:t>auditor</w:t>
            </w:r>
            <w:r w:rsidRPr="00EC20A0">
              <w:rPr>
                <w:spacing w:val="-3"/>
                <w:sz w:val="18"/>
              </w:rPr>
              <w:t xml:space="preserve"> </w:t>
            </w:r>
            <w:r w:rsidRPr="00EC20A0">
              <w:rPr>
                <w:sz w:val="18"/>
              </w:rPr>
              <w:t>determine</w:t>
            </w:r>
            <w:r w:rsidRPr="00EC20A0">
              <w:rPr>
                <w:spacing w:val="-4"/>
                <w:sz w:val="18"/>
              </w:rPr>
              <w:t xml:space="preserve"> </w:t>
            </w:r>
            <w:r w:rsidRPr="00EC20A0">
              <w:rPr>
                <w:sz w:val="18"/>
              </w:rPr>
              <w:t>that</w:t>
            </w:r>
            <w:r w:rsidRPr="00EC20A0">
              <w:rPr>
                <w:spacing w:val="-2"/>
                <w:sz w:val="18"/>
              </w:rPr>
              <w:t xml:space="preserve"> </w:t>
            </w:r>
            <w:r w:rsidRPr="00EC20A0">
              <w:rPr>
                <w:sz w:val="18"/>
              </w:rPr>
              <w:t>the</w:t>
            </w:r>
            <w:r w:rsidRPr="00EC20A0">
              <w:rPr>
                <w:spacing w:val="-4"/>
                <w:sz w:val="18"/>
              </w:rPr>
              <w:t xml:space="preserve"> </w:t>
            </w:r>
            <w:r w:rsidRPr="00EC20A0">
              <w:rPr>
                <w:sz w:val="18"/>
              </w:rPr>
              <w:t>standards</w:t>
            </w:r>
            <w:r w:rsidRPr="00EC20A0">
              <w:rPr>
                <w:spacing w:val="-2"/>
                <w:sz w:val="18"/>
              </w:rPr>
              <w:t xml:space="preserve"> </w:t>
            </w:r>
            <w:r w:rsidRPr="00EC20A0">
              <w:rPr>
                <w:sz w:val="18"/>
              </w:rPr>
              <w:t>under</w:t>
            </w:r>
            <w:r w:rsidRPr="00EC20A0">
              <w:rPr>
                <w:spacing w:val="-3"/>
                <w:sz w:val="18"/>
              </w:rPr>
              <w:t xml:space="preserve"> </w:t>
            </w:r>
            <w:r w:rsidRPr="00EC20A0">
              <w:rPr>
                <w:sz w:val="18"/>
              </w:rPr>
              <w:t>which</w:t>
            </w:r>
            <w:r w:rsidRPr="00EC20A0">
              <w:rPr>
                <w:spacing w:val="-4"/>
                <w:sz w:val="18"/>
              </w:rPr>
              <w:t xml:space="preserve"> </w:t>
            </w:r>
            <w:r w:rsidRPr="00EC20A0">
              <w:rPr>
                <w:sz w:val="18"/>
              </w:rPr>
              <w:t>the</w:t>
            </w:r>
            <w:r w:rsidRPr="00EC20A0">
              <w:rPr>
                <w:spacing w:val="-4"/>
                <w:sz w:val="18"/>
              </w:rPr>
              <w:t xml:space="preserve"> </w:t>
            </w:r>
            <w:r w:rsidRPr="00EC20A0">
              <w:rPr>
                <w:sz w:val="18"/>
              </w:rPr>
              <w:t xml:space="preserve">report was </w:t>
            </w:r>
            <w:r w:rsidRPr="00EC20A0">
              <w:rPr>
                <w:sz w:val="18"/>
              </w:rPr>
              <w:t>issued are adequate?</w:t>
            </w:r>
          </w:p>
          <w:p w14:paraId="24D601A7" w14:textId="77777777" w:rsidR="00245300" w:rsidRPr="00EC20A0" w:rsidRDefault="00F17249">
            <w:pPr>
              <w:pStyle w:val="TableParagraph"/>
              <w:spacing w:before="120"/>
              <w:ind w:left="404"/>
              <w:rPr>
                <w:sz w:val="18"/>
              </w:rPr>
            </w:pPr>
            <w:r w:rsidRPr="00EC20A0">
              <w:rPr>
                <w:sz w:val="18"/>
              </w:rPr>
              <w:t>If</w:t>
            </w:r>
            <w:r w:rsidRPr="00EC20A0">
              <w:rPr>
                <w:spacing w:val="-4"/>
                <w:sz w:val="18"/>
              </w:rPr>
              <w:t xml:space="preserve"> </w:t>
            </w:r>
            <w:r w:rsidRPr="00EC20A0">
              <w:rPr>
                <w:sz w:val="18"/>
              </w:rPr>
              <w:t>the</w:t>
            </w:r>
            <w:r w:rsidRPr="00EC20A0">
              <w:rPr>
                <w:spacing w:val="-5"/>
                <w:sz w:val="18"/>
              </w:rPr>
              <w:t xml:space="preserve"> </w:t>
            </w:r>
            <w:r w:rsidRPr="00EC20A0">
              <w:rPr>
                <w:sz w:val="18"/>
              </w:rPr>
              <w:t>report</w:t>
            </w:r>
            <w:r w:rsidRPr="00EC20A0">
              <w:rPr>
                <w:spacing w:val="-3"/>
                <w:sz w:val="18"/>
              </w:rPr>
              <w:t xml:space="preserve"> </w:t>
            </w:r>
            <w:r w:rsidRPr="00EC20A0">
              <w:rPr>
                <w:sz w:val="18"/>
              </w:rPr>
              <w:t>states</w:t>
            </w:r>
            <w:r w:rsidRPr="00EC20A0">
              <w:rPr>
                <w:spacing w:val="-4"/>
                <w:sz w:val="18"/>
              </w:rPr>
              <w:t xml:space="preserve"> </w:t>
            </w:r>
            <w:r w:rsidRPr="00EC20A0">
              <w:rPr>
                <w:sz w:val="18"/>
              </w:rPr>
              <w:t>that</w:t>
            </w:r>
            <w:r w:rsidRPr="00EC20A0">
              <w:rPr>
                <w:spacing w:val="-4"/>
                <w:sz w:val="18"/>
              </w:rPr>
              <w:t xml:space="preserve"> </w:t>
            </w:r>
            <w:r w:rsidRPr="00EC20A0">
              <w:rPr>
                <w:sz w:val="18"/>
              </w:rPr>
              <w:t>the</w:t>
            </w:r>
            <w:r w:rsidRPr="00EC20A0">
              <w:rPr>
                <w:spacing w:val="-4"/>
                <w:sz w:val="18"/>
              </w:rPr>
              <w:t xml:space="preserve"> </w:t>
            </w:r>
            <w:r w:rsidRPr="00EC20A0">
              <w:rPr>
                <w:sz w:val="18"/>
              </w:rPr>
              <w:t>examination</w:t>
            </w:r>
            <w:r w:rsidRPr="00EC20A0">
              <w:rPr>
                <w:spacing w:val="-5"/>
                <w:sz w:val="18"/>
              </w:rPr>
              <w:t xml:space="preserve"> </w:t>
            </w:r>
            <w:r w:rsidRPr="00EC20A0">
              <w:rPr>
                <w:sz w:val="18"/>
              </w:rPr>
              <w:t>was</w:t>
            </w:r>
            <w:r w:rsidRPr="00EC20A0">
              <w:rPr>
                <w:spacing w:val="-4"/>
                <w:sz w:val="18"/>
              </w:rPr>
              <w:t xml:space="preserve"> </w:t>
            </w:r>
            <w:r w:rsidRPr="00EC20A0">
              <w:rPr>
                <w:sz w:val="18"/>
              </w:rPr>
              <w:t>conducted</w:t>
            </w:r>
            <w:r w:rsidRPr="00EC20A0">
              <w:rPr>
                <w:spacing w:val="-5"/>
                <w:sz w:val="18"/>
              </w:rPr>
              <w:t xml:space="preserve"> </w:t>
            </w:r>
            <w:r w:rsidRPr="00EC20A0">
              <w:rPr>
                <w:sz w:val="18"/>
              </w:rPr>
              <w:t>in</w:t>
            </w:r>
            <w:r w:rsidRPr="00EC20A0">
              <w:rPr>
                <w:spacing w:val="-5"/>
                <w:sz w:val="18"/>
              </w:rPr>
              <w:t xml:space="preserve"> </w:t>
            </w:r>
            <w:r w:rsidRPr="00EC20A0">
              <w:rPr>
                <w:sz w:val="18"/>
              </w:rPr>
              <w:t xml:space="preserve">accordance with attestation standards established by the AICPA, answer “yes.” Otherwise, assess the adequacy of the standards under which the report was issued </w:t>
            </w:r>
            <w:r w:rsidRPr="00EC20A0">
              <w:rPr>
                <w:sz w:val="18"/>
              </w:rPr>
              <w:t>following guidance in AU-C 402.A21 and .A23.</w:t>
            </w:r>
          </w:p>
        </w:tc>
        <w:tc>
          <w:tcPr>
            <w:tcW w:w="720" w:type="dxa"/>
            <w:tcBorders>
              <w:top w:val="single" w:sz="4" w:space="0" w:color="000000"/>
              <w:left w:val="single" w:sz="4" w:space="0" w:color="000000"/>
              <w:bottom w:val="single" w:sz="4" w:space="0" w:color="000000"/>
              <w:right w:val="single" w:sz="4" w:space="0" w:color="000000"/>
            </w:tcBorders>
          </w:tcPr>
          <w:p w14:paraId="24D601A8"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A9"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AA" w14:textId="77777777" w:rsidR="00245300" w:rsidRPr="00EC20A0" w:rsidRDefault="00245300">
            <w:pPr>
              <w:pStyle w:val="TableParagraph"/>
              <w:rPr>
                <w:sz w:val="18"/>
              </w:rPr>
            </w:pPr>
          </w:p>
        </w:tc>
      </w:tr>
      <w:tr w:rsidR="00245300" w:rsidRPr="00EC20A0" w14:paraId="24D601AD" w14:textId="77777777">
        <w:trPr>
          <w:trHeight w:val="447"/>
        </w:trPr>
        <w:tc>
          <w:tcPr>
            <w:tcW w:w="9270" w:type="dxa"/>
            <w:gridSpan w:val="4"/>
            <w:tcBorders>
              <w:top w:val="single" w:sz="4" w:space="0" w:color="000000"/>
              <w:bottom w:val="single" w:sz="4" w:space="0" w:color="000000"/>
            </w:tcBorders>
            <w:shd w:val="clear" w:color="auto" w:fill="D9D9D9"/>
          </w:tcPr>
          <w:p w14:paraId="24D601AC" w14:textId="77777777" w:rsidR="00245300" w:rsidRPr="00EC20A0" w:rsidRDefault="00F17249">
            <w:pPr>
              <w:pStyle w:val="TableParagraph"/>
              <w:spacing w:before="120"/>
              <w:ind w:left="105"/>
              <w:rPr>
                <w:b/>
                <w:sz w:val="18"/>
              </w:rPr>
            </w:pPr>
            <w:r w:rsidRPr="00EC20A0">
              <w:rPr>
                <w:b/>
                <w:sz w:val="18"/>
              </w:rPr>
              <w:t>Assess</w:t>
            </w:r>
            <w:r w:rsidRPr="00EC20A0">
              <w:rPr>
                <w:b/>
                <w:spacing w:val="-6"/>
                <w:sz w:val="18"/>
              </w:rPr>
              <w:t xml:space="preserve"> </w:t>
            </w:r>
            <w:r w:rsidRPr="00EC20A0">
              <w:rPr>
                <w:b/>
                <w:sz w:val="18"/>
              </w:rPr>
              <w:t>the</w:t>
            </w:r>
            <w:r w:rsidRPr="00EC20A0">
              <w:rPr>
                <w:b/>
                <w:spacing w:val="-4"/>
                <w:sz w:val="18"/>
              </w:rPr>
              <w:t xml:space="preserve"> </w:t>
            </w:r>
            <w:r w:rsidRPr="00EC20A0">
              <w:rPr>
                <w:b/>
                <w:sz w:val="18"/>
              </w:rPr>
              <w:t>service</w:t>
            </w:r>
            <w:r w:rsidRPr="00EC20A0">
              <w:rPr>
                <w:b/>
                <w:spacing w:val="-4"/>
                <w:sz w:val="18"/>
              </w:rPr>
              <w:t xml:space="preserve"> </w:t>
            </w:r>
            <w:r w:rsidRPr="00EC20A0">
              <w:rPr>
                <w:b/>
                <w:sz w:val="18"/>
              </w:rPr>
              <w:t>auditor’s</w:t>
            </w:r>
            <w:r w:rsidRPr="00EC20A0">
              <w:rPr>
                <w:b/>
                <w:spacing w:val="-4"/>
                <w:sz w:val="18"/>
              </w:rPr>
              <w:t xml:space="preserve"> </w:t>
            </w:r>
            <w:r w:rsidRPr="00EC20A0">
              <w:rPr>
                <w:b/>
                <w:sz w:val="18"/>
              </w:rPr>
              <w:t>independence</w:t>
            </w:r>
            <w:r w:rsidRPr="00EC20A0">
              <w:rPr>
                <w:b/>
                <w:spacing w:val="-4"/>
                <w:sz w:val="18"/>
              </w:rPr>
              <w:t xml:space="preserve"> </w:t>
            </w:r>
            <w:r w:rsidRPr="00EC20A0">
              <w:rPr>
                <w:b/>
                <w:sz w:val="18"/>
              </w:rPr>
              <w:t>and</w:t>
            </w:r>
            <w:r w:rsidRPr="00EC20A0">
              <w:rPr>
                <w:b/>
                <w:spacing w:val="-3"/>
                <w:sz w:val="18"/>
              </w:rPr>
              <w:t xml:space="preserve"> </w:t>
            </w:r>
            <w:r w:rsidRPr="00EC20A0">
              <w:rPr>
                <w:b/>
                <w:sz w:val="18"/>
              </w:rPr>
              <w:t>professional</w:t>
            </w:r>
            <w:r w:rsidRPr="00EC20A0">
              <w:rPr>
                <w:b/>
                <w:spacing w:val="-2"/>
                <w:sz w:val="18"/>
              </w:rPr>
              <w:t xml:space="preserve"> competence</w:t>
            </w:r>
          </w:p>
        </w:tc>
      </w:tr>
      <w:tr w:rsidR="00245300" w:rsidRPr="00EC20A0" w14:paraId="24D601B3" w14:textId="77777777">
        <w:trPr>
          <w:trHeight w:val="2223"/>
        </w:trPr>
        <w:tc>
          <w:tcPr>
            <w:tcW w:w="6091" w:type="dxa"/>
            <w:tcBorders>
              <w:top w:val="single" w:sz="4" w:space="0" w:color="000000"/>
              <w:bottom w:val="single" w:sz="4" w:space="0" w:color="000000"/>
              <w:right w:val="single" w:sz="4" w:space="0" w:color="000000"/>
            </w:tcBorders>
          </w:tcPr>
          <w:p w14:paraId="24D601AE" w14:textId="77777777" w:rsidR="00245300" w:rsidRPr="00EC20A0" w:rsidRDefault="00F17249">
            <w:pPr>
              <w:pStyle w:val="TableParagraph"/>
              <w:spacing w:before="119"/>
              <w:ind w:left="404" w:right="179" w:hanging="300"/>
              <w:rPr>
                <w:sz w:val="18"/>
              </w:rPr>
            </w:pPr>
            <w:r w:rsidRPr="00EC20A0">
              <w:rPr>
                <w:sz w:val="18"/>
              </w:rPr>
              <w:t>2)</w:t>
            </w:r>
            <w:r w:rsidRPr="00EC20A0">
              <w:rPr>
                <w:spacing w:val="80"/>
                <w:sz w:val="18"/>
              </w:rPr>
              <w:t xml:space="preserve"> </w:t>
            </w:r>
            <w:r w:rsidRPr="00EC20A0">
              <w:rPr>
                <w:sz w:val="18"/>
              </w:rPr>
              <w:t>Did</w:t>
            </w:r>
            <w:r w:rsidRPr="00EC20A0">
              <w:rPr>
                <w:spacing w:val="-4"/>
                <w:sz w:val="18"/>
              </w:rPr>
              <w:t xml:space="preserve"> </w:t>
            </w:r>
            <w:r w:rsidRPr="00EC20A0">
              <w:rPr>
                <w:sz w:val="18"/>
              </w:rPr>
              <w:t>the</w:t>
            </w:r>
            <w:r w:rsidRPr="00EC20A0">
              <w:rPr>
                <w:spacing w:val="-4"/>
                <w:sz w:val="18"/>
              </w:rPr>
              <w:t xml:space="preserve"> </w:t>
            </w:r>
            <w:r w:rsidRPr="00EC20A0">
              <w:rPr>
                <w:sz w:val="18"/>
              </w:rPr>
              <w:t>auditor</w:t>
            </w:r>
            <w:r w:rsidRPr="00EC20A0">
              <w:rPr>
                <w:spacing w:val="-3"/>
                <w:sz w:val="18"/>
              </w:rPr>
              <w:t xml:space="preserve"> </w:t>
            </w:r>
            <w:r w:rsidRPr="00EC20A0">
              <w:rPr>
                <w:sz w:val="18"/>
              </w:rPr>
              <w:t>determine</w:t>
            </w:r>
            <w:r w:rsidRPr="00EC20A0">
              <w:rPr>
                <w:spacing w:val="-4"/>
                <w:sz w:val="18"/>
              </w:rPr>
              <w:t xml:space="preserve"> </w:t>
            </w:r>
            <w:r w:rsidRPr="00EC20A0">
              <w:rPr>
                <w:sz w:val="18"/>
              </w:rPr>
              <w:t>that</w:t>
            </w:r>
            <w:r w:rsidRPr="00EC20A0">
              <w:rPr>
                <w:spacing w:val="-1"/>
                <w:sz w:val="18"/>
              </w:rPr>
              <w:t xml:space="preserve"> </w:t>
            </w:r>
            <w:r w:rsidRPr="00EC20A0">
              <w:rPr>
                <w:sz w:val="18"/>
              </w:rPr>
              <w:t>the</w:t>
            </w:r>
            <w:r w:rsidRPr="00EC20A0">
              <w:rPr>
                <w:spacing w:val="-4"/>
                <w:sz w:val="18"/>
              </w:rPr>
              <w:t xml:space="preserve"> </w:t>
            </w:r>
            <w:r w:rsidRPr="00EC20A0">
              <w:rPr>
                <w:sz w:val="18"/>
              </w:rPr>
              <w:t>service</w:t>
            </w:r>
            <w:r w:rsidRPr="00EC20A0">
              <w:rPr>
                <w:spacing w:val="-4"/>
                <w:sz w:val="18"/>
              </w:rPr>
              <w:t xml:space="preserve"> </w:t>
            </w:r>
            <w:r w:rsidRPr="00EC20A0">
              <w:rPr>
                <w:sz w:val="18"/>
              </w:rPr>
              <w:t>auditor</w:t>
            </w:r>
            <w:r w:rsidRPr="00EC20A0">
              <w:rPr>
                <w:spacing w:val="-3"/>
                <w:sz w:val="18"/>
              </w:rPr>
              <w:t xml:space="preserve"> </w:t>
            </w:r>
            <w:r w:rsidRPr="00EC20A0">
              <w:rPr>
                <w:sz w:val="18"/>
              </w:rPr>
              <w:t>is</w:t>
            </w:r>
            <w:r w:rsidRPr="00EC20A0">
              <w:rPr>
                <w:spacing w:val="-3"/>
                <w:sz w:val="18"/>
              </w:rPr>
              <w:t xml:space="preserve"> </w:t>
            </w:r>
            <w:r w:rsidRPr="00EC20A0">
              <w:rPr>
                <w:sz w:val="18"/>
              </w:rPr>
              <w:t>independent</w:t>
            </w:r>
            <w:r w:rsidRPr="00EC20A0">
              <w:rPr>
                <w:spacing w:val="-3"/>
                <w:sz w:val="18"/>
              </w:rPr>
              <w:t xml:space="preserve"> </w:t>
            </w:r>
            <w:r w:rsidRPr="00EC20A0">
              <w:rPr>
                <w:sz w:val="18"/>
              </w:rPr>
              <w:t>of the service organization?</w:t>
            </w:r>
          </w:p>
          <w:p w14:paraId="24D601AF" w14:textId="77777777" w:rsidR="00245300" w:rsidRPr="00EC20A0" w:rsidRDefault="00F17249">
            <w:pPr>
              <w:pStyle w:val="TableParagraph"/>
              <w:spacing w:before="120"/>
              <w:ind w:left="403" w:right="63"/>
              <w:rPr>
                <w:sz w:val="18"/>
              </w:rPr>
            </w:pPr>
            <w:r w:rsidRPr="00EC20A0">
              <w:rPr>
                <w:sz w:val="18"/>
              </w:rPr>
              <w:t xml:space="preserve">Unless evidence to the </w:t>
            </w:r>
            <w:r w:rsidRPr="00EC20A0">
              <w:rPr>
                <w:sz w:val="18"/>
              </w:rPr>
              <w:t>contrary comes to the auditor’s attention, a service</w:t>
            </w:r>
            <w:r w:rsidRPr="00EC20A0">
              <w:rPr>
                <w:spacing w:val="-5"/>
                <w:sz w:val="18"/>
              </w:rPr>
              <w:t xml:space="preserve"> </w:t>
            </w:r>
            <w:r w:rsidRPr="00EC20A0">
              <w:rPr>
                <w:sz w:val="18"/>
              </w:rPr>
              <w:t>auditor’s</w:t>
            </w:r>
            <w:r w:rsidRPr="00EC20A0">
              <w:rPr>
                <w:spacing w:val="-4"/>
                <w:sz w:val="18"/>
              </w:rPr>
              <w:t xml:space="preserve"> </w:t>
            </w:r>
            <w:r w:rsidRPr="00EC20A0">
              <w:rPr>
                <w:sz w:val="18"/>
              </w:rPr>
              <w:t>report</w:t>
            </w:r>
            <w:r w:rsidRPr="00EC20A0">
              <w:rPr>
                <w:spacing w:val="-4"/>
                <w:sz w:val="18"/>
              </w:rPr>
              <w:t xml:space="preserve"> </w:t>
            </w:r>
            <w:r w:rsidRPr="00EC20A0">
              <w:rPr>
                <w:sz w:val="18"/>
              </w:rPr>
              <w:t>implies</w:t>
            </w:r>
            <w:r w:rsidRPr="00EC20A0">
              <w:rPr>
                <w:spacing w:val="-3"/>
                <w:sz w:val="18"/>
              </w:rPr>
              <w:t xml:space="preserve"> </w:t>
            </w:r>
            <w:r w:rsidRPr="00EC20A0">
              <w:rPr>
                <w:sz w:val="18"/>
              </w:rPr>
              <w:t>that</w:t>
            </w:r>
            <w:r w:rsidRPr="00EC20A0">
              <w:rPr>
                <w:spacing w:val="-4"/>
                <w:sz w:val="18"/>
              </w:rPr>
              <w:t xml:space="preserve"> </w:t>
            </w:r>
            <w:r w:rsidRPr="00EC20A0">
              <w:rPr>
                <w:sz w:val="18"/>
              </w:rPr>
              <w:t>the</w:t>
            </w:r>
            <w:r w:rsidRPr="00EC20A0">
              <w:rPr>
                <w:spacing w:val="-5"/>
                <w:sz w:val="18"/>
              </w:rPr>
              <w:t xml:space="preserve"> </w:t>
            </w:r>
            <w:r w:rsidRPr="00EC20A0">
              <w:rPr>
                <w:sz w:val="18"/>
              </w:rPr>
              <w:t>service</w:t>
            </w:r>
            <w:r w:rsidRPr="00EC20A0">
              <w:rPr>
                <w:spacing w:val="-5"/>
                <w:sz w:val="18"/>
              </w:rPr>
              <w:t xml:space="preserve"> </w:t>
            </w:r>
            <w:r w:rsidRPr="00EC20A0">
              <w:rPr>
                <w:sz w:val="18"/>
              </w:rPr>
              <w:t>auditor</w:t>
            </w:r>
            <w:r w:rsidRPr="00EC20A0">
              <w:rPr>
                <w:spacing w:val="-4"/>
                <w:sz w:val="18"/>
              </w:rPr>
              <w:t xml:space="preserve"> </w:t>
            </w:r>
            <w:r w:rsidRPr="00EC20A0">
              <w:rPr>
                <w:sz w:val="18"/>
              </w:rPr>
              <w:t>is</w:t>
            </w:r>
            <w:r w:rsidRPr="00EC20A0">
              <w:rPr>
                <w:spacing w:val="-4"/>
                <w:sz w:val="18"/>
              </w:rPr>
              <w:t xml:space="preserve"> </w:t>
            </w:r>
            <w:r w:rsidRPr="00EC20A0">
              <w:rPr>
                <w:sz w:val="18"/>
              </w:rPr>
              <w:t>independent of the service organization (note that the service auditor need not be independent of the entity). The service auditor is required to include “independent” in the title of the report. If the auditor has questions or concerns about the</w:t>
            </w:r>
            <w:r w:rsidRPr="00EC20A0">
              <w:rPr>
                <w:spacing w:val="-1"/>
                <w:sz w:val="18"/>
              </w:rPr>
              <w:t xml:space="preserve"> </w:t>
            </w:r>
            <w:r w:rsidRPr="00EC20A0">
              <w:rPr>
                <w:sz w:val="18"/>
              </w:rPr>
              <w:t>service</w:t>
            </w:r>
            <w:r w:rsidRPr="00EC20A0">
              <w:rPr>
                <w:spacing w:val="-1"/>
                <w:sz w:val="18"/>
              </w:rPr>
              <w:t xml:space="preserve"> </w:t>
            </w:r>
            <w:r w:rsidRPr="00EC20A0">
              <w:rPr>
                <w:sz w:val="18"/>
              </w:rPr>
              <w:t>auditor’s independence, see</w:t>
            </w:r>
            <w:r w:rsidRPr="00EC20A0">
              <w:rPr>
                <w:spacing w:val="-1"/>
                <w:sz w:val="18"/>
              </w:rPr>
              <w:t xml:space="preserve"> </w:t>
            </w:r>
            <w:r w:rsidRPr="00EC20A0">
              <w:rPr>
                <w:sz w:val="18"/>
              </w:rPr>
              <w:t>FAM 615.10 for guidance.</w:t>
            </w:r>
          </w:p>
        </w:tc>
        <w:tc>
          <w:tcPr>
            <w:tcW w:w="720" w:type="dxa"/>
            <w:tcBorders>
              <w:top w:val="single" w:sz="4" w:space="0" w:color="000000"/>
              <w:left w:val="single" w:sz="4" w:space="0" w:color="000000"/>
              <w:bottom w:val="single" w:sz="4" w:space="0" w:color="000000"/>
              <w:right w:val="single" w:sz="4" w:space="0" w:color="000000"/>
            </w:tcBorders>
          </w:tcPr>
          <w:p w14:paraId="24D601B0"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B1"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B2" w14:textId="77777777" w:rsidR="00245300" w:rsidRPr="00EC20A0" w:rsidRDefault="00245300">
            <w:pPr>
              <w:pStyle w:val="TableParagraph"/>
              <w:rPr>
                <w:sz w:val="18"/>
              </w:rPr>
            </w:pPr>
          </w:p>
        </w:tc>
      </w:tr>
      <w:tr w:rsidR="00245300" w:rsidRPr="00EC20A0" w14:paraId="24D601BB" w14:textId="77777777">
        <w:trPr>
          <w:trHeight w:val="2876"/>
        </w:trPr>
        <w:tc>
          <w:tcPr>
            <w:tcW w:w="6091" w:type="dxa"/>
            <w:tcBorders>
              <w:top w:val="single" w:sz="4" w:space="0" w:color="000000"/>
              <w:bottom w:val="single" w:sz="4" w:space="0" w:color="000000"/>
              <w:right w:val="single" w:sz="4" w:space="0" w:color="000000"/>
            </w:tcBorders>
          </w:tcPr>
          <w:p w14:paraId="24D601B4" w14:textId="77777777" w:rsidR="00245300" w:rsidRPr="00EC20A0" w:rsidRDefault="00F17249">
            <w:pPr>
              <w:pStyle w:val="TableParagraph"/>
              <w:spacing w:before="119"/>
              <w:ind w:left="393" w:hanging="289"/>
              <w:rPr>
                <w:sz w:val="18"/>
              </w:rPr>
            </w:pPr>
            <w:r w:rsidRPr="00EC20A0">
              <w:rPr>
                <w:sz w:val="18"/>
              </w:rPr>
              <w:t>3)</w:t>
            </w:r>
            <w:r w:rsidRPr="00EC20A0">
              <w:rPr>
                <w:spacing w:val="70"/>
                <w:sz w:val="18"/>
              </w:rPr>
              <w:t xml:space="preserve"> </w:t>
            </w:r>
            <w:r w:rsidRPr="00EC20A0">
              <w:rPr>
                <w:sz w:val="18"/>
              </w:rPr>
              <w:t>Did</w:t>
            </w:r>
            <w:r w:rsidRPr="00EC20A0">
              <w:rPr>
                <w:spacing w:val="-4"/>
                <w:sz w:val="18"/>
              </w:rPr>
              <w:t xml:space="preserve"> </w:t>
            </w:r>
            <w:r w:rsidRPr="00EC20A0">
              <w:rPr>
                <w:sz w:val="18"/>
              </w:rPr>
              <w:t>the</w:t>
            </w:r>
            <w:r w:rsidRPr="00EC20A0">
              <w:rPr>
                <w:spacing w:val="-3"/>
                <w:sz w:val="18"/>
              </w:rPr>
              <w:t xml:space="preserve"> </w:t>
            </w:r>
            <w:r w:rsidRPr="00EC20A0">
              <w:rPr>
                <w:sz w:val="18"/>
              </w:rPr>
              <w:t>auditor</w:t>
            </w:r>
            <w:r w:rsidRPr="00EC20A0">
              <w:rPr>
                <w:spacing w:val="-3"/>
                <w:sz w:val="18"/>
              </w:rPr>
              <w:t xml:space="preserve"> </w:t>
            </w:r>
            <w:r w:rsidRPr="00EC20A0">
              <w:rPr>
                <w:sz w:val="18"/>
              </w:rPr>
              <w:t>determine</w:t>
            </w:r>
            <w:r w:rsidRPr="00EC20A0">
              <w:rPr>
                <w:spacing w:val="-4"/>
                <w:sz w:val="18"/>
              </w:rPr>
              <w:t xml:space="preserve"> </w:t>
            </w:r>
            <w:r w:rsidRPr="00EC20A0">
              <w:rPr>
                <w:sz w:val="18"/>
              </w:rPr>
              <w:t>that</w:t>
            </w:r>
            <w:r w:rsidRPr="00EC20A0">
              <w:rPr>
                <w:spacing w:val="-1"/>
                <w:sz w:val="18"/>
              </w:rPr>
              <w:t xml:space="preserve"> </w:t>
            </w:r>
            <w:r w:rsidRPr="00EC20A0">
              <w:rPr>
                <w:sz w:val="18"/>
              </w:rPr>
              <w:t>the</w:t>
            </w:r>
            <w:r w:rsidRPr="00EC20A0">
              <w:rPr>
                <w:spacing w:val="-3"/>
                <w:sz w:val="18"/>
              </w:rPr>
              <w:t xml:space="preserve"> </w:t>
            </w:r>
            <w:r w:rsidRPr="00EC20A0">
              <w:rPr>
                <w:sz w:val="18"/>
              </w:rPr>
              <w:t>service</w:t>
            </w:r>
            <w:r w:rsidRPr="00EC20A0">
              <w:rPr>
                <w:spacing w:val="-4"/>
                <w:sz w:val="18"/>
              </w:rPr>
              <w:t xml:space="preserve"> </w:t>
            </w:r>
            <w:r w:rsidRPr="00EC20A0">
              <w:rPr>
                <w:sz w:val="18"/>
              </w:rPr>
              <w:t>auditor</w:t>
            </w:r>
            <w:r w:rsidRPr="00EC20A0">
              <w:rPr>
                <w:spacing w:val="-3"/>
                <w:sz w:val="18"/>
              </w:rPr>
              <w:t xml:space="preserve"> </w:t>
            </w:r>
            <w:r w:rsidRPr="00EC20A0">
              <w:rPr>
                <w:sz w:val="18"/>
              </w:rPr>
              <w:t>has</w:t>
            </w:r>
            <w:r w:rsidRPr="00EC20A0">
              <w:rPr>
                <w:spacing w:val="-3"/>
                <w:sz w:val="18"/>
              </w:rPr>
              <w:t xml:space="preserve"> </w:t>
            </w:r>
            <w:r w:rsidRPr="00EC20A0">
              <w:rPr>
                <w:sz w:val="18"/>
              </w:rPr>
              <w:t>the</w:t>
            </w:r>
            <w:r w:rsidRPr="00EC20A0">
              <w:rPr>
                <w:spacing w:val="-3"/>
                <w:sz w:val="18"/>
              </w:rPr>
              <w:t xml:space="preserve"> </w:t>
            </w:r>
            <w:r w:rsidRPr="00EC20A0">
              <w:rPr>
                <w:sz w:val="18"/>
              </w:rPr>
              <w:t xml:space="preserve">necessary competence for the </w:t>
            </w:r>
            <w:r w:rsidRPr="00EC20A0">
              <w:rPr>
                <w:sz w:val="18"/>
              </w:rPr>
              <w:t>auditor’s purposes?</w:t>
            </w:r>
          </w:p>
          <w:p w14:paraId="24D601B5" w14:textId="77777777" w:rsidR="00245300" w:rsidRPr="00EC20A0" w:rsidRDefault="00F17249">
            <w:pPr>
              <w:pStyle w:val="TableParagraph"/>
              <w:spacing w:before="120"/>
              <w:ind w:left="392" w:hanging="1"/>
              <w:rPr>
                <w:sz w:val="18"/>
              </w:rPr>
            </w:pPr>
            <w:r w:rsidRPr="00EC20A0">
              <w:rPr>
                <w:sz w:val="18"/>
              </w:rPr>
              <w:t>If</w:t>
            </w:r>
            <w:r w:rsidRPr="00EC20A0">
              <w:rPr>
                <w:spacing w:val="-4"/>
                <w:sz w:val="18"/>
              </w:rPr>
              <w:t xml:space="preserve"> </w:t>
            </w:r>
            <w:r w:rsidRPr="00EC20A0">
              <w:rPr>
                <w:sz w:val="18"/>
              </w:rPr>
              <w:t>the</w:t>
            </w:r>
            <w:r w:rsidRPr="00EC20A0">
              <w:rPr>
                <w:spacing w:val="-4"/>
                <w:sz w:val="18"/>
              </w:rPr>
              <w:t xml:space="preserve"> </w:t>
            </w:r>
            <w:r w:rsidRPr="00EC20A0">
              <w:rPr>
                <w:sz w:val="18"/>
              </w:rPr>
              <w:t>service</w:t>
            </w:r>
            <w:r w:rsidRPr="00EC20A0">
              <w:rPr>
                <w:spacing w:val="-5"/>
                <w:sz w:val="18"/>
              </w:rPr>
              <w:t xml:space="preserve"> </w:t>
            </w:r>
            <w:r w:rsidRPr="00EC20A0">
              <w:rPr>
                <w:sz w:val="18"/>
              </w:rPr>
              <w:t>auditor</w:t>
            </w:r>
            <w:r w:rsidRPr="00EC20A0">
              <w:rPr>
                <w:spacing w:val="-4"/>
                <w:sz w:val="18"/>
              </w:rPr>
              <w:t xml:space="preserve"> </w:t>
            </w:r>
            <w:r w:rsidRPr="00EC20A0">
              <w:rPr>
                <w:sz w:val="18"/>
              </w:rPr>
              <w:t>passed</w:t>
            </w:r>
            <w:r w:rsidRPr="00EC20A0">
              <w:rPr>
                <w:spacing w:val="-5"/>
                <w:sz w:val="18"/>
              </w:rPr>
              <w:t xml:space="preserve"> </w:t>
            </w:r>
            <w:r w:rsidRPr="00EC20A0">
              <w:rPr>
                <w:sz w:val="18"/>
              </w:rPr>
              <w:t>a</w:t>
            </w:r>
            <w:r w:rsidRPr="00EC20A0">
              <w:rPr>
                <w:spacing w:val="-5"/>
                <w:sz w:val="18"/>
              </w:rPr>
              <w:t xml:space="preserve"> </w:t>
            </w:r>
            <w:r w:rsidRPr="00EC20A0">
              <w:rPr>
                <w:sz w:val="18"/>
              </w:rPr>
              <w:t>recent</w:t>
            </w:r>
            <w:r w:rsidRPr="00EC20A0">
              <w:rPr>
                <w:spacing w:val="-4"/>
                <w:sz w:val="18"/>
              </w:rPr>
              <w:t xml:space="preserve"> </w:t>
            </w:r>
            <w:r w:rsidRPr="00EC20A0">
              <w:rPr>
                <w:sz w:val="18"/>
              </w:rPr>
              <w:t>peer</w:t>
            </w:r>
            <w:r w:rsidRPr="00EC20A0">
              <w:rPr>
                <w:spacing w:val="-4"/>
                <w:sz w:val="18"/>
              </w:rPr>
              <w:t xml:space="preserve"> </w:t>
            </w:r>
            <w:r w:rsidRPr="00EC20A0">
              <w:rPr>
                <w:sz w:val="18"/>
              </w:rPr>
              <w:t>review</w:t>
            </w:r>
            <w:r w:rsidRPr="00EC20A0">
              <w:rPr>
                <w:spacing w:val="-4"/>
                <w:sz w:val="18"/>
              </w:rPr>
              <w:t xml:space="preserve"> </w:t>
            </w:r>
            <w:r w:rsidRPr="00EC20A0">
              <w:rPr>
                <w:sz w:val="18"/>
              </w:rPr>
              <w:t>with</w:t>
            </w:r>
            <w:r w:rsidRPr="00EC20A0">
              <w:rPr>
                <w:spacing w:val="-5"/>
                <w:sz w:val="18"/>
              </w:rPr>
              <w:t xml:space="preserve"> </w:t>
            </w:r>
            <w:r w:rsidRPr="00EC20A0">
              <w:rPr>
                <w:sz w:val="18"/>
              </w:rPr>
              <w:t>no</w:t>
            </w:r>
            <w:r w:rsidRPr="00EC20A0">
              <w:rPr>
                <w:spacing w:val="-3"/>
                <w:sz w:val="18"/>
              </w:rPr>
              <w:t xml:space="preserve"> </w:t>
            </w:r>
            <w:r w:rsidRPr="00EC20A0">
              <w:rPr>
                <w:sz w:val="18"/>
              </w:rPr>
              <w:t>deficiencies and there is no evidence indicating that the service auditor is not competent, answer “yes.”</w:t>
            </w:r>
          </w:p>
          <w:p w14:paraId="24D601B6" w14:textId="77777777" w:rsidR="00245300" w:rsidRPr="00EC20A0" w:rsidRDefault="00F17249">
            <w:pPr>
              <w:pStyle w:val="TableParagraph"/>
              <w:spacing w:before="119"/>
              <w:ind w:left="391" w:right="179"/>
              <w:rPr>
                <w:sz w:val="18"/>
              </w:rPr>
            </w:pPr>
            <w:r w:rsidRPr="00EC20A0">
              <w:rPr>
                <w:sz w:val="18"/>
              </w:rPr>
              <w:t>If</w:t>
            </w:r>
            <w:r w:rsidRPr="00EC20A0">
              <w:rPr>
                <w:spacing w:val="-4"/>
                <w:sz w:val="18"/>
              </w:rPr>
              <w:t xml:space="preserve"> </w:t>
            </w:r>
            <w:r w:rsidRPr="00EC20A0">
              <w:rPr>
                <w:sz w:val="18"/>
              </w:rPr>
              <w:t>the</w:t>
            </w:r>
            <w:r w:rsidRPr="00EC20A0">
              <w:rPr>
                <w:spacing w:val="-4"/>
                <w:sz w:val="18"/>
              </w:rPr>
              <w:t xml:space="preserve"> </w:t>
            </w:r>
            <w:r w:rsidRPr="00EC20A0">
              <w:rPr>
                <w:sz w:val="18"/>
              </w:rPr>
              <w:t>service</w:t>
            </w:r>
            <w:r w:rsidRPr="00EC20A0">
              <w:rPr>
                <w:spacing w:val="-5"/>
                <w:sz w:val="18"/>
              </w:rPr>
              <w:t xml:space="preserve"> </w:t>
            </w:r>
            <w:r w:rsidRPr="00EC20A0">
              <w:rPr>
                <w:sz w:val="18"/>
              </w:rPr>
              <w:t>auditor</w:t>
            </w:r>
            <w:r w:rsidRPr="00EC20A0">
              <w:rPr>
                <w:spacing w:val="-4"/>
                <w:sz w:val="18"/>
              </w:rPr>
              <w:t xml:space="preserve"> </w:t>
            </w:r>
            <w:r w:rsidRPr="00EC20A0">
              <w:rPr>
                <w:sz w:val="18"/>
              </w:rPr>
              <w:t>passed</w:t>
            </w:r>
            <w:r w:rsidRPr="00EC20A0">
              <w:rPr>
                <w:spacing w:val="-5"/>
                <w:sz w:val="18"/>
              </w:rPr>
              <w:t xml:space="preserve"> </w:t>
            </w:r>
            <w:r w:rsidRPr="00EC20A0">
              <w:rPr>
                <w:sz w:val="18"/>
              </w:rPr>
              <w:t>a</w:t>
            </w:r>
            <w:r w:rsidRPr="00EC20A0">
              <w:rPr>
                <w:spacing w:val="-5"/>
                <w:sz w:val="18"/>
              </w:rPr>
              <w:t xml:space="preserve"> </w:t>
            </w:r>
            <w:r w:rsidRPr="00EC20A0">
              <w:rPr>
                <w:sz w:val="18"/>
              </w:rPr>
              <w:t>recent</w:t>
            </w:r>
            <w:r w:rsidRPr="00EC20A0">
              <w:rPr>
                <w:spacing w:val="-4"/>
                <w:sz w:val="18"/>
              </w:rPr>
              <w:t xml:space="preserve"> </w:t>
            </w:r>
            <w:r w:rsidRPr="00EC20A0">
              <w:rPr>
                <w:sz w:val="18"/>
              </w:rPr>
              <w:t>peer</w:t>
            </w:r>
            <w:r w:rsidRPr="00EC20A0">
              <w:rPr>
                <w:spacing w:val="-4"/>
                <w:sz w:val="18"/>
              </w:rPr>
              <w:t xml:space="preserve"> </w:t>
            </w:r>
            <w:r w:rsidRPr="00EC20A0">
              <w:rPr>
                <w:sz w:val="18"/>
              </w:rPr>
              <w:t>review</w:t>
            </w:r>
            <w:r w:rsidRPr="00EC20A0">
              <w:rPr>
                <w:spacing w:val="-5"/>
                <w:sz w:val="18"/>
              </w:rPr>
              <w:t xml:space="preserve"> </w:t>
            </w:r>
            <w:r w:rsidRPr="00EC20A0">
              <w:rPr>
                <w:sz w:val="18"/>
              </w:rPr>
              <w:t>with</w:t>
            </w:r>
            <w:r w:rsidRPr="00EC20A0">
              <w:rPr>
                <w:spacing w:val="-5"/>
                <w:sz w:val="18"/>
              </w:rPr>
              <w:t xml:space="preserve"> </w:t>
            </w:r>
            <w:r w:rsidRPr="00EC20A0">
              <w:rPr>
                <w:sz w:val="18"/>
              </w:rPr>
              <w:t>deficiencies</w:t>
            </w:r>
            <w:r w:rsidRPr="00EC20A0">
              <w:rPr>
                <w:spacing w:val="-4"/>
                <w:sz w:val="18"/>
              </w:rPr>
              <w:t xml:space="preserve"> </w:t>
            </w:r>
            <w:r w:rsidRPr="00EC20A0">
              <w:rPr>
                <w:sz w:val="18"/>
              </w:rPr>
              <w:t>or a recent peer review report is not available, assess the service auditor’s competence using chapter 4 of GAGAS (2018) (Competence). See FAM 615 for guidance.</w:t>
            </w:r>
          </w:p>
          <w:p w14:paraId="24D601B7" w14:textId="77777777" w:rsidR="00245300" w:rsidRPr="00EC20A0" w:rsidRDefault="00F17249">
            <w:pPr>
              <w:pStyle w:val="TableParagraph"/>
              <w:spacing w:before="120"/>
              <w:ind w:left="391"/>
              <w:rPr>
                <w:sz w:val="18"/>
              </w:rPr>
            </w:pPr>
            <w:r w:rsidRPr="00EC20A0">
              <w:rPr>
                <w:sz w:val="18"/>
              </w:rPr>
              <w:t>If</w:t>
            </w:r>
            <w:r w:rsidRPr="00EC20A0">
              <w:rPr>
                <w:spacing w:val="-4"/>
                <w:sz w:val="18"/>
              </w:rPr>
              <w:t xml:space="preserve"> </w:t>
            </w:r>
            <w:r w:rsidRPr="00EC20A0">
              <w:rPr>
                <w:sz w:val="18"/>
              </w:rPr>
              <w:t>the</w:t>
            </w:r>
            <w:r w:rsidRPr="00EC20A0">
              <w:rPr>
                <w:spacing w:val="-5"/>
                <w:sz w:val="18"/>
              </w:rPr>
              <w:t xml:space="preserve"> </w:t>
            </w:r>
            <w:r w:rsidRPr="00EC20A0">
              <w:rPr>
                <w:sz w:val="18"/>
              </w:rPr>
              <w:t>service</w:t>
            </w:r>
            <w:r w:rsidRPr="00EC20A0">
              <w:rPr>
                <w:spacing w:val="-4"/>
                <w:sz w:val="18"/>
              </w:rPr>
              <w:t xml:space="preserve"> </w:t>
            </w:r>
            <w:r w:rsidRPr="00EC20A0">
              <w:rPr>
                <w:sz w:val="18"/>
              </w:rPr>
              <w:t>auditor</w:t>
            </w:r>
            <w:r w:rsidRPr="00EC20A0">
              <w:rPr>
                <w:spacing w:val="-4"/>
                <w:sz w:val="18"/>
              </w:rPr>
              <w:t xml:space="preserve"> </w:t>
            </w:r>
            <w:r w:rsidRPr="00EC20A0">
              <w:rPr>
                <w:sz w:val="18"/>
              </w:rPr>
              <w:t>failed</w:t>
            </w:r>
            <w:r w:rsidRPr="00EC20A0">
              <w:rPr>
                <w:spacing w:val="-5"/>
                <w:sz w:val="18"/>
              </w:rPr>
              <w:t xml:space="preserve"> </w:t>
            </w:r>
            <w:r w:rsidRPr="00EC20A0">
              <w:rPr>
                <w:sz w:val="18"/>
              </w:rPr>
              <w:t>its</w:t>
            </w:r>
            <w:r w:rsidRPr="00EC20A0">
              <w:rPr>
                <w:spacing w:val="-3"/>
                <w:sz w:val="18"/>
              </w:rPr>
              <w:t xml:space="preserve"> </w:t>
            </w:r>
            <w:r w:rsidRPr="00EC20A0">
              <w:rPr>
                <w:sz w:val="18"/>
              </w:rPr>
              <w:t>recent</w:t>
            </w:r>
            <w:r w:rsidRPr="00EC20A0">
              <w:rPr>
                <w:spacing w:val="-4"/>
                <w:sz w:val="18"/>
              </w:rPr>
              <w:t xml:space="preserve"> </w:t>
            </w:r>
            <w:r w:rsidRPr="00EC20A0">
              <w:rPr>
                <w:sz w:val="18"/>
              </w:rPr>
              <w:t>peer</w:t>
            </w:r>
            <w:r w:rsidRPr="00EC20A0">
              <w:rPr>
                <w:spacing w:val="-4"/>
                <w:sz w:val="18"/>
              </w:rPr>
              <w:t xml:space="preserve"> </w:t>
            </w:r>
            <w:r w:rsidRPr="00EC20A0">
              <w:rPr>
                <w:sz w:val="18"/>
              </w:rPr>
              <w:t>review,</w:t>
            </w:r>
            <w:r w:rsidRPr="00EC20A0">
              <w:rPr>
                <w:spacing w:val="-4"/>
                <w:sz w:val="18"/>
              </w:rPr>
              <w:t xml:space="preserve"> </w:t>
            </w:r>
            <w:r w:rsidRPr="00EC20A0">
              <w:rPr>
                <w:sz w:val="18"/>
              </w:rPr>
              <w:t>answer</w:t>
            </w:r>
            <w:r w:rsidRPr="00EC20A0">
              <w:rPr>
                <w:spacing w:val="-4"/>
                <w:sz w:val="18"/>
              </w:rPr>
              <w:t xml:space="preserve"> </w:t>
            </w:r>
            <w:r w:rsidRPr="00EC20A0">
              <w:rPr>
                <w:sz w:val="18"/>
              </w:rPr>
              <w:t>“no”</w:t>
            </w:r>
            <w:r w:rsidRPr="00EC20A0">
              <w:rPr>
                <w:spacing w:val="-4"/>
                <w:sz w:val="18"/>
              </w:rPr>
              <w:t xml:space="preserve"> </w:t>
            </w:r>
            <w:r w:rsidRPr="00EC20A0">
              <w:rPr>
                <w:sz w:val="18"/>
              </w:rPr>
              <w:t>and assess the effect on the audit.</w:t>
            </w:r>
          </w:p>
        </w:tc>
        <w:tc>
          <w:tcPr>
            <w:tcW w:w="720" w:type="dxa"/>
            <w:tcBorders>
              <w:top w:val="single" w:sz="4" w:space="0" w:color="000000"/>
              <w:left w:val="single" w:sz="4" w:space="0" w:color="000000"/>
              <w:bottom w:val="single" w:sz="4" w:space="0" w:color="000000"/>
              <w:right w:val="single" w:sz="4" w:space="0" w:color="000000"/>
            </w:tcBorders>
          </w:tcPr>
          <w:p w14:paraId="24D601B8"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B9"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BA" w14:textId="77777777" w:rsidR="00245300" w:rsidRPr="00EC20A0" w:rsidRDefault="00245300">
            <w:pPr>
              <w:pStyle w:val="TableParagraph"/>
              <w:rPr>
                <w:sz w:val="18"/>
              </w:rPr>
            </w:pPr>
          </w:p>
        </w:tc>
      </w:tr>
      <w:tr w:rsidR="00245300" w:rsidRPr="00EC20A0" w14:paraId="24D601BD" w14:textId="77777777">
        <w:trPr>
          <w:trHeight w:val="447"/>
        </w:trPr>
        <w:tc>
          <w:tcPr>
            <w:tcW w:w="9270" w:type="dxa"/>
            <w:gridSpan w:val="4"/>
            <w:tcBorders>
              <w:top w:val="single" w:sz="4" w:space="0" w:color="000000"/>
              <w:bottom w:val="single" w:sz="4" w:space="0" w:color="000000"/>
            </w:tcBorders>
            <w:shd w:val="clear" w:color="auto" w:fill="D9D9D9"/>
          </w:tcPr>
          <w:p w14:paraId="24D601BC" w14:textId="77777777" w:rsidR="00245300" w:rsidRPr="00EC20A0" w:rsidRDefault="00F17249">
            <w:pPr>
              <w:pStyle w:val="TableParagraph"/>
              <w:spacing w:before="121"/>
              <w:ind w:left="105"/>
              <w:rPr>
                <w:b/>
                <w:sz w:val="18"/>
              </w:rPr>
            </w:pPr>
            <w:r w:rsidRPr="00EC20A0">
              <w:rPr>
                <w:b/>
                <w:sz w:val="18"/>
              </w:rPr>
              <w:t>Assess</w:t>
            </w:r>
            <w:r w:rsidRPr="00EC20A0">
              <w:rPr>
                <w:b/>
                <w:spacing w:val="-3"/>
                <w:sz w:val="18"/>
              </w:rPr>
              <w:t xml:space="preserve"> </w:t>
            </w:r>
            <w:r w:rsidRPr="00EC20A0">
              <w:rPr>
                <w:b/>
                <w:sz w:val="18"/>
              </w:rPr>
              <w:t>the</w:t>
            </w:r>
            <w:r w:rsidRPr="00EC20A0">
              <w:rPr>
                <w:b/>
                <w:spacing w:val="-2"/>
                <w:sz w:val="18"/>
              </w:rPr>
              <w:t xml:space="preserve"> </w:t>
            </w:r>
            <w:r w:rsidRPr="00EC20A0">
              <w:rPr>
                <w:b/>
                <w:sz w:val="18"/>
              </w:rPr>
              <w:t>time</w:t>
            </w:r>
            <w:r w:rsidRPr="00EC20A0">
              <w:rPr>
                <w:b/>
                <w:spacing w:val="-2"/>
                <w:sz w:val="18"/>
              </w:rPr>
              <w:t xml:space="preserve"> </w:t>
            </w:r>
            <w:r w:rsidRPr="00EC20A0">
              <w:rPr>
                <w:b/>
                <w:sz w:val="18"/>
              </w:rPr>
              <w:t>period</w:t>
            </w:r>
            <w:r w:rsidRPr="00EC20A0">
              <w:rPr>
                <w:b/>
                <w:spacing w:val="-2"/>
                <w:sz w:val="18"/>
              </w:rPr>
              <w:t xml:space="preserve"> </w:t>
            </w:r>
            <w:r w:rsidRPr="00EC20A0">
              <w:rPr>
                <w:b/>
                <w:sz w:val="18"/>
              </w:rPr>
              <w:t>covered</w:t>
            </w:r>
            <w:r w:rsidRPr="00EC20A0">
              <w:rPr>
                <w:b/>
                <w:spacing w:val="-1"/>
                <w:sz w:val="18"/>
              </w:rPr>
              <w:t xml:space="preserve"> </w:t>
            </w:r>
            <w:r w:rsidRPr="00EC20A0">
              <w:rPr>
                <w:b/>
                <w:sz w:val="18"/>
              </w:rPr>
              <w:t>by</w:t>
            </w:r>
            <w:r w:rsidRPr="00EC20A0">
              <w:rPr>
                <w:b/>
                <w:spacing w:val="-3"/>
                <w:sz w:val="18"/>
              </w:rPr>
              <w:t xml:space="preserve"> </w:t>
            </w:r>
            <w:r w:rsidRPr="00EC20A0">
              <w:rPr>
                <w:b/>
                <w:sz w:val="18"/>
              </w:rPr>
              <w:t>the</w:t>
            </w:r>
            <w:r w:rsidRPr="00EC20A0">
              <w:rPr>
                <w:b/>
                <w:spacing w:val="-2"/>
                <w:sz w:val="18"/>
              </w:rPr>
              <w:t xml:space="preserve"> </w:t>
            </w:r>
            <w:r w:rsidRPr="00EC20A0">
              <w:rPr>
                <w:b/>
                <w:sz w:val="18"/>
              </w:rPr>
              <w:t>type</w:t>
            </w:r>
            <w:r w:rsidRPr="00EC20A0">
              <w:rPr>
                <w:b/>
                <w:spacing w:val="-3"/>
                <w:sz w:val="18"/>
              </w:rPr>
              <w:t xml:space="preserve"> </w:t>
            </w:r>
            <w:r w:rsidRPr="00EC20A0">
              <w:rPr>
                <w:b/>
                <w:sz w:val="18"/>
              </w:rPr>
              <w:t>2</w:t>
            </w:r>
            <w:r w:rsidRPr="00EC20A0">
              <w:rPr>
                <w:b/>
                <w:spacing w:val="-2"/>
                <w:sz w:val="18"/>
              </w:rPr>
              <w:t xml:space="preserve"> report</w:t>
            </w:r>
          </w:p>
        </w:tc>
      </w:tr>
      <w:tr w:rsidR="00245300" w:rsidRPr="00EC20A0" w14:paraId="24D601C2" w14:textId="77777777">
        <w:trPr>
          <w:trHeight w:val="1275"/>
        </w:trPr>
        <w:tc>
          <w:tcPr>
            <w:tcW w:w="6091" w:type="dxa"/>
            <w:tcBorders>
              <w:top w:val="single" w:sz="4" w:space="0" w:color="000000"/>
              <w:bottom w:val="single" w:sz="4" w:space="0" w:color="000000"/>
              <w:right w:val="single" w:sz="4" w:space="0" w:color="000000"/>
            </w:tcBorders>
          </w:tcPr>
          <w:p w14:paraId="24D601BE" w14:textId="77777777" w:rsidR="00245300" w:rsidRPr="00EC20A0" w:rsidRDefault="00F17249">
            <w:pPr>
              <w:pStyle w:val="TableParagraph"/>
              <w:spacing w:before="119"/>
              <w:ind w:left="391" w:right="63" w:hanging="287"/>
              <w:rPr>
                <w:sz w:val="18"/>
              </w:rPr>
            </w:pPr>
            <w:r w:rsidRPr="00EC20A0">
              <w:rPr>
                <w:sz w:val="18"/>
              </w:rPr>
              <w:t>4)</w:t>
            </w:r>
            <w:r w:rsidRPr="00EC20A0">
              <w:rPr>
                <w:spacing w:val="80"/>
                <w:sz w:val="18"/>
              </w:rPr>
              <w:t xml:space="preserve"> </w:t>
            </w:r>
            <w:r w:rsidRPr="00EC20A0">
              <w:rPr>
                <w:sz w:val="18"/>
              </w:rPr>
              <w:t>If the time period of the report is not the same as the entire period of the</w:t>
            </w:r>
            <w:r w:rsidRPr="00EC20A0">
              <w:rPr>
                <w:spacing w:val="-5"/>
                <w:sz w:val="18"/>
              </w:rPr>
              <w:t xml:space="preserve"> </w:t>
            </w:r>
            <w:r w:rsidRPr="00EC20A0">
              <w:rPr>
                <w:sz w:val="18"/>
              </w:rPr>
              <w:t>audit,</w:t>
            </w:r>
            <w:r w:rsidRPr="00EC20A0">
              <w:rPr>
                <w:spacing w:val="-4"/>
                <w:sz w:val="18"/>
              </w:rPr>
              <w:t xml:space="preserve"> </w:t>
            </w:r>
            <w:r w:rsidRPr="00EC20A0">
              <w:rPr>
                <w:sz w:val="18"/>
              </w:rPr>
              <w:t>did</w:t>
            </w:r>
            <w:r w:rsidRPr="00EC20A0">
              <w:rPr>
                <w:spacing w:val="-5"/>
                <w:sz w:val="18"/>
              </w:rPr>
              <w:t xml:space="preserve"> </w:t>
            </w:r>
            <w:r w:rsidRPr="00EC20A0">
              <w:rPr>
                <w:sz w:val="18"/>
              </w:rPr>
              <w:t>the</w:t>
            </w:r>
            <w:r w:rsidRPr="00EC20A0">
              <w:rPr>
                <w:spacing w:val="-5"/>
                <w:sz w:val="18"/>
              </w:rPr>
              <w:t xml:space="preserve"> </w:t>
            </w:r>
            <w:r w:rsidRPr="00EC20A0">
              <w:rPr>
                <w:sz w:val="18"/>
              </w:rPr>
              <w:t>auditor</w:t>
            </w:r>
            <w:r w:rsidRPr="00EC20A0">
              <w:rPr>
                <w:spacing w:val="-4"/>
                <w:sz w:val="18"/>
              </w:rPr>
              <w:t xml:space="preserve"> </w:t>
            </w:r>
            <w:r w:rsidRPr="00EC20A0">
              <w:rPr>
                <w:sz w:val="18"/>
              </w:rPr>
              <w:t>determine</w:t>
            </w:r>
            <w:r w:rsidRPr="00EC20A0">
              <w:rPr>
                <w:spacing w:val="-5"/>
                <w:sz w:val="18"/>
              </w:rPr>
              <w:t xml:space="preserve"> </w:t>
            </w:r>
            <w:r w:rsidRPr="00EC20A0">
              <w:rPr>
                <w:sz w:val="18"/>
              </w:rPr>
              <w:t>whether</w:t>
            </w:r>
            <w:r w:rsidRPr="00EC20A0">
              <w:rPr>
                <w:spacing w:val="-3"/>
                <w:sz w:val="18"/>
              </w:rPr>
              <w:t xml:space="preserve"> </w:t>
            </w:r>
            <w:r w:rsidRPr="00EC20A0">
              <w:rPr>
                <w:sz w:val="18"/>
              </w:rPr>
              <w:t>additional</w:t>
            </w:r>
            <w:r w:rsidRPr="00EC20A0">
              <w:rPr>
                <w:spacing w:val="-4"/>
                <w:sz w:val="18"/>
              </w:rPr>
              <w:t xml:space="preserve"> </w:t>
            </w:r>
            <w:r w:rsidRPr="00EC20A0">
              <w:rPr>
                <w:sz w:val="18"/>
              </w:rPr>
              <w:t>procedures</w:t>
            </w:r>
            <w:r w:rsidRPr="00EC20A0">
              <w:rPr>
                <w:spacing w:val="-4"/>
                <w:sz w:val="18"/>
              </w:rPr>
              <w:t xml:space="preserve"> </w:t>
            </w:r>
            <w:r w:rsidRPr="00EC20A0">
              <w:rPr>
                <w:sz w:val="18"/>
              </w:rPr>
              <w:t xml:space="preserve">are needed to obtain </w:t>
            </w:r>
            <w:r w:rsidRPr="00EC20A0">
              <w:rPr>
                <w:sz w:val="18"/>
              </w:rPr>
              <w:t>sufficient appropriate audit evidence about the operating effectiveness of the control activities listed in section VII for the period not covered by the report?</w:t>
            </w:r>
          </w:p>
        </w:tc>
        <w:tc>
          <w:tcPr>
            <w:tcW w:w="720" w:type="dxa"/>
            <w:tcBorders>
              <w:top w:val="single" w:sz="4" w:space="0" w:color="000000"/>
              <w:left w:val="single" w:sz="4" w:space="0" w:color="000000"/>
              <w:bottom w:val="single" w:sz="4" w:space="0" w:color="000000"/>
              <w:right w:val="single" w:sz="4" w:space="0" w:color="000000"/>
            </w:tcBorders>
          </w:tcPr>
          <w:p w14:paraId="24D601BF"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C0"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C1" w14:textId="77777777" w:rsidR="00245300" w:rsidRPr="00EC20A0" w:rsidRDefault="00245300">
            <w:pPr>
              <w:pStyle w:val="TableParagraph"/>
              <w:rPr>
                <w:sz w:val="18"/>
              </w:rPr>
            </w:pPr>
          </w:p>
        </w:tc>
      </w:tr>
      <w:tr w:rsidR="00245300" w:rsidRPr="00EC20A0" w14:paraId="24D601C8" w14:textId="77777777">
        <w:trPr>
          <w:trHeight w:val="1068"/>
        </w:trPr>
        <w:tc>
          <w:tcPr>
            <w:tcW w:w="6091" w:type="dxa"/>
            <w:tcBorders>
              <w:top w:val="single" w:sz="4" w:space="0" w:color="000000"/>
              <w:right w:val="single" w:sz="4" w:space="0" w:color="000000"/>
            </w:tcBorders>
          </w:tcPr>
          <w:p w14:paraId="24D601C3" w14:textId="77777777" w:rsidR="00245300" w:rsidRPr="00EC20A0" w:rsidRDefault="00F17249">
            <w:pPr>
              <w:pStyle w:val="TableParagraph"/>
              <w:spacing w:before="119"/>
              <w:ind w:left="673" w:right="179" w:hanging="270"/>
              <w:rPr>
                <w:sz w:val="18"/>
              </w:rPr>
            </w:pPr>
            <w:r w:rsidRPr="00EC20A0">
              <w:rPr>
                <w:sz w:val="18"/>
              </w:rPr>
              <w:t>a)</w:t>
            </w:r>
            <w:r w:rsidRPr="00EC20A0">
              <w:rPr>
                <w:spacing w:val="40"/>
                <w:sz w:val="18"/>
              </w:rPr>
              <w:t xml:space="preserve"> </w:t>
            </w:r>
            <w:r w:rsidRPr="00EC20A0">
              <w:rPr>
                <w:sz w:val="18"/>
              </w:rPr>
              <w:t>If</w:t>
            </w:r>
            <w:r w:rsidRPr="00EC20A0">
              <w:rPr>
                <w:spacing w:val="-4"/>
                <w:sz w:val="18"/>
              </w:rPr>
              <w:t xml:space="preserve"> </w:t>
            </w:r>
            <w:r w:rsidRPr="00EC20A0">
              <w:rPr>
                <w:sz w:val="18"/>
              </w:rPr>
              <w:t>the</w:t>
            </w:r>
            <w:r w:rsidRPr="00EC20A0">
              <w:rPr>
                <w:spacing w:val="-5"/>
                <w:sz w:val="18"/>
              </w:rPr>
              <w:t xml:space="preserve"> </w:t>
            </w:r>
            <w:r w:rsidRPr="00EC20A0">
              <w:rPr>
                <w:sz w:val="18"/>
              </w:rPr>
              <w:t>auditor</w:t>
            </w:r>
            <w:r w:rsidRPr="00EC20A0">
              <w:rPr>
                <w:spacing w:val="-4"/>
                <w:sz w:val="18"/>
              </w:rPr>
              <w:t xml:space="preserve"> </w:t>
            </w:r>
            <w:r w:rsidRPr="00EC20A0">
              <w:rPr>
                <w:sz w:val="18"/>
              </w:rPr>
              <w:t>determined</w:t>
            </w:r>
            <w:r w:rsidRPr="00EC20A0">
              <w:rPr>
                <w:spacing w:val="-5"/>
                <w:sz w:val="18"/>
              </w:rPr>
              <w:t xml:space="preserve"> </w:t>
            </w:r>
            <w:r w:rsidRPr="00EC20A0">
              <w:rPr>
                <w:sz w:val="18"/>
              </w:rPr>
              <w:t>that</w:t>
            </w:r>
            <w:r w:rsidRPr="00EC20A0">
              <w:rPr>
                <w:spacing w:val="-2"/>
                <w:sz w:val="18"/>
              </w:rPr>
              <w:t xml:space="preserve"> </w:t>
            </w:r>
            <w:r w:rsidRPr="00EC20A0">
              <w:rPr>
                <w:sz w:val="18"/>
              </w:rPr>
              <w:t>additional</w:t>
            </w:r>
            <w:r w:rsidRPr="00EC20A0">
              <w:rPr>
                <w:spacing w:val="-4"/>
                <w:sz w:val="18"/>
              </w:rPr>
              <w:t xml:space="preserve"> </w:t>
            </w:r>
            <w:r w:rsidRPr="00EC20A0">
              <w:rPr>
                <w:sz w:val="18"/>
              </w:rPr>
              <w:t>audit</w:t>
            </w:r>
            <w:r w:rsidRPr="00EC20A0">
              <w:rPr>
                <w:spacing w:val="-3"/>
                <w:sz w:val="18"/>
              </w:rPr>
              <w:t xml:space="preserve"> </w:t>
            </w:r>
            <w:r w:rsidRPr="00EC20A0">
              <w:rPr>
                <w:sz w:val="18"/>
              </w:rPr>
              <w:t>evidence</w:t>
            </w:r>
            <w:r w:rsidRPr="00EC20A0">
              <w:rPr>
                <w:spacing w:val="-5"/>
                <w:sz w:val="18"/>
              </w:rPr>
              <w:t xml:space="preserve"> </w:t>
            </w:r>
            <w:r w:rsidRPr="00EC20A0">
              <w:rPr>
                <w:sz w:val="18"/>
              </w:rPr>
              <w:t>is</w:t>
            </w:r>
            <w:r w:rsidRPr="00EC20A0">
              <w:rPr>
                <w:spacing w:val="-4"/>
                <w:sz w:val="18"/>
              </w:rPr>
              <w:t xml:space="preserve"> </w:t>
            </w:r>
            <w:r w:rsidRPr="00EC20A0">
              <w:rPr>
                <w:sz w:val="18"/>
              </w:rPr>
              <w:t>needed, did the auditor perform procedures to obtain such evidence?</w:t>
            </w:r>
          </w:p>
          <w:p w14:paraId="24D601C4" w14:textId="77777777" w:rsidR="00245300" w:rsidRPr="00EC20A0" w:rsidRDefault="00F17249">
            <w:pPr>
              <w:pStyle w:val="TableParagraph"/>
              <w:spacing w:before="101" w:line="200" w:lineRule="atLeast"/>
              <w:ind w:left="673" w:right="179"/>
              <w:rPr>
                <w:sz w:val="18"/>
              </w:rPr>
            </w:pPr>
            <w:r w:rsidRPr="00EC20A0">
              <w:rPr>
                <w:sz w:val="18"/>
              </w:rPr>
              <w:t>Additional</w:t>
            </w:r>
            <w:r w:rsidRPr="00EC20A0">
              <w:rPr>
                <w:spacing w:val="-6"/>
                <w:sz w:val="18"/>
              </w:rPr>
              <w:t xml:space="preserve"> </w:t>
            </w:r>
            <w:r w:rsidRPr="00EC20A0">
              <w:rPr>
                <w:sz w:val="18"/>
              </w:rPr>
              <w:t>procedures</w:t>
            </w:r>
            <w:r w:rsidRPr="00EC20A0">
              <w:rPr>
                <w:spacing w:val="-6"/>
                <w:sz w:val="18"/>
              </w:rPr>
              <w:t xml:space="preserve"> </w:t>
            </w:r>
            <w:r w:rsidRPr="00EC20A0">
              <w:rPr>
                <w:sz w:val="18"/>
              </w:rPr>
              <w:t>may</w:t>
            </w:r>
            <w:r w:rsidRPr="00EC20A0">
              <w:rPr>
                <w:spacing w:val="-6"/>
                <w:sz w:val="18"/>
              </w:rPr>
              <w:t xml:space="preserve"> </w:t>
            </w:r>
            <w:r w:rsidRPr="00EC20A0">
              <w:rPr>
                <w:sz w:val="18"/>
              </w:rPr>
              <w:t>include</w:t>
            </w:r>
            <w:r w:rsidRPr="00EC20A0">
              <w:rPr>
                <w:spacing w:val="-7"/>
                <w:sz w:val="18"/>
              </w:rPr>
              <w:t xml:space="preserve"> </w:t>
            </w:r>
            <w:r w:rsidRPr="00EC20A0">
              <w:rPr>
                <w:sz w:val="18"/>
              </w:rPr>
              <w:t>(a)</w:t>
            </w:r>
            <w:r w:rsidRPr="00EC20A0">
              <w:rPr>
                <w:spacing w:val="-6"/>
                <w:sz w:val="18"/>
              </w:rPr>
              <w:t xml:space="preserve"> </w:t>
            </w:r>
            <w:r w:rsidRPr="00EC20A0">
              <w:rPr>
                <w:sz w:val="18"/>
              </w:rPr>
              <w:t>reviewing</w:t>
            </w:r>
            <w:r w:rsidRPr="00EC20A0">
              <w:rPr>
                <w:spacing w:val="-7"/>
                <w:sz w:val="18"/>
              </w:rPr>
              <w:t xml:space="preserve"> </w:t>
            </w:r>
            <w:r w:rsidRPr="00EC20A0">
              <w:rPr>
                <w:sz w:val="18"/>
              </w:rPr>
              <w:t>a</w:t>
            </w:r>
            <w:r w:rsidRPr="00EC20A0">
              <w:rPr>
                <w:spacing w:val="-6"/>
                <w:sz w:val="18"/>
              </w:rPr>
              <w:t xml:space="preserve"> </w:t>
            </w:r>
            <w:r w:rsidRPr="00EC20A0">
              <w:rPr>
                <w:sz w:val="18"/>
              </w:rPr>
              <w:t>bridge/gap letter provided by the service organization indicating whether</w:t>
            </w:r>
          </w:p>
        </w:tc>
        <w:tc>
          <w:tcPr>
            <w:tcW w:w="720" w:type="dxa"/>
            <w:tcBorders>
              <w:top w:val="single" w:sz="4" w:space="0" w:color="000000"/>
              <w:left w:val="single" w:sz="4" w:space="0" w:color="000000"/>
              <w:right w:val="single" w:sz="4" w:space="0" w:color="000000"/>
            </w:tcBorders>
          </w:tcPr>
          <w:p w14:paraId="24D601C5" w14:textId="77777777" w:rsidR="00245300" w:rsidRPr="00EC20A0" w:rsidRDefault="00245300">
            <w:pPr>
              <w:pStyle w:val="TableParagraph"/>
              <w:rPr>
                <w:sz w:val="18"/>
              </w:rPr>
            </w:pPr>
          </w:p>
        </w:tc>
        <w:tc>
          <w:tcPr>
            <w:tcW w:w="1080" w:type="dxa"/>
            <w:tcBorders>
              <w:top w:val="single" w:sz="4" w:space="0" w:color="000000"/>
              <w:left w:val="single" w:sz="4" w:space="0" w:color="000000"/>
              <w:right w:val="single" w:sz="4" w:space="0" w:color="000000"/>
            </w:tcBorders>
          </w:tcPr>
          <w:p w14:paraId="24D601C6" w14:textId="77777777" w:rsidR="00245300" w:rsidRPr="00EC20A0" w:rsidRDefault="00245300">
            <w:pPr>
              <w:pStyle w:val="TableParagraph"/>
              <w:rPr>
                <w:sz w:val="18"/>
              </w:rPr>
            </w:pPr>
          </w:p>
        </w:tc>
        <w:tc>
          <w:tcPr>
            <w:tcW w:w="1379" w:type="dxa"/>
            <w:tcBorders>
              <w:top w:val="single" w:sz="4" w:space="0" w:color="000000"/>
              <w:left w:val="single" w:sz="4" w:space="0" w:color="000000"/>
            </w:tcBorders>
          </w:tcPr>
          <w:p w14:paraId="24D601C7" w14:textId="77777777" w:rsidR="00245300" w:rsidRPr="00EC20A0" w:rsidRDefault="00245300">
            <w:pPr>
              <w:pStyle w:val="TableParagraph"/>
              <w:rPr>
                <w:sz w:val="18"/>
              </w:rPr>
            </w:pPr>
          </w:p>
        </w:tc>
      </w:tr>
    </w:tbl>
    <w:p w14:paraId="24D601C9"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601CA" w14:textId="77777777" w:rsidR="00245300" w:rsidRPr="00EC20A0" w:rsidRDefault="00245300">
      <w:pPr>
        <w:pStyle w:val="BodyText"/>
        <w:spacing w:before="4"/>
        <w:rPr>
          <w:sz w:val="11"/>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245300" w:rsidRPr="00EC20A0" w14:paraId="24D601D3" w14:textId="77777777">
        <w:trPr>
          <w:trHeight w:val="860"/>
        </w:trPr>
        <w:tc>
          <w:tcPr>
            <w:tcW w:w="6091" w:type="dxa"/>
            <w:tcBorders>
              <w:right w:val="single" w:sz="4" w:space="0" w:color="000000"/>
            </w:tcBorders>
          </w:tcPr>
          <w:p w14:paraId="24D601CB" w14:textId="77777777" w:rsidR="00245300" w:rsidRPr="00EC20A0" w:rsidRDefault="00245300">
            <w:pPr>
              <w:pStyle w:val="TableParagraph"/>
              <w:rPr>
                <w:sz w:val="18"/>
              </w:rPr>
            </w:pPr>
          </w:p>
          <w:p w14:paraId="24D601CC" w14:textId="77777777" w:rsidR="00245300" w:rsidRPr="00EC20A0" w:rsidRDefault="00245300">
            <w:pPr>
              <w:pStyle w:val="TableParagraph"/>
              <w:spacing w:before="121"/>
              <w:rPr>
                <w:sz w:val="18"/>
              </w:rPr>
            </w:pPr>
          </w:p>
          <w:p w14:paraId="24D601CD" w14:textId="77777777" w:rsidR="00245300" w:rsidRPr="00EC20A0" w:rsidRDefault="00F17249">
            <w:pPr>
              <w:pStyle w:val="TableParagraph"/>
              <w:ind w:left="105"/>
              <w:rPr>
                <w:b/>
                <w:sz w:val="18"/>
              </w:rPr>
            </w:pPr>
            <w:r w:rsidRPr="00EC20A0">
              <w:rPr>
                <w:b/>
                <w:spacing w:val="-2"/>
                <w:sz w:val="18"/>
              </w:rPr>
              <w:t>Questions</w:t>
            </w:r>
          </w:p>
        </w:tc>
        <w:tc>
          <w:tcPr>
            <w:tcW w:w="720" w:type="dxa"/>
            <w:tcBorders>
              <w:left w:val="single" w:sz="4" w:space="0" w:color="000000"/>
              <w:right w:val="single" w:sz="4" w:space="0" w:color="000000"/>
            </w:tcBorders>
          </w:tcPr>
          <w:p w14:paraId="24D601CE" w14:textId="77777777" w:rsidR="00245300" w:rsidRPr="00EC20A0" w:rsidRDefault="00F17249">
            <w:pPr>
              <w:pStyle w:val="TableParagraph"/>
              <w:spacing w:before="119"/>
              <w:ind w:left="205" w:right="164" w:hanging="30"/>
              <w:jc w:val="both"/>
              <w:rPr>
                <w:b/>
                <w:sz w:val="18"/>
              </w:rPr>
            </w:pPr>
            <w:r w:rsidRPr="00EC20A0">
              <w:rPr>
                <w:b/>
                <w:spacing w:val="-4"/>
                <w:sz w:val="18"/>
              </w:rPr>
              <w:t xml:space="preserve">Yes, No, </w:t>
            </w:r>
            <w:r w:rsidRPr="00EC20A0">
              <w:rPr>
                <w:b/>
                <w:spacing w:val="-5"/>
                <w:sz w:val="18"/>
              </w:rPr>
              <w:t>N/A</w:t>
            </w:r>
          </w:p>
        </w:tc>
        <w:tc>
          <w:tcPr>
            <w:tcW w:w="1080" w:type="dxa"/>
            <w:tcBorders>
              <w:left w:val="single" w:sz="4" w:space="0" w:color="000000"/>
              <w:right w:val="single" w:sz="4" w:space="0" w:color="000000"/>
            </w:tcBorders>
          </w:tcPr>
          <w:p w14:paraId="24D601CF" w14:textId="77777777" w:rsidR="00245300" w:rsidRPr="00EC20A0" w:rsidRDefault="00245300">
            <w:pPr>
              <w:pStyle w:val="TableParagraph"/>
              <w:spacing w:before="119"/>
              <w:rPr>
                <w:sz w:val="18"/>
              </w:rPr>
            </w:pPr>
          </w:p>
          <w:p w14:paraId="24D601D0" w14:textId="77777777" w:rsidR="00245300" w:rsidRPr="00EC20A0" w:rsidRDefault="00F17249">
            <w:pPr>
              <w:pStyle w:val="TableParagraph"/>
              <w:ind w:left="168" w:firstLine="85"/>
              <w:rPr>
                <w:b/>
                <w:sz w:val="18"/>
              </w:rPr>
            </w:pPr>
            <w:r w:rsidRPr="00EC20A0">
              <w:rPr>
                <w:b/>
                <w:spacing w:val="-2"/>
                <w:sz w:val="18"/>
              </w:rPr>
              <w:t xml:space="preserve">Initials </w:t>
            </w:r>
            <w:r w:rsidRPr="00EC20A0">
              <w:rPr>
                <w:b/>
                <w:sz w:val="18"/>
              </w:rPr>
              <w:t>and</w:t>
            </w:r>
            <w:r w:rsidRPr="00EC20A0">
              <w:rPr>
                <w:b/>
                <w:spacing w:val="-1"/>
                <w:sz w:val="18"/>
              </w:rPr>
              <w:t xml:space="preserve"> </w:t>
            </w:r>
            <w:r w:rsidRPr="00EC20A0">
              <w:rPr>
                <w:b/>
                <w:spacing w:val="-4"/>
                <w:sz w:val="18"/>
              </w:rPr>
              <w:t>date</w:t>
            </w:r>
          </w:p>
        </w:tc>
        <w:tc>
          <w:tcPr>
            <w:tcW w:w="1379" w:type="dxa"/>
            <w:tcBorders>
              <w:left w:val="single" w:sz="4" w:space="0" w:color="000000"/>
            </w:tcBorders>
          </w:tcPr>
          <w:p w14:paraId="24D601D1" w14:textId="77777777" w:rsidR="00245300" w:rsidRPr="00EC20A0" w:rsidRDefault="00245300">
            <w:pPr>
              <w:pStyle w:val="TableParagraph"/>
              <w:spacing w:before="119"/>
              <w:rPr>
                <w:sz w:val="18"/>
              </w:rPr>
            </w:pPr>
          </w:p>
          <w:p w14:paraId="24D601D2" w14:textId="77777777" w:rsidR="00245300" w:rsidRPr="00EC20A0" w:rsidRDefault="00F17249">
            <w:pPr>
              <w:pStyle w:val="TableParagraph"/>
              <w:ind w:left="233" w:firstLine="14"/>
              <w:rPr>
                <w:b/>
                <w:sz w:val="18"/>
              </w:rPr>
            </w:pPr>
            <w:r w:rsidRPr="00EC20A0">
              <w:rPr>
                <w:b/>
                <w:sz w:val="18"/>
              </w:rPr>
              <w:t>Audit</w:t>
            </w:r>
            <w:r w:rsidRPr="00EC20A0">
              <w:rPr>
                <w:b/>
                <w:spacing w:val="-13"/>
                <w:sz w:val="18"/>
              </w:rPr>
              <w:t xml:space="preserve"> </w:t>
            </w:r>
            <w:r w:rsidRPr="00EC20A0">
              <w:rPr>
                <w:b/>
                <w:sz w:val="18"/>
              </w:rPr>
              <w:t xml:space="preserve">doc. </w:t>
            </w:r>
            <w:r w:rsidRPr="00EC20A0">
              <w:rPr>
                <w:b/>
                <w:spacing w:val="-2"/>
                <w:sz w:val="18"/>
              </w:rPr>
              <w:t>references</w:t>
            </w:r>
          </w:p>
        </w:tc>
      </w:tr>
      <w:tr w:rsidR="00245300" w:rsidRPr="00EC20A0" w14:paraId="24D601D8" w14:textId="77777777">
        <w:trPr>
          <w:trHeight w:val="1155"/>
        </w:trPr>
        <w:tc>
          <w:tcPr>
            <w:tcW w:w="6091" w:type="dxa"/>
            <w:tcBorders>
              <w:bottom w:val="single" w:sz="4" w:space="0" w:color="000000"/>
              <w:right w:val="single" w:sz="4" w:space="0" w:color="000000"/>
            </w:tcBorders>
          </w:tcPr>
          <w:p w14:paraId="24D601D4" w14:textId="77777777" w:rsidR="00245300" w:rsidRPr="00EC20A0" w:rsidRDefault="00F17249">
            <w:pPr>
              <w:pStyle w:val="TableParagraph"/>
              <w:ind w:left="672" w:right="63"/>
              <w:rPr>
                <w:sz w:val="18"/>
              </w:rPr>
            </w:pPr>
            <w:r w:rsidRPr="00EC20A0">
              <w:rPr>
                <w:sz w:val="18"/>
              </w:rPr>
              <w:t>there have been material changes in the service organization’s controls</w:t>
            </w:r>
            <w:r w:rsidRPr="00EC20A0">
              <w:rPr>
                <w:spacing w:val="-3"/>
                <w:sz w:val="18"/>
              </w:rPr>
              <w:t xml:space="preserve"> </w:t>
            </w:r>
            <w:r w:rsidRPr="00EC20A0">
              <w:rPr>
                <w:sz w:val="18"/>
              </w:rPr>
              <w:t>subsequent</w:t>
            </w:r>
            <w:r w:rsidRPr="00EC20A0">
              <w:rPr>
                <w:spacing w:val="-3"/>
                <w:sz w:val="18"/>
              </w:rPr>
              <w:t xml:space="preserve"> </w:t>
            </w:r>
            <w:r w:rsidRPr="00EC20A0">
              <w:rPr>
                <w:sz w:val="18"/>
              </w:rPr>
              <w:t>to</w:t>
            </w:r>
            <w:r w:rsidRPr="00EC20A0">
              <w:rPr>
                <w:spacing w:val="-4"/>
                <w:sz w:val="18"/>
              </w:rPr>
              <w:t xml:space="preserve"> </w:t>
            </w:r>
            <w:r w:rsidRPr="00EC20A0">
              <w:rPr>
                <w:sz w:val="18"/>
              </w:rPr>
              <w:t>the</w:t>
            </w:r>
            <w:r w:rsidRPr="00EC20A0">
              <w:rPr>
                <w:spacing w:val="-4"/>
                <w:sz w:val="18"/>
              </w:rPr>
              <w:t xml:space="preserve"> </w:t>
            </w:r>
            <w:r w:rsidRPr="00EC20A0">
              <w:rPr>
                <w:sz w:val="18"/>
              </w:rPr>
              <w:t>period</w:t>
            </w:r>
            <w:r w:rsidRPr="00EC20A0">
              <w:rPr>
                <w:spacing w:val="-4"/>
                <w:sz w:val="18"/>
              </w:rPr>
              <w:t xml:space="preserve"> </w:t>
            </w:r>
            <w:r w:rsidRPr="00EC20A0">
              <w:rPr>
                <w:sz w:val="18"/>
              </w:rPr>
              <w:t>covered</w:t>
            </w:r>
            <w:r w:rsidRPr="00EC20A0">
              <w:rPr>
                <w:spacing w:val="-4"/>
                <w:sz w:val="18"/>
              </w:rPr>
              <w:t xml:space="preserve"> </w:t>
            </w:r>
            <w:r w:rsidRPr="00EC20A0">
              <w:rPr>
                <w:sz w:val="18"/>
              </w:rPr>
              <w:t>by</w:t>
            </w:r>
            <w:r w:rsidRPr="00EC20A0">
              <w:rPr>
                <w:spacing w:val="-3"/>
                <w:sz w:val="18"/>
              </w:rPr>
              <w:t xml:space="preserve"> </w:t>
            </w:r>
            <w:r w:rsidRPr="00EC20A0">
              <w:rPr>
                <w:sz w:val="18"/>
              </w:rPr>
              <w:t>the</w:t>
            </w:r>
            <w:r w:rsidRPr="00EC20A0">
              <w:rPr>
                <w:spacing w:val="-4"/>
                <w:sz w:val="18"/>
              </w:rPr>
              <w:t xml:space="preserve"> </w:t>
            </w:r>
            <w:r w:rsidRPr="00EC20A0">
              <w:rPr>
                <w:sz w:val="18"/>
              </w:rPr>
              <w:t>type</w:t>
            </w:r>
            <w:r w:rsidRPr="00EC20A0">
              <w:rPr>
                <w:spacing w:val="-4"/>
                <w:sz w:val="18"/>
              </w:rPr>
              <w:t xml:space="preserve"> </w:t>
            </w:r>
            <w:r w:rsidRPr="00EC20A0">
              <w:rPr>
                <w:sz w:val="18"/>
              </w:rPr>
              <w:t>2</w:t>
            </w:r>
            <w:r w:rsidRPr="00EC20A0">
              <w:rPr>
                <w:spacing w:val="-3"/>
                <w:sz w:val="18"/>
              </w:rPr>
              <w:t xml:space="preserve"> </w:t>
            </w:r>
            <w:r w:rsidRPr="00EC20A0">
              <w:rPr>
                <w:sz w:val="18"/>
              </w:rPr>
              <w:t>report,</w:t>
            </w:r>
            <w:r w:rsidRPr="00EC20A0">
              <w:rPr>
                <w:spacing w:val="-3"/>
                <w:sz w:val="18"/>
              </w:rPr>
              <w:t xml:space="preserve"> </w:t>
            </w:r>
            <w:r w:rsidRPr="00EC20A0">
              <w:rPr>
                <w:sz w:val="18"/>
              </w:rPr>
              <w:t xml:space="preserve">(b) reviewing a service organization report(s) for additional time periods, or (c) testing the operating </w:t>
            </w:r>
            <w:r w:rsidRPr="00EC20A0">
              <w:rPr>
                <w:sz w:val="18"/>
              </w:rPr>
              <w:t>effectiveness of relevant controls at the service organization.</w:t>
            </w:r>
          </w:p>
        </w:tc>
        <w:tc>
          <w:tcPr>
            <w:tcW w:w="720" w:type="dxa"/>
            <w:tcBorders>
              <w:left w:val="single" w:sz="4" w:space="0" w:color="000000"/>
              <w:bottom w:val="single" w:sz="4" w:space="0" w:color="000000"/>
              <w:right w:val="single" w:sz="4" w:space="0" w:color="000000"/>
            </w:tcBorders>
          </w:tcPr>
          <w:p w14:paraId="24D601D5" w14:textId="77777777" w:rsidR="00245300" w:rsidRPr="00EC20A0" w:rsidRDefault="00245300">
            <w:pPr>
              <w:pStyle w:val="TableParagraph"/>
              <w:rPr>
                <w:sz w:val="18"/>
              </w:rPr>
            </w:pPr>
          </w:p>
        </w:tc>
        <w:tc>
          <w:tcPr>
            <w:tcW w:w="1080" w:type="dxa"/>
            <w:tcBorders>
              <w:left w:val="single" w:sz="4" w:space="0" w:color="000000"/>
              <w:bottom w:val="single" w:sz="4" w:space="0" w:color="000000"/>
              <w:right w:val="single" w:sz="4" w:space="0" w:color="000000"/>
            </w:tcBorders>
          </w:tcPr>
          <w:p w14:paraId="24D601D6" w14:textId="77777777" w:rsidR="00245300" w:rsidRPr="00EC20A0" w:rsidRDefault="00245300">
            <w:pPr>
              <w:pStyle w:val="TableParagraph"/>
              <w:rPr>
                <w:sz w:val="18"/>
              </w:rPr>
            </w:pPr>
          </w:p>
        </w:tc>
        <w:tc>
          <w:tcPr>
            <w:tcW w:w="1379" w:type="dxa"/>
            <w:tcBorders>
              <w:left w:val="single" w:sz="4" w:space="0" w:color="000000"/>
              <w:bottom w:val="single" w:sz="4" w:space="0" w:color="000000"/>
            </w:tcBorders>
          </w:tcPr>
          <w:p w14:paraId="24D601D7" w14:textId="77777777" w:rsidR="00245300" w:rsidRPr="00EC20A0" w:rsidRDefault="00245300">
            <w:pPr>
              <w:pStyle w:val="TableParagraph"/>
              <w:rPr>
                <w:sz w:val="18"/>
              </w:rPr>
            </w:pPr>
          </w:p>
        </w:tc>
      </w:tr>
      <w:tr w:rsidR="00245300" w:rsidRPr="00EC20A0" w14:paraId="24D601DF" w14:textId="77777777">
        <w:trPr>
          <w:trHeight w:val="2429"/>
        </w:trPr>
        <w:tc>
          <w:tcPr>
            <w:tcW w:w="6091" w:type="dxa"/>
            <w:tcBorders>
              <w:top w:val="single" w:sz="4" w:space="0" w:color="000000"/>
              <w:bottom w:val="single" w:sz="4" w:space="0" w:color="000000"/>
              <w:right w:val="single" w:sz="4" w:space="0" w:color="000000"/>
            </w:tcBorders>
          </w:tcPr>
          <w:p w14:paraId="24D601D9" w14:textId="77777777" w:rsidR="00245300" w:rsidRPr="00EC20A0" w:rsidRDefault="00F17249">
            <w:pPr>
              <w:pStyle w:val="TableParagraph"/>
              <w:spacing w:before="119"/>
              <w:ind w:left="105"/>
              <w:rPr>
                <w:b/>
                <w:sz w:val="18"/>
              </w:rPr>
            </w:pPr>
            <w:r w:rsidRPr="00EC20A0">
              <w:rPr>
                <w:sz w:val="18"/>
              </w:rPr>
              <w:t>5)</w:t>
            </w:r>
            <w:r w:rsidRPr="00EC20A0">
              <w:rPr>
                <w:spacing w:val="73"/>
                <w:sz w:val="18"/>
              </w:rPr>
              <w:t xml:space="preserve"> </w:t>
            </w:r>
            <w:r w:rsidRPr="00EC20A0">
              <w:rPr>
                <w:b/>
                <w:sz w:val="18"/>
              </w:rPr>
              <w:t>[For</w:t>
            </w:r>
            <w:r w:rsidRPr="00EC20A0">
              <w:rPr>
                <w:b/>
                <w:spacing w:val="-1"/>
                <w:sz w:val="18"/>
              </w:rPr>
              <w:t xml:space="preserve"> </w:t>
            </w:r>
            <w:r w:rsidRPr="00EC20A0">
              <w:rPr>
                <w:b/>
                <w:sz w:val="18"/>
              </w:rPr>
              <w:t>audits</w:t>
            </w:r>
            <w:r w:rsidRPr="00EC20A0">
              <w:rPr>
                <w:b/>
                <w:spacing w:val="-4"/>
                <w:sz w:val="18"/>
              </w:rPr>
              <w:t xml:space="preserve"> </w:t>
            </w:r>
            <w:r w:rsidRPr="00EC20A0">
              <w:rPr>
                <w:b/>
                <w:sz w:val="18"/>
              </w:rPr>
              <w:t>of</w:t>
            </w:r>
            <w:r w:rsidRPr="00EC20A0">
              <w:rPr>
                <w:b/>
                <w:spacing w:val="-2"/>
                <w:sz w:val="18"/>
              </w:rPr>
              <w:t xml:space="preserve"> </w:t>
            </w:r>
            <w:r w:rsidRPr="00EC20A0">
              <w:rPr>
                <w:b/>
                <w:sz w:val="18"/>
              </w:rPr>
              <w:t>internal</w:t>
            </w:r>
            <w:r w:rsidRPr="00EC20A0">
              <w:rPr>
                <w:b/>
                <w:spacing w:val="-2"/>
                <w:sz w:val="18"/>
              </w:rPr>
              <w:t xml:space="preserve"> </w:t>
            </w:r>
            <w:r w:rsidRPr="00EC20A0">
              <w:rPr>
                <w:b/>
                <w:sz w:val="18"/>
              </w:rPr>
              <w:t>control</w:t>
            </w:r>
            <w:r w:rsidRPr="00EC20A0">
              <w:rPr>
                <w:b/>
                <w:spacing w:val="-1"/>
                <w:sz w:val="18"/>
              </w:rPr>
              <w:t xml:space="preserve"> </w:t>
            </w:r>
            <w:r w:rsidRPr="00EC20A0">
              <w:rPr>
                <w:b/>
                <w:sz w:val="18"/>
              </w:rPr>
              <w:t>over</w:t>
            </w:r>
            <w:r w:rsidRPr="00EC20A0">
              <w:rPr>
                <w:b/>
                <w:spacing w:val="-3"/>
                <w:sz w:val="18"/>
              </w:rPr>
              <w:t xml:space="preserve"> </w:t>
            </w:r>
            <w:r w:rsidRPr="00EC20A0">
              <w:rPr>
                <w:b/>
                <w:sz w:val="18"/>
              </w:rPr>
              <w:t>financial</w:t>
            </w:r>
            <w:r w:rsidRPr="00EC20A0">
              <w:rPr>
                <w:b/>
                <w:spacing w:val="-1"/>
                <w:sz w:val="18"/>
              </w:rPr>
              <w:t xml:space="preserve"> </w:t>
            </w:r>
            <w:r w:rsidRPr="00EC20A0">
              <w:rPr>
                <w:b/>
                <w:spacing w:val="-2"/>
                <w:sz w:val="18"/>
              </w:rPr>
              <w:t>reporting]</w:t>
            </w:r>
          </w:p>
          <w:p w14:paraId="24D601DA" w14:textId="77777777" w:rsidR="00245300" w:rsidRPr="00EC20A0" w:rsidRDefault="00F17249">
            <w:pPr>
              <w:pStyle w:val="TableParagraph"/>
              <w:ind w:left="391" w:right="179" w:firstLine="1"/>
              <w:rPr>
                <w:sz w:val="18"/>
              </w:rPr>
            </w:pPr>
            <w:r w:rsidRPr="00EC20A0">
              <w:rPr>
                <w:sz w:val="18"/>
              </w:rPr>
              <w:t xml:space="preserve">If a significant period of time has elapsed between the time period covered by the report and the balance sheet date, did </w:t>
            </w:r>
            <w:r w:rsidRPr="00EC20A0">
              <w:rPr>
                <w:sz w:val="18"/>
              </w:rPr>
              <w:t>the auditor perform</w:t>
            </w:r>
            <w:r w:rsidRPr="00EC20A0">
              <w:rPr>
                <w:spacing w:val="-6"/>
                <w:sz w:val="18"/>
              </w:rPr>
              <w:t xml:space="preserve"> </w:t>
            </w:r>
            <w:r w:rsidRPr="00EC20A0">
              <w:rPr>
                <w:sz w:val="18"/>
              </w:rPr>
              <w:t>additional</w:t>
            </w:r>
            <w:r w:rsidRPr="00EC20A0">
              <w:rPr>
                <w:spacing w:val="-6"/>
                <w:sz w:val="18"/>
              </w:rPr>
              <w:t xml:space="preserve"> </w:t>
            </w:r>
            <w:r w:rsidRPr="00EC20A0">
              <w:rPr>
                <w:sz w:val="18"/>
              </w:rPr>
              <w:t>procedures</w:t>
            </w:r>
            <w:r w:rsidRPr="00EC20A0">
              <w:rPr>
                <w:spacing w:val="-5"/>
                <w:sz w:val="18"/>
              </w:rPr>
              <w:t xml:space="preserve"> </w:t>
            </w:r>
            <w:r w:rsidRPr="00EC20A0">
              <w:rPr>
                <w:sz w:val="18"/>
              </w:rPr>
              <w:t>to</w:t>
            </w:r>
            <w:r w:rsidRPr="00EC20A0">
              <w:rPr>
                <w:spacing w:val="-7"/>
                <w:sz w:val="18"/>
              </w:rPr>
              <w:t xml:space="preserve"> </w:t>
            </w:r>
            <w:r w:rsidRPr="00EC20A0">
              <w:rPr>
                <w:sz w:val="18"/>
              </w:rPr>
              <w:t>obtain</w:t>
            </w:r>
            <w:r w:rsidRPr="00EC20A0">
              <w:rPr>
                <w:spacing w:val="-7"/>
                <w:sz w:val="18"/>
              </w:rPr>
              <w:t xml:space="preserve"> </w:t>
            </w:r>
            <w:r w:rsidRPr="00EC20A0">
              <w:rPr>
                <w:sz w:val="18"/>
              </w:rPr>
              <w:t>sufficient</w:t>
            </w:r>
            <w:r w:rsidRPr="00EC20A0">
              <w:rPr>
                <w:spacing w:val="-6"/>
                <w:sz w:val="18"/>
              </w:rPr>
              <w:t xml:space="preserve"> </w:t>
            </w:r>
            <w:r w:rsidRPr="00EC20A0">
              <w:rPr>
                <w:sz w:val="18"/>
              </w:rPr>
              <w:t>appropriate</w:t>
            </w:r>
            <w:r w:rsidRPr="00EC20A0">
              <w:rPr>
                <w:spacing w:val="-7"/>
                <w:sz w:val="18"/>
              </w:rPr>
              <w:t xml:space="preserve"> </w:t>
            </w:r>
            <w:r w:rsidRPr="00EC20A0">
              <w:rPr>
                <w:sz w:val="18"/>
              </w:rPr>
              <w:t>audit evidence about</w:t>
            </w:r>
            <w:r w:rsidRPr="00EC20A0">
              <w:rPr>
                <w:spacing w:val="-1"/>
                <w:sz w:val="18"/>
              </w:rPr>
              <w:t xml:space="preserve"> </w:t>
            </w:r>
            <w:r w:rsidRPr="00EC20A0">
              <w:rPr>
                <w:sz w:val="18"/>
              </w:rPr>
              <w:t>the</w:t>
            </w:r>
            <w:r w:rsidRPr="00EC20A0">
              <w:rPr>
                <w:spacing w:val="-1"/>
                <w:sz w:val="18"/>
              </w:rPr>
              <w:t xml:space="preserve"> </w:t>
            </w:r>
            <w:r w:rsidRPr="00EC20A0">
              <w:rPr>
                <w:sz w:val="18"/>
              </w:rPr>
              <w:t>operating effectiveness of</w:t>
            </w:r>
            <w:r w:rsidRPr="00EC20A0">
              <w:rPr>
                <w:spacing w:val="-1"/>
                <w:sz w:val="18"/>
              </w:rPr>
              <w:t xml:space="preserve"> </w:t>
            </w:r>
            <w:r w:rsidRPr="00EC20A0">
              <w:rPr>
                <w:sz w:val="18"/>
              </w:rPr>
              <w:t>the</w:t>
            </w:r>
            <w:r w:rsidRPr="00EC20A0">
              <w:rPr>
                <w:spacing w:val="-1"/>
                <w:sz w:val="18"/>
              </w:rPr>
              <w:t xml:space="preserve"> </w:t>
            </w:r>
            <w:r w:rsidRPr="00EC20A0">
              <w:rPr>
                <w:sz w:val="18"/>
              </w:rPr>
              <w:t>control</w:t>
            </w:r>
            <w:r w:rsidRPr="00EC20A0">
              <w:rPr>
                <w:spacing w:val="-1"/>
                <w:sz w:val="18"/>
              </w:rPr>
              <w:t xml:space="preserve"> </w:t>
            </w:r>
            <w:r w:rsidRPr="00EC20A0">
              <w:rPr>
                <w:sz w:val="18"/>
              </w:rPr>
              <w:t>activities listed in section VII as of the balance sheet date?</w:t>
            </w:r>
          </w:p>
          <w:p w14:paraId="24D601DB" w14:textId="77777777" w:rsidR="00245300" w:rsidRPr="00EC20A0" w:rsidRDefault="00F17249">
            <w:pPr>
              <w:pStyle w:val="TableParagraph"/>
              <w:spacing w:before="120"/>
              <w:ind w:left="392" w:right="199"/>
              <w:rPr>
                <w:sz w:val="18"/>
              </w:rPr>
            </w:pPr>
            <w:r w:rsidRPr="00EC20A0">
              <w:rPr>
                <w:sz w:val="18"/>
              </w:rPr>
              <w:t>Additional</w:t>
            </w:r>
            <w:r w:rsidRPr="00EC20A0">
              <w:rPr>
                <w:spacing w:val="-5"/>
                <w:sz w:val="18"/>
              </w:rPr>
              <w:t xml:space="preserve"> </w:t>
            </w:r>
            <w:r w:rsidRPr="00EC20A0">
              <w:rPr>
                <w:sz w:val="18"/>
              </w:rPr>
              <w:t>procedures</w:t>
            </w:r>
            <w:r w:rsidRPr="00EC20A0">
              <w:rPr>
                <w:spacing w:val="-5"/>
                <w:sz w:val="18"/>
              </w:rPr>
              <w:t xml:space="preserve"> </w:t>
            </w:r>
            <w:r w:rsidRPr="00EC20A0">
              <w:rPr>
                <w:sz w:val="18"/>
              </w:rPr>
              <w:t>may</w:t>
            </w:r>
            <w:r w:rsidRPr="00EC20A0">
              <w:rPr>
                <w:spacing w:val="-5"/>
                <w:sz w:val="18"/>
              </w:rPr>
              <w:t xml:space="preserve"> </w:t>
            </w:r>
            <w:r w:rsidRPr="00EC20A0">
              <w:rPr>
                <w:sz w:val="18"/>
              </w:rPr>
              <w:t>include</w:t>
            </w:r>
            <w:r w:rsidRPr="00EC20A0">
              <w:rPr>
                <w:spacing w:val="-6"/>
                <w:sz w:val="18"/>
              </w:rPr>
              <w:t xml:space="preserve"> </w:t>
            </w:r>
            <w:r w:rsidRPr="00EC20A0">
              <w:rPr>
                <w:sz w:val="18"/>
              </w:rPr>
              <w:t>(a)</w:t>
            </w:r>
            <w:r w:rsidRPr="00EC20A0">
              <w:rPr>
                <w:spacing w:val="-5"/>
                <w:sz w:val="18"/>
              </w:rPr>
              <w:t xml:space="preserve"> </w:t>
            </w:r>
            <w:r w:rsidRPr="00EC20A0">
              <w:rPr>
                <w:sz w:val="18"/>
              </w:rPr>
              <w:t>reviewing</w:t>
            </w:r>
            <w:r w:rsidRPr="00EC20A0">
              <w:rPr>
                <w:spacing w:val="-5"/>
                <w:sz w:val="18"/>
              </w:rPr>
              <w:t xml:space="preserve"> </w:t>
            </w:r>
            <w:r w:rsidRPr="00EC20A0">
              <w:rPr>
                <w:sz w:val="18"/>
              </w:rPr>
              <w:t>a</w:t>
            </w:r>
            <w:r w:rsidRPr="00EC20A0">
              <w:rPr>
                <w:spacing w:val="-6"/>
                <w:sz w:val="18"/>
              </w:rPr>
              <w:t xml:space="preserve"> </w:t>
            </w:r>
            <w:r w:rsidRPr="00EC20A0">
              <w:rPr>
                <w:sz w:val="18"/>
              </w:rPr>
              <w:t>bridge/gap</w:t>
            </w:r>
            <w:r w:rsidRPr="00EC20A0">
              <w:rPr>
                <w:spacing w:val="-5"/>
                <w:sz w:val="18"/>
              </w:rPr>
              <w:t xml:space="preserve"> </w:t>
            </w:r>
            <w:r w:rsidRPr="00EC20A0">
              <w:rPr>
                <w:sz w:val="18"/>
              </w:rPr>
              <w:t>letter (or equivalent), (b) reviewing a service organization report(s) for additional</w:t>
            </w:r>
            <w:r w:rsidRPr="00EC20A0">
              <w:rPr>
                <w:spacing w:val="-1"/>
                <w:sz w:val="18"/>
              </w:rPr>
              <w:t xml:space="preserve"> </w:t>
            </w:r>
            <w:r w:rsidRPr="00EC20A0">
              <w:rPr>
                <w:sz w:val="18"/>
              </w:rPr>
              <w:t>time periods,</w:t>
            </w:r>
            <w:r w:rsidRPr="00EC20A0">
              <w:rPr>
                <w:spacing w:val="-1"/>
                <w:sz w:val="18"/>
              </w:rPr>
              <w:t xml:space="preserve"> </w:t>
            </w:r>
            <w:r w:rsidRPr="00EC20A0">
              <w:rPr>
                <w:sz w:val="18"/>
              </w:rPr>
              <w:t>or</w:t>
            </w:r>
            <w:r w:rsidRPr="00EC20A0">
              <w:rPr>
                <w:spacing w:val="-1"/>
                <w:sz w:val="18"/>
              </w:rPr>
              <w:t xml:space="preserve"> </w:t>
            </w:r>
            <w:r w:rsidRPr="00EC20A0">
              <w:rPr>
                <w:sz w:val="18"/>
              </w:rPr>
              <w:t>(c)</w:t>
            </w:r>
            <w:r w:rsidRPr="00EC20A0">
              <w:rPr>
                <w:spacing w:val="-1"/>
                <w:sz w:val="18"/>
              </w:rPr>
              <w:t xml:space="preserve"> </w:t>
            </w:r>
            <w:r w:rsidRPr="00EC20A0">
              <w:rPr>
                <w:sz w:val="18"/>
              </w:rPr>
              <w:t>testing</w:t>
            </w:r>
            <w:r w:rsidRPr="00EC20A0">
              <w:rPr>
                <w:spacing w:val="-2"/>
                <w:sz w:val="18"/>
              </w:rPr>
              <w:t xml:space="preserve"> </w:t>
            </w:r>
            <w:r w:rsidRPr="00EC20A0">
              <w:rPr>
                <w:sz w:val="18"/>
              </w:rPr>
              <w:t>the operating</w:t>
            </w:r>
            <w:r w:rsidRPr="00EC20A0">
              <w:rPr>
                <w:spacing w:val="-2"/>
                <w:sz w:val="18"/>
              </w:rPr>
              <w:t xml:space="preserve"> </w:t>
            </w:r>
            <w:r w:rsidRPr="00EC20A0">
              <w:rPr>
                <w:sz w:val="18"/>
              </w:rPr>
              <w:t>effectiveness</w:t>
            </w:r>
            <w:r w:rsidRPr="00EC20A0">
              <w:rPr>
                <w:spacing w:val="-1"/>
                <w:sz w:val="18"/>
              </w:rPr>
              <w:t xml:space="preserve"> </w:t>
            </w:r>
            <w:r w:rsidRPr="00EC20A0">
              <w:rPr>
                <w:sz w:val="18"/>
              </w:rPr>
              <w:t>of relevant controls at the service organization.</w:t>
            </w:r>
          </w:p>
        </w:tc>
        <w:tc>
          <w:tcPr>
            <w:tcW w:w="720" w:type="dxa"/>
            <w:tcBorders>
              <w:top w:val="single" w:sz="4" w:space="0" w:color="000000"/>
              <w:left w:val="single" w:sz="4" w:space="0" w:color="000000"/>
              <w:bottom w:val="single" w:sz="4" w:space="0" w:color="000000"/>
              <w:right w:val="single" w:sz="4" w:space="0" w:color="000000"/>
            </w:tcBorders>
          </w:tcPr>
          <w:p w14:paraId="24D601DC"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DD"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DE" w14:textId="77777777" w:rsidR="00245300" w:rsidRPr="00EC20A0" w:rsidRDefault="00245300">
            <w:pPr>
              <w:pStyle w:val="TableParagraph"/>
              <w:rPr>
                <w:sz w:val="18"/>
              </w:rPr>
            </w:pPr>
          </w:p>
        </w:tc>
      </w:tr>
      <w:tr w:rsidR="00245300" w:rsidRPr="00EC20A0" w14:paraId="24D601E5" w14:textId="77777777">
        <w:trPr>
          <w:trHeight w:val="1067"/>
        </w:trPr>
        <w:tc>
          <w:tcPr>
            <w:tcW w:w="6091" w:type="dxa"/>
            <w:tcBorders>
              <w:top w:val="single" w:sz="4" w:space="0" w:color="000000"/>
              <w:bottom w:val="single" w:sz="4" w:space="0" w:color="000000"/>
              <w:right w:val="single" w:sz="4" w:space="0" w:color="000000"/>
            </w:tcBorders>
          </w:tcPr>
          <w:p w14:paraId="24D601E0" w14:textId="77777777" w:rsidR="00245300" w:rsidRPr="00EC20A0" w:rsidRDefault="00F17249">
            <w:pPr>
              <w:pStyle w:val="TableParagraph"/>
              <w:spacing w:before="119"/>
              <w:ind w:left="105"/>
              <w:rPr>
                <w:b/>
                <w:sz w:val="18"/>
              </w:rPr>
            </w:pPr>
            <w:r w:rsidRPr="00EC20A0">
              <w:rPr>
                <w:sz w:val="18"/>
              </w:rPr>
              <w:t>6)</w:t>
            </w:r>
            <w:r w:rsidRPr="00EC20A0">
              <w:rPr>
                <w:spacing w:val="74"/>
                <w:sz w:val="18"/>
              </w:rPr>
              <w:t xml:space="preserve"> </w:t>
            </w:r>
            <w:r w:rsidRPr="00EC20A0">
              <w:rPr>
                <w:b/>
                <w:sz w:val="18"/>
              </w:rPr>
              <w:t>[For</w:t>
            </w:r>
            <w:r w:rsidRPr="00EC20A0">
              <w:rPr>
                <w:b/>
                <w:spacing w:val="-3"/>
                <w:sz w:val="18"/>
              </w:rPr>
              <w:t xml:space="preserve"> </w:t>
            </w:r>
            <w:r w:rsidRPr="00EC20A0">
              <w:rPr>
                <w:b/>
                <w:sz w:val="18"/>
              </w:rPr>
              <w:t>audits</w:t>
            </w:r>
            <w:r w:rsidRPr="00EC20A0">
              <w:rPr>
                <w:b/>
                <w:spacing w:val="-3"/>
                <w:sz w:val="18"/>
              </w:rPr>
              <w:t xml:space="preserve"> </w:t>
            </w:r>
            <w:r w:rsidRPr="00EC20A0">
              <w:rPr>
                <w:b/>
                <w:sz w:val="18"/>
              </w:rPr>
              <w:t>of</w:t>
            </w:r>
            <w:r w:rsidRPr="00EC20A0">
              <w:rPr>
                <w:b/>
                <w:spacing w:val="-3"/>
                <w:sz w:val="18"/>
              </w:rPr>
              <w:t xml:space="preserve"> </w:t>
            </w:r>
            <w:r w:rsidRPr="00EC20A0">
              <w:rPr>
                <w:b/>
                <w:sz w:val="18"/>
              </w:rPr>
              <w:t>internal</w:t>
            </w:r>
            <w:r w:rsidRPr="00EC20A0">
              <w:rPr>
                <w:b/>
                <w:spacing w:val="-1"/>
                <w:sz w:val="18"/>
              </w:rPr>
              <w:t xml:space="preserve"> </w:t>
            </w:r>
            <w:r w:rsidRPr="00EC20A0">
              <w:rPr>
                <w:b/>
                <w:sz w:val="18"/>
              </w:rPr>
              <w:t>control</w:t>
            </w:r>
            <w:r w:rsidRPr="00EC20A0">
              <w:rPr>
                <w:b/>
                <w:spacing w:val="-2"/>
                <w:sz w:val="18"/>
              </w:rPr>
              <w:t xml:space="preserve"> </w:t>
            </w:r>
            <w:r w:rsidRPr="00EC20A0">
              <w:rPr>
                <w:b/>
                <w:sz w:val="18"/>
              </w:rPr>
              <w:t>over</w:t>
            </w:r>
            <w:r w:rsidRPr="00EC20A0">
              <w:rPr>
                <w:b/>
                <w:spacing w:val="-1"/>
                <w:sz w:val="18"/>
              </w:rPr>
              <w:t xml:space="preserve"> </w:t>
            </w:r>
            <w:r w:rsidRPr="00EC20A0">
              <w:rPr>
                <w:b/>
                <w:sz w:val="18"/>
              </w:rPr>
              <w:t>financial</w:t>
            </w:r>
            <w:r w:rsidRPr="00EC20A0">
              <w:rPr>
                <w:b/>
                <w:spacing w:val="-1"/>
                <w:sz w:val="18"/>
              </w:rPr>
              <w:t xml:space="preserve"> </w:t>
            </w:r>
            <w:r w:rsidRPr="00EC20A0">
              <w:rPr>
                <w:b/>
                <w:spacing w:val="-2"/>
                <w:sz w:val="18"/>
              </w:rPr>
              <w:t>reporting]</w:t>
            </w:r>
          </w:p>
          <w:p w14:paraId="24D601E1" w14:textId="77777777" w:rsidR="00245300" w:rsidRPr="00EC20A0" w:rsidRDefault="00F17249">
            <w:pPr>
              <w:pStyle w:val="TableParagraph"/>
              <w:ind w:left="392" w:firstLine="1"/>
              <w:rPr>
                <w:sz w:val="18"/>
              </w:rPr>
            </w:pPr>
            <w:r w:rsidRPr="00EC20A0">
              <w:rPr>
                <w:sz w:val="18"/>
              </w:rPr>
              <w:t>Did the auditor inquire of management to determine whether management</w:t>
            </w:r>
            <w:r w:rsidRPr="00EC20A0">
              <w:rPr>
                <w:spacing w:val="-5"/>
                <w:sz w:val="18"/>
              </w:rPr>
              <w:t xml:space="preserve"> </w:t>
            </w:r>
            <w:r w:rsidRPr="00EC20A0">
              <w:rPr>
                <w:sz w:val="18"/>
              </w:rPr>
              <w:t>has</w:t>
            </w:r>
            <w:r w:rsidRPr="00EC20A0">
              <w:rPr>
                <w:spacing w:val="-5"/>
                <w:sz w:val="18"/>
              </w:rPr>
              <w:t xml:space="preserve"> </w:t>
            </w:r>
            <w:r w:rsidRPr="00EC20A0">
              <w:rPr>
                <w:sz w:val="18"/>
              </w:rPr>
              <w:t>identified</w:t>
            </w:r>
            <w:r w:rsidRPr="00EC20A0">
              <w:rPr>
                <w:spacing w:val="-6"/>
                <w:sz w:val="18"/>
              </w:rPr>
              <w:t xml:space="preserve"> </w:t>
            </w:r>
            <w:r w:rsidRPr="00EC20A0">
              <w:rPr>
                <w:sz w:val="18"/>
              </w:rPr>
              <w:t>any</w:t>
            </w:r>
            <w:r w:rsidRPr="00EC20A0">
              <w:rPr>
                <w:spacing w:val="-5"/>
                <w:sz w:val="18"/>
              </w:rPr>
              <w:t xml:space="preserve"> </w:t>
            </w:r>
            <w:r w:rsidRPr="00EC20A0">
              <w:rPr>
                <w:sz w:val="18"/>
              </w:rPr>
              <w:t>changes</w:t>
            </w:r>
            <w:r w:rsidRPr="00EC20A0">
              <w:rPr>
                <w:spacing w:val="-5"/>
                <w:sz w:val="18"/>
              </w:rPr>
              <w:t xml:space="preserve"> </w:t>
            </w:r>
            <w:r w:rsidRPr="00EC20A0">
              <w:rPr>
                <w:sz w:val="18"/>
              </w:rPr>
              <w:t>in</w:t>
            </w:r>
            <w:r w:rsidRPr="00EC20A0">
              <w:rPr>
                <w:spacing w:val="-6"/>
                <w:sz w:val="18"/>
              </w:rPr>
              <w:t xml:space="preserve"> </w:t>
            </w:r>
            <w:r w:rsidRPr="00EC20A0">
              <w:rPr>
                <w:sz w:val="18"/>
              </w:rPr>
              <w:t>the</w:t>
            </w:r>
            <w:r w:rsidRPr="00EC20A0">
              <w:rPr>
                <w:spacing w:val="-6"/>
                <w:sz w:val="18"/>
              </w:rPr>
              <w:t xml:space="preserve"> </w:t>
            </w:r>
            <w:r w:rsidRPr="00EC20A0">
              <w:rPr>
                <w:sz w:val="18"/>
              </w:rPr>
              <w:t>service</w:t>
            </w:r>
            <w:r w:rsidRPr="00EC20A0">
              <w:rPr>
                <w:spacing w:val="-6"/>
                <w:sz w:val="18"/>
              </w:rPr>
              <w:t xml:space="preserve"> </w:t>
            </w:r>
            <w:r w:rsidRPr="00EC20A0">
              <w:rPr>
                <w:sz w:val="18"/>
              </w:rPr>
              <w:t>organization’s controls subsequent to the period covered by the report?</w:t>
            </w:r>
          </w:p>
        </w:tc>
        <w:tc>
          <w:tcPr>
            <w:tcW w:w="720" w:type="dxa"/>
            <w:tcBorders>
              <w:top w:val="single" w:sz="4" w:space="0" w:color="000000"/>
              <w:left w:val="single" w:sz="4" w:space="0" w:color="000000"/>
              <w:bottom w:val="single" w:sz="4" w:space="0" w:color="000000"/>
              <w:right w:val="single" w:sz="4" w:space="0" w:color="000000"/>
            </w:tcBorders>
          </w:tcPr>
          <w:p w14:paraId="24D601E2"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E3"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E4" w14:textId="77777777" w:rsidR="00245300" w:rsidRPr="00EC20A0" w:rsidRDefault="00245300">
            <w:pPr>
              <w:pStyle w:val="TableParagraph"/>
              <w:rPr>
                <w:sz w:val="18"/>
              </w:rPr>
            </w:pPr>
          </w:p>
        </w:tc>
      </w:tr>
      <w:tr w:rsidR="00245300" w:rsidRPr="00EC20A0" w14:paraId="24D601EA" w14:textId="77777777">
        <w:trPr>
          <w:trHeight w:val="861"/>
        </w:trPr>
        <w:tc>
          <w:tcPr>
            <w:tcW w:w="6091" w:type="dxa"/>
            <w:tcBorders>
              <w:top w:val="single" w:sz="4" w:space="0" w:color="000000"/>
              <w:bottom w:val="single" w:sz="4" w:space="0" w:color="000000"/>
              <w:right w:val="single" w:sz="4" w:space="0" w:color="000000"/>
            </w:tcBorders>
          </w:tcPr>
          <w:p w14:paraId="24D601E6" w14:textId="77777777" w:rsidR="00245300" w:rsidRPr="00EC20A0" w:rsidRDefault="00F17249">
            <w:pPr>
              <w:pStyle w:val="TableParagraph"/>
              <w:tabs>
                <w:tab w:val="left" w:pos="764"/>
              </w:tabs>
              <w:spacing w:before="120"/>
              <w:ind w:left="764" w:right="199" w:hanging="360"/>
              <w:rPr>
                <w:sz w:val="18"/>
              </w:rPr>
            </w:pPr>
            <w:r w:rsidRPr="00EC20A0">
              <w:rPr>
                <w:spacing w:val="-6"/>
                <w:sz w:val="18"/>
              </w:rPr>
              <w:t>a)</w:t>
            </w:r>
            <w:r w:rsidRPr="00EC20A0">
              <w:rPr>
                <w:sz w:val="18"/>
              </w:rPr>
              <w:tab/>
              <w:t>If</w:t>
            </w:r>
            <w:r w:rsidRPr="00EC20A0">
              <w:rPr>
                <w:spacing w:val="-5"/>
                <w:sz w:val="18"/>
              </w:rPr>
              <w:t xml:space="preserve"> </w:t>
            </w:r>
            <w:r w:rsidRPr="00EC20A0">
              <w:rPr>
                <w:sz w:val="18"/>
              </w:rPr>
              <w:t>management</w:t>
            </w:r>
            <w:r w:rsidRPr="00EC20A0">
              <w:rPr>
                <w:spacing w:val="-4"/>
                <w:sz w:val="18"/>
              </w:rPr>
              <w:t xml:space="preserve"> </w:t>
            </w:r>
            <w:r w:rsidRPr="00EC20A0">
              <w:rPr>
                <w:sz w:val="18"/>
              </w:rPr>
              <w:t>identified</w:t>
            </w:r>
            <w:r w:rsidRPr="00EC20A0">
              <w:rPr>
                <w:spacing w:val="-5"/>
                <w:sz w:val="18"/>
              </w:rPr>
              <w:t xml:space="preserve"> </w:t>
            </w:r>
            <w:r w:rsidRPr="00EC20A0">
              <w:rPr>
                <w:sz w:val="18"/>
              </w:rPr>
              <w:t>such</w:t>
            </w:r>
            <w:r w:rsidRPr="00EC20A0">
              <w:rPr>
                <w:spacing w:val="-4"/>
                <w:sz w:val="18"/>
              </w:rPr>
              <w:t xml:space="preserve"> </w:t>
            </w:r>
            <w:r w:rsidRPr="00EC20A0">
              <w:rPr>
                <w:sz w:val="18"/>
              </w:rPr>
              <w:t>changes,</w:t>
            </w:r>
            <w:r w:rsidRPr="00EC20A0">
              <w:rPr>
                <w:spacing w:val="-5"/>
                <w:sz w:val="18"/>
              </w:rPr>
              <w:t xml:space="preserve"> </w:t>
            </w:r>
            <w:r w:rsidRPr="00EC20A0">
              <w:rPr>
                <w:sz w:val="18"/>
              </w:rPr>
              <w:t>did</w:t>
            </w:r>
            <w:r w:rsidRPr="00EC20A0">
              <w:rPr>
                <w:spacing w:val="-6"/>
                <w:sz w:val="18"/>
              </w:rPr>
              <w:t xml:space="preserve"> </w:t>
            </w:r>
            <w:r w:rsidRPr="00EC20A0">
              <w:rPr>
                <w:sz w:val="18"/>
              </w:rPr>
              <w:t>the</w:t>
            </w:r>
            <w:r w:rsidRPr="00EC20A0">
              <w:rPr>
                <w:spacing w:val="-6"/>
                <w:sz w:val="18"/>
              </w:rPr>
              <w:t xml:space="preserve"> </w:t>
            </w:r>
            <w:r w:rsidRPr="00EC20A0">
              <w:rPr>
                <w:sz w:val="18"/>
              </w:rPr>
              <w:t>auditor</w:t>
            </w:r>
            <w:r w:rsidRPr="00EC20A0">
              <w:rPr>
                <w:spacing w:val="-5"/>
                <w:sz w:val="18"/>
              </w:rPr>
              <w:t xml:space="preserve"> </w:t>
            </w:r>
            <w:r w:rsidRPr="00EC20A0">
              <w:rPr>
                <w:sz w:val="18"/>
              </w:rPr>
              <w:t>evaluate their effect on the auditor’s assessment of the effectiveness of the control activities listed in section VII?</w:t>
            </w:r>
          </w:p>
        </w:tc>
        <w:tc>
          <w:tcPr>
            <w:tcW w:w="720" w:type="dxa"/>
            <w:tcBorders>
              <w:top w:val="single" w:sz="4" w:space="0" w:color="000000"/>
              <w:left w:val="single" w:sz="4" w:space="0" w:color="000000"/>
              <w:bottom w:val="single" w:sz="4" w:space="0" w:color="000000"/>
              <w:right w:val="single" w:sz="4" w:space="0" w:color="000000"/>
            </w:tcBorders>
          </w:tcPr>
          <w:p w14:paraId="24D601E7"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E8"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E9" w14:textId="77777777" w:rsidR="00245300" w:rsidRPr="00EC20A0" w:rsidRDefault="00245300">
            <w:pPr>
              <w:pStyle w:val="TableParagraph"/>
              <w:rPr>
                <w:sz w:val="18"/>
              </w:rPr>
            </w:pPr>
          </w:p>
        </w:tc>
      </w:tr>
      <w:tr w:rsidR="00245300" w:rsidRPr="00EC20A0" w14:paraId="24D601F0" w14:textId="77777777">
        <w:trPr>
          <w:trHeight w:val="1275"/>
        </w:trPr>
        <w:tc>
          <w:tcPr>
            <w:tcW w:w="6091" w:type="dxa"/>
            <w:tcBorders>
              <w:top w:val="single" w:sz="4" w:space="0" w:color="000000"/>
              <w:bottom w:val="single" w:sz="4" w:space="0" w:color="000000"/>
              <w:right w:val="single" w:sz="4" w:space="0" w:color="000000"/>
            </w:tcBorders>
          </w:tcPr>
          <w:p w14:paraId="24D601EB" w14:textId="77777777" w:rsidR="00245300" w:rsidRPr="00EC20A0" w:rsidRDefault="00F17249">
            <w:pPr>
              <w:pStyle w:val="TableParagraph"/>
              <w:spacing w:before="119"/>
              <w:ind w:left="105"/>
              <w:rPr>
                <w:b/>
                <w:sz w:val="18"/>
              </w:rPr>
            </w:pPr>
            <w:r w:rsidRPr="00EC20A0">
              <w:rPr>
                <w:sz w:val="18"/>
              </w:rPr>
              <w:t>7)</w:t>
            </w:r>
            <w:r w:rsidRPr="00EC20A0">
              <w:rPr>
                <w:spacing w:val="58"/>
                <w:w w:val="150"/>
                <w:sz w:val="18"/>
              </w:rPr>
              <w:t xml:space="preserve"> </w:t>
            </w:r>
            <w:r w:rsidRPr="00EC20A0">
              <w:rPr>
                <w:b/>
                <w:sz w:val="18"/>
              </w:rPr>
              <w:t>[For</w:t>
            </w:r>
            <w:r w:rsidRPr="00EC20A0">
              <w:rPr>
                <w:b/>
                <w:spacing w:val="-1"/>
                <w:sz w:val="18"/>
              </w:rPr>
              <w:t xml:space="preserve"> </w:t>
            </w:r>
            <w:r w:rsidRPr="00EC20A0">
              <w:rPr>
                <w:b/>
                <w:sz w:val="18"/>
              </w:rPr>
              <w:t>audits</w:t>
            </w:r>
            <w:r w:rsidRPr="00EC20A0">
              <w:rPr>
                <w:b/>
                <w:spacing w:val="-3"/>
                <w:sz w:val="18"/>
              </w:rPr>
              <w:t xml:space="preserve"> </w:t>
            </w:r>
            <w:r w:rsidRPr="00EC20A0">
              <w:rPr>
                <w:b/>
                <w:sz w:val="18"/>
              </w:rPr>
              <w:t>of</w:t>
            </w:r>
            <w:r w:rsidRPr="00EC20A0">
              <w:rPr>
                <w:b/>
                <w:spacing w:val="-3"/>
                <w:sz w:val="18"/>
              </w:rPr>
              <w:t xml:space="preserve"> </w:t>
            </w:r>
            <w:r w:rsidRPr="00EC20A0">
              <w:rPr>
                <w:b/>
                <w:sz w:val="18"/>
              </w:rPr>
              <w:t>internal</w:t>
            </w:r>
            <w:r w:rsidRPr="00EC20A0">
              <w:rPr>
                <w:b/>
                <w:spacing w:val="-1"/>
                <w:sz w:val="18"/>
              </w:rPr>
              <w:t xml:space="preserve"> </w:t>
            </w:r>
            <w:r w:rsidRPr="00EC20A0">
              <w:rPr>
                <w:b/>
                <w:sz w:val="18"/>
              </w:rPr>
              <w:t>control</w:t>
            </w:r>
            <w:r w:rsidRPr="00EC20A0">
              <w:rPr>
                <w:b/>
                <w:spacing w:val="-2"/>
                <w:sz w:val="18"/>
              </w:rPr>
              <w:t xml:space="preserve"> </w:t>
            </w:r>
            <w:r w:rsidRPr="00EC20A0">
              <w:rPr>
                <w:b/>
                <w:sz w:val="18"/>
              </w:rPr>
              <w:t>over</w:t>
            </w:r>
            <w:r w:rsidRPr="00EC20A0">
              <w:rPr>
                <w:b/>
                <w:spacing w:val="-1"/>
                <w:sz w:val="18"/>
              </w:rPr>
              <w:t xml:space="preserve"> </w:t>
            </w:r>
            <w:r w:rsidRPr="00EC20A0">
              <w:rPr>
                <w:b/>
                <w:sz w:val="18"/>
              </w:rPr>
              <w:t>financial</w:t>
            </w:r>
            <w:r w:rsidRPr="00EC20A0">
              <w:rPr>
                <w:b/>
                <w:spacing w:val="-1"/>
                <w:sz w:val="18"/>
              </w:rPr>
              <w:t xml:space="preserve"> </w:t>
            </w:r>
            <w:r w:rsidRPr="00EC20A0">
              <w:rPr>
                <w:b/>
                <w:spacing w:val="-2"/>
                <w:sz w:val="18"/>
              </w:rPr>
              <w:t>reporting]</w:t>
            </w:r>
          </w:p>
          <w:p w14:paraId="24D601EC" w14:textId="77777777" w:rsidR="00245300" w:rsidRPr="00EC20A0" w:rsidRDefault="00F17249">
            <w:pPr>
              <w:pStyle w:val="TableParagraph"/>
              <w:ind w:left="404" w:right="63"/>
              <w:rPr>
                <w:sz w:val="18"/>
              </w:rPr>
            </w:pPr>
            <w:r w:rsidRPr="00EC20A0">
              <w:rPr>
                <w:sz w:val="18"/>
              </w:rPr>
              <w:t xml:space="preserve">Did the auditor </w:t>
            </w:r>
            <w:r w:rsidRPr="00EC20A0">
              <w:rPr>
                <w:sz w:val="18"/>
              </w:rPr>
              <w:t>evaluate whether the results of other procedures performed</w:t>
            </w:r>
            <w:r w:rsidRPr="00EC20A0">
              <w:rPr>
                <w:spacing w:val="-4"/>
                <w:sz w:val="18"/>
              </w:rPr>
              <w:t xml:space="preserve"> </w:t>
            </w:r>
            <w:r w:rsidRPr="00EC20A0">
              <w:rPr>
                <w:sz w:val="18"/>
              </w:rPr>
              <w:t>by</w:t>
            </w:r>
            <w:r w:rsidRPr="00EC20A0">
              <w:rPr>
                <w:spacing w:val="-4"/>
                <w:sz w:val="18"/>
              </w:rPr>
              <w:t xml:space="preserve"> </w:t>
            </w:r>
            <w:r w:rsidRPr="00EC20A0">
              <w:rPr>
                <w:sz w:val="18"/>
              </w:rPr>
              <w:t>the</w:t>
            </w:r>
            <w:r w:rsidRPr="00EC20A0">
              <w:rPr>
                <w:spacing w:val="-4"/>
                <w:sz w:val="18"/>
              </w:rPr>
              <w:t xml:space="preserve"> </w:t>
            </w:r>
            <w:r w:rsidRPr="00EC20A0">
              <w:rPr>
                <w:sz w:val="18"/>
              </w:rPr>
              <w:t>auditor</w:t>
            </w:r>
            <w:r w:rsidRPr="00EC20A0">
              <w:rPr>
                <w:spacing w:val="-4"/>
                <w:sz w:val="18"/>
              </w:rPr>
              <w:t xml:space="preserve"> </w:t>
            </w:r>
            <w:r w:rsidRPr="00EC20A0">
              <w:rPr>
                <w:sz w:val="18"/>
              </w:rPr>
              <w:t>indicate</w:t>
            </w:r>
            <w:r w:rsidRPr="00EC20A0">
              <w:rPr>
                <w:spacing w:val="-4"/>
                <w:sz w:val="18"/>
              </w:rPr>
              <w:t xml:space="preserve"> </w:t>
            </w:r>
            <w:r w:rsidRPr="00EC20A0">
              <w:rPr>
                <w:sz w:val="18"/>
              </w:rPr>
              <w:t>that</w:t>
            </w:r>
            <w:r w:rsidRPr="00EC20A0">
              <w:rPr>
                <w:spacing w:val="-4"/>
                <w:sz w:val="18"/>
              </w:rPr>
              <w:t xml:space="preserve"> </w:t>
            </w:r>
            <w:r w:rsidRPr="00EC20A0">
              <w:rPr>
                <w:sz w:val="18"/>
              </w:rPr>
              <w:t>there</w:t>
            </w:r>
            <w:r w:rsidRPr="00EC20A0">
              <w:rPr>
                <w:spacing w:val="-4"/>
                <w:sz w:val="18"/>
              </w:rPr>
              <w:t xml:space="preserve"> </w:t>
            </w:r>
            <w:r w:rsidRPr="00EC20A0">
              <w:rPr>
                <w:sz w:val="18"/>
              </w:rPr>
              <w:t>have</w:t>
            </w:r>
            <w:r w:rsidRPr="00EC20A0">
              <w:rPr>
                <w:spacing w:val="-4"/>
                <w:sz w:val="18"/>
              </w:rPr>
              <w:t xml:space="preserve"> </w:t>
            </w:r>
            <w:r w:rsidRPr="00EC20A0">
              <w:rPr>
                <w:sz w:val="18"/>
              </w:rPr>
              <w:t>been</w:t>
            </w:r>
            <w:r w:rsidRPr="00EC20A0">
              <w:rPr>
                <w:spacing w:val="-4"/>
                <w:sz w:val="18"/>
              </w:rPr>
              <w:t xml:space="preserve"> </w:t>
            </w:r>
            <w:r w:rsidRPr="00EC20A0">
              <w:rPr>
                <w:sz w:val="18"/>
              </w:rPr>
              <w:t>changes</w:t>
            </w:r>
            <w:r w:rsidRPr="00EC20A0">
              <w:rPr>
                <w:spacing w:val="-4"/>
                <w:sz w:val="18"/>
              </w:rPr>
              <w:t xml:space="preserve"> </w:t>
            </w:r>
            <w:r w:rsidRPr="00EC20A0">
              <w:rPr>
                <w:sz w:val="18"/>
              </w:rPr>
              <w:t>in</w:t>
            </w:r>
            <w:r w:rsidRPr="00EC20A0">
              <w:rPr>
                <w:spacing w:val="-4"/>
                <w:sz w:val="18"/>
              </w:rPr>
              <w:t xml:space="preserve"> </w:t>
            </w:r>
            <w:r w:rsidRPr="00EC20A0">
              <w:rPr>
                <w:sz w:val="18"/>
              </w:rPr>
              <w:t>the service organization’s controls subsequent to the period covered by the report?</w:t>
            </w:r>
          </w:p>
        </w:tc>
        <w:tc>
          <w:tcPr>
            <w:tcW w:w="720" w:type="dxa"/>
            <w:tcBorders>
              <w:top w:val="single" w:sz="4" w:space="0" w:color="000000"/>
              <w:left w:val="single" w:sz="4" w:space="0" w:color="000000"/>
              <w:bottom w:val="single" w:sz="4" w:space="0" w:color="000000"/>
              <w:right w:val="single" w:sz="4" w:space="0" w:color="000000"/>
            </w:tcBorders>
          </w:tcPr>
          <w:p w14:paraId="24D601ED"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EE"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EF" w14:textId="77777777" w:rsidR="00245300" w:rsidRPr="00EC20A0" w:rsidRDefault="00245300">
            <w:pPr>
              <w:pStyle w:val="TableParagraph"/>
              <w:rPr>
                <w:sz w:val="18"/>
              </w:rPr>
            </w:pPr>
          </w:p>
        </w:tc>
      </w:tr>
      <w:tr w:rsidR="00245300" w:rsidRPr="00EC20A0" w14:paraId="24D601F5" w14:textId="77777777">
        <w:trPr>
          <w:trHeight w:val="861"/>
        </w:trPr>
        <w:tc>
          <w:tcPr>
            <w:tcW w:w="6091" w:type="dxa"/>
            <w:tcBorders>
              <w:top w:val="single" w:sz="4" w:space="0" w:color="000000"/>
              <w:bottom w:val="single" w:sz="4" w:space="0" w:color="000000"/>
              <w:right w:val="single" w:sz="4" w:space="0" w:color="000000"/>
            </w:tcBorders>
          </w:tcPr>
          <w:p w14:paraId="24D601F1" w14:textId="77777777" w:rsidR="00245300" w:rsidRPr="00EC20A0" w:rsidRDefault="00F17249">
            <w:pPr>
              <w:pStyle w:val="TableParagraph"/>
              <w:spacing w:before="119"/>
              <w:ind w:left="764" w:right="372" w:hanging="360"/>
              <w:jc w:val="both"/>
              <w:rPr>
                <w:sz w:val="18"/>
              </w:rPr>
            </w:pPr>
            <w:r w:rsidRPr="00EC20A0">
              <w:rPr>
                <w:sz w:val="18"/>
              </w:rPr>
              <w:t>a)</w:t>
            </w:r>
            <w:r w:rsidRPr="00EC20A0">
              <w:rPr>
                <w:spacing w:val="80"/>
                <w:sz w:val="18"/>
              </w:rPr>
              <w:t xml:space="preserve"> </w:t>
            </w:r>
            <w:r w:rsidRPr="00EC20A0">
              <w:rPr>
                <w:sz w:val="18"/>
              </w:rPr>
              <w:t>If</w:t>
            </w:r>
            <w:r w:rsidRPr="00EC20A0">
              <w:rPr>
                <w:spacing w:val="-1"/>
                <w:sz w:val="18"/>
              </w:rPr>
              <w:t xml:space="preserve"> </w:t>
            </w:r>
            <w:r w:rsidRPr="00EC20A0">
              <w:rPr>
                <w:sz w:val="18"/>
              </w:rPr>
              <w:t>the</w:t>
            </w:r>
            <w:r w:rsidRPr="00EC20A0">
              <w:rPr>
                <w:spacing w:val="-1"/>
                <w:sz w:val="18"/>
              </w:rPr>
              <w:t xml:space="preserve"> </w:t>
            </w:r>
            <w:r w:rsidRPr="00EC20A0">
              <w:rPr>
                <w:sz w:val="18"/>
              </w:rPr>
              <w:t>auditor</w:t>
            </w:r>
            <w:r w:rsidRPr="00EC20A0">
              <w:rPr>
                <w:spacing w:val="-1"/>
                <w:sz w:val="18"/>
              </w:rPr>
              <w:t xml:space="preserve"> </w:t>
            </w:r>
            <w:r w:rsidRPr="00EC20A0">
              <w:rPr>
                <w:sz w:val="18"/>
              </w:rPr>
              <w:t>identified</w:t>
            </w:r>
            <w:r w:rsidRPr="00EC20A0">
              <w:rPr>
                <w:spacing w:val="-2"/>
                <w:sz w:val="18"/>
              </w:rPr>
              <w:t xml:space="preserve"> </w:t>
            </w:r>
            <w:r w:rsidRPr="00EC20A0">
              <w:rPr>
                <w:sz w:val="18"/>
              </w:rPr>
              <w:t>such</w:t>
            </w:r>
            <w:r w:rsidRPr="00EC20A0">
              <w:rPr>
                <w:spacing w:val="-2"/>
                <w:sz w:val="18"/>
              </w:rPr>
              <w:t xml:space="preserve"> </w:t>
            </w:r>
            <w:r w:rsidRPr="00EC20A0">
              <w:rPr>
                <w:sz w:val="18"/>
              </w:rPr>
              <w:t>changes,</w:t>
            </w:r>
            <w:r w:rsidRPr="00EC20A0">
              <w:rPr>
                <w:spacing w:val="-1"/>
                <w:sz w:val="18"/>
              </w:rPr>
              <w:t xml:space="preserve"> </w:t>
            </w:r>
            <w:r w:rsidRPr="00EC20A0">
              <w:rPr>
                <w:sz w:val="18"/>
              </w:rPr>
              <w:t>did</w:t>
            </w:r>
            <w:r w:rsidRPr="00EC20A0">
              <w:rPr>
                <w:spacing w:val="-2"/>
                <w:sz w:val="18"/>
              </w:rPr>
              <w:t xml:space="preserve"> </w:t>
            </w:r>
            <w:r w:rsidRPr="00EC20A0">
              <w:rPr>
                <w:sz w:val="18"/>
              </w:rPr>
              <w:t>the</w:t>
            </w:r>
            <w:r w:rsidRPr="00EC20A0">
              <w:rPr>
                <w:spacing w:val="-2"/>
                <w:sz w:val="18"/>
              </w:rPr>
              <w:t xml:space="preserve"> </w:t>
            </w:r>
            <w:r w:rsidRPr="00EC20A0">
              <w:rPr>
                <w:sz w:val="18"/>
              </w:rPr>
              <w:t>auditor</w:t>
            </w:r>
            <w:r w:rsidRPr="00EC20A0">
              <w:rPr>
                <w:spacing w:val="-1"/>
                <w:sz w:val="18"/>
              </w:rPr>
              <w:t xml:space="preserve"> </w:t>
            </w:r>
            <w:r w:rsidRPr="00EC20A0">
              <w:rPr>
                <w:sz w:val="18"/>
              </w:rPr>
              <w:t>evaluate their</w:t>
            </w:r>
            <w:r w:rsidRPr="00EC20A0">
              <w:rPr>
                <w:spacing w:val="-5"/>
                <w:sz w:val="18"/>
              </w:rPr>
              <w:t xml:space="preserve"> </w:t>
            </w:r>
            <w:r w:rsidRPr="00EC20A0">
              <w:rPr>
                <w:sz w:val="18"/>
              </w:rPr>
              <w:t>effect</w:t>
            </w:r>
            <w:r w:rsidRPr="00EC20A0">
              <w:rPr>
                <w:spacing w:val="-5"/>
                <w:sz w:val="18"/>
              </w:rPr>
              <w:t xml:space="preserve"> </w:t>
            </w:r>
            <w:r w:rsidRPr="00EC20A0">
              <w:rPr>
                <w:sz w:val="18"/>
              </w:rPr>
              <w:t>on</w:t>
            </w:r>
            <w:r w:rsidRPr="00EC20A0">
              <w:rPr>
                <w:spacing w:val="-5"/>
                <w:sz w:val="18"/>
              </w:rPr>
              <w:t xml:space="preserve"> </w:t>
            </w:r>
            <w:r w:rsidRPr="00EC20A0">
              <w:rPr>
                <w:sz w:val="18"/>
              </w:rPr>
              <w:t>the</w:t>
            </w:r>
            <w:r w:rsidRPr="00EC20A0">
              <w:rPr>
                <w:spacing w:val="-6"/>
                <w:sz w:val="18"/>
              </w:rPr>
              <w:t xml:space="preserve"> </w:t>
            </w:r>
            <w:r w:rsidRPr="00EC20A0">
              <w:rPr>
                <w:sz w:val="18"/>
              </w:rPr>
              <w:t>auditor’s</w:t>
            </w:r>
            <w:r w:rsidRPr="00EC20A0">
              <w:rPr>
                <w:spacing w:val="-4"/>
                <w:sz w:val="18"/>
              </w:rPr>
              <w:t xml:space="preserve"> </w:t>
            </w:r>
            <w:r w:rsidRPr="00EC20A0">
              <w:rPr>
                <w:sz w:val="18"/>
              </w:rPr>
              <w:t>assessment</w:t>
            </w:r>
            <w:r w:rsidRPr="00EC20A0">
              <w:rPr>
                <w:spacing w:val="-5"/>
                <w:sz w:val="18"/>
              </w:rPr>
              <w:t xml:space="preserve"> </w:t>
            </w:r>
            <w:r w:rsidRPr="00EC20A0">
              <w:rPr>
                <w:sz w:val="18"/>
              </w:rPr>
              <w:t>of</w:t>
            </w:r>
            <w:r w:rsidRPr="00EC20A0">
              <w:rPr>
                <w:spacing w:val="-5"/>
                <w:sz w:val="18"/>
              </w:rPr>
              <w:t xml:space="preserve"> </w:t>
            </w:r>
            <w:r w:rsidRPr="00EC20A0">
              <w:rPr>
                <w:sz w:val="18"/>
              </w:rPr>
              <w:t>the</w:t>
            </w:r>
            <w:r w:rsidRPr="00EC20A0">
              <w:rPr>
                <w:spacing w:val="-6"/>
                <w:sz w:val="18"/>
              </w:rPr>
              <w:t xml:space="preserve"> </w:t>
            </w:r>
            <w:r w:rsidRPr="00EC20A0">
              <w:rPr>
                <w:sz w:val="18"/>
              </w:rPr>
              <w:t>effectiveness</w:t>
            </w:r>
            <w:r w:rsidRPr="00EC20A0">
              <w:rPr>
                <w:spacing w:val="-4"/>
                <w:sz w:val="18"/>
              </w:rPr>
              <w:t xml:space="preserve"> </w:t>
            </w:r>
            <w:r w:rsidRPr="00EC20A0">
              <w:rPr>
                <w:sz w:val="18"/>
              </w:rPr>
              <w:t>of the control activities listed in section VII?</w:t>
            </w:r>
          </w:p>
        </w:tc>
        <w:tc>
          <w:tcPr>
            <w:tcW w:w="720" w:type="dxa"/>
            <w:tcBorders>
              <w:top w:val="single" w:sz="4" w:space="0" w:color="000000"/>
              <w:left w:val="single" w:sz="4" w:space="0" w:color="000000"/>
              <w:bottom w:val="single" w:sz="4" w:space="0" w:color="000000"/>
              <w:right w:val="single" w:sz="4" w:space="0" w:color="000000"/>
            </w:tcBorders>
          </w:tcPr>
          <w:p w14:paraId="24D601F2"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F3"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F4" w14:textId="77777777" w:rsidR="00245300" w:rsidRPr="00EC20A0" w:rsidRDefault="00245300">
            <w:pPr>
              <w:pStyle w:val="TableParagraph"/>
              <w:rPr>
                <w:sz w:val="18"/>
              </w:rPr>
            </w:pPr>
          </w:p>
        </w:tc>
      </w:tr>
      <w:tr w:rsidR="00245300" w:rsidRPr="00EC20A0" w14:paraId="24D601F7" w14:textId="77777777">
        <w:trPr>
          <w:trHeight w:val="446"/>
        </w:trPr>
        <w:tc>
          <w:tcPr>
            <w:tcW w:w="9270" w:type="dxa"/>
            <w:gridSpan w:val="4"/>
            <w:tcBorders>
              <w:top w:val="single" w:sz="4" w:space="0" w:color="000000"/>
              <w:bottom w:val="single" w:sz="4" w:space="0" w:color="000000"/>
            </w:tcBorders>
            <w:shd w:val="clear" w:color="auto" w:fill="D9D9D9"/>
          </w:tcPr>
          <w:p w14:paraId="24D601F6" w14:textId="77777777" w:rsidR="00245300" w:rsidRPr="00EC20A0" w:rsidRDefault="00F17249">
            <w:pPr>
              <w:pStyle w:val="TableParagraph"/>
              <w:spacing w:before="120"/>
              <w:ind w:left="105"/>
              <w:rPr>
                <w:b/>
                <w:sz w:val="18"/>
              </w:rPr>
            </w:pPr>
            <w:r w:rsidRPr="00EC20A0">
              <w:rPr>
                <w:b/>
                <w:sz w:val="18"/>
              </w:rPr>
              <w:t>Evaluate</w:t>
            </w:r>
            <w:r w:rsidRPr="00EC20A0">
              <w:rPr>
                <w:b/>
                <w:spacing w:val="-5"/>
                <w:sz w:val="18"/>
              </w:rPr>
              <w:t xml:space="preserve"> </w:t>
            </w:r>
            <w:r w:rsidRPr="00EC20A0">
              <w:rPr>
                <w:b/>
                <w:sz w:val="18"/>
              </w:rPr>
              <w:t>the</w:t>
            </w:r>
            <w:r w:rsidRPr="00EC20A0">
              <w:rPr>
                <w:b/>
                <w:spacing w:val="-3"/>
                <w:sz w:val="18"/>
              </w:rPr>
              <w:t xml:space="preserve"> </w:t>
            </w:r>
            <w:r w:rsidRPr="00EC20A0">
              <w:rPr>
                <w:b/>
                <w:sz w:val="18"/>
              </w:rPr>
              <w:t>sufficiency</w:t>
            </w:r>
            <w:r w:rsidRPr="00EC20A0">
              <w:rPr>
                <w:b/>
                <w:spacing w:val="-2"/>
                <w:sz w:val="18"/>
              </w:rPr>
              <w:t xml:space="preserve"> </w:t>
            </w:r>
            <w:r w:rsidRPr="00EC20A0">
              <w:rPr>
                <w:b/>
                <w:sz w:val="18"/>
              </w:rPr>
              <w:t>and</w:t>
            </w:r>
            <w:r w:rsidRPr="00EC20A0">
              <w:rPr>
                <w:b/>
                <w:spacing w:val="-2"/>
                <w:sz w:val="18"/>
              </w:rPr>
              <w:t xml:space="preserve"> </w:t>
            </w:r>
            <w:r w:rsidRPr="00EC20A0">
              <w:rPr>
                <w:b/>
                <w:sz w:val="18"/>
              </w:rPr>
              <w:t>appropriateness</w:t>
            </w:r>
            <w:r w:rsidRPr="00EC20A0">
              <w:rPr>
                <w:b/>
                <w:spacing w:val="-3"/>
                <w:sz w:val="18"/>
              </w:rPr>
              <w:t xml:space="preserve"> </w:t>
            </w:r>
            <w:r w:rsidRPr="00EC20A0">
              <w:rPr>
                <w:b/>
                <w:sz w:val="18"/>
              </w:rPr>
              <w:t>of</w:t>
            </w:r>
            <w:r w:rsidRPr="00EC20A0">
              <w:rPr>
                <w:b/>
                <w:spacing w:val="-2"/>
                <w:sz w:val="18"/>
              </w:rPr>
              <w:t xml:space="preserve"> </w:t>
            </w:r>
            <w:r w:rsidRPr="00EC20A0">
              <w:rPr>
                <w:b/>
                <w:sz w:val="18"/>
              </w:rPr>
              <w:t>the</w:t>
            </w:r>
            <w:r w:rsidRPr="00EC20A0">
              <w:rPr>
                <w:b/>
                <w:spacing w:val="-3"/>
                <w:sz w:val="18"/>
              </w:rPr>
              <w:t xml:space="preserve"> </w:t>
            </w:r>
            <w:r w:rsidRPr="00EC20A0">
              <w:rPr>
                <w:b/>
                <w:sz w:val="18"/>
              </w:rPr>
              <w:t>audit</w:t>
            </w:r>
            <w:r w:rsidRPr="00EC20A0">
              <w:rPr>
                <w:b/>
                <w:spacing w:val="-2"/>
                <w:sz w:val="18"/>
              </w:rPr>
              <w:t xml:space="preserve"> </w:t>
            </w:r>
            <w:r w:rsidRPr="00EC20A0">
              <w:rPr>
                <w:b/>
                <w:sz w:val="18"/>
              </w:rPr>
              <w:t>evidence</w:t>
            </w:r>
            <w:r w:rsidRPr="00EC20A0">
              <w:rPr>
                <w:b/>
                <w:spacing w:val="-3"/>
                <w:sz w:val="18"/>
              </w:rPr>
              <w:t xml:space="preserve"> </w:t>
            </w:r>
            <w:r w:rsidRPr="00EC20A0">
              <w:rPr>
                <w:b/>
                <w:sz w:val="18"/>
              </w:rPr>
              <w:t>provided</w:t>
            </w:r>
            <w:r w:rsidRPr="00EC20A0">
              <w:rPr>
                <w:b/>
                <w:spacing w:val="-2"/>
                <w:sz w:val="18"/>
              </w:rPr>
              <w:t xml:space="preserve"> </w:t>
            </w:r>
            <w:r w:rsidRPr="00EC20A0">
              <w:rPr>
                <w:b/>
                <w:sz w:val="18"/>
              </w:rPr>
              <w:t>by</w:t>
            </w:r>
            <w:r w:rsidRPr="00EC20A0">
              <w:rPr>
                <w:b/>
                <w:spacing w:val="-3"/>
                <w:sz w:val="18"/>
              </w:rPr>
              <w:t xml:space="preserve"> </w:t>
            </w:r>
            <w:r w:rsidRPr="00EC20A0">
              <w:rPr>
                <w:b/>
                <w:sz w:val="18"/>
              </w:rPr>
              <w:t>the</w:t>
            </w:r>
            <w:r w:rsidRPr="00EC20A0">
              <w:rPr>
                <w:b/>
                <w:spacing w:val="-4"/>
                <w:sz w:val="18"/>
              </w:rPr>
              <w:t xml:space="preserve"> </w:t>
            </w:r>
            <w:r w:rsidRPr="00EC20A0">
              <w:rPr>
                <w:b/>
                <w:sz w:val="18"/>
              </w:rPr>
              <w:t>type</w:t>
            </w:r>
            <w:r w:rsidRPr="00EC20A0">
              <w:rPr>
                <w:b/>
                <w:spacing w:val="-3"/>
                <w:sz w:val="18"/>
              </w:rPr>
              <w:t xml:space="preserve"> </w:t>
            </w:r>
            <w:r w:rsidRPr="00EC20A0">
              <w:rPr>
                <w:b/>
                <w:sz w:val="18"/>
              </w:rPr>
              <w:t>2</w:t>
            </w:r>
            <w:r w:rsidRPr="00EC20A0">
              <w:rPr>
                <w:b/>
                <w:spacing w:val="-2"/>
                <w:sz w:val="18"/>
              </w:rPr>
              <w:t xml:space="preserve"> report</w:t>
            </w:r>
          </w:p>
        </w:tc>
      </w:tr>
      <w:tr w:rsidR="00245300" w:rsidRPr="00EC20A0" w14:paraId="24D601FC" w14:textId="77777777">
        <w:trPr>
          <w:trHeight w:val="654"/>
        </w:trPr>
        <w:tc>
          <w:tcPr>
            <w:tcW w:w="6091" w:type="dxa"/>
            <w:tcBorders>
              <w:top w:val="single" w:sz="4" w:space="0" w:color="000000"/>
              <w:bottom w:val="single" w:sz="4" w:space="0" w:color="000000"/>
              <w:right w:val="single" w:sz="4" w:space="0" w:color="000000"/>
            </w:tcBorders>
          </w:tcPr>
          <w:p w14:paraId="24D601F8" w14:textId="77777777" w:rsidR="00245300" w:rsidRPr="00EC20A0" w:rsidRDefault="00F17249">
            <w:pPr>
              <w:pStyle w:val="TableParagraph"/>
              <w:spacing w:before="120"/>
              <w:ind w:left="392" w:hanging="288"/>
              <w:rPr>
                <w:sz w:val="18"/>
              </w:rPr>
            </w:pPr>
            <w:r w:rsidRPr="00EC20A0">
              <w:rPr>
                <w:sz w:val="18"/>
              </w:rPr>
              <w:t>8)</w:t>
            </w:r>
            <w:r w:rsidRPr="00EC20A0">
              <w:rPr>
                <w:spacing w:val="70"/>
                <w:sz w:val="18"/>
              </w:rPr>
              <w:t xml:space="preserve"> </w:t>
            </w:r>
            <w:r w:rsidRPr="00EC20A0">
              <w:rPr>
                <w:sz w:val="18"/>
              </w:rPr>
              <w:t>Are</w:t>
            </w:r>
            <w:r w:rsidRPr="00EC20A0">
              <w:rPr>
                <w:spacing w:val="-4"/>
                <w:sz w:val="18"/>
              </w:rPr>
              <w:t xml:space="preserve"> </w:t>
            </w:r>
            <w:r w:rsidRPr="00EC20A0">
              <w:rPr>
                <w:sz w:val="18"/>
              </w:rPr>
              <w:t>the</w:t>
            </w:r>
            <w:r w:rsidRPr="00EC20A0">
              <w:rPr>
                <w:spacing w:val="-4"/>
                <w:sz w:val="18"/>
              </w:rPr>
              <w:t xml:space="preserve"> </w:t>
            </w:r>
            <w:r w:rsidRPr="00EC20A0">
              <w:rPr>
                <w:sz w:val="18"/>
              </w:rPr>
              <w:t>control</w:t>
            </w:r>
            <w:r w:rsidRPr="00EC20A0">
              <w:rPr>
                <w:spacing w:val="-2"/>
                <w:sz w:val="18"/>
              </w:rPr>
              <w:t xml:space="preserve"> </w:t>
            </w:r>
            <w:r w:rsidRPr="00EC20A0">
              <w:rPr>
                <w:sz w:val="18"/>
              </w:rPr>
              <w:t>activities</w:t>
            </w:r>
            <w:r w:rsidRPr="00EC20A0">
              <w:rPr>
                <w:spacing w:val="-3"/>
                <w:sz w:val="18"/>
              </w:rPr>
              <w:t xml:space="preserve"> </w:t>
            </w:r>
            <w:r w:rsidRPr="00EC20A0">
              <w:rPr>
                <w:sz w:val="18"/>
              </w:rPr>
              <w:t>listed</w:t>
            </w:r>
            <w:r w:rsidRPr="00EC20A0">
              <w:rPr>
                <w:spacing w:val="-2"/>
                <w:sz w:val="18"/>
              </w:rPr>
              <w:t xml:space="preserve"> </w:t>
            </w:r>
            <w:r w:rsidRPr="00EC20A0">
              <w:rPr>
                <w:sz w:val="18"/>
              </w:rPr>
              <w:t>in</w:t>
            </w:r>
            <w:r w:rsidRPr="00EC20A0">
              <w:rPr>
                <w:spacing w:val="-4"/>
                <w:sz w:val="18"/>
              </w:rPr>
              <w:t xml:space="preserve"> </w:t>
            </w:r>
            <w:r w:rsidRPr="00EC20A0">
              <w:rPr>
                <w:sz w:val="18"/>
              </w:rPr>
              <w:t>section</w:t>
            </w:r>
            <w:r w:rsidRPr="00EC20A0">
              <w:rPr>
                <w:spacing w:val="-4"/>
                <w:sz w:val="18"/>
              </w:rPr>
              <w:t xml:space="preserve"> </w:t>
            </w:r>
            <w:r w:rsidRPr="00EC20A0">
              <w:rPr>
                <w:sz w:val="18"/>
              </w:rPr>
              <w:t>VII</w:t>
            </w:r>
            <w:r w:rsidRPr="00EC20A0">
              <w:rPr>
                <w:spacing w:val="-2"/>
                <w:sz w:val="18"/>
              </w:rPr>
              <w:t xml:space="preserve"> </w:t>
            </w:r>
            <w:r w:rsidRPr="00EC20A0">
              <w:rPr>
                <w:sz w:val="18"/>
              </w:rPr>
              <w:t>of</w:t>
            </w:r>
            <w:r w:rsidRPr="00EC20A0">
              <w:rPr>
                <w:spacing w:val="-3"/>
                <w:sz w:val="18"/>
              </w:rPr>
              <w:t xml:space="preserve"> </w:t>
            </w:r>
            <w:r w:rsidRPr="00EC20A0">
              <w:rPr>
                <w:sz w:val="18"/>
              </w:rPr>
              <w:t>this</w:t>
            </w:r>
            <w:r w:rsidRPr="00EC20A0">
              <w:rPr>
                <w:spacing w:val="-3"/>
                <w:sz w:val="18"/>
              </w:rPr>
              <w:t xml:space="preserve"> </w:t>
            </w:r>
            <w:r w:rsidRPr="00EC20A0">
              <w:rPr>
                <w:sz w:val="18"/>
              </w:rPr>
              <w:t>assessment</w:t>
            </w:r>
            <w:r w:rsidRPr="00EC20A0">
              <w:rPr>
                <w:spacing w:val="-3"/>
                <w:sz w:val="18"/>
              </w:rPr>
              <w:t xml:space="preserve"> </w:t>
            </w:r>
            <w:r w:rsidRPr="00EC20A0">
              <w:rPr>
                <w:sz w:val="18"/>
              </w:rPr>
              <w:t>tool included in the report?</w:t>
            </w:r>
          </w:p>
        </w:tc>
        <w:tc>
          <w:tcPr>
            <w:tcW w:w="720" w:type="dxa"/>
            <w:tcBorders>
              <w:top w:val="single" w:sz="4" w:space="0" w:color="000000"/>
              <w:left w:val="single" w:sz="4" w:space="0" w:color="000000"/>
              <w:bottom w:val="single" w:sz="4" w:space="0" w:color="000000"/>
              <w:right w:val="single" w:sz="4" w:space="0" w:color="000000"/>
            </w:tcBorders>
          </w:tcPr>
          <w:p w14:paraId="24D601F9"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FA"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1FB" w14:textId="77777777" w:rsidR="00245300" w:rsidRPr="00EC20A0" w:rsidRDefault="00245300">
            <w:pPr>
              <w:pStyle w:val="TableParagraph"/>
              <w:rPr>
                <w:sz w:val="18"/>
              </w:rPr>
            </w:pPr>
          </w:p>
        </w:tc>
      </w:tr>
      <w:tr w:rsidR="00245300" w:rsidRPr="00EC20A0" w14:paraId="24D60201" w14:textId="77777777">
        <w:trPr>
          <w:trHeight w:val="861"/>
        </w:trPr>
        <w:tc>
          <w:tcPr>
            <w:tcW w:w="6091" w:type="dxa"/>
            <w:tcBorders>
              <w:top w:val="single" w:sz="4" w:space="0" w:color="000000"/>
              <w:bottom w:val="single" w:sz="4" w:space="0" w:color="000000"/>
              <w:right w:val="single" w:sz="4" w:space="0" w:color="000000"/>
            </w:tcBorders>
          </w:tcPr>
          <w:p w14:paraId="24D601FD" w14:textId="77777777" w:rsidR="00245300" w:rsidRPr="00EC20A0" w:rsidRDefault="00F17249">
            <w:pPr>
              <w:pStyle w:val="TableParagraph"/>
              <w:spacing w:before="119"/>
              <w:ind w:left="392" w:hanging="288"/>
              <w:rPr>
                <w:sz w:val="18"/>
              </w:rPr>
            </w:pPr>
            <w:r w:rsidRPr="00EC20A0">
              <w:rPr>
                <w:sz w:val="18"/>
              </w:rPr>
              <w:t>9)</w:t>
            </w:r>
            <w:r w:rsidRPr="00EC20A0">
              <w:rPr>
                <w:spacing w:val="71"/>
                <w:sz w:val="18"/>
              </w:rPr>
              <w:t xml:space="preserve"> </w:t>
            </w:r>
            <w:r w:rsidRPr="00EC20A0">
              <w:rPr>
                <w:sz w:val="18"/>
              </w:rPr>
              <w:t>Did</w:t>
            </w:r>
            <w:r w:rsidRPr="00EC20A0">
              <w:rPr>
                <w:spacing w:val="-4"/>
                <w:sz w:val="18"/>
              </w:rPr>
              <w:t xml:space="preserve"> </w:t>
            </w:r>
            <w:r w:rsidRPr="00EC20A0">
              <w:rPr>
                <w:sz w:val="18"/>
              </w:rPr>
              <w:t>the</w:t>
            </w:r>
            <w:r w:rsidRPr="00EC20A0">
              <w:rPr>
                <w:spacing w:val="-3"/>
                <w:sz w:val="18"/>
              </w:rPr>
              <w:t xml:space="preserve"> </w:t>
            </w:r>
            <w:r w:rsidRPr="00EC20A0">
              <w:rPr>
                <w:sz w:val="18"/>
              </w:rPr>
              <w:t>auditor</w:t>
            </w:r>
            <w:r w:rsidRPr="00EC20A0">
              <w:rPr>
                <w:spacing w:val="-3"/>
                <w:sz w:val="18"/>
              </w:rPr>
              <w:t xml:space="preserve"> </w:t>
            </w:r>
            <w:r w:rsidRPr="00EC20A0">
              <w:rPr>
                <w:sz w:val="18"/>
              </w:rPr>
              <w:t>determine</w:t>
            </w:r>
            <w:r w:rsidRPr="00EC20A0">
              <w:rPr>
                <w:spacing w:val="-3"/>
                <w:sz w:val="18"/>
              </w:rPr>
              <w:t xml:space="preserve"> </w:t>
            </w:r>
            <w:r w:rsidRPr="00EC20A0">
              <w:rPr>
                <w:sz w:val="18"/>
              </w:rPr>
              <w:t>that</w:t>
            </w:r>
            <w:r w:rsidRPr="00EC20A0">
              <w:rPr>
                <w:spacing w:val="-1"/>
                <w:sz w:val="18"/>
              </w:rPr>
              <w:t xml:space="preserve"> </w:t>
            </w:r>
            <w:r w:rsidRPr="00EC20A0">
              <w:rPr>
                <w:sz w:val="18"/>
              </w:rPr>
              <w:t>there</w:t>
            </w:r>
            <w:r w:rsidRPr="00EC20A0">
              <w:rPr>
                <w:spacing w:val="-3"/>
                <w:sz w:val="18"/>
              </w:rPr>
              <w:t xml:space="preserve"> </w:t>
            </w:r>
            <w:r w:rsidRPr="00EC20A0">
              <w:rPr>
                <w:sz w:val="18"/>
              </w:rPr>
              <w:t>are</w:t>
            </w:r>
            <w:r w:rsidRPr="00EC20A0">
              <w:rPr>
                <w:spacing w:val="-3"/>
                <w:sz w:val="18"/>
              </w:rPr>
              <w:t xml:space="preserve"> </w:t>
            </w:r>
            <w:r w:rsidRPr="00EC20A0">
              <w:rPr>
                <w:sz w:val="18"/>
              </w:rPr>
              <w:t>no</w:t>
            </w:r>
            <w:r w:rsidRPr="00EC20A0">
              <w:rPr>
                <w:spacing w:val="-4"/>
                <w:sz w:val="18"/>
              </w:rPr>
              <w:t xml:space="preserve"> </w:t>
            </w:r>
            <w:r w:rsidRPr="00EC20A0">
              <w:rPr>
                <w:sz w:val="18"/>
              </w:rPr>
              <w:t>exceptions</w:t>
            </w:r>
            <w:r w:rsidRPr="00EC20A0">
              <w:rPr>
                <w:spacing w:val="-3"/>
                <w:sz w:val="18"/>
              </w:rPr>
              <w:t xml:space="preserve"> </w:t>
            </w:r>
            <w:r w:rsidRPr="00EC20A0">
              <w:rPr>
                <w:sz w:val="18"/>
              </w:rPr>
              <w:t>identified</w:t>
            </w:r>
            <w:r w:rsidRPr="00EC20A0">
              <w:rPr>
                <w:spacing w:val="-3"/>
                <w:sz w:val="18"/>
              </w:rPr>
              <w:t xml:space="preserve"> </w:t>
            </w:r>
            <w:r w:rsidRPr="00EC20A0">
              <w:rPr>
                <w:sz w:val="18"/>
              </w:rPr>
              <w:t>in</w:t>
            </w:r>
            <w:r w:rsidRPr="00EC20A0">
              <w:rPr>
                <w:spacing w:val="-4"/>
                <w:sz w:val="18"/>
              </w:rPr>
              <w:t xml:space="preserve"> </w:t>
            </w:r>
            <w:r w:rsidRPr="00EC20A0">
              <w:rPr>
                <w:sz w:val="18"/>
              </w:rPr>
              <w:t xml:space="preserve">the report that affect the auditor’s assessment of the effectiveness of the control </w:t>
            </w:r>
            <w:r w:rsidRPr="00EC20A0">
              <w:rPr>
                <w:sz w:val="18"/>
              </w:rPr>
              <w:t>activities listed in section VII? If no, see step 12 below.</w:t>
            </w:r>
          </w:p>
        </w:tc>
        <w:tc>
          <w:tcPr>
            <w:tcW w:w="720" w:type="dxa"/>
            <w:tcBorders>
              <w:top w:val="single" w:sz="4" w:space="0" w:color="000000"/>
              <w:left w:val="single" w:sz="4" w:space="0" w:color="000000"/>
              <w:bottom w:val="single" w:sz="4" w:space="0" w:color="000000"/>
              <w:right w:val="single" w:sz="4" w:space="0" w:color="000000"/>
            </w:tcBorders>
          </w:tcPr>
          <w:p w14:paraId="24D601FE"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1FF"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00" w14:textId="77777777" w:rsidR="00245300" w:rsidRPr="00EC20A0" w:rsidRDefault="00245300">
            <w:pPr>
              <w:pStyle w:val="TableParagraph"/>
              <w:rPr>
                <w:sz w:val="18"/>
              </w:rPr>
            </w:pPr>
          </w:p>
        </w:tc>
      </w:tr>
      <w:tr w:rsidR="00245300" w:rsidRPr="00EC20A0" w14:paraId="24D60206" w14:textId="77777777">
        <w:trPr>
          <w:trHeight w:val="859"/>
        </w:trPr>
        <w:tc>
          <w:tcPr>
            <w:tcW w:w="6091" w:type="dxa"/>
            <w:tcBorders>
              <w:top w:val="single" w:sz="4" w:space="0" w:color="000000"/>
              <w:bottom w:val="single" w:sz="4" w:space="0" w:color="000000"/>
              <w:right w:val="single" w:sz="4" w:space="0" w:color="000000"/>
            </w:tcBorders>
          </w:tcPr>
          <w:p w14:paraId="24D60202" w14:textId="77777777" w:rsidR="00245300" w:rsidRPr="00EC20A0" w:rsidRDefault="00F17249">
            <w:pPr>
              <w:pStyle w:val="TableParagraph"/>
              <w:spacing w:before="119"/>
              <w:ind w:left="392" w:right="179" w:hanging="288"/>
              <w:rPr>
                <w:sz w:val="18"/>
              </w:rPr>
            </w:pPr>
            <w:r w:rsidRPr="00EC20A0">
              <w:rPr>
                <w:sz w:val="18"/>
              </w:rPr>
              <w:t>10)</w:t>
            </w:r>
            <w:r w:rsidRPr="00EC20A0">
              <w:rPr>
                <w:spacing w:val="-22"/>
                <w:sz w:val="18"/>
              </w:rPr>
              <w:t xml:space="preserve"> </w:t>
            </w:r>
            <w:r w:rsidRPr="00EC20A0">
              <w:rPr>
                <w:sz w:val="18"/>
              </w:rPr>
              <w:t>Does</w:t>
            </w:r>
            <w:r w:rsidRPr="00EC20A0">
              <w:rPr>
                <w:spacing w:val="-7"/>
                <w:sz w:val="18"/>
              </w:rPr>
              <w:t xml:space="preserve"> </w:t>
            </w:r>
            <w:r w:rsidRPr="00EC20A0">
              <w:rPr>
                <w:sz w:val="18"/>
              </w:rPr>
              <w:t>the</w:t>
            </w:r>
            <w:r w:rsidRPr="00EC20A0">
              <w:rPr>
                <w:spacing w:val="-6"/>
                <w:sz w:val="18"/>
              </w:rPr>
              <w:t xml:space="preserve"> </w:t>
            </w:r>
            <w:r w:rsidRPr="00EC20A0">
              <w:rPr>
                <w:sz w:val="18"/>
              </w:rPr>
              <w:t>SCE</w:t>
            </w:r>
            <w:r w:rsidRPr="00EC20A0">
              <w:rPr>
                <w:spacing w:val="-4"/>
                <w:sz w:val="18"/>
              </w:rPr>
              <w:t xml:space="preserve"> </w:t>
            </w:r>
            <w:r w:rsidRPr="00EC20A0">
              <w:rPr>
                <w:sz w:val="18"/>
              </w:rPr>
              <w:t>worksheet</w:t>
            </w:r>
            <w:r w:rsidRPr="00EC20A0">
              <w:rPr>
                <w:spacing w:val="-5"/>
                <w:sz w:val="18"/>
              </w:rPr>
              <w:t xml:space="preserve"> </w:t>
            </w:r>
            <w:r w:rsidRPr="00EC20A0">
              <w:rPr>
                <w:sz w:val="18"/>
              </w:rPr>
              <w:t>include</w:t>
            </w:r>
            <w:r w:rsidRPr="00EC20A0">
              <w:rPr>
                <w:spacing w:val="-5"/>
                <w:sz w:val="18"/>
              </w:rPr>
              <w:t xml:space="preserve"> </w:t>
            </w:r>
            <w:r w:rsidRPr="00EC20A0">
              <w:rPr>
                <w:sz w:val="18"/>
              </w:rPr>
              <w:t>any</w:t>
            </w:r>
            <w:r w:rsidRPr="00EC20A0">
              <w:rPr>
                <w:spacing w:val="-5"/>
                <w:sz w:val="18"/>
              </w:rPr>
              <w:t xml:space="preserve"> </w:t>
            </w:r>
            <w:r w:rsidRPr="00EC20A0">
              <w:rPr>
                <w:sz w:val="18"/>
              </w:rPr>
              <w:t>complementary</w:t>
            </w:r>
            <w:r w:rsidRPr="00EC20A0">
              <w:rPr>
                <w:spacing w:val="-5"/>
                <w:sz w:val="18"/>
              </w:rPr>
              <w:t xml:space="preserve"> </w:t>
            </w:r>
            <w:r w:rsidRPr="00EC20A0">
              <w:rPr>
                <w:sz w:val="18"/>
              </w:rPr>
              <w:t>user</w:t>
            </w:r>
            <w:r w:rsidRPr="00EC20A0">
              <w:rPr>
                <w:spacing w:val="-5"/>
                <w:sz w:val="18"/>
              </w:rPr>
              <w:t xml:space="preserve"> </w:t>
            </w:r>
            <w:r w:rsidRPr="00EC20A0">
              <w:rPr>
                <w:sz w:val="18"/>
              </w:rPr>
              <w:t>entity</w:t>
            </w:r>
            <w:r w:rsidRPr="00EC20A0">
              <w:rPr>
                <w:spacing w:val="-5"/>
                <w:sz w:val="18"/>
              </w:rPr>
              <w:t xml:space="preserve"> </w:t>
            </w:r>
            <w:r w:rsidRPr="00EC20A0">
              <w:rPr>
                <w:sz w:val="18"/>
              </w:rPr>
              <w:t xml:space="preserve">and subservice organization controls identified in the report that are relevant in addressing the risks of material </w:t>
            </w:r>
            <w:r w:rsidRPr="00EC20A0">
              <w:rPr>
                <w:sz w:val="18"/>
              </w:rPr>
              <w:t>misstatement?</w:t>
            </w:r>
          </w:p>
        </w:tc>
        <w:tc>
          <w:tcPr>
            <w:tcW w:w="720" w:type="dxa"/>
            <w:tcBorders>
              <w:top w:val="single" w:sz="4" w:space="0" w:color="000000"/>
              <w:left w:val="single" w:sz="4" w:space="0" w:color="000000"/>
              <w:bottom w:val="single" w:sz="4" w:space="0" w:color="000000"/>
              <w:right w:val="single" w:sz="4" w:space="0" w:color="000000"/>
            </w:tcBorders>
          </w:tcPr>
          <w:p w14:paraId="24D60203"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04"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05" w14:textId="77777777" w:rsidR="00245300" w:rsidRPr="00EC20A0" w:rsidRDefault="00245300">
            <w:pPr>
              <w:pStyle w:val="TableParagraph"/>
              <w:rPr>
                <w:sz w:val="18"/>
              </w:rPr>
            </w:pPr>
          </w:p>
        </w:tc>
      </w:tr>
      <w:tr w:rsidR="00245300" w:rsidRPr="00EC20A0" w14:paraId="24D6020B" w14:textId="77777777">
        <w:trPr>
          <w:trHeight w:val="861"/>
        </w:trPr>
        <w:tc>
          <w:tcPr>
            <w:tcW w:w="6091" w:type="dxa"/>
            <w:tcBorders>
              <w:top w:val="single" w:sz="4" w:space="0" w:color="000000"/>
              <w:bottom w:val="single" w:sz="4" w:space="0" w:color="000000"/>
              <w:right w:val="single" w:sz="4" w:space="0" w:color="000000"/>
            </w:tcBorders>
          </w:tcPr>
          <w:p w14:paraId="24D60207" w14:textId="77777777" w:rsidR="00245300" w:rsidRPr="00EC20A0" w:rsidRDefault="00F17249">
            <w:pPr>
              <w:pStyle w:val="TableParagraph"/>
              <w:spacing w:before="120"/>
              <w:ind w:left="392" w:hanging="288"/>
              <w:rPr>
                <w:sz w:val="18"/>
              </w:rPr>
            </w:pPr>
            <w:r w:rsidRPr="00EC20A0">
              <w:rPr>
                <w:sz w:val="18"/>
              </w:rPr>
              <w:t>11)</w:t>
            </w:r>
            <w:r w:rsidRPr="00EC20A0">
              <w:rPr>
                <w:spacing w:val="-15"/>
                <w:sz w:val="18"/>
              </w:rPr>
              <w:t xml:space="preserve"> </w:t>
            </w:r>
            <w:r w:rsidRPr="00EC20A0">
              <w:rPr>
                <w:sz w:val="18"/>
              </w:rPr>
              <w:t>Did the auditor determine that the complementary user entity and subservice</w:t>
            </w:r>
            <w:r w:rsidRPr="00EC20A0">
              <w:rPr>
                <w:spacing w:val="-6"/>
                <w:sz w:val="18"/>
              </w:rPr>
              <w:t xml:space="preserve"> </w:t>
            </w:r>
            <w:r w:rsidRPr="00EC20A0">
              <w:rPr>
                <w:sz w:val="18"/>
              </w:rPr>
              <w:t>organization</w:t>
            </w:r>
            <w:r w:rsidRPr="00EC20A0">
              <w:rPr>
                <w:spacing w:val="-5"/>
                <w:sz w:val="18"/>
              </w:rPr>
              <w:t xml:space="preserve"> </w:t>
            </w:r>
            <w:r w:rsidRPr="00EC20A0">
              <w:rPr>
                <w:sz w:val="18"/>
              </w:rPr>
              <w:t>controls</w:t>
            </w:r>
            <w:r w:rsidRPr="00EC20A0">
              <w:rPr>
                <w:spacing w:val="-5"/>
                <w:sz w:val="18"/>
              </w:rPr>
              <w:t xml:space="preserve"> </w:t>
            </w:r>
            <w:r w:rsidRPr="00EC20A0">
              <w:rPr>
                <w:sz w:val="18"/>
              </w:rPr>
              <w:t>identified</w:t>
            </w:r>
            <w:r w:rsidRPr="00EC20A0">
              <w:rPr>
                <w:spacing w:val="-6"/>
                <w:sz w:val="18"/>
              </w:rPr>
              <w:t xml:space="preserve"> </w:t>
            </w:r>
            <w:r w:rsidRPr="00EC20A0">
              <w:rPr>
                <w:sz w:val="18"/>
              </w:rPr>
              <w:t>in</w:t>
            </w:r>
            <w:r w:rsidRPr="00EC20A0">
              <w:rPr>
                <w:spacing w:val="-4"/>
                <w:sz w:val="18"/>
              </w:rPr>
              <w:t xml:space="preserve"> </w:t>
            </w:r>
            <w:r w:rsidRPr="00EC20A0">
              <w:rPr>
                <w:sz w:val="18"/>
              </w:rPr>
              <w:t>step</w:t>
            </w:r>
            <w:r w:rsidRPr="00EC20A0">
              <w:rPr>
                <w:spacing w:val="-5"/>
                <w:sz w:val="18"/>
              </w:rPr>
              <w:t xml:space="preserve"> </w:t>
            </w:r>
            <w:r w:rsidRPr="00EC20A0">
              <w:rPr>
                <w:sz w:val="18"/>
              </w:rPr>
              <w:t>10</w:t>
            </w:r>
            <w:r w:rsidRPr="00EC20A0">
              <w:rPr>
                <w:spacing w:val="-5"/>
                <w:sz w:val="18"/>
              </w:rPr>
              <w:t xml:space="preserve"> </w:t>
            </w:r>
            <w:r w:rsidRPr="00EC20A0">
              <w:rPr>
                <w:sz w:val="18"/>
              </w:rPr>
              <w:t>were</w:t>
            </w:r>
            <w:r w:rsidRPr="00EC20A0">
              <w:rPr>
                <w:spacing w:val="-4"/>
                <w:sz w:val="18"/>
              </w:rPr>
              <w:t xml:space="preserve"> </w:t>
            </w:r>
            <w:r w:rsidRPr="00EC20A0">
              <w:rPr>
                <w:sz w:val="18"/>
              </w:rPr>
              <w:t>designed, implemented, and operating effectively? If no, see step 12 below.</w:t>
            </w:r>
          </w:p>
        </w:tc>
        <w:tc>
          <w:tcPr>
            <w:tcW w:w="720" w:type="dxa"/>
            <w:tcBorders>
              <w:top w:val="single" w:sz="4" w:space="0" w:color="000000"/>
              <w:left w:val="single" w:sz="4" w:space="0" w:color="000000"/>
              <w:bottom w:val="single" w:sz="4" w:space="0" w:color="000000"/>
              <w:right w:val="single" w:sz="4" w:space="0" w:color="000000"/>
            </w:tcBorders>
          </w:tcPr>
          <w:p w14:paraId="24D60208"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09"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0A" w14:textId="77777777" w:rsidR="00245300" w:rsidRPr="00EC20A0" w:rsidRDefault="00245300">
            <w:pPr>
              <w:pStyle w:val="TableParagraph"/>
              <w:rPr>
                <w:sz w:val="18"/>
              </w:rPr>
            </w:pPr>
          </w:p>
        </w:tc>
      </w:tr>
      <w:tr w:rsidR="00245300" w:rsidRPr="00EC20A0" w14:paraId="24D60210" w14:textId="77777777">
        <w:trPr>
          <w:trHeight w:val="654"/>
        </w:trPr>
        <w:tc>
          <w:tcPr>
            <w:tcW w:w="6091" w:type="dxa"/>
            <w:tcBorders>
              <w:top w:val="single" w:sz="4" w:space="0" w:color="000000"/>
              <w:right w:val="single" w:sz="4" w:space="0" w:color="000000"/>
            </w:tcBorders>
          </w:tcPr>
          <w:p w14:paraId="24D6020C" w14:textId="77777777" w:rsidR="00245300" w:rsidRPr="00EC20A0" w:rsidRDefault="00F17249">
            <w:pPr>
              <w:pStyle w:val="TableParagraph"/>
              <w:spacing w:before="119"/>
              <w:ind w:left="392" w:right="206" w:hanging="288"/>
              <w:rPr>
                <w:sz w:val="18"/>
              </w:rPr>
            </w:pPr>
            <w:r w:rsidRPr="00EC20A0">
              <w:rPr>
                <w:sz w:val="18"/>
              </w:rPr>
              <w:t>12)</w:t>
            </w:r>
            <w:r w:rsidRPr="00EC20A0">
              <w:rPr>
                <w:spacing w:val="-22"/>
                <w:sz w:val="18"/>
              </w:rPr>
              <w:t xml:space="preserve"> </w:t>
            </w:r>
            <w:r w:rsidRPr="00EC20A0">
              <w:rPr>
                <w:sz w:val="18"/>
              </w:rPr>
              <w:t>If</w:t>
            </w:r>
            <w:r w:rsidRPr="00EC20A0">
              <w:rPr>
                <w:spacing w:val="-5"/>
                <w:sz w:val="18"/>
              </w:rPr>
              <w:t xml:space="preserve"> </w:t>
            </w:r>
            <w:r w:rsidRPr="00EC20A0">
              <w:rPr>
                <w:sz w:val="18"/>
              </w:rPr>
              <w:t>controls</w:t>
            </w:r>
            <w:r w:rsidRPr="00EC20A0">
              <w:rPr>
                <w:spacing w:val="-3"/>
                <w:sz w:val="18"/>
              </w:rPr>
              <w:t xml:space="preserve"> </w:t>
            </w:r>
            <w:r w:rsidRPr="00EC20A0">
              <w:rPr>
                <w:sz w:val="18"/>
              </w:rPr>
              <w:t>are</w:t>
            </w:r>
            <w:r w:rsidRPr="00EC20A0">
              <w:rPr>
                <w:spacing w:val="-3"/>
                <w:sz w:val="18"/>
              </w:rPr>
              <w:t xml:space="preserve"> </w:t>
            </w:r>
            <w:r w:rsidRPr="00EC20A0">
              <w:rPr>
                <w:sz w:val="18"/>
              </w:rPr>
              <w:t>determined</w:t>
            </w:r>
            <w:r w:rsidRPr="00EC20A0">
              <w:rPr>
                <w:spacing w:val="-3"/>
                <w:sz w:val="18"/>
              </w:rPr>
              <w:t xml:space="preserve"> </w:t>
            </w:r>
            <w:r w:rsidRPr="00EC20A0">
              <w:rPr>
                <w:sz w:val="18"/>
              </w:rPr>
              <w:t>to</w:t>
            </w:r>
            <w:r w:rsidRPr="00EC20A0">
              <w:rPr>
                <w:spacing w:val="-3"/>
                <w:sz w:val="18"/>
              </w:rPr>
              <w:t xml:space="preserve"> </w:t>
            </w:r>
            <w:r w:rsidRPr="00EC20A0">
              <w:rPr>
                <w:sz w:val="18"/>
              </w:rPr>
              <w:t>be</w:t>
            </w:r>
            <w:r w:rsidRPr="00EC20A0">
              <w:rPr>
                <w:spacing w:val="-3"/>
                <w:sz w:val="18"/>
              </w:rPr>
              <w:t xml:space="preserve"> </w:t>
            </w:r>
            <w:r w:rsidRPr="00EC20A0">
              <w:rPr>
                <w:sz w:val="18"/>
              </w:rPr>
              <w:t>ineffective</w:t>
            </w:r>
            <w:r w:rsidRPr="00EC20A0">
              <w:rPr>
                <w:spacing w:val="-4"/>
                <w:sz w:val="18"/>
              </w:rPr>
              <w:t xml:space="preserve"> </w:t>
            </w:r>
            <w:r w:rsidRPr="00EC20A0">
              <w:rPr>
                <w:sz w:val="18"/>
              </w:rPr>
              <w:t>in</w:t>
            </w:r>
            <w:r w:rsidRPr="00EC20A0">
              <w:rPr>
                <w:spacing w:val="-4"/>
                <w:sz w:val="18"/>
              </w:rPr>
              <w:t xml:space="preserve"> </w:t>
            </w:r>
            <w:r w:rsidRPr="00EC20A0">
              <w:rPr>
                <w:sz w:val="18"/>
              </w:rPr>
              <w:t>steps</w:t>
            </w:r>
            <w:r w:rsidRPr="00EC20A0">
              <w:rPr>
                <w:spacing w:val="-3"/>
                <w:sz w:val="18"/>
              </w:rPr>
              <w:t xml:space="preserve"> </w:t>
            </w:r>
            <w:r w:rsidRPr="00EC20A0">
              <w:rPr>
                <w:sz w:val="18"/>
              </w:rPr>
              <w:t>9</w:t>
            </w:r>
            <w:r w:rsidRPr="00EC20A0">
              <w:rPr>
                <w:spacing w:val="-4"/>
                <w:sz w:val="18"/>
              </w:rPr>
              <w:t xml:space="preserve"> </w:t>
            </w:r>
            <w:r w:rsidRPr="00EC20A0">
              <w:rPr>
                <w:sz w:val="18"/>
              </w:rPr>
              <w:t>or</w:t>
            </w:r>
            <w:r w:rsidRPr="00EC20A0">
              <w:rPr>
                <w:spacing w:val="-3"/>
                <w:sz w:val="18"/>
              </w:rPr>
              <w:t xml:space="preserve"> </w:t>
            </w:r>
            <w:r w:rsidRPr="00EC20A0">
              <w:rPr>
                <w:sz w:val="18"/>
              </w:rPr>
              <w:t>11,</w:t>
            </w:r>
            <w:r w:rsidRPr="00EC20A0">
              <w:rPr>
                <w:spacing w:val="-3"/>
                <w:sz w:val="18"/>
              </w:rPr>
              <w:t xml:space="preserve"> </w:t>
            </w:r>
            <w:r w:rsidRPr="00EC20A0">
              <w:rPr>
                <w:sz w:val="18"/>
              </w:rPr>
              <w:t>were there effective compensating controls in place?</w:t>
            </w:r>
          </w:p>
        </w:tc>
        <w:tc>
          <w:tcPr>
            <w:tcW w:w="720" w:type="dxa"/>
            <w:tcBorders>
              <w:top w:val="single" w:sz="4" w:space="0" w:color="000000"/>
              <w:left w:val="single" w:sz="4" w:space="0" w:color="000000"/>
              <w:right w:val="single" w:sz="4" w:space="0" w:color="000000"/>
            </w:tcBorders>
          </w:tcPr>
          <w:p w14:paraId="24D6020D" w14:textId="77777777" w:rsidR="00245300" w:rsidRPr="00EC20A0" w:rsidRDefault="00245300">
            <w:pPr>
              <w:pStyle w:val="TableParagraph"/>
              <w:rPr>
                <w:sz w:val="18"/>
              </w:rPr>
            </w:pPr>
          </w:p>
        </w:tc>
        <w:tc>
          <w:tcPr>
            <w:tcW w:w="1080" w:type="dxa"/>
            <w:tcBorders>
              <w:top w:val="single" w:sz="4" w:space="0" w:color="000000"/>
              <w:left w:val="single" w:sz="4" w:space="0" w:color="000000"/>
              <w:right w:val="single" w:sz="4" w:space="0" w:color="000000"/>
            </w:tcBorders>
          </w:tcPr>
          <w:p w14:paraId="24D6020E" w14:textId="77777777" w:rsidR="00245300" w:rsidRPr="00EC20A0" w:rsidRDefault="00245300">
            <w:pPr>
              <w:pStyle w:val="TableParagraph"/>
              <w:rPr>
                <w:sz w:val="18"/>
              </w:rPr>
            </w:pPr>
          </w:p>
        </w:tc>
        <w:tc>
          <w:tcPr>
            <w:tcW w:w="1379" w:type="dxa"/>
            <w:tcBorders>
              <w:top w:val="single" w:sz="4" w:space="0" w:color="000000"/>
              <w:left w:val="single" w:sz="4" w:space="0" w:color="000000"/>
            </w:tcBorders>
          </w:tcPr>
          <w:p w14:paraId="24D6020F" w14:textId="77777777" w:rsidR="00245300" w:rsidRPr="00EC20A0" w:rsidRDefault="00245300">
            <w:pPr>
              <w:pStyle w:val="TableParagraph"/>
              <w:rPr>
                <w:sz w:val="18"/>
              </w:rPr>
            </w:pPr>
          </w:p>
        </w:tc>
      </w:tr>
    </w:tbl>
    <w:p w14:paraId="24D60211"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60212" w14:textId="77777777" w:rsidR="00245300" w:rsidRPr="00EC20A0" w:rsidRDefault="00245300">
      <w:pPr>
        <w:pStyle w:val="BodyText"/>
        <w:spacing w:before="4"/>
        <w:rPr>
          <w:sz w:val="11"/>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245300" w:rsidRPr="00EC20A0" w14:paraId="24D6021B" w14:textId="77777777">
        <w:trPr>
          <w:trHeight w:val="860"/>
        </w:trPr>
        <w:tc>
          <w:tcPr>
            <w:tcW w:w="6091" w:type="dxa"/>
            <w:tcBorders>
              <w:right w:val="single" w:sz="4" w:space="0" w:color="000000"/>
            </w:tcBorders>
          </w:tcPr>
          <w:p w14:paraId="24D60213" w14:textId="77777777" w:rsidR="00245300" w:rsidRPr="00EC20A0" w:rsidRDefault="00245300">
            <w:pPr>
              <w:pStyle w:val="TableParagraph"/>
              <w:rPr>
                <w:sz w:val="18"/>
              </w:rPr>
            </w:pPr>
          </w:p>
          <w:p w14:paraId="24D60214" w14:textId="77777777" w:rsidR="00245300" w:rsidRPr="00EC20A0" w:rsidRDefault="00245300">
            <w:pPr>
              <w:pStyle w:val="TableParagraph"/>
              <w:spacing w:before="121"/>
              <w:rPr>
                <w:sz w:val="18"/>
              </w:rPr>
            </w:pPr>
          </w:p>
          <w:p w14:paraId="24D60215" w14:textId="77777777" w:rsidR="00245300" w:rsidRPr="00EC20A0" w:rsidRDefault="00F17249">
            <w:pPr>
              <w:pStyle w:val="TableParagraph"/>
              <w:ind w:left="105"/>
              <w:rPr>
                <w:b/>
                <w:sz w:val="18"/>
              </w:rPr>
            </w:pPr>
            <w:r w:rsidRPr="00EC20A0">
              <w:rPr>
                <w:b/>
                <w:spacing w:val="-2"/>
                <w:sz w:val="18"/>
              </w:rPr>
              <w:t>Questions</w:t>
            </w:r>
          </w:p>
        </w:tc>
        <w:tc>
          <w:tcPr>
            <w:tcW w:w="720" w:type="dxa"/>
            <w:tcBorders>
              <w:left w:val="single" w:sz="4" w:space="0" w:color="000000"/>
              <w:right w:val="single" w:sz="4" w:space="0" w:color="000000"/>
            </w:tcBorders>
          </w:tcPr>
          <w:p w14:paraId="24D60216" w14:textId="77777777" w:rsidR="00245300" w:rsidRPr="00EC20A0" w:rsidRDefault="00F17249">
            <w:pPr>
              <w:pStyle w:val="TableParagraph"/>
              <w:spacing w:before="119"/>
              <w:ind w:left="205" w:right="164" w:hanging="30"/>
              <w:jc w:val="both"/>
              <w:rPr>
                <w:b/>
                <w:sz w:val="18"/>
              </w:rPr>
            </w:pPr>
            <w:r w:rsidRPr="00EC20A0">
              <w:rPr>
                <w:b/>
                <w:spacing w:val="-4"/>
                <w:sz w:val="18"/>
              </w:rPr>
              <w:t xml:space="preserve">Yes, No, </w:t>
            </w:r>
            <w:r w:rsidRPr="00EC20A0">
              <w:rPr>
                <w:b/>
                <w:spacing w:val="-5"/>
                <w:sz w:val="18"/>
              </w:rPr>
              <w:t>N/A</w:t>
            </w:r>
          </w:p>
        </w:tc>
        <w:tc>
          <w:tcPr>
            <w:tcW w:w="1080" w:type="dxa"/>
            <w:tcBorders>
              <w:left w:val="single" w:sz="4" w:space="0" w:color="000000"/>
              <w:right w:val="single" w:sz="4" w:space="0" w:color="000000"/>
            </w:tcBorders>
          </w:tcPr>
          <w:p w14:paraId="24D60217" w14:textId="77777777" w:rsidR="00245300" w:rsidRPr="00EC20A0" w:rsidRDefault="00245300">
            <w:pPr>
              <w:pStyle w:val="TableParagraph"/>
              <w:spacing w:before="119"/>
              <w:rPr>
                <w:sz w:val="18"/>
              </w:rPr>
            </w:pPr>
          </w:p>
          <w:p w14:paraId="24D60218" w14:textId="77777777" w:rsidR="00245300" w:rsidRPr="00EC20A0" w:rsidRDefault="00F17249">
            <w:pPr>
              <w:pStyle w:val="TableParagraph"/>
              <w:ind w:left="168" w:firstLine="85"/>
              <w:rPr>
                <w:b/>
                <w:sz w:val="18"/>
              </w:rPr>
            </w:pPr>
            <w:r w:rsidRPr="00EC20A0">
              <w:rPr>
                <w:b/>
                <w:spacing w:val="-2"/>
                <w:sz w:val="18"/>
              </w:rPr>
              <w:t xml:space="preserve">Initials </w:t>
            </w:r>
            <w:r w:rsidRPr="00EC20A0">
              <w:rPr>
                <w:b/>
                <w:sz w:val="18"/>
              </w:rPr>
              <w:t>and</w:t>
            </w:r>
            <w:r w:rsidRPr="00EC20A0">
              <w:rPr>
                <w:b/>
                <w:spacing w:val="-1"/>
                <w:sz w:val="18"/>
              </w:rPr>
              <w:t xml:space="preserve"> </w:t>
            </w:r>
            <w:r w:rsidRPr="00EC20A0">
              <w:rPr>
                <w:b/>
                <w:spacing w:val="-4"/>
                <w:sz w:val="18"/>
              </w:rPr>
              <w:t>date</w:t>
            </w:r>
          </w:p>
        </w:tc>
        <w:tc>
          <w:tcPr>
            <w:tcW w:w="1379" w:type="dxa"/>
            <w:tcBorders>
              <w:left w:val="single" w:sz="4" w:space="0" w:color="000000"/>
            </w:tcBorders>
          </w:tcPr>
          <w:p w14:paraId="24D60219" w14:textId="77777777" w:rsidR="00245300" w:rsidRPr="00EC20A0" w:rsidRDefault="00245300">
            <w:pPr>
              <w:pStyle w:val="TableParagraph"/>
              <w:spacing w:before="119"/>
              <w:rPr>
                <w:sz w:val="18"/>
              </w:rPr>
            </w:pPr>
          </w:p>
          <w:p w14:paraId="24D6021A" w14:textId="77777777" w:rsidR="00245300" w:rsidRPr="00EC20A0" w:rsidRDefault="00F17249">
            <w:pPr>
              <w:pStyle w:val="TableParagraph"/>
              <w:ind w:left="233" w:firstLine="14"/>
              <w:rPr>
                <w:b/>
                <w:sz w:val="18"/>
              </w:rPr>
            </w:pPr>
            <w:r w:rsidRPr="00EC20A0">
              <w:rPr>
                <w:b/>
                <w:sz w:val="18"/>
              </w:rPr>
              <w:t>Audit</w:t>
            </w:r>
            <w:r w:rsidRPr="00EC20A0">
              <w:rPr>
                <w:b/>
                <w:spacing w:val="-13"/>
                <w:sz w:val="18"/>
              </w:rPr>
              <w:t xml:space="preserve"> </w:t>
            </w:r>
            <w:r w:rsidRPr="00EC20A0">
              <w:rPr>
                <w:b/>
                <w:sz w:val="18"/>
              </w:rPr>
              <w:t xml:space="preserve">doc. </w:t>
            </w:r>
            <w:r w:rsidRPr="00EC20A0">
              <w:rPr>
                <w:b/>
                <w:spacing w:val="-2"/>
                <w:sz w:val="18"/>
              </w:rPr>
              <w:t>references</w:t>
            </w:r>
          </w:p>
        </w:tc>
      </w:tr>
      <w:tr w:rsidR="00245300" w:rsidRPr="00EC20A0" w14:paraId="24D60224" w14:textId="77777777">
        <w:trPr>
          <w:trHeight w:val="4495"/>
        </w:trPr>
        <w:tc>
          <w:tcPr>
            <w:tcW w:w="6091" w:type="dxa"/>
            <w:tcBorders>
              <w:bottom w:val="single" w:sz="4" w:space="0" w:color="000000"/>
              <w:right w:val="single" w:sz="4" w:space="0" w:color="000000"/>
            </w:tcBorders>
          </w:tcPr>
          <w:p w14:paraId="24D6021C" w14:textId="77777777" w:rsidR="00245300" w:rsidRPr="00EC20A0" w:rsidRDefault="00F17249">
            <w:pPr>
              <w:pStyle w:val="TableParagraph"/>
              <w:spacing w:before="119"/>
              <w:ind w:left="392" w:right="179" w:hanging="288"/>
              <w:rPr>
                <w:sz w:val="18"/>
              </w:rPr>
            </w:pPr>
            <w:r w:rsidRPr="00EC20A0">
              <w:rPr>
                <w:sz w:val="18"/>
              </w:rPr>
              <w:t>13)</w:t>
            </w:r>
            <w:r w:rsidRPr="00EC20A0">
              <w:rPr>
                <w:spacing w:val="-7"/>
                <w:sz w:val="18"/>
              </w:rPr>
              <w:t xml:space="preserve"> </w:t>
            </w:r>
            <w:r w:rsidRPr="00EC20A0">
              <w:rPr>
                <w:sz w:val="18"/>
              </w:rPr>
              <w:t xml:space="preserve">Did the auditor determine whether the report provides </w:t>
            </w:r>
            <w:r w:rsidRPr="00EC20A0">
              <w:rPr>
                <w:sz w:val="18"/>
              </w:rPr>
              <w:t>sufficient appropriate</w:t>
            </w:r>
            <w:r w:rsidRPr="00EC20A0">
              <w:rPr>
                <w:spacing w:val="-6"/>
                <w:sz w:val="18"/>
              </w:rPr>
              <w:t xml:space="preserve"> </w:t>
            </w:r>
            <w:r w:rsidRPr="00EC20A0">
              <w:rPr>
                <w:sz w:val="18"/>
              </w:rPr>
              <w:t>audit</w:t>
            </w:r>
            <w:r w:rsidRPr="00EC20A0">
              <w:rPr>
                <w:spacing w:val="-5"/>
                <w:sz w:val="18"/>
              </w:rPr>
              <w:t xml:space="preserve"> </w:t>
            </w:r>
            <w:r w:rsidRPr="00EC20A0">
              <w:rPr>
                <w:sz w:val="18"/>
              </w:rPr>
              <w:t>evidence</w:t>
            </w:r>
            <w:r w:rsidRPr="00EC20A0">
              <w:rPr>
                <w:spacing w:val="-6"/>
                <w:sz w:val="18"/>
              </w:rPr>
              <w:t xml:space="preserve"> </w:t>
            </w:r>
            <w:r w:rsidRPr="00EC20A0">
              <w:rPr>
                <w:sz w:val="18"/>
              </w:rPr>
              <w:t>about</w:t>
            </w:r>
            <w:r w:rsidRPr="00EC20A0">
              <w:rPr>
                <w:spacing w:val="-5"/>
                <w:sz w:val="18"/>
              </w:rPr>
              <w:t xml:space="preserve"> </w:t>
            </w:r>
            <w:r w:rsidRPr="00EC20A0">
              <w:rPr>
                <w:sz w:val="18"/>
              </w:rPr>
              <w:t>the</w:t>
            </w:r>
            <w:r w:rsidRPr="00EC20A0">
              <w:rPr>
                <w:spacing w:val="-5"/>
                <w:sz w:val="18"/>
              </w:rPr>
              <w:t xml:space="preserve"> </w:t>
            </w:r>
            <w:r w:rsidRPr="00EC20A0">
              <w:rPr>
                <w:sz w:val="18"/>
              </w:rPr>
              <w:t>effectiveness</w:t>
            </w:r>
            <w:r w:rsidRPr="00EC20A0">
              <w:rPr>
                <w:spacing w:val="-5"/>
                <w:sz w:val="18"/>
              </w:rPr>
              <w:t xml:space="preserve"> </w:t>
            </w:r>
            <w:r w:rsidRPr="00EC20A0">
              <w:rPr>
                <w:sz w:val="18"/>
              </w:rPr>
              <w:t>of</w:t>
            </w:r>
            <w:r w:rsidRPr="00EC20A0">
              <w:rPr>
                <w:spacing w:val="-5"/>
                <w:sz w:val="18"/>
              </w:rPr>
              <w:t xml:space="preserve"> </w:t>
            </w:r>
            <w:r w:rsidRPr="00EC20A0">
              <w:rPr>
                <w:sz w:val="18"/>
              </w:rPr>
              <w:t>controls</w:t>
            </w:r>
            <w:r w:rsidRPr="00EC20A0">
              <w:rPr>
                <w:spacing w:val="-5"/>
                <w:sz w:val="18"/>
              </w:rPr>
              <w:t xml:space="preserve"> </w:t>
            </w:r>
            <w:r w:rsidRPr="00EC20A0">
              <w:rPr>
                <w:sz w:val="18"/>
              </w:rPr>
              <w:t>to support the auditor’s risk assessment by:</w:t>
            </w:r>
          </w:p>
          <w:p w14:paraId="24D6021D" w14:textId="77777777" w:rsidR="00245300" w:rsidRPr="00EC20A0" w:rsidRDefault="00F17249">
            <w:pPr>
              <w:pStyle w:val="TableParagraph"/>
              <w:numPr>
                <w:ilvl w:val="0"/>
                <w:numId w:val="194"/>
              </w:numPr>
              <w:tabs>
                <w:tab w:val="left" w:pos="583"/>
              </w:tabs>
              <w:spacing w:before="121"/>
              <w:ind w:right="262"/>
              <w:rPr>
                <w:sz w:val="18"/>
              </w:rPr>
            </w:pPr>
            <w:r w:rsidRPr="00EC20A0">
              <w:rPr>
                <w:sz w:val="18"/>
              </w:rPr>
              <w:t>evaluating</w:t>
            </w:r>
            <w:r w:rsidRPr="00EC20A0">
              <w:rPr>
                <w:spacing w:val="-4"/>
                <w:sz w:val="18"/>
              </w:rPr>
              <w:t xml:space="preserve"> </w:t>
            </w:r>
            <w:r w:rsidRPr="00EC20A0">
              <w:rPr>
                <w:sz w:val="18"/>
              </w:rPr>
              <w:t>whether</w:t>
            </w:r>
            <w:r w:rsidRPr="00EC20A0">
              <w:rPr>
                <w:spacing w:val="-3"/>
                <w:sz w:val="18"/>
              </w:rPr>
              <w:t xml:space="preserve"> </w:t>
            </w:r>
            <w:r w:rsidRPr="00EC20A0">
              <w:rPr>
                <w:sz w:val="18"/>
              </w:rPr>
              <w:t>the</w:t>
            </w:r>
            <w:r w:rsidRPr="00EC20A0">
              <w:rPr>
                <w:spacing w:val="-4"/>
                <w:sz w:val="18"/>
              </w:rPr>
              <w:t xml:space="preserve"> </w:t>
            </w:r>
            <w:r w:rsidRPr="00EC20A0">
              <w:rPr>
                <w:sz w:val="18"/>
              </w:rPr>
              <w:t>report</w:t>
            </w:r>
            <w:r w:rsidRPr="00EC20A0">
              <w:rPr>
                <w:spacing w:val="-3"/>
                <w:sz w:val="18"/>
              </w:rPr>
              <w:t xml:space="preserve"> </w:t>
            </w:r>
            <w:r w:rsidRPr="00EC20A0">
              <w:rPr>
                <w:sz w:val="18"/>
              </w:rPr>
              <w:t>is</w:t>
            </w:r>
            <w:r w:rsidRPr="00EC20A0">
              <w:rPr>
                <w:spacing w:val="-3"/>
                <w:sz w:val="18"/>
              </w:rPr>
              <w:t xml:space="preserve"> </w:t>
            </w:r>
            <w:r w:rsidRPr="00EC20A0">
              <w:rPr>
                <w:sz w:val="18"/>
              </w:rPr>
              <w:t>for</w:t>
            </w:r>
            <w:r w:rsidRPr="00EC20A0">
              <w:rPr>
                <w:spacing w:val="-3"/>
                <w:sz w:val="18"/>
              </w:rPr>
              <w:t xml:space="preserve"> </w:t>
            </w:r>
            <w:r w:rsidRPr="00EC20A0">
              <w:rPr>
                <w:sz w:val="18"/>
              </w:rPr>
              <w:t>a</w:t>
            </w:r>
            <w:r w:rsidRPr="00EC20A0">
              <w:rPr>
                <w:spacing w:val="-4"/>
                <w:sz w:val="18"/>
              </w:rPr>
              <w:t xml:space="preserve"> </w:t>
            </w:r>
            <w:r w:rsidRPr="00EC20A0">
              <w:rPr>
                <w:sz w:val="18"/>
              </w:rPr>
              <w:t>period</w:t>
            </w:r>
            <w:r w:rsidRPr="00EC20A0">
              <w:rPr>
                <w:spacing w:val="-4"/>
                <w:sz w:val="18"/>
              </w:rPr>
              <w:t xml:space="preserve"> </w:t>
            </w:r>
            <w:r w:rsidRPr="00EC20A0">
              <w:rPr>
                <w:sz w:val="18"/>
              </w:rPr>
              <w:t>that</w:t>
            </w:r>
            <w:r w:rsidRPr="00EC20A0">
              <w:rPr>
                <w:spacing w:val="-3"/>
                <w:sz w:val="18"/>
              </w:rPr>
              <w:t xml:space="preserve"> </w:t>
            </w:r>
            <w:r w:rsidRPr="00EC20A0">
              <w:rPr>
                <w:sz w:val="18"/>
              </w:rPr>
              <w:t>is</w:t>
            </w:r>
            <w:r w:rsidRPr="00EC20A0">
              <w:rPr>
                <w:spacing w:val="-3"/>
                <w:sz w:val="18"/>
              </w:rPr>
              <w:t xml:space="preserve"> </w:t>
            </w:r>
            <w:r w:rsidRPr="00EC20A0">
              <w:rPr>
                <w:sz w:val="18"/>
              </w:rPr>
              <w:t>appropriate</w:t>
            </w:r>
            <w:r w:rsidRPr="00EC20A0">
              <w:rPr>
                <w:spacing w:val="-4"/>
                <w:sz w:val="18"/>
              </w:rPr>
              <w:t xml:space="preserve"> </w:t>
            </w:r>
            <w:r w:rsidRPr="00EC20A0">
              <w:rPr>
                <w:sz w:val="18"/>
              </w:rPr>
              <w:t>for the auditor’s purposes;</w:t>
            </w:r>
          </w:p>
          <w:p w14:paraId="24D6021E" w14:textId="77777777" w:rsidR="00245300" w:rsidRPr="00EC20A0" w:rsidRDefault="00F17249">
            <w:pPr>
              <w:pStyle w:val="TableParagraph"/>
              <w:numPr>
                <w:ilvl w:val="0"/>
                <w:numId w:val="194"/>
              </w:numPr>
              <w:tabs>
                <w:tab w:val="left" w:pos="582"/>
              </w:tabs>
              <w:spacing w:before="120"/>
              <w:ind w:left="582" w:right="114"/>
              <w:rPr>
                <w:sz w:val="18"/>
              </w:rPr>
            </w:pPr>
            <w:r w:rsidRPr="00EC20A0">
              <w:rPr>
                <w:sz w:val="18"/>
              </w:rPr>
              <w:t xml:space="preserve">determining (a) whether </w:t>
            </w:r>
            <w:r w:rsidRPr="00EC20A0">
              <w:rPr>
                <w:sz w:val="18"/>
              </w:rPr>
              <w:t>complementary user entity controls that</w:t>
            </w:r>
            <w:r w:rsidRPr="00EC20A0">
              <w:rPr>
                <w:spacing w:val="40"/>
                <w:sz w:val="18"/>
              </w:rPr>
              <w:t xml:space="preserve"> </w:t>
            </w:r>
            <w:r w:rsidRPr="00EC20A0">
              <w:rPr>
                <w:sz w:val="18"/>
              </w:rPr>
              <w:t>the service organization identified are relevant in addressing the risks of material misstatement relating to the significant assertions in the entity’s financial statements and, if so, (b) whether the entity has</w:t>
            </w:r>
            <w:r w:rsidRPr="00EC20A0">
              <w:rPr>
                <w:spacing w:val="-6"/>
                <w:sz w:val="18"/>
              </w:rPr>
              <w:t xml:space="preserve"> </w:t>
            </w:r>
            <w:r w:rsidRPr="00EC20A0">
              <w:rPr>
                <w:sz w:val="18"/>
              </w:rPr>
              <w:t>designed,</w:t>
            </w:r>
            <w:r w:rsidRPr="00EC20A0">
              <w:rPr>
                <w:spacing w:val="-6"/>
                <w:sz w:val="18"/>
              </w:rPr>
              <w:t xml:space="preserve"> </w:t>
            </w:r>
            <w:r w:rsidRPr="00EC20A0">
              <w:rPr>
                <w:sz w:val="18"/>
              </w:rPr>
              <w:t>implemented,</w:t>
            </w:r>
            <w:r w:rsidRPr="00EC20A0">
              <w:rPr>
                <w:spacing w:val="-6"/>
                <w:sz w:val="18"/>
              </w:rPr>
              <w:t xml:space="preserve"> </w:t>
            </w:r>
            <w:r w:rsidRPr="00EC20A0">
              <w:rPr>
                <w:sz w:val="18"/>
              </w:rPr>
              <w:t>and</w:t>
            </w:r>
            <w:r w:rsidRPr="00EC20A0">
              <w:rPr>
                <w:spacing w:val="-6"/>
                <w:sz w:val="18"/>
              </w:rPr>
              <w:t xml:space="preserve"> </w:t>
            </w:r>
            <w:r w:rsidRPr="00EC20A0">
              <w:rPr>
                <w:sz w:val="18"/>
              </w:rPr>
              <w:t>operated</w:t>
            </w:r>
            <w:r w:rsidRPr="00EC20A0">
              <w:rPr>
                <w:spacing w:val="-6"/>
                <w:sz w:val="18"/>
              </w:rPr>
              <w:t xml:space="preserve"> </w:t>
            </w:r>
            <w:r w:rsidRPr="00EC20A0">
              <w:rPr>
                <w:sz w:val="18"/>
              </w:rPr>
              <w:t>such</w:t>
            </w:r>
            <w:r w:rsidRPr="00EC20A0">
              <w:rPr>
                <w:spacing w:val="-6"/>
                <w:sz w:val="18"/>
              </w:rPr>
              <w:t xml:space="preserve"> </w:t>
            </w:r>
            <w:r w:rsidRPr="00EC20A0">
              <w:rPr>
                <w:sz w:val="18"/>
              </w:rPr>
              <w:t>controls</w:t>
            </w:r>
            <w:r w:rsidRPr="00EC20A0">
              <w:rPr>
                <w:spacing w:val="-6"/>
                <w:sz w:val="18"/>
              </w:rPr>
              <w:t xml:space="preserve"> </w:t>
            </w:r>
            <w:r w:rsidRPr="00EC20A0">
              <w:rPr>
                <w:sz w:val="18"/>
              </w:rPr>
              <w:t>effectively;</w:t>
            </w:r>
          </w:p>
          <w:p w14:paraId="24D6021F" w14:textId="77777777" w:rsidR="00245300" w:rsidRPr="00EC20A0" w:rsidRDefault="00F17249">
            <w:pPr>
              <w:pStyle w:val="TableParagraph"/>
              <w:numPr>
                <w:ilvl w:val="0"/>
                <w:numId w:val="194"/>
              </w:numPr>
              <w:tabs>
                <w:tab w:val="left" w:pos="581"/>
              </w:tabs>
              <w:spacing w:before="118"/>
              <w:ind w:left="581" w:right="175"/>
              <w:rPr>
                <w:sz w:val="18"/>
              </w:rPr>
            </w:pPr>
            <w:r w:rsidRPr="00EC20A0">
              <w:rPr>
                <w:sz w:val="18"/>
              </w:rPr>
              <w:t>evaluating the adequacy of the time period covered by the test of controls</w:t>
            </w:r>
            <w:r w:rsidRPr="00EC20A0">
              <w:rPr>
                <w:spacing w:val="-4"/>
                <w:sz w:val="18"/>
              </w:rPr>
              <w:t xml:space="preserve"> </w:t>
            </w:r>
            <w:r w:rsidRPr="00EC20A0">
              <w:rPr>
                <w:sz w:val="18"/>
              </w:rPr>
              <w:t>and</w:t>
            </w:r>
            <w:r w:rsidRPr="00EC20A0">
              <w:rPr>
                <w:spacing w:val="-4"/>
                <w:sz w:val="18"/>
              </w:rPr>
              <w:t xml:space="preserve"> </w:t>
            </w:r>
            <w:r w:rsidRPr="00EC20A0">
              <w:rPr>
                <w:sz w:val="18"/>
              </w:rPr>
              <w:t>the</w:t>
            </w:r>
            <w:r w:rsidRPr="00EC20A0">
              <w:rPr>
                <w:spacing w:val="-4"/>
                <w:sz w:val="18"/>
              </w:rPr>
              <w:t xml:space="preserve"> </w:t>
            </w:r>
            <w:r w:rsidRPr="00EC20A0">
              <w:rPr>
                <w:sz w:val="18"/>
              </w:rPr>
              <w:t>time</w:t>
            </w:r>
            <w:r w:rsidRPr="00EC20A0">
              <w:rPr>
                <w:spacing w:val="-4"/>
                <w:sz w:val="18"/>
              </w:rPr>
              <w:t xml:space="preserve"> </w:t>
            </w:r>
            <w:r w:rsidRPr="00EC20A0">
              <w:rPr>
                <w:sz w:val="18"/>
              </w:rPr>
              <w:t>elapsed</w:t>
            </w:r>
            <w:r w:rsidRPr="00EC20A0">
              <w:rPr>
                <w:spacing w:val="-4"/>
                <w:sz w:val="18"/>
              </w:rPr>
              <w:t xml:space="preserve"> </w:t>
            </w:r>
            <w:r w:rsidRPr="00EC20A0">
              <w:rPr>
                <w:sz w:val="18"/>
              </w:rPr>
              <w:t>since</w:t>
            </w:r>
            <w:r w:rsidRPr="00EC20A0">
              <w:rPr>
                <w:spacing w:val="-4"/>
                <w:sz w:val="18"/>
              </w:rPr>
              <w:t xml:space="preserve"> </w:t>
            </w:r>
            <w:r w:rsidRPr="00EC20A0">
              <w:rPr>
                <w:sz w:val="18"/>
              </w:rPr>
              <w:t>the</w:t>
            </w:r>
            <w:r w:rsidRPr="00EC20A0">
              <w:rPr>
                <w:spacing w:val="-4"/>
                <w:sz w:val="18"/>
              </w:rPr>
              <w:t xml:space="preserve"> </w:t>
            </w:r>
            <w:r w:rsidRPr="00EC20A0">
              <w:rPr>
                <w:sz w:val="18"/>
              </w:rPr>
              <w:t>performance</w:t>
            </w:r>
            <w:r w:rsidRPr="00EC20A0">
              <w:rPr>
                <w:spacing w:val="-4"/>
                <w:sz w:val="18"/>
              </w:rPr>
              <w:t xml:space="preserve"> </w:t>
            </w:r>
            <w:r w:rsidRPr="00EC20A0">
              <w:rPr>
                <w:sz w:val="18"/>
              </w:rPr>
              <w:t>of</w:t>
            </w:r>
            <w:r w:rsidRPr="00EC20A0">
              <w:rPr>
                <w:spacing w:val="-4"/>
                <w:sz w:val="18"/>
              </w:rPr>
              <w:t xml:space="preserve"> </w:t>
            </w:r>
            <w:r w:rsidRPr="00EC20A0">
              <w:rPr>
                <w:sz w:val="18"/>
              </w:rPr>
              <w:t>the</w:t>
            </w:r>
            <w:r w:rsidRPr="00EC20A0">
              <w:rPr>
                <w:spacing w:val="-4"/>
                <w:sz w:val="18"/>
              </w:rPr>
              <w:t xml:space="preserve"> </w:t>
            </w:r>
            <w:r w:rsidRPr="00EC20A0">
              <w:rPr>
                <w:sz w:val="18"/>
              </w:rPr>
              <w:t>tests</w:t>
            </w:r>
            <w:r w:rsidRPr="00EC20A0">
              <w:rPr>
                <w:spacing w:val="-4"/>
                <w:sz w:val="18"/>
              </w:rPr>
              <w:t xml:space="preserve"> </w:t>
            </w:r>
            <w:r w:rsidRPr="00EC20A0">
              <w:rPr>
                <w:sz w:val="18"/>
              </w:rPr>
              <w:t>of controls; and</w:t>
            </w:r>
          </w:p>
          <w:p w14:paraId="24D60220" w14:textId="77777777" w:rsidR="00245300" w:rsidRPr="00EC20A0" w:rsidRDefault="00F17249">
            <w:pPr>
              <w:pStyle w:val="TableParagraph"/>
              <w:numPr>
                <w:ilvl w:val="0"/>
                <w:numId w:val="194"/>
              </w:numPr>
              <w:tabs>
                <w:tab w:val="left" w:pos="581"/>
              </w:tabs>
              <w:spacing w:before="119"/>
              <w:ind w:left="581" w:right="484"/>
              <w:rPr>
                <w:sz w:val="18"/>
              </w:rPr>
            </w:pPr>
            <w:r w:rsidRPr="00EC20A0">
              <w:rPr>
                <w:sz w:val="18"/>
              </w:rPr>
              <w:t>evaluating</w:t>
            </w:r>
            <w:r w:rsidRPr="00EC20A0">
              <w:rPr>
                <w:spacing w:val="-4"/>
                <w:sz w:val="18"/>
              </w:rPr>
              <w:t xml:space="preserve"> </w:t>
            </w:r>
            <w:r w:rsidRPr="00EC20A0">
              <w:rPr>
                <w:sz w:val="18"/>
              </w:rPr>
              <w:t>whether</w:t>
            </w:r>
            <w:r w:rsidRPr="00EC20A0">
              <w:rPr>
                <w:spacing w:val="-3"/>
                <w:sz w:val="18"/>
              </w:rPr>
              <w:t xml:space="preserve"> </w:t>
            </w:r>
            <w:r w:rsidRPr="00EC20A0">
              <w:rPr>
                <w:sz w:val="18"/>
              </w:rPr>
              <w:t>the</w:t>
            </w:r>
            <w:r w:rsidRPr="00EC20A0">
              <w:rPr>
                <w:spacing w:val="-4"/>
                <w:sz w:val="18"/>
              </w:rPr>
              <w:t xml:space="preserve"> </w:t>
            </w:r>
            <w:r w:rsidRPr="00EC20A0">
              <w:rPr>
                <w:sz w:val="18"/>
              </w:rPr>
              <w:t>tests</w:t>
            </w:r>
            <w:r w:rsidRPr="00EC20A0">
              <w:rPr>
                <w:spacing w:val="-3"/>
                <w:sz w:val="18"/>
              </w:rPr>
              <w:t xml:space="preserve"> </w:t>
            </w:r>
            <w:r w:rsidRPr="00EC20A0">
              <w:rPr>
                <w:sz w:val="18"/>
              </w:rPr>
              <w:t>of</w:t>
            </w:r>
            <w:r w:rsidRPr="00EC20A0">
              <w:rPr>
                <w:spacing w:val="-3"/>
                <w:sz w:val="18"/>
              </w:rPr>
              <w:t xml:space="preserve"> </w:t>
            </w:r>
            <w:r w:rsidRPr="00EC20A0">
              <w:rPr>
                <w:sz w:val="18"/>
              </w:rPr>
              <w:t>controls</w:t>
            </w:r>
            <w:r w:rsidRPr="00EC20A0">
              <w:rPr>
                <w:spacing w:val="-3"/>
                <w:sz w:val="18"/>
              </w:rPr>
              <w:t xml:space="preserve"> </w:t>
            </w:r>
            <w:r w:rsidRPr="00EC20A0">
              <w:rPr>
                <w:sz w:val="18"/>
              </w:rPr>
              <w:t>that</w:t>
            </w:r>
            <w:r w:rsidRPr="00EC20A0">
              <w:rPr>
                <w:spacing w:val="-3"/>
                <w:sz w:val="18"/>
              </w:rPr>
              <w:t xml:space="preserve"> </w:t>
            </w:r>
            <w:r w:rsidRPr="00EC20A0">
              <w:rPr>
                <w:sz w:val="18"/>
              </w:rPr>
              <w:t>the</w:t>
            </w:r>
            <w:r w:rsidRPr="00EC20A0">
              <w:rPr>
                <w:spacing w:val="-4"/>
                <w:sz w:val="18"/>
              </w:rPr>
              <w:t xml:space="preserve"> </w:t>
            </w:r>
            <w:r w:rsidRPr="00EC20A0">
              <w:rPr>
                <w:sz w:val="18"/>
              </w:rPr>
              <w:t>service</w:t>
            </w:r>
            <w:r w:rsidRPr="00EC20A0">
              <w:rPr>
                <w:spacing w:val="-4"/>
                <w:sz w:val="18"/>
              </w:rPr>
              <w:t xml:space="preserve"> </w:t>
            </w:r>
            <w:r w:rsidRPr="00EC20A0">
              <w:rPr>
                <w:sz w:val="18"/>
              </w:rPr>
              <w:t>auditor performed and the results thereof, as described in the type 2 report, are relevant to the assertions in the entity’s financial statements</w:t>
            </w:r>
            <w:r w:rsidRPr="00EC20A0">
              <w:rPr>
                <w:spacing w:val="-5"/>
                <w:sz w:val="18"/>
              </w:rPr>
              <w:t xml:space="preserve"> </w:t>
            </w:r>
            <w:r w:rsidRPr="00EC20A0">
              <w:rPr>
                <w:sz w:val="18"/>
              </w:rPr>
              <w:t>and</w:t>
            </w:r>
            <w:r w:rsidRPr="00EC20A0">
              <w:rPr>
                <w:spacing w:val="-6"/>
                <w:sz w:val="18"/>
              </w:rPr>
              <w:t xml:space="preserve"> </w:t>
            </w:r>
            <w:r w:rsidRPr="00EC20A0">
              <w:rPr>
                <w:sz w:val="18"/>
              </w:rPr>
              <w:t>provide</w:t>
            </w:r>
            <w:r w:rsidRPr="00EC20A0">
              <w:rPr>
                <w:spacing w:val="-6"/>
                <w:sz w:val="18"/>
              </w:rPr>
              <w:t xml:space="preserve"> </w:t>
            </w:r>
            <w:r w:rsidRPr="00EC20A0">
              <w:rPr>
                <w:sz w:val="18"/>
              </w:rPr>
              <w:t>sufficient</w:t>
            </w:r>
            <w:r w:rsidRPr="00EC20A0">
              <w:rPr>
                <w:spacing w:val="-5"/>
                <w:sz w:val="18"/>
              </w:rPr>
              <w:t xml:space="preserve"> </w:t>
            </w:r>
            <w:r w:rsidRPr="00EC20A0">
              <w:rPr>
                <w:sz w:val="18"/>
              </w:rPr>
              <w:t>appropriate</w:t>
            </w:r>
            <w:r w:rsidRPr="00EC20A0">
              <w:rPr>
                <w:spacing w:val="-6"/>
                <w:sz w:val="18"/>
              </w:rPr>
              <w:t xml:space="preserve"> </w:t>
            </w:r>
            <w:r w:rsidRPr="00EC20A0">
              <w:rPr>
                <w:sz w:val="18"/>
              </w:rPr>
              <w:t>audit</w:t>
            </w:r>
            <w:r w:rsidRPr="00EC20A0">
              <w:rPr>
                <w:spacing w:val="-5"/>
                <w:sz w:val="18"/>
              </w:rPr>
              <w:t xml:space="preserve"> </w:t>
            </w:r>
            <w:r w:rsidRPr="00EC20A0">
              <w:rPr>
                <w:sz w:val="18"/>
              </w:rPr>
              <w:t>evidence</w:t>
            </w:r>
            <w:r w:rsidRPr="00EC20A0">
              <w:rPr>
                <w:spacing w:val="-6"/>
                <w:sz w:val="18"/>
              </w:rPr>
              <w:t xml:space="preserve"> </w:t>
            </w:r>
            <w:r w:rsidRPr="00EC20A0">
              <w:rPr>
                <w:sz w:val="18"/>
              </w:rPr>
              <w:t>to support the auditor’s risk assessment.</w:t>
            </w:r>
          </w:p>
        </w:tc>
        <w:tc>
          <w:tcPr>
            <w:tcW w:w="720" w:type="dxa"/>
            <w:tcBorders>
              <w:left w:val="single" w:sz="4" w:space="0" w:color="000000"/>
              <w:bottom w:val="single" w:sz="4" w:space="0" w:color="000000"/>
              <w:right w:val="single" w:sz="4" w:space="0" w:color="000000"/>
            </w:tcBorders>
          </w:tcPr>
          <w:p w14:paraId="24D60221" w14:textId="77777777" w:rsidR="00245300" w:rsidRPr="00EC20A0" w:rsidRDefault="00245300">
            <w:pPr>
              <w:pStyle w:val="TableParagraph"/>
              <w:rPr>
                <w:sz w:val="18"/>
              </w:rPr>
            </w:pPr>
          </w:p>
        </w:tc>
        <w:tc>
          <w:tcPr>
            <w:tcW w:w="1080" w:type="dxa"/>
            <w:tcBorders>
              <w:left w:val="single" w:sz="4" w:space="0" w:color="000000"/>
              <w:bottom w:val="single" w:sz="4" w:space="0" w:color="000000"/>
              <w:right w:val="single" w:sz="4" w:space="0" w:color="000000"/>
            </w:tcBorders>
          </w:tcPr>
          <w:p w14:paraId="24D60222" w14:textId="77777777" w:rsidR="00245300" w:rsidRPr="00EC20A0" w:rsidRDefault="00245300">
            <w:pPr>
              <w:pStyle w:val="TableParagraph"/>
              <w:rPr>
                <w:sz w:val="18"/>
              </w:rPr>
            </w:pPr>
          </w:p>
        </w:tc>
        <w:tc>
          <w:tcPr>
            <w:tcW w:w="1379" w:type="dxa"/>
            <w:tcBorders>
              <w:left w:val="single" w:sz="4" w:space="0" w:color="000000"/>
              <w:bottom w:val="single" w:sz="4" w:space="0" w:color="000000"/>
            </w:tcBorders>
          </w:tcPr>
          <w:p w14:paraId="24D60223" w14:textId="77777777" w:rsidR="00245300" w:rsidRPr="00EC20A0" w:rsidRDefault="00245300">
            <w:pPr>
              <w:pStyle w:val="TableParagraph"/>
              <w:rPr>
                <w:sz w:val="18"/>
              </w:rPr>
            </w:pPr>
          </w:p>
        </w:tc>
      </w:tr>
      <w:tr w:rsidR="00245300" w:rsidRPr="00EC20A0" w14:paraId="24D6022D" w14:textId="77777777">
        <w:trPr>
          <w:trHeight w:val="2913"/>
        </w:trPr>
        <w:tc>
          <w:tcPr>
            <w:tcW w:w="6091" w:type="dxa"/>
            <w:tcBorders>
              <w:top w:val="single" w:sz="4" w:space="0" w:color="000000"/>
              <w:bottom w:val="single" w:sz="4" w:space="0" w:color="000000"/>
              <w:right w:val="single" w:sz="4" w:space="0" w:color="000000"/>
            </w:tcBorders>
          </w:tcPr>
          <w:p w14:paraId="24D60225" w14:textId="77777777" w:rsidR="00245300" w:rsidRPr="00EC20A0" w:rsidRDefault="00F17249">
            <w:pPr>
              <w:pStyle w:val="TableParagraph"/>
              <w:spacing w:before="119" w:line="207" w:lineRule="exact"/>
              <w:ind w:left="105"/>
              <w:rPr>
                <w:b/>
                <w:sz w:val="18"/>
              </w:rPr>
            </w:pPr>
            <w:r w:rsidRPr="00EC20A0">
              <w:rPr>
                <w:sz w:val="18"/>
              </w:rPr>
              <w:t>14)</w:t>
            </w:r>
            <w:r w:rsidRPr="00EC20A0">
              <w:rPr>
                <w:spacing w:val="-24"/>
                <w:sz w:val="18"/>
              </w:rPr>
              <w:t xml:space="preserve"> </w:t>
            </w:r>
            <w:r w:rsidRPr="00EC20A0">
              <w:rPr>
                <w:b/>
                <w:sz w:val="18"/>
              </w:rPr>
              <w:t>[For</w:t>
            </w:r>
            <w:r w:rsidRPr="00EC20A0">
              <w:rPr>
                <w:b/>
                <w:spacing w:val="-4"/>
                <w:sz w:val="18"/>
              </w:rPr>
              <w:t xml:space="preserve"> </w:t>
            </w:r>
            <w:r w:rsidRPr="00EC20A0">
              <w:rPr>
                <w:b/>
                <w:sz w:val="18"/>
              </w:rPr>
              <w:t>audits</w:t>
            </w:r>
            <w:r w:rsidRPr="00EC20A0">
              <w:rPr>
                <w:b/>
                <w:spacing w:val="-4"/>
                <w:sz w:val="18"/>
              </w:rPr>
              <w:t xml:space="preserve"> </w:t>
            </w:r>
            <w:r w:rsidRPr="00EC20A0">
              <w:rPr>
                <w:b/>
                <w:sz w:val="18"/>
              </w:rPr>
              <w:t>of</w:t>
            </w:r>
            <w:r w:rsidRPr="00EC20A0">
              <w:rPr>
                <w:b/>
                <w:spacing w:val="-3"/>
                <w:sz w:val="18"/>
              </w:rPr>
              <w:t xml:space="preserve"> </w:t>
            </w:r>
            <w:r w:rsidRPr="00EC20A0">
              <w:rPr>
                <w:b/>
                <w:sz w:val="18"/>
              </w:rPr>
              <w:t>internal</w:t>
            </w:r>
            <w:r w:rsidRPr="00EC20A0">
              <w:rPr>
                <w:b/>
                <w:spacing w:val="-3"/>
                <w:sz w:val="18"/>
              </w:rPr>
              <w:t xml:space="preserve"> </w:t>
            </w:r>
            <w:r w:rsidRPr="00EC20A0">
              <w:rPr>
                <w:b/>
                <w:sz w:val="18"/>
              </w:rPr>
              <w:t>control</w:t>
            </w:r>
            <w:r w:rsidRPr="00EC20A0">
              <w:rPr>
                <w:b/>
                <w:spacing w:val="-2"/>
                <w:sz w:val="18"/>
              </w:rPr>
              <w:t xml:space="preserve"> </w:t>
            </w:r>
            <w:r w:rsidRPr="00EC20A0">
              <w:rPr>
                <w:b/>
                <w:sz w:val="18"/>
              </w:rPr>
              <w:t>over</w:t>
            </w:r>
            <w:r w:rsidRPr="00EC20A0">
              <w:rPr>
                <w:b/>
                <w:spacing w:val="-2"/>
                <w:sz w:val="18"/>
              </w:rPr>
              <w:t xml:space="preserve"> </w:t>
            </w:r>
            <w:r w:rsidRPr="00EC20A0">
              <w:rPr>
                <w:b/>
                <w:sz w:val="18"/>
              </w:rPr>
              <w:t>financial</w:t>
            </w:r>
            <w:r w:rsidRPr="00EC20A0">
              <w:rPr>
                <w:b/>
                <w:spacing w:val="-2"/>
                <w:sz w:val="18"/>
              </w:rPr>
              <w:t xml:space="preserve"> reporting]</w:t>
            </w:r>
          </w:p>
          <w:p w14:paraId="24D60226" w14:textId="77777777" w:rsidR="00245300" w:rsidRPr="00EC20A0" w:rsidRDefault="00F17249">
            <w:pPr>
              <w:pStyle w:val="TableParagraph"/>
              <w:ind w:left="392" w:right="179"/>
              <w:rPr>
                <w:sz w:val="18"/>
              </w:rPr>
            </w:pPr>
            <w:r w:rsidRPr="00EC20A0">
              <w:rPr>
                <w:sz w:val="18"/>
              </w:rPr>
              <w:t>Did the auditor determine that the report provides sufficient appropriate</w:t>
            </w:r>
            <w:r w:rsidRPr="00EC20A0">
              <w:rPr>
                <w:spacing w:val="-6"/>
                <w:sz w:val="18"/>
              </w:rPr>
              <w:t xml:space="preserve"> </w:t>
            </w:r>
            <w:r w:rsidRPr="00EC20A0">
              <w:rPr>
                <w:sz w:val="18"/>
              </w:rPr>
              <w:t>audit</w:t>
            </w:r>
            <w:r w:rsidRPr="00EC20A0">
              <w:rPr>
                <w:spacing w:val="-5"/>
                <w:sz w:val="18"/>
              </w:rPr>
              <w:t xml:space="preserve"> </w:t>
            </w:r>
            <w:r w:rsidRPr="00EC20A0">
              <w:rPr>
                <w:sz w:val="18"/>
              </w:rPr>
              <w:t>evidence</w:t>
            </w:r>
            <w:r w:rsidRPr="00EC20A0">
              <w:rPr>
                <w:spacing w:val="-5"/>
                <w:sz w:val="18"/>
              </w:rPr>
              <w:t xml:space="preserve"> </w:t>
            </w:r>
            <w:r w:rsidRPr="00EC20A0">
              <w:rPr>
                <w:sz w:val="18"/>
              </w:rPr>
              <w:t>about</w:t>
            </w:r>
            <w:r w:rsidRPr="00EC20A0">
              <w:rPr>
                <w:spacing w:val="-5"/>
                <w:sz w:val="18"/>
              </w:rPr>
              <w:t xml:space="preserve"> </w:t>
            </w:r>
            <w:r w:rsidRPr="00EC20A0">
              <w:rPr>
                <w:sz w:val="18"/>
              </w:rPr>
              <w:t>the</w:t>
            </w:r>
            <w:r w:rsidRPr="00EC20A0">
              <w:rPr>
                <w:spacing w:val="-6"/>
                <w:sz w:val="18"/>
              </w:rPr>
              <w:t xml:space="preserve"> </w:t>
            </w:r>
            <w:r w:rsidRPr="00EC20A0">
              <w:rPr>
                <w:sz w:val="18"/>
              </w:rPr>
              <w:t>effectiveness</w:t>
            </w:r>
            <w:r w:rsidRPr="00EC20A0">
              <w:rPr>
                <w:spacing w:val="-5"/>
                <w:sz w:val="18"/>
              </w:rPr>
              <w:t xml:space="preserve"> </w:t>
            </w:r>
            <w:r w:rsidRPr="00EC20A0">
              <w:rPr>
                <w:sz w:val="18"/>
              </w:rPr>
              <w:t>of</w:t>
            </w:r>
            <w:r w:rsidRPr="00EC20A0">
              <w:rPr>
                <w:spacing w:val="-5"/>
                <w:sz w:val="18"/>
              </w:rPr>
              <w:t xml:space="preserve"> </w:t>
            </w:r>
            <w:r w:rsidRPr="00EC20A0">
              <w:rPr>
                <w:sz w:val="18"/>
              </w:rPr>
              <w:t>controls</w:t>
            </w:r>
            <w:r w:rsidRPr="00EC20A0">
              <w:rPr>
                <w:spacing w:val="-5"/>
                <w:sz w:val="18"/>
              </w:rPr>
              <w:t xml:space="preserve"> </w:t>
            </w:r>
            <w:r w:rsidRPr="00EC20A0">
              <w:rPr>
                <w:sz w:val="18"/>
              </w:rPr>
              <w:t>to support the auditor’s opinion by evaluating the</w:t>
            </w:r>
          </w:p>
          <w:p w14:paraId="24D60227" w14:textId="77777777" w:rsidR="00245300" w:rsidRPr="00EC20A0" w:rsidRDefault="00F17249">
            <w:pPr>
              <w:pStyle w:val="TableParagraph"/>
              <w:numPr>
                <w:ilvl w:val="0"/>
                <w:numId w:val="193"/>
              </w:numPr>
              <w:tabs>
                <w:tab w:val="left" w:pos="583"/>
              </w:tabs>
              <w:spacing w:before="120"/>
              <w:ind w:right="335"/>
              <w:rPr>
                <w:sz w:val="18"/>
              </w:rPr>
            </w:pPr>
            <w:r w:rsidRPr="00EC20A0">
              <w:rPr>
                <w:sz w:val="18"/>
              </w:rPr>
              <w:t>time</w:t>
            </w:r>
            <w:r w:rsidRPr="00EC20A0">
              <w:rPr>
                <w:spacing w:val="-4"/>
                <w:sz w:val="18"/>
              </w:rPr>
              <w:t xml:space="preserve"> </w:t>
            </w:r>
            <w:r w:rsidRPr="00EC20A0">
              <w:rPr>
                <w:sz w:val="18"/>
              </w:rPr>
              <w:t>period</w:t>
            </w:r>
            <w:r w:rsidRPr="00EC20A0">
              <w:rPr>
                <w:spacing w:val="-4"/>
                <w:sz w:val="18"/>
              </w:rPr>
              <w:t xml:space="preserve"> </w:t>
            </w:r>
            <w:r w:rsidRPr="00EC20A0">
              <w:rPr>
                <w:sz w:val="18"/>
              </w:rPr>
              <w:t>covered</w:t>
            </w:r>
            <w:r w:rsidRPr="00EC20A0">
              <w:rPr>
                <w:spacing w:val="-3"/>
                <w:sz w:val="18"/>
              </w:rPr>
              <w:t xml:space="preserve"> </w:t>
            </w:r>
            <w:r w:rsidRPr="00EC20A0">
              <w:rPr>
                <w:sz w:val="18"/>
              </w:rPr>
              <w:t>by</w:t>
            </w:r>
            <w:r w:rsidRPr="00EC20A0">
              <w:rPr>
                <w:spacing w:val="-3"/>
                <w:sz w:val="18"/>
              </w:rPr>
              <w:t xml:space="preserve"> </w:t>
            </w:r>
            <w:r w:rsidRPr="00EC20A0">
              <w:rPr>
                <w:sz w:val="18"/>
              </w:rPr>
              <w:t>the</w:t>
            </w:r>
            <w:r w:rsidRPr="00EC20A0">
              <w:rPr>
                <w:spacing w:val="-4"/>
                <w:sz w:val="18"/>
              </w:rPr>
              <w:t xml:space="preserve"> </w:t>
            </w:r>
            <w:r w:rsidRPr="00EC20A0">
              <w:rPr>
                <w:sz w:val="18"/>
              </w:rPr>
              <w:t>tests</w:t>
            </w:r>
            <w:r w:rsidRPr="00EC20A0">
              <w:rPr>
                <w:spacing w:val="-3"/>
                <w:sz w:val="18"/>
              </w:rPr>
              <w:t xml:space="preserve"> </w:t>
            </w:r>
            <w:r w:rsidRPr="00EC20A0">
              <w:rPr>
                <w:sz w:val="18"/>
              </w:rPr>
              <w:t>of</w:t>
            </w:r>
            <w:r w:rsidRPr="00EC20A0">
              <w:rPr>
                <w:spacing w:val="-3"/>
                <w:sz w:val="18"/>
              </w:rPr>
              <w:t xml:space="preserve"> </w:t>
            </w:r>
            <w:r w:rsidRPr="00EC20A0">
              <w:rPr>
                <w:sz w:val="18"/>
              </w:rPr>
              <w:t>controls</w:t>
            </w:r>
            <w:r w:rsidRPr="00EC20A0">
              <w:rPr>
                <w:spacing w:val="-3"/>
                <w:sz w:val="18"/>
              </w:rPr>
              <w:t xml:space="preserve"> </w:t>
            </w:r>
            <w:r w:rsidRPr="00EC20A0">
              <w:rPr>
                <w:sz w:val="18"/>
              </w:rPr>
              <w:t>and</w:t>
            </w:r>
            <w:r w:rsidRPr="00EC20A0">
              <w:rPr>
                <w:spacing w:val="-4"/>
                <w:sz w:val="18"/>
              </w:rPr>
              <w:t xml:space="preserve"> </w:t>
            </w:r>
            <w:r w:rsidRPr="00EC20A0">
              <w:rPr>
                <w:sz w:val="18"/>
              </w:rPr>
              <w:t>its</w:t>
            </w:r>
            <w:r w:rsidRPr="00EC20A0">
              <w:rPr>
                <w:spacing w:val="-3"/>
                <w:sz w:val="18"/>
              </w:rPr>
              <w:t xml:space="preserve"> </w:t>
            </w:r>
            <w:r w:rsidRPr="00EC20A0">
              <w:rPr>
                <w:sz w:val="18"/>
              </w:rPr>
              <w:t>relation</w:t>
            </w:r>
            <w:r w:rsidRPr="00EC20A0">
              <w:rPr>
                <w:spacing w:val="-4"/>
                <w:sz w:val="18"/>
              </w:rPr>
              <w:t xml:space="preserve"> </w:t>
            </w:r>
            <w:r w:rsidRPr="00EC20A0">
              <w:rPr>
                <w:sz w:val="18"/>
              </w:rPr>
              <w:t>to</w:t>
            </w:r>
            <w:r w:rsidRPr="00EC20A0">
              <w:rPr>
                <w:spacing w:val="-3"/>
                <w:sz w:val="18"/>
              </w:rPr>
              <w:t xml:space="preserve"> </w:t>
            </w:r>
            <w:r w:rsidRPr="00EC20A0">
              <w:rPr>
                <w:sz w:val="18"/>
              </w:rPr>
              <w:t>the balance sheet date;</w:t>
            </w:r>
          </w:p>
          <w:p w14:paraId="24D60228" w14:textId="77777777" w:rsidR="00245300" w:rsidRPr="00EC20A0" w:rsidRDefault="00F17249">
            <w:pPr>
              <w:pStyle w:val="TableParagraph"/>
              <w:numPr>
                <w:ilvl w:val="0"/>
                <w:numId w:val="193"/>
              </w:numPr>
              <w:tabs>
                <w:tab w:val="left" w:pos="583"/>
              </w:tabs>
              <w:spacing w:before="120"/>
              <w:ind w:right="133"/>
              <w:jc w:val="both"/>
              <w:rPr>
                <w:sz w:val="18"/>
              </w:rPr>
            </w:pPr>
            <w:r w:rsidRPr="00EC20A0">
              <w:rPr>
                <w:sz w:val="18"/>
              </w:rPr>
              <w:t>scope</w:t>
            </w:r>
            <w:r w:rsidRPr="00EC20A0">
              <w:rPr>
                <w:spacing w:val="-4"/>
                <w:sz w:val="18"/>
              </w:rPr>
              <w:t xml:space="preserve"> </w:t>
            </w:r>
            <w:r w:rsidRPr="00EC20A0">
              <w:rPr>
                <w:sz w:val="18"/>
              </w:rPr>
              <w:t>of</w:t>
            </w:r>
            <w:r w:rsidRPr="00EC20A0">
              <w:rPr>
                <w:spacing w:val="-3"/>
                <w:sz w:val="18"/>
              </w:rPr>
              <w:t xml:space="preserve"> </w:t>
            </w:r>
            <w:r w:rsidRPr="00EC20A0">
              <w:rPr>
                <w:sz w:val="18"/>
              </w:rPr>
              <w:t>the</w:t>
            </w:r>
            <w:r w:rsidRPr="00EC20A0">
              <w:rPr>
                <w:spacing w:val="-4"/>
                <w:sz w:val="18"/>
              </w:rPr>
              <w:t xml:space="preserve"> </w:t>
            </w:r>
            <w:r w:rsidRPr="00EC20A0">
              <w:rPr>
                <w:sz w:val="18"/>
              </w:rPr>
              <w:t>service</w:t>
            </w:r>
            <w:r w:rsidRPr="00EC20A0">
              <w:rPr>
                <w:spacing w:val="-4"/>
                <w:sz w:val="18"/>
              </w:rPr>
              <w:t xml:space="preserve"> </w:t>
            </w:r>
            <w:r w:rsidRPr="00EC20A0">
              <w:rPr>
                <w:sz w:val="18"/>
              </w:rPr>
              <w:t>auditor’s</w:t>
            </w:r>
            <w:r w:rsidRPr="00EC20A0">
              <w:rPr>
                <w:spacing w:val="-2"/>
                <w:sz w:val="18"/>
              </w:rPr>
              <w:t xml:space="preserve"> </w:t>
            </w:r>
            <w:r w:rsidRPr="00EC20A0">
              <w:rPr>
                <w:sz w:val="18"/>
              </w:rPr>
              <w:t>work</w:t>
            </w:r>
            <w:r w:rsidRPr="00EC20A0">
              <w:rPr>
                <w:spacing w:val="-3"/>
                <w:sz w:val="18"/>
              </w:rPr>
              <w:t xml:space="preserve"> </w:t>
            </w:r>
            <w:r w:rsidRPr="00EC20A0">
              <w:rPr>
                <w:sz w:val="18"/>
              </w:rPr>
              <w:t>and</w:t>
            </w:r>
            <w:r w:rsidRPr="00EC20A0">
              <w:rPr>
                <w:spacing w:val="-4"/>
                <w:sz w:val="18"/>
              </w:rPr>
              <w:t xml:space="preserve"> </w:t>
            </w:r>
            <w:r w:rsidRPr="00EC20A0">
              <w:rPr>
                <w:sz w:val="18"/>
              </w:rPr>
              <w:t>the</w:t>
            </w:r>
            <w:r w:rsidRPr="00EC20A0">
              <w:rPr>
                <w:spacing w:val="-4"/>
                <w:sz w:val="18"/>
              </w:rPr>
              <w:t xml:space="preserve"> </w:t>
            </w:r>
            <w:r w:rsidRPr="00EC20A0">
              <w:rPr>
                <w:sz w:val="18"/>
              </w:rPr>
              <w:t>services</w:t>
            </w:r>
            <w:r w:rsidRPr="00EC20A0">
              <w:rPr>
                <w:spacing w:val="-3"/>
                <w:sz w:val="18"/>
              </w:rPr>
              <w:t xml:space="preserve"> </w:t>
            </w:r>
            <w:r w:rsidRPr="00EC20A0">
              <w:rPr>
                <w:sz w:val="18"/>
              </w:rPr>
              <w:t>and</w:t>
            </w:r>
            <w:r w:rsidRPr="00EC20A0">
              <w:rPr>
                <w:spacing w:val="-3"/>
                <w:sz w:val="18"/>
              </w:rPr>
              <w:t xml:space="preserve"> </w:t>
            </w:r>
            <w:r w:rsidRPr="00EC20A0">
              <w:rPr>
                <w:sz w:val="18"/>
              </w:rPr>
              <w:t>processes covered,</w:t>
            </w:r>
            <w:r w:rsidRPr="00EC20A0">
              <w:rPr>
                <w:spacing w:val="-4"/>
                <w:sz w:val="18"/>
              </w:rPr>
              <w:t xml:space="preserve"> </w:t>
            </w:r>
            <w:r w:rsidRPr="00EC20A0">
              <w:rPr>
                <w:sz w:val="18"/>
              </w:rPr>
              <w:t>the</w:t>
            </w:r>
            <w:r w:rsidRPr="00EC20A0">
              <w:rPr>
                <w:spacing w:val="-4"/>
                <w:sz w:val="18"/>
              </w:rPr>
              <w:t xml:space="preserve"> </w:t>
            </w:r>
            <w:r w:rsidRPr="00EC20A0">
              <w:rPr>
                <w:sz w:val="18"/>
              </w:rPr>
              <w:t>controls</w:t>
            </w:r>
            <w:r w:rsidRPr="00EC20A0">
              <w:rPr>
                <w:spacing w:val="-4"/>
                <w:sz w:val="18"/>
              </w:rPr>
              <w:t xml:space="preserve"> </w:t>
            </w:r>
            <w:r w:rsidRPr="00EC20A0">
              <w:rPr>
                <w:sz w:val="18"/>
              </w:rPr>
              <w:t>tested,</w:t>
            </w:r>
            <w:r w:rsidRPr="00EC20A0">
              <w:rPr>
                <w:spacing w:val="-2"/>
                <w:sz w:val="18"/>
              </w:rPr>
              <w:t xml:space="preserve"> </w:t>
            </w:r>
            <w:r w:rsidRPr="00EC20A0">
              <w:rPr>
                <w:sz w:val="18"/>
              </w:rPr>
              <w:t>and</w:t>
            </w:r>
            <w:r w:rsidRPr="00EC20A0">
              <w:rPr>
                <w:spacing w:val="-5"/>
                <w:sz w:val="18"/>
              </w:rPr>
              <w:t xml:space="preserve"> </w:t>
            </w:r>
            <w:r w:rsidRPr="00EC20A0">
              <w:rPr>
                <w:sz w:val="18"/>
              </w:rPr>
              <w:t>the</w:t>
            </w:r>
            <w:r w:rsidRPr="00EC20A0">
              <w:rPr>
                <w:spacing w:val="-5"/>
                <w:sz w:val="18"/>
              </w:rPr>
              <w:t xml:space="preserve"> </w:t>
            </w:r>
            <w:r w:rsidRPr="00EC20A0">
              <w:rPr>
                <w:sz w:val="18"/>
              </w:rPr>
              <w:t>tests</w:t>
            </w:r>
            <w:r w:rsidRPr="00EC20A0">
              <w:rPr>
                <w:spacing w:val="-4"/>
                <w:sz w:val="18"/>
              </w:rPr>
              <w:t xml:space="preserve"> </w:t>
            </w:r>
            <w:r w:rsidRPr="00EC20A0">
              <w:rPr>
                <w:sz w:val="18"/>
              </w:rPr>
              <w:t>that</w:t>
            </w:r>
            <w:r w:rsidRPr="00EC20A0">
              <w:rPr>
                <w:spacing w:val="-4"/>
                <w:sz w:val="18"/>
              </w:rPr>
              <w:t xml:space="preserve"> </w:t>
            </w:r>
            <w:r w:rsidRPr="00EC20A0">
              <w:rPr>
                <w:sz w:val="18"/>
              </w:rPr>
              <w:t>were</w:t>
            </w:r>
            <w:r w:rsidRPr="00EC20A0">
              <w:rPr>
                <w:spacing w:val="-5"/>
                <w:sz w:val="18"/>
              </w:rPr>
              <w:t xml:space="preserve"> </w:t>
            </w:r>
            <w:r w:rsidRPr="00EC20A0">
              <w:rPr>
                <w:sz w:val="18"/>
              </w:rPr>
              <w:t>performed</w:t>
            </w:r>
            <w:r w:rsidRPr="00EC20A0">
              <w:rPr>
                <w:spacing w:val="-5"/>
                <w:sz w:val="18"/>
              </w:rPr>
              <w:t xml:space="preserve"> </w:t>
            </w:r>
            <w:r w:rsidRPr="00EC20A0">
              <w:rPr>
                <w:sz w:val="18"/>
              </w:rPr>
              <w:t xml:space="preserve">and the way in which tested </w:t>
            </w:r>
            <w:r w:rsidRPr="00EC20A0">
              <w:rPr>
                <w:sz w:val="18"/>
              </w:rPr>
              <w:t>controls relate to the entity’s controls; and</w:t>
            </w:r>
          </w:p>
          <w:p w14:paraId="24D60229" w14:textId="77777777" w:rsidR="00245300" w:rsidRPr="00EC20A0" w:rsidRDefault="00F17249">
            <w:pPr>
              <w:pStyle w:val="TableParagraph"/>
              <w:numPr>
                <w:ilvl w:val="0"/>
                <w:numId w:val="193"/>
              </w:numPr>
              <w:tabs>
                <w:tab w:val="left" w:pos="583"/>
              </w:tabs>
              <w:spacing w:before="118"/>
              <w:ind w:right="324"/>
              <w:rPr>
                <w:sz w:val="18"/>
              </w:rPr>
            </w:pPr>
            <w:r w:rsidRPr="00EC20A0">
              <w:rPr>
                <w:sz w:val="18"/>
              </w:rPr>
              <w:t>results</w:t>
            </w:r>
            <w:r w:rsidRPr="00EC20A0">
              <w:rPr>
                <w:spacing w:val="-4"/>
                <w:sz w:val="18"/>
              </w:rPr>
              <w:t xml:space="preserve"> </w:t>
            </w:r>
            <w:r w:rsidRPr="00EC20A0">
              <w:rPr>
                <w:sz w:val="18"/>
              </w:rPr>
              <w:t>of</w:t>
            </w:r>
            <w:r w:rsidRPr="00EC20A0">
              <w:rPr>
                <w:spacing w:val="-4"/>
                <w:sz w:val="18"/>
              </w:rPr>
              <w:t xml:space="preserve"> </w:t>
            </w:r>
            <w:r w:rsidRPr="00EC20A0">
              <w:rPr>
                <w:sz w:val="18"/>
              </w:rPr>
              <w:t>those</w:t>
            </w:r>
            <w:r w:rsidRPr="00EC20A0">
              <w:rPr>
                <w:spacing w:val="-3"/>
                <w:sz w:val="18"/>
              </w:rPr>
              <w:t xml:space="preserve"> </w:t>
            </w:r>
            <w:r w:rsidRPr="00EC20A0">
              <w:rPr>
                <w:sz w:val="18"/>
              </w:rPr>
              <w:t>tests</w:t>
            </w:r>
            <w:r w:rsidRPr="00EC20A0">
              <w:rPr>
                <w:spacing w:val="-4"/>
                <w:sz w:val="18"/>
              </w:rPr>
              <w:t xml:space="preserve"> </w:t>
            </w:r>
            <w:r w:rsidRPr="00EC20A0">
              <w:rPr>
                <w:sz w:val="18"/>
              </w:rPr>
              <w:t>of</w:t>
            </w:r>
            <w:r w:rsidRPr="00EC20A0">
              <w:rPr>
                <w:spacing w:val="-4"/>
                <w:sz w:val="18"/>
              </w:rPr>
              <w:t xml:space="preserve"> </w:t>
            </w:r>
            <w:r w:rsidRPr="00EC20A0">
              <w:rPr>
                <w:sz w:val="18"/>
              </w:rPr>
              <w:t>controls</w:t>
            </w:r>
            <w:r w:rsidRPr="00EC20A0">
              <w:rPr>
                <w:spacing w:val="-4"/>
                <w:sz w:val="18"/>
              </w:rPr>
              <w:t xml:space="preserve"> </w:t>
            </w:r>
            <w:r w:rsidRPr="00EC20A0">
              <w:rPr>
                <w:sz w:val="18"/>
              </w:rPr>
              <w:t>and</w:t>
            </w:r>
            <w:r w:rsidRPr="00EC20A0">
              <w:rPr>
                <w:spacing w:val="-4"/>
                <w:sz w:val="18"/>
              </w:rPr>
              <w:t xml:space="preserve"> </w:t>
            </w:r>
            <w:r w:rsidRPr="00EC20A0">
              <w:rPr>
                <w:sz w:val="18"/>
              </w:rPr>
              <w:t>the</w:t>
            </w:r>
            <w:r w:rsidRPr="00EC20A0">
              <w:rPr>
                <w:spacing w:val="-5"/>
                <w:sz w:val="18"/>
              </w:rPr>
              <w:t xml:space="preserve"> </w:t>
            </w:r>
            <w:r w:rsidRPr="00EC20A0">
              <w:rPr>
                <w:sz w:val="18"/>
              </w:rPr>
              <w:t>service</w:t>
            </w:r>
            <w:r w:rsidRPr="00EC20A0">
              <w:rPr>
                <w:spacing w:val="-5"/>
                <w:sz w:val="18"/>
              </w:rPr>
              <w:t xml:space="preserve"> </w:t>
            </w:r>
            <w:r w:rsidRPr="00EC20A0">
              <w:rPr>
                <w:sz w:val="18"/>
              </w:rPr>
              <w:t>auditor’s</w:t>
            </w:r>
            <w:r w:rsidRPr="00EC20A0">
              <w:rPr>
                <w:spacing w:val="-4"/>
                <w:sz w:val="18"/>
              </w:rPr>
              <w:t xml:space="preserve"> </w:t>
            </w:r>
            <w:r w:rsidRPr="00EC20A0">
              <w:rPr>
                <w:sz w:val="18"/>
              </w:rPr>
              <w:t>opinion on the operating effectiveness of controls?</w:t>
            </w:r>
          </w:p>
        </w:tc>
        <w:tc>
          <w:tcPr>
            <w:tcW w:w="720" w:type="dxa"/>
            <w:tcBorders>
              <w:top w:val="single" w:sz="4" w:space="0" w:color="000000"/>
              <w:left w:val="single" w:sz="4" w:space="0" w:color="000000"/>
              <w:bottom w:val="single" w:sz="4" w:space="0" w:color="000000"/>
              <w:right w:val="single" w:sz="4" w:space="0" w:color="000000"/>
            </w:tcBorders>
          </w:tcPr>
          <w:p w14:paraId="24D6022A"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2B"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2C" w14:textId="77777777" w:rsidR="00245300" w:rsidRPr="00EC20A0" w:rsidRDefault="00245300">
            <w:pPr>
              <w:pStyle w:val="TableParagraph"/>
              <w:rPr>
                <w:sz w:val="18"/>
              </w:rPr>
            </w:pPr>
          </w:p>
        </w:tc>
      </w:tr>
      <w:tr w:rsidR="00245300" w:rsidRPr="00EC20A0" w14:paraId="24D6022F" w14:textId="77777777">
        <w:trPr>
          <w:trHeight w:val="445"/>
        </w:trPr>
        <w:tc>
          <w:tcPr>
            <w:tcW w:w="9270" w:type="dxa"/>
            <w:gridSpan w:val="4"/>
            <w:tcBorders>
              <w:top w:val="single" w:sz="4" w:space="0" w:color="000000"/>
              <w:bottom w:val="single" w:sz="4" w:space="0" w:color="000000"/>
            </w:tcBorders>
            <w:shd w:val="clear" w:color="auto" w:fill="D9D9D9"/>
          </w:tcPr>
          <w:p w14:paraId="24D6022E" w14:textId="77777777" w:rsidR="00245300" w:rsidRPr="00EC20A0" w:rsidRDefault="00F17249">
            <w:pPr>
              <w:pStyle w:val="TableParagraph"/>
              <w:spacing w:before="120"/>
              <w:ind w:left="105"/>
              <w:rPr>
                <w:b/>
                <w:sz w:val="18"/>
              </w:rPr>
            </w:pPr>
            <w:r w:rsidRPr="00EC20A0">
              <w:rPr>
                <w:b/>
                <w:sz w:val="18"/>
              </w:rPr>
              <w:t>Consider</w:t>
            </w:r>
            <w:r w:rsidRPr="00EC20A0">
              <w:rPr>
                <w:b/>
                <w:spacing w:val="-4"/>
                <w:sz w:val="18"/>
              </w:rPr>
              <w:t xml:space="preserve"> </w:t>
            </w:r>
            <w:r w:rsidRPr="00EC20A0">
              <w:rPr>
                <w:b/>
                <w:sz w:val="18"/>
              </w:rPr>
              <w:t>management’s</w:t>
            </w:r>
            <w:r w:rsidRPr="00EC20A0">
              <w:rPr>
                <w:b/>
                <w:spacing w:val="-3"/>
                <w:sz w:val="18"/>
              </w:rPr>
              <w:t xml:space="preserve"> </w:t>
            </w:r>
            <w:r w:rsidRPr="00EC20A0">
              <w:rPr>
                <w:b/>
                <w:sz w:val="18"/>
              </w:rPr>
              <w:t>evaluation</w:t>
            </w:r>
            <w:r w:rsidRPr="00EC20A0">
              <w:rPr>
                <w:b/>
                <w:spacing w:val="-3"/>
                <w:sz w:val="18"/>
              </w:rPr>
              <w:t xml:space="preserve"> </w:t>
            </w:r>
            <w:r w:rsidRPr="00EC20A0">
              <w:rPr>
                <w:b/>
                <w:sz w:val="18"/>
              </w:rPr>
              <w:t>of</w:t>
            </w:r>
            <w:r w:rsidRPr="00EC20A0">
              <w:rPr>
                <w:b/>
                <w:spacing w:val="-3"/>
                <w:sz w:val="18"/>
              </w:rPr>
              <w:t xml:space="preserve"> </w:t>
            </w:r>
            <w:r w:rsidRPr="00EC20A0">
              <w:rPr>
                <w:b/>
                <w:sz w:val="18"/>
              </w:rPr>
              <w:t>the</w:t>
            </w:r>
            <w:r w:rsidRPr="00EC20A0">
              <w:rPr>
                <w:b/>
                <w:spacing w:val="-3"/>
                <w:sz w:val="18"/>
              </w:rPr>
              <w:t xml:space="preserve"> </w:t>
            </w:r>
            <w:r w:rsidRPr="00EC20A0">
              <w:rPr>
                <w:b/>
                <w:sz w:val="18"/>
              </w:rPr>
              <w:t>type</w:t>
            </w:r>
            <w:r w:rsidRPr="00EC20A0">
              <w:rPr>
                <w:b/>
                <w:spacing w:val="-3"/>
                <w:sz w:val="18"/>
              </w:rPr>
              <w:t xml:space="preserve"> </w:t>
            </w:r>
            <w:r w:rsidRPr="00EC20A0">
              <w:rPr>
                <w:b/>
                <w:sz w:val="18"/>
              </w:rPr>
              <w:t>2</w:t>
            </w:r>
            <w:r w:rsidRPr="00EC20A0">
              <w:rPr>
                <w:b/>
                <w:spacing w:val="-3"/>
                <w:sz w:val="18"/>
              </w:rPr>
              <w:t xml:space="preserve"> </w:t>
            </w:r>
            <w:r w:rsidRPr="00EC20A0">
              <w:rPr>
                <w:b/>
                <w:spacing w:val="-2"/>
                <w:sz w:val="18"/>
              </w:rPr>
              <w:t>report</w:t>
            </w:r>
          </w:p>
        </w:tc>
      </w:tr>
      <w:tr w:rsidR="00245300" w:rsidRPr="00EC20A0" w14:paraId="24D60234" w14:textId="77777777">
        <w:trPr>
          <w:trHeight w:val="1275"/>
        </w:trPr>
        <w:tc>
          <w:tcPr>
            <w:tcW w:w="6091" w:type="dxa"/>
            <w:tcBorders>
              <w:top w:val="single" w:sz="4" w:space="0" w:color="000000"/>
              <w:bottom w:val="single" w:sz="4" w:space="0" w:color="000000"/>
              <w:right w:val="single" w:sz="4" w:space="0" w:color="000000"/>
            </w:tcBorders>
          </w:tcPr>
          <w:p w14:paraId="24D60230" w14:textId="77777777" w:rsidR="00245300" w:rsidRPr="00EC20A0" w:rsidRDefault="00F17249">
            <w:pPr>
              <w:pStyle w:val="TableParagraph"/>
              <w:spacing w:before="120"/>
              <w:ind w:left="391" w:hanging="287"/>
              <w:rPr>
                <w:sz w:val="18"/>
              </w:rPr>
            </w:pPr>
            <w:r w:rsidRPr="00EC20A0">
              <w:rPr>
                <w:sz w:val="18"/>
              </w:rPr>
              <w:t>15)</w:t>
            </w:r>
            <w:r w:rsidRPr="00EC20A0">
              <w:rPr>
                <w:spacing w:val="-22"/>
                <w:sz w:val="18"/>
              </w:rPr>
              <w:t xml:space="preserve"> </w:t>
            </w:r>
            <w:r w:rsidRPr="00EC20A0">
              <w:rPr>
                <w:sz w:val="18"/>
              </w:rPr>
              <w:t>Did</w:t>
            </w:r>
            <w:r w:rsidRPr="00EC20A0">
              <w:rPr>
                <w:spacing w:val="-8"/>
                <w:sz w:val="18"/>
              </w:rPr>
              <w:t xml:space="preserve"> </w:t>
            </w:r>
            <w:r w:rsidRPr="00EC20A0">
              <w:rPr>
                <w:sz w:val="18"/>
              </w:rPr>
              <w:t>management</w:t>
            </w:r>
            <w:r w:rsidRPr="00EC20A0">
              <w:rPr>
                <w:spacing w:val="-5"/>
                <w:sz w:val="18"/>
              </w:rPr>
              <w:t xml:space="preserve"> </w:t>
            </w:r>
            <w:r w:rsidRPr="00EC20A0">
              <w:rPr>
                <w:sz w:val="18"/>
              </w:rPr>
              <w:t>appropriately</w:t>
            </w:r>
            <w:r w:rsidRPr="00EC20A0">
              <w:rPr>
                <w:spacing w:val="-5"/>
                <w:sz w:val="18"/>
              </w:rPr>
              <w:t xml:space="preserve"> </w:t>
            </w:r>
            <w:r w:rsidRPr="00EC20A0">
              <w:rPr>
                <w:sz w:val="18"/>
              </w:rPr>
              <w:t>assess</w:t>
            </w:r>
            <w:r w:rsidRPr="00EC20A0">
              <w:rPr>
                <w:spacing w:val="-5"/>
                <w:sz w:val="18"/>
              </w:rPr>
              <w:t xml:space="preserve"> </w:t>
            </w:r>
            <w:r w:rsidRPr="00EC20A0">
              <w:rPr>
                <w:sz w:val="18"/>
              </w:rPr>
              <w:t>the</w:t>
            </w:r>
            <w:r w:rsidRPr="00EC20A0">
              <w:rPr>
                <w:spacing w:val="-6"/>
                <w:sz w:val="18"/>
              </w:rPr>
              <w:t xml:space="preserve"> </w:t>
            </w:r>
            <w:r w:rsidRPr="00EC20A0">
              <w:rPr>
                <w:sz w:val="18"/>
              </w:rPr>
              <w:t>report</w:t>
            </w:r>
            <w:r w:rsidRPr="00EC20A0">
              <w:rPr>
                <w:spacing w:val="-5"/>
                <w:sz w:val="18"/>
              </w:rPr>
              <w:t xml:space="preserve"> </w:t>
            </w:r>
            <w:r w:rsidRPr="00EC20A0">
              <w:rPr>
                <w:sz w:val="18"/>
              </w:rPr>
              <w:t>(including</w:t>
            </w:r>
            <w:r w:rsidRPr="00EC20A0">
              <w:rPr>
                <w:spacing w:val="-6"/>
                <w:sz w:val="18"/>
              </w:rPr>
              <w:t xml:space="preserve"> </w:t>
            </w:r>
            <w:r w:rsidRPr="00EC20A0">
              <w:rPr>
                <w:sz w:val="18"/>
              </w:rPr>
              <w:t>its</w:t>
            </w:r>
            <w:r w:rsidRPr="00EC20A0">
              <w:rPr>
                <w:spacing w:val="-5"/>
                <w:sz w:val="18"/>
              </w:rPr>
              <w:t xml:space="preserve"> </w:t>
            </w:r>
            <w:r w:rsidRPr="00EC20A0">
              <w:rPr>
                <w:sz w:val="18"/>
              </w:rPr>
              <w:t>timing, scope, methodology, and any exceptions identified) to determine if it provides management with reasonable assurance that the service organization controls relevant to the entity’s financial reporting were operating effectively?</w:t>
            </w:r>
          </w:p>
        </w:tc>
        <w:tc>
          <w:tcPr>
            <w:tcW w:w="720" w:type="dxa"/>
            <w:tcBorders>
              <w:top w:val="single" w:sz="4" w:space="0" w:color="000000"/>
              <w:left w:val="single" w:sz="4" w:space="0" w:color="000000"/>
              <w:bottom w:val="single" w:sz="4" w:space="0" w:color="000000"/>
              <w:right w:val="single" w:sz="4" w:space="0" w:color="000000"/>
            </w:tcBorders>
          </w:tcPr>
          <w:p w14:paraId="24D60231"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32"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33" w14:textId="77777777" w:rsidR="00245300" w:rsidRPr="00EC20A0" w:rsidRDefault="00245300">
            <w:pPr>
              <w:pStyle w:val="TableParagraph"/>
              <w:rPr>
                <w:sz w:val="18"/>
              </w:rPr>
            </w:pPr>
          </w:p>
        </w:tc>
      </w:tr>
      <w:tr w:rsidR="00245300" w:rsidRPr="00EC20A0" w14:paraId="24D6023A" w14:textId="77777777">
        <w:trPr>
          <w:trHeight w:val="2223"/>
        </w:trPr>
        <w:tc>
          <w:tcPr>
            <w:tcW w:w="6091" w:type="dxa"/>
            <w:tcBorders>
              <w:top w:val="single" w:sz="4" w:space="0" w:color="000000"/>
              <w:bottom w:val="single" w:sz="4" w:space="0" w:color="000000"/>
              <w:right w:val="single" w:sz="4" w:space="0" w:color="000000"/>
            </w:tcBorders>
          </w:tcPr>
          <w:p w14:paraId="24D60235" w14:textId="77777777" w:rsidR="00245300" w:rsidRPr="00EC20A0" w:rsidRDefault="00F17249">
            <w:pPr>
              <w:pStyle w:val="TableParagraph"/>
              <w:spacing w:before="119"/>
              <w:ind w:left="674" w:right="13" w:hanging="282"/>
              <w:rPr>
                <w:sz w:val="18"/>
              </w:rPr>
            </w:pPr>
            <w:r w:rsidRPr="00EC20A0">
              <w:rPr>
                <w:sz w:val="18"/>
              </w:rPr>
              <w:t>a)</w:t>
            </w:r>
            <w:r w:rsidRPr="00EC20A0">
              <w:rPr>
                <w:spacing w:val="40"/>
                <w:sz w:val="18"/>
              </w:rPr>
              <w:t xml:space="preserve"> </w:t>
            </w:r>
            <w:r w:rsidRPr="00EC20A0">
              <w:rPr>
                <w:sz w:val="18"/>
              </w:rPr>
              <w:t>If</w:t>
            </w:r>
            <w:r w:rsidRPr="00EC20A0">
              <w:rPr>
                <w:spacing w:val="-4"/>
                <w:sz w:val="18"/>
              </w:rPr>
              <w:t xml:space="preserve"> </w:t>
            </w:r>
            <w:r w:rsidRPr="00EC20A0">
              <w:rPr>
                <w:sz w:val="18"/>
              </w:rPr>
              <w:t>management</w:t>
            </w:r>
            <w:r w:rsidRPr="00EC20A0">
              <w:rPr>
                <w:spacing w:val="-3"/>
                <w:sz w:val="18"/>
              </w:rPr>
              <w:t xml:space="preserve"> </w:t>
            </w:r>
            <w:r w:rsidRPr="00EC20A0">
              <w:rPr>
                <w:sz w:val="18"/>
              </w:rPr>
              <w:t>determined</w:t>
            </w:r>
            <w:r w:rsidRPr="00EC20A0">
              <w:rPr>
                <w:spacing w:val="-5"/>
                <w:sz w:val="18"/>
              </w:rPr>
              <w:t xml:space="preserve"> </w:t>
            </w:r>
            <w:r w:rsidRPr="00EC20A0">
              <w:rPr>
                <w:sz w:val="18"/>
              </w:rPr>
              <w:t>that</w:t>
            </w:r>
            <w:r w:rsidRPr="00EC20A0">
              <w:rPr>
                <w:spacing w:val="-4"/>
                <w:sz w:val="18"/>
              </w:rPr>
              <w:t xml:space="preserve"> </w:t>
            </w:r>
            <w:r w:rsidRPr="00EC20A0">
              <w:rPr>
                <w:sz w:val="18"/>
              </w:rPr>
              <w:t>the</w:t>
            </w:r>
            <w:r w:rsidRPr="00EC20A0">
              <w:rPr>
                <w:spacing w:val="-4"/>
                <w:sz w:val="18"/>
              </w:rPr>
              <w:t xml:space="preserve"> </w:t>
            </w:r>
            <w:r w:rsidRPr="00EC20A0">
              <w:rPr>
                <w:sz w:val="18"/>
              </w:rPr>
              <w:t>report</w:t>
            </w:r>
            <w:r w:rsidRPr="00EC20A0">
              <w:rPr>
                <w:spacing w:val="-3"/>
                <w:sz w:val="18"/>
              </w:rPr>
              <w:t xml:space="preserve"> </w:t>
            </w:r>
            <w:r w:rsidRPr="00EC20A0">
              <w:rPr>
                <w:sz w:val="18"/>
              </w:rPr>
              <w:t>does</w:t>
            </w:r>
            <w:r w:rsidRPr="00EC20A0">
              <w:rPr>
                <w:spacing w:val="-4"/>
                <w:sz w:val="18"/>
              </w:rPr>
              <w:t xml:space="preserve"> </w:t>
            </w:r>
            <w:r w:rsidRPr="00EC20A0">
              <w:rPr>
                <w:sz w:val="18"/>
              </w:rPr>
              <w:t>not</w:t>
            </w:r>
            <w:r w:rsidRPr="00EC20A0">
              <w:rPr>
                <w:spacing w:val="-4"/>
                <w:sz w:val="18"/>
              </w:rPr>
              <w:t xml:space="preserve"> </w:t>
            </w:r>
            <w:r w:rsidRPr="00EC20A0">
              <w:rPr>
                <w:sz w:val="18"/>
              </w:rPr>
              <w:t>provide</w:t>
            </w:r>
            <w:r w:rsidRPr="00EC20A0">
              <w:rPr>
                <w:spacing w:val="-3"/>
                <w:sz w:val="18"/>
              </w:rPr>
              <w:t xml:space="preserve"> </w:t>
            </w:r>
            <w:r w:rsidRPr="00EC20A0">
              <w:rPr>
                <w:sz w:val="18"/>
              </w:rPr>
              <w:t>such assurance, did management perform additional procedures to obtain the assurance needed?</w:t>
            </w:r>
          </w:p>
          <w:p w14:paraId="24D60236" w14:textId="77777777" w:rsidR="00245300" w:rsidRPr="00EC20A0" w:rsidRDefault="00F17249">
            <w:pPr>
              <w:pStyle w:val="TableParagraph"/>
              <w:spacing w:before="120"/>
              <w:ind w:left="674" w:right="179"/>
              <w:rPr>
                <w:sz w:val="18"/>
              </w:rPr>
            </w:pPr>
            <w:r w:rsidRPr="00EC20A0">
              <w:rPr>
                <w:sz w:val="18"/>
              </w:rPr>
              <w:t xml:space="preserve">Additional procedures may include (1) contacting the service </w:t>
            </w:r>
            <w:r w:rsidRPr="00EC20A0">
              <w:rPr>
                <w:sz w:val="18"/>
              </w:rPr>
              <w:t>organization to obtain specific information, (2) performing procedures at the service organization that will provide the necessary</w:t>
            </w:r>
            <w:r w:rsidRPr="00EC20A0">
              <w:rPr>
                <w:spacing w:val="-6"/>
                <w:sz w:val="18"/>
              </w:rPr>
              <w:t xml:space="preserve"> </w:t>
            </w:r>
            <w:r w:rsidRPr="00EC20A0">
              <w:rPr>
                <w:sz w:val="18"/>
              </w:rPr>
              <w:t>information</w:t>
            </w:r>
            <w:r w:rsidRPr="00EC20A0">
              <w:rPr>
                <w:spacing w:val="-6"/>
                <w:sz w:val="18"/>
              </w:rPr>
              <w:t xml:space="preserve"> </w:t>
            </w:r>
            <w:r w:rsidRPr="00EC20A0">
              <w:rPr>
                <w:sz w:val="18"/>
              </w:rPr>
              <w:t>about</w:t>
            </w:r>
            <w:r w:rsidRPr="00EC20A0">
              <w:rPr>
                <w:spacing w:val="-6"/>
                <w:sz w:val="18"/>
              </w:rPr>
              <w:t xml:space="preserve"> </w:t>
            </w:r>
            <w:r w:rsidRPr="00EC20A0">
              <w:rPr>
                <w:sz w:val="18"/>
              </w:rPr>
              <w:t>controls</w:t>
            </w:r>
            <w:r w:rsidRPr="00EC20A0">
              <w:rPr>
                <w:spacing w:val="-6"/>
                <w:sz w:val="18"/>
              </w:rPr>
              <w:t xml:space="preserve"> </w:t>
            </w:r>
            <w:r w:rsidRPr="00EC20A0">
              <w:rPr>
                <w:sz w:val="18"/>
              </w:rPr>
              <w:t>at</w:t>
            </w:r>
            <w:r w:rsidRPr="00EC20A0">
              <w:rPr>
                <w:spacing w:val="-6"/>
                <w:sz w:val="18"/>
              </w:rPr>
              <w:t xml:space="preserve"> </w:t>
            </w:r>
            <w:r w:rsidRPr="00EC20A0">
              <w:rPr>
                <w:sz w:val="18"/>
              </w:rPr>
              <w:t>the</w:t>
            </w:r>
            <w:r w:rsidRPr="00EC20A0">
              <w:rPr>
                <w:spacing w:val="-6"/>
                <w:sz w:val="18"/>
              </w:rPr>
              <w:t xml:space="preserve"> </w:t>
            </w:r>
            <w:r w:rsidRPr="00EC20A0">
              <w:rPr>
                <w:sz w:val="18"/>
              </w:rPr>
              <w:t>service</w:t>
            </w:r>
            <w:r w:rsidRPr="00EC20A0">
              <w:rPr>
                <w:spacing w:val="-7"/>
                <w:sz w:val="18"/>
              </w:rPr>
              <w:t xml:space="preserve"> </w:t>
            </w:r>
            <w:r w:rsidRPr="00EC20A0">
              <w:rPr>
                <w:sz w:val="18"/>
              </w:rPr>
              <w:t>organization, or (3) obtaining an</w:t>
            </w:r>
            <w:r w:rsidRPr="00EC20A0">
              <w:rPr>
                <w:spacing w:val="-1"/>
                <w:sz w:val="18"/>
              </w:rPr>
              <w:t xml:space="preserve"> </w:t>
            </w:r>
            <w:r w:rsidRPr="00EC20A0">
              <w:rPr>
                <w:sz w:val="18"/>
              </w:rPr>
              <w:t>additional service</w:t>
            </w:r>
            <w:r w:rsidRPr="00EC20A0">
              <w:rPr>
                <w:spacing w:val="-1"/>
                <w:sz w:val="18"/>
              </w:rPr>
              <w:t xml:space="preserve"> </w:t>
            </w:r>
            <w:r w:rsidRPr="00EC20A0">
              <w:rPr>
                <w:sz w:val="18"/>
              </w:rPr>
              <w:t>organization</w:t>
            </w:r>
            <w:r w:rsidRPr="00EC20A0">
              <w:rPr>
                <w:spacing w:val="-1"/>
                <w:sz w:val="18"/>
              </w:rPr>
              <w:t xml:space="preserve"> </w:t>
            </w:r>
            <w:r w:rsidRPr="00EC20A0">
              <w:rPr>
                <w:sz w:val="18"/>
              </w:rPr>
              <w:t xml:space="preserve">report that </w:t>
            </w:r>
            <w:r w:rsidRPr="00EC20A0">
              <w:rPr>
                <w:sz w:val="18"/>
              </w:rPr>
              <w:t>will provide the necessary information.</w:t>
            </w:r>
          </w:p>
        </w:tc>
        <w:tc>
          <w:tcPr>
            <w:tcW w:w="720" w:type="dxa"/>
            <w:tcBorders>
              <w:top w:val="single" w:sz="4" w:space="0" w:color="000000"/>
              <w:left w:val="single" w:sz="4" w:space="0" w:color="000000"/>
              <w:bottom w:val="single" w:sz="4" w:space="0" w:color="000000"/>
              <w:right w:val="single" w:sz="4" w:space="0" w:color="000000"/>
            </w:tcBorders>
          </w:tcPr>
          <w:p w14:paraId="24D60237"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38"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39" w14:textId="77777777" w:rsidR="00245300" w:rsidRPr="00EC20A0" w:rsidRDefault="00245300">
            <w:pPr>
              <w:pStyle w:val="TableParagraph"/>
              <w:rPr>
                <w:sz w:val="18"/>
              </w:rPr>
            </w:pPr>
          </w:p>
        </w:tc>
      </w:tr>
      <w:tr w:rsidR="00245300" w:rsidRPr="00EC20A0" w14:paraId="24D60240" w14:textId="77777777">
        <w:trPr>
          <w:trHeight w:val="741"/>
        </w:trPr>
        <w:tc>
          <w:tcPr>
            <w:tcW w:w="6091" w:type="dxa"/>
            <w:tcBorders>
              <w:top w:val="single" w:sz="4" w:space="0" w:color="000000"/>
              <w:right w:val="single" w:sz="4" w:space="0" w:color="000000"/>
            </w:tcBorders>
          </w:tcPr>
          <w:p w14:paraId="24D6023B" w14:textId="77777777" w:rsidR="00245300" w:rsidRPr="00EC20A0" w:rsidRDefault="00F17249">
            <w:pPr>
              <w:pStyle w:val="TableParagraph"/>
              <w:spacing w:before="119"/>
              <w:ind w:left="674" w:hanging="282"/>
              <w:rPr>
                <w:sz w:val="18"/>
              </w:rPr>
            </w:pPr>
            <w:r w:rsidRPr="00EC20A0">
              <w:rPr>
                <w:sz w:val="18"/>
              </w:rPr>
              <w:t>b)</w:t>
            </w:r>
            <w:r w:rsidRPr="00EC20A0">
              <w:rPr>
                <w:spacing w:val="64"/>
                <w:sz w:val="18"/>
              </w:rPr>
              <w:t xml:space="preserve"> </w:t>
            </w:r>
            <w:r w:rsidRPr="00EC20A0">
              <w:rPr>
                <w:sz w:val="18"/>
              </w:rPr>
              <w:t>Did</w:t>
            </w:r>
            <w:r w:rsidRPr="00EC20A0">
              <w:rPr>
                <w:spacing w:val="-3"/>
                <w:sz w:val="18"/>
              </w:rPr>
              <w:t xml:space="preserve"> </w:t>
            </w:r>
            <w:r w:rsidRPr="00EC20A0">
              <w:rPr>
                <w:sz w:val="18"/>
              </w:rPr>
              <w:t>management</w:t>
            </w:r>
            <w:r w:rsidRPr="00EC20A0">
              <w:rPr>
                <w:spacing w:val="-3"/>
                <w:sz w:val="18"/>
              </w:rPr>
              <w:t xml:space="preserve"> </w:t>
            </w:r>
            <w:r w:rsidRPr="00EC20A0">
              <w:rPr>
                <w:sz w:val="18"/>
              </w:rPr>
              <w:t>assess</w:t>
            </w:r>
            <w:r w:rsidRPr="00EC20A0">
              <w:rPr>
                <w:spacing w:val="-2"/>
                <w:sz w:val="18"/>
              </w:rPr>
              <w:t xml:space="preserve"> </w:t>
            </w:r>
            <w:r w:rsidRPr="00EC20A0">
              <w:rPr>
                <w:sz w:val="18"/>
              </w:rPr>
              <w:t>whether</w:t>
            </w:r>
            <w:r w:rsidRPr="00EC20A0">
              <w:rPr>
                <w:spacing w:val="-3"/>
                <w:sz w:val="18"/>
              </w:rPr>
              <w:t xml:space="preserve"> </w:t>
            </w:r>
            <w:r w:rsidRPr="00EC20A0">
              <w:rPr>
                <w:sz w:val="18"/>
              </w:rPr>
              <w:t>the</w:t>
            </w:r>
            <w:r w:rsidRPr="00EC20A0">
              <w:rPr>
                <w:spacing w:val="-3"/>
                <w:sz w:val="18"/>
              </w:rPr>
              <w:t xml:space="preserve"> </w:t>
            </w:r>
            <w:r w:rsidRPr="00EC20A0">
              <w:rPr>
                <w:sz w:val="18"/>
              </w:rPr>
              <w:t>complementary</w:t>
            </w:r>
            <w:r w:rsidRPr="00EC20A0">
              <w:rPr>
                <w:spacing w:val="-2"/>
                <w:sz w:val="18"/>
              </w:rPr>
              <w:t xml:space="preserve"> </w:t>
            </w:r>
            <w:r w:rsidRPr="00EC20A0">
              <w:rPr>
                <w:sz w:val="18"/>
              </w:rPr>
              <w:t>user</w:t>
            </w:r>
            <w:r w:rsidRPr="00EC20A0">
              <w:rPr>
                <w:spacing w:val="-2"/>
                <w:sz w:val="18"/>
              </w:rPr>
              <w:t xml:space="preserve"> entity</w:t>
            </w:r>
          </w:p>
          <w:p w14:paraId="24D6023C" w14:textId="77777777" w:rsidR="00245300" w:rsidRPr="00EC20A0" w:rsidRDefault="00F17249">
            <w:pPr>
              <w:pStyle w:val="TableParagraph"/>
              <w:spacing w:line="206" w:lineRule="exact"/>
              <w:ind w:left="675" w:hanging="1"/>
              <w:rPr>
                <w:sz w:val="18"/>
              </w:rPr>
            </w:pPr>
            <w:r w:rsidRPr="00EC20A0">
              <w:rPr>
                <w:sz w:val="18"/>
              </w:rPr>
              <w:t>and</w:t>
            </w:r>
            <w:r w:rsidRPr="00EC20A0">
              <w:rPr>
                <w:spacing w:val="-5"/>
                <w:sz w:val="18"/>
              </w:rPr>
              <w:t xml:space="preserve"> </w:t>
            </w:r>
            <w:r w:rsidRPr="00EC20A0">
              <w:rPr>
                <w:sz w:val="18"/>
              </w:rPr>
              <w:t>subservice</w:t>
            </w:r>
            <w:r w:rsidRPr="00EC20A0">
              <w:rPr>
                <w:spacing w:val="-4"/>
                <w:sz w:val="18"/>
              </w:rPr>
              <w:t xml:space="preserve"> </w:t>
            </w:r>
            <w:r w:rsidRPr="00EC20A0">
              <w:rPr>
                <w:sz w:val="18"/>
              </w:rPr>
              <w:t>organization</w:t>
            </w:r>
            <w:r w:rsidRPr="00EC20A0">
              <w:rPr>
                <w:spacing w:val="-6"/>
                <w:sz w:val="18"/>
              </w:rPr>
              <w:t xml:space="preserve"> </w:t>
            </w:r>
            <w:r w:rsidRPr="00EC20A0">
              <w:rPr>
                <w:sz w:val="18"/>
              </w:rPr>
              <w:t>controls,</w:t>
            </w:r>
            <w:r w:rsidRPr="00EC20A0">
              <w:rPr>
                <w:spacing w:val="-5"/>
                <w:sz w:val="18"/>
              </w:rPr>
              <w:t xml:space="preserve"> </w:t>
            </w:r>
            <w:r w:rsidRPr="00EC20A0">
              <w:rPr>
                <w:sz w:val="18"/>
              </w:rPr>
              <w:t>identified</w:t>
            </w:r>
            <w:r w:rsidRPr="00EC20A0">
              <w:rPr>
                <w:spacing w:val="-6"/>
                <w:sz w:val="18"/>
              </w:rPr>
              <w:t xml:space="preserve"> </w:t>
            </w:r>
            <w:r w:rsidRPr="00EC20A0">
              <w:rPr>
                <w:sz w:val="18"/>
              </w:rPr>
              <w:t>in</w:t>
            </w:r>
            <w:r w:rsidRPr="00EC20A0">
              <w:rPr>
                <w:spacing w:val="-6"/>
                <w:sz w:val="18"/>
              </w:rPr>
              <w:t xml:space="preserve"> </w:t>
            </w:r>
            <w:r w:rsidRPr="00EC20A0">
              <w:rPr>
                <w:sz w:val="18"/>
              </w:rPr>
              <w:t>the</w:t>
            </w:r>
            <w:r w:rsidRPr="00EC20A0">
              <w:rPr>
                <w:spacing w:val="-5"/>
                <w:sz w:val="18"/>
              </w:rPr>
              <w:t xml:space="preserve"> </w:t>
            </w:r>
            <w:r w:rsidRPr="00EC20A0">
              <w:rPr>
                <w:sz w:val="18"/>
              </w:rPr>
              <w:t>report</w:t>
            </w:r>
            <w:r w:rsidRPr="00EC20A0">
              <w:rPr>
                <w:spacing w:val="-3"/>
                <w:sz w:val="18"/>
              </w:rPr>
              <w:t xml:space="preserve"> </w:t>
            </w:r>
            <w:r w:rsidRPr="00EC20A0">
              <w:rPr>
                <w:sz w:val="18"/>
              </w:rPr>
              <w:t>and relevant to the entity’s financial reporting, were operating</w:t>
            </w:r>
          </w:p>
        </w:tc>
        <w:tc>
          <w:tcPr>
            <w:tcW w:w="720" w:type="dxa"/>
            <w:tcBorders>
              <w:top w:val="single" w:sz="4" w:space="0" w:color="000000"/>
              <w:left w:val="single" w:sz="4" w:space="0" w:color="000000"/>
              <w:right w:val="single" w:sz="4" w:space="0" w:color="000000"/>
            </w:tcBorders>
          </w:tcPr>
          <w:p w14:paraId="24D6023D" w14:textId="77777777" w:rsidR="00245300" w:rsidRPr="00EC20A0" w:rsidRDefault="00245300">
            <w:pPr>
              <w:pStyle w:val="TableParagraph"/>
              <w:rPr>
                <w:sz w:val="18"/>
              </w:rPr>
            </w:pPr>
          </w:p>
        </w:tc>
        <w:tc>
          <w:tcPr>
            <w:tcW w:w="1080" w:type="dxa"/>
            <w:tcBorders>
              <w:top w:val="single" w:sz="4" w:space="0" w:color="000000"/>
              <w:left w:val="single" w:sz="4" w:space="0" w:color="000000"/>
              <w:right w:val="single" w:sz="4" w:space="0" w:color="000000"/>
            </w:tcBorders>
          </w:tcPr>
          <w:p w14:paraId="24D6023E" w14:textId="77777777" w:rsidR="00245300" w:rsidRPr="00EC20A0" w:rsidRDefault="00245300">
            <w:pPr>
              <w:pStyle w:val="TableParagraph"/>
              <w:rPr>
                <w:sz w:val="18"/>
              </w:rPr>
            </w:pPr>
          </w:p>
        </w:tc>
        <w:tc>
          <w:tcPr>
            <w:tcW w:w="1379" w:type="dxa"/>
            <w:tcBorders>
              <w:top w:val="single" w:sz="4" w:space="0" w:color="000000"/>
              <w:left w:val="single" w:sz="4" w:space="0" w:color="000000"/>
            </w:tcBorders>
          </w:tcPr>
          <w:p w14:paraId="24D6023F" w14:textId="77777777" w:rsidR="00245300" w:rsidRPr="00EC20A0" w:rsidRDefault="00245300">
            <w:pPr>
              <w:pStyle w:val="TableParagraph"/>
              <w:rPr>
                <w:sz w:val="18"/>
              </w:rPr>
            </w:pPr>
          </w:p>
        </w:tc>
      </w:tr>
    </w:tbl>
    <w:p w14:paraId="24D60241"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60242" w14:textId="77777777" w:rsidR="00245300" w:rsidRPr="00EC20A0" w:rsidRDefault="00245300">
      <w:pPr>
        <w:pStyle w:val="BodyText"/>
        <w:spacing w:before="4"/>
        <w:rPr>
          <w:sz w:val="11"/>
        </w:rPr>
      </w:pPr>
    </w:p>
    <w:tbl>
      <w:tblPr>
        <w:tblW w:w="0" w:type="auto"/>
        <w:tblInd w:w="46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245300" w:rsidRPr="00EC20A0" w14:paraId="24D6024B" w14:textId="77777777">
        <w:trPr>
          <w:trHeight w:val="860"/>
        </w:trPr>
        <w:tc>
          <w:tcPr>
            <w:tcW w:w="6091" w:type="dxa"/>
            <w:tcBorders>
              <w:right w:val="single" w:sz="4" w:space="0" w:color="000000"/>
            </w:tcBorders>
          </w:tcPr>
          <w:p w14:paraId="24D60243" w14:textId="77777777" w:rsidR="00245300" w:rsidRPr="00EC20A0" w:rsidRDefault="00245300">
            <w:pPr>
              <w:pStyle w:val="TableParagraph"/>
              <w:rPr>
                <w:sz w:val="18"/>
              </w:rPr>
            </w:pPr>
          </w:p>
          <w:p w14:paraId="24D60244" w14:textId="77777777" w:rsidR="00245300" w:rsidRPr="00EC20A0" w:rsidRDefault="00245300">
            <w:pPr>
              <w:pStyle w:val="TableParagraph"/>
              <w:spacing w:before="121"/>
              <w:rPr>
                <w:sz w:val="18"/>
              </w:rPr>
            </w:pPr>
          </w:p>
          <w:p w14:paraId="24D60245" w14:textId="77777777" w:rsidR="00245300" w:rsidRPr="00EC20A0" w:rsidRDefault="00F17249">
            <w:pPr>
              <w:pStyle w:val="TableParagraph"/>
              <w:ind w:left="105"/>
              <w:rPr>
                <w:b/>
                <w:sz w:val="18"/>
              </w:rPr>
            </w:pPr>
            <w:r w:rsidRPr="00EC20A0">
              <w:rPr>
                <w:b/>
                <w:spacing w:val="-2"/>
                <w:sz w:val="18"/>
              </w:rPr>
              <w:t>Questions</w:t>
            </w:r>
          </w:p>
        </w:tc>
        <w:tc>
          <w:tcPr>
            <w:tcW w:w="720" w:type="dxa"/>
            <w:tcBorders>
              <w:left w:val="single" w:sz="4" w:space="0" w:color="000000"/>
              <w:right w:val="single" w:sz="4" w:space="0" w:color="000000"/>
            </w:tcBorders>
          </w:tcPr>
          <w:p w14:paraId="24D60246" w14:textId="77777777" w:rsidR="00245300" w:rsidRPr="00EC20A0" w:rsidRDefault="00F17249">
            <w:pPr>
              <w:pStyle w:val="TableParagraph"/>
              <w:spacing w:before="119"/>
              <w:ind w:left="205" w:right="164" w:hanging="30"/>
              <w:jc w:val="both"/>
              <w:rPr>
                <w:b/>
                <w:sz w:val="18"/>
              </w:rPr>
            </w:pPr>
            <w:r w:rsidRPr="00EC20A0">
              <w:rPr>
                <w:b/>
                <w:spacing w:val="-4"/>
                <w:sz w:val="18"/>
              </w:rPr>
              <w:t xml:space="preserve">Yes, No, </w:t>
            </w:r>
            <w:r w:rsidRPr="00EC20A0">
              <w:rPr>
                <w:b/>
                <w:spacing w:val="-5"/>
                <w:sz w:val="18"/>
              </w:rPr>
              <w:t>N/A</w:t>
            </w:r>
          </w:p>
        </w:tc>
        <w:tc>
          <w:tcPr>
            <w:tcW w:w="1080" w:type="dxa"/>
            <w:tcBorders>
              <w:left w:val="single" w:sz="4" w:space="0" w:color="000000"/>
              <w:right w:val="single" w:sz="4" w:space="0" w:color="000000"/>
            </w:tcBorders>
          </w:tcPr>
          <w:p w14:paraId="24D60247" w14:textId="77777777" w:rsidR="00245300" w:rsidRPr="00EC20A0" w:rsidRDefault="00245300">
            <w:pPr>
              <w:pStyle w:val="TableParagraph"/>
              <w:spacing w:before="119"/>
              <w:rPr>
                <w:sz w:val="18"/>
              </w:rPr>
            </w:pPr>
          </w:p>
          <w:p w14:paraId="24D60248" w14:textId="77777777" w:rsidR="00245300" w:rsidRPr="00EC20A0" w:rsidRDefault="00F17249">
            <w:pPr>
              <w:pStyle w:val="TableParagraph"/>
              <w:ind w:left="168" w:firstLine="85"/>
              <w:rPr>
                <w:b/>
                <w:sz w:val="18"/>
              </w:rPr>
            </w:pPr>
            <w:r w:rsidRPr="00EC20A0">
              <w:rPr>
                <w:b/>
                <w:spacing w:val="-2"/>
                <w:sz w:val="18"/>
              </w:rPr>
              <w:t xml:space="preserve">Initials </w:t>
            </w:r>
            <w:r w:rsidRPr="00EC20A0">
              <w:rPr>
                <w:b/>
                <w:sz w:val="18"/>
              </w:rPr>
              <w:t>and</w:t>
            </w:r>
            <w:r w:rsidRPr="00EC20A0">
              <w:rPr>
                <w:b/>
                <w:spacing w:val="-1"/>
                <w:sz w:val="18"/>
              </w:rPr>
              <w:t xml:space="preserve"> </w:t>
            </w:r>
            <w:r w:rsidRPr="00EC20A0">
              <w:rPr>
                <w:b/>
                <w:spacing w:val="-4"/>
                <w:sz w:val="18"/>
              </w:rPr>
              <w:t>date</w:t>
            </w:r>
          </w:p>
        </w:tc>
        <w:tc>
          <w:tcPr>
            <w:tcW w:w="1379" w:type="dxa"/>
            <w:tcBorders>
              <w:left w:val="single" w:sz="4" w:space="0" w:color="000000"/>
            </w:tcBorders>
          </w:tcPr>
          <w:p w14:paraId="24D60249" w14:textId="77777777" w:rsidR="00245300" w:rsidRPr="00EC20A0" w:rsidRDefault="00245300">
            <w:pPr>
              <w:pStyle w:val="TableParagraph"/>
              <w:spacing w:before="119"/>
              <w:rPr>
                <w:sz w:val="18"/>
              </w:rPr>
            </w:pPr>
          </w:p>
          <w:p w14:paraId="24D6024A" w14:textId="77777777" w:rsidR="00245300" w:rsidRPr="00EC20A0" w:rsidRDefault="00F17249">
            <w:pPr>
              <w:pStyle w:val="TableParagraph"/>
              <w:ind w:left="233" w:firstLine="14"/>
              <w:rPr>
                <w:b/>
                <w:sz w:val="18"/>
              </w:rPr>
            </w:pPr>
            <w:r w:rsidRPr="00EC20A0">
              <w:rPr>
                <w:b/>
                <w:sz w:val="18"/>
              </w:rPr>
              <w:t>Audit</w:t>
            </w:r>
            <w:r w:rsidRPr="00EC20A0">
              <w:rPr>
                <w:b/>
                <w:spacing w:val="-13"/>
                <w:sz w:val="18"/>
              </w:rPr>
              <w:t xml:space="preserve"> </w:t>
            </w:r>
            <w:r w:rsidRPr="00EC20A0">
              <w:rPr>
                <w:b/>
                <w:sz w:val="18"/>
              </w:rPr>
              <w:t xml:space="preserve">doc. </w:t>
            </w:r>
            <w:r w:rsidRPr="00EC20A0">
              <w:rPr>
                <w:b/>
                <w:spacing w:val="-2"/>
                <w:sz w:val="18"/>
              </w:rPr>
              <w:t>references</w:t>
            </w:r>
          </w:p>
        </w:tc>
      </w:tr>
      <w:tr w:rsidR="00245300" w:rsidRPr="00EC20A0" w14:paraId="24D60250" w14:textId="77777777">
        <w:trPr>
          <w:trHeight w:val="327"/>
        </w:trPr>
        <w:tc>
          <w:tcPr>
            <w:tcW w:w="6091" w:type="dxa"/>
            <w:tcBorders>
              <w:bottom w:val="single" w:sz="4" w:space="0" w:color="000000"/>
              <w:right w:val="single" w:sz="4" w:space="0" w:color="000000"/>
            </w:tcBorders>
          </w:tcPr>
          <w:p w14:paraId="24D6024C" w14:textId="77777777" w:rsidR="00245300" w:rsidRPr="00EC20A0" w:rsidRDefault="00F17249">
            <w:pPr>
              <w:pStyle w:val="TableParagraph"/>
              <w:spacing w:before="1"/>
              <w:ind w:left="675"/>
              <w:rPr>
                <w:sz w:val="18"/>
              </w:rPr>
            </w:pPr>
            <w:r w:rsidRPr="00EC20A0">
              <w:rPr>
                <w:spacing w:val="-2"/>
                <w:sz w:val="18"/>
              </w:rPr>
              <w:t>effectively?</w:t>
            </w:r>
          </w:p>
        </w:tc>
        <w:tc>
          <w:tcPr>
            <w:tcW w:w="720" w:type="dxa"/>
            <w:tcBorders>
              <w:left w:val="single" w:sz="4" w:space="0" w:color="000000"/>
              <w:bottom w:val="single" w:sz="4" w:space="0" w:color="000000"/>
              <w:right w:val="single" w:sz="4" w:space="0" w:color="000000"/>
            </w:tcBorders>
          </w:tcPr>
          <w:p w14:paraId="24D6024D" w14:textId="77777777" w:rsidR="00245300" w:rsidRPr="00EC20A0" w:rsidRDefault="00245300">
            <w:pPr>
              <w:pStyle w:val="TableParagraph"/>
              <w:rPr>
                <w:sz w:val="18"/>
              </w:rPr>
            </w:pPr>
          </w:p>
        </w:tc>
        <w:tc>
          <w:tcPr>
            <w:tcW w:w="1080" w:type="dxa"/>
            <w:tcBorders>
              <w:left w:val="single" w:sz="4" w:space="0" w:color="000000"/>
              <w:bottom w:val="single" w:sz="4" w:space="0" w:color="000000"/>
              <w:right w:val="single" w:sz="4" w:space="0" w:color="000000"/>
            </w:tcBorders>
          </w:tcPr>
          <w:p w14:paraId="24D6024E" w14:textId="77777777" w:rsidR="00245300" w:rsidRPr="00EC20A0" w:rsidRDefault="00245300">
            <w:pPr>
              <w:pStyle w:val="TableParagraph"/>
              <w:rPr>
                <w:sz w:val="18"/>
              </w:rPr>
            </w:pPr>
          </w:p>
        </w:tc>
        <w:tc>
          <w:tcPr>
            <w:tcW w:w="1379" w:type="dxa"/>
            <w:tcBorders>
              <w:left w:val="single" w:sz="4" w:space="0" w:color="000000"/>
              <w:bottom w:val="single" w:sz="4" w:space="0" w:color="000000"/>
            </w:tcBorders>
          </w:tcPr>
          <w:p w14:paraId="24D6024F" w14:textId="77777777" w:rsidR="00245300" w:rsidRPr="00EC20A0" w:rsidRDefault="00245300">
            <w:pPr>
              <w:pStyle w:val="TableParagraph"/>
              <w:rPr>
                <w:sz w:val="18"/>
              </w:rPr>
            </w:pPr>
          </w:p>
        </w:tc>
      </w:tr>
      <w:tr w:rsidR="00245300" w:rsidRPr="00EC20A0" w14:paraId="24D60255" w14:textId="77777777">
        <w:trPr>
          <w:trHeight w:val="861"/>
        </w:trPr>
        <w:tc>
          <w:tcPr>
            <w:tcW w:w="6091" w:type="dxa"/>
            <w:tcBorders>
              <w:top w:val="single" w:sz="4" w:space="0" w:color="000000"/>
              <w:bottom w:val="single" w:sz="4" w:space="0" w:color="000000"/>
              <w:right w:val="single" w:sz="4" w:space="0" w:color="000000"/>
            </w:tcBorders>
          </w:tcPr>
          <w:p w14:paraId="24D60251" w14:textId="77777777" w:rsidR="00245300" w:rsidRPr="00EC20A0" w:rsidRDefault="00F17249">
            <w:pPr>
              <w:pStyle w:val="TableParagraph"/>
              <w:spacing w:before="119"/>
              <w:ind w:left="391" w:right="179" w:hanging="287"/>
              <w:rPr>
                <w:sz w:val="18"/>
              </w:rPr>
            </w:pPr>
            <w:r w:rsidRPr="00EC20A0">
              <w:rPr>
                <w:sz w:val="18"/>
              </w:rPr>
              <w:t>16)</w:t>
            </w:r>
            <w:r w:rsidRPr="00EC20A0">
              <w:rPr>
                <w:spacing w:val="-22"/>
                <w:sz w:val="18"/>
              </w:rPr>
              <w:t xml:space="preserve"> </w:t>
            </w:r>
            <w:r w:rsidRPr="00EC20A0">
              <w:rPr>
                <w:sz w:val="18"/>
              </w:rPr>
              <w:t>Did</w:t>
            </w:r>
            <w:r w:rsidRPr="00EC20A0">
              <w:rPr>
                <w:spacing w:val="-8"/>
                <w:sz w:val="18"/>
              </w:rPr>
              <w:t xml:space="preserve"> </w:t>
            </w:r>
            <w:r w:rsidRPr="00EC20A0">
              <w:rPr>
                <w:sz w:val="18"/>
              </w:rPr>
              <w:t>management</w:t>
            </w:r>
            <w:r w:rsidRPr="00EC20A0">
              <w:rPr>
                <w:spacing w:val="-4"/>
                <w:sz w:val="18"/>
              </w:rPr>
              <w:t xml:space="preserve"> </w:t>
            </w:r>
            <w:r w:rsidRPr="00EC20A0">
              <w:rPr>
                <w:sz w:val="18"/>
              </w:rPr>
              <w:t>appropriately</w:t>
            </w:r>
            <w:r w:rsidRPr="00EC20A0">
              <w:rPr>
                <w:spacing w:val="-4"/>
                <w:sz w:val="18"/>
              </w:rPr>
              <w:t xml:space="preserve"> </w:t>
            </w:r>
            <w:r w:rsidRPr="00EC20A0">
              <w:rPr>
                <w:sz w:val="18"/>
              </w:rPr>
              <w:t>document</w:t>
            </w:r>
            <w:r w:rsidRPr="00EC20A0">
              <w:rPr>
                <w:spacing w:val="-4"/>
                <w:sz w:val="18"/>
              </w:rPr>
              <w:t xml:space="preserve"> </w:t>
            </w:r>
            <w:r w:rsidRPr="00EC20A0">
              <w:rPr>
                <w:sz w:val="18"/>
              </w:rPr>
              <w:t>the</w:t>
            </w:r>
            <w:r w:rsidRPr="00EC20A0">
              <w:rPr>
                <w:spacing w:val="-5"/>
                <w:sz w:val="18"/>
              </w:rPr>
              <w:t xml:space="preserve"> </w:t>
            </w:r>
            <w:r w:rsidRPr="00EC20A0">
              <w:rPr>
                <w:sz w:val="18"/>
              </w:rPr>
              <w:t>results</w:t>
            </w:r>
            <w:r w:rsidRPr="00EC20A0">
              <w:rPr>
                <w:spacing w:val="-4"/>
                <w:sz w:val="18"/>
              </w:rPr>
              <w:t xml:space="preserve"> </w:t>
            </w:r>
            <w:r w:rsidRPr="00EC20A0">
              <w:rPr>
                <w:sz w:val="18"/>
              </w:rPr>
              <w:t>of</w:t>
            </w:r>
            <w:r w:rsidRPr="00EC20A0">
              <w:rPr>
                <w:spacing w:val="-4"/>
                <w:sz w:val="18"/>
              </w:rPr>
              <w:t xml:space="preserve"> </w:t>
            </w:r>
            <w:r w:rsidRPr="00EC20A0">
              <w:rPr>
                <w:sz w:val="18"/>
              </w:rPr>
              <w:t>its</w:t>
            </w:r>
            <w:r w:rsidRPr="00EC20A0">
              <w:rPr>
                <w:spacing w:val="-4"/>
                <w:sz w:val="18"/>
              </w:rPr>
              <w:t xml:space="preserve"> </w:t>
            </w:r>
            <w:r w:rsidRPr="00EC20A0">
              <w:rPr>
                <w:sz w:val="18"/>
              </w:rPr>
              <w:t>review</w:t>
            </w:r>
            <w:r w:rsidRPr="00EC20A0">
              <w:rPr>
                <w:spacing w:val="-4"/>
                <w:sz w:val="18"/>
              </w:rPr>
              <w:t xml:space="preserve"> </w:t>
            </w:r>
            <w:r w:rsidRPr="00EC20A0">
              <w:rPr>
                <w:sz w:val="18"/>
              </w:rPr>
              <w:t xml:space="preserve">of the report and its assessment of the relevant complementary user entity and subservice </w:t>
            </w:r>
            <w:r w:rsidRPr="00EC20A0">
              <w:rPr>
                <w:sz w:val="18"/>
              </w:rPr>
              <w:t>organization controls?</w:t>
            </w:r>
          </w:p>
        </w:tc>
        <w:tc>
          <w:tcPr>
            <w:tcW w:w="720" w:type="dxa"/>
            <w:tcBorders>
              <w:top w:val="single" w:sz="4" w:space="0" w:color="000000"/>
              <w:left w:val="single" w:sz="4" w:space="0" w:color="000000"/>
              <w:bottom w:val="single" w:sz="4" w:space="0" w:color="000000"/>
              <w:right w:val="single" w:sz="4" w:space="0" w:color="000000"/>
            </w:tcBorders>
          </w:tcPr>
          <w:p w14:paraId="24D60252"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53"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54" w14:textId="77777777" w:rsidR="00245300" w:rsidRPr="00EC20A0" w:rsidRDefault="00245300">
            <w:pPr>
              <w:pStyle w:val="TableParagraph"/>
              <w:rPr>
                <w:sz w:val="18"/>
              </w:rPr>
            </w:pPr>
          </w:p>
        </w:tc>
      </w:tr>
      <w:tr w:rsidR="00245300" w:rsidRPr="00EC20A0" w14:paraId="24D6025A" w14:textId="77777777">
        <w:trPr>
          <w:trHeight w:val="653"/>
        </w:trPr>
        <w:tc>
          <w:tcPr>
            <w:tcW w:w="6091" w:type="dxa"/>
            <w:tcBorders>
              <w:top w:val="single" w:sz="4" w:space="0" w:color="000000"/>
              <w:bottom w:val="single" w:sz="4" w:space="0" w:color="000000"/>
              <w:right w:val="single" w:sz="4" w:space="0" w:color="000000"/>
            </w:tcBorders>
          </w:tcPr>
          <w:p w14:paraId="24D60256" w14:textId="77777777" w:rsidR="00245300" w:rsidRPr="00EC20A0" w:rsidRDefault="00F17249">
            <w:pPr>
              <w:pStyle w:val="TableParagraph"/>
              <w:spacing w:before="119"/>
              <w:ind w:left="393" w:hanging="288"/>
              <w:rPr>
                <w:sz w:val="18"/>
              </w:rPr>
            </w:pPr>
            <w:r w:rsidRPr="00EC20A0">
              <w:rPr>
                <w:sz w:val="18"/>
              </w:rPr>
              <w:t>17)</w:t>
            </w:r>
            <w:r w:rsidRPr="00EC20A0">
              <w:rPr>
                <w:spacing w:val="-22"/>
                <w:sz w:val="18"/>
              </w:rPr>
              <w:t xml:space="preserve"> </w:t>
            </w:r>
            <w:r w:rsidRPr="00EC20A0">
              <w:rPr>
                <w:sz w:val="18"/>
              </w:rPr>
              <w:t>Are</w:t>
            </w:r>
            <w:r w:rsidRPr="00EC20A0">
              <w:rPr>
                <w:spacing w:val="-11"/>
                <w:sz w:val="18"/>
              </w:rPr>
              <w:t xml:space="preserve"> </w:t>
            </w:r>
            <w:r w:rsidRPr="00EC20A0">
              <w:rPr>
                <w:sz w:val="18"/>
              </w:rPr>
              <w:t>management’s</w:t>
            </w:r>
            <w:r w:rsidRPr="00EC20A0">
              <w:rPr>
                <w:spacing w:val="-7"/>
                <w:sz w:val="18"/>
              </w:rPr>
              <w:t xml:space="preserve"> </w:t>
            </w:r>
            <w:r w:rsidRPr="00EC20A0">
              <w:rPr>
                <w:sz w:val="18"/>
              </w:rPr>
              <w:t>conclusions</w:t>
            </w:r>
            <w:r w:rsidRPr="00EC20A0">
              <w:rPr>
                <w:spacing w:val="-7"/>
                <w:sz w:val="18"/>
              </w:rPr>
              <w:t xml:space="preserve"> </w:t>
            </w:r>
            <w:r w:rsidRPr="00EC20A0">
              <w:rPr>
                <w:sz w:val="18"/>
              </w:rPr>
              <w:t>reasonable</w:t>
            </w:r>
            <w:r w:rsidRPr="00EC20A0">
              <w:rPr>
                <w:spacing w:val="-6"/>
                <w:sz w:val="18"/>
              </w:rPr>
              <w:t xml:space="preserve"> </w:t>
            </w:r>
            <w:r w:rsidRPr="00EC20A0">
              <w:rPr>
                <w:sz w:val="18"/>
              </w:rPr>
              <w:t>and</w:t>
            </w:r>
            <w:r w:rsidRPr="00EC20A0">
              <w:rPr>
                <w:spacing w:val="-8"/>
                <w:sz w:val="18"/>
              </w:rPr>
              <w:t xml:space="preserve"> </w:t>
            </w:r>
            <w:r w:rsidRPr="00EC20A0">
              <w:rPr>
                <w:sz w:val="18"/>
              </w:rPr>
              <w:t>materially</w:t>
            </w:r>
            <w:r w:rsidRPr="00EC20A0">
              <w:rPr>
                <w:spacing w:val="-7"/>
                <w:sz w:val="18"/>
              </w:rPr>
              <w:t xml:space="preserve"> </w:t>
            </w:r>
            <w:r w:rsidRPr="00EC20A0">
              <w:rPr>
                <w:sz w:val="18"/>
              </w:rPr>
              <w:t>consistent with the auditor’s conclusions?</w:t>
            </w:r>
          </w:p>
        </w:tc>
        <w:tc>
          <w:tcPr>
            <w:tcW w:w="720" w:type="dxa"/>
            <w:tcBorders>
              <w:top w:val="single" w:sz="4" w:space="0" w:color="000000"/>
              <w:left w:val="single" w:sz="4" w:space="0" w:color="000000"/>
              <w:bottom w:val="single" w:sz="4" w:space="0" w:color="000000"/>
              <w:right w:val="single" w:sz="4" w:space="0" w:color="000000"/>
            </w:tcBorders>
          </w:tcPr>
          <w:p w14:paraId="24D60257"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58"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59" w14:textId="77777777" w:rsidR="00245300" w:rsidRPr="00EC20A0" w:rsidRDefault="00245300">
            <w:pPr>
              <w:pStyle w:val="TableParagraph"/>
              <w:rPr>
                <w:sz w:val="18"/>
              </w:rPr>
            </w:pPr>
          </w:p>
        </w:tc>
      </w:tr>
      <w:tr w:rsidR="00245300" w:rsidRPr="00EC20A0" w14:paraId="24D6025F" w14:textId="77777777">
        <w:trPr>
          <w:trHeight w:val="1067"/>
        </w:trPr>
        <w:tc>
          <w:tcPr>
            <w:tcW w:w="6091" w:type="dxa"/>
            <w:tcBorders>
              <w:top w:val="single" w:sz="4" w:space="0" w:color="000000"/>
              <w:bottom w:val="single" w:sz="4" w:space="0" w:color="000000"/>
              <w:right w:val="single" w:sz="4" w:space="0" w:color="000000"/>
            </w:tcBorders>
          </w:tcPr>
          <w:p w14:paraId="24D6025B" w14:textId="77777777" w:rsidR="00245300" w:rsidRPr="00EC20A0" w:rsidRDefault="00F17249">
            <w:pPr>
              <w:pStyle w:val="TableParagraph"/>
              <w:spacing w:before="119"/>
              <w:ind w:left="391" w:hanging="287"/>
              <w:rPr>
                <w:sz w:val="18"/>
              </w:rPr>
            </w:pPr>
            <w:r w:rsidRPr="00EC20A0">
              <w:rPr>
                <w:sz w:val="18"/>
              </w:rPr>
              <w:t>18)</w:t>
            </w:r>
            <w:r w:rsidRPr="00EC20A0">
              <w:rPr>
                <w:spacing w:val="-14"/>
                <w:sz w:val="18"/>
              </w:rPr>
              <w:t xml:space="preserve"> </w:t>
            </w:r>
            <w:r w:rsidRPr="00EC20A0">
              <w:rPr>
                <w:sz w:val="18"/>
              </w:rPr>
              <w:t xml:space="preserve">Did management take appropriate actions to address any control objectives not adequately addressed in the type 2 </w:t>
            </w:r>
            <w:r w:rsidRPr="00EC20A0">
              <w:rPr>
                <w:sz w:val="18"/>
              </w:rPr>
              <w:t>report and any exceptions</w:t>
            </w:r>
            <w:r w:rsidRPr="00EC20A0">
              <w:rPr>
                <w:spacing w:val="-4"/>
                <w:sz w:val="18"/>
              </w:rPr>
              <w:t xml:space="preserve"> </w:t>
            </w:r>
            <w:r w:rsidRPr="00EC20A0">
              <w:rPr>
                <w:sz w:val="18"/>
              </w:rPr>
              <w:t>identified</w:t>
            </w:r>
            <w:r w:rsidRPr="00EC20A0">
              <w:rPr>
                <w:spacing w:val="-5"/>
                <w:sz w:val="18"/>
              </w:rPr>
              <w:t xml:space="preserve"> </w:t>
            </w:r>
            <w:r w:rsidRPr="00EC20A0">
              <w:rPr>
                <w:sz w:val="18"/>
              </w:rPr>
              <w:t>in</w:t>
            </w:r>
            <w:r w:rsidRPr="00EC20A0">
              <w:rPr>
                <w:spacing w:val="-5"/>
                <w:sz w:val="18"/>
              </w:rPr>
              <w:t xml:space="preserve"> </w:t>
            </w:r>
            <w:r w:rsidRPr="00EC20A0">
              <w:rPr>
                <w:sz w:val="18"/>
              </w:rPr>
              <w:t>the</w:t>
            </w:r>
            <w:r w:rsidRPr="00EC20A0">
              <w:rPr>
                <w:spacing w:val="-4"/>
                <w:sz w:val="18"/>
              </w:rPr>
              <w:t xml:space="preserve"> </w:t>
            </w:r>
            <w:r w:rsidRPr="00EC20A0">
              <w:rPr>
                <w:sz w:val="18"/>
              </w:rPr>
              <w:t>report</w:t>
            </w:r>
            <w:r w:rsidRPr="00EC20A0">
              <w:rPr>
                <w:spacing w:val="-4"/>
                <w:sz w:val="18"/>
              </w:rPr>
              <w:t xml:space="preserve"> </w:t>
            </w:r>
            <w:r w:rsidRPr="00EC20A0">
              <w:rPr>
                <w:sz w:val="18"/>
              </w:rPr>
              <w:t>that</w:t>
            </w:r>
            <w:r w:rsidRPr="00EC20A0">
              <w:rPr>
                <w:spacing w:val="-4"/>
                <w:sz w:val="18"/>
              </w:rPr>
              <w:t xml:space="preserve"> </w:t>
            </w:r>
            <w:r w:rsidRPr="00EC20A0">
              <w:rPr>
                <w:sz w:val="18"/>
              </w:rPr>
              <w:t>have</w:t>
            </w:r>
            <w:r w:rsidRPr="00EC20A0">
              <w:rPr>
                <w:spacing w:val="-3"/>
                <w:sz w:val="18"/>
              </w:rPr>
              <w:t xml:space="preserve"> </w:t>
            </w:r>
            <w:r w:rsidRPr="00EC20A0">
              <w:rPr>
                <w:sz w:val="18"/>
              </w:rPr>
              <w:t>an</w:t>
            </w:r>
            <w:r w:rsidRPr="00EC20A0">
              <w:rPr>
                <w:spacing w:val="-5"/>
                <w:sz w:val="18"/>
              </w:rPr>
              <w:t xml:space="preserve"> </w:t>
            </w:r>
            <w:r w:rsidRPr="00EC20A0">
              <w:rPr>
                <w:sz w:val="18"/>
              </w:rPr>
              <w:t>impact</w:t>
            </w:r>
            <w:r w:rsidRPr="00EC20A0">
              <w:rPr>
                <w:spacing w:val="-4"/>
                <w:sz w:val="18"/>
              </w:rPr>
              <w:t xml:space="preserve"> </w:t>
            </w:r>
            <w:r w:rsidRPr="00EC20A0">
              <w:rPr>
                <w:sz w:val="18"/>
              </w:rPr>
              <w:t>on</w:t>
            </w:r>
            <w:r w:rsidRPr="00EC20A0">
              <w:rPr>
                <w:spacing w:val="-5"/>
                <w:sz w:val="18"/>
              </w:rPr>
              <w:t xml:space="preserve"> </w:t>
            </w:r>
            <w:r w:rsidRPr="00EC20A0">
              <w:rPr>
                <w:sz w:val="18"/>
              </w:rPr>
              <w:t>the</w:t>
            </w:r>
            <w:r w:rsidRPr="00EC20A0">
              <w:rPr>
                <w:spacing w:val="-4"/>
                <w:sz w:val="18"/>
              </w:rPr>
              <w:t xml:space="preserve"> </w:t>
            </w:r>
            <w:r w:rsidRPr="00EC20A0">
              <w:rPr>
                <w:sz w:val="18"/>
              </w:rPr>
              <w:t>control activities listed in section VII?</w:t>
            </w:r>
          </w:p>
        </w:tc>
        <w:tc>
          <w:tcPr>
            <w:tcW w:w="720" w:type="dxa"/>
            <w:tcBorders>
              <w:top w:val="single" w:sz="4" w:space="0" w:color="000000"/>
              <w:left w:val="single" w:sz="4" w:space="0" w:color="000000"/>
              <w:bottom w:val="single" w:sz="4" w:space="0" w:color="000000"/>
              <w:right w:val="single" w:sz="4" w:space="0" w:color="000000"/>
            </w:tcBorders>
          </w:tcPr>
          <w:p w14:paraId="24D6025C"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5D"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5E" w14:textId="77777777" w:rsidR="00245300" w:rsidRPr="00EC20A0" w:rsidRDefault="00245300">
            <w:pPr>
              <w:pStyle w:val="TableParagraph"/>
              <w:rPr>
                <w:sz w:val="18"/>
              </w:rPr>
            </w:pPr>
          </w:p>
        </w:tc>
      </w:tr>
      <w:tr w:rsidR="00245300" w:rsidRPr="00EC20A0" w14:paraId="24D60264" w14:textId="77777777">
        <w:trPr>
          <w:trHeight w:val="1275"/>
        </w:trPr>
        <w:tc>
          <w:tcPr>
            <w:tcW w:w="6091" w:type="dxa"/>
            <w:tcBorders>
              <w:top w:val="single" w:sz="4" w:space="0" w:color="000000"/>
              <w:bottom w:val="single" w:sz="4" w:space="0" w:color="000000"/>
              <w:right w:val="single" w:sz="4" w:space="0" w:color="000000"/>
            </w:tcBorders>
          </w:tcPr>
          <w:p w14:paraId="24D60260" w14:textId="77777777" w:rsidR="00245300" w:rsidRPr="00EC20A0" w:rsidRDefault="00F17249">
            <w:pPr>
              <w:pStyle w:val="TableParagraph"/>
              <w:spacing w:before="120"/>
              <w:ind w:left="392" w:right="179" w:hanging="288"/>
              <w:rPr>
                <w:sz w:val="18"/>
              </w:rPr>
            </w:pPr>
            <w:r w:rsidRPr="00EC20A0">
              <w:rPr>
                <w:sz w:val="18"/>
              </w:rPr>
              <w:t>19)</w:t>
            </w:r>
            <w:r w:rsidRPr="00EC20A0">
              <w:rPr>
                <w:spacing w:val="-17"/>
                <w:sz w:val="18"/>
              </w:rPr>
              <w:t xml:space="preserve"> </w:t>
            </w:r>
            <w:r w:rsidRPr="00EC20A0">
              <w:rPr>
                <w:sz w:val="18"/>
              </w:rPr>
              <w:t>If any of the responses to questions 15 through 18 is “no,” did the auditor</w:t>
            </w:r>
            <w:r w:rsidRPr="00EC20A0">
              <w:rPr>
                <w:spacing w:val="-4"/>
                <w:sz w:val="18"/>
              </w:rPr>
              <w:t xml:space="preserve"> </w:t>
            </w:r>
            <w:r w:rsidRPr="00EC20A0">
              <w:rPr>
                <w:sz w:val="18"/>
              </w:rPr>
              <w:t>determine</w:t>
            </w:r>
            <w:r w:rsidRPr="00EC20A0">
              <w:rPr>
                <w:spacing w:val="-5"/>
                <w:sz w:val="18"/>
              </w:rPr>
              <w:t xml:space="preserve"> </w:t>
            </w:r>
            <w:r w:rsidRPr="00EC20A0">
              <w:rPr>
                <w:sz w:val="18"/>
              </w:rPr>
              <w:t>the</w:t>
            </w:r>
            <w:r w:rsidRPr="00EC20A0">
              <w:rPr>
                <w:spacing w:val="-5"/>
                <w:sz w:val="18"/>
              </w:rPr>
              <w:t xml:space="preserve"> </w:t>
            </w:r>
            <w:r w:rsidRPr="00EC20A0">
              <w:rPr>
                <w:sz w:val="18"/>
              </w:rPr>
              <w:t>effect</w:t>
            </w:r>
            <w:r w:rsidRPr="00EC20A0">
              <w:rPr>
                <w:spacing w:val="-4"/>
                <w:sz w:val="18"/>
              </w:rPr>
              <w:t xml:space="preserve"> </w:t>
            </w:r>
            <w:r w:rsidRPr="00EC20A0">
              <w:rPr>
                <w:sz w:val="18"/>
              </w:rPr>
              <w:t>on</w:t>
            </w:r>
            <w:r w:rsidRPr="00EC20A0">
              <w:rPr>
                <w:spacing w:val="-5"/>
                <w:sz w:val="18"/>
              </w:rPr>
              <w:t xml:space="preserve"> </w:t>
            </w:r>
            <w:r w:rsidRPr="00EC20A0">
              <w:rPr>
                <w:sz w:val="18"/>
              </w:rPr>
              <w:t>the</w:t>
            </w:r>
            <w:r w:rsidRPr="00EC20A0">
              <w:rPr>
                <w:spacing w:val="-5"/>
                <w:sz w:val="18"/>
              </w:rPr>
              <w:t xml:space="preserve"> </w:t>
            </w:r>
            <w:r w:rsidRPr="00EC20A0">
              <w:rPr>
                <w:sz w:val="18"/>
              </w:rPr>
              <w:t>auditor’s</w:t>
            </w:r>
            <w:r w:rsidRPr="00EC20A0">
              <w:rPr>
                <w:spacing w:val="-3"/>
                <w:sz w:val="18"/>
              </w:rPr>
              <w:t xml:space="preserve"> </w:t>
            </w:r>
            <w:r w:rsidRPr="00EC20A0">
              <w:rPr>
                <w:sz w:val="18"/>
              </w:rPr>
              <w:t>(a)</w:t>
            </w:r>
            <w:r w:rsidRPr="00EC20A0">
              <w:rPr>
                <w:spacing w:val="-4"/>
                <w:sz w:val="18"/>
              </w:rPr>
              <w:t xml:space="preserve"> </w:t>
            </w:r>
            <w:r w:rsidRPr="00EC20A0">
              <w:rPr>
                <w:sz w:val="18"/>
              </w:rPr>
              <w:t>understanding</w:t>
            </w:r>
            <w:r w:rsidRPr="00EC20A0">
              <w:rPr>
                <w:spacing w:val="-4"/>
                <w:sz w:val="18"/>
              </w:rPr>
              <w:t xml:space="preserve"> </w:t>
            </w:r>
            <w:r w:rsidRPr="00EC20A0">
              <w:rPr>
                <w:sz w:val="18"/>
              </w:rPr>
              <w:t>of</w:t>
            </w:r>
            <w:r w:rsidRPr="00EC20A0">
              <w:rPr>
                <w:spacing w:val="-4"/>
                <w:sz w:val="18"/>
              </w:rPr>
              <w:t xml:space="preserve"> </w:t>
            </w:r>
            <w:r w:rsidRPr="00EC20A0">
              <w:rPr>
                <w:sz w:val="18"/>
              </w:rPr>
              <w:t>the entity’s implementation of the Federal Managers’ Financial Integrity Act of 1982 (FMFIA), (b) risk assessment, and (c) assessment of internal control over financial reporting (see FAM 260 and 265)?</w:t>
            </w:r>
          </w:p>
        </w:tc>
        <w:tc>
          <w:tcPr>
            <w:tcW w:w="720" w:type="dxa"/>
            <w:tcBorders>
              <w:top w:val="single" w:sz="4" w:space="0" w:color="000000"/>
              <w:left w:val="single" w:sz="4" w:space="0" w:color="000000"/>
              <w:bottom w:val="single" w:sz="4" w:space="0" w:color="000000"/>
              <w:right w:val="single" w:sz="4" w:space="0" w:color="000000"/>
            </w:tcBorders>
          </w:tcPr>
          <w:p w14:paraId="24D60261"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62"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63" w14:textId="77777777" w:rsidR="00245300" w:rsidRPr="00EC20A0" w:rsidRDefault="00245300">
            <w:pPr>
              <w:pStyle w:val="TableParagraph"/>
              <w:rPr>
                <w:sz w:val="18"/>
              </w:rPr>
            </w:pPr>
          </w:p>
        </w:tc>
      </w:tr>
      <w:tr w:rsidR="00245300" w:rsidRPr="00EC20A0" w14:paraId="24D60266" w14:textId="77777777">
        <w:trPr>
          <w:trHeight w:val="447"/>
        </w:trPr>
        <w:tc>
          <w:tcPr>
            <w:tcW w:w="9270" w:type="dxa"/>
            <w:gridSpan w:val="4"/>
            <w:tcBorders>
              <w:top w:val="single" w:sz="4" w:space="0" w:color="000000"/>
              <w:bottom w:val="single" w:sz="4" w:space="0" w:color="000000"/>
            </w:tcBorders>
            <w:shd w:val="clear" w:color="auto" w:fill="D9D9D9"/>
          </w:tcPr>
          <w:p w14:paraId="24D60265" w14:textId="77777777" w:rsidR="00245300" w:rsidRPr="00EC20A0" w:rsidRDefault="00F17249">
            <w:pPr>
              <w:pStyle w:val="TableParagraph"/>
              <w:spacing w:before="120"/>
              <w:ind w:left="105"/>
              <w:rPr>
                <w:b/>
                <w:sz w:val="18"/>
              </w:rPr>
            </w:pPr>
            <w:r w:rsidRPr="00EC20A0">
              <w:rPr>
                <w:b/>
                <w:sz w:val="18"/>
              </w:rPr>
              <w:t>Determine</w:t>
            </w:r>
            <w:r w:rsidRPr="00EC20A0">
              <w:rPr>
                <w:b/>
                <w:spacing w:val="-5"/>
                <w:sz w:val="18"/>
              </w:rPr>
              <w:t xml:space="preserve"> </w:t>
            </w:r>
            <w:r w:rsidRPr="00EC20A0">
              <w:rPr>
                <w:b/>
                <w:sz w:val="18"/>
              </w:rPr>
              <w:t>whether</w:t>
            </w:r>
            <w:r w:rsidRPr="00EC20A0">
              <w:rPr>
                <w:b/>
                <w:spacing w:val="-3"/>
                <w:sz w:val="18"/>
              </w:rPr>
              <w:t xml:space="preserve"> </w:t>
            </w:r>
            <w:r w:rsidRPr="00EC20A0">
              <w:rPr>
                <w:b/>
                <w:sz w:val="18"/>
              </w:rPr>
              <w:t>sufficient</w:t>
            </w:r>
            <w:r w:rsidRPr="00EC20A0">
              <w:rPr>
                <w:b/>
                <w:spacing w:val="-3"/>
                <w:sz w:val="18"/>
              </w:rPr>
              <w:t xml:space="preserve"> </w:t>
            </w:r>
            <w:r w:rsidRPr="00EC20A0">
              <w:rPr>
                <w:b/>
                <w:sz w:val="18"/>
              </w:rPr>
              <w:t>appropriate</w:t>
            </w:r>
            <w:r w:rsidRPr="00EC20A0">
              <w:rPr>
                <w:b/>
                <w:spacing w:val="-4"/>
                <w:sz w:val="18"/>
              </w:rPr>
              <w:t xml:space="preserve"> </w:t>
            </w:r>
            <w:r w:rsidRPr="00EC20A0">
              <w:rPr>
                <w:b/>
                <w:sz w:val="18"/>
              </w:rPr>
              <w:t>audit</w:t>
            </w:r>
            <w:r w:rsidRPr="00EC20A0">
              <w:rPr>
                <w:b/>
                <w:spacing w:val="-3"/>
                <w:sz w:val="18"/>
              </w:rPr>
              <w:t xml:space="preserve"> </w:t>
            </w:r>
            <w:r w:rsidRPr="00EC20A0">
              <w:rPr>
                <w:b/>
                <w:sz w:val="18"/>
              </w:rPr>
              <w:t>evidence</w:t>
            </w:r>
            <w:r w:rsidRPr="00EC20A0">
              <w:rPr>
                <w:b/>
                <w:spacing w:val="-4"/>
                <w:sz w:val="18"/>
              </w:rPr>
              <w:t xml:space="preserve"> </w:t>
            </w:r>
            <w:r w:rsidRPr="00EC20A0">
              <w:rPr>
                <w:b/>
                <w:sz w:val="18"/>
              </w:rPr>
              <w:t>has</w:t>
            </w:r>
            <w:r w:rsidRPr="00EC20A0">
              <w:rPr>
                <w:b/>
                <w:spacing w:val="-4"/>
                <w:sz w:val="18"/>
              </w:rPr>
              <w:t xml:space="preserve"> </w:t>
            </w:r>
            <w:r w:rsidRPr="00EC20A0">
              <w:rPr>
                <w:b/>
                <w:sz w:val="18"/>
              </w:rPr>
              <w:t>been</w:t>
            </w:r>
            <w:r w:rsidRPr="00EC20A0">
              <w:rPr>
                <w:b/>
                <w:spacing w:val="-2"/>
                <w:sz w:val="18"/>
              </w:rPr>
              <w:t xml:space="preserve"> obtained</w:t>
            </w:r>
          </w:p>
        </w:tc>
      </w:tr>
      <w:tr w:rsidR="00245300" w:rsidRPr="00EC20A0" w14:paraId="24D60271" w14:textId="77777777">
        <w:trPr>
          <w:trHeight w:val="4199"/>
        </w:trPr>
        <w:tc>
          <w:tcPr>
            <w:tcW w:w="6091" w:type="dxa"/>
            <w:tcBorders>
              <w:top w:val="single" w:sz="4" w:space="0" w:color="000000"/>
              <w:bottom w:val="single" w:sz="4" w:space="0" w:color="000000"/>
              <w:right w:val="single" w:sz="4" w:space="0" w:color="000000"/>
            </w:tcBorders>
          </w:tcPr>
          <w:p w14:paraId="24D60267" w14:textId="77777777" w:rsidR="00245300" w:rsidRPr="00EC20A0" w:rsidRDefault="00F17249">
            <w:pPr>
              <w:pStyle w:val="TableParagraph"/>
              <w:spacing w:before="119"/>
              <w:ind w:left="105"/>
              <w:rPr>
                <w:b/>
                <w:sz w:val="18"/>
              </w:rPr>
            </w:pPr>
            <w:r w:rsidRPr="00EC20A0">
              <w:rPr>
                <w:sz w:val="18"/>
              </w:rPr>
              <w:t>20)</w:t>
            </w:r>
            <w:r w:rsidRPr="00EC20A0">
              <w:rPr>
                <w:spacing w:val="-22"/>
                <w:sz w:val="18"/>
              </w:rPr>
              <w:t xml:space="preserve"> </w:t>
            </w:r>
            <w:r w:rsidRPr="00EC20A0">
              <w:rPr>
                <w:b/>
                <w:sz w:val="18"/>
              </w:rPr>
              <w:t>[For</w:t>
            </w:r>
            <w:r w:rsidRPr="00EC20A0">
              <w:rPr>
                <w:b/>
                <w:spacing w:val="-5"/>
                <w:sz w:val="18"/>
              </w:rPr>
              <w:t xml:space="preserve"> </w:t>
            </w:r>
            <w:r w:rsidRPr="00EC20A0">
              <w:rPr>
                <w:b/>
                <w:sz w:val="18"/>
              </w:rPr>
              <w:t>audits</w:t>
            </w:r>
            <w:r w:rsidRPr="00EC20A0">
              <w:rPr>
                <w:b/>
                <w:spacing w:val="-4"/>
                <w:sz w:val="18"/>
              </w:rPr>
              <w:t xml:space="preserve"> </w:t>
            </w:r>
            <w:r w:rsidRPr="00EC20A0">
              <w:rPr>
                <w:b/>
                <w:sz w:val="18"/>
              </w:rPr>
              <w:t>of</w:t>
            </w:r>
            <w:r w:rsidRPr="00EC20A0">
              <w:rPr>
                <w:b/>
                <w:spacing w:val="-3"/>
                <w:sz w:val="18"/>
              </w:rPr>
              <w:t xml:space="preserve"> </w:t>
            </w:r>
            <w:r w:rsidRPr="00EC20A0">
              <w:rPr>
                <w:b/>
                <w:sz w:val="18"/>
              </w:rPr>
              <w:t>internal</w:t>
            </w:r>
            <w:r w:rsidRPr="00EC20A0">
              <w:rPr>
                <w:b/>
                <w:spacing w:val="-2"/>
                <w:sz w:val="18"/>
              </w:rPr>
              <w:t xml:space="preserve"> </w:t>
            </w:r>
            <w:r w:rsidRPr="00EC20A0">
              <w:rPr>
                <w:b/>
                <w:sz w:val="18"/>
              </w:rPr>
              <w:t>control</w:t>
            </w:r>
            <w:r w:rsidRPr="00EC20A0">
              <w:rPr>
                <w:b/>
                <w:spacing w:val="-2"/>
                <w:sz w:val="18"/>
              </w:rPr>
              <w:t xml:space="preserve"> </w:t>
            </w:r>
            <w:r w:rsidRPr="00EC20A0">
              <w:rPr>
                <w:b/>
                <w:sz w:val="18"/>
              </w:rPr>
              <w:t>over</w:t>
            </w:r>
            <w:r w:rsidRPr="00EC20A0">
              <w:rPr>
                <w:b/>
                <w:spacing w:val="-3"/>
                <w:sz w:val="18"/>
              </w:rPr>
              <w:t xml:space="preserve"> </w:t>
            </w:r>
            <w:r w:rsidRPr="00EC20A0">
              <w:rPr>
                <w:b/>
                <w:sz w:val="18"/>
              </w:rPr>
              <w:t>financial</w:t>
            </w:r>
            <w:r w:rsidRPr="00EC20A0">
              <w:rPr>
                <w:b/>
                <w:spacing w:val="-2"/>
                <w:sz w:val="18"/>
              </w:rPr>
              <w:t xml:space="preserve"> reporting]</w:t>
            </w:r>
          </w:p>
          <w:p w14:paraId="24D60268" w14:textId="77777777" w:rsidR="00245300" w:rsidRPr="00EC20A0" w:rsidRDefault="00F17249">
            <w:pPr>
              <w:pStyle w:val="TableParagraph"/>
              <w:ind w:left="391" w:right="153" w:firstLine="1"/>
              <w:rPr>
                <w:sz w:val="18"/>
              </w:rPr>
            </w:pPr>
            <w:r w:rsidRPr="00EC20A0">
              <w:rPr>
                <w:sz w:val="18"/>
              </w:rPr>
              <w:t>Based</w:t>
            </w:r>
            <w:r w:rsidRPr="00EC20A0">
              <w:rPr>
                <w:spacing w:val="-5"/>
                <w:sz w:val="18"/>
              </w:rPr>
              <w:t xml:space="preserve"> </w:t>
            </w:r>
            <w:r w:rsidRPr="00EC20A0">
              <w:rPr>
                <w:sz w:val="18"/>
              </w:rPr>
              <w:t>on</w:t>
            </w:r>
            <w:r w:rsidRPr="00EC20A0">
              <w:rPr>
                <w:spacing w:val="-5"/>
                <w:sz w:val="18"/>
              </w:rPr>
              <w:t xml:space="preserve"> </w:t>
            </w:r>
            <w:r w:rsidRPr="00EC20A0">
              <w:rPr>
                <w:sz w:val="18"/>
              </w:rPr>
              <w:t>the</w:t>
            </w:r>
            <w:r w:rsidRPr="00EC20A0">
              <w:rPr>
                <w:spacing w:val="-5"/>
                <w:sz w:val="18"/>
              </w:rPr>
              <w:t xml:space="preserve"> </w:t>
            </w:r>
            <w:r w:rsidRPr="00EC20A0">
              <w:rPr>
                <w:sz w:val="18"/>
              </w:rPr>
              <w:t>procedures</w:t>
            </w:r>
            <w:r w:rsidRPr="00EC20A0">
              <w:rPr>
                <w:spacing w:val="-4"/>
                <w:sz w:val="18"/>
              </w:rPr>
              <w:t xml:space="preserve"> </w:t>
            </w:r>
            <w:r w:rsidRPr="00EC20A0">
              <w:rPr>
                <w:sz w:val="18"/>
              </w:rPr>
              <w:t>performed</w:t>
            </w:r>
            <w:r w:rsidRPr="00EC20A0">
              <w:rPr>
                <w:spacing w:val="-4"/>
                <w:sz w:val="18"/>
              </w:rPr>
              <w:t xml:space="preserve"> </w:t>
            </w:r>
            <w:r w:rsidRPr="00EC20A0">
              <w:rPr>
                <w:sz w:val="18"/>
              </w:rPr>
              <w:t>by</w:t>
            </w:r>
            <w:r w:rsidRPr="00EC20A0">
              <w:rPr>
                <w:spacing w:val="-4"/>
                <w:sz w:val="18"/>
              </w:rPr>
              <w:t xml:space="preserve"> </w:t>
            </w:r>
            <w:r w:rsidRPr="00EC20A0">
              <w:rPr>
                <w:sz w:val="18"/>
              </w:rPr>
              <w:t>the</w:t>
            </w:r>
            <w:r w:rsidRPr="00EC20A0">
              <w:rPr>
                <w:spacing w:val="-4"/>
                <w:sz w:val="18"/>
              </w:rPr>
              <w:t xml:space="preserve"> </w:t>
            </w:r>
            <w:r w:rsidRPr="00EC20A0">
              <w:rPr>
                <w:sz w:val="18"/>
              </w:rPr>
              <w:t>auditor</w:t>
            </w:r>
            <w:r w:rsidRPr="00EC20A0">
              <w:rPr>
                <w:spacing w:val="-4"/>
                <w:sz w:val="18"/>
              </w:rPr>
              <w:t xml:space="preserve"> </w:t>
            </w:r>
            <w:r w:rsidRPr="00EC20A0">
              <w:rPr>
                <w:sz w:val="18"/>
              </w:rPr>
              <w:t>and</w:t>
            </w:r>
            <w:r w:rsidRPr="00EC20A0">
              <w:rPr>
                <w:spacing w:val="-4"/>
                <w:sz w:val="18"/>
              </w:rPr>
              <w:t xml:space="preserve"> </w:t>
            </w:r>
            <w:r w:rsidRPr="00EC20A0">
              <w:rPr>
                <w:sz w:val="18"/>
              </w:rPr>
              <w:t xml:space="preserve">management, the results of those procedures, and an evaluation of the risk </w:t>
            </w:r>
            <w:r w:rsidRPr="00EC20A0">
              <w:rPr>
                <w:sz w:val="18"/>
              </w:rPr>
              <w:t>factors listed below, did the auditor determine whether sufficient appropriate audit evidence has been obtained about the operating effectiveness of</w:t>
            </w:r>
            <w:r w:rsidRPr="00EC20A0">
              <w:rPr>
                <w:spacing w:val="-1"/>
                <w:sz w:val="18"/>
              </w:rPr>
              <w:t xml:space="preserve"> </w:t>
            </w:r>
            <w:r w:rsidRPr="00EC20A0">
              <w:rPr>
                <w:sz w:val="18"/>
              </w:rPr>
              <w:t>controls</w:t>
            </w:r>
            <w:r w:rsidRPr="00EC20A0">
              <w:rPr>
                <w:spacing w:val="-1"/>
                <w:sz w:val="18"/>
              </w:rPr>
              <w:t xml:space="preserve"> </w:t>
            </w:r>
            <w:r w:rsidRPr="00EC20A0">
              <w:rPr>
                <w:sz w:val="18"/>
              </w:rPr>
              <w:t>at</w:t>
            </w:r>
            <w:r w:rsidRPr="00EC20A0">
              <w:rPr>
                <w:spacing w:val="-1"/>
                <w:sz w:val="18"/>
              </w:rPr>
              <w:t xml:space="preserve"> </w:t>
            </w:r>
            <w:r w:rsidRPr="00EC20A0">
              <w:rPr>
                <w:sz w:val="18"/>
              </w:rPr>
              <w:t>the</w:t>
            </w:r>
            <w:r w:rsidRPr="00EC20A0">
              <w:rPr>
                <w:spacing w:val="-2"/>
                <w:sz w:val="18"/>
              </w:rPr>
              <w:t xml:space="preserve"> </w:t>
            </w:r>
            <w:r w:rsidRPr="00EC20A0">
              <w:rPr>
                <w:sz w:val="18"/>
              </w:rPr>
              <w:t>service</w:t>
            </w:r>
            <w:r w:rsidRPr="00EC20A0">
              <w:rPr>
                <w:spacing w:val="-2"/>
                <w:sz w:val="18"/>
              </w:rPr>
              <w:t xml:space="preserve"> </w:t>
            </w:r>
            <w:r w:rsidRPr="00EC20A0">
              <w:rPr>
                <w:sz w:val="18"/>
              </w:rPr>
              <w:t>organization</w:t>
            </w:r>
            <w:r w:rsidRPr="00EC20A0">
              <w:rPr>
                <w:spacing w:val="-2"/>
                <w:sz w:val="18"/>
              </w:rPr>
              <w:t xml:space="preserve"> </w:t>
            </w:r>
            <w:r w:rsidRPr="00EC20A0">
              <w:rPr>
                <w:sz w:val="18"/>
              </w:rPr>
              <w:t>to</w:t>
            </w:r>
            <w:r w:rsidRPr="00EC20A0">
              <w:rPr>
                <w:spacing w:val="-2"/>
                <w:sz w:val="18"/>
              </w:rPr>
              <w:t xml:space="preserve"> </w:t>
            </w:r>
            <w:r w:rsidRPr="00EC20A0">
              <w:rPr>
                <w:sz w:val="18"/>
              </w:rPr>
              <w:t>support</w:t>
            </w:r>
            <w:r w:rsidRPr="00EC20A0">
              <w:rPr>
                <w:spacing w:val="-1"/>
                <w:sz w:val="18"/>
              </w:rPr>
              <w:t xml:space="preserve"> </w:t>
            </w:r>
            <w:r w:rsidRPr="00EC20A0">
              <w:rPr>
                <w:sz w:val="18"/>
              </w:rPr>
              <w:t>the</w:t>
            </w:r>
            <w:r w:rsidRPr="00EC20A0">
              <w:rPr>
                <w:spacing w:val="-2"/>
                <w:sz w:val="18"/>
              </w:rPr>
              <w:t xml:space="preserve"> </w:t>
            </w:r>
            <w:r w:rsidRPr="00EC20A0">
              <w:rPr>
                <w:sz w:val="18"/>
              </w:rPr>
              <w:t>auditor’s</w:t>
            </w:r>
            <w:r w:rsidRPr="00EC20A0">
              <w:rPr>
                <w:spacing w:val="-1"/>
                <w:sz w:val="18"/>
              </w:rPr>
              <w:t xml:space="preserve"> </w:t>
            </w:r>
            <w:r w:rsidRPr="00EC20A0">
              <w:rPr>
                <w:sz w:val="18"/>
              </w:rPr>
              <w:t xml:space="preserve">opinion on internal control over </w:t>
            </w:r>
            <w:r w:rsidRPr="00EC20A0">
              <w:rPr>
                <w:sz w:val="18"/>
              </w:rPr>
              <w:t>financial reporting?</w:t>
            </w:r>
          </w:p>
          <w:p w14:paraId="24D60269" w14:textId="77777777" w:rsidR="00245300" w:rsidRPr="00EC20A0" w:rsidRDefault="00F17249">
            <w:pPr>
              <w:pStyle w:val="TableParagraph"/>
              <w:numPr>
                <w:ilvl w:val="0"/>
                <w:numId w:val="192"/>
              </w:numPr>
              <w:tabs>
                <w:tab w:val="left" w:pos="583"/>
              </w:tabs>
              <w:spacing w:before="120"/>
              <w:ind w:right="273"/>
              <w:rPr>
                <w:sz w:val="18"/>
              </w:rPr>
            </w:pPr>
            <w:r w:rsidRPr="00EC20A0">
              <w:rPr>
                <w:sz w:val="18"/>
              </w:rPr>
              <w:t>The</w:t>
            </w:r>
            <w:r w:rsidRPr="00EC20A0">
              <w:rPr>
                <w:spacing w:val="-3"/>
                <w:sz w:val="18"/>
              </w:rPr>
              <w:t xml:space="preserve"> </w:t>
            </w:r>
            <w:r w:rsidRPr="00EC20A0">
              <w:rPr>
                <w:sz w:val="18"/>
              </w:rPr>
              <w:t>elapsed</w:t>
            </w:r>
            <w:r w:rsidRPr="00EC20A0">
              <w:rPr>
                <w:spacing w:val="-4"/>
                <w:sz w:val="18"/>
              </w:rPr>
              <w:t xml:space="preserve"> </w:t>
            </w:r>
            <w:r w:rsidRPr="00EC20A0">
              <w:rPr>
                <w:sz w:val="18"/>
              </w:rPr>
              <w:t>time</w:t>
            </w:r>
            <w:r w:rsidRPr="00EC20A0">
              <w:rPr>
                <w:spacing w:val="-4"/>
                <w:sz w:val="18"/>
              </w:rPr>
              <w:t xml:space="preserve"> </w:t>
            </w:r>
            <w:r w:rsidRPr="00EC20A0">
              <w:rPr>
                <w:sz w:val="18"/>
              </w:rPr>
              <w:t>between</w:t>
            </w:r>
            <w:r w:rsidRPr="00EC20A0">
              <w:rPr>
                <w:spacing w:val="-4"/>
                <w:sz w:val="18"/>
              </w:rPr>
              <w:t xml:space="preserve"> </w:t>
            </w:r>
            <w:r w:rsidRPr="00EC20A0">
              <w:rPr>
                <w:sz w:val="18"/>
              </w:rPr>
              <w:t>the</w:t>
            </w:r>
            <w:r w:rsidRPr="00EC20A0">
              <w:rPr>
                <w:spacing w:val="-4"/>
                <w:sz w:val="18"/>
              </w:rPr>
              <w:t xml:space="preserve"> </w:t>
            </w:r>
            <w:r w:rsidRPr="00EC20A0">
              <w:rPr>
                <w:sz w:val="18"/>
              </w:rPr>
              <w:t>time</w:t>
            </w:r>
            <w:r w:rsidRPr="00EC20A0">
              <w:rPr>
                <w:spacing w:val="-4"/>
                <w:sz w:val="18"/>
              </w:rPr>
              <w:t xml:space="preserve"> </w:t>
            </w:r>
            <w:r w:rsidRPr="00EC20A0">
              <w:rPr>
                <w:sz w:val="18"/>
              </w:rPr>
              <w:t>period</w:t>
            </w:r>
            <w:r w:rsidRPr="00EC20A0">
              <w:rPr>
                <w:spacing w:val="-4"/>
                <w:sz w:val="18"/>
              </w:rPr>
              <w:t xml:space="preserve"> </w:t>
            </w:r>
            <w:r w:rsidRPr="00EC20A0">
              <w:rPr>
                <w:sz w:val="18"/>
              </w:rPr>
              <w:t>covered</w:t>
            </w:r>
            <w:r w:rsidRPr="00EC20A0">
              <w:rPr>
                <w:spacing w:val="-4"/>
                <w:sz w:val="18"/>
              </w:rPr>
              <w:t xml:space="preserve"> </w:t>
            </w:r>
            <w:r w:rsidRPr="00EC20A0">
              <w:rPr>
                <w:sz w:val="18"/>
              </w:rPr>
              <w:t>by</w:t>
            </w:r>
            <w:r w:rsidRPr="00EC20A0">
              <w:rPr>
                <w:spacing w:val="-3"/>
                <w:sz w:val="18"/>
              </w:rPr>
              <w:t xml:space="preserve"> </w:t>
            </w:r>
            <w:r w:rsidRPr="00EC20A0">
              <w:rPr>
                <w:sz w:val="18"/>
              </w:rPr>
              <w:t>the</w:t>
            </w:r>
            <w:r w:rsidRPr="00EC20A0">
              <w:rPr>
                <w:spacing w:val="-3"/>
                <w:sz w:val="18"/>
              </w:rPr>
              <w:t xml:space="preserve"> </w:t>
            </w:r>
            <w:r w:rsidRPr="00EC20A0">
              <w:rPr>
                <w:sz w:val="18"/>
              </w:rPr>
              <w:t>tests</w:t>
            </w:r>
            <w:r w:rsidRPr="00EC20A0">
              <w:rPr>
                <w:spacing w:val="-3"/>
                <w:sz w:val="18"/>
              </w:rPr>
              <w:t xml:space="preserve"> </w:t>
            </w:r>
            <w:r w:rsidRPr="00EC20A0">
              <w:rPr>
                <w:sz w:val="18"/>
              </w:rPr>
              <w:t>of controls in the type 2 report and the balance sheet date.</w:t>
            </w:r>
          </w:p>
          <w:p w14:paraId="24D6026A" w14:textId="77777777" w:rsidR="00245300" w:rsidRPr="00EC20A0" w:rsidRDefault="00F17249">
            <w:pPr>
              <w:pStyle w:val="TableParagraph"/>
              <w:numPr>
                <w:ilvl w:val="0"/>
                <w:numId w:val="192"/>
              </w:numPr>
              <w:tabs>
                <w:tab w:val="left" w:pos="582"/>
              </w:tabs>
              <w:spacing w:before="119"/>
              <w:ind w:left="582" w:hanging="179"/>
              <w:rPr>
                <w:sz w:val="18"/>
              </w:rPr>
            </w:pPr>
            <w:r w:rsidRPr="00EC20A0">
              <w:rPr>
                <w:sz w:val="18"/>
              </w:rPr>
              <w:t>The</w:t>
            </w:r>
            <w:r w:rsidRPr="00EC20A0">
              <w:rPr>
                <w:spacing w:val="-3"/>
                <w:sz w:val="18"/>
              </w:rPr>
              <w:t xml:space="preserve"> </w:t>
            </w:r>
            <w:r w:rsidRPr="00EC20A0">
              <w:rPr>
                <w:sz w:val="18"/>
              </w:rPr>
              <w:t>significance</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activities</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service</w:t>
            </w:r>
            <w:r w:rsidRPr="00EC20A0">
              <w:rPr>
                <w:spacing w:val="-2"/>
                <w:sz w:val="18"/>
              </w:rPr>
              <w:t xml:space="preserve"> organization.</w:t>
            </w:r>
          </w:p>
          <w:p w14:paraId="24D6026B" w14:textId="77777777" w:rsidR="00245300" w:rsidRPr="00EC20A0" w:rsidRDefault="00F17249">
            <w:pPr>
              <w:pStyle w:val="TableParagraph"/>
              <w:numPr>
                <w:ilvl w:val="0"/>
                <w:numId w:val="192"/>
              </w:numPr>
              <w:tabs>
                <w:tab w:val="left" w:pos="583"/>
              </w:tabs>
              <w:spacing w:before="119"/>
              <w:ind w:right="393"/>
              <w:rPr>
                <w:sz w:val="18"/>
              </w:rPr>
            </w:pPr>
            <w:r w:rsidRPr="00EC20A0">
              <w:rPr>
                <w:sz w:val="18"/>
              </w:rPr>
              <w:t>Whether</w:t>
            </w:r>
            <w:r w:rsidRPr="00EC20A0">
              <w:rPr>
                <w:spacing w:val="-4"/>
                <w:sz w:val="18"/>
              </w:rPr>
              <w:t xml:space="preserve"> </w:t>
            </w:r>
            <w:r w:rsidRPr="00EC20A0">
              <w:rPr>
                <w:sz w:val="18"/>
              </w:rPr>
              <w:t>there</w:t>
            </w:r>
            <w:r w:rsidRPr="00EC20A0">
              <w:rPr>
                <w:spacing w:val="-3"/>
                <w:sz w:val="18"/>
              </w:rPr>
              <w:t xml:space="preserve"> </w:t>
            </w:r>
            <w:r w:rsidRPr="00EC20A0">
              <w:rPr>
                <w:sz w:val="18"/>
              </w:rPr>
              <w:t>are</w:t>
            </w:r>
            <w:r w:rsidRPr="00EC20A0">
              <w:rPr>
                <w:spacing w:val="-4"/>
                <w:sz w:val="18"/>
              </w:rPr>
              <w:t xml:space="preserve"> </w:t>
            </w:r>
            <w:r w:rsidRPr="00EC20A0">
              <w:rPr>
                <w:sz w:val="18"/>
              </w:rPr>
              <w:t>errors</w:t>
            </w:r>
            <w:r w:rsidRPr="00EC20A0">
              <w:rPr>
                <w:spacing w:val="-4"/>
                <w:sz w:val="18"/>
              </w:rPr>
              <w:t xml:space="preserve"> </w:t>
            </w:r>
            <w:r w:rsidRPr="00EC20A0">
              <w:rPr>
                <w:sz w:val="18"/>
              </w:rPr>
              <w:t>that</w:t>
            </w:r>
            <w:r w:rsidRPr="00EC20A0">
              <w:rPr>
                <w:spacing w:val="-2"/>
                <w:sz w:val="18"/>
              </w:rPr>
              <w:t xml:space="preserve"> </w:t>
            </w:r>
            <w:r w:rsidRPr="00EC20A0">
              <w:rPr>
                <w:sz w:val="18"/>
              </w:rPr>
              <w:t>have</w:t>
            </w:r>
            <w:r w:rsidRPr="00EC20A0">
              <w:rPr>
                <w:spacing w:val="-4"/>
                <w:sz w:val="18"/>
              </w:rPr>
              <w:t xml:space="preserve"> </w:t>
            </w:r>
            <w:r w:rsidRPr="00EC20A0">
              <w:rPr>
                <w:sz w:val="18"/>
              </w:rPr>
              <w:t>been</w:t>
            </w:r>
            <w:r w:rsidRPr="00EC20A0">
              <w:rPr>
                <w:spacing w:val="-5"/>
                <w:sz w:val="18"/>
              </w:rPr>
              <w:t xml:space="preserve"> </w:t>
            </w:r>
            <w:r w:rsidRPr="00EC20A0">
              <w:rPr>
                <w:sz w:val="18"/>
              </w:rPr>
              <w:t>identified</w:t>
            </w:r>
            <w:r w:rsidRPr="00EC20A0">
              <w:rPr>
                <w:spacing w:val="-4"/>
                <w:sz w:val="18"/>
              </w:rPr>
              <w:t xml:space="preserve"> </w:t>
            </w:r>
            <w:r w:rsidRPr="00EC20A0">
              <w:rPr>
                <w:sz w:val="18"/>
              </w:rPr>
              <w:t>in</w:t>
            </w:r>
            <w:r w:rsidRPr="00EC20A0">
              <w:rPr>
                <w:spacing w:val="-5"/>
                <w:sz w:val="18"/>
              </w:rPr>
              <w:t xml:space="preserve"> </w:t>
            </w:r>
            <w:r w:rsidRPr="00EC20A0">
              <w:rPr>
                <w:sz w:val="18"/>
              </w:rPr>
              <w:t>the</w:t>
            </w:r>
            <w:r w:rsidRPr="00EC20A0">
              <w:rPr>
                <w:spacing w:val="-5"/>
                <w:sz w:val="18"/>
              </w:rPr>
              <w:t xml:space="preserve"> </w:t>
            </w:r>
            <w:r w:rsidRPr="00EC20A0">
              <w:rPr>
                <w:sz w:val="18"/>
              </w:rPr>
              <w:t>service organization’s process.</w:t>
            </w:r>
          </w:p>
          <w:p w14:paraId="24D6026C" w14:textId="77777777" w:rsidR="00245300" w:rsidRPr="00EC20A0" w:rsidRDefault="00F17249">
            <w:pPr>
              <w:pStyle w:val="TableParagraph"/>
              <w:numPr>
                <w:ilvl w:val="0"/>
                <w:numId w:val="192"/>
              </w:numPr>
              <w:tabs>
                <w:tab w:val="left" w:pos="582"/>
              </w:tabs>
              <w:spacing w:before="119"/>
              <w:ind w:left="582" w:right="425"/>
              <w:rPr>
                <w:sz w:val="18"/>
              </w:rPr>
            </w:pPr>
            <w:r w:rsidRPr="00EC20A0">
              <w:rPr>
                <w:sz w:val="18"/>
              </w:rPr>
              <w:t>The nature and significance of any changes in the service organization’s</w:t>
            </w:r>
            <w:r w:rsidRPr="00EC20A0">
              <w:rPr>
                <w:spacing w:val="-6"/>
                <w:sz w:val="18"/>
              </w:rPr>
              <w:t xml:space="preserve"> </w:t>
            </w:r>
            <w:r w:rsidRPr="00EC20A0">
              <w:rPr>
                <w:sz w:val="18"/>
              </w:rPr>
              <w:t>controls</w:t>
            </w:r>
            <w:r w:rsidRPr="00EC20A0">
              <w:rPr>
                <w:spacing w:val="-6"/>
                <w:sz w:val="18"/>
              </w:rPr>
              <w:t xml:space="preserve"> </w:t>
            </w:r>
            <w:r w:rsidRPr="00EC20A0">
              <w:rPr>
                <w:sz w:val="18"/>
              </w:rPr>
              <w:t>identified</w:t>
            </w:r>
            <w:r w:rsidRPr="00EC20A0">
              <w:rPr>
                <w:spacing w:val="-7"/>
                <w:sz w:val="18"/>
              </w:rPr>
              <w:t xml:space="preserve"> </w:t>
            </w:r>
            <w:r w:rsidRPr="00EC20A0">
              <w:rPr>
                <w:sz w:val="18"/>
              </w:rPr>
              <w:t>by</w:t>
            </w:r>
            <w:r w:rsidRPr="00EC20A0">
              <w:rPr>
                <w:spacing w:val="-6"/>
                <w:sz w:val="18"/>
              </w:rPr>
              <w:t xml:space="preserve"> </w:t>
            </w:r>
            <w:r w:rsidRPr="00EC20A0">
              <w:rPr>
                <w:sz w:val="18"/>
              </w:rPr>
              <w:t>management</w:t>
            </w:r>
            <w:r w:rsidRPr="00EC20A0">
              <w:rPr>
                <w:spacing w:val="-6"/>
                <w:sz w:val="18"/>
              </w:rPr>
              <w:t xml:space="preserve"> </w:t>
            </w:r>
            <w:r w:rsidRPr="00EC20A0">
              <w:rPr>
                <w:sz w:val="18"/>
              </w:rPr>
              <w:t>or</w:t>
            </w:r>
            <w:r w:rsidRPr="00EC20A0">
              <w:rPr>
                <w:spacing w:val="-6"/>
                <w:sz w:val="18"/>
              </w:rPr>
              <w:t xml:space="preserve"> </w:t>
            </w:r>
            <w:r w:rsidRPr="00EC20A0">
              <w:rPr>
                <w:sz w:val="18"/>
              </w:rPr>
              <w:t>the</w:t>
            </w:r>
            <w:r w:rsidRPr="00EC20A0">
              <w:rPr>
                <w:spacing w:val="-7"/>
                <w:sz w:val="18"/>
              </w:rPr>
              <w:t xml:space="preserve"> </w:t>
            </w:r>
            <w:r w:rsidRPr="00EC20A0">
              <w:rPr>
                <w:sz w:val="18"/>
              </w:rPr>
              <w:t>auditor.</w:t>
            </w:r>
          </w:p>
          <w:p w14:paraId="24D6026D" w14:textId="77777777" w:rsidR="00245300" w:rsidRPr="00EC20A0" w:rsidRDefault="00F17249">
            <w:pPr>
              <w:pStyle w:val="TableParagraph"/>
              <w:spacing w:before="117"/>
              <w:ind w:left="389"/>
              <w:rPr>
                <w:sz w:val="18"/>
              </w:rPr>
            </w:pPr>
            <w:r w:rsidRPr="00EC20A0">
              <w:rPr>
                <w:sz w:val="18"/>
              </w:rPr>
              <w:t>If</w:t>
            </w:r>
            <w:r w:rsidRPr="00EC20A0">
              <w:rPr>
                <w:spacing w:val="-4"/>
                <w:sz w:val="18"/>
              </w:rPr>
              <w:t xml:space="preserve"> </w:t>
            </w:r>
            <w:r w:rsidRPr="00EC20A0">
              <w:rPr>
                <w:sz w:val="18"/>
              </w:rPr>
              <w:t>the</w:t>
            </w:r>
            <w:r w:rsidRPr="00EC20A0">
              <w:rPr>
                <w:spacing w:val="-5"/>
                <w:sz w:val="18"/>
              </w:rPr>
              <w:t xml:space="preserve"> </w:t>
            </w:r>
            <w:r w:rsidRPr="00EC20A0">
              <w:rPr>
                <w:sz w:val="18"/>
              </w:rPr>
              <w:t>auditor</w:t>
            </w:r>
            <w:r w:rsidRPr="00EC20A0">
              <w:rPr>
                <w:spacing w:val="-4"/>
                <w:sz w:val="18"/>
              </w:rPr>
              <w:t xml:space="preserve"> </w:t>
            </w:r>
            <w:r w:rsidRPr="00EC20A0">
              <w:rPr>
                <w:sz w:val="18"/>
              </w:rPr>
              <w:t>determined</w:t>
            </w:r>
            <w:r w:rsidRPr="00EC20A0">
              <w:rPr>
                <w:spacing w:val="-5"/>
                <w:sz w:val="18"/>
              </w:rPr>
              <w:t xml:space="preserve"> </w:t>
            </w:r>
            <w:r w:rsidRPr="00EC20A0">
              <w:rPr>
                <w:sz w:val="18"/>
              </w:rPr>
              <w:t>that</w:t>
            </w:r>
            <w:r w:rsidRPr="00EC20A0">
              <w:rPr>
                <w:spacing w:val="-3"/>
                <w:sz w:val="18"/>
              </w:rPr>
              <w:t xml:space="preserve"> </w:t>
            </w:r>
            <w:r w:rsidRPr="00EC20A0">
              <w:rPr>
                <w:sz w:val="18"/>
              </w:rPr>
              <w:t>additional</w:t>
            </w:r>
            <w:r w:rsidRPr="00EC20A0">
              <w:rPr>
                <w:spacing w:val="-4"/>
                <w:sz w:val="18"/>
              </w:rPr>
              <w:t xml:space="preserve"> </w:t>
            </w:r>
            <w:r w:rsidRPr="00EC20A0">
              <w:rPr>
                <w:sz w:val="18"/>
              </w:rPr>
              <w:t>audit</w:t>
            </w:r>
            <w:r w:rsidRPr="00EC20A0">
              <w:rPr>
                <w:spacing w:val="-3"/>
                <w:sz w:val="18"/>
              </w:rPr>
              <w:t xml:space="preserve"> </w:t>
            </w:r>
            <w:r w:rsidRPr="00EC20A0">
              <w:rPr>
                <w:sz w:val="18"/>
              </w:rPr>
              <w:t>evidence</w:t>
            </w:r>
            <w:r w:rsidRPr="00EC20A0">
              <w:rPr>
                <w:spacing w:val="-4"/>
                <w:sz w:val="18"/>
              </w:rPr>
              <w:t xml:space="preserve"> </w:t>
            </w:r>
            <w:r w:rsidRPr="00EC20A0">
              <w:rPr>
                <w:sz w:val="18"/>
              </w:rPr>
              <w:t>is</w:t>
            </w:r>
            <w:r w:rsidRPr="00EC20A0">
              <w:rPr>
                <w:spacing w:val="-4"/>
                <w:sz w:val="18"/>
              </w:rPr>
              <w:t xml:space="preserve"> </w:t>
            </w:r>
            <w:r w:rsidRPr="00EC20A0">
              <w:rPr>
                <w:sz w:val="18"/>
              </w:rPr>
              <w:t>needed,</w:t>
            </w:r>
            <w:r w:rsidRPr="00EC20A0">
              <w:rPr>
                <w:spacing w:val="-4"/>
                <w:sz w:val="18"/>
              </w:rPr>
              <w:t xml:space="preserve"> </w:t>
            </w:r>
            <w:r w:rsidRPr="00EC20A0">
              <w:rPr>
                <w:sz w:val="18"/>
              </w:rPr>
              <w:t xml:space="preserve">see FAM 640.15 for </w:t>
            </w:r>
            <w:r w:rsidRPr="00EC20A0">
              <w:rPr>
                <w:sz w:val="18"/>
              </w:rPr>
              <w:t>guidance.</w:t>
            </w:r>
          </w:p>
        </w:tc>
        <w:tc>
          <w:tcPr>
            <w:tcW w:w="720" w:type="dxa"/>
            <w:tcBorders>
              <w:top w:val="single" w:sz="4" w:space="0" w:color="000000"/>
              <w:left w:val="single" w:sz="4" w:space="0" w:color="000000"/>
              <w:bottom w:val="single" w:sz="4" w:space="0" w:color="000000"/>
              <w:right w:val="single" w:sz="4" w:space="0" w:color="000000"/>
            </w:tcBorders>
          </w:tcPr>
          <w:p w14:paraId="24D6026E" w14:textId="77777777" w:rsidR="00245300" w:rsidRPr="00EC20A0" w:rsidRDefault="00245300">
            <w:pPr>
              <w:pStyle w:val="TableParagraph"/>
              <w:rPr>
                <w:sz w:val="18"/>
              </w:rPr>
            </w:pPr>
          </w:p>
        </w:tc>
        <w:tc>
          <w:tcPr>
            <w:tcW w:w="1080" w:type="dxa"/>
            <w:tcBorders>
              <w:top w:val="single" w:sz="4" w:space="0" w:color="000000"/>
              <w:left w:val="single" w:sz="4" w:space="0" w:color="000000"/>
              <w:bottom w:val="single" w:sz="4" w:space="0" w:color="000000"/>
              <w:right w:val="single" w:sz="4" w:space="0" w:color="000000"/>
            </w:tcBorders>
          </w:tcPr>
          <w:p w14:paraId="24D6026F" w14:textId="77777777" w:rsidR="00245300" w:rsidRPr="00EC20A0" w:rsidRDefault="00245300">
            <w:pPr>
              <w:pStyle w:val="TableParagraph"/>
              <w:rPr>
                <w:sz w:val="18"/>
              </w:rPr>
            </w:pPr>
          </w:p>
        </w:tc>
        <w:tc>
          <w:tcPr>
            <w:tcW w:w="1379" w:type="dxa"/>
            <w:tcBorders>
              <w:top w:val="single" w:sz="4" w:space="0" w:color="000000"/>
              <w:left w:val="single" w:sz="4" w:space="0" w:color="000000"/>
              <w:bottom w:val="single" w:sz="4" w:space="0" w:color="000000"/>
            </w:tcBorders>
          </w:tcPr>
          <w:p w14:paraId="24D60270" w14:textId="77777777" w:rsidR="00245300" w:rsidRPr="00EC20A0" w:rsidRDefault="00245300">
            <w:pPr>
              <w:pStyle w:val="TableParagraph"/>
              <w:rPr>
                <w:sz w:val="18"/>
              </w:rPr>
            </w:pPr>
          </w:p>
        </w:tc>
      </w:tr>
      <w:tr w:rsidR="00245300" w:rsidRPr="00EC20A0" w14:paraId="24D60273" w14:textId="77777777">
        <w:trPr>
          <w:trHeight w:val="447"/>
        </w:trPr>
        <w:tc>
          <w:tcPr>
            <w:tcW w:w="9270" w:type="dxa"/>
            <w:gridSpan w:val="4"/>
            <w:tcBorders>
              <w:top w:val="single" w:sz="4" w:space="0" w:color="000000"/>
              <w:bottom w:val="single" w:sz="4" w:space="0" w:color="000000"/>
            </w:tcBorders>
            <w:shd w:val="clear" w:color="auto" w:fill="D9D9D9"/>
          </w:tcPr>
          <w:p w14:paraId="24D60272" w14:textId="77777777" w:rsidR="00245300" w:rsidRPr="00EC20A0" w:rsidRDefault="00F17249">
            <w:pPr>
              <w:pStyle w:val="TableParagraph"/>
              <w:spacing w:before="121"/>
              <w:ind w:left="105"/>
              <w:rPr>
                <w:b/>
                <w:sz w:val="18"/>
              </w:rPr>
            </w:pPr>
            <w:r w:rsidRPr="00EC20A0">
              <w:rPr>
                <w:b/>
                <w:sz w:val="18"/>
              </w:rPr>
              <w:t>Explanations</w:t>
            </w:r>
            <w:r w:rsidRPr="00EC20A0">
              <w:rPr>
                <w:b/>
                <w:spacing w:val="-3"/>
                <w:sz w:val="18"/>
              </w:rPr>
              <w:t xml:space="preserve"> </w:t>
            </w:r>
            <w:r w:rsidRPr="00EC20A0">
              <w:rPr>
                <w:b/>
                <w:sz w:val="18"/>
              </w:rPr>
              <w:t>for</w:t>
            </w:r>
            <w:r w:rsidRPr="00EC20A0">
              <w:rPr>
                <w:b/>
                <w:spacing w:val="-1"/>
                <w:sz w:val="18"/>
              </w:rPr>
              <w:t xml:space="preserve"> </w:t>
            </w:r>
            <w:r w:rsidRPr="00EC20A0">
              <w:rPr>
                <w:b/>
                <w:sz w:val="18"/>
              </w:rPr>
              <w:t>“no”</w:t>
            </w:r>
            <w:r w:rsidRPr="00EC20A0">
              <w:rPr>
                <w:b/>
                <w:spacing w:val="-1"/>
                <w:sz w:val="18"/>
              </w:rPr>
              <w:t xml:space="preserve"> </w:t>
            </w:r>
            <w:r w:rsidRPr="00EC20A0">
              <w:rPr>
                <w:b/>
                <w:spacing w:val="-2"/>
                <w:sz w:val="18"/>
              </w:rPr>
              <w:t>responses</w:t>
            </w:r>
          </w:p>
        </w:tc>
      </w:tr>
      <w:tr w:rsidR="00245300" w:rsidRPr="00EC20A0" w14:paraId="24D60275" w14:textId="77777777">
        <w:trPr>
          <w:trHeight w:val="894"/>
        </w:trPr>
        <w:tc>
          <w:tcPr>
            <w:tcW w:w="9270" w:type="dxa"/>
            <w:gridSpan w:val="4"/>
            <w:tcBorders>
              <w:top w:val="single" w:sz="4" w:space="0" w:color="000000"/>
              <w:bottom w:val="single" w:sz="4" w:space="0" w:color="000000"/>
            </w:tcBorders>
          </w:tcPr>
          <w:p w14:paraId="24D60274" w14:textId="77777777" w:rsidR="00245300" w:rsidRPr="00EC20A0" w:rsidRDefault="00245300">
            <w:pPr>
              <w:pStyle w:val="TableParagraph"/>
              <w:rPr>
                <w:sz w:val="18"/>
              </w:rPr>
            </w:pPr>
          </w:p>
        </w:tc>
      </w:tr>
      <w:tr w:rsidR="00245300" w:rsidRPr="00EC20A0" w14:paraId="24D60277" w14:textId="77777777">
        <w:trPr>
          <w:trHeight w:val="445"/>
        </w:trPr>
        <w:tc>
          <w:tcPr>
            <w:tcW w:w="9270" w:type="dxa"/>
            <w:gridSpan w:val="4"/>
            <w:tcBorders>
              <w:top w:val="single" w:sz="4" w:space="0" w:color="000000"/>
              <w:bottom w:val="single" w:sz="4" w:space="0" w:color="000000"/>
            </w:tcBorders>
            <w:shd w:val="clear" w:color="auto" w:fill="D9D9D9"/>
          </w:tcPr>
          <w:p w14:paraId="24D60276" w14:textId="77777777" w:rsidR="00245300" w:rsidRPr="00EC20A0" w:rsidRDefault="00F17249">
            <w:pPr>
              <w:pStyle w:val="TableParagraph"/>
              <w:spacing w:before="120"/>
              <w:ind w:left="105"/>
              <w:rPr>
                <w:b/>
                <w:sz w:val="18"/>
              </w:rPr>
            </w:pPr>
            <w:r w:rsidRPr="00EC20A0">
              <w:rPr>
                <w:b/>
                <w:sz w:val="18"/>
              </w:rPr>
              <w:t>Additional</w:t>
            </w:r>
            <w:r w:rsidRPr="00EC20A0">
              <w:rPr>
                <w:b/>
                <w:spacing w:val="-4"/>
                <w:sz w:val="18"/>
              </w:rPr>
              <w:t xml:space="preserve"> </w:t>
            </w:r>
            <w:r w:rsidRPr="00EC20A0">
              <w:rPr>
                <w:b/>
                <w:sz w:val="18"/>
              </w:rPr>
              <w:t>observations,</w:t>
            </w:r>
            <w:r w:rsidRPr="00EC20A0">
              <w:rPr>
                <w:b/>
                <w:spacing w:val="-4"/>
                <w:sz w:val="18"/>
              </w:rPr>
              <w:t xml:space="preserve"> </w:t>
            </w:r>
            <w:r w:rsidRPr="00EC20A0">
              <w:rPr>
                <w:b/>
                <w:sz w:val="18"/>
              </w:rPr>
              <w:t>if</w:t>
            </w:r>
            <w:r w:rsidRPr="00EC20A0">
              <w:rPr>
                <w:b/>
                <w:spacing w:val="-3"/>
                <w:sz w:val="18"/>
              </w:rPr>
              <w:t xml:space="preserve"> </w:t>
            </w:r>
            <w:r w:rsidRPr="00EC20A0">
              <w:rPr>
                <w:b/>
                <w:spacing w:val="-5"/>
                <w:sz w:val="18"/>
              </w:rPr>
              <w:t>any</w:t>
            </w:r>
          </w:p>
        </w:tc>
      </w:tr>
      <w:tr w:rsidR="00245300" w:rsidRPr="00EC20A0" w14:paraId="24D60279" w14:textId="77777777">
        <w:trPr>
          <w:trHeight w:val="895"/>
        </w:trPr>
        <w:tc>
          <w:tcPr>
            <w:tcW w:w="9270" w:type="dxa"/>
            <w:gridSpan w:val="4"/>
            <w:tcBorders>
              <w:top w:val="single" w:sz="4" w:space="0" w:color="000000"/>
            </w:tcBorders>
          </w:tcPr>
          <w:p w14:paraId="24D60278" w14:textId="77777777" w:rsidR="00245300" w:rsidRPr="00EC20A0" w:rsidRDefault="00245300">
            <w:pPr>
              <w:pStyle w:val="TableParagraph"/>
              <w:rPr>
                <w:sz w:val="18"/>
              </w:rPr>
            </w:pPr>
          </w:p>
        </w:tc>
      </w:tr>
    </w:tbl>
    <w:p w14:paraId="24D6027A"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6027B" w14:textId="77777777" w:rsidR="00245300" w:rsidRPr="00EC20A0" w:rsidRDefault="00F17249">
      <w:pPr>
        <w:pStyle w:val="Heading3"/>
        <w:spacing w:before="241"/>
        <w:ind w:left="420"/>
        <w:rPr>
          <w:u w:val="none"/>
        </w:rPr>
      </w:pPr>
      <w:bookmarkStart w:id="89" w:name="645_–_Using_the_Work_of_an_Internal_Audi"/>
      <w:bookmarkStart w:id="90" w:name="_bookmark26"/>
      <w:bookmarkEnd w:id="89"/>
      <w:bookmarkEnd w:id="90"/>
      <w:r w:rsidRPr="00EC20A0">
        <w:t>645</w:t>
      </w:r>
      <w:r w:rsidRPr="00EC20A0">
        <w:rPr>
          <w:spacing w:val="-7"/>
        </w:rPr>
        <w:t xml:space="preserve"> </w:t>
      </w:r>
      <w:r w:rsidRPr="00EC20A0">
        <w:t>–</w:t>
      </w:r>
      <w:r w:rsidRPr="00EC20A0">
        <w:rPr>
          <w:spacing w:val="-3"/>
        </w:rPr>
        <w:t xml:space="preserve"> </w:t>
      </w:r>
      <w:r w:rsidRPr="00EC20A0">
        <w:t>Using</w:t>
      </w:r>
      <w:r w:rsidRPr="00EC20A0">
        <w:rPr>
          <w:spacing w:val="-4"/>
        </w:rPr>
        <w:t xml:space="preserve"> </w:t>
      </w:r>
      <w:r w:rsidRPr="00EC20A0">
        <w:t>the</w:t>
      </w:r>
      <w:r w:rsidRPr="00EC20A0">
        <w:rPr>
          <w:spacing w:val="-4"/>
        </w:rPr>
        <w:t xml:space="preserve"> </w:t>
      </w:r>
      <w:r w:rsidRPr="00EC20A0">
        <w:t>Work</w:t>
      </w:r>
      <w:r w:rsidRPr="00EC20A0">
        <w:rPr>
          <w:spacing w:val="-3"/>
        </w:rPr>
        <w:t xml:space="preserve"> </w:t>
      </w:r>
      <w:r w:rsidRPr="00EC20A0">
        <w:t>of</w:t>
      </w:r>
      <w:r w:rsidRPr="00EC20A0">
        <w:rPr>
          <w:spacing w:val="-4"/>
        </w:rPr>
        <w:t xml:space="preserve"> </w:t>
      </w:r>
      <w:r w:rsidRPr="00EC20A0">
        <w:t>an</w:t>
      </w:r>
      <w:r w:rsidRPr="00EC20A0">
        <w:rPr>
          <w:spacing w:val="-4"/>
        </w:rPr>
        <w:t xml:space="preserve"> </w:t>
      </w:r>
      <w:r w:rsidRPr="00EC20A0">
        <w:t>Internal</w:t>
      </w:r>
      <w:r w:rsidRPr="00EC20A0">
        <w:rPr>
          <w:spacing w:val="-15"/>
        </w:rPr>
        <w:t xml:space="preserve"> </w:t>
      </w:r>
      <w:r w:rsidRPr="00EC20A0">
        <w:rPr>
          <w:spacing w:val="-2"/>
        </w:rPr>
        <w:t>Auditor</w:t>
      </w:r>
    </w:p>
    <w:p w14:paraId="24D6027C" w14:textId="77777777" w:rsidR="00245300" w:rsidRPr="00EC20A0" w:rsidRDefault="00F17249">
      <w:pPr>
        <w:pStyle w:val="Heading4"/>
      </w:pPr>
      <w:r w:rsidRPr="00EC20A0">
        <w:rPr>
          <w:spacing w:val="-2"/>
        </w:rPr>
        <w:t>Overview</w:t>
      </w:r>
    </w:p>
    <w:p w14:paraId="24D6027D" w14:textId="77777777" w:rsidR="00245300" w:rsidRPr="00EC20A0" w:rsidRDefault="00F17249">
      <w:pPr>
        <w:pStyle w:val="ListParagraph"/>
        <w:numPr>
          <w:ilvl w:val="0"/>
          <w:numId w:val="15"/>
        </w:numPr>
        <w:tabs>
          <w:tab w:val="left" w:pos="1858"/>
        </w:tabs>
        <w:ind w:right="638" w:hanging="719"/>
      </w:pPr>
      <w:r w:rsidRPr="00EC20A0">
        <w:t xml:space="preserve">Certain entities employ auditors to work for entity management. These auditors may be subject to </w:t>
      </w:r>
      <w:r w:rsidRPr="00EC20A0">
        <w:t>administrative direction from persons involved in the entity management process. Such audit organizations are internal auditors. FAM 645 addresses</w:t>
      </w:r>
      <w:r w:rsidRPr="00EC20A0">
        <w:rPr>
          <w:spacing w:val="-4"/>
        </w:rPr>
        <w:t xml:space="preserve"> </w:t>
      </w:r>
      <w:r w:rsidRPr="00EC20A0">
        <w:t>the</w:t>
      </w:r>
      <w:r w:rsidRPr="00EC20A0">
        <w:rPr>
          <w:spacing w:val="-4"/>
        </w:rPr>
        <w:t xml:space="preserve"> </w:t>
      </w:r>
      <w:r w:rsidRPr="00EC20A0">
        <w:t>auditor’s</w:t>
      </w:r>
      <w:r w:rsidRPr="00EC20A0">
        <w:rPr>
          <w:spacing w:val="-5"/>
        </w:rPr>
        <w:t xml:space="preserve"> </w:t>
      </w:r>
      <w:r w:rsidRPr="00EC20A0">
        <w:t>responsibilities</w:t>
      </w:r>
      <w:r w:rsidRPr="00EC20A0">
        <w:rPr>
          <w:spacing w:val="-4"/>
        </w:rPr>
        <w:t xml:space="preserve"> </w:t>
      </w:r>
      <w:r w:rsidRPr="00EC20A0">
        <w:t>when</w:t>
      </w:r>
      <w:r w:rsidRPr="00EC20A0">
        <w:rPr>
          <w:spacing w:val="-4"/>
        </w:rPr>
        <w:t xml:space="preserve"> </w:t>
      </w:r>
      <w:r w:rsidRPr="00EC20A0">
        <w:t>using</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of</w:t>
      </w:r>
      <w:r w:rsidRPr="00EC20A0">
        <w:rPr>
          <w:spacing w:val="-4"/>
        </w:rPr>
        <w:t xml:space="preserve"> </w:t>
      </w:r>
      <w:r w:rsidRPr="00EC20A0">
        <w:t>internal</w:t>
      </w:r>
      <w:r w:rsidRPr="00EC20A0">
        <w:rPr>
          <w:spacing w:val="-4"/>
        </w:rPr>
        <w:t xml:space="preserve"> </w:t>
      </w:r>
      <w:r w:rsidRPr="00EC20A0">
        <w:t>auditors. Using the work of internal auditors includes (a) using the work of the internal audit function in obtaining audit evidence and (b) using internal auditors to provide direct assistance under the direction, supervision, and review of the auditor (AU-C 610.01).</w:t>
      </w:r>
    </w:p>
    <w:p w14:paraId="24D6027E" w14:textId="77777777" w:rsidR="00245300" w:rsidRPr="00EC20A0" w:rsidRDefault="00F17249">
      <w:pPr>
        <w:pStyle w:val="BodyText"/>
        <w:spacing w:before="239"/>
        <w:ind w:left="1859" w:right="727" w:hanging="1"/>
      </w:pPr>
      <w:r w:rsidRPr="00EC20A0">
        <w:t>For</w:t>
      </w:r>
      <w:r w:rsidRPr="00EC20A0">
        <w:rPr>
          <w:spacing w:val="-3"/>
        </w:rPr>
        <w:t xml:space="preserve"> </w:t>
      </w:r>
      <w:r w:rsidRPr="00EC20A0">
        <w:t>purposes</w:t>
      </w:r>
      <w:r w:rsidRPr="00EC20A0">
        <w:rPr>
          <w:spacing w:val="-3"/>
        </w:rPr>
        <w:t xml:space="preserve"> </w:t>
      </w:r>
      <w:r w:rsidRPr="00EC20A0">
        <w:t>of</w:t>
      </w:r>
      <w:r w:rsidRPr="00EC20A0">
        <w:rPr>
          <w:spacing w:val="-3"/>
        </w:rPr>
        <w:t xml:space="preserve"> </w:t>
      </w:r>
      <w:r w:rsidRPr="00EC20A0">
        <w:t>U.S.</w:t>
      </w:r>
      <w:r w:rsidRPr="00EC20A0">
        <w:rPr>
          <w:spacing w:val="-3"/>
        </w:rPr>
        <w:t xml:space="preserve"> </w:t>
      </w:r>
      <w:r w:rsidRPr="00EC20A0">
        <w:t>GAAS,</w:t>
      </w:r>
      <w:r w:rsidRPr="00EC20A0">
        <w:rPr>
          <w:spacing w:val="-3"/>
        </w:rPr>
        <w:t xml:space="preserve"> </w:t>
      </w:r>
      <w:r w:rsidRPr="00EC20A0">
        <w:t>the</w:t>
      </w:r>
      <w:r w:rsidRPr="00EC20A0">
        <w:rPr>
          <w:spacing w:val="-3"/>
        </w:rPr>
        <w:t xml:space="preserve"> </w:t>
      </w:r>
      <w:r w:rsidRPr="00EC20A0">
        <w:t>meanings</w:t>
      </w:r>
      <w:r w:rsidRPr="00EC20A0">
        <w:rPr>
          <w:spacing w:val="-2"/>
        </w:rPr>
        <w:t xml:space="preserve"> </w:t>
      </w:r>
      <w:r w:rsidRPr="00EC20A0">
        <w:t>of</w:t>
      </w:r>
      <w:r w:rsidRPr="00EC20A0">
        <w:rPr>
          <w:spacing w:val="-3"/>
        </w:rPr>
        <w:t xml:space="preserve"> </w:t>
      </w:r>
      <w:r w:rsidRPr="00EC20A0">
        <w:t>the</w:t>
      </w:r>
      <w:r w:rsidRPr="00EC20A0">
        <w:rPr>
          <w:spacing w:val="-4"/>
        </w:rPr>
        <w:t xml:space="preserve"> </w:t>
      </w:r>
      <w:r w:rsidRPr="00EC20A0">
        <w:t>following</w:t>
      </w:r>
      <w:r w:rsidRPr="00EC20A0">
        <w:rPr>
          <w:spacing w:val="-3"/>
        </w:rPr>
        <w:t xml:space="preserve"> </w:t>
      </w:r>
      <w:r w:rsidRPr="00EC20A0">
        <w:t>terms</w:t>
      </w:r>
      <w:r w:rsidRPr="00EC20A0">
        <w:rPr>
          <w:spacing w:val="-3"/>
        </w:rPr>
        <w:t xml:space="preserve"> </w:t>
      </w:r>
      <w:r w:rsidRPr="00EC20A0">
        <w:t>are</w:t>
      </w:r>
      <w:r w:rsidRPr="00EC20A0">
        <w:rPr>
          <w:spacing w:val="-3"/>
        </w:rPr>
        <w:t xml:space="preserve"> </w:t>
      </w:r>
      <w:r w:rsidRPr="00EC20A0">
        <w:t>as</w:t>
      </w:r>
      <w:r w:rsidRPr="00EC20A0">
        <w:rPr>
          <w:spacing w:val="-3"/>
        </w:rPr>
        <w:t xml:space="preserve"> </w:t>
      </w:r>
      <w:r w:rsidRPr="00EC20A0">
        <w:t>follows (AU-C 610.12):</w:t>
      </w:r>
    </w:p>
    <w:p w14:paraId="24D6027F" w14:textId="77777777" w:rsidR="00245300" w:rsidRPr="00EC20A0" w:rsidRDefault="00F17249">
      <w:pPr>
        <w:pStyle w:val="ListParagraph"/>
        <w:numPr>
          <w:ilvl w:val="1"/>
          <w:numId w:val="15"/>
        </w:numPr>
        <w:tabs>
          <w:tab w:val="left" w:pos="2218"/>
        </w:tabs>
        <w:ind w:right="601"/>
      </w:pPr>
      <w:r w:rsidRPr="00EC20A0">
        <w:rPr>
          <w:b/>
        </w:rPr>
        <w:t>Internal</w:t>
      </w:r>
      <w:r w:rsidRPr="00EC20A0">
        <w:rPr>
          <w:b/>
          <w:spacing w:val="-3"/>
        </w:rPr>
        <w:t xml:space="preserve"> </w:t>
      </w:r>
      <w:r w:rsidRPr="00EC20A0">
        <w:rPr>
          <w:b/>
        </w:rPr>
        <w:t>audit</w:t>
      </w:r>
      <w:r w:rsidRPr="00EC20A0">
        <w:rPr>
          <w:b/>
          <w:spacing w:val="-3"/>
        </w:rPr>
        <w:t xml:space="preserve"> </w:t>
      </w:r>
      <w:r w:rsidRPr="00EC20A0">
        <w:rPr>
          <w:b/>
        </w:rPr>
        <w:t>function</w:t>
      </w:r>
      <w:r w:rsidRPr="00EC20A0">
        <w:rPr>
          <w:b/>
          <w:spacing w:val="-3"/>
        </w:rPr>
        <w:t xml:space="preserve"> </w:t>
      </w:r>
      <w:r w:rsidRPr="00EC20A0">
        <w:t>-</w:t>
      </w:r>
      <w:r w:rsidRPr="00EC20A0">
        <w:rPr>
          <w:spacing w:val="-3"/>
        </w:rPr>
        <w:t xml:space="preserve"> </w:t>
      </w:r>
      <w:r w:rsidRPr="00EC20A0">
        <w:t>a</w:t>
      </w:r>
      <w:r w:rsidRPr="00EC20A0">
        <w:rPr>
          <w:spacing w:val="-3"/>
        </w:rPr>
        <w:t xml:space="preserve"> </w:t>
      </w:r>
      <w:r w:rsidRPr="00EC20A0">
        <w:t>function</w:t>
      </w:r>
      <w:r w:rsidRPr="00EC20A0">
        <w:rPr>
          <w:spacing w:val="-4"/>
        </w:rPr>
        <w:t xml:space="preserve"> </w:t>
      </w:r>
      <w:r w:rsidRPr="00EC20A0">
        <w:t>of</w:t>
      </w:r>
      <w:r w:rsidRPr="00EC20A0">
        <w:rPr>
          <w:spacing w:val="-3"/>
        </w:rPr>
        <w:t xml:space="preserve"> </w:t>
      </w:r>
      <w:r w:rsidRPr="00EC20A0">
        <w:t>an</w:t>
      </w:r>
      <w:r w:rsidRPr="00EC20A0">
        <w:rPr>
          <w:spacing w:val="-3"/>
        </w:rPr>
        <w:t xml:space="preserve"> </w:t>
      </w:r>
      <w:r w:rsidRPr="00EC20A0">
        <w:t>entity</w:t>
      </w:r>
      <w:r w:rsidRPr="00EC20A0">
        <w:rPr>
          <w:spacing w:val="-3"/>
        </w:rPr>
        <w:t xml:space="preserve"> </w:t>
      </w:r>
      <w:r w:rsidRPr="00EC20A0">
        <w:t>that</w:t>
      </w:r>
      <w:r w:rsidRPr="00EC20A0">
        <w:rPr>
          <w:spacing w:val="-3"/>
        </w:rPr>
        <w:t xml:space="preserve"> </w:t>
      </w:r>
      <w:r w:rsidRPr="00EC20A0">
        <w:t>performs</w:t>
      </w:r>
      <w:r w:rsidRPr="00EC20A0">
        <w:rPr>
          <w:spacing w:val="-3"/>
        </w:rPr>
        <w:t xml:space="preserve"> </w:t>
      </w:r>
      <w:r w:rsidRPr="00EC20A0">
        <w:t>assurance</w:t>
      </w:r>
      <w:r w:rsidRPr="00EC20A0">
        <w:rPr>
          <w:spacing w:val="-4"/>
        </w:rPr>
        <w:t xml:space="preserve"> </w:t>
      </w:r>
      <w:r w:rsidRPr="00EC20A0">
        <w:t>and consulting activities designed to evaluate and improve the effectiveness of the entity’s governance, risk management, and internal control processes.</w:t>
      </w:r>
    </w:p>
    <w:p w14:paraId="24D60280" w14:textId="77777777" w:rsidR="00245300" w:rsidRPr="00EC20A0" w:rsidRDefault="00F17249">
      <w:pPr>
        <w:pStyle w:val="ListParagraph"/>
        <w:numPr>
          <w:ilvl w:val="1"/>
          <w:numId w:val="15"/>
        </w:numPr>
        <w:tabs>
          <w:tab w:val="left" w:pos="2219"/>
        </w:tabs>
        <w:spacing w:before="239"/>
        <w:ind w:left="2219" w:right="696"/>
      </w:pPr>
      <w:r w:rsidRPr="00EC20A0">
        <w:rPr>
          <w:b/>
        </w:rPr>
        <w:t>Direct</w:t>
      </w:r>
      <w:r w:rsidRPr="00EC20A0">
        <w:rPr>
          <w:b/>
          <w:spacing w:val="-4"/>
        </w:rPr>
        <w:t xml:space="preserve"> </w:t>
      </w:r>
      <w:r w:rsidRPr="00EC20A0">
        <w:rPr>
          <w:b/>
        </w:rPr>
        <w:t>assistance</w:t>
      </w:r>
      <w:r w:rsidRPr="00EC20A0">
        <w:rPr>
          <w:b/>
          <w:spacing w:val="-4"/>
        </w:rPr>
        <w:t xml:space="preserve"> </w:t>
      </w:r>
      <w:r w:rsidRPr="00EC20A0">
        <w:t>-</w:t>
      </w:r>
      <w:r w:rsidRPr="00EC20A0">
        <w:rPr>
          <w:spacing w:val="-5"/>
        </w:rPr>
        <w:t xml:space="preserve"> </w:t>
      </w:r>
      <w:r w:rsidRPr="00EC20A0">
        <w:t>the</w:t>
      </w:r>
      <w:r w:rsidRPr="00EC20A0">
        <w:rPr>
          <w:spacing w:val="-4"/>
        </w:rPr>
        <w:t xml:space="preserve"> </w:t>
      </w:r>
      <w:r w:rsidRPr="00EC20A0">
        <w:t>use</w:t>
      </w:r>
      <w:r w:rsidRPr="00EC20A0">
        <w:rPr>
          <w:spacing w:val="-4"/>
        </w:rPr>
        <w:t xml:space="preserve"> </w:t>
      </w:r>
      <w:r w:rsidRPr="00EC20A0">
        <w:t>of</w:t>
      </w:r>
      <w:r w:rsidRPr="00EC20A0">
        <w:rPr>
          <w:spacing w:val="-4"/>
        </w:rPr>
        <w:t xml:space="preserve"> </w:t>
      </w:r>
      <w:r w:rsidRPr="00EC20A0">
        <w:t>internal</w:t>
      </w:r>
      <w:r w:rsidRPr="00EC20A0">
        <w:rPr>
          <w:spacing w:val="-4"/>
        </w:rPr>
        <w:t xml:space="preserve"> </w:t>
      </w:r>
      <w:r w:rsidRPr="00EC20A0">
        <w:t>auditors</w:t>
      </w:r>
      <w:r w:rsidRPr="00EC20A0">
        <w:rPr>
          <w:spacing w:val="-5"/>
        </w:rPr>
        <w:t xml:space="preserve"> </w:t>
      </w:r>
      <w:r w:rsidRPr="00EC20A0">
        <w:t>to</w:t>
      </w:r>
      <w:r w:rsidRPr="00EC20A0">
        <w:rPr>
          <w:spacing w:val="-4"/>
        </w:rPr>
        <w:t xml:space="preserve"> </w:t>
      </w:r>
      <w:r w:rsidRPr="00EC20A0">
        <w:t>perform</w:t>
      </w:r>
      <w:r w:rsidRPr="00EC20A0">
        <w:rPr>
          <w:spacing w:val="-5"/>
        </w:rPr>
        <w:t xml:space="preserve"> </w:t>
      </w:r>
      <w:r w:rsidRPr="00EC20A0">
        <w:t>audit</w:t>
      </w:r>
      <w:r w:rsidRPr="00EC20A0">
        <w:rPr>
          <w:spacing w:val="-4"/>
        </w:rPr>
        <w:t xml:space="preserve"> </w:t>
      </w:r>
      <w:r w:rsidRPr="00EC20A0">
        <w:t>procedures under the direction, supervision, and review of the auditor.</w:t>
      </w:r>
    </w:p>
    <w:p w14:paraId="24D60281" w14:textId="77777777" w:rsidR="00245300" w:rsidRPr="00EC20A0" w:rsidRDefault="00F17249">
      <w:pPr>
        <w:pStyle w:val="ListParagraph"/>
        <w:numPr>
          <w:ilvl w:val="0"/>
          <w:numId w:val="15"/>
        </w:numPr>
        <w:tabs>
          <w:tab w:val="left" w:pos="1858"/>
        </w:tabs>
        <w:spacing w:before="238"/>
        <w:ind w:right="542"/>
      </w:pPr>
      <w:r w:rsidRPr="00EC20A0">
        <w:t>The</w:t>
      </w:r>
      <w:r w:rsidRPr="00EC20A0">
        <w:rPr>
          <w:spacing w:val="-3"/>
        </w:rPr>
        <w:t xml:space="preserve"> </w:t>
      </w:r>
      <w:r w:rsidRPr="00EC20A0">
        <w:t>auditor</w:t>
      </w:r>
      <w:r w:rsidRPr="00EC20A0">
        <w:rPr>
          <w:spacing w:val="-5"/>
        </w:rPr>
        <w:t xml:space="preserve"> </w:t>
      </w:r>
      <w:r w:rsidRPr="00EC20A0">
        <w:t>may</w:t>
      </w:r>
      <w:r w:rsidRPr="00EC20A0">
        <w:rPr>
          <w:spacing w:val="-3"/>
        </w:rPr>
        <w:t xml:space="preserve"> </w:t>
      </w:r>
      <w:r w:rsidRPr="00EC20A0">
        <w:t>be</w:t>
      </w:r>
      <w:r w:rsidRPr="00EC20A0">
        <w:rPr>
          <w:spacing w:val="-3"/>
        </w:rPr>
        <w:t xml:space="preserve"> </w:t>
      </w:r>
      <w:r w:rsidRPr="00EC20A0">
        <w:t>able</w:t>
      </w:r>
      <w:r w:rsidRPr="00EC20A0">
        <w:rPr>
          <w:spacing w:val="-3"/>
        </w:rPr>
        <w:t xml:space="preserve"> </w:t>
      </w:r>
      <w:r w:rsidRPr="00EC20A0">
        <w:t>to</w:t>
      </w:r>
      <w:r w:rsidRPr="00EC20A0">
        <w:rPr>
          <w:spacing w:val="-3"/>
        </w:rPr>
        <w:t xml:space="preserve"> </w:t>
      </w:r>
      <w:r w:rsidRPr="00EC20A0">
        <w:t>use</w:t>
      </w:r>
      <w:r w:rsidRPr="00EC20A0">
        <w:rPr>
          <w:spacing w:val="-3"/>
        </w:rPr>
        <w:t xml:space="preserve"> </w:t>
      </w:r>
      <w:r w:rsidRPr="00EC20A0">
        <w:t>the</w:t>
      </w:r>
      <w:r w:rsidRPr="00EC20A0">
        <w:rPr>
          <w:spacing w:val="-4"/>
        </w:rPr>
        <w:t xml:space="preserve"> </w:t>
      </w:r>
      <w:r w:rsidRPr="00EC20A0">
        <w:t>work</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4"/>
        </w:rPr>
        <w:t xml:space="preserve"> </w:t>
      </w:r>
      <w:r w:rsidRPr="00EC20A0">
        <w:t>function</w:t>
      </w:r>
      <w:r w:rsidRPr="00EC20A0">
        <w:rPr>
          <w:spacing w:val="-3"/>
        </w:rPr>
        <w:t xml:space="preserve"> </w:t>
      </w:r>
      <w:r w:rsidRPr="00EC20A0">
        <w:t>in</w:t>
      </w:r>
      <w:r w:rsidRPr="00EC20A0">
        <w:rPr>
          <w:spacing w:val="-4"/>
        </w:rPr>
        <w:t xml:space="preserve"> </w:t>
      </w:r>
      <w:r w:rsidRPr="00EC20A0">
        <w:t>obtaining audit evidence in a constructive and complementary manner depending on</w:t>
      </w:r>
    </w:p>
    <w:p w14:paraId="24D60282" w14:textId="77777777" w:rsidR="00245300" w:rsidRPr="00EC20A0" w:rsidRDefault="00F17249">
      <w:pPr>
        <w:pStyle w:val="ListParagraph"/>
        <w:numPr>
          <w:ilvl w:val="0"/>
          <w:numId w:val="191"/>
        </w:numPr>
        <w:tabs>
          <w:tab w:val="left" w:pos="2219"/>
        </w:tabs>
        <w:ind w:left="2219" w:hanging="359"/>
      </w:pPr>
      <w:r w:rsidRPr="00EC20A0">
        <w:t>the</w:t>
      </w:r>
      <w:r w:rsidRPr="00EC20A0">
        <w:rPr>
          <w:spacing w:val="-6"/>
        </w:rPr>
        <w:t xml:space="preserve"> </w:t>
      </w:r>
      <w:r w:rsidRPr="00EC20A0">
        <w:t>level</w:t>
      </w:r>
      <w:r w:rsidRPr="00EC20A0">
        <w:rPr>
          <w:spacing w:val="-5"/>
        </w:rPr>
        <w:t xml:space="preserve"> </w:t>
      </w:r>
      <w:r w:rsidRPr="00EC20A0">
        <w:t>of</w:t>
      </w:r>
      <w:r w:rsidRPr="00EC20A0">
        <w:rPr>
          <w:spacing w:val="-6"/>
        </w:rPr>
        <w:t xml:space="preserve"> </w:t>
      </w:r>
      <w:r w:rsidRPr="00EC20A0">
        <w:t>competency</w:t>
      </w:r>
      <w:r w:rsidRPr="00EC20A0">
        <w:rPr>
          <w:spacing w:val="-5"/>
        </w:rPr>
        <w:t xml:space="preserve"> </w:t>
      </w:r>
      <w:r w:rsidRPr="00EC20A0">
        <w:t>of</w:t>
      </w:r>
      <w:r w:rsidRPr="00EC20A0">
        <w:rPr>
          <w:spacing w:val="-6"/>
        </w:rPr>
        <w:t xml:space="preserve"> </w:t>
      </w:r>
      <w:r w:rsidRPr="00EC20A0">
        <w:t>the</w:t>
      </w:r>
      <w:r w:rsidRPr="00EC20A0">
        <w:rPr>
          <w:spacing w:val="-5"/>
        </w:rPr>
        <w:t xml:space="preserve"> </w:t>
      </w:r>
      <w:r w:rsidRPr="00EC20A0">
        <w:t>internal</w:t>
      </w:r>
      <w:r w:rsidRPr="00EC20A0">
        <w:rPr>
          <w:spacing w:val="-5"/>
        </w:rPr>
        <w:t xml:space="preserve"> </w:t>
      </w:r>
      <w:r w:rsidRPr="00EC20A0">
        <w:t>audit</w:t>
      </w:r>
      <w:r w:rsidRPr="00EC20A0">
        <w:rPr>
          <w:spacing w:val="-5"/>
        </w:rPr>
        <w:t xml:space="preserve"> </w:t>
      </w:r>
      <w:r w:rsidRPr="00EC20A0">
        <w:rPr>
          <w:spacing w:val="-2"/>
        </w:rPr>
        <w:t>function;</w:t>
      </w:r>
    </w:p>
    <w:p w14:paraId="24D60283" w14:textId="77777777" w:rsidR="00245300" w:rsidRPr="00EC20A0" w:rsidRDefault="00F17249">
      <w:pPr>
        <w:pStyle w:val="ListParagraph"/>
        <w:numPr>
          <w:ilvl w:val="0"/>
          <w:numId w:val="191"/>
        </w:numPr>
        <w:tabs>
          <w:tab w:val="left" w:pos="2219"/>
        </w:tabs>
        <w:ind w:left="2219" w:right="1013"/>
      </w:pPr>
      <w:r w:rsidRPr="00EC20A0">
        <w:t>whether the internal audit function’s organizational status and relevant policies</w:t>
      </w:r>
      <w:r w:rsidRPr="00EC20A0">
        <w:rPr>
          <w:spacing w:val="-4"/>
        </w:rPr>
        <w:t xml:space="preserve"> </w:t>
      </w:r>
      <w:r w:rsidRPr="00EC20A0">
        <w:t>and</w:t>
      </w:r>
      <w:r w:rsidRPr="00EC20A0">
        <w:rPr>
          <w:spacing w:val="-5"/>
        </w:rPr>
        <w:t xml:space="preserve"> </w:t>
      </w:r>
      <w:r w:rsidRPr="00EC20A0">
        <w:t>procedures</w:t>
      </w:r>
      <w:r w:rsidRPr="00EC20A0">
        <w:rPr>
          <w:spacing w:val="-4"/>
        </w:rPr>
        <w:t xml:space="preserve"> </w:t>
      </w:r>
      <w:r w:rsidRPr="00EC20A0">
        <w:t>adequately</w:t>
      </w:r>
      <w:r w:rsidRPr="00EC20A0">
        <w:rPr>
          <w:spacing w:val="-5"/>
        </w:rPr>
        <w:t xml:space="preserve"> </w:t>
      </w:r>
      <w:r w:rsidRPr="00EC20A0">
        <w:t>support</w:t>
      </w:r>
      <w:r w:rsidRPr="00EC20A0">
        <w:rPr>
          <w:spacing w:val="-3"/>
        </w:rPr>
        <w:t xml:space="preserve"> </w:t>
      </w:r>
      <w:r w:rsidRPr="00EC20A0">
        <w:t>the</w:t>
      </w:r>
      <w:r w:rsidRPr="00EC20A0">
        <w:rPr>
          <w:spacing w:val="-5"/>
        </w:rPr>
        <w:t xml:space="preserve"> </w:t>
      </w:r>
      <w:r w:rsidRPr="00EC20A0">
        <w:t>objectivity</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internal auditors; and</w:t>
      </w:r>
    </w:p>
    <w:p w14:paraId="24D60284" w14:textId="77777777" w:rsidR="00245300" w:rsidRPr="00EC20A0" w:rsidRDefault="00F17249">
      <w:pPr>
        <w:pStyle w:val="ListParagraph"/>
        <w:numPr>
          <w:ilvl w:val="0"/>
          <w:numId w:val="191"/>
        </w:numPr>
        <w:tabs>
          <w:tab w:val="left" w:pos="2219"/>
        </w:tabs>
        <w:spacing w:before="241"/>
        <w:ind w:left="2219" w:right="550"/>
      </w:pPr>
      <w:r w:rsidRPr="00EC20A0">
        <w:t>whether</w:t>
      </w:r>
      <w:r w:rsidRPr="00EC20A0">
        <w:rPr>
          <w:spacing w:val="-5"/>
        </w:rPr>
        <w:t xml:space="preserve"> </w:t>
      </w:r>
      <w:r w:rsidRPr="00EC20A0">
        <w:t>the</w:t>
      </w:r>
      <w:r w:rsidRPr="00EC20A0">
        <w:rPr>
          <w:spacing w:val="-5"/>
        </w:rPr>
        <w:t xml:space="preserve"> </w:t>
      </w:r>
      <w:r w:rsidRPr="00EC20A0">
        <w:t>function</w:t>
      </w:r>
      <w:r w:rsidRPr="00EC20A0">
        <w:rPr>
          <w:spacing w:val="-5"/>
        </w:rPr>
        <w:t xml:space="preserve"> </w:t>
      </w:r>
      <w:r w:rsidRPr="00EC20A0">
        <w:t>applies</w:t>
      </w:r>
      <w:r w:rsidRPr="00EC20A0">
        <w:rPr>
          <w:spacing w:val="-5"/>
        </w:rPr>
        <w:t xml:space="preserve"> </w:t>
      </w:r>
      <w:r w:rsidRPr="00EC20A0">
        <w:t>a</w:t>
      </w:r>
      <w:r w:rsidRPr="00EC20A0">
        <w:rPr>
          <w:spacing w:val="-5"/>
        </w:rPr>
        <w:t xml:space="preserve"> </w:t>
      </w:r>
      <w:r w:rsidRPr="00EC20A0">
        <w:t>systematic</w:t>
      </w:r>
      <w:r w:rsidRPr="00EC20A0">
        <w:rPr>
          <w:spacing w:val="-5"/>
        </w:rPr>
        <w:t xml:space="preserve"> </w:t>
      </w:r>
      <w:r w:rsidRPr="00EC20A0">
        <w:t>and</w:t>
      </w:r>
      <w:r w:rsidRPr="00EC20A0">
        <w:rPr>
          <w:spacing w:val="-5"/>
        </w:rPr>
        <w:t xml:space="preserve"> </w:t>
      </w:r>
      <w:r w:rsidRPr="00EC20A0">
        <w:t>disciplined</w:t>
      </w:r>
      <w:r w:rsidRPr="00EC20A0">
        <w:rPr>
          <w:spacing w:val="-5"/>
        </w:rPr>
        <w:t xml:space="preserve"> </w:t>
      </w:r>
      <w:r w:rsidRPr="00EC20A0">
        <w:t>approach,</w:t>
      </w:r>
      <w:r w:rsidRPr="00EC20A0">
        <w:rPr>
          <w:spacing w:val="-5"/>
        </w:rPr>
        <w:t xml:space="preserve"> </w:t>
      </w:r>
      <w:r w:rsidRPr="00EC20A0">
        <w:t>including quality control (AU-C 610.06).</w:t>
      </w:r>
    </w:p>
    <w:p w14:paraId="24D60285" w14:textId="77777777" w:rsidR="00245300" w:rsidRPr="00EC20A0" w:rsidRDefault="00F17249">
      <w:pPr>
        <w:pStyle w:val="BodyText"/>
        <w:spacing w:before="239"/>
        <w:ind w:left="1858" w:right="527"/>
      </w:pPr>
      <w:r w:rsidRPr="00EC20A0">
        <w:t>This</w:t>
      </w:r>
      <w:r w:rsidRPr="00EC20A0">
        <w:rPr>
          <w:spacing w:val="-4"/>
        </w:rPr>
        <w:t xml:space="preserve"> </w:t>
      </w:r>
      <w:r w:rsidRPr="00EC20A0">
        <w:t>section</w:t>
      </w:r>
      <w:r w:rsidRPr="00EC20A0">
        <w:rPr>
          <w:spacing w:val="-5"/>
        </w:rPr>
        <w:t xml:space="preserve"> </w:t>
      </w:r>
      <w:r w:rsidRPr="00EC20A0">
        <w:t>addresses</w:t>
      </w:r>
      <w:r w:rsidRPr="00EC20A0">
        <w:rPr>
          <w:spacing w:val="-4"/>
        </w:rPr>
        <w:t xml:space="preserve"> </w:t>
      </w:r>
      <w:r w:rsidRPr="00EC20A0">
        <w:t>the</w:t>
      </w:r>
      <w:r w:rsidRPr="00EC20A0">
        <w:rPr>
          <w:spacing w:val="-4"/>
        </w:rPr>
        <w:t xml:space="preserve"> </w:t>
      </w:r>
      <w:r w:rsidRPr="00EC20A0">
        <w:t>auditor’s</w:t>
      </w:r>
      <w:r w:rsidRPr="00EC20A0">
        <w:rPr>
          <w:spacing w:val="-5"/>
        </w:rPr>
        <w:t xml:space="preserve"> </w:t>
      </w:r>
      <w:r w:rsidRPr="00EC20A0">
        <w:t>responsibilities</w:t>
      </w:r>
      <w:r w:rsidRPr="00EC20A0">
        <w:rPr>
          <w:spacing w:val="-4"/>
        </w:rPr>
        <w:t xml:space="preserve"> </w:t>
      </w:r>
      <w:r w:rsidRPr="00EC20A0">
        <w:t>when,</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 xml:space="preserve">auditor’s </w:t>
      </w:r>
      <w:r w:rsidRPr="00EC20A0">
        <w:t>understanding of the internal audit function obtained as a result of procedures performed in accordance with FAM 220 and 260, the auditor expects to use the work of the internal audit function in obtaining audit evidence. Such use of that work modifies the nature or timing, or reduces the extent, of audit procedures to be performed directly by the auditor (AU-C 610.06).</w:t>
      </w:r>
    </w:p>
    <w:p w14:paraId="24D60286" w14:textId="77777777" w:rsidR="00245300" w:rsidRPr="00EC20A0" w:rsidRDefault="00F17249">
      <w:pPr>
        <w:pStyle w:val="ListParagraph"/>
        <w:numPr>
          <w:ilvl w:val="0"/>
          <w:numId w:val="15"/>
        </w:numPr>
        <w:tabs>
          <w:tab w:val="left" w:pos="1859"/>
        </w:tabs>
        <w:ind w:left="1859" w:right="1360"/>
      </w:pPr>
      <w:r w:rsidRPr="00EC20A0">
        <w:t>This section also addresses the auditor’s responsibilities if the auditor is considering</w:t>
      </w:r>
      <w:r w:rsidRPr="00EC20A0">
        <w:rPr>
          <w:spacing w:val="-5"/>
        </w:rPr>
        <w:t xml:space="preserve"> </w:t>
      </w:r>
      <w:r w:rsidRPr="00EC20A0">
        <w:t>using</w:t>
      </w:r>
      <w:r w:rsidRPr="00EC20A0">
        <w:rPr>
          <w:spacing w:val="-4"/>
        </w:rPr>
        <w:t xml:space="preserve"> </w:t>
      </w:r>
      <w:r w:rsidRPr="00EC20A0">
        <w:t>internal</w:t>
      </w:r>
      <w:r w:rsidRPr="00EC20A0">
        <w:rPr>
          <w:spacing w:val="-4"/>
        </w:rPr>
        <w:t xml:space="preserve"> </w:t>
      </w:r>
      <w:r w:rsidRPr="00EC20A0">
        <w:t>auditors</w:t>
      </w:r>
      <w:r w:rsidRPr="00EC20A0">
        <w:rPr>
          <w:spacing w:val="-4"/>
        </w:rPr>
        <w:t xml:space="preserve"> </w:t>
      </w:r>
      <w:r w:rsidRPr="00EC20A0">
        <w:t>to</w:t>
      </w:r>
      <w:r w:rsidRPr="00EC20A0">
        <w:rPr>
          <w:spacing w:val="-4"/>
        </w:rPr>
        <w:t xml:space="preserve"> </w:t>
      </w:r>
      <w:r w:rsidRPr="00EC20A0">
        <w:t>provide</w:t>
      </w:r>
      <w:r w:rsidRPr="00EC20A0">
        <w:rPr>
          <w:spacing w:val="-4"/>
        </w:rPr>
        <w:t xml:space="preserve"> </w:t>
      </w:r>
      <w:r w:rsidRPr="00EC20A0">
        <w:t>direct</w:t>
      </w:r>
      <w:r w:rsidRPr="00EC20A0">
        <w:rPr>
          <w:spacing w:val="-4"/>
        </w:rPr>
        <w:t xml:space="preserve"> </w:t>
      </w:r>
      <w:r w:rsidRPr="00EC20A0">
        <w:t>assistance</w:t>
      </w:r>
      <w:r w:rsidRPr="00EC20A0">
        <w:rPr>
          <w:spacing w:val="-4"/>
        </w:rPr>
        <w:t xml:space="preserve"> </w:t>
      </w:r>
      <w:r w:rsidRPr="00EC20A0">
        <w:t>under</w:t>
      </w:r>
      <w:r w:rsidRPr="00EC20A0">
        <w:rPr>
          <w:spacing w:val="-4"/>
        </w:rPr>
        <w:t xml:space="preserve"> </w:t>
      </w:r>
      <w:r w:rsidRPr="00EC20A0">
        <w:t>the direction, supervision, and review of the auditor (AU-C 610.07).</w:t>
      </w:r>
    </w:p>
    <w:p w14:paraId="24D60287" w14:textId="77777777" w:rsidR="00245300" w:rsidRPr="00EC20A0" w:rsidRDefault="00F17249">
      <w:pPr>
        <w:pStyle w:val="ListParagraph"/>
        <w:numPr>
          <w:ilvl w:val="0"/>
          <w:numId w:val="15"/>
        </w:numPr>
        <w:tabs>
          <w:tab w:val="left" w:pos="1858"/>
        </w:tabs>
        <w:spacing w:before="241"/>
        <w:ind w:right="627"/>
      </w:pPr>
      <w:r w:rsidRPr="00EC20A0">
        <w:t>There may be individuals in an entity who perform procedures similar to those performed by an internal audit function. However, unless such procedures are performed</w:t>
      </w:r>
      <w:r w:rsidRPr="00EC20A0">
        <w:rPr>
          <w:spacing w:val="-3"/>
        </w:rPr>
        <w:t xml:space="preserve"> </w:t>
      </w:r>
      <w:r w:rsidRPr="00EC20A0">
        <w:t>by</w:t>
      </w:r>
      <w:r w:rsidRPr="00EC20A0">
        <w:rPr>
          <w:spacing w:val="-3"/>
        </w:rPr>
        <w:t xml:space="preserve"> </w:t>
      </w:r>
      <w:r w:rsidRPr="00EC20A0">
        <w:t>an</w:t>
      </w:r>
      <w:r w:rsidRPr="00EC20A0">
        <w:rPr>
          <w:spacing w:val="-3"/>
        </w:rPr>
        <w:t xml:space="preserve"> </w:t>
      </w:r>
      <w:r w:rsidRPr="00EC20A0">
        <w:t>objective</w:t>
      </w:r>
      <w:r w:rsidRPr="00EC20A0">
        <w:rPr>
          <w:spacing w:val="-3"/>
        </w:rPr>
        <w:t xml:space="preserve"> </w:t>
      </w:r>
      <w:r w:rsidRPr="00EC20A0">
        <w:t>and</w:t>
      </w:r>
      <w:r w:rsidRPr="00EC20A0">
        <w:rPr>
          <w:spacing w:val="-3"/>
        </w:rPr>
        <w:t xml:space="preserve"> </w:t>
      </w:r>
      <w:r w:rsidRPr="00EC20A0">
        <w:t>competent</w:t>
      </w:r>
      <w:r w:rsidRPr="00EC20A0">
        <w:rPr>
          <w:spacing w:val="-3"/>
        </w:rPr>
        <w:t xml:space="preserve"> </w:t>
      </w:r>
      <w:r w:rsidRPr="00EC20A0">
        <w:t>function</w:t>
      </w:r>
      <w:r w:rsidRPr="00EC20A0">
        <w:rPr>
          <w:spacing w:val="-3"/>
        </w:rPr>
        <w:t xml:space="preserve"> </w:t>
      </w:r>
      <w:r w:rsidRPr="00EC20A0">
        <w:t>that</w:t>
      </w:r>
      <w:r w:rsidRPr="00EC20A0">
        <w:rPr>
          <w:spacing w:val="-3"/>
        </w:rPr>
        <w:t xml:space="preserve"> </w:t>
      </w:r>
      <w:r w:rsidRPr="00EC20A0">
        <w:t>applies</w:t>
      </w:r>
      <w:r w:rsidRPr="00EC20A0">
        <w:rPr>
          <w:spacing w:val="-2"/>
        </w:rPr>
        <w:t xml:space="preserve"> </w:t>
      </w:r>
      <w:r w:rsidRPr="00EC20A0">
        <w:t>a</w:t>
      </w:r>
      <w:r w:rsidRPr="00EC20A0">
        <w:rPr>
          <w:spacing w:val="-3"/>
        </w:rPr>
        <w:t xml:space="preserve"> </w:t>
      </w:r>
      <w:r w:rsidRPr="00EC20A0">
        <w:t>systematic</w:t>
      </w:r>
      <w:r w:rsidRPr="00EC20A0">
        <w:rPr>
          <w:spacing w:val="-3"/>
        </w:rPr>
        <w:t xml:space="preserve"> </w:t>
      </w:r>
      <w:r w:rsidRPr="00EC20A0">
        <w:t>and disciplined approach, including quality control, such procedures would be considered</w:t>
      </w:r>
      <w:r w:rsidRPr="00EC20A0">
        <w:rPr>
          <w:spacing w:val="-6"/>
        </w:rPr>
        <w:t xml:space="preserve"> </w:t>
      </w:r>
      <w:r w:rsidRPr="00EC20A0">
        <w:t>control</w:t>
      </w:r>
      <w:r w:rsidRPr="00EC20A0">
        <w:rPr>
          <w:spacing w:val="-5"/>
        </w:rPr>
        <w:t xml:space="preserve"> </w:t>
      </w:r>
      <w:r w:rsidRPr="00EC20A0">
        <w:t>activities,</w:t>
      </w:r>
      <w:r w:rsidRPr="00EC20A0">
        <w:rPr>
          <w:spacing w:val="-5"/>
        </w:rPr>
        <w:t xml:space="preserve"> </w:t>
      </w:r>
      <w:r w:rsidRPr="00EC20A0">
        <w:t>and</w:t>
      </w:r>
      <w:r w:rsidRPr="00EC20A0">
        <w:rPr>
          <w:spacing w:val="-5"/>
        </w:rPr>
        <w:t xml:space="preserve"> </w:t>
      </w:r>
      <w:r w:rsidRPr="00EC20A0">
        <w:t>obtaining</w:t>
      </w:r>
      <w:r w:rsidRPr="00EC20A0">
        <w:rPr>
          <w:spacing w:val="-5"/>
        </w:rPr>
        <w:t xml:space="preserve"> </w:t>
      </w:r>
      <w:r w:rsidRPr="00EC20A0">
        <w:t>evidence</w:t>
      </w:r>
      <w:r w:rsidRPr="00EC20A0">
        <w:rPr>
          <w:spacing w:val="-5"/>
        </w:rPr>
        <w:t xml:space="preserve"> </w:t>
      </w:r>
      <w:r w:rsidRPr="00EC20A0">
        <w:t>regarding</w:t>
      </w:r>
      <w:r w:rsidRPr="00EC20A0">
        <w:rPr>
          <w:spacing w:val="-5"/>
        </w:rPr>
        <w:t xml:space="preserve"> </w:t>
      </w:r>
      <w:r w:rsidRPr="00EC20A0">
        <w:t>the</w:t>
      </w:r>
      <w:r w:rsidRPr="00EC20A0">
        <w:rPr>
          <w:spacing w:val="-5"/>
        </w:rPr>
        <w:t xml:space="preserve"> </w:t>
      </w:r>
      <w:r w:rsidRPr="00EC20A0">
        <w:t>effectiveness</w:t>
      </w:r>
    </w:p>
    <w:p w14:paraId="24D60288" w14:textId="77777777" w:rsidR="00245300" w:rsidRPr="00EC20A0" w:rsidRDefault="00245300">
      <w:pPr>
        <w:sectPr w:rsidR="00245300" w:rsidRPr="00EC20A0">
          <w:headerReference w:type="default" r:id="rId40"/>
          <w:footerReference w:type="default" r:id="rId41"/>
          <w:pgSz w:w="12240" w:h="15840"/>
          <w:pgMar w:top="1340" w:right="940" w:bottom="940" w:left="1020" w:header="721" w:footer="757" w:gutter="0"/>
          <w:pgNumType w:start="1"/>
          <w:cols w:space="720"/>
        </w:sectPr>
      </w:pPr>
    </w:p>
    <w:p w14:paraId="24D60289" w14:textId="77777777" w:rsidR="00245300" w:rsidRPr="00EC20A0" w:rsidRDefault="00F17249">
      <w:pPr>
        <w:pStyle w:val="BodyText"/>
        <w:spacing w:before="121"/>
        <w:ind w:left="1859"/>
      </w:pPr>
      <w:r w:rsidRPr="00EC20A0">
        <w:t>of</w:t>
      </w:r>
      <w:r w:rsidRPr="00EC20A0">
        <w:rPr>
          <w:spacing w:val="-3"/>
        </w:rPr>
        <w:t xml:space="preserve"> </w:t>
      </w:r>
      <w:r w:rsidRPr="00EC20A0">
        <w:t>such</w:t>
      </w:r>
      <w:r w:rsidRPr="00EC20A0">
        <w:rPr>
          <w:spacing w:val="-3"/>
        </w:rPr>
        <w:t xml:space="preserve"> </w:t>
      </w:r>
      <w:r w:rsidRPr="00EC20A0">
        <w:t>controls</w:t>
      </w:r>
      <w:r w:rsidRPr="00EC20A0">
        <w:rPr>
          <w:spacing w:val="-3"/>
        </w:rPr>
        <w:t xml:space="preserve"> </w:t>
      </w:r>
      <w:r w:rsidRPr="00EC20A0">
        <w:t>would</w:t>
      </w:r>
      <w:r w:rsidRPr="00EC20A0">
        <w:rPr>
          <w:spacing w:val="-3"/>
        </w:rPr>
        <w:t xml:space="preserve"> </w:t>
      </w:r>
      <w:r w:rsidRPr="00EC20A0">
        <w:t>be</w:t>
      </w:r>
      <w:r w:rsidRPr="00EC20A0">
        <w:rPr>
          <w:spacing w:val="-3"/>
        </w:rPr>
        <w:t xml:space="preserve"> </w:t>
      </w:r>
      <w:r w:rsidRPr="00EC20A0">
        <w:t>part</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auditor’s</w:t>
      </w:r>
      <w:r w:rsidRPr="00EC20A0">
        <w:rPr>
          <w:spacing w:val="-3"/>
        </w:rPr>
        <w:t xml:space="preserve"> </w:t>
      </w:r>
      <w:r w:rsidRPr="00EC20A0">
        <w:t>responses</w:t>
      </w:r>
      <w:r w:rsidRPr="00EC20A0">
        <w:rPr>
          <w:spacing w:val="-3"/>
        </w:rPr>
        <w:t xml:space="preserve"> </w:t>
      </w:r>
      <w:r w:rsidRPr="00EC20A0">
        <w:t>to</w:t>
      </w:r>
      <w:r w:rsidRPr="00EC20A0">
        <w:rPr>
          <w:spacing w:val="-4"/>
        </w:rPr>
        <w:t xml:space="preserve"> </w:t>
      </w:r>
      <w:r w:rsidRPr="00EC20A0">
        <w:t>assessed</w:t>
      </w:r>
      <w:r w:rsidRPr="00EC20A0">
        <w:rPr>
          <w:spacing w:val="-3"/>
        </w:rPr>
        <w:t xml:space="preserve"> </w:t>
      </w:r>
      <w:r w:rsidRPr="00EC20A0">
        <w:t>risks</w:t>
      </w:r>
      <w:r w:rsidRPr="00EC20A0">
        <w:rPr>
          <w:spacing w:val="-3"/>
        </w:rPr>
        <w:t xml:space="preserve"> </w:t>
      </w:r>
      <w:r w:rsidRPr="00EC20A0">
        <w:t xml:space="preserve">in accordance with FAM 300 (AU-C </w:t>
      </w:r>
      <w:r w:rsidRPr="00EC20A0">
        <w:t>610.08).</w:t>
      </w:r>
    </w:p>
    <w:p w14:paraId="24D6028A" w14:textId="77777777" w:rsidR="00245300" w:rsidRPr="00EC20A0" w:rsidRDefault="00F17249">
      <w:pPr>
        <w:pStyle w:val="ListParagraph"/>
        <w:numPr>
          <w:ilvl w:val="0"/>
          <w:numId w:val="15"/>
        </w:numPr>
        <w:tabs>
          <w:tab w:val="left" w:pos="1857"/>
          <w:tab w:val="left" w:pos="1859"/>
        </w:tabs>
        <w:spacing w:before="239"/>
        <w:ind w:left="1857" w:right="663" w:hanging="718"/>
      </w:pPr>
      <w:r w:rsidRPr="00EC20A0">
        <w:t>The auditor has sole responsibility for the audit opinion expressed, and that responsibility</w:t>
      </w:r>
      <w:r w:rsidRPr="00EC20A0">
        <w:rPr>
          <w:spacing w:val="-3"/>
        </w:rPr>
        <w:t xml:space="preserve"> </w:t>
      </w:r>
      <w:r w:rsidRPr="00EC20A0">
        <w:t>is</w:t>
      </w:r>
      <w:r w:rsidRPr="00EC20A0">
        <w:rPr>
          <w:spacing w:val="-3"/>
        </w:rPr>
        <w:t xml:space="preserve"> </w:t>
      </w:r>
      <w:r w:rsidRPr="00EC20A0">
        <w:t>not</w:t>
      </w:r>
      <w:r w:rsidRPr="00EC20A0">
        <w:rPr>
          <w:spacing w:val="-3"/>
        </w:rPr>
        <w:t xml:space="preserve"> </w:t>
      </w:r>
      <w:r w:rsidRPr="00EC20A0">
        <w:t>reduced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use</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 xml:space="preserve">audit function in obtaining audit evidence or use of internal auditors to provide direct assistance on the engagement. Although the function may perform audit procedures similar to those performed by the auditor, neither the internal audit function nor the internal auditors are independent of the entity as is required of the auditor in an audit of financial statements in accordance with AU-C 200, </w:t>
      </w:r>
      <w:r w:rsidRPr="00EC20A0">
        <w:rPr>
          <w:i/>
        </w:rPr>
        <w:t>Overall Objectives of the Independent Auditor a</w:t>
      </w:r>
      <w:r w:rsidRPr="00EC20A0">
        <w:rPr>
          <w:i/>
        </w:rPr>
        <w:t>nd the Conduct of an Audit in Accordance With Generally Accepted Auditing Standards</w:t>
      </w:r>
      <w:r w:rsidRPr="00EC20A0">
        <w:t>. This section, therefore, defines the conditions that are necessary for the auditor to be able to use the work of internal auditors. It also defines the effort necessary to obtain sufficient appropriate evidence that the work of the internal audit function or internal auditors providing direct assistance is adequate for the purposes of the audit. The requirements are designed to provide a framework for the auditor’s judgment</w:t>
      </w:r>
      <w:r w:rsidRPr="00EC20A0">
        <w:t>s regarding the use of the work of internal auditors to prevent overuse or undue use of such work (AU-C 610.09).</w:t>
      </w:r>
    </w:p>
    <w:p w14:paraId="24D6028B" w14:textId="77777777" w:rsidR="00245300" w:rsidRPr="00EC20A0" w:rsidRDefault="00F17249">
      <w:pPr>
        <w:pStyle w:val="Heading4"/>
        <w:spacing w:before="241"/>
      </w:pPr>
      <w:bookmarkStart w:id="91" w:name="Internal_Audit_Function"/>
      <w:bookmarkEnd w:id="91"/>
      <w:r w:rsidRPr="00EC20A0">
        <w:t>Internal</w:t>
      </w:r>
      <w:r w:rsidRPr="00EC20A0">
        <w:rPr>
          <w:spacing w:val="-11"/>
        </w:rPr>
        <w:t xml:space="preserve"> </w:t>
      </w:r>
      <w:r w:rsidRPr="00EC20A0">
        <w:t>Audit</w:t>
      </w:r>
      <w:r w:rsidRPr="00EC20A0">
        <w:rPr>
          <w:spacing w:val="-11"/>
        </w:rPr>
        <w:t xml:space="preserve"> </w:t>
      </w:r>
      <w:r w:rsidRPr="00EC20A0">
        <w:rPr>
          <w:spacing w:val="-2"/>
        </w:rPr>
        <w:t>Function</w:t>
      </w:r>
    </w:p>
    <w:p w14:paraId="24D6028C" w14:textId="77777777" w:rsidR="00245300" w:rsidRPr="00EC20A0" w:rsidRDefault="00F17249">
      <w:pPr>
        <w:pStyle w:val="Heading5"/>
        <w:spacing w:before="240"/>
        <w:ind w:left="1140"/>
        <w:rPr>
          <w:u w:val="none"/>
        </w:rPr>
      </w:pPr>
      <w:bookmarkStart w:id="92" w:name="Planning_for_Using_the_Work_of_the_Inter"/>
      <w:bookmarkEnd w:id="92"/>
      <w:r w:rsidRPr="00EC20A0">
        <w:t>Planning</w:t>
      </w:r>
      <w:r w:rsidRPr="00EC20A0">
        <w:rPr>
          <w:spacing w:val="-3"/>
        </w:rPr>
        <w:t xml:space="preserve"> </w:t>
      </w:r>
      <w:r w:rsidRPr="00EC20A0">
        <w:t>for</w:t>
      </w:r>
      <w:r w:rsidRPr="00EC20A0">
        <w:rPr>
          <w:spacing w:val="-2"/>
        </w:rPr>
        <w:t xml:space="preserve"> </w:t>
      </w:r>
      <w:r w:rsidRPr="00EC20A0">
        <w:t>Using</w:t>
      </w:r>
      <w:r w:rsidRPr="00EC20A0">
        <w:rPr>
          <w:spacing w:val="-3"/>
        </w:rPr>
        <w:t xml:space="preserve"> </w:t>
      </w:r>
      <w:r w:rsidRPr="00EC20A0">
        <w:t>the</w:t>
      </w:r>
      <w:r w:rsidRPr="00EC20A0">
        <w:rPr>
          <w:spacing w:val="-2"/>
        </w:rPr>
        <w:t xml:space="preserve"> </w:t>
      </w:r>
      <w:r w:rsidRPr="00EC20A0">
        <w:t>Work</w:t>
      </w:r>
      <w:r w:rsidRPr="00EC20A0">
        <w:rPr>
          <w:spacing w:val="-3"/>
        </w:rPr>
        <w:t xml:space="preserve"> </w:t>
      </w:r>
      <w:r w:rsidRPr="00EC20A0">
        <w:t>of</w:t>
      </w:r>
      <w:r w:rsidRPr="00EC20A0">
        <w:rPr>
          <w:spacing w:val="-1"/>
        </w:rPr>
        <w:t xml:space="preserve"> </w:t>
      </w:r>
      <w:r w:rsidRPr="00EC20A0">
        <w:t>the</w:t>
      </w:r>
      <w:r w:rsidRPr="00EC20A0">
        <w:rPr>
          <w:spacing w:val="-4"/>
        </w:rPr>
        <w:t xml:space="preserve"> </w:t>
      </w:r>
      <w:r w:rsidRPr="00EC20A0">
        <w:t>Internal</w:t>
      </w:r>
      <w:r w:rsidRPr="00EC20A0">
        <w:rPr>
          <w:spacing w:val="-1"/>
        </w:rPr>
        <w:t xml:space="preserve"> </w:t>
      </w:r>
      <w:r w:rsidRPr="00EC20A0">
        <w:t>Audit</w:t>
      </w:r>
      <w:r w:rsidRPr="00EC20A0">
        <w:rPr>
          <w:spacing w:val="-3"/>
        </w:rPr>
        <w:t xml:space="preserve"> </w:t>
      </w:r>
      <w:r w:rsidRPr="00EC20A0">
        <w:rPr>
          <w:spacing w:val="-2"/>
        </w:rPr>
        <w:t>Function</w:t>
      </w:r>
    </w:p>
    <w:p w14:paraId="24D6028D" w14:textId="77777777" w:rsidR="00245300" w:rsidRPr="00EC20A0" w:rsidRDefault="00F17249">
      <w:pPr>
        <w:pStyle w:val="ListParagraph"/>
        <w:numPr>
          <w:ilvl w:val="0"/>
          <w:numId w:val="15"/>
        </w:numPr>
        <w:tabs>
          <w:tab w:val="left" w:pos="1859"/>
        </w:tabs>
        <w:ind w:left="1859" w:right="639"/>
      </w:pPr>
      <w:r w:rsidRPr="00EC20A0">
        <w:t>The</w:t>
      </w:r>
      <w:r w:rsidRPr="00EC20A0">
        <w:rPr>
          <w:spacing w:val="-3"/>
        </w:rPr>
        <w:t xml:space="preserve"> </w:t>
      </w:r>
      <w:r w:rsidRPr="00EC20A0">
        <w:t>auditor</w:t>
      </w:r>
      <w:r w:rsidRPr="00EC20A0">
        <w:rPr>
          <w:spacing w:val="-5"/>
        </w:rPr>
        <w:t xml:space="preserve"> </w:t>
      </w:r>
      <w:r w:rsidRPr="00EC20A0">
        <w:t>should</w:t>
      </w:r>
      <w:r w:rsidRPr="00EC20A0">
        <w:rPr>
          <w:spacing w:val="-3"/>
        </w:rPr>
        <w:t xml:space="preserve"> </w:t>
      </w:r>
      <w:r w:rsidRPr="00EC20A0">
        <w:t>determine</w:t>
      </w:r>
      <w:r w:rsidRPr="00EC20A0">
        <w:rPr>
          <w:spacing w:val="-3"/>
        </w:rPr>
        <w:t xml:space="preserve"> </w:t>
      </w:r>
      <w:r w:rsidRPr="00EC20A0">
        <w:t>whether</w:t>
      </w:r>
      <w:r w:rsidRPr="00EC20A0">
        <w:rPr>
          <w:spacing w:val="-3"/>
        </w:rPr>
        <w:t xml:space="preserve"> </w:t>
      </w:r>
      <w:r w:rsidRPr="00EC20A0">
        <w:t>the</w:t>
      </w:r>
      <w:r w:rsidRPr="00EC20A0">
        <w:rPr>
          <w:spacing w:val="-3"/>
        </w:rPr>
        <w:t xml:space="preserve"> </w:t>
      </w:r>
      <w:r w:rsidRPr="00EC20A0">
        <w:t>work</w:t>
      </w:r>
      <w:r w:rsidRPr="00EC20A0">
        <w:rPr>
          <w:spacing w:val="-2"/>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function</w:t>
      </w:r>
      <w:r w:rsidRPr="00EC20A0">
        <w:rPr>
          <w:spacing w:val="-3"/>
        </w:rPr>
        <w:t xml:space="preserve"> </w:t>
      </w:r>
      <w:r w:rsidRPr="00EC20A0">
        <w:t>can be used in obtaining audit evidence by evaluating the following (AU-C 610.13):</w:t>
      </w:r>
    </w:p>
    <w:p w14:paraId="24D6028E" w14:textId="77777777" w:rsidR="00245300" w:rsidRPr="00EC20A0" w:rsidRDefault="00F17249">
      <w:pPr>
        <w:pStyle w:val="ListParagraph"/>
        <w:numPr>
          <w:ilvl w:val="0"/>
          <w:numId w:val="190"/>
        </w:numPr>
        <w:tabs>
          <w:tab w:val="left" w:pos="2219"/>
        </w:tabs>
        <w:spacing w:before="239"/>
        <w:ind w:right="964"/>
      </w:pPr>
      <w:r w:rsidRPr="00EC20A0">
        <w:t>The</w:t>
      </w:r>
      <w:r w:rsidRPr="00EC20A0">
        <w:rPr>
          <w:spacing w:val="-4"/>
        </w:rPr>
        <w:t xml:space="preserve"> </w:t>
      </w:r>
      <w:r w:rsidRPr="00EC20A0">
        <w:t>extent</w:t>
      </w:r>
      <w:r w:rsidRPr="00EC20A0">
        <w:rPr>
          <w:spacing w:val="-4"/>
        </w:rPr>
        <w:t xml:space="preserve"> </w:t>
      </w:r>
      <w:r w:rsidRPr="00EC20A0">
        <w:t>to</w:t>
      </w:r>
      <w:r w:rsidRPr="00EC20A0">
        <w:rPr>
          <w:spacing w:val="-4"/>
        </w:rPr>
        <w:t xml:space="preserve"> </w:t>
      </w:r>
      <w:r w:rsidRPr="00EC20A0">
        <w:t>which</w:t>
      </w:r>
      <w:r w:rsidRPr="00EC20A0">
        <w:rPr>
          <w:spacing w:val="-4"/>
        </w:rPr>
        <w:t xml:space="preserve"> </w:t>
      </w:r>
      <w:r w:rsidRPr="00EC20A0">
        <w:t>the</w:t>
      </w:r>
      <w:r w:rsidRPr="00EC20A0">
        <w:rPr>
          <w:spacing w:val="-4"/>
        </w:rPr>
        <w:t xml:space="preserve"> </w:t>
      </w:r>
      <w:r w:rsidRPr="00EC20A0">
        <w:t>internal</w:t>
      </w:r>
      <w:r w:rsidRPr="00EC20A0">
        <w:rPr>
          <w:spacing w:val="-4"/>
        </w:rPr>
        <w:t xml:space="preserve"> </w:t>
      </w:r>
      <w:r w:rsidRPr="00EC20A0">
        <w:t>audit</w:t>
      </w:r>
      <w:r w:rsidRPr="00EC20A0">
        <w:rPr>
          <w:spacing w:val="-5"/>
        </w:rPr>
        <w:t xml:space="preserve"> </w:t>
      </w:r>
      <w:r w:rsidRPr="00EC20A0">
        <w:t>function’s</w:t>
      </w:r>
      <w:r w:rsidRPr="00EC20A0">
        <w:rPr>
          <w:spacing w:val="-4"/>
        </w:rPr>
        <w:t xml:space="preserve"> </w:t>
      </w:r>
      <w:r w:rsidRPr="00EC20A0">
        <w:t>organizational</w:t>
      </w:r>
      <w:r w:rsidRPr="00EC20A0">
        <w:rPr>
          <w:spacing w:val="-4"/>
        </w:rPr>
        <w:t xml:space="preserve"> </w:t>
      </w:r>
      <w:r w:rsidRPr="00EC20A0">
        <w:t>status</w:t>
      </w:r>
      <w:r w:rsidRPr="00EC20A0">
        <w:rPr>
          <w:spacing w:val="-4"/>
        </w:rPr>
        <w:t xml:space="preserve"> </w:t>
      </w:r>
      <w:r w:rsidRPr="00EC20A0">
        <w:t xml:space="preserve">and relevant policies and procedures support the objectivity of the internal </w:t>
      </w:r>
      <w:r w:rsidRPr="00EC20A0">
        <w:rPr>
          <w:spacing w:val="-2"/>
        </w:rPr>
        <w:t>auditors.</w:t>
      </w:r>
    </w:p>
    <w:p w14:paraId="24D6028F" w14:textId="77777777" w:rsidR="00245300" w:rsidRPr="00EC20A0" w:rsidRDefault="00F17249">
      <w:pPr>
        <w:pStyle w:val="ListParagraph"/>
        <w:numPr>
          <w:ilvl w:val="0"/>
          <w:numId w:val="190"/>
        </w:numPr>
        <w:tabs>
          <w:tab w:val="left" w:pos="2218"/>
        </w:tabs>
        <w:spacing w:before="241"/>
        <w:ind w:left="2218" w:hanging="359"/>
      </w:pPr>
      <w:r w:rsidRPr="00EC20A0">
        <w:t>The</w:t>
      </w:r>
      <w:r w:rsidRPr="00EC20A0">
        <w:rPr>
          <w:spacing w:val="-6"/>
        </w:rPr>
        <w:t xml:space="preserve"> </w:t>
      </w:r>
      <w:r w:rsidRPr="00EC20A0">
        <w:t>level</w:t>
      </w:r>
      <w:r w:rsidRPr="00EC20A0">
        <w:rPr>
          <w:spacing w:val="-5"/>
        </w:rPr>
        <w:t xml:space="preserve"> </w:t>
      </w:r>
      <w:r w:rsidRPr="00EC20A0">
        <w:t>of</w:t>
      </w:r>
      <w:r w:rsidRPr="00EC20A0">
        <w:rPr>
          <w:spacing w:val="-6"/>
        </w:rPr>
        <w:t xml:space="preserve"> </w:t>
      </w:r>
      <w:r w:rsidRPr="00EC20A0">
        <w:t>competence</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internal</w:t>
      </w:r>
      <w:r w:rsidRPr="00EC20A0">
        <w:rPr>
          <w:spacing w:val="-5"/>
        </w:rPr>
        <w:t xml:space="preserve"> </w:t>
      </w:r>
      <w:r w:rsidRPr="00EC20A0">
        <w:t>audit</w:t>
      </w:r>
      <w:r w:rsidRPr="00EC20A0">
        <w:rPr>
          <w:spacing w:val="-6"/>
        </w:rPr>
        <w:t xml:space="preserve"> </w:t>
      </w:r>
      <w:r w:rsidRPr="00EC20A0">
        <w:rPr>
          <w:spacing w:val="-2"/>
        </w:rPr>
        <w:t>function.</w:t>
      </w:r>
    </w:p>
    <w:p w14:paraId="24D60290" w14:textId="77777777" w:rsidR="00245300" w:rsidRPr="00EC20A0" w:rsidRDefault="00F17249">
      <w:pPr>
        <w:pStyle w:val="ListParagraph"/>
        <w:numPr>
          <w:ilvl w:val="0"/>
          <w:numId w:val="190"/>
        </w:numPr>
        <w:tabs>
          <w:tab w:val="left" w:pos="2216"/>
        </w:tabs>
        <w:ind w:left="2216" w:right="574" w:hanging="358"/>
      </w:pPr>
      <w:r w:rsidRPr="00EC20A0">
        <w:t>The internal audit function’s application of a systematic and disciplined approach,</w:t>
      </w:r>
      <w:r w:rsidRPr="00EC20A0">
        <w:rPr>
          <w:spacing w:val="-4"/>
        </w:rPr>
        <w:t xml:space="preserve"> </w:t>
      </w:r>
      <w:r w:rsidRPr="00EC20A0">
        <w:t>including</w:t>
      </w:r>
      <w:r w:rsidRPr="00EC20A0">
        <w:rPr>
          <w:spacing w:val="-4"/>
        </w:rPr>
        <w:t xml:space="preserve"> </w:t>
      </w:r>
      <w:r w:rsidRPr="00EC20A0">
        <w:t>quality</w:t>
      </w:r>
      <w:r w:rsidRPr="00EC20A0">
        <w:rPr>
          <w:spacing w:val="-4"/>
        </w:rPr>
        <w:t xml:space="preserve"> </w:t>
      </w:r>
      <w:r w:rsidRPr="00EC20A0">
        <w:t>control.</w:t>
      </w:r>
      <w:r w:rsidRPr="00EC20A0">
        <w:rPr>
          <w:spacing w:val="-4"/>
        </w:rPr>
        <w:t xml:space="preserve"> </w:t>
      </w:r>
      <w:r w:rsidRPr="00EC20A0">
        <w:t>Factors</w:t>
      </w:r>
      <w:r w:rsidRPr="00EC20A0">
        <w:rPr>
          <w:spacing w:val="-4"/>
        </w:rPr>
        <w:t xml:space="preserve"> </w:t>
      </w:r>
      <w:r w:rsidRPr="00EC20A0">
        <w:t>that</w:t>
      </w:r>
      <w:r w:rsidRPr="00EC20A0">
        <w:rPr>
          <w:spacing w:val="-5"/>
        </w:rPr>
        <w:t xml:space="preserve"> </w:t>
      </w:r>
      <w:r w:rsidRPr="00EC20A0">
        <w:t>may</w:t>
      </w:r>
      <w:r w:rsidRPr="00EC20A0">
        <w:rPr>
          <w:spacing w:val="-4"/>
        </w:rPr>
        <w:t xml:space="preserve"> </w:t>
      </w:r>
      <w:r w:rsidRPr="00EC20A0">
        <w:t>affect</w:t>
      </w:r>
      <w:r w:rsidRPr="00EC20A0">
        <w:rPr>
          <w:spacing w:val="-4"/>
        </w:rPr>
        <w:t xml:space="preserve"> </w:t>
      </w:r>
      <w:r w:rsidRPr="00EC20A0">
        <w:t>this</w:t>
      </w:r>
      <w:r w:rsidRPr="00EC20A0">
        <w:rPr>
          <w:spacing w:val="-4"/>
        </w:rPr>
        <w:t xml:space="preserve"> </w:t>
      </w:r>
      <w:r w:rsidRPr="00EC20A0">
        <w:t>determination can include whether internal audit procedures include areas such as risk assessments, work programs, documentation, and reporting. Another factor includes whether the internal audit function has appropriate quality control requirements in standards set by relevant professional bodies for internal auditors (AU-C 610.A13).</w:t>
      </w:r>
    </w:p>
    <w:p w14:paraId="24D60291" w14:textId="77777777" w:rsidR="00245300" w:rsidRPr="00EC20A0" w:rsidRDefault="00F17249">
      <w:pPr>
        <w:pStyle w:val="BodyText"/>
        <w:spacing w:before="239"/>
        <w:ind w:left="1856" w:right="562"/>
      </w:pPr>
      <w:r w:rsidRPr="00EC20A0">
        <w:t>See</w:t>
      </w:r>
      <w:r w:rsidRPr="00EC20A0">
        <w:rPr>
          <w:spacing w:val="-3"/>
        </w:rPr>
        <w:t xml:space="preserve"> </w:t>
      </w:r>
      <w:r w:rsidRPr="00EC20A0">
        <w:t>FAM</w:t>
      </w:r>
      <w:r w:rsidRPr="00EC20A0">
        <w:rPr>
          <w:spacing w:val="-4"/>
        </w:rPr>
        <w:t xml:space="preserve"> </w:t>
      </w:r>
      <w:r w:rsidRPr="00EC20A0">
        <w:t>615</w:t>
      </w:r>
      <w:r w:rsidRPr="00EC20A0">
        <w:rPr>
          <w:spacing w:val="-3"/>
        </w:rPr>
        <w:t xml:space="preserve"> </w:t>
      </w:r>
      <w:r w:rsidRPr="00EC20A0">
        <w:t>for</w:t>
      </w:r>
      <w:r w:rsidRPr="00EC20A0">
        <w:rPr>
          <w:spacing w:val="-3"/>
        </w:rPr>
        <w:t xml:space="preserve"> </w:t>
      </w:r>
      <w:r w:rsidRPr="00EC20A0">
        <w:t>guidance</w:t>
      </w:r>
      <w:r w:rsidRPr="00EC20A0">
        <w:rPr>
          <w:spacing w:val="-3"/>
        </w:rPr>
        <w:t xml:space="preserve"> </w:t>
      </w:r>
      <w:r w:rsidRPr="00EC20A0">
        <w:t>on</w:t>
      </w:r>
      <w:r w:rsidRPr="00EC20A0">
        <w:rPr>
          <w:spacing w:val="-3"/>
        </w:rPr>
        <w:t xml:space="preserve"> </w:t>
      </w:r>
      <w:r w:rsidRPr="00EC20A0">
        <w:t>evaluating</w:t>
      </w:r>
      <w:r w:rsidRPr="00EC20A0">
        <w:rPr>
          <w:spacing w:val="-3"/>
        </w:rPr>
        <w:t xml:space="preserve"> </w:t>
      </w:r>
      <w:r w:rsidRPr="00EC20A0">
        <w:t>the</w:t>
      </w:r>
      <w:r w:rsidRPr="00EC20A0">
        <w:rPr>
          <w:spacing w:val="-3"/>
        </w:rPr>
        <w:t xml:space="preserve"> </w:t>
      </w:r>
      <w:r w:rsidRPr="00EC20A0">
        <w:t>objectivity</w:t>
      </w:r>
      <w:r w:rsidRPr="00EC20A0">
        <w:rPr>
          <w:spacing w:val="-3"/>
        </w:rPr>
        <w:t xml:space="preserve"> </w:t>
      </w:r>
      <w:r w:rsidRPr="00EC20A0">
        <w:t>and</w:t>
      </w:r>
      <w:r w:rsidRPr="00EC20A0">
        <w:rPr>
          <w:spacing w:val="-4"/>
        </w:rPr>
        <w:t xml:space="preserve"> </w:t>
      </w:r>
      <w:r w:rsidRPr="00EC20A0">
        <w:t>competence</w:t>
      </w:r>
      <w:r w:rsidRPr="00EC20A0">
        <w:rPr>
          <w:spacing w:val="-3"/>
        </w:rPr>
        <w:t xml:space="preserve"> </w:t>
      </w:r>
      <w:r w:rsidRPr="00EC20A0">
        <w:t>of</w:t>
      </w:r>
      <w:r w:rsidRPr="00EC20A0">
        <w:rPr>
          <w:spacing w:val="-3"/>
        </w:rPr>
        <w:t xml:space="preserve"> </w:t>
      </w:r>
      <w:r w:rsidRPr="00EC20A0">
        <w:t>the internal audit function.</w:t>
      </w:r>
    </w:p>
    <w:p w14:paraId="24D60292" w14:textId="77777777" w:rsidR="00245300" w:rsidRPr="00EC20A0" w:rsidRDefault="00F17249">
      <w:pPr>
        <w:pStyle w:val="ListParagraph"/>
        <w:numPr>
          <w:ilvl w:val="0"/>
          <w:numId w:val="15"/>
        </w:numPr>
        <w:tabs>
          <w:tab w:val="left" w:pos="1856"/>
        </w:tabs>
        <w:spacing w:before="241"/>
        <w:ind w:left="1856" w:right="973" w:hanging="721"/>
      </w:pPr>
      <w:r w:rsidRPr="00EC20A0">
        <w:t>The</w:t>
      </w:r>
      <w:r w:rsidRPr="00EC20A0">
        <w:rPr>
          <w:spacing w:val="-3"/>
        </w:rPr>
        <w:t xml:space="preserve"> </w:t>
      </w:r>
      <w:r w:rsidRPr="00EC20A0">
        <w:t>auditor</w:t>
      </w:r>
      <w:r w:rsidRPr="00EC20A0">
        <w:rPr>
          <w:spacing w:val="-5"/>
        </w:rPr>
        <w:t xml:space="preserve"> </w:t>
      </w:r>
      <w:r w:rsidRPr="00EC20A0">
        <w:t>should</w:t>
      </w:r>
      <w:r w:rsidRPr="00EC20A0">
        <w:rPr>
          <w:spacing w:val="-3"/>
        </w:rPr>
        <w:t xml:space="preserve"> </w:t>
      </w:r>
      <w:r w:rsidRPr="00EC20A0">
        <w:t>not</w:t>
      </w:r>
      <w:r w:rsidRPr="00EC20A0">
        <w:rPr>
          <w:spacing w:val="-3"/>
        </w:rPr>
        <w:t xml:space="preserve"> </w:t>
      </w:r>
      <w:r w:rsidRPr="00EC20A0">
        <w:t>use</w:t>
      </w:r>
      <w:r w:rsidRPr="00EC20A0">
        <w:rPr>
          <w:spacing w:val="-3"/>
        </w:rPr>
        <w:t xml:space="preserve"> </w:t>
      </w:r>
      <w:r w:rsidRPr="00EC20A0">
        <w:t>the</w:t>
      </w:r>
      <w:r w:rsidRPr="00EC20A0">
        <w:rPr>
          <w:spacing w:val="-3"/>
        </w:rPr>
        <w:t xml:space="preserve"> </w:t>
      </w:r>
      <w:r w:rsidRPr="00EC20A0">
        <w:t>work</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function</w:t>
      </w:r>
      <w:r w:rsidRPr="00EC20A0">
        <w:rPr>
          <w:spacing w:val="-3"/>
        </w:rPr>
        <w:t xml:space="preserve"> </w:t>
      </w:r>
      <w:r w:rsidRPr="00EC20A0">
        <w:t>in</w:t>
      </w:r>
      <w:r w:rsidRPr="00EC20A0">
        <w:rPr>
          <w:spacing w:val="-3"/>
        </w:rPr>
        <w:t xml:space="preserve"> </w:t>
      </w:r>
      <w:r w:rsidRPr="00EC20A0">
        <w:t>obtaining audit evidence if the external auditor determines that</w:t>
      </w:r>
    </w:p>
    <w:p w14:paraId="24D60293" w14:textId="77777777" w:rsidR="00245300" w:rsidRPr="00EC20A0" w:rsidRDefault="00F17249">
      <w:pPr>
        <w:pStyle w:val="ListParagraph"/>
        <w:numPr>
          <w:ilvl w:val="0"/>
          <w:numId w:val="189"/>
        </w:numPr>
        <w:tabs>
          <w:tab w:val="left" w:pos="2219"/>
        </w:tabs>
        <w:ind w:right="720"/>
      </w:pPr>
      <w:r w:rsidRPr="00EC20A0">
        <w:t>the</w:t>
      </w:r>
      <w:r w:rsidRPr="00EC20A0">
        <w:rPr>
          <w:spacing w:val="-4"/>
        </w:rPr>
        <w:t xml:space="preserve"> </w:t>
      </w:r>
      <w:r w:rsidRPr="00EC20A0">
        <w:t>function’s</w:t>
      </w:r>
      <w:r w:rsidRPr="00EC20A0">
        <w:rPr>
          <w:spacing w:val="-4"/>
        </w:rPr>
        <w:t xml:space="preserve"> </w:t>
      </w:r>
      <w:r w:rsidRPr="00EC20A0">
        <w:t>organizational</w:t>
      </w:r>
      <w:r w:rsidRPr="00EC20A0">
        <w:rPr>
          <w:spacing w:val="-4"/>
        </w:rPr>
        <w:t xml:space="preserve"> </w:t>
      </w:r>
      <w:r w:rsidRPr="00EC20A0">
        <w:t>status</w:t>
      </w:r>
      <w:r w:rsidRPr="00EC20A0">
        <w:rPr>
          <w:spacing w:val="-5"/>
        </w:rPr>
        <w:t xml:space="preserve"> </w:t>
      </w:r>
      <w:r w:rsidRPr="00EC20A0">
        <w:t>and</w:t>
      </w:r>
      <w:r w:rsidRPr="00EC20A0">
        <w:rPr>
          <w:spacing w:val="-4"/>
        </w:rPr>
        <w:t xml:space="preserve"> </w:t>
      </w:r>
      <w:r w:rsidRPr="00EC20A0">
        <w:t>relevant</w:t>
      </w:r>
      <w:r w:rsidRPr="00EC20A0">
        <w:rPr>
          <w:spacing w:val="-5"/>
        </w:rPr>
        <w:t xml:space="preserve"> </w:t>
      </w:r>
      <w:r w:rsidRPr="00EC20A0">
        <w:t>policies</w:t>
      </w:r>
      <w:r w:rsidRPr="00EC20A0">
        <w:rPr>
          <w:spacing w:val="-4"/>
        </w:rPr>
        <w:t xml:space="preserve"> </w:t>
      </w:r>
      <w:r w:rsidRPr="00EC20A0">
        <w:t>and</w:t>
      </w:r>
      <w:r w:rsidRPr="00EC20A0">
        <w:rPr>
          <w:spacing w:val="-5"/>
        </w:rPr>
        <w:t xml:space="preserve"> </w:t>
      </w:r>
      <w:r w:rsidRPr="00EC20A0">
        <w:t>procedures</w:t>
      </w:r>
      <w:r w:rsidRPr="00EC20A0">
        <w:rPr>
          <w:spacing w:val="-5"/>
        </w:rPr>
        <w:t xml:space="preserve"> </w:t>
      </w:r>
      <w:r w:rsidRPr="00EC20A0">
        <w:t>do not adequately support the objectivity of internal auditors;</w:t>
      </w:r>
    </w:p>
    <w:p w14:paraId="24D60294" w14:textId="77777777" w:rsidR="00245300" w:rsidRPr="00EC20A0" w:rsidRDefault="00F17249">
      <w:pPr>
        <w:pStyle w:val="ListParagraph"/>
        <w:numPr>
          <w:ilvl w:val="0"/>
          <w:numId w:val="189"/>
        </w:numPr>
        <w:tabs>
          <w:tab w:val="left" w:pos="2218"/>
        </w:tabs>
        <w:spacing w:before="239"/>
        <w:ind w:left="2218" w:hanging="359"/>
      </w:pPr>
      <w:r w:rsidRPr="00EC20A0">
        <w:t>the</w:t>
      </w:r>
      <w:r w:rsidRPr="00EC20A0">
        <w:rPr>
          <w:spacing w:val="-9"/>
        </w:rPr>
        <w:t xml:space="preserve"> </w:t>
      </w:r>
      <w:r w:rsidRPr="00EC20A0">
        <w:t>function</w:t>
      </w:r>
      <w:r w:rsidRPr="00EC20A0">
        <w:rPr>
          <w:spacing w:val="-8"/>
        </w:rPr>
        <w:t xml:space="preserve"> </w:t>
      </w:r>
      <w:r w:rsidRPr="00EC20A0">
        <w:t>lacks</w:t>
      </w:r>
      <w:r w:rsidRPr="00EC20A0">
        <w:rPr>
          <w:spacing w:val="-9"/>
        </w:rPr>
        <w:t xml:space="preserve"> </w:t>
      </w:r>
      <w:r w:rsidRPr="00EC20A0">
        <w:t>sufficient</w:t>
      </w:r>
      <w:r w:rsidRPr="00EC20A0">
        <w:rPr>
          <w:spacing w:val="-8"/>
        </w:rPr>
        <w:t xml:space="preserve"> </w:t>
      </w:r>
      <w:r w:rsidRPr="00EC20A0">
        <w:t>competence;</w:t>
      </w:r>
      <w:r w:rsidRPr="00EC20A0">
        <w:rPr>
          <w:spacing w:val="-9"/>
        </w:rPr>
        <w:t xml:space="preserve"> </w:t>
      </w:r>
      <w:r w:rsidRPr="00EC20A0">
        <w:rPr>
          <w:spacing w:val="-5"/>
        </w:rPr>
        <w:t>or</w:t>
      </w:r>
    </w:p>
    <w:p w14:paraId="24D60295" w14:textId="77777777" w:rsidR="00245300" w:rsidRPr="00EC20A0" w:rsidRDefault="00245300">
      <w:pPr>
        <w:sectPr w:rsidR="00245300" w:rsidRPr="00EC20A0">
          <w:pgSz w:w="12240" w:h="15840"/>
          <w:pgMar w:top="1340" w:right="940" w:bottom="940" w:left="1020" w:header="721" w:footer="757" w:gutter="0"/>
          <w:cols w:space="720"/>
        </w:sectPr>
      </w:pPr>
    </w:p>
    <w:p w14:paraId="24D60296" w14:textId="77777777" w:rsidR="00245300" w:rsidRPr="00EC20A0" w:rsidRDefault="00F17249">
      <w:pPr>
        <w:pStyle w:val="ListParagraph"/>
        <w:numPr>
          <w:ilvl w:val="0"/>
          <w:numId w:val="189"/>
        </w:numPr>
        <w:tabs>
          <w:tab w:val="left" w:pos="2219"/>
        </w:tabs>
        <w:spacing w:before="121"/>
        <w:ind w:right="659"/>
      </w:pPr>
      <w:r w:rsidRPr="00EC20A0">
        <w:t>the</w:t>
      </w:r>
      <w:r w:rsidRPr="00EC20A0">
        <w:rPr>
          <w:spacing w:val="-4"/>
        </w:rPr>
        <w:t xml:space="preserve"> </w:t>
      </w:r>
      <w:r w:rsidRPr="00EC20A0">
        <w:t>function</w:t>
      </w:r>
      <w:r w:rsidRPr="00EC20A0">
        <w:rPr>
          <w:spacing w:val="-5"/>
        </w:rPr>
        <w:t xml:space="preserve"> </w:t>
      </w:r>
      <w:r w:rsidRPr="00EC20A0">
        <w:t>does</w:t>
      </w:r>
      <w:r w:rsidRPr="00EC20A0">
        <w:rPr>
          <w:spacing w:val="-4"/>
        </w:rPr>
        <w:t xml:space="preserve"> </w:t>
      </w:r>
      <w:r w:rsidRPr="00EC20A0">
        <w:t>not</w:t>
      </w:r>
      <w:r w:rsidRPr="00EC20A0">
        <w:rPr>
          <w:spacing w:val="-4"/>
        </w:rPr>
        <w:t xml:space="preserve"> </w:t>
      </w:r>
      <w:r w:rsidRPr="00EC20A0">
        <w:t>apply</w:t>
      </w:r>
      <w:r w:rsidRPr="00EC20A0">
        <w:rPr>
          <w:spacing w:val="-4"/>
        </w:rPr>
        <w:t xml:space="preserve"> </w:t>
      </w:r>
      <w:r w:rsidRPr="00EC20A0">
        <w:t>a</w:t>
      </w:r>
      <w:r w:rsidRPr="00EC20A0">
        <w:rPr>
          <w:spacing w:val="-4"/>
        </w:rPr>
        <w:t xml:space="preserve"> </w:t>
      </w:r>
      <w:r w:rsidRPr="00EC20A0">
        <w:t>systematic</w:t>
      </w:r>
      <w:r w:rsidRPr="00EC20A0">
        <w:rPr>
          <w:spacing w:val="-4"/>
        </w:rPr>
        <w:t xml:space="preserve"> </w:t>
      </w:r>
      <w:r w:rsidRPr="00EC20A0">
        <w:t>and</w:t>
      </w:r>
      <w:r w:rsidRPr="00EC20A0">
        <w:rPr>
          <w:spacing w:val="-4"/>
        </w:rPr>
        <w:t xml:space="preserve"> </w:t>
      </w:r>
      <w:r w:rsidRPr="00EC20A0">
        <w:t>disciplined</w:t>
      </w:r>
      <w:r w:rsidRPr="00EC20A0">
        <w:rPr>
          <w:spacing w:val="-4"/>
        </w:rPr>
        <w:t xml:space="preserve"> </w:t>
      </w:r>
      <w:r w:rsidRPr="00EC20A0">
        <w:t>approach,</w:t>
      </w:r>
      <w:r w:rsidRPr="00EC20A0">
        <w:rPr>
          <w:spacing w:val="-4"/>
        </w:rPr>
        <w:t xml:space="preserve"> </w:t>
      </w:r>
      <w:r w:rsidRPr="00EC20A0">
        <w:t>including quality control (AU-C 610.14).</w:t>
      </w:r>
    </w:p>
    <w:p w14:paraId="24D60297" w14:textId="77777777" w:rsidR="00245300" w:rsidRPr="00EC20A0" w:rsidRDefault="00F17249">
      <w:pPr>
        <w:pStyle w:val="ListParagraph"/>
        <w:numPr>
          <w:ilvl w:val="0"/>
          <w:numId w:val="15"/>
        </w:numPr>
        <w:tabs>
          <w:tab w:val="left" w:pos="1859"/>
        </w:tabs>
        <w:spacing w:before="239"/>
        <w:ind w:left="1859" w:right="601"/>
      </w:pPr>
      <w:r w:rsidRPr="00EC20A0">
        <w:t xml:space="preserve">As a basis for determining the areas and the extent to which the work of </w:t>
      </w:r>
      <w:r w:rsidRPr="00EC20A0">
        <w:t>the internal audit function can be used, the auditor should consider the nature, timing, and extent of the work that has been performed, or is planned to be performed,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function</w:t>
      </w:r>
      <w:r w:rsidRPr="00EC20A0">
        <w:rPr>
          <w:spacing w:val="-3"/>
        </w:rPr>
        <w:t xml:space="preserve"> </w:t>
      </w:r>
      <w:r w:rsidRPr="00EC20A0">
        <w:t>and</w:t>
      </w:r>
      <w:r w:rsidRPr="00EC20A0">
        <w:rPr>
          <w:spacing w:val="-3"/>
        </w:rPr>
        <w:t xml:space="preserve"> </w:t>
      </w:r>
      <w:r w:rsidRPr="00EC20A0">
        <w:t>its</w:t>
      </w:r>
      <w:r w:rsidRPr="00EC20A0">
        <w:rPr>
          <w:spacing w:val="-3"/>
        </w:rPr>
        <w:t xml:space="preserve"> </w:t>
      </w:r>
      <w:r w:rsidRPr="00EC20A0">
        <w:t>relevance</w:t>
      </w:r>
      <w:r w:rsidRPr="00EC20A0">
        <w:rPr>
          <w:spacing w:val="-3"/>
        </w:rPr>
        <w:t xml:space="preserve"> </w:t>
      </w:r>
      <w:r w:rsidRPr="00EC20A0">
        <w:t>to</w:t>
      </w:r>
      <w:r w:rsidRPr="00EC20A0">
        <w:rPr>
          <w:spacing w:val="-4"/>
        </w:rPr>
        <w:t xml:space="preserve"> </w:t>
      </w:r>
      <w:r w:rsidRPr="00EC20A0">
        <w:t>the</w:t>
      </w:r>
      <w:r w:rsidRPr="00EC20A0">
        <w:rPr>
          <w:spacing w:val="-3"/>
        </w:rPr>
        <w:t xml:space="preserve"> </w:t>
      </w:r>
      <w:r w:rsidRPr="00EC20A0">
        <w:t>auditor’s</w:t>
      </w:r>
      <w:r w:rsidRPr="00EC20A0">
        <w:rPr>
          <w:spacing w:val="-4"/>
        </w:rPr>
        <w:t xml:space="preserve"> </w:t>
      </w:r>
      <w:r w:rsidRPr="00EC20A0">
        <w:t xml:space="preserve">overall audit strategy and audit plan (AU-C 610.15). For example, internal auditors may be performing tests of relevant controls that address a material misstatement related to the completeness of accounts payable. Alternatively, the internal auditors may be observing physical </w:t>
      </w:r>
      <w:r w:rsidRPr="00EC20A0">
        <w:t>inventories. In either case, the auditor may change the timing or scope of its own testing when using the work of internal auditors (AU-C 610.A20).</w:t>
      </w:r>
    </w:p>
    <w:p w14:paraId="24D60298" w14:textId="77777777" w:rsidR="00245300" w:rsidRPr="00EC20A0" w:rsidRDefault="00F17249">
      <w:pPr>
        <w:pStyle w:val="ListParagraph"/>
        <w:numPr>
          <w:ilvl w:val="0"/>
          <w:numId w:val="15"/>
        </w:numPr>
        <w:tabs>
          <w:tab w:val="left" w:pos="1859"/>
        </w:tabs>
        <w:spacing w:before="241"/>
        <w:ind w:left="1859" w:right="992"/>
      </w:pPr>
      <w:r w:rsidRPr="00EC20A0">
        <w:t>The auditor should make all significant judgments in the audit engagement, including</w:t>
      </w:r>
      <w:r w:rsidRPr="00EC20A0">
        <w:rPr>
          <w:spacing w:val="-3"/>
        </w:rPr>
        <w:t xml:space="preserve"> </w:t>
      </w:r>
      <w:r w:rsidRPr="00EC20A0">
        <w:t>when</w:t>
      </w:r>
      <w:r w:rsidRPr="00EC20A0">
        <w:rPr>
          <w:spacing w:val="-3"/>
        </w:rPr>
        <w:t xml:space="preserve"> </w:t>
      </w:r>
      <w:r w:rsidRPr="00EC20A0">
        <w:t>using</w:t>
      </w:r>
      <w:r w:rsidRPr="00EC20A0">
        <w:rPr>
          <w:spacing w:val="-3"/>
        </w:rPr>
        <w:t xml:space="preserve"> </w:t>
      </w:r>
      <w:r w:rsidRPr="00EC20A0">
        <w:t>the</w:t>
      </w:r>
      <w:r w:rsidRPr="00EC20A0">
        <w:rPr>
          <w:spacing w:val="-4"/>
        </w:rPr>
        <w:t xml:space="preserve"> </w:t>
      </w:r>
      <w:r w:rsidRPr="00EC20A0">
        <w:t>work</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function</w:t>
      </w:r>
      <w:r w:rsidRPr="00EC20A0">
        <w:rPr>
          <w:spacing w:val="-3"/>
        </w:rPr>
        <w:t xml:space="preserve"> </w:t>
      </w:r>
      <w:r w:rsidRPr="00EC20A0">
        <w:t>in</w:t>
      </w:r>
      <w:r w:rsidRPr="00EC20A0">
        <w:rPr>
          <w:spacing w:val="-4"/>
        </w:rPr>
        <w:t xml:space="preserve"> </w:t>
      </w:r>
      <w:r w:rsidRPr="00EC20A0">
        <w:t>obtaining</w:t>
      </w:r>
      <w:r w:rsidRPr="00EC20A0">
        <w:rPr>
          <w:spacing w:val="-3"/>
        </w:rPr>
        <w:t xml:space="preserve"> </w:t>
      </w:r>
      <w:r w:rsidRPr="00EC20A0">
        <w:t>audit evidence (AU-C 610.16).</w:t>
      </w:r>
    </w:p>
    <w:p w14:paraId="24D60299" w14:textId="77777777" w:rsidR="00245300" w:rsidRPr="00EC20A0" w:rsidRDefault="00F17249">
      <w:pPr>
        <w:pStyle w:val="ListParagraph"/>
        <w:numPr>
          <w:ilvl w:val="0"/>
          <w:numId w:val="188"/>
        </w:numPr>
        <w:tabs>
          <w:tab w:val="left" w:pos="1859"/>
        </w:tabs>
        <w:ind w:right="690" w:hanging="720"/>
      </w:pPr>
      <w:r w:rsidRPr="00EC20A0">
        <w:t>To prevent undue use of the internal audit function in obtaining audit evidence, the</w:t>
      </w:r>
      <w:r w:rsidRPr="00EC20A0">
        <w:rPr>
          <w:spacing w:val="-3"/>
        </w:rPr>
        <w:t xml:space="preserve"> </w:t>
      </w:r>
      <w:r w:rsidRPr="00EC20A0">
        <w:t>auditor</w:t>
      </w:r>
      <w:r w:rsidRPr="00EC20A0">
        <w:rPr>
          <w:spacing w:val="-3"/>
        </w:rPr>
        <w:t xml:space="preserve"> </w:t>
      </w:r>
      <w:r w:rsidRPr="00EC20A0">
        <w:t>should</w:t>
      </w:r>
      <w:r w:rsidRPr="00EC20A0">
        <w:rPr>
          <w:spacing w:val="-3"/>
        </w:rPr>
        <w:t xml:space="preserve"> </w:t>
      </w:r>
      <w:r w:rsidRPr="00EC20A0">
        <w:t>plan</w:t>
      </w:r>
      <w:r w:rsidRPr="00EC20A0">
        <w:rPr>
          <w:spacing w:val="-3"/>
        </w:rPr>
        <w:t xml:space="preserve"> </w:t>
      </w:r>
      <w:r w:rsidRPr="00EC20A0">
        <w:t>to</w:t>
      </w:r>
      <w:r w:rsidRPr="00EC20A0">
        <w:rPr>
          <w:spacing w:val="-3"/>
        </w:rPr>
        <w:t xml:space="preserve"> </w:t>
      </w:r>
      <w:r w:rsidRPr="00EC20A0">
        <w:t>use</w:t>
      </w:r>
      <w:r w:rsidRPr="00EC20A0">
        <w:rPr>
          <w:spacing w:val="-3"/>
        </w:rPr>
        <w:t xml:space="preserve"> </w:t>
      </w:r>
      <w:r w:rsidRPr="00EC20A0">
        <w:t>less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function</w:t>
      </w:r>
      <w:r w:rsidRPr="00EC20A0">
        <w:rPr>
          <w:spacing w:val="-4"/>
        </w:rPr>
        <w:t xml:space="preserve"> </w:t>
      </w:r>
      <w:r w:rsidRPr="00EC20A0">
        <w:t>and</w:t>
      </w:r>
      <w:r w:rsidRPr="00EC20A0">
        <w:rPr>
          <w:spacing w:val="-3"/>
        </w:rPr>
        <w:t xml:space="preserve"> </w:t>
      </w:r>
      <w:r w:rsidRPr="00EC20A0">
        <w:t>perform</w:t>
      </w:r>
      <w:r w:rsidRPr="00EC20A0">
        <w:rPr>
          <w:spacing w:val="-4"/>
        </w:rPr>
        <w:t xml:space="preserve"> </w:t>
      </w:r>
      <w:r w:rsidRPr="00EC20A0">
        <w:t xml:space="preserve">more of the work </w:t>
      </w:r>
      <w:r w:rsidRPr="00EC20A0">
        <w:t>directly</w:t>
      </w:r>
    </w:p>
    <w:p w14:paraId="24D6029A" w14:textId="77777777" w:rsidR="00245300" w:rsidRPr="00EC20A0" w:rsidRDefault="00F17249">
      <w:pPr>
        <w:pStyle w:val="ListParagraph"/>
        <w:numPr>
          <w:ilvl w:val="1"/>
          <w:numId w:val="188"/>
        </w:numPr>
        <w:tabs>
          <w:tab w:val="left" w:pos="2219"/>
        </w:tabs>
        <w:ind w:hanging="359"/>
      </w:pPr>
      <w:r w:rsidRPr="00EC20A0">
        <w:t>when</w:t>
      </w:r>
      <w:r w:rsidRPr="00EC20A0">
        <w:rPr>
          <w:spacing w:val="-9"/>
        </w:rPr>
        <w:t xml:space="preserve"> </w:t>
      </w:r>
      <w:r w:rsidRPr="00EC20A0">
        <w:t>there</w:t>
      </w:r>
      <w:r w:rsidRPr="00EC20A0">
        <w:rPr>
          <w:spacing w:val="-6"/>
        </w:rPr>
        <w:t xml:space="preserve"> </w:t>
      </w:r>
      <w:r w:rsidRPr="00EC20A0">
        <w:t>are</w:t>
      </w:r>
      <w:r w:rsidRPr="00EC20A0">
        <w:rPr>
          <w:spacing w:val="-6"/>
        </w:rPr>
        <w:t xml:space="preserve"> </w:t>
      </w:r>
      <w:r w:rsidRPr="00EC20A0">
        <w:t>greater</w:t>
      </w:r>
      <w:r w:rsidRPr="00EC20A0">
        <w:rPr>
          <w:spacing w:val="-7"/>
        </w:rPr>
        <w:t xml:space="preserve"> </w:t>
      </w:r>
      <w:r w:rsidRPr="00EC20A0">
        <w:t>levels</w:t>
      </w:r>
      <w:r w:rsidRPr="00EC20A0">
        <w:rPr>
          <w:spacing w:val="-6"/>
        </w:rPr>
        <w:t xml:space="preserve"> </w:t>
      </w:r>
      <w:r w:rsidRPr="00EC20A0">
        <w:t>of</w:t>
      </w:r>
      <w:r w:rsidRPr="00EC20A0">
        <w:rPr>
          <w:spacing w:val="-7"/>
        </w:rPr>
        <w:t xml:space="preserve"> </w:t>
      </w:r>
      <w:r w:rsidRPr="00EC20A0">
        <w:t>judgment</w:t>
      </w:r>
      <w:r w:rsidRPr="00EC20A0">
        <w:rPr>
          <w:spacing w:val="-6"/>
        </w:rPr>
        <w:t xml:space="preserve"> </w:t>
      </w:r>
      <w:r w:rsidRPr="00EC20A0">
        <w:t>involved</w:t>
      </w:r>
      <w:r w:rsidRPr="00EC20A0">
        <w:rPr>
          <w:spacing w:val="-6"/>
        </w:rPr>
        <w:t xml:space="preserve"> </w:t>
      </w:r>
      <w:r w:rsidRPr="00EC20A0">
        <w:rPr>
          <w:spacing w:val="-5"/>
        </w:rPr>
        <w:t>in</w:t>
      </w:r>
    </w:p>
    <w:p w14:paraId="24D6029B" w14:textId="77777777" w:rsidR="00245300" w:rsidRPr="00EC20A0" w:rsidRDefault="00F17249">
      <w:pPr>
        <w:pStyle w:val="ListParagraph"/>
        <w:numPr>
          <w:ilvl w:val="2"/>
          <w:numId w:val="188"/>
        </w:numPr>
        <w:tabs>
          <w:tab w:val="left" w:pos="2579"/>
        </w:tabs>
        <w:spacing w:before="239"/>
      </w:pPr>
      <w:r w:rsidRPr="00EC20A0">
        <w:t>planning</w:t>
      </w:r>
      <w:r w:rsidRPr="00EC20A0">
        <w:rPr>
          <w:spacing w:val="-9"/>
        </w:rPr>
        <w:t xml:space="preserve"> </w:t>
      </w:r>
      <w:r w:rsidRPr="00EC20A0">
        <w:t>and</w:t>
      </w:r>
      <w:r w:rsidRPr="00EC20A0">
        <w:rPr>
          <w:spacing w:val="-8"/>
        </w:rPr>
        <w:t xml:space="preserve"> </w:t>
      </w:r>
      <w:r w:rsidRPr="00EC20A0">
        <w:t>performing</w:t>
      </w:r>
      <w:r w:rsidRPr="00EC20A0">
        <w:rPr>
          <w:spacing w:val="-9"/>
        </w:rPr>
        <w:t xml:space="preserve"> </w:t>
      </w:r>
      <w:r w:rsidRPr="00EC20A0">
        <w:t>relevant</w:t>
      </w:r>
      <w:r w:rsidRPr="00EC20A0">
        <w:rPr>
          <w:spacing w:val="-8"/>
        </w:rPr>
        <w:t xml:space="preserve"> </w:t>
      </w:r>
      <w:r w:rsidRPr="00EC20A0">
        <w:t>audit</w:t>
      </w:r>
      <w:r w:rsidRPr="00EC20A0">
        <w:rPr>
          <w:spacing w:val="-9"/>
        </w:rPr>
        <w:t xml:space="preserve"> </w:t>
      </w:r>
      <w:r w:rsidRPr="00EC20A0">
        <w:t>procedures</w:t>
      </w:r>
      <w:r w:rsidRPr="00EC20A0">
        <w:rPr>
          <w:spacing w:val="-8"/>
        </w:rPr>
        <w:t xml:space="preserve"> </w:t>
      </w:r>
      <w:r w:rsidRPr="00EC20A0">
        <w:rPr>
          <w:spacing w:val="-5"/>
        </w:rPr>
        <w:t>or</w:t>
      </w:r>
    </w:p>
    <w:p w14:paraId="24D6029C" w14:textId="77777777" w:rsidR="00245300" w:rsidRPr="00EC20A0" w:rsidRDefault="00F17249">
      <w:pPr>
        <w:pStyle w:val="ListParagraph"/>
        <w:numPr>
          <w:ilvl w:val="2"/>
          <w:numId w:val="188"/>
        </w:numPr>
        <w:tabs>
          <w:tab w:val="left" w:pos="2579"/>
        </w:tabs>
        <w:spacing w:before="239"/>
      </w:pPr>
      <w:r w:rsidRPr="00EC20A0">
        <w:t>evaluating</w:t>
      </w:r>
      <w:r w:rsidRPr="00EC20A0">
        <w:rPr>
          <w:spacing w:val="-8"/>
        </w:rPr>
        <w:t xml:space="preserve"> </w:t>
      </w:r>
      <w:r w:rsidRPr="00EC20A0">
        <w:t>the</w:t>
      </w:r>
      <w:r w:rsidRPr="00EC20A0">
        <w:rPr>
          <w:spacing w:val="-7"/>
        </w:rPr>
        <w:t xml:space="preserve"> </w:t>
      </w:r>
      <w:r w:rsidRPr="00EC20A0">
        <w:t>audit</w:t>
      </w:r>
      <w:r w:rsidRPr="00EC20A0">
        <w:rPr>
          <w:spacing w:val="-7"/>
        </w:rPr>
        <w:t xml:space="preserve"> </w:t>
      </w:r>
      <w:r w:rsidRPr="00EC20A0">
        <w:t>evidence</w:t>
      </w:r>
      <w:r w:rsidRPr="00EC20A0">
        <w:rPr>
          <w:spacing w:val="-7"/>
        </w:rPr>
        <w:t xml:space="preserve"> </w:t>
      </w:r>
      <w:r w:rsidRPr="00EC20A0">
        <w:rPr>
          <w:spacing w:val="-2"/>
        </w:rPr>
        <w:t>obtained;</w:t>
      </w:r>
    </w:p>
    <w:p w14:paraId="24D6029D" w14:textId="77777777" w:rsidR="00245300" w:rsidRPr="00EC20A0" w:rsidRDefault="00F17249">
      <w:pPr>
        <w:pStyle w:val="ListParagraph"/>
        <w:numPr>
          <w:ilvl w:val="1"/>
          <w:numId w:val="188"/>
        </w:numPr>
        <w:tabs>
          <w:tab w:val="left" w:pos="2217"/>
          <w:tab w:val="left" w:pos="2219"/>
        </w:tabs>
        <w:spacing w:before="239"/>
        <w:ind w:right="723" w:hanging="361"/>
      </w:pPr>
      <w:r w:rsidRPr="00EC20A0">
        <w:t>the</w:t>
      </w:r>
      <w:r w:rsidRPr="00EC20A0">
        <w:rPr>
          <w:spacing w:val="-4"/>
        </w:rPr>
        <w:t xml:space="preserve"> </w:t>
      </w:r>
      <w:r w:rsidRPr="00EC20A0">
        <w:t>higher</w:t>
      </w:r>
      <w:r w:rsidRPr="00EC20A0">
        <w:rPr>
          <w:spacing w:val="-4"/>
        </w:rPr>
        <w:t xml:space="preserve"> </w:t>
      </w:r>
      <w:r w:rsidRPr="00EC20A0">
        <w:t>the</w:t>
      </w:r>
      <w:r w:rsidRPr="00EC20A0">
        <w:rPr>
          <w:spacing w:val="-4"/>
        </w:rPr>
        <w:t xml:space="preserve"> </w:t>
      </w:r>
      <w:r w:rsidRPr="00EC20A0">
        <w:t>assessed</w:t>
      </w:r>
      <w:r w:rsidRPr="00EC20A0">
        <w:rPr>
          <w:spacing w:val="-5"/>
        </w:rPr>
        <w:t xml:space="preserve"> </w:t>
      </w:r>
      <w:r w:rsidRPr="00EC20A0">
        <w:t>risk</w:t>
      </w:r>
      <w:r w:rsidRPr="00EC20A0">
        <w:rPr>
          <w:spacing w:val="-4"/>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assertion</w:t>
      </w:r>
      <w:r w:rsidRPr="00EC20A0">
        <w:rPr>
          <w:spacing w:val="-4"/>
        </w:rPr>
        <w:t xml:space="preserve"> </w:t>
      </w:r>
      <w:r w:rsidRPr="00EC20A0">
        <w:t>level, with special consideration given to significant risks;</w:t>
      </w:r>
    </w:p>
    <w:p w14:paraId="24D6029E" w14:textId="77777777" w:rsidR="00245300" w:rsidRPr="00EC20A0" w:rsidRDefault="00F17249">
      <w:pPr>
        <w:pStyle w:val="ListParagraph"/>
        <w:numPr>
          <w:ilvl w:val="1"/>
          <w:numId w:val="188"/>
        </w:numPr>
        <w:tabs>
          <w:tab w:val="left" w:pos="2219"/>
        </w:tabs>
        <w:spacing w:before="239"/>
        <w:ind w:right="1013"/>
      </w:pPr>
      <w:r w:rsidRPr="00EC20A0">
        <w:t>the less the internal audit function’s organizational status and relevant policies</w:t>
      </w:r>
      <w:r w:rsidRPr="00EC20A0">
        <w:rPr>
          <w:spacing w:val="-4"/>
        </w:rPr>
        <w:t xml:space="preserve"> </w:t>
      </w:r>
      <w:r w:rsidRPr="00EC20A0">
        <w:t>and</w:t>
      </w:r>
      <w:r w:rsidRPr="00EC20A0">
        <w:rPr>
          <w:spacing w:val="-5"/>
        </w:rPr>
        <w:t xml:space="preserve"> </w:t>
      </w:r>
      <w:r w:rsidRPr="00EC20A0">
        <w:t>procedures</w:t>
      </w:r>
      <w:r w:rsidRPr="00EC20A0">
        <w:rPr>
          <w:spacing w:val="-5"/>
        </w:rPr>
        <w:t xml:space="preserve"> </w:t>
      </w:r>
      <w:r w:rsidRPr="00EC20A0">
        <w:t>adequately</w:t>
      </w:r>
      <w:r w:rsidRPr="00EC20A0">
        <w:rPr>
          <w:spacing w:val="-5"/>
        </w:rPr>
        <w:t xml:space="preserve"> </w:t>
      </w:r>
      <w:r w:rsidRPr="00EC20A0">
        <w:t>support</w:t>
      </w:r>
      <w:r w:rsidRPr="00EC20A0">
        <w:rPr>
          <w:spacing w:val="-4"/>
        </w:rPr>
        <w:t xml:space="preserve"> </w:t>
      </w:r>
      <w:r w:rsidRPr="00EC20A0">
        <w:t>the</w:t>
      </w:r>
      <w:r w:rsidRPr="00EC20A0">
        <w:rPr>
          <w:spacing w:val="-5"/>
        </w:rPr>
        <w:t xml:space="preserve"> </w:t>
      </w:r>
      <w:r w:rsidRPr="00EC20A0">
        <w:t>objectivity</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internal auditors; and</w:t>
      </w:r>
    </w:p>
    <w:p w14:paraId="24D6029F" w14:textId="77777777" w:rsidR="00245300" w:rsidRPr="00EC20A0" w:rsidRDefault="00F17249">
      <w:pPr>
        <w:pStyle w:val="ListParagraph"/>
        <w:numPr>
          <w:ilvl w:val="1"/>
          <w:numId w:val="188"/>
        </w:numPr>
        <w:tabs>
          <w:tab w:val="left" w:pos="2218"/>
        </w:tabs>
        <w:spacing w:before="241"/>
        <w:ind w:left="2218" w:right="2018"/>
      </w:pPr>
      <w:r w:rsidRPr="00EC20A0">
        <w:t>the</w:t>
      </w:r>
      <w:r w:rsidRPr="00EC20A0">
        <w:rPr>
          <w:spacing w:val="-4"/>
        </w:rPr>
        <w:t xml:space="preserve"> </w:t>
      </w:r>
      <w:r w:rsidRPr="00EC20A0">
        <w:t>lower</w:t>
      </w:r>
      <w:r w:rsidRPr="00EC20A0">
        <w:rPr>
          <w:spacing w:val="-4"/>
        </w:rPr>
        <w:t xml:space="preserve"> </w:t>
      </w:r>
      <w:r w:rsidRPr="00EC20A0">
        <w:t>the</w:t>
      </w:r>
      <w:r w:rsidRPr="00EC20A0">
        <w:rPr>
          <w:spacing w:val="-4"/>
        </w:rPr>
        <w:t xml:space="preserve"> </w:t>
      </w:r>
      <w:r w:rsidRPr="00EC20A0">
        <w:t>level</w:t>
      </w:r>
      <w:r w:rsidRPr="00EC20A0">
        <w:rPr>
          <w:spacing w:val="-4"/>
        </w:rPr>
        <w:t xml:space="preserve"> </w:t>
      </w:r>
      <w:r w:rsidRPr="00EC20A0">
        <w:t>of</w:t>
      </w:r>
      <w:r w:rsidRPr="00EC20A0">
        <w:rPr>
          <w:spacing w:val="-5"/>
        </w:rPr>
        <w:t xml:space="preserve"> </w:t>
      </w:r>
      <w:r w:rsidRPr="00EC20A0">
        <w:t>competence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internal</w:t>
      </w:r>
      <w:r w:rsidRPr="00EC20A0">
        <w:rPr>
          <w:spacing w:val="-5"/>
        </w:rPr>
        <w:t xml:space="preserve"> </w:t>
      </w:r>
      <w:r w:rsidRPr="00EC20A0">
        <w:t>audit</w:t>
      </w:r>
      <w:r w:rsidRPr="00EC20A0">
        <w:rPr>
          <w:spacing w:val="-4"/>
        </w:rPr>
        <w:t xml:space="preserve"> </w:t>
      </w:r>
      <w:r w:rsidRPr="00EC20A0">
        <w:t>function (AU-C 610.17).</w:t>
      </w:r>
    </w:p>
    <w:p w14:paraId="24D602A0" w14:textId="77777777" w:rsidR="00245300" w:rsidRPr="00EC20A0" w:rsidRDefault="00F17249">
      <w:pPr>
        <w:pStyle w:val="ListParagraph"/>
        <w:numPr>
          <w:ilvl w:val="0"/>
          <w:numId w:val="188"/>
        </w:numPr>
        <w:tabs>
          <w:tab w:val="left" w:pos="1857"/>
        </w:tabs>
        <w:spacing w:before="239"/>
        <w:ind w:left="1857" w:right="554" w:hanging="719"/>
      </w:pPr>
      <w:r w:rsidRPr="00EC20A0">
        <w:t>The auditor should also evaluate whether, in aggregate, using the work of the internal audit function in obtaining audit evidence to the extent planned, together with any planned use of internal auditors to provide direct assistance, would result</w:t>
      </w:r>
      <w:r w:rsidRPr="00EC20A0">
        <w:rPr>
          <w:spacing w:val="-2"/>
        </w:rPr>
        <w:t xml:space="preserve"> </w:t>
      </w:r>
      <w:r w:rsidRPr="00EC20A0">
        <w:t>in</w:t>
      </w:r>
      <w:r w:rsidRPr="00EC20A0">
        <w:rPr>
          <w:spacing w:val="-2"/>
        </w:rPr>
        <w:t xml:space="preserve"> </w:t>
      </w:r>
      <w:r w:rsidRPr="00EC20A0">
        <w:t>the</w:t>
      </w:r>
      <w:r w:rsidRPr="00EC20A0">
        <w:rPr>
          <w:spacing w:val="-3"/>
        </w:rPr>
        <w:t xml:space="preserve"> </w:t>
      </w:r>
      <w:r w:rsidRPr="00EC20A0">
        <w:t>auditor</w:t>
      </w:r>
      <w:r w:rsidRPr="00EC20A0">
        <w:rPr>
          <w:spacing w:val="-2"/>
        </w:rPr>
        <w:t xml:space="preserve"> </w:t>
      </w:r>
      <w:r w:rsidRPr="00EC20A0">
        <w:t>still</w:t>
      </w:r>
      <w:r w:rsidRPr="00EC20A0">
        <w:rPr>
          <w:spacing w:val="-3"/>
        </w:rPr>
        <w:t xml:space="preserve"> </w:t>
      </w:r>
      <w:r w:rsidRPr="00EC20A0">
        <w:t>being</w:t>
      </w:r>
      <w:r w:rsidRPr="00EC20A0">
        <w:rPr>
          <w:spacing w:val="-2"/>
        </w:rPr>
        <w:t xml:space="preserve"> </w:t>
      </w:r>
      <w:r w:rsidRPr="00EC20A0">
        <w:t>sufficiently</w:t>
      </w:r>
      <w:r w:rsidRPr="00EC20A0">
        <w:rPr>
          <w:spacing w:val="-2"/>
        </w:rPr>
        <w:t xml:space="preserve"> </w:t>
      </w:r>
      <w:r w:rsidRPr="00EC20A0">
        <w:t>involved</w:t>
      </w:r>
      <w:r w:rsidRPr="00EC20A0">
        <w:rPr>
          <w:spacing w:val="-2"/>
        </w:rPr>
        <w:t xml:space="preserve"> </w:t>
      </w:r>
      <w:r w:rsidRPr="00EC20A0">
        <w:t>in</w:t>
      </w:r>
      <w:r w:rsidRPr="00EC20A0">
        <w:rPr>
          <w:spacing w:val="-2"/>
        </w:rPr>
        <w:t xml:space="preserve"> </w:t>
      </w:r>
      <w:r w:rsidRPr="00EC20A0">
        <w:t>the</w:t>
      </w:r>
      <w:r w:rsidRPr="00EC20A0">
        <w:rPr>
          <w:spacing w:val="-2"/>
        </w:rPr>
        <w:t xml:space="preserve"> </w:t>
      </w:r>
      <w:r w:rsidRPr="00EC20A0">
        <w:t>audit,</w:t>
      </w:r>
      <w:r w:rsidRPr="00EC20A0">
        <w:rPr>
          <w:spacing w:val="-2"/>
        </w:rPr>
        <w:t xml:space="preserve"> </w:t>
      </w:r>
      <w:r w:rsidRPr="00EC20A0">
        <w:t>given</w:t>
      </w:r>
      <w:r w:rsidRPr="00EC20A0">
        <w:rPr>
          <w:spacing w:val="-2"/>
        </w:rPr>
        <w:t xml:space="preserve"> </w:t>
      </w:r>
      <w:r w:rsidRPr="00EC20A0">
        <w:t>the</w:t>
      </w:r>
      <w:r w:rsidRPr="00EC20A0">
        <w:rPr>
          <w:spacing w:val="-3"/>
        </w:rPr>
        <w:t xml:space="preserve"> </w:t>
      </w:r>
      <w:r w:rsidRPr="00EC20A0">
        <w:t>auditor’s sole responsibility for the audit opinion expressed (AU-C 610.18). It is not anticipated that the auditor’s evaluation of using work of the internal audit function would be based on a quantitative analysis, such as percentage of hours spent</w:t>
      </w:r>
      <w:r w:rsidRPr="00EC20A0">
        <w:rPr>
          <w:spacing w:val="-3"/>
        </w:rPr>
        <w:t xml:space="preserve"> </w:t>
      </w:r>
      <w:r w:rsidRPr="00EC20A0">
        <w:t>by</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personnel</w:t>
      </w:r>
      <w:r w:rsidRPr="00EC20A0">
        <w:rPr>
          <w:spacing w:val="-2"/>
        </w:rPr>
        <w:t xml:space="preserve"> </w:t>
      </w:r>
      <w:r w:rsidRPr="00EC20A0">
        <w:t>in</w:t>
      </w:r>
      <w:r w:rsidRPr="00EC20A0">
        <w:rPr>
          <w:spacing w:val="-3"/>
        </w:rPr>
        <w:t xml:space="preserve"> </w:t>
      </w:r>
      <w:r w:rsidRPr="00EC20A0">
        <w:t>respect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being</w:t>
      </w:r>
      <w:r w:rsidRPr="00EC20A0">
        <w:rPr>
          <w:spacing w:val="-3"/>
        </w:rPr>
        <w:t xml:space="preserve"> </w:t>
      </w:r>
      <w:r w:rsidRPr="00EC20A0">
        <w:t>used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auditor relative to total engagement hours. (AU-C 610.A23)</w:t>
      </w:r>
    </w:p>
    <w:p w14:paraId="24D602A1" w14:textId="77777777" w:rsidR="00245300" w:rsidRPr="00EC20A0" w:rsidRDefault="00F17249">
      <w:pPr>
        <w:pStyle w:val="ListParagraph"/>
        <w:numPr>
          <w:ilvl w:val="0"/>
          <w:numId w:val="188"/>
        </w:numPr>
        <w:tabs>
          <w:tab w:val="left" w:pos="1860"/>
        </w:tabs>
        <w:spacing w:before="241"/>
        <w:ind w:left="1860" w:right="799"/>
      </w:pPr>
      <w:r w:rsidRPr="00EC20A0">
        <w:t xml:space="preserve">In communicating an overview of the planned scope and timing of the audit to those charged with governance in accordance with AU-C 260, </w:t>
      </w:r>
      <w:r w:rsidRPr="00EC20A0">
        <w:rPr>
          <w:i/>
        </w:rPr>
        <w:t>The Auditor’s Communication With Those Charged With Governance</w:t>
      </w:r>
      <w:r w:rsidRPr="00EC20A0">
        <w:t>, the auditor should communicate</w:t>
      </w:r>
      <w:r w:rsidRPr="00EC20A0">
        <w:rPr>
          <w:spacing w:val="-3"/>
        </w:rPr>
        <w:t xml:space="preserve"> </w:t>
      </w:r>
      <w:r w:rsidRPr="00EC20A0">
        <w:t>how</w:t>
      </w:r>
      <w:r w:rsidRPr="00EC20A0">
        <w:rPr>
          <w:spacing w:val="-4"/>
        </w:rPr>
        <w:t xml:space="preserve"> </w:t>
      </w:r>
      <w:r w:rsidRPr="00EC20A0">
        <w:t>the</w:t>
      </w:r>
      <w:r w:rsidRPr="00EC20A0">
        <w:rPr>
          <w:spacing w:val="-3"/>
        </w:rPr>
        <w:t xml:space="preserve"> </w:t>
      </w:r>
      <w:r w:rsidRPr="00EC20A0">
        <w:t>auditor</w:t>
      </w:r>
      <w:r w:rsidRPr="00EC20A0">
        <w:rPr>
          <w:spacing w:val="-3"/>
        </w:rPr>
        <w:t xml:space="preserve"> </w:t>
      </w:r>
      <w:r w:rsidRPr="00EC20A0">
        <w:t>has</w:t>
      </w:r>
      <w:r w:rsidRPr="00EC20A0">
        <w:rPr>
          <w:spacing w:val="-3"/>
        </w:rPr>
        <w:t xml:space="preserve"> </w:t>
      </w:r>
      <w:r w:rsidRPr="00EC20A0">
        <w:t>planned</w:t>
      </w:r>
      <w:r w:rsidRPr="00EC20A0">
        <w:rPr>
          <w:spacing w:val="-3"/>
        </w:rPr>
        <w:t xml:space="preserve"> </w:t>
      </w:r>
      <w:r w:rsidRPr="00EC20A0">
        <w:t>to</w:t>
      </w:r>
      <w:r w:rsidRPr="00EC20A0">
        <w:rPr>
          <w:spacing w:val="-3"/>
        </w:rPr>
        <w:t xml:space="preserve"> </w:t>
      </w:r>
      <w:r w:rsidRPr="00EC20A0">
        <w:t>use</w:t>
      </w:r>
      <w:r w:rsidRPr="00EC20A0">
        <w:rPr>
          <w:spacing w:val="-3"/>
        </w:rPr>
        <w:t xml:space="preserve"> </w:t>
      </w:r>
      <w:r w:rsidRPr="00EC20A0">
        <w:t>the</w:t>
      </w:r>
      <w:r w:rsidRPr="00EC20A0">
        <w:rPr>
          <w:spacing w:val="-3"/>
        </w:rPr>
        <w:t xml:space="preserve"> </w:t>
      </w:r>
      <w:r w:rsidRPr="00EC20A0">
        <w:t>work</w:t>
      </w:r>
      <w:r w:rsidRPr="00EC20A0">
        <w:rPr>
          <w:spacing w:val="-2"/>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4"/>
        </w:rPr>
        <w:t xml:space="preserve"> </w:t>
      </w:r>
      <w:r w:rsidRPr="00EC20A0">
        <w:t>audit</w:t>
      </w:r>
    </w:p>
    <w:p w14:paraId="24D602A2" w14:textId="77777777" w:rsidR="00245300" w:rsidRPr="00EC20A0" w:rsidRDefault="00245300">
      <w:pPr>
        <w:sectPr w:rsidR="00245300" w:rsidRPr="00EC20A0">
          <w:pgSz w:w="12240" w:h="15840"/>
          <w:pgMar w:top="1340" w:right="940" w:bottom="940" w:left="1020" w:header="721" w:footer="757" w:gutter="0"/>
          <w:cols w:space="720"/>
        </w:sectPr>
      </w:pPr>
    </w:p>
    <w:p w14:paraId="24D602A3" w14:textId="77777777" w:rsidR="00245300" w:rsidRPr="00EC20A0" w:rsidRDefault="00F17249">
      <w:pPr>
        <w:pStyle w:val="BodyText"/>
        <w:spacing w:before="121"/>
        <w:ind w:left="1860" w:right="922" w:hanging="1"/>
        <w:jc w:val="both"/>
      </w:pPr>
      <w:r w:rsidRPr="00EC20A0">
        <w:t>function</w:t>
      </w:r>
      <w:r w:rsidRPr="00EC20A0">
        <w:rPr>
          <w:spacing w:val="-4"/>
        </w:rPr>
        <w:t xml:space="preserve"> </w:t>
      </w:r>
      <w:r w:rsidRPr="00EC20A0">
        <w:t>in</w:t>
      </w:r>
      <w:r w:rsidRPr="00EC20A0">
        <w:rPr>
          <w:spacing w:val="-4"/>
        </w:rPr>
        <w:t xml:space="preserve"> </w:t>
      </w:r>
      <w:r w:rsidRPr="00EC20A0">
        <w:t>obtaining</w:t>
      </w:r>
      <w:r w:rsidRPr="00EC20A0">
        <w:rPr>
          <w:spacing w:val="-4"/>
        </w:rPr>
        <w:t xml:space="preserve"> </w:t>
      </w:r>
      <w:r w:rsidRPr="00EC20A0">
        <w:t>audit</w:t>
      </w:r>
      <w:r w:rsidRPr="00EC20A0">
        <w:rPr>
          <w:spacing w:val="-4"/>
        </w:rPr>
        <w:t xml:space="preserve"> </w:t>
      </w:r>
      <w:r w:rsidRPr="00EC20A0">
        <w:t>evidence</w:t>
      </w:r>
      <w:r w:rsidRPr="00EC20A0">
        <w:rPr>
          <w:spacing w:val="-4"/>
        </w:rPr>
        <w:t xml:space="preserve"> </w:t>
      </w:r>
      <w:r w:rsidRPr="00EC20A0">
        <w:t>(AU-C</w:t>
      </w:r>
      <w:r w:rsidRPr="00EC20A0">
        <w:rPr>
          <w:spacing w:val="-5"/>
        </w:rPr>
        <w:t xml:space="preserve"> </w:t>
      </w:r>
      <w:r w:rsidRPr="00EC20A0">
        <w:t>610.19).</w:t>
      </w:r>
      <w:r w:rsidRPr="00EC20A0">
        <w:rPr>
          <w:spacing w:val="-4"/>
        </w:rPr>
        <w:t xml:space="preserve"> </w:t>
      </w:r>
      <w:r w:rsidRPr="00EC20A0">
        <w:t>See</w:t>
      </w:r>
      <w:r w:rsidRPr="00EC20A0">
        <w:rPr>
          <w:spacing w:val="-4"/>
        </w:rPr>
        <w:t xml:space="preserve"> </w:t>
      </w:r>
      <w:r w:rsidRPr="00EC20A0">
        <w:t>FAM</w:t>
      </w:r>
      <w:r w:rsidRPr="00EC20A0">
        <w:rPr>
          <w:spacing w:val="-5"/>
        </w:rPr>
        <w:t xml:space="preserve"> </w:t>
      </w:r>
      <w:r w:rsidRPr="00EC20A0">
        <w:t>215</w:t>
      </w:r>
      <w:r w:rsidRPr="00EC20A0">
        <w:rPr>
          <w:spacing w:val="-4"/>
        </w:rPr>
        <w:t xml:space="preserve"> </w:t>
      </w:r>
      <w:r w:rsidRPr="00EC20A0">
        <w:t>for</w:t>
      </w:r>
      <w:r w:rsidRPr="00EC20A0">
        <w:rPr>
          <w:spacing w:val="-4"/>
        </w:rPr>
        <w:t xml:space="preserve"> </w:t>
      </w:r>
      <w:r w:rsidRPr="00EC20A0">
        <w:t>general guidance on communicating with those charged with governance.</w:t>
      </w:r>
    </w:p>
    <w:p w14:paraId="24D602A4" w14:textId="77777777" w:rsidR="00245300" w:rsidRPr="00EC20A0" w:rsidRDefault="00F17249">
      <w:pPr>
        <w:pStyle w:val="ListParagraph"/>
        <w:numPr>
          <w:ilvl w:val="0"/>
          <w:numId w:val="188"/>
        </w:numPr>
        <w:tabs>
          <w:tab w:val="left" w:pos="1857"/>
          <w:tab w:val="left" w:pos="1859"/>
        </w:tabs>
        <w:spacing w:before="239"/>
        <w:ind w:right="504"/>
        <w:jc w:val="both"/>
      </w:pPr>
      <w:r w:rsidRPr="00EC20A0">
        <w:t>If the auditor plans to use the work of the internal audit function in obtaining audit evidence,</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3"/>
        </w:rPr>
        <w:t xml:space="preserve"> </w:t>
      </w:r>
      <w:r w:rsidRPr="00EC20A0">
        <w:t>discuss</w:t>
      </w:r>
      <w:r w:rsidRPr="00EC20A0">
        <w:rPr>
          <w:spacing w:val="-4"/>
        </w:rPr>
        <w:t xml:space="preserve"> </w:t>
      </w:r>
      <w:r w:rsidRPr="00EC20A0">
        <w:t>the</w:t>
      </w:r>
      <w:r w:rsidRPr="00EC20A0">
        <w:rPr>
          <w:spacing w:val="-3"/>
        </w:rPr>
        <w:t xml:space="preserve"> </w:t>
      </w:r>
      <w:r w:rsidRPr="00EC20A0">
        <w:t>planned</w:t>
      </w:r>
      <w:r w:rsidRPr="00EC20A0">
        <w:rPr>
          <w:spacing w:val="-4"/>
        </w:rPr>
        <w:t xml:space="preserve"> </w:t>
      </w:r>
      <w:r w:rsidRPr="00EC20A0">
        <w:t>use</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work</w:t>
      </w:r>
      <w:r w:rsidRPr="00EC20A0">
        <w:rPr>
          <w:spacing w:val="-3"/>
        </w:rPr>
        <w:t xml:space="preserve"> </w:t>
      </w:r>
      <w:r w:rsidRPr="00EC20A0">
        <w:t>with</w:t>
      </w:r>
      <w:r w:rsidRPr="00EC20A0">
        <w:rPr>
          <w:spacing w:val="-3"/>
        </w:rPr>
        <w:t xml:space="preserve"> </w:t>
      </w:r>
      <w:r w:rsidRPr="00EC20A0">
        <w:t>the</w:t>
      </w:r>
      <w:r w:rsidRPr="00EC20A0">
        <w:rPr>
          <w:spacing w:val="-3"/>
        </w:rPr>
        <w:t xml:space="preserve"> </w:t>
      </w:r>
      <w:r w:rsidRPr="00EC20A0">
        <w:t>internal audit function as a basis for coordinating their respective activities</w:t>
      </w:r>
    </w:p>
    <w:p w14:paraId="24D602A5" w14:textId="77777777" w:rsidR="00245300" w:rsidRPr="00EC20A0" w:rsidRDefault="00F17249">
      <w:pPr>
        <w:pStyle w:val="BodyText"/>
        <w:spacing w:before="1"/>
        <w:ind w:left="1859"/>
        <w:jc w:val="both"/>
      </w:pPr>
      <w:r w:rsidRPr="00EC20A0">
        <w:t>(AU-C</w:t>
      </w:r>
      <w:r w:rsidRPr="00EC20A0">
        <w:rPr>
          <w:spacing w:val="-11"/>
        </w:rPr>
        <w:t xml:space="preserve"> </w:t>
      </w:r>
      <w:r w:rsidRPr="00EC20A0">
        <w:rPr>
          <w:spacing w:val="-2"/>
        </w:rPr>
        <w:t>610.20).</w:t>
      </w:r>
    </w:p>
    <w:p w14:paraId="24D602A6" w14:textId="77777777" w:rsidR="00245300" w:rsidRPr="00EC20A0" w:rsidRDefault="00F17249">
      <w:pPr>
        <w:pStyle w:val="ListParagraph"/>
        <w:numPr>
          <w:ilvl w:val="0"/>
          <w:numId w:val="188"/>
        </w:numPr>
        <w:tabs>
          <w:tab w:val="left" w:pos="1859"/>
        </w:tabs>
        <w:ind w:right="567" w:hanging="720"/>
      </w:pPr>
      <w:r w:rsidRPr="00EC20A0">
        <w:t>The</w:t>
      </w:r>
      <w:r w:rsidRPr="00EC20A0">
        <w:rPr>
          <w:spacing w:val="-3"/>
        </w:rPr>
        <w:t xml:space="preserve"> </w:t>
      </w:r>
      <w:r w:rsidRPr="00EC20A0">
        <w:t>auditor</w:t>
      </w:r>
      <w:r w:rsidRPr="00EC20A0">
        <w:rPr>
          <w:spacing w:val="-5"/>
        </w:rPr>
        <w:t xml:space="preserve"> </w:t>
      </w:r>
      <w:r w:rsidRPr="00EC20A0">
        <w:t>should</w:t>
      </w:r>
      <w:r w:rsidRPr="00EC20A0">
        <w:rPr>
          <w:spacing w:val="-3"/>
        </w:rPr>
        <w:t xml:space="preserve"> </w:t>
      </w:r>
      <w:r w:rsidRPr="00EC20A0">
        <w:t>read</w:t>
      </w:r>
      <w:r w:rsidRPr="00EC20A0">
        <w:rPr>
          <w:spacing w:val="-4"/>
        </w:rPr>
        <w:t xml:space="preserve"> </w:t>
      </w:r>
      <w:r w:rsidRPr="00EC20A0">
        <w:t>the</w:t>
      </w:r>
      <w:r w:rsidRPr="00EC20A0">
        <w:rPr>
          <w:spacing w:val="-3"/>
        </w:rPr>
        <w:t xml:space="preserve"> </w:t>
      </w:r>
      <w:r w:rsidRPr="00EC20A0">
        <w:t>reports</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function</w:t>
      </w:r>
      <w:r w:rsidRPr="00EC20A0">
        <w:rPr>
          <w:spacing w:val="-3"/>
        </w:rPr>
        <w:t xml:space="preserve"> </w:t>
      </w:r>
      <w:r w:rsidRPr="00EC20A0">
        <w:t>that</w:t>
      </w:r>
      <w:r w:rsidRPr="00EC20A0">
        <w:rPr>
          <w:spacing w:val="-3"/>
        </w:rPr>
        <w:t xml:space="preserve"> </w:t>
      </w:r>
      <w:r w:rsidRPr="00EC20A0">
        <w:t>relate</w:t>
      </w:r>
      <w:r w:rsidRPr="00EC20A0">
        <w:rPr>
          <w:spacing w:val="-3"/>
        </w:rPr>
        <w:t xml:space="preserve"> </w:t>
      </w:r>
      <w:r w:rsidRPr="00EC20A0">
        <w:t>to</w:t>
      </w:r>
      <w:r w:rsidRPr="00EC20A0">
        <w:rPr>
          <w:spacing w:val="-3"/>
        </w:rPr>
        <w:t xml:space="preserve"> </w:t>
      </w:r>
      <w:r w:rsidRPr="00EC20A0">
        <w:t>the work of the function that the auditor plans to use to obtain an understanding of the nature and extent of audit procedures the internal audit function performed and the related findings (AU-C 610.21).</w:t>
      </w:r>
    </w:p>
    <w:p w14:paraId="24D602A7" w14:textId="77777777" w:rsidR="00245300" w:rsidRPr="00EC20A0" w:rsidRDefault="00F17249">
      <w:pPr>
        <w:pStyle w:val="Heading5"/>
        <w:spacing w:before="240"/>
        <w:ind w:left="1140"/>
        <w:rPr>
          <w:u w:val="none"/>
        </w:rPr>
      </w:pPr>
      <w:bookmarkStart w:id="93" w:name="Evaluating_the_Work_of_the_Internal_Audi"/>
      <w:bookmarkEnd w:id="93"/>
      <w:r w:rsidRPr="00EC20A0">
        <w:t>Evaluating</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2"/>
        </w:rPr>
        <w:t xml:space="preserve"> </w:t>
      </w:r>
      <w:r w:rsidRPr="00EC20A0">
        <w:t>the</w:t>
      </w:r>
      <w:r w:rsidRPr="00EC20A0">
        <w:rPr>
          <w:spacing w:val="-3"/>
        </w:rPr>
        <w:t xml:space="preserve"> </w:t>
      </w:r>
      <w:r w:rsidRPr="00EC20A0">
        <w:t>Internal</w:t>
      </w:r>
      <w:r w:rsidRPr="00EC20A0">
        <w:rPr>
          <w:spacing w:val="-2"/>
        </w:rPr>
        <w:t xml:space="preserve"> </w:t>
      </w:r>
      <w:r w:rsidRPr="00EC20A0">
        <w:t>Audit</w:t>
      </w:r>
      <w:r w:rsidRPr="00EC20A0">
        <w:rPr>
          <w:spacing w:val="-3"/>
        </w:rPr>
        <w:t xml:space="preserve"> </w:t>
      </w:r>
      <w:r w:rsidRPr="00EC20A0">
        <w:rPr>
          <w:spacing w:val="-2"/>
        </w:rPr>
        <w:t>Function</w:t>
      </w:r>
    </w:p>
    <w:p w14:paraId="24D602A8" w14:textId="77777777" w:rsidR="00245300" w:rsidRPr="00EC20A0" w:rsidRDefault="00F17249">
      <w:pPr>
        <w:pStyle w:val="ListParagraph"/>
        <w:numPr>
          <w:ilvl w:val="0"/>
          <w:numId w:val="188"/>
        </w:numPr>
        <w:tabs>
          <w:tab w:val="left" w:pos="1859"/>
        </w:tabs>
        <w:ind w:right="554" w:hanging="720"/>
      </w:pPr>
      <w:r w:rsidRPr="00EC20A0">
        <w:t>The</w:t>
      </w:r>
      <w:r w:rsidRPr="00EC20A0">
        <w:rPr>
          <w:spacing w:val="-3"/>
        </w:rPr>
        <w:t xml:space="preserve"> </w:t>
      </w:r>
      <w:r w:rsidRPr="00EC20A0">
        <w:t>auditor</w:t>
      </w:r>
      <w:r w:rsidRPr="00EC20A0">
        <w:rPr>
          <w:spacing w:val="-4"/>
        </w:rPr>
        <w:t xml:space="preserve"> </w:t>
      </w:r>
      <w:r w:rsidRPr="00EC20A0">
        <w:t>should</w:t>
      </w:r>
      <w:r w:rsidRPr="00EC20A0">
        <w:rPr>
          <w:spacing w:val="-3"/>
        </w:rPr>
        <w:t xml:space="preserve"> </w:t>
      </w:r>
      <w:r w:rsidRPr="00EC20A0">
        <w:t>perform</w:t>
      </w:r>
      <w:r w:rsidRPr="00EC20A0">
        <w:rPr>
          <w:spacing w:val="-4"/>
        </w:rPr>
        <w:t xml:space="preserve"> </w:t>
      </w:r>
      <w:r w:rsidRPr="00EC20A0">
        <w:t>sufficient</w:t>
      </w:r>
      <w:r w:rsidRPr="00EC20A0">
        <w:rPr>
          <w:spacing w:val="-4"/>
        </w:rPr>
        <w:t xml:space="preserve"> </w:t>
      </w:r>
      <w:r w:rsidRPr="00EC20A0">
        <w:t>audit</w:t>
      </w:r>
      <w:r w:rsidRPr="00EC20A0">
        <w:rPr>
          <w:spacing w:val="-3"/>
        </w:rPr>
        <w:t xml:space="preserve"> </w:t>
      </w:r>
      <w:r w:rsidRPr="00EC20A0">
        <w:t>procedures</w:t>
      </w:r>
      <w:r w:rsidRPr="00EC20A0">
        <w:rPr>
          <w:spacing w:val="-3"/>
        </w:rPr>
        <w:t xml:space="preserve"> </w:t>
      </w:r>
      <w:r w:rsidRPr="00EC20A0">
        <w:t>on</w:t>
      </w:r>
      <w:r w:rsidRPr="00EC20A0">
        <w:rPr>
          <w:spacing w:val="-3"/>
        </w:rPr>
        <w:t xml:space="preserve"> </w:t>
      </w:r>
      <w:r w:rsidRPr="00EC20A0">
        <w:t>the</w:t>
      </w:r>
      <w:r w:rsidRPr="00EC20A0">
        <w:rPr>
          <w:spacing w:val="-4"/>
        </w:rPr>
        <w:t xml:space="preserve"> </w:t>
      </w:r>
      <w:r w:rsidRPr="00EC20A0">
        <w:t>body</w:t>
      </w:r>
      <w:r w:rsidRPr="00EC20A0">
        <w:rPr>
          <w:spacing w:val="-3"/>
        </w:rPr>
        <w:t xml:space="preserve"> </w:t>
      </w:r>
      <w:r w:rsidRPr="00EC20A0">
        <w:t>of</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the internal audit function as a whole that the auditor plans to use to determine its adequacy for purposes of the audit, including evaluating whether</w:t>
      </w:r>
    </w:p>
    <w:p w14:paraId="24D602A9" w14:textId="77777777" w:rsidR="00245300" w:rsidRPr="00EC20A0" w:rsidRDefault="00F17249">
      <w:pPr>
        <w:pStyle w:val="ListParagraph"/>
        <w:numPr>
          <w:ilvl w:val="1"/>
          <w:numId w:val="188"/>
        </w:numPr>
        <w:tabs>
          <w:tab w:val="left" w:pos="2219"/>
        </w:tabs>
        <w:spacing w:before="239"/>
        <w:ind w:right="1257"/>
      </w:pPr>
      <w:r w:rsidRPr="00EC20A0">
        <w:t>the</w:t>
      </w:r>
      <w:r w:rsidRPr="00EC20A0">
        <w:rPr>
          <w:spacing w:val="-4"/>
        </w:rPr>
        <w:t xml:space="preserve"> </w:t>
      </w:r>
      <w:r w:rsidRPr="00EC20A0">
        <w:t>work</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function</w:t>
      </w:r>
      <w:r w:rsidRPr="00EC20A0">
        <w:rPr>
          <w:spacing w:val="-5"/>
        </w:rPr>
        <w:t xml:space="preserve"> </w:t>
      </w:r>
      <w:r w:rsidRPr="00EC20A0">
        <w:t>was</w:t>
      </w:r>
      <w:r w:rsidRPr="00EC20A0">
        <w:rPr>
          <w:spacing w:val="-4"/>
        </w:rPr>
        <w:t xml:space="preserve"> </w:t>
      </w:r>
      <w:r w:rsidRPr="00EC20A0">
        <w:t>properly</w:t>
      </w:r>
      <w:r w:rsidRPr="00EC20A0">
        <w:rPr>
          <w:spacing w:val="-3"/>
        </w:rPr>
        <w:t xml:space="preserve"> </w:t>
      </w:r>
      <w:r w:rsidRPr="00EC20A0">
        <w:t>planned,</w:t>
      </w:r>
      <w:r w:rsidRPr="00EC20A0">
        <w:rPr>
          <w:spacing w:val="-4"/>
        </w:rPr>
        <w:t xml:space="preserve"> </w:t>
      </w:r>
      <w:r w:rsidRPr="00EC20A0">
        <w:t>performed,</w:t>
      </w:r>
      <w:r w:rsidRPr="00EC20A0">
        <w:rPr>
          <w:spacing w:val="-4"/>
        </w:rPr>
        <w:t xml:space="preserve"> </w:t>
      </w:r>
      <w:r w:rsidRPr="00EC20A0">
        <w:t>supervised, reviewed, and documented;</w:t>
      </w:r>
    </w:p>
    <w:p w14:paraId="24D602AA" w14:textId="77777777" w:rsidR="00245300" w:rsidRPr="00EC20A0" w:rsidRDefault="00F17249">
      <w:pPr>
        <w:pStyle w:val="ListParagraph"/>
        <w:numPr>
          <w:ilvl w:val="1"/>
          <w:numId w:val="188"/>
        </w:numPr>
        <w:tabs>
          <w:tab w:val="left" w:pos="2217"/>
          <w:tab w:val="left" w:pos="2219"/>
        </w:tabs>
        <w:spacing w:before="241"/>
        <w:ind w:right="770" w:hanging="361"/>
      </w:pPr>
      <w:r w:rsidRPr="00EC20A0">
        <w:t>sufficient</w:t>
      </w:r>
      <w:r w:rsidRPr="00EC20A0">
        <w:rPr>
          <w:spacing w:val="-4"/>
        </w:rPr>
        <w:t xml:space="preserve"> </w:t>
      </w:r>
      <w:r w:rsidRPr="00EC20A0">
        <w:t>appropriate</w:t>
      </w:r>
      <w:r w:rsidRPr="00EC20A0">
        <w:rPr>
          <w:spacing w:val="-4"/>
        </w:rPr>
        <w:t xml:space="preserve"> </w:t>
      </w:r>
      <w:r w:rsidRPr="00EC20A0">
        <w:t>evidence</w:t>
      </w:r>
      <w:r w:rsidRPr="00EC20A0">
        <w:rPr>
          <w:spacing w:val="-4"/>
        </w:rPr>
        <w:t xml:space="preserve"> </w:t>
      </w:r>
      <w:r w:rsidRPr="00EC20A0">
        <w:t>was</w:t>
      </w:r>
      <w:r w:rsidRPr="00EC20A0">
        <w:rPr>
          <w:spacing w:val="-5"/>
        </w:rPr>
        <w:t xml:space="preserve"> </w:t>
      </w:r>
      <w:r w:rsidRPr="00EC20A0">
        <w:t>obtained</w:t>
      </w:r>
      <w:r w:rsidRPr="00EC20A0">
        <w:rPr>
          <w:spacing w:val="-4"/>
        </w:rPr>
        <w:t xml:space="preserve"> </w:t>
      </w:r>
      <w:r w:rsidRPr="00EC20A0">
        <w:t>to</w:t>
      </w:r>
      <w:r w:rsidRPr="00EC20A0">
        <w:rPr>
          <w:spacing w:val="-5"/>
        </w:rPr>
        <w:t xml:space="preserve"> </w:t>
      </w:r>
      <w:r w:rsidRPr="00EC20A0">
        <w:t>enable</w:t>
      </w:r>
      <w:r w:rsidRPr="00EC20A0">
        <w:rPr>
          <w:spacing w:val="-4"/>
        </w:rPr>
        <w:t xml:space="preserve"> </w:t>
      </w:r>
      <w:r w:rsidRPr="00EC20A0">
        <w:t>the</w:t>
      </w:r>
      <w:r w:rsidRPr="00EC20A0">
        <w:rPr>
          <w:spacing w:val="-4"/>
        </w:rPr>
        <w:t xml:space="preserve"> </w:t>
      </w:r>
      <w:r w:rsidRPr="00EC20A0">
        <w:t>function</w:t>
      </w:r>
      <w:r w:rsidRPr="00EC20A0">
        <w:rPr>
          <w:spacing w:val="-4"/>
        </w:rPr>
        <w:t xml:space="preserve"> </w:t>
      </w:r>
      <w:r w:rsidRPr="00EC20A0">
        <w:t>to</w:t>
      </w:r>
      <w:r w:rsidRPr="00EC20A0">
        <w:rPr>
          <w:spacing w:val="-4"/>
        </w:rPr>
        <w:t xml:space="preserve"> </w:t>
      </w:r>
      <w:r w:rsidRPr="00EC20A0">
        <w:t>draw reasonable conclusions; and</w:t>
      </w:r>
    </w:p>
    <w:p w14:paraId="24D602AB" w14:textId="77777777" w:rsidR="00245300" w:rsidRPr="00EC20A0" w:rsidRDefault="00F17249">
      <w:pPr>
        <w:pStyle w:val="ListParagraph"/>
        <w:numPr>
          <w:ilvl w:val="1"/>
          <w:numId w:val="188"/>
        </w:numPr>
        <w:tabs>
          <w:tab w:val="left" w:pos="2219"/>
        </w:tabs>
        <w:ind w:right="526"/>
      </w:pPr>
      <w:r w:rsidRPr="00EC20A0">
        <w:t xml:space="preserve">conclusions reached are appropriate in the </w:t>
      </w:r>
      <w:r w:rsidRPr="00EC20A0">
        <w:t>circumstances, and the reports prepared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function</w:t>
      </w:r>
      <w:r w:rsidRPr="00EC20A0">
        <w:rPr>
          <w:spacing w:val="-4"/>
        </w:rPr>
        <w:t xml:space="preserve"> </w:t>
      </w:r>
      <w:r w:rsidRPr="00EC20A0">
        <w:t>are</w:t>
      </w:r>
      <w:r w:rsidRPr="00EC20A0">
        <w:rPr>
          <w:spacing w:val="-4"/>
        </w:rPr>
        <w:t xml:space="preserve"> </w:t>
      </w:r>
      <w:r w:rsidRPr="00EC20A0">
        <w:t>consistent</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results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performed (AU-C 610.22).</w:t>
      </w:r>
    </w:p>
    <w:p w14:paraId="24D602AC" w14:textId="77777777" w:rsidR="00245300" w:rsidRPr="00EC20A0" w:rsidRDefault="00F17249">
      <w:pPr>
        <w:pStyle w:val="ListParagraph"/>
        <w:numPr>
          <w:ilvl w:val="0"/>
          <w:numId w:val="188"/>
        </w:numPr>
        <w:tabs>
          <w:tab w:val="left" w:pos="1859"/>
        </w:tabs>
        <w:ind w:right="883" w:hanging="720"/>
      </w:pPr>
      <w:r w:rsidRPr="00EC20A0">
        <w:t>The</w:t>
      </w:r>
      <w:r w:rsidRPr="00EC20A0">
        <w:rPr>
          <w:spacing w:val="-4"/>
        </w:rPr>
        <w:t xml:space="preserve"> </w:t>
      </w:r>
      <w:r w:rsidRPr="00EC20A0">
        <w:t>nature</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audit</w:t>
      </w:r>
      <w:r w:rsidRPr="00EC20A0">
        <w:rPr>
          <w:spacing w:val="-4"/>
        </w:rPr>
        <w:t xml:space="preserve"> </w:t>
      </w:r>
      <w:r w:rsidRPr="00EC20A0">
        <w:t>procedures</w:t>
      </w:r>
      <w:r w:rsidRPr="00EC20A0">
        <w:rPr>
          <w:spacing w:val="-4"/>
        </w:rPr>
        <w:t xml:space="preserve"> </w:t>
      </w:r>
      <w:r w:rsidRPr="00EC20A0">
        <w:t>should</w:t>
      </w:r>
      <w:r w:rsidRPr="00EC20A0">
        <w:rPr>
          <w:spacing w:val="-4"/>
        </w:rPr>
        <w:t xml:space="preserve"> </w:t>
      </w:r>
      <w:r w:rsidRPr="00EC20A0">
        <w:t>respond</w:t>
      </w:r>
      <w:r w:rsidRPr="00EC20A0">
        <w:rPr>
          <w:spacing w:val="-4"/>
        </w:rPr>
        <w:t xml:space="preserve"> </w:t>
      </w:r>
      <w:r w:rsidRPr="00EC20A0">
        <w:t>to</w:t>
      </w:r>
      <w:r w:rsidRPr="00EC20A0">
        <w:rPr>
          <w:spacing w:val="-4"/>
        </w:rPr>
        <w:t xml:space="preserve"> </w:t>
      </w:r>
      <w:r w:rsidRPr="00EC20A0">
        <w:t>the auditor’s evaluation of</w:t>
      </w:r>
    </w:p>
    <w:p w14:paraId="24D602AD" w14:textId="77777777" w:rsidR="00245300" w:rsidRPr="00EC20A0" w:rsidRDefault="00F17249">
      <w:pPr>
        <w:pStyle w:val="ListParagraph"/>
        <w:numPr>
          <w:ilvl w:val="1"/>
          <w:numId w:val="188"/>
        </w:numPr>
        <w:tabs>
          <w:tab w:val="left" w:pos="2218"/>
        </w:tabs>
        <w:ind w:left="2218" w:hanging="359"/>
      </w:pPr>
      <w:r w:rsidRPr="00EC20A0">
        <w:t>the</w:t>
      </w:r>
      <w:r w:rsidRPr="00EC20A0">
        <w:rPr>
          <w:spacing w:val="-7"/>
        </w:rPr>
        <w:t xml:space="preserve"> </w:t>
      </w:r>
      <w:r w:rsidRPr="00EC20A0">
        <w:t>amount</w:t>
      </w:r>
      <w:r w:rsidRPr="00EC20A0">
        <w:rPr>
          <w:spacing w:val="-6"/>
        </w:rPr>
        <w:t xml:space="preserve"> </w:t>
      </w:r>
      <w:r w:rsidRPr="00EC20A0">
        <w:t>of</w:t>
      </w:r>
      <w:r w:rsidRPr="00EC20A0">
        <w:rPr>
          <w:spacing w:val="-6"/>
        </w:rPr>
        <w:t xml:space="preserve"> </w:t>
      </w:r>
      <w:r w:rsidRPr="00EC20A0">
        <w:t>judgment</w:t>
      </w:r>
      <w:r w:rsidRPr="00EC20A0">
        <w:rPr>
          <w:spacing w:val="-7"/>
        </w:rPr>
        <w:t xml:space="preserve"> </w:t>
      </w:r>
      <w:r w:rsidRPr="00EC20A0">
        <w:t>involved</w:t>
      </w:r>
      <w:r w:rsidRPr="00EC20A0">
        <w:rPr>
          <w:spacing w:val="-7"/>
        </w:rPr>
        <w:t xml:space="preserve"> </w:t>
      </w:r>
      <w:r w:rsidRPr="00EC20A0">
        <w:rPr>
          <w:spacing w:val="-5"/>
        </w:rPr>
        <w:t>in</w:t>
      </w:r>
    </w:p>
    <w:p w14:paraId="24D602AE" w14:textId="77777777" w:rsidR="00245300" w:rsidRPr="00EC20A0" w:rsidRDefault="00F17249">
      <w:pPr>
        <w:pStyle w:val="ListParagraph"/>
        <w:numPr>
          <w:ilvl w:val="2"/>
          <w:numId w:val="188"/>
        </w:numPr>
        <w:tabs>
          <w:tab w:val="left" w:pos="2579"/>
        </w:tabs>
      </w:pPr>
      <w:r w:rsidRPr="00EC20A0">
        <w:t>planning</w:t>
      </w:r>
      <w:r w:rsidRPr="00EC20A0">
        <w:rPr>
          <w:spacing w:val="-9"/>
        </w:rPr>
        <w:t xml:space="preserve"> </w:t>
      </w:r>
      <w:r w:rsidRPr="00EC20A0">
        <w:t>and</w:t>
      </w:r>
      <w:r w:rsidRPr="00EC20A0">
        <w:rPr>
          <w:spacing w:val="-8"/>
        </w:rPr>
        <w:t xml:space="preserve"> </w:t>
      </w:r>
      <w:r w:rsidRPr="00EC20A0">
        <w:t>performing</w:t>
      </w:r>
      <w:r w:rsidRPr="00EC20A0">
        <w:rPr>
          <w:spacing w:val="-9"/>
        </w:rPr>
        <w:t xml:space="preserve"> </w:t>
      </w:r>
      <w:r w:rsidRPr="00EC20A0">
        <w:t>relevant</w:t>
      </w:r>
      <w:r w:rsidRPr="00EC20A0">
        <w:rPr>
          <w:spacing w:val="-8"/>
        </w:rPr>
        <w:t xml:space="preserve"> </w:t>
      </w:r>
      <w:r w:rsidRPr="00EC20A0">
        <w:t>audit</w:t>
      </w:r>
      <w:r w:rsidRPr="00EC20A0">
        <w:rPr>
          <w:spacing w:val="-8"/>
        </w:rPr>
        <w:t xml:space="preserve"> </w:t>
      </w:r>
      <w:r w:rsidRPr="00EC20A0">
        <w:t>procedures</w:t>
      </w:r>
      <w:r w:rsidRPr="00EC20A0">
        <w:rPr>
          <w:spacing w:val="-9"/>
        </w:rPr>
        <w:t xml:space="preserve"> </w:t>
      </w:r>
      <w:r w:rsidRPr="00EC20A0">
        <w:rPr>
          <w:spacing w:val="-5"/>
        </w:rPr>
        <w:t>and</w:t>
      </w:r>
    </w:p>
    <w:p w14:paraId="24D602AF" w14:textId="77777777" w:rsidR="00245300" w:rsidRPr="00EC20A0" w:rsidRDefault="00F17249">
      <w:pPr>
        <w:pStyle w:val="ListParagraph"/>
        <w:numPr>
          <w:ilvl w:val="2"/>
          <w:numId w:val="188"/>
        </w:numPr>
        <w:tabs>
          <w:tab w:val="left" w:pos="2578"/>
        </w:tabs>
        <w:spacing w:before="238"/>
        <w:ind w:left="2578"/>
      </w:pPr>
      <w:r w:rsidRPr="00EC20A0">
        <w:t>evaluating</w:t>
      </w:r>
      <w:r w:rsidRPr="00EC20A0">
        <w:rPr>
          <w:spacing w:val="-8"/>
        </w:rPr>
        <w:t xml:space="preserve"> </w:t>
      </w:r>
      <w:r w:rsidRPr="00EC20A0">
        <w:t>the</w:t>
      </w:r>
      <w:r w:rsidRPr="00EC20A0">
        <w:rPr>
          <w:spacing w:val="-7"/>
        </w:rPr>
        <w:t xml:space="preserve"> </w:t>
      </w:r>
      <w:r w:rsidRPr="00EC20A0">
        <w:t>audit</w:t>
      </w:r>
      <w:r w:rsidRPr="00EC20A0">
        <w:rPr>
          <w:spacing w:val="-8"/>
        </w:rPr>
        <w:t xml:space="preserve"> </w:t>
      </w:r>
      <w:r w:rsidRPr="00EC20A0">
        <w:t>evidence</w:t>
      </w:r>
      <w:r w:rsidRPr="00EC20A0">
        <w:rPr>
          <w:spacing w:val="-7"/>
        </w:rPr>
        <w:t xml:space="preserve"> </w:t>
      </w:r>
      <w:r w:rsidRPr="00EC20A0">
        <w:rPr>
          <w:spacing w:val="-2"/>
        </w:rPr>
        <w:t>obtained;</w:t>
      </w:r>
    </w:p>
    <w:p w14:paraId="24D602B0" w14:textId="77777777" w:rsidR="00245300" w:rsidRPr="00EC20A0" w:rsidRDefault="00F17249">
      <w:pPr>
        <w:pStyle w:val="ListParagraph"/>
        <w:numPr>
          <w:ilvl w:val="1"/>
          <w:numId w:val="188"/>
        </w:numPr>
        <w:tabs>
          <w:tab w:val="left" w:pos="2217"/>
        </w:tabs>
        <w:spacing w:before="238"/>
        <w:ind w:left="2217" w:hanging="359"/>
      </w:pPr>
      <w:r w:rsidRPr="00EC20A0">
        <w:t>the</w:t>
      </w:r>
      <w:r w:rsidRPr="00EC20A0">
        <w:rPr>
          <w:spacing w:val="-7"/>
        </w:rPr>
        <w:t xml:space="preserve"> </w:t>
      </w:r>
      <w:r w:rsidRPr="00EC20A0">
        <w:t>assessed</w:t>
      </w:r>
      <w:r w:rsidRPr="00EC20A0">
        <w:rPr>
          <w:spacing w:val="-6"/>
        </w:rPr>
        <w:t xml:space="preserve"> </w:t>
      </w:r>
      <w:r w:rsidRPr="00EC20A0">
        <w:t>risk</w:t>
      </w:r>
      <w:r w:rsidRPr="00EC20A0">
        <w:rPr>
          <w:spacing w:val="-6"/>
        </w:rPr>
        <w:t xml:space="preserve"> </w:t>
      </w:r>
      <w:r w:rsidRPr="00EC20A0">
        <w:t>of</w:t>
      </w:r>
      <w:r w:rsidRPr="00EC20A0">
        <w:rPr>
          <w:spacing w:val="-7"/>
        </w:rPr>
        <w:t xml:space="preserve"> </w:t>
      </w:r>
      <w:r w:rsidRPr="00EC20A0">
        <w:t>material</w:t>
      </w:r>
      <w:r w:rsidRPr="00EC20A0">
        <w:rPr>
          <w:spacing w:val="-6"/>
        </w:rPr>
        <w:t xml:space="preserve"> </w:t>
      </w:r>
      <w:r w:rsidRPr="00EC20A0">
        <w:rPr>
          <w:spacing w:val="-2"/>
        </w:rPr>
        <w:t>misstatement;</w:t>
      </w:r>
    </w:p>
    <w:p w14:paraId="24D602B1" w14:textId="77777777" w:rsidR="00245300" w:rsidRPr="00EC20A0" w:rsidRDefault="00F17249">
      <w:pPr>
        <w:pStyle w:val="ListParagraph"/>
        <w:numPr>
          <w:ilvl w:val="1"/>
          <w:numId w:val="188"/>
        </w:numPr>
        <w:tabs>
          <w:tab w:val="left" w:pos="2218"/>
        </w:tabs>
        <w:spacing w:before="241"/>
        <w:ind w:left="2218" w:right="1041"/>
      </w:pPr>
      <w:r w:rsidRPr="00EC20A0">
        <w:t>the</w:t>
      </w:r>
      <w:r w:rsidRPr="00EC20A0">
        <w:rPr>
          <w:spacing w:val="-4"/>
        </w:rPr>
        <w:t xml:space="preserve"> </w:t>
      </w:r>
      <w:r w:rsidRPr="00EC20A0">
        <w:t>extent</w:t>
      </w:r>
      <w:r w:rsidRPr="00EC20A0">
        <w:rPr>
          <w:spacing w:val="-4"/>
        </w:rPr>
        <w:t xml:space="preserve"> </w:t>
      </w:r>
      <w:r w:rsidRPr="00EC20A0">
        <w:t>to</w:t>
      </w:r>
      <w:r w:rsidRPr="00EC20A0">
        <w:rPr>
          <w:spacing w:val="-5"/>
        </w:rPr>
        <w:t xml:space="preserve"> </w:t>
      </w:r>
      <w:r w:rsidRPr="00EC20A0">
        <w:t>which</w:t>
      </w:r>
      <w:r w:rsidRPr="00EC20A0">
        <w:rPr>
          <w:spacing w:val="-4"/>
        </w:rPr>
        <w:t xml:space="preserve"> </w:t>
      </w:r>
      <w:r w:rsidRPr="00EC20A0">
        <w:t>the</w:t>
      </w:r>
      <w:r w:rsidRPr="00EC20A0">
        <w:rPr>
          <w:spacing w:val="-4"/>
        </w:rPr>
        <w:t xml:space="preserve"> </w:t>
      </w:r>
      <w:r w:rsidRPr="00EC20A0">
        <w:t>internal</w:t>
      </w:r>
      <w:r w:rsidRPr="00EC20A0">
        <w:rPr>
          <w:spacing w:val="-4"/>
        </w:rPr>
        <w:t xml:space="preserve"> </w:t>
      </w:r>
      <w:r w:rsidRPr="00EC20A0">
        <w:t>audit</w:t>
      </w:r>
      <w:r w:rsidRPr="00EC20A0">
        <w:rPr>
          <w:spacing w:val="-4"/>
        </w:rPr>
        <w:t xml:space="preserve"> </w:t>
      </w:r>
      <w:r w:rsidRPr="00EC20A0">
        <w:t>function’s</w:t>
      </w:r>
      <w:r w:rsidRPr="00EC20A0">
        <w:rPr>
          <w:spacing w:val="-5"/>
        </w:rPr>
        <w:t xml:space="preserve"> </w:t>
      </w:r>
      <w:r w:rsidRPr="00EC20A0">
        <w:t>organizational</w:t>
      </w:r>
      <w:r w:rsidRPr="00EC20A0">
        <w:rPr>
          <w:spacing w:val="-5"/>
        </w:rPr>
        <w:t xml:space="preserve"> </w:t>
      </w:r>
      <w:r w:rsidRPr="00EC20A0">
        <w:t>status</w:t>
      </w:r>
      <w:r w:rsidRPr="00EC20A0">
        <w:rPr>
          <w:spacing w:val="-4"/>
        </w:rPr>
        <w:t xml:space="preserve"> </w:t>
      </w:r>
      <w:r w:rsidRPr="00EC20A0">
        <w:t>and relevant policies and procedures support the objectivity of the internal auditors; and</w:t>
      </w:r>
    </w:p>
    <w:p w14:paraId="24D602B2" w14:textId="77777777" w:rsidR="00245300" w:rsidRPr="00EC20A0" w:rsidRDefault="00F17249">
      <w:pPr>
        <w:pStyle w:val="ListParagraph"/>
        <w:numPr>
          <w:ilvl w:val="1"/>
          <w:numId w:val="188"/>
        </w:numPr>
        <w:tabs>
          <w:tab w:val="left" w:pos="2217"/>
        </w:tabs>
        <w:spacing w:before="239"/>
        <w:ind w:left="2217" w:hanging="359"/>
      </w:pPr>
      <w:r w:rsidRPr="00EC20A0">
        <w:t>the</w:t>
      </w:r>
      <w:r w:rsidRPr="00EC20A0">
        <w:rPr>
          <w:spacing w:val="-8"/>
        </w:rPr>
        <w:t xml:space="preserve"> </w:t>
      </w:r>
      <w:r w:rsidRPr="00EC20A0">
        <w:t>function’s</w:t>
      </w:r>
      <w:r w:rsidRPr="00EC20A0">
        <w:rPr>
          <w:spacing w:val="-7"/>
        </w:rPr>
        <w:t xml:space="preserve"> </w:t>
      </w:r>
      <w:r w:rsidRPr="00EC20A0">
        <w:t>level</w:t>
      </w:r>
      <w:r w:rsidRPr="00EC20A0">
        <w:rPr>
          <w:spacing w:val="-8"/>
        </w:rPr>
        <w:t xml:space="preserve"> </w:t>
      </w:r>
      <w:r w:rsidRPr="00EC20A0">
        <w:t>of</w:t>
      </w:r>
      <w:r w:rsidRPr="00EC20A0">
        <w:rPr>
          <w:spacing w:val="-7"/>
        </w:rPr>
        <w:t xml:space="preserve"> </w:t>
      </w:r>
      <w:r w:rsidRPr="00EC20A0">
        <w:t>competence</w:t>
      </w:r>
      <w:r w:rsidRPr="00EC20A0">
        <w:rPr>
          <w:spacing w:val="-8"/>
        </w:rPr>
        <w:t xml:space="preserve"> </w:t>
      </w:r>
      <w:r w:rsidRPr="00EC20A0">
        <w:t>(AU-C</w:t>
      </w:r>
      <w:r w:rsidRPr="00EC20A0">
        <w:rPr>
          <w:spacing w:val="-7"/>
        </w:rPr>
        <w:t xml:space="preserve"> </w:t>
      </w:r>
      <w:r w:rsidRPr="00EC20A0">
        <w:rPr>
          <w:spacing w:val="-2"/>
        </w:rPr>
        <w:t>610.23).</w:t>
      </w:r>
    </w:p>
    <w:p w14:paraId="24D602B3" w14:textId="77777777" w:rsidR="00245300" w:rsidRPr="00EC20A0" w:rsidRDefault="00F17249">
      <w:pPr>
        <w:pStyle w:val="ListParagraph"/>
        <w:numPr>
          <w:ilvl w:val="0"/>
          <w:numId w:val="188"/>
        </w:numPr>
        <w:tabs>
          <w:tab w:val="left" w:pos="1859"/>
        </w:tabs>
        <w:ind w:right="666" w:hanging="720"/>
      </w:pPr>
      <w:r w:rsidRPr="00EC20A0">
        <w:t>The</w:t>
      </w:r>
      <w:r w:rsidRPr="00EC20A0">
        <w:rPr>
          <w:spacing w:val="-3"/>
        </w:rPr>
        <w:t xml:space="preserve"> </w:t>
      </w:r>
      <w:r w:rsidRPr="00EC20A0">
        <w:t>auditor</w:t>
      </w:r>
      <w:r w:rsidRPr="00EC20A0">
        <w:rPr>
          <w:spacing w:val="-4"/>
        </w:rPr>
        <w:t xml:space="preserve"> </w:t>
      </w:r>
      <w:r w:rsidRPr="00EC20A0">
        <w:t>should</w:t>
      </w:r>
      <w:r w:rsidRPr="00EC20A0">
        <w:rPr>
          <w:spacing w:val="-3"/>
        </w:rPr>
        <w:t xml:space="preserve"> </w:t>
      </w:r>
      <w:r w:rsidRPr="00EC20A0">
        <w:t>also</w:t>
      </w:r>
      <w:r w:rsidRPr="00EC20A0">
        <w:rPr>
          <w:spacing w:val="-4"/>
        </w:rPr>
        <w:t xml:space="preserve"> </w:t>
      </w:r>
      <w:r w:rsidRPr="00EC20A0">
        <w:t>reperform</w:t>
      </w:r>
      <w:r w:rsidRPr="00EC20A0">
        <w:rPr>
          <w:spacing w:val="-3"/>
        </w:rPr>
        <w:t xml:space="preserve"> </w:t>
      </w:r>
      <w:r w:rsidRPr="00EC20A0">
        <w:t>some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body</w:t>
      </w:r>
      <w:r w:rsidRPr="00EC20A0">
        <w:rPr>
          <w:spacing w:val="-3"/>
        </w:rPr>
        <w:t xml:space="preserve"> </w:t>
      </w:r>
      <w:r w:rsidRPr="00EC20A0">
        <w:t>of</w:t>
      </w:r>
      <w:r w:rsidRPr="00EC20A0">
        <w:rPr>
          <w:spacing w:val="-3"/>
        </w:rPr>
        <w:t xml:space="preserve"> </w:t>
      </w:r>
      <w:r w:rsidRPr="00EC20A0">
        <w:t>work</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 xml:space="preserve">audit function that the auditor intends to use in </w:t>
      </w:r>
      <w:r w:rsidRPr="00EC20A0">
        <w:t>obtaining audit evidence</w:t>
      </w:r>
    </w:p>
    <w:p w14:paraId="24D602B4" w14:textId="77777777" w:rsidR="00245300" w:rsidRPr="00EC20A0" w:rsidRDefault="00F17249">
      <w:pPr>
        <w:pStyle w:val="BodyText"/>
        <w:spacing w:before="1"/>
        <w:ind w:left="1859" w:right="562"/>
      </w:pPr>
      <w:r w:rsidRPr="00EC20A0">
        <w:t>(AU-C</w:t>
      </w:r>
      <w:r w:rsidRPr="00EC20A0">
        <w:rPr>
          <w:spacing w:val="-4"/>
        </w:rPr>
        <w:t xml:space="preserve"> </w:t>
      </w:r>
      <w:r w:rsidRPr="00EC20A0">
        <w:t>610.23).</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may</w:t>
      </w:r>
      <w:r w:rsidRPr="00EC20A0">
        <w:rPr>
          <w:spacing w:val="-4"/>
        </w:rPr>
        <w:t xml:space="preserve"> </w:t>
      </w:r>
      <w:r w:rsidRPr="00EC20A0">
        <w:t>focus</w:t>
      </w:r>
      <w:r w:rsidRPr="00EC20A0">
        <w:rPr>
          <w:spacing w:val="-4"/>
        </w:rPr>
        <w:t xml:space="preserve"> </w:t>
      </w:r>
      <w:r w:rsidRPr="00EC20A0">
        <w:t>this</w:t>
      </w:r>
      <w:r w:rsidRPr="00EC20A0">
        <w:rPr>
          <w:spacing w:val="-4"/>
        </w:rPr>
        <w:t xml:space="preserve"> </w:t>
      </w:r>
      <w:r w:rsidRPr="00EC20A0">
        <w:t>reperforming</w:t>
      </w:r>
      <w:r w:rsidRPr="00EC20A0">
        <w:rPr>
          <w:spacing w:val="-4"/>
        </w:rPr>
        <w:t xml:space="preserve"> </w:t>
      </w:r>
      <w:r w:rsidRPr="00EC20A0">
        <w:t>on</w:t>
      </w:r>
      <w:r w:rsidRPr="00EC20A0">
        <w:rPr>
          <w:spacing w:val="-4"/>
        </w:rPr>
        <w:t xml:space="preserve"> </w:t>
      </w:r>
      <w:r w:rsidRPr="00EC20A0">
        <w:t>areas</w:t>
      </w:r>
      <w:r w:rsidRPr="00EC20A0">
        <w:rPr>
          <w:spacing w:val="-4"/>
        </w:rPr>
        <w:t xml:space="preserve"> </w:t>
      </w:r>
      <w:r w:rsidRPr="00EC20A0">
        <w:t>where</w:t>
      </w:r>
      <w:r w:rsidRPr="00EC20A0">
        <w:rPr>
          <w:spacing w:val="-4"/>
        </w:rPr>
        <w:t xml:space="preserve"> </w:t>
      </w:r>
      <w:r w:rsidRPr="00EC20A0">
        <w:t>more judgment was used by the internal audit function in planning, performing, and evaluating the results of the audit procedures and in areas at higher risk of material misstatement (AU-C 610.A36).</w:t>
      </w:r>
    </w:p>
    <w:p w14:paraId="24D602B5" w14:textId="77777777" w:rsidR="00245300" w:rsidRPr="00EC20A0" w:rsidRDefault="00245300">
      <w:pPr>
        <w:sectPr w:rsidR="00245300" w:rsidRPr="00EC20A0">
          <w:pgSz w:w="12240" w:h="15840"/>
          <w:pgMar w:top="1340" w:right="940" w:bottom="940" w:left="1020" w:header="721" w:footer="757" w:gutter="0"/>
          <w:cols w:space="720"/>
        </w:sectPr>
      </w:pPr>
    </w:p>
    <w:p w14:paraId="24D602B6" w14:textId="77777777" w:rsidR="00245300" w:rsidRPr="00EC20A0" w:rsidRDefault="00F17249">
      <w:pPr>
        <w:pStyle w:val="ListParagraph"/>
        <w:numPr>
          <w:ilvl w:val="0"/>
          <w:numId w:val="188"/>
        </w:numPr>
        <w:tabs>
          <w:tab w:val="left" w:pos="1859"/>
        </w:tabs>
        <w:spacing w:before="121"/>
        <w:ind w:right="641" w:hanging="720"/>
      </w:pPr>
      <w:r w:rsidRPr="00EC20A0">
        <w:t>Before the conclusion of the audit, the auditor should evaluate whether the auditor’s</w:t>
      </w:r>
      <w:r w:rsidRPr="00EC20A0">
        <w:rPr>
          <w:spacing w:val="-4"/>
        </w:rPr>
        <w:t xml:space="preserve"> </w:t>
      </w:r>
      <w:r w:rsidRPr="00EC20A0">
        <w:t>conclusions</w:t>
      </w:r>
      <w:r w:rsidRPr="00EC20A0">
        <w:rPr>
          <w:spacing w:val="-4"/>
        </w:rPr>
        <w:t xml:space="preserve"> </w:t>
      </w:r>
      <w:r w:rsidRPr="00EC20A0">
        <w:t>regarding</w:t>
      </w:r>
      <w:r w:rsidRPr="00EC20A0">
        <w:rPr>
          <w:spacing w:val="-4"/>
        </w:rPr>
        <w:t xml:space="preserve"> </w:t>
      </w:r>
      <w:r w:rsidRPr="00EC20A0">
        <w:t>the</w:t>
      </w:r>
      <w:r w:rsidRPr="00EC20A0">
        <w:rPr>
          <w:spacing w:val="-4"/>
        </w:rPr>
        <w:t xml:space="preserve"> </w:t>
      </w:r>
      <w:r w:rsidRPr="00EC20A0">
        <w:t>internal</w:t>
      </w:r>
      <w:r w:rsidRPr="00EC20A0">
        <w:rPr>
          <w:spacing w:val="-4"/>
        </w:rPr>
        <w:t xml:space="preserve"> </w:t>
      </w:r>
      <w:r w:rsidRPr="00EC20A0">
        <w:t>audit</w:t>
      </w:r>
      <w:r w:rsidRPr="00EC20A0">
        <w:rPr>
          <w:spacing w:val="-5"/>
        </w:rPr>
        <w:t xml:space="preserve"> </w:t>
      </w:r>
      <w:r w:rsidRPr="00EC20A0">
        <w:t>function</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hyperlink r:id="rId42">
        <w:r w:rsidRPr="00EC20A0">
          <w:t>FAM</w:t>
        </w:r>
      </w:hyperlink>
      <w:r w:rsidRPr="00EC20A0">
        <w:rPr>
          <w:spacing w:val="-5"/>
        </w:rPr>
        <w:t xml:space="preserve"> </w:t>
      </w:r>
      <w:r w:rsidRPr="00EC20A0">
        <w:t>645.06 and</w:t>
      </w:r>
      <w:r w:rsidRPr="00EC20A0">
        <w:rPr>
          <w:spacing w:val="-1"/>
        </w:rPr>
        <w:t xml:space="preserve"> </w:t>
      </w:r>
      <w:r w:rsidRPr="00EC20A0">
        <w:t>the</w:t>
      </w:r>
      <w:r w:rsidRPr="00EC20A0">
        <w:rPr>
          <w:spacing w:val="-1"/>
        </w:rPr>
        <w:t xml:space="preserve"> </w:t>
      </w:r>
      <w:r w:rsidRPr="00EC20A0">
        <w:t>determination</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nature</w:t>
      </w:r>
      <w:r w:rsidRPr="00EC20A0">
        <w:rPr>
          <w:spacing w:val="-1"/>
        </w:rPr>
        <w:t xml:space="preserve"> </w:t>
      </w:r>
      <w:r w:rsidRPr="00EC20A0">
        <w:t>and</w:t>
      </w:r>
      <w:r w:rsidRPr="00EC20A0">
        <w:rPr>
          <w:spacing w:val="-1"/>
        </w:rPr>
        <w:t xml:space="preserve"> </w:t>
      </w:r>
      <w:r w:rsidRPr="00EC20A0">
        <w:t>extent</w:t>
      </w:r>
      <w:r w:rsidRPr="00EC20A0">
        <w:rPr>
          <w:spacing w:val="-1"/>
        </w:rPr>
        <w:t xml:space="preserve"> </w:t>
      </w:r>
      <w:r w:rsidRPr="00EC20A0">
        <w:t>of</w:t>
      </w:r>
      <w:r w:rsidRPr="00EC20A0">
        <w:rPr>
          <w:spacing w:val="-2"/>
        </w:rPr>
        <w:t xml:space="preserve"> </w:t>
      </w:r>
      <w:r w:rsidRPr="00EC20A0">
        <w:t>use</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work</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 xml:space="preserve">function for purposes of the audit in </w:t>
      </w:r>
      <w:hyperlink r:id="rId43">
        <w:r w:rsidRPr="00EC20A0">
          <w:t>FAM</w:t>
        </w:r>
      </w:hyperlink>
      <w:r w:rsidRPr="00EC20A0">
        <w:t xml:space="preserve"> 645.09 through .11 remain appropriate (AU-C </w:t>
      </w:r>
      <w:r w:rsidRPr="00EC20A0">
        <w:rPr>
          <w:spacing w:val="-2"/>
        </w:rPr>
        <w:t>610.24).</w:t>
      </w:r>
    </w:p>
    <w:p w14:paraId="24D602B7" w14:textId="77777777" w:rsidR="00245300" w:rsidRPr="00EC20A0" w:rsidRDefault="00F17249">
      <w:pPr>
        <w:pStyle w:val="Heading4"/>
      </w:pPr>
      <w:bookmarkStart w:id="94" w:name="Direct_Assistance"/>
      <w:bookmarkEnd w:id="94"/>
      <w:r w:rsidRPr="00EC20A0">
        <w:t>Direct</w:t>
      </w:r>
      <w:r w:rsidRPr="00EC20A0">
        <w:rPr>
          <w:spacing w:val="-9"/>
        </w:rPr>
        <w:t xml:space="preserve"> </w:t>
      </w:r>
      <w:r w:rsidRPr="00EC20A0">
        <w:rPr>
          <w:spacing w:val="-2"/>
        </w:rPr>
        <w:t>Assistance</w:t>
      </w:r>
    </w:p>
    <w:p w14:paraId="24D602B8" w14:textId="77777777" w:rsidR="00245300" w:rsidRPr="00EC20A0" w:rsidRDefault="00F17249">
      <w:pPr>
        <w:pStyle w:val="Heading5"/>
        <w:spacing w:before="240"/>
        <w:ind w:left="1140"/>
        <w:rPr>
          <w:u w:val="none"/>
        </w:rPr>
      </w:pPr>
      <w:bookmarkStart w:id="95" w:name="Planning_for_Internal_Auditors_to_Provid"/>
      <w:bookmarkEnd w:id="95"/>
      <w:r w:rsidRPr="00EC20A0">
        <w:t>Planning</w:t>
      </w:r>
      <w:r w:rsidRPr="00EC20A0">
        <w:rPr>
          <w:spacing w:val="-6"/>
        </w:rPr>
        <w:t xml:space="preserve"> </w:t>
      </w:r>
      <w:r w:rsidRPr="00EC20A0">
        <w:t>for</w:t>
      </w:r>
      <w:r w:rsidRPr="00EC20A0">
        <w:rPr>
          <w:spacing w:val="-3"/>
        </w:rPr>
        <w:t xml:space="preserve"> </w:t>
      </w:r>
      <w:r w:rsidRPr="00EC20A0">
        <w:t>Internal</w:t>
      </w:r>
      <w:r w:rsidRPr="00EC20A0">
        <w:rPr>
          <w:spacing w:val="-4"/>
        </w:rPr>
        <w:t xml:space="preserve"> </w:t>
      </w:r>
      <w:r w:rsidRPr="00EC20A0">
        <w:t>Auditors</w:t>
      </w:r>
      <w:r w:rsidRPr="00EC20A0">
        <w:rPr>
          <w:spacing w:val="-3"/>
        </w:rPr>
        <w:t xml:space="preserve"> </w:t>
      </w:r>
      <w:r w:rsidRPr="00EC20A0">
        <w:t>to</w:t>
      </w:r>
      <w:r w:rsidRPr="00EC20A0">
        <w:rPr>
          <w:spacing w:val="-3"/>
        </w:rPr>
        <w:t xml:space="preserve"> </w:t>
      </w:r>
      <w:r w:rsidRPr="00EC20A0">
        <w:t>Provide</w:t>
      </w:r>
      <w:r w:rsidRPr="00EC20A0">
        <w:rPr>
          <w:spacing w:val="-3"/>
        </w:rPr>
        <w:t xml:space="preserve"> </w:t>
      </w:r>
      <w:r w:rsidRPr="00EC20A0">
        <w:t>Direct</w:t>
      </w:r>
      <w:r w:rsidRPr="00EC20A0">
        <w:rPr>
          <w:spacing w:val="-2"/>
        </w:rPr>
        <w:t xml:space="preserve"> Assistance</w:t>
      </w:r>
    </w:p>
    <w:p w14:paraId="24D602B9" w14:textId="77777777" w:rsidR="00245300" w:rsidRPr="00EC20A0" w:rsidRDefault="00F17249">
      <w:pPr>
        <w:pStyle w:val="ListParagraph"/>
        <w:numPr>
          <w:ilvl w:val="0"/>
          <w:numId w:val="188"/>
        </w:numPr>
        <w:tabs>
          <w:tab w:val="left" w:pos="1860"/>
        </w:tabs>
        <w:ind w:left="1860" w:right="590"/>
      </w:pPr>
      <w:r w:rsidRPr="00EC20A0">
        <w:t>If the auditor plans to use internal auditors to provide direct assistance on the audit,</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4"/>
        </w:rPr>
        <w:t xml:space="preserve"> </w:t>
      </w:r>
      <w:r w:rsidRPr="00EC20A0">
        <w:t>evaluate</w:t>
      </w:r>
      <w:r w:rsidRPr="00EC20A0">
        <w:rPr>
          <w:spacing w:val="-3"/>
        </w:rPr>
        <w:t xml:space="preserve"> </w:t>
      </w:r>
      <w:r w:rsidRPr="00EC20A0">
        <w:t>the</w:t>
      </w:r>
      <w:r w:rsidRPr="00EC20A0">
        <w:rPr>
          <w:spacing w:val="-4"/>
        </w:rPr>
        <w:t xml:space="preserve"> </w:t>
      </w:r>
      <w:r w:rsidRPr="00EC20A0">
        <w:t>existence</w:t>
      </w:r>
      <w:r w:rsidRPr="00EC20A0">
        <w:rPr>
          <w:spacing w:val="-3"/>
        </w:rPr>
        <w:t xml:space="preserve"> </w:t>
      </w:r>
      <w:r w:rsidRPr="00EC20A0">
        <w:t>and</w:t>
      </w:r>
      <w:r w:rsidRPr="00EC20A0">
        <w:rPr>
          <w:spacing w:val="-3"/>
        </w:rPr>
        <w:t xml:space="preserve"> </w:t>
      </w:r>
      <w:r w:rsidRPr="00EC20A0">
        <w:t>significance</w:t>
      </w:r>
      <w:r w:rsidRPr="00EC20A0">
        <w:rPr>
          <w:spacing w:val="-3"/>
        </w:rPr>
        <w:t xml:space="preserve"> </w:t>
      </w:r>
      <w:r w:rsidRPr="00EC20A0">
        <w:t>of</w:t>
      </w:r>
      <w:r w:rsidRPr="00EC20A0">
        <w:rPr>
          <w:spacing w:val="-3"/>
        </w:rPr>
        <w:t xml:space="preserve"> </w:t>
      </w:r>
      <w:r w:rsidRPr="00EC20A0">
        <w:t>threats</w:t>
      </w:r>
      <w:r w:rsidRPr="00EC20A0">
        <w:rPr>
          <w:spacing w:val="-4"/>
        </w:rPr>
        <w:t xml:space="preserve"> </w:t>
      </w:r>
      <w:r w:rsidRPr="00EC20A0">
        <w:t>to</w:t>
      </w:r>
      <w:r w:rsidRPr="00EC20A0">
        <w:rPr>
          <w:spacing w:val="-3"/>
        </w:rPr>
        <w:t xml:space="preserve"> </w:t>
      </w:r>
      <w:r w:rsidRPr="00EC20A0">
        <w:t>the objectivity of</w:t>
      </w:r>
      <w:r w:rsidRPr="00EC20A0">
        <w:rPr>
          <w:spacing w:val="-1"/>
        </w:rPr>
        <w:t xml:space="preserve"> </w:t>
      </w:r>
      <w:r w:rsidRPr="00EC20A0">
        <w:t>the internal</w:t>
      </w:r>
      <w:r w:rsidRPr="00EC20A0">
        <w:rPr>
          <w:spacing w:val="-1"/>
        </w:rPr>
        <w:t xml:space="preserve"> </w:t>
      </w:r>
      <w:r w:rsidRPr="00EC20A0">
        <w:t>auditors who will be providing direct</w:t>
      </w:r>
      <w:r w:rsidRPr="00EC20A0">
        <w:rPr>
          <w:spacing w:val="-1"/>
        </w:rPr>
        <w:t xml:space="preserve"> </w:t>
      </w:r>
      <w:r w:rsidRPr="00EC20A0">
        <w:t>assistance,</w:t>
      </w:r>
      <w:r w:rsidRPr="00EC20A0">
        <w:rPr>
          <w:spacing w:val="-1"/>
        </w:rPr>
        <w:t xml:space="preserve"> </w:t>
      </w:r>
      <w:r w:rsidRPr="00EC20A0">
        <w:t xml:space="preserve">as well as any safeguards applied to reduce or eliminate the threats, and the </w:t>
      </w:r>
      <w:r w:rsidRPr="00EC20A0">
        <w:t>level of competence of the internal auditors who will be providing such assistance.</w:t>
      </w:r>
    </w:p>
    <w:p w14:paraId="24D602BA" w14:textId="77777777" w:rsidR="00245300" w:rsidRPr="00EC20A0" w:rsidRDefault="00F17249">
      <w:pPr>
        <w:pStyle w:val="BodyText"/>
        <w:ind w:left="1859"/>
      </w:pPr>
      <w:r w:rsidRPr="00EC20A0">
        <w:t>(AU-C</w:t>
      </w:r>
      <w:r w:rsidRPr="00EC20A0">
        <w:rPr>
          <w:spacing w:val="-4"/>
        </w:rPr>
        <w:t xml:space="preserve"> </w:t>
      </w:r>
      <w:r w:rsidRPr="00EC20A0">
        <w:t>610.25)</w:t>
      </w:r>
      <w:r w:rsidRPr="00EC20A0">
        <w:rPr>
          <w:spacing w:val="-4"/>
        </w:rPr>
        <w:t xml:space="preserve"> </w:t>
      </w:r>
      <w:r w:rsidRPr="00EC20A0">
        <w:t>See</w:t>
      </w:r>
      <w:r w:rsidRPr="00EC20A0">
        <w:rPr>
          <w:spacing w:val="-4"/>
        </w:rPr>
        <w:t xml:space="preserve"> </w:t>
      </w:r>
      <w:r w:rsidRPr="00EC20A0">
        <w:t>FAM</w:t>
      </w:r>
      <w:r w:rsidRPr="00EC20A0">
        <w:rPr>
          <w:spacing w:val="-4"/>
        </w:rPr>
        <w:t xml:space="preserve"> </w:t>
      </w:r>
      <w:r w:rsidRPr="00EC20A0">
        <w:t>615</w:t>
      </w:r>
      <w:r w:rsidRPr="00EC20A0">
        <w:rPr>
          <w:spacing w:val="-4"/>
        </w:rPr>
        <w:t xml:space="preserve"> </w:t>
      </w:r>
      <w:r w:rsidRPr="00EC20A0">
        <w:t>for</w:t>
      </w:r>
      <w:r w:rsidRPr="00EC20A0">
        <w:rPr>
          <w:spacing w:val="-4"/>
        </w:rPr>
        <w:t xml:space="preserve"> </w:t>
      </w:r>
      <w:r w:rsidRPr="00EC20A0">
        <w:t>guidance</w:t>
      </w:r>
      <w:r w:rsidRPr="00EC20A0">
        <w:rPr>
          <w:spacing w:val="-4"/>
        </w:rPr>
        <w:t xml:space="preserve"> </w:t>
      </w:r>
      <w:r w:rsidRPr="00EC20A0">
        <w:t>on</w:t>
      </w:r>
      <w:r w:rsidRPr="00EC20A0">
        <w:rPr>
          <w:spacing w:val="-4"/>
        </w:rPr>
        <w:t xml:space="preserve"> </w:t>
      </w:r>
      <w:r w:rsidRPr="00EC20A0">
        <w:t>evaluating</w:t>
      </w:r>
      <w:r w:rsidRPr="00EC20A0">
        <w:rPr>
          <w:spacing w:val="-4"/>
        </w:rPr>
        <w:t xml:space="preserve"> </w:t>
      </w:r>
      <w:r w:rsidRPr="00EC20A0">
        <w:t>the</w:t>
      </w:r>
      <w:r w:rsidRPr="00EC20A0">
        <w:rPr>
          <w:spacing w:val="-4"/>
        </w:rPr>
        <w:t xml:space="preserve"> </w:t>
      </w:r>
      <w:r w:rsidRPr="00EC20A0">
        <w:t>objectivity</w:t>
      </w:r>
      <w:r w:rsidRPr="00EC20A0">
        <w:rPr>
          <w:spacing w:val="-4"/>
        </w:rPr>
        <w:t xml:space="preserve"> </w:t>
      </w:r>
      <w:r w:rsidRPr="00EC20A0">
        <w:t>and competence of internal auditors providing direct assistance.</w:t>
      </w:r>
    </w:p>
    <w:p w14:paraId="24D602BB" w14:textId="77777777" w:rsidR="00245300" w:rsidRPr="00EC20A0" w:rsidRDefault="00F17249">
      <w:pPr>
        <w:pStyle w:val="ListParagraph"/>
        <w:numPr>
          <w:ilvl w:val="0"/>
          <w:numId w:val="188"/>
        </w:numPr>
        <w:tabs>
          <w:tab w:val="left" w:pos="1859"/>
        </w:tabs>
        <w:ind w:hanging="720"/>
      </w:pPr>
      <w:r w:rsidRPr="00EC20A0">
        <w:t>The</w:t>
      </w:r>
      <w:r w:rsidRPr="00EC20A0">
        <w:rPr>
          <w:spacing w:val="-6"/>
        </w:rPr>
        <w:t xml:space="preserve"> </w:t>
      </w:r>
      <w:r w:rsidRPr="00EC20A0">
        <w:t>auditor</w:t>
      </w:r>
      <w:r w:rsidRPr="00EC20A0">
        <w:rPr>
          <w:spacing w:val="-8"/>
        </w:rPr>
        <w:t xml:space="preserve"> </w:t>
      </w:r>
      <w:r w:rsidRPr="00EC20A0">
        <w:t>should</w:t>
      </w:r>
      <w:r w:rsidRPr="00EC20A0">
        <w:rPr>
          <w:spacing w:val="-6"/>
        </w:rPr>
        <w:t xml:space="preserve"> </w:t>
      </w:r>
      <w:r w:rsidRPr="00EC20A0">
        <w:t>not</w:t>
      </w:r>
      <w:r w:rsidRPr="00EC20A0">
        <w:rPr>
          <w:spacing w:val="-6"/>
        </w:rPr>
        <w:t xml:space="preserve"> </w:t>
      </w:r>
      <w:r w:rsidRPr="00EC20A0">
        <w:t>use</w:t>
      </w:r>
      <w:r w:rsidRPr="00EC20A0">
        <w:rPr>
          <w:spacing w:val="-6"/>
        </w:rPr>
        <w:t xml:space="preserve"> </w:t>
      </w:r>
      <w:r w:rsidRPr="00EC20A0">
        <w:t>an</w:t>
      </w:r>
      <w:r w:rsidRPr="00EC20A0">
        <w:rPr>
          <w:spacing w:val="-6"/>
        </w:rPr>
        <w:t xml:space="preserve"> </w:t>
      </w:r>
      <w:r w:rsidRPr="00EC20A0">
        <w:t>internal</w:t>
      </w:r>
      <w:r w:rsidRPr="00EC20A0">
        <w:rPr>
          <w:spacing w:val="-6"/>
        </w:rPr>
        <w:t xml:space="preserve"> </w:t>
      </w:r>
      <w:r w:rsidRPr="00EC20A0">
        <w:t>auditor</w:t>
      </w:r>
      <w:r w:rsidRPr="00EC20A0">
        <w:rPr>
          <w:spacing w:val="-6"/>
        </w:rPr>
        <w:t xml:space="preserve"> </w:t>
      </w:r>
      <w:r w:rsidRPr="00EC20A0">
        <w:t>to</w:t>
      </w:r>
      <w:r w:rsidRPr="00EC20A0">
        <w:rPr>
          <w:spacing w:val="-7"/>
        </w:rPr>
        <w:t xml:space="preserve"> </w:t>
      </w:r>
      <w:r w:rsidRPr="00EC20A0">
        <w:t>provide</w:t>
      </w:r>
      <w:r w:rsidRPr="00EC20A0">
        <w:rPr>
          <w:spacing w:val="-5"/>
        </w:rPr>
        <w:t xml:space="preserve"> </w:t>
      </w:r>
      <w:r w:rsidRPr="00EC20A0">
        <w:t>direct</w:t>
      </w:r>
      <w:r w:rsidRPr="00EC20A0">
        <w:rPr>
          <w:spacing w:val="-6"/>
        </w:rPr>
        <w:t xml:space="preserve"> </w:t>
      </w:r>
      <w:r w:rsidRPr="00EC20A0">
        <w:t>assistance</w:t>
      </w:r>
      <w:r w:rsidRPr="00EC20A0">
        <w:rPr>
          <w:spacing w:val="-6"/>
        </w:rPr>
        <w:t xml:space="preserve"> </w:t>
      </w:r>
      <w:r w:rsidRPr="00EC20A0">
        <w:rPr>
          <w:spacing w:val="-5"/>
        </w:rPr>
        <w:t>if</w:t>
      </w:r>
    </w:p>
    <w:p w14:paraId="24D602BC" w14:textId="77777777" w:rsidR="00245300" w:rsidRPr="00EC20A0" w:rsidRDefault="00F17249">
      <w:pPr>
        <w:pStyle w:val="ListParagraph"/>
        <w:numPr>
          <w:ilvl w:val="1"/>
          <w:numId w:val="188"/>
        </w:numPr>
        <w:tabs>
          <w:tab w:val="left" w:pos="2218"/>
        </w:tabs>
        <w:ind w:left="2218" w:right="808"/>
      </w:pPr>
      <w:r w:rsidRPr="00EC20A0">
        <w:t>the</w:t>
      </w:r>
      <w:r w:rsidRPr="00EC20A0">
        <w:rPr>
          <w:spacing w:val="-4"/>
        </w:rPr>
        <w:t xml:space="preserve"> </w:t>
      </w:r>
      <w:r w:rsidRPr="00EC20A0">
        <w:t>internal</w:t>
      </w:r>
      <w:r w:rsidRPr="00EC20A0">
        <w:rPr>
          <w:spacing w:val="-5"/>
        </w:rPr>
        <w:t xml:space="preserve"> </w:t>
      </w:r>
      <w:r w:rsidRPr="00EC20A0">
        <w:t>auditor</w:t>
      </w:r>
      <w:r w:rsidRPr="00EC20A0">
        <w:rPr>
          <w:spacing w:val="-4"/>
        </w:rPr>
        <w:t xml:space="preserve"> </w:t>
      </w:r>
      <w:r w:rsidRPr="00EC20A0">
        <w:t>lacks</w:t>
      </w:r>
      <w:r w:rsidRPr="00EC20A0">
        <w:rPr>
          <w:spacing w:val="-4"/>
        </w:rPr>
        <w:t xml:space="preserve"> </w:t>
      </w:r>
      <w:r w:rsidRPr="00EC20A0">
        <w:t>the</w:t>
      </w:r>
      <w:r w:rsidRPr="00EC20A0">
        <w:rPr>
          <w:spacing w:val="-4"/>
        </w:rPr>
        <w:t xml:space="preserve"> </w:t>
      </w:r>
      <w:r w:rsidRPr="00EC20A0">
        <w:t>necessary</w:t>
      </w:r>
      <w:r w:rsidRPr="00EC20A0">
        <w:rPr>
          <w:spacing w:val="-4"/>
        </w:rPr>
        <w:t xml:space="preserve"> </w:t>
      </w:r>
      <w:r w:rsidRPr="00EC20A0">
        <w:t>objectivity</w:t>
      </w:r>
      <w:r w:rsidRPr="00EC20A0">
        <w:rPr>
          <w:spacing w:val="-4"/>
        </w:rPr>
        <w:t xml:space="preserve"> </w:t>
      </w:r>
      <w:r w:rsidRPr="00EC20A0">
        <w:t>to</w:t>
      </w:r>
      <w:r w:rsidRPr="00EC20A0">
        <w:rPr>
          <w:spacing w:val="-4"/>
        </w:rPr>
        <w:t xml:space="preserve"> </w:t>
      </w:r>
      <w:r w:rsidRPr="00EC20A0">
        <w:t>perform</w:t>
      </w:r>
      <w:r w:rsidRPr="00EC20A0">
        <w:rPr>
          <w:spacing w:val="-5"/>
        </w:rPr>
        <w:t xml:space="preserve"> </w:t>
      </w:r>
      <w:r w:rsidRPr="00EC20A0">
        <w:t>the</w:t>
      </w:r>
      <w:r w:rsidRPr="00EC20A0">
        <w:rPr>
          <w:spacing w:val="-4"/>
        </w:rPr>
        <w:t xml:space="preserve"> </w:t>
      </w:r>
      <w:r w:rsidRPr="00EC20A0">
        <w:t>proposed work or</w:t>
      </w:r>
    </w:p>
    <w:p w14:paraId="24D602BD" w14:textId="77777777" w:rsidR="00245300" w:rsidRPr="00EC20A0" w:rsidRDefault="00F17249">
      <w:pPr>
        <w:pStyle w:val="ListParagraph"/>
        <w:numPr>
          <w:ilvl w:val="1"/>
          <w:numId w:val="188"/>
        </w:numPr>
        <w:tabs>
          <w:tab w:val="left" w:pos="2218"/>
        </w:tabs>
        <w:spacing w:before="239"/>
        <w:ind w:left="2218" w:right="577"/>
      </w:pPr>
      <w:r w:rsidRPr="00EC20A0">
        <w:t>the</w:t>
      </w:r>
      <w:r w:rsidRPr="00EC20A0">
        <w:rPr>
          <w:spacing w:val="-4"/>
        </w:rPr>
        <w:t xml:space="preserve"> </w:t>
      </w:r>
      <w:r w:rsidRPr="00EC20A0">
        <w:t>internal</w:t>
      </w:r>
      <w:r w:rsidRPr="00EC20A0">
        <w:rPr>
          <w:spacing w:val="-5"/>
        </w:rPr>
        <w:t xml:space="preserve"> </w:t>
      </w:r>
      <w:r w:rsidRPr="00EC20A0">
        <w:t>auditor</w:t>
      </w:r>
      <w:r w:rsidRPr="00EC20A0">
        <w:rPr>
          <w:spacing w:val="-4"/>
        </w:rPr>
        <w:t xml:space="preserve"> </w:t>
      </w:r>
      <w:r w:rsidRPr="00EC20A0">
        <w:t>lacks</w:t>
      </w:r>
      <w:r w:rsidRPr="00EC20A0">
        <w:rPr>
          <w:spacing w:val="-4"/>
        </w:rPr>
        <w:t xml:space="preserve"> </w:t>
      </w:r>
      <w:r w:rsidRPr="00EC20A0">
        <w:t>the</w:t>
      </w:r>
      <w:r w:rsidRPr="00EC20A0">
        <w:rPr>
          <w:spacing w:val="-4"/>
        </w:rPr>
        <w:t xml:space="preserve"> </w:t>
      </w:r>
      <w:r w:rsidRPr="00EC20A0">
        <w:t>necessary</w:t>
      </w:r>
      <w:r w:rsidRPr="00EC20A0">
        <w:rPr>
          <w:spacing w:val="-4"/>
        </w:rPr>
        <w:t xml:space="preserve"> </w:t>
      </w:r>
      <w:r w:rsidRPr="00EC20A0">
        <w:t>competence</w:t>
      </w:r>
      <w:r w:rsidRPr="00EC20A0">
        <w:rPr>
          <w:spacing w:val="-4"/>
        </w:rPr>
        <w:t xml:space="preserve"> </w:t>
      </w:r>
      <w:r w:rsidRPr="00EC20A0">
        <w:t>to</w:t>
      </w:r>
      <w:r w:rsidRPr="00EC20A0">
        <w:rPr>
          <w:spacing w:val="-4"/>
        </w:rPr>
        <w:t xml:space="preserve"> </w:t>
      </w:r>
      <w:r w:rsidRPr="00EC20A0">
        <w:t>perform</w:t>
      </w:r>
      <w:r w:rsidRPr="00EC20A0">
        <w:rPr>
          <w:spacing w:val="-5"/>
        </w:rPr>
        <w:t xml:space="preserve"> </w:t>
      </w:r>
      <w:r w:rsidRPr="00EC20A0">
        <w:t>the</w:t>
      </w:r>
      <w:r w:rsidRPr="00EC20A0">
        <w:rPr>
          <w:spacing w:val="-4"/>
        </w:rPr>
        <w:t xml:space="preserve"> </w:t>
      </w:r>
      <w:r w:rsidRPr="00EC20A0">
        <w:t>proposed work (AU-C 610.26).</w:t>
      </w:r>
    </w:p>
    <w:p w14:paraId="24D602BE" w14:textId="77777777" w:rsidR="00245300" w:rsidRPr="00EC20A0" w:rsidRDefault="00F17249">
      <w:pPr>
        <w:pStyle w:val="ListParagraph"/>
        <w:numPr>
          <w:ilvl w:val="0"/>
          <w:numId w:val="188"/>
        </w:numPr>
        <w:tabs>
          <w:tab w:val="left" w:pos="1858"/>
        </w:tabs>
        <w:spacing w:before="241"/>
        <w:ind w:left="1858" w:right="850"/>
      </w:pPr>
      <w:r w:rsidRPr="00EC20A0">
        <w:t xml:space="preserve">In determining the nature and </w:t>
      </w:r>
      <w:r w:rsidRPr="00EC20A0">
        <w:t>extent of work that may be assigned to internal auditors providing direct assistance and the nature, timing, and extent of direction,</w:t>
      </w:r>
      <w:r w:rsidRPr="00EC20A0">
        <w:rPr>
          <w:spacing w:val="-5"/>
        </w:rPr>
        <w:t xml:space="preserve"> </w:t>
      </w:r>
      <w:r w:rsidRPr="00EC20A0">
        <w:t>supervision,</w:t>
      </w:r>
      <w:r w:rsidRPr="00EC20A0">
        <w:rPr>
          <w:spacing w:val="-5"/>
        </w:rPr>
        <w:t xml:space="preserve"> </w:t>
      </w:r>
      <w:r w:rsidRPr="00EC20A0">
        <w:t>and</w:t>
      </w:r>
      <w:r w:rsidRPr="00EC20A0">
        <w:rPr>
          <w:spacing w:val="-4"/>
        </w:rPr>
        <w:t xml:space="preserve"> </w:t>
      </w:r>
      <w:r w:rsidRPr="00EC20A0">
        <w:t>review</w:t>
      </w:r>
      <w:r w:rsidRPr="00EC20A0">
        <w:rPr>
          <w:spacing w:val="-4"/>
        </w:rPr>
        <w:t xml:space="preserve"> </w:t>
      </w:r>
      <w:r w:rsidRPr="00EC20A0">
        <w:t>that</w:t>
      </w:r>
      <w:r w:rsidRPr="00EC20A0">
        <w:rPr>
          <w:spacing w:val="-4"/>
        </w:rPr>
        <w:t xml:space="preserve"> </w:t>
      </w:r>
      <w:r w:rsidRPr="00EC20A0">
        <w:t>is</w:t>
      </w:r>
      <w:r w:rsidRPr="00EC20A0">
        <w:rPr>
          <w:spacing w:val="-4"/>
        </w:rPr>
        <w:t xml:space="preserve"> </w:t>
      </w:r>
      <w:r w:rsidRPr="00EC20A0">
        <w:t>appropriate</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circumstances,</w:t>
      </w:r>
      <w:r w:rsidRPr="00EC20A0">
        <w:rPr>
          <w:spacing w:val="-4"/>
        </w:rPr>
        <w:t xml:space="preserve"> </w:t>
      </w:r>
      <w:r w:rsidRPr="00EC20A0">
        <w:t>the auditor should consider</w:t>
      </w:r>
    </w:p>
    <w:p w14:paraId="24D602BF" w14:textId="77777777" w:rsidR="00245300" w:rsidRPr="00EC20A0" w:rsidRDefault="00F17249">
      <w:pPr>
        <w:pStyle w:val="ListParagraph"/>
        <w:numPr>
          <w:ilvl w:val="1"/>
          <w:numId w:val="188"/>
        </w:numPr>
        <w:tabs>
          <w:tab w:val="left" w:pos="2218"/>
        </w:tabs>
        <w:spacing w:before="239"/>
        <w:ind w:left="2218" w:right="820"/>
      </w:pPr>
      <w:r w:rsidRPr="00EC20A0">
        <w:t>the auditor’s evaluation of the existence and significance of threats to the internal auditors’ objectivity, the effectiveness of the safeguards applied to reduce</w:t>
      </w:r>
      <w:r w:rsidRPr="00EC20A0">
        <w:rPr>
          <w:spacing w:val="-4"/>
        </w:rPr>
        <w:t xml:space="preserve"> </w:t>
      </w:r>
      <w:r w:rsidRPr="00EC20A0">
        <w:t>or</w:t>
      </w:r>
      <w:r w:rsidRPr="00EC20A0">
        <w:rPr>
          <w:spacing w:val="-4"/>
        </w:rPr>
        <w:t xml:space="preserve"> </w:t>
      </w:r>
      <w:r w:rsidRPr="00EC20A0">
        <w:t>eliminate</w:t>
      </w:r>
      <w:r w:rsidRPr="00EC20A0">
        <w:rPr>
          <w:spacing w:val="-4"/>
        </w:rPr>
        <w:t xml:space="preserve"> </w:t>
      </w:r>
      <w:r w:rsidRPr="00EC20A0">
        <w:t>the</w:t>
      </w:r>
      <w:r w:rsidRPr="00EC20A0">
        <w:rPr>
          <w:spacing w:val="-4"/>
        </w:rPr>
        <w:t xml:space="preserve"> </w:t>
      </w:r>
      <w:r w:rsidRPr="00EC20A0">
        <w:t>threats,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level</w:t>
      </w:r>
      <w:r w:rsidRPr="00EC20A0">
        <w:rPr>
          <w:spacing w:val="-4"/>
        </w:rPr>
        <w:t xml:space="preserve"> </w:t>
      </w:r>
      <w:r w:rsidRPr="00EC20A0">
        <w:t>of</w:t>
      </w:r>
      <w:r w:rsidRPr="00EC20A0">
        <w:rPr>
          <w:spacing w:val="-5"/>
        </w:rPr>
        <w:t xml:space="preserve"> </w:t>
      </w:r>
      <w:r w:rsidRPr="00EC20A0">
        <w:t>competence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internal auditors who will be providing such assistance;</w:t>
      </w:r>
    </w:p>
    <w:p w14:paraId="24D602C0" w14:textId="77777777" w:rsidR="00245300" w:rsidRPr="00EC20A0" w:rsidRDefault="00F17249">
      <w:pPr>
        <w:pStyle w:val="ListParagraph"/>
        <w:numPr>
          <w:ilvl w:val="1"/>
          <w:numId w:val="188"/>
        </w:numPr>
        <w:tabs>
          <w:tab w:val="left" w:pos="2219"/>
        </w:tabs>
        <w:spacing w:before="241"/>
        <w:ind w:hanging="359"/>
      </w:pPr>
      <w:r w:rsidRPr="00EC20A0">
        <w:t>the</w:t>
      </w:r>
      <w:r w:rsidRPr="00EC20A0">
        <w:rPr>
          <w:spacing w:val="-9"/>
        </w:rPr>
        <w:t xml:space="preserve"> </w:t>
      </w:r>
      <w:r w:rsidRPr="00EC20A0">
        <w:t>assessed</w:t>
      </w:r>
      <w:r w:rsidRPr="00EC20A0">
        <w:rPr>
          <w:spacing w:val="-8"/>
        </w:rPr>
        <w:t xml:space="preserve"> </w:t>
      </w:r>
      <w:r w:rsidRPr="00EC20A0">
        <w:t>risk</w:t>
      </w:r>
      <w:r w:rsidRPr="00EC20A0">
        <w:rPr>
          <w:spacing w:val="-8"/>
        </w:rPr>
        <w:t xml:space="preserve"> </w:t>
      </w:r>
      <w:r w:rsidRPr="00EC20A0">
        <w:t>of</w:t>
      </w:r>
      <w:r w:rsidRPr="00EC20A0">
        <w:rPr>
          <w:spacing w:val="-8"/>
        </w:rPr>
        <w:t xml:space="preserve"> </w:t>
      </w:r>
      <w:r w:rsidRPr="00EC20A0">
        <w:t>material</w:t>
      </w:r>
      <w:r w:rsidRPr="00EC20A0">
        <w:rPr>
          <w:spacing w:val="-8"/>
        </w:rPr>
        <w:t xml:space="preserve"> </w:t>
      </w:r>
      <w:r w:rsidRPr="00EC20A0">
        <w:t>misstatement;</w:t>
      </w:r>
      <w:r w:rsidRPr="00EC20A0">
        <w:rPr>
          <w:spacing w:val="-8"/>
        </w:rPr>
        <w:t xml:space="preserve"> </w:t>
      </w:r>
      <w:r w:rsidRPr="00EC20A0">
        <w:rPr>
          <w:spacing w:val="-5"/>
        </w:rPr>
        <w:t>and</w:t>
      </w:r>
    </w:p>
    <w:p w14:paraId="24D602C1" w14:textId="77777777" w:rsidR="00245300" w:rsidRPr="00EC20A0" w:rsidRDefault="00F17249">
      <w:pPr>
        <w:pStyle w:val="ListParagraph"/>
        <w:numPr>
          <w:ilvl w:val="1"/>
          <w:numId w:val="188"/>
        </w:numPr>
        <w:tabs>
          <w:tab w:val="left" w:pos="2218"/>
        </w:tabs>
        <w:spacing w:before="239"/>
        <w:ind w:left="2218" w:hanging="359"/>
      </w:pPr>
      <w:r w:rsidRPr="00EC20A0">
        <w:t>the</w:t>
      </w:r>
      <w:r w:rsidRPr="00EC20A0">
        <w:rPr>
          <w:spacing w:val="-7"/>
        </w:rPr>
        <w:t xml:space="preserve"> </w:t>
      </w:r>
      <w:r w:rsidRPr="00EC20A0">
        <w:t>amount</w:t>
      </w:r>
      <w:r w:rsidRPr="00EC20A0">
        <w:rPr>
          <w:spacing w:val="-6"/>
        </w:rPr>
        <w:t xml:space="preserve"> </w:t>
      </w:r>
      <w:r w:rsidRPr="00EC20A0">
        <w:t>of</w:t>
      </w:r>
      <w:r w:rsidRPr="00EC20A0">
        <w:rPr>
          <w:spacing w:val="-6"/>
        </w:rPr>
        <w:t xml:space="preserve"> </w:t>
      </w:r>
      <w:r w:rsidRPr="00EC20A0">
        <w:t>judgment</w:t>
      </w:r>
      <w:r w:rsidRPr="00EC20A0">
        <w:rPr>
          <w:spacing w:val="-7"/>
        </w:rPr>
        <w:t xml:space="preserve"> </w:t>
      </w:r>
      <w:r w:rsidRPr="00EC20A0">
        <w:t>involved</w:t>
      </w:r>
      <w:r w:rsidRPr="00EC20A0">
        <w:rPr>
          <w:spacing w:val="-7"/>
        </w:rPr>
        <w:t xml:space="preserve"> </w:t>
      </w:r>
      <w:r w:rsidRPr="00EC20A0">
        <w:rPr>
          <w:spacing w:val="-5"/>
        </w:rPr>
        <w:t>in</w:t>
      </w:r>
    </w:p>
    <w:p w14:paraId="24D602C2" w14:textId="77777777" w:rsidR="00245300" w:rsidRPr="00EC20A0" w:rsidRDefault="00F17249">
      <w:pPr>
        <w:pStyle w:val="ListParagraph"/>
        <w:numPr>
          <w:ilvl w:val="2"/>
          <w:numId w:val="188"/>
        </w:numPr>
        <w:tabs>
          <w:tab w:val="left" w:pos="2578"/>
        </w:tabs>
        <w:ind w:left="2578" w:hanging="359"/>
      </w:pPr>
      <w:r w:rsidRPr="00EC20A0">
        <w:t>planning</w:t>
      </w:r>
      <w:r w:rsidRPr="00EC20A0">
        <w:rPr>
          <w:spacing w:val="-9"/>
        </w:rPr>
        <w:t xml:space="preserve"> </w:t>
      </w:r>
      <w:r w:rsidRPr="00EC20A0">
        <w:t>and</w:t>
      </w:r>
      <w:r w:rsidRPr="00EC20A0">
        <w:rPr>
          <w:spacing w:val="-9"/>
        </w:rPr>
        <w:t xml:space="preserve"> </w:t>
      </w:r>
      <w:r w:rsidRPr="00EC20A0">
        <w:t>performing</w:t>
      </w:r>
      <w:r w:rsidRPr="00EC20A0">
        <w:rPr>
          <w:spacing w:val="-8"/>
        </w:rPr>
        <w:t xml:space="preserve"> </w:t>
      </w:r>
      <w:r w:rsidRPr="00EC20A0">
        <w:t>relevant</w:t>
      </w:r>
      <w:r w:rsidRPr="00EC20A0">
        <w:rPr>
          <w:spacing w:val="-9"/>
        </w:rPr>
        <w:t xml:space="preserve"> </w:t>
      </w:r>
      <w:r w:rsidRPr="00EC20A0">
        <w:t>audit</w:t>
      </w:r>
      <w:r w:rsidRPr="00EC20A0">
        <w:rPr>
          <w:spacing w:val="-8"/>
        </w:rPr>
        <w:t xml:space="preserve"> </w:t>
      </w:r>
      <w:r w:rsidRPr="00EC20A0">
        <w:t>procedures</w:t>
      </w:r>
      <w:r w:rsidRPr="00EC20A0">
        <w:rPr>
          <w:spacing w:val="-9"/>
        </w:rPr>
        <w:t xml:space="preserve"> </w:t>
      </w:r>
      <w:r w:rsidRPr="00EC20A0">
        <w:rPr>
          <w:spacing w:val="-5"/>
        </w:rPr>
        <w:t>and</w:t>
      </w:r>
    </w:p>
    <w:p w14:paraId="24D602C3" w14:textId="77777777" w:rsidR="00245300" w:rsidRPr="00EC20A0" w:rsidRDefault="00F17249">
      <w:pPr>
        <w:pStyle w:val="ListParagraph"/>
        <w:numPr>
          <w:ilvl w:val="2"/>
          <w:numId w:val="188"/>
        </w:numPr>
        <w:tabs>
          <w:tab w:val="left" w:pos="2578"/>
        </w:tabs>
        <w:spacing w:before="238"/>
        <w:ind w:left="2578" w:hanging="359"/>
      </w:pPr>
      <w:r w:rsidRPr="00EC20A0">
        <w:t>evaluating</w:t>
      </w:r>
      <w:r w:rsidRPr="00EC20A0">
        <w:rPr>
          <w:spacing w:val="-9"/>
        </w:rPr>
        <w:t xml:space="preserve"> </w:t>
      </w:r>
      <w:r w:rsidRPr="00EC20A0">
        <w:t>the</w:t>
      </w:r>
      <w:r w:rsidRPr="00EC20A0">
        <w:rPr>
          <w:spacing w:val="-8"/>
        </w:rPr>
        <w:t xml:space="preserve"> </w:t>
      </w:r>
      <w:r w:rsidRPr="00EC20A0">
        <w:t>audit</w:t>
      </w:r>
      <w:r w:rsidRPr="00EC20A0">
        <w:rPr>
          <w:spacing w:val="-8"/>
        </w:rPr>
        <w:t xml:space="preserve"> </w:t>
      </w:r>
      <w:r w:rsidRPr="00EC20A0">
        <w:t>evidence</w:t>
      </w:r>
      <w:r w:rsidRPr="00EC20A0">
        <w:rPr>
          <w:spacing w:val="-8"/>
        </w:rPr>
        <w:t xml:space="preserve"> </w:t>
      </w:r>
      <w:r w:rsidRPr="00EC20A0">
        <w:t>obtained</w:t>
      </w:r>
      <w:r w:rsidRPr="00EC20A0">
        <w:rPr>
          <w:spacing w:val="-8"/>
        </w:rPr>
        <w:t xml:space="preserve"> </w:t>
      </w:r>
      <w:r w:rsidRPr="00EC20A0">
        <w:t>(AU-C</w:t>
      </w:r>
      <w:r w:rsidRPr="00EC20A0">
        <w:rPr>
          <w:spacing w:val="-9"/>
        </w:rPr>
        <w:t xml:space="preserve"> </w:t>
      </w:r>
      <w:r w:rsidRPr="00EC20A0">
        <w:rPr>
          <w:spacing w:val="-2"/>
        </w:rPr>
        <w:t>610.27).</w:t>
      </w:r>
    </w:p>
    <w:p w14:paraId="24D602C4" w14:textId="77777777" w:rsidR="00245300" w:rsidRPr="00EC20A0" w:rsidRDefault="00F17249">
      <w:pPr>
        <w:pStyle w:val="ListParagraph"/>
        <w:numPr>
          <w:ilvl w:val="0"/>
          <w:numId w:val="188"/>
        </w:numPr>
        <w:tabs>
          <w:tab w:val="left" w:pos="1858"/>
        </w:tabs>
        <w:spacing w:before="238"/>
        <w:ind w:left="1858" w:right="1008" w:hanging="720"/>
      </w:pPr>
      <w:r w:rsidRPr="00EC20A0">
        <w:t>Examples</w:t>
      </w:r>
      <w:r w:rsidRPr="00EC20A0">
        <w:rPr>
          <w:spacing w:val="-4"/>
        </w:rPr>
        <w:t xml:space="preserve"> </w:t>
      </w:r>
      <w:r w:rsidRPr="00EC20A0">
        <w:t>of</w:t>
      </w:r>
      <w:r w:rsidRPr="00EC20A0">
        <w:rPr>
          <w:spacing w:val="-4"/>
        </w:rPr>
        <w:t xml:space="preserve"> </w:t>
      </w:r>
      <w:r w:rsidRPr="00EC20A0">
        <w:t>work</w:t>
      </w:r>
      <w:r w:rsidRPr="00EC20A0">
        <w:rPr>
          <w:spacing w:val="-4"/>
        </w:rPr>
        <w:t xml:space="preserve"> </w:t>
      </w:r>
      <w:r w:rsidRPr="00EC20A0">
        <w:t>not</w:t>
      </w:r>
      <w:r w:rsidRPr="00EC20A0">
        <w:rPr>
          <w:spacing w:val="-4"/>
        </w:rPr>
        <w:t xml:space="preserve"> </w:t>
      </w:r>
      <w:r w:rsidRPr="00EC20A0">
        <w:t>appropriate</w:t>
      </w:r>
      <w:r w:rsidRPr="00EC20A0">
        <w:rPr>
          <w:spacing w:val="-4"/>
        </w:rPr>
        <w:t xml:space="preserve"> </w:t>
      </w:r>
      <w:r w:rsidRPr="00EC20A0">
        <w:t>for</w:t>
      </w:r>
      <w:r w:rsidRPr="00EC20A0">
        <w:rPr>
          <w:spacing w:val="-5"/>
        </w:rPr>
        <w:t xml:space="preserve"> </w:t>
      </w:r>
      <w:r w:rsidRPr="00EC20A0">
        <w:t>assigning</w:t>
      </w:r>
      <w:r w:rsidRPr="00EC20A0">
        <w:rPr>
          <w:spacing w:val="-5"/>
        </w:rPr>
        <w:t xml:space="preserve"> </w:t>
      </w:r>
      <w:r w:rsidRPr="00EC20A0">
        <w:t>to</w:t>
      </w:r>
      <w:r w:rsidRPr="00EC20A0">
        <w:rPr>
          <w:spacing w:val="-4"/>
        </w:rPr>
        <w:t xml:space="preserve"> </w:t>
      </w:r>
      <w:r w:rsidRPr="00EC20A0">
        <w:t>internal</w:t>
      </w:r>
      <w:r w:rsidRPr="00EC20A0">
        <w:rPr>
          <w:spacing w:val="-4"/>
        </w:rPr>
        <w:t xml:space="preserve"> </w:t>
      </w:r>
      <w:r w:rsidRPr="00EC20A0">
        <w:t>auditors</w:t>
      </w:r>
      <w:r w:rsidRPr="00EC20A0">
        <w:rPr>
          <w:spacing w:val="-4"/>
        </w:rPr>
        <w:t xml:space="preserve"> </w:t>
      </w:r>
      <w:r w:rsidRPr="00EC20A0">
        <w:t>providing direct assistance include fraud risk inquiries to management and the determination of unpredictable audit procedures as addressed in FAM 265 (AU-C 610.A43).</w:t>
      </w:r>
    </w:p>
    <w:p w14:paraId="24D602C5" w14:textId="77777777" w:rsidR="00245300" w:rsidRPr="00EC20A0" w:rsidRDefault="00F17249">
      <w:pPr>
        <w:pStyle w:val="ListParagraph"/>
        <w:numPr>
          <w:ilvl w:val="0"/>
          <w:numId w:val="188"/>
        </w:numPr>
        <w:tabs>
          <w:tab w:val="left" w:pos="1858"/>
        </w:tabs>
        <w:spacing w:before="241"/>
        <w:ind w:left="1858" w:right="578" w:hanging="720"/>
      </w:pPr>
      <w:r w:rsidRPr="00EC20A0">
        <w:t>The auditor should evaluate whether, in aggregate, using internal auditors to provide</w:t>
      </w:r>
      <w:r w:rsidRPr="00EC20A0">
        <w:rPr>
          <w:spacing w:val="-3"/>
        </w:rPr>
        <w:t xml:space="preserve"> </w:t>
      </w:r>
      <w:r w:rsidRPr="00EC20A0">
        <w:t>direct</w:t>
      </w:r>
      <w:r w:rsidRPr="00EC20A0">
        <w:rPr>
          <w:spacing w:val="-3"/>
        </w:rPr>
        <w:t xml:space="preserve"> </w:t>
      </w:r>
      <w:r w:rsidRPr="00EC20A0">
        <w:t>assistance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extent</w:t>
      </w:r>
      <w:r w:rsidRPr="00EC20A0">
        <w:rPr>
          <w:spacing w:val="-3"/>
        </w:rPr>
        <w:t xml:space="preserve"> </w:t>
      </w:r>
      <w:r w:rsidRPr="00EC20A0">
        <w:t>planned,</w:t>
      </w:r>
      <w:r w:rsidRPr="00EC20A0">
        <w:rPr>
          <w:spacing w:val="-3"/>
        </w:rPr>
        <w:t xml:space="preserve"> </w:t>
      </w:r>
      <w:r w:rsidRPr="00EC20A0">
        <w:t>together</w:t>
      </w:r>
      <w:r w:rsidRPr="00EC20A0">
        <w:rPr>
          <w:spacing w:val="-3"/>
        </w:rPr>
        <w:t xml:space="preserve"> </w:t>
      </w:r>
      <w:r w:rsidRPr="00EC20A0">
        <w:t>with</w:t>
      </w:r>
      <w:r w:rsidRPr="00EC20A0">
        <w:rPr>
          <w:spacing w:val="-3"/>
        </w:rPr>
        <w:t xml:space="preserve"> </w:t>
      </w:r>
      <w:r w:rsidRPr="00EC20A0">
        <w:t>any</w:t>
      </w:r>
      <w:r w:rsidRPr="00EC20A0">
        <w:rPr>
          <w:spacing w:val="-3"/>
        </w:rPr>
        <w:t xml:space="preserve"> </w:t>
      </w:r>
      <w:r w:rsidRPr="00EC20A0">
        <w:t>planned</w:t>
      </w:r>
      <w:r w:rsidRPr="00EC20A0">
        <w:rPr>
          <w:spacing w:val="-3"/>
        </w:rPr>
        <w:t xml:space="preserve"> </w:t>
      </w:r>
      <w:r w:rsidRPr="00EC20A0">
        <w:t>use</w:t>
      </w:r>
      <w:r w:rsidRPr="00EC20A0">
        <w:rPr>
          <w:spacing w:val="-3"/>
        </w:rPr>
        <w:t xml:space="preserve"> </w:t>
      </w:r>
      <w:r w:rsidRPr="00EC20A0">
        <w:t>of the work of the internal audit function in obtaining audit evidence, would result in</w:t>
      </w:r>
    </w:p>
    <w:p w14:paraId="24D602C6" w14:textId="77777777" w:rsidR="00245300" w:rsidRPr="00EC20A0" w:rsidRDefault="00245300">
      <w:pPr>
        <w:sectPr w:rsidR="00245300" w:rsidRPr="00EC20A0">
          <w:pgSz w:w="12240" w:h="15840"/>
          <w:pgMar w:top="1340" w:right="940" w:bottom="1020" w:left="1020" w:header="721" w:footer="757" w:gutter="0"/>
          <w:cols w:space="720"/>
        </w:sectPr>
      </w:pPr>
    </w:p>
    <w:p w14:paraId="24D602C7" w14:textId="77777777" w:rsidR="00245300" w:rsidRPr="00EC20A0" w:rsidRDefault="00F17249">
      <w:pPr>
        <w:pStyle w:val="BodyText"/>
        <w:spacing w:before="121"/>
        <w:ind w:left="1859"/>
      </w:pPr>
      <w:r w:rsidRPr="00EC20A0">
        <w:t>the</w:t>
      </w:r>
      <w:r w:rsidRPr="00EC20A0">
        <w:rPr>
          <w:spacing w:val="-3"/>
        </w:rPr>
        <w:t xml:space="preserve"> </w:t>
      </w:r>
      <w:r w:rsidRPr="00EC20A0">
        <w:t>auditor</w:t>
      </w:r>
      <w:r w:rsidRPr="00EC20A0">
        <w:rPr>
          <w:spacing w:val="-3"/>
        </w:rPr>
        <w:t xml:space="preserve"> </w:t>
      </w:r>
      <w:r w:rsidRPr="00EC20A0">
        <w:t>still</w:t>
      </w:r>
      <w:r w:rsidRPr="00EC20A0">
        <w:rPr>
          <w:spacing w:val="-3"/>
        </w:rPr>
        <w:t xml:space="preserve"> </w:t>
      </w:r>
      <w:r w:rsidRPr="00EC20A0">
        <w:t>being</w:t>
      </w:r>
      <w:r w:rsidRPr="00EC20A0">
        <w:rPr>
          <w:spacing w:val="-4"/>
        </w:rPr>
        <w:t xml:space="preserve"> </w:t>
      </w:r>
      <w:r w:rsidRPr="00EC20A0">
        <w:t>sufficiently</w:t>
      </w:r>
      <w:r w:rsidRPr="00EC20A0">
        <w:rPr>
          <w:spacing w:val="-3"/>
        </w:rPr>
        <w:t xml:space="preserve"> </w:t>
      </w:r>
      <w:r w:rsidRPr="00EC20A0">
        <w:t>involved</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given</w:t>
      </w:r>
      <w:r w:rsidRPr="00EC20A0">
        <w:rPr>
          <w:spacing w:val="-3"/>
        </w:rPr>
        <w:t xml:space="preserve"> </w:t>
      </w:r>
      <w:r w:rsidRPr="00EC20A0">
        <w:t>the</w:t>
      </w:r>
      <w:r w:rsidRPr="00EC20A0">
        <w:rPr>
          <w:spacing w:val="-3"/>
        </w:rPr>
        <w:t xml:space="preserve"> </w:t>
      </w:r>
      <w:r w:rsidRPr="00EC20A0">
        <w:t>auditor’s</w:t>
      </w:r>
      <w:r w:rsidRPr="00EC20A0">
        <w:rPr>
          <w:spacing w:val="-4"/>
        </w:rPr>
        <w:t xml:space="preserve"> </w:t>
      </w:r>
      <w:r w:rsidRPr="00EC20A0">
        <w:t>sole responsibility for the audit opinion expressed (AU-C 610.29).</w:t>
      </w:r>
    </w:p>
    <w:p w14:paraId="24D602C8" w14:textId="77777777" w:rsidR="00245300" w:rsidRPr="00EC20A0" w:rsidRDefault="00F17249">
      <w:pPr>
        <w:pStyle w:val="ListParagraph"/>
        <w:numPr>
          <w:ilvl w:val="0"/>
          <w:numId w:val="188"/>
        </w:numPr>
        <w:tabs>
          <w:tab w:val="left" w:pos="1860"/>
        </w:tabs>
        <w:spacing w:before="239"/>
        <w:ind w:left="1860" w:right="518" w:hanging="720"/>
      </w:pPr>
      <w:r w:rsidRPr="00EC20A0">
        <w:t>In communicating an overview of the planned scope and timing of the audit with those charged with governance in accordance with AU-C 260, the auditor should communicate how the auditor plans to use internal auditors to provide direct assistance</w:t>
      </w:r>
      <w:r w:rsidRPr="00EC20A0">
        <w:rPr>
          <w:spacing w:val="-4"/>
        </w:rPr>
        <w:t xml:space="preserve"> </w:t>
      </w:r>
      <w:r w:rsidRPr="00EC20A0">
        <w:t>(AU-C</w:t>
      </w:r>
      <w:r w:rsidRPr="00EC20A0">
        <w:rPr>
          <w:spacing w:val="-5"/>
        </w:rPr>
        <w:t xml:space="preserve"> </w:t>
      </w:r>
      <w:r w:rsidRPr="00EC20A0">
        <w:t>610.28).</w:t>
      </w:r>
      <w:r w:rsidRPr="00EC20A0">
        <w:rPr>
          <w:spacing w:val="-4"/>
        </w:rPr>
        <w:t xml:space="preserve"> </w:t>
      </w:r>
      <w:r w:rsidRPr="00EC20A0">
        <w:t>See</w:t>
      </w:r>
      <w:r w:rsidRPr="00EC20A0">
        <w:rPr>
          <w:spacing w:val="-4"/>
        </w:rPr>
        <w:t xml:space="preserve"> </w:t>
      </w:r>
      <w:r w:rsidRPr="00EC20A0">
        <w:t>FAM</w:t>
      </w:r>
      <w:r w:rsidRPr="00EC20A0">
        <w:rPr>
          <w:spacing w:val="-5"/>
        </w:rPr>
        <w:t xml:space="preserve"> </w:t>
      </w:r>
      <w:r w:rsidRPr="00EC20A0">
        <w:t>215</w:t>
      </w:r>
      <w:r w:rsidRPr="00EC20A0">
        <w:rPr>
          <w:spacing w:val="-4"/>
        </w:rPr>
        <w:t xml:space="preserve"> </w:t>
      </w:r>
      <w:r w:rsidRPr="00EC20A0">
        <w:t>for</w:t>
      </w:r>
      <w:r w:rsidRPr="00EC20A0">
        <w:rPr>
          <w:spacing w:val="-4"/>
        </w:rPr>
        <w:t xml:space="preserve"> </w:t>
      </w:r>
      <w:r w:rsidRPr="00EC20A0">
        <w:t>general</w:t>
      </w:r>
      <w:r w:rsidRPr="00EC20A0">
        <w:rPr>
          <w:spacing w:val="-4"/>
        </w:rPr>
        <w:t xml:space="preserve"> </w:t>
      </w:r>
      <w:r w:rsidRPr="00EC20A0">
        <w:t>guidance</w:t>
      </w:r>
      <w:r w:rsidRPr="00EC20A0">
        <w:rPr>
          <w:spacing w:val="-4"/>
        </w:rPr>
        <w:t xml:space="preserve"> </w:t>
      </w:r>
      <w:r w:rsidRPr="00EC20A0">
        <w:t>on</w:t>
      </w:r>
      <w:r w:rsidRPr="00EC20A0">
        <w:rPr>
          <w:spacing w:val="-4"/>
        </w:rPr>
        <w:t xml:space="preserve"> </w:t>
      </w:r>
      <w:r w:rsidRPr="00EC20A0">
        <w:t>communicating with those charged with governance.</w:t>
      </w:r>
    </w:p>
    <w:p w14:paraId="24D602C9" w14:textId="77777777" w:rsidR="00245300" w:rsidRPr="00EC20A0" w:rsidRDefault="00F17249">
      <w:pPr>
        <w:pStyle w:val="ListParagraph"/>
        <w:numPr>
          <w:ilvl w:val="0"/>
          <w:numId w:val="188"/>
        </w:numPr>
        <w:tabs>
          <w:tab w:val="left" w:pos="1858"/>
        </w:tabs>
        <w:ind w:left="1858" w:right="725" w:hanging="720"/>
      </w:pPr>
      <w:r w:rsidRPr="00EC20A0">
        <w:t>Prior to using internal auditors to provide direct assistance, the auditor should obtain written acknowledgment from management or those charged with governance,</w:t>
      </w:r>
      <w:r w:rsidRPr="00EC20A0">
        <w:rPr>
          <w:spacing w:val="-5"/>
        </w:rPr>
        <w:t xml:space="preserve"> </w:t>
      </w:r>
      <w:r w:rsidRPr="00EC20A0">
        <w:t>as</w:t>
      </w:r>
      <w:r w:rsidRPr="00EC20A0">
        <w:rPr>
          <w:spacing w:val="-4"/>
        </w:rPr>
        <w:t xml:space="preserve"> </w:t>
      </w:r>
      <w:r w:rsidRPr="00EC20A0">
        <w:t>appropriate,</w:t>
      </w:r>
      <w:r w:rsidRPr="00EC20A0">
        <w:rPr>
          <w:spacing w:val="-4"/>
        </w:rPr>
        <w:t xml:space="preserve"> </w:t>
      </w:r>
      <w:r w:rsidRPr="00EC20A0">
        <w:t>that</w:t>
      </w:r>
      <w:r w:rsidRPr="00EC20A0">
        <w:rPr>
          <w:spacing w:val="-4"/>
        </w:rPr>
        <w:t xml:space="preserve"> </w:t>
      </w:r>
      <w:r w:rsidRPr="00EC20A0">
        <w:t>internal</w:t>
      </w:r>
      <w:r w:rsidRPr="00EC20A0">
        <w:rPr>
          <w:spacing w:val="-4"/>
        </w:rPr>
        <w:t xml:space="preserve"> </w:t>
      </w:r>
      <w:r w:rsidRPr="00EC20A0">
        <w:t>auditors</w:t>
      </w:r>
      <w:r w:rsidRPr="00EC20A0">
        <w:rPr>
          <w:spacing w:val="-5"/>
        </w:rPr>
        <w:t xml:space="preserve"> </w:t>
      </w:r>
      <w:r w:rsidRPr="00EC20A0">
        <w:t>providing</w:t>
      </w:r>
      <w:r w:rsidRPr="00EC20A0">
        <w:rPr>
          <w:spacing w:val="-4"/>
        </w:rPr>
        <w:t xml:space="preserve"> </w:t>
      </w:r>
      <w:r w:rsidRPr="00EC20A0">
        <w:t>direct</w:t>
      </w:r>
      <w:r w:rsidRPr="00EC20A0">
        <w:rPr>
          <w:spacing w:val="-4"/>
        </w:rPr>
        <w:t xml:space="preserve"> </w:t>
      </w:r>
      <w:r w:rsidRPr="00EC20A0">
        <w:t>assistance</w:t>
      </w:r>
      <w:r w:rsidRPr="00EC20A0">
        <w:rPr>
          <w:spacing w:val="-4"/>
        </w:rPr>
        <w:t xml:space="preserve"> </w:t>
      </w:r>
      <w:r w:rsidRPr="00EC20A0">
        <w:t>to the</w:t>
      </w:r>
      <w:r w:rsidRPr="00EC20A0">
        <w:rPr>
          <w:spacing w:val="-2"/>
        </w:rPr>
        <w:t xml:space="preserve"> </w:t>
      </w:r>
      <w:r w:rsidRPr="00EC20A0">
        <w:t>auditor</w:t>
      </w:r>
      <w:r w:rsidRPr="00EC20A0">
        <w:rPr>
          <w:spacing w:val="-3"/>
        </w:rPr>
        <w:t xml:space="preserve"> </w:t>
      </w:r>
      <w:r w:rsidRPr="00EC20A0">
        <w:t>will</w:t>
      </w:r>
      <w:r w:rsidRPr="00EC20A0">
        <w:rPr>
          <w:spacing w:val="-2"/>
        </w:rPr>
        <w:t xml:space="preserve"> </w:t>
      </w:r>
      <w:r w:rsidRPr="00EC20A0">
        <w:t>be</w:t>
      </w:r>
      <w:r w:rsidRPr="00EC20A0">
        <w:rPr>
          <w:spacing w:val="-2"/>
        </w:rPr>
        <w:t xml:space="preserve"> </w:t>
      </w:r>
      <w:r w:rsidRPr="00EC20A0">
        <w:t>allowed</w:t>
      </w:r>
      <w:r w:rsidRPr="00EC20A0">
        <w:rPr>
          <w:spacing w:val="-2"/>
        </w:rPr>
        <w:t xml:space="preserve"> </w:t>
      </w:r>
      <w:r w:rsidRPr="00EC20A0">
        <w:t>to</w:t>
      </w:r>
      <w:r w:rsidRPr="00EC20A0">
        <w:rPr>
          <w:spacing w:val="-2"/>
        </w:rPr>
        <w:t xml:space="preserve"> </w:t>
      </w:r>
      <w:r w:rsidRPr="00EC20A0">
        <w:t>follow</w:t>
      </w:r>
      <w:r w:rsidRPr="00EC20A0">
        <w:rPr>
          <w:spacing w:val="-4"/>
        </w:rPr>
        <w:t xml:space="preserve"> </w:t>
      </w:r>
      <w:r w:rsidRPr="00EC20A0">
        <w:t>the</w:t>
      </w:r>
      <w:r w:rsidRPr="00EC20A0">
        <w:rPr>
          <w:spacing w:val="-2"/>
        </w:rPr>
        <w:t xml:space="preserve"> </w:t>
      </w:r>
      <w:r w:rsidRPr="00EC20A0">
        <w:t>auditor's</w:t>
      </w:r>
      <w:r w:rsidRPr="00EC20A0">
        <w:rPr>
          <w:spacing w:val="-3"/>
        </w:rPr>
        <w:t xml:space="preserve"> </w:t>
      </w:r>
      <w:r w:rsidRPr="00EC20A0">
        <w:t>instructions,</w:t>
      </w:r>
      <w:r w:rsidRPr="00EC20A0">
        <w:rPr>
          <w:spacing w:val="-2"/>
        </w:rPr>
        <w:t xml:space="preserve"> </w:t>
      </w:r>
      <w:r w:rsidRPr="00EC20A0">
        <w:t>and</w:t>
      </w:r>
      <w:r w:rsidRPr="00EC20A0">
        <w:rPr>
          <w:spacing w:val="-2"/>
        </w:rPr>
        <w:t xml:space="preserve"> </w:t>
      </w:r>
      <w:r w:rsidRPr="00EC20A0">
        <w:t>that</w:t>
      </w:r>
      <w:r w:rsidRPr="00EC20A0">
        <w:rPr>
          <w:spacing w:val="-2"/>
        </w:rPr>
        <w:t xml:space="preserve"> </w:t>
      </w:r>
      <w:r w:rsidRPr="00EC20A0">
        <w:t>the</w:t>
      </w:r>
      <w:r w:rsidRPr="00EC20A0">
        <w:rPr>
          <w:spacing w:val="-2"/>
        </w:rPr>
        <w:t xml:space="preserve"> </w:t>
      </w:r>
      <w:r w:rsidRPr="00EC20A0">
        <w:t xml:space="preserve">entity will not intervene in </w:t>
      </w:r>
      <w:r w:rsidRPr="00EC20A0">
        <w:t>the work the internal auditor performs for the auditor</w:t>
      </w:r>
    </w:p>
    <w:p w14:paraId="24D602CA" w14:textId="77777777" w:rsidR="00245300" w:rsidRPr="00EC20A0" w:rsidRDefault="00F17249">
      <w:pPr>
        <w:pStyle w:val="BodyText"/>
        <w:spacing w:before="1"/>
        <w:ind w:left="1858"/>
      </w:pPr>
      <w:r w:rsidRPr="00EC20A0">
        <w:t>(AU-C</w:t>
      </w:r>
      <w:r w:rsidRPr="00EC20A0">
        <w:rPr>
          <w:spacing w:val="-11"/>
        </w:rPr>
        <w:t xml:space="preserve"> </w:t>
      </w:r>
      <w:r w:rsidRPr="00EC20A0">
        <w:rPr>
          <w:spacing w:val="-2"/>
        </w:rPr>
        <w:t>610.30).</w:t>
      </w:r>
    </w:p>
    <w:p w14:paraId="24D602CB" w14:textId="77777777" w:rsidR="00245300" w:rsidRPr="00EC20A0" w:rsidRDefault="00F17249">
      <w:pPr>
        <w:pStyle w:val="ListParagraph"/>
        <w:numPr>
          <w:ilvl w:val="0"/>
          <w:numId w:val="188"/>
        </w:numPr>
        <w:tabs>
          <w:tab w:val="left" w:pos="1858"/>
        </w:tabs>
        <w:spacing w:before="239"/>
        <w:ind w:left="1858" w:right="532" w:hanging="720"/>
      </w:pPr>
      <w:r w:rsidRPr="00EC20A0">
        <w:t>This</w:t>
      </w:r>
      <w:r w:rsidRPr="00EC20A0">
        <w:rPr>
          <w:spacing w:val="-2"/>
        </w:rPr>
        <w:t xml:space="preserve"> </w:t>
      </w:r>
      <w:r w:rsidRPr="00EC20A0">
        <w:t>written</w:t>
      </w:r>
      <w:r w:rsidRPr="00EC20A0">
        <w:rPr>
          <w:spacing w:val="-3"/>
        </w:rPr>
        <w:t xml:space="preserve"> </w:t>
      </w:r>
      <w:r w:rsidRPr="00EC20A0">
        <w:t>acknowledgment</w:t>
      </w:r>
      <w:r w:rsidRPr="00EC20A0">
        <w:rPr>
          <w:spacing w:val="-2"/>
        </w:rPr>
        <w:t xml:space="preserve"> </w:t>
      </w:r>
      <w:r w:rsidRPr="00EC20A0">
        <w:t>may</w:t>
      </w:r>
      <w:r w:rsidRPr="00EC20A0">
        <w:rPr>
          <w:spacing w:val="-2"/>
        </w:rPr>
        <w:t xml:space="preserve"> </w:t>
      </w:r>
      <w:r w:rsidRPr="00EC20A0">
        <w:t>be</w:t>
      </w:r>
      <w:r w:rsidRPr="00EC20A0">
        <w:rPr>
          <w:spacing w:val="-2"/>
        </w:rPr>
        <w:t xml:space="preserve"> </w:t>
      </w:r>
      <w:r w:rsidRPr="00EC20A0">
        <w:t>included</w:t>
      </w:r>
      <w:r w:rsidRPr="00EC20A0">
        <w:rPr>
          <w:spacing w:val="-2"/>
        </w:rPr>
        <w:t xml:space="preserve"> </w:t>
      </w:r>
      <w:r w:rsidRPr="00EC20A0">
        <w:t>within</w:t>
      </w:r>
      <w:r w:rsidRPr="00EC20A0">
        <w:rPr>
          <w:spacing w:val="-2"/>
        </w:rPr>
        <w:t xml:space="preserve"> </w:t>
      </w:r>
      <w:r w:rsidRPr="00EC20A0">
        <w:t>the</w:t>
      </w:r>
      <w:r w:rsidRPr="00EC20A0">
        <w:rPr>
          <w:spacing w:val="-2"/>
        </w:rPr>
        <w:t xml:space="preserve"> </w:t>
      </w:r>
      <w:r w:rsidRPr="00EC20A0">
        <w:t>audit</w:t>
      </w:r>
      <w:r w:rsidRPr="00EC20A0">
        <w:rPr>
          <w:spacing w:val="-2"/>
        </w:rPr>
        <w:t xml:space="preserve"> </w:t>
      </w:r>
      <w:r w:rsidRPr="00EC20A0">
        <w:t>engagement</w:t>
      </w:r>
      <w:r w:rsidRPr="00EC20A0">
        <w:rPr>
          <w:spacing w:val="-2"/>
        </w:rPr>
        <w:t xml:space="preserve"> </w:t>
      </w:r>
      <w:r w:rsidRPr="00EC20A0">
        <w:t>letter (or</w:t>
      </w:r>
      <w:r w:rsidRPr="00EC20A0">
        <w:rPr>
          <w:spacing w:val="-3"/>
        </w:rPr>
        <w:t xml:space="preserve"> </w:t>
      </w:r>
      <w:r w:rsidRPr="00EC20A0">
        <w:t>other</w:t>
      </w:r>
      <w:r w:rsidRPr="00EC20A0">
        <w:rPr>
          <w:spacing w:val="-3"/>
        </w:rPr>
        <w:t xml:space="preserve"> </w:t>
      </w:r>
      <w:r w:rsidRPr="00EC20A0">
        <w:t>suitable</w:t>
      </w:r>
      <w:r w:rsidRPr="00EC20A0">
        <w:rPr>
          <w:spacing w:val="-3"/>
        </w:rPr>
        <w:t xml:space="preserve"> </w:t>
      </w:r>
      <w:r w:rsidRPr="00EC20A0">
        <w:t>form</w:t>
      </w:r>
      <w:r w:rsidRPr="00EC20A0">
        <w:rPr>
          <w:spacing w:val="-4"/>
        </w:rPr>
        <w:t xml:space="preserve"> </w:t>
      </w:r>
      <w:r w:rsidRPr="00EC20A0">
        <w:t>of</w:t>
      </w:r>
      <w:r w:rsidRPr="00EC20A0">
        <w:rPr>
          <w:spacing w:val="-3"/>
        </w:rPr>
        <w:t xml:space="preserve"> </w:t>
      </w:r>
      <w:r w:rsidRPr="00EC20A0">
        <w:t>written</w:t>
      </w:r>
      <w:r w:rsidRPr="00EC20A0">
        <w:rPr>
          <w:spacing w:val="-3"/>
        </w:rPr>
        <w:t xml:space="preserve"> </w:t>
      </w:r>
      <w:r w:rsidRPr="00EC20A0">
        <w:t>agreement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terms</w:t>
      </w:r>
      <w:r w:rsidRPr="00EC20A0">
        <w:rPr>
          <w:spacing w:val="-3"/>
        </w:rPr>
        <w:t xml:space="preserve"> </w:t>
      </w:r>
      <w:r w:rsidRPr="00EC20A0">
        <w:t>of</w:t>
      </w:r>
      <w:r w:rsidRPr="00EC20A0">
        <w:rPr>
          <w:spacing w:val="-3"/>
        </w:rPr>
        <w:t xml:space="preserve"> </w:t>
      </w:r>
      <w:r w:rsidRPr="00EC20A0">
        <w:t>engagement)</w:t>
      </w:r>
      <w:r w:rsidRPr="00EC20A0">
        <w:rPr>
          <w:spacing w:val="-3"/>
        </w:rPr>
        <w:t xml:space="preserve"> </w:t>
      </w:r>
      <w:r w:rsidRPr="00EC20A0">
        <w:t>or</w:t>
      </w:r>
      <w:r w:rsidRPr="00EC20A0">
        <w:rPr>
          <w:spacing w:val="-3"/>
        </w:rPr>
        <w:t xml:space="preserve"> </w:t>
      </w:r>
      <w:r w:rsidRPr="00EC20A0">
        <w:t xml:space="preserve">could be included in a </w:t>
      </w:r>
      <w:r w:rsidRPr="00EC20A0">
        <w:t>separate document prepared by the auditor and acknowledged in writing by management or those charged with governance, as appropriate</w:t>
      </w:r>
    </w:p>
    <w:p w14:paraId="24D602CC" w14:textId="77777777" w:rsidR="00245300" w:rsidRPr="00EC20A0" w:rsidRDefault="00F17249">
      <w:pPr>
        <w:pStyle w:val="BodyText"/>
        <w:spacing w:before="1"/>
        <w:ind w:left="1858"/>
      </w:pPr>
      <w:r w:rsidRPr="00EC20A0">
        <w:t>(AU-C</w:t>
      </w:r>
      <w:r w:rsidRPr="00EC20A0">
        <w:rPr>
          <w:spacing w:val="-11"/>
        </w:rPr>
        <w:t xml:space="preserve"> </w:t>
      </w:r>
      <w:r w:rsidRPr="00EC20A0">
        <w:rPr>
          <w:spacing w:val="-2"/>
        </w:rPr>
        <w:t>610.A45).</w:t>
      </w:r>
    </w:p>
    <w:p w14:paraId="24D602CD" w14:textId="77777777" w:rsidR="00245300" w:rsidRPr="00EC20A0" w:rsidRDefault="00F17249">
      <w:pPr>
        <w:pStyle w:val="Heading5"/>
        <w:ind w:left="1140"/>
        <w:rPr>
          <w:u w:val="none"/>
        </w:rPr>
      </w:pPr>
      <w:bookmarkStart w:id="96" w:name="Evaluating_the_Use_of_Internal_Auditors_"/>
      <w:bookmarkEnd w:id="96"/>
      <w:r w:rsidRPr="00EC20A0">
        <w:t>Evaluating</w:t>
      </w:r>
      <w:r w:rsidRPr="00EC20A0">
        <w:rPr>
          <w:spacing w:val="-6"/>
        </w:rPr>
        <w:t xml:space="preserve"> </w:t>
      </w:r>
      <w:r w:rsidRPr="00EC20A0">
        <w:t>the</w:t>
      </w:r>
      <w:r w:rsidRPr="00EC20A0">
        <w:rPr>
          <w:spacing w:val="-3"/>
        </w:rPr>
        <w:t xml:space="preserve"> </w:t>
      </w:r>
      <w:r w:rsidRPr="00EC20A0">
        <w:t>Use</w:t>
      </w:r>
      <w:r w:rsidRPr="00EC20A0">
        <w:rPr>
          <w:spacing w:val="-4"/>
        </w:rPr>
        <w:t xml:space="preserve"> </w:t>
      </w:r>
      <w:r w:rsidRPr="00EC20A0">
        <w:t>of</w:t>
      </w:r>
      <w:r w:rsidRPr="00EC20A0">
        <w:rPr>
          <w:spacing w:val="-4"/>
        </w:rPr>
        <w:t xml:space="preserve"> </w:t>
      </w:r>
      <w:r w:rsidRPr="00EC20A0">
        <w:t>Internal</w:t>
      </w:r>
      <w:r w:rsidRPr="00EC20A0">
        <w:rPr>
          <w:spacing w:val="-4"/>
        </w:rPr>
        <w:t xml:space="preserve"> </w:t>
      </w:r>
      <w:r w:rsidRPr="00EC20A0">
        <w:t>Auditors</w:t>
      </w:r>
      <w:r w:rsidRPr="00EC20A0">
        <w:rPr>
          <w:spacing w:val="-4"/>
        </w:rPr>
        <w:t xml:space="preserve"> </w:t>
      </w:r>
      <w:r w:rsidRPr="00EC20A0">
        <w:t>Providing</w:t>
      </w:r>
      <w:r w:rsidRPr="00EC20A0">
        <w:rPr>
          <w:spacing w:val="-3"/>
        </w:rPr>
        <w:t xml:space="preserve"> </w:t>
      </w:r>
      <w:r w:rsidRPr="00EC20A0">
        <w:t>Direct</w:t>
      </w:r>
      <w:r w:rsidRPr="00EC20A0">
        <w:rPr>
          <w:spacing w:val="-2"/>
        </w:rPr>
        <w:t xml:space="preserve"> Assistance</w:t>
      </w:r>
    </w:p>
    <w:p w14:paraId="24D602CE" w14:textId="77777777" w:rsidR="00245300" w:rsidRPr="00EC20A0" w:rsidRDefault="00F17249">
      <w:pPr>
        <w:pStyle w:val="ListParagraph"/>
        <w:numPr>
          <w:ilvl w:val="0"/>
          <w:numId w:val="188"/>
        </w:numPr>
        <w:tabs>
          <w:tab w:val="left" w:pos="1860"/>
        </w:tabs>
        <w:spacing w:before="238"/>
        <w:ind w:left="1860" w:right="714"/>
      </w:pPr>
      <w:r w:rsidRPr="00EC20A0">
        <w:t>The</w:t>
      </w:r>
      <w:r w:rsidRPr="00EC20A0">
        <w:rPr>
          <w:spacing w:val="-4"/>
        </w:rPr>
        <w:t xml:space="preserve"> </w:t>
      </w:r>
      <w:r w:rsidRPr="00EC20A0">
        <w:t>auditor</w:t>
      </w:r>
      <w:r w:rsidRPr="00EC20A0">
        <w:rPr>
          <w:spacing w:val="-5"/>
        </w:rPr>
        <w:t xml:space="preserve"> </w:t>
      </w:r>
      <w:r w:rsidRPr="00EC20A0">
        <w:t>should</w:t>
      </w:r>
      <w:r w:rsidRPr="00EC20A0">
        <w:rPr>
          <w:spacing w:val="-4"/>
        </w:rPr>
        <w:t xml:space="preserve"> </w:t>
      </w:r>
      <w:r w:rsidRPr="00EC20A0">
        <w:t>direct,</w:t>
      </w:r>
      <w:r w:rsidRPr="00EC20A0">
        <w:rPr>
          <w:spacing w:val="-4"/>
        </w:rPr>
        <w:t xml:space="preserve"> </w:t>
      </w:r>
      <w:r w:rsidRPr="00EC20A0">
        <w:t>supervise,</w:t>
      </w:r>
      <w:r w:rsidRPr="00EC20A0">
        <w:rPr>
          <w:spacing w:val="-5"/>
        </w:rPr>
        <w:t xml:space="preserve"> </w:t>
      </w:r>
      <w:r w:rsidRPr="00EC20A0">
        <w:t>and</w:t>
      </w:r>
      <w:r w:rsidRPr="00EC20A0">
        <w:rPr>
          <w:spacing w:val="-4"/>
        </w:rPr>
        <w:t xml:space="preserve"> </w:t>
      </w:r>
      <w:r w:rsidRPr="00EC20A0">
        <w:t>review</w:t>
      </w:r>
      <w:r w:rsidRPr="00EC20A0">
        <w:rPr>
          <w:spacing w:val="-6"/>
        </w:rPr>
        <w:t xml:space="preserve"> </w:t>
      </w:r>
      <w:r w:rsidRPr="00EC20A0">
        <w:t>the</w:t>
      </w:r>
      <w:r w:rsidRPr="00EC20A0">
        <w:rPr>
          <w:spacing w:val="-4"/>
        </w:rPr>
        <w:t xml:space="preserve"> </w:t>
      </w:r>
      <w:r w:rsidRPr="00EC20A0">
        <w:t>work</w:t>
      </w:r>
      <w:r w:rsidRPr="00EC20A0">
        <w:rPr>
          <w:spacing w:val="-4"/>
        </w:rPr>
        <w:t xml:space="preserve"> </w:t>
      </w:r>
      <w:r w:rsidRPr="00EC20A0">
        <w:t>performed</w:t>
      </w:r>
      <w:r w:rsidRPr="00EC20A0">
        <w:rPr>
          <w:spacing w:val="-4"/>
        </w:rPr>
        <w:t xml:space="preserve"> </w:t>
      </w:r>
      <w:r w:rsidRPr="00EC20A0">
        <w:t>by</w:t>
      </w:r>
      <w:r w:rsidRPr="00EC20A0">
        <w:rPr>
          <w:spacing w:val="-4"/>
        </w:rPr>
        <w:t xml:space="preserve"> </w:t>
      </w:r>
      <w:r w:rsidRPr="00EC20A0">
        <w:t>internal auditors on the engagement in accordance with FAM 215. In so doing,</w:t>
      </w:r>
    </w:p>
    <w:p w14:paraId="24D602CF" w14:textId="77777777" w:rsidR="00245300" w:rsidRPr="00EC20A0" w:rsidRDefault="00F17249">
      <w:pPr>
        <w:pStyle w:val="ListParagraph"/>
        <w:numPr>
          <w:ilvl w:val="1"/>
          <w:numId w:val="188"/>
        </w:numPr>
        <w:tabs>
          <w:tab w:val="left" w:pos="2219"/>
        </w:tabs>
        <w:spacing w:before="241"/>
        <w:ind w:right="635"/>
      </w:pPr>
      <w:r w:rsidRPr="00EC20A0">
        <w:t>the</w:t>
      </w:r>
      <w:r w:rsidRPr="00EC20A0">
        <w:rPr>
          <w:spacing w:val="-4"/>
        </w:rPr>
        <w:t xml:space="preserve"> </w:t>
      </w:r>
      <w:r w:rsidRPr="00EC20A0">
        <w:t>nature,</w:t>
      </w:r>
      <w:r w:rsidRPr="00EC20A0">
        <w:rPr>
          <w:spacing w:val="-4"/>
        </w:rPr>
        <w:t xml:space="preserve"> </w:t>
      </w:r>
      <w:r w:rsidRPr="00EC20A0">
        <w:t>timing,</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direction,</w:t>
      </w:r>
      <w:r w:rsidRPr="00EC20A0">
        <w:rPr>
          <w:spacing w:val="-4"/>
        </w:rPr>
        <w:t xml:space="preserve"> </w:t>
      </w:r>
      <w:r w:rsidRPr="00EC20A0">
        <w:t>supervision,</w:t>
      </w:r>
      <w:r w:rsidRPr="00EC20A0">
        <w:rPr>
          <w:spacing w:val="-4"/>
        </w:rPr>
        <w:t xml:space="preserve"> </w:t>
      </w:r>
      <w:r w:rsidRPr="00EC20A0">
        <w:t>and</w:t>
      </w:r>
      <w:r w:rsidRPr="00EC20A0">
        <w:rPr>
          <w:spacing w:val="-4"/>
        </w:rPr>
        <w:t xml:space="preserve"> </w:t>
      </w:r>
      <w:r w:rsidRPr="00EC20A0">
        <w:t>review</w:t>
      </w:r>
      <w:r w:rsidRPr="00EC20A0">
        <w:rPr>
          <w:spacing w:val="-5"/>
        </w:rPr>
        <w:t xml:space="preserve"> </w:t>
      </w:r>
      <w:r w:rsidRPr="00EC20A0">
        <w:t>should</w:t>
      </w:r>
      <w:r w:rsidRPr="00EC20A0">
        <w:rPr>
          <w:spacing w:val="-4"/>
        </w:rPr>
        <w:t xml:space="preserve"> </w:t>
      </w:r>
      <w:r w:rsidRPr="00EC20A0">
        <w:t xml:space="preserve">be responsive to the outcome of the evaluation of the factors in </w:t>
      </w:r>
      <w:hyperlink r:id="rId44">
        <w:r w:rsidRPr="00EC20A0">
          <w:t>FAM 645.20</w:t>
        </w:r>
      </w:hyperlink>
      <w:r w:rsidRPr="00EC20A0">
        <w:t>;</w:t>
      </w:r>
    </w:p>
    <w:p w14:paraId="24D602D0" w14:textId="77777777" w:rsidR="00245300" w:rsidRPr="00EC20A0" w:rsidRDefault="00F17249">
      <w:pPr>
        <w:pStyle w:val="ListParagraph"/>
        <w:numPr>
          <w:ilvl w:val="1"/>
          <w:numId w:val="188"/>
        </w:numPr>
        <w:tabs>
          <w:tab w:val="left" w:pos="2220"/>
        </w:tabs>
        <w:ind w:left="2220" w:right="733"/>
      </w:pPr>
      <w:r w:rsidRPr="00EC20A0">
        <w:t>the auditor should instruct the internal auditors to bring accounting and auditing</w:t>
      </w:r>
      <w:r w:rsidRPr="00EC20A0">
        <w:rPr>
          <w:spacing w:val="-4"/>
        </w:rPr>
        <w:t xml:space="preserve"> </w:t>
      </w:r>
      <w:r w:rsidRPr="00EC20A0">
        <w:t>issues</w:t>
      </w:r>
      <w:r w:rsidRPr="00EC20A0">
        <w:rPr>
          <w:spacing w:val="-4"/>
        </w:rPr>
        <w:t xml:space="preserve"> </w:t>
      </w:r>
      <w:r w:rsidRPr="00EC20A0">
        <w:t>identified</w:t>
      </w:r>
      <w:r w:rsidRPr="00EC20A0">
        <w:rPr>
          <w:spacing w:val="-5"/>
        </w:rPr>
        <w:t xml:space="preserve"> </w:t>
      </w:r>
      <w:r w:rsidRPr="00EC20A0">
        <w:t>during</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attention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and</w:t>
      </w:r>
    </w:p>
    <w:p w14:paraId="24D602D1" w14:textId="77777777" w:rsidR="00245300" w:rsidRPr="00EC20A0" w:rsidRDefault="00F17249">
      <w:pPr>
        <w:pStyle w:val="ListParagraph"/>
        <w:numPr>
          <w:ilvl w:val="1"/>
          <w:numId w:val="188"/>
        </w:numPr>
        <w:tabs>
          <w:tab w:val="left" w:pos="2219"/>
        </w:tabs>
        <w:spacing w:before="239"/>
        <w:ind w:right="881"/>
      </w:pPr>
      <w:r w:rsidRPr="00EC20A0">
        <w:t>the</w:t>
      </w:r>
      <w:r w:rsidRPr="00EC20A0">
        <w:rPr>
          <w:spacing w:val="-4"/>
        </w:rPr>
        <w:t xml:space="preserve"> </w:t>
      </w:r>
      <w:r w:rsidRPr="00EC20A0">
        <w:t>review</w:t>
      </w:r>
      <w:r w:rsidRPr="00EC20A0">
        <w:rPr>
          <w:spacing w:val="-4"/>
        </w:rPr>
        <w:t xml:space="preserve"> </w:t>
      </w:r>
      <w:r w:rsidRPr="00EC20A0">
        <w:t>procedures</w:t>
      </w:r>
      <w:r w:rsidRPr="00EC20A0">
        <w:rPr>
          <w:spacing w:val="-4"/>
        </w:rPr>
        <w:t xml:space="preserve"> </w:t>
      </w:r>
      <w:r w:rsidRPr="00EC20A0">
        <w:t>should</w:t>
      </w:r>
      <w:r w:rsidRPr="00EC20A0">
        <w:rPr>
          <w:spacing w:val="-4"/>
        </w:rPr>
        <w:t xml:space="preserve"> </w:t>
      </w:r>
      <w:r w:rsidRPr="00EC20A0">
        <w:t>include</w:t>
      </w:r>
      <w:r w:rsidRPr="00EC20A0">
        <w:rPr>
          <w:spacing w:val="-4"/>
        </w:rPr>
        <w:t xml:space="preserve"> </w:t>
      </w:r>
      <w:r w:rsidRPr="00EC20A0">
        <w:t>the</w:t>
      </w:r>
      <w:r w:rsidRPr="00EC20A0">
        <w:rPr>
          <w:spacing w:val="-4"/>
        </w:rPr>
        <w:t xml:space="preserve"> </w:t>
      </w:r>
      <w:r w:rsidRPr="00EC20A0">
        <w:t>auditor</w:t>
      </w:r>
      <w:r w:rsidRPr="00EC20A0">
        <w:rPr>
          <w:spacing w:val="-5"/>
        </w:rPr>
        <w:t xml:space="preserve"> </w:t>
      </w:r>
      <w:r w:rsidRPr="00EC20A0">
        <w:t>testing</w:t>
      </w:r>
      <w:r w:rsidRPr="00EC20A0">
        <w:rPr>
          <w:spacing w:val="-4"/>
        </w:rPr>
        <w:t xml:space="preserve"> </w:t>
      </w:r>
      <w:r w:rsidRPr="00EC20A0">
        <w:t>some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 xml:space="preserve">work performed by the internal auditors </w:t>
      </w:r>
      <w:r w:rsidRPr="00EC20A0">
        <w:t>(AU-C 610.31).</w:t>
      </w:r>
    </w:p>
    <w:p w14:paraId="24D602D2" w14:textId="77777777" w:rsidR="00245300" w:rsidRPr="00EC20A0" w:rsidRDefault="00F17249">
      <w:pPr>
        <w:pStyle w:val="ListParagraph"/>
        <w:numPr>
          <w:ilvl w:val="0"/>
          <w:numId w:val="188"/>
        </w:numPr>
        <w:tabs>
          <w:tab w:val="left" w:pos="1858"/>
        </w:tabs>
        <w:spacing w:before="241"/>
        <w:ind w:left="1858" w:right="591" w:hanging="720"/>
      </w:pPr>
      <w:r w:rsidRPr="00EC20A0">
        <w:t>When directing, supervising, and reviewing the work performed by internal auditors, the auditor should remain alert for indications that the auditor’s evaluations</w:t>
      </w:r>
      <w:r w:rsidRPr="00EC20A0">
        <w:rPr>
          <w:spacing w:val="-5"/>
        </w:rPr>
        <w:t xml:space="preserve"> </w:t>
      </w:r>
      <w:r w:rsidRPr="00EC20A0">
        <w:t>of</w:t>
      </w:r>
      <w:r w:rsidRPr="00EC20A0">
        <w:rPr>
          <w:spacing w:val="-4"/>
        </w:rPr>
        <w:t xml:space="preserve"> </w:t>
      </w:r>
      <w:r w:rsidRPr="00EC20A0">
        <w:t>internal</w:t>
      </w:r>
      <w:r w:rsidRPr="00EC20A0">
        <w:rPr>
          <w:spacing w:val="-4"/>
        </w:rPr>
        <w:t xml:space="preserve"> </w:t>
      </w:r>
      <w:r w:rsidRPr="00EC20A0">
        <w:t>auditors’</w:t>
      </w:r>
      <w:r w:rsidRPr="00EC20A0">
        <w:rPr>
          <w:spacing w:val="-4"/>
        </w:rPr>
        <w:t xml:space="preserve"> </w:t>
      </w:r>
      <w:r w:rsidRPr="00EC20A0">
        <w:t>objectivity</w:t>
      </w:r>
      <w:r w:rsidRPr="00EC20A0">
        <w:rPr>
          <w:spacing w:val="-4"/>
        </w:rPr>
        <w:t xml:space="preserve"> </w:t>
      </w:r>
      <w:r w:rsidRPr="00EC20A0">
        <w:t>and</w:t>
      </w:r>
      <w:r w:rsidRPr="00EC20A0">
        <w:rPr>
          <w:spacing w:val="-4"/>
        </w:rPr>
        <w:t xml:space="preserve"> </w:t>
      </w:r>
      <w:r w:rsidRPr="00EC20A0">
        <w:t>competence</w:t>
      </w:r>
      <w:r w:rsidRPr="00EC20A0">
        <w:rPr>
          <w:spacing w:val="-4"/>
        </w:rPr>
        <w:t xml:space="preserve"> </w:t>
      </w:r>
      <w:r w:rsidRPr="00EC20A0">
        <w:t>(FAM</w:t>
      </w:r>
      <w:r w:rsidRPr="00EC20A0">
        <w:rPr>
          <w:spacing w:val="-5"/>
        </w:rPr>
        <w:t xml:space="preserve"> </w:t>
      </w:r>
      <w:r w:rsidRPr="00EC20A0">
        <w:t>645.19)</w:t>
      </w:r>
      <w:r w:rsidRPr="00EC20A0">
        <w:rPr>
          <w:spacing w:val="-4"/>
        </w:rPr>
        <w:t xml:space="preserve"> </w:t>
      </w:r>
      <w:r w:rsidRPr="00EC20A0">
        <w:t>and</w:t>
      </w:r>
      <w:r w:rsidRPr="00EC20A0">
        <w:rPr>
          <w:spacing w:val="-4"/>
        </w:rPr>
        <w:t xml:space="preserve"> </w:t>
      </w:r>
      <w:r w:rsidRPr="00EC20A0">
        <w:t>of the auditor’s level of involvement in the audit (FAM 645.23) are no longer appropriate (AU-C 610.32).</w:t>
      </w:r>
    </w:p>
    <w:p w14:paraId="24D602D3" w14:textId="77777777" w:rsidR="00245300" w:rsidRPr="00EC20A0" w:rsidRDefault="00F17249">
      <w:pPr>
        <w:pStyle w:val="Heading4"/>
      </w:pPr>
      <w:r w:rsidRPr="00EC20A0">
        <w:rPr>
          <w:spacing w:val="-2"/>
        </w:rPr>
        <w:t>Documentation</w:t>
      </w:r>
    </w:p>
    <w:p w14:paraId="24D602D4" w14:textId="77777777" w:rsidR="00245300" w:rsidRPr="00EC20A0" w:rsidRDefault="00F17249">
      <w:pPr>
        <w:pStyle w:val="ListParagraph"/>
        <w:numPr>
          <w:ilvl w:val="0"/>
          <w:numId w:val="188"/>
        </w:numPr>
        <w:tabs>
          <w:tab w:val="left" w:pos="1860"/>
        </w:tabs>
        <w:spacing w:before="239"/>
        <w:ind w:left="1860" w:right="1287"/>
      </w:pPr>
      <w:r w:rsidRPr="00EC20A0">
        <w:t>If</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uses</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function</w:t>
      </w:r>
      <w:r w:rsidRPr="00EC20A0">
        <w:rPr>
          <w:spacing w:val="-3"/>
        </w:rPr>
        <w:t xml:space="preserve"> </w:t>
      </w:r>
      <w:r w:rsidRPr="00EC20A0">
        <w:t>in</w:t>
      </w:r>
      <w:r w:rsidRPr="00EC20A0">
        <w:rPr>
          <w:spacing w:val="-3"/>
        </w:rPr>
        <w:t xml:space="preserve"> </w:t>
      </w:r>
      <w:r w:rsidRPr="00EC20A0">
        <w:t>obtaining</w:t>
      </w:r>
      <w:r w:rsidRPr="00EC20A0">
        <w:rPr>
          <w:spacing w:val="-3"/>
        </w:rPr>
        <w:t xml:space="preserve"> </w:t>
      </w:r>
      <w:r w:rsidRPr="00EC20A0">
        <w:t xml:space="preserve">audit evidence, the auditor should include the following in the audit </w:t>
      </w:r>
      <w:r w:rsidRPr="00EC20A0">
        <w:t>summary memorandum (AU-C 610.33):</w:t>
      </w:r>
    </w:p>
    <w:p w14:paraId="24D602D5" w14:textId="77777777" w:rsidR="00245300" w:rsidRPr="00EC20A0" w:rsidRDefault="00F17249">
      <w:pPr>
        <w:pStyle w:val="ListParagraph"/>
        <w:numPr>
          <w:ilvl w:val="1"/>
          <w:numId w:val="188"/>
        </w:numPr>
        <w:tabs>
          <w:tab w:val="left" w:pos="2219"/>
        </w:tabs>
        <w:spacing w:before="241"/>
        <w:ind w:hanging="359"/>
      </w:pPr>
      <w:r w:rsidRPr="00EC20A0">
        <w:t>the</w:t>
      </w:r>
      <w:r w:rsidRPr="00EC20A0">
        <w:rPr>
          <w:spacing w:val="-6"/>
        </w:rPr>
        <w:t xml:space="preserve"> </w:t>
      </w:r>
      <w:r w:rsidRPr="00EC20A0">
        <w:t>results</w:t>
      </w:r>
      <w:r w:rsidRPr="00EC20A0">
        <w:rPr>
          <w:spacing w:val="-5"/>
        </w:rPr>
        <w:t xml:space="preserve"> </w:t>
      </w:r>
      <w:r w:rsidRPr="00EC20A0">
        <w:t>of</w:t>
      </w:r>
      <w:r w:rsidRPr="00EC20A0">
        <w:rPr>
          <w:spacing w:val="-6"/>
        </w:rPr>
        <w:t xml:space="preserve"> </w:t>
      </w:r>
      <w:r w:rsidRPr="00EC20A0">
        <w:t>the</w:t>
      </w:r>
      <w:r w:rsidRPr="00EC20A0">
        <w:rPr>
          <w:spacing w:val="-5"/>
        </w:rPr>
        <w:t xml:space="preserve"> </w:t>
      </w:r>
      <w:r w:rsidRPr="00EC20A0">
        <w:t>evaluation</w:t>
      </w:r>
      <w:r w:rsidRPr="00EC20A0">
        <w:rPr>
          <w:spacing w:val="-6"/>
        </w:rPr>
        <w:t xml:space="preserve"> </w:t>
      </w:r>
      <w:r w:rsidRPr="00EC20A0">
        <w:rPr>
          <w:spacing w:val="-5"/>
        </w:rPr>
        <w:t>of</w:t>
      </w:r>
    </w:p>
    <w:p w14:paraId="24D602D6" w14:textId="77777777" w:rsidR="00245300" w:rsidRPr="00EC20A0" w:rsidRDefault="00F17249">
      <w:pPr>
        <w:pStyle w:val="ListParagraph"/>
        <w:numPr>
          <w:ilvl w:val="2"/>
          <w:numId w:val="188"/>
        </w:numPr>
        <w:tabs>
          <w:tab w:val="left" w:pos="2579"/>
        </w:tabs>
        <w:ind w:right="666"/>
      </w:pPr>
      <w:r w:rsidRPr="00EC20A0">
        <w:t>the</w:t>
      </w:r>
      <w:r w:rsidRPr="00EC20A0">
        <w:rPr>
          <w:spacing w:val="-5"/>
        </w:rPr>
        <w:t xml:space="preserve"> </w:t>
      </w:r>
      <w:r w:rsidRPr="00EC20A0">
        <w:t>function’s</w:t>
      </w:r>
      <w:r w:rsidRPr="00EC20A0">
        <w:rPr>
          <w:spacing w:val="-5"/>
        </w:rPr>
        <w:t xml:space="preserve"> </w:t>
      </w:r>
      <w:r w:rsidRPr="00EC20A0">
        <w:t>organizational</w:t>
      </w:r>
      <w:r w:rsidRPr="00EC20A0">
        <w:rPr>
          <w:spacing w:val="-4"/>
        </w:rPr>
        <w:t xml:space="preserve"> </w:t>
      </w:r>
      <w:r w:rsidRPr="00EC20A0">
        <w:t>status</w:t>
      </w:r>
      <w:r w:rsidRPr="00EC20A0">
        <w:rPr>
          <w:spacing w:val="-6"/>
        </w:rPr>
        <w:t xml:space="preserve"> </w:t>
      </w:r>
      <w:r w:rsidRPr="00EC20A0">
        <w:t>and</w:t>
      </w:r>
      <w:r w:rsidRPr="00EC20A0">
        <w:rPr>
          <w:spacing w:val="-5"/>
        </w:rPr>
        <w:t xml:space="preserve"> </w:t>
      </w:r>
      <w:r w:rsidRPr="00EC20A0">
        <w:t>relevant</w:t>
      </w:r>
      <w:r w:rsidRPr="00EC20A0">
        <w:rPr>
          <w:spacing w:val="-6"/>
        </w:rPr>
        <w:t xml:space="preserve"> </w:t>
      </w:r>
      <w:r w:rsidRPr="00EC20A0">
        <w:t>policies</w:t>
      </w:r>
      <w:r w:rsidRPr="00EC20A0">
        <w:rPr>
          <w:spacing w:val="-5"/>
        </w:rPr>
        <w:t xml:space="preserve"> </w:t>
      </w:r>
      <w:r w:rsidRPr="00EC20A0">
        <w:t>and</w:t>
      </w:r>
      <w:r w:rsidRPr="00EC20A0">
        <w:rPr>
          <w:spacing w:val="-6"/>
        </w:rPr>
        <w:t xml:space="preserve"> </w:t>
      </w:r>
      <w:r w:rsidRPr="00EC20A0">
        <w:t>procedures to adequately support the objectivity of the internal auditors;</w:t>
      </w:r>
    </w:p>
    <w:p w14:paraId="24D602D7" w14:textId="77777777" w:rsidR="00245300" w:rsidRPr="00EC20A0" w:rsidRDefault="00245300">
      <w:pPr>
        <w:sectPr w:rsidR="00245300" w:rsidRPr="00EC20A0">
          <w:pgSz w:w="12240" w:h="15840"/>
          <w:pgMar w:top="1340" w:right="940" w:bottom="1020" w:left="1020" w:header="721" w:footer="757" w:gutter="0"/>
          <w:cols w:space="720"/>
        </w:sectPr>
      </w:pPr>
    </w:p>
    <w:p w14:paraId="24D602D8" w14:textId="77777777" w:rsidR="00245300" w:rsidRPr="00EC20A0" w:rsidRDefault="00F17249">
      <w:pPr>
        <w:pStyle w:val="ListParagraph"/>
        <w:numPr>
          <w:ilvl w:val="2"/>
          <w:numId w:val="188"/>
        </w:numPr>
        <w:tabs>
          <w:tab w:val="left" w:pos="2579"/>
        </w:tabs>
        <w:spacing w:before="121"/>
        <w:ind w:hanging="359"/>
      </w:pPr>
      <w:r w:rsidRPr="00EC20A0">
        <w:t>the</w:t>
      </w:r>
      <w:r w:rsidRPr="00EC20A0">
        <w:rPr>
          <w:spacing w:val="-6"/>
        </w:rPr>
        <w:t xml:space="preserve"> </w:t>
      </w:r>
      <w:r w:rsidRPr="00EC20A0">
        <w:t>level</w:t>
      </w:r>
      <w:r w:rsidRPr="00EC20A0">
        <w:rPr>
          <w:spacing w:val="-5"/>
        </w:rPr>
        <w:t xml:space="preserve"> </w:t>
      </w:r>
      <w:r w:rsidRPr="00EC20A0">
        <w:t>of</w:t>
      </w:r>
      <w:r w:rsidRPr="00EC20A0">
        <w:rPr>
          <w:spacing w:val="-6"/>
        </w:rPr>
        <w:t xml:space="preserve"> </w:t>
      </w:r>
      <w:r w:rsidRPr="00EC20A0">
        <w:t>competence</w:t>
      </w:r>
      <w:r w:rsidRPr="00EC20A0">
        <w:rPr>
          <w:spacing w:val="-5"/>
        </w:rPr>
        <w:t xml:space="preserve"> </w:t>
      </w:r>
      <w:r w:rsidRPr="00EC20A0">
        <w:t>of</w:t>
      </w:r>
      <w:r w:rsidRPr="00EC20A0">
        <w:rPr>
          <w:spacing w:val="-6"/>
        </w:rPr>
        <w:t xml:space="preserve"> </w:t>
      </w:r>
      <w:r w:rsidRPr="00EC20A0">
        <w:t>the</w:t>
      </w:r>
      <w:r w:rsidRPr="00EC20A0">
        <w:rPr>
          <w:spacing w:val="-5"/>
        </w:rPr>
        <w:t xml:space="preserve"> </w:t>
      </w:r>
      <w:r w:rsidRPr="00EC20A0">
        <w:t>function;</w:t>
      </w:r>
      <w:r w:rsidRPr="00EC20A0">
        <w:rPr>
          <w:spacing w:val="-5"/>
        </w:rPr>
        <w:t xml:space="preserve"> and</w:t>
      </w:r>
    </w:p>
    <w:p w14:paraId="24D602D9" w14:textId="77777777" w:rsidR="00245300" w:rsidRPr="00EC20A0" w:rsidRDefault="00F17249">
      <w:pPr>
        <w:pStyle w:val="ListParagraph"/>
        <w:numPr>
          <w:ilvl w:val="2"/>
          <w:numId w:val="188"/>
        </w:numPr>
        <w:tabs>
          <w:tab w:val="left" w:pos="2579"/>
        </w:tabs>
        <w:spacing w:before="237"/>
        <w:ind w:right="1204"/>
      </w:pPr>
      <w:r w:rsidRPr="00EC20A0">
        <w:t>the</w:t>
      </w:r>
      <w:r w:rsidRPr="00EC20A0">
        <w:rPr>
          <w:spacing w:val="-5"/>
        </w:rPr>
        <w:t xml:space="preserve"> </w:t>
      </w:r>
      <w:r w:rsidRPr="00EC20A0">
        <w:t>function’s</w:t>
      </w:r>
      <w:r w:rsidRPr="00EC20A0">
        <w:rPr>
          <w:spacing w:val="-5"/>
        </w:rPr>
        <w:t xml:space="preserve"> </w:t>
      </w:r>
      <w:r w:rsidRPr="00EC20A0">
        <w:t>application</w:t>
      </w:r>
      <w:r w:rsidRPr="00EC20A0">
        <w:rPr>
          <w:spacing w:val="-6"/>
        </w:rPr>
        <w:t xml:space="preserve"> </w:t>
      </w:r>
      <w:r w:rsidRPr="00EC20A0">
        <w:t>of</w:t>
      </w:r>
      <w:r w:rsidRPr="00EC20A0">
        <w:rPr>
          <w:spacing w:val="-5"/>
        </w:rPr>
        <w:t xml:space="preserve"> </w:t>
      </w:r>
      <w:r w:rsidRPr="00EC20A0">
        <w:t>a</w:t>
      </w:r>
      <w:r w:rsidRPr="00EC20A0">
        <w:rPr>
          <w:spacing w:val="-5"/>
        </w:rPr>
        <w:t xml:space="preserve"> </w:t>
      </w:r>
      <w:r w:rsidRPr="00EC20A0">
        <w:t>systematic</w:t>
      </w:r>
      <w:r w:rsidRPr="00EC20A0">
        <w:rPr>
          <w:spacing w:val="-5"/>
        </w:rPr>
        <w:t xml:space="preserve"> </w:t>
      </w:r>
      <w:r w:rsidRPr="00EC20A0">
        <w:t>and</w:t>
      </w:r>
      <w:r w:rsidRPr="00EC20A0">
        <w:rPr>
          <w:spacing w:val="-5"/>
        </w:rPr>
        <w:t xml:space="preserve"> </w:t>
      </w:r>
      <w:r w:rsidRPr="00EC20A0">
        <w:t>disciplined</w:t>
      </w:r>
      <w:r w:rsidRPr="00EC20A0">
        <w:rPr>
          <w:spacing w:val="-5"/>
        </w:rPr>
        <w:t xml:space="preserve"> </w:t>
      </w:r>
      <w:r w:rsidRPr="00EC20A0">
        <w:t>approach, including quality control;</w:t>
      </w:r>
    </w:p>
    <w:p w14:paraId="24D602DA" w14:textId="77777777" w:rsidR="00245300" w:rsidRPr="00EC20A0" w:rsidRDefault="00F17249">
      <w:pPr>
        <w:pStyle w:val="ListParagraph"/>
        <w:numPr>
          <w:ilvl w:val="1"/>
          <w:numId w:val="188"/>
        </w:numPr>
        <w:tabs>
          <w:tab w:val="left" w:pos="2219"/>
        </w:tabs>
        <w:spacing w:before="239"/>
        <w:ind w:right="635"/>
      </w:pPr>
      <w:r w:rsidRPr="00EC20A0">
        <w:t>the</w:t>
      </w:r>
      <w:r w:rsidRPr="00EC20A0">
        <w:rPr>
          <w:spacing w:val="-3"/>
        </w:rPr>
        <w:t xml:space="preserve"> </w:t>
      </w:r>
      <w:r w:rsidRPr="00EC20A0">
        <w:t>nature</w:t>
      </w:r>
      <w:r w:rsidRPr="00EC20A0">
        <w:rPr>
          <w:spacing w:val="-3"/>
        </w:rPr>
        <w:t xml:space="preserve"> </w:t>
      </w:r>
      <w:r w:rsidRPr="00EC20A0">
        <w:t>and</w:t>
      </w:r>
      <w:r w:rsidRPr="00EC20A0">
        <w:rPr>
          <w:spacing w:val="-3"/>
        </w:rPr>
        <w:t xml:space="preserve"> </w:t>
      </w:r>
      <w:r w:rsidRPr="00EC20A0">
        <w:t>extent</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work</w:t>
      </w:r>
      <w:r w:rsidRPr="00EC20A0">
        <w:rPr>
          <w:spacing w:val="-3"/>
        </w:rPr>
        <w:t xml:space="preserve"> </w:t>
      </w:r>
      <w:r w:rsidRPr="00EC20A0">
        <w:t>used</w:t>
      </w:r>
      <w:r w:rsidRPr="00EC20A0">
        <w:rPr>
          <w:spacing w:val="-3"/>
        </w:rPr>
        <w:t xml:space="preserve"> </w:t>
      </w:r>
      <w:r w:rsidRPr="00EC20A0">
        <w:t>(including</w:t>
      </w:r>
      <w:r w:rsidRPr="00EC20A0">
        <w:rPr>
          <w:spacing w:val="-3"/>
        </w:rPr>
        <w:t xml:space="preserve"> </w:t>
      </w:r>
      <w:r w:rsidRPr="00EC20A0">
        <w:t>the</w:t>
      </w:r>
      <w:r w:rsidRPr="00EC20A0">
        <w:rPr>
          <w:spacing w:val="-3"/>
        </w:rPr>
        <w:t xml:space="preserve"> </w:t>
      </w:r>
      <w:r w:rsidRPr="00EC20A0">
        <w:t>period</w:t>
      </w:r>
      <w:r w:rsidRPr="00EC20A0">
        <w:rPr>
          <w:spacing w:val="-4"/>
        </w:rPr>
        <w:t xml:space="preserve"> </w:t>
      </w:r>
      <w:r w:rsidRPr="00EC20A0">
        <w:t>covered</w:t>
      </w:r>
      <w:r w:rsidRPr="00EC20A0">
        <w:rPr>
          <w:spacing w:val="-3"/>
        </w:rPr>
        <w:t xml:space="preserve"> </w:t>
      </w:r>
      <w:r w:rsidRPr="00EC20A0">
        <w:t>by,</w:t>
      </w:r>
      <w:r w:rsidRPr="00EC20A0">
        <w:rPr>
          <w:spacing w:val="-4"/>
        </w:rPr>
        <w:t xml:space="preserve"> </w:t>
      </w:r>
      <w:r w:rsidRPr="00EC20A0">
        <w:t>and the results of, such work) and the basis for that decision; and</w:t>
      </w:r>
    </w:p>
    <w:p w14:paraId="24D602DB" w14:textId="77777777" w:rsidR="00245300" w:rsidRPr="00EC20A0" w:rsidRDefault="00F17249">
      <w:pPr>
        <w:pStyle w:val="ListParagraph"/>
        <w:numPr>
          <w:ilvl w:val="1"/>
          <w:numId w:val="188"/>
        </w:numPr>
        <w:tabs>
          <w:tab w:val="left" w:pos="2219"/>
        </w:tabs>
        <w:spacing w:before="241"/>
        <w:ind w:right="635"/>
      </w:pPr>
      <w:r w:rsidRPr="00EC20A0">
        <w:t>the audit procedures performed by the auditor to evaluate the adequacy of the work used, including the procedures performed by the auditor to reperform</w:t>
      </w:r>
      <w:r w:rsidRPr="00EC20A0">
        <w:rPr>
          <w:spacing w:val="-4"/>
        </w:rPr>
        <w:t xml:space="preserve"> </w:t>
      </w:r>
      <w:r w:rsidRPr="00EC20A0">
        <w:t>some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body</w:t>
      </w:r>
      <w:r w:rsidRPr="00EC20A0">
        <w:rPr>
          <w:spacing w:val="-3"/>
        </w:rPr>
        <w:t xml:space="preserve"> </w:t>
      </w:r>
      <w:r w:rsidRPr="00EC20A0">
        <w:t>of</w:t>
      </w:r>
      <w:r w:rsidRPr="00EC20A0">
        <w:rPr>
          <w:spacing w:val="-3"/>
        </w:rPr>
        <w:t xml:space="preserve"> </w:t>
      </w:r>
      <w:r w:rsidRPr="00EC20A0">
        <w:t>work</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w:t>
      </w:r>
      <w:r w:rsidRPr="00EC20A0">
        <w:rPr>
          <w:spacing w:val="-3"/>
        </w:rPr>
        <w:t xml:space="preserve"> </w:t>
      </w:r>
      <w:r w:rsidRPr="00EC20A0">
        <w:t>function</w:t>
      </w:r>
      <w:r w:rsidRPr="00EC20A0">
        <w:rPr>
          <w:spacing w:val="-3"/>
        </w:rPr>
        <w:t xml:space="preserve"> </w:t>
      </w:r>
      <w:r w:rsidRPr="00EC20A0">
        <w:t>in</w:t>
      </w:r>
      <w:r w:rsidRPr="00EC20A0">
        <w:rPr>
          <w:spacing w:val="-3"/>
        </w:rPr>
        <w:t xml:space="preserve"> </w:t>
      </w:r>
      <w:r w:rsidRPr="00EC20A0">
        <w:t>obtaining audit evidence.</w:t>
      </w:r>
    </w:p>
    <w:p w14:paraId="24D602DC" w14:textId="77777777" w:rsidR="00245300" w:rsidRPr="00EC20A0" w:rsidRDefault="00F17249">
      <w:pPr>
        <w:pStyle w:val="ListParagraph"/>
        <w:numPr>
          <w:ilvl w:val="0"/>
          <w:numId w:val="188"/>
        </w:numPr>
        <w:tabs>
          <w:tab w:val="left" w:pos="1859"/>
        </w:tabs>
        <w:ind w:right="676" w:hanging="720"/>
      </w:pPr>
      <w:r w:rsidRPr="00EC20A0">
        <w:t>If</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uses</w:t>
      </w:r>
      <w:r w:rsidRPr="00EC20A0">
        <w:rPr>
          <w:spacing w:val="-3"/>
        </w:rPr>
        <w:t xml:space="preserve"> </w:t>
      </w:r>
      <w:r w:rsidRPr="00EC20A0">
        <w:t>internal</w:t>
      </w:r>
      <w:r w:rsidRPr="00EC20A0">
        <w:rPr>
          <w:spacing w:val="-3"/>
        </w:rPr>
        <w:t xml:space="preserve"> </w:t>
      </w:r>
      <w:r w:rsidRPr="00EC20A0">
        <w:t>auditors</w:t>
      </w:r>
      <w:r w:rsidRPr="00EC20A0">
        <w:rPr>
          <w:spacing w:val="-3"/>
        </w:rPr>
        <w:t xml:space="preserve"> </w:t>
      </w:r>
      <w:r w:rsidRPr="00EC20A0">
        <w:t>to</w:t>
      </w:r>
      <w:r w:rsidRPr="00EC20A0">
        <w:rPr>
          <w:spacing w:val="-3"/>
        </w:rPr>
        <w:t xml:space="preserve"> </w:t>
      </w:r>
      <w:r w:rsidRPr="00EC20A0">
        <w:t>provide</w:t>
      </w:r>
      <w:r w:rsidRPr="00EC20A0">
        <w:rPr>
          <w:spacing w:val="-3"/>
        </w:rPr>
        <w:t xml:space="preserve"> </w:t>
      </w:r>
      <w:r w:rsidRPr="00EC20A0">
        <w:t>direct</w:t>
      </w:r>
      <w:r w:rsidRPr="00EC20A0">
        <w:rPr>
          <w:spacing w:val="-3"/>
        </w:rPr>
        <w:t xml:space="preserve"> </w:t>
      </w:r>
      <w:r w:rsidRPr="00EC20A0">
        <w:t>assistance</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 xml:space="preserve">the auditor should include the following in the audit summary memorandum (AU-C </w:t>
      </w:r>
      <w:r w:rsidRPr="00EC20A0">
        <w:rPr>
          <w:spacing w:val="-2"/>
        </w:rPr>
        <w:t>610.34):</w:t>
      </w:r>
    </w:p>
    <w:p w14:paraId="24D602DD" w14:textId="77777777" w:rsidR="00245300" w:rsidRPr="00EC20A0" w:rsidRDefault="00F17249">
      <w:pPr>
        <w:pStyle w:val="ListParagraph"/>
        <w:numPr>
          <w:ilvl w:val="1"/>
          <w:numId w:val="188"/>
        </w:numPr>
        <w:tabs>
          <w:tab w:val="left" w:pos="2219"/>
        </w:tabs>
        <w:spacing w:before="239"/>
        <w:ind w:right="524"/>
        <w:jc w:val="both"/>
      </w:pPr>
      <w:r w:rsidRPr="00EC20A0">
        <w:t>the evaluation of the existence and significance of threats to the objectivity of the</w:t>
      </w:r>
      <w:r w:rsidRPr="00EC20A0">
        <w:rPr>
          <w:spacing w:val="-3"/>
        </w:rPr>
        <w:t xml:space="preserve"> </w:t>
      </w:r>
      <w:r w:rsidRPr="00EC20A0">
        <w:t>internal</w:t>
      </w:r>
      <w:r w:rsidRPr="00EC20A0">
        <w:rPr>
          <w:spacing w:val="-4"/>
        </w:rPr>
        <w:t xml:space="preserve"> </w:t>
      </w:r>
      <w:r w:rsidRPr="00EC20A0">
        <w:t>auditors,</w:t>
      </w:r>
      <w:r w:rsidRPr="00EC20A0">
        <w:rPr>
          <w:spacing w:val="-3"/>
        </w:rPr>
        <w:t xml:space="preserve"> </w:t>
      </w:r>
      <w:r w:rsidRPr="00EC20A0">
        <w:t>as</w:t>
      </w:r>
      <w:r w:rsidRPr="00EC20A0">
        <w:rPr>
          <w:spacing w:val="-4"/>
        </w:rPr>
        <w:t xml:space="preserve"> </w:t>
      </w:r>
      <w:r w:rsidRPr="00EC20A0">
        <w:t>well</w:t>
      </w:r>
      <w:r w:rsidRPr="00EC20A0">
        <w:rPr>
          <w:spacing w:val="-3"/>
        </w:rPr>
        <w:t xml:space="preserve"> </w:t>
      </w:r>
      <w:r w:rsidRPr="00EC20A0">
        <w:t>as</w:t>
      </w:r>
      <w:r w:rsidRPr="00EC20A0">
        <w:rPr>
          <w:spacing w:val="-3"/>
        </w:rPr>
        <w:t xml:space="preserve"> </w:t>
      </w:r>
      <w:r w:rsidRPr="00EC20A0">
        <w:t>any</w:t>
      </w:r>
      <w:r w:rsidRPr="00EC20A0">
        <w:rPr>
          <w:spacing w:val="-4"/>
        </w:rPr>
        <w:t xml:space="preserve"> </w:t>
      </w:r>
      <w:r w:rsidRPr="00EC20A0">
        <w:t>safeguards</w:t>
      </w:r>
      <w:r w:rsidRPr="00EC20A0">
        <w:rPr>
          <w:spacing w:val="-4"/>
        </w:rPr>
        <w:t xml:space="preserve"> </w:t>
      </w:r>
      <w:r w:rsidRPr="00EC20A0">
        <w:t>applied</w:t>
      </w:r>
      <w:r w:rsidRPr="00EC20A0">
        <w:rPr>
          <w:spacing w:val="-3"/>
        </w:rPr>
        <w:t xml:space="preserve"> </w:t>
      </w:r>
      <w:r w:rsidRPr="00EC20A0">
        <w:t>to</w:t>
      </w:r>
      <w:r w:rsidRPr="00EC20A0">
        <w:rPr>
          <w:spacing w:val="-3"/>
        </w:rPr>
        <w:t xml:space="preserve"> </w:t>
      </w:r>
      <w:r w:rsidRPr="00EC20A0">
        <w:t>reduce</w:t>
      </w:r>
      <w:r w:rsidRPr="00EC20A0">
        <w:rPr>
          <w:spacing w:val="-3"/>
        </w:rPr>
        <w:t xml:space="preserve"> </w:t>
      </w:r>
      <w:r w:rsidRPr="00EC20A0">
        <w:t>or</w:t>
      </w:r>
      <w:r w:rsidRPr="00EC20A0">
        <w:rPr>
          <w:spacing w:val="-3"/>
        </w:rPr>
        <w:t xml:space="preserve"> </w:t>
      </w:r>
      <w:r w:rsidRPr="00EC20A0">
        <w:t>eliminate the</w:t>
      </w:r>
      <w:r w:rsidRPr="00EC20A0">
        <w:rPr>
          <w:spacing w:val="-3"/>
        </w:rPr>
        <w:t xml:space="preserve"> </w:t>
      </w:r>
      <w:r w:rsidRPr="00EC20A0">
        <w:t>threats,</w:t>
      </w:r>
      <w:r w:rsidRPr="00EC20A0">
        <w:rPr>
          <w:spacing w:val="-4"/>
        </w:rPr>
        <w:t xml:space="preserve"> </w:t>
      </w:r>
      <w:r w:rsidRPr="00EC20A0">
        <w:t>and</w:t>
      </w:r>
      <w:r w:rsidRPr="00EC20A0">
        <w:rPr>
          <w:spacing w:val="-3"/>
        </w:rPr>
        <w:t xml:space="preserve"> </w:t>
      </w:r>
      <w:r w:rsidRPr="00EC20A0">
        <w:t>the</w:t>
      </w:r>
      <w:r w:rsidRPr="00EC20A0">
        <w:rPr>
          <w:spacing w:val="-3"/>
        </w:rPr>
        <w:t xml:space="preserve"> </w:t>
      </w:r>
      <w:r w:rsidRPr="00EC20A0">
        <w:t>level</w:t>
      </w:r>
      <w:r w:rsidRPr="00EC20A0">
        <w:rPr>
          <w:spacing w:val="-3"/>
        </w:rPr>
        <w:t xml:space="preserve"> </w:t>
      </w:r>
      <w:r w:rsidRPr="00EC20A0">
        <w:t>of</w:t>
      </w:r>
      <w:r w:rsidRPr="00EC20A0">
        <w:rPr>
          <w:spacing w:val="-3"/>
        </w:rPr>
        <w:t xml:space="preserve"> </w:t>
      </w:r>
      <w:r w:rsidRPr="00EC20A0">
        <w:t>competence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auditors</w:t>
      </w:r>
      <w:r w:rsidRPr="00EC20A0">
        <w:rPr>
          <w:spacing w:val="-2"/>
        </w:rPr>
        <w:t xml:space="preserve"> </w:t>
      </w:r>
      <w:r w:rsidRPr="00EC20A0">
        <w:t>who</w:t>
      </w:r>
      <w:r w:rsidRPr="00EC20A0">
        <w:rPr>
          <w:spacing w:val="-3"/>
        </w:rPr>
        <w:t xml:space="preserve"> </w:t>
      </w:r>
      <w:r w:rsidRPr="00EC20A0">
        <w:t>provided direct assistance;</w:t>
      </w:r>
    </w:p>
    <w:p w14:paraId="24D602DE" w14:textId="77777777" w:rsidR="00245300" w:rsidRPr="00EC20A0" w:rsidRDefault="00F17249">
      <w:pPr>
        <w:pStyle w:val="ListParagraph"/>
        <w:numPr>
          <w:ilvl w:val="1"/>
          <w:numId w:val="188"/>
        </w:numPr>
        <w:tabs>
          <w:tab w:val="left" w:pos="2217"/>
          <w:tab w:val="left" w:pos="2219"/>
        </w:tabs>
        <w:spacing w:before="241"/>
        <w:ind w:right="1358" w:hanging="361"/>
      </w:pPr>
      <w:r w:rsidRPr="00EC20A0">
        <w:t>the</w:t>
      </w:r>
      <w:r w:rsidRPr="00EC20A0">
        <w:rPr>
          <w:spacing w:val="-3"/>
        </w:rPr>
        <w:t xml:space="preserve"> </w:t>
      </w:r>
      <w:r w:rsidRPr="00EC20A0">
        <w:t>basis</w:t>
      </w:r>
      <w:r w:rsidRPr="00EC20A0">
        <w:rPr>
          <w:spacing w:val="-2"/>
        </w:rPr>
        <w:t xml:space="preserve"> </w:t>
      </w:r>
      <w:r w:rsidRPr="00EC20A0">
        <w:t>for</w:t>
      </w:r>
      <w:r w:rsidRPr="00EC20A0">
        <w:rPr>
          <w:spacing w:val="-5"/>
        </w:rPr>
        <w:t xml:space="preserve"> </w:t>
      </w:r>
      <w:r w:rsidRPr="00EC20A0">
        <w:t>the</w:t>
      </w:r>
      <w:r w:rsidRPr="00EC20A0">
        <w:rPr>
          <w:spacing w:val="-3"/>
        </w:rPr>
        <w:t xml:space="preserve"> </w:t>
      </w:r>
      <w:r w:rsidRPr="00EC20A0">
        <w:t>decision</w:t>
      </w:r>
      <w:r w:rsidRPr="00EC20A0">
        <w:rPr>
          <w:spacing w:val="-3"/>
        </w:rPr>
        <w:t xml:space="preserve"> </w:t>
      </w:r>
      <w:r w:rsidRPr="00EC20A0">
        <w:t>regarding</w:t>
      </w:r>
      <w:r w:rsidRPr="00EC20A0">
        <w:rPr>
          <w:spacing w:val="-4"/>
        </w:rPr>
        <w:t xml:space="preserve"> </w:t>
      </w:r>
      <w:r w:rsidRPr="00EC20A0">
        <w:t>the</w:t>
      </w:r>
      <w:r w:rsidRPr="00EC20A0">
        <w:rPr>
          <w:spacing w:val="-3"/>
        </w:rPr>
        <w:t xml:space="preserve"> </w:t>
      </w:r>
      <w:r w:rsidRPr="00EC20A0">
        <w:t>nature</w:t>
      </w:r>
      <w:r w:rsidRPr="00EC20A0">
        <w:rPr>
          <w:spacing w:val="-3"/>
        </w:rPr>
        <w:t xml:space="preserve"> </w:t>
      </w:r>
      <w:r w:rsidRPr="00EC20A0">
        <w:t>and</w:t>
      </w:r>
      <w:r w:rsidRPr="00EC20A0">
        <w:rPr>
          <w:spacing w:val="-3"/>
        </w:rPr>
        <w:t xml:space="preserve"> </w:t>
      </w:r>
      <w:r w:rsidRPr="00EC20A0">
        <w:t>extent</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 xml:space="preserve">work performed by the </w:t>
      </w:r>
      <w:r w:rsidRPr="00EC20A0">
        <w:t>internal auditors; and</w:t>
      </w:r>
    </w:p>
    <w:p w14:paraId="24D602DF" w14:textId="77777777" w:rsidR="00245300" w:rsidRPr="00EC20A0" w:rsidRDefault="00F17249">
      <w:pPr>
        <w:pStyle w:val="ListParagraph"/>
        <w:numPr>
          <w:ilvl w:val="1"/>
          <w:numId w:val="188"/>
        </w:numPr>
        <w:tabs>
          <w:tab w:val="left" w:pos="2218"/>
        </w:tabs>
        <w:spacing w:before="239"/>
        <w:ind w:left="2218" w:right="964"/>
        <w:jc w:val="both"/>
      </w:pPr>
      <w:r w:rsidRPr="00EC20A0">
        <w:t>the</w:t>
      </w:r>
      <w:r w:rsidRPr="00EC20A0">
        <w:rPr>
          <w:spacing w:val="-3"/>
        </w:rPr>
        <w:t xml:space="preserve"> </w:t>
      </w:r>
      <w:r w:rsidRPr="00EC20A0">
        <w:t>nature</w:t>
      </w:r>
      <w:r w:rsidRPr="00EC20A0">
        <w:rPr>
          <w:spacing w:val="-3"/>
        </w:rPr>
        <w:t xml:space="preserve"> </w:t>
      </w:r>
      <w:r w:rsidRPr="00EC20A0">
        <w:t>and</w:t>
      </w:r>
      <w:r w:rsidRPr="00EC20A0">
        <w:rPr>
          <w:spacing w:val="-3"/>
        </w:rPr>
        <w:t xml:space="preserve"> </w:t>
      </w:r>
      <w:r w:rsidRPr="00EC20A0">
        <w:t>extent</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auditor’s</w:t>
      </w:r>
      <w:r w:rsidRPr="00EC20A0">
        <w:rPr>
          <w:spacing w:val="-4"/>
        </w:rPr>
        <w:t xml:space="preserve"> </w:t>
      </w:r>
      <w:r w:rsidRPr="00EC20A0">
        <w:t>review</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internal</w:t>
      </w:r>
      <w:r w:rsidRPr="00EC20A0">
        <w:rPr>
          <w:spacing w:val="-3"/>
        </w:rPr>
        <w:t xml:space="preserve"> </w:t>
      </w:r>
      <w:r w:rsidRPr="00EC20A0">
        <w:t>auditors’</w:t>
      </w:r>
      <w:r w:rsidRPr="00EC20A0">
        <w:rPr>
          <w:spacing w:val="-3"/>
        </w:rPr>
        <w:t xml:space="preserve"> </w:t>
      </w:r>
      <w:r w:rsidRPr="00EC20A0">
        <w:t>work (including</w:t>
      </w:r>
      <w:r w:rsidRPr="00EC20A0">
        <w:rPr>
          <w:spacing w:val="-3"/>
        </w:rPr>
        <w:t xml:space="preserve"> </w:t>
      </w:r>
      <w:r w:rsidRPr="00EC20A0">
        <w:t>the</w:t>
      </w:r>
      <w:r w:rsidRPr="00EC20A0">
        <w:rPr>
          <w:spacing w:val="-3"/>
        </w:rPr>
        <w:t xml:space="preserve"> </w:t>
      </w:r>
      <w:r w:rsidRPr="00EC20A0">
        <w:t>testing,</w:t>
      </w:r>
      <w:r w:rsidRPr="00EC20A0">
        <w:rPr>
          <w:spacing w:val="-3"/>
        </w:rPr>
        <w:t xml:space="preserve"> </w:t>
      </w:r>
      <w:r w:rsidRPr="00EC20A0">
        <w:t>by</w:t>
      </w:r>
      <w:r w:rsidRPr="00EC20A0">
        <w:rPr>
          <w:spacing w:val="-4"/>
        </w:rPr>
        <w:t xml:space="preserve"> </w:t>
      </w:r>
      <w:r w:rsidRPr="00EC20A0">
        <w:t>the</w:t>
      </w:r>
      <w:r w:rsidRPr="00EC20A0">
        <w:rPr>
          <w:spacing w:val="-3"/>
        </w:rPr>
        <w:t xml:space="preserve"> </w:t>
      </w:r>
      <w:r w:rsidRPr="00EC20A0">
        <w:t>auditor,</w:t>
      </w:r>
      <w:r w:rsidRPr="00EC20A0">
        <w:rPr>
          <w:spacing w:val="-4"/>
        </w:rPr>
        <w:t xml:space="preserve"> </w:t>
      </w:r>
      <w:r w:rsidRPr="00EC20A0">
        <w:t>of</w:t>
      </w:r>
      <w:r w:rsidRPr="00EC20A0">
        <w:rPr>
          <w:spacing w:val="-3"/>
        </w:rPr>
        <w:t xml:space="preserve"> </w:t>
      </w:r>
      <w:r w:rsidRPr="00EC20A0">
        <w:t>some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internal auditors performed).</w:t>
      </w:r>
    </w:p>
    <w:p w14:paraId="24D602E0" w14:textId="77777777" w:rsidR="00245300" w:rsidRPr="00EC20A0" w:rsidRDefault="00F17249">
      <w:pPr>
        <w:pStyle w:val="BodyText"/>
        <w:spacing w:before="241"/>
        <w:ind w:left="1859"/>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also</w:t>
      </w:r>
      <w:r w:rsidRPr="00EC20A0">
        <w:rPr>
          <w:spacing w:val="-4"/>
        </w:rPr>
        <w:t xml:space="preserve"> </w:t>
      </w:r>
      <w:r w:rsidRPr="00EC20A0">
        <w:t>include</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documentation</w:t>
      </w:r>
      <w:r w:rsidRPr="00EC20A0">
        <w:rPr>
          <w:spacing w:val="-4"/>
        </w:rPr>
        <w:t xml:space="preserve"> </w:t>
      </w:r>
      <w:r w:rsidRPr="00EC20A0">
        <w:t>the</w:t>
      </w:r>
      <w:r w:rsidRPr="00EC20A0">
        <w:rPr>
          <w:spacing w:val="-4"/>
        </w:rPr>
        <w:t xml:space="preserve"> </w:t>
      </w:r>
      <w:r w:rsidRPr="00EC20A0">
        <w:t>working</w:t>
      </w:r>
      <w:r w:rsidRPr="00EC20A0">
        <w:rPr>
          <w:spacing w:val="-4"/>
        </w:rPr>
        <w:t xml:space="preserve"> </w:t>
      </w:r>
      <w:r w:rsidRPr="00EC20A0">
        <w:t>papers prepared by the internal auditors who provided direct assistance on the audit engagement (AU-C 610.34).</w:t>
      </w:r>
    </w:p>
    <w:p w14:paraId="24D602E1" w14:textId="77777777" w:rsidR="00245300" w:rsidRPr="00EC20A0" w:rsidRDefault="00F17249">
      <w:pPr>
        <w:pStyle w:val="BodyText"/>
        <w:spacing w:before="239"/>
        <w:ind w:left="1857" w:right="562" w:firstLine="1"/>
      </w:pPr>
      <w:r w:rsidRPr="00EC20A0">
        <w:t>If the auditor uses the work of the internal audit function in obtaining audit evidence, internal auditors to provide direct assistance, or both, the auditor should include in the audit summary memorandum the auditor’s evaluation of (see FAM 645.11 and .23) whether, either individually or in aggregate as applicable, using the work of the internal audit function in obtaining audit evidence</w:t>
      </w:r>
      <w:r w:rsidRPr="00EC20A0">
        <w:rPr>
          <w:spacing w:val="-3"/>
        </w:rPr>
        <w:t xml:space="preserve"> </w:t>
      </w:r>
      <w:r w:rsidRPr="00EC20A0">
        <w:t>and</w:t>
      </w:r>
      <w:r w:rsidRPr="00EC20A0">
        <w:rPr>
          <w:spacing w:val="-3"/>
        </w:rPr>
        <w:t xml:space="preserve"> </w:t>
      </w:r>
      <w:r w:rsidRPr="00EC20A0">
        <w:t>use</w:t>
      </w:r>
      <w:r w:rsidRPr="00EC20A0">
        <w:rPr>
          <w:spacing w:val="-3"/>
        </w:rPr>
        <w:t xml:space="preserve"> </w:t>
      </w:r>
      <w:r w:rsidRPr="00EC20A0">
        <w:t>of</w:t>
      </w:r>
      <w:r w:rsidRPr="00EC20A0">
        <w:rPr>
          <w:spacing w:val="-3"/>
        </w:rPr>
        <w:t xml:space="preserve"> </w:t>
      </w:r>
      <w:r w:rsidRPr="00EC20A0">
        <w:t>internal</w:t>
      </w:r>
      <w:r w:rsidRPr="00EC20A0">
        <w:rPr>
          <w:spacing w:val="-3"/>
        </w:rPr>
        <w:t xml:space="preserve"> </w:t>
      </w:r>
      <w:r w:rsidRPr="00EC20A0">
        <w:t>auditors</w:t>
      </w:r>
      <w:r w:rsidRPr="00EC20A0">
        <w:rPr>
          <w:spacing w:val="-4"/>
        </w:rPr>
        <w:t xml:space="preserve"> </w:t>
      </w:r>
      <w:r w:rsidRPr="00EC20A0">
        <w:t>to</w:t>
      </w:r>
      <w:r w:rsidRPr="00EC20A0">
        <w:rPr>
          <w:spacing w:val="-3"/>
        </w:rPr>
        <w:t xml:space="preserve"> </w:t>
      </w:r>
      <w:r w:rsidRPr="00EC20A0">
        <w:t>provide</w:t>
      </w:r>
      <w:r w:rsidRPr="00EC20A0">
        <w:rPr>
          <w:spacing w:val="-3"/>
        </w:rPr>
        <w:t xml:space="preserve"> </w:t>
      </w:r>
      <w:r w:rsidRPr="00EC20A0">
        <w:t>direct</w:t>
      </w:r>
      <w:r w:rsidRPr="00EC20A0">
        <w:rPr>
          <w:spacing w:val="-3"/>
        </w:rPr>
        <w:t xml:space="preserve"> </w:t>
      </w:r>
      <w:r w:rsidRPr="00EC20A0">
        <w:t>assistance</w:t>
      </w:r>
      <w:r w:rsidRPr="00EC20A0">
        <w:rPr>
          <w:spacing w:val="-3"/>
        </w:rPr>
        <w:t xml:space="preserve"> </w:t>
      </w:r>
      <w:r w:rsidRPr="00EC20A0">
        <w:t>resulted</w:t>
      </w:r>
      <w:r w:rsidRPr="00EC20A0">
        <w:rPr>
          <w:spacing w:val="-4"/>
        </w:rPr>
        <w:t xml:space="preserve"> </w:t>
      </w:r>
      <w:r w:rsidRPr="00EC20A0">
        <w:t>in</w:t>
      </w:r>
      <w:r w:rsidRPr="00EC20A0">
        <w:rPr>
          <w:spacing w:val="-3"/>
        </w:rPr>
        <w:t xml:space="preserve"> </w:t>
      </w:r>
      <w:r w:rsidRPr="00EC20A0">
        <w:t>the auditor still being sufficiently involved in the audit, given the auditor’s sole responsibility for the audit opinion expressed (AU-C 610.35).</w:t>
      </w:r>
    </w:p>
    <w:p w14:paraId="24D602E2" w14:textId="77777777" w:rsidR="00245300" w:rsidRPr="00EC20A0" w:rsidRDefault="00245300">
      <w:pPr>
        <w:sectPr w:rsidR="00245300" w:rsidRPr="00EC20A0">
          <w:pgSz w:w="12240" w:h="15840"/>
          <w:pgMar w:top="1340" w:right="940" w:bottom="940" w:left="1020" w:header="721" w:footer="757" w:gutter="0"/>
          <w:cols w:space="720"/>
        </w:sectPr>
      </w:pPr>
    </w:p>
    <w:p w14:paraId="24D602E3" w14:textId="77777777" w:rsidR="00245300" w:rsidRPr="00EC20A0" w:rsidRDefault="00F17249">
      <w:pPr>
        <w:pStyle w:val="Heading3"/>
        <w:spacing w:before="240"/>
        <w:ind w:left="420"/>
        <w:rPr>
          <w:u w:val="none"/>
        </w:rPr>
      </w:pPr>
      <w:bookmarkStart w:id="97" w:name="670_–_IG_Oversight_of_Audits_Performed_b"/>
      <w:bookmarkStart w:id="98" w:name="_bookmark27"/>
      <w:bookmarkEnd w:id="97"/>
      <w:bookmarkEnd w:id="98"/>
      <w:r w:rsidRPr="00EC20A0">
        <w:t>670</w:t>
      </w:r>
      <w:r w:rsidRPr="00EC20A0">
        <w:rPr>
          <w:spacing w:val="-6"/>
        </w:rPr>
        <w:t xml:space="preserve"> </w:t>
      </w:r>
      <w:r w:rsidRPr="00EC20A0">
        <w:t>–</w:t>
      </w:r>
      <w:r w:rsidRPr="00EC20A0">
        <w:rPr>
          <w:spacing w:val="-5"/>
        </w:rPr>
        <w:t xml:space="preserve"> </w:t>
      </w:r>
      <w:r w:rsidRPr="00EC20A0">
        <w:t>IG</w:t>
      </w:r>
      <w:r w:rsidRPr="00EC20A0">
        <w:rPr>
          <w:spacing w:val="-7"/>
        </w:rPr>
        <w:t xml:space="preserve"> </w:t>
      </w:r>
      <w:r w:rsidRPr="00EC20A0">
        <w:t>Oversight</w:t>
      </w:r>
      <w:r w:rsidRPr="00EC20A0">
        <w:rPr>
          <w:spacing w:val="-5"/>
        </w:rPr>
        <w:t xml:space="preserve"> </w:t>
      </w:r>
      <w:r w:rsidRPr="00EC20A0">
        <w:t>of</w:t>
      </w:r>
      <w:r w:rsidRPr="00EC20A0">
        <w:rPr>
          <w:spacing w:val="-17"/>
        </w:rPr>
        <w:t xml:space="preserve"> </w:t>
      </w:r>
      <w:r w:rsidRPr="00EC20A0">
        <w:t>Audits</w:t>
      </w:r>
      <w:r w:rsidRPr="00EC20A0">
        <w:rPr>
          <w:spacing w:val="-5"/>
        </w:rPr>
        <w:t xml:space="preserve"> </w:t>
      </w:r>
      <w:r w:rsidRPr="00EC20A0">
        <w:t>Performed</w:t>
      </w:r>
      <w:r w:rsidRPr="00EC20A0">
        <w:rPr>
          <w:spacing w:val="-6"/>
        </w:rPr>
        <w:t xml:space="preserve"> </w:t>
      </w:r>
      <w:r w:rsidRPr="00EC20A0">
        <w:t>by</w:t>
      </w:r>
      <w:r w:rsidRPr="00EC20A0">
        <w:rPr>
          <w:spacing w:val="-5"/>
        </w:rPr>
        <w:t xml:space="preserve"> </w:t>
      </w:r>
      <w:r w:rsidRPr="00EC20A0">
        <w:t>Contracted</w:t>
      </w:r>
      <w:r w:rsidRPr="00EC20A0">
        <w:rPr>
          <w:u w:val="none"/>
        </w:rPr>
        <w:t xml:space="preserve"> </w:t>
      </w:r>
      <w:r w:rsidRPr="00EC20A0">
        <w:t>Independent Public Accounting (IPA) Firms</w:t>
      </w:r>
    </w:p>
    <w:p w14:paraId="24D602E4" w14:textId="77777777" w:rsidR="00245300" w:rsidRPr="00EC20A0" w:rsidRDefault="00F17249">
      <w:pPr>
        <w:pStyle w:val="ListParagraph"/>
        <w:numPr>
          <w:ilvl w:val="0"/>
          <w:numId w:val="14"/>
        </w:numPr>
        <w:tabs>
          <w:tab w:val="left" w:pos="1858"/>
        </w:tabs>
        <w:spacing w:before="241"/>
        <w:ind w:right="505" w:hanging="719"/>
      </w:pPr>
      <w:r w:rsidRPr="00EC20A0">
        <w:t xml:space="preserve">IGs may be in situations where they contract with an IPA firm to perform financial statement audits, however, the IG still retains oversight responsibility of the IPA </w:t>
      </w:r>
      <w:r w:rsidRPr="00EC20A0">
        <w:t>firm.</w:t>
      </w:r>
      <w:r w:rsidRPr="00EC20A0">
        <w:rPr>
          <w:spacing w:val="-3"/>
        </w:rPr>
        <w:t xml:space="preserve"> </w:t>
      </w:r>
      <w:r w:rsidRPr="00EC20A0">
        <w:t>FAM</w:t>
      </w:r>
      <w:r w:rsidRPr="00EC20A0">
        <w:rPr>
          <w:spacing w:val="-4"/>
        </w:rPr>
        <w:t xml:space="preserve"> </w:t>
      </w:r>
      <w:r w:rsidRPr="00EC20A0">
        <w:t>670</w:t>
      </w:r>
      <w:r w:rsidRPr="00EC20A0">
        <w:rPr>
          <w:spacing w:val="-3"/>
        </w:rPr>
        <w:t xml:space="preserve"> </w:t>
      </w:r>
      <w:r w:rsidRPr="00EC20A0">
        <w:t>provides</w:t>
      </w:r>
      <w:r w:rsidRPr="00EC20A0">
        <w:rPr>
          <w:spacing w:val="-4"/>
        </w:rPr>
        <w:t xml:space="preserve"> </w:t>
      </w:r>
      <w:r w:rsidRPr="00EC20A0">
        <w:t>guidance</w:t>
      </w:r>
      <w:r w:rsidRPr="00EC20A0">
        <w:rPr>
          <w:spacing w:val="-3"/>
        </w:rPr>
        <w:t xml:space="preserve"> </w:t>
      </w:r>
      <w:r w:rsidRPr="00EC20A0">
        <w:t>to</w:t>
      </w:r>
      <w:r w:rsidRPr="00EC20A0">
        <w:rPr>
          <w:spacing w:val="-4"/>
        </w:rPr>
        <w:t xml:space="preserve"> </w:t>
      </w:r>
      <w:r w:rsidRPr="00EC20A0">
        <w:t>IGs</w:t>
      </w:r>
      <w:r w:rsidRPr="00EC20A0">
        <w:rPr>
          <w:spacing w:val="-3"/>
        </w:rPr>
        <w:t xml:space="preserve"> </w:t>
      </w:r>
      <w:r w:rsidRPr="00EC20A0">
        <w:t>in</w:t>
      </w:r>
      <w:r w:rsidRPr="00EC20A0">
        <w:rPr>
          <w:spacing w:val="-3"/>
        </w:rPr>
        <w:t xml:space="preserve"> </w:t>
      </w:r>
      <w:r w:rsidRPr="00EC20A0">
        <w:t>designing</w:t>
      </w:r>
      <w:r w:rsidRPr="00EC20A0">
        <w:rPr>
          <w:spacing w:val="-3"/>
        </w:rPr>
        <w:t xml:space="preserve"> </w:t>
      </w:r>
      <w:r w:rsidRPr="00EC20A0">
        <w:t>procedures</w:t>
      </w:r>
      <w:r w:rsidRPr="00EC20A0">
        <w:rPr>
          <w:spacing w:val="-3"/>
        </w:rPr>
        <w:t xml:space="preserve"> </w:t>
      </w:r>
      <w:r w:rsidRPr="00EC20A0">
        <w:t>for</w:t>
      </w:r>
      <w:r w:rsidRPr="00EC20A0">
        <w:rPr>
          <w:spacing w:val="-3"/>
        </w:rPr>
        <w:t xml:space="preserve"> </w:t>
      </w:r>
      <w:r w:rsidRPr="00EC20A0">
        <w:t>the</w:t>
      </w:r>
      <w:r w:rsidRPr="00EC20A0">
        <w:rPr>
          <w:spacing w:val="-4"/>
        </w:rPr>
        <w:t xml:space="preserve"> </w:t>
      </w:r>
      <w:r w:rsidRPr="00EC20A0">
        <w:t>oversight of IPA firms contracted to perform financial statement audits, to assure that the IPA</w:t>
      </w:r>
      <w:r w:rsidRPr="00EC20A0">
        <w:rPr>
          <w:spacing w:val="-4"/>
        </w:rPr>
        <w:t xml:space="preserve"> </w:t>
      </w:r>
      <w:r w:rsidRPr="00EC20A0">
        <w:t>firms</w:t>
      </w:r>
      <w:r w:rsidRPr="00EC20A0">
        <w:rPr>
          <w:spacing w:val="-4"/>
        </w:rPr>
        <w:t xml:space="preserve"> </w:t>
      </w:r>
      <w:r w:rsidRPr="00EC20A0">
        <w:t>comply</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standards</w:t>
      </w:r>
      <w:r w:rsidRPr="00EC20A0">
        <w:rPr>
          <w:spacing w:val="-3"/>
        </w:rPr>
        <w:t xml:space="preserve"> </w:t>
      </w:r>
      <w:r w:rsidRPr="00EC20A0">
        <w:t>established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Comptroller</w:t>
      </w:r>
      <w:r w:rsidRPr="00EC20A0">
        <w:rPr>
          <w:spacing w:val="-4"/>
        </w:rPr>
        <w:t xml:space="preserve"> </w:t>
      </w:r>
      <w:r w:rsidRPr="00EC20A0">
        <w:t>General of the United States (GAGAS). This guidance applies to financial statement audits required by law for federal executive agencies and government corporations.</w:t>
      </w:r>
      <w:hyperlink w:anchor="_bookmark28" w:history="1">
        <w:r w:rsidRPr="00EC20A0">
          <w:rPr>
            <w:position w:val="7"/>
            <w:sz w:val="14"/>
          </w:rPr>
          <w:t>19</w:t>
        </w:r>
      </w:hyperlink>
      <w:r w:rsidRPr="00EC20A0">
        <w:rPr>
          <w:spacing w:val="33"/>
          <w:position w:val="7"/>
          <w:sz w:val="14"/>
        </w:rPr>
        <w:t xml:space="preserve"> </w:t>
      </w:r>
      <w:r w:rsidRPr="00EC20A0">
        <w:t>The purpose of this guidance is to assist IGs in fulfilling the requirement that such financial statement audits are performed in accordance with GAGAS, and the requirement of the Inspector General Act of 1978, as amended, (IG Act) that the IG take appropriate steps to assure that any work performed for audits of federal establishments, organizations, programs, activities, and functions by nonfederal auditors complies with GAGAS.</w:t>
      </w:r>
    </w:p>
    <w:p w14:paraId="24D602E5" w14:textId="77777777" w:rsidR="00245300" w:rsidRPr="00EC20A0" w:rsidRDefault="00F17249">
      <w:pPr>
        <w:pStyle w:val="BodyText"/>
        <w:spacing w:before="239"/>
        <w:ind w:left="1858" w:right="531"/>
      </w:pPr>
      <w:r w:rsidRPr="00EC20A0">
        <w:t>Except in cases where the Comptroller General performs the audit of a federal entity financial statement,</w:t>
      </w:r>
      <w:hyperlink w:anchor="_bookmark29" w:history="1">
        <w:r w:rsidRPr="00EC20A0">
          <w:rPr>
            <w:position w:val="7"/>
            <w:sz w:val="14"/>
          </w:rPr>
          <w:t>20</w:t>
        </w:r>
      </w:hyperlink>
      <w:r w:rsidRPr="00EC20A0">
        <w:rPr>
          <w:spacing w:val="80"/>
          <w:position w:val="7"/>
          <w:sz w:val="14"/>
        </w:rPr>
        <w:t xml:space="preserve"> </w:t>
      </w:r>
      <w:r w:rsidRPr="00EC20A0">
        <w:t xml:space="preserve">for those entities with IGs, the IGs have the responsibility to audit their financial statements or to select and participate in the contracting of IPA firms to perform the audits. If an IG makes the </w:t>
      </w:r>
      <w:r w:rsidRPr="00EC20A0">
        <w:t>decision to contract with an IPA firm to perform the audit, the IG is responsible for oversight and</w:t>
      </w:r>
      <w:r w:rsidRPr="00EC20A0">
        <w:rPr>
          <w:spacing w:val="-3"/>
        </w:rPr>
        <w:t xml:space="preserve"> </w:t>
      </w:r>
      <w:r w:rsidRPr="00EC20A0">
        <w:t>monitoring</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IPA</w:t>
      </w:r>
      <w:r w:rsidRPr="00EC20A0">
        <w:rPr>
          <w:spacing w:val="-4"/>
        </w:rPr>
        <w:t xml:space="preserve"> </w:t>
      </w:r>
      <w:r w:rsidRPr="00EC20A0">
        <w:t>firm</w:t>
      </w:r>
      <w:r w:rsidRPr="00EC20A0">
        <w:rPr>
          <w:spacing w:val="-4"/>
        </w:rPr>
        <w:t xml:space="preserve"> </w:t>
      </w:r>
      <w:r w:rsidRPr="00EC20A0">
        <w:t>to</w:t>
      </w:r>
      <w:r w:rsidRPr="00EC20A0">
        <w:rPr>
          <w:spacing w:val="-3"/>
        </w:rPr>
        <w:t xml:space="preserve"> </w:t>
      </w:r>
      <w:r w:rsidRPr="00EC20A0">
        <w:t>assure</w:t>
      </w:r>
      <w:r w:rsidRPr="00EC20A0">
        <w:rPr>
          <w:spacing w:val="-3"/>
        </w:rPr>
        <w:t xml:space="preserve"> </w:t>
      </w:r>
      <w:r w:rsidRPr="00EC20A0">
        <w:t>compliance</w:t>
      </w:r>
      <w:r w:rsidRPr="00EC20A0">
        <w:rPr>
          <w:spacing w:val="-3"/>
        </w:rPr>
        <w:t xml:space="preserve"> </w:t>
      </w:r>
      <w:r w:rsidRPr="00EC20A0">
        <w:t>with</w:t>
      </w:r>
      <w:r w:rsidRPr="00EC20A0">
        <w:rPr>
          <w:spacing w:val="-3"/>
        </w:rPr>
        <w:t xml:space="preserve"> </w:t>
      </w:r>
      <w:r w:rsidRPr="00EC20A0">
        <w:t>GAGAS.</w:t>
      </w:r>
      <w:r w:rsidRPr="00EC20A0">
        <w:rPr>
          <w:spacing w:val="-3"/>
        </w:rPr>
        <w:t xml:space="preserve"> </w:t>
      </w:r>
      <w:r w:rsidRPr="00EC20A0">
        <w:t>In</w:t>
      </w:r>
      <w:r w:rsidRPr="00EC20A0">
        <w:rPr>
          <w:spacing w:val="-3"/>
        </w:rPr>
        <w:t xml:space="preserve"> </w:t>
      </w:r>
      <w:r w:rsidRPr="00EC20A0">
        <w:t>addition,</w:t>
      </w:r>
      <w:r w:rsidRPr="00EC20A0">
        <w:rPr>
          <w:spacing w:val="-3"/>
        </w:rPr>
        <w:t xml:space="preserve"> </w:t>
      </w:r>
      <w:r w:rsidRPr="00EC20A0">
        <w:t>the IG generally should communicate written results of its oversight and monitoring</w:t>
      </w:r>
      <w:r w:rsidRPr="00EC20A0">
        <w:rPr>
          <w:spacing w:val="40"/>
        </w:rPr>
        <w:t xml:space="preserve"> </w:t>
      </w:r>
      <w:r w:rsidRPr="00EC20A0">
        <w:t>of the IPA to entity management or those charged with governance.</w:t>
      </w:r>
    </w:p>
    <w:p w14:paraId="24D602E6" w14:textId="77777777" w:rsidR="00245300" w:rsidRPr="00EC20A0" w:rsidRDefault="00F17249">
      <w:pPr>
        <w:pStyle w:val="ListParagraph"/>
        <w:numPr>
          <w:ilvl w:val="0"/>
          <w:numId w:val="14"/>
        </w:numPr>
        <w:tabs>
          <w:tab w:val="left" w:pos="1860"/>
        </w:tabs>
        <w:ind w:left="1860" w:right="558"/>
      </w:pPr>
      <w:r w:rsidRPr="00EC20A0">
        <w:t>The</w:t>
      </w:r>
      <w:r w:rsidRPr="00EC20A0">
        <w:rPr>
          <w:spacing w:val="-2"/>
        </w:rPr>
        <w:t xml:space="preserve"> </w:t>
      </w:r>
      <w:r w:rsidRPr="00EC20A0">
        <w:t>guidance</w:t>
      </w:r>
      <w:r w:rsidRPr="00EC20A0">
        <w:rPr>
          <w:spacing w:val="-2"/>
        </w:rPr>
        <w:t xml:space="preserve"> </w:t>
      </w:r>
      <w:r w:rsidRPr="00EC20A0">
        <w:t>in</w:t>
      </w:r>
      <w:r w:rsidRPr="00EC20A0">
        <w:rPr>
          <w:spacing w:val="-2"/>
        </w:rPr>
        <w:t xml:space="preserve"> </w:t>
      </w:r>
      <w:r w:rsidRPr="00EC20A0">
        <w:t>this</w:t>
      </w:r>
      <w:r w:rsidRPr="00EC20A0">
        <w:rPr>
          <w:spacing w:val="-3"/>
        </w:rPr>
        <w:t xml:space="preserve"> </w:t>
      </w:r>
      <w:r w:rsidRPr="00EC20A0">
        <w:t>section</w:t>
      </w:r>
      <w:r w:rsidRPr="00EC20A0">
        <w:rPr>
          <w:spacing w:val="-2"/>
        </w:rPr>
        <w:t xml:space="preserve"> </w:t>
      </w:r>
      <w:r w:rsidRPr="00EC20A0">
        <w:t>is</w:t>
      </w:r>
      <w:r w:rsidRPr="00EC20A0">
        <w:rPr>
          <w:spacing w:val="-2"/>
        </w:rPr>
        <w:t xml:space="preserve"> </w:t>
      </w:r>
      <w:r w:rsidRPr="00EC20A0">
        <w:rPr>
          <w:u w:val="single"/>
        </w:rPr>
        <w:t>not</w:t>
      </w:r>
      <w:r w:rsidRPr="00EC20A0">
        <w:rPr>
          <w:spacing w:val="-2"/>
        </w:rPr>
        <w:t xml:space="preserve"> </w:t>
      </w:r>
      <w:r w:rsidRPr="00EC20A0">
        <w:t>to</w:t>
      </w:r>
      <w:r w:rsidRPr="00EC20A0">
        <w:rPr>
          <w:spacing w:val="-3"/>
        </w:rPr>
        <w:t xml:space="preserve"> </w:t>
      </w:r>
      <w:r w:rsidRPr="00EC20A0">
        <w:t>be</w:t>
      </w:r>
      <w:r w:rsidRPr="00EC20A0">
        <w:rPr>
          <w:spacing w:val="-2"/>
        </w:rPr>
        <w:t xml:space="preserve"> </w:t>
      </w:r>
      <w:r w:rsidRPr="00EC20A0">
        <w:t>used</w:t>
      </w:r>
      <w:r w:rsidRPr="00EC20A0">
        <w:rPr>
          <w:spacing w:val="-2"/>
        </w:rPr>
        <w:t xml:space="preserve"> </w:t>
      </w:r>
      <w:r w:rsidRPr="00EC20A0">
        <w:t>by</w:t>
      </w:r>
      <w:r w:rsidRPr="00EC20A0">
        <w:rPr>
          <w:spacing w:val="-3"/>
        </w:rPr>
        <w:t xml:space="preserve"> </w:t>
      </w:r>
      <w:r w:rsidRPr="00EC20A0">
        <w:t>a</w:t>
      </w:r>
      <w:r w:rsidRPr="00EC20A0">
        <w:rPr>
          <w:spacing w:val="-2"/>
        </w:rPr>
        <w:t xml:space="preserve"> </w:t>
      </w:r>
      <w:r w:rsidRPr="00EC20A0">
        <w:t>group</w:t>
      </w:r>
      <w:r w:rsidRPr="00EC20A0">
        <w:rPr>
          <w:spacing w:val="-2"/>
        </w:rPr>
        <w:t xml:space="preserve"> </w:t>
      </w:r>
      <w:r w:rsidRPr="00EC20A0">
        <w:t>engagement</w:t>
      </w:r>
      <w:r w:rsidRPr="00EC20A0">
        <w:rPr>
          <w:spacing w:val="-2"/>
        </w:rPr>
        <w:t xml:space="preserve"> </w:t>
      </w:r>
      <w:r w:rsidRPr="00EC20A0">
        <w:t>team</w:t>
      </w:r>
      <w:r w:rsidRPr="00EC20A0">
        <w:rPr>
          <w:spacing w:val="-3"/>
        </w:rPr>
        <w:t xml:space="preserve"> </w:t>
      </w:r>
      <w:r w:rsidRPr="00EC20A0">
        <w:t>in</w:t>
      </w:r>
      <w:r w:rsidRPr="00EC20A0">
        <w:rPr>
          <w:spacing w:val="-2"/>
        </w:rPr>
        <w:t xml:space="preserve"> </w:t>
      </w:r>
      <w:r w:rsidRPr="00EC20A0">
        <w:t>its assessment of the work of a component auditor or specialist (FAM 630), management’s</w:t>
      </w:r>
      <w:r w:rsidRPr="00EC20A0">
        <w:rPr>
          <w:spacing w:val="-4"/>
        </w:rPr>
        <w:t xml:space="preserve"> </w:t>
      </w:r>
      <w:r w:rsidRPr="00EC20A0">
        <w:t>specialists</w:t>
      </w:r>
      <w:r w:rsidRPr="00EC20A0">
        <w:rPr>
          <w:spacing w:val="-4"/>
        </w:rPr>
        <w:t xml:space="preserve"> </w:t>
      </w:r>
      <w:r w:rsidRPr="00EC20A0">
        <w:t>(FAM</w:t>
      </w:r>
      <w:r w:rsidRPr="00EC20A0">
        <w:rPr>
          <w:spacing w:val="-5"/>
        </w:rPr>
        <w:t xml:space="preserve"> </w:t>
      </w:r>
      <w:r w:rsidRPr="00EC20A0">
        <w:t>625),</w:t>
      </w:r>
      <w:r w:rsidRPr="00EC20A0">
        <w:rPr>
          <w:spacing w:val="-4"/>
        </w:rPr>
        <w:t xml:space="preserve"> </w:t>
      </w:r>
      <w:r w:rsidRPr="00EC20A0">
        <w:t>a</w:t>
      </w:r>
      <w:r w:rsidRPr="00EC20A0">
        <w:rPr>
          <w:spacing w:val="-4"/>
        </w:rPr>
        <w:t xml:space="preserve"> </w:t>
      </w:r>
      <w:r w:rsidRPr="00EC20A0">
        <w:t>service</w:t>
      </w:r>
      <w:r w:rsidRPr="00EC20A0">
        <w:rPr>
          <w:spacing w:val="-4"/>
        </w:rPr>
        <w:t xml:space="preserve"> </w:t>
      </w:r>
      <w:r w:rsidRPr="00EC20A0">
        <w:t>auditor</w:t>
      </w:r>
      <w:r w:rsidRPr="00EC20A0">
        <w:rPr>
          <w:spacing w:val="-4"/>
        </w:rPr>
        <w:t xml:space="preserve"> </w:t>
      </w:r>
      <w:r w:rsidRPr="00EC20A0">
        <w:t>(FAM</w:t>
      </w:r>
      <w:r w:rsidRPr="00EC20A0">
        <w:rPr>
          <w:spacing w:val="-5"/>
        </w:rPr>
        <w:t xml:space="preserve"> </w:t>
      </w:r>
      <w:r w:rsidRPr="00EC20A0">
        <w:t>640),</w:t>
      </w:r>
      <w:r w:rsidRPr="00EC20A0">
        <w:rPr>
          <w:spacing w:val="-4"/>
        </w:rPr>
        <w:t xml:space="preserve"> </w:t>
      </w:r>
      <w:r w:rsidRPr="00EC20A0">
        <w:t>or</w:t>
      </w:r>
      <w:r w:rsidRPr="00EC20A0">
        <w:rPr>
          <w:spacing w:val="-4"/>
        </w:rPr>
        <w:t xml:space="preserve"> </w:t>
      </w:r>
      <w:r w:rsidRPr="00EC20A0">
        <w:t>an</w:t>
      </w:r>
      <w:r w:rsidRPr="00EC20A0">
        <w:rPr>
          <w:spacing w:val="-4"/>
        </w:rPr>
        <w:t xml:space="preserve"> </w:t>
      </w:r>
      <w:r w:rsidRPr="00EC20A0">
        <w:t>internal auditor (FAM 645).</w:t>
      </w:r>
    </w:p>
    <w:p w14:paraId="24D602E7" w14:textId="77777777" w:rsidR="00245300" w:rsidRPr="00EC20A0" w:rsidRDefault="00F17249">
      <w:pPr>
        <w:pStyle w:val="ListParagraph"/>
        <w:numPr>
          <w:ilvl w:val="0"/>
          <w:numId w:val="14"/>
        </w:numPr>
        <w:tabs>
          <w:tab w:val="left" w:pos="1858"/>
          <w:tab w:val="left" w:pos="1860"/>
        </w:tabs>
        <w:ind w:left="1860" w:right="666" w:hanging="721"/>
        <w:jc w:val="both"/>
      </w:pPr>
      <w:r w:rsidRPr="00EC20A0">
        <w:t>For purposes of the remainder of this section, the use of the</w:t>
      </w:r>
      <w:r w:rsidRPr="00EC20A0">
        <w:rPr>
          <w:spacing w:val="-1"/>
        </w:rPr>
        <w:t xml:space="preserve"> </w:t>
      </w:r>
      <w:r w:rsidRPr="00EC20A0">
        <w:t>terms auditor or IG refers</w:t>
      </w:r>
      <w:r w:rsidRPr="00EC20A0">
        <w:rPr>
          <w:spacing w:val="-3"/>
        </w:rPr>
        <w:t xml:space="preserve"> </w:t>
      </w:r>
      <w:r w:rsidRPr="00EC20A0">
        <w:t>to</w:t>
      </w:r>
      <w:r w:rsidRPr="00EC20A0">
        <w:rPr>
          <w:spacing w:val="-3"/>
        </w:rPr>
        <w:t xml:space="preserve"> </w:t>
      </w:r>
      <w:r w:rsidRPr="00EC20A0">
        <w:t>the</w:t>
      </w:r>
      <w:r w:rsidRPr="00EC20A0">
        <w:rPr>
          <w:spacing w:val="-4"/>
        </w:rPr>
        <w:t xml:space="preserve"> </w:t>
      </w:r>
      <w:r w:rsidRPr="00EC20A0">
        <w:t>individual</w:t>
      </w:r>
      <w:r w:rsidRPr="00EC20A0">
        <w:rPr>
          <w:spacing w:val="-3"/>
        </w:rPr>
        <w:t xml:space="preserve"> </w:t>
      </w:r>
      <w:r w:rsidRPr="00EC20A0">
        <w:t>or</w:t>
      </w:r>
      <w:r w:rsidRPr="00EC20A0">
        <w:rPr>
          <w:spacing w:val="-3"/>
        </w:rPr>
        <w:t xml:space="preserve"> </w:t>
      </w:r>
      <w:r w:rsidRPr="00EC20A0">
        <w:t>entity</w:t>
      </w:r>
      <w:r w:rsidRPr="00EC20A0">
        <w:rPr>
          <w:spacing w:val="-3"/>
        </w:rPr>
        <w:t xml:space="preserve"> </w:t>
      </w:r>
      <w:r w:rsidRPr="00EC20A0">
        <w:t>overseeing</w:t>
      </w:r>
      <w:r w:rsidRPr="00EC20A0">
        <w:rPr>
          <w:spacing w:val="-3"/>
        </w:rPr>
        <w:t xml:space="preserve"> </w:t>
      </w:r>
      <w:r w:rsidRPr="00EC20A0">
        <w:t>of</w:t>
      </w:r>
      <w:r w:rsidRPr="00EC20A0">
        <w:rPr>
          <w:spacing w:val="-3"/>
        </w:rPr>
        <w:t xml:space="preserve"> </w:t>
      </w:r>
      <w:r w:rsidRPr="00EC20A0">
        <w:t>an</w:t>
      </w:r>
      <w:r w:rsidRPr="00EC20A0">
        <w:rPr>
          <w:spacing w:val="-4"/>
        </w:rPr>
        <w:t xml:space="preserve"> </w:t>
      </w:r>
      <w:r w:rsidRPr="00EC20A0">
        <w:t>IPA</w:t>
      </w:r>
      <w:r w:rsidRPr="00EC20A0">
        <w:rPr>
          <w:spacing w:val="-3"/>
        </w:rPr>
        <w:t xml:space="preserve"> </w:t>
      </w:r>
      <w:r w:rsidRPr="00EC20A0">
        <w:t>firm’s</w:t>
      </w:r>
      <w:r w:rsidRPr="00EC20A0">
        <w:rPr>
          <w:spacing w:val="-3"/>
        </w:rPr>
        <w:t xml:space="preserve"> </w:t>
      </w:r>
      <w:r w:rsidRPr="00EC20A0">
        <w:t>work</w:t>
      </w:r>
      <w:r w:rsidRPr="00EC20A0">
        <w:rPr>
          <w:spacing w:val="-3"/>
        </w:rPr>
        <w:t xml:space="preserve"> </w:t>
      </w:r>
      <w:r w:rsidRPr="00EC20A0">
        <w:t>as</w:t>
      </w:r>
      <w:r w:rsidRPr="00EC20A0">
        <w:rPr>
          <w:spacing w:val="-3"/>
        </w:rPr>
        <w:t xml:space="preserve"> </w:t>
      </w:r>
      <w:r w:rsidRPr="00EC20A0">
        <w:t>described</w:t>
      </w:r>
      <w:r w:rsidRPr="00EC20A0">
        <w:rPr>
          <w:spacing w:val="-3"/>
        </w:rPr>
        <w:t xml:space="preserve"> </w:t>
      </w:r>
      <w:r w:rsidRPr="00EC20A0">
        <w:t xml:space="preserve">in FAM 670.01 and not to a </w:t>
      </w:r>
      <w:r w:rsidRPr="00EC20A0">
        <w:t>group or component auditor.</w:t>
      </w:r>
    </w:p>
    <w:p w14:paraId="24D602E8" w14:textId="77777777" w:rsidR="00245300" w:rsidRPr="00EC20A0" w:rsidRDefault="00F17249">
      <w:pPr>
        <w:pStyle w:val="ListParagraph"/>
        <w:numPr>
          <w:ilvl w:val="0"/>
          <w:numId w:val="14"/>
        </w:numPr>
        <w:tabs>
          <w:tab w:val="left" w:pos="1858"/>
          <w:tab w:val="left" w:pos="1860"/>
        </w:tabs>
        <w:spacing w:before="241"/>
        <w:ind w:left="1860" w:right="588" w:hanging="721"/>
        <w:jc w:val="both"/>
      </w:pPr>
      <w:r w:rsidRPr="00EC20A0">
        <w:t>Auditors</w:t>
      </w:r>
      <w:r w:rsidRPr="00EC20A0">
        <w:rPr>
          <w:spacing w:val="-4"/>
        </w:rPr>
        <w:t xml:space="preserve"> </w:t>
      </w:r>
      <w:r w:rsidRPr="00EC20A0">
        <w:t>should</w:t>
      </w:r>
      <w:r w:rsidRPr="00EC20A0">
        <w:rPr>
          <w:spacing w:val="-4"/>
        </w:rPr>
        <w:t xml:space="preserve"> </w:t>
      </w:r>
      <w:r w:rsidRPr="00EC20A0">
        <w:t>develop</w:t>
      </w:r>
      <w:r w:rsidRPr="00EC20A0">
        <w:rPr>
          <w:spacing w:val="-5"/>
        </w:rPr>
        <w:t xml:space="preserve"> </w:t>
      </w:r>
      <w:r w:rsidRPr="00EC20A0">
        <w:t>comprehensive</w:t>
      </w:r>
      <w:r w:rsidRPr="00EC20A0">
        <w:rPr>
          <w:spacing w:val="-4"/>
        </w:rPr>
        <w:t xml:space="preserve"> </w:t>
      </w:r>
      <w:r w:rsidRPr="00EC20A0">
        <w:t>policies</w:t>
      </w:r>
      <w:r w:rsidRPr="00EC20A0">
        <w:rPr>
          <w:spacing w:val="-5"/>
        </w:rPr>
        <w:t xml:space="preserve"> </w:t>
      </w:r>
      <w:r w:rsidRPr="00EC20A0">
        <w:t>and</w:t>
      </w:r>
      <w:r w:rsidRPr="00EC20A0">
        <w:rPr>
          <w:spacing w:val="-4"/>
        </w:rPr>
        <w:t xml:space="preserve"> </w:t>
      </w:r>
      <w:r w:rsidRPr="00EC20A0">
        <w:t>procedures</w:t>
      </w:r>
      <w:r w:rsidRPr="00EC20A0">
        <w:rPr>
          <w:spacing w:val="-4"/>
        </w:rPr>
        <w:t xml:space="preserve"> </w:t>
      </w:r>
      <w:r w:rsidRPr="00EC20A0">
        <w:t>when</w:t>
      </w:r>
      <w:r w:rsidRPr="00EC20A0">
        <w:rPr>
          <w:spacing w:val="-4"/>
        </w:rPr>
        <w:t xml:space="preserve"> </w:t>
      </w:r>
      <w:r w:rsidRPr="00EC20A0">
        <w:t>providing oversight of the work of an IPA firm in the following areas, as applicable:</w:t>
      </w:r>
    </w:p>
    <w:p w14:paraId="24D602E9" w14:textId="77777777" w:rsidR="00245300" w:rsidRPr="00EC20A0" w:rsidRDefault="00F17249">
      <w:pPr>
        <w:pStyle w:val="ListParagraph"/>
        <w:numPr>
          <w:ilvl w:val="1"/>
          <w:numId w:val="14"/>
        </w:numPr>
        <w:tabs>
          <w:tab w:val="left" w:pos="2219"/>
        </w:tabs>
        <w:ind w:right="1099"/>
      </w:pPr>
      <w:r w:rsidRPr="00EC20A0">
        <w:t>fulfilling</w:t>
      </w:r>
      <w:r w:rsidRPr="00EC20A0">
        <w:rPr>
          <w:spacing w:val="-5"/>
        </w:rPr>
        <w:t xml:space="preserve"> </w:t>
      </w:r>
      <w:r w:rsidRPr="00EC20A0">
        <w:t>entity</w:t>
      </w:r>
      <w:r w:rsidRPr="00EC20A0">
        <w:rPr>
          <w:spacing w:val="-5"/>
        </w:rPr>
        <w:t xml:space="preserve"> </w:t>
      </w:r>
      <w:r w:rsidRPr="00EC20A0">
        <w:t>contracting</w:t>
      </w:r>
      <w:r w:rsidRPr="00EC20A0">
        <w:rPr>
          <w:spacing w:val="-5"/>
        </w:rPr>
        <w:t xml:space="preserve"> </w:t>
      </w:r>
      <w:r w:rsidRPr="00EC20A0">
        <w:t>requirements</w:t>
      </w:r>
      <w:r w:rsidRPr="00EC20A0">
        <w:rPr>
          <w:spacing w:val="-5"/>
        </w:rPr>
        <w:t xml:space="preserve"> </w:t>
      </w:r>
      <w:r w:rsidRPr="00EC20A0">
        <w:t>for</w:t>
      </w:r>
      <w:r w:rsidRPr="00EC20A0">
        <w:rPr>
          <w:spacing w:val="-5"/>
        </w:rPr>
        <w:t xml:space="preserve"> </w:t>
      </w:r>
      <w:r w:rsidRPr="00EC20A0">
        <w:t>obtaining</w:t>
      </w:r>
      <w:r w:rsidRPr="00EC20A0">
        <w:rPr>
          <w:spacing w:val="-5"/>
        </w:rPr>
        <w:t xml:space="preserve"> </w:t>
      </w:r>
      <w:r w:rsidRPr="00EC20A0">
        <w:t>and</w:t>
      </w:r>
      <w:r w:rsidRPr="00EC20A0">
        <w:rPr>
          <w:spacing w:val="-5"/>
        </w:rPr>
        <w:t xml:space="preserve"> </w:t>
      </w:r>
      <w:r w:rsidRPr="00EC20A0">
        <w:t>monitoring</w:t>
      </w:r>
      <w:r w:rsidRPr="00EC20A0">
        <w:rPr>
          <w:spacing w:val="-5"/>
        </w:rPr>
        <w:t xml:space="preserve"> </w:t>
      </w:r>
      <w:r w:rsidRPr="00EC20A0">
        <w:t>the services of a contracted IPA firm;</w:t>
      </w:r>
    </w:p>
    <w:p w14:paraId="24D602EA" w14:textId="77777777" w:rsidR="00245300" w:rsidRPr="00EC20A0" w:rsidRDefault="00F17249">
      <w:pPr>
        <w:pStyle w:val="ListParagraph"/>
        <w:numPr>
          <w:ilvl w:val="1"/>
          <w:numId w:val="14"/>
        </w:numPr>
        <w:tabs>
          <w:tab w:val="left" w:pos="2219"/>
        </w:tabs>
        <w:spacing w:before="238"/>
        <w:ind w:right="928"/>
      </w:pPr>
      <w:r w:rsidRPr="00EC20A0">
        <w:t>complying</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requirements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IG</w:t>
      </w:r>
      <w:r w:rsidRPr="00EC20A0">
        <w:rPr>
          <w:spacing w:val="-5"/>
        </w:rPr>
        <w:t xml:space="preserve"> </w:t>
      </w:r>
      <w:r w:rsidRPr="00EC20A0">
        <w:t>Act,</w:t>
      </w:r>
      <w:r w:rsidRPr="00EC20A0">
        <w:rPr>
          <w:spacing w:val="-4"/>
        </w:rPr>
        <w:t xml:space="preserve"> </w:t>
      </w:r>
      <w:r w:rsidRPr="00EC20A0">
        <w:t>federal</w:t>
      </w:r>
      <w:r w:rsidRPr="00EC20A0">
        <w:rPr>
          <w:spacing w:val="-4"/>
        </w:rPr>
        <w:t xml:space="preserve"> </w:t>
      </w:r>
      <w:r w:rsidRPr="00EC20A0">
        <w:t>financial</w:t>
      </w:r>
      <w:r w:rsidRPr="00EC20A0">
        <w:rPr>
          <w:spacing w:val="-4"/>
        </w:rPr>
        <w:t xml:space="preserve"> </w:t>
      </w:r>
      <w:r w:rsidRPr="00EC20A0">
        <w:t>statement audit requirements, and related guidance from OMB and Treasury;</w:t>
      </w:r>
    </w:p>
    <w:p w14:paraId="24D602EB" w14:textId="77777777" w:rsidR="00245300" w:rsidRPr="00EC20A0" w:rsidRDefault="00F17249">
      <w:pPr>
        <w:pStyle w:val="BodyText"/>
        <w:spacing w:before="166"/>
        <w:rPr>
          <w:sz w:val="20"/>
        </w:rPr>
      </w:pPr>
      <w:r w:rsidRPr="00EC20A0">
        <w:rPr>
          <w:noProof/>
        </w:rPr>
        <mc:AlternateContent>
          <mc:Choice Requires="wps">
            <w:drawing>
              <wp:anchor distT="0" distB="0" distL="0" distR="0" simplePos="0" relativeHeight="487600640" behindDoc="1" locked="0" layoutInCell="1" allowOverlap="1" wp14:anchorId="24D62AE7" wp14:editId="24D62AE8">
                <wp:simplePos x="0" y="0"/>
                <wp:positionH relativeFrom="page">
                  <wp:posOffset>914400</wp:posOffset>
                </wp:positionH>
                <wp:positionV relativeFrom="paragraph">
                  <wp:posOffset>266907</wp:posOffset>
                </wp:positionV>
                <wp:extent cx="1828800" cy="5715"/>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A5584" id="Graphic 142" o:spid="_x0000_s1026" style="position:absolute;margin-left:1in;margin-top:21pt;width:2in;height:.4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" path="m1828800,l,,,5321r1828800,l1828800,xe" fillcolor="black" stroked="f">
                <v:path arrowok="t"/>
                <w10:wrap type="topAndBottom" anchorx="page"/>
              </v:shape>
            </w:pict>
          </mc:Fallback>
        </mc:AlternateContent>
      </w:r>
    </w:p>
    <w:p w14:paraId="24D602EC" w14:textId="77777777" w:rsidR="00245300" w:rsidRPr="00EC20A0" w:rsidRDefault="00F17249">
      <w:pPr>
        <w:spacing w:before="200" w:line="249" w:lineRule="auto"/>
        <w:ind w:left="419"/>
        <w:rPr>
          <w:sz w:val="18"/>
        </w:rPr>
      </w:pPr>
      <w:bookmarkStart w:id="99" w:name="_bookmark28"/>
      <w:bookmarkEnd w:id="99"/>
      <w:r w:rsidRPr="00EC20A0">
        <w:rPr>
          <w:position w:val="7"/>
          <w:sz w:val="14"/>
        </w:rPr>
        <w:t>19</w:t>
      </w:r>
      <w:r w:rsidRPr="00EC20A0">
        <w:rPr>
          <w:sz w:val="18"/>
        </w:rPr>
        <w:t>31</w:t>
      </w:r>
      <w:r w:rsidRPr="00EC20A0">
        <w:rPr>
          <w:spacing w:val="-3"/>
          <w:sz w:val="18"/>
        </w:rPr>
        <w:t xml:space="preserve"> </w:t>
      </w:r>
      <w:r w:rsidRPr="00EC20A0">
        <w:rPr>
          <w:sz w:val="18"/>
        </w:rPr>
        <w:t>U.S.C.</w:t>
      </w:r>
      <w:r w:rsidRPr="00EC20A0">
        <w:rPr>
          <w:spacing w:val="-3"/>
          <w:sz w:val="18"/>
        </w:rPr>
        <w:t xml:space="preserve"> </w:t>
      </w:r>
      <w:r w:rsidRPr="00EC20A0">
        <w:rPr>
          <w:sz w:val="18"/>
        </w:rPr>
        <w:t>§§</w:t>
      </w:r>
      <w:r w:rsidRPr="00EC20A0">
        <w:rPr>
          <w:spacing w:val="-3"/>
          <w:sz w:val="18"/>
        </w:rPr>
        <w:t xml:space="preserve"> </w:t>
      </w:r>
      <w:r w:rsidRPr="00EC20A0">
        <w:rPr>
          <w:sz w:val="18"/>
        </w:rPr>
        <w:t>3521,</w:t>
      </w:r>
      <w:r w:rsidRPr="00EC20A0">
        <w:rPr>
          <w:spacing w:val="-3"/>
          <w:sz w:val="18"/>
        </w:rPr>
        <w:t xml:space="preserve"> </w:t>
      </w:r>
      <w:r w:rsidRPr="00EC20A0">
        <w:rPr>
          <w:sz w:val="18"/>
        </w:rPr>
        <w:t>9105.</w:t>
      </w:r>
      <w:r w:rsidRPr="00EC20A0">
        <w:rPr>
          <w:spacing w:val="-3"/>
          <w:sz w:val="18"/>
        </w:rPr>
        <w:t xml:space="preserve"> </w:t>
      </w:r>
      <w:r w:rsidRPr="00EC20A0">
        <w:rPr>
          <w:sz w:val="18"/>
        </w:rPr>
        <w:t>The</w:t>
      </w:r>
      <w:r w:rsidRPr="00EC20A0">
        <w:rPr>
          <w:spacing w:val="-2"/>
          <w:sz w:val="18"/>
        </w:rPr>
        <w:t xml:space="preserve"> </w:t>
      </w:r>
      <w:r w:rsidRPr="00EC20A0">
        <w:rPr>
          <w:sz w:val="18"/>
        </w:rPr>
        <w:t>Chief</w:t>
      </w:r>
      <w:r w:rsidRPr="00EC20A0">
        <w:rPr>
          <w:spacing w:val="-3"/>
          <w:sz w:val="18"/>
        </w:rPr>
        <w:t xml:space="preserve"> </w:t>
      </w:r>
      <w:r w:rsidRPr="00EC20A0">
        <w:rPr>
          <w:sz w:val="18"/>
        </w:rPr>
        <w:t>Financial</w:t>
      </w:r>
      <w:r w:rsidRPr="00EC20A0">
        <w:rPr>
          <w:spacing w:val="-3"/>
          <w:sz w:val="18"/>
        </w:rPr>
        <w:t xml:space="preserve"> </w:t>
      </w:r>
      <w:r w:rsidRPr="00EC20A0">
        <w:rPr>
          <w:sz w:val="18"/>
        </w:rPr>
        <w:t>Officers</w:t>
      </w:r>
      <w:r w:rsidRPr="00EC20A0">
        <w:rPr>
          <w:spacing w:val="-3"/>
          <w:sz w:val="18"/>
        </w:rPr>
        <w:t xml:space="preserve"> </w:t>
      </w:r>
      <w:r w:rsidRPr="00EC20A0">
        <w:rPr>
          <w:sz w:val="18"/>
        </w:rPr>
        <w:t>Act</w:t>
      </w:r>
      <w:r w:rsidRPr="00EC20A0">
        <w:rPr>
          <w:spacing w:val="-3"/>
          <w:sz w:val="18"/>
        </w:rPr>
        <w:t xml:space="preserve"> </w:t>
      </w:r>
      <w:r w:rsidRPr="00EC20A0">
        <w:rPr>
          <w:sz w:val="18"/>
        </w:rPr>
        <w:t>of</w:t>
      </w:r>
      <w:r w:rsidRPr="00EC20A0">
        <w:rPr>
          <w:spacing w:val="-3"/>
          <w:sz w:val="18"/>
        </w:rPr>
        <w:t xml:space="preserve"> </w:t>
      </w:r>
      <w:r w:rsidRPr="00EC20A0">
        <w:rPr>
          <w:sz w:val="18"/>
        </w:rPr>
        <w:t>1990</w:t>
      </w:r>
      <w:r w:rsidRPr="00EC20A0">
        <w:rPr>
          <w:spacing w:val="-3"/>
          <w:sz w:val="18"/>
        </w:rPr>
        <w:t xml:space="preserve"> </w:t>
      </w:r>
      <w:r w:rsidRPr="00EC20A0">
        <w:rPr>
          <w:sz w:val="18"/>
        </w:rPr>
        <w:t>(CFO</w:t>
      </w:r>
      <w:r w:rsidRPr="00EC20A0">
        <w:rPr>
          <w:spacing w:val="-3"/>
          <w:sz w:val="18"/>
        </w:rPr>
        <w:t xml:space="preserve"> </w:t>
      </w:r>
      <w:r w:rsidRPr="00EC20A0">
        <w:rPr>
          <w:sz w:val="18"/>
        </w:rPr>
        <w:t>Act),</w:t>
      </w:r>
      <w:r w:rsidRPr="00EC20A0">
        <w:rPr>
          <w:spacing w:val="-3"/>
          <w:sz w:val="18"/>
        </w:rPr>
        <w:t xml:space="preserve"> </w:t>
      </w:r>
      <w:r w:rsidRPr="00EC20A0">
        <w:rPr>
          <w:sz w:val="18"/>
        </w:rPr>
        <w:t>as</w:t>
      </w:r>
      <w:r w:rsidRPr="00EC20A0">
        <w:rPr>
          <w:spacing w:val="-3"/>
          <w:sz w:val="18"/>
        </w:rPr>
        <w:t xml:space="preserve"> </w:t>
      </w:r>
      <w:r w:rsidRPr="00EC20A0">
        <w:rPr>
          <w:sz w:val="18"/>
        </w:rPr>
        <w:t>expanded</w:t>
      </w:r>
      <w:r w:rsidRPr="00EC20A0">
        <w:rPr>
          <w:spacing w:val="-3"/>
          <w:sz w:val="18"/>
        </w:rPr>
        <w:t xml:space="preserve"> </w:t>
      </w:r>
      <w:r w:rsidRPr="00EC20A0">
        <w:rPr>
          <w:sz w:val="18"/>
        </w:rPr>
        <w:t>by</w:t>
      </w:r>
      <w:r w:rsidRPr="00EC20A0">
        <w:rPr>
          <w:spacing w:val="-3"/>
          <w:sz w:val="18"/>
        </w:rPr>
        <w:t xml:space="preserve"> </w:t>
      </w:r>
      <w:r w:rsidRPr="00EC20A0">
        <w:rPr>
          <w:sz w:val="18"/>
        </w:rPr>
        <w:t>the</w:t>
      </w:r>
      <w:r w:rsidRPr="00EC20A0">
        <w:rPr>
          <w:spacing w:val="-3"/>
          <w:sz w:val="18"/>
        </w:rPr>
        <w:t xml:space="preserve"> </w:t>
      </w:r>
      <w:r w:rsidRPr="00EC20A0">
        <w:rPr>
          <w:sz w:val="18"/>
        </w:rPr>
        <w:t>Government Management Reform Act of 1994 and the Accountability for Tax Dollars Act of 2002.</w:t>
      </w:r>
    </w:p>
    <w:p w14:paraId="24D602ED" w14:textId="77777777" w:rsidR="00245300" w:rsidRPr="00EC20A0" w:rsidRDefault="00F17249">
      <w:pPr>
        <w:spacing w:before="118" w:line="249" w:lineRule="auto"/>
        <w:ind w:left="419" w:right="562"/>
        <w:rPr>
          <w:sz w:val="18"/>
        </w:rPr>
      </w:pPr>
      <w:bookmarkStart w:id="100" w:name="_bookmark29"/>
      <w:bookmarkEnd w:id="100"/>
      <w:r w:rsidRPr="00EC20A0">
        <w:rPr>
          <w:position w:val="7"/>
          <w:sz w:val="14"/>
        </w:rPr>
        <w:t>20</w:t>
      </w:r>
      <w:r w:rsidRPr="00EC20A0">
        <w:rPr>
          <w:sz w:val="18"/>
        </w:rPr>
        <w:t>The</w:t>
      </w:r>
      <w:r w:rsidRPr="00EC20A0">
        <w:rPr>
          <w:spacing w:val="-3"/>
          <w:sz w:val="18"/>
        </w:rPr>
        <w:t xml:space="preserve"> </w:t>
      </w:r>
      <w:r w:rsidRPr="00EC20A0">
        <w:rPr>
          <w:sz w:val="18"/>
        </w:rPr>
        <w:t>Comptroller</w:t>
      </w:r>
      <w:r w:rsidRPr="00EC20A0">
        <w:rPr>
          <w:spacing w:val="-3"/>
          <w:sz w:val="18"/>
        </w:rPr>
        <w:t xml:space="preserve"> </w:t>
      </w:r>
      <w:r w:rsidRPr="00EC20A0">
        <w:rPr>
          <w:sz w:val="18"/>
        </w:rPr>
        <w:t>General</w:t>
      </w:r>
      <w:r w:rsidRPr="00EC20A0">
        <w:rPr>
          <w:spacing w:val="-3"/>
          <w:sz w:val="18"/>
        </w:rPr>
        <w:t xml:space="preserve"> </w:t>
      </w:r>
      <w:r w:rsidRPr="00EC20A0">
        <w:rPr>
          <w:sz w:val="18"/>
        </w:rPr>
        <w:t>may</w:t>
      </w:r>
      <w:r w:rsidRPr="00EC20A0">
        <w:rPr>
          <w:spacing w:val="-3"/>
          <w:sz w:val="18"/>
        </w:rPr>
        <w:t xml:space="preserve"> </w:t>
      </w:r>
      <w:r w:rsidRPr="00EC20A0">
        <w:rPr>
          <w:sz w:val="18"/>
        </w:rPr>
        <w:t>perform</w:t>
      </w:r>
      <w:r w:rsidRPr="00EC20A0">
        <w:rPr>
          <w:spacing w:val="-3"/>
          <w:sz w:val="18"/>
        </w:rPr>
        <w:t xml:space="preserve"> </w:t>
      </w:r>
      <w:r w:rsidRPr="00EC20A0">
        <w:rPr>
          <w:sz w:val="18"/>
        </w:rPr>
        <w:t>an</w:t>
      </w:r>
      <w:r w:rsidRPr="00EC20A0">
        <w:rPr>
          <w:spacing w:val="-4"/>
          <w:sz w:val="18"/>
        </w:rPr>
        <w:t xml:space="preserve"> </w:t>
      </w:r>
      <w:r w:rsidRPr="00EC20A0">
        <w:rPr>
          <w:sz w:val="18"/>
        </w:rPr>
        <w:t>executive</w:t>
      </w:r>
      <w:r w:rsidRPr="00EC20A0">
        <w:rPr>
          <w:spacing w:val="-4"/>
          <w:sz w:val="18"/>
        </w:rPr>
        <w:t xml:space="preserve"> </w:t>
      </w:r>
      <w:r w:rsidRPr="00EC20A0">
        <w:rPr>
          <w:sz w:val="18"/>
        </w:rPr>
        <w:t>agency</w:t>
      </w:r>
      <w:r w:rsidRPr="00EC20A0">
        <w:rPr>
          <w:spacing w:val="-3"/>
          <w:sz w:val="18"/>
        </w:rPr>
        <w:t xml:space="preserve"> </w:t>
      </w:r>
      <w:r w:rsidRPr="00EC20A0">
        <w:rPr>
          <w:sz w:val="18"/>
        </w:rPr>
        <w:t>or</w:t>
      </w:r>
      <w:r w:rsidRPr="00EC20A0">
        <w:rPr>
          <w:spacing w:val="-3"/>
          <w:sz w:val="18"/>
        </w:rPr>
        <w:t xml:space="preserve"> </w:t>
      </w:r>
      <w:r w:rsidRPr="00EC20A0">
        <w:rPr>
          <w:sz w:val="18"/>
        </w:rPr>
        <w:t>government</w:t>
      </w:r>
      <w:r w:rsidRPr="00EC20A0">
        <w:rPr>
          <w:spacing w:val="-3"/>
          <w:sz w:val="18"/>
        </w:rPr>
        <w:t xml:space="preserve"> </w:t>
      </w:r>
      <w:r w:rsidRPr="00EC20A0">
        <w:rPr>
          <w:sz w:val="18"/>
        </w:rPr>
        <w:t>corporation</w:t>
      </w:r>
      <w:r w:rsidRPr="00EC20A0">
        <w:rPr>
          <w:spacing w:val="-4"/>
          <w:sz w:val="18"/>
        </w:rPr>
        <w:t xml:space="preserve"> </w:t>
      </w:r>
      <w:r w:rsidRPr="00EC20A0">
        <w:rPr>
          <w:sz w:val="18"/>
        </w:rPr>
        <w:t>financial</w:t>
      </w:r>
      <w:r w:rsidRPr="00EC20A0">
        <w:rPr>
          <w:spacing w:val="-3"/>
          <w:sz w:val="18"/>
        </w:rPr>
        <w:t xml:space="preserve"> </w:t>
      </w:r>
      <w:r w:rsidRPr="00EC20A0">
        <w:rPr>
          <w:sz w:val="18"/>
        </w:rPr>
        <w:t>statement</w:t>
      </w:r>
      <w:r w:rsidRPr="00EC20A0">
        <w:rPr>
          <w:spacing w:val="-3"/>
          <w:sz w:val="18"/>
        </w:rPr>
        <w:t xml:space="preserve"> </w:t>
      </w:r>
      <w:r w:rsidRPr="00EC20A0">
        <w:rPr>
          <w:sz w:val="18"/>
        </w:rPr>
        <w:t>audit</w:t>
      </w:r>
      <w:r w:rsidRPr="00EC20A0">
        <w:rPr>
          <w:spacing w:val="-3"/>
          <w:sz w:val="18"/>
        </w:rPr>
        <w:t xml:space="preserve"> </w:t>
      </w:r>
      <w:r w:rsidRPr="00EC20A0">
        <w:rPr>
          <w:sz w:val="18"/>
        </w:rPr>
        <w:t xml:space="preserve">at his or her </w:t>
      </w:r>
      <w:r w:rsidRPr="00EC20A0">
        <w:rPr>
          <w:sz w:val="18"/>
        </w:rPr>
        <w:t>discretion, at the request of a committee of Congress, or otherwise as required by law.</w:t>
      </w:r>
    </w:p>
    <w:p w14:paraId="24D602EE" w14:textId="77777777" w:rsidR="00245300" w:rsidRPr="00EC20A0" w:rsidRDefault="00245300">
      <w:pPr>
        <w:spacing w:line="249" w:lineRule="auto"/>
        <w:rPr>
          <w:sz w:val="18"/>
        </w:rPr>
        <w:sectPr w:rsidR="00245300" w:rsidRPr="00EC20A0">
          <w:headerReference w:type="default" r:id="rId45"/>
          <w:footerReference w:type="default" r:id="rId46"/>
          <w:pgSz w:w="12240" w:h="15840"/>
          <w:pgMar w:top="1600" w:right="940" w:bottom="940" w:left="1020" w:header="721" w:footer="757" w:gutter="0"/>
          <w:pgNumType w:start="1"/>
          <w:cols w:space="720"/>
        </w:sectPr>
      </w:pPr>
    </w:p>
    <w:p w14:paraId="24D602EF" w14:textId="77777777" w:rsidR="00245300" w:rsidRPr="00EC20A0" w:rsidRDefault="00F17249">
      <w:pPr>
        <w:pStyle w:val="ListParagraph"/>
        <w:numPr>
          <w:ilvl w:val="1"/>
          <w:numId w:val="14"/>
        </w:numPr>
        <w:tabs>
          <w:tab w:val="left" w:pos="2219"/>
        </w:tabs>
        <w:spacing w:before="121"/>
        <w:ind w:right="808"/>
      </w:pPr>
      <w:r w:rsidRPr="00EC20A0">
        <w:t>implementing</w:t>
      </w:r>
      <w:r w:rsidRPr="00EC20A0">
        <w:rPr>
          <w:spacing w:val="-5"/>
        </w:rPr>
        <w:t xml:space="preserve"> </w:t>
      </w:r>
      <w:r w:rsidRPr="00EC20A0">
        <w:t>the</w:t>
      </w:r>
      <w:r w:rsidRPr="00EC20A0">
        <w:rPr>
          <w:spacing w:val="-5"/>
        </w:rPr>
        <w:t xml:space="preserve"> </w:t>
      </w:r>
      <w:r w:rsidRPr="00EC20A0">
        <w:t>guidance</w:t>
      </w:r>
      <w:r w:rsidRPr="00EC20A0">
        <w:rPr>
          <w:spacing w:val="-5"/>
        </w:rPr>
        <w:t xml:space="preserve"> </w:t>
      </w:r>
      <w:r w:rsidRPr="00EC20A0">
        <w:t>in</w:t>
      </w:r>
      <w:r w:rsidRPr="00EC20A0">
        <w:rPr>
          <w:spacing w:val="-5"/>
        </w:rPr>
        <w:t xml:space="preserve"> </w:t>
      </w:r>
      <w:r w:rsidRPr="00EC20A0">
        <w:t>FAM</w:t>
      </w:r>
      <w:r w:rsidRPr="00EC20A0">
        <w:rPr>
          <w:spacing w:val="-6"/>
        </w:rPr>
        <w:t xml:space="preserve"> </w:t>
      </w:r>
      <w:r w:rsidRPr="00EC20A0">
        <w:t>670</w:t>
      </w:r>
      <w:r w:rsidRPr="00EC20A0">
        <w:rPr>
          <w:spacing w:val="-5"/>
        </w:rPr>
        <w:t xml:space="preserve"> </w:t>
      </w:r>
      <w:r w:rsidRPr="00EC20A0">
        <w:t>regarding</w:t>
      </w:r>
      <w:r w:rsidRPr="00EC20A0">
        <w:rPr>
          <w:spacing w:val="-5"/>
        </w:rPr>
        <w:t xml:space="preserve"> </w:t>
      </w:r>
      <w:r w:rsidRPr="00EC20A0">
        <w:t>considerations</w:t>
      </w:r>
      <w:r w:rsidRPr="00EC20A0">
        <w:rPr>
          <w:spacing w:val="-5"/>
        </w:rPr>
        <w:t xml:space="preserve"> </w:t>
      </w:r>
      <w:r w:rsidRPr="00EC20A0">
        <w:t>to</w:t>
      </w:r>
      <w:r w:rsidRPr="00EC20A0">
        <w:rPr>
          <w:spacing w:val="-5"/>
        </w:rPr>
        <w:t xml:space="preserve"> </w:t>
      </w:r>
      <w:r w:rsidRPr="00EC20A0">
        <w:t>assure the IPA firm’s compliance with GAGAS;</w:t>
      </w:r>
    </w:p>
    <w:p w14:paraId="24D602F0" w14:textId="77777777" w:rsidR="00245300" w:rsidRPr="00EC20A0" w:rsidRDefault="00F17249">
      <w:pPr>
        <w:pStyle w:val="ListParagraph"/>
        <w:numPr>
          <w:ilvl w:val="1"/>
          <w:numId w:val="14"/>
        </w:numPr>
        <w:tabs>
          <w:tab w:val="left" w:pos="2219"/>
        </w:tabs>
        <w:spacing w:before="238"/>
        <w:ind w:right="744" w:hanging="361"/>
      </w:pPr>
      <w:r w:rsidRPr="00EC20A0">
        <w:t>determining</w:t>
      </w:r>
      <w:r w:rsidRPr="00EC20A0">
        <w:rPr>
          <w:spacing w:val="-4"/>
        </w:rPr>
        <w:t xml:space="preserve"> </w:t>
      </w:r>
      <w:r w:rsidRPr="00EC20A0">
        <w:t>the</w:t>
      </w:r>
      <w:r w:rsidRPr="00EC20A0">
        <w:rPr>
          <w:spacing w:val="-4"/>
        </w:rPr>
        <w:t xml:space="preserve"> </w:t>
      </w:r>
      <w:r w:rsidRPr="00EC20A0">
        <w:t>appropriate</w:t>
      </w:r>
      <w:r w:rsidRPr="00EC20A0">
        <w:rPr>
          <w:spacing w:val="-3"/>
        </w:rPr>
        <w:t xml:space="preserve"> </w:t>
      </w:r>
      <w:r w:rsidRPr="00EC20A0">
        <w:t>level</w:t>
      </w:r>
      <w:r w:rsidRPr="00EC20A0">
        <w:rPr>
          <w:spacing w:val="-4"/>
        </w:rPr>
        <w:t xml:space="preserve"> </w:t>
      </w:r>
      <w:r w:rsidRPr="00EC20A0">
        <w:t>of</w:t>
      </w:r>
      <w:r w:rsidRPr="00EC20A0">
        <w:rPr>
          <w:spacing w:val="-5"/>
        </w:rPr>
        <w:t xml:space="preserve"> </w:t>
      </w:r>
      <w:r w:rsidRPr="00EC20A0">
        <w:t>oversight</w:t>
      </w:r>
      <w:r w:rsidRPr="00EC20A0">
        <w:rPr>
          <w:spacing w:val="-4"/>
        </w:rPr>
        <w:t xml:space="preserve"> </w:t>
      </w:r>
      <w:r w:rsidRPr="00EC20A0">
        <w:t>and</w:t>
      </w:r>
      <w:r w:rsidRPr="00EC20A0">
        <w:rPr>
          <w:spacing w:val="-4"/>
        </w:rPr>
        <w:t xml:space="preserve"> </w:t>
      </w:r>
      <w:r w:rsidRPr="00EC20A0">
        <w:t>monitoring</w:t>
      </w:r>
      <w:r w:rsidRPr="00EC20A0">
        <w:rPr>
          <w:spacing w:val="-4"/>
        </w:rPr>
        <w:t xml:space="preserve"> </w:t>
      </w:r>
      <w:r w:rsidRPr="00EC20A0">
        <w:t>of</w:t>
      </w:r>
      <w:r w:rsidRPr="00EC20A0">
        <w:rPr>
          <w:spacing w:val="-4"/>
        </w:rPr>
        <w:t xml:space="preserve"> </w:t>
      </w:r>
      <w:r w:rsidRPr="00EC20A0">
        <w:t>an</w:t>
      </w:r>
      <w:r w:rsidRPr="00EC20A0">
        <w:rPr>
          <w:spacing w:val="-4"/>
        </w:rPr>
        <w:t xml:space="preserve"> </w:t>
      </w:r>
      <w:r w:rsidRPr="00EC20A0">
        <w:t>IPA</w:t>
      </w:r>
      <w:r w:rsidRPr="00EC20A0">
        <w:rPr>
          <w:spacing w:val="-5"/>
        </w:rPr>
        <w:t xml:space="preserve"> </w:t>
      </w:r>
      <w:r w:rsidRPr="00EC20A0">
        <w:t xml:space="preserve">firm for an </w:t>
      </w:r>
      <w:r w:rsidRPr="00EC20A0">
        <w:t>organization’s financial statements audits; and</w:t>
      </w:r>
    </w:p>
    <w:p w14:paraId="24D602F1" w14:textId="77777777" w:rsidR="00245300" w:rsidRPr="00EC20A0" w:rsidRDefault="00F17249">
      <w:pPr>
        <w:pStyle w:val="ListParagraph"/>
        <w:numPr>
          <w:ilvl w:val="1"/>
          <w:numId w:val="14"/>
        </w:numPr>
        <w:tabs>
          <w:tab w:val="left" w:pos="2219"/>
        </w:tabs>
        <w:spacing w:before="238"/>
        <w:ind w:hanging="359"/>
      </w:pPr>
      <w:r w:rsidRPr="00EC20A0">
        <w:t>appropriate</w:t>
      </w:r>
      <w:r w:rsidRPr="00EC20A0">
        <w:rPr>
          <w:spacing w:val="-8"/>
        </w:rPr>
        <w:t xml:space="preserve"> </w:t>
      </w:r>
      <w:r w:rsidRPr="00EC20A0">
        <w:t>involvement</w:t>
      </w:r>
      <w:r w:rsidRPr="00EC20A0">
        <w:rPr>
          <w:spacing w:val="-7"/>
        </w:rPr>
        <w:t xml:space="preserve"> </w:t>
      </w:r>
      <w:r w:rsidRPr="00EC20A0">
        <w:t>with</w:t>
      </w:r>
      <w:r w:rsidRPr="00EC20A0">
        <w:rPr>
          <w:spacing w:val="-8"/>
        </w:rPr>
        <w:t xml:space="preserve"> </w:t>
      </w:r>
      <w:r w:rsidRPr="00EC20A0">
        <w:t>the</w:t>
      </w:r>
      <w:r w:rsidRPr="00EC20A0">
        <w:rPr>
          <w:spacing w:val="-7"/>
        </w:rPr>
        <w:t xml:space="preserve"> </w:t>
      </w:r>
      <w:r w:rsidRPr="00EC20A0">
        <w:t>group</w:t>
      </w:r>
      <w:r w:rsidRPr="00EC20A0">
        <w:rPr>
          <w:spacing w:val="-7"/>
        </w:rPr>
        <w:t xml:space="preserve"> </w:t>
      </w:r>
      <w:r w:rsidRPr="00EC20A0">
        <w:t>auditor</w:t>
      </w:r>
      <w:r w:rsidRPr="00EC20A0">
        <w:rPr>
          <w:spacing w:val="-7"/>
        </w:rPr>
        <w:t xml:space="preserve"> </w:t>
      </w:r>
      <w:r w:rsidRPr="00EC20A0">
        <w:t>(see</w:t>
      </w:r>
      <w:r w:rsidRPr="00EC20A0">
        <w:rPr>
          <w:spacing w:val="-7"/>
        </w:rPr>
        <w:t xml:space="preserve"> </w:t>
      </w:r>
      <w:r w:rsidRPr="00EC20A0">
        <w:t>FAM</w:t>
      </w:r>
      <w:r w:rsidRPr="00EC20A0">
        <w:rPr>
          <w:spacing w:val="-8"/>
        </w:rPr>
        <w:t xml:space="preserve"> </w:t>
      </w:r>
      <w:r w:rsidRPr="00EC20A0">
        <w:rPr>
          <w:spacing w:val="-2"/>
        </w:rPr>
        <w:t>630).</w:t>
      </w:r>
    </w:p>
    <w:p w14:paraId="24D602F2" w14:textId="77777777" w:rsidR="00245300" w:rsidRPr="00EC20A0" w:rsidRDefault="00F17249">
      <w:pPr>
        <w:pStyle w:val="ListParagraph"/>
        <w:numPr>
          <w:ilvl w:val="0"/>
          <w:numId w:val="14"/>
        </w:numPr>
        <w:tabs>
          <w:tab w:val="left" w:pos="1859"/>
        </w:tabs>
        <w:spacing w:before="238"/>
        <w:ind w:left="1859" w:right="505"/>
      </w:pPr>
      <w:r w:rsidRPr="00EC20A0">
        <w:t xml:space="preserve">An IG may choose to contract with an IPA firm to audit its entity’s financial statements. The IG may use a contracting process that is part of </w:t>
      </w:r>
      <w:r w:rsidRPr="00EC20A0">
        <w:t>its organization, a procurement function within the entity to be audited, or a third party’s (e.g., another government agency) procurement function. However, to fulfill its</w:t>
      </w:r>
      <w:r w:rsidRPr="00EC20A0">
        <w:rPr>
          <w:spacing w:val="40"/>
        </w:rPr>
        <w:t xml:space="preserve"> </w:t>
      </w:r>
      <w:r w:rsidRPr="00EC20A0">
        <w:t>statutory</w:t>
      </w:r>
      <w:r w:rsidRPr="00EC20A0">
        <w:rPr>
          <w:spacing w:val="-3"/>
        </w:rPr>
        <w:t xml:space="preserve"> </w:t>
      </w:r>
      <w:r w:rsidRPr="00EC20A0">
        <w:t>responsibility</w:t>
      </w:r>
      <w:r w:rsidRPr="00EC20A0">
        <w:rPr>
          <w:spacing w:val="-3"/>
        </w:rPr>
        <w:t xml:space="preserve"> </w:t>
      </w:r>
      <w:r w:rsidRPr="00EC20A0">
        <w:t>to</w:t>
      </w:r>
      <w:r w:rsidRPr="00EC20A0">
        <w:rPr>
          <w:spacing w:val="-4"/>
        </w:rPr>
        <w:t xml:space="preserve"> </w:t>
      </w:r>
      <w:r w:rsidRPr="00EC20A0">
        <w:t>determine</w:t>
      </w:r>
      <w:r w:rsidRPr="00EC20A0">
        <w:rPr>
          <w:spacing w:val="-3"/>
        </w:rPr>
        <w:t xml:space="preserve"> </w:t>
      </w:r>
      <w:r w:rsidRPr="00EC20A0">
        <w:t>the</w:t>
      </w:r>
      <w:r w:rsidRPr="00EC20A0">
        <w:rPr>
          <w:spacing w:val="-3"/>
        </w:rPr>
        <w:t xml:space="preserve"> </w:t>
      </w:r>
      <w:r w:rsidRPr="00EC20A0">
        <w:t>IPA</w:t>
      </w:r>
      <w:r w:rsidRPr="00EC20A0">
        <w:rPr>
          <w:spacing w:val="-3"/>
        </w:rPr>
        <w:t xml:space="preserve"> </w:t>
      </w:r>
      <w:r w:rsidRPr="00EC20A0">
        <w:t>firm,</w:t>
      </w:r>
      <w:r w:rsidRPr="00EC20A0">
        <w:rPr>
          <w:spacing w:val="-2"/>
        </w:rPr>
        <w:t xml:space="preserve"> </w:t>
      </w:r>
      <w:r w:rsidRPr="00EC20A0">
        <w:t>the</w:t>
      </w:r>
      <w:r w:rsidRPr="00EC20A0">
        <w:rPr>
          <w:spacing w:val="-3"/>
        </w:rPr>
        <w:t xml:space="preserve"> </w:t>
      </w:r>
      <w:r w:rsidRPr="00EC20A0">
        <w:t>IG</w:t>
      </w:r>
      <w:r w:rsidRPr="00EC20A0">
        <w:rPr>
          <w:spacing w:val="-4"/>
        </w:rPr>
        <w:t xml:space="preserve"> </w:t>
      </w:r>
      <w:r w:rsidRPr="00EC20A0">
        <w:t>plays</w:t>
      </w:r>
      <w:r w:rsidRPr="00EC20A0">
        <w:rPr>
          <w:spacing w:val="-4"/>
        </w:rPr>
        <w:t xml:space="preserve"> </w:t>
      </w:r>
      <w:r w:rsidRPr="00EC20A0">
        <w:t>an</w:t>
      </w:r>
      <w:r w:rsidRPr="00EC20A0">
        <w:rPr>
          <w:spacing w:val="-3"/>
        </w:rPr>
        <w:t xml:space="preserve"> </w:t>
      </w:r>
      <w:r w:rsidRPr="00EC20A0">
        <w:t>important</w:t>
      </w:r>
      <w:r w:rsidRPr="00EC20A0">
        <w:rPr>
          <w:spacing w:val="-3"/>
        </w:rPr>
        <w:t xml:space="preserve"> </w:t>
      </w:r>
      <w:r w:rsidRPr="00EC20A0">
        <w:t>role</w:t>
      </w:r>
      <w:r w:rsidRPr="00EC20A0">
        <w:rPr>
          <w:spacing w:val="-3"/>
        </w:rPr>
        <w:t xml:space="preserve"> </w:t>
      </w:r>
      <w:r w:rsidRPr="00EC20A0">
        <w:t>in contracting for the IPA firm even when legal authority to award the contract rests with a contracting office of the entity being audited.</w:t>
      </w:r>
      <w:hyperlink w:anchor="_bookmark30" w:history="1">
        <w:r w:rsidRPr="00EC20A0">
          <w:rPr>
            <w:position w:val="7"/>
            <w:sz w:val="14"/>
          </w:rPr>
          <w:t>21</w:t>
        </w:r>
      </w:hyperlink>
      <w:r w:rsidRPr="00EC20A0">
        <w:rPr>
          <w:spacing w:val="33"/>
          <w:position w:val="7"/>
          <w:sz w:val="14"/>
        </w:rPr>
        <w:t xml:space="preserve"> </w:t>
      </w:r>
      <w:r w:rsidRPr="00EC20A0">
        <w:t>The IG generally should</w:t>
      </w:r>
    </w:p>
    <w:p w14:paraId="24D602F3" w14:textId="77777777" w:rsidR="00245300" w:rsidRPr="00EC20A0" w:rsidRDefault="00F17249">
      <w:pPr>
        <w:pStyle w:val="ListParagraph"/>
        <w:numPr>
          <w:ilvl w:val="1"/>
          <w:numId w:val="14"/>
        </w:numPr>
        <w:tabs>
          <w:tab w:val="left" w:pos="2219"/>
        </w:tabs>
        <w:ind w:right="551"/>
      </w:pPr>
      <w:r w:rsidRPr="00EC20A0">
        <w:t>ensure</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contract</w:t>
      </w:r>
      <w:r w:rsidRPr="00EC20A0">
        <w:rPr>
          <w:spacing w:val="-4"/>
        </w:rPr>
        <w:t xml:space="preserve"> </w:t>
      </w:r>
      <w:r w:rsidRPr="00EC20A0">
        <w:t>provides</w:t>
      </w:r>
      <w:r w:rsidRPr="00EC20A0">
        <w:rPr>
          <w:spacing w:val="-3"/>
        </w:rPr>
        <w:t xml:space="preserve"> </w:t>
      </w:r>
      <w:r w:rsidRPr="00EC20A0">
        <w:t>for</w:t>
      </w:r>
      <w:r w:rsidRPr="00EC20A0">
        <w:rPr>
          <w:spacing w:val="-4"/>
        </w:rPr>
        <w:t xml:space="preserve"> </w:t>
      </w:r>
      <w:r w:rsidRPr="00EC20A0">
        <w:t>full</w:t>
      </w:r>
      <w:r w:rsidRPr="00EC20A0">
        <w:rPr>
          <w:spacing w:val="-3"/>
        </w:rPr>
        <w:t xml:space="preserve"> </w:t>
      </w:r>
      <w:r w:rsidRPr="00EC20A0">
        <w:t>and</w:t>
      </w:r>
      <w:r w:rsidRPr="00EC20A0">
        <w:rPr>
          <w:spacing w:val="-3"/>
        </w:rPr>
        <w:t xml:space="preserve"> </w:t>
      </w:r>
      <w:r w:rsidRPr="00EC20A0">
        <w:t>timely</w:t>
      </w:r>
      <w:r w:rsidRPr="00EC20A0">
        <w:rPr>
          <w:spacing w:val="-3"/>
        </w:rPr>
        <w:t xml:space="preserve"> </w:t>
      </w:r>
      <w:r w:rsidRPr="00EC20A0">
        <w:t>access</w:t>
      </w:r>
      <w:r w:rsidRPr="00EC20A0">
        <w:rPr>
          <w:spacing w:val="-3"/>
        </w:rPr>
        <w:t xml:space="preserve"> </w:t>
      </w:r>
      <w:r w:rsidRPr="00EC20A0">
        <w:t>to</w:t>
      </w:r>
      <w:r w:rsidRPr="00EC20A0">
        <w:rPr>
          <w:spacing w:val="-5"/>
        </w:rPr>
        <w:t xml:space="preserve"> </w:t>
      </w:r>
      <w:r w:rsidRPr="00EC20A0">
        <w:t>appropriate</w:t>
      </w:r>
      <w:r w:rsidRPr="00EC20A0">
        <w:rPr>
          <w:spacing w:val="-4"/>
        </w:rPr>
        <w:t xml:space="preserve"> </w:t>
      </w:r>
      <w:r w:rsidRPr="00EC20A0">
        <w:t>IPA firm individuals and audit documentation for IG review;</w:t>
      </w:r>
    </w:p>
    <w:p w14:paraId="24D602F4" w14:textId="77777777" w:rsidR="00245300" w:rsidRPr="00EC20A0" w:rsidRDefault="00F17249">
      <w:pPr>
        <w:pStyle w:val="ListParagraph"/>
        <w:numPr>
          <w:ilvl w:val="1"/>
          <w:numId w:val="14"/>
        </w:numPr>
        <w:tabs>
          <w:tab w:val="left" w:pos="2219"/>
        </w:tabs>
        <w:spacing w:before="239"/>
        <w:ind w:right="867"/>
      </w:pPr>
      <w:r w:rsidRPr="00EC20A0">
        <w:t>coordinate</w:t>
      </w:r>
      <w:r w:rsidRPr="00EC20A0">
        <w:rPr>
          <w:spacing w:val="-4"/>
        </w:rPr>
        <w:t xml:space="preserve"> </w:t>
      </w:r>
      <w:r w:rsidRPr="00EC20A0">
        <w:t>closely</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contracting</w:t>
      </w:r>
      <w:r w:rsidRPr="00EC20A0">
        <w:rPr>
          <w:spacing w:val="-4"/>
        </w:rPr>
        <w:t xml:space="preserve"> </w:t>
      </w:r>
      <w:r w:rsidRPr="00EC20A0">
        <w:t>office</w:t>
      </w:r>
      <w:r w:rsidRPr="00EC20A0">
        <w:rPr>
          <w:spacing w:val="-4"/>
        </w:rPr>
        <w:t xml:space="preserve"> </w:t>
      </w:r>
      <w:r w:rsidRPr="00EC20A0">
        <w:t>to</w:t>
      </w:r>
      <w:r w:rsidRPr="00EC20A0">
        <w:rPr>
          <w:spacing w:val="-5"/>
        </w:rPr>
        <w:t xml:space="preserve"> </w:t>
      </w:r>
      <w:r w:rsidRPr="00EC20A0">
        <w:t>ensure</w:t>
      </w:r>
      <w:r w:rsidRPr="00EC20A0">
        <w:rPr>
          <w:spacing w:val="-4"/>
        </w:rPr>
        <w:t xml:space="preserve"> </w:t>
      </w:r>
      <w:r w:rsidRPr="00EC20A0">
        <w:t>a</w:t>
      </w:r>
      <w:r w:rsidRPr="00EC20A0">
        <w:rPr>
          <w:spacing w:val="-4"/>
        </w:rPr>
        <w:t xml:space="preserve"> </w:t>
      </w:r>
      <w:r w:rsidRPr="00EC20A0">
        <w:t>timely</w:t>
      </w:r>
      <w:r w:rsidRPr="00EC20A0">
        <w:rPr>
          <w:spacing w:val="-4"/>
        </w:rPr>
        <w:t xml:space="preserve"> </w:t>
      </w:r>
      <w:r w:rsidRPr="00EC20A0">
        <w:t>solicitation and award for an IPA firm’s contracted services;</w:t>
      </w:r>
    </w:p>
    <w:p w14:paraId="24D602F5" w14:textId="77777777" w:rsidR="00245300" w:rsidRPr="00EC20A0" w:rsidRDefault="00F17249">
      <w:pPr>
        <w:pStyle w:val="ListParagraph"/>
        <w:numPr>
          <w:ilvl w:val="1"/>
          <w:numId w:val="14"/>
        </w:numPr>
        <w:tabs>
          <w:tab w:val="left" w:pos="2219"/>
        </w:tabs>
        <w:spacing w:before="238"/>
        <w:ind w:right="977"/>
      </w:pPr>
      <w:r w:rsidRPr="00EC20A0">
        <w:t>serve</w:t>
      </w:r>
      <w:r w:rsidRPr="00EC20A0">
        <w:rPr>
          <w:spacing w:val="-3"/>
        </w:rPr>
        <w:t xml:space="preserve"> </w:t>
      </w:r>
      <w:r w:rsidRPr="00EC20A0">
        <w:t>as</w:t>
      </w:r>
      <w:r w:rsidRPr="00EC20A0">
        <w:rPr>
          <w:spacing w:val="-3"/>
        </w:rPr>
        <w:t xml:space="preserve"> </w:t>
      </w:r>
      <w:r w:rsidRPr="00EC20A0">
        <w:t>a</w:t>
      </w:r>
      <w:r w:rsidRPr="00EC20A0">
        <w:rPr>
          <w:spacing w:val="-4"/>
        </w:rPr>
        <w:t xml:space="preserve"> </w:t>
      </w:r>
      <w:r w:rsidRPr="00EC20A0">
        <w:t>subject</w:t>
      </w:r>
      <w:r w:rsidRPr="00EC20A0">
        <w:rPr>
          <w:spacing w:val="-3"/>
        </w:rPr>
        <w:t xml:space="preserve"> </w:t>
      </w:r>
      <w:r w:rsidRPr="00EC20A0">
        <w:t>matter</w:t>
      </w:r>
      <w:r w:rsidRPr="00EC20A0">
        <w:rPr>
          <w:spacing w:val="-3"/>
        </w:rPr>
        <w:t xml:space="preserve"> </w:t>
      </w:r>
      <w:r w:rsidRPr="00EC20A0">
        <w:t>expert</w:t>
      </w:r>
      <w:r w:rsidRPr="00EC20A0">
        <w:rPr>
          <w:spacing w:val="-3"/>
        </w:rPr>
        <w:t xml:space="preserve"> </w:t>
      </w:r>
      <w:r w:rsidRPr="00EC20A0">
        <w:t>in</w:t>
      </w:r>
      <w:r w:rsidRPr="00EC20A0">
        <w:rPr>
          <w:spacing w:val="-3"/>
        </w:rPr>
        <w:t xml:space="preserve"> </w:t>
      </w:r>
      <w:r w:rsidRPr="00EC20A0">
        <w:t>developing</w:t>
      </w:r>
      <w:r w:rsidRPr="00EC20A0">
        <w:rPr>
          <w:spacing w:val="-3"/>
        </w:rPr>
        <w:t xml:space="preserve"> </w:t>
      </w:r>
      <w:r w:rsidRPr="00EC20A0">
        <w:t>the</w:t>
      </w:r>
      <w:r w:rsidRPr="00EC20A0">
        <w:rPr>
          <w:spacing w:val="-3"/>
        </w:rPr>
        <w:t xml:space="preserve"> </w:t>
      </w:r>
      <w:r w:rsidRPr="00EC20A0">
        <w:t>contract,</w:t>
      </w:r>
      <w:r w:rsidRPr="00EC20A0">
        <w:rPr>
          <w:spacing w:val="-3"/>
        </w:rPr>
        <w:t xml:space="preserve"> </w:t>
      </w:r>
      <w:r w:rsidRPr="00EC20A0">
        <w:t>task</w:t>
      </w:r>
      <w:r w:rsidRPr="00EC20A0">
        <w:rPr>
          <w:spacing w:val="-3"/>
        </w:rPr>
        <w:t xml:space="preserve"> </w:t>
      </w:r>
      <w:r w:rsidRPr="00EC20A0">
        <w:t>orders</w:t>
      </w:r>
      <w:r w:rsidRPr="00EC20A0">
        <w:rPr>
          <w:spacing w:val="-3"/>
        </w:rPr>
        <w:t xml:space="preserve"> </w:t>
      </w:r>
      <w:r w:rsidRPr="00EC20A0">
        <w:t>if applicable, and the statement of work;</w:t>
      </w:r>
    </w:p>
    <w:p w14:paraId="24D602F6" w14:textId="77777777" w:rsidR="00245300" w:rsidRPr="00EC20A0" w:rsidRDefault="00F17249">
      <w:pPr>
        <w:pStyle w:val="ListParagraph"/>
        <w:numPr>
          <w:ilvl w:val="1"/>
          <w:numId w:val="14"/>
        </w:numPr>
        <w:tabs>
          <w:tab w:val="left" w:pos="2219"/>
        </w:tabs>
        <w:spacing w:before="238"/>
        <w:ind w:right="1122" w:hanging="361"/>
      </w:pPr>
      <w:r w:rsidRPr="00EC20A0">
        <w:t>ensure that the contract clearly establishes the scope for a financial statement audit in accordance with GAGAS, other relevant federal requirements,</w:t>
      </w:r>
      <w:r w:rsidRPr="00EC20A0">
        <w:rPr>
          <w:spacing w:val="-4"/>
        </w:rPr>
        <w:t xml:space="preserve"> </w:t>
      </w:r>
      <w:r w:rsidRPr="00EC20A0">
        <w:t>and</w:t>
      </w:r>
      <w:r w:rsidRPr="00EC20A0">
        <w:rPr>
          <w:spacing w:val="-4"/>
        </w:rPr>
        <w:t xml:space="preserve"> </w:t>
      </w:r>
      <w:r w:rsidRPr="00EC20A0">
        <w:t>any</w:t>
      </w:r>
      <w:r w:rsidRPr="00EC20A0">
        <w:rPr>
          <w:spacing w:val="-4"/>
        </w:rPr>
        <w:t xml:space="preserve"> </w:t>
      </w:r>
      <w:r w:rsidRPr="00EC20A0">
        <w:t>other</w:t>
      </w:r>
      <w:r w:rsidRPr="00EC20A0">
        <w:rPr>
          <w:spacing w:val="-4"/>
        </w:rPr>
        <w:t xml:space="preserve"> </w:t>
      </w:r>
      <w:r w:rsidRPr="00EC20A0">
        <w:t>scope</w:t>
      </w:r>
      <w:r w:rsidRPr="00EC20A0">
        <w:rPr>
          <w:spacing w:val="-4"/>
        </w:rPr>
        <w:t xml:space="preserve"> </w:t>
      </w:r>
      <w:r w:rsidRPr="00EC20A0">
        <w:t>issues</w:t>
      </w:r>
      <w:r w:rsidRPr="00EC20A0">
        <w:rPr>
          <w:spacing w:val="-4"/>
        </w:rPr>
        <w:t xml:space="preserve"> </w:t>
      </w:r>
      <w:r w:rsidRPr="00EC20A0">
        <w:t>specific</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(internal control, FFMIA, etc.);</w:t>
      </w:r>
    </w:p>
    <w:p w14:paraId="24D602F7" w14:textId="77777777" w:rsidR="00245300" w:rsidRPr="00EC20A0" w:rsidRDefault="00F17249">
      <w:pPr>
        <w:pStyle w:val="ListParagraph"/>
        <w:numPr>
          <w:ilvl w:val="1"/>
          <w:numId w:val="14"/>
        </w:numPr>
        <w:tabs>
          <w:tab w:val="left" w:pos="2219"/>
        </w:tabs>
        <w:spacing w:before="238"/>
        <w:ind w:right="624"/>
      </w:pPr>
      <w:r w:rsidRPr="00EC20A0">
        <w:t>chair</w:t>
      </w:r>
      <w:r w:rsidRPr="00EC20A0">
        <w:rPr>
          <w:spacing w:val="-4"/>
        </w:rPr>
        <w:t xml:space="preserve"> </w:t>
      </w:r>
      <w:r w:rsidRPr="00EC20A0">
        <w:t>the</w:t>
      </w:r>
      <w:r w:rsidRPr="00EC20A0">
        <w:rPr>
          <w:spacing w:val="-4"/>
        </w:rPr>
        <w:t xml:space="preserve"> </w:t>
      </w:r>
      <w:r w:rsidRPr="00EC20A0">
        <w:t>technical</w:t>
      </w:r>
      <w:r w:rsidRPr="00EC20A0">
        <w:rPr>
          <w:spacing w:val="-4"/>
        </w:rPr>
        <w:t xml:space="preserve"> </w:t>
      </w:r>
      <w:r w:rsidRPr="00EC20A0">
        <w:t>evaluation</w:t>
      </w:r>
      <w:r w:rsidRPr="00EC20A0">
        <w:rPr>
          <w:spacing w:val="-4"/>
        </w:rPr>
        <w:t xml:space="preserve"> </w:t>
      </w:r>
      <w:r w:rsidRPr="00EC20A0">
        <w:t>panel</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acquisition,</w:t>
      </w:r>
      <w:r w:rsidRPr="00EC20A0">
        <w:rPr>
          <w:spacing w:val="-4"/>
        </w:rPr>
        <w:t xml:space="preserve"> </w:t>
      </w:r>
      <w:r w:rsidRPr="00EC20A0">
        <w:t>assist</w:t>
      </w:r>
      <w:r w:rsidRPr="00EC20A0">
        <w:rPr>
          <w:spacing w:val="-5"/>
        </w:rPr>
        <w:t xml:space="preserve"> </w:t>
      </w:r>
      <w:r w:rsidRPr="00EC20A0">
        <w:t>in</w:t>
      </w:r>
      <w:r w:rsidRPr="00EC20A0">
        <w:rPr>
          <w:spacing w:val="-4"/>
        </w:rPr>
        <w:t xml:space="preserve"> </w:t>
      </w:r>
      <w:r w:rsidRPr="00EC20A0">
        <w:t>selecting</w:t>
      </w:r>
      <w:r w:rsidRPr="00EC20A0">
        <w:rPr>
          <w:spacing w:val="-5"/>
        </w:rPr>
        <w:t xml:space="preserve"> </w:t>
      </w:r>
      <w:r w:rsidRPr="00EC20A0">
        <w:t>the members in the panel, and make a recommendation for award to the contracting officer; and</w:t>
      </w:r>
    </w:p>
    <w:p w14:paraId="24D602F8" w14:textId="77777777" w:rsidR="00245300" w:rsidRPr="00EC20A0" w:rsidRDefault="00F17249">
      <w:pPr>
        <w:pStyle w:val="ListParagraph"/>
        <w:numPr>
          <w:ilvl w:val="1"/>
          <w:numId w:val="14"/>
        </w:numPr>
        <w:tabs>
          <w:tab w:val="left" w:pos="2218"/>
        </w:tabs>
        <w:spacing w:before="238"/>
        <w:ind w:left="2218" w:right="501"/>
      </w:pPr>
      <w:r w:rsidRPr="00EC20A0">
        <w:t>act as the contracting officer’s representative to assist in the administration of the contract, monitor technical compliance, and assist the contracting officer to</w:t>
      </w:r>
      <w:r w:rsidRPr="00EC20A0">
        <w:rPr>
          <w:spacing w:val="-4"/>
        </w:rPr>
        <w:t xml:space="preserve"> </w:t>
      </w:r>
      <w:r w:rsidRPr="00EC20A0">
        <w:t>ensure</w:t>
      </w:r>
      <w:r w:rsidRPr="00EC20A0">
        <w:rPr>
          <w:spacing w:val="-4"/>
        </w:rPr>
        <w:t xml:space="preserve"> </w:t>
      </w:r>
      <w:r w:rsidRPr="00EC20A0">
        <w:t>contractor</w:t>
      </w:r>
      <w:r w:rsidRPr="00EC20A0">
        <w:rPr>
          <w:spacing w:val="-4"/>
        </w:rPr>
        <w:t xml:space="preserve"> </w:t>
      </w:r>
      <w:r w:rsidRPr="00EC20A0">
        <w:t>compliance</w:t>
      </w:r>
      <w:r w:rsidRPr="00EC20A0">
        <w:rPr>
          <w:spacing w:val="-4"/>
        </w:rPr>
        <w:t xml:space="preserve"> </w:t>
      </w:r>
      <w:r w:rsidRPr="00EC20A0">
        <w:t>with</w:t>
      </w:r>
      <w:r w:rsidRPr="00EC20A0">
        <w:rPr>
          <w:spacing w:val="-5"/>
        </w:rPr>
        <w:t xml:space="preserve"> </w:t>
      </w:r>
      <w:r w:rsidRPr="00EC20A0">
        <w:t>the</w:t>
      </w:r>
      <w:r w:rsidRPr="00EC20A0">
        <w:rPr>
          <w:spacing w:val="-4"/>
        </w:rPr>
        <w:t xml:space="preserve"> </w:t>
      </w:r>
      <w:r w:rsidRPr="00EC20A0">
        <w:t>terms</w:t>
      </w:r>
      <w:r w:rsidRPr="00EC20A0">
        <w:rPr>
          <w:spacing w:val="-4"/>
        </w:rPr>
        <w:t xml:space="preserve"> </w:t>
      </w:r>
      <w:r w:rsidRPr="00EC20A0">
        <w:t>and</w:t>
      </w:r>
      <w:r w:rsidRPr="00EC20A0">
        <w:rPr>
          <w:spacing w:val="-4"/>
        </w:rPr>
        <w:t xml:space="preserve"> </w:t>
      </w:r>
      <w:r w:rsidRPr="00EC20A0">
        <w:t>conditions</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contract.</w:t>
      </w:r>
    </w:p>
    <w:p w14:paraId="24D602F9" w14:textId="77777777" w:rsidR="00245300" w:rsidRPr="00EC20A0" w:rsidRDefault="00F17249">
      <w:pPr>
        <w:pStyle w:val="ListParagraph"/>
        <w:numPr>
          <w:ilvl w:val="0"/>
          <w:numId w:val="14"/>
        </w:numPr>
        <w:tabs>
          <w:tab w:val="left" w:pos="1858"/>
        </w:tabs>
        <w:spacing w:before="239"/>
        <w:ind w:right="1020" w:hanging="721"/>
      </w:pPr>
      <w:r w:rsidRPr="00EC20A0">
        <w:t>When</w:t>
      </w:r>
      <w:r w:rsidRPr="00EC20A0">
        <w:rPr>
          <w:spacing w:val="-4"/>
        </w:rPr>
        <w:t xml:space="preserve"> </w:t>
      </w:r>
      <w:r w:rsidRPr="00EC20A0">
        <w:t>providing</w:t>
      </w:r>
      <w:r w:rsidRPr="00EC20A0">
        <w:rPr>
          <w:spacing w:val="-4"/>
        </w:rPr>
        <w:t xml:space="preserve"> </w:t>
      </w:r>
      <w:r w:rsidRPr="00EC20A0">
        <w:t>oversight</w:t>
      </w:r>
      <w:r w:rsidRPr="00EC20A0">
        <w:rPr>
          <w:spacing w:val="-4"/>
        </w:rPr>
        <w:t xml:space="preserve"> </w:t>
      </w:r>
      <w:r w:rsidRPr="00EC20A0">
        <w:t>of</w:t>
      </w:r>
      <w:r w:rsidRPr="00EC20A0">
        <w:rPr>
          <w:spacing w:val="-4"/>
        </w:rPr>
        <w:t xml:space="preserve"> </w:t>
      </w:r>
      <w:r w:rsidRPr="00EC20A0">
        <w:t>an</w:t>
      </w:r>
      <w:r w:rsidRPr="00EC20A0">
        <w:rPr>
          <w:spacing w:val="-4"/>
        </w:rPr>
        <w:t xml:space="preserve"> </w:t>
      </w:r>
      <w:r w:rsidRPr="00EC20A0">
        <w:t>audit</w:t>
      </w:r>
      <w:r w:rsidRPr="00EC20A0">
        <w:rPr>
          <w:spacing w:val="-4"/>
        </w:rPr>
        <w:t xml:space="preserve"> </w:t>
      </w:r>
      <w:r w:rsidRPr="00EC20A0">
        <w:t>performed</w:t>
      </w:r>
      <w:r w:rsidRPr="00EC20A0">
        <w:rPr>
          <w:spacing w:val="-4"/>
        </w:rPr>
        <w:t xml:space="preserve"> </w:t>
      </w:r>
      <w:r w:rsidRPr="00EC20A0">
        <w:t>by</w:t>
      </w:r>
      <w:r w:rsidRPr="00EC20A0">
        <w:rPr>
          <w:spacing w:val="-4"/>
        </w:rPr>
        <w:t xml:space="preserve"> </w:t>
      </w:r>
      <w:r w:rsidRPr="00EC20A0">
        <w:t>an</w:t>
      </w:r>
      <w:r w:rsidRPr="00EC20A0">
        <w:rPr>
          <w:spacing w:val="-4"/>
        </w:rPr>
        <w:t xml:space="preserve"> </w:t>
      </w:r>
      <w:r w:rsidRPr="00EC20A0">
        <w:t>IPA</w:t>
      </w:r>
      <w:r w:rsidRPr="00EC20A0">
        <w:rPr>
          <w:spacing w:val="-4"/>
        </w:rPr>
        <w:t xml:space="preserve"> </w:t>
      </w:r>
      <w:r w:rsidRPr="00EC20A0">
        <w:t>firm,</w:t>
      </w:r>
      <w:r w:rsidRPr="00EC20A0">
        <w:rPr>
          <w:spacing w:val="-4"/>
        </w:rPr>
        <w:t xml:space="preserve"> </w:t>
      </w:r>
      <w:r w:rsidRPr="00EC20A0">
        <w:t>the</w:t>
      </w:r>
      <w:r w:rsidRPr="00EC20A0">
        <w:rPr>
          <w:spacing w:val="-4"/>
        </w:rPr>
        <w:t xml:space="preserve"> </w:t>
      </w:r>
      <w:r w:rsidRPr="00EC20A0">
        <w:t>auditor’s considerations should include</w:t>
      </w:r>
    </w:p>
    <w:p w14:paraId="24D602FA" w14:textId="77777777" w:rsidR="00245300" w:rsidRPr="00EC20A0" w:rsidRDefault="00F17249">
      <w:pPr>
        <w:pStyle w:val="ListParagraph"/>
        <w:numPr>
          <w:ilvl w:val="1"/>
          <w:numId w:val="14"/>
        </w:numPr>
        <w:tabs>
          <w:tab w:val="left" w:pos="2218"/>
        </w:tabs>
        <w:spacing w:before="239"/>
        <w:ind w:left="2218" w:right="808"/>
      </w:pPr>
      <w:r w:rsidRPr="00EC20A0">
        <w:t>evaluating</w:t>
      </w:r>
      <w:r w:rsidRPr="00EC20A0">
        <w:rPr>
          <w:spacing w:val="-5"/>
        </w:rPr>
        <w:t xml:space="preserve"> </w:t>
      </w:r>
      <w:r w:rsidRPr="00EC20A0">
        <w:t>the</w:t>
      </w:r>
      <w:r w:rsidRPr="00EC20A0">
        <w:rPr>
          <w:spacing w:val="-5"/>
        </w:rPr>
        <w:t xml:space="preserve"> </w:t>
      </w:r>
      <w:r w:rsidRPr="00EC20A0">
        <w:t>IPA</w:t>
      </w:r>
      <w:r w:rsidRPr="00EC20A0">
        <w:rPr>
          <w:spacing w:val="-5"/>
        </w:rPr>
        <w:t xml:space="preserve"> </w:t>
      </w:r>
      <w:r w:rsidRPr="00EC20A0">
        <w:t>firm’s</w:t>
      </w:r>
      <w:r w:rsidRPr="00EC20A0">
        <w:rPr>
          <w:spacing w:val="-5"/>
        </w:rPr>
        <w:t xml:space="preserve"> </w:t>
      </w:r>
      <w:r w:rsidRPr="00EC20A0">
        <w:t>independence,</w:t>
      </w:r>
      <w:r w:rsidRPr="00EC20A0">
        <w:rPr>
          <w:spacing w:val="-5"/>
        </w:rPr>
        <w:t xml:space="preserve"> </w:t>
      </w:r>
      <w:r w:rsidRPr="00EC20A0">
        <w:t>objectivity,</w:t>
      </w:r>
      <w:r w:rsidRPr="00EC20A0">
        <w:rPr>
          <w:spacing w:val="-5"/>
        </w:rPr>
        <w:t xml:space="preserve"> </w:t>
      </w:r>
      <w:r w:rsidRPr="00EC20A0">
        <w:t>and</w:t>
      </w:r>
      <w:r w:rsidRPr="00EC20A0">
        <w:rPr>
          <w:spacing w:val="-5"/>
        </w:rPr>
        <w:t xml:space="preserve"> </w:t>
      </w:r>
      <w:r w:rsidRPr="00EC20A0">
        <w:t>competence</w:t>
      </w:r>
      <w:r w:rsidRPr="00EC20A0">
        <w:rPr>
          <w:spacing w:val="-5"/>
        </w:rPr>
        <w:t xml:space="preserve"> </w:t>
      </w:r>
      <w:r w:rsidRPr="00EC20A0">
        <w:t xml:space="preserve">(FAM </w:t>
      </w:r>
      <w:r w:rsidRPr="00EC20A0">
        <w:rPr>
          <w:spacing w:val="-2"/>
        </w:rPr>
        <w:t>670.08);</w:t>
      </w:r>
    </w:p>
    <w:p w14:paraId="24D602FB" w14:textId="77777777" w:rsidR="00245300" w:rsidRPr="00EC20A0" w:rsidRDefault="00245300">
      <w:pPr>
        <w:pStyle w:val="BodyText"/>
        <w:rPr>
          <w:sz w:val="20"/>
        </w:rPr>
      </w:pPr>
    </w:p>
    <w:p w14:paraId="24D602FC" w14:textId="77777777" w:rsidR="00245300" w:rsidRPr="00EC20A0" w:rsidRDefault="00245300">
      <w:pPr>
        <w:pStyle w:val="BodyText"/>
        <w:rPr>
          <w:sz w:val="20"/>
        </w:rPr>
      </w:pPr>
    </w:p>
    <w:p w14:paraId="24D602FD" w14:textId="77777777" w:rsidR="00245300" w:rsidRPr="00EC20A0" w:rsidRDefault="00245300">
      <w:pPr>
        <w:pStyle w:val="BodyText"/>
        <w:rPr>
          <w:sz w:val="20"/>
        </w:rPr>
      </w:pPr>
    </w:p>
    <w:p w14:paraId="24D602FE" w14:textId="77777777" w:rsidR="00245300" w:rsidRPr="00EC20A0" w:rsidRDefault="00F17249">
      <w:pPr>
        <w:pStyle w:val="BodyText"/>
        <w:spacing w:before="134"/>
        <w:rPr>
          <w:sz w:val="20"/>
        </w:rPr>
      </w:pPr>
      <w:r w:rsidRPr="00EC20A0">
        <w:rPr>
          <w:noProof/>
        </w:rPr>
        <mc:AlternateContent>
          <mc:Choice Requires="wps">
            <w:drawing>
              <wp:anchor distT="0" distB="0" distL="0" distR="0" simplePos="0" relativeHeight="487601152" behindDoc="1" locked="0" layoutInCell="1" allowOverlap="1" wp14:anchorId="24D62AE9" wp14:editId="24D62AEA">
                <wp:simplePos x="0" y="0"/>
                <wp:positionH relativeFrom="page">
                  <wp:posOffset>914400</wp:posOffset>
                </wp:positionH>
                <wp:positionV relativeFrom="paragraph">
                  <wp:posOffset>246453</wp:posOffset>
                </wp:positionV>
                <wp:extent cx="1828800" cy="571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B6A92" id="Graphic 143" o:spid="_x0000_s1026" style="position:absolute;margin-left:1in;margin-top:19.4pt;width:2in;height:.4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" path="m1828800,l,,,5334r1828800,l1828800,xe" fillcolor="black" stroked="f">
                <v:path arrowok="t"/>
                <w10:wrap type="topAndBottom" anchorx="page"/>
              </v:shape>
            </w:pict>
          </mc:Fallback>
        </mc:AlternateContent>
      </w:r>
    </w:p>
    <w:p w14:paraId="24D602FF" w14:textId="77777777" w:rsidR="00245300" w:rsidRPr="00EC20A0" w:rsidRDefault="00F17249">
      <w:pPr>
        <w:spacing w:before="200" w:line="244" w:lineRule="auto"/>
        <w:ind w:left="419" w:right="562"/>
        <w:rPr>
          <w:sz w:val="18"/>
        </w:rPr>
      </w:pPr>
      <w:bookmarkStart w:id="101" w:name="_bookmark30"/>
      <w:bookmarkEnd w:id="101"/>
      <w:r w:rsidRPr="00EC20A0">
        <w:rPr>
          <w:position w:val="7"/>
          <w:sz w:val="14"/>
        </w:rPr>
        <w:t>21</w:t>
      </w:r>
      <w:r w:rsidRPr="00EC20A0">
        <w:rPr>
          <w:sz w:val="18"/>
        </w:rPr>
        <w:t>31</w:t>
      </w:r>
      <w:r w:rsidRPr="00EC20A0">
        <w:rPr>
          <w:spacing w:val="-2"/>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3521,</w:t>
      </w:r>
      <w:r w:rsidRPr="00EC20A0">
        <w:rPr>
          <w:spacing w:val="-2"/>
          <w:sz w:val="18"/>
        </w:rPr>
        <w:t xml:space="preserve"> </w:t>
      </w:r>
      <w:r w:rsidRPr="00EC20A0">
        <w:rPr>
          <w:sz w:val="18"/>
        </w:rPr>
        <w:t>9105.</w:t>
      </w:r>
      <w:r w:rsidRPr="00EC20A0">
        <w:rPr>
          <w:spacing w:val="-2"/>
          <w:sz w:val="18"/>
        </w:rPr>
        <w:t xml:space="preserve"> </w:t>
      </w:r>
      <w:r w:rsidRPr="00EC20A0">
        <w:rPr>
          <w:sz w:val="18"/>
        </w:rPr>
        <w:t>Under</w:t>
      </w:r>
      <w:r w:rsidRPr="00EC20A0">
        <w:rPr>
          <w:spacing w:val="-2"/>
          <w:sz w:val="18"/>
        </w:rPr>
        <w:t xml:space="preserve"> </w:t>
      </w:r>
      <w:r w:rsidRPr="00EC20A0">
        <w:rPr>
          <w:sz w:val="18"/>
        </w:rPr>
        <w:t>the</w:t>
      </w:r>
      <w:r w:rsidRPr="00EC20A0">
        <w:rPr>
          <w:spacing w:val="-2"/>
          <w:sz w:val="18"/>
        </w:rPr>
        <w:t xml:space="preserve"> </w:t>
      </w:r>
      <w:r w:rsidRPr="00EC20A0">
        <w:rPr>
          <w:sz w:val="18"/>
        </w:rPr>
        <w:t>CFO</w:t>
      </w:r>
      <w:r w:rsidRPr="00EC20A0">
        <w:rPr>
          <w:spacing w:val="-2"/>
          <w:sz w:val="18"/>
        </w:rPr>
        <w:t xml:space="preserve"> </w:t>
      </w:r>
      <w:r w:rsidRPr="00EC20A0">
        <w:rPr>
          <w:sz w:val="18"/>
        </w:rPr>
        <w:t>Act,</w:t>
      </w:r>
      <w:r w:rsidRPr="00EC20A0">
        <w:rPr>
          <w:spacing w:val="-2"/>
          <w:sz w:val="18"/>
        </w:rPr>
        <w:t xml:space="preserve"> </w:t>
      </w:r>
      <w:r w:rsidRPr="00EC20A0">
        <w:rPr>
          <w:sz w:val="18"/>
        </w:rPr>
        <w:t>if</w:t>
      </w:r>
      <w:r w:rsidRPr="00EC20A0">
        <w:rPr>
          <w:spacing w:val="-3"/>
          <w:sz w:val="18"/>
        </w:rPr>
        <w:t xml:space="preserve"> </w:t>
      </w:r>
      <w:r w:rsidRPr="00EC20A0">
        <w:rPr>
          <w:sz w:val="18"/>
        </w:rPr>
        <w:t>the</w:t>
      </w:r>
      <w:r w:rsidRPr="00EC20A0">
        <w:rPr>
          <w:spacing w:val="-2"/>
          <w:sz w:val="18"/>
        </w:rPr>
        <w:t xml:space="preserve"> </w:t>
      </w:r>
      <w:r w:rsidRPr="00EC20A0">
        <w:rPr>
          <w:sz w:val="18"/>
        </w:rPr>
        <w:t>executive</w:t>
      </w:r>
      <w:r w:rsidRPr="00EC20A0">
        <w:rPr>
          <w:spacing w:val="-3"/>
          <w:sz w:val="18"/>
        </w:rPr>
        <w:t xml:space="preserve"> </w:t>
      </w:r>
      <w:r w:rsidRPr="00EC20A0">
        <w:rPr>
          <w:sz w:val="18"/>
        </w:rPr>
        <w:t>entity</w:t>
      </w:r>
      <w:r w:rsidRPr="00EC20A0">
        <w:rPr>
          <w:spacing w:val="-2"/>
          <w:sz w:val="18"/>
        </w:rPr>
        <w:t xml:space="preserve"> </w:t>
      </w:r>
      <w:r w:rsidRPr="00EC20A0">
        <w:rPr>
          <w:sz w:val="18"/>
        </w:rPr>
        <w:t>has</w:t>
      </w:r>
      <w:r w:rsidRPr="00EC20A0">
        <w:rPr>
          <w:spacing w:val="-1"/>
          <w:sz w:val="18"/>
        </w:rPr>
        <w:t xml:space="preserve"> </w:t>
      </w:r>
      <w:r w:rsidRPr="00EC20A0">
        <w:rPr>
          <w:sz w:val="18"/>
        </w:rPr>
        <w:t>an</w:t>
      </w:r>
      <w:r w:rsidRPr="00EC20A0">
        <w:rPr>
          <w:spacing w:val="-3"/>
          <w:sz w:val="18"/>
        </w:rPr>
        <w:t xml:space="preserve"> </w:t>
      </w:r>
      <w:r w:rsidRPr="00EC20A0">
        <w:rPr>
          <w:sz w:val="18"/>
        </w:rPr>
        <w:t>IG,</w:t>
      </w:r>
      <w:r w:rsidRPr="00EC20A0">
        <w:rPr>
          <w:spacing w:val="-2"/>
          <w:sz w:val="18"/>
        </w:rPr>
        <w:t xml:space="preserve"> </w:t>
      </w:r>
      <w:r w:rsidRPr="00EC20A0">
        <w:rPr>
          <w:sz w:val="18"/>
        </w:rPr>
        <w:t>but</w:t>
      </w:r>
      <w:r w:rsidRPr="00EC20A0">
        <w:rPr>
          <w:spacing w:val="-2"/>
          <w:sz w:val="18"/>
        </w:rPr>
        <w:t xml:space="preserve"> </w:t>
      </w:r>
      <w:r w:rsidRPr="00EC20A0">
        <w:rPr>
          <w:sz w:val="18"/>
        </w:rPr>
        <w:t>neither</w:t>
      </w:r>
      <w:r w:rsidRPr="00EC20A0">
        <w:rPr>
          <w:spacing w:val="-2"/>
          <w:sz w:val="18"/>
        </w:rPr>
        <w:t xml:space="preserve"> </w:t>
      </w:r>
      <w:r w:rsidRPr="00EC20A0">
        <w:rPr>
          <w:sz w:val="18"/>
        </w:rPr>
        <w:t>the</w:t>
      </w:r>
      <w:r w:rsidRPr="00EC20A0">
        <w:rPr>
          <w:spacing w:val="-3"/>
          <w:sz w:val="18"/>
        </w:rPr>
        <w:t xml:space="preserve"> </w:t>
      </w:r>
      <w:r w:rsidRPr="00EC20A0">
        <w:rPr>
          <w:sz w:val="18"/>
        </w:rPr>
        <w:t>entity’s</w:t>
      </w:r>
      <w:r w:rsidRPr="00EC20A0">
        <w:rPr>
          <w:spacing w:val="-2"/>
          <w:sz w:val="18"/>
        </w:rPr>
        <w:t xml:space="preserve"> </w:t>
      </w:r>
      <w:r w:rsidRPr="00EC20A0">
        <w:rPr>
          <w:sz w:val="18"/>
        </w:rPr>
        <w:t>IG</w:t>
      </w:r>
      <w:r w:rsidRPr="00EC20A0">
        <w:rPr>
          <w:spacing w:val="-2"/>
          <w:sz w:val="18"/>
        </w:rPr>
        <w:t xml:space="preserve"> </w:t>
      </w:r>
      <w:r w:rsidRPr="00EC20A0">
        <w:rPr>
          <w:sz w:val="18"/>
        </w:rPr>
        <w:t>nor</w:t>
      </w:r>
      <w:r w:rsidRPr="00EC20A0">
        <w:rPr>
          <w:spacing w:val="-2"/>
          <w:sz w:val="18"/>
        </w:rPr>
        <w:t xml:space="preserve"> </w:t>
      </w:r>
      <w:r w:rsidRPr="00EC20A0">
        <w:rPr>
          <w:sz w:val="18"/>
        </w:rPr>
        <w:t>the Comptroller General is performing the audit of the entity’s financial statements, then the entity’s IG is required to determine the independent external auditor (e.g., IPA firm) that will perform the work.</w:t>
      </w:r>
    </w:p>
    <w:p w14:paraId="24D60300" w14:textId="77777777" w:rsidR="00245300" w:rsidRPr="00EC20A0" w:rsidRDefault="00245300">
      <w:pPr>
        <w:spacing w:line="244" w:lineRule="auto"/>
        <w:rPr>
          <w:sz w:val="18"/>
        </w:rPr>
        <w:sectPr w:rsidR="00245300" w:rsidRPr="00EC20A0">
          <w:pgSz w:w="12240" w:h="15840"/>
          <w:pgMar w:top="1600" w:right="940" w:bottom="940" w:left="1020" w:header="721" w:footer="757" w:gutter="0"/>
          <w:cols w:space="720"/>
        </w:sectPr>
      </w:pPr>
    </w:p>
    <w:p w14:paraId="24D60301" w14:textId="77777777" w:rsidR="00245300" w:rsidRPr="00EC20A0" w:rsidRDefault="00F17249">
      <w:pPr>
        <w:pStyle w:val="ListParagraph"/>
        <w:numPr>
          <w:ilvl w:val="1"/>
          <w:numId w:val="14"/>
        </w:numPr>
        <w:tabs>
          <w:tab w:val="left" w:pos="2219"/>
        </w:tabs>
        <w:spacing w:before="121"/>
        <w:ind w:right="857"/>
      </w:pPr>
      <w:r w:rsidRPr="00EC20A0">
        <w:t>determining the type of written communication that the auditor will issue, general</w:t>
      </w:r>
      <w:r w:rsidRPr="00EC20A0">
        <w:rPr>
          <w:spacing w:val="-3"/>
        </w:rPr>
        <w:t xml:space="preserve"> </w:t>
      </w:r>
      <w:r w:rsidRPr="00EC20A0">
        <w:t>level</w:t>
      </w:r>
      <w:r w:rsidRPr="00EC20A0">
        <w:rPr>
          <w:spacing w:val="-3"/>
        </w:rPr>
        <w:t xml:space="preserve"> </w:t>
      </w:r>
      <w:r w:rsidRPr="00EC20A0">
        <w:t>of</w:t>
      </w:r>
      <w:r w:rsidRPr="00EC20A0">
        <w:rPr>
          <w:spacing w:val="-3"/>
        </w:rPr>
        <w:t xml:space="preserve"> </w:t>
      </w:r>
      <w:r w:rsidRPr="00EC20A0">
        <w:t>oversight</w:t>
      </w:r>
      <w:r w:rsidRPr="00EC20A0">
        <w:rPr>
          <w:spacing w:val="-3"/>
        </w:rPr>
        <w:t xml:space="preserve"> </w:t>
      </w:r>
      <w:r w:rsidRPr="00EC20A0">
        <w:t>to</w:t>
      </w:r>
      <w:r w:rsidRPr="00EC20A0">
        <w:rPr>
          <w:spacing w:val="-3"/>
        </w:rPr>
        <w:t xml:space="preserve"> </w:t>
      </w:r>
      <w:r w:rsidRPr="00EC20A0">
        <w:t>perform,</w:t>
      </w:r>
      <w:r w:rsidRPr="00EC20A0">
        <w:rPr>
          <w:spacing w:val="-3"/>
        </w:rPr>
        <w:t xml:space="preserve"> </w:t>
      </w:r>
      <w:r w:rsidRPr="00EC20A0">
        <w:t>and</w:t>
      </w:r>
      <w:r w:rsidRPr="00EC20A0">
        <w:rPr>
          <w:spacing w:val="-3"/>
        </w:rPr>
        <w:t xml:space="preserve"> </w:t>
      </w:r>
      <w:r w:rsidRPr="00EC20A0">
        <w:t>scope</w:t>
      </w:r>
      <w:r w:rsidRPr="00EC20A0">
        <w:rPr>
          <w:spacing w:val="-4"/>
        </w:rPr>
        <w:t xml:space="preserve"> </w:t>
      </w:r>
      <w:r w:rsidRPr="00EC20A0">
        <w:t>of</w:t>
      </w:r>
      <w:r w:rsidRPr="00EC20A0">
        <w:rPr>
          <w:spacing w:val="-3"/>
        </w:rPr>
        <w:t xml:space="preserve"> </w:t>
      </w:r>
      <w:r w:rsidRPr="00EC20A0">
        <w:t>review</w:t>
      </w:r>
      <w:r w:rsidRPr="00EC20A0">
        <w:rPr>
          <w:spacing w:val="-4"/>
        </w:rPr>
        <w:t xml:space="preserve"> </w:t>
      </w:r>
      <w:r w:rsidRPr="00EC20A0">
        <w:t>of</w:t>
      </w:r>
      <w:r w:rsidRPr="00EC20A0">
        <w:rPr>
          <w:spacing w:val="-4"/>
        </w:rPr>
        <w:t xml:space="preserve"> </w:t>
      </w:r>
      <w:r w:rsidRPr="00EC20A0">
        <w:t>the</w:t>
      </w:r>
      <w:r w:rsidRPr="00EC20A0">
        <w:rPr>
          <w:spacing w:val="-3"/>
        </w:rPr>
        <w:t xml:space="preserve"> </w:t>
      </w:r>
      <w:r w:rsidRPr="00EC20A0">
        <w:t>IPA</w:t>
      </w:r>
      <w:r w:rsidRPr="00EC20A0">
        <w:rPr>
          <w:spacing w:val="-3"/>
        </w:rPr>
        <w:t xml:space="preserve"> </w:t>
      </w:r>
      <w:r w:rsidRPr="00EC20A0">
        <w:t>firm’s audit documentation (FAM 670.09 through .11 and FAM 670 A); and</w:t>
      </w:r>
    </w:p>
    <w:p w14:paraId="24D60302" w14:textId="77777777" w:rsidR="00245300" w:rsidRPr="00EC20A0" w:rsidRDefault="00F17249">
      <w:pPr>
        <w:pStyle w:val="ListParagraph"/>
        <w:numPr>
          <w:ilvl w:val="1"/>
          <w:numId w:val="14"/>
        </w:numPr>
        <w:tabs>
          <w:tab w:val="left" w:pos="2218"/>
        </w:tabs>
        <w:spacing w:before="238"/>
        <w:ind w:left="2218" w:right="723"/>
        <w:jc w:val="both"/>
      </w:pPr>
      <w:r w:rsidRPr="00EC20A0">
        <w:t>communicating</w:t>
      </w:r>
      <w:r w:rsidRPr="00EC20A0">
        <w:rPr>
          <w:spacing w:val="-4"/>
        </w:rPr>
        <w:t xml:space="preserve"> </w:t>
      </w:r>
      <w:r w:rsidRPr="00EC20A0">
        <w:t>the</w:t>
      </w:r>
      <w:r w:rsidRPr="00EC20A0">
        <w:rPr>
          <w:spacing w:val="-4"/>
        </w:rPr>
        <w:t xml:space="preserve"> </w:t>
      </w:r>
      <w:r w:rsidRPr="00EC20A0">
        <w:t>written</w:t>
      </w:r>
      <w:r w:rsidRPr="00EC20A0">
        <w:rPr>
          <w:spacing w:val="-4"/>
        </w:rPr>
        <w:t xml:space="preserve"> </w:t>
      </w:r>
      <w:r w:rsidRPr="00EC20A0">
        <w:t>results</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auditor’s</w:t>
      </w:r>
      <w:r w:rsidRPr="00EC20A0">
        <w:rPr>
          <w:spacing w:val="-4"/>
        </w:rPr>
        <w:t xml:space="preserve"> </w:t>
      </w:r>
      <w:r w:rsidRPr="00EC20A0">
        <w:t>oversight</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IPA</w:t>
      </w:r>
      <w:r w:rsidRPr="00EC20A0">
        <w:rPr>
          <w:spacing w:val="-5"/>
        </w:rPr>
        <w:t xml:space="preserve"> </w:t>
      </w:r>
      <w:r w:rsidRPr="00EC20A0">
        <w:t>firm’s audit</w:t>
      </w:r>
      <w:r w:rsidRPr="00EC20A0">
        <w:rPr>
          <w:spacing w:val="-3"/>
        </w:rPr>
        <w:t xml:space="preserve"> </w:t>
      </w:r>
      <w:r w:rsidRPr="00EC20A0">
        <w:t>to</w:t>
      </w:r>
      <w:r w:rsidRPr="00EC20A0">
        <w:rPr>
          <w:spacing w:val="-4"/>
        </w:rPr>
        <w:t xml:space="preserve"> </w:t>
      </w:r>
      <w:r w:rsidRPr="00EC20A0">
        <w:t>management,</w:t>
      </w:r>
      <w:r w:rsidRPr="00EC20A0">
        <w:rPr>
          <w:spacing w:val="-3"/>
        </w:rPr>
        <w:t xml:space="preserve"> </w:t>
      </w:r>
      <w:r w:rsidRPr="00EC20A0">
        <w:t>those</w:t>
      </w:r>
      <w:r w:rsidRPr="00EC20A0">
        <w:rPr>
          <w:spacing w:val="-4"/>
        </w:rPr>
        <w:t xml:space="preserve"> </w:t>
      </w:r>
      <w:r w:rsidRPr="00EC20A0">
        <w:t>charged</w:t>
      </w:r>
      <w:r w:rsidRPr="00EC20A0">
        <w:rPr>
          <w:spacing w:val="-4"/>
        </w:rPr>
        <w:t xml:space="preserve"> </w:t>
      </w:r>
      <w:r w:rsidRPr="00EC20A0">
        <w:t>with</w:t>
      </w:r>
      <w:r w:rsidRPr="00EC20A0">
        <w:rPr>
          <w:spacing w:val="-3"/>
        </w:rPr>
        <w:t xml:space="preserve"> </w:t>
      </w:r>
      <w:r w:rsidRPr="00EC20A0">
        <w:t>governance,</w:t>
      </w:r>
      <w:r w:rsidRPr="00EC20A0">
        <w:rPr>
          <w:spacing w:val="-4"/>
        </w:rPr>
        <w:t xml:space="preserve"> </w:t>
      </w:r>
      <w:r w:rsidRPr="00EC20A0">
        <w:t>and</w:t>
      </w:r>
      <w:r w:rsidRPr="00EC20A0">
        <w:rPr>
          <w:spacing w:val="-3"/>
        </w:rPr>
        <w:t xml:space="preserve"> </w:t>
      </w:r>
      <w:r w:rsidRPr="00EC20A0">
        <w:t>other</w:t>
      </w:r>
      <w:r w:rsidRPr="00EC20A0">
        <w:rPr>
          <w:spacing w:val="-3"/>
        </w:rPr>
        <w:t xml:space="preserve"> </w:t>
      </w:r>
      <w:r w:rsidRPr="00EC20A0">
        <w:t>interested parties (FAM 670.21 through .22).</w:t>
      </w:r>
    </w:p>
    <w:p w14:paraId="24D60303" w14:textId="77777777" w:rsidR="00245300" w:rsidRPr="00EC20A0" w:rsidRDefault="00F17249">
      <w:pPr>
        <w:pStyle w:val="ListParagraph"/>
        <w:numPr>
          <w:ilvl w:val="0"/>
          <w:numId w:val="14"/>
        </w:numPr>
        <w:tabs>
          <w:tab w:val="left" w:pos="1858"/>
        </w:tabs>
        <w:spacing w:before="238"/>
        <w:ind w:right="677"/>
      </w:pPr>
      <w:r w:rsidRPr="00EC20A0">
        <w:t xml:space="preserve">The auditor and IPA firm generally should coordinate throughout the audit to </w:t>
      </w:r>
      <w:r w:rsidRPr="00EC20A0">
        <w:t>ensure</w:t>
      </w:r>
      <w:r w:rsidRPr="00EC20A0">
        <w:rPr>
          <w:spacing w:val="-4"/>
        </w:rPr>
        <w:t xml:space="preserve"> </w:t>
      </w:r>
      <w:r w:rsidRPr="00EC20A0">
        <w:t>that</w:t>
      </w:r>
      <w:r w:rsidRPr="00EC20A0">
        <w:rPr>
          <w:spacing w:val="-5"/>
        </w:rPr>
        <w:t xml:space="preserve"> </w:t>
      </w:r>
      <w:r w:rsidRPr="00EC20A0">
        <w:t>statutory,</w:t>
      </w:r>
      <w:r w:rsidRPr="00EC20A0">
        <w:rPr>
          <w:spacing w:val="-4"/>
        </w:rPr>
        <w:t xml:space="preserve"> </w:t>
      </w:r>
      <w:r w:rsidRPr="00EC20A0">
        <w:t>regulatory,</w:t>
      </w:r>
      <w:r w:rsidRPr="00EC20A0">
        <w:rPr>
          <w:spacing w:val="-4"/>
        </w:rPr>
        <w:t xml:space="preserve"> </w:t>
      </w:r>
      <w:r w:rsidRPr="00EC20A0">
        <w:t>contractual,</w:t>
      </w:r>
      <w:r w:rsidRPr="00EC20A0">
        <w:rPr>
          <w:spacing w:val="-4"/>
        </w:rPr>
        <w:t xml:space="preserve"> </w:t>
      </w:r>
      <w:r w:rsidRPr="00EC20A0">
        <w:t>and</w:t>
      </w:r>
      <w:r w:rsidRPr="00EC20A0">
        <w:rPr>
          <w:spacing w:val="-4"/>
        </w:rPr>
        <w:t xml:space="preserve"> </w:t>
      </w:r>
      <w:r w:rsidRPr="00EC20A0">
        <w:t>policy</w:t>
      </w:r>
      <w:r w:rsidRPr="00EC20A0">
        <w:rPr>
          <w:spacing w:val="-4"/>
        </w:rPr>
        <w:t xml:space="preserve"> </w:t>
      </w:r>
      <w:r w:rsidRPr="00EC20A0">
        <w:t>requirements</w:t>
      </w:r>
      <w:r w:rsidRPr="00EC20A0">
        <w:rPr>
          <w:spacing w:val="-4"/>
        </w:rPr>
        <w:t xml:space="preserve"> </w:t>
      </w:r>
      <w:r w:rsidRPr="00EC20A0">
        <w:t>related</w:t>
      </w:r>
      <w:r w:rsidRPr="00EC20A0">
        <w:rPr>
          <w:spacing w:val="-4"/>
        </w:rPr>
        <w:t xml:space="preserve"> </w:t>
      </w:r>
      <w:r w:rsidRPr="00EC20A0">
        <w:t>to the financial statement audit are met. The IPA firm should also provide the auditor full and timely access to appropriate engagement team members and audit documentation for review (GAGAS (2018) 6.34). This may occur on an ongoing basis during the audit, although supervisory review within the IPA firm may not have been fully completed.</w:t>
      </w:r>
    </w:p>
    <w:p w14:paraId="24D60304" w14:textId="77777777" w:rsidR="00245300" w:rsidRPr="00EC20A0" w:rsidRDefault="00F17249">
      <w:pPr>
        <w:pStyle w:val="Heading4"/>
      </w:pPr>
      <w:bookmarkStart w:id="102" w:name="The_Independence,_Objectivity,_and_Compe"/>
      <w:bookmarkEnd w:id="102"/>
      <w:r w:rsidRPr="00EC20A0">
        <w:t>The</w:t>
      </w:r>
      <w:r w:rsidRPr="00EC20A0">
        <w:rPr>
          <w:spacing w:val="-12"/>
        </w:rPr>
        <w:t xml:space="preserve"> </w:t>
      </w:r>
      <w:r w:rsidRPr="00EC20A0">
        <w:t>Independence,</w:t>
      </w:r>
      <w:r w:rsidRPr="00EC20A0">
        <w:rPr>
          <w:spacing w:val="-11"/>
        </w:rPr>
        <w:t xml:space="preserve"> </w:t>
      </w:r>
      <w:r w:rsidRPr="00EC20A0">
        <w:t>Objectivity,</w:t>
      </w:r>
      <w:r w:rsidRPr="00EC20A0">
        <w:rPr>
          <w:spacing w:val="-12"/>
        </w:rPr>
        <w:t xml:space="preserve"> </w:t>
      </w:r>
      <w:r w:rsidRPr="00EC20A0">
        <w:t>and</w:t>
      </w:r>
      <w:r w:rsidRPr="00EC20A0">
        <w:rPr>
          <w:spacing w:val="-12"/>
        </w:rPr>
        <w:t xml:space="preserve"> </w:t>
      </w:r>
      <w:r w:rsidRPr="00EC20A0">
        <w:t>Competence</w:t>
      </w:r>
      <w:r w:rsidRPr="00EC20A0">
        <w:rPr>
          <w:spacing w:val="-12"/>
        </w:rPr>
        <w:t xml:space="preserve"> </w:t>
      </w:r>
      <w:r w:rsidRPr="00EC20A0">
        <w:t>of</w:t>
      </w:r>
      <w:r w:rsidRPr="00EC20A0">
        <w:rPr>
          <w:spacing w:val="-11"/>
        </w:rPr>
        <w:t xml:space="preserve"> </w:t>
      </w:r>
      <w:r w:rsidRPr="00EC20A0">
        <w:t>the</w:t>
      </w:r>
      <w:r w:rsidRPr="00EC20A0">
        <w:rPr>
          <w:spacing w:val="-11"/>
        </w:rPr>
        <w:t xml:space="preserve"> </w:t>
      </w:r>
      <w:r w:rsidRPr="00EC20A0">
        <w:t>IPA</w:t>
      </w:r>
      <w:r w:rsidRPr="00EC20A0">
        <w:rPr>
          <w:spacing w:val="-12"/>
        </w:rPr>
        <w:t xml:space="preserve"> </w:t>
      </w:r>
      <w:r w:rsidRPr="00EC20A0">
        <w:rPr>
          <w:spacing w:val="-4"/>
        </w:rPr>
        <w:t>Firm</w:t>
      </w:r>
    </w:p>
    <w:p w14:paraId="24D60305" w14:textId="77777777" w:rsidR="00245300" w:rsidRPr="00EC20A0" w:rsidRDefault="00F17249">
      <w:pPr>
        <w:pStyle w:val="ListParagraph"/>
        <w:numPr>
          <w:ilvl w:val="0"/>
          <w:numId w:val="14"/>
        </w:numPr>
        <w:tabs>
          <w:tab w:val="left" w:pos="1859"/>
        </w:tabs>
        <w:ind w:left="1859" w:right="593"/>
      </w:pPr>
      <w:r w:rsidRPr="00EC20A0">
        <w:t>The auditor should evaluate whether the IPA firm is independent and objective with</w:t>
      </w:r>
      <w:r w:rsidRPr="00EC20A0">
        <w:rPr>
          <w:spacing w:val="-3"/>
        </w:rPr>
        <w:t xml:space="preserve"> </w:t>
      </w:r>
      <w:r w:rsidRPr="00EC20A0">
        <w:t>respect</w:t>
      </w:r>
      <w:r w:rsidRPr="00EC20A0">
        <w:rPr>
          <w:spacing w:val="-4"/>
        </w:rPr>
        <w:t xml:space="preserve"> </w:t>
      </w:r>
      <w:r w:rsidRPr="00EC20A0">
        <w:t>to</w:t>
      </w:r>
      <w:r w:rsidRPr="00EC20A0">
        <w:rPr>
          <w:spacing w:val="-3"/>
        </w:rPr>
        <w:t xml:space="preserve"> </w:t>
      </w:r>
      <w:r w:rsidRPr="00EC20A0">
        <w:t>the</w:t>
      </w:r>
      <w:r w:rsidRPr="00EC20A0">
        <w:rPr>
          <w:spacing w:val="-3"/>
        </w:rPr>
        <w:t xml:space="preserve"> </w:t>
      </w:r>
      <w:r w:rsidRPr="00EC20A0">
        <w:t>audited</w:t>
      </w:r>
      <w:r w:rsidRPr="00EC20A0">
        <w:rPr>
          <w:spacing w:val="-3"/>
        </w:rPr>
        <w:t xml:space="preserve"> </w:t>
      </w:r>
      <w:r w:rsidRPr="00EC20A0">
        <w:t>entity.</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3"/>
        </w:rPr>
        <w:t xml:space="preserve"> </w:t>
      </w:r>
      <w:r w:rsidRPr="00EC20A0">
        <w:t>also</w:t>
      </w:r>
      <w:r w:rsidRPr="00EC20A0">
        <w:rPr>
          <w:spacing w:val="-3"/>
        </w:rPr>
        <w:t xml:space="preserve"> </w:t>
      </w:r>
      <w:r w:rsidRPr="00EC20A0">
        <w:t>evaluate</w:t>
      </w:r>
      <w:r w:rsidRPr="00EC20A0">
        <w:rPr>
          <w:spacing w:val="-3"/>
        </w:rPr>
        <w:t xml:space="preserve"> </w:t>
      </w:r>
      <w:r w:rsidRPr="00EC20A0">
        <w:t>the</w:t>
      </w:r>
      <w:r w:rsidRPr="00EC20A0">
        <w:rPr>
          <w:spacing w:val="-3"/>
        </w:rPr>
        <w:t xml:space="preserve"> </w:t>
      </w:r>
      <w:r w:rsidRPr="00EC20A0">
        <w:t>IPA</w:t>
      </w:r>
      <w:r w:rsidRPr="00EC20A0">
        <w:rPr>
          <w:spacing w:val="-3"/>
        </w:rPr>
        <w:t xml:space="preserve"> </w:t>
      </w:r>
      <w:r w:rsidRPr="00EC20A0">
        <w:t xml:space="preserve">firm’s competence and capabilities to perform the audit. See FAM 615 for additional </w:t>
      </w:r>
      <w:r w:rsidRPr="00EC20A0">
        <w:rPr>
          <w:spacing w:val="-2"/>
        </w:rPr>
        <w:t>guidance.</w:t>
      </w:r>
    </w:p>
    <w:p w14:paraId="24D60306" w14:textId="77777777" w:rsidR="00245300" w:rsidRPr="00EC20A0" w:rsidRDefault="00F17249">
      <w:pPr>
        <w:pStyle w:val="Heading4"/>
        <w:spacing w:before="241"/>
      </w:pPr>
      <w:bookmarkStart w:id="103" w:name="Planning_the_Review_of_the_IPA_Firm’s_Au"/>
      <w:bookmarkEnd w:id="103"/>
      <w:r w:rsidRPr="00EC20A0">
        <w:t>Planning</w:t>
      </w:r>
      <w:r w:rsidRPr="00EC20A0">
        <w:rPr>
          <w:spacing w:val="-8"/>
        </w:rPr>
        <w:t xml:space="preserve"> </w:t>
      </w:r>
      <w:r w:rsidRPr="00EC20A0">
        <w:t>the</w:t>
      </w:r>
      <w:r w:rsidRPr="00EC20A0">
        <w:rPr>
          <w:spacing w:val="-8"/>
        </w:rPr>
        <w:t xml:space="preserve"> </w:t>
      </w:r>
      <w:r w:rsidRPr="00EC20A0">
        <w:t>Review</w:t>
      </w:r>
      <w:r w:rsidRPr="00EC20A0">
        <w:rPr>
          <w:spacing w:val="-9"/>
        </w:rPr>
        <w:t xml:space="preserve"> </w:t>
      </w:r>
      <w:r w:rsidRPr="00EC20A0">
        <w:t>of</w:t>
      </w:r>
      <w:r w:rsidRPr="00EC20A0">
        <w:rPr>
          <w:spacing w:val="-8"/>
        </w:rPr>
        <w:t xml:space="preserve"> </w:t>
      </w:r>
      <w:r w:rsidRPr="00EC20A0">
        <w:t>the</w:t>
      </w:r>
      <w:r w:rsidRPr="00EC20A0">
        <w:rPr>
          <w:spacing w:val="-9"/>
        </w:rPr>
        <w:t xml:space="preserve"> </w:t>
      </w:r>
      <w:r w:rsidRPr="00EC20A0">
        <w:t>IPA</w:t>
      </w:r>
      <w:r w:rsidRPr="00EC20A0">
        <w:rPr>
          <w:spacing w:val="-9"/>
        </w:rPr>
        <w:t xml:space="preserve"> </w:t>
      </w:r>
      <w:r w:rsidRPr="00EC20A0">
        <w:t>Firm’s</w:t>
      </w:r>
      <w:r w:rsidRPr="00EC20A0">
        <w:rPr>
          <w:spacing w:val="-8"/>
        </w:rPr>
        <w:t xml:space="preserve"> </w:t>
      </w:r>
      <w:r w:rsidRPr="00EC20A0">
        <w:t>Audit</w:t>
      </w:r>
      <w:r w:rsidRPr="00EC20A0">
        <w:rPr>
          <w:spacing w:val="-8"/>
        </w:rPr>
        <w:t xml:space="preserve"> </w:t>
      </w:r>
      <w:r w:rsidRPr="00EC20A0">
        <w:rPr>
          <w:spacing w:val="-4"/>
        </w:rPr>
        <w:t>Work</w:t>
      </w:r>
    </w:p>
    <w:p w14:paraId="24D60307" w14:textId="77777777" w:rsidR="00245300" w:rsidRPr="00EC20A0" w:rsidRDefault="00F17249">
      <w:pPr>
        <w:pStyle w:val="ListParagraph"/>
        <w:numPr>
          <w:ilvl w:val="0"/>
          <w:numId w:val="14"/>
        </w:numPr>
        <w:tabs>
          <w:tab w:val="left" w:pos="1858"/>
        </w:tabs>
        <w:spacing w:before="239"/>
        <w:ind w:right="507" w:hanging="719"/>
      </w:pPr>
      <w:r w:rsidRPr="00EC20A0">
        <w:t>The auditor should determine the type of written communication the auditor will issue, and then develop a strategy and plan for overseeing the IPA firm’s work. The strategy should be driven by a risk-based approach, which depends on the type</w:t>
      </w:r>
      <w:r w:rsidRPr="00EC20A0">
        <w:rPr>
          <w:spacing w:val="-4"/>
        </w:rPr>
        <w:t xml:space="preserve"> </w:t>
      </w:r>
      <w:r w:rsidRPr="00EC20A0">
        <w:t>of</w:t>
      </w:r>
      <w:r w:rsidRPr="00EC20A0">
        <w:rPr>
          <w:spacing w:val="-4"/>
        </w:rPr>
        <w:t xml:space="preserve"> </w:t>
      </w:r>
      <w:r w:rsidRPr="00EC20A0">
        <w:t>communication</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plans</w:t>
      </w:r>
      <w:r w:rsidRPr="00EC20A0">
        <w:rPr>
          <w:spacing w:val="-4"/>
        </w:rPr>
        <w:t xml:space="preserve"> </w:t>
      </w:r>
      <w:r w:rsidRPr="00EC20A0">
        <w:t>on</w:t>
      </w:r>
      <w:r w:rsidRPr="00EC20A0">
        <w:rPr>
          <w:spacing w:val="-4"/>
        </w:rPr>
        <w:t xml:space="preserve"> </w:t>
      </w:r>
      <w:r w:rsidRPr="00EC20A0">
        <w:t>issuing.</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document the strategy and plan for overseeing the IPA firm’s work, including the planned level of review as moderate or low, in an oversight plan.</w:t>
      </w:r>
    </w:p>
    <w:p w14:paraId="24D60308" w14:textId="77777777" w:rsidR="00245300" w:rsidRPr="00EC20A0" w:rsidRDefault="00F17249">
      <w:pPr>
        <w:pStyle w:val="BodyText"/>
        <w:spacing w:before="241"/>
        <w:ind w:left="1859" w:right="562" w:hanging="1"/>
      </w:pPr>
      <w:r w:rsidRPr="00EC20A0">
        <w:t>Table</w:t>
      </w:r>
      <w:r w:rsidRPr="00EC20A0">
        <w:rPr>
          <w:spacing w:val="-3"/>
        </w:rPr>
        <w:t xml:space="preserve"> </w:t>
      </w:r>
      <w:r w:rsidRPr="00EC20A0">
        <w:t>670.1</w:t>
      </w:r>
      <w:r w:rsidRPr="00EC20A0">
        <w:rPr>
          <w:spacing w:val="-4"/>
        </w:rPr>
        <w:t xml:space="preserve"> </w:t>
      </w:r>
      <w:r w:rsidRPr="00EC20A0">
        <w:t>presents</w:t>
      </w:r>
      <w:r w:rsidRPr="00EC20A0">
        <w:rPr>
          <w:spacing w:val="-3"/>
        </w:rPr>
        <w:t xml:space="preserve"> </w:t>
      </w:r>
      <w:r w:rsidRPr="00EC20A0">
        <w:t>an</w:t>
      </w:r>
      <w:r w:rsidRPr="00EC20A0">
        <w:rPr>
          <w:spacing w:val="-4"/>
        </w:rPr>
        <w:t xml:space="preserve"> </w:t>
      </w:r>
      <w:r w:rsidRPr="00EC20A0">
        <w:t>overview</w:t>
      </w:r>
      <w:r w:rsidRPr="00EC20A0">
        <w:rPr>
          <w:spacing w:val="-4"/>
        </w:rPr>
        <w:t xml:space="preserve"> </w:t>
      </w:r>
      <w:r w:rsidRPr="00EC20A0">
        <w:t>of</w:t>
      </w:r>
      <w:r w:rsidRPr="00EC20A0">
        <w:rPr>
          <w:spacing w:val="-4"/>
        </w:rPr>
        <w:t xml:space="preserve"> </w:t>
      </w:r>
      <w:r w:rsidRPr="00EC20A0">
        <w:t>the</w:t>
      </w:r>
      <w:r w:rsidRPr="00EC20A0">
        <w:rPr>
          <w:spacing w:val="-3"/>
        </w:rPr>
        <w:t xml:space="preserve"> </w:t>
      </w:r>
      <w:r w:rsidRPr="00EC20A0">
        <w:t>suggested</w:t>
      </w:r>
      <w:r w:rsidRPr="00EC20A0">
        <w:rPr>
          <w:spacing w:val="-3"/>
        </w:rPr>
        <w:t xml:space="preserve"> </w:t>
      </w:r>
      <w:r w:rsidRPr="00EC20A0">
        <w:t>level</w:t>
      </w:r>
      <w:r w:rsidRPr="00EC20A0">
        <w:rPr>
          <w:spacing w:val="-3"/>
        </w:rPr>
        <w:t xml:space="preserve"> </w:t>
      </w:r>
      <w:r w:rsidRPr="00EC20A0">
        <w:t>of</w:t>
      </w:r>
      <w:r w:rsidRPr="00EC20A0">
        <w:rPr>
          <w:spacing w:val="-3"/>
        </w:rPr>
        <w:t xml:space="preserve"> </w:t>
      </w:r>
      <w:r w:rsidRPr="00EC20A0">
        <w:t>review</w:t>
      </w:r>
      <w:r w:rsidRPr="00EC20A0">
        <w:rPr>
          <w:spacing w:val="-3"/>
        </w:rPr>
        <w:t xml:space="preserve"> </w:t>
      </w:r>
      <w:r w:rsidRPr="00EC20A0">
        <w:t>the</w:t>
      </w:r>
      <w:r w:rsidRPr="00EC20A0">
        <w:rPr>
          <w:spacing w:val="-3"/>
        </w:rPr>
        <w:t xml:space="preserve"> </w:t>
      </w:r>
      <w:r w:rsidRPr="00EC20A0">
        <w:t>auditor generally should perform for the two types of communication. The extent of review</w:t>
      </w:r>
      <w:r w:rsidRPr="00EC20A0">
        <w:rPr>
          <w:spacing w:val="-1"/>
        </w:rPr>
        <w:t xml:space="preserve"> </w:t>
      </w:r>
      <w:r w:rsidRPr="00EC20A0">
        <w:t xml:space="preserve">in </w:t>
      </w:r>
      <w:r w:rsidRPr="00EC20A0">
        <w:t>each category</w:t>
      </w:r>
      <w:r w:rsidRPr="00EC20A0">
        <w:rPr>
          <w:spacing w:val="-1"/>
        </w:rPr>
        <w:t xml:space="preserve"> </w:t>
      </w:r>
      <w:r w:rsidRPr="00EC20A0">
        <w:t>depends on</w:t>
      </w:r>
      <w:r w:rsidRPr="00EC20A0">
        <w:rPr>
          <w:spacing w:val="-1"/>
        </w:rPr>
        <w:t xml:space="preserve"> </w:t>
      </w:r>
      <w:r w:rsidRPr="00EC20A0">
        <w:t>the auditor’s</w:t>
      </w:r>
      <w:r w:rsidRPr="00EC20A0">
        <w:rPr>
          <w:spacing w:val="-1"/>
        </w:rPr>
        <w:t xml:space="preserve"> </w:t>
      </w:r>
      <w:r w:rsidRPr="00EC20A0">
        <w:t>professional judgment. See FAM 670.21 through .22 for discussion on the types of communications.</w:t>
      </w:r>
    </w:p>
    <w:p w14:paraId="24D60309" w14:textId="77777777" w:rsidR="00245300" w:rsidRPr="00EC20A0" w:rsidRDefault="00F17249">
      <w:pPr>
        <w:pStyle w:val="Heading6"/>
        <w:spacing w:before="239"/>
        <w:ind w:left="1859" w:right="562"/>
      </w:pPr>
      <w:r w:rsidRPr="00EC20A0">
        <w:t>Table</w:t>
      </w:r>
      <w:r w:rsidRPr="00EC20A0">
        <w:rPr>
          <w:spacing w:val="-5"/>
        </w:rPr>
        <w:t xml:space="preserve"> </w:t>
      </w:r>
      <w:r w:rsidRPr="00EC20A0">
        <w:t>670.1:</w:t>
      </w:r>
      <w:r w:rsidRPr="00EC20A0">
        <w:rPr>
          <w:spacing w:val="-5"/>
        </w:rPr>
        <w:t xml:space="preserve"> </w:t>
      </w:r>
      <w:r w:rsidRPr="00EC20A0">
        <w:t>Overview</w:t>
      </w:r>
      <w:r w:rsidRPr="00EC20A0">
        <w:rPr>
          <w:spacing w:val="-4"/>
        </w:rPr>
        <w:t xml:space="preserve"> </w:t>
      </w:r>
      <w:r w:rsidRPr="00EC20A0">
        <w:t>of</w:t>
      </w:r>
      <w:r w:rsidRPr="00EC20A0">
        <w:rPr>
          <w:spacing w:val="-5"/>
        </w:rPr>
        <w:t xml:space="preserve"> </w:t>
      </w:r>
      <w:r w:rsidRPr="00EC20A0">
        <w:t>Review</w:t>
      </w:r>
      <w:r w:rsidRPr="00EC20A0">
        <w:rPr>
          <w:spacing w:val="-5"/>
        </w:rPr>
        <w:t xml:space="preserve"> </w:t>
      </w:r>
      <w:r w:rsidRPr="00EC20A0">
        <w:t>Performed</w:t>
      </w:r>
      <w:r w:rsidRPr="00EC20A0">
        <w:rPr>
          <w:spacing w:val="-4"/>
        </w:rPr>
        <w:t xml:space="preserve"> </w:t>
      </w:r>
      <w:r w:rsidRPr="00EC20A0">
        <w:t>for</w:t>
      </w:r>
      <w:r w:rsidRPr="00EC20A0">
        <w:rPr>
          <w:spacing w:val="-6"/>
        </w:rPr>
        <w:t xml:space="preserve"> </w:t>
      </w:r>
      <w:r w:rsidRPr="00EC20A0">
        <w:t>Each</w:t>
      </w:r>
      <w:r w:rsidRPr="00EC20A0">
        <w:rPr>
          <w:spacing w:val="-5"/>
        </w:rPr>
        <w:t xml:space="preserve"> </w:t>
      </w:r>
      <w:r w:rsidRPr="00EC20A0">
        <w:t>Type</w:t>
      </w:r>
      <w:r w:rsidRPr="00EC20A0">
        <w:rPr>
          <w:spacing w:val="-5"/>
        </w:rPr>
        <w:t xml:space="preserve"> </w:t>
      </w:r>
      <w:r w:rsidRPr="00EC20A0">
        <w:t xml:space="preserve">of </w:t>
      </w:r>
      <w:r w:rsidRPr="00EC20A0">
        <w:rPr>
          <w:spacing w:val="-2"/>
        </w:rPr>
        <w:t>Communication</w:t>
      </w:r>
    </w:p>
    <w:p w14:paraId="24D6030A" w14:textId="77777777" w:rsidR="00245300" w:rsidRPr="00EC20A0" w:rsidRDefault="00245300">
      <w:pPr>
        <w:pStyle w:val="BodyText"/>
        <w:spacing w:before="5"/>
        <w:rPr>
          <w:b/>
          <w:sz w:val="10"/>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060"/>
      </w:tblGrid>
      <w:tr w:rsidR="00245300" w:rsidRPr="00EC20A0" w14:paraId="24D6030E" w14:textId="77777777">
        <w:trPr>
          <w:trHeight w:val="746"/>
        </w:trPr>
        <w:tc>
          <w:tcPr>
            <w:tcW w:w="4860" w:type="dxa"/>
          </w:tcPr>
          <w:p w14:paraId="24D6030B" w14:textId="77777777" w:rsidR="00245300" w:rsidRPr="00EC20A0" w:rsidRDefault="00245300">
            <w:pPr>
              <w:pStyle w:val="TableParagraph"/>
              <w:spacing w:before="120"/>
              <w:rPr>
                <w:b/>
              </w:rPr>
            </w:pPr>
          </w:p>
          <w:p w14:paraId="24D6030C" w14:textId="77777777" w:rsidR="00245300" w:rsidRPr="00EC20A0" w:rsidRDefault="00F17249">
            <w:pPr>
              <w:pStyle w:val="TableParagraph"/>
              <w:ind w:left="107"/>
              <w:rPr>
                <w:b/>
              </w:rPr>
            </w:pPr>
            <w:r w:rsidRPr="00EC20A0">
              <w:rPr>
                <w:b/>
              </w:rPr>
              <w:t>Type</w:t>
            </w:r>
            <w:r w:rsidRPr="00EC20A0">
              <w:rPr>
                <w:b/>
                <w:spacing w:val="-4"/>
              </w:rPr>
              <w:t xml:space="preserve"> </w:t>
            </w:r>
            <w:r w:rsidRPr="00EC20A0">
              <w:rPr>
                <w:b/>
              </w:rPr>
              <w:t>of</w:t>
            </w:r>
            <w:r w:rsidRPr="00EC20A0">
              <w:rPr>
                <w:b/>
                <w:spacing w:val="-3"/>
              </w:rPr>
              <w:t xml:space="preserve"> </w:t>
            </w:r>
            <w:r w:rsidRPr="00EC20A0">
              <w:rPr>
                <w:b/>
                <w:spacing w:val="-2"/>
              </w:rPr>
              <w:t>communication</w:t>
            </w:r>
          </w:p>
        </w:tc>
        <w:tc>
          <w:tcPr>
            <w:tcW w:w="3060" w:type="dxa"/>
          </w:tcPr>
          <w:p w14:paraId="24D6030D" w14:textId="77777777" w:rsidR="00245300" w:rsidRPr="00EC20A0" w:rsidRDefault="00F17249">
            <w:pPr>
              <w:pStyle w:val="TableParagraph"/>
              <w:spacing w:before="120"/>
              <w:ind w:left="107"/>
              <w:rPr>
                <w:b/>
              </w:rPr>
            </w:pPr>
            <w:r w:rsidRPr="00EC20A0">
              <w:rPr>
                <w:b/>
              </w:rPr>
              <w:t>Suggested</w:t>
            </w:r>
            <w:r w:rsidRPr="00EC20A0">
              <w:rPr>
                <w:b/>
                <w:spacing w:val="-13"/>
              </w:rPr>
              <w:t xml:space="preserve"> </w:t>
            </w:r>
            <w:r w:rsidRPr="00EC20A0">
              <w:rPr>
                <w:b/>
              </w:rPr>
              <w:t>level</w:t>
            </w:r>
            <w:r w:rsidRPr="00EC20A0">
              <w:rPr>
                <w:b/>
                <w:spacing w:val="-13"/>
              </w:rPr>
              <w:t xml:space="preserve"> </w:t>
            </w:r>
            <w:r w:rsidRPr="00EC20A0">
              <w:rPr>
                <w:b/>
              </w:rPr>
              <w:t>of</w:t>
            </w:r>
            <w:r w:rsidRPr="00EC20A0">
              <w:rPr>
                <w:b/>
                <w:spacing w:val="-13"/>
              </w:rPr>
              <w:t xml:space="preserve"> </w:t>
            </w:r>
            <w:r w:rsidRPr="00EC20A0">
              <w:rPr>
                <w:b/>
              </w:rPr>
              <w:t>review (FAM 670.10 through .11)</w:t>
            </w:r>
          </w:p>
        </w:tc>
      </w:tr>
      <w:tr w:rsidR="00245300" w:rsidRPr="00EC20A0" w14:paraId="24D60311" w14:textId="77777777">
        <w:trPr>
          <w:trHeight w:val="746"/>
        </w:trPr>
        <w:tc>
          <w:tcPr>
            <w:tcW w:w="4860" w:type="dxa"/>
          </w:tcPr>
          <w:p w14:paraId="24D6030F" w14:textId="77777777" w:rsidR="00245300" w:rsidRPr="00EC20A0" w:rsidRDefault="00F17249">
            <w:pPr>
              <w:pStyle w:val="TableParagraph"/>
              <w:spacing w:before="120"/>
              <w:ind w:left="107" w:right="290"/>
            </w:pPr>
            <w:r w:rsidRPr="00EC20A0">
              <w:t>Communication</w:t>
            </w:r>
            <w:r w:rsidRPr="00EC20A0">
              <w:rPr>
                <w:spacing w:val="-13"/>
              </w:rPr>
              <w:t xml:space="preserve"> </w:t>
            </w:r>
            <w:r w:rsidRPr="00EC20A0">
              <w:t>expresses</w:t>
            </w:r>
            <w:r w:rsidRPr="00EC20A0">
              <w:rPr>
                <w:spacing w:val="-13"/>
              </w:rPr>
              <w:t xml:space="preserve"> </w:t>
            </w:r>
            <w:r w:rsidRPr="00EC20A0">
              <w:t>no</w:t>
            </w:r>
            <w:r w:rsidRPr="00EC20A0">
              <w:rPr>
                <w:spacing w:val="-13"/>
              </w:rPr>
              <w:t xml:space="preserve"> </w:t>
            </w:r>
            <w:r w:rsidRPr="00EC20A0">
              <w:t>assurance (FAM 670.22a)</w:t>
            </w:r>
          </w:p>
        </w:tc>
        <w:tc>
          <w:tcPr>
            <w:tcW w:w="3060" w:type="dxa"/>
          </w:tcPr>
          <w:p w14:paraId="24D60310" w14:textId="77777777" w:rsidR="00245300" w:rsidRPr="00EC20A0" w:rsidRDefault="00F17249">
            <w:pPr>
              <w:pStyle w:val="TableParagraph"/>
              <w:spacing w:before="120"/>
              <w:ind w:left="107"/>
            </w:pPr>
            <w:r w:rsidRPr="00EC20A0">
              <w:rPr>
                <w:spacing w:val="-5"/>
              </w:rPr>
              <w:t>Low</w:t>
            </w:r>
          </w:p>
        </w:tc>
      </w:tr>
      <w:tr w:rsidR="00245300" w:rsidRPr="00EC20A0" w14:paraId="24D60314" w14:textId="77777777">
        <w:trPr>
          <w:trHeight w:val="795"/>
        </w:trPr>
        <w:tc>
          <w:tcPr>
            <w:tcW w:w="4860" w:type="dxa"/>
          </w:tcPr>
          <w:p w14:paraId="24D60312" w14:textId="77777777" w:rsidR="00245300" w:rsidRPr="00EC20A0" w:rsidRDefault="00F17249">
            <w:pPr>
              <w:pStyle w:val="TableParagraph"/>
              <w:spacing w:before="120"/>
              <w:ind w:left="107"/>
            </w:pPr>
            <w:r w:rsidRPr="00EC20A0">
              <w:t>Communication</w:t>
            </w:r>
            <w:r w:rsidRPr="00EC20A0">
              <w:rPr>
                <w:spacing w:val="-12"/>
              </w:rPr>
              <w:t xml:space="preserve"> </w:t>
            </w:r>
            <w:r w:rsidRPr="00EC20A0">
              <w:t>expresses</w:t>
            </w:r>
            <w:r w:rsidRPr="00EC20A0">
              <w:rPr>
                <w:spacing w:val="-12"/>
              </w:rPr>
              <w:t xml:space="preserve"> </w:t>
            </w:r>
            <w:r w:rsidRPr="00EC20A0">
              <w:t>negative</w:t>
            </w:r>
            <w:r w:rsidRPr="00EC20A0">
              <w:rPr>
                <w:spacing w:val="-13"/>
              </w:rPr>
              <w:t xml:space="preserve"> </w:t>
            </w:r>
            <w:r w:rsidRPr="00EC20A0">
              <w:t>assurance on compliance with GAGAS (FAM 670.22b)</w:t>
            </w:r>
          </w:p>
        </w:tc>
        <w:tc>
          <w:tcPr>
            <w:tcW w:w="3060" w:type="dxa"/>
          </w:tcPr>
          <w:p w14:paraId="24D60313" w14:textId="77777777" w:rsidR="00245300" w:rsidRPr="00EC20A0" w:rsidRDefault="00F17249">
            <w:pPr>
              <w:pStyle w:val="TableParagraph"/>
              <w:spacing w:before="120"/>
              <w:ind w:left="107"/>
            </w:pPr>
            <w:r w:rsidRPr="00EC20A0">
              <w:rPr>
                <w:spacing w:val="-2"/>
              </w:rPr>
              <w:t>Moderate</w:t>
            </w:r>
          </w:p>
        </w:tc>
      </w:tr>
    </w:tbl>
    <w:p w14:paraId="24D60315" w14:textId="77777777" w:rsidR="00245300" w:rsidRPr="00EC20A0" w:rsidRDefault="00245300">
      <w:pPr>
        <w:sectPr w:rsidR="00245300" w:rsidRPr="00EC20A0">
          <w:pgSz w:w="12240" w:h="15840"/>
          <w:pgMar w:top="1600" w:right="940" w:bottom="940" w:left="1020" w:header="721" w:footer="757" w:gutter="0"/>
          <w:cols w:space="720"/>
        </w:sectPr>
      </w:pPr>
    </w:p>
    <w:p w14:paraId="24D60316" w14:textId="77777777" w:rsidR="00245300" w:rsidRPr="00EC20A0" w:rsidRDefault="00F17249">
      <w:pPr>
        <w:pStyle w:val="BodyText"/>
        <w:spacing w:before="121"/>
        <w:ind w:left="1860" w:right="507"/>
      </w:pPr>
      <w:r w:rsidRPr="00EC20A0">
        <w:t xml:space="preserve">The auditor generally should also consider the extent to </w:t>
      </w:r>
      <w:r w:rsidRPr="00EC20A0">
        <w:t>which the IPA firm has completed its work when developing timing of procedures to perform. Prior to review by the auditor, the IPA firm should have performed at least one level of supervisory</w:t>
      </w:r>
      <w:r w:rsidRPr="00EC20A0">
        <w:rPr>
          <w:spacing w:val="-4"/>
        </w:rPr>
        <w:t xml:space="preserve"> </w:t>
      </w:r>
      <w:r w:rsidRPr="00EC20A0">
        <w:t>review</w:t>
      </w:r>
      <w:r w:rsidRPr="00EC20A0">
        <w:rPr>
          <w:spacing w:val="-4"/>
        </w:rPr>
        <w:t xml:space="preserve"> </w:t>
      </w:r>
      <w:r w:rsidRPr="00EC20A0">
        <w:t>for</w:t>
      </w:r>
      <w:r w:rsidRPr="00EC20A0">
        <w:rPr>
          <w:spacing w:val="-3"/>
        </w:rPr>
        <w:t xml:space="preserve"> </w:t>
      </w:r>
      <w:r w:rsidRPr="00EC20A0">
        <w:t>all</w:t>
      </w:r>
      <w:r w:rsidRPr="00EC20A0">
        <w:rPr>
          <w:spacing w:val="-3"/>
        </w:rPr>
        <w:t xml:space="preserve"> </w:t>
      </w:r>
      <w:r w:rsidRPr="00EC20A0">
        <w:t>audit</w:t>
      </w:r>
      <w:r w:rsidRPr="00EC20A0">
        <w:rPr>
          <w:spacing w:val="-3"/>
        </w:rPr>
        <w:t xml:space="preserve"> </w:t>
      </w:r>
      <w:r w:rsidRPr="00EC20A0">
        <w:t>work,</w:t>
      </w:r>
      <w:r w:rsidRPr="00EC20A0">
        <w:rPr>
          <w:spacing w:val="-4"/>
        </w:rPr>
        <w:t xml:space="preserve"> </w:t>
      </w:r>
      <w:r w:rsidRPr="00EC20A0">
        <w:t>with</w:t>
      </w:r>
      <w:r w:rsidRPr="00EC20A0">
        <w:rPr>
          <w:spacing w:val="-3"/>
        </w:rPr>
        <w:t xml:space="preserve"> </w:t>
      </w:r>
      <w:r w:rsidRPr="00EC20A0">
        <w:t>more</w:t>
      </w:r>
      <w:r w:rsidRPr="00EC20A0">
        <w:rPr>
          <w:spacing w:val="-3"/>
        </w:rPr>
        <w:t xml:space="preserve"> </w:t>
      </w:r>
      <w:r w:rsidRPr="00EC20A0">
        <w:t>material</w:t>
      </w:r>
      <w:r w:rsidRPr="00EC20A0">
        <w:rPr>
          <w:spacing w:val="-3"/>
        </w:rPr>
        <w:t xml:space="preserve"> </w:t>
      </w:r>
      <w:r w:rsidRPr="00EC20A0">
        <w:t>or</w:t>
      </w:r>
      <w:r w:rsidRPr="00EC20A0">
        <w:rPr>
          <w:spacing w:val="-3"/>
        </w:rPr>
        <w:t xml:space="preserve"> </w:t>
      </w:r>
      <w:r w:rsidRPr="00EC20A0">
        <w:t>sensitive</w:t>
      </w:r>
      <w:r w:rsidRPr="00EC20A0">
        <w:rPr>
          <w:spacing w:val="-4"/>
        </w:rPr>
        <w:t xml:space="preserve"> </w:t>
      </w:r>
      <w:r w:rsidRPr="00EC20A0">
        <w:t>areas</w:t>
      </w:r>
      <w:r w:rsidRPr="00EC20A0">
        <w:rPr>
          <w:spacing w:val="-3"/>
        </w:rPr>
        <w:t xml:space="preserve"> </w:t>
      </w:r>
      <w:r w:rsidRPr="00EC20A0">
        <w:t>having multiple levels of internal review.</w:t>
      </w:r>
    </w:p>
    <w:p w14:paraId="24D60317" w14:textId="77777777" w:rsidR="00245300" w:rsidRPr="00EC20A0" w:rsidRDefault="00F17249">
      <w:pPr>
        <w:pStyle w:val="ListParagraph"/>
        <w:numPr>
          <w:ilvl w:val="0"/>
          <w:numId w:val="187"/>
        </w:numPr>
        <w:tabs>
          <w:tab w:val="left" w:pos="1859"/>
        </w:tabs>
        <w:ind w:right="1081" w:hanging="720"/>
      </w:pPr>
      <w:r w:rsidRPr="00EC20A0">
        <w:t>The auditor should reevaluate the audit strategy and plan as the work progresses.</w:t>
      </w:r>
      <w:r w:rsidRPr="00EC20A0">
        <w:rPr>
          <w:spacing w:val="-4"/>
        </w:rPr>
        <w:t xml:space="preserve"> </w:t>
      </w:r>
      <w:r w:rsidRPr="00EC20A0">
        <w:t>The</w:t>
      </w:r>
      <w:r w:rsidRPr="00EC20A0">
        <w:rPr>
          <w:spacing w:val="-3"/>
        </w:rPr>
        <w:t xml:space="preserve"> </w:t>
      </w:r>
      <w:r w:rsidRPr="00EC20A0">
        <w:t>auditor</w:t>
      </w:r>
      <w:r w:rsidRPr="00EC20A0">
        <w:rPr>
          <w:spacing w:val="-5"/>
        </w:rPr>
        <w:t xml:space="preserve"> </w:t>
      </w:r>
      <w:r w:rsidRPr="00EC20A0">
        <w:t>should</w:t>
      </w:r>
      <w:r w:rsidRPr="00EC20A0">
        <w:rPr>
          <w:spacing w:val="-3"/>
        </w:rPr>
        <w:t xml:space="preserve"> </w:t>
      </w:r>
      <w:r w:rsidRPr="00EC20A0">
        <w:t>base</w:t>
      </w:r>
      <w:r w:rsidRPr="00EC20A0">
        <w:rPr>
          <w:spacing w:val="-4"/>
        </w:rPr>
        <w:t xml:space="preserve"> </w:t>
      </w:r>
      <w:r w:rsidRPr="00EC20A0">
        <w:t>determination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level</w:t>
      </w:r>
      <w:r w:rsidRPr="00EC20A0">
        <w:rPr>
          <w:spacing w:val="-3"/>
        </w:rPr>
        <w:t xml:space="preserve"> </w:t>
      </w:r>
      <w:r w:rsidRPr="00EC20A0">
        <w:t>of</w:t>
      </w:r>
      <w:r w:rsidRPr="00EC20A0">
        <w:rPr>
          <w:spacing w:val="-3"/>
        </w:rPr>
        <w:t xml:space="preserve"> </w:t>
      </w:r>
      <w:r w:rsidRPr="00EC20A0">
        <w:t>review</w:t>
      </w:r>
      <w:r w:rsidRPr="00EC20A0">
        <w:rPr>
          <w:spacing w:val="-5"/>
        </w:rPr>
        <w:t xml:space="preserve"> </w:t>
      </w:r>
      <w:r w:rsidRPr="00EC20A0">
        <w:t>on professional judgment, considering the following factors:</w:t>
      </w:r>
    </w:p>
    <w:p w14:paraId="24D60318" w14:textId="77777777" w:rsidR="00245300" w:rsidRPr="00EC20A0" w:rsidRDefault="00F17249">
      <w:pPr>
        <w:pStyle w:val="ListParagraph"/>
        <w:numPr>
          <w:ilvl w:val="1"/>
          <w:numId w:val="187"/>
        </w:numPr>
        <w:tabs>
          <w:tab w:val="left" w:pos="2219"/>
        </w:tabs>
        <w:ind w:right="858"/>
      </w:pPr>
      <w:r w:rsidRPr="00EC20A0">
        <w:rPr>
          <w:b/>
        </w:rPr>
        <w:t xml:space="preserve">The type of communication the auditor will issue. </w:t>
      </w:r>
      <w:r w:rsidRPr="00EC20A0">
        <w:t>More review will be necessary</w:t>
      </w:r>
      <w:r w:rsidRPr="00EC20A0">
        <w:rPr>
          <w:spacing w:val="-6"/>
        </w:rPr>
        <w:t xml:space="preserve"> </w:t>
      </w:r>
      <w:r w:rsidRPr="00EC20A0">
        <w:t>when</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issues</w:t>
      </w:r>
      <w:r w:rsidRPr="00EC20A0">
        <w:rPr>
          <w:spacing w:val="-6"/>
        </w:rPr>
        <w:t xml:space="preserve"> </w:t>
      </w:r>
      <w:r w:rsidRPr="00EC20A0">
        <w:t>a</w:t>
      </w:r>
      <w:r w:rsidRPr="00EC20A0">
        <w:rPr>
          <w:spacing w:val="-6"/>
        </w:rPr>
        <w:t xml:space="preserve"> </w:t>
      </w:r>
      <w:r w:rsidRPr="00EC20A0">
        <w:t>transmittal</w:t>
      </w:r>
      <w:r w:rsidRPr="00EC20A0">
        <w:rPr>
          <w:spacing w:val="-5"/>
        </w:rPr>
        <w:t xml:space="preserve"> </w:t>
      </w:r>
      <w:r w:rsidRPr="00EC20A0">
        <w:t>letter</w:t>
      </w:r>
      <w:r w:rsidRPr="00EC20A0">
        <w:rPr>
          <w:spacing w:val="-5"/>
        </w:rPr>
        <w:t xml:space="preserve"> </w:t>
      </w:r>
      <w:r w:rsidRPr="00EC20A0">
        <w:t>expressing</w:t>
      </w:r>
      <w:r w:rsidRPr="00EC20A0">
        <w:rPr>
          <w:spacing w:val="-5"/>
        </w:rPr>
        <w:t xml:space="preserve"> </w:t>
      </w:r>
      <w:r w:rsidRPr="00EC20A0">
        <w:t xml:space="preserve">negative assurance on the IPA firm’s compliance with GAGAS than when no assurance is provided by the auditor (FAM 670.09 and </w:t>
      </w:r>
      <w:r w:rsidRPr="00EC20A0">
        <w:t>.21 through .22).</w:t>
      </w:r>
    </w:p>
    <w:p w14:paraId="24D60319" w14:textId="77777777" w:rsidR="00245300" w:rsidRPr="00EC20A0" w:rsidRDefault="00F17249">
      <w:pPr>
        <w:pStyle w:val="ListParagraph"/>
        <w:numPr>
          <w:ilvl w:val="1"/>
          <w:numId w:val="187"/>
        </w:numPr>
        <w:tabs>
          <w:tab w:val="left" w:pos="2218"/>
        </w:tabs>
        <w:spacing w:before="239"/>
        <w:ind w:left="2218" w:right="724"/>
      </w:pPr>
      <w:r w:rsidRPr="00EC20A0">
        <w:rPr>
          <w:b/>
        </w:rPr>
        <w:t>The IPA firm’s independence and objectivity (both for the audit organization</w:t>
      </w:r>
      <w:r w:rsidRPr="00EC20A0">
        <w:rPr>
          <w:b/>
          <w:spacing w:val="-4"/>
        </w:rPr>
        <w:t xml:space="preserve"> </w:t>
      </w:r>
      <w:r w:rsidRPr="00EC20A0">
        <w:rPr>
          <w:b/>
        </w:rPr>
        <w:t>and</w:t>
      </w:r>
      <w:r w:rsidRPr="00EC20A0">
        <w:rPr>
          <w:b/>
          <w:spacing w:val="-4"/>
        </w:rPr>
        <w:t xml:space="preserve"> </w:t>
      </w:r>
      <w:r w:rsidRPr="00EC20A0">
        <w:rPr>
          <w:b/>
        </w:rPr>
        <w:t>its</w:t>
      </w:r>
      <w:r w:rsidRPr="00EC20A0">
        <w:rPr>
          <w:b/>
          <w:spacing w:val="-4"/>
        </w:rPr>
        <w:t xml:space="preserve"> </w:t>
      </w:r>
      <w:r w:rsidRPr="00EC20A0">
        <w:rPr>
          <w:b/>
        </w:rPr>
        <w:t>engagement</w:t>
      </w:r>
      <w:r w:rsidRPr="00EC20A0">
        <w:rPr>
          <w:b/>
          <w:spacing w:val="-4"/>
        </w:rPr>
        <w:t xml:space="preserve"> </w:t>
      </w:r>
      <w:r w:rsidRPr="00EC20A0">
        <w:rPr>
          <w:b/>
        </w:rPr>
        <w:t>team).</w:t>
      </w:r>
      <w:r w:rsidRPr="00EC20A0">
        <w:rPr>
          <w:b/>
          <w:spacing w:val="-4"/>
        </w:rPr>
        <w:t xml:space="preserve"> </w:t>
      </w:r>
      <w:r w:rsidRPr="00EC20A0">
        <w:t>The</w:t>
      </w:r>
      <w:r w:rsidRPr="00EC20A0">
        <w:rPr>
          <w:spacing w:val="-4"/>
        </w:rPr>
        <w:t xml:space="preserve"> </w:t>
      </w:r>
      <w:r w:rsidRPr="00EC20A0">
        <w:t>level</w:t>
      </w:r>
      <w:r w:rsidRPr="00EC20A0">
        <w:rPr>
          <w:spacing w:val="-4"/>
        </w:rPr>
        <w:t xml:space="preserve"> </w:t>
      </w:r>
      <w:r w:rsidRPr="00EC20A0">
        <w:t>of</w:t>
      </w:r>
      <w:r w:rsidRPr="00EC20A0">
        <w:rPr>
          <w:spacing w:val="-4"/>
        </w:rPr>
        <w:t xml:space="preserve"> </w:t>
      </w:r>
      <w:r w:rsidRPr="00EC20A0">
        <w:t>review</w:t>
      </w:r>
      <w:r w:rsidRPr="00EC20A0">
        <w:rPr>
          <w:spacing w:val="-5"/>
        </w:rPr>
        <w:t xml:space="preserve"> </w:t>
      </w:r>
      <w:r w:rsidRPr="00EC20A0">
        <w:t>increases</w:t>
      </w:r>
      <w:r w:rsidRPr="00EC20A0">
        <w:rPr>
          <w:spacing w:val="-5"/>
        </w:rPr>
        <w:t xml:space="preserve"> </w:t>
      </w:r>
      <w:r w:rsidRPr="00EC20A0">
        <w:t>as threats to independence and objectivity increase.</w:t>
      </w:r>
    </w:p>
    <w:p w14:paraId="24D6031A" w14:textId="77777777" w:rsidR="00245300" w:rsidRPr="00EC20A0" w:rsidRDefault="00F17249">
      <w:pPr>
        <w:pStyle w:val="ListParagraph"/>
        <w:numPr>
          <w:ilvl w:val="1"/>
          <w:numId w:val="187"/>
        </w:numPr>
        <w:tabs>
          <w:tab w:val="left" w:pos="2218"/>
        </w:tabs>
        <w:spacing w:before="241"/>
        <w:ind w:left="2218" w:right="724"/>
      </w:pPr>
      <w:r w:rsidRPr="00EC20A0">
        <w:rPr>
          <w:b/>
        </w:rPr>
        <w:t>The IPA firm’s qualifications to perform the work (both for the audit organization</w:t>
      </w:r>
      <w:r w:rsidRPr="00EC20A0">
        <w:rPr>
          <w:b/>
          <w:spacing w:val="-4"/>
        </w:rPr>
        <w:t xml:space="preserve"> </w:t>
      </w:r>
      <w:r w:rsidRPr="00EC20A0">
        <w:rPr>
          <w:b/>
        </w:rPr>
        <w:t>and</w:t>
      </w:r>
      <w:r w:rsidRPr="00EC20A0">
        <w:rPr>
          <w:b/>
          <w:spacing w:val="-4"/>
        </w:rPr>
        <w:t xml:space="preserve"> </w:t>
      </w:r>
      <w:r w:rsidRPr="00EC20A0">
        <w:rPr>
          <w:b/>
        </w:rPr>
        <w:t>its</w:t>
      </w:r>
      <w:r w:rsidRPr="00EC20A0">
        <w:rPr>
          <w:b/>
          <w:spacing w:val="-4"/>
        </w:rPr>
        <w:t xml:space="preserve"> </w:t>
      </w:r>
      <w:r w:rsidRPr="00EC20A0">
        <w:rPr>
          <w:b/>
        </w:rPr>
        <w:t>engagement</w:t>
      </w:r>
      <w:r w:rsidRPr="00EC20A0">
        <w:rPr>
          <w:b/>
          <w:spacing w:val="-4"/>
        </w:rPr>
        <w:t xml:space="preserve"> </w:t>
      </w:r>
      <w:r w:rsidRPr="00EC20A0">
        <w:rPr>
          <w:b/>
        </w:rPr>
        <w:t>team).</w:t>
      </w:r>
      <w:r w:rsidRPr="00EC20A0">
        <w:rPr>
          <w:b/>
          <w:spacing w:val="-4"/>
        </w:rPr>
        <w:t xml:space="preserve"> </w:t>
      </w:r>
      <w:r w:rsidRPr="00EC20A0">
        <w:t>The</w:t>
      </w:r>
      <w:r w:rsidRPr="00EC20A0">
        <w:rPr>
          <w:spacing w:val="-4"/>
        </w:rPr>
        <w:t xml:space="preserve"> </w:t>
      </w:r>
      <w:r w:rsidRPr="00EC20A0">
        <w:t>level</w:t>
      </w:r>
      <w:r w:rsidRPr="00EC20A0">
        <w:rPr>
          <w:spacing w:val="-4"/>
        </w:rPr>
        <w:t xml:space="preserve"> </w:t>
      </w:r>
      <w:r w:rsidRPr="00EC20A0">
        <w:t>of</w:t>
      </w:r>
      <w:r w:rsidRPr="00EC20A0">
        <w:rPr>
          <w:spacing w:val="-4"/>
        </w:rPr>
        <w:t xml:space="preserve"> </w:t>
      </w:r>
      <w:r w:rsidRPr="00EC20A0">
        <w:t>review</w:t>
      </w:r>
      <w:r w:rsidRPr="00EC20A0">
        <w:rPr>
          <w:spacing w:val="-5"/>
        </w:rPr>
        <w:t xml:space="preserve"> </w:t>
      </w:r>
      <w:r w:rsidRPr="00EC20A0">
        <w:t>increases</w:t>
      </w:r>
      <w:r w:rsidRPr="00EC20A0">
        <w:rPr>
          <w:spacing w:val="-5"/>
        </w:rPr>
        <w:t xml:space="preserve"> </w:t>
      </w:r>
      <w:r w:rsidRPr="00EC20A0">
        <w:t>as the IPA firm’s qualifications decrease.</w:t>
      </w:r>
    </w:p>
    <w:p w14:paraId="24D6031B" w14:textId="77777777" w:rsidR="00245300" w:rsidRPr="00EC20A0" w:rsidRDefault="00F17249">
      <w:pPr>
        <w:pStyle w:val="ListParagraph"/>
        <w:numPr>
          <w:ilvl w:val="1"/>
          <w:numId w:val="187"/>
        </w:numPr>
        <w:tabs>
          <w:tab w:val="left" w:pos="2219"/>
        </w:tabs>
        <w:spacing w:before="239"/>
        <w:ind w:right="918"/>
      </w:pPr>
      <w:r w:rsidRPr="00EC20A0">
        <w:rPr>
          <w:b/>
        </w:rPr>
        <w:t xml:space="preserve">The auditor’s prior experience with the IPA firm (both for its audit organization and its engagement team). </w:t>
      </w:r>
      <w:r w:rsidRPr="00EC20A0">
        <w:t>The level of review tends to decrease</w:t>
      </w:r>
      <w:r w:rsidRPr="00EC20A0">
        <w:rPr>
          <w:spacing w:val="-4"/>
        </w:rPr>
        <w:t xml:space="preserve"> </w:t>
      </w:r>
      <w:r w:rsidRPr="00EC20A0">
        <w:t>as</w:t>
      </w:r>
      <w:r w:rsidRPr="00EC20A0">
        <w:rPr>
          <w:spacing w:val="-5"/>
        </w:rPr>
        <w:t xml:space="preserve"> </w:t>
      </w:r>
      <w:r w:rsidRPr="00EC20A0">
        <w:t>the</w:t>
      </w:r>
      <w:r w:rsidRPr="00EC20A0">
        <w:rPr>
          <w:spacing w:val="-4"/>
        </w:rPr>
        <w:t xml:space="preserve"> </w:t>
      </w:r>
      <w:r w:rsidRPr="00EC20A0">
        <w:t>auditor’s</w:t>
      </w:r>
      <w:r w:rsidRPr="00EC20A0">
        <w:rPr>
          <w:spacing w:val="-4"/>
        </w:rPr>
        <w:t xml:space="preserve"> </w:t>
      </w:r>
      <w:r w:rsidRPr="00EC20A0">
        <w:t>confidence</w:t>
      </w:r>
      <w:r w:rsidRPr="00EC20A0">
        <w:rPr>
          <w:spacing w:val="-4"/>
        </w:rPr>
        <w:t xml:space="preserve"> </w:t>
      </w:r>
      <w:r w:rsidRPr="00EC20A0">
        <w:t>increases</w:t>
      </w:r>
      <w:r w:rsidRPr="00EC20A0">
        <w:rPr>
          <w:spacing w:val="-5"/>
        </w:rPr>
        <w:t xml:space="preserve"> </w:t>
      </w:r>
      <w:r w:rsidRPr="00EC20A0">
        <w:t>from</w:t>
      </w:r>
      <w:r w:rsidRPr="00EC20A0">
        <w:rPr>
          <w:spacing w:val="-5"/>
        </w:rPr>
        <w:t xml:space="preserve"> </w:t>
      </w:r>
      <w:r w:rsidRPr="00EC20A0">
        <w:t>working</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 xml:space="preserve">IPA </w:t>
      </w:r>
      <w:r w:rsidRPr="00EC20A0">
        <w:rPr>
          <w:spacing w:val="-2"/>
        </w:rPr>
        <w:t>firm.</w:t>
      </w:r>
    </w:p>
    <w:p w14:paraId="24D6031C" w14:textId="77777777" w:rsidR="00245300" w:rsidRPr="00EC20A0" w:rsidRDefault="00F17249">
      <w:pPr>
        <w:pStyle w:val="ListParagraph"/>
        <w:numPr>
          <w:ilvl w:val="1"/>
          <w:numId w:val="187"/>
        </w:numPr>
        <w:tabs>
          <w:tab w:val="left" w:pos="2219"/>
        </w:tabs>
        <w:spacing w:before="241"/>
        <w:ind w:right="565"/>
      </w:pPr>
      <w:r w:rsidRPr="00EC20A0">
        <w:rPr>
          <w:b/>
        </w:rPr>
        <w:t>The</w:t>
      </w:r>
      <w:r w:rsidRPr="00EC20A0">
        <w:rPr>
          <w:b/>
          <w:spacing w:val="-4"/>
        </w:rPr>
        <w:t xml:space="preserve"> </w:t>
      </w:r>
      <w:r w:rsidRPr="00EC20A0">
        <w:rPr>
          <w:b/>
        </w:rPr>
        <w:t>materiality</w:t>
      </w:r>
      <w:r w:rsidRPr="00EC20A0">
        <w:rPr>
          <w:b/>
          <w:spacing w:val="-4"/>
        </w:rPr>
        <w:t xml:space="preserve"> </w:t>
      </w:r>
      <w:r w:rsidRPr="00EC20A0">
        <w:rPr>
          <w:b/>
        </w:rPr>
        <w:t>of</w:t>
      </w:r>
      <w:r w:rsidRPr="00EC20A0">
        <w:rPr>
          <w:b/>
          <w:spacing w:val="-4"/>
        </w:rPr>
        <w:t xml:space="preserve"> </w:t>
      </w:r>
      <w:r w:rsidRPr="00EC20A0">
        <w:rPr>
          <w:b/>
        </w:rPr>
        <w:t>line</w:t>
      </w:r>
      <w:r w:rsidRPr="00EC20A0">
        <w:rPr>
          <w:b/>
          <w:spacing w:val="-5"/>
        </w:rPr>
        <w:t xml:space="preserve"> </w:t>
      </w:r>
      <w:r w:rsidRPr="00EC20A0">
        <w:rPr>
          <w:b/>
        </w:rPr>
        <w:t>items,</w:t>
      </w:r>
      <w:r w:rsidRPr="00EC20A0">
        <w:rPr>
          <w:b/>
          <w:spacing w:val="-4"/>
        </w:rPr>
        <w:t xml:space="preserve"> </w:t>
      </w:r>
      <w:r w:rsidRPr="00EC20A0">
        <w:rPr>
          <w:b/>
        </w:rPr>
        <w:t>accounts,</w:t>
      </w:r>
      <w:r w:rsidRPr="00EC20A0">
        <w:rPr>
          <w:b/>
          <w:spacing w:val="-4"/>
        </w:rPr>
        <w:t xml:space="preserve"> </w:t>
      </w:r>
      <w:r w:rsidRPr="00EC20A0">
        <w:rPr>
          <w:b/>
        </w:rPr>
        <w:t>note</w:t>
      </w:r>
      <w:r w:rsidRPr="00EC20A0">
        <w:rPr>
          <w:b/>
          <w:spacing w:val="-4"/>
        </w:rPr>
        <w:t xml:space="preserve"> </w:t>
      </w:r>
      <w:r w:rsidRPr="00EC20A0">
        <w:rPr>
          <w:b/>
        </w:rPr>
        <w:t>disclosures,</w:t>
      </w:r>
      <w:r w:rsidRPr="00EC20A0">
        <w:rPr>
          <w:b/>
          <w:spacing w:val="-4"/>
        </w:rPr>
        <w:t xml:space="preserve"> </w:t>
      </w:r>
      <w:r w:rsidRPr="00EC20A0">
        <w:rPr>
          <w:b/>
        </w:rPr>
        <w:t>and</w:t>
      </w:r>
      <w:r w:rsidRPr="00EC20A0">
        <w:rPr>
          <w:b/>
          <w:spacing w:val="-4"/>
        </w:rPr>
        <w:t xml:space="preserve"> </w:t>
      </w:r>
      <w:r w:rsidRPr="00EC20A0">
        <w:rPr>
          <w:b/>
        </w:rPr>
        <w:t>classes</w:t>
      </w:r>
      <w:r w:rsidRPr="00EC20A0">
        <w:rPr>
          <w:b/>
          <w:spacing w:val="-4"/>
        </w:rPr>
        <w:t xml:space="preserve"> </w:t>
      </w:r>
      <w:r w:rsidRPr="00EC20A0">
        <w:rPr>
          <w:b/>
        </w:rPr>
        <w:t xml:space="preserve">of transactions. </w:t>
      </w:r>
      <w:r w:rsidRPr="00EC20A0">
        <w:t xml:space="preserve">The level of review increases as the materiality of these items </w:t>
      </w:r>
      <w:r w:rsidRPr="00EC20A0">
        <w:rPr>
          <w:spacing w:val="-2"/>
        </w:rPr>
        <w:t>increases.</w:t>
      </w:r>
    </w:p>
    <w:p w14:paraId="24D6031D" w14:textId="77777777" w:rsidR="00245300" w:rsidRPr="00EC20A0" w:rsidRDefault="00F17249">
      <w:pPr>
        <w:pStyle w:val="ListParagraph"/>
        <w:numPr>
          <w:ilvl w:val="1"/>
          <w:numId w:val="187"/>
        </w:numPr>
        <w:tabs>
          <w:tab w:val="left" w:pos="2219"/>
        </w:tabs>
        <w:ind w:right="573"/>
      </w:pPr>
      <w:r w:rsidRPr="00EC20A0">
        <w:rPr>
          <w:b/>
        </w:rPr>
        <w:t>The risk of material misstatement due to error or fraud for the material line</w:t>
      </w:r>
      <w:r w:rsidRPr="00EC20A0">
        <w:rPr>
          <w:b/>
          <w:spacing w:val="-4"/>
        </w:rPr>
        <w:t xml:space="preserve"> </w:t>
      </w:r>
      <w:r w:rsidRPr="00EC20A0">
        <w:rPr>
          <w:b/>
        </w:rPr>
        <w:t>items,</w:t>
      </w:r>
      <w:r w:rsidRPr="00EC20A0">
        <w:rPr>
          <w:b/>
          <w:spacing w:val="-4"/>
        </w:rPr>
        <w:t xml:space="preserve"> </w:t>
      </w:r>
      <w:r w:rsidRPr="00EC20A0">
        <w:rPr>
          <w:b/>
        </w:rPr>
        <w:t>accounts,</w:t>
      </w:r>
      <w:r w:rsidRPr="00EC20A0">
        <w:rPr>
          <w:b/>
          <w:spacing w:val="-4"/>
        </w:rPr>
        <w:t xml:space="preserve"> </w:t>
      </w:r>
      <w:r w:rsidRPr="00EC20A0">
        <w:rPr>
          <w:b/>
        </w:rPr>
        <w:t>note</w:t>
      </w:r>
      <w:r w:rsidRPr="00EC20A0">
        <w:rPr>
          <w:b/>
          <w:spacing w:val="-4"/>
        </w:rPr>
        <w:t xml:space="preserve"> </w:t>
      </w:r>
      <w:r w:rsidRPr="00EC20A0">
        <w:rPr>
          <w:b/>
        </w:rPr>
        <w:t>disclosures,</w:t>
      </w:r>
      <w:r w:rsidRPr="00EC20A0">
        <w:rPr>
          <w:b/>
          <w:spacing w:val="-4"/>
        </w:rPr>
        <w:t xml:space="preserve"> </w:t>
      </w:r>
      <w:r w:rsidRPr="00EC20A0">
        <w:rPr>
          <w:b/>
        </w:rPr>
        <w:t>and</w:t>
      </w:r>
      <w:r w:rsidRPr="00EC20A0">
        <w:rPr>
          <w:b/>
          <w:spacing w:val="-4"/>
        </w:rPr>
        <w:t xml:space="preserve"> </w:t>
      </w:r>
      <w:r w:rsidRPr="00EC20A0">
        <w:rPr>
          <w:b/>
        </w:rPr>
        <w:t>classes</w:t>
      </w:r>
      <w:r w:rsidRPr="00EC20A0">
        <w:rPr>
          <w:b/>
          <w:spacing w:val="-4"/>
        </w:rPr>
        <w:t xml:space="preserve"> </w:t>
      </w:r>
      <w:r w:rsidRPr="00EC20A0">
        <w:rPr>
          <w:b/>
        </w:rPr>
        <w:t>of</w:t>
      </w:r>
      <w:r w:rsidRPr="00EC20A0">
        <w:rPr>
          <w:b/>
          <w:spacing w:val="-4"/>
        </w:rPr>
        <w:t xml:space="preserve"> </w:t>
      </w:r>
      <w:r w:rsidRPr="00EC20A0">
        <w:rPr>
          <w:b/>
        </w:rPr>
        <w:t>transactions.</w:t>
      </w:r>
      <w:r w:rsidRPr="00EC20A0">
        <w:rPr>
          <w:b/>
          <w:spacing w:val="-4"/>
        </w:rPr>
        <w:t xml:space="preserve"> </w:t>
      </w:r>
      <w:r w:rsidRPr="00EC20A0">
        <w:t>The level of review increases as the risk of material misstatement increases.</w:t>
      </w:r>
    </w:p>
    <w:p w14:paraId="24D6031E" w14:textId="77777777" w:rsidR="00245300" w:rsidRPr="00EC20A0" w:rsidRDefault="00F17249">
      <w:pPr>
        <w:pStyle w:val="ListParagraph"/>
        <w:numPr>
          <w:ilvl w:val="0"/>
          <w:numId w:val="187"/>
        </w:numPr>
        <w:tabs>
          <w:tab w:val="left" w:pos="1859"/>
        </w:tabs>
        <w:spacing w:before="239"/>
        <w:ind w:right="543" w:hanging="719"/>
      </w:pPr>
      <w:r w:rsidRPr="00EC20A0">
        <w:t>The extent of the auditor’s review of the IPA firm’s audit documentation is a matter</w:t>
      </w:r>
      <w:r w:rsidRPr="00EC20A0">
        <w:rPr>
          <w:spacing w:val="-3"/>
        </w:rPr>
        <w:t xml:space="preserve"> </w:t>
      </w:r>
      <w:r w:rsidRPr="00EC20A0">
        <w:t>of</w:t>
      </w:r>
      <w:r w:rsidRPr="00EC20A0">
        <w:rPr>
          <w:spacing w:val="-3"/>
        </w:rPr>
        <w:t xml:space="preserve"> </w:t>
      </w:r>
      <w:r w:rsidRPr="00EC20A0">
        <w:t>professional</w:t>
      </w:r>
      <w:r w:rsidRPr="00EC20A0">
        <w:rPr>
          <w:spacing w:val="-4"/>
        </w:rPr>
        <w:t xml:space="preserve"> </w:t>
      </w:r>
      <w:r w:rsidRPr="00EC20A0">
        <w:t>judgment</w:t>
      </w:r>
      <w:r w:rsidRPr="00EC20A0">
        <w:rPr>
          <w:spacing w:val="-3"/>
        </w:rPr>
        <w:t xml:space="preserve"> </w:t>
      </w:r>
      <w:r w:rsidRPr="00EC20A0">
        <w:t>and</w:t>
      </w:r>
      <w:r w:rsidRPr="00EC20A0">
        <w:rPr>
          <w:spacing w:val="-3"/>
        </w:rPr>
        <w:t xml:space="preserve"> </w:t>
      </w:r>
      <w:r w:rsidRPr="00EC20A0">
        <w:t>depends</w:t>
      </w:r>
      <w:r w:rsidRPr="00EC20A0">
        <w:rPr>
          <w:spacing w:val="-3"/>
        </w:rPr>
        <w:t xml:space="preserve"> </w:t>
      </w:r>
      <w:r w:rsidRPr="00EC20A0">
        <w:t>on</w:t>
      </w:r>
      <w:r w:rsidRPr="00EC20A0">
        <w:rPr>
          <w:spacing w:val="-4"/>
        </w:rPr>
        <w:t xml:space="preserve"> </w:t>
      </w:r>
      <w:r w:rsidRPr="00EC20A0">
        <w:t>the</w:t>
      </w:r>
      <w:r w:rsidRPr="00EC20A0">
        <w:rPr>
          <w:spacing w:val="-3"/>
        </w:rPr>
        <w:t xml:space="preserve"> </w:t>
      </w:r>
      <w:r w:rsidRPr="00EC20A0">
        <w:t>level</w:t>
      </w:r>
      <w:r w:rsidRPr="00EC20A0">
        <w:rPr>
          <w:spacing w:val="-3"/>
        </w:rPr>
        <w:t xml:space="preserve"> </w:t>
      </w:r>
      <w:r w:rsidRPr="00EC20A0">
        <w:t>of</w:t>
      </w:r>
      <w:r w:rsidRPr="00EC20A0">
        <w:rPr>
          <w:spacing w:val="-3"/>
        </w:rPr>
        <w:t xml:space="preserve"> </w:t>
      </w:r>
      <w:r w:rsidRPr="00EC20A0">
        <w:t>review</w:t>
      </w:r>
      <w:r w:rsidRPr="00EC20A0">
        <w:rPr>
          <w:spacing w:val="-3"/>
        </w:rPr>
        <w:t xml:space="preserve"> </w:t>
      </w:r>
      <w:r w:rsidRPr="00EC20A0">
        <w:t>based</w:t>
      </w:r>
      <w:r w:rsidRPr="00EC20A0">
        <w:rPr>
          <w:spacing w:val="-4"/>
        </w:rPr>
        <w:t xml:space="preserve"> </w:t>
      </w:r>
      <w:r w:rsidRPr="00EC20A0">
        <w:t>on</w:t>
      </w:r>
      <w:r w:rsidRPr="00EC20A0">
        <w:rPr>
          <w:spacing w:val="-3"/>
        </w:rPr>
        <w:t xml:space="preserve"> </w:t>
      </w:r>
      <w:r w:rsidRPr="00EC20A0">
        <w:t>the factors discussed in FAM 670.10.</w:t>
      </w:r>
    </w:p>
    <w:p w14:paraId="24D6031F" w14:textId="77777777" w:rsidR="00245300" w:rsidRPr="00EC20A0" w:rsidRDefault="00F17249">
      <w:pPr>
        <w:pStyle w:val="ListParagraph"/>
        <w:numPr>
          <w:ilvl w:val="1"/>
          <w:numId w:val="187"/>
        </w:numPr>
        <w:tabs>
          <w:tab w:val="left" w:pos="2218"/>
        </w:tabs>
        <w:spacing w:before="241"/>
        <w:ind w:left="2218" w:right="649"/>
      </w:pPr>
      <w:r w:rsidRPr="00EC20A0">
        <w:t>For</w:t>
      </w:r>
      <w:r w:rsidRPr="00EC20A0">
        <w:rPr>
          <w:spacing w:val="-3"/>
        </w:rPr>
        <w:t xml:space="preserve"> </w:t>
      </w:r>
      <w:r w:rsidRPr="00EC20A0">
        <w:t>a</w:t>
      </w:r>
      <w:r w:rsidRPr="00EC20A0">
        <w:rPr>
          <w:spacing w:val="-3"/>
        </w:rPr>
        <w:t xml:space="preserve"> </w:t>
      </w:r>
      <w:r w:rsidRPr="00EC20A0">
        <w:rPr>
          <w:b/>
        </w:rPr>
        <w:t>low</w:t>
      </w:r>
      <w:r w:rsidRPr="00EC20A0">
        <w:rPr>
          <w:b/>
          <w:spacing w:val="-4"/>
        </w:rPr>
        <w:t xml:space="preserve"> </w:t>
      </w:r>
      <w:r w:rsidRPr="00EC20A0">
        <w:rPr>
          <w:b/>
        </w:rPr>
        <w:t>level</w:t>
      </w:r>
      <w:r w:rsidRPr="00EC20A0">
        <w:rPr>
          <w:b/>
          <w:spacing w:val="-3"/>
        </w:rPr>
        <w:t xml:space="preserve"> </w:t>
      </w:r>
      <w:r w:rsidRPr="00EC20A0">
        <w:rPr>
          <w:b/>
        </w:rPr>
        <w:t>of</w:t>
      </w:r>
      <w:r w:rsidRPr="00EC20A0">
        <w:rPr>
          <w:b/>
          <w:spacing w:val="-3"/>
        </w:rPr>
        <w:t xml:space="preserve"> </w:t>
      </w:r>
      <w:r w:rsidRPr="00EC20A0">
        <w:rPr>
          <w:b/>
        </w:rPr>
        <w:t>review</w:t>
      </w:r>
      <w:r w:rsidRPr="00EC20A0">
        <w:t>,</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may</w:t>
      </w:r>
      <w:r w:rsidRPr="00EC20A0">
        <w:rPr>
          <w:spacing w:val="-3"/>
        </w:rPr>
        <w:t xml:space="preserve"> </w:t>
      </w:r>
      <w:r w:rsidRPr="00EC20A0">
        <w:t>limit</w:t>
      </w:r>
      <w:r w:rsidRPr="00EC20A0">
        <w:rPr>
          <w:spacing w:val="-3"/>
        </w:rPr>
        <w:t xml:space="preserve"> </w:t>
      </w:r>
      <w:r w:rsidRPr="00EC20A0">
        <w:t>the</w:t>
      </w:r>
      <w:r w:rsidRPr="00EC20A0">
        <w:rPr>
          <w:spacing w:val="-3"/>
        </w:rPr>
        <w:t xml:space="preserve"> </w:t>
      </w:r>
      <w:r w:rsidRPr="00EC20A0">
        <w:t>review</w:t>
      </w:r>
      <w:r w:rsidRPr="00EC20A0">
        <w:rPr>
          <w:spacing w:val="-4"/>
        </w:rPr>
        <w:t xml:space="preserve"> </w:t>
      </w:r>
      <w:r w:rsidRPr="00EC20A0">
        <w:t>of</w:t>
      </w:r>
      <w:r w:rsidRPr="00EC20A0">
        <w:rPr>
          <w:spacing w:val="-3"/>
        </w:rPr>
        <w:t xml:space="preserve"> </w:t>
      </w:r>
      <w:r w:rsidRPr="00EC20A0">
        <w:t xml:space="preserve">documentation to key summary planning and completion documentation. This includes the audit strategy and audit program (or equivalent documents), the audit completion checklist at FAM 1003 (or equivalent </w:t>
      </w:r>
      <w:r w:rsidRPr="00EC20A0">
        <w:t>documentation), and the audit summary memorandum.</w:t>
      </w:r>
    </w:p>
    <w:p w14:paraId="24D60320" w14:textId="77777777" w:rsidR="00245300" w:rsidRPr="00EC20A0" w:rsidRDefault="00F17249">
      <w:pPr>
        <w:pStyle w:val="ListParagraph"/>
        <w:numPr>
          <w:ilvl w:val="1"/>
          <w:numId w:val="187"/>
        </w:numPr>
        <w:tabs>
          <w:tab w:val="left" w:pos="2219"/>
        </w:tabs>
        <w:ind w:right="600"/>
      </w:pPr>
      <w:r w:rsidRPr="00EC20A0">
        <w:t>For</w:t>
      </w:r>
      <w:r w:rsidRPr="00EC20A0">
        <w:rPr>
          <w:spacing w:val="-4"/>
        </w:rPr>
        <w:t xml:space="preserve"> </w:t>
      </w:r>
      <w:r w:rsidRPr="00EC20A0">
        <w:t>a</w:t>
      </w:r>
      <w:r w:rsidRPr="00EC20A0">
        <w:rPr>
          <w:spacing w:val="-4"/>
        </w:rPr>
        <w:t xml:space="preserve"> </w:t>
      </w:r>
      <w:r w:rsidRPr="00EC20A0">
        <w:rPr>
          <w:b/>
        </w:rPr>
        <w:t>moderate</w:t>
      </w:r>
      <w:r w:rsidRPr="00EC20A0">
        <w:rPr>
          <w:b/>
          <w:spacing w:val="-4"/>
        </w:rPr>
        <w:t xml:space="preserve"> </w:t>
      </w:r>
      <w:r w:rsidRPr="00EC20A0">
        <w:rPr>
          <w:b/>
        </w:rPr>
        <w:t>level</w:t>
      </w:r>
      <w:r w:rsidRPr="00EC20A0">
        <w:rPr>
          <w:b/>
          <w:spacing w:val="-4"/>
        </w:rPr>
        <w:t xml:space="preserve"> </w:t>
      </w:r>
      <w:r w:rsidRPr="00EC20A0">
        <w:rPr>
          <w:b/>
        </w:rPr>
        <w:t>of</w:t>
      </w:r>
      <w:r w:rsidRPr="00EC20A0">
        <w:rPr>
          <w:b/>
          <w:spacing w:val="-4"/>
        </w:rPr>
        <w:t xml:space="preserve"> </w:t>
      </w:r>
      <w:r w:rsidRPr="00EC20A0">
        <w:rPr>
          <w:b/>
        </w:rPr>
        <w:t>review</w:t>
      </w:r>
      <w:r w:rsidRPr="00EC20A0">
        <w: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generally</w:t>
      </w:r>
      <w:r w:rsidRPr="00EC20A0">
        <w:rPr>
          <w:spacing w:val="-4"/>
        </w:rPr>
        <w:t xml:space="preserve"> </w:t>
      </w:r>
      <w:r w:rsidRPr="00EC20A0">
        <w:t>should</w:t>
      </w:r>
      <w:r w:rsidRPr="00EC20A0">
        <w:rPr>
          <w:spacing w:val="-4"/>
        </w:rPr>
        <w:t xml:space="preserve"> </w:t>
      </w:r>
      <w:r w:rsidRPr="00EC20A0">
        <w:t>review</w:t>
      </w:r>
      <w:r w:rsidRPr="00EC20A0">
        <w:rPr>
          <w:spacing w:val="-5"/>
        </w:rPr>
        <w:t xml:space="preserve"> </w:t>
      </w:r>
      <w:r w:rsidRPr="00EC20A0">
        <w:t>more</w:t>
      </w:r>
      <w:r w:rsidRPr="00EC20A0">
        <w:rPr>
          <w:spacing w:val="-4"/>
        </w:rPr>
        <w:t xml:space="preserve"> </w:t>
      </w:r>
      <w:r w:rsidRPr="00EC20A0">
        <w:t xml:space="preserve">of the IPA firm’s documentation, especially documents evidencing important decisions. For financial statement audits, this </w:t>
      </w:r>
      <w:r w:rsidRPr="00EC20A0">
        <w:t>includes the LIRA form and SCE worksheet (or equivalent documentation) for material line items, accounts, note disclosures, and classes of transactions; documentation for</w:t>
      </w:r>
    </w:p>
    <w:p w14:paraId="24D60321" w14:textId="77777777" w:rsidR="00245300" w:rsidRPr="00EC20A0" w:rsidRDefault="00245300">
      <w:pPr>
        <w:sectPr w:rsidR="00245300" w:rsidRPr="00EC20A0">
          <w:pgSz w:w="12240" w:h="15840"/>
          <w:pgMar w:top="1600" w:right="940" w:bottom="940" w:left="1020" w:header="721" w:footer="757" w:gutter="0"/>
          <w:cols w:space="720"/>
        </w:sectPr>
      </w:pPr>
    </w:p>
    <w:p w14:paraId="24D60322" w14:textId="77777777" w:rsidR="00245300" w:rsidRPr="00EC20A0" w:rsidRDefault="00F17249">
      <w:pPr>
        <w:pStyle w:val="BodyText"/>
        <w:spacing w:before="121"/>
        <w:ind w:left="2220" w:right="562" w:hanging="1"/>
      </w:pPr>
      <w:r w:rsidRPr="00EC20A0">
        <w:t>the aforementioned items with high risk of material misstatement; overall analytical</w:t>
      </w:r>
      <w:r w:rsidRPr="00EC20A0">
        <w:rPr>
          <w:spacing w:val="-5"/>
        </w:rPr>
        <w:t xml:space="preserve"> </w:t>
      </w:r>
      <w:r w:rsidRPr="00EC20A0">
        <w:t>procedures;</w:t>
      </w:r>
      <w:r w:rsidRPr="00EC20A0">
        <w:rPr>
          <w:spacing w:val="-5"/>
        </w:rPr>
        <w:t xml:space="preserve"> </w:t>
      </w:r>
      <w:r w:rsidRPr="00EC20A0">
        <w:t>the</w:t>
      </w:r>
      <w:r w:rsidRPr="00EC20A0">
        <w:rPr>
          <w:spacing w:val="-5"/>
        </w:rPr>
        <w:t xml:space="preserve"> </w:t>
      </w:r>
      <w:r w:rsidRPr="00EC20A0">
        <w:t>summary</w:t>
      </w:r>
      <w:r w:rsidRPr="00EC20A0">
        <w:rPr>
          <w:spacing w:val="-4"/>
        </w:rPr>
        <w:t xml:space="preserve"> </w:t>
      </w:r>
      <w:r w:rsidRPr="00EC20A0">
        <w:t>of</w:t>
      </w:r>
      <w:r w:rsidRPr="00EC20A0">
        <w:rPr>
          <w:spacing w:val="-5"/>
        </w:rPr>
        <w:t xml:space="preserve"> </w:t>
      </w:r>
      <w:r w:rsidRPr="00EC20A0">
        <w:t>uncorrected</w:t>
      </w:r>
      <w:r w:rsidRPr="00EC20A0">
        <w:rPr>
          <w:spacing w:val="-5"/>
        </w:rPr>
        <w:t xml:space="preserve"> </w:t>
      </w:r>
      <w:r w:rsidRPr="00EC20A0">
        <w:t>misstatements</w:t>
      </w:r>
      <w:r w:rsidRPr="00EC20A0">
        <w:rPr>
          <w:spacing w:val="-5"/>
        </w:rPr>
        <w:t xml:space="preserve"> </w:t>
      </w:r>
      <w:r w:rsidRPr="00EC20A0">
        <w:t>(see</w:t>
      </w:r>
      <w:r w:rsidRPr="00EC20A0">
        <w:rPr>
          <w:spacing w:val="-5"/>
        </w:rPr>
        <w:t xml:space="preserve"> </w:t>
      </w:r>
      <w:r w:rsidRPr="00EC20A0">
        <w:t>FAM 595 C); and documentation of key decisions and significant judgments.</w:t>
      </w:r>
    </w:p>
    <w:p w14:paraId="24D60323" w14:textId="77777777" w:rsidR="00245300" w:rsidRPr="00EC20A0" w:rsidRDefault="00F17249">
      <w:pPr>
        <w:pStyle w:val="BodyText"/>
        <w:spacing w:before="240"/>
        <w:ind w:left="1860" w:right="656"/>
      </w:pPr>
      <w:r w:rsidRPr="00EC20A0">
        <w:t>FAM</w:t>
      </w:r>
      <w:r w:rsidRPr="00EC20A0">
        <w:rPr>
          <w:spacing w:val="-5"/>
        </w:rPr>
        <w:t xml:space="preserve"> </w:t>
      </w:r>
      <w:r w:rsidRPr="00EC20A0">
        <w:t>670</w:t>
      </w:r>
      <w:r w:rsidRPr="00EC20A0">
        <w:rPr>
          <w:spacing w:val="-4"/>
        </w:rPr>
        <w:t xml:space="preserve"> </w:t>
      </w:r>
      <w:r w:rsidRPr="00EC20A0">
        <w:t>A</w:t>
      </w:r>
      <w:r w:rsidRPr="00EC20A0">
        <w:rPr>
          <w:spacing w:val="-4"/>
        </w:rPr>
        <w:t xml:space="preserve"> </w:t>
      </w:r>
      <w:r w:rsidRPr="00EC20A0">
        <w:t>illustrates</w:t>
      </w:r>
      <w:r w:rsidRPr="00EC20A0">
        <w:rPr>
          <w:spacing w:val="-5"/>
        </w:rPr>
        <w:t xml:space="preserve"> </w:t>
      </w:r>
      <w:r w:rsidRPr="00EC20A0">
        <w:t>the</w:t>
      </w:r>
      <w:r w:rsidRPr="00EC20A0">
        <w:rPr>
          <w:spacing w:val="-4"/>
        </w:rPr>
        <w:t xml:space="preserve"> </w:t>
      </w:r>
      <w:r w:rsidRPr="00EC20A0">
        <w:t>procedures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generally</w:t>
      </w:r>
      <w:r w:rsidRPr="00EC20A0">
        <w:rPr>
          <w:spacing w:val="-4"/>
        </w:rPr>
        <w:t xml:space="preserve"> </w:t>
      </w:r>
      <w:r w:rsidRPr="00EC20A0">
        <w:t>should</w:t>
      </w:r>
      <w:r w:rsidRPr="00EC20A0">
        <w:rPr>
          <w:spacing w:val="-5"/>
        </w:rPr>
        <w:t xml:space="preserve"> </w:t>
      </w:r>
      <w:r w:rsidRPr="00EC20A0">
        <w:t>perform for each level of review at the entity level and assertion level for material line items,</w:t>
      </w:r>
      <w:r w:rsidRPr="00EC20A0">
        <w:rPr>
          <w:spacing w:val="-4"/>
        </w:rPr>
        <w:t xml:space="preserve"> </w:t>
      </w:r>
      <w:r w:rsidRPr="00EC20A0">
        <w:t>accounts,</w:t>
      </w:r>
      <w:r w:rsidRPr="00EC20A0">
        <w:rPr>
          <w:spacing w:val="-4"/>
        </w:rPr>
        <w:t xml:space="preserve"> </w:t>
      </w:r>
      <w:r w:rsidRPr="00EC20A0">
        <w:t>note</w:t>
      </w:r>
      <w:r w:rsidRPr="00EC20A0">
        <w:rPr>
          <w:spacing w:val="-4"/>
        </w:rPr>
        <w:t xml:space="preserve"> </w:t>
      </w:r>
      <w:r w:rsidRPr="00EC20A0">
        <w:t>disclosures,</w:t>
      </w:r>
      <w:r w:rsidRPr="00EC20A0">
        <w:rPr>
          <w:spacing w:val="-4"/>
        </w:rPr>
        <w:t xml:space="preserve"> </w:t>
      </w:r>
      <w:r w:rsidRPr="00EC20A0">
        <w:t>and</w:t>
      </w:r>
      <w:r w:rsidRPr="00EC20A0">
        <w:rPr>
          <w:spacing w:val="-4"/>
        </w:rPr>
        <w:t xml:space="preserve"> </w:t>
      </w:r>
      <w:r w:rsidRPr="00EC20A0">
        <w:t>classes</w:t>
      </w:r>
      <w:r w:rsidRPr="00EC20A0">
        <w:rPr>
          <w:spacing w:val="-4"/>
        </w:rPr>
        <w:t xml:space="preserve"> </w:t>
      </w:r>
      <w:r w:rsidRPr="00EC20A0">
        <w:t>of</w:t>
      </w:r>
      <w:r w:rsidRPr="00EC20A0">
        <w:rPr>
          <w:spacing w:val="-4"/>
        </w:rPr>
        <w:t xml:space="preserve"> </w:t>
      </w:r>
      <w:r w:rsidRPr="00EC20A0">
        <w:t>transactions,</w:t>
      </w:r>
      <w:r w:rsidRPr="00EC20A0">
        <w:rPr>
          <w:spacing w:val="-4"/>
        </w:rPr>
        <w:t xml:space="preserve"> </w:t>
      </w:r>
      <w:r w:rsidRPr="00EC20A0">
        <w:t>as</w:t>
      </w:r>
      <w:r w:rsidRPr="00EC20A0">
        <w:rPr>
          <w:spacing w:val="-4"/>
        </w:rPr>
        <w:t xml:space="preserve"> </w:t>
      </w:r>
      <w:r w:rsidRPr="00EC20A0">
        <w:t>well</w:t>
      </w:r>
      <w:r w:rsidRPr="00EC20A0">
        <w:rPr>
          <w:spacing w:val="-4"/>
        </w:rPr>
        <w:t xml:space="preserve"> </w:t>
      </w:r>
      <w:r w:rsidRPr="00EC20A0">
        <w:t>as</w:t>
      </w:r>
      <w:r w:rsidRPr="00EC20A0">
        <w:rPr>
          <w:spacing w:val="-5"/>
        </w:rPr>
        <w:t xml:space="preserve"> </w:t>
      </w:r>
      <w:r w:rsidRPr="00EC20A0">
        <w:t>what audit documentation the auditor should retain.</w:t>
      </w:r>
    </w:p>
    <w:p w14:paraId="24D60324" w14:textId="77777777" w:rsidR="00245300" w:rsidRPr="00EC20A0" w:rsidRDefault="00F17249">
      <w:pPr>
        <w:pStyle w:val="Heading4"/>
        <w:spacing w:before="239"/>
      </w:pPr>
      <w:bookmarkStart w:id="104" w:name="Staffing_the_Review_of_the_IPA_Firm’s_Au"/>
      <w:bookmarkEnd w:id="104"/>
      <w:r w:rsidRPr="00EC20A0">
        <w:t>Staffing</w:t>
      </w:r>
      <w:r w:rsidRPr="00EC20A0">
        <w:rPr>
          <w:spacing w:val="-9"/>
        </w:rPr>
        <w:t xml:space="preserve"> </w:t>
      </w:r>
      <w:r w:rsidRPr="00EC20A0">
        <w:t>the</w:t>
      </w:r>
      <w:r w:rsidRPr="00EC20A0">
        <w:rPr>
          <w:spacing w:val="-8"/>
        </w:rPr>
        <w:t xml:space="preserve"> </w:t>
      </w:r>
      <w:r w:rsidRPr="00EC20A0">
        <w:t>Review</w:t>
      </w:r>
      <w:r w:rsidRPr="00EC20A0">
        <w:rPr>
          <w:spacing w:val="-9"/>
        </w:rPr>
        <w:t xml:space="preserve"> </w:t>
      </w:r>
      <w:r w:rsidRPr="00EC20A0">
        <w:t>of</w:t>
      </w:r>
      <w:r w:rsidRPr="00EC20A0">
        <w:rPr>
          <w:spacing w:val="-8"/>
        </w:rPr>
        <w:t xml:space="preserve"> </w:t>
      </w:r>
      <w:r w:rsidRPr="00EC20A0">
        <w:t>the</w:t>
      </w:r>
      <w:r w:rsidRPr="00EC20A0">
        <w:rPr>
          <w:spacing w:val="-7"/>
        </w:rPr>
        <w:t xml:space="preserve"> </w:t>
      </w:r>
      <w:r w:rsidRPr="00EC20A0">
        <w:t>IPA</w:t>
      </w:r>
      <w:r w:rsidRPr="00EC20A0">
        <w:rPr>
          <w:spacing w:val="-9"/>
        </w:rPr>
        <w:t xml:space="preserve"> </w:t>
      </w:r>
      <w:r w:rsidRPr="00EC20A0">
        <w:t>Firm’s</w:t>
      </w:r>
      <w:r w:rsidRPr="00EC20A0">
        <w:rPr>
          <w:spacing w:val="-8"/>
        </w:rPr>
        <w:t xml:space="preserve"> </w:t>
      </w:r>
      <w:r w:rsidRPr="00EC20A0">
        <w:t>Audit</w:t>
      </w:r>
      <w:r w:rsidRPr="00EC20A0">
        <w:rPr>
          <w:spacing w:val="-8"/>
        </w:rPr>
        <w:t xml:space="preserve"> </w:t>
      </w:r>
      <w:r w:rsidRPr="00EC20A0">
        <w:rPr>
          <w:spacing w:val="-4"/>
        </w:rPr>
        <w:t>Work</w:t>
      </w:r>
    </w:p>
    <w:p w14:paraId="24D60325" w14:textId="77777777" w:rsidR="00245300" w:rsidRPr="00EC20A0" w:rsidRDefault="00F17249">
      <w:pPr>
        <w:pStyle w:val="ListParagraph"/>
        <w:numPr>
          <w:ilvl w:val="0"/>
          <w:numId w:val="187"/>
        </w:numPr>
        <w:tabs>
          <w:tab w:val="left" w:pos="1858"/>
        </w:tabs>
        <w:spacing w:before="241"/>
        <w:ind w:left="1858" w:right="617" w:hanging="719"/>
      </w:pPr>
      <w:r w:rsidRPr="00EC20A0">
        <w:t xml:space="preserve">The auditor’s staff </w:t>
      </w:r>
      <w:r w:rsidRPr="00EC20A0">
        <w:t>reviewing the audit work generally should have enough experience in financial statement auditing to understand the professional judgments that need to be made and to interact with the higher levels of</w:t>
      </w:r>
      <w:r w:rsidRPr="00EC20A0">
        <w:rPr>
          <w:spacing w:val="-1"/>
        </w:rPr>
        <w:t xml:space="preserve"> </w:t>
      </w:r>
      <w:r w:rsidRPr="00EC20A0">
        <w:t>the IPA firm.</w:t>
      </w:r>
      <w:r w:rsidRPr="00EC20A0">
        <w:rPr>
          <w:spacing w:val="-3"/>
        </w:rPr>
        <w:t xml:space="preserve"> </w:t>
      </w:r>
      <w:r w:rsidRPr="00EC20A0">
        <w:t>An</w:t>
      </w:r>
      <w:r w:rsidRPr="00EC20A0">
        <w:rPr>
          <w:spacing w:val="-3"/>
        </w:rPr>
        <w:t xml:space="preserve"> </w:t>
      </w:r>
      <w:r w:rsidRPr="00EC20A0">
        <w:t>assistant</w:t>
      </w:r>
      <w:r w:rsidRPr="00EC20A0">
        <w:rPr>
          <w:spacing w:val="-3"/>
        </w:rPr>
        <w:t xml:space="preserve"> </w:t>
      </w:r>
      <w:r w:rsidRPr="00EC20A0">
        <w:t>director</w:t>
      </w:r>
      <w:r w:rsidRPr="00EC20A0">
        <w:rPr>
          <w:spacing w:val="-3"/>
        </w:rPr>
        <w:t xml:space="preserve"> </w:t>
      </w:r>
      <w:r w:rsidRPr="00EC20A0">
        <w:t>or</w:t>
      </w:r>
      <w:r w:rsidRPr="00EC20A0">
        <w:rPr>
          <w:spacing w:val="-3"/>
        </w:rPr>
        <w:t xml:space="preserve"> </w:t>
      </w:r>
      <w:r w:rsidRPr="00EC20A0">
        <w:t>a</w:t>
      </w:r>
      <w:r w:rsidRPr="00EC20A0">
        <w:rPr>
          <w:spacing w:val="-3"/>
        </w:rPr>
        <w:t xml:space="preserve"> </w:t>
      </w:r>
      <w:r w:rsidRPr="00EC20A0">
        <w:t>senior</w:t>
      </w:r>
      <w:r w:rsidRPr="00EC20A0">
        <w:rPr>
          <w:spacing w:val="-4"/>
        </w:rPr>
        <w:t xml:space="preserve"> </w:t>
      </w:r>
      <w:r w:rsidRPr="00EC20A0">
        <w:t>manager</w:t>
      </w:r>
      <w:r w:rsidRPr="00EC20A0">
        <w:rPr>
          <w:spacing w:val="-3"/>
        </w:rPr>
        <w:t xml:space="preserve"> </w:t>
      </w:r>
      <w:r w:rsidRPr="00EC20A0">
        <w:t>who</w:t>
      </w:r>
      <w:r w:rsidRPr="00EC20A0">
        <w:rPr>
          <w:spacing w:val="-3"/>
        </w:rPr>
        <w:t xml:space="preserve"> </w:t>
      </w:r>
      <w:r w:rsidRPr="00EC20A0">
        <w:t>has</w:t>
      </w:r>
      <w:r w:rsidRPr="00EC20A0">
        <w:rPr>
          <w:spacing w:val="-3"/>
        </w:rPr>
        <w:t xml:space="preserve"> </w:t>
      </w:r>
      <w:r w:rsidRPr="00EC20A0">
        <w:t>significant</w:t>
      </w:r>
      <w:r w:rsidRPr="00EC20A0">
        <w:rPr>
          <w:spacing w:val="-3"/>
        </w:rPr>
        <w:t xml:space="preserve"> </w:t>
      </w:r>
      <w:r w:rsidRPr="00EC20A0">
        <w:t>experience</w:t>
      </w:r>
      <w:r w:rsidRPr="00EC20A0">
        <w:rPr>
          <w:spacing w:val="-3"/>
        </w:rPr>
        <w:t xml:space="preserve"> </w:t>
      </w:r>
      <w:r w:rsidRPr="00EC20A0">
        <w:t>in performing or reviewing financial statement audit work should supervise or perform most of the review. Less qualified staff members may perform reviews when supervised by more qualified auditors.</w:t>
      </w:r>
    </w:p>
    <w:p w14:paraId="24D60326" w14:textId="77777777" w:rsidR="00245300" w:rsidRPr="00EC20A0" w:rsidRDefault="00F17249">
      <w:pPr>
        <w:pStyle w:val="ListParagraph"/>
        <w:numPr>
          <w:ilvl w:val="0"/>
          <w:numId w:val="187"/>
        </w:numPr>
        <w:tabs>
          <w:tab w:val="left" w:pos="1858"/>
        </w:tabs>
        <w:spacing w:before="239"/>
        <w:ind w:left="1858" w:right="630" w:hanging="720"/>
      </w:pPr>
      <w:r w:rsidRPr="00EC20A0">
        <w:t>When the IPA firm’s work involves the review of IS controls, the auditor should ensure</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auditor’s</w:t>
      </w:r>
      <w:r w:rsidRPr="00EC20A0">
        <w:rPr>
          <w:spacing w:val="-4"/>
        </w:rPr>
        <w:t xml:space="preserve"> </w:t>
      </w:r>
      <w:r w:rsidRPr="00EC20A0">
        <w:t>staff</w:t>
      </w:r>
      <w:r w:rsidRPr="00EC20A0">
        <w:rPr>
          <w:spacing w:val="-3"/>
        </w:rPr>
        <w:t xml:space="preserve"> </w:t>
      </w:r>
      <w:r w:rsidRPr="00EC20A0">
        <w:t>has</w:t>
      </w:r>
      <w:r w:rsidRPr="00EC20A0">
        <w:rPr>
          <w:spacing w:val="-3"/>
        </w:rPr>
        <w:t xml:space="preserve"> </w:t>
      </w:r>
      <w:r w:rsidRPr="00EC20A0">
        <w:t>the</w:t>
      </w:r>
      <w:r w:rsidRPr="00EC20A0">
        <w:rPr>
          <w:spacing w:val="-4"/>
        </w:rPr>
        <w:t xml:space="preserve"> </w:t>
      </w:r>
      <w:r w:rsidRPr="00EC20A0">
        <w:t>requisite</w:t>
      </w:r>
      <w:r w:rsidRPr="00EC20A0">
        <w:rPr>
          <w:spacing w:val="-3"/>
        </w:rPr>
        <w:t xml:space="preserve"> </w:t>
      </w:r>
      <w:r w:rsidRPr="00EC20A0">
        <w:t>IS</w:t>
      </w:r>
      <w:r w:rsidRPr="00EC20A0">
        <w:rPr>
          <w:spacing w:val="-5"/>
        </w:rPr>
        <w:t xml:space="preserve"> </w:t>
      </w:r>
      <w:r w:rsidRPr="00EC20A0">
        <w:t>knowledge</w:t>
      </w:r>
      <w:r w:rsidRPr="00EC20A0">
        <w:rPr>
          <w:spacing w:val="-3"/>
        </w:rPr>
        <w:t xml:space="preserve"> </w:t>
      </w:r>
      <w:r w:rsidRPr="00EC20A0">
        <w:t>to</w:t>
      </w:r>
      <w:r w:rsidRPr="00EC20A0">
        <w:rPr>
          <w:spacing w:val="-3"/>
        </w:rPr>
        <w:t xml:space="preserve"> </w:t>
      </w:r>
      <w:r w:rsidRPr="00EC20A0">
        <w:t>review</w:t>
      </w:r>
      <w:r w:rsidRPr="00EC20A0">
        <w:rPr>
          <w:spacing w:val="-4"/>
        </w:rPr>
        <w:t xml:space="preserve"> </w:t>
      </w:r>
      <w:r w:rsidRPr="00EC20A0">
        <w:t>the</w:t>
      </w:r>
      <w:r w:rsidRPr="00EC20A0">
        <w:rPr>
          <w:spacing w:val="-4"/>
        </w:rPr>
        <w:t xml:space="preserve"> </w:t>
      </w:r>
      <w:r w:rsidRPr="00EC20A0">
        <w:t xml:space="preserve">firm’s work to determine whether IS controls were adequate, audit work was properly documented, and related audit </w:t>
      </w:r>
      <w:r w:rsidRPr="00EC20A0">
        <w:t>objectives were achieved.</w:t>
      </w:r>
    </w:p>
    <w:p w14:paraId="24D60327" w14:textId="77777777" w:rsidR="00245300" w:rsidRPr="00EC20A0" w:rsidRDefault="00F17249">
      <w:pPr>
        <w:pStyle w:val="Heading4"/>
        <w:spacing w:before="241"/>
      </w:pPr>
      <w:bookmarkStart w:id="105" w:name="Evaluating_the_Audit_Work_of_the_IPA_Fir"/>
      <w:bookmarkEnd w:id="105"/>
      <w:r w:rsidRPr="00EC20A0">
        <w:t>Evaluating</w:t>
      </w:r>
      <w:r w:rsidRPr="00EC20A0">
        <w:rPr>
          <w:spacing w:val="-9"/>
        </w:rPr>
        <w:t xml:space="preserve"> </w:t>
      </w:r>
      <w:r w:rsidRPr="00EC20A0">
        <w:t>the</w:t>
      </w:r>
      <w:r w:rsidRPr="00EC20A0">
        <w:rPr>
          <w:spacing w:val="-8"/>
        </w:rPr>
        <w:t xml:space="preserve"> </w:t>
      </w:r>
      <w:r w:rsidRPr="00EC20A0">
        <w:t>Audit</w:t>
      </w:r>
      <w:r w:rsidRPr="00EC20A0">
        <w:rPr>
          <w:spacing w:val="-8"/>
        </w:rPr>
        <w:t xml:space="preserve"> </w:t>
      </w:r>
      <w:r w:rsidRPr="00EC20A0">
        <w:t>Work</w:t>
      </w:r>
      <w:r w:rsidRPr="00EC20A0">
        <w:rPr>
          <w:spacing w:val="-8"/>
        </w:rPr>
        <w:t xml:space="preserve"> </w:t>
      </w:r>
      <w:r w:rsidRPr="00EC20A0">
        <w:t>of</w:t>
      </w:r>
      <w:r w:rsidRPr="00EC20A0">
        <w:rPr>
          <w:spacing w:val="-8"/>
        </w:rPr>
        <w:t xml:space="preserve"> </w:t>
      </w:r>
      <w:r w:rsidRPr="00EC20A0">
        <w:t>the</w:t>
      </w:r>
      <w:r w:rsidRPr="00EC20A0">
        <w:rPr>
          <w:spacing w:val="-8"/>
        </w:rPr>
        <w:t xml:space="preserve"> </w:t>
      </w:r>
      <w:r w:rsidRPr="00EC20A0">
        <w:t>IPA</w:t>
      </w:r>
      <w:r w:rsidRPr="00EC20A0">
        <w:rPr>
          <w:spacing w:val="-9"/>
        </w:rPr>
        <w:t xml:space="preserve"> </w:t>
      </w:r>
      <w:r w:rsidRPr="00EC20A0">
        <w:rPr>
          <w:spacing w:val="-4"/>
        </w:rPr>
        <w:t>Firm</w:t>
      </w:r>
    </w:p>
    <w:p w14:paraId="24D60328" w14:textId="77777777" w:rsidR="00245300" w:rsidRPr="00EC20A0" w:rsidRDefault="00F17249">
      <w:pPr>
        <w:pStyle w:val="ListParagraph"/>
        <w:numPr>
          <w:ilvl w:val="0"/>
          <w:numId w:val="187"/>
        </w:numPr>
        <w:tabs>
          <w:tab w:val="left" w:pos="1858"/>
        </w:tabs>
        <w:ind w:left="1858" w:right="642" w:hanging="719"/>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determine</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is</w:t>
      </w:r>
      <w:r w:rsidRPr="00EC20A0">
        <w:rPr>
          <w:spacing w:val="-4"/>
        </w:rPr>
        <w:t xml:space="preserve"> </w:t>
      </w:r>
      <w:r w:rsidRPr="00EC20A0">
        <w:t>sufficient</w:t>
      </w:r>
      <w:r w:rsidRPr="00EC20A0">
        <w:rPr>
          <w:spacing w:val="-4"/>
        </w:rPr>
        <w:t xml:space="preserve"> </w:t>
      </w:r>
      <w:r w:rsidRPr="00EC20A0">
        <w:t>and</w:t>
      </w:r>
      <w:r w:rsidRPr="00EC20A0">
        <w:rPr>
          <w:spacing w:val="-4"/>
        </w:rPr>
        <w:t xml:space="preserve"> </w:t>
      </w:r>
      <w:r w:rsidRPr="00EC20A0">
        <w:t>appropriate</w:t>
      </w:r>
      <w:r w:rsidRPr="00EC20A0">
        <w:rPr>
          <w:spacing w:val="-4"/>
        </w:rPr>
        <w:t xml:space="preserve"> </w:t>
      </w:r>
      <w:r w:rsidRPr="00EC20A0">
        <w:t>and whether the IPA firm’s levels of internal review for the audit work were appropriate. In addition, the auditor should determine whether any significant issues</w:t>
      </w:r>
      <w:r w:rsidRPr="00EC20A0">
        <w:rPr>
          <w:spacing w:val="-2"/>
        </w:rPr>
        <w:t xml:space="preserve"> </w:t>
      </w:r>
      <w:r w:rsidRPr="00EC20A0">
        <w:t>related</w:t>
      </w:r>
      <w:r w:rsidRPr="00EC20A0">
        <w:rPr>
          <w:spacing w:val="-2"/>
        </w:rPr>
        <w:t xml:space="preserve"> </w:t>
      </w:r>
      <w:r w:rsidRPr="00EC20A0">
        <w:t>to</w:t>
      </w:r>
      <w:r w:rsidRPr="00EC20A0">
        <w:rPr>
          <w:spacing w:val="-2"/>
        </w:rPr>
        <w:t xml:space="preserve"> </w:t>
      </w:r>
      <w:r w:rsidRPr="00EC20A0">
        <w:t>the</w:t>
      </w:r>
      <w:r w:rsidRPr="00EC20A0">
        <w:rPr>
          <w:spacing w:val="-2"/>
        </w:rPr>
        <w:t xml:space="preserve"> </w:t>
      </w:r>
      <w:r w:rsidRPr="00EC20A0">
        <w:t>audit</w:t>
      </w:r>
      <w:r w:rsidRPr="00EC20A0">
        <w:rPr>
          <w:spacing w:val="-2"/>
        </w:rPr>
        <w:t xml:space="preserve"> </w:t>
      </w:r>
      <w:r w:rsidRPr="00EC20A0">
        <w:t>were</w:t>
      </w:r>
      <w:r w:rsidRPr="00EC20A0">
        <w:rPr>
          <w:spacing w:val="-2"/>
        </w:rPr>
        <w:t xml:space="preserve"> </w:t>
      </w:r>
      <w:r w:rsidRPr="00EC20A0">
        <w:t>identified</w:t>
      </w:r>
      <w:r w:rsidRPr="00EC20A0">
        <w:rPr>
          <w:spacing w:val="-2"/>
        </w:rPr>
        <w:t xml:space="preserve"> </w:t>
      </w:r>
      <w:r w:rsidRPr="00EC20A0">
        <w:t>or</w:t>
      </w:r>
      <w:r w:rsidRPr="00EC20A0">
        <w:rPr>
          <w:spacing w:val="-2"/>
        </w:rPr>
        <w:t xml:space="preserve"> </w:t>
      </w:r>
      <w:r w:rsidRPr="00EC20A0">
        <w:t>whether</w:t>
      </w:r>
      <w:r w:rsidRPr="00EC20A0">
        <w:rPr>
          <w:spacing w:val="-2"/>
        </w:rPr>
        <w:t xml:space="preserve"> </w:t>
      </w:r>
      <w:r w:rsidRPr="00EC20A0">
        <w:t>substantial</w:t>
      </w:r>
      <w:r w:rsidRPr="00EC20A0">
        <w:rPr>
          <w:spacing w:val="-2"/>
        </w:rPr>
        <w:t xml:space="preserve"> </w:t>
      </w:r>
      <w:r w:rsidRPr="00EC20A0">
        <w:t>deviations</w:t>
      </w:r>
      <w:r w:rsidRPr="00EC20A0">
        <w:rPr>
          <w:spacing w:val="-2"/>
        </w:rPr>
        <w:t xml:space="preserve"> </w:t>
      </w:r>
      <w:r w:rsidRPr="00EC20A0">
        <w:t>from GAGAS, if applicable, were identified but not documented and explained in the audit. The auditor should document this evaluation.</w:t>
      </w:r>
    </w:p>
    <w:p w14:paraId="24D60329" w14:textId="77777777" w:rsidR="00245300" w:rsidRPr="00EC20A0" w:rsidRDefault="00F17249">
      <w:pPr>
        <w:pStyle w:val="ListParagraph"/>
        <w:numPr>
          <w:ilvl w:val="0"/>
          <w:numId w:val="187"/>
        </w:numPr>
        <w:tabs>
          <w:tab w:val="left" w:pos="1858"/>
        </w:tabs>
        <w:ind w:left="1858" w:right="506" w:hanging="719"/>
      </w:pPr>
      <w:r w:rsidRPr="00EC20A0">
        <w:t>Sometimes, IPA firms use methodologies or audit approaches that are different from those the auditor would have used. Auditing requires a great deal of professional judgment, and there are often alternative ways to achieve audit objectives.</w:t>
      </w:r>
      <w:r w:rsidRPr="00EC20A0">
        <w:rPr>
          <w:spacing w:val="-2"/>
        </w:rPr>
        <w:t xml:space="preserve"> </w:t>
      </w:r>
      <w:r w:rsidRPr="00EC20A0">
        <w:t>Many</w:t>
      </w:r>
      <w:r w:rsidRPr="00EC20A0">
        <w:rPr>
          <w:spacing w:val="-1"/>
        </w:rPr>
        <w:t xml:space="preserve"> </w:t>
      </w:r>
      <w:r w:rsidRPr="00EC20A0">
        <w:t>IPA</w:t>
      </w:r>
      <w:r w:rsidRPr="00EC20A0">
        <w:rPr>
          <w:spacing w:val="-2"/>
        </w:rPr>
        <w:t xml:space="preserve"> </w:t>
      </w:r>
      <w:r w:rsidRPr="00EC20A0">
        <w:t>firms</w:t>
      </w:r>
      <w:r w:rsidRPr="00EC20A0">
        <w:rPr>
          <w:spacing w:val="-1"/>
        </w:rPr>
        <w:t xml:space="preserve"> </w:t>
      </w:r>
      <w:r w:rsidRPr="00EC20A0">
        <w:t>have</w:t>
      </w:r>
      <w:r w:rsidRPr="00EC20A0">
        <w:rPr>
          <w:spacing w:val="-1"/>
        </w:rPr>
        <w:t xml:space="preserve"> </w:t>
      </w:r>
      <w:r w:rsidRPr="00EC20A0">
        <w:t>developed,</w:t>
      </w:r>
      <w:r w:rsidRPr="00EC20A0">
        <w:rPr>
          <w:spacing w:val="-1"/>
        </w:rPr>
        <w:t xml:space="preserve"> </w:t>
      </w:r>
      <w:r w:rsidRPr="00EC20A0">
        <w:t>at</w:t>
      </w:r>
      <w:r w:rsidRPr="00EC20A0">
        <w:rPr>
          <w:spacing w:val="-2"/>
        </w:rPr>
        <w:t xml:space="preserve"> </w:t>
      </w:r>
      <w:r w:rsidRPr="00EC20A0">
        <w:t>considerable</w:t>
      </w:r>
      <w:r w:rsidRPr="00EC20A0">
        <w:rPr>
          <w:spacing w:val="-1"/>
        </w:rPr>
        <w:t xml:space="preserve"> </w:t>
      </w:r>
      <w:r w:rsidRPr="00EC20A0">
        <w:t>expense,</w:t>
      </w:r>
      <w:r w:rsidRPr="00EC20A0">
        <w:rPr>
          <w:spacing w:val="-2"/>
        </w:rPr>
        <w:t xml:space="preserve"> </w:t>
      </w:r>
      <w:r w:rsidRPr="00EC20A0">
        <w:t>proprietary audit methodologies to use on a wide range of public and private sector clients. Many of these audit methodologies use electronic technology where all audit documentation</w:t>
      </w:r>
      <w:r w:rsidRPr="00EC20A0">
        <w:rPr>
          <w:spacing w:val="-4"/>
        </w:rPr>
        <w:t xml:space="preserve"> </w:t>
      </w:r>
      <w:r w:rsidRPr="00EC20A0">
        <w:t>exists</w:t>
      </w:r>
      <w:r w:rsidRPr="00EC20A0">
        <w:rPr>
          <w:spacing w:val="-4"/>
        </w:rPr>
        <w:t xml:space="preserve"> </w:t>
      </w:r>
      <w:r w:rsidRPr="00EC20A0">
        <w:t>only</w:t>
      </w:r>
      <w:r w:rsidRPr="00EC20A0">
        <w:rPr>
          <w:spacing w:val="-4"/>
        </w:rPr>
        <w:t xml:space="preserve"> </w:t>
      </w:r>
      <w:r w:rsidRPr="00EC20A0">
        <w:t>in</w:t>
      </w:r>
      <w:r w:rsidRPr="00EC20A0">
        <w:rPr>
          <w:spacing w:val="-4"/>
        </w:rPr>
        <w:t xml:space="preserve"> </w:t>
      </w:r>
      <w:r w:rsidRPr="00EC20A0">
        <w:t>electronic</w:t>
      </w:r>
      <w:r w:rsidRPr="00EC20A0">
        <w:rPr>
          <w:spacing w:val="-4"/>
        </w:rPr>
        <w:t xml:space="preserve"> </w:t>
      </w:r>
      <w:r w:rsidRPr="00EC20A0">
        <w:t>form.</w:t>
      </w:r>
      <w:r w:rsidRPr="00EC20A0">
        <w:rPr>
          <w:spacing w:val="-4"/>
        </w:rPr>
        <w:t xml:space="preserve"> </w:t>
      </w:r>
      <w:r w:rsidRPr="00EC20A0">
        <w:t>Thus,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 xml:space="preserve">understand the IPA firm’s audit methodology and basis for the nature, timing, and extent of audit procedures. This may require obtaining permission to use proprietary software to review the audit documentation. Additionally, </w:t>
      </w:r>
      <w:r w:rsidRPr="00EC20A0">
        <w:t>where the IPA firm’s software is retained, the auditor should develop a process to maintain the operability of the software to access the audit documentation in the future. If the IPA firm’s methodology differs from the FAM, the IPA firm should discuss the matter and obtain the IG’s advance approval for alternative audit methodologies, in accordance with the terms of the contract.</w:t>
      </w:r>
    </w:p>
    <w:p w14:paraId="24D6032A" w14:textId="77777777" w:rsidR="00245300" w:rsidRPr="00EC20A0" w:rsidRDefault="00245300">
      <w:pPr>
        <w:sectPr w:rsidR="00245300" w:rsidRPr="00EC20A0">
          <w:pgSz w:w="12240" w:h="15840"/>
          <w:pgMar w:top="1600" w:right="940" w:bottom="940" w:left="1020" w:header="721" w:footer="757" w:gutter="0"/>
          <w:cols w:space="720"/>
        </w:sectPr>
      </w:pPr>
    </w:p>
    <w:p w14:paraId="24D6032B" w14:textId="77777777" w:rsidR="00245300" w:rsidRPr="00EC20A0" w:rsidRDefault="00F17249">
      <w:pPr>
        <w:pStyle w:val="BodyText"/>
        <w:spacing w:before="121"/>
        <w:ind w:left="1860" w:right="525" w:hanging="1"/>
      </w:pPr>
      <w:r w:rsidRPr="00EC20A0">
        <w:t xml:space="preserve">The auditor should evaluate whether sufficient appropriate evidence has been obtained to meet the audit </w:t>
      </w:r>
      <w:r w:rsidRPr="00EC20A0">
        <w:t>objectives,</w:t>
      </w:r>
      <w:hyperlink w:anchor="_bookmark31" w:history="1">
        <w:r w:rsidRPr="00EC20A0">
          <w:rPr>
            <w:position w:val="7"/>
            <w:sz w:val="14"/>
          </w:rPr>
          <w:t>22</w:t>
        </w:r>
      </w:hyperlink>
      <w:r w:rsidRPr="00EC20A0">
        <w:rPr>
          <w:spacing w:val="35"/>
          <w:position w:val="7"/>
          <w:sz w:val="14"/>
        </w:rPr>
        <w:t xml:space="preserve"> </w:t>
      </w:r>
      <w:r w:rsidRPr="00EC20A0">
        <w:t>particularly for significant assertions in material</w:t>
      </w:r>
      <w:r w:rsidRPr="00EC20A0">
        <w:rPr>
          <w:spacing w:val="-4"/>
        </w:rPr>
        <w:t xml:space="preserve"> </w:t>
      </w:r>
      <w:r w:rsidRPr="00EC20A0">
        <w:t>line</w:t>
      </w:r>
      <w:r w:rsidRPr="00EC20A0">
        <w:rPr>
          <w:spacing w:val="-5"/>
        </w:rPr>
        <w:t xml:space="preserve"> </w:t>
      </w:r>
      <w:r w:rsidRPr="00EC20A0">
        <w:t>items,</w:t>
      </w:r>
      <w:r w:rsidRPr="00EC20A0">
        <w:rPr>
          <w:spacing w:val="-4"/>
        </w:rPr>
        <w:t xml:space="preserve"> </w:t>
      </w:r>
      <w:r w:rsidRPr="00EC20A0">
        <w:t>accounts,</w:t>
      </w:r>
      <w:r w:rsidRPr="00EC20A0">
        <w:rPr>
          <w:spacing w:val="-4"/>
        </w:rPr>
        <w:t xml:space="preserve"> </w:t>
      </w:r>
      <w:r w:rsidRPr="00EC20A0">
        <w:t>note</w:t>
      </w:r>
      <w:r w:rsidRPr="00EC20A0">
        <w:rPr>
          <w:spacing w:val="-4"/>
        </w:rPr>
        <w:t xml:space="preserve"> </w:t>
      </w:r>
      <w:r w:rsidRPr="00EC20A0">
        <w:t>disclosures,</w:t>
      </w:r>
      <w:r w:rsidRPr="00EC20A0">
        <w:rPr>
          <w:spacing w:val="-4"/>
        </w:rPr>
        <w:t xml:space="preserve"> </w:t>
      </w:r>
      <w:r w:rsidRPr="00EC20A0">
        <w:t>and</w:t>
      </w:r>
      <w:r w:rsidRPr="00EC20A0">
        <w:rPr>
          <w:spacing w:val="-4"/>
        </w:rPr>
        <w:t xml:space="preserve"> </w:t>
      </w:r>
      <w:r w:rsidRPr="00EC20A0">
        <w:t>classes</w:t>
      </w:r>
      <w:r w:rsidRPr="00EC20A0">
        <w:rPr>
          <w:spacing w:val="-4"/>
        </w:rPr>
        <w:t xml:space="preserve"> </w:t>
      </w:r>
      <w:r w:rsidRPr="00EC20A0">
        <w:t>of</w:t>
      </w:r>
      <w:r w:rsidRPr="00EC20A0">
        <w:rPr>
          <w:spacing w:val="-4"/>
        </w:rPr>
        <w:t xml:space="preserve"> </w:t>
      </w:r>
      <w:r w:rsidRPr="00EC20A0">
        <w:t>transactions</w:t>
      </w:r>
      <w:r w:rsidRPr="00EC20A0">
        <w:rPr>
          <w:spacing w:val="-4"/>
        </w:rPr>
        <w:t xml:space="preserve"> </w:t>
      </w:r>
      <w:r w:rsidRPr="00EC20A0">
        <w:t>with</w:t>
      </w:r>
      <w:r w:rsidRPr="00EC20A0">
        <w:rPr>
          <w:spacing w:val="-4"/>
        </w:rPr>
        <w:t xml:space="preserve"> </w:t>
      </w:r>
      <w:r w:rsidRPr="00EC20A0">
        <w:t xml:space="preserve">a high risk of material misstatement. If the audit director determines that concerns about the sufficiency of the IPA’s work should be communicated to the IPA firm, then the audit director should discuss those concerns with the reviewer before formally discussing them with the IPA firm. Sometimes, the auditor may disagree with the IPA firm’s conclusions or judgments. In such a case, </w:t>
      </w:r>
      <w:r w:rsidRPr="00EC20A0">
        <w:t>the auditor should evaluate the IPA firm’s work as well as any other evidence or testing necessary to determine the appropriate conclusion.</w:t>
      </w:r>
    </w:p>
    <w:p w14:paraId="24D6032C" w14:textId="77777777" w:rsidR="00245300" w:rsidRPr="00EC20A0" w:rsidRDefault="00F17249">
      <w:pPr>
        <w:pStyle w:val="ListParagraph"/>
        <w:numPr>
          <w:ilvl w:val="0"/>
          <w:numId w:val="187"/>
        </w:numPr>
        <w:tabs>
          <w:tab w:val="left" w:pos="1859"/>
        </w:tabs>
        <w:ind w:right="531" w:hanging="719"/>
      </w:pPr>
      <w:r w:rsidRPr="00EC20A0">
        <w:t>After discussions with the IPA firm, if the auditor determines that sufficient appropriate evidence has not been obtained, the auditor should discuss this with the audit director. The audit director should then discuss those concerns with the reviewer and with appropriate contacts of a group auditor. For unresolved matters that are material to the financial statements or significantly affect the auditor’s</w:t>
      </w:r>
      <w:r w:rsidRPr="00EC20A0">
        <w:rPr>
          <w:spacing w:val="-3"/>
        </w:rPr>
        <w:t xml:space="preserve"> </w:t>
      </w:r>
      <w:r w:rsidRPr="00EC20A0">
        <w:t>report,</w:t>
      </w:r>
      <w:r w:rsidRPr="00EC20A0">
        <w:rPr>
          <w:spacing w:val="-3"/>
        </w:rPr>
        <w:t xml:space="preserve"> </w:t>
      </w:r>
      <w:r w:rsidRPr="00EC20A0">
        <w:t>the</w:t>
      </w:r>
      <w:r w:rsidRPr="00EC20A0">
        <w:rPr>
          <w:spacing w:val="-3"/>
        </w:rPr>
        <w:t xml:space="preserve"> </w:t>
      </w:r>
      <w:r w:rsidRPr="00EC20A0">
        <w:t>IG</w:t>
      </w:r>
      <w:r w:rsidRPr="00EC20A0">
        <w:rPr>
          <w:spacing w:val="-4"/>
        </w:rPr>
        <w:t xml:space="preserve"> </w:t>
      </w:r>
      <w:r w:rsidRPr="00EC20A0">
        <w:t>should</w:t>
      </w:r>
      <w:r w:rsidRPr="00EC20A0">
        <w:rPr>
          <w:spacing w:val="-3"/>
        </w:rPr>
        <w:t xml:space="preserve"> </w:t>
      </w:r>
      <w:r w:rsidRPr="00EC20A0">
        <w:t>discuss</w:t>
      </w:r>
      <w:r w:rsidRPr="00EC20A0">
        <w:rPr>
          <w:spacing w:val="-3"/>
        </w:rPr>
        <w:t xml:space="preserve"> </w:t>
      </w:r>
      <w:r w:rsidRPr="00EC20A0">
        <w:t>these</w:t>
      </w:r>
      <w:r w:rsidRPr="00EC20A0">
        <w:rPr>
          <w:spacing w:val="-3"/>
        </w:rPr>
        <w:t xml:space="preserve"> </w:t>
      </w:r>
      <w:r w:rsidRPr="00EC20A0">
        <w:t>with</w:t>
      </w:r>
      <w:r w:rsidRPr="00EC20A0">
        <w:rPr>
          <w:spacing w:val="-4"/>
        </w:rPr>
        <w:t xml:space="preserve"> </w:t>
      </w:r>
      <w:r w:rsidRPr="00EC20A0">
        <w:t>management</w:t>
      </w:r>
      <w:r w:rsidRPr="00EC20A0">
        <w:rPr>
          <w:spacing w:val="-3"/>
        </w:rPr>
        <w:t xml:space="preserve"> </w:t>
      </w:r>
      <w:r w:rsidRPr="00EC20A0">
        <w:t>and</w:t>
      </w:r>
      <w:r w:rsidRPr="00EC20A0">
        <w:rPr>
          <w:spacing w:val="-3"/>
        </w:rPr>
        <w:t xml:space="preserve"> </w:t>
      </w:r>
      <w:r w:rsidRPr="00EC20A0">
        <w:t>consider</w:t>
      </w:r>
      <w:r w:rsidRPr="00EC20A0">
        <w:rPr>
          <w:spacing w:val="-3"/>
        </w:rPr>
        <w:t xml:space="preserve"> </w:t>
      </w:r>
      <w:r w:rsidRPr="00EC20A0">
        <w:t xml:space="preserve">how to communicate to those charged with governance the IG’s concern </w:t>
      </w:r>
      <w:r w:rsidRPr="00EC20A0">
        <w:t>about compliance with GAGAS. At a minimum, the auditor should include in the oversight</w:t>
      </w:r>
      <w:r w:rsidRPr="00EC20A0">
        <w:rPr>
          <w:spacing w:val="-3"/>
        </w:rPr>
        <w:t xml:space="preserve"> </w:t>
      </w:r>
      <w:r w:rsidRPr="00EC20A0">
        <w:t>files</w:t>
      </w:r>
      <w:r w:rsidRPr="00EC20A0">
        <w:rPr>
          <w:spacing w:val="-3"/>
        </w:rPr>
        <w:t xml:space="preserve"> </w:t>
      </w:r>
      <w:r w:rsidRPr="00EC20A0">
        <w:t>a</w:t>
      </w:r>
      <w:r w:rsidRPr="00EC20A0">
        <w:rPr>
          <w:spacing w:val="-3"/>
        </w:rPr>
        <w:t xml:space="preserve"> </w:t>
      </w:r>
      <w:r w:rsidRPr="00EC20A0">
        <w:t>description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matter</w:t>
      </w:r>
      <w:r w:rsidRPr="00EC20A0">
        <w:rPr>
          <w:spacing w:val="-3"/>
        </w:rPr>
        <w:t xml:space="preserve"> </w:t>
      </w:r>
      <w:r w:rsidRPr="00EC20A0">
        <w:t>giving</w:t>
      </w:r>
      <w:r w:rsidRPr="00EC20A0">
        <w:rPr>
          <w:spacing w:val="-3"/>
        </w:rPr>
        <w:t xml:space="preserve"> </w:t>
      </w:r>
      <w:r w:rsidRPr="00EC20A0">
        <w:t>rise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IG’s</w:t>
      </w:r>
      <w:r w:rsidRPr="00EC20A0">
        <w:rPr>
          <w:spacing w:val="-3"/>
        </w:rPr>
        <w:t xml:space="preserve"> </w:t>
      </w:r>
      <w:r w:rsidRPr="00EC20A0">
        <w:t>concern</w:t>
      </w:r>
      <w:r w:rsidRPr="00EC20A0">
        <w:rPr>
          <w:spacing w:val="-4"/>
        </w:rPr>
        <w:t xml:space="preserve"> </w:t>
      </w:r>
      <w:r w:rsidRPr="00EC20A0">
        <w:t>about</w:t>
      </w:r>
      <w:r w:rsidRPr="00EC20A0">
        <w:rPr>
          <w:spacing w:val="-3"/>
        </w:rPr>
        <w:t xml:space="preserve"> </w:t>
      </w:r>
      <w:r w:rsidRPr="00EC20A0">
        <w:t>the audit evidence and its potential impact on the auditor’s transmittal.</w:t>
      </w:r>
    </w:p>
    <w:p w14:paraId="24D6032D" w14:textId="77777777" w:rsidR="00245300" w:rsidRPr="00EC20A0" w:rsidRDefault="00F17249">
      <w:pPr>
        <w:pStyle w:val="Heading4"/>
      </w:pPr>
      <w:bookmarkStart w:id="106" w:name="Documenting_the_Review_of_the_IPA_Firm’s"/>
      <w:bookmarkEnd w:id="106"/>
      <w:r w:rsidRPr="00EC20A0">
        <w:t>Documenting</w:t>
      </w:r>
      <w:r w:rsidRPr="00EC20A0">
        <w:rPr>
          <w:spacing w:val="-10"/>
        </w:rPr>
        <w:t xml:space="preserve"> </w:t>
      </w:r>
      <w:r w:rsidRPr="00EC20A0">
        <w:t>the</w:t>
      </w:r>
      <w:r w:rsidRPr="00EC20A0">
        <w:rPr>
          <w:spacing w:val="-8"/>
        </w:rPr>
        <w:t xml:space="preserve"> </w:t>
      </w:r>
      <w:r w:rsidRPr="00EC20A0">
        <w:t>Review</w:t>
      </w:r>
      <w:r w:rsidRPr="00EC20A0">
        <w:rPr>
          <w:spacing w:val="-10"/>
        </w:rPr>
        <w:t xml:space="preserve"> </w:t>
      </w:r>
      <w:r w:rsidRPr="00EC20A0">
        <w:t>of</w:t>
      </w:r>
      <w:r w:rsidRPr="00EC20A0">
        <w:rPr>
          <w:spacing w:val="-9"/>
        </w:rPr>
        <w:t xml:space="preserve"> </w:t>
      </w:r>
      <w:r w:rsidRPr="00EC20A0">
        <w:t>the</w:t>
      </w:r>
      <w:r w:rsidRPr="00EC20A0">
        <w:rPr>
          <w:spacing w:val="-9"/>
        </w:rPr>
        <w:t xml:space="preserve"> </w:t>
      </w:r>
      <w:r w:rsidRPr="00EC20A0">
        <w:t>IPA</w:t>
      </w:r>
      <w:r w:rsidRPr="00EC20A0">
        <w:rPr>
          <w:spacing w:val="-10"/>
        </w:rPr>
        <w:t xml:space="preserve"> </w:t>
      </w:r>
      <w:r w:rsidRPr="00EC20A0">
        <w:t>Firm’s</w:t>
      </w:r>
      <w:r w:rsidRPr="00EC20A0">
        <w:rPr>
          <w:spacing w:val="-9"/>
        </w:rPr>
        <w:t xml:space="preserve"> </w:t>
      </w:r>
      <w:r w:rsidRPr="00EC20A0">
        <w:t>Audit</w:t>
      </w:r>
      <w:r w:rsidRPr="00EC20A0">
        <w:rPr>
          <w:spacing w:val="-9"/>
        </w:rPr>
        <w:t xml:space="preserve"> </w:t>
      </w:r>
      <w:r w:rsidRPr="00EC20A0">
        <w:rPr>
          <w:spacing w:val="-4"/>
        </w:rPr>
        <w:t>Work</w:t>
      </w:r>
    </w:p>
    <w:p w14:paraId="24D6032E" w14:textId="77777777" w:rsidR="00245300" w:rsidRPr="00EC20A0" w:rsidRDefault="00F17249">
      <w:pPr>
        <w:pStyle w:val="ListParagraph"/>
        <w:numPr>
          <w:ilvl w:val="0"/>
          <w:numId w:val="187"/>
        </w:numPr>
        <w:tabs>
          <w:tab w:val="left" w:pos="1860"/>
        </w:tabs>
        <w:spacing w:before="239"/>
        <w:ind w:left="1860" w:right="666"/>
      </w:pPr>
      <w:r w:rsidRPr="00EC20A0">
        <w:t>There is a difference between the auditor’s responsibilities to review the documentation of the IPA firm and what the auditor may copy and retain from that</w:t>
      </w:r>
      <w:r w:rsidRPr="00EC20A0">
        <w:rPr>
          <w:spacing w:val="-4"/>
        </w:rPr>
        <w:t xml:space="preserve"> </w:t>
      </w:r>
      <w:r w:rsidRPr="00EC20A0">
        <w:t>documentation.</w:t>
      </w:r>
      <w:r w:rsidRPr="00EC20A0">
        <w:rPr>
          <w:spacing w:val="-4"/>
        </w:rPr>
        <w:t xml:space="preserve"> </w:t>
      </w:r>
      <w:r w:rsidRPr="00EC20A0">
        <w:t>The</w:t>
      </w:r>
      <w:r w:rsidRPr="00EC20A0">
        <w:rPr>
          <w:spacing w:val="-5"/>
        </w:rPr>
        <w:t xml:space="preserve"> </w:t>
      </w:r>
      <w:r w:rsidRPr="00EC20A0">
        <w:t>auditor</w:t>
      </w:r>
      <w:r w:rsidRPr="00EC20A0">
        <w:rPr>
          <w:spacing w:val="-4"/>
        </w:rPr>
        <w:t xml:space="preserve"> </w:t>
      </w:r>
      <w:r w:rsidRPr="00EC20A0">
        <w:t>generally</w:t>
      </w:r>
      <w:r w:rsidRPr="00EC20A0">
        <w:rPr>
          <w:spacing w:val="-4"/>
        </w:rPr>
        <w:t xml:space="preserve"> </w:t>
      </w:r>
      <w:r w:rsidRPr="00EC20A0">
        <w:t>should</w:t>
      </w:r>
      <w:r w:rsidRPr="00EC20A0">
        <w:rPr>
          <w:spacing w:val="-5"/>
        </w:rPr>
        <w:t xml:space="preserve"> </w:t>
      </w:r>
      <w:r w:rsidRPr="00EC20A0">
        <w:t>review</w:t>
      </w:r>
      <w:r w:rsidRPr="00EC20A0">
        <w:rPr>
          <w:spacing w:val="-5"/>
        </w:rPr>
        <w:t xml:space="preserve"> </w:t>
      </w:r>
      <w:r w:rsidRPr="00EC20A0">
        <w:t>the</w:t>
      </w:r>
      <w:r w:rsidRPr="00EC20A0">
        <w:rPr>
          <w:spacing w:val="-4"/>
        </w:rPr>
        <w:t xml:space="preserve"> </w:t>
      </w:r>
      <w:r w:rsidRPr="00EC20A0">
        <w:t>items</w:t>
      </w:r>
      <w:r w:rsidRPr="00EC20A0">
        <w:rPr>
          <w:spacing w:val="-4"/>
        </w:rPr>
        <w:t xml:space="preserve"> </w:t>
      </w:r>
      <w:r w:rsidRPr="00EC20A0">
        <w:t>listed</w:t>
      </w:r>
      <w:r w:rsidRPr="00EC20A0">
        <w:rPr>
          <w:spacing w:val="-4"/>
        </w:rPr>
        <w:t xml:space="preserve"> </w:t>
      </w:r>
      <w:r w:rsidRPr="00EC20A0">
        <w:t>in</w:t>
      </w:r>
      <w:r w:rsidRPr="00EC20A0">
        <w:rPr>
          <w:spacing w:val="-5"/>
        </w:rPr>
        <w:t xml:space="preserve"> </w:t>
      </w:r>
      <w:r w:rsidRPr="00EC20A0">
        <w:t>FAM 670 A, Table 1.</w:t>
      </w:r>
    </w:p>
    <w:p w14:paraId="24D6032F" w14:textId="77777777" w:rsidR="00245300" w:rsidRPr="00EC20A0" w:rsidRDefault="00F17249">
      <w:pPr>
        <w:pStyle w:val="ListParagraph"/>
        <w:numPr>
          <w:ilvl w:val="0"/>
          <w:numId w:val="187"/>
        </w:numPr>
        <w:tabs>
          <w:tab w:val="left" w:pos="1858"/>
          <w:tab w:val="left" w:pos="1860"/>
        </w:tabs>
        <w:ind w:left="1858" w:right="727" w:hanging="719"/>
      </w:pPr>
      <w:r w:rsidRPr="00EC20A0">
        <w:t>The auditor uses professional judgment in deciding which of the IPA firm’s documents to copy and retain. Based on the type of transmittal or the level of review, the</w:t>
      </w:r>
      <w:r w:rsidRPr="00EC20A0">
        <w:rPr>
          <w:spacing w:val="-1"/>
        </w:rPr>
        <w:t xml:space="preserve"> </w:t>
      </w:r>
      <w:r w:rsidRPr="00EC20A0">
        <w:t>auditor’s documentation generally</w:t>
      </w:r>
      <w:r w:rsidRPr="00EC20A0">
        <w:rPr>
          <w:spacing w:val="-1"/>
        </w:rPr>
        <w:t xml:space="preserve"> </w:t>
      </w:r>
      <w:r w:rsidRPr="00EC20A0">
        <w:t>should contain the items listed in FAM 670 A, Table 2, under “retain,” either electronically or in hard copy. Many IPA</w:t>
      </w:r>
      <w:r w:rsidRPr="00EC20A0">
        <w:rPr>
          <w:spacing w:val="-5"/>
        </w:rPr>
        <w:t xml:space="preserve"> </w:t>
      </w:r>
      <w:r w:rsidRPr="00EC20A0">
        <w:t>firms</w:t>
      </w:r>
      <w:r w:rsidRPr="00EC20A0">
        <w:rPr>
          <w:spacing w:val="-4"/>
        </w:rPr>
        <w:t xml:space="preserve"> </w:t>
      </w:r>
      <w:r w:rsidRPr="00EC20A0">
        <w:t>use</w:t>
      </w:r>
      <w:r w:rsidRPr="00EC20A0">
        <w:rPr>
          <w:spacing w:val="-4"/>
        </w:rPr>
        <w:t xml:space="preserve"> </w:t>
      </w:r>
      <w:r w:rsidRPr="00EC20A0">
        <w:t>electronic</w:t>
      </w:r>
      <w:r w:rsidRPr="00EC20A0">
        <w:rPr>
          <w:spacing w:val="-5"/>
        </w:rPr>
        <w:t xml:space="preserve"> </w:t>
      </w:r>
      <w:r w:rsidRPr="00EC20A0">
        <w:t>technology</w:t>
      </w:r>
      <w:r w:rsidRPr="00EC20A0">
        <w:rPr>
          <w:spacing w:val="-3"/>
        </w:rPr>
        <w:t xml:space="preserve"> </w:t>
      </w:r>
      <w:r w:rsidRPr="00EC20A0">
        <w:t>to</w:t>
      </w:r>
      <w:r w:rsidRPr="00EC20A0">
        <w:rPr>
          <w:spacing w:val="-4"/>
        </w:rPr>
        <w:t xml:space="preserve"> </w:t>
      </w:r>
      <w:r w:rsidRPr="00EC20A0">
        <w:t>retain</w:t>
      </w:r>
      <w:r w:rsidRPr="00EC20A0">
        <w:rPr>
          <w:spacing w:val="-4"/>
        </w:rPr>
        <w:t xml:space="preserve"> </w:t>
      </w:r>
      <w:r w:rsidRPr="00EC20A0">
        <w:t>documentation</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entire</w:t>
      </w:r>
      <w:r w:rsidRPr="00EC20A0">
        <w:rPr>
          <w:spacing w:val="-5"/>
        </w:rPr>
        <w:t xml:space="preserve"> </w:t>
      </w:r>
      <w:r w:rsidRPr="00EC20A0">
        <w:t>audit. The auditor may cite this documentation as part of the review and print any documents as necessary.</w:t>
      </w:r>
    </w:p>
    <w:p w14:paraId="24D60330" w14:textId="77777777" w:rsidR="00245300" w:rsidRPr="00EC20A0" w:rsidRDefault="00F17249">
      <w:pPr>
        <w:pStyle w:val="ListParagraph"/>
        <w:numPr>
          <w:ilvl w:val="0"/>
          <w:numId w:val="187"/>
        </w:numPr>
        <w:tabs>
          <w:tab w:val="left" w:pos="1857"/>
        </w:tabs>
        <w:ind w:left="1857" w:right="778" w:hanging="720"/>
      </w:pPr>
      <w:r w:rsidRPr="00EC20A0">
        <w:t>The auditor may retain other documentation reviewed if it might be useful in understanding the entity, training staff members, planning future audits, reviewing</w:t>
      </w:r>
      <w:r w:rsidRPr="00EC20A0">
        <w:rPr>
          <w:spacing w:val="-5"/>
        </w:rPr>
        <w:t xml:space="preserve"> </w:t>
      </w:r>
      <w:r w:rsidRPr="00EC20A0">
        <w:t>the</w:t>
      </w:r>
      <w:r w:rsidRPr="00EC20A0">
        <w:rPr>
          <w:spacing w:val="-5"/>
        </w:rPr>
        <w:t xml:space="preserve"> </w:t>
      </w:r>
      <w:r w:rsidRPr="00EC20A0">
        <w:t>documentation,</w:t>
      </w:r>
      <w:r w:rsidRPr="00EC20A0">
        <w:rPr>
          <w:spacing w:val="-5"/>
        </w:rPr>
        <w:t xml:space="preserve"> </w:t>
      </w:r>
      <w:r w:rsidRPr="00EC20A0">
        <w:t>or</w:t>
      </w:r>
      <w:r w:rsidRPr="00EC20A0">
        <w:rPr>
          <w:spacing w:val="-5"/>
        </w:rPr>
        <w:t xml:space="preserve"> </w:t>
      </w:r>
      <w:r w:rsidRPr="00EC20A0">
        <w:t>writing</w:t>
      </w:r>
      <w:r w:rsidRPr="00EC20A0">
        <w:rPr>
          <w:spacing w:val="-5"/>
        </w:rPr>
        <w:t xml:space="preserve"> </w:t>
      </w:r>
      <w:r w:rsidRPr="00EC20A0">
        <w:t>the</w:t>
      </w:r>
      <w:r w:rsidRPr="00EC20A0">
        <w:rPr>
          <w:spacing w:val="-5"/>
        </w:rPr>
        <w:t xml:space="preserve"> </w:t>
      </w:r>
      <w:r w:rsidRPr="00EC20A0">
        <w:t>transmittal</w:t>
      </w:r>
      <w:r w:rsidRPr="00EC20A0">
        <w:rPr>
          <w:spacing w:val="-5"/>
        </w:rPr>
        <w:t xml:space="preserve"> </w:t>
      </w:r>
      <w:r w:rsidRPr="00EC20A0">
        <w:t>letter.</w:t>
      </w:r>
      <w:r w:rsidRPr="00EC20A0">
        <w:rPr>
          <w:spacing w:val="-6"/>
        </w:rPr>
        <w:t xml:space="preserve"> </w:t>
      </w:r>
      <w:r w:rsidRPr="00EC20A0">
        <w:t>Documentation</w:t>
      </w:r>
      <w:r w:rsidRPr="00EC20A0">
        <w:rPr>
          <w:spacing w:val="-5"/>
        </w:rPr>
        <w:t xml:space="preserve"> </w:t>
      </w:r>
      <w:r w:rsidRPr="00EC20A0">
        <w:t>in this category may include the items listed in FAM 670 A, Table 2, under “optional.” Auditors often find it helpful to keep copies of documents (either electronically or in hard copy) in case questions arise during review. However, the auditor may decide not to include those copies in the oversight documentation unless they are considered necessary to document the auditor review of the IPA work performed.</w:t>
      </w:r>
    </w:p>
    <w:p w14:paraId="24D60331" w14:textId="77777777" w:rsidR="00245300" w:rsidRPr="00EC20A0" w:rsidRDefault="00F17249">
      <w:pPr>
        <w:pStyle w:val="BodyText"/>
        <w:spacing w:before="67"/>
        <w:rPr>
          <w:sz w:val="20"/>
        </w:rPr>
      </w:pPr>
      <w:r w:rsidRPr="00EC20A0">
        <w:rPr>
          <w:noProof/>
        </w:rPr>
        <mc:AlternateContent>
          <mc:Choice Requires="wps">
            <w:drawing>
              <wp:anchor distT="0" distB="0" distL="0" distR="0" simplePos="0" relativeHeight="487601664" behindDoc="1" locked="0" layoutInCell="1" allowOverlap="1" wp14:anchorId="24D62AEB" wp14:editId="24D62AEC">
                <wp:simplePos x="0" y="0"/>
                <wp:positionH relativeFrom="page">
                  <wp:posOffset>914400</wp:posOffset>
                </wp:positionH>
                <wp:positionV relativeFrom="paragraph">
                  <wp:posOffset>204271</wp:posOffset>
                </wp:positionV>
                <wp:extent cx="1828800" cy="5715"/>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3E56E" id="Graphic 144" o:spid="_x0000_s1026" style="position:absolute;margin-left:1in;margin-top:16.1pt;width:2in;height:.4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" path="m1828800,l,,,5334r1828800,l1828800,xe" fillcolor="black" stroked="f">
                <v:path arrowok="t"/>
                <w10:wrap type="topAndBottom" anchorx="page"/>
              </v:shape>
            </w:pict>
          </mc:Fallback>
        </mc:AlternateContent>
      </w:r>
    </w:p>
    <w:p w14:paraId="24D60332" w14:textId="77777777" w:rsidR="00245300" w:rsidRPr="00EC20A0" w:rsidRDefault="00F17249">
      <w:pPr>
        <w:spacing w:before="200" w:line="244" w:lineRule="auto"/>
        <w:ind w:left="419" w:right="562"/>
        <w:rPr>
          <w:sz w:val="18"/>
        </w:rPr>
      </w:pPr>
      <w:bookmarkStart w:id="107" w:name="_bookmark31"/>
      <w:bookmarkEnd w:id="107"/>
      <w:r w:rsidRPr="00EC20A0">
        <w:rPr>
          <w:position w:val="7"/>
          <w:sz w:val="14"/>
        </w:rPr>
        <w:t>22</w:t>
      </w:r>
      <w:r w:rsidRPr="00EC20A0">
        <w:rPr>
          <w:sz w:val="18"/>
        </w:rPr>
        <w:t>Sufficiency is the measure of the quantity of evidence. Appropriateness is the measure of the quality of audit evidence,</w:t>
      </w:r>
      <w:r w:rsidRPr="00EC20A0">
        <w:rPr>
          <w:spacing w:val="-3"/>
          <w:sz w:val="18"/>
        </w:rPr>
        <w:t xml:space="preserve"> </w:t>
      </w:r>
      <w:r w:rsidRPr="00EC20A0">
        <w:rPr>
          <w:sz w:val="18"/>
        </w:rPr>
        <w:t>that</w:t>
      </w:r>
      <w:r w:rsidRPr="00EC20A0">
        <w:rPr>
          <w:spacing w:val="-3"/>
          <w:sz w:val="18"/>
        </w:rPr>
        <w:t xml:space="preserve"> </w:t>
      </w:r>
      <w:r w:rsidRPr="00EC20A0">
        <w:rPr>
          <w:sz w:val="18"/>
        </w:rPr>
        <w:t>is,</w:t>
      </w:r>
      <w:r w:rsidRPr="00EC20A0">
        <w:rPr>
          <w:spacing w:val="-3"/>
          <w:sz w:val="18"/>
        </w:rPr>
        <w:t xml:space="preserve"> </w:t>
      </w:r>
      <w:r w:rsidRPr="00EC20A0">
        <w:rPr>
          <w:sz w:val="18"/>
        </w:rPr>
        <w:t>its</w:t>
      </w:r>
      <w:r w:rsidRPr="00EC20A0">
        <w:rPr>
          <w:spacing w:val="-3"/>
          <w:sz w:val="18"/>
        </w:rPr>
        <w:t xml:space="preserve"> </w:t>
      </w:r>
      <w:r w:rsidRPr="00EC20A0">
        <w:rPr>
          <w:sz w:val="18"/>
        </w:rPr>
        <w:t>relevance</w:t>
      </w:r>
      <w:r w:rsidRPr="00EC20A0">
        <w:rPr>
          <w:spacing w:val="-2"/>
          <w:sz w:val="18"/>
        </w:rPr>
        <w:t xml:space="preserve"> </w:t>
      </w:r>
      <w:r w:rsidRPr="00EC20A0">
        <w:rPr>
          <w:sz w:val="18"/>
        </w:rPr>
        <w:t>and</w:t>
      </w:r>
      <w:r w:rsidRPr="00EC20A0">
        <w:rPr>
          <w:spacing w:val="-4"/>
          <w:sz w:val="18"/>
        </w:rPr>
        <w:t xml:space="preserve"> </w:t>
      </w:r>
      <w:r w:rsidRPr="00EC20A0">
        <w:rPr>
          <w:sz w:val="18"/>
        </w:rPr>
        <w:t>reliability</w:t>
      </w:r>
      <w:r w:rsidRPr="00EC20A0">
        <w:rPr>
          <w:spacing w:val="-3"/>
          <w:sz w:val="18"/>
        </w:rPr>
        <w:t xml:space="preserve"> </w:t>
      </w:r>
      <w:r w:rsidRPr="00EC20A0">
        <w:rPr>
          <w:sz w:val="18"/>
        </w:rPr>
        <w:t>in</w:t>
      </w:r>
      <w:r w:rsidRPr="00EC20A0">
        <w:rPr>
          <w:spacing w:val="-4"/>
          <w:sz w:val="18"/>
        </w:rPr>
        <w:t xml:space="preserve"> </w:t>
      </w:r>
      <w:r w:rsidRPr="00EC20A0">
        <w:rPr>
          <w:sz w:val="18"/>
        </w:rPr>
        <w:t>providing</w:t>
      </w:r>
      <w:r w:rsidRPr="00EC20A0">
        <w:rPr>
          <w:spacing w:val="-4"/>
          <w:sz w:val="18"/>
        </w:rPr>
        <w:t xml:space="preserve"> </w:t>
      </w:r>
      <w:r w:rsidRPr="00EC20A0">
        <w:rPr>
          <w:sz w:val="18"/>
        </w:rPr>
        <w:t>support</w:t>
      </w:r>
      <w:r w:rsidRPr="00EC20A0">
        <w:rPr>
          <w:spacing w:val="-3"/>
          <w:sz w:val="18"/>
        </w:rPr>
        <w:t xml:space="preserve"> </w:t>
      </w:r>
      <w:r w:rsidRPr="00EC20A0">
        <w:rPr>
          <w:sz w:val="18"/>
        </w:rPr>
        <w:t>for</w:t>
      </w:r>
      <w:r w:rsidRPr="00EC20A0">
        <w:rPr>
          <w:spacing w:val="-3"/>
          <w:sz w:val="18"/>
        </w:rPr>
        <w:t xml:space="preserve"> </w:t>
      </w:r>
      <w:r w:rsidRPr="00EC20A0">
        <w:rPr>
          <w:sz w:val="18"/>
        </w:rPr>
        <w:t>the</w:t>
      </w:r>
      <w:r w:rsidRPr="00EC20A0">
        <w:rPr>
          <w:spacing w:val="-3"/>
          <w:sz w:val="18"/>
        </w:rPr>
        <w:t xml:space="preserve"> </w:t>
      </w:r>
      <w:r w:rsidRPr="00EC20A0">
        <w:rPr>
          <w:sz w:val="18"/>
        </w:rPr>
        <w:t>conclusions</w:t>
      </w:r>
      <w:r w:rsidRPr="00EC20A0">
        <w:rPr>
          <w:spacing w:val="-3"/>
          <w:sz w:val="18"/>
        </w:rPr>
        <w:t xml:space="preserve"> </w:t>
      </w:r>
      <w:r w:rsidRPr="00EC20A0">
        <w:rPr>
          <w:sz w:val="18"/>
        </w:rPr>
        <w:t>on</w:t>
      </w:r>
      <w:r w:rsidRPr="00EC20A0">
        <w:rPr>
          <w:spacing w:val="-3"/>
          <w:sz w:val="18"/>
        </w:rPr>
        <w:t xml:space="preserve"> </w:t>
      </w:r>
      <w:r w:rsidRPr="00EC20A0">
        <w:rPr>
          <w:sz w:val="18"/>
        </w:rPr>
        <w:t>which</w:t>
      </w:r>
      <w:r w:rsidRPr="00EC20A0">
        <w:rPr>
          <w:spacing w:val="-4"/>
          <w:sz w:val="18"/>
        </w:rPr>
        <w:t xml:space="preserve"> </w:t>
      </w:r>
      <w:r w:rsidRPr="00EC20A0">
        <w:rPr>
          <w:sz w:val="18"/>
        </w:rPr>
        <w:t>the</w:t>
      </w:r>
      <w:r w:rsidRPr="00EC20A0">
        <w:rPr>
          <w:spacing w:val="-4"/>
          <w:sz w:val="18"/>
        </w:rPr>
        <w:t xml:space="preserve"> </w:t>
      </w:r>
      <w:r w:rsidRPr="00EC20A0">
        <w:rPr>
          <w:sz w:val="18"/>
        </w:rPr>
        <w:t>auditor’s</w:t>
      </w:r>
      <w:r w:rsidRPr="00EC20A0">
        <w:rPr>
          <w:spacing w:val="-2"/>
          <w:sz w:val="18"/>
        </w:rPr>
        <w:t xml:space="preserve"> </w:t>
      </w:r>
      <w:r w:rsidRPr="00EC20A0">
        <w:rPr>
          <w:sz w:val="18"/>
        </w:rPr>
        <w:t>opinion</w:t>
      </w:r>
      <w:r w:rsidRPr="00EC20A0">
        <w:rPr>
          <w:spacing w:val="-3"/>
          <w:sz w:val="18"/>
        </w:rPr>
        <w:t xml:space="preserve"> </w:t>
      </w:r>
      <w:r w:rsidRPr="00EC20A0">
        <w:rPr>
          <w:sz w:val="18"/>
        </w:rPr>
        <w:t>is based. See AU-C 500.06.</w:t>
      </w:r>
    </w:p>
    <w:p w14:paraId="24D60333" w14:textId="77777777" w:rsidR="00245300" w:rsidRPr="00EC20A0" w:rsidRDefault="00245300">
      <w:pPr>
        <w:spacing w:line="244" w:lineRule="auto"/>
        <w:rPr>
          <w:sz w:val="18"/>
        </w:rPr>
        <w:sectPr w:rsidR="00245300" w:rsidRPr="00EC20A0">
          <w:pgSz w:w="12240" w:h="15840"/>
          <w:pgMar w:top="1600" w:right="940" w:bottom="940" w:left="1020" w:header="721" w:footer="757" w:gutter="0"/>
          <w:cols w:space="720"/>
        </w:sectPr>
      </w:pPr>
    </w:p>
    <w:p w14:paraId="24D60334" w14:textId="77777777" w:rsidR="00245300" w:rsidRPr="00EC20A0" w:rsidRDefault="00F17249">
      <w:pPr>
        <w:pStyle w:val="ListParagraph"/>
        <w:numPr>
          <w:ilvl w:val="0"/>
          <w:numId w:val="187"/>
        </w:numPr>
        <w:tabs>
          <w:tab w:val="left" w:pos="1859"/>
        </w:tabs>
        <w:spacing w:before="121"/>
        <w:ind w:right="836" w:hanging="720"/>
      </w:pPr>
      <w:r w:rsidRPr="00EC20A0">
        <w:t xml:space="preserve">The auditor should retain oversight documents in accordance with legal </w:t>
      </w:r>
      <w:r w:rsidRPr="00EC20A0">
        <w:t>requirements,</w:t>
      </w:r>
      <w:r w:rsidRPr="00EC20A0">
        <w:rPr>
          <w:spacing w:val="-3"/>
        </w:rPr>
        <w:t xml:space="preserve"> </w:t>
      </w:r>
      <w:r w:rsidRPr="00EC20A0">
        <w:t>but</w:t>
      </w:r>
      <w:r w:rsidRPr="00EC20A0">
        <w:rPr>
          <w:spacing w:val="-3"/>
        </w:rPr>
        <w:t xml:space="preserve"> </w:t>
      </w:r>
      <w:r w:rsidRPr="00EC20A0">
        <w:t>not</w:t>
      </w:r>
      <w:r w:rsidRPr="00EC20A0">
        <w:rPr>
          <w:spacing w:val="-3"/>
        </w:rPr>
        <w:t xml:space="preserve"> </w:t>
      </w:r>
      <w:r w:rsidRPr="00EC20A0">
        <w:t>less</w:t>
      </w:r>
      <w:r w:rsidRPr="00EC20A0">
        <w:rPr>
          <w:spacing w:val="-3"/>
        </w:rPr>
        <w:t xml:space="preserve"> </w:t>
      </w:r>
      <w:r w:rsidRPr="00EC20A0">
        <w:t>than</w:t>
      </w:r>
      <w:r w:rsidRPr="00EC20A0">
        <w:rPr>
          <w:spacing w:val="-3"/>
        </w:rPr>
        <w:t xml:space="preserve"> </w:t>
      </w:r>
      <w:r w:rsidRPr="00EC20A0">
        <w:t>5</w:t>
      </w:r>
      <w:r w:rsidRPr="00EC20A0">
        <w:rPr>
          <w:spacing w:val="-3"/>
        </w:rPr>
        <w:t xml:space="preserve"> </w:t>
      </w:r>
      <w:r w:rsidRPr="00EC20A0">
        <w:t>years</w:t>
      </w:r>
      <w:r w:rsidRPr="00EC20A0">
        <w:rPr>
          <w:spacing w:val="-3"/>
        </w:rPr>
        <w:t xml:space="preserve"> </w:t>
      </w:r>
      <w:r w:rsidRPr="00EC20A0">
        <w:t>from</w:t>
      </w:r>
      <w:r w:rsidRPr="00EC20A0">
        <w:rPr>
          <w:spacing w:val="-4"/>
        </w:rPr>
        <w:t xml:space="preserve"> </w:t>
      </w:r>
      <w:r w:rsidRPr="00EC20A0">
        <w:t>the</w:t>
      </w:r>
      <w:r w:rsidRPr="00EC20A0">
        <w:rPr>
          <w:spacing w:val="-3"/>
        </w:rPr>
        <w:t xml:space="preserve"> </w:t>
      </w:r>
      <w:r w:rsidRPr="00EC20A0">
        <w:t>report</w:t>
      </w:r>
      <w:r w:rsidRPr="00EC20A0">
        <w:rPr>
          <w:spacing w:val="-3"/>
        </w:rPr>
        <w:t xml:space="preserve"> </w:t>
      </w:r>
      <w:r w:rsidRPr="00EC20A0">
        <w:t>release</w:t>
      </w:r>
      <w:r w:rsidRPr="00EC20A0">
        <w:rPr>
          <w:spacing w:val="-3"/>
        </w:rPr>
        <w:t xml:space="preserve"> </w:t>
      </w:r>
      <w:r w:rsidRPr="00EC20A0">
        <w:t>date,</w:t>
      </w:r>
      <w:r w:rsidRPr="00EC20A0">
        <w:rPr>
          <w:spacing w:val="-3"/>
        </w:rPr>
        <w:t xml:space="preserve"> </w:t>
      </w:r>
      <w:r w:rsidRPr="00EC20A0">
        <w:t>similar</w:t>
      </w:r>
      <w:r w:rsidRPr="00EC20A0">
        <w:rPr>
          <w:spacing w:val="-3"/>
        </w:rPr>
        <w:t xml:space="preserve"> </w:t>
      </w:r>
      <w:r w:rsidRPr="00EC20A0">
        <w:t>to the audit documentation retention requirements of the audit standards</w:t>
      </w:r>
    </w:p>
    <w:p w14:paraId="24D60335" w14:textId="77777777" w:rsidR="00245300" w:rsidRPr="00EC20A0" w:rsidRDefault="00F17249">
      <w:pPr>
        <w:pStyle w:val="BodyText"/>
        <w:ind w:left="1860" w:right="604" w:hanging="1"/>
      </w:pPr>
      <w:r w:rsidRPr="00EC20A0">
        <w:t>(AU-C 230.17). In documenting the review, the auditor may indicate the document</w:t>
      </w:r>
      <w:r w:rsidRPr="00EC20A0">
        <w:rPr>
          <w:spacing w:val="-3"/>
        </w:rPr>
        <w:t xml:space="preserve"> </w:t>
      </w:r>
      <w:r w:rsidRPr="00EC20A0">
        <w:t>number</w:t>
      </w:r>
      <w:r w:rsidRPr="00EC20A0">
        <w:rPr>
          <w:spacing w:val="-3"/>
        </w:rPr>
        <w:t xml:space="preserve"> </w:t>
      </w:r>
      <w:r w:rsidRPr="00EC20A0">
        <w:t>or</w:t>
      </w:r>
      <w:r w:rsidRPr="00EC20A0">
        <w:rPr>
          <w:spacing w:val="-3"/>
        </w:rPr>
        <w:t xml:space="preserve"> </w:t>
      </w:r>
      <w:r w:rsidRPr="00EC20A0">
        <w:t>index</w:t>
      </w:r>
      <w:r w:rsidRPr="00EC20A0">
        <w:rPr>
          <w:spacing w:val="-3"/>
        </w:rPr>
        <w:t xml:space="preserve"> </w:t>
      </w:r>
      <w:r w:rsidRPr="00EC20A0">
        <w:t>number</w:t>
      </w:r>
      <w:r w:rsidRPr="00EC20A0">
        <w:rPr>
          <w:spacing w:val="-3"/>
        </w:rPr>
        <w:t xml:space="preserve"> </w:t>
      </w:r>
      <w:r w:rsidRPr="00EC20A0">
        <w:t>that</w:t>
      </w:r>
      <w:r w:rsidRPr="00EC20A0">
        <w:rPr>
          <w:spacing w:val="-3"/>
        </w:rPr>
        <w:t xml:space="preserve"> </w:t>
      </w:r>
      <w:r w:rsidRPr="00EC20A0">
        <w:t>IPA</w:t>
      </w:r>
      <w:r w:rsidRPr="00EC20A0">
        <w:rPr>
          <w:spacing w:val="-4"/>
        </w:rPr>
        <w:t xml:space="preserve"> </w:t>
      </w:r>
      <w:r w:rsidRPr="00EC20A0">
        <w:t>firm</w:t>
      </w:r>
      <w:r w:rsidRPr="00EC20A0">
        <w:rPr>
          <w:spacing w:val="-3"/>
        </w:rPr>
        <w:t xml:space="preserve"> </w:t>
      </w:r>
      <w:r w:rsidRPr="00EC20A0">
        <w:t>used</w:t>
      </w:r>
      <w:r w:rsidRPr="00EC20A0">
        <w:rPr>
          <w:spacing w:val="-3"/>
        </w:rPr>
        <w:t xml:space="preserve"> </w:t>
      </w:r>
      <w:r w:rsidRPr="00EC20A0">
        <w:t>to</w:t>
      </w:r>
      <w:r w:rsidRPr="00EC20A0">
        <w:rPr>
          <w:spacing w:val="-3"/>
        </w:rPr>
        <w:t xml:space="preserve"> </w:t>
      </w:r>
      <w:r w:rsidRPr="00EC20A0">
        <w:t>locate</w:t>
      </w:r>
      <w:r w:rsidRPr="00EC20A0">
        <w:rPr>
          <w:spacing w:val="-3"/>
        </w:rPr>
        <w:t xml:space="preserve"> </w:t>
      </w:r>
      <w:r w:rsidRPr="00EC20A0">
        <w:t>the</w:t>
      </w:r>
      <w:r w:rsidRPr="00EC20A0">
        <w:rPr>
          <w:spacing w:val="-3"/>
        </w:rPr>
        <w:t xml:space="preserve"> </w:t>
      </w:r>
      <w:r w:rsidRPr="00EC20A0">
        <w:t>document</w:t>
      </w:r>
      <w:r w:rsidRPr="00EC20A0">
        <w:rPr>
          <w:spacing w:val="-3"/>
        </w:rPr>
        <w:t xml:space="preserve"> </w:t>
      </w:r>
      <w:r w:rsidRPr="00EC20A0">
        <w:t>at a later date.</w:t>
      </w:r>
    </w:p>
    <w:p w14:paraId="24D60336" w14:textId="77777777" w:rsidR="00245300" w:rsidRPr="00EC20A0" w:rsidRDefault="00F17249">
      <w:pPr>
        <w:pStyle w:val="BodyText"/>
        <w:spacing w:before="239"/>
        <w:ind w:left="1858" w:right="562" w:firstLine="1"/>
      </w:pPr>
      <w:r w:rsidRPr="00EC20A0">
        <w:t>Ownership</w:t>
      </w:r>
      <w:r w:rsidRPr="00EC20A0">
        <w:rPr>
          <w:spacing w:val="-5"/>
        </w:rPr>
        <w:t xml:space="preserve"> </w:t>
      </w:r>
      <w:r w:rsidRPr="00EC20A0">
        <w:t>and</w:t>
      </w:r>
      <w:r w:rsidRPr="00EC20A0">
        <w:rPr>
          <w:spacing w:val="-5"/>
        </w:rPr>
        <w:t xml:space="preserve"> </w:t>
      </w:r>
      <w:r w:rsidRPr="00EC20A0">
        <w:t>confidentiality</w:t>
      </w:r>
      <w:r w:rsidRPr="00EC20A0">
        <w:rPr>
          <w:spacing w:val="-5"/>
        </w:rPr>
        <w:t xml:space="preserve"> </w:t>
      </w:r>
      <w:r w:rsidRPr="00EC20A0">
        <w:t>of</w:t>
      </w:r>
      <w:r w:rsidRPr="00EC20A0">
        <w:rPr>
          <w:spacing w:val="-5"/>
        </w:rPr>
        <w:t xml:space="preserve"> </w:t>
      </w:r>
      <w:r w:rsidRPr="00EC20A0">
        <w:t>audit</w:t>
      </w:r>
      <w:r w:rsidRPr="00EC20A0">
        <w:rPr>
          <w:spacing w:val="-5"/>
        </w:rPr>
        <w:t xml:space="preserve"> </w:t>
      </w:r>
      <w:r w:rsidRPr="00EC20A0">
        <w:t>documentation</w:t>
      </w:r>
      <w:r w:rsidRPr="00EC20A0">
        <w:rPr>
          <w:spacing w:val="-5"/>
        </w:rPr>
        <w:t xml:space="preserve"> </w:t>
      </w:r>
      <w:r w:rsidRPr="00EC20A0">
        <w:t>are</w:t>
      </w:r>
      <w:r w:rsidRPr="00EC20A0">
        <w:rPr>
          <w:spacing w:val="-5"/>
        </w:rPr>
        <w:t xml:space="preserve"> </w:t>
      </w:r>
      <w:r w:rsidRPr="00EC20A0">
        <w:t>determined</w:t>
      </w:r>
      <w:r w:rsidRPr="00EC20A0">
        <w:rPr>
          <w:spacing w:val="-5"/>
        </w:rPr>
        <w:t xml:space="preserve"> </w:t>
      </w:r>
      <w:r w:rsidRPr="00EC20A0">
        <w:t>by</w:t>
      </w:r>
      <w:r w:rsidRPr="00EC20A0">
        <w:rPr>
          <w:spacing w:val="-5"/>
        </w:rPr>
        <w:t xml:space="preserve"> </w:t>
      </w:r>
      <w:r w:rsidRPr="00EC20A0">
        <w:t xml:space="preserve">contract and other legal requirements (see AU-C 230.A29). The auditor should consult legal counsel when determining ownership of audit documentation if questions </w:t>
      </w:r>
      <w:r w:rsidRPr="00EC20A0">
        <w:rPr>
          <w:spacing w:val="-2"/>
        </w:rPr>
        <w:t>arise.</w:t>
      </w:r>
    </w:p>
    <w:p w14:paraId="24D60337" w14:textId="77777777" w:rsidR="00245300" w:rsidRPr="00EC20A0" w:rsidRDefault="00F17249">
      <w:pPr>
        <w:pStyle w:val="Heading4"/>
        <w:spacing w:before="241"/>
      </w:pPr>
      <w:bookmarkStart w:id="108" w:name="Communicating_the_Results_of_the_Audit_P"/>
      <w:bookmarkEnd w:id="108"/>
      <w:r w:rsidRPr="00EC20A0">
        <w:t>Communicating</w:t>
      </w:r>
      <w:r w:rsidRPr="00EC20A0">
        <w:rPr>
          <w:spacing w:val="-11"/>
        </w:rPr>
        <w:t xml:space="preserve"> </w:t>
      </w:r>
      <w:r w:rsidRPr="00EC20A0">
        <w:t>the</w:t>
      </w:r>
      <w:r w:rsidRPr="00EC20A0">
        <w:rPr>
          <w:spacing w:val="-9"/>
        </w:rPr>
        <w:t xml:space="preserve"> </w:t>
      </w:r>
      <w:r w:rsidRPr="00EC20A0">
        <w:t>Results</w:t>
      </w:r>
      <w:r w:rsidRPr="00EC20A0">
        <w:rPr>
          <w:spacing w:val="-9"/>
        </w:rPr>
        <w:t xml:space="preserve"> </w:t>
      </w:r>
      <w:r w:rsidRPr="00EC20A0">
        <w:t>of</w:t>
      </w:r>
      <w:r w:rsidRPr="00EC20A0">
        <w:rPr>
          <w:spacing w:val="-10"/>
        </w:rPr>
        <w:t xml:space="preserve"> </w:t>
      </w:r>
      <w:r w:rsidRPr="00EC20A0">
        <w:t>the</w:t>
      </w:r>
      <w:r w:rsidRPr="00EC20A0">
        <w:rPr>
          <w:spacing w:val="-10"/>
        </w:rPr>
        <w:t xml:space="preserve"> </w:t>
      </w:r>
      <w:r w:rsidRPr="00EC20A0">
        <w:t>Audit</w:t>
      </w:r>
      <w:r w:rsidRPr="00EC20A0">
        <w:rPr>
          <w:spacing w:val="-9"/>
        </w:rPr>
        <w:t xml:space="preserve"> </w:t>
      </w:r>
      <w:r w:rsidRPr="00EC20A0">
        <w:t>Performed</w:t>
      </w:r>
      <w:r w:rsidRPr="00EC20A0">
        <w:rPr>
          <w:spacing w:val="-10"/>
        </w:rPr>
        <w:t xml:space="preserve"> </w:t>
      </w:r>
      <w:r w:rsidRPr="00EC20A0">
        <w:t>by</w:t>
      </w:r>
      <w:r w:rsidRPr="00EC20A0">
        <w:rPr>
          <w:spacing w:val="-10"/>
        </w:rPr>
        <w:t xml:space="preserve"> </w:t>
      </w:r>
      <w:r w:rsidRPr="00EC20A0">
        <w:t>the</w:t>
      </w:r>
      <w:r w:rsidRPr="00EC20A0">
        <w:rPr>
          <w:spacing w:val="-9"/>
        </w:rPr>
        <w:t xml:space="preserve"> </w:t>
      </w:r>
      <w:r w:rsidRPr="00EC20A0">
        <w:t>IPA</w:t>
      </w:r>
      <w:r w:rsidRPr="00EC20A0">
        <w:rPr>
          <w:spacing w:val="-10"/>
        </w:rPr>
        <w:t xml:space="preserve"> </w:t>
      </w:r>
      <w:r w:rsidRPr="00EC20A0">
        <w:rPr>
          <w:spacing w:val="-4"/>
        </w:rPr>
        <w:t>Firm</w:t>
      </w:r>
    </w:p>
    <w:p w14:paraId="24D60338" w14:textId="77777777" w:rsidR="00245300" w:rsidRPr="00EC20A0" w:rsidRDefault="00F17249">
      <w:pPr>
        <w:pStyle w:val="ListParagraph"/>
        <w:numPr>
          <w:ilvl w:val="0"/>
          <w:numId w:val="187"/>
        </w:numPr>
        <w:tabs>
          <w:tab w:val="left" w:pos="1859"/>
        </w:tabs>
        <w:spacing w:before="239"/>
        <w:ind w:right="566" w:hanging="720"/>
      </w:pPr>
      <w:r w:rsidRPr="00EC20A0">
        <w:t>For</w:t>
      </w:r>
      <w:r w:rsidRPr="00EC20A0">
        <w:rPr>
          <w:spacing w:val="-3"/>
        </w:rPr>
        <w:t xml:space="preserve"> </w:t>
      </w:r>
      <w:r w:rsidRPr="00EC20A0">
        <w:t>an</w:t>
      </w:r>
      <w:r w:rsidRPr="00EC20A0">
        <w:rPr>
          <w:spacing w:val="-3"/>
        </w:rPr>
        <w:t xml:space="preserve"> </w:t>
      </w:r>
      <w:r w:rsidRPr="00EC20A0">
        <w:t>auditor</w:t>
      </w:r>
      <w:r w:rsidRPr="00EC20A0">
        <w:rPr>
          <w:spacing w:val="-3"/>
        </w:rPr>
        <w:t xml:space="preserve"> </w:t>
      </w:r>
      <w:r w:rsidRPr="00EC20A0">
        <w:t>providing</w:t>
      </w:r>
      <w:r w:rsidRPr="00EC20A0">
        <w:rPr>
          <w:spacing w:val="-4"/>
        </w:rPr>
        <w:t xml:space="preserve"> </w:t>
      </w:r>
      <w:r w:rsidRPr="00EC20A0">
        <w:t>oversight</w:t>
      </w:r>
      <w:r w:rsidRPr="00EC20A0">
        <w:rPr>
          <w:spacing w:val="-3"/>
        </w:rPr>
        <w:t xml:space="preserve"> </w:t>
      </w:r>
      <w:r w:rsidRPr="00EC20A0">
        <w:t>of</w:t>
      </w:r>
      <w:r w:rsidRPr="00EC20A0">
        <w:rPr>
          <w:spacing w:val="-4"/>
        </w:rPr>
        <w:t xml:space="preserve"> </w:t>
      </w:r>
      <w:r w:rsidRPr="00EC20A0">
        <w:t>an</w:t>
      </w:r>
      <w:r w:rsidRPr="00EC20A0">
        <w:rPr>
          <w:spacing w:val="-3"/>
        </w:rPr>
        <w:t xml:space="preserve"> </w:t>
      </w:r>
      <w:r w:rsidRPr="00EC20A0">
        <w:t>IPA</w:t>
      </w:r>
      <w:r w:rsidRPr="00EC20A0">
        <w:rPr>
          <w:spacing w:val="-3"/>
        </w:rPr>
        <w:t xml:space="preserve"> </w:t>
      </w:r>
      <w:r w:rsidRPr="00EC20A0">
        <w:t>firm’s</w:t>
      </w:r>
      <w:r w:rsidRPr="00EC20A0">
        <w:rPr>
          <w:spacing w:val="-3"/>
        </w:rPr>
        <w:t xml:space="preserve"> </w:t>
      </w:r>
      <w:r w:rsidRPr="00EC20A0">
        <w:t>work,</w:t>
      </w:r>
      <w:r w:rsidRPr="00EC20A0">
        <w:rPr>
          <w:spacing w:val="-3"/>
        </w:rPr>
        <w:t xml:space="preserve"> </w:t>
      </w:r>
      <w:r w:rsidRPr="00EC20A0">
        <w:t>applying</w:t>
      </w:r>
      <w:r w:rsidRPr="00EC20A0">
        <w:rPr>
          <w:spacing w:val="-3"/>
        </w:rPr>
        <w:t xml:space="preserve"> </w:t>
      </w:r>
      <w:r w:rsidRPr="00EC20A0">
        <w:t>the</w:t>
      </w:r>
      <w:r w:rsidRPr="00EC20A0">
        <w:rPr>
          <w:spacing w:val="-3"/>
        </w:rPr>
        <w:t xml:space="preserve"> </w:t>
      </w:r>
      <w:r w:rsidRPr="00EC20A0">
        <w:t>guidance</w:t>
      </w:r>
      <w:r w:rsidRPr="00EC20A0">
        <w:rPr>
          <w:spacing w:val="-3"/>
        </w:rPr>
        <w:t xml:space="preserve"> </w:t>
      </w:r>
      <w:r w:rsidRPr="00EC20A0">
        <w:t>in FAM 670 or the oversight requirements of the IG Act and related guidance from Council of Inspectors General on Integrity and Efficiency applicable to IGs are not intended</w:t>
      </w:r>
      <w:r w:rsidRPr="00EC20A0">
        <w:rPr>
          <w:spacing w:val="-1"/>
        </w:rPr>
        <w:t xml:space="preserve"> </w:t>
      </w:r>
      <w:r w:rsidRPr="00EC20A0">
        <w:t xml:space="preserve">to and do not </w:t>
      </w:r>
      <w:r w:rsidRPr="00EC20A0">
        <w:t>create an</w:t>
      </w:r>
      <w:r w:rsidRPr="00EC20A0">
        <w:rPr>
          <w:spacing w:val="-1"/>
        </w:rPr>
        <w:t xml:space="preserve"> </w:t>
      </w:r>
      <w:r w:rsidRPr="00EC20A0">
        <w:t>association for the auditor with the financial statements (see AU-C 200.03).</w:t>
      </w:r>
    </w:p>
    <w:p w14:paraId="24D60339" w14:textId="77777777" w:rsidR="00245300" w:rsidRPr="00EC20A0" w:rsidRDefault="00F17249">
      <w:pPr>
        <w:pStyle w:val="BodyText"/>
        <w:spacing w:before="240"/>
        <w:ind w:left="1858" w:right="518" w:firstLine="1"/>
      </w:pPr>
      <w:r w:rsidRPr="00EC20A0">
        <w:t>The auditor must ensure that any communication with those charged with governance,</w:t>
      </w:r>
      <w:r w:rsidRPr="00EC20A0">
        <w:rPr>
          <w:spacing w:val="-5"/>
        </w:rPr>
        <w:t xml:space="preserve"> </w:t>
      </w:r>
      <w:r w:rsidRPr="00EC20A0">
        <w:t>management,</w:t>
      </w:r>
      <w:r w:rsidRPr="00EC20A0">
        <w:rPr>
          <w:spacing w:val="-4"/>
        </w:rPr>
        <w:t xml:space="preserve"> </w:t>
      </w:r>
      <w:r w:rsidRPr="00EC20A0">
        <w:t>or</w:t>
      </w:r>
      <w:r w:rsidRPr="00EC20A0">
        <w:rPr>
          <w:spacing w:val="-4"/>
        </w:rPr>
        <w:t xml:space="preserve"> </w:t>
      </w:r>
      <w:r w:rsidRPr="00EC20A0">
        <w:t>other</w:t>
      </w:r>
      <w:r w:rsidRPr="00EC20A0">
        <w:rPr>
          <w:spacing w:val="-4"/>
        </w:rPr>
        <w:t xml:space="preserve"> </w:t>
      </w:r>
      <w:r w:rsidRPr="00EC20A0">
        <w:t>interested</w:t>
      </w:r>
      <w:r w:rsidRPr="00EC20A0">
        <w:rPr>
          <w:spacing w:val="-4"/>
        </w:rPr>
        <w:t xml:space="preserve"> </w:t>
      </w:r>
      <w:r w:rsidRPr="00EC20A0">
        <w:t>parties</w:t>
      </w:r>
      <w:r w:rsidRPr="00EC20A0">
        <w:rPr>
          <w:spacing w:val="-4"/>
        </w:rPr>
        <w:t xml:space="preserve"> </w:t>
      </w:r>
      <w:r w:rsidRPr="00EC20A0">
        <w:t>about</w:t>
      </w:r>
      <w:r w:rsidRPr="00EC20A0">
        <w:rPr>
          <w:spacing w:val="-4"/>
        </w:rPr>
        <w:t xml:space="preserve"> </w:t>
      </w:r>
      <w:r w:rsidRPr="00EC20A0">
        <w:t>the</w:t>
      </w:r>
      <w:r w:rsidRPr="00EC20A0">
        <w:rPr>
          <w:spacing w:val="-4"/>
        </w:rPr>
        <w:t xml:space="preserve"> </w:t>
      </w:r>
      <w:r w:rsidRPr="00EC20A0">
        <w:t>results</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IPA firm’s audit, or the auditor’s oversight of the audit, does not create the appearance of the auditor having applied procedures sufficient to permit the auditor to (1) express an opinion on the financial statements or (2) draw conclusions on the effectiveness of internal control over financial reporting; financial management systems’ substantial compliance with the three FFMIA requirements; compliance with significant provisions of applica</w:t>
      </w:r>
      <w:r w:rsidRPr="00EC20A0">
        <w:t>ble laws, regulations, contracts, and grant agreements;</w:t>
      </w:r>
      <w:hyperlink w:anchor="_bookmark32" w:history="1">
        <w:r w:rsidRPr="00EC20A0">
          <w:rPr>
            <w:position w:val="7"/>
            <w:sz w:val="14"/>
          </w:rPr>
          <w:t>23</w:t>
        </w:r>
      </w:hyperlink>
      <w:r w:rsidRPr="00EC20A0">
        <w:rPr>
          <w:spacing w:val="38"/>
          <w:position w:val="7"/>
          <w:sz w:val="14"/>
        </w:rPr>
        <w:t xml:space="preserve"> </w:t>
      </w:r>
      <w:r w:rsidRPr="00EC20A0">
        <w:t>or other matters. Consequently, communication about audit and oversight results must contain a disclaimer of an opinion and should not express concurrence with the IPA firm’s opinion or other conclusions. These communications generally should be made in writing.</w:t>
      </w:r>
    </w:p>
    <w:p w14:paraId="24D6033A" w14:textId="77777777" w:rsidR="00245300" w:rsidRPr="00EC20A0" w:rsidRDefault="00F17249">
      <w:pPr>
        <w:pStyle w:val="ListParagraph"/>
        <w:numPr>
          <w:ilvl w:val="0"/>
          <w:numId w:val="187"/>
        </w:numPr>
        <w:tabs>
          <w:tab w:val="left" w:pos="1858"/>
          <w:tab w:val="left" w:pos="1860"/>
        </w:tabs>
        <w:spacing w:before="241"/>
        <w:ind w:left="1858" w:right="699" w:hanging="719"/>
      </w:pPr>
      <w:r w:rsidRPr="00EC20A0">
        <w:t>While</w:t>
      </w:r>
      <w:r w:rsidRPr="00EC20A0">
        <w:rPr>
          <w:spacing w:val="-2"/>
        </w:rPr>
        <w:t xml:space="preserve"> </w:t>
      </w:r>
      <w:r w:rsidRPr="00EC20A0">
        <w:t>the</w:t>
      </w:r>
      <w:r w:rsidRPr="00EC20A0">
        <w:rPr>
          <w:spacing w:val="-3"/>
        </w:rPr>
        <w:t xml:space="preserve"> </w:t>
      </w:r>
      <w:r w:rsidRPr="00EC20A0">
        <w:t>auditors</w:t>
      </w:r>
      <w:r w:rsidRPr="00EC20A0">
        <w:rPr>
          <w:spacing w:val="-3"/>
        </w:rPr>
        <w:t xml:space="preserve"> </w:t>
      </w:r>
      <w:r w:rsidRPr="00EC20A0">
        <w:t>do</w:t>
      </w:r>
      <w:r w:rsidRPr="00EC20A0">
        <w:rPr>
          <w:spacing w:val="-3"/>
        </w:rPr>
        <w:t xml:space="preserve"> </w:t>
      </w:r>
      <w:r w:rsidRPr="00EC20A0">
        <w:t>not</w:t>
      </w:r>
      <w:r w:rsidRPr="00EC20A0">
        <w:rPr>
          <w:spacing w:val="-4"/>
        </w:rPr>
        <w:t xml:space="preserve"> </w:t>
      </w:r>
      <w:r w:rsidRPr="00EC20A0">
        <w:t>have</w:t>
      </w:r>
      <w:r w:rsidRPr="00EC20A0">
        <w:rPr>
          <w:spacing w:val="-3"/>
        </w:rPr>
        <w:t xml:space="preserve"> </w:t>
      </w:r>
      <w:r w:rsidRPr="00EC20A0">
        <w:t>an</w:t>
      </w:r>
      <w:r w:rsidRPr="00EC20A0">
        <w:rPr>
          <w:spacing w:val="-3"/>
        </w:rPr>
        <w:t xml:space="preserve"> </w:t>
      </w:r>
      <w:r w:rsidRPr="00EC20A0">
        <w:t>association</w:t>
      </w:r>
      <w:r w:rsidRPr="00EC20A0">
        <w:rPr>
          <w:spacing w:val="-4"/>
        </w:rPr>
        <w:t xml:space="preserve"> </w:t>
      </w:r>
      <w:r w:rsidRPr="00EC20A0">
        <w:t>with</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it</w:t>
      </w:r>
      <w:r w:rsidRPr="00EC20A0">
        <w:rPr>
          <w:spacing w:val="-3"/>
        </w:rPr>
        <w:t xml:space="preserve"> </w:t>
      </w:r>
      <w:r w:rsidRPr="00EC20A0">
        <w:t>is appropriate for them to transmit the IPA firm’s report to the entity or other interested parties summarizing the results, providing appropriate context and disclaimers, and describing the auditor’s oversight procedures and results. The considerations the auditor should address when deciding the type of written communication include</w:t>
      </w:r>
    </w:p>
    <w:p w14:paraId="24D6033B" w14:textId="77777777" w:rsidR="00245300" w:rsidRPr="00EC20A0" w:rsidRDefault="00F17249">
      <w:pPr>
        <w:pStyle w:val="ListParagraph"/>
        <w:numPr>
          <w:ilvl w:val="0"/>
          <w:numId w:val="186"/>
        </w:numPr>
        <w:tabs>
          <w:tab w:val="left" w:pos="2219"/>
        </w:tabs>
        <w:spacing w:before="239"/>
        <w:ind w:hanging="359"/>
      </w:pPr>
      <w:r w:rsidRPr="00EC20A0">
        <w:t>the</w:t>
      </w:r>
      <w:r w:rsidRPr="00EC20A0">
        <w:rPr>
          <w:spacing w:val="-5"/>
        </w:rPr>
        <w:t xml:space="preserve"> </w:t>
      </w:r>
      <w:r w:rsidRPr="00EC20A0">
        <w:t>level</w:t>
      </w:r>
      <w:r w:rsidRPr="00EC20A0">
        <w:rPr>
          <w:spacing w:val="-5"/>
        </w:rPr>
        <w:t xml:space="preserve"> </w:t>
      </w:r>
      <w:r w:rsidRPr="00EC20A0">
        <w:t>of</w:t>
      </w:r>
      <w:r w:rsidRPr="00EC20A0">
        <w:rPr>
          <w:spacing w:val="-5"/>
        </w:rPr>
        <w:t xml:space="preserve"> </w:t>
      </w:r>
      <w:r w:rsidRPr="00EC20A0">
        <w:t>oversight</w:t>
      </w:r>
      <w:r w:rsidRPr="00EC20A0">
        <w:rPr>
          <w:spacing w:val="-6"/>
        </w:rPr>
        <w:t xml:space="preserve"> </w:t>
      </w:r>
      <w:r w:rsidRPr="00EC20A0">
        <w:rPr>
          <w:spacing w:val="-2"/>
        </w:rPr>
        <w:t>conducted,</w:t>
      </w:r>
    </w:p>
    <w:p w14:paraId="24D6033C" w14:textId="77777777" w:rsidR="00245300" w:rsidRPr="00EC20A0" w:rsidRDefault="00F17249">
      <w:pPr>
        <w:pStyle w:val="ListParagraph"/>
        <w:numPr>
          <w:ilvl w:val="0"/>
          <w:numId w:val="186"/>
        </w:numPr>
        <w:tabs>
          <w:tab w:val="left" w:pos="2219"/>
        </w:tabs>
        <w:spacing w:before="238"/>
      </w:pPr>
      <w:r w:rsidRPr="00EC20A0">
        <w:t>resource</w:t>
      </w:r>
      <w:r w:rsidRPr="00EC20A0">
        <w:rPr>
          <w:spacing w:val="-11"/>
        </w:rPr>
        <w:t xml:space="preserve"> </w:t>
      </w:r>
      <w:r w:rsidRPr="00EC20A0">
        <w:t>requirements</w:t>
      </w:r>
      <w:r w:rsidRPr="00EC20A0">
        <w:rPr>
          <w:spacing w:val="-10"/>
        </w:rPr>
        <w:t xml:space="preserve"> </w:t>
      </w:r>
      <w:r w:rsidRPr="00EC20A0">
        <w:t>and</w:t>
      </w:r>
      <w:r w:rsidRPr="00EC20A0">
        <w:rPr>
          <w:spacing w:val="-10"/>
        </w:rPr>
        <w:t xml:space="preserve"> </w:t>
      </w:r>
      <w:r w:rsidRPr="00EC20A0">
        <w:t>cost-benefit</w:t>
      </w:r>
      <w:r w:rsidRPr="00EC20A0">
        <w:rPr>
          <w:spacing w:val="-10"/>
        </w:rPr>
        <w:t xml:space="preserve"> </w:t>
      </w:r>
      <w:r w:rsidRPr="00EC20A0">
        <w:rPr>
          <w:spacing w:val="-2"/>
        </w:rPr>
        <w:t>considerations,</w:t>
      </w:r>
    </w:p>
    <w:p w14:paraId="24D6033D" w14:textId="77777777" w:rsidR="00245300" w:rsidRPr="00EC20A0" w:rsidRDefault="00F17249">
      <w:pPr>
        <w:pStyle w:val="ListParagraph"/>
        <w:numPr>
          <w:ilvl w:val="0"/>
          <w:numId w:val="186"/>
        </w:numPr>
        <w:tabs>
          <w:tab w:val="left" w:pos="2219"/>
        </w:tabs>
        <w:spacing w:before="238"/>
      </w:pPr>
      <w:r w:rsidRPr="00EC20A0">
        <w:t>the</w:t>
      </w:r>
      <w:r w:rsidRPr="00EC20A0">
        <w:rPr>
          <w:spacing w:val="-7"/>
        </w:rPr>
        <w:t xml:space="preserve"> </w:t>
      </w:r>
      <w:r w:rsidRPr="00EC20A0">
        <w:t>timing</w:t>
      </w:r>
      <w:r w:rsidRPr="00EC20A0">
        <w:rPr>
          <w:spacing w:val="-7"/>
        </w:rPr>
        <w:t xml:space="preserve"> </w:t>
      </w:r>
      <w:r w:rsidRPr="00EC20A0">
        <w:t>of</w:t>
      </w:r>
      <w:r w:rsidRPr="00EC20A0">
        <w:rPr>
          <w:spacing w:val="-7"/>
        </w:rPr>
        <w:t xml:space="preserve"> </w:t>
      </w:r>
      <w:r w:rsidRPr="00EC20A0">
        <w:t>oversight</w:t>
      </w:r>
      <w:r w:rsidRPr="00EC20A0">
        <w:rPr>
          <w:spacing w:val="-7"/>
        </w:rPr>
        <w:t xml:space="preserve"> </w:t>
      </w:r>
      <w:r w:rsidRPr="00EC20A0">
        <w:t>procedures,</w:t>
      </w:r>
      <w:r w:rsidRPr="00EC20A0">
        <w:rPr>
          <w:spacing w:val="-7"/>
        </w:rPr>
        <w:t xml:space="preserve"> </w:t>
      </w:r>
      <w:r w:rsidRPr="00EC20A0">
        <w:rPr>
          <w:spacing w:val="-5"/>
        </w:rPr>
        <w:t>and</w:t>
      </w:r>
    </w:p>
    <w:p w14:paraId="24D6033E" w14:textId="77777777" w:rsidR="00245300" w:rsidRPr="00EC20A0" w:rsidRDefault="00F17249">
      <w:pPr>
        <w:pStyle w:val="ListParagraph"/>
        <w:numPr>
          <w:ilvl w:val="0"/>
          <w:numId w:val="186"/>
        </w:numPr>
        <w:tabs>
          <w:tab w:val="left" w:pos="2218"/>
        </w:tabs>
        <w:spacing w:before="239"/>
        <w:ind w:left="2218" w:hanging="359"/>
      </w:pPr>
      <w:r w:rsidRPr="00EC20A0">
        <w:t>legal</w:t>
      </w:r>
      <w:r w:rsidRPr="00EC20A0">
        <w:rPr>
          <w:spacing w:val="-5"/>
        </w:rPr>
        <w:t xml:space="preserve"> </w:t>
      </w:r>
      <w:r w:rsidRPr="00EC20A0">
        <w:rPr>
          <w:spacing w:val="-2"/>
        </w:rPr>
        <w:t>requirements.</w:t>
      </w:r>
    </w:p>
    <w:p w14:paraId="24D6033F" w14:textId="77777777" w:rsidR="00245300" w:rsidRPr="00EC20A0" w:rsidRDefault="00F17249">
      <w:pPr>
        <w:pStyle w:val="BodyText"/>
        <w:spacing w:before="11"/>
        <w:rPr>
          <w:sz w:val="20"/>
        </w:rPr>
      </w:pPr>
      <w:r w:rsidRPr="00EC20A0">
        <w:rPr>
          <w:noProof/>
        </w:rPr>
        <mc:AlternateContent>
          <mc:Choice Requires="wps">
            <w:drawing>
              <wp:anchor distT="0" distB="0" distL="0" distR="0" simplePos="0" relativeHeight="487602176" behindDoc="1" locked="0" layoutInCell="1" allowOverlap="1" wp14:anchorId="24D62AED" wp14:editId="24D62AEE">
                <wp:simplePos x="0" y="0"/>
                <wp:positionH relativeFrom="page">
                  <wp:posOffset>914400</wp:posOffset>
                </wp:positionH>
                <wp:positionV relativeFrom="paragraph">
                  <wp:posOffset>168827</wp:posOffset>
                </wp:positionV>
                <wp:extent cx="1828800" cy="571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0C8D31" id="Graphic 145" o:spid="_x0000_s1026" style="position:absolute;margin-left:1in;margin-top:13.3pt;width:2in;height:.4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" path="m1828800,l,,,5321r1828800,l1828800,xe" fillcolor="black" stroked="f">
                <v:path arrowok="t"/>
                <w10:wrap type="topAndBottom" anchorx="page"/>
              </v:shape>
            </w:pict>
          </mc:Fallback>
        </mc:AlternateContent>
      </w:r>
    </w:p>
    <w:p w14:paraId="24D60340" w14:textId="77777777" w:rsidR="00245300" w:rsidRPr="00EC20A0" w:rsidRDefault="00F17249">
      <w:pPr>
        <w:spacing w:before="202" w:line="249" w:lineRule="auto"/>
        <w:ind w:left="419" w:right="562"/>
        <w:rPr>
          <w:sz w:val="18"/>
        </w:rPr>
      </w:pPr>
      <w:bookmarkStart w:id="109" w:name="_bookmark32"/>
      <w:bookmarkEnd w:id="109"/>
      <w:r w:rsidRPr="00EC20A0">
        <w:rPr>
          <w:position w:val="7"/>
          <w:sz w:val="14"/>
        </w:rPr>
        <w:t>23</w:t>
      </w:r>
      <w:r w:rsidRPr="00EC20A0">
        <w:rPr>
          <w:sz w:val="18"/>
        </w:rPr>
        <w:t>In</w:t>
      </w:r>
      <w:r w:rsidRPr="00EC20A0">
        <w:rPr>
          <w:spacing w:val="-4"/>
          <w:sz w:val="18"/>
        </w:rPr>
        <w:t xml:space="preserve"> </w:t>
      </w:r>
      <w:r w:rsidRPr="00EC20A0">
        <w:rPr>
          <w:sz w:val="18"/>
        </w:rPr>
        <w:t>the</w:t>
      </w:r>
      <w:r w:rsidRPr="00EC20A0">
        <w:rPr>
          <w:spacing w:val="-3"/>
          <w:sz w:val="18"/>
        </w:rPr>
        <w:t xml:space="preserve"> </w:t>
      </w:r>
      <w:r w:rsidRPr="00EC20A0">
        <w:rPr>
          <w:sz w:val="18"/>
        </w:rPr>
        <w:t>FAM,</w:t>
      </w:r>
      <w:r w:rsidRPr="00EC20A0">
        <w:rPr>
          <w:spacing w:val="-3"/>
          <w:sz w:val="18"/>
        </w:rPr>
        <w:t xml:space="preserve"> </w:t>
      </w:r>
      <w:r w:rsidRPr="00EC20A0">
        <w:rPr>
          <w:sz w:val="18"/>
        </w:rPr>
        <w:t>“applicable</w:t>
      </w:r>
      <w:r w:rsidRPr="00EC20A0">
        <w:rPr>
          <w:spacing w:val="-4"/>
          <w:sz w:val="18"/>
        </w:rPr>
        <w:t xml:space="preserve"> </w:t>
      </w:r>
      <w:r w:rsidRPr="00EC20A0">
        <w:rPr>
          <w:sz w:val="18"/>
        </w:rPr>
        <w:t>laws,</w:t>
      </w:r>
      <w:r w:rsidRPr="00EC20A0">
        <w:rPr>
          <w:spacing w:val="-3"/>
          <w:sz w:val="18"/>
        </w:rPr>
        <w:t xml:space="preserve"> </w:t>
      </w:r>
      <w:r w:rsidRPr="00EC20A0">
        <w:rPr>
          <w:sz w:val="18"/>
        </w:rPr>
        <w:t>regulations,</w:t>
      </w:r>
      <w:r w:rsidRPr="00EC20A0">
        <w:rPr>
          <w:spacing w:val="-3"/>
          <w:sz w:val="18"/>
        </w:rPr>
        <w:t xml:space="preserve"> </w:t>
      </w:r>
      <w:r w:rsidRPr="00EC20A0">
        <w:rPr>
          <w:sz w:val="18"/>
        </w:rPr>
        <w:t>contracts,</w:t>
      </w:r>
      <w:r w:rsidRPr="00EC20A0">
        <w:rPr>
          <w:spacing w:val="-3"/>
          <w:sz w:val="18"/>
        </w:rPr>
        <w:t xml:space="preserve"> </w:t>
      </w:r>
      <w:r w:rsidRPr="00EC20A0">
        <w:rPr>
          <w:sz w:val="18"/>
        </w:rPr>
        <w:t>and</w:t>
      </w:r>
      <w:r w:rsidRPr="00EC20A0">
        <w:rPr>
          <w:spacing w:val="-4"/>
          <w:sz w:val="18"/>
        </w:rPr>
        <w:t xml:space="preserve"> </w:t>
      </w:r>
      <w:r w:rsidRPr="00EC20A0">
        <w:rPr>
          <w:sz w:val="18"/>
        </w:rPr>
        <w:t>grant</w:t>
      </w:r>
      <w:r w:rsidRPr="00EC20A0">
        <w:rPr>
          <w:spacing w:val="-3"/>
          <w:sz w:val="18"/>
        </w:rPr>
        <w:t xml:space="preserve"> </w:t>
      </w:r>
      <w:r w:rsidRPr="00EC20A0">
        <w:rPr>
          <w:sz w:val="18"/>
        </w:rPr>
        <w:t>agreements”</w:t>
      </w:r>
      <w:r w:rsidRPr="00EC20A0">
        <w:rPr>
          <w:spacing w:val="-3"/>
          <w:sz w:val="18"/>
        </w:rPr>
        <w:t xml:space="preserve"> </w:t>
      </w:r>
      <w:r w:rsidRPr="00EC20A0">
        <w:rPr>
          <w:sz w:val="18"/>
        </w:rPr>
        <w:t>refer</w:t>
      </w:r>
      <w:r w:rsidRPr="00EC20A0">
        <w:rPr>
          <w:spacing w:val="-3"/>
          <w:sz w:val="18"/>
        </w:rPr>
        <w:t xml:space="preserve"> </w:t>
      </w:r>
      <w:r w:rsidRPr="00EC20A0">
        <w:rPr>
          <w:sz w:val="18"/>
        </w:rPr>
        <w:t>to</w:t>
      </w:r>
      <w:r w:rsidRPr="00EC20A0">
        <w:rPr>
          <w:spacing w:val="-4"/>
          <w:sz w:val="18"/>
        </w:rPr>
        <w:t xml:space="preserve"> </w:t>
      </w:r>
      <w:r w:rsidRPr="00EC20A0">
        <w:rPr>
          <w:sz w:val="18"/>
        </w:rPr>
        <w:t>those</w:t>
      </w:r>
      <w:r w:rsidRPr="00EC20A0">
        <w:rPr>
          <w:spacing w:val="-4"/>
          <w:sz w:val="18"/>
        </w:rPr>
        <w:t xml:space="preserve"> </w:t>
      </w:r>
      <w:r w:rsidRPr="00EC20A0">
        <w:rPr>
          <w:sz w:val="18"/>
        </w:rPr>
        <w:t>laws,</w:t>
      </w:r>
      <w:r w:rsidRPr="00EC20A0">
        <w:rPr>
          <w:spacing w:val="-3"/>
          <w:sz w:val="18"/>
        </w:rPr>
        <w:t xml:space="preserve"> </w:t>
      </w:r>
      <w:r w:rsidRPr="00EC20A0">
        <w:rPr>
          <w:sz w:val="18"/>
        </w:rPr>
        <w:t xml:space="preserve">regulations, contracts, and grant </w:t>
      </w:r>
      <w:r w:rsidRPr="00EC20A0">
        <w:rPr>
          <w:sz w:val="18"/>
        </w:rPr>
        <w:t>agreements that are applicable to the audited entity.</w:t>
      </w:r>
    </w:p>
    <w:p w14:paraId="24D60341" w14:textId="77777777" w:rsidR="00245300" w:rsidRPr="00EC20A0" w:rsidRDefault="00245300">
      <w:pPr>
        <w:spacing w:line="249" w:lineRule="auto"/>
        <w:rPr>
          <w:sz w:val="18"/>
        </w:rPr>
        <w:sectPr w:rsidR="00245300" w:rsidRPr="00EC20A0">
          <w:pgSz w:w="12240" w:h="15840"/>
          <w:pgMar w:top="1600" w:right="940" w:bottom="940" w:left="1020" w:header="721" w:footer="757" w:gutter="0"/>
          <w:cols w:space="720"/>
        </w:sectPr>
      </w:pPr>
    </w:p>
    <w:p w14:paraId="24D60342" w14:textId="77777777" w:rsidR="00245300" w:rsidRPr="00EC20A0" w:rsidRDefault="00F17249">
      <w:pPr>
        <w:pStyle w:val="BodyText"/>
        <w:spacing w:before="121"/>
        <w:ind w:left="1858" w:right="562" w:firstLine="1"/>
      </w:pPr>
      <w:r w:rsidRPr="00EC20A0">
        <w:t xml:space="preserve">The auditor generally should decide the type of written communication when planning the engagement. Auditor decisions about the type and when it may communicate the results of </w:t>
      </w:r>
      <w:r w:rsidRPr="00EC20A0">
        <w:t>auditor oversight of the IPA firm’s work to management</w:t>
      </w:r>
      <w:r w:rsidRPr="00EC20A0">
        <w:rPr>
          <w:spacing w:val="-4"/>
        </w:rPr>
        <w:t xml:space="preserve"> </w:t>
      </w:r>
      <w:r w:rsidRPr="00EC20A0">
        <w:t>and</w:t>
      </w:r>
      <w:r w:rsidRPr="00EC20A0">
        <w:rPr>
          <w:spacing w:val="-4"/>
        </w:rPr>
        <w:t xml:space="preserve"> </w:t>
      </w:r>
      <w:r w:rsidRPr="00EC20A0">
        <w:t>those</w:t>
      </w:r>
      <w:r w:rsidRPr="00EC20A0">
        <w:rPr>
          <w:spacing w:val="-5"/>
        </w:rPr>
        <w:t xml:space="preserve"> </w:t>
      </w:r>
      <w:r w:rsidRPr="00EC20A0">
        <w:t>charged</w:t>
      </w:r>
      <w:r w:rsidRPr="00EC20A0">
        <w:rPr>
          <w:spacing w:val="-4"/>
        </w:rPr>
        <w:t xml:space="preserve"> </w:t>
      </w:r>
      <w:r w:rsidRPr="00EC20A0">
        <w:t>with</w:t>
      </w:r>
      <w:r w:rsidRPr="00EC20A0">
        <w:rPr>
          <w:spacing w:val="-4"/>
        </w:rPr>
        <w:t xml:space="preserve"> </w:t>
      </w:r>
      <w:r w:rsidRPr="00EC20A0">
        <w:t>governance</w:t>
      </w:r>
      <w:r w:rsidRPr="00EC20A0">
        <w:rPr>
          <w:spacing w:val="-4"/>
        </w:rPr>
        <w:t xml:space="preserve"> </w:t>
      </w:r>
      <w:r w:rsidRPr="00EC20A0">
        <w:t>generally</w:t>
      </w:r>
      <w:r w:rsidRPr="00EC20A0">
        <w:rPr>
          <w:spacing w:val="-5"/>
        </w:rPr>
        <w:t xml:space="preserve"> </w:t>
      </w:r>
      <w:r w:rsidRPr="00EC20A0">
        <w:t>should</w:t>
      </w:r>
      <w:r w:rsidRPr="00EC20A0">
        <w:rPr>
          <w:spacing w:val="-4"/>
        </w:rPr>
        <w:t xml:space="preserve"> </w:t>
      </w:r>
      <w:r w:rsidRPr="00EC20A0">
        <w:t>be</w:t>
      </w:r>
      <w:r w:rsidRPr="00EC20A0">
        <w:rPr>
          <w:spacing w:val="-4"/>
        </w:rPr>
        <w:t xml:space="preserve"> </w:t>
      </w:r>
      <w:r w:rsidRPr="00EC20A0">
        <w:t>discussed with the IPA firm during the planning stages of the audit. The auditor exercises professional</w:t>
      </w:r>
      <w:r w:rsidRPr="00EC20A0">
        <w:rPr>
          <w:spacing w:val="-5"/>
        </w:rPr>
        <w:t xml:space="preserve"> </w:t>
      </w:r>
      <w:r w:rsidRPr="00EC20A0">
        <w:t>judgment</w:t>
      </w:r>
      <w:r w:rsidRPr="00EC20A0">
        <w:rPr>
          <w:spacing w:val="-4"/>
        </w:rPr>
        <w:t xml:space="preserve"> </w:t>
      </w:r>
      <w:r w:rsidRPr="00EC20A0">
        <w:t>in</w:t>
      </w:r>
      <w:r w:rsidRPr="00EC20A0">
        <w:rPr>
          <w:spacing w:val="-4"/>
        </w:rPr>
        <w:t xml:space="preserve"> </w:t>
      </w:r>
      <w:r w:rsidRPr="00EC20A0">
        <w:t>making</w:t>
      </w:r>
      <w:r w:rsidRPr="00EC20A0">
        <w:rPr>
          <w:spacing w:val="-4"/>
        </w:rPr>
        <w:t xml:space="preserve"> </w:t>
      </w:r>
      <w:r w:rsidRPr="00EC20A0">
        <w:t>these</w:t>
      </w:r>
      <w:r w:rsidRPr="00EC20A0">
        <w:rPr>
          <w:spacing w:val="-4"/>
        </w:rPr>
        <w:t xml:space="preserve"> </w:t>
      </w:r>
      <w:r w:rsidRPr="00EC20A0">
        <w:t>decisions</w:t>
      </w:r>
      <w:r w:rsidRPr="00EC20A0">
        <w:rPr>
          <w:spacing w:val="-5"/>
        </w:rPr>
        <w:t xml:space="preserve"> </w:t>
      </w:r>
      <w:r w:rsidRPr="00EC20A0">
        <w:t>and</w:t>
      </w:r>
      <w:r w:rsidRPr="00EC20A0">
        <w:rPr>
          <w:spacing w:val="-4"/>
        </w:rPr>
        <w:t xml:space="preserve"> </w:t>
      </w:r>
      <w:r w:rsidRPr="00EC20A0">
        <w:t>should</w:t>
      </w:r>
      <w:r w:rsidRPr="00EC20A0">
        <w:rPr>
          <w:spacing w:val="-5"/>
        </w:rPr>
        <w:t xml:space="preserve"> </w:t>
      </w:r>
      <w:r w:rsidRPr="00EC20A0">
        <w:t>document</w:t>
      </w:r>
      <w:r w:rsidRPr="00EC20A0">
        <w:rPr>
          <w:spacing w:val="-4"/>
        </w:rPr>
        <w:t xml:space="preserve"> </w:t>
      </w:r>
      <w:r w:rsidRPr="00EC20A0">
        <w:t>the</w:t>
      </w:r>
      <w:r w:rsidRPr="00EC20A0">
        <w:rPr>
          <w:spacing w:val="-4"/>
        </w:rPr>
        <w:t xml:space="preserve"> </w:t>
      </w:r>
      <w:r w:rsidRPr="00EC20A0">
        <w:t>basis for the decisions. The type of communication will depend on legal requirements, as applicable, and the auditor’s level of review (see FAM 670.09 through .11).</w:t>
      </w:r>
    </w:p>
    <w:p w14:paraId="24D60343" w14:textId="77777777" w:rsidR="00245300" w:rsidRPr="00EC20A0" w:rsidRDefault="00F17249">
      <w:pPr>
        <w:pStyle w:val="BodyText"/>
        <w:spacing w:before="240"/>
        <w:ind w:left="1856" w:right="518" w:firstLine="1"/>
      </w:pPr>
      <w:r w:rsidRPr="00EC20A0">
        <w:t>The auditor generally should issue communication in writing. There are two possible types of transmittal letters based on the auditor’s oversight of the IPA firm’s work: one expressing no assurance and one expressing negative assurance</w:t>
      </w:r>
      <w:r w:rsidRPr="00EC20A0">
        <w:rPr>
          <w:spacing w:val="-4"/>
        </w:rPr>
        <w:t xml:space="preserve"> </w:t>
      </w:r>
      <w:r w:rsidRPr="00EC20A0">
        <w:t>related</w:t>
      </w:r>
      <w:r w:rsidRPr="00EC20A0">
        <w:rPr>
          <w:spacing w:val="-4"/>
        </w:rPr>
        <w:t xml:space="preserve"> </w:t>
      </w:r>
      <w:r w:rsidRPr="00EC20A0">
        <w:t>to</w:t>
      </w:r>
      <w:r w:rsidRPr="00EC20A0">
        <w:rPr>
          <w:spacing w:val="-4"/>
        </w:rPr>
        <w:t xml:space="preserve"> </w:t>
      </w:r>
      <w:r w:rsidRPr="00EC20A0">
        <w:t>the</w:t>
      </w:r>
      <w:r w:rsidRPr="00EC20A0">
        <w:rPr>
          <w:spacing w:val="-5"/>
        </w:rPr>
        <w:t xml:space="preserve"> </w:t>
      </w:r>
      <w:r w:rsidRPr="00EC20A0">
        <w:t>IPA</w:t>
      </w:r>
      <w:r w:rsidRPr="00EC20A0">
        <w:rPr>
          <w:spacing w:val="-4"/>
        </w:rPr>
        <w:t xml:space="preserve"> </w:t>
      </w:r>
      <w:r w:rsidRPr="00EC20A0">
        <w:t>firm’s</w:t>
      </w:r>
      <w:r w:rsidRPr="00EC20A0">
        <w:rPr>
          <w:spacing w:val="-4"/>
        </w:rPr>
        <w:t xml:space="preserve"> </w:t>
      </w:r>
      <w:r w:rsidRPr="00EC20A0">
        <w:t>compliance</w:t>
      </w:r>
      <w:r w:rsidRPr="00EC20A0">
        <w:rPr>
          <w:spacing w:val="-4"/>
        </w:rPr>
        <w:t xml:space="preserve"> </w:t>
      </w:r>
      <w:r w:rsidRPr="00EC20A0">
        <w:t>with</w:t>
      </w:r>
      <w:r w:rsidRPr="00EC20A0">
        <w:rPr>
          <w:spacing w:val="-4"/>
        </w:rPr>
        <w:t xml:space="preserve"> </w:t>
      </w:r>
      <w:r w:rsidRPr="00EC20A0">
        <w:t>GAGAS.</w:t>
      </w:r>
      <w:r w:rsidRPr="00EC20A0">
        <w:rPr>
          <w:spacing w:val="-4"/>
        </w:rPr>
        <w:t xml:space="preserve"> </w:t>
      </w:r>
      <w:r w:rsidRPr="00EC20A0">
        <w:t>Because</w:t>
      </w:r>
      <w:r w:rsidRPr="00EC20A0">
        <w:rPr>
          <w:spacing w:val="-4"/>
        </w:rPr>
        <w:t xml:space="preserve"> </w:t>
      </w:r>
      <w:r w:rsidRPr="00EC20A0">
        <w:t>the</w:t>
      </w:r>
      <w:r w:rsidRPr="00EC20A0">
        <w:rPr>
          <w:spacing w:val="-5"/>
        </w:rPr>
        <w:t xml:space="preserve"> </w:t>
      </w:r>
      <w:r w:rsidRPr="00EC20A0">
        <w:t>auditor did not perform the audit, the auditor should disclaim an opinion and should not express its concurrence with the IPA firm’s opinion or other conclusions. The auditor may also expand the letter to highlight audit findings or information or to describe oversight procedures that the auditor performed. See examples in FAM 670 B for wording for the two types of transmittal letters.</w:t>
      </w:r>
    </w:p>
    <w:p w14:paraId="24D60344" w14:textId="77777777" w:rsidR="00245300" w:rsidRPr="00EC20A0" w:rsidRDefault="00F17249">
      <w:pPr>
        <w:pStyle w:val="ListParagraph"/>
        <w:numPr>
          <w:ilvl w:val="1"/>
          <w:numId w:val="187"/>
        </w:numPr>
        <w:tabs>
          <w:tab w:val="left" w:pos="2219"/>
        </w:tabs>
        <w:spacing w:before="239"/>
        <w:ind w:right="744"/>
        <w:rPr>
          <w:sz w:val="18"/>
        </w:rPr>
      </w:pPr>
      <w:r w:rsidRPr="00EC20A0">
        <w:rPr>
          <w:b/>
        </w:rPr>
        <w:t xml:space="preserve">Express no assurance. </w:t>
      </w:r>
      <w:r w:rsidRPr="00EC20A0">
        <w:t>For this communication, the auditor issues a transmittal without reviewing the IPA firm’s audit documentation. In these situations,</w:t>
      </w:r>
      <w:r w:rsidRPr="00EC20A0">
        <w:rPr>
          <w:spacing w:val="-3"/>
        </w:rPr>
        <w:t xml:space="preserve"> </w:t>
      </w:r>
      <w:r w:rsidRPr="00EC20A0">
        <w:t>the</w:t>
      </w:r>
      <w:r w:rsidRPr="00EC20A0">
        <w:rPr>
          <w:spacing w:val="-3"/>
        </w:rPr>
        <w:t xml:space="preserve"> </w:t>
      </w:r>
      <w:r w:rsidRPr="00EC20A0">
        <w:t>transmittal</w:t>
      </w:r>
      <w:r w:rsidRPr="00EC20A0">
        <w:rPr>
          <w:spacing w:val="-3"/>
        </w:rPr>
        <w:t xml:space="preserve"> </w:t>
      </w:r>
      <w:r w:rsidRPr="00EC20A0">
        <w:t>should</w:t>
      </w:r>
      <w:r w:rsidRPr="00EC20A0">
        <w:rPr>
          <w:spacing w:val="-3"/>
        </w:rPr>
        <w:t xml:space="preserve"> </w:t>
      </w:r>
      <w:r w:rsidRPr="00EC20A0">
        <w:t>be</w:t>
      </w:r>
      <w:r w:rsidRPr="00EC20A0">
        <w:rPr>
          <w:spacing w:val="-4"/>
        </w:rPr>
        <w:t xml:space="preserve"> </w:t>
      </w:r>
      <w:r w:rsidRPr="00EC20A0">
        <w:t>clear</w:t>
      </w:r>
      <w:r w:rsidRPr="00EC20A0">
        <w:rPr>
          <w:spacing w:val="-3"/>
        </w:rPr>
        <w:t xml:space="preserve"> </w:t>
      </w:r>
      <w:r w:rsidRPr="00EC20A0">
        <w:t>as</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limitations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of the auditor</w:t>
      </w:r>
      <w:r w:rsidRPr="00EC20A0">
        <w:rPr>
          <w:sz w:val="18"/>
        </w:rPr>
        <w:t>.</w:t>
      </w:r>
      <w:hyperlink w:anchor="_bookmark33" w:history="1">
        <w:r w:rsidRPr="00EC20A0">
          <w:rPr>
            <w:sz w:val="18"/>
            <w:vertAlign w:val="superscript"/>
          </w:rPr>
          <w:t>24</w:t>
        </w:r>
      </w:hyperlink>
    </w:p>
    <w:p w14:paraId="24D60345" w14:textId="77777777" w:rsidR="00245300" w:rsidRPr="00EC20A0" w:rsidRDefault="00F17249">
      <w:pPr>
        <w:pStyle w:val="ListParagraph"/>
        <w:numPr>
          <w:ilvl w:val="1"/>
          <w:numId w:val="187"/>
        </w:numPr>
        <w:tabs>
          <w:tab w:val="left" w:pos="2219"/>
        </w:tabs>
        <w:spacing w:before="241"/>
        <w:ind w:right="746"/>
      </w:pPr>
      <w:r w:rsidRPr="00EC20A0">
        <w:rPr>
          <w:b/>
        </w:rPr>
        <w:t xml:space="preserve">Express negative assurance on compliance with GAGAS. </w:t>
      </w:r>
      <w:r w:rsidRPr="00EC20A0">
        <w:t>This communication</w:t>
      </w:r>
      <w:r w:rsidRPr="00EC20A0">
        <w:rPr>
          <w:spacing w:val="-4"/>
        </w:rPr>
        <w:t xml:space="preserve"> </w:t>
      </w:r>
      <w:r w:rsidRPr="00EC20A0">
        <w:t>indicates</w:t>
      </w:r>
      <w:r w:rsidRPr="00EC20A0">
        <w:rPr>
          <w:spacing w:val="-5"/>
        </w:rPr>
        <w:t xml:space="preserve"> </w:t>
      </w: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reviewed</w:t>
      </w:r>
      <w:r w:rsidRPr="00EC20A0">
        <w:rPr>
          <w:spacing w:val="-4"/>
        </w:rPr>
        <w:t xml:space="preserve"> </w:t>
      </w:r>
      <w:r w:rsidRPr="00EC20A0">
        <w:t>the</w:t>
      </w:r>
      <w:r w:rsidRPr="00EC20A0">
        <w:rPr>
          <w:spacing w:val="-4"/>
        </w:rPr>
        <w:t xml:space="preserve"> </w:t>
      </w:r>
      <w:r w:rsidRPr="00EC20A0">
        <w:t>IPA</w:t>
      </w:r>
      <w:r w:rsidRPr="00EC20A0">
        <w:rPr>
          <w:spacing w:val="-4"/>
        </w:rPr>
        <w:t xml:space="preserve"> </w:t>
      </w:r>
      <w:r w:rsidRPr="00EC20A0">
        <w:t>firm’s</w:t>
      </w:r>
      <w:r w:rsidRPr="00EC20A0">
        <w:rPr>
          <w:spacing w:val="-4"/>
        </w:rPr>
        <w:t xml:space="preserve"> </w:t>
      </w:r>
      <w:r w:rsidRPr="00EC20A0">
        <w:t>report</w:t>
      </w:r>
      <w:r w:rsidRPr="00EC20A0">
        <w:rPr>
          <w:spacing w:val="-4"/>
        </w:rPr>
        <w:t xml:space="preserve"> </w:t>
      </w:r>
      <w:r w:rsidRPr="00EC20A0">
        <w:t xml:space="preserve">and related audit documentation, inquired of its representatives, and found no instances where the IPA firm did not comply, in all material respects, with </w:t>
      </w:r>
      <w:r w:rsidRPr="00EC20A0">
        <w:rPr>
          <w:spacing w:val="-2"/>
        </w:rPr>
        <w:t>GAGAS.</w:t>
      </w:r>
    </w:p>
    <w:p w14:paraId="24D60346" w14:textId="77777777" w:rsidR="00245300" w:rsidRPr="00EC20A0" w:rsidRDefault="00245300">
      <w:pPr>
        <w:pStyle w:val="BodyText"/>
        <w:rPr>
          <w:sz w:val="20"/>
        </w:rPr>
      </w:pPr>
    </w:p>
    <w:p w14:paraId="24D60347" w14:textId="77777777" w:rsidR="00245300" w:rsidRPr="00EC20A0" w:rsidRDefault="00245300">
      <w:pPr>
        <w:pStyle w:val="BodyText"/>
        <w:rPr>
          <w:sz w:val="20"/>
        </w:rPr>
      </w:pPr>
    </w:p>
    <w:p w14:paraId="24D60348" w14:textId="77777777" w:rsidR="00245300" w:rsidRPr="00EC20A0" w:rsidRDefault="00245300">
      <w:pPr>
        <w:pStyle w:val="BodyText"/>
        <w:rPr>
          <w:sz w:val="20"/>
        </w:rPr>
      </w:pPr>
    </w:p>
    <w:p w14:paraId="24D60349" w14:textId="77777777" w:rsidR="00245300" w:rsidRPr="00EC20A0" w:rsidRDefault="00245300">
      <w:pPr>
        <w:pStyle w:val="BodyText"/>
        <w:rPr>
          <w:sz w:val="20"/>
        </w:rPr>
      </w:pPr>
    </w:p>
    <w:p w14:paraId="24D6034A" w14:textId="77777777" w:rsidR="00245300" w:rsidRPr="00EC20A0" w:rsidRDefault="00245300">
      <w:pPr>
        <w:pStyle w:val="BodyText"/>
        <w:rPr>
          <w:sz w:val="20"/>
        </w:rPr>
      </w:pPr>
    </w:p>
    <w:p w14:paraId="24D6034B" w14:textId="77777777" w:rsidR="00245300" w:rsidRPr="00EC20A0" w:rsidRDefault="00245300">
      <w:pPr>
        <w:pStyle w:val="BodyText"/>
        <w:rPr>
          <w:sz w:val="20"/>
        </w:rPr>
      </w:pPr>
    </w:p>
    <w:p w14:paraId="24D6034C" w14:textId="77777777" w:rsidR="00245300" w:rsidRPr="00EC20A0" w:rsidRDefault="00245300">
      <w:pPr>
        <w:pStyle w:val="BodyText"/>
        <w:rPr>
          <w:sz w:val="20"/>
        </w:rPr>
      </w:pPr>
    </w:p>
    <w:p w14:paraId="24D6034D" w14:textId="77777777" w:rsidR="00245300" w:rsidRPr="00EC20A0" w:rsidRDefault="00245300">
      <w:pPr>
        <w:pStyle w:val="BodyText"/>
        <w:rPr>
          <w:sz w:val="20"/>
        </w:rPr>
      </w:pPr>
    </w:p>
    <w:p w14:paraId="24D6034E" w14:textId="77777777" w:rsidR="00245300" w:rsidRPr="00EC20A0" w:rsidRDefault="00245300">
      <w:pPr>
        <w:pStyle w:val="BodyText"/>
        <w:rPr>
          <w:sz w:val="20"/>
        </w:rPr>
      </w:pPr>
    </w:p>
    <w:p w14:paraId="24D6034F" w14:textId="77777777" w:rsidR="00245300" w:rsidRPr="00EC20A0" w:rsidRDefault="00245300">
      <w:pPr>
        <w:pStyle w:val="BodyText"/>
        <w:rPr>
          <w:sz w:val="20"/>
        </w:rPr>
      </w:pPr>
    </w:p>
    <w:p w14:paraId="24D60350" w14:textId="77777777" w:rsidR="00245300" w:rsidRPr="00EC20A0" w:rsidRDefault="00245300">
      <w:pPr>
        <w:pStyle w:val="BodyText"/>
        <w:rPr>
          <w:sz w:val="20"/>
        </w:rPr>
      </w:pPr>
    </w:p>
    <w:p w14:paraId="24D60351" w14:textId="77777777" w:rsidR="00245300" w:rsidRPr="00EC20A0" w:rsidRDefault="00245300">
      <w:pPr>
        <w:pStyle w:val="BodyText"/>
        <w:rPr>
          <w:sz w:val="20"/>
        </w:rPr>
      </w:pPr>
    </w:p>
    <w:p w14:paraId="24D60352" w14:textId="77777777" w:rsidR="00245300" w:rsidRPr="00EC20A0" w:rsidRDefault="00245300">
      <w:pPr>
        <w:pStyle w:val="BodyText"/>
        <w:rPr>
          <w:sz w:val="20"/>
        </w:rPr>
      </w:pPr>
    </w:p>
    <w:p w14:paraId="24D60353" w14:textId="77777777" w:rsidR="00245300" w:rsidRPr="00EC20A0" w:rsidRDefault="00245300">
      <w:pPr>
        <w:pStyle w:val="BodyText"/>
        <w:rPr>
          <w:sz w:val="20"/>
        </w:rPr>
      </w:pPr>
    </w:p>
    <w:p w14:paraId="24D60354" w14:textId="77777777" w:rsidR="00245300" w:rsidRPr="00EC20A0" w:rsidRDefault="00245300">
      <w:pPr>
        <w:pStyle w:val="BodyText"/>
        <w:rPr>
          <w:sz w:val="20"/>
        </w:rPr>
      </w:pPr>
    </w:p>
    <w:p w14:paraId="24D60355" w14:textId="77777777" w:rsidR="00245300" w:rsidRPr="00EC20A0" w:rsidRDefault="00245300">
      <w:pPr>
        <w:pStyle w:val="BodyText"/>
        <w:rPr>
          <w:sz w:val="20"/>
        </w:rPr>
      </w:pPr>
    </w:p>
    <w:p w14:paraId="24D60356" w14:textId="77777777" w:rsidR="00245300" w:rsidRPr="00EC20A0" w:rsidRDefault="00245300">
      <w:pPr>
        <w:pStyle w:val="BodyText"/>
        <w:rPr>
          <w:sz w:val="20"/>
        </w:rPr>
      </w:pPr>
    </w:p>
    <w:p w14:paraId="24D60357" w14:textId="77777777" w:rsidR="00245300" w:rsidRPr="00EC20A0" w:rsidRDefault="00245300">
      <w:pPr>
        <w:pStyle w:val="BodyText"/>
        <w:rPr>
          <w:sz w:val="20"/>
        </w:rPr>
      </w:pPr>
    </w:p>
    <w:p w14:paraId="24D60358" w14:textId="77777777" w:rsidR="00245300" w:rsidRPr="00EC20A0" w:rsidRDefault="00245300">
      <w:pPr>
        <w:pStyle w:val="BodyText"/>
        <w:rPr>
          <w:sz w:val="20"/>
        </w:rPr>
      </w:pPr>
    </w:p>
    <w:p w14:paraId="24D60359" w14:textId="77777777" w:rsidR="00245300" w:rsidRPr="00EC20A0" w:rsidRDefault="00245300">
      <w:pPr>
        <w:pStyle w:val="BodyText"/>
        <w:rPr>
          <w:sz w:val="20"/>
        </w:rPr>
      </w:pPr>
    </w:p>
    <w:p w14:paraId="24D6035A" w14:textId="77777777" w:rsidR="00245300" w:rsidRPr="00EC20A0" w:rsidRDefault="00F17249">
      <w:pPr>
        <w:pStyle w:val="BodyText"/>
        <w:spacing w:before="17"/>
        <w:rPr>
          <w:sz w:val="20"/>
        </w:rPr>
      </w:pPr>
      <w:r w:rsidRPr="00EC20A0">
        <w:rPr>
          <w:noProof/>
        </w:rPr>
        <mc:AlternateContent>
          <mc:Choice Requires="wps">
            <w:drawing>
              <wp:anchor distT="0" distB="0" distL="0" distR="0" simplePos="0" relativeHeight="487602688" behindDoc="1" locked="0" layoutInCell="1" allowOverlap="1" wp14:anchorId="24D62AEF" wp14:editId="24D62AF0">
                <wp:simplePos x="0" y="0"/>
                <wp:positionH relativeFrom="page">
                  <wp:posOffset>914400</wp:posOffset>
                </wp:positionH>
                <wp:positionV relativeFrom="paragraph">
                  <wp:posOffset>172192</wp:posOffset>
                </wp:positionV>
                <wp:extent cx="1828800" cy="571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1453B" id="Graphic 146" o:spid="_x0000_s1026" style="position:absolute;margin-left:1in;margin-top:13.55pt;width:2in;height:.4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" path="m1828800,l,,,5321r1828800,l1828800,xe" fillcolor="black" stroked="f">
                <v:path arrowok="t"/>
                <w10:wrap type="topAndBottom" anchorx="page"/>
              </v:shape>
            </w:pict>
          </mc:Fallback>
        </mc:AlternateContent>
      </w:r>
    </w:p>
    <w:p w14:paraId="24D6035B" w14:textId="77777777" w:rsidR="00245300" w:rsidRPr="00EC20A0" w:rsidRDefault="00F17249">
      <w:pPr>
        <w:spacing w:before="202" w:line="249" w:lineRule="auto"/>
        <w:ind w:left="419" w:right="562"/>
        <w:rPr>
          <w:sz w:val="18"/>
        </w:rPr>
      </w:pPr>
      <w:bookmarkStart w:id="110" w:name="_bookmark33"/>
      <w:bookmarkEnd w:id="110"/>
      <w:r w:rsidRPr="00EC20A0">
        <w:rPr>
          <w:position w:val="7"/>
          <w:sz w:val="14"/>
        </w:rPr>
        <w:t>24</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IG</w:t>
      </w:r>
      <w:r w:rsidRPr="00EC20A0">
        <w:rPr>
          <w:spacing w:val="-3"/>
          <w:sz w:val="18"/>
        </w:rPr>
        <w:t xml:space="preserve"> </w:t>
      </w:r>
      <w:r w:rsidRPr="00EC20A0">
        <w:rPr>
          <w:sz w:val="18"/>
        </w:rPr>
        <w:t>contracts</w:t>
      </w:r>
      <w:r w:rsidRPr="00EC20A0">
        <w:rPr>
          <w:spacing w:val="-2"/>
          <w:sz w:val="18"/>
        </w:rPr>
        <w:t xml:space="preserve"> </w:t>
      </w:r>
      <w:r w:rsidRPr="00EC20A0">
        <w:rPr>
          <w:sz w:val="18"/>
        </w:rPr>
        <w:t>with</w:t>
      </w:r>
      <w:r w:rsidRPr="00EC20A0">
        <w:rPr>
          <w:spacing w:val="-3"/>
          <w:sz w:val="18"/>
        </w:rPr>
        <w:t xml:space="preserve"> </w:t>
      </w:r>
      <w:r w:rsidRPr="00EC20A0">
        <w:rPr>
          <w:sz w:val="18"/>
        </w:rPr>
        <w:t>an</w:t>
      </w:r>
      <w:r w:rsidRPr="00EC20A0">
        <w:rPr>
          <w:spacing w:val="-2"/>
          <w:sz w:val="18"/>
        </w:rPr>
        <w:t xml:space="preserve"> </w:t>
      </w:r>
      <w:r w:rsidRPr="00EC20A0">
        <w:rPr>
          <w:sz w:val="18"/>
        </w:rPr>
        <w:t>IPA</w:t>
      </w:r>
      <w:r w:rsidRPr="00EC20A0">
        <w:rPr>
          <w:spacing w:val="-2"/>
          <w:sz w:val="18"/>
        </w:rPr>
        <w:t xml:space="preserve"> </w:t>
      </w:r>
      <w:r w:rsidRPr="00EC20A0">
        <w:rPr>
          <w:sz w:val="18"/>
        </w:rPr>
        <w:t>firm,</w:t>
      </w:r>
      <w:r w:rsidRPr="00EC20A0">
        <w:rPr>
          <w:spacing w:val="-2"/>
          <w:sz w:val="18"/>
        </w:rPr>
        <w:t xml:space="preserve"> </w:t>
      </w:r>
      <w:r w:rsidRPr="00EC20A0">
        <w:rPr>
          <w:sz w:val="18"/>
        </w:rPr>
        <w:t>the</w:t>
      </w:r>
      <w:r w:rsidRPr="00EC20A0">
        <w:rPr>
          <w:spacing w:val="-2"/>
          <w:sz w:val="18"/>
        </w:rPr>
        <w:t xml:space="preserve"> </w:t>
      </w:r>
      <w:r w:rsidRPr="00EC20A0">
        <w:rPr>
          <w:sz w:val="18"/>
        </w:rPr>
        <w:t>contracting</w:t>
      </w:r>
      <w:r w:rsidRPr="00EC20A0">
        <w:rPr>
          <w:spacing w:val="-3"/>
          <w:sz w:val="18"/>
        </w:rPr>
        <w:t xml:space="preserve"> </w:t>
      </w:r>
      <w:r w:rsidRPr="00EC20A0">
        <w:rPr>
          <w:sz w:val="18"/>
        </w:rPr>
        <w:t>process</w:t>
      </w:r>
      <w:r w:rsidRPr="00EC20A0">
        <w:rPr>
          <w:spacing w:val="-1"/>
          <w:sz w:val="18"/>
        </w:rPr>
        <w:t xml:space="preserve"> </w:t>
      </w:r>
      <w:r w:rsidRPr="00EC20A0">
        <w:rPr>
          <w:sz w:val="18"/>
        </w:rPr>
        <w:t>generally</w:t>
      </w:r>
      <w:r w:rsidRPr="00EC20A0">
        <w:rPr>
          <w:spacing w:val="-2"/>
          <w:sz w:val="18"/>
        </w:rPr>
        <w:t xml:space="preserve"> </w:t>
      </w:r>
      <w:r w:rsidRPr="00EC20A0">
        <w:rPr>
          <w:sz w:val="18"/>
        </w:rPr>
        <w:t>will</w:t>
      </w:r>
      <w:r w:rsidRPr="00EC20A0">
        <w:rPr>
          <w:spacing w:val="-2"/>
          <w:sz w:val="18"/>
        </w:rPr>
        <w:t xml:space="preserve"> </w:t>
      </w:r>
      <w:r w:rsidRPr="00EC20A0">
        <w:rPr>
          <w:sz w:val="18"/>
        </w:rPr>
        <w:t>require</w:t>
      </w:r>
      <w:r w:rsidRPr="00EC20A0">
        <w:rPr>
          <w:spacing w:val="-3"/>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to</w:t>
      </w:r>
      <w:r w:rsidRPr="00EC20A0">
        <w:rPr>
          <w:spacing w:val="-3"/>
          <w:sz w:val="18"/>
        </w:rPr>
        <w:t xml:space="preserve"> </w:t>
      </w:r>
      <w:r w:rsidRPr="00EC20A0">
        <w:rPr>
          <w:sz w:val="18"/>
        </w:rPr>
        <w:t>evaluate</w:t>
      </w:r>
      <w:r w:rsidRPr="00EC20A0">
        <w:rPr>
          <w:spacing w:val="-3"/>
          <w:sz w:val="18"/>
        </w:rPr>
        <w:t xml:space="preserve"> </w:t>
      </w:r>
      <w:r w:rsidRPr="00EC20A0">
        <w:rPr>
          <w:sz w:val="18"/>
        </w:rPr>
        <w:t>the</w:t>
      </w:r>
      <w:r w:rsidRPr="00EC20A0">
        <w:rPr>
          <w:spacing w:val="-3"/>
          <w:sz w:val="18"/>
        </w:rPr>
        <w:t xml:space="preserve"> </w:t>
      </w:r>
      <w:r w:rsidRPr="00EC20A0">
        <w:rPr>
          <w:sz w:val="18"/>
        </w:rPr>
        <w:t>IPA firm’s independence, objectivity, and qualifications and to monitor its performance under the contract.</w:t>
      </w:r>
    </w:p>
    <w:p w14:paraId="24D6035C" w14:textId="77777777" w:rsidR="00245300" w:rsidRPr="00EC20A0" w:rsidRDefault="00245300">
      <w:pPr>
        <w:spacing w:line="249" w:lineRule="auto"/>
        <w:rPr>
          <w:sz w:val="18"/>
        </w:rPr>
        <w:sectPr w:rsidR="00245300" w:rsidRPr="00EC20A0">
          <w:pgSz w:w="12240" w:h="15840"/>
          <w:pgMar w:top="1600" w:right="940" w:bottom="940" w:left="1020" w:header="721" w:footer="757" w:gutter="0"/>
          <w:cols w:space="720"/>
        </w:sectPr>
      </w:pPr>
    </w:p>
    <w:p w14:paraId="24D6035D" w14:textId="77777777" w:rsidR="00245300" w:rsidRPr="00EC20A0" w:rsidRDefault="00F17249">
      <w:pPr>
        <w:pStyle w:val="Heading3"/>
        <w:spacing w:before="240"/>
        <w:ind w:left="420"/>
        <w:rPr>
          <w:u w:val="none"/>
        </w:rPr>
      </w:pPr>
      <w:bookmarkStart w:id="111" w:name="670_A_–_Summary_of_Procedures_and_Docume"/>
      <w:bookmarkStart w:id="112" w:name="_bookmark34"/>
      <w:bookmarkEnd w:id="111"/>
      <w:bookmarkEnd w:id="112"/>
      <w:r w:rsidRPr="00EC20A0">
        <w:t>670</w:t>
      </w:r>
      <w:r w:rsidRPr="00EC20A0">
        <w:rPr>
          <w:spacing w:val="-16"/>
        </w:rPr>
        <w:t xml:space="preserve"> </w:t>
      </w:r>
      <w:r w:rsidRPr="00EC20A0">
        <w:t>A</w:t>
      </w:r>
      <w:r w:rsidRPr="00EC20A0">
        <w:rPr>
          <w:spacing w:val="-18"/>
        </w:rPr>
        <w:t xml:space="preserve"> </w:t>
      </w:r>
      <w:r w:rsidRPr="00EC20A0">
        <w:t>–</w:t>
      </w:r>
      <w:r w:rsidRPr="00EC20A0">
        <w:rPr>
          <w:spacing w:val="-5"/>
        </w:rPr>
        <w:t xml:space="preserve"> </w:t>
      </w:r>
      <w:r w:rsidRPr="00EC20A0">
        <w:t>Summary</w:t>
      </w:r>
      <w:r w:rsidRPr="00EC20A0">
        <w:rPr>
          <w:spacing w:val="-4"/>
        </w:rPr>
        <w:t xml:space="preserve"> </w:t>
      </w:r>
      <w:r w:rsidRPr="00EC20A0">
        <w:t>of</w:t>
      </w:r>
      <w:r w:rsidRPr="00EC20A0">
        <w:rPr>
          <w:spacing w:val="-5"/>
        </w:rPr>
        <w:t xml:space="preserve"> </w:t>
      </w:r>
      <w:r w:rsidRPr="00EC20A0">
        <w:t>Procedures</w:t>
      </w:r>
      <w:r w:rsidRPr="00EC20A0">
        <w:rPr>
          <w:spacing w:val="-5"/>
        </w:rPr>
        <w:t xml:space="preserve"> </w:t>
      </w:r>
      <w:r w:rsidRPr="00EC20A0">
        <w:t>and</w:t>
      </w:r>
      <w:r w:rsidRPr="00EC20A0">
        <w:rPr>
          <w:spacing w:val="-6"/>
        </w:rPr>
        <w:t xml:space="preserve"> </w:t>
      </w:r>
      <w:r w:rsidRPr="00EC20A0">
        <w:t>Documentation</w:t>
      </w:r>
      <w:r w:rsidRPr="00EC20A0">
        <w:rPr>
          <w:spacing w:val="-5"/>
        </w:rPr>
        <w:t xml:space="preserve"> </w:t>
      </w:r>
      <w:r w:rsidRPr="00EC20A0">
        <w:t>for</w:t>
      </w:r>
      <w:r w:rsidRPr="00EC20A0">
        <w:rPr>
          <w:u w:val="none"/>
        </w:rPr>
        <w:t xml:space="preserve"> </w:t>
      </w:r>
      <w:r w:rsidRPr="00EC20A0">
        <w:t>Oversight</w:t>
      </w:r>
      <w:r w:rsidRPr="00EC20A0">
        <w:rPr>
          <w:spacing w:val="-4"/>
        </w:rPr>
        <w:t xml:space="preserve"> </w:t>
      </w:r>
      <w:r w:rsidRPr="00EC20A0">
        <w:t>of</w:t>
      </w:r>
      <w:r w:rsidRPr="00EC20A0">
        <w:rPr>
          <w:spacing w:val="-14"/>
        </w:rPr>
        <w:t xml:space="preserve"> </w:t>
      </w:r>
      <w:r w:rsidRPr="00EC20A0">
        <w:t>Audits</w:t>
      </w:r>
      <w:r w:rsidRPr="00EC20A0">
        <w:rPr>
          <w:spacing w:val="-3"/>
        </w:rPr>
        <w:t xml:space="preserve"> </w:t>
      </w:r>
      <w:r w:rsidRPr="00EC20A0">
        <w:t>Performed</w:t>
      </w:r>
      <w:r w:rsidRPr="00EC20A0">
        <w:rPr>
          <w:spacing w:val="-5"/>
        </w:rPr>
        <w:t xml:space="preserve"> </w:t>
      </w:r>
      <w:r w:rsidRPr="00EC20A0">
        <w:t>by</w:t>
      </w:r>
      <w:r w:rsidRPr="00EC20A0">
        <w:rPr>
          <w:spacing w:val="-3"/>
        </w:rPr>
        <w:t xml:space="preserve"> </w:t>
      </w:r>
      <w:r w:rsidRPr="00EC20A0">
        <w:t>Contracted</w:t>
      </w:r>
      <w:r w:rsidRPr="00EC20A0">
        <w:rPr>
          <w:spacing w:val="-4"/>
        </w:rPr>
        <w:t xml:space="preserve"> </w:t>
      </w:r>
      <w:r w:rsidRPr="00EC20A0">
        <w:t>IPA</w:t>
      </w:r>
      <w:r w:rsidRPr="00EC20A0">
        <w:rPr>
          <w:spacing w:val="-15"/>
        </w:rPr>
        <w:t xml:space="preserve"> </w:t>
      </w:r>
      <w:r w:rsidRPr="00EC20A0">
        <w:t>Firms</w:t>
      </w:r>
    </w:p>
    <w:p w14:paraId="24D6035E" w14:textId="77777777" w:rsidR="00245300" w:rsidRPr="00EC20A0" w:rsidRDefault="00F17249">
      <w:pPr>
        <w:pStyle w:val="BodyText"/>
        <w:tabs>
          <w:tab w:val="left" w:pos="1859"/>
        </w:tabs>
        <w:spacing w:before="241"/>
        <w:ind w:left="1860" w:right="516" w:hanging="721"/>
      </w:pPr>
      <w:r w:rsidRPr="00EC20A0">
        <w:rPr>
          <w:spacing w:val="-4"/>
        </w:rPr>
        <w:t>.01</w:t>
      </w:r>
      <w:r w:rsidRPr="00EC20A0">
        <w:tab/>
        <w:t>Table 1 presents a summary of procedures that the auditor generally should perform at the entity level and for material line items, accounts, note disclosures, and</w:t>
      </w:r>
      <w:r w:rsidRPr="00EC20A0">
        <w:rPr>
          <w:spacing w:val="-3"/>
        </w:rPr>
        <w:t xml:space="preserve"> </w:t>
      </w:r>
      <w:r w:rsidRPr="00EC20A0">
        <w:t>classes</w:t>
      </w:r>
      <w:r w:rsidRPr="00EC20A0">
        <w:rPr>
          <w:spacing w:val="-4"/>
        </w:rPr>
        <w:t xml:space="preserve"> </w:t>
      </w:r>
      <w:r w:rsidRPr="00EC20A0">
        <w:t>of</w:t>
      </w:r>
      <w:r w:rsidRPr="00EC20A0">
        <w:rPr>
          <w:spacing w:val="-3"/>
        </w:rPr>
        <w:t xml:space="preserve"> </w:t>
      </w:r>
      <w:r w:rsidRPr="00EC20A0">
        <w:t>transactions</w:t>
      </w:r>
      <w:r w:rsidRPr="00EC20A0">
        <w:rPr>
          <w:spacing w:val="-3"/>
        </w:rPr>
        <w:t xml:space="preserve"> </w:t>
      </w:r>
      <w:r w:rsidRPr="00EC20A0">
        <w:t>when</w:t>
      </w:r>
      <w:r w:rsidRPr="00EC20A0">
        <w:rPr>
          <w:spacing w:val="-3"/>
        </w:rPr>
        <w:t xml:space="preserve"> </w:t>
      </w:r>
      <w:r w:rsidRPr="00EC20A0">
        <w:t>providing</w:t>
      </w:r>
      <w:r w:rsidRPr="00EC20A0">
        <w:rPr>
          <w:spacing w:val="-3"/>
        </w:rPr>
        <w:t xml:space="preserve"> </w:t>
      </w:r>
      <w:r w:rsidRPr="00EC20A0">
        <w:t>oversight</w:t>
      </w:r>
      <w:r w:rsidRPr="00EC20A0">
        <w:rPr>
          <w:spacing w:val="-3"/>
        </w:rPr>
        <w:t xml:space="preserve"> </w:t>
      </w:r>
      <w:r w:rsidRPr="00EC20A0">
        <w:t>of</w:t>
      </w:r>
      <w:r w:rsidRPr="00EC20A0">
        <w:rPr>
          <w:spacing w:val="-3"/>
        </w:rPr>
        <w:t xml:space="preserve"> </w:t>
      </w:r>
      <w:r w:rsidRPr="00EC20A0">
        <w:t>an</w:t>
      </w:r>
      <w:r w:rsidRPr="00EC20A0">
        <w:rPr>
          <w:spacing w:val="-3"/>
        </w:rPr>
        <w:t xml:space="preserve"> </w:t>
      </w:r>
      <w:r w:rsidRPr="00EC20A0">
        <w:t>audit</w:t>
      </w:r>
      <w:r w:rsidRPr="00EC20A0">
        <w:rPr>
          <w:spacing w:val="-3"/>
        </w:rPr>
        <w:t xml:space="preserve"> </w:t>
      </w:r>
      <w:r w:rsidRPr="00EC20A0">
        <w:t>performed</w:t>
      </w:r>
      <w:r w:rsidRPr="00EC20A0">
        <w:rPr>
          <w:spacing w:val="-3"/>
        </w:rPr>
        <w:t xml:space="preserve"> </w:t>
      </w:r>
      <w:r w:rsidRPr="00EC20A0">
        <w:t>by</w:t>
      </w:r>
      <w:r w:rsidRPr="00EC20A0">
        <w:rPr>
          <w:spacing w:val="-3"/>
        </w:rPr>
        <w:t xml:space="preserve"> </w:t>
      </w:r>
      <w:r w:rsidRPr="00EC20A0">
        <w:t>an IPA firm. As discussed in FAM 670.09, the two levels of review are moderate or low, as determined by the auditor’s professional judgment.</w:t>
      </w:r>
    </w:p>
    <w:p w14:paraId="24D6035F" w14:textId="77777777" w:rsidR="00245300" w:rsidRPr="00EC20A0" w:rsidRDefault="00F17249">
      <w:pPr>
        <w:pStyle w:val="BodyText"/>
        <w:spacing w:before="240"/>
        <w:ind w:left="1859" w:right="562"/>
      </w:pPr>
      <w:r w:rsidRPr="00EC20A0">
        <w:t>Table 2 presents a summary of documentation that the auditor generally should retain from the auditor’s review of the IPA firm’s work. However, the summary does not include work to be done by the auditor to determine the IPA firm’s independence,</w:t>
      </w:r>
      <w:r w:rsidRPr="00EC20A0">
        <w:rPr>
          <w:spacing w:val="-3"/>
        </w:rPr>
        <w:t xml:space="preserve"> </w:t>
      </w:r>
      <w:r w:rsidRPr="00EC20A0">
        <w:t>objectivity,</w:t>
      </w:r>
      <w:r w:rsidRPr="00EC20A0">
        <w:rPr>
          <w:spacing w:val="-4"/>
        </w:rPr>
        <w:t xml:space="preserve"> </w:t>
      </w:r>
      <w:r w:rsidRPr="00EC20A0">
        <w:t>and</w:t>
      </w:r>
      <w:r w:rsidRPr="00EC20A0">
        <w:rPr>
          <w:spacing w:val="-4"/>
        </w:rPr>
        <w:t xml:space="preserve"> </w:t>
      </w:r>
      <w:r w:rsidRPr="00EC20A0">
        <w:t>competence</w:t>
      </w:r>
      <w:r w:rsidRPr="00EC20A0">
        <w:rPr>
          <w:spacing w:val="-4"/>
        </w:rPr>
        <w:t xml:space="preserve"> </w:t>
      </w:r>
      <w:r w:rsidRPr="00EC20A0">
        <w:t>(see</w:t>
      </w:r>
      <w:r w:rsidRPr="00EC20A0">
        <w:rPr>
          <w:spacing w:val="-5"/>
        </w:rPr>
        <w:t xml:space="preserve"> </w:t>
      </w:r>
      <w:r w:rsidRPr="00EC20A0">
        <w:t>FAM</w:t>
      </w:r>
      <w:r w:rsidRPr="00EC20A0">
        <w:rPr>
          <w:spacing w:val="-5"/>
        </w:rPr>
        <w:t xml:space="preserve"> </w:t>
      </w:r>
      <w:r w:rsidRPr="00EC20A0">
        <w:t>670.08</w:t>
      </w:r>
      <w:r w:rsidRPr="00EC20A0">
        <w:rPr>
          <w:spacing w:val="-2"/>
        </w:rPr>
        <w:t xml:space="preserve"> </w:t>
      </w:r>
      <w:r w:rsidRPr="00EC20A0">
        <w:t>for</w:t>
      </w:r>
      <w:r w:rsidRPr="00EC20A0">
        <w:rPr>
          <w:spacing w:val="-4"/>
        </w:rPr>
        <w:t xml:space="preserve"> </w:t>
      </w:r>
      <w:r w:rsidRPr="00EC20A0">
        <w:t>a</w:t>
      </w:r>
      <w:r w:rsidRPr="00EC20A0">
        <w:rPr>
          <w:spacing w:val="-4"/>
        </w:rPr>
        <w:t xml:space="preserve"> </w:t>
      </w:r>
      <w:r w:rsidRPr="00EC20A0">
        <w:t>discussion</w:t>
      </w:r>
      <w:r w:rsidRPr="00EC20A0">
        <w:rPr>
          <w:spacing w:val="-4"/>
        </w:rPr>
        <w:t xml:space="preserve"> </w:t>
      </w:r>
      <w:r w:rsidRPr="00EC20A0">
        <w:t>of that work). Where the IPA firm uses equivalent documents, the auditor should review those documents.</w:t>
      </w:r>
    </w:p>
    <w:p w14:paraId="24D60360" w14:textId="77777777" w:rsidR="00245300" w:rsidRPr="00EC20A0" w:rsidRDefault="00F17249">
      <w:pPr>
        <w:pStyle w:val="BodyText"/>
        <w:spacing w:before="240"/>
        <w:ind w:left="1859" w:right="527"/>
      </w:pPr>
      <w:r w:rsidRPr="00EC20A0">
        <w:t>In both tables, procedures to be performed and documents to be retained at the low or moderate levels of review are as indicated. For the moderate level, all procedures</w:t>
      </w:r>
      <w:r w:rsidRPr="00EC20A0">
        <w:rPr>
          <w:spacing w:val="-4"/>
        </w:rPr>
        <w:t xml:space="preserve"> </w:t>
      </w:r>
      <w:r w:rsidRPr="00EC20A0">
        <w:t>and</w:t>
      </w:r>
      <w:r w:rsidRPr="00EC20A0">
        <w:rPr>
          <w:spacing w:val="-3"/>
        </w:rPr>
        <w:t xml:space="preserve"> </w:t>
      </w:r>
      <w:r w:rsidRPr="00EC20A0">
        <w:t>documents</w:t>
      </w:r>
      <w:r w:rsidRPr="00EC20A0">
        <w:rPr>
          <w:spacing w:val="-3"/>
        </w:rPr>
        <w:t xml:space="preserve"> </w:t>
      </w:r>
      <w:r w:rsidRPr="00EC20A0">
        <w:t>at</w:t>
      </w:r>
      <w:r w:rsidRPr="00EC20A0">
        <w:rPr>
          <w:spacing w:val="-3"/>
        </w:rPr>
        <w:t xml:space="preserve"> </w:t>
      </w:r>
      <w:r w:rsidRPr="00EC20A0">
        <w:t>the</w:t>
      </w:r>
      <w:r w:rsidRPr="00EC20A0">
        <w:rPr>
          <w:spacing w:val="-3"/>
        </w:rPr>
        <w:t xml:space="preserve"> </w:t>
      </w:r>
      <w:r w:rsidRPr="00EC20A0">
        <w:t>lower</w:t>
      </w:r>
      <w:r w:rsidRPr="00EC20A0">
        <w:rPr>
          <w:spacing w:val="-3"/>
        </w:rPr>
        <w:t xml:space="preserve"> </w:t>
      </w:r>
      <w:r w:rsidRPr="00EC20A0">
        <w:t>level</w:t>
      </w:r>
      <w:r w:rsidRPr="00EC20A0">
        <w:rPr>
          <w:spacing w:val="-3"/>
        </w:rPr>
        <w:t xml:space="preserve"> </w:t>
      </w:r>
      <w:r w:rsidRPr="00EC20A0">
        <w:t>of</w:t>
      </w:r>
      <w:r w:rsidRPr="00EC20A0">
        <w:rPr>
          <w:spacing w:val="-4"/>
        </w:rPr>
        <w:t xml:space="preserve"> </w:t>
      </w:r>
      <w:r w:rsidRPr="00EC20A0">
        <w:t>review</w:t>
      </w:r>
      <w:r w:rsidRPr="00EC20A0">
        <w:rPr>
          <w:spacing w:val="-4"/>
        </w:rPr>
        <w:t xml:space="preserve"> </w:t>
      </w:r>
      <w:r w:rsidRPr="00EC20A0">
        <w:t>should</w:t>
      </w:r>
      <w:r w:rsidRPr="00EC20A0">
        <w:rPr>
          <w:spacing w:val="-3"/>
        </w:rPr>
        <w:t xml:space="preserve"> </w:t>
      </w:r>
      <w:r w:rsidRPr="00EC20A0">
        <w:t>also</w:t>
      </w:r>
      <w:r w:rsidRPr="00EC20A0">
        <w:rPr>
          <w:spacing w:val="-3"/>
        </w:rPr>
        <w:t xml:space="preserve"> </w:t>
      </w:r>
      <w:r w:rsidRPr="00EC20A0">
        <w:t>be</w:t>
      </w:r>
      <w:r w:rsidRPr="00EC20A0">
        <w:rPr>
          <w:spacing w:val="-3"/>
        </w:rPr>
        <w:t xml:space="preserve"> </w:t>
      </w:r>
      <w:r w:rsidRPr="00EC20A0">
        <w:t>performed and retained.</w:t>
      </w:r>
    </w:p>
    <w:p w14:paraId="24D60361" w14:textId="77777777" w:rsidR="00245300" w:rsidRPr="00EC20A0" w:rsidRDefault="00245300">
      <w:pPr>
        <w:sectPr w:rsidR="00245300" w:rsidRPr="00EC20A0">
          <w:headerReference w:type="default" r:id="rId47"/>
          <w:footerReference w:type="default" r:id="rId48"/>
          <w:pgSz w:w="12240" w:h="15840"/>
          <w:pgMar w:top="1600" w:right="940" w:bottom="940" w:left="1020" w:header="721" w:footer="757" w:gutter="0"/>
          <w:pgNumType w:start="1"/>
          <w:cols w:space="720"/>
        </w:sectPr>
      </w:pPr>
    </w:p>
    <w:p w14:paraId="24D60362" w14:textId="77777777" w:rsidR="00245300" w:rsidRPr="00EC20A0" w:rsidRDefault="00F17249">
      <w:pPr>
        <w:spacing w:before="241"/>
        <w:ind w:left="420" w:right="562"/>
        <w:rPr>
          <w:b/>
        </w:rPr>
      </w:pPr>
      <w:r w:rsidRPr="00EC20A0">
        <w:rPr>
          <w:b/>
          <w:u w:val="single"/>
        </w:rPr>
        <w:t>Table</w:t>
      </w:r>
      <w:r w:rsidRPr="00EC20A0">
        <w:rPr>
          <w:b/>
          <w:spacing w:val="-4"/>
          <w:u w:val="single"/>
        </w:rPr>
        <w:t xml:space="preserve"> </w:t>
      </w:r>
      <w:r w:rsidRPr="00EC20A0">
        <w:rPr>
          <w:b/>
          <w:u w:val="single"/>
        </w:rPr>
        <w:t>1:</w:t>
      </w:r>
      <w:r w:rsidRPr="00EC20A0">
        <w:rPr>
          <w:b/>
          <w:spacing w:val="-4"/>
          <w:u w:val="single"/>
        </w:rPr>
        <w:t xml:space="preserve"> </w:t>
      </w:r>
      <w:r w:rsidRPr="00EC20A0">
        <w:rPr>
          <w:b/>
          <w:u w:val="single"/>
        </w:rPr>
        <w:t>Summary</w:t>
      </w:r>
      <w:r w:rsidRPr="00EC20A0">
        <w:rPr>
          <w:b/>
          <w:spacing w:val="-4"/>
          <w:u w:val="single"/>
        </w:rPr>
        <w:t xml:space="preserve"> </w:t>
      </w:r>
      <w:r w:rsidRPr="00EC20A0">
        <w:rPr>
          <w:b/>
          <w:u w:val="single"/>
        </w:rPr>
        <w:t>of</w:t>
      </w:r>
      <w:r w:rsidRPr="00EC20A0">
        <w:rPr>
          <w:b/>
          <w:spacing w:val="-4"/>
          <w:u w:val="single"/>
        </w:rPr>
        <w:t xml:space="preserve"> </w:t>
      </w:r>
      <w:r w:rsidRPr="00EC20A0">
        <w:rPr>
          <w:b/>
          <w:u w:val="single"/>
        </w:rPr>
        <w:t>Procedures</w:t>
      </w:r>
      <w:r w:rsidRPr="00EC20A0">
        <w:rPr>
          <w:b/>
          <w:spacing w:val="-4"/>
          <w:u w:val="single"/>
        </w:rPr>
        <w:t xml:space="preserve"> </w:t>
      </w:r>
      <w:r w:rsidRPr="00EC20A0">
        <w:rPr>
          <w:b/>
          <w:u w:val="single"/>
        </w:rPr>
        <w:t>for</w:t>
      </w:r>
      <w:r w:rsidRPr="00EC20A0">
        <w:rPr>
          <w:b/>
          <w:spacing w:val="-5"/>
          <w:u w:val="single"/>
        </w:rPr>
        <w:t xml:space="preserve"> </w:t>
      </w:r>
      <w:r w:rsidRPr="00EC20A0">
        <w:rPr>
          <w:b/>
          <w:u w:val="single"/>
        </w:rPr>
        <w:t>Providing</w:t>
      </w:r>
      <w:r w:rsidRPr="00EC20A0">
        <w:rPr>
          <w:b/>
          <w:spacing w:val="-4"/>
          <w:u w:val="single"/>
        </w:rPr>
        <w:t xml:space="preserve"> </w:t>
      </w:r>
      <w:r w:rsidRPr="00EC20A0">
        <w:rPr>
          <w:b/>
          <w:u w:val="single"/>
        </w:rPr>
        <w:t>Oversight</w:t>
      </w:r>
      <w:r w:rsidRPr="00EC20A0">
        <w:rPr>
          <w:b/>
          <w:spacing w:val="-3"/>
          <w:u w:val="single"/>
        </w:rPr>
        <w:t xml:space="preserve"> </w:t>
      </w:r>
      <w:r w:rsidRPr="00EC20A0">
        <w:rPr>
          <w:b/>
          <w:u w:val="single"/>
        </w:rPr>
        <w:t>of</w:t>
      </w:r>
      <w:r w:rsidRPr="00EC20A0">
        <w:rPr>
          <w:b/>
          <w:spacing w:val="-4"/>
          <w:u w:val="single"/>
        </w:rPr>
        <w:t xml:space="preserve"> </w:t>
      </w:r>
      <w:r w:rsidRPr="00EC20A0">
        <w:rPr>
          <w:b/>
          <w:u w:val="single"/>
        </w:rPr>
        <w:t>Audits</w:t>
      </w:r>
      <w:r w:rsidRPr="00EC20A0">
        <w:rPr>
          <w:b/>
          <w:spacing w:val="-4"/>
          <w:u w:val="single"/>
        </w:rPr>
        <w:t xml:space="preserve"> </w:t>
      </w:r>
      <w:r w:rsidRPr="00EC20A0">
        <w:rPr>
          <w:b/>
          <w:u w:val="single"/>
        </w:rPr>
        <w:t>Performed</w:t>
      </w:r>
      <w:r w:rsidRPr="00EC20A0">
        <w:rPr>
          <w:b/>
          <w:spacing w:val="-4"/>
          <w:u w:val="single"/>
        </w:rPr>
        <w:t xml:space="preserve"> </w:t>
      </w:r>
      <w:r w:rsidRPr="00EC20A0">
        <w:rPr>
          <w:b/>
          <w:u w:val="single"/>
        </w:rPr>
        <w:t>by</w:t>
      </w:r>
      <w:r w:rsidRPr="00EC20A0">
        <w:rPr>
          <w:b/>
        </w:rPr>
        <w:t xml:space="preserve"> </w:t>
      </w:r>
      <w:r w:rsidRPr="00EC20A0">
        <w:rPr>
          <w:b/>
          <w:u w:val="single"/>
        </w:rPr>
        <w:t>Contracted IPA Firms</w:t>
      </w:r>
    </w:p>
    <w:p w14:paraId="24D60363" w14:textId="77777777" w:rsidR="00245300" w:rsidRPr="00EC20A0" w:rsidRDefault="00245300">
      <w:pPr>
        <w:pStyle w:val="BodyText"/>
        <w:spacing w:before="2"/>
        <w:rPr>
          <w:b/>
          <w:sz w:val="11"/>
        </w:rPr>
      </w:pPr>
    </w:p>
    <w:tbl>
      <w:tblPr>
        <w:tblW w:w="0" w:type="auto"/>
        <w:tblInd w:w="50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822"/>
        <w:gridCol w:w="4395"/>
      </w:tblGrid>
      <w:tr w:rsidR="00245300" w:rsidRPr="00EC20A0" w14:paraId="24D60365" w14:textId="77777777">
        <w:trPr>
          <w:trHeight w:val="493"/>
        </w:trPr>
        <w:tc>
          <w:tcPr>
            <w:tcW w:w="9217" w:type="dxa"/>
            <w:gridSpan w:val="2"/>
            <w:tcBorders>
              <w:bottom w:val="single" w:sz="6" w:space="0" w:color="000000"/>
            </w:tcBorders>
          </w:tcPr>
          <w:p w14:paraId="24D60364" w14:textId="77777777" w:rsidR="00245300" w:rsidRPr="00EC20A0" w:rsidRDefault="00F17249">
            <w:pPr>
              <w:pStyle w:val="TableParagraph"/>
              <w:spacing w:before="120"/>
              <w:ind w:left="7"/>
              <w:jc w:val="center"/>
              <w:rPr>
                <w:b/>
              </w:rPr>
            </w:pPr>
            <w:r w:rsidRPr="00EC20A0">
              <w:rPr>
                <w:b/>
                <w:spacing w:val="-2"/>
              </w:rPr>
              <w:t>PROCEDURES</w:t>
            </w:r>
          </w:p>
        </w:tc>
      </w:tr>
      <w:tr w:rsidR="00245300" w:rsidRPr="00EC20A0" w14:paraId="24D6036A" w14:textId="77777777">
        <w:trPr>
          <w:trHeight w:val="998"/>
        </w:trPr>
        <w:tc>
          <w:tcPr>
            <w:tcW w:w="4822" w:type="dxa"/>
            <w:tcBorders>
              <w:top w:val="single" w:sz="6" w:space="0" w:color="000000"/>
              <w:right w:val="single" w:sz="6" w:space="0" w:color="000000"/>
            </w:tcBorders>
          </w:tcPr>
          <w:p w14:paraId="24D60366" w14:textId="77777777" w:rsidR="00245300" w:rsidRPr="00EC20A0" w:rsidRDefault="00245300">
            <w:pPr>
              <w:pStyle w:val="TableParagraph"/>
              <w:rPr>
                <w:b/>
              </w:rPr>
            </w:pPr>
          </w:p>
          <w:p w14:paraId="24D60367" w14:textId="77777777" w:rsidR="00245300" w:rsidRPr="00EC20A0" w:rsidRDefault="00245300">
            <w:pPr>
              <w:pStyle w:val="TableParagraph"/>
              <w:spacing w:before="120"/>
              <w:rPr>
                <w:b/>
              </w:rPr>
            </w:pPr>
          </w:p>
          <w:p w14:paraId="24D60368" w14:textId="77777777" w:rsidR="00245300" w:rsidRPr="00EC20A0" w:rsidRDefault="00F17249">
            <w:pPr>
              <w:pStyle w:val="TableParagraph"/>
              <w:ind w:left="97"/>
              <w:rPr>
                <w:b/>
              </w:rPr>
            </w:pPr>
            <w:r w:rsidRPr="00EC20A0">
              <w:rPr>
                <w:b/>
              </w:rPr>
              <w:t>At</w:t>
            </w:r>
            <w:r w:rsidRPr="00EC20A0">
              <w:rPr>
                <w:b/>
                <w:spacing w:val="-6"/>
              </w:rPr>
              <w:t xml:space="preserve"> </w:t>
            </w:r>
            <w:r w:rsidRPr="00EC20A0">
              <w:rPr>
                <w:b/>
              </w:rPr>
              <w:t>entity</w:t>
            </w:r>
            <w:r w:rsidRPr="00EC20A0">
              <w:rPr>
                <w:b/>
                <w:spacing w:val="-5"/>
              </w:rPr>
              <w:t xml:space="preserve"> </w:t>
            </w:r>
            <w:r w:rsidRPr="00EC20A0">
              <w:rPr>
                <w:b/>
                <w:spacing w:val="-2"/>
              </w:rPr>
              <w:t>level</w:t>
            </w:r>
          </w:p>
        </w:tc>
        <w:tc>
          <w:tcPr>
            <w:tcW w:w="4395" w:type="dxa"/>
            <w:tcBorders>
              <w:top w:val="single" w:sz="6" w:space="0" w:color="000000"/>
              <w:left w:val="single" w:sz="6" w:space="0" w:color="000000"/>
            </w:tcBorders>
          </w:tcPr>
          <w:p w14:paraId="24D60369" w14:textId="77777777" w:rsidR="00245300" w:rsidRPr="00EC20A0" w:rsidRDefault="00F17249">
            <w:pPr>
              <w:pStyle w:val="TableParagraph"/>
              <w:spacing w:before="121"/>
              <w:ind w:left="104" w:right="143"/>
              <w:rPr>
                <w:b/>
              </w:rPr>
            </w:pPr>
            <w:r w:rsidRPr="00EC20A0">
              <w:rPr>
                <w:b/>
              </w:rPr>
              <w:t>For</w:t>
            </w:r>
            <w:r w:rsidRPr="00EC20A0">
              <w:rPr>
                <w:b/>
                <w:spacing w:val="-8"/>
              </w:rPr>
              <w:t xml:space="preserve"> </w:t>
            </w:r>
            <w:r w:rsidRPr="00EC20A0">
              <w:rPr>
                <w:b/>
              </w:rPr>
              <w:t>material</w:t>
            </w:r>
            <w:r w:rsidRPr="00EC20A0">
              <w:rPr>
                <w:b/>
                <w:spacing w:val="-8"/>
              </w:rPr>
              <w:t xml:space="preserve"> </w:t>
            </w:r>
            <w:r w:rsidRPr="00EC20A0">
              <w:rPr>
                <w:b/>
              </w:rPr>
              <w:t>line</w:t>
            </w:r>
            <w:r w:rsidRPr="00EC20A0">
              <w:rPr>
                <w:b/>
                <w:spacing w:val="-8"/>
              </w:rPr>
              <w:t xml:space="preserve"> </w:t>
            </w:r>
            <w:r w:rsidRPr="00EC20A0">
              <w:rPr>
                <w:b/>
              </w:rPr>
              <w:t>items,</w:t>
            </w:r>
            <w:r w:rsidRPr="00EC20A0">
              <w:rPr>
                <w:b/>
                <w:spacing w:val="-9"/>
              </w:rPr>
              <w:t xml:space="preserve"> </w:t>
            </w:r>
            <w:r w:rsidRPr="00EC20A0">
              <w:rPr>
                <w:b/>
              </w:rPr>
              <w:t>accounts,</w:t>
            </w:r>
            <w:r w:rsidRPr="00EC20A0">
              <w:rPr>
                <w:b/>
                <w:spacing w:val="-8"/>
              </w:rPr>
              <w:t xml:space="preserve"> </w:t>
            </w:r>
            <w:r w:rsidRPr="00EC20A0">
              <w:rPr>
                <w:b/>
              </w:rPr>
              <w:t xml:space="preserve">note disclosures, and classes of </w:t>
            </w:r>
            <w:r w:rsidRPr="00EC20A0">
              <w:rPr>
                <w:b/>
                <w:spacing w:val="-2"/>
              </w:rPr>
              <w:t>transactions</w:t>
            </w:r>
          </w:p>
        </w:tc>
      </w:tr>
      <w:tr w:rsidR="00245300" w:rsidRPr="00EC20A0" w14:paraId="24D60392" w14:textId="77777777">
        <w:trPr>
          <w:trHeight w:val="8818"/>
        </w:trPr>
        <w:tc>
          <w:tcPr>
            <w:tcW w:w="4822" w:type="dxa"/>
            <w:tcBorders>
              <w:right w:val="single" w:sz="6" w:space="0" w:color="000000"/>
            </w:tcBorders>
          </w:tcPr>
          <w:p w14:paraId="24D6036B" w14:textId="77777777" w:rsidR="00245300" w:rsidRPr="00EC20A0" w:rsidRDefault="00F17249">
            <w:pPr>
              <w:pStyle w:val="TableParagraph"/>
              <w:numPr>
                <w:ilvl w:val="0"/>
                <w:numId w:val="185"/>
              </w:numPr>
              <w:tabs>
                <w:tab w:val="left" w:pos="457"/>
              </w:tabs>
              <w:spacing w:before="120"/>
              <w:ind w:right="255"/>
            </w:pPr>
            <w:r w:rsidRPr="00EC20A0">
              <w:t>Communicate</w:t>
            </w:r>
            <w:r w:rsidRPr="00EC20A0">
              <w:rPr>
                <w:spacing w:val="-10"/>
              </w:rPr>
              <w:t xml:space="preserve"> </w:t>
            </w:r>
            <w:r w:rsidRPr="00EC20A0">
              <w:t>with</w:t>
            </w:r>
            <w:r w:rsidRPr="00EC20A0">
              <w:rPr>
                <w:spacing w:val="-10"/>
              </w:rPr>
              <w:t xml:space="preserve"> </w:t>
            </w:r>
            <w:r w:rsidRPr="00EC20A0">
              <w:t>the</w:t>
            </w:r>
            <w:r w:rsidRPr="00EC20A0">
              <w:rPr>
                <w:spacing w:val="-10"/>
              </w:rPr>
              <w:t xml:space="preserve"> </w:t>
            </w:r>
            <w:r w:rsidRPr="00EC20A0">
              <w:t>independent</w:t>
            </w:r>
            <w:r w:rsidRPr="00EC20A0">
              <w:rPr>
                <w:spacing w:val="-10"/>
              </w:rPr>
              <w:t xml:space="preserve"> </w:t>
            </w:r>
            <w:r w:rsidRPr="00EC20A0">
              <w:t>public accounting (IPA) firm</w:t>
            </w:r>
          </w:p>
          <w:p w14:paraId="24D6036C" w14:textId="77777777" w:rsidR="00245300" w:rsidRPr="00EC20A0" w:rsidRDefault="00F17249">
            <w:pPr>
              <w:pStyle w:val="TableParagraph"/>
              <w:numPr>
                <w:ilvl w:val="1"/>
                <w:numId w:val="185"/>
              </w:numPr>
              <w:tabs>
                <w:tab w:val="left" w:pos="817"/>
              </w:tabs>
              <w:spacing w:before="120" w:line="269" w:lineRule="exact"/>
              <w:ind w:left="817"/>
              <w:rPr>
                <w:i/>
              </w:rPr>
            </w:pPr>
            <w:r w:rsidRPr="00EC20A0">
              <w:t>as</w:t>
            </w:r>
            <w:r w:rsidRPr="00EC20A0">
              <w:rPr>
                <w:spacing w:val="-5"/>
              </w:rPr>
              <w:t xml:space="preserve"> </w:t>
            </w:r>
            <w:r w:rsidRPr="00EC20A0">
              <w:t>to</w:t>
            </w:r>
            <w:r w:rsidRPr="00EC20A0">
              <w:rPr>
                <w:spacing w:val="-4"/>
              </w:rPr>
              <w:t xml:space="preserve"> </w:t>
            </w:r>
            <w:r w:rsidRPr="00EC20A0">
              <w:t>the</w:t>
            </w:r>
            <w:r w:rsidRPr="00EC20A0">
              <w:rPr>
                <w:spacing w:val="-4"/>
              </w:rPr>
              <w:t xml:space="preserve"> </w:t>
            </w:r>
            <w:r w:rsidRPr="00EC20A0">
              <w:t>objectives</w:t>
            </w:r>
            <w:r w:rsidRPr="00EC20A0">
              <w:rPr>
                <w:spacing w:val="-5"/>
              </w:rPr>
              <w:t xml:space="preserve"> </w:t>
            </w:r>
            <w:r w:rsidRPr="00EC20A0">
              <w:t>of</w:t>
            </w:r>
            <w:r w:rsidRPr="00EC20A0">
              <w:rPr>
                <w:spacing w:val="-5"/>
              </w:rPr>
              <w:t xml:space="preserve"> </w:t>
            </w:r>
            <w:r w:rsidRPr="00EC20A0">
              <w:t>the</w:t>
            </w:r>
            <w:r w:rsidRPr="00EC20A0">
              <w:rPr>
                <w:spacing w:val="-4"/>
              </w:rPr>
              <w:t xml:space="preserve"> </w:t>
            </w:r>
            <w:r w:rsidRPr="00EC20A0">
              <w:t>work</w:t>
            </w:r>
            <w:r w:rsidRPr="00EC20A0">
              <w:rPr>
                <w:spacing w:val="-4"/>
              </w:rPr>
              <w:t xml:space="preserve"> </w:t>
            </w:r>
            <w:r w:rsidRPr="00EC20A0">
              <w:rPr>
                <w:i/>
                <w:spacing w:val="-2"/>
              </w:rPr>
              <w:t>(low)</w:t>
            </w:r>
          </w:p>
          <w:p w14:paraId="24D6036D" w14:textId="77777777" w:rsidR="00245300" w:rsidRPr="00EC20A0" w:rsidRDefault="00F17249">
            <w:pPr>
              <w:pStyle w:val="TableParagraph"/>
              <w:numPr>
                <w:ilvl w:val="1"/>
                <w:numId w:val="185"/>
              </w:numPr>
              <w:tabs>
                <w:tab w:val="left" w:pos="816"/>
              </w:tabs>
              <w:ind w:right="141"/>
              <w:rPr>
                <w:i/>
              </w:rPr>
            </w:pPr>
            <w:r w:rsidRPr="00EC20A0">
              <w:t>through</w:t>
            </w:r>
            <w:r w:rsidRPr="00EC20A0">
              <w:rPr>
                <w:spacing w:val="-10"/>
              </w:rPr>
              <w:t xml:space="preserve"> </w:t>
            </w:r>
            <w:r w:rsidRPr="00EC20A0">
              <w:t>discussions</w:t>
            </w:r>
            <w:r w:rsidRPr="00EC20A0">
              <w:rPr>
                <w:spacing w:val="-11"/>
              </w:rPr>
              <w:t xml:space="preserve"> </w:t>
            </w:r>
            <w:r w:rsidRPr="00EC20A0">
              <w:t>of</w:t>
            </w:r>
            <w:r w:rsidRPr="00EC20A0">
              <w:rPr>
                <w:spacing w:val="-10"/>
              </w:rPr>
              <w:t xml:space="preserve"> </w:t>
            </w:r>
            <w:r w:rsidRPr="00EC20A0">
              <w:t>their</w:t>
            </w:r>
            <w:r w:rsidRPr="00EC20A0">
              <w:rPr>
                <w:spacing w:val="-10"/>
              </w:rPr>
              <w:t xml:space="preserve"> </w:t>
            </w:r>
            <w:r w:rsidRPr="00EC20A0">
              <w:t xml:space="preserve">procedures and results </w:t>
            </w:r>
            <w:r w:rsidRPr="00EC20A0">
              <w:rPr>
                <w:i/>
              </w:rPr>
              <w:t>(low)</w:t>
            </w:r>
          </w:p>
          <w:p w14:paraId="24D6036E" w14:textId="77777777" w:rsidR="00245300" w:rsidRPr="00EC20A0" w:rsidRDefault="00F17249">
            <w:pPr>
              <w:pStyle w:val="TableParagraph"/>
              <w:numPr>
                <w:ilvl w:val="1"/>
                <w:numId w:val="185"/>
              </w:numPr>
              <w:tabs>
                <w:tab w:val="left" w:pos="816"/>
              </w:tabs>
              <w:ind w:right="628" w:hanging="361"/>
              <w:rPr>
                <w:i/>
              </w:rPr>
            </w:pPr>
            <w:r w:rsidRPr="00EC20A0">
              <w:t>by</w:t>
            </w:r>
            <w:r w:rsidRPr="00EC20A0">
              <w:rPr>
                <w:spacing w:val="-7"/>
              </w:rPr>
              <w:t xml:space="preserve"> </w:t>
            </w:r>
            <w:r w:rsidRPr="00EC20A0">
              <w:t>attending</w:t>
            </w:r>
            <w:r w:rsidRPr="00EC20A0">
              <w:rPr>
                <w:spacing w:val="-8"/>
              </w:rPr>
              <w:t xml:space="preserve"> </w:t>
            </w:r>
            <w:r w:rsidRPr="00EC20A0">
              <w:t>key</w:t>
            </w:r>
            <w:r w:rsidRPr="00EC20A0">
              <w:rPr>
                <w:spacing w:val="-7"/>
              </w:rPr>
              <w:t xml:space="preserve"> </w:t>
            </w:r>
            <w:r w:rsidRPr="00EC20A0">
              <w:t>entrance</w:t>
            </w:r>
            <w:r w:rsidRPr="00EC20A0">
              <w:rPr>
                <w:spacing w:val="-7"/>
              </w:rPr>
              <w:t xml:space="preserve"> </w:t>
            </w:r>
            <w:r w:rsidRPr="00EC20A0">
              <w:t>and</w:t>
            </w:r>
            <w:r w:rsidRPr="00EC20A0">
              <w:rPr>
                <w:spacing w:val="-7"/>
              </w:rPr>
              <w:t xml:space="preserve"> </w:t>
            </w:r>
            <w:r w:rsidRPr="00EC20A0">
              <w:t xml:space="preserve">exit meetings </w:t>
            </w:r>
            <w:r w:rsidRPr="00EC20A0">
              <w:rPr>
                <w:i/>
              </w:rPr>
              <w:t>(moderate)</w:t>
            </w:r>
          </w:p>
          <w:p w14:paraId="24D6036F" w14:textId="77777777" w:rsidR="00245300" w:rsidRPr="00EC20A0" w:rsidRDefault="00F17249">
            <w:pPr>
              <w:pStyle w:val="TableParagraph"/>
              <w:numPr>
                <w:ilvl w:val="0"/>
                <w:numId w:val="185"/>
              </w:numPr>
              <w:tabs>
                <w:tab w:val="left" w:pos="455"/>
              </w:tabs>
              <w:spacing w:before="116"/>
              <w:ind w:left="455" w:hanging="359"/>
            </w:pPr>
            <w:r w:rsidRPr="00EC20A0">
              <w:t>Review</w:t>
            </w:r>
            <w:r w:rsidRPr="00EC20A0">
              <w:rPr>
                <w:spacing w:val="-6"/>
              </w:rPr>
              <w:t xml:space="preserve"> </w:t>
            </w:r>
            <w:r w:rsidRPr="00EC20A0">
              <w:t>the</w:t>
            </w:r>
            <w:r w:rsidRPr="00EC20A0">
              <w:rPr>
                <w:spacing w:val="-6"/>
              </w:rPr>
              <w:t xml:space="preserve"> </w:t>
            </w:r>
            <w:r w:rsidRPr="00EC20A0">
              <w:rPr>
                <w:spacing w:val="-2"/>
              </w:rPr>
              <w:t>following:</w:t>
            </w:r>
          </w:p>
          <w:p w14:paraId="24D60370" w14:textId="77777777" w:rsidR="00245300" w:rsidRPr="00EC20A0" w:rsidRDefault="00F17249">
            <w:pPr>
              <w:pStyle w:val="TableParagraph"/>
              <w:numPr>
                <w:ilvl w:val="1"/>
                <w:numId w:val="185"/>
              </w:numPr>
              <w:tabs>
                <w:tab w:val="left" w:pos="816"/>
              </w:tabs>
              <w:spacing w:before="120" w:line="269" w:lineRule="exact"/>
              <w:rPr>
                <w:i/>
              </w:rPr>
            </w:pPr>
            <w:r w:rsidRPr="00EC20A0">
              <w:t>audit</w:t>
            </w:r>
            <w:r w:rsidRPr="00EC20A0">
              <w:rPr>
                <w:spacing w:val="-8"/>
              </w:rPr>
              <w:t xml:space="preserve"> </w:t>
            </w:r>
            <w:r w:rsidRPr="00EC20A0">
              <w:t>strategy</w:t>
            </w:r>
            <w:r w:rsidRPr="00EC20A0">
              <w:rPr>
                <w:spacing w:val="-7"/>
              </w:rPr>
              <w:t xml:space="preserve"> </w:t>
            </w:r>
            <w:r w:rsidRPr="00EC20A0">
              <w:rPr>
                <w:i/>
                <w:spacing w:val="-4"/>
              </w:rPr>
              <w:t>(low)</w:t>
            </w:r>
          </w:p>
          <w:p w14:paraId="24D60371" w14:textId="77777777" w:rsidR="00245300" w:rsidRPr="00EC20A0" w:rsidRDefault="00F17249">
            <w:pPr>
              <w:pStyle w:val="TableParagraph"/>
              <w:numPr>
                <w:ilvl w:val="1"/>
                <w:numId w:val="185"/>
              </w:numPr>
              <w:tabs>
                <w:tab w:val="left" w:pos="816"/>
              </w:tabs>
              <w:spacing w:line="268" w:lineRule="exact"/>
              <w:rPr>
                <w:i/>
              </w:rPr>
            </w:pPr>
            <w:r w:rsidRPr="00EC20A0">
              <w:t>scope</w:t>
            </w:r>
            <w:r w:rsidRPr="00EC20A0">
              <w:rPr>
                <w:spacing w:val="-5"/>
              </w:rPr>
              <w:t xml:space="preserve"> </w:t>
            </w:r>
            <w:r w:rsidRPr="00EC20A0">
              <w:t>of</w:t>
            </w:r>
            <w:r w:rsidRPr="00EC20A0">
              <w:rPr>
                <w:spacing w:val="-5"/>
              </w:rPr>
              <w:t xml:space="preserve"> </w:t>
            </w:r>
            <w:r w:rsidRPr="00EC20A0">
              <w:t>work</w:t>
            </w:r>
            <w:r w:rsidRPr="00EC20A0">
              <w:rPr>
                <w:spacing w:val="-5"/>
              </w:rPr>
              <w:t xml:space="preserve"> </w:t>
            </w:r>
            <w:r w:rsidRPr="00EC20A0">
              <w:rPr>
                <w:i/>
                <w:spacing w:val="-2"/>
              </w:rPr>
              <w:t>(low)</w:t>
            </w:r>
          </w:p>
          <w:p w14:paraId="24D60372" w14:textId="77777777" w:rsidR="00245300" w:rsidRPr="00EC20A0" w:rsidRDefault="00F17249">
            <w:pPr>
              <w:pStyle w:val="TableParagraph"/>
              <w:numPr>
                <w:ilvl w:val="1"/>
                <w:numId w:val="185"/>
              </w:numPr>
              <w:tabs>
                <w:tab w:val="left" w:pos="816"/>
              </w:tabs>
              <w:spacing w:line="268" w:lineRule="exact"/>
              <w:rPr>
                <w:i/>
              </w:rPr>
            </w:pPr>
            <w:r w:rsidRPr="00EC20A0">
              <w:t>audit</w:t>
            </w:r>
            <w:r w:rsidRPr="00EC20A0">
              <w:rPr>
                <w:spacing w:val="-10"/>
              </w:rPr>
              <w:t xml:space="preserve"> </w:t>
            </w:r>
            <w:r w:rsidRPr="00EC20A0">
              <w:t>summary</w:t>
            </w:r>
            <w:r w:rsidRPr="00EC20A0">
              <w:rPr>
                <w:spacing w:val="-10"/>
              </w:rPr>
              <w:t xml:space="preserve"> </w:t>
            </w:r>
            <w:r w:rsidRPr="00EC20A0">
              <w:t>memorandum</w:t>
            </w:r>
            <w:r w:rsidRPr="00EC20A0">
              <w:rPr>
                <w:spacing w:val="-11"/>
              </w:rPr>
              <w:t xml:space="preserve"> </w:t>
            </w:r>
            <w:r w:rsidRPr="00EC20A0">
              <w:rPr>
                <w:i/>
                <w:spacing w:val="-2"/>
              </w:rPr>
              <w:t>(low)</w:t>
            </w:r>
          </w:p>
          <w:p w14:paraId="24D60373" w14:textId="77777777" w:rsidR="00245300" w:rsidRPr="00EC20A0" w:rsidRDefault="00F17249">
            <w:pPr>
              <w:pStyle w:val="TableParagraph"/>
              <w:numPr>
                <w:ilvl w:val="1"/>
                <w:numId w:val="185"/>
              </w:numPr>
              <w:tabs>
                <w:tab w:val="left" w:pos="816"/>
              </w:tabs>
              <w:spacing w:line="268" w:lineRule="exact"/>
              <w:ind w:hanging="359"/>
            </w:pPr>
            <w:r w:rsidRPr="00EC20A0">
              <w:t>summary</w:t>
            </w:r>
            <w:r w:rsidRPr="00EC20A0">
              <w:rPr>
                <w:spacing w:val="-9"/>
              </w:rPr>
              <w:t xml:space="preserve"> </w:t>
            </w:r>
            <w:r w:rsidRPr="00EC20A0">
              <w:t>of</w:t>
            </w:r>
            <w:r w:rsidRPr="00EC20A0">
              <w:rPr>
                <w:spacing w:val="-9"/>
              </w:rPr>
              <w:t xml:space="preserve"> </w:t>
            </w:r>
            <w:r w:rsidRPr="00EC20A0">
              <w:t>uncorrected</w:t>
            </w:r>
            <w:r w:rsidRPr="00EC20A0">
              <w:rPr>
                <w:spacing w:val="-10"/>
              </w:rPr>
              <w:t xml:space="preserve"> </w:t>
            </w:r>
            <w:r w:rsidRPr="00EC20A0">
              <w:rPr>
                <w:spacing w:val="-2"/>
              </w:rPr>
              <w:t>misstatements</w:t>
            </w:r>
          </w:p>
          <w:p w14:paraId="24D60374" w14:textId="77777777" w:rsidR="00245300" w:rsidRPr="00EC20A0" w:rsidRDefault="00F17249">
            <w:pPr>
              <w:pStyle w:val="TableParagraph"/>
              <w:spacing w:line="252" w:lineRule="exact"/>
              <w:ind w:left="816"/>
              <w:rPr>
                <w:i/>
              </w:rPr>
            </w:pPr>
            <w:r w:rsidRPr="00EC20A0">
              <w:rPr>
                <w:i/>
                <w:spacing w:val="-2"/>
              </w:rPr>
              <w:t>(low)</w:t>
            </w:r>
          </w:p>
          <w:p w14:paraId="24D60375" w14:textId="77777777" w:rsidR="00245300" w:rsidRPr="00EC20A0" w:rsidRDefault="00F17249">
            <w:pPr>
              <w:pStyle w:val="TableParagraph"/>
              <w:numPr>
                <w:ilvl w:val="1"/>
                <w:numId w:val="185"/>
              </w:numPr>
              <w:tabs>
                <w:tab w:val="left" w:pos="816"/>
              </w:tabs>
              <w:spacing w:line="269" w:lineRule="exact"/>
              <w:rPr>
                <w:i/>
              </w:rPr>
            </w:pPr>
            <w:r w:rsidRPr="00EC20A0">
              <w:t>analytical</w:t>
            </w:r>
            <w:r w:rsidRPr="00EC20A0">
              <w:rPr>
                <w:spacing w:val="-13"/>
              </w:rPr>
              <w:t xml:space="preserve"> </w:t>
            </w:r>
            <w:r w:rsidRPr="00EC20A0">
              <w:t>procedures</w:t>
            </w:r>
            <w:r w:rsidRPr="00EC20A0">
              <w:rPr>
                <w:spacing w:val="-12"/>
              </w:rPr>
              <w:t xml:space="preserve"> </w:t>
            </w:r>
            <w:r w:rsidRPr="00EC20A0">
              <w:rPr>
                <w:i/>
                <w:spacing w:val="-2"/>
              </w:rPr>
              <w:t>(low)</w:t>
            </w:r>
          </w:p>
          <w:p w14:paraId="24D60376" w14:textId="77777777" w:rsidR="00245300" w:rsidRPr="00EC20A0" w:rsidRDefault="00F17249">
            <w:pPr>
              <w:pStyle w:val="TableParagraph"/>
              <w:numPr>
                <w:ilvl w:val="1"/>
                <w:numId w:val="185"/>
              </w:numPr>
              <w:tabs>
                <w:tab w:val="left" w:pos="816"/>
              </w:tabs>
              <w:spacing w:line="268" w:lineRule="exact"/>
              <w:rPr>
                <w:i/>
              </w:rPr>
            </w:pPr>
            <w:r w:rsidRPr="00EC20A0">
              <w:t>completion</w:t>
            </w:r>
            <w:r w:rsidRPr="00EC20A0">
              <w:rPr>
                <w:spacing w:val="-12"/>
              </w:rPr>
              <w:t xml:space="preserve"> </w:t>
            </w:r>
            <w:r w:rsidRPr="00EC20A0">
              <w:t>checklist</w:t>
            </w:r>
            <w:r w:rsidRPr="00EC20A0">
              <w:rPr>
                <w:spacing w:val="-11"/>
              </w:rPr>
              <w:t xml:space="preserve"> </w:t>
            </w:r>
            <w:r w:rsidRPr="00EC20A0">
              <w:rPr>
                <w:i/>
                <w:spacing w:val="-2"/>
              </w:rPr>
              <w:t>(low)</w:t>
            </w:r>
          </w:p>
          <w:p w14:paraId="24D60377" w14:textId="77777777" w:rsidR="00245300" w:rsidRPr="00EC20A0" w:rsidRDefault="00F17249">
            <w:pPr>
              <w:pStyle w:val="TableParagraph"/>
              <w:numPr>
                <w:ilvl w:val="1"/>
                <w:numId w:val="185"/>
              </w:numPr>
              <w:tabs>
                <w:tab w:val="left" w:pos="816"/>
              </w:tabs>
              <w:ind w:right="910"/>
              <w:rPr>
                <w:i/>
              </w:rPr>
            </w:pPr>
            <w:r w:rsidRPr="00EC20A0">
              <w:t>determination</w:t>
            </w:r>
            <w:r w:rsidRPr="00EC20A0">
              <w:rPr>
                <w:spacing w:val="-13"/>
              </w:rPr>
              <w:t xml:space="preserve"> </w:t>
            </w:r>
            <w:r w:rsidRPr="00EC20A0">
              <w:t>of</w:t>
            </w:r>
            <w:r w:rsidRPr="00EC20A0">
              <w:rPr>
                <w:spacing w:val="-13"/>
              </w:rPr>
              <w:t xml:space="preserve"> </w:t>
            </w:r>
            <w:r w:rsidRPr="00EC20A0">
              <w:t>materiality</w:t>
            </w:r>
            <w:r w:rsidRPr="00EC20A0">
              <w:rPr>
                <w:spacing w:val="-13"/>
              </w:rPr>
              <w:t xml:space="preserve"> </w:t>
            </w:r>
            <w:r w:rsidRPr="00EC20A0">
              <w:t xml:space="preserve">and performance materiality </w:t>
            </w:r>
            <w:r w:rsidRPr="00EC20A0">
              <w:rPr>
                <w:i/>
              </w:rPr>
              <w:t>(low)</w:t>
            </w:r>
          </w:p>
          <w:p w14:paraId="24D60378" w14:textId="77777777" w:rsidR="00245300" w:rsidRPr="00EC20A0" w:rsidRDefault="00F17249">
            <w:pPr>
              <w:pStyle w:val="TableParagraph"/>
              <w:numPr>
                <w:ilvl w:val="1"/>
                <w:numId w:val="185"/>
              </w:numPr>
              <w:tabs>
                <w:tab w:val="left" w:pos="816"/>
              </w:tabs>
              <w:spacing w:line="267" w:lineRule="exact"/>
              <w:rPr>
                <w:i/>
              </w:rPr>
            </w:pPr>
            <w:r w:rsidRPr="00EC20A0">
              <w:t>representation</w:t>
            </w:r>
            <w:r w:rsidRPr="00EC20A0">
              <w:rPr>
                <w:spacing w:val="-11"/>
              </w:rPr>
              <w:t xml:space="preserve"> </w:t>
            </w:r>
            <w:r w:rsidRPr="00EC20A0">
              <w:t>letters</w:t>
            </w:r>
            <w:r w:rsidRPr="00EC20A0">
              <w:rPr>
                <w:spacing w:val="-11"/>
              </w:rPr>
              <w:t xml:space="preserve"> </w:t>
            </w:r>
            <w:r w:rsidRPr="00EC20A0">
              <w:rPr>
                <w:i/>
                <w:spacing w:val="-2"/>
              </w:rPr>
              <w:t>(low)</w:t>
            </w:r>
          </w:p>
          <w:p w14:paraId="24D60379" w14:textId="77777777" w:rsidR="00245300" w:rsidRPr="00EC20A0" w:rsidRDefault="00F17249">
            <w:pPr>
              <w:pStyle w:val="TableParagraph"/>
              <w:numPr>
                <w:ilvl w:val="1"/>
                <w:numId w:val="185"/>
              </w:numPr>
              <w:tabs>
                <w:tab w:val="left" w:pos="816"/>
              </w:tabs>
              <w:spacing w:line="268" w:lineRule="exact"/>
            </w:pPr>
            <w:r w:rsidRPr="00EC20A0">
              <w:t>information</w:t>
            </w:r>
            <w:r w:rsidRPr="00EC20A0">
              <w:rPr>
                <w:spacing w:val="-11"/>
              </w:rPr>
              <w:t xml:space="preserve"> </w:t>
            </w:r>
            <w:r w:rsidRPr="00EC20A0">
              <w:t>systems</w:t>
            </w:r>
            <w:r w:rsidRPr="00EC20A0">
              <w:rPr>
                <w:spacing w:val="-10"/>
              </w:rPr>
              <w:t xml:space="preserve"> </w:t>
            </w:r>
            <w:r w:rsidRPr="00EC20A0">
              <w:rPr>
                <w:spacing w:val="-2"/>
              </w:rPr>
              <w:t>background</w:t>
            </w:r>
          </w:p>
          <w:p w14:paraId="24D6037A" w14:textId="77777777" w:rsidR="00245300" w:rsidRPr="00EC20A0" w:rsidRDefault="00F17249">
            <w:pPr>
              <w:pStyle w:val="TableParagraph"/>
              <w:spacing w:line="252" w:lineRule="exact"/>
              <w:ind w:left="816"/>
              <w:rPr>
                <w:i/>
              </w:rPr>
            </w:pPr>
            <w:r w:rsidRPr="00EC20A0">
              <w:rPr>
                <w:i/>
                <w:spacing w:val="-2"/>
              </w:rPr>
              <w:t>(moderate)</w:t>
            </w:r>
          </w:p>
          <w:p w14:paraId="24D6037B" w14:textId="77777777" w:rsidR="00245300" w:rsidRPr="00EC20A0" w:rsidRDefault="00F17249">
            <w:pPr>
              <w:pStyle w:val="TableParagraph"/>
              <w:numPr>
                <w:ilvl w:val="1"/>
                <w:numId w:val="185"/>
              </w:numPr>
              <w:tabs>
                <w:tab w:val="left" w:pos="816"/>
              </w:tabs>
              <w:ind w:right="875"/>
              <w:rPr>
                <w:i/>
              </w:rPr>
            </w:pPr>
            <w:r w:rsidRPr="00EC20A0">
              <w:t>general</w:t>
            </w:r>
            <w:r w:rsidRPr="00EC20A0">
              <w:rPr>
                <w:spacing w:val="-13"/>
              </w:rPr>
              <w:t xml:space="preserve"> </w:t>
            </w:r>
            <w:r w:rsidRPr="00EC20A0">
              <w:t>and</w:t>
            </w:r>
            <w:r w:rsidRPr="00EC20A0">
              <w:rPr>
                <w:spacing w:val="-14"/>
              </w:rPr>
              <w:t xml:space="preserve"> </w:t>
            </w:r>
            <w:r w:rsidRPr="00EC20A0">
              <w:t>application</w:t>
            </w:r>
            <w:r w:rsidRPr="00EC20A0">
              <w:rPr>
                <w:spacing w:val="-14"/>
              </w:rPr>
              <w:t xml:space="preserve"> </w:t>
            </w:r>
            <w:r w:rsidRPr="00EC20A0">
              <w:t xml:space="preserve">controls documentation </w:t>
            </w:r>
            <w:r w:rsidRPr="00EC20A0">
              <w:rPr>
                <w:i/>
              </w:rPr>
              <w:t>(moderate)</w:t>
            </w:r>
          </w:p>
          <w:p w14:paraId="24D6037C" w14:textId="77777777" w:rsidR="00245300" w:rsidRPr="00EC20A0" w:rsidRDefault="00F17249">
            <w:pPr>
              <w:pStyle w:val="TableParagraph"/>
              <w:numPr>
                <w:ilvl w:val="0"/>
                <w:numId w:val="185"/>
              </w:numPr>
              <w:tabs>
                <w:tab w:val="left" w:pos="454"/>
              </w:tabs>
              <w:spacing w:before="118"/>
              <w:ind w:left="454" w:hanging="359"/>
            </w:pPr>
            <w:r w:rsidRPr="00EC20A0">
              <w:t>Read</w:t>
            </w:r>
            <w:r w:rsidRPr="00EC20A0">
              <w:rPr>
                <w:spacing w:val="-5"/>
              </w:rPr>
              <w:t xml:space="preserve"> </w:t>
            </w:r>
            <w:r w:rsidRPr="00EC20A0">
              <w:t>the</w:t>
            </w:r>
            <w:r w:rsidRPr="00EC20A0">
              <w:rPr>
                <w:spacing w:val="-5"/>
              </w:rPr>
              <w:t xml:space="preserve"> </w:t>
            </w:r>
            <w:r w:rsidRPr="00EC20A0">
              <w:rPr>
                <w:spacing w:val="-2"/>
              </w:rPr>
              <w:t>following:</w:t>
            </w:r>
          </w:p>
          <w:p w14:paraId="24D6037D" w14:textId="77777777" w:rsidR="00245300" w:rsidRPr="00EC20A0" w:rsidRDefault="00F17249">
            <w:pPr>
              <w:pStyle w:val="TableParagraph"/>
              <w:numPr>
                <w:ilvl w:val="1"/>
                <w:numId w:val="185"/>
              </w:numPr>
              <w:tabs>
                <w:tab w:val="left" w:pos="814"/>
              </w:tabs>
              <w:spacing w:before="120" w:line="269" w:lineRule="exact"/>
              <w:ind w:left="814" w:hanging="359"/>
              <w:jc w:val="both"/>
              <w:rPr>
                <w:i/>
              </w:rPr>
            </w:pPr>
            <w:r w:rsidRPr="00EC20A0">
              <w:t>financial</w:t>
            </w:r>
            <w:r w:rsidRPr="00EC20A0">
              <w:rPr>
                <w:spacing w:val="-9"/>
              </w:rPr>
              <w:t xml:space="preserve"> </w:t>
            </w:r>
            <w:r w:rsidRPr="00EC20A0">
              <w:t>statements</w:t>
            </w:r>
            <w:r w:rsidRPr="00EC20A0">
              <w:rPr>
                <w:spacing w:val="-8"/>
              </w:rPr>
              <w:t xml:space="preserve"> </w:t>
            </w:r>
            <w:r w:rsidRPr="00EC20A0">
              <w:t>and</w:t>
            </w:r>
            <w:r w:rsidRPr="00EC20A0">
              <w:rPr>
                <w:spacing w:val="-8"/>
              </w:rPr>
              <w:t xml:space="preserve"> </w:t>
            </w:r>
            <w:r w:rsidRPr="00EC20A0">
              <w:t>notes</w:t>
            </w:r>
            <w:r w:rsidRPr="00EC20A0">
              <w:rPr>
                <w:spacing w:val="-6"/>
              </w:rPr>
              <w:t xml:space="preserve"> </w:t>
            </w:r>
            <w:r w:rsidRPr="00EC20A0">
              <w:rPr>
                <w:i/>
                <w:spacing w:val="-2"/>
              </w:rPr>
              <w:t>(low)</w:t>
            </w:r>
          </w:p>
          <w:p w14:paraId="24D6037E" w14:textId="77777777" w:rsidR="00245300" w:rsidRPr="00EC20A0" w:rsidRDefault="00F17249">
            <w:pPr>
              <w:pStyle w:val="TableParagraph"/>
              <w:numPr>
                <w:ilvl w:val="1"/>
                <w:numId w:val="185"/>
              </w:numPr>
              <w:tabs>
                <w:tab w:val="left" w:pos="814"/>
              </w:tabs>
              <w:ind w:left="814" w:right="460"/>
              <w:jc w:val="both"/>
              <w:rPr>
                <w:i/>
              </w:rPr>
            </w:pPr>
            <w:r w:rsidRPr="00EC20A0">
              <w:t>required</w:t>
            </w:r>
            <w:r w:rsidRPr="00EC20A0">
              <w:rPr>
                <w:spacing w:val="-16"/>
              </w:rPr>
              <w:t xml:space="preserve"> </w:t>
            </w:r>
            <w:r w:rsidRPr="00EC20A0">
              <w:t>supplementary</w:t>
            </w:r>
            <w:r w:rsidRPr="00EC20A0">
              <w:rPr>
                <w:spacing w:val="-15"/>
              </w:rPr>
              <w:t xml:space="preserve"> </w:t>
            </w:r>
            <w:r w:rsidRPr="00EC20A0">
              <w:t xml:space="preserve">information, including management’s discussion and analysis </w:t>
            </w:r>
            <w:r w:rsidRPr="00EC20A0">
              <w:rPr>
                <w:i/>
              </w:rPr>
              <w:t>(low)</w:t>
            </w:r>
          </w:p>
          <w:p w14:paraId="24D6037F" w14:textId="77777777" w:rsidR="00245300" w:rsidRPr="00EC20A0" w:rsidRDefault="00F17249">
            <w:pPr>
              <w:pStyle w:val="TableParagraph"/>
              <w:numPr>
                <w:ilvl w:val="1"/>
                <w:numId w:val="185"/>
              </w:numPr>
              <w:tabs>
                <w:tab w:val="left" w:pos="814"/>
              </w:tabs>
              <w:spacing w:line="267" w:lineRule="exact"/>
              <w:ind w:left="814" w:hanging="359"/>
              <w:rPr>
                <w:i/>
              </w:rPr>
            </w:pPr>
            <w:r w:rsidRPr="00EC20A0">
              <w:t>other</w:t>
            </w:r>
            <w:r w:rsidRPr="00EC20A0">
              <w:rPr>
                <w:spacing w:val="-9"/>
              </w:rPr>
              <w:t xml:space="preserve"> </w:t>
            </w:r>
            <w:r w:rsidRPr="00EC20A0">
              <w:t>information</w:t>
            </w:r>
            <w:r w:rsidRPr="00EC20A0">
              <w:rPr>
                <w:spacing w:val="-8"/>
              </w:rPr>
              <w:t xml:space="preserve"> </w:t>
            </w:r>
            <w:r w:rsidRPr="00EC20A0">
              <w:rPr>
                <w:i/>
                <w:spacing w:val="-4"/>
              </w:rPr>
              <w:t>(low)</w:t>
            </w:r>
          </w:p>
          <w:p w14:paraId="24D60380" w14:textId="77777777" w:rsidR="00245300" w:rsidRPr="00EC20A0" w:rsidRDefault="00F17249">
            <w:pPr>
              <w:pStyle w:val="TableParagraph"/>
              <w:numPr>
                <w:ilvl w:val="1"/>
                <w:numId w:val="185"/>
              </w:numPr>
              <w:tabs>
                <w:tab w:val="left" w:pos="814"/>
              </w:tabs>
              <w:spacing w:line="268" w:lineRule="exact"/>
              <w:ind w:left="814"/>
              <w:rPr>
                <w:i/>
              </w:rPr>
            </w:pPr>
            <w:r w:rsidRPr="00EC20A0">
              <w:t>the</w:t>
            </w:r>
            <w:r w:rsidRPr="00EC20A0">
              <w:rPr>
                <w:spacing w:val="-6"/>
              </w:rPr>
              <w:t xml:space="preserve"> </w:t>
            </w:r>
            <w:r w:rsidRPr="00EC20A0">
              <w:t>IPA</w:t>
            </w:r>
            <w:r w:rsidRPr="00EC20A0">
              <w:rPr>
                <w:spacing w:val="-6"/>
              </w:rPr>
              <w:t xml:space="preserve"> </w:t>
            </w:r>
            <w:r w:rsidRPr="00EC20A0">
              <w:t>firm’s</w:t>
            </w:r>
            <w:r w:rsidRPr="00EC20A0">
              <w:rPr>
                <w:spacing w:val="-6"/>
              </w:rPr>
              <w:t xml:space="preserve"> </w:t>
            </w:r>
            <w:r w:rsidRPr="00EC20A0">
              <w:t>audit</w:t>
            </w:r>
            <w:r w:rsidRPr="00EC20A0">
              <w:rPr>
                <w:spacing w:val="-5"/>
              </w:rPr>
              <w:t xml:space="preserve"> </w:t>
            </w:r>
            <w:r w:rsidRPr="00EC20A0">
              <w:t>reports</w:t>
            </w:r>
            <w:r w:rsidRPr="00EC20A0">
              <w:rPr>
                <w:spacing w:val="-6"/>
              </w:rPr>
              <w:t xml:space="preserve"> </w:t>
            </w:r>
            <w:r w:rsidRPr="00EC20A0">
              <w:rPr>
                <w:i/>
                <w:spacing w:val="-4"/>
              </w:rPr>
              <w:t>(low)</w:t>
            </w:r>
          </w:p>
          <w:p w14:paraId="24D60381" w14:textId="77777777" w:rsidR="00245300" w:rsidRPr="00EC20A0" w:rsidRDefault="00F17249">
            <w:pPr>
              <w:pStyle w:val="TableParagraph"/>
              <w:numPr>
                <w:ilvl w:val="1"/>
                <w:numId w:val="185"/>
              </w:numPr>
              <w:tabs>
                <w:tab w:val="left" w:pos="814"/>
              </w:tabs>
              <w:spacing w:line="269" w:lineRule="exact"/>
              <w:ind w:left="814"/>
              <w:rPr>
                <w:i/>
              </w:rPr>
            </w:pPr>
            <w:r w:rsidRPr="00EC20A0">
              <w:t>management’s</w:t>
            </w:r>
            <w:r w:rsidRPr="00EC20A0">
              <w:rPr>
                <w:spacing w:val="-13"/>
              </w:rPr>
              <w:t xml:space="preserve"> </w:t>
            </w:r>
            <w:r w:rsidRPr="00EC20A0">
              <w:t>response</w:t>
            </w:r>
            <w:r w:rsidRPr="00EC20A0">
              <w:rPr>
                <w:spacing w:val="-14"/>
              </w:rPr>
              <w:t xml:space="preserve"> </w:t>
            </w:r>
            <w:r w:rsidRPr="00EC20A0">
              <w:rPr>
                <w:i/>
                <w:spacing w:val="-4"/>
              </w:rPr>
              <w:t>(low)</w:t>
            </w:r>
          </w:p>
        </w:tc>
        <w:tc>
          <w:tcPr>
            <w:tcW w:w="4395" w:type="dxa"/>
            <w:tcBorders>
              <w:left w:val="single" w:sz="6" w:space="0" w:color="000000"/>
            </w:tcBorders>
          </w:tcPr>
          <w:p w14:paraId="24D60382" w14:textId="77777777" w:rsidR="00245300" w:rsidRPr="00EC20A0" w:rsidRDefault="00F17249">
            <w:pPr>
              <w:pStyle w:val="TableParagraph"/>
              <w:numPr>
                <w:ilvl w:val="0"/>
                <w:numId w:val="184"/>
              </w:numPr>
              <w:tabs>
                <w:tab w:val="left" w:pos="463"/>
              </w:tabs>
              <w:spacing w:before="120"/>
              <w:ind w:left="463" w:hanging="359"/>
            </w:pPr>
            <w:r w:rsidRPr="00EC20A0">
              <w:t>Review</w:t>
            </w:r>
            <w:r w:rsidRPr="00EC20A0">
              <w:rPr>
                <w:spacing w:val="-7"/>
              </w:rPr>
              <w:t xml:space="preserve"> </w:t>
            </w:r>
            <w:r w:rsidRPr="00EC20A0">
              <w:t>the</w:t>
            </w:r>
            <w:r w:rsidRPr="00EC20A0">
              <w:rPr>
                <w:spacing w:val="-6"/>
              </w:rPr>
              <w:t xml:space="preserve"> </w:t>
            </w:r>
            <w:r w:rsidRPr="00EC20A0">
              <w:rPr>
                <w:spacing w:val="-2"/>
              </w:rPr>
              <w:t>following:</w:t>
            </w:r>
          </w:p>
          <w:p w14:paraId="24D60383" w14:textId="77777777" w:rsidR="00245300" w:rsidRPr="00EC20A0" w:rsidRDefault="00F17249">
            <w:pPr>
              <w:pStyle w:val="TableParagraph"/>
              <w:numPr>
                <w:ilvl w:val="1"/>
                <w:numId w:val="184"/>
              </w:numPr>
              <w:tabs>
                <w:tab w:val="left" w:pos="824"/>
              </w:tabs>
              <w:spacing w:before="120" w:line="269" w:lineRule="exact"/>
              <w:rPr>
                <w:i/>
              </w:rPr>
            </w:pPr>
            <w:r w:rsidRPr="00EC20A0">
              <w:t>audit</w:t>
            </w:r>
            <w:r w:rsidRPr="00EC20A0">
              <w:rPr>
                <w:spacing w:val="-5"/>
              </w:rPr>
              <w:t xml:space="preserve"> </w:t>
            </w:r>
            <w:r w:rsidRPr="00EC20A0">
              <w:t>plan</w:t>
            </w:r>
            <w:r w:rsidRPr="00EC20A0">
              <w:rPr>
                <w:spacing w:val="-4"/>
              </w:rPr>
              <w:t xml:space="preserve"> </w:t>
            </w:r>
            <w:r w:rsidRPr="00EC20A0">
              <w:rPr>
                <w:i/>
                <w:spacing w:val="-2"/>
              </w:rPr>
              <w:t>(low)</w:t>
            </w:r>
          </w:p>
          <w:p w14:paraId="24D60384" w14:textId="77777777" w:rsidR="00245300" w:rsidRPr="00EC20A0" w:rsidRDefault="00F17249">
            <w:pPr>
              <w:pStyle w:val="TableParagraph"/>
              <w:numPr>
                <w:ilvl w:val="1"/>
                <w:numId w:val="184"/>
              </w:numPr>
              <w:tabs>
                <w:tab w:val="left" w:pos="824"/>
              </w:tabs>
              <w:ind w:right="133"/>
              <w:rPr>
                <w:i/>
              </w:rPr>
            </w:pPr>
            <w:r w:rsidRPr="00EC20A0">
              <w:t>conclusions about significant issues</w:t>
            </w:r>
            <w:r w:rsidRPr="00EC20A0">
              <w:rPr>
                <w:spacing w:val="-8"/>
              </w:rPr>
              <w:t xml:space="preserve"> </w:t>
            </w:r>
            <w:r w:rsidRPr="00EC20A0">
              <w:t>and</w:t>
            </w:r>
            <w:r w:rsidRPr="00EC20A0">
              <w:rPr>
                <w:spacing w:val="-8"/>
              </w:rPr>
              <w:t xml:space="preserve"> </w:t>
            </w:r>
            <w:r w:rsidRPr="00EC20A0">
              <w:t>their</w:t>
            </w:r>
            <w:r w:rsidRPr="00EC20A0">
              <w:rPr>
                <w:spacing w:val="-8"/>
              </w:rPr>
              <w:t xml:space="preserve"> </w:t>
            </w:r>
            <w:r w:rsidRPr="00EC20A0">
              <w:t>resolution</w:t>
            </w:r>
            <w:r w:rsidRPr="00EC20A0">
              <w:rPr>
                <w:spacing w:val="-8"/>
              </w:rPr>
              <w:t xml:space="preserve"> </w:t>
            </w:r>
            <w:r w:rsidRPr="00EC20A0">
              <w:t>(often</w:t>
            </w:r>
            <w:r w:rsidRPr="00EC20A0">
              <w:rPr>
                <w:spacing w:val="-8"/>
              </w:rPr>
              <w:t xml:space="preserve"> </w:t>
            </w:r>
            <w:r w:rsidRPr="00EC20A0">
              <w:t xml:space="preserve">in audit summary) </w:t>
            </w:r>
            <w:r w:rsidRPr="00EC20A0">
              <w:rPr>
                <w:i/>
              </w:rPr>
              <w:t>(low)</w:t>
            </w:r>
          </w:p>
          <w:p w14:paraId="24D60385" w14:textId="77777777" w:rsidR="00245300" w:rsidRPr="00EC20A0" w:rsidRDefault="00F17249">
            <w:pPr>
              <w:pStyle w:val="TableParagraph"/>
              <w:numPr>
                <w:ilvl w:val="1"/>
                <w:numId w:val="184"/>
              </w:numPr>
              <w:tabs>
                <w:tab w:val="left" w:pos="824"/>
              </w:tabs>
              <w:ind w:right="269" w:hanging="361"/>
              <w:rPr>
                <w:i/>
              </w:rPr>
            </w:pPr>
            <w:r w:rsidRPr="00EC20A0">
              <w:t>formal</w:t>
            </w:r>
            <w:r w:rsidRPr="00EC20A0">
              <w:rPr>
                <w:spacing w:val="-13"/>
              </w:rPr>
              <w:t xml:space="preserve"> </w:t>
            </w:r>
            <w:r w:rsidRPr="00EC20A0">
              <w:t>written</w:t>
            </w:r>
            <w:r w:rsidRPr="00EC20A0">
              <w:rPr>
                <w:spacing w:val="-13"/>
              </w:rPr>
              <w:t xml:space="preserve"> </w:t>
            </w:r>
            <w:r w:rsidRPr="00EC20A0">
              <w:t>communications</w:t>
            </w:r>
            <w:r w:rsidRPr="00EC20A0">
              <w:rPr>
                <w:spacing w:val="-13"/>
              </w:rPr>
              <w:t xml:space="preserve"> </w:t>
            </w:r>
            <w:r w:rsidRPr="00EC20A0">
              <w:t xml:space="preserve">on findings (e.g., Notifications of Findings and Recommendations) </w:t>
            </w:r>
            <w:r w:rsidRPr="00EC20A0">
              <w:rPr>
                <w:i/>
                <w:spacing w:val="-2"/>
              </w:rPr>
              <w:t>(low)</w:t>
            </w:r>
          </w:p>
          <w:p w14:paraId="24D60386" w14:textId="77777777" w:rsidR="00245300" w:rsidRPr="00EC20A0" w:rsidRDefault="00F17249">
            <w:pPr>
              <w:pStyle w:val="TableParagraph"/>
              <w:numPr>
                <w:ilvl w:val="1"/>
                <w:numId w:val="184"/>
              </w:numPr>
              <w:tabs>
                <w:tab w:val="left" w:pos="824"/>
              </w:tabs>
              <w:spacing w:line="268" w:lineRule="exact"/>
            </w:pPr>
            <w:r w:rsidRPr="00EC20A0">
              <w:t>line</w:t>
            </w:r>
            <w:r w:rsidRPr="00EC20A0">
              <w:rPr>
                <w:spacing w:val="-6"/>
              </w:rPr>
              <w:t xml:space="preserve"> </w:t>
            </w:r>
            <w:r w:rsidRPr="00EC20A0">
              <w:t>item</w:t>
            </w:r>
            <w:r w:rsidRPr="00EC20A0">
              <w:rPr>
                <w:spacing w:val="-7"/>
              </w:rPr>
              <w:t xml:space="preserve"> </w:t>
            </w:r>
            <w:r w:rsidRPr="00EC20A0">
              <w:t>risk</w:t>
            </w:r>
            <w:r w:rsidRPr="00EC20A0">
              <w:rPr>
                <w:spacing w:val="-7"/>
              </w:rPr>
              <w:t xml:space="preserve"> </w:t>
            </w:r>
            <w:r w:rsidRPr="00EC20A0">
              <w:t>analysis</w:t>
            </w:r>
            <w:r w:rsidRPr="00EC20A0">
              <w:rPr>
                <w:spacing w:val="-6"/>
              </w:rPr>
              <w:t xml:space="preserve"> </w:t>
            </w:r>
            <w:r w:rsidRPr="00EC20A0">
              <w:t>(LIRA)</w:t>
            </w:r>
            <w:r w:rsidRPr="00EC20A0">
              <w:rPr>
                <w:spacing w:val="-6"/>
              </w:rPr>
              <w:t xml:space="preserve"> </w:t>
            </w:r>
            <w:r w:rsidRPr="00EC20A0">
              <w:rPr>
                <w:spacing w:val="-2"/>
              </w:rPr>
              <w:t>forms</w:t>
            </w:r>
          </w:p>
          <w:p w14:paraId="24D60387" w14:textId="77777777" w:rsidR="00245300" w:rsidRPr="00EC20A0" w:rsidRDefault="00F17249">
            <w:pPr>
              <w:pStyle w:val="TableParagraph"/>
              <w:spacing w:line="252" w:lineRule="exact"/>
              <w:ind w:left="824"/>
              <w:rPr>
                <w:i/>
              </w:rPr>
            </w:pPr>
            <w:r w:rsidRPr="00EC20A0">
              <w:rPr>
                <w:i/>
                <w:spacing w:val="-2"/>
              </w:rPr>
              <w:t>(moderate)</w:t>
            </w:r>
          </w:p>
          <w:p w14:paraId="24D60388" w14:textId="77777777" w:rsidR="00245300" w:rsidRPr="00EC20A0" w:rsidRDefault="00F17249">
            <w:pPr>
              <w:pStyle w:val="TableParagraph"/>
              <w:numPr>
                <w:ilvl w:val="1"/>
                <w:numId w:val="184"/>
              </w:numPr>
              <w:tabs>
                <w:tab w:val="left" w:pos="824"/>
              </w:tabs>
              <w:ind w:right="366" w:hanging="361"/>
              <w:rPr>
                <w:i/>
              </w:rPr>
            </w:pPr>
            <w:r w:rsidRPr="00EC20A0">
              <w:t>specific</w:t>
            </w:r>
            <w:r w:rsidRPr="00EC20A0">
              <w:rPr>
                <w:spacing w:val="-13"/>
              </w:rPr>
              <w:t xml:space="preserve"> </w:t>
            </w:r>
            <w:r w:rsidRPr="00EC20A0">
              <w:t>control</w:t>
            </w:r>
            <w:r w:rsidRPr="00EC20A0">
              <w:rPr>
                <w:spacing w:val="-13"/>
              </w:rPr>
              <w:t xml:space="preserve"> </w:t>
            </w:r>
            <w:r w:rsidRPr="00EC20A0">
              <w:t>evaluation</w:t>
            </w:r>
            <w:r w:rsidRPr="00EC20A0">
              <w:rPr>
                <w:spacing w:val="-13"/>
              </w:rPr>
              <w:t xml:space="preserve"> </w:t>
            </w:r>
            <w:r w:rsidRPr="00EC20A0">
              <w:t xml:space="preserve">(SCE) worksheets </w:t>
            </w:r>
            <w:r w:rsidRPr="00EC20A0">
              <w:rPr>
                <w:i/>
              </w:rPr>
              <w:t>(moderate)</w:t>
            </w:r>
          </w:p>
          <w:p w14:paraId="24D60389" w14:textId="77777777" w:rsidR="00245300" w:rsidRPr="00EC20A0" w:rsidRDefault="00F17249">
            <w:pPr>
              <w:pStyle w:val="TableParagraph"/>
              <w:numPr>
                <w:ilvl w:val="1"/>
                <w:numId w:val="184"/>
              </w:numPr>
              <w:tabs>
                <w:tab w:val="left" w:pos="824"/>
              </w:tabs>
              <w:spacing w:line="267" w:lineRule="exact"/>
              <w:rPr>
                <w:i/>
              </w:rPr>
            </w:pPr>
            <w:r w:rsidRPr="00EC20A0">
              <w:t>cycle</w:t>
            </w:r>
            <w:r w:rsidRPr="00EC20A0">
              <w:rPr>
                <w:spacing w:val="-11"/>
              </w:rPr>
              <w:t xml:space="preserve"> </w:t>
            </w:r>
            <w:r w:rsidRPr="00EC20A0">
              <w:t>memorandum</w:t>
            </w:r>
            <w:r w:rsidRPr="00EC20A0">
              <w:rPr>
                <w:spacing w:val="-11"/>
              </w:rPr>
              <w:t xml:space="preserve"> </w:t>
            </w:r>
            <w:r w:rsidRPr="00EC20A0">
              <w:rPr>
                <w:i/>
                <w:spacing w:val="-2"/>
              </w:rPr>
              <w:t>(moderate)</w:t>
            </w:r>
          </w:p>
          <w:p w14:paraId="24D6038A" w14:textId="77777777" w:rsidR="00245300" w:rsidRPr="00EC20A0" w:rsidRDefault="00F17249">
            <w:pPr>
              <w:pStyle w:val="TableParagraph"/>
              <w:numPr>
                <w:ilvl w:val="1"/>
                <w:numId w:val="184"/>
              </w:numPr>
              <w:tabs>
                <w:tab w:val="left" w:pos="824"/>
              </w:tabs>
              <w:spacing w:line="268" w:lineRule="exact"/>
              <w:rPr>
                <w:i/>
              </w:rPr>
            </w:pPr>
            <w:r w:rsidRPr="00EC20A0">
              <w:t>flowcharts</w:t>
            </w:r>
            <w:r w:rsidRPr="00EC20A0">
              <w:rPr>
                <w:spacing w:val="-10"/>
              </w:rPr>
              <w:t xml:space="preserve"> </w:t>
            </w:r>
            <w:r w:rsidRPr="00EC20A0">
              <w:rPr>
                <w:i/>
                <w:spacing w:val="-2"/>
              </w:rPr>
              <w:t>(moderate)</w:t>
            </w:r>
          </w:p>
          <w:p w14:paraId="24D6038B" w14:textId="77777777" w:rsidR="00245300" w:rsidRPr="00EC20A0" w:rsidRDefault="00F17249">
            <w:pPr>
              <w:pStyle w:val="TableParagraph"/>
              <w:numPr>
                <w:ilvl w:val="1"/>
                <w:numId w:val="184"/>
              </w:numPr>
              <w:tabs>
                <w:tab w:val="left" w:pos="824"/>
              </w:tabs>
              <w:ind w:right="1063"/>
              <w:rPr>
                <w:i/>
              </w:rPr>
            </w:pPr>
            <w:r w:rsidRPr="00EC20A0">
              <w:t>determination</w:t>
            </w:r>
            <w:r w:rsidRPr="00EC20A0">
              <w:rPr>
                <w:spacing w:val="-16"/>
              </w:rPr>
              <w:t xml:space="preserve"> </w:t>
            </w:r>
            <w:r w:rsidRPr="00EC20A0">
              <w:t>of</w:t>
            </w:r>
            <w:r w:rsidRPr="00EC20A0">
              <w:rPr>
                <w:spacing w:val="-15"/>
              </w:rPr>
              <w:t xml:space="preserve"> </w:t>
            </w:r>
            <w:r w:rsidRPr="00EC20A0">
              <w:t xml:space="preserve">tolerable misstatement </w:t>
            </w:r>
            <w:r w:rsidRPr="00EC20A0">
              <w:rPr>
                <w:i/>
              </w:rPr>
              <w:t>(moderate)</w:t>
            </w:r>
          </w:p>
          <w:p w14:paraId="24D6038C" w14:textId="77777777" w:rsidR="00245300" w:rsidRPr="00EC20A0" w:rsidRDefault="00F17249">
            <w:pPr>
              <w:pStyle w:val="TableParagraph"/>
              <w:numPr>
                <w:ilvl w:val="1"/>
                <w:numId w:val="184"/>
              </w:numPr>
              <w:tabs>
                <w:tab w:val="left" w:pos="824"/>
              </w:tabs>
              <w:spacing w:line="267" w:lineRule="exact"/>
              <w:rPr>
                <w:i/>
              </w:rPr>
            </w:pPr>
            <w:r w:rsidRPr="00EC20A0">
              <w:t>sampling</w:t>
            </w:r>
            <w:r w:rsidRPr="00EC20A0">
              <w:rPr>
                <w:spacing w:val="-8"/>
              </w:rPr>
              <w:t xml:space="preserve"> </w:t>
            </w:r>
            <w:r w:rsidRPr="00EC20A0">
              <w:t>plan</w:t>
            </w:r>
            <w:r w:rsidRPr="00EC20A0">
              <w:rPr>
                <w:spacing w:val="-7"/>
              </w:rPr>
              <w:t xml:space="preserve"> </w:t>
            </w:r>
            <w:r w:rsidRPr="00EC20A0">
              <w:rPr>
                <w:i/>
                <w:spacing w:val="-2"/>
              </w:rPr>
              <w:t>(moderate)</w:t>
            </w:r>
          </w:p>
          <w:p w14:paraId="24D6038D" w14:textId="77777777" w:rsidR="00245300" w:rsidRPr="00EC20A0" w:rsidRDefault="00F17249">
            <w:pPr>
              <w:pStyle w:val="TableParagraph"/>
              <w:numPr>
                <w:ilvl w:val="1"/>
                <w:numId w:val="184"/>
              </w:numPr>
              <w:tabs>
                <w:tab w:val="left" w:pos="824"/>
              </w:tabs>
              <w:ind w:right="611"/>
              <w:rPr>
                <w:i/>
              </w:rPr>
            </w:pPr>
            <w:r w:rsidRPr="00EC20A0">
              <w:t>IPA firm’s documentation evidencing</w:t>
            </w:r>
            <w:r w:rsidRPr="00EC20A0">
              <w:rPr>
                <w:spacing w:val="-13"/>
              </w:rPr>
              <w:t xml:space="preserve"> </w:t>
            </w:r>
            <w:r w:rsidRPr="00EC20A0">
              <w:t>significant</w:t>
            </w:r>
            <w:r w:rsidRPr="00EC20A0">
              <w:rPr>
                <w:spacing w:val="-13"/>
              </w:rPr>
              <w:t xml:space="preserve"> </w:t>
            </w:r>
            <w:r w:rsidRPr="00EC20A0">
              <w:t>IPA</w:t>
            </w:r>
            <w:r w:rsidRPr="00EC20A0">
              <w:rPr>
                <w:spacing w:val="-12"/>
              </w:rPr>
              <w:t xml:space="preserve"> </w:t>
            </w:r>
            <w:r w:rsidRPr="00EC20A0">
              <w:t xml:space="preserve">firm judgments and conclusions </w:t>
            </w:r>
            <w:r w:rsidRPr="00EC20A0">
              <w:rPr>
                <w:i/>
                <w:spacing w:val="-2"/>
              </w:rPr>
              <w:t>(moderate)</w:t>
            </w:r>
          </w:p>
          <w:p w14:paraId="24D6038E" w14:textId="77777777" w:rsidR="00245300" w:rsidRPr="00EC20A0" w:rsidRDefault="00F17249">
            <w:pPr>
              <w:pStyle w:val="TableParagraph"/>
              <w:numPr>
                <w:ilvl w:val="1"/>
                <w:numId w:val="184"/>
              </w:numPr>
              <w:tabs>
                <w:tab w:val="left" w:pos="823"/>
              </w:tabs>
              <w:ind w:left="823" w:right="220"/>
              <w:rPr>
                <w:i/>
              </w:rPr>
            </w:pPr>
            <w:r w:rsidRPr="00EC20A0">
              <w:t xml:space="preserve">IPA firm’s documentation for </w:t>
            </w:r>
            <w:r w:rsidRPr="00EC20A0">
              <w:t>material</w:t>
            </w:r>
            <w:r w:rsidRPr="00EC20A0">
              <w:rPr>
                <w:spacing w:val="-9"/>
              </w:rPr>
              <w:t xml:space="preserve"> </w:t>
            </w:r>
            <w:r w:rsidRPr="00EC20A0">
              <w:t>line</w:t>
            </w:r>
            <w:r w:rsidRPr="00EC20A0">
              <w:rPr>
                <w:spacing w:val="-10"/>
              </w:rPr>
              <w:t xml:space="preserve"> </w:t>
            </w:r>
            <w:r w:rsidRPr="00EC20A0">
              <w:t>items,</w:t>
            </w:r>
            <w:r w:rsidRPr="00EC20A0">
              <w:rPr>
                <w:spacing w:val="-9"/>
              </w:rPr>
              <w:t xml:space="preserve"> </w:t>
            </w:r>
            <w:r w:rsidRPr="00EC20A0">
              <w:t>accounts,</w:t>
            </w:r>
            <w:r w:rsidRPr="00EC20A0">
              <w:rPr>
                <w:spacing w:val="-9"/>
              </w:rPr>
              <w:t xml:space="preserve"> </w:t>
            </w:r>
            <w:r w:rsidRPr="00EC20A0">
              <w:t xml:space="preserve">note disclosures, and classes of transactions with high risk of material misstatement </w:t>
            </w:r>
            <w:r w:rsidRPr="00EC20A0">
              <w:rPr>
                <w:i/>
              </w:rPr>
              <w:t>(moderate)</w:t>
            </w:r>
          </w:p>
          <w:p w14:paraId="24D6038F" w14:textId="77777777" w:rsidR="00245300" w:rsidRPr="00EC20A0" w:rsidRDefault="00F17249">
            <w:pPr>
              <w:pStyle w:val="TableParagraph"/>
              <w:numPr>
                <w:ilvl w:val="1"/>
                <w:numId w:val="184"/>
              </w:numPr>
              <w:tabs>
                <w:tab w:val="left" w:pos="823"/>
              </w:tabs>
              <w:spacing w:line="267" w:lineRule="exact"/>
              <w:ind w:left="823"/>
              <w:rPr>
                <w:i/>
              </w:rPr>
            </w:pPr>
            <w:r w:rsidRPr="00EC20A0">
              <w:t>analytical</w:t>
            </w:r>
            <w:r w:rsidRPr="00EC20A0">
              <w:rPr>
                <w:spacing w:val="-12"/>
              </w:rPr>
              <w:t xml:space="preserve"> </w:t>
            </w:r>
            <w:r w:rsidRPr="00EC20A0">
              <w:t>procedures</w:t>
            </w:r>
            <w:r w:rsidRPr="00EC20A0">
              <w:rPr>
                <w:spacing w:val="-12"/>
              </w:rPr>
              <w:t xml:space="preserve"> </w:t>
            </w:r>
            <w:r w:rsidRPr="00EC20A0">
              <w:rPr>
                <w:i/>
                <w:spacing w:val="-2"/>
              </w:rPr>
              <w:t>(moderate)</w:t>
            </w:r>
          </w:p>
          <w:p w14:paraId="24D60390" w14:textId="77777777" w:rsidR="00245300" w:rsidRPr="00EC20A0" w:rsidRDefault="00F17249">
            <w:pPr>
              <w:pStyle w:val="TableParagraph"/>
              <w:numPr>
                <w:ilvl w:val="1"/>
                <w:numId w:val="184"/>
              </w:numPr>
              <w:tabs>
                <w:tab w:val="left" w:pos="823"/>
              </w:tabs>
              <w:spacing w:line="268" w:lineRule="exact"/>
              <w:ind w:left="823"/>
            </w:pPr>
            <w:r w:rsidRPr="00EC20A0">
              <w:t>evaluation</w:t>
            </w:r>
            <w:r w:rsidRPr="00EC20A0">
              <w:rPr>
                <w:spacing w:val="-7"/>
              </w:rPr>
              <w:t xml:space="preserve"> </w:t>
            </w:r>
            <w:r w:rsidRPr="00EC20A0">
              <w:t>of</w:t>
            </w:r>
            <w:r w:rsidRPr="00EC20A0">
              <w:rPr>
                <w:spacing w:val="-7"/>
              </w:rPr>
              <w:t xml:space="preserve"> </w:t>
            </w:r>
            <w:r w:rsidRPr="00EC20A0">
              <w:t>sample</w:t>
            </w:r>
            <w:r w:rsidRPr="00EC20A0">
              <w:rPr>
                <w:spacing w:val="-7"/>
              </w:rPr>
              <w:t xml:space="preserve"> </w:t>
            </w:r>
            <w:r w:rsidRPr="00EC20A0">
              <w:rPr>
                <w:spacing w:val="-2"/>
              </w:rPr>
              <w:t>results</w:t>
            </w:r>
          </w:p>
          <w:p w14:paraId="24D60391" w14:textId="77777777" w:rsidR="00245300" w:rsidRPr="00EC20A0" w:rsidRDefault="00F17249">
            <w:pPr>
              <w:pStyle w:val="TableParagraph"/>
              <w:spacing w:line="252" w:lineRule="exact"/>
              <w:ind w:left="823"/>
              <w:rPr>
                <w:i/>
              </w:rPr>
            </w:pPr>
            <w:r w:rsidRPr="00EC20A0">
              <w:rPr>
                <w:i/>
                <w:spacing w:val="-2"/>
              </w:rPr>
              <w:t>(moderate)</w:t>
            </w:r>
          </w:p>
        </w:tc>
      </w:tr>
    </w:tbl>
    <w:p w14:paraId="24D60393" w14:textId="77777777" w:rsidR="00245300" w:rsidRPr="00EC20A0" w:rsidRDefault="00245300">
      <w:pPr>
        <w:spacing w:line="252" w:lineRule="exact"/>
        <w:sectPr w:rsidR="00245300" w:rsidRPr="00EC20A0">
          <w:pgSz w:w="12240" w:h="15840"/>
          <w:pgMar w:top="1600" w:right="940" w:bottom="940" w:left="1020" w:header="721" w:footer="757" w:gutter="0"/>
          <w:cols w:space="720"/>
        </w:sectPr>
      </w:pPr>
    </w:p>
    <w:p w14:paraId="24D60394" w14:textId="77777777" w:rsidR="00245300" w:rsidRPr="00EC20A0" w:rsidRDefault="00F17249">
      <w:pPr>
        <w:spacing w:before="241"/>
        <w:ind w:left="420"/>
        <w:rPr>
          <w:b/>
        </w:rPr>
      </w:pPr>
      <w:r w:rsidRPr="00EC20A0">
        <w:rPr>
          <w:b/>
          <w:u w:val="single"/>
        </w:rPr>
        <w:t>Table</w:t>
      </w:r>
      <w:r w:rsidRPr="00EC20A0">
        <w:rPr>
          <w:b/>
          <w:spacing w:val="-4"/>
          <w:u w:val="single"/>
        </w:rPr>
        <w:t xml:space="preserve"> </w:t>
      </w:r>
      <w:r w:rsidRPr="00EC20A0">
        <w:rPr>
          <w:b/>
          <w:u w:val="single"/>
        </w:rPr>
        <w:t>2:</w:t>
      </w:r>
      <w:r w:rsidRPr="00EC20A0">
        <w:rPr>
          <w:b/>
          <w:spacing w:val="-4"/>
          <w:u w:val="single"/>
        </w:rPr>
        <w:t xml:space="preserve"> </w:t>
      </w:r>
      <w:r w:rsidRPr="00EC20A0">
        <w:rPr>
          <w:b/>
          <w:u w:val="single"/>
        </w:rPr>
        <w:t>Summary</w:t>
      </w:r>
      <w:r w:rsidRPr="00EC20A0">
        <w:rPr>
          <w:b/>
          <w:spacing w:val="-4"/>
          <w:u w:val="single"/>
        </w:rPr>
        <w:t xml:space="preserve"> </w:t>
      </w:r>
      <w:r w:rsidRPr="00EC20A0">
        <w:rPr>
          <w:b/>
          <w:u w:val="single"/>
        </w:rPr>
        <w:t>of</w:t>
      </w:r>
      <w:r w:rsidRPr="00EC20A0">
        <w:rPr>
          <w:b/>
          <w:spacing w:val="-4"/>
          <w:u w:val="single"/>
        </w:rPr>
        <w:t xml:space="preserve"> </w:t>
      </w:r>
      <w:r w:rsidRPr="00EC20A0">
        <w:rPr>
          <w:b/>
          <w:u w:val="single"/>
        </w:rPr>
        <w:t>Documentation</w:t>
      </w:r>
      <w:r w:rsidRPr="00EC20A0">
        <w:rPr>
          <w:b/>
          <w:spacing w:val="-4"/>
          <w:u w:val="single"/>
        </w:rPr>
        <w:t xml:space="preserve"> </w:t>
      </w:r>
      <w:r w:rsidRPr="00EC20A0">
        <w:rPr>
          <w:b/>
          <w:u w:val="single"/>
        </w:rPr>
        <w:t>for</w:t>
      </w:r>
      <w:r w:rsidRPr="00EC20A0">
        <w:rPr>
          <w:b/>
          <w:spacing w:val="-5"/>
          <w:u w:val="single"/>
        </w:rPr>
        <w:t xml:space="preserve"> </w:t>
      </w:r>
      <w:r w:rsidRPr="00EC20A0">
        <w:rPr>
          <w:b/>
          <w:u w:val="single"/>
        </w:rPr>
        <w:t>Providing</w:t>
      </w:r>
      <w:r w:rsidRPr="00EC20A0">
        <w:rPr>
          <w:b/>
          <w:spacing w:val="-4"/>
          <w:u w:val="single"/>
        </w:rPr>
        <w:t xml:space="preserve"> </w:t>
      </w:r>
      <w:r w:rsidRPr="00EC20A0">
        <w:rPr>
          <w:b/>
          <w:u w:val="single"/>
        </w:rPr>
        <w:t>Oversight</w:t>
      </w:r>
      <w:r w:rsidRPr="00EC20A0">
        <w:rPr>
          <w:b/>
          <w:spacing w:val="-4"/>
          <w:u w:val="single"/>
        </w:rPr>
        <w:t xml:space="preserve"> </w:t>
      </w:r>
      <w:r w:rsidRPr="00EC20A0">
        <w:rPr>
          <w:b/>
          <w:u w:val="single"/>
        </w:rPr>
        <w:t>of</w:t>
      </w:r>
      <w:r w:rsidRPr="00EC20A0">
        <w:rPr>
          <w:b/>
          <w:spacing w:val="-4"/>
          <w:u w:val="single"/>
        </w:rPr>
        <w:t xml:space="preserve"> </w:t>
      </w:r>
      <w:r w:rsidRPr="00EC20A0">
        <w:rPr>
          <w:b/>
          <w:u w:val="single"/>
        </w:rPr>
        <w:t>Audits</w:t>
      </w:r>
      <w:r w:rsidRPr="00EC20A0">
        <w:rPr>
          <w:b/>
          <w:spacing w:val="-4"/>
          <w:u w:val="single"/>
        </w:rPr>
        <w:t xml:space="preserve"> </w:t>
      </w:r>
      <w:r w:rsidRPr="00EC20A0">
        <w:rPr>
          <w:b/>
          <w:u w:val="single"/>
        </w:rPr>
        <w:t>Performed</w:t>
      </w:r>
      <w:r w:rsidRPr="00EC20A0">
        <w:rPr>
          <w:b/>
          <w:spacing w:val="-4"/>
          <w:u w:val="single"/>
        </w:rPr>
        <w:t xml:space="preserve"> </w:t>
      </w:r>
      <w:r w:rsidRPr="00EC20A0">
        <w:rPr>
          <w:b/>
          <w:u w:val="single"/>
        </w:rPr>
        <w:t>by</w:t>
      </w:r>
      <w:r w:rsidRPr="00EC20A0">
        <w:rPr>
          <w:b/>
        </w:rPr>
        <w:t xml:space="preserve"> </w:t>
      </w:r>
      <w:r w:rsidRPr="00EC20A0">
        <w:rPr>
          <w:b/>
          <w:u w:val="single"/>
        </w:rPr>
        <w:t>Contracted IPA Firms</w:t>
      </w:r>
    </w:p>
    <w:p w14:paraId="24D60395" w14:textId="77777777" w:rsidR="00245300" w:rsidRPr="00EC20A0" w:rsidRDefault="00245300">
      <w:pPr>
        <w:pStyle w:val="BodyText"/>
        <w:spacing w:before="2"/>
        <w:rPr>
          <w:b/>
          <w:sz w:val="11"/>
        </w:rPr>
      </w:pPr>
    </w:p>
    <w:tbl>
      <w:tblPr>
        <w:tblW w:w="0" w:type="auto"/>
        <w:tblInd w:w="3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861"/>
        <w:gridCol w:w="4697"/>
      </w:tblGrid>
      <w:tr w:rsidR="00245300" w:rsidRPr="00EC20A0" w14:paraId="24D60397" w14:textId="77777777">
        <w:trPr>
          <w:trHeight w:val="493"/>
        </w:trPr>
        <w:tc>
          <w:tcPr>
            <w:tcW w:w="9558" w:type="dxa"/>
            <w:gridSpan w:val="2"/>
            <w:tcBorders>
              <w:bottom w:val="single" w:sz="6" w:space="0" w:color="000000"/>
            </w:tcBorders>
          </w:tcPr>
          <w:p w14:paraId="24D60396" w14:textId="77777777" w:rsidR="00245300" w:rsidRPr="00EC20A0" w:rsidRDefault="00F17249">
            <w:pPr>
              <w:pStyle w:val="TableParagraph"/>
              <w:spacing w:before="120"/>
              <w:ind w:left="1"/>
              <w:jc w:val="center"/>
              <w:rPr>
                <w:b/>
              </w:rPr>
            </w:pPr>
            <w:r w:rsidRPr="00EC20A0">
              <w:rPr>
                <w:b/>
                <w:spacing w:val="-2"/>
              </w:rPr>
              <w:t>DOCUMENTATION</w:t>
            </w:r>
          </w:p>
        </w:tc>
      </w:tr>
      <w:tr w:rsidR="00245300" w:rsidRPr="00EC20A0" w14:paraId="24D6039A" w14:textId="77777777">
        <w:trPr>
          <w:trHeight w:val="493"/>
        </w:trPr>
        <w:tc>
          <w:tcPr>
            <w:tcW w:w="4861" w:type="dxa"/>
            <w:tcBorders>
              <w:top w:val="single" w:sz="6" w:space="0" w:color="000000"/>
              <w:right w:val="single" w:sz="6" w:space="0" w:color="000000"/>
            </w:tcBorders>
          </w:tcPr>
          <w:p w14:paraId="24D60398" w14:textId="77777777" w:rsidR="00245300" w:rsidRPr="00EC20A0" w:rsidRDefault="00F17249">
            <w:pPr>
              <w:pStyle w:val="TableParagraph"/>
              <w:spacing w:before="121"/>
              <w:jc w:val="center"/>
              <w:rPr>
                <w:b/>
              </w:rPr>
            </w:pPr>
            <w:r w:rsidRPr="00EC20A0">
              <w:rPr>
                <w:b/>
                <w:spacing w:val="-2"/>
              </w:rPr>
              <w:t>Required</w:t>
            </w:r>
          </w:p>
        </w:tc>
        <w:tc>
          <w:tcPr>
            <w:tcW w:w="4697" w:type="dxa"/>
            <w:tcBorders>
              <w:top w:val="single" w:sz="6" w:space="0" w:color="000000"/>
              <w:left w:val="single" w:sz="6" w:space="0" w:color="000000"/>
            </w:tcBorders>
          </w:tcPr>
          <w:p w14:paraId="24D60399" w14:textId="77777777" w:rsidR="00245300" w:rsidRPr="00EC20A0" w:rsidRDefault="00F17249">
            <w:pPr>
              <w:pStyle w:val="TableParagraph"/>
              <w:spacing w:before="121"/>
              <w:ind w:left="8"/>
              <w:jc w:val="center"/>
              <w:rPr>
                <w:b/>
              </w:rPr>
            </w:pPr>
            <w:r w:rsidRPr="00EC20A0">
              <w:rPr>
                <w:b/>
                <w:spacing w:val="-2"/>
              </w:rPr>
              <w:t>Optional</w:t>
            </w:r>
          </w:p>
        </w:tc>
      </w:tr>
      <w:tr w:rsidR="00245300" w:rsidRPr="00EC20A0" w14:paraId="24D603B4" w14:textId="77777777">
        <w:trPr>
          <w:trHeight w:val="8818"/>
        </w:trPr>
        <w:tc>
          <w:tcPr>
            <w:tcW w:w="4861" w:type="dxa"/>
            <w:tcBorders>
              <w:right w:val="single" w:sz="6" w:space="0" w:color="000000"/>
            </w:tcBorders>
          </w:tcPr>
          <w:p w14:paraId="24D6039B" w14:textId="77777777" w:rsidR="00245300" w:rsidRPr="00EC20A0" w:rsidRDefault="00F17249">
            <w:pPr>
              <w:pStyle w:val="TableParagraph"/>
              <w:numPr>
                <w:ilvl w:val="0"/>
                <w:numId w:val="183"/>
              </w:numPr>
              <w:tabs>
                <w:tab w:val="left" w:pos="456"/>
              </w:tabs>
              <w:spacing w:before="120"/>
              <w:ind w:left="456" w:hanging="359"/>
            </w:pPr>
            <w:r w:rsidRPr="00EC20A0">
              <w:rPr>
                <w:spacing w:val="-2"/>
              </w:rPr>
              <w:t>Auditor-prepared:</w:t>
            </w:r>
          </w:p>
          <w:p w14:paraId="24D6039C" w14:textId="77777777" w:rsidR="00245300" w:rsidRPr="00EC20A0" w:rsidRDefault="00F17249">
            <w:pPr>
              <w:pStyle w:val="TableParagraph"/>
              <w:numPr>
                <w:ilvl w:val="1"/>
                <w:numId w:val="183"/>
              </w:numPr>
              <w:tabs>
                <w:tab w:val="left" w:pos="817"/>
              </w:tabs>
              <w:spacing w:before="119" w:line="269" w:lineRule="exact"/>
              <w:rPr>
                <w:i/>
              </w:rPr>
            </w:pPr>
            <w:r w:rsidRPr="00EC20A0">
              <w:t>oversight</w:t>
            </w:r>
            <w:r w:rsidRPr="00EC20A0">
              <w:rPr>
                <w:spacing w:val="-8"/>
              </w:rPr>
              <w:t xml:space="preserve"> </w:t>
            </w:r>
            <w:r w:rsidRPr="00EC20A0">
              <w:t>plan</w:t>
            </w:r>
            <w:r w:rsidRPr="00EC20A0">
              <w:rPr>
                <w:spacing w:val="-8"/>
              </w:rPr>
              <w:t xml:space="preserve"> </w:t>
            </w:r>
            <w:r w:rsidRPr="00EC20A0">
              <w:rPr>
                <w:i/>
                <w:spacing w:val="-4"/>
              </w:rPr>
              <w:t>(low)</w:t>
            </w:r>
          </w:p>
          <w:p w14:paraId="24D6039D" w14:textId="77777777" w:rsidR="00245300" w:rsidRPr="00EC20A0" w:rsidRDefault="00F17249">
            <w:pPr>
              <w:pStyle w:val="TableParagraph"/>
              <w:numPr>
                <w:ilvl w:val="1"/>
                <w:numId w:val="183"/>
              </w:numPr>
              <w:tabs>
                <w:tab w:val="left" w:pos="817"/>
              </w:tabs>
              <w:spacing w:line="268" w:lineRule="exact"/>
              <w:rPr>
                <w:i/>
              </w:rPr>
            </w:pPr>
            <w:r w:rsidRPr="00EC20A0">
              <w:t>results</w:t>
            </w:r>
            <w:r w:rsidRPr="00EC20A0">
              <w:rPr>
                <w:spacing w:val="-8"/>
              </w:rPr>
              <w:t xml:space="preserve"> </w:t>
            </w:r>
            <w:r w:rsidRPr="00EC20A0">
              <w:t>of</w:t>
            </w:r>
            <w:r w:rsidRPr="00EC20A0">
              <w:rPr>
                <w:spacing w:val="-7"/>
              </w:rPr>
              <w:t xml:space="preserve"> </w:t>
            </w:r>
            <w:r w:rsidRPr="00EC20A0">
              <w:t>review</w:t>
            </w:r>
            <w:r w:rsidRPr="00EC20A0">
              <w:rPr>
                <w:spacing w:val="-7"/>
              </w:rPr>
              <w:t xml:space="preserve"> </w:t>
            </w:r>
            <w:r w:rsidRPr="00EC20A0">
              <w:t>of</w:t>
            </w:r>
            <w:r w:rsidRPr="00EC20A0">
              <w:rPr>
                <w:spacing w:val="-7"/>
              </w:rPr>
              <w:t xml:space="preserve"> </w:t>
            </w:r>
            <w:r w:rsidRPr="00EC20A0">
              <w:t>documentation</w:t>
            </w:r>
            <w:r w:rsidRPr="00EC20A0">
              <w:rPr>
                <w:spacing w:val="-7"/>
              </w:rPr>
              <w:t xml:space="preserve"> </w:t>
            </w:r>
            <w:r w:rsidRPr="00EC20A0">
              <w:rPr>
                <w:i/>
                <w:spacing w:val="-2"/>
              </w:rPr>
              <w:t>(low)</w:t>
            </w:r>
          </w:p>
          <w:p w14:paraId="24D6039E" w14:textId="77777777" w:rsidR="00245300" w:rsidRPr="00EC20A0" w:rsidRDefault="00F17249">
            <w:pPr>
              <w:pStyle w:val="TableParagraph"/>
              <w:numPr>
                <w:ilvl w:val="1"/>
                <w:numId w:val="183"/>
              </w:numPr>
              <w:tabs>
                <w:tab w:val="left" w:pos="816"/>
              </w:tabs>
              <w:ind w:left="816" w:right="423"/>
              <w:rPr>
                <w:i/>
              </w:rPr>
            </w:pPr>
            <w:r w:rsidRPr="00EC20A0">
              <w:t>memorandum</w:t>
            </w:r>
            <w:r w:rsidRPr="00EC20A0">
              <w:rPr>
                <w:spacing w:val="-16"/>
              </w:rPr>
              <w:t xml:space="preserve"> </w:t>
            </w:r>
            <w:r w:rsidRPr="00EC20A0">
              <w:t>documenting</w:t>
            </w:r>
            <w:r w:rsidRPr="00EC20A0">
              <w:rPr>
                <w:spacing w:val="-15"/>
              </w:rPr>
              <w:t xml:space="preserve"> </w:t>
            </w:r>
            <w:r w:rsidRPr="00EC20A0">
              <w:t xml:space="preserve">entrance and exit conference </w:t>
            </w:r>
            <w:r w:rsidRPr="00EC20A0">
              <w:rPr>
                <w:i/>
              </w:rPr>
              <w:t>(moderate)</w:t>
            </w:r>
          </w:p>
          <w:p w14:paraId="24D6039F" w14:textId="77777777" w:rsidR="00245300" w:rsidRPr="00EC20A0" w:rsidRDefault="00F17249">
            <w:pPr>
              <w:pStyle w:val="TableParagraph"/>
              <w:numPr>
                <w:ilvl w:val="0"/>
                <w:numId w:val="183"/>
              </w:numPr>
              <w:tabs>
                <w:tab w:val="left" w:pos="456"/>
              </w:tabs>
              <w:spacing w:before="117"/>
              <w:ind w:left="456" w:right="406"/>
            </w:pPr>
            <w:r w:rsidRPr="00EC20A0">
              <w:t>Independent</w:t>
            </w:r>
            <w:r w:rsidRPr="00EC20A0">
              <w:rPr>
                <w:spacing w:val="-10"/>
              </w:rPr>
              <w:t xml:space="preserve"> </w:t>
            </w:r>
            <w:r w:rsidRPr="00EC20A0">
              <w:t>public</w:t>
            </w:r>
            <w:r w:rsidRPr="00EC20A0">
              <w:rPr>
                <w:spacing w:val="-10"/>
              </w:rPr>
              <w:t xml:space="preserve"> </w:t>
            </w:r>
            <w:r w:rsidRPr="00EC20A0">
              <w:t>accounting</w:t>
            </w:r>
            <w:r w:rsidRPr="00EC20A0">
              <w:rPr>
                <w:spacing w:val="-10"/>
              </w:rPr>
              <w:t xml:space="preserve"> </w:t>
            </w:r>
            <w:r w:rsidRPr="00EC20A0">
              <w:t>(IPA)</w:t>
            </w:r>
            <w:r w:rsidRPr="00EC20A0">
              <w:rPr>
                <w:spacing w:val="-10"/>
              </w:rPr>
              <w:t xml:space="preserve"> </w:t>
            </w:r>
            <w:r w:rsidRPr="00EC20A0">
              <w:t xml:space="preserve">firm </w:t>
            </w:r>
            <w:r w:rsidRPr="00EC20A0">
              <w:rPr>
                <w:spacing w:val="-2"/>
              </w:rPr>
              <w:t>prepared:</w:t>
            </w:r>
          </w:p>
          <w:p w14:paraId="24D603A0" w14:textId="77777777" w:rsidR="00245300" w:rsidRPr="00EC20A0" w:rsidRDefault="00F17249">
            <w:pPr>
              <w:pStyle w:val="TableParagraph"/>
              <w:spacing w:before="240"/>
              <w:ind w:left="448"/>
            </w:pPr>
            <w:r w:rsidRPr="00EC20A0">
              <w:t>At</w:t>
            </w:r>
            <w:r w:rsidRPr="00EC20A0">
              <w:rPr>
                <w:spacing w:val="-4"/>
              </w:rPr>
              <w:t xml:space="preserve"> </w:t>
            </w:r>
            <w:r w:rsidRPr="00EC20A0">
              <w:t>entity</w:t>
            </w:r>
            <w:r w:rsidRPr="00EC20A0">
              <w:rPr>
                <w:spacing w:val="-4"/>
              </w:rPr>
              <w:t xml:space="preserve"> </w:t>
            </w:r>
            <w:r w:rsidRPr="00EC20A0">
              <w:rPr>
                <w:spacing w:val="-2"/>
              </w:rPr>
              <w:t>level:</w:t>
            </w:r>
          </w:p>
          <w:p w14:paraId="24D603A1" w14:textId="77777777" w:rsidR="00245300" w:rsidRPr="00EC20A0" w:rsidRDefault="00F17249">
            <w:pPr>
              <w:pStyle w:val="TableParagraph"/>
              <w:numPr>
                <w:ilvl w:val="1"/>
                <w:numId w:val="183"/>
              </w:numPr>
              <w:tabs>
                <w:tab w:val="left" w:pos="815"/>
              </w:tabs>
              <w:spacing w:before="120"/>
              <w:ind w:left="815" w:right="107" w:hanging="359"/>
              <w:rPr>
                <w:i/>
              </w:rPr>
            </w:pPr>
            <w:r w:rsidRPr="00EC20A0">
              <w:t>IPA</w:t>
            </w:r>
            <w:r w:rsidRPr="00EC20A0">
              <w:rPr>
                <w:spacing w:val="-7"/>
              </w:rPr>
              <w:t xml:space="preserve"> </w:t>
            </w:r>
            <w:r w:rsidRPr="00EC20A0">
              <w:t>firm’s</w:t>
            </w:r>
            <w:r w:rsidRPr="00EC20A0">
              <w:rPr>
                <w:spacing w:val="-6"/>
              </w:rPr>
              <w:t xml:space="preserve"> </w:t>
            </w:r>
            <w:r w:rsidRPr="00EC20A0">
              <w:t>reports,</w:t>
            </w:r>
            <w:r w:rsidRPr="00EC20A0">
              <w:rPr>
                <w:spacing w:val="-6"/>
              </w:rPr>
              <w:t xml:space="preserve"> </w:t>
            </w:r>
            <w:r w:rsidRPr="00EC20A0">
              <w:t>along</w:t>
            </w:r>
            <w:r w:rsidRPr="00EC20A0">
              <w:rPr>
                <w:spacing w:val="-7"/>
              </w:rPr>
              <w:t xml:space="preserve"> </w:t>
            </w:r>
            <w:r w:rsidRPr="00EC20A0">
              <w:t>with</w:t>
            </w:r>
            <w:r w:rsidRPr="00EC20A0">
              <w:rPr>
                <w:spacing w:val="-6"/>
              </w:rPr>
              <w:t xml:space="preserve"> </w:t>
            </w:r>
            <w:r w:rsidRPr="00EC20A0">
              <w:t>the</w:t>
            </w:r>
            <w:r w:rsidRPr="00EC20A0">
              <w:rPr>
                <w:spacing w:val="-6"/>
              </w:rPr>
              <w:t xml:space="preserve"> </w:t>
            </w:r>
            <w:r w:rsidRPr="00EC20A0">
              <w:t>entity’s financial</w:t>
            </w:r>
            <w:r w:rsidRPr="00EC20A0">
              <w:rPr>
                <w:spacing w:val="-7"/>
              </w:rPr>
              <w:t xml:space="preserve"> </w:t>
            </w:r>
            <w:r w:rsidRPr="00EC20A0">
              <w:t>statements</w:t>
            </w:r>
            <w:r w:rsidRPr="00EC20A0">
              <w:rPr>
                <w:spacing w:val="-6"/>
              </w:rPr>
              <w:t xml:space="preserve"> </w:t>
            </w:r>
            <w:r w:rsidRPr="00EC20A0">
              <w:t>and</w:t>
            </w:r>
            <w:r w:rsidRPr="00EC20A0">
              <w:rPr>
                <w:spacing w:val="-7"/>
              </w:rPr>
              <w:t xml:space="preserve"> </w:t>
            </w:r>
            <w:r w:rsidRPr="00EC20A0">
              <w:t>notes,</w:t>
            </w:r>
            <w:r w:rsidRPr="00EC20A0">
              <w:rPr>
                <w:spacing w:val="-6"/>
              </w:rPr>
              <w:t xml:space="preserve"> </w:t>
            </w:r>
            <w:r w:rsidRPr="00EC20A0">
              <w:t xml:space="preserve">required supplementary information (including management’s </w:t>
            </w:r>
            <w:r w:rsidRPr="00EC20A0">
              <w:t>discussion and</w:t>
            </w:r>
            <w:r w:rsidRPr="00EC20A0">
              <w:rPr>
                <w:spacing w:val="40"/>
              </w:rPr>
              <w:t xml:space="preserve"> </w:t>
            </w:r>
            <w:r w:rsidRPr="00EC20A0">
              <w:t xml:space="preserve">analysis), and other information </w:t>
            </w:r>
            <w:r w:rsidRPr="00EC20A0">
              <w:rPr>
                <w:i/>
              </w:rPr>
              <w:t>(low)</w:t>
            </w:r>
          </w:p>
          <w:p w14:paraId="24D603A2" w14:textId="77777777" w:rsidR="00245300" w:rsidRPr="00EC20A0" w:rsidRDefault="00F17249">
            <w:pPr>
              <w:pStyle w:val="TableParagraph"/>
              <w:numPr>
                <w:ilvl w:val="1"/>
                <w:numId w:val="183"/>
              </w:numPr>
              <w:tabs>
                <w:tab w:val="left" w:pos="814"/>
              </w:tabs>
              <w:spacing w:line="268" w:lineRule="exact"/>
              <w:ind w:left="814"/>
              <w:rPr>
                <w:i/>
              </w:rPr>
            </w:pPr>
            <w:r w:rsidRPr="00EC20A0">
              <w:t>management</w:t>
            </w:r>
            <w:r w:rsidRPr="00EC20A0">
              <w:rPr>
                <w:spacing w:val="-8"/>
              </w:rPr>
              <w:t xml:space="preserve"> </w:t>
            </w:r>
            <w:r w:rsidRPr="00EC20A0">
              <w:t>letter,</w:t>
            </w:r>
            <w:r w:rsidRPr="00EC20A0">
              <w:rPr>
                <w:spacing w:val="-8"/>
              </w:rPr>
              <w:t xml:space="preserve"> </w:t>
            </w:r>
            <w:r w:rsidRPr="00EC20A0">
              <w:t>if</w:t>
            </w:r>
            <w:r w:rsidRPr="00EC20A0">
              <w:rPr>
                <w:spacing w:val="-7"/>
              </w:rPr>
              <w:t xml:space="preserve"> </w:t>
            </w:r>
            <w:r w:rsidRPr="00EC20A0">
              <w:t>prepared</w:t>
            </w:r>
            <w:r w:rsidRPr="00EC20A0">
              <w:rPr>
                <w:spacing w:val="-8"/>
              </w:rPr>
              <w:t xml:space="preserve"> </w:t>
            </w:r>
            <w:r w:rsidRPr="00EC20A0">
              <w:rPr>
                <w:i/>
                <w:spacing w:val="-2"/>
              </w:rPr>
              <w:t>(low)</w:t>
            </w:r>
          </w:p>
          <w:p w14:paraId="24D603A3" w14:textId="77777777" w:rsidR="00245300" w:rsidRPr="00EC20A0" w:rsidRDefault="00F17249">
            <w:pPr>
              <w:pStyle w:val="TableParagraph"/>
              <w:numPr>
                <w:ilvl w:val="1"/>
                <w:numId w:val="183"/>
              </w:numPr>
              <w:tabs>
                <w:tab w:val="left" w:pos="814"/>
              </w:tabs>
              <w:ind w:left="814" w:right="182"/>
              <w:rPr>
                <w:i/>
              </w:rPr>
            </w:pPr>
            <w:r w:rsidRPr="00EC20A0">
              <w:t>IPA</w:t>
            </w:r>
            <w:r w:rsidRPr="00EC20A0">
              <w:rPr>
                <w:spacing w:val="-9"/>
              </w:rPr>
              <w:t xml:space="preserve"> </w:t>
            </w:r>
            <w:r w:rsidRPr="00EC20A0">
              <w:t>firm’s</w:t>
            </w:r>
            <w:r w:rsidRPr="00EC20A0">
              <w:rPr>
                <w:spacing w:val="-8"/>
              </w:rPr>
              <w:t xml:space="preserve"> </w:t>
            </w:r>
            <w:r w:rsidRPr="00EC20A0">
              <w:t>uncorrected</w:t>
            </w:r>
            <w:r w:rsidRPr="00EC20A0">
              <w:rPr>
                <w:spacing w:val="-8"/>
              </w:rPr>
              <w:t xml:space="preserve"> </w:t>
            </w:r>
            <w:r w:rsidRPr="00EC20A0">
              <w:t>known</w:t>
            </w:r>
            <w:r w:rsidRPr="00EC20A0">
              <w:rPr>
                <w:spacing w:val="-8"/>
              </w:rPr>
              <w:t xml:space="preserve"> </w:t>
            </w:r>
            <w:r w:rsidRPr="00EC20A0">
              <w:t>and</w:t>
            </w:r>
            <w:r w:rsidRPr="00EC20A0">
              <w:rPr>
                <w:spacing w:val="-8"/>
              </w:rPr>
              <w:t xml:space="preserve"> </w:t>
            </w:r>
            <w:r w:rsidRPr="00EC20A0">
              <w:t>likely misstatements, consideration of risk of further</w:t>
            </w:r>
            <w:r w:rsidRPr="00EC20A0">
              <w:rPr>
                <w:spacing w:val="-1"/>
              </w:rPr>
              <w:t xml:space="preserve"> </w:t>
            </w:r>
            <w:r w:rsidRPr="00EC20A0">
              <w:t>misstatements,</w:t>
            </w:r>
            <w:r w:rsidRPr="00EC20A0">
              <w:rPr>
                <w:spacing w:val="-1"/>
              </w:rPr>
              <w:t xml:space="preserve"> </w:t>
            </w:r>
            <w:r w:rsidRPr="00EC20A0">
              <w:t>and</w:t>
            </w:r>
            <w:r w:rsidRPr="00EC20A0">
              <w:rPr>
                <w:spacing w:val="-1"/>
              </w:rPr>
              <w:t xml:space="preserve"> </w:t>
            </w:r>
            <w:r w:rsidRPr="00EC20A0">
              <w:t xml:space="preserve">comparison with materiality </w:t>
            </w:r>
            <w:r w:rsidRPr="00EC20A0">
              <w:rPr>
                <w:i/>
              </w:rPr>
              <w:t>(low)</w:t>
            </w:r>
          </w:p>
          <w:p w14:paraId="24D603A4" w14:textId="77777777" w:rsidR="00245300" w:rsidRPr="00EC20A0" w:rsidRDefault="00F17249">
            <w:pPr>
              <w:pStyle w:val="TableParagraph"/>
              <w:numPr>
                <w:ilvl w:val="1"/>
                <w:numId w:val="183"/>
              </w:numPr>
              <w:tabs>
                <w:tab w:val="left" w:pos="814"/>
              </w:tabs>
              <w:spacing w:line="267" w:lineRule="exact"/>
              <w:ind w:left="814"/>
              <w:rPr>
                <w:i/>
              </w:rPr>
            </w:pPr>
            <w:r w:rsidRPr="00EC20A0">
              <w:t>audit</w:t>
            </w:r>
            <w:r w:rsidRPr="00EC20A0">
              <w:rPr>
                <w:spacing w:val="-10"/>
              </w:rPr>
              <w:t xml:space="preserve"> </w:t>
            </w:r>
            <w:r w:rsidRPr="00EC20A0">
              <w:t>completion</w:t>
            </w:r>
            <w:r w:rsidRPr="00EC20A0">
              <w:rPr>
                <w:spacing w:val="-9"/>
              </w:rPr>
              <w:t xml:space="preserve"> </w:t>
            </w:r>
            <w:r w:rsidRPr="00EC20A0">
              <w:t>checklist</w:t>
            </w:r>
            <w:r w:rsidRPr="00EC20A0">
              <w:rPr>
                <w:spacing w:val="-9"/>
              </w:rPr>
              <w:t xml:space="preserve"> </w:t>
            </w:r>
            <w:r w:rsidRPr="00EC20A0">
              <w:rPr>
                <w:i/>
                <w:spacing w:val="-2"/>
              </w:rPr>
              <w:t>(low)</w:t>
            </w:r>
          </w:p>
          <w:p w14:paraId="24D603A5" w14:textId="77777777" w:rsidR="00245300" w:rsidRPr="00EC20A0" w:rsidRDefault="00F17249">
            <w:pPr>
              <w:pStyle w:val="TableParagraph"/>
              <w:numPr>
                <w:ilvl w:val="1"/>
                <w:numId w:val="183"/>
              </w:numPr>
              <w:tabs>
                <w:tab w:val="left" w:pos="814"/>
              </w:tabs>
              <w:spacing w:line="268" w:lineRule="exact"/>
              <w:ind w:left="814"/>
            </w:pPr>
            <w:r w:rsidRPr="00EC20A0">
              <w:t>IPA</w:t>
            </w:r>
            <w:r w:rsidRPr="00EC20A0">
              <w:rPr>
                <w:spacing w:val="-7"/>
              </w:rPr>
              <w:t xml:space="preserve"> </w:t>
            </w:r>
            <w:r w:rsidRPr="00EC20A0">
              <w:t>firm’s</w:t>
            </w:r>
            <w:r w:rsidRPr="00EC20A0">
              <w:rPr>
                <w:spacing w:val="-6"/>
              </w:rPr>
              <w:t xml:space="preserve"> </w:t>
            </w:r>
            <w:r w:rsidRPr="00EC20A0">
              <w:t>audit</w:t>
            </w:r>
            <w:r w:rsidRPr="00EC20A0">
              <w:rPr>
                <w:spacing w:val="-6"/>
              </w:rPr>
              <w:t xml:space="preserve"> </w:t>
            </w:r>
            <w:r w:rsidRPr="00EC20A0">
              <w:t>summary</w:t>
            </w:r>
            <w:r w:rsidRPr="00EC20A0">
              <w:rPr>
                <w:spacing w:val="-6"/>
              </w:rPr>
              <w:t xml:space="preserve"> </w:t>
            </w:r>
            <w:r w:rsidRPr="00EC20A0">
              <w:rPr>
                <w:spacing w:val="-2"/>
              </w:rPr>
              <w:t>memorandum</w:t>
            </w:r>
          </w:p>
          <w:p w14:paraId="24D603A6" w14:textId="77777777" w:rsidR="00245300" w:rsidRPr="00EC20A0" w:rsidRDefault="00F17249">
            <w:pPr>
              <w:pStyle w:val="TableParagraph"/>
              <w:spacing w:line="252" w:lineRule="exact"/>
              <w:ind w:left="814"/>
              <w:rPr>
                <w:i/>
              </w:rPr>
            </w:pPr>
            <w:r w:rsidRPr="00EC20A0">
              <w:rPr>
                <w:i/>
                <w:spacing w:val="-2"/>
              </w:rPr>
              <w:t>(low)</w:t>
            </w:r>
          </w:p>
          <w:p w14:paraId="24D603A7" w14:textId="77777777" w:rsidR="00245300" w:rsidRPr="00EC20A0" w:rsidRDefault="00F17249">
            <w:pPr>
              <w:pStyle w:val="TableParagraph"/>
              <w:spacing w:before="119"/>
              <w:ind w:left="445"/>
            </w:pPr>
            <w:r w:rsidRPr="00EC20A0">
              <w:t>At</w:t>
            </w:r>
            <w:r w:rsidRPr="00EC20A0">
              <w:rPr>
                <w:spacing w:val="-6"/>
              </w:rPr>
              <w:t xml:space="preserve"> </w:t>
            </w:r>
            <w:r w:rsidRPr="00EC20A0">
              <w:t>the</w:t>
            </w:r>
            <w:r w:rsidRPr="00EC20A0">
              <w:rPr>
                <w:spacing w:val="-6"/>
              </w:rPr>
              <w:t xml:space="preserve"> </w:t>
            </w:r>
            <w:r w:rsidRPr="00EC20A0">
              <w:t>assertion</w:t>
            </w:r>
            <w:r w:rsidRPr="00EC20A0">
              <w:rPr>
                <w:spacing w:val="-6"/>
              </w:rPr>
              <w:t xml:space="preserve"> </w:t>
            </w:r>
            <w:r w:rsidRPr="00EC20A0">
              <w:t>level</w:t>
            </w:r>
            <w:r w:rsidRPr="00EC20A0">
              <w:rPr>
                <w:spacing w:val="-7"/>
              </w:rPr>
              <w:t xml:space="preserve"> </w:t>
            </w:r>
            <w:r w:rsidRPr="00EC20A0">
              <w:t>for</w:t>
            </w:r>
            <w:r w:rsidRPr="00EC20A0">
              <w:rPr>
                <w:spacing w:val="-7"/>
              </w:rPr>
              <w:t xml:space="preserve"> </w:t>
            </w:r>
            <w:r w:rsidRPr="00EC20A0">
              <w:t>material</w:t>
            </w:r>
            <w:r w:rsidRPr="00EC20A0">
              <w:rPr>
                <w:spacing w:val="-6"/>
              </w:rPr>
              <w:t xml:space="preserve"> </w:t>
            </w:r>
            <w:r w:rsidRPr="00EC20A0">
              <w:t>line</w:t>
            </w:r>
            <w:r w:rsidRPr="00EC20A0">
              <w:rPr>
                <w:spacing w:val="-6"/>
              </w:rPr>
              <w:t xml:space="preserve"> </w:t>
            </w:r>
            <w:r w:rsidRPr="00EC20A0">
              <w:t xml:space="preserve">items, accounts, note disclosures, and classes of </w:t>
            </w:r>
            <w:r w:rsidRPr="00EC20A0">
              <w:rPr>
                <w:spacing w:val="-2"/>
              </w:rPr>
              <w:t>transactions:</w:t>
            </w:r>
          </w:p>
          <w:p w14:paraId="24D603A8" w14:textId="77777777" w:rsidR="00245300" w:rsidRPr="00EC20A0" w:rsidRDefault="00F17249">
            <w:pPr>
              <w:pStyle w:val="TableParagraph"/>
              <w:numPr>
                <w:ilvl w:val="1"/>
                <w:numId w:val="183"/>
              </w:numPr>
              <w:tabs>
                <w:tab w:val="left" w:pos="814"/>
              </w:tabs>
              <w:spacing w:before="120"/>
              <w:ind w:left="814" w:right="219"/>
              <w:rPr>
                <w:i/>
              </w:rPr>
            </w:pPr>
            <w:r w:rsidRPr="00EC20A0">
              <w:t>IPA</w:t>
            </w:r>
            <w:r w:rsidRPr="00EC20A0">
              <w:rPr>
                <w:spacing w:val="-11"/>
              </w:rPr>
              <w:t xml:space="preserve"> </w:t>
            </w:r>
            <w:r w:rsidRPr="00EC20A0">
              <w:t>firm’s</w:t>
            </w:r>
            <w:r w:rsidRPr="00EC20A0">
              <w:rPr>
                <w:spacing w:val="-10"/>
              </w:rPr>
              <w:t xml:space="preserve"> </w:t>
            </w:r>
            <w:r w:rsidRPr="00EC20A0">
              <w:t>conclusions</w:t>
            </w:r>
            <w:r w:rsidRPr="00EC20A0">
              <w:rPr>
                <w:spacing w:val="-10"/>
              </w:rPr>
              <w:t xml:space="preserve"> </w:t>
            </w:r>
            <w:r w:rsidRPr="00EC20A0">
              <w:t>about</w:t>
            </w:r>
            <w:r w:rsidRPr="00EC20A0">
              <w:rPr>
                <w:spacing w:val="-10"/>
              </w:rPr>
              <w:t xml:space="preserve"> </w:t>
            </w:r>
            <w:r w:rsidRPr="00EC20A0">
              <w:t xml:space="preserve">significant issues and their resolution (often in audit summary) </w:t>
            </w:r>
            <w:r w:rsidRPr="00EC20A0">
              <w:rPr>
                <w:i/>
              </w:rPr>
              <w:t>(low)</w:t>
            </w:r>
          </w:p>
          <w:p w14:paraId="24D603A9" w14:textId="77777777" w:rsidR="00245300" w:rsidRPr="00EC20A0" w:rsidRDefault="00F17249">
            <w:pPr>
              <w:pStyle w:val="TableParagraph"/>
              <w:numPr>
                <w:ilvl w:val="1"/>
                <w:numId w:val="183"/>
              </w:numPr>
              <w:tabs>
                <w:tab w:val="left" w:pos="813"/>
              </w:tabs>
              <w:ind w:left="813" w:right="465"/>
              <w:rPr>
                <w:i/>
              </w:rPr>
            </w:pPr>
            <w:r w:rsidRPr="00EC20A0">
              <w:t>IPA</w:t>
            </w:r>
            <w:r w:rsidRPr="00EC20A0">
              <w:rPr>
                <w:spacing w:val="-14"/>
              </w:rPr>
              <w:t xml:space="preserve"> </w:t>
            </w:r>
            <w:r w:rsidRPr="00EC20A0">
              <w:t>firm’s</w:t>
            </w:r>
            <w:r w:rsidRPr="00EC20A0">
              <w:rPr>
                <w:spacing w:val="-13"/>
              </w:rPr>
              <w:t xml:space="preserve"> </w:t>
            </w:r>
            <w:r w:rsidRPr="00EC20A0">
              <w:t>documentation</w:t>
            </w:r>
            <w:r w:rsidRPr="00EC20A0">
              <w:rPr>
                <w:spacing w:val="-13"/>
              </w:rPr>
              <w:t xml:space="preserve"> </w:t>
            </w:r>
            <w:r w:rsidRPr="00EC20A0">
              <w:t xml:space="preserve">evidencing significant IPA firm judgments and conclusions </w:t>
            </w:r>
            <w:r w:rsidRPr="00EC20A0">
              <w:rPr>
                <w:i/>
              </w:rPr>
              <w:t>(moderate)</w:t>
            </w:r>
          </w:p>
        </w:tc>
        <w:tc>
          <w:tcPr>
            <w:tcW w:w="4697" w:type="dxa"/>
            <w:tcBorders>
              <w:left w:val="single" w:sz="6" w:space="0" w:color="000000"/>
            </w:tcBorders>
          </w:tcPr>
          <w:p w14:paraId="24D603AA" w14:textId="77777777" w:rsidR="00245300" w:rsidRPr="00EC20A0" w:rsidRDefault="00F17249">
            <w:pPr>
              <w:pStyle w:val="TableParagraph"/>
              <w:numPr>
                <w:ilvl w:val="0"/>
                <w:numId w:val="182"/>
              </w:numPr>
              <w:tabs>
                <w:tab w:val="left" w:pos="454"/>
              </w:tabs>
              <w:spacing w:before="120"/>
              <w:ind w:left="454" w:hanging="359"/>
            </w:pPr>
            <w:r w:rsidRPr="00EC20A0">
              <w:t>IPA-firm</w:t>
            </w:r>
            <w:r w:rsidRPr="00EC20A0">
              <w:rPr>
                <w:spacing w:val="-10"/>
              </w:rPr>
              <w:t xml:space="preserve"> </w:t>
            </w:r>
            <w:r w:rsidRPr="00EC20A0">
              <w:rPr>
                <w:spacing w:val="-2"/>
              </w:rPr>
              <w:t>prepared:</w:t>
            </w:r>
          </w:p>
          <w:p w14:paraId="24D603AB" w14:textId="77777777" w:rsidR="00245300" w:rsidRPr="00EC20A0" w:rsidRDefault="00F17249">
            <w:pPr>
              <w:pStyle w:val="TableParagraph"/>
              <w:numPr>
                <w:ilvl w:val="1"/>
                <w:numId w:val="182"/>
              </w:numPr>
              <w:tabs>
                <w:tab w:val="left" w:pos="825"/>
              </w:tabs>
              <w:spacing w:before="119" w:line="269" w:lineRule="exact"/>
            </w:pPr>
            <w:r w:rsidRPr="00EC20A0">
              <w:t>entity</w:t>
            </w:r>
            <w:r w:rsidRPr="00EC20A0">
              <w:rPr>
                <w:spacing w:val="-6"/>
              </w:rPr>
              <w:t xml:space="preserve"> </w:t>
            </w:r>
            <w:r w:rsidRPr="00EC20A0">
              <w:rPr>
                <w:spacing w:val="-2"/>
              </w:rPr>
              <w:t>profile</w:t>
            </w:r>
          </w:p>
          <w:p w14:paraId="24D603AC" w14:textId="77777777" w:rsidR="00245300" w:rsidRPr="00EC20A0" w:rsidRDefault="00F17249">
            <w:pPr>
              <w:pStyle w:val="TableParagraph"/>
              <w:numPr>
                <w:ilvl w:val="1"/>
                <w:numId w:val="182"/>
              </w:numPr>
              <w:tabs>
                <w:tab w:val="left" w:pos="825"/>
              </w:tabs>
              <w:spacing w:line="268" w:lineRule="exact"/>
            </w:pPr>
            <w:r w:rsidRPr="00EC20A0">
              <w:t>audit</w:t>
            </w:r>
            <w:r w:rsidRPr="00EC20A0">
              <w:rPr>
                <w:spacing w:val="-5"/>
              </w:rPr>
              <w:t xml:space="preserve"> </w:t>
            </w:r>
            <w:r w:rsidRPr="00EC20A0">
              <w:rPr>
                <w:spacing w:val="-2"/>
              </w:rPr>
              <w:t>program</w:t>
            </w:r>
          </w:p>
          <w:p w14:paraId="24D603AD" w14:textId="77777777" w:rsidR="00245300" w:rsidRPr="00EC20A0" w:rsidRDefault="00F17249">
            <w:pPr>
              <w:pStyle w:val="TableParagraph"/>
              <w:numPr>
                <w:ilvl w:val="1"/>
                <w:numId w:val="182"/>
              </w:numPr>
              <w:tabs>
                <w:tab w:val="left" w:pos="825"/>
              </w:tabs>
              <w:spacing w:line="268" w:lineRule="exact"/>
            </w:pPr>
            <w:r w:rsidRPr="00EC20A0">
              <w:rPr>
                <w:spacing w:val="-2"/>
              </w:rPr>
              <w:t>representation</w:t>
            </w:r>
            <w:r w:rsidRPr="00EC20A0">
              <w:rPr>
                <w:spacing w:val="11"/>
              </w:rPr>
              <w:t xml:space="preserve"> </w:t>
            </w:r>
            <w:r w:rsidRPr="00EC20A0">
              <w:rPr>
                <w:spacing w:val="-2"/>
              </w:rPr>
              <w:t>letters</w:t>
            </w:r>
          </w:p>
          <w:p w14:paraId="24D603AE" w14:textId="77777777" w:rsidR="00245300" w:rsidRPr="00EC20A0" w:rsidRDefault="00F17249">
            <w:pPr>
              <w:pStyle w:val="TableParagraph"/>
              <w:numPr>
                <w:ilvl w:val="1"/>
                <w:numId w:val="182"/>
              </w:numPr>
              <w:tabs>
                <w:tab w:val="left" w:pos="824"/>
              </w:tabs>
              <w:spacing w:line="268" w:lineRule="exact"/>
              <w:ind w:left="824" w:hanging="359"/>
            </w:pPr>
            <w:r w:rsidRPr="00EC20A0">
              <w:t>line</w:t>
            </w:r>
            <w:r w:rsidRPr="00EC20A0">
              <w:rPr>
                <w:spacing w:val="-6"/>
              </w:rPr>
              <w:t xml:space="preserve"> </w:t>
            </w:r>
            <w:r w:rsidRPr="00EC20A0">
              <w:t>item</w:t>
            </w:r>
            <w:r w:rsidRPr="00EC20A0">
              <w:rPr>
                <w:spacing w:val="-7"/>
              </w:rPr>
              <w:t xml:space="preserve"> </w:t>
            </w:r>
            <w:r w:rsidRPr="00EC20A0">
              <w:t>risk</w:t>
            </w:r>
            <w:r w:rsidRPr="00EC20A0">
              <w:rPr>
                <w:spacing w:val="-7"/>
              </w:rPr>
              <w:t xml:space="preserve"> </w:t>
            </w:r>
            <w:r w:rsidRPr="00EC20A0">
              <w:t>analysis</w:t>
            </w:r>
            <w:r w:rsidRPr="00EC20A0">
              <w:rPr>
                <w:spacing w:val="-6"/>
              </w:rPr>
              <w:t xml:space="preserve"> </w:t>
            </w:r>
            <w:r w:rsidRPr="00EC20A0">
              <w:t>(LIRA)</w:t>
            </w:r>
            <w:r w:rsidRPr="00EC20A0">
              <w:rPr>
                <w:spacing w:val="-6"/>
              </w:rPr>
              <w:t xml:space="preserve"> </w:t>
            </w:r>
            <w:r w:rsidRPr="00EC20A0">
              <w:rPr>
                <w:spacing w:val="-2"/>
              </w:rPr>
              <w:t>forms</w:t>
            </w:r>
          </w:p>
          <w:p w14:paraId="24D603AF" w14:textId="77777777" w:rsidR="00245300" w:rsidRPr="00EC20A0" w:rsidRDefault="00F17249">
            <w:pPr>
              <w:pStyle w:val="TableParagraph"/>
              <w:numPr>
                <w:ilvl w:val="1"/>
                <w:numId w:val="182"/>
              </w:numPr>
              <w:tabs>
                <w:tab w:val="left" w:pos="825"/>
              </w:tabs>
              <w:ind w:right="668" w:hanging="361"/>
            </w:pPr>
            <w:r w:rsidRPr="00EC20A0">
              <w:t>specific</w:t>
            </w:r>
            <w:r w:rsidRPr="00EC20A0">
              <w:rPr>
                <w:spacing w:val="-13"/>
              </w:rPr>
              <w:t xml:space="preserve"> </w:t>
            </w:r>
            <w:r w:rsidRPr="00EC20A0">
              <w:t>control</w:t>
            </w:r>
            <w:r w:rsidRPr="00EC20A0">
              <w:rPr>
                <w:spacing w:val="-13"/>
              </w:rPr>
              <w:t xml:space="preserve"> </w:t>
            </w:r>
            <w:r w:rsidRPr="00EC20A0">
              <w:t>evaluation</w:t>
            </w:r>
            <w:r w:rsidRPr="00EC20A0">
              <w:rPr>
                <w:spacing w:val="-13"/>
              </w:rPr>
              <w:t xml:space="preserve"> </w:t>
            </w:r>
            <w:r w:rsidRPr="00EC20A0">
              <w:t xml:space="preserve">(SCE) </w:t>
            </w:r>
            <w:r w:rsidRPr="00EC20A0">
              <w:rPr>
                <w:spacing w:val="-2"/>
              </w:rPr>
              <w:t>worksheets</w:t>
            </w:r>
          </w:p>
          <w:p w14:paraId="24D603B0" w14:textId="77777777" w:rsidR="00245300" w:rsidRPr="00EC20A0" w:rsidRDefault="00F17249">
            <w:pPr>
              <w:pStyle w:val="TableParagraph"/>
              <w:numPr>
                <w:ilvl w:val="1"/>
                <w:numId w:val="182"/>
              </w:numPr>
              <w:tabs>
                <w:tab w:val="left" w:pos="825"/>
              </w:tabs>
              <w:spacing w:line="267" w:lineRule="exact"/>
            </w:pPr>
            <w:r w:rsidRPr="00EC20A0">
              <w:t>sampling</w:t>
            </w:r>
            <w:r w:rsidRPr="00EC20A0">
              <w:rPr>
                <w:spacing w:val="-10"/>
              </w:rPr>
              <w:t xml:space="preserve"> </w:t>
            </w:r>
            <w:r w:rsidRPr="00EC20A0">
              <w:rPr>
                <w:spacing w:val="-2"/>
              </w:rPr>
              <w:t>plans</w:t>
            </w:r>
          </w:p>
          <w:p w14:paraId="24D603B1" w14:textId="77777777" w:rsidR="00245300" w:rsidRPr="00EC20A0" w:rsidRDefault="00F17249">
            <w:pPr>
              <w:pStyle w:val="TableParagraph"/>
              <w:numPr>
                <w:ilvl w:val="1"/>
                <w:numId w:val="182"/>
              </w:numPr>
              <w:tabs>
                <w:tab w:val="left" w:pos="825"/>
              </w:tabs>
              <w:spacing w:line="268" w:lineRule="exact"/>
            </w:pPr>
            <w:r w:rsidRPr="00EC20A0">
              <w:t>trial</w:t>
            </w:r>
            <w:r w:rsidRPr="00EC20A0">
              <w:rPr>
                <w:spacing w:val="-4"/>
              </w:rPr>
              <w:t xml:space="preserve"> </w:t>
            </w:r>
            <w:r w:rsidRPr="00EC20A0">
              <w:rPr>
                <w:spacing w:val="-2"/>
              </w:rPr>
              <w:t>balance</w:t>
            </w:r>
          </w:p>
          <w:p w14:paraId="24D603B2" w14:textId="77777777" w:rsidR="00245300" w:rsidRPr="00EC20A0" w:rsidRDefault="00F17249">
            <w:pPr>
              <w:pStyle w:val="TableParagraph"/>
              <w:numPr>
                <w:ilvl w:val="1"/>
                <w:numId w:val="182"/>
              </w:numPr>
              <w:tabs>
                <w:tab w:val="left" w:pos="825"/>
              </w:tabs>
              <w:spacing w:line="268" w:lineRule="exact"/>
            </w:pPr>
            <w:r w:rsidRPr="00EC20A0">
              <w:t>lead</w:t>
            </w:r>
            <w:r w:rsidRPr="00EC20A0">
              <w:rPr>
                <w:spacing w:val="-5"/>
              </w:rPr>
              <w:t xml:space="preserve"> </w:t>
            </w:r>
            <w:r w:rsidRPr="00EC20A0">
              <w:rPr>
                <w:spacing w:val="-2"/>
              </w:rPr>
              <w:t>schedules</w:t>
            </w:r>
          </w:p>
          <w:p w14:paraId="24D603B3" w14:textId="77777777" w:rsidR="00245300" w:rsidRPr="00EC20A0" w:rsidRDefault="00F17249">
            <w:pPr>
              <w:pStyle w:val="TableParagraph"/>
              <w:numPr>
                <w:ilvl w:val="1"/>
                <w:numId w:val="182"/>
              </w:numPr>
              <w:tabs>
                <w:tab w:val="left" w:pos="825"/>
              </w:tabs>
              <w:spacing w:line="269" w:lineRule="exact"/>
            </w:pPr>
            <w:r w:rsidRPr="00EC20A0">
              <w:t>evaluation</w:t>
            </w:r>
            <w:r w:rsidRPr="00EC20A0">
              <w:rPr>
                <w:spacing w:val="-7"/>
              </w:rPr>
              <w:t xml:space="preserve"> </w:t>
            </w:r>
            <w:r w:rsidRPr="00EC20A0">
              <w:t>of</w:t>
            </w:r>
            <w:r w:rsidRPr="00EC20A0">
              <w:rPr>
                <w:spacing w:val="-7"/>
              </w:rPr>
              <w:t xml:space="preserve"> </w:t>
            </w:r>
            <w:r w:rsidRPr="00EC20A0">
              <w:t>sample</w:t>
            </w:r>
            <w:r w:rsidRPr="00EC20A0">
              <w:rPr>
                <w:spacing w:val="-7"/>
              </w:rPr>
              <w:t xml:space="preserve"> </w:t>
            </w:r>
            <w:r w:rsidRPr="00EC20A0">
              <w:rPr>
                <w:spacing w:val="-2"/>
              </w:rPr>
              <w:t>results</w:t>
            </w:r>
          </w:p>
        </w:tc>
      </w:tr>
    </w:tbl>
    <w:p w14:paraId="24D603B5" w14:textId="77777777" w:rsidR="00245300" w:rsidRPr="00EC20A0" w:rsidRDefault="00245300">
      <w:pPr>
        <w:spacing w:line="269" w:lineRule="exact"/>
        <w:sectPr w:rsidR="00245300" w:rsidRPr="00EC20A0">
          <w:pgSz w:w="12240" w:h="15840"/>
          <w:pgMar w:top="1600" w:right="940" w:bottom="940" w:left="1020" w:header="721" w:footer="757" w:gutter="0"/>
          <w:cols w:space="720"/>
        </w:sectPr>
      </w:pPr>
    </w:p>
    <w:p w14:paraId="24D603B6" w14:textId="77777777" w:rsidR="00245300" w:rsidRPr="00EC20A0" w:rsidRDefault="00F17249">
      <w:pPr>
        <w:pStyle w:val="Heading3"/>
        <w:spacing w:before="240"/>
        <w:ind w:left="420" w:right="562"/>
        <w:rPr>
          <w:u w:val="none"/>
        </w:rPr>
      </w:pPr>
      <w:bookmarkStart w:id="113" w:name="670_B_–_Example_Transmittal_Letter_When_"/>
      <w:bookmarkStart w:id="114" w:name="_bookmark35"/>
      <w:bookmarkEnd w:id="113"/>
      <w:bookmarkEnd w:id="114"/>
      <w:r w:rsidRPr="00EC20A0">
        <w:t>670 B – Example Transmittal Letter When Providing</w:t>
      </w:r>
      <w:r w:rsidRPr="00EC20A0">
        <w:rPr>
          <w:u w:val="none"/>
        </w:rPr>
        <w:t xml:space="preserve"> </w:t>
      </w:r>
      <w:r w:rsidRPr="00EC20A0">
        <w:t>Oversight</w:t>
      </w:r>
      <w:r w:rsidRPr="00EC20A0">
        <w:rPr>
          <w:spacing w:val="-10"/>
        </w:rPr>
        <w:t xml:space="preserve"> </w:t>
      </w:r>
      <w:r w:rsidRPr="00EC20A0">
        <w:t>of</w:t>
      </w:r>
      <w:r w:rsidRPr="00EC20A0">
        <w:rPr>
          <w:spacing w:val="-20"/>
        </w:rPr>
        <w:t xml:space="preserve"> </w:t>
      </w:r>
      <w:r w:rsidRPr="00EC20A0">
        <w:t>Audits</w:t>
      </w:r>
      <w:r w:rsidRPr="00EC20A0">
        <w:rPr>
          <w:spacing w:val="-9"/>
        </w:rPr>
        <w:t xml:space="preserve"> </w:t>
      </w:r>
      <w:r w:rsidRPr="00EC20A0">
        <w:t>Performed</w:t>
      </w:r>
      <w:r w:rsidRPr="00EC20A0">
        <w:rPr>
          <w:spacing w:val="-11"/>
        </w:rPr>
        <w:t xml:space="preserve"> </w:t>
      </w:r>
      <w:r w:rsidRPr="00EC20A0">
        <w:t>by</w:t>
      </w:r>
      <w:r w:rsidRPr="00EC20A0">
        <w:rPr>
          <w:spacing w:val="-9"/>
        </w:rPr>
        <w:t xml:space="preserve"> </w:t>
      </w:r>
      <w:r w:rsidRPr="00EC20A0">
        <w:t>Contracted</w:t>
      </w:r>
      <w:r w:rsidRPr="00EC20A0">
        <w:rPr>
          <w:spacing w:val="-10"/>
        </w:rPr>
        <w:t xml:space="preserve"> </w:t>
      </w:r>
      <w:r w:rsidRPr="00EC20A0">
        <w:t>IPA</w:t>
      </w:r>
      <w:r w:rsidRPr="00EC20A0">
        <w:rPr>
          <w:spacing w:val="-21"/>
        </w:rPr>
        <w:t xml:space="preserve"> </w:t>
      </w:r>
      <w:r w:rsidRPr="00EC20A0">
        <w:t>Firms</w:t>
      </w:r>
    </w:p>
    <w:p w14:paraId="24D603B7" w14:textId="77777777" w:rsidR="00245300" w:rsidRPr="00EC20A0" w:rsidRDefault="00F17249">
      <w:pPr>
        <w:pStyle w:val="BodyText"/>
        <w:spacing w:before="241"/>
        <w:ind w:left="418" w:right="562" w:firstLine="1"/>
      </w:pPr>
      <w:r w:rsidRPr="00EC20A0">
        <w:t>As discussed in FAM 670.22, there are two types of transmittal letters based on the auditor’s oversight of the IPA firm’s work: one expressing no assurance and one expressing negative assurance</w:t>
      </w:r>
      <w:r w:rsidRPr="00EC20A0">
        <w:rPr>
          <w:spacing w:val="-4"/>
        </w:rPr>
        <w:t xml:space="preserve"> </w:t>
      </w:r>
      <w:r w:rsidRPr="00EC20A0">
        <w:t>specifically</w:t>
      </w:r>
      <w:r w:rsidRPr="00EC20A0">
        <w:rPr>
          <w:spacing w:val="-3"/>
        </w:rPr>
        <w:t xml:space="preserve"> </w:t>
      </w:r>
      <w:r w:rsidRPr="00EC20A0">
        <w:t>related</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IPA</w:t>
      </w:r>
      <w:r w:rsidRPr="00EC20A0">
        <w:rPr>
          <w:spacing w:val="-3"/>
        </w:rPr>
        <w:t xml:space="preserve"> </w:t>
      </w:r>
      <w:r w:rsidRPr="00EC20A0">
        <w:t>firm’s</w:t>
      </w:r>
      <w:r w:rsidRPr="00EC20A0">
        <w:rPr>
          <w:spacing w:val="-3"/>
        </w:rPr>
        <w:t xml:space="preserve"> </w:t>
      </w:r>
      <w:r w:rsidRPr="00EC20A0">
        <w:t>compliance</w:t>
      </w:r>
      <w:r w:rsidRPr="00EC20A0">
        <w:rPr>
          <w:spacing w:val="-3"/>
        </w:rPr>
        <w:t xml:space="preserve"> </w:t>
      </w:r>
      <w:r w:rsidRPr="00EC20A0">
        <w:t>with</w:t>
      </w:r>
      <w:r w:rsidRPr="00EC20A0">
        <w:rPr>
          <w:spacing w:val="-3"/>
        </w:rPr>
        <w:t xml:space="preserve"> </w:t>
      </w:r>
      <w:r w:rsidRPr="00EC20A0">
        <w:t>GAGAS.</w:t>
      </w:r>
      <w:r w:rsidRPr="00EC20A0">
        <w:rPr>
          <w:spacing w:val="-3"/>
        </w:rPr>
        <w:t xml:space="preserve"> </w:t>
      </w:r>
      <w:r w:rsidRPr="00EC20A0">
        <w:t>The</w:t>
      </w:r>
      <w:r w:rsidRPr="00EC20A0">
        <w:rPr>
          <w:spacing w:val="-3"/>
        </w:rPr>
        <w:t xml:space="preserve"> </w:t>
      </w:r>
      <w:r w:rsidRPr="00EC20A0">
        <w:t>example</w:t>
      </w:r>
      <w:r w:rsidRPr="00EC20A0">
        <w:rPr>
          <w:spacing w:val="-3"/>
        </w:rPr>
        <w:t xml:space="preserve"> </w:t>
      </w:r>
      <w:r w:rsidRPr="00EC20A0">
        <w:t xml:space="preserve">presents a transmittal letter in which an IG contracts with an IPA firm to perform an audit of financial statements and either expresses no assurance or expresses negative assurance specifically related to the IPA </w:t>
      </w:r>
      <w:r w:rsidRPr="00EC20A0">
        <w:t>firm’s compliance with GAGAS.</w:t>
      </w:r>
    </w:p>
    <w:p w14:paraId="24D603B8" w14:textId="77777777" w:rsidR="00245300" w:rsidRPr="00EC20A0" w:rsidRDefault="00245300">
      <w:pPr>
        <w:sectPr w:rsidR="00245300" w:rsidRPr="00EC20A0">
          <w:headerReference w:type="default" r:id="rId49"/>
          <w:footerReference w:type="default" r:id="rId50"/>
          <w:pgSz w:w="12240" w:h="15840"/>
          <w:pgMar w:top="1600" w:right="940" w:bottom="940" w:left="1020" w:header="721" w:footer="757" w:gutter="0"/>
          <w:pgNumType w:start="1"/>
          <w:cols w:space="720"/>
        </w:sectPr>
      </w:pPr>
    </w:p>
    <w:p w14:paraId="001B3269" w14:textId="77777777" w:rsidR="005811FE" w:rsidRDefault="005811FE" w:rsidP="005811FE">
      <w:pPr>
        <w:ind w:left="450"/>
        <w:rPr>
          <w:b/>
          <w:bCs/>
        </w:rPr>
      </w:pPr>
    </w:p>
    <w:p w14:paraId="24D603B9" w14:textId="0A231CF9" w:rsidR="00245300" w:rsidRPr="005811FE" w:rsidRDefault="00F17249" w:rsidP="005811FE">
      <w:pPr>
        <w:ind w:left="450"/>
        <w:rPr>
          <w:b/>
          <w:bCs/>
        </w:rPr>
      </w:pPr>
      <w:r w:rsidRPr="005811FE">
        <w:rPr>
          <w:b/>
          <w:bCs/>
        </w:rPr>
        <w:t>Example: Transmittal Letter for IGs Who Contract with an IPA Firm and Expresses No Assurance or Negative Assurance Related to the Firm’s Compliance with GAGAS</w:t>
      </w:r>
    </w:p>
    <w:p w14:paraId="24D603BA" w14:textId="77777777" w:rsidR="00245300" w:rsidRPr="00EC20A0" w:rsidRDefault="00F17249">
      <w:pPr>
        <w:spacing w:before="239"/>
        <w:ind w:left="420"/>
        <w:rPr>
          <w:b/>
        </w:rPr>
      </w:pPr>
      <w:r w:rsidRPr="00EC20A0">
        <w:t>To</w:t>
      </w:r>
      <w:r w:rsidRPr="00EC20A0">
        <w:rPr>
          <w:spacing w:val="-9"/>
        </w:rPr>
        <w:t xml:space="preserve"> </w:t>
      </w:r>
      <w:r w:rsidRPr="00EC20A0">
        <w:rPr>
          <w:b/>
        </w:rPr>
        <w:t>[appropriate</w:t>
      </w:r>
      <w:r w:rsidRPr="00EC20A0">
        <w:rPr>
          <w:b/>
          <w:spacing w:val="-9"/>
        </w:rPr>
        <w:t xml:space="preserve"> </w:t>
      </w:r>
      <w:r w:rsidRPr="00EC20A0">
        <w:rPr>
          <w:b/>
          <w:spacing w:val="-2"/>
        </w:rPr>
        <w:t>addressee]</w:t>
      </w:r>
    </w:p>
    <w:p w14:paraId="24D603BB" w14:textId="77777777" w:rsidR="00245300" w:rsidRPr="00EC20A0" w:rsidRDefault="00F17249">
      <w:pPr>
        <w:pStyle w:val="BodyText"/>
        <w:spacing w:before="240"/>
        <w:ind w:left="418" w:right="537" w:firstLine="1"/>
      </w:pPr>
      <w:r w:rsidRPr="00EC20A0">
        <w:t xml:space="preserve">We contracted with the independent public accounting firm of </w:t>
      </w:r>
      <w:r w:rsidRPr="00EC20A0">
        <w:rPr>
          <w:b/>
        </w:rPr>
        <w:t xml:space="preserve">[IPA firm] </w:t>
      </w:r>
      <w:r w:rsidRPr="00EC20A0">
        <w:t>to audit the financial statements</w:t>
      </w:r>
      <w:r w:rsidRPr="00EC20A0">
        <w:rPr>
          <w:spacing w:val="-3"/>
        </w:rPr>
        <w:t xml:space="preserve"> </w:t>
      </w:r>
      <w:r w:rsidRPr="00EC20A0">
        <w:t>of</w:t>
      </w:r>
      <w:r w:rsidRPr="00EC20A0">
        <w:rPr>
          <w:spacing w:val="-3"/>
        </w:rPr>
        <w:t xml:space="preserve"> </w:t>
      </w:r>
      <w:r w:rsidRPr="00EC20A0">
        <w:rPr>
          <w:b/>
        </w:rPr>
        <w:t>[entity]</w:t>
      </w:r>
      <w:r w:rsidRPr="00EC20A0">
        <w:rPr>
          <w:b/>
          <w:spacing w:val="-3"/>
        </w:rPr>
        <w:t xml:space="preserve"> </w:t>
      </w:r>
      <w:r w:rsidRPr="00EC20A0">
        <w:t>as</w:t>
      </w:r>
      <w:r w:rsidRPr="00EC20A0">
        <w:rPr>
          <w:spacing w:val="-3"/>
        </w:rPr>
        <w:t xml:space="preserve"> </w:t>
      </w:r>
      <w:r w:rsidRPr="00EC20A0">
        <w:t>of</w:t>
      </w:r>
      <w:r w:rsidRPr="00EC20A0">
        <w:rPr>
          <w:spacing w:val="-3"/>
        </w:rPr>
        <w:t xml:space="preserve"> </w:t>
      </w:r>
      <w:r w:rsidRPr="00EC20A0">
        <w:t>and</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fiscal</w:t>
      </w:r>
      <w:r w:rsidRPr="00EC20A0">
        <w:rPr>
          <w:spacing w:val="-4"/>
        </w:rPr>
        <w:t xml:space="preserve"> </w:t>
      </w:r>
      <w:r w:rsidRPr="00EC20A0">
        <w:t>years</w:t>
      </w:r>
      <w:r w:rsidRPr="00EC20A0">
        <w:rPr>
          <w:spacing w:val="-3"/>
        </w:rPr>
        <w:t xml:space="preserve"> </w:t>
      </w:r>
      <w:r w:rsidRPr="00EC20A0">
        <w:t>ended</w:t>
      </w:r>
      <w:r w:rsidRPr="00EC20A0">
        <w:rPr>
          <w:spacing w:val="-3"/>
        </w:rPr>
        <w:t xml:space="preserve"> </w:t>
      </w:r>
      <w:r w:rsidRPr="00EC20A0">
        <w:rPr>
          <w:b/>
        </w:rPr>
        <w:t>[September</w:t>
      </w:r>
      <w:r w:rsidRPr="00EC20A0">
        <w:rPr>
          <w:b/>
          <w:spacing w:val="-3"/>
        </w:rPr>
        <w:t xml:space="preserve"> </w:t>
      </w:r>
      <w:r w:rsidRPr="00EC20A0">
        <w:rPr>
          <w:b/>
        </w:rPr>
        <w:t>30,</w:t>
      </w:r>
      <w:r w:rsidRPr="00EC20A0">
        <w:rPr>
          <w:b/>
          <w:spacing w:val="-3"/>
        </w:rPr>
        <w:t xml:space="preserve"> </w:t>
      </w:r>
      <w:r w:rsidRPr="00EC20A0">
        <w:rPr>
          <w:b/>
        </w:rPr>
        <w:t>20XX,</w:t>
      </w:r>
      <w:r w:rsidRPr="00EC20A0">
        <w:rPr>
          <w:b/>
          <w:spacing w:val="-3"/>
        </w:rPr>
        <w:t xml:space="preserve"> </w:t>
      </w:r>
      <w:r w:rsidRPr="00EC20A0">
        <w:rPr>
          <w:b/>
        </w:rPr>
        <w:t>and</w:t>
      </w:r>
      <w:r w:rsidRPr="00EC20A0">
        <w:rPr>
          <w:b/>
          <w:spacing w:val="-3"/>
        </w:rPr>
        <w:t xml:space="preserve"> </w:t>
      </w:r>
      <w:r w:rsidRPr="00EC20A0">
        <w:rPr>
          <w:b/>
        </w:rPr>
        <w:t>20XX]</w:t>
      </w:r>
      <w:r w:rsidRPr="00EC20A0">
        <w:t>,</w:t>
      </w:r>
      <w:r w:rsidRPr="00EC20A0">
        <w:rPr>
          <w:spacing w:val="-3"/>
        </w:rPr>
        <w:t xml:space="preserve"> </w:t>
      </w:r>
      <w:r w:rsidRPr="00EC20A0">
        <w:t xml:space="preserve">to provide an opinion </w:t>
      </w:r>
      <w:r w:rsidRPr="00EC20A0">
        <w:rPr>
          <w:b/>
        </w:rPr>
        <w:t xml:space="preserve">[or a report] </w:t>
      </w:r>
      <w:r w:rsidRPr="00EC20A0">
        <w:t xml:space="preserve">on internal control over financial reporting, report on compliance with laws and other matters, and provide an opinion on whether </w:t>
      </w:r>
      <w:r w:rsidRPr="00EC20A0">
        <w:rPr>
          <w:b/>
        </w:rPr>
        <w:t xml:space="preserve">[entity’s] </w:t>
      </w:r>
      <w:r w:rsidRPr="00EC20A0">
        <w:t>financial management systems complied substantially</w:t>
      </w:r>
      <w:hyperlink w:anchor="_bookmark36" w:history="1">
        <w:r w:rsidRPr="00EC20A0">
          <w:rPr>
            <w:position w:val="7"/>
            <w:sz w:val="14"/>
          </w:rPr>
          <w:t>25</w:t>
        </w:r>
      </w:hyperlink>
      <w:r w:rsidRPr="00EC20A0">
        <w:rPr>
          <w:spacing w:val="35"/>
          <w:position w:val="7"/>
          <w:sz w:val="14"/>
        </w:rPr>
        <w:t xml:space="preserve"> </w:t>
      </w:r>
      <w:r w:rsidRPr="00EC20A0">
        <w:t xml:space="preserve">with the </w:t>
      </w:r>
      <w:r w:rsidRPr="00EC20A0">
        <w:t>requirements of the Federal Financial Management Improvement Act of 1996 (FFMIA).</w:t>
      </w:r>
      <w:hyperlink w:anchor="_bookmark37" w:history="1">
        <w:r w:rsidRPr="00EC20A0">
          <w:rPr>
            <w:position w:val="7"/>
            <w:sz w:val="14"/>
          </w:rPr>
          <w:t>26</w:t>
        </w:r>
      </w:hyperlink>
      <w:r w:rsidRPr="00EC20A0">
        <w:rPr>
          <w:spacing w:val="33"/>
          <w:position w:val="7"/>
          <w:sz w:val="14"/>
        </w:rPr>
        <w:t xml:space="preserve"> </w:t>
      </w:r>
      <w:r w:rsidRPr="00EC20A0">
        <w:t>The contract required that the audit be performed</w:t>
      </w:r>
      <w:r w:rsidRPr="00EC20A0">
        <w:rPr>
          <w:spacing w:val="-2"/>
        </w:rPr>
        <w:t xml:space="preserve"> </w:t>
      </w:r>
      <w:r w:rsidRPr="00EC20A0">
        <w:t>in</w:t>
      </w:r>
      <w:r w:rsidRPr="00EC20A0">
        <w:rPr>
          <w:spacing w:val="-2"/>
        </w:rPr>
        <w:t xml:space="preserve"> </w:t>
      </w:r>
      <w:r w:rsidRPr="00EC20A0">
        <w:t>accordance</w:t>
      </w:r>
      <w:r w:rsidRPr="00EC20A0">
        <w:rPr>
          <w:spacing w:val="-2"/>
        </w:rPr>
        <w:t xml:space="preserve"> </w:t>
      </w:r>
      <w:r w:rsidRPr="00EC20A0">
        <w:t>with</w:t>
      </w:r>
      <w:r w:rsidRPr="00EC20A0">
        <w:rPr>
          <w:spacing w:val="-2"/>
        </w:rPr>
        <w:t xml:space="preserve"> </w:t>
      </w:r>
      <w:r w:rsidRPr="00EC20A0">
        <w:t>U.S.</w:t>
      </w:r>
      <w:r w:rsidRPr="00EC20A0">
        <w:rPr>
          <w:spacing w:val="-2"/>
        </w:rPr>
        <w:t xml:space="preserve"> </w:t>
      </w:r>
      <w:r w:rsidRPr="00EC20A0">
        <w:t>generally</w:t>
      </w:r>
      <w:r w:rsidRPr="00EC20A0">
        <w:rPr>
          <w:spacing w:val="-2"/>
        </w:rPr>
        <w:t xml:space="preserve"> </w:t>
      </w:r>
      <w:r w:rsidRPr="00EC20A0">
        <w:t>accepted</w:t>
      </w:r>
      <w:r w:rsidRPr="00EC20A0">
        <w:rPr>
          <w:spacing w:val="-2"/>
        </w:rPr>
        <w:t xml:space="preserve"> </w:t>
      </w:r>
      <w:r w:rsidRPr="00EC20A0">
        <w:t>government</w:t>
      </w:r>
      <w:r w:rsidRPr="00EC20A0">
        <w:rPr>
          <w:spacing w:val="-2"/>
        </w:rPr>
        <w:t xml:space="preserve"> </w:t>
      </w:r>
      <w:r w:rsidRPr="00EC20A0">
        <w:t>auditing</w:t>
      </w:r>
      <w:r w:rsidRPr="00EC20A0">
        <w:rPr>
          <w:spacing w:val="-2"/>
        </w:rPr>
        <w:t xml:space="preserve"> </w:t>
      </w:r>
      <w:r w:rsidRPr="00EC20A0">
        <w:t>standards,</w:t>
      </w:r>
      <w:r w:rsidRPr="00EC20A0">
        <w:rPr>
          <w:spacing w:val="-2"/>
        </w:rPr>
        <w:t xml:space="preserve"> </w:t>
      </w:r>
      <w:r w:rsidRPr="00EC20A0">
        <w:t>Office</w:t>
      </w:r>
      <w:r w:rsidRPr="00EC20A0">
        <w:rPr>
          <w:spacing w:val="-2"/>
        </w:rPr>
        <w:t xml:space="preserve"> </w:t>
      </w:r>
      <w:r w:rsidRPr="00EC20A0">
        <w:t xml:space="preserve">of Management and Budget audit guidance, and the GAO/CIGIE </w:t>
      </w:r>
      <w:r w:rsidRPr="00EC20A0">
        <w:rPr>
          <w:i/>
        </w:rPr>
        <w:t xml:space="preserve">Financial Audit Manual </w:t>
      </w:r>
      <w:r w:rsidRPr="00EC20A0">
        <w:rPr>
          <w:b/>
        </w:rPr>
        <w:t>[if required by the contract]</w:t>
      </w:r>
      <w:r w:rsidRPr="00EC20A0">
        <w:t>.</w:t>
      </w:r>
    </w:p>
    <w:p w14:paraId="24D603BC" w14:textId="77777777" w:rsidR="00245300" w:rsidRPr="00EC20A0" w:rsidRDefault="00F17249">
      <w:pPr>
        <w:spacing w:before="241"/>
        <w:ind w:left="418"/>
      </w:pPr>
      <w:r w:rsidRPr="00EC20A0">
        <w:t>In</w:t>
      </w:r>
      <w:r w:rsidRPr="00EC20A0">
        <w:rPr>
          <w:spacing w:val="-5"/>
        </w:rPr>
        <w:t xml:space="preserve"> </w:t>
      </w:r>
      <w:r w:rsidRPr="00EC20A0">
        <w:t>its</w:t>
      </w:r>
      <w:r w:rsidRPr="00EC20A0">
        <w:rPr>
          <w:spacing w:val="-5"/>
        </w:rPr>
        <w:t xml:space="preserve"> </w:t>
      </w:r>
      <w:r w:rsidRPr="00EC20A0">
        <w:t>audit</w:t>
      </w:r>
      <w:r w:rsidRPr="00EC20A0">
        <w:rPr>
          <w:spacing w:val="-5"/>
        </w:rPr>
        <w:t xml:space="preserve"> </w:t>
      </w:r>
      <w:r w:rsidRPr="00EC20A0">
        <w:t>of</w:t>
      </w:r>
      <w:r w:rsidRPr="00EC20A0">
        <w:rPr>
          <w:spacing w:val="-4"/>
        </w:rPr>
        <w:t xml:space="preserve"> </w:t>
      </w:r>
      <w:r w:rsidRPr="00EC20A0">
        <w:rPr>
          <w:b/>
        </w:rPr>
        <w:t>[entity]</w:t>
      </w:r>
      <w:r w:rsidRPr="00EC20A0">
        <w:t>,</w:t>
      </w:r>
      <w:r w:rsidRPr="00EC20A0">
        <w:rPr>
          <w:spacing w:val="-5"/>
        </w:rPr>
        <w:t xml:space="preserve"> </w:t>
      </w:r>
      <w:r w:rsidRPr="00EC20A0">
        <w:rPr>
          <w:b/>
        </w:rPr>
        <w:t>[IPA</w:t>
      </w:r>
      <w:r w:rsidRPr="00EC20A0">
        <w:rPr>
          <w:b/>
          <w:spacing w:val="-5"/>
        </w:rPr>
        <w:t xml:space="preserve"> </w:t>
      </w:r>
      <w:r w:rsidRPr="00EC20A0">
        <w:rPr>
          <w:b/>
        </w:rPr>
        <w:t>firm]</w:t>
      </w:r>
      <w:r w:rsidRPr="00EC20A0">
        <w:rPr>
          <w:b/>
          <w:spacing w:val="-4"/>
        </w:rPr>
        <w:t xml:space="preserve"> </w:t>
      </w:r>
      <w:r w:rsidRPr="00EC20A0">
        <w:rPr>
          <w:spacing w:val="-2"/>
        </w:rPr>
        <w:t>reported</w:t>
      </w:r>
    </w:p>
    <w:p w14:paraId="24D603BD" w14:textId="77777777" w:rsidR="00245300" w:rsidRPr="00EC20A0" w:rsidRDefault="00F17249">
      <w:pPr>
        <w:pStyle w:val="ListParagraph"/>
        <w:numPr>
          <w:ilvl w:val="0"/>
          <w:numId w:val="13"/>
        </w:numPr>
        <w:tabs>
          <w:tab w:val="left" w:pos="1139"/>
        </w:tabs>
        <w:spacing w:before="239" w:line="269" w:lineRule="exact"/>
        <w:ind w:left="1139" w:hanging="359"/>
      </w:pPr>
      <w:r w:rsidRPr="00EC20A0">
        <w:t>the</w:t>
      </w:r>
      <w:r w:rsidRPr="00EC20A0">
        <w:rPr>
          <w:spacing w:val="-7"/>
        </w:rPr>
        <w:t xml:space="preserve"> </w:t>
      </w:r>
      <w:r w:rsidRPr="00EC20A0">
        <w:t>financial</w:t>
      </w:r>
      <w:r w:rsidRPr="00EC20A0">
        <w:rPr>
          <w:spacing w:val="-8"/>
        </w:rPr>
        <w:t xml:space="preserve"> </w:t>
      </w:r>
      <w:r w:rsidRPr="00EC20A0">
        <w:t>statements</w:t>
      </w:r>
      <w:r w:rsidRPr="00EC20A0">
        <w:rPr>
          <w:spacing w:val="-7"/>
        </w:rPr>
        <w:t xml:space="preserve"> </w:t>
      </w:r>
      <w:r w:rsidRPr="00EC20A0">
        <w:t>are</w:t>
      </w:r>
      <w:r w:rsidRPr="00EC20A0">
        <w:rPr>
          <w:spacing w:val="-7"/>
        </w:rPr>
        <w:t xml:space="preserve"> </w:t>
      </w:r>
      <w:r w:rsidRPr="00EC20A0">
        <w:t>presented</w:t>
      </w:r>
      <w:r w:rsidRPr="00EC20A0">
        <w:rPr>
          <w:spacing w:val="-7"/>
        </w:rPr>
        <w:t xml:space="preserve"> </w:t>
      </w:r>
      <w:r w:rsidRPr="00EC20A0">
        <w:t>fairly,</w:t>
      </w:r>
      <w:r w:rsidRPr="00EC20A0">
        <w:rPr>
          <w:spacing w:val="-7"/>
        </w:rPr>
        <w:t xml:space="preserve"> </w:t>
      </w:r>
      <w:r w:rsidRPr="00EC20A0">
        <w:t>in</w:t>
      </w:r>
      <w:r w:rsidRPr="00EC20A0">
        <w:rPr>
          <w:spacing w:val="-8"/>
        </w:rPr>
        <w:t xml:space="preserve"> </w:t>
      </w:r>
      <w:r w:rsidRPr="00EC20A0">
        <w:t>all</w:t>
      </w:r>
      <w:r w:rsidRPr="00EC20A0">
        <w:rPr>
          <w:spacing w:val="-7"/>
        </w:rPr>
        <w:t xml:space="preserve"> </w:t>
      </w:r>
      <w:r w:rsidRPr="00EC20A0">
        <w:t>material</w:t>
      </w:r>
      <w:r w:rsidRPr="00EC20A0">
        <w:rPr>
          <w:spacing w:val="-7"/>
        </w:rPr>
        <w:t xml:space="preserve"> </w:t>
      </w:r>
      <w:r w:rsidRPr="00EC20A0">
        <w:t>respects,</w:t>
      </w:r>
      <w:r w:rsidRPr="00EC20A0">
        <w:rPr>
          <w:spacing w:val="-8"/>
        </w:rPr>
        <w:t xml:space="preserve"> </w:t>
      </w:r>
      <w:r w:rsidRPr="00EC20A0">
        <w:t>in</w:t>
      </w:r>
      <w:r w:rsidRPr="00EC20A0">
        <w:rPr>
          <w:spacing w:val="-8"/>
        </w:rPr>
        <w:t xml:space="preserve"> </w:t>
      </w:r>
      <w:r w:rsidRPr="00EC20A0">
        <w:t>accordance</w:t>
      </w:r>
      <w:r w:rsidRPr="00EC20A0">
        <w:rPr>
          <w:spacing w:val="-7"/>
        </w:rPr>
        <w:t xml:space="preserve"> </w:t>
      </w:r>
      <w:r w:rsidRPr="00EC20A0">
        <w:rPr>
          <w:spacing w:val="-4"/>
        </w:rPr>
        <w:t>with</w:t>
      </w:r>
    </w:p>
    <w:p w14:paraId="24D603BE" w14:textId="77777777" w:rsidR="00245300" w:rsidRPr="00EC20A0" w:rsidRDefault="00F17249">
      <w:pPr>
        <w:pStyle w:val="BodyText"/>
        <w:spacing w:line="253" w:lineRule="exact"/>
        <w:ind w:left="1139"/>
      </w:pPr>
      <w:r w:rsidRPr="00EC20A0">
        <w:t>U.S.</w:t>
      </w:r>
      <w:r w:rsidRPr="00EC20A0">
        <w:rPr>
          <w:spacing w:val="-9"/>
        </w:rPr>
        <w:t xml:space="preserve"> </w:t>
      </w:r>
      <w:r w:rsidRPr="00EC20A0">
        <w:t>generally</w:t>
      </w:r>
      <w:r w:rsidRPr="00EC20A0">
        <w:rPr>
          <w:spacing w:val="-9"/>
        </w:rPr>
        <w:t xml:space="preserve"> </w:t>
      </w:r>
      <w:r w:rsidRPr="00EC20A0">
        <w:t>accepted</w:t>
      </w:r>
      <w:r w:rsidRPr="00EC20A0">
        <w:rPr>
          <w:spacing w:val="-9"/>
        </w:rPr>
        <w:t xml:space="preserve"> </w:t>
      </w:r>
      <w:r w:rsidRPr="00EC20A0">
        <w:t>accounting</w:t>
      </w:r>
      <w:r w:rsidRPr="00EC20A0">
        <w:rPr>
          <w:spacing w:val="-9"/>
        </w:rPr>
        <w:t xml:space="preserve"> </w:t>
      </w:r>
      <w:r w:rsidRPr="00EC20A0">
        <w:rPr>
          <w:spacing w:val="-2"/>
        </w:rPr>
        <w:t>principles;</w:t>
      </w:r>
    </w:p>
    <w:p w14:paraId="24D603BF" w14:textId="77777777" w:rsidR="00245300" w:rsidRPr="00EC20A0" w:rsidRDefault="00F17249">
      <w:pPr>
        <w:pStyle w:val="ListParagraph"/>
        <w:numPr>
          <w:ilvl w:val="0"/>
          <w:numId w:val="13"/>
        </w:numPr>
        <w:tabs>
          <w:tab w:val="left" w:pos="1140"/>
        </w:tabs>
        <w:spacing w:before="238"/>
        <w:ind w:right="987"/>
      </w:pPr>
      <w:r w:rsidRPr="00EC20A0">
        <w:rPr>
          <w:b/>
        </w:rPr>
        <w:t>[entity]</w:t>
      </w:r>
      <w:r w:rsidRPr="00EC20A0">
        <w:rPr>
          <w:b/>
          <w:spacing w:val="-3"/>
        </w:rPr>
        <w:t xml:space="preserve"> </w:t>
      </w:r>
      <w:r w:rsidRPr="00EC20A0">
        <w:t>maintained,</w:t>
      </w:r>
      <w:r w:rsidRPr="00EC20A0">
        <w:rPr>
          <w:spacing w:val="-3"/>
        </w:rPr>
        <w:t xml:space="preserve"> </w:t>
      </w:r>
      <w:r w:rsidRPr="00EC20A0">
        <w:t>in</w:t>
      </w:r>
      <w:r w:rsidRPr="00EC20A0">
        <w:rPr>
          <w:spacing w:val="-3"/>
        </w:rPr>
        <w:t xml:space="preserve"> </w:t>
      </w:r>
      <w:r w:rsidRPr="00EC20A0">
        <w:t>all</w:t>
      </w:r>
      <w:r w:rsidRPr="00EC20A0">
        <w:rPr>
          <w:spacing w:val="-3"/>
        </w:rPr>
        <w:t xml:space="preserve"> </w:t>
      </w:r>
      <w:r w:rsidRPr="00EC20A0">
        <w:t>material</w:t>
      </w:r>
      <w:r w:rsidRPr="00EC20A0">
        <w:rPr>
          <w:spacing w:val="-3"/>
        </w:rPr>
        <w:t xml:space="preserve"> </w:t>
      </w:r>
      <w:r w:rsidRPr="00EC20A0">
        <w:t>respects,</w:t>
      </w:r>
      <w:r w:rsidRPr="00EC20A0">
        <w:rPr>
          <w:spacing w:val="-3"/>
        </w:rPr>
        <w:t xml:space="preserve"> </w:t>
      </w:r>
      <w:r w:rsidRPr="00EC20A0">
        <w:t>effective</w:t>
      </w:r>
      <w:hyperlink w:anchor="_bookmark38" w:history="1">
        <w:r w:rsidRPr="00EC20A0">
          <w:rPr>
            <w:position w:val="7"/>
            <w:sz w:val="14"/>
          </w:rPr>
          <w:t>27</w:t>
        </w:r>
      </w:hyperlink>
      <w:r w:rsidRPr="00EC20A0">
        <w:rPr>
          <w:spacing w:val="18"/>
          <w:position w:val="7"/>
          <w:sz w:val="14"/>
        </w:rPr>
        <w:t xml:space="preserve"> </w:t>
      </w:r>
      <w:r w:rsidRPr="00EC20A0">
        <w:t>internal</w:t>
      </w:r>
      <w:r w:rsidRPr="00EC20A0">
        <w:rPr>
          <w:spacing w:val="-3"/>
        </w:rPr>
        <w:t xml:space="preserve"> </w:t>
      </w:r>
      <w:r w:rsidRPr="00EC20A0">
        <w:t>control</w:t>
      </w:r>
      <w:r w:rsidRPr="00EC20A0">
        <w:rPr>
          <w:spacing w:val="-3"/>
        </w:rPr>
        <w:t xml:space="preserve"> </w:t>
      </w:r>
      <w:r w:rsidRPr="00EC20A0">
        <w:t>over</w:t>
      </w:r>
      <w:r w:rsidRPr="00EC20A0">
        <w:rPr>
          <w:spacing w:val="-3"/>
        </w:rPr>
        <w:t xml:space="preserve"> </w:t>
      </w:r>
      <w:r w:rsidRPr="00EC20A0">
        <w:t xml:space="preserve">financial </w:t>
      </w:r>
      <w:r w:rsidRPr="00EC20A0">
        <w:rPr>
          <w:spacing w:val="-2"/>
        </w:rPr>
        <w:t>reporting;</w:t>
      </w:r>
    </w:p>
    <w:p w14:paraId="24D603C0" w14:textId="77777777" w:rsidR="00245300" w:rsidRPr="00EC20A0" w:rsidRDefault="00F17249">
      <w:pPr>
        <w:pStyle w:val="ListParagraph"/>
        <w:numPr>
          <w:ilvl w:val="0"/>
          <w:numId w:val="13"/>
        </w:numPr>
        <w:tabs>
          <w:tab w:val="left" w:pos="1140"/>
        </w:tabs>
        <w:spacing w:before="239"/>
        <w:ind w:right="596"/>
      </w:pPr>
      <w:r w:rsidRPr="00EC20A0">
        <w:rPr>
          <w:b/>
        </w:rPr>
        <w:t>[entity’s]</w:t>
      </w:r>
      <w:r w:rsidRPr="00EC20A0">
        <w:rPr>
          <w:b/>
          <w:spacing w:val="-4"/>
        </w:rPr>
        <w:t xml:space="preserve"> </w:t>
      </w:r>
      <w:r w:rsidRPr="00EC20A0">
        <w:t>financial</w:t>
      </w:r>
      <w:r w:rsidRPr="00EC20A0">
        <w:rPr>
          <w:spacing w:val="-4"/>
        </w:rPr>
        <w:t xml:space="preserve"> </w:t>
      </w:r>
      <w:r w:rsidRPr="00EC20A0">
        <w:t>management</w:t>
      </w:r>
      <w:r w:rsidRPr="00EC20A0">
        <w:rPr>
          <w:spacing w:val="-4"/>
        </w:rPr>
        <w:t xml:space="preserve"> </w:t>
      </w:r>
      <w:r w:rsidRPr="00EC20A0">
        <w:t>systems</w:t>
      </w:r>
      <w:r w:rsidRPr="00EC20A0">
        <w:rPr>
          <w:spacing w:val="-4"/>
        </w:rPr>
        <w:t xml:space="preserve"> </w:t>
      </w:r>
      <w:r w:rsidRPr="00EC20A0">
        <w:t>complied</w:t>
      </w:r>
      <w:r w:rsidRPr="00EC20A0">
        <w:rPr>
          <w:spacing w:val="-4"/>
        </w:rPr>
        <w:t xml:space="preserve"> </w:t>
      </w:r>
      <w:r w:rsidRPr="00EC20A0">
        <w:t>substantially</w:t>
      </w:r>
      <w:hyperlink w:anchor="_bookmark39" w:history="1">
        <w:r w:rsidRPr="00EC20A0">
          <w:rPr>
            <w:position w:val="7"/>
            <w:sz w:val="14"/>
          </w:rPr>
          <w:t>28</w:t>
        </w:r>
      </w:hyperlink>
      <w:r w:rsidRPr="00EC20A0">
        <w:rPr>
          <w:spacing w:val="17"/>
          <w:position w:val="7"/>
          <w:sz w:val="14"/>
        </w:rPr>
        <w:t xml:space="preserve"> </w:t>
      </w:r>
      <w:r w:rsidRPr="00EC20A0">
        <w:t>with</w:t>
      </w:r>
      <w:r w:rsidRPr="00EC20A0">
        <w:rPr>
          <w:spacing w:val="-4"/>
        </w:rPr>
        <w:t xml:space="preserve"> </w:t>
      </w:r>
      <w:r w:rsidRPr="00EC20A0">
        <w:t>the</w:t>
      </w:r>
      <w:r w:rsidRPr="00EC20A0">
        <w:rPr>
          <w:spacing w:val="-5"/>
        </w:rPr>
        <w:t xml:space="preserve"> </w:t>
      </w:r>
      <w:r w:rsidRPr="00EC20A0">
        <w:t>requirements of FFMIA; and</w:t>
      </w:r>
    </w:p>
    <w:p w14:paraId="24D603C1" w14:textId="77777777" w:rsidR="00245300" w:rsidRPr="00EC20A0" w:rsidRDefault="00F17249">
      <w:pPr>
        <w:pStyle w:val="ListParagraph"/>
        <w:numPr>
          <w:ilvl w:val="0"/>
          <w:numId w:val="13"/>
        </w:numPr>
        <w:tabs>
          <w:tab w:val="left" w:pos="1139"/>
        </w:tabs>
        <w:spacing w:before="238"/>
        <w:ind w:left="1139" w:hanging="359"/>
      </w:pPr>
      <w:r w:rsidRPr="00EC20A0">
        <w:t>no</w:t>
      </w:r>
      <w:r w:rsidRPr="00EC20A0">
        <w:rPr>
          <w:spacing w:val="-7"/>
        </w:rPr>
        <w:t xml:space="preserve"> </w:t>
      </w:r>
      <w:r w:rsidRPr="00EC20A0">
        <w:t>reportable</w:t>
      </w:r>
      <w:r w:rsidRPr="00EC20A0">
        <w:rPr>
          <w:spacing w:val="-7"/>
        </w:rPr>
        <w:t xml:space="preserve"> </w:t>
      </w:r>
      <w:r w:rsidRPr="00EC20A0">
        <w:t>noncompliance</w:t>
      </w:r>
      <w:r w:rsidRPr="00EC20A0">
        <w:rPr>
          <w:spacing w:val="-7"/>
        </w:rPr>
        <w:t xml:space="preserve"> </w:t>
      </w:r>
      <w:r w:rsidRPr="00EC20A0">
        <w:t>with</w:t>
      </w:r>
      <w:r w:rsidRPr="00EC20A0">
        <w:rPr>
          <w:spacing w:val="-7"/>
        </w:rPr>
        <w:t xml:space="preserve"> </w:t>
      </w:r>
      <w:r w:rsidRPr="00EC20A0">
        <w:t>provisions</w:t>
      </w:r>
      <w:r w:rsidRPr="00EC20A0">
        <w:rPr>
          <w:spacing w:val="-7"/>
        </w:rPr>
        <w:t xml:space="preserve"> </w:t>
      </w:r>
      <w:r w:rsidRPr="00EC20A0">
        <w:t>of</w:t>
      </w:r>
      <w:r w:rsidRPr="00EC20A0">
        <w:rPr>
          <w:spacing w:val="-6"/>
        </w:rPr>
        <w:t xml:space="preserve"> </w:t>
      </w:r>
      <w:r w:rsidRPr="00EC20A0">
        <w:t>laws</w:t>
      </w:r>
      <w:r w:rsidRPr="00EC20A0">
        <w:rPr>
          <w:spacing w:val="-7"/>
        </w:rPr>
        <w:t xml:space="preserve"> </w:t>
      </w:r>
      <w:r w:rsidRPr="00EC20A0">
        <w:t>tested</w:t>
      </w:r>
      <w:r w:rsidRPr="00EC20A0">
        <w:rPr>
          <w:spacing w:val="-8"/>
        </w:rPr>
        <w:t xml:space="preserve"> </w:t>
      </w:r>
      <w:r w:rsidRPr="00EC20A0">
        <w:t>or</w:t>
      </w:r>
      <w:r w:rsidRPr="00EC20A0">
        <w:rPr>
          <w:spacing w:val="-7"/>
        </w:rPr>
        <w:t xml:space="preserve"> </w:t>
      </w:r>
      <w:r w:rsidRPr="00EC20A0">
        <w:t>other</w:t>
      </w:r>
      <w:r w:rsidRPr="00EC20A0">
        <w:rPr>
          <w:spacing w:val="-7"/>
        </w:rPr>
        <w:t xml:space="preserve"> </w:t>
      </w:r>
      <w:r w:rsidRPr="00EC20A0">
        <w:rPr>
          <w:spacing w:val="-2"/>
        </w:rPr>
        <w:t>matters.</w:t>
      </w:r>
    </w:p>
    <w:p w14:paraId="24D603C2" w14:textId="77777777" w:rsidR="00245300" w:rsidRPr="00EC20A0" w:rsidRDefault="00F17249">
      <w:pPr>
        <w:pStyle w:val="BodyText"/>
        <w:spacing w:before="240"/>
        <w:ind w:left="420"/>
      </w:pPr>
      <w:r w:rsidRPr="00EC20A0">
        <w:rPr>
          <w:b/>
        </w:rPr>
        <w:t>[IPA</w:t>
      </w:r>
      <w:r w:rsidRPr="00EC20A0">
        <w:rPr>
          <w:b/>
          <w:spacing w:val="-7"/>
        </w:rPr>
        <w:t xml:space="preserve"> </w:t>
      </w:r>
      <w:r w:rsidRPr="00EC20A0">
        <w:rPr>
          <w:b/>
        </w:rPr>
        <w:t>firm]</w:t>
      </w:r>
      <w:r w:rsidRPr="00EC20A0">
        <w:rPr>
          <w:b/>
          <w:spacing w:val="-7"/>
        </w:rPr>
        <w:t xml:space="preserve"> </w:t>
      </w:r>
      <w:r w:rsidRPr="00EC20A0">
        <w:t>also</w:t>
      </w:r>
      <w:r w:rsidRPr="00EC20A0">
        <w:rPr>
          <w:spacing w:val="-7"/>
        </w:rPr>
        <w:t xml:space="preserve"> </w:t>
      </w:r>
      <w:r w:rsidRPr="00EC20A0">
        <w:t>described</w:t>
      </w:r>
      <w:r w:rsidRPr="00EC20A0">
        <w:rPr>
          <w:spacing w:val="-6"/>
        </w:rPr>
        <w:t xml:space="preserve"> </w:t>
      </w:r>
      <w:r w:rsidRPr="00EC20A0">
        <w:t>the</w:t>
      </w:r>
      <w:r w:rsidRPr="00EC20A0">
        <w:rPr>
          <w:spacing w:val="-7"/>
        </w:rPr>
        <w:t xml:space="preserve"> </w:t>
      </w:r>
      <w:r w:rsidRPr="00EC20A0">
        <w:t>following</w:t>
      </w:r>
      <w:r w:rsidRPr="00EC20A0">
        <w:rPr>
          <w:spacing w:val="-7"/>
        </w:rPr>
        <w:t xml:space="preserve"> </w:t>
      </w:r>
      <w:r w:rsidRPr="00EC20A0">
        <w:t>significant</w:t>
      </w:r>
      <w:r w:rsidRPr="00EC20A0">
        <w:rPr>
          <w:spacing w:val="-6"/>
        </w:rPr>
        <w:t xml:space="preserve"> </w:t>
      </w:r>
      <w:r w:rsidRPr="00EC20A0">
        <w:t>matters</w:t>
      </w:r>
      <w:r w:rsidRPr="00EC20A0">
        <w:rPr>
          <w:spacing w:val="-7"/>
        </w:rPr>
        <w:t xml:space="preserve"> </w:t>
      </w:r>
      <w:r w:rsidRPr="00EC20A0">
        <w:t>(if</w:t>
      </w:r>
      <w:r w:rsidRPr="00EC20A0">
        <w:rPr>
          <w:spacing w:val="-7"/>
        </w:rPr>
        <w:t xml:space="preserve"> </w:t>
      </w:r>
      <w:r w:rsidRPr="00EC20A0">
        <w:rPr>
          <w:spacing w:val="-2"/>
        </w:rPr>
        <w:t>any):</w:t>
      </w:r>
    </w:p>
    <w:p w14:paraId="161CBA81" w14:textId="79E8AD48" w:rsidR="005811FE" w:rsidRPr="005811FE" w:rsidRDefault="00F17249" w:rsidP="005811FE">
      <w:pPr>
        <w:pStyle w:val="ListParagraph"/>
        <w:numPr>
          <w:ilvl w:val="0"/>
          <w:numId w:val="13"/>
        </w:numPr>
        <w:tabs>
          <w:tab w:val="left" w:pos="1140"/>
        </w:tabs>
        <w:spacing w:before="238"/>
      </w:pPr>
      <w:r w:rsidRPr="00EC20A0">
        <w:t>[Discuss</w:t>
      </w:r>
      <w:r w:rsidRPr="00EC20A0">
        <w:rPr>
          <w:spacing w:val="-9"/>
        </w:rPr>
        <w:t xml:space="preserve"> </w:t>
      </w:r>
      <w:r w:rsidRPr="00EC20A0">
        <w:t>any</w:t>
      </w:r>
      <w:r w:rsidRPr="00EC20A0">
        <w:rPr>
          <w:spacing w:val="-9"/>
        </w:rPr>
        <w:t xml:space="preserve"> </w:t>
      </w:r>
      <w:r w:rsidRPr="00EC20A0">
        <w:t>significant</w:t>
      </w:r>
      <w:r w:rsidRPr="00EC20A0">
        <w:rPr>
          <w:spacing w:val="-9"/>
        </w:rPr>
        <w:t xml:space="preserve"> </w:t>
      </w:r>
      <w:r w:rsidRPr="00EC20A0">
        <w:rPr>
          <w:spacing w:val="-2"/>
        </w:rPr>
        <w:t>matters].</w:t>
      </w:r>
    </w:p>
    <w:p w14:paraId="0974FC97" w14:textId="77777777" w:rsidR="005811FE" w:rsidRPr="00EC20A0" w:rsidRDefault="005811FE" w:rsidP="005811FE">
      <w:pPr>
        <w:pStyle w:val="ListParagraph"/>
        <w:tabs>
          <w:tab w:val="left" w:pos="1140"/>
        </w:tabs>
        <w:spacing w:before="60"/>
        <w:ind w:left="1138" w:firstLine="0"/>
      </w:pPr>
    </w:p>
    <w:p w14:paraId="24D603C4" w14:textId="77777777" w:rsidR="00245300" w:rsidRPr="005811FE" w:rsidRDefault="00F17249" w:rsidP="005811FE">
      <w:pPr>
        <w:ind w:firstLine="418"/>
        <w:rPr>
          <w:b/>
          <w:bCs/>
        </w:rPr>
      </w:pPr>
      <w:r w:rsidRPr="005811FE">
        <w:rPr>
          <w:b/>
          <w:bCs/>
        </w:rPr>
        <w:t>[For transmittal letters expressing no assurance, use the following paragraph:]</w:t>
      </w:r>
    </w:p>
    <w:p w14:paraId="24D603C5" w14:textId="77777777" w:rsidR="00245300" w:rsidRPr="00EC20A0" w:rsidRDefault="00F17249">
      <w:pPr>
        <w:pStyle w:val="BodyText"/>
        <w:spacing w:before="240"/>
        <w:ind w:left="418" w:right="562" w:firstLine="1"/>
      </w:pPr>
      <w:r w:rsidRPr="00EC20A0">
        <w:rPr>
          <w:b/>
        </w:rPr>
        <w:t xml:space="preserve">[IPA firm] </w:t>
      </w:r>
      <w:r w:rsidRPr="00EC20A0">
        <w:t xml:space="preserve">is responsible for the attached auditor’s report dated </w:t>
      </w:r>
      <w:r w:rsidRPr="00EC20A0">
        <w:rPr>
          <w:b/>
        </w:rPr>
        <w:t xml:space="preserve">[date] </w:t>
      </w:r>
      <w:r w:rsidRPr="00EC20A0">
        <w:t>and the conclusions expressed</w:t>
      </w:r>
      <w:r w:rsidRPr="00EC20A0">
        <w:rPr>
          <w:spacing w:val="-3"/>
        </w:rPr>
        <w:t xml:space="preserve"> </w:t>
      </w:r>
      <w:r w:rsidRPr="00EC20A0">
        <w:t>therein.</w:t>
      </w:r>
      <w:r w:rsidRPr="00EC20A0">
        <w:rPr>
          <w:spacing w:val="-3"/>
        </w:rPr>
        <w:t xml:space="preserve"> </w:t>
      </w:r>
      <w:r w:rsidRPr="00EC20A0">
        <w:t>We</w:t>
      </w:r>
      <w:r w:rsidRPr="00EC20A0">
        <w:rPr>
          <w:spacing w:val="-4"/>
        </w:rPr>
        <w:t xml:space="preserve"> </w:t>
      </w:r>
      <w:r w:rsidRPr="00EC20A0">
        <w:t>do</w:t>
      </w:r>
      <w:r w:rsidRPr="00EC20A0">
        <w:rPr>
          <w:spacing w:val="-3"/>
        </w:rPr>
        <w:t xml:space="preserve"> </w:t>
      </w:r>
      <w:r w:rsidRPr="00EC20A0">
        <w:t>not</w:t>
      </w:r>
      <w:r w:rsidRPr="00EC20A0">
        <w:rPr>
          <w:spacing w:val="-3"/>
        </w:rPr>
        <w:t xml:space="preserve"> </w:t>
      </w:r>
      <w:r w:rsidRPr="00EC20A0">
        <w:t>express</w:t>
      </w:r>
      <w:r w:rsidRPr="00EC20A0">
        <w:rPr>
          <w:spacing w:val="-3"/>
        </w:rPr>
        <w:t xml:space="preserve"> </w:t>
      </w:r>
      <w:r w:rsidRPr="00EC20A0">
        <w:t>opinions</w:t>
      </w:r>
      <w:r w:rsidRPr="00EC20A0">
        <w:rPr>
          <w:spacing w:val="-4"/>
        </w:rPr>
        <w:t xml:space="preserve"> </w:t>
      </w:r>
      <w:r w:rsidRPr="00EC20A0">
        <w:t>on</w:t>
      </w:r>
      <w:r w:rsidRPr="00EC20A0">
        <w:rPr>
          <w:spacing w:val="-3"/>
        </w:rPr>
        <w:t xml:space="preserve"> </w:t>
      </w:r>
      <w:r w:rsidRPr="00EC20A0">
        <w:rPr>
          <w:b/>
        </w:rPr>
        <w:t>[entity’s]</w:t>
      </w:r>
      <w:r w:rsidRPr="00EC20A0">
        <w:rPr>
          <w:b/>
          <w:spacing w:val="-3"/>
        </w:rPr>
        <w:t xml:space="preserve"> </w:t>
      </w:r>
      <w:r w:rsidRPr="00EC20A0">
        <w:t>financial</w:t>
      </w:r>
      <w:r w:rsidRPr="00EC20A0">
        <w:rPr>
          <w:spacing w:val="-4"/>
        </w:rPr>
        <w:t xml:space="preserve"> </w:t>
      </w:r>
      <w:r w:rsidRPr="00EC20A0">
        <w:t>statements</w:t>
      </w:r>
      <w:r w:rsidRPr="00EC20A0">
        <w:rPr>
          <w:spacing w:val="-3"/>
        </w:rPr>
        <w:t xml:space="preserve"> </w:t>
      </w:r>
      <w:r w:rsidRPr="00EC20A0">
        <w:t>or</w:t>
      </w:r>
      <w:r w:rsidRPr="00EC20A0">
        <w:rPr>
          <w:spacing w:val="-3"/>
        </w:rPr>
        <w:t xml:space="preserve"> </w:t>
      </w:r>
      <w:r w:rsidRPr="00EC20A0">
        <w:t xml:space="preserve">internal control over financial reporting, or on whether </w:t>
      </w:r>
      <w:r w:rsidRPr="00EC20A0">
        <w:rPr>
          <w:b/>
        </w:rPr>
        <w:t xml:space="preserve">[entity’s] </w:t>
      </w:r>
      <w:r w:rsidRPr="00EC20A0">
        <w:t>financial management systems</w:t>
      </w:r>
    </w:p>
    <w:p w14:paraId="24D603C6" w14:textId="77777777" w:rsidR="00245300" w:rsidRPr="00EC20A0" w:rsidRDefault="00245300">
      <w:pPr>
        <w:pStyle w:val="BodyText"/>
        <w:rPr>
          <w:sz w:val="20"/>
        </w:rPr>
      </w:pPr>
    </w:p>
    <w:p w14:paraId="24D603C7" w14:textId="77777777" w:rsidR="00245300" w:rsidRPr="00EC20A0" w:rsidRDefault="00F17249">
      <w:pPr>
        <w:pStyle w:val="BodyText"/>
        <w:spacing w:before="119"/>
        <w:rPr>
          <w:sz w:val="20"/>
        </w:rPr>
      </w:pPr>
      <w:r w:rsidRPr="00EC20A0">
        <w:rPr>
          <w:noProof/>
        </w:rPr>
        <mc:AlternateContent>
          <mc:Choice Requires="wps">
            <w:drawing>
              <wp:anchor distT="0" distB="0" distL="0" distR="0" simplePos="0" relativeHeight="487603200" behindDoc="1" locked="0" layoutInCell="1" allowOverlap="1" wp14:anchorId="24D62AF1" wp14:editId="24D62AF2">
                <wp:simplePos x="0" y="0"/>
                <wp:positionH relativeFrom="page">
                  <wp:posOffset>914400</wp:posOffset>
                </wp:positionH>
                <wp:positionV relativeFrom="paragraph">
                  <wp:posOffset>237149</wp:posOffset>
                </wp:positionV>
                <wp:extent cx="1828800" cy="5715"/>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54704" id="Graphic 161" o:spid="_x0000_s1026" style="position:absolute;margin-left:1in;margin-top:18.65pt;width:2in;height:.4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" path="m1828800,l,,,5333r1828800,l1828800,xe" fillcolor="black" stroked="f">
                <v:path arrowok="t"/>
                <w10:wrap type="topAndBottom" anchorx="page"/>
              </v:shape>
            </w:pict>
          </mc:Fallback>
        </mc:AlternateContent>
      </w:r>
    </w:p>
    <w:p w14:paraId="24D603C8" w14:textId="77777777" w:rsidR="00245300" w:rsidRPr="00EC20A0" w:rsidRDefault="00F17249">
      <w:pPr>
        <w:spacing w:before="202" w:line="244" w:lineRule="auto"/>
        <w:ind w:left="419" w:right="562"/>
        <w:rPr>
          <w:sz w:val="18"/>
        </w:rPr>
      </w:pPr>
      <w:bookmarkStart w:id="115" w:name="_bookmark36"/>
      <w:bookmarkEnd w:id="115"/>
      <w:r w:rsidRPr="00EC20A0">
        <w:rPr>
          <w:position w:val="7"/>
          <w:sz w:val="14"/>
        </w:rPr>
        <w:t>25</w:t>
      </w:r>
      <w:r w:rsidRPr="00EC20A0">
        <w:rPr>
          <w:sz w:val="18"/>
        </w:rPr>
        <w:t>If the IPA firm did not provide an opinion (i.e., did not give positive assurance) on whether the entity’s systems complied</w:t>
      </w:r>
      <w:r w:rsidRPr="00EC20A0">
        <w:rPr>
          <w:spacing w:val="-4"/>
          <w:sz w:val="18"/>
        </w:rPr>
        <w:t xml:space="preserve"> </w:t>
      </w:r>
      <w:r w:rsidRPr="00EC20A0">
        <w:rPr>
          <w:sz w:val="18"/>
        </w:rPr>
        <w:t>substantially</w:t>
      </w:r>
      <w:r w:rsidRPr="00EC20A0">
        <w:rPr>
          <w:spacing w:val="-3"/>
          <w:sz w:val="18"/>
        </w:rPr>
        <w:t xml:space="preserve"> </w:t>
      </w:r>
      <w:r w:rsidRPr="00EC20A0">
        <w:rPr>
          <w:sz w:val="18"/>
        </w:rPr>
        <w:t>with</w:t>
      </w:r>
      <w:r w:rsidRPr="00EC20A0">
        <w:rPr>
          <w:spacing w:val="-4"/>
          <w:sz w:val="18"/>
        </w:rPr>
        <w:t xml:space="preserve"> </w:t>
      </w:r>
      <w:r w:rsidRPr="00EC20A0">
        <w:rPr>
          <w:sz w:val="18"/>
        </w:rPr>
        <w:t>the</w:t>
      </w:r>
      <w:r w:rsidRPr="00EC20A0">
        <w:rPr>
          <w:spacing w:val="-4"/>
          <w:sz w:val="18"/>
        </w:rPr>
        <w:t xml:space="preserve"> </w:t>
      </w:r>
      <w:r w:rsidRPr="00EC20A0">
        <w:rPr>
          <w:sz w:val="18"/>
        </w:rPr>
        <w:t>three</w:t>
      </w:r>
      <w:r w:rsidRPr="00EC20A0">
        <w:rPr>
          <w:spacing w:val="-4"/>
          <w:sz w:val="18"/>
        </w:rPr>
        <w:t xml:space="preserve"> </w:t>
      </w:r>
      <w:r w:rsidRPr="00EC20A0">
        <w:rPr>
          <w:sz w:val="18"/>
        </w:rPr>
        <w:t>FFMIA</w:t>
      </w:r>
      <w:r w:rsidRPr="00EC20A0">
        <w:rPr>
          <w:spacing w:val="-4"/>
          <w:sz w:val="18"/>
        </w:rPr>
        <w:t xml:space="preserve"> </w:t>
      </w:r>
      <w:r w:rsidRPr="00EC20A0">
        <w:rPr>
          <w:sz w:val="18"/>
        </w:rPr>
        <w:t>requirements,</w:t>
      </w:r>
      <w:r w:rsidRPr="00EC20A0">
        <w:rPr>
          <w:spacing w:val="-3"/>
          <w:sz w:val="18"/>
        </w:rPr>
        <w:t xml:space="preserve"> </w:t>
      </w:r>
      <w:r w:rsidRPr="00EC20A0">
        <w:rPr>
          <w:sz w:val="18"/>
        </w:rPr>
        <w:t>change</w:t>
      </w:r>
      <w:r w:rsidRPr="00EC20A0">
        <w:rPr>
          <w:spacing w:val="-4"/>
          <w:sz w:val="18"/>
        </w:rPr>
        <w:t xml:space="preserve"> </w:t>
      </w:r>
      <w:r w:rsidRPr="00EC20A0">
        <w:rPr>
          <w:sz w:val="18"/>
        </w:rPr>
        <w:t>this</w:t>
      </w:r>
      <w:r w:rsidRPr="00EC20A0">
        <w:rPr>
          <w:spacing w:val="-3"/>
          <w:sz w:val="18"/>
        </w:rPr>
        <w:t xml:space="preserve"> </w:t>
      </w:r>
      <w:r w:rsidRPr="00EC20A0">
        <w:rPr>
          <w:sz w:val="18"/>
        </w:rPr>
        <w:t>to</w:t>
      </w:r>
      <w:r w:rsidRPr="00EC20A0">
        <w:rPr>
          <w:spacing w:val="-2"/>
          <w:sz w:val="18"/>
        </w:rPr>
        <w:t xml:space="preserve"> </w:t>
      </w:r>
      <w:r w:rsidRPr="00EC20A0">
        <w:rPr>
          <w:sz w:val="18"/>
        </w:rPr>
        <w:t>“to</w:t>
      </w:r>
      <w:r w:rsidRPr="00EC20A0">
        <w:rPr>
          <w:spacing w:val="-4"/>
          <w:sz w:val="18"/>
        </w:rPr>
        <w:t xml:space="preserve"> </w:t>
      </w:r>
      <w:r w:rsidRPr="00EC20A0">
        <w:rPr>
          <w:sz w:val="18"/>
        </w:rPr>
        <w:t>report</w:t>
      </w:r>
      <w:r w:rsidRPr="00EC20A0">
        <w:rPr>
          <w:spacing w:val="-3"/>
          <w:sz w:val="18"/>
        </w:rPr>
        <w:t xml:space="preserve"> </w:t>
      </w:r>
      <w:r w:rsidRPr="00EC20A0">
        <w:rPr>
          <w:sz w:val="18"/>
        </w:rPr>
        <w:t>on</w:t>
      </w:r>
      <w:r w:rsidRPr="00EC20A0">
        <w:rPr>
          <w:spacing w:val="-4"/>
          <w:sz w:val="18"/>
        </w:rPr>
        <w:t xml:space="preserve"> </w:t>
      </w:r>
      <w:r w:rsidRPr="00EC20A0">
        <w:rPr>
          <w:sz w:val="18"/>
        </w:rPr>
        <w:t>whether</w:t>
      </w:r>
      <w:r w:rsidRPr="00EC20A0">
        <w:rPr>
          <w:spacing w:val="-3"/>
          <w:sz w:val="18"/>
        </w:rPr>
        <w:t xml:space="preserve"> </w:t>
      </w:r>
      <w:r w:rsidRPr="00EC20A0">
        <w:rPr>
          <w:sz w:val="18"/>
        </w:rPr>
        <w:t>[</w:t>
      </w:r>
      <w:r w:rsidRPr="00EC20A0">
        <w:rPr>
          <w:b/>
          <w:sz w:val="18"/>
        </w:rPr>
        <w:t>entity’s</w:t>
      </w:r>
      <w:r w:rsidRPr="00EC20A0">
        <w:rPr>
          <w:sz w:val="18"/>
        </w:rPr>
        <w:t>]</w:t>
      </w:r>
      <w:r w:rsidRPr="00EC20A0">
        <w:rPr>
          <w:spacing w:val="-3"/>
          <w:sz w:val="18"/>
        </w:rPr>
        <w:t xml:space="preserve"> </w:t>
      </w:r>
      <w:r w:rsidRPr="00EC20A0">
        <w:rPr>
          <w:sz w:val="18"/>
        </w:rPr>
        <w:t>financial management systems did not comply substantially” (negative assurance).</w:t>
      </w:r>
    </w:p>
    <w:p w14:paraId="24D603C9" w14:textId="77777777" w:rsidR="00245300" w:rsidRPr="00EC20A0" w:rsidRDefault="00F17249">
      <w:pPr>
        <w:spacing w:before="120" w:line="249" w:lineRule="auto"/>
        <w:ind w:left="419" w:right="562"/>
        <w:rPr>
          <w:sz w:val="18"/>
        </w:rPr>
      </w:pPr>
      <w:bookmarkStart w:id="116" w:name="_bookmark37"/>
      <w:bookmarkEnd w:id="116"/>
      <w:r w:rsidRPr="00EC20A0">
        <w:rPr>
          <w:position w:val="7"/>
          <w:sz w:val="14"/>
        </w:rPr>
        <w:t>26</w:t>
      </w:r>
      <w:r w:rsidRPr="00EC20A0">
        <w:rPr>
          <w:sz w:val="18"/>
        </w:rPr>
        <w:t>For</w:t>
      </w:r>
      <w:r w:rsidRPr="00EC20A0">
        <w:rPr>
          <w:spacing w:val="-3"/>
          <w:sz w:val="18"/>
        </w:rPr>
        <w:t xml:space="preserve"> </w:t>
      </w:r>
      <w:r w:rsidRPr="00EC20A0">
        <w:rPr>
          <w:sz w:val="18"/>
        </w:rPr>
        <w:t>non-Chief</w:t>
      </w:r>
      <w:r w:rsidRPr="00EC20A0">
        <w:rPr>
          <w:spacing w:val="-1"/>
          <w:sz w:val="18"/>
        </w:rPr>
        <w:t xml:space="preserve"> </w:t>
      </w:r>
      <w:r w:rsidRPr="00EC20A0">
        <w:rPr>
          <w:sz w:val="18"/>
        </w:rPr>
        <w:t>Financial</w:t>
      </w:r>
      <w:r w:rsidRPr="00EC20A0">
        <w:rPr>
          <w:spacing w:val="-3"/>
          <w:sz w:val="18"/>
        </w:rPr>
        <w:t xml:space="preserve"> </w:t>
      </w:r>
      <w:r w:rsidRPr="00EC20A0">
        <w:rPr>
          <w:sz w:val="18"/>
        </w:rPr>
        <w:t>Officers</w:t>
      </w:r>
      <w:r w:rsidRPr="00EC20A0">
        <w:rPr>
          <w:spacing w:val="-3"/>
          <w:sz w:val="18"/>
        </w:rPr>
        <w:t xml:space="preserve"> </w:t>
      </w:r>
      <w:r w:rsidRPr="00EC20A0">
        <w:rPr>
          <w:sz w:val="18"/>
        </w:rPr>
        <w:t>Act</w:t>
      </w:r>
      <w:r w:rsidRPr="00EC20A0">
        <w:rPr>
          <w:spacing w:val="-3"/>
          <w:sz w:val="18"/>
        </w:rPr>
        <w:t xml:space="preserve"> </w:t>
      </w:r>
      <w:r w:rsidRPr="00EC20A0">
        <w:rPr>
          <w:sz w:val="18"/>
        </w:rPr>
        <w:t>of</w:t>
      </w:r>
      <w:r w:rsidRPr="00EC20A0">
        <w:rPr>
          <w:spacing w:val="-3"/>
          <w:sz w:val="18"/>
        </w:rPr>
        <w:t xml:space="preserve"> </w:t>
      </w:r>
      <w:r w:rsidRPr="00EC20A0">
        <w:rPr>
          <w:sz w:val="18"/>
        </w:rPr>
        <w:t>1990</w:t>
      </w:r>
      <w:r w:rsidRPr="00EC20A0">
        <w:rPr>
          <w:spacing w:val="-2"/>
          <w:sz w:val="18"/>
        </w:rPr>
        <w:t xml:space="preserve"> </w:t>
      </w:r>
      <w:r w:rsidRPr="00EC20A0">
        <w:rPr>
          <w:sz w:val="18"/>
        </w:rPr>
        <w:t>agencies,</w:t>
      </w:r>
      <w:r w:rsidRPr="00EC20A0">
        <w:rPr>
          <w:spacing w:val="-3"/>
          <w:sz w:val="18"/>
        </w:rPr>
        <w:t xml:space="preserve"> </w:t>
      </w:r>
      <w:r w:rsidRPr="00EC20A0">
        <w:rPr>
          <w:sz w:val="18"/>
        </w:rPr>
        <w:t>delete</w:t>
      </w:r>
      <w:r w:rsidRPr="00EC20A0">
        <w:rPr>
          <w:spacing w:val="-4"/>
          <w:sz w:val="18"/>
        </w:rPr>
        <w:t xml:space="preserve"> </w:t>
      </w:r>
      <w:r w:rsidRPr="00EC20A0">
        <w:rPr>
          <w:sz w:val="18"/>
        </w:rPr>
        <w:t>references</w:t>
      </w:r>
      <w:r w:rsidRPr="00EC20A0">
        <w:rPr>
          <w:spacing w:val="-3"/>
          <w:sz w:val="18"/>
        </w:rPr>
        <w:t xml:space="preserve"> </w:t>
      </w:r>
      <w:r w:rsidRPr="00EC20A0">
        <w:rPr>
          <w:sz w:val="18"/>
        </w:rPr>
        <w:t>to</w:t>
      </w:r>
      <w:r w:rsidRPr="00EC20A0">
        <w:rPr>
          <w:spacing w:val="-4"/>
          <w:sz w:val="18"/>
        </w:rPr>
        <w:t xml:space="preserve"> </w:t>
      </w:r>
      <w:r w:rsidRPr="00EC20A0">
        <w:rPr>
          <w:sz w:val="18"/>
        </w:rPr>
        <w:t>FFMIA</w:t>
      </w:r>
      <w:r w:rsidRPr="00EC20A0">
        <w:rPr>
          <w:spacing w:val="-3"/>
          <w:sz w:val="18"/>
        </w:rPr>
        <w:t xml:space="preserve"> </w:t>
      </w:r>
      <w:r w:rsidRPr="00EC20A0">
        <w:rPr>
          <w:sz w:val="18"/>
        </w:rPr>
        <w:t>in</w:t>
      </w:r>
      <w:r w:rsidRPr="00EC20A0">
        <w:rPr>
          <w:spacing w:val="-4"/>
          <w:sz w:val="18"/>
        </w:rPr>
        <w:t xml:space="preserve"> </w:t>
      </w:r>
      <w:r w:rsidRPr="00EC20A0">
        <w:rPr>
          <w:sz w:val="18"/>
        </w:rPr>
        <w:t>this</w:t>
      </w:r>
      <w:r w:rsidRPr="00EC20A0">
        <w:rPr>
          <w:spacing w:val="-3"/>
          <w:sz w:val="18"/>
        </w:rPr>
        <w:t xml:space="preserve"> </w:t>
      </w:r>
      <w:r w:rsidRPr="00EC20A0">
        <w:rPr>
          <w:sz w:val="18"/>
        </w:rPr>
        <w:t>paragraph</w:t>
      </w:r>
      <w:r w:rsidRPr="00EC20A0">
        <w:rPr>
          <w:spacing w:val="-4"/>
          <w:sz w:val="18"/>
        </w:rPr>
        <w:t xml:space="preserve"> </w:t>
      </w:r>
      <w:r w:rsidRPr="00EC20A0">
        <w:rPr>
          <w:sz w:val="18"/>
        </w:rPr>
        <w:t>and</w:t>
      </w:r>
      <w:r w:rsidRPr="00EC20A0">
        <w:rPr>
          <w:spacing w:val="-2"/>
          <w:sz w:val="18"/>
        </w:rPr>
        <w:t xml:space="preserve"> </w:t>
      </w:r>
      <w:r w:rsidRPr="00EC20A0">
        <w:rPr>
          <w:sz w:val="18"/>
        </w:rPr>
        <w:t>in</w:t>
      </w:r>
      <w:r w:rsidRPr="00EC20A0">
        <w:rPr>
          <w:spacing w:val="-4"/>
          <w:sz w:val="18"/>
        </w:rPr>
        <w:t xml:space="preserve"> </w:t>
      </w:r>
      <w:r w:rsidRPr="00EC20A0">
        <w:rPr>
          <w:sz w:val="18"/>
        </w:rPr>
        <w:t>the bullet below.</w:t>
      </w:r>
    </w:p>
    <w:p w14:paraId="24D603CA" w14:textId="77777777" w:rsidR="00245300" w:rsidRPr="00EC20A0" w:rsidRDefault="00F17249">
      <w:pPr>
        <w:spacing w:before="118" w:line="249" w:lineRule="auto"/>
        <w:ind w:left="419"/>
        <w:rPr>
          <w:sz w:val="18"/>
        </w:rPr>
      </w:pPr>
      <w:bookmarkStart w:id="117" w:name="_bookmark38"/>
      <w:bookmarkEnd w:id="117"/>
      <w:r w:rsidRPr="00EC20A0">
        <w:rPr>
          <w:position w:val="7"/>
          <w:sz w:val="14"/>
        </w:rPr>
        <w:t>27</w:t>
      </w:r>
      <w:r w:rsidRPr="00EC20A0">
        <w:rPr>
          <w:sz w:val="18"/>
        </w:rPr>
        <w:t>If the IPA firm did not provide an opinion on internal control over financial reporting, change this to “no material weaknesses</w:t>
      </w:r>
      <w:r w:rsidRPr="00EC20A0">
        <w:rPr>
          <w:spacing w:val="-3"/>
          <w:sz w:val="18"/>
        </w:rPr>
        <w:t xml:space="preserve"> </w:t>
      </w:r>
      <w:r w:rsidRPr="00EC20A0">
        <w:rPr>
          <w:sz w:val="18"/>
        </w:rPr>
        <w:t>in</w:t>
      </w:r>
      <w:r w:rsidRPr="00EC20A0">
        <w:rPr>
          <w:spacing w:val="-2"/>
          <w:sz w:val="18"/>
        </w:rPr>
        <w:t xml:space="preserve"> </w:t>
      </w:r>
      <w:r w:rsidRPr="00EC20A0">
        <w:rPr>
          <w:sz w:val="18"/>
        </w:rPr>
        <w:t>internal</w:t>
      </w:r>
      <w:r w:rsidRPr="00EC20A0">
        <w:rPr>
          <w:spacing w:val="-3"/>
          <w:sz w:val="18"/>
        </w:rPr>
        <w:t xml:space="preserve"> </w:t>
      </w:r>
      <w:r w:rsidRPr="00EC20A0">
        <w:rPr>
          <w:sz w:val="18"/>
        </w:rPr>
        <w:t>control</w:t>
      </w:r>
      <w:r w:rsidRPr="00EC20A0">
        <w:rPr>
          <w:spacing w:val="-3"/>
          <w:sz w:val="18"/>
        </w:rPr>
        <w:t xml:space="preserve"> </w:t>
      </w:r>
      <w:r w:rsidRPr="00EC20A0">
        <w:rPr>
          <w:sz w:val="18"/>
        </w:rPr>
        <w:t>over</w:t>
      </w:r>
      <w:r w:rsidRPr="00EC20A0">
        <w:rPr>
          <w:spacing w:val="-3"/>
          <w:sz w:val="18"/>
        </w:rPr>
        <w:t xml:space="preserve"> </w:t>
      </w:r>
      <w:r w:rsidRPr="00EC20A0">
        <w:rPr>
          <w:sz w:val="18"/>
        </w:rPr>
        <w:t>financial</w:t>
      </w:r>
      <w:r w:rsidRPr="00EC20A0">
        <w:rPr>
          <w:spacing w:val="-3"/>
          <w:sz w:val="18"/>
        </w:rPr>
        <w:t xml:space="preserve"> </w:t>
      </w:r>
      <w:r w:rsidRPr="00EC20A0">
        <w:rPr>
          <w:sz w:val="18"/>
        </w:rPr>
        <w:t>reporting”</w:t>
      </w:r>
      <w:r w:rsidRPr="00EC20A0">
        <w:rPr>
          <w:spacing w:val="-3"/>
          <w:sz w:val="18"/>
        </w:rPr>
        <w:t xml:space="preserve"> </w:t>
      </w:r>
      <w:r w:rsidRPr="00EC20A0">
        <w:rPr>
          <w:sz w:val="18"/>
        </w:rPr>
        <w:t>(and</w:t>
      </w:r>
      <w:r w:rsidRPr="00EC20A0">
        <w:rPr>
          <w:spacing w:val="-2"/>
          <w:sz w:val="18"/>
        </w:rPr>
        <w:t xml:space="preserve"> </w:t>
      </w:r>
      <w:r w:rsidRPr="00EC20A0">
        <w:rPr>
          <w:sz w:val="18"/>
        </w:rPr>
        <w:t>include</w:t>
      </w:r>
      <w:r w:rsidRPr="00EC20A0">
        <w:rPr>
          <w:spacing w:val="-3"/>
          <w:sz w:val="18"/>
        </w:rPr>
        <w:t xml:space="preserve"> </w:t>
      </w:r>
      <w:r w:rsidRPr="00EC20A0">
        <w:rPr>
          <w:sz w:val="18"/>
        </w:rPr>
        <w:t>a</w:t>
      </w:r>
      <w:r w:rsidRPr="00EC20A0">
        <w:rPr>
          <w:spacing w:val="-4"/>
          <w:sz w:val="18"/>
        </w:rPr>
        <w:t xml:space="preserve"> </w:t>
      </w:r>
      <w:r w:rsidRPr="00EC20A0">
        <w:rPr>
          <w:sz w:val="18"/>
        </w:rPr>
        <w:t>definition</w:t>
      </w:r>
      <w:r w:rsidRPr="00EC20A0">
        <w:rPr>
          <w:spacing w:val="-3"/>
          <w:sz w:val="18"/>
        </w:rPr>
        <w:t xml:space="preserve"> </w:t>
      </w:r>
      <w:r w:rsidRPr="00EC20A0">
        <w:rPr>
          <w:sz w:val="18"/>
        </w:rPr>
        <w:t>of</w:t>
      </w:r>
      <w:r w:rsidRPr="00EC20A0">
        <w:rPr>
          <w:spacing w:val="-3"/>
          <w:sz w:val="18"/>
        </w:rPr>
        <w:t xml:space="preserve"> </w:t>
      </w:r>
      <w:r w:rsidRPr="00EC20A0">
        <w:rPr>
          <w:sz w:val="18"/>
        </w:rPr>
        <w:t>material</w:t>
      </w:r>
      <w:r w:rsidRPr="00EC20A0">
        <w:rPr>
          <w:spacing w:val="-2"/>
          <w:sz w:val="18"/>
        </w:rPr>
        <w:t xml:space="preserve"> </w:t>
      </w:r>
      <w:r w:rsidRPr="00EC20A0">
        <w:rPr>
          <w:sz w:val="18"/>
        </w:rPr>
        <w:t>weakness</w:t>
      </w:r>
      <w:r w:rsidRPr="00EC20A0">
        <w:rPr>
          <w:spacing w:val="-3"/>
          <w:sz w:val="18"/>
        </w:rPr>
        <w:t xml:space="preserve"> </w:t>
      </w:r>
      <w:r w:rsidRPr="00EC20A0">
        <w:rPr>
          <w:sz w:val="18"/>
        </w:rPr>
        <w:t>in</w:t>
      </w:r>
      <w:r w:rsidRPr="00EC20A0">
        <w:rPr>
          <w:spacing w:val="-4"/>
          <w:sz w:val="18"/>
        </w:rPr>
        <w:t xml:space="preserve"> </w:t>
      </w:r>
      <w:r w:rsidRPr="00EC20A0">
        <w:rPr>
          <w:sz w:val="18"/>
        </w:rPr>
        <w:t>a</w:t>
      </w:r>
      <w:r w:rsidRPr="00EC20A0">
        <w:rPr>
          <w:spacing w:val="-2"/>
          <w:sz w:val="18"/>
        </w:rPr>
        <w:t xml:space="preserve"> </w:t>
      </w:r>
      <w:r w:rsidRPr="00EC20A0">
        <w:rPr>
          <w:sz w:val="18"/>
        </w:rPr>
        <w:t>footnote).</w:t>
      </w:r>
    </w:p>
    <w:p w14:paraId="24D603CB" w14:textId="77777777" w:rsidR="00245300" w:rsidRPr="00EC20A0" w:rsidRDefault="00F17249">
      <w:pPr>
        <w:spacing w:before="116" w:line="244" w:lineRule="auto"/>
        <w:ind w:left="418" w:right="562" w:firstLine="1"/>
        <w:rPr>
          <w:sz w:val="18"/>
        </w:rPr>
      </w:pPr>
      <w:bookmarkStart w:id="118" w:name="_bookmark39"/>
      <w:bookmarkEnd w:id="118"/>
      <w:r w:rsidRPr="00EC20A0">
        <w:rPr>
          <w:position w:val="7"/>
          <w:sz w:val="14"/>
        </w:rPr>
        <w:t>28</w:t>
      </w:r>
      <w:r w:rsidRPr="00EC20A0">
        <w:rPr>
          <w:sz w:val="18"/>
        </w:rPr>
        <w:t>If the IPA firm did not provide an opinion (i.e., did not give positive assurance) on whether the entity’s systems complied</w:t>
      </w:r>
      <w:r w:rsidRPr="00EC20A0">
        <w:rPr>
          <w:spacing w:val="-3"/>
          <w:sz w:val="18"/>
        </w:rPr>
        <w:t xml:space="preserve"> </w:t>
      </w:r>
      <w:r w:rsidRPr="00EC20A0">
        <w:rPr>
          <w:sz w:val="18"/>
        </w:rPr>
        <w:t>substantially</w:t>
      </w:r>
      <w:r w:rsidRPr="00EC20A0">
        <w:rPr>
          <w:spacing w:val="-3"/>
          <w:sz w:val="18"/>
        </w:rPr>
        <w:t xml:space="preserve"> </w:t>
      </w:r>
      <w:r w:rsidRPr="00EC20A0">
        <w:rPr>
          <w:sz w:val="18"/>
        </w:rPr>
        <w:t>with</w:t>
      </w:r>
      <w:r w:rsidRPr="00EC20A0">
        <w:rPr>
          <w:spacing w:val="-4"/>
          <w:sz w:val="18"/>
        </w:rPr>
        <w:t xml:space="preserve"> </w:t>
      </w:r>
      <w:r w:rsidRPr="00EC20A0">
        <w:rPr>
          <w:sz w:val="18"/>
        </w:rPr>
        <w:t>the</w:t>
      </w:r>
      <w:r w:rsidRPr="00EC20A0">
        <w:rPr>
          <w:spacing w:val="-4"/>
          <w:sz w:val="18"/>
        </w:rPr>
        <w:t xml:space="preserve"> </w:t>
      </w:r>
      <w:r w:rsidRPr="00EC20A0">
        <w:rPr>
          <w:sz w:val="18"/>
        </w:rPr>
        <w:t>three</w:t>
      </w:r>
      <w:r w:rsidRPr="00EC20A0">
        <w:rPr>
          <w:spacing w:val="-4"/>
          <w:sz w:val="18"/>
        </w:rPr>
        <w:t xml:space="preserve"> </w:t>
      </w:r>
      <w:r w:rsidRPr="00EC20A0">
        <w:rPr>
          <w:sz w:val="18"/>
        </w:rPr>
        <w:t>FFMIA</w:t>
      </w:r>
      <w:r w:rsidRPr="00EC20A0">
        <w:rPr>
          <w:spacing w:val="-4"/>
          <w:sz w:val="18"/>
        </w:rPr>
        <w:t xml:space="preserve"> </w:t>
      </w:r>
      <w:r w:rsidRPr="00EC20A0">
        <w:rPr>
          <w:sz w:val="18"/>
        </w:rPr>
        <w:t>requirements,</w:t>
      </w:r>
      <w:r w:rsidRPr="00EC20A0">
        <w:rPr>
          <w:spacing w:val="-3"/>
          <w:sz w:val="18"/>
        </w:rPr>
        <w:t xml:space="preserve"> </w:t>
      </w:r>
      <w:r w:rsidRPr="00EC20A0">
        <w:rPr>
          <w:sz w:val="18"/>
        </w:rPr>
        <w:t>change</w:t>
      </w:r>
      <w:r w:rsidRPr="00EC20A0">
        <w:rPr>
          <w:spacing w:val="-3"/>
          <w:sz w:val="18"/>
        </w:rPr>
        <w:t xml:space="preserve"> </w:t>
      </w:r>
      <w:r w:rsidRPr="00EC20A0">
        <w:rPr>
          <w:sz w:val="18"/>
        </w:rPr>
        <w:t>this</w:t>
      </w:r>
      <w:r w:rsidRPr="00EC20A0">
        <w:rPr>
          <w:spacing w:val="-3"/>
          <w:sz w:val="18"/>
        </w:rPr>
        <w:t xml:space="preserve"> </w:t>
      </w:r>
      <w:r w:rsidRPr="00EC20A0">
        <w:rPr>
          <w:sz w:val="18"/>
        </w:rPr>
        <w:t>to</w:t>
      </w:r>
      <w:r w:rsidRPr="00EC20A0">
        <w:rPr>
          <w:spacing w:val="-2"/>
          <w:sz w:val="18"/>
        </w:rPr>
        <w:t xml:space="preserve"> </w:t>
      </w:r>
      <w:r w:rsidRPr="00EC20A0">
        <w:rPr>
          <w:sz w:val="18"/>
        </w:rPr>
        <w:t>“no</w:t>
      </w:r>
      <w:r w:rsidRPr="00EC20A0">
        <w:rPr>
          <w:spacing w:val="-3"/>
          <w:sz w:val="18"/>
        </w:rPr>
        <w:t xml:space="preserve"> </w:t>
      </w:r>
      <w:r w:rsidRPr="00EC20A0">
        <w:rPr>
          <w:sz w:val="18"/>
        </w:rPr>
        <w:t>instances</w:t>
      </w:r>
      <w:r w:rsidRPr="00EC20A0">
        <w:rPr>
          <w:spacing w:val="-3"/>
          <w:sz w:val="18"/>
        </w:rPr>
        <w:t xml:space="preserve"> </w:t>
      </w:r>
      <w:r w:rsidRPr="00EC20A0">
        <w:rPr>
          <w:sz w:val="18"/>
        </w:rPr>
        <w:t>in</w:t>
      </w:r>
      <w:r w:rsidRPr="00EC20A0">
        <w:rPr>
          <w:spacing w:val="-4"/>
          <w:sz w:val="18"/>
        </w:rPr>
        <w:t xml:space="preserve"> </w:t>
      </w:r>
      <w:r w:rsidRPr="00EC20A0">
        <w:rPr>
          <w:sz w:val="18"/>
        </w:rPr>
        <w:t>which</w:t>
      </w:r>
      <w:r w:rsidRPr="00EC20A0">
        <w:rPr>
          <w:spacing w:val="-4"/>
          <w:sz w:val="18"/>
        </w:rPr>
        <w:t xml:space="preserve"> </w:t>
      </w:r>
      <w:r w:rsidRPr="00EC20A0">
        <w:rPr>
          <w:b/>
          <w:sz w:val="18"/>
        </w:rPr>
        <w:t>[entity’s]</w:t>
      </w:r>
      <w:r w:rsidRPr="00EC20A0">
        <w:rPr>
          <w:b/>
          <w:spacing w:val="-3"/>
          <w:sz w:val="18"/>
        </w:rPr>
        <w:t xml:space="preserve"> </w:t>
      </w:r>
      <w:r w:rsidRPr="00EC20A0">
        <w:rPr>
          <w:sz w:val="18"/>
        </w:rPr>
        <w:t>financial management systems did not comply substantially” (negative assurance).</w:t>
      </w:r>
    </w:p>
    <w:p w14:paraId="24D603CC" w14:textId="77777777" w:rsidR="00245300" w:rsidRPr="00EC20A0" w:rsidRDefault="00245300">
      <w:pPr>
        <w:spacing w:line="244" w:lineRule="auto"/>
        <w:rPr>
          <w:sz w:val="18"/>
        </w:rPr>
        <w:sectPr w:rsidR="00245300" w:rsidRPr="00EC20A0">
          <w:pgSz w:w="12240" w:h="15840"/>
          <w:pgMar w:top="1600" w:right="940" w:bottom="940" w:left="1020" w:header="721" w:footer="757" w:gutter="0"/>
          <w:cols w:space="720"/>
        </w:sectPr>
      </w:pPr>
    </w:p>
    <w:p w14:paraId="24D603CD" w14:textId="77777777" w:rsidR="00245300" w:rsidRDefault="00F17249">
      <w:pPr>
        <w:pStyle w:val="BodyText"/>
        <w:spacing w:before="121"/>
        <w:ind w:left="419" w:right="562"/>
      </w:pPr>
      <w:r w:rsidRPr="00EC20A0">
        <w:t>complied</w:t>
      </w:r>
      <w:r w:rsidRPr="00EC20A0">
        <w:rPr>
          <w:spacing w:val="-4"/>
        </w:rPr>
        <w:t xml:space="preserve"> </w:t>
      </w:r>
      <w:r w:rsidRPr="00EC20A0">
        <w:t>substantially</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three</w:t>
      </w:r>
      <w:r w:rsidRPr="00EC20A0">
        <w:rPr>
          <w:spacing w:val="-5"/>
        </w:rPr>
        <w:t xml:space="preserve"> </w:t>
      </w:r>
      <w:r w:rsidRPr="00EC20A0">
        <w:t>requirements</w:t>
      </w:r>
      <w:r w:rsidRPr="00EC20A0">
        <w:rPr>
          <w:spacing w:val="-4"/>
        </w:rPr>
        <w:t xml:space="preserve"> </w:t>
      </w:r>
      <w:r w:rsidRPr="00EC20A0">
        <w:t>of</w:t>
      </w:r>
      <w:r w:rsidRPr="00EC20A0">
        <w:rPr>
          <w:spacing w:val="-4"/>
        </w:rPr>
        <w:t xml:space="preserve"> </w:t>
      </w:r>
      <w:r w:rsidRPr="00EC20A0">
        <w:t>FFMIA,</w:t>
      </w:r>
      <w:r w:rsidRPr="00EC20A0">
        <w:rPr>
          <w:spacing w:val="-4"/>
        </w:rPr>
        <w:t xml:space="preserve"> </w:t>
      </w:r>
      <w:r w:rsidRPr="00EC20A0">
        <w:t>or</w:t>
      </w:r>
      <w:r w:rsidRPr="00EC20A0">
        <w:rPr>
          <w:spacing w:val="-4"/>
        </w:rPr>
        <w:t xml:space="preserve"> </w:t>
      </w:r>
      <w:r w:rsidRPr="00EC20A0">
        <w:t>conclusions</w:t>
      </w:r>
      <w:r w:rsidRPr="00EC20A0">
        <w:rPr>
          <w:spacing w:val="-4"/>
        </w:rPr>
        <w:t xml:space="preserve"> </w:t>
      </w:r>
      <w:r w:rsidRPr="00EC20A0">
        <w:t>on</w:t>
      </w:r>
      <w:r w:rsidRPr="00EC20A0">
        <w:rPr>
          <w:spacing w:val="-4"/>
        </w:rPr>
        <w:t xml:space="preserve"> </w:t>
      </w:r>
      <w:r w:rsidRPr="00EC20A0">
        <w:t>compliance</w:t>
      </w:r>
      <w:r w:rsidRPr="00EC20A0">
        <w:rPr>
          <w:spacing w:val="-4"/>
        </w:rPr>
        <w:t xml:space="preserve"> </w:t>
      </w:r>
      <w:r w:rsidRPr="00EC20A0">
        <w:t>and other matters.</w:t>
      </w:r>
    </w:p>
    <w:p w14:paraId="1DD91012" w14:textId="77777777" w:rsidR="005811FE" w:rsidRPr="00EC20A0" w:rsidRDefault="005811FE" w:rsidP="005811FE">
      <w:pPr>
        <w:pStyle w:val="BodyText"/>
        <w:spacing w:before="60"/>
        <w:ind w:left="418" w:right="562"/>
      </w:pPr>
    </w:p>
    <w:p w14:paraId="24D603CE" w14:textId="77777777" w:rsidR="00245300" w:rsidRPr="005811FE" w:rsidRDefault="00F17249" w:rsidP="005811FE">
      <w:pPr>
        <w:ind w:left="450"/>
        <w:rPr>
          <w:b/>
          <w:bCs/>
        </w:rPr>
      </w:pPr>
      <w:r w:rsidRPr="005811FE">
        <w:rPr>
          <w:b/>
          <w:bCs/>
        </w:rPr>
        <w:t xml:space="preserve">[For transmittal letters </w:t>
      </w:r>
      <w:r w:rsidRPr="005811FE">
        <w:rPr>
          <w:b/>
          <w:bCs/>
        </w:rPr>
        <w:t>expressing negative assurance specifically related to the IPA firm’s compliance with GAGAS, use the following paragraph:]</w:t>
      </w:r>
    </w:p>
    <w:p w14:paraId="24D603CF" w14:textId="77777777" w:rsidR="00245300" w:rsidRPr="00EC20A0" w:rsidRDefault="00F17249">
      <w:pPr>
        <w:pStyle w:val="BodyText"/>
        <w:spacing w:before="241"/>
        <w:ind w:left="418" w:right="527" w:firstLine="1"/>
        <w:rPr>
          <w:sz w:val="14"/>
        </w:rPr>
      </w:pPr>
      <w:r w:rsidRPr="00EC20A0">
        <w:t>In connection with the contract, we reviewed [</w:t>
      </w:r>
      <w:r w:rsidRPr="00EC20A0">
        <w:rPr>
          <w:b/>
        </w:rPr>
        <w:t>IPA firm’s</w:t>
      </w:r>
      <w:r w:rsidRPr="00EC20A0">
        <w:t>] report and related documentation and inquired of its representatives. Our review, as differentiated from an audit of the financial statements</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4"/>
        </w:rPr>
        <w:t xml:space="preserve"> </w:t>
      </w:r>
      <w:r w:rsidRPr="00EC20A0">
        <w:t>U.S.</w:t>
      </w:r>
      <w:r w:rsidRPr="00EC20A0">
        <w:rPr>
          <w:spacing w:val="-4"/>
        </w:rPr>
        <w:t xml:space="preserve"> </w:t>
      </w:r>
      <w:r w:rsidRPr="00EC20A0">
        <w:t>generally</w:t>
      </w:r>
      <w:r w:rsidRPr="00EC20A0">
        <w:rPr>
          <w:spacing w:val="-4"/>
        </w:rPr>
        <w:t xml:space="preserve"> </w:t>
      </w:r>
      <w:r w:rsidRPr="00EC20A0">
        <w:t>accepted</w:t>
      </w:r>
      <w:r w:rsidRPr="00EC20A0">
        <w:rPr>
          <w:spacing w:val="-4"/>
        </w:rPr>
        <w:t xml:space="preserve"> </w:t>
      </w:r>
      <w:r w:rsidRPr="00EC20A0">
        <w:t>government</w:t>
      </w:r>
      <w:r w:rsidRPr="00EC20A0">
        <w:rPr>
          <w:spacing w:val="-4"/>
        </w:rPr>
        <w:t xml:space="preserve"> </w:t>
      </w:r>
      <w:r w:rsidRPr="00EC20A0">
        <w:t>auditing</w:t>
      </w:r>
      <w:r w:rsidRPr="00EC20A0">
        <w:rPr>
          <w:spacing w:val="-4"/>
        </w:rPr>
        <w:t xml:space="preserve"> </w:t>
      </w:r>
      <w:r w:rsidRPr="00EC20A0">
        <w:t>standards,</w:t>
      </w:r>
      <w:r w:rsidRPr="00EC20A0">
        <w:rPr>
          <w:spacing w:val="-4"/>
        </w:rPr>
        <w:t xml:space="preserve"> </w:t>
      </w:r>
      <w:r w:rsidRPr="00EC20A0">
        <w:t>was</w:t>
      </w:r>
      <w:r w:rsidRPr="00EC20A0">
        <w:rPr>
          <w:spacing w:val="-4"/>
        </w:rPr>
        <w:t xml:space="preserve"> </w:t>
      </w:r>
      <w:r w:rsidRPr="00EC20A0">
        <w:t xml:space="preserve">not intended to enable us to express, and we do not express, opinions on </w:t>
      </w:r>
      <w:r w:rsidRPr="00EC20A0">
        <w:rPr>
          <w:b/>
        </w:rPr>
        <w:t xml:space="preserve">[entity’s] </w:t>
      </w:r>
      <w:r w:rsidRPr="00EC20A0">
        <w:t>financial statements or internal control over financial reporting,</w:t>
      </w:r>
      <w:hyperlink w:anchor="_bookmark40" w:history="1">
        <w:r w:rsidRPr="00EC20A0">
          <w:rPr>
            <w:position w:val="7"/>
            <w:sz w:val="14"/>
          </w:rPr>
          <w:t>29</w:t>
        </w:r>
      </w:hyperlink>
      <w:r w:rsidRPr="00EC20A0">
        <w:rPr>
          <w:spacing w:val="34"/>
          <w:position w:val="7"/>
          <w:sz w:val="14"/>
        </w:rPr>
        <w:t xml:space="preserve"> </w:t>
      </w:r>
      <w:r w:rsidRPr="00EC20A0">
        <w:t xml:space="preserve">or conclusions on whether </w:t>
      </w:r>
      <w:r w:rsidRPr="00EC20A0">
        <w:rPr>
          <w:b/>
        </w:rPr>
        <w:t xml:space="preserve">[entity’s] </w:t>
      </w:r>
      <w:r w:rsidRPr="00EC20A0">
        <w:t>financial management systems complied substantially with the three FFMIA requirements,</w:t>
      </w:r>
      <w:hyperlink w:anchor="_bookmark41" w:history="1">
        <w:r w:rsidRPr="00EC20A0">
          <w:rPr>
            <w:position w:val="7"/>
            <w:sz w:val="14"/>
          </w:rPr>
          <w:t>30</w:t>
        </w:r>
      </w:hyperlink>
      <w:r w:rsidRPr="00EC20A0">
        <w:rPr>
          <w:spacing w:val="33"/>
          <w:position w:val="7"/>
          <w:sz w:val="14"/>
        </w:rPr>
        <w:t xml:space="preserve"> </w:t>
      </w:r>
      <w:r w:rsidRPr="00EC20A0">
        <w:t>or on compliance with laws and other matters. [</w:t>
      </w:r>
      <w:r w:rsidRPr="00EC20A0">
        <w:rPr>
          <w:b/>
        </w:rPr>
        <w:t>IPA firm</w:t>
      </w:r>
      <w:r w:rsidRPr="00EC20A0">
        <w:t xml:space="preserve">] is responsible for the attached auditor’s report dated </w:t>
      </w:r>
      <w:r w:rsidRPr="00EC20A0">
        <w:rPr>
          <w:b/>
        </w:rPr>
        <w:t xml:space="preserve">[date] </w:t>
      </w:r>
      <w:r w:rsidRPr="00EC20A0">
        <w:t>and the conclusions expressed therein. However, our review disclosed no instances</w:t>
      </w:r>
      <w:r w:rsidRPr="00EC20A0">
        <w:rPr>
          <w:spacing w:val="-3"/>
        </w:rPr>
        <w:t xml:space="preserve"> </w:t>
      </w:r>
      <w:r w:rsidRPr="00EC20A0">
        <w:t>where</w:t>
      </w:r>
      <w:r w:rsidRPr="00EC20A0">
        <w:rPr>
          <w:spacing w:val="-3"/>
        </w:rPr>
        <w:t xml:space="preserve"> </w:t>
      </w:r>
      <w:r w:rsidRPr="00EC20A0">
        <w:t>[</w:t>
      </w:r>
      <w:r w:rsidRPr="00EC20A0">
        <w:rPr>
          <w:b/>
        </w:rPr>
        <w:t>IPA</w:t>
      </w:r>
      <w:r w:rsidRPr="00EC20A0">
        <w:rPr>
          <w:b/>
          <w:spacing w:val="-4"/>
        </w:rPr>
        <w:t xml:space="preserve"> </w:t>
      </w:r>
      <w:r w:rsidRPr="00EC20A0">
        <w:rPr>
          <w:b/>
        </w:rPr>
        <w:t>firm</w:t>
      </w:r>
      <w:r w:rsidRPr="00EC20A0">
        <w:t>]</w:t>
      </w:r>
      <w:r w:rsidRPr="00EC20A0">
        <w:rPr>
          <w:spacing w:val="-3"/>
        </w:rPr>
        <w:t xml:space="preserve"> </w:t>
      </w:r>
      <w:r w:rsidRPr="00EC20A0">
        <w:t>did</w:t>
      </w:r>
      <w:r w:rsidRPr="00EC20A0">
        <w:rPr>
          <w:spacing w:val="-3"/>
        </w:rPr>
        <w:t xml:space="preserve"> </w:t>
      </w:r>
      <w:r w:rsidRPr="00EC20A0">
        <w:t>not</w:t>
      </w:r>
      <w:r w:rsidRPr="00EC20A0">
        <w:rPr>
          <w:spacing w:val="-3"/>
        </w:rPr>
        <w:t xml:space="preserve"> </w:t>
      </w:r>
      <w:r w:rsidRPr="00EC20A0">
        <w:t>comply,</w:t>
      </w:r>
      <w:r w:rsidRPr="00EC20A0">
        <w:rPr>
          <w:spacing w:val="-3"/>
        </w:rPr>
        <w:t xml:space="preserve"> </w:t>
      </w:r>
      <w:r w:rsidRPr="00EC20A0">
        <w:t>in</w:t>
      </w:r>
      <w:r w:rsidRPr="00EC20A0">
        <w:rPr>
          <w:spacing w:val="-3"/>
        </w:rPr>
        <w:t xml:space="preserve"> </w:t>
      </w:r>
      <w:r w:rsidRPr="00EC20A0">
        <w:t>all</w:t>
      </w:r>
      <w:r w:rsidRPr="00EC20A0">
        <w:rPr>
          <w:spacing w:val="-4"/>
        </w:rPr>
        <w:t xml:space="preserve"> </w:t>
      </w:r>
      <w:r w:rsidRPr="00EC20A0">
        <w:t>material</w:t>
      </w:r>
      <w:r w:rsidRPr="00EC20A0">
        <w:rPr>
          <w:spacing w:val="-3"/>
        </w:rPr>
        <w:t xml:space="preserve"> </w:t>
      </w:r>
      <w:r w:rsidRPr="00EC20A0">
        <w:t>respects,</w:t>
      </w:r>
      <w:r w:rsidRPr="00EC20A0">
        <w:rPr>
          <w:spacing w:val="-3"/>
        </w:rPr>
        <w:t xml:space="preserve"> </w:t>
      </w:r>
      <w:r w:rsidRPr="00EC20A0">
        <w:t>with</w:t>
      </w:r>
      <w:r w:rsidRPr="00EC20A0">
        <w:rPr>
          <w:spacing w:val="-4"/>
        </w:rPr>
        <w:t xml:space="preserve"> </w:t>
      </w:r>
      <w:r w:rsidRPr="00EC20A0">
        <w:t>U.S.</w:t>
      </w:r>
      <w:r w:rsidRPr="00EC20A0">
        <w:rPr>
          <w:spacing w:val="-3"/>
        </w:rPr>
        <w:t xml:space="preserve"> </w:t>
      </w:r>
      <w:r w:rsidRPr="00EC20A0">
        <w:t>generally</w:t>
      </w:r>
      <w:r w:rsidRPr="00EC20A0">
        <w:rPr>
          <w:spacing w:val="-3"/>
        </w:rPr>
        <w:t xml:space="preserve"> </w:t>
      </w:r>
      <w:r w:rsidRPr="00EC20A0">
        <w:t>accepted government auditing standards.</w:t>
      </w:r>
      <w:hyperlink w:anchor="_bookmark42" w:history="1">
        <w:r w:rsidRPr="00EC20A0">
          <w:rPr>
            <w:position w:val="7"/>
            <w:sz w:val="14"/>
          </w:rPr>
          <w:t>31</w:t>
        </w:r>
      </w:hyperlink>
    </w:p>
    <w:p w14:paraId="24D603D0" w14:textId="77777777" w:rsidR="00245300" w:rsidRPr="00EC20A0" w:rsidRDefault="00245300">
      <w:pPr>
        <w:pStyle w:val="BodyText"/>
        <w:rPr>
          <w:sz w:val="20"/>
        </w:rPr>
      </w:pPr>
    </w:p>
    <w:p w14:paraId="24D603D1" w14:textId="77777777" w:rsidR="00245300" w:rsidRPr="00EC20A0" w:rsidRDefault="00245300">
      <w:pPr>
        <w:pStyle w:val="BodyText"/>
        <w:rPr>
          <w:sz w:val="20"/>
        </w:rPr>
      </w:pPr>
    </w:p>
    <w:p w14:paraId="24D603D2" w14:textId="77777777" w:rsidR="00245300" w:rsidRPr="00EC20A0" w:rsidRDefault="00245300">
      <w:pPr>
        <w:pStyle w:val="BodyText"/>
        <w:rPr>
          <w:sz w:val="20"/>
        </w:rPr>
      </w:pPr>
    </w:p>
    <w:p w14:paraId="24D603D3" w14:textId="77777777" w:rsidR="00245300" w:rsidRPr="00EC20A0" w:rsidRDefault="00245300">
      <w:pPr>
        <w:pStyle w:val="BodyText"/>
        <w:rPr>
          <w:sz w:val="20"/>
        </w:rPr>
      </w:pPr>
    </w:p>
    <w:p w14:paraId="24D603D4" w14:textId="77777777" w:rsidR="00245300" w:rsidRPr="00EC20A0" w:rsidRDefault="00245300">
      <w:pPr>
        <w:pStyle w:val="BodyText"/>
        <w:rPr>
          <w:sz w:val="20"/>
        </w:rPr>
      </w:pPr>
    </w:p>
    <w:p w14:paraId="24D603D5" w14:textId="77777777" w:rsidR="00245300" w:rsidRPr="00EC20A0" w:rsidRDefault="00245300">
      <w:pPr>
        <w:pStyle w:val="BodyText"/>
        <w:rPr>
          <w:sz w:val="20"/>
        </w:rPr>
      </w:pPr>
    </w:p>
    <w:p w14:paraId="24D603D6" w14:textId="77777777" w:rsidR="00245300" w:rsidRPr="00EC20A0" w:rsidRDefault="00245300">
      <w:pPr>
        <w:pStyle w:val="BodyText"/>
        <w:rPr>
          <w:sz w:val="20"/>
        </w:rPr>
      </w:pPr>
    </w:p>
    <w:p w14:paraId="24D603D7" w14:textId="77777777" w:rsidR="00245300" w:rsidRPr="00EC20A0" w:rsidRDefault="00245300">
      <w:pPr>
        <w:pStyle w:val="BodyText"/>
        <w:rPr>
          <w:sz w:val="20"/>
        </w:rPr>
      </w:pPr>
    </w:p>
    <w:p w14:paraId="24D603D8" w14:textId="77777777" w:rsidR="00245300" w:rsidRPr="00EC20A0" w:rsidRDefault="00245300">
      <w:pPr>
        <w:pStyle w:val="BodyText"/>
        <w:rPr>
          <w:sz w:val="20"/>
        </w:rPr>
      </w:pPr>
    </w:p>
    <w:p w14:paraId="24D603D9" w14:textId="77777777" w:rsidR="00245300" w:rsidRPr="00EC20A0" w:rsidRDefault="00245300">
      <w:pPr>
        <w:pStyle w:val="BodyText"/>
        <w:rPr>
          <w:sz w:val="20"/>
        </w:rPr>
      </w:pPr>
    </w:p>
    <w:p w14:paraId="24D603DA" w14:textId="77777777" w:rsidR="00245300" w:rsidRPr="00EC20A0" w:rsidRDefault="00245300">
      <w:pPr>
        <w:pStyle w:val="BodyText"/>
        <w:rPr>
          <w:sz w:val="20"/>
        </w:rPr>
      </w:pPr>
    </w:p>
    <w:p w14:paraId="24D603DB" w14:textId="77777777" w:rsidR="00245300" w:rsidRPr="00EC20A0" w:rsidRDefault="00245300">
      <w:pPr>
        <w:pStyle w:val="BodyText"/>
        <w:rPr>
          <w:sz w:val="20"/>
        </w:rPr>
      </w:pPr>
    </w:p>
    <w:p w14:paraId="24D603DC" w14:textId="77777777" w:rsidR="00245300" w:rsidRPr="00EC20A0" w:rsidRDefault="00245300">
      <w:pPr>
        <w:pStyle w:val="BodyText"/>
        <w:rPr>
          <w:sz w:val="20"/>
        </w:rPr>
      </w:pPr>
    </w:p>
    <w:p w14:paraId="24D603DD" w14:textId="77777777" w:rsidR="00245300" w:rsidRPr="00EC20A0" w:rsidRDefault="00245300">
      <w:pPr>
        <w:pStyle w:val="BodyText"/>
        <w:rPr>
          <w:sz w:val="20"/>
        </w:rPr>
      </w:pPr>
    </w:p>
    <w:p w14:paraId="24D603DE" w14:textId="77777777" w:rsidR="00245300" w:rsidRPr="00EC20A0" w:rsidRDefault="00245300">
      <w:pPr>
        <w:pStyle w:val="BodyText"/>
        <w:rPr>
          <w:sz w:val="20"/>
        </w:rPr>
      </w:pPr>
    </w:p>
    <w:p w14:paraId="24D603DF" w14:textId="77777777" w:rsidR="00245300" w:rsidRPr="00EC20A0" w:rsidRDefault="00245300">
      <w:pPr>
        <w:pStyle w:val="BodyText"/>
        <w:rPr>
          <w:sz w:val="20"/>
        </w:rPr>
      </w:pPr>
    </w:p>
    <w:p w14:paraId="24D603E0" w14:textId="77777777" w:rsidR="00245300" w:rsidRPr="00EC20A0" w:rsidRDefault="00245300">
      <w:pPr>
        <w:pStyle w:val="BodyText"/>
        <w:rPr>
          <w:sz w:val="20"/>
        </w:rPr>
      </w:pPr>
    </w:p>
    <w:p w14:paraId="24D603E1" w14:textId="77777777" w:rsidR="00245300" w:rsidRPr="00EC20A0" w:rsidRDefault="00245300">
      <w:pPr>
        <w:pStyle w:val="BodyText"/>
        <w:rPr>
          <w:sz w:val="20"/>
        </w:rPr>
      </w:pPr>
    </w:p>
    <w:p w14:paraId="24D603E2" w14:textId="77777777" w:rsidR="00245300" w:rsidRPr="00EC20A0" w:rsidRDefault="00245300">
      <w:pPr>
        <w:pStyle w:val="BodyText"/>
        <w:rPr>
          <w:sz w:val="20"/>
        </w:rPr>
      </w:pPr>
    </w:p>
    <w:p w14:paraId="24D603E3" w14:textId="77777777" w:rsidR="00245300" w:rsidRPr="00EC20A0" w:rsidRDefault="00245300">
      <w:pPr>
        <w:pStyle w:val="BodyText"/>
        <w:rPr>
          <w:sz w:val="20"/>
        </w:rPr>
      </w:pPr>
    </w:p>
    <w:p w14:paraId="24D603E4" w14:textId="77777777" w:rsidR="00245300" w:rsidRPr="00EC20A0" w:rsidRDefault="00245300">
      <w:pPr>
        <w:pStyle w:val="BodyText"/>
        <w:rPr>
          <w:sz w:val="20"/>
        </w:rPr>
      </w:pPr>
    </w:p>
    <w:p w14:paraId="24D603E5" w14:textId="77777777" w:rsidR="00245300" w:rsidRPr="00EC20A0" w:rsidRDefault="00245300">
      <w:pPr>
        <w:pStyle w:val="BodyText"/>
        <w:rPr>
          <w:sz w:val="20"/>
        </w:rPr>
      </w:pPr>
    </w:p>
    <w:p w14:paraId="24D603E6" w14:textId="77777777" w:rsidR="00245300" w:rsidRPr="00EC20A0" w:rsidRDefault="00245300">
      <w:pPr>
        <w:pStyle w:val="BodyText"/>
        <w:rPr>
          <w:sz w:val="20"/>
        </w:rPr>
      </w:pPr>
    </w:p>
    <w:p w14:paraId="24D603E7" w14:textId="77777777" w:rsidR="00245300" w:rsidRPr="00EC20A0" w:rsidRDefault="00245300">
      <w:pPr>
        <w:pStyle w:val="BodyText"/>
        <w:rPr>
          <w:sz w:val="20"/>
        </w:rPr>
      </w:pPr>
    </w:p>
    <w:p w14:paraId="24D603E8" w14:textId="77777777" w:rsidR="00245300" w:rsidRPr="00EC20A0" w:rsidRDefault="00245300">
      <w:pPr>
        <w:pStyle w:val="BodyText"/>
        <w:rPr>
          <w:sz w:val="20"/>
        </w:rPr>
      </w:pPr>
    </w:p>
    <w:p w14:paraId="24D603E9" w14:textId="77777777" w:rsidR="00245300" w:rsidRPr="00EC20A0" w:rsidRDefault="00245300">
      <w:pPr>
        <w:pStyle w:val="BodyText"/>
        <w:rPr>
          <w:sz w:val="20"/>
        </w:rPr>
      </w:pPr>
    </w:p>
    <w:p w14:paraId="24D603EA" w14:textId="77777777" w:rsidR="00245300" w:rsidRPr="00EC20A0" w:rsidRDefault="00245300">
      <w:pPr>
        <w:pStyle w:val="BodyText"/>
        <w:rPr>
          <w:sz w:val="20"/>
        </w:rPr>
      </w:pPr>
    </w:p>
    <w:p w14:paraId="24D603EB" w14:textId="77777777" w:rsidR="00245300" w:rsidRPr="00EC20A0" w:rsidRDefault="00245300">
      <w:pPr>
        <w:pStyle w:val="BodyText"/>
        <w:rPr>
          <w:sz w:val="20"/>
        </w:rPr>
      </w:pPr>
    </w:p>
    <w:p w14:paraId="24D603EC" w14:textId="77777777" w:rsidR="00245300" w:rsidRPr="00EC20A0" w:rsidRDefault="00245300">
      <w:pPr>
        <w:pStyle w:val="BodyText"/>
        <w:rPr>
          <w:sz w:val="20"/>
        </w:rPr>
      </w:pPr>
    </w:p>
    <w:p w14:paraId="24D603ED" w14:textId="77777777" w:rsidR="00245300" w:rsidRPr="00EC20A0" w:rsidRDefault="00245300">
      <w:pPr>
        <w:pStyle w:val="BodyText"/>
        <w:rPr>
          <w:sz w:val="20"/>
        </w:rPr>
      </w:pPr>
    </w:p>
    <w:p w14:paraId="24D603EE" w14:textId="77777777" w:rsidR="00245300" w:rsidRPr="00EC20A0" w:rsidRDefault="00F17249">
      <w:pPr>
        <w:pStyle w:val="BodyText"/>
        <w:spacing w:before="40"/>
        <w:rPr>
          <w:sz w:val="20"/>
        </w:rPr>
      </w:pPr>
      <w:r w:rsidRPr="00EC20A0">
        <w:rPr>
          <w:noProof/>
        </w:rPr>
        <mc:AlternateContent>
          <mc:Choice Requires="wps">
            <w:drawing>
              <wp:anchor distT="0" distB="0" distL="0" distR="0" simplePos="0" relativeHeight="487603712" behindDoc="1" locked="0" layoutInCell="1" allowOverlap="1" wp14:anchorId="24D62AF3" wp14:editId="24D62AF4">
                <wp:simplePos x="0" y="0"/>
                <wp:positionH relativeFrom="page">
                  <wp:posOffset>914400</wp:posOffset>
                </wp:positionH>
                <wp:positionV relativeFrom="paragraph">
                  <wp:posOffset>186872</wp:posOffset>
                </wp:positionV>
                <wp:extent cx="1828800" cy="5715"/>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2C65F9" id="Graphic 162" o:spid="_x0000_s1026" style="position:absolute;margin-left:1in;margin-top:14.7pt;width:2in;height:.4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" path="m1828800,l,,,5333r1828800,l1828800,xe" fillcolor="black" stroked="f">
                <v:path arrowok="t"/>
                <w10:wrap type="topAndBottom" anchorx="page"/>
              </v:shape>
            </w:pict>
          </mc:Fallback>
        </mc:AlternateContent>
      </w:r>
    </w:p>
    <w:p w14:paraId="24D603EF" w14:textId="77777777" w:rsidR="00245300" w:rsidRPr="00EC20A0" w:rsidRDefault="00F17249">
      <w:pPr>
        <w:spacing w:before="200" w:line="249" w:lineRule="auto"/>
        <w:ind w:left="419" w:right="562"/>
        <w:rPr>
          <w:sz w:val="18"/>
        </w:rPr>
      </w:pPr>
      <w:bookmarkStart w:id="119" w:name="_bookmark40"/>
      <w:bookmarkEnd w:id="119"/>
      <w:r w:rsidRPr="00EC20A0">
        <w:rPr>
          <w:position w:val="7"/>
          <w:sz w:val="14"/>
        </w:rPr>
        <w:t>29</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IPA</w:t>
      </w:r>
      <w:r w:rsidRPr="00EC20A0">
        <w:rPr>
          <w:spacing w:val="-3"/>
          <w:sz w:val="18"/>
        </w:rPr>
        <w:t xml:space="preserve"> </w:t>
      </w:r>
      <w:r w:rsidRPr="00EC20A0">
        <w:rPr>
          <w:sz w:val="18"/>
        </w:rPr>
        <w:t>firm</w:t>
      </w:r>
      <w:r w:rsidRPr="00EC20A0">
        <w:rPr>
          <w:spacing w:val="-3"/>
          <w:sz w:val="18"/>
        </w:rPr>
        <w:t xml:space="preserve"> </w:t>
      </w:r>
      <w:r w:rsidRPr="00EC20A0">
        <w:rPr>
          <w:sz w:val="18"/>
        </w:rPr>
        <w:t>did</w:t>
      </w:r>
      <w:r w:rsidRPr="00EC20A0">
        <w:rPr>
          <w:spacing w:val="-3"/>
          <w:sz w:val="18"/>
        </w:rPr>
        <w:t xml:space="preserve"> </w:t>
      </w:r>
      <w:r w:rsidRPr="00EC20A0">
        <w:rPr>
          <w:sz w:val="18"/>
        </w:rPr>
        <w:t>not</w:t>
      </w:r>
      <w:r w:rsidRPr="00EC20A0">
        <w:rPr>
          <w:spacing w:val="-2"/>
          <w:sz w:val="18"/>
        </w:rPr>
        <w:t xml:space="preserve"> </w:t>
      </w:r>
      <w:r w:rsidRPr="00EC20A0">
        <w:rPr>
          <w:sz w:val="18"/>
        </w:rPr>
        <w:t>provide</w:t>
      </w:r>
      <w:r w:rsidRPr="00EC20A0">
        <w:rPr>
          <w:spacing w:val="-1"/>
          <w:sz w:val="18"/>
        </w:rPr>
        <w:t xml:space="preserve"> </w:t>
      </w:r>
      <w:r w:rsidRPr="00EC20A0">
        <w:rPr>
          <w:sz w:val="18"/>
        </w:rPr>
        <w:t>an</w:t>
      </w:r>
      <w:r w:rsidRPr="00EC20A0">
        <w:rPr>
          <w:spacing w:val="-2"/>
          <w:sz w:val="18"/>
        </w:rPr>
        <w:t xml:space="preserve"> </w:t>
      </w:r>
      <w:r w:rsidRPr="00EC20A0">
        <w:rPr>
          <w:sz w:val="18"/>
        </w:rPr>
        <w:t>opinion</w:t>
      </w:r>
      <w:r w:rsidRPr="00EC20A0">
        <w:rPr>
          <w:spacing w:val="-3"/>
          <w:sz w:val="18"/>
        </w:rPr>
        <w:t xml:space="preserve"> </w:t>
      </w:r>
      <w:r w:rsidRPr="00EC20A0">
        <w:rPr>
          <w:sz w:val="18"/>
        </w:rPr>
        <w:t>on</w:t>
      </w:r>
      <w:r w:rsidRPr="00EC20A0">
        <w:rPr>
          <w:spacing w:val="-3"/>
          <w:sz w:val="18"/>
        </w:rPr>
        <w:t xml:space="preserve"> </w:t>
      </w:r>
      <w:r w:rsidRPr="00EC20A0">
        <w:rPr>
          <w:sz w:val="18"/>
        </w:rPr>
        <w:t>internal</w:t>
      </w:r>
      <w:r w:rsidRPr="00EC20A0">
        <w:rPr>
          <w:spacing w:val="-2"/>
          <w:sz w:val="18"/>
        </w:rPr>
        <w:t xml:space="preserve"> </w:t>
      </w:r>
      <w:r w:rsidRPr="00EC20A0">
        <w:rPr>
          <w:sz w:val="18"/>
        </w:rPr>
        <w:t>control</w:t>
      </w:r>
      <w:r w:rsidRPr="00EC20A0">
        <w:rPr>
          <w:spacing w:val="-1"/>
          <w:sz w:val="18"/>
        </w:rPr>
        <w:t xml:space="preserve"> </w:t>
      </w:r>
      <w:r w:rsidRPr="00EC20A0">
        <w:rPr>
          <w:sz w:val="18"/>
        </w:rPr>
        <w:t>over</w:t>
      </w:r>
      <w:r w:rsidRPr="00EC20A0">
        <w:rPr>
          <w:spacing w:val="-2"/>
          <w:sz w:val="18"/>
        </w:rPr>
        <w:t xml:space="preserve"> </w:t>
      </w:r>
      <w:r w:rsidRPr="00EC20A0">
        <w:rPr>
          <w:sz w:val="18"/>
        </w:rPr>
        <w:t>financial</w:t>
      </w:r>
      <w:r w:rsidRPr="00EC20A0">
        <w:rPr>
          <w:spacing w:val="-2"/>
          <w:sz w:val="18"/>
        </w:rPr>
        <w:t xml:space="preserve"> </w:t>
      </w:r>
      <w:r w:rsidRPr="00EC20A0">
        <w:rPr>
          <w:sz w:val="18"/>
        </w:rPr>
        <w:t>reporting,</w:t>
      </w:r>
      <w:r w:rsidRPr="00EC20A0">
        <w:rPr>
          <w:spacing w:val="-2"/>
          <w:sz w:val="18"/>
        </w:rPr>
        <w:t xml:space="preserve"> </w:t>
      </w:r>
      <w:r w:rsidRPr="00EC20A0">
        <w:rPr>
          <w:sz w:val="18"/>
        </w:rPr>
        <w:t>change</w:t>
      </w:r>
      <w:r w:rsidRPr="00EC20A0">
        <w:rPr>
          <w:spacing w:val="-2"/>
          <w:sz w:val="18"/>
        </w:rPr>
        <w:t xml:space="preserve"> </w:t>
      </w:r>
      <w:r w:rsidRPr="00EC20A0">
        <w:rPr>
          <w:sz w:val="18"/>
        </w:rPr>
        <w:t>this</w:t>
      </w:r>
      <w:r w:rsidRPr="00EC20A0">
        <w:rPr>
          <w:spacing w:val="-2"/>
          <w:sz w:val="18"/>
        </w:rPr>
        <w:t xml:space="preserve"> </w:t>
      </w:r>
      <w:r w:rsidRPr="00EC20A0">
        <w:rPr>
          <w:sz w:val="18"/>
        </w:rPr>
        <w:t>to</w:t>
      </w:r>
      <w:r w:rsidRPr="00EC20A0">
        <w:rPr>
          <w:spacing w:val="-3"/>
          <w:sz w:val="18"/>
        </w:rPr>
        <w:t xml:space="preserve"> </w:t>
      </w:r>
      <w:r w:rsidRPr="00EC20A0">
        <w:rPr>
          <w:sz w:val="18"/>
        </w:rPr>
        <w:t>“conclusions about the effectiveness of internal control over financial reporting.”</w:t>
      </w:r>
    </w:p>
    <w:p w14:paraId="24D603F0" w14:textId="77777777" w:rsidR="00245300" w:rsidRPr="00EC20A0" w:rsidRDefault="00F17249">
      <w:pPr>
        <w:spacing w:before="118"/>
        <w:ind w:left="420"/>
        <w:rPr>
          <w:sz w:val="18"/>
        </w:rPr>
      </w:pPr>
      <w:bookmarkStart w:id="120" w:name="_bookmark41"/>
      <w:bookmarkEnd w:id="120"/>
      <w:r w:rsidRPr="00EC20A0">
        <w:rPr>
          <w:position w:val="7"/>
          <w:sz w:val="14"/>
        </w:rPr>
        <w:t>30</w:t>
      </w:r>
      <w:r w:rsidRPr="00EC20A0">
        <w:rPr>
          <w:sz w:val="18"/>
        </w:rPr>
        <w:t>If</w:t>
      </w:r>
      <w:r w:rsidRPr="00EC20A0">
        <w:rPr>
          <w:spacing w:val="-4"/>
          <w:sz w:val="18"/>
        </w:rPr>
        <w:t xml:space="preserve"> </w:t>
      </w:r>
      <w:r w:rsidRPr="00EC20A0">
        <w:rPr>
          <w:sz w:val="18"/>
        </w:rPr>
        <w:t>the</w:t>
      </w:r>
      <w:r w:rsidRPr="00EC20A0">
        <w:rPr>
          <w:spacing w:val="-3"/>
          <w:sz w:val="18"/>
        </w:rPr>
        <w:t xml:space="preserve"> </w:t>
      </w:r>
      <w:r w:rsidRPr="00EC20A0">
        <w:rPr>
          <w:sz w:val="18"/>
        </w:rPr>
        <w:t>IPA</w:t>
      </w:r>
      <w:r w:rsidRPr="00EC20A0">
        <w:rPr>
          <w:spacing w:val="-2"/>
          <w:sz w:val="18"/>
        </w:rPr>
        <w:t xml:space="preserve"> </w:t>
      </w:r>
      <w:r w:rsidRPr="00EC20A0">
        <w:rPr>
          <w:sz w:val="18"/>
        </w:rPr>
        <w:t>firm</w:t>
      </w:r>
      <w:r w:rsidRPr="00EC20A0">
        <w:rPr>
          <w:spacing w:val="-3"/>
          <w:sz w:val="18"/>
        </w:rPr>
        <w:t xml:space="preserve"> </w:t>
      </w:r>
      <w:r w:rsidRPr="00EC20A0">
        <w:rPr>
          <w:sz w:val="18"/>
        </w:rPr>
        <w:t>did</w:t>
      </w:r>
      <w:r w:rsidRPr="00EC20A0">
        <w:rPr>
          <w:spacing w:val="-3"/>
          <w:sz w:val="18"/>
        </w:rPr>
        <w:t xml:space="preserve"> </w:t>
      </w:r>
      <w:r w:rsidRPr="00EC20A0">
        <w:rPr>
          <w:sz w:val="18"/>
        </w:rPr>
        <w:t>not</w:t>
      </w:r>
      <w:r w:rsidRPr="00EC20A0">
        <w:rPr>
          <w:spacing w:val="-1"/>
          <w:sz w:val="18"/>
        </w:rPr>
        <w:t xml:space="preserve"> </w:t>
      </w:r>
      <w:r w:rsidRPr="00EC20A0">
        <w:rPr>
          <w:sz w:val="18"/>
        </w:rPr>
        <w:t>provide</w:t>
      </w:r>
      <w:r w:rsidRPr="00EC20A0">
        <w:rPr>
          <w:spacing w:val="-1"/>
          <w:sz w:val="18"/>
        </w:rPr>
        <w:t xml:space="preserve"> </w:t>
      </w:r>
      <w:r w:rsidRPr="00EC20A0">
        <w:rPr>
          <w:sz w:val="18"/>
        </w:rPr>
        <w:t>an</w:t>
      </w:r>
      <w:r w:rsidRPr="00EC20A0">
        <w:rPr>
          <w:spacing w:val="-3"/>
          <w:sz w:val="18"/>
        </w:rPr>
        <w:t xml:space="preserve"> </w:t>
      </w:r>
      <w:r w:rsidRPr="00EC20A0">
        <w:rPr>
          <w:sz w:val="18"/>
        </w:rPr>
        <w:t>opinion</w:t>
      </w:r>
      <w:r w:rsidRPr="00EC20A0">
        <w:rPr>
          <w:spacing w:val="-2"/>
          <w:sz w:val="18"/>
        </w:rPr>
        <w:t xml:space="preserve"> </w:t>
      </w:r>
      <w:r w:rsidRPr="00EC20A0">
        <w:rPr>
          <w:sz w:val="18"/>
        </w:rPr>
        <w:t>on</w:t>
      </w:r>
      <w:r w:rsidRPr="00EC20A0">
        <w:rPr>
          <w:spacing w:val="-1"/>
          <w:sz w:val="18"/>
        </w:rPr>
        <w:t xml:space="preserve"> </w:t>
      </w:r>
      <w:r w:rsidRPr="00EC20A0">
        <w:rPr>
          <w:sz w:val="18"/>
        </w:rPr>
        <w:t>FFMIA,</w:t>
      </w:r>
      <w:r w:rsidRPr="00EC20A0">
        <w:rPr>
          <w:spacing w:val="-3"/>
          <w:sz w:val="18"/>
        </w:rPr>
        <w:t xml:space="preserve"> </w:t>
      </w:r>
      <w:r w:rsidRPr="00EC20A0">
        <w:rPr>
          <w:sz w:val="18"/>
        </w:rPr>
        <w:t>change</w:t>
      </w:r>
      <w:r w:rsidRPr="00EC20A0">
        <w:rPr>
          <w:spacing w:val="-2"/>
          <w:sz w:val="18"/>
        </w:rPr>
        <w:t xml:space="preserve"> </w:t>
      </w:r>
      <w:r w:rsidRPr="00EC20A0">
        <w:rPr>
          <w:sz w:val="18"/>
        </w:rPr>
        <w:t>“opinion”</w:t>
      </w:r>
      <w:r w:rsidRPr="00EC20A0">
        <w:rPr>
          <w:spacing w:val="-2"/>
          <w:sz w:val="18"/>
        </w:rPr>
        <w:t xml:space="preserve"> </w:t>
      </w:r>
      <w:r w:rsidRPr="00EC20A0">
        <w:rPr>
          <w:sz w:val="18"/>
        </w:rPr>
        <w:t>to</w:t>
      </w:r>
      <w:r w:rsidRPr="00EC20A0">
        <w:rPr>
          <w:spacing w:val="-2"/>
          <w:sz w:val="18"/>
        </w:rPr>
        <w:t xml:space="preserve"> “conclusions.”</w:t>
      </w:r>
    </w:p>
    <w:p w14:paraId="24D603F1" w14:textId="77777777" w:rsidR="00245300" w:rsidRPr="00EC20A0" w:rsidRDefault="00F17249">
      <w:pPr>
        <w:spacing w:before="134" w:line="249" w:lineRule="auto"/>
        <w:ind w:left="419" w:right="562"/>
        <w:rPr>
          <w:sz w:val="18"/>
        </w:rPr>
      </w:pPr>
      <w:bookmarkStart w:id="121" w:name="_bookmark42"/>
      <w:bookmarkEnd w:id="121"/>
      <w:r w:rsidRPr="00EC20A0">
        <w:rPr>
          <w:position w:val="7"/>
          <w:sz w:val="14"/>
        </w:rPr>
        <w:t>31</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found</w:t>
      </w:r>
      <w:r w:rsidRPr="00EC20A0">
        <w:rPr>
          <w:spacing w:val="-3"/>
          <w:sz w:val="18"/>
        </w:rPr>
        <w:t xml:space="preserve"> </w:t>
      </w:r>
      <w:r w:rsidRPr="00EC20A0">
        <w:rPr>
          <w:sz w:val="18"/>
        </w:rPr>
        <w:t>that</w:t>
      </w:r>
      <w:r w:rsidRPr="00EC20A0">
        <w:rPr>
          <w:spacing w:val="-2"/>
          <w:sz w:val="18"/>
        </w:rPr>
        <w:t xml:space="preserve"> </w:t>
      </w:r>
      <w:r w:rsidRPr="00EC20A0">
        <w:rPr>
          <w:sz w:val="18"/>
        </w:rPr>
        <w:t>the</w:t>
      </w:r>
      <w:r w:rsidRPr="00EC20A0">
        <w:rPr>
          <w:spacing w:val="-3"/>
          <w:sz w:val="18"/>
        </w:rPr>
        <w:t xml:space="preserve"> </w:t>
      </w:r>
      <w:r w:rsidRPr="00EC20A0">
        <w:rPr>
          <w:sz w:val="18"/>
        </w:rPr>
        <w:t>IPA</w:t>
      </w:r>
      <w:r w:rsidRPr="00EC20A0">
        <w:rPr>
          <w:spacing w:val="-2"/>
          <w:sz w:val="18"/>
        </w:rPr>
        <w:t xml:space="preserve"> </w:t>
      </w:r>
      <w:r w:rsidRPr="00EC20A0">
        <w:rPr>
          <w:sz w:val="18"/>
        </w:rPr>
        <w:t>firm</w:t>
      </w:r>
      <w:r w:rsidRPr="00EC20A0">
        <w:rPr>
          <w:spacing w:val="-2"/>
          <w:sz w:val="18"/>
        </w:rPr>
        <w:t xml:space="preserve"> </w:t>
      </w:r>
      <w:r w:rsidRPr="00EC20A0">
        <w:rPr>
          <w:sz w:val="18"/>
        </w:rPr>
        <w:t>did</w:t>
      </w:r>
      <w:r w:rsidRPr="00EC20A0">
        <w:rPr>
          <w:spacing w:val="-3"/>
          <w:sz w:val="18"/>
        </w:rPr>
        <w:t xml:space="preserve"> </w:t>
      </w:r>
      <w:r w:rsidRPr="00EC20A0">
        <w:rPr>
          <w:sz w:val="18"/>
        </w:rPr>
        <w:t>not</w:t>
      </w:r>
      <w:r w:rsidRPr="00EC20A0">
        <w:rPr>
          <w:spacing w:val="-2"/>
          <w:sz w:val="18"/>
        </w:rPr>
        <w:t xml:space="preserve"> </w:t>
      </w:r>
      <w:r w:rsidRPr="00EC20A0">
        <w:rPr>
          <w:sz w:val="18"/>
        </w:rPr>
        <w:t>comply</w:t>
      </w:r>
      <w:r w:rsidRPr="00EC20A0">
        <w:rPr>
          <w:spacing w:val="-2"/>
          <w:sz w:val="18"/>
        </w:rPr>
        <w:t xml:space="preserve"> </w:t>
      </w:r>
      <w:r w:rsidRPr="00EC20A0">
        <w:rPr>
          <w:sz w:val="18"/>
        </w:rPr>
        <w:t>with</w:t>
      </w:r>
      <w:r w:rsidRPr="00EC20A0">
        <w:rPr>
          <w:spacing w:val="-3"/>
          <w:sz w:val="18"/>
        </w:rPr>
        <w:t xml:space="preserve"> </w:t>
      </w:r>
      <w:r w:rsidRPr="00EC20A0">
        <w:rPr>
          <w:sz w:val="18"/>
        </w:rPr>
        <w:t>GAGAS,</w:t>
      </w:r>
      <w:r w:rsidRPr="00EC20A0">
        <w:rPr>
          <w:spacing w:val="-2"/>
          <w:sz w:val="18"/>
        </w:rPr>
        <w:t xml:space="preserve"> </w:t>
      </w:r>
      <w:r w:rsidRPr="00EC20A0">
        <w:rPr>
          <w:sz w:val="18"/>
        </w:rPr>
        <w:t>or</w:t>
      </w:r>
      <w:r w:rsidRPr="00EC20A0">
        <w:rPr>
          <w:spacing w:val="-2"/>
          <w:sz w:val="18"/>
        </w:rPr>
        <w:t xml:space="preserve"> </w:t>
      </w:r>
      <w:r w:rsidRPr="00EC20A0">
        <w:rPr>
          <w:sz w:val="18"/>
        </w:rPr>
        <w:t>if</w:t>
      </w:r>
      <w:r w:rsidRPr="00EC20A0">
        <w:rPr>
          <w:spacing w:val="-3"/>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disagrees</w:t>
      </w:r>
      <w:r w:rsidRPr="00EC20A0">
        <w:rPr>
          <w:spacing w:val="-2"/>
          <w:sz w:val="18"/>
        </w:rPr>
        <w:t xml:space="preserve"> </w:t>
      </w:r>
      <w:r w:rsidRPr="00EC20A0">
        <w:rPr>
          <w:sz w:val="18"/>
        </w:rPr>
        <w:t>with</w:t>
      </w:r>
      <w:r w:rsidRPr="00EC20A0">
        <w:rPr>
          <w:spacing w:val="-3"/>
          <w:sz w:val="18"/>
        </w:rPr>
        <w:t xml:space="preserve"> </w:t>
      </w:r>
      <w:r w:rsidRPr="00EC20A0">
        <w:rPr>
          <w:sz w:val="18"/>
        </w:rPr>
        <w:t>the</w:t>
      </w:r>
      <w:r w:rsidRPr="00EC20A0">
        <w:rPr>
          <w:spacing w:val="-3"/>
          <w:sz w:val="18"/>
        </w:rPr>
        <w:t xml:space="preserve"> </w:t>
      </w:r>
      <w:r w:rsidRPr="00EC20A0">
        <w:rPr>
          <w:sz w:val="18"/>
        </w:rPr>
        <w:t>IPA</w:t>
      </w:r>
      <w:r w:rsidRPr="00EC20A0">
        <w:rPr>
          <w:spacing w:val="-2"/>
          <w:sz w:val="18"/>
        </w:rPr>
        <w:t xml:space="preserve"> </w:t>
      </w:r>
      <w:r w:rsidRPr="00EC20A0">
        <w:rPr>
          <w:sz w:val="18"/>
        </w:rPr>
        <w:t>firm’s conclusions, see FAM 670.16.</w:t>
      </w:r>
    </w:p>
    <w:p w14:paraId="24D603F2" w14:textId="77777777" w:rsidR="00245300" w:rsidRPr="00EC20A0" w:rsidRDefault="00245300">
      <w:pPr>
        <w:spacing w:line="249" w:lineRule="auto"/>
        <w:rPr>
          <w:sz w:val="18"/>
        </w:rPr>
        <w:sectPr w:rsidR="00245300" w:rsidRPr="00EC20A0">
          <w:pgSz w:w="12240" w:h="15840"/>
          <w:pgMar w:top="1600" w:right="940" w:bottom="940" w:left="1020" w:header="721" w:footer="757" w:gutter="0"/>
          <w:cols w:space="720"/>
        </w:sectPr>
      </w:pPr>
    </w:p>
    <w:p w14:paraId="24D603F3" w14:textId="77777777" w:rsidR="00245300" w:rsidRPr="00EC20A0" w:rsidRDefault="00F17249">
      <w:pPr>
        <w:pStyle w:val="BodyText"/>
        <w:spacing w:line="20" w:lineRule="exact"/>
        <w:ind w:left="390"/>
        <w:rPr>
          <w:sz w:val="2"/>
        </w:rPr>
      </w:pPr>
      <w:r w:rsidRPr="00EC20A0">
        <w:rPr>
          <w:noProof/>
          <w:sz w:val="2"/>
        </w:rPr>
        <mc:AlternateContent>
          <mc:Choice Requires="wpg">
            <w:drawing>
              <wp:inline distT="0" distB="0" distL="0" distR="0" wp14:anchorId="24D62AF5" wp14:editId="24D62AF6">
                <wp:extent cx="5982335" cy="6350"/>
                <wp:effectExtent l="0" t="0" r="0" b="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350"/>
                          <a:chOff x="0" y="0"/>
                          <a:chExt cx="5982335" cy="6350"/>
                        </a:xfrm>
                      </wpg:grpSpPr>
                      <wps:wsp>
                        <wps:cNvPr id="164" name="Graphic 164"/>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7DB7B7" id="Group 163" o:spid="_x0000_s1026" style="width:471.05pt;height:.5pt;mso-position-horizontal-relative:char;mso-position-vertical-relative:line" coordsize="59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">
                <v:shape id="Graphic 164" o:spid="_x0000_s1027" style="position:absolute;width:59823;height:63;visibility:visible;mso-wrap-style:square;v-text-anchor:top" coordsize="5982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" path="m5981712,l,,,6108r5981712,l5981712,xe" fillcolor="black" stroked="f">
                  <v:path arrowok="t"/>
                </v:shape>
                <w10:anchorlock/>
              </v:group>
            </w:pict>
          </mc:Fallback>
        </mc:AlternateContent>
      </w:r>
    </w:p>
    <w:p w14:paraId="24D603F4" w14:textId="77777777" w:rsidR="00245300" w:rsidRPr="00EC20A0" w:rsidRDefault="00245300">
      <w:pPr>
        <w:pStyle w:val="BodyText"/>
        <w:spacing w:before="26"/>
        <w:rPr>
          <w:sz w:val="60"/>
        </w:rPr>
      </w:pPr>
    </w:p>
    <w:p w14:paraId="24D603F5" w14:textId="77777777" w:rsidR="00245300" w:rsidRPr="00EC20A0" w:rsidRDefault="00F17249">
      <w:pPr>
        <w:pStyle w:val="Heading1"/>
        <w:ind w:left="5919"/>
      </w:pPr>
      <w:bookmarkStart w:id="122" w:name="Section_700_-_FFMIA_Guidance_and_Agreed-"/>
      <w:bookmarkStart w:id="123" w:name="_bookmark43"/>
      <w:bookmarkEnd w:id="122"/>
      <w:bookmarkEnd w:id="123"/>
      <w:r w:rsidRPr="00EC20A0">
        <w:t>SECTION</w:t>
      </w:r>
      <w:r w:rsidRPr="00EC20A0">
        <w:rPr>
          <w:spacing w:val="-4"/>
        </w:rPr>
        <w:t xml:space="preserve"> </w:t>
      </w:r>
      <w:r w:rsidRPr="00EC20A0">
        <w:rPr>
          <w:spacing w:val="-5"/>
        </w:rPr>
        <w:t>700</w:t>
      </w:r>
    </w:p>
    <w:p w14:paraId="24D603F6" w14:textId="77777777" w:rsidR="00245300" w:rsidRPr="00EC20A0" w:rsidRDefault="00245300">
      <w:pPr>
        <w:pStyle w:val="BodyText"/>
        <w:rPr>
          <w:sz w:val="20"/>
        </w:rPr>
      </w:pPr>
    </w:p>
    <w:p w14:paraId="24D603F7" w14:textId="77777777" w:rsidR="00245300" w:rsidRPr="00EC20A0" w:rsidRDefault="00F17249">
      <w:pPr>
        <w:pStyle w:val="BodyText"/>
        <w:spacing w:before="120"/>
        <w:rPr>
          <w:sz w:val="20"/>
        </w:rPr>
      </w:pPr>
      <w:r w:rsidRPr="00EC20A0">
        <w:rPr>
          <w:noProof/>
        </w:rPr>
        <mc:AlternateContent>
          <mc:Choice Requires="wps">
            <w:drawing>
              <wp:anchor distT="0" distB="0" distL="0" distR="0" simplePos="0" relativeHeight="487604736" behindDoc="1" locked="0" layoutInCell="1" allowOverlap="1" wp14:anchorId="24D62AF7" wp14:editId="24D62AF8">
                <wp:simplePos x="0" y="0"/>
                <wp:positionH relativeFrom="page">
                  <wp:posOffset>941069</wp:posOffset>
                </wp:positionH>
                <wp:positionV relativeFrom="paragraph">
                  <wp:posOffset>237513</wp:posOffset>
                </wp:positionV>
                <wp:extent cx="5922010" cy="9144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91440"/>
                        </a:xfrm>
                        <a:custGeom>
                          <a:avLst/>
                          <a:gdLst/>
                          <a:ahLst/>
                          <a:cxnLst/>
                          <a:rect l="l" t="t" r="r" b="b"/>
                          <a:pathLst>
                            <a:path w="5922010" h="91440">
                              <a:moveTo>
                                <a:pt x="5922009" y="0"/>
                              </a:moveTo>
                              <a:lnTo>
                                <a:pt x="0" y="0"/>
                              </a:lnTo>
                              <a:lnTo>
                                <a:pt x="0" y="91440"/>
                              </a:lnTo>
                              <a:lnTo>
                                <a:pt x="5922009" y="91440"/>
                              </a:lnTo>
                              <a:lnTo>
                                <a:pt x="5922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69A0B" id="Graphic 165" o:spid="_x0000_s1026" style="position:absolute;margin-left:74.1pt;margin-top:18.7pt;width:466.3pt;height:7.2pt;z-index:-15711744;visibility:visible;mso-wrap-style:square;mso-wrap-distance-left:0;mso-wrap-distance-top:0;mso-wrap-distance-right:0;mso-wrap-distance-bottom:0;mso-position-horizontal:absolute;mso-position-horizontal-relative:page;mso-position-vertical:absolute;mso-position-vertical-relative:text;v-text-anchor:top" coordsize="592201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" path="m5922009,l,,,91440r5922009,l5922009,xe" fillcolor="black" stroked="f">
                <v:path arrowok="t"/>
                <w10:wrap type="topAndBottom" anchorx="page"/>
              </v:shape>
            </w:pict>
          </mc:Fallback>
        </mc:AlternateContent>
      </w:r>
    </w:p>
    <w:p w14:paraId="24D603F8" w14:textId="77777777" w:rsidR="00245300" w:rsidRPr="00EC20A0" w:rsidRDefault="00F17249">
      <w:pPr>
        <w:pStyle w:val="Heading2"/>
        <w:spacing w:before="368"/>
        <w:ind w:right="498"/>
      </w:pPr>
      <w:r w:rsidRPr="00EC20A0">
        <w:t>FFMIA</w:t>
      </w:r>
      <w:r w:rsidRPr="00EC20A0">
        <w:rPr>
          <w:spacing w:val="-4"/>
        </w:rPr>
        <w:t xml:space="preserve"> </w:t>
      </w:r>
      <w:r w:rsidRPr="00EC20A0">
        <w:t>Guidance</w:t>
      </w:r>
      <w:r w:rsidRPr="00EC20A0">
        <w:rPr>
          <w:spacing w:val="-3"/>
        </w:rPr>
        <w:t xml:space="preserve"> </w:t>
      </w:r>
      <w:r w:rsidRPr="00EC20A0">
        <w:t>and</w:t>
      </w:r>
      <w:r w:rsidRPr="00EC20A0">
        <w:rPr>
          <w:spacing w:val="-4"/>
        </w:rPr>
        <w:t xml:space="preserve"> </w:t>
      </w:r>
      <w:r w:rsidRPr="00EC20A0">
        <w:t>Agreed-</w:t>
      </w:r>
      <w:r w:rsidRPr="00EC20A0">
        <w:rPr>
          <w:spacing w:val="-4"/>
        </w:rPr>
        <w:t>Upon</w:t>
      </w:r>
    </w:p>
    <w:p w14:paraId="24D603F9" w14:textId="77777777" w:rsidR="00245300" w:rsidRPr="00EC20A0" w:rsidRDefault="00F17249">
      <w:pPr>
        <w:ind w:right="498"/>
        <w:jc w:val="right"/>
        <w:rPr>
          <w:sz w:val="48"/>
        </w:rPr>
      </w:pPr>
      <w:r w:rsidRPr="00EC20A0">
        <w:rPr>
          <w:sz w:val="48"/>
        </w:rPr>
        <w:t>Procedures</w:t>
      </w:r>
      <w:r w:rsidRPr="00EC20A0">
        <w:rPr>
          <w:spacing w:val="-7"/>
          <w:sz w:val="48"/>
        </w:rPr>
        <w:t xml:space="preserve"> </w:t>
      </w:r>
      <w:r w:rsidRPr="00EC20A0">
        <w:rPr>
          <w:spacing w:val="-2"/>
          <w:sz w:val="48"/>
        </w:rPr>
        <w:t>Guidance</w:t>
      </w:r>
    </w:p>
    <w:p w14:paraId="24D603FA" w14:textId="77777777" w:rsidR="00245300" w:rsidRPr="00EC20A0" w:rsidRDefault="00245300">
      <w:pPr>
        <w:pStyle w:val="BodyText"/>
        <w:rPr>
          <w:sz w:val="20"/>
        </w:rPr>
      </w:pPr>
    </w:p>
    <w:p w14:paraId="24D603FB" w14:textId="77777777" w:rsidR="00245300" w:rsidRPr="00EC20A0" w:rsidRDefault="00245300">
      <w:pPr>
        <w:pStyle w:val="BodyText"/>
        <w:rPr>
          <w:sz w:val="20"/>
        </w:rPr>
      </w:pPr>
    </w:p>
    <w:p w14:paraId="24D603FC" w14:textId="77777777" w:rsidR="00245300" w:rsidRPr="00EC20A0" w:rsidRDefault="00245300">
      <w:pPr>
        <w:pStyle w:val="BodyText"/>
        <w:rPr>
          <w:sz w:val="20"/>
        </w:rPr>
      </w:pPr>
    </w:p>
    <w:p w14:paraId="24D603FD" w14:textId="77777777" w:rsidR="00245300" w:rsidRPr="00EC20A0" w:rsidRDefault="00245300">
      <w:pPr>
        <w:pStyle w:val="BodyText"/>
        <w:rPr>
          <w:sz w:val="20"/>
        </w:rPr>
      </w:pPr>
    </w:p>
    <w:p w14:paraId="24D603FE" w14:textId="77777777" w:rsidR="00245300" w:rsidRPr="00EC20A0" w:rsidRDefault="00245300">
      <w:pPr>
        <w:pStyle w:val="BodyText"/>
        <w:rPr>
          <w:sz w:val="20"/>
        </w:rPr>
      </w:pPr>
    </w:p>
    <w:p w14:paraId="24D603FF" w14:textId="77777777" w:rsidR="00245300" w:rsidRPr="00EC20A0" w:rsidRDefault="00245300">
      <w:pPr>
        <w:pStyle w:val="BodyText"/>
        <w:rPr>
          <w:sz w:val="20"/>
        </w:rPr>
      </w:pPr>
    </w:p>
    <w:p w14:paraId="24D60400" w14:textId="77777777" w:rsidR="00245300" w:rsidRPr="00EC20A0" w:rsidRDefault="00245300">
      <w:pPr>
        <w:pStyle w:val="BodyText"/>
        <w:rPr>
          <w:sz w:val="20"/>
        </w:rPr>
      </w:pPr>
    </w:p>
    <w:p w14:paraId="24D60401" w14:textId="77777777" w:rsidR="00245300" w:rsidRPr="00EC20A0" w:rsidRDefault="00245300">
      <w:pPr>
        <w:pStyle w:val="BodyText"/>
        <w:rPr>
          <w:sz w:val="20"/>
        </w:rPr>
      </w:pPr>
    </w:p>
    <w:p w14:paraId="24D60402" w14:textId="77777777" w:rsidR="00245300" w:rsidRPr="00EC20A0" w:rsidRDefault="00245300">
      <w:pPr>
        <w:pStyle w:val="BodyText"/>
        <w:rPr>
          <w:sz w:val="20"/>
        </w:rPr>
      </w:pPr>
    </w:p>
    <w:p w14:paraId="24D60403" w14:textId="77777777" w:rsidR="00245300" w:rsidRPr="00EC20A0" w:rsidRDefault="00245300">
      <w:pPr>
        <w:pStyle w:val="BodyText"/>
        <w:rPr>
          <w:sz w:val="20"/>
        </w:rPr>
      </w:pPr>
    </w:p>
    <w:p w14:paraId="24D60404" w14:textId="77777777" w:rsidR="00245300" w:rsidRPr="00EC20A0" w:rsidRDefault="00245300">
      <w:pPr>
        <w:pStyle w:val="BodyText"/>
        <w:rPr>
          <w:sz w:val="20"/>
        </w:rPr>
      </w:pPr>
    </w:p>
    <w:p w14:paraId="24D60405" w14:textId="77777777" w:rsidR="00245300" w:rsidRPr="00EC20A0" w:rsidRDefault="00245300">
      <w:pPr>
        <w:pStyle w:val="BodyText"/>
        <w:rPr>
          <w:sz w:val="20"/>
        </w:rPr>
      </w:pPr>
    </w:p>
    <w:p w14:paraId="24D60406" w14:textId="77777777" w:rsidR="00245300" w:rsidRPr="00EC20A0" w:rsidRDefault="00245300">
      <w:pPr>
        <w:pStyle w:val="BodyText"/>
        <w:rPr>
          <w:sz w:val="20"/>
        </w:rPr>
      </w:pPr>
    </w:p>
    <w:p w14:paraId="24D60407" w14:textId="77777777" w:rsidR="00245300" w:rsidRPr="00EC20A0" w:rsidRDefault="00245300">
      <w:pPr>
        <w:pStyle w:val="BodyText"/>
        <w:rPr>
          <w:sz w:val="20"/>
        </w:rPr>
      </w:pPr>
    </w:p>
    <w:p w14:paraId="24D60408" w14:textId="77777777" w:rsidR="00245300" w:rsidRPr="00EC20A0" w:rsidRDefault="00245300">
      <w:pPr>
        <w:pStyle w:val="BodyText"/>
        <w:rPr>
          <w:sz w:val="20"/>
        </w:rPr>
      </w:pPr>
    </w:p>
    <w:p w14:paraId="24D60409" w14:textId="77777777" w:rsidR="00245300" w:rsidRPr="00EC20A0" w:rsidRDefault="00245300">
      <w:pPr>
        <w:pStyle w:val="BodyText"/>
        <w:rPr>
          <w:sz w:val="20"/>
        </w:rPr>
      </w:pPr>
    </w:p>
    <w:p w14:paraId="24D6040A" w14:textId="77777777" w:rsidR="00245300" w:rsidRPr="00EC20A0" w:rsidRDefault="00245300">
      <w:pPr>
        <w:pStyle w:val="BodyText"/>
        <w:rPr>
          <w:sz w:val="20"/>
        </w:rPr>
      </w:pPr>
    </w:p>
    <w:p w14:paraId="24D6040B" w14:textId="77777777" w:rsidR="00245300" w:rsidRPr="00EC20A0" w:rsidRDefault="00245300">
      <w:pPr>
        <w:pStyle w:val="BodyText"/>
        <w:rPr>
          <w:sz w:val="20"/>
        </w:rPr>
      </w:pPr>
    </w:p>
    <w:p w14:paraId="24D6040C" w14:textId="77777777" w:rsidR="00245300" w:rsidRPr="00EC20A0" w:rsidRDefault="00245300">
      <w:pPr>
        <w:pStyle w:val="BodyText"/>
        <w:rPr>
          <w:sz w:val="20"/>
        </w:rPr>
      </w:pPr>
    </w:p>
    <w:p w14:paraId="24D6040D" w14:textId="77777777" w:rsidR="00245300" w:rsidRPr="00EC20A0" w:rsidRDefault="00245300">
      <w:pPr>
        <w:pStyle w:val="BodyText"/>
        <w:rPr>
          <w:sz w:val="20"/>
        </w:rPr>
      </w:pPr>
    </w:p>
    <w:p w14:paraId="24D6040E" w14:textId="77777777" w:rsidR="00245300" w:rsidRPr="00EC20A0" w:rsidRDefault="00245300">
      <w:pPr>
        <w:pStyle w:val="BodyText"/>
        <w:rPr>
          <w:sz w:val="20"/>
        </w:rPr>
      </w:pPr>
    </w:p>
    <w:p w14:paraId="24D6040F" w14:textId="77777777" w:rsidR="00245300" w:rsidRPr="00EC20A0" w:rsidRDefault="00245300">
      <w:pPr>
        <w:pStyle w:val="BodyText"/>
        <w:rPr>
          <w:sz w:val="20"/>
        </w:rPr>
      </w:pPr>
    </w:p>
    <w:p w14:paraId="24D60410" w14:textId="77777777" w:rsidR="00245300" w:rsidRPr="00EC20A0" w:rsidRDefault="00245300">
      <w:pPr>
        <w:pStyle w:val="BodyText"/>
        <w:rPr>
          <w:sz w:val="20"/>
        </w:rPr>
      </w:pPr>
    </w:p>
    <w:p w14:paraId="24D60411" w14:textId="77777777" w:rsidR="00245300" w:rsidRPr="00EC20A0" w:rsidRDefault="00245300">
      <w:pPr>
        <w:pStyle w:val="BodyText"/>
        <w:rPr>
          <w:sz w:val="20"/>
        </w:rPr>
      </w:pPr>
    </w:p>
    <w:p w14:paraId="24D60412" w14:textId="77777777" w:rsidR="00245300" w:rsidRPr="00EC20A0" w:rsidRDefault="00245300">
      <w:pPr>
        <w:pStyle w:val="BodyText"/>
        <w:rPr>
          <w:sz w:val="20"/>
        </w:rPr>
      </w:pPr>
    </w:p>
    <w:p w14:paraId="24D60413" w14:textId="77777777" w:rsidR="00245300" w:rsidRPr="00EC20A0" w:rsidRDefault="00245300">
      <w:pPr>
        <w:pStyle w:val="BodyText"/>
        <w:rPr>
          <w:sz w:val="20"/>
        </w:rPr>
      </w:pPr>
    </w:p>
    <w:p w14:paraId="24D60414" w14:textId="77777777" w:rsidR="00245300" w:rsidRPr="00EC20A0" w:rsidRDefault="00245300">
      <w:pPr>
        <w:pStyle w:val="BodyText"/>
        <w:rPr>
          <w:sz w:val="20"/>
        </w:rPr>
      </w:pPr>
    </w:p>
    <w:p w14:paraId="24D60415" w14:textId="77777777" w:rsidR="00245300" w:rsidRPr="00EC20A0" w:rsidRDefault="00245300">
      <w:pPr>
        <w:pStyle w:val="BodyText"/>
        <w:rPr>
          <w:sz w:val="20"/>
        </w:rPr>
      </w:pPr>
    </w:p>
    <w:p w14:paraId="24D60416" w14:textId="77777777" w:rsidR="00245300" w:rsidRPr="00EC20A0" w:rsidRDefault="00245300">
      <w:pPr>
        <w:pStyle w:val="BodyText"/>
        <w:rPr>
          <w:sz w:val="20"/>
        </w:rPr>
      </w:pPr>
    </w:p>
    <w:p w14:paraId="24D60417" w14:textId="77777777" w:rsidR="00245300" w:rsidRPr="00EC20A0" w:rsidRDefault="00245300">
      <w:pPr>
        <w:pStyle w:val="BodyText"/>
        <w:rPr>
          <w:sz w:val="20"/>
        </w:rPr>
      </w:pPr>
    </w:p>
    <w:p w14:paraId="24D60418" w14:textId="77777777" w:rsidR="00245300" w:rsidRPr="00EC20A0" w:rsidRDefault="00245300">
      <w:pPr>
        <w:pStyle w:val="BodyText"/>
        <w:rPr>
          <w:sz w:val="20"/>
        </w:rPr>
      </w:pPr>
    </w:p>
    <w:p w14:paraId="24D60419" w14:textId="77777777" w:rsidR="00245300" w:rsidRPr="00EC20A0" w:rsidRDefault="00245300">
      <w:pPr>
        <w:pStyle w:val="BodyText"/>
        <w:rPr>
          <w:sz w:val="20"/>
        </w:rPr>
      </w:pPr>
    </w:p>
    <w:p w14:paraId="24D6041A" w14:textId="77777777" w:rsidR="00245300" w:rsidRPr="00EC20A0" w:rsidRDefault="00245300">
      <w:pPr>
        <w:pStyle w:val="BodyText"/>
        <w:rPr>
          <w:sz w:val="20"/>
        </w:rPr>
      </w:pPr>
    </w:p>
    <w:p w14:paraId="24D6041B" w14:textId="77777777" w:rsidR="00245300" w:rsidRPr="00EC20A0" w:rsidRDefault="00245300">
      <w:pPr>
        <w:pStyle w:val="BodyText"/>
        <w:rPr>
          <w:sz w:val="20"/>
        </w:rPr>
      </w:pPr>
    </w:p>
    <w:p w14:paraId="24D6041C" w14:textId="77777777" w:rsidR="00245300" w:rsidRPr="00EC20A0" w:rsidRDefault="00245300">
      <w:pPr>
        <w:pStyle w:val="BodyText"/>
        <w:rPr>
          <w:sz w:val="20"/>
        </w:rPr>
      </w:pPr>
    </w:p>
    <w:p w14:paraId="24D6041D" w14:textId="77777777" w:rsidR="00245300" w:rsidRPr="00EC20A0" w:rsidRDefault="00245300">
      <w:pPr>
        <w:pStyle w:val="BodyText"/>
        <w:rPr>
          <w:sz w:val="20"/>
        </w:rPr>
      </w:pPr>
    </w:p>
    <w:p w14:paraId="24D6041E" w14:textId="77777777" w:rsidR="00245300" w:rsidRPr="00EC20A0" w:rsidRDefault="00245300">
      <w:pPr>
        <w:pStyle w:val="BodyText"/>
        <w:rPr>
          <w:sz w:val="20"/>
        </w:rPr>
      </w:pPr>
    </w:p>
    <w:p w14:paraId="24D6041F" w14:textId="77777777" w:rsidR="00245300" w:rsidRPr="00EC20A0" w:rsidRDefault="00245300">
      <w:pPr>
        <w:pStyle w:val="BodyText"/>
        <w:rPr>
          <w:sz w:val="20"/>
        </w:rPr>
      </w:pPr>
    </w:p>
    <w:p w14:paraId="24D60420" w14:textId="77777777" w:rsidR="00245300" w:rsidRPr="00EC20A0" w:rsidRDefault="00245300">
      <w:pPr>
        <w:pStyle w:val="BodyText"/>
        <w:rPr>
          <w:sz w:val="20"/>
        </w:rPr>
      </w:pPr>
    </w:p>
    <w:p w14:paraId="24D60421" w14:textId="77777777" w:rsidR="00245300" w:rsidRPr="00EC20A0" w:rsidRDefault="00245300">
      <w:pPr>
        <w:pStyle w:val="BodyText"/>
        <w:rPr>
          <w:sz w:val="20"/>
        </w:rPr>
      </w:pPr>
    </w:p>
    <w:p w14:paraId="24D60422" w14:textId="77777777" w:rsidR="00245300" w:rsidRPr="00EC20A0" w:rsidRDefault="00245300">
      <w:pPr>
        <w:pStyle w:val="BodyText"/>
        <w:rPr>
          <w:sz w:val="20"/>
        </w:rPr>
      </w:pPr>
    </w:p>
    <w:p w14:paraId="24D60423" w14:textId="77777777" w:rsidR="00245300" w:rsidRPr="00EC20A0" w:rsidRDefault="00245300">
      <w:pPr>
        <w:pStyle w:val="BodyText"/>
        <w:rPr>
          <w:sz w:val="20"/>
        </w:rPr>
      </w:pPr>
    </w:p>
    <w:p w14:paraId="24D60424" w14:textId="77777777" w:rsidR="00245300" w:rsidRPr="00EC20A0" w:rsidRDefault="00F17249">
      <w:pPr>
        <w:pStyle w:val="BodyText"/>
        <w:spacing w:before="215"/>
        <w:rPr>
          <w:sz w:val="20"/>
        </w:rPr>
      </w:pPr>
      <w:r w:rsidRPr="00EC20A0">
        <w:rPr>
          <w:noProof/>
        </w:rPr>
        <mc:AlternateContent>
          <mc:Choice Requires="wps">
            <w:drawing>
              <wp:anchor distT="0" distB="0" distL="0" distR="0" simplePos="0" relativeHeight="487605248" behindDoc="1" locked="0" layoutInCell="1" allowOverlap="1" wp14:anchorId="24D62AF9" wp14:editId="24D62AFA">
                <wp:simplePos x="0" y="0"/>
                <wp:positionH relativeFrom="page">
                  <wp:posOffset>895350</wp:posOffset>
                </wp:positionH>
                <wp:positionV relativeFrom="paragraph">
                  <wp:posOffset>297802</wp:posOffset>
                </wp:positionV>
                <wp:extent cx="5981700" cy="28575"/>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3"/>
                              </a:lnTo>
                              <a:lnTo>
                                <a:pt x="5981700" y="28193"/>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095223" id="Graphic 166" o:spid="_x0000_s1026" style="position:absolute;margin-left:70.5pt;margin-top:23.45pt;width:471pt;height:2.2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RoIAIAAMEEAAAOAAAAZHJzL2Uyb0RvYy54bWysVMFu2zAMvQ/YPwi6L04yZE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" path="m5981700,l,,,28193r5981700,l5981700,xe" fillcolor="black" stroked="f">
                <v:path arrowok="t"/>
                <w10:wrap type="topAndBottom" anchorx="page"/>
              </v:shape>
            </w:pict>
          </mc:Fallback>
        </mc:AlternateContent>
      </w:r>
    </w:p>
    <w:p w14:paraId="24D60425" w14:textId="77777777" w:rsidR="00245300" w:rsidRPr="00EC20A0" w:rsidRDefault="00245300">
      <w:pPr>
        <w:rPr>
          <w:sz w:val="20"/>
        </w:rPr>
        <w:sectPr w:rsidR="00245300" w:rsidRPr="00EC20A0">
          <w:headerReference w:type="default" r:id="rId51"/>
          <w:footerReference w:type="default" r:id="rId52"/>
          <w:pgSz w:w="12240" w:h="15840"/>
          <w:pgMar w:top="1000" w:right="940" w:bottom="280" w:left="1020" w:header="0" w:footer="0" w:gutter="0"/>
          <w:cols w:space="720"/>
        </w:sectPr>
      </w:pPr>
    </w:p>
    <w:p w14:paraId="24D60426" w14:textId="77777777" w:rsidR="00245300" w:rsidRPr="00EC20A0" w:rsidRDefault="00F17249">
      <w:pPr>
        <w:pStyle w:val="Heading3"/>
        <w:ind w:left="420"/>
        <w:rPr>
          <w:u w:val="none"/>
        </w:rPr>
      </w:pPr>
      <w:bookmarkStart w:id="124" w:name="Contents_-_FFMIA_Guidance_and_Agreed-Upo"/>
      <w:bookmarkEnd w:id="124"/>
      <w:r w:rsidRPr="00EC20A0">
        <w:t>Contents</w:t>
      </w:r>
      <w:r w:rsidRPr="00EC20A0">
        <w:rPr>
          <w:spacing w:val="-8"/>
        </w:rPr>
        <w:t xml:space="preserve"> </w:t>
      </w:r>
      <w:r w:rsidRPr="00EC20A0">
        <w:t>-</w:t>
      </w:r>
      <w:r w:rsidRPr="00EC20A0">
        <w:rPr>
          <w:spacing w:val="-8"/>
        </w:rPr>
        <w:t xml:space="preserve"> </w:t>
      </w:r>
      <w:r w:rsidRPr="00EC20A0">
        <w:t>FFMIA</w:t>
      </w:r>
      <w:r w:rsidRPr="00EC20A0">
        <w:rPr>
          <w:spacing w:val="-18"/>
        </w:rPr>
        <w:t xml:space="preserve"> </w:t>
      </w:r>
      <w:r w:rsidRPr="00EC20A0">
        <w:t>Guidance</w:t>
      </w:r>
      <w:r w:rsidRPr="00EC20A0">
        <w:rPr>
          <w:spacing w:val="-8"/>
        </w:rPr>
        <w:t xml:space="preserve"> </w:t>
      </w:r>
      <w:r w:rsidRPr="00EC20A0">
        <w:t>and</w:t>
      </w:r>
      <w:r w:rsidRPr="00EC20A0">
        <w:rPr>
          <w:spacing w:val="-17"/>
        </w:rPr>
        <w:t xml:space="preserve"> </w:t>
      </w:r>
      <w:r w:rsidRPr="00EC20A0">
        <w:t>Agreed-Upon</w:t>
      </w:r>
      <w:r w:rsidRPr="00EC20A0">
        <w:rPr>
          <w:spacing w:val="-8"/>
        </w:rPr>
        <w:t xml:space="preserve"> </w:t>
      </w:r>
      <w:r w:rsidRPr="00EC20A0">
        <w:t>Procedures</w:t>
      </w:r>
      <w:r w:rsidRPr="00EC20A0">
        <w:rPr>
          <w:u w:val="none"/>
        </w:rPr>
        <w:t xml:space="preserve"> </w:t>
      </w:r>
      <w:r w:rsidRPr="00EC20A0">
        <w:rPr>
          <w:spacing w:val="-2"/>
        </w:rPr>
        <w:t>Guidance</w:t>
      </w:r>
    </w:p>
    <w:p w14:paraId="24D60427" w14:textId="77777777" w:rsidR="00245300" w:rsidRPr="00EC20A0" w:rsidRDefault="00245300">
      <w:pPr>
        <w:pStyle w:val="BodyText"/>
        <w:spacing w:before="137"/>
        <w:rPr>
          <w:b/>
          <w:sz w:val="20"/>
        </w:rPr>
      </w:pPr>
    </w:p>
    <w:tbl>
      <w:tblPr>
        <w:tblW w:w="0" w:type="auto"/>
        <w:tblInd w:w="876" w:type="dxa"/>
        <w:tblLayout w:type="fixed"/>
        <w:tblCellMar>
          <w:left w:w="0" w:type="dxa"/>
          <w:right w:w="0" w:type="dxa"/>
        </w:tblCellMar>
        <w:tblLook w:val="01E0" w:firstRow="1" w:lastRow="1" w:firstColumn="1" w:lastColumn="1" w:noHBand="0" w:noVBand="0"/>
      </w:tblPr>
      <w:tblGrid>
        <w:gridCol w:w="7218"/>
        <w:gridCol w:w="1031"/>
      </w:tblGrid>
      <w:tr w:rsidR="00245300" w:rsidRPr="00EC20A0" w14:paraId="24D6042A" w14:textId="77777777">
        <w:trPr>
          <w:trHeight w:val="339"/>
        </w:trPr>
        <w:tc>
          <w:tcPr>
            <w:tcW w:w="7218" w:type="dxa"/>
          </w:tcPr>
          <w:p w14:paraId="24D60428" w14:textId="77777777" w:rsidR="00245300" w:rsidRPr="00EC20A0" w:rsidRDefault="00245300">
            <w:pPr>
              <w:pStyle w:val="TableParagraph"/>
            </w:pPr>
          </w:p>
        </w:tc>
        <w:tc>
          <w:tcPr>
            <w:tcW w:w="1031" w:type="dxa"/>
          </w:tcPr>
          <w:p w14:paraId="24D60429" w14:textId="77777777" w:rsidR="00245300" w:rsidRPr="00EC20A0" w:rsidRDefault="00F17249">
            <w:pPr>
              <w:pStyle w:val="TableParagraph"/>
              <w:spacing w:line="245" w:lineRule="exact"/>
              <w:ind w:left="393"/>
              <w:rPr>
                <w:b/>
              </w:rPr>
            </w:pPr>
            <w:r w:rsidRPr="00EC20A0">
              <w:rPr>
                <w:b/>
                <w:spacing w:val="-5"/>
              </w:rPr>
              <w:t>FAM</w:t>
            </w:r>
          </w:p>
        </w:tc>
      </w:tr>
      <w:tr w:rsidR="00245300" w:rsidRPr="00EC20A0" w14:paraId="24D6042D" w14:textId="77777777">
        <w:trPr>
          <w:trHeight w:val="686"/>
        </w:trPr>
        <w:tc>
          <w:tcPr>
            <w:tcW w:w="7218" w:type="dxa"/>
          </w:tcPr>
          <w:p w14:paraId="24D6042B" w14:textId="77777777" w:rsidR="00245300" w:rsidRPr="00EC20A0" w:rsidRDefault="00F17249">
            <w:pPr>
              <w:pStyle w:val="TableParagraph"/>
              <w:spacing w:before="86"/>
              <w:ind w:left="50" w:right="284"/>
            </w:pPr>
            <w:r w:rsidRPr="00EC20A0">
              <w:t>Determining</w:t>
            </w:r>
            <w:r w:rsidRPr="00EC20A0">
              <w:rPr>
                <w:spacing w:val="-7"/>
              </w:rPr>
              <w:t xml:space="preserve"> </w:t>
            </w:r>
            <w:r w:rsidRPr="00EC20A0">
              <w:t>Financial</w:t>
            </w:r>
            <w:r w:rsidRPr="00EC20A0">
              <w:rPr>
                <w:spacing w:val="-7"/>
              </w:rPr>
              <w:t xml:space="preserve"> </w:t>
            </w:r>
            <w:r w:rsidRPr="00EC20A0">
              <w:t>Management</w:t>
            </w:r>
            <w:r w:rsidRPr="00EC20A0">
              <w:rPr>
                <w:spacing w:val="-7"/>
              </w:rPr>
              <w:t xml:space="preserve"> </w:t>
            </w:r>
            <w:r w:rsidRPr="00EC20A0">
              <w:t>Systems’</w:t>
            </w:r>
            <w:r w:rsidRPr="00EC20A0">
              <w:rPr>
                <w:spacing w:val="-7"/>
              </w:rPr>
              <w:t xml:space="preserve"> </w:t>
            </w:r>
            <w:r w:rsidRPr="00EC20A0">
              <w:t>Compliance</w:t>
            </w:r>
            <w:r w:rsidRPr="00EC20A0">
              <w:rPr>
                <w:spacing w:val="-7"/>
              </w:rPr>
              <w:t xml:space="preserve"> </w:t>
            </w:r>
            <w:r w:rsidRPr="00EC20A0">
              <w:t>with</w:t>
            </w:r>
            <w:r w:rsidRPr="00EC20A0">
              <w:rPr>
                <w:spacing w:val="-7"/>
              </w:rPr>
              <w:t xml:space="preserve"> </w:t>
            </w:r>
            <w:r w:rsidRPr="00EC20A0">
              <w:t>the Federal Financial Management Improvement Act of 1996 (FFMIA)</w:t>
            </w:r>
          </w:p>
        </w:tc>
        <w:tc>
          <w:tcPr>
            <w:tcW w:w="1031" w:type="dxa"/>
          </w:tcPr>
          <w:p w14:paraId="24D6042C" w14:textId="77777777" w:rsidR="00245300" w:rsidRPr="00EC20A0" w:rsidRDefault="00F17249">
            <w:pPr>
              <w:pStyle w:val="TableParagraph"/>
              <w:spacing w:before="86"/>
              <w:ind w:left="393"/>
            </w:pPr>
            <w:r w:rsidRPr="00EC20A0">
              <w:rPr>
                <w:spacing w:val="-5"/>
              </w:rPr>
              <w:t>701</w:t>
            </w:r>
          </w:p>
        </w:tc>
      </w:tr>
      <w:tr w:rsidR="00245300" w:rsidRPr="00EC20A0" w14:paraId="24D60430" w14:textId="77777777">
        <w:trPr>
          <w:trHeight w:val="685"/>
        </w:trPr>
        <w:tc>
          <w:tcPr>
            <w:tcW w:w="7218" w:type="dxa"/>
          </w:tcPr>
          <w:p w14:paraId="24D6042E" w14:textId="77777777" w:rsidR="00245300" w:rsidRPr="00EC20A0" w:rsidRDefault="00F17249">
            <w:pPr>
              <w:pStyle w:val="TableParagraph"/>
              <w:spacing w:before="86"/>
              <w:ind w:left="50" w:right="284"/>
            </w:pPr>
            <w:r w:rsidRPr="00EC20A0">
              <w:t>Example</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for</w:t>
            </w:r>
            <w:r w:rsidRPr="00EC20A0">
              <w:rPr>
                <w:spacing w:val="-5"/>
              </w:rPr>
              <w:t xml:space="preserve"> </w:t>
            </w:r>
            <w:r w:rsidRPr="00EC20A0">
              <w:t>Testing</w:t>
            </w:r>
            <w:r w:rsidRPr="00EC20A0">
              <w:rPr>
                <w:spacing w:val="-5"/>
              </w:rPr>
              <w:t xml:space="preserve"> </w:t>
            </w:r>
            <w:r w:rsidRPr="00EC20A0">
              <w:t>Systems</w:t>
            </w:r>
            <w:r w:rsidRPr="00EC20A0">
              <w:rPr>
                <w:spacing w:val="-5"/>
              </w:rPr>
              <w:t xml:space="preserve"> </w:t>
            </w:r>
            <w:r w:rsidRPr="00EC20A0">
              <w:t>for</w:t>
            </w:r>
            <w:r w:rsidRPr="00EC20A0">
              <w:rPr>
                <w:spacing w:val="-5"/>
              </w:rPr>
              <w:t xml:space="preserve"> </w:t>
            </w:r>
            <w:r w:rsidRPr="00EC20A0">
              <w:t>Compliance</w:t>
            </w:r>
            <w:r w:rsidRPr="00EC20A0">
              <w:rPr>
                <w:spacing w:val="-5"/>
              </w:rPr>
              <w:t xml:space="preserve"> </w:t>
            </w:r>
            <w:r w:rsidRPr="00EC20A0">
              <w:t xml:space="preserve">with </w:t>
            </w:r>
            <w:r w:rsidRPr="00EC20A0">
              <w:rPr>
                <w:spacing w:val="-2"/>
              </w:rPr>
              <w:t>FFMIA</w:t>
            </w:r>
          </w:p>
        </w:tc>
        <w:tc>
          <w:tcPr>
            <w:tcW w:w="1031" w:type="dxa"/>
          </w:tcPr>
          <w:p w14:paraId="24D6042F" w14:textId="77777777" w:rsidR="00245300" w:rsidRPr="00EC20A0" w:rsidRDefault="00F17249">
            <w:pPr>
              <w:pStyle w:val="TableParagraph"/>
              <w:spacing w:before="86"/>
              <w:ind w:left="393"/>
            </w:pPr>
            <w:r w:rsidRPr="00EC20A0">
              <w:t>701</w:t>
            </w:r>
            <w:r w:rsidRPr="00EC20A0">
              <w:rPr>
                <w:spacing w:val="-4"/>
              </w:rPr>
              <w:t xml:space="preserve"> </w:t>
            </w:r>
            <w:r w:rsidRPr="00EC20A0">
              <w:rPr>
                <w:spacing w:val="-10"/>
              </w:rPr>
              <w:t>A</w:t>
            </w:r>
          </w:p>
        </w:tc>
      </w:tr>
      <w:tr w:rsidR="00245300" w:rsidRPr="00EC20A0" w14:paraId="24D60433" w14:textId="77777777">
        <w:trPr>
          <w:trHeight w:val="685"/>
        </w:trPr>
        <w:tc>
          <w:tcPr>
            <w:tcW w:w="7218" w:type="dxa"/>
          </w:tcPr>
          <w:p w14:paraId="24D60431" w14:textId="77777777" w:rsidR="00245300" w:rsidRPr="00EC20A0" w:rsidRDefault="00F17249">
            <w:pPr>
              <w:pStyle w:val="TableParagraph"/>
              <w:spacing w:before="85"/>
              <w:ind w:left="50" w:right="284"/>
            </w:pPr>
            <w:r w:rsidRPr="00EC20A0">
              <w:t>Summary</w:t>
            </w:r>
            <w:r w:rsidRPr="00EC20A0">
              <w:rPr>
                <w:spacing w:val="-6"/>
              </w:rPr>
              <w:t xml:space="preserve"> </w:t>
            </w:r>
            <w:r w:rsidRPr="00EC20A0">
              <w:t>Schedule</w:t>
            </w:r>
            <w:r w:rsidRPr="00EC20A0">
              <w:rPr>
                <w:spacing w:val="-6"/>
              </w:rPr>
              <w:t xml:space="preserve"> </w:t>
            </w:r>
            <w:r w:rsidRPr="00EC20A0">
              <w:t>of</w:t>
            </w:r>
            <w:r w:rsidRPr="00EC20A0">
              <w:rPr>
                <w:spacing w:val="-6"/>
              </w:rPr>
              <w:t xml:space="preserve"> </w:t>
            </w:r>
            <w:r w:rsidRPr="00EC20A0">
              <w:t>Instances</w:t>
            </w:r>
            <w:r w:rsidRPr="00EC20A0">
              <w:rPr>
                <w:spacing w:val="-6"/>
              </w:rPr>
              <w:t xml:space="preserve"> </w:t>
            </w:r>
            <w:r w:rsidRPr="00EC20A0">
              <w:t>of</w:t>
            </w:r>
            <w:r w:rsidRPr="00EC20A0">
              <w:rPr>
                <w:spacing w:val="-7"/>
              </w:rPr>
              <w:t xml:space="preserve"> </w:t>
            </w:r>
            <w:r w:rsidRPr="00EC20A0">
              <w:t>Financial</w:t>
            </w:r>
            <w:r w:rsidRPr="00EC20A0">
              <w:rPr>
                <w:spacing w:val="-6"/>
              </w:rPr>
              <w:t xml:space="preserve"> </w:t>
            </w:r>
            <w:r w:rsidRPr="00EC20A0">
              <w:t>Management</w:t>
            </w:r>
            <w:r w:rsidRPr="00EC20A0">
              <w:rPr>
                <w:spacing w:val="-6"/>
              </w:rPr>
              <w:t xml:space="preserve"> </w:t>
            </w:r>
            <w:r w:rsidRPr="00EC20A0">
              <w:t>Systems Noncompliance with FFMIA</w:t>
            </w:r>
          </w:p>
        </w:tc>
        <w:tc>
          <w:tcPr>
            <w:tcW w:w="1031" w:type="dxa"/>
          </w:tcPr>
          <w:p w14:paraId="24D60432" w14:textId="77777777" w:rsidR="00245300" w:rsidRPr="00EC20A0" w:rsidRDefault="00F17249">
            <w:pPr>
              <w:pStyle w:val="TableParagraph"/>
              <w:spacing w:before="85"/>
              <w:ind w:left="393"/>
            </w:pPr>
            <w:r w:rsidRPr="00EC20A0">
              <w:t>701</w:t>
            </w:r>
            <w:r w:rsidRPr="00EC20A0">
              <w:rPr>
                <w:spacing w:val="-4"/>
              </w:rPr>
              <w:t xml:space="preserve"> </w:t>
            </w:r>
            <w:r w:rsidRPr="00EC20A0">
              <w:rPr>
                <w:spacing w:val="-10"/>
              </w:rPr>
              <w:t>B</w:t>
            </w:r>
          </w:p>
        </w:tc>
      </w:tr>
      <w:tr w:rsidR="00245300" w:rsidRPr="00EC20A0" w14:paraId="24D60436" w14:textId="77777777">
        <w:trPr>
          <w:trHeight w:val="433"/>
        </w:trPr>
        <w:tc>
          <w:tcPr>
            <w:tcW w:w="7218" w:type="dxa"/>
          </w:tcPr>
          <w:p w14:paraId="24D60434" w14:textId="77777777" w:rsidR="00245300" w:rsidRPr="00EC20A0" w:rsidRDefault="00F17249">
            <w:pPr>
              <w:pStyle w:val="TableParagraph"/>
              <w:spacing w:before="86"/>
              <w:ind w:left="50"/>
            </w:pPr>
            <w:r w:rsidRPr="00EC20A0">
              <w:t>Agreed-Upon</w:t>
            </w:r>
            <w:r w:rsidRPr="00EC20A0">
              <w:rPr>
                <w:spacing w:val="-15"/>
              </w:rPr>
              <w:t xml:space="preserve"> </w:t>
            </w:r>
            <w:r w:rsidRPr="00EC20A0">
              <w:rPr>
                <w:spacing w:val="-2"/>
              </w:rPr>
              <w:t>Procedures</w:t>
            </w:r>
          </w:p>
        </w:tc>
        <w:tc>
          <w:tcPr>
            <w:tcW w:w="1031" w:type="dxa"/>
          </w:tcPr>
          <w:p w14:paraId="24D60435" w14:textId="77777777" w:rsidR="00245300" w:rsidRPr="00EC20A0" w:rsidRDefault="00F17249">
            <w:pPr>
              <w:pStyle w:val="TableParagraph"/>
              <w:spacing w:before="86"/>
              <w:ind w:left="393"/>
            </w:pPr>
            <w:r w:rsidRPr="00EC20A0">
              <w:rPr>
                <w:spacing w:val="-5"/>
              </w:rPr>
              <w:t>710</w:t>
            </w:r>
          </w:p>
        </w:tc>
      </w:tr>
      <w:tr w:rsidR="00245300" w:rsidRPr="00EC20A0" w14:paraId="24D60439" w14:textId="77777777">
        <w:trPr>
          <w:trHeight w:val="432"/>
        </w:trPr>
        <w:tc>
          <w:tcPr>
            <w:tcW w:w="7218" w:type="dxa"/>
          </w:tcPr>
          <w:p w14:paraId="24D60437" w14:textId="77777777" w:rsidR="00245300" w:rsidRPr="00EC20A0" w:rsidRDefault="00F17249">
            <w:pPr>
              <w:pStyle w:val="TableParagraph"/>
              <w:spacing w:before="86"/>
              <w:ind w:left="50"/>
            </w:pPr>
            <w:r w:rsidRPr="00EC20A0">
              <w:t>Example</w:t>
            </w:r>
            <w:r w:rsidRPr="00EC20A0">
              <w:rPr>
                <w:spacing w:val="-13"/>
              </w:rPr>
              <w:t xml:space="preserve"> </w:t>
            </w:r>
            <w:r w:rsidRPr="00EC20A0">
              <w:t>Agreed-Upon</w:t>
            </w:r>
            <w:r w:rsidRPr="00EC20A0">
              <w:rPr>
                <w:spacing w:val="-13"/>
              </w:rPr>
              <w:t xml:space="preserve"> </w:t>
            </w:r>
            <w:r w:rsidRPr="00EC20A0">
              <w:t>Procedures</w:t>
            </w:r>
            <w:r w:rsidRPr="00EC20A0">
              <w:rPr>
                <w:spacing w:val="-14"/>
              </w:rPr>
              <w:t xml:space="preserve"> </w:t>
            </w:r>
            <w:r w:rsidRPr="00EC20A0">
              <w:t>Engagement</w:t>
            </w:r>
            <w:r w:rsidRPr="00EC20A0">
              <w:rPr>
                <w:spacing w:val="-13"/>
              </w:rPr>
              <w:t xml:space="preserve"> </w:t>
            </w:r>
            <w:r w:rsidRPr="00EC20A0">
              <w:rPr>
                <w:spacing w:val="-2"/>
              </w:rPr>
              <w:t>Letter</w:t>
            </w:r>
          </w:p>
        </w:tc>
        <w:tc>
          <w:tcPr>
            <w:tcW w:w="1031" w:type="dxa"/>
          </w:tcPr>
          <w:p w14:paraId="24D60438" w14:textId="77777777" w:rsidR="00245300" w:rsidRPr="00EC20A0" w:rsidRDefault="00F17249">
            <w:pPr>
              <w:pStyle w:val="TableParagraph"/>
              <w:spacing w:before="86"/>
              <w:ind w:left="393"/>
            </w:pPr>
            <w:r w:rsidRPr="00EC20A0">
              <w:t>710</w:t>
            </w:r>
            <w:r w:rsidRPr="00EC20A0">
              <w:rPr>
                <w:spacing w:val="-4"/>
              </w:rPr>
              <w:t xml:space="preserve"> </w:t>
            </w:r>
            <w:r w:rsidRPr="00EC20A0">
              <w:rPr>
                <w:spacing w:val="-10"/>
              </w:rPr>
              <w:t>A</w:t>
            </w:r>
          </w:p>
        </w:tc>
      </w:tr>
      <w:tr w:rsidR="00245300" w:rsidRPr="00EC20A0" w14:paraId="24D6043C" w14:textId="77777777">
        <w:trPr>
          <w:trHeight w:val="685"/>
        </w:trPr>
        <w:tc>
          <w:tcPr>
            <w:tcW w:w="7218" w:type="dxa"/>
          </w:tcPr>
          <w:p w14:paraId="24D6043A" w14:textId="77777777" w:rsidR="00245300" w:rsidRPr="00EC20A0" w:rsidRDefault="00F17249">
            <w:pPr>
              <w:pStyle w:val="TableParagraph"/>
              <w:spacing w:before="85"/>
              <w:ind w:left="50" w:right="284"/>
            </w:pPr>
            <w:r w:rsidRPr="00EC20A0">
              <w:t>Example</w:t>
            </w:r>
            <w:r w:rsidRPr="00EC20A0">
              <w:rPr>
                <w:spacing w:val="-6"/>
              </w:rPr>
              <w:t xml:space="preserve"> </w:t>
            </w:r>
            <w:r w:rsidRPr="00EC20A0">
              <w:t>Representation</w:t>
            </w:r>
            <w:r w:rsidRPr="00EC20A0">
              <w:rPr>
                <w:spacing w:val="-7"/>
              </w:rPr>
              <w:t xml:space="preserve"> </w:t>
            </w:r>
            <w:r w:rsidRPr="00EC20A0">
              <w:t>Letter</w:t>
            </w:r>
            <w:r w:rsidRPr="00EC20A0">
              <w:rPr>
                <w:spacing w:val="-6"/>
              </w:rPr>
              <w:t xml:space="preserve"> </w:t>
            </w:r>
            <w:r w:rsidRPr="00EC20A0">
              <w:t>from</w:t>
            </w:r>
            <w:r w:rsidRPr="00EC20A0">
              <w:rPr>
                <w:spacing w:val="-7"/>
              </w:rPr>
              <w:t xml:space="preserve"> </w:t>
            </w:r>
            <w:r w:rsidRPr="00EC20A0">
              <w:t>Engaging</w:t>
            </w:r>
            <w:r w:rsidRPr="00EC20A0">
              <w:rPr>
                <w:spacing w:val="-5"/>
              </w:rPr>
              <w:t xml:space="preserve"> </w:t>
            </w:r>
            <w:r w:rsidRPr="00EC20A0">
              <w:t>Party</w:t>
            </w:r>
            <w:r w:rsidRPr="00EC20A0">
              <w:rPr>
                <w:spacing w:val="-6"/>
              </w:rPr>
              <w:t xml:space="preserve"> </w:t>
            </w:r>
            <w:r w:rsidRPr="00EC20A0">
              <w:t>on</w:t>
            </w:r>
            <w:r w:rsidRPr="00EC20A0">
              <w:rPr>
                <w:spacing w:val="-6"/>
              </w:rPr>
              <w:t xml:space="preserve"> </w:t>
            </w:r>
            <w:r w:rsidRPr="00EC20A0">
              <w:t>Agreed-Upon Procedures Engagement</w:t>
            </w:r>
          </w:p>
        </w:tc>
        <w:tc>
          <w:tcPr>
            <w:tcW w:w="1031" w:type="dxa"/>
          </w:tcPr>
          <w:p w14:paraId="24D6043B" w14:textId="77777777" w:rsidR="00245300" w:rsidRPr="00EC20A0" w:rsidRDefault="00F17249">
            <w:pPr>
              <w:pStyle w:val="TableParagraph"/>
              <w:spacing w:before="85"/>
              <w:ind w:left="393"/>
            </w:pPr>
            <w:r w:rsidRPr="00EC20A0">
              <w:t>710</w:t>
            </w:r>
            <w:r w:rsidRPr="00EC20A0">
              <w:rPr>
                <w:spacing w:val="-4"/>
              </w:rPr>
              <w:t xml:space="preserve"> </w:t>
            </w:r>
            <w:r w:rsidRPr="00EC20A0">
              <w:rPr>
                <w:spacing w:val="-10"/>
              </w:rPr>
              <w:t>B</w:t>
            </w:r>
          </w:p>
        </w:tc>
      </w:tr>
      <w:tr w:rsidR="00245300" w:rsidRPr="00EC20A0" w14:paraId="24D6043F" w14:textId="77777777">
        <w:trPr>
          <w:trHeight w:val="686"/>
        </w:trPr>
        <w:tc>
          <w:tcPr>
            <w:tcW w:w="7218" w:type="dxa"/>
          </w:tcPr>
          <w:p w14:paraId="24D6043D" w14:textId="77777777" w:rsidR="00245300" w:rsidRPr="00EC20A0" w:rsidRDefault="00F17249">
            <w:pPr>
              <w:pStyle w:val="TableParagraph"/>
              <w:spacing w:before="86"/>
              <w:ind w:left="50" w:right="284"/>
            </w:pPr>
            <w:r w:rsidRPr="00EC20A0">
              <w:t>Example</w:t>
            </w:r>
            <w:r w:rsidRPr="00EC20A0">
              <w:rPr>
                <w:spacing w:val="-6"/>
              </w:rPr>
              <w:t xml:space="preserve"> </w:t>
            </w:r>
            <w:r w:rsidRPr="00EC20A0">
              <w:t>Representation</w:t>
            </w:r>
            <w:r w:rsidRPr="00EC20A0">
              <w:rPr>
                <w:spacing w:val="-6"/>
              </w:rPr>
              <w:t xml:space="preserve"> </w:t>
            </w:r>
            <w:r w:rsidRPr="00EC20A0">
              <w:t>Letter</w:t>
            </w:r>
            <w:r w:rsidRPr="00EC20A0">
              <w:rPr>
                <w:spacing w:val="-6"/>
              </w:rPr>
              <w:t xml:space="preserve"> </w:t>
            </w:r>
            <w:r w:rsidRPr="00EC20A0">
              <w:t>from</w:t>
            </w:r>
            <w:r w:rsidRPr="00EC20A0">
              <w:rPr>
                <w:spacing w:val="-6"/>
              </w:rPr>
              <w:t xml:space="preserve"> </w:t>
            </w:r>
            <w:r w:rsidRPr="00EC20A0">
              <w:t>Responsible</w:t>
            </w:r>
            <w:r w:rsidRPr="00EC20A0">
              <w:rPr>
                <w:spacing w:val="-6"/>
              </w:rPr>
              <w:t xml:space="preserve"> </w:t>
            </w:r>
            <w:r w:rsidRPr="00EC20A0">
              <w:t>Party</w:t>
            </w:r>
            <w:r w:rsidRPr="00EC20A0">
              <w:rPr>
                <w:spacing w:val="-6"/>
              </w:rPr>
              <w:t xml:space="preserve"> </w:t>
            </w:r>
            <w:r w:rsidRPr="00EC20A0">
              <w:t>on</w:t>
            </w:r>
            <w:r w:rsidRPr="00EC20A0">
              <w:rPr>
                <w:spacing w:val="-6"/>
              </w:rPr>
              <w:t xml:space="preserve"> </w:t>
            </w:r>
            <w:r w:rsidRPr="00EC20A0">
              <w:t>Agreed- Upon Procedures Engagement</w:t>
            </w:r>
          </w:p>
        </w:tc>
        <w:tc>
          <w:tcPr>
            <w:tcW w:w="1031" w:type="dxa"/>
          </w:tcPr>
          <w:p w14:paraId="24D6043E" w14:textId="77777777" w:rsidR="00245300" w:rsidRPr="00EC20A0" w:rsidRDefault="00F17249">
            <w:pPr>
              <w:pStyle w:val="TableParagraph"/>
              <w:spacing w:before="86"/>
              <w:ind w:left="393"/>
            </w:pPr>
            <w:r w:rsidRPr="00EC20A0">
              <w:t>710</w:t>
            </w:r>
            <w:r w:rsidRPr="00EC20A0">
              <w:rPr>
                <w:spacing w:val="-4"/>
              </w:rPr>
              <w:t xml:space="preserve"> </w:t>
            </w:r>
            <w:r w:rsidRPr="00EC20A0">
              <w:rPr>
                <w:spacing w:val="-10"/>
              </w:rPr>
              <w:t>C</w:t>
            </w:r>
          </w:p>
        </w:tc>
      </w:tr>
      <w:tr w:rsidR="00245300" w:rsidRPr="00EC20A0" w14:paraId="24D60442" w14:textId="77777777">
        <w:trPr>
          <w:trHeight w:val="685"/>
        </w:trPr>
        <w:tc>
          <w:tcPr>
            <w:tcW w:w="7218" w:type="dxa"/>
          </w:tcPr>
          <w:p w14:paraId="24D60440" w14:textId="77777777" w:rsidR="00245300" w:rsidRPr="00EC20A0" w:rsidRDefault="00F17249">
            <w:pPr>
              <w:pStyle w:val="TableParagraph"/>
              <w:spacing w:before="86"/>
              <w:ind w:left="50" w:right="284"/>
            </w:pPr>
            <w:r w:rsidRPr="00EC20A0">
              <w:t>Example</w:t>
            </w:r>
            <w:r w:rsidRPr="00EC20A0">
              <w:rPr>
                <w:spacing w:val="-6"/>
              </w:rPr>
              <w:t xml:space="preserve"> </w:t>
            </w:r>
            <w:r w:rsidRPr="00EC20A0">
              <w:t>Agreed-Upon</w:t>
            </w:r>
            <w:r w:rsidRPr="00EC20A0">
              <w:rPr>
                <w:spacing w:val="-6"/>
              </w:rPr>
              <w:t xml:space="preserve"> </w:t>
            </w:r>
            <w:r w:rsidRPr="00EC20A0">
              <w:t>Procedures</w:t>
            </w:r>
            <w:r w:rsidRPr="00EC20A0">
              <w:rPr>
                <w:spacing w:val="-7"/>
              </w:rPr>
              <w:t xml:space="preserve"> </w:t>
            </w:r>
            <w:r w:rsidRPr="00EC20A0">
              <w:t>Report</w:t>
            </w:r>
            <w:r w:rsidRPr="00EC20A0">
              <w:rPr>
                <w:spacing w:val="-5"/>
              </w:rPr>
              <w:t xml:space="preserve"> </w:t>
            </w:r>
            <w:r w:rsidRPr="00EC20A0">
              <w:t>Where</w:t>
            </w:r>
            <w:r w:rsidRPr="00EC20A0">
              <w:rPr>
                <w:spacing w:val="-6"/>
              </w:rPr>
              <w:t xml:space="preserve"> </w:t>
            </w:r>
            <w:r w:rsidRPr="00EC20A0">
              <w:t>the</w:t>
            </w:r>
            <w:r w:rsidRPr="00EC20A0">
              <w:rPr>
                <w:spacing w:val="-6"/>
              </w:rPr>
              <w:t xml:space="preserve"> </w:t>
            </w:r>
            <w:r w:rsidRPr="00EC20A0">
              <w:t>Engaging</w:t>
            </w:r>
            <w:r w:rsidRPr="00EC20A0">
              <w:rPr>
                <w:spacing w:val="-6"/>
              </w:rPr>
              <w:t xml:space="preserve"> </w:t>
            </w:r>
            <w:r w:rsidRPr="00EC20A0">
              <w:t xml:space="preserve">Party Is Not </w:t>
            </w:r>
            <w:r w:rsidRPr="00EC20A0">
              <w:t>the Responsible Party</w:t>
            </w:r>
          </w:p>
        </w:tc>
        <w:tc>
          <w:tcPr>
            <w:tcW w:w="1031" w:type="dxa"/>
          </w:tcPr>
          <w:p w14:paraId="24D60441" w14:textId="77777777" w:rsidR="00245300" w:rsidRPr="00EC20A0" w:rsidRDefault="00F17249">
            <w:pPr>
              <w:pStyle w:val="TableParagraph"/>
              <w:spacing w:before="86"/>
              <w:ind w:left="393"/>
            </w:pPr>
            <w:r w:rsidRPr="00EC20A0">
              <w:t>710</w:t>
            </w:r>
            <w:r w:rsidRPr="00EC20A0">
              <w:rPr>
                <w:spacing w:val="-4"/>
              </w:rPr>
              <w:t xml:space="preserve"> </w:t>
            </w:r>
            <w:r w:rsidRPr="00EC20A0">
              <w:rPr>
                <w:spacing w:val="-10"/>
              </w:rPr>
              <w:t>D</w:t>
            </w:r>
          </w:p>
        </w:tc>
      </w:tr>
      <w:tr w:rsidR="00245300" w:rsidRPr="00EC20A0" w14:paraId="24D60445" w14:textId="77777777">
        <w:trPr>
          <w:trHeight w:val="338"/>
        </w:trPr>
        <w:tc>
          <w:tcPr>
            <w:tcW w:w="7218" w:type="dxa"/>
          </w:tcPr>
          <w:p w14:paraId="24D60443" w14:textId="77777777" w:rsidR="00245300" w:rsidRPr="00EC20A0" w:rsidRDefault="00F17249">
            <w:pPr>
              <w:pStyle w:val="TableParagraph"/>
              <w:spacing w:before="85" w:line="233" w:lineRule="exact"/>
              <w:ind w:left="50"/>
            </w:pPr>
            <w:r w:rsidRPr="00EC20A0">
              <w:t>Agreed-Upon</w:t>
            </w:r>
            <w:r w:rsidRPr="00EC20A0">
              <w:rPr>
                <w:spacing w:val="-14"/>
              </w:rPr>
              <w:t xml:space="preserve"> </w:t>
            </w:r>
            <w:r w:rsidRPr="00EC20A0">
              <w:t>Procedures</w:t>
            </w:r>
            <w:r w:rsidRPr="00EC20A0">
              <w:rPr>
                <w:spacing w:val="-13"/>
              </w:rPr>
              <w:t xml:space="preserve"> </w:t>
            </w:r>
            <w:r w:rsidRPr="00EC20A0">
              <w:t>Engagement</w:t>
            </w:r>
            <w:r w:rsidRPr="00EC20A0">
              <w:rPr>
                <w:spacing w:val="-14"/>
              </w:rPr>
              <w:t xml:space="preserve"> </w:t>
            </w:r>
            <w:r w:rsidRPr="00EC20A0">
              <w:t>Completion</w:t>
            </w:r>
            <w:r w:rsidRPr="00EC20A0">
              <w:rPr>
                <w:spacing w:val="-13"/>
              </w:rPr>
              <w:t xml:space="preserve"> </w:t>
            </w:r>
            <w:r w:rsidRPr="00EC20A0">
              <w:rPr>
                <w:spacing w:val="-2"/>
              </w:rPr>
              <w:t>Checklist</w:t>
            </w:r>
          </w:p>
        </w:tc>
        <w:tc>
          <w:tcPr>
            <w:tcW w:w="1031" w:type="dxa"/>
          </w:tcPr>
          <w:p w14:paraId="24D60444" w14:textId="77777777" w:rsidR="00245300" w:rsidRPr="00EC20A0" w:rsidRDefault="00F17249">
            <w:pPr>
              <w:pStyle w:val="TableParagraph"/>
              <w:spacing w:before="85" w:line="233" w:lineRule="exact"/>
              <w:ind w:left="393"/>
            </w:pPr>
            <w:r w:rsidRPr="00EC20A0">
              <w:t>710</w:t>
            </w:r>
            <w:r w:rsidRPr="00EC20A0">
              <w:rPr>
                <w:spacing w:val="-4"/>
              </w:rPr>
              <w:t xml:space="preserve"> </w:t>
            </w:r>
            <w:r w:rsidRPr="00EC20A0">
              <w:rPr>
                <w:spacing w:val="-10"/>
              </w:rPr>
              <w:t>E</w:t>
            </w:r>
          </w:p>
        </w:tc>
      </w:tr>
    </w:tbl>
    <w:p w14:paraId="24D60446" w14:textId="77777777" w:rsidR="00245300" w:rsidRPr="00EC20A0" w:rsidRDefault="00245300">
      <w:pPr>
        <w:spacing w:line="233" w:lineRule="exact"/>
        <w:sectPr w:rsidR="00245300" w:rsidRPr="00EC20A0">
          <w:headerReference w:type="default" r:id="rId53"/>
          <w:footerReference w:type="default" r:id="rId54"/>
          <w:pgSz w:w="12240" w:h="15840"/>
          <w:pgMar w:top="1340" w:right="940" w:bottom="940" w:left="1020" w:header="721" w:footer="757" w:gutter="0"/>
          <w:pgNumType w:start="700"/>
          <w:cols w:space="720"/>
        </w:sectPr>
      </w:pPr>
    </w:p>
    <w:p w14:paraId="24D60447" w14:textId="77777777" w:rsidR="00245300" w:rsidRPr="00EC20A0" w:rsidRDefault="00F17249">
      <w:pPr>
        <w:spacing w:before="241"/>
        <w:ind w:left="420" w:right="1998"/>
        <w:jc w:val="both"/>
        <w:rPr>
          <w:b/>
          <w:sz w:val="32"/>
        </w:rPr>
      </w:pPr>
      <w:bookmarkStart w:id="125" w:name="701_–_Determining_Financial_Management_S"/>
      <w:bookmarkStart w:id="126" w:name="_bookmark44"/>
      <w:bookmarkEnd w:id="125"/>
      <w:bookmarkEnd w:id="126"/>
      <w:r w:rsidRPr="00EC20A0">
        <w:rPr>
          <w:b/>
          <w:sz w:val="32"/>
          <w:u w:val="single"/>
        </w:rPr>
        <w:t>701 – Determining Financial Management Systems’</w:t>
      </w:r>
      <w:r w:rsidRPr="00EC20A0">
        <w:rPr>
          <w:b/>
          <w:sz w:val="32"/>
        </w:rPr>
        <w:t xml:space="preserve"> </w:t>
      </w:r>
      <w:r w:rsidRPr="00EC20A0">
        <w:rPr>
          <w:b/>
          <w:sz w:val="32"/>
          <w:u w:val="single"/>
        </w:rPr>
        <w:t>Compliance</w:t>
      </w:r>
      <w:r w:rsidRPr="00EC20A0">
        <w:rPr>
          <w:b/>
          <w:spacing w:val="-7"/>
          <w:sz w:val="32"/>
          <w:u w:val="single"/>
        </w:rPr>
        <w:t xml:space="preserve"> </w:t>
      </w:r>
      <w:r w:rsidRPr="00EC20A0">
        <w:rPr>
          <w:b/>
          <w:sz w:val="32"/>
          <w:u w:val="single"/>
        </w:rPr>
        <w:t>with</w:t>
      </w:r>
      <w:r w:rsidRPr="00EC20A0">
        <w:rPr>
          <w:b/>
          <w:spacing w:val="-8"/>
          <w:sz w:val="32"/>
          <w:u w:val="single"/>
        </w:rPr>
        <w:t xml:space="preserve"> </w:t>
      </w:r>
      <w:r w:rsidRPr="00EC20A0">
        <w:rPr>
          <w:b/>
          <w:sz w:val="32"/>
          <w:u w:val="single"/>
        </w:rPr>
        <w:t>the</w:t>
      </w:r>
      <w:r w:rsidRPr="00EC20A0">
        <w:rPr>
          <w:b/>
          <w:spacing w:val="-8"/>
          <w:sz w:val="32"/>
          <w:u w:val="single"/>
        </w:rPr>
        <w:t xml:space="preserve"> </w:t>
      </w:r>
      <w:r w:rsidRPr="00EC20A0">
        <w:rPr>
          <w:b/>
          <w:sz w:val="32"/>
          <w:u w:val="single"/>
        </w:rPr>
        <w:t>Federal</w:t>
      </w:r>
      <w:r w:rsidRPr="00EC20A0">
        <w:rPr>
          <w:b/>
          <w:spacing w:val="-8"/>
          <w:sz w:val="32"/>
          <w:u w:val="single"/>
        </w:rPr>
        <w:t xml:space="preserve"> </w:t>
      </w:r>
      <w:r w:rsidRPr="00EC20A0">
        <w:rPr>
          <w:b/>
          <w:sz w:val="32"/>
          <w:u w:val="single"/>
        </w:rPr>
        <w:t>Financial</w:t>
      </w:r>
      <w:r w:rsidRPr="00EC20A0">
        <w:rPr>
          <w:b/>
          <w:spacing w:val="-7"/>
          <w:sz w:val="32"/>
          <w:u w:val="single"/>
        </w:rPr>
        <w:t xml:space="preserve"> </w:t>
      </w:r>
      <w:r w:rsidRPr="00EC20A0">
        <w:rPr>
          <w:b/>
          <w:sz w:val="32"/>
          <w:u w:val="single"/>
        </w:rPr>
        <w:t>Management</w:t>
      </w:r>
      <w:r w:rsidRPr="00EC20A0">
        <w:rPr>
          <w:b/>
          <w:sz w:val="32"/>
        </w:rPr>
        <w:t xml:space="preserve"> </w:t>
      </w:r>
      <w:r w:rsidRPr="00EC20A0">
        <w:rPr>
          <w:b/>
          <w:sz w:val="32"/>
          <w:u w:val="single"/>
        </w:rPr>
        <w:t>Improvement Act of 1996 (FFMIA)</w:t>
      </w:r>
    </w:p>
    <w:p w14:paraId="24D60448" w14:textId="77777777" w:rsidR="00245300" w:rsidRPr="00EC20A0" w:rsidRDefault="00F17249">
      <w:pPr>
        <w:pStyle w:val="ListParagraph"/>
        <w:numPr>
          <w:ilvl w:val="0"/>
          <w:numId w:val="12"/>
        </w:numPr>
        <w:tabs>
          <w:tab w:val="left" w:pos="1860"/>
        </w:tabs>
        <w:ind w:right="603"/>
      </w:pPr>
      <w:r w:rsidRPr="00EC20A0">
        <w:t>FFMIA</w:t>
      </w:r>
      <w:hyperlink w:anchor="_bookmark45" w:history="1">
        <w:r w:rsidRPr="00EC20A0">
          <w:rPr>
            <w:position w:val="7"/>
            <w:sz w:val="14"/>
          </w:rPr>
          <w:t>1</w:t>
        </w:r>
      </w:hyperlink>
      <w:r w:rsidRPr="00EC20A0">
        <w:rPr>
          <w:spacing w:val="39"/>
          <w:position w:val="7"/>
          <w:sz w:val="14"/>
        </w:rPr>
        <w:t xml:space="preserve"> </w:t>
      </w:r>
      <w:r w:rsidRPr="00EC20A0">
        <w:t>was designed to improve financial management systems. These improvements would lead to Chief Financial Officers Act of 1990 (CFO Act) agency managers routinely having access to timely, reliable, and useful information</w:t>
      </w:r>
      <w:r w:rsidRPr="00EC20A0">
        <w:rPr>
          <w:spacing w:val="-4"/>
        </w:rPr>
        <w:t xml:space="preserve"> </w:t>
      </w:r>
      <w:r w:rsidRPr="00EC20A0">
        <w:t>with</w:t>
      </w:r>
      <w:r w:rsidRPr="00EC20A0">
        <w:rPr>
          <w:spacing w:val="-4"/>
        </w:rPr>
        <w:t xml:space="preserve"> </w:t>
      </w:r>
      <w:r w:rsidRPr="00EC20A0">
        <w:t>which</w:t>
      </w:r>
      <w:r w:rsidRPr="00EC20A0">
        <w:rPr>
          <w:spacing w:val="-4"/>
        </w:rPr>
        <w:t xml:space="preserve"> </w:t>
      </w:r>
      <w:r w:rsidRPr="00EC20A0">
        <w:t>to</w:t>
      </w:r>
      <w:r w:rsidRPr="00EC20A0">
        <w:rPr>
          <w:spacing w:val="-4"/>
        </w:rPr>
        <w:t xml:space="preserve"> </w:t>
      </w:r>
      <w:r w:rsidRPr="00EC20A0">
        <w:t>make</w:t>
      </w:r>
      <w:r w:rsidRPr="00EC20A0">
        <w:rPr>
          <w:spacing w:val="-4"/>
        </w:rPr>
        <w:t xml:space="preserve"> </w:t>
      </w:r>
      <w:r w:rsidRPr="00EC20A0">
        <w:t>informed</w:t>
      </w:r>
      <w:r w:rsidRPr="00EC20A0">
        <w:rPr>
          <w:spacing w:val="-4"/>
        </w:rPr>
        <w:t xml:space="preserve"> </w:t>
      </w:r>
      <w:r w:rsidRPr="00EC20A0">
        <w:t>decisions</w:t>
      </w:r>
      <w:r w:rsidRPr="00EC20A0">
        <w:rPr>
          <w:spacing w:val="-4"/>
        </w:rPr>
        <w:t xml:space="preserve"> </w:t>
      </w:r>
      <w:r w:rsidRPr="00EC20A0">
        <w:t>and</w:t>
      </w:r>
      <w:r w:rsidRPr="00EC20A0">
        <w:rPr>
          <w:spacing w:val="-4"/>
        </w:rPr>
        <w:t xml:space="preserve"> </w:t>
      </w:r>
      <w:r w:rsidRPr="00EC20A0">
        <w:t>to</w:t>
      </w:r>
      <w:r w:rsidRPr="00EC20A0">
        <w:rPr>
          <w:spacing w:val="-4"/>
        </w:rPr>
        <w:t xml:space="preserve"> </w:t>
      </w:r>
      <w:r w:rsidRPr="00EC20A0">
        <w:t>provide</w:t>
      </w:r>
      <w:r w:rsidRPr="00EC20A0">
        <w:rPr>
          <w:spacing w:val="-3"/>
        </w:rPr>
        <w:t xml:space="preserve"> </w:t>
      </w:r>
      <w:r w:rsidRPr="00EC20A0">
        <w:t>accountability. FFMIA section 803(a) requires the 24 CFO Act agencies to implement and maintain financial management systems that comply substantially with</w:t>
      </w:r>
    </w:p>
    <w:p w14:paraId="24D60449" w14:textId="77777777" w:rsidR="00245300" w:rsidRPr="00EC20A0" w:rsidRDefault="00F17249">
      <w:pPr>
        <w:pStyle w:val="ListParagraph"/>
        <w:numPr>
          <w:ilvl w:val="1"/>
          <w:numId w:val="12"/>
        </w:numPr>
        <w:tabs>
          <w:tab w:val="left" w:pos="2219"/>
        </w:tabs>
        <w:ind w:left="2219" w:hanging="359"/>
      </w:pPr>
      <w:r w:rsidRPr="00EC20A0">
        <w:t>federal</w:t>
      </w:r>
      <w:r w:rsidRPr="00EC20A0">
        <w:rPr>
          <w:spacing w:val="-11"/>
        </w:rPr>
        <w:t xml:space="preserve"> </w:t>
      </w:r>
      <w:r w:rsidRPr="00EC20A0">
        <w:t>financial</w:t>
      </w:r>
      <w:r w:rsidRPr="00EC20A0">
        <w:rPr>
          <w:spacing w:val="-10"/>
        </w:rPr>
        <w:t xml:space="preserve"> </w:t>
      </w:r>
      <w:r w:rsidRPr="00EC20A0">
        <w:t>management</w:t>
      </w:r>
      <w:r w:rsidRPr="00EC20A0">
        <w:rPr>
          <w:spacing w:val="-10"/>
        </w:rPr>
        <w:t xml:space="preserve"> </w:t>
      </w:r>
      <w:r w:rsidRPr="00EC20A0">
        <w:t>systems</w:t>
      </w:r>
      <w:r w:rsidRPr="00EC20A0">
        <w:rPr>
          <w:spacing w:val="-10"/>
        </w:rPr>
        <w:t xml:space="preserve"> </w:t>
      </w:r>
      <w:r w:rsidRPr="00EC20A0">
        <w:rPr>
          <w:spacing w:val="-2"/>
        </w:rPr>
        <w:t>requirements,</w:t>
      </w:r>
    </w:p>
    <w:p w14:paraId="24D6044A" w14:textId="77777777" w:rsidR="00245300" w:rsidRPr="00EC20A0" w:rsidRDefault="00F17249">
      <w:pPr>
        <w:pStyle w:val="ListParagraph"/>
        <w:numPr>
          <w:ilvl w:val="1"/>
          <w:numId w:val="12"/>
        </w:numPr>
        <w:tabs>
          <w:tab w:val="left" w:pos="2219"/>
        </w:tabs>
        <w:spacing w:before="241"/>
        <w:ind w:left="2219" w:hanging="359"/>
      </w:pPr>
      <w:r w:rsidRPr="00EC20A0">
        <w:t>applicable</w:t>
      </w:r>
      <w:r w:rsidRPr="00EC20A0">
        <w:rPr>
          <w:spacing w:val="-12"/>
        </w:rPr>
        <w:t xml:space="preserve"> </w:t>
      </w:r>
      <w:r w:rsidRPr="00EC20A0">
        <w:t>federal</w:t>
      </w:r>
      <w:r w:rsidRPr="00EC20A0">
        <w:rPr>
          <w:spacing w:val="-10"/>
        </w:rPr>
        <w:t xml:space="preserve"> </w:t>
      </w:r>
      <w:r w:rsidRPr="00EC20A0">
        <w:t>accounting</w:t>
      </w:r>
      <w:r w:rsidRPr="00EC20A0">
        <w:rPr>
          <w:spacing w:val="-10"/>
        </w:rPr>
        <w:t xml:space="preserve"> </w:t>
      </w:r>
      <w:r w:rsidRPr="00EC20A0">
        <w:t>standards,</w:t>
      </w:r>
      <w:r w:rsidRPr="00EC20A0">
        <w:rPr>
          <w:spacing w:val="-10"/>
        </w:rPr>
        <w:t xml:space="preserve"> </w:t>
      </w:r>
      <w:r w:rsidRPr="00EC20A0">
        <w:rPr>
          <w:spacing w:val="-5"/>
        </w:rPr>
        <w:t>and</w:t>
      </w:r>
    </w:p>
    <w:p w14:paraId="24D6044B" w14:textId="77777777" w:rsidR="00245300" w:rsidRPr="00EC20A0" w:rsidRDefault="00F17249">
      <w:pPr>
        <w:pStyle w:val="ListParagraph"/>
        <w:numPr>
          <w:ilvl w:val="1"/>
          <w:numId w:val="12"/>
        </w:numPr>
        <w:tabs>
          <w:tab w:val="left" w:pos="2219"/>
        </w:tabs>
        <w:spacing w:before="238"/>
        <w:ind w:left="2219" w:hanging="359"/>
      </w:pPr>
      <w:r w:rsidRPr="00EC20A0">
        <w:t>the</w:t>
      </w:r>
      <w:r w:rsidRPr="00EC20A0">
        <w:rPr>
          <w:spacing w:val="-8"/>
        </w:rPr>
        <w:t xml:space="preserve"> </w:t>
      </w:r>
      <w:r w:rsidRPr="00EC20A0">
        <w:rPr>
          <w:i/>
        </w:rPr>
        <w:t>U.S.</w:t>
      </w:r>
      <w:r w:rsidRPr="00EC20A0">
        <w:rPr>
          <w:i/>
          <w:spacing w:val="-7"/>
        </w:rPr>
        <w:t xml:space="preserve"> </w:t>
      </w:r>
      <w:r w:rsidRPr="00EC20A0">
        <w:rPr>
          <w:i/>
        </w:rPr>
        <w:t>Standard</w:t>
      </w:r>
      <w:r w:rsidRPr="00EC20A0">
        <w:rPr>
          <w:i/>
          <w:spacing w:val="-7"/>
        </w:rPr>
        <w:t xml:space="preserve"> </w:t>
      </w:r>
      <w:r w:rsidRPr="00EC20A0">
        <w:rPr>
          <w:i/>
        </w:rPr>
        <w:t>General</w:t>
      </w:r>
      <w:r w:rsidRPr="00EC20A0">
        <w:rPr>
          <w:i/>
          <w:spacing w:val="-7"/>
        </w:rPr>
        <w:t xml:space="preserve"> </w:t>
      </w:r>
      <w:r w:rsidRPr="00EC20A0">
        <w:rPr>
          <w:i/>
        </w:rPr>
        <w:t>Ledger</w:t>
      </w:r>
      <w:r w:rsidRPr="00EC20A0">
        <w:rPr>
          <w:i/>
          <w:spacing w:val="-7"/>
        </w:rPr>
        <w:t xml:space="preserve"> </w:t>
      </w:r>
      <w:r w:rsidRPr="00EC20A0">
        <w:t>(USSGL)</w:t>
      </w:r>
      <w:r w:rsidRPr="00EC20A0">
        <w:rPr>
          <w:spacing w:val="-8"/>
        </w:rPr>
        <w:t xml:space="preserve"> </w:t>
      </w:r>
      <w:r w:rsidRPr="00EC20A0">
        <w:t>at</w:t>
      </w:r>
      <w:r w:rsidRPr="00EC20A0">
        <w:rPr>
          <w:spacing w:val="-7"/>
        </w:rPr>
        <w:t xml:space="preserve"> </w:t>
      </w:r>
      <w:r w:rsidRPr="00EC20A0">
        <w:t>the</w:t>
      </w:r>
      <w:r w:rsidRPr="00EC20A0">
        <w:rPr>
          <w:spacing w:val="-7"/>
        </w:rPr>
        <w:t xml:space="preserve"> </w:t>
      </w:r>
      <w:r w:rsidRPr="00EC20A0">
        <w:t>transaction</w:t>
      </w:r>
      <w:r w:rsidRPr="00EC20A0">
        <w:rPr>
          <w:spacing w:val="-7"/>
        </w:rPr>
        <w:t xml:space="preserve"> </w:t>
      </w:r>
      <w:r w:rsidRPr="00EC20A0">
        <w:rPr>
          <w:spacing w:val="-2"/>
        </w:rPr>
        <w:t>level.</w:t>
      </w:r>
    </w:p>
    <w:p w14:paraId="24D6044C" w14:textId="77777777" w:rsidR="00245300" w:rsidRPr="00EC20A0" w:rsidRDefault="00F17249">
      <w:pPr>
        <w:pStyle w:val="ListParagraph"/>
        <w:numPr>
          <w:ilvl w:val="0"/>
          <w:numId w:val="12"/>
        </w:numPr>
        <w:tabs>
          <w:tab w:val="left" w:pos="1860"/>
        </w:tabs>
        <w:spacing w:before="241"/>
        <w:ind w:right="507" w:hanging="720"/>
      </w:pPr>
      <w:r w:rsidRPr="00EC20A0">
        <w:t>The</w:t>
      </w:r>
      <w:r w:rsidRPr="00EC20A0">
        <w:rPr>
          <w:spacing w:val="-3"/>
        </w:rPr>
        <w:t xml:space="preserve"> </w:t>
      </w:r>
      <w:r w:rsidRPr="00EC20A0">
        <w:t>law</w:t>
      </w:r>
      <w:r w:rsidRPr="00EC20A0">
        <w:rPr>
          <w:spacing w:val="-4"/>
        </w:rPr>
        <w:t xml:space="preserve"> </w:t>
      </w:r>
      <w:r w:rsidRPr="00EC20A0">
        <w:t>also</w:t>
      </w:r>
      <w:r w:rsidRPr="00EC20A0">
        <w:rPr>
          <w:spacing w:val="-3"/>
        </w:rPr>
        <w:t xml:space="preserve"> </w:t>
      </w:r>
      <w:r w:rsidRPr="00EC20A0">
        <w:t>requires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to</w:t>
      </w:r>
      <w:r w:rsidRPr="00EC20A0">
        <w:rPr>
          <w:spacing w:val="-4"/>
        </w:rPr>
        <w:t xml:space="preserve"> </w:t>
      </w:r>
      <w:r w:rsidRPr="00EC20A0">
        <w:t>state</w:t>
      </w:r>
      <w:r w:rsidRPr="00EC20A0">
        <w:rPr>
          <w:spacing w:val="-3"/>
        </w:rPr>
        <w:t xml:space="preserve"> </w:t>
      </w:r>
      <w:r w:rsidRPr="00EC20A0">
        <w:t>in</w:t>
      </w:r>
      <w:r w:rsidRPr="00EC20A0">
        <w:rPr>
          <w:spacing w:val="-3"/>
        </w:rPr>
        <w:t xml:space="preserve"> </w:t>
      </w:r>
      <w:r w:rsidRPr="00EC20A0">
        <w:t>the</w:t>
      </w:r>
      <w:r w:rsidRPr="00EC20A0">
        <w:rPr>
          <w:spacing w:val="-4"/>
        </w:rPr>
        <w:t xml:space="preserve"> </w:t>
      </w:r>
      <w:r w:rsidRPr="00EC20A0">
        <w:t>CFO</w:t>
      </w:r>
      <w:r w:rsidRPr="00EC20A0">
        <w:rPr>
          <w:spacing w:val="-4"/>
        </w:rPr>
        <w:t xml:space="preserve"> </w:t>
      </w:r>
      <w:r w:rsidRPr="00EC20A0">
        <w:t>Act</w:t>
      </w:r>
      <w:r w:rsidRPr="00EC20A0">
        <w:rPr>
          <w:spacing w:val="-3"/>
        </w:rPr>
        <w:t xml:space="preserve"> </w:t>
      </w:r>
      <w:r w:rsidRPr="00EC20A0">
        <w:t>financial</w:t>
      </w:r>
      <w:r w:rsidRPr="00EC20A0">
        <w:rPr>
          <w:spacing w:val="-3"/>
        </w:rPr>
        <w:t xml:space="preserve"> </w:t>
      </w:r>
      <w:r w:rsidRPr="00EC20A0">
        <w:t>statement</w:t>
      </w:r>
      <w:r w:rsidRPr="00EC20A0">
        <w:rPr>
          <w:spacing w:val="-3"/>
        </w:rPr>
        <w:t xml:space="preserve"> </w:t>
      </w:r>
      <w:r w:rsidRPr="00EC20A0">
        <w:t xml:space="preserve">audit report whether the agency’s financial management </w:t>
      </w:r>
      <w:r w:rsidRPr="00EC20A0">
        <w:t>systems comply substantially with these three FFMIA requirements. This section provides guidance to help the auditor examine agency financial management systems’ compliance with</w:t>
      </w:r>
      <w:r w:rsidRPr="00EC20A0">
        <w:rPr>
          <w:spacing w:val="40"/>
        </w:rPr>
        <w:t xml:space="preserve"> </w:t>
      </w:r>
      <w:r w:rsidRPr="00EC20A0">
        <w:t>FFMIA.</w:t>
      </w:r>
      <w:hyperlink w:anchor="_bookmark46" w:history="1">
        <w:r w:rsidRPr="00EC20A0">
          <w:rPr>
            <w:position w:val="7"/>
            <w:sz w:val="14"/>
          </w:rPr>
          <w:t>2</w:t>
        </w:r>
      </w:hyperlink>
      <w:r w:rsidRPr="00EC20A0">
        <w:rPr>
          <w:spacing w:val="28"/>
          <w:position w:val="7"/>
          <w:sz w:val="14"/>
        </w:rPr>
        <w:t xml:space="preserve"> </w:t>
      </w:r>
      <w:r w:rsidRPr="00EC20A0">
        <w:t xml:space="preserve">It </w:t>
      </w:r>
      <w:r w:rsidRPr="00EC20A0">
        <w:t>provides definitions, explains the FFMIA requirements, and discusses related guidance as well as audit issues related to testing for substantial compliance</w:t>
      </w:r>
      <w:r w:rsidRPr="00EC20A0">
        <w:rPr>
          <w:spacing w:val="-2"/>
        </w:rPr>
        <w:t xml:space="preserve"> </w:t>
      </w:r>
      <w:r w:rsidRPr="00EC20A0">
        <w:t>with</w:t>
      </w:r>
      <w:r w:rsidRPr="00EC20A0">
        <w:rPr>
          <w:spacing w:val="-1"/>
        </w:rPr>
        <w:t xml:space="preserve"> </w:t>
      </w:r>
      <w:r w:rsidRPr="00EC20A0">
        <w:t>the</w:t>
      </w:r>
      <w:r w:rsidRPr="00EC20A0">
        <w:rPr>
          <w:spacing w:val="-1"/>
        </w:rPr>
        <w:t xml:space="preserve"> </w:t>
      </w:r>
      <w:r w:rsidRPr="00EC20A0">
        <w:t>three</w:t>
      </w:r>
      <w:r w:rsidRPr="00EC20A0">
        <w:rPr>
          <w:spacing w:val="-1"/>
        </w:rPr>
        <w:t xml:space="preserve"> </w:t>
      </w:r>
      <w:r w:rsidRPr="00EC20A0">
        <w:t>requirements.</w:t>
      </w:r>
      <w:r w:rsidRPr="00EC20A0">
        <w:rPr>
          <w:spacing w:val="-1"/>
        </w:rPr>
        <w:t xml:space="preserve"> </w:t>
      </w:r>
      <w:r w:rsidRPr="00EC20A0">
        <w:t>An</w:t>
      </w:r>
      <w:r w:rsidRPr="00EC20A0">
        <w:rPr>
          <w:spacing w:val="-1"/>
        </w:rPr>
        <w:t xml:space="preserve"> </w:t>
      </w:r>
      <w:r w:rsidRPr="00EC20A0">
        <w:t>example</w:t>
      </w:r>
      <w:r w:rsidRPr="00EC20A0">
        <w:rPr>
          <w:spacing w:val="-1"/>
        </w:rPr>
        <w:t xml:space="preserve"> </w:t>
      </w:r>
      <w:r w:rsidRPr="00EC20A0">
        <w:t>audit</w:t>
      </w:r>
      <w:r w:rsidRPr="00EC20A0">
        <w:rPr>
          <w:spacing w:val="-1"/>
        </w:rPr>
        <w:t xml:space="preserve"> </w:t>
      </w:r>
      <w:r w:rsidRPr="00EC20A0">
        <w:t>program</w:t>
      </w:r>
      <w:r w:rsidRPr="00EC20A0">
        <w:rPr>
          <w:spacing w:val="-2"/>
        </w:rPr>
        <w:t xml:space="preserve"> </w:t>
      </w:r>
      <w:r w:rsidRPr="00EC20A0">
        <w:t>is</w:t>
      </w:r>
      <w:r w:rsidRPr="00EC20A0">
        <w:rPr>
          <w:spacing w:val="-1"/>
        </w:rPr>
        <w:t xml:space="preserve"> </w:t>
      </w:r>
      <w:r w:rsidRPr="00EC20A0">
        <w:t>included</w:t>
      </w:r>
      <w:r w:rsidRPr="00EC20A0">
        <w:rPr>
          <w:spacing w:val="-1"/>
        </w:rPr>
        <w:t xml:space="preserve"> </w:t>
      </w:r>
      <w:r w:rsidRPr="00EC20A0">
        <w:t>in FAM 701 A.</w:t>
      </w:r>
    </w:p>
    <w:p w14:paraId="24D6044D" w14:textId="77777777" w:rsidR="00245300" w:rsidRPr="00EC20A0" w:rsidRDefault="00245300">
      <w:pPr>
        <w:pStyle w:val="BodyText"/>
        <w:spacing w:before="47"/>
      </w:pPr>
    </w:p>
    <w:p w14:paraId="24D6044E" w14:textId="77777777" w:rsidR="00245300" w:rsidRPr="00EC20A0" w:rsidRDefault="00F17249">
      <w:pPr>
        <w:pStyle w:val="Heading4"/>
        <w:spacing w:before="0"/>
      </w:pPr>
      <w:bookmarkStart w:id="127" w:name="FFMIA_Definitions"/>
      <w:bookmarkEnd w:id="127"/>
      <w:r w:rsidRPr="00EC20A0">
        <w:t>FFMIA</w:t>
      </w:r>
      <w:r w:rsidRPr="00EC20A0">
        <w:rPr>
          <w:spacing w:val="-12"/>
        </w:rPr>
        <w:t xml:space="preserve"> </w:t>
      </w:r>
      <w:r w:rsidRPr="00EC20A0">
        <w:rPr>
          <w:spacing w:val="-2"/>
        </w:rPr>
        <w:t>Definitions</w:t>
      </w:r>
    </w:p>
    <w:p w14:paraId="24D6044F" w14:textId="77777777" w:rsidR="00245300" w:rsidRPr="00EC20A0" w:rsidRDefault="00F17249">
      <w:pPr>
        <w:pStyle w:val="ListParagraph"/>
        <w:numPr>
          <w:ilvl w:val="0"/>
          <w:numId w:val="12"/>
        </w:numPr>
        <w:tabs>
          <w:tab w:val="left" w:pos="1859"/>
        </w:tabs>
        <w:spacing w:before="300"/>
        <w:ind w:left="1859" w:hanging="719"/>
      </w:pPr>
      <w:r w:rsidRPr="00EC20A0">
        <w:t>For</w:t>
      </w:r>
      <w:r w:rsidRPr="00EC20A0">
        <w:rPr>
          <w:spacing w:val="-6"/>
        </w:rPr>
        <w:t xml:space="preserve"> </w:t>
      </w:r>
      <w:r w:rsidRPr="00EC20A0">
        <w:t>purposes</w:t>
      </w:r>
      <w:r w:rsidRPr="00EC20A0">
        <w:rPr>
          <w:spacing w:val="-6"/>
        </w:rPr>
        <w:t xml:space="preserve"> </w:t>
      </w:r>
      <w:r w:rsidRPr="00EC20A0">
        <w:t>of</w:t>
      </w:r>
      <w:r w:rsidRPr="00EC20A0">
        <w:rPr>
          <w:spacing w:val="-6"/>
        </w:rPr>
        <w:t xml:space="preserve"> </w:t>
      </w:r>
      <w:r w:rsidRPr="00EC20A0">
        <w:t>FFMIA,</w:t>
      </w:r>
      <w:r w:rsidRPr="00EC20A0">
        <w:rPr>
          <w:spacing w:val="-6"/>
        </w:rPr>
        <w:t xml:space="preserve"> </w:t>
      </w:r>
      <w:r w:rsidRPr="00EC20A0">
        <w:t>see</w:t>
      </w:r>
      <w:r w:rsidRPr="00EC20A0">
        <w:rPr>
          <w:spacing w:val="-5"/>
        </w:rPr>
        <w:t xml:space="preserve"> </w:t>
      </w:r>
      <w:r w:rsidRPr="00EC20A0">
        <w:t>the</w:t>
      </w:r>
      <w:r w:rsidRPr="00EC20A0">
        <w:rPr>
          <w:spacing w:val="-6"/>
        </w:rPr>
        <w:t xml:space="preserve"> </w:t>
      </w:r>
      <w:r w:rsidRPr="00EC20A0">
        <w:t>following</w:t>
      </w:r>
      <w:r w:rsidRPr="00EC20A0">
        <w:rPr>
          <w:spacing w:val="-6"/>
        </w:rPr>
        <w:t xml:space="preserve"> </w:t>
      </w:r>
      <w:r w:rsidRPr="00EC20A0">
        <w:rPr>
          <w:spacing w:val="-2"/>
        </w:rPr>
        <w:t>definitions:</w:t>
      </w:r>
    </w:p>
    <w:p w14:paraId="24D60450" w14:textId="77777777" w:rsidR="00245300" w:rsidRPr="00EC20A0" w:rsidRDefault="00F17249">
      <w:pPr>
        <w:pStyle w:val="ListParagraph"/>
        <w:numPr>
          <w:ilvl w:val="1"/>
          <w:numId w:val="12"/>
        </w:numPr>
        <w:tabs>
          <w:tab w:val="left" w:pos="2220"/>
        </w:tabs>
        <w:ind w:right="1126"/>
      </w:pPr>
      <w:r w:rsidRPr="00EC20A0">
        <w:t>Financial management systems include the financial systems and the financial portion of mixed systems necessary to support financial management,</w:t>
      </w:r>
      <w:r w:rsidRPr="00EC20A0">
        <w:rPr>
          <w:spacing w:val="-7"/>
        </w:rPr>
        <w:t xml:space="preserve"> </w:t>
      </w:r>
      <w:r w:rsidRPr="00EC20A0">
        <w:t>including</w:t>
      </w:r>
      <w:r w:rsidRPr="00EC20A0">
        <w:rPr>
          <w:spacing w:val="-8"/>
        </w:rPr>
        <w:t xml:space="preserve"> </w:t>
      </w:r>
      <w:r w:rsidRPr="00EC20A0">
        <w:t>automated</w:t>
      </w:r>
      <w:r w:rsidRPr="00EC20A0">
        <w:rPr>
          <w:spacing w:val="-7"/>
        </w:rPr>
        <w:t xml:space="preserve"> </w:t>
      </w:r>
      <w:r w:rsidRPr="00EC20A0">
        <w:t>and</w:t>
      </w:r>
      <w:r w:rsidRPr="00EC20A0">
        <w:rPr>
          <w:spacing w:val="-7"/>
        </w:rPr>
        <w:t xml:space="preserve"> </w:t>
      </w:r>
      <w:r w:rsidRPr="00EC20A0">
        <w:t>manual</w:t>
      </w:r>
      <w:r w:rsidRPr="00EC20A0">
        <w:rPr>
          <w:spacing w:val="-7"/>
        </w:rPr>
        <w:t xml:space="preserve"> </w:t>
      </w:r>
      <w:r w:rsidRPr="00EC20A0">
        <w:t>processes,</w:t>
      </w:r>
      <w:r w:rsidRPr="00EC20A0">
        <w:rPr>
          <w:spacing w:val="-8"/>
        </w:rPr>
        <w:t xml:space="preserve"> </w:t>
      </w:r>
      <w:r w:rsidRPr="00EC20A0">
        <w:t>procedures, controls, data, hardware, software, and support personnel dedicated to operating and maintaining system functions.</w:t>
      </w:r>
    </w:p>
    <w:p w14:paraId="24D60451" w14:textId="77777777" w:rsidR="00245300" w:rsidRPr="00EC20A0" w:rsidRDefault="00245300">
      <w:pPr>
        <w:pStyle w:val="BodyText"/>
        <w:rPr>
          <w:sz w:val="20"/>
        </w:rPr>
      </w:pPr>
    </w:p>
    <w:p w14:paraId="24D60452" w14:textId="77777777" w:rsidR="00245300" w:rsidRPr="00EC20A0" w:rsidRDefault="00245300">
      <w:pPr>
        <w:pStyle w:val="BodyText"/>
        <w:rPr>
          <w:sz w:val="20"/>
        </w:rPr>
      </w:pPr>
    </w:p>
    <w:p w14:paraId="24D60453" w14:textId="77777777" w:rsidR="00245300" w:rsidRPr="00EC20A0" w:rsidRDefault="00245300">
      <w:pPr>
        <w:pStyle w:val="BodyText"/>
        <w:rPr>
          <w:sz w:val="20"/>
        </w:rPr>
      </w:pPr>
    </w:p>
    <w:p w14:paraId="24D60454" w14:textId="77777777" w:rsidR="00245300" w:rsidRPr="00EC20A0" w:rsidRDefault="00245300">
      <w:pPr>
        <w:pStyle w:val="BodyText"/>
        <w:rPr>
          <w:sz w:val="20"/>
        </w:rPr>
      </w:pPr>
    </w:p>
    <w:p w14:paraId="24D60455" w14:textId="77777777" w:rsidR="00245300" w:rsidRPr="00EC20A0" w:rsidRDefault="00245300">
      <w:pPr>
        <w:pStyle w:val="BodyText"/>
        <w:rPr>
          <w:sz w:val="20"/>
        </w:rPr>
      </w:pPr>
    </w:p>
    <w:p w14:paraId="24D60456" w14:textId="77777777" w:rsidR="00245300" w:rsidRPr="00EC20A0" w:rsidRDefault="00245300">
      <w:pPr>
        <w:pStyle w:val="BodyText"/>
        <w:rPr>
          <w:sz w:val="20"/>
        </w:rPr>
      </w:pPr>
    </w:p>
    <w:p w14:paraId="24D60457" w14:textId="77777777" w:rsidR="00245300" w:rsidRPr="00EC20A0" w:rsidRDefault="00F17249">
      <w:pPr>
        <w:pStyle w:val="BodyText"/>
        <w:spacing w:before="181"/>
        <w:rPr>
          <w:sz w:val="20"/>
        </w:rPr>
      </w:pPr>
      <w:r w:rsidRPr="00EC20A0">
        <w:rPr>
          <w:noProof/>
        </w:rPr>
        <mc:AlternateContent>
          <mc:Choice Requires="wps">
            <w:drawing>
              <wp:anchor distT="0" distB="0" distL="0" distR="0" simplePos="0" relativeHeight="487605760" behindDoc="1" locked="0" layoutInCell="1" allowOverlap="1" wp14:anchorId="24D62AFB" wp14:editId="24D62AFC">
                <wp:simplePos x="0" y="0"/>
                <wp:positionH relativeFrom="page">
                  <wp:posOffset>914400</wp:posOffset>
                </wp:positionH>
                <wp:positionV relativeFrom="paragraph">
                  <wp:posOffset>276830</wp:posOffset>
                </wp:positionV>
                <wp:extent cx="1828800" cy="5715"/>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D22C4" id="Graphic 181" o:spid="_x0000_s1026" style="position:absolute;margin-left:1in;margin-top:21.8pt;width:2in;height:.4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" path="m1828800,l,,,5334r1828800,l1828800,xe" fillcolor="black" stroked="f">
                <v:path arrowok="t"/>
                <w10:wrap type="topAndBottom" anchorx="page"/>
              </v:shape>
            </w:pict>
          </mc:Fallback>
        </mc:AlternateContent>
      </w:r>
    </w:p>
    <w:p w14:paraId="24D60458" w14:textId="77777777" w:rsidR="00245300" w:rsidRPr="00EC20A0" w:rsidRDefault="00F17249">
      <w:pPr>
        <w:spacing w:before="202" w:line="242" w:lineRule="auto"/>
        <w:ind w:left="420" w:right="566" w:hanging="1"/>
        <w:rPr>
          <w:sz w:val="18"/>
        </w:rPr>
      </w:pPr>
      <w:bookmarkStart w:id="128" w:name="_bookmark45"/>
      <w:bookmarkEnd w:id="128"/>
      <w:r w:rsidRPr="00EC20A0">
        <w:rPr>
          <w:position w:val="7"/>
          <w:sz w:val="14"/>
        </w:rPr>
        <w:t>1</w:t>
      </w:r>
      <w:r w:rsidRPr="00EC20A0">
        <w:rPr>
          <w:sz w:val="18"/>
        </w:rPr>
        <w:t xml:space="preserve">The FAM and Office of Management and Budget (OMB) Circular No. A-123, </w:t>
      </w:r>
      <w:r w:rsidRPr="00EC20A0">
        <w:rPr>
          <w:i/>
          <w:sz w:val="18"/>
        </w:rPr>
        <w:t>Management’s Responsibility for Enterprise</w:t>
      </w:r>
      <w:r w:rsidRPr="00EC20A0">
        <w:rPr>
          <w:i/>
          <w:spacing w:val="-4"/>
          <w:sz w:val="18"/>
        </w:rPr>
        <w:t xml:space="preserve"> </w:t>
      </w:r>
      <w:r w:rsidRPr="00EC20A0">
        <w:rPr>
          <w:i/>
          <w:sz w:val="18"/>
        </w:rPr>
        <w:t>Risk</w:t>
      </w:r>
      <w:r w:rsidRPr="00EC20A0">
        <w:rPr>
          <w:i/>
          <w:spacing w:val="-2"/>
          <w:sz w:val="18"/>
        </w:rPr>
        <w:t xml:space="preserve"> </w:t>
      </w:r>
      <w:r w:rsidRPr="00EC20A0">
        <w:rPr>
          <w:i/>
          <w:sz w:val="18"/>
        </w:rPr>
        <w:t>Management</w:t>
      </w:r>
      <w:r w:rsidRPr="00EC20A0">
        <w:rPr>
          <w:i/>
          <w:spacing w:val="-3"/>
          <w:sz w:val="18"/>
        </w:rPr>
        <w:t xml:space="preserve"> </w:t>
      </w:r>
      <w:r w:rsidRPr="00EC20A0">
        <w:rPr>
          <w:i/>
          <w:sz w:val="18"/>
        </w:rPr>
        <w:t>and</w:t>
      </w:r>
      <w:r w:rsidRPr="00EC20A0">
        <w:rPr>
          <w:i/>
          <w:spacing w:val="-4"/>
          <w:sz w:val="18"/>
        </w:rPr>
        <w:t xml:space="preserve"> </w:t>
      </w:r>
      <w:r w:rsidRPr="00EC20A0">
        <w:rPr>
          <w:i/>
          <w:sz w:val="18"/>
        </w:rPr>
        <w:t>Internal</w:t>
      </w:r>
      <w:r w:rsidRPr="00EC20A0">
        <w:rPr>
          <w:i/>
          <w:spacing w:val="-3"/>
          <w:sz w:val="18"/>
        </w:rPr>
        <w:t xml:space="preserve"> </w:t>
      </w:r>
      <w:r w:rsidRPr="00EC20A0">
        <w:rPr>
          <w:i/>
          <w:sz w:val="18"/>
        </w:rPr>
        <w:t>Control,</w:t>
      </w:r>
      <w:r w:rsidRPr="00EC20A0">
        <w:rPr>
          <w:i/>
          <w:spacing w:val="-2"/>
          <w:sz w:val="18"/>
        </w:rPr>
        <w:t xml:space="preserve"> </w:t>
      </w:r>
      <w:r w:rsidRPr="00EC20A0">
        <w:rPr>
          <w:sz w:val="18"/>
        </w:rPr>
        <w:t>address</w:t>
      </w:r>
      <w:r w:rsidRPr="00EC20A0">
        <w:rPr>
          <w:spacing w:val="-2"/>
          <w:sz w:val="18"/>
        </w:rPr>
        <w:t xml:space="preserve"> </w:t>
      </w:r>
      <w:r w:rsidRPr="00EC20A0">
        <w:rPr>
          <w:sz w:val="18"/>
        </w:rPr>
        <w:t>FFMIA</w:t>
      </w:r>
      <w:r w:rsidRPr="00EC20A0">
        <w:rPr>
          <w:spacing w:val="-4"/>
          <w:sz w:val="18"/>
        </w:rPr>
        <w:t xml:space="preserve"> </w:t>
      </w:r>
      <w:r w:rsidRPr="00EC20A0">
        <w:rPr>
          <w:sz w:val="18"/>
        </w:rPr>
        <w:t>as</w:t>
      </w:r>
      <w:r w:rsidRPr="00EC20A0">
        <w:rPr>
          <w:spacing w:val="-3"/>
          <w:sz w:val="18"/>
        </w:rPr>
        <w:t xml:space="preserve"> </w:t>
      </w:r>
      <w:r w:rsidRPr="00EC20A0">
        <w:rPr>
          <w:sz w:val="18"/>
        </w:rPr>
        <w:t>part</w:t>
      </w:r>
      <w:r w:rsidRPr="00EC20A0">
        <w:rPr>
          <w:spacing w:val="-3"/>
          <w:sz w:val="18"/>
        </w:rPr>
        <w:t xml:space="preserve"> </w:t>
      </w:r>
      <w:r w:rsidRPr="00EC20A0">
        <w:rPr>
          <w:sz w:val="18"/>
        </w:rPr>
        <w:t>of</w:t>
      </w:r>
      <w:r w:rsidRPr="00EC20A0">
        <w:rPr>
          <w:spacing w:val="-3"/>
          <w:sz w:val="18"/>
        </w:rPr>
        <w:t xml:space="preserve"> </w:t>
      </w:r>
      <w:r w:rsidRPr="00EC20A0">
        <w:rPr>
          <w:sz w:val="18"/>
        </w:rPr>
        <w:t>internal</w:t>
      </w:r>
      <w:r w:rsidRPr="00EC20A0">
        <w:rPr>
          <w:spacing w:val="-3"/>
          <w:sz w:val="18"/>
        </w:rPr>
        <w:t xml:space="preserve"> </w:t>
      </w:r>
      <w:r w:rsidRPr="00EC20A0">
        <w:rPr>
          <w:sz w:val="18"/>
        </w:rPr>
        <w:t>control.</w:t>
      </w:r>
      <w:r w:rsidRPr="00EC20A0">
        <w:rPr>
          <w:spacing w:val="-3"/>
          <w:sz w:val="18"/>
        </w:rPr>
        <w:t xml:space="preserve"> </w:t>
      </w:r>
      <w:r w:rsidRPr="00EC20A0">
        <w:rPr>
          <w:sz w:val="18"/>
        </w:rPr>
        <w:t>App.</w:t>
      </w:r>
      <w:r w:rsidRPr="00EC20A0">
        <w:rPr>
          <w:spacing w:val="-3"/>
          <w:sz w:val="18"/>
        </w:rPr>
        <w:t xml:space="preserve"> </w:t>
      </w:r>
      <w:r w:rsidRPr="00EC20A0">
        <w:rPr>
          <w:sz w:val="18"/>
        </w:rPr>
        <w:t>D</w:t>
      </w:r>
      <w:r w:rsidRPr="00EC20A0">
        <w:rPr>
          <w:spacing w:val="-3"/>
          <w:sz w:val="18"/>
        </w:rPr>
        <w:t xml:space="preserve"> </w:t>
      </w:r>
      <w:r w:rsidRPr="00EC20A0">
        <w:rPr>
          <w:sz w:val="18"/>
        </w:rPr>
        <w:t>of</w:t>
      </w:r>
      <w:r w:rsidRPr="00EC20A0">
        <w:rPr>
          <w:spacing w:val="-3"/>
          <w:sz w:val="18"/>
        </w:rPr>
        <w:t xml:space="preserve"> </w:t>
      </w:r>
      <w:r w:rsidRPr="00EC20A0">
        <w:rPr>
          <w:sz w:val="18"/>
        </w:rPr>
        <w:t>OMB</w:t>
      </w:r>
      <w:r w:rsidRPr="00EC20A0">
        <w:rPr>
          <w:spacing w:val="-3"/>
          <w:sz w:val="18"/>
        </w:rPr>
        <w:t xml:space="preserve"> </w:t>
      </w:r>
      <w:r w:rsidRPr="00EC20A0">
        <w:rPr>
          <w:sz w:val="18"/>
        </w:rPr>
        <w:t xml:space="preserve">Circular No. A-123 provides information on the requirements of FFMIA and can be found at </w:t>
      </w:r>
      <w:hyperlink r:id="rId55">
        <w:r w:rsidRPr="00EC20A0">
          <w:rPr>
            <w:color w:val="0000FF"/>
            <w:sz w:val="18"/>
            <w:u w:val="single" w:color="0000FF"/>
          </w:rPr>
          <w:t>https://www.whitehouse.gov/omb/information-for-agencies/circulars/</w:t>
        </w:r>
      </w:hyperlink>
      <w:r w:rsidRPr="00EC20A0">
        <w:rPr>
          <w:color w:val="0000FF"/>
          <w:sz w:val="18"/>
        </w:rPr>
        <w:t xml:space="preserve"> </w:t>
      </w:r>
      <w:r w:rsidRPr="00EC20A0">
        <w:rPr>
          <w:sz w:val="18"/>
        </w:rPr>
        <w:t>(accessed June 3, 2024).</w:t>
      </w:r>
    </w:p>
    <w:p w14:paraId="24D60459" w14:textId="77777777" w:rsidR="00245300" w:rsidRPr="00EC20A0" w:rsidRDefault="00F17249">
      <w:pPr>
        <w:spacing w:before="124" w:line="244" w:lineRule="auto"/>
        <w:ind w:left="420" w:right="536" w:hanging="1"/>
        <w:jc w:val="both"/>
        <w:rPr>
          <w:sz w:val="18"/>
        </w:rPr>
      </w:pPr>
      <w:bookmarkStart w:id="129" w:name="_bookmark46"/>
      <w:bookmarkEnd w:id="129"/>
      <w:r w:rsidRPr="00EC20A0">
        <w:rPr>
          <w:position w:val="7"/>
          <w:sz w:val="14"/>
        </w:rPr>
        <w:t>2</w:t>
      </w:r>
      <w:r w:rsidRPr="00EC20A0">
        <w:rPr>
          <w:sz w:val="18"/>
        </w:rPr>
        <w:t>OMB</w:t>
      </w:r>
      <w:r w:rsidRPr="00EC20A0">
        <w:rPr>
          <w:spacing w:val="-2"/>
          <w:sz w:val="18"/>
        </w:rPr>
        <w:t xml:space="preserve"> </w:t>
      </w:r>
      <w:r w:rsidRPr="00EC20A0">
        <w:rPr>
          <w:sz w:val="18"/>
        </w:rPr>
        <w:t>Bulletin</w:t>
      </w:r>
      <w:r w:rsidRPr="00EC20A0">
        <w:rPr>
          <w:spacing w:val="-1"/>
          <w:sz w:val="18"/>
        </w:rPr>
        <w:t xml:space="preserve"> </w:t>
      </w:r>
      <w:r w:rsidRPr="00EC20A0">
        <w:rPr>
          <w:sz w:val="18"/>
        </w:rPr>
        <w:t>No.</w:t>
      </w:r>
      <w:r w:rsidRPr="00EC20A0">
        <w:rPr>
          <w:spacing w:val="-2"/>
          <w:sz w:val="18"/>
        </w:rPr>
        <w:t xml:space="preserve"> </w:t>
      </w:r>
      <w:r w:rsidRPr="00EC20A0">
        <w:rPr>
          <w:sz w:val="18"/>
        </w:rPr>
        <w:t>24-01,</w:t>
      </w:r>
      <w:r w:rsidRPr="00EC20A0">
        <w:rPr>
          <w:spacing w:val="-1"/>
          <w:sz w:val="18"/>
        </w:rPr>
        <w:t xml:space="preserve"> </w:t>
      </w:r>
      <w:r w:rsidRPr="00EC20A0">
        <w:rPr>
          <w:i/>
          <w:sz w:val="18"/>
        </w:rPr>
        <w:t>Audit</w:t>
      </w:r>
      <w:r w:rsidRPr="00EC20A0">
        <w:rPr>
          <w:i/>
          <w:spacing w:val="-2"/>
          <w:sz w:val="18"/>
        </w:rPr>
        <w:t xml:space="preserve"> </w:t>
      </w:r>
      <w:r w:rsidRPr="00EC20A0">
        <w:rPr>
          <w:i/>
          <w:sz w:val="18"/>
        </w:rPr>
        <w:t>Requirements</w:t>
      </w:r>
      <w:r w:rsidRPr="00EC20A0">
        <w:rPr>
          <w:i/>
          <w:spacing w:val="-2"/>
          <w:sz w:val="18"/>
        </w:rPr>
        <w:t xml:space="preserve"> </w:t>
      </w:r>
      <w:r w:rsidRPr="00EC20A0">
        <w:rPr>
          <w:i/>
          <w:sz w:val="18"/>
        </w:rPr>
        <w:t>for</w:t>
      </w:r>
      <w:r w:rsidRPr="00EC20A0">
        <w:rPr>
          <w:i/>
          <w:spacing w:val="-2"/>
          <w:sz w:val="18"/>
        </w:rPr>
        <w:t xml:space="preserve"> </w:t>
      </w:r>
      <w:r w:rsidRPr="00EC20A0">
        <w:rPr>
          <w:i/>
          <w:sz w:val="18"/>
        </w:rPr>
        <w:t>Federal</w:t>
      </w:r>
      <w:r w:rsidRPr="00EC20A0">
        <w:rPr>
          <w:i/>
          <w:spacing w:val="-2"/>
          <w:sz w:val="18"/>
        </w:rPr>
        <w:t xml:space="preserve"> </w:t>
      </w:r>
      <w:r w:rsidRPr="00EC20A0">
        <w:rPr>
          <w:i/>
          <w:sz w:val="18"/>
        </w:rPr>
        <w:t>Financial</w:t>
      </w:r>
      <w:r w:rsidRPr="00EC20A0">
        <w:rPr>
          <w:i/>
          <w:spacing w:val="-2"/>
          <w:sz w:val="18"/>
        </w:rPr>
        <w:t xml:space="preserve"> </w:t>
      </w:r>
      <w:r w:rsidRPr="00EC20A0">
        <w:rPr>
          <w:i/>
          <w:sz w:val="18"/>
        </w:rPr>
        <w:t>Statements</w:t>
      </w:r>
      <w:r w:rsidRPr="00EC20A0">
        <w:rPr>
          <w:i/>
          <w:spacing w:val="-1"/>
          <w:sz w:val="18"/>
        </w:rPr>
        <w:t xml:space="preserve"> </w:t>
      </w:r>
      <w:r w:rsidRPr="00EC20A0">
        <w:rPr>
          <w:sz w:val="18"/>
        </w:rPr>
        <w:t>(i.e.,</w:t>
      </w:r>
      <w:r w:rsidRPr="00EC20A0">
        <w:rPr>
          <w:spacing w:val="-2"/>
          <w:sz w:val="18"/>
        </w:rPr>
        <w:t xml:space="preserve"> </w:t>
      </w:r>
      <w:r w:rsidRPr="00EC20A0">
        <w:rPr>
          <w:sz w:val="18"/>
        </w:rPr>
        <w:t>OMB</w:t>
      </w:r>
      <w:r w:rsidRPr="00EC20A0">
        <w:rPr>
          <w:spacing w:val="-3"/>
          <w:sz w:val="18"/>
        </w:rPr>
        <w:t xml:space="preserve"> </w:t>
      </w:r>
      <w:r w:rsidRPr="00EC20A0">
        <w:rPr>
          <w:sz w:val="18"/>
        </w:rPr>
        <w:t>audit</w:t>
      </w:r>
      <w:r w:rsidRPr="00EC20A0">
        <w:rPr>
          <w:spacing w:val="-2"/>
          <w:sz w:val="18"/>
        </w:rPr>
        <w:t xml:space="preserve"> </w:t>
      </w:r>
      <w:r w:rsidRPr="00EC20A0">
        <w:rPr>
          <w:sz w:val="18"/>
        </w:rPr>
        <w:t>guidance),</w:t>
      </w:r>
      <w:r w:rsidRPr="00EC20A0">
        <w:rPr>
          <w:spacing w:val="-2"/>
          <w:sz w:val="18"/>
        </w:rPr>
        <w:t xml:space="preserve"> </w:t>
      </w:r>
      <w:r w:rsidRPr="00EC20A0">
        <w:rPr>
          <w:sz w:val="18"/>
        </w:rPr>
        <w:t>issued</w:t>
      </w:r>
      <w:r w:rsidRPr="00EC20A0">
        <w:rPr>
          <w:spacing w:val="-3"/>
          <w:sz w:val="18"/>
        </w:rPr>
        <w:t xml:space="preserve"> </w:t>
      </w:r>
      <w:r w:rsidRPr="00EC20A0">
        <w:rPr>
          <w:sz w:val="18"/>
        </w:rPr>
        <w:t>on October</w:t>
      </w:r>
      <w:r w:rsidRPr="00EC20A0">
        <w:rPr>
          <w:spacing w:val="-3"/>
          <w:sz w:val="18"/>
        </w:rPr>
        <w:t xml:space="preserve"> </w:t>
      </w:r>
      <w:r w:rsidRPr="00EC20A0">
        <w:rPr>
          <w:sz w:val="18"/>
        </w:rPr>
        <w:t>19,</w:t>
      </w:r>
      <w:r w:rsidRPr="00EC20A0">
        <w:rPr>
          <w:spacing w:val="-3"/>
          <w:sz w:val="18"/>
        </w:rPr>
        <w:t xml:space="preserve"> </w:t>
      </w:r>
      <w:r w:rsidRPr="00EC20A0">
        <w:rPr>
          <w:sz w:val="18"/>
        </w:rPr>
        <w:t>2023,</w:t>
      </w:r>
      <w:r w:rsidRPr="00EC20A0">
        <w:rPr>
          <w:spacing w:val="-3"/>
          <w:sz w:val="18"/>
        </w:rPr>
        <w:t xml:space="preserve"> </w:t>
      </w:r>
      <w:r w:rsidRPr="00EC20A0">
        <w:rPr>
          <w:sz w:val="18"/>
        </w:rPr>
        <w:t>provides</w:t>
      </w:r>
      <w:r w:rsidRPr="00EC20A0">
        <w:rPr>
          <w:spacing w:val="-3"/>
          <w:sz w:val="18"/>
        </w:rPr>
        <w:t xml:space="preserve"> </w:t>
      </w:r>
      <w:r w:rsidRPr="00EC20A0">
        <w:rPr>
          <w:sz w:val="18"/>
        </w:rPr>
        <w:t>additional</w:t>
      </w:r>
      <w:r w:rsidRPr="00EC20A0">
        <w:rPr>
          <w:spacing w:val="-3"/>
          <w:sz w:val="18"/>
        </w:rPr>
        <w:t xml:space="preserve"> </w:t>
      </w:r>
      <w:r w:rsidRPr="00EC20A0">
        <w:rPr>
          <w:sz w:val="18"/>
        </w:rPr>
        <w:t>information</w:t>
      </w:r>
      <w:r w:rsidRPr="00EC20A0">
        <w:rPr>
          <w:spacing w:val="-4"/>
          <w:sz w:val="18"/>
        </w:rPr>
        <w:t xml:space="preserve"> </w:t>
      </w:r>
      <w:r w:rsidRPr="00EC20A0">
        <w:rPr>
          <w:sz w:val="18"/>
        </w:rPr>
        <w:t>regarding</w:t>
      </w:r>
      <w:r w:rsidRPr="00EC20A0">
        <w:rPr>
          <w:spacing w:val="-2"/>
          <w:sz w:val="18"/>
        </w:rPr>
        <w:t xml:space="preserve"> </w:t>
      </w:r>
      <w:r w:rsidRPr="00EC20A0">
        <w:rPr>
          <w:sz w:val="18"/>
        </w:rPr>
        <w:t>FFMIA</w:t>
      </w:r>
      <w:r w:rsidRPr="00EC20A0">
        <w:rPr>
          <w:spacing w:val="-4"/>
          <w:sz w:val="18"/>
        </w:rPr>
        <w:t xml:space="preserve"> </w:t>
      </w:r>
      <w:r w:rsidRPr="00EC20A0">
        <w:rPr>
          <w:sz w:val="18"/>
        </w:rPr>
        <w:t>audit</w:t>
      </w:r>
      <w:r w:rsidRPr="00EC20A0">
        <w:rPr>
          <w:spacing w:val="-3"/>
          <w:sz w:val="18"/>
        </w:rPr>
        <w:t xml:space="preserve"> </w:t>
      </w:r>
      <w:r w:rsidRPr="00EC20A0">
        <w:rPr>
          <w:sz w:val="18"/>
        </w:rPr>
        <w:t>requirements</w:t>
      </w:r>
      <w:r w:rsidRPr="00EC20A0">
        <w:rPr>
          <w:spacing w:val="-3"/>
          <w:sz w:val="18"/>
        </w:rPr>
        <w:t xml:space="preserve"> </w:t>
      </w:r>
      <w:r w:rsidRPr="00EC20A0">
        <w:rPr>
          <w:sz w:val="18"/>
        </w:rPr>
        <w:t>and</w:t>
      </w:r>
      <w:r w:rsidRPr="00EC20A0">
        <w:rPr>
          <w:spacing w:val="-4"/>
          <w:sz w:val="18"/>
        </w:rPr>
        <w:t xml:space="preserve"> </w:t>
      </w:r>
      <w:r w:rsidRPr="00EC20A0">
        <w:rPr>
          <w:sz w:val="18"/>
        </w:rPr>
        <w:t>can</w:t>
      </w:r>
      <w:r w:rsidRPr="00EC20A0">
        <w:rPr>
          <w:spacing w:val="-4"/>
          <w:sz w:val="18"/>
        </w:rPr>
        <w:t xml:space="preserve"> </w:t>
      </w:r>
      <w:r w:rsidRPr="00EC20A0">
        <w:rPr>
          <w:sz w:val="18"/>
        </w:rPr>
        <w:t>be</w:t>
      </w:r>
      <w:r w:rsidRPr="00EC20A0">
        <w:rPr>
          <w:spacing w:val="-4"/>
          <w:sz w:val="18"/>
        </w:rPr>
        <w:t xml:space="preserve"> </w:t>
      </w:r>
      <w:r w:rsidRPr="00EC20A0">
        <w:rPr>
          <w:sz w:val="18"/>
        </w:rPr>
        <w:t>found</w:t>
      </w:r>
      <w:r w:rsidRPr="00EC20A0">
        <w:rPr>
          <w:spacing w:val="-4"/>
          <w:sz w:val="18"/>
        </w:rPr>
        <w:t xml:space="preserve"> </w:t>
      </w:r>
      <w:r w:rsidRPr="00EC20A0">
        <w:rPr>
          <w:sz w:val="18"/>
        </w:rPr>
        <w:t>on</w:t>
      </w:r>
      <w:r w:rsidRPr="00EC20A0">
        <w:rPr>
          <w:spacing w:val="-4"/>
          <w:sz w:val="18"/>
        </w:rPr>
        <w:t xml:space="preserve"> </w:t>
      </w:r>
      <w:r w:rsidRPr="00EC20A0">
        <w:rPr>
          <w:sz w:val="18"/>
        </w:rPr>
        <w:t>the</w:t>
      </w:r>
      <w:r w:rsidRPr="00EC20A0">
        <w:rPr>
          <w:spacing w:val="-4"/>
          <w:sz w:val="18"/>
        </w:rPr>
        <w:t xml:space="preserve"> </w:t>
      </w:r>
      <w:r w:rsidRPr="00EC20A0">
        <w:rPr>
          <w:sz w:val="18"/>
        </w:rPr>
        <w:t xml:space="preserve">OMB website at </w:t>
      </w:r>
      <w:hyperlink r:id="rId56">
        <w:r w:rsidRPr="00EC20A0">
          <w:rPr>
            <w:color w:val="0000FF"/>
            <w:sz w:val="18"/>
            <w:u w:val="single" w:color="0000FF"/>
          </w:rPr>
          <w:t>https://www.whitehouse.gov/omb/information-for-agencies/bulletins/</w:t>
        </w:r>
      </w:hyperlink>
      <w:r w:rsidRPr="00EC20A0">
        <w:rPr>
          <w:color w:val="0000FF"/>
          <w:sz w:val="18"/>
        </w:rPr>
        <w:t xml:space="preserve"> </w:t>
      </w:r>
      <w:r w:rsidRPr="00EC20A0">
        <w:rPr>
          <w:sz w:val="18"/>
        </w:rPr>
        <w:t>(accessed June 3, 2024).</w:t>
      </w:r>
    </w:p>
    <w:p w14:paraId="24D6045A" w14:textId="77777777" w:rsidR="00245300" w:rsidRPr="00EC20A0" w:rsidRDefault="00245300">
      <w:pPr>
        <w:spacing w:line="244" w:lineRule="auto"/>
        <w:jc w:val="both"/>
        <w:rPr>
          <w:sz w:val="18"/>
        </w:rPr>
        <w:sectPr w:rsidR="00245300" w:rsidRPr="00EC20A0">
          <w:headerReference w:type="default" r:id="rId57"/>
          <w:footerReference w:type="default" r:id="rId58"/>
          <w:pgSz w:w="12240" w:h="15840"/>
          <w:pgMar w:top="1340" w:right="940" w:bottom="940" w:left="1020" w:header="721" w:footer="757" w:gutter="0"/>
          <w:cols w:space="720"/>
        </w:sectPr>
      </w:pPr>
    </w:p>
    <w:p w14:paraId="24D6045B" w14:textId="77777777" w:rsidR="00245300" w:rsidRPr="00EC20A0" w:rsidRDefault="00F17249">
      <w:pPr>
        <w:pStyle w:val="ListParagraph"/>
        <w:numPr>
          <w:ilvl w:val="1"/>
          <w:numId w:val="12"/>
        </w:numPr>
        <w:tabs>
          <w:tab w:val="left" w:pos="2219"/>
        </w:tabs>
        <w:spacing w:before="121"/>
        <w:ind w:left="2219" w:right="511"/>
      </w:pPr>
      <w:r w:rsidRPr="00EC20A0">
        <w:t>The</w:t>
      </w:r>
      <w:r w:rsidRPr="00EC20A0">
        <w:rPr>
          <w:spacing w:val="-3"/>
        </w:rPr>
        <w:t xml:space="preserve"> </w:t>
      </w:r>
      <w:r w:rsidRPr="00EC20A0">
        <w:t>term</w:t>
      </w:r>
      <w:r w:rsidRPr="00EC20A0">
        <w:rPr>
          <w:spacing w:val="-4"/>
        </w:rPr>
        <w:t xml:space="preserve"> </w:t>
      </w:r>
      <w:r w:rsidRPr="00EC20A0">
        <w:t>financial</w:t>
      </w:r>
      <w:r w:rsidRPr="00EC20A0">
        <w:rPr>
          <w:spacing w:val="-3"/>
        </w:rPr>
        <w:t xml:space="preserve"> </w:t>
      </w:r>
      <w:r w:rsidRPr="00EC20A0">
        <w:t>system</w:t>
      </w:r>
      <w:r w:rsidRPr="00EC20A0">
        <w:rPr>
          <w:spacing w:val="-4"/>
        </w:rPr>
        <w:t xml:space="preserve"> </w:t>
      </w:r>
      <w:r w:rsidRPr="00EC20A0">
        <w:t>includes</w:t>
      </w:r>
      <w:r w:rsidRPr="00EC20A0">
        <w:rPr>
          <w:spacing w:val="-4"/>
        </w:rPr>
        <w:t xml:space="preserve"> </w:t>
      </w:r>
      <w:r w:rsidRPr="00EC20A0">
        <w:t>an</w:t>
      </w:r>
      <w:r w:rsidRPr="00EC20A0">
        <w:rPr>
          <w:spacing w:val="-3"/>
        </w:rPr>
        <w:t xml:space="preserve"> </w:t>
      </w:r>
      <w:r w:rsidRPr="00EC20A0">
        <w:t>information</w:t>
      </w:r>
      <w:r w:rsidRPr="00EC20A0">
        <w:rPr>
          <w:spacing w:val="-3"/>
        </w:rPr>
        <w:t xml:space="preserve"> </w:t>
      </w:r>
      <w:r w:rsidRPr="00EC20A0">
        <w:t>system,</w:t>
      </w:r>
      <w:hyperlink w:anchor="_bookmark47" w:history="1">
        <w:r w:rsidRPr="00EC20A0">
          <w:rPr>
            <w:position w:val="7"/>
            <w:sz w:val="14"/>
          </w:rPr>
          <w:t>3</w:t>
        </w:r>
      </w:hyperlink>
      <w:r w:rsidRPr="00EC20A0">
        <w:rPr>
          <w:spacing w:val="18"/>
          <w:position w:val="7"/>
          <w:sz w:val="14"/>
        </w:rPr>
        <w:t xml:space="preserve"> </w:t>
      </w:r>
      <w:r w:rsidRPr="00EC20A0">
        <w:t>comprising</w:t>
      </w:r>
      <w:r w:rsidRPr="00EC20A0">
        <w:rPr>
          <w:spacing w:val="-4"/>
        </w:rPr>
        <w:t xml:space="preserve"> </w:t>
      </w:r>
      <w:r w:rsidRPr="00EC20A0">
        <w:t>one</w:t>
      </w:r>
      <w:r w:rsidRPr="00EC20A0">
        <w:rPr>
          <w:spacing w:val="-3"/>
        </w:rPr>
        <w:t xml:space="preserve"> </w:t>
      </w:r>
      <w:r w:rsidRPr="00EC20A0">
        <w:t xml:space="preserve">or more software programs (commonly referred to as applications), that is used </w:t>
      </w:r>
      <w:r w:rsidRPr="00EC20A0">
        <w:rPr>
          <w:spacing w:val="-4"/>
        </w:rPr>
        <w:t>for</w:t>
      </w:r>
    </w:p>
    <w:p w14:paraId="24D6045C" w14:textId="77777777" w:rsidR="00245300" w:rsidRPr="00EC20A0" w:rsidRDefault="00F17249">
      <w:pPr>
        <w:pStyle w:val="ListParagraph"/>
        <w:numPr>
          <w:ilvl w:val="2"/>
          <w:numId w:val="12"/>
        </w:numPr>
        <w:tabs>
          <w:tab w:val="left" w:pos="2579"/>
        </w:tabs>
        <w:spacing w:before="239"/>
        <w:ind w:right="741"/>
      </w:pPr>
      <w:r w:rsidRPr="00EC20A0">
        <w:t>collecting,</w:t>
      </w:r>
      <w:r w:rsidRPr="00EC20A0">
        <w:rPr>
          <w:spacing w:val="-6"/>
        </w:rPr>
        <w:t xml:space="preserve"> </w:t>
      </w:r>
      <w:r w:rsidRPr="00EC20A0">
        <w:t>processing,</w:t>
      </w:r>
      <w:r w:rsidRPr="00EC20A0">
        <w:rPr>
          <w:spacing w:val="-8"/>
        </w:rPr>
        <w:t xml:space="preserve"> </w:t>
      </w:r>
      <w:r w:rsidRPr="00EC20A0">
        <w:t>maintaining,</w:t>
      </w:r>
      <w:r w:rsidRPr="00EC20A0">
        <w:rPr>
          <w:spacing w:val="-6"/>
        </w:rPr>
        <w:t xml:space="preserve"> </w:t>
      </w:r>
      <w:r w:rsidRPr="00EC20A0">
        <w:t>transmitting,</w:t>
      </w:r>
      <w:r w:rsidRPr="00EC20A0">
        <w:rPr>
          <w:spacing w:val="-6"/>
        </w:rPr>
        <w:t xml:space="preserve"> </w:t>
      </w:r>
      <w:r w:rsidRPr="00EC20A0">
        <w:t>or</w:t>
      </w:r>
      <w:r w:rsidRPr="00EC20A0">
        <w:rPr>
          <w:spacing w:val="-6"/>
        </w:rPr>
        <w:t xml:space="preserve"> </w:t>
      </w:r>
      <w:r w:rsidRPr="00EC20A0">
        <w:t>reporting</w:t>
      </w:r>
      <w:r w:rsidRPr="00EC20A0">
        <w:rPr>
          <w:spacing w:val="-6"/>
        </w:rPr>
        <w:t xml:space="preserve"> </w:t>
      </w:r>
      <w:r w:rsidRPr="00EC20A0">
        <w:t>data</w:t>
      </w:r>
      <w:r w:rsidRPr="00EC20A0">
        <w:rPr>
          <w:spacing w:val="-6"/>
        </w:rPr>
        <w:t xml:space="preserve"> </w:t>
      </w:r>
      <w:r w:rsidRPr="00EC20A0">
        <w:t>about financial events;</w:t>
      </w:r>
    </w:p>
    <w:p w14:paraId="24D6045D" w14:textId="77777777" w:rsidR="00245300" w:rsidRPr="00EC20A0" w:rsidRDefault="00F17249">
      <w:pPr>
        <w:pStyle w:val="ListParagraph"/>
        <w:numPr>
          <w:ilvl w:val="2"/>
          <w:numId w:val="12"/>
        </w:numPr>
        <w:tabs>
          <w:tab w:val="left" w:pos="2579"/>
        </w:tabs>
        <w:spacing w:before="238"/>
      </w:pPr>
      <w:r w:rsidRPr="00EC20A0">
        <w:t>supporting</w:t>
      </w:r>
      <w:r w:rsidRPr="00EC20A0">
        <w:rPr>
          <w:spacing w:val="-9"/>
        </w:rPr>
        <w:t xml:space="preserve"> </w:t>
      </w:r>
      <w:r w:rsidRPr="00EC20A0">
        <w:t>financial</w:t>
      </w:r>
      <w:r w:rsidRPr="00EC20A0">
        <w:rPr>
          <w:spacing w:val="-8"/>
        </w:rPr>
        <w:t xml:space="preserve"> </w:t>
      </w:r>
      <w:r w:rsidRPr="00EC20A0">
        <w:t>planning</w:t>
      </w:r>
      <w:r w:rsidRPr="00EC20A0">
        <w:rPr>
          <w:spacing w:val="-9"/>
        </w:rPr>
        <w:t xml:space="preserve"> </w:t>
      </w:r>
      <w:r w:rsidRPr="00EC20A0">
        <w:t>or</w:t>
      </w:r>
      <w:r w:rsidRPr="00EC20A0">
        <w:rPr>
          <w:spacing w:val="-8"/>
        </w:rPr>
        <w:t xml:space="preserve"> </w:t>
      </w:r>
      <w:r w:rsidRPr="00EC20A0">
        <w:t>budgeting</w:t>
      </w:r>
      <w:r w:rsidRPr="00EC20A0">
        <w:rPr>
          <w:spacing w:val="-9"/>
        </w:rPr>
        <w:t xml:space="preserve"> </w:t>
      </w:r>
      <w:r w:rsidRPr="00EC20A0">
        <w:rPr>
          <w:spacing w:val="-2"/>
        </w:rPr>
        <w:t>activities;</w:t>
      </w:r>
    </w:p>
    <w:p w14:paraId="24D6045E" w14:textId="77777777" w:rsidR="00245300" w:rsidRPr="00EC20A0" w:rsidRDefault="00F17249">
      <w:pPr>
        <w:pStyle w:val="ListParagraph"/>
        <w:numPr>
          <w:ilvl w:val="2"/>
          <w:numId w:val="12"/>
        </w:numPr>
        <w:tabs>
          <w:tab w:val="left" w:pos="2579"/>
        </w:tabs>
        <w:spacing w:before="239"/>
      </w:pPr>
      <w:r w:rsidRPr="00EC20A0">
        <w:t>accumulating</w:t>
      </w:r>
      <w:r w:rsidRPr="00EC20A0">
        <w:rPr>
          <w:spacing w:val="-10"/>
        </w:rPr>
        <w:t xml:space="preserve"> </w:t>
      </w:r>
      <w:r w:rsidRPr="00EC20A0">
        <w:t>and</w:t>
      </w:r>
      <w:r w:rsidRPr="00EC20A0">
        <w:rPr>
          <w:spacing w:val="-10"/>
        </w:rPr>
        <w:t xml:space="preserve"> </w:t>
      </w:r>
      <w:r w:rsidRPr="00EC20A0">
        <w:t>reporting</w:t>
      </w:r>
      <w:r w:rsidRPr="00EC20A0">
        <w:rPr>
          <w:spacing w:val="-9"/>
        </w:rPr>
        <w:t xml:space="preserve"> </w:t>
      </w:r>
      <w:r w:rsidRPr="00EC20A0">
        <w:t>costs</w:t>
      </w:r>
      <w:r w:rsidRPr="00EC20A0">
        <w:rPr>
          <w:spacing w:val="-10"/>
        </w:rPr>
        <w:t xml:space="preserve"> </w:t>
      </w:r>
      <w:r w:rsidRPr="00EC20A0">
        <w:t>information;</w:t>
      </w:r>
      <w:r w:rsidRPr="00EC20A0">
        <w:rPr>
          <w:spacing w:val="-9"/>
        </w:rPr>
        <w:t xml:space="preserve"> </w:t>
      </w:r>
      <w:r w:rsidRPr="00EC20A0">
        <w:rPr>
          <w:spacing w:val="-5"/>
        </w:rPr>
        <w:t>or</w:t>
      </w:r>
    </w:p>
    <w:p w14:paraId="24D6045F" w14:textId="77777777" w:rsidR="00245300" w:rsidRPr="00EC20A0" w:rsidRDefault="00F17249">
      <w:pPr>
        <w:pStyle w:val="ListParagraph"/>
        <w:numPr>
          <w:ilvl w:val="2"/>
          <w:numId w:val="12"/>
        </w:numPr>
        <w:tabs>
          <w:tab w:val="left" w:pos="2579"/>
        </w:tabs>
        <w:spacing w:before="238"/>
      </w:pPr>
      <w:r w:rsidRPr="00EC20A0">
        <w:t>supporting</w:t>
      </w:r>
      <w:r w:rsidRPr="00EC20A0">
        <w:rPr>
          <w:spacing w:val="-8"/>
        </w:rPr>
        <w:t xml:space="preserve"> </w:t>
      </w:r>
      <w:r w:rsidRPr="00EC20A0">
        <w:t>the</w:t>
      </w:r>
      <w:r w:rsidRPr="00EC20A0">
        <w:rPr>
          <w:spacing w:val="-7"/>
        </w:rPr>
        <w:t xml:space="preserve"> </w:t>
      </w:r>
      <w:r w:rsidRPr="00EC20A0">
        <w:t>preparation</w:t>
      </w:r>
      <w:r w:rsidRPr="00EC20A0">
        <w:rPr>
          <w:spacing w:val="-8"/>
        </w:rPr>
        <w:t xml:space="preserve"> </w:t>
      </w:r>
      <w:r w:rsidRPr="00EC20A0">
        <w:t>of</w:t>
      </w:r>
      <w:r w:rsidRPr="00EC20A0">
        <w:rPr>
          <w:spacing w:val="-7"/>
        </w:rPr>
        <w:t xml:space="preserve"> </w:t>
      </w:r>
      <w:r w:rsidRPr="00EC20A0">
        <w:t>financial</w:t>
      </w:r>
      <w:r w:rsidRPr="00EC20A0">
        <w:rPr>
          <w:spacing w:val="-8"/>
        </w:rPr>
        <w:t xml:space="preserve"> </w:t>
      </w:r>
      <w:r w:rsidRPr="00EC20A0">
        <w:rPr>
          <w:spacing w:val="-2"/>
        </w:rPr>
        <w:t>statements.</w:t>
      </w:r>
    </w:p>
    <w:p w14:paraId="24D60460" w14:textId="77777777" w:rsidR="00245300" w:rsidRPr="00EC20A0" w:rsidRDefault="00F17249">
      <w:pPr>
        <w:pStyle w:val="ListParagraph"/>
        <w:numPr>
          <w:ilvl w:val="1"/>
          <w:numId w:val="12"/>
        </w:numPr>
        <w:tabs>
          <w:tab w:val="left" w:pos="2219"/>
        </w:tabs>
        <w:spacing w:before="239"/>
        <w:ind w:left="2219" w:right="953"/>
        <w:rPr>
          <w:sz w:val="14"/>
        </w:rPr>
      </w:pPr>
      <w:r w:rsidRPr="00EC20A0">
        <w:t>A</w:t>
      </w:r>
      <w:r w:rsidRPr="00EC20A0">
        <w:rPr>
          <w:spacing w:val="-4"/>
        </w:rPr>
        <w:t xml:space="preserve"> </w:t>
      </w:r>
      <w:r w:rsidRPr="00EC20A0">
        <w:t>mixed</w:t>
      </w:r>
      <w:r w:rsidRPr="00EC20A0">
        <w:rPr>
          <w:spacing w:val="-4"/>
        </w:rPr>
        <w:t xml:space="preserve"> </w:t>
      </w:r>
      <w:r w:rsidRPr="00EC20A0">
        <w:t>system</w:t>
      </w:r>
      <w:r w:rsidRPr="00EC20A0">
        <w:rPr>
          <w:spacing w:val="-5"/>
        </w:rPr>
        <w:t xml:space="preserve"> </w:t>
      </w:r>
      <w:r w:rsidRPr="00EC20A0">
        <w:t>is</w:t>
      </w:r>
      <w:r w:rsidRPr="00EC20A0">
        <w:rPr>
          <w:spacing w:val="-4"/>
        </w:rPr>
        <w:t xml:space="preserve"> </w:t>
      </w:r>
      <w:r w:rsidRPr="00EC20A0">
        <w:t>an</w:t>
      </w:r>
      <w:r w:rsidRPr="00EC20A0">
        <w:rPr>
          <w:spacing w:val="-4"/>
        </w:rPr>
        <w:t xml:space="preserve"> </w:t>
      </w:r>
      <w:r w:rsidRPr="00EC20A0">
        <w:t>information</w:t>
      </w:r>
      <w:r w:rsidRPr="00EC20A0">
        <w:rPr>
          <w:spacing w:val="-4"/>
        </w:rPr>
        <w:t xml:space="preserve"> </w:t>
      </w:r>
      <w:r w:rsidRPr="00EC20A0">
        <w:t>system</w:t>
      </w:r>
      <w:r w:rsidRPr="00EC20A0">
        <w:rPr>
          <w:spacing w:val="-5"/>
        </w:rPr>
        <w:t xml:space="preserve"> </w:t>
      </w:r>
      <w:r w:rsidRPr="00EC20A0">
        <w:t>that</w:t>
      </w:r>
      <w:r w:rsidRPr="00EC20A0">
        <w:rPr>
          <w:spacing w:val="-4"/>
        </w:rPr>
        <w:t xml:space="preserve"> </w:t>
      </w:r>
      <w:r w:rsidRPr="00EC20A0">
        <w:t>supports</w:t>
      </w:r>
      <w:r w:rsidRPr="00EC20A0">
        <w:rPr>
          <w:spacing w:val="-4"/>
        </w:rPr>
        <w:t xml:space="preserve"> </w:t>
      </w:r>
      <w:r w:rsidRPr="00EC20A0">
        <w:t>both</w:t>
      </w:r>
      <w:r w:rsidRPr="00EC20A0">
        <w:rPr>
          <w:spacing w:val="-4"/>
        </w:rPr>
        <w:t xml:space="preserve"> </w:t>
      </w:r>
      <w:r w:rsidRPr="00EC20A0">
        <w:t>financial</w:t>
      </w:r>
      <w:r w:rsidRPr="00EC20A0">
        <w:rPr>
          <w:spacing w:val="-4"/>
        </w:rPr>
        <w:t xml:space="preserve"> </w:t>
      </w:r>
      <w:r w:rsidRPr="00EC20A0">
        <w:t xml:space="preserve">and nonfinancial </w:t>
      </w:r>
      <w:r w:rsidRPr="00EC20A0">
        <w:t>functions of the federal government or its components.</w:t>
      </w:r>
      <w:hyperlink w:anchor="_bookmark48" w:history="1">
        <w:r w:rsidRPr="00EC20A0">
          <w:rPr>
            <w:position w:val="7"/>
            <w:sz w:val="14"/>
          </w:rPr>
          <w:t>4</w:t>
        </w:r>
      </w:hyperlink>
    </w:p>
    <w:p w14:paraId="24D60461" w14:textId="77777777" w:rsidR="00245300" w:rsidRPr="00EC20A0" w:rsidRDefault="00245300">
      <w:pPr>
        <w:pStyle w:val="BodyText"/>
        <w:spacing w:before="48"/>
      </w:pPr>
    </w:p>
    <w:p w14:paraId="24D60462" w14:textId="77777777" w:rsidR="00245300" w:rsidRPr="00EC20A0" w:rsidRDefault="00F17249">
      <w:pPr>
        <w:pStyle w:val="Heading4"/>
        <w:spacing w:before="0"/>
      </w:pPr>
      <w:bookmarkStart w:id="130" w:name="FFMIA_Requirements"/>
      <w:bookmarkEnd w:id="130"/>
      <w:r w:rsidRPr="00EC20A0">
        <w:t>FFMIA</w:t>
      </w:r>
      <w:r w:rsidRPr="00EC20A0">
        <w:rPr>
          <w:spacing w:val="-12"/>
        </w:rPr>
        <w:t xml:space="preserve"> </w:t>
      </w:r>
      <w:r w:rsidRPr="00EC20A0">
        <w:rPr>
          <w:spacing w:val="-2"/>
        </w:rPr>
        <w:t>Requirements</w:t>
      </w:r>
    </w:p>
    <w:p w14:paraId="24D60463" w14:textId="77777777" w:rsidR="00245300" w:rsidRPr="00EC20A0" w:rsidRDefault="00F17249">
      <w:pPr>
        <w:pStyle w:val="ListParagraph"/>
        <w:numPr>
          <w:ilvl w:val="0"/>
          <w:numId w:val="12"/>
        </w:numPr>
        <w:tabs>
          <w:tab w:val="left" w:pos="1859"/>
        </w:tabs>
        <w:spacing w:before="299"/>
        <w:ind w:left="1859" w:right="661" w:hanging="720"/>
      </w:pPr>
      <w:r w:rsidRPr="00EC20A0">
        <w:t>The first requirement is addressing federal financial management systems requirements. The Department of the Treasury develops and maintains, in coordination with the Office of Management and Budget (OMB) and federal agencies, the federal financial management systems requirements.</w:t>
      </w:r>
      <w:hyperlink w:anchor="_bookmark49" w:history="1">
        <w:r w:rsidRPr="00EC20A0">
          <w:rPr>
            <w:position w:val="7"/>
            <w:sz w:val="14"/>
          </w:rPr>
          <w:t>5</w:t>
        </w:r>
      </w:hyperlink>
      <w:r w:rsidRPr="00EC20A0">
        <w:rPr>
          <w:spacing w:val="40"/>
          <w:position w:val="7"/>
          <w:sz w:val="14"/>
        </w:rPr>
        <w:t xml:space="preserve"> </w:t>
      </w:r>
      <w:r w:rsidRPr="00EC20A0">
        <w:t xml:space="preserve">Treasury publishes the </w:t>
      </w:r>
      <w:r w:rsidRPr="00EC20A0">
        <w:rPr>
          <w:i/>
        </w:rPr>
        <w:t xml:space="preserve">Federal Financial Management System Requirements </w:t>
      </w:r>
      <w:r w:rsidRPr="00EC20A0">
        <w:t xml:space="preserve">in its </w:t>
      </w:r>
      <w:r w:rsidRPr="00EC20A0">
        <w:rPr>
          <w:i/>
        </w:rPr>
        <w:t>Treasury</w:t>
      </w:r>
      <w:r w:rsidRPr="00EC20A0">
        <w:rPr>
          <w:i/>
          <w:spacing w:val="-3"/>
        </w:rPr>
        <w:t xml:space="preserve"> </w:t>
      </w:r>
      <w:r w:rsidRPr="00EC20A0">
        <w:rPr>
          <w:i/>
        </w:rPr>
        <w:t>Financial</w:t>
      </w:r>
      <w:r w:rsidRPr="00EC20A0">
        <w:rPr>
          <w:i/>
          <w:spacing w:val="-3"/>
        </w:rPr>
        <w:t xml:space="preserve"> </w:t>
      </w:r>
      <w:r w:rsidRPr="00EC20A0">
        <w:rPr>
          <w:i/>
        </w:rPr>
        <w:t>Manual</w:t>
      </w:r>
      <w:r w:rsidRPr="00EC20A0">
        <w:rPr>
          <w:i/>
          <w:spacing w:val="-2"/>
        </w:rPr>
        <w:t xml:space="preserve"> </w:t>
      </w:r>
      <w:r w:rsidRPr="00EC20A0">
        <w:t>(TFM),</w:t>
      </w:r>
      <w:r w:rsidRPr="00EC20A0">
        <w:rPr>
          <w:spacing w:val="-3"/>
        </w:rPr>
        <w:t xml:space="preserve"> </w:t>
      </w:r>
      <w:r w:rsidRPr="00EC20A0">
        <w:t>volume</w:t>
      </w:r>
      <w:r w:rsidRPr="00EC20A0">
        <w:rPr>
          <w:spacing w:val="-3"/>
        </w:rPr>
        <w:t xml:space="preserve"> </w:t>
      </w:r>
      <w:r w:rsidRPr="00EC20A0">
        <w:t>I,</w:t>
      </w:r>
      <w:r w:rsidRPr="00EC20A0">
        <w:rPr>
          <w:spacing w:val="-3"/>
        </w:rPr>
        <w:t xml:space="preserve"> </w:t>
      </w:r>
      <w:r w:rsidRPr="00EC20A0">
        <w:t>part</w:t>
      </w:r>
      <w:r w:rsidRPr="00EC20A0">
        <w:rPr>
          <w:spacing w:val="-3"/>
        </w:rPr>
        <w:t xml:space="preserve"> </w:t>
      </w:r>
      <w:r w:rsidRPr="00EC20A0">
        <w:t>6,</w:t>
      </w:r>
      <w:r w:rsidRPr="00EC20A0">
        <w:rPr>
          <w:spacing w:val="-3"/>
        </w:rPr>
        <w:t xml:space="preserve"> </w:t>
      </w:r>
      <w:r w:rsidRPr="00EC20A0">
        <w:t>chapter</w:t>
      </w:r>
      <w:r w:rsidRPr="00EC20A0">
        <w:rPr>
          <w:spacing w:val="-3"/>
        </w:rPr>
        <w:t xml:space="preserve"> </w:t>
      </w:r>
      <w:r w:rsidRPr="00EC20A0">
        <w:t>9500.</w:t>
      </w:r>
      <w:hyperlink w:anchor="_bookmark50" w:history="1">
        <w:r w:rsidRPr="00EC20A0">
          <w:rPr>
            <w:position w:val="7"/>
            <w:sz w:val="14"/>
          </w:rPr>
          <w:t>6</w:t>
        </w:r>
      </w:hyperlink>
      <w:r w:rsidRPr="00EC20A0">
        <w:rPr>
          <w:spacing w:val="18"/>
          <w:position w:val="7"/>
          <w:sz w:val="14"/>
        </w:rPr>
        <w:t xml:space="preserve"> </w:t>
      </w:r>
      <w:r w:rsidRPr="00EC20A0">
        <w:t>The</w:t>
      </w:r>
      <w:r w:rsidRPr="00EC20A0">
        <w:rPr>
          <w:spacing w:val="-3"/>
        </w:rPr>
        <w:t xml:space="preserve"> </w:t>
      </w:r>
      <w:r w:rsidRPr="00EC20A0">
        <w:t>financial management systems requirements apply to financial systems as well as administrative systems and programmatic systems that support financial management business outcomes (i.e., mixed systems).</w:t>
      </w:r>
    </w:p>
    <w:p w14:paraId="24D60464" w14:textId="77777777" w:rsidR="00245300" w:rsidRPr="00EC20A0" w:rsidRDefault="00F17249">
      <w:pPr>
        <w:pStyle w:val="ListParagraph"/>
        <w:numPr>
          <w:ilvl w:val="0"/>
          <w:numId w:val="12"/>
        </w:numPr>
        <w:tabs>
          <w:tab w:val="left" w:pos="1860"/>
        </w:tabs>
        <w:ind w:right="567" w:hanging="720"/>
      </w:pPr>
      <w:r w:rsidRPr="00EC20A0">
        <w:t>The</w:t>
      </w:r>
      <w:r w:rsidRPr="00EC20A0">
        <w:rPr>
          <w:spacing w:val="-1"/>
        </w:rPr>
        <w:t xml:space="preserve"> </w:t>
      </w:r>
      <w:r w:rsidRPr="00EC20A0">
        <w:t>second</w:t>
      </w:r>
      <w:r w:rsidRPr="00EC20A0">
        <w:rPr>
          <w:spacing w:val="-2"/>
        </w:rPr>
        <w:t xml:space="preserve"> </w:t>
      </w:r>
      <w:r w:rsidRPr="00EC20A0">
        <w:t>requirement</w:t>
      </w:r>
      <w:r w:rsidRPr="00EC20A0">
        <w:rPr>
          <w:spacing w:val="-1"/>
        </w:rPr>
        <w:t xml:space="preserve"> </w:t>
      </w:r>
      <w:r w:rsidRPr="00EC20A0">
        <w:t>is</w:t>
      </w:r>
      <w:r w:rsidRPr="00EC20A0">
        <w:rPr>
          <w:spacing w:val="-1"/>
        </w:rPr>
        <w:t xml:space="preserve"> </w:t>
      </w:r>
      <w:r w:rsidRPr="00EC20A0">
        <w:t>the</w:t>
      </w:r>
      <w:r w:rsidRPr="00EC20A0">
        <w:rPr>
          <w:spacing w:val="-1"/>
        </w:rPr>
        <w:t xml:space="preserve"> </w:t>
      </w:r>
      <w:r w:rsidRPr="00EC20A0">
        <w:t>financial</w:t>
      </w:r>
      <w:r w:rsidRPr="00EC20A0">
        <w:rPr>
          <w:spacing w:val="-1"/>
        </w:rPr>
        <w:t xml:space="preserve"> </w:t>
      </w:r>
      <w:r w:rsidRPr="00EC20A0">
        <w:t>management</w:t>
      </w:r>
      <w:r w:rsidRPr="00EC20A0">
        <w:rPr>
          <w:spacing w:val="-1"/>
        </w:rPr>
        <w:t xml:space="preserve"> </w:t>
      </w:r>
      <w:r w:rsidRPr="00EC20A0">
        <w:t>systems’</w:t>
      </w:r>
      <w:r w:rsidRPr="00EC20A0">
        <w:rPr>
          <w:spacing w:val="-1"/>
        </w:rPr>
        <w:t xml:space="preserve"> </w:t>
      </w:r>
      <w:r w:rsidRPr="00EC20A0">
        <w:t>use</w:t>
      </w:r>
      <w:r w:rsidRPr="00EC20A0">
        <w:rPr>
          <w:spacing w:val="-1"/>
        </w:rPr>
        <w:t xml:space="preserve"> </w:t>
      </w:r>
      <w:r w:rsidRPr="00EC20A0">
        <w:t>of</w:t>
      </w:r>
      <w:r w:rsidRPr="00EC20A0">
        <w:rPr>
          <w:spacing w:val="-1"/>
        </w:rPr>
        <w:t xml:space="preserve"> </w:t>
      </w:r>
      <w:r w:rsidRPr="00EC20A0">
        <w:t>applicable federal</w:t>
      </w:r>
      <w:r w:rsidRPr="00EC20A0">
        <w:rPr>
          <w:spacing w:val="-5"/>
        </w:rPr>
        <w:t xml:space="preserve"> </w:t>
      </w:r>
      <w:r w:rsidRPr="00EC20A0">
        <w:t>accounting</w:t>
      </w:r>
      <w:r w:rsidRPr="00EC20A0">
        <w:rPr>
          <w:spacing w:val="-5"/>
        </w:rPr>
        <w:t xml:space="preserve"> </w:t>
      </w:r>
      <w:r w:rsidRPr="00EC20A0">
        <w:t>standards,</w:t>
      </w:r>
      <w:r w:rsidRPr="00EC20A0">
        <w:rPr>
          <w:spacing w:val="-5"/>
        </w:rPr>
        <w:t xml:space="preserve"> </w:t>
      </w:r>
      <w:r w:rsidRPr="00EC20A0">
        <w:t>promulgated</w:t>
      </w:r>
      <w:r w:rsidRPr="00EC20A0">
        <w:rPr>
          <w:spacing w:val="-5"/>
        </w:rPr>
        <w:t xml:space="preserve"> </w:t>
      </w:r>
      <w:r w:rsidRPr="00EC20A0">
        <w:t>by</w:t>
      </w:r>
      <w:r w:rsidRPr="00EC20A0">
        <w:rPr>
          <w:spacing w:val="-4"/>
        </w:rPr>
        <w:t xml:space="preserve"> </w:t>
      </w:r>
      <w:r w:rsidRPr="00EC20A0">
        <w:t>the</w:t>
      </w:r>
      <w:r w:rsidRPr="00EC20A0">
        <w:rPr>
          <w:spacing w:val="-6"/>
        </w:rPr>
        <w:t xml:space="preserve"> </w:t>
      </w:r>
      <w:r w:rsidRPr="00EC20A0">
        <w:t>Federal</w:t>
      </w:r>
      <w:r w:rsidRPr="00EC20A0">
        <w:rPr>
          <w:spacing w:val="-5"/>
        </w:rPr>
        <w:t xml:space="preserve"> </w:t>
      </w:r>
      <w:r w:rsidRPr="00EC20A0">
        <w:t>Accounting</w:t>
      </w:r>
      <w:r w:rsidRPr="00EC20A0">
        <w:rPr>
          <w:spacing w:val="-5"/>
        </w:rPr>
        <w:t xml:space="preserve"> </w:t>
      </w:r>
      <w:r w:rsidRPr="00EC20A0">
        <w:t>Standards Advisory Board (FASAB). FASAB promulgates federal accounting standards after</w:t>
      </w:r>
      <w:r w:rsidRPr="00EC20A0">
        <w:rPr>
          <w:spacing w:val="-1"/>
        </w:rPr>
        <w:t xml:space="preserve"> </w:t>
      </w:r>
      <w:r w:rsidRPr="00EC20A0">
        <w:t>considering</w:t>
      </w:r>
      <w:r w:rsidRPr="00EC20A0">
        <w:rPr>
          <w:spacing w:val="-1"/>
        </w:rPr>
        <w:t xml:space="preserve"> </w:t>
      </w:r>
      <w:r w:rsidRPr="00EC20A0">
        <w:t>the</w:t>
      </w:r>
      <w:r w:rsidRPr="00EC20A0">
        <w:rPr>
          <w:spacing w:val="-1"/>
        </w:rPr>
        <w:t xml:space="preserve"> </w:t>
      </w:r>
      <w:r w:rsidRPr="00EC20A0">
        <w:t>financial</w:t>
      </w:r>
      <w:r w:rsidRPr="00EC20A0">
        <w:rPr>
          <w:spacing w:val="-1"/>
        </w:rPr>
        <w:t xml:space="preserve"> </w:t>
      </w:r>
      <w:r w:rsidRPr="00EC20A0">
        <w:t>and</w:t>
      </w:r>
      <w:r w:rsidRPr="00EC20A0">
        <w:rPr>
          <w:spacing w:val="-1"/>
        </w:rPr>
        <w:t xml:space="preserve"> </w:t>
      </w:r>
      <w:r w:rsidRPr="00EC20A0">
        <w:t>budgetary</w:t>
      </w:r>
      <w:r w:rsidRPr="00EC20A0">
        <w:rPr>
          <w:spacing w:val="-1"/>
        </w:rPr>
        <w:t xml:space="preserve"> </w:t>
      </w:r>
      <w:r w:rsidRPr="00EC20A0">
        <w:t>information</w:t>
      </w:r>
      <w:r w:rsidRPr="00EC20A0">
        <w:rPr>
          <w:spacing w:val="-1"/>
        </w:rPr>
        <w:t xml:space="preserve"> </w:t>
      </w:r>
      <w:r w:rsidRPr="00EC20A0">
        <w:t>needs</w:t>
      </w:r>
      <w:r w:rsidRPr="00EC20A0">
        <w:rPr>
          <w:spacing w:val="-1"/>
        </w:rPr>
        <w:t xml:space="preserve"> </w:t>
      </w:r>
      <w:r w:rsidRPr="00EC20A0">
        <w:t>of</w:t>
      </w:r>
      <w:r w:rsidRPr="00EC20A0">
        <w:rPr>
          <w:spacing w:val="-1"/>
        </w:rPr>
        <w:t xml:space="preserve"> </w:t>
      </w:r>
      <w:r w:rsidRPr="00EC20A0">
        <w:t>the Congress, executive agencies, and other users of federal financial information as well as comments from the public.</w:t>
      </w:r>
      <w:hyperlink w:anchor="_bookmark51" w:history="1">
        <w:r w:rsidRPr="00EC20A0">
          <w:rPr>
            <w:position w:val="7"/>
            <w:sz w:val="14"/>
          </w:rPr>
          <w:t>7</w:t>
        </w:r>
      </w:hyperlink>
      <w:r w:rsidRPr="00EC20A0">
        <w:rPr>
          <w:spacing w:val="34"/>
          <w:position w:val="7"/>
          <w:sz w:val="14"/>
        </w:rPr>
        <w:t xml:space="preserve"> </w:t>
      </w:r>
      <w:r w:rsidRPr="00EC20A0">
        <w:t>FAM 560 describes the relationship of the FASAB</w:t>
      </w:r>
    </w:p>
    <w:p w14:paraId="24D60465" w14:textId="77777777" w:rsidR="00245300" w:rsidRPr="00EC20A0" w:rsidRDefault="00245300">
      <w:pPr>
        <w:pStyle w:val="BodyText"/>
        <w:rPr>
          <w:sz w:val="20"/>
        </w:rPr>
      </w:pPr>
    </w:p>
    <w:p w14:paraId="24D60466" w14:textId="77777777" w:rsidR="00245300" w:rsidRPr="00EC20A0" w:rsidRDefault="00245300">
      <w:pPr>
        <w:pStyle w:val="BodyText"/>
        <w:rPr>
          <w:sz w:val="20"/>
        </w:rPr>
      </w:pPr>
    </w:p>
    <w:p w14:paraId="24D60467" w14:textId="77777777" w:rsidR="00245300" w:rsidRPr="00EC20A0" w:rsidRDefault="00F17249">
      <w:pPr>
        <w:pStyle w:val="BodyText"/>
        <w:spacing w:before="21"/>
        <w:rPr>
          <w:sz w:val="20"/>
        </w:rPr>
      </w:pPr>
      <w:r w:rsidRPr="00EC20A0">
        <w:rPr>
          <w:noProof/>
        </w:rPr>
        <mc:AlternateContent>
          <mc:Choice Requires="wps">
            <w:drawing>
              <wp:anchor distT="0" distB="0" distL="0" distR="0" simplePos="0" relativeHeight="487606272" behindDoc="1" locked="0" layoutInCell="1" allowOverlap="1" wp14:anchorId="24D62AFD" wp14:editId="24D62AFE">
                <wp:simplePos x="0" y="0"/>
                <wp:positionH relativeFrom="page">
                  <wp:posOffset>914400</wp:posOffset>
                </wp:positionH>
                <wp:positionV relativeFrom="paragraph">
                  <wp:posOffset>175166</wp:posOffset>
                </wp:positionV>
                <wp:extent cx="1828800" cy="5715"/>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1D4C66" id="Graphic 189" o:spid="_x0000_s1026" style="position:absolute;margin-left:1in;margin-top:13.8pt;width:2in;height:.4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BAMg8S3wAAAAkBAAAPAAAAAAAAAAAAAAAAAHgEAABkcnMvZG93bnJldi54&#10;bWxQSwUGAAAAAAQABADzAAAAhAUAAAAA&#10;" path="m1828800,l,,,5333r1828800,l1828800,xe" fillcolor="black" stroked="f">
                <v:path arrowok="t"/>
                <w10:wrap type="topAndBottom" anchorx="page"/>
              </v:shape>
            </w:pict>
          </mc:Fallback>
        </mc:AlternateContent>
      </w:r>
    </w:p>
    <w:p w14:paraId="24D60468" w14:textId="77777777" w:rsidR="00245300" w:rsidRPr="00EC20A0" w:rsidRDefault="00F17249">
      <w:pPr>
        <w:spacing w:before="200" w:line="249" w:lineRule="auto"/>
        <w:ind w:left="420" w:hanging="1"/>
        <w:rPr>
          <w:sz w:val="18"/>
        </w:rPr>
      </w:pPr>
      <w:bookmarkStart w:id="131" w:name="_bookmark47"/>
      <w:bookmarkEnd w:id="131"/>
      <w:r w:rsidRPr="00EC20A0">
        <w:rPr>
          <w:position w:val="7"/>
          <w:sz w:val="14"/>
        </w:rPr>
        <w:t>3</w:t>
      </w:r>
      <w:r w:rsidRPr="00EC20A0">
        <w:rPr>
          <w:sz w:val="18"/>
        </w:rPr>
        <w:t>The</w:t>
      </w:r>
      <w:r w:rsidRPr="00EC20A0">
        <w:rPr>
          <w:spacing w:val="-4"/>
          <w:sz w:val="18"/>
        </w:rPr>
        <w:t xml:space="preserve"> </w:t>
      </w:r>
      <w:r w:rsidRPr="00EC20A0">
        <w:rPr>
          <w:sz w:val="18"/>
        </w:rPr>
        <w:t>financial</w:t>
      </w:r>
      <w:r w:rsidRPr="00EC20A0">
        <w:rPr>
          <w:spacing w:val="-3"/>
          <w:sz w:val="18"/>
        </w:rPr>
        <w:t xml:space="preserve"> </w:t>
      </w:r>
      <w:r w:rsidRPr="00EC20A0">
        <w:rPr>
          <w:sz w:val="18"/>
        </w:rPr>
        <w:t>system</w:t>
      </w:r>
      <w:r w:rsidRPr="00EC20A0">
        <w:rPr>
          <w:spacing w:val="-3"/>
          <w:sz w:val="18"/>
        </w:rPr>
        <w:t xml:space="preserve"> </w:t>
      </w:r>
      <w:r w:rsidRPr="00EC20A0">
        <w:rPr>
          <w:sz w:val="18"/>
        </w:rPr>
        <w:t>consists</w:t>
      </w:r>
      <w:r w:rsidRPr="00EC20A0">
        <w:rPr>
          <w:spacing w:val="-3"/>
          <w:sz w:val="18"/>
        </w:rPr>
        <w:t xml:space="preserve"> </w:t>
      </w:r>
      <w:r w:rsidRPr="00EC20A0">
        <w:rPr>
          <w:sz w:val="18"/>
        </w:rPr>
        <w:t>of</w:t>
      </w:r>
      <w:r w:rsidRPr="00EC20A0">
        <w:rPr>
          <w:spacing w:val="-3"/>
          <w:sz w:val="18"/>
        </w:rPr>
        <w:t xml:space="preserve"> </w:t>
      </w:r>
      <w:r w:rsidRPr="00EC20A0">
        <w:rPr>
          <w:sz w:val="18"/>
        </w:rPr>
        <w:t>six</w:t>
      </w:r>
      <w:r w:rsidRPr="00EC20A0">
        <w:rPr>
          <w:spacing w:val="-3"/>
          <w:sz w:val="18"/>
        </w:rPr>
        <w:t xml:space="preserve"> </w:t>
      </w:r>
      <w:r w:rsidRPr="00EC20A0">
        <w:rPr>
          <w:sz w:val="18"/>
        </w:rPr>
        <w:t>functional</w:t>
      </w:r>
      <w:r w:rsidRPr="00EC20A0">
        <w:rPr>
          <w:spacing w:val="-3"/>
          <w:sz w:val="18"/>
        </w:rPr>
        <w:t xml:space="preserve"> </w:t>
      </w:r>
      <w:r w:rsidRPr="00EC20A0">
        <w:rPr>
          <w:sz w:val="18"/>
        </w:rPr>
        <w:t>areas:</w:t>
      </w:r>
      <w:r w:rsidRPr="00EC20A0">
        <w:rPr>
          <w:spacing w:val="-3"/>
          <w:sz w:val="18"/>
        </w:rPr>
        <w:t xml:space="preserve"> </w:t>
      </w:r>
      <w:r w:rsidRPr="00EC20A0">
        <w:rPr>
          <w:sz w:val="18"/>
        </w:rPr>
        <w:t>general</w:t>
      </w:r>
      <w:r w:rsidRPr="00EC20A0">
        <w:rPr>
          <w:spacing w:val="-3"/>
          <w:sz w:val="18"/>
        </w:rPr>
        <w:t xml:space="preserve"> </w:t>
      </w:r>
      <w:r w:rsidRPr="00EC20A0">
        <w:rPr>
          <w:sz w:val="18"/>
        </w:rPr>
        <w:t>ledger</w:t>
      </w:r>
      <w:r w:rsidRPr="00EC20A0">
        <w:rPr>
          <w:spacing w:val="-3"/>
          <w:sz w:val="18"/>
        </w:rPr>
        <w:t xml:space="preserve"> </w:t>
      </w:r>
      <w:r w:rsidRPr="00EC20A0">
        <w:rPr>
          <w:sz w:val="18"/>
        </w:rPr>
        <w:t>management,</w:t>
      </w:r>
      <w:r w:rsidRPr="00EC20A0">
        <w:rPr>
          <w:spacing w:val="-3"/>
          <w:sz w:val="18"/>
        </w:rPr>
        <w:t xml:space="preserve"> </w:t>
      </w:r>
      <w:r w:rsidRPr="00EC20A0">
        <w:rPr>
          <w:sz w:val="18"/>
        </w:rPr>
        <w:t>funds</w:t>
      </w:r>
      <w:r w:rsidRPr="00EC20A0">
        <w:rPr>
          <w:spacing w:val="-3"/>
          <w:sz w:val="18"/>
        </w:rPr>
        <w:t xml:space="preserve"> </w:t>
      </w:r>
      <w:r w:rsidRPr="00EC20A0">
        <w:rPr>
          <w:sz w:val="18"/>
        </w:rPr>
        <w:t>management,</w:t>
      </w:r>
      <w:r w:rsidRPr="00EC20A0">
        <w:rPr>
          <w:spacing w:val="-3"/>
          <w:sz w:val="18"/>
        </w:rPr>
        <w:t xml:space="preserve"> </w:t>
      </w:r>
      <w:r w:rsidRPr="00EC20A0">
        <w:rPr>
          <w:sz w:val="18"/>
        </w:rPr>
        <w:t>payment management, receivable management, cost management, and reporting.</w:t>
      </w:r>
    </w:p>
    <w:p w14:paraId="24D60469" w14:textId="77777777" w:rsidR="00245300" w:rsidRPr="00EC20A0" w:rsidRDefault="00F17249">
      <w:pPr>
        <w:spacing w:before="117" w:line="244" w:lineRule="auto"/>
        <w:ind w:left="420" w:right="562" w:hanging="1"/>
        <w:rPr>
          <w:sz w:val="18"/>
        </w:rPr>
      </w:pPr>
      <w:bookmarkStart w:id="132" w:name="_bookmark48"/>
      <w:bookmarkEnd w:id="132"/>
      <w:r w:rsidRPr="00EC20A0">
        <w:rPr>
          <w:position w:val="7"/>
          <w:sz w:val="14"/>
        </w:rPr>
        <w:t>4</w:t>
      </w:r>
      <w:r w:rsidRPr="00EC20A0">
        <w:rPr>
          <w:sz w:val="18"/>
        </w:rPr>
        <w:t xml:space="preserve">Mixed systems include payment and invoice systems, </w:t>
      </w:r>
      <w:r w:rsidRPr="00EC20A0">
        <w:rPr>
          <w:sz w:val="18"/>
        </w:rPr>
        <w:t>procurement systems, receivable systems, loan systems, grants</w:t>
      </w:r>
      <w:r w:rsidRPr="00EC20A0">
        <w:rPr>
          <w:spacing w:val="-3"/>
          <w:sz w:val="18"/>
        </w:rPr>
        <w:t xml:space="preserve"> </w:t>
      </w:r>
      <w:r w:rsidRPr="00EC20A0">
        <w:rPr>
          <w:sz w:val="18"/>
        </w:rPr>
        <w:t>systems,</w:t>
      </w:r>
      <w:r w:rsidRPr="00EC20A0">
        <w:rPr>
          <w:spacing w:val="-3"/>
          <w:sz w:val="18"/>
        </w:rPr>
        <w:t xml:space="preserve"> </w:t>
      </w:r>
      <w:r w:rsidRPr="00EC20A0">
        <w:rPr>
          <w:sz w:val="18"/>
        </w:rPr>
        <w:t>payroll</w:t>
      </w:r>
      <w:r w:rsidRPr="00EC20A0">
        <w:rPr>
          <w:spacing w:val="-3"/>
          <w:sz w:val="18"/>
        </w:rPr>
        <w:t xml:space="preserve"> </w:t>
      </w:r>
      <w:r w:rsidRPr="00EC20A0">
        <w:rPr>
          <w:sz w:val="18"/>
        </w:rPr>
        <w:t>systems,</w:t>
      </w:r>
      <w:r w:rsidRPr="00EC20A0">
        <w:rPr>
          <w:spacing w:val="-3"/>
          <w:sz w:val="18"/>
        </w:rPr>
        <w:t xml:space="preserve"> </w:t>
      </w:r>
      <w:r w:rsidRPr="00EC20A0">
        <w:rPr>
          <w:sz w:val="18"/>
        </w:rPr>
        <w:t>budget</w:t>
      </w:r>
      <w:r w:rsidRPr="00EC20A0">
        <w:rPr>
          <w:spacing w:val="-3"/>
          <w:sz w:val="18"/>
        </w:rPr>
        <w:t xml:space="preserve"> </w:t>
      </w:r>
      <w:r w:rsidRPr="00EC20A0">
        <w:rPr>
          <w:sz w:val="18"/>
        </w:rPr>
        <w:t>formulation</w:t>
      </w:r>
      <w:r w:rsidRPr="00EC20A0">
        <w:rPr>
          <w:spacing w:val="-4"/>
          <w:sz w:val="18"/>
        </w:rPr>
        <w:t xml:space="preserve"> </w:t>
      </w:r>
      <w:r w:rsidRPr="00EC20A0">
        <w:rPr>
          <w:sz w:val="18"/>
        </w:rPr>
        <w:t>systems,</w:t>
      </w:r>
      <w:r w:rsidRPr="00EC20A0">
        <w:rPr>
          <w:spacing w:val="-3"/>
          <w:sz w:val="18"/>
        </w:rPr>
        <w:t xml:space="preserve"> </w:t>
      </w:r>
      <w:r w:rsidRPr="00EC20A0">
        <w:rPr>
          <w:sz w:val="18"/>
        </w:rPr>
        <w:t>billing</w:t>
      </w:r>
      <w:r w:rsidRPr="00EC20A0">
        <w:rPr>
          <w:spacing w:val="-4"/>
          <w:sz w:val="18"/>
        </w:rPr>
        <w:t xml:space="preserve"> </w:t>
      </w:r>
      <w:r w:rsidRPr="00EC20A0">
        <w:rPr>
          <w:sz w:val="18"/>
        </w:rPr>
        <w:t>systems,</w:t>
      </w:r>
      <w:r w:rsidRPr="00EC20A0">
        <w:rPr>
          <w:spacing w:val="-3"/>
          <w:sz w:val="18"/>
        </w:rPr>
        <w:t xml:space="preserve"> </w:t>
      </w:r>
      <w:r w:rsidRPr="00EC20A0">
        <w:rPr>
          <w:sz w:val="18"/>
        </w:rPr>
        <w:t>property</w:t>
      </w:r>
      <w:r w:rsidRPr="00EC20A0">
        <w:rPr>
          <w:spacing w:val="-3"/>
          <w:sz w:val="18"/>
        </w:rPr>
        <w:t xml:space="preserve"> </w:t>
      </w:r>
      <w:r w:rsidRPr="00EC20A0">
        <w:rPr>
          <w:sz w:val="18"/>
        </w:rPr>
        <w:t>management</w:t>
      </w:r>
      <w:r w:rsidRPr="00EC20A0">
        <w:rPr>
          <w:spacing w:val="-3"/>
          <w:sz w:val="18"/>
        </w:rPr>
        <w:t xml:space="preserve"> </w:t>
      </w:r>
      <w:r w:rsidRPr="00EC20A0">
        <w:rPr>
          <w:sz w:val="18"/>
        </w:rPr>
        <w:t>systems,</w:t>
      </w:r>
      <w:r w:rsidRPr="00EC20A0">
        <w:rPr>
          <w:spacing w:val="-3"/>
          <w:sz w:val="18"/>
        </w:rPr>
        <w:t xml:space="preserve"> </w:t>
      </w:r>
      <w:r w:rsidRPr="00EC20A0">
        <w:rPr>
          <w:sz w:val="18"/>
        </w:rPr>
        <w:t xml:space="preserve">travel systems, or other mission operational systems that provide financial </w:t>
      </w:r>
      <w:r w:rsidRPr="00EC20A0">
        <w:rPr>
          <w:sz w:val="18"/>
        </w:rPr>
        <w:t>information to a financial system.</w:t>
      </w:r>
    </w:p>
    <w:p w14:paraId="24D6046A" w14:textId="77777777" w:rsidR="00245300" w:rsidRPr="00EC20A0" w:rsidRDefault="00F17249">
      <w:pPr>
        <w:spacing w:before="121" w:line="242" w:lineRule="auto"/>
        <w:ind w:left="420" w:right="656" w:hanging="1"/>
        <w:rPr>
          <w:sz w:val="18"/>
        </w:rPr>
      </w:pPr>
      <w:bookmarkStart w:id="133" w:name="_bookmark49"/>
      <w:bookmarkEnd w:id="133"/>
      <w:r w:rsidRPr="00EC20A0">
        <w:rPr>
          <w:position w:val="7"/>
          <w:sz w:val="14"/>
        </w:rPr>
        <w:t>5</w:t>
      </w:r>
      <w:r w:rsidRPr="00EC20A0">
        <w:rPr>
          <w:sz w:val="18"/>
        </w:rPr>
        <w:t>The</w:t>
      </w:r>
      <w:r w:rsidRPr="00EC20A0">
        <w:rPr>
          <w:spacing w:val="-4"/>
          <w:sz w:val="18"/>
        </w:rPr>
        <w:t xml:space="preserve"> </w:t>
      </w:r>
      <w:r w:rsidRPr="00EC20A0">
        <w:rPr>
          <w:sz w:val="18"/>
        </w:rPr>
        <w:t>initial</w:t>
      </w:r>
      <w:r w:rsidRPr="00EC20A0">
        <w:rPr>
          <w:spacing w:val="-3"/>
          <w:sz w:val="18"/>
        </w:rPr>
        <w:t xml:space="preserve"> </w:t>
      </w:r>
      <w:r w:rsidRPr="00EC20A0">
        <w:rPr>
          <w:sz w:val="18"/>
        </w:rPr>
        <w:t>set</w:t>
      </w:r>
      <w:r w:rsidRPr="00EC20A0">
        <w:rPr>
          <w:spacing w:val="-3"/>
          <w:sz w:val="18"/>
        </w:rPr>
        <w:t xml:space="preserve"> </w:t>
      </w:r>
      <w:r w:rsidRPr="00EC20A0">
        <w:rPr>
          <w:sz w:val="18"/>
        </w:rPr>
        <w:t>of</w:t>
      </w:r>
      <w:r w:rsidRPr="00EC20A0">
        <w:rPr>
          <w:spacing w:val="-3"/>
          <w:sz w:val="18"/>
        </w:rPr>
        <w:t xml:space="preserve"> </w:t>
      </w:r>
      <w:r w:rsidRPr="00EC20A0">
        <w:rPr>
          <w:sz w:val="18"/>
        </w:rPr>
        <w:t>federal</w:t>
      </w:r>
      <w:r w:rsidRPr="00EC20A0">
        <w:rPr>
          <w:spacing w:val="-3"/>
          <w:sz w:val="18"/>
        </w:rPr>
        <w:t xml:space="preserve"> </w:t>
      </w:r>
      <w:r w:rsidRPr="00EC20A0">
        <w:rPr>
          <w:sz w:val="18"/>
        </w:rPr>
        <w:t>financial</w:t>
      </w:r>
      <w:r w:rsidRPr="00EC20A0">
        <w:rPr>
          <w:spacing w:val="-3"/>
          <w:sz w:val="18"/>
        </w:rPr>
        <w:t xml:space="preserve"> </w:t>
      </w:r>
      <w:r w:rsidRPr="00EC20A0">
        <w:rPr>
          <w:sz w:val="18"/>
        </w:rPr>
        <w:t>management</w:t>
      </w:r>
      <w:r w:rsidRPr="00EC20A0">
        <w:rPr>
          <w:spacing w:val="-3"/>
          <w:sz w:val="18"/>
        </w:rPr>
        <w:t xml:space="preserve"> </w:t>
      </w:r>
      <w:r w:rsidRPr="00EC20A0">
        <w:rPr>
          <w:sz w:val="18"/>
        </w:rPr>
        <w:t>systems</w:t>
      </w:r>
      <w:r w:rsidRPr="00EC20A0">
        <w:rPr>
          <w:spacing w:val="-3"/>
          <w:sz w:val="18"/>
        </w:rPr>
        <w:t xml:space="preserve"> </w:t>
      </w:r>
      <w:r w:rsidRPr="00EC20A0">
        <w:rPr>
          <w:sz w:val="18"/>
        </w:rPr>
        <w:t>requirements</w:t>
      </w:r>
      <w:r w:rsidRPr="00EC20A0">
        <w:rPr>
          <w:spacing w:val="-3"/>
          <w:sz w:val="18"/>
        </w:rPr>
        <w:t xml:space="preserve"> </w:t>
      </w:r>
      <w:r w:rsidRPr="00EC20A0">
        <w:rPr>
          <w:sz w:val="18"/>
        </w:rPr>
        <w:t>were</w:t>
      </w:r>
      <w:r w:rsidRPr="00EC20A0">
        <w:rPr>
          <w:spacing w:val="-4"/>
          <w:sz w:val="18"/>
        </w:rPr>
        <w:t xml:space="preserve"> </w:t>
      </w:r>
      <w:r w:rsidRPr="00EC20A0">
        <w:rPr>
          <w:sz w:val="18"/>
        </w:rPr>
        <w:t>a</w:t>
      </w:r>
      <w:r w:rsidRPr="00EC20A0">
        <w:rPr>
          <w:spacing w:val="-4"/>
          <w:sz w:val="18"/>
        </w:rPr>
        <w:t xml:space="preserve"> </w:t>
      </w:r>
      <w:r w:rsidRPr="00EC20A0">
        <w:rPr>
          <w:sz w:val="18"/>
        </w:rPr>
        <w:t>series</w:t>
      </w:r>
      <w:r w:rsidRPr="00EC20A0">
        <w:rPr>
          <w:spacing w:val="-3"/>
          <w:sz w:val="18"/>
        </w:rPr>
        <w:t xml:space="preserve"> </w:t>
      </w:r>
      <w:r w:rsidRPr="00EC20A0">
        <w:rPr>
          <w:sz w:val="18"/>
        </w:rPr>
        <w:t>of</w:t>
      </w:r>
      <w:r w:rsidRPr="00EC20A0">
        <w:rPr>
          <w:spacing w:val="-3"/>
          <w:sz w:val="18"/>
        </w:rPr>
        <w:t xml:space="preserve"> </w:t>
      </w:r>
      <w:r w:rsidRPr="00EC20A0">
        <w:rPr>
          <w:sz w:val="18"/>
        </w:rPr>
        <w:t>publications</w:t>
      </w:r>
      <w:r w:rsidRPr="00EC20A0">
        <w:rPr>
          <w:spacing w:val="-3"/>
          <w:sz w:val="18"/>
        </w:rPr>
        <w:t xml:space="preserve"> </w:t>
      </w:r>
      <w:r w:rsidRPr="00EC20A0">
        <w:rPr>
          <w:sz w:val="18"/>
        </w:rPr>
        <w:t>issued</w:t>
      </w:r>
      <w:r w:rsidRPr="00EC20A0">
        <w:rPr>
          <w:spacing w:val="-2"/>
          <w:sz w:val="18"/>
        </w:rPr>
        <w:t xml:space="preserve"> </w:t>
      </w:r>
      <w:r w:rsidRPr="00EC20A0">
        <w:rPr>
          <w:sz w:val="18"/>
        </w:rPr>
        <w:t>by</w:t>
      </w:r>
      <w:r w:rsidRPr="00EC20A0">
        <w:rPr>
          <w:spacing w:val="-3"/>
          <w:sz w:val="18"/>
        </w:rPr>
        <w:t xml:space="preserve"> </w:t>
      </w:r>
      <w:r w:rsidRPr="00EC20A0">
        <w:rPr>
          <w:sz w:val="18"/>
        </w:rPr>
        <w:t xml:space="preserve">the Joint Financial Management Improvement Program. This initial set of requirements was rescinded in 2010 when OMB assigned Treasury the responsibility of developing the revised set of financial management systems </w:t>
      </w:r>
      <w:r w:rsidRPr="00EC20A0">
        <w:rPr>
          <w:spacing w:val="-2"/>
          <w:sz w:val="18"/>
        </w:rPr>
        <w:t>requirements.</w:t>
      </w:r>
    </w:p>
    <w:p w14:paraId="24D6046B" w14:textId="77777777" w:rsidR="00245300" w:rsidRPr="00EC20A0" w:rsidRDefault="00F17249">
      <w:pPr>
        <w:spacing w:before="185" w:line="244" w:lineRule="auto"/>
        <w:ind w:left="420" w:right="904"/>
        <w:rPr>
          <w:sz w:val="18"/>
        </w:rPr>
      </w:pPr>
      <w:bookmarkStart w:id="134" w:name="_bookmark50"/>
      <w:bookmarkEnd w:id="134"/>
      <w:r w:rsidRPr="00EC20A0">
        <w:rPr>
          <w:position w:val="7"/>
          <w:sz w:val="14"/>
        </w:rPr>
        <w:t>6</w:t>
      </w:r>
      <w:r w:rsidRPr="00EC20A0">
        <w:rPr>
          <w:sz w:val="18"/>
        </w:rPr>
        <w:t xml:space="preserve">The </w:t>
      </w:r>
      <w:r w:rsidRPr="00EC20A0">
        <w:rPr>
          <w:i/>
          <w:sz w:val="18"/>
        </w:rPr>
        <w:t xml:space="preserve">Federal Financial Management System Requirements </w:t>
      </w:r>
      <w:r w:rsidRPr="00EC20A0">
        <w:rPr>
          <w:sz w:val="18"/>
        </w:rPr>
        <w:t xml:space="preserve">can be found at </w:t>
      </w:r>
      <w:hyperlink r:id="rId59">
        <w:r w:rsidRPr="00EC20A0">
          <w:rPr>
            <w:color w:val="0000FF"/>
            <w:spacing w:val="-2"/>
            <w:sz w:val="18"/>
            <w:u w:val="single" w:color="0000FF"/>
          </w:rPr>
          <w:t>https://tfx.treasury.gov/volume1/part6/chapter-9500-revised-federal-financial-management-system-requirements-</w:t>
        </w:r>
      </w:hyperlink>
      <w:r w:rsidRPr="00EC20A0">
        <w:rPr>
          <w:color w:val="0000FF"/>
          <w:spacing w:val="-2"/>
          <w:sz w:val="18"/>
        </w:rPr>
        <w:t xml:space="preserve"> </w:t>
      </w:r>
      <w:hyperlink r:id="rId60">
        <w:r w:rsidRPr="00EC20A0">
          <w:rPr>
            <w:color w:val="0000FF"/>
            <w:sz w:val="18"/>
            <w:u w:val="single" w:color="0000FF"/>
          </w:rPr>
          <w:t>fisca</w:t>
        </w:r>
        <w:r w:rsidRPr="00EC20A0">
          <w:rPr>
            <w:color w:val="0000FF"/>
            <w:sz w:val="18"/>
          </w:rPr>
          <w:t>l</w:t>
        </w:r>
      </w:hyperlink>
      <w:r w:rsidRPr="00EC20A0">
        <w:rPr>
          <w:color w:val="0000FF"/>
          <w:sz w:val="18"/>
        </w:rPr>
        <w:t xml:space="preserve"> </w:t>
      </w:r>
      <w:r w:rsidRPr="00EC20A0">
        <w:rPr>
          <w:sz w:val="18"/>
        </w:rPr>
        <w:t>(accessed June 3, 2024).</w:t>
      </w:r>
    </w:p>
    <w:p w14:paraId="24D6046C" w14:textId="77777777" w:rsidR="00245300" w:rsidRPr="00EC20A0" w:rsidRDefault="00F17249">
      <w:pPr>
        <w:spacing w:before="122"/>
        <w:ind w:left="420"/>
        <w:rPr>
          <w:sz w:val="18"/>
        </w:rPr>
      </w:pPr>
      <w:bookmarkStart w:id="135" w:name="_bookmark51"/>
      <w:bookmarkEnd w:id="135"/>
      <w:r w:rsidRPr="00EC20A0">
        <w:rPr>
          <w:position w:val="7"/>
          <w:sz w:val="14"/>
        </w:rPr>
        <w:t>7</w:t>
      </w:r>
      <w:r w:rsidRPr="00EC20A0">
        <w:rPr>
          <w:sz w:val="18"/>
        </w:rPr>
        <w:t>FASAB</w:t>
      </w:r>
      <w:r w:rsidRPr="00EC20A0">
        <w:rPr>
          <w:spacing w:val="-3"/>
          <w:sz w:val="18"/>
        </w:rPr>
        <w:t xml:space="preserve"> </w:t>
      </w:r>
      <w:r w:rsidRPr="00EC20A0">
        <w:rPr>
          <w:sz w:val="18"/>
        </w:rPr>
        <w:t>standards</w:t>
      </w:r>
      <w:r w:rsidRPr="00EC20A0">
        <w:rPr>
          <w:spacing w:val="-3"/>
          <w:sz w:val="18"/>
        </w:rPr>
        <w:t xml:space="preserve"> </w:t>
      </w:r>
      <w:r w:rsidRPr="00EC20A0">
        <w:rPr>
          <w:sz w:val="18"/>
        </w:rPr>
        <w:t>can</w:t>
      </w:r>
      <w:r w:rsidRPr="00EC20A0">
        <w:rPr>
          <w:spacing w:val="-4"/>
          <w:sz w:val="18"/>
        </w:rPr>
        <w:t xml:space="preserve"> </w:t>
      </w:r>
      <w:r w:rsidRPr="00EC20A0">
        <w:rPr>
          <w:sz w:val="18"/>
        </w:rPr>
        <w:t>be</w:t>
      </w:r>
      <w:r w:rsidRPr="00EC20A0">
        <w:rPr>
          <w:spacing w:val="-4"/>
          <w:sz w:val="18"/>
        </w:rPr>
        <w:t xml:space="preserve"> </w:t>
      </w:r>
      <w:r w:rsidRPr="00EC20A0">
        <w:rPr>
          <w:sz w:val="18"/>
        </w:rPr>
        <w:t>found</w:t>
      </w:r>
      <w:r w:rsidRPr="00EC20A0">
        <w:rPr>
          <w:spacing w:val="-3"/>
          <w:sz w:val="18"/>
        </w:rPr>
        <w:t xml:space="preserve"> </w:t>
      </w:r>
      <w:r w:rsidRPr="00EC20A0">
        <w:rPr>
          <w:sz w:val="18"/>
        </w:rPr>
        <w:t>at</w:t>
      </w:r>
      <w:r w:rsidRPr="00EC20A0">
        <w:rPr>
          <w:spacing w:val="-3"/>
          <w:sz w:val="18"/>
        </w:rPr>
        <w:t xml:space="preserve"> </w:t>
      </w:r>
      <w:hyperlink r:id="rId61">
        <w:r w:rsidRPr="00EC20A0">
          <w:rPr>
            <w:color w:val="0000FF"/>
            <w:sz w:val="18"/>
            <w:u w:val="single" w:color="0000FF"/>
          </w:rPr>
          <w:t>https://fasab.gov/</w:t>
        </w:r>
      </w:hyperlink>
      <w:r w:rsidRPr="00EC20A0">
        <w:rPr>
          <w:color w:val="0000FF"/>
          <w:spacing w:val="-2"/>
          <w:sz w:val="18"/>
        </w:rPr>
        <w:t xml:space="preserve"> </w:t>
      </w:r>
      <w:r w:rsidRPr="00EC20A0">
        <w:rPr>
          <w:sz w:val="18"/>
        </w:rPr>
        <w:t>(accessed</w:t>
      </w:r>
      <w:r w:rsidRPr="00EC20A0">
        <w:rPr>
          <w:spacing w:val="-3"/>
          <w:sz w:val="18"/>
        </w:rPr>
        <w:t xml:space="preserve"> </w:t>
      </w:r>
      <w:r w:rsidRPr="00EC20A0">
        <w:rPr>
          <w:sz w:val="18"/>
        </w:rPr>
        <w:t>June</w:t>
      </w:r>
      <w:r w:rsidRPr="00EC20A0">
        <w:rPr>
          <w:spacing w:val="-4"/>
          <w:sz w:val="18"/>
        </w:rPr>
        <w:t xml:space="preserve"> </w:t>
      </w:r>
      <w:r w:rsidRPr="00EC20A0">
        <w:rPr>
          <w:sz w:val="18"/>
        </w:rPr>
        <w:t>3,</w:t>
      </w:r>
      <w:r w:rsidRPr="00EC20A0">
        <w:rPr>
          <w:spacing w:val="-2"/>
          <w:sz w:val="18"/>
        </w:rPr>
        <w:t xml:space="preserve"> 2024).</w:t>
      </w:r>
    </w:p>
    <w:p w14:paraId="24D6046D" w14:textId="77777777" w:rsidR="00245300" w:rsidRPr="00EC20A0" w:rsidRDefault="00245300">
      <w:pPr>
        <w:rPr>
          <w:sz w:val="18"/>
        </w:rPr>
        <w:sectPr w:rsidR="00245300" w:rsidRPr="00EC20A0">
          <w:headerReference w:type="default" r:id="rId62"/>
          <w:footerReference w:type="default" r:id="rId63"/>
          <w:pgSz w:w="12240" w:h="15840"/>
          <w:pgMar w:top="1340" w:right="940" w:bottom="940" w:left="1020" w:header="721" w:footer="757" w:gutter="0"/>
          <w:pgNumType w:start="2"/>
          <w:cols w:space="720"/>
        </w:sectPr>
      </w:pPr>
    </w:p>
    <w:p w14:paraId="24D6046E" w14:textId="77777777" w:rsidR="00245300" w:rsidRPr="00EC20A0" w:rsidRDefault="00F17249">
      <w:pPr>
        <w:pStyle w:val="BodyText"/>
        <w:spacing w:before="121"/>
        <w:ind w:left="1860"/>
      </w:pPr>
      <w:r w:rsidRPr="00EC20A0">
        <w:t>standards</w:t>
      </w:r>
      <w:r w:rsidRPr="00EC20A0">
        <w:rPr>
          <w:spacing w:val="-4"/>
        </w:rPr>
        <w:t xml:space="preserve"> </w:t>
      </w:r>
      <w:r w:rsidRPr="00EC20A0">
        <w:t>to</w:t>
      </w:r>
      <w:r w:rsidRPr="00EC20A0">
        <w:rPr>
          <w:spacing w:val="-5"/>
        </w:rPr>
        <w:t xml:space="preserve"> </w:t>
      </w:r>
      <w:r w:rsidRPr="00EC20A0">
        <w:t>the</w:t>
      </w:r>
      <w:r w:rsidRPr="00EC20A0">
        <w:rPr>
          <w:spacing w:val="-4"/>
        </w:rPr>
        <w:t xml:space="preserve"> </w:t>
      </w:r>
      <w:r w:rsidRPr="00EC20A0">
        <w:t>hierarchy</w:t>
      </w:r>
      <w:r w:rsidRPr="00EC20A0">
        <w:rPr>
          <w:spacing w:val="-4"/>
        </w:rPr>
        <w:t xml:space="preserve"> </w:t>
      </w:r>
      <w:r w:rsidRPr="00EC20A0">
        <w:t>of</w:t>
      </w:r>
      <w:r w:rsidRPr="00EC20A0">
        <w:rPr>
          <w:spacing w:val="-4"/>
        </w:rPr>
        <w:t xml:space="preserve"> </w:t>
      </w:r>
      <w:r w:rsidRPr="00EC20A0">
        <w:t>U.S.</w:t>
      </w:r>
      <w:r w:rsidRPr="00EC20A0">
        <w:rPr>
          <w:spacing w:val="-4"/>
        </w:rPr>
        <w:t xml:space="preserve"> </w:t>
      </w:r>
      <w:r w:rsidRPr="00EC20A0">
        <w:t>generally</w:t>
      </w:r>
      <w:r w:rsidRPr="00EC20A0">
        <w:rPr>
          <w:spacing w:val="-4"/>
        </w:rPr>
        <w:t xml:space="preserve"> </w:t>
      </w:r>
      <w:r w:rsidRPr="00EC20A0">
        <w:t>accepted</w:t>
      </w:r>
      <w:r w:rsidRPr="00EC20A0">
        <w:rPr>
          <w:spacing w:val="-4"/>
        </w:rPr>
        <w:t xml:space="preserve"> </w:t>
      </w:r>
      <w:r w:rsidRPr="00EC20A0">
        <w:t>accounting</w:t>
      </w:r>
      <w:r w:rsidRPr="00EC20A0">
        <w:rPr>
          <w:spacing w:val="-4"/>
        </w:rPr>
        <w:t xml:space="preserve"> </w:t>
      </w:r>
      <w:r w:rsidRPr="00EC20A0">
        <w:t>principles</w:t>
      </w:r>
      <w:r w:rsidRPr="00EC20A0">
        <w:rPr>
          <w:spacing w:val="-3"/>
        </w:rPr>
        <w:t xml:space="preserve"> </w:t>
      </w:r>
      <w:r w:rsidRPr="00EC20A0">
        <w:t xml:space="preserve">(U.S. </w:t>
      </w:r>
      <w:r w:rsidRPr="00EC20A0">
        <w:rPr>
          <w:spacing w:val="-2"/>
        </w:rPr>
        <w:t>GAAP).</w:t>
      </w:r>
    </w:p>
    <w:p w14:paraId="24D6046F" w14:textId="77777777" w:rsidR="00245300" w:rsidRPr="00EC20A0" w:rsidRDefault="00F17249">
      <w:pPr>
        <w:pStyle w:val="ListParagraph"/>
        <w:numPr>
          <w:ilvl w:val="0"/>
          <w:numId w:val="12"/>
        </w:numPr>
        <w:tabs>
          <w:tab w:val="left" w:pos="1860"/>
        </w:tabs>
        <w:spacing w:before="239"/>
        <w:ind w:right="749"/>
      </w:pPr>
      <w:r w:rsidRPr="00EC20A0">
        <w:t>The third requirement is implementing the USSGL at the transaction</w:t>
      </w:r>
      <w:r w:rsidRPr="00EC20A0">
        <w:rPr>
          <w:spacing w:val="-1"/>
        </w:rPr>
        <w:t xml:space="preserve"> </w:t>
      </w:r>
      <w:r w:rsidRPr="00EC20A0">
        <w:t xml:space="preserve">level. The USSGL </w:t>
      </w:r>
      <w:r w:rsidRPr="00EC20A0">
        <w:t>provides a uniform chart of accounts and guidance for standardizing federal agency accounting and supports the preparation of standard external reports required by OMB and Treasury. The USSGL is defined in the latest supplement,</w:t>
      </w:r>
      <w:r w:rsidRPr="00EC20A0">
        <w:rPr>
          <w:spacing w:val="-3"/>
        </w:rPr>
        <w:t xml:space="preserve"> </w:t>
      </w:r>
      <w:r w:rsidRPr="00EC20A0">
        <w:t>which</w:t>
      </w:r>
      <w:r w:rsidRPr="00EC20A0">
        <w:rPr>
          <w:spacing w:val="-3"/>
        </w:rPr>
        <w:t xml:space="preserve"> </w:t>
      </w:r>
      <w:r w:rsidRPr="00EC20A0">
        <w:t>is</w:t>
      </w:r>
      <w:r w:rsidRPr="00EC20A0">
        <w:rPr>
          <w:spacing w:val="-3"/>
        </w:rPr>
        <w:t xml:space="preserve"> </w:t>
      </w:r>
      <w:r w:rsidRPr="00EC20A0">
        <w:t>released</w:t>
      </w:r>
      <w:r w:rsidRPr="00EC20A0">
        <w:rPr>
          <w:spacing w:val="-3"/>
        </w:rPr>
        <w:t xml:space="preserve"> </w:t>
      </w:r>
      <w:r w:rsidRPr="00EC20A0">
        <w:t>annually</w:t>
      </w:r>
      <w:r w:rsidRPr="00EC20A0">
        <w:rPr>
          <w:spacing w:val="-3"/>
        </w:rPr>
        <w:t xml:space="preserve"> </w:t>
      </w:r>
      <w:r w:rsidRPr="00EC20A0">
        <w:t>in</w:t>
      </w:r>
      <w:r w:rsidRPr="00EC20A0">
        <w:rPr>
          <w:spacing w:val="-2"/>
        </w:rPr>
        <w:t xml:space="preserve"> </w:t>
      </w:r>
      <w:r w:rsidRPr="00EC20A0">
        <w:t>Treasury’s</w:t>
      </w:r>
      <w:r w:rsidRPr="00EC20A0">
        <w:rPr>
          <w:spacing w:val="-3"/>
        </w:rPr>
        <w:t xml:space="preserve"> </w:t>
      </w:r>
      <w:r w:rsidRPr="00EC20A0">
        <w:t>TFM.</w:t>
      </w:r>
      <w:hyperlink w:anchor="_bookmark52" w:history="1">
        <w:r w:rsidRPr="00EC20A0">
          <w:rPr>
            <w:position w:val="7"/>
            <w:sz w:val="14"/>
          </w:rPr>
          <w:t>8</w:t>
        </w:r>
      </w:hyperlink>
      <w:r w:rsidRPr="00EC20A0">
        <w:rPr>
          <w:spacing w:val="18"/>
          <w:position w:val="7"/>
          <w:sz w:val="14"/>
        </w:rPr>
        <w:t xml:space="preserve"> </w:t>
      </w:r>
      <w:r w:rsidRPr="00EC20A0">
        <w:t>The</w:t>
      </w:r>
      <w:r w:rsidRPr="00EC20A0">
        <w:rPr>
          <w:spacing w:val="-3"/>
        </w:rPr>
        <w:t xml:space="preserve"> </w:t>
      </w:r>
      <w:r w:rsidRPr="00EC20A0">
        <w:t>supplement</w:t>
      </w:r>
      <w:r w:rsidRPr="00EC20A0">
        <w:rPr>
          <w:spacing w:val="-3"/>
        </w:rPr>
        <w:t xml:space="preserve"> </w:t>
      </w:r>
      <w:r w:rsidRPr="00EC20A0">
        <w:t>is composed of the following major sections:</w:t>
      </w:r>
    </w:p>
    <w:p w14:paraId="24D60470" w14:textId="77777777" w:rsidR="00245300" w:rsidRPr="00EC20A0" w:rsidRDefault="00F17249">
      <w:pPr>
        <w:pStyle w:val="ListParagraph"/>
        <w:numPr>
          <w:ilvl w:val="0"/>
          <w:numId w:val="181"/>
        </w:numPr>
        <w:tabs>
          <w:tab w:val="left" w:pos="2219"/>
        </w:tabs>
      </w:pPr>
      <w:r w:rsidRPr="00EC20A0">
        <w:t>chart</w:t>
      </w:r>
      <w:r w:rsidRPr="00EC20A0">
        <w:rPr>
          <w:spacing w:val="-4"/>
        </w:rPr>
        <w:t xml:space="preserve"> </w:t>
      </w:r>
      <w:r w:rsidRPr="00EC20A0">
        <w:t>of</w:t>
      </w:r>
      <w:r w:rsidRPr="00EC20A0">
        <w:rPr>
          <w:spacing w:val="-3"/>
        </w:rPr>
        <w:t xml:space="preserve"> </w:t>
      </w:r>
      <w:r w:rsidRPr="00EC20A0">
        <w:rPr>
          <w:spacing w:val="-2"/>
        </w:rPr>
        <w:t>accounts,</w:t>
      </w:r>
    </w:p>
    <w:p w14:paraId="24D60471" w14:textId="77777777" w:rsidR="00245300" w:rsidRPr="00EC20A0" w:rsidRDefault="00F17249">
      <w:pPr>
        <w:pStyle w:val="ListParagraph"/>
        <w:numPr>
          <w:ilvl w:val="0"/>
          <w:numId w:val="181"/>
        </w:numPr>
        <w:tabs>
          <w:tab w:val="left" w:pos="2219"/>
        </w:tabs>
        <w:spacing w:before="239"/>
      </w:pPr>
      <w:r w:rsidRPr="00EC20A0">
        <w:t>accounts</w:t>
      </w:r>
      <w:r w:rsidRPr="00EC20A0">
        <w:rPr>
          <w:spacing w:val="-7"/>
        </w:rPr>
        <w:t xml:space="preserve"> </w:t>
      </w:r>
      <w:r w:rsidRPr="00EC20A0">
        <w:t>and</w:t>
      </w:r>
      <w:r w:rsidRPr="00EC20A0">
        <w:rPr>
          <w:spacing w:val="-7"/>
        </w:rPr>
        <w:t xml:space="preserve"> </w:t>
      </w:r>
      <w:r w:rsidRPr="00EC20A0">
        <w:rPr>
          <w:spacing w:val="-2"/>
        </w:rPr>
        <w:t>definitions,</w:t>
      </w:r>
    </w:p>
    <w:p w14:paraId="24D60472" w14:textId="77777777" w:rsidR="00245300" w:rsidRPr="00EC20A0" w:rsidRDefault="00F17249">
      <w:pPr>
        <w:pStyle w:val="ListParagraph"/>
        <w:numPr>
          <w:ilvl w:val="0"/>
          <w:numId w:val="181"/>
        </w:numPr>
        <w:tabs>
          <w:tab w:val="left" w:pos="2219"/>
        </w:tabs>
        <w:spacing w:before="238"/>
      </w:pPr>
      <w:r w:rsidRPr="00EC20A0">
        <w:t>account</w:t>
      </w:r>
      <w:r w:rsidRPr="00EC20A0">
        <w:rPr>
          <w:spacing w:val="-8"/>
        </w:rPr>
        <w:t xml:space="preserve"> </w:t>
      </w:r>
      <w:r w:rsidRPr="00EC20A0">
        <w:rPr>
          <w:spacing w:val="-2"/>
        </w:rPr>
        <w:t>transactions,</w:t>
      </w:r>
    </w:p>
    <w:p w14:paraId="24D60473" w14:textId="77777777" w:rsidR="00245300" w:rsidRPr="00EC20A0" w:rsidRDefault="00F17249">
      <w:pPr>
        <w:pStyle w:val="ListParagraph"/>
        <w:numPr>
          <w:ilvl w:val="0"/>
          <w:numId w:val="181"/>
        </w:numPr>
        <w:tabs>
          <w:tab w:val="left" w:pos="2219"/>
        </w:tabs>
        <w:spacing w:before="238"/>
        <w:ind w:right="952"/>
      </w:pPr>
      <w:r w:rsidRPr="00EC20A0">
        <w:t>account</w:t>
      </w:r>
      <w:r w:rsidRPr="00EC20A0">
        <w:rPr>
          <w:spacing w:val="-5"/>
        </w:rPr>
        <w:t xml:space="preserve"> </w:t>
      </w:r>
      <w:r w:rsidRPr="00EC20A0">
        <w:t>attributes</w:t>
      </w:r>
      <w:r w:rsidRPr="00EC20A0">
        <w:rPr>
          <w:spacing w:val="-5"/>
        </w:rPr>
        <w:t xml:space="preserve"> </w:t>
      </w:r>
      <w:r w:rsidRPr="00EC20A0">
        <w:t>for</w:t>
      </w:r>
      <w:r w:rsidRPr="00EC20A0">
        <w:rPr>
          <w:spacing w:val="-5"/>
        </w:rPr>
        <w:t xml:space="preserve"> </w:t>
      </w:r>
      <w:r w:rsidRPr="00EC20A0">
        <w:t>USSGL</w:t>
      </w:r>
      <w:r w:rsidRPr="00EC20A0">
        <w:rPr>
          <w:spacing w:val="-5"/>
        </w:rPr>
        <w:t xml:space="preserve"> </w:t>
      </w:r>
      <w:r w:rsidRPr="00EC20A0">
        <w:t>proprietary</w:t>
      </w:r>
      <w:r w:rsidRPr="00EC20A0">
        <w:rPr>
          <w:spacing w:val="-5"/>
        </w:rPr>
        <w:t xml:space="preserve"> </w:t>
      </w:r>
      <w:r w:rsidRPr="00EC20A0">
        <w:t>account</w:t>
      </w:r>
      <w:r w:rsidRPr="00EC20A0">
        <w:rPr>
          <w:spacing w:val="-6"/>
        </w:rPr>
        <w:t xml:space="preserve"> </w:t>
      </w:r>
      <w:r w:rsidRPr="00EC20A0">
        <w:t>and</w:t>
      </w:r>
      <w:r w:rsidRPr="00EC20A0">
        <w:rPr>
          <w:spacing w:val="-5"/>
        </w:rPr>
        <w:t xml:space="preserve"> </w:t>
      </w:r>
      <w:r w:rsidRPr="00EC20A0">
        <w:t>budgetary</w:t>
      </w:r>
      <w:r w:rsidRPr="00EC20A0">
        <w:rPr>
          <w:spacing w:val="-5"/>
        </w:rPr>
        <w:t xml:space="preserve"> </w:t>
      </w:r>
      <w:r w:rsidRPr="00EC20A0">
        <w:t xml:space="preserve">account </w:t>
      </w:r>
      <w:r w:rsidRPr="00EC20A0">
        <w:rPr>
          <w:spacing w:val="-2"/>
        </w:rPr>
        <w:t>reporting,</w:t>
      </w:r>
    </w:p>
    <w:p w14:paraId="24D60474" w14:textId="77777777" w:rsidR="00245300" w:rsidRPr="00EC20A0" w:rsidRDefault="00F17249">
      <w:pPr>
        <w:pStyle w:val="ListParagraph"/>
        <w:numPr>
          <w:ilvl w:val="0"/>
          <w:numId w:val="181"/>
        </w:numPr>
        <w:tabs>
          <w:tab w:val="left" w:pos="2219"/>
        </w:tabs>
        <w:spacing w:before="238"/>
      </w:pPr>
      <w:r w:rsidRPr="00EC20A0">
        <w:t>crosswalks</w:t>
      </w:r>
      <w:r w:rsidRPr="00EC20A0">
        <w:rPr>
          <w:spacing w:val="-9"/>
        </w:rPr>
        <w:t xml:space="preserve"> </w:t>
      </w:r>
      <w:r w:rsidRPr="00EC20A0">
        <w:t>to</w:t>
      </w:r>
      <w:r w:rsidRPr="00EC20A0">
        <w:rPr>
          <w:spacing w:val="-9"/>
        </w:rPr>
        <w:t xml:space="preserve"> </w:t>
      </w:r>
      <w:r w:rsidRPr="00EC20A0">
        <w:t>standard</w:t>
      </w:r>
      <w:r w:rsidRPr="00EC20A0">
        <w:rPr>
          <w:spacing w:val="-9"/>
        </w:rPr>
        <w:t xml:space="preserve"> </w:t>
      </w:r>
      <w:r w:rsidRPr="00EC20A0">
        <w:t>external</w:t>
      </w:r>
      <w:r w:rsidRPr="00EC20A0">
        <w:rPr>
          <w:spacing w:val="-8"/>
        </w:rPr>
        <w:t xml:space="preserve"> </w:t>
      </w:r>
      <w:r w:rsidRPr="00EC20A0">
        <w:t>reports</w:t>
      </w:r>
      <w:r w:rsidRPr="00EC20A0">
        <w:rPr>
          <w:spacing w:val="-9"/>
        </w:rPr>
        <w:t xml:space="preserve"> </w:t>
      </w:r>
      <w:r w:rsidRPr="00EC20A0">
        <w:t>and</w:t>
      </w:r>
      <w:r w:rsidRPr="00EC20A0">
        <w:rPr>
          <w:spacing w:val="-9"/>
        </w:rPr>
        <w:t xml:space="preserve"> </w:t>
      </w:r>
      <w:r w:rsidRPr="00EC20A0">
        <w:t>reclassified</w:t>
      </w:r>
      <w:r w:rsidRPr="00EC20A0">
        <w:rPr>
          <w:spacing w:val="-10"/>
        </w:rPr>
        <w:t xml:space="preserve"> </w:t>
      </w:r>
      <w:r w:rsidRPr="00EC20A0">
        <w:t>statements,</w:t>
      </w:r>
      <w:r w:rsidRPr="00EC20A0">
        <w:rPr>
          <w:spacing w:val="-8"/>
        </w:rPr>
        <w:t xml:space="preserve"> </w:t>
      </w:r>
      <w:r w:rsidRPr="00EC20A0">
        <w:rPr>
          <w:spacing w:val="-5"/>
        </w:rPr>
        <w:t>and</w:t>
      </w:r>
    </w:p>
    <w:p w14:paraId="24D60475" w14:textId="77777777" w:rsidR="00245300" w:rsidRPr="00EC20A0" w:rsidRDefault="00F17249">
      <w:pPr>
        <w:pStyle w:val="ListParagraph"/>
        <w:numPr>
          <w:ilvl w:val="0"/>
          <w:numId w:val="181"/>
        </w:numPr>
        <w:tabs>
          <w:tab w:val="left" w:pos="2219"/>
        </w:tabs>
        <w:spacing w:before="238"/>
      </w:pPr>
      <w:r w:rsidRPr="00EC20A0">
        <w:t>validations</w:t>
      </w:r>
      <w:r w:rsidRPr="00EC20A0">
        <w:rPr>
          <w:spacing w:val="-6"/>
        </w:rPr>
        <w:t xml:space="preserve"> </w:t>
      </w:r>
      <w:r w:rsidRPr="00EC20A0">
        <w:t>and</w:t>
      </w:r>
      <w:r w:rsidRPr="00EC20A0">
        <w:rPr>
          <w:spacing w:val="-6"/>
        </w:rPr>
        <w:t xml:space="preserve"> </w:t>
      </w:r>
      <w:r w:rsidRPr="00EC20A0">
        <w:t>edits</w:t>
      </w:r>
      <w:r w:rsidRPr="00EC20A0">
        <w:rPr>
          <w:spacing w:val="-6"/>
        </w:rPr>
        <w:t xml:space="preserve"> </w:t>
      </w:r>
      <w:r w:rsidRPr="00EC20A0">
        <w:t>for</w:t>
      </w:r>
      <w:r w:rsidRPr="00EC20A0">
        <w:rPr>
          <w:spacing w:val="-6"/>
        </w:rPr>
        <w:t xml:space="preserve"> </w:t>
      </w:r>
      <w:r w:rsidRPr="00EC20A0">
        <w:t>fiscal</w:t>
      </w:r>
      <w:r w:rsidRPr="00EC20A0">
        <w:rPr>
          <w:spacing w:val="-6"/>
        </w:rPr>
        <w:t xml:space="preserve"> </w:t>
      </w:r>
      <w:r w:rsidRPr="00EC20A0">
        <w:rPr>
          <w:spacing w:val="-2"/>
        </w:rPr>
        <w:t>reporting.</w:t>
      </w:r>
    </w:p>
    <w:p w14:paraId="24D60476" w14:textId="77777777" w:rsidR="00245300" w:rsidRPr="00EC20A0" w:rsidRDefault="00245300">
      <w:pPr>
        <w:pStyle w:val="BodyText"/>
        <w:spacing w:before="46"/>
      </w:pPr>
    </w:p>
    <w:p w14:paraId="24D60477" w14:textId="77777777" w:rsidR="00245300" w:rsidRPr="00EC20A0" w:rsidRDefault="00F17249">
      <w:pPr>
        <w:pStyle w:val="Heading4"/>
        <w:spacing w:before="0"/>
      </w:pPr>
      <w:bookmarkStart w:id="136" w:name="Auditor’s_FFMIA_Reporting_Requirements"/>
      <w:bookmarkEnd w:id="136"/>
      <w:r w:rsidRPr="00EC20A0">
        <w:t>Auditor’s</w:t>
      </w:r>
      <w:r w:rsidRPr="00EC20A0">
        <w:rPr>
          <w:spacing w:val="-15"/>
        </w:rPr>
        <w:t xml:space="preserve"> </w:t>
      </w:r>
      <w:r w:rsidRPr="00EC20A0">
        <w:t>FFMIA</w:t>
      </w:r>
      <w:r w:rsidRPr="00EC20A0">
        <w:rPr>
          <w:spacing w:val="-13"/>
        </w:rPr>
        <w:t xml:space="preserve"> </w:t>
      </w:r>
      <w:r w:rsidRPr="00EC20A0">
        <w:t>Reporting</w:t>
      </w:r>
      <w:r w:rsidRPr="00EC20A0">
        <w:rPr>
          <w:spacing w:val="-16"/>
        </w:rPr>
        <w:t xml:space="preserve"> </w:t>
      </w:r>
      <w:r w:rsidRPr="00EC20A0">
        <w:rPr>
          <w:spacing w:val="-2"/>
        </w:rPr>
        <w:t>Requirements</w:t>
      </w:r>
    </w:p>
    <w:p w14:paraId="24D60478" w14:textId="77777777" w:rsidR="00245300" w:rsidRPr="00EC20A0" w:rsidRDefault="00F17249">
      <w:pPr>
        <w:pStyle w:val="ListParagraph"/>
        <w:numPr>
          <w:ilvl w:val="0"/>
          <w:numId w:val="12"/>
        </w:numPr>
        <w:tabs>
          <w:tab w:val="left" w:pos="1860"/>
        </w:tabs>
        <w:spacing w:before="300"/>
        <w:ind w:right="529"/>
      </w:pPr>
      <w:r w:rsidRPr="00EC20A0">
        <w:t xml:space="preserve">For CFO Act agencies, which are subject to FFMIA, the </w:t>
      </w:r>
      <w:r w:rsidRPr="00EC20A0">
        <w:t>auditor reports on whether the agency’s financial management systems comply substantially with the three FFMIA requirements.</w:t>
      </w:r>
      <w:hyperlink w:anchor="_bookmark53" w:history="1">
        <w:r w:rsidRPr="00EC20A0">
          <w:rPr>
            <w:position w:val="7"/>
            <w:sz w:val="14"/>
          </w:rPr>
          <w:t>9</w:t>
        </w:r>
      </w:hyperlink>
      <w:r w:rsidRPr="00EC20A0">
        <w:rPr>
          <w:spacing w:val="36"/>
          <w:position w:val="7"/>
          <w:sz w:val="14"/>
        </w:rPr>
        <w:t xml:space="preserve"> </w:t>
      </w:r>
      <w:r w:rsidRPr="00EC20A0">
        <w:t>The auditor who reports that agency financial management</w:t>
      </w:r>
      <w:r w:rsidRPr="00EC20A0">
        <w:rPr>
          <w:spacing w:val="-4"/>
        </w:rPr>
        <w:t xml:space="preserve"> </w:t>
      </w:r>
      <w:r w:rsidRPr="00EC20A0">
        <w:t>systems</w:t>
      </w:r>
      <w:r w:rsidRPr="00EC20A0">
        <w:rPr>
          <w:spacing w:val="-4"/>
        </w:rPr>
        <w:t xml:space="preserve"> </w:t>
      </w:r>
      <w:r w:rsidRPr="00EC20A0">
        <w:t>do</w:t>
      </w:r>
      <w:r w:rsidRPr="00EC20A0">
        <w:rPr>
          <w:spacing w:val="-4"/>
        </w:rPr>
        <w:t xml:space="preserve"> </w:t>
      </w:r>
      <w:r w:rsidRPr="00EC20A0">
        <w:t>not</w:t>
      </w:r>
      <w:r w:rsidRPr="00EC20A0">
        <w:rPr>
          <w:spacing w:val="-4"/>
        </w:rPr>
        <w:t xml:space="preserve"> </w:t>
      </w:r>
      <w:r w:rsidRPr="00EC20A0">
        <w:t>comply</w:t>
      </w:r>
      <w:r w:rsidRPr="00EC20A0">
        <w:rPr>
          <w:spacing w:val="-4"/>
        </w:rPr>
        <w:t xml:space="preserve"> </w:t>
      </w:r>
      <w:r w:rsidRPr="00EC20A0">
        <w:t>substantially</w:t>
      </w:r>
      <w:r w:rsidRPr="00EC20A0">
        <w:rPr>
          <w:spacing w:val="-4"/>
        </w:rPr>
        <w:t xml:space="preserve"> </w:t>
      </w:r>
      <w:r w:rsidRPr="00EC20A0">
        <w:t>with</w:t>
      </w:r>
      <w:r w:rsidRPr="00EC20A0">
        <w:rPr>
          <w:spacing w:val="-4"/>
        </w:rPr>
        <w:t xml:space="preserve"> </w:t>
      </w:r>
      <w:r w:rsidRPr="00EC20A0">
        <w:t>FFMIA</w:t>
      </w:r>
      <w:r w:rsidRPr="00EC20A0">
        <w:rPr>
          <w:spacing w:val="-4"/>
        </w:rPr>
        <w:t xml:space="preserve"> </w:t>
      </w:r>
      <w:r w:rsidRPr="00EC20A0">
        <w:t>requirements</w:t>
      </w:r>
      <w:r w:rsidRPr="00EC20A0">
        <w:rPr>
          <w:spacing w:val="-4"/>
        </w:rPr>
        <w:t xml:space="preserve"> </w:t>
      </w:r>
      <w:r w:rsidRPr="00EC20A0">
        <w:t>shall include the following in the report:</w:t>
      </w:r>
    </w:p>
    <w:p w14:paraId="24D60479" w14:textId="77777777" w:rsidR="00245300" w:rsidRPr="00EC20A0" w:rsidRDefault="00F17249">
      <w:pPr>
        <w:pStyle w:val="ListParagraph"/>
        <w:numPr>
          <w:ilvl w:val="1"/>
          <w:numId w:val="12"/>
        </w:numPr>
        <w:tabs>
          <w:tab w:val="left" w:pos="2219"/>
        </w:tabs>
        <w:spacing w:before="241"/>
        <w:ind w:left="2219" w:right="624"/>
        <w:jc w:val="both"/>
      </w:pPr>
      <w:r w:rsidRPr="00EC20A0">
        <w:t>The</w:t>
      </w:r>
      <w:r w:rsidRPr="00EC20A0">
        <w:rPr>
          <w:spacing w:val="-5"/>
        </w:rPr>
        <w:t xml:space="preserve"> </w:t>
      </w:r>
      <w:r w:rsidRPr="00EC20A0">
        <w:t>entity</w:t>
      </w:r>
      <w:r w:rsidRPr="00EC20A0">
        <w:rPr>
          <w:spacing w:val="-5"/>
        </w:rPr>
        <w:t xml:space="preserve"> </w:t>
      </w:r>
      <w:r w:rsidRPr="00EC20A0">
        <w:t>or</w:t>
      </w:r>
      <w:r w:rsidRPr="00EC20A0">
        <w:rPr>
          <w:spacing w:val="-6"/>
        </w:rPr>
        <w:t xml:space="preserve"> </w:t>
      </w:r>
      <w:r w:rsidRPr="00EC20A0">
        <w:t>organization</w:t>
      </w:r>
      <w:r w:rsidRPr="00EC20A0">
        <w:rPr>
          <w:spacing w:val="-5"/>
        </w:rPr>
        <w:t xml:space="preserve"> </w:t>
      </w:r>
      <w:r w:rsidRPr="00EC20A0">
        <w:t>responsible</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management</w:t>
      </w:r>
      <w:r w:rsidRPr="00EC20A0">
        <w:rPr>
          <w:spacing w:val="-5"/>
        </w:rPr>
        <w:t xml:space="preserve"> </w:t>
      </w:r>
      <w:r w:rsidRPr="00EC20A0">
        <w:t>systems that</w:t>
      </w:r>
      <w:r w:rsidRPr="00EC20A0">
        <w:rPr>
          <w:spacing w:val="-2"/>
        </w:rPr>
        <w:t xml:space="preserve"> </w:t>
      </w:r>
      <w:r w:rsidRPr="00EC20A0">
        <w:t>have</w:t>
      </w:r>
      <w:r w:rsidRPr="00EC20A0">
        <w:rPr>
          <w:spacing w:val="-2"/>
        </w:rPr>
        <w:t xml:space="preserve"> </w:t>
      </w:r>
      <w:r w:rsidRPr="00EC20A0">
        <w:t>been</w:t>
      </w:r>
      <w:r w:rsidRPr="00EC20A0">
        <w:rPr>
          <w:spacing w:val="-2"/>
        </w:rPr>
        <w:t xml:space="preserve"> </w:t>
      </w:r>
      <w:r w:rsidRPr="00EC20A0">
        <w:t>found</w:t>
      </w:r>
      <w:r w:rsidRPr="00EC20A0">
        <w:rPr>
          <w:spacing w:val="-2"/>
        </w:rPr>
        <w:t xml:space="preserve"> </w:t>
      </w:r>
      <w:r w:rsidRPr="00EC20A0">
        <w:t>not</w:t>
      </w:r>
      <w:r w:rsidRPr="00EC20A0">
        <w:rPr>
          <w:spacing w:val="-3"/>
        </w:rPr>
        <w:t xml:space="preserve"> </w:t>
      </w:r>
      <w:r w:rsidRPr="00EC20A0">
        <w:t>to</w:t>
      </w:r>
      <w:r w:rsidRPr="00EC20A0">
        <w:rPr>
          <w:spacing w:val="-2"/>
        </w:rPr>
        <w:t xml:space="preserve"> </w:t>
      </w:r>
      <w:r w:rsidRPr="00EC20A0">
        <w:t>be</w:t>
      </w:r>
      <w:r w:rsidRPr="00EC20A0">
        <w:rPr>
          <w:spacing w:val="-2"/>
        </w:rPr>
        <w:t xml:space="preserve"> </w:t>
      </w:r>
      <w:r w:rsidRPr="00EC20A0">
        <w:t>substantially</w:t>
      </w:r>
      <w:r w:rsidRPr="00EC20A0">
        <w:rPr>
          <w:spacing w:val="-3"/>
        </w:rPr>
        <w:t xml:space="preserve"> </w:t>
      </w:r>
      <w:r w:rsidRPr="00EC20A0">
        <w:t>compliant</w:t>
      </w:r>
      <w:r w:rsidRPr="00EC20A0">
        <w:rPr>
          <w:spacing w:val="-2"/>
        </w:rPr>
        <w:t xml:space="preserve"> </w:t>
      </w:r>
      <w:r w:rsidRPr="00EC20A0">
        <w:t>and</w:t>
      </w:r>
      <w:r w:rsidRPr="00EC20A0">
        <w:rPr>
          <w:spacing w:val="-2"/>
        </w:rPr>
        <w:t xml:space="preserve"> </w:t>
      </w:r>
      <w:r w:rsidRPr="00EC20A0">
        <w:t>all</w:t>
      </w:r>
      <w:r w:rsidRPr="00EC20A0">
        <w:rPr>
          <w:spacing w:val="-2"/>
        </w:rPr>
        <w:t xml:space="preserve"> </w:t>
      </w:r>
      <w:r w:rsidRPr="00EC20A0">
        <w:t>pertinent</w:t>
      </w:r>
      <w:r w:rsidRPr="00EC20A0">
        <w:rPr>
          <w:spacing w:val="-2"/>
        </w:rPr>
        <w:t xml:space="preserve"> </w:t>
      </w:r>
      <w:r w:rsidRPr="00EC20A0">
        <w:t xml:space="preserve">facts </w:t>
      </w:r>
      <w:r w:rsidRPr="00EC20A0">
        <w:t>relating to the noncompliance, including</w:t>
      </w:r>
    </w:p>
    <w:p w14:paraId="24D6047A" w14:textId="77777777" w:rsidR="00245300" w:rsidRPr="00EC20A0" w:rsidRDefault="00F17249">
      <w:pPr>
        <w:pStyle w:val="ListParagraph"/>
        <w:numPr>
          <w:ilvl w:val="2"/>
          <w:numId w:val="12"/>
        </w:numPr>
        <w:tabs>
          <w:tab w:val="left" w:pos="2580"/>
        </w:tabs>
        <w:spacing w:before="239"/>
        <w:ind w:left="2580" w:right="1008"/>
      </w:pPr>
      <w:r w:rsidRPr="00EC20A0">
        <w:t>the</w:t>
      </w:r>
      <w:r w:rsidRPr="00EC20A0">
        <w:rPr>
          <w:spacing w:val="-4"/>
        </w:rPr>
        <w:t xml:space="preserve"> </w:t>
      </w:r>
      <w:r w:rsidRPr="00EC20A0">
        <w:t>nature</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noncompliance,</w:t>
      </w:r>
      <w:r w:rsidRPr="00EC20A0">
        <w:rPr>
          <w:spacing w:val="-3"/>
        </w:rPr>
        <w:t xml:space="preserve"> </w:t>
      </w:r>
      <w:r w:rsidRPr="00EC20A0">
        <w:t>including</w:t>
      </w:r>
      <w:r w:rsidRPr="00EC20A0">
        <w:rPr>
          <w:spacing w:val="-4"/>
        </w:rPr>
        <w:t xml:space="preserve"> </w:t>
      </w:r>
      <w:r w:rsidRPr="00EC20A0">
        <w:t>areas</w:t>
      </w:r>
      <w:r w:rsidRPr="00EC20A0">
        <w:rPr>
          <w:spacing w:val="-5"/>
        </w:rPr>
        <w:t xml:space="preserve"> </w:t>
      </w:r>
      <w:r w:rsidRPr="00EC20A0">
        <w:t>in</w:t>
      </w:r>
      <w:r w:rsidRPr="00EC20A0">
        <w:rPr>
          <w:spacing w:val="-4"/>
        </w:rPr>
        <w:t xml:space="preserve"> </w:t>
      </w:r>
      <w:r w:rsidRPr="00EC20A0">
        <w:t>which there is substantial but not full compliance;</w:t>
      </w:r>
    </w:p>
    <w:p w14:paraId="24D6047B" w14:textId="77777777" w:rsidR="00245300" w:rsidRPr="00EC20A0" w:rsidRDefault="00F17249">
      <w:pPr>
        <w:pStyle w:val="ListParagraph"/>
        <w:numPr>
          <w:ilvl w:val="2"/>
          <w:numId w:val="12"/>
        </w:numPr>
        <w:tabs>
          <w:tab w:val="left" w:pos="2580"/>
        </w:tabs>
        <w:spacing w:before="238"/>
        <w:ind w:left="2580"/>
      </w:pPr>
      <w:r w:rsidRPr="00EC20A0">
        <w:t>the</w:t>
      </w:r>
      <w:r w:rsidRPr="00EC20A0">
        <w:rPr>
          <w:spacing w:val="-5"/>
        </w:rPr>
        <w:t xml:space="preserve"> </w:t>
      </w:r>
      <w:r w:rsidRPr="00EC20A0">
        <w:t>primary</w:t>
      </w:r>
      <w:r w:rsidRPr="00EC20A0">
        <w:rPr>
          <w:spacing w:val="-5"/>
        </w:rPr>
        <w:t xml:space="preserve"> </w:t>
      </w:r>
      <w:r w:rsidRPr="00EC20A0">
        <w:t>reason</w:t>
      </w:r>
      <w:r w:rsidRPr="00EC20A0">
        <w:rPr>
          <w:spacing w:val="-4"/>
        </w:rPr>
        <w:t xml:space="preserve"> </w:t>
      </w:r>
      <w:r w:rsidRPr="00EC20A0">
        <w:t>or</w:t>
      </w:r>
      <w:r w:rsidRPr="00EC20A0">
        <w:rPr>
          <w:spacing w:val="-5"/>
        </w:rPr>
        <w:t xml:space="preserve"> </w:t>
      </w:r>
      <w:r w:rsidRPr="00EC20A0">
        <w:t>cause</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rPr>
          <w:spacing w:val="-2"/>
        </w:rPr>
        <w:t>noncompliance;</w:t>
      </w:r>
    </w:p>
    <w:p w14:paraId="24D6047C" w14:textId="77777777" w:rsidR="00245300" w:rsidRPr="00EC20A0" w:rsidRDefault="00F17249">
      <w:pPr>
        <w:pStyle w:val="ListParagraph"/>
        <w:numPr>
          <w:ilvl w:val="2"/>
          <w:numId w:val="12"/>
        </w:numPr>
        <w:tabs>
          <w:tab w:val="left" w:pos="2580"/>
        </w:tabs>
        <w:spacing w:before="238"/>
        <w:ind w:left="2580"/>
      </w:pPr>
      <w:r w:rsidRPr="00EC20A0">
        <w:t>the</w:t>
      </w:r>
      <w:r w:rsidRPr="00EC20A0">
        <w:rPr>
          <w:spacing w:val="-8"/>
        </w:rPr>
        <w:t xml:space="preserve"> </w:t>
      </w:r>
      <w:r w:rsidRPr="00EC20A0">
        <w:t>entity</w:t>
      </w:r>
      <w:r w:rsidRPr="00EC20A0">
        <w:rPr>
          <w:spacing w:val="-7"/>
        </w:rPr>
        <w:t xml:space="preserve"> </w:t>
      </w:r>
      <w:r w:rsidRPr="00EC20A0">
        <w:t>or</w:t>
      </w:r>
      <w:r w:rsidRPr="00EC20A0">
        <w:rPr>
          <w:spacing w:val="-9"/>
        </w:rPr>
        <w:t xml:space="preserve"> </w:t>
      </w:r>
      <w:r w:rsidRPr="00EC20A0">
        <w:t>organization</w:t>
      </w:r>
      <w:r w:rsidRPr="00EC20A0">
        <w:rPr>
          <w:spacing w:val="-8"/>
        </w:rPr>
        <w:t xml:space="preserve"> </w:t>
      </w:r>
      <w:r w:rsidRPr="00EC20A0">
        <w:t>responsible</w:t>
      </w:r>
      <w:r w:rsidRPr="00EC20A0">
        <w:rPr>
          <w:spacing w:val="-8"/>
        </w:rPr>
        <w:t xml:space="preserve"> </w:t>
      </w:r>
      <w:r w:rsidRPr="00EC20A0">
        <w:t>for</w:t>
      </w:r>
      <w:r w:rsidRPr="00EC20A0">
        <w:rPr>
          <w:spacing w:val="-7"/>
        </w:rPr>
        <w:t xml:space="preserve"> </w:t>
      </w:r>
      <w:r w:rsidRPr="00EC20A0">
        <w:t>the</w:t>
      </w:r>
      <w:r w:rsidRPr="00EC20A0">
        <w:rPr>
          <w:spacing w:val="-7"/>
        </w:rPr>
        <w:t xml:space="preserve"> </w:t>
      </w:r>
      <w:r w:rsidRPr="00EC20A0">
        <w:t>noncompliance;</w:t>
      </w:r>
      <w:r w:rsidRPr="00EC20A0">
        <w:rPr>
          <w:spacing w:val="-8"/>
        </w:rPr>
        <w:t xml:space="preserve"> </w:t>
      </w:r>
      <w:r w:rsidRPr="00EC20A0">
        <w:rPr>
          <w:spacing w:val="-5"/>
        </w:rPr>
        <w:t>and</w:t>
      </w:r>
    </w:p>
    <w:p w14:paraId="24D6047D" w14:textId="77777777" w:rsidR="00245300" w:rsidRPr="00EC20A0" w:rsidRDefault="00F17249">
      <w:pPr>
        <w:pStyle w:val="ListParagraph"/>
        <w:numPr>
          <w:ilvl w:val="2"/>
          <w:numId w:val="12"/>
        </w:numPr>
        <w:tabs>
          <w:tab w:val="left" w:pos="2579"/>
        </w:tabs>
        <w:spacing w:before="238"/>
      </w:pPr>
      <w:r w:rsidRPr="00EC20A0">
        <w:t>any</w:t>
      </w:r>
      <w:r w:rsidRPr="00EC20A0">
        <w:rPr>
          <w:spacing w:val="-7"/>
        </w:rPr>
        <w:t xml:space="preserve"> </w:t>
      </w:r>
      <w:r w:rsidRPr="00EC20A0">
        <w:t>relevant</w:t>
      </w:r>
      <w:r w:rsidRPr="00EC20A0">
        <w:rPr>
          <w:spacing w:val="-8"/>
        </w:rPr>
        <w:t xml:space="preserve"> </w:t>
      </w:r>
      <w:r w:rsidRPr="00EC20A0">
        <w:t>comments</w:t>
      </w:r>
      <w:r w:rsidRPr="00EC20A0">
        <w:rPr>
          <w:spacing w:val="-7"/>
        </w:rPr>
        <w:t xml:space="preserve"> </w:t>
      </w:r>
      <w:r w:rsidRPr="00EC20A0">
        <w:t>from</w:t>
      </w:r>
      <w:r w:rsidRPr="00EC20A0">
        <w:rPr>
          <w:spacing w:val="-7"/>
        </w:rPr>
        <w:t xml:space="preserve"> </w:t>
      </w:r>
      <w:r w:rsidRPr="00EC20A0">
        <w:t>any</w:t>
      </w:r>
      <w:r w:rsidRPr="00EC20A0">
        <w:rPr>
          <w:spacing w:val="-7"/>
        </w:rPr>
        <w:t xml:space="preserve"> </w:t>
      </w:r>
      <w:r w:rsidRPr="00EC20A0">
        <w:t>responsible</w:t>
      </w:r>
      <w:r w:rsidRPr="00EC20A0">
        <w:rPr>
          <w:spacing w:val="-7"/>
        </w:rPr>
        <w:t xml:space="preserve"> </w:t>
      </w:r>
      <w:r w:rsidRPr="00EC20A0">
        <w:t>officer</w:t>
      </w:r>
      <w:r w:rsidRPr="00EC20A0">
        <w:rPr>
          <w:spacing w:val="-6"/>
        </w:rPr>
        <w:t xml:space="preserve"> </w:t>
      </w:r>
      <w:r w:rsidRPr="00EC20A0">
        <w:t>or</w:t>
      </w:r>
      <w:r w:rsidRPr="00EC20A0">
        <w:rPr>
          <w:spacing w:val="-7"/>
        </w:rPr>
        <w:t xml:space="preserve"> </w:t>
      </w:r>
      <w:r w:rsidRPr="00EC20A0">
        <w:rPr>
          <w:spacing w:val="-2"/>
        </w:rPr>
        <w:t>employee.</w:t>
      </w:r>
    </w:p>
    <w:p w14:paraId="24D6047E" w14:textId="77777777" w:rsidR="00245300" w:rsidRPr="00EC20A0" w:rsidRDefault="00245300">
      <w:pPr>
        <w:pStyle w:val="BodyText"/>
        <w:rPr>
          <w:sz w:val="20"/>
        </w:rPr>
      </w:pPr>
    </w:p>
    <w:p w14:paraId="24D6047F" w14:textId="77777777" w:rsidR="00245300" w:rsidRPr="00EC20A0" w:rsidRDefault="00245300">
      <w:pPr>
        <w:pStyle w:val="BodyText"/>
        <w:rPr>
          <w:sz w:val="20"/>
        </w:rPr>
      </w:pPr>
    </w:p>
    <w:p w14:paraId="24D60480" w14:textId="77777777" w:rsidR="00245300" w:rsidRPr="00EC20A0" w:rsidRDefault="00245300">
      <w:pPr>
        <w:pStyle w:val="BodyText"/>
        <w:rPr>
          <w:sz w:val="20"/>
        </w:rPr>
      </w:pPr>
    </w:p>
    <w:p w14:paraId="24D60481" w14:textId="77777777" w:rsidR="00245300" w:rsidRPr="00EC20A0" w:rsidRDefault="00F17249">
      <w:pPr>
        <w:pStyle w:val="BodyText"/>
        <w:spacing w:before="70"/>
        <w:rPr>
          <w:sz w:val="20"/>
        </w:rPr>
      </w:pPr>
      <w:r w:rsidRPr="00EC20A0">
        <w:rPr>
          <w:noProof/>
        </w:rPr>
        <mc:AlternateContent>
          <mc:Choice Requires="wps">
            <w:drawing>
              <wp:anchor distT="0" distB="0" distL="0" distR="0" simplePos="0" relativeHeight="487606784" behindDoc="1" locked="0" layoutInCell="1" allowOverlap="1" wp14:anchorId="24D62AFF" wp14:editId="24D62B00">
                <wp:simplePos x="0" y="0"/>
                <wp:positionH relativeFrom="page">
                  <wp:posOffset>914400</wp:posOffset>
                </wp:positionH>
                <wp:positionV relativeFrom="paragraph">
                  <wp:posOffset>206044</wp:posOffset>
                </wp:positionV>
                <wp:extent cx="1828800" cy="5715"/>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6F1BD" id="Graphic 190" o:spid="_x0000_s1026" style="position:absolute;margin-left:1in;margin-top:16.2pt;width:2in;height:.4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" path="m1828800,l,,,5333r1828800,l1828800,xe" fillcolor="black" stroked="f">
                <v:path arrowok="t"/>
                <w10:wrap type="topAndBottom" anchorx="page"/>
              </v:shape>
            </w:pict>
          </mc:Fallback>
        </mc:AlternateContent>
      </w:r>
    </w:p>
    <w:p w14:paraId="24D60482" w14:textId="77777777" w:rsidR="00245300" w:rsidRPr="00EC20A0" w:rsidRDefault="00245300">
      <w:pPr>
        <w:pStyle w:val="BodyText"/>
        <w:spacing w:before="54"/>
        <w:rPr>
          <w:sz w:val="18"/>
        </w:rPr>
      </w:pPr>
    </w:p>
    <w:p w14:paraId="24D60483" w14:textId="77777777" w:rsidR="00245300" w:rsidRPr="00EC20A0" w:rsidRDefault="00F17249">
      <w:pPr>
        <w:spacing w:before="1"/>
        <w:ind w:left="420"/>
        <w:rPr>
          <w:sz w:val="18"/>
        </w:rPr>
      </w:pPr>
      <w:bookmarkStart w:id="137" w:name="_bookmark52"/>
      <w:bookmarkEnd w:id="137"/>
      <w:r w:rsidRPr="00EC20A0">
        <w:rPr>
          <w:position w:val="7"/>
          <w:sz w:val="14"/>
        </w:rPr>
        <w:t>8</w:t>
      </w:r>
      <w:r w:rsidRPr="00EC20A0">
        <w:rPr>
          <w:sz w:val="18"/>
        </w:rPr>
        <w:t>The</w:t>
      </w:r>
      <w:r w:rsidRPr="00EC20A0">
        <w:rPr>
          <w:spacing w:val="-7"/>
          <w:sz w:val="18"/>
        </w:rPr>
        <w:t xml:space="preserve"> </w:t>
      </w:r>
      <w:r w:rsidRPr="00EC20A0">
        <w:rPr>
          <w:sz w:val="18"/>
        </w:rPr>
        <w:t>USSGL</w:t>
      </w:r>
      <w:r w:rsidRPr="00EC20A0">
        <w:rPr>
          <w:spacing w:val="-4"/>
          <w:sz w:val="18"/>
        </w:rPr>
        <w:t xml:space="preserve"> </w:t>
      </w:r>
      <w:r w:rsidRPr="00EC20A0">
        <w:rPr>
          <w:sz w:val="18"/>
        </w:rPr>
        <w:t>can</w:t>
      </w:r>
      <w:r w:rsidRPr="00EC20A0">
        <w:rPr>
          <w:spacing w:val="-4"/>
          <w:sz w:val="18"/>
        </w:rPr>
        <w:t xml:space="preserve"> </w:t>
      </w:r>
      <w:r w:rsidRPr="00EC20A0">
        <w:rPr>
          <w:sz w:val="18"/>
        </w:rPr>
        <w:t>be</w:t>
      </w:r>
      <w:r w:rsidRPr="00EC20A0">
        <w:rPr>
          <w:spacing w:val="-5"/>
          <w:sz w:val="18"/>
        </w:rPr>
        <w:t xml:space="preserve"> </w:t>
      </w:r>
      <w:r w:rsidRPr="00EC20A0">
        <w:rPr>
          <w:sz w:val="18"/>
        </w:rPr>
        <w:t>found</w:t>
      </w:r>
      <w:r w:rsidRPr="00EC20A0">
        <w:rPr>
          <w:spacing w:val="-4"/>
          <w:sz w:val="18"/>
        </w:rPr>
        <w:t xml:space="preserve"> </w:t>
      </w:r>
      <w:r w:rsidRPr="00EC20A0">
        <w:rPr>
          <w:sz w:val="18"/>
        </w:rPr>
        <w:t>at</w:t>
      </w:r>
      <w:r w:rsidRPr="00EC20A0">
        <w:rPr>
          <w:spacing w:val="-3"/>
          <w:sz w:val="18"/>
        </w:rPr>
        <w:t xml:space="preserve"> </w:t>
      </w:r>
      <w:hyperlink r:id="rId64">
        <w:r w:rsidRPr="00EC20A0">
          <w:rPr>
            <w:color w:val="0000FF"/>
            <w:sz w:val="18"/>
            <w:u w:val="single" w:color="0000FF"/>
          </w:rPr>
          <w:t>https://tfx.treasury.gov/tfm/supplements/ussgl</w:t>
        </w:r>
      </w:hyperlink>
      <w:r w:rsidRPr="00EC20A0">
        <w:rPr>
          <w:color w:val="0000FF"/>
          <w:spacing w:val="-2"/>
          <w:sz w:val="18"/>
        </w:rPr>
        <w:t xml:space="preserve"> </w:t>
      </w:r>
      <w:r w:rsidRPr="00EC20A0">
        <w:rPr>
          <w:sz w:val="18"/>
        </w:rPr>
        <w:t>(accessed</w:t>
      </w:r>
      <w:r w:rsidRPr="00EC20A0">
        <w:rPr>
          <w:spacing w:val="-3"/>
          <w:sz w:val="18"/>
        </w:rPr>
        <w:t xml:space="preserve"> </w:t>
      </w:r>
      <w:r w:rsidRPr="00EC20A0">
        <w:rPr>
          <w:sz w:val="18"/>
        </w:rPr>
        <w:t>June</w:t>
      </w:r>
      <w:r w:rsidRPr="00EC20A0">
        <w:rPr>
          <w:spacing w:val="-4"/>
          <w:sz w:val="18"/>
        </w:rPr>
        <w:t xml:space="preserve"> </w:t>
      </w:r>
      <w:r w:rsidRPr="00EC20A0">
        <w:rPr>
          <w:sz w:val="18"/>
        </w:rPr>
        <w:t>3,</w:t>
      </w:r>
      <w:r w:rsidRPr="00EC20A0">
        <w:rPr>
          <w:spacing w:val="-3"/>
          <w:sz w:val="18"/>
        </w:rPr>
        <w:t xml:space="preserve"> </w:t>
      </w:r>
      <w:r w:rsidRPr="00EC20A0">
        <w:rPr>
          <w:spacing w:val="-2"/>
          <w:sz w:val="18"/>
        </w:rPr>
        <w:t>2024).</w:t>
      </w:r>
    </w:p>
    <w:p w14:paraId="24D60484" w14:textId="77777777" w:rsidR="00245300" w:rsidRPr="00EC20A0" w:rsidRDefault="00F17249">
      <w:pPr>
        <w:spacing w:before="73" w:line="249" w:lineRule="auto"/>
        <w:ind w:left="420" w:right="562" w:hanging="1"/>
        <w:rPr>
          <w:sz w:val="18"/>
        </w:rPr>
      </w:pPr>
      <w:bookmarkStart w:id="138" w:name="_bookmark53"/>
      <w:bookmarkEnd w:id="138"/>
      <w:r w:rsidRPr="00EC20A0">
        <w:rPr>
          <w:position w:val="7"/>
          <w:sz w:val="14"/>
        </w:rPr>
        <w:t>9</w:t>
      </w:r>
      <w:r w:rsidRPr="00EC20A0">
        <w:rPr>
          <w:sz w:val="18"/>
        </w:rPr>
        <w:t>FFMIA</w:t>
      </w:r>
      <w:r w:rsidRPr="00EC20A0">
        <w:rPr>
          <w:spacing w:val="-3"/>
          <w:sz w:val="18"/>
        </w:rPr>
        <w:t xml:space="preserve"> </w:t>
      </w:r>
      <w:r w:rsidRPr="00EC20A0">
        <w:rPr>
          <w:sz w:val="18"/>
        </w:rPr>
        <w:t>also</w:t>
      </w:r>
      <w:r w:rsidRPr="00EC20A0">
        <w:rPr>
          <w:spacing w:val="-4"/>
          <w:sz w:val="18"/>
        </w:rPr>
        <w:t xml:space="preserve"> </w:t>
      </w:r>
      <w:r w:rsidRPr="00EC20A0">
        <w:rPr>
          <w:sz w:val="18"/>
        </w:rPr>
        <w:t>requires</w:t>
      </w:r>
      <w:r w:rsidRPr="00EC20A0">
        <w:rPr>
          <w:spacing w:val="-3"/>
          <w:sz w:val="18"/>
        </w:rPr>
        <w:t xml:space="preserve"> </w:t>
      </w:r>
      <w:r w:rsidRPr="00EC20A0">
        <w:rPr>
          <w:sz w:val="18"/>
        </w:rPr>
        <w:t>CFO</w:t>
      </w:r>
      <w:r w:rsidRPr="00EC20A0">
        <w:rPr>
          <w:spacing w:val="-3"/>
          <w:sz w:val="18"/>
        </w:rPr>
        <w:t xml:space="preserve"> </w:t>
      </w:r>
      <w:r w:rsidRPr="00EC20A0">
        <w:rPr>
          <w:sz w:val="18"/>
        </w:rPr>
        <w:t>Act</w:t>
      </w:r>
      <w:r w:rsidRPr="00EC20A0">
        <w:rPr>
          <w:spacing w:val="-3"/>
          <w:sz w:val="18"/>
        </w:rPr>
        <w:t xml:space="preserve"> </w:t>
      </w:r>
      <w:r w:rsidRPr="00EC20A0">
        <w:rPr>
          <w:sz w:val="18"/>
        </w:rPr>
        <w:t>agencies</w:t>
      </w:r>
      <w:r w:rsidRPr="00EC20A0">
        <w:rPr>
          <w:spacing w:val="-3"/>
          <w:sz w:val="18"/>
        </w:rPr>
        <w:t xml:space="preserve"> </w:t>
      </w:r>
      <w:r w:rsidRPr="00EC20A0">
        <w:rPr>
          <w:sz w:val="18"/>
        </w:rPr>
        <w:t>to</w:t>
      </w:r>
      <w:r w:rsidRPr="00EC20A0">
        <w:rPr>
          <w:spacing w:val="-4"/>
          <w:sz w:val="18"/>
        </w:rPr>
        <w:t xml:space="preserve"> </w:t>
      </w:r>
      <w:r w:rsidRPr="00EC20A0">
        <w:rPr>
          <w:sz w:val="18"/>
        </w:rPr>
        <w:t>determine</w:t>
      </w:r>
      <w:r w:rsidRPr="00EC20A0">
        <w:rPr>
          <w:spacing w:val="-4"/>
          <w:sz w:val="18"/>
        </w:rPr>
        <w:t xml:space="preserve"> </w:t>
      </w:r>
      <w:r w:rsidRPr="00EC20A0">
        <w:rPr>
          <w:sz w:val="18"/>
        </w:rPr>
        <w:t>whether</w:t>
      </w:r>
      <w:r w:rsidRPr="00EC20A0">
        <w:rPr>
          <w:spacing w:val="-3"/>
          <w:sz w:val="18"/>
        </w:rPr>
        <w:t xml:space="preserve"> </w:t>
      </w:r>
      <w:r w:rsidRPr="00EC20A0">
        <w:rPr>
          <w:sz w:val="18"/>
        </w:rPr>
        <w:t>their</w:t>
      </w:r>
      <w:r w:rsidRPr="00EC20A0">
        <w:rPr>
          <w:spacing w:val="-3"/>
          <w:sz w:val="18"/>
        </w:rPr>
        <w:t xml:space="preserve"> </w:t>
      </w:r>
      <w:r w:rsidRPr="00EC20A0">
        <w:rPr>
          <w:sz w:val="18"/>
        </w:rPr>
        <w:t>financial</w:t>
      </w:r>
      <w:r w:rsidRPr="00EC20A0">
        <w:rPr>
          <w:spacing w:val="-3"/>
          <w:sz w:val="18"/>
        </w:rPr>
        <w:t xml:space="preserve"> </w:t>
      </w:r>
      <w:r w:rsidRPr="00EC20A0">
        <w:rPr>
          <w:sz w:val="18"/>
        </w:rPr>
        <w:t>management</w:t>
      </w:r>
      <w:r w:rsidRPr="00EC20A0">
        <w:rPr>
          <w:spacing w:val="-3"/>
          <w:sz w:val="18"/>
        </w:rPr>
        <w:t xml:space="preserve"> </w:t>
      </w:r>
      <w:r w:rsidRPr="00EC20A0">
        <w:rPr>
          <w:sz w:val="18"/>
        </w:rPr>
        <w:t>systems</w:t>
      </w:r>
      <w:r w:rsidRPr="00EC20A0">
        <w:rPr>
          <w:spacing w:val="-3"/>
          <w:sz w:val="18"/>
        </w:rPr>
        <w:t xml:space="preserve"> </w:t>
      </w:r>
      <w:r w:rsidRPr="00EC20A0">
        <w:rPr>
          <w:sz w:val="18"/>
        </w:rPr>
        <w:t>comply substantially with the FFMIA requirements.</w:t>
      </w:r>
    </w:p>
    <w:p w14:paraId="24D60485" w14:textId="77777777" w:rsidR="00245300" w:rsidRPr="00EC20A0" w:rsidRDefault="00245300">
      <w:pPr>
        <w:spacing w:line="249" w:lineRule="auto"/>
        <w:rPr>
          <w:sz w:val="18"/>
        </w:rPr>
        <w:sectPr w:rsidR="00245300" w:rsidRPr="00EC20A0">
          <w:pgSz w:w="12240" w:h="15840"/>
          <w:pgMar w:top="1340" w:right="940" w:bottom="940" w:left="1020" w:header="721" w:footer="757" w:gutter="0"/>
          <w:cols w:space="720"/>
        </w:sectPr>
      </w:pPr>
    </w:p>
    <w:p w14:paraId="24D60486" w14:textId="77777777" w:rsidR="00245300" w:rsidRPr="00EC20A0" w:rsidRDefault="00F17249">
      <w:pPr>
        <w:pStyle w:val="ListParagraph"/>
        <w:numPr>
          <w:ilvl w:val="1"/>
          <w:numId w:val="12"/>
        </w:numPr>
        <w:tabs>
          <w:tab w:val="left" w:pos="2219"/>
        </w:tabs>
        <w:spacing w:before="121"/>
        <w:ind w:left="2219" w:right="637"/>
      </w:pPr>
      <w:r w:rsidRPr="00EC20A0">
        <w:t>A</w:t>
      </w:r>
      <w:r w:rsidRPr="00EC20A0">
        <w:rPr>
          <w:spacing w:val="-5"/>
        </w:rPr>
        <w:t xml:space="preserve"> </w:t>
      </w:r>
      <w:r w:rsidRPr="00EC20A0">
        <w:t>statement</w:t>
      </w:r>
      <w:r w:rsidRPr="00EC20A0">
        <w:rPr>
          <w:spacing w:val="-4"/>
        </w:rPr>
        <w:t xml:space="preserve"> </w:t>
      </w:r>
      <w:r w:rsidRPr="00EC20A0">
        <w:t>with</w:t>
      </w:r>
      <w:r w:rsidRPr="00EC20A0">
        <w:rPr>
          <w:spacing w:val="-4"/>
        </w:rPr>
        <w:t xml:space="preserve"> </w:t>
      </w:r>
      <w:r w:rsidRPr="00EC20A0">
        <w:t>respect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recommended</w:t>
      </w:r>
      <w:r w:rsidRPr="00EC20A0">
        <w:rPr>
          <w:spacing w:val="-4"/>
        </w:rPr>
        <w:t xml:space="preserve"> </w:t>
      </w:r>
      <w:r w:rsidRPr="00EC20A0">
        <w:t>remedial</w:t>
      </w:r>
      <w:r w:rsidRPr="00EC20A0">
        <w:rPr>
          <w:spacing w:val="-4"/>
        </w:rPr>
        <w:t xml:space="preserve"> </w:t>
      </w:r>
      <w:r w:rsidRPr="00EC20A0">
        <w:t>actions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time frames for implementing these actions.</w:t>
      </w:r>
    </w:p>
    <w:p w14:paraId="24D60487" w14:textId="77777777" w:rsidR="00245300" w:rsidRPr="00EC20A0" w:rsidRDefault="00245300">
      <w:pPr>
        <w:pStyle w:val="BodyText"/>
        <w:spacing w:before="47"/>
      </w:pPr>
    </w:p>
    <w:p w14:paraId="24D60488" w14:textId="77777777" w:rsidR="00245300" w:rsidRPr="00EC20A0" w:rsidRDefault="00F17249">
      <w:pPr>
        <w:pStyle w:val="Heading4"/>
        <w:spacing w:before="1"/>
      </w:pPr>
      <w:bookmarkStart w:id="139" w:name="OMB_Guidance"/>
      <w:bookmarkEnd w:id="139"/>
      <w:r w:rsidRPr="00EC20A0">
        <w:t>OMB</w:t>
      </w:r>
      <w:r w:rsidRPr="00EC20A0">
        <w:rPr>
          <w:spacing w:val="-8"/>
        </w:rPr>
        <w:t xml:space="preserve"> </w:t>
      </w:r>
      <w:r w:rsidRPr="00EC20A0">
        <w:rPr>
          <w:spacing w:val="-2"/>
        </w:rPr>
        <w:t>Guidance</w:t>
      </w:r>
    </w:p>
    <w:p w14:paraId="24D60489" w14:textId="77777777" w:rsidR="00245300" w:rsidRPr="00EC20A0" w:rsidRDefault="00F17249">
      <w:pPr>
        <w:pStyle w:val="ListParagraph"/>
        <w:numPr>
          <w:ilvl w:val="0"/>
          <w:numId w:val="12"/>
        </w:numPr>
        <w:tabs>
          <w:tab w:val="left" w:pos="1860"/>
        </w:tabs>
        <w:spacing w:before="299"/>
        <w:ind w:right="555"/>
      </w:pPr>
      <w:r w:rsidRPr="00EC20A0">
        <w:t xml:space="preserve">OMB Circular No. A-123, appendix D, </w:t>
      </w:r>
      <w:r w:rsidRPr="00EC20A0">
        <w:rPr>
          <w:i/>
        </w:rPr>
        <w:t>Management of Financial Management Systems</w:t>
      </w:r>
      <w:r w:rsidRPr="00EC20A0">
        <w:rPr>
          <w:i/>
          <w:spacing w:val="-5"/>
        </w:rPr>
        <w:t xml:space="preserve"> </w:t>
      </w:r>
      <w:r w:rsidRPr="00EC20A0">
        <w:rPr>
          <w:i/>
        </w:rPr>
        <w:t>–</w:t>
      </w:r>
      <w:r w:rsidRPr="00EC20A0">
        <w:rPr>
          <w:i/>
          <w:spacing w:val="-5"/>
        </w:rPr>
        <w:t xml:space="preserve"> </w:t>
      </w:r>
      <w:r w:rsidRPr="00EC20A0">
        <w:rPr>
          <w:i/>
        </w:rPr>
        <w:t>Risk</w:t>
      </w:r>
      <w:r w:rsidRPr="00EC20A0">
        <w:rPr>
          <w:i/>
          <w:spacing w:val="-5"/>
        </w:rPr>
        <w:t xml:space="preserve"> </w:t>
      </w:r>
      <w:r w:rsidRPr="00EC20A0">
        <w:rPr>
          <w:i/>
        </w:rPr>
        <w:t>and</w:t>
      </w:r>
      <w:r w:rsidRPr="00EC20A0">
        <w:rPr>
          <w:i/>
          <w:spacing w:val="-5"/>
        </w:rPr>
        <w:t xml:space="preserve"> </w:t>
      </w:r>
      <w:r w:rsidRPr="00EC20A0">
        <w:rPr>
          <w:i/>
        </w:rPr>
        <w:t>Compliance</w:t>
      </w:r>
      <w:r w:rsidRPr="00EC20A0">
        <w:t>,</w:t>
      </w:r>
      <w:r w:rsidRPr="00EC20A0">
        <w:rPr>
          <w:spacing w:val="-5"/>
        </w:rPr>
        <w:t xml:space="preserve"> </w:t>
      </w:r>
      <w:r w:rsidRPr="00EC20A0">
        <w:t>provides</w:t>
      </w:r>
      <w:r w:rsidRPr="00EC20A0">
        <w:rPr>
          <w:spacing w:val="-5"/>
        </w:rPr>
        <w:t xml:space="preserve"> </w:t>
      </w:r>
      <w:r w:rsidRPr="00EC20A0">
        <w:t>the</w:t>
      </w:r>
      <w:r w:rsidRPr="00EC20A0">
        <w:rPr>
          <w:spacing w:val="-5"/>
        </w:rPr>
        <w:t xml:space="preserve"> </w:t>
      </w:r>
      <w:r w:rsidRPr="00EC20A0">
        <w:t>FFMIA</w:t>
      </w:r>
      <w:r w:rsidRPr="00EC20A0">
        <w:rPr>
          <w:spacing w:val="-5"/>
        </w:rPr>
        <w:t xml:space="preserve"> </w:t>
      </w:r>
      <w:r w:rsidRPr="00EC20A0">
        <w:t>Compliance</w:t>
      </w:r>
      <w:r w:rsidRPr="00EC20A0">
        <w:rPr>
          <w:spacing w:val="-5"/>
        </w:rPr>
        <w:t xml:space="preserve"> </w:t>
      </w:r>
      <w:r w:rsidRPr="00EC20A0">
        <w:t>Determination Framework that CFO Act agencies should use (and the auditor may use) in determining whether the agency’s financial management systems comply substantially with FFMIA requirements. Appendix D provides the following guidance to assist in determining substantial compliance with each of the three FFMIA system requirements:</w:t>
      </w:r>
    </w:p>
    <w:p w14:paraId="24D6048A" w14:textId="77777777" w:rsidR="00245300" w:rsidRPr="00EC20A0" w:rsidRDefault="00F17249">
      <w:pPr>
        <w:pStyle w:val="Heading6"/>
        <w:numPr>
          <w:ilvl w:val="1"/>
          <w:numId w:val="12"/>
        </w:numPr>
        <w:tabs>
          <w:tab w:val="left" w:pos="2219"/>
        </w:tabs>
        <w:spacing w:before="241"/>
        <w:ind w:left="2219" w:hanging="359"/>
      </w:pPr>
      <w:r w:rsidRPr="00EC20A0">
        <w:t>Federal</w:t>
      </w:r>
      <w:r w:rsidRPr="00EC20A0">
        <w:rPr>
          <w:spacing w:val="-11"/>
        </w:rPr>
        <w:t xml:space="preserve"> </w:t>
      </w:r>
      <w:r w:rsidRPr="00EC20A0">
        <w:t>financial</w:t>
      </w:r>
      <w:r w:rsidRPr="00EC20A0">
        <w:rPr>
          <w:spacing w:val="-10"/>
        </w:rPr>
        <w:t xml:space="preserve"> </w:t>
      </w:r>
      <w:r w:rsidRPr="00EC20A0">
        <w:t>management</w:t>
      </w:r>
      <w:r w:rsidRPr="00EC20A0">
        <w:rPr>
          <w:spacing w:val="-10"/>
        </w:rPr>
        <w:t xml:space="preserve"> </w:t>
      </w:r>
      <w:r w:rsidRPr="00EC20A0">
        <w:t>systems</w:t>
      </w:r>
      <w:r w:rsidRPr="00EC20A0">
        <w:rPr>
          <w:spacing w:val="-10"/>
        </w:rPr>
        <w:t xml:space="preserve"> </w:t>
      </w:r>
      <w:r w:rsidRPr="00EC20A0">
        <w:rPr>
          <w:spacing w:val="-2"/>
        </w:rPr>
        <w:t>requirements.</w:t>
      </w:r>
    </w:p>
    <w:p w14:paraId="24D6048B" w14:textId="77777777" w:rsidR="00245300" w:rsidRPr="00EC20A0" w:rsidRDefault="00F17249">
      <w:pPr>
        <w:pStyle w:val="ListParagraph"/>
        <w:numPr>
          <w:ilvl w:val="2"/>
          <w:numId w:val="12"/>
        </w:numPr>
        <w:tabs>
          <w:tab w:val="left" w:pos="2580"/>
        </w:tabs>
        <w:spacing w:before="238"/>
        <w:ind w:left="2580" w:right="776"/>
      </w:pPr>
      <w:r w:rsidRPr="00EC20A0">
        <w:t>Consistently,</w:t>
      </w:r>
      <w:r w:rsidRPr="00EC20A0">
        <w:rPr>
          <w:spacing w:val="-5"/>
        </w:rPr>
        <w:t xml:space="preserve"> </w:t>
      </w:r>
      <w:r w:rsidRPr="00EC20A0">
        <w:t>completely,</w:t>
      </w:r>
      <w:r w:rsidRPr="00EC20A0">
        <w:rPr>
          <w:spacing w:val="-5"/>
        </w:rPr>
        <w:t xml:space="preserve"> </w:t>
      </w:r>
      <w:r w:rsidRPr="00EC20A0">
        <w:t>and</w:t>
      </w:r>
      <w:r w:rsidRPr="00EC20A0">
        <w:rPr>
          <w:spacing w:val="-5"/>
        </w:rPr>
        <w:t xml:space="preserve"> </w:t>
      </w:r>
      <w:r w:rsidRPr="00EC20A0">
        <w:t>accurately</w:t>
      </w:r>
      <w:r w:rsidRPr="00EC20A0">
        <w:rPr>
          <w:spacing w:val="-5"/>
        </w:rPr>
        <w:t xml:space="preserve"> </w:t>
      </w:r>
      <w:r w:rsidRPr="00EC20A0">
        <w:t>record</w:t>
      </w:r>
      <w:r w:rsidRPr="00EC20A0">
        <w:rPr>
          <w:spacing w:val="-5"/>
        </w:rPr>
        <w:t xml:space="preserve"> </w:t>
      </w:r>
      <w:r w:rsidRPr="00EC20A0">
        <w:t>and</w:t>
      </w:r>
      <w:r w:rsidRPr="00EC20A0">
        <w:rPr>
          <w:spacing w:val="-5"/>
        </w:rPr>
        <w:t xml:space="preserve"> </w:t>
      </w:r>
      <w:r w:rsidRPr="00EC20A0">
        <w:t>account</w:t>
      </w:r>
      <w:r w:rsidRPr="00EC20A0">
        <w:rPr>
          <w:spacing w:val="-5"/>
        </w:rPr>
        <w:t xml:space="preserve"> </w:t>
      </w:r>
      <w:r w:rsidRPr="00EC20A0">
        <w:t>for</w:t>
      </w:r>
      <w:r w:rsidRPr="00EC20A0">
        <w:rPr>
          <w:spacing w:val="-5"/>
        </w:rPr>
        <w:t xml:space="preserve"> </w:t>
      </w:r>
      <w:r w:rsidRPr="00EC20A0">
        <w:t>federal funds, assets, liabilities, revenues, expenditures, and costs.</w:t>
      </w:r>
    </w:p>
    <w:p w14:paraId="24D6048C" w14:textId="77777777" w:rsidR="00245300" w:rsidRPr="00EC20A0" w:rsidRDefault="00F17249">
      <w:pPr>
        <w:pStyle w:val="ListParagraph"/>
        <w:numPr>
          <w:ilvl w:val="2"/>
          <w:numId w:val="12"/>
        </w:numPr>
        <w:tabs>
          <w:tab w:val="left" w:pos="2580"/>
        </w:tabs>
        <w:spacing w:before="238"/>
        <w:ind w:left="2580" w:right="508"/>
      </w:pPr>
      <w:r w:rsidRPr="00EC20A0">
        <w:t>Provide timely and reliable federal financial management information of appropriate form and content (1) to agency program managers for managing current government programs and activities; (2) for continuing use by stakeholders external to the agency, including the President, the Congress,</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public;</w:t>
      </w:r>
      <w:r w:rsidRPr="00EC20A0">
        <w:rPr>
          <w:spacing w:val="-3"/>
        </w:rPr>
        <w:t xml:space="preserve"> </w:t>
      </w:r>
      <w:r w:rsidRPr="00EC20A0">
        <w:t>and</w:t>
      </w:r>
      <w:r w:rsidRPr="00EC20A0">
        <w:rPr>
          <w:spacing w:val="-3"/>
        </w:rPr>
        <w:t xml:space="preserve"> </w:t>
      </w:r>
      <w:r w:rsidRPr="00EC20A0">
        <w:t>(3)</w:t>
      </w:r>
      <w:r w:rsidRPr="00EC20A0">
        <w:rPr>
          <w:spacing w:val="-3"/>
        </w:rPr>
        <w:t xml:space="preserve"> </w:t>
      </w:r>
      <w:r w:rsidRPr="00EC20A0">
        <w:t>that</w:t>
      </w:r>
      <w:r w:rsidRPr="00EC20A0">
        <w:rPr>
          <w:spacing w:val="-3"/>
        </w:rPr>
        <w:t xml:space="preserve"> </w:t>
      </w:r>
      <w:r w:rsidRPr="00EC20A0">
        <w:t>can</w:t>
      </w:r>
      <w:r w:rsidRPr="00EC20A0">
        <w:rPr>
          <w:spacing w:val="-3"/>
        </w:rPr>
        <w:t xml:space="preserve"> </w:t>
      </w:r>
      <w:r w:rsidRPr="00EC20A0">
        <w:t>be</w:t>
      </w:r>
      <w:r w:rsidRPr="00EC20A0">
        <w:rPr>
          <w:spacing w:val="-3"/>
        </w:rPr>
        <w:t xml:space="preserve"> </w:t>
      </w:r>
      <w:r w:rsidRPr="00EC20A0">
        <w:t>linked</w:t>
      </w:r>
      <w:r w:rsidRPr="00EC20A0">
        <w:rPr>
          <w:spacing w:val="-3"/>
        </w:rPr>
        <w:t xml:space="preserve"> </w:t>
      </w:r>
      <w:r w:rsidRPr="00EC20A0">
        <w:t>to</w:t>
      </w:r>
      <w:r w:rsidRPr="00EC20A0">
        <w:rPr>
          <w:spacing w:val="-3"/>
        </w:rPr>
        <w:t xml:space="preserve"> </w:t>
      </w:r>
      <w:r w:rsidRPr="00EC20A0">
        <w:t>strategic</w:t>
      </w:r>
      <w:r w:rsidRPr="00EC20A0">
        <w:rPr>
          <w:spacing w:val="-3"/>
        </w:rPr>
        <w:t xml:space="preserve"> </w:t>
      </w:r>
      <w:r w:rsidRPr="00EC20A0">
        <w:t>goals</w:t>
      </w:r>
      <w:r w:rsidRPr="00EC20A0">
        <w:rPr>
          <w:spacing w:val="-4"/>
        </w:rPr>
        <w:t xml:space="preserve"> </w:t>
      </w:r>
      <w:r w:rsidRPr="00EC20A0">
        <w:t>and performance information.</w:t>
      </w:r>
    </w:p>
    <w:p w14:paraId="24D6048D" w14:textId="77777777" w:rsidR="00245300" w:rsidRPr="00EC20A0" w:rsidRDefault="00F17249">
      <w:pPr>
        <w:pStyle w:val="ListParagraph"/>
        <w:numPr>
          <w:ilvl w:val="2"/>
          <w:numId w:val="12"/>
        </w:numPr>
        <w:tabs>
          <w:tab w:val="left" w:pos="2580"/>
        </w:tabs>
        <w:spacing w:before="239"/>
        <w:ind w:left="2580" w:right="603"/>
      </w:pPr>
      <w:r w:rsidRPr="00EC20A0">
        <w:t>Provide</w:t>
      </w:r>
      <w:r w:rsidRPr="00EC20A0">
        <w:rPr>
          <w:spacing w:val="-4"/>
        </w:rPr>
        <w:t xml:space="preserve"> </w:t>
      </w:r>
      <w:r w:rsidRPr="00EC20A0">
        <w:t>internal</w:t>
      </w:r>
      <w:r w:rsidRPr="00EC20A0">
        <w:rPr>
          <w:spacing w:val="-4"/>
        </w:rPr>
        <w:t xml:space="preserve"> </w:t>
      </w:r>
      <w:r w:rsidRPr="00EC20A0">
        <w:t>control</w:t>
      </w:r>
      <w:r w:rsidRPr="00EC20A0">
        <w:rPr>
          <w:spacing w:val="-4"/>
        </w:rPr>
        <w:t xml:space="preserve"> </w:t>
      </w:r>
      <w:r w:rsidRPr="00EC20A0">
        <w:t>to</w:t>
      </w:r>
      <w:r w:rsidRPr="00EC20A0">
        <w:rPr>
          <w:spacing w:val="-4"/>
        </w:rPr>
        <w:t xml:space="preserve"> </w:t>
      </w:r>
      <w:r w:rsidRPr="00EC20A0">
        <w:t>restrict</w:t>
      </w:r>
      <w:r w:rsidRPr="00EC20A0">
        <w:rPr>
          <w:spacing w:val="-4"/>
        </w:rPr>
        <w:t xml:space="preserve"> </w:t>
      </w:r>
      <w:r w:rsidRPr="00EC20A0">
        <w:t>federal</w:t>
      </w:r>
      <w:r w:rsidRPr="00EC20A0">
        <w:rPr>
          <w:spacing w:val="-4"/>
        </w:rPr>
        <w:t xml:space="preserve"> </w:t>
      </w:r>
      <w:r w:rsidRPr="00EC20A0">
        <w:t>obligations</w:t>
      </w:r>
      <w:r w:rsidRPr="00EC20A0">
        <w:rPr>
          <w:spacing w:val="-4"/>
        </w:rPr>
        <w:t xml:space="preserve"> </w:t>
      </w:r>
      <w:r w:rsidRPr="00EC20A0">
        <w:t>and</w:t>
      </w:r>
      <w:r w:rsidRPr="00EC20A0">
        <w:rPr>
          <w:spacing w:val="-4"/>
        </w:rPr>
        <w:t xml:space="preserve"> </w:t>
      </w:r>
      <w:r w:rsidRPr="00EC20A0">
        <w:t>outlays</w:t>
      </w:r>
      <w:r w:rsidRPr="00EC20A0">
        <w:rPr>
          <w:spacing w:val="-4"/>
        </w:rPr>
        <w:t xml:space="preserve"> </w:t>
      </w:r>
      <w:r w:rsidRPr="00EC20A0">
        <w:t>to</w:t>
      </w:r>
      <w:r w:rsidRPr="00EC20A0">
        <w:rPr>
          <w:spacing w:val="-4"/>
        </w:rPr>
        <w:t xml:space="preserve"> </w:t>
      </w:r>
      <w:r w:rsidRPr="00EC20A0">
        <w:t xml:space="preserve">those </w:t>
      </w:r>
      <w:r w:rsidRPr="00EC20A0">
        <w:t>authorized by law and within the amount available.</w:t>
      </w:r>
    </w:p>
    <w:p w14:paraId="24D6048E" w14:textId="77777777" w:rsidR="00245300" w:rsidRPr="00EC20A0" w:rsidRDefault="00F17249">
      <w:pPr>
        <w:pStyle w:val="ListParagraph"/>
        <w:numPr>
          <w:ilvl w:val="2"/>
          <w:numId w:val="12"/>
        </w:numPr>
        <w:tabs>
          <w:tab w:val="left" w:pos="2580"/>
        </w:tabs>
        <w:spacing w:before="239"/>
        <w:ind w:left="2580" w:right="1216"/>
      </w:pPr>
      <w:r w:rsidRPr="00EC20A0">
        <w:t>Perform</w:t>
      </w:r>
      <w:r w:rsidRPr="00EC20A0">
        <w:rPr>
          <w:spacing w:val="-7"/>
        </w:rPr>
        <w:t xml:space="preserve"> </w:t>
      </w:r>
      <w:r w:rsidRPr="00EC20A0">
        <w:t>federal</w:t>
      </w:r>
      <w:r w:rsidRPr="00EC20A0">
        <w:rPr>
          <w:spacing w:val="-6"/>
        </w:rPr>
        <w:t xml:space="preserve"> </w:t>
      </w:r>
      <w:r w:rsidRPr="00EC20A0">
        <w:t>financial</w:t>
      </w:r>
      <w:r w:rsidRPr="00EC20A0">
        <w:rPr>
          <w:spacing w:val="-6"/>
        </w:rPr>
        <w:t xml:space="preserve"> </w:t>
      </w:r>
      <w:r w:rsidRPr="00EC20A0">
        <w:t>management</w:t>
      </w:r>
      <w:r w:rsidRPr="00EC20A0">
        <w:rPr>
          <w:spacing w:val="-6"/>
        </w:rPr>
        <w:t xml:space="preserve"> </w:t>
      </w:r>
      <w:r w:rsidRPr="00EC20A0">
        <w:t>operations</w:t>
      </w:r>
      <w:r w:rsidRPr="00EC20A0">
        <w:rPr>
          <w:spacing w:val="-6"/>
        </w:rPr>
        <w:t xml:space="preserve"> </w:t>
      </w:r>
      <w:r w:rsidRPr="00EC20A0">
        <w:t>effectively</w:t>
      </w:r>
      <w:r w:rsidRPr="00EC20A0">
        <w:rPr>
          <w:spacing w:val="-7"/>
        </w:rPr>
        <w:t xml:space="preserve"> </w:t>
      </w:r>
      <w:r w:rsidRPr="00EC20A0">
        <w:t>within resources available.</w:t>
      </w:r>
    </w:p>
    <w:p w14:paraId="24D6048F" w14:textId="77777777" w:rsidR="00245300" w:rsidRPr="00EC20A0" w:rsidRDefault="00F17249">
      <w:pPr>
        <w:pStyle w:val="ListParagraph"/>
        <w:numPr>
          <w:ilvl w:val="2"/>
          <w:numId w:val="12"/>
        </w:numPr>
        <w:tabs>
          <w:tab w:val="left" w:pos="2580"/>
        </w:tabs>
        <w:spacing w:before="238"/>
        <w:ind w:left="2580" w:right="556"/>
      </w:pPr>
      <w:r w:rsidRPr="00EC20A0">
        <w:t>Minimize</w:t>
      </w:r>
      <w:r w:rsidRPr="00EC20A0">
        <w:rPr>
          <w:spacing w:val="-5"/>
        </w:rPr>
        <w:t xml:space="preserve"> </w:t>
      </w:r>
      <w:r w:rsidRPr="00EC20A0">
        <w:t>(1)</w:t>
      </w:r>
      <w:r w:rsidRPr="00EC20A0">
        <w:rPr>
          <w:spacing w:val="-5"/>
        </w:rPr>
        <w:t xml:space="preserve"> </w:t>
      </w:r>
      <w:r w:rsidRPr="00EC20A0">
        <w:t>waste,</w:t>
      </w:r>
      <w:r w:rsidRPr="00EC20A0">
        <w:rPr>
          <w:spacing w:val="-5"/>
        </w:rPr>
        <w:t xml:space="preserve"> </w:t>
      </w:r>
      <w:r w:rsidRPr="00EC20A0">
        <w:t>loss,</w:t>
      </w:r>
      <w:r w:rsidRPr="00EC20A0">
        <w:rPr>
          <w:spacing w:val="-5"/>
        </w:rPr>
        <w:t xml:space="preserve"> </w:t>
      </w:r>
      <w:r w:rsidRPr="00EC20A0">
        <w:t>unauthorized</w:t>
      </w:r>
      <w:r w:rsidRPr="00EC20A0">
        <w:rPr>
          <w:spacing w:val="-5"/>
        </w:rPr>
        <w:t xml:space="preserve"> </w:t>
      </w:r>
      <w:r w:rsidRPr="00EC20A0">
        <w:t>use,</w:t>
      </w:r>
      <w:r w:rsidRPr="00EC20A0">
        <w:rPr>
          <w:spacing w:val="-5"/>
        </w:rPr>
        <w:t xml:space="preserve"> </w:t>
      </w:r>
      <w:r w:rsidRPr="00EC20A0">
        <w:t>or</w:t>
      </w:r>
      <w:r w:rsidRPr="00EC20A0">
        <w:rPr>
          <w:spacing w:val="-5"/>
        </w:rPr>
        <w:t xml:space="preserve"> </w:t>
      </w:r>
      <w:r w:rsidRPr="00EC20A0">
        <w:t>misappropriation</w:t>
      </w:r>
      <w:r w:rsidRPr="00EC20A0">
        <w:rPr>
          <w:spacing w:val="-5"/>
        </w:rPr>
        <w:t xml:space="preserve"> </w:t>
      </w:r>
      <w:r w:rsidRPr="00EC20A0">
        <w:t>of</w:t>
      </w:r>
      <w:r w:rsidRPr="00EC20A0">
        <w:rPr>
          <w:spacing w:val="-5"/>
        </w:rPr>
        <w:t xml:space="preserve"> </w:t>
      </w:r>
      <w:r w:rsidRPr="00EC20A0">
        <w:t xml:space="preserve">federal funds, property, and other assets within resources available and (2) federal financial management systems security risks to an acceptable </w:t>
      </w:r>
      <w:r w:rsidRPr="00EC20A0">
        <w:rPr>
          <w:spacing w:val="-2"/>
        </w:rPr>
        <w:t>level.</w:t>
      </w:r>
    </w:p>
    <w:p w14:paraId="24D60490" w14:textId="77777777" w:rsidR="00245300" w:rsidRPr="00EC20A0" w:rsidRDefault="00F17249">
      <w:pPr>
        <w:pStyle w:val="ListParagraph"/>
        <w:numPr>
          <w:ilvl w:val="1"/>
          <w:numId w:val="12"/>
        </w:numPr>
        <w:tabs>
          <w:tab w:val="left" w:pos="2220"/>
        </w:tabs>
        <w:spacing w:before="238"/>
        <w:ind w:right="624"/>
      </w:pPr>
      <w:r w:rsidRPr="00EC20A0">
        <w:rPr>
          <w:b/>
        </w:rPr>
        <w:t>Federal</w:t>
      </w:r>
      <w:r w:rsidRPr="00EC20A0">
        <w:rPr>
          <w:b/>
          <w:spacing w:val="-6"/>
        </w:rPr>
        <w:t xml:space="preserve"> </w:t>
      </w:r>
      <w:r w:rsidRPr="00EC20A0">
        <w:rPr>
          <w:b/>
        </w:rPr>
        <w:t>accounting</w:t>
      </w:r>
      <w:r w:rsidRPr="00EC20A0">
        <w:rPr>
          <w:b/>
          <w:spacing w:val="-6"/>
        </w:rPr>
        <w:t xml:space="preserve"> </w:t>
      </w:r>
      <w:r w:rsidRPr="00EC20A0">
        <w:rPr>
          <w:b/>
        </w:rPr>
        <w:t>standards.</w:t>
      </w:r>
      <w:r w:rsidRPr="00EC20A0">
        <w:rPr>
          <w:b/>
          <w:spacing w:val="-5"/>
        </w:rPr>
        <w:t xml:space="preserve"> </w:t>
      </w:r>
      <w:r w:rsidRPr="00EC20A0">
        <w:t>Agency</w:t>
      </w:r>
      <w:r w:rsidRPr="00EC20A0">
        <w:rPr>
          <w:spacing w:val="-6"/>
        </w:rPr>
        <w:t xml:space="preserve"> </w:t>
      </w:r>
      <w:r w:rsidRPr="00EC20A0">
        <w:t>financial</w:t>
      </w:r>
      <w:r w:rsidRPr="00EC20A0">
        <w:rPr>
          <w:spacing w:val="-6"/>
        </w:rPr>
        <w:t xml:space="preserve"> </w:t>
      </w:r>
      <w:r w:rsidRPr="00EC20A0">
        <w:t>management</w:t>
      </w:r>
      <w:r w:rsidRPr="00EC20A0">
        <w:rPr>
          <w:spacing w:val="-6"/>
        </w:rPr>
        <w:t xml:space="preserve"> </w:t>
      </w:r>
      <w:r w:rsidRPr="00EC20A0">
        <w:t>systems</w:t>
      </w:r>
      <w:r w:rsidRPr="00EC20A0">
        <w:rPr>
          <w:spacing w:val="-7"/>
        </w:rPr>
        <w:t xml:space="preserve"> </w:t>
      </w:r>
      <w:r w:rsidRPr="00EC20A0">
        <w:t>will maintain</w:t>
      </w:r>
      <w:r w:rsidRPr="00EC20A0">
        <w:rPr>
          <w:spacing w:val="-1"/>
        </w:rPr>
        <w:t xml:space="preserve"> </w:t>
      </w:r>
      <w:r w:rsidRPr="00EC20A0">
        <w:t>accounting</w:t>
      </w:r>
      <w:r w:rsidRPr="00EC20A0">
        <w:rPr>
          <w:spacing w:val="-1"/>
        </w:rPr>
        <w:t xml:space="preserve"> </w:t>
      </w:r>
      <w:r w:rsidRPr="00EC20A0">
        <w:t>data</w:t>
      </w:r>
      <w:r w:rsidRPr="00EC20A0">
        <w:rPr>
          <w:spacing w:val="-1"/>
        </w:rPr>
        <w:t xml:space="preserve"> </w:t>
      </w:r>
      <w:r w:rsidRPr="00EC20A0">
        <w:t>to</w:t>
      </w:r>
      <w:r w:rsidRPr="00EC20A0">
        <w:rPr>
          <w:spacing w:val="-1"/>
        </w:rPr>
        <w:t xml:space="preserve"> </w:t>
      </w:r>
      <w:r w:rsidRPr="00EC20A0">
        <w:t>permit</w:t>
      </w:r>
      <w:r w:rsidRPr="00EC20A0">
        <w:rPr>
          <w:spacing w:val="-1"/>
        </w:rPr>
        <w:t xml:space="preserve"> </w:t>
      </w:r>
      <w:r w:rsidRPr="00EC20A0">
        <w:t>reporting</w:t>
      </w:r>
      <w:r w:rsidRPr="00EC20A0">
        <w:rPr>
          <w:spacing w:val="-1"/>
        </w:rPr>
        <w:t xml:space="preserve"> </w:t>
      </w:r>
      <w:r w:rsidRPr="00EC20A0">
        <w:t>in</w:t>
      </w:r>
      <w:r w:rsidRPr="00EC20A0">
        <w:rPr>
          <w:spacing w:val="-1"/>
        </w:rPr>
        <w:t xml:space="preserve"> </w:t>
      </w:r>
      <w:r w:rsidRPr="00EC20A0">
        <w:t>accordance</w:t>
      </w:r>
      <w:r w:rsidRPr="00EC20A0">
        <w:rPr>
          <w:spacing w:val="-2"/>
        </w:rPr>
        <w:t xml:space="preserve"> </w:t>
      </w:r>
      <w:r w:rsidRPr="00EC20A0">
        <w:t>with</w:t>
      </w:r>
      <w:r w:rsidRPr="00EC20A0">
        <w:rPr>
          <w:spacing w:val="-1"/>
        </w:rPr>
        <w:t xml:space="preserve"> </w:t>
      </w:r>
      <w:r w:rsidRPr="00EC20A0">
        <w:t>U.S. GAAP.</w:t>
      </w:r>
    </w:p>
    <w:p w14:paraId="24D60491" w14:textId="77777777" w:rsidR="00245300" w:rsidRPr="00EC20A0" w:rsidRDefault="00F17249">
      <w:pPr>
        <w:pStyle w:val="ListParagraph"/>
        <w:numPr>
          <w:ilvl w:val="1"/>
          <w:numId w:val="12"/>
        </w:numPr>
        <w:tabs>
          <w:tab w:val="left" w:pos="2218"/>
          <w:tab w:val="left" w:pos="2220"/>
        </w:tabs>
        <w:ind w:right="646" w:hanging="361"/>
      </w:pPr>
      <w:r w:rsidRPr="00EC20A0">
        <w:rPr>
          <w:b/>
        </w:rPr>
        <w:t xml:space="preserve">USSGL at the transaction level. </w:t>
      </w:r>
      <w:r w:rsidRPr="00EC20A0">
        <w:t>Agencies shall apply the requirements of USSGL</w:t>
      </w:r>
      <w:r w:rsidRPr="00EC20A0">
        <w:rPr>
          <w:spacing w:val="-3"/>
        </w:rPr>
        <w:t xml:space="preserve"> </w:t>
      </w:r>
      <w:r w:rsidRPr="00EC20A0">
        <w:t>guidance</w:t>
      </w:r>
      <w:r w:rsidRPr="00EC20A0">
        <w:rPr>
          <w:spacing w:val="-3"/>
        </w:rPr>
        <w:t xml:space="preserve"> </w:t>
      </w:r>
      <w:r w:rsidRPr="00EC20A0">
        <w:t>in</w:t>
      </w:r>
      <w:r w:rsidRPr="00EC20A0">
        <w:rPr>
          <w:spacing w:val="-3"/>
        </w:rPr>
        <w:t xml:space="preserve"> </w:t>
      </w:r>
      <w:r w:rsidRPr="00EC20A0">
        <w:t>the</w:t>
      </w:r>
      <w:r w:rsidRPr="00EC20A0">
        <w:rPr>
          <w:spacing w:val="-4"/>
        </w:rPr>
        <w:t xml:space="preserve"> </w:t>
      </w:r>
      <w:r w:rsidRPr="00EC20A0">
        <w:t>TFM</w:t>
      </w:r>
      <w:r w:rsidRPr="00EC20A0">
        <w:rPr>
          <w:spacing w:val="-4"/>
        </w:rPr>
        <w:t xml:space="preserve"> </w:t>
      </w:r>
      <w:r w:rsidRPr="00EC20A0">
        <w:t>when</w:t>
      </w:r>
      <w:r w:rsidRPr="00EC20A0">
        <w:rPr>
          <w:spacing w:val="-3"/>
        </w:rPr>
        <w:t xml:space="preserve"> </w:t>
      </w:r>
      <w:r w:rsidRPr="00EC20A0">
        <w:t>recording</w:t>
      </w:r>
      <w:r w:rsidRPr="00EC20A0">
        <w:rPr>
          <w:spacing w:val="-3"/>
        </w:rPr>
        <w:t xml:space="preserve"> </w:t>
      </w:r>
      <w:r w:rsidRPr="00EC20A0">
        <w:t>financial</w:t>
      </w:r>
      <w:r w:rsidRPr="00EC20A0">
        <w:rPr>
          <w:spacing w:val="-3"/>
        </w:rPr>
        <w:t xml:space="preserve"> </w:t>
      </w:r>
      <w:r w:rsidRPr="00EC20A0">
        <w:t>events.</w:t>
      </w:r>
      <w:r w:rsidRPr="00EC20A0">
        <w:rPr>
          <w:spacing w:val="-3"/>
        </w:rPr>
        <w:t xml:space="preserve"> </w:t>
      </w:r>
      <w:r w:rsidRPr="00EC20A0">
        <w:t>Application</w:t>
      </w:r>
      <w:r w:rsidRPr="00EC20A0">
        <w:rPr>
          <w:spacing w:val="-3"/>
        </w:rPr>
        <w:t xml:space="preserve"> </w:t>
      </w:r>
      <w:r w:rsidRPr="00EC20A0">
        <w:t>of the</w:t>
      </w:r>
      <w:r w:rsidRPr="00EC20A0">
        <w:rPr>
          <w:spacing w:val="-4"/>
        </w:rPr>
        <w:t xml:space="preserve"> </w:t>
      </w:r>
      <w:r w:rsidRPr="00EC20A0">
        <w:t>USSGL</w:t>
      </w:r>
      <w:r w:rsidRPr="00EC20A0">
        <w:rPr>
          <w:spacing w:val="-3"/>
        </w:rPr>
        <w:t xml:space="preserve"> </w:t>
      </w:r>
      <w:r w:rsidRPr="00EC20A0">
        <w:t>at</w:t>
      </w:r>
      <w:r w:rsidRPr="00EC20A0">
        <w:rPr>
          <w:spacing w:val="-4"/>
        </w:rPr>
        <w:t xml:space="preserve"> </w:t>
      </w:r>
      <w:r w:rsidRPr="00EC20A0">
        <w:t>the</w:t>
      </w:r>
      <w:r w:rsidRPr="00EC20A0">
        <w:rPr>
          <w:spacing w:val="-4"/>
        </w:rPr>
        <w:t xml:space="preserve"> </w:t>
      </w:r>
      <w:r w:rsidRPr="00EC20A0">
        <w:t>transaction</w:t>
      </w:r>
      <w:r w:rsidRPr="00EC20A0">
        <w:rPr>
          <w:spacing w:val="-4"/>
        </w:rPr>
        <w:t xml:space="preserve"> </w:t>
      </w:r>
      <w:r w:rsidRPr="00EC20A0">
        <w:t>level</w:t>
      </w:r>
      <w:r w:rsidRPr="00EC20A0">
        <w:rPr>
          <w:spacing w:val="-4"/>
        </w:rPr>
        <w:t xml:space="preserve"> </w:t>
      </w:r>
      <w:r w:rsidRPr="00EC20A0">
        <w:t>means</w:t>
      </w:r>
      <w:r w:rsidRPr="00EC20A0">
        <w:rPr>
          <w:spacing w:val="-4"/>
        </w:rPr>
        <w:t xml:space="preserve"> </w:t>
      </w:r>
      <w:r w:rsidRPr="00EC20A0">
        <w:t>that</w:t>
      </w:r>
      <w:r w:rsidRPr="00EC20A0">
        <w:rPr>
          <w:spacing w:val="-4"/>
        </w:rPr>
        <w:t xml:space="preserve"> </w:t>
      </w:r>
      <w:r w:rsidRPr="00EC20A0">
        <w:t>each</w:t>
      </w:r>
      <w:r w:rsidRPr="00EC20A0">
        <w:rPr>
          <w:spacing w:val="-4"/>
        </w:rPr>
        <w:t xml:space="preserve"> </w:t>
      </w:r>
      <w:r w:rsidRPr="00EC20A0">
        <w:t>time</w:t>
      </w:r>
      <w:r w:rsidRPr="00EC20A0">
        <w:rPr>
          <w:spacing w:val="-4"/>
        </w:rPr>
        <w:t xml:space="preserve"> </w:t>
      </w:r>
      <w:r w:rsidRPr="00EC20A0">
        <w:t>an</w:t>
      </w:r>
      <w:r w:rsidRPr="00EC20A0">
        <w:rPr>
          <w:spacing w:val="-4"/>
        </w:rPr>
        <w:t xml:space="preserve"> </w:t>
      </w:r>
      <w:r w:rsidRPr="00EC20A0">
        <w:t>agency</w:t>
      </w:r>
      <w:r w:rsidRPr="00EC20A0">
        <w:rPr>
          <w:spacing w:val="-3"/>
        </w:rPr>
        <w:t xml:space="preserve"> </w:t>
      </w:r>
      <w:r w:rsidRPr="00EC20A0">
        <w:t xml:space="preserve">records an approved transaction in its </w:t>
      </w:r>
      <w:r w:rsidRPr="00EC20A0">
        <w:t>financial system, the system will generate appropriate</w:t>
      </w:r>
      <w:r w:rsidRPr="00EC20A0">
        <w:rPr>
          <w:spacing w:val="-1"/>
        </w:rPr>
        <w:t xml:space="preserve"> </w:t>
      </w:r>
      <w:r w:rsidRPr="00EC20A0">
        <w:t>general ledger accounts</w:t>
      </w:r>
      <w:r w:rsidRPr="00EC20A0">
        <w:rPr>
          <w:spacing w:val="-1"/>
        </w:rPr>
        <w:t xml:space="preserve"> </w:t>
      </w:r>
      <w:r w:rsidRPr="00EC20A0">
        <w:t>for posting the transaction according to the rules defined in USSGL guidance. An agency may record individual transactions in its financial system in detail or in summary as long as each transaction is traceable to the transaction source.</w:t>
      </w:r>
    </w:p>
    <w:p w14:paraId="24D60492" w14:textId="77777777" w:rsidR="00245300" w:rsidRPr="00EC20A0" w:rsidRDefault="00F17249">
      <w:pPr>
        <w:pStyle w:val="BodyText"/>
        <w:spacing w:before="120"/>
        <w:ind w:left="1860" w:right="562"/>
      </w:pPr>
      <w:r w:rsidRPr="00EC20A0">
        <w:t>According to appendix D, agencies that use shared service providers are encouraged</w:t>
      </w:r>
      <w:r w:rsidRPr="00EC20A0">
        <w:rPr>
          <w:spacing w:val="-5"/>
        </w:rPr>
        <w:t xml:space="preserve"> </w:t>
      </w:r>
      <w:r w:rsidRPr="00EC20A0">
        <w:t>to</w:t>
      </w:r>
      <w:r w:rsidRPr="00EC20A0">
        <w:rPr>
          <w:spacing w:val="-4"/>
        </w:rPr>
        <w:t xml:space="preserve"> </w:t>
      </w:r>
      <w:r w:rsidRPr="00EC20A0">
        <w:t>use</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organization</w:t>
      </w:r>
      <w:r w:rsidRPr="00EC20A0">
        <w:rPr>
          <w:spacing w:val="-4"/>
        </w:rPr>
        <w:t xml:space="preserve"> </w:t>
      </w:r>
      <w:r w:rsidRPr="00EC20A0">
        <w:t>report</w:t>
      </w:r>
      <w:r w:rsidRPr="00EC20A0">
        <w:rPr>
          <w:spacing w:val="-4"/>
        </w:rPr>
        <w:t xml:space="preserve"> </w:t>
      </w:r>
      <w:r w:rsidRPr="00EC20A0">
        <w:t>as</w:t>
      </w:r>
      <w:r w:rsidRPr="00EC20A0">
        <w:rPr>
          <w:spacing w:val="-4"/>
        </w:rPr>
        <w:t xml:space="preserve"> </w:t>
      </w:r>
      <w:r w:rsidRPr="00EC20A0">
        <w:t>part</w:t>
      </w:r>
      <w:r w:rsidRPr="00EC20A0">
        <w:rPr>
          <w:spacing w:val="-4"/>
        </w:rPr>
        <w:t xml:space="preserve"> </w:t>
      </w:r>
      <w:r w:rsidRPr="00EC20A0">
        <w:t>of</w:t>
      </w:r>
      <w:r w:rsidRPr="00EC20A0">
        <w:rPr>
          <w:spacing w:val="-4"/>
        </w:rPr>
        <w:t xml:space="preserve"> </w:t>
      </w:r>
      <w:r w:rsidRPr="00EC20A0">
        <w:t>their</w:t>
      </w:r>
      <w:r w:rsidRPr="00EC20A0">
        <w:rPr>
          <w:spacing w:val="-4"/>
        </w:rPr>
        <w:t xml:space="preserve"> </w:t>
      </w:r>
      <w:r w:rsidRPr="00EC20A0">
        <w:t>assessment</w:t>
      </w:r>
      <w:r w:rsidRPr="00EC20A0">
        <w:rPr>
          <w:spacing w:val="-4"/>
        </w:rPr>
        <w:t xml:space="preserve"> </w:t>
      </w:r>
      <w:r w:rsidRPr="00EC20A0">
        <w:t>of FFMIA compliance, provided the report is of appropriate time period, coverage,</w:t>
      </w:r>
    </w:p>
    <w:p w14:paraId="24D60493" w14:textId="77777777" w:rsidR="00245300" w:rsidRPr="00EC20A0" w:rsidRDefault="00245300">
      <w:pPr>
        <w:sectPr w:rsidR="00245300" w:rsidRPr="00EC20A0">
          <w:pgSz w:w="12240" w:h="15840"/>
          <w:pgMar w:top="1340" w:right="940" w:bottom="940" w:left="1020" w:header="721" w:footer="757" w:gutter="0"/>
          <w:cols w:space="720"/>
        </w:sectPr>
      </w:pPr>
    </w:p>
    <w:p w14:paraId="24D60494" w14:textId="77777777" w:rsidR="00245300" w:rsidRPr="00EC20A0" w:rsidRDefault="00F17249">
      <w:pPr>
        <w:pStyle w:val="BodyText"/>
        <w:spacing w:before="121"/>
        <w:ind w:left="1859" w:right="527"/>
      </w:pPr>
      <w:r w:rsidRPr="00EC20A0">
        <w:t>and scope.</w:t>
      </w:r>
      <w:hyperlink w:anchor="_bookmark54" w:history="1">
        <w:r w:rsidRPr="00EC20A0">
          <w:rPr>
            <w:position w:val="7"/>
            <w:sz w:val="14"/>
          </w:rPr>
          <w:t>10</w:t>
        </w:r>
      </w:hyperlink>
      <w:r w:rsidRPr="00EC20A0">
        <w:rPr>
          <w:spacing w:val="34"/>
          <w:position w:val="7"/>
          <w:sz w:val="14"/>
        </w:rPr>
        <w:t xml:space="preserve"> </w:t>
      </w:r>
      <w:r w:rsidRPr="00EC20A0">
        <w:t>The service organization report is an important tool for agency management and auditors as they evaluate the effect of the controls at the service</w:t>
      </w:r>
      <w:r w:rsidRPr="00EC20A0">
        <w:rPr>
          <w:spacing w:val="-4"/>
        </w:rPr>
        <w:t xml:space="preserve"> </w:t>
      </w:r>
      <w:r w:rsidRPr="00EC20A0">
        <w:t>organization</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agency’s</w:t>
      </w:r>
      <w:r w:rsidRPr="00EC20A0">
        <w:rPr>
          <w:spacing w:val="-4"/>
        </w:rPr>
        <w:t xml:space="preserve"> </w:t>
      </w:r>
      <w:r w:rsidRPr="00EC20A0">
        <w:t>internal</w:t>
      </w:r>
      <w:r w:rsidRPr="00EC20A0">
        <w:rPr>
          <w:spacing w:val="-4"/>
        </w:rPr>
        <w:t xml:space="preserve"> </w:t>
      </w:r>
      <w:r w:rsidRPr="00EC20A0">
        <w:t>control</w:t>
      </w:r>
      <w:r w:rsidRPr="00EC20A0">
        <w:rPr>
          <w:spacing w:val="-4"/>
        </w:rPr>
        <w:t xml:space="preserve"> </w:t>
      </w:r>
      <w:r w:rsidRPr="00EC20A0">
        <w:t>over</w:t>
      </w:r>
      <w:r w:rsidRPr="00EC20A0">
        <w:rPr>
          <w:spacing w:val="-4"/>
        </w:rPr>
        <w:t xml:space="preserve"> </w:t>
      </w:r>
      <w:r w:rsidRPr="00EC20A0">
        <w:t>financial</w:t>
      </w:r>
      <w:r w:rsidRPr="00EC20A0">
        <w:rPr>
          <w:spacing w:val="-4"/>
        </w:rPr>
        <w:t xml:space="preserve"> </w:t>
      </w:r>
      <w:r w:rsidRPr="00EC20A0">
        <w:t>reporting.</w:t>
      </w:r>
      <w:r w:rsidRPr="00EC20A0">
        <w:rPr>
          <w:spacing w:val="-4"/>
        </w:rPr>
        <w:t xml:space="preserve"> </w:t>
      </w:r>
      <w:r w:rsidRPr="00EC20A0">
        <w:t>See FAM 640 for further guidance related to service organizations.</w:t>
      </w:r>
    </w:p>
    <w:p w14:paraId="24D60495" w14:textId="77777777" w:rsidR="00245300" w:rsidRPr="00EC20A0" w:rsidRDefault="00F17249">
      <w:pPr>
        <w:pStyle w:val="ListParagraph"/>
        <w:numPr>
          <w:ilvl w:val="0"/>
          <w:numId w:val="12"/>
        </w:numPr>
        <w:tabs>
          <w:tab w:val="left" w:pos="1860"/>
        </w:tabs>
        <w:ind w:hanging="720"/>
      </w:pPr>
      <w:r w:rsidRPr="00EC20A0">
        <w:t>OMB</w:t>
      </w:r>
      <w:r w:rsidRPr="00EC20A0">
        <w:rPr>
          <w:spacing w:val="-9"/>
        </w:rPr>
        <w:t xml:space="preserve"> </w:t>
      </w:r>
      <w:r w:rsidRPr="00EC20A0">
        <w:t>audit</w:t>
      </w:r>
      <w:r w:rsidRPr="00EC20A0">
        <w:rPr>
          <w:spacing w:val="-7"/>
        </w:rPr>
        <w:t xml:space="preserve"> </w:t>
      </w:r>
      <w:r w:rsidRPr="00EC20A0">
        <w:t>guidance</w:t>
      </w:r>
      <w:r w:rsidRPr="00EC20A0">
        <w:rPr>
          <w:spacing w:val="-7"/>
        </w:rPr>
        <w:t xml:space="preserve"> </w:t>
      </w:r>
      <w:r w:rsidRPr="00EC20A0">
        <w:t>provides</w:t>
      </w:r>
      <w:r w:rsidRPr="00EC20A0">
        <w:rPr>
          <w:spacing w:val="-7"/>
        </w:rPr>
        <w:t xml:space="preserve"> </w:t>
      </w:r>
      <w:r w:rsidRPr="00EC20A0">
        <w:t>auditors</w:t>
      </w:r>
      <w:r w:rsidRPr="00EC20A0">
        <w:rPr>
          <w:spacing w:val="-7"/>
        </w:rPr>
        <w:t xml:space="preserve"> </w:t>
      </w:r>
      <w:r w:rsidRPr="00EC20A0">
        <w:t>the</w:t>
      </w:r>
      <w:r w:rsidRPr="00EC20A0">
        <w:rPr>
          <w:spacing w:val="-7"/>
        </w:rPr>
        <w:t xml:space="preserve"> </w:t>
      </w:r>
      <w:r w:rsidRPr="00EC20A0">
        <w:t>following</w:t>
      </w:r>
      <w:r w:rsidRPr="00EC20A0">
        <w:rPr>
          <w:spacing w:val="-7"/>
        </w:rPr>
        <w:t xml:space="preserve"> </w:t>
      </w:r>
      <w:r w:rsidRPr="00EC20A0">
        <w:t>guidance</w:t>
      </w:r>
      <w:r w:rsidRPr="00EC20A0">
        <w:rPr>
          <w:spacing w:val="-8"/>
        </w:rPr>
        <w:t xml:space="preserve"> </w:t>
      </w:r>
      <w:r w:rsidRPr="00EC20A0">
        <w:t>relevant</w:t>
      </w:r>
      <w:r w:rsidRPr="00EC20A0">
        <w:rPr>
          <w:spacing w:val="-8"/>
        </w:rPr>
        <w:t xml:space="preserve"> </w:t>
      </w:r>
      <w:r w:rsidRPr="00EC20A0">
        <w:t>to</w:t>
      </w:r>
      <w:r w:rsidRPr="00EC20A0">
        <w:rPr>
          <w:spacing w:val="-8"/>
        </w:rPr>
        <w:t xml:space="preserve"> </w:t>
      </w:r>
      <w:r w:rsidRPr="00EC20A0">
        <w:rPr>
          <w:spacing w:val="-2"/>
        </w:rPr>
        <w:t>FFMIA.</w:t>
      </w:r>
    </w:p>
    <w:p w14:paraId="24D60496" w14:textId="77777777" w:rsidR="00245300" w:rsidRPr="00EC20A0" w:rsidRDefault="00F17249">
      <w:pPr>
        <w:pStyle w:val="ListParagraph"/>
        <w:numPr>
          <w:ilvl w:val="1"/>
          <w:numId w:val="12"/>
        </w:numPr>
        <w:tabs>
          <w:tab w:val="left" w:pos="2220"/>
        </w:tabs>
        <w:ind w:right="891"/>
      </w:pPr>
      <w:r w:rsidRPr="00EC20A0">
        <w:t>A</w:t>
      </w:r>
      <w:r w:rsidRPr="00EC20A0">
        <w:rPr>
          <w:spacing w:val="-6"/>
        </w:rPr>
        <w:t xml:space="preserve"> </w:t>
      </w:r>
      <w:r w:rsidRPr="00EC20A0">
        <w:t>CFO</w:t>
      </w:r>
      <w:r w:rsidRPr="00EC20A0">
        <w:rPr>
          <w:spacing w:val="-6"/>
        </w:rPr>
        <w:t xml:space="preserve"> </w:t>
      </w:r>
      <w:r w:rsidRPr="00EC20A0">
        <w:t>Act</w:t>
      </w:r>
      <w:r w:rsidRPr="00EC20A0">
        <w:rPr>
          <w:spacing w:val="-4"/>
        </w:rPr>
        <w:t xml:space="preserve"> </w:t>
      </w:r>
      <w:r w:rsidRPr="00EC20A0">
        <w:t>agency’s</w:t>
      </w:r>
      <w:r w:rsidRPr="00EC20A0">
        <w:rPr>
          <w:spacing w:val="-6"/>
        </w:rPr>
        <w:t xml:space="preserve"> </w:t>
      </w:r>
      <w:r w:rsidRPr="00EC20A0">
        <w:t>components,</w:t>
      </w:r>
      <w:r w:rsidRPr="00EC20A0">
        <w:rPr>
          <w:spacing w:val="-5"/>
        </w:rPr>
        <w:t xml:space="preserve"> </w:t>
      </w:r>
      <w:r w:rsidRPr="00EC20A0">
        <w:t>including</w:t>
      </w:r>
      <w:r w:rsidRPr="00EC20A0">
        <w:rPr>
          <w:spacing w:val="-5"/>
        </w:rPr>
        <w:t xml:space="preserve"> </w:t>
      </w:r>
      <w:r w:rsidRPr="00EC20A0">
        <w:t>government</w:t>
      </w:r>
      <w:r w:rsidRPr="00EC20A0">
        <w:rPr>
          <w:spacing w:val="-5"/>
        </w:rPr>
        <w:t xml:space="preserve"> </w:t>
      </w:r>
      <w:r w:rsidRPr="00EC20A0">
        <w:t>corporations,</w:t>
      </w:r>
      <w:r w:rsidRPr="00EC20A0">
        <w:rPr>
          <w:spacing w:val="-5"/>
        </w:rPr>
        <w:t xml:space="preserve"> </w:t>
      </w:r>
      <w:r w:rsidRPr="00EC20A0">
        <w:t xml:space="preserve">are subject to FFMIA. However, an auditor of separately issued component reports is not required to separately report on whether a component’s financial management systems comply substantially with the FFMIA </w:t>
      </w:r>
      <w:r w:rsidRPr="00EC20A0">
        <w:rPr>
          <w:spacing w:val="-2"/>
        </w:rPr>
        <w:t>requirements.</w:t>
      </w:r>
    </w:p>
    <w:p w14:paraId="24D60497" w14:textId="77777777" w:rsidR="00245300" w:rsidRPr="00EC20A0" w:rsidRDefault="00F17249">
      <w:pPr>
        <w:pStyle w:val="ListParagraph"/>
        <w:numPr>
          <w:ilvl w:val="1"/>
          <w:numId w:val="12"/>
        </w:numPr>
        <w:tabs>
          <w:tab w:val="left" w:pos="2218"/>
          <w:tab w:val="left" w:pos="2220"/>
        </w:tabs>
        <w:ind w:right="536" w:hanging="361"/>
        <w:rPr>
          <w:sz w:val="14"/>
        </w:rPr>
      </w:pPr>
      <w:r w:rsidRPr="00EC20A0">
        <w:t>Service organizations whose internal control over financial reporting have been suitably designed and implemented and are relevant to an audit must either</w:t>
      </w:r>
      <w:r w:rsidRPr="00EC20A0">
        <w:rPr>
          <w:spacing w:val="-4"/>
        </w:rPr>
        <w:t xml:space="preserve"> </w:t>
      </w:r>
      <w:r w:rsidRPr="00EC20A0">
        <w:t>provide</w:t>
      </w:r>
      <w:r w:rsidRPr="00EC20A0">
        <w:rPr>
          <w:spacing w:val="-4"/>
        </w:rPr>
        <w:t xml:space="preserve"> </w:t>
      </w:r>
      <w:r w:rsidRPr="00EC20A0">
        <w:t>their</w:t>
      </w:r>
      <w:r w:rsidRPr="00EC20A0">
        <w:rPr>
          <w:spacing w:val="-4"/>
        </w:rPr>
        <w:t xml:space="preserve"> </w:t>
      </w:r>
      <w:r w:rsidRPr="00EC20A0">
        <w:t>user</w:t>
      </w:r>
      <w:r w:rsidRPr="00EC20A0">
        <w:rPr>
          <w:spacing w:val="-6"/>
        </w:rPr>
        <w:t xml:space="preserve"> </w:t>
      </w:r>
      <w:r w:rsidRPr="00EC20A0">
        <w:t>organizations</w:t>
      </w:r>
      <w:r w:rsidRPr="00EC20A0">
        <w:rPr>
          <w:spacing w:val="-4"/>
        </w:rPr>
        <w:t xml:space="preserve"> </w:t>
      </w:r>
      <w:r w:rsidRPr="00EC20A0">
        <w:t>with</w:t>
      </w:r>
      <w:r w:rsidRPr="00EC20A0">
        <w:rPr>
          <w:spacing w:val="-4"/>
        </w:rPr>
        <w:t xml:space="preserve"> </w:t>
      </w:r>
      <w:r w:rsidRPr="00EC20A0">
        <w:t>a</w:t>
      </w:r>
      <w:r w:rsidRPr="00EC20A0">
        <w:rPr>
          <w:spacing w:val="-4"/>
        </w:rPr>
        <w:t xml:space="preserve"> </w:t>
      </w:r>
      <w:r w:rsidRPr="00EC20A0">
        <w:t>service</w:t>
      </w:r>
      <w:r w:rsidRPr="00EC20A0">
        <w:rPr>
          <w:spacing w:val="-4"/>
        </w:rPr>
        <w:t xml:space="preserve"> </w:t>
      </w:r>
      <w:r w:rsidRPr="00EC20A0">
        <w:t>organization</w:t>
      </w:r>
      <w:r w:rsidRPr="00EC20A0">
        <w:rPr>
          <w:spacing w:val="-4"/>
        </w:rPr>
        <w:t xml:space="preserve"> </w:t>
      </w:r>
      <w:r w:rsidRPr="00EC20A0">
        <w:t>report</w:t>
      </w:r>
      <w:r w:rsidRPr="00EC20A0">
        <w:rPr>
          <w:spacing w:val="-4"/>
        </w:rPr>
        <w:t xml:space="preserve"> </w:t>
      </w:r>
      <w:r w:rsidRPr="00EC20A0">
        <w:t>(type 2 report) or allow user auditors to perform appropriate tests of controls at the service organization.</w:t>
      </w:r>
      <w:hyperlink w:anchor="_bookmark55" w:history="1">
        <w:r w:rsidRPr="00EC20A0">
          <w:rPr>
            <w:position w:val="7"/>
            <w:sz w:val="14"/>
          </w:rPr>
          <w:t>11</w:t>
        </w:r>
      </w:hyperlink>
    </w:p>
    <w:p w14:paraId="24D60498" w14:textId="77777777" w:rsidR="00245300" w:rsidRPr="00EC20A0" w:rsidRDefault="00F17249">
      <w:pPr>
        <w:pStyle w:val="ListParagraph"/>
        <w:numPr>
          <w:ilvl w:val="1"/>
          <w:numId w:val="12"/>
        </w:numPr>
        <w:tabs>
          <w:tab w:val="left" w:pos="2219"/>
        </w:tabs>
        <w:ind w:left="2219" w:right="538"/>
        <w:rPr>
          <w:sz w:val="14"/>
        </w:rPr>
      </w:pPr>
      <w:r w:rsidRPr="00EC20A0">
        <w:t>If an agency’s financial management systems do not comply substantially with one or more of the three FFMIA requirements, the auditor’s mandatory report on compliance (or an accompanying schedule that is referenced in the compliance report) should disclose with which of the three requirements the agency’s</w:t>
      </w:r>
      <w:r w:rsidRPr="00EC20A0">
        <w:rPr>
          <w:spacing w:val="-5"/>
        </w:rPr>
        <w:t xml:space="preserve"> </w:t>
      </w:r>
      <w:r w:rsidRPr="00EC20A0">
        <w:t>systems</w:t>
      </w:r>
      <w:r w:rsidRPr="00EC20A0">
        <w:rPr>
          <w:spacing w:val="-4"/>
        </w:rPr>
        <w:t xml:space="preserve"> </w:t>
      </w:r>
      <w:r w:rsidRPr="00EC20A0">
        <w:t>did</w:t>
      </w:r>
      <w:r w:rsidRPr="00EC20A0">
        <w:rPr>
          <w:spacing w:val="-4"/>
        </w:rPr>
        <w:t xml:space="preserve"> </w:t>
      </w:r>
      <w:r w:rsidRPr="00EC20A0">
        <w:t>not</w:t>
      </w:r>
      <w:r w:rsidRPr="00EC20A0">
        <w:rPr>
          <w:spacing w:val="-4"/>
        </w:rPr>
        <w:t xml:space="preserve"> </w:t>
      </w:r>
      <w:r w:rsidRPr="00EC20A0">
        <w:t>comply</w:t>
      </w:r>
      <w:r w:rsidRPr="00EC20A0">
        <w:rPr>
          <w:spacing w:val="-4"/>
        </w:rPr>
        <w:t xml:space="preserve"> </w:t>
      </w:r>
      <w:r w:rsidRPr="00EC20A0">
        <w:t>substantially,</w:t>
      </w:r>
      <w:r w:rsidRPr="00EC20A0">
        <w:rPr>
          <w:spacing w:val="-5"/>
        </w:rPr>
        <w:t xml:space="preserve"> </w:t>
      </w:r>
      <w:r w:rsidRPr="00EC20A0">
        <w:t>group</w:t>
      </w:r>
      <w:r w:rsidRPr="00EC20A0">
        <w:rPr>
          <w:spacing w:val="-4"/>
        </w:rPr>
        <w:t xml:space="preserve"> </w:t>
      </w:r>
      <w:r w:rsidRPr="00EC20A0">
        <w:t>findings</w:t>
      </w:r>
      <w:r w:rsidRPr="00EC20A0">
        <w:rPr>
          <w:spacing w:val="-4"/>
        </w:rPr>
        <w:t xml:space="preserve"> </w:t>
      </w:r>
      <w:r w:rsidRPr="00EC20A0">
        <w:t>together</w:t>
      </w:r>
      <w:r w:rsidRPr="00EC20A0">
        <w:rPr>
          <w:spacing w:val="-6"/>
        </w:rPr>
        <w:t xml:space="preserve"> </w:t>
      </w:r>
      <w:r w:rsidRPr="00EC20A0">
        <w:t>based on the requirement to which they relate, and comply with the applicable FFMIA reporting requirements (see FAM 580.86–.90).</w:t>
      </w:r>
      <w:hyperlink w:anchor="_bookmark56" w:history="1">
        <w:r w:rsidRPr="00EC20A0">
          <w:rPr>
            <w:position w:val="7"/>
            <w:sz w:val="14"/>
          </w:rPr>
          <w:t>12</w:t>
        </w:r>
      </w:hyperlink>
    </w:p>
    <w:p w14:paraId="24D60499" w14:textId="77777777" w:rsidR="00245300" w:rsidRPr="00EC20A0" w:rsidRDefault="00245300">
      <w:pPr>
        <w:pStyle w:val="BodyText"/>
        <w:spacing w:before="47"/>
      </w:pPr>
    </w:p>
    <w:p w14:paraId="24D6049A" w14:textId="77777777" w:rsidR="00245300" w:rsidRPr="00EC20A0" w:rsidRDefault="00F17249">
      <w:pPr>
        <w:pStyle w:val="Heading4"/>
        <w:spacing w:before="0"/>
      </w:pPr>
      <w:r w:rsidRPr="00EC20A0">
        <w:t>Audit</w:t>
      </w:r>
      <w:r w:rsidRPr="00EC20A0">
        <w:rPr>
          <w:spacing w:val="-10"/>
        </w:rPr>
        <w:t xml:space="preserve"> </w:t>
      </w:r>
      <w:r w:rsidRPr="00EC20A0">
        <w:rPr>
          <w:spacing w:val="-2"/>
        </w:rPr>
        <w:t>Approach</w:t>
      </w:r>
    </w:p>
    <w:p w14:paraId="24D6049B" w14:textId="77777777" w:rsidR="00245300" w:rsidRPr="00EC20A0" w:rsidRDefault="00F17249">
      <w:pPr>
        <w:pStyle w:val="ListParagraph"/>
        <w:numPr>
          <w:ilvl w:val="0"/>
          <w:numId w:val="180"/>
        </w:numPr>
        <w:tabs>
          <w:tab w:val="left" w:pos="1859"/>
        </w:tabs>
        <w:spacing w:before="300"/>
        <w:ind w:right="519" w:hanging="720"/>
      </w:pPr>
      <w:r w:rsidRPr="00EC20A0">
        <w:t>To meet FFMIA’s reporting requirements, the auditor should plan and perform audit work in sufficient detail to enable the auditor to determine the degree to which</w:t>
      </w:r>
      <w:r w:rsidRPr="00EC20A0">
        <w:rPr>
          <w:spacing w:val="-5"/>
        </w:rPr>
        <w:t xml:space="preserve"> </w:t>
      </w:r>
      <w:r w:rsidRPr="00EC20A0">
        <w:t>agency</w:t>
      </w:r>
      <w:r w:rsidRPr="00EC20A0">
        <w:rPr>
          <w:spacing w:val="-5"/>
        </w:rPr>
        <w:t xml:space="preserve"> </w:t>
      </w:r>
      <w:r w:rsidRPr="00EC20A0">
        <w:t>financial</w:t>
      </w:r>
      <w:r w:rsidRPr="00EC20A0">
        <w:rPr>
          <w:spacing w:val="-5"/>
        </w:rPr>
        <w:t xml:space="preserve"> </w:t>
      </w:r>
      <w:r w:rsidRPr="00EC20A0">
        <w:t>management</w:t>
      </w:r>
      <w:r w:rsidRPr="00EC20A0">
        <w:rPr>
          <w:spacing w:val="-5"/>
        </w:rPr>
        <w:t xml:space="preserve"> </w:t>
      </w:r>
      <w:r w:rsidRPr="00EC20A0">
        <w:t>systems</w:t>
      </w:r>
      <w:r w:rsidRPr="00EC20A0">
        <w:rPr>
          <w:spacing w:val="-5"/>
        </w:rPr>
        <w:t xml:space="preserve"> </w:t>
      </w:r>
      <w:r w:rsidRPr="00EC20A0">
        <w:t>comply</w:t>
      </w:r>
      <w:r w:rsidRPr="00EC20A0">
        <w:rPr>
          <w:spacing w:val="-5"/>
        </w:rPr>
        <w:t xml:space="preserve"> </w:t>
      </w:r>
      <w:r w:rsidRPr="00EC20A0">
        <w:t>with</w:t>
      </w:r>
      <w:r w:rsidRPr="00EC20A0">
        <w:rPr>
          <w:spacing w:val="-5"/>
        </w:rPr>
        <w:t xml:space="preserve"> </w:t>
      </w:r>
      <w:r w:rsidRPr="00EC20A0">
        <w:t>the</w:t>
      </w:r>
      <w:r w:rsidRPr="00EC20A0">
        <w:rPr>
          <w:spacing w:val="-5"/>
        </w:rPr>
        <w:t xml:space="preserve"> </w:t>
      </w:r>
      <w:r w:rsidRPr="00EC20A0">
        <w:t>three</w:t>
      </w:r>
      <w:r w:rsidRPr="00EC20A0">
        <w:rPr>
          <w:spacing w:val="-5"/>
        </w:rPr>
        <w:t xml:space="preserve"> </w:t>
      </w:r>
      <w:r w:rsidRPr="00EC20A0">
        <w:t xml:space="preserve">requirements and whether that degree of compliance is substantial. FFMIA does not require systems to be in full compliance with each requirement, but rather in substantial compliance. If systems are not in substantial compliance, the auditor must report on all facts pertaining to the lack of substantial compliance for each applicable requirement. See FAM 580.86 through .90 for reporting guidance related to </w:t>
      </w:r>
      <w:r w:rsidRPr="00EC20A0">
        <w:rPr>
          <w:spacing w:val="-2"/>
        </w:rPr>
        <w:t>FFMIA.</w:t>
      </w:r>
    </w:p>
    <w:p w14:paraId="24D6049C" w14:textId="77777777" w:rsidR="00245300" w:rsidRPr="00EC20A0" w:rsidRDefault="00F17249">
      <w:pPr>
        <w:pStyle w:val="ListParagraph"/>
        <w:numPr>
          <w:ilvl w:val="0"/>
          <w:numId w:val="180"/>
        </w:numPr>
        <w:tabs>
          <w:tab w:val="left" w:pos="1859"/>
        </w:tabs>
        <w:spacing w:before="239"/>
        <w:ind w:right="580"/>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design</w:t>
      </w:r>
      <w:r w:rsidRPr="00EC20A0">
        <w:rPr>
          <w:spacing w:val="-4"/>
        </w:rPr>
        <w:t xml:space="preserve"> </w:t>
      </w:r>
      <w:r w:rsidRPr="00EC20A0">
        <w:t>and</w:t>
      </w:r>
      <w:r w:rsidRPr="00EC20A0">
        <w:rPr>
          <w:spacing w:val="-4"/>
        </w:rPr>
        <w:t xml:space="preserve"> </w:t>
      </w:r>
      <w:r w:rsidRPr="00EC20A0">
        <w:t>implement</w:t>
      </w:r>
      <w:r w:rsidRPr="00EC20A0">
        <w:rPr>
          <w:spacing w:val="-4"/>
        </w:rPr>
        <w:t xml:space="preserve"> </w:t>
      </w:r>
      <w:r w:rsidRPr="00EC20A0">
        <w:t>appropriate</w:t>
      </w:r>
      <w:r w:rsidRPr="00EC20A0">
        <w:rPr>
          <w:spacing w:val="-4"/>
        </w:rPr>
        <w:t xml:space="preserve"> </w:t>
      </w:r>
      <w:r w:rsidRPr="00EC20A0">
        <w:t>testing</w:t>
      </w:r>
      <w:r w:rsidRPr="00EC20A0">
        <w:rPr>
          <w:spacing w:val="-4"/>
        </w:rPr>
        <w:t xml:space="preserve"> </w:t>
      </w:r>
      <w:r w:rsidRPr="00EC20A0">
        <w:t>to</w:t>
      </w:r>
      <w:r w:rsidRPr="00EC20A0">
        <w:rPr>
          <w:spacing w:val="-4"/>
        </w:rPr>
        <w:t xml:space="preserve"> </w:t>
      </w:r>
      <w:r w:rsidRPr="00EC20A0">
        <w:t>apply</w:t>
      </w:r>
      <w:r w:rsidRPr="00EC20A0">
        <w:rPr>
          <w:spacing w:val="-4"/>
        </w:rPr>
        <w:t xml:space="preserve"> </w:t>
      </w:r>
      <w:r w:rsidRPr="00EC20A0">
        <w:t>the</w:t>
      </w:r>
      <w:r w:rsidRPr="00EC20A0">
        <w:rPr>
          <w:spacing w:val="-4"/>
        </w:rPr>
        <w:t xml:space="preserve"> </w:t>
      </w:r>
      <w:r w:rsidRPr="00EC20A0">
        <w:t>criteria in FFMIA. For example, in performing financial statement audits, the auditor</w:t>
      </w:r>
    </w:p>
    <w:p w14:paraId="24D6049D" w14:textId="77777777" w:rsidR="00245300" w:rsidRPr="00EC20A0" w:rsidRDefault="00F17249">
      <w:pPr>
        <w:pStyle w:val="BodyText"/>
        <w:spacing w:before="125"/>
        <w:rPr>
          <w:sz w:val="20"/>
        </w:rPr>
      </w:pPr>
      <w:r w:rsidRPr="00EC20A0">
        <w:rPr>
          <w:noProof/>
        </w:rPr>
        <mc:AlternateContent>
          <mc:Choice Requires="wps">
            <w:drawing>
              <wp:anchor distT="0" distB="0" distL="0" distR="0" simplePos="0" relativeHeight="487607296" behindDoc="1" locked="0" layoutInCell="1" allowOverlap="1" wp14:anchorId="24D62B01" wp14:editId="24D62B02">
                <wp:simplePos x="0" y="0"/>
                <wp:positionH relativeFrom="page">
                  <wp:posOffset>914400</wp:posOffset>
                </wp:positionH>
                <wp:positionV relativeFrom="paragraph">
                  <wp:posOffset>240650</wp:posOffset>
                </wp:positionV>
                <wp:extent cx="1828800" cy="5715"/>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D7D489" id="Graphic 191" o:spid="_x0000_s1026" style="position:absolute;margin-left:1in;margin-top:18.95pt;width:2in;height:.4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" path="m1828800,l,,,5321r1828800,l1828800,xe" fillcolor="black" stroked="f">
                <v:path arrowok="t"/>
                <w10:wrap type="topAndBottom" anchorx="page"/>
              </v:shape>
            </w:pict>
          </mc:Fallback>
        </mc:AlternateContent>
      </w:r>
    </w:p>
    <w:p w14:paraId="24D6049E" w14:textId="77777777" w:rsidR="00245300" w:rsidRPr="00EC20A0" w:rsidRDefault="00F17249">
      <w:pPr>
        <w:spacing w:before="200" w:line="249" w:lineRule="auto"/>
        <w:ind w:left="419" w:right="562"/>
        <w:rPr>
          <w:sz w:val="18"/>
        </w:rPr>
      </w:pPr>
      <w:bookmarkStart w:id="140" w:name="_bookmark54"/>
      <w:bookmarkEnd w:id="140"/>
      <w:r w:rsidRPr="00EC20A0">
        <w:rPr>
          <w:position w:val="7"/>
          <w:sz w:val="14"/>
        </w:rPr>
        <w:t>10</w:t>
      </w:r>
      <w:r w:rsidRPr="00EC20A0">
        <w:rPr>
          <w:sz w:val="18"/>
        </w:rPr>
        <w:t>Appendix</w:t>
      </w:r>
      <w:r w:rsidRPr="00EC20A0">
        <w:rPr>
          <w:spacing w:val="-3"/>
          <w:sz w:val="18"/>
        </w:rPr>
        <w:t xml:space="preserve"> </w:t>
      </w:r>
      <w:r w:rsidRPr="00EC20A0">
        <w:rPr>
          <w:sz w:val="18"/>
        </w:rPr>
        <w:t>D</w:t>
      </w:r>
      <w:r w:rsidRPr="00EC20A0">
        <w:rPr>
          <w:spacing w:val="-3"/>
          <w:sz w:val="18"/>
        </w:rPr>
        <w:t xml:space="preserve"> </w:t>
      </w:r>
      <w:r w:rsidRPr="00EC20A0">
        <w:rPr>
          <w:sz w:val="18"/>
        </w:rPr>
        <w:t>indicates</w:t>
      </w:r>
      <w:r w:rsidRPr="00EC20A0">
        <w:rPr>
          <w:spacing w:val="-3"/>
          <w:sz w:val="18"/>
        </w:rPr>
        <w:t xml:space="preserve"> </w:t>
      </w:r>
      <w:r w:rsidRPr="00EC20A0">
        <w:rPr>
          <w:sz w:val="18"/>
        </w:rPr>
        <w:t>that</w:t>
      </w:r>
      <w:r w:rsidRPr="00EC20A0">
        <w:rPr>
          <w:spacing w:val="-3"/>
          <w:sz w:val="18"/>
        </w:rPr>
        <w:t xml:space="preserve"> </w:t>
      </w:r>
      <w:r w:rsidRPr="00EC20A0">
        <w:rPr>
          <w:sz w:val="18"/>
        </w:rPr>
        <w:t>agencies</w:t>
      </w:r>
      <w:r w:rsidRPr="00EC20A0">
        <w:rPr>
          <w:spacing w:val="-3"/>
          <w:sz w:val="18"/>
        </w:rPr>
        <w:t xml:space="preserve"> </w:t>
      </w:r>
      <w:r w:rsidRPr="00EC20A0">
        <w:rPr>
          <w:sz w:val="18"/>
        </w:rPr>
        <w:t>using</w:t>
      </w:r>
      <w:r w:rsidRPr="00EC20A0">
        <w:rPr>
          <w:spacing w:val="-4"/>
          <w:sz w:val="18"/>
        </w:rPr>
        <w:t xml:space="preserve"> </w:t>
      </w:r>
      <w:r w:rsidRPr="00EC20A0">
        <w:rPr>
          <w:sz w:val="18"/>
        </w:rPr>
        <w:t>service</w:t>
      </w:r>
      <w:r w:rsidRPr="00EC20A0">
        <w:rPr>
          <w:spacing w:val="-4"/>
          <w:sz w:val="18"/>
        </w:rPr>
        <w:t xml:space="preserve"> </w:t>
      </w:r>
      <w:r w:rsidRPr="00EC20A0">
        <w:rPr>
          <w:sz w:val="18"/>
        </w:rPr>
        <w:t>providers</w:t>
      </w:r>
      <w:r w:rsidRPr="00EC20A0">
        <w:rPr>
          <w:spacing w:val="-2"/>
          <w:sz w:val="18"/>
        </w:rPr>
        <w:t xml:space="preserve"> </w:t>
      </w:r>
      <w:r w:rsidRPr="00EC20A0">
        <w:rPr>
          <w:sz w:val="18"/>
        </w:rPr>
        <w:t>may</w:t>
      </w:r>
      <w:r w:rsidRPr="00EC20A0">
        <w:rPr>
          <w:spacing w:val="-3"/>
          <w:sz w:val="18"/>
        </w:rPr>
        <w:t xml:space="preserve"> </w:t>
      </w:r>
      <w:r w:rsidRPr="00EC20A0">
        <w:rPr>
          <w:sz w:val="18"/>
        </w:rPr>
        <w:t>also</w:t>
      </w:r>
      <w:r w:rsidRPr="00EC20A0">
        <w:rPr>
          <w:spacing w:val="-4"/>
          <w:sz w:val="18"/>
        </w:rPr>
        <w:t xml:space="preserve"> </w:t>
      </w:r>
      <w:r w:rsidRPr="00EC20A0">
        <w:rPr>
          <w:sz w:val="18"/>
        </w:rPr>
        <w:t>use</w:t>
      </w:r>
      <w:r w:rsidRPr="00EC20A0">
        <w:rPr>
          <w:spacing w:val="-4"/>
          <w:sz w:val="18"/>
        </w:rPr>
        <w:t xml:space="preserve"> </w:t>
      </w:r>
      <w:r w:rsidRPr="00EC20A0">
        <w:rPr>
          <w:sz w:val="18"/>
        </w:rPr>
        <w:t>ongoing</w:t>
      </w:r>
      <w:r w:rsidRPr="00EC20A0">
        <w:rPr>
          <w:spacing w:val="-4"/>
          <w:sz w:val="18"/>
        </w:rPr>
        <w:t xml:space="preserve"> </w:t>
      </w:r>
      <w:r w:rsidRPr="00EC20A0">
        <w:rPr>
          <w:sz w:val="18"/>
        </w:rPr>
        <w:t>monitoring</w:t>
      </w:r>
      <w:r w:rsidRPr="00EC20A0">
        <w:rPr>
          <w:spacing w:val="-4"/>
          <w:sz w:val="18"/>
        </w:rPr>
        <w:t xml:space="preserve"> </w:t>
      </w:r>
      <w:r w:rsidRPr="00EC20A0">
        <w:rPr>
          <w:sz w:val="18"/>
        </w:rPr>
        <w:t>or</w:t>
      </w:r>
      <w:r w:rsidRPr="00EC20A0">
        <w:rPr>
          <w:spacing w:val="-3"/>
          <w:sz w:val="18"/>
        </w:rPr>
        <w:t xml:space="preserve"> </w:t>
      </w:r>
      <w:r w:rsidRPr="00EC20A0">
        <w:rPr>
          <w:sz w:val="18"/>
        </w:rPr>
        <w:t>separate evaluations in determining FFMIA compliance.</w:t>
      </w:r>
    </w:p>
    <w:p w14:paraId="24D6049F" w14:textId="77777777" w:rsidR="00245300" w:rsidRPr="00EC20A0" w:rsidRDefault="00F17249">
      <w:pPr>
        <w:spacing w:before="117" w:line="242" w:lineRule="auto"/>
        <w:ind w:left="419" w:right="562"/>
        <w:rPr>
          <w:sz w:val="18"/>
        </w:rPr>
      </w:pPr>
      <w:bookmarkStart w:id="141" w:name="_bookmark55"/>
      <w:bookmarkEnd w:id="141"/>
      <w:r w:rsidRPr="00EC20A0">
        <w:rPr>
          <w:position w:val="7"/>
          <w:sz w:val="14"/>
        </w:rPr>
        <w:t>11</w:t>
      </w:r>
      <w:r w:rsidRPr="00EC20A0">
        <w:rPr>
          <w:sz w:val="18"/>
        </w:rPr>
        <w:t xml:space="preserve">According to AT-C 320, </w:t>
      </w:r>
      <w:r w:rsidRPr="00EC20A0">
        <w:rPr>
          <w:i/>
          <w:sz w:val="18"/>
        </w:rPr>
        <w:t xml:space="preserve">Reporting on an Examination of Controls at a </w:t>
      </w:r>
      <w:r w:rsidRPr="00EC20A0">
        <w:rPr>
          <w:i/>
          <w:sz w:val="18"/>
        </w:rPr>
        <w:t>Service Organization Relevant to User Entities’</w:t>
      </w:r>
      <w:r w:rsidRPr="00EC20A0">
        <w:rPr>
          <w:i/>
          <w:spacing w:val="-3"/>
          <w:sz w:val="18"/>
        </w:rPr>
        <w:t xml:space="preserve"> </w:t>
      </w:r>
      <w:r w:rsidRPr="00EC20A0">
        <w:rPr>
          <w:i/>
          <w:sz w:val="18"/>
        </w:rPr>
        <w:t>Internal</w:t>
      </w:r>
      <w:r w:rsidRPr="00EC20A0">
        <w:rPr>
          <w:i/>
          <w:spacing w:val="-3"/>
          <w:sz w:val="18"/>
        </w:rPr>
        <w:t xml:space="preserve"> </w:t>
      </w:r>
      <w:r w:rsidRPr="00EC20A0">
        <w:rPr>
          <w:i/>
          <w:sz w:val="18"/>
        </w:rPr>
        <w:t>Control</w:t>
      </w:r>
      <w:r w:rsidRPr="00EC20A0">
        <w:rPr>
          <w:i/>
          <w:spacing w:val="-3"/>
          <w:sz w:val="18"/>
        </w:rPr>
        <w:t xml:space="preserve"> </w:t>
      </w:r>
      <w:r w:rsidRPr="00EC20A0">
        <w:rPr>
          <w:i/>
          <w:sz w:val="18"/>
        </w:rPr>
        <w:t>Over</w:t>
      </w:r>
      <w:r w:rsidRPr="00EC20A0">
        <w:rPr>
          <w:i/>
          <w:spacing w:val="-2"/>
          <w:sz w:val="18"/>
        </w:rPr>
        <w:t xml:space="preserve"> </w:t>
      </w:r>
      <w:r w:rsidRPr="00EC20A0">
        <w:rPr>
          <w:i/>
          <w:sz w:val="18"/>
        </w:rPr>
        <w:t>Financial</w:t>
      </w:r>
      <w:r w:rsidRPr="00EC20A0">
        <w:rPr>
          <w:i/>
          <w:spacing w:val="-3"/>
          <w:sz w:val="18"/>
        </w:rPr>
        <w:t xml:space="preserve"> </w:t>
      </w:r>
      <w:r w:rsidRPr="00EC20A0">
        <w:rPr>
          <w:i/>
          <w:sz w:val="18"/>
        </w:rPr>
        <w:t>Reporting</w:t>
      </w:r>
      <w:r w:rsidRPr="00EC20A0">
        <w:rPr>
          <w:sz w:val="18"/>
        </w:rPr>
        <w:t>,</w:t>
      </w:r>
      <w:r w:rsidRPr="00EC20A0">
        <w:rPr>
          <w:spacing w:val="-3"/>
          <w:sz w:val="18"/>
        </w:rPr>
        <w:t xml:space="preserve"> </w:t>
      </w:r>
      <w:r w:rsidRPr="00EC20A0">
        <w:rPr>
          <w:sz w:val="18"/>
        </w:rPr>
        <w:t>a</w:t>
      </w:r>
      <w:r w:rsidRPr="00EC20A0">
        <w:rPr>
          <w:spacing w:val="-4"/>
          <w:sz w:val="18"/>
        </w:rPr>
        <w:t xml:space="preserve"> </w:t>
      </w:r>
      <w:r w:rsidRPr="00EC20A0">
        <w:rPr>
          <w:sz w:val="18"/>
        </w:rPr>
        <w:t>type</w:t>
      </w:r>
      <w:r w:rsidRPr="00EC20A0">
        <w:rPr>
          <w:spacing w:val="-4"/>
          <w:sz w:val="18"/>
        </w:rPr>
        <w:t xml:space="preserve"> </w:t>
      </w:r>
      <w:r w:rsidRPr="00EC20A0">
        <w:rPr>
          <w:sz w:val="18"/>
        </w:rPr>
        <w:t>2</w:t>
      </w:r>
      <w:r w:rsidRPr="00EC20A0">
        <w:rPr>
          <w:spacing w:val="-2"/>
          <w:sz w:val="18"/>
        </w:rPr>
        <w:t xml:space="preserve"> </w:t>
      </w:r>
      <w:r w:rsidRPr="00EC20A0">
        <w:rPr>
          <w:sz w:val="18"/>
        </w:rPr>
        <w:t>report</w:t>
      </w:r>
      <w:r w:rsidRPr="00EC20A0">
        <w:rPr>
          <w:spacing w:val="-3"/>
          <w:sz w:val="18"/>
        </w:rPr>
        <w:t xml:space="preserve"> </w:t>
      </w:r>
      <w:r w:rsidRPr="00EC20A0">
        <w:rPr>
          <w:sz w:val="18"/>
        </w:rPr>
        <w:t>provides</w:t>
      </w:r>
      <w:r w:rsidRPr="00EC20A0">
        <w:rPr>
          <w:spacing w:val="-3"/>
          <w:sz w:val="18"/>
        </w:rPr>
        <w:t xml:space="preserve"> </w:t>
      </w:r>
      <w:r w:rsidRPr="00EC20A0">
        <w:rPr>
          <w:sz w:val="18"/>
        </w:rPr>
        <w:t>management’s</w:t>
      </w:r>
      <w:r w:rsidRPr="00EC20A0">
        <w:rPr>
          <w:spacing w:val="-3"/>
          <w:sz w:val="18"/>
        </w:rPr>
        <w:t xml:space="preserve"> </w:t>
      </w:r>
      <w:r w:rsidRPr="00EC20A0">
        <w:rPr>
          <w:sz w:val="18"/>
        </w:rPr>
        <w:t>description</w:t>
      </w:r>
      <w:r w:rsidRPr="00EC20A0">
        <w:rPr>
          <w:spacing w:val="-4"/>
          <w:sz w:val="18"/>
        </w:rPr>
        <w:t xml:space="preserve"> </w:t>
      </w:r>
      <w:r w:rsidRPr="00EC20A0">
        <w:rPr>
          <w:sz w:val="18"/>
        </w:rPr>
        <w:t>of</w:t>
      </w:r>
      <w:r w:rsidRPr="00EC20A0">
        <w:rPr>
          <w:spacing w:val="-3"/>
          <w:sz w:val="18"/>
        </w:rPr>
        <w:t xml:space="preserve"> </w:t>
      </w:r>
      <w:r w:rsidRPr="00EC20A0">
        <w:rPr>
          <w:sz w:val="18"/>
        </w:rPr>
        <w:t>a</w:t>
      </w:r>
      <w:r w:rsidRPr="00EC20A0">
        <w:rPr>
          <w:spacing w:val="-4"/>
          <w:sz w:val="18"/>
        </w:rPr>
        <w:t xml:space="preserve"> </w:t>
      </w:r>
      <w:r w:rsidRPr="00EC20A0">
        <w:rPr>
          <w:sz w:val="18"/>
        </w:rPr>
        <w:t>service organization’s system and a service auditor’s report on that description and on the suitability of the design and operating effectiveness of controls.</w:t>
      </w:r>
    </w:p>
    <w:p w14:paraId="24D604A0" w14:textId="77777777" w:rsidR="00245300" w:rsidRPr="00EC20A0" w:rsidRDefault="00F17249">
      <w:pPr>
        <w:spacing w:before="126" w:line="249" w:lineRule="auto"/>
        <w:ind w:left="419" w:right="562"/>
        <w:rPr>
          <w:sz w:val="18"/>
        </w:rPr>
      </w:pPr>
      <w:bookmarkStart w:id="142" w:name="_bookmark56"/>
      <w:bookmarkEnd w:id="142"/>
      <w:r w:rsidRPr="00EC20A0">
        <w:rPr>
          <w:position w:val="7"/>
          <w:sz w:val="14"/>
        </w:rPr>
        <w:t>12</w:t>
      </w:r>
      <w:r w:rsidRPr="00EC20A0">
        <w:rPr>
          <w:sz w:val="18"/>
        </w:rPr>
        <w:t>OMB</w:t>
      </w:r>
      <w:r w:rsidRPr="00EC20A0">
        <w:rPr>
          <w:spacing w:val="-2"/>
          <w:sz w:val="18"/>
        </w:rPr>
        <w:t xml:space="preserve"> </w:t>
      </w:r>
      <w:r w:rsidRPr="00EC20A0">
        <w:rPr>
          <w:sz w:val="18"/>
        </w:rPr>
        <w:t>audit</w:t>
      </w:r>
      <w:r w:rsidRPr="00EC20A0">
        <w:rPr>
          <w:spacing w:val="-2"/>
          <w:sz w:val="18"/>
        </w:rPr>
        <w:t xml:space="preserve"> </w:t>
      </w:r>
      <w:r w:rsidRPr="00EC20A0">
        <w:rPr>
          <w:sz w:val="18"/>
        </w:rPr>
        <w:t>guidance</w:t>
      </w:r>
      <w:r w:rsidRPr="00EC20A0">
        <w:rPr>
          <w:spacing w:val="-3"/>
          <w:sz w:val="18"/>
        </w:rPr>
        <w:t xml:space="preserve"> </w:t>
      </w:r>
      <w:r w:rsidRPr="00EC20A0">
        <w:rPr>
          <w:sz w:val="18"/>
        </w:rPr>
        <w:t>states</w:t>
      </w:r>
      <w:r w:rsidRPr="00EC20A0">
        <w:rPr>
          <w:spacing w:val="-2"/>
          <w:sz w:val="18"/>
        </w:rPr>
        <w:t xml:space="preserve"> </w:t>
      </w:r>
      <w:r w:rsidRPr="00EC20A0">
        <w:rPr>
          <w:sz w:val="18"/>
        </w:rPr>
        <w:t>that</w:t>
      </w:r>
      <w:r w:rsidRPr="00EC20A0">
        <w:rPr>
          <w:spacing w:val="-2"/>
          <w:sz w:val="18"/>
        </w:rPr>
        <w:t xml:space="preserve"> </w:t>
      </w:r>
      <w:r w:rsidRPr="00EC20A0">
        <w:rPr>
          <w:sz w:val="18"/>
        </w:rPr>
        <w:t>if</w:t>
      </w:r>
      <w:r w:rsidRPr="00EC20A0">
        <w:rPr>
          <w:spacing w:val="-2"/>
          <w:sz w:val="18"/>
        </w:rPr>
        <w:t xml:space="preserve"> </w:t>
      </w:r>
      <w:r w:rsidRPr="00EC20A0">
        <w:rPr>
          <w:sz w:val="18"/>
        </w:rPr>
        <w:t>an</w:t>
      </w:r>
      <w:r w:rsidRPr="00EC20A0">
        <w:rPr>
          <w:spacing w:val="-3"/>
          <w:sz w:val="18"/>
        </w:rPr>
        <w:t xml:space="preserve"> </w:t>
      </w:r>
      <w:r w:rsidRPr="00EC20A0">
        <w:rPr>
          <w:sz w:val="18"/>
        </w:rPr>
        <w:t>audit</w:t>
      </w:r>
      <w:r w:rsidRPr="00EC20A0">
        <w:rPr>
          <w:spacing w:val="-2"/>
          <w:sz w:val="18"/>
        </w:rPr>
        <w:t xml:space="preserve"> </w:t>
      </w:r>
      <w:r w:rsidRPr="00EC20A0">
        <w:rPr>
          <w:sz w:val="18"/>
        </w:rPr>
        <w:t>disclosed</w:t>
      </w:r>
      <w:r w:rsidRPr="00EC20A0">
        <w:rPr>
          <w:spacing w:val="-3"/>
          <w:sz w:val="18"/>
        </w:rPr>
        <w:t xml:space="preserve"> </w:t>
      </w:r>
      <w:r w:rsidRPr="00EC20A0">
        <w:rPr>
          <w:sz w:val="18"/>
        </w:rPr>
        <w:t>no</w:t>
      </w:r>
      <w:r w:rsidRPr="00EC20A0">
        <w:rPr>
          <w:spacing w:val="-3"/>
          <w:sz w:val="18"/>
        </w:rPr>
        <w:t xml:space="preserve"> </w:t>
      </w:r>
      <w:r w:rsidRPr="00EC20A0">
        <w:rPr>
          <w:sz w:val="18"/>
        </w:rPr>
        <w:t>instances</w:t>
      </w:r>
      <w:r w:rsidRPr="00EC20A0">
        <w:rPr>
          <w:spacing w:val="-2"/>
          <w:sz w:val="18"/>
        </w:rPr>
        <w:t xml:space="preserve"> </w:t>
      </w:r>
      <w:r w:rsidRPr="00EC20A0">
        <w:rPr>
          <w:sz w:val="18"/>
        </w:rPr>
        <w:t>in</w:t>
      </w:r>
      <w:r w:rsidRPr="00EC20A0">
        <w:rPr>
          <w:spacing w:val="-3"/>
          <w:sz w:val="18"/>
        </w:rPr>
        <w:t xml:space="preserve"> </w:t>
      </w:r>
      <w:r w:rsidRPr="00EC20A0">
        <w:rPr>
          <w:sz w:val="18"/>
        </w:rPr>
        <w:t>which</w:t>
      </w:r>
      <w:r w:rsidRPr="00EC20A0">
        <w:rPr>
          <w:spacing w:val="-1"/>
          <w:sz w:val="18"/>
        </w:rPr>
        <w:t xml:space="preserve"> </w:t>
      </w:r>
      <w:r w:rsidRPr="00EC20A0">
        <w:rPr>
          <w:sz w:val="18"/>
        </w:rPr>
        <w:t>a</w:t>
      </w:r>
      <w:r w:rsidRPr="00EC20A0">
        <w:rPr>
          <w:spacing w:val="-3"/>
          <w:sz w:val="18"/>
        </w:rPr>
        <w:t xml:space="preserve"> </w:t>
      </w:r>
      <w:r w:rsidRPr="00EC20A0">
        <w:rPr>
          <w:sz w:val="18"/>
        </w:rPr>
        <w:t>reporting</w:t>
      </w:r>
      <w:r w:rsidRPr="00EC20A0">
        <w:rPr>
          <w:spacing w:val="-3"/>
          <w:sz w:val="18"/>
        </w:rPr>
        <w:t xml:space="preserve"> </w:t>
      </w:r>
      <w:r w:rsidRPr="00EC20A0">
        <w:rPr>
          <w:sz w:val="18"/>
        </w:rPr>
        <w:t>entity’s</w:t>
      </w:r>
      <w:r w:rsidRPr="00EC20A0">
        <w:rPr>
          <w:spacing w:val="-2"/>
          <w:sz w:val="18"/>
        </w:rPr>
        <w:t xml:space="preserve"> </w:t>
      </w:r>
      <w:r w:rsidRPr="00EC20A0">
        <w:rPr>
          <w:sz w:val="18"/>
        </w:rPr>
        <w:t>systems</w:t>
      </w:r>
      <w:r w:rsidRPr="00EC20A0">
        <w:rPr>
          <w:spacing w:val="-2"/>
          <w:sz w:val="18"/>
        </w:rPr>
        <w:t xml:space="preserve"> </w:t>
      </w:r>
      <w:r w:rsidRPr="00EC20A0">
        <w:rPr>
          <w:sz w:val="18"/>
        </w:rPr>
        <w:t>did</w:t>
      </w:r>
      <w:r w:rsidRPr="00EC20A0">
        <w:rPr>
          <w:spacing w:val="-3"/>
          <w:sz w:val="18"/>
        </w:rPr>
        <w:t xml:space="preserve"> </w:t>
      </w:r>
      <w:r w:rsidRPr="00EC20A0">
        <w:rPr>
          <w:sz w:val="18"/>
        </w:rPr>
        <w:t xml:space="preserve">not comply substantially with all three requirements, a single statement to this effect is </w:t>
      </w:r>
      <w:r w:rsidRPr="00EC20A0">
        <w:rPr>
          <w:sz w:val="18"/>
        </w:rPr>
        <w:t>sufficient.</w:t>
      </w:r>
    </w:p>
    <w:p w14:paraId="24D604A1" w14:textId="77777777" w:rsidR="00245300" w:rsidRPr="00EC20A0" w:rsidRDefault="00245300">
      <w:pPr>
        <w:spacing w:line="249" w:lineRule="auto"/>
        <w:rPr>
          <w:sz w:val="18"/>
        </w:rPr>
        <w:sectPr w:rsidR="00245300" w:rsidRPr="00EC20A0">
          <w:pgSz w:w="12240" w:h="15840"/>
          <w:pgMar w:top="1340" w:right="940" w:bottom="940" w:left="1020" w:header="721" w:footer="757" w:gutter="0"/>
          <w:cols w:space="720"/>
        </w:sectPr>
      </w:pPr>
    </w:p>
    <w:p w14:paraId="24D604A2" w14:textId="77777777" w:rsidR="00245300" w:rsidRPr="00EC20A0" w:rsidRDefault="00F17249">
      <w:pPr>
        <w:pStyle w:val="BodyText"/>
        <w:spacing w:before="121"/>
        <w:ind w:left="1860" w:right="562"/>
      </w:pPr>
      <w:proofErr w:type="gramStart"/>
      <w:r w:rsidRPr="00EC20A0">
        <w:t>generally</w:t>
      </w:r>
      <w:proofErr w:type="gramEnd"/>
      <w:r w:rsidRPr="00EC20A0">
        <w:rPr>
          <w:spacing w:val="-4"/>
        </w:rPr>
        <w:t xml:space="preserve"> </w:t>
      </w:r>
      <w:r w:rsidRPr="00EC20A0">
        <w:t>should</w:t>
      </w:r>
      <w:r w:rsidRPr="00EC20A0">
        <w:rPr>
          <w:spacing w:val="-4"/>
        </w:rPr>
        <w:t xml:space="preserve"> </w:t>
      </w:r>
      <w:r w:rsidRPr="00EC20A0">
        <w:t>evaluate</w:t>
      </w:r>
      <w:r w:rsidRPr="00EC20A0">
        <w:rPr>
          <w:spacing w:val="-4"/>
        </w:rPr>
        <w:t xml:space="preserve"> </w:t>
      </w:r>
      <w:r w:rsidRPr="00EC20A0">
        <w:t>the</w:t>
      </w:r>
      <w:r w:rsidRPr="00EC20A0">
        <w:rPr>
          <w:spacing w:val="-4"/>
        </w:rPr>
        <w:t xml:space="preserve"> </w:t>
      </w:r>
      <w:r w:rsidRPr="00EC20A0">
        <w:t>capability</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management</w:t>
      </w:r>
      <w:r w:rsidRPr="00EC20A0">
        <w:rPr>
          <w:spacing w:val="-4"/>
        </w:rPr>
        <w:t xml:space="preserve"> </w:t>
      </w:r>
      <w:r w:rsidRPr="00EC20A0">
        <w:t>systems</w:t>
      </w:r>
      <w:r w:rsidRPr="00EC20A0">
        <w:rPr>
          <w:spacing w:val="-4"/>
        </w:rPr>
        <w:t xml:space="preserve"> </w:t>
      </w:r>
      <w:r w:rsidRPr="00EC20A0">
        <w:t>to process and summarize financial information that flows into agency financial statements. Under FFMIA, the auditor must assess and report on whether an agency’s financial management systems comply substantially with the three requirements. For purposes of FFMIA, financial management systems include systems that produce the information management uses day-to-day, not just systems that produce financial statements. Thus, to report on compli</w:t>
      </w:r>
      <w:r w:rsidRPr="00EC20A0">
        <w:t>ance with FFMIA, the auditor should understand the design of and test, as needed, the financial management systems (including the financial portion of any mixed systems) used for managing financial operations, supporting financial planning, management reporting, budgeting activities, and systems accumulating and reporting cost information. In determining systems compliance with FFMIA, the auditor should</w:t>
      </w:r>
    </w:p>
    <w:p w14:paraId="24D604A3" w14:textId="77777777" w:rsidR="00245300" w:rsidRPr="00EC20A0" w:rsidRDefault="00F17249">
      <w:pPr>
        <w:pStyle w:val="ListParagraph"/>
        <w:numPr>
          <w:ilvl w:val="1"/>
          <w:numId w:val="180"/>
        </w:numPr>
        <w:tabs>
          <w:tab w:val="left" w:pos="2220"/>
        </w:tabs>
        <w:ind w:right="745"/>
      </w:pPr>
      <w:r w:rsidRPr="00EC20A0">
        <w:t>obtain</w:t>
      </w:r>
      <w:r w:rsidRPr="00EC20A0">
        <w:rPr>
          <w:spacing w:val="-5"/>
        </w:rPr>
        <w:t xml:space="preserve"> </w:t>
      </w:r>
      <w:r w:rsidRPr="00EC20A0">
        <w:t>an</w:t>
      </w:r>
      <w:r w:rsidRPr="00EC20A0">
        <w:rPr>
          <w:spacing w:val="-5"/>
        </w:rPr>
        <w:t xml:space="preserve"> </w:t>
      </w:r>
      <w:r w:rsidRPr="00EC20A0">
        <w:t>understanding</w:t>
      </w:r>
      <w:r w:rsidRPr="00EC20A0">
        <w:rPr>
          <w:spacing w:val="-6"/>
        </w:rPr>
        <w:t xml:space="preserve"> </w:t>
      </w:r>
      <w:r w:rsidRPr="00EC20A0">
        <w:t>of</w:t>
      </w:r>
      <w:r w:rsidRPr="00EC20A0">
        <w:rPr>
          <w:spacing w:val="-4"/>
        </w:rPr>
        <w:t xml:space="preserve"> </w:t>
      </w:r>
      <w:r w:rsidRPr="00EC20A0">
        <w:t>management’s</w:t>
      </w:r>
      <w:r w:rsidRPr="00EC20A0">
        <w:rPr>
          <w:spacing w:val="-5"/>
        </w:rPr>
        <w:t xml:space="preserve"> </w:t>
      </w:r>
      <w:r w:rsidRPr="00EC20A0">
        <w:t>process</w:t>
      </w:r>
      <w:r w:rsidRPr="00EC20A0">
        <w:rPr>
          <w:spacing w:val="-5"/>
        </w:rPr>
        <w:t xml:space="preserve"> </w:t>
      </w:r>
      <w:r w:rsidRPr="00EC20A0">
        <w:t>for</w:t>
      </w:r>
      <w:r w:rsidRPr="00EC20A0">
        <w:rPr>
          <w:spacing w:val="-5"/>
        </w:rPr>
        <w:t xml:space="preserve"> </w:t>
      </w:r>
      <w:r w:rsidRPr="00EC20A0">
        <w:t>determining</w:t>
      </w:r>
      <w:r w:rsidRPr="00EC20A0">
        <w:rPr>
          <w:spacing w:val="-5"/>
        </w:rPr>
        <w:t xml:space="preserve"> </w:t>
      </w:r>
      <w:r w:rsidRPr="00EC20A0">
        <w:t>whether the systems comply substantially with FFMIA requirements and</w:t>
      </w:r>
    </w:p>
    <w:p w14:paraId="24D604A4" w14:textId="77777777" w:rsidR="00245300" w:rsidRPr="00EC20A0" w:rsidRDefault="00F17249">
      <w:pPr>
        <w:pStyle w:val="ListParagraph"/>
        <w:numPr>
          <w:ilvl w:val="1"/>
          <w:numId w:val="180"/>
        </w:numPr>
        <w:tabs>
          <w:tab w:val="left" w:pos="2220"/>
        </w:tabs>
        <w:spacing w:before="238"/>
        <w:ind w:right="600"/>
      </w:pPr>
      <w:r w:rsidRPr="00EC20A0">
        <w:t>report</w:t>
      </w:r>
      <w:r w:rsidRPr="00EC20A0">
        <w:rPr>
          <w:spacing w:val="-5"/>
        </w:rPr>
        <w:t xml:space="preserve"> </w:t>
      </w:r>
      <w:r w:rsidRPr="00EC20A0">
        <w:t>any</w:t>
      </w:r>
      <w:r w:rsidRPr="00EC20A0">
        <w:rPr>
          <w:spacing w:val="-5"/>
        </w:rPr>
        <w:t xml:space="preserve"> </w:t>
      </w:r>
      <w:r w:rsidRPr="00EC20A0">
        <w:t>deficiencies</w:t>
      </w:r>
      <w:r w:rsidRPr="00EC20A0">
        <w:rPr>
          <w:spacing w:val="-5"/>
        </w:rPr>
        <w:t xml:space="preserve"> </w:t>
      </w:r>
      <w:r w:rsidRPr="00EC20A0">
        <w:t>in</w:t>
      </w:r>
      <w:r w:rsidRPr="00EC20A0">
        <w:rPr>
          <w:spacing w:val="-5"/>
        </w:rPr>
        <w:t xml:space="preserve"> </w:t>
      </w:r>
      <w:r w:rsidRPr="00EC20A0">
        <w:t>management’s</w:t>
      </w:r>
      <w:r w:rsidRPr="00EC20A0">
        <w:rPr>
          <w:spacing w:val="-5"/>
        </w:rPr>
        <w:t xml:space="preserve"> </w:t>
      </w:r>
      <w:r w:rsidRPr="00EC20A0">
        <w:t>process</w:t>
      </w:r>
      <w:r w:rsidRPr="00EC20A0">
        <w:rPr>
          <w:spacing w:val="-5"/>
        </w:rPr>
        <w:t xml:space="preserve"> </w:t>
      </w:r>
      <w:r w:rsidRPr="00EC20A0">
        <w:t>(for</w:t>
      </w:r>
      <w:r w:rsidRPr="00EC20A0">
        <w:rPr>
          <w:spacing w:val="-5"/>
        </w:rPr>
        <w:t xml:space="preserve"> </w:t>
      </w:r>
      <w:r w:rsidRPr="00EC20A0">
        <w:t>example,</w:t>
      </w:r>
      <w:r w:rsidRPr="00EC20A0">
        <w:rPr>
          <w:spacing w:val="-5"/>
        </w:rPr>
        <w:t xml:space="preserve"> </w:t>
      </w:r>
      <w:r w:rsidRPr="00EC20A0">
        <w:t>management has not compared its systems with systems requirements).</w:t>
      </w:r>
    </w:p>
    <w:p w14:paraId="24D604A5" w14:textId="77777777" w:rsidR="00245300" w:rsidRPr="00EC20A0" w:rsidRDefault="00F17249">
      <w:pPr>
        <w:pStyle w:val="BodyText"/>
        <w:spacing w:before="238"/>
        <w:ind w:left="1860" w:right="1876"/>
      </w:pPr>
      <w:r w:rsidRPr="00EC20A0">
        <w:t>As</w:t>
      </w:r>
      <w:r w:rsidRPr="00EC20A0">
        <w:rPr>
          <w:spacing w:val="-4"/>
        </w:rPr>
        <w:t xml:space="preserve"> </w:t>
      </w:r>
      <w:r w:rsidRPr="00EC20A0">
        <w:t>part</w:t>
      </w:r>
      <w:r w:rsidRPr="00EC20A0">
        <w:rPr>
          <w:spacing w:val="-4"/>
        </w:rPr>
        <w:t xml:space="preserve"> </w:t>
      </w:r>
      <w:r w:rsidRPr="00EC20A0">
        <w:t>of</w:t>
      </w:r>
      <w:r w:rsidRPr="00EC20A0">
        <w:rPr>
          <w:spacing w:val="-4"/>
        </w:rPr>
        <w:t xml:space="preserve"> </w:t>
      </w:r>
      <w:r w:rsidRPr="00EC20A0">
        <w:t>obtaining</w:t>
      </w:r>
      <w:r w:rsidRPr="00EC20A0">
        <w:rPr>
          <w:spacing w:val="-4"/>
        </w:rPr>
        <w:t xml:space="preserve"> </w:t>
      </w:r>
      <w:r w:rsidRPr="00EC20A0">
        <w:t>this</w:t>
      </w:r>
      <w:r w:rsidRPr="00EC20A0">
        <w:rPr>
          <w:spacing w:val="-5"/>
        </w:rPr>
        <w:t xml:space="preserve"> </w:t>
      </w:r>
      <w:r w:rsidRPr="00EC20A0">
        <w:t>understanding,</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read</w:t>
      </w:r>
      <w:r w:rsidRPr="00EC20A0">
        <w:rPr>
          <w:spacing w:val="-4"/>
        </w:rPr>
        <w:t xml:space="preserve"> </w:t>
      </w:r>
      <w:r w:rsidRPr="00EC20A0">
        <w:t>any management-developed documentation for</w:t>
      </w:r>
    </w:p>
    <w:p w14:paraId="24D604A6" w14:textId="77777777" w:rsidR="00245300" w:rsidRPr="00EC20A0" w:rsidRDefault="00F17249">
      <w:pPr>
        <w:pStyle w:val="ListParagraph"/>
        <w:numPr>
          <w:ilvl w:val="1"/>
          <w:numId w:val="180"/>
        </w:numPr>
        <w:tabs>
          <w:tab w:val="left" w:pos="2219"/>
        </w:tabs>
        <w:ind w:left="2219" w:right="773"/>
      </w:pPr>
      <w:r w:rsidRPr="00EC20A0">
        <w:t>FFMIA</w:t>
      </w:r>
      <w:r w:rsidRPr="00EC20A0">
        <w:rPr>
          <w:spacing w:val="-4"/>
        </w:rPr>
        <w:t xml:space="preserve"> </w:t>
      </w:r>
      <w:r w:rsidRPr="00EC20A0">
        <w:t>compliance</w:t>
      </w:r>
      <w:r w:rsidRPr="00EC20A0">
        <w:rPr>
          <w:spacing w:val="-4"/>
        </w:rPr>
        <w:t xml:space="preserve"> </w:t>
      </w:r>
      <w:r w:rsidRPr="00EC20A0">
        <w:t>as</w:t>
      </w:r>
      <w:r w:rsidRPr="00EC20A0">
        <w:rPr>
          <w:spacing w:val="-5"/>
        </w:rPr>
        <w:t xml:space="preserve"> </w:t>
      </w:r>
      <w:r w:rsidRPr="00EC20A0">
        <w:t>described</w:t>
      </w:r>
      <w:r w:rsidRPr="00EC20A0">
        <w:rPr>
          <w:spacing w:val="-4"/>
        </w:rPr>
        <w:t xml:space="preserve"> </w:t>
      </w:r>
      <w:r w:rsidRPr="00EC20A0">
        <w:t>in</w:t>
      </w:r>
      <w:r w:rsidRPr="00EC20A0">
        <w:rPr>
          <w:spacing w:val="-6"/>
        </w:rPr>
        <w:t xml:space="preserve"> </w:t>
      </w:r>
      <w:r w:rsidRPr="00EC20A0">
        <w:t>appendix</w:t>
      </w:r>
      <w:r w:rsidRPr="00EC20A0">
        <w:rPr>
          <w:spacing w:val="-4"/>
        </w:rPr>
        <w:t xml:space="preserve"> </w:t>
      </w:r>
      <w:r w:rsidRPr="00EC20A0">
        <w:t>D</w:t>
      </w:r>
      <w:r w:rsidRPr="00EC20A0">
        <w:rPr>
          <w:spacing w:val="-6"/>
        </w:rPr>
        <w:t xml:space="preserve"> </w:t>
      </w:r>
      <w:r w:rsidRPr="00EC20A0">
        <w:t>of</w:t>
      </w:r>
      <w:r w:rsidRPr="00EC20A0">
        <w:rPr>
          <w:spacing w:val="-4"/>
        </w:rPr>
        <w:t xml:space="preserve"> </w:t>
      </w:r>
      <w:r w:rsidRPr="00EC20A0">
        <w:t>OMB</w:t>
      </w:r>
      <w:r w:rsidRPr="00EC20A0">
        <w:rPr>
          <w:spacing w:val="-3"/>
        </w:rPr>
        <w:t xml:space="preserve"> </w:t>
      </w:r>
      <w:r w:rsidRPr="00EC20A0">
        <w:t>Circular</w:t>
      </w:r>
      <w:r w:rsidRPr="00EC20A0">
        <w:rPr>
          <w:spacing w:val="-4"/>
        </w:rPr>
        <w:t xml:space="preserve"> </w:t>
      </w:r>
      <w:r w:rsidRPr="00EC20A0">
        <w:t>No.</w:t>
      </w:r>
      <w:r w:rsidRPr="00EC20A0">
        <w:rPr>
          <w:spacing w:val="-4"/>
        </w:rPr>
        <w:t xml:space="preserve"> </w:t>
      </w:r>
      <w:r w:rsidRPr="00EC20A0">
        <w:t>A-123, such as the FFMIA Compliance Determination Framework, and</w:t>
      </w:r>
    </w:p>
    <w:p w14:paraId="24D604A7" w14:textId="77777777" w:rsidR="00245300" w:rsidRPr="00EC20A0" w:rsidRDefault="00F17249">
      <w:pPr>
        <w:pStyle w:val="ListParagraph"/>
        <w:numPr>
          <w:ilvl w:val="1"/>
          <w:numId w:val="180"/>
        </w:numPr>
        <w:tabs>
          <w:tab w:val="left" w:pos="2219"/>
        </w:tabs>
        <w:spacing w:before="238"/>
        <w:ind w:left="2219" w:right="746"/>
        <w:rPr>
          <w:sz w:val="14"/>
        </w:rPr>
      </w:pPr>
      <w:r w:rsidRPr="00EC20A0">
        <w:t>management’s</w:t>
      </w:r>
      <w:r w:rsidRPr="00EC20A0">
        <w:rPr>
          <w:spacing w:val="-6"/>
        </w:rPr>
        <w:t xml:space="preserve"> </w:t>
      </w:r>
      <w:r w:rsidRPr="00EC20A0">
        <w:t>assertion</w:t>
      </w:r>
      <w:r w:rsidRPr="00EC20A0">
        <w:rPr>
          <w:spacing w:val="-7"/>
        </w:rPr>
        <w:t xml:space="preserve"> </w:t>
      </w:r>
      <w:r w:rsidRPr="00EC20A0">
        <w:t>about</w:t>
      </w:r>
      <w:r w:rsidRPr="00EC20A0">
        <w:rPr>
          <w:spacing w:val="-6"/>
        </w:rPr>
        <w:t xml:space="preserve"> </w:t>
      </w:r>
      <w:r w:rsidRPr="00EC20A0">
        <w:t>systems’</w:t>
      </w:r>
      <w:r w:rsidRPr="00EC20A0">
        <w:rPr>
          <w:spacing w:val="-6"/>
        </w:rPr>
        <w:t xml:space="preserve"> </w:t>
      </w:r>
      <w:r w:rsidRPr="00EC20A0">
        <w:t>conformance</w:t>
      </w:r>
      <w:r w:rsidRPr="00EC20A0">
        <w:rPr>
          <w:spacing w:val="-6"/>
        </w:rPr>
        <w:t xml:space="preserve"> </w:t>
      </w:r>
      <w:r w:rsidRPr="00EC20A0">
        <w:t>with</w:t>
      </w:r>
      <w:r w:rsidRPr="00EC20A0">
        <w:rPr>
          <w:spacing w:val="-6"/>
        </w:rPr>
        <w:t xml:space="preserve"> </w:t>
      </w:r>
      <w:r w:rsidRPr="00EC20A0">
        <w:t>federal</w:t>
      </w:r>
      <w:r w:rsidRPr="00EC20A0">
        <w:rPr>
          <w:spacing w:val="-6"/>
        </w:rPr>
        <w:t xml:space="preserve"> </w:t>
      </w:r>
      <w:r w:rsidRPr="00EC20A0">
        <w:t>financial management systems requirements in its Federal Managers’ Financial Integrity Act of 1982 (FMFIA) section 4 report.</w:t>
      </w:r>
      <w:hyperlink w:anchor="_bookmark57" w:history="1">
        <w:r w:rsidRPr="00EC20A0">
          <w:rPr>
            <w:position w:val="7"/>
            <w:sz w:val="14"/>
          </w:rPr>
          <w:t>13</w:t>
        </w:r>
      </w:hyperlink>
    </w:p>
    <w:p w14:paraId="24D604A8" w14:textId="77777777" w:rsidR="00245300" w:rsidRPr="00EC20A0" w:rsidRDefault="00F17249">
      <w:pPr>
        <w:pStyle w:val="BodyText"/>
        <w:spacing w:before="239"/>
        <w:ind w:left="1859" w:right="656"/>
      </w:pPr>
      <w:r w:rsidRPr="00EC20A0">
        <w:t>The</w:t>
      </w:r>
      <w:r w:rsidRPr="00EC20A0">
        <w:rPr>
          <w:spacing w:val="-4"/>
        </w:rPr>
        <w:t xml:space="preserve"> </w:t>
      </w:r>
      <w:r w:rsidRPr="00EC20A0">
        <w:t>auditor</w:t>
      </w:r>
      <w:r w:rsidRPr="00EC20A0">
        <w:rPr>
          <w:spacing w:val="-5"/>
        </w:rPr>
        <w:t xml:space="preserve"> </w:t>
      </w:r>
      <w:r w:rsidRPr="00EC20A0">
        <w:t>may</w:t>
      </w:r>
      <w:r w:rsidRPr="00EC20A0">
        <w:rPr>
          <w:spacing w:val="-4"/>
        </w:rPr>
        <w:t xml:space="preserve"> </w:t>
      </w:r>
      <w:r w:rsidRPr="00EC20A0">
        <w:t>also</w:t>
      </w:r>
      <w:r w:rsidRPr="00EC20A0">
        <w:rPr>
          <w:spacing w:val="-4"/>
        </w:rPr>
        <w:t xml:space="preserve"> </w:t>
      </w:r>
      <w:r w:rsidRPr="00EC20A0">
        <w:t>use</w:t>
      </w:r>
      <w:r w:rsidRPr="00EC20A0">
        <w:rPr>
          <w:spacing w:val="-4"/>
        </w:rPr>
        <w:t xml:space="preserve"> </w:t>
      </w:r>
      <w:r w:rsidRPr="00EC20A0">
        <w:t>the</w:t>
      </w:r>
      <w:r w:rsidRPr="00EC20A0">
        <w:rPr>
          <w:spacing w:val="-4"/>
        </w:rPr>
        <w:t xml:space="preserve"> </w:t>
      </w:r>
      <w:r w:rsidRPr="00EC20A0">
        <w:t>goals</w:t>
      </w:r>
      <w:r w:rsidRPr="00EC20A0">
        <w:rPr>
          <w:spacing w:val="-4"/>
        </w:rPr>
        <w:t xml:space="preserve"> </w:t>
      </w:r>
      <w:r w:rsidRPr="00EC20A0">
        <w:t>and</w:t>
      </w:r>
      <w:r w:rsidRPr="00EC20A0">
        <w:rPr>
          <w:spacing w:val="-4"/>
        </w:rPr>
        <w:t xml:space="preserve"> </w:t>
      </w:r>
      <w:r w:rsidRPr="00EC20A0">
        <w:t>compliance</w:t>
      </w:r>
      <w:r w:rsidRPr="00EC20A0">
        <w:rPr>
          <w:spacing w:val="-4"/>
        </w:rPr>
        <w:t xml:space="preserve"> </w:t>
      </w:r>
      <w:r w:rsidRPr="00EC20A0">
        <w:t>indicators</w:t>
      </w:r>
      <w:r w:rsidRPr="00EC20A0">
        <w:rPr>
          <w:spacing w:val="-4"/>
        </w:rPr>
        <w:t xml:space="preserve"> </w:t>
      </w:r>
      <w:r w:rsidRPr="00EC20A0">
        <w:t>found</w:t>
      </w:r>
      <w:r w:rsidRPr="00EC20A0">
        <w:rPr>
          <w:spacing w:val="-4"/>
        </w:rPr>
        <w:t xml:space="preserve"> </w:t>
      </w:r>
      <w:r w:rsidRPr="00EC20A0">
        <w:t>in</w:t>
      </w:r>
      <w:r w:rsidRPr="00EC20A0">
        <w:rPr>
          <w:spacing w:val="-4"/>
        </w:rPr>
        <w:t xml:space="preserve"> </w:t>
      </w:r>
      <w:r w:rsidRPr="00EC20A0">
        <w:t xml:space="preserve">the FFMIA Compliance Determination Framework to help determine FFMIA </w:t>
      </w:r>
      <w:r w:rsidRPr="00EC20A0">
        <w:rPr>
          <w:spacing w:val="-2"/>
        </w:rPr>
        <w:t>compliance.</w:t>
      </w:r>
    </w:p>
    <w:p w14:paraId="24D604A9" w14:textId="77777777" w:rsidR="00245300" w:rsidRPr="00EC20A0" w:rsidRDefault="00F17249">
      <w:pPr>
        <w:pStyle w:val="ListParagraph"/>
        <w:numPr>
          <w:ilvl w:val="0"/>
          <w:numId w:val="180"/>
        </w:numPr>
        <w:tabs>
          <w:tab w:val="left" w:pos="1860"/>
        </w:tabs>
        <w:spacing w:before="239"/>
        <w:ind w:left="1860" w:right="532"/>
      </w:pPr>
      <w:r w:rsidRPr="00EC20A0">
        <w:t>Because of the overlapping scope and nature of FFMIA assessments and financial statements audits, the auditor may use the work performed as part of the financial statement audit in determining whether systems comply</w:t>
      </w:r>
      <w:r w:rsidRPr="00EC20A0">
        <w:rPr>
          <w:spacing w:val="40"/>
        </w:rPr>
        <w:t xml:space="preserve"> </w:t>
      </w:r>
      <w:r w:rsidRPr="00EC20A0">
        <w:t>substantially with FFMIA. Many control and substantive tests performed in a financial statement audit may also provide evidence regarding compliance with FFMIA</w:t>
      </w:r>
      <w:r w:rsidRPr="00EC20A0">
        <w:rPr>
          <w:spacing w:val="-2"/>
        </w:rPr>
        <w:t xml:space="preserve"> </w:t>
      </w:r>
      <w:r w:rsidRPr="00EC20A0">
        <w:t>and</w:t>
      </w:r>
      <w:r w:rsidRPr="00EC20A0">
        <w:rPr>
          <w:spacing w:val="-1"/>
        </w:rPr>
        <w:t xml:space="preserve"> </w:t>
      </w:r>
      <w:r w:rsidRPr="00EC20A0">
        <w:t>generally</w:t>
      </w:r>
      <w:r w:rsidRPr="00EC20A0">
        <w:rPr>
          <w:spacing w:val="-2"/>
        </w:rPr>
        <w:t xml:space="preserve"> </w:t>
      </w:r>
      <w:r w:rsidRPr="00EC20A0">
        <w:t>should</w:t>
      </w:r>
      <w:r w:rsidRPr="00EC20A0">
        <w:rPr>
          <w:spacing w:val="-2"/>
        </w:rPr>
        <w:t xml:space="preserve"> </w:t>
      </w:r>
      <w:r w:rsidRPr="00EC20A0">
        <w:t>be</w:t>
      </w:r>
      <w:r w:rsidRPr="00EC20A0">
        <w:rPr>
          <w:spacing w:val="-2"/>
        </w:rPr>
        <w:t xml:space="preserve"> </w:t>
      </w:r>
      <w:r w:rsidRPr="00EC20A0">
        <w:t>performed</w:t>
      </w:r>
      <w:r w:rsidRPr="00EC20A0">
        <w:rPr>
          <w:spacing w:val="-2"/>
        </w:rPr>
        <w:t xml:space="preserve"> </w:t>
      </w:r>
      <w:r w:rsidRPr="00EC20A0">
        <w:t>concurrently</w:t>
      </w:r>
      <w:r w:rsidRPr="00EC20A0">
        <w:rPr>
          <w:spacing w:val="-2"/>
        </w:rPr>
        <w:t xml:space="preserve"> </w:t>
      </w:r>
      <w:r w:rsidRPr="00EC20A0">
        <w:t>(multipurpose</w:t>
      </w:r>
      <w:r w:rsidRPr="00EC20A0">
        <w:rPr>
          <w:spacing w:val="-2"/>
        </w:rPr>
        <w:t xml:space="preserve"> </w:t>
      </w:r>
      <w:r w:rsidRPr="00EC20A0">
        <w:t>testing).</w:t>
      </w:r>
      <w:r w:rsidRPr="00EC20A0">
        <w:rPr>
          <w:spacing w:val="-2"/>
        </w:rPr>
        <w:t xml:space="preserve"> </w:t>
      </w:r>
      <w:r w:rsidRPr="00EC20A0">
        <w:t>In the</w:t>
      </w:r>
      <w:r w:rsidRPr="00EC20A0">
        <w:rPr>
          <w:spacing w:val="-2"/>
        </w:rPr>
        <w:t xml:space="preserve"> </w:t>
      </w:r>
      <w:r w:rsidRPr="00EC20A0">
        <w:t>example</w:t>
      </w:r>
      <w:r w:rsidRPr="00EC20A0">
        <w:rPr>
          <w:spacing w:val="-2"/>
        </w:rPr>
        <w:t xml:space="preserve"> </w:t>
      </w:r>
      <w:r w:rsidRPr="00EC20A0">
        <w:t>audit</w:t>
      </w:r>
      <w:r w:rsidRPr="00EC20A0">
        <w:rPr>
          <w:spacing w:val="-2"/>
        </w:rPr>
        <w:t xml:space="preserve"> </w:t>
      </w:r>
      <w:r w:rsidRPr="00EC20A0">
        <w:t>program</w:t>
      </w:r>
      <w:r w:rsidRPr="00EC20A0">
        <w:rPr>
          <w:spacing w:val="-3"/>
        </w:rPr>
        <w:t xml:space="preserve"> </w:t>
      </w:r>
      <w:r w:rsidRPr="00EC20A0">
        <w:t>at</w:t>
      </w:r>
      <w:r w:rsidRPr="00EC20A0">
        <w:rPr>
          <w:spacing w:val="-2"/>
        </w:rPr>
        <w:t xml:space="preserve"> </w:t>
      </w:r>
      <w:r w:rsidRPr="00EC20A0">
        <w:t>FAM</w:t>
      </w:r>
      <w:r w:rsidRPr="00EC20A0">
        <w:rPr>
          <w:spacing w:val="-2"/>
        </w:rPr>
        <w:t xml:space="preserve"> </w:t>
      </w:r>
      <w:r w:rsidRPr="00EC20A0">
        <w:t>701</w:t>
      </w:r>
      <w:r w:rsidRPr="00EC20A0">
        <w:rPr>
          <w:spacing w:val="-2"/>
        </w:rPr>
        <w:t xml:space="preserve"> </w:t>
      </w:r>
      <w:r w:rsidRPr="00EC20A0">
        <w:t>A</w:t>
      </w:r>
      <w:r w:rsidRPr="00EC20A0">
        <w:rPr>
          <w:spacing w:val="-2"/>
        </w:rPr>
        <w:t xml:space="preserve"> </w:t>
      </w:r>
      <w:r w:rsidRPr="00EC20A0">
        <w:t>for</w:t>
      </w:r>
      <w:r w:rsidRPr="00EC20A0">
        <w:rPr>
          <w:spacing w:val="-2"/>
        </w:rPr>
        <w:t xml:space="preserve"> </w:t>
      </w:r>
      <w:r w:rsidRPr="00EC20A0">
        <w:t>testing</w:t>
      </w:r>
      <w:r w:rsidRPr="00EC20A0">
        <w:rPr>
          <w:spacing w:val="-2"/>
        </w:rPr>
        <w:t xml:space="preserve"> </w:t>
      </w:r>
      <w:r w:rsidRPr="00EC20A0">
        <w:t>systems</w:t>
      </w:r>
      <w:r w:rsidRPr="00EC20A0">
        <w:rPr>
          <w:spacing w:val="-2"/>
        </w:rPr>
        <w:t xml:space="preserve"> </w:t>
      </w:r>
      <w:r w:rsidRPr="00EC20A0">
        <w:t>for</w:t>
      </w:r>
      <w:r w:rsidRPr="00EC20A0">
        <w:rPr>
          <w:spacing w:val="-2"/>
        </w:rPr>
        <w:t xml:space="preserve"> </w:t>
      </w:r>
      <w:r w:rsidRPr="00EC20A0">
        <w:t>compliance</w:t>
      </w:r>
      <w:r w:rsidRPr="00EC20A0">
        <w:rPr>
          <w:spacing w:val="-2"/>
        </w:rPr>
        <w:t xml:space="preserve"> </w:t>
      </w:r>
      <w:r w:rsidRPr="00EC20A0">
        <w:t xml:space="preserve">with FFMIA, several procedures indicate that the auditor may have performed the procedures as part of the financial </w:t>
      </w:r>
      <w:r w:rsidRPr="00EC20A0">
        <w:t>statement audit. Other procedures needed to assess</w:t>
      </w:r>
      <w:r w:rsidRPr="00EC20A0">
        <w:rPr>
          <w:spacing w:val="-5"/>
        </w:rPr>
        <w:t xml:space="preserve"> </w:t>
      </w:r>
      <w:r w:rsidRPr="00EC20A0">
        <w:t>FFMIA</w:t>
      </w:r>
      <w:r w:rsidRPr="00EC20A0">
        <w:rPr>
          <w:spacing w:val="-4"/>
        </w:rPr>
        <w:t xml:space="preserve"> </w:t>
      </w:r>
      <w:r w:rsidRPr="00EC20A0">
        <w:t>compliance</w:t>
      </w:r>
      <w:r w:rsidRPr="00EC20A0">
        <w:rPr>
          <w:spacing w:val="-4"/>
        </w:rPr>
        <w:t xml:space="preserve"> </w:t>
      </w:r>
      <w:r w:rsidRPr="00EC20A0">
        <w:t>may</w:t>
      </w:r>
      <w:r w:rsidRPr="00EC20A0">
        <w:rPr>
          <w:spacing w:val="-4"/>
        </w:rPr>
        <w:t xml:space="preserve"> </w:t>
      </w:r>
      <w:r w:rsidRPr="00EC20A0">
        <w:t>require</w:t>
      </w:r>
      <w:r w:rsidRPr="00EC20A0">
        <w:rPr>
          <w:spacing w:val="-4"/>
        </w:rPr>
        <w:t xml:space="preserve"> </w:t>
      </w:r>
      <w:r w:rsidRPr="00EC20A0">
        <w:t>additional</w:t>
      </w:r>
      <w:r w:rsidRPr="00EC20A0">
        <w:rPr>
          <w:spacing w:val="-4"/>
        </w:rPr>
        <w:t xml:space="preserve"> </w:t>
      </w:r>
      <w:r w:rsidRPr="00EC20A0">
        <w:t>work</w:t>
      </w:r>
      <w:r w:rsidRPr="00EC20A0">
        <w:rPr>
          <w:spacing w:val="-4"/>
        </w:rPr>
        <w:t xml:space="preserve"> </w:t>
      </w:r>
      <w:r w:rsidRPr="00EC20A0">
        <w:t>not</w:t>
      </w:r>
      <w:r w:rsidRPr="00EC20A0">
        <w:rPr>
          <w:spacing w:val="-4"/>
        </w:rPr>
        <w:t xml:space="preserve"> </w:t>
      </w:r>
      <w:r w:rsidRPr="00EC20A0">
        <w:t>normally</w:t>
      </w:r>
      <w:r w:rsidRPr="00EC20A0">
        <w:rPr>
          <w:spacing w:val="-4"/>
        </w:rPr>
        <w:t xml:space="preserve"> </w:t>
      </w:r>
      <w:r w:rsidRPr="00EC20A0">
        <w:t>performed</w:t>
      </w:r>
      <w:r w:rsidRPr="00EC20A0">
        <w:rPr>
          <w:spacing w:val="-4"/>
        </w:rPr>
        <w:t xml:space="preserve"> </w:t>
      </w:r>
      <w:r w:rsidRPr="00EC20A0">
        <w:t>in financial statement audits.</w:t>
      </w:r>
    </w:p>
    <w:p w14:paraId="24D604AA" w14:textId="77777777" w:rsidR="00245300" w:rsidRPr="00EC20A0" w:rsidRDefault="00F17249">
      <w:pPr>
        <w:pStyle w:val="ListParagraph"/>
        <w:numPr>
          <w:ilvl w:val="0"/>
          <w:numId w:val="180"/>
        </w:numPr>
        <w:tabs>
          <w:tab w:val="left" w:pos="1860"/>
        </w:tabs>
        <w:spacing w:before="241"/>
        <w:ind w:left="1860" w:right="580"/>
      </w:pPr>
      <w:r w:rsidRPr="00EC20A0">
        <w:t>The auditor may use management’s documentation as the basis for tests of compliance</w:t>
      </w:r>
      <w:r w:rsidRPr="00EC20A0">
        <w:rPr>
          <w:spacing w:val="-5"/>
        </w:rPr>
        <w:t xml:space="preserve"> </w:t>
      </w:r>
      <w:r w:rsidRPr="00EC20A0">
        <w:t>with</w:t>
      </w:r>
      <w:r w:rsidRPr="00EC20A0">
        <w:rPr>
          <w:spacing w:val="-4"/>
        </w:rPr>
        <w:t xml:space="preserve"> </w:t>
      </w:r>
      <w:r w:rsidRPr="00EC20A0">
        <w:t>FFMIA.</w:t>
      </w:r>
      <w:r w:rsidRPr="00EC20A0">
        <w:rPr>
          <w:spacing w:val="-3"/>
        </w:rPr>
        <w:t xml:space="preserve"> </w:t>
      </w:r>
      <w:r w:rsidRPr="00EC20A0">
        <w:t>If,</w:t>
      </w:r>
      <w:r w:rsidRPr="00EC20A0">
        <w:rPr>
          <w:spacing w:val="-4"/>
        </w:rPr>
        <w:t xml:space="preserve"> </w:t>
      </w:r>
      <w:r w:rsidRPr="00EC20A0">
        <w:t>for</w:t>
      </w:r>
      <w:r w:rsidRPr="00EC20A0">
        <w:rPr>
          <w:spacing w:val="-4"/>
        </w:rPr>
        <w:t xml:space="preserve"> </w:t>
      </w:r>
      <w:r w:rsidRPr="00EC20A0">
        <w:t>example,</w:t>
      </w:r>
      <w:r w:rsidRPr="00EC20A0">
        <w:rPr>
          <w:spacing w:val="-4"/>
        </w:rPr>
        <w:t xml:space="preserve"> </w:t>
      </w:r>
      <w:r w:rsidRPr="00EC20A0">
        <w:t>management</w:t>
      </w:r>
      <w:r w:rsidRPr="00EC20A0">
        <w:rPr>
          <w:spacing w:val="-4"/>
        </w:rPr>
        <w:t xml:space="preserve"> </w:t>
      </w:r>
      <w:r w:rsidRPr="00EC20A0">
        <w:t>provides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with</w:t>
      </w:r>
      <w:r w:rsidRPr="00EC20A0">
        <w:rPr>
          <w:spacing w:val="-4"/>
        </w:rPr>
        <w:t xml:space="preserve"> </w:t>
      </w:r>
      <w:r w:rsidRPr="00EC20A0">
        <w:t>a</w:t>
      </w:r>
    </w:p>
    <w:p w14:paraId="24D604AB" w14:textId="77777777" w:rsidR="00245300" w:rsidRPr="00EC20A0" w:rsidRDefault="00F17249">
      <w:pPr>
        <w:pStyle w:val="BodyText"/>
        <w:spacing w:before="69"/>
        <w:rPr>
          <w:sz w:val="20"/>
        </w:rPr>
      </w:pPr>
      <w:r w:rsidRPr="00EC20A0">
        <w:rPr>
          <w:noProof/>
        </w:rPr>
        <mc:AlternateContent>
          <mc:Choice Requires="wps">
            <w:drawing>
              <wp:anchor distT="0" distB="0" distL="0" distR="0" simplePos="0" relativeHeight="487607808" behindDoc="1" locked="0" layoutInCell="1" allowOverlap="1" wp14:anchorId="24D62B03" wp14:editId="24D62B04">
                <wp:simplePos x="0" y="0"/>
                <wp:positionH relativeFrom="page">
                  <wp:posOffset>914400</wp:posOffset>
                </wp:positionH>
                <wp:positionV relativeFrom="paragraph">
                  <wp:posOffset>205173</wp:posOffset>
                </wp:positionV>
                <wp:extent cx="1828800" cy="571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A0BAC9" id="Graphic 192" o:spid="_x0000_s1026" style="position:absolute;margin-left:1in;margin-top:16.15pt;width:2in;height:.4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" path="m1828800,l,,,5321r1828800,l1828800,xe" fillcolor="black" stroked="f">
                <v:path arrowok="t"/>
                <w10:wrap type="topAndBottom" anchorx="page"/>
              </v:shape>
            </w:pict>
          </mc:Fallback>
        </mc:AlternateContent>
      </w:r>
    </w:p>
    <w:p w14:paraId="24D604AC" w14:textId="77777777" w:rsidR="00245300" w:rsidRPr="00EC20A0" w:rsidRDefault="00F17249">
      <w:pPr>
        <w:spacing w:before="202"/>
        <w:ind w:left="420"/>
        <w:rPr>
          <w:sz w:val="18"/>
        </w:rPr>
      </w:pPr>
      <w:bookmarkStart w:id="143" w:name="_bookmark57"/>
      <w:bookmarkEnd w:id="143"/>
      <w:r w:rsidRPr="00EC20A0">
        <w:rPr>
          <w:position w:val="7"/>
          <w:sz w:val="14"/>
        </w:rPr>
        <w:t>13</w:t>
      </w:r>
      <w:r w:rsidRPr="00EC20A0">
        <w:rPr>
          <w:sz w:val="18"/>
        </w:rPr>
        <w:t>This</w:t>
      </w:r>
      <w:r w:rsidRPr="00EC20A0">
        <w:rPr>
          <w:spacing w:val="-5"/>
          <w:sz w:val="18"/>
        </w:rPr>
        <w:t xml:space="preserve"> </w:t>
      </w:r>
      <w:r w:rsidRPr="00EC20A0">
        <w:rPr>
          <w:sz w:val="18"/>
        </w:rPr>
        <w:t>refers</w:t>
      </w:r>
      <w:r w:rsidRPr="00EC20A0">
        <w:rPr>
          <w:spacing w:val="-2"/>
          <w:sz w:val="18"/>
        </w:rPr>
        <w:t xml:space="preserve"> </w:t>
      </w:r>
      <w:r w:rsidRPr="00EC20A0">
        <w:rPr>
          <w:sz w:val="18"/>
        </w:rPr>
        <w:t>to</w:t>
      </w:r>
      <w:r w:rsidRPr="00EC20A0">
        <w:rPr>
          <w:spacing w:val="-4"/>
          <w:sz w:val="18"/>
        </w:rPr>
        <w:t xml:space="preserve"> </w:t>
      </w:r>
      <w:r w:rsidRPr="00EC20A0">
        <w:rPr>
          <w:sz w:val="18"/>
        </w:rPr>
        <w:t>the</w:t>
      </w:r>
      <w:r w:rsidRPr="00EC20A0">
        <w:rPr>
          <w:spacing w:val="-3"/>
          <w:sz w:val="18"/>
        </w:rPr>
        <w:t xml:space="preserve"> </w:t>
      </w:r>
      <w:r w:rsidRPr="00EC20A0">
        <w:rPr>
          <w:sz w:val="18"/>
        </w:rPr>
        <w:t>FMFIA</w:t>
      </w:r>
      <w:r w:rsidRPr="00EC20A0">
        <w:rPr>
          <w:spacing w:val="-2"/>
          <w:sz w:val="18"/>
        </w:rPr>
        <w:t xml:space="preserve"> </w:t>
      </w:r>
      <w:r w:rsidRPr="00EC20A0">
        <w:rPr>
          <w:sz w:val="18"/>
        </w:rPr>
        <w:t>report</w:t>
      </w:r>
      <w:r w:rsidRPr="00EC20A0">
        <w:rPr>
          <w:spacing w:val="-3"/>
          <w:sz w:val="18"/>
        </w:rPr>
        <w:t xml:space="preserve"> </w:t>
      </w:r>
      <w:r w:rsidRPr="00EC20A0">
        <w:rPr>
          <w:sz w:val="18"/>
        </w:rPr>
        <w:t>on</w:t>
      </w:r>
      <w:r w:rsidRPr="00EC20A0">
        <w:rPr>
          <w:spacing w:val="-3"/>
          <w:sz w:val="18"/>
        </w:rPr>
        <w:t xml:space="preserve"> </w:t>
      </w:r>
      <w:r w:rsidRPr="00EC20A0">
        <w:rPr>
          <w:sz w:val="18"/>
        </w:rPr>
        <w:t>conformance</w:t>
      </w:r>
      <w:r w:rsidRPr="00EC20A0">
        <w:rPr>
          <w:spacing w:val="-4"/>
          <w:sz w:val="18"/>
        </w:rPr>
        <w:t xml:space="preserve"> </w:t>
      </w:r>
      <w:r w:rsidRPr="00EC20A0">
        <w:rPr>
          <w:sz w:val="18"/>
        </w:rPr>
        <w:t>with</w:t>
      </w:r>
      <w:r w:rsidRPr="00EC20A0">
        <w:rPr>
          <w:spacing w:val="-3"/>
          <w:sz w:val="18"/>
        </w:rPr>
        <w:t xml:space="preserve"> </w:t>
      </w:r>
      <w:r w:rsidRPr="00EC20A0">
        <w:rPr>
          <w:sz w:val="18"/>
        </w:rPr>
        <w:t>federal</w:t>
      </w:r>
      <w:r w:rsidRPr="00EC20A0">
        <w:rPr>
          <w:spacing w:val="-2"/>
          <w:sz w:val="18"/>
        </w:rPr>
        <w:t xml:space="preserve"> </w:t>
      </w:r>
      <w:r w:rsidRPr="00EC20A0">
        <w:rPr>
          <w:sz w:val="18"/>
        </w:rPr>
        <w:t>financial</w:t>
      </w:r>
      <w:r w:rsidRPr="00EC20A0">
        <w:rPr>
          <w:spacing w:val="-3"/>
          <w:sz w:val="18"/>
        </w:rPr>
        <w:t xml:space="preserve"> </w:t>
      </w:r>
      <w:r w:rsidRPr="00EC20A0">
        <w:rPr>
          <w:sz w:val="18"/>
        </w:rPr>
        <w:t>management</w:t>
      </w:r>
      <w:r w:rsidRPr="00EC20A0">
        <w:rPr>
          <w:spacing w:val="-2"/>
          <w:sz w:val="18"/>
        </w:rPr>
        <w:t xml:space="preserve"> </w:t>
      </w:r>
      <w:r w:rsidRPr="00EC20A0">
        <w:rPr>
          <w:sz w:val="18"/>
        </w:rPr>
        <w:t>systems</w:t>
      </w:r>
      <w:r w:rsidRPr="00EC20A0">
        <w:rPr>
          <w:spacing w:val="-3"/>
          <w:sz w:val="18"/>
        </w:rPr>
        <w:t xml:space="preserve"> </w:t>
      </w:r>
      <w:r w:rsidRPr="00EC20A0">
        <w:rPr>
          <w:sz w:val="18"/>
        </w:rPr>
        <w:t>requirements.</w:t>
      </w:r>
      <w:r w:rsidRPr="00EC20A0">
        <w:rPr>
          <w:spacing w:val="-2"/>
          <w:sz w:val="18"/>
        </w:rPr>
        <w:t xml:space="preserve"> </w:t>
      </w:r>
      <w:r w:rsidRPr="00EC20A0">
        <w:rPr>
          <w:sz w:val="18"/>
        </w:rPr>
        <w:t>See</w:t>
      </w:r>
      <w:r w:rsidRPr="00EC20A0">
        <w:rPr>
          <w:spacing w:val="-1"/>
          <w:sz w:val="18"/>
        </w:rPr>
        <w:t xml:space="preserve"> </w:t>
      </w:r>
      <w:r w:rsidRPr="00EC20A0">
        <w:rPr>
          <w:spacing w:val="-5"/>
          <w:sz w:val="18"/>
        </w:rPr>
        <w:t>31</w:t>
      </w:r>
    </w:p>
    <w:p w14:paraId="24D604AD" w14:textId="77777777" w:rsidR="00245300" w:rsidRPr="00EC20A0" w:rsidRDefault="00F17249">
      <w:pPr>
        <w:spacing w:before="9"/>
        <w:ind w:left="419"/>
        <w:rPr>
          <w:sz w:val="18"/>
        </w:rPr>
      </w:pPr>
      <w:r w:rsidRPr="00EC20A0">
        <w:rPr>
          <w:sz w:val="18"/>
        </w:rPr>
        <w:t>U.S.C.</w:t>
      </w:r>
      <w:r w:rsidRPr="00EC20A0">
        <w:rPr>
          <w:spacing w:val="-5"/>
          <w:sz w:val="18"/>
        </w:rPr>
        <w:t xml:space="preserve"> </w:t>
      </w:r>
      <w:r w:rsidRPr="00EC20A0">
        <w:rPr>
          <w:sz w:val="18"/>
        </w:rPr>
        <w:t>§</w:t>
      </w:r>
      <w:r w:rsidRPr="00EC20A0">
        <w:rPr>
          <w:spacing w:val="-3"/>
          <w:sz w:val="18"/>
        </w:rPr>
        <w:t xml:space="preserve"> </w:t>
      </w:r>
      <w:r w:rsidRPr="00EC20A0">
        <w:rPr>
          <w:sz w:val="18"/>
        </w:rPr>
        <w:t>3512(d)(2).</w:t>
      </w:r>
      <w:r w:rsidRPr="00EC20A0">
        <w:rPr>
          <w:spacing w:val="-3"/>
          <w:sz w:val="18"/>
        </w:rPr>
        <w:t xml:space="preserve"> </w:t>
      </w:r>
      <w:r w:rsidRPr="00EC20A0">
        <w:rPr>
          <w:sz w:val="18"/>
        </w:rPr>
        <w:t>See</w:t>
      </w:r>
      <w:r w:rsidRPr="00EC20A0">
        <w:rPr>
          <w:spacing w:val="-3"/>
          <w:sz w:val="18"/>
        </w:rPr>
        <w:t xml:space="preserve"> </w:t>
      </w:r>
      <w:r w:rsidRPr="00EC20A0">
        <w:rPr>
          <w:sz w:val="18"/>
        </w:rPr>
        <w:t>FAM</w:t>
      </w:r>
      <w:r w:rsidRPr="00EC20A0">
        <w:rPr>
          <w:spacing w:val="-2"/>
          <w:sz w:val="18"/>
        </w:rPr>
        <w:t xml:space="preserve"> </w:t>
      </w:r>
      <w:r w:rsidRPr="00EC20A0">
        <w:rPr>
          <w:sz w:val="18"/>
        </w:rPr>
        <w:t>580.85</w:t>
      </w:r>
      <w:r w:rsidRPr="00EC20A0">
        <w:rPr>
          <w:spacing w:val="-4"/>
          <w:sz w:val="18"/>
        </w:rPr>
        <w:t xml:space="preserve"> </w:t>
      </w:r>
      <w:r w:rsidRPr="00EC20A0">
        <w:rPr>
          <w:sz w:val="18"/>
        </w:rPr>
        <w:t>for</w:t>
      </w:r>
      <w:r w:rsidRPr="00EC20A0">
        <w:rPr>
          <w:spacing w:val="-2"/>
          <w:sz w:val="18"/>
        </w:rPr>
        <w:t xml:space="preserve"> </w:t>
      </w:r>
      <w:r w:rsidRPr="00EC20A0">
        <w:rPr>
          <w:sz w:val="18"/>
        </w:rPr>
        <w:t>guidance</w:t>
      </w:r>
      <w:r w:rsidRPr="00EC20A0">
        <w:rPr>
          <w:spacing w:val="-2"/>
          <w:sz w:val="18"/>
        </w:rPr>
        <w:t xml:space="preserve"> </w:t>
      </w:r>
      <w:r w:rsidRPr="00EC20A0">
        <w:rPr>
          <w:sz w:val="18"/>
        </w:rPr>
        <w:t>on</w:t>
      </w:r>
      <w:r w:rsidRPr="00EC20A0">
        <w:rPr>
          <w:spacing w:val="-3"/>
          <w:sz w:val="18"/>
        </w:rPr>
        <w:t xml:space="preserve"> </w:t>
      </w:r>
      <w:r w:rsidRPr="00EC20A0">
        <w:rPr>
          <w:sz w:val="18"/>
        </w:rPr>
        <w:t>reporting</w:t>
      </w:r>
      <w:r w:rsidRPr="00EC20A0">
        <w:rPr>
          <w:spacing w:val="-3"/>
          <w:sz w:val="18"/>
        </w:rPr>
        <w:t xml:space="preserve"> </w:t>
      </w:r>
      <w:r w:rsidRPr="00EC20A0">
        <w:rPr>
          <w:sz w:val="18"/>
        </w:rPr>
        <w:t>on</w:t>
      </w:r>
      <w:r w:rsidRPr="00EC20A0">
        <w:rPr>
          <w:spacing w:val="-4"/>
          <w:sz w:val="18"/>
        </w:rPr>
        <w:t xml:space="preserve"> </w:t>
      </w:r>
      <w:r w:rsidRPr="00EC20A0">
        <w:rPr>
          <w:sz w:val="18"/>
        </w:rPr>
        <w:t>management’s</w:t>
      </w:r>
      <w:r w:rsidRPr="00EC20A0">
        <w:rPr>
          <w:spacing w:val="-2"/>
          <w:sz w:val="18"/>
        </w:rPr>
        <w:t xml:space="preserve"> </w:t>
      </w:r>
      <w:r w:rsidRPr="00EC20A0">
        <w:rPr>
          <w:sz w:val="18"/>
        </w:rPr>
        <w:t>FMFIA</w:t>
      </w:r>
      <w:r w:rsidRPr="00EC20A0">
        <w:rPr>
          <w:spacing w:val="-2"/>
          <w:sz w:val="18"/>
        </w:rPr>
        <w:t xml:space="preserve"> report.</w:t>
      </w:r>
    </w:p>
    <w:p w14:paraId="24D604AE"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604AF" w14:textId="77777777" w:rsidR="00245300" w:rsidRPr="00EC20A0" w:rsidRDefault="00F17249">
      <w:pPr>
        <w:pStyle w:val="BodyText"/>
        <w:spacing w:before="121"/>
        <w:ind w:left="1860" w:right="562"/>
      </w:pPr>
      <w:r w:rsidRPr="00EC20A0">
        <w:t>checklist</w:t>
      </w:r>
      <w:r w:rsidRPr="00EC20A0">
        <w:rPr>
          <w:spacing w:val="-3"/>
        </w:rPr>
        <w:t xml:space="preserve"> </w:t>
      </w:r>
      <w:r w:rsidRPr="00EC20A0">
        <w:t>detailing</w:t>
      </w:r>
      <w:r w:rsidRPr="00EC20A0">
        <w:rPr>
          <w:spacing w:val="-3"/>
        </w:rPr>
        <w:t xml:space="preserve"> </w:t>
      </w:r>
      <w:r w:rsidRPr="00EC20A0">
        <w:t>the</w:t>
      </w:r>
      <w:r w:rsidRPr="00EC20A0">
        <w:rPr>
          <w:spacing w:val="-3"/>
        </w:rPr>
        <w:t xml:space="preserve"> </w:t>
      </w:r>
      <w:r w:rsidRPr="00EC20A0">
        <w:t>functions</w:t>
      </w:r>
      <w:r w:rsidRPr="00EC20A0">
        <w:rPr>
          <w:spacing w:val="-3"/>
        </w:rPr>
        <w:t xml:space="preserve"> </w:t>
      </w:r>
      <w:r w:rsidRPr="00EC20A0">
        <w:t>that</w:t>
      </w:r>
      <w:r w:rsidRPr="00EC20A0">
        <w:rPr>
          <w:spacing w:val="-4"/>
        </w:rPr>
        <w:t xml:space="preserve"> </w:t>
      </w:r>
      <w:r w:rsidRPr="00EC20A0">
        <w:t>the</w:t>
      </w:r>
      <w:r w:rsidRPr="00EC20A0">
        <w:rPr>
          <w:spacing w:val="-3"/>
        </w:rPr>
        <w:t xml:space="preserve"> </w:t>
      </w:r>
      <w:r w:rsidRPr="00EC20A0">
        <w:t>systems</w:t>
      </w:r>
      <w:r w:rsidRPr="00EC20A0">
        <w:rPr>
          <w:spacing w:val="-4"/>
        </w:rPr>
        <w:t xml:space="preserve"> </w:t>
      </w:r>
      <w:r w:rsidRPr="00EC20A0">
        <w:t>are</w:t>
      </w:r>
      <w:r w:rsidRPr="00EC20A0">
        <w:rPr>
          <w:spacing w:val="-3"/>
        </w:rPr>
        <w:t xml:space="preserve"> </w:t>
      </w:r>
      <w:r w:rsidRPr="00EC20A0">
        <w:t>able</w:t>
      </w:r>
      <w:r w:rsidRPr="00EC20A0">
        <w:rPr>
          <w:spacing w:val="-3"/>
        </w:rPr>
        <w:t xml:space="preserve"> </w:t>
      </w:r>
      <w:r w:rsidRPr="00EC20A0">
        <w:t>to</w:t>
      </w:r>
      <w:r w:rsidRPr="00EC20A0">
        <w:rPr>
          <w:spacing w:val="-4"/>
        </w:rPr>
        <w:t xml:space="preserve"> </w:t>
      </w:r>
      <w:r w:rsidRPr="00EC20A0">
        <w:t>perform,</w:t>
      </w:r>
      <w:r w:rsidRPr="00EC20A0">
        <w:rPr>
          <w:spacing w:val="-3"/>
        </w:rPr>
        <w:t xml:space="preserve"> </w:t>
      </w:r>
      <w:r w:rsidRPr="00EC20A0">
        <w:t>the</w:t>
      </w:r>
      <w:r w:rsidRPr="00EC20A0">
        <w:rPr>
          <w:spacing w:val="-3"/>
        </w:rPr>
        <w:t xml:space="preserve"> </w:t>
      </w:r>
      <w:r w:rsidRPr="00EC20A0">
        <w:t xml:space="preserve">auditor generally should select some significant functions from the checklist and determine whether the systems actually perform them. The auditor may do </w:t>
      </w:r>
      <w:r w:rsidRPr="00EC20A0">
        <w:t>this based on knowledge the auditor has acquired from gaining an understanding of the systems and controls through walk-throughs, as well as by performing additional procedures that involve observation, inquiry, inspection, or a combination of these.</w:t>
      </w:r>
    </w:p>
    <w:p w14:paraId="24D604B0" w14:textId="77777777" w:rsidR="00245300" w:rsidRPr="00EC20A0" w:rsidRDefault="00F17249">
      <w:pPr>
        <w:pStyle w:val="BodyText"/>
        <w:spacing w:before="239"/>
        <w:ind w:left="1860" w:right="562"/>
      </w:pPr>
      <w:r w:rsidRPr="00EC20A0">
        <w:t>If management has not provided the documentation, the auditor may test the systems directly. If management is unable to provide any documentation, the auditor should ask for the reasons why and how management has determined whether the agency’s systems are in substantial compliance. Lack of documentation</w:t>
      </w:r>
      <w:r w:rsidRPr="00EC20A0">
        <w:rPr>
          <w:spacing w:val="-4"/>
        </w:rPr>
        <w:t xml:space="preserve"> </w:t>
      </w:r>
      <w:r w:rsidRPr="00EC20A0">
        <w:t>often</w:t>
      </w:r>
      <w:r w:rsidRPr="00EC20A0">
        <w:rPr>
          <w:spacing w:val="-4"/>
        </w:rPr>
        <w:t xml:space="preserve"> </w:t>
      </w:r>
      <w:r w:rsidRPr="00EC20A0">
        <w:t>indicates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systems</w:t>
      </w:r>
      <w:r w:rsidRPr="00EC20A0">
        <w:rPr>
          <w:spacing w:val="-4"/>
        </w:rPr>
        <w:t xml:space="preserve"> </w:t>
      </w:r>
      <w:r w:rsidRPr="00EC20A0">
        <w:t>do</w:t>
      </w:r>
      <w:r w:rsidRPr="00EC20A0">
        <w:rPr>
          <w:spacing w:val="-4"/>
        </w:rPr>
        <w:t xml:space="preserve"> </w:t>
      </w:r>
      <w:r w:rsidRPr="00EC20A0">
        <w:t>not</w:t>
      </w:r>
      <w:r w:rsidRPr="00EC20A0">
        <w:rPr>
          <w:spacing w:val="-4"/>
        </w:rPr>
        <w:t xml:space="preserve"> </w:t>
      </w:r>
      <w:r w:rsidRPr="00EC20A0">
        <w:t>comply</w:t>
      </w:r>
      <w:r w:rsidRPr="00EC20A0">
        <w:rPr>
          <w:spacing w:val="-4"/>
        </w:rPr>
        <w:t xml:space="preserve"> </w:t>
      </w:r>
      <w:r w:rsidRPr="00EC20A0">
        <w:t>substantially</w:t>
      </w:r>
      <w:r w:rsidRPr="00EC20A0">
        <w:rPr>
          <w:spacing w:val="-4"/>
        </w:rPr>
        <w:t xml:space="preserve"> </w:t>
      </w:r>
      <w:r w:rsidRPr="00EC20A0">
        <w:t>with the FFMIA requirements.</w:t>
      </w:r>
    </w:p>
    <w:p w14:paraId="24D604B1" w14:textId="77777777" w:rsidR="00245300" w:rsidRPr="00EC20A0" w:rsidRDefault="00F17249">
      <w:pPr>
        <w:pStyle w:val="ListParagraph"/>
        <w:numPr>
          <w:ilvl w:val="0"/>
          <w:numId w:val="180"/>
        </w:numPr>
        <w:tabs>
          <w:tab w:val="left" w:pos="1860"/>
        </w:tabs>
        <w:ind w:left="1860" w:right="505"/>
      </w:pPr>
      <w:r w:rsidRPr="00EC20A0">
        <w:t>The Federal Information Security Modernization Act of 2014 (FISMA) requires federal agencies to periodically test, evaluate, and report on the effectiveness of their information security policies, procedures, and practices. Agencies are also required to have their information security programs evaluated each year</w:t>
      </w:r>
      <w:r w:rsidRPr="00EC20A0">
        <w:rPr>
          <w:spacing w:val="-1"/>
        </w:rPr>
        <w:t xml:space="preserve"> </w:t>
      </w:r>
      <w:r w:rsidRPr="00EC20A0">
        <w:t>by their inspector general or by an independent external auditor. An external auditor may be engaged by an inspector general or, if the agency does not have an inspector general, by the agency. In a financial statement audit, the auditor assesses the implications of any threats, incidents, and vulnerabilities identified in the most recent FISMA report on the risks of material misstatement. The auditor should consider</w:t>
      </w:r>
      <w:r w:rsidRPr="00EC20A0">
        <w:rPr>
          <w:spacing w:val="-3"/>
        </w:rPr>
        <w:t xml:space="preserve"> </w:t>
      </w:r>
      <w:r w:rsidRPr="00EC20A0">
        <w:t>the</w:t>
      </w:r>
      <w:r w:rsidRPr="00EC20A0">
        <w:rPr>
          <w:spacing w:val="-4"/>
        </w:rPr>
        <w:t xml:space="preserve"> </w:t>
      </w:r>
      <w:r w:rsidRPr="00EC20A0">
        <w:t>impact</w:t>
      </w:r>
      <w:r w:rsidRPr="00EC20A0">
        <w:rPr>
          <w:spacing w:val="-3"/>
        </w:rPr>
        <w:t xml:space="preserve"> </w:t>
      </w:r>
      <w:r w:rsidRPr="00EC20A0">
        <w:t>of</w:t>
      </w:r>
      <w:r w:rsidRPr="00EC20A0">
        <w:rPr>
          <w:spacing w:val="-3"/>
        </w:rPr>
        <w:t xml:space="preserve"> </w:t>
      </w:r>
      <w:r w:rsidRPr="00EC20A0">
        <w:t>any</w:t>
      </w:r>
      <w:r w:rsidRPr="00EC20A0">
        <w:rPr>
          <w:spacing w:val="-3"/>
        </w:rPr>
        <w:t xml:space="preserve"> </w:t>
      </w:r>
      <w:r w:rsidRPr="00EC20A0">
        <w:t>deficiencies</w:t>
      </w:r>
      <w:r w:rsidRPr="00EC20A0">
        <w:rPr>
          <w:spacing w:val="-3"/>
        </w:rPr>
        <w:t xml:space="preserve"> </w:t>
      </w:r>
      <w:r w:rsidRPr="00EC20A0">
        <w:t>identified</w:t>
      </w:r>
      <w:r w:rsidRPr="00EC20A0">
        <w:rPr>
          <w:spacing w:val="-4"/>
        </w:rPr>
        <w:t xml:space="preserve"> </w:t>
      </w:r>
      <w:r w:rsidRPr="00EC20A0">
        <w:t>in</w:t>
      </w:r>
      <w:r w:rsidRPr="00EC20A0">
        <w:rPr>
          <w:spacing w:val="-3"/>
        </w:rPr>
        <w:t xml:space="preserve"> </w:t>
      </w:r>
      <w:r w:rsidRPr="00EC20A0">
        <w:t>the</w:t>
      </w:r>
      <w:r w:rsidRPr="00EC20A0">
        <w:rPr>
          <w:spacing w:val="-3"/>
        </w:rPr>
        <w:t xml:space="preserve"> </w:t>
      </w:r>
      <w:r w:rsidRPr="00EC20A0">
        <w:t>FISMA</w:t>
      </w:r>
      <w:r w:rsidRPr="00EC20A0">
        <w:rPr>
          <w:spacing w:val="-3"/>
        </w:rPr>
        <w:t xml:space="preserve"> </w:t>
      </w:r>
      <w:r w:rsidRPr="00EC20A0">
        <w:t>report</w:t>
      </w:r>
      <w:r w:rsidRPr="00EC20A0">
        <w:rPr>
          <w:spacing w:val="-3"/>
        </w:rPr>
        <w:t xml:space="preserve"> </w:t>
      </w:r>
      <w:r w:rsidRPr="00EC20A0">
        <w:t>on</w:t>
      </w:r>
      <w:r w:rsidRPr="00EC20A0">
        <w:rPr>
          <w:spacing w:val="-3"/>
        </w:rPr>
        <w:t xml:space="preserve"> </w:t>
      </w:r>
      <w:r w:rsidRPr="00EC20A0">
        <w:t xml:space="preserve">systems’ compliance with </w:t>
      </w:r>
      <w:r w:rsidRPr="00EC20A0">
        <w:t>FFMIA. For considerations related to FISMA, see FAM 260.52 through .54 and FAM 580.62.</w:t>
      </w:r>
    </w:p>
    <w:p w14:paraId="24D604B2" w14:textId="77777777" w:rsidR="00245300" w:rsidRPr="00EC20A0" w:rsidRDefault="00F17249">
      <w:pPr>
        <w:pStyle w:val="ListParagraph"/>
        <w:numPr>
          <w:ilvl w:val="0"/>
          <w:numId w:val="180"/>
        </w:numPr>
        <w:tabs>
          <w:tab w:val="left" w:pos="1860"/>
        </w:tabs>
        <w:ind w:left="1860" w:right="628"/>
      </w:pPr>
      <w:r w:rsidRPr="00EC20A0">
        <w:t>As discussed in FAM 350.29 and .30, the auditor may limit the scope of work performed</w:t>
      </w:r>
      <w:r w:rsidRPr="00EC20A0">
        <w:rPr>
          <w:spacing w:val="-4"/>
        </w:rPr>
        <w:t xml:space="preserve"> </w:t>
      </w:r>
      <w:r w:rsidRPr="00EC20A0">
        <w:t>to</w:t>
      </w:r>
      <w:r w:rsidRPr="00EC20A0">
        <w:rPr>
          <w:spacing w:val="-4"/>
        </w:rPr>
        <w:t xml:space="preserve"> </w:t>
      </w:r>
      <w:r w:rsidRPr="00EC20A0">
        <w:t>support</w:t>
      </w:r>
      <w:r w:rsidRPr="00EC20A0">
        <w:rPr>
          <w:spacing w:val="-4"/>
        </w:rPr>
        <w:t xml:space="preserve"> </w:t>
      </w:r>
      <w:r w:rsidRPr="00EC20A0">
        <w:t>the</w:t>
      </w:r>
      <w:r w:rsidRPr="00EC20A0">
        <w:rPr>
          <w:spacing w:val="-4"/>
        </w:rPr>
        <w:t xml:space="preserve"> </w:t>
      </w:r>
      <w:r w:rsidRPr="00EC20A0">
        <w:t>FFMIA</w:t>
      </w:r>
      <w:r w:rsidRPr="00EC20A0">
        <w:rPr>
          <w:spacing w:val="-4"/>
        </w:rPr>
        <w:t xml:space="preserve"> </w:t>
      </w:r>
      <w:r w:rsidRPr="00EC20A0">
        <w:t>assessment</w:t>
      </w:r>
      <w:r w:rsidRPr="00EC20A0">
        <w:rPr>
          <w:spacing w:val="-4"/>
        </w:rPr>
        <w:t xml:space="preserve"> </w:t>
      </w:r>
      <w:r w:rsidRPr="00EC20A0">
        <w:t>with</w:t>
      </w:r>
      <w:r w:rsidRPr="00EC20A0">
        <w:rPr>
          <w:spacing w:val="-4"/>
        </w:rPr>
        <w:t xml:space="preserve"> </w:t>
      </w:r>
      <w:r w:rsidRPr="00EC20A0">
        <w:t>respect</w:t>
      </w:r>
      <w:r w:rsidRPr="00EC20A0">
        <w:rPr>
          <w:spacing w:val="-4"/>
        </w:rPr>
        <w:t xml:space="preserve"> </w:t>
      </w:r>
      <w:r w:rsidRPr="00EC20A0">
        <w:t>to</w:t>
      </w:r>
      <w:r w:rsidRPr="00EC20A0">
        <w:rPr>
          <w:spacing w:val="-5"/>
        </w:rPr>
        <w:t xml:space="preserve"> </w:t>
      </w:r>
      <w:r w:rsidRPr="00EC20A0">
        <w:t>those</w:t>
      </w:r>
      <w:r w:rsidRPr="00EC20A0">
        <w:rPr>
          <w:spacing w:val="-4"/>
        </w:rPr>
        <w:t xml:space="preserve"> </w:t>
      </w:r>
      <w:r w:rsidRPr="00EC20A0">
        <w:t>requirements for which there is sufficient evidence that the agency’s financial management systems</w:t>
      </w:r>
      <w:r w:rsidRPr="00EC20A0">
        <w:rPr>
          <w:spacing w:val="-4"/>
        </w:rPr>
        <w:t xml:space="preserve"> </w:t>
      </w:r>
      <w:r w:rsidRPr="00EC20A0">
        <w:t>do</w:t>
      </w:r>
      <w:r w:rsidRPr="00EC20A0">
        <w:rPr>
          <w:spacing w:val="-5"/>
        </w:rPr>
        <w:t xml:space="preserve"> </w:t>
      </w:r>
      <w:r w:rsidRPr="00EC20A0">
        <w:t>not</w:t>
      </w:r>
      <w:r w:rsidRPr="00EC20A0">
        <w:rPr>
          <w:spacing w:val="-4"/>
        </w:rPr>
        <w:t xml:space="preserve"> </w:t>
      </w:r>
      <w:r w:rsidRPr="00EC20A0">
        <w:t>comply</w:t>
      </w:r>
      <w:r w:rsidRPr="00EC20A0">
        <w:rPr>
          <w:spacing w:val="-5"/>
        </w:rPr>
        <w:t xml:space="preserve"> </w:t>
      </w:r>
      <w:r w:rsidRPr="00EC20A0">
        <w:t>substantially</w:t>
      </w:r>
      <w:r w:rsidRPr="00EC20A0">
        <w:rPr>
          <w:spacing w:val="-4"/>
        </w:rPr>
        <w:t xml:space="preserve"> </w:t>
      </w:r>
      <w:r w:rsidRPr="00EC20A0">
        <w:t>with</w:t>
      </w:r>
      <w:r w:rsidRPr="00EC20A0">
        <w:rPr>
          <w:spacing w:val="-4"/>
        </w:rPr>
        <w:t xml:space="preserve"> </w:t>
      </w:r>
      <w:r w:rsidRPr="00EC20A0">
        <w:t>FFMIA</w:t>
      </w:r>
      <w:r w:rsidRPr="00EC20A0">
        <w:rPr>
          <w:spacing w:val="-3"/>
        </w:rPr>
        <w:t xml:space="preserve"> </w:t>
      </w:r>
      <w:r w:rsidRPr="00EC20A0">
        <w:t>(e.g.,</w:t>
      </w:r>
      <w:r w:rsidRPr="00EC20A0">
        <w:rPr>
          <w:spacing w:val="-4"/>
        </w:rPr>
        <w:t xml:space="preserve"> </w:t>
      </w:r>
      <w:r w:rsidRPr="00EC20A0">
        <w:t>continuation</w:t>
      </w:r>
      <w:r w:rsidRPr="00EC20A0">
        <w:rPr>
          <w:spacing w:val="-4"/>
        </w:rPr>
        <w:t xml:space="preserve"> </w:t>
      </w:r>
      <w:r w:rsidRPr="00EC20A0">
        <w:t>of</w:t>
      </w:r>
      <w:r w:rsidRPr="00EC20A0">
        <w:rPr>
          <w:spacing w:val="-4"/>
        </w:rPr>
        <w:t xml:space="preserve"> </w:t>
      </w:r>
      <w:r w:rsidRPr="00EC20A0">
        <w:t xml:space="preserve">previously reported lack of substantial compliance with FFMIA). However, the auditor may determine that additional evidence is needed to convince management of the systems’ lack of </w:t>
      </w:r>
      <w:r w:rsidRPr="00EC20A0">
        <w:t>substantial compliance.</w:t>
      </w:r>
    </w:p>
    <w:p w14:paraId="24D604B3" w14:textId="77777777" w:rsidR="00245300" w:rsidRPr="00EC20A0" w:rsidRDefault="00F17249">
      <w:pPr>
        <w:pStyle w:val="ListParagraph"/>
        <w:numPr>
          <w:ilvl w:val="0"/>
          <w:numId w:val="180"/>
        </w:numPr>
        <w:tabs>
          <w:tab w:val="left" w:pos="1860"/>
        </w:tabs>
        <w:spacing w:before="241"/>
        <w:ind w:left="1860" w:right="737"/>
      </w:pPr>
      <w:r w:rsidRPr="00EC20A0">
        <w:t>FAM</w:t>
      </w:r>
      <w:r w:rsidRPr="00EC20A0">
        <w:rPr>
          <w:spacing w:val="-5"/>
        </w:rPr>
        <w:t xml:space="preserve"> </w:t>
      </w:r>
      <w:r w:rsidRPr="00EC20A0">
        <w:t>701</w:t>
      </w:r>
      <w:r w:rsidRPr="00EC20A0">
        <w:rPr>
          <w:spacing w:val="-4"/>
        </w:rPr>
        <w:t xml:space="preserve"> </w:t>
      </w:r>
      <w:r w:rsidRPr="00EC20A0">
        <w:t>A</w:t>
      </w:r>
      <w:r w:rsidRPr="00EC20A0">
        <w:rPr>
          <w:spacing w:val="-3"/>
        </w:rPr>
        <w:t xml:space="preserve"> </w:t>
      </w:r>
      <w:r w:rsidRPr="00EC20A0">
        <w:t>provides</w:t>
      </w:r>
      <w:r w:rsidRPr="00EC20A0">
        <w:rPr>
          <w:spacing w:val="-4"/>
        </w:rPr>
        <w:t xml:space="preserve"> </w:t>
      </w:r>
      <w:r w:rsidRPr="00EC20A0">
        <w:t>an</w:t>
      </w:r>
      <w:r w:rsidRPr="00EC20A0">
        <w:rPr>
          <w:spacing w:val="-5"/>
        </w:rPr>
        <w:t xml:space="preserve"> </w:t>
      </w:r>
      <w:r w:rsidRPr="00EC20A0">
        <w:t>example</w:t>
      </w:r>
      <w:r w:rsidRPr="00EC20A0">
        <w:rPr>
          <w:spacing w:val="-4"/>
        </w:rPr>
        <w:t xml:space="preserve"> </w:t>
      </w:r>
      <w:r w:rsidRPr="00EC20A0">
        <w:t>audit</w:t>
      </w:r>
      <w:r w:rsidRPr="00EC20A0">
        <w:rPr>
          <w:spacing w:val="-4"/>
        </w:rPr>
        <w:t xml:space="preserve"> </w:t>
      </w:r>
      <w:r w:rsidRPr="00EC20A0">
        <w:t>program</w:t>
      </w:r>
      <w:r w:rsidRPr="00EC20A0">
        <w:rPr>
          <w:spacing w:val="-5"/>
        </w:rPr>
        <w:t xml:space="preserve"> </w:t>
      </w:r>
      <w:r w:rsidRPr="00EC20A0">
        <w:t>for</w:t>
      </w:r>
      <w:r w:rsidRPr="00EC20A0">
        <w:rPr>
          <w:spacing w:val="-4"/>
        </w:rPr>
        <w:t xml:space="preserve"> </w:t>
      </w:r>
      <w:r w:rsidRPr="00EC20A0">
        <w:t>testing</w:t>
      </w:r>
      <w:r w:rsidRPr="00EC20A0">
        <w:rPr>
          <w:spacing w:val="-4"/>
        </w:rPr>
        <w:t xml:space="preserve"> </w:t>
      </w:r>
      <w:r w:rsidRPr="00EC20A0">
        <w:t>systems</w:t>
      </w:r>
      <w:r w:rsidRPr="00EC20A0">
        <w:rPr>
          <w:spacing w:val="-4"/>
        </w:rPr>
        <w:t xml:space="preserve"> </w:t>
      </w:r>
      <w:r w:rsidRPr="00EC20A0">
        <w:t xml:space="preserve">compliance with FFMIA. Because of the broad scope of federal operations and the many variations that can flow from such a broad scope, the auditor may tailor the example audit procedures to satisfy the objectives or intent of each step. The auditor may use other work that addresses the objectives of the example audit </w:t>
      </w:r>
      <w:r w:rsidRPr="00EC20A0">
        <w:rPr>
          <w:spacing w:val="-2"/>
        </w:rPr>
        <w:t>procedures.</w:t>
      </w:r>
    </w:p>
    <w:p w14:paraId="24D604B4" w14:textId="77777777" w:rsidR="00245300" w:rsidRPr="00EC20A0" w:rsidRDefault="00245300">
      <w:pPr>
        <w:sectPr w:rsidR="00245300" w:rsidRPr="00EC20A0">
          <w:pgSz w:w="12240" w:h="15840"/>
          <w:pgMar w:top="1340" w:right="940" w:bottom="940" w:left="1020" w:header="721" w:footer="757" w:gutter="0"/>
          <w:cols w:space="720"/>
        </w:sectPr>
      </w:pPr>
    </w:p>
    <w:p w14:paraId="24D604B5" w14:textId="77777777" w:rsidR="00245300" w:rsidRPr="00EC20A0" w:rsidRDefault="00F17249">
      <w:pPr>
        <w:pStyle w:val="Heading3"/>
        <w:ind w:left="420"/>
        <w:rPr>
          <w:u w:val="none"/>
        </w:rPr>
      </w:pPr>
      <w:bookmarkStart w:id="144" w:name="701_A_–_Example_Audit_Procedures_for_Tes"/>
      <w:bookmarkStart w:id="145" w:name="_bookmark58"/>
      <w:bookmarkEnd w:id="144"/>
      <w:bookmarkEnd w:id="145"/>
      <w:r w:rsidRPr="00EC20A0">
        <w:t>701</w:t>
      </w:r>
      <w:r w:rsidRPr="00EC20A0">
        <w:rPr>
          <w:spacing w:val="-19"/>
        </w:rPr>
        <w:t xml:space="preserve"> </w:t>
      </w:r>
      <w:r w:rsidRPr="00EC20A0">
        <w:t>A</w:t>
      </w:r>
      <w:r w:rsidRPr="00EC20A0">
        <w:rPr>
          <w:spacing w:val="-18"/>
        </w:rPr>
        <w:t xml:space="preserve"> </w:t>
      </w:r>
      <w:r w:rsidRPr="00EC20A0">
        <w:t>–</w:t>
      </w:r>
      <w:r w:rsidRPr="00EC20A0">
        <w:rPr>
          <w:spacing w:val="-7"/>
        </w:rPr>
        <w:t xml:space="preserve"> </w:t>
      </w:r>
      <w:r w:rsidRPr="00EC20A0">
        <w:t>Example</w:t>
      </w:r>
      <w:r w:rsidRPr="00EC20A0">
        <w:rPr>
          <w:spacing w:val="-19"/>
        </w:rPr>
        <w:t xml:space="preserve"> </w:t>
      </w:r>
      <w:r w:rsidRPr="00EC20A0">
        <w:t>Audit</w:t>
      </w:r>
      <w:r w:rsidRPr="00EC20A0">
        <w:rPr>
          <w:spacing w:val="-8"/>
        </w:rPr>
        <w:t xml:space="preserve"> </w:t>
      </w:r>
      <w:r w:rsidRPr="00EC20A0">
        <w:t>Procedures</w:t>
      </w:r>
      <w:r w:rsidRPr="00EC20A0">
        <w:rPr>
          <w:spacing w:val="-8"/>
        </w:rPr>
        <w:t xml:space="preserve"> </w:t>
      </w:r>
      <w:r w:rsidRPr="00EC20A0">
        <w:t>for</w:t>
      </w:r>
      <w:r w:rsidRPr="00EC20A0">
        <w:rPr>
          <w:spacing w:val="-8"/>
        </w:rPr>
        <w:t xml:space="preserve"> </w:t>
      </w:r>
      <w:r w:rsidRPr="00EC20A0">
        <w:t>Testing</w:t>
      </w:r>
      <w:r w:rsidRPr="00EC20A0">
        <w:rPr>
          <w:spacing w:val="-8"/>
        </w:rPr>
        <w:t xml:space="preserve"> </w:t>
      </w:r>
      <w:r w:rsidRPr="00EC20A0">
        <w:t>Systems</w:t>
      </w:r>
      <w:r w:rsidRPr="00EC20A0">
        <w:rPr>
          <w:spacing w:val="-8"/>
        </w:rPr>
        <w:t xml:space="preserve"> </w:t>
      </w:r>
      <w:r w:rsidRPr="00EC20A0">
        <w:t>for</w:t>
      </w:r>
      <w:r w:rsidRPr="00EC20A0">
        <w:rPr>
          <w:u w:val="none"/>
        </w:rPr>
        <w:t xml:space="preserve"> </w:t>
      </w:r>
      <w:r w:rsidRPr="00EC20A0">
        <w:t xml:space="preserve">Compliance with </w:t>
      </w:r>
      <w:r w:rsidRPr="00EC20A0">
        <w:t>FFMIA</w:t>
      </w:r>
    </w:p>
    <w:p w14:paraId="24D604B6" w14:textId="77777777" w:rsidR="00245300" w:rsidRPr="00EC20A0" w:rsidRDefault="00F17249">
      <w:pPr>
        <w:pStyle w:val="BodyText"/>
        <w:tabs>
          <w:tab w:val="left" w:pos="9745"/>
        </w:tabs>
        <w:spacing w:before="240" w:line="352" w:lineRule="auto"/>
        <w:ind w:left="419" w:right="532"/>
        <w:jc w:val="both"/>
      </w:pPr>
      <w:r w:rsidRPr="00EC20A0">
        <w:t>Agency</w:t>
      </w:r>
      <w:r w:rsidRPr="00EC20A0">
        <w:rPr>
          <w:spacing w:val="90"/>
        </w:rPr>
        <w:t xml:space="preserve"> </w:t>
      </w:r>
      <w:r w:rsidRPr="00EC20A0">
        <w:rPr>
          <w:u w:val="single"/>
        </w:rPr>
        <w:tab/>
      </w:r>
      <w:r w:rsidRPr="00EC20A0">
        <w:t xml:space="preserve"> Date of review</w:t>
      </w:r>
      <w:r w:rsidRPr="00EC20A0">
        <w:rPr>
          <w:spacing w:val="31"/>
        </w:rPr>
        <w:t xml:space="preserve"> </w:t>
      </w:r>
      <w:r w:rsidRPr="00EC20A0">
        <w:rPr>
          <w:u w:val="single"/>
        </w:rPr>
        <w:tab/>
      </w:r>
      <w:r w:rsidRPr="00EC20A0">
        <w:t xml:space="preserve"> Job code</w:t>
      </w:r>
      <w:r w:rsidRPr="00EC20A0">
        <w:rPr>
          <w:spacing w:val="53"/>
        </w:rPr>
        <w:t xml:space="preserve"> </w:t>
      </w:r>
      <w:r w:rsidRPr="00EC20A0">
        <w:rPr>
          <w:u w:val="single"/>
        </w:rPr>
        <w:tab/>
      </w:r>
    </w:p>
    <w:p w14:paraId="24D604B7" w14:textId="77777777" w:rsidR="00245300" w:rsidRPr="00EC20A0" w:rsidRDefault="00F17249">
      <w:pPr>
        <w:pStyle w:val="BodyText"/>
        <w:spacing w:before="3"/>
        <w:ind w:left="419" w:right="562"/>
      </w:pPr>
      <w:r w:rsidRPr="00EC20A0">
        <w:t>Objective:</w:t>
      </w:r>
      <w:r w:rsidRPr="00EC20A0">
        <w:rPr>
          <w:spacing w:val="-4"/>
        </w:rPr>
        <w:t xml:space="preserve"> </w:t>
      </w:r>
      <w:r w:rsidRPr="00EC20A0">
        <w:t>The</w:t>
      </w:r>
      <w:r w:rsidRPr="00EC20A0">
        <w:rPr>
          <w:spacing w:val="-4"/>
        </w:rPr>
        <w:t xml:space="preserve"> </w:t>
      </w:r>
      <w:r w:rsidRPr="00EC20A0">
        <w:t>Federal</w:t>
      </w:r>
      <w:r w:rsidRPr="00EC20A0">
        <w:rPr>
          <w:spacing w:val="-5"/>
        </w:rPr>
        <w:t xml:space="preserve"> </w:t>
      </w:r>
      <w:r w:rsidRPr="00EC20A0">
        <w:t>Financial</w:t>
      </w:r>
      <w:r w:rsidRPr="00EC20A0">
        <w:rPr>
          <w:spacing w:val="-4"/>
        </w:rPr>
        <w:t xml:space="preserve"> </w:t>
      </w:r>
      <w:r w:rsidRPr="00EC20A0">
        <w:t>Management</w:t>
      </w:r>
      <w:r w:rsidRPr="00EC20A0">
        <w:rPr>
          <w:spacing w:val="-4"/>
        </w:rPr>
        <w:t xml:space="preserve"> </w:t>
      </w:r>
      <w:r w:rsidRPr="00EC20A0">
        <w:t>Improvement</w:t>
      </w:r>
      <w:r w:rsidRPr="00EC20A0">
        <w:rPr>
          <w:spacing w:val="-3"/>
        </w:rPr>
        <w:t xml:space="preserve"> </w:t>
      </w:r>
      <w:r w:rsidRPr="00EC20A0">
        <w:t>Act</w:t>
      </w:r>
      <w:r w:rsidRPr="00EC20A0">
        <w:rPr>
          <w:spacing w:val="-4"/>
        </w:rPr>
        <w:t xml:space="preserve"> </w:t>
      </w:r>
      <w:r w:rsidRPr="00EC20A0">
        <w:t>of</w:t>
      </w:r>
      <w:r w:rsidRPr="00EC20A0">
        <w:rPr>
          <w:spacing w:val="-4"/>
        </w:rPr>
        <w:t xml:space="preserve"> </w:t>
      </w:r>
      <w:r w:rsidRPr="00EC20A0">
        <w:t>1996</w:t>
      </w:r>
      <w:r w:rsidRPr="00EC20A0">
        <w:rPr>
          <w:spacing w:val="-5"/>
        </w:rPr>
        <w:t xml:space="preserve"> </w:t>
      </w:r>
      <w:r w:rsidRPr="00EC20A0">
        <w:t>(FFMIA)</w:t>
      </w:r>
      <w:r w:rsidRPr="00EC20A0">
        <w:rPr>
          <w:spacing w:val="-4"/>
        </w:rPr>
        <w:t xml:space="preserve"> </w:t>
      </w:r>
      <w:r w:rsidRPr="00EC20A0">
        <w:t>requires</w:t>
      </w:r>
      <w:r w:rsidRPr="00EC20A0">
        <w:rPr>
          <w:spacing w:val="-4"/>
        </w:rPr>
        <w:t xml:space="preserve"> </w:t>
      </w:r>
      <w:r w:rsidRPr="00EC20A0">
        <w:t xml:space="preserve">the 24 agencies covered by the Chief Financial Officers Act of 1990 (CFO Act) to implement and maintain financial </w:t>
      </w:r>
      <w:r w:rsidRPr="00EC20A0">
        <w:t>management systems that comply substantially with (1) federal financial management systems requirements, (2) applicable federal accounting standards, and (3) the</w:t>
      </w:r>
    </w:p>
    <w:p w14:paraId="24D604B8" w14:textId="77777777" w:rsidR="00245300" w:rsidRPr="00EC20A0" w:rsidRDefault="00F17249">
      <w:pPr>
        <w:pStyle w:val="BodyText"/>
        <w:ind w:left="420" w:right="562"/>
      </w:pPr>
      <w:r w:rsidRPr="00EC20A0">
        <w:rPr>
          <w:i/>
        </w:rPr>
        <w:t>U.S.</w:t>
      </w:r>
      <w:r w:rsidRPr="00EC20A0">
        <w:rPr>
          <w:i/>
          <w:spacing w:val="-3"/>
        </w:rPr>
        <w:t xml:space="preserve"> </w:t>
      </w:r>
      <w:r w:rsidRPr="00EC20A0">
        <w:rPr>
          <w:i/>
        </w:rPr>
        <w:t>Standard</w:t>
      </w:r>
      <w:r w:rsidRPr="00EC20A0">
        <w:rPr>
          <w:i/>
          <w:spacing w:val="-3"/>
        </w:rPr>
        <w:t xml:space="preserve"> </w:t>
      </w:r>
      <w:r w:rsidRPr="00EC20A0">
        <w:rPr>
          <w:i/>
        </w:rPr>
        <w:t>General</w:t>
      </w:r>
      <w:r w:rsidRPr="00EC20A0">
        <w:rPr>
          <w:i/>
          <w:spacing w:val="-3"/>
        </w:rPr>
        <w:t xml:space="preserve"> </w:t>
      </w:r>
      <w:r w:rsidRPr="00EC20A0">
        <w:rPr>
          <w:i/>
        </w:rPr>
        <w:t>Ledger</w:t>
      </w:r>
      <w:r w:rsidRPr="00EC20A0">
        <w:rPr>
          <w:i/>
          <w:spacing w:val="-3"/>
        </w:rPr>
        <w:t xml:space="preserve"> </w:t>
      </w:r>
      <w:r w:rsidRPr="00EC20A0">
        <w:t>at</w:t>
      </w:r>
      <w:r w:rsidRPr="00EC20A0">
        <w:rPr>
          <w:spacing w:val="-3"/>
        </w:rPr>
        <w:t xml:space="preserve"> </w:t>
      </w:r>
      <w:r w:rsidRPr="00EC20A0">
        <w:t>the</w:t>
      </w:r>
      <w:r w:rsidRPr="00EC20A0">
        <w:rPr>
          <w:spacing w:val="-4"/>
        </w:rPr>
        <w:t xml:space="preserve"> </w:t>
      </w:r>
      <w:r w:rsidRPr="00EC20A0">
        <w:t>transaction</w:t>
      </w:r>
      <w:r w:rsidRPr="00EC20A0">
        <w:rPr>
          <w:spacing w:val="-4"/>
        </w:rPr>
        <w:t xml:space="preserve"> </w:t>
      </w:r>
      <w:r w:rsidRPr="00EC20A0">
        <w:t>level.</w:t>
      </w:r>
      <w:r w:rsidRPr="00EC20A0">
        <w:rPr>
          <w:spacing w:val="-3"/>
        </w:rPr>
        <w:t xml:space="preserve"> </w:t>
      </w:r>
      <w:r w:rsidRPr="00EC20A0">
        <w:t>The</w:t>
      </w:r>
      <w:r w:rsidRPr="00EC20A0">
        <w:rPr>
          <w:spacing w:val="-3"/>
        </w:rPr>
        <w:t xml:space="preserve"> </w:t>
      </w:r>
      <w:r w:rsidRPr="00EC20A0">
        <w:t>objective</w:t>
      </w:r>
      <w:r w:rsidRPr="00EC20A0">
        <w:rPr>
          <w:spacing w:val="-4"/>
        </w:rPr>
        <w:t xml:space="preserve"> </w:t>
      </w:r>
      <w:r w:rsidRPr="00EC20A0">
        <w:t>of</w:t>
      </w:r>
      <w:r w:rsidRPr="00EC20A0">
        <w:rPr>
          <w:spacing w:val="-3"/>
        </w:rPr>
        <w:t xml:space="preserve"> </w:t>
      </w:r>
      <w:r w:rsidRPr="00EC20A0">
        <w:t>these</w:t>
      </w:r>
      <w:r w:rsidRPr="00EC20A0">
        <w:rPr>
          <w:spacing w:val="-3"/>
        </w:rPr>
        <w:t xml:space="preserve"> </w:t>
      </w:r>
      <w:r w:rsidRPr="00EC20A0">
        <w:t>audit</w:t>
      </w:r>
      <w:r w:rsidRPr="00EC20A0">
        <w:rPr>
          <w:spacing w:val="-3"/>
        </w:rPr>
        <w:t xml:space="preserve"> </w:t>
      </w:r>
      <w:r w:rsidRPr="00EC20A0">
        <w:t>procedures is to assess whether CFO Act agencies’ financial management systems comply substantially with FFMIA requirements.</w:t>
      </w:r>
    </w:p>
    <w:p w14:paraId="24D604B9" w14:textId="77777777" w:rsidR="00245300" w:rsidRPr="00EC20A0" w:rsidRDefault="00245300">
      <w:pPr>
        <w:pStyle w:val="BodyText"/>
        <w:spacing w:before="3"/>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4BF" w14:textId="77777777">
        <w:trPr>
          <w:trHeight w:val="746"/>
        </w:trPr>
        <w:tc>
          <w:tcPr>
            <w:tcW w:w="7060" w:type="dxa"/>
            <w:tcBorders>
              <w:right w:val="single" w:sz="4" w:space="0" w:color="000000"/>
            </w:tcBorders>
          </w:tcPr>
          <w:p w14:paraId="24D604BA" w14:textId="77777777" w:rsidR="00245300" w:rsidRPr="00EC20A0" w:rsidRDefault="00245300">
            <w:pPr>
              <w:pStyle w:val="TableParagraph"/>
              <w:spacing w:before="120"/>
            </w:pPr>
          </w:p>
          <w:p w14:paraId="24D604BB" w14:textId="77777777" w:rsidR="00245300" w:rsidRPr="00EC20A0" w:rsidRDefault="00F17249">
            <w:pPr>
              <w:pStyle w:val="TableParagraph"/>
              <w:ind w:left="97"/>
              <w:rPr>
                <w:b/>
              </w:rPr>
            </w:pPr>
            <w:r w:rsidRPr="00EC20A0">
              <w:rPr>
                <w:b/>
                <w:spacing w:val="-2"/>
              </w:rPr>
              <w:t>Procedure</w:t>
            </w:r>
          </w:p>
        </w:tc>
        <w:tc>
          <w:tcPr>
            <w:tcW w:w="1170" w:type="dxa"/>
            <w:tcBorders>
              <w:left w:val="single" w:sz="4" w:space="0" w:color="000000"/>
              <w:right w:val="single" w:sz="4" w:space="0" w:color="000000"/>
            </w:tcBorders>
          </w:tcPr>
          <w:p w14:paraId="24D604BC"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4BD" w14:textId="77777777" w:rsidR="00245300" w:rsidRPr="00EC20A0" w:rsidRDefault="00245300">
            <w:pPr>
              <w:pStyle w:val="TableParagraph"/>
              <w:spacing w:before="120"/>
            </w:pPr>
          </w:p>
          <w:p w14:paraId="24D604BE" w14:textId="77777777" w:rsidR="00245300" w:rsidRPr="00EC20A0" w:rsidRDefault="00F17249">
            <w:pPr>
              <w:pStyle w:val="TableParagraph"/>
              <w:ind w:left="107"/>
              <w:rPr>
                <w:b/>
              </w:rPr>
            </w:pPr>
            <w:r w:rsidRPr="00EC20A0">
              <w:rPr>
                <w:b/>
              </w:rPr>
              <w:t>Doc.</w:t>
            </w:r>
            <w:r w:rsidRPr="00EC20A0">
              <w:rPr>
                <w:b/>
                <w:spacing w:val="-6"/>
              </w:rPr>
              <w:t xml:space="preserve"> </w:t>
            </w:r>
            <w:r w:rsidRPr="00EC20A0">
              <w:rPr>
                <w:b/>
                <w:spacing w:val="-4"/>
              </w:rPr>
              <w:t>ref.</w:t>
            </w:r>
          </w:p>
        </w:tc>
      </w:tr>
      <w:tr w:rsidR="00245300" w:rsidRPr="00EC20A0" w14:paraId="24D604CD" w14:textId="77777777">
        <w:trPr>
          <w:trHeight w:val="6860"/>
        </w:trPr>
        <w:tc>
          <w:tcPr>
            <w:tcW w:w="7060" w:type="dxa"/>
            <w:tcBorders>
              <w:right w:val="single" w:sz="4" w:space="0" w:color="000000"/>
            </w:tcBorders>
          </w:tcPr>
          <w:p w14:paraId="24D604C0" w14:textId="77777777" w:rsidR="00245300" w:rsidRPr="00EC20A0" w:rsidRDefault="00F17249">
            <w:pPr>
              <w:pStyle w:val="TableParagraph"/>
              <w:numPr>
                <w:ilvl w:val="0"/>
                <w:numId w:val="179"/>
              </w:numPr>
              <w:tabs>
                <w:tab w:val="left" w:pos="509"/>
              </w:tabs>
              <w:spacing w:before="120"/>
              <w:ind w:right="967"/>
              <w:rPr>
                <w:b/>
              </w:rPr>
            </w:pPr>
            <w:r w:rsidRPr="00EC20A0">
              <w:rPr>
                <w:b/>
              </w:rPr>
              <w:t>Planning</w:t>
            </w:r>
            <w:r w:rsidRPr="00EC20A0">
              <w:rPr>
                <w:b/>
                <w:spacing w:val="-5"/>
              </w:rPr>
              <w:t xml:space="preserve"> </w:t>
            </w:r>
            <w:r w:rsidRPr="00EC20A0">
              <w:rPr>
                <w:b/>
              </w:rPr>
              <w:t>(may</w:t>
            </w:r>
            <w:r w:rsidRPr="00EC20A0">
              <w:rPr>
                <w:b/>
                <w:spacing w:val="-5"/>
              </w:rPr>
              <w:t xml:space="preserve"> </w:t>
            </w:r>
            <w:r w:rsidRPr="00EC20A0">
              <w:rPr>
                <w:b/>
              </w:rPr>
              <w:t>be</w:t>
            </w:r>
            <w:r w:rsidRPr="00EC20A0">
              <w:rPr>
                <w:b/>
                <w:spacing w:val="-5"/>
              </w:rPr>
              <w:t xml:space="preserve"> </w:t>
            </w:r>
            <w:r w:rsidRPr="00EC20A0">
              <w:rPr>
                <w:b/>
              </w:rPr>
              <w:t>combined</w:t>
            </w:r>
            <w:r w:rsidRPr="00EC20A0">
              <w:rPr>
                <w:b/>
                <w:spacing w:val="-5"/>
              </w:rPr>
              <w:t xml:space="preserve"> </w:t>
            </w:r>
            <w:r w:rsidRPr="00EC20A0">
              <w:rPr>
                <w:b/>
              </w:rPr>
              <w:t>with</w:t>
            </w:r>
            <w:r w:rsidRPr="00EC20A0">
              <w:rPr>
                <w:b/>
                <w:spacing w:val="-5"/>
              </w:rPr>
              <w:t xml:space="preserve"> </w:t>
            </w:r>
            <w:r w:rsidRPr="00EC20A0">
              <w:rPr>
                <w:b/>
              </w:rPr>
              <w:t>the</w:t>
            </w:r>
            <w:r w:rsidRPr="00EC20A0">
              <w:rPr>
                <w:b/>
                <w:spacing w:val="-5"/>
              </w:rPr>
              <w:t xml:space="preserve"> </w:t>
            </w:r>
            <w:r w:rsidRPr="00EC20A0">
              <w:rPr>
                <w:b/>
              </w:rPr>
              <w:t>work</w:t>
            </w:r>
            <w:r w:rsidRPr="00EC20A0">
              <w:rPr>
                <w:b/>
                <w:spacing w:val="-4"/>
              </w:rPr>
              <w:t xml:space="preserve"> </w:t>
            </w:r>
            <w:r w:rsidRPr="00EC20A0">
              <w:rPr>
                <w:b/>
              </w:rPr>
              <w:t>to</w:t>
            </w:r>
            <w:r w:rsidRPr="00EC20A0">
              <w:rPr>
                <w:b/>
                <w:spacing w:val="-5"/>
              </w:rPr>
              <w:t xml:space="preserve"> </w:t>
            </w:r>
            <w:r w:rsidRPr="00EC20A0">
              <w:rPr>
                <w:b/>
              </w:rPr>
              <w:t>plan</w:t>
            </w:r>
            <w:r w:rsidRPr="00EC20A0">
              <w:rPr>
                <w:b/>
                <w:spacing w:val="-5"/>
              </w:rPr>
              <w:t xml:space="preserve"> </w:t>
            </w:r>
            <w:r w:rsidRPr="00EC20A0">
              <w:rPr>
                <w:b/>
              </w:rPr>
              <w:t>the financial statement audit)</w:t>
            </w:r>
          </w:p>
          <w:p w14:paraId="24D604C1" w14:textId="77777777" w:rsidR="00245300" w:rsidRPr="00EC20A0" w:rsidRDefault="00F17249">
            <w:pPr>
              <w:pStyle w:val="TableParagraph"/>
              <w:numPr>
                <w:ilvl w:val="1"/>
                <w:numId w:val="179"/>
              </w:numPr>
              <w:tabs>
                <w:tab w:val="left" w:pos="981"/>
              </w:tabs>
              <w:spacing w:before="241"/>
              <w:ind w:left="981" w:hanging="380"/>
            </w:pPr>
            <w:r w:rsidRPr="00EC20A0">
              <w:t>To</w:t>
            </w:r>
            <w:r w:rsidRPr="00EC20A0">
              <w:rPr>
                <w:spacing w:val="-7"/>
              </w:rPr>
              <w:t xml:space="preserve"> </w:t>
            </w:r>
            <w:r w:rsidRPr="00EC20A0">
              <w:t>understand</w:t>
            </w:r>
            <w:r w:rsidRPr="00EC20A0">
              <w:rPr>
                <w:spacing w:val="-7"/>
              </w:rPr>
              <w:t xml:space="preserve"> </w:t>
            </w:r>
            <w:r w:rsidRPr="00EC20A0">
              <w:t>the</w:t>
            </w:r>
            <w:r w:rsidRPr="00EC20A0">
              <w:rPr>
                <w:spacing w:val="-7"/>
              </w:rPr>
              <w:t xml:space="preserve"> </w:t>
            </w:r>
            <w:r w:rsidRPr="00EC20A0">
              <w:t>requirements,</w:t>
            </w:r>
            <w:r w:rsidRPr="00EC20A0">
              <w:rPr>
                <w:spacing w:val="-6"/>
              </w:rPr>
              <w:t xml:space="preserve"> </w:t>
            </w:r>
            <w:r w:rsidRPr="00EC20A0">
              <w:t>read</w:t>
            </w:r>
            <w:r w:rsidRPr="00EC20A0">
              <w:rPr>
                <w:spacing w:val="-6"/>
              </w:rPr>
              <w:t xml:space="preserve"> </w:t>
            </w:r>
            <w:r w:rsidRPr="00EC20A0">
              <w:t>the</w:t>
            </w:r>
            <w:r w:rsidRPr="00EC20A0">
              <w:rPr>
                <w:spacing w:val="-7"/>
              </w:rPr>
              <w:t xml:space="preserve"> </w:t>
            </w:r>
            <w:r w:rsidRPr="00EC20A0">
              <w:rPr>
                <w:spacing w:val="-2"/>
              </w:rPr>
              <w:t>following:</w:t>
            </w:r>
          </w:p>
          <w:p w14:paraId="24D604C2" w14:textId="77777777" w:rsidR="00245300" w:rsidRPr="00EC20A0" w:rsidRDefault="00F17249">
            <w:pPr>
              <w:pStyle w:val="TableParagraph"/>
              <w:numPr>
                <w:ilvl w:val="2"/>
                <w:numId w:val="179"/>
              </w:numPr>
              <w:tabs>
                <w:tab w:val="left" w:pos="1357"/>
              </w:tabs>
              <w:spacing w:before="178"/>
              <w:ind w:right="128"/>
            </w:pPr>
            <w:r w:rsidRPr="00EC20A0">
              <w:t>Federal</w:t>
            </w:r>
            <w:r w:rsidRPr="00EC20A0">
              <w:rPr>
                <w:spacing w:val="-7"/>
              </w:rPr>
              <w:t xml:space="preserve"> </w:t>
            </w:r>
            <w:r w:rsidRPr="00EC20A0">
              <w:t>Financial</w:t>
            </w:r>
            <w:r w:rsidRPr="00EC20A0">
              <w:rPr>
                <w:spacing w:val="-7"/>
              </w:rPr>
              <w:t xml:space="preserve"> </w:t>
            </w:r>
            <w:r w:rsidRPr="00EC20A0">
              <w:t>Management</w:t>
            </w:r>
            <w:r w:rsidRPr="00EC20A0">
              <w:rPr>
                <w:spacing w:val="-7"/>
              </w:rPr>
              <w:t xml:space="preserve"> </w:t>
            </w:r>
            <w:r w:rsidRPr="00EC20A0">
              <w:t>Improvement</w:t>
            </w:r>
            <w:r w:rsidRPr="00EC20A0">
              <w:rPr>
                <w:spacing w:val="-7"/>
              </w:rPr>
              <w:t xml:space="preserve"> </w:t>
            </w:r>
            <w:r w:rsidRPr="00EC20A0">
              <w:t>Act</w:t>
            </w:r>
            <w:r w:rsidRPr="00EC20A0">
              <w:rPr>
                <w:spacing w:val="-7"/>
              </w:rPr>
              <w:t xml:space="preserve"> </w:t>
            </w:r>
            <w:r w:rsidRPr="00EC20A0">
              <w:t>of</w:t>
            </w:r>
            <w:r w:rsidRPr="00EC20A0">
              <w:rPr>
                <w:spacing w:val="-7"/>
              </w:rPr>
              <w:t xml:space="preserve"> </w:t>
            </w:r>
            <w:r w:rsidRPr="00EC20A0">
              <w:t>1996 (FFMIA), Pub. L. No. 104-208.</w:t>
            </w:r>
          </w:p>
          <w:p w14:paraId="24D604C3" w14:textId="77777777" w:rsidR="00245300" w:rsidRPr="00EC20A0" w:rsidRDefault="00F17249">
            <w:pPr>
              <w:pStyle w:val="TableParagraph"/>
              <w:numPr>
                <w:ilvl w:val="2"/>
                <w:numId w:val="179"/>
              </w:numPr>
              <w:tabs>
                <w:tab w:val="left" w:pos="1357"/>
              </w:tabs>
              <w:spacing w:before="59"/>
              <w:ind w:right="435"/>
            </w:pPr>
            <w:r w:rsidRPr="00EC20A0">
              <w:t>Office</w:t>
            </w:r>
            <w:r w:rsidRPr="00EC20A0">
              <w:rPr>
                <w:spacing w:val="-6"/>
              </w:rPr>
              <w:t xml:space="preserve"> </w:t>
            </w:r>
            <w:r w:rsidRPr="00EC20A0">
              <w:t>of</w:t>
            </w:r>
            <w:r w:rsidRPr="00EC20A0">
              <w:rPr>
                <w:spacing w:val="-6"/>
              </w:rPr>
              <w:t xml:space="preserve"> </w:t>
            </w:r>
            <w:r w:rsidRPr="00EC20A0">
              <w:t>Management</w:t>
            </w:r>
            <w:r w:rsidRPr="00EC20A0">
              <w:rPr>
                <w:spacing w:val="-6"/>
              </w:rPr>
              <w:t xml:space="preserve"> </w:t>
            </w:r>
            <w:r w:rsidRPr="00EC20A0">
              <w:t>and</w:t>
            </w:r>
            <w:r w:rsidRPr="00EC20A0">
              <w:rPr>
                <w:spacing w:val="-6"/>
              </w:rPr>
              <w:t xml:space="preserve"> </w:t>
            </w:r>
            <w:r w:rsidRPr="00EC20A0">
              <w:t>Budget</w:t>
            </w:r>
            <w:r w:rsidRPr="00EC20A0">
              <w:rPr>
                <w:spacing w:val="-6"/>
              </w:rPr>
              <w:t xml:space="preserve"> </w:t>
            </w:r>
            <w:r w:rsidRPr="00EC20A0">
              <w:t>(OMB)</w:t>
            </w:r>
            <w:r w:rsidRPr="00EC20A0">
              <w:rPr>
                <w:spacing w:val="-6"/>
              </w:rPr>
              <w:t xml:space="preserve"> </w:t>
            </w:r>
            <w:r w:rsidRPr="00EC20A0">
              <w:t>Bulletin</w:t>
            </w:r>
            <w:r w:rsidRPr="00EC20A0">
              <w:rPr>
                <w:spacing w:val="-6"/>
              </w:rPr>
              <w:t xml:space="preserve"> </w:t>
            </w:r>
            <w:r w:rsidRPr="00EC20A0">
              <w:t xml:space="preserve">No. 24-01, </w:t>
            </w:r>
            <w:r w:rsidRPr="00EC20A0">
              <w:rPr>
                <w:i/>
              </w:rPr>
              <w:t xml:space="preserve">Audit Requirements for Federal Financial </w:t>
            </w:r>
            <w:r w:rsidRPr="00EC20A0">
              <w:rPr>
                <w:i/>
                <w:spacing w:val="-2"/>
              </w:rPr>
              <w:t>Statements</w:t>
            </w:r>
            <w:r w:rsidRPr="00EC20A0">
              <w:rPr>
                <w:spacing w:val="-2"/>
              </w:rPr>
              <w:t>.</w:t>
            </w:r>
            <w:hyperlink w:anchor="_bookmark59" w:history="1">
              <w:r w:rsidRPr="00EC20A0">
                <w:rPr>
                  <w:spacing w:val="-2"/>
                  <w:position w:val="7"/>
                  <w:sz w:val="14"/>
                </w:rPr>
                <w:t>14</w:t>
              </w:r>
            </w:hyperlink>
          </w:p>
          <w:p w14:paraId="24D604C4" w14:textId="77777777" w:rsidR="00245300" w:rsidRPr="00EC20A0" w:rsidRDefault="00F17249">
            <w:pPr>
              <w:pStyle w:val="TableParagraph"/>
              <w:numPr>
                <w:ilvl w:val="2"/>
                <w:numId w:val="179"/>
              </w:numPr>
              <w:tabs>
                <w:tab w:val="left" w:pos="1357"/>
              </w:tabs>
              <w:spacing w:before="58"/>
              <w:ind w:right="1292"/>
            </w:pPr>
            <w:r w:rsidRPr="00EC20A0">
              <w:t>OMB</w:t>
            </w:r>
            <w:r w:rsidRPr="00EC20A0">
              <w:rPr>
                <w:spacing w:val="-8"/>
              </w:rPr>
              <w:t xml:space="preserve"> </w:t>
            </w:r>
            <w:r w:rsidRPr="00EC20A0">
              <w:t>Circular</w:t>
            </w:r>
            <w:r w:rsidRPr="00EC20A0">
              <w:rPr>
                <w:spacing w:val="-8"/>
              </w:rPr>
              <w:t xml:space="preserve"> </w:t>
            </w:r>
            <w:r w:rsidRPr="00EC20A0">
              <w:t>No.</w:t>
            </w:r>
            <w:r w:rsidRPr="00EC20A0">
              <w:rPr>
                <w:spacing w:val="-8"/>
              </w:rPr>
              <w:t xml:space="preserve"> </w:t>
            </w:r>
            <w:r w:rsidRPr="00EC20A0">
              <w:t>A-136,</w:t>
            </w:r>
            <w:r w:rsidRPr="00EC20A0">
              <w:rPr>
                <w:spacing w:val="-8"/>
              </w:rPr>
              <w:t xml:space="preserve"> </w:t>
            </w:r>
            <w:r w:rsidRPr="00EC20A0">
              <w:rPr>
                <w:i/>
              </w:rPr>
              <w:t>Financial</w:t>
            </w:r>
            <w:r w:rsidRPr="00EC20A0">
              <w:rPr>
                <w:i/>
                <w:spacing w:val="-9"/>
              </w:rPr>
              <w:t xml:space="preserve"> </w:t>
            </w:r>
            <w:r w:rsidRPr="00EC20A0">
              <w:rPr>
                <w:i/>
              </w:rPr>
              <w:t xml:space="preserve">Reporting </w:t>
            </w:r>
            <w:r w:rsidRPr="00EC20A0">
              <w:rPr>
                <w:i/>
                <w:spacing w:val="-2"/>
              </w:rPr>
              <w:t>Requirements</w:t>
            </w:r>
            <w:r w:rsidRPr="00EC20A0">
              <w:rPr>
                <w:spacing w:val="-2"/>
              </w:rPr>
              <w:t>.</w:t>
            </w:r>
          </w:p>
          <w:p w14:paraId="24D604C5" w14:textId="77777777" w:rsidR="00245300" w:rsidRPr="00EC20A0" w:rsidRDefault="00F17249">
            <w:pPr>
              <w:pStyle w:val="TableParagraph"/>
              <w:numPr>
                <w:ilvl w:val="2"/>
                <w:numId w:val="179"/>
              </w:numPr>
              <w:tabs>
                <w:tab w:val="left" w:pos="1357"/>
              </w:tabs>
              <w:spacing w:before="59"/>
              <w:ind w:right="165"/>
            </w:pPr>
            <w:r w:rsidRPr="00EC20A0">
              <w:t xml:space="preserve">OMB Circular No. A-123, appendix D, </w:t>
            </w:r>
            <w:r w:rsidRPr="00EC20A0">
              <w:rPr>
                <w:i/>
              </w:rPr>
              <w:t>Management of Financial</w:t>
            </w:r>
            <w:r w:rsidRPr="00EC20A0">
              <w:rPr>
                <w:i/>
                <w:spacing w:val="-7"/>
              </w:rPr>
              <w:t xml:space="preserve"> </w:t>
            </w:r>
            <w:r w:rsidRPr="00EC20A0">
              <w:rPr>
                <w:i/>
              </w:rPr>
              <w:t>Management</w:t>
            </w:r>
            <w:r w:rsidRPr="00EC20A0">
              <w:rPr>
                <w:i/>
                <w:spacing w:val="-7"/>
              </w:rPr>
              <w:t xml:space="preserve"> </w:t>
            </w:r>
            <w:r w:rsidRPr="00EC20A0">
              <w:rPr>
                <w:i/>
              </w:rPr>
              <w:t>Systems</w:t>
            </w:r>
            <w:r w:rsidRPr="00EC20A0">
              <w:rPr>
                <w:i/>
                <w:spacing w:val="-7"/>
              </w:rPr>
              <w:t xml:space="preserve"> </w:t>
            </w:r>
            <w:r w:rsidRPr="00EC20A0">
              <w:rPr>
                <w:i/>
              </w:rPr>
              <w:t>–</w:t>
            </w:r>
            <w:r w:rsidRPr="00EC20A0">
              <w:rPr>
                <w:i/>
                <w:spacing w:val="-7"/>
              </w:rPr>
              <w:t xml:space="preserve"> </w:t>
            </w:r>
            <w:r w:rsidRPr="00EC20A0">
              <w:rPr>
                <w:i/>
              </w:rPr>
              <w:t>Risk</w:t>
            </w:r>
            <w:r w:rsidRPr="00EC20A0">
              <w:rPr>
                <w:i/>
                <w:spacing w:val="-7"/>
              </w:rPr>
              <w:t xml:space="preserve"> </w:t>
            </w:r>
            <w:r w:rsidRPr="00EC20A0">
              <w:rPr>
                <w:i/>
              </w:rPr>
              <w:t>and</w:t>
            </w:r>
            <w:r w:rsidRPr="00EC20A0">
              <w:rPr>
                <w:i/>
                <w:spacing w:val="-7"/>
              </w:rPr>
              <w:t xml:space="preserve"> </w:t>
            </w:r>
            <w:r w:rsidRPr="00EC20A0">
              <w:rPr>
                <w:i/>
              </w:rPr>
              <w:t>Compliance</w:t>
            </w:r>
            <w:r w:rsidRPr="00EC20A0">
              <w:t>.</w:t>
            </w:r>
          </w:p>
          <w:p w14:paraId="24D604C6" w14:textId="77777777" w:rsidR="00245300" w:rsidRPr="00EC20A0" w:rsidRDefault="00F17249">
            <w:pPr>
              <w:pStyle w:val="TableParagraph"/>
              <w:numPr>
                <w:ilvl w:val="2"/>
                <w:numId w:val="179"/>
              </w:numPr>
              <w:tabs>
                <w:tab w:val="left" w:pos="1357"/>
              </w:tabs>
              <w:spacing w:before="58"/>
              <w:ind w:right="446" w:hanging="361"/>
            </w:pPr>
            <w:r w:rsidRPr="00EC20A0">
              <w:rPr>
                <w:i/>
              </w:rPr>
              <w:t xml:space="preserve">Treasury Financial Manual </w:t>
            </w:r>
            <w:r w:rsidRPr="00EC20A0">
              <w:t>(TFM), volume I, part 6, chapter</w:t>
            </w:r>
            <w:r w:rsidRPr="00EC20A0">
              <w:rPr>
                <w:spacing w:val="-8"/>
              </w:rPr>
              <w:t xml:space="preserve"> </w:t>
            </w:r>
            <w:r w:rsidRPr="00EC20A0">
              <w:t>9500,</w:t>
            </w:r>
            <w:r w:rsidRPr="00EC20A0">
              <w:rPr>
                <w:spacing w:val="-8"/>
              </w:rPr>
              <w:t xml:space="preserve"> </w:t>
            </w:r>
            <w:r w:rsidRPr="00EC20A0">
              <w:rPr>
                <w:i/>
              </w:rPr>
              <w:t>Federal</w:t>
            </w:r>
            <w:r w:rsidRPr="00EC20A0">
              <w:rPr>
                <w:i/>
                <w:spacing w:val="-8"/>
              </w:rPr>
              <w:t xml:space="preserve"> </w:t>
            </w:r>
            <w:r w:rsidRPr="00EC20A0">
              <w:rPr>
                <w:i/>
              </w:rPr>
              <w:t>Financial</w:t>
            </w:r>
            <w:r w:rsidRPr="00EC20A0">
              <w:rPr>
                <w:i/>
                <w:spacing w:val="-8"/>
              </w:rPr>
              <w:t xml:space="preserve"> </w:t>
            </w:r>
            <w:r w:rsidRPr="00EC20A0">
              <w:rPr>
                <w:i/>
              </w:rPr>
              <w:t>Management</w:t>
            </w:r>
            <w:r w:rsidRPr="00EC20A0">
              <w:rPr>
                <w:i/>
                <w:spacing w:val="-8"/>
              </w:rPr>
              <w:t xml:space="preserve"> </w:t>
            </w:r>
            <w:r w:rsidRPr="00EC20A0">
              <w:rPr>
                <w:i/>
              </w:rPr>
              <w:t xml:space="preserve">System </w:t>
            </w:r>
            <w:r w:rsidRPr="00EC20A0">
              <w:rPr>
                <w:i/>
                <w:spacing w:val="-2"/>
              </w:rPr>
              <w:t>Requirements</w:t>
            </w:r>
            <w:r w:rsidRPr="00EC20A0">
              <w:rPr>
                <w:spacing w:val="-2"/>
              </w:rPr>
              <w:t>.</w:t>
            </w:r>
          </w:p>
          <w:p w14:paraId="24D604C7" w14:textId="77777777" w:rsidR="00245300" w:rsidRPr="00EC20A0" w:rsidRDefault="00F17249">
            <w:pPr>
              <w:pStyle w:val="TableParagraph"/>
              <w:numPr>
                <w:ilvl w:val="2"/>
                <w:numId w:val="179"/>
              </w:numPr>
              <w:tabs>
                <w:tab w:val="left" w:pos="1357"/>
              </w:tabs>
              <w:spacing w:before="58"/>
              <w:ind w:right="1168"/>
            </w:pPr>
            <w:r w:rsidRPr="00EC20A0">
              <w:t>Federal</w:t>
            </w:r>
            <w:r w:rsidRPr="00EC20A0">
              <w:rPr>
                <w:spacing w:val="-10"/>
              </w:rPr>
              <w:t xml:space="preserve"> </w:t>
            </w:r>
            <w:r w:rsidRPr="00EC20A0">
              <w:t>Accounting</w:t>
            </w:r>
            <w:r w:rsidRPr="00EC20A0">
              <w:rPr>
                <w:spacing w:val="-10"/>
              </w:rPr>
              <w:t xml:space="preserve"> </w:t>
            </w:r>
            <w:r w:rsidRPr="00EC20A0">
              <w:t>Standards</w:t>
            </w:r>
            <w:r w:rsidRPr="00EC20A0">
              <w:rPr>
                <w:spacing w:val="-10"/>
              </w:rPr>
              <w:t xml:space="preserve"> </w:t>
            </w:r>
            <w:r w:rsidRPr="00EC20A0">
              <w:t>Advisory</w:t>
            </w:r>
            <w:r w:rsidRPr="00EC20A0">
              <w:rPr>
                <w:spacing w:val="-10"/>
              </w:rPr>
              <w:t xml:space="preserve"> </w:t>
            </w:r>
            <w:r w:rsidRPr="00EC20A0">
              <w:t xml:space="preserve">Board </w:t>
            </w:r>
            <w:r w:rsidRPr="00EC20A0">
              <w:rPr>
                <w:spacing w:val="-2"/>
              </w:rPr>
              <w:t>standards.</w:t>
            </w:r>
          </w:p>
          <w:p w14:paraId="24D604C8" w14:textId="77777777" w:rsidR="00245300" w:rsidRPr="00EC20A0" w:rsidRDefault="00F17249">
            <w:pPr>
              <w:pStyle w:val="TableParagraph"/>
              <w:numPr>
                <w:ilvl w:val="2"/>
                <w:numId w:val="179"/>
              </w:numPr>
              <w:tabs>
                <w:tab w:val="left" w:pos="1357"/>
              </w:tabs>
              <w:spacing w:before="59"/>
            </w:pPr>
            <w:r w:rsidRPr="00EC20A0">
              <w:t>TFM,</w:t>
            </w:r>
            <w:r w:rsidRPr="00EC20A0">
              <w:rPr>
                <w:spacing w:val="-7"/>
              </w:rPr>
              <w:t xml:space="preserve"> </w:t>
            </w:r>
            <w:r w:rsidRPr="00EC20A0">
              <w:t>volume</w:t>
            </w:r>
            <w:r w:rsidRPr="00EC20A0">
              <w:rPr>
                <w:spacing w:val="-7"/>
              </w:rPr>
              <w:t xml:space="preserve"> </w:t>
            </w:r>
            <w:r w:rsidRPr="00EC20A0">
              <w:t>I,</w:t>
            </w:r>
            <w:r w:rsidRPr="00EC20A0">
              <w:rPr>
                <w:spacing w:val="-6"/>
              </w:rPr>
              <w:t xml:space="preserve"> </w:t>
            </w:r>
            <w:r w:rsidRPr="00EC20A0">
              <w:rPr>
                <w:i/>
              </w:rPr>
              <w:t>U.S.</w:t>
            </w:r>
            <w:r w:rsidRPr="00EC20A0">
              <w:rPr>
                <w:i/>
                <w:spacing w:val="-7"/>
              </w:rPr>
              <w:t xml:space="preserve"> </w:t>
            </w:r>
            <w:r w:rsidRPr="00EC20A0">
              <w:rPr>
                <w:i/>
              </w:rPr>
              <w:t>Standard</w:t>
            </w:r>
            <w:r w:rsidRPr="00EC20A0">
              <w:rPr>
                <w:i/>
                <w:spacing w:val="-7"/>
              </w:rPr>
              <w:t xml:space="preserve"> </w:t>
            </w:r>
            <w:r w:rsidRPr="00EC20A0">
              <w:rPr>
                <w:i/>
              </w:rPr>
              <w:t>General</w:t>
            </w:r>
            <w:r w:rsidRPr="00EC20A0">
              <w:rPr>
                <w:i/>
                <w:spacing w:val="-6"/>
              </w:rPr>
              <w:t xml:space="preserve"> </w:t>
            </w:r>
            <w:r w:rsidRPr="00EC20A0">
              <w:rPr>
                <w:i/>
              </w:rPr>
              <w:t>Ledger</w:t>
            </w:r>
            <w:r w:rsidRPr="00EC20A0">
              <w:rPr>
                <w:i/>
                <w:spacing w:val="-7"/>
              </w:rPr>
              <w:t xml:space="preserve"> </w:t>
            </w:r>
            <w:r w:rsidRPr="00EC20A0">
              <w:rPr>
                <w:spacing w:val="-2"/>
              </w:rPr>
              <w:t>(USSGL).</w:t>
            </w:r>
          </w:p>
          <w:p w14:paraId="24D604C9" w14:textId="77777777" w:rsidR="00245300" w:rsidRPr="00EC20A0" w:rsidRDefault="00F17249">
            <w:pPr>
              <w:pStyle w:val="TableParagraph"/>
              <w:numPr>
                <w:ilvl w:val="2"/>
                <w:numId w:val="179"/>
              </w:numPr>
              <w:tabs>
                <w:tab w:val="left" w:pos="1357"/>
              </w:tabs>
              <w:spacing w:before="58"/>
              <w:ind w:right="581" w:hanging="361"/>
            </w:pPr>
            <w:r w:rsidRPr="00EC20A0">
              <w:t>OMB</w:t>
            </w:r>
            <w:r w:rsidRPr="00EC20A0">
              <w:rPr>
                <w:spacing w:val="-6"/>
              </w:rPr>
              <w:t xml:space="preserve"> </w:t>
            </w:r>
            <w:r w:rsidRPr="00EC20A0">
              <w:t>Circular</w:t>
            </w:r>
            <w:r w:rsidRPr="00EC20A0">
              <w:rPr>
                <w:spacing w:val="-6"/>
              </w:rPr>
              <w:t xml:space="preserve"> </w:t>
            </w:r>
            <w:r w:rsidRPr="00EC20A0">
              <w:t>No.</w:t>
            </w:r>
            <w:r w:rsidRPr="00EC20A0">
              <w:rPr>
                <w:spacing w:val="-6"/>
              </w:rPr>
              <w:t xml:space="preserve"> </w:t>
            </w:r>
            <w:r w:rsidRPr="00EC20A0">
              <w:t>A-130,</w:t>
            </w:r>
            <w:r w:rsidRPr="00EC20A0">
              <w:rPr>
                <w:spacing w:val="-6"/>
              </w:rPr>
              <w:t xml:space="preserve"> </w:t>
            </w:r>
            <w:r w:rsidRPr="00EC20A0">
              <w:rPr>
                <w:i/>
              </w:rPr>
              <w:t>Managing</w:t>
            </w:r>
            <w:r w:rsidRPr="00EC20A0">
              <w:rPr>
                <w:i/>
                <w:spacing w:val="-6"/>
              </w:rPr>
              <w:t xml:space="preserve"> </w:t>
            </w:r>
            <w:r w:rsidRPr="00EC20A0">
              <w:rPr>
                <w:i/>
              </w:rPr>
              <w:t>Information</w:t>
            </w:r>
            <w:r w:rsidRPr="00EC20A0">
              <w:rPr>
                <w:i/>
                <w:spacing w:val="-6"/>
              </w:rPr>
              <w:t xml:space="preserve"> </w:t>
            </w:r>
            <w:r w:rsidRPr="00EC20A0">
              <w:rPr>
                <w:i/>
              </w:rPr>
              <w:t>as</w:t>
            </w:r>
            <w:r w:rsidRPr="00EC20A0">
              <w:rPr>
                <w:i/>
                <w:spacing w:val="-6"/>
              </w:rPr>
              <w:t xml:space="preserve"> </w:t>
            </w:r>
            <w:r w:rsidRPr="00EC20A0">
              <w:rPr>
                <w:i/>
              </w:rPr>
              <w:t>a Strategic Resource</w:t>
            </w:r>
            <w:r w:rsidRPr="00EC20A0">
              <w:t>.</w:t>
            </w:r>
          </w:p>
          <w:p w14:paraId="24D604CA" w14:textId="77777777" w:rsidR="00245300" w:rsidRPr="00EC20A0" w:rsidRDefault="00F17249">
            <w:pPr>
              <w:pStyle w:val="TableParagraph"/>
              <w:numPr>
                <w:ilvl w:val="2"/>
                <w:numId w:val="179"/>
              </w:numPr>
              <w:tabs>
                <w:tab w:val="left" w:pos="1357"/>
              </w:tabs>
              <w:spacing w:before="63" w:line="235" w:lineRule="auto"/>
              <w:ind w:right="300"/>
              <w:rPr>
                <w:sz w:val="24"/>
              </w:rPr>
            </w:pPr>
            <w:r w:rsidRPr="00EC20A0">
              <w:t>Federal</w:t>
            </w:r>
            <w:r w:rsidRPr="00EC20A0">
              <w:rPr>
                <w:spacing w:val="-7"/>
              </w:rPr>
              <w:t xml:space="preserve"> </w:t>
            </w:r>
            <w:r w:rsidRPr="00EC20A0">
              <w:t>Information</w:t>
            </w:r>
            <w:r w:rsidRPr="00EC20A0">
              <w:rPr>
                <w:spacing w:val="-7"/>
              </w:rPr>
              <w:t xml:space="preserve"> </w:t>
            </w:r>
            <w:r w:rsidRPr="00EC20A0">
              <w:t>Security</w:t>
            </w:r>
            <w:r w:rsidRPr="00EC20A0">
              <w:rPr>
                <w:spacing w:val="-7"/>
              </w:rPr>
              <w:t xml:space="preserve"> </w:t>
            </w:r>
            <w:r w:rsidRPr="00EC20A0">
              <w:t>Modernization</w:t>
            </w:r>
            <w:r w:rsidRPr="00EC20A0">
              <w:rPr>
                <w:spacing w:val="-7"/>
              </w:rPr>
              <w:t xml:space="preserve"> </w:t>
            </w:r>
            <w:r w:rsidRPr="00EC20A0">
              <w:t>Act</w:t>
            </w:r>
            <w:r w:rsidRPr="00EC20A0">
              <w:rPr>
                <w:spacing w:val="-7"/>
              </w:rPr>
              <w:t xml:space="preserve"> </w:t>
            </w:r>
            <w:r w:rsidRPr="00EC20A0">
              <w:t>of</w:t>
            </w:r>
            <w:r w:rsidRPr="00EC20A0">
              <w:rPr>
                <w:spacing w:val="-7"/>
              </w:rPr>
              <w:t xml:space="preserve"> </w:t>
            </w:r>
            <w:r w:rsidRPr="00EC20A0">
              <w:t>2014 (FISMA), Pub. L. No. 113-283.</w:t>
            </w:r>
          </w:p>
        </w:tc>
        <w:tc>
          <w:tcPr>
            <w:tcW w:w="1170" w:type="dxa"/>
            <w:tcBorders>
              <w:left w:val="single" w:sz="4" w:space="0" w:color="000000"/>
              <w:right w:val="single" w:sz="4" w:space="0" w:color="000000"/>
            </w:tcBorders>
          </w:tcPr>
          <w:p w14:paraId="24D604CB" w14:textId="77777777" w:rsidR="00245300" w:rsidRPr="00EC20A0" w:rsidRDefault="00245300">
            <w:pPr>
              <w:pStyle w:val="TableParagraph"/>
              <w:rPr>
                <w:sz w:val="20"/>
              </w:rPr>
            </w:pPr>
          </w:p>
        </w:tc>
        <w:tc>
          <w:tcPr>
            <w:tcW w:w="1249" w:type="dxa"/>
            <w:tcBorders>
              <w:left w:val="single" w:sz="4" w:space="0" w:color="000000"/>
            </w:tcBorders>
          </w:tcPr>
          <w:p w14:paraId="24D604CC" w14:textId="77777777" w:rsidR="00245300" w:rsidRPr="00EC20A0" w:rsidRDefault="00245300">
            <w:pPr>
              <w:pStyle w:val="TableParagraph"/>
              <w:rPr>
                <w:sz w:val="20"/>
              </w:rPr>
            </w:pPr>
          </w:p>
        </w:tc>
      </w:tr>
    </w:tbl>
    <w:p w14:paraId="24D604CE" w14:textId="77777777" w:rsidR="00245300" w:rsidRPr="00EC20A0" w:rsidRDefault="00F17249">
      <w:pPr>
        <w:pStyle w:val="BodyText"/>
        <w:spacing w:before="30"/>
        <w:rPr>
          <w:sz w:val="20"/>
        </w:rPr>
      </w:pPr>
      <w:r w:rsidRPr="00EC20A0">
        <w:rPr>
          <w:noProof/>
        </w:rPr>
        <mc:AlternateContent>
          <mc:Choice Requires="wps">
            <w:drawing>
              <wp:anchor distT="0" distB="0" distL="0" distR="0" simplePos="0" relativeHeight="487608320" behindDoc="1" locked="0" layoutInCell="1" allowOverlap="1" wp14:anchorId="24D62B05" wp14:editId="24D62B06">
                <wp:simplePos x="0" y="0"/>
                <wp:positionH relativeFrom="page">
                  <wp:posOffset>914400</wp:posOffset>
                </wp:positionH>
                <wp:positionV relativeFrom="paragraph">
                  <wp:posOffset>180352</wp:posOffset>
                </wp:positionV>
                <wp:extent cx="1828800" cy="5715"/>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26273" id="Graphic 200" o:spid="_x0000_s1026" style="position:absolute;margin-left:1in;margin-top:14.2pt;width:2in;height:.4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" path="m1828800,l,,,5334r1828800,l1828800,xe" fillcolor="black" stroked="f">
                <v:path arrowok="t"/>
                <w10:wrap type="topAndBottom" anchorx="page"/>
              </v:shape>
            </w:pict>
          </mc:Fallback>
        </mc:AlternateContent>
      </w:r>
    </w:p>
    <w:p w14:paraId="24D604CF" w14:textId="77777777" w:rsidR="00245300" w:rsidRPr="00EC20A0" w:rsidRDefault="00F17249">
      <w:pPr>
        <w:spacing w:before="200" w:line="244" w:lineRule="auto"/>
        <w:ind w:left="419" w:right="562"/>
        <w:rPr>
          <w:sz w:val="18"/>
        </w:rPr>
      </w:pPr>
      <w:bookmarkStart w:id="146" w:name="_bookmark59"/>
      <w:bookmarkEnd w:id="146"/>
      <w:r w:rsidRPr="00EC20A0">
        <w:rPr>
          <w:position w:val="7"/>
          <w:sz w:val="14"/>
        </w:rPr>
        <w:t>14</w:t>
      </w:r>
      <w:r w:rsidRPr="00EC20A0">
        <w:rPr>
          <w:sz w:val="18"/>
        </w:rPr>
        <w:t xml:space="preserve">This bulletin, issued on October 19, 2023, is the OMB audit guidance in effect as of the publication date of this </w:t>
      </w:r>
      <w:r w:rsidRPr="00EC20A0">
        <w:rPr>
          <w:sz w:val="18"/>
        </w:rPr>
        <w:t>version</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FAM.</w:t>
      </w:r>
      <w:r w:rsidRPr="00EC20A0">
        <w:rPr>
          <w:spacing w:val="-2"/>
          <w:sz w:val="18"/>
        </w:rPr>
        <w:t xml:space="preserve"> </w:t>
      </w:r>
      <w:r w:rsidRPr="00EC20A0">
        <w:rPr>
          <w:sz w:val="18"/>
        </w:rPr>
        <w:t>OMB</w:t>
      </w:r>
      <w:r w:rsidRPr="00EC20A0">
        <w:rPr>
          <w:spacing w:val="-3"/>
          <w:sz w:val="18"/>
        </w:rPr>
        <w:t xml:space="preserve"> </w:t>
      </w:r>
      <w:r w:rsidRPr="00EC20A0">
        <w:rPr>
          <w:sz w:val="18"/>
        </w:rPr>
        <w:t>audit</w:t>
      </w:r>
      <w:r w:rsidRPr="00EC20A0">
        <w:rPr>
          <w:spacing w:val="-2"/>
          <w:sz w:val="18"/>
        </w:rPr>
        <w:t xml:space="preserve"> </w:t>
      </w:r>
      <w:r w:rsidRPr="00EC20A0">
        <w:rPr>
          <w:sz w:val="18"/>
        </w:rPr>
        <w:t>guidance</w:t>
      </w:r>
      <w:r w:rsidRPr="00EC20A0">
        <w:rPr>
          <w:spacing w:val="-3"/>
          <w:sz w:val="18"/>
        </w:rPr>
        <w:t xml:space="preserve"> </w:t>
      </w:r>
      <w:r w:rsidRPr="00EC20A0">
        <w:rPr>
          <w:sz w:val="18"/>
        </w:rPr>
        <w:t>is</w:t>
      </w:r>
      <w:r w:rsidRPr="00EC20A0">
        <w:rPr>
          <w:spacing w:val="-1"/>
          <w:sz w:val="18"/>
        </w:rPr>
        <w:t xml:space="preserve"> </w:t>
      </w:r>
      <w:r w:rsidRPr="00EC20A0">
        <w:rPr>
          <w:sz w:val="18"/>
        </w:rPr>
        <w:t>updated</w:t>
      </w:r>
      <w:r w:rsidRPr="00EC20A0">
        <w:rPr>
          <w:spacing w:val="-3"/>
          <w:sz w:val="18"/>
        </w:rPr>
        <w:t xml:space="preserve"> </w:t>
      </w:r>
      <w:r w:rsidRPr="00EC20A0">
        <w:rPr>
          <w:sz w:val="18"/>
        </w:rPr>
        <w:t>periodically,</w:t>
      </w:r>
      <w:r w:rsidRPr="00EC20A0">
        <w:rPr>
          <w:spacing w:val="-2"/>
          <w:sz w:val="18"/>
        </w:rPr>
        <w:t xml:space="preserve"> </w:t>
      </w:r>
      <w:r w:rsidRPr="00EC20A0">
        <w:rPr>
          <w:sz w:val="18"/>
        </w:rPr>
        <w:t>and</w:t>
      </w:r>
      <w:r w:rsidRPr="00EC20A0">
        <w:rPr>
          <w:spacing w:val="-3"/>
          <w:sz w:val="18"/>
        </w:rPr>
        <w:t xml:space="preserve"> </w:t>
      </w:r>
      <w:r w:rsidRPr="00EC20A0">
        <w:rPr>
          <w:sz w:val="18"/>
        </w:rPr>
        <w:t>the</w:t>
      </w:r>
      <w:r w:rsidRPr="00EC20A0">
        <w:rPr>
          <w:spacing w:val="-1"/>
          <w:sz w:val="18"/>
        </w:rPr>
        <w:t xml:space="preserve"> </w:t>
      </w:r>
      <w:r w:rsidRPr="00EC20A0">
        <w:rPr>
          <w:sz w:val="18"/>
        </w:rPr>
        <w:t>current</w:t>
      </w:r>
      <w:r w:rsidRPr="00EC20A0">
        <w:rPr>
          <w:spacing w:val="-2"/>
          <w:sz w:val="18"/>
        </w:rPr>
        <w:t xml:space="preserve"> </w:t>
      </w:r>
      <w:r w:rsidRPr="00EC20A0">
        <w:rPr>
          <w:sz w:val="18"/>
        </w:rPr>
        <w:t>version</w:t>
      </w:r>
      <w:r w:rsidRPr="00EC20A0">
        <w:rPr>
          <w:spacing w:val="-1"/>
          <w:sz w:val="18"/>
        </w:rPr>
        <w:t xml:space="preserve"> </w:t>
      </w:r>
      <w:r w:rsidRPr="00EC20A0">
        <w:rPr>
          <w:sz w:val="18"/>
        </w:rPr>
        <w:t>can</w:t>
      </w:r>
      <w:r w:rsidRPr="00EC20A0">
        <w:rPr>
          <w:spacing w:val="-3"/>
          <w:sz w:val="18"/>
        </w:rPr>
        <w:t xml:space="preserve"> </w:t>
      </w:r>
      <w:r w:rsidRPr="00EC20A0">
        <w:rPr>
          <w:sz w:val="18"/>
        </w:rPr>
        <w:t>be</w:t>
      </w:r>
      <w:r w:rsidRPr="00EC20A0">
        <w:rPr>
          <w:spacing w:val="-3"/>
          <w:sz w:val="18"/>
        </w:rPr>
        <w:t xml:space="preserve"> </w:t>
      </w:r>
      <w:r w:rsidRPr="00EC20A0">
        <w:rPr>
          <w:sz w:val="18"/>
        </w:rPr>
        <w:t>found</w:t>
      </w:r>
      <w:r w:rsidRPr="00EC20A0">
        <w:rPr>
          <w:spacing w:val="-1"/>
          <w:sz w:val="18"/>
        </w:rPr>
        <w:t xml:space="preserve"> </w:t>
      </w:r>
      <w:r w:rsidRPr="00EC20A0">
        <w:rPr>
          <w:sz w:val="18"/>
        </w:rPr>
        <w:t>on</w:t>
      </w:r>
      <w:r w:rsidRPr="00EC20A0">
        <w:rPr>
          <w:spacing w:val="-3"/>
          <w:sz w:val="18"/>
        </w:rPr>
        <w:t xml:space="preserve"> </w:t>
      </w:r>
      <w:r w:rsidRPr="00EC20A0">
        <w:rPr>
          <w:sz w:val="18"/>
        </w:rPr>
        <w:t>the</w:t>
      </w:r>
      <w:r w:rsidRPr="00EC20A0">
        <w:rPr>
          <w:spacing w:val="-3"/>
          <w:sz w:val="18"/>
        </w:rPr>
        <w:t xml:space="preserve"> </w:t>
      </w:r>
      <w:r w:rsidRPr="00EC20A0">
        <w:rPr>
          <w:sz w:val="18"/>
        </w:rPr>
        <w:t xml:space="preserve">OMB website at </w:t>
      </w:r>
      <w:hyperlink r:id="rId65">
        <w:r w:rsidRPr="00EC20A0">
          <w:rPr>
            <w:color w:val="0000FF"/>
            <w:sz w:val="18"/>
            <w:u w:val="single" w:color="0000FF"/>
          </w:rPr>
          <w:t>https://www.whitehouse.gov/omb/information-for-agencies/bulletins/</w:t>
        </w:r>
      </w:hyperlink>
      <w:r w:rsidRPr="00EC20A0">
        <w:rPr>
          <w:color w:val="0000FF"/>
          <w:sz w:val="18"/>
        </w:rPr>
        <w:t xml:space="preserve"> </w:t>
      </w:r>
      <w:r w:rsidRPr="00EC20A0">
        <w:rPr>
          <w:sz w:val="18"/>
        </w:rPr>
        <w:t>(accessed June 3, 2024).</w:t>
      </w:r>
    </w:p>
    <w:p w14:paraId="24D604D0" w14:textId="77777777" w:rsidR="00245300" w:rsidRPr="00EC20A0" w:rsidRDefault="00245300">
      <w:pPr>
        <w:spacing w:line="244" w:lineRule="auto"/>
        <w:rPr>
          <w:sz w:val="18"/>
        </w:rPr>
        <w:sectPr w:rsidR="00245300" w:rsidRPr="00EC20A0">
          <w:headerReference w:type="default" r:id="rId66"/>
          <w:footerReference w:type="default" r:id="rId67"/>
          <w:pgSz w:w="12240" w:h="15840"/>
          <w:pgMar w:top="1340" w:right="940" w:bottom="940" w:left="1020" w:header="721" w:footer="757" w:gutter="0"/>
          <w:pgNumType w:start="1"/>
          <w:cols w:space="720"/>
        </w:sectPr>
      </w:pPr>
    </w:p>
    <w:p w14:paraId="24D604D1" w14:textId="77777777" w:rsidR="00245300" w:rsidRPr="00EC20A0" w:rsidRDefault="00245300">
      <w:pPr>
        <w:pStyle w:val="BodyText"/>
        <w:spacing w:before="4"/>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4D7" w14:textId="77777777">
        <w:trPr>
          <w:trHeight w:val="746"/>
        </w:trPr>
        <w:tc>
          <w:tcPr>
            <w:tcW w:w="7060" w:type="dxa"/>
            <w:tcBorders>
              <w:right w:val="single" w:sz="4" w:space="0" w:color="000000"/>
            </w:tcBorders>
          </w:tcPr>
          <w:p w14:paraId="24D604D2" w14:textId="77777777" w:rsidR="00245300" w:rsidRPr="00EC20A0" w:rsidRDefault="00245300">
            <w:pPr>
              <w:pStyle w:val="TableParagraph"/>
              <w:spacing w:before="120"/>
            </w:pPr>
          </w:p>
          <w:p w14:paraId="24D604D3" w14:textId="77777777" w:rsidR="00245300" w:rsidRPr="00EC20A0" w:rsidRDefault="00F17249">
            <w:pPr>
              <w:pStyle w:val="TableParagraph"/>
              <w:spacing w:before="1"/>
              <w:ind w:left="97"/>
              <w:rPr>
                <w:b/>
              </w:rPr>
            </w:pPr>
            <w:r w:rsidRPr="00EC20A0">
              <w:rPr>
                <w:b/>
                <w:spacing w:val="-2"/>
              </w:rPr>
              <w:t>Procedure</w:t>
            </w:r>
          </w:p>
        </w:tc>
        <w:tc>
          <w:tcPr>
            <w:tcW w:w="1170" w:type="dxa"/>
            <w:tcBorders>
              <w:left w:val="single" w:sz="4" w:space="0" w:color="000000"/>
              <w:right w:val="single" w:sz="4" w:space="0" w:color="000000"/>
            </w:tcBorders>
          </w:tcPr>
          <w:p w14:paraId="24D604D4"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4D5" w14:textId="77777777" w:rsidR="00245300" w:rsidRPr="00EC20A0" w:rsidRDefault="00245300">
            <w:pPr>
              <w:pStyle w:val="TableParagraph"/>
              <w:spacing w:before="120"/>
            </w:pPr>
          </w:p>
          <w:p w14:paraId="24D604D6" w14:textId="77777777" w:rsidR="00245300" w:rsidRPr="00EC20A0" w:rsidRDefault="00F17249">
            <w:pPr>
              <w:pStyle w:val="TableParagraph"/>
              <w:spacing w:before="1"/>
              <w:ind w:left="107"/>
              <w:rPr>
                <w:b/>
              </w:rPr>
            </w:pPr>
            <w:r w:rsidRPr="00EC20A0">
              <w:rPr>
                <w:b/>
              </w:rPr>
              <w:t>Doc.</w:t>
            </w:r>
            <w:r w:rsidRPr="00EC20A0">
              <w:rPr>
                <w:b/>
                <w:spacing w:val="-6"/>
              </w:rPr>
              <w:t xml:space="preserve"> </w:t>
            </w:r>
            <w:r w:rsidRPr="00EC20A0">
              <w:rPr>
                <w:b/>
                <w:spacing w:val="-4"/>
              </w:rPr>
              <w:t>ref.</w:t>
            </w:r>
          </w:p>
        </w:tc>
      </w:tr>
      <w:tr w:rsidR="00245300" w:rsidRPr="00EC20A0" w14:paraId="24D604DC" w14:textId="77777777">
        <w:trPr>
          <w:trHeight w:val="1484"/>
        </w:trPr>
        <w:tc>
          <w:tcPr>
            <w:tcW w:w="7060" w:type="dxa"/>
            <w:tcBorders>
              <w:bottom w:val="single" w:sz="4" w:space="0" w:color="000000"/>
              <w:right w:val="single" w:sz="4" w:space="0" w:color="000000"/>
            </w:tcBorders>
          </w:tcPr>
          <w:p w14:paraId="24D604D8" w14:textId="77777777" w:rsidR="00245300" w:rsidRPr="00EC20A0" w:rsidRDefault="00F17249">
            <w:pPr>
              <w:pStyle w:val="TableParagraph"/>
              <w:spacing w:before="100"/>
              <w:ind w:left="976" w:hanging="360"/>
            </w:pPr>
            <w:r w:rsidRPr="00EC20A0">
              <w:t>B.</w:t>
            </w:r>
            <w:r w:rsidRPr="00EC20A0">
              <w:rPr>
                <w:spacing w:val="80"/>
              </w:rPr>
              <w:t xml:space="preserve"> </w:t>
            </w:r>
            <w:r w:rsidRPr="00EC20A0">
              <w:t>Read</w:t>
            </w:r>
            <w:r w:rsidRPr="00EC20A0">
              <w:rPr>
                <w:spacing w:val="-4"/>
              </w:rPr>
              <w:t xml:space="preserve"> </w:t>
            </w:r>
            <w:r w:rsidRPr="00EC20A0">
              <w:t>the</w:t>
            </w:r>
            <w:r w:rsidRPr="00EC20A0">
              <w:rPr>
                <w:spacing w:val="-4"/>
              </w:rPr>
              <w:t xml:space="preserve"> </w:t>
            </w:r>
            <w:r w:rsidRPr="00EC20A0">
              <w:t>prior</w:t>
            </w:r>
            <w:r w:rsidRPr="00EC20A0">
              <w:rPr>
                <w:spacing w:val="-4"/>
              </w:rPr>
              <w:t xml:space="preserve"> </w:t>
            </w:r>
            <w:r w:rsidRPr="00EC20A0">
              <w:t>year’s</w:t>
            </w:r>
            <w:r w:rsidRPr="00EC20A0">
              <w:rPr>
                <w:spacing w:val="-4"/>
              </w:rPr>
              <w:t xml:space="preserve"> </w:t>
            </w:r>
            <w:r w:rsidRPr="00EC20A0">
              <w:t>audit</w:t>
            </w:r>
            <w:r w:rsidRPr="00EC20A0">
              <w:rPr>
                <w:spacing w:val="-4"/>
              </w:rPr>
              <w:t xml:space="preserve"> </w:t>
            </w:r>
            <w:r w:rsidRPr="00EC20A0">
              <w:t>documentation</w:t>
            </w:r>
            <w:r w:rsidRPr="00EC20A0">
              <w:rPr>
                <w:spacing w:val="-4"/>
              </w:rPr>
              <w:t xml:space="preserve"> </w:t>
            </w:r>
            <w:r w:rsidRPr="00EC20A0">
              <w:t>and</w:t>
            </w:r>
            <w:r w:rsidRPr="00EC20A0">
              <w:rPr>
                <w:spacing w:val="-4"/>
              </w:rPr>
              <w:t xml:space="preserve"> </w:t>
            </w:r>
            <w:r w:rsidRPr="00EC20A0">
              <w:t>audit</w:t>
            </w:r>
            <w:r w:rsidRPr="00EC20A0">
              <w:rPr>
                <w:spacing w:val="-4"/>
              </w:rPr>
              <w:t xml:space="preserve"> </w:t>
            </w:r>
            <w:r w:rsidRPr="00EC20A0">
              <w:t>report</w:t>
            </w:r>
            <w:r w:rsidRPr="00EC20A0">
              <w:rPr>
                <w:spacing w:val="-4"/>
              </w:rPr>
              <w:t xml:space="preserve"> </w:t>
            </w:r>
            <w:r w:rsidRPr="00EC20A0">
              <w:t>to identify (1) the auditors’ FFMIA determinations,</w:t>
            </w:r>
          </w:p>
          <w:p w14:paraId="24D604D9" w14:textId="77777777" w:rsidR="00245300" w:rsidRPr="00EC20A0" w:rsidRDefault="00F17249">
            <w:pPr>
              <w:pStyle w:val="TableParagraph"/>
              <w:ind w:left="976" w:right="138"/>
            </w:pPr>
            <w:r w:rsidRPr="00EC20A0">
              <w:t>(2)</w:t>
            </w:r>
            <w:r w:rsidRPr="00EC20A0">
              <w:rPr>
                <w:spacing w:val="-5"/>
              </w:rPr>
              <w:t xml:space="preserve"> </w:t>
            </w:r>
            <w:r w:rsidRPr="00EC20A0">
              <w:t>reported</w:t>
            </w:r>
            <w:r w:rsidRPr="00EC20A0">
              <w:rPr>
                <w:spacing w:val="-5"/>
              </w:rPr>
              <w:t xml:space="preserve"> </w:t>
            </w:r>
            <w:r w:rsidRPr="00EC20A0">
              <w:t>instances</w:t>
            </w:r>
            <w:r w:rsidRPr="00EC20A0">
              <w:rPr>
                <w:spacing w:val="-5"/>
              </w:rPr>
              <w:t xml:space="preserve"> </w:t>
            </w:r>
            <w:r w:rsidRPr="00EC20A0">
              <w:t>of</w:t>
            </w:r>
            <w:r w:rsidRPr="00EC20A0">
              <w:rPr>
                <w:spacing w:val="-6"/>
              </w:rPr>
              <w:t xml:space="preserve"> </w:t>
            </w:r>
            <w:r w:rsidRPr="00EC20A0">
              <w:t>noncompliance</w:t>
            </w:r>
            <w:r w:rsidRPr="00EC20A0">
              <w:rPr>
                <w:spacing w:val="-5"/>
              </w:rPr>
              <w:t xml:space="preserve"> </w:t>
            </w:r>
            <w:r w:rsidRPr="00EC20A0">
              <w:t>with</w:t>
            </w:r>
            <w:r w:rsidRPr="00EC20A0">
              <w:rPr>
                <w:spacing w:val="-5"/>
              </w:rPr>
              <w:t xml:space="preserve"> </w:t>
            </w:r>
            <w:r w:rsidRPr="00EC20A0">
              <w:t>FFMIA,</w:t>
            </w:r>
            <w:r w:rsidRPr="00EC20A0">
              <w:rPr>
                <w:spacing w:val="-5"/>
              </w:rPr>
              <w:t xml:space="preserve"> </w:t>
            </w:r>
            <w:r w:rsidRPr="00EC20A0">
              <w:t>and</w:t>
            </w:r>
            <w:r w:rsidRPr="00EC20A0">
              <w:rPr>
                <w:spacing w:val="-5"/>
              </w:rPr>
              <w:t xml:space="preserve"> </w:t>
            </w:r>
            <w:r w:rsidRPr="00EC20A0">
              <w:t>(3) material weaknesses and significant deficiencies related to the agency’s financial management systems.</w:t>
            </w:r>
          </w:p>
        </w:tc>
        <w:tc>
          <w:tcPr>
            <w:tcW w:w="1170" w:type="dxa"/>
            <w:tcBorders>
              <w:left w:val="single" w:sz="4" w:space="0" w:color="000000"/>
              <w:bottom w:val="single" w:sz="4" w:space="0" w:color="000000"/>
              <w:right w:val="single" w:sz="4" w:space="0" w:color="000000"/>
            </w:tcBorders>
          </w:tcPr>
          <w:p w14:paraId="24D604DA" w14:textId="77777777" w:rsidR="00245300" w:rsidRPr="00EC20A0" w:rsidRDefault="00245300">
            <w:pPr>
              <w:pStyle w:val="TableParagraph"/>
              <w:rPr>
                <w:sz w:val="20"/>
              </w:rPr>
            </w:pPr>
          </w:p>
        </w:tc>
        <w:tc>
          <w:tcPr>
            <w:tcW w:w="1249" w:type="dxa"/>
            <w:tcBorders>
              <w:left w:val="single" w:sz="4" w:space="0" w:color="000000"/>
              <w:bottom w:val="single" w:sz="4" w:space="0" w:color="000000"/>
            </w:tcBorders>
          </w:tcPr>
          <w:p w14:paraId="24D604DB" w14:textId="77777777" w:rsidR="00245300" w:rsidRPr="00EC20A0" w:rsidRDefault="00245300">
            <w:pPr>
              <w:pStyle w:val="TableParagraph"/>
              <w:rPr>
                <w:sz w:val="20"/>
              </w:rPr>
            </w:pPr>
          </w:p>
        </w:tc>
      </w:tr>
      <w:tr w:rsidR="00245300" w:rsidRPr="00EC20A0" w14:paraId="24D604E0" w14:textId="77777777">
        <w:trPr>
          <w:trHeight w:val="1252"/>
        </w:trPr>
        <w:tc>
          <w:tcPr>
            <w:tcW w:w="7060" w:type="dxa"/>
            <w:tcBorders>
              <w:top w:val="single" w:sz="4" w:space="0" w:color="000000"/>
              <w:bottom w:val="single" w:sz="4" w:space="0" w:color="000000"/>
              <w:right w:val="single" w:sz="4" w:space="0" w:color="000000"/>
            </w:tcBorders>
          </w:tcPr>
          <w:p w14:paraId="24D604DD" w14:textId="77777777" w:rsidR="00245300" w:rsidRPr="00EC20A0" w:rsidRDefault="00F17249">
            <w:pPr>
              <w:pStyle w:val="TableParagraph"/>
              <w:spacing w:before="120"/>
              <w:ind w:left="1357" w:right="138" w:hanging="360"/>
            </w:pPr>
            <w:r w:rsidRPr="00EC20A0">
              <w:t>1.</w:t>
            </w:r>
            <w:r w:rsidRPr="00EC20A0">
              <w:rPr>
                <w:spacing w:val="80"/>
              </w:rPr>
              <w:t xml:space="preserve"> </w:t>
            </w:r>
            <w:r w:rsidRPr="00EC20A0">
              <w:t>Prepare a schedule of the previously identified deficiencies for follow-up (include reviewing management’s</w:t>
            </w:r>
            <w:r w:rsidRPr="00EC20A0">
              <w:rPr>
                <w:spacing w:val="-5"/>
              </w:rPr>
              <w:t xml:space="preserve"> </w:t>
            </w:r>
            <w:r w:rsidRPr="00EC20A0">
              <w:t>corrective</w:t>
            </w:r>
            <w:r w:rsidRPr="00EC20A0">
              <w:rPr>
                <w:spacing w:val="-5"/>
              </w:rPr>
              <w:t xml:space="preserve"> </w:t>
            </w:r>
            <w:r w:rsidRPr="00EC20A0">
              <w:t>action).</w:t>
            </w:r>
            <w:r w:rsidRPr="00EC20A0">
              <w:rPr>
                <w:spacing w:val="-5"/>
              </w:rPr>
              <w:t xml:space="preserve"> </w:t>
            </w:r>
            <w:r w:rsidRPr="00EC20A0">
              <w:t>See</w:t>
            </w:r>
            <w:r w:rsidRPr="00EC20A0">
              <w:rPr>
                <w:spacing w:val="-5"/>
              </w:rPr>
              <w:t xml:space="preserve"> </w:t>
            </w:r>
            <w:r w:rsidRPr="00EC20A0">
              <w:t>FAM</w:t>
            </w:r>
            <w:r w:rsidRPr="00EC20A0">
              <w:rPr>
                <w:spacing w:val="-6"/>
              </w:rPr>
              <w:t xml:space="preserve"> </w:t>
            </w:r>
            <w:r w:rsidRPr="00EC20A0">
              <w:t>701</w:t>
            </w:r>
            <w:r w:rsidRPr="00EC20A0">
              <w:rPr>
                <w:spacing w:val="-4"/>
              </w:rPr>
              <w:t xml:space="preserve"> </w:t>
            </w:r>
            <w:r w:rsidRPr="00EC20A0">
              <w:t>B</w:t>
            </w:r>
            <w:r w:rsidRPr="00EC20A0">
              <w:rPr>
                <w:spacing w:val="-5"/>
              </w:rPr>
              <w:t xml:space="preserve"> </w:t>
            </w:r>
            <w:r w:rsidRPr="00EC20A0">
              <w:t>for</w:t>
            </w:r>
            <w:r w:rsidRPr="00EC20A0">
              <w:rPr>
                <w:spacing w:val="-5"/>
              </w:rPr>
              <w:t xml:space="preserve"> </w:t>
            </w:r>
            <w:r w:rsidRPr="00EC20A0">
              <w:t>an example of the schedule.</w:t>
            </w:r>
          </w:p>
        </w:tc>
        <w:tc>
          <w:tcPr>
            <w:tcW w:w="1170" w:type="dxa"/>
            <w:tcBorders>
              <w:top w:val="single" w:sz="4" w:space="0" w:color="000000"/>
              <w:left w:val="single" w:sz="4" w:space="0" w:color="000000"/>
              <w:bottom w:val="single" w:sz="4" w:space="0" w:color="000000"/>
              <w:right w:val="single" w:sz="4" w:space="0" w:color="000000"/>
            </w:tcBorders>
          </w:tcPr>
          <w:p w14:paraId="24D604DE"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4DF" w14:textId="77777777" w:rsidR="00245300" w:rsidRPr="00EC20A0" w:rsidRDefault="00245300">
            <w:pPr>
              <w:pStyle w:val="TableParagraph"/>
              <w:rPr>
                <w:sz w:val="20"/>
              </w:rPr>
            </w:pPr>
          </w:p>
        </w:tc>
      </w:tr>
      <w:tr w:rsidR="00245300" w:rsidRPr="00EC20A0" w14:paraId="24D604E4" w14:textId="77777777">
        <w:trPr>
          <w:trHeight w:val="2262"/>
        </w:trPr>
        <w:tc>
          <w:tcPr>
            <w:tcW w:w="7060" w:type="dxa"/>
            <w:tcBorders>
              <w:top w:val="single" w:sz="4" w:space="0" w:color="000000"/>
              <w:bottom w:val="single" w:sz="4" w:space="0" w:color="000000"/>
              <w:right w:val="single" w:sz="4" w:space="0" w:color="000000"/>
            </w:tcBorders>
          </w:tcPr>
          <w:p w14:paraId="24D604E1" w14:textId="77777777" w:rsidR="00245300" w:rsidRPr="00EC20A0" w:rsidRDefault="00F17249">
            <w:pPr>
              <w:pStyle w:val="TableParagraph"/>
              <w:spacing w:before="120"/>
              <w:ind w:left="983" w:right="37" w:hanging="361"/>
            </w:pPr>
            <w:r w:rsidRPr="00EC20A0">
              <w:t>C.</w:t>
            </w:r>
            <w:r w:rsidRPr="00EC20A0">
              <w:rPr>
                <w:spacing w:val="40"/>
              </w:rPr>
              <w:t xml:space="preserve"> </w:t>
            </w:r>
            <w:r w:rsidRPr="00EC20A0">
              <w:t>Read the most recent FMFIA, FISMA,</w:t>
            </w:r>
            <w:hyperlink w:anchor="_bookmark60" w:history="1">
              <w:r w:rsidRPr="00EC20A0">
                <w:rPr>
                  <w:position w:val="7"/>
                  <w:sz w:val="14"/>
                </w:rPr>
                <w:t>15</w:t>
              </w:r>
            </w:hyperlink>
            <w:r w:rsidRPr="00EC20A0">
              <w:rPr>
                <w:spacing w:val="37"/>
                <w:position w:val="7"/>
                <w:sz w:val="14"/>
              </w:rPr>
              <w:t xml:space="preserve"> </w:t>
            </w:r>
            <w:r w:rsidRPr="00EC20A0">
              <w:t>inspector general, auditor,</w:t>
            </w:r>
            <w:r w:rsidRPr="00EC20A0">
              <w:rPr>
                <w:spacing w:val="-6"/>
              </w:rPr>
              <w:t xml:space="preserve"> </w:t>
            </w:r>
            <w:r w:rsidRPr="00EC20A0">
              <w:t>and</w:t>
            </w:r>
            <w:r w:rsidRPr="00EC20A0">
              <w:rPr>
                <w:spacing w:val="-7"/>
              </w:rPr>
              <w:t xml:space="preserve"> </w:t>
            </w:r>
            <w:r w:rsidRPr="00EC20A0">
              <w:t>GAO</w:t>
            </w:r>
            <w:r w:rsidRPr="00EC20A0">
              <w:rPr>
                <w:spacing w:val="-7"/>
              </w:rPr>
              <w:t xml:space="preserve"> </w:t>
            </w:r>
            <w:r w:rsidRPr="00EC20A0">
              <w:t>reports</w:t>
            </w:r>
            <w:r w:rsidRPr="00EC20A0">
              <w:rPr>
                <w:spacing w:val="-6"/>
              </w:rPr>
              <w:t xml:space="preserve"> </w:t>
            </w:r>
            <w:r w:rsidRPr="00EC20A0">
              <w:t>and</w:t>
            </w:r>
            <w:r w:rsidRPr="00EC20A0">
              <w:rPr>
                <w:spacing w:val="-6"/>
              </w:rPr>
              <w:t xml:space="preserve"> </w:t>
            </w:r>
            <w:r w:rsidRPr="00EC20A0">
              <w:t>internal</w:t>
            </w:r>
            <w:r w:rsidRPr="00EC20A0">
              <w:rPr>
                <w:spacing w:val="-6"/>
              </w:rPr>
              <w:t xml:space="preserve"> </w:t>
            </w:r>
            <w:r w:rsidRPr="00EC20A0">
              <w:t>control</w:t>
            </w:r>
            <w:r w:rsidRPr="00EC20A0">
              <w:rPr>
                <w:spacing w:val="-6"/>
              </w:rPr>
              <w:t xml:space="preserve"> </w:t>
            </w:r>
            <w:r w:rsidRPr="00EC20A0">
              <w:t>documentation from the financial statement audit or other reports related to financial management systems, such as financial systems, payment and invoice systems, procurement systems, receivable systems, loan systems, grants systems, payroll systems, budget formulation systems, billing systems, property management systems, and travel systems.</w:t>
            </w:r>
          </w:p>
        </w:tc>
        <w:tc>
          <w:tcPr>
            <w:tcW w:w="1170" w:type="dxa"/>
            <w:tcBorders>
              <w:top w:val="single" w:sz="4" w:space="0" w:color="000000"/>
              <w:left w:val="single" w:sz="4" w:space="0" w:color="000000"/>
              <w:bottom w:val="single" w:sz="4" w:space="0" w:color="000000"/>
              <w:right w:val="single" w:sz="4" w:space="0" w:color="000000"/>
            </w:tcBorders>
          </w:tcPr>
          <w:p w14:paraId="24D604E2"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4E3" w14:textId="77777777" w:rsidR="00245300" w:rsidRPr="00EC20A0" w:rsidRDefault="00245300">
            <w:pPr>
              <w:pStyle w:val="TableParagraph"/>
              <w:rPr>
                <w:sz w:val="20"/>
              </w:rPr>
            </w:pPr>
          </w:p>
        </w:tc>
      </w:tr>
      <w:tr w:rsidR="00245300" w:rsidRPr="00EC20A0" w14:paraId="24D604E8" w14:textId="77777777">
        <w:trPr>
          <w:trHeight w:val="746"/>
        </w:trPr>
        <w:tc>
          <w:tcPr>
            <w:tcW w:w="7060" w:type="dxa"/>
            <w:tcBorders>
              <w:top w:val="single" w:sz="4" w:space="0" w:color="000000"/>
              <w:bottom w:val="single" w:sz="4" w:space="0" w:color="000000"/>
              <w:right w:val="single" w:sz="4" w:space="0" w:color="000000"/>
            </w:tcBorders>
          </w:tcPr>
          <w:p w14:paraId="24D604E5" w14:textId="77777777" w:rsidR="00245300" w:rsidRPr="00EC20A0" w:rsidRDefault="00F17249">
            <w:pPr>
              <w:pStyle w:val="TableParagraph"/>
              <w:spacing w:before="121"/>
              <w:ind w:left="1357" w:hanging="360"/>
            </w:pPr>
            <w:r w:rsidRPr="00EC20A0">
              <w:t>1.</w:t>
            </w:r>
            <w:r w:rsidRPr="00EC20A0">
              <w:rPr>
                <w:spacing w:val="80"/>
              </w:rPr>
              <w:t xml:space="preserve"> </w:t>
            </w:r>
            <w:r w:rsidRPr="00EC20A0">
              <w:t>Evaluate</w:t>
            </w:r>
            <w:r w:rsidRPr="00EC20A0">
              <w:rPr>
                <w:spacing w:val="-4"/>
              </w:rPr>
              <w:t xml:space="preserve"> </w:t>
            </w:r>
            <w:r w:rsidRPr="00EC20A0">
              <w:t>the</w:t>
            </w:r>
            <w:r w:rsidRPr="00EC20A0">
              <w:rPr>
                <w:spacing w:val="-5"/>
              </w:rPr>
              <w:t xml:space="preserve"> </w:t>
            </w:r>
            <w:r w:rsidRPr="00EC20A0">
              <w:t>effect</w:t>
            </w:r>
            <w:r w:rsidRPr="00EC20A0">
              <w:rPr>
                <w:spacing w:val="-4"/>
              </w:rPr>
              <w:t xml:space="preserve"> </w:t>
            </w:r>
            <w:r w:rsidRPr="00EC20A0">
              <w:t>of</w:t>
            </w:r>
            <w:r w:rsidRPr="00EC20A0">
              <w:rPr>
                <w:spacing w:val="-4"/>
              </w:rPr>
              <w:t xml:space="preserve"> </w:t>
            </w:r>
            <w:r w:rsidRPr="00EC20A0">
              <w:t>any</w:t>
            </w:r>
            <w:r w:rsidRPr="00EC20A0">
              <w:rPr>
                <w:spacing w:val="-4"/>
              </w:rPr>
              <w:t xml:space="preserve"> </w:t>
            </w:r>
            <w:r w:rsidRPr="00EC20A0">
              <w:t>reported</w:t>
            </w:r>
            <w:r w:rsidRPr="00EC20A0">
              <w:rPr>
                <w:spacing w:val="-4"/>
              </w:rPr>
              <w:t xml:space="preserve"> </w:t>
            </w:r>
            <w:r w:rsidRPr="00EC20A0">
              <w:t>weaknesses</w:t>
            </w:r>
            <w:r w:rsidRPr="00EC20A0">
              <w:rPr>
                <w:spacing w:val="-5"/>
              </w:rPr>
              <w:t xml:space="preserve"> </w:t>
            </w:r>
            <w:r w:rsidRPr="00EC20A0">
              <w:t>on</w:t>
            </w:r>
            <w:r w:rsidRPr="00EC20A0">
              <w:rPr>
                <w:spacing w:val="-4"/>
              </w:rPr>
              <w:t xml:space="preserve"> </w:t>
            </w:r>
            <w:r w:rsidRPr="00EC20A0">
              <w:t>the FFMIA assessment.</w:t>
            </w:r>
          </w:p>
        </w:tc>
        <w:tc>
          <w:tcPr>
            <w:tcW w:w="1170" w:type="dxa"/>
            <w:tcBorders>
              <w:top w:val="single" w:sz="4" w:space="0" w:color="000000"/>
              <w:left w:val="single" w:sz="4" w:space="0" w:color="000000"/>
              <w:bottom w:val="single" w:sz="4" w:space="0" w:color="000000"/>
              <w:right w:val="single" w:sz="4" w:space="0" w:color="000000"/>
            </w:tcBorders>
          </w:tcPr>
          <w:p w14:paraId="24D604E6"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4E7" w14:textId="77777777" w:rsidR="00245300" w:rsidRPr="00EC20A0" w:rsidRDefault="00245300">
            <w:pPr>
              <w:pStyle w:val="TableParagraph"/>
              <w:rPr>
                <w:sz w:val="20"/>
              </w:rPr>
            </w:pPr>
          </w:p>
        </w:tc>
      </w:tr>
      <w:tr w:rsidR="00245300" w:rsidRPr="00EC20A0" w14:paraId="24D604EC" w14:textId="77777777">
        <w:trPr>
          <w:trHeight w:val="1252"/>
        </w:trPr>
        <w:tc>
          <w:tcPr>
            <w:tcW w:w="7060" w:type="dxa"/>
            <w:tcBorders>
              <w:top w:val="single" w:sz="4" w:space="0" w:color="000000"/>
              <w:bottom w:val="single" w:sz="4" w:space="0" w:color="000000"/>
              <w:right w:val="single" w:sz="4" w:space="0" w:color="000000"/>
            </w:tcBorders>
          </w:tcPr>
          <w:p w14:paraId="24D604E9" w14:textId="77777777" w:rsidR="00245300" w:rsidRPr="00EC20A0" w:rsidRDefault="00F17249">
            <w:pPr>
              <w:pStyle w:val="TableParagraph"/>
              <w:spacing w:before="121"/>
              <w:ind w:left="1357" w:right="210" w:hanging="360"/>
            </w:pPr>
            <w:r w:rsidRPr="00EC20A0">
              <w:t>2.</w:t>
            </w:r>
            <w:r w:rsidRPr="00EC20A0">
              <w:rPr>
                <w:spacing w:val="80"/>
              </w:rPr>
              <w:t xml:space="preserve"> </w:t>
            </w:r>
            <w:r w:rsidRPr="00EC20A0">
              <w:t>Obtain</w:t>
            </w:r>
            <w:r w:rsidRPr="00EC20A0">
              <w:rPr>
                <w:spacing w:val="-1"/>
              </w:rPr>
              <w:t xml:space="preserve"> </w:t>
            </w:r>
            <w:r w:rsidRPr="00EC20A0">
              <w:t>an</w:t>
            </w:r>
            <w:r w:rsidRPr="00EC20A0">
              <w:rPr>
                <w:spacing w:val="-1"/>
              </w:rPr>
              <w:t xml:space="preserve"> </w:t>
            </w:r>
            <w:r w:rsidRPr="00EC20A0">
              <w:t>update</w:t>
            </w:r>
            <w:r w:rsidRPr="00EC20A0">
              <w:rPr>
                <w:spacing w:val="-1"/>
              </w:rPr>
              <w:t xml:space="preserve"> </w:t>
            </w:r>
            <w:r w:rsidRPr="00EC20A0">
              <w:t>on</w:t>
            </w:r>
            <w:r w:rsidRPr="00EC20A0">
              <w:rPr>
                <w:spacing w:val="-1"/>
              </w:rPr>
              <w:t xml:space="preserve"> </w:t>
            </w:r>
            <w:r w:rsidRPr="00EC20A0">
              <w:t>the</w:t>
            </w:r>
            <w:r w:rsidRPr="00EC20A0">
              <w:rPr>
                <w:spacing w:val="-2"/>
              </w:rPr>
              <w:t xml:space="preserve"> </w:t>
            </w:r>
            <w:r w:rsidRPr="00EC20A0">
              <w:t>status</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issues</w:t>
            </w:r>
            <w:r w:rsidRPr="00EC20A0">
              <w:rPr>
                <w:spacing w:val="-2"/>
              </w:rPr>
              <w:t xml:space="preserve"> </w:t>
            </w:r>
            <w:r w:rsidRPr="00EC20A0">
              <w:t>(include reviewing management’s corrective action) and document</w:t>
            </w:r>
            <w:r w:rsidRPr="00EC20A0">
              <w:rPr>
                <w:spacing w:val="-6"/>
              </w:rPr>
              <w:t xml:space="preserve"> </w:t>
            </w:r>
            <w:r w:rsidRPr="00EC20A0">
              <w:t>problems</w:t>
            </w:r>
            <w:r w:rsidRPr="00EC20A0">
              <w:rPr>
                <w:spacing w:val="-6"/>
              </w:rPr>
              <w:t xml:space="preserve"> </w:t>
            </w:r>
            <w:r w:rsidRPr="00EC20A0">
              <w:t>identified</w:t>
            </w:r>
            <w:r w:rsidRPr="00EC20A0">
              <w:rPr>
                <w:spacing w:val="-6"/>
              </w:rPr>
              <w:t xml:space="preserve"> </w:t>
            </w:r>
            <w:r w:rsidRPr="00EC20A0">
              <w:t>in</w:t>
            </w:r>
            <w:r w:rsidRPr="00EC20A0">
              <w:rPr>
                <w:spacing w:val="-6"/>
              </w:rPr>
              <w:t xml:space="preserve"> </w:t>
            </w:r>
            <w:r w:rsidRPr="00EC20A0">
              <w:t>the</w:t>
            </w:r>
            <w:r w:rsidRPr="00EC20A0">
              <w:rPr>
                <w:spacing w:val="-7"/>
              </w:rPr>
              <w:t xml:space="preserve"> </w:t>
            </w:r>
            <w:r w:rsidRPr="00EC20A0">
              <w:t>schedule</w:t>
            </w:r>
            <w:r w:rsidRPr="00EC20A0">
              <w:rPr>
                <w:spacing w:val="-6"/>
              </w:rPr>
              <w:t xml:space="preserve"> </w:t>
            </w:r>
            <w:r w:rsidRPr="00EC20A0">
              <w:t>in</w:t>
            </w:r>
            <w:r w:rsidRPr="00EC20A0">
              <w:rPr>
                <w:spacing w:val="-7"/>
              </w:rPr>
              <w:t xml:space="preserve"> </w:t>
            </w:r>
            <w:r w:rsidRPr="00EC20A0">
              <w:t>FAM 701 B.</w:t>
            </w:r>
          </w:p>
        </w:tc>
        <w:tc>
          <w:tcPr>
            <w:tcW w:w="1170" w:type="dxa"/>
            <w:tcBorders>
              <w:top w:val="single" w:sz="4" w:space="0" w:color="000000"/>
              <w:left w:val="single" w:sz="4" w:space="0" w:color="000000"/>
              <w:bottom w:val="single" w:sz="4" w:space="0" w:color="000000"/>
              <w:right w:val="single" w:sz="4" w:space="0" w:color="000000"/>
            </w:tcBorders>
          </w:tcPr>
          <w:p w14:paraId="24D604EA"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4EB" w14:textId="77777777" w:rsidR="00245300" w:rsidRPr="00EC20A0" w:rsidRDefault="00245300">
            <w:pPr>
              <w:pStyle w:val="TableParagraph"/>
              <w:rPr>
                <w:sz w:val="20"/>
              </w:rPr>
            </w:pPr>
          </w:p>
        </w:tc>
      </w:tr>
      <w:tr w:rsidR="00245300" w:rsidRPr="00EC20A0" w14:paraId="24D604F0" w14:textId="77777777">
        <w:trPr>
          <w:trHeight w:val="1504"/>
        </w:trPr>
        <w:tc>
          <w:tcPr>
            <w:tcW w:w="7060" w:type="dxa"/>
            <w:tcBorders>
              <w:top w:val="single" w:sz="4" w:space="0" w:color="000000"/>
              <w:bottom w:val="single" w:sz="4" w:space="0" w:color="000000"/>
              <w:right w:val="single" w:sz="4" w:space="0" w:color="000000"/>
            </w:tcBorders>
          </w:tcPr>
          <w:p w14:paraId="24D604ED" w14:textId="77777777" w:rsidR="00245300" w:rsidRPr="00EC20A0" w:rsidRDefault="00F17249">
            <w:pPr>
              <w:pStyle w:val="TableParagraph"/>
              <w:spacing w:before="120"/>
              <w:ind w:left="983" w:right="210" w:hanging="360"/>
            </w:pPr>
            <w:r w:rsidRPr="00EC20A0">
              <w:t>D.</w:t>
            </w:r>
            <w:r w:rsidRPr="00EC20A0">
              <w:rPr>
                <w:spacing w:val="80"/>
              </w:rPr>
              <w:t xml:space="preserve"> </w:t>
            </w:r>
            <w:r w:rsidRPr="00EC20A0">
              <w:t xml:space="preserve">If an agency’s financial </w:t>
            </w:r>
            <w:r w:rsidRPr="00EC20A0">
              <w:t>management system includes the use of a shared service organization, obtain and read the service</w:t>
            </w:r>
            <w:r w:rsidRPr="00EC20A0">
              <w:rPr>
                <w:spacing w:val="-5"/>
              </w:rPr>
              <w:t xml:space="preserve"> </w:t>
            </w:r>
            <w:r w:rsidRPr="00EC20A0">
              <w:t>organization</w:t>
            </w:r>
            <w:r w:rsidRPr="00EC20A0">
              <w:rPr>
                <w:spacing w:val="-5"/>
              </w:rPr>
              <w:t xml:space="preserve"> </w:t>
            </w:r>
            <w:r w:rsidRPr="00EC20A0">
              <w:t>type</w:t>
            </w:r>
            <w:r w:rsidRPr="00EC20A0">
              <w:rPr>
                <w:spacing w:val="-5"/>
              </w:rPr>
              <w:t xml:space="preserve"> </w:t>
            </w:r>
            <w:r w:rsidRPr="00EC20A0">
              <w:t>2</w:t>
            </w:r>
            <w:r w:rsidRPr="00EC20A0">
              <w:rPr>
                <w:spacing w:val="-5"/>
              </w:rPr>
              <w:t xml:space="preserve"> </w:t>
            </w:r>
            <w:r w:rsidRPr="00EC20A0">
              <w:t>report</w:t>
            </w:r>
            <w:r w:rsidRPr="00EC20A0">
              <w:rPr>
                <w:spacing w:val="-5"/>
              </w:rPr>
              <w:t xml:space="preserve"> </w:t>
            </w:r>
            <w:r w:rsidRPr="00EC20A0">
              <w:t>for</w:t>
            </w:r>
            <w:r w:rsidRPr="00EC20A0">
              <w:rPr>
                <w:spacing w:val="-5"/>
              </w:rPr>
              <w:t xml:space="preserve"> </w:t>
            </w:r>
            <w:r w:rsidRPr="00EC20A0">
              <w:t>each</w:t>
            </w:r>
            <w:r w:rsidRPr="00EC20A0">
              <w:rPr>
                <w:spacing w:val="-5"/>
              </w:rPr>
              <w:t xml:space="preserve"> </w:t>
            </w:r>
            <w:r w:rsidRPr="00EC20A0">
              <w:t>service</w:t>
            </w:r>
            <w:r w:rsidRPr="00EC20A0">
              <w:rPr>
                <w:spacing w:val="-5"/>
              </w:rPr>
              <w:t xml:space="preserve"> </w:t>
            </w:r>
            <w:r w:rsidRPr="00EC20A0">
              <w:t xml:space="preserve">provider to identify any reported weaknesses that affect FFMIA </w:t>
            </w:r>
            <w:r w:rsidRPr="00EC20A0">
              <w:rPr>
                <w:spacing w:val="-2"/>
              </w:rPr>
              <w:t>compliance.</w:t>
            </w:r>
          </w:p>
        </w:tc>
        <w:tc>
          <w:tcPr>
            <w:tcW w:w="1170" w:type="dxa"/>
            <w:tcBorders>
              <w:top w:val="single" w:sz="4" w:space="0" w:color="000000"/>
              <w:left w:val="single" w:sz="4" w:space="0" w:color="000000"/>
              <w:bottom w:val="single" w:sz="4" w:space="0" w:color="000000"/>
              <w:right w:val="single" w:sz="4" w:space="0" w:color="000000"/>
            </w:tcBorders>
          </w:tcPr>
          <w:p w14:paraId="24D604EE"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4EF" w14:textId="77777777" w:rsidR="00245300" w:rsidRPr="00EC20A0" w:rsidRDefault="00245300">
            <w:pPr>
              <w:pStyle w:val="TableParagraph"/>
              <w:rPr>
                <w:sz w:val="20"/>
              </w:rPr>
            </w:pPr>
          </w:p>
        </w:tc>
      </w:tr>
      <w:tr w:rsidR="00245300" w:rsidRPr="00EC20A0" w14:paraId="24D604F4" w14:textId="77777777">
        <w:trPr>
          <w:trHeight w:val="879"/>
        </w:trPr>
        <w:tc>
          <w:tcPr>
            <w:tcW w:w="7060" w:type="dxa"/>
            <w:tcBorders>
              <w:top w:val="single" w:sz="4" w:space="0" w:color="000000"/>
              <w:bottom w:val="single" w:sz="4" w:space="0" w:color="000000"/>
              <w:right w:val="single" w:sz="4" w:space="0" w:color="000000"/>
            </w:tcBorders>
          </w:tcPr>
          <w:p w14:paraId="24D604F1" w14:textId="77777777" w:rsidR="00245300" w:rsidRPr="00EC20A0" w:rsidRDefault="00F17249">
            <w:pPr>
              <w:pStyle w:val="TableParagraph"/>
              <w:spacing w:before="61"/>
              <w:ind w:left="1357" w:right="138" w:hanging="360"/>
            </w:pPr>
            <w:r w:rsidRPr="00EC20A0">
              <w:t>1.</w:t>
            </w:r>
            <w:r w:rsidRPr="00EC20A0">
              <w:rPr>
                <w:spacing w:val="80"/>
              </w:rPr>
              <w:t xml:space="preserve"> </w:t>
            </w:r>
            <w:r w:rsidRPr="00EC20A0">
              <w:t xml:space="preserve">If weaknesses are </w:t>
            </w:r>
            <w:r w:rsidRPr="00EC20A0">
              <w:t>reported, determine whether the agency</w:t>
            </w:r>
            <w:r w:rsidRPr="00EC20A0">
              <w:rPr>
                <w:spacing w:val="-6"/>
              </w:rPr>
              <w:t xml:space="preserve"> </w:t>
            </w:r>
            <w:r w:rsidRPr="00EC20A0">
              <w:t>has</w:t>
            </w:r>
            <w:r w:rsidRPr="00EC20A0">
              <w:rPr>
                <w:spacing w:val="-7"/>
              </w:rPr>
              <w:t xml:space="preserve"> </w:t>
            </w:r>
            <w:r w:rsidRPr="00EC20A0">
              <w:t>implemented</w:t>
            </w:r>
            <w:r w:rsidRPr="00EC20A0">
              <w:rPr>
                <w:spacing w:val="-6"/>
              </w:rPr>
              <w:t xml:space="preserve"> </w:t>
            </w:r>
            <w:r w:rsidRPr="00EC20A0">
              <w:t>additional</w:t>
            </w:r>
            <w:r w:rsidRPr="00EC20A0">
              <w:rPr>
                <w:spacing w:val="-7"/>
              </w:rPr>
              <w:t xml:space="preserve"> </w:t>
            </w:r>
            <w:r w:rsidRPr="00EC20A0">
              <w:t>controls</w:t>
            </w:r>
            <w:r w:rsidRPr="00EC20A0">
              <w:rPr>
                <w:spacing w:val="-6"/>
              </w:rPr>
              <w:t xml:space="preserve"> </w:t>
            </w:r>
            <w:r w:rsidRPr="00EC20A0">
              <w:t>to</w:t>
            </w:r>
            <w:r w:rsidRPr="00EC20A0">
              <w:rPr>
                <w:spacing w:val="-7"/>
              </w:rPr>
              <w:t xml:space="preserve"> </w:t>
            </w:r>
            <w:r w:rsidRPr="00EC20A0">
              <w:t>mitigate those weaknesses</w:t>
            </w:r>
          </w:p>
        </w:tc>
        <w:tc>
          <w:tcPr>
            <w:tcW w:w="1170" w:type="dxa"/>
            <w:tcBorders>
              <w:top w:val="single" w:sz="4" w:space="0" w:color="000000"/>
              <w:left w:val="single" w:sz="4" w:space="0" w:color="000000"/>
              <w:bottom w:val="single" w:sz="4" w:space="0" w:color="000000"/>
              <w:right w:val="single" w:sz="4" w:space="0" w:color="000000"/>
            </w:tcBorders>
          </w:tcPr>
          <w:p w14:paraId="24D604F2"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4F3" w14:textId="77777777" w:rsidR="00245300" w:rsidRPr="00EC20A0" w:rsidRDefault="00245300">
            <w:pPr>
              <w:pStyle w:val="TableParagraph"/>
              <w:rPr>
                <w:sz w:val="20"/>
              </w:rPr>
            </w:pPr>
          </w:p>
        </w:tc>
      </w:tr>
      <w:tr w:rsidR="00245300" w:rsidRPr="00EC20A0" w14:paraId="24D604F8" w14:textId="77777777">
        <w:trPr>
          <w:trHeight w:val="879"/>
        </w:trPr>
        <w:tc>
          <w:tcPr>
            <w:tcW w:w="7060" w:type="dxa"/>
            <w:tcBorders>
              <w:top w:val="single" w:sz="4" w:space="0" w:color="000000"/>
              <w:bottom w:val="single" w:sz="4" w:space="0" w:color="000000"/>
              <w:right w:val="single" w:sz="4" w:space="0" w:color="000000"/>
            </w:tcBorders>
          </w:tcPr>
          <w:p w14:paraId="24D604F5" w14:textId="77777777" w:rsidR="00245300" w:rsidRPr="00EC20A0" w:rsidRDefault="00F17249">
            <w:pPr>
              <w:pStyle w:val="TableParagraph"/>
              <w:spacing w:before="60"/>
              <w:ind w:left="1357" w:right="138" w:hanging="358"/>
            </w:pPr>
            <w:r w:rsidRPr="00EC20A0">
              <w:t>2.</w:t>
            </w:r>
            <w:r w:rsidRPr="00EC20A0">
              <w:rPr>
                <w:spacing w:val="40"/>
              </w:rPr>
              <w:t xml:space="preserve"> </w:t>
            </w:r>
            <w:r w:rsidRPr="00EC20A0">
              <w:t>Evaluate</w:t>
            </w:r>
            <w:r w:rsidRPr="00EC20A0">
              <w:rPr>
                <w:spacing w:val="-4"/>
              </w:rPr>
              <w:t xml:space="preserve"> </w:t>
            </w:r>
            <w:r w:rsidRPr="00EC20A0">
              <w:t>the</w:t>
            </w:r>
            <w:r w:rsidRPr="00EC20A0">
              <w:rPr>
                <w:spacing w:val="-5"/>
              </w:rPr>
              <w:t xml:space="preserve"> </w:t>
            </w:r>
            <w:r w:rsidRPr="00EC20A0">
              <w:t>effectiveness</w:t>
            </w:r>
            <w:r w:rsidRPr="00EC20A0">
              <w:rPr>
                <w:spacing w:val="-4"/>
              </w:rPr>
              <w:t xml:space="preserve"> </w:t>
            </w:r>
            <w:r w:rsidRPr="00EC20A0">
              <w:t>of</w:t>
            </w:r>
            <w:r w:rsidRPr="00EC20A0">
              <w:rPr>
                <w:spacing w:val="-4"/>
              </w:rPr>
              <w:t xml:space="preserve"> </w:t>
            </w:r>
            <w:r w:rsidRPr="00EC20A0">
              <w:t>any</w:t>
            </w:r>
            <w:r w:rsidRPr="00EC20A0">
              <w:rPr>
                <w:spacing w:val="-4"/>
              </w:rPr>
              <w:t xml:space="preserve"> </w:t>
            </w:r>
            <w:r w:rsidRPr="00EC20A0">
              <w:t>additional</w:t>
            </w:r>
            <w:r w:rsidRPr="00EC20A0">
              <w:rPr>
                <w:spacing w:val="-4"/>
              </w:rPr>
              <w:t xml:space="preserve"> </w:t>
            </w:r>
            <w:r w:rsidRPr="00EC20A0">
              <w:t>controls</w:t>
            </w:r>
            <w:r w:rsidRPr="00EC20A0">
              <w:rPr>
                <w:spacing w:val="-4"/>
              </w:rPr>
              <w:t xml:space="preserve"> </w:t>
            </w:r>
            <w:r w:rsidRPr="00EC20A0">
              <w:t xml:space="preserve">and the effect of any reported weaknesses on the FFMIA </w:t>
            </w:r>
            <w:r w:rsidRPr="00EC20A0">
              <w:rPr>
                <w:spacing w:val="-2"/>
              </w:rPr>
              <w:t>assessment.</w:t>
            </w:r>
          </w:p>
        </w:tc>
        <w:tc>
          <w:tcPr>
            <w:tcW w:w="1170" w:type="dxa"/>
            <w:tcBorders>
              <w:top w:val="single" w:sz="4" w:space="0" w:color="000000"/>
              <w:left w:val="single" w:sz="4" w:space="0" w:color="000000"/>
              <w:bottom w:val="single" w:sz="4" w:space="0" w:color="000000"/>
              <w:right w:val="single" w:sz="4" w:space="0" w:color="000000"/>
            </w:tcBorders>
          </w:tcPr>
          <w:p w14:paraId="24D604F6"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4F7" w14:textId="77777777" w:rsidR="00245300" w:rsidRPr="00EC20A0" w:rsidRDefault="00245300">
            <w:pPr>
              <w:pStyle w:val="TableParagraph"/>
              <w:rPr>
                <w:sz w:val="20"/>
              </w:rPr>
            </w:pPr>
          </w:p>
        </w:tc>
      </w:tr>
      <w:tr w:rsidR="00245300" w:rsidRPr="00EC20A0" w14:paraId="24D604FC" w14:textId="77777777">
        <w:trPr>
          <w:trHeight w:val="1133"/>
        </w:trPr>
        <w:tc>
          <w:tcPr>
            <w:tcW w:w="7060" w:type="dxa"/>
            <w:tcBorders>
              <w:top w:val="single" w:sz="4" w:space="0" w:color="000000"/>
              <w:right w:val="single" w:sz="4" w:space="0" w:color="000000"/>
            </w:tcBorders>
          </w:tcPr>
          <w:p w14:paraId="24D604F9" w14:textId="77777777" w:rsidR="00245300" w:rsidRPr="00EC20A0" w:rsidRDefault="00F17249">
            <w:pPr>
              <w:pStyle w:val="TableParagraph"/>
              <w:spacing w:before="60"/>
              <w:ind w:left="1357" w:right="210" w:hanging="360"/>
            </w:pPr>
            <w:r w:rsidRPr="00EC20A0">
              <w:t>3.</w:t>
            </w:r>
            <w:r w:rsidRPr="00EC20A0">
              <w:rPr>
                <w:spacing w:val="80"/>
              </w:rPr>
              <w:t xml:space="preserve"> </w:t>
            </w:r>
            <w:r w:rsidRPr="00EC20A0">
              <w:t>Obtain an update on the</w:t>
            </w:r>
            <w:r w:rsidRPr="00EC20A0">
              <w:rPr>
                <w:spacing w:val="-1"/>
              </w:rPr>
              <w:t xml:space="preserve"> </w:t>
            </w:r>
            <w:r w:rsidRPr="00EC20A0">
              <w:t>status of the issues</w:t>
            </w:r>
            <w:r w:rsidRPr="00EC20A0">
              <w:rPr>
                <w:spacing w:val="-1"/>
              </w:rPr>
              <w:t xml:space="preserve"> </w:t>
            </w:r>
            <w:r w:rsidRPr="00EC20A0">
              <w:t>(include reviewing management’s corrective action) and document</w:t>
            </w:r>
            <w:r w:rsidRPr="00EC20A0">
              <w:rPr>
                <w:spacing w:val="-6"/>
              </w:rPr>
              <w:t xml:space="preserve"> </w:t>
            </w:r>
            <w:r w:rsidRPr="00EC20A0">
              <w:t>problems</w:t>
            </w:r>
            <w:r w:rsidRPr="00EC20A0">
              <w:rPr>
                <w:spacing w:val="-6"/>
              </w:rPr>
              <w:t xml:space="preserve"> </w:t>
            </w:r>
            <w:r w:rsidRPr="00EC20A0">
              <w:t>identified</w:t>
            </w:r>
            <w:r w:rsidRPr="00EC20A0">
              <w:rPr>
                <w:spacing w:val="-6"/>
              </w:rPr>
              <w:t xml:space="preserve"> </w:t>
            </w:r>
            <w:r w:rsidRPr="00EC20A0">
              <w:t>in</w:t>
            </w:r>
            <w:r w:rsidRPr="00EC20A0">
              <w:rPr>
                <w:spacing w:val="-6"/>
              </w:rPr>
              <w:t xml:space="preserve"> </w:t>
            </w:r>
            <w:r w:rsidRPr="00EC20A0">
              <w:t>the</w:t>
            </w:r>
            <w:r w:rsidRPr="00EC20A0">
              <w:rPr>
                <w:spacing w:val="-7"/>
              </w:rPr>
              <w:t xml:space="preserve"> </w:t>
            </w:r>
            <w:r w:rsidRPr="00EC20A0">
              <w:t>schedule</w:t>
            </w:r>
            <w:r w:rsidRPr="00EC20A0">
              <w:rPr>
                <w:spacing w:val="-6"/>
              </w:rPr>
              <w:t xml:space="preserve"> </w:t>
            </w:r>
            <w:r w:rsidRPr="00EC20A0">
              <w:t>in</w:t>
            </w:r>
            <w:r w:rsidRPr="00EC20A0">
              <w:rPr>
                <w:spacing w:val="-7"/>
              </w:rPr>
              <w:t xml:space="preserve"> </w:t>
            </w:r>
            <w:r w:rsidRPr="00EC20A0">
              <w:t>FAM 701 B.</w:t>
            </w:r>
          </w:p>
        </w:tc>
        <w:tc>
          <w:tcPr>
            <w:tcW w:w="1170" w:type="dxa"/>
            <w:tcBorders>
              <w:top w:val="single" w:sz="4" w:space="0" w:color="000000"/>
              <w:left w:val="single" w:sz="4" w:space="0" w:color="000000"/>
              <w:right w:val="single" w:sz="4" w:space="0" w:color="000000"/>
            </w:tcBorders>
          </w:tcPr>
          <w:p w14:paraId="24D604FA" w14:textId="77777777" w:rsidR="00245300" w:rsidRPr="00EC20A0" w:rsidRDefault="00245300">
            <w:pPr>
              <w:pStyle w:val="TableParagraph"/>
              <w:rPr>
                <w:sz w:val="20"/>
              </w:rPr>
            </w:pPr>
          </w:p>
        </w:tc>
        <w:tc>
          <w:tcPr>
            <w:tcW w:w="1249" w:type="dxa"/>
            <w:tcBorders>
              <w:top w:val="single" w:sz="4" w:space="0" w:color="000000"/>
              <w:left w:val="single" w:sz="4" w:space="0" w:color="000000"/>
            </w:tcBorders>
          </w:tcPr>
          <w:p w14:paraId="24D604FB" w14:textId="77777777" w:rsidR="00245300" w:rsidRPr="00EC20A0" w:rsidRDefault="00245300">
            <w:pPr>
              <w:pStyle w:val="TableParagraph"/>
              <w:rPr>
                <w:sz w:val="20"/>
              </w:rPr>
            </w:pPr>
          </w:p>
        </w:tc>
      </w:tr>
    </w:tbl>
    <w:p w14:paraId="24D604FD" w14:textId="77777777" w:rsidR="00245300" w:rsidRPr="00EC20A0" w:rsidRDefault="00F17249">
      <w:pPr>
        <w:pStyle w:val="BodyText"/>
        <w:spacing w:before="58"/>
        <w:rPr>
          <w:sz w:val="20"/>
        </w:rPr>
      </w:pPr>
      <w:r w:rsidRPr="00EC20A0">
        <w:rPr>
          <w:noProof/>
        </w:rPr>
        <mc:AlternateContent>
          <mc:Choice Requires="wps">
            <w:drawing>
              <wp:anchor distT="0" distB="0" distL="0" distR="0" simplePos="0" relativeHeight="487608832" behindDoc="1" locked="0" layoutInCell="1" allowOverlap="1" wp14:anchorId="24D62B07" wp14:editId="24D62B08">
                <wp:simplePos x="0" y="0"/>
                <wp:positionH relativeFrom="page">
                  <wp:posOffset>914400</wp:posOffset>
                </wp:positionH>
                <wp:positionV relativeFrom="paragraph">
                  <wp:posOffset>198253</wp:posOffset>
                </wp:positionV>
                <wp:extent cx="1828800" cy="571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D48439" id="Graphic 201" o:spid="_x0000_s1026" style="position:absolute;margin-left:1in;margin-top:15.6pt;width:2in;height:.4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" path="m1828800,l,,,5333r1828800,l1828800,xe" fillcolor="black" stroked="f">
                <v:path arrowok="t"/>
                <w10:wrap type="topAndBottom" anchorx="page"/>
              </v:shape>
            </w:pict>
          </mc:Fallback>
        </mc:AlternateContent>
      </w:r>
    </w:p>
    <w:p w14:paraId="24D604FE" w14:textId="77777777" w:rsidR="00245300" w:rsidRPr="00EC20A0" w:rsidRDefault="00F17249">
      <w:pPr>
        <w:spacing w:before="200"/>
        <w:ind w:left="420"/>
        <w:rPr>
          <w:sz w:val="18"/>
        </w:rPr>
      </w:pPr>
      <w:bookmarkStart w:id="147" w:name="_bookmark60"/>
      <w:bookmarkEnd w:id="147"/>
      <w:r w:rsidRPr="00EC20A0">
        <w:rPr>
          <w:position w:val="7"/>
          <w:sz w:val="14"/>
        </w:rPr>
        <w:t>15</w:t>
      </w:r>
      <w:r w:rsidRPr="00EC20A0">
        <w:rPr>
          <w:sz w:val="18"/>
        </w:rPr>
        <w:t>FISMA</w:t>
      </w:r>
      <w:r w:rsidRPr="00EC20A0">
        <w:rPr>
          <w:spacing w:val="-5"/>
          <w:sz w:val="18"/>
        </w:rPr>
        <w:t xml:space="preserve"> </w:t>
      </w:r>
      <w:r w:rsidRPr="00EC20A0">
        <w:rPr>
          <w:sz w:val="18"/>
        </w:rPr>
        <w:t>requires</w:t>
      </w:r>
      <w:r w:rsidRPr="00EC20A0">
        <w:rPr>
          <w:spacing w:val="-3"/>
          <w:sz w:val="18"/>
        </w:rPr>
        <w:t xml:space="preserve"> </w:t>
      </w:r>
      <w:r w:rsidRPr="00EC20A0">
        <w:rPr>
          <w:sz w:val="18"/>
        </w:rPr>
        <w:t>the</w:t>
      </w:r>
      <w:r w:rsidRPr="00EC20A0">
        <w:rPr>
          <w:spacing w:val="-3"/>
          <w:sz w:val="18"/>
        </w:rPr>
        <w:t xml:space="preserve"> </w:t>
      </w:r>
      <w:r w:rsidRPr="00EC20A0">
        <w:rPr>
          <w:sz w:val="18"/>
        </w:rPr>
        <w:t>annual</w:t>
      </w:r>
      <w:r w:rsidRPr="00EC20A0">
        <w:rPr>
          <w:spacing w:val="-3"/>
          <w:sz w:val="18"/>
        </w:rPr>
        <w:t xml:space="preserve"> </w:t>
      </w:r>
      <w:r w:rsidRPr="00EC20A0">
        <w:rPr>
          <w:sz w:val="18"/>
        </w:rPr>
        <w:t>report</w:t>
      </w:r>
      <w:r w:rsidRPr="00EC20A0">
        <w:rPr>
          <w:spacing w:val="-3"/>
          <w:sz w:val="18"/>
        </w:rPr>
        <w:t xml:space="preserve"> </w:t>
      </w:r>
      <w:r w:rsidRPr="00EC20A0">
        <w:rPr>
          <w:sz w:val="18"/>
        </w:rPr>
        <w:t>on</w:t>
      </w:r>
      <w:r w:rsidRPr="00EC20A0">
        <w:rPr>
          <w:spacing w:val="-3"/>
          <w:sz w:val="18"/>
        </w:rPr>
        <w:t xml:space="preserve"> </w:t>
      </w:r>
      <w:r w:rsidRPr="00EC20A0">
        <w:rPr>
          <w:sz w:val="18"/>
        </w:rPr>
        <w:t>the</w:t>
      </w:r>
      <w:r w:rsidRPr="00EC20A0">
        <w:rPr>
          <w:spacing w:val="-4"/>
          <w:sz w:val="18"/>
        </w:rPr>
        <w:t xml:space="preserve"> </w:t>
      </w:r>
      <w:r w:rsidRPr="00EC20A0">
        <w:rPr>
          <w:sz w:val="18"/>
        </w:rPr>
        <w:t>effectiveness</w:t>
      </w:r>
      <w:r w:rsidRPr="00EC20A0">
        <w:rPr>
          <w:spacing w:val="-2"/>
          <w:sz w:val="18"/>
        </w:rPr>
        <w:t xml:space="preserve"> </w:t>
      </w:r>
      <w:r w:rsidRPr="00EC20A0">
        <w:rPr>
          <w:sz w:val="18"/>
        </w:rPr>
        <w:t>of</w:t>
      </w:r>
      <w:r w:rsidRPr="00EC20A0">
        <w:rPr>
          <w:spacing w:val="-3"/>
          <w:sz w:val="18"/>
        </w:rPr>
        <w:t xml:space="preserve"> </w:t>
      </w:r>
      <w:r w:rsidRPr="00EC20A0">
        <w:rPr>
          <w:sz w:val="18"/>
        </w:rPr>
        <w:t>information</w:t>
      </w:r>
      <w:r w:rsidRPr="00EC20A0">
        <w:rPr>
          <w:spacing w:val="-4"/>
          <w:sz w:val="18"/>
        </w:rPr>
        <w:t xml:space="preserve"> </w:t>
      </w:r>
      <w:r w:rsidRPr="00EC20A0">
        <w:rPr>
          <w:sz w:val="18"/>
        </w:rPr>
        <w:t>security</w:t>
      </w:r>
      <w:r w:rsidRPr="00EC20A0">
        <w:rPr>
          <w:spacing w:val="-2"/>
          <w:sz w:val="18"/>
        </w:rPr>
        <w:t xml:space="preserve"> </w:t>
      </w:r>
      <w:r w:rsidRPr="00EC20A0">
        <w:rPr>
          <w:sz w:val="18"/>
        </w:rPr>
        <w:t>policies</w:t>
      </w:r>
      <w:r w:rsidRPr="00EC20A0">
        <w:rPr>
          <w:spacing w:val="-3"/>
          <w:sz w:val="18"/>
        </w:rPr>
        <w:t xml:space="preserve"> </w:t>
      </w:r>
      <w:r w:rsidRPr="00EC20A0">
        <w:rPr>
          <w:sz w:val="18"/>
        </w:rPr>
        <w:t>and</w:t>
      </w:r>
      <w:r w:rsidRPr="00EC20A0">
        <w:rPr>
          <w:spacing w:val="-1"/>
          <w:sz w:val="18"/>
        </w:rPr>
        <w:t xml:space="preserve"> </w:t>
      </w:r>
      <w:r w:rsidRPr="00EC20A0">
        <w:rPr>
          <w:spacing w:val="-2"/>
          <w:sz w:val="18"/>
        </w:rPr>
        <w:t>practices.</w:t>
      </w:r>
    </w:p>
    <w:p w14:paraId="24D604FF" w14:textId="77777777" w:rsidR="00245300" w:rsidRPr="00EC20A0" w:rsidRDefault="00245300">
      <w:pPr>
        <w:rPr>
          <w:sz w:val="18"/>
        </w:rPr>
        <w:sectPr w:rsidR="00245300" w:rsidRPr="00EC20A0">
          <w:pgSz w:w="12240" w:h="15840"/>
          <w:pgMar w:top="1340" w:right="940" w:bottom="940" w:left="1020" w:header="721" w:footer="757" w:gutter="0"/>
          <w:cols w:space="720"/>
        </w:sectPr>
      </w:pPr>
    </w:p>
    <w:p w14:paraId="24D60500" w14:textId="77777777" w:rsidR="00245300" w:rsidRPr="00EC20A0" w:rsidRDefault="00245300">
      <w:pPr>
        <w:pStyle w:val="BodyText"/>
        <w:spacing w:before="4"/>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506" w14:textId="77777777">
        <w:trPr>
          <w:trHeight w:val="746"/>
        </w:trPr>
        <w:tc>
          <w:tcPr>
            <w:tcW w:w="7060" w:type="dxa"/>
            <w:tcBorders>
              <w:right w:val="single" w:sz="4" w:space="0" w:color="000000"/>
            </w:tcBorders>
          </w:tcPr>
          <w:p w14:paraId="24D60501" w14:textId="77777777" w:rsidR="00245300" w:rsidRPr="00EC20A0" w:rsidRDefault="00245300">
            <w:pPr>
              <w:pStyle w:val="TableParagraph"/>
              <w:spacing w:before="120"/>
            </w:pPr>
          </w:p>
          <w:p w14:paraId="24D60502" w14:textId="77777777" w:rsidR="00245300" w:rsidRPr="00EC20A0" w:rsidRDefault="00F17249">
            <w:pPr>
              <w:pStyle w:val="TableParagraph"/>
              <w:spacing w:before="1"/>
              <w:ind w:left="97"/>
              <w:rPr>
                <w:b/>
              </w:rPr>
            </w:pPr>
            <w:r w:rsidRPr="00EC20A0">
              <w:rPr>
                <w:b/>
                <w:spacing w:val="-2"/>
              </w:rPr>
              <w:t>Procedure</w:t>
            </w:r>
          </w:p>
        </w:tc>
        <w:tc>
          <w:tcPr>
            <w:tcW w:w="1170" w:type="dxa"/>
            <w:tcBorders>
              <w:left w:val="single" w:sz="4" w:space="0" w:color="000000"/>
              <w:right w:val="single" w:sz="4" w:space="0" w:color="000000"/>
            </w:tcBorders>
          </w:tcPr>
          <w:p w14:paraId="24D60503"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504" w14:textId="77777777" w:rsidR="00245300" w:rsidRPr="00EC20A0" w:rsidRDefault="00245300">
            <w:pPr>
              <w:pStyle w:val="TableParagraph"/>
              <w:spacing w:before="120"/>
            </w:pPr>
          </w:p>
          <w:p w14:paraId="24D60505" w14:textId="77777777" w:rsidR="00245300" w:rsidRPr="00EC20A0" w:rsidRDefault="00F17249">
            <w:pPr>
              <w:pStyle w:val="TableParagraph"/>
              <w:spacing w:before="1"/>
              <w:ind w:left="107"/>
              <w:rPr>
                <w:b/>
              </w:rPr>
            </w:pPr>
            <w:r w:rsidRPr="00EC20A0">
              <w:rPr>
                <w:b/>
              </w:rPr>
              <w:t>Doc.</w:t>
            </w:r>
            <w:r w:rsidRPr="00EC20A0">
              <w:rPr>
                <w:b/>
                <w:spacing w:val="-6"/>
              </w:rPr>
              <w:t xml:space="preserve"> </w:t>
            </w:r>
            <w:r w:rsidRPr="00EC20A0">
              <w:rPr>
                <w:b/>
                <w:spacing w:val="-4"/>
              </w:rPr>
              <w:t>ref.</w:t>
            </w:r>
          </w:p>
        </w:tc>
      </w:tr>
      <w:tr w:rsidR="00245300" w:rsidRPr="00EC20A0" w14:paraId="24D6050A" w14:textId="77777777">
        <w:trPr>
          <w:trHeight w:val="1484"/>
        </w:trPr>
        <w:tc>
          <w:tcPr>
            <w:tcW w:w="7060" w:type="dxa"/>
            <w:tcBorders>
              <w:bottom w:val="single" w:sz="4" w:space="0" w:color="000000"/>
              <w:right w:val="single" w:sz="4" w:space="0" w:color="000000"/>
            </w:tcBorders>
          </w:tcPr>
          <w:p w14:paraId="24D60507" w14:textId="77777777" w:rsidR="00245300" w:rsidRPr="00EC20A0" w:rsidRDefault="00F17249">
            <w:pPr>
              <w:pStyle w:val="TableParagraph"/>
              <w:spacing w:before="100"/>
              <w:ind w:left="976" w:right="138" w:hanging="360"/>
            </w:pPr>
            <w:r w:rsidRPr="00EC20A0">
              <w:t>E.</w:t>
            </w:r>
            <w:r w:rsidRPr="00EC20A0">
              <w:rPr>
                <w:spacing w:val="80"/>
              </w:rPr>
              <w:t xml:space="preserve"> </w:t>
            </w:r>
            <w:r w:rsidRPr="00EC20A0">
              <w:t>Read</w:t>
            </w:r>
            <w:r w:rsidRPr="00EC20A0">
              <w:rPr>
                <w:spacing w:val="-5"/>
              </w:rPr>
              <w:t xml:space="preserve"> </w:t>
            </w:r>
            <w:r w:rsidRPr="00EC20A0">
              <w:t>the</w:t>
            </w:r>
            <w:r w:rsidRPr="00EC20A0">
              <w:rPr>
                <w:spacing w:val="-5"/>
              </w:rPr>
              <w:t xml:space="preserve"> </w:t>
            </w:r>
            <w:r w:rsidRPr="00EC20A0">
              <w:t>cycle</w:t>
            </w:r>
            <w:r w:rsidRPr="00EC20A0">
              <w:rPr>
                <w:spacing w:val="-5"/>
              </w:rPr>
              <w:t xml:space="preserve"> </w:t>
            </w:r>
            <w:r w:rsidRPr="00EC20A0">
              <w:t>memorandums</w:t>
            </w:r>
            <w:r w:rsidRPr="00EC20A0">
              <w:rPr>
                <w:spacing w:val="-4"/>
              </w:rPr>
              <w:t xml:space="preserve"> </w:t>
            </w:r>
            <w:r w:rsidRPr="00EC20A0">
              <w:t>or</w:t>
            </w:r>
            <w:r w:rsidRPr="00EC20A0">
              <w:rPr>
                <w:spacing w:val="-5"/>
              </w:rPr>
              <w:t xml:space="preserve"> </w:t>
            </w:r>
            <w:r w:rsidRPr="00EC20A0">
              <w:t>other</w:t>
            </w:r>
            <w:r w:rsidRPr="00EC20A0">
              <w:rPr>
                <w:spacing w:val="-5"/>
              </w:rPr>
              <w:t xml:space="preserve"> </w:t>
            </w:r>
            <w:r w:rsidRPr="00EC20A0">
              <w:t>equivalent</w:t>
            </w:r>
            <w:r w:rsidRPr="00EC20A0">
              <w:rPr>
                <w:spacing w:val="-5"/>
              </w:rPr>
              <w:t xml:space="preserve"> </w:t>
            </w:r>
            <w:r w:rsidRPr="00EC20A0">
              <w:t xml:space="preserve">narratives for each of the audit cycles </w:t>
            </w:r>
            <w:r w:rsidRPr="00EC20A0">
              <w:t>completed for the current-year audit. Document issues (include reviewing management’s corrective action) related to FFMIA compliance in the schedule in FAM 701 B.</w:t>
            </w:r>
          </w:p>
        </w:tc>
        <w:tc>
          <w:tcPr>
            <w:tcW w:w="1170" w:type="dxa"/>
            <w:tcBorders>
              <w:left w:val="single" w:sz="4" w:space="0" w:color="000000"/>
              <w:bottom w:val="single" w:sz="4" w:space="0" w:color="000000"/>
              <w:right w:val="single" w:sz="4" w:space="0" w:color="000000"/>
            </w:tcBorders>
          </w:tcPr>
          <w:p w14:paraId="24D60508" w14:textId="77777777" w:rsidR="00245300" w:rsidRPr="00EC20A0" w:rsidRDefault="00245300">
            <w:pPr>
              <w:pStyle w:val="TableParagraph"/>
              <w:rPr>
                <w:sz w:val="20"/>
              </w:rPr>
            </w:pPr>
          </w:p>
        </w:tc>
        <w:tc>
          <w:tcPr>
            <w:tcW w:w="1249" w:type="dxa"/>
            <w:tcBorders>
              <w:left w:val="single" w:sz="4" w:space="0" w:color="000000"/>
              <w:bottom w:val="single" w:sz="4" w:space="0" w:color="000000"/>
            </w:tcBorders>
          </w:tcPr>
          <w:p w14:paraId="24D60509" w14:textId="77777777" w:rsidR="00245300" w:rsidRPr="00EC20A0" w:rsidRDefault="00245300">
            <w:pPr>
              <w:pStyle w:val="TableParagraph"/>
              <w:rPr>
                <w:sz w:val="20"/>
              </w:rPr>
            </w:pPr>
          </w:p>
        </w:tc>
      </w:tr>
      <w:tr w:rsidR="00245300" w:rsidRPr="00EC20A0" w14:paraId="24D6050E" w14:textId="77777777">
        <w:trPr>
          <w:trHeight w:val="2263"/>
        </w:trPr>
        <w:tc>
          <w:tcPr>
            <w:tcW w:w="7060" w:type="dxa"/>
            <w:tcBorders>
              <w:top w:val="single" w:sz="4" w:space="0" w:color="000000"/>
              <w:bottom w:val="single" w:sz="4" w:space="0" w:color="000000"/>
              <w:right w:val="single" w:sz="4" w:space="0" w:color="000000"/>
            </w:tcBorders>
          </w:tcPr>
          <w:p w14:paraId="24D6050B" w14:textId="77777777" w:rsidR="00245300" w:rsidRPr="00EC20A0" w:rsidRDefault="00F17249">
            <w:pPr>
              <w:pStyle w:val="TableParagraph"/>
              <w:spacing w:before="120"/>
              <w:ind w:left="959" w:right="138" w:hanging="360"/>
            </w:pPr>
            <w:r w:rsidRPr="00EC20A0">
              <w:t>F.</w:t>
            </w:r>
            <w:r w:rsidRPr="00EC20A0">
              <w:rPr>
                <w:spacing w:val="80"/>
              </w:rPr>
              <w:t xml:space="preserve"> </w:t>
            </w:r>
            <w:r w:rsidRPr="00EC20A0">
              <w:t>Obtain the agency’s risk-based and evidence-based assessment</w:t>
            </w:r>
            <w:r w:rsidRPr="00EC20A0">
              <w:rPr>
                <w:spacing w:val="-7"/>
              </w:rPr>
              <w:t xml:space="preserve"> </w:t>
            </w:r>
            <w:r w:rsidRPr="00EC20A0">
              <w:t>conducted</w:t>
            </w:r>
            <w:r w:rsidRPr="00EC20A0">
              <w:rPr>
                <w:spacing w:val="-7"/>
              </w:rPr>
              <w:t xml:space="preserve"> </w:t>
            </w:r>
            <w:r w:rsidRPr="00EC20A0">
              <w:t>on</w:t>
            </w:r>
            <w:r w:rsidRPr="00EC20A0">
              <w:rPr>
                <w:spacing w:val="-6"/>
              </w:rPr>
              <w:t xml:space="preserve"> </w:t>
            </w:r>
            <w:r w:rsidRPr="00EC20A0">
              <w:t>its</w:t>
            </w:r>
            <w:r w:rsidRPr="00EC20A0">
              <w:rPr>
                <w:spacing w:val="-6"/>
              </w:rPr>
              <w:t xml:space="preserve"> </w:t>
            </w:r>
            <w:r w:rsidRPr="00EC20A0">
              <w:t>financial</w:t>
            </w:r>
            <w:r w:rsidRPr="00EC20A0">
              <w:rPr>
                <w:spacing w:val="-6"/>
              </w:rPr>
              <w:t xml:space="preserve"> </w:t>
            </w:r>
            <w:r w:rsidRPr="00EC20A0">
              <w:t>management</w:t>
            </w:r>
            <w:r w:rsidRPr="00EC20A0">
              <w:rPr>
                <w:spacing w:val="-6"/>
              </w:rPr>
              <w:t xml:space="preserve"> </w:t>
            </w:r>
            <w:r w:rsidRPr="00EC20A0">
              <w:t>systems against the FFMIA Compliance Determination Framework in appendix D to OMB Circular No. A-123, and all supporting documentation of financial systems and financial portions of mixed systems. Supporting documentation may include criteria for consideration of low, medium, and high risk and test work that the agency performed.</w:t>
            </w:r>
          </w:p>
        </w:tc>
        <w:tc>
          <w:tcPr>
            <w:tcW w:w="1170" w:type="dxa"/>
            <w:tcBorders>
              <w:top w:val="single" w:sz="4" w:space="0" w:color="000000"/>
              <w:left w:val="single" w:sz="4" w:space="0" w:color="000000"/>
              <w:bottom w:val="single" w:sz="4" w:space="0" w:color="000000"/>
              <w:right w:val="single" w:sz="4" w:space="0" w:color="000000"/>
            </w:tcBorders>
          </w:tcPr>
          <w:p w14:paraId="24D6050C"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0D" w14:textId="77777777" w:rsidR="00245300" w:rsidRPr="00EC20A0" w:rsidRDefault="00245300">
            <w:pPr>
              <w:pStyle w:val="TableParagraph"/>
              <w:rPr>
                <w:sz w:val="20"/>
              </w:rPr>
            </w:pPr>
          </w:p>
        </w:tc>
      </w:tr>
      <w:tr w:rsidR="00245300" w:rsidRPr="00EC20A0" w14:paraId="24D60512" w14:textId="77777777">
        <w:trPr>
          <w:trHeight w:val="1757"/>
        </w:trPr>
        <w:tc>
          <w:tcPr>
            <w:tcW w:w="7060" w:type="dxa"/>
            <w:tcBorders>
              <w:top w:val="single" w:sz="4" w:space="0" w:color="000000"/>
              <w:bottom w:val="single" w:sz="4" w:space="0" w:color="000000"/>
              <w:right w:val="single" w:sz="4" w:space="0" w:color="000000"/>
            </w:tcBorders>
          </w:tcPr>
          <w:p w14:paraId="24D6050F" w14:textId="77777777" w:rsidR="00245300" w:rsidRPr="00EC20A0" w:rsidRDefault="00F17249">
            <w:pPr>
              <w:pStyle w:val="TableParagraph"/>
              <w:spacing w:before="120"/>
              <w:ind w:left="1357" w:right="138" w:hanging="360"/>
            </w:pPr>
            <w:r w:rsidRPr="00EC20A0">
              <w:t>1.</w:t>
            </w:r>
            <w:r w:rsidRPr="00EC20A0">
              <w:rPr>
                <w:spacing w:val="80"/>
              </w:rPr>
              <w:t xml:space="preserve"> </w:t>
            </w:r>
            <w:r w:rsidRPr="00EC20A0">
              <w:t xml:space="preserve">Determine whether the agency’s assessment of its financial management systems provides a reasonable basis for determining compliance with the goals </w:t>
            </w:r>
            <w:r w:rsidRPr="00EC20A0">
              <w:t>and compliance indicators as described in the FFMIA Compliance</w:t>
            </w:r>
            <w:r w:rsidRPr="00EC20A0">
              <w:rPr>
                <w:spacing w:val="-8"/>
              </w:rPr>
              <w:t xml:space="preserve"> </w:t>
            </w:r>
            <w:r w:rsidRPr="00EC20A0">
              <w:t>Determination</w:t>
            </w:r>
            <w:r w:rsidRPr="00EC20A0">
              <w:rPr>
                <w:spacing w:val="-8"/>
              </w:rPr>
              <w:t xml:space="preserve"> </w:t>
            </w:r>
            <w:r w:rsidRPr="00EC20A0">
              <w:t>Framework</w:t>
            </w:r>
            <w:r w:rsidRPr="00EC20A0">
              <w:rPr>
                <w:spacing w:val="-8"/>
              </w:rPr>
              <w:t xml:space="preserve"> </w:t>
            </w:r>
            <w:r w:rsidRPr="00EC20A0">
              <w:t>in</w:t>
            </w:r>
            <w:r w:rsidRPr="00EC20A0">
              <w:rPr>
                <w:spacing w:val="-8"/>
              </w:rPr>
              <w:t xml:space="preserve"> </w:t>
            </w:r>
            <w:r w:rsidRPr="00EC20A0">
              <w:t>OMB</w:t>
            </w:r>
            <w:r w:rsidRPr="00EC20A0">
              <w:rPr>
                <w:spacing w:val="-8"/>
              </w:rPr>
              <w:t xml:space="preserve"> </w:t>
            </w:r>
            <w:r w:rsidRPr="00EC20A0">
              <w:t>Circular No. A-123, appendix D.</w:t>
            </w:r>
          </w:p>
        </w:tc>
        <w:tc>
          <w:tcPr>
            <w:tcW w:w="1170" w:type="dxa"/>
            <w:tcBorders>
              <w:top w:val="single" w:sz="4" w:space="0" w:color="000000"/>
              <w:left w:val="single" w:sz="4" w:space="0" w:color="000000"/>
              <w:bottom w:val="single" w:sz="4" w:space="0" w:color="000000"/>
              <w:right w:val="single" w:sz="4" w:space="0" w:color="000000"/>
            </w:tcBorders>
          </w:tcPr>
          <w:p w14:paraId="24D60510"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11" w14:textId="77777777" w:rsidR="00245300" w:rsidRPr="00EC20A0" w:rsidRDefault="00245300">
            <w:pPr>
              <w:pStyle w:val="TableParagraph"/>
              <w:rPr>
                <w:sz w:val="20"/>
              </w:rPr>
            </w:pPr>
          </w:p>
        </w:tc>
      </w:tr>
      <w:tr w:rsidR="00245300" w:rsidRPr="00EC20A0" w14:paraId="24D60516" w14:textId="77777777">
        <w:trPr>
          <w:trHeight w:val="1252"/>
        </w:trPr>
        <w:tc>
          <w:tcPr>
            <w:tcW w:w="7060" w:type="dxa"/>
            <w:tcBorders>
              <w:top w:val="single" w:sz="4" w:space="0" w:color="000000"/>
              <w:bottom w:val="single" w:sz="4" w:space="0" w:color="000000"/>
              <w:right w:val="single" w:sz="4" w:space="0" w:color="000000"/>
            </w:tcBorders>
          </w:tcPr>
          <w:p w14:paraId="24D60513" w14:textId="77777777" w:rsidR="00245300" w:rsidRPr="00EC20A0" w:rsidRDefault="00F17249">
            <w:pPr>
              <w:pStyle w:val="TableParagraph"/>
              <w:spacing w:before="120"/>
              <w:ind w:left="1357" w:right="210" w:hanging="360"/>
            </w:pPr>
            <w:r w:rsidRPr="00EC20A0">
              <w:t>2.</w:t>
            </w:r>
            <w:r w:rsidRPr="00EC20A0">
              <w:rPr>
                <w:spacing w:val="80"/>
              </w:rPr>
              <w:t xml:space="preserve"> </w:t>
            </w:r>
            <w:r w:rsidRPr="00EC20A0">
              <w:t>Obtain</w:t>
            </w:r>
            <w:r w:rsidRPr="00EC20A0">
              <w:rPr>
                <w:spacing w:val="-5"/>
              </w:rPr>
              <w:t xml:space="preserve"> </w:t>
            </w:r>
            <w:r w:rsidRPr="00EC20A0">
              <w:t>background</w:t>
            </w:r>
            <w:r w:rsidRPr="00EC20A0">
              <w:rPr>
                <w:spacing w:val="-5"/>
              </w:rPr>
              <w:t xml:space="preserve"> </w:t>
            </w:r>
            <w:r w:rsidRPr="00EC20A0">
              <w:t>on</w:t>
            </w:r>
            <w:r w:rsidRPr="00EC20A0">
              <w:rPr>
                <w:spacing w:val="-5"/>
              </w:rPr>
              <w:t xml:space="preserve"> </w:t>
            </w:r>
            <w:r w:rsidRPr="00EC20A0">
              <w:t>agency</w:t>
            </w:r>
            <w:r w:rsidRPr="00EC20A0">
              <w:rPr>
                <w:spacing w:val="-5"/>
              </w:rPr>
              <w:t xml:space="preserve"> </w:t>
            </w:r>
            <w:r w:rsidRPr="00EC20A0">
              <w:t>management</w:t>
            </w:r>
            <w:r w:rsidRPr="00EC20A0">
              <w:rPr>
                <w:spacing w:val="-5"/>
              </w:rPr>
              <w:t xml:space="preserve"> </w:t>
            </w:r>
            <w:r w:rsidRPr="00EC20A0">
              <w:t xml:space="preserve">performing its assessment and determine whether management officials have </w:t>
            </w:r>
            <w:r w:rsidRPr="00EC20A0">
              <w:t>reasonable expertise to perform the assessment</w:t>
            </w:r>
            <w:r w:rsidRPr="00EC20A0">
              <w:rPr>
                <w:spacing w:val="-9"/>
              </w:rPr>
              <w:t xml:space="preserve"> </w:t>
            </w:r>
            <w:r w:rsidRPr="00EC20A0">
              <w:t>on</w:t>
            </w:r>
            <w:r w:rsidRPr="00EC20A0">
              <w:rPr>
                <w:spacing w:val="-8"/>
              </w:rPr>
              <w:t xml:space="preserve"> </w:t>
            </w:r>
            <w:r w:rsidRPr="00EC20A0">
              <w:t>agency</w:t>
            </w:r>
            <w:r w:rsidRPr="00EC20A0">
              <w:rPr>
                <w:spacing w:val="-8"/>
              </w:rPr>
              <w:t xml:space="preserve"> </w:t>
            </w:r>
            <w:r w:rsidRPr="00EC20A0">
              <w:t>financial</w:t>
            </w:r>
            <w:r w:rsidRPr="00EC20A0">
              <w:rPr>
                <w:spacing w:val="-8"/>
              </w:rPr>
              <w:t xml:space="preserve"> </w:t>
            </w:r>
            <w:r w:rsidRPr="00EC20A0">
              <w:t>management</w:t>
            </w:r>
            <w:r w:rsidRPr="00EC20A0">
              <w:rPr>
                <w:spacing w:val="-8"/>
              </w:rPr>
              <w:t xml:space="preserve"> </w:t>
            </w:r>
            <w:r w:rsidRPr="00EC20A0">
              <w:t>systems.</w:t>
            </w:r>
          </w:p>
        </w:tc>
        <w:tc>
          <w:tcPr>
            <w:tcW w:w="1170" w:type="dxa"/>
            <w:tcBorders>
              <w:top w:val="single" w:sz="4" w:space="0" w:color="000000"/>
              <w:left w:val="single" w:sz="4" w:space="0" w:color="000000"/>
              <w:bottom w:val="single" w:sz="4" w:space="0" w:color="000000"/>
              <w:right w:val="single" w:sz="4" w:space="0" w:color="000000"/>
            </w:tcBorders>
          </w:tcPr>
          <w:p w14:paraId="24D60514"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15" w14:textId="77777777" w:rsidR="00245300" w:rsidRPr="00EC20A0" w:rsidRDefault="00245300">
            <w:pPr>
              <w:pStyle w:val="TableParagraph"/>
              <w:rPr>
                <w:sz w:val="20"/>
              </w:rPr>
            </w:pPr>
          </w:p>
        </w:tc>
      </w:tr>
      <w:tr w:rsidR="00245300" w:rsidRPr="00EC20A0" w14:paraId="24D6051A" w14:textId="77777777">
        <w:trPr>
          <w:trHeight w:val="2264"/>
        </w:trPr>
        <w:tc>
          <w:tcPr>
            <w:tcW w:w="7060" w:type="dxa"/>
            <w:tcBorders>
              <w:top w:val="single" w:sz="4" w:space="0" w:color="000000"/>
              <w:bottom w:val="single" w:sz="4" w:space="0" w:color="000000"/>
              <w:right w:val="single" w:sz="4" w:space="0" w:color="000000"/>
            </w:tcBorders>
          </w:tcPr>
          <w:p w14:paraId="24D60517" w14:textId="77777777" w:rsidR="00245300" w:rsidRPr="00EC20A0" w:rsidRDefault="00F17249">
            <w:pPr>
              <w:pStyle w:val="TableParagraph"/>
              <w:spacing w:before="120"/>
              <w:ind w:left="1357" w:right="138" w:hanging="360"/>
            </w:pPr>
            <w:r w:rsidRPr="00EC20A0">
              <w:t>3.</w:t>
            </w:r>
            <w:r w:rsidRPr="00EC20A0">
              <w:rPr>
                <w:spacing w:val="80"/>
              </w:rPr>
              <w:t xml:space="preserve"> </w:t>
            </w:r>
            <w:r w:rsidRPr="00EC20A0">
              <w:t>Using</w:t>
            </w:r>
            <w:r w:rsidRPr="00EC20A0">
              <w:rPr>
                <w:spacing w:val="-5"/>
              </w:rPr>
              <w:t xml:space="preserve"> </w:t>
            </w:r>
            <w:r w:rsidRPr="00EC20A0">
              <w:t>the</w:t>
            </w:r>
            <w:r w:rsidRPr="00EC20A0">
              <w:rPr>
                <w:spacing w:val="-5"/>
              </w:rPr>
              <w:t xml:space="preserve"> </w:t>
            </w:r>
            <w:r w:rsidRPr="00EC20A0">
              <w:t>FFMIA</w:t>
            </w:r>
            <w:r w:rsidRPr="00EC20A0">
              <w:rPr>
                <w:spacing w:val="-5"/>
              </w:rPr>
              <w:t xml:space="preserve"> </w:t>
            </w:r>
            <w:r w:rsidRPr="00EC20A0">
              <w:t>Compliance</w:t>
            </w:r>
            <w:r w:rsidRPr="00EC20A0">
              <w:rPr>
                <w:spacing w:val="-5"/>
              </w:rPr>
              <w:t xml:space="preserve"> </w:t>
            </w:r>
            <w:r w:rsidRPr="00EC20A0">
              <w:t>Determination</w:t>
            </w:r>
            <w:r w:rsidRPr="00EC20A0">
              <w:rPr>
                <w:spacing w:val="-5"/>
              </w:rPr>
              <w:t xml:space="preserve"> </w:t>
            </w:r>
            <w:r w:rsidRPr="00EC20A0">
              <w:t xml:space="preserve">Framework in appendix D to OMB Circular No. A-123, review a selection of management’s assessments of individual </w:t>
            </w:r>
            <w:r w:rsidRPr="00EC20A0">
              <w:t>financial</w:t>
            </w:r>
            <w:r w:rsidRPr="00EC20A0">
              <w:rPr>
                <w:spacing w:val="-7"/>
              </w:rPr>
              <w:t xml:space="preserve"> </w:t>
            </w:r>
            <w:r w:rsidRPr="00EC20A0">
              <w:t>management</w:t>
            </w:r>
            <w:r w:rsidRPr="00EC20A0">
              <w:rPr>
                <w:spacing w:val="-7"/>
              </w:rPr>
              <w:t xml:space="preserve"> </w:t>
            </w:r>
            <w:r w:rsidRPr="00EC20A0">
              <w:t>systems,</w:t>
            </w:r>
            <w:r w:rsidRPr="00EC20A0">
              <w:rPr>
                <w:spacing w:val="-7"/>
              </w:rPr>
              <w:t xml:space="preserve"> </w:t>
            </w:r>
            <w:r w:rsidRPr="00EC20A0">
              <w:t>sufficient</w:t>
            </w:r>
            <w:r w:rsidRPr="00EC20A0">
              <w:rPr>
                <w:spacing w:val="-7"/>
              </w:rPr>
              <w:t xml:space="preserve"> </w:t>
            </w:r>
            <w:r w:rsidRPr="00EC20A0">
              <w:t>to</w:t>
            </w:r>
            <w:r w:rsidRPr="00EC20A0">
              <w:rPr>
                <w:spacing w:val="-7"/>
              </w:rPr>
              <w:t xml:space="preserve"> </w:t>
            </w:r>
            <w:r w:rsidRPr="00EC20A0">
              <w:t>determine</w:t>
            </w:r>
            <w:r w:rsidRPr="00EC20A0">
              <w:rPr>
                <w:spacing w:val="-7"/>
              </w:rPr>
              <w:t xml:space="preserve"> </w:t>
            </w:r>
            <w:r w:rsidRPr="00EC20A0">
              <w:t>if management’s FFMIA assessment process appears reasonable and is supported by the information. Document</w:t>
            </w:r>
            <w:r w:rsidRPr="00EC20A0">
              <w:rPr>
                <w:spacing w:val="-3"/>
              </w:rPr>
              <w:t xml:space="preserve"> </w:t>
            </w:r>
            <w:r w:rsidRPr="00EC20A0">
              <w:t>issues</w:t>
            </w:r>
            <w:r w:rsidRPr="00EC20A0">
              <w:rPr>
                <w:spacing w:val="-3"/>
              </w:rPr>
              <w:t xml:space="preserve"> </w:t>
            </w:r>
            <w:r w:rsidRPr="00EC20A0">
              <w:t>regarding</w:t>
            </w:r>
            <w:r w:rsidRPr="00EC20A0">
              <w:rPr>
                <w:spacing w:val="-3"/>
              </w:rPr>
              <w:t xml:space="preserve"> </w:t>
            </w:r>
            <w:r w:rsidRPr="00EC20A0">
              <w:t>the</w:t>
            </w:r>
            <w:r w:rsidRPr="00EC20A0">
              <w:rPr>
                <w:spacing w:val="-3"/>
              </w:rPr>
              <w:t xml:space="preserve"> </w:t>
            </w:r>
            <w:r w:rsidRPr="00EC20A0">
              <w:t>agency’s</w:t>
            </w:r>
            <w:r w:rsidRPr="00EC20A0">
              <w:rPr>
                <w:spacing w:val="-3"/>
              </w:rPr>
              <w:t xml:space="preserve"> </w:t>
            </w:r>
            <w:r w:rsidRPr="00EC20A0">
              <w:t>assessment</w:t>
            </w:r>
            <w:r w:rsidRPr="00EC20A0">
              <w:rPr>
                <w:spacing w:val="-3"/>
              </w:rPr>
              <w:t xml:space="preserve"> </w:t>
            </w:r>
            <w:r w:rsidRPr="00EC20A0">
              <w:t>in the schedule in FAM 701 B.</w:t>
            </w:r>
          </w:p>
        </w:tc>
        <w:tc>
          <w:tcPr>
            <w:tcW w:w="1170" w:type="dxa"/>
            <w:tcBorders>
              <w:top w:val="single" w:sz="4" w:space="0" w:color="000000"/>
              <w:left w:val="single" w:sz="4" w:space="0" w:color="000000"/>
              <w:bottom w:val="single" w:sz="4" w:space="0" w:color="000000"/>
              <w:right w:val="single" w:sz="4" w:space="0" w:color="000000"/>
            </w:tcBorders>
          </w:tcPr>
          <w:p w14:paraId="24D60518"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19" w14:textId="77777777" w:rsidR="00245300" w:rsidRPr="00EC20A0" w:rsidRDefault="00245300">
            <w:pPr>
              <w:pStyle w:val="TableParagraph"/>
              <w:rPr>
                <w:sz w:val="20"/>
              </w:rPr>
            </w:pPr>
          </w:p>
        </w:tc>
      </w:tr>
      <w:tr w:rsidR="00245300" w:rsidRPr="00EC20A0" w14:paraId="24D6051F" w14:textId="77777777">
        <w:trPr>
          <w:trHeight w:val="2904"/>
        </w:trPr>
        <w:tc>
          <w:tcPr>
            <w:tcW w:w="7060" w:type="dxa"/>
            <w:tcBorders>
              <w:top w:val="single" w:sz="4" w:space="0" w:color="000000"/>
              <w:bottom w:val="single" w:sz="4" w:space="0" w:color="000000"/>
              <w:right w:val="single" w:sz="4" w:space="0" w:color="000000"/>
            </w:tcBorders>
          </w:tcPr>
          <w:p w14:paraId="24D6051B" w14:textId="77777777" w:rsidR="00245300" w:rsidRPr="00EC20A0" w:rsidRDefault="00F17249">
            <w:pPr>
              <w:pStyle w:val="TableParagraph"/>
              <w:tabs>
                <w:tab w:val="left" w:pos="529"/>
              </w:tabs>
              <w:spacing w:before="120"/>
              <w:ind w:left="529" w:right="446" w:hanging="432"/>
              <w:rPr>
                <w:b/>
              </w:rPr>
            </w:pPr>
            <w:r w:rsidRPr="00EC20A0">
              <w:rPr>
                <w:b/>
                <w:spacing w:val="-4"/>
              </w:rPr>
              <w:t>II.</w:t>
            </w:r>
            <w:r w:rsidRPr="00EC20A0">
              <w:rPr>
                <w:b/>
              </w:rPr>
              <w:tab/>
              <w:t>Testing</w:t>
            </w:r>
            <w:r w:rsidRPr="00EC20A0">
              <w:rPr>
                <w:b/>
                <w:spacing w:val="-6"/>
              </w:rPr>
              <w:t xml:space="preserve"> </w:t>
            </w:r>
            <w:r w:rsidRPr="00EC20A0">
              <w:rPr>
                <w:b/>
              </w:rPr>
              <w:t>for</w:t>
            </w:r>
            <w:r w:rsidRPr="00EC20A0">
              <w:rPr>
                <w:b/>
                <w:spacing w:val="-8"/>
              </w:rPr>
              <w:t xml:space="preserve"> </w:t>
            </w:r>
            <w:r w:rsidRPr="00EC20A0">
              <w:rPr>
                <w:b/>
              </w:rPr>
              <w:t>compliance</w:t>
            </w:r>
            <w:r w:rsidRPr="00EC20A0">
              <w:rPr>
                <w:b/>
                <w:spacing w:val="-6"/>
              </w:rPr>
              <w:t xml:space="preserve"> </w:t>
            </w:r>
            <w:r w:rsidRPr="00EC20A0">
              <w:rPr>
                <w:b/>
              </w:rPr>
              <w:t>with</w:t>
            </w:r>
            <w:r w:rsidRPr="00EC20A0">
              <w:rPr>
                <w:b/>
                <w:spacing w:val="-6"/>
              </w:rPr>
              <w:t xml:space="preserve"> </w:t>
            </w:r>
            <w:r w:rsidRPr="00EC20A0">
              <w:rPr>
                <w:b/>
              </w:rPr>
              <w:t>federal</w:t>
            </w:r>
            <w:r w:rsidRPr="00EC20A0">
              <w:rPr>
                <w:b/>
                <w:spacing w:val="-7"/>
              </w:rPr>
              <w:t xml:space="preserve"> </w:t>
            </w:r>
            <w:r w:rsidRPr="00EC20A0">
              <w:rPr>
                <w:b/>
              </w:rPr>
              <w:t>financial</w:t>
            </w:r>
            <w:r w:rsidRPr="00EC20A0">
              <w:rPr>
                <w:b/>
                <w:spacing w:val="-7"/>
              </w:rPr>
              <w:t xml:space="preserve"> </w:t>
            </w:r>
            <w:r w:rsidRPr="00EC20A0">
              <w:rPr>
                <w:b/>
              </w:rPr>
              <w:t>management systems requirements</w:t>
            </w:r>
          </w:p>
          <w:p w14:paraId="24D6051C" w14:textId="77777777" w:rsidR="00245300" w:rsidRPr="00EC20A0" w:rsidRDefault="00F17249">
            <w:pPr>
              <w:pStyle w:val="TableParagraph"/>
              <w:spacing w:before="239"/>
              <w:ind w:left="875" w:right="138" w:hanging="360"/>
            </w:pPr>
            <w:r w:rsidRPr="00EC20A0">
              <w:t>A.</w:t>
            </w:r>
            <w:r w:rsidRPr="00EC20A0">
              <w:rPr>
                <w:spacing w:val="80"/>
              </w:rPr>
              <w:t xml:space="preserve"> </w:t>
            </w:r>
            <w:r w:rsidRPr="00EC20A0">
              <w:t>Ask</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agency</w:t>
            </w:r>
            <w:r w:rsidRPr="00EC20A0">
              <w:rPr>
                <w:spacing w:val="-4"/>
              </w:rPr>
              <w:t xml:space="preserve"> </w:t>
            </w:r>
            <w:r w:rsidRPr="00EC20A0">
              <w:t>has</w:t>
            </w:r>
            <w:r w:rsidRPr="00EC20A0">
              <w:rPr>
                <w:spacing w:val="-4"/>
              </w:rPr>
              <w:t xml:space="preserve"> </w:t>
            </w:r>
            <w:r w:rsidRPr="00EC20A0">
              <w:t>an</w:t>
            </w:r>
            <w:r w:rsidRPr="00EC20A0">
              <w:rPr>
                <w:spacing w:val="-4"/>
              </w:rPr>
              <w:t xml:space="preserve"> </w:t>
            </w:r>
            <w:r w:rsidRPr="00EC20A0">
              <w:t>agency-wide</w:t>
            </w:r>
            <w:r w:rsidRPr="00EC20A0">
              <w:rPr>
                <w:spacing w:val="-4"/>
              </w:rPr>
              <w:t xml:space="preserve"> </w:t>
            </w:r>
            <w:r w:rsidRPr="00EC20A0">
              <w:t>inventory</w:t>
            </w:r>
            <w:r w:rsidRPr="00EC20A0">
              <w:rPr>
                <w:spacing w:val="-4"/>
              </w:rPr>
              <w:t xml:space="preserve"> </w:t>
            </w:r>
            <w:r w:rsidRPr="00EC20A0">
              <w:t>of</w:t>
            </w:r>
            <w:r w:rsidRPr="00EC20A0">
              <w:rPr>
                <w:spacing w:val="-4"/>
              </w:rPr>
              <w:t xml:space="preserve"> </w:t>
            </w:r>
            <w:r w:rsidRPr="00EC20A0">
              <w:t>its financial management systems, including those operated or maintained by a shared service provider. If so, obtain the inventory and any supporting documentation. If not, consult with</w:t>
            </w:r>
            <w:r w:rsidRPr="00EC20A0">
              <w:rPr>
                <w:spacing w:val="-4"/>
              </w:rPr>
              <w:t xml:space="preserve"> </w:t>
            </w:r>
            <w:r w:rsidRPr="00EC20A0">
              <w:t>management</w:t>
            </w:r>
            <w:r w:rsidRPr="00EC20A0">
              <w:rPr>
                <w:spacing w:val="-4"/>
              </w:rPr>
              <w:t xml:space="preserve"> </w:t>
            </w:r>
            <w:r w:rsidRPr="00EC20A0">
              <w:t>to</w:t>
            </w:r>
            <w:r w:rsidRPr="00EC20A0">
              <w:rPr>
                <w:spacing w:val="-4"/>
              </w:rPr>
              <w:t xml:space="preserve"> </w:t>
            </w:r>
            <w:r w:rsidRPr="00EC20A0">
              <w:t>prepare/obtain</w:t>
            </w:r>
            <w:r w:rsidRPr="00EC20A0">
              <w:rPr>
                <w:spacing w:val="-5"/>
              </w:rPr>
              <w:t xml:space="preserve"> </w:t>
            </w:r>
            <w:r w:rsidRPr="00EC20A0">
              <w:t>an</w:t>
            </w:r>
            <w:r w:rsidRPr="00EC20A0">
              <w:rPr>
                <w:spacing w:val="-4"/>
              </w:rPr>
              <w:t xml:space="preserve"> </w:t>
            </w:r>
            <w:r w:rsidRPr="00EC20A0">
              <w:t>inventory</w:t>
            </w:r>
            <w:r w:rsidRPr="00EC20A0">
              <w:rPr>
                <w:spacing w:val="-4"/>
              </w:rPr>
              <w:t xml:space="preserve"> </w:t>
            </w:r>
            <w:r w:rsidRPr="00EC20A0">
              <w:t>of</w:t>
            </w:r>
            <w:r w:rsidRPr="00EC20A0">
              <w:rPr>
                <w:spacing w:val="-4"/>
              </w:rPr>
              <w:t xml:space="preserve"> </w:t>
            </w:r>
            <w:r w:rsidRPr="00EC20A0">
              <w:t>financial management systems and perform the following steps:</w:t>
            </w:r>
          </w:p>
        </w:tc>
        <w:tc>
          <w:tcPr>
            <w:tcW w:w="1170" w:type="dxa"/>
            <w:tcBorders>
              <w:top w:val="single" w:sz="4" w:space="0" w:color="000000"/>
              <w:left w:val="single" w:sz="4" w:space="0" w:color="000000"/>
              <w:bottom w:val="single" w:sz="4" w:space="0" w:color="000000"/>
              <w:right w:val="single" w:sz="4" w:space="0" w:color="000000"/>
            </w:tcBorders>
          </w:tcPr>
          <w:p w14:paraId="24D6051D"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1E" w14:textId="77777777" w:rsidR="00245300" w:rsidRPr="00EC20A0" w:rsidRDefault="00245300">
            <w:pPr>
              <w:pStyle w:val="TableParagraph"/>
              <w:rPr>
                <w:sz w:val="20"/>
              </w:rPr>
            </w:pPr>
          </w:p>
        </w:tc>
      </w:tr>
    </w:tbl>
    <w:p w14:paraId="24D60520" w14:textId="77777777" w:rsidR="00245300" w:rsidRPr="00EC20A0" w:rsidRDefault="00245300">
      <w:pPr>
        <w:rPr>
          <w:sz w:val="20"/>
        </w:rPr>
        <w:sectPr w:rsidR="00245300" w:rsidRPr="00EC20A0">
          <w:pgSz w:w="12240" w:h="15840"/>
          <w:pgMar w:top="1340" w:right="940" w:bottom="940" w:left="1020" w:header="721" w:footer="757" w:gutter="0"/>
          <w:cols w:space="720"/>
        </w:sectPr>
      </w:pPr>
    </w:p>
    <w:p w14:paraId="24D60521" w14:textId="77777777" w:rsidR="00245300" w:rsidRPr="00EC20A0" w:rsidRDefault="00245300">
      <w:pPr>
        <w:pStyle w:val="BodyText"/>
        <w:spacing w:before="4"/>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527" w14:textId="77777777">
        <w:trPr>
          <w:trHeight w:val="746"/>
        </w:trPr>
        <w:tc>
          <w:tcPr>
            <w:tcW w:w="7060" w:type="dxa"/>
            <w:tcBorders>
              <w:right w:val="single" w:sz="4" w:space="0" w:color="000000"/>
            </w:tcBorders>
          </w:tcPr>
          <w:p w14:paraId="24D60522" w14:textId="77777777" w:rsidR="00245300" w:rsidRPr="00EC20A0" w:rsidRDefault="00245300">
            <w:pPr>
              <w:pStyle w:val="TableParagraph"/>
              <w:spacing w:before="120"/>
            </w:pPr>
          </w:p>
          <w:p w14:paraId="24D60523" w14:textId="77777777" w:rsidR="00245300" w:rsidRPr="00EC20A0" w:rsidRDefault="00F17249">
            <w:pPr>
              <w:pStyle w:val="TableParagraph"/>
              <w:spacing w:before="1"/>
              <w:ind w:left="97"/>
              <w:rPr>
                <w:b/>
              </w:rPr>
            </w:pPr>
            <w:r w:rsidRPr="00EC20A0">
              <w:rPr>
                <w:b/>
                <w:spacing w:val="-2"/>
              </w:rPr>
              <w:t>Procedure</w:t>
            </w:r>
          </w:p>
        </w:tc>
        <w:tc>
          <w:tcPr>
            <w:tcW w:w="1170" w:type="dxa"/>
            <w:tcBorders>
              <w:left w:val="single" w:sz="4" w:space="0" w:color="000000"/>
              <w:right w:val="single" w:sz="4" w:space="0" w:color="000000"/>
            </w:tcBorders>
          </w:tcPr>
          <w:p w14:paraId="24D60524"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525" w14:textId="77777777" w:rsidR="00245300" w:rsidRPr="00EC20A0" w:rsidRDefault="00245300">
            <w:pPr>
              <w:pStyle w:val="TableParagraph"/>
              <w:spacing w:before="120"/>
            </w:pPr>
          </w:p>
          <w:p w14:paraId="24D60526" w14:textId="77777777" w:rsidR="00245300" w:rsidRPr="00EC20A0" w:rsidRDefault="00F17249">
            <w:pPr>
              <w:pStyle w:val="TableParagraph"/>
              <w:spacing w:before="1"/>
              <w:ind w:left="107"/>
              <w:rPr>
                <w:b/>
              </w:rPr>
            </w:pPr>
            <w:r w:rsidRPr="00EC20A0">
              <w:rPr>
                <w:b/>
              </w:rPr>
              <w:t>Doc.</w:t>
            </w:r>
            <w:r w:rsidRPr="00EC20A0">
              <w:rPr>
                <w:b/>
                <w:spacing w:val="-6"/>
              </w:rPr>
              <w:t xml:space="preserve"> </w:t>
            </w:r>
            <w:r w:rsidRPr="00EC20A0">
              <w:rPr>
                <w:b/>
                <w:spacing w:val="-4"/>
              </w:rPr>
              <w:t>ref.</w:t>
            </w:r>
          </w:p>
        </w:tc>
      </w:tr>
      <w:tr w:rsidR="00245300" w:rsidRPr="00EC20A0" w14:paraId="24D6052B" w14:textId="77777777">
        <w:trPr>
          <w:trHeight w:val="1231"/>
        </w:trPr>
        <w:tc>
          <w:tcPr>
            <w:tcW w:w="7060" w:type="dxa"/>
            <w:tcBorders>
              <w:bottom w:val="single" w:sz="4" w:space="0" w:color="000000"/>
              <w:right w:val="single" w:sz="4" w:space="0" w:color="000000"/>
            </w:tcBorders>
          </w:tcPr>
          <w:p w14:paraId="24D60528" w14:textId="77777777" w:rsidR="00245300" w:rsidRPr="00EC20A0" w:rsidRDefault="00F17249">
            <w:pPr>
              <w:pStyle w:val="TableParagraph"/>
              <w:spacing w:before="100"/>
              <w:ind w:left="1177" w:hanging="360"/>
            </w:pPr>
            <w:r w:rsidRPr="00EC20A0">
              <w:t>1.</w:t>
            </w:r>
            <w:r w:rsidRPr="00EC20A0">
              <w:rPr>
                <w:spacing w:val="80"/>
              </w:rPr>
              <w:t xml:space="preserve"> </w:t>
            </w:r>
            <w:r w:rsidRPr="00EC20A0">
              <w:t xml:space="preserve">From the agency’s inventory of </w:t>
            </w:r>
            <w:r w:rsidRPr="00EC20A0">
              <w:t>financial management systems,</w:t>
            </w:r>
            <w:r w:rsidRPr="00EC20A0">
              <w:rPr>
                <w:spacing w:val="-6"/>
              </w:rPr>
              <w:t xml:space="preserve"> </w:t>
            </w:r>
            <w:r w:rsidRPr="00EC20A0">
              <w:t>identify</w:t>
            </w:r>
            <w:r w:rsidRPr="00EC20A0">
              <w:rPr>
                <w:spacing w:val="-6"/>
              </w:rPr>
              <w:t xml:space="preserve"> </w:t>
            </w:r>
            <w:r w:rsidRPr="00EC20A0">
              <w:t>the</w:t>
            </w:r>
            <w:r w:rsidRPr="00EC20A0">
              <w:rPr>
                <w:spacing w:val="-6"/>
              </w:rPr>
              <w:t xml:space="preserve"> </w:t>
            </w:r>
            <w:r w:rsidRPr="00EC20A0">
              <w:t>financial</w:t>
            </w:r>
            <w:r w:rsidRPr="00EC20A0">
              <w:rPr>
                <w:spacing w:val="-6"/>
              </w:rPr>
              <w:t xml:space="preserve"> </w:t>
            </w:r>
            <w:r w:rsidRPr="00EC20A0">
              <w:t>systems</w:t>
            </w:r>
            <w:r w:rsidRPr="00EC20A0">
              <w:rPr>
                <w:spacing w:val="-6"/>
              </w:rPr>
              <w:t xml:space="preserve"> </w:t>
            </w:r>
            <w:r w:rsidRPr="00EC20A0">
              <w:t>and</w:t>
            </w:r>
            <w:r w:rsidRPr="00EC20A0">
              <w:rPr>
                <w:spacing w:val="-6"/>
              </w:rPr>
              <w:t xml:space="preserve"> </w:t>
            </w:r>
            <w:r w:rsidRPr="00EC20A0">
              <w:t>the</w:t>
            </w:r>
            <w:r w:rsidRPr="00EC20A0">
              <w:rPr>
                <w:spacing w:val="-6"/>
              </w:rPr>
              <w:t xml:space="preserve"> </w:t>
            </w:r>
            <w:r w:rsidRPr="00EC20A0">
              <w:t>financial portion of mixed systems and note whether they are operated or maintained by a shared service provider.</w:t>
            </w:r>
          </w:p>
        </w:tc>
        <w:tc>
          <w:tcPr>
            <w:tcW w:w="1170" w:type="dxa"/>
            <w:tcBorders>
              <w:left w:val="single" w:sz="4" w:space="0" w:color="000000"/>
              <w:bottom w:val="single" w:sz="4" w:space="0" w:color="000000"/>
              <w:right w:val="single" w:sz="4" w:space="0" w:color="000000"/>
            </w:tcBorders>
          </w:tcPr>
          <w:p w14:paraId="24D60529" w14:textId="77777777" w:rsidR="00245300" w:rsidRPr="00EC20A0" w:rsidRDefault="00245300">
            <w:pPr>
              <w:pStyle w:val="TableParagraph"/>
              <w:rPr>
                <w:sz w:val="20"/>
              </w:rPr>
            </w:pPr>
          </w:p>
        </w:tc>
        <w:tc>
          <w:tcPr>
            <w:tcW w:w="1249" w:type="dxa"/>
            <w:tcBorders>
              <w:left w:val="single" w:sz="4" w:space="0" w:color="000000"/>
              <w:bottom w:val="single" w:sz="4" w:space="0" w:color="000000"/>
            </w:tcBorders>
          </w:tcPr>
          <w:p w14:paraId="24D6052A" w14:textId="77777777" w:rsidR="00245300" w:rsidRPr="00EC20A0" w:rsidRDefault="00245300">
            <w:pPr>
              <w:pStyle w:val="TableParagraph"/>
              <w:rPr>
                <w:sz w:val="20"/>
              </w:rPr>
            </w:pPr>
          </w:p>
        </w:tc>
      </w:tr>
      <w:tr w:rsidR="00245300" w:rsidRPr="00EC20A0" w14:paraId="24D60532" w14:textId="77777777">
        <w:trPr>
          <w:trHeight w:val="8043"/>
        </w:trPr>
        <w:tc>
          <w:tcPr>
            <w:tcW w:w="7060" w:type="dxa"/>
            <w:tcBorders>
              <w:top w:val="single" w:sz="4" w:space="0" w:color="000000"/>
              <w:bottom w:val="single" w:sz="4" w:space="0" w:color="000000"/>
              <w:right w:val="single" w:sz="4" w:space="0" w:color="000000"/>
            </w:tcBorders>
          </w:tcPr>
          <w:p w14:paraId="24D6052C" w14:textId="77777777" w:rsidR="00245300" w:rsidRPr="00EC20A0" w:rsidRDefault="00F17249">
            <w:pPr>
              <w:pStyle w:val="TableParagraph"/>
              <w:numPr>
                <w:ilvl w:val="0"/>
                <w:numId w:val="178"/>
              </w:numPr>
              <w:tabs>
                <w:tab w:val="left" w:pos="1177"/>
              </w:tabs>
              <w:spacing w:before="120"/>
              <w:ind w:right="418"/>
            </w:pPr>
            <w:r w:rsidRPr="00EC20A0">
              <w:t>Document the relevant internal controls and the information</w:t>
            </w:r>
            <w:r w:rsidRPr="00EC20A0">
              <w:rPr>
                <w:spacing w:val="-6"/>
              </w:rPr>
              <w:t xml:space="preserve"> </w:t>
            </w:r>
            <w:r w:rsidRPr="00EC20A0">
              <w:t>flows</w:t>
            </w:r>
            <w:r w:rsidRPr="00EC20A0">
              <w:rPr>
                <w:spacing w:val="-6"/>
              </w:rPr>
              <w:t xml:space="preserve"> </w:t>
            </w:r>
            <w:r w:rsidRPr="00EC20A0">
              <w:t>between</w:t>
            </w:r>
            <w:r w:rsidRPr="00EC20A0">
              <w:rPr>
                <w:spacing w:val="-6"/>
              </w:rPr>
              <w:t xml:space="preserve"> </w:t>
            </w:r>
            <w:r w:rsidRPr="00EC20A0">
              <w:t>the</w:t>
            </w:r>
            <w:r w:rsidRPr="00EC20A0">
              <w:rPr>
                <w:spacing w:val="-6"/>
              </w:rPr>
              <w:t xml:space="preserve"> </w:t>
            </w:r>
            <w:r w:rsidRPr="00EC20A0">
              <w:t>financial</w:t>
            </w:r>
            <w:r w:rsidRPr="00EC20A0">
              <w:rPr>
                <w:spacing w:val="-6"/>
              </w:rPr>
              <w:t xml:space="preserve"> </w:t>
            </w:r>
            <w:r w:rsidRPr="00EC20A0">
              <w:t>systems</w:t>
            </w:r>
            <w:r w:rsidRPr="00EC20A0">
              <w:rPr>
                <w:spacing w:val="-6"/>
              </w:rPr>
              <w:t xml:space="preserve"> </w:t>
            </w:r>
            <w:r w:rsidRPr="00EC20A0">
              <w:t>and</w:t>
            </w:r>
            <w:r w:rsidRPr="00EC20A0">
              <w:rPr>
                <w:spacing w:val="-6"/>
              </w:rPr>
              <w:t xml:space="preserve"> </w:t>
            </w:r>
            <w:r w:rsidRPr="00EC20A0">
              <w:t>the financial portion of mixed systems in a flowchart or narrative, including those operated or maintained by a shared service provider. (The auditor may perform this step as part of the internal control phase.)</w:t>
            </w:r>
          </w:p>
          <w:p w14:paraId="24D6052D" w14:textId="77777777" w:rsidR="00245300" w:rsidRPr="00EC20A0" w:rsidRDefault="00F17249">
            <w:pPr>
              <w:pStyle w:val="TableParagraph"/>
              <w:numPr>
                <w:ilvl w:val="1"/>
                <w:numId w:val="178"/>
              </w:numPr>
              <w:tabs>
                <w:tab w:val="left" w:pos="1537"/>
              </w:tabs>
              <w:spacing w:before="240"/>
              <w:ind w:right="181"/>
            </w:pPr>
            <w:r w:rsidRPr="00EC20A0">
              <w:t>Determine whether the financial portions of mixed systems are integrated or interfaced with the financial system.</w:t>
            </w:r>
            <w:r w:rsidRPr="00EC20A0">
              <w:rPr>
                <w:spacing w:val="-5"/>
              </w:rPr>
              <w:t xml:space="preserve"> </w:t>
            </w:r>
            <w:r w:rsidRPr="00EC20A0">
              <w:t>Note:</w:t>
            </w:r>
            <w:r w:rsidRPr="00EC20A0">
              <w:rPr>
                <w:spacing w:val="-6"/>
              </w:rPr>
              <w:t xml:space="preserve"> </w:t>
            </w:r>
            <w:r w:rsidRPr="00EC20A0">
              <w:t>Financial</w:t>
            </w:r>
            <w:r w:rsidRPr="00EC20A0">
              <w:rPr>
                <w:spacing w:val="-6"/>
              </w:rPr>
              <w:t xml:space="preserve"> </w:t>
            </w:r>
            <w:r w:rsidRPr="00EC20A0">
              <w:t>portions</w:t>
            </w:r>
            <w:r w:rsidRPr="00EC20A0">
              <w:rPr>
                <w:spacing w:val="-5"/>
              </w:rPr>
              <w:t xml:space="preserve"> </w:t>
            </w:r>
            <w:r w:rsidRPr="00EC20A0">
              <w:t>of</w:t>
            </w:r>
            <w:r w:rsidRPr="00EC20A0">
              <w:rPr>
                <w:spacing w:val="-6"/>
              </w:rPr>
              <w:t xml:space="preserve"> </w:t>
            </w:r>
            <w:r w:rsidRPr="00EC20A0">
              <w:t>mixed</w:t>
            </w:r>
            <w:r w:rsidRPr="00EC20A0">
              <w:rPr>
                <w:spacing w:val="-5"/>
              </w:rPr>
              <w:t xml:space="preserve"> </w:t>
            </w:r>
            <w:r w:rsidRPr="00EC20A0">
              <w:t>systems</w:t>
            </w:r>
            <w:r w:rsidRPr="00EC20A0">
              <w:rPr>
                <w:spacing w:val="-6"/>
              </w:rPr>
              <w:t xml:space="preserve"> </w:t>
            </w:r>
            <w:r w:rsidRPr="00EC20A0">
              <w:t xml:space="preserve">that are integrated with the financial system share data tables. Therefore, the agency need not prepare </w:t>
            </w:r>
            <w:r w:rsidRPr="00EC20A0">
              <w:rPr>
                <w:spacing w:val="-2"/>
              </w:rPr>
              <w:t>reconciliations.</w:t>
            </w:r>
          </w:p>
          <w:p w14:paraId="24D6052E" w14:textId="77777777" w:rsidR="00245300" w:rsidRPr="00EC20A0" w:rsidRDefault="00F17249">
            <w:pPr>
              <w:pStyle w:val="TableParagraph"/>
              <w:numPr>
                <w:ilvl w:val="1"/>
                <w:numId w:val="178"/>
              </w:numPr>
              <w:tabs>
                <w:tab w:val="left" w:pos="1537"/>
              </w:tabs>
              <w:spacing w:before="240"/>
              <w:ind w:right="121"/>
            </w:pPr>
            <w:r w:rsidRPr="00EC20A0">
              <w:t>If the financial portions of mixed systems interface with the financial systems, determine whether reconciliations are performed between the systems. If reconciliations</w:t>
            </w:r>
            <w:r w:rsidRPr="00EC20A0">
              <w:rPr>
                <w:spacing w:val="-7"/>
              </w:rPr>
              <w:t xml:space="preserve"> </w:t>
            </w:r>
            <w:r w:rsidRPr="00EC20A0">
              <w:t>are</w:t>
            </w:r>
            <w:r w:rsidRPr="00EC20A0">
              <w:rPr>
                <w:spacing w:val="-7"/>
              </w:rPr>
              <w:t xml:space="preserve"> </w:t>
            </w:r>
            <w:r w:rsidRPr="00EC20A0">
              <w:t>performed,</w:t>
            </w:r>
            <w:r w:rsidRPr="00EC20A0">
              <w:rPr>
                <w:spacing w:val="-7"/>
              </w:rPr>
              <w:t xml:space="preserve"> </w:t>
            </w:r>
            <w:r w:rsidRPr="00EC20A0">
              <w:t>determine</w:t>
            </w:r>
            <w:r w:rsidRPr="00EC20A0">
              <w:rPr>
                <w:spacing w:val="-7"/>
              </w:rPr>
              <w:t xml:space="preserve"> </w:t>
            </w:r>
            <w:r w:rsidRPr="00EC20A0">
              <w:t>how</w:t>
            </w:r>
            <w:r w:rsidRPr="00EC20A0">
              <w:rPr>
                <w:spacing w:val="-8"/>
              </w:rPr>
              <w:t xml:space="preserve"> </w:t>
            </w:r>
            <w:r w:rsidRPr="00EC20A0">
              <w:t>often</w:t>
            </w:r>
            <w:r w:rsidRPr="00EC20A0">
              <w:rPr>
                <w:spacing w:val="-7"/>
              </w:rPr>
              <w:t xml:space="preserve"> </w:t>
            </w:r>
            <w:r w:rsidRPr="00EC20A0">
              <w:t xml:space="preserve">and by whom, and assess the </w:t>
            </w:r>
            <w:r w:rsidRPr="00EC20A0">
              <w:t>adequacy of the reconciliation, including follow-up activities and supervisory review.</w:t>
            </w:r>
          </w:p>
          <w:p w14:paraId="24D6052F" w14:textId="77777777" w:rsidR="00245300" w:rsidRPr="00EC20A0" w:rsidRDefault="00F17249">
            <w:pPr>
              <w:pStyle w:val="TableParagraph"/>
              <w:numPr>
                <w:ilvl w:val="1"/>
                <w:numId w:val="178"/>
              </w:numPr>
              <w:tabs>
                <w:tab w:val="left" w:pos="1537"/>
              </w:tabs>
              <w:spacing w:before="240"/>
              <w:ind w:right="254"/>
            </w:pPr>
            <w:r w:rsidRPr="00EC20A0">
              <w:t>Through interviews with agency management and review of systems documentation, determine if the agency’s</w:t>
            </w:r>
            <w:r w:rsidRPr="00EC20A0">
              <w:rPr>
                <w:spacing w:val="-1"/>
              </w:rPr>
              <w:t xml:space="preserve"> </w:t>
            </w:r>
            <w:r w:rsidRPr="00EC20A0">
              <w:t>systems have</w:t>
            </w:r>
            <w:r w:rsidRPr="00EC20A0">
              <w:rPr>
                <w:spacing w:val="-1"/>
              </w:rPr>
              <w:t xml:space="preserve"> </w:t>
            </w:r>
            <w:r w:rsidRPr="00EC20A0">
              <w:t>detective</w:t>
            </w:r>
            <w:r w:rsidRPr="00EC20A0">
              <w:rPr>
                <w:spacing w:val="-1"/>
              </w:rPr>
              <w:t xml:space="preserve"> </w:t>
            </w:r>
            <w:r w:rsidRPr="00EC20A0">
              <w:t>controls (e.g.,</w:t>
            </w:r>
            <w:r w:rsidRPr="00EC20A0">
              <w:rPr>
                <w:spacing w:val="-1"/>
              </w:rPr>
              <w:t xml:space="preserve"> </w:t>
            </w:r>
            <w:r w:rsidRPr="00EC20A0">
              <w:t>batch control or hash totals or supervisory reviews) and preventive controls (e.g., segregated duties, appropriate authorizations, or access controls) to process</w:t>
            </w:r>
            <w:r w:rsidRPr="00EC20A0">
              <w:rPr>
                <w:spacing w:val="-6"/>
              </w:rPr>
              <w:t xml:space="preserve"> </w:t>
            </w:r>
            <w:r w:rsidRPr="00EC20A0">
              <w:t>transactions</w:t>
            </w:r>
            <w:r w:rsidRPr="00EC20A0">
              <w:rPr>
                <w:spacing w:val="-7"/>
              </w:rPr>
              <w:t xml:space="preserve"> </w:t>
            </w:r>
            <w:r w:rsidRPr="00EC20A0">
              <w:t>properly</w:t>
            </w:r>
            <w:r w:rsidRPr="00EC20A0">
              <w:rPr>
                <w:spacing w:val="-6"/>
              </w:rPr>
              <w:t xml:space="preserve"> </w:t>
            </w:r>
            <w:r w:rsidRPr="00EC20A0">
              <w:t>and</w:t>
            </w:r>
            <w:r w:rsidRPr="00EC20A0">
              <w:rPr>
                <w:spacing w:val="-7"/>
              </w:rPr>
              <w:t xml:space="preserve"> </w:t>
            </w:r>
            <w:r w:rsidRPr="00EC20A0">
              <w:t>timely.</w:t>
            </w:r>
            <w:r w:rsidRPr="00EC20A0">
              <w:rPr>
                <w:spacing w:val="-6"/>
              </w:rPr>
              <w:t xml:space="preserve"> </w:t>
            </w:r>
            <w:r w:rsidRPr="00EC20A0">
              <w:t>(The</w:t>
            </w:r>
            <w:r w:rsidRPr="00EC20A0">
              <w:rPr>
                <w:spacing w:val="-7"/>
              </w:rPr>
              <w:t xml:space="preserve"> </w:t>
            </w:r>
            <w:r w:rsidRPr="00EC20A0">
              <w:t xml:space="preserve">auditor may perform this step as part of the internal control </w:t>
            </w:r>
            <w:r w:rsidRPr="00EC20A0">
              <w:rPr>
                <w:spacing w:val="-2"/>
              </w:rPr>
              <w:t>phase.)</w:t>
            </w:r>
          </w:p>
        </w:tc>
        <w:tc>
          <w:tcPr>
            <w:tcW w:w="1170" w:type="dxa"/>
            <w:tcBorders>
              <w:top w:val="single" w:sz="4" w:space="0" w:color="000000"/>
              <w:left w:val="single" w:sz="4" w:space="0" w:color="000000"/>
              <w:bottom w:val="single" w:sz="4" w:space="0" w:color="000000"/>
              <w:right w:val="single" w:sz="4" w:space="0" w:color="000000"/>
            </w:tcBorders>
          </w:tcPr>
          <w:p w14:paraId="24D60530"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31" w14:textId="77777777" w:rsidR="00245300" w:rsidRPr="00EC20A0" w:rsidRDefault="00245300">
            <w:pPr>
              <w:pStyle w:val="TableParagraph"/>
              <w:rPr>
                <w:sz w:val="20"/>
              </w:rPr>
            </w:pPr>
          </w:p>
        </w:tc>
      </w:tr>
      <w:tr w:rsidR="00245300" w:rsidRPr="00EC20A0" w14:paraId="24D60536" w14:textId="77777777">
        <w:trPr>
          <w:trHeight w:val="1252"/>
        </w:trPr>
        <w:tc>
          <w:tcPr>
            <w:tcW w:w="7060" w:type="dxa"/>
            <w:tcBorders>
              <w:top w:val="single" w:sz="4" w:space="0" w:color="000000"/>
              <w:bottom w:val="single" w:sz="4" w:space="0" w:color="000000"/>
              <w:right w:val="single" w:sz="4" w:space="0" w:color="000000"/>
            </w:tcBorders>
          </w:tcPr>
          <w:p w14:paraId="24D60533" w14:textId="77777777" w:rsidR="00245300" w:rsidRPr="00EC20A0" w:rsidRDefault="00F17249">
            <w:pPr>
              <w:pStyle w:val="TableParagraph"/>
              <w:spacing w:before="121"/>
              <w:ind w:left="1177" w:hanging="360"/>
            </w:pPr>
            <w:r w:rsidRPr="00EC20A0">
              <w:t>3.</w:t>
            </w:r>
            <w:r w:rsidRPr="00EC20A0">
              <w:rPr>
                <w:spacing w:val="80"/>
              </w:rPr>
              <w:t xml:space="preserve"> </w:t>
            </w:r>
            <w:r w:rsidRPr="00EC20A0">
              <w:t>Document any issues regarding the agency’s inventory, internal controls, and the flow of information between its financial</w:t>
            </w:r>
            <w:r w:rsidRPr="00EC20A0">
              <w:rPr>
                <w:spacing w:val="-5"/>
              </w:rPr>
              <w:t xml:space="preserve"> </w:t>
            </w:r>
            <w:r w:rsidRPr="00EC20A0">
              <w:t>management</w:t>
            </w:r>
            <w:r w:rsidRPr="00EC20A0">
              <w:rPr>
                <w:spacing w:val="-5"/>
              </w:rPr>
              <w:t xml:space="preserve"> </w:t>
            </w:r>
            <w:r w:rsidRPr="00EC20A0">
              <w:t>systems</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schedule</w:t>
            </w:r>
            <w:r w:rsidRPr="00EC20A0">
              <w:rPr>
                <w:spacing w:val="-6"/>
              </w:rPr>
              <w:t xml:space="preserve"> </w:t>
            </w:r>
            <w:r w:rsidRPr="00EC20A0">
              <w:t>in</w:t>
            </w:r>
            <w:r w:rsidRPr="00EC20A0">
              <w:rPr>
                <w:spacing w:val="-5"/>
              </w:rPr>
              <w:t xml:space="preserve"> </w:t>
            </w:r>
            <w:r w:rsidRPr="00EC20A0">
              <w:t>FAM</w:t>
            </w:r>
            <w:r w:rsidRPr="00EC20A0">
              <w:rPr>
                <w:spacing w:val="-6"/>
              </w:rPr>
              <w:t xml:space="preserve"> </w:t>
            </w:r>
            <w:r w:rsidRPr="00EC20A0">
              <w:t xml:space="preserve">701 </w:t>
            </w:r>
            <w:r w:rsidRPr="00EC20A0">
              <w:rPr>
                <w:spacing w:val="-6"/>
              </w:rPr>
              <w:t>B.</w:t>
            </w:r>
          </w:p>
        </w:tc>
        <w:tc>
          <w:tcPr>
            <w:tcW w:w="1170" w:type="dxa"/>
            <w:tcBorders>
              <w:top w:val="single" w:sz="4" w:space="0" w:color="000000"/>
              <w:left w:val="single" w:sz="4" w:space="0" w:color="000000"/>
              <w:bottom w:val="single" w:sz="4" w:space="0" w:color="000000"/>
              <w:right w:val="single" w:sz="4" w:space="0" w:color="000000"/>
            </w:tcBorders>
          </w:tcPr>
          <w:p w14:paraId="24D60534"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35" w14:textId="77777777" w:rsidR="00245300" w:rsidRPr="00EC20A0" w:rsidRDefault="00245300">
            <w:pPr>
              <w:pStyle w:val="TableParagraph"/>
              <w:rPr>
                <w:sz w:val="20"/>
              </w:rPr>
            </w:pPr>
          </w:p>
        </w:tc>
      </w:tr>
      <w:tr w:rsidR="00245300" w:rsidRPr="00EC20A0" w14:paraId="24D6053A" w14:textId="77777777">
        <w:trPr>
          <w:trHeight w:val="1253"/>
        </w:trPr>
        <w:tc>
          <w:tcPr>
            <w:tcW w:w="7060" w:type="dxa"/>
            <w:tcBorders>
              <w:top w:val="single" w:sz="4" w:space="0" w:color="000000"/>
              <w:right w:val="single" w:sz="4" w:space="0" w:color="000000"/>
            </w:tcBorders>
          </w:tcPr>
          <w:p w14:paraId="24D60537" w14:textId="77777777" w:rsidR="00245300" w:rsidRPr="00EC20A0" w:rsidRDefault="00F17249">
            <w:pPr>
              <w:pStyle w:val="TableParagraph"/>
              <w:spacing w:before="120"/>
              <w:ind w:left="875" w:right="138" w:hanging="360"/>
            </w:pPr>
            <w:r w:rsidRPr="00EC20A0">
              <w:t>B.</w:t>
            </w:r>
            <w:r w:rsidRPr="00EC20A0">
              <w:rPr>
                <w:spacing w:val="78"/>
              </w:rPr>
              <w:t xml:space="preserve"> </w:t>
            </w:r>
            <w:r w:rsidRPr="00EC20A0">
              <w:t>Determine</w:t>
            </w:r>
            <w:r w:rsidRPr="00EC20A0">
              <w:rPr>
                <w:spacing w:val="-5"/>
              </w:rPr>
              <w:t xml:space="preserve"> </w:t>
            </w:r>
            <w:r w:rsidRPr="00EC20A0">
              <w:t>whether</w:t>
            </w:r>
            <w:r w:rsidRPr="00EC20A0">
              <w:rPr>
                <w:spacing w:val="-6"/>
              </w:rPr>
              <w:t xml:space="preserve"> </w:t>
            </w:r>
            <w:r w:rsidRPr="00EC20A0">
              <w:t>the</w:t>
            </w:r>
            <w:r w:rsidRPr="00EC20A0">
              <w:rPr>
                <w:spacing w:val="-6"/>
              </w:rPr>
              <w:t xml:space="preserve"> </w:t>
            </w:r>
            <w:r w:rsidRPr="00EC20A0">
              <w:t>agency’s</w:t>
            </w:r>
            <w:r w:rsidRPr="00EC20A0">
              <w:rPr>
                <w:spacing w:val="-6"/>
              </w:rPr>
              <w:t xml:space="preserve"> </w:t>
            </w:r>
            <w:r w:rsidRPr="00EC20A0">
              <w:t>financial</w:t>
            </w:r>
            <w:r w:rsidRPr="00EC20A0">
              <w:rPr>
                <w:spacing w:val="-6"/>
              </w:rPr>
              <w:t xml:space="preserve"> </w:t>
            </w:r>
            <w:r w:rsidRPr="00EC20A0">
              <w:t xml:space="preserve">management systems, as identified in step II.A above, conform to Treasury’s </w:t>
            </w:r>
            <w:r w:rsidRPr="00EC20A0">
              <w:rPr>
                <w:i/>
              </w:rPr>
              <w:t xml:space="preserve">Federal Financial Management System Requirements </w:t>
            </w:r>
            <w:r w:rsidRPr="00EC20A0">
              <w:t>in the TFM.</w:t>
            </w:r>
          </w:p>
        </w:tc>
        <w:tc>
          <w:tcPr>
            <w:tcW w:w="1170" w:type="dxa"/>
            <w:tcBorders>
              <w:top w:val="single" w:sz="4" w:space="0" w:color="000000"/>
              <w:left w:val="single" w:sz="4" w:space="0" w:color="000000"/>
              <w:right w:val="single" w:sz="4" w:space="0" w:color="000000"/>
            </w:tcBorders>
          </w:tcPr>
          <w:p w14:paraId="24D60538" w14:textId="77777777" w:rsidR="00245300" w:rsidRPr="00EC20A0" w:rsidRDefault="00245300">
            <w:pPr>
              <w:pStyle w:val="TableParagraph"/>
              <w:rPr>
                <w:sz w:val="20"/>
              </w:rPr>
            </w:pPr>
          </w:p>
        </w:tc>
        <w:tc>
          <w:tcPr>
            <w:tcW w:w="1249" w:type="dxa"/>
            <w:tcBorders>
              <w:top w:val="single" w:sz="4" w:space="0" w:color="000000"/>
              <w:left w:val="single" w:sz="4" w:space="0" w:color="000000"/>
            </w:tcBorders>
          </w:tcPr>
          <w:p w14:paraId="24D60539" w14:textId="77777777" w:rsidR="00245300" w:rsidRPr="00EC20A0" w:rsidRDefault="00245300">
            <w:pPr>
              <w:pStyle w:val="TableParagraph"/>
              <w:rPr>
                <w:sz w:val="20"/>
              </w:rPr>
            </w:pPr>
          </w:p>
        </w:tc>
      </w:tr>
    </w:tbl>
    <w:p w14:paraId="24D6053B" w14:textId="77777777" w:rsidR="00245300" w:rsidRPr="00EC20A0" w:rsidRDefault="00245300">
      <w:pPr>
        <w:rPr>
          <w:sz w:val="20"/>
        </w:rPr>
        <w:sectPr w:rsidR="00245300" w:rsidRPr="00EC20A0">
          <w:pgSz w:w="12240" w:h="15840"/>
          <w:pgMar w:top="1340" w:right="940" w:bottom="940" w:left="1020" w:header="721" w:footer="757" w:gutter="0"/>
          <w:cols w:space="720"/>
        </w:sectPr>
      </w:pPr>
    </w:p>
    <w:p w14:paraId="24D6053C" w14:textId="77777777" w:rsidR="00245300" w:rsidRPr="00EC20A0" w:rsidRDefault="00245300">
      <w:pPr>
        <w:pStyle w:val="BodyText"/>
        <w:spacing w:before="4"/>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542" w14:textId="77777777">
        <w:trPr>
          <w:trHeight w:val="746"/>
        </w:trPr>
        <w:tc>
          <w:tcPr>
            <w:tcW w:w="7060" w:type="dxa"/>
            <w:tcBorders>
              <w:right w:val="single" w:sz="4" w:space="0" w:color="000000"/>
            </w:tcBorders>
          </w:tcPr>
          <w:p w14:paraId="24D6053D" w14:textId="77777777" w:rsidR="00245300" w:rsidRPr="00EC20A0" w:rsidRDefault="00245300">
            <w:pPr>
              <w:pStyle w:val="TableParagraph"/>
              <w:spacing w:before="120"/>
            </w:pPr>
          </w:p>
          <w:p w14:paraId="24D6053E" w14:textId="77777777" w:rsidR="00245300" w:rsidRPr="00EC20A0" w:rsidRDefault="00F17249">
            <w:pPr>
              <w:pStyle w:val="TableParagraph"/>
              <w:spacing w:before="1"/>
              <w:ind w:left="97"/>
              <w:rPr>
                <w:b/>
              </w:rPr>
            </w:pPr>
            <w:r w:rsidRPr="00EC20A0">
              <w:rPr>
                <w:b/>
                <w:spacing w:val="-2"/>
              </w:rPr>
              <w:t>Procedure</w:t>
            </w:r>
          </w:p>
        </w:tc>
        <w:tc>
          <w:tcPr>
            <w:tcW w:w="1170" w:type="dxa"/>
            <w:tcBorders>
              <w:left w:val="single" w:sz="4" w:space="0" w:color="000000"/>
              <w:right w:val="single" w:sz="4" w:space="0" w:color="000000"/>
            </w:tcBorders>
          </w:tcPr>
          <w:p w14:paraId="24D6053F"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540" w14:textId="77777777" w:rsidR="00245300" w:rsidRPr="00EC20A0" w:rsidRDefault="00245300">
            <w:pPr>
              <w:pStyle w:val="TableParagraph"/>
              <w:spacing w:before="120"/>
            </w:pPr>
          </w:p>
          <w:p w14:paraId="24D60541" w14:textId="77777777" w:rsidR="00245300" w:rsidRPr="00EC20A0" w:rsidRDefault="00F17249">
            <w:pPr>
              <w:pStyle w:val="TableParagraph"/>
              <w:spacing w:before="1"/>
              <w:ind w:left="107"/>
              <w:rPr>
                <w:b/>
              </w:rPr>
            </w:pPr>
            <w:r w:rsidRPr="00EC20A0">
              <w:rPr>
                <w:b/>
              </w:rPr>
              <w:t>Doc.</w:t>
            </w:r>
            <w:r w:rsidRPr="00EC20A0">
              <w:rPr>
                <w:b/>
                <w:spacing w:val="-6"/>
              </w:rPr>
              <w:t xml:space="preserve"> </w:t>
            </w:r>
            <w:r w:rsidRPr="00EC20A0">
              <w:rPr>
                <w:b/>
                <w:spacing w:val="-4"/>
              </w:rPr>
              <w:t>ref.</w:t>
            </w:r>
          </w:p>
        </w:tc>
      </w:tr>
      <w:tr w:rsidR="00245300" w:rsidRPr="00EC20A0" w14:paraId="24D60548" w14:textId="77777777">
        <w:trPr>
          <w:trHeight w:val="3735"/>
        </w:trPr>
        <w:tc>
          <w:tcPr>
            <w:tcW w:w="7060" w:type="dxa"/>
            <w:tcBorders>
              <w:bottom w:val="single" w:sz="4" w:space="0" w:color="000000"/>
              <w:right w:val="single" w:sz="4" w:space="0" w:color="000000"/>
            </w:tcBorders>
          </w:tcPr>
          <w:p w14:paraId="24D60543" w14:textId="77777777" w:rsidR="00245300" w:rsidRPr="00EC20A0" w:rsidRDefault="00F17249">
            <w:pPr>
              <w:pStyle w:val="TableParagraph"/>
              <w:numPr>
                <w:ilvl w:val="0"/>
                <w:numId w:val="177"/>
              </w:numPr>
              <w:tabs>
                <w:tab w:val="left" w:pos="1177"/>
              </w:tabs>
              <w:spacing w:before="100"/>
              <w:ind w:right="319"/>
            </w:pPr>
            <w:r w:rsidRPr="00EC20A0">
              <w:t>Document</w:t>
            </w:r>
            <w:r w:rsidRPr="00EC20A0">
              <w:rPr>
                <w:spacing w:val="-5"/>
              </w:rPr>
              <w:t xml:space="preserve"> </w:t>
            </w:r>
            <w:r w:rsidRPr="00EC20A0">
              <w:t>whether</w:t>
            </w:r>
            <w:r w:rsidRPr="00EC20A0">
              <w:rPr>
                <w:spacing w:val="-5"/>
              </w:rPr>
              <w:t xml:space="preserve"> </w:t>
            </w:r>
            <w:r w:rsidRPr="00EC20A0">
              <w:t>the</w:t>
            </w:r>
            <w:r w:rsidRPr="00EC20A0">
              <w:rPr>
                <w:spacing w:val="-6"/>
              </w:rPr>
              <w:t xml:space="preserve"> </w:t>
            </w:r>
            <w:r w:rsidRPr="00EC20A0">
              <w:t>agency</w:t>
            </w:r>
            <w:r w:rsidRPr="00EC20A0">
              <w:rPr>
                <w:spacing w:val="-5"/>
              </w:rPr>
              <w:t xml:space="preserve"> </w:t>
            </w:r>
            <w:r w:rsidRPr="00EC20A0">
              <w:t>has</w:t>
            </w:r>
            <w:r w:rsidRPr="00EC20A0">
              <w:rPr>
                <w:spacing w:val="-5"/>
              </w:rPr>
              <w:t xml:space="preserve"> </w:t>
            </w:r>
            <w:r w:rsidRPr="00EC20A0">
              <w:t>assessed</w:t>
            </w:r>
            <w:r w:rsidRPr="00EC20A0">
              <w:rPr>
                <w:spacing w:val="-6"/>
              </w:rPr>
              <w:t xml:space="preserve"> </w:t>
            </w:r>
            <w:r w:rsidRPr="00EC20A0">
              <w:t>its</w:t>
            </w:r>
            <w:r w:rsidRPr="00EC20A0">
              <w:rPr>
                <w:spacing w:val="-5"/>
              </w:rPr>
              <w:t xml:space="preserve"> </w:t>
            </w:r>
            <w:r w:rsidRPr="00EC20A0">
              <w:t xml:space="preserve">financial systems and financial portions of mixed systems using Treasury’s </w:t>
            </w:r>
            <w:r w:rsidRPr="00EC20A0">
              <w:rPr>
                <w:i/>
              </w:rPr>
              <w:t xml:space="preserve">Federal Financial Management System Requirements </w:t>
            </w:r>
            <w:r w:rsidRPr="00EC20A0">
              <w:t>in the TFM.</w:t>
            </w:r>
          </w:p>
          <w:p w14:paraId="24D60544" w14:textId="77777777" w:rsidR="00245300" w:rsidRPr="00EC20A0" w:rsidRDefault="00F17249">
            <w:pPr>
              <w:pStyle w:val="TableParagraph"/>
              <w:numPr>
                <w:ilvl w:val="1"/>
                <w:numId w:val="177"/>
              </w:numPr>
              <w:tabs>
                <w:tab w:val="left" w:pos="1537"/>
              </w:tabs>
              <w:spacing w:before="240"/>
              <w:ind w:right="193"/>
            </w:pPr>
            <w:r w:rsidRPr="00EC20A0">
              <w:t>If agency management has not conducted an assessment</w:t>
            </w:r>
            <w:r w:rsidRPr="00EC20A0">
              <w:rPr>
                <w:spacing w:val="-7"/>
              </w:rPr>
              <w:t xml:space="preserve"> </w:t>
            </w:r>
            <w:r w:rsidRPr="00EC20A0">
              <w:t>against</w:t>
            </w:r>
            <w:r w:rsidRPr="00EC20A0">
              <w:rPr>
                <w:spacing w:val="-6"/>
              </w:rPr>
              <w:t xml:space="preserve"> </w:t>
            </w:r>
            <w:r w:rsidRPr="00EC20A0">
              <w:t>the</w:t>
            </w:r>
            <w:r w:rsidRPr="00EC20A0">
              <w:rPr>
                <w:spacing w:val="-7"/>
              </w:rPr>
              <w:t xml:space="preserve"> </w:t>
            </w:r>
            <w:r w:rsidRPr="00EC20A0">
              <w:t>TFM</w:t>
            </w:r>
            <w:r w:rsidRPr="00EC20A0">
              <w:rPr>
                <w:spacing w:val="-7"/>
              </w:rPr>
              <w:t xml:space="preserve"> </w:t>
            </w:r>
            <w:r w:rsidRPr="00EC20A0">
              <w:t>requirements,</w:t>
            </w:r>
            <w:r w:rsidRPr="00EC20A0">
              <w:rPr>
                <w:spacing w:val="-6"/>
              </w:rPr>
              <w:t xml:space="preserve"> </w:t>
            </w:r>
            <w:r w:rsidRPr="00EC20A0">
              <w:t>obtain</w:t>
            </w:r>
            <w:r w:rsidRPr="00EC20A0">
              <w:rPr>
                <w:spacing w:val="-6"/>
              </w:rPr>
              <w:t xml:space="preserve"> </w:t>
            </w:r>
            <w:r w:rsidRPr="00EC20A0">
              <w:t>any analyses that agency management performed to support its FFMIA and FMFIA assessments that document how the agency’s systems conform to the applicable TFM requirements.</w:t>
            </w:r>
          </w:p>
          <w:p w14:paraId="24D60545" w14:textId="77777777" w:rsidR="00245300" w:rsidRPr="00EC20A0" w:rsidRDefault="00F17249">
            <w:pPr>
              <w:pStyle w:val="TableParagraph"/>
              <w:numPr>
                <w:ilvl w:val="1"/>
                <w:numId w:val="177"/>
              </w:numPr>
              <w:tabs>
                <w:tab w:val="left" w:pos="1537"/>
              </w:tabs>
              <w:spacing w:before="240"/>
              <w:ind w:right="889"/>
            </w:pPr>
            <w:r w:rsidRPr="00EC20A0">
              <w:t>Determine</w:t>
            </w:r>
            <w:r w:rsidRPr="00EC20A0">
              <w:rPr>
                <w:spacing w:val="-7"/>
              </w:rPr>
              <w:t xml:space="preserve"> </w:t>
            </w:r>
            <w:r w:rsidRPr="00EC20A0">
              <w:t>whether</w:t>
            </w:r>
            <w:r w:rsidRPr="00EC20A0">
              <w:rPr>
                <w:spacing w:val="-8"/>
              </w:rPr>
              <w:t xml:space="preserve"> </w:t>
            </w:r>
            <w:r w:rsidRPr="00EC20A0">
              <w:t>the</w:t>
            </w:r>
            <w:r w:rsidRPr="00EC20A0">
              <w:rPr>
                <w:spacing w:val="-8"/>
              </w:rPr>
              <w:t xml:space="preserve"> </w:t>
            </w:r>
            <w:r w:rsidRPr="00EC20A0">
              <w:t>agency’s</w:t>
            </w:r>
            <w:r w:rsidRPr="00EC20A0">
              <w:rPr>
                <w:spacing w:val="-9"/>
              </w:rPr>
              <w:t xml:space="preserve"> </w:t>
            </w:r>
            <w:r w:rsidRPr="00EC20A0">
              <w:t>assessment</w:t>
            </w:r>
            <w:r w:rsidRPr="00EC20A0">
              <w:rPr>
                <w:spacing w:val="-8"/>
              </w:rPr>
              <w:t xml:space="preserve"> </w:t>
            </w:r>
            <w:r w:rsidRPr="00EC20A0">
              <w:t>is reasonable and is supported.</w:t>
            </w:r>
          </w:p>
        </w:tc>
        <w:tc>
          <w:tcPr>
            <w:tcW w:w="1170" w:type="dxa"/>
            <w:tcBorders>
              <w:left w:val="single" w:sz="4" w:space="0" w:color="000000"/>
              <w:bottom w:val="single" w:sz="4" w:space="0" w:color="000000"/>
              <w:right w:val="single" w:sz="4" w:space="0" w:color="000000"/>
            </w:tcBorders>
          </w:tcPr>
          <w:p w14:paraId="24D60546" w14:textId="77777777" w:rsidR="00245300" w:rsidRPr="00EC20A0" w:rsidRDefault="00245300">
            <w:pPr>
              <w:pStyle w:val="TableParagraph"/>
              <w:rPr>
                <w:sz w:val="20"/>
              </w:rPr>
            </w:pPr>
          </w:p>
        </w:tc>
        <w:tc>
          <w:tcPr>
            <w:tcW w:w="1249" w:type="dxa"/>
            <w:tcBorders>
              <w:left w:val="single" w:sz="4" w:space="0" w:color="000000"/>
              <w:bottom w:val="single" w:sz="4" w:space="0" w:color="000000"/>
            </w:tcBorders>
          </w:tcPr>
          <w:p w14:paraId="24D60547" w14:textId="77777777" w:rsidR="00245300" w:rsidRPr="00EC20A0" w:rsidRDefault="00245300">
            <w:pPr>
              <w:pStyle w:val="TableParagraph"/>
              <w:rPr>
                <w:sz w:val="20"/>
              </w:rPr>
            </w:pPr>
          </w:p>
        </w:tc>
      </w:tr>
      <w:tr w:rsidR="00245300" w:rsidRPr="00EC20A0" w14:paraId="24D6054C" w14:textId="77777777">
        <w:trPr>
          <w:trHeight w:val="1251"/>
        </w:trPr>
        <w:tc>
          <w:tcPr>
            <w:tcW w:w="7060" w:type="dxa"/>
            <w:tcBorders>
              <w:top w:val="single" w:sz="4" w:space="0" w:color="000000"/>
              <w:bottom w:val="single" w:sz="4" w:space="0" w:color="000000"/>
              <w:right w:val="single" w:sz="4" w:space="0" w:color="000000"/>
            </w:tcBorders>
          </w:tcPr>
          <w:p w14:paraId="24D60549" w14:textId="77777777" w:rsidR="00245300" w:rsidRPr="00EC20A0" w:rsidRDefault="00F17249">
            <w:pPr>
              <w:pStyle w:val="TableParagraph"/>
              <w:spacing w:before="120"/>
              <w:ind w:left="1177" w:right="210" w:hanging="360"/>
            </w:pPr>
            <w:r w:rsidRPr="00EC20A0">
              <w:t>2.</w:t>
            </w:r>
            <w:r w:rsidRPr="00EC20A0">
              <w:rPr>
                <w:spacing w:val="80"/>
              </w:rPr>
              <w:t xml:space="preserve"> </w:t>
            </w:r>
            <w:r w:rsidRPr="00EC20A0">
              <w:t xml:space="preserve">If management’s results </w:t>
            </w:r>
            <w:r w:rsidRPr="00EC20A0">
              <w:t>cannot be relied upon for each system, assess the agency financial management systems’</w:t>
            </w:r>
            <w:r w:rsidRPr="00EC20A0">
              <w:rPr>
                <w:spacing w:val="-8"/>
              </w:rPr>
              <w:t xml:space="preserve"> </w:t>
            </w:r>
            <w:r w:rsidRPr="00EC20A0">
              <w:t>compliance</w:t>
            </w:r>
            <w:r w:rsidRPr="00EC20A0">
              <w:rPr>
                <w:spacing w:val="-8"/>
              </w:rPr>
              <w:t xml:space="preserve"> </w:t>
            </w:r>
            <w:r w:rsidRPr="00EC20A0">
              <w:t>with</w:t>
            </w:r>
            <w:r w:rsidRPr="00EC20A0">
              <w:rPr>
                <w:spacing w:val="-8"/>
              </w:rPr>
              <w:t xml:space="preserve"> </w:t>
            </w:r>
            <w:r w:rsidRPr="00EC20A0">
              <w:rPr>
                <w:i/>
              </w:rPr>
              <w:t>Federal</w:t>
            </w:r>
            <w:r w:rsidRPr="00EC20A0">
              <w:rPr>
                <w:i/>
                <w:spacing w:val="-8"/>
              </w:rPr>
              <w:t xml:space="preserve"> </w:t>
            </w:r>
            <w:r w:rsidRPr="00EC20A0">
              <w:rPr>
                <w:i/>
              </w:rPr>
              <w:t>Financial</w:t>
            </w:r>
            <w:r w:rsidRPr="00EC20A0">
              <w:rPr>
                <w:i/>
                <w:spacing w:val="-8"/>
              </w:rPr>
              <w:t xml:space="preserve"> </w:t>
            </w:r>
            <w:r w:rsidRPr="00EC20A0">
              <w:rPr>
                <w:i/>
              </w:rPr>
              <w:t xml:space="preserve">Management System Requirements </w:t>
            </w:r>
            <w:r w:rsidRPr="00EC20A0">
              <w:t>in the TFM.</w:t>
            </w:r>
          </w:p>
        </w:tc>
        <w:tc>
          <w:tcPr>
            <w:tcW w:w="1170" w:type="dxa"/>
            <w:tcBorders>
              <w:top w:val="single" w:sz="4" w:space="0" w:color="000000"/>
              <w:left w:val="single" w:sz="4" w:space="0" w:color="000000"/>
              <w:bottom w:val="single" w:sz="4" w:space="0" w:color="000000"/>
              <w:right w:val="single" w:sz="4" w:space="0" w:color="000000"/>
            </w:tcBorders>
          </w:tcPr>
          <w:p w14:paraId="24D6054A"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4B" w14:textId="77777777" w:rsidR="00245300" w:rsidRPr="00EC20A0" w:rsidRDefault="00245300">
            <w:pPr>
              <w:pStyle w:val="TableParagraph"/>
              <w:rPr>
                <w:sz w:val="20"/>
              </w:rPr>
            </w:pPr>
          </w:p>
        </w:tc>
      </w:tr>
      <w:tr w:rsidR="00245300" w:rsidRPr="00EC20A0" w14:paraId="24D60550" w14:textId="77777777">
        <w:trPr>
          <w:trHeight w:val="1758"/>
        </w:trPr>
        <w:tc>
          <w:tcPr>
            <w:tcW w:w="7060" w:type="dxa"/>
            <w:tcBorders>
              <w:top w:val="single" w:sz="4" w:space="0" w:color="000000"/>
              <w:bottom w:val="single" w:sz="4" w:space="0" w:color="000000"/>
              <w:right w:val="single" w:sz="4" w:space="0" w:color="000000"/>
            </w:tcBorders>
          </w:tcPr>
          <w:p w14:paraId="24D6054D" w14:textId="77777777" w:rsidR="00245300" w:rsidRPr="00EC20A0" w:rsidRDefault="00F17249">
            <w:pPr>
              <w:pStyle w:val="TableParagraph"/>
              <w:spacing w:before="120"/>
              <w:ind w:left="1177" w:right="132" w:hanging="360"/>
            </w:pPr>
            <w:r w:rsidRPr="00EC20A0">
              <w:t>3.</w:t>
            </w:r>
            <w:r w:rsidRPr="00EC20A0">
              <w:rPr>
                <w:spacing w:val="80"/>
              </w:rPr>
              <w:t xml:space="preserve"> </w:t>
            </w:r>
            <w:r w:rsidRPr="00EC20A0">
              <w:t xml:space="preserve">Ask whether there have been significant changes in the agency’s automated business processes. If so, determine whether the agency has assessed any new functionality in accordance with Treasury’s </w:t>
            </w:r>
            <w:r w:rsidRPr="00EC20A0">
              <w:rPr>
                <w:i/>
              </w:rPr>
              <w:t>Federal Financial</w:t>
            </w:r>
            <w:r w:rsidRPr="00EC20A0">
              <w:rPr>
                <w:i/>
                <w:spacing w:val="40"/>
              </w:rPr>
              <w:t xml:space="preserve"> </w:t>
            </w:r>
            <w:r w:rsidRPr="00EC20A0">
              <w:rPr>
                <w:i/>
              </w:rPr>
              <w:t>Management</w:t>
            </w:r>
            <w:r w:rsidRPr="00EC20A0">
              <w:rPr>
                <w:i/>
                <w:spacing w:val="-7"/>
              </w:rPr>
              <w:t xml:space="preserve"> </w:t>
            </w:r>
            <w:r w:rsidRPr="00EC20A0">
              <w:rPr>
                <w:i/>
              </w:rPr>
              <w:t>System</w:t>
            </w:r>
            <w:r w:rsidRPr="00EC20A0">
              <w:rPr>
                <w:i/>
                <w:spacing w:val="-8"/>
              </w:rPr>
              <w:t xml:space="preserve"> </w:t>
            </w:r>
            <w:r w:rsidRPr="00EC20A0">
              <w:rPr>
                <w:i/>
              </w:rPr>
              <w:t>Requirements</w:t>
            </w:r>
            <w:r w:rsidRPr="00EC20A0">
              <w:rPr>
                <w:i/>
                <w:spacing w:val="-6"/>
              </w:rPr>
              <w:t xml:space="preserve"> </w:t>
            </w:r>
            <w:r w:rsidRPr="00EC20A0">
              <w:t>in</w:t>
            </w:r>
            <w:r w:rsidRPr="00EC20A0">
              <w:rPr>
                <w:spacing w:val="-7"/>
              </w:rPr>
              <w:t xml:space="preserve"> </w:t>
            </w:r>
            <w:r w:rsidRPr="00EC20A0">
              <w:t>the</w:t>
            </w:r>
            <w:r w:rsidRPr="00EC20A0">
              <w:rPr>
                <w:spacing w:val="-7"/>
              </w:rPr>
              <w:t xml:space="preserve"> </w:t>
            </w:r>
            <w:r w:rsidRPr="00EC20A0">
              <w:t>TFM.</w:t>
            </w:r>
            <w:r w:rsidRPr="00EC20A0">
              <w:rPr>
                <w:spacing w:val="-7"/>
              </w:rPr>
              <w:t xml:space="preserve"> </w:t>
            </w:r>
            <w:r w:rsidRPr="00EC20A0">
              <w:t>Document the results.</w:t>
            </w:r>
          </w:p>
        </w:tc>
        <w:tc>
          <w:tcPr>
            <w:tcW w:w="1170" w:type="dxa"/>
            <w:tcBorders>
              <w:top w:val="single" w:sz="4" w:space="0" w:color="000000"/>
              <w:left w:val="single" w:sz="4" w:space="0" w:color="000000"/>
              <w:bottom w:val="single" w:sz="4" w:space="0" w:color="000000"/>
              <w:right w:val="single" w:sz="4" w:space="0" w:color="000000"/>
            </w:tcBorders>
          </w:tcPr>
          <w:p w14:paraId="24D6054E"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4F" w14:textId="77777777" w:rsidR="00245300" w:rsidRPr="00EC20A0" w:rsidRDefault="00245300">
            <w:pPr>
              <w:pStyle w:val="TableParagraph"/>
              <w:rPr>
                <w:sz w:val="20"/>
              </w:rPr>
            </w:pPr>
          </w:p>
        </w:tc>
      </w:tr>
      <w:tr w:rsidR="00245300" w:rsidRPr="00EC20A0" w14:paraId="24D60554" w14:textId="77777777">
        <w:trPr>
          <w:trHeight w:val="1251"/>
        </w:trPr>
        <w:tc>
          <w:tcPr>
            <w:tcW w:w="7060" w:type="dxa"/>
            <w:tcBorders>
              <w:top w:val="single" w:sz="4" w:space="0" w:color="000000"/>
              <w:bottom w:val="single" w:sz="4" w:space="0" w:color="000000"/>
              <w:right w:val="single" w:sz="4" w:space="0" w:color="000000"/>
            </w:tcBorders>
          </w:tcPr>
          <w:p w14:paraId="24D60551" w14:textId="77777777" w:rsidR="00245300" w:rsidRPr="00EC20A0" w:rsidRDefault="00F17249">
            <w:pPr>
              <w:pStyle w:val="TableParagraph"/>
              <w:spacing w:before="120"/>
              <w:ind w:left="1177" w:hanging="360"/>
            </w:pPr>
            <w:r w:rsidRPr="00EC20A0">
              <w:t>4.</w:t>
            </w:r>
            <w:r w:rsidRPr="00EC20A0">
              <w:rPr>
                <w:spacing w:val="80"/>
              </w:rPr>
              <w:t xml:space="preserve"> </w:t>
            </w:r>
            <w:r w:rsidRPr="00EC20A0">
              <w:t>Document in FAM 701 B the instances in which, and the related effect of, the agency’s financial management systems</w:t>
            </w:r>
            <w:r w:rsidRPr="00EC20A0">
              <w:rPr>
                <w:spacing w:val="-6"/>
              </w:rPr>
              <w:t xml:space="preserve"> </w:t>
            </w:r>
            <w:r w:rsidRPr="00EC20A0">
              <w:t>not</w:t>
            </w:r>
            <w:r w:rsidRPr="00EC20A0">
              <w:rPr>
                <w:spacing w:val="-7"/>
              </w:rPr>
              <w:t xml:space="preserve"> </w:t>
            </w:r>
            <w:r w:rsidRPr="00EC20A0">
              <w:t>complying</w:t>
            </w:r>
            <w:r w:rsidRPr="00EC20A0">
              <w:rPr>
                <w:spacing w:val="-6"/>
              </w:rPr>
              <w:t xml:space="preserve"> </w:t>
            </w:r>
            <w:r w:rsidRPr="00EC20A0">
              <w:t>substantially</w:t>
            </w:r>
            <w:r w:rsidRPr="00EC20A0">
              <w:rPr>
                <w:spacing w:val="-7"/>
              </w:rPr>
              <w:t xml:space="preserve"> </w:t>
            </w:r>
            <w:r w:rsidRPr="00EC20A0">
              <w:t>with</w:t>
            </w:r>
            <w:r w:rsidRPr="00EC20A0">
              <w:rPr>
                <w:spacing w:val="-6"/>
              </w:rPr>
              <w:t xml:space="preserve"> </w:t>
            </w:r>
            <w:r w:rsidRPr="00EC20A0">
              <w:rPr>
                <w:i/>
              </w:rPr>
              <w:t>Federal</w:t>
            </w:r>
            <w:r w:rsidRPr="00EC20A0">
              <w:rPr>
                <w:i/>
                <w:spacing w:val="-6"/>
              </w:rPr>
              <w:t xml:space="preserve"> </w:t>
            </w:r>
            <w:r w:rsidRPr="00EC20A0">
              <w:rPr>
                <w:i/>
              </w:rPr>
              <w:t xml:space="preserve">Financial Management System Requirements </w:t>
            </w:r>
            <w:r w:rsidRPr="00EC20A0">
              <w:t>in the TFM.</w:t>
            </w:r>
          </w:p>
        </w:tc>
        <w:tc>
          <w:tcPr>
            <w:tcW w:w="1170" w:type="dxa"/>
            <w:tcBorders>
              <w:top w:val="single" w:sz="4" w:space="0" w:color="000000"/>
              <w:left w:val="single" w:sz="4" w:space="0" w:color="000000"/>
              <w:bottom w:val="single" w:sz="4" w:space="0" w:color="000000"/>
              <w:right w:val="single" w:sz="4" w:space="0" w:color="000000"/>
            </w:tcBorders>
          </w:tcPr>
          <w:p w14:paraId="24D60552"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53" w14:textId="77777777" w:rsidR="00245300" w:rsidRPr="00EC20A0" w:rsidRDefault="00245300">
            <w:pPr>
              <w:pStyle w:val="TableParagraph"/>
              <w:rPr>
                <w:sz w:val="20"/>
              </w:rPr>
            </w:pPr>
          </w:p>
        </w:tc>
      </w:tr>
      <w:tr w:rsidR="00245300" w:rsidRPr="00EC20A0" w14:paraId="24D60558" w14:textId="77777777">
        <w:trPr>
          <w:trHeight w:val="2010"/>
        </w:trPr>
        <w:tc>
          <w:tcPr>
            <w:tcW w:w="7060" w:type="dxa"/>
            <w:tcBorders>
              <w:top w:val="single" w:sz="4" w:space="0" w:color="000000"/>
              <w:bottom w:val="single" w:sz="4" w:space="0" w:color="000000"/>
              <w:right w:val="single" w:sz="4" w:space="0" w:color="000000"/>
            </w:tcBorders>
          </w:tcPr>
          <w:p w14:paraId="24D60555" w14:textId="77777777" w:rsidR="00245300" w:rsidRPr="00EC20A0" w:rsidRDefault="00F17249">
            <w:pPr>
              <w:pStyle w:val="TableParagraph"/>
              <w:spacing w:before="120"/>
              <w:ind w:left="875" w:right="111" w:hanging="360"/>
            </w:pPr>
            <w:r w:rsidRPr="00EC20A0">
              <w:t>C.</w:t>
            </w:r>
            <w:r w:rsidRPr="00EC20A0">
              <w:rPr>
                <w:spacing w:val="80"/>
              </w:rPr>
              <w:t xml:space="preserve"> </w:t>
            </w:r>
            <w:r w:rsidRPr="00EC20A0">
              <w:t xml:space="preserve">Determine if financial management system security risks are at an acceptable level. Coordinate with an information system (IS) controls auditor to determine if the agency has implemented and </w:t>
            </w:r>
            <w:r w:rsidRPr="00EC20A0">
              <w:t>maintains a program to provide adequate security</w:t>
            </w:r>
            <w:r w:rsidRPr="00EC20A0">
              <w:rPr>
                <w:spacing w:val="-6"/>
              </w:rPr>
              <w:t xml:space="preserve"> </w:t>
            </w:r>
            <w:r w:rsidRPr="00EC20A0">
              <w:t>for</w:t>
            </w:r>
            <w:r w:rsidRPr="00EC20A0">
              <w:rPr>
                <w:spacing w:val="-7"/>
              </w:rPr>
              <w:t xml:space="preserve"> </w:t>
            </w:r>
            <w:r w:rsidRPr="00EC20A0">
              <w:t>all</w:t>
            </w:r>
            <w:r w:rsidRPr="00EC20A0">
              <w:rPr>
                <w:spacing w:val="-5"/>
              </w:rPr>
              <w:t xml:space="preserve"> </w:t>
            </w:r>
            <w:r w:rsidRPr="00EC20A0">
              <w:t>agency</w:t>
            </w:r>
            <w:r w:rsidRPr="00EC20A0">
              <w:rPr>
                <w:spacing w:val="-6"/>
              </w:rPr>
              <w:t xml:space="preserve"> </w:t>
            </w:r>
            <w:r w:rsidRPr="00EC20A0">
              <w:t>information</w:t>
            </w:r>
            <w:r w:rsidRPr="00EC20A0">
              <w:rPr>
                <w:spacing w:val="-5"/>
              </w:rPr>
              <w:t xml:space="preserve"> </w:t>
            </w:r>
            <w:r w:rsidRPr="00EC20A0">
              <w:t>that</w:t>
            </w:r>
            <w:r w:rsidRPr="00EC20A0">
              <w:rPr>
                <w:spacing w:val="-5"/>
              </w:rPr>
              <w:t xml:space="preserve"> </w:t>
            </w:r>
            <w:r w:rsidRPr="00EC20A0">
              <w:t>is</w:t>
            </w:r>
            <w:r w:rsidRPr="00EC20A0">
              <w:rPr>
                <w:spacing w:val="-5"/>
              </w:rPr>
              <w:t xml:space="preserve"> </w:t>
            </w:r>
            <w:r w:rsidRPr="00EC20A0">
              <w:t>collected,</w:t>
            </w:r>
            <w:r w:rsidRPr="00EC20A0">
              <w:rPr>
                <w:spacing w:val="-5"/>
              </w:rPr>
              <w:t xml:space="preserve"> </w:t>
            </w:r>
            <w:r w:rsidRPr="00EC20A0">
              <w:t xml:space="preserve">processed, transmitted, stored, or disseminated in financial management </w:t>
            </w:r>
            <w:r w:rsidRPr="00EC20A0">
              <w:rPr>
                <w:spacing w:val="-2"/>
              </w:rPr>
              <w:t>systems.</w:t>
            </w:r>
          </w:p>
        </w:tc>
        <w:tc>
          <w:tcPr>
            <w:tcW w:w="1170" w:type="dxa"/>
            <w:tcBorders>
              <w:top w:val="single" w:sz="4" w:space="0" w:color="000000"/>
              <w:left w:val="single" w:sz="4" w:space="0" w:color="000000"/>
              <w:bottom w:val="single" w:sz="4" w:space="0" w:color="000000"/>
              <w:right w:val="single" w:sz="4" w:space="0" w:color="000000"/>
            </w:tcBorders>
          </w:tcPr>
          <w:p w14:paraId="24D60556"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57" w14:textId="77777777" w:rsidR="00245300" w:rsidRPr="00EC20A0" w:rsidRDefault="00245300">
            <w:pPr>
              <w:pStyle w:val="TableParagraph"/>
              <w:rPr>
                <w:sz w:val="20"/>
              </w:rPr>
            </w:pPr>
          </w:p>
        </w:tc>
      </w:tr>
      <w:tr w:rsidR="00245300" w:rsidRPr="00EC20A0" w14:paraId="24D6055C" w14:textId="77777777">
        <w:trPr>
          <w:trHeight w:val="1132"/>
        </w:trPr>
        <w:tc>
          <w:tcPr>
            <w:tcW w:w="7060" w:type="dxa"/>
            <w:tcBorders>
              <w:top w:val="single" w:sz="4" w:space="0" w:color="000000"/>
              <w:bottom w:val="single" w:sz="4" w:space="0" w:color="000000"/>
              <w:right w:val="single" w:sz="4" w:space="0" w:color="000000"/>
            </w:tcBorders>
          </w:tcPr>
          <w:p w14:paraId="24D60559" w14:textId="77777777" w:rsidR="00245300" w:rsidRPr="00EC20A0" w:rsidRDefault="00F17249">
            <w:pPr>
              <w:pStyle w:val="TableParagraph"/>
              <w:spacing w:before="60"/>
              <w:ind w:left="1177" w:right="138" w:hanging="360"/>
            </w:pPr>
            <w:r w:rsidRPr="00EC20A0">
              <w:t>1.</w:t>
            </w:r>
            <w:r w:rsidRPr="00EC20A0">
              <w:rPr>
                <w:spacing w:val="80"/>
              </w:rPr>
              <w:t xml:space="preserve"> </w:t>
            </w:r>
            <w:r w:rsidRPr="00EC20A0">
              <w:t>Have the IS controls auditor review the annual management</w:t>
            </w:r>
            <w:r w:rsidRPr="00EC20A0">
              <w:rPr>
                <w:spacing w:val="-5"/>
              </w:rPr>
              <w:t xml:space="preserve"> </w:t>
            </w:r>
            <w:r w:rsidRPr="00EC20A0">
              <w:t>testing</w:t>
            </w:r>
            <w:r w:rsidRPr="00EC20A0">
              <w:rPr>
                <w:spacing w:val="-5"/>
              </w:rPr>
              <w:t xml:space="preserve"> </w:t>
            </w:r>
            <w:r w:rsidRPr="00EC20A0">
              <w:t>and</w:t>
            </w:r>
            <w:r w:rsidRPr="00EC20A0">
              <w:rPr>
                <w:spacing w:val="-6"/>
              </w:rPr>
              <w:t xml:space="preserve"> </w:t>
            </w:r>
            <w:r w:rsidRPr="00EC20A0">
              <w:t>evaluation</w:t>
            </w:r>
            <w:r w:rsidRPr="00EC20A0">
              <w:rPr>
                <w:spacing w:val="-6"/>
              </w:rPr>
              <w:t xml:space="preserve"> </w:t>
            </w:r>
            <w:r w:rsidRPr="00EC20A0">
              <w:t>of</w:t>
            </w:r>
            <w:r w:rsidRPr="00EC20A0">
              <w:rPr>
                <w:spacing w:val="-5"/>
              </w:rPr>
              <w:t xml:space="preserve"> </w:t>
            </w:r>
            <w:r w:rsidRPr="00EC20A0">
              <w:t>the</w:t>
            </w:r>
            <w:r w:rsidRPr="00EC20A0">
              <w:rPr>
                <w:spacing w:val="-5"/>
              </w:rPr>
              <w:t xml:space="preserve"> </w:t>
            </w:r>
            <w:r w:rsidRPr="00EC20A0">
              <w:t>effectiveness</w:t>
            </w:r>
            <w:r w:rsidRPr="00EC20A0">
              <w:rPr>
                <w:spacing w:val="-5"/>
              </w:rPr>
              <w:t xml:space="preserve"> </w:t>
            </w:r>
            <w:r w:rsidRPr="00EC20A0">
              <w:t>of information security,</w:t>
            </w:r>
            <w:r w:rsidRPr="00EC20A0">
              <w:rPr>
                <w:spacing w:val="-1"/>
              </w:rPr>
              <w:t xml:space="preserve"> </w:t>
            </w:r>
            <w:r w:rsidRPr="00EC20A0">
              <w:t>policies, procedures, and practices</w:t>
            </w:r>
            <w:r w:rsidRPr="00EC20A0">
              <w:rPr>
                <w:spacing w:val="-1"/>
              </w:rPr>
              <w:t xml:space="preserve"> </w:t>
            </w:r>
            <w:r w:rsidRPr="00EC20A0">
              <w:t>in accordance with FISMA.</w:t>
            </w:r>
          </w:p>
        </w:tc>
        <w:tc>
          <w:tcPr>
            <w:tcW w:w="1170" w:type="dxa"/>
            <w:tcBorders>
              <w:top w:val="single" w:sz="4" w:space="0" w:color="000000"/>
              <w:left w:val="single" w:sz="4" w:space="0" w:color="000000"/>
              <w:bottom w:val="single" w:sz="4" w:space="0" w:color="000000"/>
              <w:right w:val="single" w:sz="4" w:space="0" w:color="000000"/>
            </w:tcBorders>
          </w:tcPr>
          <w:p w14:paraId="24D6055A"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5B" w14:textId="77777777" w:rsidR="00245300" w:rsidRPr="00EC20A0" w:rsidRDefault="00245300">
            <w:pPr>
              <w:pStyle w:val="TableParagraph"/>
              <w:rPr>
                <w:sz w:val="20"/>
              </w:rPr>
            </w:pPr>
          </w:p>
        </w:tc>
      </w:tr>
      <w:tr w:rsidR="00245300" w:rsidRPr="00EC20A0" w14:paraId="24D60560" w14:textId="77777777">
        <w:trPr>
          <w:trHeight w:val="1131"/>
        </w:trPr>
        <w:tc>
          <w:tcPr>
            <w:tcW w:w="7060" w:type="dxa"/>
            <w:tcBorders>
              <w:top w:val="single" w:sz="4" w:space="0" w:color="000000"/>
              <w:right w:val="single" w:sz="4" w:space="0" w:color="000000"/>
            </w:tcBorders>
          </w:tcPr>
          <w:p w14:paraId="24D6055D" w14:textId="77777777" w:rsidR="00245300" w:rsidRPr="00EC20A0" w:rsidRDefault="00F17249">
            <w:pPr>
              <w:pStyle w:val="TableParagraph"/>
              <w:spacing w:before="60"/>
              <w:ind w:left="1177" w:right="138" w:hanging="360"/>
            </w:pPr>
            <w:r w:rsidRPr="00EC20A0">
              <w:t>2.</w:t>
            </w:r>
            <w:r w:rsidRPr="00EC20A0">
              <w:rPr>
                <w:spacing w:val="80"/>
              </w:rPr>
              <w:t xml:space="preserve"> </w:t>
            </w:r>
            <w:r w:rsidRPr="00EC20A0">
              <w:t>Document</w:t>
            </w:r>
            <w:r w:rsidRPr="00EC20A0">
              <w:rPr>
                <w:spacing w:val="-4"/>
              </w:rPr>
              <w:t xml:space="preserve"> </w:t>
            </w:r>
            <w:r w:rsidRPr="00EC20A0">
              <w:t>any</w:t>
            </w:r>
            <w:r w:rsidRPr="00EC20A0">
              <w:rPr>
                <w:spacing w:val="-4"/>
              </w:rPr>
              <w:t xml:space="preserve"> </w:t>
            </w:r>
            <w:r w:rsidRPr="00EC20A0">
              <w:t>unacceptable</w:t>
            </w:r>
            <w:r w:rsidRPr="00EC20A0">
              <w:rPr>
                <w:spacing w:val="-4"/>
              </w:rPr>
              <w:t xml:space="preserve"> </w:t>
            </w:r>
            <w:r w:rsidRPr="00EC20A0">
              <w:t>security</w:t>
            </w:r>
            <w:r w:rsidRPr="00EC20A0">
              <w:rPr>
                <w:spacing w:val="-4"/>
              </w:rPr>
              <w:t xml:space="preserve"> </w:t>
            </w:r>
            <w:r w:rsidRPr="00EC20A0">
              <w:t>risks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 xml:space="preserve">related effect on the financial management systems identified by the IS controls auditor in the schedule shown in FAM 701 </w:t>
            </w:r>
            <w:r w:rsidRPr="00EC20A0">
              <w:rPr>
                <w:spacing w:val="-6"/>
              </w:rPr>
              <w:t>B.</w:t>
            </w:r>
          </w:p>
        </w:tc>
        <w:tc>
          <w:tcPr>
            <w:tcW w:w="1170" w:type="dxa"/>
            <w:tcBorders>
              <w:top w:val="single" w:sz="4" w:space="0" w:color="000000"/>
              <w:left w:val="single" w:sz="4" w:space="0" w:color="000000"/>
              <w:right w:val="single" w:sz="4" w:space="0" w:color="000000"/>
            </w:tcBorders>
          </w:tcPr>
          <w:p w14:paraId="24D6055E" w14:textId="77777777" w:rsidR="00245300" w:rsidRPr="00EC20A0" w:rsidRDefault="00245300">
            <w:pPr>
              <w:pStyle w:val="TableParagraph"/>
              <w:rPr>
                <w:sz w:val="20"/>
              </w:rPr>
            </w:pPr>
          </w:p>
        </w:tc>
        <w:tc>
          <w:tcPr>
            <w:tcW w:w="1249" w:type="dxa"/>
            <w:tcBorders>
              <w:top w:val="single" w:sz="4" w:space="0" w:color="000000"/>
              <w:left w:val="single" w:sz="4" w:space="0" w:color="000000"/>
            </w:tcBorders>
          </w:tcPr>
          <w:p w14:paraId="24D6055F" w14:textId="77777777" w:rsidR="00245300" w:rsidRPr="00EC20A0" w:rsidRDefault="00245300">
            <w:pPr>
              <w:pStyle w:val="TableParagraph"/>
              <w:rPr>
                <w:sz w:val="20"/>
              </w:rPr>
            </w:pPr>
          </w:p>
        </w:tc>
      </w:tr>
    </w:tbl>
    <w:p w14:paraId="24D60561" w14:textId="77777777" w:rsidR="00245300" w:rsidRPr="00EC20A0" w:rsidRDefault="00245300">
      <w:pPr>
        <w:rPr>
          <w:sz w:val="20"/>
        </w:rPr>
        <w:sectPr w:rsidR="00245300" w:rsidRPr="00EC20A0">
          <w:pgSz w:w="12240" w:h="15840"/>
          <w:pgMar w:top="1340" w:right="940" w:bottom="940" w:left="1020" w:header="721" w:footer="757" w:gutter="0"/>
          <w:cols w:space="720"/>
        </w:sectPr>
      </w:pPr>
    </w:p>
    <w:p w14:paraId="24D60562" w14:textId="77777777" w:rsidR="00245300" w:rsidRPr="00EC20A0" w:rsidRDefault="00245300">
      <w:pPr>
        <w:pStyle w:val="BodyText"/>
        <w:spacing w:before="4"/>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568" w14:textId="77777777">
        <w:trPr>
          <w:trHeight w:val="746"/>
        </w:trPr>
        <w:tc>
          <w:tcPr>
            <w:tcW w:w="7060" w:type="dxa"/>
            <w:tcBorders>
              <w:right w:val="single" w:sz="4" w:space="0" w:color="000000"/>
            </w:tcBorders>
          </w:tcPr>
          <w:p w14:paraId="24D60563" w14:textId="77777777" w:rsidR="00245300" w:rsidRPr="00EC20A0" w:rsidRDefault="00245300">
            <w:pPr>
              <w:pStyle w:val="TableParagraph"/>
              <w:spacing w:before="120"/>
            </w:pPr>
          </w:p>
          <w:p w14:paraId="24D60564" w14:textId="77777777" w:rsidR="00245300" w:rsidRPr="00EC20A0" w:rsidRDefault="00F17249">
            <w:pPr>
              <w:pStyle w:val="TableParagraph"/>
              <w:spacing w:before="1"/>
              <w:ind w:left="97"/>
              <w:rPr>
                <w:b/>
              </w:rPr>
            </w:pPr>
            <w:r w:rsidRPr="00EC20A0">
              <w:rPr>
                <w:b/>
                <w:spacing w:val="-2"/>
              </w:rPr>
              <w:t>Procedure</w:t>
            </w:r>
          </w:p>
        </w:tc>
        <w:tc>
          <w:tcPr>
            <w:tcW w:w="1170" w:type="dxa"/>
            <w:tcBorders>
              <w:left w:val="single" w:sz="4" w:space="0" w:color="000000"/>
              <w:right w:val="single" w:sz="4" w:space="0" w:color="000000"/>
            </w:tcBorders>
          </w:tcPr>
          <w:p w14:paraId="24D60565"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566" w14:textId="77777777" w:rsidR="00245300" w:rsidRPr="00EC20A0" w:rsidRDefault="00245300">
            <w:pPr>
              <w:pStyle w:val="TableParagraph"/>
              <w:spacing w:before="120"/>
            </w:pPr>
          </w:p>
          <w:p w14:paraId="24D60567" w14:textId="77777777" w:rsidR="00245300" w:rsidRPr="00EC20A0" w:rsidRDefault="00F17249">
            <w:pPr>
              <w:pStyle w:val="TableParagraph"/>
              <w:spacing w:before="1"/>
              <w:ind w:left="107"/>
              <w:rPr>
                <w:b/>
              </w:rPr>
            </w:pPr>
            <w:r w:rsidRPr="00EC20A0">
              <w:rPr>
                <w:b/>
              </w:rPr>
              <w:t>Doc.</w:t>
            </w:r>
            <w:r w:rsidRPr="00EC20A0">
              <w:rPr>
                <w:b/>
                <w:spacing w:val="-6"/>
              </w:rPr>
              <w:t xml:space="preserve"> </w:t>
            </w:r>
            <w:r w:rsidRPr="00EC20A0">
              <w:rPr>
                <w:b/>
                <w:spacing w:val="-4"/>
              </w:rPr>
              <w:t>ref.</w:t>
            </w:r>
          </w:p>
        </w:tc>
      </w:tr>
      <w:tr w:rsidR="00245300" w:rsidRPr="00EC20A0" w14:paraId="24D6056D" w14:textId="77777777">
        <w:trPr>
          <w:trHeight w:val="3256"/>
        </w:trPr>
        <w:tc>
          <w:tcPr>
            <w:tcW w:w="7060" w:type="dxa"/>
            <w:tcBorders>
              <w:bottom w:val="single" w:sz="4" w:space="0" w:color="000000"/>
              <w:right w:val="single" w:sz="4" w:space="0" w:color="000000"/>
            </w:tcBorders>
          </w:tcPr>
          <w:p w14:paraId="24D60569" w14:textId="77777777" w:rsidR="00245300" w:rsidRPr="00EC20A0" w:rsidRDefault="00F17249">
            <w:pPr>
              <w:pStyle w:val="TableParagraph"/>
              <w:spacing w:before="100"/>
              <w:ind w:left="875" w:right="138" w:hanging="360"/>
            </w:pPr>
            <w:r w:rsidRPr="00EC20A0">
              <w:t>D.</w:t>
            </w:r>
            <w:r w:rsidRPr="00EC20A0">
              <w:rPr>
                <w:spacing w:val="68"/>
              </w:rPr>
              <w:t xml:space="preserve"> </w:t>
            </w:r>
            <w:r w:rsidRPr="00EC20A0">
              <w:t>Determine</w:t>
            </w:r>
            <w:r w:rsidRPr="00EC20A0">
              <w:rPr>
                <w:spacing w:val="-5"/>
              </w:rPr>
              <w:t xml:space="preserve"> </w:t>
            </w:r>
            <w:r w:rsidRPr="00EC20A0">
              <w:t>if</w:t>
            </w:r>
            <w:r w:rsidRPr="00EC20A0">
              <w:rPr>
                <w:spacing w:val="-5"/>
              </w:rPr>
              <w:t xml:space="preserve"> </w:t>
            </w:r>
            <w:r w:rsidRPr="00EC20A0">
              <w:t>financial</w:t>
            </w:r>
            <w:r w:rsidRPr="00EC20A0">
              <w:rPr>
                <w:spacing w:val="-6"/>
              </w:rPr>
              <w:t xml:space="preserve"> </w:t>
            </w:r>
            <w:r w:rsidRPr="00EC20A0">
              <w:t>management</w:t>
            </w:r>
            <w:r w:rsidRPr="00EC20A0">
              <w:rPr>
                <w:spacing w:val="-5"/>
              </w:rPr>
              <w:t xml:space="preserve"> </w:t>
            </w:r>
            <w:r w:rsidRPr="00EC20A0">
              <w:t>systems</w:t>
            </w:r>
            <w:r w:rsidRPr="00EC20A0">
              <w:rPr>
                <w:spacing w:val="-5"/>
              </w:rPr>
              <w:t xml:space="preserve"> </w:t>
            </w:r>
            <w:r w:rsidRPr="00EC20A0">
              <w:t>include</w:t>
            </w:r>
            <w:r w:rsidRPr="00EC20A0">
              <w:rPr>
                <w:spacing w:val="-5"/>
              </w:rPr>
              <w:t xml:space="preserve"> </w:t>
            </w:r>
            <w:r w:rsidRPr="00EC20A0">
              <w:t xml:space="preserve">effective </w:t>
            </w:r>
            <w:r w:rsidRPr="00EC20A0">
              <w:t>internal controls to (1) safeguard resources against waste, loss, and misuse, and whether reliable data are obtained, maintained, and disclosed in system-generated reports, and</w:t>
            </w:r>
          </w:p>
          <w:p w14:paraId="24D6056A" w14:textId="77777777" w:rsidR="00245300" w:rsidRPr="00EC20A0" w:rsidRDefault="00F17249">
            <w:pPr>
              <w:pStyle w:val="TableParagraph"/>
              <w:ind w:left="874" w:right="138"/>
            </w:pPr>
            <w:r w:rsidRPr="00EC20A0">
              <w:t xml:space="preserve">(2) restrict federal obligations and outlays to those authorized by law and within the amount, time, and purpose available (i.e., </w:t>
            </w:r>
            <w:proofErr w:type="spellStart"/>
            <w:r w:rsidRPr="00EC20A0">
              <w:t>Antideficiency</w:t>
            </w:r>
            <w:proofErr w:type="spellEnd"/>
            <w:r w:rsidRPr="00EC20A0">
              <w:t xml:space="preserve"> Act). The auditor may obtain some of the information needed to make this determination from the work performed in the internal control phase. The auditor may identify</w:t>
            </w:r>
            <w:r w:rsidRPr="00EC20A0">
              <w:rPr>
                <w:spacing w:val="-6"/>
              </w:rPr>
              <w:t xml:space="preserve"> </w:t>
            </w:r>
            <w:r w:rsidRPr="00EC20A0">
              <w:t>other</w:t>
            </w:r>
            <w:r w:rsidRPr="00EC20A0">
              <w:rPr>
                <w:spacing w:val="-6"/>
              </w:rPr>
              <w:t xml:space="preserve"> </w:t>
            </w:r>
            <w:r w:rsidRPr="00EC20A0">
              <w:t>systems’</w:t>
            </w:r>
            <w:r w:rsidRPr="00EC20A0">
              <w:rPr>
                <w:spacing w:val="-6"/>
              </w:rPr>
              <w:t xml:space="preserve"> </w:t>
            </w:r>
            <w:r w:rsidRPr="00EC20A0">
              <w:t>internal</w:t>
            </w:r>
            <w:r w:rsidRPr="00EC20A0">
              <w:rPr>
                <w:spacing w:val="-6"/>
              </w:rPr>
              <w:t xml:space="preserve"> </w:t>
            </w:r>
            <w:r w:rsidRPr="00EC20A0">
              <w:t>control</w:t>
            </w:r>
            <w:r w:rsidRPr="00EC20A0">
              <w:rPr>
                <w:spacing w:val="-6"/>
              </w:rPr>
              <w:t xml:space="preserve"> </w:t>
            </w:r>
            <w:r w:rsidRPr="00EC20A0">
              <w:t>weaknesses</w:t>
            </w:r>
            <w:r w:rsidRPr="00EC20A0">
              <w:rPr>
                <w:spacing w:val="-6"/>
              </w:rPr>
              <w:t xml:space="preserve"> </w:t>
            </w:r>
            <w:r w:rsidRPr="00EC20A0">
              <w:t>from</w:t>
            </w:r>
            <w:r w:rsidRPr="00EC20A0">
              <w:rPr>
                <w:spacing w:val="-6"/>
              </w:rPr>
              <w:t xml:space="preserve"> </w:t>
            </w:r>
            <w:r w:rsidRPr="00EC20A0">
              <w:t>other audit reports reviewed and steps performed. Document the results in FAM 701 B.</w:t>
            </w:r>
          </w:p>
        </w:tc>
        <w:tc>
          <w:tcPr>
            <w:tcW w:w="1170" w:type="dxa"/>
            <w:tcBorders>
              <w:left w:val="single" w:sz="4" w:space="0" w:color="000000"/>
              <w:bottom w:val="single" w:sz="4" w:space="0" w:color="000000"/>
              <w:right w:val="single" w:sz="4" w:space="0" w:color="000000"/>
            </w:tcBorders>
          </w:tcPr>
          <w:p w14:paraId="24D6056B" w14:textId="77777777" w:rsidR="00245300" w:rsidRPr="00EC20A0" w:rsidRDefault="00245300">
            <w:pPr>
              <w:pStyle w:val="TableParagraph"/>
              <w:rPr>
                <w:sz w:val="20"/>
              </w:rPr>
            </w:pPr>
          </w:p>
        </w:tc>
        <w:tc>
          <w:tcPr>
            <w:tcW w:w="1249" w:type="dxa"/>
            <w:tcBorders>
              <w:left w:val="single" w:sz="4" w:space="0" w:color="000000"/>
              <w:bottom w:val="single" w:sz="4" w:space="0" w:color="000000"/>
            </w:tcBorders>
          </w:tcPr>
          <w:p w14:paraId="24D6056C" w14:textId="77777777" w:rsidR="00245300" w:rsidRPr="00EC20A0" w:rsidRDefault="00245300">
            <w:pPr>
              <w:pStyle w:val="TableParagraph"/>
              <w:rPr>
                <w:sz w:val="20"/>
              </w:rPr>
            </w:pPr>
          </w:p>
        </w:tc>
      </w:tr>
      <w:tr w:rsidR="00245300" w:rsidRPr="00EC20A0" w14:paraId="24D60575" w14:textId="77777777">
        <w:trPr>
          <w:trHeight w:val="4546"/>
        </w:trPr>
        <w:tc>
          <w:tcPr>
            <w:tcW w:w="7060" w:type="dxa"/>
            <w:tcBorders>
              <w:top w:val="single" w:sz="4" w:space="0" w:color="000000"/>
              <w:bottom w:val="single" w:sz="4" w:space="0" w:color="000000"/>
              <w:right w:val="single" w:sz="4" w:space="0" w:color="000000"/>
            </w:tcBorders>
          </w:tcPr>
          <w:p w14:paraId="24D6056E" w14:textId="77777777" w:rsidR="00245300" w:rsidRPr="00EC20A0" w:rsidRDefault="00F17249">
            <w:pPr>
              <w:pStyle w:val="TableParagraph"/>
              <w:spacing w:before="120"/>
              <w:ind w:left="97"/>
              <w:rPr>
                <w:b/>
              </w:rPr>
            </w:pPr>
            <w:r w:rsidRPr="00EC20A0">
              <w:rPr>
                <w:b/>
              </w:rPr>
              <w:t>III.</w:t>
            </w:r>
            <w:r w:rsidRPr="00EC20A0">
              <w:rPr>
                <w:b/>
                <w:spacing w:val="-8"/>
              </w:rPr>
              <w:t xml:space="preserve"> </w:t>
            </w:r>
            <w:r w:rsidRPr="00EC20A0">
              <w:rPr>
                <w:b/>
              </w:rPr>
              <w:t>Testing</w:t>
            </w:r>
            <w:r w:rsidRPr="00EC20A0">
              <w:rPr>
                <w:b/>
                <w:spacing w:val="-8"/>
              </w:rPr>
              <w:t xml:space="preserve"> </w:t>
            </w:r>
            <w:r w:rsidRPr="00EC20A0">
              <w:rPr>
                <w:b/>
              </w:rPr>
              <w:t>for</w:t>
            </w:r>
            <w:r w:rsidRPr="00EC20A0">
              <w:rPr>
                <w:b/>
                <w:spacing w:val="-8"/>
              </w:rPr>
              <w:t xml:space="preserve"> </w:t>
            </w:r>
            <w:r w:rsidRPr="00EC20A0">
              <w:rPr>
                <w:b/>
              </w:rPr>
              <w:t>compliance</w:t>
            </w:r>
            <w:r w:rsidRPr="00EC20A0">
              <w:rPr>
                <w:b/>
                <w:spacing w:val="-8"/>
              </w:rPr>
              <w:t xml:space="preserve"> </w:t>
            </w:r>
            <w:r w:rsidRPr="00EC20A0">
              <w:rPr>
                <w:b/>
              </w:rPr>
              <w:t>with</w:t>
            </w:r>
            <w:r w:rsidRPr="00EC20A0">
              <w:rPr>
                <w:b/>
                <w:spacing w:val="-7"/>
              </w:rPr>
              <w:t xml:space="preserve"> </w:t>
            </w:r>
            <w:r w:rsidRPr="00EC20A0">
              <w:rPr>
                <w:b/>
              </w:rPr>
              <w:t>federal</w:t>
            </w:r>
            <w:r w:rsidRPr="00EC20A0">
              <w:rPr>
                <w:b/>
                <w:spacing w:val="-8"/>
              </w:rPr>
              <w:t xml:space="preserve"> </w:t>
            </w:r>
            <w:r w:rsidRPr="00EC20A0">
              <w:rPr>
                <w:b/>
              </w:rPr>
              <w:t>accounting</w:t>
            </w:r>
            <w:r w:rsidRPr="00EC20A0">
              <w:rPr>
                <w:b/>
                <w:spacing w:val="-7"/>
              </w:rPr>
              <w:t xml:space="preserve"> </w:t>
            </w:r>
            <w:r w:rsidRPr="00EC20A0">
              <w:rPr>
                <w:b/>
                <w:spacing w:val="-2"/>
              </w:rPr>
              <w:t>standards</w:t>
            </w:r>
          </w:p>
          <w:p w14:paraId="24D6056F" w14:textId="77777777" w:rsidR="00245300" w:rsidRPr="00EC20A0" w:rsidRDefault="00F17249">
            <w:pPr>
              <w:pStyle w:val="TableParagraph"/>
              <w:numPr>
                <w:ilvl w:val="0"/>
                <w:numId w:val="176"/>
              </w:numPr>
              <w:tabs>
                <w:tab w:val="left" w:pos="933"/>
              </w:tabs>
              <w:spacing w:before="240"/>
              <w:ind w:right="296"/>
            </w:pPr>
            <w:r w:rsidRPr="00EC20A0">
              <w:t>Determine</w:t>
            </w:r>
            <w:r w:rsidRPr="00EC20A0">
              <w:rPr>
                <w:spacing w:val="-6"/>
              </w:rPr>
              <w:t xml:space="preserve"> </w:t>
            </w:r>
            <w:r w:rsidRPr="00EC20A0">
              <w:t>if</w:t>
            </w:r>
            <w:r w:rsidRPr="00EC20A0">
              <w:rPr>
                <w:spacing w:val="-6"/>
              </w:rPr>
              <w:t xml:space="preserve"> </w:t>
            </w:r>
            <w:r w:rsidRPr="00EC20A0">
              <w:t>the</w:t>
            </w:r>
            <w:r w:rsidRPr="00EC20A0">
              <w:rPr>
                <w:spacing w:val="-6"/>
              </w:rPr>
              <w:t xml:space="preserve"> </w:t>
            </w:r>
            <w:r w:rsidRPr="00EC20A0">
              <w:t>agency’s</w:t>
            </w:r>
            <w:r w:rsidRPr="00EC20A0">
              <w:rPr>
                <w:spacing w:val="-6"/>
              </w:rPr>
              <w:t xml:space="preserve"> </w:t>
            </w:r>
            <w:r w:rsidRPr="00EC20A0">
              <w:t>financial</w:t>
            </w:r>
            <w:r w:rsidRPr="00EC20A0">
              <w:rPr>
                <w:spacing w:val="-6"/>
              </w:rPr>
              <w:t xml:space="preserve"> </w:t>
            </w:r>
            <w:r w:rsidRPr="00EC20A0">
              <w:t>statements</w:t>
            </w:r>
            <w:r w:rsidRPr="00EC20A0">
              <w:rPr>
                <w:spacing w:val="-6"/>
              </w:rPr>
              <w:t xml:space="preserve"> </w:t>
            </w:r>
            <w:r w:rsidRPr="00EC20A0">
              <w:t>are</w:t>
            </w:r>
            <w:r w:rsidRPr="00EC20A0">
              <w:rPr>
                <w:spacing w:val="-6"/>
              </w:rPr>
              <w:t xml:space="preserve"> </w:t>
            </w:r>
            <w:r w:rsidRPr="00EC20A0">
              <w:t xml:space="preserve">compiled in </w:t>
            </w:r>
            <w:r w:rsidRPr="00EC20A0">
              <w:t>accordance with applicable accounting standards by examining whether</w:t>
            </w:r>
          </w:p>
          <w:p w14:paraId="24D60570" w14:textId="77777777" w:rsidR="00245300" w:rsidRPr="00EC20A0" w:rsidRDefault="00F17249">
            <w:pPr>
              <w:pStyle w:val="TableParagraph"/>
              <w:numPr>
                <w:ilvl w:val="1"/>
                <w:numId w:val="176"/>
              </w:numPr>
              <w:tabs>
                <w:tab w:val="left" w:pos="1357"/>
              </w:tabs>
              <w:spacing w:before="239"/>
              <w:ind w:right="521"/>
            </w:pPr>
            <w:r w:rsidRPr="00EC20A0">
              <w:t>any</w:t>
            </w:r>
            <w:r w:rsidRPr="00EC20A0">
              <w:rPr>
                <w:spacing w:val="-5"/>
              </w:rPr>
              <w:t xml:space="preserve"> </w:t>
            </w:r>
            <w:r w:rsidRPr="00EC20A0">
              <w:t>issues</w:t>
            </w:r>
            <w:r w:rsidRPr="00EC20A0">
              <w:rPr>
                <w:spacing w:val="-5"/>
              </w:rPr>
              <w:t xml:space="preserve"> </w:t>
            </w:r>
            <w:r w:rsidRPr="00EC20A0">
              <w:t>reported</w:t>
            </w:r>
            <w:r w:rsidRPr="00EC20A0">
              <w:rPr>
                <w:spacing w:val="-5"/>
              </w:rPr>
              <w:t xml:space="preserve"> </w:t>
            </w:r>
            <w:r w:rsidRPr="00EC20A0">
              <w:t>as</w:t>
            </w:r>
            <w:r w:rsidRPr="00EC20A0">
              <w:rPr>
                <w:spacing w:val="-5"/>
              </w:rPr>
              <w:t xml:space="preserve"> </w:t>
            </w:r>
            <w:r w:rsidRPr="00EC20A0">
              <w:t>part</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 xml:space="preserve">statement audit were related to agency implementation of accounting standards in its financial management </w:t>
            </w:r>
            <w:r w:rsidRPr="00EC20A0">
              <w:rPr>
                <w:spacing w:val="-2"/>
              </w:rPr>
              <w:t>systems,</w:t>
            </w:r>
          </w:p>
          <w:p w14:paraId="24D60571" w14:textId="77777777" w:rsidR="00245300" w:rsidRPr="00EC20A0" w:rsidRDefault="00F17249">
            <w:pPr>
              <w:pStyle w:val="TableParagraph"/>
              <w:numPr>
                <w:ilvl w:val="1"/>
                <w:numId w:val="176"/>
              </w:numPr>
              <w:tabs>
                <w:tab w:val="left" w:pos="1357"/>
              </w:tabs>
              <w:spacing w:before="119"/>
              <w:ind w:right="678"/>
            </w:pPr>
            <w:r w:rsidRPr="00EC20A0">
              <w:t>the</w:t>
            </w:r>
            <w:r w:rsidRPr="00EC20A0">
              <w:rPr>
                <w:spacing w:val="-6"/>
              </w:rPr>
              <w:t xml:space="preserve"> </w:t>
            </w:r>
            <w:r w:rsidRPr="00EC20A0">
              <w:t>standards</w:t>
            </w:r>
            <w:r w:rsidRPr="00EC20A0">
              <w:rPr>
                <w:spacing w:val="-6"/>
              </w:rPr>
              <w:t xml:space="preserve"> </w:t>
            </w:r>
            <w:r w:rsidRPr="00EC20A0">
              <w:t>were</w:t>
            </w:r>
            <w:r w:rsidRPr="00EC20A0">
              <w:rPr>
                <w:spacing w:val="-6"/>
              </w:rPr>
              <w:t xml:space="preserve"> </w:t>
            </w:r>
            <w:r w:rsidRPr="00EC20A0">
              <w:t>not</w:t>
            </w:r>
            <w:r w:rsidRPr="00EC20A0">
              <w:rPr>
                <w:spacing w:val="-6"/>
              </w:rPr>
              <w:t xml:space="preserve"> </w:t>
            </w:r>
            <w:r w:rsidRPr="00EC20A0">
              <w:t>properly</w:t>
            </w:r>
            <w:r w:rsidRPr="00EC20A0">
              <w:rPr>
                <w:spacing w:val="-6"/>
              </w:rPr>
              <w:t xml:space="preserve"> </w:t>
            </w:r>
            <w:r w:rsidRPr="00EC20A0">
              <w:t>applied</w:t>
            </w:r>
            <w:r w:rsidRPr="00EC20A0">
              <w:rPr>
                <w:spacing w:val="-6"/>
              </w:rPr>
              <w:t xml:space="preserve"> </w:t>
            </w:r>
            <w:r w:rsidRPr="00EC20A0">
              <w:t>because</w:t>
            </w:r>
            <w:r w:rsidRPr="00EC20A0">
              <w:rPr>
                <w:spacing w:val="-7"/>
              </w:rPr>
              <w:t xml:space="preserve"> </w:t>
            </w:r>
            <w:r w:rsidRPr="00EC20A0">
              <w:t>of inadequate or improperly implemented manual procedures, or</w:t>
            </w:r>
          </w:p>
          <w:p w14:paraId="24D60572" w14:textId="77777777" w:rsidR="00245300" w:rsidRPr="00EC20A0" w:rsidRDefault="00F17249">
            <w:pPr>
              <w:pStyle w:val="TableParagraph"/>
              <w:numPr>
                <w:ilvl w:val="1"/>
                <w:numId w:val="176"/>
              </w:numPr>
              <w:tabs>
                <w:tab w:val="left" w:pos="1357"/>
              </w:tabs>
              <w:spacing w:before="118"/>
              <w:ind w:right="213"/>
            </w:pPr>
            <w:r w:rsidRPr="00EC20A0">
              <w:t>the agency’s financial management systems tracked financial</w:t>
            </w:r>
            <w:r w:rsidRPr="00EC20A0">
              <w:rPr>
                <w:spacing w:val="-7"/>
              </w:rPr>
              <w:t xml:space="preserve"> </w:t>
            </w:r>
            <w:r w:rsidRPr="00EC20A0">
              <w:t>events</w:t>
            </w:r>
            <w:r w:rsidRPr="00EC20A0">
              <w:rPr>
                <w:spacing w:val="-7"/>
              </w:rPr>
              <w:t xml:space="preserve"> </w:t>
            </w:r>
            <w:r w:rsidRPr="00EC20A0">
              <w:t>and</w:t>
            </w:r>
            <w:r w:rsidRPr="00EC20A0">
              <w:rPr>
                <w:spacing w:val="-7"/>
              </w:rPr>
              <w:t xml:space="preserve"> </w:t>
            </w:r>
            <w:r w:rsidRPr="00EC20A0">
              <w:t>summarized</w:t>
            </w:r>
            <w:r w:rsidRPr="00EC20A0">
              <w:rPr>
                <w:spacing w:val="-7"/>
              </w:rPr>
              <w:t xml:space="preserve"> </w:t>
            </w:r>
            <w:r w:rsidRPr="00EC20A0">
              <w:t>information</w:t>
            </w:r>
            <w:r w:rsidRPr="00EC20A0">
              <w:rPr>
                <w:spacing w:val="-7"/>
              </w:rPr>
              <w:t xml:space="preserve"> </w:t>
            </w:r>
            <w:r w:rsidRPr="00EC20A0">
              <w:t>to</w:t>
            </w:r>
            <w:r w:rsidRPr="00EC20A0">
              <w:rPr>
                <w:spacing w:val="-7"/>
              </w:rPr>
              <w:t xml:space="preserve"> </w:t>
            </w:r>
            <w:r w:rsidRPr="00EC20A0">
              <w:t>facilitate the preparation of auditable financial statements.</w:t>
            </w:r>
          </w:p>
        </w:tc>
        <w:tc>
          <w:tcPr>
            <w:tcW w:w="1170" w:type="dxa"/>
            <w:tcBorders>
              <w:top w:val="single" w:sz="4" w:space="0" w:color="000000"/>
              <w:left w:val="single" w:sz="4" w:space="0" w:color="000000"/>
              <w:bottom w:val="single" w:sz="4" w:space="0" w:color="000000"/>
              <w:right w:val="single" w:sz="4" w:space="0" w:color="000000"/>
            </w:tcBorders>
          </w:tcPr>
          <w:p w14:paraId="24D60573"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74" w14:textId="77777777" w:rsidR="00245300" w:rsidRPr="00EC20A0" w:rsidRDefault="00245300">
            <w:pPr>
              <w:pStyle w:val="TableParagraph"/>
              <w:rPr>
                <w:sz w:val="20"/>
              </w:rPr>
            </w:pPr>
          </w:p>
        </w:tc>
      </w:tr>
      <w:tr w:rsidR="00245300" w:rsidRPr="00EC20A0" w14:paraId="24D60579" w14:textId="77777777">
        <w:trPr>
          <w:trHeight w:val="1757"/>
        </w:trPr>
        <w:tc>
          <w:tcPr>
            <w:tcW w:w="7060" w:type="dxa"/>
            <w:tcBorders>
              <w:top w:val="single" w:sz="4" w:space="0" w:color="000000"/>
              <w:bottom w:val="single" w:sz="4" w:space="0" w:color="000000"/>
              <w:right w:val="single" w:sz="4" w:space="0" w:color="000000"/>
            </w:tcBorders>
          </w:tcPr>
          <w:p w14:paraId="24D60576" w14:textId="77777777" w:rsidR="00245300" w:rsidRPr="00EC20A0" w:rsidRDefault="00F17249">
            <w:pPr>
              <w:pStyle w:val="TableParagraph"/>
              <w:spacing w:before="120"/>
              <w:ind w:left="1346" w:right="138" w:hanging="360"/>
            </w:pPr>
            <w:r w:rsidRPr="00EC20A0">
              <w:t>1.</w:t>
            </w:r>
            <w:r w:rsidRPr="00EC20A0">
              <w:rPr>
                <w:spacing w:val="80"/>
              </w:rPr>
              <w:t xml:space="preserve"> </w:t>
            </w:r>
            <w:r w:rsidRPr="00EC20A0">
              <w:t>From</w:t>
            </w:r>
            <w:r w:rsidRPr="00EC20A0">
              <w:rPr>
                <w:spacing w:val="-5"/>
              </w:rPr>
              <w:t xml:space="preserve"> </w:t>
            </w:r>
            <w:r w:rsidRPr="00EC20A0">
              <w:t>the</w:t>
            </w:r>
            <w:r w:rsidRPr="00EC20A0">
              <w:rPr>
                <w:spacing w:val="-4"/>
              </w:rPr>
              <w:t xml:space="preserve"> </w:t>
            </w:r>
            <w:r w:rsidRPr="00EC20A0">
              <w:t>deficiencies</w:t>
            </w:r>
            <w:r w:rsidRPr="00EC20A0">
              <w:rPr>
                <w:spacing w:val="-4"/>
              </w:rPr>
              <w:t xml:space="preserve"> </w:t>
            </w:r>
            <w:r w:rsidRPr="00EC20A0">
              <w:t>identified</w:t>
            </w:r>
            <w:r w:rsidRPr="00EC20A0">
              <w:rPr>
                <w:spacing w:val="-4"/>
              </w:rPr>
              <w:t xml:space="preserve"> </w:t>
            </w:r>
            <w:r w:rsidRPr="00EC20A0">
              <w:t>in</w:t>
            </w:r>
            <w:r w:rsidRPr="00EC20A0">
              <w:rPr>
                <w:spacing w:val="-4"/>
              </w:rPr>
              <w:t xml:space="preserve"> </w:t>
            </w:r>
            <w:r w:rsidRPr="00EC20A0">
              <w:t>performing</w:t>
            </w:r>
            <w:r w:rsidRPr="00EC20A0">
              <w:rPr>
                <w:spacing w:val="-4"/>
              </w:rPr>
              <w:t xml:space="preserve"> </w:t>
            </w:r>
            <w:r w:rsidRPr="00EC20A0">
              <w:t>step</w:t>
            </w:r>
            <w:r w:rsidRPr="00EC20A0">
              <w:rPr>
                <w:spacing w:val="-4"/>
              </w:rPr>
              <w:t xml:space="preserve"> </w:t>
            </w:r>
            <w:r w:rsidRPr="00EC20A0">
              <w:t>II</w:t>
            </w:r>
            <w:r w:rsidRPr="00EC20A0">
              <w:rPr>
                <w:spacing w:val="-4"/>
              </w:rPr>
              <w:t xml:space="preserve"> </w:t>
            </w:r>
            <w:r w:rsidRPr="00EC20A0">
              <w:t>and from tests conducted as part step I, determine whether the financial management systems record and summarize transactions in accordance with applicable accounting standards. Document the results in the schedule shown in FAM 701 B.</w:t>
            </w:r>
          </w:p>
        </w:tc>
        <w:tc>
          <w:tcPr>
            <w:tcW w:w="1170" w:type="dxa"/>
            <w:tcBorders>
              <w:top w:val="single" w:sz="4" w:space="0" w:color="000000"/>
              <w:left w:val="single" w:sz="4" w:space="0" w:color="000000"/>
              <w:bottom w:val="single" w:sz="4" w:space="0" w:color="000000"/>
              <w:right w:val="single" w:sz="4" w:space="0" w:color="000000"/>
            </w:tcBorders>
          </w:tcPr>
          <w:p w14:paraId="24D60577"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78" w14:textId="77777777" w:rsidR="00245300" w:rsidRPr="00EC20A0" w:rsidRDefault="00245300">
            <w:pPr>
              <w:pStyle w:val="TableParagraph"/>
              <w:rPr>
                <w:sz w:val="20"/>
              </w:rPr>
            </w:pPr>
          </w:p>
        </w:tc>
      </w:tr>
      <w:tr w:rsidR="00245300" w:rsidRPr="00EC20A0" w14:paraId="24D6057D" w14:textId="77777777">
        <w:trPr>
          <w:trHeight w:val="2412"/>
        </w:trPr>
        <w:tc>
          <w:tcPr>
            <w:tcW w:w="7060" w:type="dxa"/>
            <w:tcBorders>
              <w:top w:val="single" w:sz="4" w:space="0" w:color="000000"/>
              <w:bottom w:val="single" w:sz="4" w:space="0" w:color="000000"/>
              <w:right w:val="single" w:sz="4" w:space="0" w:color="000000"/>
            </w:tcBorders>
          </w:tcPr>
          <w:p w14:paraId="24D6057A" w14:textId="77777777" w:rsidR="00245300" w:rsidRPr="00EC20A0" w:rsidRDefault="00F17249">
            <w:pPr>
              <w:pStyle w:val="TableParagraph"/>
              <w:spacing w:before="120"/>
              <w:ind w:left="932" w:hanging="360"/>
            </w:pPr>
            <w:r w:rsidRPr="00EC20A0">
              <w:t>B.</w:t>
            </w:r>
            <w:r w:rsidRPr="00EC20A0">
              <w:rPr>
                <w:spacing w:val="80"/>
              </w:rPr>
              <w:t xml:space="preserve"> </w:t>
            </w:r>
            <w:r w:rsidRPr="00EC20A0">
              <w:t>Determine if the financial management systems enable the agency to prepare, execute, and report on its budget in accordance</w:t>
            </w:r>
            <w:r w:rsidRPr="00EC20A0">
              <w:rPr>
                <w:spacing w:val="-6"/>
              </w:rPr>
              <w:t xml:space="preserve"> </w:t>
            </w:r>
            <w:r w:rsidRPr="00EC20A0">
              <w:t>with</w:t>
            </w:r>
            <w:r w:rsidRPr="00EC20A0">
              <w:rPr>
                <w:spacing w:val="-5"/>
              </w:rPr>
              <w:t xml:space="preserve"> </w:t>
            </w:r>
            <w:r w:rsidRPr="00EC20A0">
              <w:t>the</w:t>
            </w:r>
            <w:r w:rsidRPr="00EC20A0">
              <w:rPr>
                <w:spacing w:val="-5"/>
              </w:rPr>
              <w:t xml:space="preserve"> </w:t>
            </w:r>
            <w:r w:rsidRPr="00EC20A0">
              <w:t>requirements</w:t>
            </w:r>
            <w:r w:rsidRPr="00EC20A0">
              <w:rPr>
                <w:spacing w:val="-5"/>
              </w:rPr>
              <w:t xml:space="preserve"> </w:t>
            </w:r>
            <w:r w:rsidRPr="00EC20A0">
              <w:t>of</w:t>
            </w:r>
            <w:r w:rsidRPr="00EC20A0">
              <w:rPr>
                <w:spacing w:val="-5"/>
              </w:rPr>
              <w:t xml:space="preserve"> </w:t>
            </w:r>
            <w:r w:rsidRPr="00EC20A0">
              <w:t>OMB</w:t>
            </w:r>
            <w:r w:rsidRPr="00EC20A0">
              <w:rPr>
                <w:spacing w:val="-5"/>
              </w:rPr>
              <w:t xml:space="preserve"> </w:t>
            </w:r>
            <w:r w:rsidRPr="00EC20A0">
              <w:t>Circular</w:t>
            </w:r>
            <w:r w:rsidRPr="00EC20A0">
              <w:rPr>
                <w:spacing w:val="-5"/>
              </w:rPr>
              <w:t xml:space="preserve"> </w:t>
            </w:r>
            <w:r w:rsidRPr="00EC20A0">
              <w:t>No.</w:t>
            </w:r>
            <w:r w:rsidRPr="00EC20A0">
              <w:rPr>
                <w:spacing w:val="-5"/>
              </w:rPr>
              <w:t xml:space="preserve"> </w:t>
            </w:r>
            <w:r w:rsidRPr="00EC20A0">
              <w:t xml:space="preserve">A-11, </w:t>
            </w:r>
            <w:r w:rsidRPr="00EC20A0">
              <w:rPr>
                <w:i/>
              </w:rPr>
              <w:t xml:space="preserve">Preparation, Submission and Execution of the </w:t>
            </w:r>
            <w:r w:rsidRPr="00EC20A0">
              <w:rPr>
                <w:i/>
              </w:rPr>
              <w:t>Budget</w:t>
            </w:r>
            <w:r w:rsidRPr="00EC20A0">
              <w:t>. This determination can include work performed as part of the financial statement audit. Document the deficiencies and the related effect in the schedule shown in FAM 701 B.</w:t>
            </w:r>
          </w:p>
        </w:tc>
        <w:tc>
          <w:tcPr>
            <w:tcW w:w="1170" w:type="dxa"/>
            <w:tcBorders>
              <w:top w:val="single" w:sz="4" w:space="0" w:color="000000"/>
              <w:left w:val="single" w:sz="4" w:space="0" w:color="000000"/>
              <w:bottom w:val="single" w:sz="4" w:space="0" w:color="000000"/>
              <w:right w:val="single" w:sz="4" w:space="0" w:color="000000"/>
            </w:tcBorders>
          </w:tcPr>
          <w:p w14:paraId="24D6057B"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7C" w14:textId="77777777" w:rsidR="00245300" w:rsidRPr="00EC20A0" w:rsidRDefault="00245300">
            <w:pPr>
              <w:pStyle w:val="TableParagraph"/>
              <w:rPr>
                <w:sz w:val="20"/>
              </w:rPr>
            </w:pPr>
          </w:p>
        </w:tc>
      </w:tr>
    </w:tbl>
    <w:p w14:paraId="24D6057E" w14:textId="77777777" w:rsidR="00245300" w:rsidRPr="00EC20A0" w:rsidRDefault="00245300">
      <w:pPr>
        <w:rPr>
          <w:sz w:val="20"/>
        </w:rPr>
        <w:sectPr w:rsidR="00245300" w:rsidRPr="00EC20A0">
          <w:pgSz w:w="12240" w:h="15840"/>
          <w:pgMar w:top="1340" w:right="940" w:bottom="940" w:left="1020" w:header="721" w:footer="757" w:gutter="0"/>
          <w:cols w:space="720"/>
        </w:sectPr>
      </w:pPr>
    </w:p>
    <w:p w14:paraId="24D6057F" w14:textId="77777777" w:rsidR="00245300" w:rsidRPr="00EC20A0" w:rsidRDefault="00245300">
      <w:pPr>
        <w:pStyle w:val="BodyText"/>
        <w:spacing w:before="4"/>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585" w14:textId="77777777">
        <w:trPr>
          <w:trHeight w:val="746"/>
        </w:trPr>
        <w:tc>
          <w:tcPr>
            <w:tcW w:w="7060" w:type="dxa"/>
            <w:tcBorders>
              <w:right w:val="single" w:sz="4" w:space="0" w:color="000000"/>
            </w:tcBorders>
          </w:tcPr>
          <w:p w14:paraId="24D60580" w14:textId="77777777" w:rsidR="00245300" w:rsidRPr="00EC20A0" w:rsidRDefault="00245300">
            <w:pPr>
              <w:pStyle w:val="TableParagraph"/>
              <w:spacing w:before="120"/>
            </w:pPr>
          </w:p>
          <w:p w14:paraId="24D60581" w14:textId="77777777" w:rsidR="00245300" w:rsidRPr="00EC20A0" w:rsidRDefault="00F17249">
            <w:pPr>
              <w:pStyle w:val="TableParagraph"/>
              <w:spacing w:before="1"/>
              <w:ind w:left="97"/>
              <w:rPr>
                <w:b/>
              </w:rPr>
            </w:pPr>
            <w:r w:rsidRPr="00EC20A0">
              <w:rPr>
                <w:b/>
                <w:spacing w:val="-2"/>
              </w:rPr>
              <w:t>Procedure</w:t>
            </w:r>
          </w:p>
        </w:tc>
        <w:tc>
          <w:tcPr>
            <w:tcW w:w="1170" w:type="dxa"/>
            <w:tcBorders>
              <w:left w:val="single" w:sz="4" w:space="0" w:color="000000"/>
              <w:right w:val="single" w:sz="4" w:space="0" w:color="000000"/>
            </w:tcBorders>
          </w:tcPr>
          <w:p w14:paraId="24D60582"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583" w14:textId="77777777" w:rsidR="00245300" w:rsidRPr="00EC20A0" w:rsidRDefault="00245300">
            <w:pPr>
              <w:pStyle w:val="TableParagraph"/>
              <w:spacing w:before="120"/>
            </w:pPr>
          </w:p>
          <w:p w14:paraId="24D60584" w14:textId="77777777" w:rsidR="00245300" w:rsidRPr="00EC20A0" w:rsidRDefault="00F17249">
            <w:pPr>
              <w:pStyle w:val="TableParagraph"/>
              <w:spacing w:before="1"/>
              <w:ind w:left="107"/>
              <w:rPr>
                <w:b/>
              </w:rPr>
            </w:pPr>
            <w:r w:rsidRPr="00EC20A0">
              <w:rPr>
                <w:b/>
              </w:rPr>
              <w:t>Doc.</w:t>
            </w:r>
            <w:r w:rsidRPr="00EC20A0">
              <w:rPr>
                <w:b/>
                <w:spacing w:val="-6"/>
              </w:rPr>
              <w:t xml:space="preserve"> </w:t>
            </w:r>
            <w:r w:rsidRPr="00EC20A0">
              <w:rPr>
                <w:b/>
                <w:spacing w:val="-4"/>
              </w:rPr>
              <w:t>ref.</w:t>
            </w:r>
          </w:p>
        </w:tc>
      </w:tr>
      <w:tr w:rsidR="00245300" w:rsidRPr="00EC20A0" w14:paraId="24D60589" w14:textId="77777777">
        <w:trPr>
          <w:trHeight w:val="1990"/>
        </w:trPr>
        <w:tc>
          <w:tcPr>
            <w:tcW w:w="7060" w:type="dxa"/>
            <w:tcBorders>
              <w:right w:val="single" w:sz="4" w:space="0" w:color="000000"/>
            </w:tcBorders>
          </w:tcPr>
          <w:p w14:paraId="24D60586" w14:textId="77777777" w:rsidR="00245300" w:rsidRPr="00EC20A0" w:rsidRDefault="00F17249">
            <w:pPr>
              <w:pStyle w:val="TableParagraph"/>
              <w:spacing w:before="100"/>
              <w:ind w:left="932" w:right="138" w:hanging="360"/>
            </w:pPr>
            <w:r w:rsidRPr="00EC20A0">
              <w:t>C.</w:t>
            </w:r>
            <w:r w:rsidRPr="00EC20A0">
              <w:rPr>
                <w:spacing w:val="70"/>
              </w:rPr>
              <w:t xml:space="preserve"> </w:t>
            </w:r>
            <w:r w:rsidRPr="00EC20A0">
              <w:t>Determine</w:t>
            </w:r>
            <w:r w:rsidRPr="00EC20A0">
              <w:rPr>
                <w:spacing w:val="-4"/>
              </w:rPr>
              <w:t xml:space="preserve"> </w:t>
            </w:r>
            <w:r w:rsidRPr="00EC20A0">
              <w:t>if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management</w:t>
            </w:r>
            <w:r w:rsidRPr="00EC20A0">
              <w:rPr>
                <w:spacing w:val="-4"/>
              </w:rPr>
              <w:t xml:space="preserve"> </w:t>
            </w:r>
            <w:r w:rsidRPr="00EC20A0">
              <w:t>systems</w:t>
            </w:r>
            <w:r w:rsidRPr="00EC20A0">
              <w:rPr>
                <w:spacing w:val="-5"/>
              </w:rPr>
              <w:t xml:space="preserve"> </w:t>
            </w:r>
            <w:r w:rsidRPr="00EC20A0">
              <w:t>enable</w:t>
            </w:r>
            <w:r w:rsidRPr="00EC20A0">
              <w:rPr>
                <w:spacing w:val="-4"/>
              </w:rPr>
              <w:t xml:space="preserve"> </w:t>
            </w:r>
            <w:r w:rsidRPr="00EC20A0">
              <w:t xml:space="preserve">the agency to prepare financial management information in accordance with the requirements of OMB Circular No. A- 136, </w:t>
            </w:r>
            <w:r w:rsidRPr="00EC20A0">
              <w:rPr>
                <w:i/>
              </w:rPr>
              <w:t>Financial Reporting Requirements</w:t>
            </w:r>
            <w:r w:rsidRPr="00EC20A0">
              <w:t>, and align with agency strategic goals and performance information. Document the deficiencies and the related effect in the schedule shown in FAM 701 B.</w:t>
            </w:r>
          </w:p>
        </w:tc>
        <w:tc>
          <w:tcPr>
            <w:tcW w:w="1170" w:type="dxa"/>
            <w:tcBorders>
              <w:left w:val="single" w:sz="4" w:space="0" w:color="000000"/>
              <w:right w:val="single" w:sz="4" w:space="0" w:color="000000"/>
            </w:tcBorders>
          </w:tcPr>
          <w:p w14:paraId="24D60587" w14:textId="77777777" w:rsidR="00245300" w:rsidRPr="00EC20A0" w:rsidRDefault="00245300">
            <w:pPr>
              <w:pStyle w:val="TableParagraph"/>
              <w:rPr>
                <w:sz w:val="20"/>
              </w:rPr>
            </w:pPr>
          </w:p>
        </w:tc>
        <w:tc>
          <w:tcPr>
            <w:tcW w:w="1249" w:type="dxa"/>
            <w:tcBorders>
              <w:left w:val="single" w:sz="4" w:space="0" w:color="000000"/>
            </w:tcBorders>
          </w:tcPr>
          <w:p w14:paraId="24D60588" w14:textId="77777777" w:rsidR="00245300" w:rsidRPr="00EC20A0" w:rsidRDefault="00245300">
            <w:pPr>
              <w:pStyle w:val="TableParagraph"/>
              <w:rPr>
                <w:sz w:val="20"/>
              </w:rPr>
            </w:pPr>
          </w:p>
        </w:tc>
      </w:tr>
      <w:tr w:rsidR="00245300" w:rsidRPr="00EC20A0" w14:paraId="24D6058E" w14:textId="77777777">
        <w:trPr>
          <w:trHeight w:val="1745"/>
        </w:trPr>
        <w:tc>
          <w:tcPr>
            <w:tcW w:w="7060" w:type="dxa"/>
            <w:tcBorders>
              <w:bottom w:val="single" w:sz="4" w:space="0" w:color="000000"/>
              <w:right w:val="single" w:sz="4" w:space="0" w:color="000000"/>
            </w:tcBorders>
          </w:tcPr>
          <w:p w14:paraId="24D6058A" w14:textId="77777777" w:rsidR="00245300" w:rsidRPr="00EC20A0" w:rsidRDefault="00F17249">
            <w:pPr>
              <w:pStyle w:val="TableParagraph"/>
              <w:spacing w:before="120"/>
              <w:ind w:left="97"/>
              <w:rPr>
                <w:b/>
              </w:rPr>
            </w:pPr>
            <w:r w:rsidRPr="00EC20A0">
              <w:rPr>
                <w:b/>
              </w:rPr>
              <w:t>IV.</w:t>
            </w:r>
            <w:r w:rsidRPr="00EC20A0">
              <w:rPr>
                <w:b/>
                <w:spacing w:val="-6"/>
              </w:rPr>
              <w:t xml:space="preserve"> </w:t>
            </w:r>
            <w:r w:rsidRPr="00EC20A0">
              <w:rPr>
                <w:b/>
              </w:rPr>
              <w:t>Testing</w:t>
            </w:r>
            <w:r w:rsidRPr="00EC20A0">
              <w:rPr>
                <w:b/>
                <w:spacing w:val="-7"/>
              </w:rPr>
              <w:t xml:space="preserve"> </w:t>
            </w:r>
            <w:r w:rsidRPr="00EC20A0">
              <w:rPr>
                <w:b/>
              </w:rPr>
              <w:t>for</w:t>
            </w:r>
            <w:r w:rsidRPr="00EC20A0">
              <w:rPr>
                <w:b/>
                <w:spacing w:val="-7"/>
              </w:rPr>
              <w:t xml:space="preserve"> </w:t>
            </w:r>
            <w:r w:rsidRPr="00EC20A0">
              <w:rPr>
                <w:b/>
              </w:rPr>
              <w:t>compliance</w:t>
            </w:r>
            <w:r w:rsidRPr="00EC20A0">
              <w:rPr>
                <w:b/>
                <w:spacing w:val="-5"/>
              </w:rPr>
              <w:t xml:space="preserve"> </w:t>
            </w:r>
            <w:r w:rsidRPr="00EC20A0">
              <w:rPr>
                <w:b/>
              </w:rPr>
              <w:t>with</w:t>
            </w:r>
            <w:r w:rsidRPr="00EC20A0">
              <w:rPr>
                <w:b/>
                <w:spacing w:val="-6"/>
              </w:rPr>
              <w:t xml:space="preserve"> </w:t>
            </w:r>
            <w:r w:rsidRPr="00EC20A0">
              <w:rPr>
                <w:b/>
              </w:rPr>
              <w:t>the</w:t>
            </w:r>
            <w:r w:rsidRPr="00EC20A0">
              <w:rPr>
                <w:b/>
                <w:spacing w:val="-6"/>
              </w:rPr>
              <w:t xml:space="preserve"> </w:t>
            </w:r>
            <w:r w:rsidRPr="00EC20A0">
              <w:rPr>
                <w:b/>
                <w:spacing w:val="-2"/>
              </w:rPr>
              <w:t>USSGL</w:t>
            </w:r>
          </w:p>
          <w:p w14:paraId="24D6058B" w14:textId="77777777" w:rsidR="00245300" w:rsidRPr="00EC20A0" w:rsidRDefault="00F17249">
            <w:pPr>
              <w:pStyle w:val="TableParagraph"/>
              <w:spacing w:before="239"/>
              <w:ind w:left="875" w:right="210" w:hanging="360"/>
            </w:pPr>
            <w:r w:rsidRPr="00EC20A0">
              <w:t>A.</w:t>
            </w:r>
            <w:r w:rsidRPr="00EC20A0">
              <w:rPr>
                <w:spacing w:val="80"/>
              </w:rPr>
              <w:t xml:space="preserve"> </w:t>
            </w:r>
            <w:r w:rsidRPr="00EC20A0">
              <w:t>Determine whether the agency financial management systems</w:t>
            </w:r>
            <w:r w:rsidRPr="00EC20A0">
              <w:rPr>
                <w:spacing w:val="-4"/>
              </w:rPr>
              <w:t xml:space="preserve"> </w:t>
            </w:r>
            <w:r w:rsidRPr="00EC20A0">
              <w:t>use</w:t>
            </w:r>
            <w:r w:rsidRPr="00EC20A0">
              <w:rPr>
                <w:spacing w:val="-5"/>
              </w:rPr>
              <w:t xml:space="preserve"> </w:t>
            </w:r>
            <w:r w:rsidRPr="00EC20A0">
              <w:t>financial</w:t>
            </w:r>
            <w:r w:rsidRPr="00EC20A0">
              <w:rPr>
                <w:spacing w:val="-5"/>
              </w:rPr>
              <w:t xml:space="preserve"> </w:t>
            </w:r>
            <w:r w:rsidRPr="00EC20A0">
              <w:t>data</w:t>
            </w:r>
            <w:r w:rsidRPr="00EC20A0">
              <w:rPr>
                <w:spacing w:val="-4"/>
              </w:rPr>
              <w:t xml:space="preserve"> </w:t>
            </w:r>
            <w:r w:rsidRPr="00EC20A0">
              <w:t>that</w:t>
            </w:r>
            <w:r w:rsidRPr="00EC20A0">
              <w:rPr>
                <w:spacing w:val="-4"/>
              </w:rPr>
              <w:t xml:space="preserve"> </w:t>
            </w:r>
            <w:r w:rsidRPr="00EC20A0">
              <w:t>can</w:t>
            </w:r>
            <w:r w:rsidRPr="00EC20A0">
              <w:rPr>
                <w:spacing w:val="-4"/>
              </w:rPr>
              <w:t xml:space="preserve"> </w:t>
            </w:r>
            <w:r w:rsidRPr="00EC20A0">
              <w:t>be</w:t>
            </w:r>
            <w:r w:rsidRPr="00EC20A0">
              <w:rPr>
                <w:spacing w:val="-4"/>
              </w:rPr>
              <w:t xml:space="preserve"> </w:t>
            </w:r>
            <w:r w:rsidRPr="00EC20A0">
              <w:t>traced</w:t>
            </w:r>
            <w:r w:rsidRPr="00EC20A0">
              <w:rPr>
                <w:spacing w:val="-4"/>
              </w:rPr>
              <w:t xml:space="preserve"> </w:t>
            </w:r>
            <w:r w:rsidRPr="00EC20A0">
              <w:t>directly</w:t>
            </w:r>
            <w:r w:rsidRPr="00EC20A0">
              <w:rPr>
                <w:spacing w:val="-4"/>
              </w:rPr>
              <w:t xml:space="preserve"> </w:t>
            </w:r>
            <w:r w:rsidRPr="00EC20A0">
              <w:t>to USSGL accounts to produce reports providing financial information for both internal and external reporting.</w:t>
            </w:r>
          </w:p>
        </w:tc>
        <w:tc>
          <w:tcPr>
            <w:tcW w:w="1170" w:type="dxa"/>
            <w:tcBorders>
              <w:left w:val="single" w:sz="4" w:space="0" w:color="000000"/>
              <w:bottom w:val="single" w:sz="4" w:space="0" w:color="000000"/>
              <w:right w:val="single" w:sz="4" w:space="0" w:color="000000"/>
            </w:tcBorders>
          </w:tcPr>
          <w:p w14:paraId="24D6058C" w14:textId="77777777" w:rsidR="00245300" w:rsidRPr="00EC20A0" w:rsidRDefault="00245300">
            <w:pPr>
              <w:pStyle w:val="TableParagraph"/>
              <w:rPr>
                <w:sz w:val="20"/>
              </w:rPr>
            </w:pPr>
          </w:p>
        </w:tc>
        <w:tc>
          <w:tcPr>
            <w:tcW w:w="1249" w:type="dxa"/>
            <w:tcBorders>
              <w:left w:val="single" w:sz="4" w:space="0" w:color="000000"/>
              <w:bottom w:val="single" w:sz="4" w:space="0" w:color="000000"/>
            </w:tcBorders>
          </w:tcPr>
          <w:p w14:paraId="24D6058D" w14:textId="77777777" w:rsidR="00245300" w:rsidRPr="00EC20A0" w:rsidRDefault="00245300">
            <w:pPr>
              <w:pStyle w:val="TableParagraph"/>
              <w:rPr>
                <w:sz w:val="20"/>
              </w:rPr>
            </w:pPr>
          </w:p>
        </w:tc>
      </w:tr>
      <w:tr w:rsidR="00245300" w:rsidRPr="00EC20A0" w14:paraId="24D60592" w14:textId="77777777">
        <w:trPr>
          <w:trHeight w:val="1251"/>
        </w:trPr>
        <w:tc>
          <w:tcPr>
            <w:tcW w:w="7060" w:type="dxa"/>
            <w:tcBorders>
              <w:top w:val="single" w:sz="4" w:space="0" w:color="000000"/>
              <w:bottom w:val="single" w:sz="4" w:space="0" w:color="000000"/>
              <w:right w:val="single" w:sz="4" w:space="0" w:color="000000"/>
            </w:tcBorders>
          </w:tcPr>
          <w:p w14:paraId="24D6058F" w14:textId="77777777" w:rsidR="00245300" w:rsidRPr="00EC20A0" w:rsidRDefault="00F17249">
            <w:pPr>
              <w:pStyle w:val="TableParagraph"/>
              <w:spacing w:before="120"/>
              <w:ind w:left="1177" w:right="150" w:hanging="360"/>
            </w:pPr>
            <w:r w:rsidRPr="00EC20A0">
              <w:t>1.</w:t>
            </w:r>
            <w:r w:rsidRPr="00EC20A0">
              <w:rPr>
                <w:spacing w:val="80"/>
              </w:rPr>
              <w:t xml:space="preserve"> </w:t>
            </w:r>
            <w:r w:rsidRPr="00EC20A0">
              <w:t xml:space="preserve">Ask agency management and, based on the documentation prepared in step II.A, determine how financial transaction data are </w:t>
            </w:r>
            <w:r w:rsidRPr="00EC20A0">
              <w:t>summarized from the financial</w:t>
            </w:r>
            <w:r w:rsidRPr="00EC20A0">
              <w:rPr>
                <w:spacing w:val="-5"/>
              </w:rPr>
              <w:t xml:space="preserve"> </w:t>
            </w:r>
            <w:r w:rsidRPr="00EC20A0">
              <w:t>portion</w:t>
            </w:r>
            <w:r w:rsidRPr="00EC20A0">
              <w:rPr>
                <w:spacing w:val="-5"/>
              </w:rPr>
              <w:t xml:space="preserve"> </w:t>
            </w:r>
            <w:r w:rsidRPr="00EC20A0">
              <w:t>of</w:t>
            </w:r>
            <w:r w:rsidRPr="00EC20A0">
              <w:rPr>
                <w:spacing w:val="-5"/>
              </w:rPr>
              <w:t xml:space="preserve"> </w:t>
            </w:r>
            <w:r w:rsidRPr="00EC20A0">
              <w:t>mixed</w:t>
            </w:r>
            <w:r w:rsidRPr="00EC20A0">
              <w:rPr>
                <w:spacing w:val="-5"/>
              </w:rPr>
              <w:t xml:space="preserve"> </w:t>
            </w:r>
            <w:r w:rsidRPr="00EC20A0">
              <w:t>systems</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systems.</w:t>
            </w:r>
          </w:p>
        </w:tc>
        <w:tc>
          <w:tcPr>
            <w:tcW w:w="1170" w:type="dxa"/>
            <w:tcBorders>
              <w:top w:val="single" w:sz="4" w:space="0" w:color="000000"/>
              <w:left w:val="single" w:sz="4" w:space="0" w:color="000000"/>
              <w:bottom w:val="single" w:sz="4" w:space="0" w:color="000000"/>
              <w:right w:val="single" w:sz="4" w:space="0" w:color="000000"/>
            </w:tcBorders>
          </w:tcPr>
          <w:p w14:paraId="24D60590"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91" w14:textId="77777777" w:rsidR="00245300" w:rsidRPr="00EC20A0" w:rsidRDefault="00245300">
            <w:pPr>
              <w:pStyle w:val="TableParagraph"/>
              <w:rPr>
                <w:sz w:val="20"/>
              </w:rPr>
            </w:pPr>
          </w:p>
        </w:tc>
      </w:tr>
      <w:tr w:rsidR="00245300" w:rsidRPr="00EC20A0" w14:paraId="24D60596" w14:textId="77777777">
        <w:trPr>
          <w:trHeight w:val="746"/>
        </w:trPr>
        <w:tc>
          <w:tcPr>
            <w:tcW w:w="7060" w:type="dxa"/>
            <w:tcBorders>
              <w:top w:val="single" w:sz="4" w:space="0" w:color="000000"/>
              <w:bottom w:val="single" w:sz="4" w:space="0" w:color="000000"/>
              <w:right w:val="single" w:sz="4" w:space="0" w:color="000000"/>
            </w:tcBorders>
          </w:tcPr>
          <w:p w14:paraId="24D60593" w14:textId="77777777" w:rsidR="00245300" w:rsidRPr="00EC20A0" w:rsidRDefault="00F17249">
            <w:pPr>
              <w:pStyle w:val="TableParagraph"/>
              <w:spacing w:before="120"/>
              <w:ind w:left="1177" w:hanging="360"/>
            </w:pPr>
            <w:r w:rsidRPr="00EC20A0">
              <w:t>2.</w:t>
            </w:r>
            <w:r w:rsidRPr="00EC20A0">
              <w:rPr>
                <w:spacing w:val="80"/>
              </w:rPr>
              <w:t xml:space="preserve"> </w:t>
            </w:r>
            <w:r w:rsidRPr="00EC20A0">
              <w:t>Compare</w:t>
            </w:r>
            <w:r w:rsidRPr="00EC20A0">
              <w:rPr>
                <w:spacing w:val="-4"/>
              </w:rPr>
              <w:t xml:space="preserve"> </w:t>
            </w:r>
            <w:r w:rsidRPr="00EC20A0">
              <w:t>the</w:t>
            </w:r>
            <w:r w:rsidRPr="00EC20A0">
              <w:rPr>
                <w:spacing w:val="-4"/>
              </w:rPr>
              <w:t xml:space="preserve"> </w:t>
            </w:r>
            <w:r w:rsidRPr="00EC20A0">
              <w:t>agency’s</w:t>
            </w:r>
            <w:r w:rsidRPr="00EC20A0">
              <w:rPr>
                <w:spacing w:val="-4"/>
              </w:rPr>
              <w:t xml:space="preserve"> </w:t>
            </w:r>
            <w:r w:rsidRPr="00EC20A0">
              <w:t>chart</w:t>
            </w:r>
            <w:r w:rsidRPr="00EC20A0">
              <w:rPr>
                <w:spacing w:val="-4"/>
              </w:rPr>
              <w:t xml:space="preserve"> </w:t>
            </w:r>
            <w:r w:rsidRPr="00EC20A0">
              <w:t>of</w:t>
            </w:r>
            <w:r w:rsidRPr="00EC20A0">
              <w:rPr>
                <w:spacing w:val="-4"/>
              </w:rPr>
              <w:t xml:space="preserve"> </w:t>
            </w:r>
            <w:r w:rsidRPr="00EC20A0">
              <w:t>accounts</w:t>
            </w:r>
            <w:r w:rsidRPr="00EC20A0">
              <w:rPr>
                <w:spacing w:val="-4"/>
              </w:rPr>
              <w:t xml:space="preserve"> </w:t>
            </w:r>
            <w:r w:rsidRPr="00EC20A0">
              <w:t>to</w:t>
            </w:r>
            <w:r w:rsidRPr="00EC20A0">
              <w:rPr>
                <w:spacing w:val="-4"/>
              </w:rPr>
              <w:t xml:space="preserve"> </w:t>
            </w:r>
            <w:r w:rsidRPr="00EC20A0">
              <w:t>the</w:t>
            </w:r>
            <w:r w:rsidRPr="00EC20A0">
              <w:rPr>
                <w:spacing w:val="-5"/>
              </w:rPr>
              <w:t xml:space="preserve"> </w:t>
            </w:r>
            <w:r w:rsidRPr="00EC20A0">
              <w:t>USSGL accounts and identify any deviations.</w:t>
            </w:r>
          </w:p>
        </w:tc>
        <w:tc>
          <w:tcPr>
            <w:tcW w:w="1170" w:type="dxa"/>
            <w:tcBorders>
              <w:top w:val="single" w:sz="4" w:space="0" w:color="000000"/>
              <w:left w:val="single" w:sz="4" w:space="0" w:color="000000"/>
              <w:bottom w:val="single" w:sz="4" w:space="0" w:color="000000"/>
              <w:right w:val="single" w:sz="4" w:space="0" w:color="000000"/>
            </w:tcBorders>
          </w:tcPr>
          <w:p w14:paraId="24D60594"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95" w14:textId="77777777" w:rsidR="00245300" w:rsidRPr="00EC20A0" w:rsidRDefault="00245300">
            <w:pPr>
              <w:pStyle w:val="TableParagraph"/>
              <w:rPr>
                <w:sz w:val="20"/>
              </w:rPr>
            </w:pPr>
          </w:p>
        </w:tc>
      </w:tr>
      <w:tr w:rsidR="00245300" w:rsidRPr="00EC20A0" w14:paraId="24D6059A" w14:textId="77777777">
        <w:trPr>
          <w:trHeight w:val="999"/>
        </w:trPr>
        <w:tc>
          <w:tcPr>
            <w:tcW w:w="7060" w:type="dxa"/>
            <w:tcBorders>
              <w:top w:val="single" w:sz="4" w:space="0" w:color="000000"/>
              <w:bottom w:val="single" w:sz="4" w:space="0" w:color="000000"/>
              <w:right w:val="single" w:sz="4" w:space="0" w:color="000000"/>
            </w:tcBorders>
          </w:tcPr>
          <w:p w14:paraId="24D60597" w14:textId="77777777" w:rsidR="00245300" w:rsidRPr="00EC20A0" w:rsidRDefault="00F17249">
            <w:pPr>
              <w:pStyle w:val="TableParagraph"/>
              <w:spacing w:before="120"/>
              <w:ind w:left="1177" w:right="138" w:hanging="360"/>
            </w:pPr>
            <w:r w:rsidRPr="00EC20A0">
              <w:t>3.</w:t>
            </w:r>
            <w:r w:rsidRPr="00EC20A0">
              <w:rPr>
                <w:spacing w:val="80"/>
              </w:rPr>
              <w:t xml:space="preserve"> </w:t>
            </w:r>
            <w:r w:rsidRPr="00EC20A0">
              <w:t>Review</w:t>
            </w:r>
            <w:r w:rsidRPr="00EC20A0">
              <w:rPr>
                <w:spacing w:val="-4"/>
              </w:rPr>
              <w:t xml:space="preserve"> </w:t>
            </w:r>
            <w:r w:rsidRPr="00EC20A0">
              <w:t>all</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standard</w:t>
            </w:r>
            <w:r w:rsidRPr="00EC20A0">
              <w:rPr>
                <w:spacing w:val="-3"/>
              </w:rPr>
              <w:t xml:space="preserve"> </w:t>
            </w:r>
            <w:r w:rsidRPr="00EC20A0">
              <w:t>entries</w:t>
            </w:r>
            <w:r w:rsidRPr="00EC20A0">
              <w:rPr>
                <w:spacing w:val="-3"/>
              </w:rPr>
              <w:t xml:space="preserve"> </w:t>
            </w:r>
            <w:r w:rsidRPr="00EC20A0">
              <w:t>allowed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 xml:space="preserve">financial </w:t>
            </w:r>
            <w:r w:rsidRPr="00EC20A0">
              <w:t>systems to determine if these entries conform to the USSGL posting rules.</w:t>
            </w:r>
          </w:p>
        </w:tc>
        <w:tc>
          <w:tcPr>
            <w:tcW w:w="1170" w:type="dxa"/>
            <w:tcBorders>
              <w:top w:val="single" w:sz="4" w:space="0" w:color="000000"/>
              <w:left w:val="single" w:sz="4" w:space="0" w:color="000000"/>
              <w:bottom w:val="single" w:sz="4" w:space="0" w:color="000000"/>
              <w:right w:val="single" w:sz="4" w:space="0" w:color="000000"/>
            </w:tcBorders>
          </w:tcPr>
          <w:p w14:paraId="24D60598"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99" w14:textId="77777777" w:rsidR="00245300" w:rsidRPr="00EC20A0" w:rsidRDefault="00245300">
            <w:pPr>
              <w:pStyle w:val="TableParagraph"/>
              <w:rPr>
                <w:sz w:val="20"/>
              </w:rPr>
            </w:pPr>
          </w:p>
        </w:tc>
      </w:tr>
      <w:tr w:rsidR="00245300" w:rsidRPr="00EC20A0" w14:paraId="24D6059E" w14:textId="77777777">
        <w:trPr>
          <w:trHeight w:val="746"/>
        </w:trPr>
        <w:tc>
          <w:tcPr>
            <w:tcW w:w="7060" w:type="dxa"/>
            <w:tcBorders>
              <w:top w:val="single" w:sz="4" w:space="0" w:color="000000"/>
              <w:bottom w:val="single" w:sz="4" w:space="0" w:color="000000"/>
              <w:right w:val="single" w:sz="4" w:space="0" w:color="000000"/>
            </w:tcBorders>
          </w:tcPr>
          <w:p w14:paraId="24D6059B" w14:textId="77777777" w:rsidR="00245300" w:rsidRPr="00EC20A0" w:rsidRDefault="00F17249">
            <w:pPr>
              <w:pStyle w:val="TableParagraph"/>
              <w:spacing w:before="120"/>
              <w:ind w:left="1177" w:hanging="360"/>
            </w:pPr>
            <w:r w:rsidRPr="00EC20A0">
              <w:t>4.</w:t>
            </w:r>
            <w:r w:rsidRPr="00EC20A0">
              <w:rPr>
                <w:spacing w:val="80"/>
              </w:rPr>
              <w:t xml:space="preserve"> </w:t>
            </w:r>
            <w:r w:rsidRPr="00EC20A0">
              <w:t>Document</w:t>
            </w:r>
            <w:r w:rsidRPr="00EC20A0">
              <w:rPr>
                <w:spacing w:val="-4"/>
              </w:rPr>
              <w:t xml:space="preserve"> </w:t>
            </w:r>
            <w:r w:rsidRPr="00EC20A0">
              <w:t>any</w:t>
            </w:r>
            <w:r w:rsidRPr="00EC20A0">
              <w:rPr>
                <w:spacing w:val="-4"/>
              </w:rPr>
              <w:t xml:space="preserve"> </w:t>
            </w:r>
            <w:r w:rsidRPr="00EC20A0">
              <w:t>deficiencies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related</w:t>
            </w:r>
            <w:r w:rsidRPr="00EC20A0">
              <w:rPr>
                <w:spacing w:val="-4"/>
              </w:rPr>
              <w:t xml:space="preserve"> </w:t>
            </w:r>
            <w:r w:rsidRPr="00EC20A0">
              <w:t>effect</w:t>
            </w:r>
            <w:r w:rsidRPr="00EC20A0">
              <w:rPr>
                <w:spacing w:val="-4"/>
              </w:rPr>
              <w:t xml:space="preserve"> </w:t>
            </w:r>
            <w:r w:rsidRPr="00EC20A0">
              <w:t>in</w:t>
            </w:r>
            <w:r w:rsidRPr="00EC20A0">
              <w:rPr>
                <w:spacing w:val="-4"/>
              </w:rPr>
              <w:t xml:space="preserve"> </w:t>
            </w:r>
            <w:r w:rsidRPr="00EC20A0">
              <w:t>the schedule shown in FAM 701 B.</w:t>
            </w:r>
          </w:p>
        </w:tc>
        <w:tc>
          <w:tcPr>
            <w:tcW w:w="1170" w:type="dxa"/>
            <w:tcBorders>
              <w:top w:val="single" w:sz="4" w:space="0" w:color="000000"/>
              <w:left w:val="single" w:sz="4" w:space="0" w:color="000000"/>
              <w:bottom w:val="single" w:sz="4" w:space="0" w:color="000000"/>
              <w:right w:val="single" w:sz="4" w:space="0" w:color="000000"/>
            </w:tcBorders>
          </w:tcPr>
          <w:p w14:paraId="24D6059C"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9D" w14:textId="77777777" w:rsidR="00245300" w:rsidRPr="00EC20A0" w:rsidRDefault="00245300">
            <w:pPr>
              <w:pStyle w:val="TableParagraph"/>
              <w:rPr>
                <w:sz w:val="20"/>
              </w:rPr>
            </w:pPr>
          </w:p>
        </w:tc>
      </w:tr>
      <w:tr w:rsidR="00245300" w:rsidRPr="00EC20A0" w14:paraId="24D605A2" w14:textId="77777777">
        <w:trPr>
          <w:trHeight w:val="999"/>
        </w:trPr>
        <w:tc>
          <w:tcPr>
            <w:tcW w:w="7060" w:type="dxa"/>
            <w:tcBorders>
              <w:top w:val="single" w:sz="4" w:space="0" w:color="000000"/>
              <w:bottom w:val="single" w:sz="4" w:space="0" w:color="000000"/>
              <w:right w:val="single" w:sz="4" w:space="0" w:color="000000"/>
            </w:tcBorders>
          </w:tcPr>
          <w:p w14:paraId="24D6059F" w14:textId="77777777" w:rsidR="00245300" w:rsidRPr="00EC20A0" w:rsidRDefault="00F17249">
            <w:pPr>
              <w:pStyle w:val="TableParagraph"/>
              <w:spacing w:before="120"/>
              <w:ind w:left="875" w:hanging="360"/>
            </w:pPr>
            <w:r w:rsidRPr="00EC20A0">
              <w:t>B.</w:t>
            </w:r>
            <w:r w:rsidRPr="00EC20A0">
              <w:rPr>
                <w:spacing w:val="40"/>
              </w:rPr>
              <w:t xml:space="preserve"> </w:t>
            </w:r>
            <w:r w:rsidRPr="00EC20A0">
              <w:t>Ask whether the agency uses a crosswalk from its chart of accounts</w:t>
            </w:r>
            <w:r w:rsidRPr="00EC20A0">
              <w:rPr>
                <w:spacing w:val="-4"/>
              </w:rPr>
              <w:t xml:space="preserve"> </w:t>
            </w:r>
            <w:r w:rsidRPr="00EC20A0">
              <w:t>for</w:t>
            </w:r>
            <w:r w:rsidRPr="00EC20A0">
              <w:rPr>
                <w:spacing w:val="-5"/>
              </w:rPr>
              <w:t xml:space="preserve"> </w:t>
            </w:r>
            <w:r w:rsidRPr="00EC20A0">
              <w:t>its</w:t>
            </w:r>
            <w:r w:rsidRPr="00EC20A0">
              <w:rPr>
                <w:spacing w:val="-4"/>
              </w:rPr>
              <w:t xml:space="preserve"> </w:t>
            </w:r>
            <w:r w:rsidRPr="00EC20A0">
              <w:t>financial</w:t>
            </w:r>
            <w:r w:rsidRPr="00EC20A0">
              <w:rPr>
                <w:spacing w:val="-5"/>
              </w:rPr>
              <w:t xml:space="preserve"> </w:t>
            </w:r>
            <w:r w:rsidRPr="00EC20A0">
              <w:t>system</w:t>
            </w:r>
            <w:r w:rsidRPr="00EC20A0">
              <w:rPr>
                <w:spacing w:val="-5"/>
              </w:rPr>
              <w:t xml:space="preserve"> </w:t>
            </w:r>
            <w:r w:rsidRPr="00EC20A0">
              <w:t>to</w:t>
            </w:r>
            <w:r w:rsidRPr="00EC20A0">
              <w:rPr>
                <w:spacing w:val="-4"/>
              </w:rPr>
              <w:t xml:space="preserve"> </w:t>
            </w:r>
            <w:r w:rsidRPr="00EC20A0">
              <w:t>the</w:t>
            </w:r>
            <w:r w:rsidRPr="00EC20A0">
              <w:rPr>
                <w:spacing w:val="-4"/>
              </w:rPr>
              <w:t xml:space="preserve"> </w:t>
            </w:r>
            <w:r w:rsidRPr="00EC20A0">
              <w:t>USSGL.</w:t>
            </w:r>
            <w:r w:rsidRPr="00EC20A0">
              <w:rPr>
                <w:spacing w:val="-4"/>
              </w:rPr>
              <w:t xml:space="preserve"> </w:t>
            </w:r>
            <w:r w:rsidRPr="00EC20A0">
              <w:t>If</w:t>
            </w:r>
            <w:r w:rsidRPr="00EC20A0">
              <w:rPr>
                <w:spacing w:val="-3"/>
              </w:rPr>
              <w:t xml:space="preserve"> </w:t>
            </w:r>
            <w:r w:rsidRPr="00EC20A0">
              <w:t>so,</w:t>
            </w:r>
            <w:r w:rsidRPr="00EC20A0">
              <w:rPr>
                <w:spacing w:val="-4"/>
              </w:rPr>
              <w:t xml:space="preserve"> </w:t>
            </w:r>
            <w:r w:rsidRPr="00EC20A0">
              <w:t>perform tests to determine the accuracy of the crosswalk.</w:t>
            </w:r>
          </w:p>
        </w:tc>
        <w:tc>
          <w:tcPr>
            <w:tcW w:w="1170" w:type="dxa"/>
            <w:tcBorders>
              <w:top w:val="single" w:sz="4" w:space="0" w:color="000000"/>
              <w:left w:val="single" w:sz="4" w:space="0" w:color="000000"/>
              <w:bottom w:val="single" w:sz="4" w:space="0" w:color="000000"/>
              <w:right w:val="single" w:sz="4" w:space="0" w:color="000000"/>
            </w:tcBorders>
          </w:tcPr>
          <w:p w14:paraId="24D605A0"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A1" w14:textId="77777777" w:rsidR="00245300" w:rsidRPr="00EC20A0" w:rsidRDefault="00245300">
            <w:pPr>
              <w:pStyle w:val="TableParagraph"/>
              <w:rPr>
                <w:sz w:val="20"/>
              </w:rPr>
            </w:pPr>
          </w:p>
        </w:tc>
      </w:tr>
      <w:tr w:rsidR="00245300" w:rsidRPr="00EC20A0" w14:paraId="24D605A6" w14:textId="77777777">
        <w:trPr>
          <w:trHeight w:val="515"/>
        </w:trPr>
        <w:tc>
          <w:tcPr>
            <w:tcW w:w="7060" w:type="dxa"/>
            <w:tcBorders>
              <w:top w:val="single" w:sz="4" w:space="0" w:color="000000"/>
              <w:bottom w:val="single" w:sz="4" w:space="0" w:color="000000"/>
              <w:right w:val="single" w:sz="4" w:space="0" w:color="000000"/>
            </w:tcBorders>
          </w:tcPr>
          <w:p w14:paraId="24D605A3" w14:textId="77777777" w:rsidR="00245300" w:rsidRPr="00EC20A0" w:rsidRDefault="00F17249">
            <w:pPr>
              <w:pStyle w:val="TableParagraph"/>
              <w:spacing w:before="120"/>
              <w:ind w:left="817"/>
            </w:pPr>
            <w:r w:rsidRPr="00EC20A0">
              <w:t>1.</w:t>
            </w:r>
            <w:r w:rsidRPr="00EC20A0">
              <w:rPr>
                <w:spacing w:val="73"/>
                <w:w w:val="150"/>
              </w:rPr>
              <w:t xml:space="preserve"> </w:t>
            </w:r>
            <w:r w:rsidRPr="00EC20A0">
              <w:t>Trace</w:t>
            </w:r>
            <w:r w:rsidRPr="00EC20A0">
              <w:rPr>
                <w:spacing w:val="-4"/>
              </w:rPr>
              <w:t xml:space="preserve"> </w:t>
            </w:r>
            <w:r w:rsidRPr="00EC20A0">
              <w:t>all</w:t>
            </w:r>
            <w:r w:rsidRPr="00EC20A0">
              <w:rPr>
                <w:spacing w:val="-4"/>
              </w:rPr>
              <w:t xml:space="preserve"> </w:t>
            </w:r>
            <w:r w:rsidRPr="00EC20A0">
              <w:t>USSGL</w:t>
            </w:r>
            <w:r w:rsidRPr="00EC20A0">
              <w:rPr>
                <w:spacing w:val="-3"/>
              </w:rPr>
              <w:t xml:space="preserve"> </w:t>
            </w:r>
            <w:r w:rsidRPr="00EC20A0">
              <w:t>accounts</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rPr>
                <w:spacing w:val="-2"/>
              </w:rPr>
              <w:t>crosswalk.</w:t>
            </w:r>
          </w:p>
        </w:tc>
        <w:tc>
          <w:tcPr>
            <w:tcW w:w="1170" w:type="dxa"/>
            <w:tcBorders>
              <w:top w:val="single" w:sz="4" w:space="0" w:color="000000"/>
              <w:left w:val="single" w:sz="4" w:space="0" w:color="000000"/>
              <w:bottom w:val="single" w:sz="4" w:space="0" w:color="000000"/>
              <w:right w:val="single" w:sz="4" w:space="0" w:color="000000"/>
            </w:tcBorders>
          </w:tcPr>
          <w:p w14:paraId="24D605A4"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A5" w14:textId="77777777" w:rsidR="00245300" w:rsidRPr="00EC20A0" w:rsidRDefault="00245300">
            <w:pPr>
              <w:pStyle w:val="TableParagraph"/>
              <w:rPr>
                <w:sz w:val="20"/>
              </w:rPr>
            </w:pPr>
          </w:p>
        </w:tc>
      </w:tr>
      <w:tr w:rsidR="00245300" w:rsidRPr="00EC20A0" w14:paraId="24D605AA" w14:textId="77777777">
        <w:trPr>
          <w:trHeight w:val="999"/>
        </w:trPr>
        <w:tc>
          <w:tcPr>
            <w:tcW w:w="7060" w:type="dxa"/>
            <w:tcBorders>
              <w:top w:val="single" w:sz="4" w:space="0" w:color="000000"/>
              <w:bottom w:val="single" w:sz="4" w:space="0" w:color="000000"/>
              <w:right w:val="single" w:sz="4" w:space="0" w:color="000000"/>
            </w:tcBorders>
          </w:tcPr>
          <w:p w14:paraId="24D605A7" w14:textId="77777777" w:rsidR="00245300" w:rsidRPr="00EC20A0" w:rsidRDefault="00F17249">
            <w:pPr>
              <w:pStyle w:val="TableParagraph"/>
              <w:spacing w:before="120"/>
              <w:ind w:left="1177" w:right="138" w:hanging="360"/>
            </w:pPr>
            <w:r w:rsidRPr="00EC20A0">
              <w:t>2.</w:t>
            </w:r>
            <w:r w:rsidRPr="00EC20A0">
              <w:rPr>
                <w:spacing w:val="80"/>
              </w:rPr>
              <w:t xml:space="preserve"> </w:t>
            </w:r>
            <w:r w:rsidRPr="00EC20A0">
              <w:t>Identify</w:t>
            </w:r>
            <w:r w:rsidRPr="00EC20A0">
              <w:rPr>
                <w:spacing w:val="-3"/>
              </w:rPr>
              <w:t xml:space="preserve"> </w:t>
            </w:r>
            <w:r w:rsidRPr="00EC20A0">
              <w:t>any</w:t>
            </w:r>
            <w:r w:rsidRPr="00EC20A0">
              <w:rPr>
                <w:spacing w:val="-4"/>
              </w:rPr>
              <w:t xml:space="preserve"> </w:t>
            </w:r>
            <w:r w:rsidRPr="00EC20A0">
              <w:t>USSGL</w:t>
            </w:r>
            <w:r w:rsidRPr="00EC20A0">
              <w:rPr>
                <w:spacing w:val="-3"/>
              </w:rPr>
              <w:t xml:space="preserve"> </w:t>
            </w:r>
            <w:r w:rsidRPr="00EC20A0">
              <w:t>accounts</w:t>
            </w:r>
            <w:r w:rsidRPr="00EC20A0">
              <w:rPr>
                <w:spacing w:val="-3"/>
              </w:rPr>
              <w:t xml:space="preserve"> </w:t>
            </w:r>
            <w:r w:rsidRPr="00EC20A0">
              <w:t>that</w:t>
            </w:r>
            <w:r w:rsidRPr="00EC20A0">
              <w:rPr>
                <w:spacing w:val="-3"/>
              </w:rPr>
              <w:t xml:space="preserve"> </w:t>
            </w:r>
            <w:r w:rsidRPr="00EC20A0">
              <w:t>are</w:t>
            </w:r>
            <w:r w:rsidRPr="00EC20A0">
              <w:rPr>
                <w:spacing w:val="-3"/>
              </w:rPr>
              <w:t xml:space="preserve"> </w:t>
            </w:r>
            <w:r w:rsidRPr="00EC20A0">
              <w:t>not</w:t>
            </w:r>
            <w:r w:rsidRPr="00EC20A0">
              <w:rPr>
                <w:spacing w:val="-3"/>
              </w:rPr>
              <w:t xml:space="preserve"> </w:t>
            </w:r>
            <w:r w:rsidRPr="00EC20A0">
              <w:t>included</w:t>
            </w:r>
            <w:r w:rsidRPr="00EC20A0">
              <w:rPr>
                <w:spacing w:val="-3"/>
              </w:rPr>
              <w:t xml:space="preserve"> </w:t>
            </w:r>
            <w:r w:rsidRPr="00EC20A0">
              <w:t>in</w:t>
            </w:r>
            <w:r w:rsidRPr="00EC20A0">
              <w:rPr>
                <w:spacing w:val="-3"/>
              </w:rPr>
              <w:t xml:space="preserve"> </w:t>
            </w:r>
            <w:r w:rsidRPr="00EC20A0">
              <w:t xml:space="preserve">the crosswalk. Identify any agency accounts not </w:t>
            </w:r>
            <w:r w:rsidRPr="00EC20A0">
              <w:t>associated with an USSGL account in the crosswalk.</w:t>
            </w:r>
          </w:p>
        </w:tc>
        <w:tc>
          <w:tcPr>
            <w:tcW w:w="1170" w:type="dxa"/>
            <w:tcBorders>
              <w:top w:val="single" w:sz="4" w:space="0" w:color="000000"/>
              <w:left w:val="single" w:sz="4" w:space="0" w:color="000000"/>
              <w:bottom w:val="single" w:sz="4" w:space="0" w:color="000000"/>
              <w:right w:val="single" w:sz="4" w:space="0" w:color="000000"/>
            </w:tcBorders>
          </w:tcPr>
          <w:p w14:paraId="24D605A8"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A9" w14:textId="77777777" w:rsidR="00245300" w:rsidRPr="00EC20A0" w:rsidRDefault="00245300">
            <w:pPr>
              <w:pStyle w:val="TableParagraph"/>
              <w:rPr>
                <w:sz w:val="20"/>
              </w:rPr>
            </w:pPr>
          </w:p>
        </w:tc>
      </w:tr>
      <w:tr w:rsidR="00245300" w:rsidRPr="00EC20A0" w14:paraId="24D605AE" w14:textId="77777777">
        <w:trPr>
          <w:trHeight w:val="999"/>
        </w:trPr>
        <w:tc>
          <w:tcPr>
            <w:tcW w:w="7060" w:type="dxa"/>
            <w:tcBorders>
              <w:top w:val="single" w:sz="4" w:space="0" w:color="000000"/>
              <w:bottom w:val="single" w:sz="4" w:space="0" w:color="000000"/>
              <w:right w:val="single" w:sz="4" w:space="0" w:color="000000"/>
            </w:tcBorders>
          </w:tcPr>
          <w:p w14:paraId="24D605AB" w14:textId="77777777" w:rsidR="00245300" w:rsidRPr="00EC20A0" w:rsidRDefault="00F17249">
            <w:pPr>
              <w:pStyle w:val="TableParagraph"/>
              <w:spacing w:before="120"/>
              <w:ind w:left="1177" w:hanging="360"/>
            </w:pPr>
            <w:r w:rsidRPr="00EC20A0">
              <w:t>3.</w:t>
            </w:r>
            <w:r w:rsidRPr="00EC20A0">
              <w:rPr>
                <w:spacing w:val="80"/>
              </w:rPr>
              <w:t xml:space="preserve"> </w:t>
            </w:r>
            <w:r w:rsidRPr="00EC20A0">
              <w:t>Compare the posting rules used by the system to those included</w:t>
            </w:r>
            <w:r w:rsidRPr="00EC20A0">
              <w:rPr>
                <w:spacing w:val="-5"/>
              </w:rPr>
              <w:t xml:space="preserve"> </w:t>
            </w:r>
            <w:r w:rsidRPr="00EC20A0">
              <w:t>in</w:t>
            </w:r>
            <w:r w:rsidRPr="00EC20A0">
              <w:rPr>
                <w:spacing w:val="-6"/>
              </w:rPr>
              <w:t xml:space="preserve"> </w:t>
            </w:r>
            <w:r w:rsidRPr="00EC20A0">
              <w:t>the</w:t>
            </w:r>
            <w:r w:rsidRPr="00EC20A0">
              <w:rPr>
                <w:spacing w:val="-5"/>
              </w:rPr>
              <w:t xml:space="preserve"> </w:t>
            </w:r>
            <w:r w:rsidRPr="00EC20A0">
              <w:t>USSGL</w:t>
            </w:r>
            <w:r w:rsidRPr="00EC20A0">
              <w:rPr>
                <w:spacing w:val="-5"/>
              </w:rPr>
              <w:t xml:space="preserve"> </w:t>
            </w:r>
            <w:r w:rsidRPr="00EC20A0">
              <w:t>to</w:t>
            </w:r>
            <w:r w:rsidRPr="00EC20A0">
              <w:rPr>
                <w:spacing w:val="-5"/>
              </w:rPr>
              <w:t xml:space="preserve"> </w:t>
            </w:r>
            <w:r w:rsidRPr="00EC20A0">
              <w:t>determine</w:t>
            </w:r>
            <w:r w:rsidRPr="00EC20A0">
              <w:rPr>
                <w:spacing w:val="-5"/>
              </w:rPr>
              <w:t xml:space="preserve"> </w:t>
            </w:r>
            <w:r w:rsidRPr="00EC20A0">
              <w:t>whether</w:t>
            </w:r>
            <w:r w:rsidRPr="00EC20A0">
              <w:rPr>
                <w:spacing w:val="-5"/>
              </w:rPr>
              <w:t xml:space="preserve"> </w:t>
            </w:r>
            <w:r w:rsidRPr="00EC20A0">
              <w:t>the</w:t>
            </w:r>
            <w:r w:rsidRPr="00EC20A0">
              <w:rPr>
                <w:spacing w:val="-5"/>
              </w:rPr>
              <w:t xml:space="preserve"> </w:t>
            </w:r>
            <w:r w:rsidRPr="00EC20A0">
              <w:t>system posting rules conform to the USSGL.</w:t>
            </w:r>
          </w:p>
        </w:tc>
        <w:tc>
          <w:tcPr>
            <w:tcW w:w="1170" w:type="dxa"/>
            <w:tcBorders>
              <w:top w:val="single" w:sz="4" w:space="0" w:color="000000"/>
              <w:left w:val="single" w:sz="4" w:space="0" w:color="000000"/>
              <w:bottom w:val="single" w:sz="4" w:space="0" w:color="000000"/>
              <w:right w:val="single" w:sz="4" w:space="0" w:color="000000"/>
            </w:tcBorders>
          </w:tcPr>
          <w:p w14:paraId="24D605AC"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AD" w14:textId="77777777" w:rsidR="00245300" w:rsidRPr="00EC20A0" w:rsidRDefault="00245300">
            <w:pPr>
              <w:pStyle w:val="TableParagraph"/>
              <w:rPr>
                <w:sz w:val="20"/>
              </w:rPr>
            </w:pPr>
          </w:p>
        </w:tc>
      </w:tr>
      <w:tr w:rsidR="00245300" w:rsidRPr="00EC20A0" w14:paraId="24D605B2" w14:textId="77777777">
        <w:trPr>
          <w:trHeight w:val="746"/>
        </w:trPr>
        <w:tc>
          <w:tcPr>
            <w:tcW w:w="7060" w:type="dxa"/>
            <w:tcBorders>
              <w:top w:val="single" w:sz="4" w:space="0" w:color="000000"/>
              <w:bottom w:val="single" w:sz="4" w:space="0" w:color="000000"/>
              <w:right w:val="single" w:sz="4" w:space="0" w:color="000000"/>
            </w:tcBorders>
          </w:tcPr>
          <w:p w14:paraId="24D605AF" w14:textId="77777777" w:rsidR="00245300" w:rsidRPr="00EC20A0" w:rsidRDefault="00F17249">
            <w:pPr>
              <w:pStyle w:val="TableParagraph"/>
              <w:spacing w:before="120"/>
              <w:ind w:left="1177" w:right="138" w:hanging="360"/>
            </w:pPr>
            <w:r w:rsidRPr="00EC20A0">
              <w:t>4.</w:t>
            </w:r>
            <w:r w:rsidRPr="00EC20A0">
              <w:rPr>
                <w:spacing w:val="80"/>
              </w:rPr>
              <w:t xml:space="preserve"> </w:t>
            </w:r>
            <w:r w:rsidRPr="00EC20A0">
              <w:t>Document</w:t>
            </w:r>
            <w:r w:rsidRPr="00EC20A0">
              <w:rPr>
                <w:spacing w:val="-4"/>
              </w:rPr>
              <w:t xml:space="preserve"> </w:t>
            </w:r>
            <w:r w:rsidRPr="00EC20A0">
              <w:t>deficiencies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related</w:t>
            </w:r>
            <w:r w:rsidRPr="00EC20A0">
              <w:rPr>
                <w:spacing w:val="-4"/>
              </w:rPr>
              <w:t xml:space="preserve"> </w:t>
            </w:r>
            <w:r w:rsidRPr="00EC20A0">
              <w:t>effect</w:t>
            </w:r>
            <w:r w:rsidRPr="00EC20A0">
              <w:rPr>
                <w:spacing w:val="-4"/>
              </w:rPr>
              <w:t xml:space="preserve"> </w:t>
            </w:r>
            <w:r w:rsidRPr="00EC20A0">
              <w:t>in</w:t>
            </w:r>
            <w:r w:rsidRPr="00EC20A0">
              <w:rPr>
                <w:spacing w:val="-4"/>
              </w:rPr>
              <w:t xml:space="preserve"> </w:t>
            </w:r>
            <w:r w:rsidRPr="00EC20A0">
              <w:t>the schedule shown in FAM 701 B.</w:t>
            </w:r>
          </w:p>
        </w:tc>
        <w:tc>
          <w:tcPr>
            <w:tcW w:w="1170" w:type="dxa"/>
            <w:tcBorders>
              <w:top w:val="single" w:sz="4" w:space="0" w:color="000000"/>
              <w:left w:val="single" w:sz="4" w:space="0" w:color="000000"/>
              <w:bottom w:val="single" w:sz="4" w:space="0" w:color="000000"/>
              <w:right w:val="single" w:sz="4" w:space="0" w:color="000000"/>
            </w:tcBorders>
          </w:tcPr>
          <w:p w14:paraId="24D605B0"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B1" w14:textId="77777777" w:rsidR="00245300" w:rsidRPr="00EC20A0" w:rsidRDefault="00245300">
            <w:pPr>
              <w:pStyle w:val="TableParagraph"/>
              <w:rPr>
                <w:sz w:val="20"/>
              </w:rPr>
            </w:pPr>
          </w:p>
        </w:tc>
      </w:tr>
    </w:tbl>
    <w:p w14:paraId="24D605B3" w14:textId="77777777" w:rsidR="00245300" w:rsidRPr="00EC20A0" w:rsidRDefault="00245300">
      <w:pPr>
        <w:rPr>
          <w:sz w:val="20"/>
        </w:rPr>
        <w:sectPr w:rsidR="00245300" w:rsidRPr="00EC20A0">
          <w:pgSz w:w="12240" w:h="15840"/>
          <w:pgMar w:top="1340" w:right="940" w:bottom="940" w:left="1020" w:header="721" w:footer="757" w:gutter="0"/>
          <w:cols w:space="720"/>
        </w:sectPr>
      </w:pPr>
    </w:p>
    <w:p w14:paraId="24D605B4" w14:textId="77777777" w:rsidR="00245300" w:rsidRPr="00EC20A0" w:rsidRDefault="00245300">
      <w:pPr>
        <w:pStyle w:val="BodyText"/>
        <w:spacing w:before="4"/>
        <w:rPr>
          <w:sz w:val="11"/>
        </w:rPr>
      </w:pPr>
    </w:p>
    <w:tbl>
      <w:tblPr>
        <w:tblW w:w="0" w:type="auto"/>
        <w:tblInd w:w="43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245300" w:rsidRPr="00EC20A0" w14:paraId="24D605BA" w14:textId="77777777">
        <w:trPr>
          <w:trHeight w:val="746"/>
        </w:trPr>
        <w:tc>
          <w:tcPr>
            <w:tcW w:w="7060" w:type="dxa"/>
            <w:tcBorders>
              <w:right w:val="single" w:sz="4" w:space="0" w:color="000000"/>
            </w:tcBorders>
          </w:tcPr>
          <w:p w14:paraId="24D605B5" w14:textId="77777777" w:rsidR="00245300" w:rsidRPr="00EC20A0" w:rsidRDefault="00245300">
            <w:pPr>
              <w:pStyle w:val="TableParagraph"/>
              <w:spacing w:before="120"/>
            </w:pPr>
          </w:p>
          <w:p w14:paraId="24D605B6" w14:textId="77777777" w:rsidR="00245300" w:rsidRPr="00EC20A0" w:rsidRDefault="00F17249">
            <w:pPr>
              <w:pStyle w:val="TableParagraph"/>
              <w:spacing w:before="1"/>
              <w:ind w:left="97"/>
              <w:rPr>
                <w:b/>
              </w:rPr>
            </w:pPr>
            <w:r w:rsidRPr="00EC20A0">
              <w:rPr>
                <w:b/>
                <w:spacing w:val="-2"/>
              </w:rPr>
              <w:t>Procedure</w:t>
            </w:r>
          </w:p>
        </w:tc>
        <w:tc>
          <w:tcPr>
            <w:tcW w:w="1170" w:type="dxa"/>
            <w:tcBorders>
              <w:left w:val="single" w:sz="4" w:space="0" w:color="000000"/>
              <w:right w:val="single" w:sz="4" w:space="0" w:color="000000"/>
            </w:tcBorders>
          </w:tcPr>
          <w:p w14:paraId="24D605B7" w14:textId="77777777" w:rsidR="00245300" w:rsidRPr="00EC20A0" w:rsidRDefault="00F17249">
            <w:pPr>
              <w:pStyle w:val="TableParagraph"/>
              <w:spacing w:before="120"/>
              <w:ind w:left="107" w:right="144"/>
              <w:rPr>
                <w:b/>
              </w:rPr>
            </w:pPr>
            <w:r w:rsidRPr="00EC20A0">
              <w:rPr>
                <w:b/>
                <w:spacing w:val="-2"/>
              </w:rPr>
              <w:t xml:space="preserve">Initials/ </w:t>
            </w:r>
            <w:r w:rsidRPr="00EC20A0">
              <w:rPr>
                <w:b/>
                <w:spacing w:val="-4"/>
              </w:rPr>
              <w:t>date</w:t>
            </w:r>
          </w:p>
        </w:tc>
        <w:tc>
          <w:tcPr>
            <w:tcW w:w="1249" w:type="dxa"/>
            <w:tcBorders>
              <w:left w:val="single" w:sz="4" w:space="0" w:color="000000"/>
            </w:tcBorders>
          </w:tcPr>
          <w:p w14:paraId="24D605B8" w14:textId="77777777" w:rsidR="00245300" w:rsidRPr="00EC20A0" w:rsidRDefault="00245300">
            <w:pPr>
              <w:pStyle w:val="TableParagraph"/>
              <w:spacing w:before="120"/>
            </w:pPr>
          </w:p>
          <w:p w14:paraId="24D605B9" w14:textId="77777777" w:rsidR="00245300" w:rsidRPr="00EC20A0" w:rsidRDefault="00F17249">
            <w:pPr>
              <w:pStyle w:val="TableParagraph"/>
              <w:spacing w:before="1"/>
              <w:ind w:left="107"/>
              <w:rPr>
                <w:b/>
              </w:rPr>
            </w:pPr>
            <w:r w:rsidRPr="00EC20A0">
              <w:rPr>
                <w:b/>
              </w:rPr>
              <w:t>Doc.</w:t>
            </w:r>
            <w:r w:rsidRPr="00EC20A0">
              <w:rPr>
                <w:b/>
                <w:spacing w:val="-6"/>
              </w:rPr>
              <w:t xml:space="preserve"> </w:t>
            </w:r>
            <w:r w:rsidRPr="00EC20A0">
              <w:rPr>
                <w:b/>
                <w:spacing w:val="-4"/>
              </w:rPr>
              <w:t>ref.</w:t>
            </w:r>
          </w:p>
        </w:tc>
      </w:tr>
      <w:tr w:rsidR="00245300" w:rsidRPr="00EC20A0" w14:paraId="24D605BE" w14:textId="77777777">
        <w:trPr>
          <w:trHeight w:val="1484"/>
        </w:trPr>
        <w:tc>
          <w:tcPr>
            <w:tcW w:w="7060" w:type="dxa"/>
            <w:tcBorders>
              <w:bottom w:val="single" w:sz="4" w:space="0" w:color="000000"/>
              <w:right w:val="single" w:sz="4" w:space="0" w:color="000000"/>
            </w:tcBorders>
          </w:tcPr>
          <w:p w14:paraId="24D605BB" w14:textId="77777777" w:rsidR="00245300" w:rsidRPr="00EC20A0" w:rsidRDefault="00F17249">
            <w:pPr>
              <w:pStyle w:val="TableParagraph"/>
              <w:spacing w:before="100"/>
              <w:ind w:left="875" w:right="111" w:hanging="360"/>
            </w:pPr>
            <w:r w:rsidRPr="00EC20A0">
              <w:t>C.</w:t>
            </w:r>
            <w:r w:rsidRPr="00EC20A0">
              <w:rPr>
                <w:spacing w:val="80"/>
              </w:rPr>
              <w:t xml:space="preserve"> </w:t>
            </w:r>
            <w:r w:rsidRPr="00EC20A0">
              <w:t>From the deficiencies identified in performing step II and from tests</w:t>
            </w:r>
            <w:r w:rsidRPr="00EC20A0">
              <w:rPr>
                <w:spacing w:val="-5"/>
              </w:rPr>
              <w:t xml:space="preserve"> </w:t>
            </w:r>
            <w:r w:rsidRPr="00EC20A0">
              <w:t>conducted</w:t>
            </w:r>
            <w:r w:rsidRPr="00EC20A0">
              <w:rPr>
                <w:spacing w:val="-5"/>
              </w:rPr>
              <w:t xml:space="preserve"> </w:t>
            </w:r>
            <w:r w:rsidRPr="00EC20A0">
              <w:t>as</w:t>
            </w:r>
            <w:r w:rsidRPr="00EC20A0">
              <w:rPr>
                <w:spacing w:val="-5"/>
              </w:rPr>
              <w:t xml:space="preserve"> </w:t>
            </w:r>
            <w:r w:rsidRPr="00EC20A0">
              <w:t>part</w:t>
            </w:r>
            <w:r w:rsidRPr="00EC20A0">
              <w:rPr>
                <w:spacing w:val="-6"/>
              </w:rPr>
              <w:t xml:space="preserve"> </w:t>
            </w:r>
            <w:r w:rsidRPr="00EC20A0">
              <w:t>step</w:t>
            </w:r>
            <w:r w:rsidRPr="00EC20A0">
              <w:rPr>
                <w:spacing w:val="-5"/>
              </w:rPr>
              <w:t xml:space="preserve"> </w:t>
            </w:r>
            <w:r w:rsidRPr="00EC20A0">
              <w:t>I,</w:t>
            </w:r>
            <w:r w:rsidRPr="00EC20A0">
              <w:rPr>
                <w:spacing w:val="-5"/>
              </w:rPr>
              <w:t xml:space="preserve"> </w:t>
            </w:r>
            <w:r w:rsidRPr="00EC20A0">
              <w:t>determine</w:t>
            </w:r>
            <w:r w:rsidRPr="00EC20A0">
              <w:rPr>
                <w:spacing w:val="-5"/>
              </w:rPr>
              <w:t xml:space="preserve"> </w:t>
            </w:r>
            <w:r w:rsidRPr="00EC20A0">
              <w:t>whether</w:t>
            </w:r>
            <w:r w:rsidRPr="00EC20A0">
              <w:rPr>
                <w:spacing w:val="-5"/>
              </w:rPr>
              <w:t xml:space="preserve"> </w:t>
            </w:r>
            <w:r w:rsidRPr="00EC20A0">
              <w:t>the</w:t>
            </w:r>
            <w:r w:rsidRPr="00EC20A0">
              <w:rPr>
                <w:spacing w:val="-5"/>
              </w:rPr>
              <w:t xml:space="preserve"> </w:t>
            </w:r>
            <w:r w:rsidRPr="00EC20A0">
              <w:t xml:space="preserve">financial management systems </w:t>
            </w:r>
            <w:r w:rsidRPr="00EC20A0">
              <w:t>record and summarize transactions in accordance with the USSGL at the transaction level. Document the results in the schedule shown in FAM 701 B.</w:t>
            </w:r>
          </w:p>
        </w:tc>
        <w:tc>
          <w:tcPr>
            <w:tcW w:w="1170" w:type="dxa"/>
            <w:tcBorders>
              <w:left w:val="single" w:sz="4" w:space="0" w:color="000000"/>
              <w:bottom w:val="single" w:sz="4" w:space="0" w:color="000000"/>
              <w:right w:val="single" w:sz="4" w:space="0" w:color="000000"/>
            </w:tcBorders>
          </w:tcPr>
          <w:p w14:paraId="24D605BC" w14:textId="77777777" w:rsidR="00245300" w:rsidRPr="00EC20A0" w:rsidRDefault="00245300">
            <w:pPr>
              <w:pStyle w:val="TableParagraph"/>
              <w:rPr>
                <w:sz w:val="20"/>
              </w:rPr>
            </w:pPr>
          </w:p>
        </w:tc>
        <w:tc>
          <w:tcPr>
            <w:tcW w:w="1249" w:type="dxa"/>
            <w:tcBorders>
              <w:left w:val="single" w:sz="4" w:space="0" w:color="000000"/>
              <w:bottom w:val="single" w:sz="4" w:space="0" w:color="000000"/>
            </w:tcBorders>
          </w:tcPr>
          <w:p w14:paraId="24D605BD" w14:textId="77777777" w:rsidR="00245300" w:rsidRPr="00EC20A0" w:rsidRDefault="00245300">
            <w:pPr>
              <w:pStyle w:val="TableParagraph"/>
              <w:rPr>
                <w:sz w:val="20"/>
              </w:rPr>
            </w:pPr>
          </w:p>
        </w:tc>
      </w:tr>
      <w:tr w:rsidR="00245300" w:rsidRPr="00EC20A0" w14:paraId="24D605C3" w14:textId="77777777">
        <w:trPr>
          <w:trHeight w:val="1239"/>
        </w:trPr>
        <w:tc>
          <w:tcPr>
            <w:tcW w:w="7060" w:type="dxa"/>
            <w:tcBorders>
              <w:top w:val="single" w:sz="4" w:space="0" w:color="000000"/>
              <w:bottom w:val="single" w:sz="4" w:space="0" w:color="000000"/>
              <w:right w:val="single" w:sz="4" w:space="0" w:color="000000"/>
            </w:tcBorders>
          </w:tcPr>
          <w:p w14:paraId="24D605BF" w14:textId="77777777" w:rsidR="00245300" w:rsidRPr="00EC20A0" w:rsidRDefault="00F17249">
            <w:pPr>
              <w:pStyle w:val="TableParagraph"/>
              <w:spacing w:before="120"/>
              <w:ind w:left="97"/>
              <w:rPr>
                <w:b/>
              </w:rPr>
            </w:pPr>
            <w:r w:rsidRPr="00EC20A0">
              <w:rPr>
                <w:b/>
              </w:rPr>
              <w:t>V.</w:t>
            </w:r>
            <w:r w:rsidRPr="00EC20A0">
              <w:rPr>
                <w:b/>
                <w:spacing w:val="-4"/>
              </w:rPr>
              <w:t xml:space="preserve"> </w:t>
            </w:r>
            <w:r w:rsidRPr="00EC20A0">
              <w:rPr>
                <w:b/>
                <w:spacing w:val="-2"/>
              </w:rPr>
              <w:t>Summary</w:t>
            </w:r>
          </w:p>
          <w:p w14:paraId="24D605C0" w14:textId="77777777" w:rsidR="00245300" w:rsidRPr="00EC20A0" w:rsidRDefault="00F17249">
            <w:pPr>
              <w:pStyle w:val="TableParagraph"/>
              <w:spacing w:before="240"/>
              <w:ind w:left="875" w:right="138" w:hanging="360"/>
            </w:pPr>
            <w:r w:rsidRPr="00EC20A0">
              <w:t>A.</w:t>
            </w:r>
            <w:r w:rsidRPr="00EC20A0">
              <w:rPr>
                <w:spacing w:val="80"/>
              </w:rPr>
              <w:t xml:space="preserve"> </w:t>
            </w:r>
            <w:r w:rsidRPr="00EC20A0">
              <w:t>Summarize the results of the work performed above and assess</w:t>
            </w:r>
            <w:r w:rsidRPr="00EC20A0">
              <w:rPr>
                <w:spacing w:val="-7"/>
              </w:rPr>
              <w:t xml:space="preserve"> </w:t>
            </w:r>
            <w:r w:rsidRPr="00EC20A0">
              <w:t>the</w:t>
            </w:r>
            <w:r w:rsidRPr="00EC20A0">
              <w:rPr>
                <w:spacing w:val="-7"/>
              </w:rPr>
              <w:t xml:space="preserve"> </w:t>
            </w:r>
            <w:r w:rsidRPr="00EC20A0">
              <w:t>agency’s</w:t>
            </w:r>
            <w:r w:rsidRPr="00EC20A0">
              <w:rPr>
                <w:spacing w:val="-7"/>
              </w:rPr>
              <w:t xml:space="preserve"> </w:t>
            </w:r>
            <w:r w:rsidRPr="00EC20A0">
              <w:t>compliance</w:t>
            </w:r>
            <w:r w:rsidRPr="00EC20A0">
              <w:rPr>
                <w:spacing w:val="-6"/>
              </w:rPr>
              <w:t xml:space="preserve"> </w:t>
            </w:r>
            <w:r w:rsidRPr="00EC20A0">
              <w:t>with</w:t>
            </w:r>
            <w:r w:rsidRPr="00EC20A0">
              <w:rPr>
                <w:spacing w:val="-6"/>
              </w:rPr>
              <w:t xml:space="preserve"> </w:t>
            </w:r>
            <w:r w:rsidRPr="00EC20A0">
              <w:t>FFMIA</w:t>
            </w:r>
            <w:r w:rsidRPr="00EC20A0">
              <w:rPr>
                <w:spacing w:val="-6"/>
              </w:rPr>
              <w:t xml:space="preserve"> </w:t>
            </w:r>
            <w:r w:rsidRPr="00EC20A0">
              <w:t>requirements.</w:t>
            </w:r>
          </w:p>
        </w:tc>
        <w:tc>
          <w:tcPr>
            <w:tcW w:w="1170" w:type="dxa"/>
            <w:tcBorders>
              <w:top w:val="single" w:sz="4" w:space="0" w:color="000000"/>
              <w:left w:val="single" w:sz="4" w:space="0" w:color="000000"/>
              <w:bottom w:val="single" w:sz="4" w:space="0" w:color="000000"/>
              <w:right w:val="single" w:sz="4" w:space="0" w:color="000000"/>
            </w:tcBorders>
          </w:tcPr>
          <w:p w14:paraId="24D605C1"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C2" w14:textId="77777777" w:rsidR="00245300" w:rsidRPr="00EC20A0" w:rsidRDefault="00245300">
            <w:pPr>
              <w:pStyle w:val="TableParagraph"/>
              <w:rPr>
                <w:sz w:val="20"/>
              </w:rPr>
            </w:pPr>
          </w:p>
        </w:tc>
      </w:tr>
      <w:tr w:rsidR="00245300" w:rsidRPr="00EC20A0" w14:paraId="24D605C7" w14:textId="77777777">
        <w:trPr>
          <w:trHeight w:val="746"/>
        </w:trPr>
        <w:tc>
          <w:tcPr>
            <w:tcW w:w="7060" w:type="dxa"/>
            <w:tcBorders>
              <w:top w:val="single" w:sz="4" w:space="0" w:color="000000"/>
              <w:bottom w:val="single" w:sz="4" w:space="0" w:color="000000"/>
              <w:right w:val="single" w:sz="4" w:space="0" w:color="000000"/>
            </w:tcBorders>
          </w:tcPr>
          <w:p w14:paraId="24D605C4" w14:textId="77777777" w:rsidR="00245300" w:rsidRPr="00EC20A0" w:rsidRDefault="00F17249">
            <w:pPr>
              <w:pStyle w:val="TableParagraph"/>
              <w:spacing w:before="120"/>
              <w:ind w:left="1177" w:right="138" w:hanging="360"/>
            </w:pPr>
            <w:r w:rsidRPr="00EC20A0">
              <w:t>1.</w:t>
            </w:r>
            <w:r w:rsidRPr="00EC20A0">
              <w:rPr>
                <w:spacing w:val="80"/>
              </w:rPr>
              <w:t xml:space="preserve"> </w:t>
            </w:r>
            <w:r w:rsidRPr="00EC20A0">
              <w:t>Finalize</w:t>
            </w:r>
            <w:r w:rsidRPr="00EC20A0">
              <w:rPr>
                <w:spacing w:val="-4"/>
              </w:rPr>
              <w:t xml:space="preserve"> </w:t>
            </w:r>
            <w:r w:rsidRPr="00EC20A0">
              <w:t>the</w:t>
            </w:r>
            <w:r w:rsidRPr="00EC20A0">
              <w:rPr>
                <w:spacing w:val="-5"/>
              </w:rPr>
              <w:t xml:space="preserve"> </w:t>
            </w:r>
            <w:r w:rsidRPr="00EC20A0">
              <w:t>schedule</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FFMIA</w:t>
            </w:r>
            <w:r w:rsidRPr="00EC20A0">
              <w:rPr>
                <w:spacing w:val="-4"/>
              </w:rPr>
              <w:t xml:space="preserve"> </w:t>
            </w:r>
            <w:r w:rsidRPr="00EC20A0">
              <w:t>noncompliance identified in the schedule prepared in FAM 701 B.</w:t>
            </w:r>
          </w:p>
        </w:tc>
        <w:tc>
          <w:tcPr>
            <w:tcW w:w="1170" w:type="dxa"/>
            <w:tcBorders>
              <w:top w:val="single" w:sz="4" w:space="0" w:color="000000"/>
              <w:left w:val="single" w:sz="4" w:space="0" w:color="000000"/>
              <w:bottom w:val="single" w:sz="4" w:space="0" w:color="000000"/>
              <w:right w:val="single" w:sz="4" w:space="0" w:color="000000"/>
            </w:tcBorders>
          </w:tcPr>
          <w:p w14:paraId="24D605C5"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C6" w14:textId="77777777" w:rsidR="00245300" w:rsidRPr="00EC20A0" w:rsidRDefault="00245300">
            <w:pPr>
              <w:pStyle w:val="TableParagraph"/>
              <w:rPr>
                <w:sz w:val="20"/>
              </w:rPr>
            </w:pPr>
          </w:p>
        </w:tc>
      </w:tr>
      <w:tr w:rsidR="00245300" w:rsidRPr="00EC20A0" w14:paraId="24D605CB" w14:textId="77777777">
        <w:trPr>
          <w:trHeight w:val="1251"/>
        </w:trPr>
        <w:tc>
          <w:tcPr>
            <w:tcW w:w="7060" w:type="dxa"/>
            <w:tcBorders>
              <w:top w:val="single" w:sz="4" w:space="0" w:color="000000"/>
              <w:bottom w:val="single" w:sz="4" w:space="0" w:color="000000"/>
              <w:right w:val="single" w:sz="4" w:space="0" w:color="000000"/>
            </w:tcBorders>
          </w:tcPr>
          <w:p w14:paraId="24D605C8" w14:textId="77777777" w:rsidR="00245300" w:rsidRPr="00EC20A0" w:rsidRDefault="00F17249">
            <w:pPr>
              <w:pStyle w:val="TableParagraph"/>
              <w:spacing w:before="120"/>
              <w:ind w:left="1177" w:hanging="360"/>
            </w:pPr>
            <w:r w:rsidRPr="00EC20A0">
              <w:t>2.</w:t>
            </w:r>
            <w:r w:rsidRPr="00EC20A0">
              <w:rPr>
                <w:spacing w:val="80"/>
              </w:rPr>
              <w:t xml:space="preserve"> </w:t>
            </w:r>
            <w:r w:rsidRPr="00EC20A0">
              <w:t>Read</w:t>
            </w:r>
            <w:r w:rsidRPr="00EC20A0">
              <w:rPr>
                <w:spacing w:val="-3"/>
              </w:rPr>
              <w:t xml:space="preserve"> </w:t>
            </w:r>
            <w:r w:rsidRPr="00EC20A0">
              <w:t>the</w:t>
            </w:r>
            <w:r w:rsidRPr="00EC20A0">
              <w:rPr>
                <w:spacing w:val="-3"/>
              </w:rPr>
              <w:t xml:space="preserve"> </w:t>
            </w:r>
            <w:r w:rsidRPr="00EC20A0">
              <w:t>agency’s</w:t>
            </w:r>
            <w:r w:rsidRPr="00EC20A0">
              <w:rPr>
                <w:spacing w:val="-3"/>
              </w:rPr>
              <w:t xml:space="preserve"> </w:t>
            </w:r>
            <w:r w:rsidRPr="00EC20A0">
              <w:t>management</w:t>
            </w:r>
            <w:r w:rsidRPr="00EC20A0">
              <w:rPr>
                <w:spacing w:val="-3"/>
              </w:rPr>
              <w:t xml:space="preserve"> </w:t>
            </w:r>
            <w:r w:rsidRPr="00EC20A0">
              <w:t>representation</w:t>
            </w:r>
            <w:r w:rsidRPr="00EC20A0">
              <w:rPr>
                <w:spacing w:val="-4"/>
              </w:rPr>
              <w:t xml:space="preserve"> </w:t>
            </w:r>
            <w:r w:rsidRPr="00EC20A0">
              <w:t>letter</w:t>
            </w:r>
            <w:r w:rsidRPr="00EC20A0">
              <w:rPr>
                <w:spacing w:val="-2"/>
              </w:rPr>
              <w:t xml:space="preserve"> </w:t>
            </w:r>
            <w:r w:rsidRPr="00EC20A0">
              <w:t>and Management’s</w:t>
            </w:r>
            <w:r w:rsidRPr="00EC20A0">
              <w:rPr>
                <w:spacing w:val="-7"/>
              </w:rPr>
              <w:t xml:space="preserve"> </w:t>
            </w:r>
            <w:r w:rsidRPr="00EC20A0">
              <w:t>Discussion</w:t>
            </w:r>
            <w:r w:rsidRPr="00EC20A0">
              <w:rPr>
                <w:spacing w:val="-7"/>
              </w:rPr>
              <w:t xml:space="preserve"> </w:t>
            </w:r>
            <w:r w:rsidRPr="00EC20A0">
              <w:t>and</w:t>
            </w:r>
            <w:r w:rsidRPr="00EC20A0">
              <w:rPr>
                <w:spacing w:val="-7"/>
              </w:rPr>
              <w:t xml:space="preserve"> </w:t>
            </w:r>
            <w:r w:rsidRPr="00EC20A0">
              <w:t>Analysis</w:t>
            </w:r>
            <w:r w:rsidRPr="00EC20A0">
              <w:rPr>
                <w:spacing w:val="-6"/>
              </w:rPr>
              <w:t xml:space="preserve"> </w:t>
            </w:r>
            <w:r w:rsidRPr="00EC20A0">
              <w:t>covering</w:t>
            </w:r>
            <w:r w:rsidRPr="00EC20A0">
              <w:rPr>
                <w:spacing w:val="-7"/>
              </w:rPr>
              <w:t xml:space="preserve"> </w:t>
            </w:r>
            <w:r w:rsidRPr="00EC20A0">
              <w:t>the</w:t>
            </w:r>
            <w:r w:rsidRPr="00EC20A0">
              <w:rPr>
                <w:spacing w:val="-7"/>
              </w:rPr>
              <w:t xml:space="preserve"> </w:t>
            </w:r>
            <w:r w:rsidRPr="00EC20A0">
              <w:t xml:space="preserve">year under audit to obtain agency management’s FFMIA </w:t>
            </w:r>
            <w:r w:rsidRPr="00EC20A0">
              <w:rPr>
                <w:spacing w:val="-2"/>
              </w:rPr>
              <w:t>determination.</w:t>
            </w:r>
          </w:p>
        </w:tc>
        <w:tc>
          <w:tcPr>
            <w:tcW w:w="1170" w:type="dxa"/>
            <w:tcBorders>
              <w:top w:val="single" w:sz="4" w:space="0" w:color="000000"/>
              <w:left w:val="single" w:sz="4" w:space="0" w:color="000000"/>
              <w:bottom w:val="single" w:sz="4" w:space="0" w:color="000000"/>
              <w:right w:val="single" w:sz="4" w:space="0" w:color="000000"/>
            </w:tcBorders>
          </w:tcPr>
          <w:p w14:paraId="24D605C9"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CA" w14:textId="77777777" w:rsidR="00245300" w:rsidRPr="00EC20A0" w:rsidRDefault="00245300">
            <w:pPr>
              <w:pStyle w:val="TableParagraph"/>
              <w:rPr>
                <w:sz w:val="20"/>
              </w:rPr>
            </w:pPr>
          </w:p>
        </w:tc>
      </w:tr>
      <w:tr w:rsidR="00245300" w:rsidRPr="00EC20A0" w14:paraId="24D605D5" w14:textId="77777777">
        <w:trPr>
          <w:trHeight w:val="5222"/>
        </w:trPr>
        <w:tc>
          <w:tcPr>
            <w:tcW w:w="7060" w:type="dxa"/>
            <w:tcBorders>
              <w:top w:val="single" w:sz="4" w:space="0" w:color="000000"/>
              <w:bottom w:val="single" w:sz="4" w:space="0" w:color="000000"/>
              <w:right w:val="single" w:sz="4" w:space="0" w:color="000000"/>
            </w:tcBorders>
          </w:tcPr>
          <w:p w14:paraId="24D605CC" w14:textId="77777777" w:rsidR="00245300" w:rsidRPr="00EC20A0" w:rsidRDefault="00F17249">
            <w:pPr>
              <w:pStyle w:val="TableParagraph"/>
              <w:numPr>
                <w:ilvl w:val="0"/>
                <w:numId w:val="175"/>
              </w:numPr>
              <w:tabs>
                <w:tab w:val="left" w:pos="1177"/>
              </w:tabs>
              <w:spacing w:before="120"/>
              <w:ind w:right="100"/>
            </w:pPr>
            <w:r w:rsidRPr="00EC20A0">
              <w:t>Document the entity or organization responsible for the financial</w:t>
            </w:r>
            <w:r w:rsidRPr="00EC20A0">
              <w:rPr>
                <w:spacing w:val="-5"/>
              </w:rPr>
              <w:t xml:space="preserve"> </w:t>
            </w:r>
            <w:r w:rsidRPr="00EC20A0">
              <w:t>management</w:t>
            </w:r>
            <w:r w:rsidRPr="00EC20A0">
              <w:rPr>
                <w:spacing w:val="-5"/>
              </w:rPr>
              <w:t xml:space="preserve"> </w:t>
            </w:r>
            <w:r w:rsidRPr="00EC20A0">
              <w:t>systems</w:t>
            </w:r>
            <w:r w:rsidRPr="00EC20A0">
              <w:rPr>
                <w:spacing w:val="-5"/>
              </w:rPr>
              <w:t xml:space="preserve"> </w:t>
            </w:r>
            <w:r w:rsidRPr="00EC20A0">
              <w:t>that</w:t>
            </w:r>
            <w:r w:rsidRPr="00EC20A0">
              <w:rPr>
                <w:spacing w:val="-6"/>
              </w:rPr>
              <w:t xml:space="preserve"> </w:t>
            </w:r>
            <w:r w:rsidRPr="00EC20A0">
              <w:t>have</w:t>
            </w:r>
            <w:r w:rsidRPr="00EC20A0">
              <w:rPr>
                <w:spacing w:val="-5"/>
              </w:rPr>
              <w:t xml:space="preserve"> </w:t>
            </w:r>
            <w:r w:rsidRPr="00EC20A0">
              <w:t>been</w:t>
            </w:r>
            <w:r w:rsidRPr="00EC20A0">
              <w:rPr>
                <w:spacing w:val="-5"/>
              </w:rPr>
              <w:t xml:space="preserve"> </w:t>
            </w:r>
            <w:r w:rsidRPr="00EC20A0">
              <w:t>found</w:t>
            </w:r>
            <w:r w:rsidRPr="00EC20A0">
              <w:rPr>
                <w:spacing w:val="-5"/>
              </w:rPr>
              <w:t xml:space="preserve"> </w:t>
            </w:r>
            <w:r w:rsidRPr="00EC20A0">
              <w:t>not</w:t>
            </w:r>
            <w:r w:rsidRPr="00EC20A0">
              <w:rPr>
                <w:spacing w:val="-5"/>
              </w:rPr>
              <w:t xml:space="preserve"> </w:t>
            </w:r>
            <w:r w:rsidRPr="00EC20A0">
              <w:t>to comply substantially with FFMIA requirements.</w:t>
            </w:r>
          </w:p>
          <w:p w14:paraId="24D605CD" w14:textId="77777777" w:rsidR="00245300" w:rsidRPr="00EC20A0" w:rsidRDefault="00F17249">
            <w:pPr>
              <w:pStyle w:val="TableParagraph"/>
              <w:numPr>
                <w:ilvl w:val="1"/>
                <w:numId w:val="175"/>
              </w:numPr>
              <w:tabs>
                <w:tab w:val="left" w:pos="1536"/>
              </w:tabs>
              <w:spacing w:before="240"/>
              <w:ind w:left="1536" w:hanging="359"/>
            </w:pPr>
            <w:r w:rsidRPr="00EC20A0">
              <w:t>Document</w:t>
            </w:r>
            <w:r w:rsidRPr="00EC20A0">
              <w:rPr>
                <w:spacing w:val="-8"/>
              </w:rPr>
              <w:t xml:space="preserve"> </w:t>
            </w:r>
            <w:r w:rsidRPr="00EC20A0">
              <w:t>facts</w:t>
            </w:r>
            <w:r w:rsidRPr="00EC20A0">
              <w:rPr>
                <w:spacing w:val="-8"/>
              </w:rPr>
              <w:t xml:space="preserve"> </w:t>
            </w:r>
            <w:r w:rsidRPr="00EC20A0">
              <w:t>pertaining</w:t>
            </w:r>
            <w:r w:rsidRPr="00EC20A0">
              <w:rPr>
                <w:spacing w:val="-7"/>
              </w:rPr>
              <w:t xml:space="preserve"> </w:t>
            </w:r>
            <w:r w:rsidRPr="00EC20A0">
              <w:t>to</w:t>
            </w:r>
            <w:r w:rsidRPr="00EC20A0">
              <w:rPr>
                <w:spacing w:val="-8"/>
              </w:rPr>
              <w:t xml:space="preserve"> </w:t>
            </w:r>
            <w:r w:rsidRPr="00EC20A0">
              <w:rPr>
                <w:spacing w:val="-5"/>
              </w:rPr>
              <w:t>the</w:t>
            </w:r>
          </w:p>
          <w:p w14:paraId="24D605CE" w14:textId="77777777" w:rsidR="00245300" w:rsidRPr="00EC20A0" w:rsidRDefault="00F17249">
            <w:pPr>
              <w:pStyle w:val="TableParagraph"/>
              <w:numPr>
                <w:ilvl w:val="2"/>
                <w:numId w:val="175"/>
              </w:numPr>
              <w:tabs>
                <w:tab w:val="left" w:pos="1897"/>
              </w:tabs>
              <w:spacing w:before="240"/>
              <w:ind w:right="235"/>
            </w:pPr>
            <w:r w:rsidRPr="00EC20A0">
              <w:t>nature</w:t>
            </w:r>
            <w:r w:rsidRPr="00EC20A0">
              <w:rPr>
                <w:spacing w:val="-6"/>
              </w:rPr>
              <w:t xml:space="preserve"> </w:t>
            </w:r>
            <w:r w:rsidRPr="00EC20A0">
              <w:t>and</w:t>
            </w:r>
            <w:r w:rsidRPr="00EC20A0">
              <w:rPr>
                <w:spacing w:val="-6"/>
              </w:rPr>
              <w:t xml:space="preserve"> </w:t>
            </w:r>
            <w:r w:rsidRPr="00EC20A0">
              <w:t>extent</w:t>
            </w:r>
            <w:r w:rsidRPr="00EC20A0">
              <w:rPr>
                <w:spacing w:val="-6"/>
              </w:rPr>
              <w:t xml:space="preserve"> </w:t>
            </w:r>
            <w:r w:rsidRPr="00EC20A0">
              <w:t>of</w:t>
            </w:r>
            <w:r w:rsidRPr="00EC20A0">
              <w:rPr>
                <w:spacing w:val="-6"/>
              </w:rPr>
              <w:t xml:space="preserve"> </w:t>
            </w:r>
            <w:r w:rsidRPr="00EC20A0">
              <w:t>the</w:t>
            </w:r>
            <w:r w:rsidRPr="00EC20A0">
              <w:rPr>
                <w:spacing w:val="-7"/>
              </w:rPr>
              <w:t xml:space="preserve"> </w:t>
            </w:r>
            <w:r w:rsidRPr="00EC20A0">
              <w:t>noncompliance</w:t>
            </w:r>
            <w:r w:rsidRPr="00EC20A0">
              <w:rPr>
                <w:spacing w:val="-6"/>
              </w:rPr>
              <w:t xml:space="preserve"> </w:t>
            </w:r>
            <w:r w:rsidRPr="00EC20A0">
              <w:t>and</w:t>
            </w:r>
            <w:r w:rsidRPr="00EC20A0">
              <w:rPr>
                <w:spacing w:val="-6"/>
              </w:rPr>
              <w:t xml:space="preserve"> </w:t>
            </w:r>
            <w:r w:rsidRPr="00EC20A0">
              <w:t>areas where there is substantial but not full compliance,</w:t>
            </w:r>
          </w:p>
          <w:p w14:paraId="24D605CF" w14:textId="77777777" w:rsidR="00245300" w:rsidRPr="00EC20A0" w:rsidRDefault="00F17249">
            <w:pPr>
              <w:pStyle w:val="TableParagraph"/>
              <w:numPr>
                <w:ilvl w:val="2"/>
                <w:numId w:val="175"/>
              </w:numPr>
              <w:tabs>
                <w:tab w:val="left" w:pos="1897"/>
              </w:tabs>
              <w:spacing w:before="241"/>
              <w:ind w:hanging="360"/>
            </w:pPr>
            <w:r w:rsidRPr="00EC20A0">
              <w:t>primary</w:t>
            </w:r>
            <w:r w:rsidRPr="00EC20A0">
              <w:rPr>
                <w:spacing w:val="-5"/>
              </w:rPr>
              <w:t xml:space="preserve"> </w:t>
            </w:r>
            <w:r w:rsidRPr="00EC20A0">
              <w:t>reason</w:t>
            </w:r>
            <w:r w:rsidRPr="00EC20A0">
              <w:rPr>
                <w:spacing w:val="-5"/>
              </w:rPr>
              <w:t xml:space="preserve"> </w:t>
            </w:r>
            <w:r w:rsidRPr="00EC20A0">
              <w:t>or</w:t>
            </w:r>
            <w:r w:rsidRPr="00EC20A0">
              <w:rPr>
                <w:spacing w:val="-4"/>
              </w:rPr>
              <w:t xml:space="preserve"> </w:t>
            </w:r>
            <w:r w:rsidRPr="00EC20A0">
              <w:t>cause</w:t>
            </w:r>
            <w:r w:rsidRPr="00EC20A0">
              <w:rPr>
                <w:spacing w:val="-6"/>
              </w:rPr>
              <w:t xml:space="preserve"> </w:t>
            </w:r>
            <w:r w:rsidRPr="00EC20A0">
              <w:t>of</w:t>
            </w:r>
            <w:r w:rsidRPr="00EC20A0">
              <w:rPr>
                <w:spacing w:val="-5"/>
              </w:rPr>
              <w:t xml:space="preserve"> </w:t>
            </w:r>
            <w:r w:rsidRPr="00EC20A0">
              <w:t>the</w:t>
            </w:r>
            <w:r w:rsidRPr="00EC20A0">
              <w:rPr>
                <w:spacing w:val="-4"/>
              </w:rPr>
              <w:t xml:space="preserve"> </w:t>
            </w:r>
            <w:r w:rsidRPr="00EC20A0">
              <w:rPr>
                <w:spacing w:val="-2"/>
              </w:rPr>
              <w:t>noncompliance,</w:t>
            </w:r>
          </w:p>
          <w:p w14:paraId="24D605D0" w14:textId="77777777" w:rsidR="00245300" w:rsidRPr="00EC20A0" w:rsidRDefault="00F17249">
            <w:pPr>
              <w:pStyle w:val="TableParagraph"/>
              <w:numPr>
                <w:ilvl w:val="2"/>
                <w:numId w:val="175"/>
              </w:numPr>
              <w:tabs>
                <w:tab w:val="left" w:pos="1894"/>
              </w:tabs>
              <w:spacing w:before="239"/>
              <w:ind w:left="1894" w:hanging="357"/>
            </w:pPr>
            <w:r w:rsidRPr="00EC20A0">
              <w:t>effect</w:t>
            </w:r>
            <w:r w:rsidRPr="00EC20A0">
              <w:rPr>
                <w:spacing w:val="-7"/>
              </w:rPr>
              <w:t xml:space="preserve"> </w:t>
            </w:r>
            <w:r w:rsidRPr="00EC20A0">
              <w:t>of</w:t>
            </w:r>
            <w:r w:rsidRPr="00EC20A0">
              <w:rPr>
                <w:spacing w:val="-7"/>
              </w:rPr>
              <w:t xml:space="preserve"> </w:t>
            </w:r>
            <w:r w:rsidRPr="00EC20A0">
              <w:t>the</w:t>
            </w:r>
            <w:r w:rsidRPr="00EC20A0">
              <w:rPr>
                <w:spacing w:val="-7"/>
              </w:rPr>
              <w:t xml:space="preserve"> </w:t>
            </w:r>
            <w:r w:rsidRPr="00EC20A0">
              <w:t>noncompliance,</w:t>
            </w:r>
            <w:r w:rsidRPr="00EC20A0">
              <w:rPr>
                <w:spacing w:val="-7"/>
              </w:rPr>
              <w:t xml:space="preserve"> </w:t>
            </w:r>
            <w:r w:rsidRPr="00EC20A0">
              <w:rPr>
                <w:spacing w:val="-5"/>
              </w:rPr>
              <w:t>and</w:t>
            </w:r>
          </w:p>
          <w:p w14:paraId="24D605D1" w14:textId="77777777" w:rsidR="00245300" w:rsidRPr="00EC20A0" w:rsidRDefault="00F17249">
            <w:pPr>
              <w:pStyle w:val="TableParagraph"/>
              <w:numPr>
                <w:ilvl w:val="2"/>
                <w:numId w:val="175"/>
              </w:numPr>
              <w:tabs>
                <w:tab w:val="left" w:pos="1895"/>
                <w:tab w:val="left" w:pos="1897"/>
              </w:tabs>
              <w:spacing w:before="240"/>
              <w:ind w:right="261" w:hanging="360"/>
            </w:pPr>
            <w:r w:rsidRPr="00EC20A0">
              <w:t>relevant</w:t>
            </w:r>
            <w:r w:rsidRPr="00EC20A0">
              <w:rPr>
                <w:spacing w:val="-6"/>
              </w:rPr>
              <w:t xml:space="preserve"> </w:t>
            </w:r>
            <w:r w:rsidRPr="00EC20A0">
              <w:t>comments</w:t>
            </w:r>
            <w:r w:rsidRPr="00EC20A0">
              <w:rPr>
                <w:spacing w:val="-6"/>
              </w:rPr>
              <w:t xml:space="preserve"> </w:t>
            </w:r>
            <w:r w:rsidRPr="00EC20A0">
              <w:t>from</w:t>
            </w:r>
            <w:r w:rsidRPr="00EC20A0">
              <w:rPr>
                <w:spacing w:val="-7"/>
              </w:rPr>
              <w:t xml:space="preserve"> </w:t>
            </w:r>
            <w:r w:rsidRPr="00EC20A0">
              <w:t>any</w:t>
            </w:r>
            <w:r w:rsidRPr="00EC20A0">
              <w:rPr>
                <w:spacing w:val="-6"/>
              </w:rPr>
              <w:t xml:space="preserve"> </w:t>
            </w:r>
            <w:r w:rsidRPr="00EC20A0">
              <w:t>responsible</w:t>
            </w:r>
            <w:r w:rsidRPr="00EC20A0">
              <w:rPr>
                <w:spacing w:val="-6"/>
              </w:rPr>
              <w:t xml:space="preserve"> </w:t>
            </w:r>
            <w:r w:rsidRPr="00EC20A0">
              <w:t>officer</w:t>
            </w:r>
            <w:r w:rsidRPr="00EC20A0">
              <w:rPr>
                <w:spacing w:val="-6"/>
              </w:rPr>
              <w:t xml:space="preserve"> </w:t>
            </w:r>
            <w:r w:rsidRPr="00EC20A0">
              <w:t xml:space="preserve">or </w:t>
            </w:r>
            <w:r w:rsidRPr="00EC20A0">
              <w:rPr>
                <w:spacing w:val="-2"/>
              </w:rPr>
              <w:t>employee.</w:t>
            </w:r>
          </w:p>
          <w:p w14:paraId="24D605D2" w14:textId="77777777" w:rsidR="00245300" w:rsidRPr="00EC20A0" w:rsidRDefault="00F17249">
            <w:pPr>
              <w:pStyle w:val="TableParagraph"/>
              <w:numPr>
                <w:ilvl w:val="1"/>
                <w:numId w:val="175"/>
              </w:numPr>
              <w:tabs>
                <w:tab w:val="left" w:pos="1537"/>
              </w:tabs>
              <w:spacing w:before="241"/>
              <w:ind w:right="437"/>
            </w:pPr>
            <w:r w:rsidRPr="00EC20A0">
              <w:t>Assess</w:t>
            </w:r>
            <w:r w:rsidRPr="00EC20A0">
              <w:rPr>
                <w:spacing w:val="-7"/>
              </w:rPr>
              <w:t xml:space="preserve"> </w:t>
            </w:r>
            <w:r w:rsidRPr="00EC20A0">
              <w:t>the</w:t>
            </w:r>
            <w:r w:rsidRPr="00EC20A0">
              <w:rPr>
                <w:spacing w:val="-7"/>
              </w:rPr>
              <w:t xml:space="preserve"> </w:t>
            </w:r>
            <w:r w:rsidRPr="00EC20A0">
              <w:t>recommended</w:t>
            </w:r>
            <w:r w:rsidRPr="00EC20A0">
              <w:rPr>
                <w:spacing w:val="-7"/>
              </w:rPr>
              <w:t xml:space="preserve"> </w:t>
            </w:r>
            <w:r w:rsidRPr="00EC20A0">
              <w:t>remedial</w:t>
            </w:r>
            <w:r w:rsidRPr="00EC20A0">
              <w:rPr>
                <w:spacing w:val="-7"/>
              </w:rPr>
              <w:t xml:space="preserve"> </w:t>
            </w:r>
            <w:r w:rsidRPr="00EC20A0">
              <w:t>actions</w:t>
            </w:r>
            <w:r w:rsidRPr="00EC20A0">
              <w:rPr>
                <w:spacing w:val="-7"/>
              </w:rPr>
              <w:t xml:space="preserve"> </w:t>
            </w:r>
            <w:r w:rsidRPr="00EC20A0">
              <w:t>for</w:t>
            </w:r>
            <w:r w:rsidRPr="00EC20A0">
              <w:rPr>
                <w:spacing w:val="-7"/>
              </w:rPr>
              <w:t xml:space="preserve"> </w:t>
            </w:r>
            <w:r w:rsidRPr="00EC20A0">
              <w:t>each instance of noncompliance and management’s time frames for implementing these actions. Include this assessment in the schedule in FAM 701 B.</w:t>
            </w:r>
          </w:p>
        </w:tc>
        <w:tc>
          <w:tcPr>
            <w:tcW w:w="1170" w:type="dxa"/>
            <w:tcBorders>
              <w:top w:val="single" w:sz="4" w:space="0" w:color="000000"/>
              <w:left w:val="single" w:sz="4" w:space="0" w:color="000000"/>
              <w:bottom w:val="single" w:sz="4" w:space="0" w:color="000000"/>
              <w:right w:val="single" w:sz="4" w:space="0" w:color="000000"/>
            </w:tcBorders>
          </w:tcPr>
          <w:p w14:paraId="24D605D3"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D4" w14:textId="77777777" w:rsidR="00245300" w:rsidRPr="00EC20A0" w:rsidRDefault="00245300">
            <w:pPr>
              <w:pStyle w:val="TableParagraph"/>
              <w:rPr>
                <w:sz w:val="20"/>
              </w:rPr>
            </w:pPr>
          </w:p>
        </w:tc>
      </w:tr>
      <w:tr w:rsidR="00245300" w:rsidRPr="00EC20A0" w14:paraId="24D605D9" w14:textId="77777777">
        <w:trPr>
          <w:trHeight w:val="1252"/>
        </w:trPr>
        <w:tc>
          <w:tcPr>
            <w:tcW w:w="7060" w:type="dxa"/>
            <w:tcBorders>
              <w:top w:val="single" w:sz="4" w:space="0" w:color="000000"/>
              <w:bottom w:val="single" w:sz="4" w:space="0" w:color="000000"/>
              <w:right w:val="single" w:sz="4" w:space="0" w:color="000000"/>
            </w:tcBorders>
          </w:tcPr>
          <w:p w14:paraId="24D605D6" w14:textId="77777777" w:rsidR="00245300" w:rsidRPr="00EC20A0" w:rsidRDefault="00F17249">
            <w:pPr>
              <w:pStyle w:val="TableParagraph"/>
              <w:spacing w:before="120"/>
              <w:ind w:left="1177" w:hanging="369"/>
            </w:pPr>
            <w:r w:rsidRPr="00EC20A0">
              <w:t>4.</w:t>
            </w:r>
            <w:r w:rsidRPr="00EC20A0">
              <w:rPr>
                <w:spacing w:val="80"/>
              </w:rPr>
              <w:t xml:space="preserve"> </w:t>
            </w:r>
            <w:r w:rsidRPr="00EC20A0">
              <w:t xml:space="preserve">After reviewing the nature and extent of </w:t>
            </w:r>
            <w:r w:rsidRPr="00EC20A0">
              <w:t>deficiencies identified, conclude whether the systems deficiencies identified</w:t>
            </w:r>
            <w:r w:rsidRPr="00EC20A0">
              <w:rPr>
                <w:spacing w:val="-7"/>
              </w:rPr>
              <w:t xml:space="preserve"> </w:t>
            </w:r>
            <w:r w:rsidRPr="00EC20A0">
              <w:t>constitute</w:t>
            </w:r>
            <w:r w:rsidRPr="00EC20A0">
              <w:rPr>
                <w:spacing w:val="-6"/>
              </w:rPr>
              <w:t xml:space="preserve"> </w:t>
            </w:r>
            <w:r w:rsidRPr="00EC20A0">
              <w:t>lack</w:t>
            </w:r>
            <w:r w:rsidRPr="00EC20A0">
              <w:rPr>
                <w:spacing w:val="-7"/>
              </w:rPr>
              <w:t xml:space="preserve"> </w:t>
            </w:r>
            <w:r w:rsidRPr="00EC20A0">
              <w:t>of</w:t>
            </w:r>
            <w:r w:rsidRPr="00EC20A0">
              <w:rPr>
                <w:spacing w:val="-6"/>
              </w:rPr>
              <w:t xml:space="preserve"> </w:t>
            </w:r>
            <w:r w:rsidRPr="00EC20A0">
              <w:t>substantial</w:t>
            </w:r>
            <w:r w:rsidRPr="00EC20A0">
              <w:rPr>
                <w:spacing w:val="-6"/>
              </w:rPr>
              <w:t xml:space="preserve"> </w:t>
            </w:r>
            <w:r w:rsidRPr="00EC20A0">
              <w:t>compliance</w:t>
            </w:r>
            <w:r w:rsidRPr="00EC20A0">
              <w:rPr>
                <w:spacing w:val="-6"/>
              </w:rPr>
              <w:t xml:space="preserve"> </w:t>
            </w:r>
            <w:r w:rsidRPr="00EC20A0">
              <w:t>with FFMIA requirements.</w:t>
            </w:r>
          </w:p>
        </w:tc>
        <w:tc>
          <w:tcPr>
            <w:tcW w:w="1170" w:type="dxa"/>
            <w:tcBorders>
              <w:top w:val="single" w:sz="4" w:space="0" w:color="000000"/>
              <w:left w:val="single" w:sz="4" w:space="0" w:color="000000"/>
              <w:bottom w:val="single" w:sz="4" w:space="0" w:color="000000"/>
              <w:right w:val="single" w:sz="4" w:space="0" w:color="000000"/>
            </w:tcBorders>
          </w:tcPr>
          <w:p w14:paraId="24D605D7" w14:textId="77777777" w:rsidR="00245300" w:rsidRPr="00EC20A0" w:rsidRDefault="00245300">
            <w:pPr>
              <w:pStyle w:val="TableParagraph"/>
              <w:rPr>
                <w:sz w:val="20"/>
              </w:rPr>
            </w:pPr>
          </w:p>
        </w:tc>
        <w:tc>
          <w:tcPr>
            <w:tcW w:w="1249" w:type="dxa"/>
            <w:tcBorders>
              <w:top w:val="single" w:sz="4" w:space="0" w:color="000000"/>
              <w:left w:val="single" w:sz="4" w:space="0" w:color="000000"/>
              <w:bottom w:val="single" w:sz="4" w:space="0" w:color="000000"/>
            </w:tcBorders>
          </w:tcPr>
          <w:p w14:paraId="24D605D8" w14:textId="77777777" w:rsidR="00245300" w:rsidRPr="00EC20A0" w:rsidRDefault="00245300">
            <w:pPr>
              <w:pStyle w:val="TableParagraph"/>
              <w:rPr>
                <w:sz w:val="20"/>
              </w:rPr>
            </w:pPr>
          </w:p>
        </w:tc>
      </w:tr>
      <w:tr w:rsidR="00245300" w:rsidRPr="00EC20A0" w14:paraId="24D605DE" w14:textId="77777777">
        <w:trPr>
          <w:trHeight w:val="746"/>
        </w:trPr>
        <w:tc>
          <w:tcPr>
            <w:tcW w:w="7060" w:type="dxa"/>
            <w:tcBorders>
              <w:top w:val="single" w:sz="4" w:space="0" w:color="000000"/>
              <w:right w:val="single" w:sz="4" w:space="0" w:color="000000"/>
            </w:tcBorders>
          </w:tcPr>
          <w:p w14:paraId="24D605DA" w14:textId="77777777" w:rsidR="00245300" w:rsidRPr="00EC20A0" w:rsidRDefault="00F17249">
            <w:pPr>
              <w:pStyle w:val="TableParagraph"/>
              <w:spacing w:before="120"/>
              <w:ind w:left="817"/>
            </w:pPr>
            <w:r w:rsidRPr="00EC20A0">
              <w:t>5.</w:t>
            </w:r>
            <w:r w:rsidRPr="00EC20A0">
              <w:rPr>
                <w:spacing w:val="72"/>
                <w:w w:val="150"/>
              </w:rPr>
              <w:t xml:space="preserve"> </w:t>
            </w:r>
            <w:r w:rsidRPr="00EC20A0">
              <w:t>Prepare</w:t>
            </w:r>
            <w:r w:rsidRPr="00EC20A0">
              <w:rPr>
                <w:spacing w:val="-4"/>
              </w:rPr>
              <w:t xml:space="preserve"> </w:t>
            </w:r>
            <w:r w:rsidRPr="00EC20A0">
              <w:t>the</w:t>
            </w:r>
            <w:r w:rsidRPr="00EC20A0">
              <w:rPr>
                <w:spacing w:val="-5"/>
              </w:rPr>
              <w:t xml:space="preserve"> </w:t>
            </w:r>
            <w:r w:rsidRPr="00EC20A0">
              <w:t>FFMIA</w:t>
            </w:r>
            <w:r w:rsidRPr="00EC20A0">
              <w:rPr>
                <w:spacing w:val="-4"/>
              </w:rPr>
              <w:t xml:space="preserve"> </w:t>
            </w:r>
            <w:r w:rsidRPr="00EC20A0">
              <w:t>section</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audit</w:t>
            </w:r>
            <w:r w:rsidRPr="00EC20A0">
              <w:rPr>
                <w:spacing w:val="-4"/>
              </w:rPr>
              <w:t xml:space="preserve"> </w:t>
            </w:r>
            <w:r w:rsidRPr="00EC20A0">
              <w:t>report.</w:t>
            </w:r>
            <w:r w:rsidRPr="00EC20A0">
              <w:rPr>
                <w:spacing w:val="-4"/>
              </w:rPr>
              <w:t xml:space="preserve"> </w:t>
            </w:r>
            <w:r w:rsidRPr="00EC20A0">
              <w:t>See</w:t>
            </w:r>
            <w:r w:rsidRPr="00EC20A0">
              <w:rPr>
                <w:spacing w:val="-4"/>
              </w:rPr>
              <w:t xml:space="preserve"> </w:t>
            </w:r>
            <w:r w:rsidRPr="00EC20A0">
              <w:rPr>
                <w:spacing w:val="-5"/>
              </w:rPr>
              <w:t>FAM</w:t>
            </w:r>
          </w:p>
          <w:p w14:paraId="24D605DB" w14:textId="77777777" w:rsidR="00245300" w:rsidRPr="00EC20A0" w:rsidRDefault="00F17249">
            <w:pPr>
              <w:pStyle w:val="TableParagraph"/>
              <w:ind w:left="1177"/>
            </w:pPr>
            <w:r w:rsidRPr="00EC20A0">
              <w:t>580.86</w:t>
            </w:r>
            <w:r w:rsidRPr="00EC20A0">
              <w:rPr>
                <w:spacing w:val="-5"/>
              </w:rPr>
              <w:t xml:space="preserve"> </w:t>
            </w:r>
            <w:r w:rsidRPr="00EC20A0">
              <w:t>through</w:t>
            </w:r>
            <w:r w:rsidRPr="00EC20A0">
              <w:rPr>
                <w:spacing w:val="-5"/>
              </w:rPr>
              <w:t xml:space="preserve"> </w:t>
            </w:r>
            <w:r w:rsidRPr="00EC20A0">
              <w:t>.90</w:t>
            </w:r>
            <w:r w:rsidRPr="00EC20A0">
              <w:rPr>
                <w:spacing w:val="-5"/>
              </w:rPr>
              <w:t xml:space="preserve"> </w:t>
            </w:r>
            <w:r w:rsidRPr="00EC20A0">
              <w:t>for</w:t>
            </w:r>
            <w:r w:rsidRPr="00EC20A0">
              <w:rPr>
                <w:spacing w:val="-7"/>
              </w:rPr>
              <w:t xml:space="preserve"> </w:t>
            </w:r>
            <w:r w:rsidRPr="00EC20A0">
              <w:rPr>
                <w:spacing w:val="-2"/>
              </w:rPr>
              <w:t>guidance.</w:t>
            </w:r>
          </w:p>
        </w:tc>
        <w:tc>
          <w:tcPr>
            <w:tcW w:w="1170" w:type="dxa"/>
            <w:tcBorders>
              <w:top w:val="single" w:sz="4" w:space="0" w:color="000000"/>
              <w:left w:val="single" w:sz="4" w:space="0" w:color="000000"/>
              <w:right w:val="single" w:sz="4" w:space="0" w:color="000000"/>
            </w:tcBorders>
          </w:tcPr>
          <w:p w14:paraId="24D605DC" w14:textId="77777777" w:rsidR="00245300" w:rsidRPr="00EC20A0" w:rsidRDefault="00245300">
            <w:pPr>
              <w:pStyle w:val="TableParagraph"/>
              <w:rPr>
                <w:sz w:val="20"/>
              </w:rPr>
            </w:pPr>
          </w:p>
        </w:tc>
        <w:tc>
          <w:tcPr>
            <w:tcW w:w="1249" w:type="dxa"/>
            <w:tcBorders>
              <w:top w:val="single" w:sz="4" w:space="0" w:color="000000"/>
              <w:left w:val="single" w:sz="4" w:space="0" w:color="000000"/>
            </w:tcBorders>
          </w:tcPr>
          <w:p w14:paraId="24D605DD" w14:textId="77777777" w:rsidR="00245300" w:rsidRPr="00EC20A0" w:rsidRDefault="00245300">
            <w:pPr>
              <w:pStyle w:val="TableParagraph"/>
              <w:rPr>
                <w:sz w:val="20"/>
              </w:rPr>
            </w:pPr>
          </w:p>
        </w:tc>
      </w:tr>
    </w:tbl>
    <w:p w14:paraId="24D605DF" w14:textId="77777777" w:rsidR="00245300" w:rsidRPr="00EC20A0" w:rsidRDefault="00245300">
      <w:pPr>
        <w:rPr>
          <w:sz w:val="20"/>
        </w:rPr>
        <w:sectPr w:rsidR="00245300" w:rsidRPr="00EC20A0">
          <w:pgSz w:w="12240" w:h="15840"/>
          <w:pgMar w:top="1340" w:right="940" w:bottom="940" w:left="1020" w:header="721" w:footer="757" w:gutter="0"/>
          <w:cols w:space="720"/>
        </w:sectPr>
      </w:pPr>
    </w:p>
    <w:p w14:paraId="24D605E0" w14:textId="77777777" w:rsidR="00245300" w:rsidRPr="00EC20A0" w:rsidRDefault="00F17249">
      <w:pPr>
        <w:pStyle w:val="Heading3"/>
        <w:spacing w:before="240"/>
        <w:ind w:left="100" w:right="1826"/>
        <w:rPr>
          <w:u w:val="none"/>
        </w:rPr>
      </w:pPr>
      <w:bookmarkStart w:id="148" w:name="701_B_–_Summary_Schedule_of_Instances_of"/>
      <w:bookmarkStart w:id="149" w:name="_bookmark61"/>
      <w:bookmarkEnd w:id="148"/>
      <w:bookmarkEnd w:id="149"/>
      <w:r w:rsidRPr="00EC20A0">
        <w:t>701</w:t>
      </w:r>
      <w:r w:rsidRPr="00EC20A0">
        <w:rPr>
          <w:spacing w:val="-5"/>
        </w:rPr>
        <w:t xml:space="preserve"> </w:t>
      </w:r>
      <w:r w:rsidRPr="00EC20A0">
        <w:t>B</w:t>
      </w:r>
      <w:r w:rsidRPr="00EC20A0">
        <w:rPr>
          <w:spacing w:val="-4"/>
        </w:rPr>
        <w:t xml:space="preserve"> </w:t>
      </w:r>
      <w:r w:rsidRPr="00EC20A0">
        <w:t>–</w:t>
      </w:r>
      <w:r w:rsidRPr="00EC20A0">
        <w:rPr>
          <w:spacing w:val="-4"/>
        </w:rPr>
        <w:t xml:space="preserve"> </w:t>
      </w:r>
      <w:r w:rsidRPr="00EC20A0">
        <w:t>Summary</w:t>
      </w:r>
      <w:r w:rsidRPr="00EC20A0">
        <w:rPr>
          <w:spacing w:val="-5"/>
        </w:rPr>
        <w:t xml:space="preserve"> </w:t>
      </w:r>
      <w:r w:rsidRPr="00EC20A0">
        <w:t>Schedule</w:t>
      </w:r>
      <w:r w:rsidRPr="00EC20A0">
        <w:rPr>
          <w:spacing w:val="-5"/>
        </w:rPr>
        <w:t xml:space="preserve"> </w:t>
      </w:r>
      <w:r w:rsidRPr="00EC20A0">
        <w:t>of</w:t>
      </w:r>
      <w:r w:rsidRPr="00EC20A0">
        <w:rPr>
          <w:spacing w:val="-5"/>
        </w:rPr>
        <w:t xml:space="preserve"> </w:t>
      </w:r>
      <w:r w:rsidRPr="00EC20A0">
        <w:t>Instances</w:t>
      </w:r>
      <w:r w:rsidRPr="00EC20A0">
        <w:rPr>
          <w:spacing w:val="-5"/>
        </w:rPr>
        <w:t xml:space="preserve"> </w:t>
      </w:r>
      <w:r w:rsidRPr="00EC20A0">
        <w:t>of</w:t>
      </w:r>
      <w:r w:rsidRPr="00EC20A0">
        <w:rPr>
          <w:spacing w:val="-5"/>
        </w:rPr>
        <w:t xml:space="preserve"> </w:t>
      </w:r>
      <w:r w:rsidRPr="00EC20A0">
        <w:t>Financial</w:t>
      </w:r>
      <w:r w:rsidRPr="00EC20A0">
        <w:rPr>
          <w:spacing w:val="-4"/>
        </w:rPr>
        <w:t xml:space="preserve"> </w:t>
      </w:r>
      <w:r w:rsidRPr="00EC20A0">
        <w:t>Management</w:t>
      </w:r>
      <w:r w:rsidRPr="00EC20A0">
        <w:rPr>
          <w:spacing w:val="-5"/>
        </w:rPr>
        <w:t xml:space="preserve"> </w:t>
      </w:r>
      <w:r w:rsidRPr="00EC20A0">
        <w:t>Systems</w:t>
      </w:r>
      <w:r w:rsidRPr="00EC20A0">
        <w:rPr>
          <w:u w:val="none"/>
        </w:rPr>
        <w:t xml:space="preserve"> </w:t>
      </w:r>
      <w:r w:rsidRPr="00EC20A0">
        <w:t>Noncompliance with FFMIA</w:t>
      </w:r>
    </w:p>
    <w:p w14:paraId="24D605E1" w14:textId="77777777" w:rsidR="00245300" w:rsidRPr="00EC20A0" w:rsidRDefault="00245300">
      <w:pPr>
        <w:pStyle w:val="BodyText"/>
        <w:spacing w:before="20" w:after="1"/>
        <w:rPr>
          <w:b/>
          <w:sz w:val="20"/>
        </w:rPr>
      </w:pPr>
    </w:p>
    <w:tbl>
      <w:tblPr>
        <w:tblW w:w="0" w:type="auto"/>
        <w:tblInd w:w="26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47"/>
        <w:gridCol w:w="1005"/>
        <w:gridCol w:w="455"/>
        <w:gridCol w:w="839"/>
        <w:gridCol w:w="973"/>
        <w:gridCol w:w="2727"/>
        <w:gridCol w:w="262"/>
        <w:gridCol w:w="983"/>
        <w:gridCol w:w="1074"/>
        <w:gridCol w:w="493"/>
        <w:gridCol w:w="1077"/>
        <w:gridCol w:w="607"/>
        <w:gridCol w:w="1863"/>
      </w:tblGrid>
      <w:tr w:rsidR="00245300" w:rsidRPr="00EC20A0" w14:paraId="24D605E5" w14:textId="77777777">
        <w:trPr>
          <w:trHeight w:val="293"/>
        </w:trPr>
        <w:tc>
          <w:tcPr>
            <w:tcW w:w="6646" w:type="dxa"/>
            <w:gridSpan w:val="6"/>
            <w:tcBorders>
              <w:bottom w:val="nil"/>
              <w:right w:val="nil"/>
            </w:tcBorders>
          </w:tcPr>
          <w:p w14:paraId="24D605E2" w14:textId="77777777" w:rsidR="00245300" w:rsidRPr="00EC20A0" w:rsidRDefault="00F17249">
            <w:pPr>
              <w:pStyle w:val="TableParagraph"/>
              <w:spacing w:before="60"/>
              <w:ind w:left="96"/>
              <w:rPr>
                <w:sz w:val="16"/>
              </w:rPr>
            </w:pPr>
            <w:r w:rsidRPr="00EC20A0">
              <w:rPr>
                <w:sz w:val="16"/>
              </w:rPr>
              <w:t>Source</w:t>
            </w:r>
            <w:r w:rsidRPr="00EC20A0">
              <w:rPr>
                <w:spacing w:val="-8"/>
                <w:sz w:val="16"/>
              </w:rPr>
              <w:t xml:space="preserve"> </w:t>
            </w:r>
            <w:r w:rsidRPr="00EC20A0">
              <w:rPr>
                <w:sz w:val="16"/>
              </w:rPr>
              <w:t>of</w:t>
            </w:r>
            <w:r w:rsidRPr="00EC20A0">
              <w:rPr>
                <w:spacing w:val="-7"/>
                <w:sz w:val="16"/>
              </w:rPr>
              <w:t xml:space="preserve"> </w:t>
            </w:r>
            <w:r w:rsidRPr="00EC20A0">
              <w:rPr>
                <w:sz w:val="16"/>
              </w:rPr>
              <w:t>information</w:t>
            </w:r>
            <w:r w:rsidRPr="00EC20A0">
              <w:rPr>
                <w:spacing w:val="-8"/>
                <w:sz w:val="16"/>
              </w:rPr>
              <w:t xml:space="preserve"> </w:t>
            </w:r>
            <w:r w:rsidRPr="00EC20A0">
              <w:rPr>
                <w:sz w:val="16"/>
              </w:rPr>
              <w:t>used</w:t>
            </w:r>
            <w:r w:rsidRPr="00EC20A0">
              <w:rPr>
                <w:spacing w:val="-7"/>
                <w:sz w:val="16"/>
              </w:rPr>
              <w:t xml:space="preserve"> </w:t>
            </w:r>
            <w:r w:rsidRPr="00EC20A0">
              <w:rPr>
                <w:sz w:val="16"/>
              </w:rPr>
              <w:t>in</w:t>
            </w:r>
            <w:r w:rsidRPr="00EC20A0">
              <w:rPr>
                <w:spacing w:val="-7"/>
                <w:sz w:val="16"/>
              </w:rPr>
              <w:t xml:space="preserve"> </w:t>
            </w:r>
            <w:r w:rsidRPr="00EC20A0">
              <w:rPr>
                <w:sz w:val="16"/>
              </w:rPr>
              <w:t>identifying</w:t>
            </w:r>
            <w:r w:rsidRPr="00EC20A0">
              <w:rPr>
                <w:spacing w:val="-8"/>
                <w:sz w:val="16"/>
              </w:rPr>
              <w:t xml:space="preserve"> </w:t>
            </w:r>
            <w:r w:rsidRPr="00EC20A0">
              <w:rPr>
                <w:sz w:val="16"/>
              </w:rPr>
              <w:t>deficiencies</w:t>
            </w:r>
            <w:r w:rsidRPr="00EC20A0">
              <w:rPr>
                <w:spacing w:val="-6"/>
                <w:sz w:val="16"/>
              </w:rPr>
              <w:t xml:space="preserve"> </w:t>
            </w:r>
            <w:r w:rsidRPr="00EC20A0">
              <w:rPr>
                <w:sz w:val="16"/>
              </w:rPr>
              <w:t>in</w:t>
            </w:r>
            <w:r w:rsidRPr="00EC20A0">
              <w:rPr>
                <w:spacing w:val="-8"/>
                <w:sz w:val="16"/>
              </w:rPr>
              <w:t xml:space="preserve"> </w:t>
            </w:r>
            <w:r w:rsidRPr="00EC20A0">
              <w:rPr>
                <w:sz w:val="16"/>
              </w:rPr>
              <w:t>entity</w:t>
            </w:r>
            <w:r w:rsidRPr="00EC20A0">
              <w:rPr>
                <w:spacing w:val="-6"/>
                <w:sz w:val="16"/>
              </w:rPr>
              <w:t xml:space="preserve"> </w:t>
            </w:r>
            <w:r w:rsidRPr="00EC20A0">
              <w:rPr>
                <w:spacing w:val="-2"/>
                <w:sz w:val="16"/>
              </w:rPr>
              <w:t>systems</w:t>
            </w:r>
          </w:p>
        </w:tc>
        <w:tc>
          <w:tcPr>
            <w:tcW w:w="262" w:type="dxa"/>
            <w:vMerge w:val="restart"/>
            <w:tcBorders>
              <w:left w:val="nil"/>
              <w:right w:val="single" w:sz="4" w:space="0" w:color="000000"/>
            </w:tcBorders>
          </w:tcPr>
          <w:p w14:paraId="24D605E3" w14:textId="77777777" w:rsidR="00245300" w:rsidRPr="00EC20A0" w:rsidRDefault="00245300">
            <w:pPr>
              <w:pStyle w:val="TableParagraph"/>
              <w:rPr>
                <w:sz w:val="18"/>
              </w:rPr>
            </w:pPr>
          </w:p>
        </w:tc>
        <w:tc>
          <w:tcPr>
            <w:tcW w:w="6097" w:type="dxa"/>
            <w:gridSpan w:val="6"/>
            <w:tcBorders>
              <w:left w:val="single" w:sz="4" w:space="0" w:color="000000"/>
              <w:bottom w:val="nil"/>
            </w:tcBorders>
          </w:tcPr>
          <w:p w14:paraId="24D605E4" w14:textId="77777777" w:rsidR="00245300" w:rsidRPr="00EC20A0" w:rsidRDefault="00F17249">
            <w:pPr>
              <w:pStyle w:val="TableParagraph"/>
              <w:spacing w:before="60"/>
              <w:ind w:left="108"/>
              <w:rPr>
                <w:sz w:val="16"/>
              </w:rPr>
            </w:pPr>
            <w:r w:rsidRPr="00EC20A0">
              <w:rPr>
                <w:sz w:val="16"/>
              </w:rPr>
              <w:t>Effect</w:t>
            </w:r>
            <w:r w:rsidRPr="00EC20A0">
              <w:rPr>
                <w:spacing w:val="-6"/>
                <w:sz w:val="16"/>
              </w:rPr>
              <w:t xml:space="preserve"> </w:t>
            </w:r>
            <w:r w:rsidRPr="00EC20A0">
              <w:rPr>
                <w:sz w:val="16"/>
              </w:rPr>
              <w:t>of</w:t>
            </w:r>
            <w:r w:rsidRPr="00EC20A0">
              <w:rPr>
                <w:spacing w:val="-5"/>
                <w:sz w:val="16"/>
              </w:rPr>
              <w:t xml:space="preserve"> </w:t>
            </w:r>
            <w:r w:rsidRPr="00EC20A0">
              <w:rPr>
                <w:sz w:val="16"/>
              </w:rPr>
              <w:t>systems’</w:t>
            </w:r>
            <w:r w:rsidRPr="00EC20A0">
              <w:rPr>
                <w:spacing w:val="-4"/>
                <w:sz w:val="16"/>
              </w:rPr>
              <w:t xml:space="preserve"> </w:t>
            </w:r>
            <w:r w:rsidRPr="00EC20A0">
              <w:rPr>
                <w:spacing w:val="-2"/>
                <w:sz w:val="16"/>
              </w:rPr>
              <w:t>noncompliance</w:t>
            </w:r>
          </w:p>
        </w:tc>
      </w:tr>
      <w:tr w:rsidR="00245300" w:rsidRPr="00EC20A0" w14:paraId="24D605EB" w14:textId="77777777">
        <w:trPr>
          <w:trHeight w:val="284"/>
        </w:trPr>
        <w:tc>
          <w:tcPr>
            <w:tcW w:w="647" w:type="dxa"/>
            <w:vMerge w:val="restart"/>
            <w:tcBorders>
              <w:top w:val="nil"/>
              <w:right w:val="single" w:sz="4" w:space="0" w:color="000000"/>
            </w:tcBorders>
          </w:tcPr>
          <w:p w14:paraId="24D605E6" w14:textId="77777777" w:rsidR="00245300" w:rsidRPr="00EC20A0" w:rsidRDefault="00245300">
            <w:pPr>
              <w:pStyle w:val="TableParagraph"/>
              <w:rPr>
                <w:sz w:val="18"/>
              </w:rPr>
            </w:pPr>
          </w:p>
        </w:tc>
        <w:tc>
          <w:tcPr>
            <w:tcW w:w="5999" w:type="dxa"/>
            <w:gridSpan w:val="5"/>
            <w:tcBorders>
              <w:top w:val="single" w:sz="4" w:space="0" w:color="000000"/>
              <w:left w:val="single" w:sz="4" w:space="0" w:color="000000"/>
              <w:bottom w:val="nil"/>
              <w:right w:val="nil"/>
            </w:tcBorders>
          </w:tcPr>
          <w:p w14:paraId="24D605E7" w14:textId="77777777" w:rsidR="00245300" w:rsidRPr="00EC20A0" w:rsidRDefault="00F17249">
            <w:pPr>
              <w:pStyle w:val="TableParagraph"/>
              <w:spacing w:before="49"/>
              <w:ind w:left="107"/>
              <w:rPr>
                <w:sz w:val="16"/>
              </w:rPr>
            </w:pPr>
            <w:r w:rsidRPr="00EC20A0">
              <w:rPr>
                <w:sz w:val="16"/>
              </w:rPr>
              <w:t>Nature</w:t>
            </w:r>
            <w:r w:rsidRPr="00EC20A0">
              <w:rPr>
                <w:spacing w:val="-6"/>
                <w:sz w:val="16"/>
              </w:rPr>
              <w:t xml:space="preserve"> </w:t>
            </w:r>
            <w:r w:rsidRPr="00EC20A0">
              <w:rPr>
                <w:sz w:val="16"/>
              </w:rPr>
              <w:t>and</w:t>
            </w:r>
            <w:r w:rsidRPr="00EC20A0">
              <w:rPr>
                <w:spacing w:val="-5"/>
                <w:sz w:val="16"/>
              </w:rPr>
              <w:t xml:space="preserve"> </w:t>
            </w:r>
            <w:r w:rsidRPr="00EC20A0">
              <w:rPr>
                <w:sz w:val="16"/>
              </w:rPr>
              <w:t>extent</w:t>
            </w:r>
            <w:r w:rsidRPr="00EC20A0">
              <w:rPr>
                <w:spacing w:val="-5"/>
                <w:sz w:val="16"/>
              </w:rPr>
              <w:t xml:space="preserve"> </w:t>
            </w:r>
            <w:r w:rsidRPr="00EC20A0">
              <w:rPr>
                <w:sz w:val="16"/>
              </w:rPr>
              <w:t>of</w:t>
            </w:r>
            <w:r w:rsidRPr="00EC20A0">
              <w:rPr>
                <w:spacing w:val="-6"/>
                <w:sz w:val="16"/>
              </w:rPr>
              <w:t xml:space="preserve"> </w:t>
            </w:r>
            <w:r w:rsidRPr="00EC20A0">
              <w:rPr>
                <w:sz w:val="16"/>
              </w:rPr>
              <w:t>systems’</w:t>
            </w:r>
            <w:r w:rsidRPr="00EC20A0">
              <w:rPr>
                <w:spacing w:val="-4"/>
                <w:sz w:val="16"/>
              </w:rPr>
              <w:t xml:space="preserve"> </w:t>
            </w:r>
            <w:r w:rsidRPr="00EC20A0">
              <w:rPr>
                <w:spacing w:val="-2"/>
                <w:sz w:val="16"/>
              </w:rPr>
              <w:t>noncompliance</w:t>
            </w:r>
          </w:p>
        </w:tc>
        <w:tc>
          <w:tcPr>
            <w:tcW w:w="262" w:type="dxa"/>
            <w:vMerge/>
            <w:tcBorders>
              <w:top w:val="nil"/>
              <w:left w:val="nil"/>
              <w:right w:val="single" w:sz="4" w:space="0" w:color="000000"/>
            </w:tcBorders>
          </w:tcPr>
          <w:p w14:paraId="24D605E8" w14:textId="77777777" w:rsidR="00245300" w:rsidRPr="00EC20A0" w:rsidRDefault="00245300">
            <w:pPr>
              <w:rPr>
                <w:sz w:val="2"/>
                <w:szCs w:val="2"/>
              </w:rPr>
            </w:pPr>
          </w:p>
        </w:tc>
        <w:tc>
          <w:tcPr>
            <w:tcW w:w="983" w:type="dxa"/>
            <w:vMerge w:val="restart"/>
            <w:tcBorders>
              <w:top w:val="nil"/>
              <w:left w:val="single" w:sz="4" w:space="0" w:color="000000"/>
              <w:right w:val="single" w:sz="4" w:space="0" w:color="000000"/>
            </w:tcBorders>
          </w:tcPr>
          <w:p w14:paraId="24D605E9" w14:textId="77777777" w:rsidR="00245300" w:rsidRPr="00EC20A0" w:rsidRDefault="00245300">
            <w:pPr>
              <w:pStyle w:val="TableParagraph"/>
              <w:rPr>
                <w:sz w:val="18"/>
              </w:rPr>
            </w:pPr>
          </w:p>
        </w:tc>
        <w:tc>
          <w:tcPr>
            <w:tcW w:w="5114" w:type="dxa"/>
            <w:gridSpan w:val="5"/>
            <w:tcBorders>
              <w:top w:val="single" w:sz="4" w:space="0" w:color="000000"/>
              <w:left w:val="single" w:sz="4" w:space="0" w:color="000000"/>
              <w:bottom w:val="nil"/>
            </w:tcBorders>
          </w:tcPr>
          <w:p w14:paraId="24D605EA" w14:textId="77777777" w:rsidR="00245300" w:rsidRPr="00EC20A0" w:rsidRDefault="00F17249">
            <w:pPr>
              <w:pStyle w:val="TableParagraph"/>
              <w:spacing w:before="49"/>
              <w:ind w:left="109"/>
              <w:rPr>
                <w:sz w:val="16"/>
              </w:rPr>
            </w:pPr>
            <w:r w:rsidRPr="00EC20A0">
              <w:rPr>
                <w:sz w:val="16"/>
              </w:rPr>
              <w:t>Agency</w:t>
            </w:r>
            <w:r w:rsidRPr="00EC20A0">
              <w:rPr>
                <w:spacing w:val="-6"/>
                <w:sz w:val="16"/>
              </w:rPr>
              <w:t xml:space="preserve"> </w:t>
            </w:r>
            <w:r w:rsidRPr="00EC20A0">
              <w:rPr>
                <w:sz w:val="16"/>
              </w:rPr>
              <w:t>comments</w:t>
            </w:r>
            <w:r w:rsidRPr="00EC20A0">
              <w:rPr>
                <w:spacing w:val="-5"/>
                <w:sz w:val="16"/>
              </w:rPr>
              <w:t xml:space="preserve"> </w:t>
            </w:r>
            <w:r w:rsidRPr="00EC20A0">
              <w:rPr>
                <w:sz w:val="16"/>
              </w:rPr>
              <w:t>on</w:t>
            </w:r>
            <w:r w:rsidRPr="00EC20A0">
              <w:rPr>
                <w:spacing w:val="-7"/>
                <w:sz w:val="16"/>
              </w:rPr>
              <w:t xml:space="preserve"> </w:t>
            </w:r>
            <w:r w:rsidRPr="00EC20A0">
              <w:rPr>
                <w:sz w:val="16"/>
              </w:rPr>
              <w:t>systems’</w:t>
            </w:r>
            <w:r w:rsidRPr="00EC20A0">
              <w:rPr>
                <w:spacing w:val="-5"/>
                <w:sz w:val="16"/>
              </w:rPr>
              <w:t xml:space="preserve"> </w:t>
            </w:r>
            <w:r w:rsidRPr="00EC20A0">
              <w:rPr>
                <w:spacing w:val="-2"/>
                <w:sz w:val="16"/>
              </w:rPr>
              <w:t>noncompliance</w:t>
            </w:r>
          </w:p>
        </w:tc>
      </w:tr>
      <w:tr w:rsidR="00245300" w:rsidRPr="00EC20A0" w14:paraId="24D605F3" w14:textId="77777777">
        <w:trPr>
          <w:trHeight w:val="283"/>
        </w:trPr>
        <w:tc>
          <w:tcPr>
            <w:tcW w:w="647" w:type="dxa"/>
            <w:vMerge/>
            <w:tcBorders>
              <w:top w:val="nil"/>
              <w:right w:val="single" w:sz="4" w:space="0" w:color="000000"/>
            </w:tcBorders>
          </w:tcPr>
          <w:p w14:paraId="24D605EC" w14:textId="77777777" w:rsidR="00245300" w:rsidRPr="00EC20A0" w:rsidRDefault="00245300">
            <w:pPr>
              <w:rPr>
                <w:sz w:val="2"/>
                <w:szCs w:val="2"/>
              </w:rPr>
            </w:pPr>
          </w:p>
        </w:tc>
        <w:tc>
          <w:tcPr>
            <w:tcW w:w="1005" w:type="dxa"/>
            <w:vMerge w:val="restart"/>
            <w:tcBorders>
              <w:top w:val="nil"/>
              <w:left w:val="single" w:sz="4" w:space="0" w:color="000000"/>
              <w:right w:val="single" w:sz="4" w:space="0" w:color="000000"/>
            </w:tcBorders>
          </w:tcPr>
          <w:p w14:paraId="24D605ED" w14:textId="77777777" w:rsidR="00245300" w:rsidRPr="00EC20A0" w:rsidRDefault="00245300">
            <w:pPr>
              <w:pStyle w:val="TableParagraph"/>
              <w:rPr>
                <w:sz w:val="18"/>
              </w:rPr>
            </w:pPr>
          </w:p>
        </w:tc>
        <w:tc>
          <w:tcPr>
            <w:tcW w:w="4994" w:type="dxa"/>
            <w:gridSpan w:val="4"/>
            <w:tcBorders>
              <w:top w:val="single" w:sz="4" w:space="0" w:color="000000"/>
              <w:left w:val="single" w:sz="4" w:space="0" w:color="000000"/>
              <w:bottom w:val="nil"/>
              <w:right w:val="nil"/>
            </w:tcBorders>
          </w:tcPr>
          <w:p w14:paraId="24D605EE" w14:textId="77777777" w:rsidR="00245300" w:rsidRPr="00EC20A0" w:rsidRDefault="00F17249">
            <w:pPr>
              <w:pStyle w:val="TableParagraph"/>
              <w:spacing w:before="49"/>
              <w:ind w:left="106"/>
              <w:rPr>
                <w:sz w:val="16"/>
              </w:rPr>
            </w:pPr>
            <w:r w:rsidRPr="00EC20A0">
              <w:rPr>
                <w:sz w:val="16"/>
              </w:rPr>
              <w:t>Substantial</w:t>
            </w:r>
            <w:r w:rsidRPr="00EC20A0">
              <w:rPr>
                <w:spacing w:val="-6"/>
                <w:sz w:val="16"/>
              </w:rPr>
              <w:t xml:space="preserve"> </w:t>
            </w:r>
            <w:r w:rsidRPr="00EC20A0">
              <w:rPr>
                <w:sz w:val="16"/>
              </w:rPr>
              <w:t>but</w:t>
            </w:r>
            <w:r w:rsidRPr="00EC20A0">
              <w:rPr>
                <w:spacing w:val="-6"/>
                <w:sz w:val="16"/>
              </w:rPr>
              <w:t xml:space="preserve"> </w:t>
            </w:r>
            <w:r w:rsidRPr="00EC20A0">
              <w:rPr>
                <w:sz w:val="16"/>
              </w:rPr>
              <w:t>not</w:t>
            </w:r>
            <w:r w:rsidRPr="00EC20A0">
              <w:rPr>
                <w:spacing w:val="-6"/>
                <w:sz w:val="16"/>
              </w:rPr>
              <w:t xml:space="preserve"> </w:t>
            </w:r>
            <w:r w:rsidRPr="00EC20A0">
              <w:rPr>
                <w:sz w:val="16"/>
              </w:rPr>
              <w:t>full</w:t>
            </w:r>
            <w:r w:rsidRPr="00EC20A0">
              <w:rPr>
                <w:spacing w:val="-6"/>
                <w:sz w:val="16"/>
              </w:rPr>
              <w:t xml:space="preserve"> </w:t>
            </w:r>
            <w:r w:rsidRPr="00EC20A0">
              <w:rPr>
                <w:sz w:val="16"/>
              </w:rPr>
              <w:t>compliance?</w:t>
            </w:r>
            <w:r w:rsidRPr="00EC20A0">
              <w:rPr>
                <w:spacing w:val="-6"/>
                <w:sz w:val="16"/>
              </w:rPr>
              <w:t xml:space="preserve"> </w:t>
            </w:r>
            <w:r w:rsidRPr="00EC20A0">
              <w:rPr>
                <w:sz w:val="16"/>
              </w:rPr>
              <w:t>(Y</w:t>
            </w:r>
            <w:r w:rsidRPr="00EC20A0">
              <w:rPr>
                <w:spacing w:val="-6"/>
                <w:sz w:val="16"/>
              </w:rPr>
              <w:t xml:space="preserve"> </w:t>
            </w:r>
            <w:r w:rsidRPr="00EC20A0">
              <w:rPr>
                <w:sz w:val="16"/>
              </w:rPr>
              <w:t>or</w:t>
            </w:r>
            <w:r w:rsidRPr="00EC20A0">
              <w:rPr>
                <w:spacing w:val="-5"/>
                <w:sz w:val="16"/>
              </w:rPr>
              <w:t xml:space="preserve"> N)</w:t>
            </w:r>
          </w:p>
        </w:tc>
        <w:tc>
          <w:tcPr>
            <w:tcW w:w="262" w:type="dxa"/>
            <w:vMerge/>
            <w:tcBorders>
              <w:top w:val="nil"/>
              <w:left w:val="nil"/>
              <w:right w:val="single" w:sz="4" w:space="0" w:color="000000"/>
            </w:tcBorders>
          </w:tcPr>
          <w:p w14:paraId="24D605EF"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5F0" w14:textId="77777777" w:rsidR="00245300" w:rsidRPr="00EC20A0" w:rsidRDefault="00245300">
            <w:pPr>
              <w:rPr>
                <w:sz w:val="2"/>
                <w:szCs w:val="2"/>
              </w:rPr>
            </w:pPr>
          </w:p>
        </w:tc>
        <w:tc>
          <w:tcPr>
            <w:tcW w:w="1074" w:type="dxa"/>
            <w:vMerge w:val="restart"/>
            <w:tcBorders>
              <w:top w:val="nil"/>
              <w:left w:val="single" w:sz="4" w:space="0" w:color="000000"/>
              <w:right w:val="single" w:sz="4" w:space="0" w:color="000000"/>
            </w:tcBorders>
          </w:tcPr>
          <w:p w14:paraId="24D605F1" w14:textId="77777777" w:rsidR="00245300" w:rsidRPr="00EC20A0" w:rsidRDefault="00245300">
            <w:pPr>
              <w:pStyle w:val="TableParagraph"/>
              <w:rPr>
                <w:sz w:val="18"/>
              </w:rPr>
            </w:pPr>
          </w:p>
        </w:tc>
        <w:tc>
          <w:tcPr>
            <w:tcW w:w="4040" w:type="dxa"/>
            <w:gridSpan w:val="4"/>
            <w:tcBorders>
              <w:top w:val="single" w:sz="4" w:space="0" w:color="000000"/>
              <w:left w:val="single" w:sz="4" w:space="0" w:color="000000"/>
              <w:bottom w:val="nil"/>
            </w:tcBorders>
          </w:tcPr>
          <w:p w14:paraId="24D605F2" w14:textId="77777777" w:rsidR="00245300" w:rsidRPr="00EC20A0" w:rsidRDefault="00F17249">
            <w:pPr>
              <w:pStyle w:val="TableParagraph"/>
              <w:spacing w:before="49"/>
              <w:ind w:left="110"/>
              <w:rPr>
                <w:sz w:val="16"/>
              </w:rPr>
            </w:pPr>
            <w:r w:rsidRPr="00EC20A0">
              <w:rPr>
                <w:sz w:val="16"/>
              </w:rPr>
              <w:t>Corrective</w:t>
            </w:r>
            <w:r w:rsidRPr="00EC20A0">
              <w:rPr>
                <w:spacing w:val="-8"/>
                <w:sz w:val="16"/>
              </w:rPr>
              <w:t xml:space="preserve"> </w:t>
            </w:r>
            <w:r w:rsidRPr="00EC20A0">
              <w:rPr>
                <w:sz w:val="16"/>
              </w:rPr>
              <w:t>action</w:t>
            </w:r>
            <w:r w:rsidRPr="00EC20A0">
              <w:rPr>
                <w:spacing w:val="-7"/>
                <w:sz w:val="16"/>
              </w:rPr>
              <w:t xml:space="preserve"> </w:t>
            </w:r>
            <w:r w:rsidRPr="00EC20A0">
              <w:rPr>
                <w:sz w:val="16"/>
              </w:rPr>
              <w:t>in</w:t>
            </w:r>
            <w:r w:rsidRPr="00EC20A0">
              <w:rPr>
                <w:spacing w:val="-7"/>
                <w:sz w:val="16"/>
              </w:rPr>
              <w:t xml:space="preserve"> </w:t>
            </w:r>
            <w:r w:rsidRPr="00EC20A0">
              <w:rPr>
                <w:sz w:val="16"/>
              </w:rPr>
              <w:t>remediation</w:t>
            </w:r>
            <w:r w:rsidRPr="00EC20A0">
              <w:rPr>
                <w:spacing w:val="-7"/>
                <w:sz w:val="16"/>
              </w:rPr>
              <w:t xml:space="preserve"> </w:t>
            </w:r>
            <w:r w:rsidRPr="00EC20A0">
              <w:rPr>
                <w:sz w:val="16"/>
              </w:rPr>
              <w:t>plan?</w:t>
            </w:r>
            <w:r w:rsidRPr="00EC20A0">
              <w:rPr>
                <w:spacing w:val="-7"/>
                <w:sz w:val="16"/>
              </w:rPr>
              <w:t xml:space="preserve"> </w:t>
            </w:r>
            <w:r w:rsidRPr="00EC20A0">
              <w:rPr>
                <w:sz w:val="16"/>
              </w:rPr>
              <w:t>(Y</w:t>
            </w:r>
            <w:r w:rsidRPr="00EC20A0">
              <w:rPr>
                <w:spacing w:val="-6"/>
                <w:sz w:val="16"/>
              </w:rPr>
              <w:t xml:space="preserve"> </w:t>
            </w:r>
            <w:r w:rsidRPr="00EC20A0">
              <w:rPr>
                <w:sz w:val="16"/>
              </w:rPr>
              <w:t>or</w:t>
            </w:r>
            <w:r w:rsidRPr="00EC20A0">
              <w:rPr>
                <w:spacing w:val="-7"/>
                <w:sz w:val="16"/>
              </w:rPr>
              <w:t xml:space="preserve"> </w:t>
            </w:r>
            <w:r w:rsidRPr="00EC20A0">
              <w:rPr>
                <w:spacing w:val="-5"/>
                <w:sz w:val="16"/>
              </w:rPr>
              <w:t>N)</w:t>
            </w:r>
          </w:p>
        </w:tc>
      </w:tr>
      <w:tr w:rsidR="00245300" w:rsidRPr="00EC20A0" w14:paraId="24D605FD" w14:textId="77777777">
        <w:trPr>
          <w:trHeight w:val="284"/>
        </w:trPr>
        <w:tc>
          <w:tcPr>
            <w:tcW w:w="647" w:type="dxa"/>
            <w:vMerge/>
            <w:tcBorders>
              <w:top w:val="nil"/>
              <w:right w:val="single" w:sz="4" w:space="0" w:color="000000"/>
            </w:tcBorders>
          </w:tcPr>
          <w:p w14:paraId="24D605F4"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5F5" w14:textId="77777777" w:rsidR="00245300" w:rsidRPr="00EC20A0" w:rsidRDefault="00245300">
            <w:pPr>
              <w:rPr>
                <w:sz w:val="2"/>
                <w:szCs w:val="2"/>
              </w:rPr>
            </w:pPr>
          </w:p>
        </w:tc>
        <w:tc>
          <w:tcPr>
            <w:tcW w:w="455" w:type="dxa"/>
            <w:vMerge w:val="restart"/>
            <w:tcBorders>
              <w:top w:val="nil"/>
              <w:left w:val="single" w:sz="4" w:space="0" w:color="000000"/>
              <w:right w:val="single" w:sz="4" w:space="0" w:color="000000"/>
            </w:tcBorders>
          </w:tcPr>
          <w:p w14:paraId="24D605F6" w14:textId="77777777" w:rsidR="00245300" w:rsidRPr="00EC20A0" w:rsidRDefault="00245300">
            <w:pPr>
              <w:pStyle w:val="TableParagraph"/>
              <w:rPr>
                <w:sz w:val="18"/>
              </w:rPr>
            </w:pPr>
          </w:p>
        </w:tc>
        <w:tc>
          <w:tcPr>
            <w:tcW w:w="4539" w:type="dxa"/>
            <w:gridSpan w:val="3"/>
            <w:tcBorders>
              <w:top w:val="single" w:sz="4" w:space="0" w:color="000000"/>
              <w:left w:val="single" w:sz="4" w:space="0" w:color="000000"/>
              <w:bottom w:val="nil"/>
              <w:right w:val="nil"/>
            </w:tcBorders>
          </w:tcPr>
          <w:p w14:paraId="24D605F7" w14:textId="77777777" w:rsidR="00245300" w:rsidRPr="00EC20A0" w:rsidRDefault="00F17249">
            <w:pPr>
              <w:pStyle w:val="TableParagraph"/>
              <w:spacing w:before="51"/>
              <w:ind w:left="106"/>
              <w:rPr>
                <w:sz w:val="16"/>
              </w:rPr>
            </w:pPr>
            <w:r w:rsidRPr="00EC20A0">
              <w:rPr>
                <w:sz w:val="16"/>
              </w:rPr>
              <w:t>Applicable</w:t>
            </w:r>
            <w:r w:rsidRPr="00EC20A0">
              <w:rPr>
                <w:spacing w:val="-7"/>
                <w:sz w:val="16"/>
              </w:rPr>
              <w:t xml:space="preserve"> </w:t>
            </w:r>
            <w:r w:rsidRPr="00EC20A0">
              <w:rPr>
                <w:sz w:val="16"/>
              </w:rPr>
              <w:t>criteria</w:t>
            </w:r>
            <w:r w:rsidRPr="00EC20A0">
              <w:rPr>
                <w:spacing w:val="-7"/>
                <w:sz w:val="16"/>
              </w:rPr>
              <w:t xml:space="preserve"> </w:t>
            </w:r>
            <w:r w:rsidRPr="00EC20A0">
              <w:rPr>
                <w:sz w:val="16"/>
              </w:rPr>
              <w:t>(OMB</w:t>
            </w:r>
            <w:r w:rsidRPr="00EC20A0">
              <w:rPr>
                <w:spacing w:val="-4"/>
                <w:sz w:val="16"/>
              </w:rPr>
              <w:t xml:space="preserve"> </w:t>
            </w:r>
            <w:r w:rsidRPr="00EC20A0">
              <w:rPr>
                <w:sz w:val="16"/>
              </w:rPr>
              <w:t>Circular</w:t>
            </w:r>
            <w:r w:rsidRPr="00EC20A0">
              <w:rPr>
                <w:spacing w:val="-6"/>
                <w:sz w:val="16"/>
              </w:rPr>
              <w:t xml:space="preserve"> </w:t>
            </w:r>
            <w:r w:rsidRPr="00EC20A0">
              <w:rPr>
                <w:sz w:val="16"/>
              </w:rPr>
              <w:t>No.</w:t>
            </w:r>
            <w:r w:rsidRPr="00EC20A0">
              <w:rPr>
                <w:spacing w:val="-7"/>
                <w:sz w:val="16"/>
              </w:rPr>
              <w:t xml:space="preserve"> </w:t>
            </w:r>
            <w:r w:rsidRPr="00EC20A0">
              <w:rPr>
                <w:sz w:val="16"/>
              </w:rPr>
              <w:t>A-123,</w:t>
            </w:r>
            <w:r w:rsidRPr="00EC20A0">
              <w:rPr>
                <w:spacing w:val="-4"/>
                <w:sz w:val="16"/>
              </w:rPr>
              <w:t xml:space="preserve"> </w:t>
            </w:r>
            <w:r w:rsidRPr="00EC20A0">
              <w:rPr>
                <w:sz w:val="16"/>
              </w:rPr>
              <w:t>app.</w:t>
            </w:r>
            <w:r w:rsidRPr="00EC20A0">
              <w:rPr>
                <w:spacing w:val="-5"/>
                <w:sz w:val="16"/>
              </w:rPr>
              <w:t xml:space="preserve"> </w:t>
            </w:r>
            <w:r w:rsidRPr="00EC20A0">
              <w:rPr>
                <w:sz w:val="16"/>
              </w:rPr>
              <w:t>D</w:t>
            </w:r>
            <w:r w:rsidRPr="00EC20A0">
              <w:rPr>
                <w:spacing w:val="-7"/>
                <w:sz w:val="16"/>
              </w:rPr>
              <w:t xml:space="preserve"> </w:t>
            </w:r>
            <w:r w:rsidRPr="00EC20A0">
              <w:rPr>
                <w:spacing w:val="-2"/>
                <w:sz w:val="16"/>
              </w:rPr>
              <w:t>citation)</w:t>
            </w:r>
          </w:p>
        </w:tc>
        <w:tc>
          <w:tcPr>
            <w:tcW w:w="262" w:type="dxa"/>
            <w:vMerge/>
            <w:tcBorders>
              <w:top w:val="nil"/>
              <w:left w:val="nil"/>
              <w:right w:val="single" w:sz="4" w:space="0" w:color="000000"/>
            </w:tcBorders>
          </w:tcPr>
          <w:p w14:paraId="24D605F8"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5F9"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5FA" w14:textId="77777777" w:rsidR="00245300" w:rsidRPr="00EC20A0" w:rsidRDefault="00245300">
            <w:pPr>
              <w:rPr>
                <w:sz w:val="2"/>
                <w:szCs w:val="2"/>
              </w:rPr>
            </w:pPr>
          </w:p>
        </w:tc>
        <w:tc>
          <w:tcPr>
            <w:tcW w:w="493" w:type="dxa"/>
            <w:vMerge w:val="restart"/>
            <w:tcBorders>
              <w:top w:val="nil"/>
              <w:left w:val="single" w:sz="4" w:space="0" w:color="000000"/>
              <w:right w:val="single" w:sz="4" w:space="0" w:color="000000"/>
            </w:tcBorders>
          </w:tcPr>
          <w:p w14:paraId="24D605FB" w14:textId="77777777" w:rsidR="00245300" w:rsidRPr="00EC20A0" w:rsidRDefault="00245300">
            <w:pPr>
              <w:pStyle w:val="TableParagraph"/>
              <w:rPr>
                <w:sz w:val="18"/>
              </w:rPr>
            </w:pPr>
          </w:p>
        </w:tc>
        <w:tc>
          <w:tcPr>
            <w:tcW w:w="3547" w:type="dxa"/>
            <w:gridSpan w:val="3"/>
            <w:tcBorders>
              <w:top w:val="single" w:sz="4" w:space="0" w:color="000000"/>
              <w:left w:val="single" w:sz="4" w:space="0" w:color="000000"/>
              <w:bottom w:val="nil"/>
            </w:tcBorders>
          </w:tcPr>
          <w:p w14:paraId="24D605FC" w14:textId="77777777" w:rsidR="00245300" w:rsidRPr="00EC20A0" w:rsidRDefault="00F17249">
            <w:pPr>
              <w:pStyle w:val="TableParagraph"/>
              <w:spacing w:before="51"/>
              <w:ind w:left="111"/>
              <w:rPr>
                <w:sz w:val="16"/>
              </w:rPr>
            </w:pPr>
            <w:r w:rsidRPr="00EC20A0">
              <w:rPr>
                <w:sz w:val="16"/>
              </w:rPr>
              <w:t>Assessment</w:t>
            </w:r>
            <w:r w:rsidRPr="00EC20A0">
              <w:rPr>
                <w:spacing w:val="-8"/>
                <w:sz w:val="16"/>
              </w:rPr>
              <w:t xml:space="preserve"> </w:t>
            </w:r>
            <w:r w:rsidRPr="00EC20A0">
              <w:rPr>
                <w:sz w:val="16"/>
              </w:rPr>
              <w:t>of</w:t>
            </w:r>
            <w:r w:rsidRPr="00EC20A0">
              <w:rPr>
                <w:spacing w:val="-7"/>
                <w:sz w:val="16"/>
              </w:rPr>
              <w:t xml:space="preserve"> </w:t>
            </w:r>
            <w:r w:rsidRPr="00EC20A0">
              <w:rPr>
                <w:sz w:val="16"/>
              </w:rPr>
              <w:t>corrective</w:t>
            </w:r>
            <w:r w:rsidRPr="00EC20A0">
              <w:rPr>
                <w:spacing w:val="-7"/>
                <w:sz w:val="16"/>
              </w:rPr>
              <w:t xml:space="preserve"> </w:t>
            </w:r>
            <w:r w:rsidRPr="00EC20A0">
              <w:rPr>
                <w:sz w:val="16"/>
              </w:rPr>
              <w:t>actions,</w:t>
            </w:r>
            <w:r w:rsidRPr="00EC20A0">
              <w:rPr>
                <w:spacing w:val="-8"/>
                <w:sz w:val="16"/>
              </w:rPr>
              <w:t xml:space="preserve"> </w:t>
            </w:r>
            <w:r w:rsidRPr="00EC20A0">
              <w:rPr>
                <w:sz w:val="16"/>
              </w:rPr>
              <w:t>time</w:t>
            </w:r>
            <w:r w:rsidRPr="00EC20A0">
              <w:rPr>
                <w:spacing w:val="-7"/>
                <w:sz w:val="16"/>
              </w:rPr>
              <w:t xml:space="preserve"> </w:t>
            </w:r>
            <w:r w:rsidRPr="00EC20A0">
              <w:rPr>
                <w:spacing w:val="-2"/>
                <w:sz w:val="16"/>
              </w:rPr>
              <w:t>frames</w:t>
            </w:r>
          </w:p>
        </w:tc>
      </w:tr>
      <w:tr w:rsidR="00245300" w:rsidRPr="00EC20A0" w14:paraId="24D60609" w14:textId="77777777">
        <w:trPr>
          <w:trHeight w:val="284"/>
        </w:trPr>
        <w:tc>
          <w:tcPr>
            <w:tcW w:w="647" w:type="dxa"/>
            <w:vMerge/>
            <w:tcBorders>
              <w:top w:val="nil"/>
              <w:right w:val="single" w:sz="4" w:space="0" w:color="000000"/>
            </w:tcBorders>
          </w:tcPr>
          <w:p w14:paraId="24D605FE"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5FF"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600" w14:textId="77777777" w:rsidR="00245300" w:rsidRPr="00EC20A0" w:rsidRDefault="00245300">
            <w:pPr>
              <w:rPr>
                <w:sz w:val="2"/>
                <w:szCs w:val="2"/>
              </w:rPr>
            </w:pPr>
          </w:p>
        </w:tc>
        <w:tc>
          <w:tcPr>
            <w:tcW w:w="839" w:type="dxa"/>
            <w:vMerge w:val="restart"/>
            <w:tcBorders>
              <w:top w:val="nil"/>
              <w:left w:val="single" w:sz="4" w:space="0" w:color="000000"/>
              <w:right w:val="single" w:sz="4" w:space="0" w:color="000000"/>
            </w:tcBorders>
          </w:tcPr>
          <w:p w14:paraId="24D60601" w14:textId="77777777" w:rsidR="00245300" w:rsidRPr="00EC20A0" w:rsidRDefault="00245300">
            <w:pPr>
              <w:pStyle w:val="TableParagraph"/>
              <w:rPr>
                <w:sz w:val="18"/>
              </w:rPr>
            </w:pPr>
          </w:p>
        </w:tc>
        <w:tc>
          <w:tcPr>
            <w:tcW w:w="3700" w:type="dxa"/>
            <w:gridSpan w:val="2"/>
            <w:tcBorders>
              <w:top w:val="single" w:sz="4" w:space="0" w:color="000000"/>
              <w:left w:val="single" w:sz="4" w:space="0" w:color="000000"/>
              <w:bottom w:val="nil"/>
              <w:right w:val="nil"/>
            </w:tcBorders>
          </w:tcPr>
          <w:p w14:paraId="24D60602" w14:textId="77777777" w:rsidR="00245300" w:rsidRPr="00EC20A0" w:rsidRDefault="00F17249">
            <w:pPr>
              <w:pStyle w:val="TableParagraph"/>
              <w:spacing w:before="49"/>
              <w:ind w:left="106"/>
              <w:rPr>
                <w:sz w:val="16"/>
              </w:rPr>
            </w:pPr>
            <w:r w:rsidRPr="00EC20A0">
              <w:rPr>
                <w:sz w:val="16"/>
              </w:rPr>
              <w:t>Responsible</w:t>
            </w:r>
            <w:r w:rsidRPr="00EC20A0">
              <w:rPr>
                <w:spacing w:val="-11"/>
                <w:sz w:val="16"/>
              </w:rPr>
              <w:t xml:space="preserve"> </w:t>
            </w:r>
            <w:r w:rsidRPr="00EC20A0">
              <w:rPr>
                <w:spacing w:val="-2"/>
                <w:sz w:val="16"/>
              </w:rPr>
              <w:t>entity</w:t>
            </w:r>
          </w:p>
        </w:tc>
        <w:tc>
          <w:tcPr>
            <w:tcW w:w="262" w:type="dxa"/>
            <w:vMerge/>
            <w:tcBorders>
              <w:top w:val="nil"/>
              <w:left w:val="nil"/>
              <w:right w:val="single" w:sz="4" w:space="0" w:color="000000"/>
            </w:tcBorders>
          </w:tcPr>
          <w:p w14:paraId="24D60603"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604"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605"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606" w14:textId="77777777" w:rsidR="00245300" w:rsidRPr="00EC20A0" w:rsidRDefault="00245300">
            <w:pPr>
              <w:rPr>
                <w:sz w:val="2"/>
                <w:szCs w:val="2"/>
              </w:rPr>
            </w:pPr>
          </w:p>
        </w:tc>
        <w:tc>
          <w:tcPr>
            <w:tcW w:w="1077" w:type="dxa"/>
            <w:vMerge w:val="restart"/>
            <w:tcBorders>
              <w:top w:val="nil"/>
              <w:left w:val="single" w:sz="4" w:space="0" w:color="000000"/>
              <w:right w:val="single" w:sz="4" w:space="0" w:color="000000"/>
            </w:tcBorders>
          </w:tcPr>
          <w:p w14:paraId="24D60607" w14:textId="77777777" w:rsidR="00245300" w:rsidRPr="00EC20A0" w:rsidRDefault="00245300">
            <w:pPr>
              <w:pStyle w:val="TableParagraph"/>
              <w:rPr>
                <w:sz w:val="18"/>
              </w:rPr>
            </w:pPr>
          </w:p>
        </w:tc>
        <w:tc>
          <w:tcPr>
            <w:tcW w:w="2470" w:type="dxa"/>
            <w:gridSpan w:val="2"/>
            <w:tcBorders>
              <w:top w:val="single" w:sz="4" w:space="0" w:color="000000"/>
              <w:left w:val="single" w:sz="4" w:space="0" w:color="000000"/>
              <w:bottom w:val="nil"/>
            </w:tcBorders>
          </w:tcPr>
          <w:p w14:paraId="24D60608" w14:textId="77777777" w:rsidR="00245300" w:rsidRPr="00EC20A0" w:rsidRDefault="00F17249">
            <w:pPr>
              <w:pStyle w:val="TableParagraph"/>
              <w:spacing w:before="49"/>
              <w:ind w:left="113"/>
              <w:rPr>
                <w:sz w:val="16"/>
              </w:rPr>
            </w:pPr>
            <w:r w:rsidRPr="00EC20A0">
              <w:rPr>
                <w:sz w:val="16"/>
              </w:rPr>
              <w:t>Doc.</w:t>
            </w:r>
            <w:r w:rsidRPr="00EC20A0">
              <w:rPr>
                <w:spacing w:val="-5"/>
                <w:sz w:val="16"/>
              </w:rPr>
              <w:t xml:space="preserve"> </w:t>
            </w:r>
            <w:r w:rsidRPr="00EC20A0">
              <w:rPr>
                <w:spacing w:val="-2"/>
                <w:sz w:val="16"/>
              </w:rPr>
              <w:t>reference</w:t>
            </w:r>
          </w:p>
        </w:tc>
      </w:tr>
      <w:tr w:rsidR="00245300" w:rsidRPr="00EC20A0" w14:paraId="24D60617" w14:textId="77777777">
        <w:trPr>
          <w:trHeight w:val="476"/>
        </w:trPr>
        <w:tc>
          <w:tcPr>
            <w:tcW w:w="647" w:type="dxa"/>
            <w:vMerge/>
            <w:tcBorders>
              <w:top w:val="nil"/>
              <w:right w:val="single" w:sz="4" w:space="0" w:color="000000"/>
            </w:tcBorders>
          </w:tcPr>
          <w:p w14:paraId="24D6060A"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60B"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60C" w14:textId="77777777" w:rsidR="00245300" w:rsidRPr="00EC20A0" w:rsidRDefault="00245300">
            <w:pPr>
              <w:rPr>
                <w:sz w:val="2"/>
                <w:szCs w:val="2"/>
              </w:rPr>
            </w:pPr>
          </w:p>
        </w:tc>
        <w:tc>
          <w:tcPr>
            <w:tcW w:w="839" w:type="dxa"/>
            <w:vMerge/>
            <w:tcBorders>
              <w:top w:val="nil"/>
              <w:left w:val="single" w:sz="4" w:space="0" w:color="000000"/>
              <w:right w:val="single" w:sz="4" w:space="0" w:color="000000"/>
            </w:tcBorders>
          </w:tcPr>
          <w:p w14:paraId="24D6060D" w14:textId="77777777" w:rsidR="00245300" w:rsidRPr="00EC20A0" w:rsidRDefault="00245300">
            <w:pPr>
              <w:rPr>
                <w:sz w:val="2"/>
                <w:szCs w:val="2"/>
              </w:rPr>
            </w:pPr>
          </w:p>
        </w:tc>
        <w:tc>
          <w:tcPr>
            <w:tcW w:w="973" w:type="dxa"/>
            <w:tcBorders>
              <w:top w:val="nil"/>
              <w:left w:val="single" w:sz="4" w:space="0" w:color="000000"/>
              <w:right w:val="single" w:sz="4" w:space="0" w:color="000000"/>
            </w:tcBorders>
          </w:tcPr>
          <w:p w14:paraId="24D6060E" w14:textId="77777777" w:rsidR="00245300" w:rsidRPr="00EC20A0" w:rsidRDefault="00245300">
            <w:pPr>
              <w:pStyle w:val="TableParagraph"/>
              <w:rPr>
                <w:sz w:val="18"/>
              </w:rPr>
            </w:pPr>
          </w:p>
        </w:tc>
        <w:tc>
          <w:tcPr>
            <w:tcW w:w="2727" w:type="dxa"/>
            <w:tcBorders>
              <w:top w:val="single" w:sz="4" w:space="0" w:color="000000"/>
              <w:left w:val="single" w:sz="4" w:space="0" w:color="000000"/>
              <w:right w:val="nil"/>
            </w:tcBorders>
          </w:tcPr>
          <w:p w14:paraId="24D6060F" w14:textId="77777777" w:rsidR="00245300" w:rsidRPr="00EC20A0" w:rsidRDefault="00F17249">
            <w:pPr>
              <w:pStyle w:val="TableParagraph"/>
              <w:spacing w:before="49"/>
              <w:ind w:left="105"/>
              <w:rPr>
                <w:sz w:val="16"/>
              </w:rPr>
            </w:pPr>
            <w:r w:rsidRPr="00EC20A0">
              <w:rPr>
                <w:sz w:val="16"/>
              </w:rPr>
              <w:t>Primary</w:t>
            </w:r>
            <w:r w:rsidRPr="00EC20A0">
              <w:rPr>
                <w:spacing w:val="-8"/>
                <w:sz w:val="16"/>
              </w:rPr>
              <w:t xml:space="preserve"> </w:t>
            </w:r>
            <w:r w:rsidRPr="00EC20A0">
              <w:rPr>
                <w:sz w:val="16"/>
              </w:rPr>
              <w:t>reason</w:t>
            </w:r>
            <w:r w:rsidRPr="00EC20A0">
              <w:rPr>
                <w:spacing w:val="-8"/>
                <w:sz w:val="16"/>
              </w:rPr>
              <w:t xml:space="preserve"> </w:t>
            </w:r>
            <w:r w:rsidRPr="00EC20A0">
              <w:rPr>
                <w:sz w:val="16"/>
              </w:rPr>
              <w:t>for</w:t>
            </w:r>
            <w:r w:rsidRPr="00EC20A0">
              <w:rPr>
                <w:spacing w:val="-8"/>
                <w:sz w:val="16"/>
              </w:rPr>
              <w:t xml:space="preserve"> </w:t>
            </w:r>
            <w:r w:rsidRPr="00EC20A0">
              <w:rPr>
                <w:sz w:val="16"/>
              </w:rPr>
              <w:t>or</w:t>
            </w:r>
            <w:r w:rsidRPr="00EC20A0">
              <w:rPr>
                <w:spacing w:val="-8"/>
                <w:sz w:val="16"/>
              </w:rPr>
              <w:t xml:space="preserve"> </w:t>
            </w:r>
            <w:r w:rsidRPr="00EC20A0">
              <w:rPr>
                <w:sz w:val="16"/>
              </w:rPr>
              <w:t>cause</w:t>
            </w:r>
            <w:r w:rsidRPr="00EC20A0">
              <w:rPr>
                <w:spacing w:val="-8"/>
                <w:sz w:val="16"/>
              </w:rPr>
              <w:t xml:space="preserve"> </w:t>
            </w:r>
            <w:r w:rsidRPr="00EC20A0">
              <w:rPr>
                <w:sz w:val="16"/>
              </w:rPr>
              <w:t>of systems’ noncompliance</w:t>
            </w:r>
          </w:p>
        </w:tc>
        <w:tc>
          <w:tcPr>
            <w:tcW w:w="262" w:type="dxa"/>
            <w:vMerge/>
            <w:tcBorders>
              <w:top w:val="nil"/>
              <w:left w:val="nil"/>
              <w:right w:val="single" w:sz="4" w:space="0" w:color="000000"/>
            </w:tcBorders>
          </w:tcPr>
          <w:p w14:paraId="24D60610"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611"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612"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613" w14:textId="77777777" w:rsidR="00245300" w:rsidRPr="00EC20A0" w:rsidRDefault="00245300">
            <w:pPr>
              <w:rPr>
                <w:sz w:val="2"/>
                <w:szCs w:val="2"/>
              </w:rPr>
            </w:pPr>
          </w:p>
        </w:tc>
        <w:tc>
          <w:tcPr>
            <w:tcW w:w="1077" w:type="dxa"/>
            <w:vMerge/>
            <w:tcBorders>
              <w:top w:val="nil"/>
              <w:left w:val="single" w:sz="4" w:space="0" w:color="000000"/>
              <w:right w:val="single" w:sz="4" w:space="0" w:color="000000"/>
            </w:tcBorders>
          </w:tcPr>
          <w:p w14:paraId="24D60614" w14:textId="77777777" w:rsidR="00245300" w:rsidRPr="00EC20A0" w:rsidRDefault="00245300">
            <w:pPr>
              <w:rPr>
                <w:sz w:val="2"/>
                <w:szCs w:val="2"/>
              </w:rPr>
            </w:pPr>
          </w:p>
        </w:tc>
        <w:tc>
          <w:tcPr>
            <w:tcW w:w="607" w:type="dxa"/>
            <w:tcBorders>
              <w:top w:val="nil"/>
              <w:left w:val="single" w:sz="4" w:space="0" w:color="000000"/>
              <w:right w:val="single" w:sz="4" w:space="0" w:color="000000"/>
            </w:tcBorders>
          </w:tcPr>
          <w:p w14:paraId="24D60615" w14:textId="77777777" w:rsidR="00245300" w:rsidRPr="00EC20A0" w:rsidRDefault="00245300">
            <w:pPr>
              <w:pStyle w:val="TableParagraph"/>
              <w:rPr>
                <w:sz w:val="18"/>
              </w:rPr>
            </w:pPr>
          </w:p>
        </w:tc>
        <w:tc>
          <w:tcPr>
            <w:tcW w:w="1863" w:type="dxa"/>
            <w:tcBorders>
              <w:top w:val="single" w:sz="4" w:space="0" w:color="000000"/>
              <w:left w:val="single" w:sz="4" w:space="0" w:color="000000"/>
            </w:tcBorders>
          </w:tcPr>
          <w:p w14:paraId="24D60616" w14:textId="77777777" w:rsidR="00245300" w:rsidRPr="00EC20A0" w:rsidRDefault="00F17249">
            <w:pPr>
              <w:pStyle w:val="TableParagraph"/>
              <w:spacing w:before="49"/>
              <w:ind w:left="115"/>
              <w:rPr>
                <w:sz w:val="16"/>
              </w:rPr>
            </w:pPr>
            <w:r w:rsidRPr="00EC20A0">
              <w:rPr>
                <w:spacing w:val="-2"/>
                <w:sz w:val="16"/>
              </w:rPr>
              <w:t>Comments</w:t>
            </w:r>
          </w:p>
        </w:tc>
      </w:tr>
      <w:tr w:rsidR="00245300" w:rsidRPr="00EC20A0" w14:paraId="24D60619" w14:textId="77777777">
        <w:trPr>
          <w:trHeight w:val="447"/>
        </w:trPr>
        <w:tc>
          <w:tcPr>
            <w:tcW w:w="13005" w:type="dxa"/>
            <w:gridSpan w:val="13"/>
            <w:tcBorders>
              <w:bottom w:val="single" w:sz="4" w:space="0" w:color="000000"/>
            </w:tcBorders>
          </w:tcPr>
          <w:p w14:paraId="24D60618" w14:textId="77777777" w:rsidR="00245300" w:rsidRPr="00EC20A0" w:rsidRDefault="00F17249">
            <w:pPr>
              <w:pStyle w:val="TableParagraph"/>
              <w:spacing w:before="121"/>
              <w:ind w:left="96"/>
              <w:rPr>
                <w:sz w:val="18"/>
              </w:rPr>
            </w:pPr>
            <w:r w:rsidRPr="00EC20A0">
              <w:rPr>
                <w:sz w:val="18"/>
              </w:rPr>
              <w:t>Prior</w:t>
            </w:r>
            <w:r w:rsidRPr="00EC20A0">
              <w:rPr>
                <w:spacing w:val="-5"/>
                <w:sz w:val="18"/>
              </w:rPr>
              <w:t xml:space="preserve"> </w:t>
            </w:r>
            <w:r w:rsidRPr="00EC20A0">
              <w:rPr>
                <w:sz w:val="18"/>
              </w:rPr>
              <w:t>year's</w:t>
            </w:r>
            <w:r w:rsidRPr="00EC20A0">
              <w:rPr>
                <w:spacing w:val="-3"/>
                <w:sz w:val="18"/>
              </w:rPr>
              <w:t xml:space="preserve"> </w:t>
            </w:r>
            <w:r w:rsidRPr="00EC20A0">
              <w:rPr>
                <w:sz w:val="18"/>
              </w:rPr>
              <w:t>reported</w:t>
            </w:r>
            <w:r w:rsidRPr="00EC20A0">
              <w:rPr>
                <w:spacing w:val="-4"/>
                <w:sz w:val="18"/>
              </w:rPr>
              <w:t xml:space="preserve"> </w:t>
            </w:r>
            <w:r w:rsidRPr="00EC20A0">
              <w:rPr>
                <w:sz w:val="18"/>
              </w:rPr>
              <w:t>instances</w:t>
            </w:r>
            <w:r w:rsidRPr="00EC20A0">
              <w:rPr>
                <w:spacing w:val="-2"/>
                <w:sz w:val="18"/>
              </w:rPr>
              <w:t xml:space="preserve"> </w:t>
            </w:r>
            <w:r w:rsidRPr="00EC20A0">
              <w:rPr>
                <w:sz w:val="18"/>
              </w:rPr>
              <w:t>of</w:t>
            </w:r>
            <w:r w:rsidRPr="00EC20A0">
              <w:rPr>
                <w:spacing w:val="-3"/>
                <w:sz w:val="18"/>
              </w:rPr>
              <w:t xml:space="preserve"> </w:t>
            </w:r>
            <w:r w:rsidRPr="00EC20A0">
              <w:rPr>
                <w:sz w:val="18"/>
              </w:rPr>
              <w:t>noncompliance</w:t>
            </w:r>
            <w:r w:rsidRPr="00EC20A0">
              <w:rPr>
                <w:spacing w:val="-4"/>
                <w:sz w:val="18"/>
              </w:rPr>
              <w:t xml:space="preserve"> </w:t>
            </w:r>
            <w:r w:rsidRPr="00EC20A0">
              <w:rPr>
                <w:sz w:val="18"/>
              </w:rPr>
              <w:t>(step</w:t>
            </w:r>
            <w:r w:rsidRPr="00EC20A0">
              <w:rPr>
                <w:spacing w:val="-3"/>
                <w:sz w:val="18"/>
              </w:rPr>
              <w:t xml:space="preserve"> </w:t>
            </w:r>
            <w:r w:rsidRPr="00EC20A0">
              <w:rPr>
                <w:spacing w:val="-4"/>
                <w:sz w:val="18"/>
              </w:rPr>
              <w:t>I.B)</w:t>
            </w:r>
          </w:p>
        </w:tc>
      </w:tr>
      <w:tr w:rsidR="00245300" w:rsidRPr="00EC20A0" w14:paraId="24D60626" w14:textId="77777777">
        <w:trPr>
          <w:trHeight w:val="304"/>
        </w:trPr>
        <w:tc>
          <w:tcPr>
            <w:tcW w:w="647" w:type="dxa"/>
            <w:tcBorders>
              <w:top w:val="single" w:sz="4" w:space="0" w:color="000000"/>
              <w:bottom w:val="single" w:sz="4" w:space="0" w:color="000000"/>
              <w:right w:val="single" w:sz="4" w:space="0" w:color="000000"/>
            </w:tcBorders>
          </w:tcPr>
          <w:p w14:paraId="24D6061A"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1B"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1C"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1D"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1E"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1F"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20"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21"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22"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23"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24"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25" w14:textId="77777777" w:rsidR="00245300" w:rsidRPr="00EC20A0" w:rsidRDefault="00245300">
            <w:pPr>
              <w:pStyle w:val="TableParagraph"/>
              <w:rPr>
                <w:sz w:val="18"/>
              </w:rPr>
            </w:pPr>
          </w:p>
        </w:tc>
      </w:tr>
      <w:tr w:rsidR="00245300" w:rsidRPr="00EC20A0" w14:paraId="24D60633" w14:textId="77777777">
        <w:trPr>
          <w:trHeight w:val="303"/>
        </w:trPr>
        <w:tc>
          <w:tcPr>
            <w:tcW w:w="647" w:type="dxa"/>
            <w:tcBorders>
              <w:top w:val="single" w:sz="4" w:space="0" w:color="000000"/>
              <w:bottom w:val="single" w:sz="4" w:space="0" w:color="000000"/>
              <w:right w:val="single" w:sz="4" w:space="0" w:color="000000"/>
            </w:tcBorders>
          </w:tcPr>
          <w:p w14:paraId="24D60627"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28"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29"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2A"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2B"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2C"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2D"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2E"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2F"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30"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31"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32" w14:textId="77777777" w:rsidR="00245300" w:rsidRPr="00EC20A0" w:rsidRDefault="00245300">
            <w:pPr>
              <w:pStyle w:val="TableParagraph"/>
              <w:rPr>
                <w:sz w:val="18"/>
              </w:rPr>
            </w:pPr>
          </w:p>
        </w:tc>
      </w:tr>
      <w:tr w:rsidR="00245300" w:rsidRPr="00EC20A0" w14:paraId="24D60640" w14:textId="77777777">
        <w:trPr>
          <w:trHeight w:val="304"/>
        </w:trPr>
        <w:tc>
          <w:tcPr>
            <w:tcW w:w="647" w:type="dxa"/>
            <w:tcBorders>
              <w:top w:val="single" w:sz="4" w:space="0" w:color="000000"/>
              <w:bottom w:val="single" w:sz="4" w:space="0" w:color="000000"/>
              <w:right w:val="single" w:sz="4" w:space="0" w:color="000000"/>
            </w:tcBorders>
          </w:tcPr>
          <w:p w14:paraId="24D60634"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35"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36"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37"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38"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39"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3A"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3B"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3C"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3D"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3E"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3F" w14:textId="77777777" w:rsidR="00245300" w:rsidRPr="00EC20A0" w:rsidRDefault="00245300">
            <w:pPr>
              <w:pStyle w:val="TableParagraph"/>
              <w:rPr>
                <w:sz w:val="18"/>
              </w:rPr>
            </w:pPr>
          </w:p>
        </w:tc>
      </w:tr>
      <w:tr w:rsidR="00245300" w:rsidRPr="00EC20A0" w14:paraId="24D60642" w14:textId="77777777">
        <w:trPr>
          <w:trHeight w:val="447"/>
        </w:trPr>
        <w:tc>
          <w:tcPr>
            <w:tcW w:w="13005" w:type="dxa"/>
            <w:gridSpan w:val="13"/>
            <w:tcBorders>
              <w:top w:val="single" w:sz="4" w:space="0" w:color="000000"/>
              <w:bottom w:val="single" w:sz="4" w:space="0" w:color="000000"/>
            </w:tcBorders>
          </w:tcPr>
          <w:p w14:paraId="24D60641" w14:textId="77777777" w:rsidR="00245300" w:rsidRPr="00EC20A0" w:rsidRDefault="00F17249">
            <w:pPr>
              <w:pStyle w:val="TableParagraph"/>
              <w:spacing w:before="120"/>
              <w:ind w:left="96"/>
              <w:rPr>
                <w:sz w:val="18"/>
              </w:rPr>
            </w:pPr>
            <w:r w:rsidRPr="00EC20A0">
              <w:rPr>
                <w:sz w:val="18"/>
              </w:rPr>
              <w:t>Prior</w:t>
            </w:r>
            <w:r w:rsidRPr="00EC20A0">
              <w:rPr>
                <w:spacing w:val="-6"/>
                <w:sz w:val="18"/>
              </w:rPr>
              <w:t xml:space="preserve"> </w:t>
            </w:r>
            <w:r w:rsidRPr="00EC20A0">
              <w:rPr>
                <w:sz w:val="18"/>
              </w:rPr>
              <w:t>year's</w:t>
            </w:r>
            <w:r w:rsidRPr="00EC20A0">
              <w:rPr>
                <w:spacing w:val="-3"/>
                <w:sz w:val="18"/>
              </w:rPr>
              <w:t xml:space="preserve"> </w:t>
            </w:r>
            <w:r w:rsidRPr="00EC20A0">
              <w:rPr>
                <w:sz w:val="18"/>
              </w:rPr>
              <w:t>material</w:t>
            </w:r>
            <w:r w:rsidRPr="00EC20A0">
              <w:rPr>
                <w:spacing w:val="-3"/>
                <w:sz w:val="18"/>
              </w:rPr>
              <w:t xml:space="preserve"> </w:t>
            </w:r>
            <w:r w:rsidRPr="00EC20A0">
              <w:rPr>
                <w:sz w:val="18"/>
              </w:rPr>
              <w:t>weaknesses</w:t>
            </w:r>
            <w:r w:rsidRPr="00EC20A0">
              <w:rPr>
                <w:spacing w:val="-3"/>
                <w:sz w:val="18"/>
              </w:rPr>
              <w:t xml:space="preserve"> </w:t>
            </w:r>
            <w:r w:rsidRPr="00EC20A0">
              <w:rPr>
                <w:sz w:val="18"/>
              </w:rPr>
              <w:t>and</w:t>
            </w:r>
            <w:r w:rsidRPr="00EC20A0">
              <w:rPr>
                <w:spacing w:val="-4"/>
                <w:sz w:val="18"/>
              </w:rPr>
              <w:t xml:space="preserve"> </w:t>
            </w:r>
            <w:r w:rsidRPr="00EC20A0">
              <w:rPr>
                <w:sz w:val="18"/>
              </w:rPr>
              <w:t>significant</w:t>
            </w:r>
            <w:r w:rsidRPr="00EC20A0">
              <w:rPr>
                <w:spacing w:val="-3"/>
                <w:sz w:val="18"/>
              </w:rPr>
              <w:t xml:space="preserve"> </w:t>
            </w:r>
            <w:r w:rsidRPr="00EC20A0">
              <w:rPr>
                <w:sz w:val="18"/>
              </w:rPr>
              <w:t>deficiencies</w:t>
            </w:r>
            <w:r w:rsidRPr="00EC20A0">
              <w:rPr>
                <w:spacing w:val="-3"/>
                <w:sz w:val="18"/>
              </w:rPr>
              <w:t xml:space="preserve"> </w:t>
            </w:r>
            <w:r w:rsidRPr="00EC20A0">
              <w:rPr>
                <w:sz w:val="18"/>
              </w:rPr>
              <w:t>that</w:t>
            </w:r>
            <w:r w:rsidRPr="00EC20A0">
              <w:rPr>
                <w:spacing w:val="-3"/>
                <w:sz w:val="18"/>
              </w:rPr>
              <w:t xml:space="preserve"> </w:t>
            </w:r>
            <w:r w:rsidRPr="00EC20A0">
              <w:rPr>
                <w:sz w:val="18"/>
              </w:rPr>
              <w:t>affect</w:t>
            </w:r>
            <w:r w:rsidRPr="00EC20A0">
              <w:rPr>
                <w:spacing w:val="-3"/>
                <w:sz w:val="18"/>
              </w:rPr>
              <w:t xml:space="preserve"> </w:t>
            </w:r>
            <w:r w:rsidRPr="00EC20A0">
              <w:rPr>
                <w:sz w:val="18"/>
              </w:rPr>
              <w:t>FFMIA</w:t>
            </w:r>
            <w:r w:rsidRPr="00EC20A0">
              <w:rPr>
                <w:spacing w:val="-3"/>
                <w:sz w:val="18"/>
              </w:rPr>
              <w:t xml:space="preserve"> </w:t>
            </w:r>
            <w:r w:rsidRPr="00EC20A0">
              <w:rPr>
                <w:sz w:val="18"/>
              </w:rPr>
              <w:t>determination</w:t>
            </w:r>
            <w:r w:rsidRPr="00EC20A0">
              <w:rPr>
                <w:spacing w:val="-4"/>
                <w:sz w:val="18"/>
              </w:rPr>
              <w:t xml:space="preserve"> </w:t>
            </w:r>
            <w:r w:rsidRPr="00EC20A0">
              <w:rPr>
                <w:sz w:val="18"/>
              </w:rPr>
              <w:t>(step</w:t>
            </w:r>
            <w:r w:rsidRPr="00EC20A0">
              <w:rPr>
                <w:spacing w:val="-4"/>
                <w:sz w:val="18"/>
              </w:rPr>
              <w:t xml:space="preserve"> I.B)</w:t>
            </w:r>
          </w:p>
        </w:tc>
      </w:tr>
      <w:tr w:rsidR="00245300" w:rsidRPr="00EC20A0" w14:paraId="24D6064F" w14:textId="77777777">
        <w:trPr>
          <w:trHeight w:val="303"/>
        </w:trPr>
        <w:tc>
          <w:tcPr>
            <w:tcW w:w="647" w:type="dxa"/>
            <w:tcBorders>
              <w:top w:val="single" w:sz="4" w:space="0" w:color="000000"/>
              <w:bottom w:val="single" w:sz="4" w:space="0" w:color="000000"/>
              <w:right w:val="single" w:sz="4" w:space="0" w:color="000000"/>
            </w:tcBorders>
          </w:tcPr>
          <w:p w14:paraId="24D60643"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44"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45"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46"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47"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48"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49"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4A"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4B"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4C"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4D"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4E" w14:textId="77777777" w:rsidR="00245300" w:rsidRPr="00EC20A0" w:rsidRDefault="00245300">
            <w:pPr>
              <w:pStyle w:val="TableParagraph"/>
              <w:rPr>
                <w:sz w:val="18"/>
              </w:rPr>
            </w:pPr>
          </w:p>
        </w:tc>
      </w:tr>
      <w:tr w:rsidR="00245300" w:rsidRPr="00EC20A0" w14:paraId="24D6065C" w14:textId="77777777">
        <w:trPr>
          <w:trHeight w:val="304"/>
        </w:trPr>
        <w:tc>
          <w:tcPr>
            <w:tcW w:w="647" w:type="dxa"/>
            <w:tcBorders>
              <w:top w:val="single" w:sz="4" w:space="0" w:color="000000"/>
              <w:bottom w:val="single" w:sz="4" w:space="0" w:color="000000"/>
              <w:right w:val="single" w:sz="4" w:space="0" w:color="000000"/>
            </w:tcBorders>
          </w:tcPr>
          <w:p w14:paraId="24D60650"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51"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52"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53"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54"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55"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56"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57"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58"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59"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5A"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5B" w14:textId="77777777" w:rsidR="00245300" w:rsidRPr="00EC20A0" w:rsidRDefault="00245300">
            <w:pPr>
              <w:pStyle w:val="TableParagraph"/>
              <w:rPr>
                <w:sz w:val="18"/>
              </w:rPr>
            </w:pPr>
          </w:p>
        </w:tc>
      </w:tr>
      <w:tr w:rsidR="00245300" w:rsidRPr="00EC20A0" w14:paraId="24D60669" w14:textId="77777777">
        <w:trPr>
          <w:trHeight w:val="304"/>
        </w:trPr>
        <w:tc>
          <w:tcPr>
            <w:tcW w:w="647" w:type="dxa"/>
            <w:tcBorders>
              <w:top w:val="single" w:sz="4" w:space="0" w:color="000000"/>
              <w:bottom w:val="single" w:sz="4" w:space="0" w:color="000000"/>
              <w:right w:val="single" w:sz="4" w:space="0" w:color="000000"/>
            </w:tcBorders>
          </w:tcPr>
          <w:p w14:paraId="24D6065D"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5E"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5F"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60"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61"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62"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63"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64"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65"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66"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67"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68" w14:textId="77777777" w:rsidR="00245300" w:rsidRPr="00EC20A0" w:rsidRDefault="00245300">
            <w:pPr>
              <w:pStyle w:val="TableParagraph"/>
              <w:rPr>
                <w:sz w:val="18"/>
              </w:rPr>
            </w:pPr>
          </w:p>
        </w:tc>
      </w:tr>
      <w:tr w:rsidR="00245300" w:rsidRPr="00EC20A0" w14:paraId="24D6066B" w14:textId="77777777">
        <w:trPr>
          <w:trHeight w:val="447"/>
        </w:trPr>
        <w:tc>
          <w:tcPr>
            <w:tcW w:w="13005" w:type="dxa"/>
            <w:gridSpan w:val="13"/>
            <w:tcBorders>
              <w:top w:val="single" w:sz="4" w:space="0" w:color="000000"/>
              <w:bottom w:val="single" w:sz="4" w:space="0" w:color="000000"/>
            </w:tcBorders>
          </w:tcPr>
          <w:p w14:paraId="24D6066A" w14:textId="77777777" w:rsidR="00245300" w:rsidRPr="00EC20A0" w:rsidRDefault="00F17249">
            <w:pPr>
              <w:pStyle w:val="TableParagraph"/>
              <w:spacing w:before="120"/>
              <w:ind w:left="96"/>
              <w:rPr>
                <w:sz w:val="18"/>
              </w:rPr>
            </w:pPr>
            <w:r w:rsidRPr="00EC20A0">
              <w:rPr>
                <w:sz w:val="18"/>
              </w:rPr>
              <w:t>Weaknesses</w:t>
            </w:r>
            <w:r w:rsidRPr="00EC20A0">
              <w:rPr>
                <w:spacing w:val="-5"/>
                <w:sz w:val="18"/>
              </w:rPr>
              <w:t xml:space="preserve"> </w:t>
            </w:r>
            <w:r w:rsidRPr="00EC20A0">
              <w:rPr>
                <w:sz w:val="18"/>
              </w:rPr>
              <w:t>in</w:t>
            </w:r>
            <w:r w:rsidRPr="00EC20A0">
              <w:rPr>
                <w:spacing w:val="-1"/>
                <w:sz w:val="18"/>
              </w:rPr>
              <w:t xml:space="preserve"> </w:t>
            </w:r>
            <w:r w:rsidRPr="00EC20A0">
              <w:rPr>
                <w:sz w:val="18"/>
              </w:rPr>
              <w:t>the</w:t>
            </w:r>
            <w:r w:rsidRPr="00EC20A0">
              <w:rPr>
                <w:spacing w:val="-4"/>
                <w:sz w:val="18"/>
              </w:rPr>
              <w:t xml:space="preserve"> </w:t>
            </w:r>
            <w:r w:rsidRPr="00EC20A0">
              <w:rPr>
                <w:sz w:val="18"/>
              </w:rPr>
              <w:t>agency's</w:t>
            </w:r>
            <w:r w:rsidRPr="00EC20A0">
              <w:rPr>
                <w:spacing w:val="-2"/>
                <w:sz w:val="18"/>
              </w:rPr>
              <w:t xml:space="preserve"> </w:t>
            </w:r>
            <w:r w:rsidRPr="00EC20A0">
              <w:rPr>
                <w:sz w:val="18"/>
              </w:rPr>
              <w:t>most</w:t>
            </w:r>
            <w:r w:rsidRPr="00EC20A0">
              <w:rPr>
                <w:spacing w:val="-2"/>
                <w:sz w:val="18"/>
              </w:rPr>
              <w:t xml:space="preserve"> </w:t>
            </w:r>
            <w:r w:rsidRPr="00EC20A0">
              <w:rPr>
                <w:sz w:val="18"/>
              </w:rPr>
              <w:t>recent</w:t>
            </w:r>
            <w:r w:rsidRPr="00EC20A0">
              <w:rPr>
                <w:spacing w:val="-3"/>
                <w:sz w:val="18"/>
              </w:rPr>
              <w:t xml:space="preserve"> </w:t>
            </w:r>
            <w:r w:rsidRPr="00EC20A0">
              <w:rPr>
                <w:sz w:val="18"/>
              </w:rPr>
              <w:t>FMFIA</w:t>
            </w:r>
            <w:r w:rsidRPr="00EC20A0">
              <w:rPr>
                <w:spacing w:val="-2"/>
                <w:sz w:val="18"/>
              </w:rPr>
              <w:t xml:space="preserve"> </w:t>
            </w:r>
            <w:r w:rsidRPr="00EC20A0">
              <w:rPr>
                <w:sz w:val="18"/>
              </w:rPr>
              <w:t>or</w:t>
            </w:r>
            <w:r w:rsidRPr="00EC20A0">
              <w:rPr>
                <w:spacing w:val="-2"/>
                <w:sz w:val="18"/>
              </w:rPr>
              <w:t xml:space="preserve"> </w:t>
            </w:r>
            <w:r w:rsidRPr="00EC20A0">
              <w:rPr>
                <w:sz w:val="18"/>
              </w:rPr>
              <w:t>FISMA</w:t>
            </w:r>
            <w:r w:rsidRPr="00EC20A0">
              <w:rPr>
                <w:spacing w:val="-3"/>
                <w:sz w:val="18"/>
              </w:rPr>
              <w:t xml:space="preserve"> </w:t>
            </w:r>
            <w:r w:rsidRPr="00EC20A0">
              <w:rPr>
                <w:sz w:val="18"/>
              </w:rPr>
              <w:t>report</w:t>
            </w:r>
            <w:r w:rsidRPr="00EC20A0">
              <w:rPr>
                <w:spacing w:val="-2"/>
                <w:sz w:val="18"/>
              </w:rPr>
              <w:t xml:space="preserve"> </w:t>
            </w:r>
            <w:r w:rsidRPr="00EC20A0">
              <w:rPr>
                <w:sz w:val="18"/>
              </w:rPr>
              <w:t>that</w:t>
            </w:r>
            <w:r w:rsidRPr="00EC20A0">
              <w:rPr>
                <w:spacing w:val="-2"/>
                <w:sz w:val="18"/>
              </w:rPr>
              <w:t xml:space="preserve"> </w:t>
            </w:r>
            <w:r w:rsidRPr="00EC20A0">
              <w:rPr>
                <w:sz w:val="18"/>
              </w:rPr>
              <w:t>affect</w:t>
            </w:r>
            <w:r w:rsidRPr="00EC20A0">
              <w:rPr>
                <w:spacing w:val="-3"/>
                <w:sz w:val="18"/>
              </w:rPr>
              <w:t xml:space="preserve"> </w:t>
            </w:r>
            <w:r w:rsidRPr="00EC20A0">
              <w:rPr>
                <w:sz w:val="18"/>
              </w:rPr>
              <w:t>FFMIA</w:t>
            </w:r>
            <w:r w:rsidRPr="00EC20A0">
              <w:rPr>
                <w:spacing w:val="-2"/>
                <w:sz w:val="18"/>
              </w:rPr>
              <w:t xml:space="preserve"> </w:t>
            </w:r>
            <w:r w:rsidRPr="00EC20A0">
              <w:rPr>
                <w:sz w:val="18"/>
              </w:rPr>
              <w:t>determination</w:t>
            </w:r>
            <w:r w:rsidRPr="00EC20A0">
              <w:rPr>
                <w:spacing w:val="-3"/>
                <w:sz w:val="18"/>
              </w:rPr>
              <w:t xml:space="preserve"> </w:t>
            </w:r>
            <w:r w:rsidRPr="00EC20A0">
              <w:rPr>
                <w:sz w:val="18"/>
              </w:rPr>
              <w:t>(step</w:t>
            </w:r>
            <w:r w:rsidRPr="00EC20A0">
              <w:rPr>
                <w:spacing w:val="-3"/>
                <w:sz w:val="18"/>
              </w:rPr>
              <w:t xml:space="preserve"> </w:t>
            </w:r>
            <w:r w:rsidRPr="00EC20A0">
              <w:rPr>
                <w:spacing w:val="-4"/>
                <w:sz w:val="18"/>
              </w:rPr>
              <w:t>I.C)</w:t>
            </w:r>
          </w:p>
        </w:tc>
      </w:tr>
      <w:tr w:rsidR="00245300" w:rsidRPr="00EC20A0" w14:paraId="24D60678" w14:textId="77777777">
        <w:trPr>
          <w:trHeight w:val="303"/>
        </w:trPr>
        <w:tc>
          <w:tcPr>
            <w:tcW w:w="647" w:type="dxa"/>
            <w:tcBorders>
              <w:top w:val="single" w:sz="4" w:space="0" w:color="000000"/>
              <w:bottom w:val="single" w:sz="4" w:space="0" w:color="000000"/>
              <w:right w:val="single" w:sz="4" w:space="0" w:color="000000"/>
            </w:tcBorders>
          </w:tcPr>
          <w:p w14:paraId="24D6066C"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6D"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6E"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6F"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70"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71"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72"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73"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74"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75"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76"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77" w14:textId="77777777" w:rsidR="00245300" w:rsidRPr="00EC20A0" w:rsidRDefault="00245300">
            <w:pPr>
              <w:pStyle w:val="TableParagraph"/>
              <w:rPr>
                <w:sz w:val="18"/>
              </w:rPr>
            </w:pPr>
          </w:p>
        </w:tc>
      </w:tr>
      <w:tr w:rsidR="00245300" w:rsidRPr="00EC20A0" w14:paraId="24D60685" w14:textId="77777777">
        <w:trPr>
          <w:trHeight w:val="304"/>
        </w:trPr>
        <w:tc>
          <w:tcPr>
            <w:tcW w:w="647" w:type="dxa"/>
            <w:tcBorders>
              <w:top w:val="single" w:sz="4" w:space="0" w:color="000000"/>
              <w:bottom w:val="single" w:sz="4" w:space="0" w:color="000000"/>
              <w:right w:val="single" w:sz="4" w:space="0" w:color="000000"/>
            </w:tcBorders>
          </w:tcPr>
          <w:p w14:paraId="24D60679"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7A"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7B"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7C"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7D"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7E"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7F"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80"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81"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82"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83"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84" w14:textId="77777777" w:rsidR="00245300" w:rsidRPr="00EC20A0" w:rsidRDefault="00245300">
            <w:pPr>
              <w:pStyle w:val="TableParagraph"/>
              <w:rPr>
                <w:sz w:val="18"/>
              </w:rPr>
            </w:pPr>
          </w:p>
        </w:tc>
      </w:tr>
      <w:tr w:rsidR="00245300" w:rsidRPr="00EC20A0" w14:paraId="24D60692" w14:textId="77777777">
        <w:trPr>
          <w:trHeight w:val="303"/>
        </w:trPr>
        <w:tc>
          <w:tcPr>
            <w:tcW w:w="647" w:type="dxa"/>
            <w:tcBorders>
              <w:top w:val="single" w:sz="4" w:space="0" w:color="000000"/>
              <w:bottom w:val="single" w:sz="4" w:space="0" w:color="000000"/>
              <w:right w:val="single" w:sz="4" w:space="0" w:color="000000"/>
            </w:tcBorders>
          </w:tcPr>
          <w:p w14:paraId="24D60686"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87"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88"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89"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8A"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8B"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8C"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8D"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8E"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8F"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90"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91" w14:textId="77777777" w:rsidR="00245300" w:rsidRPr="00EC20A0" w:rsidRDefault="00245300">
            <w:pPr>
              <w:pStyle w:val="TableParagraph"/>
              <w:rPr>
                <w:sz w:val="18"/>
              </w:rPr>
            </w:pPr>
          </w:p>
        </w:tc>
      </w:tr>
      <w:tr w:rsidR="00245300" w:rsidRPr="00EC20A0" w14:paraId="24D60694" w14:textId="77777777">
        <w:trPr>
          <w:trHeight w:val="447"/>
        </w:trPr>
        <w:tc>
          <w:tcPr>
            <w:tcW w:w="13005" w:type="dxa"/>
            <w:gridSpan w:val="13"/>
            <w:tcBorders>
              <w:top w:val="single" w:sz="4" w:space="0" w:color="000000"/>
              <w:bottom w:val="single" w:sz="4" w:space="0" w:color="000000"/>
            </w:tcBorders>
          </w:tcPr>
          <w:p w14:paraId="24D60693" w14:textId="77777777" w:rsidR="00245300" w:rsidRPr="00EC20A0" w:rsidRDefault="00F17249">
            <w:pPr>
              <w:pStyle w:val="TableParagraph"/>
              <w:spacing w:before="121"/>
              <w:ind w:left="96"/>
              <w:rPr>
                <w:sz w:val="18"/>
              </w:rPr>
            </w:pPr>
            <w:r w:rsidRPr="00EC20A0">
              <w:rPr>
                <w:sz w:val="18"/>
              </w:rPr>
              <w:t>Deficiencies</w:t>
            </w:r>
            <w:r w:rsidRPr="00EC20A0">
              <w:rPr>
                <w:spacing w:val="-5"/>
                <w:sz w:val="18"/>
              </w:rPr>
              <w:t xml:space="preserve"> </w:t>
            </w:r>
            <w:r w:rsidRPr="00EC20A0">
              <w:rPr>
                <w:sz w:val="18"/>
              </w:rPr>
              <w:t>identified</w:t>
            </w:r>
            <w:r w:rsidRPr="00EC20A0">
              <w:rPr>
                <w:spacing w:val="-4"/>
                <w:sz w:val="18"/>
              </w:rPr>
              <w:t xml:space="preserve"> </w:t>
            </w:r>
            <w:r w:rsidRPr="00EC20A0">
              <w:rPr>
                <w:sz w:val="18"/>
              </w:rPr>
              <w:t>in</w:t>
            </w:r>
            <w:r w:rsidRPr="00EC20A0">
              <w:rPr>
                <w:spacing w:val="-4"/>
                <w:sz w:val="18"/>
              </w:rPr>
              <w:t xml:space="preserve"> </w:t>
            </w:r>
            <w:r w:rsidRPr="00EC20A0">
              <w:rPr>
                <w:sz w:val="18"/>
              </w:rPr>
              <w:t>recent</w:t>
            </w:r>
            <w:r w:rsidRPr="00EC20A0">
              <w:rPr>
                <w:spacing w:val="-3"/>
                <w:sz w:val="18"/>
              </w:rPr>
              <w:t xml:space="preserve"> </w:t>
            </w:r>
            <w:r w:rsidRPr="00EC20A0">
              <w:rPr>
                <w:sz w:val="18"/>
              </w:rPr>
              <w:t>inspector</w:t>
            </w:r>
            <w:r w:rsidRPr="00EC20A0">
              <w:rPr>
                <w:spacing w:val="-3"/>
                <w:sz w:val="18"/>
              </w:rPr>
              <w:t xml:space="preserve"> </w:t>
            </w:r>
            <w:r w:rsidRPr="00EC20A0">
              <w:rPr>
                <w:sz w:val="18"/>
              </w:rPr>
              <w:t>general,</w:t>
            </w:r>
            <w:r w:rsidRPr="00EC20A0">
              <w:rPr>
                <w:spacing w:val="-3"/>
                <w:sz w:val="18"/>
              </w:rPr>
              <w:t xml:space="preserve"> </w:t>
            </w:r>
            <w:r w:rsidRPr="00EC20A0">
              <w:rPr>
                <w:sz w:val="18"/>
              </w:rPr>
              <w:t>auditor,</w:t>
            </w:r>
            <w:r w:rsidRPr="00EC20A0">
              <w:rPr>
                <w:spacing w:val="-3"/>
                <w:sz w:val="18"/>
              </w:rPr>
              <w:t xml:space="preserve"> </w:t>
            </w:r>
            <w:r w:rsidRPr="00EC20A0">
              <w:rPr>
                <w:sz w:val="18"/>
              </w:rPr>
              <w:t>and</w:t>
            </w:r>
            <w:r w:rsidRPr="00EC20A0">
              <w:rPr>
                <w:spacing w:val="-3"/>
                <w:sz w:val="18"/>
              </w:rPr>
              <w:t xml:space="preserve"> </w:t>
            </w:r>
            <w:r w:rsidRPr="00EC20A0">
              <w:rPr>
                <w:sz w:val="18"/>
              </w:rPr>
              <w:t>GAO</w:t>
            </w:r>
            <w:r w:rsidRPr="00EC20A0">
              <w:rPr>
                <w:spacing w:val="-3"/>
                <w:sz w:val="18"/>
              </w:rPr>
              <w:t xml:space="preserve"> </w:t>
            </w:r>
            <w:r w:rsidRPr="00EC20A0">
              <w:rPr>
                <w:sz w:val="18"/>
              </w:rPr>
              <w:t>reports</w:t>
            </w:r>
            <w:r w:rsidRPr="00EC20A0">
              <w:rPr>
                <w:spacing w:val="-3"/>
                <w:sz w:val="18"/>
              </w:rPr>
              <w:t xml:space="preserve"> </w:t>
            </w:r>
            <w:r w:rsidRPr="00EC20A0">
              <w:rPr>
                <w:sz w:val="18"/>
              </w:rPr>
              <w:t>that</w:t>
            </w:r>
            <w:r w:rsidRPr="00EC20A0">
              <w:rPr>
                <w:spacing w:val="-3"/>
                <w:sz w:val="18"/>
              </w:rPr>
              <w:t xml:space="preserve"> </w:t>
            </w:r>
            <w:r w:rsidRPr="00EC20A0">
              <w:rPr>
                <w:sz w:val="18"/>
              </w:rPr>
              <w:t>affect</w:t>
            </w:r>
            <w:r w:rsidRPr="00EC20A0">
              <w:rPr>
                <w:spacing w:val="-4"/>
                <w:sz w:val="18"/>
              </w:rPr>
              <w:t xml:space="preserve"> </w:t>
            </w:r>
            <w:r w:rsidRPr="00EC20A0">
              <w:rPr>
                <w:sz w:val="18"/>
              </w:rPr>
              <w:t>FFMIA</w:t>
            </w:r>
            <w:r w:rsidRPr="00EC20A0">
              <w:rPr>
                <w:spacing w:val="-3"/>
                <w:sz w:val="18"/>
              </w:rPr>
              <w:t xml:space="preserve"> </w:t>
            </w:r>
            <w:r w:rsidRPr="00EC20A0">
              <w:rPr>
                <w:sz w:val="18"/>
              </w:rPr>
              <w:t>determination</w:t>
            </w:r>
            <w:r w:rsidRPr="00EC20A0">
              <w:rPr>
                <w:spacing w:val="-4"/>
                <w:sz w:val="18"/>
              </w:rPr>
              <w:t xml:space="preserve"> </w:t>
            </w:r>
            <w:r w:rsidRPr="00EC20A0">
              <w:rPr>
                <w:sz w:val="18"/>
              </w:rPr>
              <w:t>(step</w:t>
            </w:r>
            <w:r w:rsidRPr="00EC20A0">
              <w:rPr>
                <w:spacing w:val="-3"/>
                <w:sz w:val="18"/>
              </w:rPr>
              <w:t xml:space="preserve"> </w:t>
            </w:r>
            <w:r w:rsidRPr="00EC20A0">
              <w:rPr>
                <w:spacing w:val="-4"/>
                <w:sz w:val="18"/>
              </w:rPr>
              <w:t>I.C)</w:t>
            </w:r>
          </w:p>
        </w:tc>
      </w:tr>
      <w:tr w:rsidR="00245300" w:rsidRPr="00EC20A0" w14:paraId="24D606A1" w14:textId="77777777">
        <w:trPr>
          <w:trHeight w:val="304"/>
        </w:trPr>
        <w:tc>
          <w:tcPr>
            <w:tcW w:w="647" w:type="dxa"/>
            <w:tcBorders>
              <w:top w:val="single" w:sz="4" w:space="0" w:color="000000"/>
              <w:bottom w:val="single" w:sz="4" w:space="0" w:color="000000"/>
              <w:right w:val="single" w:sz="4" w:space="0" w:color="000000"/>
            </w:tcBorders>
          </w:tcPr>
          <w:p w14:paraId="24D60695"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96"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97"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98"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99"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9A"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9B"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9C"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9D"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9E"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9F"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A0" w14:textId="77777777" w:rsidR="00245300" w:rsidRPr="00EC20A0" w:rsidRDefault="00245300">
            <w:pPr>
              <w:pStyle w:val="TableParagraph"/>
              <w:rPr>
                <w:sz w:val="18"/>
              </w:rPr>
            </w:pPr>
          </w:p>
        </w:tc>
      </w:tr>
      <w:tr w:rsidR="00245300" w:rsidRPr="00EC20A0" w14:paraId="24D606AE" w14:textId="77777777">
        <w:trPr>
          <w:trHeight w:val="304"/>
        </w:trPr>
        <w:tc>
          <w:tcPr>
            <w:tcW w:w="647" w:type="dxa"/>
            <w:tcBorders>
              <w:top w:val="single" w:sz="4" w:space="0" w:color="000000"/>
              <w:bottom w:val="single" w:sz="4" w:space="0" w:color="000000"/>
              <w:right w:val="single" w:sz="4" w:space="0" w:color="000000"/>
            </w:tcBorders>
          </w:tcPr>
          <w:p w14:paraId="24D606A2"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A3"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A4"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A5"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A6"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A7"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A8"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A9"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AA"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AB"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AC"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AD" w14:textId="77777777" w:rsidR="00245300" w:rsidRPr="00EC20A0" w:rsidRDefault="00245300">
            <w:pPr>
              <w:pStyle w:val="TableParagraph"/>
              <w:rPr>
                <w:sz w:val="18"/>
              </w:rPr>
            </w:pPr>
          </w:p>
        </w:tc>
      </w:tr>
      <w:tr w:rsidR="00245300" w:rsidRPr="00EC20A0" w14:paraId="24D606BB" w14:textId="77777777">
        <w:trPr>
          <w:trHeight w:val="304"/>
        </w:trPr>
        <w:tc>
          <w:tcPr>
            <w:tcW w:w="647" w:type="dxa"/>
            <w:tcBorders>
              <w:top w:val="single" w:sz="4" w:space="0" w:color="000000"/>
              <w:bottom w:val="single" w:sz="4" w:space="0" w:color="000000"/>
              <w:right w:val="single" w:sz="4" w:space="0" w:color="000000"/>
            </w:tcBorders>
          </w:tcPr>
          <w:p w14:paraId="24D606AF" w14:textId="77777777" w:rsidR="00245300" w:rsidRPr="00EC20A0" w:rsidRDefault="00245300">
            <w:pPr>
              <w:pStyle w:val="TableParagraph"/>
              <w:rPr>
                <w:sz w:val="18"/>
              </w:rPr>
            </w:pPr>
          </w:p>
        </w:tc>
        <w:tc>
          <w:tcPr>
            <w:tcW w:w="1005" w:type="dxa"/>
            <w:tcBorders>
              <w:top w:val="single" w:sz="4" w:space="0" w:color="000000"/>
              <w:left w:val="single" w:sz="4" w:space="0" w:color="000000"/>
              <w:bottom w:val="single" w:sz="4" w:space="0" w:color="000000"/>
              <w:right w:val="single" w:sz="4" w:space="0" w:color="000000"/>
            </w:tcBorders>
          </w:tcPr>
          <w:p w14:paraId="24D606B0" w14:textId="77777777" w:rsidR="00245300" w:rsidRPr="00EC20A0" w:rsidRDefault="00245300">
            <w:pPr>
              <w:pStyle w:val="TableParagraph"/>
              <w:rPr>
                <w:sz w:val="18"/>
              </w:rPr>
            </w:pPr>
          </w:p>
        </w:tc>
        <w:tc>
          <w:tcPr>
            <w:tcW w:w="455" w:type="dxa"/>
            <w:tcBorders>
              <w:top w:val="single" w:sz="4" w:space="0" w:color="000000"/>
              <w:left w:val="single" w:sz="4" w:space="0" w:color="000000"/>
              <w:bottom w:val="single" w:sz="4" w:space="0" w:color="000000"/>
              <w:right w:val="single" w:sz="4" w:space="0" w:color="000000"/>
            </w:tcBorders>
          </w:tcPr>
          <w:p w14:paraId="24D606B1" w14:textId="77777777" w:rsidR="00245300" w:rsidRPr="00EC20A0" w:rsidRDefault="00245300">
            <w:pPr>
              <w:pStyle w:val="TableParagraph"/>
              <w:rPr>
                <w:sz w:val="18"/>
              </w:rPr>
            </w:pPr>
          </w:p>
        </w:tc>
        <w:tc>
          <w:tcPr>
            <w:tcW w:w="839" w:type="dxa"/>
            <w:tcBorders>
              <w:top w:val="single" w:sz="4" w:space="0" w:color="000000"/>
              <w:left w:val="single" w:sz="4" w:space="0" w:color="000000"/>
              <w:bottom w:val="single" w:sz="4" w:space="0" w:color="000000"/>
              <w:right w:val="single" w:sz="4" w:space="0" w:color="000000"/>
            </w:tcBorders>
          </w:tcPr>
          <w:p w14:paraId="24D606B2" w14:textId="77777777" w:rsidR="00245300" w:rsidRPr="00EC20A0" w:rsidRDefault="00245300">
            <w:pPr>
              <w:pStyle w:val="TableParagraph"/>
              <w:rPr>
                <w:sz w:val="18"/>
              </w:rPr>
            </w:pPr>
          </w:p>
        </w:tc>
        <w:tc>
          <w:tcPr>
            <w:tcW w:w="973" w:type="dxa"/>
            <w:tcBorders>
              <w:top w:val="single" w:sz="4" w:space="0" w:color="000000"/>
              <w:left w:val="single" w:sz="4" w:space="0" w:color="000000"/>
              <w:bottom w:val="single" w:sz="4" w:space="0" w:color="000000"/>
              <w:right w:val="single" w:sz="4" w:space="0" w:color="000000"/>
            </w:tcBorders>
          </w:tcPr>
          <w:p w14:paraId="24D606B3" w14:textId="77777777" w:rsidR="00245300" w:rsidRPr="00EC20A0" w:rsidRDefault="00245300">
            <w:pPr>
              <w:pStyle w:val="TableParagraph"/>
              <w:rPr>
                <w:sz w:val="18"/>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B4" w14:textId="77777777" w:rsidR="00245300" w:rsidRPr="00EC20A0" w:rsidRDefault="00245300">
            <w:pPr>
              <w:pStyle w:val="TableParagraph"/>
              <w:rPr>
                <w:sz w:val="18"/>
              </w:rPr>
            </w:pPr>
          </w:p>
        </w:tc>
        <w:tc>
          <w:tcPr>
            <w:tcW w:w="983" w:type="dxa"/>
            <w:tcBorders>
              <w:top w:val="single" w:sz="4" w:space="0" w:color="000000"/>
              <w:left w:val="single" w:sz="4" w:space="0" w:color="000000"/>
              <w:bottom w:val="single" w:sz="4" w:space="0" w:color="000000"/>
              <w:right w:val="single" w:sz="4" w:space="0" w:color="000000"/>
            </w:tcBorders>
          </w:tcPr>
          <w:p w14:paraId="24D606B5" w14:textId="77777777" w:rsidR="00245300" w:rsidRPr="00EC20A0" w:rsidRDefault="00245300">
            <w:pPr>
              <w:pStyle w:val="TableParagraph"/>
              <w:rPr>
                <w:sz w:val="18"/>
              </w:rPr>
            </w:pPr>
          </w:p>
        </w:tc>
        <w:tc>
          <w:tcPr>
            <w:tcW w:w="1074" w:type="dxa"/>
            <w:tcBorders>
              <w:top w:val="single" w:sz="4" w:space="0" w:color="000000"/>
              <w:left w:val="single" w:sz="4" w:space="0" w:color="000000"/>
              <w:bottom w:val="single" w:sz="4" w:space="0" w:color="000000"/>
              <w:right w:val="single" w:sz="4" w:space="0" w:color="000000"/>
            </w:tcBorders>
          </w:tcPr>
          <w:p w14:paraId="24D606B6" w14:textId="77777777" w:rsidR="00245300" w:rsidRPr="00EC20A0" w:rsidRDefault="00245300">
            <w:pPr>
              <w:pStyle w:val="TableParagraph"/>
              <w:rPr>
                <w:sz w:val="18"/>
              </w:rPr>
            </w:pPr>
          </w:p>
        </w:tc>
        <w:tc>
          <w:tcPr>
            <w:tcW w:w="493" w:type="dxa"/>
            <w:tcBorders>
              <w:top w:val="single" w:sz="4" w:space="0" w:color="000000"/>
              <w:left w:val="single" w:sz="4" w:space="0" w:color="000000"/>
              <w:bottom w:val="single" w:sz="4" w:space="0" w:color="000000"/>
              <w:right w:val="single" w:sz="4" w:space="0" w:color="000000"/>
            </w:tcBorders>
          </w:tcPr>
          <w:p w14:paraId="24D606B7" w14:textId="77777777" w:rsidR="00245300" w:rsidRPr="00EC20A0" w:rsidRDefault="00245300">
            <w:pPr>
              <w:pStyle w:val="TableParagraph"/>
              <w:rPr>
                <w:sz w:val="18"/>
              </w:rPr>
            </w:pPr>
          </w:p>
        </w:tc>
        <w:tc>
          <w:tcPr>
            <w:tcW w:w="1077" w:type="dxa"/>
            <w:tcBorders>
              <w:top w:val="single" w:sz="4" w:space="0" w:color="000000"/>
              <w:left w:val="single" w:sz="4" w:space="0" w:color="000000"/>
              <w:bottom w:val="single" w:sz="4" w:space="0" w:color="000000"/>
              <w:right w:val="single" w:sz="4" w:space="0" w:color="000000"/>
            </w:tcBorders>
          </w:tcPr>
          <w:p w14:paraId="24D606B8" w14:textId="77777777" w:rsidR="00245300" w:rsidRPr="00EC20A0" w:rsidRDefault="00245300">
            <w:pPr>
              <w:pStyle w:val="TableParagraph"/>
              <w:rPr>
                <w:sz w:val="18"/>
              </w:rPr>
            </w:pPr>
          </w:p>
        </w:tc>
        <w:tc>
          <w:tcPr>
            <w:tcW w:w="607" w:type="dxa"/>
            <w:tcBorders>
              <w:top w:val="single" w:sz="4" w:space="0" w:color="000000"/>
              <w:left w:val="single" w:sz="4" w:space="0" w:color="000000"/>
              <w:bottom w:val="single" w:sz="4" w:space="0" w:color="000000"/>
              <w:right w:val="single" w:sz="4" w:space="0" w:color="000000"/>
            </w:tcBorders>
          </w:tcPr>
          <w:p w14:paraId="24D606B9" w14:textId="77777777" w:rsidR="00245300" w:rsidRPr="00EC20A0" w:rsidRDefault="00245300">
            <w:pPr>
              <w:pStyle w:val="TableParagraph"/>
              <w:rPr>
                <w:sz w:val="18"/>
              </w:rPr>
            </w:pPr>
          </w:p>
        </w:tc>
        <w:tc>
          <w:tcPr>
            <w:tcW w:w="1863" w:type="dxa"/>
            <w:tcBorders>
              <w:top w:val="single" w:sz="4" w:space="0" w:color="000000"/>
              <w:left w:val="single" w:sz="4" w:space="0" w:color="000000"/>
              <w:bottom w:val="single" w:sz="4" w:space="0" w:color="000000"/>
            </w:tcBorders>
          </w:tcPr>
          <w:p w14:paraId="24D606BA" w14:textId="77777777" w:rsidR="00245300" w:rsidRPr="00EC20A0" w:rsidRDefault="00245300">
            <w:pPr>
              <w:pStyle w:val="TableParagraph"/>
              <w:rPr>
                <w:sz w:val="18"/>
              </w:rPr>
            </w:pPr>
          </w:p>
        </w:tc>
      </w:tr>
    </w:tbl>
    <w:p w14:paraId="24D606BC" w14:textId="77777777" w:rsidR="00245300" w:rsidRPr="00EC20A0" w:rsidRDefault="00245300">
      <w:pPr>
        <w:rPr>
          <w:sz w:val="18"/>
        </w:rPr>
        <w:sectPr w:rsidR="00245300" w:rsidRPr="00EC20A0">
          <w:headerReference w:type="default" r:id="rId68"/>
          <w:footerReference w:type="default" r:id="rId69"/>
          <w:pgSz w:w="15840" w:h="12240" w:orient="landscape"/>
          <w:pgMar w:top="1440" w:right="1480" w:bottom="1720" w:left="980" w:header="720" w:footer="757" w:gutter="0"/>
          <w:pgNumType w:start="1"/>
          <w:cols w:space="720"/>
        </w:sectPr>
      </w:pPr>
    </w:p>
    <w:tbl>
      <w:tblPr>
        <w:tblW w:w="0" w:type="auto"/>
        <w:tblInd w:w="26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47"/>
        <w:gridCol w:w="1005"/>
        <w:gridCol w:w="455"/>
        <w:gridCol w:w="839"/>
        <w:gridCol w:w="973"/>
        <w:gridCol w:w="2727"/>
        <w:gridCol w:w="262"/>
        <w:gridCol w:w="983"/>
        <w:gridCol w:w="1074"/>
        <w:gridCol w:w="493"/>
        <w:gridCol w:w="1077"/>
        <w:gridCol w:w="607"/>
        <w:gridCol w:w="1863"/>
      </w:tblGrid>
      <w:tr w:rsidR="00245300" w:rsidRPr="00EC20A0" w14:paraId="24D606C0" w14:textId="77777777">
        <w:trPr>
          <w:trHeight w:val="295"/>
        </w:trPr>
        <w:tc>
          <w:tcPr>
            <w:tcW w:w="6646" w:type="dxa"/>
            <w:gridSpan w:val="6"/>
            <w:tcBorders>
              <w:bottom w:val="nil"/>
              <w:right w:val="nil"/>
            </w:tcBorders>
          </w:tcPr>
          <w:p w14:paraId="24D606BD" w14:textId="77777777" w:rsidR="00245300" w:rsidRPr="00EC20A0" w:rsidRDefault="00F17249">
            <w:pPr>
              <w:pStyle w:val="TableParagraph"/>
              <w:spacing w:before="60"/>
              <w:ind w:left="96"/>
              <w:rPr>
                <w:sz w:val="16"/>
              </w:rPr>
            </w:pPr>
            <w:r w:rsidRPr="00EC20A0">
              <w:rPr>
                <w:sz w:val="16"/>
              </w:rPr>
              <w:t>Source</w:t>
            </w:r>
            <w:r w:rsidRPr="00EC20A0">
              <w:rPr>
                <w:spacing w:val="-8"/>
                <w:sz w:val="16"/>
              </w:rPr>
              <w:t xml:space="preserve"> </w:t>
            </w:r>
            <w:r w:rsidRPr="00EC20A0">
              <w:rPr>
                <w:sz w:val="16"/>
              </w:rPr>
              <w:t>of</w:t>
            </w:r>
            <w:r w:rsidRPr="00EC20A0">
              <w:rPr>
                <w:spacing w:val="-7"/>
                <w:sz w:val="16"/>
              </w:rPr>
              <w:t xml:space="preserve"> </w:t>
            </w:r>
            <w:r w:rsidRPr="00EC20A0">
              <w:rPr>
                <w:sz w:val="16"/>
              </w:rPr>
              <w:t>information</w:t>
            </w:r>
            <w:r w:rsidRPr="00EC20A0">
              <w:rPr>
                <w:spacing w:val="-8"/>
                <w:sz w:val="16"/>
              </w:rPr>
              <w:t xml:space="preserve"> </w:t>
            </w:r>
            <w:r w:rsidRPr="00EC20A0">
              <w:rPr>
                <w:sz w:val="16"/>
              </w:rPr>
              <w:t>used</w:t>
            </w:r>
            <w:r w:rsidRPr="00EC20A0">
              <w:rPr>
                <w:spacing w:val="-7"/>
                <w:sz w:val="16"/>
              </w:rPr>
              <w:t xml:space="preserve"> </w:t>
            </w:r>
            <w:r w:rsidRPr="00EC20A0">
              <w:rPr>
                <w:sz w:val="16"/>
              </w:rPr>
              <w:t>in</w:t>
            </w:r>
            <w:r w:rsidRPr="00EC20A0">
              <w:rPr>
                <w:spacing w:val="-7"/>
                <w:sz w:val="16"/>
              </w:rPr>
              <w:t xml:space="preserve"> </w:t>
            </w:r>
            <w:r w:rsidRPr="00EC20A0">
              <w:rPr>
                <w:sz w:val="16"/>
              </w:rPr>
              <w:t>identifying</w:t>
            </w:r>
            <w:r w:rsidRPr="00EC20A0">
              <w:rPr>
                <w:spacing w:val="-8"/>
                <w:sz w:val="16"/>
              </w:rPr>
              <w:t xml:space="preserve"> </w:t>
            </w:r>
            <w:r w:rsidRPr="00EC20A0">
              <w:rPr>
                <w:sz w:val="16"/>
              </w:rPr>
              <w:t>deficiencies</w:t>
            </w:r>
            <w:r w:rsidRPr="00EC20A0">
              <w:rPr>
                <w:spacing w:val="-6"/>
                <w:sz w:val="16"/>
              </w:rPr>
              <w:t xml:space="preserve"> </w:t>
            </w:r>
            <w:r w:rsidRPr="00EC20A0">
              <w:rPr>
                <w:sz w:val="16"/>
              </w:rPr>
              <w:t>in</w:t>
            </w:r>
            <w:r w:rsidRPr="00EC20A0">
              <w:rPr>
                <w:spacing w:val="-8"/>
                <w:sz w:val="16"/>
              </w:rPr>
              <w:t xml:space="preserve"> </w:t>
            </w:r>
            <w:r w:rsidRPr="00EC20A0">
              <w:rPr>
                <w:sz w:val="16"/>
              </w:rPr>
              <w:t>entity</w:t>
            </w:r>
            <w:r w:rsidRPr="00EC20A0">
              <w:rPr>
                <w:spacing w:val="-6"/>
                <w:sz w:val="16"/>
              </w:rPr>
              <w:t xml:space="preserve"> </w:t>
            </w:r>
            <w:r w:rsidRPr="00EC20A0">
              <w:rPr>
                <w:spacing w:val="-2"/>
                <w:sz w:val="16"/>
              </w:rPr>
              <w:t>systems</w:t>
            </w:r>
          </w:p>
        </w:tc>
        <w:tc>
          <w:tcPr>
            <w:tcW w:w="262" w:type="dxa"/>
            <w:vMerge w:val="restart"/>
            <w:tcBorders>
              <w:left w:val="nil"/>
              <w:right w:val="single" w:sz="4" w:space="0" w:color="000000"/>
            </w:tcBorders>
          </w:tcPr>
          <w:p w14:paraId="24D606BE" w14:textId="77777777" w:rsidR="00245300" w:rsidRPr="00EC20A0" w:rsidRDefault="00245300">
            <w:pPr>
              <w:pStyle w:val="TableParagraph"/>
              <w:rPr>
                <w:sz w:val="16"/>
              </w:rPr>
            </w:pPr>
          </w:p>
        </w:tc>
        <w:tc>
          <w:tcPr>
            <w:tcW w:w="6097" w:type="dxa"/>
            <w:gridSpan w:val="6"/>
            <w:tcBorders>
              <w:left w:val="single" w:sz="4" w:space="0" w:color="000000"/>
              <w:bottom w:val="nil"/>
            </w:tcBorders>
          </w:tcPr>
          <w:p w14:paraId="24D606BF" w14:textId="77777777" w:rsidR="00245300" w:rsidRPr="00EC20A0" w:rsidRDefault="00F17249">
            <w:pPr>
              <w:pStyle w:val="TableParagraph"/>
              <w:spacing w:before="60"/>
              <w:ind w:left="108"/>
              <w:rPr>
                <w:sz w:val="16"/>
              </w:rPr>
            </w:pPr>
            <w:r w:rsidRPr="00EC20A0">
              <w:rPr>
                <w:sz w:val="16"/>
              </w:rPr>
              <w:t>Effect</w:t>
            </w:r>
            <w:r w:rsidRPr="00EC20A0">
              <w:rPr>
                <w:spacing w:val="-6"/>
                <w:sz w:val="16"/>
              </w:rPr>
              <w:t xml:space="preserve"> </w:t>
            </w:r>
            <w:r w:rsidRPr="00EC20A0">
              <w:rPr>
                <w:sz w:val="16"/>
              </w:rPr>
              <w:t>of</w:t>
            </w:r>
            <w:r w:rsidRPr="00EC20A0">
              <w:rPr>
                <w:spacing w:val="-5"/>
                <w:sz w:val="16"/>
              </w:rPr>
              <w:t xml:space="preserve"> </w:t>
            </w:r>
            <w:r w:rsidRPr="00EC20A0">
              <w:rPr>
                <w:sz w:val="16"/>
              </w:rPr>
              <w:t>systems’</w:t>
            </w:r>
            <w:r w:rsidRPr="00EC20A0">
              <w:rPr>
                <w:spacing w:val="-4"/>
                <w:sz w:val="16"/>
              </w:rPr>
              <w:t xml:space="preserve"> </w:t>
            </w:r>
            <w:r w:rsidRPr="00EC20A0">
              <w:rPr>
                <w:spacing w:val="-2"/>
                <w:sz w:val="16"/>
              </w:rPr>
              <w:t>noncompliance</w:t>
            </w:r>
          </w:p>
        </w:tc>
      </w:tr>
      <w:tr w:rsidR="00245300" w:rsidRPr="00EC20A0" w14:paraId="24D606C6" w14:textId="77777777">
        <w:trPr>
          <w:trHeight w:val="283"/>
        </w:trPr>
        <w:tc>
          <w:tcPr>
            <w:tcW w:w="647" w:type="dxa"/>
            <w:vMerge w:val="restart"/>
            <w:tcBorders>
              <w:top w:val="nil"/>
              <w:right w:val="single" w:sz="4" w:space="0" w:color="000000"/>
            </w:tcBorders>
          </w:tcPr>
          <w:p w14:paraId="24D606C1" w14:textId="77777777" w:rsidR="00245300" w:rsidRPr="00EC20A0" w:rsidRDefault="00245300">
            <w:pPr>
              <w:pStyle w:val="TableParagraph"/>
              <w:rPr>
                <w:sz w:val="16"/>
              </w:rPr>
            </w:pPr>
          </w:p>
        </w:tc>
        <w:tc>
          <w:tcPr>
            <w:tcW w:w="5999" w:type="dxa"/>
            <w:gridSpan w:val="5"/>
            <w:tcBorders>
              <w:top w:val="single" w:sz="4" w:space="0" w:color="000000"/>
              <w:left w:val="single" w:sz="4" w:space="0" w:color="000000"/>
              <w:bottom w:val="nil"/>
              <w:right w:val="nil"/>
            </w:tcBorders>
          </w:tcPr>
          <w:p w14:paraId="24D606C2" w14:textId="77777777" w:rsidR="00245300" w:rsidRPr="00EC20A0" w:rsidRDefault="00F17249">
            <w:pPr>
              <w:pStyle w:val="TableParagraph"/>
              <w:spacing w:before="49"/>
              <w:ind w:left="107"/>
              <w:rPr>
                <w:sz w:val="16"/>
              </w:rPr>
            </w:pPr>
            <w:r w:rsidRPr="00EC20A0">
              <w:rPr>
                <w:sz w:val="16"/>
              </w:rPr>
              <w:t>Nature</w:t>
            </w:r>
            <w:r w:rsidRPr="00EC20A0">
              <w:rPr>
                <w:spacing w:val="-6"/>
                <w:sz w:val="16"/>
              </w:rPr>
              <w:t xml:space="preserve"> </w:t>
            </w:r>
            <w:r w:rsidRPr="00EC20A0">
              <w:rPr>
                <w:sz w:val="16"/>
              </w:rPr>
              <w:t>and</w:t>
            </w:r>
            <w:r w:rsidRPr="00EC20A0">
              <w:rPr>
                <w:spacing w:val="-5"/>
                <w:sz w:val="16"/>
              </w:rPr>
              <w:t xml:space="preserve"> </w:t>
            </w:r>
            <w:r w:rsidRPr="00EC20A0">
              <w:rPr>
                <w:sz w:val="16"/>
              </w:rPr>
              <w:t>extent</w:t>
            </w:r>
            <w:r w:rsidRPr="00EC20A0">
              <w:rPr>
                <w:spacing w:val="-5"/>
                <w:sz w:val="16"/>
              </w:rPr>
              <w:t xml:space="preserve"> </w:t>
            </w:r>
            <w:r w:rsidRPr="00EC20A0">
              <w:rPr>
                <w:sz w:val="16"/>
              </w:rPr>
              <w:t>of</w:t>
            </w:r>
            <w:r w:rsidRPr="00EC20A0">
              <w:rPr>
                <w:spacing w:val="-6"/>
                <w:sz w:val="16"/>
              </w:rPr>
              <w:t xml:space="preserve"> </w:t>
            </w:r>
            <w:r w:rsidRPr="00EC20A0">
              <w:rPr>
                <w:sz w:val="16"/>
              </w:rPr>
              <w:t>systems’</w:t>
            </w:r>
            <w:r w:rsidRPr="00EC20A0">
              <w:rPr>
                <w:spacing w:val="-4"/>
                <w:sz w:val="16"/>
              </w:rPr>
              <w:t xml:space="preserve"> </w:t>
            </w:r>
            <w:r w:rsidRPr="00EC20A0">
              <w:rPr>
                <w:spacing w:val="-2"/>
                <w:sz w:val="16"/>
              </w:rPr>
              <w:t>noncompliance</w:t>
            </w:r>
          </w:p>
        </w:tc>
        <w:tc>
          <w:tcPr>
            <w:tcW w:w="262" w:type="dxa"/>
            <w:vMerge/>
            <w:tcBorders>
              <w:top w:val="nil"/>
              <w:left w:val="nil"/>
              <w:right w:val="single" w:sz="4" w:space="0" w:color="000000"/>
            </w:tcBorders>
          </w:tcPr>
          <w:p w14:paraId="24D606C3" w14:textId="77777777" w:rsidR="00245300" w:rsidRPr="00EC20A0" w:rsidRDefault="00245300">
            <w:pPr>
              <w:rPr>
                <w:sz w:val="2"/>
                <w:szCs w:val="2"/>
              </w:rPr>
            </w:pPr>
          </w:p>
        </w:tc>
        <w:tc>
          <w:tcPr>
            <w:tcW w:w="983" w:type="dxa"/>
            <w:vMerge w:val="restart"/>
            <w:tcBorders>
              <w:top w:val="nil"/>
              <w:left w:val="single" w:sz="4" w:space="0" w:color="000000"/>
              <w:right w:val="single" w:sz="4" w:space="0" w:color="000000"/>
            </w:tcBorders>
          </w:tcPr>
          <w:p w14:paraId="24D606C4" w14:textId="77777777" w:rsidR="00245300" w:rsidRPr="00EC20A0" w:rsidRDefault="00245300">
            <w:pPr>
              <w:pStyle w:val="TableParagraph"/>
              <w:rPr>
                <w:sz w:val="16"/>
              </w:rPr>
            </w:pPr>
          </w:p>
        </w:tc>
        <w:tc>
          <w:tcPr>
            <w:tcW w:w="5114" w:type="dxa"/>
            <w:gridSpan w:val="5"/>
            <w:tcBorders>
              <w:top w:val="single" w:sz="4" w:space="0" w:color="000000"/>
              <w:left w:val="single" w:sz="4" w:space="0" w:color="000000"/>
              <w:bottom w:val="nil"/>
            </w:tcBorders>
          </w:tcPr>
          <w:p w14:paraId="24D606C5" w14:textId="77777777" w:rsidR="00245300" w:rsidRPr="00EC20A0" w:rsidRDefault="00F17249">
            <w:pPr>
              <w:pStyle w:val="TableParagraph"/>
              <w:spacing w:before="49"/>
              <w:ind w:left="109"/>
              <w:rPr>
                <w:sz w:val="16"/>
              </w:rPr>
            </w:pPr>
            <w:r w:rsidRPr="00EC20A0">
              <w:rPr>
                <w:sz w:val="16"/>
              </w:rPr>
              <w:t>Agency</w:t>
            </w:r>
            <w:r w:rsidRPr="00EC20A0">
              <w:rPr>
                <w:spacing w:val="-6"/>
                <w:sz w:val="16"/>
              </w:rPr>
              <w:t xml:space="preserve"> </w:t>
            </w:r>
            <w:r w:rsidRPr="00EC20A0">
              <w:rPr>
                <w:sz w:val="16"/>
              </w:rPr>
              <w:t>comments</w:t>
            </w:r>
            <w:r w:rsidRPr="00EC20A0">
              <w:rPr>
                <w:spacing w:val="-5"/>
                <w:sz w:val="16"/>
              </w:rPr>
              <w:t xml:space="preserve"> </w:t>
            </w:r>
            <w:r w:rsidRPr="00EC20A0">
              <w:rPr>
                <w:sz w:val="16"/>
              </w:rPr>
              <w:t>on</w:t>
            </w:r>
            <w:r w:rsidRPr="00EC20A0">
              <w:rPr>
                <w:spacing w:val="-7"/>
                <w:sz w:val="16"/>
              </w:rPr>
              <w:t xml:space="preserve"> </w:t>
            </w:r>
            <w:r w:rsidRPr="00EC20A0">
              <w:rPr>
                <w:sz w:val="16"/>
              </w:rPr>
              <w:t>systems’</w:t>
            </w:r>
            <w:r w:rsidRPr="00EC20A0">
              <w:rPr>
                <w:spacing w:val="-5"/>
                <w:sz w:val="16"/>
              </w:rPr>
              <w:t xml:space="preserve"> </w:t>
            </w:r>
            <w:r w:rsidRPr="00EC20A0">
              <w:rPr>
                <w:spacing w:val="-2"/>
                <w:sz w:val="16"/>
              </w:rPr>
              <w:t>noncompliance</w:t>
            </w:r>
          </w:p>
        </w:tc>
      </w:tr>
      <w:tr w:rsidR="00245300" w:rsidRPr="00EC20A0" w14:paraId="24D606CE" w14:textId="77777777">
        <w:trPr>
          <w:trHeight w:val="284"/>
        </w:trPr>
        <w:tc>
          <w:tcPr>
            <w:tcW w:w="647" w:type="dxa"/>
            <w:vMerge/>
            <w:tcBorders>
              <w:top w:val="nil"/>
              <w:right w:val="single" w:sz="4" w:space="0" w:color="000000"/>
            </w:tcBorders>
          </w:tcPr>
          <w:p w14:paraId="24D606C7" w14:textId="77777777" w:rsidR="00245300" w:rsidRPr="00EC20A0" w:rsidRDefault="00245300">
            <w:pPr>
              <w:rPr>
                <w:sz w:val="2"/>
                <w:szCs w:val="2"/>
              </w:rPr>
            </w:pPr>
          </w:p>
        </w:tc>
        <w:tc>
          <w:tcPr>
            <w:tcW w:w="1005" w:type="dxa"/>
            <w:vMerge w:val="restart"/>
            <w:tcBorders>
              <w:top w:val="nil"/>
              <w:left w:val="single" w:sz="4" w:space="0" w:color="000000"/>
              <w:right w:val="single" w:sz="4" w:space="0" w:color="000000"/>
            </w:tcBorders>
          </w:tcPr>
          <w:p w14:paraId="24D606C8" w14:textId="77777777" w:rsidR="00245300" w:rsidRPr="00EC20A0" w:rsidRDefault="00245300">
            <w:pPr>
              <w:pStyle w:val="TableParagraph"/>
              <w:rPr>
                <w:sz w:val="16"/>
              </w:rPr>
            </w:pPr>
          </w:p>
        </w:tc>
        <w:tc>
          <w:tcPr>
            <w:tcW w:w="4994" w:type="dxa"/>
            <w:gridSpan w:val="4"/>
            <w:tcBorders>
              <w:top w:val="single" w:sz="4" w:space="0" w:color="000000"/>
              <w:left w:val="single" w:sz="4" w:space="0" w:color="000000"/>
              <w:bottom w:val="nil"/>
              <w:right w:val="nil"/>
            </w:tcBorders>
          </w:tcPr>
          <w:p w14:paraId="24D606C9" w14:textId="77777777" w:rsidR="00245300" w:rsidRPr="00EC20A0" w:rsidRDefault="00F17249">
            <w:pPr>
              <w:pStyle w:val="TableParagraph"/>
              <w:spacing w:before="51"/>
              <w:ind w:left="106"/>
              <w:rPr>
                <w:sz w:val="16"/>
              </w:rPr>
            </w:pPr>
            <w:r w:rsidRPr="00EC20A0">
              <w:rPr>
                <w:sz w:val="16"/>
              </w:rPr>
              <w:t>Substantial</w:t>
            </w:r>
            <w:r w:rsidRPr="00EC20A0">
              <w:rPr>
                <w:spacing w:val="-6"/>
                <w:sz w:val="16"/>
              </w:rPr>
              <w:t xml:space="preserve"> </w:t>
            </w:r>
            <w:r w:rsidRPr="00EC20A0">
              <w:rPr>
                <w:sz w:val="16"/>
              </w:rPr>
              <w:t>but</w:t>
            </w:r>
            <w:r w:rsidRPr="00EC20A0">
              <w:rPr>
                <w:spacing w:val="-6"/>
                <w:sz w:val="16"/>
              </w:rPr>
              <w:t xml:space="preserve"> </w:t>
            </w:r>
            <w:r w:rsidRPr="00EC20A0">
              <w:rPr>
                <w:sz w:val="16"/>
              </w:rPr>
              <w:t>not</w:t>
            </w:r>
            <w:r w:rsidRPr="00EC20A0">
              <w:rPr>
                <w:spacing w:val="-6"/>
                <w:sz w:val="16"/>
              </w:rPr>
              <w:t xml:space="preserve"> </w:t>
            </w:r>
            <w:r w:rsidRPr="00EC20A0">
              <w:rPr>
                <w:sz w:val="16"/>
              </w:rPr>
              <w:t>full</w:t>
            </w:r>
            <w:r w:rsidRPr="00EC20A0">
              <w:rPr>
                <w:spacing w:val="-6"/>
                <w:sz w:val="16"/>
              </w:rPr>
              <w:t xml:space="preserve"> </w:t>
            </w:r>
            <w:r w:rsidRPr="00EC20A0">
              <w:rPr>
                <w:sz w:val="16"/>
              </w:rPr>
              <w:t>compliance?</w:t>
            </w:r>
            <w:r w:rsidRPr="00EC20A0">
              <w:rPr>
                <w:spacing w:val="-6"/>
                <w:sz w:val="16"/>
              </w:rPr>
              <w:t xml:space="preserve"> </w:t>
            </w:r>
            <w:r w:rsidRPr="00EC20A0">
              <w:rPr>
                <w:sz w:val="16"/>
              </w:rPr>
              <w:t>(Y</w:t>
            </w:r>
            <w:r w:rsidRPr="00EC20A0">
              <w:rPr>
                <w:spacing w:val="-6"/>
                <w:sz w:val="16"/>
              </w:rPr>
              <w:t xml:space="preserve"> </w:t>
            </w:r>
            <w:r w:rsidRPr="00EC20A0">
              <w:rPr>
                <w:sz w:val="16"/>
              </w:rPr>
              <w:t>or</w:t>
            </w:r>
            <w:r w:rsidRPr="00EC20A0">
              <w:rPr>
                <w:spacing w:val="-5"/>
                <w:sz w:val="16"/>
              </w:rPr>
              <w:t xml:space="preserve"> N)</w:t>
            </w:r>
          </w:p>
        </w:tc>
        <w:tc>
          <w:tcPr>
            <w:tcW w:w="262" w:type="dxa"/>
            <w:vMerge/>
            <w:tcBorders>
              <w:top w:val="nil"/>
              <w:left w:val="nil"/>
              <w:right w:val="single" w:sz="4" w:space="0" w:color="000000"/>
            </w:tcBorders>
          </w:tcPr>
          <w:p w14:paraId="24D606CA"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6CB" w14:textId="77777777" w:rsidR="00245300" w:rsidRPr="00EC20A0" w:rsidRDefault="00245300">
            <w:pPr>
              <w:rPr>
                <w:sz w:val="2"/>
                <w:szCs w:val="2"/>
              </w:rPr>
            </w:pPr>
          </w:p>
        </w:tc>
        <w:tc>
          <w:tcPr>
            <w:tcW w:w="1074" w:type="dxa"/>
            <w:vMerge w:val="restart"/>
            <w:tcBorders>
              <w:top w:val="nil"/>
              <w:left w:val="single" w:sz="4" w:space="0" w:color="000000"/>
              <w:right w:val="single" w:sz="4" w:space="0" w:color="000000"/>
            </w:tcBorders>
          </w:tcPr>
          <w:p w14:paraId="24D606CC" w14:textId="77777777" w:rsidR="00245300" w:rsidRPr="00EC20A0" w:rsidRDefault="00245300">
            <w:pPr>
              <w:pStyle w:val="TableParagraph"/>
              <w:rPr>
                <w:sz w:val="16"/>
              </w:rPr>
            </w:pPr>
          </w:p>
        </w:tc>
        <w:tc>
          <w:tcPr>
            <w:tcW w:w="4040" w:type="dxa"/>
            <w:gridSpan w:val="4"/>
            <w:tcBorders>
              <w:top w:val="single" w:sz="4" w:space="0" w:color="000000"/>
              <w:left w:val="single" w:sz="4" w:space="0" w:color="000000"/>
              <w:bottom w:val="nil"/>
            </w:tcBorders>
          </w:tcPr>
          <w:p w14:paraId="24D606CD" w14:textId="77777777" w:rsidR="00245300" w:rsidRPr="00EC20A0" w:rsidRDefault="00F17249">
            <w:pPr>
              <w:pStyle w:val="TableParagraph"/>
              <w:spacing w:before="51"/>
              <w:ind w:left="110"/>
              <w:rPr>
                <w:sz w:val="16"/>
              </w:rPr>
            </w:pPr>
            <w:r w:rsidRPr="00EC20A0">
              <w:rPr>
                <w:sz w:val="16"/>
              </w:rPr>
              <w:t>Corrective</w:t>
            </w:r>
            <w:r w:rsidRPr="00EC20A0">
              <w:rPr>
                <w:spacing w:val="-8"/>
                <w:sz w:val="16"/>
              </w:rPr>
              <w:t xml:space="preserve"> </w:t>
            </w:r>
            <w:r w:rsidRPr="00EC20A0">
              <w:rPr>
                <w:sz w:val="16"/>
              </w:rPr>
              <w:t>action</w:t>
            </w:r>
            <w:r w:rsidRPr="00EC20A0">
              <w:rPr>
                <w:spacing w:val="-7"/>
                <w:sz w:val="16"/>
              </w:rPr>
              <w:t xml:space="preserve"> </w:t>
            </w:r>
            <w:r w:rsidRPr="00EC20A0">
              <w:rPr>
                <w:sz w:val="16"/>
              </w:rPr>
              <w:t>in</w:t>
            </w:r>
            <w:r w:rsidRPr="00EC20A0">
              <w:rPr>
                <w:spacing w:val="-7"/>
                <w:sz w:val="16"/>
              </w:rPr>
              <w:t xml:space="preserve"> </w:t>
            </w:r>
            <w:r w:rsidRPr="00EC20A0">
              <w:rPr>
                <w:sz w:val="16"/>
              </w:rPr>
              <w:t>remediation</w:t>
            </w:r>
            <w:r w:rsidRPr="00EC20A0">
              <w:rPr>
                <w:spacing w:val="-7"/>
                <w:sz w:val="16"/>
              </w:rPr>
              <w:t xml:space="preserve"> </w:t>
            </w:r>
            <w:r w:rsidRPr="00EC20A0">
              <w:rPr>
                <w:sz w:val="16"/>
              </w:rPr>
              <w:t>plan?</w:t>
            </w:r>
            <w:r w:rsidRPr="00EC20A0">
              <w:rPr>
                <w:spacing w:val="-7"/>
                <w:sz w:val="16"/>
              </w:rPr>
              <w:t xml:space="preserve"> </w:t>
            </w:r>
            <w:r w:rsidRPr="00EC20A0">
              <w:rPr>
                <w:sz w:val="16"/>
              </w:rPr>
              <w:t>(Y</w:t>
            </w:r>
            <w:r w:rsidRPr="00EC20A0">
              <w:rPr>
                <w:spacing w:val="-6"/>
                <w:sz w:val="16"/>
              </w:rPr>
              <w:t xml:space="preserve"> </w:t>
            </w:r>
            <w:r w:rsidRPr="00EC20A0">
              <w:rPr>
                <w:sz w:val="16"/>
              </w:rPr>
              <w:t>or</w:t>
            </w:r>
            <w:r w:rsidRPr="00EC20A0">
              <w:rPr>
                <w:spacing w:val="-7"/>
                <w:sz w:val="16"/>
              </w:rPr>
              <w:t xml:space="preserve"> </w:t>
            </w:r>
            <w:r w:rsidRPr="00EC20A0">
              <w:rPr>
                <w:spacing w:val="-5"/>
                <w:sz w:val="16"/>
              </w:rPr>
              <w:t>N)</w:t>
            </w:r>
          </w:p>
        </w:tc>
      </w:tr>
      <w:tr w:rsidR="00245300" w:rsidRPr="00EC20A0" w14:paraId="24D606D8" w14:textId="77777777">
        <w:trPr>
          <w:trHeight w:val="284"/>
        </w:trPr>
        <w:tc>
          <w:tcPr>
            <w:tcW w:w="647" w:type="dxa"/>
            <w:vMerge/>
            <w:tcBorders>
              <w:top w:val="nil"/>
              <w:right w:val="single" w:sz="4" w:space="0" w:color="000000"/>
            </w:tcBorders>
          </w:tcPr>
          <w:p w14:paraId="24D606CF"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6D0" w14:textId="77777777" w:rsidR="00245300" w:rsidRPr="00EC20A0" w:rsidRDefault="00245300">
            <w:pPr>
              <w:rPr>
                <w:sz w:val="2"/>
                <w:szCs w:val="2"/>
              </w:rPr>
            </w:pPr>
          </w:p>
        </w:tc>
        <w:tc>
          <w:tcPr>
            <w:tcW w:w="455" w:type="dxa"/>
            <w:vMerge w:val="restart"/>
            <w:tcBorders>
              <w:top w:val="nil"/>
              <w:left w:val="single" w:sz="4" w:space="0" w:color="000000"/>
              <w:right w:val="single" w:sz="4" w:space="0" w:color="000000"/>
            </w:tcBorders>
          </w:tcPr>
          <w:p w14:paraId="24D606D1" w14:textId="77777777" w:rsidR="00245300" w:rsidRPr="00EC20A0" w:rsidRDefault="00245300">
            <w:pPr>
              <w:pStyle w:val="TableParagraph"/>
              <w:rPr>
                <w:sz w:val="16"/>
              </w:rPr>
            </w:pPr>
          </w:p>
        </w:tc>
        <w:tc>
          <w:tcPr>
            <w:tcW w:w="4539" w:type="dxa"/>
            <w:gridSpan w:val="3"/>
            <w:tcBorders>
              <w:top w:val="single" w:sz="4" w:space="0" w:color="000000"/>
              <w:left w:val="single" w:sz="4" w:space="0" w:color="000000"/>
              <w:bottom w:val="nil"/>
              <w:right w:val="nil"/>
            </w:tcBorders>
          </w:tcPr>
          <w:p w14:paraId="24D606D2" w14:textId="77777777" w:rsidR="00245300" w:rsidRPr="00EC20A0" w:rsidRDefault="00F17249">
            <w:pPr>
              <w:pStyle w:val="TableParagraph"/>
              <w:spacing w:before="49"/>
              <w:ind w:left="106"/>
              <w:rPr>
                <w:sz w:val="16"/>
              </w:rPr>
            </w:pPr>
            <w:r w:rsidRPr="00EC20A0">
              <w:rPr>
                <w:sz w:val="16"/>
              </w:rPr>
              <w:t>Applicable</w:t>
            </w:r>
            <w:r w:rsidRPr="00EC20A0">
              <w:rPr>
                <w:spacing w:val="-7"/>
                <w:sz w:val="16"/>
              </w:rPr>
              <w:t xml:space="preserve"> </w:t>
            </w:r>
            <w:r w:rsidRPr="00EC20A0">
              <w:rPr>
                <w:sz w:val="16"/>
              </w:rPr>
              <w:t>criteria</w:t>
            </w:r>
            <w:r w:rsidRPr="00EC20A0">
              <w:rPr>
                <w:spacing w:val="-7"/>
                <w:sz w:val="16"/>
              </w:rPr>
              <w:t xml:space="preserve"> </w:t>
            </w:r>
            <w:r w:rsidRPr="00EC20A0">
              <w:rPr>
                <w:sz w:val="16"/>
              </w:rPr>
              <w:t>(OMB</w:t>
            </w:r>
            <w:r w:rsidRPr="00EC20A0">
              <w:rPr>
                <w:spacing w:val="-5"/>
                <w:sz w:val="16"/>
              </w:rPr>
              <w:t xml:space="preserve"> </w:t>
            </w:r>
            <w:r w:rsidRPr="00EC20A0">
              <w:rPr>
                <w:sz w:val="16"/>
              </w:rPr>
              <w:t>Circular</w:t>
            </w:r>
            <w:r w:rsidRPr="00EC20A0">
              <w:rPr>
                <w:spacing w:val="-6"/>
                <w:sz w:val="16"/>
              </w:rPr>
              <w:t xml:space="preserve"> </w:t>
            </w:r>
            <w:r w:rsidRPr="00EC20A0">
              <w:rPr>
                <w:sz w:val="16"/>
              </w:rPr>
              <w:t>No.</w:t>
            </w:r>
            <w:r w:rsidRPr="00EC20A0">
              <w:rPr>
                <w:spacing w:val="-6"/>
                <w:sz w:val="16"/>
              </w:rPr>
              <w:t xml:space="preserve"> </w:t>
            </w:r>
            <w:r w:rsidRPr="00EC20A0">
              <w:rPr>
                <w:sz w:val="16"/>
              </w:rPr>
              <w:t>A-123,</w:t>
            </w:r>
            <w:r w:rsidRPr="00EC20A0">
              <w:rPr>
                <w:spacing w:val="-5"/>
                <w:sz w:val="16"/>
              </w:rPr>
              <w:t xml:space="preserve"> </w:t>
            </w:r>
            <w:r w:rsidRPr="00EC20A0">
              <w:rPr>
                <w:sz w:val="16"/>
              </w:rPr>
              <w:t>app.</w:t>
            </w:r>
            <w:r w:rsidRPr="00EC20A0">
              <w:rPr>
                <w:spacing w:val="-5"/>
                <w:sz w:val="16"/>
              </w:rPr>
              <w:t xml:space="preserve"> </w:t>
            </w:r>
            <w:r w:rsidRPr="00EC20A0">
              <w:rPr>
                <w:sz w:val="16"/>
              </w:rPr>
              <w:t>D</w:t>
            </w:r>
            <w:r w:rsidRPr="00EC20A0">
              <w:rPr>
                <w:spacing w:val="-7"/>
                <w:sz w:val="16"/>
              </w:rPr>
              <w:t xml:space="preserve"> </w:t>
            </w:r>
            <w:r w:rsidRPr="00EC20A0">
              <w:rPr>
                <w:spacing w:val="-2"/>
                <w:sz w:val="16"/>
              </w:rPr>
              <w:t>citation)</w:t>
            </w:r>
          </w:p>
        </w:tc>
        <w:tc>
          <w:tcPr>
            <w:tcW w:w="262" w:type="dxa"/>
            <w:vMerge/>
            <w:tcBorders>
              <w:top w:val="nil"/>
              <w:left w:val="nil"/>
              <w:right w:val="single" w:sz="4" w:space="0" w:color="000000"/>
            </w:tcBorders>
          </w:tcPr>
          <w:p w14:paraId="24D606D3"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6D4"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6D5" w14:textId="77777777" w:rsidR="00245300" w:rsidRPr="00EC20A0" w:rsidRDefault="00245300">
            <w:pPr>
              <w:rPr>
                <w:sz w:val="2"/>
                <w:szCs w:val="2"/>
              </w:rPr>
            </w:pPr>
          </w:p>
        </w:tc>
        <w:tc>
          <w:tcPr>
            <w:tcW w:w="493" w:type="dxa"/>
            <w:vMerge w:val="restart"/>
            <w:tcBorders>
              <w:top w:val="nil"/>
              <w:left w:val="single" w:sz="4" w:space="0" w:color="000000"/>
              <w:right w:val="single" w:sz="4" w:space="0" w:color="000000"/>
            </w:tcBorders>
          </w:tcPr>
          <w:p w14:paraId="24D606D6" w14:textId="77777777" w:rsidR="00245300" w:rsidRPr="00EC20A0" w:rsidRDefault="00245300">
            <w:pPr>
              <w:pStyle w:val="TableParagraph"/>
              <w:rPr>
                <w:sz w:val="16"/>
              </w:rPr>
            </w:pPr>
          </w:p>
        </w:tc>
        <w:tc>
          <w:tcPr>
            <w:tcW w:w="3547" w:type="dxa"/>
            <w:gridSpan w:val="3"/>
            <w:tcBorders>
              <w:top w:val="single" w:sz="4" w:space="0" w:color="000000"/>
              <w:left w:val="single" w:sz="4" w:space="0" w:color="000000"/>
              <w:bottom w:val="nil"/>
            </w:tcBorders>
          </w:tcPr>
          <w:p w14:paraId="24D606D7" w14:textId="77777777" w:rsidR="00245300" w:rsidRPr="00EC20A0" w:rsidRDefault="00F17249">
            <w:pPr>
              <w:pStyle w:val="TableParagraph"/>
              <w:spacing w:before="49"/>
              <w:ind w:left="111"/>
              <w:rPr>
                <w:sz w:val="16"/>
              </w:rPr>
            </w:pPr>
            <w:r w:rsidRPr="00EC20A0">
              <w:rPr>
                <w:sz w:val="16"/>
              </w:rPr>
              <w:t>Assessment</w:t>
            </w:r>
            <w:r w:rsidRPr="00EC20A0">
              <w:rPr>
                <w:spacing w:val="-8"/>
                <w:sz w:val="16"/>
              </w:rPr>
              <w:t xml:space="preserve"> </w:t>
            </w:r>
            <w:r w:rsidRPr="00EC20A0">
              <w:rPr>
                <w:sz w:val="16"/>
              </w:rPr>
              <w:t>of</w:t>
            </w:r>
            <w:r w:rsidRPr="00EC20A0">
              <w:rPr>
                <w:spacing w:val="-7"/>
                <w:sz w:val="16"/>
              </w:rPr>
              <w:t xml:space="preserve"> </w:t>
            </w:r>
            <w:r w:rsidRPr="00EC20A0">
              <w:rPr>
                <w:sz w:val="16"/>
              </w:rPr>
              <w:t>corrective</w:t>
            </w:r>
            <w:r w:rsidRPr="00EC20A0">
              <w:rPr>
                <w:spacing w:val="-7"/>
                <w:sz w:val="16"/>
              </w:rPr>
              <w:t xml:space="preserve"> </w:t>
            </w:r>
            <w:r w:rsidRPr="00EC20A0">
              <w:rPr>
                <w:sz w:val="16"/>
              </w:rPr>
              <w:t>actions,</w:t>
            </w:r>
            <w:r w:rsidRPr="00EC20A0">
              <w:rPr>
                <w:spacing w:val="-8"/>
                <w:sz w:val="16"/>
              </w:rPr>
              <w:t xml:space="preserve"> </w:t>
            </w:r>
            <w:r w:rsidRPr="00EC20A0">
              <w:rPr>
                <w:sz w:val="16"/>
              </w:rPr>
              <w:t>time</w:t>
            </w:r>
            <w:r w:rsidRPr="00EC20A0">
              <w:rPr>
                <w:spacing w:val="-7"/>
                <w:sz w:val="16"/>
              </w:rPr>
              <w:t xml:space="preserve"> </w:t>
            </w:r>
            <w:r w:rsidRPr="00EC20A0">
              <w:rPr>
                <w:spacing w:val="-2"/>
                <w:sz w:val="16"/>
              </w:rPr>
              <w:t>frames</w:t>
            </w:r>
          </w:p>
        </w:tc>
      </w:tr>
      <w:tr w:rsidR="00245300" w:rsidRPr="00EC20A0" w14:paraId="24D606E4" w14:textId="77777777">
        <w:trPr>
          <w:trHeight w:val="283"/>
        </w:trPr>
        <w:tc>
          <w:tcPr>
            <w:tcW w:w="647" w:type="dxa"/>
            <w:vMerge/>
            <w:tcBorders>
              <w:top w:val="nil"/>
              <w:right w:val="single" w:sz="4" w:space="0" w:color="000000"/>
            </w:tcBorders>
          </w:tcPr>
          <w:p w14:paraId="24D606D9"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6DA"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6DB" w14:textId="77777777" w:rsidR="00245300" w:rsidRPr="00EC20A0" w:rsidRDefault="00245300">
            <w:pPr>
              <w:rPr>
                <w:sz w:val="2"/>
                <w:szCs w:val="2"/>
              </w:rPr>
            </w:pPr>
          </w:p>
        </w:tc>
        <w:tc>
          <w:tcPr>
            <w:tcW w:w="839" w:type="dxa"/>
            <w:vMerge w:val="restart"/>
            <w:tcBorders>
              <w:top w:val="nil"/>
              <w:left w:val="single" w:sz="4" w:space="0" w:color="000000"/>
              <w:right w:val="single" w:sz="4" w:space="0" w:color="000000"/>
            </w:tcBorders>
          </w:tcPr>
          <w:p w14:paraId="24D606DC" w14:textId="77777777" w:rsidR="00245300" w:rsidRPr="00EC20A0" w:rsidRDefault="00245300">
            <w:pPr>
              <w:pStyle w:val="TableParagraph"/>
              <w:rPr>
                <w:sz w:val="16"/>
              </w:rPr>
            </w:pPr>
          </w:p>
        </w:tc>
        <w:tc>
          <w:tcPr>
            <w:tcW w:w="3700" w:type="dxa"/>
            <w:gridSpan w:val="2"/>
            <w:tcBorders>
              <w:top w:val="single" w:sz="4" w:space="0" w:color="000000"/>
              <w:left w:val="single" w:sz="4" w:space="0" w:color="000000"/>
              <w:bottom w:val="nil"/>
              <w:right w:val="nil"/>
            </w:tcBorders>
          </w:tcPr>
          <w:p w14:paraId="24D606DD" w14:textId="77777777" w:rsidR="00245300" w:rsidRPr="00EC20A0" w:rsidRDefault="00F17249">
            <w:pPr>
              <w:pStyle w:val="TableParagraph"/>
              <w:spacing w:before="49"/>
              <w:ind w:left="106"/>
              <w:rPr>
                <w:sz w:val="16"/>
              </w:rPr>
            </w:pPr>
            <w:r w:rsidRPr="00EC20A0">
              <w:rPr>
                <w:sz w:val="16"/>
              </w:rPr>
              <w:t>Responsible</w:t>
            </w:r>
            <w:r w:rsidRPr="00EC20A0">
              <w:rPr>
                <w:spacing w:val="-11"/>
                <w:sz w:val="16"/>
              </w:rPr>
              <w:t xml:space="preserve"> </w:t>
            </w:r>
            <w:r w:rsidRPr="00EC20A0">
              <w:rPr>
                <w:spacing w:val="-2"/>
                <w:sz w:val="16"/>
              </w:rPr>
              <w:t>entity</w:t>
            </w:r>
          </w:p>
        </w:tc>
        <w:tc>
          <w:tcPr>
            <w:tcW w:w="262" w:type="dxa"/>
            <w:vMerge/>
            <w:tcBorders>
              <w:top w:val="nil"/>
              <w:left w:val="nil"/>
              <w:right w:val="single" w:sz="4" w:space="0" w:color="000000"/>
            </w:tcBorders>
          </w:tcPr>
          <w:p w14:paraId="24D606DE"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6DF"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6E0"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6E1" w14:textId="77777777" w:rsidR="00245300" w:rsidRPr="00EC20A0" w:rsidRDefault="00245300">
            <w:pPr>
              <w:rPr>
                <w:sz w:val="2"/>
                <w:szCs w:val="2"/>
              </w:rPr>
            </w:pPr>
          </w:p>
        </w:tc>
        <w:tc>
          <w:tcPr>
            <w:tcW w:w="1077" w:type="dxa"/>
            <w:vMerge w:val="restart"/>
            <w:tcBorders>
              <w:top w:val="nil"/>
              <w:left w:val="single" w:sz="4" w:space="0" w:color="000000"/>
              <w:right w:val="single" w:sz="4" w:space="0" w:color="000000"/>
            </w:tcBorders>
          </w:tcPr>
          <w:p w14:paraId="24D606E2" w14:textId="77777777" w:rsidR="00245300" w:rsidRPr="00EC20A0" w:rsidRDefault="00245300">
            <w:pPr>
              <w:pStyle w:val="TableParagraph"/>
              <w:rPr>
                <w:sz w:val="16"/>
              </w:rPr>
            </w:pPr>
          </w:p>
        </w:tc>
        <w:tc>
          <w:tcPr>
            <w:tcW w:w="2470" w:type="dxa"/>
            <w:gridSpan w:val="2"/>
            <w:tcBorders>
              <w:top w:val="single" w:sz="4" w:space="0" w:color="000000"/>
              <w:left w:val="single" w:sz="4" w:space="0" w:color="000000"/>
              <w:bottom w:val="nil"/>
            </w:tcBorders>
          </w:tcPr>
          <w:p w14:paraId="24D606E3" w14:textId="77777777" w:rsidR="00245300" w:rsidRPr="00EC20A0" w:rsidRDefault="00F17249">
            <w:pPr>
              <w:pStyle w:val="TableParagraph"/>
              <w:spacing w:before="49"/>
              <w:ind w:left="113"/>
              <w:rPr>
                <w:sz w:val="16"/>
              </w:rPr>
            </w:pPr>
            <w:r w:rsidRPr="00EC20A0">
              <w:rPr>
                <w:sz w:val="16"/>
              </w:rPr>
              <w:t>Doc.</w:t>
            </w:r>
            <w:r w:rsidRPr="00EC20A0">
              <w:rPr>
                <w:spacing w:val="-5"/>
                <w:sz w:val="16"/>
              </w:rPr>
              <w:t xml:space="preserve"> </w:t>
            </w:r>
            <w:r w:rsidRPr="00EC20A0">
              <w:rPr>
                <w:spacing w:val="-2"/>
                <w:sz w:val="16"/>
              </w:rPr>
              <w:t>reference</w:t>
            </w:r>
          </w:p>
        </w:tc>
      </w:tr>
      <w:tr w:rsidR="00245300" w:rsidRPr="00EC20A0" w14:paraId="24D606F2" w14:textId="77777777">
        <w:trPr>
          <w:trHeight w:val="477"/>
        </w:trPr>
        <w:tc>
          <w:tcPr>
            <w:tcW w:w="647" w:type="dxa"/>
            <w:vMerge/>
            <w:tcBorders>
              <w:top w:val="nil"/>
              <w:right w:val="single" w:sz="4" w:space="0" w:color="000000"/>
            </w:tcBorders>
          </w:tcPr>
          <w:p w14:paraId="24D606E5"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6E6"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6E7" w14:textId="77777777" w:rsidR="00245300" w:rsidRPr="00EC20A0" w:rsidRDefault="00245300">
            <w:pPr>
              <w:rPr>
                <w:sz w:val="2"/>
                <w:szCs w:val="2"/>
              </w:rPr>
            </w:pPr>
          </w:p>
        </w:tc>
        <w:tc>
          <w:tcPr>
            <w:tcW w:w="839" w:type="dxa"/>
            <w:vMerge/>
            <w:tcBorders>
              <w:top w:val="nil"/>
              <w:left w:val="single" w:sz="4" w:space="0" w:color="000000"/>
              <w:right w:val="single" w:sz="4" w:space="0" w:color="000000"/>
            </w:tcBorders>
          </w:tcPr>
          <w:p w14:paraId="24D606E8" w14:textId="77777777" w:rsidR="00245300" w:rsidRPr="00EC20A0" w:rsidRDefault="00245300">
            <w:pPr>
              <w:rPr>
                <w:sz w:val="2"/>
                <w:szCs w:val="2"/>
              </w:rPr>
            </w:pPr>
          </w:p>
        </w:tc>
        <w:tc>
          <w:tcPr>
            <w:tcW w:w="973" w:type="dxa"/>
            <w:tcBorders>
              <w:top w:val="nil"/>
              <w:left w:val="single" w:sz="4" w:space="0" w:color="000000"/>
              <w:right w:val="single" w:sz="4" w:space="0" w:color="000000"/>
            </w:tcBorders>
          </w:tcPr>
          <w:p w14:paraId="24D606E9" w14:textId="77777777" w:rsidR="00245300" w:rsidRPr="00EC20A0" w:rsidRDefault="00245300">
            <w:pPr>
              <w:pStyle w:val="TableParagraph"/>
              <w:rPr>
                <w:sz w:val="16"/>
              </w:rPr>
            </w:pPr>
          </w:p>
        </w:tc>
        <w:tc>
          <w:tcPr>
            <w:tcW w:w="2727" w:type="dxa"/>
            <w:tcBorders>
              <w:top w:val="single" w:sz="4" w:space="0" w:color="000000"/>
              <w:left w:val="single" w:sz="4" w:space="0" w:color="000000"/>
              <w:right w:val="nil"/>
            </w:tcBorders>
          </w:tcPr>
          <w:p w14:paraId="24D606EA" w14:textId="77777777" w:rsidR="00245300" w:rsidRPr="00EC20A0" w:rsidRDefault="00F17249">
            <w:pPr>
              <w:pStyle w:val="TableParagraph"/>
              <w:spacing w:before="51"/>
              <w:ind w:left="105"/>
              <w:rPr>
                <w:sz w:val="16"/>
              </w:rPr>
            </w:pPr>
            <w:r w:rsidRPr="00EC20A0">
              <w:rPr>
                <w:sz w:val="16"/>
              </w:rPr>
              <w:t>Primary</w:t>
            </w:r>
            <w:r w:rsidRPr="00EC20A0">
              <w:rPr>
                <w:spacing w:val="-8"/>
                <w:sz w:val="16"/>
              </w:rPr>
              <w:t xml:space="preserve"> </w:t>
            </w:r>
            <w:r w:rsidRPr="00EC20A0">
              <w:rPr>
                <w:sz w:val="16"/>
              </w:rPr>
              <w:t>reason</w:t>
            </w:r>
            <w:r w:rsidRPr="00EC20A0">
              <w:rPr>
                <w:spacing w:val="-8"/>
                <w:sz w:val="16"/>
              </w:rPr>
              <w:t xml:space="preserve"> </w:t>
            </w:r>
            <w:r w:rsidRPr="00EC20A0">
              <w:rPr>
                <w:sz w:val="16"/>
              </w:rPr>
              <w:t>for</w:t>
            </w:r>
            <w:r w:rsidRPr="00EC20A0">
              <w:rPr>
                <w:spacing w:val="-8"/>
                <w:sz w:val="16"/>
              </w:rPr>
              <w:t xml:space="preserve"> </w:t>
            </w:r>
            <w:r w:rsidRPr="00EC20A0">
              <w:rPr>
                <w:sz w:val="16"/>
              </w:rPr>
              <w:t>or</w:t>
            </w:r>
            <w:r w:rsidRPr="00EC20A0">
              <w:rPr>
                <w:spacing w:val="-8"/>
                <w:sz w:val="16"/>
              </w:rPr>
              <w:t xml:space="preserve"> </w:t>
            </w:r>
            <w:r w:rsidRPr="00EC20A0">
              <w:rPr>
                <w:sz w:val="16"/>
              </w:rPr>
              <w:t>cause</w:t>
            </w:r>
            <w:r w:rsidRPr="00EC20A0">
              <w:rPr>
                <w:spacing w:val="-8"/>
                <w:sz w:val="16"/>
              </w:rPr>
              <w:t xml:space="preserve"> </w:t>
            </w:r>
            <w:r w:rsidRPr="00EC20A0">
              <w:rPr>
                <w:sz w:val="16"/>
              </w:rPr>
              <w:t>of systems’ noncompliance</w:t>
            </w:r>
          </w:p>
        </w:tc>
        <w:tc>
          <w:tcPr>
            <w:tcW w:w="262" w:type="dxa"/>
            <w:vMerge/>
            <w:tcBorders>
              <w:top w:val="nil"/>
              <w:left w:val="nil"/>
              <w:right w:val="single" w:sz="4" w:space="0" w:color="000000"/>
            </w:tcBorders>
          </w:tcPr>
          <w:p w14:paraId="24D606EB"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6EC"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6ED"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6EE" w14:textId="77777777" w:rsidR="00245300" w:rsidRPr="00EC20A0" w:rsidRDefault="00245300">
            <w:pPr>
              <w:rPr>
                <w:sz w:val="2"/>
                <w:szCs w:val="2"/>
              </w:rPr>
            </w:pPr>
          </w:p>
        </w:tc>
        <w:tc>
          <w:tcPr>
            <w:tcW w:w="1077" w:type="dxa"/>
            <w:vMerge/>
            <w:tcBorders>
              <w:top w:val="nil"/>
              <w:left w:val="single" w:sz="4" w:space="0" w:color="000000"/>
              <w:right w:val="single" w:sz="4" w:space="0" w:color="000000"/>
            </w:tcBorders>
          </w:tcPr>
          <w:p w14:paraId="24D606EF" w14:textId="77777777" w:rsidR="00245300" w:rsidRPr="00EC20A0" w:rsidRDefault="00245300">
            <w:pPr>
              <w:rPr>
                <w:sz w:val="2"/>
                <w:szCs w:val="2"/>
              </w:rPr>
            </w:pPr>
          </w:p>
        </w:tc>
        <w:tc>
          <w:tcPr>
            <w:tcW w:w="607" w:type="dxa"/>
            <w:tcBorders>
              <w:top w:val="nil"/>
              <w:left w:val="single" w:sz="4" w:space="0" w:color="000000"/>
              <w:right w:val="single" w:sz="4" w:space="0" w:color="000000"/>
            </w:tcBorders>
          </w:tcPr>
          <w:p w14:paraId="24D606F0" w14:textId="77777777" w:rsidR="00245300" w:rsidRPr="00EC20A0" w:rsidRDefault="00245300">
            <w:pPr>
              <w:pStyle w:val="TableParagraph"/>
              <w:rPr>
                <w:sz w:val="16"/>
              </w:rPr>
            </w:pPr>
          </w:p>
        </w:tc>
        <w:tc>
          <w:tcPr>
            <w:tcW w:w="1863" w:type="dxa"/>
            <w:tcBorders>
              <w:top w:val="single" w:sz="4" w:space="0" w:color="000000"/>
              <w:left w:val="single" w:sz="4" w:space="0" w:color="000000"/>
            </w:tcBorders>
          </w:tcPr>
          <w:p w14:paraId="24D606F1" w14:textId="77777777" w:rsidR="00245300" w:rsidRPr="00EC20A0" w:rsidRDefault="00F17249">
            <w:pPr>
              <w:pStyle w:val="TableParagraph"/>
              <w:spacing w:before="51"/>
              <w:ind w:left="115"/>
              <w:rPr>
                <w:sz w:val="16"/>
              </w:rPr>
            </w:pPr>
            <w:r w:rsidRPr="00EC20A0">
              <w:rPr>
                <w:spacing w:val="-2"/>
                <w:sz w:val="16"/>
              </w:rPr>
              <w:t>Comments</w:t>
            </w:r>
          </w:p>
        </w:tc>
      </w:tr>
      <w:tr w:rsidR="00245300" w:rsidRPr="00EC20A0" w14:paraId="24D606F4" w14:textId="77777777">
        <w:trPr>
          <w:trHeight w:val="427"/>
        </w:trPr>
        <w:tc>
          <w:tcPr>
            <w:tcW w:w="13005" w:type="dxa"/>
            <w:gridSpan w:val="13"/>
            <w:tcBorders>
              <w:bottom w:val="single" w:sz="4" w:space="0" w:color="000000"/>
            </w:tcBorders>
          </w:tcPr>
          <w:p w14:paraId="24D606F3" w14:textId="77777777" w:rsidR="00245300" w:rsidRPr="00EC20A0" w:rsidRDefault="00F17249">
            <w:pPr>
              <w:pStyle w:val="TableParagraph"/>
              <w:spacing w:before="101"/>
              <w:ind w:left="96"/>
              <w:rPr>
                <w:sz w:val="18"/>
              </w:rPr>
            </w:pPr>
            <w:r w:rsidRPr="00EC20A0">
              <w:rPr>
                <w:sz w:val="18"/>
              </w:rPr>
              <w:t>Deficiencies</w:t>
            </w:r>
            <w:r w:rsidRPr="00EC20A0">
              <w:rPr>
                <w:spacing w:val="-4"/>
                <w:sz w:val="18"/>
              </w:rPr>
              <w:t xml:space="preserve"> </w:t>
            </w:r>
            <w:r w:rsidRPr="00EC20A0">
              <w:rPr>
                <w:sz w:val="18"/>
              </w:rPr>
              <w:t>identified</w:t>
            </w:r>
            <w:r w:rsidRPr="00EC20A0">
              <w:rPr>
                <w:spacing w:val="-4"/>
                <w:sz w:val="18"/>
              </w:rPr>
              <w:t xml:space="preserve"> </w:t>
            </w:r>
            <w:r w:rsidRPr="00EC20A0">
              <w:rPr>
                <w:sz w:val="18"/>
              </w:rPr>
              <w:t>in</w:t>
            </w:r>
            <w:r w:rsidRPr="00EC20A0">
              <w:rPr>
                <w:spacing w:val="-4"/>
                <w:sz w:val="18"/>
              </w:rPr>
              <w:t xml:space="preserve"> </w:t>
            </w:r>
            <w:r w:rsidRPr="00EC20A0">
              <w:rPr>
                <w:sz w:val="18"/>
              </w:rPr>
              <w:t>service</w:t>
            </w:r>
            <w:r w:rsidRPr="00EC20A0">
              <w:rPr>
                <w:spacing w:val="-5"/>
                <w:sz w:val="18"/>
              </w:rPr>
              <w:t xml:space="preserve"> </w:t>
            </w:r>
            <w:r w:rsidRPr="00EC20A0">
              <w:rPr>
                <w:sz w:val="18"/>
              </w:rPr>
              <w:t>organization</w:t>
            </w:r>
            <w:r w:rsidRPr="00EC20A0">
              <w:rPr>
                <w:spacing w:val="-2"/>
                <w:sz w:val="18"/>
              </w:rPr>
              <w:t xml:space="preserve"> </w:t>
            </w:r>
            <w:r w:rsidRPr="00EC20A0">
              <w:rPr>
                <w:sz w:val="18"/>
              </w:rPr>
              <w:t>reports</w:t>
            </w:r>
            <w:r w:rsidRPr="00EC20A0">
              <w:rPr>
                <w:spacing w:val="-3"/>
                <w:sz w:val="18"/>
              </w:rPr>
              <w:t xml:space="preserve"> </w:t>
            </w:r>
            <w:r w:rsidRPr="00EC20A0">
              <w:rPr>
                <w:sz w:val="18"/>
              </w:rPr>
              <w:t>(step</w:t>
            </w:r>
            <w:r w:rsidRPr="00EC20A0">
              <w:rPr>
                <w:spacing w:val="-4"/>
                <w:sz w:val="18"/>
              </w:rPr>
              <w:t xml:space="preserve"> I.D)</w:t>
            </w:r>
          </w:p>
        </w:tc>
      </w:tr>
      <w:tr w:rsidR="00245300" w:rsidRPr="00EC20A0" w14:paraId="24D60701" w14:textId="77777777">
        <w:trPr>
          <w:trHeight w:val="304"/>
        </w:trPr>
        <w:tc>
          <w:tcPr>
            <w:tcW w:w="647" w:type="dxa"/>
            <w:tcBorders>
              <w:top w:val="single" w:sz="4" w:space="0" w:color="000000"/>
              <w:bottom w:val="single" w:sz="4" w:space="0" w:color="000000"/>
              <w:right w:val="single" w:sz="4" w:space="0" w:color="000000"/>
            </w:tcBorders>
          </w:tcPr>
          <w:p w14:paraId="24D606F5"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6F6"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6F7"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6F8"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6F9"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6FA"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6FB"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6FC"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6FD"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6FE"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6FF"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00" w14:textId="77777777" w:rsidR="00245300" w:rsidRPr="00EC20A0" w:rsidRDefault="00245300">
            <w:pPr>
              <w:pStyle w:val="TableParagraph"/>
              <w:rPr>
                <w:sz w:val="16"/>
              </w:rPr>
            </w:pPr>
          </w:p>
        </w:tc>
      </w:tr>
      <w:tr w:rsidR="00245300" w:rsidRPr="00EC20A0" w14:paraId="24D6070E" w14:textId="77777777">
        <w:trPr>
          <w:trHeight w:val="303"/>
        </w:trPr>
        <w:tc>
          <w:tcPr>
            <w:tcW w:w="647" w:type="dxa"/>
            <w:tcBorders>
              <w:top w:val="single" w:sz="4" w:space="0" w:color="000000"/>
              <w:bottom w:val="single" w:sz="4" w:space="0" w:color="000000"/>
              <w:right w:val="single" w:sz="4" w:space="0" w:color="000000"/>
            </w:tcBorders>
          </w:tcPr>
          <w:p w14:paraId="24D60702"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03"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04"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05"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06"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07"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08"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09"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0A"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0B"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0C"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0D" w14:textId="77777777" w:rsidR="00245300" w:rsidRPr="00EC20A0" w:rsidRDefault="00245300">
            <w:pPr>
              <w:pStyle w:val="TableParagraph"/>
              <w:rPr>
                <w:sz w:val="16"/>
              </w:rPr>
            </w:pPr>
          </w:p>
        </w:tc>
      </w:tr>
      <w:tr w:rsidR="00245300" w:rsidRPr="00EC20A0" w14:paraId="24D6071B" w14:textId="77777777">
        <w:trPr>
          <w:trHeight w:val="304"/>
        </w:trPr>
        <w:tc>
          <w:tcPr>
            <w:tcW w:w="647" w:type="dxa"/>
            <w:tcBorders>
              <w:top w:val="single" w:sz="4" w:space="0" w:color="000000"/>
              <w:bottom w:val="single" w:sz="4" w:space="0" w:color="000000"/>
              <w:right w:val="single" w:sz="4" w:space="0" w:color="000000"/>
            </w:tcBorders>
          </w:tcPr>
          <w:p w14:paraId="24D6070F"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10"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11"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12"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13"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14"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15"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16"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17"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18"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19"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1A" w14:textId="77777777" w:rsidR="00245300" w:rsidRPr="00EC20A0" w:rsidRDefault="00245300">
            <w:pPr>
              <w:pStyle w:val="TableParagraph"/>
              <w:rPr>
                <w:sz w:val="16"/>
              </w:rPr>
            </w:pPr>
          </w:p>
        </w:tc>
      </w:tr>
      <w:tr w:rsidR="00245300" w:rsidRPr="00EC20A0" w14:paraId="24D6071D" w14:textId="77777777">
        <w:trPr>
          <w:trHeight w:val="447"/>
        </w:trPr>
        <w:tc>
          <w:tcPr>
            <w:tcW w:w="13005" w:type="dxa"/>
            <w:gridSpan w:val="13"/>
            <w:tcBorders>
              <w:top w:val="single" w:sz="4" w:space="0" w:color="000000"/>
              <w:bottom w:val="single" w:sz="4" w:space="0" w:color="000000"/>
            </w:tcBorders>
          </w:tcPr>
          <w:p w14:paraId="24D6071C" w14:textId="77777777" w:rsidR="00245300" w:rsidRPr="00EC20A0" w:rsidRDefault="00F17249">
            <w:pPr>
              <w:pStyle w:val="TableParagraph"/>
              <w:spacing w:before="120"/>
              <w:ind w:left="96"/>
              <w:rPr>
                <w:sz w:val="18"/>
              </w:rPr>
            </w:pPr>
            <w:r w:rsidRPr="00EC20A0">
              <w:rPr>
                <w:sz w:val="18"/>
              </w:rPr>
              <w:t>Cycle</w:t>
            </w:r>
            <w:r w:rsidRPr="00EC20A0">
              <w:rPr>
                <w:spacing w:val="-4"/>
                <w:sz w:val="18"/>
              </w:rPr>
              <w:t xml:space="preserve"> </w:t>
            </w:r>
            <w:r w:rsidRPr="00EC20A0">
              <w:rPr>
                <w:sz w:val="18"/>
              </w:rPr>
              <w:t>memorandums</w:t>
            </w:r>
            <w:r w:rsidRPr="00EC20A0">
              <w:rPr>
                <w:spacing w:val="-2"/>
                <w:sz w:val="18"/>
              </w:rPr>
              <w:t xml:space="preserve"> </w:t>
            </w:r>
            <w:r w:rsidRPr="00EC20A0">
              <w:rPr>
                <w:sz w:val="18"/>
              </w:rPr>
              <w:t>for</w:t>
            </w:r>
            <w:r w:rsidRPr="00EC20A0">
              <w:rPr>
                <w:spacing w:val="-2"/>
                <w:sz w:val="18"/>
              </w:rPr>
              <w:t xml:space="preserve"> </w:t>
            </w:r>
            <w:r w:rsidRPr="00EC20A0">
              <w:rPr>
                <w:sz w:val="18"/>
              </w:rPr>
              <w:t>the</w:t>
            </w:r>
            <w:r w:rsidRPr="00EC20A0">
              <w:rPr>
                <w:spacing w:val="-1"/>
                <w:sz w:val="18"/>
              </w:rPr>
              <w:t xml:space="preserve"> </w:t>
            </w:r>
            <w:r w:rsidRPr="00EC20A0">
              <w:rPr>
                <w:sz w:val="18"/>
              </w:rPr>
              <w:t>current</w:t>
            </w:r>
            <w:r w:rsidRPr="00EC20A0">
              <w:rPr>
                <w:spacing w:val="-2"/>
                <w:sz w:val="18"/>
              </w:rPr>
              <w:t xml:space="preserve"> </w:t>
            </w:r>
            <w:r w:rsidRPr="00EC20A0">
              <w:rPr>
                <w:sz w:val="18"/>
              </w:rPr>
              <w:t>year's</w:t>
            </w:r>
            <w:r w:rsidRPr="00EC20A0">
              <w:rPr>
                <w:spacing w:val="-1"/>
                <w:sz w:val="18"/>
              </w:rPr>
              <w:t xml:space="preserve"> </w:t>
            </w:r>
            <w:r w:rsidRPr="00EC20A0">
              <w:rPr>
                <w:sz w:val="18"/>
              </w:rPr>
              <w:t>audit</w:t>
            </w:r>
            <w:r w:rsidRPr="00EC20A0">
              <w:rPr>
                <w:spacing w:val="-2"/>
                <w:sz w:val="18"/>
              </w:rPr>
              <w:t xml:space="preserve"> </w:t>
            </w:r>
            <w:r w:rsidRPr="00EC20A0">
              <w:rPr>
                <w:sz w:val="18"/>
              </w:rPr>
              <w:t>(step</w:t>
            </w:r>
            <w:r w:rsidRPr="00EC20A0">
              <w:rPr>
                <w:spacing w:val="-3"/>
                <w:sz w:val="18"/>
              </w:rPr>
              <w:t xml:space="preserve"> </w:t>
            </w:r>
            <w:r w:rsidRPr="00EC20A0">
              <w:rPr>
                <w:spacing w:val="-4"/>
                <w:sz w:val="18"/>
              </w:rPr>
              <w:t>I.E)</w:t>
            </w:r>
          </w:p>
        </w:tc>
      </w:tr>
      <w:tr w:rsidR="00245300" w:rsidRPr="00EC20A0" w14:paraId="24D6072A" w14:textId="77777777">
        <w:trPr>
          <w:trHeight w:val="303"/>
        </w:trPr>
        <w:tc>
          <w:tcPr>
            <w:tcW w:w="647" w:type="dxa"/>
            <w:tcBorders>
              <w:top w:val="single" w:sz="4" w:space="0" w:color="000000"/>
              <w:bottom w:val="single" w:sz="4" w:space="0" w:color="000000"/>
              <w:right w:val="single" w:sz="4" w:space="0" w:color="000000"/>
            </w:tcBorders>
          </w:tcPr>
          <w:p w14:paraId="24D6071E"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1F"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20"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21"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22"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23"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24"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25"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26"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27"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28"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29" w14:textId="77777777" w:rsidR="00245300" w:rsidRPr="00EC20A0" w:rsidRDefault="00245300">
            <w:pPr>
              <w:pStyle w:val="TableParagraph"/>
              <w:rPr>
                <w:sz w:val="16"/>
              </w:rPr>
            </w:pPr>
          </w:p>
        </w:tc>
      </w:tr>
      <w:tr w:rsidR="00245300" w:rsidRPr="00EC20A0" w14:paraId="24D60737" w14:textId="77777777">
        <w:trPr>
          <w:trHeight w:val="304"/>
        </w:trPr>
        <w:tc>
          <w:tcPr>
            <w:tcW w:w="647" w:type="dxa"/>
            <w:tcBorders>
              <w:top w:val="single" w:sz="4" w:space="0" w:color="000000"/>
              <w:bottom w:val="single" w:sz="4" w:space="0" w:color="000000"/>
              <w:right w:val="single" w:sz="4" w:space="0" w:color="000000"/>
            </w:tcBorders>
          </w:tcPr>
          <w:p w14:paraId="24D6072B"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2C"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2D"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2E"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2F"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30"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31"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32"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33"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34"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35"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36" w14:textId="77777777" w:rsidR="00245300" w:rsidRPr="00EC20A0" w:rsidRDefault="00245300">
            <w:pPr>
              <w:pStyle w:val="TableParagraph"/>
              <w:rPr>
                <w:sz w:val="16"/>
              </w:rPr>
            </w:pPr>
          </w:p>
        </w:tc>
      </w:tr>
      <w:tr w:rsidR="00245300" w:rsidRPr="00EC20A0" w14:paraId="24D60744" w14:textId="77777777">
        <w:trPr>
          <w:trHeight w:val="304"/>
        </w:trPr>
        <w:tc>
          <w:tcPr>
            <w:tcW w:w="647" w:type="dxa"/>
            <w:tcBorders>
              <w:top w:val="single" w:sz="4" w:space="0" w:color="000000"/>
              <w:bottom w:val="single" w:sz="4" w:space="0" w:color="000000"/>
              <w:right w:val="single" w:sz="4" w:space="0" w:color="000000"/>
            </w:tcBorders>
          </w:tcPr>
          <w:p w14:paraId="24D60738"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39"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3A"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3B"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3C"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3D"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3E"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3F"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40"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41"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42"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43" w14:textId="77777777" w:rsidR="00245300" w:rsidRPr="00EC20A0" w:rsidRDefault="00245300">
            <w:pPr>
              <w:pStyle w:val="TableParagraph"/>
              <w:rPr>
                <w:sz w:val="16"/>
              </w:rPr>
            </w:pPr>
          </w:p>
        </w:tc>
      </w:tr>
      <w:tr w:rsidR="00245300" w:rsidRPr="00EC20A0" w14:paraId="24D60746" w14:textId="77777777">
        <w:trPr>
          <w:trHeight w:val="447"/>
        </w:trPr>
        <w:tc>
          <w:tcPr>
            <w:tcW w:w="13005" w:type="dxa"/>
            <w:gridSpan w:val="13"/>
            <w:tcBorders>
              <w:top w:val="single" w:sz="4" w:space="0" w:color="000000"/>
              <w:bottom w:val="single" w:sz="4" w:space="0" w:color="000000"/>
            </w:tcBorders>
          </w:tcPr>
          <w:p w14:paraId="24D60745" w14:textId="77777777" w:rsidR="00245300" w:rsidRPr="00EC20A0" w:rsidRDefault="00F17249">
            <w:pPr>
              <w:pStyle w:val="TableParagraph"/>
              <w:spacing w:before="120"/>
              <w:ind w:left="96"/>
              <w:rPr>
                <w:sz w:val="18"/>
              </w:rPr>
            </w:pPr>
            <w:r w:rsidRPr="00EC20A0">
              <w:rPr>
                <w:sz w:val="18"/>
              </w:rPr>
              <w:t>Agency's</w:t>
            </w:r>
            <w:r w:rsidRPr="00EC20A0">
              <w:rPr>
                <w:spacing w:val="-3"/>
                <w:sz w:val="18"/>
              </w:rPr>
              <w:t xml:space="preserve"> </w:t>
            </w:r>
            <w:r w:rsidRPr="00EC20A0">
              <w:rPr>
                <w:sz w:val="18"/>
              </w:rPr>
              <w:t>assessment</w:t>
            </w:r>
            <w:r w:rsidRPr="00EC20A0">
              <w:rPr>
                <w:spacing w:val="-3"/>
                <w:sz w:val="18"/>
              </w:rPr>
              <w:t xml:space="preserve"> </w:t>
            </w:r>
            <w:r w:rsidRPr="00EC20A0">
              <w:rPr>
                <w:sz w:val="18"/>
              </w:rPr>
              <w:t>using</w:t>
            </w:r>
            <w:r w:rsidRPr="00EC20A0">
              <w:rPr>
                <w:spacing w:val="-4"/>
                <w:sz w:val="18"/>
              </w:rPr>
              <w:t xml:space="preserve"> </w:t>
            </w:r>
            <w:r w:rsidRPr="00EC20A0">
              <w:rPr>
                <w:sz w:val="18"/>
              </w:rPr>
              <w:t>OMB</w:t>
            </w:r>
            <w:r w:rsidRPr="00EC20A0">
              <w:rPr>
                <w:spacing w:val="-3"/>
                <w:sz w:val="18"/>
              </w:rPr>
              <w:t xml:space="preserve"> </w:t>
            </w:r>
            <w:r w:rsidRPr="00EC20A0">
              <w:rPr>
                <w:sz w:val="18"/>
              </w:rPr>
              <w:t>Circular</w:t>
            </w:r>
            <w:r w:rsidRPr="00EC20A0">
              <w:rPr>
                <w:spacing w:val="-2"/>
                <w:sz w:val="18"/>
              </w:rPr>
              <w:t xml:space="preserve"> </w:t>
            </w:r>
            <w:r w:rsidRPr="00EC20A0">
              <w:rPr>
                <w:sz w:val="18"/>
              </w:rPr>
              <w:t>No.</w:t>
            </w:r>
            <w:r w:rsidRPr="00EC20A0">
              <w:rPr>
                <w:spacing w:val="-3"/>
                <w:sz w:val="18"/>
              </w:rPr>
              <w:t xml:space="preserve"> </w:t>
            </w:r>
            <w:r w:rsidRPr="00EC20A0">
              <w:rPr>
                <w:sz w:val="18"/>
              </w:rPr>
              <w:t>A-123,</w:t>
            </w:r>
            <w:r w:rsidRPr="00EC20A0">
              <w:rPr>
                <w:spacing w:val="-3"/>
                <w:sz w:val="18"/>
              </w:rPr>
              <w:t xml:space="preserve"> </w:t>
            </w:r>
            <w:r w:rsidRPr="00EC20A0">
              <w:rPr>
                <w:sz w:val="18"/>
              </w:rPr>
              <w:t>app.</w:t>
            </w:r>
            <w:r w:rsidRPr="00EC20A0">
              <w:rPr>
                <w:spacing w:val="-3"/>
                <w:sz w:val="18"/>
              </w:rPr>
              <w:t xml:space="preserve"> </w:t>
            </w:r>
            <w:r w:rsidRPr="00EC20A0">
              <w:rPr>
                <w:sz w:val="18"/>
              </w:rPr>
              <w:t>D</w:t>
            </w:r>
            <w:r w:rsidRPr="00EC20A0">
              <w:rPr>
                <w:spacing w:val="-3"/>
                <w:sz w:val="18"/>
              </w:rPr>
              <w:t xml:space="preserve"> </w:t>
            </w:r>
            <w:r w:rsidRPr="00EC20A0">
              <w:rPr>
                <w:sz w:val="18"/>
              </w:rPr>
              <w:t>(step</w:t>
            </w:r>
            <w:r w:rsidRPr="00EC20A0">
              <w:rPr>
                <w:spacing w:val="-3"/>
                <w:sz w:val="18"/>
              </w:rPr>
              <w:t xml:space="preserve"> </w:t>
            </w:r>
            <w:r w:rsidRPr="00EC20A0">
              <w:rPr>
                <w:spacing w:val="-4"/>
                <w:sz w:val="18"/>
              </w:rPr>
              <w:t>I.F)</w:t>
            </w:r>
          </w:p>
        </w:tc>
      </w:tr>
      <w:tr w:rsidR="00245300" w:rsidRPr="00EC20A0" w14:paraId="24D60753" w14:textId="77777777">
        <w:trPr>
          <w:trHeight w:val="303"/>
        </w:trPr>
        <w:tc>
          <w:tcPr>
            <w:tcW w:w="647" w:type="dxa"/>
            <w:tcBorders>
              <w:top w:val="single" w:sz="4" w:space="0" w:color="000000"/>
              <w:bottom w:val="single" w:sz="4" w:space="0" w:color="000000"/>
              <w:right w:val="single" w:sz="4" w:space="0" w:color="000000"/>
            </w:tcBorders>
          </w:tcPr>
          <w:p w14:paraId="24D60747"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48"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49"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4A"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4B"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4C"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4D"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4E"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4F"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50"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51"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52" w14:textId="77777777" w:rsidR="00245300" w:rsidRPr="00EC20A0" w:rsidRDefault="00245300">
            <w:pPr>
              <w:pStyle w:val="TableParagraph"/>
              <w:rPr>
                <w:sz w:val="16"/>
              </w:rPr>
            </w:pPr>
          </w:p>
        </w:tc>
      </w:tr>
      <w:tr w:rsidR="00245300" w:rsidRPr="00EC20A0" w14:paraId="24D60760" w14:textId="77777777">
        <w:trPr>
          <w:trHeight w:val="304"/>
        </w:trPr>
        <w:tc>
          <w:tcPr>
            <w:tcW w:w="647" w:type="dxa"/>
            <w:tcBorders>
              <w:top w:val="single" w:sz="4" w:space="0" w:color="000000"/>
              <w:bottom w:val="single" w:sz="4" w:space="0" w:color="000000"/>
              <w:right w:val="single" w:sz="4" w:space="0" w:color="000000"/>
            </w:tcBorders>
          </w:tcPr>
          <w:p w14:paraId="24D60754"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55"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56"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57"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58"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59"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5A"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5B"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5C"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5D"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5E"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5F" w14:textId="77777777" w:rsidR="00245300" w:rsidRPr="00EC20A0" w:rsidRDefault="00245300">
            <w:pPr>
              <w:pStyle w:val="TableParagraph"/>
              <w:rPr>
                <w:sz w:val="16"/>
              </w:rPr>
            </w:pPr>
          </w:p>
        </w:tc>
      </w:tr>
      <w:tr w:rsidR="00245300" w:rsidRPr="00EC20A0" w14:paraId="24D6076D" w14:textId="77777777">
        <w:trPr>
          <w:trHeight w:val="304"/>
        </w:trPr>
        <w:tc>
          <w:tcPr>
            <w:tcW w:w="647" w:type="dxa"/>
            <w:tcBorders>
              <w:top w:val="single" w:sz="4" w:space="0" w:color="000000"/>
              <w:bottom w:val="single" w:sz="4" w:space="0" w:color="000000"/>
              <w:right w:val="single" w:sz="4" w:space="0" w:color="000000"/>
            </w:tcBorders>
          </w:tcPr>
          <w:p w14:paraId="24D60761"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62"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63"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64"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65"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66"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67"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68"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69"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6A"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6B"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6C" w14:textId="77777777" w:rsidR="00245300" w:rsidRPr="00EC20A0" w:rsidRDefault="00245300">
            <w:pPr>
              <w:pStyle w:val="TableParagraph"/>
              <w:rPr>
                <w:sz w:val="16"/>
              </w:rPr>
            </w:pPr>
          </w:p>
        </w:tc>
      </w:tr>
      <w:tr w:rsidR="00245300" w:rsidRPr="00EC20A0" w14:paraId="24D6076F" w14:textId="77777777">
        <w:trPr>
          <w:trHeight w:val="446"/>
        </w:trPr>
        <w:tc>
          <w:tcPr>
            <w:tcW w:w="13005" w:type="dxa"/>
            <w:gridSpan w:val="13"/>
            <w:tcBorders>
              <w:top w:val="single" w:sz="4" w:space="0" w:color="000000"/>
              <w:bottom w:val="single" w:sz="4" w:space="0" w:color="000000"/>
            </w:tcBorders>
          </w:tcPr>
          <w:p w14:paraId="24D6076E" w14:textId="77777777" w:rsidR="00245300" w:rsidRPr="00EC20A0" w:rsidRDefault="00F17249">
            <w:pPr>
              <w:pStyle w:val="TableParagraph"/>
              <w:spacing w:before="120"/>
              <w:ind w:left="96"/>
              <w:rPr>
                <w:sz w:val="18"/>
              </w:rPr>
            </w:pPr>
            <w:r w:rsidRPr="00EC20A0">
              <w:rPr>
                <w:sz w:val="18"/>
              </w:rPr>
              <w:t>Inventory</w:t>
            </w:r>
            <w:r w:rsidRPr="00EC20A0">
              <w:rPr>
                <w:spacing w:val="-5"/>
                <w:sz w:val="18"/>
              </w:rPr>
              <w:t xml:space="preserve"> </w:t>
            </w:r>
            <w:r w:rsidRPr="00EC20A0">
              <w:rPr>
                <w:sz w:val="18"/>
              </w:rPr>
              <w:t>of</w:t>
            </w:r>
            <w:r w:rsidRPr="00EC20A0">
              <w:rPr>
                <w:spacing w:val="-3"/>
                <w:sz w:val="18"/>
              </w:rPr>
              <w:t xml:space="preserve"> </w:t>
            </w:r>
            <w:r w:rsidRPr="00EC20A0">
              <w:rPr>
                <w:sz w:val="18"/>
              </w:rPr>
              <w:t>financial</w:t>
            </w:r>
            <w:r w:rsidRPr="00EC20A0">
              <w:rPr>
                <w:spacing w:val="-2"/>
                <w:sz w:val="18"/>
              </w:rPr>
              <w:t xml:space="preserve"> </w:t>
            </w:r>
            <w:r w:rsidRPr="00EC20A0">
              <w:rPr>
                <w:sz w:val="18"/>
              </w:rPr>
              <w:t>management</w:t>
            </w:r>
            <w:r w:rsidRPr="00EC20A0">
              <w:rPr>
                <w:spacing w:val="-3"/>
                <w:sz w:val="18"/>
              </w:rPr>
              <w:t xml:space="preserve"> </w:t>
            </w:r>
            <w:r w:rsidRPr="00EC20A0">
              <w:rPr>
                <w:sz w:val="18"/>
              </w:rPr>
              <w:t>systems,</w:t>
            </w:r>
            <w:r w:rsidRPr="00EC20A0">
              <w:rPr>
                <w:spacing w:val="-2"/>
                <w:sz w:val="18"/>
              </w:rPr>
              <w:t xml:space="preserve"> </w:t>
            </w:r>
            <w:r w:rsidRPr="00EC20A0">
              <w:rPr>
                <w:sz w:val="18"/>
              </w:rPr>
              <w:t>internal</w:t>
            </w:r>
            <w:r w:rsidRPr="00EC20A0">
              <w:rPr>
                <w:spacing w:val="-3"/>
                <w:sz w:val="18"/>
              </w:rPr>
              <w:t xml:space="preserve"> </w:t>
            </w:r>
            <w:r w:rsidRPr="00EC20A0">
              <w:rPr>
                <w:sz w:val="18"/>
              </w:rPr>
              <w:t>controls,</w:t>
            </w:r>
            <w:r w:rsidRPr="00EC20A0">
              <w:rPr>
                <w:spacing w:val="-2"/>
                <w:sz w:val="18"/>
              </w:rPr>
              <w:t xml:space="preserve"> </w:t>
            </w:r>
            <w:r w:rsidRPr="00EC20A0">
              <w:rPr>
                <w:sz w:val="18"/>
              </w:rPr>
              <w:t>and</w:t>
            </w:r>
            <w:r w:rsidRPr="00EC20A0">
              <w:rPr>
                <w:spacing w:val="-4"/>
                <w:sz w:val="18"/>
              </w:rPr>
              <w:t xml:space="preserve"> </w:t>
            </w:r>
            <w:r w:rsidRPr="00EC20A0">
              <w:rPr>
                <w:sz w:val="18"/>
              </w:rPr>
              <w:t>flow</w:t>
            </w:r>
            <w:r w:rsidRPr="00EC20A0">
              <w:rPr>
                <w:spacing w:val="-2"/>
                <w:sz w:val="18"/>
              </w:rPr>
              <w:t xml:space="preserve"> </w:t>
            </w:r>
            <w:r w:rsidRPr="00EC20A0">
              <w:rPr>
                <w:sz w:val="18"/>
              </w:rPr>
              <w:t>of</w:t>
            </w:r>
            <w:r w:rsidRPr="00EC20A0">
              <w:rPr>
                <w:spacing w:val="-3"/>
                <w:sz w:val="18"/>
              </w:rPr>
              <w:t xml:space="preserve"> </w:t>
            </w:r>
            <w:r w:rsidRPr="00EC20A0">
              <w:rPr>
                <w:sz w:val="18"/>
              </w:rPr>
              <w:t>information</w:t>
            </w:r>
            <w:r w:rsidRPr="00EC20A0">
              <w:rPr>
                <w:spacing w:val="-3"/>
                <w:sz w:val="18"/>
              </w:rPr>
              <w:t xml:space="preserve"> </w:t>
            </w:r>
            <w:r w:rsidRPr="00EC20A0">
              <w:rPr>
                <w:sz w:val="18"/>
              </w:rPr>
              <w:t>(step</w:t>
            </w:r>
            <w:r w:rsidRPr="00EC20A0">
              <w:rPr>
                <w:spacing w:val="-3"/>
                <w:sz w:val="18"/>
              </w:rPr>
              <w:t xml:space="preserve"> </w:t>
            </w:r>
            <w:r w:rsidRPr="00EC20A0">
              <w:rPr>
                <w:spacing w:val="-2"/>
                <w:sz w:val="18"/>
              </w:rPr>
              <w:t>II.A)</w:t>
            </w:r>
          </w:p>
        </w:tc>
      </w:tr>
      <w:tr w:rsidR="00245300" w:rsidRPr="00EC20A0" w14:paraId="24D6077C" w14:textId="77777777">
        <w:trPr>
          <w:trHeight w:val="304"/>
        </w:trPr>
        <w:tc>
          <w:tcPr>
            <w:tcW w:w="647" w:type="dxa"/>
            <w:tcBorders>
              <w:top w:val="single" w:sz="4" w:space="0" w:color="000000"/>
              <w:bottom w:val="single" w:sz="4" w:space="0" w:color="000000"/>
              <w:right w:val="single" w:sz="4" w:space="0" w:color="000000"/>
            </w:tcBorders>
          </w:tcPr>
          <w:p w14:paraId="24D60770"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71"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72"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73"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74"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75"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76"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77"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78"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79"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7A"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7B" w14:textId="77777777" w:rsidR="00245300" w:rsidRPr="00EC20A0" w:rsidRDefault="00245300">
            <w:pPr>
              <w:pStyle w:val="TableParagraph"/>
              <w:rPr>
                <w:sz w:val="16"/>
              </w:rPr>
            </w:pPr>
          </w:p>
        </w:tc>
      </w:tr>
      <w:tr w:rsidR="00245300" w:rsidRPr="00EC20A0" w14:paraId="24D60789" w14:textId="77777777">
        <w:trPr>
          <w:trHeight w:val="304"/>
        </w:trPr>
        <w:tc>
          <w:tcPr>
            <w:tcW w:w="647" w:type="dxa"/>
            <w:tcBorders>
              <w:top w:val="single" w:sz="4" w:space="0" w:color="000000"/>
              <w:bottom w:val="single" w:sz="4" w:space="0" w:color="000000"/>
              <w:right w:val="single" w:sz="4" w:space="0" w:color="000000"/>
            </w:tcBorders>
          </w:tcPr>
          <w:p w14:paraId="24D6077D"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7E"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7F"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80"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81"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82"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83"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84"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85"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86"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87"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88" w14:textId="77777777" w:rsidR="00245300" w:rsidRPr="00EC20A0" w:rsidRDefault="00245300">
            <w:pPr>
              <w:pStyle w:val="TableParagraph"/>
              <w:rPr>
                <w:sz w:val="16"/>
              </w:rPr>
            </w:pPr>
          </w:p>
        </w:tc>
      </w:tr>
      <w:tr w:rsidR="00245300" w:rsidRPr="00EC20A0" w14:paraId="24D60796" w14:textId="77777777">
        <w:trPr>
          <w:trHeight w:val="303"/>
        </w:trPr>
        <w:tc>
          <w:tcPr>
            <w:tcW w:w="647" w:type="dxa"/>
            <w:tcBorders>
              <w:top w:val="single" w:sz="4" w:space="0" w:color="000000"/>
              <w:bottom w:val="single" w:sz="4" w:space="0" w:color="000000"/>
              <w:right w:val="single" w:sz="4" w:space="0" w:color="000000"/>
            </w:tcBorders>
          </w:tcPr>
          <w:p w14:paraId="24D6078A"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8B"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8C"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8D"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8E"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8F"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90"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91"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92"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93"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94"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95" w14:textId="77777777" w:rsidR="00245300" w:rsidRPr="00EC20A0" w:rsidRDefault="00245300">
            <w:pPr>
              <w:pStyle w:val="TableParagraph"/>
              <w:rPr>
                <w:sz w:val="16"/>
              </w:rPr>
            </w:pPr>
          </w:p>
        </w:tc>
      </w:tr>
      <w:tr w:rsidR="00245300" w:rsidRPr="00EC20A0" w14:paraId="24D60798" w14:textId="77777777">
        <w:trPr>
          <w:trHeight w:val="447"/>
        </w:trPr>
        <w:tc>
          <w:tcPr>
            <w:tcW w:w="13005" w:type="dxa"/>
            <w:gridSpan w:val="13"/>
            <w:tcBorders>
              <w:top w:val="single" w:sz="4" w:space="0" w:color="000000"/>
              <w:bottom w:val="single" w:sz="4" w:space="0" w:color="000000"/>
            </w:tcBorders>
          </w:tcPr>
          <w:p w14:paraId="24D60797" w14:textId="77777777" w:rsidR="00245300" w:rsidRPr="00EC20A0" w:rsidRDefault="00F17249">
            <w:pPr>
              <w:pStyle w:val="TableParagraph"/>
              <w:spacing w:before="121"/>
              <w:ind w:left="96"/>
              <w:rPr>
                <w:sz w:val="18"/>
              </w:rPr>
            </w:pPr>
            <w:r w:rsidRPr="00EC20A0">
              <w:rPr>
                <w:sz w:val="18"/>
              </w:rPr>
              <w:t>Financial</w:t>
            </w:r>
            <w:r w:rsidRPr="00EC20A0">
              <w:rPr>
                <w:spacing w:val="-5"/>
                <w:sz w:val="18"/>
              </w:rPr>
              <w:t xml:space="preserve"> </w:t>
            </w:r>
            <w:r w:rsidRPr="00EC20A0">
              <w:rPr>
                <w:sz w:val="18"/>
              </w:rPr>
              <w:t>management</w:t>
            </w:r>
            <w:r w:rsidRPr="00EC20A0">
              <w:rPr>
                <w:spacing w:val="-2"/>
                <w:sz w:val="18"/>
              </w:rPr>
              <w:t xml:space="preserve"> </w:t>
            </w:r>
            <w:r w:rsidRPr="00EC20A0">
              <w:rPr>
                <w:sz w:val="18"/>
              </w:rPr>
              <w:t>systems</w:t>
            </w:r>
            <w:r w:rsidRPr="00EC20A0">
              <w:rPr>
                <w:spacing w:val="-2"/>
                <w:sz w:val="18"/>
              </w:rPr>
              <w:t xml:space="preserve"> </w:t>
            </w:r>
            <w:r w:rsidRPr="00EC20A0">
              <w:rPr>
                <w:sz w:val="18"/>
              </w:rPr>
              <w:t>conform</w:t>
            </w:r>
            <w:r w:rsidRPr="00EC20A0">
              <w:rPr>
                <w:spacing w:val="-3"/>
                <w:sz w:val="18"/>
              </w:rPr>
              <w:t xml:space="preserve"> </w:t>
            </w:r>
            <w:r w:rsidRPr="00EC20A0">
              <w:rPr>
                <w:sz w:val="18"/>
              </w:rPr>
              <w:t>to</w:t>
            </w:r>
            <w:r w:rsidRPr="00EC20A0">
              <w:rPr>
                <w:spacing w:val="-3"/>
                <w:sz w:val="18"/>
              </w:rPr>
              <w:t xml:space="preserve"> </w:t>
            </w:r>
            <w:r w:rsidRPr="00EC20A0">
              <w:rPr>
                <w:sz w:val="18"/>
              </w:rPr>
              <w:t>systems</w:t>
            </w:r>
            <w:r w:rsidRPr="00EC20A0">
              <w:rPr>
                <w:spacing w:val="-2"/>
                <w:sz w:val="18"/>
              </w:rPr>
              <w:t xml:space="preserve"> </w:t>
            </w:r>
            <w:r w:rsidRPr="00EC20A0">
              <w:rPr>
                <w:sz w:val="18"/>
              </w:rPr>
              <w:t>requirements</w:t>
            </w:r>
            <w:r w:rsidRPr="00EC20A0">
              <w:rPr>
                <w:spacing w:val="-2"/>
                <w:sz w:val="18"/>
              </w:rPr>
              <w:t xml:space="preserve"> </w:t>
            </w:r>
            <w:r w:rsidRPr="00EC20A0">
              <w:rPr>
                <w:sz w:val="18"/>
              </w:rPr>
              <w:t>in</w:t>
            </w:r>
            <w:r w:rsidRPr="00EC20A0">
              <w:rPr>
                <w:spacing w:val="-4"/>
                <w:sz w:val="18"/>
              </w:rPr>
              <w:t xml:space="preserve"> </w:t>
            </w:r>
            <w:r w:rsidRPr="00EC20A0">
              <w:rPr>
                <w:sz w:val="18"/>
              </w:rPr>
              <w:t>the</w:t>
            </w:r>
            <w:r w:rsidRPr="00EC20A0">
              <w:rPr>
                <w:spacing w:val="-3"/>
                <w:sz w:val="18"/>
              </w:rPr>
              <w:t xml:space="preserve"> </w:t>
            </w:r>
            <w:r w:rsidRPr="00EC20A0">
              <w:rPr>
                <w:sz w:val="18"/>
              </w:rPr>
              <w:t>TFM</w:t>
            </w:r>
            <w:r w:rsidRPr="00EC20A0">
              <w:rPr>
                <w:spacing w:val="-2"/>
                <w:sz w:val="18"/>
              </w:rPr>
              <w:t xml:space="preserve"> </w:t>
            </w:r>
            <w:r w:rsidRPr="00EC20A0">
              <w:rPr>
                <w:sz w:val="18"/>
              </w:rPr>
              <w:t>(step</w:t>
            </w:r>
            <w:r w:rsidRPr="00EC20A0">
              <w:rPr>
                <w:spacing w:val="-3"/>
                <w:sz w:val="18"/>
              </w:rPr>
              <w:t xml:space="preserve"> </w:t>
            </w:r>
            <w:r w:rsidRPr="00EC20A0">
              <w:rPr>
                <w:spacing w:val="-2"/>
                <w:sz w:val="18"/>
              </w:rPr>
              <w:t>II.B)</w:t>
            </w:r>
          </w:p>
        </w:tc>
      </w:tr>
      <w:tr w:rsidR="00245300" w:rsidRPr="00EC20A0" w14:paraId="24D607A5" w14:textId="77777777">
        <w:trPr>
          <w:trHeight w:val="304"/>
        </w:trPr>
        <w:tc>
          <w:tcPr>
            <w:tcW w:w="647" w:type="dxa"/>
            <w:tcBorders>
              <w:top w:val="single" w:sz="4" w:space="0" w:color="000000"/>
              <w:bottom w:val="single" w:sz="4" w:space="0" w:color="000000"/>
              <w:right w:val="single" w:sz="4" w:space="0" w:color="000000"/>
            </w:tcBorders>
          </w:tcPr>
          <w:p w14:paraId="24D60799"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9A"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9B"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9C"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9D"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9E"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9F"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A0"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A1"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A2"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A3"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A4" w14:textId="77777777" w:rsidR="00245300" w:rsidRPr="00EC20A0" w:rsidRDefault="00245300">
            <w:pPr>
              <w:pStyle w:val="TableParagraph"/>
              <w:rPr>
                <w:sz w:val="16"/>
              </w:rPr>
            </w:pPr>
          </w:p>
        </w:tc>
      </w:tr>
      <w:tr w:rsidR="00245300" w:rsidRPr="00EC20A0" w14:paraId="24D607B2" w14:textId="77777777">
        <w:trPr>
          <w:trHeight w:val="303"/>
        </w:trPr>
        <w:tc>
          <w:tcPr>
            <w:tcW w:w="647" w:type="dxa"/>
            <w:tcBorders>
              <w:top w:val="single" w:sz="4" w:space="0" w:color="000000"/>
              <w:bottom w:val="single" w:sz="4" w:space="0" w:color="000000"/>
              <w:right w:val="single" w:sz="4" w:space="0" w:color="000000"/>
            </w:tcBorders>
          </w:tcPr>
          <w:p w14:paraId="24D607A6"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A7"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A8"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A9"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AA"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AB"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AC"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AD"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AE"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AF"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B0"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B1" w14:textId="77777777" w:rsidR="00245300" w:rsidRPr="00EC20A0" w:rsidRDefault="00245300">
            <w:pPr>
              <w:pStyle w:val="TableParagraph"/>
              <w:rPr>
                <w:sz w:val="16"/>
              </w:rPr>
            </w:pPr>
          </w:p>
        </w:tc>
      </w:tr>
      <w:tr w:rsidR="00245300" w:rsidRPr="00EC20A0" w14:paraId="24D607BF" w14:textId="77777777">
        <w:trPr>
          <w:trHeight w:val="304"/>
        </w:trPr>
        <w:tc>
          <w:tcPr>
            <w:tcW w:w="647" w:type="dxa"/>
            <w:tcBorders>
              <w:top w:val="single" w:sz="4" w:space="0" w:color="000000"/>
              <w:bottom w:val="single" w:sz="4" w:space="0" w:color="000000"/>
              <w:right w:val="single" w:sz="4" w:space="0" w:color="000000"/>
            </w:tcBorders>
          </w:tcPr>
          <w:p w14:paraId="24D607B3"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B4"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B5"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B6"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B7"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7B8"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7B9"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7BA"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7BB"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7BC"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7BD"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7BE" w14:textId="77777777" w:rsidR="00245300" w:rsidRPr="00EC20A0" w:rsidRDefault="00245300">
            <w:pPr>
              <w:pStyle w:val="TableParagraph"/>
              <w:rPr>
                <w:sz w:val="16"/>
              </w:rPr>
            </w:pPr>
          </w:p>
        </w:tc>
      </w:tr>
      <w:tr w:rsidR="00245300" w:rsidRPr="00EC20A0" w14:paraId="24D607C1" w14:textId="77777777">
        <w:trPr>
          <w:trHeight w:val="447"/>
        </w:trPr>
        <w:tc>
          <w:tcPr>
            <w:tcW w:w="13005" w:type="dxa"/>
            <w:gridSpan w:val="13"/>
            <w:tcBorders>
              <w:top w:val="single" w:sz="4" w:space="0" w:color="000000"/>
              <w:bottom w:val="single" w:sz="4" w:space="0" w:color="000000"/>
            </w:tcBorders>
          </w:tcPr>
          <w:p w14:paraId="24D607C0" w14:textId="77777777" w:rsidR="00245300" w:rsidRPr="00EC20A0" w:rsidRDefault="00245300">
            <w:pPr>
              <w:pStyle w:val="TableParagraph"/>
              <w:rPr>
                <w:sz w:val="16"/>
              </w:rPr>
            </w:pPr>
          </w:p>
        </w:tc>
      </w:tr>
    </w:tbl>
    <w:p w14:paraId="24D607C2" w14:textId="77777777" w:rsidR="00245300" w:rsidRPr="00EC20A0" w:rsidRDefault="00245300">
      <w:pPr>
        <w:rPr>
          <w:sz w:val="16"/>
        </w:rPr>
        <w:sectPr w:rsidR="00245300" w:rsidRPr="00EC20A0">
          <w:type w:val="continuous"/>
          <w:pgSz w:w="15840" w:h="12240" w:orient="landscape"/>
          <w:pgMar w:top="1440" w:right="1480" w:bottom="1110" w:left="980" w:header="720" w:footer="757" w:gutter="0"/>
          <w:cols w:space="720"/>
        </w:sectPr>
      </w:pPr>
    </w:p>
    <w:tbl>
      <w:tblPr>
        <w:tblW w:w="0" w:type="auto"/>
        <w:tblInd w:w="26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47"/>
        <w:gridCol w:w="1005"/>
        <w:gridCol w:w="455"/>
        <w:gridCol w:w="839"/>
        <w:gridCol w:w="973"/>
        <w:gridCol w:w="2727"/>
        <w:gridCol w:w="262"/>
        <w:gridCol w:w="983"/>
        <w:gridCol w:w="1074"/>
        <w:gridCol w:w="493"/>
        <w:gridCol w:w="1077"/>
        <w:gridCol w:w="607"/>
        <w:gridCol w:w="1863"/>
      </w:tblGrid>
      <w:tr w:rsidR="00245300" w:rsidRPr="00EC20A0" w14:paraId="24D607C6" w14:textId="77777777">
        <w:trPr>
          <w:trHeight w:val="295"/>
        </w:trPr>
        <w:tc>
          <w:tcPr>
            <w:tcW w:w="6646" w:type="dxa"/>
            <w:gridSpan w:val="6"/>
            <w:tcBorders>
              <w:bottom w:val="nil"/>
              <w:right w:val="nil"/>
            </w:tcBorders>
          </w:tcPr>
          <w:p w14:paraId="24D607C3" w14:textId="77777777" w:rsidR="00245300" w:rsidRPr="00EC20A0" w:rsidRDefault="00F17249">
            <w:pPr>
              <w:pStyle w:val="TableParagraph"/>
              <w:spacing w:before="60"/>
              <w:ind w:left="96"/>
              <w:rPr>
                <w:sz w:val="16"/>
              </w:rPr>
            </w:pPr>
            <w:r w:rsidRPr="00EC20A0">
              <w:rPr>
                <w:sz w:val="16"/>
              </w:rPr>
              <w:t>Source</w:t>
            </w:r>
            <w:r w:rsidRPr="00EC20A0">
              <w:rPr>
                <w:spacing w:val="-8"/>
                <w:sz w:val="16"/>
              </w:rPr>
              <w:t xml:space="preserve"> </w:t>
            </w:r>
            <w:r w:rsidRPr="00EC20A0">
              <w:rPr>
                <w:sz w:val="16"/>
              </w:rPr>
              <w:t>of</w:t>
            </w:r>
            <w:r w:rsidRPr="00EC20A0">
              <w:rPr>
                <w:spacing w:val="-7"/>
                <w:sz w:val="16"/>
              </w:rPr>
              <w:t xml:space="preserve"> </w:t>
            </w:r>
            <w:r w:rsidRPr="00EC20A0">
              <w:rPr>
                <w:sz w:val="16"/>
              </w:rPr>
              <w:t>information</w:t>
            </w:r>
            <w:r w:rsidRPr="00EC20A0">
              <w:rPr>
                <w:spacing w:val="-8"/>
                <w:sz w:val="16"/>
              </w:rPr>
              <w:t xml:space="preserve"> </w:t>
            </w:r>
            <w:r w:rsidRPr="00EC20A0">
              <w:rPr>
                <w:sz w:val="16"/>
              </w:rPr>
              <w:t>used</w:t>
            </w:r>
            <w:r w:rsidRPr="00EC20A0">
              <w:rPr>
                <w:spacing w:val="-7"/>
                <w:sz w:val="16"/>
              </w:rPr>
              <w:t xml:space="preserve"> </w:t>
            </w:r>
            <w:r w:rsidRPr="00EC20A0">
              <w:rPr>
                <w:sz w:val="16"/>
              </w:rPr>
              <w:t>in</w:t>
            </w:r>
            <w:r w:rsidRPr="00EC20A0">
              <w:rPr>
                <w:spacing w:val="-7"/>
                <w:sz w:val="16"/>
              </w:rPr>
              <w:t xml:space="preserve"> </w:t>
            </w:r>
            <w:r w:rsidRPr="00EC20A0">
              <w:rPr>
                <w:sz w:val="16"/>
              </w:rPr>
              <w:t>identifying</w:t>
            </w:r>
            <w:r w:rsidRPr="00EC20A0">
              <w:rPr>
                <w:spacing w:val="-8"/>
                <w:sz w:val="16"/>
              </w:rPr>
              <w:t xml:space="preserve"> </w:t>
            </w:r>
            <w:r w:rsidRPr="00EC20A0">
              <w:rPr>
                <w:sz w:val="16"/>
              </w:rPr>
              <w:t>deficiencies</w:t>
            </w:r>
            <w:r w:rsidRPr="00EC20A0">
              <w:rPr>
                <w:spacing w:val="-6"/>
                <w:sz w:val="16"/>
              </w:rPr>
              <w:t xml:space="preserve"> </w:t>
            </w:r>
            <w:r w:rsidRPr="00EC20A0">
              <w:rPr>
                <w:sz w:val="16"/>
              </w:rPr>
              <w:t>in</w:t>
            </w:r>
            <w:r w:rsidRPr="00EC20A0">
              <w:rPr>
                <w:spacing w:val="-8"/>
                <w:sz w:val="16"/>
              </w:rPr>
              <w:t xml:space="preserve"> </w:t>
            </w:r>
            <w:r w:rsidRPr="00EC20A0">
              <w:rPr>
                <w:sz w:val="16"/>
              </w:rPr>
              <w:t>entity</w:t>
            </w:r>
            <w:r w:rsidRPr="00EC20A0">
              <w:rPr>
                <w:spacing w:val="-6"/>
                <w:sz w:val="16"/>
              </w:rPr>
              <w:t xml:space="preserve"> </w:t>
            </w:r>
            <w:r w:rsidRPr="00EC20A0">
              <w:rPr>
                <w:spacing w:val="-2"/>
                <w:sz w:val="16"/>
              </w:rPr>
              <w:t>systems</w:t>
            </w:r>
          </w:p>
        </w:tc>
        <w:tc>
          <w:tcPr>
            <w:tcW w:w="262" w:type="dxa"/>
            <w:vMerge w:val="restart"/>
            <w:tcBorders>
              <w:left w:val="nil"/>
              <w:right w:val="single" w:sz="4" w:space="0" w:color="000000"/>
            </w:tcBorders>
          </w:tcPr>
          <w:p w14:paraId="24D607C4" w14:textId="77777777" w:rsidR="00245300" w:rsidRPr="00EC20A0" w:rsidRDefault="00245300">
            <w:pPr>
              <w:pStyle w:val="TableParagraph"/>
              <w:rPr>
                <w:sz w:val="16"/>
              </w:rPr>
            </w:pPr>
          </w:p>
        </w:tc>
        <w:tc>
          <w:tcPr>
            <w:tcW w:w="6097" w:type="dxa"/>
            <w:gridSpan w:val="6"/>
            <w:tcBorders>
              <w:left w:val="single" w:sz="4" w:space="0" w:color="000000"/>
              <w:bottom w:val="nil"/>
            </w:tcBorders>
          </w:tcPr>
          <w:p w14:paraId="24D607C5" w14:textId="77777777" w:rsidR="00245300" w:rsidRPr="00EC20A0" w:rsidRDefault="00F17249">
            <w:pPr>
              <w:pStyle w:val="TableParagraph"/>
              <w:spacing w:before="60"/>
              <w:ind w:left="108"/>
              <w:rPr>
                <w:sz w:val="16"/>
              </w:rPr>
            </w:pPr>
            <w:r w:rsidRPr="00EC20A0">
              <w:rPr>
                <w:sz w:val="16"/>
              </w:rPr>
              <w:t>Effect</w:t>
            </w:r>
            <w:r w:rsidRPr="00EC20A0">
              <w:rPr>
                <w:spacing w:val="-6"/>
                <w:sz w:val="16"/>
              </w:rPr>
              <w:t xml:space="preserve"> </w:t>
            </w:r>
            <w:r w:rsidRPr="00EC20A0">
              <w:rPr>
                <w:sz w:val="16"/>
              </w:rPr>
              <w:t>of</w:t>
            </w:r>
            <w:r w:rsidRPr="00EC20A0">
              <w:rPr>
                <w:spacing w:val="-5"/>
                <w:sz w:val="16"/>
              </w:rPr>
              <w:t xml:space="preserve"> </w:t>
            </w:r>
            <w:r w:rsidRPr="00EC20A0">
              <w:rPr>
                <w:sz w:val="16"/>
              </w:rPr>
              <w:t>systems’</w:t>
            </w:r>
            <w:r w:rsidRPr="00EC20A0">
              <w:rPr>
                <w:spacing w:val="-4"/>
                <w:sz w:val="16"/>
              </w:rPr>
              <w:t xml:space="preserve"> </w:t>
            </w:r>
            <w:r w:rsidRPr="00EC20A0">
              <w:rPr>
                <w:spacing w:val="-2"/>
                <w:sz w:val="16"/>
              </w:rPr>
              <w:t>noncompliance</w:t>
            </w:r>
          </w:p>
        </w:tc>
      </w:tr>
      <w:tr w:rsidR="00245300" w:rsidRPr="00EC20A0" w14:paraId="24D607CC" w14:textId="77777777">
        <w:trPr>
          <w:trHeight w:val="283"/>
        </w:trPr>
        <w:tc>
          <w:tcPr>
            <w:tcW w:w="647" w:type="dxa"/>
            <w:vMerge w:val="restart"/>
            <w:tcBorders>
              <w:top w:val="nil"/>
              <w:right w:val="single" w:sz="4" w:space="0" w:color="000000"/>
            </w:tcBorders>
          </w:tcPr>
          <w:p w14:paraId="24D607C7" w14:textId="77777777" w:rsidR="00245300" w:rsidRPr="00EC20A0" w:rsidRDefault="00245300">
            <w:pPr>
              <w:pStyle w:val="TableParagraph"/>
              <w:rPr>
                <w:sz w:val="16"/>
              </w:rPr>
            </w:pPr>
          </w:p>
        </w:tc>
        <w:tc>
          <w:tcPr>
            <w:tcW w:w="5999" w:type="dxa"/>
            <w:gridSpan w:val="5"/>
            <w:tcBorders>
              <w:top w:val="single" w:sz="4" w:space="0" w:color="000000"/>
              <w:left w:val="single" w:sz="4" w:space="0" w:color="000000"/>
              <w:bottom w:val="nil"/>
              <w:right w:val="nil"/>
            </w:tcBorders>
          </w:tcPr>
          <w:p w14:paraId="24D607C8" w14:textId="77777777" w:rsidR="00245300" w:rsidRPr="00EC20A0" w:rsidRDefault="00F17249">
            <w:pPr>
              <w:pStyle w:val="TableParagraph"/>
              <w:spacing w:before="49"/>
              <w:ind w:left="107"/>
              <w:rPr>
                <w:sz w:val="16"/>
              </w:rPr>
            </w:pPr>
            <w:r w:rsidRPr="00EC20A0">
              <w:rPr>
                <w:sz w:val="16"/>
              </w:rPr>
              <w:t>Nature</w:t>
            </w:r>
            <w:r w:rsidRPr="00EC20A0">
              <w:rPr>
                <w:spacing w:val="-6"/>
                <w:sz w:val="16"/>
              </w:rPr>
              <w:t xml:space="preserve"> </w:t>
            </w:r>
            <w:r w:rsidRPr="00EC20A0">
              <w:rPr>
                <w:sz w:val="16"/>
              </w:rPr>
              <w:t>and</w:t>
            </w:r>
            <w:r w:rsidRPr="00EC20A0">
              <w:rPr>
                <w:spacing w:val="-5"/>
                <w:sz w:val="16"/>
              </w:rPr>
              <w:t xml:space="preserve"> </w:t>
            </w:r>
            <w:r w:rsidRPr="00EC20A0">
              <w:rPr>
                <w:sz w:val="16"/>
              </w:rPr>
              <w:t>extent</w:t>
            </w:r>
            <w:r w:rsidRPr="00EC20A0">
              <w:rPr>
                <w:spacing w:val="-5"/>
                <w:sz w:val="16"/>
              </w:rPr>
              <w:t xml:space="preserve"> </w:t>
            </w:r>
            <w:r w:rsidRPr="00EC20A0">
              <w:rPr>
                <w:sz w:val="16"/>
              </w:rPr>
              <w:t>of</w:t>
            </w:r>
            <w:r w:rsidRPr="00EC20A0">
              <w:rPr>
                <w:spacing w:val="-6"/>
                <w:sz w:val="16"/>
              </w:rPr>
              <w:t xml:space="preserve"> </w:t>
            </w:r>
            <w:r w:rsidRPr="00EC20A0">
              <w:rPr>
                <w:sz w:val="16"/>
              </w:rPr>
              <w:t>systems’</w:t>
            </w:r>
            <w:r w:rsidRPr="00EC20A0">
              <w:rPr>
                <w:spacing w:val="-4"/>
                <w:sz w:val="16"/>
              </w:rPr>
              <w:t xml:space="preserve"> </w:t>
            </w:r>
            <w:r w:rsidRPr="00EC20A0">
              <w:rPr>
                <w:spacing w:val="-2"/>
                <w:sz w:val="16"/>
              </w:rPr>
              <w:t>noncompliance</w:t>
            </w:r>
          </w:p>
        </w:tc>
        <w:tc>
          <w:tcPr>
            <w:tcW w:w="262" w:type="dxa"/>
            <w:vMerge/>
            <w:tcBorders>
              <w:top w:val="nil"/>
              <w:left w:val="nil"/>
              <w:right w:val="single" w:sz="4" w:space="0" w:color="000000"/>
            </w:tcBorders>
          </w:tcPr>
          <w:p w14:paraId="24D607C9" w14:textId="77777777" w:rsidR="00245300" w:rsidRPr="00EC20A0" w:rsidRDefault="00245300">
            <w:pPr>
              <w:rPr>
                <w:sz w:val="2"/>
                <w:szCs w:val="2"/>
              </w:rPr>
            </w:pPr>
          </w:p>
        </w:tc>
        <w:tc>
          <w:tcPr>
            <w:tcW w:w="983" w:type="dxa"/>
            <w:vMerge w:val="restart"/>
            <w:tcBorders>
              <w:top w:val="nil"/>
              <w:left w:val="single" w:sz="4" w:space="0" w:color="000000"/>
              <w:right w:val="single" w:sz="4" w:space="0" w:color="000000"/>
            </w:tcBorders>
          </w:tcPr>
          <w:p w14:paraId="24D607CA" w14:textId="77777777" w:rsidR="00245300" w:rsidRPr="00EC20A0" w:rsidRDefault="00245300">
            <w:pPr>
              <w:pStyle w:val="TableParagraph"/>
              <w:rPr>
                <w:sz w:val="16"/>
              </w:rPr>
            </w:pPr>
          </w:p>
        </w:tc>
        <w:tc>
          <w:tcPr>
            <w:tcW w:w="5114" w:type="dxa"/>
            <w:gridSpan w:val="5"/>
            <w:tcBorders>
              <w:top w:val="single" w:sz="4" w:space="0" w:color="000000"/>
              <w:left w:val="single" w:sz="4" w:space="0" w:color="000000"/>
              <w:bottom w:val="nil"/>
            </w:tcBorders>
          </w:tcPr>
          <w:p w14:paraId="24D607CB" w14:textId="77777777" w:rsidR="00245300" w:rsidRPr="00EC20A0" w:rsidRDefault="00F17249">
            <w:pPr>
              <w:pStyle w:val="TableParagraph"/>
              <w:spacing w:before="49"/>
              <w:ind w:left="109"/>
              <w:rPr>
                <w:sz w:val="16"/>
              </w:rPr>
            </w:pPr>
            <w:r w:rsidRPr="00EC20A0">
              <w:rPr>
                <w:sz w:val="16"/>
              </w:rPr>
              <w:t>Agency</w:t>
            </w:r>
            <w:r w:rsidRPr="00EC20A0">
              <w:rPr>
                <w:spacing w:val="-6"/>
                <w:sz w:val="16"/>
              </w:rPr>
              <w:t xml:space="preserve"> </w:t>
            </w:r>
            <w:r w:rsidRPr="00EC20A0">
              <w:rPr>
                <w:sz w:val="16"/>
              </w:rPr>
              <w:t>comments</w:t>
            </w:r>
            <w:r w:rsidRPr="00EC20A0">
              <w:rPr>
                <w:spacing w:val="-5"/>
                <w:sz w:val="16"/>
              </w:rPr>
              <w:t xml:space="preserve"> </w:t>
            </w:r>
            <w:r w:rsidRPr="00EC20A0">
              <w:rPr>
                <w:sz w:val="16"/>
              </w:rPr>
              <w:t>on</w:t>
            </w:r>
            <w:r w:rsidRPr="00EC20A0">
              <w:rPr>
                <w:spacing w:val="-7"/>
                <w:sz w:val="16"/>
              </w:rPr>
              <w:t xml:space="preserve"> </w:t>
            </w:r>
            <w:r w:rsidRPr="00EC20A0">
              <w:rPr>
                <w:sz w:val="16"/>
              </w:rPr>
              <w:t>systems’</w:t>
            </w:r>
            <w:r w:rsidRPr="00EC20A0">
              <w:rPr>
                <w:spacing w:val="-5"/>
                <w:sz w:val="16"/>
              </w:rPr>
              <w:t xml:space="preserve"> </w:t>
            </w:r>
            <w:r w:rsidRPr="00EC20A0">
              <w:rPr>
                <w:spacing w:val="-2"/>
                <w:sz w:val="16"/>
              </w:rPr>
              <w:t>noncompliance</w:t>
            </w:r>
          </w:p>
        </w:tc>
      </w:tr>
      <w:tr w:rsidR="00245300" w:rsidRPr="00EC20A0" w14:paraId="24D607D4" w14:textId="77777777">
        <w:trPr>
          <w:trHeight w:val="284"/>
        </w:trPr>
        <w:tc>
          <w:tcPr>
            <w:tcW w:w="647" w:type="dxa"/>
            <w:vMerge/>
            <w:tcBorders>
              <w:top w:val="nil"/>
              <w:right w:val="single" w:sz="4" w:space="0" w:color="000000"/>
            </w:tcBorders>
          </w:tcPr>
          <w:p w14:paraId="24D607CD" w14:textId="77777777" w:rsidR="00245300" w:rsidRPr="00EC20A0" w:rsidRDefault="00245300">
            <w:pPr>
              <w:rPr>
                <w:sz w:val="2"/>
                <w:szCs w:val="2"/>
              </w:rPr>
            </w:pPr>
          </w:p>
        </w:tc>
        <w:tc>
          <w:tcPr>
            <w:tcW w:w="1005" w:type="dxa"/>
            <w:vMerge w:val="restart"/>
            <w:tcBorders>
              <w:top w:val="nil"/>
              <w:left w:val="single" w:sz="4" w:space="0" w:color="000000"/>
              <w:right w:val="single" w:sz="4" w:space="0" w:color="000000"/>
            </w:tcBorders>
          </w:tcPr>
          <w:p w14:paraId="24D607CE" w14:textId="77777777" w:rsidR="00245300" w:rsidRPr="00EC20A0" w:rsidRDefault="00245300">
            <w:pPr>
              <w:pStyle w:val="TableParagraph"/>
              <w:rPr>
                <w:sz w:val="16"/>
              </w:rPr>
            </w:pPr>
          </w:p>
        </w:tc>
        <w:tc>
          <w:tcPr>
            <w:tcW w:w="4994" w:type="dxa"/>
            <w:gridSpan w:val="4"/>
            <w:tcBorders>
              <w:top w:val="single" w:sz="4" w:space="0" w:color="000000"/>
              <w:left w:val="single" w:sz="4" w:space="0" w:color="000000"/>
              <w:bottom w:val="nil"/>
              <w:right w:val="nil"/>
            </w:tcBorders>
          </w:tcPr>
          <w:p w14:paraId="24D607CF" w14:textId="77777777" w:rsidR="00245300" w:rsidRPr="00EC20A0" w:rsidRDefault="00F17249">
            <w:pPr>
              <w:pStyle w:val="TableParagraph"/>
              <w:spacing w:before="51"/>
              <w:ind w:left="106"/>
              <w:rPr>
                <w:sz w:val="16"/>
              </w:rPr>
            </w:pPr>
            <w:r w:rsidRPr="00EC20A0">
              <w:rPr>
                <w:sz w:val="16"/>
              </w:rPr>
              <w:t>Substantial</w:t>
            </w:r>
            <w:r w:rsidRPr="00EC20A0">
              <w:rPr>
                <w:spacing w:val="-6"/>
                <w:sz w:val="16"/>
              </w:rPr>
              <w:t xml:space="preserve"> </w:t>
            </w:r>
            <w:r w:rsidRPr="00EC20A0">
              <w:rPr>
                <w:sz w:val="16"/>
              </w:rPr>
              <w:t>but</w:t>
            </w:r>
            <w:r w:rsidRPr="00EC20A0">
              <w:rPr>
                <w:spacing w:val="-6"/>
                <w:sz w:val="16"/>
              </w:rPr>
              <w:t xml:space="preserve"> </w:t>
            </w:r>
            <w:r w:rsidRPr="00EC20A0">
              <w:rPr>
                <w:sz w:val="16"/>
              </w:rPr>
              <w:t>not</w:t>
            </w:r>
            <w:r w:rsidRPr="00EC20A0">
              <w:rPr>
                <w:spacing w:val="-6"/>
                <w:sz w:val="16"/>
              </w:rPr>
              <w:t xml:space="preserve"> </w:t>
            </w:r>
            <w:r w:rsidRPr="00EC20A0">
              <w:rPr>
                <w:sz w:val="16"/>
              </w:rPr>
              <w:t>full</w:t>
            </w:r>
            <w:r w:rsidRPr="00EC20A0">
              <w:rPr>
                <w:spacing w:val="-6"/>
                <w:sz w:val="16"/>
              </w:rPr>
              <w:t xml:space="preserve"> </w:t>
            </w:r>
            <w:r w:rsidRPr="00EC20A0">
              <w:rPr>
                <w:sz w:val="16"/>
              </w:rPr>
              <w:t>compliance?</w:t>
            </w:r>
            <w:r w:rsidRPr="00EC20A0">
              <w:rPr>
                <w:spacing w:val="-6"/>
                <w:sz w:val="16"/>
              </w:rPr>
              <w:t xml:space="preserve"> </w:t>
            </w:r>
            <w:r w:rsidRPr="00EC20A0">
              <w:rPr>
                <w:sz w:val="16"/>
              </w:rPr>
              <w:t>(Y</w:t>
            </w:r>
            <w:r w:rsidRPr="00EC20A0">
              <w:rPr>
                <w:spacing w:val="-6"/>
                <w:sz w:val="16"/>
              </w:rPr>
              <w:t xml:space="preserve"> </w:t>
            </w:r>
            <w:r w:rsidRPr="00EC20A0">
              <w:rPr>
                <w:sz w:val="16"/>
              </w:rPr>
              <w:t>or</w:t>
            </w:r>
            <w:r w:rsidRPr="00EC20A0">
              <w:rPr>
                <w:spacing w:val="-5"/>
                <w:sz w:val="16"/>
              </w:rPr>
              <w:t xml:space="preserve"> N)</w:t>
            </w:r>
          </w:p>
        </w:tc>
        <w:tc>
          <w:tcPr>
            <w:tcW w:w="262" w:type="dxa"/>
            <w:vMerge/>
            <w:tcBorders>
              <w:top w:val="nil"/>
              <w:left w:val="nil"/>
              <w:right w:val="single" w:sz="4" w:space="0" w:color="000000"/>
            </w:tcBorders>
          </w:tcPr>
          <w:p w14:paraId="24D607D0"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7D1" w14:textId="77777777" w:rsidR="00245300" w:rsidRPr="00EC20A0" w:rsidRDefault="00245300">
            <w:pPr>
              <w:rPr>
                <w:sz w:val="2"/>
                <w:szCs w:val="2"/>
              </w:rPr>
            </w:pPr>
          </w:p>
        </w:tc>
        <w:tc>
          <w:tcPr>
            <w:tcW w:w="1074" w:type="dxa"/>
            <w:vMerge w:val="restart"/>
            <w:tcBorders>
              <w:top w:val="nil"/>
              <w:left w:val="single" w:sz="4" w:space="0" w:color="000000"/>
              <w:right w:val="single" w:sz="4" w:space="0" w:color="000000"/>
            </w:tcBorders>
          </w:tcPr>
          <w:p w14:paraId="24D607D2" w14:textId="77777777" w:rsidR="00245300" w:rsidRPr="00EC20A0" w:rsidRDefault="00245300">
            <w:pPr>
              <w:pStyle w:val="TableParagraph"/>
              <w:rPr>
                <w:sz w:val="16"/>
              </w:rPr>
            </w:pPr>
          </w:p>
        </w:tc>
        <w:tc>
          <w:tcPr>
            <w:tcW w:w="4040" w:type="dxa"/>
            <w:gridSpan w:val="4"/>
            <w:tcBorders>
              <w:top w:val="single" w:sz="4" w:space="0" w:color="000000"/>
              <w:left w:val="single" w:sz="4" w:space="0" w:color="000000"/>
              <w:bottom w:val="nil"/>
            </w:tcBorders>
          </w:tcPr>
          <w:p w14:paraId="24D607D3" w14:textId="77777777" w:rsidR="00245300" w:rsidRPr="00EC20A0" w:rsidRDefault="00F17249">
            <w:pPr>
              <w:pStyle w:val="TableParagraph"/>
              <w:spacing w:before="51"/>
              <w:ind w:left="110"/>
              <w:rPr>
                <w:sz w:val="16"/>
              </w:rPr>
            </w:pPr>
            <w:r w:rsidRPr="00EC20A0">
              <w:rPr>
                <w:sz w:val="16"/>
              </w:rPr>
              <w:t>Corrective</w:t>
            </w:r>
            <w:r w:rsidRPr="00EC20A0">
              <w:rPr>
                <w:spacing w:val="-8"/>
                <w:sz w:val="16"/>
              </w:rPr>
              <w:t xml:space="preserve"> </w:t>
            </w:r>
            <w:r w:rsidRPr="00EC20A0">
              <w:rPr>
                <w:sz w:val="16"/>
              </w:rPr>
              <w:t>action</w:t>
            </w:r>
            <w:r w:rsidRPr="00EC20A0">
              <w:rPr>
                <w:spacing w:val="-7"/>
                <w:sz w:val="16"/>
              </w:rPr>
              <w:t xml:space="preserve"> </w:t>
            </w:r>
            <w:r w:rsidRPr="00EC20A0">
              <w:rPr>
                <w:sz w:val="16"/>
              </w:rPr>
              <w:t>in</w:t>
            </w:r>
            <w:r w:rsidRPr="00EC20A0">
              <w:rPr>
                <w:spacing w:val="-7"/>
                <w:sz w:val="16"/>
              </w:rPr>
              <w:t xml:space="preserve"> </w:t>
            </w:r>
            <w:r w:rsidRPr="00EC20A0">
              <w:rPr>
                <w:sz w:val="16"/>
              </w:rPr>
              <w:t>remediation</w:t>
            </w:r>
            <w:r w:rsidRPr="00EC20A0">
              <w:rPr>
                <w:spacing w:val="-7"/>
                <w:sz w:val="16"/>
              </w:rPr>
              <w:t xml:space="preserve"> </w:t>
            </w:r>
            <w:r w:rsidRPr="00EC20A0">
              <w:rPr>
                <w:sz w:val="16"/>
              </w:rPr>
              <w:t>plan?</w:t>
            </w:r>
            <w:r w:rsidRPr="00EC20A0">
              <w:rPr>
                <w:spacing w:val="-7"/>
                <w:sz w:val="16"/>
              </w:rPr>
              <w:t xml:space="preserve"> </w:t>
            </w:r>
            <w:r w:rsidRPr="00EC20A0">
              <w:rPr>
                <w:sz w:val="16"/>
              </w:rPr>
              <w:t>(Y</w:t>
            </w:r>
            <w:r w:rsidRPr="00EC20A0">
              <w:rPr>
                <w:spacing w:val="-6"/>
                <w:sz w:val="16"/>
              </w:rPr>
              <w:t xml:space="preserve"> </w:t>
            </w:r>
            <w:r w:rsidRPr="00EC20A0">
              <w:rPr>
                <w:sz w:val="16"/>
              </w:rPr>
              <w:t>or</w:t>
            </w:r>
            <w:r w:rsidRPr="00EC20A0">
              <w:rPr>
                <w:spacing w:val="-7"/>
                <w:sz w:val="16"/>
              </w:rPr>
              <w:t xml:space="preserve"> </w:t>
            </w:r>
            <w:r w:rsidRPr="00EC20A0">
              <w:rPr>
                <w:spacing w:val="-5"/>
                <w:sz w:val="16"/>
              </w:rPr>
              <w:t>N)</w:t>
            </w:r>
          </w:p>
        </w:tc>
      </w:tr>
      <w:tr w:rsidR="00245300" w:rsidRPr="00EC20A0" w14:paraId="24D607DE" w14:textId="77777777">
        <w:trPr>
          <w:trHeight w:val="284"/>
        </w:trPr>
        <w:tc>
          <w:tcPr>
            <w:tcW w:w="647" w:type="dxa"/>
            <w:vMerge/>
            <w:tcBorders>
              <w:top w:val="nil"/>
              <w:right w:val="single" w:sz="4" w:space="0" w:color="000000"/>
            </w:tcBorders>
          </w:tcPr>
          <w:p w14:paraId="24D607D5"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7D6" w14:textId="77777777" w:rsidR="00245300" w:rsidRPr="00EC20A0" w:rsidRDefault="00245300">
            <w:pPr>
              <w:rPr>
                <w:sz w:val="2"/>
                <w:szCs w:val="2"/>
              </w:rPr>
            </w:pPr>
          </w:p>
        </w:tc>
        <w:tc>
          <w:tcPr>
            <w:tcW w:w="455" w:type="dxa"/>
            <w:vMerge w:val="restart"/>
            <w:tcBorders>
              <w:top w:val="nil"/>
              <w:left w:val="single" w:sz="4" w:space="0" w:color="000000"/>
              <w:right w:val="single" w:sz="4" w:space="0" w:color="000000"/>
            </w:tcBorders>
          </w:tcPr>
          <w:p w14:paraId="24D607D7" w14:textId="77777777" w:rsidR="00245300" w:rsidRPr="00EC20A0" w:rsidRDefault="00245300">
            <w:pPr>
              <w:pStyle w:val="TableParagraph"/>
              <w:rPr>
                <w:sz w:val="16"/>
              </w:rPr>
            </w:pPr>
          </w:p>
        </w:tc>
        <w:tc>
          <w:tcPr>
            <w:tcW w:w="4539" w:type="dxa"/>
            <w:gridSpan w:val="3"/>
            <w:tcBorders>
              <w:top w:val="single" w:sz="4" w:space="0" w:color="000000"/>
              <w:left w:val="single" w:sz="4" w:space="0" w:color="000000"/>
              <w:bottom w:val="nil"/>
              <w:right w:val="nil"/>
            </w:tcBorders>
          </w:tcPr>
          <w:p w14:paraId="24D607D8" w14:textId="77777777" w:rsidR="00245300" w:rsidRPr="00EC20A0" w:rsidRDefault="00F17249">
            <w:pPr>
              <w:pStyle w:val="TableParagraph"/>
              <w:spacing w:before="49"/>
              <w:ind w:left="106"/>
              <w:rPr>
                <w:sz w:val="16"/>
              </w:rPr>
            </w:pPr>
            <w:r w:rsidRPr="00EC20A0">
              <w:rPr>
                <w:sz w:val="16"/>
              </w:rPr>
              <w:t>Applicable</w:t>
            </w:r>
            <w:r w:rsidRPr="00EC20A0">
              <w:rPr>
                <w:spacing w:val="-7"/>
                <w:sz w:val="16"/>
              </w:rPr>
              <w:t xml:space="preserve"> </w:t>
            </w:r>
            <w:r w:rsidRPr="00EC20A0">
              <w:rPr>
                <w:sz w:val="16"/>
              </w:rPr>
              <w:t>criteria</w:t>
            </w:r>
            <w:r w:rsidRPr="00EC20A0">
              <w:rPr>
                <w:spacing w:val="-7"/>
                <w:sz w:val="16"/>
              </w:rPr>
              <w:t xml:space="preserve"> </w:t>
            </w:r>
            <w:r w:rsidRPr="00EC20A0">
              <w:rPr>
                <w:sz w:val="16"/>
              </w:rPr>
              <w:t>(OMB</w:t>
            </w:r>
            <w:r w:rsidRPr="00EC20A0">
              <w:rPr>
                <w:spacing w:val="-5"/>
                <w:sz w:val="16"/>
              </w:rPr>
              <w:t xml:space="preserve"> </w:t>
            </w:r>
            <w:r w:rsidRPr="00EC20A0">
              <w:rPr>
                <w:sz w:val="16"/>
              </w:rPr>
              <w:t>Circular</w:t>
            </w:r>
            <w:r w:rsidRPr="00EC20A0">
              <w:rPr>
                <w:spacing w:val="-6"/>
                <w:sz w:val="16"/>
              </w:rPr>
              <w:t xml:space="preserve"> </w:t>
            </w:r>
            <w:r w:rsidRPr="00EC20A0">
              <w:rPr>
                <w:sz w:val="16"/>
              </w:rPr>
              <w:t>No.</w:t>
            </w:r>
            <w:r w:rsidRPr="00EC20A0">
              <w:rPr>
                <w:spacing w:val="-6"/>
                <w:sz w:val="16"/>
              </w:rPr>
              <w:t xml:space="preserve"> </w:t>
            </w:r>
            <w:r w:rsidRPr="00EC20A0">
              <w:rPr>
                <w:sz w:val="16"/>
              </w:rPr>
              <w:t>A-123,</w:t>
            </w:r>
            <w:r w:rsidRPr="00EC20A0">
              <w:rPr>
                <w:spacing w:val="-5"/>
                <w:sz w:val="16"/>
              </w:rPr>
              <w:t xml:space="preserve"> </w:t>
            </w:r>
            <w:r w:rsidRPr="00EC20A0">
              <w:rPr>
                <w:sz w:val="16"/>
              </w:rPr>
              <w:t>app.</w:t>
            </w:r>
            <w:r w:rsidRPr="00EC20A0">
              <w:rPr>
                <w:spacing w:val="-5"/>
                <w:sz w:val="16"/>
              </w:rPr>
              <w:t xml:space="preserve"> </w:t>
            </w:r>
            <w:r w:rsidRPr="00EC20A0">
              <w:rPr>
                <w:sz w:val="16"/>
              </w:rPr>
              <w:t>D</w:t>
            </w:r>
            <w:r w:rsidRPr="00EC20A0">
              <w:rPr>
                <w:spacing w:val="-7"/>
                <w:sz w:val="16"/>
              </w:rPr>
              <w:t xml:space="preserve"> </w:t>
            </w:r>
            <w:r w:rsidRPr="00EC20A0">
              <w:rPr>
                <w:spacing w:val="-2"/>
                <w:sz w:val="16"/>
              </w:rPr>
              <w:t>citation)</w:t>
            </w:r>
          </w:p>
        </w:tc>
        <w:tc>
          <w:tcPr>
            <w:tcW w:w="262" w:type="dxa"/>
            <w:vMerge/>
            <w:tcBorders>
              <w:top w:val="nil"/>
              <w:left w:val="nil"/>
              <w:right w:val="single" w:sz="4" w:space="0" w:color="000000"/>
            </w:tcBorders>
          </w:tcPr>
          <w:p w14:paraId="24D607D9"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7DA"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7DB" w14:textId="77777777" w:rsidR="00245300" w:rsidRPr="00EC20A0" w:rsidRDefault="00245300">
            <w:pPr>
              <w:rPr>
                <w:sz w:val="2"/>
                <w:szCs w:val="2"/>
              </w:rPr>
            </w:pPr>
          </w:p>
        </w:tc>
        <w:tc>
          <w:tcPr>
            <w:tcW w:w="493" w:type="dxa"/>
            <w:vMerge w:val="restart"/>
            <w:tcBorders>
              <w:top w:val="nil"/>
              <w:left w:val="single" w:sz="4" w:space="0" w:color="000000"/>
              <w:right w:val="single" w:sz="4" w:space="0" w:color="000000"/>
            </w:tcBorders>
          </w:tcPr>
          <w:p w14:paraId="24D607DC" w14:textId="77777777" w:rsidR="00245300" w:rsidRPr="00EC20A0" w:rsidRDefault="00245300">
            <w:pPr>
              <w:pStyle w:val="TableParagraph"/>
              <w:rPr>
                <w:sz w:val="16"/>
              </w:rPr>
            </w:pPr>
          </w:p>
        </w:tc>
        <w:tc>
          <w:tcPr>
            <w:tcW w:w="3547" w:type="dxa"/>
            <w:gridSpan w:val="3"/>
            <w:tcBorders>
              <w:top w:val="single" w:sz="4" w:space="0" w:color="000000"/>
              <w:left w:val="single" w:sz="4" w:space="0" w:color="000000"/>
              <w:bottom w:val="nil"/>
            </w:tcBorders>
          </w:tcPr>
          <w:p w14:paraId="24D607DD" w14:textId="77777777" w:rsidR="00245300" w:rsidRPr="00EC20A0" w:rsidRDefault="00F17249">
            <w:pPr>
              <w:pStyle w:val="TableParagraph"/>
              <w:spacing w:before="49"/>
              <w:ind w:left="111"/>
              <w:rPr>
                <w:sz w:val="16"/>
              </w:rPr>
            </w:pPr>
            <w:r w:rsidRPr="00EC20A0">
              <w:rPr>
                <w:sz w:val="16"/>
              </w:rPr>
              <w:t>Assessment</w:t>
            </w:r>
            <w:r w:rsidRPr="00EC20A0">
              <w:rPr>
                <w:spacing w:val="-8"/>
                <w:sz w:val="16"/>
              </w:rPr>
              <w:t xml:space="preserve"> </w:t>
            </w:r>
            <w:r w:rsidRPr="00EC20A0">
              <w:rPr>
                <w:sz w:val="16"/>
              </w:rPr>
              <w:t>of</w:t>
            </w:r>
            <w:r w:rsidRPr="00EC20A0">
              <w:rPr>
                <w:spacing w:val="-7"/>
                <w:sz w:val="16"/>
              </w:rPr>
              <w:t xml:space="preserve"> </w:t>
            </w:r>
            <w:r w:rsidRPr="00EC20A0">
              <w:rPr>
                <w:sz w:val="16"/>
              </w:rPr>
              <w:t>corrective</w:t>
            </w:r>
            <w:r w:rsidRPr="00EC20A0">
              <w:rPr>
                <w:spacing w:val="-7"/>
                <w:sz w:val="16"/>
              </w:rPr>
              <w:t xml:space="preserve"> </w:t>
            </w:r>
            <w:r w:rsidRPr="00EC20A0">
              <w:rPr>
                <w:sz w:val="16"/>
              </w:rPr>
              <w:t>actions,</w:t>
            </w:r>
            <w:r w:rsidRPr="00EC20A0">
              <w:rPr>
                <w:spacing w:val="-8"/>
                <w:sz w:val="16"/>
              </w:rPr>
              <w:t xml:space="preserve"> </w:t>
            </w:r>
            <w:r w:rsidRPr="00EC20A0">
              <w:rPr>
                <w:sz w:val="16"/>
              </w:rPr>
              <w:t>time</w:t>
            </w:r>
            <w:r w:rsidRPr="00EC20A0">
              <w:rPr>
                <w:spacing w:val="-7"/>
                <w:sz w:val="16"/>
              </w:rPr>
              <w:t xml:space="preserve"> </w:t>
            </w:r>
            <w:r w:rsidRPr="00EC20A0">
              <w:rPr>
                <w:spacing w:val="-2"/>
                <w:sz w:val="16"/>
              </w:rPr>
              <w:t>frames</w:t>
            </w:r>
          </w:p>
        </w:tc>
      </w:tr>
      <w:tr w:rsidR="00245300" w:rsidRPr="00EC20A0" w14:paraId="24D607EA" w14:textId="77777777">
        <w:trPr>
          <w:trHeight w:val="283"/>
        </w:trPr>
        <w:tc>
          <w:tcPr>
            <w:tcW w:w="647" w:type="dxa"/>
            <w:vMerge/>
            <w:tcBorders>
              <w:top w:val="nil"/>
              <w:right w:val="single" w:sz="4" w:space="0" w:color="000000"/>
            </w:tcBorders>
          </w:tcPr>
          <w:p w14:paraId="24D607DF"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7E0"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7E1" w14:textId="77777777" w:rsidR="00245300" w:rsidRPr="00EC20A0" w:rsidRDefault="00245300">
            <w:pPr>
              <w:rPr>
                <w:sz w:val="2"/>
                <w:szCs w:val="2"/>
              </w:rPr>
            </w:pPr>
          </w:p>
        </w:tc>
        <w:tc>
          <w:tcPr>
            <w:tcW w:w="839" w:type="dxa"/>
            <w:vMerge w:val="restart"/>
            <w:tcBorders>
              <w:top w:val="nil"/>
              <w:left w:val="single" w:sz="4" w:space="0" w:color="000000"/>
              <w:right w:val="single" w:sz="4" w:space="0" w:color="000000"/>
            </w:tcBorders>
          </w:tcPr>
          <w:p w14:paraId="24D607E2" w14:textId="77777777" w:rsidR="00245300" w:rsidRPr="00EC20A0" w:rsidRDefault="00245300">
            <w:pPr>
              <w:pStyle w:val="TableParagraph"/>
              <w:rPr>
                <w:sz w:val="16"/>
              </w:rPr>
            </w:pPr>
          </w:p>
        </w:tc>
        <w:tc>
          <w:tcPr>
            <w:tcW w:w="3700" w:type="dxa"/>
            <w:gridSpan w:val="2"/>
            <w:tcBorders>
              <w:top w:val="single" w:sz="4" w:space="0" w:color="000000"/>
              <w:left w:val="single" w:sz="4" w:space="0" w:color="000000"/>
              <w:bottom w:val="nil"/>
              <w:right w:val="nil"/>
            </w:tcBorders>
          </w:tcPr>
          <w:p w14:paraId="24D607E3" w14:textId="77777777" w:rsidR="00245300" w:rsidRPr="00EC20A0" w:rsidRDefault="00F17249">
            <w:pPr>
              <w:pStyle w:val="TableParagraph"/>
              <w:spacing w:before="49"/>
              <w:ind w:left="106"/>
              <w:rPr>
                <w:sz w:val="16"/>
              </w:rPr>
            </w:pPr>
            <w:r w:rsidRPr="00EC20A0">
              <w:rPr>
                <w:sz w:val="16"/>
              </w:rPr>
              <w:t>Responsible</w:t>
            </w:r>
            <w:r w:rsidRPr="00EC20A0">
              <w:rPr>
                <w:spacing w:val="-11"/>
                <w:sz w:val="16"/>
              </w:rPr>
              <w:t xml:space="preserve"> </w:t>
            </w:r>
            <w:r w:rsidRPr="00EC20A0">
              <w:rPr>
                <w:spacing w:val="-2"/>
                <w:sz w:val="16"/>
              </w:rPr>
              <w:t>entity</w:t>
            </w:r>
          </w:p>
        </w:tc>
        <w:tc>
          <w:tcPr>
            <w:tcW w:w="262" w:type="dxa"/>
            <w:vMerge/>
            <w:tcBorders>
              <w:top w:val="nil"/>
              <w:left w:val="nil"/>
              <w:right w:val="single" w:sz="4" w:space="0" w:color="000000"/>
            </w:tcBorders>
          </w:tcPr>
          <w:p w14:paraId="24D607E4"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7E5"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7E6"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7E7" w14:textId="77777777" w:rsidR="00245300" w:rsidRPr="00EC20A0" w:rsidRDefault="00245300">
            <w:pPr>
              <w:rPr>
                <w:sz w:val="2"/>
                <w:szCs w:val="2"/>
              </w:rPr>
            </w:pPr>
          </w:p>
        </w:tc>
        <w:tc>
          <w:tcPr>
            <w:tcW w:w="1077" w:type="dxa"/>
            <w:vMerge w:val="restart"/>
            <w:tcBorders>
              <w:top w:val="nil"/>
              <w:left w:val="single" w:sz="4" w:space="0" w:color="000000"/>
              <w:right w:val="single" w:sz="4" w:space="0" w:color="000000"/>
            </w:tcBorders>
          </w:tcPr>
          <w:p w14:paraId="24D607E8" w14:textId="77777777" w:rsidR="00245300" w:rsidRPr="00EC20A0" w:rsidRDefault="00245300">
            <w:pPr>
              <w:pStyle w:val="TableParagraph"/>
              <w:rPr>
                <w:sz w:val="16"/>
              </w:rPr>
            </w:pPr>
          </w:p>
        </w:tc>
        <w:tc>
          <w:tcPr>
            <w:tcW w:w="2470" w:type="dxa"/>
            <w:gridSpan w:val="2"/>
            <w:tcBorders>
              <w:top w:val="single" w:sz="4" w:space="0" w:color="000000"/>
              <w:left w:val="single" w:sz="4" w:space="0" w:color="000000"/>
              <w:bottom w:val="nil"/>
            </w:tcBorders>
          </w:tcPr>
          <w:p w14:paraId="24D607E9" w14:textId="77777777" w:rsidR="00245300" w:rsidRPr="00EC20A0" w:rsidRDefault="00F17249">
            <w:pPr>
              <w:pStyle w:val="TableParagraph"/>
              <w:spacing w:before="49"/>
              <w:ind w:left="113"/>
              <w:rPr>
                <w:sz w:val="16"/>
              </w:rPr>
            </w:pPr>
            <w:r w:rsidRPr="00EC20A0">
              <w:rPr>
                <w:sz w:val="16"/>
              </w:rPr>
              <w:t>Doc.</w:t>
            </w:r>
            <w:r w:rsidRPr="00EC20A0">
              <w:rPr>
                <w:spacing w:val="-5"/>
                <w:sz w:val="16"/>
              </w:rPr>
              <w:t xml:space="preserve"> </w:t>
            </w:r>
            <w:r w:rsidRPr="00EC20A0">
              <w:rPr>
                <w:spacing w:val="-2"/>
                <w:sz w:val="16"/>
              </w:rPr>
              <w:t>reference</w:t>
            </w:r>
          </w:p>
        </w:tc>
      </w:tr>
      <w:tr w:rsidR="00245300" w:rsidRPr="00EC20A0" w14:paraId="24D607F8" w14:textId="77777777">
        <w:trPr>
          <w:trHeight w:val="477"/>
        </w:trPr>
        <w:tc>
          <w:tcPr>
            <w:tcW w:w="647" w:type="dxa"/>
            <w:vMerge/>
            <w:tcBorders>
              <w:top w:val="nil"/>
              <w:right w:val="single" w:sz="4" w:space="0" w:color="000000"/>
            </w:tcBorders>
          </w:tcPr>
          <w:p w14:paraId="24D607EB"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7EC"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7ED" w14:textId="77777777" w:rsidR="00245300" w:rsidRPr="00EC20A0" w:rsidRDefault="00245300">
            <w:pPr>
              <w:rPr>
                <w:sz w:val="2"/>
                <w:szCs w:val="2"/>
              </w:rPr>
            </w:pPr>
          </w:p>
        </w:tc>
        <w:tc>
          <w:tcPr>
            <w:tcW w:w="839" w:type="dxa"/>
            <w:vMerge/>
            <w:tcBorders>
              <w:top w:val="nil"/>
              <w:left w:val="single" w:sz="4" w:space="0" w:color="000000"/>
              <w:right w:val="single" w:sz="4" w:space="0" w:color="000000"/>
            </w:tcBorders>
          </w:tcPr>
          <w:p w14:paraId="24D607EE" w14:textId="77777777" w:rsidR="00245300" w:rsidRPr="00EC20A0" w:rsidRDefault="00245300">
            <w:pPr>
              <w:rPr>
                <w:sz w:val="2"/>
                <w:szCs w:val="2"/>
              </w:rPr>
            </w:pPr>
          </w:p>
        </w:tc>
        <w:tc>
          <w:tcPr>
            <w:tcW w:w="973" w:type="dxa"/>
            <w:tcBorders>
              <w:top w:val="nil"/>
              <w:left w:val="single" w:sz="4" w:space="0" w:color="000000"/>
              <w:right w:val="single" w:sz="4" w:space="0" w:color="000000"/>
            </w:tcBorders>
          </w:tcPr>
          <w:p w14:paraId="24D607EF" w14:textId="77777777" w:rsidR="00245300" w:rsidRPr="00EC20A0" w:rsidRDefault="00245300">
            <w:pPr>
              <w:pStyle w:val="TableParagraph"/>
              <w:rPr>
                <w:sz w:val="16"/>
              </w:rPr>
            </w:pPr>
          </w:p>
        </w:tc>
        <w:tc>
          <w:tcPr>
            <w:tcW w:w="2727" w:type="dxa"/>
            <w:tcBorders>
              <w:top w:val="single" w:sz="4" w:space="0" w:color="000000"/>
              <w:left w:val="single" w:sz="4" w:space="0" w:color="000000"/>
              <w:right w:val="nil"/>
            </w:tcBorders>
          </w:tcPr>
          <w:p w14:paraId="24D607F0" w14:textId="77777777" w:rsidR="00245300" w:rsidRPr="00EC20A0" w:rsidRDefault="00F17249">
            <w:pPr>
              <w:pStyle w:val="TableParagraph"/>
              <w:spacing w:before="51"/>
              <w:ind w:left="105"/>
              <w:rPr>
                <w:sz w:val="16"/>
              </w:rPr>
            </w:pPr>
            <w:r w:rsidRPr="00EC20A0">
              <w:rPr>
                <w:sz w:val="16"/>
              </w:rPr>
              <w:t>Primary</w:t>
            </w:r>
            <w:r w:rsidRPr="00EC20A0">
              <w:rPr>
                <w:spacing w:val="-8"/>
                <w:sz w:val="16"/>
              </w:rPr>
              <w:t xml:space="preserve"> </w:t>
            </w:r>
            <w:r w:rsidRPr="00EC20A0">
              <w:rPr>
                <w:sz w:val="16"/>
              </w:rPr>
              <w:t>reason</w:t>
            </w:r>
            <w:r w:rsidRPr="00EC20A0">
              <w:rPr>
                <w:spacing w:val="-8"/>
                <w:sz w:val="16"/>
              </w:rPr>
              <w:t xml:space="preserve"> </w:t>
            </w:r>
            <w:r w:rsidRPr="00EC20A0">
              <w:rPr>
                <w:sz w:val="16"/>
              </w:rPr>
              <w:t>for</w:t>
            </w:r>
            <w:r w:rsidRPr="00EC20A0">
              <w:rPr>
                <w:spacing w:val="-8"/>
                <w:sz w:val="16"/>
              </w:rPr>
              <w:t xml:space="preserve"> </w:t>
            </w:r>
            <w:r w:rsidRPr="00EC20A0">
              <w:rPr>
                <w:sz w:val="16"/>
              </w:rPr>
              <w:t>or</w:t>
            </w:r>
            <w:r w:rsidRPr="00EC20A0">
              <w:rPr>
                <w:spacing w:val="-8"/>
                <w:sz w:val="16"/>
              </w:rPr>
              <w:t xml:space="preserve"> </w:t>
            </w:r>
            <w:r w:rsidRPr="00EC20A0">
              <w:rPr>
                <w:sz w:val="16"/>
              </w:rPr>
              <w:t>cause</w:t>
            </w:r>
            <w:r w:rsidRPr="00EC20A0">
              <w:rPr>
                <w:spacing w:val="-8"/>
                <w:sz w:val="16"/>
              </w:rPr>
              <w:t xml:space="preserve"> </w:t>
            </w:r>
            <w:r w:rsidRPr="00EC20A0">
              <w:rPr>
                <w:sz w:val="16"/>
              </w:rPr>
              <w:t>of systems’ noncompliance</w:t>
            </w:r>
          </w:p>
        </w:tc>
        <w:tc>
          <w:tcPr>
            <w:tcW w:w="262" w:type="dxa"/>
            <w:vMerge/>
            <w:tcBorders>
              <w:top w:val="nil"/>
              <w:left w:val="nil"/>
              <w:right w:val="single" w:sz="4" w:space="0" w:color="000000"/>
            </w:tcBorders>
          </w:tcPr>
          <w:p w14:paraId="24D607F1"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7F2"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7F3"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7F4" w14:textId="77777777" w:rsidR="00245300" w:rsidRPr="00EC20A0" w:rsidRDefault="00245300">
            <w:pPr>
              <w:rPr>
                <w:sz w:val="2"/>
                <w:szCs w:val="2"/>
              </w:rPr>
            </w:pPr>
          </w:p>
        </w:tc>
        <w:tc>
          <w:tcPr>
            <w:tcW w:w="1077" w:type="dxa"/>
            <w:vMerge/>
            <w:tcBorders>
              <w:top w:val="nil"/>
              <w:left w:val="single" w:sz="4" w:space="0" w:color="000000"/>
              <w:right w:val="single" w:sz="4" w:space="0" w:color="000000"/>
            </w:tcBorders>
          </w:tcPr>
          <w:p w14:paraId="24D607F5" w14:textId="77777777" w:rsidR="00245300" w:rsidRPr="00EC20A0" w:rsidRDefault="00245300">
            <w:pPr>
              <w:rPr>
                <w:sz w:val="2"/>
                <w:szCs w:val="2"/>
              </w:rPr>
            </w:pPr>
          </w:p>
        </w:tc>
        <w:tc>
          <w:tcPr>
            <w:tcW w:w="607" w:type="dxa"/>
            <w:tcBorders>
              <w:top w:val="nil"/>
              <w:left w:val="single" w:sz="4" w:space="0" w:color="000000"/>
              <w:right w:val="single" w:sz="4" w:space="0" w:color="000000"/>
            </w:tcBorders>
          </w:tcPr>
          <w:p w14:paraId="24D607F6" w14:textId="77777777" w:rsidR="00245300" w:rsidRPr="00EC20A0" w:rsidRDefault="00245300">
            <w:pPr>
              <w:pStyle w:val="TableParagraph"/>
              <w:rPr>
                <w:sz w:val="16"/>
              </w:rPr>
            </w:pPr>
          </w:p>
        </w:tc>
        <w:tc>
          <w:tcPr>
            <w:tcW w:w="1863" w:type="dxa"/>
            <w:tcBorders>
              <w:top w:val="single" w:sz="4" w:space="0" w:color="000000"/>
              <w:left w:val="single" w:sz="4" w:space="0" w:color="000000"/>
            </w:tcBorders>
          </w:tcPr>
          <w:p w14:paraId="24D607F7" w14:textId="77777777" w:rsidR="00245300" w:rsidRPr="00EC20A0" w:rsidRDefault="00F17249">
            <w:pPr>
              <w:pStyle w:val="TableParagraph"/>
              <w:spacing w:before="51"/>
              <w:ind w:left="115"/>
              <w:rPr>
                <w:sz w:val="16"/>
              </w:rPr>
            </w:pPr>
            <w:r w:rsidRPr="00EC20A0">
              <w:rPr>
                <w:spacing w:val="-2"/>
                <w:sz w:val="16"/>
              </w:rPr>
              <w:t>Comments</w:t>
            </w:r>
          </w:p>
        </w:tc>
      </w:tr>
      <w:tr w:rsidR="00245300" w:rsidRPr="00EC20A0" w14:paraId="24D607FA" w14:textId="77777777">
        <w:trPr>
          <w:trHeight w:val="427"/>
        </w:trPr>
        <w:tc>
          <w:tcPr>
            <w:tcW w:w="13005" w:type="dxa"/>
            <w:gridSpan w:val="13"/>
            <w:tcBorders>
              <w:bottom w:val="single" w:sz="4" w:space="0" w:color="000000"/>
            </w:tcBorders>
          </w:tcPr>
          <w:p w14:paraId="24D607F9" w14:textId="77777777" w:rsidR="00245300" w:rsidRPr="00EC20A0" w:rsidRDefault="00F17249">
            <w:pPr>
              <w:pStyle w:val="TableParagraph"/>
              <w:spacing w:before="101"/>
              <w:ind w:left="96"/>
              <w:rPr>
                <w:sz w:val="18"/>
              </w:rPr>
            </w:pPr>
            <w:r w:rsidRPr="00EC20A0">
              <w:rPr>
                <w:sz w:val="18"/>
              </w:rPr>
              <w:t>Implementation</w:t>
            </w:r>
            <w:r w:rsidRPr="00EC20A0">
              <w:rPr>
                <w:spacing w:val="-6"/>
                <w:sz w:val="18"/>
              </w:rPr>
              <w:t xml:space="preserve"> </w:t>
            </w:r>
            <w:r w:rsidRPr="00EC20A0">
              <w:rPr>
                <w:sz w:val="18"/>
              </w:rPr>
              <w:t>and</w:t>
            </w:r>
            <w:r w:rsidRPr="00EC20A0">
              <w:rPr>
                <w:spacing w:val="-4"/>
                <w:sz w:val="18"/>
              </w:rPr>
              <w:t xml:space="preserve"> </w:t>
            </w:r>
            <w:r w:rsidRPr="00EC20A0">
              <w:rPr>
                <w:sz w:val="18"/>
              </w:rPr>
              <w:t>maintenance</w:t>
            </w:r>
            <w:r w:rsidRPr="00EC20A0">
              <w:rPr>
                <w:spacing w:val="-3"/>
                <w:sz w:val="18"/>
              </w:rPr>
              <w:t xml:space="preserve"> </w:t>
            </w:r>
            <w:r w:rsidRPr="00EC20A0">
              <w:rPr>
                <w:sz w:val="18"/>
              </w:rPr>
              <w:t>of</w:t>
            </w:r>
            <w:r w:rsidRPr="00EC20A0">
              <w:rPr>
                <w:spacing w:val="-3"/>
                <w:sz w:val="18"/>
              </w:rPr>
              <w:t xml:space="preserve"> </w:t>
            </w:r>
            <w:r w:rsidRPr="00EC20A0">
              <w:rPr>
                <w:sz w:val="18"/>
              </w:rPr>
              <w:t>an</w:t>
            </w:r>
            <w:r w:rsidRPr="00EC20A0">
              <w:rPr>
                <w:spacing w:val="-3"/>
                <w:sz w:val="18"/>
              </w:rPr>
              <w:t xml:space="preserve"> </w:t>
            </w:r>
            <w:r w:rsidRPr="00EC20A0">
              <w:rPr>
                <w:sz w:val="18"/>
              </w:rPr>
              <w:t>information</w:t>
            </w:r>
            <w:r w:rsidRPr="00EC20A0">
              <w:rPr>
                <w:spacing w:val="-4"/>
                <w:sz w:val="18"/>
              </w:rPr>
              <w:t xml:space="preserve"> </w:t>
            </w:r>
            <w:r w:rsidRPr="00EC20A0">
              <w:rPr>
                <w:sz w:val="18"/>
              </w:rPr>
              <w:t>security</w:t>
            </w:r>
            <w:r w:rsidRPr="00EC20A0">
              <w:rPr>
                <w:spacing w:val="-2"/>
                <w:sz w:val="18"/>
              </w:rPr>
              <w:t xml:space="preserve"> </w:t>
            </w:r>
            <w:r w:rsidRPr="00EC20A0">
              <w:rPr>
                <w:sz w:val="18"/>
              </w:rPr>
              <w:t>program</w:t>
            </w:r>
            <w:r w:rsidRPr="00EC20A0">
              <w:rPr>
                <w:spacing w:val="-3"/>
                <w:sz w:val="18"/>
              </w:rPr>
              <w:t xml:space="preserve"> </w:t>
            </w:r>
            <w:r w:rsidRPr="00EC20A0">
              <w:rPr>
                <w:sz w:val="18"/>
              </w:rPr>
              <w:t>(step</w:t>
            </w:r>
            <w:r w:rsidRPr="00EC20A0">
              <w:rPr>
                <w:spacing w:val="-3"/>
                <w:sz w:val="18"/>
              </w:rPr>
              <w:t xml:space="preserve"> </w:t>
            </w:r>
            <w:r w:rsidRPr="00EC20A0">
              <w:rPr>
                <w:spacing w:val="-2"/>
                <w:sz w:val="18"/>
              </w:rPr>
              <w:t>II.C)</w:t>
            </w:r>
          </w:p>
        </w:tc>
      </w:tr>
      <w:tr w:rsidR="00245300" w:rsidRPr="00EC20A0" w14:paraId="24D60807" w14:textId="77777777">
        <w:trPr>
          <w:trHeight w:val="304"/>
        </w:trPr>
        <w:tc>
          <w:tcPr>
            <w:tcW w:w="647" w:type="dxa"/>
            <w:tcBorders>
              <w:top w:val="single" w:sz="4" w:space="0" w:color="000000"/>
              <w:bottom w:val="single" w:sz="4" w:space="0" w:color="000000"/>
              <w:right w:val="single" w:sz="4" w:space="0" w:color="000000"/>
            </w:tcBorders>
          </w:tcPr>
          <w:p w14:paraId="24D607FB"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7FC"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7FD"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7FE"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7FF"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00"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01"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02"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03"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04"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05"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06" w14:textId="77777777" w:rsidR="00245300" w:rsidRPr="00EC20A0" w:rsidRDefault="00245300">
            <w:pPr>
              <w:pStyle w:val="TableParagraph"/>
              <w:rPr>
                <w:sz w:val="16"/>
              </w:rPr>
            </w:pPr>
          </w:p>
        </w:tc>
      </w:tr>
      <w:tr w:rsidR="00245300" w:rsidRPr="00EC20A0" w14:paraId="24D60814" w14:textId="77777777">
        <w:trPr>
          <w:trHeight w:val="303"/>
        </w:trPr>
        <w:tc>
          <w:tcPr>
            <w:tcW w:w="647" w:type="dxa"/>
            <w:tcBorders>
              <w:top w:val="single" w:sz="4" w:space="0" w:color="000000"/>
              <w:bottom w:val="single" w:sz="4" w:space="0" w:color="000000"/>
              <w:right w:val="single" w:sz="4" w:space="0" w:color="000000"/>
            </w:tcBorders>
          </w:tcPr>
          <w:p w14:paraId="24D60808"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09"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0A"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0B"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0C"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0D"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0E"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0F"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10"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11"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12"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13" w14:textId="77777777" w:rsidR="00245300" w:rsidRPr="00EC20A0" w:rsidRDefault="00245300">
            <w:pPr>
              <w:pStyle w:val="TableParagraph"/>
              <w:rPr>
                <w:sz w:val="16"/>
              </w:rPr>
            </w:pPr>
          </w:p>
        </w:tc>
      </w:tr>
      <w:tr w:rsidR="00245300" w:rsidRPr="00EC20A0" w14:paraId="24D60821" w14:textId="77777777">
        <w:trPr>
          <w:trHeight w:val="304"/>
        </w:trPr>
        <w:tc>
          <w:tcPr>
            <w:tcW w:w="647" w:type="dxa"/>
            <w:tcBorders>
              <w:top w:val="single" w:sz="4" w:space="0" w:color="000000"/>
              <w:bottom w:val="single" w:sz="4" w:space="0" w:color="000000"/>
              <w:right w:val="single" w:sz="4" w:space="0" w:color="000000"/>
            </w:tcBorders>
          </w:tcPr>
          <w:p w14:paraId="24D60815"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16"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17"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18"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19"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1A"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1B"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1C"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1D"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1E"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1F"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20" w14:textId="77777777" w:rsidR="00245300" w:rsidRPr="00EC20A0" w:rsidRDefault="00245300">
            <w:pPr>
              <w:pStyle w:val="TableParagraph"/>
              <w:rPr>
                <w:sz w:val="16"/>
              </w:rPr>
            </w:pPr>
          </w:p>
        </w:tc>
      </w:tr>
      <w:tr w:rsidR="00245300" w:rsidRPr="00EC20A0" w14:paraId="24D60823" w14:textId="77777777">
        <w:trPr>
          <w:trHeight w:val="447"/>
        </w:trPr>
        <w:tc>
          <w:tcPr>
            <w:tcW w:w="13005" w:type="dxa"/>
            <w:gridSpan w:val="13"/>
            <w:tcBorders>
              <w:top w:val="single" w:sz="4" w:space="0" w:color="000000"/>
              <w:bottom w:val="single" w:sz="4" w:space="0" w:color="000000"/>
            </w:tcBorders>
          </w:tcPr>
          <w:p w14:paraId="24D60822" w14:textId="77777777" w:rsidR="00245300" w:rsidRPr="00EC20A0" w:rsidRDefault="00F17249">
            <w:pPr>
              <w:pStyle w:val="TableParagraph"/>
              <w:spacing w:before="120"/>
              <w:ind w:left="96"/>
              <w:rPr>
                <w:sz w:val="18"/>
              </w:rPr>
            </w:pPr>
            <w:r w:rsidRPr="00EC20A0">
              <w:rPr>
                <w:sz w:val="18"/>
              </w:rPr>
              <w:t>Internal</w:t>
            </w:r>
            <w:r w:rsidRPr="00EC20A0">
              <w:rPr>
                <w:spacing w:val="-5"/>
                <w:sz w:val="18"/>
              </w:rPr>
              <w:t xml:space="preserve"> </w:t>
            </w:r>
            <w:r w:rsidRPr="00EC20A0">
              <w:rPr>
                <w:sz w:val="18"/>
              </w:rPr>
              <w:t>controls</w:t>
            </w:r>
            <w:r w:rsidRPr="00EC20A0">
              <w:rPr>
                <w:spacing w:val="-3"/>
                <w:sz w:val="18"/>
              </w:rPr>
              <w:t xml:space="preserve"> </w:t>
            </w:r>
            <w:r w:rsidRPr="00EC20A0">
              <w:rPr>
                <w:sz w:val="18"/>
              </w:rPr>
              <w:t>as</w:t>
            </w:r>
            <w:r w:rsidRPr="00EC20A0">
              <w:rPr>
                <w:spacing w:val="-2"/>
                <w:sz w:val="18"/>
              </w:rPr>
              <w:t xml:space="preserve"> </w:t>
            </w:r>
            <w:r w:rsidRPr="00EC20A0">
              <w:rPr>
                <w:sz w:val="18"/>
              </w:rPr>
              <w:t>part</w:t>
            </w:r>
            <w:r w:rsidRPr="00EC20A0">
              <w:rPr>
                <w:spacing w:val="-3"/>
                <w:sz w:val="18"/>
              </w:rPr>
              <w:t xml:space="preserve"> </w:t>
            </w:r>
            <w:r w:rsidRPr="00EC20A0">
              <w:rPr>
                <w:sz w:val="18"/>
              </w:rPr>
              <w:t>of</w:t>
            </w:r>
            <w:r w:rsidRPr="00EC20A0">
              <w:rPr>
                <w:spacing w:val="-2"/>
                <w:sz w:val="18"/>
              </w:rPr>
              <w:t xml:space="preserve"> </w:t>
            </w:r>
            <w:r w:rsidRPr="00EC20A0">
              <w:rPr>
                <w:sz w:val="18"/>
              </w:rPr>
              <w:t>financial</w:t>
            </w:r>
            <w:r w:rsidRPr="00EC20A0">
              <w:rPr>
                <w:spacing w:val="-3"/>
                <w:sz w:val="18"/>
              </w:rPr>
              <w:t xml:space="preserve"> </w:t>
            </w:r>
            <w:r w:rsidRPr="00EC20A0">
              <w:rPr>
                <w:sz w:val="18"/>
              </w:rPr>
              <w:t>management</w:t>
            </w:r>
            <w:r w:rsidRPr="00EC20A0">
              <w:rPr>
                <w:spacing w:val="-2"/>
                <w:sz w:val="18"/>
              </w:rPr>
              <w:t xml:space="preserve"> </w:t>
            </w:r>
            <w:r w:rsidRPr="00EC20A0">
              <w:rPr>
                <w:sz w:val="18"/>
              </w:rPr>
              <w:t>to</w:t>
            </w:r>
            <w:r w:rsidRPr="00EC20A0">
              <w:rPr>
                <w:spacing w:val="-4"/>
                <w:sz w:val="18"/>
              </w:rPr>
              <w:t xml:space="preserve"> </w:t>
            </w:r>
            <w:r w:rsidRPr="00EC20A0">
              <w:rPr>
                <w:sz w:val="18"/>
              </w:rPr>
              <w:t>prevent</w:t>
            </w:r>
            <w:r w:rsidRPr="00EC20A0">
              <w:rPr>
                <w:spacing w:val="-2"/>
                <w:sz w:val="18"/>
              </w:rPr>
              <w:t xml:space="preserve"> </w:t>
            </w:r>
            <w:r w:rsidRPr="00EC20A0">
              <w:rPr>
                <w:sz w:val="18"/>
              </w:rPr>
              <w:t>waste,</w:t>
            </w:r>
            <w:r w:rsidRPr="00EC20A0">
              <w:rPr>
                <w:spacing w:val="-3"/>
                <w:sz w:val="18"/>
              </w:rPr>
              <w:t xml:space="preserve"> </w:t>
            </w:r>
            <w:r w:rsidRPr="00EC20A0">
              <w:rPr>
                <w:sz w:val="18"/>
              </w:rPr>
              <w:t>loss,</w:t>
            </w:r>
            <w:r w:rsidRPr="00EC20A0">
              <w:rPr>
                <w:spacing w:val="-2"/>
                <w:sz w:val="18"/>
              </w:rPr>
              <w:t xml:space="preserve"> </w:t>
            </w:r>
            <w:r w:rsidRPr="00EC20A0">
              <w:rPr>
                <w:sz w:val="18"/>
              </w:rPr>
              <w:t>misuse,</w:t>
            </w:r>
            <w:r w:rsidRPr="00EC20A0">
              <w:rPr>
                <w:spacing w:val="-3"/>
                <w:sz w:val="18"/>
              </w:rPr>
              <w:t xml:space="preserve"> </w:t>
            </w:r>
            <w:r w:rsidRPr="00EC20A0">
              <w:rPr>
                <w:sz w:val="18"/>
              </w:rPr>
              <w:t>and</w:t>
            </w:r>
            <w:r w:rsidRPr="00EC20A0">
              <w:rPr>
                <w:spacing w:val="-3"/>
                <w:sz w:val="18"/>
              </w:rPr>
              <w:t xml:space="preserve"> </w:t>
            </w:r>
            <w:proofErr w:type="spellStart"/>
            <w:r w:rsidRPr="00EC20A0">
              <w:rPr>
                <w:sz w:val="18"/>
              </w:rPr>
              <w:t>Antideficiency</w:t>
            </w:r>
            <w:proofErr w:type="spellEnd"/>
            <w:r w:rsidRPr="00EC20A0">
              <w:rPr>
                <w:spacing w:val="-3"/>
                <w:sz w:val="18"/>
              </w:rPr>
              <w:t xml:space="preserve"> </w:t>
            </w:r>
            <w:r w:rsidRPr="00EC20A0">
              <w:rPr>
                <w:sz w:val="18"/>
              </w:rPr>
              <w:t>Act</w:t>
            </w:r>
            <w:r w:rsidRPr="00EC20A0">
              <w:rPr>
                <w:spacing w:val="-2"/>
                <w:sz w:val="18"/>
              </w:rPr>
              <w:t xml:space="preserve"> </w:t>
            </w:r>
            <w:r w:rsidRPr="00EC20A0">
              <w:rPr>
                <w:sz w:val="18"/>
              </w:rPr>
              <w:t>violations</w:t>
            </w:r>
            <w:r w:rsidRPr="00EC20A0">
              <w:rPr>
                <w:spacing w:val="-3"/>
                <w:sz w:val="18"/>
              </w:rPr>
              <w:t xml:space="preserve"> </w:t>
            </w:r>
            <w:r w:rsidRPr="00EC20A0">
              <w:rPr>
                <w:sz w:val="18"/>
              </w:rPr>
              <w:t>(step</w:t>
            </w:r>
            <w:r w:rsidRPr="00EC20A0">
              <w:rPr>
                <w:spacing w:val="-3"/>
                <w:sz w:val="18"/>
              </w:rPr>
              <w:t xml:space="preserve"> </w:t>
            </w:r>
            <w:r w:rsidRPr="00EC20A0">
              <w:rPr>
                <w:spacing w:val="-2"/>
                <w:sz w:val="18"/>
              </w:rPr>
              <w:t>II.D)</w:t>
            </w:r>
          </w:p>
        </w:tc>
      </w:tr>
      <w:tr w:rsidR="00245300" w:rsidRPr="00EC20A0" w14:paraId="24D60830" w14:textId="77777777">
        <w:trPr>
          <w:trHeight w:val="303"/>
        </w:trPr>
        <w:tc>
          <w:tcPr>
            <w:tcW w:w="647" w:type="dxa"/>
            <w:tcBorders>
              <w:top w:val="single" w:sz="4" w:space="0" w:color="000000"/>
              <w:bottom w:val="single" w:sz="4" w:space="0" w:color="000000"/>
              <w:right w:val="single" w:sz="4" w:space="0" w:color="000000"/>
            </w:tcBorders>
          </w:tcPr>
          <w:p w14:paraId="24D60824"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25"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26"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27"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28"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29"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2A"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2B"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2C"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2D"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2E"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2F" w14:textId="77777777" w:rsidR="00245300" w:rsidRPr="00EC20A0" w:rsidRDefault="00245300">
            <w:pPr>
              <w:pStyle w:val="TableParagraph"/>
              <w:rPr>
                <w:sz w:val="16"/>
              </w:rPr>
            </w:pPr>
          </w:p>
        </w:tc>
      </w:tr>
      <w:tr w:rsidR="00245300" w:rsidRPr="00EC20A0" w14:paraId="24D6083D" w14:textId="77777777">
        <w:trPr>
          <w:trHeight w:val="304"/>
        </w:trPr>
        <w:tc>
          <w:tcPr>
            <w:tcW w:w="647" w:type="dxa"/>
            <w:tcBorders>
              <w:top w:val="single" w:sz="4" w:space="0" w:color="000000"/>
              <w:bottom w:val="single" w:sz="4" w:space="0" w:color="000000"/>
              <w:right w:val="single" w:sz="4" w:space="0" w:color="000000"/>
            </w:tcBorders>
          </w:tcPr>
          <w:p w14:paraId="24D60831"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32"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33"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34"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35"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36"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37"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38"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39"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3A"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3B"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3C" w14:textId="77777777" w:rsidR="00245300" w:rsidRPr="00EC20A0" w:rsidRDefault="00245300">
            <w:pPr>
              <w:pStyle w:val="TableParagraph"/>
              <w:rPr>
                <w:sz w:val="16"/>
              </w:rPr>
            </w:pPr>
          </w:p>
        </w:tc>
      </w:tr>
      <w:tr w:rsidR="00245300" w:rsidRPr="00EC20A0" w14:paraId="24D6084A" w14:textId="77777777">
        <w:trPr>
          <w:trHeight w:val="304"/>
        </w:trPr>
        <w:tc>
          <w:tcPr>
            <w:tcW w:w="647" w:type="dxa"/>
            <w:tcBorders>
              <w:top w:val="single" w:sz="4" w:space="0" w:color="000000"/>
              <w:bottom w:val="single" w:sz="4" w:space="0" w:color="000000"/>
              <w:right w:val="single" w:sz="4" w:space="0" w:color="000000"/>
            </w:tcBorders>
          </w:tcPr>
          <w:p w14:paraId="24D6083E"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3F"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40"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41"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42"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43"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44"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45"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46"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47"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48"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49" w14:textId="77777777" w:rsidR="00245300" w:rsidRPr="00EC20A0" w:rsidRDefault="00245300">
            <w:pPr>
              <w:pStyle w:val="TableParagraph"/>
              <w:rPr>
                <w:sz w:val="16"/>
              </w:rPr>
            </w:pPr>
          </w:p>
        </w:tc>
      </w:tr>
      <w:tr w:rsidR="00245300" w:rsidRPr="00EC20A0" w14:paraId="24D6084C" w14:textId="77777777">
        <w:trPr>
          <w:trHeight w:val="447"/>
        </w:trPr>
        <w:tc>
          <w:tcPr>
            <w:tcW w:w="13005" w:type="dxa"/>
            <w:gridSpan w:val="13"/>
            <w:tcBorders>
              <w:top w:val="single" w:sz="4" w:space="0" w:color="000000"/>
              <w:bottom w:val="single" w:sz="4" w:space="0" w:color="000000"/>
            </w:tcBorders>
          </w:tcPr>
          <w:p w14:paraId="24D6084B" w14:textId="77777777" w:rsidR="00245300" w:rsidRPr="00EC20A0" w:rsidRDefault="00F17249">
            <w:pPr>
              <w:pStyle w:val="TableParagraph"/>
              <w:spacing w:before="120"/>
              <w:ind w:left="96"/>
              <w:rPr>
                <w:sz w:val="18"/>
              </w:rPr>
            </w:pPr>
            <w:r w:rsidRPr="00EC20A0">
              <w:rPr>
                <w:sz w:val="18"/>
              </w:rPr>
              <w:t>Preparation</w:t>
            </w:r>
            <w:r w:rsidRPr="00EC20A0">
              <w:rPr>
                <w:spacing w:val="-5"/>
                <w:sz w:val="18"/>
              </w:rPr>
              <w:t xml:space="preserve"> </w:t>
            </w:r>
            <w:r w:rsidRPr="00EC20A0">
              <w:rPr>
                <w:sz w:val="18"/>
              </w:rPr>
              <w:t>of</w:t>
            </w:r>
            <w:r w:rsidRPr="00EC20A0">
              <w:rPr>
                <w:spacing w:val="-3"/>
                <w:sz w:val="18"/>
              </w:rPr>
              <w:t xml:space="preserve"> </w:t>
            </w:r>
            <w:r w:rsidRPr="00EC20A0">
              <w:rPr>
                <w:sz w:val="18"/>
              </w:rPr>
              <w:t>auditable</w:t>
            </w:r>
            <w:r w:rsidRPr="00EC20A0">
              <w:rPr>
                <w:spacing w:val="-4"/>
                <w:sz w:val="18"/>
              </w:rPr>
              <w:t xml:space="preserve"> </w:t>
            </w:r>
            <w:r w:rsidRPr="00EC20A0">
              <w:rPr>
                <w:sz w:val="18"/>
              </w:rPr>
              <w:t>financial</w:t>
            </w:r>
            <w:r w:rsidRPr="00EC20A0">
              <w:rPr>
                <w:spacing w:val="-4"/>
                <w:sz w:val="18"/>
              </w:rPr>
              <w:t xml:space="preserve"> </w:t>
            </w:r>
            <w:r w:rsidRPr="00EC20A0">
              <w:rPr>
                <w:sz w:val="18"/>
              </w:rPr>
              <w:t>statements</w:t>
            </w:r>
            <w:r w:rsidRPr="00EC20A0">
              <w:rPr>
                <w:spacing w:val="-3"/>
                <w:sz w:val="18"/>
              </w:rPr>
              <w:t xml:space="preserve"> </w:t>
            </w:r>
            <w:r w:rsidRPr="00EC20A0">
              <w:rPr>
                <w:sz w:val="18"/>
              </w:rPr>
              <w:t>in</w:t>
            </w:r>
            <w:r w:rsidRPr="00EC20A0">
              <w:rPr>
                <w:spacing w:val="-4"/>
                <w:sz w:val="18"/>
              </w:rPr>
              <w:t xml:space="preserve"> </w:t>
            </w:r>
            <w:r w:rsidRPr="00EC20A0">
              <w:rPr>
                <w:sz w:val="18"/>
              </w:rPr>
              <w:t>accordance</w:t>
            </w:r>
            <w:r w:rsidRPr="00EC20A0">
              <w:rPr>
                <w:spacing w:val="-4"/>
                <w:sz w:val="18"/>
              </w:rPr>
              <w:t xml:space="preserve"> </w:t>
            </w:r>
            <w:r w:rsidRPr="00EC20A0">
              <w:rPr>
                <w:sz w:val="18"/>
              </w:rPr>
              <w:t>with</w:t>
            </w:r>
            <w:r w:rsidRPr="00EC20A0">
              <w:rPr>
                <w:spacing w:val="-4"/>
                <w:sz w:val="18"/>
              </w:rPr>
              <w:t xml:space="preserve"> </w:t>
            </w:r>
            <w:r w:rsidRPr="00EC20A0">
              <w:rPr>
                <w:sz w:val="18"/>
              </w:rPr>
              <w:t>applicable</w:t>
            </w:r>
            <w:r w:rsidRPr="00EC20A0">
              <w:rPr>
                <w:spacing w:val="-3"/>
                <w:sz w:val="18"/>
              </w:rPr>
              <w:t xml:space="preserve"> </w:t>
            </w:r>
            <w:r w:rsidRPr="00EC20A0">
              <w:rPr>
                <w:sz w:val="18"/>
              </w:rPr>
              <w:t>accounting</w:t>
            </w:r>
            <w:r w:rsidRPr="00EC20A0">
              <w:rPr>
                <w:spacing w:val="-4"/>
                <w:sz w:val="18"/>
              </w:rPr>
              <w:t xml:space="preserve"> </w:t>
            </w:r>
            <w:r w:rsidRPr="00EC20A0">
              <w:rPr>
                <w:sz w:val="18"/>
              </w:rPr>
              <w:t>standards</w:t>
            </w:r>
            <w:r w:rsidRPr="00EC20A0">
              <w:rPr>
                <w:spacing w:val="-3"/>
                <w:sz w:val="18"/>
              </w:rPr>
              <w:t xml:space="preserve"> </w:t>
            </w:r>
            <w:r w:rsidRPr="00EC20A0">
              <w:rPr>
                <w:sz w:val="18"/>
              </w:rPr>
              <w:t>(step</w:t>
            </w:r>
            <w:r w:rsidRPr="00EC20A0">
              <w:rPr>
                <w:spacing w:val="-4"/>
                <w:sz w:val="18"/>
              </w:rPr>
              <w:t xml:space="preserve"> </w:t>
            </w:r>
            <w:r w:rsidRPr="00EC20A0">
              <w:rPr>
                <w:spacing w:val="-2"/>
                <w:sz w:val="18"/>
              </w:rPr>
              <w:t>III.A)</w:t>
            </w:r>
          </w:p>
        </w:tc>
      </w:tr>
      <w:tr w:rsidR="00245300" w:rsidRPr="00EC20A0" w14:paraId="24D60859" w14:textId="77777777">
        <w:trPr>
          <w:trHeight w:val="303"/>
        </w:trPr>
        <w:tc>
          <w:tcPr>
            <w:tcW w:w="647" w:type="dxa"/>
            <w:tcBorders>
              <w:top w:val="single" w:sz="4" w:space="0" w:color="000000"/>
              <w:bottom w:val="single" w:sz="4" w:space="0" w:color="000000"/>
              <w:right w:val="single" w:sz="4" w:space="0" w:color="000000"/>
            </w:tcBorders>
          </w:tcPr>
          <w:p w14:paraId="24D6084D"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4E"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4F"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50"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51"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52"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53"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54"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55"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56"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57"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58" w14:textId="77777777" w:rsidR="00245300" w:rsidRPr="00EC20A0" w:rsidRDefault="00245300">
            <w:pPr>
              <w:pStyle w:val="TableParagraph"/>
              <w:rPr>
                <w:sz w:val="16"/>
              </w:rPr>
            </w:pPr>
          </w:p>
        </w:tc>
      </w:tr>
      <w:tr w:rsidR="00245300" w:rsidRPr="00EC20A0" w14:paraId="24D60866" w14:textId="77777777">
        <w:trPr>
          <w:trHeight w:val="304"/>
        </w:trPr>
        <w:tc>
          <w:tcPr>
            <w:tcW w:w="647" w:type="dxa"/>
            <w:tcBorders>
              <w:top w:val="single" w:sz="4" w:space="0" w:color="000000"/>
              <w:bottom w:val="single" w:sz="4" w:space="0" w:color="000000"/>
              <w:right w:val="single" w:sz="4" w:space="0" w:color="000000"/>
            </w:tcBorders>
          </w:tcPr>
          <w:p w14:paraId="24D6085A"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5B"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5C"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5D"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5E"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5F"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60"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61"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62"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63"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64"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65" w14:textId="77777777" w:rsidR="00245300" w:rsidRPr="00EC20A0" w:rsidRDefault="00245300">
            <w:pPr>
              <w:pStyle w:val="TableParagraph"/>
              <w:rPr>
                <w:sz w:val="16"/>
              </w:rPr>
            </w:pPr>
          </w:p>
        </w:tc>
      </w:tr>
      <w:tr w:rsidR="00245300" w:rsidRPr="00EC20A0" w14:paraId="24D60873" w14:textId="77777777">
        <w:trPr>
          <w:trHeight w:val="304"/>
        </w:trPr>
        <w:tc>
          <w:tcPr>
            <w:tcW w:w="647" w:type="dxa"/>
            <w:tcBorders>
              <w:top w:val="single" w:sz="4" w:space="0" w:color="000000"/>
              <w:bottom w:val="single" w:sz="4" w:space="0" w:color="000000"/>
              <w:right w:val="single" w:sz="4" w:space="0" w:color="000000"/>
            </w:tcBorders>
          </w:tcPr>
          <w:p w14:paraId="24D60867"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68"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69"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6A"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6B"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6C"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6D"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6E"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6F"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70"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71"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72" w14:textId="77777777" w:rsidR="00245300" w:rsidRPr="00EC20A0" w:rsidRDefault="00245300">
            <w:pPr>
              <w:pStyle w:val="TableParagraph"/>
              <w:rPr>
                <w:sz w:val="16"/>
              </w:rPr>
            </w:pPr>
          </w:p>
        </w:tc>
      </w:tr>
      <w:tr w:rsidR="00245300" w:rsidRPr="00EC20A0" w14:paraId="24D60875" w14:textId="77777777">
        <w:trPr>
          <w:trHeight w:val="446"/>
        </w:trPr>
        <w:tc>
          <w:tcPr>
            <w:tcW w:w="13005" w:type="dxa"/>
            <w:gridSpan w:val="13"/>
            <w:tcBorders>
              <w:top w:val="single" w:sz="4" w:space="0" w:color="000000"/>
              <w:bottom w:val="single" w:sz="4" w:space="0" w:color="000000"/>
            </w:tcBorders>
          </w:tcPr>
          <w:p w14:paraId="24D60874" w14:textId="77777777" w:rsidR="00245300" w:rsidRPr="00EC20A0" w:rsidRDefault="00F17249">
            <w:pPr>
              <w:pStyle w:val="TableParagraph"/>
              <w:spacing w:before="120"/>
              <w:ind w:left="96"/>
              <w:rPr>
                <w:sz w:val="18"/>
              </w:rPr>
            </w:pPr>
            <w:r w:rsidRPr="00EC20A0">
              <w:rPr>
                <w:sz w:val="18"/>
              </w:rPr>
              <w:t>Preparation,</w:t>
            </w:r>
            <w:r w:rsidRPr="00EC20A0">
              <w:rPr>
                <w:spacing w:val="-5"/>
                <w:sz w:val="18"/>
              </w:rPr>
              <w:t xml:space="preserve"> </w:t>
            </w:r>
            <w:r w:rsidRPr="00EC20A0">
              <w:rPr>
                <w:sz w:val="18"/>
              </w:rPr>
              <w:t>execution,</w:t>
            </w:r>
            <w:r w:rsidRPr="00EC20A0">
              <w:rPr>
                <w:spacing w:val="-2"/>
                <w:sz w:val="18"/>
              </w:rPr>
              <w:t xml:space="preserve"> </w:t>
            </w:r>
            <w:r w:rsidRPr="00EC20A0">
              <w:rPr>
                <w:sz w:val="18"/>
              </w:rPr>
              <w:t>and</w:t>
            </w:r>
            <w:r w:rsidRPr="00EC20A0">
              <w:rPr>
                <w:spacing w:val="-4"/>
                <w:sz w:val="18"/>
              </w:rPr>
              <w:t xml:space="preserve"> </w:t>
            </w:r>
            <w:r w:rsidRPr="00EC20A0">
              <w:rPr>
                <w:sz w:val="18"/>
              </w:rPr>
              <w:t>reporting</w:t>
            </w:r>
            <w:r w:rsidRPr="00EC20A0">
              <w:rPr>
                <w:spacing w:val="-3"/>
                <w:sz w:val="18"/>
              </w:rPr>
              <w:t xml:space="preserve"> </w:t>
            </w:r>
            <w:r w:rsidRPr="00EC20A0">
              <w:rPr>
                <w:sz w:val="18"/>
              </w:rPr>
              <w:t>on</w:t>
            </w:r>
            <w:r w:rsidRPr="00EC20A0">
              <w:rPr>
                <w:spacing w:val="-4"/>
                <w:sz w:val="18"/>
              </w:rPr>
              <w:t xml:space="preserve"> </w:t>
            </w:r>
            <w:r w:rsidRPr="00EC20A0">
              <w:rPr>
                <w:sz w:val="18"/>
              </w:rPr>
              <w:t>agency</w:t>
            </w:r>
            <w:r w:rsidRPr="00EC20A0">
              <w:rPr>
                <w:spacing w:val="-2"/>
                <w:sz w:val="18"/>
              </w:rPr>
              <w:t xml:space="preserve"> </w:t>
            </w:r>
            <w:r w:rsidRPr="00EC20A0">
              <w:rPr>
                <w:sz w:val="18"/>
              </w:rPr>
              <w:t>budget</w:t>
            </w:r>
            <w:r w:rsidRPr="00EC20A0">
              <w:rPr>
                <w:spacing w:val="-3"/>
                <w:sz w:val="18"/>
              </w:rPr>
              <w:t xml:space="preserve"> </w:t>
            </w:r>
            <w:r w:rsidRPr="00EC20A0">
              <w:rPr>
                <w:sz w:val="18"/>
              </w:rPr>
              <w:t>in</w:t>
            </w:r>
            <w:r w:rsidRPr="00EC20A0">
              <w:rPr>
                <w:spacing w:val="-3"/>
                <w:sz w:val="18"/>
              </w:rPr>
              <w:t xml:space="preserve"> </w:t>
            </w:r>
            <w:r w:rsidRPr="00EC20A0">
              <w:rPr>
                <w:sz w:val="18"/>
              </w:rPr>
              <w:t>accordance</w:t>
            </w:r>
            <w:r w:rsidRPr="00EC20A0">
              <w:rPr>
                <w:spacing w:val="-4"/>
                <w:sz w:val="18"/>
              </w:rPr>
              <w:t xml:space="preserve"> </w:t>
            </w:r>
            <w:r w:rsidRPr="00EC20A0">
              <w:rPr>
                <w:sz w:val="18"/>
              </w:rPr>
              <w:t>with</w:t>
            </w:r>
            <w:r w:rsidRPr="00EC20A0">
              <w:rPr>
                <w:spacing w:val="-1"/>
                <w:sz w:val="18"/>
              </w:rPr>
              <w:t xml:space="preserve"> </w:t>
            </w:r>
            <w:r w:rsidRPr="00EC20A0">
              <w:rPr>
                <w:sz w:val="18"/>
              </w:rPr>
              <w:t>OMB</w:t>
            </w:r>
            <w:r w:rsidRPr="00EC20A0">
              <w:rPr>
                <w:spacing w:val="-3"/>
                <w:sz w:val="18"/>
              </w:rPr>
              <w:t xml:space="preserve"> </w:t>
            </w:r>
            <w:r w:rsidRPr="00EC20A0">
              <w:rPr>
                <w:sz w:val="18"/>
              </w:rPr>
              <w:t>Circular</w:t>
            </w:r>
            <w:r w:rsidRPr="00EC20A0">
              <w:rPr>
                <w:spacing w:val="-2"/>
                <w:sz w:val="18"/>
              </w:rPr>
              <w:t xml:space="preserve"> </w:t>
            </w:r>
            <w:r w:rsidRPr="00EC20A0">
              <w:rPr>
                <w:sz w:val="18"/>
              </w:rPr>
              <w:t>No.</w:t>
            </w:r>
            <w:r w:rsidRPr="00EC20A0">
              <w:rPr>
                <w:spacing w:val="-3"/>
                <w:sz w:val="18"/>
              </w:rPr>
              <w:t xml:space="preserve"> </w:t>
            </w:r>
            <w:r w:rsidRPr="00EC20A0">
              <w:rPr>
                <w:sz w:val="18"/>
              </w:rPr>
              <w:t>A-11</w:t>
            </w:r>
            <w:r w:rsidRPr="00EC20A0">
              <w:rPr>
                <w:spacing w:val="-3"/>
                <w:sz w:val="18"/>
              </w:rPr>
              <w:t xml:space="preserve"> </w:t>
            </w:r>
            <w:r w:rsidRPr="00EC20A0">
              <w:rPr>
                <w:sz w:val="18"/>
              </w:rPr>
              <w:t>(step</w:t>
            </w:r>
            <w:r w:rsidRPr="00EC20A0">
              <w:rPr>
                <w:spacing w:val="-1"/>
                <w:sz w:val="18"/>
              </w:rPr>
              <w:t xml:space="preserve"> </w:t>
            </w:r>
            <w:r w:rsidRPr="00EC20A0">
              <w:rPr>
                <w:spacing w:val="-2"/>
                <w:sz w:val="18"/>
              </w:rPr>
              <w:t>III.B)</w:t>
            </w:r>
          </w:p>
        </w:tc>
      </w:tr>
      <w:tr w:rsidR="00245300" w:rsidRPr="00EC20A0" w14:paraId="24D60882" w14:textId="77777777">
        <w:trPr>
          <w:trHeight w:val="304"/>
        </w:trPr>
        <w:tc>
          <w:tcPr>
            <w:tcW w:w="647" w:type="dxa"/>
            <w:tcBorders>
              <w:top w:val="single" w:sz="4" w:space="0" w:color="000000"/>
              <w:bottom w:val="single" w:sz="4" w:space="0" w:color="000000"/>
              <w:right w:val="single" w:sz="4" w:space="0" w:color="000000"/>
            </w:tcBorders>
          </w:tcPr>
          <w:p w14:paraId="24D60876"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77"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78"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79"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7A"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7B"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7C"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7D"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7E"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7F"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80"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81" w14:textId="77777777" w:rsidR="00245300" w:rsidRPr="00EC20A0" w:rsidRDefault="00245300">
            <w:pPr>
              <w:pStyle w:val="TableParagraph"/>
              <w:rPr>
                <w:sz w:val="16"/>
              </w:rPr>
            </w:pPr>
          </w:p>
        </w:tc>
      </w:tr>
      <w:tr w:rsidR="00245300" w:rsidRPr="00EC20A0" w14:paraId="24D6088F" w14:textId="77777777">
        <w:trPr>
          <w:trHeight w:val="304"/>
        </w:trPr>
        <w:tc>
          <w:tcPr>
            <w:tcW w:w="647" w:type="dxa"/>
            <w:tcBorders>
              <w:top w:val="single" w:sz="4" w:space="0" w:color="000000"/>
              <w:bottom w:val="single" w:sz="4" w:space="0" w:color="000000"/>
              <w:right w:val="single" w:sz="4" w:space="0" w:color="000000"/>
            </w:tcBorders>
          </w:tcPr>
          <w:p w14:paraId="24D60883"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84"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85"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86"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87"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88"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89"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8A"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8B"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8C"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8D"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8E" w14:textId="77777777" w:rsidR="00245300" w:rsidRPr="00EC20A0" w:rsidRDefault="00245300">
            <w:pPr>
              <w:pStyle w:val="TableParagraph"/>
              <w:rPr>
                <w:sz w:val="16"/>
              </w:rPr>
            </w:pPr>
          </w:p>
        </w:tc>
      </w:tr>
      <w:tr w:rsidR="00245300" w:rsidRPr="00EC20A0" w14:paraId="24D6089C" w14:textId="77777777">
        <w:trPr>
          <w:trHeight w:val="303"/>
        </w:trPr>
        <w:tc>
          <w:tcPr>
            <w:tcW w:w="647" w:type="dxa"/>
            <w:tcBorders>
              <w:top w:val="single" w:sz="4" w:space="0" w:color="000000"/>
              <w:bottom w:val="single" w:sz="4" w:space="0" w:color="000000"/>
              <w:right w:val="single" w:sz="4" w:space="0" w:color="000000"/>
            </w:tcBorders>
          </w:tcPr>
          <w:p w14:paraId="24D60890"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91"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92"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93"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94"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95"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96"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97"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98"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99"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9A"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9B" w14:textId="77777777" w:rsidR="00245300" w:rsidRPr="00EC20A0" w:rsidRDefault="00245300">
            <w:pPr>
              <w:pStyle w:val="TableParagraph"/>
              <w:rPr>
                <w:sz w:val="16"/>
              </w:rPr>
            </w:pPr>
          </w:p>
        </w:tc>
      </w:tr>
      <w:tr w:rsidR="00245300" w:rsidRPr="00EC20A0" w14:paraId="24D6089E" w14:textId="77777777">
        <w:trPr>
          <w:trHeight w:val="447"/>
        </w:trPr>
        <w:tc>
          <w:tcPr>
            <w:tcW w:w="13005" w:type="dxa"/>
            <w:gridSpan w:val="13"/>
            <w:tcBorders>
              <w:top w:val="single" w:sz="4" w:space="0" w:color="000000"/>
              <w:bottom w:val="single" w:sz="4" w:space="0" w:color="000000"/>
            </w:tcBorders>
          </w:tcPr>
          <w:p w14:paraId="24D6089D" w14:textId="77777777" w:rsidR="00245300" w:rsidRPr="00EC20A0" w:rsidRDefault="00F17249">
            <w:pPr>
              <w:pStyle w:val="TableParagraph"/>
              <w:spacing w:before="121"/>
              <w:ind w:left="96"/>
              <w:rPr>
                <w:sz w:val="18"/>
              </w:rPr>
            </w:pPr>
            <w:r w:rsidRPr="00EC20A0">
              <w:rPr>
                <w:sz w:val="18"/>
              </w:rPr>
              <w:t>Preparation</w:t>
            </w:r>
            <w:r w:rsidRPr="00EC20A0">
              <w:rPr>
                <w:spacing w:val="-4"/>
                <w:sz w:val="18"/>
              </w:rPr>
              <w:t xml:space="preserve"> </w:t>
            </w:r>
            <w:r w:rsidRPr="00EC20A0">
              <w:rPr>
                <w:sz w:val="18"/>
              </w:rPr>
              <w:t>of</w:t>
            </w:r>
            <w:r w:rsidRPr="00EC20A0">
              <w:rPr>
                <w:spacing w:val="-3"/>
                <w:sz w:val="18"/>
              </w:rPr>
              <w:t xml:space="preserve"> </w:t>
            </w:r>
            <w:r w:rsidRPr="00EC20A0">
              <w:rPr>
                <w:sz w:val="18"/>
              </w:rPr>
              <w:t>financial</w:t>
            </w:r>
            <w:r w:rsidRPr="00EC20A0">
              <w:rPr>
                <w:spacing w:val="-2"/>
                <w:sz w:val="18"/>
              </w:rPr>
              <w:t xml:space="preserve"> </w:t>
            </w:r>
            <w:r w:rsidRPr="00EC20A0">
              <w:rPr>
                <w:sz w:val="18"/>
              </w:rPr>
              <w:t>statements</w:t>
            </w:r>
            <w:r w:rsidRPr="00EC20A0">
              <w:rPr>
                <w:spacing w:val="-3"/>
                <w:sz w:val="18"/>
              </w:rPr>
              <w:t xml:space="preserve"> </w:t>
            </w:r>
            <w:r w:rsidRPr="00EC20A0">
              <w:rPr>
                <w:sz w:val="18"/>
              </w:rPr>
              <w:t>in</w:t>
            </w:r>
            <w:r w:rsidRPr="00EC20A0">
              <w:rPr>
                <w:spacing w:val="-3"/>
                <w:sz w:val="18"/>
              </w:rPr>
              <w:t xml:space="preserve"> </w:t>
            </w:r>
            <w:r w:rsidRPr="00EC20A0">
              <w:rPr>
                <w:sz w:val="18"/>
              </w:rPr>
              <w:t>accordance</w:t>
            </w:r>
            <w:r w:rsidRPr="00EC20A0">
              <w:rPr>
                <w:spacing w:val="-4"/>
                <w:sz w:val="18"/>
              </w:rPr>
              <w:t xml:space="preserve"> </w:t>
            </w:r>
            <w:r w:rsidRPr="00EC20A0">
              <w:rPr>
                <w:sz w:val="18"/>
              </w:rPr>
              <w:t>with</w:t>
            </w:r>
            <w:r w:rsidRPr="00EC20A0">
              <w:rPr>
                <w:spacing w:val="-3"/>
                <w:sz w:val="18"/>
              </w:rPr>
              <w:t xml:space="preserve"> </w:t>
            </w:r>
            <w:r w:rsidRPr="00EC20A0">
              <w:rPr>
                <w:sz w:val="18"/>
              </w:rPr>
              <w:t>OMB</w:t>
            </w:r>
            <w:r w:rsidRPr="00EC20A0">
              <w:rPr>
                <w:spacing w:val="-3"/>
                <w:sz w:val="18"/>
              </w:rPr>
              <w:t xml:space="preserve"> </w:t>
            </w:r>
            <w:r w:rsidRPr="00EC20A0">
              <w:rPr>
                <w:sz w:val="18"/>
              </w:rPr>
              <w:t>Circular</w:t>
            </w:r>
            <w:r w:rsidRPr="00EC20A0">
              <w:rPr>
                <w:spacing w:val="-2"/>
                <w:sz w:val="18"/>
              </w:rPr>
              <w:t xml:space="preserve"> </w:t>
            </w:r>
            <w:r w:rsidRPr="00EC20A0">
              <w:rPr>
                <w:sz w:val="18"/>
              </w:rPr>
              <w:t>No.</w:t>
            </w:r>
            <w:r w:rsidRPr="00EC20A0">
              <w:rPr>
                <w:spacing w:val="-3"/>
                <w:sz w:val="18"/>
              </w:rPr>
              <w:t xml:space="preserve"> </w:t>
            </w:r>
            <w:r w:rsidRPr="00EC20A0">
              <w:rPr>
                <w:sz w:val="18"/>
              </w:rPr>
              <w:t>A-136</w:t>
            </w:r>
            <w:r w:rsidRPr="00EC20A0">
              <w:rPr>
                <w:spacing w:val="-3"/>
                <w:sz w:val="18"/>
              </w:rPr>
              <w:t xml:space="preserve"> </w:t>
            </w:r>
            <w:r w:rsidRPr="00EC20A0">
              <w:rPr>
                <w:sz w:val="18"/>
              </w:rPr>
              <w:t>(step</w:t>
            </w:r>
            <w:r w:rsidRPr="00EC20A0">
              <w:rPr>
                <w:spacing w:val="-3"/>
                <w:sz w:val="18"/>
              </w:rPr>
              <w:t xml:space="preserve"> </w:t>
            </w:r>
            <w:r w:rsidRPr="00EC20A0">
              <w:rPr>
                <w:spacing w:val="-2"/>
                <w:sz w:val="18"/>
              </w:rPr>
              <w:t>III.C)</w:t>
            </w:r>
          </w:p>
        </w:tc>
      </w:tr>
      <w:tr w:rsidR="00245300" w:rsidRPr="00EC20A0" w14:paraId="24D608AB" w14:textId="77777777">
        <w:trPr>
          <w:trHeight w:val="304"/>
        </w:trPr>
        <w:tc>
          <w:tcPr>
            <w:tcW w:w="647" w:type="dxa"/>
            <w:tcBorders>
              <w:top w:val="single" w:sz="4" w:space="0" w:color="000000"/>
              <w:bottom w:val="single" w:sz="4" w:space="0" w:color="000000"/>
              <w:right w:val="single" w:sz="4" w:space="0" w:color="000000"/>
            </w:tcBorders>
          </w:tcPr>
          <w:p w14:paraId="24D6089F"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A0"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A1"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A2"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A3"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A4"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A5"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A6"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A7"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A8"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A9"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AA" w14:textId="77777777" w:rsidR="00245300" w:rsidRPr="00EC20A0" w:rsidRDefault="00245300">
            <w:pPr>
              <w:pStyle w:val="TableParagraph"/>
              <w:rPr>
                <w:sz w:val="16"/>
              </w:rPr>
            </w:pPr>
          </w:p>
        </w:tc>
      </w:tr>
      <w:tr w:rsidR="00245300" w:rsidRPr="00EC20A0" w14:paraId="24D608B8" w14:textId="77777777">
        <w:trPr>
          <w:trHeight w:val="303"/>
        </w:trPr>
        <w:tc>
          <w:tcPr>
            <w:tcW w:w="647" w:type="dxa"/>
            <w:tcBorders>
              <w:top w:val="single" w:sz="4" w:space="0" w:color="000000"/>
              <w:bottom w:val="single" w:sz="4" w:space="0" w:color="000000"/>
              <w:right w:val="single" w:sz="4" w:space="0" w:color="000000"/>
            </w:tcBorders>
          </w:tcPr>
          <w:p w14:paraId="24D608AC"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AD"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AE"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AF"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B0"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B1"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B2"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B3"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B4"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B5"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B6"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B7" w14:textId="77777777" w:rsidR="00245300" w:rsidRPr="00EC20A0" w:rsidRDefault="00245300">
            <w:pPr>
              <w:pStyle w:val="TableParagraph"/>
              <w:rPr>
                <w:sz w:val="16"/>
              </w:rPr>
            </w:pPr>
          </w:p>
        </w:tc>
      </w:tr>
      <w:tr w:rsidR="00245300" w:rsidRPr="00EC20A0" w14:paraId="24D608C5" w14:textId="77777777">
        <w:trPr>
          <w:trHeight w:val="304"/>
        </w:trPr>
        <w:tc>
          <w:tcPr>
            <w:tcW w:w="647" w:type="dxa"/>
            <w:tcBorders>
              <w:top w:val="single" w:sz="4" w:space="0" w:color="000000"/>
              <w:bottom w:val="single" w:sz="4" w:space="0" w:color="000000"/>
              <w:right w:val="single" w:sz="4" w:space="0" w:color="000000"/>
            </w:tcBorders>
          </w:tcPr>
          <w:p w14:paraId="24D608B9"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8BA"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8BB"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8BC"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8BD"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8BE"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8BF"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8C0"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8C1"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8C2"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8C3"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8C4" w14:textId="77777777" w:rsidR="00245300" w:rsidRPr="00EC20A0" w:rsidRDefault="00245300">
            <w:pPr>
              <w:pStyle w:val="TableParagraph"/>
              <w:rPr>
                <w:sz w:val="16"/>
              </w:rPr>
            </w:pPr>
          </w:p>
        </w:tc>
      </w:tr>
      <w:tr w:rsidR="00245300" w:rsidRPr="00EC20A0" w14:paraId="24D608C7" w14:textId="77777777">
        <w:trPr>
          <w:trHeight w:val="447"/>
        </w:trPr>
        <w:tc>
          <w:tcPr>
            <w:tcW w:w="13005" w:type="dxa"/>
            <w:gridSpan w:val="13"/>
            <w:tcBorders>
              <w:top w:val="single" w:sz="4" w:space="0" w:color="000000"/>
              <w:bottom w:val="single" w:sz="4" w:space="0" w:color="000000"/>
            </w:tcBorders>
          </w:tcPr>
          <w:p w14:paraId="24D608C6" w14:textId="77777777" w:rsidR="00245300" w:rsidRPr="00EC20A0" w:rsidRDefault="00245300">
            <w:pPr>
              <w:pStyle w:val="TableParagraph"/>
              <w:rPr>
                <w:sz w:val="16"/>
              </w:rPr>
            </w:pPr>
          </w:p>
        </w:tc>
      </w:tr>
    </w:tbl>
    <w:p w14:paraId="24D608C8" w14:textId="77777777" w:rsidR="00245300" w:rsidRPr="00EC20A0" w:rsidRDefault="00245300">
      <w:pPr>
        <w:rPr>
          <w:sz w:val="16"/>
        </w:rPr>
        <w:sectPr w:rsidR="00245300" w:rsidRPr="00EC20A0">
          <w:type w:val="continuous"/>
          <w:pgSz w:w="15840" w:h="12240" w:orient="landscape"/>
          <w:pgMar w:top="1440" w:right="1480" w:bottom="1110" w:left="980" w:header="720" w:footer="757" w:gutter="0"/>
          <w:cols w:space="720"/>
        </w:sectPr>
      </w:pPr>
    </w:p>
    <w:tbl>
      <w:tblPr>
        <w:tblW w:w="0" w:type="auto"/>
        <w:tblInd w:w="26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47"/>
        <w:gridCol w:w="1005"/>
        <w:gridCol w:w="455"/>
        <w:gridCol w:w="839"/>
        <w:gridCol w:w="973"/>
        <w:gridCol w:w="2727"/>
        <w:gridCol w:w="262"/>
        <w:gridCol w:w="983"/>
        <w:gridCol w:w="1074"/>
        <w:gridCol w:w="493"/>
        <w:gridCol w:w="1077"/>
        <w:gridCol w:w="607"/>
        <w:gridCol w:w="1863"/>
      </w:tblGrid>
      <w:tr w:rsidR="00245300" w:rsidRPr="00EC20A0" w14:paraId="24D608CC" w14:textId="77777777">
        <w:trPr>
          <w:trHeight w:val="295"/>
        </w:trPr>
        <w:tc>
          <w:tcPr>
            <w:tcW w:w="6646" w:type="dxa"/>
            <w:gridSpan w:val="6"/>
            <w:tcBorders>
              <w:bottom w:val="nil"/>
              <w:right w:val="nil"/>
            </w:tcBorders>
          </w:tcPr>
          <w:p w14:paraId="24D608C9" w14:textId="77777777" w:rsidR="00245300" w:rsidRPr="00EC20A0" w:rsidRDefault="00F17249">
            <w:pPr>
              <w:pStyle w:val="TableParagraph"/>
              <w:spacing w:before="60"/>
              <w:ind w:left="96"/>
              <w:rPr>
                <w:sz w:val="16"/>
              </w:rPr>
            </w:pPr>
            <w:r w:rsidRPr="00EC20A0">
              <w:rPr>
                <w:sz w:val="16"/>
              </w:rPr>
              <w:t>Source</w:t>
            </w:r>
            <w:r w:rsidRPr="00EC20A0">
              <w:rPr>
                <w:spacing w:val="-8"/>
                <w:sz w:val="16"/>
              </w:rPr>
              <w:t xml:space="preserve"> </w:t>
            </w:r>
            <w:r w:rsidRPr="00EC20A0">
              <w:rPr>
                <w:sz w:val="16"/>
              </w:rPr>
              <w:t>of</w:t>
            </w:r>
            <w:r w:rsidRPr="00EC20A0">
              <w:rPr>
                <w:spacing w:val="-7"/>
                <w:sz w:val="16"/>
              </w:rPr>
              <w:t xml:space="preserve"> </w:t>
            </w:r>
            <w:r w:rsidRPr="00EC20A0">
              <w:rPr>
                <w:sz w:val="16"/>
              </w:rPr>
              <w:t>information</w:t>
            </w:r>
            <w:r w:rsidRPr="00EC20A0">
              <w:rPr>
                <w:spacing w:val="-8"/>
                <w:sz w:val="16"/>
              </w:rPr>
              <w:t xml:space="preserve"> </w:t>
            </w:r>
            <w:r w:rsidRPr="00EC20A0">
              <w:rPr>
                <w:sz w:val="16"/>
              </w:rPr>
              <w:t>used</w:t>
            </w:r>
            <w:r w:rsidRPr="00EC20A0">
              <w:rPr>
                <w:spacing w:val="-7"/>
                <w:sz w:val="16"/>
              </w:rPr>
              <w:t xml:space="preserve"> </w:t>
            </w:r>
            <w:r w:rsidRPr="00EC20A0">
              <w:rPr>
                <w:sz w:val="16"/>
              </w:rPr>
              <w:t>in</w:t>
            </w:r>
            <w:r w:rsidRPr="00EC20A0">
              <w:rPr>
                <w:spacing w:val="-7"/>
                <w:sz w:val="16"/>
              </w:rPr>
              <w:t xml:space="preserve"> </w:t>
            </w:r>
            <w:r w:rsidRPr="00EC20A0">
              <w:rPr>
                <w:sz w:val="16"/>
              </w:rPr>
              <w:t>identifying</w:t>
            </w:r>
            <w:r w:rsidRPr="00EC20A0">
              <w:rPr>
                <w:spacing w:val="-8"/>
                <w:sz w:val="16"/>
              </w:rPr>
              <w:t xml:space="preserve"> </w:t>
            </w:r>
            <w:r w:rsidRPr="00EC20A0">
              <w:rPr>
                <w:sz w:val="16"/>
              </w:rPr>
              <w:t>deficiencies</w:t>
            </w:r>
            <w:r w:rsidRPr="00EC20A0">
              <w:rPr>
                <w:spacing w:val="-6"/>
                <w:sz w:val="16"/>
              </w:rPr>
              <w:t xml:space="preserve"> </w:t>
            </w:r>
            <w:r w:rsidRPr="00EC20A0">
              <w:rPr>
                <w:sz w:val="16"/>
              </w:rPr>
              <w:t>in</w:t>
            </w:r>
            <w:r w:rsidRPr="00EC20A0">
              <w:rPr>
                <w:spacing w:val="-8"/>
                <w:sz w:val="16"/>
              </w:rPr>
              <w:t xml:space="preserve"> </w:t>
            </w:r>
            <w:r w:rsidRPr="00EC20A0">
              <w:rPr>
                <w:sz w:val="16"/>
              </w:rPr>
              <w:t>entity</w:t>
            </w:r>
            <w:r w:rsidRPr="00EC20A0">
              <w:rPr>
                <w:spacing w:val="-6"/>
                <w:sz w:val="16"/>
              </w:rPr>
              <w:t xml:space="preserve"> </w:t>
            </w:r>
            <w:r w:rsidRPr="00EC20A0">
              <w:rPr>
                <w:spacing w:val="-2"/>
                <w:sz w:val="16"/>
              </w:rPr>
              <w:t>systems</w:t>
            </w:r>
          </w:p>
        </w:tc>
        <w:tc>
          <w:tcPr>
            <w:tcW w:w="262" w:type="dxa"/>
            <w:vMerge w:val="restart"/>
            <w:tcBorders>
              <w:left w:val="nil"/>
              <w:right w:val="single" w:sz="4" w:space="0" w:color="000000"/>
            </w:tcBorders>
          </w:tcPr>
          <w:p w14:paraId="24D608CA" w14:textId="77777777" w:rsidR="00245300" w:rsidRPr="00EC20A0" w:rsidRDefault="00245300">
            <w:pPr>
              <w:pStyle w:val="TableParagraph"/>
              <w:rPr>
                <w:sz w:val="16"/>
              </w:rPr>
            </w:pPr>
          </w:p>
        </w:tc>
        <w:tc>
          <w:tcPr>
            <w:tcW w:w="6097" w:type="dxa"/>
            <w:gridSpan w:val="6"/>
            <w:tcBorders>
              <w:left w:val="single" w:sz="4" w:space="0" w:color="000000"/>
              <w:bottom w:val="nil"/>
            </w:tcBorders>
          </w:tcPr>
          <w:p w14:paraId="24D608CB" w14:textId="77777777" w:rsidR="00245300" w:rsidRPr="00EC20A0" w:rsidRDefault="00F17249">
            <w:pPr>
              <w:pStyle w:val="TableParagraph"/>
              <w:spacing w:before="60"/>
              <w:ind w:left="108"/>
              <w:rPr>
                <w:sz w:val="16"/>
              </w:rPr>
            </w:pPr>
            <w:r w:rsidRPr="00EC20A0">
              <w:rPr>
                <w:sz w:val="16"/>
              </w:rPr>
              <w:t>Effect</w:t>
            </w:r>
            <w:r w:rsidRPr="00EC20A0">
              <w:rPr>
                <w:spacing w:val="-6"/>
                <w:sz w:val="16"/>
              </w:rPr>
              <w:t xml:space="preserve"> </w:t>
            </w:r>
            <w:r w:rsidRPr="00EC20A0">
              <w:rPr>
                <w:sz w:val="16"/>
              </w:rPr>
              <w:t>of</w:t>
            </w:r>
            <w:r w:rsidRPr="00EC20A0">
              <w:rPr>
                <w:spacing w:val="-5"/>
                <w:sz w:val="16"/>
              </w:rPr>
              <w:t xml:space="preserve"> </w:t>
            </w:r>
            <w:r w:rsidRPr="00EC20A0">
              <w:rPr>
                <w:sz w:val="16"/>
              </w:rPr>
              <w:t>systems’</w:t>
            </w:r>
            <w:r w:rsidRPr="00EC20A0">
              <w:rPr>
                <w:spacing w:val="-4"/>
                <w:sz w:val="16"/>
              </w:rPr>
              <w:t xml:space="preserve"> </w:t>
            </w:r>
            <w:r w:rsidRPr="00EC20A0">
              <w:rPr>
                <w:spacing w:val="-2"/>
                <w:sz w:val="16"/>
              </w:rPr>
              <w:t>noncompliance</w:t>
            </w:r>
          </w:p>
        </w:tc>
      </w:tr>
      <w:tr w:rsidR="00245300" w:rsidRPr="00EC20A0" w14:paraId="24D608D2" w14:textId="77777777">
        <w:trPr>
          <w:trHeight w:val="283"/>
        </w:trPr>
        <w:tc>
          <w:tcPr>
            <w:tcW w:w="647" w:type="dxa"/>
            <w:vMerge w:val="restart"/>
            <w:tcBorders>
              <w:top w:val="nil"/>
              <w:right w:val="single" w:sz="4" w:space="0" w:color="000000"/>
            </w:tcBorders>
          </w:tcPr>
          <w:p w14:paraId="24D608CD" w14:textId="77777777" w:rsidR="00245300" w:rsidRPr="00EC20A0" w:rsidRDefault="00245300">
            <w:pPr>
              <w:pStyle w:val="TableParagraph"/>
              <w:rPr>
                <w:sz w:val="16"/>
              </w:rPr>
            </w:pPr>
          </w:p>
        </w:tc>
        <w:tc>
          <w:tcPr>
            <w:tcW w:w="5999" w:type="dxa"/>
            <w:gridSpan w:val="5"/>
            <w:tcBorders>
              <w:top w:val="single" w:sz="4" w:space="0" w:color="000000"/>
              <w:left w:val="single" w:sz="4" w:space="0" w:color="000000"/>
              <w:bottom w:val="nil"/>
              <w:right w:val="nil"/>
            </w:tcBorders>
          </w:tcPr>
          <w:p w14:paraId="24D608CE" w14:textId="77777777" w:rsidR="00245300" w:rsidRPr="00EC20A0" w:rsidRDefault="00F17249">
            <w:pPr>
              <w:pStyle w:val="TableParagraph"/>
              <w:spacing w:before="49"/>
              <w:ind w:left="107"/>
              <w:rPr>
                <w:sz w:val="16"/>
              </w:rPr>
            </w:pPr>
            <w:r w:rsidRPr="00EC20A0">
              <w:rPr>
                <w:sz w:val="16"/>
              </w:rPr>
              <w:t>Nature</w:t>
            </w:r>
            <w:r w:rsidRPr="00EC20A0">
              <w:rPr>
                <w:spacing w:val="-6"/>
                <w:sz w:val="16"/>
              </w:rPr>
              <w:t xml:space="preserve"> </w:t>
            </w:r>
            <w:r w:rsidRPr="00EC20A0">
              <w:rPr>
                <w:sz w:val="16"/>
              </w:rPr>
              <w:t>and</w:t>
            </w:r>
            <w:r w:rsidRPr="00EC20A0">
              <w:rPr>
                <w:spacing w:val="-5"/>
                <w:sz w:val="16"/>
              </w:rPr>
              <w:t xml:space="preserve"> </w:t>
            </w:r>
            <w:r w:rsidRPr="00EC20A0">
              <w:rPr>
                <w:sz w:val="16"/>
              </w:rPr>
              <w:t>extent</w:t>
            </w:r>
            <w:r w:rsidRPr="00EC20A0">
              <w:rPr>
                <w:spacing w:val="-5"/>
                <w:sz w:val="16"/>
              </w:rPr>
              <w:t xml:space="preserve"> </w:t>
            </w:r>
            <w:r w:rsidRPr="00EC20A0">
              <w:rPr>
                <w:sz w:val="16"/>
              </w:rPr>
              <w:t>of</w:t>
            </w:r>
            <w:r w:rsidRPr="00EC20A0">
              <w:rPr>
                <w:spacing w:val="-6"/>
                <w:sz w:val="16"/>
              </w:rPr>
              <w:t xml:space="preserve"> </w:t>
            </w:r>
            <w:r w:rsidRPr="00EC20A0">
              <w:rPr>
                <w:sz w:val="16"/>
              </w:rPr>
              <w:t>systems’</w:t>
            </w:r>
            <w:r w:rsidRPr="00EC20A0">
              <w:rPr>
                <w:spacing w:val="-4"/>
                <w:sz w:val="16"/>
              </w:rPr>
              <w:t xml:space="preserve"> </w:t>
            </w:r>
            <w:r w:rsidRPr="00EC20A0">
              <w:rPr>
                <w:spacing w:val="-2"/>
                <w:sz w:val="16"/>
              </w:rPr>
              <w:t>noncompliance</w:t>
            </w:r>
          </w:p>
        </w:tc>
        <w:tc>
          <w:tcPr>
            <w:tcW w:w="262" w:type="dxa"/>
            <w:vMerge/>
            <w:tcBorders>
              <w:top w:val="nil"/>
              <w:left w:val="nil"/>
              <w:right w:val="single" w:sz="4" w:space="0" w:color="000000"/>
            </w:tcBorders>
          </w:tcPr>
          <w:p w14:paraId="24D608CF" w14:textId="77777777" w:rsidR="00245300" w:rsidRPr="00EC20A0" w:rsidRDefault="00245300">
            <w:pPr>
              <w:rPr>
                <w:sz w:val="2"/>
                <w:szCs w:val="2"/>
              </w:rPr>
            </w:pPr>
          </w:p>
        </w:tc>
        <w:tc>
          <w:tcPr>
            <w:tcW w:w="983" w:type="dxa"/>
            <w:vMerge w:val="restart"/>
            <w:tcBorders>
              <w:top w:val="nil"/>
              <w:left w:val="single" w:sz="4" w:space="0" w:color="000000"/>
              <w:right w:val="single" w:sz="4" w:space="0" w:color="000000"/>
            </w:tcBorders>
          </w:tcPr>
          <w:p w14:paraId="24D608D0" w14:textId="77777777" w:rsidR="00245300" w:rsidRPr="00EC20A0" w:rsidRDefault="00245300">
            <w:pPr>
              <w:pStyle w:val="TableParagraph"/>
              <w:rPr>
                <w:sz w:val="16"/>
              </w:rPr>
            </w:pPr>
          </w:p>
        </w:tc>
        <w:tc>
          <w:tcPr>
            <w:tcW w:w="5114" w:type="dxa"/>
            <w:gridSpan w:val="5"/>
            <w:tcBorders>
              <w:top w:val="single" w:sz="4" w:space="0" w:color="000000"/>
              <w:left w:val="single" w:sz="4" w:space="0" w:color="000000"/>
              <w:bottom w:val="nil"/>
            </w:tcBorders>
          </w:tcPr>
          <w:p w14:paraId="24D608D1" w14:textId="77777777" w:rsidR="00245300" w:rsidRPr="00EC20A0" w:rsidRDefault="00F17249">
            <w:pPr>
              <w:pStyle w:val="TableParagraph"/>
              <w:spacing w:before="49"/>
              <w:ind w:left="109"/>
              <w:rPr>
                <w:sz w:val="16"/>
              </w:rPr>
            </w:pPr>
            <w:r w:rsidRPr="00EC20A0">
              <w:rPr>
                <w:sz w:val="16"/>
              </w:rPr>
              <w:t>Agency</w:t>
            </w:r>
            <w:r w:rsidRPr="00EC20A0">
              <w:rPr>
                <w:spacing w:val="-6"/>
                <w:sz w:val="16"/>
              </w:rPr>
              <w:t xml:space="preserve"> </w:t>
            </w:r>
            <w:r w:rsidRPr="00EC20A0">
              <w:rPr>
                <w:sz w:val="16"/>
              </w:rPr>
              <w:t>comments</w:t>
            </w:r>
            <w:r w:rsidRPr="00EC20A0">
              <w:rPr>
                <w:spacing w:val="-5"/>
                <w:sz w:val="16"/>
              </w:rPr>
              <w:t xml:space="preserve"> </w:t>
            </w:r>
            <w:r w:rsidRPr="00EC20A0">
              <w:rPr>
                <w:sz w:val="16"/>
              </w:rPr>
              <w:t>on</w:t>
            </w:r>
            <w:r w:rsidRPr="00EC20A0">
              <w:rPr>
                <w:spacing w:val="-7"/>
                <w:sz w:val="16"/>
              </w:rPr>
              <w:t xml:space="preserve"> </w:t>
            </w:r>
            <w:r w:rsidRPr="00EC20A0">
              <w:rPr>
                <w:sz w:val="16"/>
              </w:rPr>
              <w:t>systems’</w:t>
            </w:r>
            <w:r w:rsidRPr="00EC20A0">
              <w:rPr>
                <w:spacing w:val="-5"/>
                <w:sz w:val="16"/>
              </w:rPr>
              <w:t xml:space="preserve"> </w:t>
            </w:r>
            <w:r w:rsidRPr="00EC20A0">
              <w:rPr>
                <w:spacing w:val="-2"/>
                <w:sz w:val="16"/>
              </w:rPr>
              <w:t>noncompliance</w:t>
            </w:r>
          </w:p>
        </w:tc>
      </w:tr>
      <w:tr w:rsidR="00245300" w:rsidRPr="00EC20A0" w14:paraId="24D608DA" w14:textId="77777777">
        <w:trPr>
          <w:trHeight w:val="284"/>
        </w:trPr>
        <w:tc>
          <w:tcPr>
            <w:tcW w:w="647" w:type="dxa"/>
            <w:vMerge/>
            <w:tcBorders>
              <w:top w:val="nil"/>
              <w:right w:val="single" w:sz="4" w:space="0" w:color="000000"/>
            </w:tcBorders>
          </w:tcPr>
          <w:p w14:paraId="24D608D3" w14:textId="77777777" w:rsidR="00245300" w:rsidRPr="00EC20A0" w:rsidRDefault="00245300">
            <w:pPr>
              <w:rPr>
                <w:sz w:val="2"/>
                <w:szCs w:val="2"/>
              </w:rPr>
            </w:pPr>
          </w:p>
        </w:tc>
        <w:tc>
          <w:tcPr>
            <w:tcW w:w="1005" w:type="dxa"/>
            <w:vMerge w:val="restart"/>
            <w:tcBorders>
              <w:top w:val="nil"/>
              <w:left w:val="single" w:sz="4" w:space="0" w:color="000000"/>
              <w:right w:val="single" w:sz="4" w:space="0" w:color="000000"/>
            </w:tcBorders>
          </w:tcPr>
          <w:p w14:paraId="24D608D4" w14:textId="77777777" w:rsidR="00245300" w:rsidRPr="00EC20A0" w:rsidRDefault="00245300">
            <w:pPr>
              <w:pStyle w:val="TableParagraph"/>
              <w:rPr>
                <w:sz w:val="16"/>
              </w:rPr>
            </w:pPr>
          </w:p>
        </w:tc>
        <w:tc>
          <w:tcPr>
            <w:tcW w:w="4994" w:type="dxa"/>
            <w:gridSpan w:val="4"/>
            <w:tcBorders>
              <w:top w:val="single" w:sz="4" w:space="0" w:color="000000"/>
              <w:left w:val="single" w:sz="4" w:space="0" w:color="000000"/>
              <w:bottom w:val="nil"/>
              <w:right w:val="nil"/>
            </w:tcBorders>
          </w:tcPr>
          <w:p w14:paraId="24D608D5" w14:textId="77777777" w:rsidR="00245300" w:rsidRPr="00EC20A0" w:rsidRDefault="00F17249">
            <w:pPr>
              <w:pStyle w:val="TableParagraph"/>
              <w:spacing w:before="51"/>
              <w:ind w:left="106"/>
              <w:rPr>
                <w:sz w:val="16"/>
              </w:rPr>
            </w:pPr>
            <w:r w:rsidRPr="00EC20A0">
              <w:rPr>
                <w:sz w:val="16"/>
              </w:rPr>
              <w:t>Substantial</w:t>
            </w:r>
            <w:r w:rsidRPr="00EC20A0">
              <w:rPr>
                <w:spacing w:val="-6"/>
                <w:sz w:val="16"/>
              </w:rPr>
              <w:t xml:space="preserve"> </w:t>
            </w:r>
            <w:r w:rsidRPr="00EC20A0">
              <w:rPr>
                <w:sz w:val="16"/>
              </w:rPr>
              <w:t>but</w:t>
            </w:r>
            <w:r w:rsidRPr="00EC20A0">
              <w:rPr>
                <w:spacing w:val="-6"/>
                <w:sz w:val="16"/>
              </w:rPr>
              <w:t xml:space="preserve"> </w:t>
            </w:r>
            <w:r w:rsidRPr="00EC20A0">
              <w:rPr>
                <w:sz w:val="16"/>
              </w:rPr>
              <w:t>not</w:t>
            </w:r>
            <w:r w:rsidRPr="00EC20A0">
              <w:rPr>
                <w:spacing w:val="-6"/>
                <w:sz w:val="16"/>
              </w:rPr>
              <w:t xml:space="preserve"> </w:t>
            </w:r>
            <w:r w:rsidRPr="00EC20A0">
              <w:rPr>
                <w:sz w:val="16"/>
              </w:rPr>
              <w:t>full</w:t>
            </w:r>
            <w:r w:rsidRPr="00EC20A0">
              <w:rPr>
                <w:spacing w:val="-6"/>
                <w:sz w:val="16"/>
              </w:rPr>
              <w:t xml:space="preserve"> </w:t>
            </w:r>
            <w:r w:rsidRPr="00EC20A0">
              <w:rPr>
                <w:sz w:val="16"/>
              </w:rPr>
              <w:t>compliance?</w:t>
            </w:r>
            <w:r w:rsidRPr="00EC20A0">
              <w:rPr>
                <w:spacing w:val="-6"/>
                <w:sz w:val="16"/>
              </w:rPr>
              <w:t xml:space="preserve"> </w:t>
            </w:r>
            <w:r w:rsidRPr="00EC20A0">
              <w:rPr>
                <w:sz w:val="16"/>
              </w:rPr>
              <w:t>(Y</w:t>
            </w:r>
            <w:r w:rsidRPr="00EC20A0">
              <w:rPr>
                <w:spacing w:val="-6"/>
                <w:sz w:val="16"/>
              </w:rPr>
              <w:t xml:space="preserve"> </w:t>
            </w:r>
            <w:r w:rsidRPr="00EC20A0">
              <w:rPr>
                <w:sz w:val="16"/>
              </w:rPr>
              <w:t>or</w:t>
            </w:r>
            <w:r w:rsidRPr="00EC20A0">
              <w:rPr>
                <w:spacing w:val="-5"/>
                <w:sz w:val="16"/>
              </w:rPr>
              <w:t xml:space="preserve"> N)</w:t>
            </w:r>
          </w:p>
        </w:tc>
        <w:tc>
          <w:tcPr>
            <w:tcW w:w="262" w:type="dxa"/>
            <w:vMerge/>
            <w:tcBorders>
              <w:top w:val="nil"/>
              <w:left w:val="nil"/>
              <w:right w:val="single" w:sz="4" w:space="0" w:color="000000"/>
            </w:tcBorders>
          </w:tcPr>
          <w:p w14:paraId="24D608D6"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8D7" w14:textId="77777777" w:rsidR="00245300" w:rsidRPr="00EC20A0" w:rsidRDefault="00245300">
            <w:pPr>
              <w:rPr>
                <w:sz w:val="2"/>
                <w:szCs w:val="2"/>
              </w:rPr>
            </w:pPr>
          </w:p>
        </w:tc>
        <w:tc>
          <w:tcPr>
            <w:tcW w:w="1074" w:type="dxa"/>
            <w:vMerge w:val="restart"/>
            <w:tcBorders>
              <w:top w:val="nil"/>
              <w:left w:val="single" w:sz="4" w:space="0" w:color="000000"/>
              <w:right w:val="single" w:sz="4" w:space="0" w:color="000000"/>
            </w:tcBorders>
          </w:tcPr>
          <w:p w14:paraId="24D608D8" w14:textId="77777777" w:rsidR="00245300" w:rsidRPr="00EC20A0" w:rsidRDefault="00245300">
            <w:pPr>
              <w:pStyle w:val="TableParagraph"/>
              <w:rPr>
                <w:sz w:val="16"/>
              </w:rPr>
            </w:pPr>
          </w:p>
        </w:tc>
        <w:tc>
          <w:tcPr>
            <w:tcW w:w="4040" w:type="dxa"/>
            <w:gridSpan w:val="4"/>
            <w:tcBorders>
              <w:top w:val="single" w:sz="4" w:space="0" w:color="000000"/>
              <w:left w:val="single" w:sz="4" w:space="0" w:color="000000"/>
              <w:bottom w:val="nil"/>
            </w:tcBorders>
          </w:tcPr>
          <w:p w14:paraId="24D608D9" w14:textId="77777777" w:rsidR="00245300" w:rsidRPr="00EC20A0" w:rsidRDefault="00F17249">
            <w:pPr>
              <w:pStyle w:val="TableParagraph"/>
              <w:spacing w:before="51"/>
              <w:ind w:left="110"/>
              <w:rPr>
                <w:sz w:val="16"/>
              </w:rPr>
            </w:pPr>
            <w:r w:rsidRPr="00EC20A0">
              <w:rPr>
                <w:sz w:val="16"/>
              </w:rPr>
              <w:t>Corrective</w:t>
            </w:r>
            <w:r w:rsidRPr="00EC20A0">
              <w:rPr>
                <w:spacing w:val="-8"/>
                <w:sz w:val="16"/>
              </w:rPr>
              <w:t xml:space="preserve"> </w:t>
            </w:r>
            <w:r w:rsidRPr="00EC20A0">
              <w:rPr>
                <w:sz w:val="16"/>
              </w:rPr>
              <w:t>action</w:t>
            </w:r>
            <w:r w:rsidRPr="00EC20A0">
              <w:rPr>
                <w:spacing w:val="-7"/>
                <w:sz w:val="16"/>
              </w:rPr>
              <w:t xml:space="preserve"> </w:t>
            </w:r>
            <w:r w:rsidRPr="00EC20A0">
              <w:rPr>
                <w:sz w:val="16"/>
              </w:rPr>
              <w:t>in</w:t>
            </w:r>
            <w:r w:rsidRPr="00EC20A0">
              <w:rPr>
                <w:spacing w:val="-7"/>
                <w:sz w:val="16"/>
              </w:rPr>
              <w:t xml:space="preserve"> </w:t>
            </w:r>
            <w:r w:rsidRPr="00EC20A0">
              <w:rPr>
                <w:sz w:val="16"/>
              </w:rPr>
              <w:t>remediation</w:t>
            </w:r>
            <w:r w:rsidRPr="00EC20A0">
              <w:rPr>
                <w:spacing w:val="-7"/>
                <w:sz w:val="16"/>
              </w:rPr>
              <w:t xml:space="preserve"> </w:t>
            </w:r>
            <w:r w:rsidRPr="00EC20A0">
              <w:rPr>
                <w:sz w:val="16"/>
              </w:rPr>
              <w:t>plan?</w:t>
            </w:r>
            <w:r w:rsidRPr="00EC20A0">
              <w:rPr>
                <w:spacing w:val="-7"/>
                <w:sz w:val="16"/>
              </w:rPr>
              <w:t xml:space="preserve"> </w:t>
            </w:r>
            <w:r w:rsidRPr="00EC20A0">
              <w:rPr>
                <w:sz w:val="16"/>
              </w:rPr>
              <w:t>(Y</w:t>
            </w:r>
            <w:r w:rsidRPr="00EC20A0">
              <w:rPr>
                <w:spacing w:val="-6"/>
                <w:sz w:val="16"/>
              </w:rPr>
              <w:t xml:space="preserve"> </w:t>
            </w:r>
            <w:r w:rsidRPr="00EC20A0">
              <w:rPr>
                <w:sz w:val="16"/>
              </w:rPr>
              <w:t>or</w:t>
            </w:r>
            <w:r w:rsidRPr="00EC20A0">
              <w:rPr>
                <w:spacing w:val="-7"/>
                <w:sz w:val="16"/>
              </w:rPr>
              <w:t xml:space="preserve"> </w:t>
            </w:r>
            <w:r w:rsidRPr="00EC20A0">
              <w:rPr>
                <w:spacing w:val="-5"/>
                <w:sz w:val="16"/>
              </w:rPr>
              <w:t>N)</w:t>
            </w:r>
          </w:p>
        </w:tc>
      </w:tr>
      <w:tr w:rsidR="00245300" w:rsidRPr="00EC20A0" w14:paraId="24D608E4" w14:textId="77777777">
        <w:trPr>
          <w:trHeight w:val="284"/>
        </w:trPr>
        <w:tc>
          <w:tcPr>
            <w:tcW w:w="647" w:type="dxa"/>
            <w:vMerge/>
            <w:tcBorders>
              <w:top w:val="nil"/>
              <w:right w:val="single" w:sz="4" w:space="0" w:color="000000"/>
            </w:tcBorders>
          </w:tcPr>
          <w:p w14:paraId="24D608DB"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8DC" w14:textId="77777777" w:rsidR="00245300" w:rsidRPr="00EC20A0" w:rsidRDefault="00245300">
            <w:pPr>
              <w:rPr>
                <w:sz w:val="2"/>
                <w:szCs w:val="2"/>
              </w:rPr>
            </w:pPr>
          </w:p>
        </w:tc>
        <w:tc>
          <w:tcPr>
            <w:tcW w:w="455" w:type="dxa"/>
            <w:vMerge w:val="restart"/>
            <w:tcBorders>
              <w:top w:val="nil"/>
              <w:left w:val="single" w:sz="4" w:space="0" w:color="000000"/>
              <w:right w:val="single" w:sz="4" w:space="0" w:color="000000"/>
            </w:tcBorders>
          </w:tcPr>
          <w:p w14:paraId="24D608DD" w14:textId="77777777" w:rsidR="00245300" w:rsidRPr="00EC20A0" w:rsidRDefault="00245300">
            <w:pPr>
              <w:pStyle w:val="TableParagraph"/>
              <w:rPr>
                <w:sz w:val="16"/>
              </w:rPr>
            </w:pPr>
          </w:p>
        </w:tc>
        <w:tc>
          <w:tcPr>
            <w:tcW w:w="4539" w:type="dxa"/>
            <w:gridSpan w:val="3"/>
            <w:tcBorders>
              <w:top w:val="single" w:sz="4" w:space="0" w:color="000000"/>
              <w:left w:val="single" w:sz="4" w:space="0" w:color="000000"/>
              <w:bottom w:val="nil"/>
              <w:right w:val="nil"/>
            </w:tcBorders>
          </w:tcPr>
          <w:p w14:paraId="24D608DE" w14:textId="77777777" w:rsidR="00245300" w:rsidRPr="00EC20A0" w:rsidRDefault="00F17249">
            <w:pPr>
              <w:pStyle w:val="TableParagraph"/>
              <w:spacing w:before="49"/>
              <w:ind w:left="106"/>
              <w:rPr>
                <w:sz w:val="16"/>
              </w:rPr>
            </w:pPr>
            <w:r w:rsidRPr="00EC20A0">
              <w:rPr>
                <w:sz w:val="16"/>
              </w:rPr>
              <w:t>Applicable</w:t>
            </w:r>
            <w:r w:rsidRPr="00EC20A0">
              <w:rPr>
                <w:spacing w:val="-7"/>
                <w:sz w:val="16"/>
              </w:rPr>
              <w:t xml:space="preserve"> </w:t>
            </w:r>
            <w:r w:rsidRPr="00EC20A0">
              <w:rPr>
                <w:sz w:val="16"/>
              </w:rPr>
              <w:t>criteria</w:t>
            </w:r>
            <w:r w:rsidRPr="00EC20A0">
              <w:rPr>
                <w:spacing w:val="-7"/>
                <w:sz w:val="16"/>
              </w:rPr>
              <w:t xml:space="preserve"> </w:t>
            </w:r>
            <w:r w:rsidRPr="00EC20A0">
              <w:rPr>
                <w:sz w:val="16"/>
              </w:rPr>
              <w:t>(OMB</w:t>
            </w:r>
            <w:r w:rsidRPr="00EC20A0">
              <w:rPr>
                <w:spacing w:val="-5"/>
                <w:sz w:val="16"/>
              </w:rPr>
              <w:t xml:space="preserve"> </w:t>
            </w:r>
            <w:r w:rsidRPr="00EC20A0">
              <w:rPr>
                <w:sz w:val="16"/>
              </w:rPr>
              <w:t>Circular</w:t>
            </w:r>
            <w:r w:rsidRPr="00EC20A0">
              <w:rPr>
                <w:spacing w:val="-6"/>
                <w:sz w:val="16"/>
              </w:rPr>
              <w:t xml:space="preserve"> </w:t>
            </w:r>
            <w:r w:rsidRPr="00EC20A0">
              <w:rPr>
                <w:sz w:val="16"/>
              </w:rPr>
              <w:t>No.</w:t>
            </w:r>
            <w:r w:rsidRPr="00EC20A0">
              <w:rPr>
                <w:spacing w:val="-6"/>
                <w:sz w:val="16"/>
              </w:rPr>
              <w:t xml:space="preserve"> </w:t>
            </w:r>
            <w:r w:rsidRPr="00EC20A0">
              <w:rPr>
                <w:sz w:val="16"/>
              </w:rPr>
              <w:t>A-123,</w:t>
            </w:r>
            <w:r w:rsidRPr="00EC20A0">
              <w:rPr>
                <w:spacing w:val="-5"/>
                <w:sz w:val="16"/>
              </w:rPr>
              <w:t xml:space="preserve"> </w:t>
            </w:r>
            <w:r w:rsidRPr="00EC20A0">
              <w:rPr>
                <w:sz w:val="16"/>
              </w:rPr>
              <w:t>app.</w:t>
            </w:r>
            <w:r w:rsidRPr="00EC20A0">
              <w:rPr>
                <w:spacing w:val="-5"/>
                <w:sz w:val="16"/>
              </w:rPr>
              <w:t xml:space="preserve"> </w:t>
            </w:r>
            <w:r w:rsidRPr="00EC20A0">
              <w:rPr>
                <w:sz w:val="16"/>
              </w:rPr>
              <w:t>D</w:t>
            </w:r>
            <w:r w:rsidRPr="00EC20A0">
              <w:rPr>
                <w:spacing w:val="-7"/>
                <w:sz w:val="16"/>
              </w:rPr>
              <w:t xml:space="preserve"> </w:t>
            </w:r>
            <w:r w:rsidRPr="00EC20A0">
              <w:rPr>
                <w:spacing w:val="-2"/>
                <w:sz w:val="16"/>
              </w:rPr>
              <w:t>citation)</w:t>
            </w:r>
          </w:p>
        </w:tc>
        <w:tc>
          <w:tcPr>
            <w:tcW w:w="262" w:type="dxa"/>
            <w:vMerge/>
            <w:tcBorders>
              <w:top w:val="nil"/>
              <w:left w:val="nil"/>
              <w:right w:val="single" w:sz="4" w:space="0" w:color="000000"/>
            </w:tcBorders>
          </w:tcPr>
          <w:p w14:paraId="24D608DF"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8E0"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8E1" w14:textId="77777777" w:rsidR="00245300" w:rsidRPr="00EC20A0" w:rsidRDefault="00245300">
            <w:pPr>
              <w:rPr>
                <w:sz w:val="2"/>
                <w:szCs w:val="2"/>
              </w:rPr>
            </w:pPr>
          </w:p>
        </w:tc>
        <w:tc>
          <w:tcPr>
            <w:tcW w:w="493" w:type="dxa"/>
            <w:vMerge w:val="restart"/>
            <w:tcBorders>
              <w:top w:val="nil"/>
              <w:left w:val="single" w:sz="4" w:space="0" w:color="000000"/>
              <w:right w:val="single" w:sz="4" w:space="0" w:color="000000"/>
            </w:tcBorders>
          </w:tcPr>
          <w:p w14:paraId="24D608E2" w14:textId="77777777" w:rsidR="00245300" w:rsidRPr="00EC20A0" w:rsidRDefault="00245300">
            <w:pPr>
              <w:pStyle w:val="TableParagraph"/>
              <w:rPr>
                <w:sz w:val="16"/>
              </w:rPr>
            </w:pPr>
          </w:p>
        </w:tc>
        <w:tc>
          <w:tcPr>
            <w:tcW w:w="3547" w:type="dxa"/>
            <w:gridSpan w:val="3"/>
            <w:tcBorders>
              <w:top w:val="single" w:sz="4" w:space="0" w:color="000000"/>
              <w:left w:val="single" w:sz="4" w:space="0" w:color="000000"/>
              <w:bottom w:val="nil"/>
            </w:tcBorders>
          </w:tcPr>
          <w:p w14:paraId="24D608E3" w14:textId="77777777" w:rsidR="00245300" w:rsidRPr="00EC20A0" w:rsidRDefault="00F17249">
            <w:pPr>
              <w:pStyle w:val="TableParagraph"/>
              <w:spacing w:before="49"/>
              <w:ind w:left="111"/>
              <w:rPr>
                <w:sz w:val="16"/>
              </w:rPr>
            </w:pPr>
            <w:r w:rsidRPr="00EC20A0">
              <w:rPr>
                <w:sz w:val="16"/>
              </w:rPr>
              <w:t>Assessment</w:t>
            </w:r>
            <w:r w:rsidRPr="00EC20A0">
              <w:rPr>
                <w:spacing w:val="-8"/>
                <w:sz w:val="16"/>
              </w:rPr>
              <w:t xml:space="preserve"> </w:t>
            </w:r>
            <w:r w:rsidRPr="00EC20A0">
              <w:rPr>
                <w:sz w:val="16"/>
              </w:rPr>
              <w:t>of</w:t>
            </w:r>
            <w:r w:rsidRPr="00EC20A0">
              <w:rPr>
                <w:spacing w:val="-7"/>
                <w:sz w:val="16"/>
              </w:rPr>
              <w:t xml:space="preserve"> </w:t>
            </w:r>
            <w:r w:rsidRPr="00EC20A0">
              <w:rPr>
                <w:sz w:val="16"/>
              </w:rPr>
              <w:t>corrective</w:t>
            </w:r>
            <w:r w:rsidRPr="00EC20A0">
              <w:rPr>
                <w:spacing w:val="-7"/>
                <w:sz w:val="16"/>
              </w:rPr>
              <w:t xml:space="preserve"> </w:t>
            </w:r>
            <w:r w:rsidRPr="00EC20A0">
              <w:rPr>
                <w:sz w:val="16"/>
              </w:rPr>
              <w:t>actions,</w:t>
            </w:r>
            <w:r w:rsidRPr="00EC20A0">
              <w:rPr>
                <w:spacing w:val="-8"/>
                <w:sz w:val="16"/>
              </w:rPr>
              <w:t xml:space="preserve"> </w:t>
            </w:r>
            <w:r w:rsidRPr="00EC20A0">
              <w:rPr>
                <w:sz w:val="16"/>
              </w:rPr>
              <w:t>time</w:t>
            </w:r>
            <w:r w:rsidRPr="00EC20A0">
              <w:rPr>
                <w:spacing w:val="-7"/>
                <w:sz w:val="16"/>
              </w:rPr>
              <w:t xml:space="preserve"> </w:t>
            </w:r>
            <w:r w:rsidRPr="00EC20A0">
              <w:rPr>
                <w:spacing w:val="-2"/>
                <w:sz w:val="16"/>
              </w:rPr>
              <w:t>frames</w:t>
            </w:r>
          </w:p>
        </w:tc>
      </w:tr>
      <w:tr w:rsidR="00245300" w:rsidRPr="00EC20A0" w14:paraId="24D608F0" w14:textId="77777777">
        <w:trPr>
          <w:trHeight w:val="283"/>
        </w:trPr>
        <w:tc>
          <w:tcPr>
            <w:tcW w:w="647" w:type="dxa"/>
            <w:vMerge/>
            <w:tcBorders>
              <w:top w:val="nil"/>
              <w:right w:val="single" w:sz="4" w:space="0" w:color="000000"/>
            </w:tcBorders>
          </w:tcPr>
          <w:p w14:paraId="24D608E5"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8E6"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8E7" w14:textId="77777777" w:rsidR="00245300" w:rsidRPr="00EC20A0" w:rsidRDefault="00245300">
            <w:pPr>
              <w:rPr>
                <w:sz w:val="2"/>
                <w:szCs w:val="2"/>
              </w:rPr>
            </w:pPr>
          </w:p>
        </w:tc>
        <w:tc>
          <w:tcPr>
            <w:tcW w:w="839" w:type="dxa"/>
            <w:vMerge w:val="restart"/>
            <w:tcBorders>
              <w:top w:val="nil"/>
              <w:left w:val="single" w:sz="4" w:space="0" w:color="000000"/>
              <w:right w:val="single" w:sz="4" w:space="0" w:color="000000"/>
            </w:tcBorders>
          </w:tcPr>
          <w:p w14:paraId="24D608E8" w14:textId="77777777" w:rsidR="00245300" w:rsidRPr="00EC20A0" w:rsidRDefault="00245300">
            <w:pPr>
              <w:pStyle w:val="TableParagraph"/>
              <w:rPr>
                <w:sz w:val="16"/>
              </w:rPr>
            </w:pPr>
          </w:p>
        </w:tc>
        <w:tc>
          <w:tcPr>
            <w:tcW w:w="3700" w:type="dxa"/>
            <w:gridSpan w:val="2"/>
            <w:tcBorders>
              <w:top w:val="single" w:sz="4" w:space="0" w:color="000000"/>
              <w:left w:val="single" w:sz="4" w:space="0" w:color="000000"/>
              <w:bottom w:val="nil"/>
              <w:right w:val="nil"/>
            </w:tcBorders>
          </w:tcPr>
          <w:p w14:paraId="24D608E9" w14:textId="77777777" w:rsidR="00245300" w:rsidRPr="00EC20A0" w:rsidRDefault="00F17249">
            <w:pPr>
              <w:pStyle w:val="TableParagraph"/>
              <w:spacing w:before="49"/>
              <w:ind w:left="106"/>
              <w:rPr>
                <w:sz w:val="16"/>
              </w:rPr>
            </w:pPr>
            <w:r w:rsidRPr="00EC20A0">
              <w:rPr>
                <w:sz w:val="16"/>
              </w:rPr>
              <w:t>Responsible</w:t>
            </w:r>
            <w:r w:rsidRPr="00EC20A0">
              <w:rPr>
                <w:spacing w:val="-11"/>
                <w:sz w:val="16"/>
              </w:rPr>
              <w:t xml:space="preserve"> </w:t>
            </w:r>
            <w:r w:rsidRPr="00EC20A0">
              <w:rPr>
                <w:spacing w:val="-2"/>
                <w:sz w:val="16"/>
              </w:rPr>
              <w:t>entity</w:t>
            </w:r>
          </w:p>
        </w:tc>
        <w:tc>
          <w:tcPr>
            <w:tcW w:w="262" w:type="dxa"/>
            <w:vMerge/>
            <w:tcBorders>
              <w:top w:val="nil"/>
              <w:left w:val="nil"/>
              <w:right w:val="single" w:sz="4" w:space="0" w:color="000000"/>
            </w:tcBorders>
          </w:tcPr>
          <w:p w14:paraId="24D608EA"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8EB"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8EC"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8ED" w14:textId="77777777" w:rsidR="00245300" w:rsidRPr="00EC20A0" w:rsidRDefault="00245300">
            <w:pPr>
              <w:rPr>
                <w:sz w:val="2"/>
                <w:szCs w:val="2"/>
              </w:rPr>
            </w:pPr>
          </w:p>
        </w:tc>
        <w:tc>
          <w:tcPr>
            <w:tcW w:w="1077" w:type="dxa"/>
            <w:vMerge w:val="restart"/>
            <w:tcBorders>
              <w:top w:val="nil"/>
              <w:left w:val="single" w:sz="4" w:space="0" w:color="000000"/>
              <w:right w:val="single" w:sz="4" w:space="0" w:color="000000"/>
            </w:tcBorders>
          </w:tcPr>
          <w:p w14:paraId="24D608EE" w14:textId="77777777" w:rsidR="00245300" w:rsidRPr="00EC20A0" w:rsidRDefault="00245300">
            <w:pPr>
              <w:pStyle w:val="TableParagraph"/>
              <w:rPr>
                <w:sz w:val="16"/>
              </w:rPr>
            </w:pPr>
          </w:p>
        </w:tc>
        <w:tc>
          <w:tcPr>
            <w:tcW w:w="2470" w:type="dxa"/>
            <w:gridSpan w:val="2"/>
            <w:tcBorders>
              <w:top w:val="single" w:sz="4" w:space="0" w:color="000000"/>
              <w:left w:val="single" w:sz="4" w:space="0" w:color="000000"/>
              <w:bottom w:val="nil"/>
            </w:tcBorders>
          </w:tcPr>
          <w:p w14:paraId="24D608EF" w14:textId="77777777" w:rsidR="00245300" w:rsidRPr="00EC20A0" w:rsidRDefault="00F17249">
            <w:pPr>
              <w:pStyle w:val="TableParagraph"/>
              <w:spacing w:before="49"/>
              <w:ind w:left="113"/>
              <w:rPr>
                <w:sz w:val="16"/>
              </w:rPr>
            </w:pPr>
            <w:r w:rsidRPr="00EC20A0">
              <w:rPr>
                <w:sz w:val="16"/>
              </w:rPr>
              <w:t>Doc.</w:t>
            </w:r>
            <w:r w:rsidRPr="00EC20A0">
              <w:rPr>
                <w:spacing w:val="-5"/>
                <w:sz w:val="16"/>
              </w:rPr>
              <w:t xml:space="preserve"> </w:t>
            </w:r>
            <w:r w:rsidRPr="00EC20A0">
              <w:rPr>
                <w:spacing w:val="-2"/>
                <w:sz w:val="16"/>
              </w:rPr>
              <w:t>reference</w:t>
            </w:r>
          </w:p>
        </w:tc>
      </w:tr>
      <w:tr w:rsidR="00245300" w:rsidRPr="00EC20A0" w14:paraId="24D608FE" w14:textId="77777777">
        <w:trPr>
          <w:trHeight w:val="477"/>
        </w:trPr>
        <w:tc>
          <w:tcPr>
            <w:tcW w:w="647" w:type="dxa"/>
            <w:vMerge/>
            <w:tcBorders>
              <w:top w:val="nil"/>
              <w:right w:val="single" w:sz="4" w:space="0" w:color="000000"/>
            </w:tcBorders>
          </w:tcPr>
          <w:p w14:paraId="24D608F1" w14:textId="77777777" w:rsidR="00245300" w:rsidRPr="00EC20A0" w:rsidRDefault="00245300">
            <w:pPr>
              <w:rPr>
                <w:sz w:val="2"/>
                <w:szCs w:val="2"/>
              </w:rPr>
            </w:pPr>
          </w:p>
        </w:tc>
        <w:tc>
          <w:tcPr>
            <w:tcW w:w="1005" w:type="dxa"/>
            <w:vMerge/>
            <w:tcBorders>
              <w:top w:val="nil"/>
              <w:left w:val="single" w:sz="4" w:space="0" w:color="000000"/>
              <w:right w:val="single" w:sz="4" w:space="0" w:color="000000"/>
            </w:tcBorders>
          </w:tcPr>
          <w:p w14:paraId="24D608F2" w14:textId="77777777" w:rsidR="00245300" w:rsidRPr="00EC20A0" w:rsidRDefault="00245300">
            <w:pPr>
              <w:rPr>
                <w:sz w:val="2"/>
                <w:szCs w:val="2"/>
              </w:rPr>
            </w:pPr>
          </w:p>
        </w:tc>
        <w:tc>
          <w:tcPr>
            <w:tcW w:w="455" w:type="dxa"/>
            <w:vMerge/>
            <w:tcBorders>
              <w:top w:val="nil"/>
              <w:left w:val="single" w:sz="4" w:space="0" w:color="000000"/>
              <w:right w:val="single" w:sz="4" w:space="0" w:color="000000"/>
            </w:tcBorders>
          </w:tcPr>
          <w:p w14:paraId="24D608F3" w14:textId="77777777" w:rsidR="00245300" w:rsidRPr="00EC20A0" w:rsidRDefault="00245300">
            <w:pPr>
              <w:rPr>
                <w:sz w:val="2"/>
                <w:szCs w:val="2"/>
              </w:rPr>
            </w:pPr>
          </w:p>
        </w:tc>
        <w:tc>
          <w:tcPr>
            <w:tcW w:w="839" w:type="dxa"/>
            <w:vMerge/>
            <w:tcBorders>
              <w:top w:val="nil"/>
              <w:left w:val="single" w:sz="4" w:space="0" w:color="000000"/>
              <w:right w:val="single" w:sz="4" w:space="0" w:color="000000"/>
            </w:tcBorders>
          </w:tcPr>
          <w:p w14:paraId="24D608F4" w14:textId="77777777" w:rsidR="00245300" w:rsidRPr="00EC20A0" w:rsidRDefault="00245300">
            <w:pPr>
              <w:rPr>
                <w:sz w:val="2"/>
                <w:szCs w:val="2"/>
              </w:rPr>
            </w:pPr>
          </w:p>
        </w:tc>
        <w:tc>
          <w:tcPr>
            <w:tcW w:w="973" w:type="dxa"/>
            <w:tcBorders>
              <w:top w:val="nil"/>
              <w:left w:val="single" w:sz="4" w:space="0" w:color="000000"/>
              <w:right w:val="single" w:sz="4" w:space="0" w:color="000000"/>
            </w:tcBorders>
          </w:tcPr>
          <w:p w14:paraId="24D608F5" w14:textId="77777777" w:rsidR="00245300" w:rsidRPr="00EC20A0" w:rsidRDefault="00245300">
            <w:pPr>
              <w:pStyle w:val="TableParagraph"/>
              <w:rPr>
                <w:sz w:val="16"/>
              </w:rPr>
            </w:pPr>
          </w:p>
        </w:tc>
        <w:tc>
          <w:tcPr>
            <w:tcW w:w="2727" w:type="dxa"/>
            <w:tcBorders>
              <w:top w:val="single" w:sz="4" w:space="0" w:color="000000"/>
              <w:left w:val="single" w:sz="4" w:space="0" w:color="000000"/>
              <w:right w:val="nil"/>
            </w:tcBorders>
          </w:tcPr>
          <w:p w14:paraId="24D608F6" w14:textId="77777777" w:rsidR="00245300" w:rsidRPr="00EC20A0" w:rsidRDefault="00F17249">
            <w:pPr>
              <w:pStyle w:val="TableParagraph"/>
              <w:spacing w:before="51"/>
              <w:ind w:left="105"/>
              <w:rPr>
                <w:sz w:val="16"/>
              </w:rPr>
            </w:pPr>
            <w:r w:rsidRPr="00EC20A0">
              <w:rPr>
                <w:sz w:val="16"/>
              </w:rPr>
              <w:t>Primary</w:t>
            </w:r>
            <w:r w:rsidRPr="00EC20A0">
              <w:rPr>
                <w:spacing w:val="-8"/>
                <w:sz w:val="16"/>
              </w:rPr>
              <w:t xml:space="preserve"> </w:t>
            </w:r>
            <w:r w:rsidRPr="00EC20A0">
              <w:rPr>
                <w:sz w:val="16"/>
              </w:rPr>
              <w:t>reason</w:t>
            </w:r>
            <w:r w:rsidRPr="00EC20A0">
              <w:rPr>
                <w:spacing w:val="-8"/>
                <w:sz w:val="16"/>
              </w:rPr>
              <w:t xml:space="preserve"> </w:t>
            </w:r>
            <w:r w:rsidRPr="00EC20A0">
              <w:rPr>
                <w:sz w:val="16"/>
              </w:rPr>
              <w:t>for</w:t>
            </w:r>
            <w:r w:rsidRPr="00EC20A0">
              <w:rPr>
                <w:spacing w:val="-8"/>
                <w:sz w:val="16"/>
              </w:rPr>
              <w:t xml:space="preserve"> </w:t>
            </w:r>
            <w:r w:rsidRPr="00EC20A0">
              <w:rPr>
                <w:sz w:val="16"/>
              </w:rPr>
              <w:t>or</w:t>
            </w:r>
            <w:r w:rsidRPr="00EC20A0">
              <w:rPr>
                <w:spacing w:val="-8"/>
                <w:sz w:val="16"/>
              </w:rPr>
              <w:t xml:space="preserve"> </w:t>
            </w:r>
            <w:r w:rsidRPr="00EC20A0">
              <w:rPr>
                <w:sz w:val="16"/>
              </w:rPr>
              <w:t>cause</w:t>
            </w:r>
            <w:r w:rsidRPr="00EC20A0">
              <w:rPr>
                <w:spacing w:val="-8"/>
                <w:sz w:val="16"/>
              </w:rPr>
              <w:t xml:space="preserve"> </w:t>
            </w:r>
            <w:r w:rsidRPr="00EC20A0">
              <w:rPr>
                <w:sz w:val="16"/>
              </w:rPr>
              <w:t>of systems’ noncompliance</w:t>
            </w:r>
          </w:p>
        </w:tc>
        <w:tc>
          <w:tcPr>
            <w:tcW w:w="262" w:type="dxa"/>
            <w:vMerge/>
            <w:tcBorders>
              <w:top w:val="nil"/>
              <w:left w:val="nil"/>
              <w:right w:val="single" w:sz="4" w:space="0" w:color="000000"/>
            </w:tcBorders>
          </w:tcPr>
          <w:p w14:paraId="24D608F7" w14:textId="77777777" w:rsidR="00245300" w:rsidRPr="00EC20A0" w:rsidRDefault="00245300">
            <w:pPr>
              <w:rPr>
                <w:sz w:val="2"/>
                <w:szCs w:val="2"/>
              </w:rPr>
            </w:pPr>
          </w:p>
        </w:tc>
        <w:tc>
          <w:tcPr>
            <w:tcW w:w="983" w:type="dxa"/>
            <w:vMerge/>
            <w:tcBorders>
              <w:top w:val="nil"/>
              <w:left w:val="single" w:sz="4" w:space="0" w:color="000000"/>
              <w:right w:val="single" w:sz="4" w:space="0" w:color="000000"/>
            </w:tcBorders>
          </w:tcPr>
          <w:p w14:paraId="24D608F8" w14:textId="77777777" w:rsidR="00245300" w:rsidRPr="00EC20A0" w:rsidRDefault="00245300">
            <w:pPr>
              <w:rPr>
                <w:sz w:val="2"/>
                <w:szCs w:val="2"/>
              </w:rPr>
            </w:pPr>
          </w:p>
        </w:tc>
        <w:tc>
          <w:tcPr>
            <w:tcW w:w="1074" w:type="dxa"/>
            <w:vMerge/>
            <w:tcBorders>
              <w:top w:val="nil"/>
              <w:left w:val="single" w:sz="4" w:space="0" w:color="000000"/>
              <w:right w:val="single" w:sz="4" w:space="0" w:color="000000"/>
            </w:tcBorders>
          </w:tcPr>
          <w:p w14:paraId="24D608F9" w14:textId="77777777" w:rsidR="00245300" w:rsidRPr="00EC20A0" w:rsidRDefault="00245300">
            <w:pPr>
              <w:rPr>
                <w:sz w:val="2"/>
                <w:szCs w:val="2"/>
              </w:rPr>
            </w:pPr>
          </w:p>
        </w:tc>
        <w:tc>
          <w:tcPr>
            <w:tcW w:w="493" w:type="dxa"/>
            <w:vMerge/>
            <w:tcBorders>
              <w:top w:val="nil"/>
              <w:left w:val="single" w:sz="4" w:space="0" w:color="000000"/>
              <w:right w:val="single" w:sz="4" w:space="0" w:color="000000"/>
            </w:tcBorders>
          </w:tcPr>
          <w:p w14:paraId="24D608FA" w14:textId="77777777" w:rsidR="00245300" w:rsidRPr="00EC20A0" w:rsidRDefault="00245300">
            <w:pPr>
              <w:rPr>
                <w:sz w:val="2"/>
                <w:szCs w:val="2"/>
              </w:rPr>
            </w:pPr>
          </w:p>
        </w:tc>
        <w:tc>
          <w:tcPr>
            <w:tcW w:w="1077" w:type="dxa"/>
            <w:vMerge/>
            <w:tcBorders>
              <w:top w:val="nil"/>
              <w:left w:val="single" w:sz="4" w:space="0" w:color="000000"/>
              <w:right w:val="single" w:sz="4" w:space="0" w:color="000000"/>
            </w:tcBorders>
          </w:tcPr>
          <w:p w14:paraId="24D608FB" w14:textId="77777777" w:rsidR="00245300" w:rsidRPr="00EC20A0" w:rsidRDefault="00245300">
            <w:pPr>
              <w:rPr>
                <w:sz w:val="2"/>
                <w:szCs w:val="2"/>
              </w:rPr>
            </w:pPr>
          </w:p>
        </w:tc>
        <w:tc>
          <w:tcPr>
            <w:tcW w:w="607" w:type="dxa"/>
            <w:tcBorders>
              <w:top w:val="nil"/>
              <w:left w:val="single" w:sz="4" w:space="0" w:color="000000"/>
              <w:right w:val="single" w:sz="4" w:space="0" w:color="000000"/>
            </w:tcBorders>
          </w:tcPr>
          <w:p w14:paraId="24D608FC" w14:textId="77777777" w:rsidR="00245300" w:rsidRPr="00EC20A0" w:rsidRDefault="00245300">
            <w:pPr>
              <w:pStyle w:val="TableParagraph"/>
              <w:rPr>
                <w:sz w:val="16"/>
              </w:rPr>
            </w:pPr>
          </w:p>
        </w:tc>
        <w:tc>
          <w:tcPr>
            <w:tcW w:w="1863" w:type="dxa"/>
            <w:tcBorders>
              <w:top w:val="single" w:sz="4" w:space="0" w:color="000000"/>
              <w:left w:val="single" w:sz="4" w:space="0" w:color="000000"/>
            </w:tcBorders>
          </w:tcPr>
          <w:p w14:paraId="24D608FD" w14:textId="77777777" w:rsidR="00245300" w:rsidRPr="00EC20A0" w:rsidRDefault="00F17249">
            <w:pPr>
              <w:pStyle w:val="TableParagraph"/>
              <w:spacing w:before="51"/>
              <w:ind w:left="115"/>
              <w:rPr>
                <w:sz w:val="16"/>
              </w:rPr>
            </w:pPr>
            <w:r w:rsidRPr="00EC20A0">
              <w:rPr>
                <w:spacing w:val="-2"/>
                <w:sz w:val="16"/>
              </w:rPr>
              <w:t>Comments</w:t>
            </w:r>
          </w:p>
        </w:tc>
      </w:tr>
      <w:tr w:rsidR="00245300" w:rsidRPr="00EC20A0" w14:paraId="24D60900" w14:textId="77777777">
        <w:trPr>
          <w:trHeight w:val="427"/>
        </w:trPr>
        <w:tc>
          <w:tcPr>
            <w:tcW w:w="13005" w:type="dxa"/>
            <w:gridSpan w:val="13"/>
            <w:tcBorders>
              <w:bottom w:val="single" w:sz="4" w:space="0" w:color="000000"/>
            </w:tcBorders>
          </w:tcPr>
          <w:p w14:paraId="24D608FF" w14:textId="77777777" w:rsidR="00245300" w:rsidRPr="00EC20A0" w:rsidRDefault="00F17249">
            <w:pPr>
              <w:pStyle w:val="TableParagraph"/>
              <w:spacing w:before="101"/>
              <w:ind w:left="96"/>
              <w:rPr>
                <w:sz w:val="18"/>
              </w:rPr>
            </w:pPr>
            <w:r w:rsidRPr="00EC20A0">
              <w:rPr>
                <w:sz w:val="18"/>
              </w:rPr>
              <w:t>Agency</w:t>
            </w:r>
            <w:r w:rsidRPr="00EC20A0">
              <w:rPr>
                <w:spacing w:val="-5"/>
                <w:sz w:val="18"/>
              </w:rPr>
              <w:t xml:space="preserve"> </w:t>
            </w:r>
            <w:r w:rsidRPr="00EC20A0">
              <w:rPr>
                <w:sz w:val="18"/>
              </w:rPr>
              <w:t>financial</w:t>
            </w:r>
            <w:r w:rsidRPr="00EC20A0">
              <w:rPr>
                <w:spacing w:val="-3"/>
                <w:sz w:val="18"/>
              </w:rPr>
              <w:t xml:space="preserve"> </w:t>
            </w:r>
            <w:r w:rsidRPr="00EC20A0">
              <w:rPr>
                <w:sz w:val="18"/>
              </w:rPr>
              <w:t>management</w:t>
            </w:r>
            <w:r w:rsidRPr="00EC20A0">
              <w:rPr>
                <w:spacing w:val="-3"/>
                <w:sz w:val="18"/>
              </w:rPr>
              <w:t xml:space="preserve"> </w:t>
            </w:r>
            <w:r w:rsidRPr="00EC20A0">
              <w:rPr>
                <w:sz w:val="18"/>
              </w:rPr>
              <w:t>systems’</w:t>
            </w:r>
            <w:r w:rsidRPr="00EC20A0">
              <w:rPr>
                <w:spacing w:val="-3"/>
                <w:sz w:val="18"/>
              </w:rPr>
              <w:t xml:space="preserve"> </w:t>
            </w:r>
            <w:r w:rsidRPr="00EC20A0">
              <w:rPr>
                <w:sz w:val="18"/>
              </w:rPr>
              <w:t>implementation</w:t>
            </w:r>
            <w:r w:rsidRPr="00EC20A0">
              <w:rPr>
                <w:spacing w:val="-4"/>
                <w:sz w:val="18"/>
              </w:rPr>
              <w:t xml:space="preserve"> </w:t>
            </w:r>
            <w:r w:rsidRPr="00EC20A0">
              <w:rPr>
                <w:sz w:val="18"/>
              </w:rPr>
              <w:t>of</w:t>
            </w:r>
            <w:r w:rsidRPr="00EC20A0">
              <w:rPr>
                <w:spacing w:val="-2"/>
                <w:sz w:val="18"/>
              </w:rPr>
              <w:t xml:space="preserve"> </w:t>
            </w:r>
            <w:r w:rsidRPr="00EC20A0">
              <w:rPr>
                <w:sz w:val="18"/>
              </w:rPr>
              <w:t>the</w:t>
            </w:r>
            <w:r w:rsidRPr="00EC20A0">
              <w:rPr>
                <w:spacing w:val="-4"/>
                <w:sz w:val="18"/>
              </w:rPr>
              <w:t xml:space="preserve"> </w:t>
            </w:r>
            <w:r w:rsidRPr="00EC20A0">
              <w:rPr>
                <w:sz w:val="18"/>
              </w:rPr>
              <w:t>USSGL</w:t>
            </w:r>
            <w:r w:rsidRPr="00EC20A0">
              <w:rPr>
                <w:spacing w:val="-4"/>
                <w:sz w:val="18"/>
              </w:rPr>
              <w:t xml:space="preserve"> </w:t>
            </w:r>
            <w:r w:rsidRPr="00EC20A0">
              <w:rPr>
                <w:sz w:val="18"/>
              </w:rPr>
              <w:t>accounts</w:t>
            </w:r>
            <w:r w:rsidRPr="00EC20A0">
              <w:rPr>
                <w:spacing w:val="-3"/>
                <w:sz w:val="18"/>
              </w:rPr>
              <w:t xml:space="preserve"> </w:t>
            </w:r>
            <w:r w:rsidRPr="00EC20A0">
              <w:rPr>
                <w:sz w:val="18"/>
              </w:rPr>
              <w:t>(step</w:t>
            </w:r>
            <w:r w:rsidRPr="00EC20A0">
              <w:rPr>
                <w:spacing w:val="-3"/>
                <w:sz w:val="18"/>
              </w:rPr>
              <w:t xml:space="preserve"> </w:t>
            </w:r>
            <w:r w:rsidRPr="00EC20A0">
              <w:rPr>
                <w:spacing w:val="-2"/>
                <w:sz w:val="18"/>
              </w:rPr>
              <w:t>IV.A)</w:t>
            </w:r>
          </w:p>
        </w:tc>
      </w:tr>
      <w:tr w:rsidR="00245300" w:rsidRPr="00EC20A0" w14:paraId="24D6090D" w14:textId="77777777">
        <w:trPr>
          <w:trHeight w:val="304"/>
        </w:trPr>
        <w:tc>
          <w:tcPr>
            <w:tcW w:w="647" w:type="dxa"/>
            <w:tcBorders>
              <w:top w:val="single" w:sz="4" w:space="0" w:color="000000"/>
              <w:bottom w:val="single" w:sz="4" w:space="0" w:color="000000"/>
              <w:right w:val="single" w:sz="4" w:space="0" w:color="000000"/>
            </w:tcBorders>
          </w:tcPr>
          <w:p w14:paraId="24D60901"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02"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03"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04"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05"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06"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07"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08"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09"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0A"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0B"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0C" w14:textId="77777777" w:rsidR="00245300" w:rsidRPr="00EC20A0" w:rsidRDefault="00245300">
            <w:pPr>
              <w:pStyle w:val="TableParagraph"/>
              <w:rPr>
                <w:sz w:val="16"/>
              </w:rPr>
            </w:pPr>
          </w:p>
        </w:tc>
      </w:tr>
      <w:tr w:rsidR="00245300" w:rsidRPr="00EC20A0" w14:paraId="24D6091A" w14:textId="77777777">
        <w:trPr>
          <w:trHeight w:val="303"/>
        </w:trPr>
        <w:tc>
          <w:tcPr>
            <w:tcW w:w="647" w:type="dxa"/>
            <w:tcBorders>
              <w:top w:val="single" w:sz="4" w:space="0" w:color="000000"/>
              <w:bottom w:val="single" w:sz="4" w:space="0" w:color="000000"/>
              <w:right w:val="single" w:sz="4" w:space="0" w:color="000000"/>
            </w:tcBorders>
          </w:tcPr>
          <w:p w14:paraId="24D6090E"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0F"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10"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11"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12"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13"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14"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15"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16"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17"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18"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19" w14:textId="77777777" w:rsidR="00245300" w:rsidRPr="00EC20A0" w:rsidRDefault="00245300">
            <w:pPr>
              <w:pStyle w:val="TableParagraph"/>
              <w:rPr>
                <w:sz w:val="16"/>
              </w:rPr>
            </w:pPr>
          </w:p>
        </w:tc>
      </w:tr>
      <w:tr w:rsidR="00245300" w:rsidRPr="00EC20A0" w14:paraId="24D60927" w14:textId="77777777">
        <w:trPr>
          <w:trHeight w:val="304"/>
        </w:trPr>
        <w:tc>
          <w:tcPr>
            <w:tcW w:w="647" w:type="dxa"/>
            <w:tcBorders>
              <w:top w:val="single" w:sz="4" w:space="0" w:color="000000"/>
              <w:bottom w:val="single" w:sz="4" w:space="0" w:color="000000"/>
              <w:right w:val="single" w:sz="4" w:space="0" w:color="000000"/>
            </w:tcBorders>
          </w:tcPr>
          <w:p w14:paraId="24D6091B"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1C"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1D"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1E"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1F"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20"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21"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22"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23"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24"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25"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26" w14:textId="77777777" w:rsidR="00245300" w:rsidRPr="00EC20A0" w:rsidRDefault="00245300">
            <w:pPr>
              <w:pStyle w:val="TableParagraph"/>
              <w:rPr>
                <w:sz w:val="16"/>
              </w:rPr>
            </w:pPr>
          </w:p>
        </w:tc>
      </w:tr>
      <w:tr w:rsidR="00245300" w:rsidRPr="00EC20A0" w14:paraId="24D60929" w14:textId="77777777">
        <w:trPr>
          <w:trHeight w:val="447"/>
        </w:trPr>
        <w:tc>
          <w:tcPr>
            <w:tcW w:w="13005" w:type="dxa"/>
            <w:gridSpan w:val="13"/>
            <w:tcBorders>
              <w:top w:val="single" w:sz="4" w:space="0" w:color="000000"/>
              <w:bottom w:val="single" w:sz="4" w:space="0" w:color="000000"/>
            </w:tcBorders>
          </w:tcPr>
          <w:p w14:paraId="24D60928" w14:textId="77777777" w:rsidR="00245300" w:rsidRPr="00EC20A0" w:rsidRDefault="00F17249">
            <w:pPr>
              <w:pStyle w:val="TableParagraph"/>
              <w:spacing w:before="120"/>
              <w:ind w:left="96"/>
              <w:rPr>
                <w:sz w:val="18"/>
              </w:rPr>
            </w:pPr>
            <w:r w:rsidRPr="00EC20A0">
              <w:rPr>
                <w:sz w:val="18"/>
              </w:rPr>
              <w:t>Agency</w:t>
            </w:r>
            <w:r w:rsidRPr="00EC20A0">
              <w:rPr>
                <w:spacing w:val="-2"/>
                <w:sz w:val="18"/>
              </w:rPr>
              <w:t xml:space="preserve"> </w:t>
            </w:r>
            <w:r w:rsidRPr="00EC20A0">
              <w:rPr>
                <w:sz w:val="18"/>
              </w:rPr>
              <w:t>use</w:t>
            </w:r>
            <w:r w:rsidRPr="00EC20A0">
              <w:rPr>
                <w:spacing w:val="-2"/>
                <w:sz w:val="18"/>
              </w:rPr>
              <w:t xml:space="preserve"> </w:t>
            </w:r>
            <w:r w:rsidRPr="00EC20A0">
              <w:rPr>
                <w:sz w:val="18"/>
              </w:rPr>
              <w:t>of</w:t>
            </w:r>
            <w:r w:rsidRPr="00EC20A0">
              <w:rPr>
                <w:spacing w:val="-2"/>
                <w:sz w:val="18"/>
              </w:rPr>
              <w:t xml:space="preserve"> </w:t>
            </w:r>
            <w:r w:rsidRPr="00EC20A0">
              <w:rPr>
                <w:sz w:val="18"/>
              </w:rPr>
              <w:t>a</w:t>
            </w:r>
            <w:r w:rsidRPr="00EC20A0">
              <w:rPr>
                <w:spacing w:val="-2"/>
                <w:sz w:val="18"/>
              </w:rPr>
              <w:t xml:space="preserve"> </w:t>
            </w:r>
            <w:r w:rsidRPr="00EC20A0">
              <w:rPr>
                <w:sz w:val="18"/>
              </w:rPr>
              <w:t>crosswalk</w:t>
            </w:r>
            <w:r w:rsidRPr="00EC20A0">
              <w:rPr>
                <w:spacing w:val="-2"/>
                <w:sz w:val="18"/>
              </w:rPr>
              <w:t xml:space="preserve"> </w:t>
            </w:r>
            <w:r w:rsidRPr="00EC20A0">
              <w:rPr>
                <w:sz w:val="18"/>
              </w:rPr>
              <w:t>from</w:t>
            </w:r>
            <w:r w:rsidRPr="00EC20A0">
              <w:rPr>
                <w:spacing w:val="-1"/>
                <w:sz w:val="18"/>
              </w:rPr>
              <w:t xml:space="preserve"> </w:t>
            </w:r>
            <w:r w:rsidRPr="00EC20A0">
              <w:rPr>
                <w:sz w:val="18"/>
              </w:rPr>
              <w:t>its</w:t>
            </w:r>
            <w:r w:rsidRPr="00EC20A0">
              <w:rPr>
                <w:spacing w:val="-2"/>
                <w:sz w:val="18"/>
              </w:rPr>
              <w:t xml:space="preserve"> </w:t>
            </w:r>
            <w:r w:rsidRPr="00EC20A0">
              <w:rPr>
                <w:sz w:val="18"/>
              </w:rPr>
              <w:t>financial</w:t>
            </w:r>
            <w:r w:rsidRPr="00EC20A0">
              <w:rPr>
                <w:spacing w:val="-1"/>
                <w:sz w:val="18"/>
              </w:rPr>
              <w:t xml:space="preserve"> </w:t>
            </w:r>
            <w:r w:rsidRPr="00EC20A0">
              <w:rPr>
                <w:sz w:val="18"/>
              </w:rPr>
              <w:t>system</w:t>
            </w:r>
            <w:r w:rsidRPr="00EC20A0">
              <w:rPr>
                <w:spacing w:val="-2"/>
                <w:sz w:val="18"/>
              </w:rPr>
              <w:t xml:space="preserve"> </w:t>
            </w:r>
            <w:r w:rsidRPr="00EC20A0">
              <w:rPr>
                <w:sz w:val="18"/>
              </w:rPr>
              <w:t>to</w:t>
            </w:r>
            <w:r w:rsidRPr="00EC20A0">
              <w:rPr>
                <w:spacing w:val="-2"/>
                <w:sz w:val="18"/>
              </w:rPr>
              <w:t xml:space="preserve"> </w:t>
            </w:r>
            <w:r w:rsidRPr="00EC20A0">
              <w:rPr>
                <w:sz w:val="18"/>
              </w:rPr>
              <w:t>the</w:t>
            </w:r>
            <w:r w:rsidRPr="00EC20A0">
              <w:rPr>
                <w:spacing w:val="-3"/>
                <w:sz w:val="18"/>
              </w:rPr>
              <w:t xml:space="preserve"> </w:t>
            </w:r>
            <w:r w:rsidRPr="00EC20A0">
              <w:rPr>
                <w:sz w:val="18"/>
              </w:rPr>
              <w:t>USSGL</w:t>
            </w:r>
            <w:r w:rsidRPr="00EC20A0">
              <w:rPr>
                <w:spacing w:val="-2"/>
                <w:sz w:val="18"/>
              </w:rPr>
              <w:t xml:space="preserve"> </w:t>
            </w:r>
            <w:r w:rsidRPr="00EC20A0">
              <w:rPr>
                <w:sz w:val="18"/>
              </w:rPr>
              <w:t>(step</w:t>
            </w:r>
            <w:r w:rsidRPr="00EC20A0">
              <w:rPr>
                <w:spacing w:val="-2"/>
                <w:sz w:val="18"/>
              </w:rPr>
              <w:t xml:space="preserve"> IV.B)</w:t>
            </w:r>
          </w:p>
        </w:tc>
      </w:tr>
      <w:tr w:rsidR="00245300" w:rsidRPr="00EC20A0" w14:paraId="24D60936" w14:textId="77777777">
        <w:trPr>
          <w:trHeight w:val="303"/>
        </w:trPr>
        <w:tc>
          <w:tcPr>
            <w:tcW w:w="647" w:type="dxa"/>
            <w:tcBorders>
              <w:top w:val="single" w:sz="4" w:space="0" w:color="000000"/>
              <w:bottom w:val="single" w:sz="4" w:space="0" w:color="000000"/>
              <w:right w:val="single" w:sz="4" w:space="0" w:color="000000"/>
            </w:tcBorders>
          </w:tcPr>
          <w:p w14:paraId="24D6092A"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2B"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2C"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2D"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2E"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2F"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30"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31"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32"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33"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34"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35" w14:textId="77777777" w:rsidR="00245300" w:rsidRPr="00EC20A0" w:rsidRDefault="00245300">
            <w:pPr>
              <w:pStyle w:val="TableParagraph"/>
              <w:rPr>
                <w:sz w:val="16"/>
              </w:rPr>
            </w:pPr>
          </w:p>
        </w:tc>
      </w:tr>
      <w:tr w:rsidR="00245300" w:rsidRPr="00EC20A0" w14:paraId="24D60943" w14:textId="77777777">
        <w:trPr>
          <w:trHeight w:val="304"/>
        </w:trPr>
        <w:tc>
          <w:tcPr>
            <w:tcW w:w="647" w:type="dxa"/>
            <w:tcBorders>
              <w:top w:val="single" w:sz="4" w:space="0" w:color="000000"/>
              <w:bottom w:val="single" w:sz="4" w:space="0" w:color="000000"/>
              <w:right w:val="single" w:sz="4" w:space="0" w:color="000000"/>
            </w:tcBorders>
          </w:tcPr>
          <w:p w14:paraId="24D60937"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38"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39"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3A"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3B"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3C"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3D"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3E"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3F"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40"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41"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42" w14:textId="77777777" w:rsidR="00245300" w:rsidRPr="00EC20A0" w:rsidRDefault="00245300">
            <w:pPr>
              <w:pStyle w:val="TableParagraph"/>
              <w:rPr>
                <w:sz w:val="16"/>
              </w:rPr>
            </w:pPr>
          </w:p>
        </w:tc>
      </w:tr>
      <w:tr w:rsidR="00245300" w:rsidRPr="00EC20A0" w14:paraId="24D60950" w14:textId="77777777">
        <w:trPr>
          <w:trHeight w:val="304"/>
        </w:trPr>
        <w:tc>
          <w:tcPr>
            <w:tcW w:w="647" w:type="dxa"/>
            <w:tcBorders>
              <w:top w:val="single" w:sz="4" w:space="0" w:color="000000"/>
              <w:bottom w:val="single" w:sz="4" w:space="0" w:color="000000"/>
              <w:right w:val="single" w:sz="4" w:space="0" w:color="000000"/>
            </w:tcBorders>
          </w:tcPr>
          <w:p w14:paraId="24D60944"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45"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46"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47"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48"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49"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4A"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4B"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4C"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4D"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4E"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4F" w14:textId="77777777" w:rsidR="00245300" w:rsidRPr="00EC20A0" w:rsidRDefault="00245300">
            <w:pPr>
              <w:pStyle w:val="TableParagraph"/>
              <w:rPr>
                <w:sz w:val="16"/>
              </w:rPr>
            </w:pPr>
          </w:p>
        </w:tc>
      </w:tr>
      <w:tr w:rsidR="00245300" w:rsidRPr="00EC20A0" w14:paraId="24D60952" w14:textId="77777777">
        <w:trPr>
          <w:trHeight w:val="447"/>
        </w:trPr>
        <w:tc>
          <w:tcPr>
            <w:tcW w:w="13005" w:type="dxa"/>
            <w:gridSpan w:val="13"/>
            <w:tcBorders>
              <w:top w:val="single" w:sz="4" w:space="0" w:color="000000"/>
              <w:bottom w:val="single" w:sz="4" w:space="0" w:color="000000"/>
            </w:tcBorders>
          </w:tcPr>
          <w:p w14:paraId="24D60951" w14:textId="77777777" w:rsidR="00245300" w:rsidRPr="00EC20A0" w:rsidRDefault="00F17249">
            <w:pPr>
              <w:pStyle w:val="TableParagraph"/>
              <w:spacing w:before="120"/>
              <w:ind w:left="96"/>
              <w:rPr>
                <w:sz w:val="18"/>
              </w:rPr>
            </w:pPr>
            <w:r w:rsidRPr="00EC20A0">
              <w:rPr>
                <w:sz w:val="18"/>
              </w:rPr>
              <w:t>Agency</w:t>
            </w:r>
            <w:r w:rsidRPr="00EC20A0">
              <w:rPr>
                <w:spacing w:val="-5"/>
                <w:sz w:val="18"/>
              </w:rPr>
              <w:t xml:space="preserve"> </w:t>
            </w:r>
            <w:r w:rsidRPr="00EC20A0">
              <w:rPr>
                <w:sz w:val="18"/>
              </w:rPr>
              <w:t>financial</w:t>
            </w:r>
            <w:r w:rsidRPr="00EC20A0">
              <w:rPr>
                <w:spacing w:val="-2"/>
                <w:sz w:val="18"/>
              </w:rPr>
              <w:t xml:space="preserve"> </w:t>
            </w:r>
            <w:r w:rsidRPr="00EC20A0">
              <w:rPr>
                <w:sz w:val="18"/>
              </w:rPr>
              <w:t>management</w:t>
            </w:r>
            <w:r w:rsidRPr="00EC20A0">
              <w:rPr>
                <w:spacing w:val="-2"/>
                <w:sz w:val="18"/>
              </w:rPr>
              <w:t xml:space="preserve"> </w:t>
            </w:r>
            <w:r w:rsidRPr="00EC20A0">
              <w:rPr>
                <w:sz w:val="18"/>
              </w:rPr>
              <w:t>systems</w:t>
            </w:r>
            <w:r w:rsidRPr="00EC20A0">
              <w:rPr>
                <w:spacing w:val="-3"/>
                <w:sz w:val="18"/>
              </w:rPr>
              <w:t xml:space="preserve"> </w:t>
            </w:r>
            <w:r w:rsidRPr="00EC20A0">
              <w:rPr>
                <w:sz w:val="18"/>
              </w:rPr>
              <w:t>recording</w:t>
            </w:r>
            <w:r w:rsidRPr="00EC20A0">
              <w:rPr>
                <w:spacing w:val="-3"/>
                <w:sz w:val="18"/>
              </w:rPr>
              <w:t xml:space="preserve"> </w:t>
            </w:r>
            <w:r w:rsidRPr="00EC20A0">
              <w:rPr>
                <w:sz w:val="18"/>
              </w:rPr>
              <w:t>and</w:t>
            </w:r>
            <w:r w:rsidRPr="00EC20A0">
              <w:rPr>
                <w:spacing w:val="-3"/>
                <w:sz w:val="18"/>
              </w:rPr>
              <w:t xml:space="preserve"> </w:t>
            </w:r>
            <w:r w:rsidRPr="00EC20A0">
              <w:rPr>
                <w:sz w:val="18"/>
              </w:rPr>
              <w:t>summarizing</w:t>
            </w:r>
            <w:r w:rsidRPr="00EC20A0">
              <w:rPr>
                <w:spacing w:val="-4"/>
                <w:sz w:val="18"/>
              </w:rPr>
              <w:t xml:space="preserve"> </w:t>
            </w:r>
            <w:r w:rsidRPr="00EC20A0">
              <w:rPr>
                <w:sz w:val="18"/>
              </w:rPr>
              <w:t>transactions</w:t>
            </w:r>
            <w:r w:rsidRPr="00EC20A0">
              <w:rPr>
                <w:spacing w:val="-2"/>
                <w:sz w:val="18"/>
              </w:rPr>
              <w:t xml:space="preserve"> </w:t>
            </w:r>
            <w:r w:rsidRPr="00EC20A0">
              <w:rPr>
                <w:sz w:val="18"/>
              </w:rPr>
              <w:t>in</w:t>
            </w:r>
            <w:r w:rsidRPr="00EC20A0">
              <w:rPr>
                <w:spacing w:val="-3"/>
                <w:sz w:val="18"/>
              </w:rPr>
              <w:t xml:space="preserve"> </w:t>
            </w:r>
            <w:r w:rsidRPr="00EC20A0">
              <w:rPr>
                <w:sz w:val="18"/>
              </w:rPr>
              <w:t>accordance</w:t>
            </w:r>
            <w:r w:rsidRPr="00EC20A0">
              <w:rPr>
                <w:spacing w:val="-4"/>
                <w:sz w:val="18"/>
              </w:rPr>
              <w:t xml:space="preserve"> </w:t>
            </w:r>
            <w:r w:rsidRPr="00EC20A0">
              <w:rPr>
                <w:sz w:val="18"/>
              </w:rPr>
              <w:t>with</w:t>
            </w:r>
            <w:r w:rsidRPr="00EC20A0">
              <w:rPr>
                <w:spacing w:val="-3"/>
                <w:sz w:val="18"/>
              </w:rPr>
              <w:t xml:space="preserve"> </w:t>
            </w:r>
            <w:r w:rsidRPr="00EC20A0">
              <w:rPr>
                <w:sz w:val="18"/>
              </w:rPr>
              <w:t>USSGL</w:t>
            </w:r>
            <w:r w:rsidRPr="00EC20A0">
              <w:rPr>
                <w:spacing w:val="-3"/>
                <w:sz w:val="18"/>
              </w:rPr>
              <w:t xml:space="preserve"> </w:t>
            </w:r>
            <w:r w:rsidRPr="00EC20A0">
              <w:rPr>
                <w:sz w:val="18"/>
              </w:rPr>
              <w:t>(step</w:t>
            </w:r>
            <w:r w:rsidRPr="00EC20A0">
              <w:rPr>
                <w:spacing w:val="-3"/>
                <w:sz w:val="18"/>
              </w:rPr>
              <w:t xml:space="preserve"> </w:t>
            </w:r>
            <w:r w:rsidRPr="00EC20A0">
              <w:rPr>
                <w:spacing w:val="-2"/>
                <w:sz w:val="18"/>
              </w:rPr>
              <w:t>IV.C)</w:t>
            </w:r>
          </w:p>
        </w:tc>
      </w:tr>
      <w:tr w:rsidR="00245300" w:rsidRPr="00EC20A0" w14:paraId="24D6095F" w14:textId="77777777">
        <w:trPr>
          <w:trHeight w:val="303"/>
        </w:trPr>
        <w:tc>
          <w:tcPr>
            <w:tcW w:w="647" w:type="dxa"/>
            <w:tcBorders>
              <w:top w:val="single" w:sz="4" w:space="0" w:color="000000"/>
              <w:bottom w:val="single" w:sz="4" w:space="0" w:color="000000"/>
              <w:right w:val="single" w:sz="4" w:space="0" w:color="000000"/>
            </w:tcBorders>
          </w:tcPr>
          <w:p w14:paraId="24D60953"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54"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55"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56"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57"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58"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59"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5A"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5B"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5C"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5D"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5E" w14:textId="77777777" w:rsidR="00245300" w:rsidRPr="00EC20A0" w:rsidRDefault="00245300">
            <w:pPr>
              <w:pStyle w:val="TableParagraph"/>
              <w:rPr>
                <w:sz w:val="16"/>
              </w:rPr>
            </w:pPr>
          </w:p>
        </w:tc>
      </w:tr>
      <w:tr w:rsidR="00245300" w:rsidRPr="00EC20A0" w14:paraId="24D6096C" w14:textId="77777777">
        <w:trPr>
          <w:trHeight w:val="304"/>
        </w:trPr>
        <w:tc>
          <w:tcPr>
            <w:tcW w:w="647" w:type="dxa"/>
            <w:tcBorders>
              <w:top w:val="single" w:sz="4" w:space="0" w:color="000000"/>
              <w:bottom w:val="single" w:sz="4" w:space="0" w:color="000000"/>
              <w:right w:val="single" w:sz="4" w:space="0" w:color="000000"/>
            </w:tcBorders>
          </w:tcPr>
          <w:p w14:paraId="24D60960" w14:textId="77777777" w:rsidR="00245300" w:rsidRPr="00EC20A0" w:rsidRDefault="00245300">
            <w:pPr>
              <w:pStyle w:val="TableParagraph"/>
              <w:rPr>
                <w:sz w:val="16"/>
              </w:rPr>
            </w:pPr>
          </w:p>
        </w:tc>
        <w:tc>
          <w:tcPr>
            <w:tcW w:w="1005" w:type="dxa"/>
            <w:tcBorders>
              <w:top w:val="single" w:sz="4" w:space="0" w:color="000000"/>
              <w:left w:val="single" w:sz="4" w:space="0" w:color="000000"/>
              <w:bottom w:val="single" w:sz="4" w:space="0" w:color="000000"/>
              <w:right w:val="single" w:sz="4" w:space="0" w:color="000000"/>
            </w:tcBorders>
          </w:tcPr>
          <w:p w14:paraId="24D60961" w14:textId="77777777" w:rsidR="00245300" w:rsidRPr="00EC20A0" w:rsidRDefault="00245300">
            <w:pPr>
              <w:pStyle w:val="TableParagraph"/>
              <w:rPr>
                <w:sz w:val="16"/>
              </w:rPr>
            </w:pPr>
          </w:p>
        </w:tc>
        <w:tc>
          <w:tcPr>
            <w:tcW w:w="455" w:type="dxa"/>
            <w:tcBorders>
              <w:top w:val="single" w:sz="4" w:space="0" w:color="000000"/>
              <w:left w:val="single" w:sz="4" w:space="0" w:color="000000"/>
              <w:bottom w:val="single" w:sz="4" w:space="0" w:color="000000"/>
              <w:right w:val="single" w:sz="4" w:space="0" w:color="000000"/>
            </w:tcBorders>
          </w:tcPr>
          <w:p w14:paraId="24D60962" w14:textId="77777777" w:rsidR="00245300" w:rsidRPr="00EC20A0" w:rsidRDefault="00245300">
            <w:pPr>
              <w:pStyle w:val="TableParagraph"/>
              <w:rPr>
                <w:sz w:val="16"/>
              </w:rPr>
            </w:pPr>
          </w:p>
        </w:tc>
        <w:tc>
          <w:tcPr>
            <w:tcW w:w="839" w:type="dxa"/>
            <w:tcBorders>
              <w:top w:val="single" w:sz="4" w:space="0" w:color="000000"/>
              <w:left w:val="single" w:sz="4" w:space="0" w:color="000000"/>
              <w:bottom w:val="single" w:sz="4" w:space="0" w:color="000000"/>
              <w:right w:val="single" w:sz="4" w:space="0" w:color="000000"/>
            </w:tcBorders>
          </w:tcPr>
          <w:p w14:paraId="24D60963" w14:textId="77777777" w:rsidR="00245300" w:rsidRPr="00EC20A0" w:rsidRDefault="00245300">
            <w:pPr>
              <w:pStyle w:val="TableParagraph"/>
              <w:rPr>
                <w:sz w:val="16"/>
              </w:rPr>
            </w:pPr>
          </w:p>
        </w:tc>
        <w:tc>
          <w:tcPr>
            <w:tcW w:w="973" w:type="dxa"/>
            <w:tcBorders>
              <w:top w:val="single" w:sz="4" w:space="0" w:color="000000"/>
              <w:left w:val="single" w:sz="4" w:space="0" w:color="000000"/>
              <w:bottom w:val="single" w:sz="4" w:space="0" w:color="000000"/>
              <w:right w:val="single" w:sz="4" w:space="0" w:color="000000"/>
            </w:tcBorders>
          </w:tcPr>
          <w:p w14:paraId="24D60964"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bottom w:val="single" w:sz="4" w:space="0" w:color="000000"/>
              <w:right w:val="single" w:sz="4" w:space="0" w:color="000000"/>
            </w:tcBorders>
          </w:tcPr>
          <w:p w14:paraId="24D60965" w14:textId="77777777" w:rsidR="00245300" w:rsidRPr="00EC20A0" w:rsidRDefault="00245300">
            <w:pPr>
              <w:pStyle w:val="TableParagraph"/>
              <w:rPr>
                <w:sz w:val="16"/>
              </w:rPr>
            </w:pPr>
          </w:p>
        </w:tc>
        <w:tc>
          <w:tcPr>
            <w:tcW w:w="983" w:type="dxa"/>
            <w:tcBorders>
              <w:top w:val="single" w:sz="4" w:space="0" w:color="000000"/>
              <w:left w:val="single" w:sz="4" w:space="0" w:color="000000"/>
              <w:bottom w:val="single" w:sz="4" w:space="0" w:color="000000"/>
              <w:right w:val="single" w:sz="4" w:space="0" w:color="000000"/>
            </w:tcBorders>
          </w:tcPr>
          <w:p w14:paraId="24D60966" w14:textId="77777777" w:rsidR="00245300" w:rsidRPr="00EC20A0" w:rsidRDefault="00245300">
            <w:pPr>
              <w:pStyle w:val="TableParagraph"/>
              <w:rPr>
                <w:sz w:val="16"/>
              </w:rPr>
            </w:pPr>
          </w:p>
        </w:tc>
        <w:tc>
          <w:tcPr>
            <w:tcW w:w="1074" w:type="dxa"/>
            <w:tcBorders>
              <w:top w:val="single" w:sz="4" w:space="0" w:color="000000"/>
              <w:left w:val="single" w:sz="4" w:space="0" w:color="000000"/>
              <w:bottom w:val="single" w:sz="4" w:space="0" w:color="000000"/>
              <w:right w:val="single" w:sz="4" w:space="0" w:color="000000"/>
            </w:tcBorders>
          </w:tcPr>
          <w:p w14:paraId="24D60967" w14:textId="77777777" w:rsidR="00245300" w:rsidRPr="00EC20A0" w:rsidRDefault="00245300">
            <w:pPr>
              <w:pStyle w:val="TableParagraph"/>
              <w:rPr>
                <w:sz w:val="16"/>
              </w:rPr>
            </w:pPr>
          </w:p>
        </w:tc>
        <w:tc>
          <w:tcPr>
            <w:tcW w:w="493" w:type="dxa"/>
            <w:tcBorders>
              <w:top w:val="single" w:sz="4" w:space="0" w:color="000000"/>
              <w:left w:val="single" w:sz="4" w:space="0" w:color="000000"/>
              <w:bottom w:val="single" w:sz="4" w:space="0" w:color="000000"/>
              <w:right w:val="single" w:sz="4" w:space="0" w:color="000000"/>
            </w:tcBorders>
          </w:tcPr>
          <w:p w14:paraId="24D60968" w14:textId="77777777" w:rsidR="00245300" w:rsidRPr="00EC20A0" w:rsidRDefault="00245300">
            <w:pPr>
              <w:pStyle w:val="TableParagraph"/>
              <w:rPr>
                <w:sz w:val="16"/>
              </w:rPr>
            </w:pPr>
          </w:p>
        </w:tc>
        <w:tc>
          <w:tcPr>
            <w:tcW w:w="1077" w:type="dxa"/>
            <w:tcBorders>
              <w:top w:val="single" w:sz="4" w:space="0" w:color="000000"/>
              <w:left w:val="single" w:sz="4" w:space="0" w:color="000000"/>
              <w:bottom w:val="single" w:sz="4" w:space="0" w:color="000000"/>
              <w:right w:val="single" w:sz="4" w:space="0" w:color="000000"/>
            </w:tcBorders>
          </w:tcPr>
          <w:p w14:paraId="24D60969" w14:textId="77777777" w:rsidR="00245300" w:rsidRPr="00EC20A0" w:rsidRDefault="00245300">
            <w:pPr>
              <w:pStyle w:val="TableParagraph"/>
              <w:rPr>
                <w:sz w:val="16"/>
              </w:rPr>
            </w:pPr>
          </w:p>
        </w:tc>
        <w:tc>
          <w:tcPr>
            <w:tcW w:w="607" w:type="dxa"/>
            <w:tcBorders>
              <w:top w:val="single" w:sz="4" w:space="0" w:color="000000"/>
              <w:left w:val="single" w:sz="4" w:space="0" w:color="000000"/>
              <w:bottom w:val="single" w:sz="4" w:space="0" w:color="000000"/>
              <w:right w:val="single" w:sz="4" w:space="0" w:color="000000"/>
            </w:tcBorders>
          </w:tcPr>
          <w:p w14:paraId="24D6096A" w14:textId="77777777" w:rsidR="00245300" w:rsidRPr="00EC20A0" w:rsidRDefault="00245300">
            <w:pPr>
              <w:pStyle w:val="TableParagraph"/>
              <w:rPr>
                <w:sz w:val="16"/>
              </w:rPr>
            </w:pPr>
          </w:p>
        </w:tc>
        <w:tc>
          <w:tcPr>
            <w:tcW w:w="1863" w:type="dxa"/>
            <w:tcBorders>
              <w:top w:val="single" w:sz="4" w:space="0" w:color="000000"/>
              <w:left w:val="single" w:sz="4" w:space="0" w:color="000000"/>
              <w:bottom w:val="single" w:sz="4" w:space="0" w:color="000000"/>
            </w:tcBorders>
          </w:tcPr>
          <w:p w14:paraId="24D6096B" w14:textId="77777777" w:rsidR="00245300" w:rsidRPr="00EC20A0" w:rsidRDefault="00245300">
            <w:pPr>
              <w:pStyle w:val="TableParagraph"/>
              <w:rPr>
                <w:sz w:val="16"/>
              </w:rPr>
            </w:pPr>
          </w:p>
        </w:tc>
      </w:tr>
      <w:tr w:rsidR="00245300" w:rsidRPr="00EC20A0" w14:paraId="24D60979" w14:textId="77777777">
        <w:trPr>
          <w:trHeight w:val="305"/>
        </w:trPr>
        <w:tc>
          <w:tcPr>
            <w:tcW w:w="647" w:type="dxa"/>
            <w:tcBorders>
              <w:top w:val="single" w:sz="4" w:space="0" w:color="000000"/>
              <w:right w:val="single" w:sz="4" w:space="0" w:color="000000"/>
            </w:tcBorders>
          </w:tcPr>
          <w:p w14:paraId="24D6096D" w14:textId="77777777" w:rsidR="00245300" w:rsidRPr="00EC20A0" w:rsidRDefault="00245300">
            <w:pPr>
              <w:pStyle w:val="TableParagraph"/>
              <w:rPr>
                <w:sz w:val="16"/>
              </w:rPr>
            </w:pPr>
          </w:p>
        </w:tc>
        <w:tc>
          <w:tcPr>
            <w:tcW w:w="1005" w:type="dxa"/>
            <w:tcBorders>
              <w:top w:val="single" w:sz="4" w:space="0" w:color="000000"/>
              <w:left w:val="single" w:sz="4" w:space="0" w:color="000000"/>
              <w:right w:val="single" w:sz="4" w:space="0" w:color="000000"/>
            </w:tcBorders>
          </w:tcPr>
          <w:p w14:paraId="24D6096E" w14:textId="77777777" w:rsidR="00245300" w:rsidRPr="00EC20A0" w:rsidRDefault="00245300">
            <w:pPr>
              <w:pStyle w:val="TableParagraph"/>
              <w:rPr>
                <w:sz w:val="16"/>
              </w:rPr>
            </w:pPr>
          </w:p>
        </w:tc>
        <w:tc>
          <w:tcPr>
            <w:tcW w:w="455" w:type="dxa"/>
            <w:tcBorders>
              <w:top w:val="single" w:sz="4" w:space="0" w:color="000000"/>
              <w:left w:val="single" w:sz="4" w:space="0" w:color="000000"/>
              <w:right w:val="single" w:sz="4" w:space="0" w:color="000000"/>
            </w:tcBorders>
          </w:tcPr>
          <w:p w14:paraId="24D6096F" w14:textId="77777777" w:rsidR="00245300" w:rsidRPr="00EC20A0" w:rsidRDefault="00245300">
            <w:pPr>
              <w:pStyle w:val="TableParagraph"/>
              <w:rPr>
                <w:sz w:val="16"/>
              </w:rPr>
            </w:pPr>
          </w:p>
        </w:tc>
        <w:tc>
          <w:tcPr>
            <w:tcW w:w="839" w:type="dxa"/>
            <w:tcBorders>
              <w:top w:val="single" w:sz="4" w:space="0" w:color="000000"/>
              <w:left w:val="single" w:sz="4" w:space="0" w:color="000000"/>
              <w:right w:val="single" w:sz="4" w:space="0" w:color="000000"/>
            </w:tcBorders>
          </w:tcPr>
          <w:p w14:paraId="24D60970" w14:textId="77777777" w:rsidR="00245300" w:rsidRPr="00EC20A0" w:rsidRDefault="00245300">
            <w:pPr>
              <w:pStyle w:val="TableParagraph"/>
              <w:rPr>
                <w:sz w:val="16"/>
              </w:rPr>
            </w:pPr>
          </w:p>
        </w:tc>
        <w:tc>
          <w:tcPr>
            <w:tcW w:w="973" w:type="dxa"/>
            <w:tcBorders>
              <w:top w:val="single" w:sz="4" w:space="0" w:color="000000"/>
              <w:left w:val="single" w:sz="4" w:space="0" w:color="000000"/>
              <w:right w:val="single" w:sz="4" w:space="0" w:color="000000"/>
            </w:tcBorders>
          </w:tcPr>
          <w:p w14:paraId="24D60971" w14:textId="77777777" w:rsidR="00245300" w:rsidRPr="00EC20A0" w:rsidRDefault="00245300">
            <w:pPr>
              <w:pStyle w:val="TableParagraph"/>
              <w:rPr>
                <w:sz w:val="16"/>
              </w:rPr>
            </w:pPr>
          </w:p>
        </w:tc>
        <w:tc>
          <w:tcPr>
            <w:tcW w:w="2989" w:type="dxa"/>
            <w:gridSpan w:val="2"/>
            <w:tcBorders>
              <w:top w:val="single" w:sz="4" w:space="0" w:color="000000"/>
              <w:left w:val="single" w:sz="4" w:space="0" w:color="000000"/>
              <w:right w:val="single" w:sz="4" w:space="0" w:color="000000"/>
            </w:tcBorders>
          </w:tcPr>
          <w:p w14:paraId="24D60972" w14:textId="77777777" w:rsidR="00245300" w:rsidRPr="00EC20A0" w:rsidRDefault="00245300">
            <w:pPr>
              <w:pStyle w:val="TableParagraph"/>
              <w:rPr>
                <w:sz w:val="16"/>
              </w:rPr>
            </w:pPr>
          </w:p>
        </w:tc>
        <w:tc>
          <w:tcPr>
            <w:tcW w:w="983" w:type="dxa"/>
            <w:tcBorders>
              <w:top w:val="single" w:sz="4" w:space="0" w:color="000000"/>
              <w:left w:val="single" w:sz="4" w:space="0" w:color="000000"/>
              <w:right w:val="single" w:sz="4" w:space="0" w:color="000000"/>
            </w:tcBorders>
          </w:tcPr>
          <w:p w14:paraId="24D60973" w14:textId="77777777" w:rsidR="00245300" w:rsidRPr="00EC20A0" w:rsidRDefault="00245300">
            <w:pPr>
              <w:pStyle w:val="TableParagraph"/>
              <w:rPr>
                <w:sz w:val="16"/>
              </w:rPr>
            </w:pPr>
          </w:p>
        </w:tc>
        <w:tc>
          <w:tcPr>
            <w:tcW w:w="1074" w:type="dxa"/>
            <w:tcBorders>
              <w:top w:val="single" w:sz="4" w:space="0" w:color="000000"/>
              <w:left w:val="single" w:sz="4" w:space="0" w:color="000000"/>
              <w:right w:val="single" w:sz="4" w:space="0" w:color="000000"/>
            </w:tcBorders>
          </w:tcPr>
          <w:p w14:paraId="24D60974" w14:textId="77777777" w:rsidR="00245300" w:rsidRPr="00EC20A0" w:rsidRDefault="00245300">
            <w:pPr>
              <w:pStyle w:val="TableParagraph"/>
              <w:rPr>
                <w:sz w:val="16"/>
              </w:rPr>
            </w:pPr>
          </w:p>
        </w:tc>
        <w:tc>
          <w:tcPr>
            <w:tcW w:w="493" w:type="dxa"/>
            <w:tcBorders>
              <w:top w:val="single" w:sz="4" w:space="0" w:color="000000"/>
              <w:left w:val="single" w:sz="4" w:space="0" w:color="000000"/>
              <w:right w:val="single" w:sz="4" w:space="0" w:color="000000"/>
            </w:tcBorders>
          </w:tcPr>
          <w:p w14:paraId="24D60975" w14:textId="77777777" w:rsidR="00245300" w:rsidRPr="00EC20A0" w:rsidRDefault="00245300">
            <w:pPr>
              <w:pStyle w:val="TableParagraph"/>
              <w:rPr>
                <w:sz w:val="16"/>
              </w:rPr>
            </w:pPr>
          </w:p>
        </w:tc>
        <w:tc>
          <w:tcPr>
            <w:tcW w:w="1077" w:type="dxa"/>
            <w:tcBorders>
              <w:top w:val="single" w:sz="4" w:space="0" w:color="000000"/>
              <w:left w:val="single" w:sz="4" w:space="0" w:color="000000"/>
              <w:right w:val="single" w:sz="4" w:space="0" w:color="000000"/>
            </w:tcBorders>
          </w:tcPr>
          <w:p w14:paraId="24D60976" w14:textId="77777777" w:rsidR="00245300" w:rsidRPr="00EC20A0" w:rsidRDefault="00245300">
            <w:pPr>
              <w:pStyle w:val="TableParagraph"/>
              <w:rPr>
                <w:sz w:val="16"/>
              </w:rPr>
            </w:pPr>
          </w:p>
        </w:tc>
        <w:tc>
          <w:tcPr>
            <w:tcW w:w="607" w:type="dxa"/>
            <w:tcBorders>
              <w:top w:val="single" w:sz="4" w:space="0" w:color="000000"/>
              <w:left w:val="single" w:sz="4" w:space="0" w:color="000000"/>
              <w:right w:val="single" w:sz="4" w:space="0" w:color="000000"/>
            </w:tcBorders>
          </w:tcPr>
          <w:p w14:paraId="24D60977" w14:textId="77777777" w:rsidR="00245300" w:rsidRPr="00EC20A0" w:rsidRDefault="00245300">
            <w:pPr>
              <w:pStyle w:val="TableParagraph"/>
              <w:rPr>
                <w:sz w:val="16"/>
              </w:rPr>
            </w:pPr>
          </w:p>
        </w:tc>
        <w:tc>
          <w:tcPr>
            <w:tcW w:w="1863" w:type="dxa"/>
            <w:tcBorders>
              <w:top w:val="single" w:sz="4" w:space="0" w:color="000000"/>
              <w:left w:val="single" w:sz="4" w:space="0" w:color="000000"/>
            </w:tcBorders>
          </w:tcPr>
          <w:p w14:paraId="24D60978" w14:textId="77777777" w:rsidR="00245300" w:rsidRPr="00EC20A0" w:rsidRDefault="00245300">
            <w:pPr>
              <w:pStyle w:val="TableParagraph"/>
              <w:rPr>
                <w:sz w:val="16"/>
              </w:rPr>
            </w:pPr>
          </w:p>
        </w:tc>
      </w:tr>
    </w:tbl>
    <w:p w14:paraId="24D6097A" w14:textId="77777777" w:rsidR="00245300" w:rsidRPr="00EC20A0" w:rsidRDefault="00245300">
      <w:pPr>
        <w:rPr>
          <w:sz w:val="16"/>
        </w:rPr>
        <w:sectPr w:rsidR="00245300" w:rsidRPr="00EC20A0">
          <w:type w:val="continuous"/>
          <w:pgSz w:w="15840" w:h="12240" w:orient="landscape"/>
          <w:pgMar w:top="1440" w:right="1480" w:bottom="940" w:left="980" w:header="720" w:footer="757" w:gutter="0"/>
          <w:cols w:space="720"/>
        </w:sectPr>
      </w:pPr>
    </w:p>
    <w:p w14:paraId="24D6097B" w14:textId="77777777" w:rsidR="00245300" w:rsidRPr="00EC20A0" w:rsidRDefault="00F17249">
      <w:pPr>
        <w:spacing w:before="361"/>
        <w:ind w:left="120"/>
        <w:rPr>
          <w:b/>
          <w:sz w:val="32"/>
        </w:rPr>
      </w:pPr>
      <w:bookmarkStart w:id="150" w:name="710_–_Agreed-Upon_Procedures"/>
      <w:bookmarkStart w:id="151" w:name="_bookmark62"/>
      <w:bookmarkEnd w:id="150"/>
      <w:bookmarkEnd w:id="151"/>
      <w:r w:rsidRPr="00EC20A0">
        <w:rPr>
          <w:b/>
          <w:sz w:val="32"/>
          <w:u w:val="single"/>
        </w:rPr>
        <w:t>710</w:t>
      </w:r>
      <w:r w:rsidRPr="00EC20A0">
        <w:rPr>
          <w:b/>
          <w:spacing w:val="-4"/>
          <w:sz w:val="32"/>
          <w:u w:val="single"/>
        </w:rPr>
        <w:t xml:space="preserve"> </w:t>
      </w:r>
      <w:r w:rsidRPr="00EC20A0">
        <w:rPr>
          <w:b/>
          <w:sz w:val="32"/>
          <w:u w:val="single"/>
        </w:rPr>
        <w:t>–</w:t>
      </w:r>
      <w:r w:rsidRPr="00EC20A0">
        <w:rPr>
          <w:b/>
          <w:spacing w:val="-15"/>
          <w:sz w:val="32"/>
          <w:u w:val="single"/>
        </w:rPr>
        <w:t xml:space="preserve"> </w:t>
      </w:r>
      <w:r w:rsidRPr="00EC20A0">
        <w:rPr>
          <w:b/>
          <w:sz w:val="32"/>
          <w:u w:val="single"/>
        </w:rPr>
        <w:t>Agreed-Upon</w:t>
      </w:r>
      <w:r w:rsidRPr="00EC20A0">
        <w:rPr>
          <w:b/>
          <w:spacing w:val="-3"/>
          <w:sz w:val="32"/>
          <w:u w:val="single"/>
        </w:rPr>
        <w:t xml:space="preserve"> </w:t>
      </w:r>
      <w:r w:rsidRPr="00EC20A0">
        <w:rPr>
          <w:b/>
          <w:spacing w:val="-2"/>
          <w:sz w:val="32"/>
          <w:u w:val="single"/>
        </w:rPr>
        <w:t>Procedures</w:t>
      </w:r>
    </w:p>
    <w:p w14:paraId="24D6097C" w14:textId="77777777" w:rsidR="00245300" w:rsidRPr="00EC20A0" w:rsidRDefault="00245300">
      <w:pPr>
        <w:pStyle w:val="BodyText"/>
        <w:spacing w:before="106"/>
        <w:rPr>
          <w:b/>
        </w:rPr>
      </w:pPr>
    </w:p>
    <w:p w14:paraId="24D6097D" w14:textId="77777777" w:rsidR="00245300" w:rsidRPr="00EC20A0" w:rsidRDefault="00F17249">
      <w:pPr>
        <w:pStyle w:val="ListParagraph"/>
        <w:numPr>
          <w:ilvl w:val="0"/>
          <w:numId w:val="11"/>
        </w:numPr>
        <w:tabs>
          <w:tab w:val="left" w:pos="1559"/>
        </w:tabs>
        <w:spacing w:before="0"/>
        <w:ind w:right="328" w:hanging="720"/>
      </w:pPr>
      <w:r w:rsidRPr="00EC20A0">
        <w:t xml:space="preserve">In an agreed-upon procedures engagement, the auditor performs specific procedures on a subject matter and reports on the results to assist the intended users in evaluating the subject matter. Agreed-upon procedures should be performed in accordance with GAGAS, which incorporate the AICPA’s financial audit and attestation standards. AT-C 105, </w:t>
      </w:r>
      <w:r w:rsidRPr="00EC20A0">
        <w:rPr>
          <w:i/>
        </w:rPr>
        <w:t>Concepts Common to All Attestation Engagements</w:t>
      </w:r>
      <w:r w:rsidRPr="00EC20A0">
        <w:t xml:space="preserve">, applies to all attestation engagements. AT-C 215, </w:t>
      </w:r>
      <w:r w:rsidRPr="00EC20A0">
        <w:rPr>
          <w:i/>
        </w:rPr>
        <w:t>Agreed-Upon Procedures</w:t>
      </w:r>
      <w:r w:rsidRPr="00EC20A0">
        <w:rPr>
          <w:i/>
          <w:spacing w:val="-10"/>
        </w:rPr>
        <w:t xml:space="preserve"> </w:t>
      </w:r>
      <w:r w:rsidRPr="00EC20A0">
        <w:rPr>
          <w:i/>
        </w:rPr>
        <w:t>Engagements</w:t>
      </w:r>
      <w:r w:rsidRPr="00EC20A0">
        <w:t>,</w:t>
      </w:r>
      <w:r w:rsidRPr="00EC20A0">
        <w:rPr>
          <w:spacing w:val="-23"/>
        </w:rPr>
        <w:t xml:space="preserve"> </w:t>
      </w:r>
      <w:r w:rsidRPr="00EC20A0">
        <w:t>contains</w:t>
      </w:r>
      <w:r w:rsidRPr="00EC20A0">
        <w:rPr>
          <w:spacing w:val="-7"/>
        </w:rPr>
        <w:t xml:space="preserve"> </w:t>
      </w:r>
      <w:r w:rsidRPr="00EC20A0">
        <w:t>performance</w:t>
      </w:r>
      <w:r w:rsidRPr="00EC20A0">
        <w:rPr>
          <w:spacing w:val="-6"/>
        </w:rPr>
        <w:t xml:space="preserve"> </w:t>
      </w:r>
      <w:r w:rsidRPr="00EC20A0">
        <w:t>and</w:t>
      </w:r>
      <w:r w:rsidRPr="00EC20A0">
        <w:rPr>
          <w:spacing w:val="-6"/>
        </w:rPr>
        <w:t xml:space="preserve"> </w:t>
      </w:r>
      <w:r w:rsidRPr="00EC20A0">
        <w:t>reporting</w:t>
      </w:r>
      <w:r w:rsidRPr="00EC20A0">
        <w:rPr>
          <w:spacing w:val="-6"/>
        </w:rPr>
        <w:t xml:space="preserve"> </w:t>
      </w:r>
      <w:r w:rsidRPr="00EC20A0">
        <w:t>requirements</w:t>
      </w:r>
      <w:r w:rsidRPr="00EC20A0">
        <w:rPr>
          <w:spacing w:val="-6"/>
        </w:rPr>
        <w:t xml:space="preserve"> </w:t>
      </w:r>
      <w:r w:rsidRPr="00EC20A0">
        <w:t>and application guidance specific to agreed-upon procedures engagements.</w:t>
      </w:r>
    </w:p>
    <w:p w14:paraId="24D6097E" w14:textId="77777777" w:rsidR="00245300" w:rsidRPr="00EC20A0" w:rsidRDefault="00F17249">
      <w:pPr>
        <w:pStyle w:val="ListParagraph"/>
        <w:numPr>
          <w:ilvl w:val="0"/>
          <w:numId w:val="11"/>
        </w:numPr>
        <w:tabs>
          <w:tab w:val="left" w:pos="1559"/>
        </w:tabs>
        <w:spacing w:before="241"/>
        <w:ind w:right="308"/>
      </w:pPr>
      <w:r w:rsidRPr="00EC20A0">
        <w:t>The</w:t>
      </w:r>
      <w:r w:rsidRPr="00EC20A0">
        <w:rPr>
          <w:spacing w:val="-4"/>
        </w:rPr>
        <w:t xml:space="preserve"> </w:t>
      </w:r>
      <w:r w:rsidRPr="00EC20A0">
        <w:t>auditor</w:t>
      </w:r>
      <w:r w:rsidRPr="00EC20A0">
        <w:rPr>
          <w:spacing w:val="-6"/>
        </w:rPr>
        <w:t xml:space="preserve"> </w:t>
      </w:r>
      <w:r w:rsidRPr="00EC20A0">
        <w:t>may</w:t>
      </w:r>
      <w:r w:rsidRPr="00EC20A0">
        <w:rPr>
          <w:spacing w:val="-4"/>
        </w:rPr>
        <w:t xml:space="preserve"> </w:t>
      </w:r>
      <w:r w:rsidRPr="00EC20A0">
        <w:t>perform</w:t>
      </w:r>
      <w:r w:rsidRPr="00EC20A0">
        <w:rPr>
          <w:spacing w:val="-5"/>
        </w:rPr>
        <w:t xml:space="preserve"> </w:t>
      </w:r>
      <w:r w:rsidRPr="00EC20A0">
        <w:t>an</w:t>
      </w:r>
      <w:r w:rsidRPr="00EC20A0">
        <w:rPr>
          <w:spacing w:val="-4"/>
        </w:rPr>
        <w:t xml:space="preserve"> </w:t>
      </w:r>
      <w:r w:rsidRPr="00EC20A0">
        <w:t>agreed-upon</w:t>
      </w:r>
      <w:r w:rsidRPr="00EC20A0">
        <w:rPr>
          <w:spacing w:val="-4"/>
        </w:rPr>
        <w:t xml:space="preserve"> </w:t>
      </w:r>
      <w:r w:rsidRPr="00EC20A0">
        <w:t>procedures</w:t>
      </w:r>
      <w:r w:rsidRPr="00EC20A0">
        <w:rPr>
          <w:spacing w:val="-4"/>
        </w:rPr>
        <w:t xml:space="preserve"> </w:t>
      </w:r>
      <w:r w:rsidRPr="00EC20A0">
        <w:t>engagement</w:t>
      </w:r>
      <w:r w:rsidRPr="00EC20A0">
        <w:rPr>
          <w:spacing w:val="-4"/>
        </w:rPr>
        <w:t xml:space="preserve"> </w:t>
      </w:r>
      <w:r w:rsidRPr="00EC20A0">
        <w:t>on</w:t>
      </w:r>
      <w:r w:rsidRPr="00EC20A0">
        <w:rPr>
          <w:spacing w:val="-4"/>
        </w:rPr>
        <w:t xml:space="preserve"> </w:t>
      </w:r>
      <w:r w:rsidRPr="00EC20A0">
        <w:t>a</w:t>
      </w:r>
      <w:r w:rsidRPr="00EC20A0">
        <w:rPr>
          <w:spacing w:val="-4"/>
        </w:rPr>
        <w:t xml:space="preserve"> </w:t>
      </w:r>
      <w:r w:rsidRPr="00EC20A0">
        <w:t>variety</w:t>
      </w:r>
      <w:r w:rsidRPr="00EC20A0">
        <w:rPr>
          <w:spacing w:val="-4"/>
        </w:rPr>
        <w:t xml:space="preserve"> </w:t>
      </w:r>
      <w:r w:rsidRPr="00EC20A0">
        <w:t>of subject matters.</w:t>
      </w:r>
      <w:hyperlink w:anchor="_bookmark63" w:history="1">
        <w:r w:rsidRPr="00EC20A0">
          <w:rPr>
            <w:position w:val="7"/>
            <w:sz w:val="14"/>
          </w:rPr>
          <w:t>16</w:t>
        </w:r>
      </w:hyperlink>
      <w:r w:rsidRPr="00EC20A0">
        <w:rPr>
          <w:spacing w:val="34"/>
          <w:position w:val="7"/>
          <w:sz w:val="14"/>
        </w:rPr>
        <w:t xml:space="preserve"> </w:t>
      </w:r>
      <w:r w:rsidRPr="00EC20A0">
        <w:t>The engagement will vary depending on the needs of the engaging party. Examples of agreed-upon procedures include</w:t>
      </w:r>
    </w:p>
    <w:p w14:paraId="24D6097F" w14:textId="77777777" w:rsidR="00245300" w:rsidRPr="00EC20A0" w:rsidRDefault="00F17249">
      <w:pPr>
        <w:pStyle w:val="ListParagraph"/>
        <w:numPr>
          <w:ilvl w:val="1"/>
          <w:numId w:val="11"/>
        </w:numPr>
        <w:tabs>
          <w:tab w:val="left" w:pos="1919"/>
        </w:tabs>
        <w:ind w:right="377"/>
      </w:pPr>
      <w:r w:rsidRPr="00EC20A0">
        <w:t>compare</w:t>
      </w:r>
      <w:r w:rsidRPr="00EC20A0">
        <w:rPr>
          <w:spacing w:val="-5"/>
        </w:rPr>
        <w:t xml:space="preserve"> </w:t>
      </w:r>
      <w:r w:rsidRPr="00EC20A0">
        <w:t>payroll</w:t>
      </w:r>
      <w:r w:rsidRPr="00EC20A0">
        <w:rPr>
          <w:spacing w:val="-5"/>
        </w:rPr>
        <w:t xml:space="preserve"> </w:t>
      </w:r>
      <w:r w:rsidRPr="00EC20A0">
        <w:t>information</w:t>
      </w:r>
      <w:r w:rsidRPr="00EC20A0">
        <w:rPr>
          <w:spacing w:val="-5"/>
        </w:rPr>
        <w:t xml:space="preserve"> </w:t>
      </w:r>
      <w:r w:rsidRPr="00EC20A0">
        <w:t>reported</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Office</w:t>
      </w:r>
      <w:r w:rsidRPr="00EC20A0">
        <w:rPr>
          <w:spacing w:val="-5"/>
        </w:rPr>
        <w:t xml:space="preserve"> </w:t>
      </w:r>
      <w:r w:rsidRPr="00EC20A0">
        <w:t>of</w:t>
      </w:r>
      <w:r w:rsidRPr="00EC20A0">
        <w:rPr>
          <w:spacing w:val="-5"/>
        </w:rPr>
        <w:t xml:space="preserve"> </w:t>
      </w:r>
      <w:r w:rsidRPr="00EC20A0">
        <w:t>Personnel</w:t>
      </w:r>
      <w:r w:rsidRPr="00EC20A0">
        <w:rPr>
          <w:spacing w:val="-5"/>
        </w:rPr>
        <w:t xml:space="preserve"> </w:t>
      </w:r>
      <w:r w:rsidRPr="00EC20A0">
        <w:t>Management with the entity’s payroll records and general ledger (refer to OMB audit guidance for additional information);</w:t>
      </w:r>
    </w:p>
    <w:p w14:paraId="24D60980" w14:textId="77777777" w:rsidR="00245300" w:rsidRPr="00EC20A0" w:rsidRDefault="00F17249">
      <w:pPr>
        <w:pStyle w:val="ListParagraph"/>
        <w:numPr>
          <w:ilvl w:val="1"/>
          <w:numId w:val="11"/>
        </w:numPr>
        <w:tabs>
          <w:tab w:val="left" w:pos="1919"/>
        </w:tabs>
        <w:spacing w:before="237"/>
        <w:ind w:right="337"/>
      </w:pPr>
      <w:r w:rsidRPr="00EC20A0">
        <w:t>compare</w:t>
      </w:r>
      <w:r w:rsidRPr="00EC20A0">
        <w:rPr>
          <w:spacing w:val="-5"/>
        </w:rPr>
        <w:t xml:space="preserve"> </w:t>
      </w:r>
      <w:r w:rsidRPr="00EC20A0">
        <w:t>entity</w:t>
      </w:r>
      <w:r w:rsidRPr="00EC20A0">
        <w:rPr>
          <w:spacing w:val="-5"/>
        </w:rPr>
        <w:t xml:space="preserve"> </w:t>
      </w:r>
      <w:r w:rsidRPr="00EC20A0">
        <w:t>reconciliations</w:t>
      </w:r>
      <w:r w:rsidRPr="00EC20A0">
        <w:rPr>
          <w:spacing w:val="-5"/>
        </w:rPr>
        <w:t xml:space="preserve"> </w:t>
      </w:r>
      <w:r w:rsidRPr="00EC20A0">
        <w:t>of</w:t>
      </w:r>
      <w:r w:rsidRPr="00EC20A0">
        <w:rPr>
          <w:spacing w:val="-5"/>
        </w:rPr>
        <w:t xml:space="preserve"> </w:t>
      </w:r>
      <w:r w:rsidRPr="00EC20A0">
        <w:t>intragovernmental</w:t>
      </w:r>
      <w:r w:rsidRPr="00EC20A0">
        <w:rPr>
          <w:spacing w:val="-5"/>
        </w:rPr>
        <w:t xml:space="preserve"> </w:t>
      </w:r>
      <w:r w:rsidRPr="00EC20A0">
        <w:t>activity</w:t>
      </w:r>
      <w:r w:rsidRPr="00EC20A0">
        <w:rPr>
          <w:spacing w:val="-5"/>
        </w:rPr>
        <w:t xml:space="preserve"> </w:t>
      </w:r>
      <w:r w:rsidRPr="00EC20A0">
        <w:t>and</w:t>
      </w:r>
      <w:r w:rsidRPr="00EC20A0">
        <w:rPr>
          <w:spacing w:val="-5"/>
        </w:rPr>
        <w:t xml:space="preserve"> </w:t>
      </w:r>
      <w:r w:rsidRPr="00EC20A0">
        <w:t>balances</w:t>
      </w:r>
      <w:r w:rsidRPr="00EC20A0">
        <w:rPr>
          <w:spacing w:val="-6"/>
        </w:rPr>
        <w:t xml:space="preserve"> </w:t>
      </w:r>
      <w:r w:rsidRPr="00EC20A0">
        <w:t xml:space="preserve">with supporting documentation and compare amounts with the financial statements and with </w:t>
      </w:r>
      <w:r w:rsidRPr="00EC20A0">
        <w:t>reports to Treasury (refer to OMB audit guidance for additional information);</w:t>
      </w:r>
    </w:p>
    <w:p w14:paraId="24D60981" w14:textId="77777777" w:rsidR="00245300" w:rsidRPr="00EC20A0" w:rsidRDefault="00F17249">
      <w:pPr>
        <w:pStyle w:val="ListParagraph"/>
        <w:numPr>
          <w:ilvl w:val="1"/>
          <w:numId w:val="11"/>
        </w:numPr>
        <w:tabs>
          <w:tab w:val="left" w:pos="1919"/>
        </w:tabs>
        <w:spacing w:before="239"/>
        <w:ind w:right="620"/>
      </w:pPr>
      <w:r w:rsidRPr="00EC20A0">
        <w:t>trace tax collections from the master file to deposit confirmations and determine</w:t>
      </w:r>
      <w:r w:rsidRPr="00EC20A0">
        <w:rPr>
          <w:spacing w:val="-4"/>
        </w:rPr>
        <w:t xml:space="preserve"> </w:t>
      </w:r>
      <w:r w:rsidRPr="00EC20A0">
        <w:t>whether</w:t>
      </w:r>
      <w:r w:rsidRPr="00EC20A0">
        <w:rPr>
          <w:spacing w:val="-4"/>
        </w:rPr>
        <w:t xml:space="preserve"> </w:t>
      </w:r>
      <w:r w:rsidRPr="00EC20A0">
        <w:t>they</w:t>
      </w:r>
      <w:r w:rsidRPr="00EC20A0">
        <w:rPr>
          <w:spacing w:val="-5"/>
        </w:rPr>
        <w:t xml:space="preserve"> </w:t>
      </w:r>
      <w:r w:rsidRPr="00EC20A0">
        <w:t>were</w:t>
      </w:r>
      <w:r w:rsidRPr="00EC20A0">
        <w:rPr>
          <w:spacing w:val="-4"/>
        </w:rPr>
        <w:t xml:space="preserve"> </w:t>
      </w:r>
      <w:r w:rsidRPr="00EC20A0">
        <w:t>recorded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appropriate</w:t>
      </w:r>
      <w:r w:rsidRPr="00EC20A0">
        <w:rPr>
          <w:spacing w:val="-4"/>
        </w:rPr>
        <w:t xml:space="preserve"> </w:t>
      </w:r>
      <w:r w:rsidRPr="00EC20A0">
        <w:t>period</w:t>
      </w:r>
      <w:r w:rsidRPr="00EC20A0">
        <w:rPr>
          <w:spacing w:val="-4"/>
        </w:rPr>
        <w:t xml:space="preserve"> </w:t>
      </w:r>
      <w:r w:rsidRPr="00EC20A0">
        <w:t>and</w:t>
      </w:r>
      <w:r w:rsidRPr="00EC20A0">
        <w:rPr>
          <w:spacing w:val="-4"/>
        </w:rPr>
        <w:t xml:space="preserve"> </w:t>
      </w:r>
      <w:r w:rsidRPr="00EC20A0">
        <w:t>in</w:t>
      </w:r>
      <w:r w:rsidRPr="00EC20A0">
        <w:rPr>
          <w:spacing w:val="-4"/>
        </w:rPr>
        <w:t xml:space="preserve"> </w:t>
      </w:r>
      <w:r w:rsidRPr="00EC20A0">
        <w:t>the correct tax class;</w:t>
      </w:r>
    </w:p>
    <w:p w14:paraId="24D60982" w14:textId="77777777" w:rsidR="00245300" w:rsidRPr="00EC20A0" w:rsidRDefault="00F17249">
      <w:pPr>
        <w:pStyle w:val="ListParagraph"/>
        <w:numPr>
          <w:ilvl w:val="1"/>
          <w:numId w:val="11"/>
        </w:numPr>
        <w:tabs>
          <w:tab w:val="left" w:pos="1919"/>
        </w:tabs>
        <w:spacing w:before="238"/>
        <w:ind w:right="362"/>
      </w:pPr>
      <w:r w:rsidRPr="00EC20A0">
        <w:t>trace amounts on the entity’s financial statements to an “account grouping worksheet,” foot the worksheet, read the chief financial officer’s (CFO) explanation</w:t>
      </w:r>
      <w:r w:rsidRPr="00EC20A0">
        <w:rPr>
          <w:spacing w:val="-5"/>
        </w:rPr>
        <w:t xml:space="preserve"> </w:t>
      </w:r>
      <w:r w:rsidRPr="00EC20A0">
        <w:t>for</w:t>
      </w:r>
      <w:r w:rsidRPr="00EC20A0">
        <w:rPr>
          <w:spacing w:val="-4"/>
        </w:rPr>
        <w:t xml:space="preserve"> </w:t>
      </w:r>
      <w:r w:rsidRPr="00EC20A0">
        <w:t>any</w:t>
      </w:r>
      <w:r w:rsidRPr="00EC20A0">
        <w:rPr>
          <w:spacing w:val="-4"/>
        </w:rPr>
        <w:t xml:space="preserve"> </w:t>
      </w:r>
      <w:r w:rsidRPr="00EC20A0">
        <w:t>differences,</w:t>
      </w:r>
      <w:r w:rsidRPr="00EC20A0">
        <w:rPr>
          <w:spacing w:val="-4"/>
        </w:rPr>
        <w:t xml:space="preserve"> </w:t>
      </w:r>
      <w:r w:rsidRPr="00EC20A0">
        <w:t>and</w:t>
      </w:r>
      <w:r w:rsidRPr="00EC20A0">
        <w:rPr>
          <w:spacing w:val="-5"/>
        </w:rPr>
        <w:t xml:space="preserve"> </w:t>
      </w:r>
      <w:r w:rsidRPr="00EC20A0">
        <w:t>compare</w:t>
      </w:r>
      <w:r w:rsidRPr="00EC20A0">
        <w:rPr>
          <w:spacing w:val="-4"/>
        </w:rPr>
        <w:t xml:space="preserve"> </w:t>
      </w:r>
      <w:r w:rsidRPr="00EC20A0">
        <w:t>the</w:t>
      </w:r>
      <w:r w:rsidRPr="00EC20A0">
        <w:rPr>
          <w:spacing w:val="-4"/>
        </w:rPr>
        <w:t xml:space="preserve"> </w:t>
      </w:r>
      <w:r w:rsidRPr="00EC20A0">
        <w:t>explanation</w:t>
      </w:r>
      <w:r w:rsidRPr="00EC20A0">
        <w:rPr>
          <w:spacing w:val="-5"/>
        </w:rPr>
        <w:t xml:space="preserve"> </w:t>
      </w:r>
      <w:r w:rsidRPr="00EC20A0">
        <w:t>with</w:t>
      </w:r>
      <w:r w:rsidRPr="00EC20A0">
        <w:rPr>
          <w:spacing w:val="-4"/>
        </w:rPr>
        <w:t xml:space="preserve"> </w:t>
      </w:r>
      <w:r w:rsidRPr="00EC20A0">
        <w:t xml:space="preserve">supporting </w:t>
      </w:r>
      <w:r w:rsidRPr="00EC20A0">
        <w:rPr>
          <w:spacing w:val="-2"/>
        </w:rPr>
        <w:t>documentation;</w:t>
      </w:r>
    </w:p>
    <w:p w14:paraId="24D60983" w14:textId="77777777" w:rsidR="00245300" w:rsidRPr="00EC20A0" w:rsidRDefault="00F17249">
      <w:pPr>
        <w:pStyle w:val="ListParagraph"/>
        <w:numPr>
          <w:ilvl w:val="1"/>
          <w:numId w:val="11"/>
        </w:numPr>
        <w:tabs>
          <w:tab w:val="left" w:pos="1919"/>
        </w:tabs>
        <w:spacing w:before="238"/>
        <w:ind w:right="398"/>
        <w:jc w:val="both"/>
      </w:pPr>
      <w:r w:rsidRPr="00EC20A0">
        <w:t>examine official receipt documents to determine whether they were included in</w:t>
      </w:r>
      <w:r w:rsidRPr="00EC20A0">
        <w:rPr>
          <w:spacing w:val="-4"/>
        </w:rPr>
        <w:t xml:space="preserve"> </w:t>
      </w:r>
      <w:r w:rsidRPr="00EC20A0">
        <w:t>the</w:t>
      </w:r>
      <w:r w:rsidRPr="00EC20A0">
        <w:rPr>
          <w:spacing w:val="-4"/>
        </w:rPr>
        <w:t xml:space="preserve"> </w:t>
      </w:r>
      <w:r w:rsidRPr="00EC20A0">
        <w:t>weekly</w:t>
      </w:r>
      <w:r w:rsidRPr="00EC20A0">
        <w:rPr>
          <w:spacing w:val="-4"/>
        </w:rPr>
        <w:t xml:space="preserve"> </w:t>
      </w:r>
      <w:r w:rsidRPr="00EC20A0">
        <w:t>deposit,</w:t>
      </w:r>
      <w:r w:rsidRPr="00EC20A0">
        <w:rPr>
          <w:spacing w:val="-4"/>
        </w:rPr>
        <w:t xml:space="preserve"> </w:t>
      </w:r>
      <w:r w:rsidRPr="00EC20A0">
        <w:t>and</w:t>
      </w:r>
      <w:r w:rsidRPr="00EC20A0">
        <w:rPr>
          <w:spacing w:val="-4"/>
        </w:rPr>
        <w:t xml:space="preserve"> </w:t>
      </w:r>
      <w:r w:rsidRPr="00EC20A0">
        <w:t>compare</w:t>
      </w:r>
      <w:r w:rsidRPr="00EC20A0">
        <w:rPr>
          <w:spacing w:val="-4"/>
        </w:rPr>
        <w:t xml:space="preserve"> </w:t>
      </w:r>
      <w:r w:rsidRPr="00EC20A0">
        <w:t>deposit</w:t>
      </w:r>
      <w:r w:rsidRPr="00EC20A0">
        <w:rPr>
          <w:spacing w:val="-4"/>
        </w:rPr>
        <w:t xml:space="preserve"> </w:t>
      </w:r>
      <w:r w:rsidRPr="00EC20A0">
        <w:t>amounts</w:t>
      </w:r>
      <w:r w:rsidRPr="00EC20A0">
        <w:rPr>
          <w:spacing w:val="-4"/>
        </w:rPr>
        <w:t xml:space="preserve"> </w:t>
      </w:r>
      <w:r w:rsidRPr="00EC20A0">
        <w:t>to</w:t>
      </w:r>
      <w:r w:rsidRPr="00EC20A0">
        <w:rPr>
          <w:spacing w:val="-4"/>
        </w:rPr>
        <w:t xml:space="preserve"> </w:t>
      </w:r>
      <w:r w:rsidRPr="00EC20A0">
        <w:t>amounts</w:t>
      </w:r>
      <w:r w:rsidRPr="00EC20A0">
        <w:rPr>
          <w:spacing w:val="-4"/>
        </w:rPr>
        <w:t xml:space="preserve"> </w:t>
      </w:r>
      <w:r w:rsidRPr="00EC20A0">
        <w:t>reported</w:t>
      </w:r>
      <w:r w:rsidRPr="00EC20A0">
        <w:rPr>
          <w:spacing w:val="-4"/>
        </w:rPr>
        <w:t xml:space="preserve"> </w:t>
      </w:r>
      <w:r w:rsidRPr="00EC20A0">
        <w:t>on the statement of funding; and</w:t>
      </w:r>
    </w:p>
    <w:p w14:paraId="24D60984" w14:textId="77777777" w:rsidR="00245300" w:rsidRPr="00EC20A0" w:rsidRDefault="00F17249">
      <w:pPr>
        <w:pStyle w:val="ListParagraph"/>
        <w:numPr>
          <w:ilvl w:val="1"/>
          <w:numId w:val="11"/>
        </w:numPr>
        <w:tabs>
          <w:tab w:val="left" w:pos="1919"/>
        </w:tabs>
        <w:spacing w:before="238"/>
        <w:ind w:right="717" w:hanging="361"/>
      </w:pPr>
      <w:r w:rsidRPr="00EC20A0">
        <w:t>inspect</w:t>
      </w:r>
      <w:r w:rsidRPr="00EC20A0">
        <w:rPr>
          <w:spacing w:val="-6"/>
        </w:rPr>
        <w:t xml:space="preserve"> </w:t>
      </w:r>
      <w:r w:rsidRPr="00EC20A0">
        <w:t>vendor</w:t>
      </w:r>
      <w:r w:rsidRPr="00EC20A0">
        <w:rPr>
          <w:spacing w:val="-5"/>
        </w:rPr>
        <w:t xml:space="preserve"> </w:t>
      </w:r>
      <w:r w:rsidRPr="00EC20A0">
        <w:t>invoices</w:t>
      </w:r>
      <w:r w:rsidRPr="00EC20A0">
        <w:rPr>
          <w:spacing w:val="-6"/>
        </w:rPr>
        <w:t xml:space="preserve"> </w:t>
      </w:r>
      <w:r w:rsidRPr="00EC20A0">
        <w:t>and</w:t>
      </w:r>
      <w:r w:rsidRPr="00EC20A0">
        <w:rPr>
          <w:spacing w:val="-5"/>
        </w:rPr>
        <w:t xml:space="preserve"> </w:t>
      </w:r>
      <w:r w:rsidRPr="00EC20A0">
        <w:t>related</w:t>
      </w:r>
      <w:r w:rsidRPr="00EC20A0">
        <w:rPr>
          <w:spacing w:val="-6"/>
        </w:rPr>
        <w:t xml:space="preserve"> </w:t>
      </w:r>
      <w:r w:rsidRPr="00EC20A0">
        <w:t>payment</w:t>
      </w:r>
      <w:r w:rsidRPr="00EC20A0">
        <w:rPr>
          <w:spacing w:val="-5"/>
        </w:rPr>
        <w:t xml:space="preserve"> </w:t>
      </w:r>
      <w:r w:rsidRPr="00EC20A0">
        <w:t>documentation</w:t>
      </w:r>
      <w:r w:rsidRPr="00EC20A0">
        <w:rPr>
          <w:spacing w:val="-5"/>
        </w:rPr>
        <w:t xml:space="preserve"> </w:t>
      </w:r>
      <w:r w:rsidRPr="00EC20A0">
        <w:t>to</w:t>
      </w:r>
      <w:r w:rsidRPr="00EC20A0">
        <w:rPr>
          <w:spacing w:val="-5"/>
        </w:rPr>
        <w:t xml:space="preserve"> </w:t>
      </w:r>
      <w:r w:rsidRPr="00EC20A0">
        <w:t xml:space="preserve">determine whether payment was made </w:t>
      </w:r>
      <w:r w:rsidRPr="00EC20A0">
        <w:t>within 30 days.</w:t>
      </w:r>
    </w:p>
    <w:p w14:paraId="24D60985" w14:textId="77777777" w:rsidR="00245300" w:rsidRPr="00EC20A0" w:rsidRDefault="00F17249">
      <w:pPr>
        <w:pStyle w:val="ListParagraph"/>
        <w:numPr>
          <w:ilvl w:val="0"/>
          <w:numId w:val="11"/>
        </w:numPr>
        <w:tabs>
          <w:tab w:val="left" w:pos="1560"/>
        </w:tabs>
        <w:spacing w:before="239"/>
        <w:ind w:left="1560" w:hanging="720"/>
      </w:pPr>
      <w:r w:rsidRPr="00EC20A0">
        <w:t>Parties</w:t>
      </w:r>
      <w:r w:rsidRPr="00EC20A0">
        <w:rPr>
          <w:spacing w:val="-10"/>
        </w:rPr>
        <w:t xml:space="preserve"> </w:t>
      </w:r>
      <w:r w:rsidRPr="00EC20A0">
        <w:t>involved</w:t>
      </w:r>
      <w:r w:rsidRPr="00EC20A0">
        <w:rPr>
          <w:spacing w:val="-10"/>
        </w:rPr>
        <w:t xml:space="preserve"> </w:t>
      </w:r>
      <w:r w:rsidRPr="00EC20A0">
        <w:t>in</w:t>
      </w:r>
      <w:r w:rsidRPr="00EC20A0">
        <w:rPr>
          <w:spacing w:val="-10"/>
        </w:rPr>
        <w:t xml:space="preserve"> </w:t>
      </w:r>
      <w:r w:rsidRPr="00EC20A0">
        <w:t>agreed-upon</w:t>
      </w:r>
      <w:r w:rsidRPr="00EC20A0">
        <w:rPr>
          <w:spacing w:val="-10"/>
        </w:rPr>
        <w:t xml:space="preserve"> </w:t>
      </w:r>
      <w:r w:rsidRPr="00EC20A0">
        <w:t>procedures</w:t>
      </w:r>
      <w:r w:rsidRPr="00EC20A0">
        <w:rPr>
          <w:spacing w:val="-9"/>
        </w:rPr>
        <w:t xml:space="preserve"> </w:t>
      </w:r>
      <w:r w:rsidRPr="00EC20A0">
        <w:t>engagements</w:t>
      </w:r>
      <w:r w:rsidRPr="00EC20A0">
        <w:rPr>
          <w:spacing w:val="-10"/>
        </w:rPr>
        <w:t xml:space="preserve"> </w:t>
      </w:r>
      <w:r w:rsidRPr="00EC20A0">
        <w:rPr>
          <w:spacing w:val="-2"/>
        </w:rPr>
        <w:t>include</w:t>
      </w:r>
    </w:p>
    <w:p w14:paraId="24D60986" w14:textId="77777777" w:rsidR="00245300" w:rsidRPr="00EC20A0" w:rsidRDefault="00F17249">
      <w:pPr>
        <w:pStyle w:val="ListParagraph"/>
        <w:numPr>
          <w:ilvl w:val="0"/>
          <w:numId w:val="174"/>
        </w:numPr>
        <w:tabs>
          <w:tab w:val="left" w:pos="1920"/>
        </w:tabs>
        <w:ind w:right="350"/>
        <w:jc w:val="both"/>
      </w:pPr>
      <w:r w:rsidRPr="00EC20A0">
        <w:t>the</w:t>
      </w:r>
      <w:r w:rsidRPr="00EC20A0">
        <w:rPr>
          <w:spacing w:val="-3"/>
        </w:rPr>
        <w:t xml:space="preserve"> </w:t>
      </w:r>
      <w:r w:rsidRPr="00EC20A0">
        <w:t>engaging</w:t>
      </w:r>
      <w:r w:rsidRPr="00EC20A0">
        <w:rPr>
          <w:spacing w:val="-3"/>
        </w:rPr>
        <w:t xml:space="preserve"> </w:t>
      </w:r>
      <w:r w:rsidRPr="00EC20A0">
        <w:t>party,</w:t>
      </w:r>
      <w:r w:rsidRPr="00EC20A0">
        <w:rPr>
          <w:spacing w:val="-3"/>
        </w:rPr>
        <w:t xml:space="preserve"> </w:t>
      </w:r>
      <w:r w:rsidRPr="00EC20A0">
        <w:t>which</w:t>
      </w:r>
      <w:r w:rsidRPr="00EC20A0">
        <w:rPr>
          <w:spacing w:val="-3"/>
        </w:rPr>
        <w:t xml:space="preserve"> </w:t>
      </w:r>
      <w:r w:rsidRPr="00EC20A0">
        <w:t>is</w:t>
      </w:r>
      <w:r w:rsidRPr="00EC20A0">
        <w:rPr>
          <w:spacing w:val="-3"/>
        </w:rPr>
        <w:t xml:space="preserve"> </w:t>
      </w:r>
      <w:r w:rsidRPr="00EC20A0">
        <w:t>the</w:t>
      </w:r>
      <w:r w:rsidRPr="00EC20A0">
        <w:rPr>
          <w:spacing w:val="-3"/>
        </w:rPr>
        <w:t xml:space="preserve"> </w:t>
      </w:r>
      <w:r w:rsidRPr="00EC20A0">
        <w:t>party</w:t>
      </w:r>
      <w:r w:rsidRPr="00EC20A0">
        <w:rPr>
          <w:spacing w:val="-3"/>
        </w:rPr>
        <w:t xml:space="preserve"> </w:t>
      </w:r>
      <w:r w:rsidRPr="00EC20A0">
        <w:t>that</w:t>
      </w:r>
      <w:r w:rsidRPr="00EC20A0">
        <w:rPr>
          <w:spacing w:val="-3"/>
        </w:rPr>
        <w:t xml:space="preserve"> </w:t>
      </w:r>
      <w:r w:rsidRPr="00EC20A0">
        <w:t>engages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to</w:t>
      </w:r>
      <w:r w:rsidRPr="00EC20A0">
        <w:rPr>
          <w:spacing w:val="-3"/>
        </w:rPr>
        <w:t xml:space="preserve"> </w:t>
      </w:r>
      <w:r w:rsidRPr="00EC20A0">
        <w:t>perform</w:t>
      </w:r>
      <w:r w:rsidRPr="00EC20A0">
        <w:rPr>
          <w:spacing w:val="-4"/>
        </w:rPr>
        <w:t xml:space="preserve"> </w:t>
      </w:r>
      <w:r w:rsidRPr="00EC20A0">
        <w:t>the attestation engagement;</w:t>
      </w:r>
    </w:p>
    <w:p w14:paraId="24D60987" w14:textId="77777777" w:rsidR="00245300" w:rsidRPr="00EC20A0" w:rsidRDefault="00245300">
      <w:pPr>
        <w:pStyle w:val="BodyText"/>
        <w:rPr>
          <w:sz w:val="20"/>
        </w:rPr>
      </w:pPr>
    </w:p>
    <w:p w14:paraId="24D60988" w14:textId="77777777" w:rsidR="00245300" w:rsidRPr="00EC20A0" w:rsidRDefault="00245300">
      <w:pPr>
        <w:pStyle w:val="BodyText"/>
        <w:rPr>
          <w:sz w:val="20"/>
        </w:rPr>
      </w:pPr>
    </w:p>
    <w:p w14:paraId="24D60989" w14:textId="77777777" w:rsidR="00245300" w:rsidRPr="00EC20A0" w:rsidRDefault="00245300">
      <w:pPr>
        <w:pStyle w:val="BodyText"/>
        <w:rPr>
          <w:sz w:val="20"/>
        </w:rPr>
      </w:pPr>
    </w:p>
    <w:p w14:paraId="24D6098A" w14:textId="77777777" w:rsidR="00245300" w:rsidRPr="00EC20A0" w:rsidRDefault="00F17249">
      <w:pPr>
        <w:pStyle w:val="BodyText"/>
        <w:spacing w:before="120"/>
        <w:rPr>
          <w:sz w:val="20"/>
        </w:rPr>
      </w:pPr>
      <w:r w:rsidRPr="00EC20A0">
        <w:rPr>
          <w:noProof/>
        </w:rPr>
        <mc:AlternateContent>
          <mc:Choice Requires="wps">
            <w:drawing>
              <wp:anchor distT="0" distB="0" distL="0" distR="0" simplePos="0" relativeHeight="487609344" behindDoc="1" locked="0" layoutInCell="1" allowOverlap="1" wp14:anchorId="24D62B09" wp14:editId="24D62B0A">
                <wp:simplePos x="0" y="0"/>
                <wp:positionH relativeFrom="page">
                  <wp:posOffset>914400</wp:posOffset>
                </wp:positionH>
                <wp:positionV relativeFrom="paragraph">
                  <wp:posOffset>237847</wp:posOffset>
                </wp:positionV>
                <wp:extent cx="1828800" cy="5715"/>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16B532" id="Graphic 216" o:spid="_x0000_s1026" style="position:absolute;margin-left:1in;margin-top:18.75pt;width:2in;height:.4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" path="m1828800,l,,,5333r1828800,l1828800,xe" fillcolor="black" stroked="f">
                <v:path arrowok="t"/>
                <w10:wrap type="topAndBottom" anchorx="page"/>
              </v:shape>
            </w:pict>
          </mc:Fallback>
        </mc:AlternateContent>
      </w:r>
    </w:p>
    <w:p w14:paraId="24D6098B" w14:textId="77777777" w:rsidR="00245300" w:rsidRPr="00EC20A0" w:rsidRDefault="00F17249">
      <w:pPr>
        <w:spacing w:before="200"/>
        <w:ind w:left="120"/>
        <w:rPr>
          <w:sz w:val="18"/>
        </w:rPr>
      </w:pPr>
      <w:bookmarkStart w:id="152" w:name="_bookmark63"/>
      <w:bookmarkEnd w:id="152"/>
      <w:r w:rsidRPr="00EC20A0">
        <w:rPr>
          <w:position w:val="7"/>
          <w:sz w:val="14"/>
        </w:rPr>
        <w:t>16</w:t>
      </w:r>
      <w:r w:rsidRPr="00EC20A0">
        <w:rPr>
          <w:sz w:val="18"/>
        </w:rPr>
        <w:t>The</w:t>
      </w:r>
      <w:r w:rsidRPr="00EC20A0">
        <w:rPr>
          <w:spacing w:val="-3"/>
          <w:sz w:val="18"/>
        </w:rPr>
        <w:t xml:space="preserve"> </w:t>
      </w:r>
      <w:r w:rsidRPr="00EC20A0">
        <w:rPr>
          <w:sz w:val="18"/>
        </w:rPr>
        <w:t>“practitioner”</w:t>
      </w:r>
      <w:r w:rsidRPr="00EC20A0">
        <w:rPr>
          <w:spacing w:val="-2"/>
          <w:sz w:val="18"/>
        </w:rPr>
        <w:t xml:space="preserve"> </w:t>
      </w:r>
      <w:r w:rsidRPr="00EC20A0">
        <w:rPr>
          <w:sz w:val="18"/>
        </w:rPr>
        <w:t>as</w:t>
      </w:r>
      <w:r w:rsidRPr="00EC20A0">
        <w:rPr>
          <w:spacing w:val="-2"/>
          <w:sz w:val="18"/>
        </w:rPr>
        <w:t xml:space="preserve"> </w:t>
      </w:r>
      <w:r w:rsidRPr="00EC20A0">
        <w:rPr>
          <w:sz w:val="18"/>
        </w:rPr>
        <w:t>used</w:t>
      </w:r>
      <w:r w:rsidRPr="00EC20A0">
        <w:rPr>
          <w:spacing w:val="-2"/>
          <w:sz w:val="18"/>
        </w:rPr>
        <w:t xml:space="preserve"> </w:t>
      </w:r>
      <w:r w:rsidRPr="00EC20A0">
        <w:rPr>
          <w:sz w:val="18"/>
        </w:rPr>
        <w:t>in</w:t>
      </w:r>
      <w:r w:rsidRPr="00EC20A0">
        <w:rPr>
          <w:spacing w:val="-3"/>
          <w:sz w:val="18"/>
        </w:rPr>
        <w:t xml:space="preserve"> </w:t>
      </w:r>
      <w:r w:rsidRPr="00EC20A0">
        <w:rPr>
          <w:sz w:val="18"/>
        </w:rPr>
        <w:t>SSAE</w:t>
      </w:r>
      <w:r w:rsidRPr="00EC20A0">
        <w:rPr>
          <w:spacing w:val="-2"/>
          <w:sz w:val="18"/>
        </w:rPr>
        <w:t xml:space="preserve"> </w:t>
      </w:r>
      <w:r w:rsidRPr="00EC20A0">
        <w:rPr>
          <w:sz w:val="18"/>
        </w:rPr>
        <w:t>No.</w:t>
      </w:r>
      <w:r w:rsidRPr="00EC20A0">
        <w:rPr>
          <w:spacing w:val="-2"/>
          <w:sz w:val="18"/>
        </w:rPr>
        <w:t xml:space="preserve"> </w:t>
      </w:r>
      <w:r w:rsidRPr="00EC20A0">
        <w:rPr>
          <w:sz w:val="18"/>
        </w:rPr>
        <w:t>19</w:t>
      </w:r>
      <w:r w:rsidRPr="00EC20A0">
        <w:rPr>
          <w:spacing w:val="-2"/>
          <w:sz w:val="18"/>
        </w:rPr>
        <w:t xml:space="preserve"> </w:t>
      </w:r>
      <w:r w:rsidRPr="00EC20A0">
        <w:rPr>
          <w:sz w:val="18"/>
        </w:rPr>
        <w:t>is</w:t>
      </w:r>
      <w:r w:rsidRPr="00EC20A0">
        <w:rPr>
          <w:spacing w:val="-2"/>
          <w:sz w:val="18"/>
        </w:rPr>
        <w:t xml:space="preserve"> </w:t>
      </w:r>
      <w:r w:rsidRPr="00EC20A0">
        <w:rPr>
          <w:sz w:val="18"/>
        </w:rPr>
        <w:t>referred</w:t>
      </w:r>
      <w:r w:rsidRPr="00EC20A0">
        <w:rPr>
          <w:spacing w:val="-3"/>
          <w:sz w:val="18"/>
        </w:rPr>
        <w:t xml:space="preserve"> </w:t>
      </w:r>
      <w:r w:rsidRPr="00EC20A0">
        <w:rPr>
          <w:sz w:val="18"/>
        </w:rPr>
        <w:t>to</w:t>
      </w:r>
      <w:r w:rsidRPr="00EC20A0">
        <w:rPr>
          <w:spacing w:val="-3"/>
          <w:sz w:val="18"/>
        </w:rPr>
        <w:t xml:space="preserve"> </w:t>
      </w:r>
      <w:r w:rsidRPr="00EC20A0">
        <w:rPr>
          <w:sz w:val="18"/>
        </w:rPr>
        <w:t>as</w:t>
      </w:r>
      <w:r w:rsidRPr="00EC20A0">
        <w:rPr>
          <w:spacing w:val="-1"/>
          <w:sz w:val="18"/>
        </w:rPr>
        <w:t xml:space="preserve"> </w:t>
      </w:r>
      <w:r w:rsidRPr="00EC20A0">
        <w:rPr>
          <w:sz w:val="18"/>
        </w:rPr>
        <w:t>the</w:t>
      </w:r>
      <w:r w:rsidRPr="00EC20A0">
        <w:rPr>
          <w:spacing w:val="-2"/>
          <w:sz w:val="18"/>
        </w:rPr>
        <w:t xml:space="preserve"> </w:t>
      </w:r>
      <w:r w:rsidRPr="00EC20A0">
        <w:rPr>
          <w:sz w:val="18"/>
        </w:rPr>
        <w:t>auditor</w:t>
      </w:r>
      <w:r w:rsidRPr="00EC20A0">
        <w:rPr>
          <w:spacing w:val="-2"/>
          <w:sz w:val="18"/>
        </w:rPr>
        <w:t xml:space="preserve"> </w:t>
      </w:r>
      <w:r w:rsidRPr="00EC20A0">
        <w:rPr>
          <w:sz w:val="18"/>
        </w:rPr>
        <w:t>in</w:t>
      </w:r>
      <w:r w:rsidRPr="00EC20A0">
        <w:rPr>
          <w:spacing w:val="-3"/>
          <w:sz w:val="18"/>
        </w:rPr>
        <w:t xml:space="preserve"> </w:t>
      </w:r>
      <w:r w:rsidRPr="00EC20A0">
        <w:rPr>
          <w:sz w:val="18"/>
        </w:rPr>
        <w:t>the</w:t>
      </w:r>
      <w:r w:rsidRPr="00EC20A0">
        <w:rPr>
          <w:spacing w:val="-2"/>
          <w:sz w:val="18"/>
        </w:rPr>
        <w:t xml:space="preserve"> </w:t>
      </w:r>
      <w:r w:rsidRPr="00EC20A0">
        <w:rPr>
          <w:spacing w:val="-4"/>
          <w:sz w:val="18"/>
        </w:rPr>
        <w:t>FAM.</w:t>
      </w:r>
    </w:p>
    <w:p w14:paraId="24D6098C" w14:textId="77777777" w:rsidR="00245300" w:rsidRPr="00EC20A0" w:rsidRDefault="00245300">
      <w:pPr>
        <w:rPr>
          <w:sz w:val="18"/>
        </w:rPr>
        <w:sectPr w:rsidR="00245300" w:rsidRPr="00EC20A0">
          <w:headerReference w:type="default" r:id="rId70"/>
          <w:footerReference w:type="default" r:id="rId71"/>
          <w:pgSz w:w="12240" w:h="15840"/>
          <w:pgMar w:top="1340" w:right="1140" w:bottom="940" w:left="1320" w:header="721" w:footer="757" w:gutter="0"/>
          <w:pgNumType w:start="1"/>
          <w:cols w:space="720"/>
        </w:sectPr>
      </w:pPr>
    </w:p>
    <w:p w14:paraId="24D6098D" w14:textId="77777777" w:rsidR="00245300" w:rsidRPr="00EC20A0" w:rsidRDefault="00F17249">
      <w:pPr>
        <w:pStyle w:val="ListParagraph"/>
        <w:numPr>
          <w:ilvl w:val="0"/>
          <w:numId w:val="174"/>
        </w:numPr>
        <w:tabs>
          <w:tab w:val="left" w:pos="1919"/>
        </w:tabs>
        <w:spacing w:before="121"/>
        <w:ind w:left="1919" w:right="1046"/>
      </w:pPr>
      <w:r w:rsidRPr="00EC20A0">
        <w:t>the</w:t>
      </w:r>
      <w:r w:rsidRPr="00EC20A0">
        <w:rPr>
          <w:spacing w:val="-4"/>
        </w:rPr>
        <w:t xml:space="preserve"> </w:t>
      </w:r>
      <w:r w:rsidRPr="00EC20A0">
        <w:t>responsible</w:t>
      </w:r>
      <w:r w:rsidRPr="00EC20A0">
        <w:rPr>
          <w:spacing w:val="-4"/>
        </w:rPr>
        <w:t xml:space="preserve"> </w:t>
      </w:r>
      <w:r w:rsidRPr="00EC20A0">
        <w:t>party,</w:t>
      </w:r>
      <w:r w:rsidRPr="00EC20A0">
        <w:rPr>
          <w:spacing w:val="-4"/>
        </w:rPr>
        <w:t xml:space="preserve"> </w:t>
      </w:r>
      <w:r w:rsidRPr="00EC20A0">
        <w:t>which</w:t>
      </w:r>
      <w:r w:rsidRPr="00EC20A0">
        <w:rPr>
          <w:spacing w:val="-4"/>
        </w:rPr>
        <w:t xml:space="preserve"> </w:t>
      </w:r>
      <w:r w:rsidRPr="00EC20A0">
        <w:t>is</w:t>
      </w:r>
      <w:r w:rsidRPr="00EC20A0">
        <w:rPr>
          <w:spacing w:val="-4"/>
        </w:rPr>
        <w:t xml:space="preserve"> </w:t>
      </w:r>
      <w:r w:rsidRPr="00EC20A0">
        <w:t>the</w:t>
      </w:r>
      <w:r w:rsidRPr="00EC20A0">
        <w:rPr>
          <w:spacing w:val="-4"/>
        </w:rPr>
        <w:t xml:space="preserve"> </w:t>
      </w:r>
      <w:r w:rsidRPr="00EC20A0">
        <w:t>party</w:t>
      </w:r>
      <w:r w:rsidRPr="00EC20A0">
        <w:rPr>
          <w:spacing w:val="-4"/>
        </w:rPr>
        <w:t xml:space="preserve"> </w:t>
      </w:r>
      <w:r w:rsidRPr="00EC20A0">
        <w:t>responsible</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underlying subject matter (which can be the same as the engaging party);</w:t>
      </w:r>
    </w:p>
    <w:p w14:paraId="24D6098E" w14:textId="77777777" w:rsidR="00245300" w:rsidRPr="00EC20A0" w:rsidRDefault="00F17249">
      <w:pPr>
        <w:pStyle w:val="ListParagraph"/>
        <w:numPr>
          <w:ilvl w:val="0"/>
          <w:numId w:val="174"/>
        </w:numPr>
        <w:tabs>
          <w:tab w:val="left" w:pos="1919"/>
        </w:tabs>
        <w:ind w:left="1919" w:hanging="359"/>
      </w:pPr>
      <w:r w:rsidRPr="00EC20A0">
        <w:t>the</w:t>
      </w:r>
      <w:r w:rsidRPr="00EC20A0">
        <w:rPr>
          <w:spacing w:val="-6"/>
        </w:rPr>
        <w:t xml:space="preserve"> </w:t>
      </w:r>
      <w:r w:rsidRPr="00EC20A0">
        <w:t>intended</w:t>
      </w:r>
      <w:r w:rsidRPr="00EC20A0">
        <w:rPr>
          <w:spacing w:val="-6"/>
        </w:rPr>
        <w:t xml:space="preserve"> </w:t>
      </w:r>
      <w:r w:rsidRPr="00EC20A0">
        <w:t>user(s)</w:t>
      </w:r>
      <w:r w:rsidRPr="00EC20A0">
        <w:rPr>
          <w:spacing w:val="-5"/>
        </w:rPr>
        <w:t xml:space="preserve"> </w:t>
      </w:r>
      <w:r w:rsidRPr="00EC20A0">
        <w:t>(which</w:t>
      </w:r>
      <w:r w:rsidRPr="00EC20A0">
        <w:rPr>
          <w:spacing w:val="-6"/>
        </w:rPr>
        <w:t xml:space="preserve"> </w:t>
      </w:r>
      <w:r w:rsidRPr="00EC20A0">
        <w:t>can</w:t>
      </w:r>
      <w:r w:rsidRPr="00EC20A0">
        <w:rPr>
          <w:spacing w:val="-5"/>
        </w:rPr>
        <w:t xml:space="preserve"> </w:t>
      </w:r>
      <w:r w:rsidRPr="00EC20A0">
        <w:t>be</w:t>
      </w:r>
      <w:r w:rsidRPr="00EC20A0">
        <w:rPr>
          <w:spacing w:val="-5"/>
        </w:rPr>
        <w:t xml:space="preserve"> </w:t>
      </w:r>
      <w:r w:rsidRPr="00EC20A0">
        <w:t>the</w:t>
      </w:r>
      <w:r w:rsidRPr="00EC20A0">
        <w:rPr>
          <w:spacing w:val="-6"/>
        </w:rPr>
        <w:t xml:space="preserve"> </w:t>
      </w:r>
      <w:r w:rsidRPr="00EC20A0">
        <w:t>same</w:t>
      </w:r>
      <w:r w:rsidRPr="00EC20A0">
        <w:rPr>
          <w:spacing w:val="-5"/>
        </w:rPr>
        <w:t xml:space="preserve"> </w:t>
      </w:r>
      <w:r w:rsidRPr="00EC20A0">
        <w:t>as</w:t>
      </w:r>
      <w:r w:rsidRPr="00EC20A0">
        <w:rPr>
          <w:spacing w:val="-5"/>
        </w:rPr>
        <w:t xml:space="preserve"> </w:t>
      </w:r>
      <w:r w:rsidRPr="00EC20A0">
        <w:t>the</w:t>
      </w:r>
      <w:r w:rsidRPr="00EC20A0">
        <w:rPr>
          <w:spacing w:val="-6"/>
        </w:rPr>
        <w:t xml:space="preserve"> </w:t>
      </w:r>
      <w:r w:rsidRPr="00EC20A0">
        <w:t>engaging</w:t>
      </w:r>
      <w:r w:rsidRPr="00EC20A0">
        <w:rPr>
          <w:spacing w:val="-6"/>
        </w:rPr>
        <w:t xml:space="preserve"> </w:t>
      </w:r>
      <w:r w:rsidRPr="00EC20A0">
        <w:t>party);</w:t>
      </w:r>
      <w:r w:rsidRPr="00EC20A0">
        <w:rPr>
          <w:spacing w:val="-5"/>
        </w:rPr>
        <w:t xml:space="preserve"> and</w:t>
      </w:r>
    </w:p>
    <w:p w14:paraId="24D6098F" w14:textId="77777777" w:rsidR="00245300" w:rsidRPr="00EC20A0" w:rsidRDefault="00F17249">
      <w:pPr>
        <w:pStyle w:val="ListParagraph"/>
        <w:numPr>
          <w:ilvl w:val="0"/>
          <w:numId w:val="174"/>
        </w:numPr>
        <w:tabs>
          <w:tab w:val="left" w:pos="1918"/>
        </w:tabs>
        <w:spacing w:before="239"/>
        <w:ind w:left="1918" w:hanging="359"/>
      </w:pPr>
      <w:r w:rsidRPr="00EC20A0">
        <w:t>the</w:t>
      </w:r>
      <w:r w:rsidRPr="00EC20A0">
        <w:rPr>
          <w:spacing w:val="-4"/>
        </w:rPr>
        <w:t xml:space="preserve"> </w:t>
      </w:r>
      <w:r w:rsidRPr="00EC20A0">
        <w:rPr>
          <w:spacing w:val="-2"/>
        </w:rPr>
        <w:t>auditor.</w:t>
      </w:r>
    </w:p>
    <w:p w14:paraId="24D60990" w14:textId="77777777" w:rsidR="00245300" w:rsidRPr="00EC20A0" w:rsidRDefault="00F17249">
      <w:pPr>
        <w:pStyle w:val="BodyText"/>
        <w:spacing w:before="241"/>
        <w:ind w:left="1559" w:right="380"/>
      </w:pPr>
      <w:r w:rsidRPr="00EC20A0">
        <w:t xml:space="preserve">All parties should clearly understand the procedures to be applied. The </w:t>
      </w:r>
      <w:r w:rsidRPr="00EC20A0">
        <w:t>nature, extent, and timing of agreed-upon procedures depend upon the needs of the engaging</w:t>
      </w:r>
      <w:r w:rsidRPr="00EC20A0">
        <w:rPr>
          <w:spacing w:val="-4"/>
        </w:rPr>
        <w:t xml:space="preserve"> </w:t>
      </w:r>
      <w:r w:rsidRPr="00EC20A0">
        <w:t>party.</w:t>
      </w:r>
      <w:r w:rsidRPr="00EC20A0">
        <w:rPr>
          <w:spacing w:val="-4"/>
        </w:rPr>
        <w:t xml:space="preserve"> </w:t>
      </w:r>
      <w:r w:rsidRPr="00EC20A0">
        <w:t>As</w:t>
      </w:r>
      <w:r w:rsidRPr="00EC20A0">
        <w:rPr>
          <w:spacing w:val="-4"/>
        </w:rPr>
        <w:t xml:space="preserve"> </w:t>
      </w:r>
      <w:r w:rsidRPr="00EC20A0">
        <w:t>they</w:t>
      </w:r>
      <w:r w:rsidRPr="00EC20A0">
        <w:rPr>
          <w:spacing w:val="-5"/>
        </w:rPr>
        <w:t xml:space="preserve"> </w:t>
      </w:r>
      <w:r w:rsidRPr="00EC20A0">
        <w:t>best</w:t>
      </w:r>
      <w:r w:rsidRPr="00EC20A0">
        <w:rPr>
          <w:spacing w:val="-4"/>
        </w:rPr>
        <w:t xml:space="preserve"> </w:t>
      </w:r>
      <w:r w:rsidRPr="00EC20A0">
        <w:t>understand</w:t>
      </w:r>
      <w:r w:rsidRPr="00EC20A0">
        <w:rPr>
          <w:spacing w:val="-4"/>
        </w:rPr>
        <w:t xml:space="preserve"> </w:t>
      </w:r>
      <w:r w:rsidRPr="00EC20A0">
        <w:t>their</w:t>
      </w:r>
      <w:r w:rsidRPr="00EC20A0">
        <w:rPr>
          <w:spacing w:val="-4"/>
        </w:rPr>
        <w:t xml:space="preserve"> </w:t>
      </w:r>
      <w:r w:rsidRPr="00EC20A0">
        <w:t>own</w:t>
      </w:r>
      <w:r w:rsidRPr="00EC20A0">
        <w:rPr>
          <w:spacing w:val="-4"/>
        </w:rPr>
        <w:t xml:space="preserve"> </w:t>
      </w:r>
      <w:r w:rsidRPr="00EC20A0">
        <w:t>needs,</w:t>
      </w:r>
      <w:r w:rsidRPr="00EC20A0">
        <w:rPr>
          <w:spacing w:val="-4"/>
        </w:rPr>
        <w:t xml:space="preserve"> </w:t>
      </w:r>
      <w:r w:rsidRPr="00EC20A0">
        <w:t>the</w:t>
      </w:r>
      <w:r w:rsidRPr="00EC20A0">
        <w:rPr>
          <w:spacing w:val="-5"/>
        </w:rPr>
        <w:t xml:space="preserve"> </w:t>
      </w:r>
      <w:r w:rsidRPr="00EC20A0">
        <w:t>engaging</w:t>
      </w:r>
      <w:r w:rsidRPr="00EC20A0">
        <w:rPr>
          <w:spacing w:val="-3"/>
        </w:rPr>
        <w:t xml:space="preserve"> </w:t>
      </w:r>
      <w:r w:rsidRPr="00EC20A0">
        <w:t>parties, and not the</w:t>
      </w:r>
      <w:r w:rsidRPr="00EC20A0">
        <w:rPr>
          <w:spacing w:val="-1"/>
        </w:rPr>
        <w:t xml:space="preserve"> </w:t>
      </w:r>
      <w:r w:rsidRPr="00EC20A0">
        <w:t>auditor, assume responsibility for the appropriateness of the</w:t>
      </w:r>
      <w:r w:rsidRPr="00EC20A0">
        <w:rPr>
          <w:spacing w:val="-1"/>
        </w:rPr>
        <w:t xml:space="preserve"> </w:t>
      </w:r>
      <w:r w:rsidRPr="00EC20A0">
        <w:t xml:space="preserve">design and </w:t>
      </w:r>
      <w:r w:rsidRPr="00EC20A0">
        <w:t>extent of the procedures, although the auditor may assist the engaging parties in designing the procedures.</w:t>
      </w:r>
    </w:p>
    <w:p w14:paraId="24D60991" w14:textId="77777777" w:rsidR="00245300" w:rsidRPr="00EC20A0" w:rsidRDefault="00F17249">
      <w:pPr>
        <w:pStyle w:val="ListParagraph"/>
        <w:numPr>
          <w:ilvl w:val="0"/>
          <w:numId w:val="11"/>
        </w:numPr>
        <w:tabs>
          <w:tab w:val="left" w:pos="1559"/>
        </w:tabs>
        <w:ind w:right="304" w:hanging="720"/>
      </w:pPr>
      <w:r w:rsidRPr="00EC20A0">
        <w:t>The auditor should agree upon the terms of the engagement with the engaging party.</w:t>
      </w:r>
      <w:r w:rsidRPr="00EC20A0">
        <w:rPr>
          <w:spacing w:val="-4"/>
        </w:rPr>
        <w:t xml:space="preserve"> </w:t>
      </w:r>
      <w:r w:rsidRPr="00EC20A0">
        <w:t>The</w:t>
      </w:r>
      <w:r w:rsidRPr="00EC20A0">
        <w:rPr>
          <w:spacing w:val="-4"/>
        </w:rPr>
        <w:t xml:space="preserve"> </w:t>
      </w:r>
      <w:r w:rsidRPr="00EC20A0">
        <w:t>agreed-upon</w:t>
      </w:r>
      <w:r w:rsidRPr="00EC20A0">
        <w:rPr>
          <w:spacing w:val="-4"/>
        </w:rPr>
        <w:t xml:space="preserve"> </w:t>
      </w:r>
      <w:r w:rsidRPr="00EC20A0">
        <w:t>terms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should</w:t>
      </w:r>
      <w:r w:rsidRPr="00EC20A0">
        <w:rPr>
          <w:spacing w:val="-3"/>
        </w:rPr>
        <w:t xml:space="preserve"> </w:t>
      </w:r>
      <w:r w:rsidRPr="00EC20A0">
        <w:t>be</w:t>
      </w:r>
      <w:r w:rsidRPr="00EC20A0">
        <w:rPr>
          <w:spacing w:val="-4"/>
        </w:rPr>
        <w:t xml:space="preserve"> </w:t>
      </w:r>
      <w:r w:rsidRPr="00EC20A0">
        <w:t>specified</w:t>
      </w:r>
      <w:r w:rsidRPr="00EC20A0">
        <w:rPr>
          <w:spacing w:val="-4"/>
        </w:rPr>
        <w:t xml:space="preserve"> </w:t>
      </w:r>
      <w:r w:rsidRPr="00EC20A0">
        <w:t>in</w:t>
      </w:r>
      <w:r w:rsidRPr="00EC20A0">
        <w:rPr>
          <w:spacing w:val="-5"/>
        </w:rPr>
        <w:t xml:space="preserve"> </w:t>
      </w:r>
      <w:r w:rsidRPr="00EC20A0">
        <w:t>sufficient detail in an engagement letter, an example of which is provided in FAM 710 A, or other suitable form of written agreement (AT-C 215.14). The agreed-upon terms of the engagement should include the following (AT-C 215.15):</w:t>
      </w:r>
    </w:p>
    <w:p w14:paraId="24D60992" w14:textId="77777777" w:rsidR="00245300" w:rsidRPr="00EC20A0" w:rsidRDefault="00F17249">
      <w:pPr>
        <w:pStyle w:val="ListParagraph"/>
        <w:numPr>
          <w:ilvl w:val="0"/>
          <w:numId w:val="173"/>
        </w:numPr>
        <w:tabs>
          <w:tab w:val="left" w:pos="1919"/>
        </w:tabs>
        <w:ind w:hanging="359"/>
      </w:pPr>
      <w:r w:rsidRPr="00EC20A0">
        <w:t>The</w:t>
      </w:r>
      <w:r w:rsidRPr="00EC20A0">
        <w:rPr>
          <w:spacing w:val="-7"/>
        </w:rPr>
        <w:t xml:space="preserve"> </w:t>
      </w:r>
      <w:r w:rsidRPr="00EC20A0">
        <w:t>nature</w:t>
      </w:r>
      <w:r w:rsidRPr="00EC20A0">
        <w:rPr>
          <w:spacing w:val="-6"/>
        </w:rPr>
        <w:t xml:space="preserve"> </w:t>
      </w:r>
      <w:r w:rsidRPr="00EC20A0">
        <w:t>of</w:t>
      </w:r>
      <w:r w:rsidRPr="00EC20A0">
        <w:rPr>
          <w:spacing w:val="-7"/>
        </w:rPr>
        <w:t xml:space="preserve"> </w:t>
      </w:r>
      <w:r w:rsidRPr="00EC20A0">
        <w:t>the</w:t>
      </w:r>
      <w:r w:rsidRPr="00EC20A0">
        <w:rPr>
          <w:spacing w:val="-6"/>
        </w:rPr>
        <w:t xml:space="preserve"> </w:t>
      </w:r>
      <w:r w:rsidRPr="00EC20A0">
        <w:t>engagement</w:t>
      </w:r>
      <w:r w:rsidRPr="00EC20A0">
        <w:rPr>
          <w:spacing w:val="-6"/>
        </w:rPr>
        <w:t xml:space="preserve"> </w:t>
      </w:r>
      <w:r w:rsidRPr="00EC20A0">
        <w:t>established</w:t>
      </w:r>
      <w:r w:rsidRPr="00EC20A0">
        <w:rPr>
          <w:spacing w:val="-6"/>
        </w:rPr>
        <w:t xml:space="preserve"> </w:t>
      </w:r>
      <w:r w:rsidRPr="00EC20A0">
        <w:t>pursuant</w:t>
      </w:r>
      <w:r w:rsidRPr="00EC20A0">
        <w:rPr>
          <w:spacing w:val="-7"/>
        </w:rPr>
        <w:t xml:space="preserve"> </w:t>
      </w:r>
      <w:r w:rsidRPr="00EC20A0">
        <w:t>to</w:t>
      </w:r>
      <w:r w:rsidRPr="00EC20A0">
        <w:rPr>
          <w:spacing w:val="-6"/>
        </w:rPr>
        <w:t xml:space="preserve"> </w:t>
      </w:r>
      <w:r w:rsidRPr="00EC20A0">
        <w:t>AT-C</w:t>
      </w:r>
      <w:r w:rsidRPr="00EC20A0">
        <w:rPr>
          <w:spacing w:val="-7"/>
        </w:rPr>
        <w:t xml:space="preserve"> </w:t>
      </w:r>
      <w:r w:rsidRPr="00EC20A0">
        <w:rPr>
          <w:spacing w:val="-2"/>
        </w:rPr>
        <w:t>215.12.</w:t>
      </w:r>
    </w:p>
    <w:p w14:paraId="24D60993" w14:textId="77777777" w:rsidR="00245300" w:rsidRPr="00EC20A0" w:rsidRDefault="00F17249">
      <w:pPr>
        <w:pStyle w:val="ListParagraph"/>
        <w:numPr>
          <w:ilvl w:val="0"/>
          <w:numId w:val="173"/>
        </w:numPr>
        <w:tabs>
          <w:tab w:val="left" w:pos="1918"/>
        </w:tabs>
        <w:ind w:left="1918" w:hanging="359"/>
      </w:pPr>
      <w:r w:rsidRPr="00EC20A0">
        <w:t>Identification</w:t>
      </w:r>
      <w:r w:rsidRPr="00EC20A0">
        <w:rPr>
          <w:spacing w:val="-8"/>
        </w:rPr>
        <w:t xml:space="preserve"> </w:t>
      </w:r>
      <w:r w:rsidRPr="00EC20A0">
        <w:t>of</w:t>
      </w:r>
      <w:r w:rsidRPr="00EC20A0">
        <w:rPr>
          <w:spacing w:val="-7"/>
        </w:rPr>
        <w:t xml:space="preserve"> </w:t>
      </w:r>
      <w:r w:rsidRPr="00EC20A0">
        <w:t>the</w:t>
      </w:r>
      <w:r w:rsidRPr="00EC20A0">
        <w:rPr>
          <w:spacing w:val="-7"/>
        </w:rPr>
        <w:t xml:space="preserve"> </w:t>
      </w:r>
      <w:r w:rsidRPr="00EC20A0">
        <w:t>subject</w:t>
      </w:r>
      <w:r w:rsidRPr="00EC20A0">
        <w:rPr>
          <w:spacing w:val="-7"/>
        </w:rPr>
        <w:t xml:space="preserve"> </w:t>
      </w:r>
      <w:r w:rsidRPr="00EC20A0">
        <w:t>matter</w:t>
      </w:r>
      <w:r w:rsidRPr="00EC20A0">
        <w:rPr>
          <w:spacing w:val="-7"/>
        </w:rPr>
        <w:t xml:space="preserve"> </w:t>
      </w:r>
      <w:r w:rsidRPr="00EC20A0">
        <w:t>and</w:t>
      </w:r>
      <w:r w:rsidRPr="00EC20A0">
        <w:rPr>
          <w:spacing w:val="-8"/>
        </w:rPr>
        <w:t xml:space="preserve"> </w:t>
      </w:r>
      <w:r w:rsidRPr="00EC20A0">
        <w:t>responsible</w:t>
      </w:r>
      <w:r w:rsidRPr="00EC20A0">
        <w:rPr>
          <w:spacing w:val="-7"/>
        </w:rPr>
        <w:t xml:space="preserve"> </w:t>
      </w:r>
      <w:r w:rsidRPr="00EC20A0">
        <w:rPr>
          <w:spacing w:val="-2"/>
        </w:rPr>
        <w:t>party.</w:t>
      </w:r>
    </w:p>
    <w:p w14:paraId="24D60994" w14:textId="77777777" w:rsidR="00245300" w:rsidRPr="00EC20A0" w:rsidRDefault="00F17249">
      <w:pPr>
        <w:pStyle w:val="ListParagraph"/>
        <w:numPr>
          <w:ilvl w:val="0"/>
          <w:numId w:val="173"/>
        </w:numPr>
        <w:tabs>
          <w:tab w:val="left" w:pos="1918"/>
        </w:tabs>
        <w:ind w:left="1918" w:hanging="359"/>
      </w:pPr>
      <w:r w:rsidRPr="00EC20A0">
        <w:t>The</w:t>
      </w:r>
      <w:r w:rsidRPr="00EC20A0">
        <w:rPr>
          <w:spacing w:val="-7"/>
        </w:rPr>
        <w:t xml:space="preserve"> </w:t>
      </w:r>
      <w:r w:rsidRPr="00EC20A0">
        <w:t>responsibilities</w:t>
      </w:r>
      <w:r w:rsidRPr="00EC20A0">
        <w:rPr>
          <w:spacing w:val="-7"/>
        </w:rPr>
        <w:t xml:space="preserve"> </w:t>
      </w:r>
      <w:r w:rsidRPr="00EC20A0">
        <w:t>of</w:t>
      </w:r>
      <w:r w:rsidRPr="00EC20A0">
        <w:rPr>
          <w:spacing w:val="-6"/>
        </w:rPr>
        <w:t xml:space="preserve"> </w:t>
      </w:r>
      <w:r w:rsidRPr="00EC20A0">
        <w:t>the</w:t>
      </w:r>
      <w:r w:rsidRPr="00EC20A0">
        <w:rPr>
          <w:spacing w:val="-7"/>
        </w:rPr>
        <w:t xml:space="preserve"> </w:t>
      </w:r>
      <w:r w:rsidRPr="00EC20A0">
        <w:rPr>
          <w:spacing w:val="-2"/>
        </w:rPr>
        <w:t>auditor.</w:t>
      </w:r>
    </w:p>
    <w:p w14:paraId="24D60995" w14:textId="77777777" w:rsidR="00245300" w:rsidRPr="00EC20A0" w:rsidRDefault="00F17249">
      <w:pPr>
        <w:pStyle w:val="ListParagraph"/>
        <w:numPr>
          <w:ilvl w:val="0"/>
          <w:numId w:val="173"/>
        </w:numPr>
        <w:tabs>
          <w:tab w:val="left" w:pos="1919"/>
        </w:tabs>
        <w:spacing w:before="239"/>
        <w:ind w:right="607"/>
      </w:pPr>
      <w:r w:rsidRPr="00EC20A0">
        <w:t>A</w:t>
      </w:r>
      <w:r w:rsidRPr="00EC20A0">
        <w:rPr>
          <w:spacing w:val="-5"/>
        </w:rPr>
        <w:t xml:space="preserve"> </w:t>
      </w:r>
      <w:r w:rsidRPr="00EC20A0">
        <w:t>statement</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will</w:t>
      </w:r>
      <w:r w:rsidRPr="00EC20A0">
        <w:rPr>
          <w:spacing w:val="-4"/>
        </w:rPr>
        <w:t xml:space="preserve"> </w:t>
      </w:r>
      <w:r w:rsidRPr="00EC20A0">
        <w:t>be</w:t>
      </w:r>
      <w:r w:rsidRPr="00EC20A0">
        <w:rPr>
          <w:spacing w:val="-4"/>
        </w:rPr>
        <w:t xml:space="preserve"> </w:t>
      </w:r>
      <w:r w:rsidRPr="00EC20A0">
        <w:t>conducted</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4"/>
        </w:rPr>
        <w:t xml:space="preserve"> </w:t>
      </w:r>
      <w:r w:rsidRPr="00EC20A0">
        <w:t>the AICPA’s attestation standards.</w:t>
      </w:r>
    </w:p>
    <w:p w14:paraId="24D60996" w14:textId="77777777" w:rsidR="00245300" w:rsidRPr="00EC20A0" w:rsidRDefault="00F17249">
      <w:pPr>
        <w:pStyle w:val="ListParagraph"/>
        <w:numPr>
          <w:ilvl w:val="0"/>
          <w:numId w:val="173"/>
        </w:numPr>
        <w:tabs>
          <w:tab w:val="left" w:pos="1918"/>
        </w:tabs>
        <w:spacing w:before="241"/>
        <w:ind w:left="1918" w:hanging="359"/>
      </w:pPr>
      <w:r w:rsidRPr="00EC20A0">
        <w:t>A</w:t>
      </w:r>
      <w:r w:rsidRPr="00EC20A0">
        <w:rPr>
          <w:spacing w:val="-7"/>
        </w:rPr>
        <w:t xml:space="preserve"> </w:t>
      </w:r>
      <w:r w:rsidRPr="00EC20A0">
        <w:t>statement</w:t>
      </w:r>
      <w:r w:rsidRPr="00EC20A0">
        <w:rPr>
          <w:spacing w:val="-6"/>
        </w:rPr>
        <w:t xml:space="preserve"> </w:t>
      </w:r>
      <w:r w:rsidRPr="00EC20A0">
        <w:t>that</w:t>
      </w:r>
      <w:r w:rsidRPr="00EC20A0">
        <w:rPr>
          <w:spacing w:val="-6"/>
        </w:rPr>
        <w:t xml:space="preserve"> </w:t>
      </w:r>
      <w:r w:rsidRPr="00EC20A0">
        <w:t>the</w:t>
      </w:r>
      <w:r w:rsidRPr="00EC20A0">
        <w:rPr>
          <w:spacing w:val="-6"/>
        </w:rPr>
        <w:t xml:space="preserve"> </w:t>
      </w:r>
      <w:r w:rsidRPr="00EC20A0">
        <w:t>responsible</w:t>
      </w:r>
      <w:r w:rsidRPr="00EC20A0">
        <w:rPr>
          <w:spacing w:val="-6"/>
        </w:rPr>
        <w:t xml:space="preserve"> </w:t>
      </w:r>
      <w:r w:rsidRPr="00EC20A0">
        <w:t>party</w:t>
      </w:r>
      <w:r w:rsidRPr="00EC20A0">
        <w:rPr>
          <w:spacing w:val="-6"/>
        </w:rPr>
        <w:t xml:space="preserve"> </w:t>
      </w:r>
      <w:r w:rsidRPr="00EC20A0">
        <w:t>is</w:t>
      </w:r>
      <w:r w:rsidRPr="00EC20A0">
        <w:rPr>
          <w:spacing w:val="-6"/>
        </w:rPr>
        <w:t xml:space="preserve"> </w:t>
      </w:r>
      <w:r w:rsidRPr="00EC20A0">
        <w:t>responsible</w:t>
      </w:r>
      <w:r w:rsidRPr="00EC20A0">
        <w:rPr>
          <w:spacing w:val="-6"/>
        </w:rPr>
        <w:t xml:space="preserve"> </w:t>
      </w:r>
      <w:r w:rsidRPr="00EC20A0">
        <w:t>for</w:t>
      </w:r>
      <w:r w:rsidRPr="00EC20A0">
        <w:rPr>
          <w:spacing w:val="-6"/>
        </w:rPr>
        <w:t xml:space="preserve"> </w:t>
      </w:r>
      <w:r w:rsidRPr="00EC20A0">
        <w:t>the</w:t>
      </w:r>
      <w:r w:rsidRPr="00EC20A0">
        <w:rPr>
          <w:spacing w:val="-7"/>
        </w:rPr>
        <w:t xml:space="preserve"> </w:t>
      </w:r>
      <w:r w:rsidRPr="00EC20A0">
        <w:t>subject</w:t>
      </w:r>
      <w:r w:rsidRPr="00EC20A0">
        <w:rPr>
          <w:spacing w:val="-6"/>
        </w:rPr>
        <w:t xml:space="preserve"> </w:t>
      </w:r>
      <w:r w:rsidRPr="00EC20A0">
        <w:rPr>
          <w:spacing w:val="-2"/>
        </w:rPr>
        <w:t>matter.</w:t>
      </w:r>
    </w:p>
    <w:p w14:paraId="24D60997" w14:textId="77777777" w:rsidR="00245300" w:rsidRPr="00EC20A0" w:rsidRDefault="00F17249">
      <w:pPr>
        <w:pStyle w:val="ListParagraph"/>
        <w:numPr>
          <w:ilvl w:val="0"/>
          <w:numId w:val="173"/>
        </w:numPr>
        <w:tabs>
          <w:tab w:val="left" w:pos="1919"/>
        </w:tabs>
        <w:ind w:right="487"/>
      </w:pPr>
      <w:r w:rsidRPr="00EC20A0">
        <w:t>A statement that the engaging party agrees to provide the auditor, before completing</w:t>
      </w:r>
      <w:r w:rsidRPr="00EC20A0">
        <w:rPr>
          <w:spacing w:val="-6"/>
        </w:rPr>
        <w:t xml:space="preserve"> </w:t>
      </w:r>
      <w:r w:rsidRPr="00EC20A0">
        <w:t>the</w:t>
      </w:r>
      <w:r w:rsidRPr="00EC20A0">
        <w:rPr>
          <w:spacing w:val="-6"/>
        </w:rPr>
        <w:t xml:space="preserve"> </w:t>
      </w:r>
      <w:r w:rsidRPr="00EC20A0">
        <w:t>engagement,</w:t>
      </w:r>
      <w:r w:rsidRPr="00EC20A0">
        <w:rPr>
          <w:spacing w:val="-6"/>
        </w:rPr>
        <w:t xml:space="preserve"> </w:t>
      </w:r>
      <w:r w:rsidRPr="00EC20A0">
        <w:t>with</w:t>
      </w:r>
      <w:r w:rsidRPr="00EC20A0">
        <w:rPr>
          <w:spacing w:val="-6"/>
        </w:rPr>
        <w:t xml:space="preserve"> </w:t>
      </w:r>
      <w:r w:rsidRPr="00EC20A0">
        <w:t>a</w:t>
      </w:r>
      <w:r w:rsidRPr="00EC20A0">
        <w:rPr>
          <w:spacing w:val="-6"/>
        </w:rPr>
        <w:t xml:space="preserve"> </w:t>
      </w:r>
      <w:r w:rsidRPr="00EC20A0">
        <w:t>written</w:t>
      </w:r>
      <w:r w:rsidRPr="00EC20A0">
        <w:rPr>
          <w:spacing w:val="-6"/>
        </w:rPr>
        <w:t xml:space="preserve"> </w:t>
      </w:r>
      <w:r w:rsidRPr="00EC20A0">
        <w:t>agreement</w:t>
      </w:r>
      <w:r w:rsidRPr="00EC20A0">
        <w:rPr>
          <w:spacing w:val="-6"/>
        </w:rPr>
        <w:t xml:space="preserve"> </w:t>
      </w:r>
      <w:r w:rsidRPr="00EC20A0">
        <w:t>and</w:t>
      </w:r>
      <w:r w:rsidRPr="00EC20A0">
        <w:rPr>
          <w:spacing w:val="-6"/>
        </w:rPr>
        <w:t xml:space="preserve"> </w:t>
      </w:r>
      <w:r w:rsidRPr="00EC20A0">
        <w:t>acknowledgment that the procedures performed are appropriate for the intended purpose of the engagement.</w:t>
      </w:r>
    </w:p>
    <w:p w14:paraId="24D60998" w14:textId="77777777" w:rsidR="00245300" w:rsidRPr="00EC20A0" w:rsidRDefault="00F17249">
      <w:pPr>
        <w:pStyle w:val="ListParagraph"/>
        <w:numPr>
          <w:ilvl w:val="0"/>
          <w:numId w:val="173"/>
        </w:numPr>
        <w:tabs>
          <w:tab w:val="left" w:pos="1919"/>
        </w:tabs>
        <w:ind w:right="596"/>
      </w:pPr>
      <w:r w:rsidRPr="00EC20A0">
        <w:t>A</w:t>
      </w:r>
      <w:r w:rsidRPr="00EC20A0">
        <w:rPr>
          <w:spacing w:val="-4"/>
        </w:rPr>
        <w:t xml:space="preserve"> </w:t>
      </w:r>
      <w:r w:rsidRPr="00EC20A0">
        <w:t>statement</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engaging</w:t>
      </w:r>
      <w:r w:rsidRPr="00EC20A0">
        <w:rPr>
          <w:spacing w:val="-3"/>
        </w:rPr>
        <w:t xml:space="preserve"> </w:t>
      </w:r>
      <w:r w:rsidRPr="00EC20A0">
        <w:t>party</w:t>
      </w:r>
      <w:r w:rsidRPr="00EC20A0">
        <w:rPr>
          <w:spacing w:val="-4"/>
        </w:rPr>
        <w:t xml:space="preserve"> </w:t>
      </w:r>
      <w:r w:rsidRPr="00EC20A0">
        <w:t>agrees</w:t>
      </w:r>
      <w:r w:rsidRPr="00EC20A0">
        <w:rPr>
          <w:spacing w:val="-3"/>
        </w:rPr>
        <w:t xml:space="preserve"> </w:t>
      </w:r>
      <w:r w:rsidRPr="00EC20A0">
        <w:t>to</w:t>
      </w:r>
      <w:r w:rsidRPr="00EC20A0">
        <w:rPr>
          <w:spacing w:val="-3"/>
        </w:rPr>
        <w:t xml:space="preserve"> </w:t>
      </w:r>
      <w:r w:rsidRPr="00EC20A0">
        <w:t>provide,</w:t>
      </w:r>
      <w:r w:rsidRPr="00EC20A0">
        <w:rPr>
          <w:spacing w:val="-3"/>
        </w:rPr>
        <w:t xml:space="preserve"> </w:t>
      </w:r>
      <w:r w:rsidRPr="00EC20A0">
        <w:t>at</w:t>
      </w:r>
      <w:r w:rsidRPr="00EC20A0">
        <w:rPr>
          <w:spacing w:val="-3"/>
        </w:rPr>
        <w:t xml:space="preserve"> </w:t>
      </w:r>
      <w:r w:rsidRPr="00EC20A0">
        <w:t>the</w:t>
      </w:r>
      <w:r w:rsidRPr="00EC20A0">
        <w:rPr>
          <w:spacing w:val="-4"/>
        </w:rPr>
        <w:t xml:space="preserve"> </w:t>
      </w:r>
      <w:r w:rsidRPr="00EC20A0">
        <w:t>conclusion</w:t>
      </w:r>
      <w:r w:rsidRPr="00EC20A0">
        <w:rPr>
          <w:spacing w:val="-4"/>
        </w:rPr>
        <w:t xml:space="preserve"> </w:t>
      </w:r>
      <w:r w:rsidRPr="00EC20A0">
        <w:t>of the engagement, a representation letter.</w:t>
      </w:r>
    </w:p>
    <w:p w14:paraId="24D60999" w14:textId="77777777" w:rsidR="00245300" w:rsidRPr="00EC20A0" w:rsidRDefault="00F17249">
      <w:pPr>
        <w:pStyle w:val="ListParagraph"/>
        <w:numPr>
          <w:ilvl w:val="0"/>
          <w:numId w:val="173"/>
        </w:numPr>
        <w:tabs>
          <w:tab w:val="left" w:pos="1919"/>
        </w:tabs>
        <w:ind w:right="351"/>
      </w:pPr>
      <w:r w:rsidRPr="00EC20A0">
        <w:t>If</w:t>
      </w:r>
      <w:r w:rsidRPr="00EC20A0">
        <w:rPr>
          <w:spacing w:val="-3"/>
        </w:rPr>
        <w:t xml:space="preserve"> </w:t>
      </w:r>
      <w:r w:rsidRPr="00EC20A0">
        <w:t>known</w:t>
      </w:r>
      <w:r w:rsidRPr="00EC20A0">
        <w:rPr>
          <w:spacing w:val="-3"/>
        </w:rPr>
        <w:t xml:space="preserve"> </w:t>
      </w:r>
      <w:r w:rsidRPr="00EC20A0">
        <w:t>at</w:t>
      </w:r>
      <w:r w:rsidRPr="00EC20A0">
        <w:rPr>
          <w:spacing w:val="-3"/>
        </w:rPr>
        <w:t xml:space="preserve"> </w:t>
      </w:r>
      <w:r w:rsidRPr="00EC20A0">
        <w:t>the</w:t>
      </w:r>
      <w:r w:rsidRPr="00EC20A0">
        <w:rPr>
          <w:spacing w:val="-3"/>
        </w:rPr>
        <w:t xml:space="preserve"> </w:t>
      </w:r>
      <w:r w:rsidRPr="00EC20A0">
        <w:t>onset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engagement,</w:t>
      </w:r>
      <w:r w:rsidRPr="00EC20A0">
        <w:rPr>
          <w:spacing w:val="-3"/>
        </w:rPr>
        <w:t xml:space="preserve"> </w:t>
      </w:r>
      <w:r w:rsidRPr="00EC20A0">
        <w:t>identification</w:t>
      </w:r>
      <w:r w:rsidRPr="00EC20A0">
        <w:rPr>
          <w:spacing w:val="-3"/>
        </w:rPr>
        <w:t xml:space="preserve"> </w:t>
      </w:r>
      <w:r w:rsidRPr="00EC20A0">
        <w:t>of</w:t>
      </w:r>
      <w:r w:rsidRPr="00EC20A0">
        <w:rPr>
          <w:spacing w:val="-3"/>
        </w:rPr>
        <w:t xml:space="preserve"> </w:t>
      </w:r>
      <w:r w:rsidRPr="00EC20A0">
        <w:t>any</w:t>
      </w:r>
      <w:r w:rsidRPr="00EC20A0">
        <w:rPr>
          <w:spacing w:val="-4"/>
        </w:rPr>
        <w:t xml:space="preserve"> </w:t>
      </w:r>
      <w:r w:rsidRPr="00EC20A0">
        <w:t>other</w:t>
      </w:r>
      <w:r w:rsidRPr="00EC20A0">
        <w:rPr>
          <w:spacing w:val="-3"/>
        </w:rPr>
        <w:t xml:space="preserve"> </w:t>
      </w:r>
      <w:r w:rsidRPr="00EC20A0">
        <w:t>parties,</w:t>
      </w:r>
      <w:r w:rsidRPr="00EC20A0">
        <w:rPr>
          <w:spacing w:val="-3"/>
        </w:rPr>
        <w:t xml:space="preserve"> </w:t>
      </w:r>
      <w:r w:rsidRPr="00EC20A0">
        <w:t>in addition to the engaging party, that will be requested to agree to the procedures and acknowledge that the procedures performed are appropriate for their purposes. If the request is expected to be made by the engaging party, a statement that the engaging party agrees to provide, at the conclusion of the engagement, a written representation that the engaging party has obtained from all necessary other parties agreement to the procedures and acknowledgment that the procedures performed are appropr</w:t>
      </w:r>
      <w:r w:rsidRPr="00EC20A0">
        <w:t>iate for their purposes.</w:t>
      </w:r>
    </w:p>
    <w:p w14:paraId="24D6099A" w14:textId="77777777" w:rsidR="00245300" w:rsidRPr="00EC20A0" w:rsidRDefault="00F17249">
      <w:pPr>
        <w:pStyle w:val="ListParagraph"/>
        <w:numPr>
          <w:ilvl w:val="0"/>
          <w:numId w:val="173"/>
        </w:numPr>
        <w:tabs>
          <w:tab w:val="left" w:pos="1919"/>
        </w:tabs>
        <w:ind w:right="754" w:hanging="361"/>
      </w:pPr>
      <w:r w:rsidRPr="00EC20A0">
        <w:t>If</w:t>
      </w:r>
      <w:r w:rsidRPr="00EC20A0">
        <w:rPr>
          <w:spacing w:val="-4"/>
        </w:rPr>
        <w:t xml:space="preserve"> </w:t>
      </w:r>
      <w:r w:rsidRPr="00EC20A0">
        <w:t>the</w:t>
      </w:r>
      <w:r w:rsidRPr="00EC20A0">
        <w:rPr>
          <w:spacing w:val="-4"/>
        </w:rPr>
        <w:t xml:space="preserve"> </w:t>
      </w:r>
      <w:r w:rsidRPr="00EC20A0">
        <w:t>engaging</w:t>
      </w:r>
      <w:r w:rsidRPr="00EC20A0">
        <w:rPr>
          <w:spacing w:val="-4"/>
        </w:rPr>
        <w:t xml:space="preserve"> </w:t>
      </w:r>
      <w:r w:rsidRPr="00EC20A0">
        <w:t>party</w:t>
      </w:r>
      <w:r w:rsidRPr="00EC20A0">
        <w:rPr>
          <w:spacing w:val="-4"/>
        </w:rPr>
        <w:t xml:space="preserve"> </w:t>
      </w:r>
      <w:r w:rsidRPr="00EC20A0">
        <w:t>is</w:t>
      </w:r>
      <w:r w:rsidRPr="00EC20A0">
        <w:rPr>
          <w:spacing w:val="-4"/>
        </w:rPr>
        <w:t xml:space="preserve"> </w:t>
      </w:r>
      <w:r w:rsidRPr="00EC20A0">
        <w:t>not</w:t>
      </w:r>
      <w:r w:rsidRPr="00EC20A0">
        <w:rPr>
          <w:spacing w:val="-4"/>
        </w:rPr>
        <w:t xml:space="preserve"> </w:t>
      </w:r>
      <w:r w:rsidRPr="00EC20A0">
        <w:t>the</w:t>
      </w:r>
      <w:r w:rsidRPr="00EC20A0">
        <w:rPr>
          <w:spacing w:val="-4"/>
        </w:rPr>
        <w:t xml:space="preserve"> </w:t>
      </w:r>
      <w:r w:rsidRPr="00EC20A0">
        <w:t>responsible</w:t>
      </w:r>
      <w:r w:rsidRPr="00EC20A0">
        <w:rPr>
          <w:spacing w:val="-4"/>
        </w:rPr>
        <w:t xml:space="preserve"> </w:t>
      </w:r>
      <w:r w:rsidRPr="00EC20A0">
        <w:t>party,</w:t>
      </w:r>
      <w:r w:rsidRPr="00EC20A0">
        <w:rPr>
          <w:spacing w:val="-5"/>
        </w:rPr>
        <w:t xml:space="preserve"> </w:t>
      </w:r>
      <w:r w:rsidRPr="00EC20A0">
        <w:t>a</w:t>
      </w:r>
      <w:r w:rsidRPr="00EC20A0">
        <w:rPr>
          <w:spacing w:val="-4"/>
        </w:rPr>
        <w:t xml:space="preserve"> </w:t>
      </w:r>
      <w:r w:rsidRPr="00EC20A0">
        <w:t>statement</w:t>
      </w:r>
      <w:r w:rsidRPr="00EC20A0">
        <w:rPr>
          <w:spacing w:val="-4"/>
        </w:rPr>
        <w:t xml:space="preserve"> </w:t>
      </w:r>
      <w:r w:rsidRPr="00EC20A0">
        <w:t>that</w:t>
      </w:r>
      <w:r w:rsidRPr="00EC20A0">
        <w:rPr>
          <w:spacing w:val="-4"/>
        </w:rPr>
        <w:t xml:space="preserve"> </w:t>
      </w:r>
      <w:r w:rsidRPr="00EC20A0">
        <w:t>written representations may be requested from the responsible party.</w:t>
      </w:r>
    </w:p>
    <w:p w14:paraId="24D6099B" w14:textId="77777777" w:rsidR="00245300" w:rsidRPr="00EC20A0" w:rsidRDefault="00245300">
      <w:pPr>
        <w:sectPr w:rsidR="00245300" w:rsidRPr="00EC20A0">
          <w:pgSz w:w="12240" w:h="15840"/>
          <w:pgMar w:top="1340" w:right="1140" w:bottom="940" w:left="1320" w:header="721" w:footer="757" w:gutter="0"/>
          <w:cols w:space="720"/>
        </w:sectPr>
      </w:pPr>
    </w:p>
    <w:p w14:paraId="24D6099C" w14:textId="77777777" w:rsidR="00245300" w:rsidRPr="00EC20A0" w:rsidRDefault="00F17249">
      <w:pPr>
        <w:pStyle w:val="ListParagraph"/>
        <w:numPr>
          <w:ilvl w:val="0"/>
          <w:numId w:val="173"/>
        </w:numPr>
        <w:tabs>
          <w:tab w:val="left" w:pos="1919"/>
        </w:tabs>
        <w:spacing w:before="121"/>
        <w:ind w:right="752"/>
      </w:pPr>
      <w:r w:rsidRPr="00EC20A0">
        <w:t>Reference</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expected</w:t>
      </w:r>
      <w:r w:rsidRPr="00EC20A0">
        <w:rPr>
          <w:spacing w:val="-4"/>
        </w:rPr>
        <w:t xml:space="preserve"> </w:t>
      </w:r>
      <w:r w:rsidRPr="00EC20A0">
        <w:t>form</w:t>
      </w:r>
      <w:r w:rsidRPr="00EC20A0">
        <w:rPr>
          <w:spacing w:val="-5"/>
        </w:rPr>
        <w:t xml:space="preserve"> </w:t>
      </w:r>
      <w:r w:rsidRPr="00EC20A0">
        <w:t>and</w:t>
      </w:r>
      <w:r w:rsidRPr="00EC20A0">
        <w:rPr>
          <w:spacing w:val="-4"/>
        </w:rPr>
        <w:t xml:space="preserve"> </w:t>
      </w:r>
      <w:r w:rsidRPr="00EC20A0">
        <w:t>content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auditor’s</w:t>
      </w:r>
      <w:r w:rsidRPr="00EC20A0">
        <w:rPr>
          <w:spacing w:val="-5"/>
        </w:rPr>
        <w:t xml:space="preserve"> </w:t>
      </w:r>
      <w:r w:rsidRPr="00EC20A0">
        <w:t>agreed-upon procedures report, including any use restrictions, if applicable.</w:t>
      </w:r>
    </w:p>
    <w:p w14:paraId="24D6099D" w14:textId="77777777" w:rsidR="00245300" w:rsidRPr="00EC20A0" w:rsidRDefault="00F17249">
      <w:pPr>
        <w:pStyle w:val="ListParagraph"/>
        <w:numPr>
          <w:ilvl w:val="0"/>
          <w:numId w:val="173"/>
        </w:numPr>
        <w:tabs>
          <w:tab w:val="left" w:pos="1919"/>
        </w:tabs>
        <w:ind w:hanging="359"/>
      </w:pPr>
      <w:r w:rsidRPr="00EC20A0">
        <w:t>Disclaimers</w:t>
      </w:r>
      <w:r w:rsidRPr="00EC20A0">
        <w:rPr>
          <w:spacing w:val="-7"/>
        </w:rPr>
        <w:t xml:space="preserve"> </w:t>
      </w:r>
      <w:r w:rsidRPr="00EC20A0">
        <w:t>expected</w:t>
      </w:r>
      <w:r w:rsidRPr="00EC20A0">
        <w:rPr>
          <w:spacing w:val="-6"/>
        </w:rPr>
        <w:t xml:space="preserve"> </w:t>
      </w:r>
      <w:r w:rsidRPr="00EC20A0">
        <w:t>to</w:t>
      </w:r>
      <w:r w:rsidRPr="00EC20A0">
        <w:rPr>
          <w:spacing w:val="-6"/>
        </w:rPr>
        <w:t xml:space="preserve"> </w:t>
      </w:r>
      <w:r w:rsidRPr="00EC20A0">
        <w:t>be</w:t>
      </w:r>
      <w:r w:rsidRPr="00EC20A0">
        <w:rPr>
          <w:spacing w:val="-6"/>
        </w:rPr>
        <w:t xml:space="preserve"> </w:t>
      </w:r>
      <w:r w:rsidRPr="00EC20A0">
        <w:t>included</w:t>
      </w:r>
      <w:r w:rsidRPr="00EC20A0">
        <w:rPr>
          <w:spacing w:val="-6"/>
        </w:rPr>
        <w:t xml:space="preserve"> </w:t>
      </w:r>
      <w:r w:rsidRPr="00EC20A0">
        <w:t>in</w:t>
      </w:r>
      <w:r w:rsidRPr="00EC20A0">
        <w:rPr>
          <w:spacing w:val="-6"/>
        </w:rPr>
        <w:t xml:space="preserve"> </w:t>
      </w:r>
      <w:r w:rsidRPr="00EC20A0">
        <w:t>the</w:t>
      </w:r>
      <w:r w:rsidRPr="00EC20A0">
        <w:rPr>
          <w:spacing w:val="-5"/>
        </w:rPr>
        <w:t xml:space="preserve"> </w:t>
      </w:r>
      <w:r w:rsidRPr="00EC20A0">
        <w:t>auditor’s</w:t>
      </w:r>
      <w:r w:rsidRPr="00EC20A0">
        <w:rPr>
          <w:spacing w:val="-5"/>
        </w:rPr>
        <w:t xml:space="preserve"> </w:t>
      </w:r>
      <w:r w:rsidRPr="00EC20A0">
        <w:t>report,</w:t>
      </w:r>
      <w:r w:rsidRPr="00EC20A0">
        <w:rPr>
          <w:spacing w:val="-5"/>
        </w:rPr>
        <w:t xml:space="preserve"> </w:t>
      </w:r>
      <w:r w:rsidRPr="00EC20A0">
        <w:t>if</w:t>
      </w:r>
      <w:r w:rsidRPr="00EC20A0">
        <w:rPr>
          <w:spacing w:val="-7"/>
        </w:rPr>
        <w:t xml:space="preserve"> </w:t>
      </w:r>
      <w:r w:rsidRPr="00EC20A0">
        <w:rPr>
          <w:spacing w:val="-2"/>
        </w:rPr>
        <w:t>applicable.</w:t>
      </w:r>
    </w:p>
    <w:p w14:paraId="24D6099E" w14:textId="77777777" w:rsidR="00245300" w:rsidRPr="00EC20A0" w:rsidRDefault="00F17249">
      <w:pPr>
        <w:pStyle w:val="ListParagraph"/>
        <w:numPr>
          <w:ilvl w:val="0"/>
          <w:numId w:val="173"/>
        </w:numPr>
        <w:tabs>
          <w:tab w:val="left" w:pos="1920"/>
        </w:tabs>
        <w:spacing w:before="239"/>
        <w:ind w:left="1920"/>
      </w:pPr>
      <w:r w:rsidRPr="00EC20A0">
        <w:t>Assistance</w:t>
      </w:r>
      <w:r w:rsidRPr="00EC20A0">
        <w:rPr>
          <w:spacing w:val="-6"/>
        </w:rPr>
        <w:t xml:space="preserve"> </w:t>
      </w:r>
      <w:r w:rsidRPr="00EC20A0">
        <w:t>to</w:t>
      </w:r>
      <w:r w:rsidRPr="00EC20A0">
        <w:rPr>
          <w:spacing w:val="-5"/>
        </w:rPr>
        <w:t xml:space="preserve"> </w:t>
      </w:r>
      <w:r w:rsidRPr="00EC20A0">
        <w:t>be</w:t>
      </w:r>
      <w:r w:rsidRPr="00EC20A0">
        <w:rPr>
          <w:spacing w:val="-5"/>
        </w:rPr>
        <w:t xml:space="preserve"> </w:t>
      </w:r>
      <w:r w:rsidRPr="00EC20A0">
        <w:t>provided</w:t>
      </w:r>
      <w:r w:rsidRPr="00EC20A0">
        <w:rPr>
          <w:spacing w:val="-5"/>
        </w:rPr>
        <w:t xml:space="preserve"> </w:t>
      </w:r>
      <w:r w:rsidRPr="00EC20A0">
        <w:t>to</w:t>
      </w:r>
      <w:r w:rsidRPr="00EC20A0">
        <w:rPr>
          <w:spacing w:val="-6"/>
        </w:rPr>
        <w:t xml:space="preserve"> </w:t>
      </w:r>
      <w:r w:rsidRPr="00EC20A0">
        <w:t>the</w:t>
      </w:r>
      <w:r w:rsidRPr="00EC20A0">
        <w:rPr>
          <w:spacing w:val="-5"/>
        </w:rPr>
        <w:t xml:space="preserve"> </w:t>
      </w:r>
      <w:r w:rsidRPr="00EC20A0">
        <w:t>auditor,</w:t>
      </w:r>
      <w:r w:rsidRPr="00EC20A0">
        <w:rPr>
          <w:spacing w:val="-5"/>
        </w:rPr>
        <w:t xml:space="preserve"> </w:t>
      </w:r>
      <w:r w:rsidRPr="00EC20A0">
        <w:t>if</w:t>
      </w:r>
      <w:r w:rsidRPr="00EC20A0">
        <w:rPr>
          <w:spacing w:val="-5"/>
        </w:rPr>
        <w:t xml:space="preserve"> </w:t>
      </w:r>
      <w:r w:rsidRPr="00EC20A0">
        <w:rPr>
          <w:spacing w:val="-2"/>
        </w:rPr>
        <w:t>applicable.</w:t>
      </w:r>
    </w:p>
    <w:p w14:paraId="24D6099F" w14:textId="77777777" w:rsidR="00245300" w:rsidRPr="00EC20A0" w:rsidRDefault="00F17249">
      <w:pPr>
        <w:pStyle w:val="ListParagraph"/>
        <w:numPr>
          <w:ilvl w:val="0"/>
          <w:numId w:val="173"/>
        </w:numPr>
        <w:tabs>
          <w:tab w:val="left" w:pos="1919"/>
        </w:tabs>
        <w:spacing w:before="241"/>
        <w:ind w:hanging="359"/>
      </w:pPr>
      <w:r w:rsidRPr="00EC20A0">
        <w:t>Involvement</w:t>
      </w:r>
      <w:r w:rsidRPr="00EC20A0">
        <w:rPr>
          <w:spacing w:val="-8"/>
        </w:rPr>
        <w:t xml:space="preserve"> </w:t>
      </w:r>
      <w:r w:rsidRPr="00EC20A0">
        <w:t>of</w:t>
      </w:r>
      <w:r w:rsidRPr="00EC20A0">
        <w:rPr>
          <w:spacing w:val="-7"/>
        </w:rPr>
        <w:t xml:space="preserve"> </w:t>
      </w:r>
      <w:r w:rsidRPr="00EC20A0">
        <w:t>an</w:t>
      </w:r>
      <w:r w:rsidRPr="00EC20A0">
        <w:rPr>
          <w:spacing w:val="-6"/>
        </w:rPr>
        <w:t xml:space="preserve"> </w:t>
      </w:r>
      <w:r w:rsidRPr="00EC20A0">
        <w:t>auditor’s</w:t>
      </w:r>
      <w:r w:rsidRPr="00EC20A0">
        <w:rPr>
          <w:spacing w:val="-7"/>
        </w:rPr>
        <w:t xml:space="preserve"> </w:t>
      </w:r>
      <w:r w:rsidRPr="00EC20A0">
        <w:t>external</w:t>
      </w:r>
      <w:r w:rsidRPr="00EC20A0">
        <w:rPr>
          <w:spacing w:val="-8"/>
        </w:rPr>
        <w:t xml:space="preserve"> </w:t>
      </w:r>
      <w:r w:rsidRPr="00EC20A0">
        <w:t>specialist,</w:t>
      </w:r>
      <w:r w:rsidRPr="00EC20A0">
        <w:rPr>
          <w:spacing w:val="-6"/>
        </w:rPr>
        <w:t xml:space="preserve"> </w:t>
      </w:r>
      <w:r w:rsidRPr="00EC20A0">
        <w:t>if</w:t>
      </w:r>
      <w:r w:rsidRPr="00EC20A0">
        <w:rPr>
          <w:spacing w:val="-10"/>
        </w:rPr>
        <w:t xml:space="preserve"> </w:t>
      </w:r>
      <w:r w:rsidRPr="00EC20A0">
        <w:rPr>
          <w:spacing w:val="-2"/>
        </w:rPr>
        <w:t>applicable.</w:t>
      </w:r>
    </w:p>
    <w:p w14:paraId="24D609A0" w14:textId="77777777" w:rsidR="00245300" w:rsidRPr="00EC20A0" w:rsidRDefault="00F17249">
      <w:pPr>
        <w:pStyle w:val="ListParagraph"/>
        <w:numPr>
          <w:ilvl w:val="0"/>
          <w:numId w:val="173"/>
        </w:numPr>
        <w:tabs>
          <w:tab w:val="left" w:pos="1919"/>
        </w:tabs>
        <w:ind w:hanging="359"/>
      </w:pPr>
      <w:r w:rsidRPr="00EC20A0">
        <w:t>Specified</w:t>
      </w:r>
      <w:r w:rsidRPr="00EC20A0">
        <w:rPr>
          <w:spacing w:val="-8"/>
        </w:rPr>
        <w:t xml:space="preserve"> </w:t>
      </w:r>
      <w:r w:rsidRPr="00EC20A0">
        <w:t>thresholds</w:t>
      </w:r>
      <w:r w:rsidRPr="00EC20A0">
        <w:rPr>
          <w:spacing w:val="-8"/>
        </w:rPr>
        <w:t xml:space="preserve"> </w:t>
      </w:r>
      <w:r w:rsidRPr="00EC20A0">
        <w:t>for</w:t>
      </w:r>
      <w:r w:rsidRPr="00EC20A0">
        <w:rPr>
          <w:spacing w:val="-8"/>
        </w:rPr>
        <w:t xml:space="preserve"> </w:t>
      </w:r>
      <w:r w:rsidRPr="00EC20A0">
        <w:t>reporting</w:t>
      </w:r>
      <w:r w:rsidRPr="00EC20A0">
        <w:rPr>
          <w:spacing w:val="-8"/>
        </w:rPr>
        <w:t xml:space="preserve"> </w:t>
      </w:r>
      <w:r w:rsidRPr="00EC20A0">
        <w:t>exceptions,</w:t>
      </w:r>
      <w:r w:rsidRPr="00EC20A0">
        <w:rPr>
          <w:spacing w:val="-8"/>
        </w:rPr>
        <w:t xml:space="preserve"> </w:t>
      </w:r>
      <w:r w:rsidRPr="00EC20A0">
        <w:t>if</w:t>
      </w:r>
      <w:r w:rsidRPr="00EC20A0">
        <w:rPr>
          <w:spacing w:val="-8"/>
        </w:rPr>
        <w:t xml:space="preserve"> </w:t>
      </w:r>
      <w:r w:rsidRPr="00EC20A0">
        <w:rPr>
          <w:spacing w:val="-2"/>
        </w:rPr>
        <w:t>applicable.</w:t>
      </w:r>
    </w:p>
    <w:p w14:paraId="24D609A1" w14:textId="77777777" w:rsidR="00245300" w:rsidRPr="00EC20A0" w:rsidRDefault="00F17249">
      <w:pPr>
        <w:pStyle w:val="ListParagraph"/>
        <w:numPr>
          <w:ilvl w:val="0"/>
          <w:numId w:val="11"/>
        </w:numPr>
        <w:tabs>
          <w:tab w:val="left" w:pos="1560"/>
        </w:tabs>
        <w:ind w:left="1560" w:right="760"/>
      </w:pPr>
      <w:r w:rsidRPr="00EC20A0">
        <w:t>The</w:t>
      </w:r>
      <w:r w:rsidRPr="00EC20A0">
        <w:rPr>
          <w:spacing w:val="-4"/>
        </w:rPr>
        <w:t xml:space="preserve"> </w:t>
      </w:r>
      <w:r w:rsidRPr="00EC20A0">
        <w:t>agreed-upon</w:t>
      </w:r>
      <w:r w:rsidRPr="00EC20A0">
        <w:rPr>
          <w:spacing w:val="-4"/>
        </w:rPr>
        <w:t xml:space="preserve"> </w:t>
      </w:r>
      <w:r w:rsidRPr="00EC20A0">
        <w:t>procedures</w:t>
      </w:r>
      <w:r w:rsidRPr="00EC20A0">
        <w:rPr>
          <w:spacing w:val="-4"/>
        </w:rPr>
        <w:t xml:space="preserve"> </w:t>
      </w:r>
      <w:r w:rsidRPr="00EC20A0">
        <w:t>to</w:t>
      </w:r>
      <w:r w:rsidRPr="00EC20A0">
        <w:rPr>
          <w:spacing w:val="-4"/>
        </w:rPr>
        <w:t xml:space="preserve"> </w:t>
      </w:r>
      <w:r w:rsidRPr="00EC20A0">
        <w:t>be</w:t>
      </w:r>
      <w:r w:rsidRPr="00EC20A0">
        <w:rPr>
          <w:spacing w:val="-4"/>
        </w:rPr>
        <w:t xml:space="preserve"> </w:t>
      </w:r>
      <w:r w:rsidRPr="00EC20A0">
        <w:t>enumerated</w:t>
      </w:r>
      <w:r w:rsidRPr="00EC20A0">
        <w:rPr>
          <w:spacing w:val="-4"/>
        </w:rPr>
        <w:t xml:space="preserve"> </w:t>
      </w:r>
      <w:r w:rsidRPr="00EC20A0">
        <w:t>or</w:t>
      </w:r>
      <w:r w:rsidRPr="00EC20A0">
        <w:rPr>
          <w:spacing w:val="-4"/>
        </w:rPr>
        <w:t xml:space="preserve"> </w:t>
      </w:r>
      <w:r w:rsidRPr="00EC20A0">
        <w:t>referred</w:t>
      </w:r>
      <w:r w:rsidRPr="00EC20A0">
        <w:rPr>
          <w:spacing w:val="-4"/>
        </w:rPr>
        <w:t xml:space="preserve"> </w:t>
      </w:r>
      <w:r w:rsidRPr="00EC20A0">
        <w:t>to</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 xml:space="preserve">auditor’s report should be performed entirely by the engagement team or other independent </w:t>
      </w:r>
      <w:r w:rsidRPr="00EC20A0">
        <w:t>practitioners and not by internal auditors (AT-C 215.21).</w:t>
      </w:r>
    </w:p>
    <w:p w14:paraId="24D609A2" w14:textId="77777777" w:rsidR="00245300" w:rsidRPr="00EC20A0" w:rsidRDefault="00F17249">
      <w:pPr>
        <w:pStyle w:val="ListParagraph"/>
        <w:numPr>
          <w:ilvl w:val="0"/>
          <w:numId w:val="11"/>
        </w:numPr>
        <w:tabs>
          <w:tab w:val="left" w:pos="1560"/>
        </w:tabs>
        <w:ind w:left="1560" w:right="317"/>
      </w:pPr>
      <w:r w:rsidRPr="00EC20A0">
        <w:t>The auditor should perform procedures agreed to and acknowledged by the engaging</w:t>
      </w:r>
      <w:r w:rsidRPr="00EC20A0">
        <w:rPr>
          <w:spacing w:val="-4"/>
        </w:rPr>
        <w:t xml:space="preserve"> </w:t>
      </w:r>
      <w:r w:rsidRPr="00EC20A0">
        <w:t>party</w:t>
      </w:r>
      <w:r w:rsidRPr="00EC20A0">
        <w:rPr>
          <w:spacing w:val="-4"/>
        </w:rPr>
        <w:t xml:space="preserve"> </w:t>
      </w:r>
      <w:r w:rsidRPr="00EC20A0">
        <w:t>to</w:t>
      </w:r>
      <w:r w:rsidRPr="00EC20A0">
        <w:rPr>
          <w:spacing w:val="-4"/>
        </w:rPr>
        <w:t xml:space="preserve"> </w:t>
      </w:r>
      <w:r w:rsidRPr="00EC20A0">
        <w:t>meet</w:t>
      </w:r>
      <w:r w:rsidRPr="00EC20A0">
        <w:rPr>
          <w:spacing w:val="-4"/>
        </w:rPr>
        <w:t xml:space="preserve"> </w:t>
      </w:r>
      <w:r w:rsidRPr="00EC20A0">
        <w:t>the</w:t>
      </w:r>
      <w:r w:rsidRPr="00EC20A0">
        <w:rPr>
          <w:spacing w:val="-4"/>
        </w:rPr>
        <w:t xml:space="preserve"> </w:t>
      </w:r>
      <w:r w:rsidRPr="00EC20A0">
        <w:t>intended</w:t>
      </w:r>
      <w:r w:rsidRPr="00EC20A0">
        <w:rPr>
          <w:spacing w:val="-5"/>
        </w:rPr>
        <w:t xml:space="preserve"> </w:t>
      </w:r>
      <w:r w:rsidRPr="00EC20A0">
        <w:t>purpose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established</w:t>
      </w:r>
      <w:r w:rsidRPr="00EC20A0">
        <w:rPr>
          <w:spacing w:val="-2"/>
        </w:rPr>
        <w:t xml:space="preserve"> </w:t>
      </w:r>
      <w:r w:rsidRPr="00EC20A0">
        <w:t>with the engaging party. The auditor should not perform overly subjective procedures or use terms with uncertain meaning unless they are defined in the agreed-upon procedures report (AT-C 215.16 and .17).</w:t>
      </w:r>
    </w:p>
    <w:p w14:paraId="24D609A3" w14:textId="77777777" w:rsidR="00245300" w:rsidRPr="00EC20A0" w:rsidRDefault="00F17249">
      <w:pPr>
        <w:pStyle w:val="ListParagraph"/>
        <w:numPr>
          <w:ilvl w:val="0"/>
          <w:numId w:val="11"/>
        </w:numPr>
        <w:tabs>
          <w:tab w:val="left" w:pos="1560"/>
        </w:tabs>
        <w:spacing w:before="239"/>
        <w:ind w:left="1560" w:right="306" w:hanging="720"/>
      </w:pPr>
      <w:r w:rsidRPr="00EC20A0">
        <w:t>The</w:t>
      </w:r>
      <w:r w:rsidRPr="00EC20A0">
        <w:rPr>
          <w:spacing w:val="-2"/>
        </w:rPr>
        <w:t xml:space="preserve"> </w:t>
      </w:r>
      <w:r w:rsidRPr="00EC20A0">
        <w:t>auditor</w:t>
      </w:r>
      <w:r w:rsidRPr="00EC20A0">
        <w:rPr>
          <w:spacing w:val="-4"/>
        </w:rPr>
        <w:t xml:space="preserve"> </w:t>
      </w:r>
      <w:r w:rsidRPr="00EC20A0">
        <w:t>should</w:t>
      </w:r>
      <w:r w:rsidRPr="00EC20A0">
        <w:rPr>
          <w:spacing w:val="-2"/>
        </w:rPr>
        <w:t xml:space="preserve"> </w:t>
      </w:r>
      <w:r w:rsidRPr="00EC20A0">
        <w:t>obtain</w:t>
      </w:r>
      <w:r w:rsidRPr="00EC20A0">
        <w:rPr>
          <w:spacing w:val="-2"/>
        </w:rPr>
        <w:t xml:space="preserve"> </w:t>
      </w:r>
      <w:r w:rsidRPr="00EC20A0">
        <w:t>evidence</w:t>
      </w:r>
      <w:r w:rsidRPr="00EC20A0">
        <w:rPr>
          <w:spacing w:val="-2"/>
        </w:rPr>
        <w:t xml:space="preserve"> </w:t>
      </w:r>
      <w:r w:rsidRPr="00EC20A0">
        <w:t>from</w:t>
      </w:r>
      <w:r w:rsidRPr="00EC20A0">
        <w:rPr>
          <w:spacing w:val="-3"/>
        </w:rPr>
        <w:t xml:space="preserve"> </w:t>
      </w:r>
      <w:r w:rsidRPr="00EC20A0">
        <w:t>applying</w:t>
      </w:r>
      <w:r w:rsidRPr="00EC20A0">
        <w:rPr>
          <w:spacing w:val="-2"/>
        </w:rPr>
        <w:t xml:space="preserve"> </w:t>
      </w:r>
      <w:r w:rsidRPr="00EC20A0">
        <w:t>the</w:t>
      </w:r>
      <w:r w:rsidRPr="00EC20A0">
        <w:rPr>
          <w:spacing w:val="-2"/>
        </w:rPr>
        <w:t xml:space="preserve"> </w:t>
      </w:r>
      <w:r w:rsidRPr="00EC20A0">
        <w:t>agreed-upon</w:t>
      </w:r>
      <w:r w:rsidRPr="00EC20A0">
        <w:rPr>
          <w:spacing w:val="-2"/>
        </w:rPr>
        <w:t xml:space="preserve"> </w:t>
      </w:r>
      <w:r w:rsidRPr="00EC20A0">
        <w:t>procedures</w:t>
      </w:r>
      <w:r w:rsidRPr="00EC20A0">
        <w:rPr>
          <w:spacing w:val="-2"/>
        </w:rPr>
        <w:t xml:space="preserve"> </w:t>
      </w:r>
      <w:r w:rsidRPr="00EC20A0">
        <w:t>to provide a reasonable basis for the finding(s) expressed in the auditor’s report but need not perform additional procedures outside the scope of the engagement to gather additional evidence (AT-C 215.18). If matters come to the auditor’s attention by other means that significantly contradict the subject matter, the auditor should discuss the matter with the engaging party and take appropriate action, including determining whether the</w:t>
      </w:r>
      <w:r w:rsidRPr="00EC20A0">
        <w:t xml:space="preserve"> auditor’s report should be revised to disclose the matter (AT-C 215.40). For example, if during the course of applying agreed-upon procedures regarding an entity’s operations, the auditor becomes aware</w:t>
      </w:r>
      <w:r w:rsidRPr="00EC20A0">
        <w:rPr>
          <w:spacing w:val="-1"/>
        </w:rPr>
        <w:t xml:space="preserve"> </w:t>
      </w:r>
      <w:r w:rsidRPr="00EC20A0">
        <w:t>of</w:t>
      </w:r>
      <w:r w:rsidRPr="00EC20A0">
        <w:rPr>
          <w:spacing w:val="-1"/>
        </w:rPr>
        <w:t xml:space="preserve"> </w:t>
      </w:r>
      <w:r w:rsidRPr="00EC20A0">
        <w:t>a</w:t>
      </w:r>
      <w:r w:rsidRPr="00EC20A0">
        <w:rPr>
          <w:spacing w:val="-1"/>
        </w:rPr>
        <w:t xml:space="preserve"> </w:t>
      </w:r>
      <w:r w:rsidRPr="00EC20A0">
        <w:t>material</w:t>
      </w:r>
      <w:r w:rsidRPr="00EC20A0">
        <w:rPr>
          <w:spacing w:val="-1"/>
        </w:rPr>
        <w:t xml:space="preserve"> </w:t>
      </w:r>
      <w:r w:rsidRPr="00EC20A0">
        <w:t>weakness</w:t>
      </w:r>
      <w:r w:rsidRPr="00EC20A0">
        <w:rPr>
          <w:spacing w:val="-1"/>
        </w:rPr>
        <w:t xml:space="preserve"> </w:t>
      </w:r>
      <w:r w:rsidRPr="00EC20A0">
        <w:t>by</w:t>
      </w:r>
      <w:r w:rsidRPr="00EC20A0">
        <w:rPr>
          <w:spacing w:val="-2"/>
        </w:rPr>
        <w:t xml:space="preserve"> </w:t>
      </w:r>
      <w:r w:rsidRPr="00EC20A0">
        <w:t>means</w:t>
      </w:r>
      <w:r w:rsidRPr="00EC20A0">
        <w:rPr>
          <w:spacing w:val="-1"/>
        </w:rPr>
        <w:t xml:space="preserve"> </w:t>
      </w:r>
      <w:r w:rsidRPr="00EC20A0">
        <w:t>other</w:t>
      </w:r>
      <w:r w:rsidRPr="00EC20A0">
        <w:rPr>
          <w:spacing w:val="-1"/>
        </w:rPr>
        <w:t xml:space="preserve"> </w:t>
      </w:r>
      <w:r w:rsidRPr="00EC20A0">
        <w:t>than</w:t>
      </w:r>
      <w:r w:rsidRPr="00EC20A0">
        <w:rPr>
          <w:spacing w:val="-1"/>
        </w:rPr>
        <w:t xml:space="preserve"> </w:t>
      </w:r>
      <w:r w:rsidRPr="00EC20A0">
        <w:t>the</w:t>
      </w:r>
      <w:r w:rsidRPr="00EC20A0">
        <w:rPr>
          <w:spacing w:val="-1"/>
        </w:rPr>
        <w:t xml:space="preserve"> </w:t>
      </w:r>
      <w:r w:rsidRPr="00EC20A0">
        <w:t>agreed-upon</w:t>
      </w:r>
      <w:r w:rsidRPr="00EC20A0">
        <w:rPr>
          <w:spacing w:val="-1"/>
        </w:rPr>
        <w:t xml:space="preserve"> </w:t>
      </w:r>
      <w:r w:rsidRPr="00EC20A0">
        <w:t>procedures, the</w:t>
      </w:r>
      <w:r w:rsidRPr="00EC20A0">
        <w:rPr>
          <w:spacing w:val="-3"/>
        </w:rPr>
        <w:t xml:space="preserve"> </w:t>
      </w:r>
      <w:r w:rsidRPr="00EC20A0">
        <w:t>auditor</w:t>
      </w:r>
      <w:r w:rsidRPr="00EC20A0">
        <w:rPr>
          <w:spacing w:val="-4"/>
        </w:rPr>
        <w:t xml:space="preserve"> </w:t>
      </w:r>
      <w:r w:rsidRPr="00EC20A0">
        <w:t>may</w:t>
      </w:r>
      <w:r w:rsidRPr="00EC20A0">
        <w:rPr>
          <w:spacing w:val="-3"/>
        </w:rPr>
        <w:t xml:space="preserve"> </w:t>
      </w:r>
      <w:r w:rsidRPr="00EC20A0">
        <w:t>include</w:t>
      </w:r>
      <w:r w:rsidRPr="00EC20A0">
        <w:rPr>
          <w:spacing w:val="-4"/>
        </w:rPr>
        <w:t xml:space="preserve"> </w:t>
      </w:r>
      <w:r w:rsidRPr="00EC20A0">
        <w:t>this</w:t>
      </w:r>
      <w:r w:rsidRPr="00EC20A0">
        <w:rPr>
          <w:spacing w:val="-3"/>
        </w:rPr>
        <w:t xml:space="preserve"> </w:t>
      </w:r>
      <w:r w:rsidRPr="00EC20A0">
        <w:t>matter</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report</w:t>
      </w:r>
      <w:r w:rsidRPr="00EC20A0">
        <w:rPr>
          <w:spacing w:val="-3"/>
        </w:rPr>
        <w:t xml:space="preserve"> </w:t>
      </w:r>
      <w:r w:rsidRPr="00EC20A0">
        <w:t>(AT-C</w:t>
      </w:r>
      <w:r w:rsidRPr="00EC20A0">
        <w:rPr>
          <w:spacing w:val="-4"/>
        </w:rPr>
        <w:t xml:space="preserve"> </w:t>
      </w:r>
      <w:r w:rsidRPr="00EC20A0">
        <w:t>215.A72).</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may do this by mentioning the material weakness with a footnote reference to another report where it is described in detail.</w:t>
      </w:r>
    </w:p>
    <w:p w14:paraId="24D609A4" w14:textId="77777777" w:rsidR="00245300" w:rsidRPr="00EC20A0" w:rsidRDefault="00F17249">
      <w:pPr>
        <w:pStyle w:val="ListParagraph"/>
        <w:numPr>
          <w:ilvl w:val="0"/>
          <w:numId w:val="11"/>
        </w:numPr>
        <w:tabs>
          <w:tab w:val="left" w:pos="1561"/>
        </w:tabs>
        <w:spacing w:before="241"/>
        <w:ind w:left="1561" w:right="440"/>
      </w:pPr>
      <w:r w:rsidRPr="00EC20A0">
        <w:t>In</w:t>
      </w:r>
      <w:r w:rsidRPr="00EC20A0">
        <w:rPr>
          <w:spacing w:val="-4"/>
        </w:rPr>
        <w:t xml:space="preserve"> </w:t>
      </w:r>
      <w:r w:rsidRPr="00EC20A0">
        <w:t>the</w:t>
      </w:r>
      <w:r w:rsidRPr="00EC20A0">
        <w:rPr>
          <w:spacing w:val="-4"/>
        </w:rPr>
        <w:t xml:space="preserve"> </w:t>
      </w:r>
      <w:r w:rsidRPr="00EC20A0">
        <w:t>event</w:t>
      </w:r>
      <w:r w:rsidRPr="00EC20A0">
        <w:rPr>
          <w:spacing w:val="-5"/>
        </w:rPr>
        <w:t xml:space="preserve"> </w:t>
      </w:r>
      <w:r w:rsidRPr="00EC20A0">
        <w:t>the</w:t>
      </w:r>
      <w:r w:rsidRPr="00EC20A0">
        <w:rPr>
          <w:spacing w:val="-4"/>
        </w:rPr>
        <w:t xml:space="preserve"> </w:t>
      </w:r>
      <w:r w:rsidRPr="00EC20A0">
        <w:t>auditor</w:t>
      </w:r>
      <w:r w:rsidRPr="00EC20A0">
        <w:rPr>
          <w:spacing w:val="-4"/>
        </w:rPr>
        <w:t xml:space="preserve"> </w:t>
      </w:r>
      <w:r w:rsidRPr="00EC20A0">
        <w:t>encounters</w:t>
      </w:r>
      <w:r w:rsidRPr="00EC20A0">
        <w:rPr>
          <w:spacing w:val="-4"/>
        </w:rPr>
        <w:t xml:space="preserve"> </w:t>
      </w:r>
      <w:r w:rsidRPr="00EC20A0">
        <w:t>known</w:t>
      </w:r>
      <w:r w:rsidRPr="00EC20A0">
        <w:rPr>
          <w:spacing w:val="-4"/>
        </w:rPr>
        <w:t xml:space="preserve"> </w:t>
      </w:r>
      <w:r w:rsidRPr="00EC20A0">
        <w:t>or</w:t>
      </w:r>
      <w:r w:rsidRPr="00EC20A0">
        <w:rPr>
          <w:spacing w:val="-4"/>
        </w:rPr>
        <w:t xml:space="preserve"> </w:t>
      </w:r>
      <w:r w:rsidRPr="00EC20A0">
        <w:t>suspected</w:t>
      </w:r>
      <w:r w:rsidRPr="00EC20A0">
        <w:rPr>
          <w:spacing w:val="-4"/>
        </w:rPr>
        <w:t xml:space="preserve"> </w:t>
      </w:r>
      <w:r w:rsidRPr="00EC20A0">
        <w:t>fraud</w:t>
      </w:r>
      <w:r w:rsidRPr="00EC20A0">
        <w:rPr>
          <w:spacing w:val="-5"/>
        </w:rPr>
        <w:t xml:space="preserve"> </w:t>
      </w:r>
      <w:r w:rsidRPr="00EC20A0">
        <w:t>or</w:t>
      </w:r>
      <w:r w:rsidRPr="00EC20A0">
        <w:rPr>
          <w:spacing w:val="-4"/>
        </w:rPr>
        <w:t xml:space="preserve"> </w:t>
      </w:r>
      <w:r w:rsidRPr="00EC20A0">
        <w:t>noncompliance with laws or regulations in connection with the engagement, the auditor should consider responsibilities under the AICPA Code of Professional Conduct and applicable</w:t>
      </w:r>
      <w:r w:rsidRPr="00EC20A0">
        <w:rPr>
          <w:spacing w:val="-3"/>
        </w:rPr>
        <w:t xml:space="preserve"> </w:t>
      </w:r>
      <w:r w:rsidRPr="00EC20A0">
        <w:t>law</w:t>
      </w:r>
      <w:r w:rsidRPr="00EC20A0">
        <w:rPr>
          <w:spacing w:val="-3"/>
        </w:rPr>
        <w:t xml:space="preserve"> </w:t>
      </w:r>
      <w:r w:rsidRPr="00EC20A0">
        <w:t>prior</w:t>
      </w:r>
      <w:r w:rsidRPr="00EC20A0">
        <w:rPr>
          <w:spacing w:val="-2"/>
        </w:rPr>
        <w:t xml:space="preserve"> </w:t>
      </w:r>
      <w:r w:rsidRPr="00EC20A0">
        <w:t>to</w:t>
      </w:r>
      <w:r w:rsidRPr="00EC20A0">
        <w:rPr>
          <w:spacing w:val="-2"/>
        </w:rPr>
        <w:t xml:space="preserve"> </w:t>
      </w:r>
      <w:r w:rsidRPr="00EC20A0">
        <w:t>communicating</w:t>
      </w:r>
      <w:r w:rsidRPr="00EC20A0">
        <w:rPr>
          <w:spacing w:val="-2"/>
        </w:rPr>
        <w:t xml:space="preserve"> </w:t>
      </w:r>
      <w:r w:rsidRPr="00EC20A0">
        <w:t>such</w:t>
      </w:r>
      <w:r w:rsidRPr="00EC20A0">
        <w:rPr>
          <w:spacing w:val="-2"/>
        </w:rPr>
        <w:t xml:space="preserve"> </w:t>
      </w:r>
      <w:r w:rsidRPr="00EC20A0">
        <w:t>information</w:t>
      </w:r>
      <w:r w:rsidRPr="00EC20A0">
        <w:rPr>
          <w:spacing w:val="-2"/>
        </w:rPr>
        <w:t xml:space="preserve"> </w:t>
      </w:r>
      <w:r w:rsidRPr="00EC20A0">
        <w:t>either</w:t>
      </w:r>
      <w:r w:rsidRPr="00EC20A0">
        <w:rPr>
          <w:spacing w:val="-2"/>
        </w:rPr>
        <w:t xml:space="preserve"> </w:t>
      </w:r>
      <w:r w:rsidRPr="00EC20A0">
        <w:t>to</w:t>
      </w:r>
      <w:r w:rsidRPr="00EC20A0">
        <w:rPr>
          <w:spacing w:val="-2"/>
        </w:rPr>
        <w:t xml:space="preserve"> </w:t>
      </w:r>
      <w:r w:rsidRPr="00EC20A0">
        <w:t>the</w:t>
      </w:r>
      <w:r w:rsidRPr="00EC20A0">
        <w:rPr>
          <w:spacing w:val="-2"/>
        </w:rPr>
        <w:t xml:space="preserve"> </w:t>
      </w:r>
      <w:r w:rsidRPr="00EC20A0">
        <w:t>responsible party or to the engaging party (AT-C 215.41).</w:t>
      </w:r>
    </w:p>
    <w:p w14:paraId="24D609A5" w14:textId="77777777" w:rsidR="00245300" w:rsidRPr="00EC20A0" w:rsidRDefault="00F17249">
      <w:pPr>
        <w:pStyle w:val="ListParagraph"/>
        <w:numPr>
          <w:ilvl w:val="0"/>
          <w:numId w:val="11"/>
        </w:numPr>
        <w:tabs>
          <w:tab w:val="left" w:pos="1561"/>
        </w:tabs>
        <w:ind w:left="1561" w:right="524" w:hanging="720"/>
      </w:pPr>
      <w:r w:rsidRPr="00EC20A0">
        <w:t xml:space="preserve">When </w:t>
      </w:r>
      <w:r w:rsidRPr="00EC20A0">
        <w:t>circumstances impose restrictions on performing the agreed-upon procedures, the auditor should discuss with the engaging party whether those restrictions</w:t>
      </w:r>
      <w:r w:rsidRPr="00EC20A0">
        <w:rPr>
          <w:spacing w:val="-4"/>
        </w:rPr>
        <w:t xml:space="preserve"> </w:t>
      </w:r>
      <w:r w:rsidRPr="00EC20A0">
        <w:t>are</w:t>
      </w:r>
      <w:r w:rsidRPr="00EC20A0">
        <w:rPr>
          <w:spacing w:val="-3"/>
        </w:rPr>
        <w:t xml:space="preserve"> </w:t>
      </w:r>
      <w:r w:rsidRPr="00EC20A0">
        <w:t>appropriate</w:t>
      </w:r>
      <w:r w:rsidRPr="00EC20A0">
        <w:rPr>
          <w:spacing w:val="-3"/>
        </w:rPr>
        <w:t xml:space="preserve"> </w:t>
      </w:r>
      <w:r w:rsidRPr="00EC20A0">
        <w:t>and,</w:t>
      </w:r>
      <w:r w:rsidRPr="00EC20A0">
        <w:rPr>
          <w:spacing w:val="-3"/>
        </w:rPr>
        <w:t xml:space="preserve"> </w:t>
      </w:r>
      <w:r w:rsidRPr="00EC20A0">
        <w:t>if</w:t>
      </w:r>
      <w:r w:rsidRPr="00EC20A0">
        <w:rPr>
          <w:spacing w:val="-3"/>
        </w:rPr>
        <w:t xml:space="preserve"> </w:t>
      </w:r>
      <w:r w:rsidRPr="00EC20A0">
        <w:t>so,</w:t>
      </w:r>
      <w:r w:rsidRPr="00EC20A0">
        <w:rPr>
          <w:spacing w:val="-3"/>
        </w:rPr>
        <w:t xml:space="preserve"> </w:t>
      </w:r>
      <w:r w:rsidRPr="00EC20A0">
        <w:t>describe</w:t>
      </w:r>
      <w:r w:rsidRPr="00EC20A0">
        <w:rPr>
          <w:spacing w:val="-3"/>
        </w:rPr>
        <w:t xml:space="preserve"> </w:t>
      </w:r>
      <w:r w:rsidRPr="00EC20A0">
        <w:t>them</w:t>
      </w:r>
      <w:r w:rsidRPr="00EC20A0">
        <w:rPr>
          <w:spacing w:val="-4"/>
        </w:rPr>
        <w:t xml:space="preserve"> </w:t>
      </w:r>
      <w:r w:rsidRPr="00EC20A0">
        <w:t>in</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report</w:t>
      </w:r>
      <w:r w:rsidRPr="00EC20A0">
        <w:rPr>
          <w:spacing w:val="-3"/>
        </w:rPr>
        <w:t xml:space="preserve"> </w:t>
      </w:r>
      <w:r w:rsidRPr="00EC20A0">
        <w:t>(AT- C 215.39).</w:t>
      </w:r>
    </w:p>
    <w:p w14:paraId="24D609A6" w14:textId="77777777" w:rsidR="00245300" w:rsidRPr="00EC20A0" w:rsidRDefault="00245300">
      <w:pPr>
        <w:pStyle w:val="BodyText"/>
        <w:spacing w:before="46"/>
      </w:pPr>
    </w:p>
    <w:p w14:paraId="24D609A7" w14:textId="77777777" w:rsidR="00245300" w:rsidRPr="00EC20A0" w:rsidRDefault="00F17249">
      <w:pPr>
        <w:pStyle w:val="Heading4"/>
        <w:spacing w:before="1"/>
        <w:ind w:left="120"/>
      </w:pPr>
      <w:bookmarkStart w:id="153" w:name="Written_Representations"/>
      <w:bookmarkEnd w:id="153"/>
      <w:r w:rsidRPr="00EC20A0">
        <w:t>Written</w:t>
      </w:r>
      <w:r w:rsidRPr="00EC20A0">
        <w:rPr>
          <w:spacing w:val="-12"/>
        </w:rPr>
        <w:t xml:space="preserve"> </w:t>
      </w:r>
      <w:r w:rsidRPr="00EC20A0">
        <w:rPr>
          <w:spacing w:val="-2"/>
        </w:rPr>
        <w:t>Representations</w:t>
      </w:r>
    </w:p>
    <w:p w14:paraId="24D609A8" w14:textId="77777777" w:rsidR="00245300" w:rsidRPr="00EC20A0" w:rsidRDefault="00F17249">
      <w:pPr>
        <w:pStyle w:val="ListParagraph"/>
        <w:numPr>
          <w:ilvl w:val="0"/>
          <w:numId w:val="172"/>
        </w:numPr>
        <w:tabs>
          <w:tab w:val="left" w:pos="1560"/>
        </w:tabs>
        <w:spacing w:before="190"/>
        <w:ind w:right="428"/>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request</w:t>
      </w:r>
      <w:r w:rsidRPr="00EC20A0">
        <w:rPr>
          <w:spacing w:val="-4"/>
        </w:rPr>
        <w:t xml:space="preserve"> </w:t>
      </w:r>
      <w:r w:rsidRPr="00EC20A0">
        <w:t>written</w:t>
      </w:r>
      <w:r w:rsidRPr="00EC20A0">
        <w:rPr>
          <w:spacing w:val="-4"/>
        </w:rPr>
        <w:t xml:space="preserve"> </w:t>
      </w:r>
      <w:r w:rsidRPr="00EC20A0">
        <w:t>representations</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engaging</w:t>
      </w:r>
      <w:r w:rsidRPr="00EC20A0">
        <w:rPr>
          <w:spacing w:val="-2"/>
        </w:rPr>
        <w:t xml:space="preserve"> </w:t>
      </w:r>
      <w:r w:rsidRPr="00EC20A0">
        <w:t>party.</w:t>
      </w:r>
      <w:r w:rsidRPr="00EC20A0">
        <w:rPr>
          <w:spacing w:val="-4"/>
        </w:rPr>
        <w:t xml:space="preserve"> </w:t>
      </w:r>
      <w:r w:rsidRPr="00EC20A0">
        <w:t>The engaging party should provide these in a letter addressed to the auditor. The date of the written representations should be as of the date of the auditor’s report; the representations should address the subject matter and periods</w:t>
      </w:r>
    </w:p>
    <w:p w14:paraId="24D609A9" w14:textId="77777777" w:rsidR="00245300" w:rsidRPr="00EC20A0" w:rsidRDefault="00245300">
      <w:pPr>
        <w:sectPr w:rsidR="00245300" w:rsidRPr="00EC20A0">
          <w:pgSz w:w="12240" w:h="15840"/>
          <w:pgMar w:top="1340" w:right="1140" w:bottom="1020" w:left="1320" w:header="721" w:footer="757" w:gutter="0"/>
          <w:cols w:space="720"/>
        </w:sectPr>
      </w:pPr>
    </w:p>
    <w:p w14:paraId="24D609AA" w14:textId="77777777" w:rsidR="00245300" w:rsidRPr="00EC20A0" w:rsidRDefault="00F17249">
      <w:pPr>
        <w:pStyle w:val="BodyText"/>
        <w:spacing w:before="121"/>
        <w:ind w:left="1560" w:right="414"/>
      </w:pPr>
      <w:r w:rsidRPr="00EC20A0">
        <w:t>covered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auditor’s</w:t>
      </w:r>
      <w:r w:rsidRPr="00EC20A0">
        <w:rPr>
          <w:spacing w:val="-5"/>
        </w:rPr>
        <w:t xml:space="preserve"> </w:t>
      </w:r>
      <w:r w:rsidRPr="00EC20A0">
        <w:t>findings</w:t>
      </w:r>
      <w:r w:rsidRPr="00EC20A0">
        <w:rPr>
          <w:spacing w:val="-4"/>
        </w:rPr>
        <w:t xml:space="preserve"> </w:t>
      </w:r>
      <w:r w:rsidRPr="00EC20A0">
        <w:t>(AT-C</w:t>
      </w:r>
      <w:r w:rsidRPr="00EC20A0">
        <w:rPr>
          <w:spacing w:val="-5"/>
        </w:rPr>
        <w:t xml:space="preserve"> </w:t>
      </w:r>
      <w:r w:rsidRPr="00EC20A0">
        <w:t>215.29).</w:t>
      </w:r>
      <w:r w:rsidRPr="00EC20A0">
        <w:rPr>
          <w:spacing w:val="-4"/>
        </w:rPr>
        <w:t xml:space="preserve"> </w:t>
      </w:r>
      <w:r w:rsidRPr="00EC20A0">
        <w:t>The</w:t>
      </w:r>
      <w:r w:rsidRPr="00EC20A0">
        <w:rPr>
          <w:spacing w:val="-4"/>
        </w:rPr>
        <w:t xml:space="preserve"> </w:t>
      </w:r>
      <w:r w:rsidRPr="00EC20A0">
        <w:t>representations</w:t>
      </w:r>
      <w:r w:rsidRPr="00EC20A0">
        <w:rPr>
          <w:spacing w:val="-4"/>
        </w:rPr>
        <w:t xml:space="preserve"> </w:t>
      </w:r>
      <w:r w:rsidRPr="00EC20A0">
        <w:t>should include the following (AT-C 215.27):</w:t>
      </w:r>
    </w:p>
    <w:p w14:paraId="24D609AB" w14:textId="77777777" w:rsidR="00245300" w:rsidRPr="00EC20A0" w:rsidRDefault="00F17249">
      <w:pPr>
        <w:pStyle w:val="ListParagraph"/>
        <w:numPr>
          <w:ilvl w:val="1"/>
          <w:numId w:val="172"/>
        </w:numPr>
        <w:tabs>
          <w:tab w:val="left" w:pos="1919"/>
        </w:tabs>
        <w:ind w:hanging="359"/>
      </w:pPr>
      <w:r w:rsidRPr="00EC20A0">
        <w:t>a</w:t>
      </w:r>
      <w:r w:rsidRPr="00EC20A0">
        <w:rPr>
          <w:spacing w:val="-6"/>
        </w:rPr>
        <w:t xml:space="preserve"> </w:t>
      </w:r>
      <w:r w:rsidRPr="00EC20A0">
        <w:t>statement</w:t>
      </w:r>
      <w:r w:rsidRPr="00EC20A0">
        <w:rPr>
          <w:spacing w:val="-6"/>
        </w:rPr>
        <w:t xml:space="preserve"> </w:t>
      </w:r>
      <w:r w:rsidRPr="00EC20A0">
        <w:t>that</w:t>
      </w:r>
      <w:r w:rsidRPr="00EC20A0">
        <w:rPr>
          <w:spacing w:val="-6"/>
        </w:rPr>
        <w:t xml:space="preserve"> </w:t>
      </w:r>
      <w:r w:rsidRPr="00EC20A0">
        <w:t>the</w:t>
      </w:r>
      <w:r w:rsidRPr="00EC20A0">
        <w:rPr>
          <w:spacing w:val="-6"/>
        </w:rPr>
        <w:t xml:space="preserve"> </w:t>
      </w:r>
      <w:r w:rsidRPr="00EC20A0">
        <w:t>responsible</w:t>
      </w:r>
      <w:r w:rsidRPr="00EC20A0">
        <w:rPr>
          <w:spacing w:val="-6"/>
        </w:rPr>
        <w:t xml:space="preserve"> </w:t>
      </w:r>
      <w:r w:rsidRPr="00EC20A0">
        <w:t>party</w:t>
      </w:r>
      <w:r w:rsidRPr="00EC20A0">
        <w:rPr>
          <w:spacing w:val="-6"/>
        </w:rPr>
        <w:t xml:space="preserve"> </w:t>
      </w:r>
      <w:r w:rsidRPr="00EC20A0">
        <w:t>is</w:t>
      </w:r>
      <w:r w:rsidRPr="00EC20A0">
        <w:rPr>
          <w:spacing w:val="-6"/>
        </w:rPr>
        <w:t xml:space="preserve"> </w:t>
      </w:r>
      <w:r w:rsidRPr="00EC20A0">
        <w:t>responsible</w:t>
      </w:r>
      <w:r w:rsidRPr="00EC20A0">
        <w:rPr>
          <w:spacing w:val="-6"/>
        </w:rPr>
        <w:t xml:space="preserve"> </w:t>
      </w:r>
      <w:r w:rsidRPr="00EC20A0">
        <w:t>for</w:t>
      </w:r>
      <w:r w:rsidRPr="00EC20A0">
        <w:rPr>
          <w:spacing w:val="-6"/>
        </w:rPr>
        <w:t xml:space="preserve"> </w:t>
      </w:r>
      <w:r w:rsidRPr="00EC20A0">
        <w:t>the</w:t>
      </w:r>
      <w:r w:rsidRPr="00EC20A0">
        <w:rPr>
          <w:spacing w:val="-6"/>
        </w:rPr>
        <w:t xml:space="preserve"> </w:t>
      </w:r>
      <w:r w:rsidRPr="00EC20A0">
        <w:t>subject</w:t>
      </w:r>
      <w:r w:rsidRPr="00EC20A0">
        <w:rPr>
          <w:spacing w:val="-6"/>
        </w:rPr>
        <w:t xml:space="preserve"> </w:t>
      </w:r>
      <w:r w:rsidRPr="00EC20A0">
        <w:rPr>
          <w:spacing w:val="-2"/>
        </w:rPr>
        <w:t>matter;</w:t>
      </w:r>
    </w:p>
    <w:p w14:paraId="24D609AC" w14:textId="77777777" w:rsidR="00245300" w:rsidRPr="00EC20A0" w:rsidRDefault="00F17249">
      <w:pPr>
        <w:pStyle w:val="ListParagraph"/>
        <w:numPr>
          <w:ilvl w:val="1"/>
          <w:numId w:val="172"/>
        </w:numPr>
        <w:tabs>
          <w:tab w:val="left" w:pos="1919"/>
        </w:tabs>
        <w:spacing w:before="239"/>
        <w:ind w:right="314"/>
      </w:pPr>
      <w:r w:rsidRPr="00EC20A0">
        <w:t>if applicable, a statement that the engaging party has obtained from all necessary</w:t>
      </w:r>
      <w:r w:rsidRPr="00EC20A0">
        <w:rPr>
          <w:spacing w:val="-6"/>
        </w:rPr>
        <w:t xml:space="preserve"> </w:t>
      </w:r>
      <w:r w:rsidRPr="00EC20A0">
        <w:t>parties</w:t>
      </w:r>
      <w:r w:rsidRPr="00EC20A0">
        <w:rPr>
          <w:spacing w:val="-5"/>
        </w:rPr>
        <w:t xml:space="preserve"> </w:t>
      </w:r>
      <w:r w:rsidRPr="00EC20A0">
        <w:t>agreement</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procedures</w:t>
      </w:r>
      <w:r w:rsidRPr="00EC20A0">
        <w:rPr>
          <w:spacing w:val="-6"/>
        </w:rPr>
        <w:t xml:space="preserve"> </w:t>
      </w:r>
      <w:r w:rsidRPr="00EC20A0">
        <w:t>and</w:t>
      </w:r>
      <w:r w:rsidRPr="00EC20A0">
        <w:rPr>
          <w:spacing w:val="-5"/>
        </w:rPr>
        <w:t xml:space="preserve"> </w:t>
      </w:r>
      <w:r w:rsidRPr="00EC20A0">
        <w:t>acknowledgment</w:t>
      </w:r>
      <w:r w:rsidRPr="00EC20A0">
        <w:rPr>
          <w:spacing w:val="-5"/>
        </w:rPr>
        <w:t xml:space="preserve"> </w:t>
      </w:r>
      <w:r w:rsidRPr="00EC20A0">
        <w:t>that</w:t>
      </w:r>
      <w:r w:rsidRPr="00EC20A0">
        <w:rPr>
          <w:spacing w:val="-5"/>
        </w:rPr>
        <w:t xml:space="preserve"> </w:t>
      </w:r>
      <w:r w:rsidRPr="00EC20A0">
        <w:t>the procedures are appropriate for their purposes;</w:t>
      </w:r>
    </w:p>
    <w:p w14:paraId="24D609AD" w14:textId="77777777" w:rsidR="00245300" w:rsidRPr="00EC20A0" w:rsidRDefault="00F17249">
      <w:pPr>
        <w:pStyle w:val="ListParagraph"/>
        <w:numPr>
          <w:ilvl w:val="1"/>
          <w:numId w:val="172"/>
        </w:numPr>
        <w:tabs>
          <w:tab w:val="left" w:pos="1919"/>
        </w:tabs>
        <w:spacing w:before="241"/>
        <w:ind w:right="476"/>
      </w:pPr>
      <w:r w:rsidRPr="00EC20A0">
        <w:t>a</w:t>
      </w:r>
      <w:r w:rsidRPr="00EC20A0">
        <w:rPr>
          <w:spacing w:val="-11"/>
        </w:rPr>
        <w:t xml:space="preserve"> </w:t>
      </w:r>
      <w:r w:rsidRPr="00EC20A0">
        <w:t>statement</w:t>
      </w:r>
      <w:r w:rsidRPr="00EC20A0">
        <w:rPr>
          <w:spacing w:val="-9"/>
        </w:rPr>
        <w:t xml:space="preserve"> </w:t>
      </w:r>
      <w:r w:rsidRPr="00EC20A0">
        <w:t>that</w:t>
      </w:r>
      <w:r w:rsidRPr="00EC20A0">
        <w:rPr>
          <w:spacing w:val="-11"/>
        </w:rPr>
        <w:t xml:space="preserve"> </w:t>
      </w:r>
      <w:r w:rsidRPr="00EC20A0">
        <w:t>the</w:t>
      </w:r>
      <w:r w:rsidRPr="00EC20A0">
        <w:rPr>
          <w:spacing w:val="-11"/>
        </w:rPr>
        <w:t xml:space="preserve"> </w:t>
      </w:r>
      <w:r w:rsidRPr="00EC20A0">
        <w:t>engaging</w:t>
      </w:r>
      <w:r w:rsidRPr="00EC20A0">
        <w:rPr>
          <w:spacing w:val="-11"/>
        </w:rPr>
        <w:t xml:space="preserve"> </w:t>
      </w:r>
      <w:r w:rsidRPr="00EC20A0">
        <w:t>party</w:t>
      </w:r>
      <w:r w:rsidRPr="00EC20A0">
        <w:rPr>
          <w:spacing w:val="-9"/>
        </w:rPr>
        <w:t xml:space="preserve"> </w:t>
      </w:r>
      <w:r w:rsidRPr="00EC20A0">
        <w:t>has</w:t>
      </w:r>
      <w:r w:rsidRPr="00EC20A0">
        <w:rPr>
          <w:spacing w:val="-10"/>
        </w:rPr>
        <w:t xml:space="preserve"> </w:t>
      </w:r>
      <w:r w:rsidRPr="00EC20A0">
        <w:t>provided</w:t>
      </w:r>
      <w:r w:rsidRPr="00EC20A0">
        <w:rPr>
          <w:spacing w:val="-11"/>
        </w:rPr>
        <w:t xml:space="preserve"> </w:t>
      </w:r>
      <w:r w:rsidRPr="00EC20A0">
        <w:t>the</w:t>
      </w:r>
      <w:r w:rsidRPr="00EC20A0">
        <w:rPr>
          <w:spacing w:val="-11"/>
        </w:rPr>
        <w:t xml:space="preserve"> </w:t>
      </w:r>
      <w:r w:rsidRPr="00EC20A0">
        <w:t>auditor</w:t>
      </w:r>
      <w:r w:rsidRPr="00EC20A0">
        <w:rPr>
          <w:spacing w:val="-10"/>
        </w:rPr>
        <w:t xml:space="preserve"> </w:t>
      </w:r>
      <w:r w:rsidRPr="00EC20A0">
        <w:t>with</w:t>
      </w:r>
      <w:r w:rsidRPr="00EC20A0">
        <w:rPr>
          <w:spacing w:val="-11"/>
        </w:rPr>
        <w:t xml:space="preserve"> </w:t>
      </w:r>
      <w:r w:rsidRPr="00EC20A0">
        <w:t>all</w:t>
      </w:r>
      <w:r w:rsidRPr="00EC20A0">
        <w:rPr>
          <w:spacing w:val="-10"/>
        </w:rPr>
        <w:t xml:space="preserve"> </w:t>
      </w:r>
      <w:r w:rsidRPr="00EC20A0">
        <w:t xml:space="preserve">relevant information and access, as applicable, as agreed upon in the terms of the </w:t>
      </w:r>
      <w:r w:rsidRPr="00EC20A0">
        <w:rPr>
          <w:spacing w:val="-2"/>
        </w:rPr>
        <w:t>engagement;</w:t>
      </w:r>
    </w:p>
    <w:p w14:paraId="24D609AE" w14:textId="77777777" w:rsidR="00245300" w:rsidRPr="00EC20A0" w:rsidRDefault="00F17249">
      <w:pPr>
        <w:pStyle w:val="ListParagraph"/>
        <w:numPr>
          <w:ilvl w:val="1"/>
          <w:numId w:val="172"/>
        </w:numPr>
        <w:tabs>
          <w:tab w:val="left" w:pos="1919"/>
        </w:tabs>
        <w:ind w:right="435"/>
      </w:pPr>
      <w:r w:rsidRPr="00EC20A0">
        <w:t>a statement that all known matters contradicting the subject matter and any communication from regulatory agencies or others affecting the subject matter have been disclosed to the auditor, including communications received</w:t>
      </w:r>
      <w:r w:rsidRPr="00EC20A0">
        <w:rPr>
          <w:spacing w:val="-4"/>
        </w:rPr>
        <w:t xml:space="preserve"> </w:t>
      </w:r>
      <w:r w:rsidRPr="00EC20A0">
        <w:t>between</w:t>
      </w:r>
      <w:r w:rsidRPr="00EC20A0">
        <w:rPr>
          <w:spacing w:val="-4"/>
        </w:rPr>
        <w:t xml:space="preserve"> </w:t>
      </w:r>
      <w:r w:rsidRPr="00EC20A0">
        <w:t>the</w:t>
      </w:r>
      <w:r w:rsidRPr="00EC20A0">
        <w:rPr>
          <w:spacing w:val="-4"/>
        </w:rPr>
        <w:t xml:space="preserve"> </w:t>
      </w:r>
      <w:r w:rsidRPr="00EC20A0">
        <w:t>end</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period</w:t>
      </w:r>
      <w:r w:rsidRPr="00EC20A0">
        <w:rPr>
          <w:spacing w:val="-4"/>
        </w:rPr>
        <w:t xml:space="preserve"> </w:t>
      </w:r>
      <w:r w:rsidRPr="00EC20A0">
        <w:t>addressed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subject</w:t>
      </w:r>
      <w:r w:rsidRPr="00EC20A0">
        <w:rPr>
          <w:spacing w:val="-4"/>
        </w:rPr>
        <w:t xml:space="preserve"> </w:t>
      </w:r>
      <w:r w:rsidRPr="00EC20A0">
        <w:t>matter</w:t>
      </w:r>
      <w:r w:rsidRPr="00EC20A0">
        <w:rPr>
          <w:spacing w:val="-4"/>
        </w:rPr>
        <w:t xml:space="preserve"> </w:t>
      </w:r>
      <w:r w:rsidRPr="00EC20A0">
        <w:t>and the date of the auditor’s report;</w:t>
      </w:r>
    </w:p>
    <w:p w14:paraId="24D609AF" w14:textId="77777777" w:rsidR="00245300" w:rsidRPr="00EC20A0" w:rsidRDefault="00F17249">
      <w:pPr>
        <w:pStyle w:val="ListParagraph"/>
        <w:numPr>
          <w:ilvl w:val="1"/>
          <w:numId w:val="172"/>
        </w:numPr>
        <w:tabs>
          <w:tab w:val="left" w:pos="1919"/>
        </w:tabs>
        <w:spacing w:before="239"/>
        <w:ind w:right="1644"/>
      </w:pPr>
      <w:r w:rsidRPr="00EC20A0">
        <w:t>a</w:t>
      </w:r>
      <w:r w:rsidRPr="00EC20A0">
        <w:rPr>
          <w:spacing w:val="-4"/>
        </w:rPr>
        <w:t xml:space="preserve"> </w:t>
      </w:r>
      <w:r w:rsidRPr="00EC20A0">
        <w:t>statement</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engaging</w:t>
      </w:r>
      <w:r w:rsidRPr="00EC20A0">
        <w:rPr>
          <w:spacing w:val="-4"/>
        </w:rPr>
        <w:t xml:space="preserve"> </w:t>
      </w:r>
      <w:r w:rsidRPr="00EC20A0">
        <w:t>party</w:t>
      </w:r>
      <w:r w:rsidRPr="00EC20A0">
        <w:rPr>
          <w:spacing w:val="-3"/>
        </w:rPr>
        <w:t xml:space="preserve"> </w:t>
      </w:r>
      <w:r w:rsidRPr="00EC20A0">
        <w:t>is</w:t>
      </w:r>
      <w:r w:rsidRPr="00EC20A0">
        <w:rPr>
          <w:spacing w:val="-4"/>
        </w:rPr>
        <w:t xml:space="preserve"> </w:t>
      </w:r>
      <w:r w:rsidRPr="00EC20A0">
        <w:t>not</w:t>
      </w:r>
      <w:r w:rsidRPr="00EC20A0">
        <w:rPr>
          <w:spacing w:val="-4"/>
        </w:rPr>
        <w:t xml:space="preserve"> </w:t>
      </w:r>
      <w:r w:rsidRPr="00EC20A0">
        <w:t>aware</w:t>
      </w:r>
      <w:r w:rsidRPr="00EC20A0">
        <w:rPr>
          <w:spacing w:val="-4"/>
        </w:rPr>
        <w:t xml:space="preserve"> </w:t>
      </w:r>
      <w:r w:rsidRPr="00EC20A0">
        <w:t>of</w:t>
      </w:r>
      <w:r w:rsidRPr="00EC20A0">
        <w:rPr>
          <w:spacing w:val="-4"/>
        </w:rPr>
        <w:t xml:space="preserve"> </w:t>
      </w:r>
      <w:r w:rsidRPr="00EC20A0">
        <w:t>any</w:t>
      </w:r>
      <w:r w:rsidRPr="00EC20A0">
        <w:rPr>
          <w:spacing w:val="-4"/>
        </w:rPr>
        <w:t xml:space="preserve"> </w:t>
      </w:r>
      <w:r w:rsidRPr="00EC20A0">
        <w:t>material misstatements in the subject matter;</w:t>
      </w:r>
    </w:p>
    <w:p w14:paraId="24D609B0" w14:textId="77777777" w:rsidR="00245300" w:rsidRPr="00EC20A0" w:rsidRDefault="00F17249">
      <w:pPr>
        <w:pStyle w:val="ListParagraph"/>
        <w:numPr>
          <w:ilvl w:val="1"/>
          <w:numId w:val="172"/>
        </w:numPr>
        <w:tabs>
          <w:tab w:val="left" w:pos="1919"/>
        </w:tabs>
        <w:spacing w:before="241"/>
        <w:ind w:right="424"/>
      </w:pPr>
      <w:r w:rsidRPr="00EC20A0">
        <w:t>a statement that the engaging party has disclosed to the auditor all known events</w:t>
      </w:r>
      <w:r w:rsidRPr="00EC20A0">
        <w:rPr>
          <w:spacing w:val="-3"/>
        </w:rPr>
        <w:t xml:space="preserve"> </w:t>
      </w:r>
      <w:r w:rsidRPr="00EC20A0">
        <w:t>subsequent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period</w:t>
      </w:r>
      <w:r w:rsidRPr="00EC20A0">
        <w:rPr>
          <w:spacing w:val="-3"/>
        </w:rPr>
        <w:t xml:space="preserve"> </w:t>
      </w:r>
      <w:r w:rsidRPr="00EC20A0">
        <w:t>(or</w:t>
      </w:r>
      <w:r w:rsidRPr="00EC20A0">
        <w:rPr>
          <w:spacing w:val="-5"/>
        </w:rPr>
        <w:t xml:space="preserve"> </w:t>
      </w:r>
      <w:r w:rsidRPr="00EC20A0">
        <w:t>point</w:t>
      </w:r>
      <w:r w:rsidRPr="00EC20A0">
        <w:rPr>
          <w:spacing w:val="-3"/>
        </w:rPr>
        <w:t xml:space="preserve"> </w:t>
      </w:r>
      <w:r w:rsidRPr="00EC20A0">
        <w:t>in</w:t>
      </w:r>
      <w:r w:rsidRPr="00EC20A0">
        <w:rPr>
          <w:spacing w:val="-3"/>
        </w:rPr>
        <w:t xml:space="preserve"> </w:t>
      </w:r>
      <w:r w:rsidRPr="00EC20A0">
        <w:t>time)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subject</w:t>
      </w:r>
      <w:r w:rsidRPr="00EC20A0">
        <w:rPr>
          <w:spacing w:val="-3"/>
        </w:rPr>
        <w:t xml:space="preserve"> </w:t>
      </w:r>
      <w:r w:rsidRPr="00EC20A0">
        <w:t>matter</w:t>
      </w:r>
      <w:r w:rsidRPr="00EC20A0">
        <w:rPr>
          <w:spacing w:val="-3"/>
        </w:rPr>
        <w:t xml:space="preserve"> </w:t>
      </w:r>
      <w:r w:rsidRPr="00EC20A0">
        <w:t>being reported on that would have a material effect on the subject matter; and</w:t>
      </w:r>
    </w:p>
    <w:p w14:paraId="24D609B1" w14:textId="77777777" w:rsidR="00245300" w:rsidRPr="00EC20A0" w:rsidRDefault="00F17249">
      <w:pPr>
        <w:pStyle w:val="ListParagraph"/>
        <w:numPr>
          <w:ilvl w:val="1"/>
          <w:numId w:val="172"/>
        </w:numPr>
        <w:tabs>
          <w:tab w:val="left" w:pos="1918"/>
        </w:tabs>
        <w:spacing w:before="239"/>
        <w:ind w:left="1918" w:hanging="359"/>
      </w:pPr>
      <w:r w:rsidRPr="00EC20A0">
        <w:t>any</w:t>
      </w:r>
      <w:r w:rsidRPr="00EC20A0">
        <w:rPr>
          <w:spacing w:val="-8"/>
        </w:rPr>
        <w:t xml:space="preserve"> </w:t>
      </w:r>
      <w:r w:rsidRPr="00EC20A0">
        <w:t>additional</w:t>
      </w:r>
      <w:r w:rsidRPr="00EC20A0">
        <w:rPr>
          <w:spacing w:val="-8"/>
        </w:rPr>
        <w:t xml:space="preserve"> </w:t>
      </w:r>
      <w:r w:rsidRPr="00EC20A0">
        <w:t>representations</w:t>
      </w:r>
      <w:r w:rsidRPr="00EC20A0">
        <w:rPr>
          <w:spacing w:val="-8"/>
        </w:rPr>
        <w:t xml:space="preserve"> </w:t>
      </w:r>
      <w:r w:rsidRPr="00EC20A0">
        <w:t>that</w:t>
      </w:r>
      <w:r w:rsidRPr="00EC20A0">
        <w:rPr>
          <w:spacing w:val="-8"/>
        </w:rPr>
        <w:t xml:space="preserve"> </w:t>
      </w:r>
      <w:r w:rsidRPr="00EC20A0">
        <w:t>the</w:t>
      </w:r>
      <w:r w:rsidRPr="00EC20A0">
        <w:rPr>
          <w:spacing w:val="-8"/>
        </w:rPr>
        <w:t xml:space="preserve"> </w:t>
      </w:r>
      <w:r w:rsidRPr="00EC20A0">
        <w:t>auditor</w:t>
      </w:r>
      <w:r w:rsidRPr="00EC20A0">
        <w:rPr>
          <w:spacing w:val="-7"/>
        </w:rPr>
        <w:t xml:space="preserve"> </w:t>
      </w:r>
      <w:r w:rsidRPr="00EC20A0">
        <w:t>determines</w:t>
      </w:r>
      <w:r w:rsidRPr="00EC20A0">
        <w:rPr>
          <w:spacing w:val="-8"/>
        </w:rPr>
        <w:t xml:space="preserve"> </w:t>
      </w:r>
      <w:r w:rsidRPr="00EC20A0">
        <w:t>are</w:t>
      </w:r>
      <w:r w:rsidRPr="00EC20A0">
        <w:rPr>
          <w:spacing w:val="-8"/>
        </w:rPr>
        <w:t xml:space="preserve"> </w:t>
      </w:r>
      <w:r w:rsidRPr="00EC20A0">
        <w:rPr>
          <w:spacing w:val="-2"/>
        </w:rPr>
        <w:t>appropriate.</w:t>
      </w:r>
    </w:p>
    <w:p w14:paraId="24D609B2" w14:textId="77777777" w:rsidR="00245300" w:rsidRPr="00EC20A0" w:rsidRDefault="00F17249">
      <w:pPr>
        <w:pStyle w:val="BodyText"/>
        <w:spacing w:before="240"/>
        <w:ind w:left="1559" w:right="414" w:hanging="1"/>
      </w:pPr>
      <w:r w:rsidRPr="00EC20A0">
        <w:t>FAM</w:t>
      </w:r>
      <w:r w:rsidRPr="00EC20A0">
        <w:rPr>
          <w:spacing w:val="-4"/>
        </w:rPr>
        <w:t xml:space="preserve"> </w:t>
      </w:r>
      <w:r w:rsidRPr="00EC20A0">
        <w:t>710</w:t>
      </w:r>
      <w:r w:rsidRPr="00EC20A0">
        <w:rPr>
          <w:spacing w:val="-3"/>
        </w:rPr>
        <w:t xml:space="preserve"> </w:t>
      </w:r>
      <w:r w:rsidRPr="00EC20A0">
        <w:t>B</w:t>
      </w:r>
      <w:r w:rsidRPr="00EC20A0">
        <w:rPr>
          <w:spacing w:val="-2"/>
        </w:rPr>
        <w:t xml:space="preserve"> </w:t>
      </w:r>
      <w:r w:rsidRPr="00EC20A0">
        <w:t>provides</w:t>
      </w:r>
      <w:r w:rsidRPr="00EC20A0">
        <w:rPr>
          <w:spacing w:val="-3"/>
        </w:rPr>
        <w:t xml:space="preserve"> </w:t>
      </w:r>
      <w:r w:rsidRPr="00EC20A0">
        <w:t>an</w:t>
      </w:r>
      <w:r w:rsidRPr="00EC20A0">
        <w:rPr>
          <w:spacing w:val="-4"/>
        </w:rPr>
        <w:t xml:space="preserve"> </w:t>
      </w:r>
      <w:r w:rsidRPr="00EC20A0">
        <w:t>example</w:t>
      </w:r>
      <w:r w:rsidRPr="00EC20A0">
        <w:rPr>
          <w:spacing w:val="-3"/>
        </w:rPr>
        <w:t xml:space="preserve"> </w:t>
      </w:r>
      <w:r w:rsidRPr="00EC20A0">
        <w:t>of</w:t>
      </w:r>
      <w:r w:rsidRPr="00EC20A0">
        <w:rPr>
          <w:spacing w:val="-3"/>
        </w:rPr>
        <w:t xml:space="preserve"> </w:t>
      </w:r>
      <w:r w:rsidRPr="00EC20A0">
        <w:t>an</w:t>
      </w:r>
      <w:r w:rsidRPr="00EC20A0">
        <w:rPr>
          <w:spacing w:val="-3"/>
        </w:rPr>
        <w:t xml:space="preserve"> </w:t>
      </w:r>
      <w:r w:rsidRPr="00EC20A0">
        <w:t>engaging</w:t>
      </w:r>
      <w:r w:rsidRPr="00EC20A0">
        <w:rPr>
          <w:spacing w:val="-4"/>
        </w:rPr>
        <w:t xml:space="preserve"> </w:t>
      </w:r>
      <w:r w:rsidRPr="00EC20A0">
        <w:t>party’s</w:t>
      </w:r>
      <w:r w:rsidRPr="00EC20A0">
        <w:rPr>
          <w:spacing w:val="-3"/>
        </w:rPr>
        <w:t xml:space="preserve"> </w:t>
      </w:r>
      <w:r w:rsidRPr="00EC20A0">
        <w:t>representation</w:t>
      </w:r>
      <w:r w:rsidRPr="00EC20A0">
        <w:rPr>
          <w:spacing w:val="-3"/>
        </w:rPr>
        <w:t xml:space="preserve"> </w:t>
      </w:r>
      <w:r w:rsidRPr="00EC20A0">
        <w:t>letter</w:t>
      </w:r>
      <w:r w:rsidRPr="00EC20A0">
        <w:rPr>
          <w:spacing w:val="-3"/>
        </w:rPr>
        <w:t xml:space="preserve"> </w:t>
      </w:r>
      <w:r w:rsidRPr="00EC20A0">
        <w:t>for an agreed-upon procedures engagement.</w:t>
      </w:r>
    </w:p>
    <w:p w14:paraId="24D609B3" w14:textId="77777777" w:rsidR="00245300" w:rsidRPr="00EC20A0" w:rsidRDefault="00F17249">
      <w:pPr>
        <w:pStyle w:val="ListParagraph"/>
        <w:numPr>
          <w:ilvl w:val="0"/>
          <w:numId w:val="172"/>
        </w:numPr>
        <w:tabs>
          <w:tab w:val="left" w:pos="1559"/>
        </w:tabs>
        <w:spacing w:before="130"/>
        <w:ind w:left="1559" w:right="304" w:hanging="720"/>
      </w:pPr>
      <w:r w:rsidRPr="00EC20A0">
        <w:t>When</w:t>
      </w:r>
      <w:r w:rsidRPr="00EC20A0">
        <w:rPr>
          <w:spacing w:val="-3"/>
        </w:rPr>
        <w:t xml:space="preserve"> </w:t>
      </w:r>
      <w:r w:rsidRPr="00EC20A0">
        <w:t>the</w:t>
      </w:r>
      <w:r w:rsidRPr="00EC20A0">
        <w:rPr>
          <w:spacing w:val="-3"/>
        </w:rPr>
        <w:t xml:space="preserve"> </w:t>
      </w:r>
      <w:r w:rsidRPr="00EC20A0">
        <w:t>engaging</w:t>
      </w:r>
      <w:r w:rsidRPr="00EC20A0">
        <w:rPr>
          <w:spacing w:val="-3"/>
        </w:rPr>
        <w:t xml:space="preserve"> </w:t>
      </w:r>
      <w:r w:rsidRPr="00EC20A0">
        <w:t>party</w:t>
      </w:r>
      <w:r w:rsidRPr="00EC20A0">
        <w:rPr>
          <w:spacing w:val="-3"/>
        </w:rPr>
        <w:t xml:space="preserve"> </w:t>
      </w:r>
      <w:r w:rsidRPr="00EC20A0">
        <w:t>is</w:t>
      </w:r>
      <w:r w:rsidRPr="00EC20A0">
        <w:rPr>
          <w:spacing w:val="-3"/>
        </w:rPr>
        <w:t xml:space="preserve"> </w:t>
      </w:r>
      <w:r w:rsidRPr="00EC20A0">
        <w:t>not</w:t>
      </w:r>
      <w:r w:rsidRPr="00EC20A0">
        <w:rPr>
          <w:spacing w:val="-2"/>
        </w:rPr>
        <w:t xml:space="preserve"> </w:t>
      </w:r>
      <w:r w:rsidRPr="00EC20A0">
        <w:t>the</w:t>
      </w:r>
      <w:r w:rsidRPr="00EC20A0">
        <w:rPr>
          <w:spacing w:val="-4"/>
        </w:rPr>
        <w:t xml:space="preserve"> </w:t>
      </w:r>
      <w:r w:rsidRPr="00EC20A0">
        <w:t>responsible</w:t>
      </w:r>
      <w:r w:rsidRPr="00EC20A0">
        <w:rPr>
          <w:spacing w:val="-6"/>
        </w:rPr>
        <w:t xml:space="preserve"> </w:t>
      </w:r>
      <w:r w:rsidRPr="00EC20A0">
        <w:t>party,</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4"/>
        </w:rPr>
        <w:t xml:space="preserve"> </w:t>
      </w:r>
      <w:r w:rsidRPr="00EC20A0">
        <w:t>consider requesting the relevant written representations pursuant to paragraph .10 from the responsible party. The responsible party should provide them in a letter addressed to the auditor. FAM 710 C provides an example of a responsible party’s representation letter for an agreed-upon procedures engagement.</w:t>
      </w:r>
    </w:p>
    <w:p w14:paraId="24D609B4" w14:textId="77777777" w:rsidR="00245300" w:rsidRPr="00EC20A0" w:rsidRDefault="00F17249">
      <w:pPr>
        <w:pStyle w:val="ListParagraph"/>
        <w:numPr>
          <w:ilvl w:val="0"/>
          <w:numId w:val="172"/>
        </w:numPr>
        <w:tabs>
          <w:tab w:val="left" w:pos="1559"/>
        </w:tabs>
        <w:spacing w:before="130"/>
        <w:ind w:left="1559" w:right="416"/>
      </w:pPr>
      <w:r w:rsidRPr="00EC20A0">
        <w:t>When one or more of the requested written representations are not provided, or the auditor concludes either that there is sufficient doubt about the competence, integrity, ethical values, or diligence of those providing the written representations</w:t>
      </w:r>
      <w:r w:rsidRPr="00EC20A0">
        <w:rPr>
          <w:spacing w:val="-4"/>
        </w:rPr>
        <w:t xml:space="preserve"> </w:t>
      </w:r>
      <w:r w:rsidRPr="00EC20A0">
        <w:t>or</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written</w:t>
      </w:r>
      <w:r w:rsidRPr="00EC20A0">
        <w:rPr>
          <w:spacing w:val="-4"/>
        </w:rPr>
        <w:t xml:space="preserve"> </w:t>
      </w:r>
      <w:r w:rsidRPr="00EC20A0">
        <w:t>representations</w:t>
      </w:r>
      <w:r w:rsidRPr="00EC20A0">
        <w:rPr>
          <w:spacing w:val="-4"/>
        </w:rPr>
        <w:t xml:space="preserve"> </w:t>
      </w:r>
      <w:r w:rsidRPr="00EC20A0">
        <w:t>are</w:t>
      </w:r>
      <w:r w:rsidRPr="00EC20A0">
        <w:rPr>
          <w:spacing w:val="-4"/>
        </w:rPr>
        <w:t xml:space="preserve"> </w:t>
      </w:r>
      <w:r w:rsidRPr="00EC20A0">
        <w:t>otherwise</w:t>
      </w:r>
      <w:r w:rsidRPr="00EC20A0">
        <w:rPr>
          <w:spacing w:val="-4"/>
        </w:rPr>
        <w:t xml:space="preserve"> </w:t>
      </w:r>
      <w:r w:rsidRPr="00EC20A0">
        <w:t>not</w:t>
      </w:r>
      <w:r w:rsidRPr="00EC20A0">
        <w:rPr>
          <w:spacing w:val="-4"/>
        </w:rPr>
        <w:t xml:space="preserve"> </w:t>
      </w:r>
      <w:r w:rsidRPr="00EC20A0">
        <w:t>reliable,</w:t>
      </w:r>
      <w:r w:rsidRPr="00EC20A0">
        <w:rPr>
          <w:spacing w:val="-4"/>
        </w:rPr>
        <w:t xml:space="preserve"> </w:t>
      </w:r>
      <w:r w:rsidRPr="00EC20A0">
        <w:t>the auditor should</w:t>
      </w:r>
    </w:p>
    <w:p w14:paraId="24D609B5" w14:textId="77777777" w:rsidR="00245300" w:rsidRPr="00EC20A0" w:rsidRDefault="00F17249">
      <w:pPr>
        <w:pStyle w:val="ListParagraph"/>
        <w:numPr>
          <w:ilvl w:val="1"/>
          <w:numId w:val="172"/>
        </w:numPr>
        <w:tabs>
          <w:tab w:val="left" w:pos="1918"/>
        </w:tabs>
        <w:spacing w:before="241"/>
        <w:ind w:left="1918" w:hanging="359"/>
      </w:pPr>
      <w:r w:rsidRPr="00EC20A0">
        <w:t>discuss</w:t>
      </w:r>
      <w:r w:rsidRPr="00EC20A0">
        <w:rPr>
          <w:spacing w:val="-6"/>
        </w:rPr>
        <w:t xml:space="preserve"> </w:t>
      </w:r>
      <w:r w:rsidRPr="00EC20A0">
        <w:t>the</w:t>
      </w:r>
      <w:r w:rsidRPr="00EC20A0">
        <w:rPr>
          <w:spacing w:val="-7"/>
        </w:rPr>
        <w:t xml:space="preserve"> </w:t>
      </w:r>
      <w:r w:rsidRPr="00EC20A0">
        <w:t>matter</w:t>
      </w:r>
      <w:r w:rsidRPr="00EC20A0">
        <w:rPr>
          <w:spacing w:val="-6"/>
        </w:rPr>
        <w:t xml:space="preserve"> </w:t>
      </w:r>
      <w:r w:rsidRPr="00EC20A0">
        <w:t>with</w:t>
      </w:r>
      <w:r w:rsidRPr="00EC20A0">
        <w:rPr>
          <w:spacing w:val="-6"/>
        </w:rPr>
        <w:t xml:space="preserve"> </w:t>
      </w:r>
      <w:r w:rsidRPr="00EC20A0">
        <w:t>the</w:t>
      </w:r>
      <w:r w:rsidRPr="00EC20A0">
        <w:rPr>
          <w:spacing w:val="-5"/>
        </w:rPr>
        <w:t xml:space="preserve"> </w:t>
      </w:r>
      <w:r w:rsidRPr="00EC20A0">
        <w:t>engaging</w:t>
      </w:r>
      <w:r w:rsidRPr="00EC20A0">
        <w:rPr>
          <w:spacing w:val="-7"/>
        </w:rPr>
        <w:t xml:space="preserve"> </w:t>
      </w:r>
      <w:r w:rsidRPr="00EC20A0">
        <w:t>or</w:t>
      </w:r>
      <w:r w:rsidRPr="00EC20A0">
        <w:rPr>
          <w:spacing w:val="-6"/>
        </w:rPr>
        <w:t xml:space="preserve"> </w:t>
      </w:r>
      <w:r w:rsidRPr="00EC20A0">
        <w:t>responsible</w:t>
      </w:r>
      <w:r w:rsidRPr="00EC20A0">
        <w:rPr>
          <w:spacing w:val="-6"/>
        </w:rPr>
        <w:t xml:space="preserve"> </w:t>
      </w:r>
      <w:r w:rsidRPr="00EC20A0">
        <w:t>party,</w:t>
      </w:r>
      <w:r w:rsidRPr="00EC20A0">
        <w:rPr>
          <w:spacing w:val="-5"/>
        </w:rPr>
        <w:t xml:space="preserve"> </w:t>
      </w:r>
      <w:r w:rsidRPr="00EC20A0">
        <w:t>as</w:t>
      </w:r>
      <w:r w:rsidRPr="00EC20A0">
        <w:rPr>
          <w:spacing w:val="-7"/>
        </w:rPr>
        <w:t xml:space="preserve"> </w:t>
      </w:r>
      <w:r w:rsidRPr="00EC20A0">
        <w:rPr>
          <w:spacing w:val="-2"/>
        </w:rPr>
        <w:t>appropriate;</w:t>
      </w:r>
    </w:p>
    <w:p w14:paraId="24D609B6" w14:textId="77777777" w:rsidR="00245300" w:rsidRPr="00EC20A0" w:rsidRDefault="00F17249">
      <w:pPr>
        <w:pStyle w:val="ListParagraph"/>
        <w:numPr>
          <w:ilvl w:val="1"/>
          <w:numId w:val="172"/>
        </w:numPr>
        <w:tabs>
          <w:tab w:val="left" w:pos="1919"/>
        </w:tabs>
        <w:spacing w:before="239"/>
        <w:ind w:right="923"/>
      </w:pPr>
      <w:r w:rsidRPr="00EC20A0">
        <w:t>reevaluate the integrity of those from whom the representations were requested</w:t>
      </w:r>
      <w:r w:rsidRPr="00EC20A0">
        <w:rPr>
          <w:spacing w:val="-3"/>
        </w:rPr>
        <w:t xml:space="preserve"> </w:t>
      </w:r>
      <w:r w:rsidRPr="00EC20A0">
        <w:t>or</w:t>
      </w:r>
      <w:r w:rsidRPr="00EC20A0">
        <w:rPr>
          <w:spacing w:val="-3"/>
        </w:rPr>
        <w:t xml:space="preserve"> </w:t>
      </w:r>
      <w:r w:rsidRPr="00EC20A0">
        <w:t>received</w:t>
      </w:r>
      <w:r w:rsidRPr="00EC20A0">
        <w:rPr>
          <w:spacing w:val="-3"/>
        </w:rPr>
        <w:t xml:space="preserve"> </w:t>
      </w:r>
      <w:r w:rsidRPr="00EC20A0">
        <w:t>and</w:t>
      </w:r>
      <w:r w:rsidRPr="00EC20A0">
        <w:rPr>
          <w:spacing w:val="-3"/>
        </w:rPr>
        <w:t xml:space="preserve"> </w:t>
      </w:r>
      <w:r w:rsidRPr="00EC20A0">
        <w:t>evaluate</w:t>
      </w:r>
      <w:r w:rsidRPr="00EC20A0">
        <w:rPr>
          <w:spacing w:val="-4"/>
        </w:rPr>
        <w:t xml:space="preserve"> </w:t>
      </w:r>
      <w:r w:rsidRPr="00EC20A0">
        <w:t>the</w:t>
      </w:r>
      <w:r w:rsidRPr="00EC20A0">
        <w:rPr>
          <w:spacing w:val="-3"/>
        </w:rPr>
        <w:t xml:space="preserve"> </w:t>
      </w:r>
      <w:r w:rsidRPr="00EC20A0">
        <w:t>effect</w:t>
      </w:r>
      <w:r w:rsidRPr="00EC20A0">
        <w:rPr>
          <w:spacing w:val="-3"/>
        </w:rPr>
        <w:t xml:space="preserve"> </w:t>
      </w:r>
      <w:r w:rsidRPr="00EC20A0">
        <w:t>that</w:t>
      </w:r>
      <w:r w:rsidRPr="00EC20A0">
        <w:rPr>
          <w:spacing w:val="-3"/>
        </w:rPr>
        <w:t xml:space="preserve"> </w:t>
      </w:r>
      <w:r w:rsidRPr="00EC20A0">
        <w:t>this</w:t>
      </w:r>
      <w:r w:rsidRPr="00EC20A0">
        <w:rPr>
          <w:spacing w:val="-3"/>
        </w:rPr>
        <w:t xml:space="preserve"> </w:t>
      </w:r>
      <w:r w:rsidRPr="00EC20A0">
        <w:t>may</w:t>
      </w:r>
      <w:r w:rsidRPr="00EC20A0">
        <w:rPr>
          <w:spacing w:val="-4"/>
        </w:rPr>
        <w:t xml:space="preserve"> </w:t>
      </w:r>
      <w:r w:rsidRPr="00EC20A0">
        <w:t>have</w:t>
      </w:r>
      <w:r w:rsidRPr="00EC20A0">
        <w:rPr>
          <w:spacing w:val="-3"/>
        </w:rPr>
        <w:t xml:space="preserve"> </w:t>
      </w:r>
      <w:r w:rsidRPr="00EC20A0">
        <w:t>on</w:t>
      </w:r>
      <w:r w:rsidRPr="00EC20A0">
        <w:rPr>
          <w:spacing w:val="-3"/>
        </w:rPr>
        <w:t xml:space="preserve"> </w:t>
      </w:r>
      <w:r w:rsidRPr="00EC20A0">
        <w:t>the reliability of representations and evidence in general; and</w:t>
      </w:r>
    </w:p>
    <w:p w14:paraId="24D609B7" w14:textId="77777777" w:rsidR="00245300" w:rsidRPr="00EC20A0" w:rsidRDefault="00F17249">
      <w:pPr>
        <w:pStyle w:val="ListParagraph"/>
        <w:numPr>
          <w:ilvl w:val="1"/>
          <w:numId w:val="172"/>
        </w:numPr>
        <w:tabs>
          <w:tab w:val="left" w:pos="1919"/>
        </w:tabs>
        <w:spacing w:before="241"/>
        <w:ind w:right="497"/>
      </w:pPr>
      <w:r w:rsidRPr="00EC20A0">
        <w:t xml:space="preserve">if any of the matters are not resolved to the auditor’s </w:t>
      </w:r>
      <w:r w:rsidRPr="00EC20A0">
        <w:t>satisfaction, take appropriate</w:t>
      </w:r>
      <w:r w:rsidRPr="00EC20A0">
        <w:rPr>
          <w:spacing w:val="-6"/>
        </w:rPr>
        <w:t xml:space="preserve"> </w:t>
      </w:r>
      <w:r w:rsidRPr="00EC20A0">
        <w:t>action,</w:t>
      </w:r>
      <w:r w:rsidRPr="00EC20A0">
        <w:rPr>
          <w:spacing w:val="-5"/>
        </w:rPr>
        <w:t xml:space="preserve"> </w:t>
      </w:r>
      <w:r w:rsidRPr="00EC20A0">
        <w:t>including</w:t>
      </w:r>
      <w:r w:rsidRPr="00EC20A0">
        <w:rPr>
          <w:spacing w:val="-5"/>
        </w:rPr>
        <w:t xml:space="preserve"> </w:t>
      </w:r>
      <w:r w:rsidRPr="00EC20A0">
        <w:t>determining</w:t>
      </w:r>
      <w:r w:rsidRPr="00EC20A0">
        <w:rPr>
          <w:spacing w:val="-5"/>
        </w:rPr>
        <w:t xml:space="preserve"> </w:t>
      </w:r>
      <w:r w:rsidRPr="00EC20A0">
        <w:t>the</w:t>
      </w:r>
      <w:r w:rsidRPr="00EC20A0">
        <w:rPr>
          <w:spacing w:val="-5"/>
        </w:rPr>
        <w:t xml:space="preserve"> </w:t>
      </w:r>
      <w:r w:rsidRPr="00EC20A0">
        <w:t>possible</w:t>
      </w:r>
      <w:r w:rsidRPr="00EC20A0">
        <w:rPr>
          <w:spacing w:val="-5"/>
        </w:rPr>
        <w:t xml:space="preserve"> </w:t>
      </w:r>
      <w:r w:rsidRPr="00EC20A0">
        <w:t>effect</w:t>
      </w:r>
      <w:r w:rsidRPr="00EC20A0">
        <w:rPr>
          <w:spacing w:val="-6"/>
        </w:rPr>
        <w:t xml:space="preserve"> </w:t>
      </w:r>
      <w:r w:rsidRPr="00EC20A0">
        <w:t>on</w:t>
      </w:r>
      <w:r w:rsidRPr="00EC20A0">
        <w:rPr>
          <w:spacing w:val="-5"/>
        </w:rPr>
        <w:t xml:space="preserve"> </w:t>
      </w:r>
      <w:r w:rsidRPr="00EC20A0">
        <w:t>the</w:t>
      </w:r>
      <w:r w:rsidRPr="00EC20A0">
        <w:rPr>
          <w:spacing w:val="-5"/>
        </w:rPr>
        <w:t xml:space="preserve"> </w:t>
      </w:r>
      <w:r w:rsidRPr="00EC20A0">
        <w:t>auditor’s agreed-upon procedures report (AT-C 215.30).</w:t>
      </w:r>
    </w:p>
    <w:p w14:paraId="24D609B8" w14:textId="77777777" w:rsidR="00245300" w:rsidRPr="00EC20A0" w:rsidRDefault="00245300">
      <w:pPr>
        <w:sectPr w:rsidR="00245300" w:rsidRPr="00EC20A0">
          <w:pgSz w:w="12240" w:h="15840"/>
          <w:pgMar w:top="1340" w:right="1140" w:bottom="940" w:left="1320" w:header="721" w:footer="757" w:gutter="0"/>
          <w:cols w:space="720"/>
        </w:sectPr>
      </w:pPr>
    </w:p>
    <w:p w14:paraId="24D609B9" w14:textId="77777777" w:rsidR="00245300" w:rsidRPr="00EC20A0" w:rsidRDefault="00F17249">
      <w:pPr>
        <w:pStyle w:val="Heading4"/>
        <w:spacing w:before="121"/>
        <w:ind w:left="120"/>
      </w:pPr>
      <w:bookmarkStart w:id="154" w:name="Documentation"/>
      <w:bookmarkEnd w:id="154"/>
      <w:r w:rsidRPr="00EC20A0">
        <w:rPr>
          <w:spacing w:val="-2"/>
        </w:rPr>
        <w:t>Documentation</w:t>
      </w:r>
    </w:p>
    <w:p w14:paraId="24D609BA" w14:textId="77777777" w:rsidR="00245300" w:rsidRPr="00EC20A0" w:rsidRDefault="00F17249">
      <w:pPr>
        <w:pStyle w:val="ListParagraph"/>
        <w:numPr>
          <w:ilvl w:val="0"/>
          <w:numId w:val="172"/>
        </w:numPr>
        <w:tabs>
          <w:tab w:val="left" w:pos="1560"/>
        </w:tabs>
        <w:spacing w:before="300"/>
        <w:ind w:right="659"/>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prepare</w:t>
      </w:r>
      <w:r w:rsidRPr="00EC20A0">
        <w:rPr>
          <w:spacing w:val="-3"/>
        </w:rPr>
        <w:t xml:space="preserve"> </w:t>
      </w:r>
      <w:r w:rsidRPr="00EC20A0">
        <w:t>engagement</w:t>
      </w:r>
      <w:r w:rsidRPr="00EC20A0">
        <w:rPr>
          <w:spacing w:val="-4"/>
        </w:rPr>
        <w:t xml:space="preserve"> </w:t>
      </w:r>
      <w:r w:rsidRPr="00EC20A0">
        <w:t>documentation</w:t>
      </w:r>
      <w:r w:rsidRPr="00EC20A0">
        <w:rPr>
          <w:spacing w:val="-4"/>
        </w:rPr>
        <w:t xml:space="preserve"> </w:t>
      </w:r>
      <w:r w:rsidRPr="00EC20A0">
        <w:t>on</w:t>
      </w:r>
      <w:r w:rsidRPr="00EC20A0">
        <w:rPr>
          <w:spacing w:val="-5"/>
        </w:rPr>
        <w:t xml:space="preserve"> </w:t>
      </w:r>
      <w:r w:rsidRPr="00EC20A0">
        <w:t>a</w:t>
      </w:r>
      <w:r w:rsidRPr="00EC20A0">
        <w:rPr>
          <w:spacing w:val="-4"/>
        </w:rPr>
        <w:t xml:space="preserve"> </w:t>
      </w:r>
      <w:r w:rsidRPr="00EC20A0">
        <w:t>timely</w:t>
      </w:r>
      <w:r w:rsidRPr="00EC20A0">
        <w:rPr>
          <w:spacing w:val="-4"/>
        </w:rPr>
        <w:t xml:space="preserve"> </w:t>
      </w:r>
      <w:r w:rsidRPr="00EC20A0">
        <w:t>basis</w:t>
      </w:r>
      <w:r w:rsidRPr="00EC20A0">
        <w:rPr>
          <w:spacing w:val="-4"/>
        </w:rPr>
        <w:t xml:space="preserve"> </w:t>
      </w:r>
      <w:r w:rsidRPr="00EC20A0">
        <w:t>that includes the following:</w:t>
      </w:r>
    </w:p>
    <w:p w14:paraId="24D609BB" w14:textId="77777777" w:rsidR="00245300" w:rsidRPr="00EC20A0" w:rsidRDefault="00F17249">
      <w:pPr>
        <w:pStyle w:val="ListParagraph"/>
        <w:numPr>
          <w:ilvl w:val="1"/>
          <w:numId w:val="172"/>
        </w:numPr>
        <w:tabs>
          <w:tab w:val="left" w:pos="1919"/>
        </w:tabs>
        <w:ind w:right="498"/>
      </w:pPr>
      <w:r w:rsidRPr="00EC20A0">
        <w:t>the written agreement and acknowledgment from the engaging party regarding</w:t>
      </w:r>
      <w:r w:rsidRPr="00EC20A0">
        <w:rPr>
          <w:spacing w:val="-5"/>
        </w:rPr>
        <w:t xml:space="preserve"> </w:t>
      </w:r>
      <w:r w:rsidRPr="00EC20A0">
        <w:t>the</w:t>
      </w:r>
      <w:r w:rsidRPr="00EC20A0">
        <w:rPr>
          <w:spacing w:val="-5"/>
        </w:rPr>
        <w:t xml:space="preserve"> </w:t>
      </w:r>
      <w:r w:rsidRPr="00EC20A0">
        <w:t>appropriateness</w:t>
      </w:r>
      <w:r w:rsidRPr="00EC20A0">
        <w:rPr>
          <w:spacing w:val="-5"/>
        </w:rPr>
        <w:t xml:space="preserve"> </w:t>
      </w:r>
      <w:r w:rsidRPr="00EC20A0">
        <w:t>of</w:t>
      </w:r>
      <w:r w:rsidRPr="00EC20A0">
        <w:rPr>
          <w:spacing w:val="-5"/>
        </w:rPr>
        <w:t xml:space="preserve"> </w:t>
      </w:r>
      <w:r w:rsidRPr="00EC20A0">
        <w:t>the</w:t>
      </w:r>
      <w:r w:rsidRPr="00EC20A0">
        <w:rPr>
          <w:spacing w:val="-6"/>
        </w:rPr>
        <w:t xml:space="preserve"> </w:t>
      </w:r>
      <w:r w:rsidRPr="00EC20A0">
        <w:t>procedures</w:t>
      </w:r>
      <w:r w:rsidRPr="00EC20A0">
        <w:rPr>
          <w:spacing w:val="-6"/>
        </w:rPr>
        <w:t xml:space="preserve"> </w:t>
      </w:r>
      <w:r w:rsidRPr="00EC20A0">
        <w:t>performed</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intended purpose of the engagement;</w:t>
      </w:r>
    </w:p>
    <w:p w14:paraId="24D609BC" w14:textId="77777777" w:rsidR="00245300" w:rsidRPr="00EC20A0" w:rsidRDefault="00F17249">
      <w:pPr>
        <w:pStyle w:val="ListParagraph"/>
        <w:numPr>
          <w:ilvl w:val="1"/>
          <w:numId w:val="172"/>
        </w:numPr>
        <w:tabs>
          <w:tab w:val="left" w:pos="1919"/>
        </w:tabs>
        <w:spacing w:before="239"/>
        <w:ind w:right="717"/>
        <w:jc w:val="both"/>
      </w:pPr>
      <w:r w:rsidRPr="00EC20A0">
        <w:t>the</w:t>
      </w:r>
      <w:r w:rsidRPr="00EC20A0">
        <w:rPr>
          <w:spacing w:val="-4"/>
        </w:rPr>
        <w:t xml:space="preserve"> </w:t>
      </w:r>
      <w:r w:rsidRPr="00EC20A0">
        <w:t>nature,</w:t>
      </w:r>
      <w:r w:rsidRPr="00EC20A0">
        <w:rPr>
          <w:spacing w:val="-4"/>
        </w:rPr>
        <w:t xml:space="preserve"> </w:t>
      </w:r>
      <w:r w:rsidRPr="00EC20A0">
        <w:t>timing,</w:t>
      </w:r>
      <w:r w:rsidRPr="00EC20A0">
        <w:rPr>
          <w:spacing w:val="-4"/>
        </w:rPr>
        <w:t xml:space="preserve"> </w:t>
      </w:r>
      <w:r w:rsidRPr="00EC20A0">
        <w:t>and</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procedures</w:t>
      </w:r>
      <w:r w:rsidRPr="00EC20A0">
        <w:rPr>
          <w:spacing w:val="-5"/>
        </w:rPr>
        <w:t xml:space="preserve"> </w:t>
      </w:r>
      <w:r w:rsidRPr="00EC20A0">
        <w:t>performed</w:t>
      </w:r>
      <w:r w:rsidRPr="00EC20A0">
        <w:rPr>
          <w:spacing w:val="-4"/>
        </w:rPr>
        <w:t xml:space="preserve"> </w:t>
      </w:r>
      <w:r w:rsidRPr="00EC20A0">
        <w:t>to</w:t>
      </w:r>
      <w:r w:rsidRPr="00EC20A0">
        <w:rPr>
          <w:spacing w:val="-4"/>
        </w:rPr>
        <w:t xml:space="preserve"> </w:t>
      </w:r>
      <w:r w:rsidRPr="00EC20A0">
        <w:t>comply</w:t>
      </w:r>
      <w:r w:rsidRPr="00EC20A0">
        <w:rPr>
          <w:spacing w:val="-4"/>
        </w:rPr>
        <w:t xml:space="preserve"> </w:t>
      </w:r>
      <w:r w:rsidRPr="00EC20A0">
        <w:t>with relevant</w:t>
      </w:r>
      <w:r w:rsidRPr="00EC20A0">
        <w:rPr>
          <w:spacing w:val="-1"/>
        </w:rPr>
        <w:t xml:space="preserve"> </w:t>
      </w:r>
      <w:r w:rsidRPr="00EC20A0">
        <w:t>AT-C</w:t>
      </w:r>
      <w:r w:rsidRPr="00EC20A0">
        <w:rPr>
          <w:spacing w:val="-2"/>
        </w:rPr>
        <w:t xml:space="preserve"> </w:t>
      </w:r>
      <w:r w:rsidRPr="00EC20A0">
        <w:t>sections</w:t>
      </w:r>
      <w:r w:rsidRPr="00EC20A0">
        <w:rPr>
          <w:spacing w:val="-1"/>
        </w:rPr>
        <w:t xml:space="preserve"> </w:t>
      </w:r>
      <w:r w:rsidRPr="00EC20A0">
        <w:t>and</w:t>
      </w:r>
      <w:r w:rsidRPr="00EC20A0">
        <w:rPr>
          <w:spacing w:val="-1"/>
        </w:rPr>
        <w:t xml:space="preserve"> </w:t>
      </w:r>
      <w:r w:rsidRPr="00EC20A0">
        <w:t>applicable</w:t>
      </w:r>
      <w:r w:rsidRPr="00EC20A0">
        <w:rPr>
          <w:spacing w:val="-1"/>
        </w:rPr>
        <w:t xml:space="preserve"> </w:t>
      </w:r>
      <w:r w:rsidRPr="00EC20A0">
        <w:t>legal</w:t>
      </w:r>
      <w:r w:rsidRPr="00EC20A0">
        <w:rPr>
          <w:spacing w:val="-1"/>
        </w:rPr>
        <w:t xml:space="preserve"> </w:t>
      </w:r>
      <w:r w:rsidRPr="00EC20A0">
        <w:t>and</w:t>
      </w:r>
      <w:r w:rsidRPr="00EC20A0">
        <w:rPr>
          <w:spacing w:val="-1"/>
        </w:rPr>
        <w:t xml:space="preserve"> </w:t>
      </w:r>
      <w:r w:rsidRPr="00EC20A0">
        <w:t>regulatory</w:t>
      </w:r>
      <w:r w:rsidRPr="00EC20A0">
        <w:rPr>
          <w:spacing w:val="-1"/>
        </w:rPr>
        <w:t xml:space="preserve"> </w:t>
      </w:r>
      <w:r w:rsidRPr="00EC20A0">
        <w:t xml:space="preserve">requirements, </w:t>
      </w:r>
      <w:r w:rsidRPr="00EC20A0">
        <w:rPr>
          <w:spacing w:val="-2"/>
        </w:rPr>
        <w:t>including</w:t>
      </w:r>
    </w:p>
    <w:p w14:paraId="24D609BD" w14:textId="77777777" w:rsidR="00245300" w:rsidRPr="00EC20A0" w:rsidRDefault="00F17249">
      <w:pPr>
        <w:pStyle w:val="ListParagraph"/>
        <w:numPr>
          <w:ilvl w:val="2"/>
          <w:numId w:val="172"/>
        </w:numPr>
        <w:tabs>
          <w:tab w:val="left" w:pos="2278"/>
        </w:tabs>
        <w:spacing w:before="241"/>
        <w:ind w:left="2278" w:hanging="282"/>
        <w:jc w:val="left"/>
      </w:pPr>
      <w:r w:rsidRPr="00EC20A0">
        <w:t>the</w:t>
      </w:r>
      <w:r w:rsidRPr="00EC20A0">
        <w:rPr>
          <w:spacing w:val="-7"/>
        </w:rPr>
        <w:t xml:space="preserve"> </w:t>
      </w:r>
      <w:r w:rsidRPr="00EC20A0">
        <w:t>identifying</w:t>
      </w:r>
      <w:r w:rsidRPr="00EC20A0">
        <w:rPr>
          <w:spacing w:val="-7"/>
        </w:rPr>
        <w:t xml:space="preserve"> </w:t>
      </w:r>
      <w:r w:rsidRPr="00EC20A0">
        <w:t>characteristics</w:t>
      </w:r>
      <w:r w:rsidRPr="00EC20A0">
        <w:rPr>
          <w:spacing w:val="-7"/>
        </w:rPr>
        <w:t xml:space="preserve"> </w:t>
      </w:r>
      <w:r w:rsidRPr="00EC20A0">
        <w:t>of</w:t>
      </w:r>
      <w:r w:rsidRPr="00EC20A0">
        <w:rPr>
          <w:spacing w:val="-7"/>
        </w:rPr>
        <w:t xml:space="preserve"> </w:t>
      </w:r>
      <w:r w:rsidRPr="00EC20A0">
        <w:t>the</w:t>
      </w:r>
      <w:r w:rsidRPr="00EC20A0">
        <w:rPr>
          <w:spacing w:val="-8"/>
        </w:rPr>
        <w:t xml:space="preserve"> </w:t>
      </w:r>
      <w:r w:rsidRPr="00EC20A0">
        <w:t>specific</w:t>
      </w:r>
      <w:r w:rsidRPr="00EC20A0">
        <w:rPr>
          <w:spacing w:val="-7"/>
        </w:rPr>
        <w:t xml:space="preserve"> </w:t>
      </w:r>
      <w:r w:rsidRPr="00EC20A0">
        <w:t>items</w:t>
      </w:r>
      <w:r w:rsidRPr="00EC20A0">
        <w:rPr>
          <w:spacing w:val="-7"/>
        </w:rPr>
        <w:t xml:space="preserve"> </w:t>
      </w:r>
      <w:r w:rsidRPr="00EC20A0">
        <w:t>or</w:t>
      </w:r>
      <w:r w:rsidRPr="00EC20A0">
        <w:rPr>
          <w:spacing w:val="-6"/>
        </w:rPr>
        <w:t xml:space="preserve"> </w:t>
      </w:r>
      <w:r w:rsidRPr="00EC20A0">
        <w:t>matters</w:t>
      </w:r>
      <w:r w:rsidRPr="00EC20A0">
        <w:rPr>
          <w:spacing w:val="-7"/>
        </w:rPr>
        <w:t xml:space="preserve"> </w:t>
      </w:r>
      <w:r w:rsidRPr="00EC20A0">
        <w:rPr>
          <w:spacing w:val="-2"/>
        </w:rPr>
        <w:t>tested;</w:t>
      </w:r>
    </w:p>
    <w:p w14:paraId="24D609BE" w14:textId="77777777" w:rsidR="00245300" w:rsidRPr="00EC20A0" w:rsidRDefault="00F17249">
      <w:pPr>
        <w:pStyle w:val="ListParagraph"/>
        <w:numPr>
          <w:ilvl w:val="2"/>
          <w:numId w:val="172"/>
        </w:numPr>
        <w:tabs>
          <w:tab w:val="left" w:pos="2276"/>
          <w:tab w:val="left" w:pos="2279"/>
        </w:tabs>
        <w:spacing w:before="239"/>
        <w:ind w:right="1067" w:hanging="333"/>
        <w:jc w:val="left"/>
      </w:pPr>
      <w:r w:rsidRPr="00EC20A0">
        <w:t>who</w:t>
      </w:r>
      <w:r w:rsidRPr="00EC20A0">
        <w:rPr>
          <w:spacing w:val="-4"/>
        </w:rPr>
        <w:t xml:space="preserve"> </w:t>
      </w:r>
      <w:r w:rsidRPr="00EC20A0">
        <w:t>performed</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work</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date</w:t>
      </w:r>
      <w:r w:rsidRPr="00EC20A0">
        <w:rPr>
          <w:spacing w:val="-4"/>
        </w:rPr>
        <w:t xml:space="preserve"> </w:t>
      </w:r>
      <w:r w:rsidRPr="00EC20A0">
        <w:t>such</w:t>
      </w:r>
      <w:r w:rsidRPr="00EC20A0">
        <w:rPr>
          <w:spacing w:val="-4"/>
        </w:rPr>
        <w:t xml:space="preserve"> </w:t>
      </w:r>
      <w:r w:rsidRPr="00EC20A0">
        <w:t>work</w:t>
      </w:r>
      <w:r w:rsidRPr="00EC20A0">
        <w:rPr>
          <w:spacing w:val="-4"/>
        </w:rPr>
        <w:t xml:space="preserve"> </w:t>
      </w:r>
      <w:r w:rsidRPr="00EC20A0">
        <w:t xml:space="preserve">was </w:t>
      </w:r>
      <w:r w:rsidRPr="00EC20A0">
        <w:rPr>
          <w:spacing w:val="-2"/>
        </w:rPr>
        <w:t>completed;</w:t>
      </w:r>
    </w:p>
    <w:p w14:paraId="24D609BF" w14:textId="77777777" w:rsidR="00245300" w:rsidRPr="00EC20A0" w:rsidRDefault="00F17249">
      <w:pPr>
        <w:pStyle w:val="ListParagraph"/>
        <w:numPr>
          <w:ilvl w:val="2"/>
          <w:numId w:val="172"/>
        </w:numPr>
        <w:tabs>
          <w:tab w:val="left" w:pos="2276"/>
          <w:tab w:val="left" w:pos="2279"/>
        </w:tabs>
        <w:ind w:right="419" w:hanging="381"/>
        <w:jc w:val="left"/>
      </w:pPr>
      <w:r w:rsidRPr="00EC20A0">
        <w:t>when the appropriate party will not provide one or more of the requested written representations or the auditor concludes either that there is sufficient doubt about the competence, integrity, ethical values, or diligence</w:t>
      </w:r>
      <w:r w:rsidRPr="00EC20A0">
        <w:rPr>
          <w:spacing w:val="-4"/>
        </w:rPr>
        <w:t xml:space="preserve"> </w:t>
      </w:r>
      <w:r w:rsidRPr="00EC20A0">
        <w:t>of</w:t>
      </w:r>
      <w:r w:rsidRPr="00EC20A0">
        <w:rPr>
          <w:spacing w:val="-5"/>
        </w:rPr>
        <w:t xml:space="preserve"> </w:t>
      </w:r>
      <w:r w:rsidRPr="00EC20A0">
        <w:t>those</w:t>
      </w:r>
      <w:r w:rsidRPr="00EC20A0">
        <w:rPr>
          <w:spacing w:val="-4"/>
        </w:rPr>
        <w:t xml:space="preserve"> </w:t>
      </w:r>
      <w:r w:rsidRPr="00EC20A0">
        <w:t>providing</w:t>
      </w:r>
      <w:r w:rsidRPr="00EC20A0">
        <w:rPr>
          <w:spacing w:val="-4"/>
        </w:rPr>
        <w:t xml:space="preserve"> </w:t>
      </w:r>
      <w:r w:rsidRPr="00EC20A0">
        <w:t>the</w:t>
      </w:r>
      <w:r w:rsidRPr="00EC20A0">
        <w:rPr>
          <w:spacing w:val="-4"/>
        </w:rPr>
        <w:t xml:space="preserve"> </w:t>
      </w:r>
      <w:r w:rsidRPr="00EC20A0">
        <w:t>written</w:t>
      </w:r>
      <w:r w:rsidRPr="00EC20A0">
        <w:rPr>
          <w:spacing w:val="-4"/>
        </w:rPr>
        <w:t xml:space="preserve"> </w:t>
      </w:r>
      <w:r w:rsidRPr="00EC20A0">
        <w:t>representations</w:t>
      </w:r>
      <w:r w:rsidRPr="00EC20A0">
        <w:rPr>
          <w:spacing w:val="-4"/>
        </w:rPr>
        <w:t xml:space="preserve"> </w:t>
      </w:r>
      <w:r w:rsidRPr="00EC20A0">
        <w:t>or</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 xml:space="preserve">written representations are otherwise not reliable, the matters in paragraph .12; </w:t>
      </w:r>
      <w:r w:rsidRPr="00EC20A0">
        <w:rPr>
          <w:spacing w:val="-4"/>
        </w:rPr>
        <w:t>and</w:t>
      </w:r>
    </w:p>
    <w:p w14:paraId="24D609C0" w14:textId="77777777" w:rsidR="00245300" w:rsidRPr="00EC20A0" w:rsidRDefault="00F17249">
      <w:pPr>
        <w:pStyle w:val="ListParagraph"/>
        <w:numPr>
          <w:ilvl w:val="2"/>
          <w:numId w:val="172"/>
        </w:numPr>
        <w:tabs>
          <w:tab w:val="left" w:pos="2276"/>
          <w:tab w:val="left" w:pos="2279"/>
        </w:tabs>
        <w:spacing w:before="241"/>
        <w:ind w:right="542" w:hanging="393"/>
        <w:jc w:val="left"/>
      </w:pPr>
      <w:r w:rsidRPr="00EC20A0">
        <w:t>who</w:t>
      </w:r>
      <w:r w:rsidRPr="00EC20A0">
        <w:rPr>
          <w:spacing w:val="-4"/>
        </w:rPr>
        <w:t xml:space="preserve"> </w:t>
      </w:r>
      <w:r w:rsidRPr="00EC20A0">
        <w:t>reviewed</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work</w:t>
      </w:r>
      <w:r w:rsidRPr="00EC20A0">
        <w:rPr>
          <w:spacing w:val="-4"/>
        </w:rPr>
        <w:t xml:space="preserve"> </w:t>
      </w:r>
      <w:r w:rsidRPr="00EC20A0">
        <w:t>performed</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date</w:t>
      </w:r>
      <w:r w:rsidRPr="00EC20A0">
        <w:rPr>
          <w:spacing w:val="-5"/>
        </w:rPr>
        <w:t xml:space="preserve"> </w:t>
      </w:r>
      <w:r w:rsidRPr="00EC20A0">
        <w:t>and</w:t>
      </w:r>
      <w:r w:rsidRPr="00EC20A0">
        <w:rPr>
          <w:spacing w:val="-4"/>
        </w:rPr>
        <w:t xml:space="preserve"> </w:t>
      </w:r>
      <w:r w:rsidRPr="00EC20A0">
        <w:t>extent of such review; and</w:t>
      </w:r>
    </w:p>
    <w:p w14:paraId="24D609C1" w14:textId="77777777" w:rsidR="00245300" w:rsidRPr="00EC20A0" w:rsidRDefault="00F17249">
      <w:pPr>
        <w:pStyle w:val="ListParagraph"/>
        <w:numPr>
          <w:ilvl w:val="1"/>
          <w:numId w:val="172"/>
        </w:numPr>
        <w:tabs>
          <w:tab w:val="left" w:pos="1919"/>
        </w:tabs>
        <w:ind w:right="945"/>
      </w:pPr>
      <w:r w:rsidRPr="00EC20A0">
        <w:t>the</w:t>
      </w:r>
      <w:r w:rsidRPr="00EC20A0">
        <w:rPr>
          <w:spacing w:val="-12"/>
        </w:rPr>
        <w:t xml:space="preserve"> </w:t>
      </w:r>
      <w:r w:rsidRPr="00EC20A0">
        <w:t>results</w:t>
      </w:r>
      <w:r w:rsidRPr="00EC20A0">
        <w:rPr>
          <w:spacing w:val="-11"/>
        </w:rPr>
        <w:t xml:space="preserve"> </w:t>
      </w:r>
      <w:r w:rsidRPr="00EC20A0">
        <w:t>of</w:t>
      </w:r>
      <w:r w:rsidRPr="00EC20A0">
        <w:rPr>
          <w:spacing w:val="-12"/>
        </w:rPr>
        <w:t xml:space="preserve"> </w:t>
      </w:r>
      <w:r w:rsidRPr="00EC20A0">
        <w:t>the</w:t>
      </w:r>
      <w:r w:rsidRPr="00EC20A0">
        <w:rPr>
          <w:spacing w:val="-12"/>
        </w:rPr>
        <w:t xml:space="preserve"> </w:t>
      </w:r>
      <w:r w:rsidRPr="00EC20A0">
        <w:t>procedures</w:t>
      </w:r>
      <w:r w:rsidRPr="00EC20A0">
        <w:rPr>
          <w:spacing w:val="-11"/>
        </w:rPr>
        <w:t xml:space="preserve"> </w:t>
      </w:r>
      <w:r w:rsidRPr="00EC20A0">
        <w:t>performed</w:t>
      </w:r>
      <w:r w:rsidRPr="00EC20A0">
        <w:rPr>
          <w:spacing w:val="-12"/>
        </w:rPr>
        <w:t xml:space="preserve"> </w:t>
      </w:r>
      <w:r w:rsidRPr="00EC20A0">
        <w:t>and</w:t>
      </w:r>
      <w:r w:rsidRPr="00EC20A0">
        <w:rPr>
          <w:spacing w:val="-12"/>
        </w:rPr>
        <w:t xml:space="preserve"> </w:t>
      </w:r>
      <w:r w:rsidRPr="00EC20A0">
        <w:t>the</w:t>
      </w:r>
      <w:r w:rsidRPr="00EC20A0">
        <w:rPr>
          <w:spacing w:val="-10"/>
        </w:rPr>
        <w:t xml:space="preserve"> </w:t>
      </w:r>
      <w:r w:rsidRPr="00EC20A0">
        <w:t>evidence</w:t>
      </w:r>
      <w:r w:rsidRPr="00EC20A0">
        <w:rPr>
          <w:spacing w:val="-12"/>
        </w:rPr>
        <w:t xml:space="preserve"> </w:t>
      </w:r>
      <w:r w:rsidRPr="00EC20A0">
        <w:t>obtained</w:t>
      </w:r>
      <w:r w:rsidRPr="00EC20A0">
        <w:rPr>
          <w:spacing w:val="-12"/>
        </w:rPr>
        <w:t xml:space="preserve"> </w:t>
      </w:r>
      <w:r w:rsidRPr="00EC20A0">
        <w:t>(AT- C 215.42).</w:t>
      </w:r>
    </w:p>
    <w:p w14:paraId="24D609C2" w14:textId="77777777" w:rsidR="00245300" w:rsidRPr="00EC20A0" w:rsidRDefault="00F17249">
      <w:pPr>
        <w:pStyle w:val="ListParagraph"/>
        <w:numPr>
          <w:ilvl w:val="0"/>
          <w:numId w:val="172"/>
        </w:numPr>
        <w:tabs>
          <w:tab w:val="left" w:pos="1559"/>
        </w:tabs>
        <w:spacing w:before="239"/>
        <w:ind w:left="1559" w:right="344"/>
      </w:pPr>
      <w:r w:rsidRPr="00EC20A0">
        <w:t>The auditor should document sufficient information to enable an experienced auditor</w:t>
      </w:r>
      <w:r w:rsidRPr="00EC20A0">
        <w:rPr>
          <w:spacing w:val="-4"/>
        </w:rPr>
        <w:t xml:space="preserve"> </w:t>
      </w:r>
      <w:r w:rsidRPr="00EC20A0">
        <w:t>having</w:t>
      </w:r>
      <w:r w:rsidRPr="00EC20A0">
        <w:rPr>
          <w:spacing w:val="-4"/>
        </w:rPr>
        <w:t xml:space="preserve"> </w:t>
      </w:r>
      <w:r w:rsidRPr="00EC20A0">
        <w:t>no</w:t>
      </w:r>
      <w:r w:rsidRPr="00EC20A0">
        <w:rPr>
          <w:spacing w:val="-4"/>
        </w:rPr>
        <w:t xml:space="preserve"> </w:t>
      </w:r>
      <w:r w:rsidRPr="00EC20A0">
        <w:t>previous</w:t>
      </w:r>
      <w:r w:rsidRPr="00EC20A0">
        <w:rPr>
          <w:spacing w:val="-4"/>
        </w:rPr>
        <w:t xml:space="preserve"> </w:t>
      </w:r>
      <w:r w:rsidRPr="00EC20A0">
        <w:t>connection</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to</w:t>
      </w:r>
      <w:r w:rsidRPr="00EC20A0">
        <w:rPr>
          <w:spacing w:val="-4"/>
        </w:rPr>
        <w:t xml:space="preserve"> </w:t>
      </w:r>
      <w:r w:rsidRPr="00EC20A0">
        <w:t>ascertain</w:t>
      </w:r>
      <w:r w:rsidRPr="00EC20A0">
        <w:rPr>
          <w:spacing w:val="-5"/>
        </w:rPr>
        <w:t xml:space="preserve"> </w:t>
      </w:r>
      <w:r w:rsidRPr="00EC20A0">
        <w:t>from</w:t>
      </w:r>
      <w:r w:rsidRPr="00EC20A0">
        <w:rPr>
          <w:spacing w:val="-5"/>
        </w:rPr>
        <w:t xml:space="preserve"> </w:t>
      </w:r>
      <w:r w:rsidRPr="00EC20A0">
        <w:t xml:space="preserve">the documentation the nature, extent, timing, and results of </w:t>
      </w:r>
      <w:r w:rsidRPr="00EC20A0">
        <w:t>procedures performed and the evidence that supports the auditor’s agreed-upon procedures report, including its sources.</w:t>
      </w:r>
    </w:p>
    <w:p w14:paraId="24D609C3" w14:textId="77777777" w:rsidR="00245300" w:rsidRPr="00EC20A0" w:rsidRDefault="00F17249">
      <w:pPr>
        <w:pStyle w:val="ListParagraph"/>
        <w:numPr>
          <w:ilvl w:val="0"/>
          <w:numId w:val="172"/>
        </w:numPr>
        <w:tabs>
          <w:tab w:val="left" w:pos="1559"/>
        </w:tabs>
        <w:ind w:left="1559" w:right="306"/>
      </w:pPr>
      <w:r w:rsidRPr="00EC20A0">
        <w:t>Although the quantity, type, and content of documentation varies with the circumstances,</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should</w:t>
      </w:r>
      <w:r w:rsidRPr="00EC20A0">
        <w:rPr>
          <w:spacing w:val="-5"/>
        </w:rPr>
        <w:t xml:space="preserve"> </w:t>
      </w:r>
      <w:r w:rsidRPr="00EC20A0">
        <w:t>document</w:t>
      </w:r>
      <w:r w:rsidRPr="00EC20A0">
        <w:rPr>
          <w:spacing w:val="-5"/>
        </w:rPr>
        <w:t xml:space="preserve"> </w:t>
      </w:r>
      <w:r w:rsidRPr="00EC20A0">
        <w:t>sufficient</w:t>
      </w:r>
      <w:r w:rsidRPr="00EC20A0">
        <w:rPr>
          <w:spacing w:val="-5"/>
        </w:rPr>
        <w:t xml:space="preserve"> </w:t>
      </w:r>
      <w:r w:rsidRPr="00EC20A0">
        <w:t>information</w:t>
      </w:r>
      <w:r w:rsidRPr="00EC20A0">
        <w:rPr>
          <w:spacing w:val="-5"/>
        </w:rPr>
        <w:t xml:space="preserve"> </w:t>
      </w:r>
      <w:r w:rsidRPr="00EC20A0">
        <w:t>to</w:t>
      </w:r>
      <w:r w:rsidRPr="00EC20A0">
        <w:rPr>
          <w:spacing w:val="-5"/>
        </w:rPr>
        <w:t xml:space="preserve"> </w:t>
      </w:r>
      <w:r w:rsidRPr="00EC20A0">
        <w:t>demonstrate that the work was adequately planned and supervised and that the evidence provides a reasonable basis for the report as discussed in GAGAS.</w:t>
      </w:r>
    </w:p>
    <w:p w14:paraId="24D609C4" w14:textId="77777777" w:rsidR="00245300" w:rsidRPr="00EC20A0" w:rsidRDefault="00F17249">
      <w:pPr>
        <w:pStyle w:val="ListParagraph"/>
        <w:numPr>
          <w:ilvl w:val="0"/>
          <w:numId w:val="172"/>
        </w:numPr>
        <w:tabs>
          <w:tab w:val="left" w:pos="1559"/>
        </w:tabs>
        <w:spacing w:before="241"/>
        <w:ind w:left="1559" w:right="440"/>
      </w:pPr>
      <w:r w:rsidRPr="00EC20A0">
        <w:t>The auditor generally should prepare a summary memorandum that recaps the work</w:t>
      </w:r>
      <w:r w:rsidRPr="00EC20A0">
        <w:rPr>
          <w:spacing w:val="-4"/>
        </w:rPr>
        <w:t xml:space="preserve"> </w:t>
      </w:r>
      <w:r w:rsidRPr="00EC20A0">
        <w:t>performed;</w:t>
      </w:r>
      <w:r w:rsidRPr="00EC20A0">
        <w:rPr>
          <w:spacing w:val="-4"/>
        </w:rPr>
        <w:t xml:space="preserve"> </w:t>
      </w:r>
      <w:r w:rsidRPr="00EC20A0">
        <w:t>refers</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detailed</w:t>
      </w:r>
      <w:r w:rsidRPr="00EC20A0">
        <w:rPr>
          <w:spacing w:val="-4"/>
        </w:rPr>
        <w:t xml:space="preserve"> </w:t>
      </w:r>
      <w:r w:rsidRPr="00EC20A0">
        <w:t>documentation;</w:t>
      </w:r>
      <w:r w:rsidRPr="00EC20A0">
        <w:rPr>
          <w:spacing w:val="-4"/>
        </w:rPr>
        <w:t xml:space="preserve"> </w:t>
      </w:r>
      <w:r w:rsidRPr="00EC20A0">
        <w:t>and</w:t>
      </w:r>
      <w:r w:rsidRPr="00EC20A0">
        <w:rPr>
          <w:spacing w:val="-4"/>
        </w:rPr>
        <w:t xml:space="preserve"> </w:t>
      </w:r>
      <w:r w:rsidRPr="00EC20A0">
        <w:t>includes</w:t>
      </w:r>
      <w:r w:rsidRPr="00EC20A0">
        <w:rPr>
          <w:spacing w:val="-4"/>
        </w:rPr>
        <w:t xml:space="preserve"> </w:t>
      </w:r>
      <w:r w:rsidRPr="00EC20A0">
        <w:t>the</w:t>
      </w:r>
      <w:r w:rsidRPr="00EC20A0">
        <w:rPr>
          <w:spacing w:val="-5"/>
        </w:rPr>
        <w:t xml:space="preserve"> </w:t>
      </w:r>
      <w:r w:rsidRPr="00EC20A0">
        <w:t>auditor’s conclusion</w:t>
      </w:r>
      <w:r w:rsidRPr="00EC20A0">
        <w:rPr>
          <w:spacing w:val="-2"/>
        </w:rPr>
        <w:t xml:space="preserve"> </w:t>
      </w:r>
      <w:r w:rsidRPr="00EC20A0">
        <w:t>on</w:t>
      </w:r>
      <w:r w:rsidRPr="00EC20A0">
        <w:rPr>
          <w:spacing w:val="-2"/>
        </w:rPr>
        <w:t xml:space="preserve"> </w:t>
      </w:r>
      <w:r w:rsidRPr="00EC20A0">
        <w:t>whether</w:t>
      </w:r>
      <w:r w:rsidRPr="00EC20A0">
        <w:rPr>
          <w:spacing w:val="-2"/>
        </w:rPr>
        <w:t xml:space="preserve"> </w:t>
      </w:r>
      <w:r w:rsidRPr="00EC20A0">
        <w:t>the</w:t>
      </w:r>
      <w:r w:rsidRPr="00EC20A0">
        <w:rPr>
          <w:spacing w:val="-2"/>
        </w:rPr>
        <w:t xml:space="preserve"> </w:t>
      </w:r>
      <w:r w:rsidRPr="00EC20A0">
        <w:t>work</w:t>
      </w:r>
      <w:r w:rsidRPr="00EC20A0">
        <w:rPr>
          <w:spacing w:val="-2"/>
        </w:rPr>
        <w:t xml:space="preserve"> </w:t>
      </w:r>
      <w:r w:rsidRPr="00EC20A0">
        <w:t>was</w:t>
      </w:r>
      <w:r w:rsidRPr="00EC20A0">
        <w:rPr>
          <w:spacing w:val="-2"/>
        </w:rPr>
        <w:t xml:space="preserve"> </w:t>
      </w:r>
      <w:r w:rsidRPr="00EC20A0">
        <w:t>performed</w:t>
      </w:r>
      <w:r w:rsidRPr="00EC20A0">
        <w:rPr>
          <w:spacing w:val="-2"/>
        </w:rPr>
        <w:t xml:space="preserve"> </w:t>
      </w:r>
      <w:r w:rsidRPr="00EC20A0">
        <w:t>in</w:t>
      </w:r>
      <w:r w:rsidRPr="00EC20A0">
        <w:rPr>
          <w:spacing w:val="-2"/>
        </w:rPr>
        <w:t xml:space="preserve"> </w:t>
      </w:r>
      <w:r w:rsidRPr="00EC20A0">
        <w:t>accordance</w:t>
      </w:r>
      <w:r w:rsidRPr="00EC20A0">
        <w:rPr>
          <w:spacing w:val="-2"/>
        </w:rPr>
        <w:t xml:space="preserve"> </w:t>
      </w:r>
      <w:r w:rsidRPr="00EC20A0">
        <w:t>with</w:t>
      </w:r>
      <w:r w:rsidRPr="00EC20A0">
        <w:rPr>
          <w:spacing w:val="-2"/>
        </w:rPr>
        <w:t xml:space="preserve"> </w:t>
      </w:r>
      <w:r w:rsidRPr="00EC20A0">
        <w:t>GAGAS,</w:t>
      </w:r>
      <w:r w:rsidRPr="00EC20A0">
        <w:rPr>
          <w:spacing w:val="-2"/>
        </w:rPr>
        <w:t xml:space="preserve"> </w:t>
      </w:r>
      <w:r w:rsidRPr="00EC20A0">
        <w:t>the attestation standards, and the FAM and whether the report is appropriate.</w:t>
      </w:r>
    </w:p>
    <w:p w14:paraId="24D609C5" w14:textId="77777777" w:rsidR="00245300" w:rsidRPr="00EC20A0" w:rsidRDefault="00F17249">
      <w:pPr>
        <w:pStyle w:val="BodyText"/>
        <w:ind w:left="1559" w:right="380"/>
      </w:pPr>
      <w:r w:rsidRPr="00EC20A0">
        <w:t>FAM</w:t>
      </w:r>
      <w:r w:rsidRPr="00EC20A0">
        <w:rPr>
          <w:spacing w:val="-6"/>
        </w:rPr>
        <w:t xml:space="preserve"> </w:t>
      </w:r>
      <w:r w:rsidRPr="00EC20A0">
        <w:t>710</w:t>
      </w:r>
      <w:r w:rsidRPr="00EC20A0">
        <w:rPr>
          <w:spacing w:val="-5"/>
        </w:rPr>
        <w:t xml:space="preserve"> </w:t>
      </w:r>
      <w:r w:rsidRPr="00EC20A0">
        <w:t>E</w:t>
      </w:r>
      <w:r w:rsidRPr="00EC20A0">
        <w:rPr>
          <w:spacing w:val="-4"/>
        </w:rPr>
        <w:t xml:space="preserve"> </w:t>
      </w:r>
      <w:r w:rsidRPr="00EC20A0">
        <w:t>provides</w:t>
      </w:r>
      <w:r w:rsidRPr="00EC20A0">
        <w:rPr>
          <w:spacing w:val="-5"/>
        </w:rPr>
        <w:t xml:space="preserve"> </w:t>
      </w:r>
      <w:r w:rsidRPr="00EC20A0">
        <w:t>an</w:t>
      </w:r>
      <w:r w:rsidRPr="00EC20A0">
        <w:rPr>
          <w:spacing w:val="-6"/>
        </w:rPr>
        <w:t xml:space="preserve"> </w:t>
      </w:r>
      <w:r w:rsidRPr="00EC20A0">
        <w:t>agreed-upon</w:t>
      </w:r>
      <w:r w:rsidRPr="00EC20A0">
        <w:rPr>
          <w:spacing w:val="-5"/>
        </w:rPr>
        <w:t xml:space="preserve"> </w:t>
      </w:r>
      <w:r w:rsidRPr="00EC20A0">
        <w:t>procedures</w:t>
      </w:r>
      <w:r w:rsidRPr="00EC20A0">
        <w:rPr>
          <w:spacing w:val="-5"/>
        </w:rPr>
        <w:t xml:space="preserve"> </w:t>
      </w:r>
      <w:r w:rsidRPr="00EC20A0">
        <w:t>engagement</w:t>
      </w:r>
      <w:r w:rsidRPr="00EC20A0">
        <w:rPr>
          <w:spacing w:val="-5"/>
        </w:rPr>
        <w:t xml:space="preserve"> </w:t>
      </w:r>
      <w:r w:rsidRPr="00EC20A0">
        <w:t xml:space="preserve">completion </w:t>
      </w:r>
      <w:r w:rsidRPr="00EC20A0">
        <w:rPr>
          <w:spacing w:val="-2"/>
        </w:rPr>
        <w:t>checklist.</w:t>
      </w:r>
    </w:p>
    <w:p w14:paraId="24D609C6" w14:textId="77777777" w:rsidR="00245300" w:rsidRPr="00EC20A0" w:rsidRDefault="00245300">
      <w:pPr>
        <w:sectPr w:rsidR="00245300" w:rsidRPr="00EC20A0">
          <w:pgSz w:w="12240" w:h="15840"/>
          <w:pgMar w:top="1340" w:right="1140" w:bottom="940" w:left="1320" w:header="721" w:footer="757" w:gutter="0"/>
          <w:cols w:space="720"/>
        </w:sectPr>
      </w:pPr>
    </w:p>
    <w:p w14:paraId="24D609C7" w14:textId="77777777" w:rsidR="00245300" w:rsidRPr="00EC20A0" w:rsidRDefault="00F17249">
      <w:pPr>
        <w:pStyle w:val="Heading4"/>
        <w:spacing w:before="121"/>
        <w:ind w:left="120"/>
      </w:pPr>
      <w:bookmarkStart w:id="155" w:name="Reporting"/>
      <w:bookmarkEnd w:id="155"/>
      <w:r w:rsidRPr="00EC20A0">
        <w:rPr>
          <w:spacing w:val="-2"/>
        </w:rPr>
        <w:t>Reporting</w:t>
      </w:r>
    </w:p>
    <w:p w14:paraId="24D609C8" w14:textId="77777777" w:rsidR="00245300" w:rsidRPr="00EC20A0" w:rsidRDefault="00F17249">
      <w:pPr>
        <w:pStyle w:val="ListParagraph"/>
        <w:numPr>
          <w:ilvl w:val="0"/>
          <w:numId w:val="172"/>
        </w:numPr>
        <w:tabs>
          <w:tab w:val="left" w:pos="1560"/>
        </w:tabs>
        <w:spacing w:before="300"/>
        <w:ind w:right="467"/>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report</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agreed-upon</w:t>
      </w:r>
      <w:r w:rsidRPr="00EC20A0">
        <w:rPr>
          <w:spacing w:val="-4"/>
        </w:rPr>
        <w:t xml:space="preserve"> </w:t>
      </w:r>
      <w:r w:rsidRPr="00EC20A0">
        <w:t>procedures,</w:t>
      </w:r>
      <w:r w:rsidRPr="00EC20A0">
        <w:rPr>
          <w:spacing w:val="-4"/>
        </w:rPr>
        <w:t xml:space="preserve"> </w:t>
      </w:r>
      <w:r w:rsidRPr="00EC20A0">
        <w:t>in</w:t>
      </w:r>
      <w:r w:rsidRPr="00EC20A0">
        <w:rPr>
          <w:spacing w:val="-5"/>
        </w:rPr>
        <w:t xml:space="preserve"> </w:t>
      </w:r>
      <w:r w:rsidRPr="00EC20A0">
        <w:t>writing,</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 xml:space="preserve">form of procedures and findings (AT-C 215.31 and .32). If, as a result of performing procedures, the </w:t>
      </w:r>
      <w:r w:rsidRPr="00EC20A0">
        <w:t>auditor determines that the description of the procedures performed</w:t>
      </w:r>
      <w:r w:rsidRPr="00EC20A0">
        <w:rPr>
          <w:spacing w:val="-2"/>
        </w:rPr>
        <w:t xml:space="preserve"> </w:t>
      </w:r>
      <w:r w:rsidRPr="00EC20A0">
        <w:t>or</w:t>
      </w:r>
      <w:r w:rsidRPr="00EC20A0">
        <w:rPr>
          <w:spacing w:val="-2"/>
        </w:rPr>
        <w:t xml:space="preserve"> </w:t>
      </w:r>
      <w:r w:rsidRPr="00EC20A0">
        <w:t>the</w:t>
      </w:r>
      <w:r w:rsidRPr="00EC20A0">
        <w:rPr>
          <w:spacing w:val="-2"/>
        </w:rPr>
        <w:t xml:space="preserve"> </w:t>
      </w:r>
      <w:r w:rsidRPr="00EC20A0">
        <w:t>corresponding</w:t>
      </w:r>
      <w:r w:rsidRPr="00EC20A0">
        <w:rPr>
          <w:spacing w:val="-2"/>
        </w:rPr>
        <w:t xml:space="preserve"> </w:t>
      </w:r>
      <w:r w:rsidRPr="00EC20A0">
        <w:t>findings,</w:t>
      </w:r>
      <w:r w:rsidRPr="00EC20A0">
        <w:rPr>
          <w:spacing w:val="-2"/>
        </w:rPr>
        <w:t xml:space="preserve"> </w:t>
      </w:r>
      <w:r w:rsidRPr="00EC20A0">
        <w:t>in</w:t>
      </w:r>
      <w:r w:rsidRPr="00EC20A0">
        <w:rPr>
          <w:spacing w:val="-2"/>
        </w:rPr>
        <w:t xml:space="preserve"> </w:t>
      </w:r>
      <w:r w:rsidRPr="00EC20A0">
        <w:t>the</w:t>
      </w:r>
      <w:r w:rsidRPr="00EC20A0">
        <w:rPr>
          <w:spacing w:val="-3"/>
        </w:rPr>
        <w:t xml:space="preserve"> </w:t>
      </w:r>
      <w:r w:rsidRPr="00EC20A0">
        <w:t>auditor’s</w:t>
      </w:r>
      <w:r w:rsidRPr="00EC20A0">
        <w:rPr>
          <w:spacing w:val="-2"/>
        </w:rPr>
        <w:t xml:space="preserve"> </w:t>
      </w:r>
      <w:r w:rsidRPr="00EC20A0">
        <w:t>professional</w:t>
      </w:r>
      <w:r w:rsidRPr="00EC20A0">
        <w:rPr>
          <w:spacing w:val="-3"/>
        </w:rPr>
        <w:t xml:space="preserve"> </w:t>
      </w:r>
      <w:r w:rsidRPr="00EC20A0">
        <w:t xml:space="preserve">judgment, are misleading in the circumstances of the engagement, the auditor should discuss the matter with the engaging party and take appropriate action (AT-C </w:t>
      </w:r>
      <w:r w:rsidRPr="00EC20A0">
        <w:rPr>
          <w:spacing w:val="-2"/>
        </w:rPr>
        <w:t>215.33).</w:t>
      </w:r>
    </w:p>
    <w:p w14:paraId="24D609C9" w14:textId="77777777" w:rsidR="00245300" w:rsidRPr="00EC20A0" w:rsidRDefault="00F17249">
      <w:pPr>
        <w:pStyle w:val="ListParagraph"/>
        <w:numPr>
          <w:ilvl w:val="0"/>
          <w:numId w:val="172"/>
        </w:numPr>
        <w:tabs>
          <w:tab w:val="left" w:pos="1560"/>
        </w:tabs>
        <w:ind w:right="734"/>
      </w:pPr>
      <w:r w:rsidRPr="00EC20A0">
        <w:t>The</w:t>
      </w:r>
      <w:r w:rsidRPr="00EC20A0">
        <w:rPr>
          <w:spacing w:val="-5"/>
        </w:rPr>
        <w:t xml:space="preserve"> </w:t>
      </w:r>
      <w:r w:rsidRPr="00EC20A0">
        <w:t>auditor’s</w:t>
      </w:r>
      <w:r w:rsidRPr="00EC20A0">
        <w:rPr>
          <w:spacing w:val="-4"/>
        </w:rPr>
        <w:t xml:space="preserve"> </w:t>
      </w:r>
      <w:r w:rsidRPr="00EC20A0">
        <w:t>agreed-upon</w:t>
      </w:r>
      <w:r w:rsidRPr="00EC20A0">
        <w:rPr>
          <w:spacing w:val="-5"/>
        </w:rPr>
        <w:t xml:space="preserve"> </w:t>
      </w:r>
      <w:r w:rsidRPr="00EC20A0">
        <w:t>procedures</w:t>
      </w:r>
      <w:r w:rsidRPr="00EC20A0">
        <w:rPr>
          <w:spacing w:val="-5"/>
        </w:rPr>
        <w:t xml:space="preserve"> </w:t>
      </w:r>
      <w:r w:rsidRPr="00EC20A0">
        <w:t>report</w:t>
      </w:r>
      <w:r w:rsidRPr="00EC20A0">
        <w:rPr>
          <w:spacing w:val="-5"/>
        </w:rPr>
        <w:t xml:space="preserve"> </w:t>
      </w:r>
      <w:r w:rsidRPr="00EC20A0">
        <w:t>should</w:t>
      </w:r>
      <w:r w:rsidRPr="00EC20A0">
        <w:rPr>
          <w:spacing w:val="-4"/>
        </w:rPr>
        <w:t xml:space="preserve"> </w:t>
      </w:r>
      <w:r w:rsidRPr="00EC20A0">
        <w:t>include</w:t>
      </w:r>
      <w:r w:rsidRPr="00EC20A0">
        <w:rPr>
          <w:spacing w:val="-6"/>
        </w:rPr>
        <w:t xml:space="preserve"> </w:t>
      </w:r>
      <w:r w:rsidRPr="00EC20A0">
        <w:t>the</w:t>
      </w:r>
      <w:r w:rsidRPr="00EC20A0">
        <w:rPr>
          <w:spacing w:val="-5"/>
        </w:rPr>
        <w:t xml:space="preserve"> </w:t>
      </w:r>
      <w:r w:rsidRPr="00EC20A0">
        <w:t>following,</w:t>
      </w:r>
      <w:r w:rsidRPr="00EC20A0">
        <w:rPr>
          <w:spacing w:val="-5"/>
        </w:rPr>
        <w:t xml:space="preserve"> </w:t>
      </w:r>
      <w:r w:rsidRPr="00EC20A0">
        <w:t>as shown in the example report in FAM 710 D (AT-C 215.34–.35):</w:t>
      </w:r>
    </w:p>
    <w:p w14:paraId="24D609CA" w14:textId="77777777" w:rsidR="00245300" w:rsidRPr="00EC20A0" w:rsidRDefault="00F17249">
      <w:pPr>
        <w:pStyle w:val="ListParagraph"/>
        <w:numPr>
          <w:ilvl w:val="1"/>
          <w:numId w:val="172"/>
        </w:numPr>
        <w:tabs>
          <w:tab w:val="left" w:pos="1920"/>
        </w:tabs>
        <w:spacing w:before="239"/>
        <w:ind w:left="1920" w:right="885"/>
      </w:pPr>
      <w:r w:rsidRPr="00EC20A0">
        <w:t>A</w:t>
      </w:r>
      <w:r w:rsidRPr="00EC20A0">
        <w:rPr>
          <w:spacing w:val="-4"/>
        </w:rPr>
        <w:t xml:space="preserve"> </w:t>
      </w:r>
      <w:r w:rsidRPr="00EC20A0">
        <w:t>title</w:t>
      </w:r>
      <w:r w:rsidRPr="00EC20A0">
        <w:rPr>
          <w:spacing w:val="-3"/>
        </w:rPr>
        <w:t xml:space="preserve"> </w:t>
      </w:r>
      <w:r w:rsidRPr="00EC20A0">
        <w:t>that</w:t>
      </w:r>
      <w:r w:rsidRPr="00EC20A0">
        <w:rPr>
          <w:spacing w:val="-3"/>
        </w:rPr>
        <w:t xml:space="preserve"> </w:t>
      </w:r>
      <w:r w:rsidRPr="00EC20A0">
        <w:t>includes</w:t>
      </w:r>
      <w:r w:rsidRPr="00EC20A0">
        <w:rPr>
          <w:spacing w:val="-3"/>
        </w:rPr>
        <w:t xml:space="preserve"> </w:t>
      </w:r>
      <w:r w:rsidRPr="00EC20A0">
        <w:t>the</w:t>
      </w:r>
      <w:r w:rsidRPr="00EC20A0">
        <w:rPr>
          <w:spacing w:val="-3"/>
        </w:rPr>
        <w:t xml:space="preserve"> </w:t>
      </w:r>
      <w:r w:rsidRPr="00EC20A0">
        <w:t>word</w:t>
      </w:r>
      <w:r w:rsidRPr="00EC20A0">
        <w:rPr>
          <w:spacing w:val="-3"/>
        </w:rPr>
        <w:t xml:space="preserve"> </w:t>
      </w:r>
      <w:r w:rsidRPr="00EC20A0">
        <w:rPr>
          <w:i/>
        </w:rPr>
        <w:t>independent</w:t>
      </w:r>
      <w:r w:rsidRPr="00EC20A0">
        <w:rPr>
          <w:i/>
          <w:spacing w:val="-3"/>
        </w:rPr>
        <w:t xml:space="preserve"> </w:t>
      </w:r>
      <w:r w:rsidRPr="00EC20A0">
        <w:t>to</w:t>
      </w:r>
      <w:r w:rsidRPr="00EC20A0">
        <w:rPr>
          <w:spacing w:val="-3"/>
        </w:rPr>
        <w:t xml:space="preserve"> </w:t>
      </w:r>
      <w:r w:rsidRPr="00EC20A0">
        <w:t>clearly</w:t>
      </w:r>
      <w:r w:rsidRPr="00EC20A0">
        <w:rPr>
          <w:spacing w:val="-3"/>
        </w:rPr>
        <w:t xml:space="preserve"> </w:t>
      </w:r>
      <w:r w:rsidRPr="00EC20A0">
        <w:t>indicate</w:t>
      </w:r>
      <w:r w:rsidRPr="00EC20A0">
        <w:rPr>
          <w:spacing w:val="-3"/>
        </w:rPr>
        <w:t xml:space="preserve"> </w:t>
      </w:r>
      <w:r w:rsidRPr="00EC20A0">
        <w:t>that</w:t>
      </w:r>
      <w:r w:rsidRPr="00EC20A0">
        <w:rPr>
          <w:spacing w:val="-3"/>
        </w:rPr>
        <w:t xml:space="preserve"> </w:t>
      </w:r>
      <w:r w:rsidRPr="00EC20A0">
        <w:t>it</w:t>
      </w:r>
      <w:r w:rsidRPr="00EC20A0">
        <w:rPr>
          <w:spacing w:val="-3"/>
        </w:rPr>
        <w:t xml:space="preserve"> </w:t>
      </w:r>
      <w:r w:rsidRPr="00EC20A0">
        <w:t>is</w:t>
      </w:r>
      <w:r w:rsidRPr="00EC20A0">
        <w:rPr>
          <w:spacing w:val="-3"/>
        </w:rPr>
        <w:t xml:space="preserve"> </w:t>
      </w:r>
      <w:r w:rsidRPr="00EC20A0">
        <w:t>the report of an independent accountant.</w:t>
      </w:r>
    </w:p>
    <w:p w14:paraId="24D609CB" w14:textId="77777777" w:rsidR="00245300" w:rsidRPr="00EC20A0" w:rsidRDefault="00F17249">
      <w:pPr>
        <w:pStyle w:val="ListParagraph"/>
        <w:numPr>
          <w:ilvl w:val="1"/>
          <w:numId w:val="172"/>
        </w:numPr>
        <w:tabs>
          <w:tab w:val="left" w:pos="1920"/>
        </w:tabs>
        <w:spacing w:before="241"/>
        <w:ind w:left="1920" w:right="1425"/>
      </w:pPr>
      <w:r w:rsidRPr="00EC20A0">
        <w:t>An</w:t>
      </w:r>
      <w:r w:rsidRPr="00EC20A0">
        <w:rPr>
          <w:spacing w:val="-5"/>
        </w:rPr>
        <w:t xml:space="preserve"> </w:t>
      </w:r>
      <w:r w:rsidRPr="00EC20A0">
        <w:t>appropriate</w:t>
      </w:r>
      <w:r w:rsidRPr="00EC20A0">
        <w:rPr>
          <w:spacing w:val="-5"/>
        </w:rPr>
        <w:t xml:space="preserve"> </w:t>
      </w:r>
      <w:r w:rsidRPr="00EC20A0">
        <w:t>addressee</w:t>
      </w:r>
      <w:r w:rsidRPr="00EC20A0">
        <w:rPr>
          <w:spacing w:val="-5"/>
        </w:rPr>
        <w:t xml:space="preserve"> </w:t>
      </w:r>
      <w:r w:rsidRPr="00EC20A0">
        <w:t>as</w:t>
      </w:r>
      <w:r w:rsidRPr="00EC20A0">
        <w:rPr>
          <w:spacing w:val="-5"/>
        </w:rPr>
        <w:t xml:space="preserve"> </w:t>
      </w:r>
      <w:r w:rsidRPr="00EC20A0">
        <w:t>required</w:t>
      </w:r>
      <w:r w:rsidRPr="00EC20A0">
        <w:rPr>
          <w:spacing w:val="-5"/>
        </w:rPr>
        <w:t xml:space="preserve"> </w:t>
      </w:r>
      <w:r w:rsidRPr="00EC20A0">
        <w:t>by</w:t>
      </w:r>
      <w:r w:rsidRPr="00EC20A0">
        <w:rPr>
          <w:spacing w:val="-5"/>
        </w:rPr>
        <w:t xml:space="preserve"> </w:t>
      </w:r>
      <w:r w:rsidRPr="00EC20A0">
        <w:t>the</w:t>
      </w:r>
      <w:r w:rsidRPr="00EC20A0">
        <w:rPr>
          <w:spacing w:val="-5"/>
        </w:rPr>
        <w:t xml:space="preserve"> </w:t>
      </w:r>
      <w:r w:rsidRPr="00EC20A0">
        <w:t>circumstances</w:t>
      </w:r>
      <w:r w:rsidRPr="00EC20A0">
        <w:rPr>
          <w:spacing w:val="-6"/>
        </w:rPr>
        <w:t xml:space="preserve"> </w:t>
      </w:r>
      <w:r w:rsidRPr="00EC20A0">
        <w:t>of</w:t>
      </w:r>
      <w:r w:rsidRPr="00EC20A0">
        <w:rPr>
          <w:spacing w:val="-5"/>
        </w:rPr>
        <w:t xml:space="preserve"> </w:t>
      </w:r>
      <w:r w:rsidRPr="00EC20A0">
        <w:t xml:space="preserve">the </w:t>
      </w:r>
      <w:r w:rsidRPr="00EC20A0">
        <w:rPr>
          <w:spacing w:val="-2"/>
        </w:rPr>
        <w:t>engagement.</w:t>
      </w:r>
    </w:p>
    <w:p w14:paraId="24D609CC" w14:textId="77777777" w:rsidR="00245300" w:rsidRPr="00EC20A0" w:rsidRDefault="00F17249">
      <w:pPr>
        <w:pStyle w:val="ListParagraph"/>
        <w:numPr>
          <w:ilvl w:val="1"/>
          <w:numId w:val="172"/>
        </w:numPr>
        <w:tabs>
          <w:tab w:val="left" w:pos="1919"/>
        </w:tabs>
        <w:ind w:hanging="359"/>
      </w:pPr>
      <w:r w:rsidRPr="00EC20A0">
        <w:rPr>
          <w:spacing w:val="-2"/>
        </w:rPr>
        <w:t>Identification</w:t>
      </w:r>
      <w:r w:rsidRPr="00EC20A0">
        <w:rPr>
          <w:spacing w:val="-1"/>
        </w:rPr>
        <w:t xml:space="preserve"> </w:t>
      </w:r>
      <w:r w:rsidRPr="00EC20A0">
        <w:rPr>
          <w:spacing w:val="-2"/>
        </w:rPr>
        <w:t>of</w:t>
      </w:r>
      <w:r w:rsidRPr="00EC20A0">
        <w:rPr>
          <w:spacing w:val="-3"/>
        </w:rPr>
        <w:t xml:space="preserve"> </w:t>
      </w:r>
      <w:r w:rsidRPr="00EC20A0">
        <w:rPr>
          <w:spacing w:val="-2"/>
        </w:rPr>
        <w:t>the engaging</w:t>
      </w:r>
      <w:r w:rsidRPr="00EC20A0">
        <w:rPr>
          <w:spacing w:val="-3"/>
        </w:rPr>
        <w:t xml:space="preserve"> </w:t>
      </w:r>
      <w:r w:rsidRPr="00EC20A0">
        <w:rPr>
          <w:spacing w:val="-2"/>
        </w:rPr>
        <w:t>party;</w:t>
      </w:r>
    </w:p>
    <w:p w14:paraId="24D609CD" w14:textId="77777777" w:rsidR="00245300" w:rsidRPr="00EC20A0" w:rsidRDefault="00F17249">
      <w:pPr>
        <w:pStyle w:val="ListParagraph"/>
        <w:numPr>
          <w:ilvl w:val="1"/>
          <w:numId w:val="172"/>
        </w:numPr>
        <w:tabs>
          <w:tab w:val="left" w:pos="1920"/>
        </w:tabs>
        <w:ind w:left="1920" w:right="1089"/>
      </w:pPr>
      <w:r w:rsidRPr="00EC20A0">
        <w:t>Identification</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subject</w:t>
      </w:r>
      <w:r w:rsidRPr="00EC20A0">
        <w:rPr>
          <w:spacing w:val="-5"/>
        </w:rPr>
        <w:t xml:space="preserve"> </w:t>
      </w:r>
      <w:r w:rsidRPr="00EC20A0">
        <w:t>matter</w:t>
      </w:r>
      <w:r w:rsidRPr="00EC20A0">
        <w:rPr>
          <w:spacing w:val="-6"/>
        </w:rPr>
        <w:t xml:space="preserve"> </w:t>
      </w:r>
      <w:r w:rsidRPr="00EC20A0">
        <w:t>to</w:t>
      </w:r>
      <w:r w:rsidRPr="00EC20A0">
        <w:rPr>
          <w:spacing w:val="-4"/>
        </w:rPr>
        <w:t xml:space="preserve"> </w:t>
      </w:r>
      <w:r w:rsidRPr="00EC20A0">
        <w:t>which</w:t>
      </w:r>
      <w:r w:rsidRPr="00EC20A0">
        <w:rPr>
          <w:spacing w:val="-5"/>
        </w:rPr>
        <w:t xml:space="preserve"> </w:t>
      </w:r>
      <w:r w:rsidRPr="00EC20A0">
        <w:t>the</w:t>
      </w:r>
      <w:r w:rsidRPr="00EC20A0">
        <w:rPr>
          <w:spacing w:val="-5"/>
        </w:rPr>
        <w:t xml:space="preserve"> </w:t>
      </w:r>
      <w:r w:rsidRPr="00EC20A0">
        <w:t>procedures</w:t>
      </w:r>
      <w:r w:rsidRPr="00EC20A0">
        <w:rPr>
          <w:spacing w:val="-5"/>
        </w:rPr>
        <w:t xml:space="preserve"> </w:t>
      </w:r>
      <w:r w:rsidRPr="00EC20A0">
        <w:t>have</w:t>
      </w:r>
      <w:r w:rsidRPr="00EC20A0">
        <w:rPr>
          <w:spacing w:val="-5"/>
        </w:rPr>
        <w:t xml:space="preserve"> </w:t>
      </w:r>
      <w:r w:rsidRPr="00EC20A0">
        <w:t xml:space="preserve">been </w:t>
      </w:r>
      <w:r w:rsidRPr="00EC20A0">
        <w:rPr>
          <w:spacing w:val="-2"/>
        </w:rPr>
        <w:t>applied.</w:t>
      </w:r>
    </w:p>
    <w:p w14:paraId="24D609CE" w14:textId="77777777" w:rsidR="00245300" w:rsidRPr="00EC20A0" w:rsidRDefault="00F17249">
      <w:pPr>
        <w:pStyle w:val="ListParagraph"/>
        <w:numPr>
          <w:ilvl w:val="1"/>
          <w:numId w:val="172"/>
        </w:numPr>
        <w:tabs>
          <w:tab w:val="left" w:pos="1920"/>
        </w:tabs>
        <w:spacing w:before="239"/>
        <w:ind w:left="1920" w:right="361"/>
      </w:pPr>
      <w:r w:rsidRPr="00EC20A0">
        <w:t>Identification of the responsible party, including a statement that the responsible party is responsible for the subject matter. When the engaging party is not the responsible party and identification of the responsible party and</w:t>
      </w:r>
      <w:r w:rsidRPr="00EC20A0">
        <w:rPr>
          <w:spacing w:val="-4"/>
        </w:rPr>
        <w:t xml:space="preserve"> </w:t>
      </w:r>
      <w:r w:rsidRPr="00EC20A0">
        <w:t>its</w:t>
      </w:r>
      <w:r w:rsidRPr="00EC20A0">
        <w:rPr>
          <w:spacing w:val="-4"/>
        </w:rPr>
        <w:t xml:space="preserve"> </w:t>
      </w:r>
      <w:r w:rsidRPr="00EC20A0">
        <w:t>responsibility</w:t>
      </w:r>
      <w:r w:rsidRPr="00EC20A0">
        <w:rPr>
          <w:spacing w:val="-4"/>
        </w:rPr>
        <w:t xml:space="preserve"> </w:t>
      </w:r>
      <w:r w:rsidRPr="00EC20A0">
        <w:t>for</w:t>
      </w:r>
      <w:r w:rsidRPr="00EC20A0">
        <w:rPr>
          <w:spacing w:val="-6"/>
        </w:rPr>
        <w:t xml:space="preserve"> </w:t>
      </w:r>
      <w:r w:rsidRPr="00EC20A0">
        <w:t>the</w:t>
      </w:r>
      <w:r w:rsidRPr="00EC20A0">
        <w:rPr>
          <w:spacing w:val="-4"/>
        </w:rPr>
        <w:t xml:space="preserve"> </w:t>
      </w:r>
      <w:r w:rsidRPr="00EC20A0">
        <w:t>subject</w:t>
      </w:r>
      <w:r w:rsidRPr="00EC20A0">
        <w:rPr>
          <w:spacing w:val="-5"/>
        </w:rPr>
        <w:t xml:space="preserve"> </w:t>
      </w:r>
      <w:r w:rsidRPr="00EC20A0">
        <w:t>matter</w:t>
      </w:r>
      <w:r w:rsidRPr="00EC20A0">
        <w:rPr>
          <w:spacing w:val="-4"/>
        </w:rPr>
        <w:t xml:space="preserve"> </w:t>
      </w:r>
      <w:r w:rsidRPr="00EC20A0">
        <w:t>is</w:t>
      </w:r>
      <w:r w:rsidRPr="00EC20A0">
        <w:rPr>
          <w:spacing w:val="-4"/>
        </w:rPr>
        <w:t xml:space="preserve"> </w:t>
      </w:r>
      <w:r w:rsidRPr="00EC20A0">
        <w:t>based</w:t>
      </w:r>
      <w:r w:rsidRPr="00EC20A0">
        <w:rPr>
          <w:spacing w:val="-4"/>
        </w:rPr>
        <w:t xml:space="preserve"> </w:t>
      </w:r>
      <w:r w:rsidRPr="00EC20A0">
        <w:t>solely</w:t>
      </w:r>
      <w:r w:rsidRPr="00EC20A0">
        <w:rPr>
          <w:spacing w:val="-4"/>
        </w:rPr>
        <w:t xml:space="preserve"> </w:t>
      </w:r>
      <w:r w:rsidRPr="00EC20A0">
        <w:t>on</w:t>
      </w:r>
      <w:r w:rsidRPr="00EC20A0">
        <w:rPr>
          <w:spacing w:val="-4"/>
        </w:rPr>
        <w:t xml:space="preserve"> </w:t>
      </w:r>
      <w:r w:rsidRPr="00EC20A0">
        <w:t>representations received from the engaging party, the auditor’s agreed-upon procedures report should include a statement to that effect.</w:t>
      </w:r>
    </w:p>
    <w:p w14:paraId="24D609CF" w14:textId="77777777" w:rsidR="00245300" w:rsidRPr="00EC20A0" w:rsidRDefault="00F17249">
      <w:pPr>
        <w:pStyle w:val="ListParagraph"/>
        <w:numPr>
          <w:ilvl w:val="1"/>
          <w:numId w:val="172"/>
        </w:numPr>
        <w:tabs>
          <w:tab w:val="left" w:pos="1919"/>
        </w:tabs>
        <w:spacing w:before="241"/>
        <w:ind w:right="424"/>
      </w:pPr>
      <w:r w:rsidRPr="00EC20A0">
        <w:t>A statement that the engaging party acknowledged that the procedures performed</w:t>
      </w:r>
      <w:r w:rsidRPr="00EC20A0">
        <w:rPr>
          <w:spacing w:val="-4"/>
        </w:rPr>
        <w:t xml:space="preserve"> </w:t>
      </w:r>
      <w:r w:rsidRPr="00EC20A0">
        <w:t>are</w:t>
      </w:r>
      <w:r w:rsidRPr="00EC20A0">
        <w:rPr>
          <w:spacing w:val="-4"/>
        </w:rPr>
        <w:t xml:space="preserve"> </w:t>
      </w:r>
      <w:r w:rsidRPr="00EC20A0">
        <w:t>appropriate</w:t>
      </w:r>
      <w:r w:rsidRPr="00EC20A0">
        <w:rPr>
          <w:spacing w:val="-4"/>
        </w:rPr>
        <w:t xml:space="preserve"> </w:t>
      </w:r>
      <w:r w:rsidRPr="00EC20A0">
        <w:t>to</w:t>
      </w:r>
      <w:r w:rsidRPr="00EC20A0">
        <w:rPr>
          <w:spacing w:val="-4"/>
        </w:rPr>
        <w:t xml:space="preserve"> </w:t>
      </w:r>
      <w:r w:rsidRPr="00EC20A0">
        <w:t>meet</w:t>
      </w:r>
      <w:r w:rsidRPr="00EC20A0">
        <w:rPr>
          <w:spacing w:val="-4"/>
        </w:rPr>
        <w:t xml:space="preserve"> </w:t>
      </w:r>
      <w:r w:rsidRPr="00EC20A0">
        <w:t>the</w:t>
      </w:r>
      <w:r w:rsidRPr="00EC20A0">
        <w:rPr>
          <w:spacing w:val="-4"/>
        </w:rPr>
        <w:t xml:space="preserve"> </w:t>
      </w:r>
      <w:r w:rsidRPr="00EC20A0">
        <w:t>intended</w:t>
      </w:r>
      <w:r w:rsidRPr="00EC20A0">
        <w:rPr>
          <w:spacing w:val="-4"/>
        </w:rPr>
        <w:t xml:space="preserve"> </w:t>
      </w:r>
      <w:r w:rsidRPr="00EC20A0">
        <w:t>purpose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engagement.</w:t>
      </w:r>
    </w:p>
    <w:p w14:paraId="24D609D0" w14:textId="77777777" w:rsidR="00245300" w:rsidRPr="00EC20A0" w:rsidRDefault="00F17249">
      <w:pPr>
        <w:pStyle w:val="ListParagraph"/>
        <w:numPr>
          <w:ilvl w:val="1"/>
          <w:numId w:val="172"/>
        </w:numPr>
        <w:tabs>
          <w:tab w:val="left" w:pos="1919"/>
        </w:tabs>
        <w:ind w:right="791"/>
      </w:pPr>
      <w:r w:rsidRPr="00EC20A0">
        <w:t>An identification of the intended purpose of the engagement in sufficient detail</w:t>
      </w:r>
      <w:r w:rsidRPr="00EC20A0">
        <w:rPr>
          <w:spacing w:val="-4"/>
        </w:rPr>
        <w:t xml:space="preserve"> </w:t>
      </w:r>
      <w:r w:rsidRPr="00EC20A0">
        <w:t>to</w:t>
      </w:r>
      <w:r w:rsidRPr="00EC20A0">
        <w:rPr>
          <w:spacing w:val="-4"/>
        </w:rPr>
        <w:t xml:space="preserve"> </w:t>
      </w:r>
      <w:r w:rsidRPr="00EC20A0">
        <w:t>enable</w:t>
      </w:r>
      <w:r w:rsidRPr="00EC20A0">
        <w:rPr>
          <w:spacing w:val="-4"/>
        </w:rPr>
        <w:t xml:space="preserve"> </w:t>
      </w:r>
      <w:r w:rsidRPr="00EC20A0">
        <w:t>the</w:t>
      </w:r>
      <w:r w:rsidRPr="00EC20A0">
        <w:rPr>
          <w:spacing w:val="-4"/>
        </w:rPr>
        <w:t xml:space="preserve"> </w:t>
      </w:r>
      <w:r w:rsidRPr="00EC20A0">
        <w:t>user</w:t>
      </w:r>
      <w:r w:rsidRPr="00EC20A0">
        <w:rPr>
          <w:spacing w:val="-5"/>
        </w:rPr>
        <w:t xml:space="preserve"> </w:t>
      </w:r>
      <w:r w:rsidRPr="00EC20A0">
        <w:t>to</w:t>
      </w:r>
      <w:r w:rsidRPr="00EC20A0">
        <w:rPr>
          <w:spacing w:val="-4"/>
        </w:rPr>
        <w:t xml:space="preserve"> </w:t>
      </w:r>
      <w:r w:rsidRPr="00EC20A0">
        <w:t>understand</w:t>
      </w:r>
      <w:r w:rsidRPr="00EC20A0">
        <w:rPr>
          <w:spacing w:val="-4"/>
        </w:rPr>
        <w:t xml:space="preserve"> </w:t>
      </w:r>
      <w:r w:rsidRPr="00EC20A0">
        <w:t>the</w:t>
      </w:r>
      <w:r w:rsidRPr="00EC20A0">
        <w:rPr>
          <w:spacing w:val="-4"/>
        </w:rPr>
        <w:t xml:space="preserve"> </w:t>
      </w:r>
      <w:r w:rsidRPr="00EC20A0">
        <w:t>nature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work</w:t>
      </w:r>
      <w:r w:rsidRPr="00EC20A0">
        <w:rPr>
          <w:spacing w:val="-4"/>
        </w:rPr>
        <w:t xml:space="preserve"> </w:t>
      </w:r>
      <w:r w:rsidRPr="00EC20A0">
        <w:t>performed.</w:t>
      </w:r>
    </w:p>
    <w:p w14:paraId="24D609D1" w14:textId="77777777" w:rsidR="00245300" w:rsidRPr="00EC20A0" w:rsidRDefault="00F17249">
      <w:pPr>
        <w:pStyle w:val="ListParagraph"/>
        <w:numPr>
          <w:ilvl w:val="1"/>
          <w:numId w:val="172"/>
        </w:numPr>
        <w:tabs>
          <w:tab w:val="left" w:pos="1919"/>
        </w:tabs>
        <w:spacing w:before="239"/>
        <w:ind w:right="1095"/>
      </w:pPr>
      <w:r w:rsidRPr="00EC20A0">
        <w:t>A</w:t>
      </w:r>
      <w:r w:rsidRPr="00EC20A0">
        <w:rPr>
          <w:spacing w:val="-4"/>
        </w:rPr>
        <w:t xml:space="preserve"> </w:t>
      </w:r>
      <w:r w:rsidRPr="00EC20A0">
        <w:t>statement</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report</w:t>
      </w:r>
      <w:r w:rsidRPr="00EC20A0">
        <w:rPr>
          <w:spacing w:val="-4"/>
        </w:rPr>
        <w:t xml:space="preserve"> </w:t>
      </w:r>
      <w:r w:rsidRPr="00EC20A0">
        <w:t>may</w:t>
      </w:r>
      <w:r w:rsidRPr="00EC20A0">
        <w:rPr>
          <w:spacing w:val="-3"/>
        </w:rPr>
        <w:t xml:space="preserve"> </w:t>
      </w:r>
      <w:r w:rsidRPr="00EC20A0">
        <w:t>not</w:t>
      </w:r>
      <w:r w:rsidRPr="00EC20A0">
        <w:rPr>
          <w:spacing w:val="-3"/>
        </w:rPr>
        <w:t xml:space="preserve"> </w:t>
      </w:r>
      <w:r w:rsidRPr="00EC20A0">
        <w:t>be</w:t>
      </w:r>
      <w:r w:rsidRPr="00EC20A0">
        <w:rPr>
          <w:spacing w:val="-3"/>
        </w:rPr>
        <w:t xml:space="preserve"> </w:t>
      </w:r>
      <w:r w:rsidRPr="00EC20A0">
        <w:t>suitable</w:t>
      </w:r>
      <w:r w:rsidRPr="00EC20A0">
        <w:rPr>
          <w:spacing w:val="-3"/>
        </w:rPr>
        <w:t xml:space="preserve"> </w:t>
      </w:r>
      <w:r w:rsidRPr="00EC20A0">
        <w:t>for</w:t>
      </w:r>
      <w:r w:rsidRPr="00EC20A0">
        <w:rPr>
          <w:spacing w:val="-5"/>
        </w:rPr>
        <w:t xml:space="preserve"> </w:t>
      </w:r>
      <w:r w:rsidRPr="00EC20A0">
        <w:t>any</w:t>
      </w:r>
      <w:r w:rsidRPr="00EC20A0">
        <w:rPr>
          <w:spacing w:val="-3"/>
        </w:rPr>
        <w:t xml:space="preserve"> </w:t>
      </w:r>
      <w:r w:rsidRPr="00EC20A0">
        <w:t xml:space="preserve">other </w:t>
      </w:r>
      <w:r w:rsidRPr="00EC20A0">
        <w:rPr>
          <w:spacing w:val="-2"/>
        </w:rPr>
        <w:t>purpose.</w:t>
      </w:r>
    </w:p>
    <w:p w14:paraId="24D609D2" w14:textId="77777777" w:rsidR="00245300" w:rsidRPr="00EC20A0" w:rsidRDefault="00F17249">
      <w:pPr>
        <w:pStyle w:val="ListParagraph"/>
        <w:numPr>
          <w:ilvl w:val="1"/>
          <w:numId w:val="172"/>
        </w:numPr>
        <w:tabs>
          <w:tab w:val="left" w:pos="1919"/>
        </w:tabs>
        <w:spacing w:before="241"/>
        <w:ind w:right="387"/>
      </w:pPr>
      <w:r w:rsidRPr="00EC20A0">
        <w:t>A statement that the procedures performed may not address all the items of interest</w:t>
      </w:r>
      <w:r w:rsidRPr="00EC20A0">
        <w:rPr>
          <w:spacing w:val="-3"/>
        </w:rPr>
        <w:t xml:space="preserve"> </w:t>
      </w:r>
      <w:r w:rsidRPr="00EC20A0">
        <w:t>to</w:t>
      </w:r>
      <w:r w:rsidRPr="00EC20A0">
        <w:rPr>
          <w:spacing w:val="-3"/>
        </w:rPr>
        <w:t xml:space="preserve"> </w:t>
      </w:r>
      <w:r w:rsidRPr="00EC20A0">
        <w:t>a</w:t>
      </w:r>
      <w:r w:rsidRPr="00EC20A0">
        <w:rPr>
          <w:spacing w:val="-3"/>
        </w:rPr>
        <w:t xml:space="preserve"> </w:t>
      </w:r>
      <w:r w:rsidRPr="00EC20A0">
        <w:t>user</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report</w:t>
      </w:r>
      <w:r w:rsidRPr="00EC20A0">
        <w:rPr>
          <w:spacing w:val="-3"/>
        </w:rPr>
        <w:t xml:space="preserve"> </w:t>
      </w:r>
      <w:r w:rsidRPr="00EC20A0">
        <w:t>and</w:t>
      </w:r>
      <w:r w:rsidRPr="00EC20A0">
        <w:rPr>
          <w:spacing w:val="-3"/>
        </w:rPr>
        <w:t xml:space="preserve"> </w:t>
      </w:r>
      <w:r w:rsidRPr="00EC20A0">
        <w:t>may</w:t>
      </w:r>
      <w:r w:rsidRPr="00EC20A0">
        <w:rPr>
          <w:spacing w:val="-3"/>
        </w:rPr>
        <w:t xml:space="preserve"> </w:t>
      </w:r>
      <w:r w:rsidRPr="00EC20A0">
        <w:t>not</w:t>
      </w:r>
      <w:r w:rsidRPr="00EC20A0">
        <w:rPr>
          <w:spacing w:val="-3"/>
        </w:rPr>
        <w:t xml:space="preserve"> </w:t>
      </w:r>
      <w:r w:rsidRPr="00EC20A0">
        <w:t>meet</w:t>
      </w:r>
      <w:r w:rsidRPr="00EC20A0">
        <w:rPr>
          <w:spacing w:val="-3"/>
        </w:rPr>
        <w:t xml:space="preserve"> </w:t>
      </w:r>
      <w:r w:rsidRPr="00EC20A0">
        <w:t>the</w:t>
      </w:r>
      <w:r w:rsidRPr="00EC20A0">
        <w:rPr>
          <w:spacing w:val="-3"/>
        </w:rPr>
        <w:t xml:space="preserve"> </w:t>
      </w:r>
      <w:r w:rsidRPr="00EC20A0">
        <w:t>needs</w:t>
      </w:r>
      <w:r w:rsidRPr="00EC20A0">
        <w:rPr>
          <w:spacing w:val="-3"/>
        </w:rPr>
        <w:t xml:space="preserve"> </w:t>
      </w:r>
      <w:r w:rsidRPr="00EC20A0">
        <w:t>of</w:t>
      </w:r>
      <w:r w:rsidRPr="00EC20A0">
        <w:rPr>
          <w:spacing w:val="-3"/>
        </w:rPr>
        <w:t xml:space="preserve"> </w:t>
      </w:r>
      <w:r w:rsidRPr="00EC20A0">
        <w:t>all</w:t>
      </w:r>
      <w:r w:rsidRPr="00EC20A0">
        <w:rPr>
          <w:spacing w:val="-3"/>
        </w:rPr>
        <w:t xml:space="preserve"> </w:t>
      </w:r>
      <w:r w:rsidRPr="00EC20A0">
        <w:t>users</w:t>
      </w:r>
      <w:r w:rsidRPr="00EC20A0">
        <w:rPr>
          <w:spacing w:val="-3"/>
        </w:rPr>
        <w:t xml:space="preserve"> </w:t>
      </w:r>
      <w:r w:rsidRPr="00EC20A0">
        <w:t>of</w:t>
      </w:r>
      <w:r w:rsidRPr="00EC20A0">
        <w:rPr>
          <w:spacing w:val="-3"/>
        </w:rPr>
        <w:t xml:space="preserve"> </w:t>
      </w:r>
      <w:r w:rsidRPr="00EC20A0">
        <w:t xml:space="preserve">the report and, as such, users are responsible for </w:t>
      </w:r>
      <w:r w:rsidRPr="00EC20A0">
        <w:t>determining whether the procedures performed are appropriate for their purposes.</w:t>
      </w:r>
    </w:p>
    <w:p w14:paraId="24D609D3" w14:textId="77777777" w:rsidR="00245300" w:rsidRPr="00EC20A0" w:rsidRDefault="00F17249">
      <w:pPr>
        <w:pStyle w:val="ListParagraph"/>
        <w:numPr>
          <w:ilvl w:val="1"/>
          <w:numId w:val="172"/>
        </w:numPr>
        <w:tabs>
          <w:tab w:val="left" w:pos="1919"/>
        </w:tabs>
        <w:spacing w:before="239"/>
        <w:ind w:right="399" w:hanging="361"/>
      </w:pPr>
      <w:r w:rsidRPr="00EC20A0">
        <w:t>A statement that an agreed-upon procedures engagement involves the auditor</w:t>
      </w:r>
      <w:r w:rsidRPr="00EC20A0">
        <w:rPr>
          <w:spacing w:val="-4"/>
        </w:rPr>
        <w:t xml:space="preserve"> </w:t>
      </w:r>
      <w:r w:rsidRPr="00EC20A0">
        <w:t>performing</w:t>
      </w:r>
      <w:r w:rsidRPr="00EC20A0">
        <w:rPr>
          <w:spacing w:val="-4"/>
        </w:rPr>
        <w:t xml:space="preserve"> </w:t>
      </w:r>
      <w:r w:rsidRPr="00EC20A0">
        <w:t>specific</w:t>
      </w:r>
      <w:r w:rsidRPr="00EC20A0">
        <w:rPr>
          <w:spacing w:val="-4"/>
        </w:rPr>
        <w:t xml:space="preserve"> </w:t>
      </w:r>
      <w:r w:rsidRPr="00EC20A0">
        <w:t>procedures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engaging</w:t>
      </w:r>
      <w:r w:rsidRPr="00EC20A0">
        <w:rPr>
          <w:spacing w:val="-4"/>
        </w:rPr>
        <w:t xml:space="preserve"> </w:t>
      </w:r>
      <w:r w:rsidRPr="00EC20A0">
        <w:t>party</w:t>
      </w:r>
      <w:r w:rsidRPr="00EC20A0">
        <w:rPr>
          <w:spacing w:val="-4"/>
        </w:rPr>
        <w:t xml:space="preserve"> </w:t>
      </w:r>
      <w:r w:rsidRPr="00EC20A0">
        <w:t>has</w:t>
      </w:r>
      <w:r w:rsidRPr="00EC20A0">
        <w:rPr>
          <w:spacing w:val="-4"/>
        </w:rPr>
        <w:t xml:space="preserve"> </w:t>
      </w:r>
      <w:r w:rsidRPr="00EC20A0">
        <w:t>agreed</w:t>
      </w:r>
      <w:r w:rsidRPr="00EC20A0">
        <w:rPr>
          <w:spacing w:val="-4"/>
        </w:rPr>
        <w:t xml:space="preserve"> </w:t>
      </w:r>
      <w:r w:rsidRPr="00EC20A0">
        <w:t>to and acknowledged to be appropriate for the intended purpose of the engagement and reporting on findings based on the procedures performed.</w:t>
      </w:r>
    </w:p>
    <w:p w14:paraId="24D609D4" w14:textId="77777777" w:rsidR="00245300" w:rsidRPr="00EC20A0" w:rsidRDefault="00F17249">
      <w:pPr>
        <w:pStyle w:val="ListParagraph"/>
        <w:numPr>
          <w:ilvl w:val="1"/>
          <w:numId w:val="172"/>
        </w:numPr>
        <w:tabs>
          <w:tab w:val="left" w:pos="1919"/>
        </w:tabs>
        <w:ind w:right="317"/>
      </w:pPr>
      <w:r w:rsidRPr="00EC20A0">
        <w:t>A</w:t>
      </w:r>
      <w:r w:rsidRPr="00EC20A0">
        <w:rPr>
          <w:spacing w:val="-11"/>
        </w:rPr>
        <w:t xml:space="preserve"> </w:t>
      </w:r>
      <w:r w:rsidRPr="00EC20A0">
        <w:t>description</w:t>
      </w:r>
      <w:r w:rsidRPr="00EC20A0">
        <w:rPr>
          <w:spacing w:val="-11"/>
        </w:rPr>
        <w:t xml:space="preserve"> </w:t>
      </w:r>
      <w:r w:rsidRPr="00EC20A0">
        <w:t>of</w:t>
      </w:r>
      <w:r w:rsidRPr="00EC20A0">
        <w:rPr>
          <w:spacing w:val="-11"/>
        </w:rPr>
        <w:t xml:space="preserve"> </w:t>
      </w:r>
      <w:r w:rsidRPr="00EC20A0">
        <w:t>the</w:t>
      </w:r>
      <w:r w:rsidRPr="00EC20A0">
        <w:rPr>
          <w:spacing w:val="-11"/>
        </w:rPr>
        <w:t xml:space="preserve"> </w:t>
      </w:r>
      <w:r w:rsidRPr="00EC20A0">
        <w:t>procedures</w:t>
      </w:r>
      <w:r w:rsidRPr="00EC20A0">
        <w:rPr>
          <w:spacing w:val="-10"/>
        </w:rPr>
        <w:t xml:space="preserve"> </w:t>
      </w:r>
      <w:r w:rsidRPr="00EC20A0">
        <w:t>performed</w:t>
      </w:r>
      <w:r w:rsidRPr="00EC20A0">
        <w:rPr>
          <w:spacing w:val="-10"/>
        </w:rPr>
        <w:t xml:space="preserve"> </w:t>
      </w:r>
      <w:r w:rsidRPr="00EC20A0">
        <w:t>detailing</w:t>
      </w:r>
      <w:r w:rsidRPr="00EC20A0">
        <w:rPr>
          <w:spacing w:val="-11"/>
        </w:rPr>
        <w:t xml:space="preserve"> </w:t>
      </w:r>
      <w:r w:rsidRPr="00EC20A0">
        <w:t>the</w:t>
      </w:r>
      <w:r w:rsidRPr="00EC20A0">
        <w:rPr>
          <w:spacing w:val="-11"/>
        </w:rPr>
        <w:t xml:space="preserve"> </w:t>
      </w:r>
      <w:r w:rsidRPr="00EC20A0">
        <w:t>nature</w:t>
      </w:r>
      <w:r w:rsidRPr="00EC20A0">
        <w:rPr>
          <w:spacing w:val="-11"/>
        </w:rPr>
        <w:t xml:space="preserve"> </w:t>
      </w:r>
      <w:r w:rsidRPr="00EC20A0">
        <w:t>and</w:t>
      </w:r>
      <w:r w:rsidRPr="00EC20A0">
        <w:rPr>
          <w:spacing w:val="-11"/>
        </w:rPr>
        <w:t xml:space="preserve"> </w:t>
      </w:r>
      <w:r w:rsidRPr="00EC20A0">
        <w:t>extent</w:t>
      </w:r>
      <w:r w:rsidRPr="00EC20A0">
        <w:rPr>
          <w:spacing w:val="-10"/>
        </w:rPr>
        <w:t xml:space="preserve"> </w:t>
      </w:r>
      <w:r w:rsidRPr="00EC20A0">
        <w:t>and, if applicable, the timing, of each procedure.</w:t>
      </w:r>
    </w:p>
    <w:p w14:paraId="24D609D5" w14:textId="77777777" w:rsidR="00245300" w:rsidRPr="00EC20A0" w:rsidRDefault="00245300">
      <w:pPr>
        <w:sectPr w:rsidR="00245300" w:rsidRPr="00EC20A0">
          <w:pgSz w:w="12240" w:h="15840"/>
          <w:pgMar w:top="1340" w:right="1140" w:bottom="1020" w:left="1320" w:header="721" w:footer="757" w:gutter="0"/>
          <w:cols w:space="720"/>
        </w:sectPr>
      </w:pPr>
    </w:p>
    <w:p w14:paraId="24D609D6" w14:textId="77777777" w:rsidR="00245300" w:rsidRPr="00EC20A0" w:rsidRDefault="00F17249">
      <w:pPr>
        <w:pStyle w:val="ListParagraph"/>
        <w:numPr>
          <w:ilvl w:val="1"/>
          <w:numId w:val="172"/>
        </w:numPr>
        <w:tabs>
          <w:tab w:val="left" w:pos="1920"/>
        </w:tabs>
        <w:spacing w:before="121"/>
        <w:ind w:left="1920" w:right="1009" w:hanging="361"/>
      </w:pPr>
      <w:r w:rsidRPr="00EC20A0">
        <w:t>A</w:t>
      </w:r>
      <w:r w:rsidRPr="00EC20A0">
        <w:rPr>
          <w:spacing w:val="-5"/>
        </w:rPr>
        <w:t xml:space="preserve"> </w:t>
      </w:r>
      <w:r w:rsidRPr="00EC20A0">
        <w:t>description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findings</w:t>
      </w:r>
      <w:r w:rsidRPr="00EC20A0">
        <w:rPr>
          <w:spacing w:val="-4"/>
        </w:rPr>
        <w:t xml:space="preserve"> </w:t>
      </w:r>
      <w:r w:rsidRPr="00EC20A0">
        <w:t>from</w:t>
      </w:r>
      <w:r w:rsidRPr="00EC20A0">
        <w:rPr>
          <w:spacing w:val="-5"/>
        </w:rPr>
        <w:t xml:space="preserve"> </w:t>
      </w:r>
      <w:r w:rsidRPr="00EC20A0">
        <w:t>each</w:t>
      </w:r>
      <w:r w:rsidRPr="00EC20A0">
        <w:rPr>
          <w:spacing w:val="-4"/>
        </w:rPr>
        <w:t xml:space="preserve"> </w:t>
      </w:r>
      <w:r w:rsidRPr="00EC20A0">
        <w:t>procedure</w:t>
      </w:r>
      <w:r w:rsidRPr="00EC20A0">
        <w:rPr>
          <w:spacing w:val="-4"/>
        </w:rPr>
        <w:t xml:space="preserve"> </w:t>
      </w:r>
      <w:r w:rsidRPr="00EC20A0">
        <w:t>performed,</w:t>
      </w:r>
      <w:r w:rsidRPr="00EC20A0">
        <w:rPr>
          <w:spacing w:val="-4"/>
        </w:rPr>
        <w:t xml:space="preserve"> </w:t>
      </w:r>
      <w:r w:rsidRPr="00EC20A0">
        <w:t>including sufficient details on exceptions found.</w:t>
      </w:r>
    </w:p>
    <w:p w14:paraId="24D609D7" w14:textId="77777777" w:rsidR="00245300" w:rsidRPr="00EC20A0" w:rsidRDefault="00F17249">
      <w:pPr>
        <w:pStyle w:val="ListParagraph"/>
        <w:numPr>
          <w:ilvl w:val="1"/>
          <w:numId w:val="172"/>
        </w:numPr>
        <w:tabs>
          <w:tab w:val="left" w:pos="1920"/>
        </w:tabs>
        <w:spacing w:before="239"/>
        <w:ind w:left="1920" w:right="523"/>
      </w:pPr>
      <w:r w:rsidRPr="00EC20A0">
        <w:t>If</w:t>
      </w:r>
      <w:r w:rsidRPr="00EC20A0">
        <w:rPr>
          <w:spacing w:val="-11"/>
        </w:rPr>
        <w:t xml:space="preserve"> </w:t>
      </w:r>
      <w:r w:rsidRPr="00EC20A0">
        <w:t>applicable,</w:t>
      </w:r>
      <w:r w:rsidRPr="00EC20A0">
        <w:rPr>
          <w:spacing w:val="-10"/>
        </w:rPr>
        <w:t xml:space="preserve"> </w:t>
      </w:r>
      <w:r w:rsidRPr="00EC20A0">
        <w:t>a</w:t>
      </w:r>
      <w:r w:rsidRPr="00EC20A0">
        <w:rPr>
          <w:spacing w:val="-11"/>
        </w:rPr>
        <w:t xml:space="preserve"> </w:t>
      </w:r>
      <w:r w:rsidRPr="00EC20A0">
        <w:t>description</w:t>
      </w:r>
      <w:r w:rsidRPr="00EC20A0">
        <w:rPr>
          <w:spacing w:val="-11"/>
        </w:rPr>
        <w:t xml:space="preserve"> </w:t>
      </w:r>
      <w:r w:rsidRPr="00EC20A0">
        <w:t>of</w:t>
      </w:r>
      <w:r w:rsidRPr="00EC20A0">
        <w:rPr>
          <w:spacing w:val="-11"/>
        </w:rPr>
        <w:t xml:space="preserve"> </w:t>
      </w:r>
      <w:r w:rsidRPr="00EC20A0">
        <w:t>any</w:t>
      </w:r>
      <w:r w:rsidRPr="00EC20A0">
        <w:rPr>
          <w:spacing w:val="-10"/>
        </w:rPr>
        <w:t xml:space="preserve"> </w:t>
      </w:r>
      <w:r w:rsidRPr="00EC20A0">
        <w:t>specified</w:t>
      </w:r>
      <w:r w:rsidRPr="00EC20A0">
        <w:rPr>
          <w:spacing w:val="-11"/>
        </w:rPr>
        <w:t xml:space="preserve"> </w:t>
      </w:r>
      <w:r w:rsidRPr="00EC20A0">
        <w:t>threshold</w:t>
      </w:r>
      <w:r w:rsidRPr="00EC20A0">
        <w:rPr>
          <w:spacing w:val="-11"/>
        </w:rPr>
        <w:t xml:space="preserve"> </w:t>
      </w:r>
      <w:r w:rsidRPr="00EC20A0">
        <w:t>that</w:t>
      </w:r>
      <w:r w:rsidRPr="00EC20A0">
        <w:rPr>
          <w:spacing w:val="-11"/>
        </w:rPr>
        <w:t xml:space="preserve"> </w:t>
      </w:r>
      <w:r w:rsidRPr="00EC20A0">
        <w:t>the</w:t>
      </w:r>
      <w:r w:rsidRPr="00EC20A0">
        <w:rPr>
          <w:spacing w:val="-10"/>
        </w:rPr>
        <w:t xml:space="preserve"> </w:t>
      </w:r>
      <w:r w:rsidRPr="00EC20A0">
        <w:t>engaging</w:t>
      </w:r>
      <w:r w:rsidRPr="00EC20A0">
        <w:rPr>
          <w:spacing w:val="-11"/>
        </w:rPr>
        <w:t xml:space="preserve"> </w:t>
      </w:r>
      <w:r w:rsidRPr="00EC20A0">
        <w:t>party established for reporting exceptions.</w:t>
      </w:r>
    </w:p>
    <w:p w14:paraId="24D609D8" w14:textId="77777777" w:rsidR="00245300" w:rsidRPr="00EC20A0" w:rsidRDefault="00F17249">
      <w:pPr>
        <w:pStyle w:val="ListParagraph"/>
        <w:numPr>
          <w:ilvl w:val="1"/>
          <w:numId w:val="172"/>
        </w:numPr>
        <w:tabs>
          <w:tab w:val="left" w:pos="1920"/>
        </w:tabs>
        <w:spacing w:before="241"/>
        <w:ind w:left="1920" w:right="384"/>
      </w:pPr>
      <w:r w:rsidRPr="00EC20A0">
        <w:t>A</w:t>
      </w:r>
      <w:r w:rsidRPr="00EC20A0">
        <w:rPr>
          <w:spacing w:val="-8"/>
        </w:rPr>
        <w:t xml:space="preserve"> </w:t>
      </w:r>
      <w:r w:rsidRPr="00EC20A0">
        <w:t>statement</w:t>
      </w:r>
      <w:r w:rsidRPr="00EC20A0">
        <w:rPr>
          <w:spacing w:val="-6"/>
        </w:rPr>
        <w:t xml:space="preserve"> </w:t>
      </w:r>
      <w:r w:rsidRPr="00EC20A0">
        <w:t>that</w:t>
      </w:r>
      <w:r w:rsidRPr="00EC20A0">
        <w:rPr>
          <w:spacing w:val="-6"/>
        </w:rPr>
        <w:t xml:space="preserve"> </w:t>
      </w:r>
      <w:r w:rsidRPr="00EC20A0">
        <w:t>the</w:t>
      </w:r>
      <w:r w:rsidRPr="00EC20A0">
        <w:rPr>
          <w:spacing w:val="-6"/>
        </w:rPr>
        <w:t xml:space="preserve"> </w:t>
      </w:r>
      <w:r w:rsidRPr="00EC20A0">
        <w:t>agreed-upon</w:t>
      </w:r>
      <w:r w:rsidRPr="00EC20A0">
        <w:rPr>
          <w:spacing w:val="-6"/>
        </w:rPr>
        <w:t xml:space="preserve"> </w:t>
      </w:r>
      <w:r w:rsidRPr="00EC20A0">
        <w:t>procedures</w:t>
      </w:r>
      <w:r w:rsidRPr="00EC20A0">
        <w:rPr>
          <w:spacing w:val="-6"/>
        </w:rPr>
        <w:t xml:space="preserve"> </w:t>
      </w:r>
      <w:r w:rsidRPr="00EC20A0">
        <w:t>engagement</w:t>
      </w:r>
      <w:r w:rsidRPr="00EC20A0">
        <w:rPr>
          <w:spacing w:val="-6"/>
        </w:rPr>
        <w:t xml:space="preserve"> </w:t>
      </w:r>
      <w:r w:rsidRPr="00EC20A0">
        <w:t>was</w:t>
      </w:r>
      <w:r w:rsidRPr="00EC20A0">
        <w:rPr>
          <w:spacing w:val="-6"/>
        </w:rPr>
        <w:t xml:space="preserve"> </w:t>
      </w:r>
      <w:r w:rsidRPr="00EC20A0">
        <w:t>conducted</w:t>
      </w:r>
      <w:r w:rsidRPr="00EC20A0">
        <w:rPr>
          <w:spacing w:val="-6"/>
        </w:rPr>
        <w:t xml:space="preserve"> </w:t>
      </w:r>
      <w:r w:rsidRPr="00EC20A0">
        <w:t>in accordance with the AICPA’s attestation standards.</w:t>
      </w:r>
    </w:p>
    <w:p w14:paraId="24D609D9" w14:textId="77777777" w:rsidR="00245300" w:rsidRPr="00EC20A0" w:rsidRDefault="00F17249">
      <w:pPr>
        <w:pStyle w:val="ListParagraph"/>
        <w:numPr>
          <w:ilvl w:val="1"/>
          <w:numId w:val="172"/>
        </w:numPr>
        <w:tabs>
          <w:tab w:val="left" w:pos="1919"/>
        </w:tabs>
        <w:ind w:right="398"/>
      </w:pPr>
      <w:r w:rsidRPr="00EC20A0">
        <w:t>A statement that the auditor was not engaged to and did not conduct an examination</w:t>
      </w:r>
      <w:r w:rsidRPr="00EC20A0">
        <w:rPr>
          <w:spacing w:val="-4"/>
        </w:rPr>
        <w:t xml:space="preserve"> </w:t>
      </w:r>
      <w:r w:rsidRPr="00EC20A0">
        <w:t>or</w:t>
      </w:r>
      <w:r w:rsidRPr="00EC20A0">
        <w:rPr>
          <w:spacing w:val="-4"/>
        </w:rPr>
        <w:t xml:space="preserve"> </w:t>
      </w:r>
      <w:r w:rsidRPr="00EC20A0">
        <w:t>review,</w:t>
      </w:r>
      <w:r w:rsidRPr="00EC20A0">
        <w:rPr>
          <w:spacing w:val="-4"/>
        </w:rPr>
        <w:t xml:space="preserve"> </w:t>
      </w:r>
      <w:r w:rsidRPr="00EC20A0">
        <w:t>the</w:t>
      </w:r>
      <w:r w:rsidRPr="00EC20A0">
        <w:rPr>
          <w:spacing w:val="-4"/>
        </w:rPr>
        <w:t xml:space="preserve"> </w:t>
      </w:r>
      <w:r w:rsidRPr="00EC20A0">
        <w:t>objective</w:t>
      </w:r>
      <w:r w:rsidRPr="00EC20A0">
        <w:rPr>
          <w:spacing w:val="-5"/>
        </w:rPr>
        <w:t xml:space="preserve"> </w:t>
      </w:r>
      <w:r w:rsidRPr="00EC20A0">
        <w:t>of</w:t>
      </w:r>
      <w:r w:rsidRPr="00EC20A0">
        <w:rPr>
          <w:spacing w:val="-4"/>
        </w:rPr>
        <w:t xml:space="preserve"> </w:t>
      </w:r>
      <w:r w:rsidRPr="00EC20A0">
        <w:t>which</w:t>
      </w:r>
      <w:r w:rsidRPr="00EC20A0">
        <w:rPr>
          <w:spacing w:val="-4"/>
        </w:rPr>
        <w:t xml:space="preserve"> </w:t>
      </w:r>
      <w:r w:rsidRPr="00EC20A0">
        <w:t>would</w:t>
      </w:r>
      <w:r w:rsidRPr="00EC20A0">
        <w:rPr>
          <w:spacing w:val="-4"/>
        </w:rPr>
        <w:t xml:space="preserve"> </w:t>
      </w:r>
      <w:r w:rsidRPr="00EC20A0">
        <w:t>be</w:t>
      </w:r>
      <w:r w:rsidRPr="00EC20A0">
        <w:rPr>
          <w:spacing w:val="-4"/>
        </w:rPr>
        <w:t xml:space="preserve"> </w:t>
      </w:r>
      <w:r w:rsidRPr="00EC20A0">
        <w:t>to</w:t>
      </w:r>
      <w:r w:rsidRPr="00EC20A0">
        <w:rPr>
          <w:spacing w:val="-3"/>
        </w:rPr>
        <w:t xml:space="preserve"> </w:t>
      </w:r>
      <w:r w:rsidRPr="00EC20A0">
        <w:t>express</w:t>
      </w:r>
      <w:r w:rsidRPr="00EC20A0">
        <w:rPr>
          <w:spacing w:val="-4"/>
        </w:rPr>
        <w:t xml:space="preserve"> </w:t>
      </w:r>
      <w:r w:rsidRPr="00EC20A0">
        <w:t>an</w:t>
      </w:r>
      <w:r w:rsidRPr="00EC20A0">
        <w:rPr>
          <w:spacing w:val="-4"/>
        </w:rPr>
        <w:t xml:space="preserve"> </w:t>
      </w:r>
      <w:r w:rsidRPr="00EC20A0">
        <w:t xml:space="preserve">opinion or </w:t>
      </w:r>
      <w:r w:rsidRPr="00EC20A0">
        <w:t>conclusion, respectively, on the subject matter.</w:t>
      </w:r>
    </w:p>
    <w:p w14:paraId="24D609DA" w14:textId="77777777" w:rsidR="00245300" w:rsidRPr="00EC20A0" w:rsidRDefault="00F17249">
      <w:pPr>
        <w:pStyle w:val="ListParagraph"/>
        <w:numPr>
          <w:ilvl w:val="1"/>
          <w:numId w:val="172"/>
        </w:numPr>
        <w:tabs>
          <w:tab w:val="left" w:pos="1918"/>
        </w:tabs>
        <w:ind w:left="1918" w:hanging="359"/>
      </w:pPr>
      <w:r w:rsidRPr="00EC20A0">
        <w:t>A</w:t>
      </w:r>
      <w:r w:rsidRPr="00EC20A0">
        <w:rPr>
          <w:spacing w:val="-6"/>
        </w:rPr>
        <w:t xml:space="preserve"> </w:t>
      </w:r>
      <w:r w:rsidRPr="00EC20A0">
        <w:t>statement</w:t>
      </w:r>
      <w:r w:rsidRPr="00EC20A0">
        <w:rPr>
          <w:spacing w:val="-5"/>
        </w:rPr>
        <w:t xml:space="preserve"> </w:t>
      </w:r>
      <w:r w:rsidRPr="00EC20A0">
        <w:t>that</w:t>
      </w:r>
      <w:r w:rsidRPr="00EC20A0">
        <w:rPr>
          <w:spacing w:val="-6"/>
        </w:rPr>
        <w:t xml:space="preserve"> </w:t>
      </w:r>
      <w:r w:rsidRPr="00EC20A0">
        <w:t>the</w:t>
      </w:r>
      <w:r w:rsidRPr="00EC20A0">
        <w:rPr>
          <w:spacing w:val="-5"/>
        </w:rPr>
        <w:t xml:space="preserve"> </w:t>
      </w:r>
      <w:r w:rsidRPr="00EC20A0">
        <w:t>auditor</w:t>
      </w:r>
      <w:r w:rsidRPr="00EC20A0">
        <w:rPr>
          <w:spacing w:val="-5"/>
        </w:rPr>
        <w:t xml:space="preserve"> </w:t>
      </w:r>
      <w:r w:rsidRPr="00EC20A0">
        <w:t>does</w:t>
      </w:r>
      <w:r w:rsidRPr="00EC20A0">
        <w:rPr>
          <w:spacing w:val="-5"/>
        </w:rPr>
        <w:t xml:space="preserve"> </w:t>
      </w:r>
      <w:r w:rsidRPr="00EC20A0">
        <w:t>not</w:t>
      </w:r>
      <w:r w:rsidRPr="00EC20A0">
        <w:rPr>
          <w:spacing w:val="-6"/>
        </w:rPr>
        <w:t xml:space="preserve"> </w:t>
      </w:r>
      <w:r w:rsidRPr="00EC20A0">
        <w:t>express</w:t>
      </w:r>
      <w:r w:rsidRPr="00EC20A0">
        <w:rPr>
          <w:spacing w:val="-6"/>
        </w:rPr>
        <w:t xml:space="preserve"> </w:t>
      </w:r>
      <w:r w:rsidRPr="00EC20A0">
        <w:t>such</w:t>
      </w:r>
      <w:r w:rsidRPr="00EC20A0">
        <w:rPr>
          <w:spacing w:val="-5"/>
        </w:rPr>
        <w:t xml:space="preserve"> </w:t>
      </w:r>
      <w:r w:rsidRPr="00EC20A0">
        <w:t>an</w:t>
      </w:r>
      <w:r w:rsidRPr="00EC20A0">
        <w:rPr>
          <w:spacing w:val="-5"/>
        </w:rPr>
        <w:t xml:space="preserve"> </w:t>
      </w:r>
      <w:r w:rsidRPr="00EC20A0">
        <w:t>opinion</w:t>
      </w:r>
      <w:r w:rsidRPr="00EC20A0">
        <w:rPr>
          <w:spacing w:val="-5"/>
        </w:rPr>
        <w:t xml:space="preserve"> </w:t>
      </w:r>
      <w:r w:rsidRPr="00EC20A0">
        <w:t>or</w:t>
      </w:r>
      <w:r w:rsidRPr="00EC20A0">
        <w:rPr>
          <w:spacing w:val="-5"/>
        </w:rPr>
        <w:t xml:space="preserve"> </w:t>
      </w:r>
      <w:r w:rsidRPr="00EC20A0">
        <w:rPr>
          <w:spacing w:val="-2"/>
        </w:rPr>
        <w:t>conclusion.</w:t>
      </w:r>
    </w:p>
    <w:p w14:paraId="24D609DB" w14:textId="77777777" w:rsidR="00245300" w:rsidRPr="00EC20A0" w:rsidRDefault="00F17249">
      <w:pPr>
        <w:pStyle w:val="ListParagraph"/>
        <w:numPr>
          <w:ilvl w:val="1"/>
          <w:numId w:val="172"/>
        </w:numPr>
        <w:tabs>
          <w:tab w:val="left" w:pos="1919"/>
        </w:tabs>
        <w:ind w:right="825"/>
        <w:jc w:val="both"/>
      </w:pPr>
      <w:r w:rsidRPr="00EC20A0">
        <w:t xml:space="preserve">A statement that had the auditor performed additional </w:t>
      </w:r>
      <w:proofErr w:type="gramStart"/>
      <w:r w:rsidRPr="00EC20A0">
        <w:t>procedures,</w:t>
      </w:r>
      <w:proofErr w:type="gramEnd"/>
      <w:r w:rsidRPr="00EC20A0">
        <w:t xml:space="preserve"> other matters</w:t>
      </w:r>
      <w:r w:rsidRPr="00EC20A0">
        <w:rPr>
          <w:spacing w:val="-4"/>
        </w:rPr>
        <w:t xml:space="preserve"> </w:t>
      </w:r>
      <w:r w:rsidRPr="00EC20A0">
        <w:t>might</w:t>
      </w:r>
      <w:r w:rsidRPr="00EC20A0">
        <w:rPr>
          <w:spacing w:val="-4"/>
        </w:rPr>
        <w:t xml:space="preserve"> </w:t>
      </w:r>
      <w:r w:rsidRPr="00EC20A0">
        <w:t>have</w:t>
      </w:r>
      <w:r w:rsidRPr="00EC20A0">
        <w:rPr>
          <w:spacing w:val="-4"/>
        </w:rPr>
        <w:t xml:space="preserve"> </w:t>
      </w:r>
      <w:r w:rsidRPr="00EC20A0">
        <w:t>come</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attention</w:t>
      </w:r>
      <w:r w:rsidRPr="00EC20A0">
        <w:rPr>
          <w:spacing w:val="-4"/>
        </w:rPr>
        <w:t xml:space="preserve"> </w:t>
      </w:r>
      <w:r w:rsidRPr="00EC20A0">
        <w:t>that</w:t>
      </w:r>
      <w:r w:rsidRPr="00EC20A0">
        <w:rPr>
          <w:spacing w:val="-4"/>
        </w:rPr>
        <w:t xml:space="preserve"> </w:t>
      </w:r>
      <w:r w:rsidRPr="00EC20A0">
        <w:t>would</w:t>
      </w:r>
      <w:r w:rsidRPr="00EC20A0">
        <w:rPr>
          <w:spacing w:val="-4"/>
        </w:rPr>
        <w:t xml:space="preserve"> </w:t>
      </w:r>
      <w:r w:rsidRPr="00EC20A0">
        <w:t>have</w:t>
      </w:r>
      <w:r w:rsidRPr="00EC20A0">
        <w:rPr>
          <w:spacing w:val="-4"/>
        </w:rPr>
        <w:t xml:space="preserve"> </w:t>
      </w:r>
      <w:r w:rsidRPr="00EC20A0">
        <w:t xml:space="preserve">been </w:t>
      </w:r>
      <w:r w:rsidRPr="00EC20A0">
        <w:rPr>
          <w:spacing w:val="-2"/>
        </w:rPr>
        <w:t>reported.</w:t>
      </w:r>
    </w:p>
    <w:p w14:paraId="24D609DC" w14:textId="77777777" w:rsidR="00245300" w:rsidRPr="00EC20A0" w:rsidRDefault="00F17249">
      <w:pPr>
        <w:pStyle w:val="ListParagraph"/>
        <w:numPr>
          <w:ilvl w:val="1"/>
          <w:numId w:val="172"/>
        </w:numPr>
        <w:tabs>
          <w:tab w:val="left" w:pos="1919"/>
        </w:tabs>
        <w:spacing w:before="239"/>
        <w:ind w:right="352"/>
      </w:pPr>
      <w:r w:rsidRPr="00EC20A0">
        <w:t>A statement that the auditor is required to be independent of the responsible party and to meet the auditor’s other ethical responsibilities, in accordance with</w:t>
      </w:r>
      <w:r w:rsidRPr="00EC20A0">
        <w:rPr>
          <w:spacing w:val="-5"/>
        </w:rPr>
        <w:t xml:space="preserve"> </w:t>
      </w:r>
      <w:r w:rsidRPr="00EC20A0">
        <w:t>the</w:t>
      </w:r>
      <w:r w:rsidRPr="00EC20A0">
        <w:rPr>
          <w:spacing w:val="-5"/>
        </w:rPr>
        <w:t xml:space="preserve"> </w:t>
      </w:r>
      <w:r w:rsidRPr="00EC20A0">
        <w:t>relevant</w:t>
      </w:r>
      <w:r w:rsidRPr="00EC20A0">
        <w:rPr>
          <w:spacing w:val="-5"/>
        </w:rPr>
        <w:t xml:space="preserve"> </w:t>
      </w:r>
      <w:r w:rsidRPr="00EC20A0">
        <w:t>ethical</w:t>
      </w:r>
      <w:r w:rsidRPr="00EC20A0">
        <w:rPr>
          <w:spacing w:val="-6"/>
        </w:rPr>
        <w:t xml:space="preserve"> </w:t>
      </w:r>
      <w:r w:rsidRPr="00EC20A0">
        <w:t>requirements</w:t>
      </w:r>
      <w:r w:rsidRPr="00EC20A0">
        <w:rPr>
          <w:spacing w:val="-5"/>
        </w:rPr>
        <w:t xml:space="preserve"> </w:t>
      </w:r>
      <w:r w:rsidRPr="00EC20A0">
        <w:t>relating</w:t>
      </w:r>
      <w:r w:rsidRPr="00EC20A0">
        <w:rPr>
          <w:spacing w:val="-5"/>
        </w:rPr>
        <w:t xml:space="preserve"> </w:t>
      </w:r>
      <w:r w:rsidRPr="00EC20A0">
        <w:t>to</w:t>
      </w:r>
      <w:r w:rsidRPr="00EC20A0">
        <w:rPr>
          <w:spacing w:val="-6"/>
        </w:rPr>
        <w:t xml:space="preserve"> </w:t>
      </w:r>
      <w:r w:rsidRPr="00EC20A0">
        <w:t>the</w:t>
      </w:r>
      <w:r w:rsidRPr="00EC20A0">
        <w:rPr>
          <w:spacing w:val="-5"/>
        </w:rPr>
        <w:t xml:space="preserve"> </w:t>
      </w:r>
      <w:r w:rsidRPr="00EC20A0">
        <w:t>agreed-upon</w:t>
      </w:r>
      <w:r w:rsidRPr="00EC20A0">
        <w:rPr>
          <w:spacing w:val="-5"/>
        </w:rPr>
        <w:t xml:space="preserve"> </w:t>
      </w:r>
      <w:r w:rsidRPr="00EC20A0">
        <w:t xml:space="preserve">procedures </w:t>
      </w:r>
      <w:r w:rsidRPr="00EC20A0">
        <w:rPr>
          <w:spacing w:val="-2"/>
        </w:rPr>
        <w:t>engagement;</w:t>
      </w:r>
    </w:p>
    <w:p w14:paraId="24D609DD" w14:textId="77777777" w:rsidR="00245300" w:rsidRPr="00EC20A0" w:rsidRDefault="00F17249">
      <w:pPr>
        <w:pStyle w:val="ListParagraph"/>
        <w:numPr>
          <w:ilvl w:val="1"/>
          <w:numId w:val="172"/>
        </w:numPr>
        <w:tabs>
          <w:tab w:val="left" w:pos="1919"/>
        </w:tabs>
        <w:spacing w:before="241"/>
        <w:ind w:right="746"/>
        <w:jc w:val="both"/>
      </w:pPr>
      <w:r w:rsidRPr="00EC20A0">
        <w:t>If</w:t>
      </w:r>
      <w:r w:rsidRPr="00EC20A0">
        <w:rPr>
          <w:spacing w:val="-7"/>
        </w:rPr>
        <w:t xml:space="preserve"> </w:t>
      </w:r>
      <w:r w:rsidRPr="00EC20A0">
        <w:t>applicable,</w:t>
      </w:r>
      <w:r w:rsidRPr="00EC20A0">
        <w:rPr>
          <w:spacing w:val="-9"/>
        </w:rPr>
        <w:t xml:space="preserve"> </w:t>
      </w:r>
      <w:r w:rsidRPr="00EC20A0">
        <w:t>a</w:t>
      </w:r>
      <w:r w:rsidRPr="00EC20A0">
        <w:rPr>
          <w:spacing w:val="-9"/>
        </w:rPr>
        <w:t xml:space="preserve"> </w:t>
      </w:r>
      <w:r w:rsidRPr="00EC20A0">
        <w:t>description</w:t>
      </w:r>
      <w:r w:rsidRPr="00EC20A0">
        <w:rPr>
          <w:spacing w:val="-9"/>
        </w:rPr>
        <w:t xml:space="preserve"> </w:t>
      </w:r>
      <w:r w:rsidRPr="00EC20A0">
        <w:t>of</w:t>
      </w:r>
      <w:r w:rsidRPr="00EC20A0">
        <w:rPr>
          <w:spacing w:val="-9"/>
        </w:rPr>
        <w:t xml:space="preserve"> </w:t>
      </w:r>
      <w:r w:rsidRPr="00EC20A0">
        <w:t>the</w:t>
      </w:r>
      <w:r w:rsidRPr="00EC20A0">
        <w:rPr>
          <w:spacing w:val="-9"/>
        </w:rPr>
        <w:t xml:space="preserve"> </w:t>
      </w:r>
      <w:r w:rsidRPr="00EC20A0">
        <w:t>nature</w:t>
      </w:r>
      <w:r w:rsidRPr="00EC20A0">
        <w:rPr>
          <w:spacing w:val="-9"/>
        </w:rPr>
        <w:t xml:space="preserve"> </w:t>
      </w:r>
      <w:r w:rsidRPr="00EC20A0">
        <w:t>of</w:t>
      </w:r>
      <w:r w:rsidRPr="00EC20A0">
        <w:rPr>
          <w:spacing w:val="-9"/>
        </w:rPr>
        <w:t xml:space="preserve"> </w:t>
      </w:r>
      <w:r w:rsidRPr="00EC20A0">
        <w:t>the</w:t>
      </w:r>
      <w:r w:rsidRPr="00EC20A0">
        <w:rPr>
          <w:spacing w:val="-9"/>
        </w:rPr>
        <w:t xml:space="preserve"> </w:t>
      </w:r>
      <w:r w:rsidRPr="00EC20A0">
        <w:t>assistance</w:t>
      </w:r>
      <w:r w:rsidRPr="00EC20A0">
        <w:rPr>
          <w:spacing w:val="-9"/>
        </w:rPr>
        <w:t xml:space="preserve"> </w:t>
      </w:r>
      <w:r w:rsidRPr="00EC20A0">
        <w:t>that</w:t>
      </w:r>
      <w:r w:rsidRPr="00EC20A0">
        <w:rPr>
          <w:spacing w:val="-9"/>
        </w:rPr>
        <w:t xml:space="preserve"> </w:t>
      </w:r>
      <w:r w:rsidRPr="00EC20A0">
        <w:t>an</w:t>
      </w:r>
      <w:r w:rsidRPr="00EC20A0">
        <w:rPr>
          <w:spacing w:val="-9"/>
        </w:rPr>
        <w:t xml:space="preserve"> </w:t>
      </w:r>
      <w:r w:rsidRPr="00EC20A0">
        <w:t>auditor’s external specialist provided.</w:t>
      </w:r>
    </w:p>
    <w:p w14:paraId="24D609DE" w14:textId="77777777" w:rsidR="00245300" w:rsidRPr="00EC20A0" w:rsidRDefault="00F17249">
      <w:pPr>
        <w:pStyle w:val="ListParagraph"/>
        <w:numPr>
          <w:ilvl w:val="1"/>
          <w:numId w:val="172"/>
        </w:numPr>
        <w:tabs>
          <w:tab w:val="left" w:pos="1919"/>
        </w:tabs>
        <w:spacing w:before="239"/>
        <w:ind w:right="1043"/>
      </w:pPr>
      <w:r w:rsidRPr="00EC20A0">
        <w:t>When</w:t>
      </w:r>
      <w:r w:rsidRPr="00EC20A0">
        <w:rPr>
          <w:spacing w:val="-16"/>
        </w:rPr>
        <w:t xml:space="preserve"> </w:t>
      </w:r>
      <w:r w:rsidRPr="00EC20A0">
        <w:t>applicable,</w:t>
      </w:r>
      <w:r w:rsidRPr="00EC20A0">
        <w:rPr>
          <w:spacing w:val="-15"/>
        </w:rPr>
        <w:t xml:space="preserve"> </w:t>
      </w:r>
      <w:r w:rsidRPr="00EC20A0">
        <w:t>reservations</w:t>
      </w:r>
      <w:r w:rsidRPr="00EC20A0">
        <w:rPr>
          <w:spacing w:val="-15"/>
        </w:rPr>
        <w:t xml:space="preserve"> </w:t>
      </w:r>
      <w:r w:rsidRPr="00EC20A0">
        <w:t>or</w:t>
      </w:r>
      <w:r w:rsidRPr="00EC20A0">
        <w:rPr>
          <w:spacing w:val="-16"/>
        </w:rPr>
        <w:t xml:space="preserve"> </w:t>
      </w:r>
      <w:r w:rsidRPr="00EC20A0">
        <w:t>restrictions</w:t>
      </w:r>
      <w:r w:rsidRPr="00EC20A0">
        <w:rPr>
          <w:spacing w:val="-15"/>
        </w:rPr>
        <w:t xml:space="preserve"> </w:t>
      </w:r>
      <w:r w:rsidRPr="00EC20A0">
        <w:t>concerning</w:t>
      </w:r>
      <w:r w:rsidRPr="00EC20A0">
        <w:rPr>
          <w:spacing w:val="-15"/>
        </w:rPr>
        <w:t xml:space="preserve"> </w:t>
      </w:r>
      <w:r w:rsidRPr="00EC20A0">
        <w:t>procedures</w:t>
      </w:r>
      <w:r w:rsidRPr="00EC20A0">
        <w:rPr>
          <w:spacing w:val="-15"/>
        </w:rPr>
        <w:t xml:space="preserve"> </w:t>
      </w:r>
      <w:r w:rsidRPr="00EC20A0">
        <w:t xml:space="preserve">or </w:t>
      </w:r>
      <w:r w:rsidRPr="00EC20A0">
        <w:rPr>
          <w:spacing w:val="-2"/>
        </w:rPr>
        <w:t>results.</w:t>
      </w:r>
    </w:p>
    <w:p w14:paraId="24D609DF" w14:textId="77777777" w:rsidR="00245300" w:rsidRPr="00EC20A0" w:rsidRDefault="00F17249">
      <w:pPr>
        <w:pStyle w:val="ListParagraph"/>
        <w:numPr>
          <w:ilvl w:val="1"/>
          <w:numId w:val="172"/>
        </w:numPr>
        <w:tabs>
          <w:tab w:val="left" w:pos="1919"/>
        </w:tabs>
        <w:spacing w:before="241"/>
        <w:ind w:right="658"/>
        <w:jc w:val="both"/>
      </w:pPr>
      <w:r w:rsidRPr="00EC20A0">
        <w:t>The</w:t>
      </w:r>
      <w:r w:rsidRPr="00EC20A0">
        <w:rPr>
          <w:spacing w:val="-10"/>
        </w:rPr>
        <w:t xml:space="preserve"> </w:t>
      </w:r>
      <w:r w:rsidRPr="00EC20A0">
        <w:t>manual</w:t>
      </w:r>
      <w:r w:rsidRPr="00EC20A0">
        <w:rPr>
          <w:spacing w:val="-8"/>
        </w:rPr>
        <w:t xml:space="preserve"> </w:t>
      </w:r>
      <w:r w:rsidRPr="00EC20A0">
        <w:t>or</w:t>
      </w:r>
      <w:r w:rsidRPr="00EC20A0">
        <w:rPr>
          <w:spacing w:val="-10"/>
        </w:rPr>
        <w:t xml:space="preserve"> </w:t>
      </w:r>
      <w:r w:rsidRPr="00EC20A0">
        <w:t>printed</w:t>
      </w:r>
      <w:r w:rsidRPr="00EC20A0">
        <w:rPr>
          <w:spacing w:val="-10"/>
        </w:rPr>
        <w:t xml:space="preserve"> </w:t>
      </w:r>
      <w:r w:rsidRPr="00EC20A0">
        <w:t>signature</w:t>
      </w:r>
      <w:r w:rsidRPr="00EC20A0">
        <w:rPr>
          <w:spacing w:val="-10"/>
        </w:rPr>
        <w:t xml:space="preserve"> </w:t>
      </w:r>
      <w:r w:rsidRPr="00EC20A0">
        <w:t>of</w:t>
      </w:r>
      <w:r w:rsidRPr="00EC20A0">
        <w:rPr>
          <w:spacing w:val="-10"/>
        </w:rPr>
        <w:t xml:space="preserve"> </w:t>
      </w:r>
      <w:r w:rsidRPr="00EC20A0">
        <w:t>the</w:t>
      </w:r>
      <w:r w:rsidRPr="00EC20A0">
        <w:rPr>
          <w:spacing w:val="-10"/>
        </w:rPr>
        <w:t xml:space="preserve"> </w:t>
      </w:r>
      <w:r w:rsidRPr="00EC20A0">
        <w:t>auditor,</w:t>
      </w:r>
      <w:r w:rsidRPr="00EC20A0">
        <w:rPr>
          <w:spacing w:val="-10"/>
        </w:rPr>
        <w:t xml:space="preserve"> </w:t>
      </w:r>
      <w:r w:rsidRPr="00EC20A0">
        <w:t>followed</w:t>
      </w:r>
      <w:r w:rsidRPr="00EC20A0">
        <w:rPr>
          <w:spacing w:val="-10"/>
        </w:rPr>
        <w:t xml:space="preserve"> </w:t>
      </w:r>
      <w:r w:rsidRPr="00EC20A0">
        <w:t>by</w:t>
      </w:r>
      <w:r w:rsidRPr="00EC20A0">
        <w:rPr>
          <w:spacing w:val="-9"/>
        </w:rPr>
        <w:t xml:space="preserve"> </w:t>
      </w:r>
      <w:r w:rsidRPr="00EC20A0">
        <w:t>the</w:t>
      </w:r>
      <w:r w:rsidRPr="00EC20A0">
        <w:rPr>
          <w:spacing w:val="-8"/>
        </w:rPr>
        <w:t xml:space="preserve"> </w:t>
      </w:r>
      <w:r w:rsidRPr="00EC20A0">
        <w:t>name</w:t>
      </w:r>
      <w:r w:rsidRPr="00EC20A0">
        <w:rPr>
          <w:spacing w:val="-8"/>
        </w:rPr>
        <w:t xml:space="preserve"> </w:t>
      </w:r>
      <w:r w:rsidRPr="00EC20A0">
        <w:t>of</w:t>
      </w:r>
      <w:r w:rsidRPr="00EC20A0">
        <w:rPr>
          <w:spacing w:val="-10"/>
        </w:rPr>
        <w:t xml:space="preserve"> </w:t>
      </w:r>
      <w:r w:rsidRPr="00EC20A0">
        <w:t>the audit entity, the city and state in which the auditor practices, or both.</w:t>
      </w:r>
    </w:p>
    <w:p w14:paraId="24D609E0" w14:textId="77777777" w:rsidR="00245300" w:rsidRPr="00EC20A0" w:rsidRDefault="00F17249">
      <w:pPr>
        <w:pStyle w:val="ListParagraph"/>
        <w:numPr>
          <w:ilvl w:val="1"/>
          <w:numId w:val="172"/>
        </w:numPr>
        <w:tabs>
          <w:tab w:val="left" w:pos="1919"/>
        </w:tabs>
        <w:ind w:right="428"/>
      </w:pPr>
      <w:r w:rsidRPr="00EC20A0">
        <w:t>The</w:t>
      </w:r>
      <w:r w:rsidRPr="00EC20A0">
        <w:rPr>
          <w:spacing w:val="-9"/>
        </w:rPr>
        <w:t xml:space="preserve"> </w:t>
      </w:r>
      <w:r w:rsidRPr="00EC20A0">
        <w:t>date</w:t>
      </w:r>
      <w:r w:rsidRPr="00EC20A0">
        <w:rPr>
          <w:spacing w:val="-9"/>
        </w:rPr>
        <w:t xml:space="preserve"> </w:t>
      </w:r>
      <w:r w:rsidRPr="00EC20A0">
        <w:t>of</w:t>
      </w:r>
      <w:r w:rsidRPr="00EC20A0">
        <w:rPr>
          <w:spacing w:val="-9"/>
        </w:rPr>
        <w:t xml:space="preserve"> </w:t>
      </w:r>
      <w:r w:rsidRPr="00EC20A0">
        <w:t>the</w:t>
      </w:r>
      <w:r w:rsidRPr="00EC20A0">
        <w:rPr>
          <w:spacing w:val="-9"/>
        </w:rPr>
        <w:t xml:space="preserve"> </w:t>
      </w:r>
      <w:r w:rsidRPr="00EC20A0">
        <w:t>report.</w:t>
      </w:r>
      <w:r w:rsidRPr="00EC20A0">
        <w:rPr>
          <w:spacing w:val="-7"/>
        </w:rPr>
        <w:t xml:space="preserve"> </w:t>
      </w:r>
      <w:r w:rsidRPr="00EC20A0">
        <w:t>The</w:t>
      </w:r>
      <w:r w:rsidRPr="00EC20A0">
        <w:rPr>
          <w:spacing w:val="-9"/>
        </w:rPr>
        <w:t xml:space="preserve"> </w:t>
      </w:r>
      <w:r w:rsidRPr="00EC20A0">
        <w:t>report</w:t>
      </w:r>
      <w:r w:rsidRPr="00EC20A0">
        <w:rPr>
          <w:spacing w:val="-9"/>
        </w:rPr>
        <w:t xml:space="preserve"> </w:t>
      </w:r>
      <w:r w:rsidRPr="00EC20A0">
        <w:t>should</w:t>
      </w:r>
      <w:r w:rsidRPr="00EC20A0">
        <w:rPr>
          <w:spacing w:val="-9"/>
        </w:rPr>
        <w:t xml:space="preserve"> </w:t>
      </w:r>
      <w:r w:rsidRPr="00EC20A0">
        <w:t>be</w:t>
      </w:r>
      <w:r w:rsidRPr="00EC20A0">
        <w:rPr>
          <w:spacing w:val="-9"/>
        </w:rPr>
        <w:t xml:space="preserve"> </w:t>
      </w:r>
      <w:r w:rsidRPr="00EC20A0">
        <w:t>dated</w:t>
      </w:r>
      <w:r w:rsidRPr="00EC20A0">
        <w:rPr>
          <w:spacing w:val="-9"/>
        </w:rPr>
        <w:t xml:space="preserve"> </w:t>
      </w:r>
      <w:r w:rsidRPr="00EC20A0">
        <w:t>no</w:t>
      </w:r>
      <w:r w:rsidRPr="00EC20A0">
        <w:rPr>
          <w:spacing w:val="-9"/>
        </w:rPr>
        <w:t xml:space="preserve"> </w:t>
      </w:r>
      <w:r w:rsidRPr="00EC20A0">
        <w:t>earlier</w:t>
      </w:r>
      <w:r w:rsidRPr="00EC20A0">
        <w:rPr>
          <w:spacing w:val="-9"/>
        </w:rPr>
        <w:t xml:space="preserve"> </w:t>
      </w:r>
      <w:r w:rsidRPr="00EC20A0">
        <w:t>than</w:t>
      </w:r>
      <w:r w:rsidRPr="00EC20A0">
        <w:rPr>
          <w:spacing w:val="-9"/>
        </w:rPr>
        <w:t xml:space="preserve"> </w:t>
      </w:r>
      <w:r w:rsidRPr="00EC20A0">
        <w:t>the</w:t>
      </w:r>
      <w:r w:rsidRPr="00EC20A0">
        <w:rPr>
          <w:spacing w:val="-9"/>
        </w:rPr>
        <w:t xml:space="preserve"> </w:t>
      </w:r>
      <w:r w:rsidRPr="00EC20A0">
        <w:t>date</w:t>
      </w:r>
      <w:r w:rsidRPr="00EC20A0">
        <w:rPr>
          <w:spacing w:val="-7"/>
        </w:rPr>
        <w:t xml:space="preserve"> </w:t>
      </w:r>
      <w:r w:rsidRPr="00EC20A0">
        <w:t xml:space="preserve">on which the auditor completed the </w:t>
      </w:r>
      <w:r w:rsidRPr="00EC20A0">
        <w:t>procedures and determined the results, including that</w:t>
      </w:r>
    </w:p>
    <w:p w14:paraId="24D609E1" w14:textId="77777777" w:rsidR="00245300" w:rsidRPr="00EC20A0" w:rsidRDefault="00F17249">
      <w:pPr>
        <w:pStyle w:val="ListParagraph"/>
        <w:numPr>
          <w:ilvl w:val="0"/>
          <w:numId w:val="171"/>
        </w:numPr>
        <w:tabs>
          <w:tab w:val="left" w:pos="2279"/>
        </w:tabs>
        <w:spacing w:before="239"/>
      </w:pPr>
      <w:r w:rsidRPr="00EC20A0">
        <w:t>the</w:t>
      </w:r>
      <w:r w:rsidRPr="00EC20A0">
        <w:rPr>
          <w:spacing w:val="-9"/>
        </w:rPr>
        <w:t xml:space="preserve"> </w:t>
      </w:r>
      <w:r w:rsidRPr="00EC20A0">
        <w:t>attestation</w:t>
      </w:r>
      <w:r w:rsidRPr="00EC20A0">
        <w:rPr>
          <w:spacing w:val="-8"/>
        </w:rPr>
        <w:t xml:space="preserve"> </w:t>
      </w:r>
      <w:r w:rsidRPr="00EC20A0">
        <w:t>documentation</w:t>
      </w:r>
      <w:r w:rsidRPr="00EC20A0">
        <w:rPr>
          <w:spacing w:val="-8"/>
        </w:rPr>
        <w:t xml:space="preserve"> </w:t>
      </w:r>
      <w:r w:rsidRPr="00EC20A0">
        <w:t>has</w:t>
      </w:r>
      <w:r w:rsidRPr="00EC20A0">
        <w:rPr>
          <w:spacing w:val="-8"/>
        </w:rPr>
        <w:t xml:space="preserve"> </w:t>
      </w:r>
      <w:r w:rsidRPr="00EC20A0">
        <w:t>been</w:t>
      </w:r>
      <w:r w:rsidRPr="00EC20A0">
        <w:rPr>
          <w:spacing w:val="-8"/>
        </w:rPr>
        <w:t xml:space="preserve"> </w:t>
      </w:r>
      <w:r w:rsidRPr="00EC20A0">
        <w:t>reviewed</w:t>
      </w:r>
      <w:r w:rsidRPr="00EC20A0">
        <w:rPr>
          <w:spacing w:val="-7"/>
        </w:rPr>
        <w:t xml:space="preserve"> </w:t>
      </w:r>
      <w:r w:rsidRPr="00EC20A0">
        <w:rPr>
          <w:spacing w:val="-5"/>
        </w:rPr>
        <w:t>and</w:t>
      </w:r>
    </w:p>
    <w:p w14:paraId="24D609E2" w14:textId="77777777" w:rsidR="00245300" w:rsidRPr="00EC20A0" w:rsidRDefault="00F17249">
      <w:pPr>
        <w:pStyle w:val="ListParagraph"/>
        <w:numPr>
          <w:ilvl w:val="0"/>
          <w:numId w:val="171"/>
        </w:numPr>
        <w:tabs>
          <w:tab w:val="left" w:pos="2279"/>
        </w:tabs>
        <w:spacing w:before="238"/>
        <w:ind w:right="907"/>
      </w:pPr>
      <w:r w:rsidRPr="00EC20A0">
        <w:t>if</w:t>
      </w:r>
      <w:r w:rsidRPr="00EC20A0">
        <w:rPr>
          <w:spacing w:val="-4"/>
        </w:rPr>
        <w:t xml:space="preserve"> </w:t>
      </w:r>
      <w:r w:rsidRPr="00EC20A0">
        <w:t>applicable,</w:t>
      </w:r>
      <w:r w:rsidRPr="00EC20A0">
        <w:rPr>
          <w:spacing w:val="-5"/>
        </w:rPr>
        <w:t xml:space="preserve"> </w:t>
      </w:r>
      <w:r w:rsidRPr="00EC20A0">
        <w:t>the</w:t>
      </w:r>
      <w:r w:rsidRPr="00EC20A0">
        <w:rPr>
          <w:spacing w:val="-4"/>
        </w:rPr>
        <w:t xml:space="preserve"> </w:t>
      </w:r>
      <w:r w:rsidRPr="00EC20A0">
        <w:t>written</w:t>
      </w:r>
      <w:r w:rsidRPr="00EC20A0">
        <w:rPr>
          <w:spacing w:val="-4"/>
        </w:rPr>
        <w:t xml:space="preserve"> </w:t>
      </w:r>
      <w:r w:rsidRPr="00EC20A0">
        <w:t>presentation</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subject</w:t>
      </w:r>
      <w:r w:rsidRPr="00EC20A0">
        <w:rPr>
          <w:spacing w:val="-4"/>
        </w:rPr>
        <w:t xml:space="preserve"> </w:t>
      </w:r>
      <w:r w:rsidRPr="00EC20A0">
        <w:t>matter</w:t>
      </w:r>
      <w:r w:rsidRPr="00EC20A0">
        <w:rPr>
          <w:spacing w:val="-4"/>
        </w:rPr>
        <w:t xml:space="preserve"> </w:t>
      </w:r>
      <w:r w:rsidRPr="00EC20A0">
        <w:t>has</w:t>
      </w:r>
      <w:r w:rsidRPr="00EC20A0">
        <w:rPr>
          <w:spacing w:val="-4"/>
        </w:rPr>
        <w:t xml:space="preserve"> </w:t>
      </w:r>
      <w:r w:rsidRPr="00EC20A0">
        <w:t xml:space="preserve">been </w:t>
      </w:r>
      <w:r w:rsidRPr="00EC20A0">
        <w:rPr>
          <w:spacing w:val="-2"/>
        </w:rPr>
        <w:t>prepared.</w:t>
      </w:r>
    </w:p>
    <w:p w14:paraId="24D609E3" w14:textId="77777777" w:rsidR="00245300" w:rsidRPr="00EC20A0" w:rsidRDefault="00F17249">
      <w:pPr>
        <w:pStyle w:val="ListParagraph"/>
        <w:numPr>
          <w:ilvl w:val="1"/>
          <w:numId w:val="172"/>
        </w:numPr>
        <w:tabs>
          <w:tab w:val="left" w:pos="1916"/>
          <w:tab w:val="left" w:pos="1919"/>
        </w:tabs>
        <w:spacing w:before="239"/>
        <w:ind w:right="644" w:hanging="361"/>
      </w:pPr>
      <w:r w:rsidRPr="00EC20A0">
        <w:t>If</w:t>
      </w:r>
      <w:r w:rsidRPr="00EC20A0">
        <w:rPr>
          <w:spacing w:val="-3"/>
        </w:rPr>
        <w:t xml:space="preserve"> </w:t>
      </w:r>
      <w:r w:rsidRPr="00EC20A0">
        <w:t>necessary,</w:t>
      </w:r>
      <w:r w:rsidRPr="00EC20A0">
        <w:rPr>
          <w:spacing w:val="-3"/>
        </w:rPr>
        <w:t xml:space="preserve"> </w:t>
      </w:r>
      <w:r w:rsidRPr="00EC20A0">
        <w:t>an</w:t>
      </w:r>
      <w:r w:rsidRPr="00EC20A0">
        <w:rPr>
          <w:spacing w:val="-3"/>
        </w:rPr>
        <w:t xml:space="preserve"> </w:t>
      </w:r>
      <w:r w:rsidRPr="00EC20A0">
        <w:t>alert,</w:t>
      </w:r>
      <w:r w:rsidRPr="00EC20A0">
        <w:rPr>
          <w:spacing w:val="-3"/>
        </w:rPr>
        <w:t xml:space="preserve"> </w:t>
      </w:r>
      <w:r w:rsidRPr="00EC20A0">
        <w:t>in</w:t>
      </w:r>
      <w:r w:rsidRPr="00EC20A0">
        <w:rPr>
          <w:spacing w:val="-4"/>
        </w:rPr>
        <w:t xml:space="preserve"> </w:t>
      </w:r>
      <w:r w:rsidRPr="00EC20A0">
        <w:t>a</w:t>
      </w:r>
      <w:r w:rsidRPr="00EC20A0">
        <w:rPr>
          <w:spacing w:val="-3"/>
        </w:rPr>
        <w:t xml:space="preserve"> </w:t>
      </w:r>
      <w:r w:rsidRPr="00EC20A0">
        <w:t>separate</w:t>
      </w:r>
      <w:r w:rsidRPr="00EC20A0">
        <w:rPr>
          <w:spacing w:val="-3"/>
        </w:rPr>
        <w:t xml:space="preserve"> </w:t>
      </w:r>
      <w:r w:rsidRPr="00EC20A0">
        <w:t>paragraph,</w:t>
      </w:r>
      <w:r w:rsidRPr="00EC20A0">
        <w:rPr>
          <w:spacing w:val="-3"/>
        </w:rPr>
        <w:t xml:space="preserve"> </w:t>
      </w:r>
      <w:r w:rsidRPr="00EC20A0">
        <w:t>that</w:t>
      </w:r>
      <w:r w:rsidRPr="00EC20A0">
        <w:rPr>
          <w:spacing w:val="-3"/>
        </w:rPr>
        <w:t xml:space="preserve"> </w:t>
      </w:r>
      <w:r w:rsidRPr="00EC20A0">
        <w:t>restricts</w:t>
      </w:r>
      <w:r w:rsidRPr="00EC20A0">
        <w:rPr>
          <w:spacing w:val="-3"/>
        </w:rPr>
        <w:t xml:space="preserve"> </w:t>
      </w:r>
      <w:r w:rsidRPr="00EC20A0">
        <w:t>the</w:t>
      </w:r>
      <w:r w:rsidRPr="00EC20A0">
        <w:rPr>
          <w:spacing w:val="-3"/>
        </w:rPr>
        <w:t xml:space="preserve"> </w:t>
      </w:r>
      <w:r w:rsidRPr="00EC20A0">
        <w:t>use</w:t>
      </w:r>
      <w:r w:rsidRPr="00EC20A0">
        <w:rPr>
          <w:spacing w:val="-3"/>
        </w:rPr>
        <w:t xml:space="preserve"> </w:t>
      </w:r>
      <w:r w:rsidRPr="00EC20A0">
        <w:t>of</w:t>
      </w:r>
      <w:r w:rsidRPr="00EC20A0">
        <w:rPr>
          <w:spacing w:val="-3"/>
        </w:rPr>
        <w:t xml:space="preserve"> </w:t>
      </w:r>
      <w:r w:rsidRPr="00EC20A0">
        <w:t xml:space="preserve">the auditor’s agreed-upon procedures report, taking into account the understanding with the engaging party regarding the nature of the </w:t>
      </w:r>
      <w:r w:rsidRPr="00EC20A0">
        <w:rPr>
          <w:spacing w:val="-2"/>
        </w:rPr>
        <w:t>engagement.</w:t>
      </w:r>
    </w:p>
    <w:p w14:paraId="24D609E4" w14:textId="77777777" w:rsidR="00245300" w:rsidRPr="00EC20A0" w:rsidRDefault="00F17249">
      <w:pPr>
        <w:pStyle w:val="ListParagraph"/>
        <w:numPr>
          <w:ilvl w:val="0"/>
          <w:numId w:val="172"/>
        </w:numPr>
        <w:tabs>
          <w:tab w:val="left" w:pos="1559"/>
        </w:tabs>
        <w:spacing w:before="239"/>
        <w:ind w:left="1559" w:right="686"/>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3"/>
        </w:rPr>
        <w:t xml:space="preserve"> </w:t>
      </w:r>
      <w:r w:rsidRPr="00EC20A0">
        <w:t>present</w:t>
      </w:r>
      <w:r w:rsidRPr="00EC20A0">
        <w:rPr>
          <w:spacing w:val="-4"/>
        </w:rPr>
        <w:t xml:space="preserve"> </w:t>
      </w:r>
      <w:r w:rsidRPr="00EC20A0">
        <w:t>the</w:t>
      </w:r>
      <w:r w:rsidRPr="00EC20A0">
        <w:rPr>
          <w:spacing w:val="-4"/>
        </w:rPr>
        <w:t xml:space="preserve"> </w:t>
      </w:r>
      <w:r w:rsidRPr="00EC20A0">
        <w:t>results</w:t>
      </w:r>
      <w:r w:rsidRPr="00EC20A0">
        <w:rPr>
          <w:spacing w:val="-4"/>
        </w:rPr>
        <w:t xml:space="preserve"> </w:t>
      </w:r>
      <w:r w:rsidRPr="00EC20A0">
        <w:t>of</w:t>
      </w:r>
      <w:r w:rsidRPr="00EC20A0">
        <w:rPr>
          <w:spacing w:val="-4"/>
        </w:rPr>
        <w:t xml:space="preserve"> </w:t>
      </w:r>
      <w:r w:rsidRPr="00EC20A0">
        <w:t>applying</w:t>
      </w:r>
      <w:r w:rsidRPr="00EC20A0">
        <w:rPr>
          <w:spacing w:val="-4"/>
        </w:rPr>
        <w:t xml:space="preserve"> </w:t>
      </w:r>
      <w:r w:rsidRPr="00EC20A0">
        <w:t>agreed-upon</w:t>
      </w:r>
      <w:r w:rsidRPr="00EC20A0">
        <w:rPr>
          <w:spacing w:val="-4"/>
        </w:rPr>
        <w:t xml:space="preserve"> </w:t>
      </w:r>
      <w:r w:rsidRPr="00EC20A0">
        <w:t>procedures</w:t>
      </w:r>
      <w:r w:rsidRPr="00EC20A0">
        <w:rPr>
          <w:spacing w:val="-4"/>
        </w:rPr>
        <w:t xml:space="preserve"> </w:t>
      </w:r>
      <w:r w:rsidRPr="00EC20A0">
        <w:t xml:space="preserve">to </w:t>
      </w:r>
      <w:r w:rsidRPr="00EC20A0">
        <w:t>specific subject matter in the form of findings and should report all findings arising</w:t>
      </w:r>
      <w:r w:rsidRPr="00EC20A0">
        <w:rPr>
          <w:spacing w:val="-3"/>
        </w:rPr>
        <w:t xml:space="preserve"> </w:t>
      </w:r>
      <w:r w:rsidRPr="00EC20A0">
        <w:t>from</w:t>
      </w:r>
      <w:r w:rsidRPr="00EC20A0">
        <w:rPr>
          <w:spacing w:val="-4"/>
        </w:rPr>
        <w:t xml:space="preserve"> </w:t>
      </w:r>
      <w:r w:rsidRPr="00EC20A0">
        <w:t>such</w:t>
      </w:r>
      <w:r w:rsidRPr="00EC20A0">
        <w:rPr>
          <w:spacing w:val="-3"/>
        </w:rPr>
        <w:t xml:space="preserve"> </w:t>
      </w:r>
      <w:r w:rsidRPr="00EC20A0">
        <w:t>application</w:t>
      </w:r>
      <w:r w:rsidRPr="00EC20A0">
        <w:rPr>
          <w:spacing w:val="-3"/>
        </w:rPr>
        <w:t xml:space="preserve"> </w:t>
      </w:r>
      <w:r w:rsidRPr="00EC20A0">
        <w:t>(AT-C</w:t>
      </w:r>
      <w:r w:rsidRPr="00EC20A0">
        <w:rPr>
          <w:spacing w:val="-4"/>
        </w:rPr>
        <w:t xml:space="preserve"> </w:t>
      </w:r>
      <w:r w:rsidRPr="00EC20A0">
        <w:t>215.24</w:t>
      </w:r>
      <w:r w:rsidRPr="00EC20A0">
        <w:rPr>
          <w:spacing w:val="-3"/>
        </w:rPr>
        <w:t xml:space="preserve"> </w:t>
      </w:r>
      <w:r w:rsidRPr="00EC20A0">
        <w:t>and</w:t>
      </w:r>
      <w:r w:rsidRPr="00EC20A0">
        <w:rPr>
          <w:spacing w:val="-3"/>
        </w:rPr>
        <w:t xml:space="preserve"> </w:t>
      </w:r>
      <w:r w:rsidRPr="00EC20A0">
        <w:t>.25).</w:t>
      </w:r>
      <w:r w:rsidRPr="00EC20A0">
        <w:rPr>
          <w:spacing w:val="-3"/>
        </w:rPr>
        <w:t xml:space="preserve"> </w:t>
      </w:r>
      <w:r w:rsidRPr="00EC20A0">
        <w:t>A</w:t>
      </w:r>
      <w:r w:rsidRPr="00EC20A0">
        <w:rPr>
          <w:spacing w:val="-3"/>
        </w:rPr>
        <w:t xml:space="preserve"> </w:t>
      </w:r>
      <w:r w:rsidRPr="00EC20A0">
        <w:t>threshold</w:t>
      </w:r>
      <w:r w:rsidRPr="00EC20A0">
        <w:rPr>
          <w:spacing w:val="-3"/>
        </w:rPr>
        <w:t xml:space="preserve"> </w:t>
      </w:r>
      <w:r w:rsidRPr="00EC20A0">
        <w:t>for</w:t>
      </w:r>
      <w:r w:rsidRPr="00EC20A0">
        <w:rPr>
          <w:spacing w:val="-3"/>
        </w:rPr>
        <w:t xml:space="preserve"> </w:t>
      </w:r>
      <w:r w:rsidRPr="00EC20A0">
        <w:t>reporting exceptions</w:t>
      </w:r>
      <w:r w:rsidRPr="00EC20A0">
        <w:rPr>
          <w:spacing w:val="-2"/>
        </w:rPr>
        <w:t xml:space="preserve"> </w:t>
      </w:r>
      <w:r w:rsidRPr="00EC20A0">
        <w:t>does</w:t>
      </w:r>
      <w:r w:rsidRPr="00EC20A0">
        <w:rPr>
          <w:spacing w:val="-1"/>
        </w:rPr>
        <w:t xml:space="preserve"> </w:t>
      </w:r>
      <w:r w:rsidRPr="00EC20A0">
        <w:t>not</w:t>
      </w:r>
      <w:r w:rsidRPr="00EC20A0">
        <w:rPr>
          <w:spacing w:val="-1"/>
        </w:rPr>
        <w:t xml:space="preserve"> </w:t>
      </w:r>
      <w:r w:rsidRPr="00EC20A0">
        <w:t>apply</w:t>
      </w:r>
      <w:r w:rsidRPr="00EC20A0">
        <w:rPr>
          <w:spacing w:val="-1"/>
        </w:rPr>
        <w:t xml:space="preserve"> </w:t>
      </w:r>
      <w:r w:rsidRPr="00EC20A0">
        <w:t>to</w:t>
      </w:r>
      <w:r w:rsidRPr="00EC20A0">
        <w:rPr>
          <w:spacing w:val="-1"/>
        </w:rPr>
        <w:t xml:space="preserve"> </w:t>
      </w:r>
      <w:r w:rsidRPr="00EC20A0">
        <w:t>findings</w:t>
      </w:r>
      <w:r w:rsidRPr="00EC20A0">
        <w:rPr>
          <w:spacing w:val="-1"/>
        </w:rPr>
        <w:t xml:space="preserve"> </w:t>
      </w:r>
      <w:r w:rsidRPr="00EC20A0">
        <w:t>reported</w:t>
      </w:r>
      <w:r w:rsidRPr="00EC20A0">
        <w:rPr>
          <w:spacing w:val="-1"/>
        </w:rPr>
        <w:t xml:space="preserve"> </w:t>
      </w:r>
      <w:r w:rsidRPr="00EC20A0">
        <w:t>in</w:t>
      </w:r>
      <w:r w:rsidRPr="00EC20A0">
        <w:rPr>
          <w:spacing w:val="-1"/>
        </w:rPr>
        <w:t xml:space="preserve"> </w:t>
      </w:r>
      <w:r w:rsidRPr="00EC20A0">
        <w:t>an</w:t>
      </w:r>
      <w:r w:rsidRPr="00EC20A0">
        <w:rPr>
          <w:spacing w:val="-1"/>
        </w:rPr>
        <w:t xml:space="preserve"> </w:t>
      </w:r>
      <w:r w:rsidRPr="00EC20A0">
        <w:t>agreed-upon</w:t>
      </w:r>
      <w:r w:rsidRPr="00EC20A0">
        <w:rPr>
          <w:spacing w:val="-1"/>
        </w:rPr>
        <w:t xml:space="preserve"> </w:t>
      </w:r>
      <w:r w:rsidRPr="00EC20A0">
        <w:t>procedures engagement unless the engaging party establishes such a threshold. If the</w:t>
      </w:r>
    </w:p>
    <w:p w14:paraId="24D609E5" w14:textId="77777777" w:rsidR="00245300" w:rsidRPr="00EC20A0" w:rsidRDefault="00245300">
      <w:pPr>
        <w:sectPr w:rsidR="00245300" w:rsidRPr="00EC20A0">
          <w:pgSz w:w="12240" w:h="15840"/>
          <w:pgMar w:top="1340" w:right="1140" w:bottom="940" w:left="1320" w:header="721" w:footer="757" w:gutter="0"/>
          <w:cols w:space="720"/>
        </w:sectPr>
      </w:pPr>
    </w:p>
    <w:p w14:paraId="24D609E6" w14:textId="77777777" w:rsidR="00245300" w:rsidRPr="00EC20A0" w:rsidRDefault="00F17249">
      <w:pPr>
        <w:pStyle w:val="BodyText"/>
        <w:spacing w:before="121"/>
        <w:ind w:left="1560"/>
      </w:pPr>
      <w:r w:rsidRPr="00EC20A0">
        <w:t>engaging</w:t>
      </w:r>
      <w:r w:rsidRPr="00EC20A0">
        <w:rPr>
          <w:spacing w:val="-4"/>
        </w:rPr>
        <w:t xml:space="preserve"> </w:t>
      </w:r>
      <w:r w:rsidRPr="00EC20A0">
        <w:t>party</w:t>
      </w:r>
      <w:r w:rsidRPr="00EC20A0">
        <w:rPr>
          <w:spacing w:val="-4"/>
        </w:rPr>
        <w:t xml:space="preserve"> </w:t>
      </w:r>
      <w:r w:rsidRPr="00EC20A0">
        <w:t>has</w:t>
      </w:r>
      <w:r w:rsidRPr="00EC20A0">
        <w:rPr>
          <w:spacing w:val="-4"/>
        </w:rPr>
        <w:t xml:space="preserve"> </w:t>
      </w:r>
      <w:r w:rsidRPr="00EC20A0">
        <w:t>established</w:t>
      </w:r>
      <w:r w:rsidRPr="00EC20A0">
        <w:rPr>
          <w:spacing w:val="-4"/>
        </w:rPr>
        <w:t xml:space="preserve"> </w:t>
      </w:r>
      <w:r w:rsidRPr="00EC20A0">
        <w:t>a</w:t>
      </w:r>
      <w:r w:rsidRPr="00EC20A0">
        <w:rPr>
          <w:spacing w:val="-4"/>
        </w:rPr>
        <w:t xml:space="preserve"> </w:t>
      </w:r>
      <w:r w:rsidRPr="00EC20A0">
        <w:t>threshold</w:t>
      </w:r>
      <w:r w:rsidRPr="00EC20A0">
        <w:rPr>
          <w:spacing w:val="-4"/>
        </w:rPr>
        <w:t xml:space="preserve"> </w:t>
      </w:r>
      <w:r w:rsidRPr="00EC20A0">
        <w:t>for</w:t>
      </w:r>
      <w:r w:rsidRPr="00EC20A0">
        <w:rPr>
          <w:spacing w:val="-4"/>
        </w:rPr>
        <w:t xml:space="preserve"> </w:t>
      </w:r>
      <w:r w:rsidRPr="00EC20A0">
        <w:t>reporting</w:t>
      </w:r>
      <w:r w:rsidRPr="00EC20A0">
        <w:rPr>
          <w:spacing w:val="-4"/>
        </w:rPr>
        <w:t xml:space="preserve"> </w:t>
      </w:r>
      <w:r w:rsidRPr="00EC20A0">
        <w:t>exceptions,</w:t>
      </w:r>
      <w:r w:rsidRPr="00EC20A0">
        <w:rPr>
          <w:spacing w:val="-4"/>
        </w:rPr>
        <w:t xml:space="preserve"> </w:t>
      </w:r>
      <w:r w:rsidRPr="00EC20A0">
        <w:t>the</w:t>
      </w:r>
      <w:r w:rsidRPr="00EC20A0">
        <w:rPr>
          <w:spacing w:val="-4"/>
        </w:rPr>
        <w:t xml:space="preserve"> </w:t>
      </w:r>
      <w:r w:rsidRPr="00EC20A0">
        <w:t>auditor should describe it in the auditor’s report (AT-C 215.25 and .A37).</w:t>
      </w:r>
    </w:p>
    <w:p w14:paraId="24D609E7" w14:textId="77777777" w:rsidR="00245300" w:rsidRPr="00EC20A0" w:rsidRDefault="00F17249">
      <w:pPr>
        <w:pStyle w:val="ListParagraph"/>
        <w:numPr>
          <w:ilvl w:val="0"/>
          <w:numId w:val="172"/>
        </w:numPr>
        <w:tabs>
          <w:tab w:val="left" w:pos="1560"/>
        </w:tabs>
        <w:spacing w:before="239"/>
        <w:ind w:right="539" w:hanging="720"/>
      </w:pPr>
      <w:r w:rsidRPr="00EC20A0">
        <w:t>Although</w:t>
      </w:r>
      <w:r w:rsidRPr="00EC20A0">
        <w:rPr>
          <w:spacing w:val="-3"/>
        </w:rPr>
        <w:t xml:space="preserve"> </w:t>
      </w:r>
      <w:r w:rsidRPr="00EC20A0">
        <w:t>use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report</w:t>
      </w:r>
      <w:r w:rsidRPr="00EC20A0">
        <w:rPr>
          <w:spacing w:val="-3"/>
        </w:rPr>
        <w:t xml:space="preserve"> </w:t>
      </w:r>
      <w:r w:rsidRPr="00EC20A0">
        <w:t>may</w:t>
      </w:r>
      <w:r w:rsidRPr="00EC20A0">
        <w:rPr>
          <w:spacing w:val="-3"/>
        </w:rPr>
        <w:t xml:space="preserve"> </w:t>
      </w:r>
      <w:r w:rsidRPr="00EC20A0">
        <w:t>be</w:t>
      </w:r>
      <w:r w:rsidRPr="00EC20A0">
        <w:rPr>
          <w:spacing w:val="-3"/>
        </w:rPr>
        <w:t xml:space="preserve"> </w:t>
      </w:r>
      <w:r w:rsidRPr="00EC20A0">
        <w:t>restricted</w:t>
      </w:r>
      <w:r w:rsidRPr="00EC20A0">
        <w:rPr>
          <w:spacing w:val="-3"/>
        </w:rPr>
        <w:t xml:space="preserve"> </w:t>
      </w:r>
      <w:r w:rsidRPr="00EC20A0">
        <w:t>to</w:t>
      </w:r>
      <w:r w:rsidRPr="00EC20A0">
        <w:rPr>
          <w:spacing w:val="-4"/>
        </w:rPr>
        <w:t xml:space="preserve"> </w:t>
      </w:r>
      <w:r w:rsidRPr="00EC20A0">
        <w:t>specified</w:t>
      </w:r>
      <w:r w:rsidRPr="00EC20A0">
        <w:rPr>
          <w:spacing w:val="-4"/>
        </w:rPr>
        <w:t xml:space="preserve"> </w:t>
      </w:r>
      <w:r w:rsidRPr="00EC20A0">
        <w:t>parties</w:t>
      </w:r>
      <w:r w:rsidRPr="00EC20A0">
        <w:rPr>
          <w:spacing w:val="-3"/>
        </w:rPr>
        <w:t xml:space="preserve"> </w:t>
      </w:r>
      <w:r w:rsidRPr="00EC20A0">
        <w:t>for</w:t>
      </w:r>
      <w:r w:rsidRPr="00EC20A0">
        <w:rPr>
          <w:spacing w:val="-3"/>
        </w:rPr>
        <w:t xml:space="preserve"> </w:t>
      </w:r>
      <w:r w:rsidRPr="00EC20A0">
        <w:t>its</w:t>
      </w:r>
      <w:r w:rsidRPr="00EC20A0">
        <w:rPr>
          <w:spacing w:val="-3"/>
        </w:rPr>
        <w:t xml:space="preserve"> </w:t>
      </w:r>
      <w:r w:rsidRPr="00EC20A0">
        <w:t>intended purpose(s), governmental reports are generally a matter of public record.</w:t>
      </w:r>
    </w:p>
    <w:p w14:paraId="24D609E8" w14:textId="77777777" w:rsidR="00245300" w:rsidRPr="00EC20A0" w:rsidRDefault="00F17249">
      <w:pPr>
        <w:pStyle w:val="BodyText"/>
        <w:spacing w:before="1"/>
        <w:ind w:left="1560" w:right="380" w:hanging="1"/>
      </w:pPr>
      <w:r w:rsidRPr="00EC20A0">
        <w:t>Therefore, generally the distribution of the report is not limited, and the audit organization</w:t>
      </w:r>
      <w:r w:rsidRPr="00EC20A0">
        <w:rPr>
          <w:spacing w:val="-5"/>
        </w:rPr>
        <w:t xml:space="preserve"> </w:t>
      </w:r>
      <w:r w:rsidRPr="00EC20A0">
        <w:t>may</w:t>
      </w:r>
      <w:r w:rsidRPr="00EC20A0">
        <w:rPr>
          <w:spacing w:val="-4"/>
        </w:rPr>
        <w:t xml:space="preserve"> </w:t>
      </w:r>
      <w:r w:rsidRPr="00EC20A0">
        <w:t>provide</w:t>
      </w:r>
      <w:r w:rsidRPr="00EC20A0">
        <w:rPr>
          <w:spacing w:val="-4"/>
        </w:rPr>
        <w:t xml:space="preserve"> </w:t>
      </w:r>
      <w:r w:rsidRPr="00EC20A0">
        <w:t>copies</w:t>
      </w:r>
      <w:r w:rsidRPr="00EC20A0">
        <w:rPr>
          <w:spacing w:val="-4"/>
        </w:rPr>
        <w:t xml:space="preserve"> </w:t>
      </w:r>
      <w:r w:rsidRPr="00EC20A0">
        <w:t>upon</w:t>
      </w:r>
      <w:r w:rsidRPr="00EC20A0">
        <w:rPr>
          <w:spacing w:val="-4"/>
        </w:rPr>
        <w:t xml:space="preserve"> </w:t>
      </w:r>
      <w:r w:rsidRPr="00EC20A0">
        <w:t>request.</w:t>
      </w:r>
      <w:r w:rsidRPr="00EC20A0">
        <w:rPr>
          <w:spacing w:val="-4"/>
        </w:rPr>
        <w:t xml:space="preserve"> </w:t>
      </w:r>
      <w:r w:rsidRPr="00EC20A0">
        <w:t>However,</w:t>
      </w:r>
      <w:r w:rsidRPr="00EC20A0">
        <w:rPr>
          <w:spacing w:val="-4"/>
        </w:rPr>
        <w:t xml:space="preserve"> </w:t>
      </w:r>
      <w:r w:rsidRPr="00EC20A0">
        <w:t>contractual,</w:t>
      </w:r>
      <w:r w:rsidRPr="00EC20A0">
        <w:rPr>
          <w:spacing w:val="-4"/>
        </w:rPr>
        <w:t xml:space="preserve"> </w:t>
      </w:r>
      <w:r w:rsidRPr="00EC20A0">
        <w:t>legal,</w:t>
      </w:r>
      <w:r w:rsidRPr="00EC20A0">
        <w:rPr>
          <w:spacing w:val="-4"/>
        </w:rPr>
        <w:t xml:space="preserve"> </w:t>
      </w:r>
      <w:r w:rsidRPr="00EC20A0">
        <w:t>or other restrictions may limit distribution. See AT-C 215.35 through .38 for additional guidance on restricting the use of the report.</w:t>
      </w:r>
    </w:p>
    <w:p w14:paraId="24D609E9" w14:textId="77777777" w:rsidR="00245300" w:rsidRPr="00EC20A0" w:rsidRDefault="00F17249">
      <w:pPr>
        <w:pStyle w:val="ListParagraph"/>
        <w:numPr>
          <w:ilvl w:val="0"/>
          <w:numId w:val="172"/>
        </w:numPr>
        <w:tabs>
          <w:tab w:val="left" w:pos="1560"/>
        </w:tabs>
        <w:spacing w:before="239"/>
        <w:ind w:right="489"/>
      </w:pPr>
      <w:r w:rsidRPr="00EC20A0">
        <w:t>The auditor may have performed agreed-upon procedures on an element, account, or item of financial statements and also audited the same financial statements. If the audit report on the financial statements includes a departure from</w:t>
      </w:r>
      <w:r w:rsidRPr="00EC20A0">
        <w:rPr>
          <w:spacing w:val="-4"/>
        </w:rPr>
        <w:t xml:space="preserve"> </w:t>
      </w:r>
      <w:r w:rsidRPr="00EC20A0">
        <w:t>a</w:t>
      </w:r>
      <w:r w:rsidRPr="00EC20A0">
        <w:rPr>
          <w:spacing w:val="-3"/>
        </w:rPr>
        <w:t xml:space="preserve"> </w:t>
      </w:r>
      <w:r w:rsidRPr="00EC20A0">
        <w:t>standard</w:t>
      </w:r>
      <w:r w:rsidRPr="00EC20A0">
        <w:rPr>
          <w:spacing w:val="-3"/>
        </w:rPr>
        <w:t xml:space="preserve"> </w:t>
      </w:r>
      <w:r w:rsidRPr="00EC20A0">
        <w:t>report,</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generally</w:t>
      </w:r>
      <w:r w:rsidRPr="00EC20A0">
        <w:rPr>
          <w:spacing w:val="-3"/>
        </w:rPr>
        <w:t xml:space="preserve"> </w:t>
      </w:r>
      <w:r w:rsidRPr="00EC20A0">
        <w:t>should</w:t>
      </w:r>
      <w:r w:rsidRPr="00EC20A0">
        <w:rPr>
          <w:spacing w:val="-3"/>
        </w:rPr>
        <w:t xml:space="preserve"> </w:t>
      </w:r>
      <w:r w:rsidRPr="00EC20A0">
        <w:t>refer</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report</w:t>
      </w:r>
      <w:r w:rsidRPr="00EC20A0">
        <w:rPr>
          <w:spacing w:val="-3"/>
        </w:rPr>
        <w:t xml:space="preserve"> </w:t>
      </w:r>
      <w:r w:rsidRPr="00EC20A0">
        <w:t>and the departure from the standard report in the agreed-upon procedures report.</w:t>
      </w:r>
    </w:p>
    <w:p w14:paraId="24D609EA" w14:textId="77777777" w:rsidR="00245300" w:rsidRPr="00EC20A0" w:rsidRDefault="00F17249">
      <w:pPr>
        <w:pStyle w:val="ListParagraph"/>
        <w:numPr>
          <w:ilvl w:val="0"/>
          <w:numId w:val="172"/>
        </w:numPr>
        <w:tabs>
          <w:tab w:val="left" w:pos="1560"/>
        </w:tabs>
        <w:ind w:right="646"/>
      </w:pPr>
      <w:r w:rsidRPr="00EC20A0">
        <w:t>The</w:t>
      </w:r>
      <w:r w:rsidRPr="00EC20A0">
        <w:rPr>
          <w:spacing w:val="-4"/>
        </w:rPr>
        <w:t xml:space="preserve"> </w:t>
      </w:r>
      <w:r w:rsidRPr="00EC20A0">
        <w:t>auditor</w:t>
      </w:r>
      <w:r w:rsidRPr="00EC20A0">
        <w:rPr>
          <w:spacing w:val="-6"/>
        </w:rPr>
        <w:t xml:space="preserve"> </w:t>
      </w:r>
      <w:r w:rsidRPr="00EC20A0">
        <w:t>also</w:t>
      </w:r>
      <w:r w:rsidRPr="00EC20A0">
        <w:rPr>
          <w:spacing w:val="-4"/>
        </w:rPr>
        <w:t xml:space="preserve"> </w:t>
      </w:r>
      <w:r w:rsidRPr="00EC20A0">
        <w:t>may</w:t>
      </w:r>
      <w:r w:rsidRPr="00EC20A0">
        <w:rPr>
          <w:spacing w:val="-4"/>
        </w:rPr>
        <w:t xml:space="preserve"> </w:t>
      </w:r>
      <w:r w:rsidRPr="00EC20A0">
        <w:t>include</w:t>
      </w:r>
      <w:r w:rsidRPr="00EC20A0">
        <w:rPr>
          <w:spacing w:val="-4"/>
        </w:rPr>
        <w:t xml:space="preserve"> </w:t>
      </w:r>
      <w:r w:rsidRPr="00EC20A0">
        <w:t>explanatory</w:t>
      </w:r>
      <w:r w:rsidRPr="00EC20A0">
        <w:rPr>
          <w:spacing w:val="-4"/>
        </w:rPr>
        <w:t xml:space="preserve"> </w:t>
      </w:r>
      <w:r w:rsidRPr="00EC20A0">
        <w:t>language</w:t>
      </w:r>
      <w:r w:rsidRPr="00EC20A0">
        <w:rPr>
          <w:spacing w:val="-4"/>
        </w:rPr>
        <w:t xml:space="preserve"> </w:t>
      </w:r>
      <w:r w:rsidRPr="00EC20A0">
        <w:t>about</w:t>
      </w:r>
      <w:r w:rsidRPr="00EC20A0">
        <w:rPr>
          <w:spacing w:val="-4"/>
        </w:rPr>
        <w:t xml:space="preserve"> </w:t>
      </w:r>
      <w:r w:rsidRPr="00EC20A0">
        <w:t>matters</w:t>
      </w:r>
      <w:r w:rsidRPr="00EC20A0">
        <w:rPr>
          <w:spacing w:val="-4"/>
        </w:rPr>
        <w:t xml:space="preserve"> </w:t>
      </w:r>
      <w:r w:rsidRPr="00EC20A0">
        <w:t>such</w:t>
      </w:r>
      <w:r w:rsidRPr="00EC20A0">
        <w:rPr>
          <w:spacing w:val="-3"/>
        </w:rPr>
        <w:t xml:space="preserve"> </w:t>
      </w:r>
      <w:r w:rsidRPr="00EC20A0">
        <w:t>as</w:t>
      </w:r>
      <w:r w:rsidRPr="00EC20A0">
        <w:rPr>
          <w:spacing w:val="-4"/>
        </w:rPr>
        <w:t xml:space="preserve"> </w:t>
      </w:r>
      <w:r w:rsidRPr="00EC20A0">
        <w:t xml:space="preserve">the </w:t>
      </w:r>
      <w:r w:rsidRPr="00EC20A0">
        <w:rPr>
          <w:spacing w:val="-2"/>
        </w:rPr>
        <w:t>following:</w:t>
      </w:r>
    </w:p>
    <w:p w14:paraId="24D609EB" w14:textId="77777777" w:rsidR="00245300" w:rsidRPr="00EC20A0" w:rsidRDefault="00F17249">
      <w:pPr>
        <w:pStyle w:val="ListParagraph"/>
        <w:numPr>
          <w:ilvl w:val="1"/>
          <w:numId w:val="172"/>
        </w:numPr>
        <w:tabs>
          <w:tab w:val="left" w:pos="1919"/>
        </w:tabs>
        <w:ind w:hanging="359"/>
      </w:pPr>
      <w:r w:rsidRPr="00EC20A0">
        <w:t>stipulated</w:t>
      </w:r>
      <w:r w:rsidRPr="00EC20A0">
        <w:rPr>
          <w:spacing w:val="-11"/>
        </w:rPr>
        <w:t xml:space="preserve"> </w:t>
      </w:r>
      <w:r w:rsidRPr="00EC20A0">
        <w:t>facts,</w:t>
      </w:r>
      <w:r w:rsidRPr="00EC20A0">
        <w:rPr>
          <w:spacing w:val="-9"/>
        </w:rPr>
        <w:t xml:space="preserve"> </w:t>
      </w:r>
      <w:r w:rsidRPr="00EC20A0">
        <w:t>assumptions,</w:t>
      </w:r>
      <w:r w:rsidRPr="00EC20A0">
        <w:rPr>
          <w:spacing w:val="-9"/>
        </w:rPr>
        <w:t xml:space="preserve"> </w:t>
      </w:r>
      <w:r w:rsidRPr="00EC20A0">
        <w:t>or</w:t>
      </w:r>
      <w:r w:rsidRPr="00EC20A0">
        <w:rPr>
          <w:spacing w:val="-8"/>
        </w:rPr>
        <w:t xml:space="preserve"> </w:t>
      </w:r>
      <w:r w:rsidRPr="00EC20A0">
        <w:t>interpretations</w:t>
      </w:r>
      <w:r w:rsidRPr="00EC20A0">
        <w:rPr>
          <w:spacing w:val="-9"/>
        </w:rPr>
        <w:t xml:space="preserve"> </w:t>
      </w:r>
      <w:r w:rsidRPr="00EC20A0">
        <w:t>(including</w:t>
      </w:r>
      <w:r w:rsidRPr="00EC20A0">
        <w:rPr>
          <w:spacing w:val="-9"/>
        </w:rPr>
        <w:t xml:space="preserve"> </w:t>
      </w:r>
      <w:r w:rsidRPr="00EC20A0">
        <w:t>the</w:t>
      </w:r>
      <w:r w:rsidRPr="00EC20A0">
        <w:rPr>
          <w:spacing w:val="-9"/>
        </w:rPr>
        <w:t xml:space="preserve"> </w:t>
      </w:r>
      <w:r w:rsidRPr="00EC20A0">
        <w:rPr>
          <w:spacing w:val="-2"/>
        </w:rPr>
        <w:t>source);</w:t>
      </w:r>
    </w:p>
    <w:p w14:paraId="24D609EC" w14:textId="77777777" w:rsidR="00245300" w:rsidRPr="00EC20A0" w:rsidRDefault="00F17249">
      <w:pPr>
        <w:pStyle w:val="ListParagraph"/>
        <w:numPr>
          <w:ilvl w:val="1"/>
          <w:numId w:val="172"/>
        </w:numPr>
        <w:tabs>
          <w:tab w:val="left" w:pos="1920"/>
        </w:tabs>
        <w:spacing w:before="241"/>
        <w:ind w:left="1920" w:right="1266"/>
      </w:pPr>
      <w:r w:rsidRPr="00EC20A0">
        <w:t>description</w:t>
      </w:r>
      <w:r w:rsidRPr="00EC20A0">
        <w:rPr>
          <w:spacing w:val="-6"/>
        </w:rPr>
        <w:t xml:space="preserve"> </w:t>
      </w:r>
      <w:r w:rsidRPr="00EC20A0">
        <w:t>of</w:t>
      </w:r>
      <w:r w:rsidRPr="00EC20A0">
        <w:rPr>
          <w:spacing w:val="-4"/>
        </w:rPr>
        <w:t xml:space="preserve"> </w:t>
      </w:r>
      <w:r w:rsidRPr="00EC20A0">
        <w:t>the</w:t>
      </w:r>
      <w:r w:rsidRPr="00EC20A0">
        <w:rPr>
          <w:spacing w:val="-4"/>
        </w:rPr>
        <w:t xml:space="preserve"> </w:t>
      </w:r>
      <w:r w:rsidRPr="00EC20A0">
        <w:t>condition</w:t>
      </w:r>
      <w:r w:rsidRPr="00EC20A0">
        <w:rPr>
          <w:spacing w:val="-4"/>
        </w:rPr>
        <w:t xml:space="preserve"> </w:t>
      </w:r>
      <w:r w:rsidRPr="00EC20A0">
        <w:t>of</w:t>
      </w:r>
      <w:r w:rsidRPr="00EC20A0">
        <w:rPr>
          <w:spacing w:val="-4"/>
        </w:rPr>
        <w:t xml:space="preserve"> </w:t>
      </w:r>
      <w:r w:rsidRPr="00EC20A0">
        <w:t>records,</w:t>
      </w:r>
      <w:r w:rsidRPr="00EC20A0">
        <w:rPr>
          <w:spacing w:val="-4"/>
        </w:rPr>
        <w:t xml:space="preserve"> </w:t>
      </w:r>
      <w:r w:rsidRPr="00EC20A0">
        <w:t>controls,</w:t>
      </w:r>
      <w:r w:rsidRPr="00EC20A0">
        <w:rPr>
          <w:spacing w:val="-5"/>
        </w:rPr>
        <w:t xml:space="preserve"> </w:t>
      </w:r>
      <w:r w:rsidRPr="00EC20A0">
        <w:t>or</w:t>
      </w:r>
      <w:r w:rsidRPr="00EC20A0">
        <w:rPr>
          <w:spacing w:val="-4"/>
        </w:rPr>
        <w:t xml:space="preserve"> </w:t>
      </w:r>
      <w:r w:rsidRPr="00EC20A0">
        <w:t>data</w:t>
      </w:r>
      <w:r w:rsidRPr="00EC20A0">
        <w:rPr>
          <w:spacing w:val="-4"/>
        </w:rPr>
        <w:t xml:space="preserve"> </w:t>
      </w:r>
      <w:r w:rsidRPr="00EC20A0">
        <w:t>to</w:t>
      </w:r>
      <w:r w:rsidRPr="00EC20A0">
        <w:rPr>
          <w:spacing w:val="-4"/>
        </w:rPr>
        <w:t xml:space="preserve"> </w:t>
      </w:r>
      <w:r w:rsidRPr="00EC20A0">
        <w:t>which</w:t>
      </w:r>
      <w:r w:rsidRPr="00EC20A0">
        <w:rPr>
          <w:spacing w:val="-4"/>
        </w:rPr>
        <w:t xml:space="preserve"> </w:t>
      </w:r>
      <w:r w:rsidRPr="00EC20A0">
        <w:t>the procedures were applied;</w:t>
      </w:r>
    </w:p>
    <w:p w14:paraId="24D609ED" w14:textId="77777777" w:rsidR="00245300" w:rsidRPr="00EC20A0" w:rsidRDefault="00F17249">
      <w:pPr>
        <w:pStyle w:val="ListParagraph"/>
        <w:numPr>
          <w:ilvl w:val="1"/>
          <w:numId w:val="172"/>
        </w:numPr>
        <w:tabs>
          <w:tab w:val="left" w:pos="1919"/>
        </w:tabs>
        <w:ind w:hanging="359"/>
      </w:pPr>
      <w:r w:rsidRPr="00EC20A0">
        <w:t>explanation</w:t>
      </w:r>
      <w:r w:rsidRPr="00EC20A0">
        <w:rPr>
          <w:spacing w:val="-7"/>
        </w:rPr>
        <w:t xml:space="preserve"> </w:t>
      </w:r>
      <w:r w:rsidRPr="00EC20A0">
        <w:t>that</w:t>
      </w:r>
      <w:r w:rsidRPr="00EC20A0">
        <w:rPr>
          <w:spacing w:val="-6"/>
        </w:rPr>
        <w:t xml:space="preserve"> </w:t>
      </w:r>
      <w:r w:rsidRPr="00EC20A0">
        <w:t>the</w:t>
      </w:r>
      <w:r w:rsidRPr="00EC20A0">
        <w:rPr>
          <w:spacing w:val="-7"/>
        </w:rPr>
        <w:t xml:space="preserve"> </w:t>
      </w:r>
      <w:r w:rsidRPr="00EC20A0">
        <w:t>auditor</w:t>
      </w:r>
      <w:r w:rsidRPr="00EC20A0">
        <w:rPr>
          <w:spacing w:val="-6"/>
        </w:rPr>
        <w:t xml:space="preserve"> </w:t>
      </w:r>
      <w:r w:rsidRPr="00EC20A0">
        <w:t>has</w:t>
      </w:r>
      <w:r w:rsidRPr="00EC20A0">
        <w:rPr>
          <w:spacing w:val="-6"/>
        </w:rPr>
        <w:t xml:space="preserve"> </w:t>
      </w:r>
      <w:r w:rsidRPr="00EC20A0">
        <w:t>no</w:t>
      </w:r>
      <w:r w:rsidRPr="00EC20A0">
        <w:rPr>
          <w:spacing w:val="-6"/>
        </w:rPr>
        <w:t xml:space="preserve"> </w:t>
      </w:r>
      <w:r w:rsidRPr="00EC20A0">
        <w:t>responsibility</w:t>
      </w:r>
      <w:r w:rsidRPr="00EC20A0">
        <w:rPr>
          <w:spacing w:val="-7"/>
        </w:rPr>
        <w:t xml:space="preserve"> </w:t>
      </w:r>
      <w:r w:rsidRPr="00EC20A0">
        <w:t>to</w:t>
      </w:r>
      <w:r w:rsidRPr="00EC20A0">
        <w:rPr>
          <w:spacing w:val="-6"/>
        </w:rPr>
        <w:t xml:space="preserve"> </w:t>
      </w:r>
      <w:r w:rsidRPr="00EC20A0">
        <w:t>update</w:t>
      </w:r>
      <w:r w:rsidRPr="00EC20A0">
        <w:rPr>
          <w:spacing w:val="-6"/>
        </w:rPr>
        <w:t xml:space="preserve"> </w:t>
      </w:r>
      <w:r w:rsidRPr="00EC20A0">
        <w:t>the</w:t>
      </w:r>
      <w:r w:rsidRPr="00EC20A0">
        <w:rPr>
          <w:spacing w:val="-6"/>
        </w:rPr>
        <w:t xml:space="preserve"> </w:t>
      </w:r>
      <w:r w:rsidRPr="00EC20A0">
        <w:t>report;</w:t>
      </w:r>
      <w:r w:rsidRPr="00EC20A0">
        <w:rPr>
          <w:spacing w:val="-6"/>
        </w:rPr>
        <w:t xml:space="preserve"> </w:t>
      </w:r>
      <w:r w:rsidRPr="00EC20A0">
        <w:rPr>
          <w:spacing w:val="-5"/>
        </w:rPr>
        <w:t>and</w:t>
      </w:r>
    </w:p>
    <w:p w14:paraId="24D609EE" w14:textId="77777777" w:rsidR="00245300" w:rsidRPr="00EC20A0" w:rsidRDefault="00F17249">
      <w:pPr>
        <w:pStyle w:val="ListParagraph"/>
        <w:numPr>
          <w:ilvl w:val="1"/>
          <w:numId w:val="172"/>
        </w:numPr>
        <w:tabs>
          <w:tab w:val="left" w:pos="1920"/>
        </w:tabs>
        <w:spacing w:before="239"/>
        <w:ind w:left="1920" w:right="495"/>
      </w:pPr>
      <w:r w:rsidRPr="00EC20A0">
        <w:t>explanation</w:t>
      </w:r>
      <w:r w:rsidRPr="00EC20A0">
        <w:rPr>
          <w:spacing w:val="-4"/>
        </w:rPr>
        <w:t xml:space="preserve"> </w:t>
      </w:r>
      <w:r w:rsidRPr="00EC20A0">
        <w:t>of</w:t>
      </w:r>
      <w:r w:rsidRPr="00EC20A0">
        <w:rPr>
          <w:spacing w:val="-3"/>
        </w:rPr>
        <w:t xml:space="preserve"> </w:t>
      </w:r>
      <w:r w:rsidRPr="00EC20A0">
        <w:t>sampling</w:t>
      </w:r>
      <w:r w:rsidRPr="00EC20A0">
        <w:rPr>
          <w:spacing w:val="-4"/>
        </w:rPr>
        <w:t xml:space="preserve"> </w:t>
      </w:r>
      <w:r w:rsidRPr="00EC20A0">
        <w:t>risk</w:t>
      </w:r>
      <w:r w:rsidRPr="00EC20A0">
        <w:rPr>
          <w:spacing w:val="-3"/>
        </w:rPr>
        <w:t xml:space="preserve"> </w:t>
      </w:r>
      <w:r w:rsidRPr="00EC20A0">
        <w:t>(for</w:t>
      </w:r>
      <w:r w:rsidRPr="00EC20A0">
        <w:rPr>
          <w:spacing w:val="-3"/>
        </w:rPr>
        <w:t xml:space="preserve"> </w:t>
      </w:r>
      <w:r w:rsidRPr="00EC20A0">
        <w:t>example,</w:t>
      </w:r>
      <w:r w:rsidRPr="00EC20A0">
        <w:rPr>
          <w:spacing w:val="-3"/>
        </w:rPr>
        <w:t xml:space="preserve"> </w:t>
      </w:r>
      <w:r w:rsidRPr="00EC20A0">
        <w:t>“Based</w:t>
      </w:r>
      <w:r w:rsidRPr="00EC20A0">
        <w:rPr>
          <w:spacing w:val="-3"/>
        </w:rPr>
        <w:t xml:space="preserve"> </w:t>
      </w:r>
      <w:r w:rsidRPr="00EC20A0">
        <w:t>on</w:t>
      </w:r>
      <w:r w:rsidRPr="00EC20A0">
        <w:rPr>
          <w:spacing w:val="-3"/>
        </w:rPr>
        <w:t xml:space="preserve"> </w:t>
      </w:r>
      <w:r w:rsidRPr="00EC20A0">
        <w:t>our</w:t>
      </w:r>
      <w:r w:rsidRPr="00EC20A0">
        <w:rPr>
          <w:spacing w:val="-3"/>
        </w:rPr>
        <w:t xml:space="preserve"> </w:t>
      </w:r>
      <w:r w:rsidRPr="00EC20A0">
        <w:t>sample,</w:t>
      </w:r>
      <w:r w:rsidRPr="00EC20A0">
        <w:rPr>
          <w:spacing w:val="-3"/>
        </w:rPr>
        <w:t xml:space="preserve"> </w:t>
      </w:r>
      <w:r w:rsidRPr="00EC20A0">
        <w:t>we</w:t>
      </w:r>
      <w:r w:rsidRPr="00EC20A0">
        <w:rPr>
          <w:spacing w:val="-3"/>
        </w:rPr>
        <w:t xml:space="preserve"> </w:t>
      </w:r>
      <w:r w:rsidRPr="00EC20A0">
        <w:t>are</w:t>
      </w:r>
      <w:r w:rsidRPr="00EC20A0">
        <w:rPr>
          <w:spacing w:val="-3"/>
        </w:rPr>
        <w:t xml:space="preserve"> </w:t>
      </w:r>
      <w:r w:rsidRPr="00EC20A0">
        <w:t xml:space="preserve">95 percent confident that the population deviation not more </w:t>
      </w:r>
      <w:r w:rsidRPr="00EC20A0">
        <w:t>than 15 percent.”).</w:t>
      </w:r>
    </w:p>
    <w:p w14:paraId="24D609EF" w14:textId="77777777" w:rsidR="00245300" w:rsidRPr="00EC20A0" w:rsidRDefault="00F17249">
      <w:pPr>
        <w:pStyle w:val="ListParagraph"/>
        <w:numPr>
          <w:ilvl w:val="0"/>
          <w:numId w:val="172"/>
        </w:numPr>
        <w:tabs>
          <w:tab w:val="left" w:pos="1560"/>
        </w:tabs>
        <w:ind w:right="415"/>
      </w:pPr>
      <w:r w:rsidRPr="00EC20A0">
        <w:t>The</w:t>
      </w:r>
      <w:r w:rsidRPr="00EC20A0">
        <w:rPr>
          <w:spacing w:val="-4"/>
        </w:rPr>
        <w:t xml:space="preserve"> </w:t>
      </w:r>
      <w:r w:rsidRPr="00EC20A0">
        <w:t>auditor</w:t>
      </w:r>
      <w:r w:rsidRPr="00EC20A0">
        <w:rPr>
          <w:spacing w:val="-5"/>
        </w:rPr>
        <w:t xml:space="preserve"> </w:t>
      </w:r>
      <w:r w:rsidRPr="00EC20A0">
        <w:t>should</w:t>
      </w:r>
      <w:r w:rsidRPr="00EC20A0">
        <w:rPr>
          <w:spacing w:val="-4"/>
        </w:rPr>
        <w:t xml:space="preserve"> </w:t>
      </w:r>
      <w:r w:rsidRPr="00EC20A0">
        <w:t>state</w:t>
      </w:r>
      <w:r w:rsidRPr="00EC20A0">
        <w:rPr>
          <w:spacing w:val="-4"/>
        </w:rPr>
        <w:t xml:space="preserve"> </w:t>
      </w:r>
      <w:r w:rsidRPr="00EC20A0">
        <w:t>the</w:t>
      </w:r>
      <w:r w:rsidRPr="00EC20A0">
        <w:rPr>
          <w:spacing w:val="-4"/>
        </w:rPr>
        <w:t xml:space="preserve"> </w:t>
      </w:r>
      <w:r w:rsidRPr="00EC20A0">
        <w:t>findings</w:t>
      </w:r>
      <w:r w:rsidRPr="00EC20A0">
        <w:rPr>
          <w:spacing w:val="-4"/>
        </w:rPr>
        <w:t xml:space="preserve"> </w:t>
      </w:r>
      <w:r w:rsidRPr="00EC20A0">
        <w:t>in</w:t>
      </w:r>
      <w:r w:rsidRPr="00EC20A0">
        <w:rPr>
          <w:spacing w:val="-4"/>
        </w:rPr>
        <w:t xml:space="preserve"> </w:t>
      </w:r>
      <w:r w:rsidRPr="00EC20A0">
        <w:t>definitive,</w:t>
      </w:r>
      <w:r w:rsidRPr="00EC20A0">
        <w:rPr>
          <w:spacing w:val="-4"/>
        </w:rPr>
        <w:t xml:space="preserve"> </w:t>
      </w:r>
      <w:r w:rsidRPr="00EC20A0">
        <w:t>rather</w:t>
      </w:r>
      <w:r w:rsidRPr="00EC20A0">
        <w:rPr>
          <w:spacing w:val="-4"/>
        </w:rPr>
        <w:t xml:space="preserve"> </w:t>
      </w:r>
      <w:r w:rsidRPr="00EC20A0">
        <w:t>than</w:t>
      </w:r>
      <w:r w:rsidRPr="00EC20A0">
        <w:rPr>
          <w:spacing w:val="-4"/>
        </w:rPr>
        <w:t xml:space="preserve"> </w:t>
      </w:r>
      <w:r w:rsidRPr="00EC20A0">
        <w:t>qualified,</w:t>
      </w:r>
      <w:r w:rsidRPr="00EC20A0">
        <w:rPr>
          <w:spacing w:val="-4"/>
        </w:rPr>
        <w:t xml:space="preserve"> </w:t>
      </w:r>
      <w:r w:rsidRPr="00EC20A0">
        <w:t>language and should not</w:t>
      </w:r>
    </w:p>
    <w:p w14:paraId="24D609F0" w14:textId="77777777" w:rsidR="00245300" w:rsidRPr="00EC20A0" w:rsidRDefault="00F17249">
      <w:pPr>
        <w:pStyle w:val="ListParagraph"/>
        <w:numPr>
          <w:ilvl w:val="1"/>
          <w:numId w:val="172"/>
        </w:numPr>
        <w:tabs>
          <w:tab w:val="left" w:pos="1920"/>
        </w:tabs>
        <w:spacing w:before="121"/>
        <w:ind w:left="1920" w:hanging="359"/>
      </w:pPr>
      <w:r w:rsidRPr="00EC20A0">
        <w:t>use</w:t>
      </w:r>
      <w:r w:rsidRPr="00EC20A0">
        <w:rPr>
          <w:spacing w:val="-7"/>
        </w:rPr>
        <w:t xml:space="preserve"> </w:t>
      </w:r>
      <w:r w:rsidRPr="00EC20A0">
        <w:t>vague</w:t>
      </w:r>
      <w:r w:rsidRPr="00EC20A0">
        <w:rPr>
          <w:spacing w:val="-6"/>
        </w:rPr>
        <w:t xml:space="preserve"> </w:t>
      </w:r>
      <w:r w:rsidRPr="00EC20A0">
        <w:t>or</w:t>
      </w:r>
      <w:r w:rsidRPr="00EC20A0">
        <w:rPr>
          <w:spacing w:val="-6"/>
        </w:rPr>
        <w:t xml:space="preserve"> </w:t>
      </w:r>
      <w:r w:rsidRPr="00EC20A0">
        <w:t>ambiguous</w:t>
      </w:r>
      <w:r w:rsidRPr="00EC20A0">
        <w:rPr>
          <w:spacing w:val="-6"/>
        </w:rPr>
        <w:t xml:space="preserve"> </w:t>
      </w:r>
      <w:r w:rsidRPr="00EC20A0">
        <w:rPr>
          <w:spacing w:val="-2"/>
        </w:rPr>
        <w:t>language,</w:t>
      </w:r>
    </w:p>
    <w:p w14:paraId="24D609F1" w14:textId="77777777" w:rsidR="00245300" w:rsidRPr="00EC20A0" w:rsidRDefault="00F17249">
      <w:pPr>
        <w:pStyle w:val="ListParagraph"/>
        <w:numPr>
          <w:ilvl w:val="1"/>
          <w:numId w:val="172"/>
        </w:numPr>
        <w:tabs>
          <w:tab w:val="left" w:pos="1920"/>
        </w:tabs>
        <w:spacing w:before="119"/>
        <w:ind w:left="1920" w:hanging="359"/>
      </w:pPr>
      <w:r w:rsidRPr="00EC20A0">
        <w:t>include</w:t>
      </w:r>
      <w:r w:rsidRPr="00EC20A0">
        <w:rPr>
          <w:spacing w:val="-8"/>
        </w:rPr>
        <w:t xml:space="preserve"> </w:t>
      </w:r>
      <w:r w:rsidRPr="00EC20A0">
        <w:t>terms</w:t>
      </w:r>
      <w:r w:rsidRPr="00EC20A0">
        <w:rPr>
          <w:spacing w:val="-7"/>
        </w:rPr>
        <w:t xml:space="preserve"> </w:t>
      </w:r>
      <w:r w:rsidRPr="00EC20A0">
        <w:t>of</w:t>
      </w:r>
      <w:r w:rsidRPr="00EC20A0">
        <w:rPr>
          <w:spacing w:val="-7"/>
        </w:rPr>
        <w:t xml:space="preserve"> </w:t>
      </w:r>
      <w:r w:rsidRPr="00EC20A0">
        <w:t>uncertain</w:t>
      </w:r>
      <w:r w:rsidRPr="00EC20A0">
        <w:rPr>
          <w:spacing w:val="-7"/>
        </w:rPr>
        <w:t xml:space="preserve"> </w:t>
      </w:r>
      <w:r w:rsidRPr="00EC20A0">
        <w:t>meaning,</w:t>
      </w:r>
      <w:r w:rsidRPr="00EC20A0">
        <w:rPr>
          <w:spacing w:val="-6"/>
        </w:rPr>
        <w:t xml:space="preserve"> </w:t>
      </w:r>
      <w:r w:rsidRPr="00EC20A0">
        <w:rPr>
          <w:spacing w:val="-5"/>
        </w:rPr>
        <w:t>and</w:t>
      </w:r>
    </w:p>
    <w:p w14:paraId="24D609F2" w14:textId="77777777" w:rsidR="00245300" w:rsidRPr="00EC20A0" w:rsidRDefault="00F17249">
      <w:pPr>
        <w:pStyle w:val="ListParagraph"/>
        <w:numPr>
          <w:ilvl w:val="1"/>
          <w:numId w:val="172"/>
        </w:numPr>
        <w:tabs>
          <w:tab w:val="left" w:pos="1921"/>
        </w:tabs>
        <w:spacing w:before="120"/>
        <w:ind w:left="1921" w:right="400"/>
      </w:pPr>
      <w:r w:rsidRPr="00EC20A0">
        <w:t>express an opinion or conclusion on the subject matter or about whether the subject</w:t>
      </w:r>
      <w:r w:rsidRPr="00EC20A0">
        <w:rPr>
          <w:spacing w:val="-4"/>
        </w:rPr>
        <w:t xml:space="preserve"> </w:t>
      </w:r>
      <w:r w:rsidRPr="00EC20A0">
        <w:t>matter</w:t>
      </w:r>
      <w:r w:rsidRPr="00EC20A0">
        <w:rPr>
          <w:spacing w:val="-4"/>
        </w:rPr>
        <w:t xml:space="preserve"> </w:t>
      </w:r>
      <w:r w:rsidRPr="00EC20A0">
        <w:t>is</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5"/>
        </w:rPr>
        <w:t xml:space="preserve"> </w:t>
      </w:r>
      <w:r w:rsidRPr="00EC20A0">
        <w:t>(or</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criteria</w:t>
      </w:r>
      <w:r w:rsidRPr="00EC20A0">
        <w:rPr>
          <w:spacing w:val="-4"/>
        </w:rPr>
        <w:t xml:space="preserve"> </w:t>
      </w:r>
      <w:r w:rsidRPr="00EC20A0">
        <w:t>(AT-C</w:t>
      </w:r>
      <w:r w:rsidRPr="00EC20A0">
        <w:rPr>
          <w:spacing w:val="-4"/>
        </w:rPr>
        <w:t xml:space="preserve"> </w:t>
      </w:r>
      <w:r w:rsidRPr="00EC20A0">
        <w:t>215.26).</w:t>
      </w:r>
    </w:p>
    <w:p w14:paraId="24D609F3" w14:textId="77777777" w:rsidR="00245300" w:rsidRPr="00EC20A0" w:rsidRDefault="00F17249">
      <w:pPr>
        <w:pStyle w:val="BodyText"/>
        <w:spacing w:before="120"/>
        <w:ind w:left="1561" w:right="380"/>
      </w:pPr>
      <w:r w:rsidRPr="00EC20A0">
        <w:t>The</w:t>
      </w:r>
      <w:r w:rsidRPr="00EC20A0">
        <w:rPr>
          <w:spacing w:val="-5"/>
        </w:rPr>
        <w:t xml:space="preserve"> </w:t>
      </w:r>
      <w:r w:rsidRPr="00EC20A0">
        <w:t>following</w:t>
      </w:r>
      <w:r w:rsidRPr="00EC20A0">
        <w:rPr>
          <w:spacing w:val="-5"/>
        </w:rPr>
        <w:t xml:space="preserve"> </w:t>
      </w:r>
      <w:r w:rsidRPr="00EC20A0">
        <w:t>table</w:t>
      </w:r>
      <w:r w:rsidRPr="00EC20A0">
        <w:rPr>
          <w:spacing w:val="-5"/>
        </w:rPr>
        <w:t xml:space="preserve"> </w:t>
      </w:r>
      <w:r w:rsidRPr="00EC20A0">
        <w:t>provides</w:t>
      </w:r>
      <w:r w:rsidRPr="00EC20A0">
        <w:rPr>
          <w:spacing w:val="-5"/>
        </w:rPr>
        <w:t xml:space="preserve"> </w:t>
      </w:r>
      <w:r w:rsidRPr="00EC20A0">
        <w:t>examples</w:t>
      </w:r>
      <w:r w:rsidRPr="00EC20A0">
        <w:rPr>
          <w:spacing w:val="-5"/>
        </w:rPr>
        <w:t xml:space="preserve"> </w:t>
      </w:r>
      <w:r w:rsidRPr="00EC20A0">
        <w:t>of</w:t>
      </w:r>
      <w:r w:rsidRPr="00EC20A0">
        <w:rPr>
          <w:spacing w:val="-5"/>
        </w:rPr>
        <w:t xml:space="preserve"> </w:t>
      </w:r>
      <w:r w:rsidRPr="00EC20A0">
        <w:t>appropriate</w:t>
      </w:r>
      <w:r w:rsidRPr="00EC20A0">
        <w:rPr>
          <w:spacing w:val="-5"/>
        </w:rPr>
        <w:t xml:space="preserve"> </w:t>
      </w:r>
      <w:r w:rsidRPr="00EC20A0">
        <w:t>and</w:t>
      </w:r>
      <w:r w:rsidRPr="00EC20A0">
        <w:rPr>
          <w:spacing w:val="-5"/>
        </w:rPr>
        <w:t xml:space="preserve"> </w:t>
      </w:r>
      <w:r w:rsidRPr="00EC20A0">
        <w:t>inappropriate descriptions of findings and results.</w:t>
      </w:r>
    </w:p>
    <w:p w14:paraId="24D609F4" w14:textId="77777777" w:rsidR="00245300" w:rsidRPr="00EC20A0" w:rsidRDefault="00245300">
      <w:pPr>
        <w:sectPr w:rsidR="00245300" w:rsidRPr="00EC20A0">
          <w:pgSz w:w="12240" w:h="15840"/>
          <w:pgMar w:top="1340" w:right="1140" w:bottom="940" w:left="1320" w:header="721" w:footer="757" w:gutter="0"/>
          <w:cols w:space="720"/>
        </w:sectPr>
      </w:pPr>
    </w:p>
    <w:p w14:paraId="24D609F5" w14:textId="77777777" w:rsidR="00245300" w:rsidRPr="00EC20A0" w:rsidRDefault="00F17249">
      <w:pPr>
        <w:spacing w:before="121"/>
        <w:ind w:left="1560" w:right="380" w:hanging="1440"/>
        <w:rPr>
          <w:b/>
        </w:rPr>
      </w:pPr>
      <w:r w:rsidRPr="00EC20A0">
        <w:rPr>
          <w:b/>
          <w:u w:val="single"/>
        </w:rPr>
        <w:t>Table</w:t>
      </w:r>
      <w:r w:rsidRPr="00EC20A0">
        <w:rPr>
          <w:b/>
          <w:spacing w:val="-4"/>
          <w:u w:val="single"/>
        </w:rPr>
        <w:t xml:space="preserve"> </w:t>
      </w:r>
      <w:r w:rsidRPr="00EC20A0">
        <w:rPr>
          <w:b/>
          <w:u w:val="single"/>
        </w:rPr>
        <w:t>710.1:</w:t>
      </w:r>
      <w:r w:rsidRPr="00EC20A0">
        <w:rPr>
          <w:b/>
          <w:spacing w:val="80"/>
          <w:u w:val="single"/>
        </w:rPr>
        <w:t xml:space="preserve"> </w:t>
      </w:r>
      <w:r w:rsidRPr="00EC20A0">
        <w:rPr>
          <w:b/>
          <w:u w:val="single"/>
        </w:rPr>
        <w:t>Examples</w:t>
      </w:r>
      <w:r w:rsidRPr="00EC20A0">
        <w:rPr>
          <w:b/>
          <w:spacing w:val="-4"/>
          <w:u w:val="single"/>
        </w:rPr>
        <w:t xml:space="preserve"> </w:t>
      </w:r>
      <w:r w:rsidRPr="00EC20A0">
        <w:rPr>
          <w:b/>
          <w:u w:val="single"/>
        </w:rPr>
        <w:t>of</w:t>
      </w:r>
      <w:r w:rsidRPr="00EC20A0">
        <w:rPr>
          <w:b/>
          <w:spacing w:val="-4"/>
          <w:u w:val="single"/>
        </w:rPr>
        <w:t xml:space="preserve"> </w:t>
      </w:r>
      <w:r w:rsidRPr="00EC20A0">
        <w:rPr>
          <w:b/>
          <w:u w:val="single"/>
        </w:rPr>
        <w:t>appropriate/inappropriate</w:t>
      </w:r>
      <w:r w:rsidRPr="00EC20A0">
        <w:rPr>
          <w:b/>
          <w:spacing w:val="-4"/>
          <w:u w:val="single"/>
        </w:rPr>
        <w:t xml:space="preserve"> </w:t>
      </w:r>
      <w:r w:rsidRPr="00EC20A0">
        <w:rPr>
          <w:b/>
          <w:u w:val="single"/>
        </w:rPr>
        <w:t>description</w:t>
      </w:r>
      <w:r w:rsidRPr="00EC20A0">
        <w:rPr>
          <w:b/>
          <w:spacing w:val="-4"/>
          <w:u w:val="single"/>
        </w:rPr>
        <w:t xml:space="preserve"> </w:t>
      </w:r>
      <w:r w:rsidRPr="00EC20A0">
        <w:rPr>
          <w:b/>
          <w:u w:val="single"/>
        </w:rPr>
        <w:t>of</w:t>
      </w:r>
      <w:r w:rsidRPr="00EC20A0">
        <w:rPr>
          <w:b/>
          <w:spacing w:val="-4"/>
          <w:u w:val="single"/>
        </w:rPr>
        <w:t xml:space="preserve"> </w:t>
      </w:r>
      <w:r w:rsidRPr="00EC20A0">
        <w:rPr>
          <w:b/>
          <w:u w:val="single"/>
        </w:rPr>
        <w:t>findings</w:t>
      </w:r>
      <w:r w:rsidRPr="00EC20A0">
        <w:rPr>
          <w:b/>
          <w:spacing w:val="-4"/>
          <w:u w:val="single"/>
        </w:rPr>
        <w:t xml:space="preserve"> </w:t>
      </w:r>
      <w:r w:rsidRPr="00EC20A0">
        <w:rPr>
          <w:b/>
          <w:u w:val="single"/>
        </w:rPr>
        <w:t>and</w:t>
      </w:r>
      <w:r w:rsidRPr="00EC20A0">
        <w:rPr>
          <w:b/>
          <w:spacing w:val="-4"/>
          <w:u w:val="single"/>
        </w:rPr>
        <w:t xml:space="preserve"> </w:t>
      </w:r>
      <w:r w:rsidRPr="00EC20A0">
        <w:rPr>
          <w:b/>
          <w:u w:val="single"/>
        </w:rPr>
        <w:t>results</w:t>
      </w:r>
      <w:r w:rsidRPr="00EC20A0">
        <w:rPr>
          <w:b/>
        </w:rPr>
        <w:t xml:space="preserve"> </w:t>
      </w:r>
      <w:r w:rsidRPr="00EC20A0">
        <w:rPr>
          <w:b/>
          <w:u w:val="single"/>
        </w:rPr>
        <w:t>for agreed-upon procedures</w:t>
      </w:r>
    </w:p>
    <w:p w14:paraId="24D609F6" w14:textId="77777777" w:rsidR="00245300" w:rsidRPr="00EC20A0" w:rsidRDefault="00245300">
      <w:pPr>
        <w:pStyle w:val="BodyText"/>
        <w:spacing w:before="8"/>
        <w:rPr>
          <w:b/>
          <w:sz w:val="11"/>
        </w:rPr>
      </w:pPr>
    </w:p>
    <w:tbl>
      <w:tblPr>
        <w:tblW w:w="0" w:type="auto"/>
        <w:tblInd w:w="16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3229"/>
        <w:gridCol w:w="3859"/>
        <w:gridCol w:w="2228"/>
      </w:tblGrid>
      <w:tr w:rsidR="00245300" w:rsidRPr="00EC20A0" w14:paraId="24D609FA" w14:textId="77777777">
        <w:trPr>
          <w:trHeight w:val="358"/>
        </w:trPr>
        <w:tc>
          <w:tcPr>
            <w:tcW w:w="3229" w:type="dxa"/>
            <w:vMerge w:val="restart"/>
            <w:tcBorders>
              <w:right w:val="single" w:sz="6" w:space="0" w:color="000000"/>
            </w:tcBorders>
          </w:tcPr>
          <w:p w14:paraId="24D609F7" w14:textId="77777777" w:rsidR="00245300" w:rsidRPr="00EC20A0" w:rsidRDefault="00245300">
            <w:pPr>
              <w:pStyle w:val="TableParagraph"/>
              <w:spacing w:before="194"/>
              <w:rPr>
                <w:b/>
              </w:rPr>
            </w:pPr>
          </w:p>
          <w:p w14:paraId="24D609F8" w14:textId="77777777" w:rsidR="00245300" w:rsidRPr="00EC20A0" w:rsidRDefault="00F17249">
            <w:pPr>
              <w:pStyle w:val="TableParagraph"/>
              <w:spacing w:before="1"/>
              <w:ind w:left="120"/>
              <w:rPr>
                <w:b/>
              </w:rPr>
            </w:pPr>
            <w:r w:rsidRPr="00EC20A0">
              <w:rPr>
                <w:b/>
              </w:rPr>
              <w:t>Agreed-upon</w:t>
            </w:r>
            <w:r w:rsidRPr="00EC20A0">
              <w:rPr>
                <w:b/>
                <w:spacing w:val="-15"/>
              </w:rPr>
              <w:t xml:space="preserve"> </w:t>
            </w:r>
            <w:r w:rsidRPr="00EC20A0">
              <w:rPr>
                <w:b/>
                <w:spacing w:val="-2"/>
              </w:rPr>
              <w:t>procedures</w:t>
            </w:r>
          </w:p>
        </w:tc>
        <w:tc>
          <w:tcPr>
            <w:tcW w:w="6087" w:type="dxa"/>
            <w:gridSpan w:val="2"/>
            <w:tcBorders>
              <w:left w:val="single" w:sz="6" w:space="0" w:color="000000"/>
              <w:bottom w:val="single" w:sz="6" w:space="0" w:color="000000"/>
            </w:tcBorders>
          </w:tcPr>
          <w:p w14:paraId="24D609F9" w14:textId="77777777" w:rsidR="00245300" w:rsidRPr="00EC20A0" w:rsidRDefault="00F17249">
            <w:pPr>
              <w:pStyle w:val="TableParagraph"/>
              <w:spacing w:before="60"/>
              <w:ind w:left="1227"/>
              <w:rPr>
                <w:b/>
              </w:rPr>
            </w:pPr>
            <w:r w:rsidRPr="00EC20A0">
              <w:rPr>
                <w:b/>
              </w:rPr>
              <w:t>Description</w:t>
            </w:r>
            <w:r w:rsidRPr="00EC20A0">
              <w:rPr>
                <w:b/>
                <w:spacing w:val="-8"/>
              </w:rPr>
              <w:t xml:space="preserve"> </w:t>
            </w:r>
            <w:r w:rsidRPr="00EC20A0">
              <w:rPr>
                <w:b/>
              </w:rPr>
              <w:t>of</w:t>
            </w:r>
            <w:r w:rsidRPr="00EC20A0">
              <w:rPr>
                <w:b/>
                <w:spacing w:val="-7"/>
              </w:rPr>
              <w:t xml:space="preserve"> </w:t>
            </w:r>
            <w:r w:rsidRPr="00EC20A0">
              <w:rPr>
                <w:b/>
              </w:rPr>
              <w:t>findings</w:t>
            </w:r>
            <w:r w:rsidRPr="00EC20A0">
              <w:rPr>
                <w:b/>
                <w:spacing w:val="-7"/>
              </w:rPr>
              <w:t xml:space="preserve"> </w:t>
            </w:r>
            <w:r w:rsidRPr="00EC20A0">
              <w:rPr>
                <w:b/>
              </w:rPr>
              <w:t>and</w:t>
            </w:r>
            <w:r w:rsidRPr="00EC20A0">
              <w:rPr>
                <w:b/>
                <w:spacing w:val="-7"/>
              </w:rPr>
              <w:t xml:space="preserve"> </w:t>
            </w:r>
            <w:r w:rsidRPr="00EC20A0">
              <w:rPr>
                <w:b/>
                <w:spacing w:val="-2"/>
              </w:rPr>
              <w:t>results</w:t>
            </w:r>
          </w:p>
        </w:tc>
      </w:tr>
      <w:tr w:rsidR="00245300" w:rsidRPr="00EC20A0" w14:paraId="24D609FE" w14:textId="77777777">
        <w:trPr>
          <w:trHeight w:val="357"/>
        </w:trPr>
        <w:tc>
          <w:tcPr>
            <w:tcW w:w="3229" w:type="dxa"/>
            <w:vMerge/>
            <w:tcBorders>
              <w:top w:val="nil"/>
              <w:right w:val="single" w:sz="6" w:space="0" w:color="000000"/>
            </w:tcBorders>
          </w:tcPr>
          <w:p w14:paraId="24D609FB" w14:textId="77777777" w:rsidR="00245300" w:rsidRPr="00EC20A0" w:rsidRDefault="00245300">
            <w:pPr>
              <w:rPr>
                <w:sz w:val="2"/>
                <w:szCs w:val="2"/>
              </w:rPr>
            </w:pPr>
          </w:p>
        </w:tc>
        <w:tc>
          <w:tcPr>
            <w:tcW w:w="3859" w:type="dxa"/>
            <w:tcBorders>
              <w:top w:val="single" w:sz="6" w:space="0" w:color="000000"/>
              <w:left w:val="single" w:sz="6" w:space="0" w:color="000000"/>
              <w:right w:val="single" w:sz="6" w:space="0" w:color="000000"/>
            </w:tcBorders>
          </w:tcPr>
          <w:p w14:paraId="24D609FC" w14:textId="77777777" w:rsidR="00245300" w:rsidRPr="00EC20A0" w:rsidRDefault="00F17249">
            <w:pPr>
              <w:pStyle w:val="TableParagraph"/>
              <w:spacing w:before="44"/>
              <w:ind w:left="135"/>
              <w:rPr>
                <w:b/>
              </w:rPr>
            </w:pPr>
            <w:r w:rsidRPr="00EC20A0">
              <w:rPr>
                <w:b/>
                <w:spacing w:val="-2"/>
              </w:rPr>
              <w:t>Appropriate</w:t>
            </w:r>
          </w:p>
        </w:tc>
        <w:tc>
          <w:tcPr>
            <w:tcW w:w="2228" w:type="dxa"/>
            <w:tcBorders>
              <w:top w:val="single" w:sz="6" w:space="0" w:color="000000"/>
              <w:left w:val="single" w:sz="6" w:space="0" w:color="000000"/>
            </w:tcBorders>
          </w:tcPr>
          <w:p w14:paraId="24D609FD" w14:textId="77777777" w:rsidR="00245300" w:rsidRPr="00EC20A0" w:rsidRDefault="00F17249">
            <w:pPr>
              <w:pStyle w:val="TableParagraph"/>
              <w:spacing w:before="44"/>
              <w:ind w:left="135"/>
              <w:rPr>
                <w:b/>
              </w:rPr>
            </w:pPr>
            <w:r w:rsidRPr="00EC20A0">
              <w:rPr>
                <w:b/>
                <w:spacing w:val="-2"/>
              </w:rPr>
              <w:t>Inappropriate</w:t>
            </w:r>
          </w:p>
        </w:tc>
      </w:tr>
      <w:tr w:rsidR="00245300" w:rsidRPr="00EC20A0" w14:paraId="24D60A02" w14:textId="77777777">
        <w:trPr>
          <w:trHeight w:val="317"/>
        </w:trPr>
        <w:tc>
          <w:tcPr>
            <w:tcW w:w="3229" w:type="dxa"/>
            <w:tcBorders>
              <w:bottom w:val="nil"/>
              <w:right w:val="single" w:sz="4" w:space="0" w:color="000000"/>
            </w:tcBorders>
          </w:tcPr>
          <w:p w14:paraId="24D609FF" w14:textId="77777777" w:rsidR="00245300" w:rsidRPr="00EC20A0" w:rsidRDefault="00F17249">
            <w:pPr>
              <w:pStyle w:val="TableParagraph"/>
              <w:spacing w:before="61" w:line="236" w:lineRule="exact"/>
              <w:ind w:left="120"/>
            </w:pPr>
            <w:r w:rsidRPr="00EC20A0">
              <w:t>Based</w:t>
            </w:r>
            <w:r w:rsidRPr="00EC20A0">
              <w:rPr>
                <w:spacing w:val="-5"/>
              </w:rPr>
              <w:t xml:space="preserve"> </w:t>
            </w:r>
            <w:r w:rsidRPr="00EC20A0">
              <w:t>on</w:t>
            </w:r>
            <w:r w:rsidRPr="00EC20A0">
              <w:rPr>
                <w:spacing w:val="-4"/>
              </w:rPr>
              <w:t xml:space="preserve"> </w:t>
            </w:r>
            <w:r w:rsidRPr="00EC20A0">
              <w:t>the</w:t>
            </w:r>
            <w:r w:rsidRPr="00EC20A0">
              <w:rPr>
                <w:spacing w:val="-4"/>
              </w:rPr>
              <w:t xml:space="preserve"> </w:t>
            </w:r>
            <w:r w:rsidRPr="00EC20A0">
              <w:t>total</w:t>
            </w:r>
            <w:r w:rsidRPr="00EC20A0">
              <w:rPr>
                <w:spacing w:val="-4"/>
              </w:rPr>
              <w:t xml:space="preserve"> </w:t>
            </w:r>
            <w:r w:rsidRPr="00EC20A0">
              <w:t>tax</w:t>
            </w:r>
            <w:r w:rsidRPr="00EC20A0">
              <w:rPr>
                <w:spacing w:val="-4"/>
              </w:rPr>
              <w:t xml:space="preserve"> </w:t>
            </w:r>
            <w:r w:rsidRPr="00EC20A0">
              <w:rPr>
                <w:spacing w:val="-2"/>
              </w:rPr>
              <w:t>liability,</w:t>
            </w:r>
          </w:p>
        </w:tc>
        <w:tc>
          <w:tcPr>
            <w:tcW w:w="3859" w:type="dxa"/>
            <w:tcBorders>
              <w:left w:val="single" w:sz="4" w:space="0" w:color="000000"/>
              <w:bottom w:val="nil"/>
              <w:right w:val="single" w:sz="4" w:space="0" w:color="000000"/>
            </w:tcBorders>
          </w:tcPr>
          <w:p w14:paraId="24D60A00" w14:textId="77777777" w:rsidR="00245300" w:rsidRPr="00EC20A0" w:rsidRDefault="00F17249">
            <w:pPr>
              <w:pStyle w:val="TableParagraph"/>
              <w:spacing w:before="61" w:line="236" w:lineRule="exact"/>
              <w:ind w:left="138"/>
            </w:pPr>
            <w:r w:rsidRPr="00EC20A0">
              <w:t>Recalculated</w:t>
            </w:r>
            <w:r w:rsidRPr="00EC20A0">
              <w:rPr>
                <w:spacing w:val="-9"/>
              </w:rPr>
              <w:t xml:space="preserve"> </w:t>
            </w:r>
            <w:r w:rsidRPr="00EC20A0">
              <w:t>amounts</w:t>
            </w:r>
            <w:r w:rsidRPr="00EC20A0">
              <w:rPr>
                <w:spacing w:val="-9"/>
              </w:rPr>
              <w:t xml:space="preserve"> </w:t>
            </w:r>
            <w:r w:rsidRPr="00EC20A0">
              <w:t>for</w:t>
            </w:r>
            <w:r w:rsidRPr="00EC20A0">
              <w:rPr>
                <w:spacing w:val="-9"/>
              </w:rPr>
              <w:t xml:space="preserve"> </w:t>
            </w:r>
            <w:r w:rsidRPr="00EC20A0">
              <w:rPr>
                <w:spacing w:val="-5"/>
              </w:rPr>
              <w:t>the</w:t>
            </w:r>
          </w:p>
        </w:tc>
        <w:tc>
          <w:tcPr>
            <w:tcW w:w="2228" w:type="dxa"/>
            <w:tcBorders>
              <w:left w:val="single" w:sz="4" w:space="0" w:color="000000"/>
              <w:bottom w:val="nil"/>
            </w:tcBorders>
          </w:tcPr>
          <w:p w14:paraId="24D60A01" w14:textId="77777777" w:rsidR="00245300" w:rsidRPr="00EC20A0" w:rsidRDefault="00F17249">
            <w:pPr>
              <w:pStyle w:val="TableParagraph"/>
              <w:spacing w:before="61" w:line="236" w:lineRule="exact"/>
              <w:ind w:left="138"/>
            </w:pPr>
            <w:r w:rsidRPr="00EC20A0">
              <w:t>Nothing</w:t>
            </w:r>
            <w:r w:rsidRPr="00EC20A0">
              <w:rPr>
                <w:spacing w:val="-8"/>
              </w:rPr>
              <w:t xml:space="preserve"> </w:t>
            </w:r>
            <w:r w:rsidRPr="00EC20A0">
              <w:t>came</w:t>
            </w:r>
            <w:r w:rsidRPr="00EC20A0">
              <w:rPr>
                <w:spacing w:val="-8"/>
              </w:rPr>
              <w:t xml:space="preserve"> </w:t>
            </w:r>
            <w:r w:rsidRPr="00EC20A0">
              <w:rPr>
                <w:spacing w:val="-5"/>
              </w:rPr>
              <w:t>to</w:t>
            </w:r>
          </w:p>
        </w:tc>
      </w:tr>
      <w:tr w:rsidR="00245300" w:rsidRPr="00EC20A0" w14:paraId="24D60A06" w14:textId="77777777">
        <w:trPr>
          <w:trHeight w:val="252"/>
        </w:trPr>
        <w:tc>
          <w:tcPr>
            <w:tcW w:w="3229" w:type="dxa"/>
            <w:tcBorders>
              <w:top w:val="nil"/>
              <w:bottom w:val="nil"/>
              <w:right w:val="single" w:sz="4" w:space="0" w:color="000000"/>
            </w:tcBorders>
          </w:tcPr>
          <w:p w14:paraId="24D60A03" w14:textId="77777777" w:rsidR="00245300" w:rsidRPr="00EC20A0" w:rsidRDefault="00F17249">
            <w:pPr>
              <w:pStyle w:val="TableParagraph"/>
              <w:spacing w:line="233" w:lineRule="exact"/>
              <w:ind w:left="120"/>
            </w:pPr>
            <w:r w:rsidRPr="00EC20A0">
              <w:t>select</w:t>
            </w:r>
            <w:r w:rsidRPr="00EC20A0">
              <w:rPr>
                <w:spacing w:val="-7"/>
              </w:rPr>
              <w:t xml:space="preserve"> </w:t>
            </w:r>
            <w:r w:rsidRPr="00EC20A0">
              <w:t>and</w:t>
            </w:r>
            <w:r w:rsidRPr="00EC20A0">
              <w:rPr>
                <w:spacing w:val="-7"/>
              </w:rPr>
              <w:t xml:space="preserve"> </w:t>
            </w:r>
            <w:r w:rsidRPr="00EC20A0">
              <w:t>recalculate</w:t>
            </w:r>
            <w:r w:rsidRPr="00EC20A0">
              <w:rPr>
                <w:spacing w:val="-8"/>
              </w:rPr>
              <w:t xml:space="preserve"> </w:t>
            </w:r>
            <w:r w:rsidRPr="00EC20A0">
              <w:t>the</w:t>
            </w:r>
            <w:r w:rsidRPr="00EC20A0">
              <w:rPr>
                <w:spacing w:val="-7"/>
              </w:rPr>
              <w:t xml:space="preserve"> </w:t>
            </w:r>
            <w:r w:rsidRPr="00EC20A0">
              <w:rPr>
                <w:spacing w:val="-5"/>
              </w:rPr>
              <w:t>50</w:t>
            </w:r>
          </w:p>
        </w:tc>
        <w:tc>
          <w:tcPr>
            <w:tcW w:w="3859" w:type="dxa"/>
            <w:tcBorders>
              <w:top w:val="nil"/>
              <w:left w:val="single" w:sz="4" w:space="0" w:color="000000"/>
              <w:bottom w:val="nil"/>
              <w:right w:val="single" w:sz="4" w:space="0" w:color="000000"/>
            </w:tcBorders>
          </w:tcPr>
          <w:p w14:paraId="24D60A04" w14:textId="77777777" w:rsidR="00245300" w:rsidRPr="00EC20A0" w:rsidRDefault="00F17249">
            <w:pPr>
              <w:pStyle w:val="TableParagraph"/>
              <w:spacing w:line="233" w:lineRule="exact"/>
              <w:ind w:left="138"/>
            </w:pPr>
            <w:r w:rsidRPr="00EC20A0">
              <w:t>selected</w:t>
            </w:r>
            <w:r w:rsidRPr="00EC20A0">
              <w:rPr>
                <w:spacing w:val="-8"/>
              </w:rPr>
              <w:t xml:space="preserve"> </w:t>
            </w:r>
            <w:r w:rsidRPr="00EC20A0">
              <w:t>excise</w:t>
            </w:r>
            <w:r w:rsidRPr="00EC20A0">
              <w:rPr>
                <w:spacing w:val="-7"/>
              </w:rPr>
              <w:t xml:space="preserve"> </w:t>
            </w:r>
            <w:r w:rsidRPr="00EC20A0">
              <w:t>tax</w:t>
            </w:r>
            <w:r w:rsidRPr="00EC20A0">
              <w:rPr>
                <w:spacing w:val="-7"/>
              </w:rPr>
              <w:t xml:space="preserve"> </w:t>
            </w:r>
            <w:r w:rsidRPr="00EC20A0">
              <w:t>returns</w:t>
            </w:r>
            <w:r w:rsidRPr="00EC20A0">
              <w:rPr>
                <w:spacing w:val="-7"/>
              </w:rPr>
              <w:t xml:space="preserve"> </w:t>
            </w:r>
            <w:r w:rsidRPr="00EC20A0">
              <w:rPr>
                <w:spacing w:val="-2"/>
              </w:rPr>
              <w:t>agreed</w:t>
            </w:r>
          </w:p>
        </w:tc>
        <w:tc>
          <w:tcPr>
            <w:tcW w:w="2228" w:type="dxa"/>
            <w:tcBorders>
              <w:top w:val="nil"/>
              <w:left w:val="single" w:sz="4" w:space="0" w:color="000000"/>
              <w:bottom w:val="nil"/>
            </w:tcBorders>
          </w:tcPr>
          <w:p w14:paraId="24D60A05" w14:textId="77777777" w:rsidR="00245300" w:rsidRPr="00EC20A0" w:rsidRDefault="00F17249">
            <w:pPr>
              <w:pStyle w:val="TableParagraph"/>
              <w:spacing w:line="233" w:lineRule="exact"/>
              <w:ind w:left="138"/>
            </w:pPr>
            <w:r w:rsidRPr="00EC20A0">
              <w:t>our</w:t>
            </w:r>
            <w:r w:rsidRPr="00EC20A0">
              <w:rPr>
                <w:spacing w:val="-5"/>
              </w:rPr>
              <w:t xml:space="preserve"> </w:t>
            </w:r>
            <w:r w:rsidRPr="00EC20A0">
              <w:t>attention</w:t>
            </w:r>
            <w:r w:rsidRPr="00EC20A0">
              <w:rPr>
                <w:spacing w:val="-6"/>
              </w:rPr>
              <w:t xml:space="preserve"> </w:t>
            </w:r>
            <w:r w:rsidRPr="00EC20A0">
              <w:t>as</w:t>
            </w:r>
            <w:r w:rsidRPr="00EC20A0">
              <w:rPr>
                <w:spacing w:val="-4"/>
              </w:rPr>
              <w:t xml:space="preserve"> </w:t>
            </w:r>
            <w:r w:rsidRPr="00EC20A0">
              <w:rPr>
                <w:spacing w:val="-10"/>
              </w:rPr>
              <w:t>a</w:t>
            </w:r>
          </w:p>
        </w:tc>
      </w:tr>
      <w:tr w:rsidR="00245300" w:rsidRPr="00EC20A0" w14:paraId="24D60A0A" w14:textId="77777777">
        <w:trPr>
          <w:trHeight w:val="253"/>
        </w:trPr>
        <w:tc>
          <w:tcPr>
            <w:tcW w:w="3229" w:type="dxa"/>
            <w:tcBorders>
              <w:top w:val="nil"/>
              <w:bottom w:val="nil"/>
              <w:right w:val="single" w:sz="4" w:space="0" w:color="000000"/>
            </w:tcBorders>
          </w:tcPr>
          <w:p w14:paraId="24D60A07" w14:textId="77777777" w:rsidR="00245300" w:rsidRPr="00EC20A0" w:rsidRDefault="00F17249">
            <w:pPr>
              <w:pStyle w:val="TableParagraph"/>
              <w:spacing w:line="233" w:lineRule="exact"/>
              <w:ind w:left="120"/>
            </w:pPr>
            <w:r w:rsidRPr="00EC20A0">
              <w:t>largest</w:t>
            </w:r>
            <w:r w:rsidRPr="00EC20A0">
              <w:rPr>
                <w:spacing w:val="-7"/>
              </w:rPr>
              <w:t xml:space="preserve"> </w:t>
            </w:r>
            <w:r w:rsidRPr="00EC20A0">
              <w:t>excise</w:t>
            </w:r>
            <w:r w:rsidRPr="00EC20A0">
              <w:rPr>
                <w:spacing w:val="-6"/>
              </w:rPr>
              <w:t xml:space="preserve"> </w:t>
            </w:r>
            <w:r w:rsidRPr="00EC20A0">
              <w:t>tax</w:t>
            </w:r>
            <w:r w:rsidRPr="00EC20A0">
              <w:rPr>
                <w:spacing w:val="-6"/>
              </w:rPr>
              <w:t xml:space="preserve"> </w:t>
            </w:r>
            <w:r w:rsidRPr="00EC20A0">
              <w:t>returns</w:t>
            </w:r>
            <w:r w:rsidRPr="00EC20A0">
              <w:rPr>
                <w:spacing w:val="-7"/>
              </w:rPr>
              <w:t xml:space="preserve"> </w:t>
            </w:r>
            <w:r w:rsidRPr="00EC20A0">
              <w:rPr>
                <w:spacing w:val="-4"/>
              </w:rPr>
              <w:t>from</w:t>
            </w:r>
          </w:p>
        </w:tc>
        <w:tc>
          <w:tcPr>
            <w:tcW w:w="3859" w:type="dxa"/>
            <w:tcBorders>
              <w:top w:val="nil"/>
              <w:left w:val="single" w:sz="4" w:space="0" w:color="000000"/>
              <w:bottom w:val="nil"/>
              <w:right w:val="single" w:sz="4" w:space="0" w:color="000000"/>
            </w:tcBorders>
          </w:tcPr>
          <w:p w14:paraId="24D60A08" w14:textId="77777777" w:rsidR="00245300" w:rsidRPr="00EC20A0" w:rsidRDefault="00F17249">
            <w:pPr>
              <w:pStyle w:val="TableParagraph"/>
              <w:spacing w:line="233" w:lineRule="exact"/>
              <w:ind w:left="138"/>
            </w:pPr>
            <w:r w:rsidRPr="00EC20A0">
              <w:t>with</w:t>
            </w:r>
            <w:r w:rsidRPr="00EC20A0">
              <w:rPr>
                <w:spacing w:val="-5"/>
              </w:rPr>
              <w:t xml:space="preserve"> </w:t>
            </w:r>
            <w:r w:rsidRPr="00EC20A0">
              <w:t>the</w:t>
            </w:r>
            <w:r w:rsidRPr="00EC20A0">
              <w:rPr>
                <w:spacing w:val="-4"/>
              </w:rPr>
              <w:t xml:space="preserve"> </w:t>
            </w:r>
            <w:r w:rsidRPr="00EC20A0">
              <w:t>amounts</w:t>
            </w:r>
            <w:r w:rsidRPr="00EC20A0">
              <w:rPr>
                <w:spacing w:val="-5"/>
              </w:rPr>
              <w:t xml:space="preserve"> </w:t>
            </w:r>
            <w:r w:rsidRPr="00EC20A0">
              <w:t>in</w:t>
            </w:r>
            <w:r w:rsidRPr="00EC20A0">
              <w:rPr>
                <w:spacing w:val="-4"/>
              </w:rPr>
              <w:t xml:space="preserve"> </w:t>
            </w:r>
            <w:r w:rsidRPr="00EC20A0">
              <w:t>the</w:t>
            </w:r>
            <w:r w:rsidRPr="00EC20A0">
              <w:rPr>
                <w:spacing w:val="-6"/>
              </w:rPr>
              <w:t xml:space="preserve"> </w:t>
            </w:r>
            <w:r w:rsidRPr="00EC20A0">
              <w:rPr>
                <w:spacing w:val="-2"/>
              </w:rPr>
              <w:t>certified</w:t>
            </w:r>
          </w:p>
        </w:tc>
        <w:tc>
          <w:tcPr>
            <w:tcW w:w="2228" w:type="dxa"/>
            <w:tcBorders>
              <w:top w:val="nil"/>
              <w:left w:val="single" w:sz="4" w:space="0" w:color="000000"/>
              <w:bottom w:val="nil"/>
            </w:tcBorders>
          </w:tcPr>
          <w:p w14:paraId="24D60A09" w14:textId="77777777" w:rsidR="00245300" w:rsidRPr="00EC20A0" w:rsidRDefault="00F17249">
            <w:pPr>
              <w:pStyle w:val="TableParagraph"/>
              <w:spacing w:line="233" w:lineRule="exact"/>
              <w:ind w:left="138"/>
            </w:pPr>
            <w:r w:rsidRPr="00EC20A0">
              <w:t>result</w:t>
            </w:r>
            <w:r w:rsidRPr="00EC20A0">
              <w:rPr>
                <w:spacing w:val="-4"/>
              </w:rPr>
              <w:t xml:space="preserve"> </w:t>
            </w:r>
            <w:r w:rsidRPr="00EC20A0">
              <w:t>of</w:t>
            </w:r>
            <w:r w:rsidRPr="00EC20A0">
              <w:rPr>
                <w:spacing w:val="-4"/>
              </w:rPr>
              <w:t xml:space="preserve"> </w:t>
            </w:r>
            <w:r w:rsidRPr="00EC20A0">
              <w:rPr>
                <w:spacing w:val="-2"/>
              </w:rPr>
              <w:t>applying</w:t>
            </w:r>
          </w:p>
        </w:tc>
      </w:tr>
      <w:tr w:rsidR="00245300" w:rsidRPr="00EC20A0" w14:paraId="24D60A0E" w14:textId="77777777">
        <w:trPr>
          <w:trHeight w:val="253"/>
        </w:trPr>
        <w:tc>
          <w:tcPr>
            <w:tcW w:w="3229" w:type="dxa"/>
            <w:tcBorders>
              <w:top w:val="nil"/>
              <w:bottom w:val="nil"/>
              <w:right w:val="single" w:sz="4" w:space="0" w:color="000000"/>
            </w:tcBorders>
          </w:tcPr>
          <w:p w14:paraId="24D60A0B" w14:textId="77777777" w:rsidR="00245300" w:rsidRPr="00EC20A0" w:rsidRDefault="00F17249">
            <w:pPr>
              <w:pStyle w:val="TableParagraph"/>
              <w:spacing w:line="233" w:lineRule="exact"/>
              <w:ind w:left="120"/>
            </w:pPr>
            <w:r w:rsidRPr="00EC20A0">
              <w:t>the</w:t>
            </w:r>
            <w:r w:rsidRPr="00EC20A0">
              <w:rPr>
                <w:spacing w:val="-6"/>
              </w:rPr>
              <w:t xml:space="preserve"> </w:t>
            </w:r>
            <w:r w:rsidRPr="00EC20A0">
              <w:t>quarter</w:t>
            </w:r>
            <w:r w:rsidRPr="00EC20A0">
              <w:rPr>
                <w:spacing w:val="-5"/>
              </w:rPr>
              <w:t xml:space="preserve"> </w:t>
            </w:r>
            <w:r w:rsidRPr="00EC20A0">
              <w:rPr>
                <w:spacing w:val="-2"/>
              </w:rPr>
              <w:t>ended</w:t>
            </w:r>
          </w:p>
        </w:tc>
        <w:tc>
          <w:tcPr>
            <w:tcW w:w="3859" w:type="dxa"/>
            <w:tcBorders>
              <w:top w:val="nil"/>
              <w:left w:val="single" w:sz="4" w:space="0" w:color="000000"/>
              <w:bottom w:val="nil"/>
              <w:right w:val="single" w:sz="4" w:space="0" w:color="000000"/>
            </w:tcBorders>
          </w:tcPr>
          <w:p w14:paraId="24D60A0C" w14:textId="77777777" w:rsidR="00245300" w:rsidRPr="00EC20A0" w:rsidRDefault="00F17249">
            <w:pPr>
              <w:pStyle w:val="TableParagraph"/>
              <w:spacing w:line="233" w:lineRule="exact"/>
              <w:ind w:left="138"/>
            </w:pPr>
            <w:r w:rsidRPr="00EC20A0">
              <w:t>audit</w:t>
            </w:r>
            <w:r w:rsidRPr="00EC20A0">
              <w:rPr>
                <w:spacing w:val="-5"/>
              </w:rPr>
              <w:t xml:space="preserve"> </w:t>
            </w:r>
            <w:r w:rsidRPr="00EC20A0">
              <w:rPr>
                <w:spacing w:val="-2"/>
              </w:rPr>
              <w:t>file.</w:t>
            </w:r>
          </w:p>
        </w:tc>
        <w:tc>
          <w:tcPr>
            <w:tcW w:w="2228" w:type="dxa"/>
            <w:tcBorders>
              <w:top w:val="nil"/>
              <w:left w:val="single" w:sz="4" w:space="0" w:color="000000"/>
              <w:bottom w:val="nil"/>
            </w:tcBorders>
          </w:tcPr>
          <w:p w14:paraId="24D60A0D" w14:textId="77777777" w:rsidR="00245300" w:rsidRPr="00EC20A0" w:rsidRDefault="00F17249">
            <w:pPr>
              <w:pStyle w:val="TableParagraph"/>
              <w:spacing w:line="233" w:lineRule="exact"/>
              <w:ind w:left="138"/>
            </w:pPr>
            <w:r w:rsidRPr="00EC20A0">
              <w:t>this</w:t>
            </w:r>
            <w:r w:rsidRPr="00EC20A0">
              <w:rPr>
                <w:spacing w:val="-4"/>
              </w:rPr>
              <w:t xml:space="preserve"> </w:t>
            </w:r>
            <w:r w:rsidRPr="00EC20A0">
              <w:rPr>
                <w:spacing w:val="-2"/>
              </w:rPr>
              <w:t>procedure.</w:t>
            </w:r>
          </w:p>
        </w:tc>
      </w:tr>
      <w:tr w:rsidR="00245300" w:rsidRPr="00EC20A0" w14:paraId="24D60A12" w14:textId="77777777">
        <w:trPr>
          <w:trHeight w:val="253"/>
        </w:trPr>
        <w:tc>
          <w:tcPr>
            <w:tcW w:w="3229" w:type="dxa"/>
            <w:tcBorders>
              <w:top w:val="nil"/>
              <w:bottom w:val="nil"/>
              <w:right w:val="single" w:sz="4" w:space="0" w:color="000000"/>
            </w:tcBorders>
          </w:tcPr>
          <w:p w14:paraId="24D60A0F" w14:textId="77777777" w:rsidR="00245300" w:rsidRPr="00EC20A0" w:rsidRDefault="00F17249">
            <w:pPr>
              <w:pStyle w:val="TableParagraph"/>
              <w:spacing w:line="233" w:lineRule="exact"/>
              <w:ind w:left="120"/>
            </w:pPr>
            <w:r w:rsidRPr="00EC20A0">
              <w:t>September</w:t>
            </w:r>
            <w:r w:rsidRPr="00EC20A0">
              <w:rPr>
                <w:spacing w:val="-8"/>
              </w:rPr>
              <w:t xml:space="preserve"> </w:t>
            </w:r>
            <w:r w:rsidRPr="00EC20A0">
              <w:t>30,</w:t>
            </w:r>
            <w:r w:rsidRPr="00EC20A0">
              <w:rPr>
                <w:spacing w:val="-7"/>
              </w:rPr>
              <w:t xml:space="preserve"> </w:t>
            </w:r>
            <w:r w:rsidRPr="00EC20A0">
              <w:t>20XX,</w:t>
            </w:r>
            <w:r w:rsidRPr="00EC20A0">
              <w:rPr>
                <w:spacing w:val="-8"/>
              </w:rPr>
              <w:t xml:space="preserve"> </w:t>
            </w:r>
            <w:r w:rsidRPr="00EC20A0">
              <w:rPr>
                <w:spacing w:val="-5"/>
              </w:rPr>
              <w:t>and</w:t>
            </w:r>
          </w:p>
        </w:tc>
        <w:tc>
          <w:tcPr>
            <w:tcW w:w="3859" w:type="dxa"/>
            <w:tcBorders>
              <w:top w:val="nil"/>
              <w:left w:val="single" w:sz="4" w:space="0" w:color="000000"/>
              <w:bottom w:val="nil"/>
              <w:right w:val="single" w:sz="4" w:space="0" w:color="000000"/>
            </w:tcBorders>
          </w:tcPr>
          <w:p w14:paraId="24D60A10" w14:textId="77777777" w:rsidR="00245300" w:rsidRPr="00EC20A0" w:rsidRDefault="00245300">
            <w:pPr>
              <w:pStyle w:val="TableParagraph"/>
              <w:rPr>
                <w:sz w:val="18"/>
              </w:rPr>
            </w:pPr>
          </w:p>
        </w:tc>
        <w:tc>
          <w:tcPr>
            <w:tcW w:w="2228" w:type="dxa"/>
            <w:tcBorders>
              <w:top w:val="nil"/>
              <w:left w:val="single" w:sz="4" w:space="0" w:color="000000"/>
              <w:bottom w:val="nil"/>
            </w:tcBorders>
          </w:tcPr>
          <w:p w14:paraId="24D60A11" w14:textId="77777777" w:rsidR="00245300" w:rsidRPr="00EC20A0" w:rsidRDefault="00245300">
            <w:pPr>
              <w:pStyle w:val="TableParagraph"/>
              <w:rPr>
                <w:sz w:val="18"/>
              </w:rPr>
            </w:pPr>
          </w:p>
        </w:tc>
      </w:tr>
      <w:tr w:rsidR="00245300" w:rsidRPr="00EC20A0" w14:paraId="24D60A16" w14:textId="77777777">
        <w:trPr>
          <w:trHeight w:val="253"/>
        </w:trPr>
        <w:tc>
          <w:tcPr>
            <w:tcW w:w="3229" w:type="dxa"/>
            <w:tcBorders>
              <w:top w:val="nil"/>
              <w:bottom w:val="nil"/>
              <w:right w:val="single" w:sz="4" w:space="0" w:color="000000"/>
            </w:tcBorders>
          </w:tcPr>
          <w:p w14:paraId="24D60A13" w14:textId="77777777" w:rsidR="00245300" w:rsidRPr="00EC20A0" w:rsidRDefault="00F17249">
            <w:pPr>
              <w:pStyle w:val="TableParagraph"/>
              <w:spacing w:line="233" w:lineRule="exact"/>
              <w:ind w:left="120"/>
            </w:pPr>
            <w:r w:rsidRPr="00EC20A0">
              <w:t>compare</w:t>
            </w:r>
            <w:r w:rsidRPr="00EC20A0">
              <w:rPr>
                <w:spacing w:val="-9"/>
              </w:rPr>
              <w:t xml:space="preserve"> </w:t>
            </w:r>
            <w:r w:rsidRPr="00EC20A0">
              <w:t>these</w:t>
            </w:r>
            <w:r w:rsidRPr="00EC20A0">
              <w:rPr>
                <w:spacing w:val="-8"/>
              </w:rPr>
              <w:t xml:space="preserve"> </w:t>
            </w:r>
            <w:r w:rsidRPr="00EC20A0">
              <w:t>amounts</w:t>
            </w:r>
            <w:r w:rsidRPr="00EC20A0">
              <w:rPr>
                <w:spacing w:val="-8"/>
              </w:rPr>
              <w:t xml:space="preserve"> </w:t>
            </w:r>
            <w:r w:rsidRPr="00EC20A0">
              <w:rPr>
                <w:spacing w:val="-4"/>
              </w:rPr>
              <w:t>with</w:t>
            </w:r>
          </w:p>
        </w:tc>
        <w:tc>
          <w:tcPr>
            <w:tcW w:w="3859" w:type="dxa"/>
            <w:tcBorders>
              <w:top w:val="nil"/>
              <w:left w:val="single" w:sz="4" w:space="0" w:color="000000"/>
              <w:bottom w:val="nil"/>
              <w:right w:val="single" w:sz="4" w:space="0" w:color="000000"/>
            </w:tcBorders>
          </w:tcPr>
          <w:p w14:paraId="24D60A14" w14:textId="77777777" w:rsidR="00245300" w:rsidRPr="00EC20A0" w:rsidRDefault="00245300">
            <w:pPr>
              <w:pStyle w:val="TableParagraph"/>
              <w:rPr>
                <w:sz w:val="18"/>
              </w:rPr>
            </w:pPr>
          </w:p>
        </w:tc>
        <w:tc>
          <w:tcPr>
            <w:tcW w:w="2228" w:type="dxa"/>
            <w:tcBorders>
              <w:top w:val="nil"/>
              <w:left w:val="single" w:sz="4" w:space="0" w:color="000000"/>
              <w:bottom w:val="nil"/>
            </w:tcBorders>
          </w:tcPr>
          <w:p w14:paraId="24D60A15" w14:textId="77777777" w:rsidR="00245300" w:rsidRPr="00EC20A0" w:rsidRDefault="00245300">
            <w:pPr>
              <w:pStyle w:val="TableParagraph"/>
              <w:rPr>
                <w:sz w:val="18"/>
              </w:rPr>
            </w:pPr>
          </w:p>
        </w:tc>
      </w:tr>
      <w:tr w:rsidR="00245300" w:rsidRPr="00EC20A0" w14:paraId="24D60A1A" w14:textId="77777777">
        <w:trPr>
          <w:trHeight w:val="308"/>
        </w:trPr>
        <w:tc>
          <w:tcPr>
            <w:tcW w:w="3229" w:type="dxa"/>
            <w:tcBorders>
              <w:top w:val="nil"/>
              <w:bottom w:val="single" w:sz="4" w:space="0" w:color="000000"/>
              <w:right w:val="single" w:sz="4" w:space="0" w:color="000000"/>
            </w:tcBorders>
          </w:tcPr>
          <w:p w14:paraId="24D60A17" w14:textId="77777777" w:rsidR="00245300" w:rsidRPr="00EC20A0" w:rsidRDefault="00F17249">
            <w:pPr>
              <w:pStyle w:val="TableParagraph"/>
              <w:spacing w:line="249" w:lineRule="exact"/>
              <w:ind w:left="120"/>
            </w:pPr>
            <w:r w:rsidRPr="00EC20A0">
              <w:t>those</w:t>
            </w:r>
            <w:r w:rsidRPr="00EC20A0">
              <w:rPr>
                <w:spacing w:val="-5"/>
              </w:rPr>
              <w:t xml:space="preserve"> </w:t>
            </w:r>
            <w:r w:rsidRPr="00EC20A0">
              <w:t>in</w:t>
            </w:r>
            <w:r w:rsidRPr="00EC20A0">
              <w:rPr>
                <w:spacing w:val="-5"/>
              </w:rPr>
              <w:t xml:space="preserve"> </w:t>
            </w:r>
            <w:r w:rsidRPr="00EC20A0">
              <w:t>the</w:t>
            </w:r>
            <w:r w:rsidRPr="00EC20A0">
              <w:rPr>
                <w:spacing w:val="-6"/>
              </w:rPr>
              <w:t xml:space="preserve"> </w:t>
            </w:r>
            <w:r w:rsidRPr="00EC20A0">
              <w:t>certified</w:t>
            </w:r>
            <w:r w:rsidRPr="00EC20A0">
              <w:rPr>
                <w:spacing w:val="-4"/>
              </w:rPr>
              <w:t xml:space="preserve"> </w:t>
            </w:r>
            <w:r w:rsidRPr="00EC20A0">
              <w:t>audit</w:t>
            </w:r>
            <w:r w:rsidRPr="00EC20A0">
              <w:rPr>
                <w:spacing w:val="-5"/>
              </w:rPr>
              <w:t xml:space="preserve"> </w:t>
            </w:r>
            <w:r w:rsidRPr="00EC20A0">
              <w:rPr>
                <w:spacing w:val="-2"/>
              </w:rPr>
              <w:t>file.</w:t>
            </w:r>
          </w:p>
        </w:tc>
        <w:tc>
          <w:tcPr>
            <w:tcW w:w="3859" w:type="dxa"/>
            <w:tcBorders>
              <w:top w:val="nil"/>
              <w:left w:val="single" w:sz="4" w:space="0" w:color="000000"/>
              <w:bottom w:val="single" w:sz="4" w:space="0" w:color="000000"/>
              <w:right w:val="single" w:sz="4" w:space="0" w:color="000000"/>
            </w:tcBorders>
          </w:tcPr>
          <w:p w14:paraId="24D60A18" w14:textId="77777777" w:rsidR="00245300" w:rsidRPr="00EC20A0" w:rsidRDefault="00245300">
            <w:pPr>
              <w:pStyle w:val="TableParagraph"/>
            </w:pPr>
          </w:p>
        </w:tc>
        <w:tc>
          <w:tcPr>
            <w:tcW w:w="2228" w:type="dxa"/>
            <w:tcBorders>
              <w:top w:val="nil"/>
              <w:left w:val="single" w:sz="4" w:space="0" w:color="000000"/>
              <w:bottom w:val="single" w:sz="4" w:space="0" w:color="000000"/>
            </w:tcBorders>
          </w:tcPr>
          <w:p w14:paraId="24D60A19" w14:textId="77777777" w:rsidR="00245300" w:rsidRPr="00EC20A0" w:rsidRDefault="00245300">
            <w:pPr>
              <w:pStyle w:val="TableParagraph"/>
            </w:pPr>
          </w:p>
        </w:tc>
      </w:tr>
      <w:tr w:rsidR="00245300" w:rsidRPr="00EC20A0" w14:paraId="24D60A1E" w14:textId="77777777">
        <w:trPr>
          <w:trHeight w:val="317"/>
        </w:trPr>
        <w:tc>
          <w:tcPr>
            <w:tcW w:w="3229" w:type="dxa"/>
            <w:tcBorders>
              <w:top w:val="single" w:sz="4" w:space="0" w:color="000000"/>
              <w:bottom w:val="nil"/>
              <w:right w:val="single" w:sz="4" w:space="0" w:color="000000"/>
            </w:tcBorders>
          </w:tcPr>
          <w:p w14:paraId="24D60A1B" w14:textId="77777777" w:rsidR="00245300" w:rsidRPr="00EC20A0" w:rsidRDefault="00F17249">
            <w:pPr>
              <w:pStyle w:val="TableParagraph"/>
              <w:spacing w:before="61" w:line="236" w:lineRule="exact"/>
              <w:ind w:left="120"/>
            </w:pPr>
            <w:r w:rsidRPr="00EC20A0">
              <w:t>Select</w:t>
            </w:r>
            <w:r w:rsidRPr="00EC20A0">
              <w:rPr>
                <w:spacing w:val="-6"/>
              </w:rPr>
              <w:t xml:space="preserve"> </w:t>
            </w:r>
            <w:r w:rsidRPr="00EC20A0">
              <w:t>a</w:t>
            </w:r>
            <w:r w:rsidRPr="00EC20A0">
              <w:rPr>
                <w:spacing w:val="-5"/>
              </w:rPr>
              <w:t xml:space="preserve"> </w:t>
            </w:r>
            <w:r w:rsidRPr="00EC20A0">
              <w:t>random</w:t>
            </w:r>
            <w:r w:rsidRPr="00EC20A0">
              <w:rPr>
                <w:spacing w:val="-6"/>
              </w:rPr>
              <w:t xml:space="preserve"> </w:t>
            </w:r>
            <w:r w:rsidRPr="00EC20A0">
              <w:t>sample</w:t>
            </w:r>
            <w:r w:rsidRPr="00EC20A0">
              <w:rPr>
                <w:spacing w:val="-5"/>
              </w:rPr>
              <w:t xml:space="preserve"> </w:t>
            </w:r>
            <w:r w:rsidRPr="00EC20A0">
              <w:t>of</w:t>
            </w:r>
            <w:r w:rsidRPr="00EC20A0">
              <w:rPr>
                <w:spacing w:val="-5"/>
              </w:rPr>
              <w:t xml:space="preserve"> 45</w:t>
            </w:r>
          </w:p>
        </w:tc>
        <w:tc>
          <w:tcPr>
            <w:tcW w:w="3859" w:type="dxa"/>
            <w:tcBorders>
              <w:top w:val="single" w:sz="4" w:space="0" w:color="000000"/>
              <w:left w:val="single" w:sz="4" w:space="0" w:color="000000"/>
              <w:bottom w:val="nil"/>
              <w:right w:val="single" w:sz="4" w:space="0" w:color="000000"/>
            </w:tcBorders>
          </w:tcPr>
          <w:p w14:paraId="24D60A1C" w14:textId="77777777" w:rsidR="00245300" w:rsidRPr="00EC20A0" w:rsidRDefault="00F17249">
            <w:pPr>
              <w:pStyle w:val="TableParagraph"/>
              <w:spacing w:before="61" w:line="236" w:lineRule="exact"/>
              <w:ind w:left="138"/>
            </w:pPr>
            <w:r w:rsidRPr="00EC20A0">
              <w:t>Revenue</w:t>
            </w:r>
            <w:r w:rsidRPr="00EC20A0">
              <w:rPr>
                <w:spacing w:val="-10"/>
              </w:rPr>
              <w:t xml:space="preserve"> </w:t>
            </w:r>
            <w:r w:rsidRPr="00EC20A0">
              <w:t>receipts</w:t>
            </w:r>
            <w:r w:rsidRPr="00EC20A0">
              <w:rPr>
                <w:spacing w:val="-10"/>
              </w:rPr>
              <w:t xml:space="preserve"> </w:t>
            </w:r>
            <w:r w:rsidRPr="00EC20A0">
              <w:t>selected</w:t>
            </w:r>
            <w:r w:rsidRPr="00EC20A0">
              <w:rPr>
                <w:spacing w:val="-9"/>
              </w:rPr>
              <w:t xml:space="preserve"> </w:t>
            </w:r>
            <w:r w:rsidRPr="00EC20A0">
              <w:rPr>
                <w:spacing w:val="-2"/>
              </w:rPr>
              <w:t>randomly</w:t>
            </w:r>
          </w:p>
        </w:tc>
        <w:tc>
          <w:tcPr>
            <w:tcW w:w="2228" w:type="dxa"/>
            <w:tcBorders>
              <w:top w:val="single" w:sz="4" w:space="0" w:color="000000"/>
              <w:left w:val="single" w:sz="4" w:space="0" w:color="000000"/>
              <w:bottom w:val="nil"/>
            </w:tcBorders>
          </w:tcPr>
          <w:p w14:paraId="24D60A1D" w14:textId="77777777" w:rsidR="00245300" w:rsidRPr="00EC20A0" w:rsidRDefault="00F17249">
            <w:pPr>
              <w:pStyle w:val="TableParagraph"/>
              <w:spacing w:before="61" w:line="236" w:lineRule="exact"/>
              <w:ind w:left="138"/>
            </w:pPr>
            <w:r w:rsidRPr="00EC20A0">
              <w:t>The</w:t>
            </w:r>
            <w:r w:rsidRPr="00EC20A0">
              <w:rPr>
                <w:spacing w:val="-4"/>
              </w:rPr>
              <w:t xml:space="preserve"> </w:t>
            </w:r>
            <w:r w:rsidRPr="00EC20A0">
              <w:rPr>
                <w:spacing w:val="-2"/>
              </w:rPr>
              <w:t>revenue</w:t>
            </w:r>
          </w:p>
        </w:tc>
      </w:tr>
      <w:tr w:rsidR="00245300" w:rsidRPr="00EC20A0" w14:paraId="24D60A22" w14:textId="77777777">
        <w:trPr>
          <w:trHeight w:val="252"/>
        </w:trPr>
        <w:tc>
          <w:tcPr>
            <w:tcW w:w="3229" w:type="dxa"/>
            <w:tcBorders>
              <w:top w:val="nil"/>
              <w:bottom w:val="nil"/>
              <w:right w:val="single" w:sz="4" w:space="0" w:color="000000"/>
            </w:tcBorders>
          </w:tcPr>
          <w:p w14:paraId="24D60A1F" w14:textId="77777777" w:rsidR="00245300" w:rsidRPr="00EC20A0" w:rsidRDefault="00F17249">
            <w:pPr>
              <w:pStyle w:val="TableParagraph"/>
              <w:spacing w:line="233" w:lineRule="exact"/>
              <w:ind w:left="120"/>
            </w:pPr>
            <w:r w:rsidRPr="00EC20A0">
              <w:t>general</w:t>
            </w:r>
            <w:r w:rsidRPr="00EC20A0">
              <w:rPr>
                <w:spacing w:val="-8"/>
              </w:rPr>
              <w:t xml:space="preserve"> </w:t>
            </w:r>
            <w:r w:rsidRPr="00EC20A0">
              <w:t>ledger</w:t>
            </w:r>
            <w:r w:rsidRPr="00EC20A0">
              <w:rPr>
                <w:spacing w:val="-8"/>
              </w:rPr>
              <w:t xml:space="preserve"> </w:t>
            </w:r>
            <w:r w:rsidRPr="00EC20A0">
              <w:t>postings</w:t>
            </w:r>
            <w:r w:rsidRPr="00EC20A0">
              <w:rPr>
                <w:spacing w:val="-8"/>
              </w:rPr>
              <w:t xml:space="preserve"> </w:t>
            </w:r>
            <w:r w:rsidRPr="00EC20A0">
              <w:rPr>
                <w:spacing w:val="-5"/>
              </w:rPr>
              <w:t>of</w:t>
            </w:r>
          </w:p>
        </w:tc>
        <w:tc>
          <w:tcPr>
            <w:tcW w:w="3859" w:type="dxa"/>
            <w:tcBorders>
              <w:top w:val="nil"/>
              <w:left w:val="single" w:sz="4" w:space="0" w:color="000000"/>
              <w:bottom w:val="nil"/>
              <w:right w:val="single" w:sz="4" w:space="0" w:color="000000"/>
            </w:tcBorders>
          </w:tcPr>
          <w:p w14:paraId="24D60A20" w14:textId="77777777" w:rsidR="00245300" w:rsidRPr="00EC20A0" w:rsidRDefault="00F17249">
            <w:pPr>
              <w:pStyle w:val="TableParagraph"/>
              <w:spacing w:line="233" w:lineRule="exact"/>
              <w:ind w:left="138"/>
            </w:pPr>
            <w:r w:rsidRPr="00EC20A0">
              <w:t>from</w:t>
            </w:r>
            <w:r w:rsidRPr="00EC20A0">
              <w:rPr>
                <w:spacing w:val="-7"/>
              </w:rPr>
              <w:t xml:space="preserve"> </w:t>
            </w:r>
            <w:r w:rsidRPr="00EC20A0">
              <w:t>the</w:t>
            </w:r>
            <w:r w:rsidRPr="00EC20A0">
              <w:rPr>
                <w:spacing w:val="-5"/>
              </w:rPr>
              <w:t xml:space="preserve"> </w:t>
            </w:r>
            <w:r w:rsidRPr="00EC20A0">
              <w:t>year’s</w:t>
            </w:r>
            <w:r w:rsidRPr="00EC20A0">
              <w:rPr>
                <w:spacing w:val="-5"/>
              </w:rPr>
              <w:t xml:space="preserve"> </w:t>
            </w:r>
            <w:r w:rsidRPr="00EC20A0">
              <w:t>general</w:t>
            </w:r>
            <w:r w:rsidRPr="00EC20A0">
              <w:rPr>
                <w:spacing w:val="-5"/>
              </w:rPr>
              <w:t xml:space="preserve"> </w:t>
            </w:r>
            <w:r w:rsidRPr="00EC20A0">
              <w:rPr>
                <w:spacing w:val="-2"/>
              </w:rPr>
              <w:t>ledger</w:t>
            </w:r>
          </w:p>
        </w:tc>
        <w:tc>
          <w:tcPr>
            <w:tcW w:w="2228" w:type="dxa"/>
            <w:tcBorders>
              <w:top w:val="nil"/>
              <w:left w:val="single" w:sz="4" w:space="0" w:color="000000"/>
              <w:bottom w:val="nil"/>
            </w:tcBorders>
          </w:tcPr>
          <w:p w14:paraId="24D60A21" w14:textId="77777777" w:rsidR="00245300" w:rsidRPr="00EC20A0" w:rsidRDefault="00F17249">
            <w:pPr>
              <w:pStyle w:val="TableParagraph"/>
              <w:spacing w:line="233" w:lineRule="exact"/>
              <w:ind w:left="138"/>
            </w:pPr>
            <w:r w:rsidRPr="00EC20A0">
              <w:rPr>
                <w:spacing w:val="-2"/>
              </w:rPr>
              <w:t>receipts</w:t>
            </w:r>
          </w:p>
        </w:tc>
      </w:tr>
      <w:tr w:rsidR="00245300" w:rsidRPr="00EC20A0" w14:paraId="24D60A26" w14:textId="77777777">
        <w:trPr>
          <w:trHeight w:val="253"/>
        </w:trPr>
        <w:tc>
          <w:tcPr>
            <w:tcW w:w="3229" w:type="dxa"/>
            <w:tcBorders>
              <w:top w:val="nil"/>
              <w:bottom w:val="nil"/>
              <w:right w:val="single" w:sz="4" w:space="0" w:color="000000"/>
            </w:tcBorders>
          </w:tcPr>
          <w:p w14:paraId="24D60A23" w14:textId="77777777" w:rsidR="00245300" w:rsidRPr="00EC20A0" w:rsidRDefault="00F17249">
            <w:pPr>
              <w:pStyle w:val="TableParagraph"/>
              <w:spacing w:line="233" w:lineRule="exact"/>
              <w:ind w:left="120"/>
            </w:pPr>
            <w:r w:rsidRPr="00EC20A0">
              <w:t>revenue</w:t>
            </w:r>
            <w:r w:rsidRPr="00EC20A0">
              <w:rPr>
                <w:spacing w:val="-6"/>
              </w:rPr>
              <w:t xml:space="preserve"> </w:t>
            </w:r>
            <w:r w:rsidRPr="00EC20A0">
              <w:t>receipts</w:t>
            </w:r>
            <w:r w:rsidRPr="00EC20A0">
              <w:rPr>
                <w:spacing w:val="-6"/>
              </w:rPr>
              <w:t xml:space="preserve"> </w:t>
            </w:r>
            <w:r w:rsidRPr="00EC20A0">
              <w:t>for</w:t>
            </w:r>
            <w:r w:rsidRPr="00EC20A0">
              <w:rPr>
                <w:spacing w:val="-5"/>
              </w:rPr>
              <w:t xml:space="preserve"> </w:t>
            </w:r>
            <w:r w:rsidRPr="00EC20A0">
              <w:t>the</w:t>
            </w:r>
            <w:r w:rsidRPr="00EC20A0">
              <w:rPr>
                <w:spacing w:val="-7"/>
              </w:rPr>
              <w:t xml:space="preserve"> </w:t>
            </w:r>
            <w:r w:rsidRPr="00EC20A0">
              <w:rPr>
                <w:spacing w:val="-2"/>
              </w:rPr>
              <w:t>year;</w:t>
            </w:r>
          </w:p>
        </w:tc>
        <w:tc>
          <w:tcPr>
            <w:tcW w:w="3859" w:type="dxa"/>
            <w:tcBorders>
              <w:top w:val="nil"/>
              <w:left w:val="single" w:sz="4" w:space="0" w:color="000000"/>
              <w:bottom w:val="nil"/>
              <w:right w:val="single" w:sz="4" w:space="0" w:color="000000"/>
            </w:tcBorders>
          </w:tcPr>
          <w:p w14:paraId="24D60A24" w14:textId="77777777" w:rsidR="00245300" w:rsidRPr="00EC20A0" w:rsidRDefault="00F17249">
            <w:pPr>
              <w:pStyle w:val="TableParagraph"/>
              <w:spacing w:line="233" w:lineRule="exact"/>
              <w:ind w:left="138"/>
            </w:pPr>
            <w:r w:rsidRPr="00EC20A0">
              <w:t>postings</w:t>
            </w:r>
            <w:r w:rsidRPr="00EC20A0">
              <w:rPr>
                <w:spacing w:val="-8"/>
              </w:rPr>
              <w:t xml:space="preserve"> </w:t>
            </w:r>
            <w:r w:rsidRPr="00EC20A0">
              <w:t>were</w:t>
            </w:r>
            <w:r w:rsidRPr="00EC20A0">
              <w:rPr>
                <w:spacing w:val="-8"/>
              </w:rPr>
              <w:t xml:space="preserve"> </w:t>
            </w:r>
            <w:r w:rsidRPr="00EC20A0">
              <w:t>properly</w:t>
            </w:r>
            <w:r w:rsidRPr="00EC20A0">
              <w:rPr>
                <w:spacing w:val="-7"/>
              </w:rPr>
              <w:t xml:space="preserve"> </w:t>
            </w:r>
            <w:r w:rsidRPr="00EC20A0">
              <w:rPr>
                <w:spacing w:val="-2"/>
              </w:rPr>
              <w:t>classified</w:t>
            </w:r>
          </w:p>
        </w:tc>
        <w:tc>
          <w:tcPr>
            <w:tcW w:w="2228" w:type="dxa"/>
            <w:tcBorders>
              <w:top w:val="nil"/>
              <w:left w:val="single" w:sz="4" w:space="0" w:color="000000"/>
              <w:bottom w:val="nil"/>
            </w:tcBorders>
          </w:tcPr>
          <w:p w14:paraId="24D60A25" w14:textId="77777777" w:rsidR="00245300" w:rsidRPr="00EC20A0" w:rsidRDefault="00F17249">
            <w:pPr>
              <w:pStyle w:val="TableParagraph"/>
              <w:spacing w:line="233" w:lineRule="exact"/>
              <w:ind w:left="138"/>
            </w:pPr>
            <w:r w:rsidRPr="00EC20A0">
              <w:t>approximated</w:t>
            </w:r>
            <w:r w:rsidRPr="00EC20A0">
              <w:rPr>
                <w:spacing w:val="-15"/>
              </w:rPr>
              <w:t xml:space="preserve"> </w:t>
            </w:r>
            <w:r w:rsidRPr="00EC20A0">
              <w:rPr>
                <w:spacing w:val="-5"/>
              </w:rPr>
              <w:t>the</w:t>
            </w:r>
          </w:p>
        </w:tc>
      </w:tr>
      <w:tr w:rsidR="00245300" w:rsidRPr="00EC20A0" w14:paraId="24D60A2A" w14:textId="77777777">
        <w:trPr>
          <w:trHeight w:val="253"/>
        </w:trPr>
        <w:tc>
          <w:tcPr>
            <w:tcW w:w="3229" w:type="dxa"/>
            <w:tcBorders>
              <w:top w:val="nil"/>
              <w:bottom w:val="nil"/>
              <w:right w:val="single" w:sz="4" w:space="0" w:color="000000"/>
            </w:tcBorders>
          </w:tcPr>
          <w:p w14:paraId="24D60A27" w14:textId="77777777" w:rsidR="00245300" w:rsidRPr="00EC20A0" w:rsidRDefault="00F17249">
            <w:pPr>
              <w:pStyle w:val="TableParagraph"/>
              <w:spacing w:line="233" w:lineRule="exact"/>
              <w:ind w:left="120"/>
            </w:pPr>
            <w:r w:rsidRPr="00EC20A0">
              <w:t>compare</w:t>
            </w:r>
            <w:r w:rsidRPr="00EC20A0">
              <w:rPr>
                <w:spacing w:val="-8"/>
              </w:rPr>
              <w:t xml:space="preserve"> </w:t>
            </w:r>
            <w:r w:rsidRPr="00EC20A0">
              <w:t>with</w:t>
            </w:r>
            <w:r w:rsidRPr="00EC20A0">
              <w:rPr>
                <w:spacing w:val="-7"/>
              </w:rPr>
              <w:t xml:space="preserve"> </w:t>
            </w:r>
            <w:r w:rsidRPr="00EC20A0">
              <w:rPr>
                <w:spacing w:val="-2"/>
              </w:rPr>
              <w:t>supporting</w:t>
            </w:r>
          </w:p>
        </w:tc>
        <w:tc>
          <w:tcPr>
            <w:tcW w:w="3859" w:type="dxa"/>
            <w:tcBorders>
              <w:top w:val="nil"/>
              <w:left w:val="single" w:sz="4" w:space="0" w:color="000000"/>
              <w:bottom w:val="nil"/>
              <w:right w:val="single" w:sz="4" w:space="0" w:color="000000"/>
            </w:tcBorders>
          </w:tcPr>
          <w:p w14:paraId="24D60A28" w14:textId="77777777" w:rsidR="00245300" w:rsidRPr="00EC20A0" w:rsidRDefault="00F17249">
            <w:pPr>
              <w:pStyle w:val="TableParagraph"/>
              <w:spacing w:line="233" w:lineRule="exact"/>
              <w:ind w:left="138"/>
            </w:pPr>
            <w:r w:rsidRPr="00EC20A0">
              <w:t>and</w:t>
            </w:r>
            <w:r w:rsidRPr="00EC20A0">
              <w:rPr>
                <w:spacing w:val="-6"/>
              </w:rPr>
              <w:t xml:space="preserve"> </w:t>
            </w:r>
            <w:r w:rsidRPr="00EC20A0">
              <w:t>in</w:t>
            </w:r>
            <w:r w:rsidRPr="00EC20A0">
              <w:rPr>
                <w:spacing w:val="-6"/>
              </w:rPr>
              <w:t xml:space="preserve"> </w:t>
            </w:r>
            <w:r w:rsidRPr="00EC20A0">
              <w:t>agreement</w:t>
            </w:r>
            <w:r w:rsidRPr="00EC20A0">
              <w:rPr>
                <w:spacing w:val="-6"/>
              </w:rPr>
              <w:t xml:space="preserve"> </w:t>
            </w:r>
            <w:r w:rsidRPr="00EC20A0">
              <w:t>with</w:t>
            </w:r>
            <w:r w:rsidRPr="00EC20A0">
              <w:rPr>
                <w:spacing w:val="-5"/>
              </w:rPr>
              <w:t xml:space="preserve"> </w:t>
            </w:r>
            <w:r w:rsidRPr="00EC20A0">
              <w:rPr>
                <w:spacing w:val="-2"/>
              </w:rPr>
              <w:t>supporting</w:t>
            </w:r>
          </w:p>
        </w:tc>
        <w:tc>
          <w:tcPr>
            <w:tcW w:w="2228" w:type="dxa"/>
            <w:tcBorders>
              <w:top w:val="nil"/>
              <w:left w:val="single" w:sz="4" w:space="0" w:color="000000"/>
              <w:bottom w:val="nil"/>
            </w:tcBorders>
          </w:tcPr>
          <w:p w14:paraId="24D60A29" w14:textId="77777777" w:rsidR="00245300" w:rsidRPr="00EC20A0" w:rsidRDefault="00F17249">
            <w:pPr>
              <w:pStyle w:val="TableParagraph"/>
              <w:spacing w:line="233" w:lineRule="exact"/>
              <w:ind w:left="138"/>
            </w:pPr>
            <w:r w:rsidRPr="00EC20A0">
              <w:t>amount</w:t>
            </w:r>
            <w:r w:rsidRPr="00EC20A0">
              <w:rPr>
                <w:spacing w:val="-9"/>
              </w:rPr>
              <w:t xml:space="preserve"> </w:t>
            </w:r>
            <w:r w:rsidRPr="00EC20A0">
              <w:rPr>
                <w:spacing w:val="-2"/>
              </w:rPr>
              <w:t>indicated</w:t>
            </w:r>
          </w:p>
        </w:tc>
      </w:tr>
      <w:tr w:rsidR="00245300" w:rsidRPr="00EC20A0" w14:paraId="24D60A2E" w14:textId="77777777">
        <w:trPr>
          <w:trHeight w:val="253"/>
        </w:trPr>
        <w:tc>
          <w:tcPr>
            <w:tcW w:w="3229" w:type="dxa"/>
            <w:tcBorders>
              <w:top w:val="nil"/>
              <w:bottom w:val="nil"/>
              <w:right w:val="single" w:sz="4" w:space="0" w:color="000000"/>
            </w:tcBorders>
          </w:tcPr>
          <w:p w14:paraId="24D60A2B" w14:textId="77777777" w:rsidR="00245300" w:rsidRPr="00EC20A0" w:rsidRDefault="00F17249">
            <w:pPr>
              <w:pStyle w:val="TableParagraph"/>
              <w:spacing w:line="233" w:lineRule="exact"/>
              <w:ind w:left="120"/>
            </w:pPr>
            <w:r w:rsidRPr="00EC20A0">
              <w:t>documentation</w:t>
            </w:r>
            <w:r w:rsidRPr="00EC20A0">
              <w:rPr>
                <w:spacing w:val="-9"/>
              </w:rPr>
              <w:t xml:space="preserve"> </w:t>
            </w:r>
            <w:r w:rsidRPr="00EC20A0">
              <w:t>to</w:t>
            </w:r>
            <w:r w:rsidRPr="00EC20A0">
              <w:rPr>
                <w:spacing w:val="-9"/>
              </w:rPr>
              <w:t xml:space="preserve"> </w:t>
            </w:r>
            <w:r w:rsidRPr="00EC20A0">
              <w:rPr>
                <w:spacing w:val="-2"/>
              </w:rPr>
              <w:t>determine</w:t>
            </w:r>
          </w:p>
        </w:tc>
        <w:tc>
          <w:tcPr>
            <w:tcW w:w="3859" w:type="dxa"/>
            <w:tcBorders>
              <w:top w:val="nil"/>
              <w:left w:val="single" w:sz="4" w:space="0" w:color="000000"/>
              <w:bottom w:val="nil"/>
              <w:right w:val="single" w:sz="4" w:space="0" w:color="000000"/>
            </w:tcBorders>
          </w:tcPr>
          <w:p w14:paraId="24D60A2C" w14:textId="77777777" w:rsidR="00245300" w:rsidRPr="00EC20A0" w:rsidRDefault="00F17249">
            <w:pPr>
              <w:pStyle w:val="TableParagraph"/>
              <w:spacing w:line="233" w:lineRule="exact"/>
              <w:ind w:left="138"/>
            </w:pPr>
            <w:r w:rsidRPr="00EC20A0">
              <w:rPr>
                <w:spacing w:val="-2"/>
              </w:rPr>
              <w:t>documentation.</w:t>
            </w:r>
          </w:p>
        </w:tc>
        <w:tc>
          <w:tcPr>
            <w:tcW w:w="2228" w:type="dxa"/>
            <w:tcBorders>
              <w:top w:val="nil"/>
              <w:left w:val="single" w:sz="4" w:space="0" w:color="000000"/>
              <w:bottom w:val="nil"/>
            </w:tcBorders>
          </w:tcPr>
          <w:p w14:paraId="24D60A2D" w14:textId="77777777" w:rsidR="00245300" w:rsidRPr="00EC20A0" w:rsidRDefault="00F17249">
            <w:pPr>
              <w:pStyle w:val="TableParagraph"/>
              <w:spacing w:line="233" w:lineRule="exact"/>
              <w:ind w:left="138"/>
            </w:pPr>
            <w:r w:rsidRPr="00EC20A0">
              <w:t>by</w:t>
            </w:r>
            <w:r w:rsidRPr="00EC20A0">
              <w:rPr>
                <w:spacing w:val="-3"/>
              </w:rPr>
              <w:t xml:space="preserve"> </w:t>
            </w:r>
            <w:r w:rsidRPr="00EC20A0">
              <w:rPr>
                <w:spacing w:val="-2"/>
              </w:rPr>
              <w:t>supporting</w:t>
            </w:r>
          </w:p>
        </w:tc>
      </w:tr>
      <w:tr w:rsidR="00245300" w:rsidRPr="00EC20A0" w14:paraId="24D60A32" w14:textId="77777777">
        <w:trPr>
          <w:trHeight w:val="252"/>
        </w:trPr>
        <w:tc>
          <w:tcPr>
            <w:tcW w:w="3229" w:type="dxa"/>
            <w:tcBorders>
              <w:top w:val="nil"/>
              <w:bottom w:val="nil"/>
              <w:right w:val="single" w:sz="4" w:space="0" w:color="000000"/>
            </w:tcBorders>
          </w:tcPr>
          <w:p w14:paraId="24D60A2F" w14:textId="77777777" w:rsidR="00245300" w:rsidRPr="00EC20A0" w:rsidRDefault="00F17249">
            <w:pPr>
              <w:pStyle w:val="TableParagraph"/>
              <w:spacing w:line="233" w:lineRule="exact"/>
              <w:ind w:left="120"/>
            </w:pPr>
            <w:r w:rsidRPr="00EC20A0">
              <w:t>whether</w:t>
            </w:r>
            <w:r w:rsidRPr="00EC20A0">
              <w:rPr>
                <w:spacing w:val="-9"/>
              </w:rPr>
              <w:t xml:space="preserve"> </w:t>
            </w:r>
            <w:r w:rsidRPr="00EC20A0">
              <w:t>reported</w:t>
            </w:r>
            <w:r w:rsidRPr="00EC20A0">
              <w:rPr>
                <w:spacing w:val="-9"/>
              </w:rPr>
              <w:t xml:space="preserve"> </w:t>
            </w:r>
            <w:r w:rsidRPr="00EC20A0">
              <w:rPr>
                <w:spacing w:val="-2"/>
              </w:rPr>
              <w:t>revenue</w:t>
            </w:r>
          </w:p>
        </w:tc>
        <w:tc>
          <w:tcPr>
            <w:tcW w:w="3859" w:type="dxa"/>
            <w:tcBorders>
              <w:top w:val="nil"/>
              <w:left w:val="single" w:sz="4" w:space="0" w:color="000000"/>
              <w:bottom w:val="nil"/>
              <w:right w:val="single" w:sz="4" w:space="0" w:color="000000"/>
            </w:tcBorders>
          </w:tcPr>
          <w:p w14:paraId="24D60A30" w14:textId="77777777" w:rsidR="00245300" w:rsidRPr="00EC20A0" w:rsidRDefault="00245300">
            <w:pPr>
              <w:pStyle w:val="TableParagraph"/>
              <w:rPr>
                <w:sz w:val="18"/>
              </w:rPr>
            </w:pPr>
          </w:p>
        </w:tc>
        <w:tc>
          <w:tcPr>
            <w:tcW w:w="2228" w:type="dxa"/>
            <w:tcBorders>
              <w:top w:val="nil"/>
              <w:left w:val="single" w:sz="4" w:space="0" w:color="000000"/>
              <w:bottom w:val="nil"/>
            </w:tcBorders>
          </w:tcPr>
          <w:p w14:paraId="24D60A31" w14:textId="77777777" w:rsidR="00245300" w:rsidRPr="00EC20A0" w:rsidRDefault="00F17249">
            <w:pPr>
              <w:pStyle w:val="TableParagraph"/>
              <w:spacing w:line="233" w:lineRule="exact"/>
              <w:ind w:left="138"/>
            </w:pPr>
            <w:r w:rsidRPr="00EC20A0">
              <w:rPr>
                <w:spacing w:val="-2"/>
              </w:rPr>
              <w:t>documentation.</w:t>
            </w:r>
          </w:p>
        </w:tc>
      </w:tr>
      <w:tr w:rsidR="00245300" w:rsidRPr="00EC20A0" w14:paraId="24D60A36" w14:textId="77777777">
        <w:trPr>
          <w:trHeight w:val="252"/>
        </w:trPr>
        <w:tc>
          <w:tcPr>
            <w:tcW w:w="3229" w:type="dxa"/>
            <w:tcBorders>
              <w:top w:val="nil"/>
              <w:bottom w:val="nil"/>
              <w:right w:val="single" w:sz="4" w:space="0" w:color="000000"/>
            </w:tcBorders>
          </w:tcPr>
          <w:p w14:paraId="24D60A33" w14:textId="77777777" w:rsidR="00245300" w:rsidRPr="00EC20A0" w:rsidRDefault="00F17249">
            <w:pPr>
              <w:pStyle w:val="TableParagraph"/>
              <w:spacing w:line="233" w:lineRule="exact"/>
              <w:ind w:left="120"/>
            </w:pPr>
            <w:r w:rsidRPr="00EC20A0">
              <w:t>receipts</w:t>
            </w:r>
            <w:r w:rsidRPr="00EC20A0">
              <w:rPr>
                <w:spacing w:val="-8"/>
              </w:rPr>
              <w:t xml:space="preserve"> </w:t>
            </w:r>
            <w:r w:rsidRPr="00EC20A0">
              <w:t>were</w:t>
            </w:r>
            <w:r w:rsidRPr="00EC20A0">
              <w:rPr>
                <w:spacing w:val="-8"/>
              </w:rPr>
              <w:t xml:space="preserve"> </w:t>
            </w:r>
            <w:r w:rsidRPr="00EC20A0">
              <w:rPr>
                <w:spacing w:val="-2"/>
              </w:rPr>
              <w:t>properly</w:t>
            </w:r>
          </w:p>
        </w:tc>
        <w:tc>
          <w:tcPr>
            <w:tcW w:w="3859" w:type="dxa"/>
            <w:tcBorders>
              <w:top w:val="nil"/>
              <w:left w:val="single" w:sz="4" w:space="0" w:color="000000"/>
              <w:bottom w:val="nil"/>
              <w:right w:val="single" w:sz="4" w:space="0" w:color="000000"/>
            </w:tcBorders>
          </w:tcPr>
          <w:p w14:paraId="24D60A34" w14:textId="77777777" w:rsidR="00245300" w:rsidRPr="00EC20A0" w:rsidRDefault="00245300">
            <w:pPr>
              <w:pStyle w:val="TableParagraph"/>
              <w:rPr>
                <w:sz w:val="18"/>
              </w:rPr>
            </w:pPr>
          </w:p>
        </w:tc>
        <w:tc>
          <w:tcPr>
            <w:tcW w:w="2228" w:type="dxa"/>
            <w:tcBorders>
              <w:top w:val="nil"/>
              <w:left w:val="single" w:sz="4" w:space="0" w:color="000000"/>
              <w:bottom w:val="nil"/>
            </w:tcBorders>
          </w:tcPr>
          <w:p w14:paraId="24D60A35" w14:textId="77777777" w:rsidR="00245300" w:rsidRPr="00EC20A0" w:rsidRDefault="00245300">
            <w:pPr>
              <w:pStyle w:val="TableParagraph"/>
              <w:rPr>
                <w:sz w:val="18"/>
              </w:rPr>
            </w:pPr>
          </w:p>
        </w:tc>
      </w:tr>
      <w:tr w:rsidR="00245300" w:rsidRPr="00EC20A0" w14:paraId="24D60A3A" w14:textId="77777777">
        <w:trPr>
          <w:trHeight w:val="253"/>
        </w:trPr>
        <w:tc>
          <w:tcPr>
            <w:tcW w:w="3229" w:type="dxa"/>
            <w:tcBorders>
              <w:top w:val="nil"/>
              <w:bottom w:val="nil"/>
              <w:right w:val="single" w:sz="4" w:space="0" w:color="000000"/>
            </w:tcBorders>
          </w:tcPr>
          <w:p w14:paraId="24D60A37" w14:textId="77777777" w:rsidR="00245300" w:rsidRPr="00EC20A0" w:rsidRDefault="00F17249">
            <w:pPr>
              <w:pStyle w:val="TableParagraph"/>
              <w:spacing w:line="233" w:lineRule="exact"/>
              <w:ind w:left="120"/>
            </w:pPr>
            <w:r w:rsidRPr="00EC20A0">
              <w:t>recorded</w:t>
            </w:r>
            <w:r w:rsidRPr="00EC20A0">
              <w:rPr>
                <w:spacing w:val="-6"/>
              </w:rPr>
              <w:t xml:space="preserve"> </w:t>
            </w:r>
            <w:r w:rsidRPr="00EC20A0">
              <w:t>as</w:t>
            </w:r>
            <w:r w:rsidRPr="00EC20A0">
              <w:rPr>
                <w:spacing w:val="-6"/>
              </w:rPr>
              <w:t xml:space="preserve"> </w:t>
            </w:r>
            <w:r w:rsidRPr="00EC20A0">
              <w:t>to</w:t>
            </w:r>
            <w:r w:rsidRPr="00EC20A0">
              <w:rPr>
                <w:spacing w:val="-5"/>
              </w:rPr>
              <w:t xml:space="preserve"> </w:t>
            </w:r>
            <w:r w:rsidRPr="00EC20A0">
              <w:t>amount</w:t>
            </w:r>
            <w:r w:rsidRPr="00EC20A0">
              <w:rPr>
                <w:spacing w:val="-6"/>
              </w:rPr>
              <w:t xml:space="preserve"> </w:t>
            </w:r>
            <w:r w:rsidRPr="00EC20A0">
              <w:rPr>
                <w:spacing w:val="-5"/>
              </w:rPr>
              <w:t>and</w:t>
            </w:r>
          </w:p>
        </w:tc>
        <w:tc>
          <w:tcPr>
            <w:tcW w:w="3859" w:type="dxa"/>
            <w:tcBorders>
              <w:top w:val="nil"/>
              <w:left w:val="single" w:sz="4" w:space="0" w:color="000000"/>
              <w:bottom w:val="nil"/>
              <w:right w:val="single" w:sz="4" w:space="0" w:color="000000"/>
            </w:tcBorders>
          </w:tcPr>
          <w:p w14:paraId="24D60A38" w14:textId="77777777" w:rsidR="00245300" w:rsidRPr="00EC20A0" w:rsidRDefault="00245300">
            <w:pPr>
              <w:pStyle w:val="TableParagraph"/>
              <w:rPr>
                <w:sz w:val="18"/>
              </w:rPr>
            </w:pPr>
          </w:p>
        </w:tc>
        <w:tc>
          <w:tcPr>
            <w:tcW w:w="2228" w:type="dxa"/>
            <w:tcBorders>
              <w:top w:val="nil"/>
              <w:left w:val="single" w:sz="4" w:space="0" w:color="000000"/>
              <w:bottom w:val="nil"/>
            </w:tcBorders>
          </w:tcPr>
          <w:p w14:paraId="24D60A39" w14:textId="77777777" w:rsidR="00245300" w:rsidRPr="00EC20A0" w:rsidRDefault="00245300">
            <w:pPr>
              <w:pStyle w:val="TableParagraph"/>
              <w:rPr>
                <w:sz w:val="18"/>
              </w:rPr>
            </w:pPr>
          </w:p>
        </w:tc>
      </w:tr>
      <w:tr w:rsidR="00245300" w:rsidRPr="00EC20A0" w14:paraId="24D60A3E" w14:textId="77777777">
        <w:trPr>
          <w:trHeight w:val="309"/>
        </w:trPr>
        <w:tc>
          <w:tcPr>
            <w:tcW w:w="3229" w:type="dxa"/>
            <w:tcBorders>
              <w:top w:val="nil"/>
              <w:bottom w:val="single" w:sz="4" w:space="0" w:color="000000"/>
              <w:right w:val="single" w:sz="4" w:space="0" w:color="000000"/>
            </w:tcBorders>
          </w:tcPr>
          <w:p w14:paraId="24D60A3B" w14:textId="77777777" w:rsidR="00245300" w:rsidRPr="00EC20A0" w:rsidRDefault="00F17249">
            <w:pPr>
              <w:pStyle w:val="TableParagraph"/>
              <w:spacing w:line="249" w:lineRule="exact"/>
              <w:ind w:left="120"/>
            </w:pPr>
            <w:r w:rsidRPr="00EC20A0">
              <w:rPr>
                <w:spacing w:val="-2"/>
              </w:rPr>
              <w:t>classification.</w:t>
            </w:r>
          </w:p>
        </w:tc>
        <w:tc>
          <w:tcPr>
            <w:tcW w:w="3859" w:type="dxa"/>
            <w:tcBorders>
              <w:top w:val="nil"/>
              <w:left w:val="single" w:sz="4" w:space="0" w:color="000000"/>
              <w:bottom w:val="single" w:sz="4" w:space="0" w:color="000000"/>
              <w:right w:val="single" w:sz="4" w:space="0" w:color="000000"/>
            </w:tcBorders>
          </w:tcPr>
          <w:p w14:paraId="24D60A3C" w14:textId="77777777" w:rsidR="00245300" w:rsidRPr="00EC20A0" w:rsidRDefault="00245300">
            <w:pPr>
              <w:pStyle w:val="TableParagraph"/>
            </w:pPr>
          </w:p>
        </w:tc>
        <w:tc>
          <w:tcPr>
            <w:tcW w:w="2228" w:type="dxa"/>
            <w:tcBorders>
              <w:top w:val="nil"/>
              <w:left w:val="single" w:sz="4" w:space="0" w:color="000000"/>
              <w:bottom w:val="single" w:sz="4" w:space="0" w:color="000000"/>
            </w:tcBorders>
          </w:tcPr>
          <w:p w14:paraId="24D60A3D" w14:textId="77777777" w:rsidR="00245300" w:rsidRPr="00EC20A0" w:rsidRDefault="00245300">
            <w:pPr>
              <w:pStyle w:val="TableParagraph"/>
            </w:pPr>
          </w:p>
        </w:tc>
      </w:tr>
      <w:tr w:rsidR="00245300" w:rsidRPr="00EC20A0" w14:paraId="24D60A42" w14:textId="77777777">
        <w:trPr>
          <w:trHeight w:val="316"/>
        </w:trPr>
        <w:tc>
          <w:tcPr>
            <w:tcW w:w="3229" w:type="dxa"/>
            <w:tcBorders>
              <w:top w:val="single" w:sz="4" w:space="0" w:color="000000"/>
              <w:bottom w:val="nil"/>
              <w:right w:val="single" w:sz="4" w:space="0" w:color="000000"/>
            </w:tcBorders>
          </w:tcPr>
          <w:p w14:paraId="24D60A3F" w14:textId="77777777" w:rsidR="00245300" w:rsidRPr="00EC20A0" w:rsidRDefault="00F17249">
            <w:pPr>
              <w:pStyle w:val="TableParagraph"/>
              <w:spacing w:before="60" w:line="237" w:lineRule="exact"/>
              <w:ind w:left="120"/>
            </w:pPr>
            <w:r w:rsidRPr="00EC20A0">
              <w:t>Examine</w:t>
            </w:r>
            <w:r w:rsidRPr="00EC20A0">
              <w:rPr>
                <w:spacing w:val="-7"/>
              </w:rPr>
              <w:t xml:space="preserve"> </w:t>
            </w:r>
            <w:r w:rsidRPr="00EC20A0">
              <w:t>personnel</w:t>
            </w:r>
            <w:r w:rsidRPr="00EC20A0">
              <w:rPr>
                <w:spacing w:val="-7"/>
              </w:rPr>
              <w:t xml:space="preserve"> </w:t>
            </w:r>
            <w:r w:rsidRPr="00EC20A0">
              <w:t>files</w:t>
            </w:r>
            <w:r w:rsidRPr="00EC20A0">
              <w:rPr>
                <w:spacing w:val="-8"/>
              </w:rPr>
              <w:t xml:space="preserve"> </w:t>
            </w:r>
            <w:r w:rsidRPr="00EC20A0">
              <w:t>of</w:t>
            </w:r>
            <w:r w:rsidRPr="00EC20A0">
              <w:rPr>
                <w:spacing w:val="-6"/>
              </w:rPr>
              <w:t xml:space="preserve"> </w:t>
            </w:r>
            <w:r w:rsidRPr="00EC20A0">
              <w:rPr>
                <w:spacing w:val="-5"/>
              </w:rPr>
              <w:t>40</w:t>
            </w:r>
          </w:p>
        </w:tc>
        <w:tc>
          <w:tcPr>
            <w:tcW w:w="3859" w:type="dxa"/>
            <w:tcBorders>
              <w:top w:val="single" w:sz="4" w:space="0" w:color="000000"/>
              <w:left w:val="single" w:sz="4" w:space="0" w:color="000000"/>
              <w:bottom w:val="nil"/>
              <w:right w:val="single" w:sz="4" w:space="0" w:color="000000"/>
            </w:tcBorders>
          </w:tcPr>
          <w:p w14:paraId="24D60A40" w14:textId="77777777" w:rsidR="00245300" w:rsidRPr="00EC20A0" w:rsidRDefault="00F17249">
            <w:pPr>
              <w:pStyle w:val="TableParagraph"/>
              <w:spacing w:before="60" w:line="237" w:lineRule="exact"/>
              <w:ind w:left="138"/>
            </w:pPr>
            <w:r w:rsidRPr="00EC20A0">
              <w:t>Thirty</w:t>
            </w:r>
            <w:r w:rsidRPr="00EC20A0">
              <w:rPr>
                <w:spacing w:val="-6"/>
              </w:rPr>
              <w:t xml:space="preserve"> </w:t>
            </w:r>
            <w:r w:rsidRPr="00EC20A0">
              <w:t>of</w:t>
            </w:r>
            <w:r w:rsidRPr="00EC20A0">
              <w:rPr>
                <w:spacing w:val="-5"/>
              </w:rPr>
              <w:t xml:space="preserve"> </w:t>
            </w:r>
            <w:r w:rsidRPr="00EC20A0">
              <w:t>the</w:t>
            </w:r>
            <w:r w:rsidRPr="00EC20A0">
              <w:rPr>
                <w:spacing w:val="-6"/>
              </w:rPr>
              <w:t xml:space="preserve"> </w:t>
            </w:r>
            <w:r w:rsidRPr="00EC20A0">
              <w:t>selected</w:t>
            </w:r>
            <w:r w:rsidRPr="00EC20A0">
              <w:rPr>
                <w:spacing w:val="-5"/>
              </w:rPr>
              <w:t xml:space="preserve"> </w:t>
            </w:r>
            <w:r w:rsidRPr="00EC20A0">
              <w:t>files</w:t>
            </w:r>
            <w:r w:rsidRPr="00EC20A0">
              <w:rPr>
                <w:spacing w:val="-5"/>
              </w:rPr>
              <w:t xml:space="preserve"> </w:t>
            </w:r>
            <w:r w:rsidRPr="00EC20A0">
              <w:rPr>
                <w:spacing w:val="-2"/>
              </w:rPr>
              <w:t>contained</w:t>
            </w:r>
          </w:p>
        </w:tc>
        <w:tc>
          <w:tcPr>
            <w:tcW w:w="2228" w:type="dxa"/>
            <w:tcBorders>
              <w:top w:val="single" w:sz="4" w:space="0" w:color="000000"/>
              <w:left w:val="single" w:sz="4" w:space="0" w:color="000000"/>
              <w:bottom w:val="nil"/>
            </w:tcBorders>
          </w:tcPr>
          <w:p w14:paraId="24D60A41" w14:textId="77777777" w:rsidR="00245300" w:rsidRPr="00EC20A0" w:rsidRDefault="00F17249">
            <w:pPr>
              <w:pStyle w:val="TableParagraph"/>
              <w:spacing w:before="60" w:line="237" w:lineRule="exact"/>
              <w:ind w:left="138"/>
            </w:pPr>
            <w:r w:rsidRPr="00EC20A0">
              <w:t>Some</w:t>
            </w:r>
            <w:r w:rsidRPr="00EC20A0">
              <w:rPr>
                <w:spacing w:val="-5"/>
              </w:rPr>
              <w:t xml:space="preserve"> </w:t>
            </w:r>
            <w:r w:rsidRPr="00EC20A0">
              <w:t>of</w:t>
            </w:r>
            <w:r w:rsidRPr="00EC20A0">
              <w:rPr>
                <w:spacing w:val="-5"/>
              </w:rPr>
              <w:t xml:space="preserve"> the</w:t>
            </w:r>
          </w:p>
        </w:tc>
      </w:tr>
      <w:tr w:rsidR="00245300" w:rsidRPr="00EC20A0" w14:paraId="24D60A46" w14:textId="77777777">
        <w:trPr>
          <w:trHeight w:val="253"/>
        </w:trPr>
        <w:tc>
          <w:tcPr>
            <w:tcW w:w="3229" w:type="dxa"/>
            <w:tcBorders>
              <w:top w:val="nil"/>
              <w:bottom w:val="nil"/>
              <w:right w:val="single" w:sz="4" w:space="0" w:color="000000"/>
            </w:tcBorders>
          </w:tcPr>
          <w:p w14:paraId="24D60A43" w14:textId="77777777" w:rsidR="00245300" w:rsidRPr="00EC20A0" w:rsidRDefault="00F17249">
            <w:pPr>
              <w:pStyle w:val="TableParagraph"/>
              <w:spacing w:line="233" w:lineRule="exact"/>
              <w:ind w:left="120"/>
            </w:pPr>
            <w:r w:rsidRPr="00EC20A0">
              <w:t>individuals</w:t>
            </w:r>
            <w:r w:rsidRPr="00EC20A0">
              <w:rPr>
                <w:spacing w:val="-12"/>
              </w:rPr>
              <w:t xml:space="preserve"> </w:t>
            </w:r>
            <w:r w:rsidRPr="00EC20A0">
              <w:t>randomly</w:t>
            </w:r>
            <w:r w:rsidRPr="00EC20A0">
              <w:rPr>
                <w:spacing w:val="-12"/>
              </w:rPr>
              <w:t xml:space="preserve"> </w:t>
            </w:r>
            <w:r w:rsidRPr="00EC20A0">
              <w:rPr>
                <w:spacing w:val="-2"/>
              </w:rPr>
              <w:t>selected</w:t>
            </w:r>
          </w:p>
        </w:tc>
        <w:tc>
          <w:tcPr>
            <w:tcW w:w="3859" w:type="dxa"/>
            <w:tcBorders>
              <w:top w:val="nil"/>
              <w:left w:val="single" w:sz="4" w:space="0" w:color="000000"/>
              <w:bottom w:val="nil"/>
              <w:right w:val="single" w:sz="4" w:space="0" w:color="000000"/>
            </w:tcBorders>
          </w:tcPr>
          <w:p w14:paraId="24D60A44" w14:textId="77777777" w:rsidR="00245300" w:rsidRPr="00EC20A0" w:rsidRDefault="00F17249">
            <w:pPr>
              <w:pStyle w:val="TableParagraph"/>
              <w:spacing w:line="233" w:lineRule="exact"/>
              <w:ind w:left="138"/>
            </w:pPr>
            <w:r w:rsidRPr="00EC20A0">
              <w:t>a</w:t>
            </w:r>
            <w:r w:rsidRPr="00EC20A0">
              <w:rPr>
                <w:spacing w:val="-6"/>
              </w:rPr>
              <w:t xml:space="preserve"> </w:t>
            </w:r>
            <w:r w:rsidRPr="00EC20A0">
              <w:t>current</w:t>
            </w:r>
            <w:r w:rsidRPr="00EC20A0">
              <w:rPr>
                <w:spacing w:val="-5"/>
              </w:rPr>
              <w:t xml:space="preserve"> </w:t>
            </w:r>
            <w:r w:rsidRPr="00EC20A0">
              <w:t>and</w:t>
            </w:r>
            <w:r w:rsidRPr="00EC20A0">
              <w:rPr>
                <w:spacing w:val="-6"/>
              </w:rPr>
              <w:t xml:space="preserve"> </w:t>
            </w:r>
            <w:r w:rsidRPr="00EC20A0">
              <w:t>approved</w:t>
            </w:r>
            <w:r w:rsidRPr="00EC20A0">
              <w:rPr>
                <w:spacing w:val="-6"/>
              </w:rPr>
              <w:t xml:space="preserve"> </w:t>
            </w:r>
            <w:r w:rsidRPr="00EC20A0">
              <w:rPr>
                <w:spacing w:val="-2"/>
              </w:rPr>
              <w:t>Notification</w:t>
            </w:r>
          </w:p>
        </w:tc>
        <w:tc>
          <w:tcPr>
            <w:tcW w:w="2228" w:type="dxa"/>
            <w:tcBorders>
              <w:top w:val="nil"/>
              <w:left w:val="single" w:sz="4" w:space="0" w:color="000000"/>
              <w:bottom w:val="nil"/>
            </w:tcBorders>
          </w:tcPr>
          <w:p w14:paraId="24D60A45" w14:textId="77777777" w:rsidR="00245300" w:rsidRPr="00EC20A0" w:rsidRDefault="00F17249">
            <w:pPr>
              <w:pStyle w:val="TableParagraph"/>
              <w:spacing w:line="233" w:lineRule="exact"/>
              <w:ind w:left="138"/>
            </w:pPr>
            <w:r w:rsidRPr="00EC20A0">
              <w:t>personnel</w:t>
            </w:r>
            <w:r w:rsidRPr="00EC20A0">
              <w:rPr>
                <w:spacing w:val="-8"/>
              </w:rPr>
              <w:t xml:space="preserve"> </w:t>
            </w:r>
            <w:r w:rsidRPr="00EC20A0">
              <w:t>files</w:t>
            </w:r>
            <w:r w:rsidRPr="00EC20A0">
              <w:rPr>
                <w:spacing w:val="-7"/>
              </w:rPr>
              <w:t xml:space="preserve"> </w:t>
            </w:r>
            <w:r w:rsidRPr="00EC20A0">
              <w:rPr>
                <w:spacing w:val="-5"/>
              </w:rPr>
              <w:t>did</w:t>
            </w:r>
          </w:p>
        </w:tc>
      </w:tr>
      <w:tr w:rsidR="00245300" w:rsidRPr="00EC20A0" w14:paraId="24D60A4A" w14:textId="77777777">
        <w:trPr>
          <w:trHeight w:val="253"/>
        </w:trPr>
        <w:tc>
          <w:tcPr>
            <w:tcW w:w="3229" w:type="dxa"/>
            <w:tcBorders>
              <w:top w:val="nil"/>
              <w:bottom w:val="nil"/>
              <w:right w:val="single" w:sz="4" w:space="0" w:color="000000"/>
            </w:tcBorders>
          </w:tcPr>
          <w:p w14:paraId="24D60A47" w14:textId="77777777" w:rsidR="00245300" w:rsidRPr="00EC20A0" w:rsidRDefault="00F17249">
            <w:pPr>
              <w:pStyle w:val="TableParagraph"/>
              <w:spacing w:line="233" w:lineRule="exact"/>
              <w:ind w:left="120"/>
            </w:pPr>
            <w:r w:rsidRPr="00EC20A0">
              <w:t>from</w:t>
            </w:r>
            <w:r w:rsidRPr="00EC20A0">
              <w:rPr>
                <w:spacing w:val="-8"/>
              </w:rPr>
              <w:t xml:space="preserve"> </w:t>
            </w:r>
            <w:r w:rsidRPr="00EC20A0">
              <w:t>the</w:t>
            </w:r>
            <w:r w:rsidRPr="00EC20A0">
              <w:rPr>
                <w:spacing w:val="-6"/>
              </w:rPr>
              <w:t xml:space="preserve"> </w:t>
            </w:r>
            <w:r w:rsidRPr="00EC20A0">
              <w:t>timekeeping</w:t>
            </w:r>
            <w:r w:rsidRPr="00EC20A0">
              <w:rPr>
                <w:spacing w:val="-7"/>
              </w:rPr>
              <w:t xml:space="preserve"> </w:t>
            </w:r>
            <w:r w:rsidRPr="00EC20A0">
              <w:rPr>
                <w:spacing w:val="-2"/>
              </w:rPr>
              <w:t>records</w:t>
            </w:r>
          </w:p>
        </w:tc>
        <w:tc>
          <w:tcPr>
            <w:tcW w:w="3859" w:type="dxa"/>
            <w:tcBorders>
              <w:top w:val="nil"/>
              <w:left w:val="single" w:sz="4" w:space="0" w:color="000000"/>
              <w:bottom w:val="nil"/>
              <w:right w:val="single" w:sz="4" w:space="0" w:color="000000"/>
            </w:tcBorders>
          </w:tcPr>
          <w:p w14:paraId="24D60A48" w14:textId="77777777" w:rsidR="00245300" w:rsidRPr="00EC20A0" w:rsidRDefault="00F17249">
            <w:pPr>
              <w:pStyle w:val="TableParagraph"/>
              <w:spacing w:line="233" w:lineRule="exact"/>
              <w:ind w:left="138"/>
            </w:pPr>
            <w:r w:rsidRPr="00EC20A0">
              <w:t>of</w:t>
            </w:r>
            <w:r w:rsidRPr="00EC20A0">
              <w:rPr>
                <w:spacing w:val="-6"/>
              </w:rPr>
              <w:t xml:space="preserve"> </w:t>
            </w:r>
            <w:r w:rsidRPr="00EC20A0">
              <w:t>Personnel</w:t>
            </w:r>
            <w:r w:rsidRPr="00EC20A0">
              <w:rPr>
                <w:spacing w:val="-5"/>
              </w:rPr>
              <w:t xml:space="preserve"> </w:t>
            </w:r>
            <w:r w:rsidRPr="00EC20A0">
              <w:t>Action.</w:t>
            </w:r>
            <w:r w:rsidRPr="00EC20A0">
              <w:rPr>
                <w:spacing w:val="-5"/>
              </w:rPr>
              <w:t xml:space="preserve"> </w:t>
            </w:r>
            <w:r w:rsidRPr="00EC20A0">
              <w:t>Ten</w:t>
            </w:r>
            <w:r w:rsidRPr="00EC20A0">
              <w:rPr>
                <w:spacing w:val="-6"/>
              </w:rPr>
              <w:t xml:space="preserve"> </w:t>
            </w:r>
            <w:r w:rsidRPr="00EC20A0">
              <w:t>files</w:t>
            </w:r>
            <w:r w:rsidRPr="00EC20A0">
              <w:rPr>
                <w:spacing w:val="-5"/>
              </w:rPr>
              <w:t xml:space="preserve"> </w:t>
            </w:r>
            <w:r w:rsidRPr="00EC20A0">
              <w:t>did</w:t>
            </w:r>
            <w:r w:rsidRPr="00EC20A0">
              <w:rPr>
                <w:spacing w:val="-7"/>
              </w:rPr>
              <w:t xml:space="preserve"> </w:t>
            </w:r>
            <w:r w:rsidRPr="00EC20A0">
              <w:rPr>
                <w:spacing w:val="-5"/>
              </w:rPr>
              <w:t>not</w:t>
            </w:r>
          </w:p>
        </w:tc>
        <w:tc>
          <w:tcPr>
            <w:tcW w:w="2228" w:type="dxa"/>
            <w:tcBorders>
              <w:top w:val="nil"/>
              <w:left w:val="single" w:sz="4" w:space="0" w:color="000000"/>
              <w:bottom w:val="nil"/>
            </w:tcBorders>
          </w:tcPr>
          <w:p w14:paraId="24D60A49" w14:textId="77777777" w:rsidR="00245300" w:rsidRPr="00EC20A0" w:rsidRDefault="00F17249">
            <w:pPr>
              <w:pStyle w:val="TableParagraph"/>
              <w:spacing w:line="233" w:lineRule="exact"/>
              <w:ind w:left="138"/>
            </w:pPr>
            <w:r w:rsidRPr="00EC20A0">
              <w:t>not</w:t>
            </w:r>
            <w:r w:rsidRPr="00EC20A0">
              <w:rPr>
                <w:spacing w:val="-6"/>
              </w:rPr>
              <w:t xml:space="preserve"> </w:t>
            </w:r>
            <w:r w:rsidRPr="00EC20A0">
              <w:t>contain</w:t>
            </w:r>
            <w:r w:rsidRPr="00EC20A0">
              <w:rPr>
                <w:spacing w:val="-6"/>
              </w:rPr>
              <w:t xml:space="preserve"> </w:t>
            </w:r>
            <w:r w:rsidRPr="00EC20A0">
              <w:rPr>
                <w:spacing w:val="-10"/>
              </w:rPr>
              <w:t>a</w:t>
            </w:r>
          </w:p>
        </w:tc>
      </w:tr>
      <w:tr w:rsidR="00245300" w:rsidRPr="00EC20A0" w14:paraId="24D60A4E" w14:textId="77777777">
        <w:trPr>
          <w:trHeight w:val="253"/>
        </w:trPr>
        <w:tc>
          <w:tcPr>
            <w:tcW w:w="3229" w:type="dxa"/>
            <w:tcBorders>
              <w:top w:val="nil"/>
              <w:bottom w:val="nil"/>
              <w:right w:val="single" w:sz="4" w:space="0" w:color="000000"/>
            </w:tcBorders>
          </w:tcPr>
          <w:p w14:paraId="24D60A4B" w14:textId="77777777" w:rsidR="00245300" w:rsidRPr="00EC20A0" w:rsidRDefault="00F17249">
            <w:pPr>
              <w:pStyle w:val="TableParagraph"/>
              <w:spacing w:line="233" w:lineRule="exact"/>
              <w:ind w:left="120"/>
            </w:pPr>
            <w:r w:rsidRPr="00EC20A0">
              <w:t>for</w:t>
            </w:r>
            <w:r w:rsidRPr="00EC20A0">
              <w:rPr>
                <w:spacing w:val="-4"/>
              </w:rPr>
              <w:t xml:space="preserve"> </w:t>
            </w:r>
            <w:r w:rsidRPr="00EC20A0">
              <w:t>the</w:t>
            </w:r>
            <w:r w:rsidRPr="00EC20A0">
              <w:rPr>
                <w:spacing w:val="-4"/>
              </w:rPr>
              <w:t xml:space="preserve"> </w:t>
            </w:r>
            <w:r w:rsidRPr="00EC20A0">
              <w:t>year;</w:t>
            </w:r>
            <w:r w:rsidRPr="00EC20A0">
              <w:rPr>
                <w:spacing w:val="-4"/>
              </w:rPr>
              <w:t xml:space="preserve"> </w:t>
            </w:r>
            <w:r w:rsidRPr="00EC20A0">
              <w:rPr>
                <w:spacing w:val="-2"/>
              </w:rPr>
              <w:t>determine</w:t>
            </w:r>
          </w:p>
        </w:tc>
        <w:tc>
          <w:tcPr>
            <w:tcW w:w="3859" w:type="dxa"/>
            <w:tcBorders>
              <w:top w:val="nil"/>
              <w:left w:val="single" w:sz="4" w:space="0" w:color="000000"/>
              <w:bottom w:val="nil"/>
              <w:right w:val="single" w:sz="4" w:space="0" w:color="000000"/>
            </w:tcBorders>
          </w:tcPr>
          <w:p w14:paraId="24D60A4C" w14:textId="77777777" w:rsidR="00245300" w:rsidRPr="00EC20A0" w:rsidRDefault="00F17249">
            <w:pPr>
              <w:pStyle w:val="TableParagraph"/>
              <w:spacing w:line="233" w:lineRule="exact"/>
              <w:ind w:left="138"/>
            </w:pPr>
            <w:r w:rsidRPr="00EC20A0">
              <w:t>contain</w:t>
            </w:r>
            <w:r w:rsidRPr="00EC20A0">
              <w:rPr>
                <w:spacing w:val="-5"/>
              </w:rPr>
              <w:t xml:space="preserve"> </w:t>
            </w:r>
            <w:r w:rsidRPr="00EC20A0">
              <w:t>a</w:t>
            </w:r>
            <w:r w:rsidRPr="00EC20A0">
              <w:rPr>
                <w:spacing w:val="-5"/>
              </w:rPr>
              <w:t xml:space="preserve"> </w:t>
            </w:r>
            <w:r w:rsidRPr="00EC20A0">
              <w:t>current</w:t>
            </w:r>
            <w:r w:rsidRPr="00EC20A0">
              <w:rPr>
                <w:spacing w:val="-5"/>
              </w:rPr>
              <w:t xml:space="preserve"> </w:t>
            </w:r>
            <w:r w:rsidRPr="00EC20A0">
              <w:t>and</w:t>
            </w:r>
            <w:r w:rsidRPr="00EC20A0">
              <w:rPr>
                <w:spacing w:val="-5"/>
              </w:rPr>
              <w:t xml:space="preserve"> </w:t>
            </w:r>
            <w:r w:rsidRPr="00EC20A0">
              <w:rPr>
                <w:spacing w:val="-2"/>
              </w:rPr>
              <w:t>approved</w:t>
            </w:r>
          </w:p>
        </w:tc>
        <w:tc>
          <w:tcPr>
            <w:tcW w:w="2228" w:type="dxa"/>
            <w:tcBorders>
              <w:top w:val="nil"/>
              <w:left w:val="single" w:sz="4" w:space="0" w:color="000000"/>
              <w:bottom w:val="nil"/>
            </w:tcBorders>
          </w:tcPr>
          <w:p w14:paraId="24D60A4D" w14:textId="77777777" w:rsidR="00245300" w:rsidRPr="00EC20A0" w:rsidRDefault="00F17249">
            <w:pPr>
              <w:pStyle w:val="TableParagraph"/>
              <w:spacing w:line="233" w:lineRule="exact"/>
              <w:ind w:left="138"/>
            </w:pPr>
            <w:r w:rsidRPr="00EC20A0">
              <w:t>current</w:t>
            </w:r>
            <w:r w:rsidRPr="00EC20A0">
              <w:rPr>
                <w:spacing w:val="-7"/>
              </w:rPr>
              <w:t xml:space="preserve"> </w:t>
            </w:r>
            <w:r w:rsidRPr="00EC20A0">
              <w:rPr>
                <w:spacing w:val="-5"/>
              </w:rPr>
              <w:t>and</w:t>
            </w:r>
          </w:p>
        </w:tc>
      </w:tr>
      <w:tr w:rsidR="00245300" w:rsidRPr="00EC20A0" w14:paraId="24D60A52" w14:textId="77777777">
        <w:trPr>
          <w:trHeight w:val="252"/>
        </w:trPr>
        <w:tc>
          <w:tcPr>
            <w:tcW w:w="3229" w:type="dxa"/>
            <w:tcBorders>
              <w:top w:val="nil"/>
              <w:bottom w:val="nil"/>
              <w:right w:val="single" w:sz="4" w:space="0" w:color="000000"/>
            </w:tcBorders>
          </w:tcPr>
          <w:p w14:paraId="24D60A4F" w14:textId="77777777" w:rsidR="00245300" w:rsidRPr="00EC20A0" w:rsidRDefault="00F17249">
            <w:pPr>
              <w:pStyle w:val="TableParagraph"/>
              <w:spacing w:line="233" w:lineRule="exact"/>
              <w:ind w:left="120"/>
            </w:pPr>
            <w:r w:rsidRPr="00EC20A0">
              <w:t>whether</w:t>
            </w:r>
            <w:r w:rsidRPr="00EC20A0">
              <w:rPr>
                <w:spacing w:val="-7"/>
              </w:rPr>
              <w:t xml:space="preserve"> </w:t>
            </w:r>
            <w:r w:rsidRPr="00EC20A0">
              <w:t>the</w:t>
            </w:r>
            <w:r w:rsidRPr="00EC20A0">
              <w:rPr>
                <w:spacing w:val="-7"/>
              </w:rPr>
              <w:t xml:space="preserve"> </w:t>
            </w:r>
            <w:r w:rsidRPr="00EC20A0">
              <w:t>selected</w:t>
            </w:r>
            <w:r w:rsidRPr="00EC20A0">
              <w:rPr>
                <w:spacing w:val="-7"/>
              </w:rPr>
              <w:t xml:space="preserve"> </w:t>
            </w:r>
            <w:r w:rsidRPr="00EC20A0">
              <w:rPr>
                <w:spacing w:val="-4"/>
              </w:rPr>
              <w:t>files</w:t>
            </w:r>
          </w:p>
        </w:tc>
        <w:tc>
          <w:tcPr>
            <w:tcW w:w="3859" w:type="dxa"/>
            <w:tcBorders>
              <w:top w:val="nil"/>
              <w:left w:val="single" w:sz="4" w:space="0" w:color="000000"/>
              <w:bottom w:val="nil"/>
              <w:right w:val="single" w:sz="4" w:space="0" w:color="000000"/>
            </w:tcBorders>
          </w:tcPr>
          <w:p w14:paraId="24D60A50" w14:textId="77777777" w:rsidR="00245300" w:rsidRPr="00EC20A0" w:rsidRDefault="00F17249">
            <w:pPr>
              <w:pStyle w:val="TableParagraph"/>
              <w:spacing w:line="233" w:lineRule="exact"/>
              <w:ind w:left="138"/>
              <w:rPr>
                <w:i/>
              </w:rPr>
            </w:pPr>
            <w:r w:rsidRPr="00EC20A0">
              <w:t>Notification</w:t>
            </w:r>
            <w:r w:rsidRPr="00EC20A0">
              <w:rPr>
                <w:spacing w:val="-9"/>
              </w:rPr>
              <w:t xml:space="preserve"> </w:t>
            </w:r>
            <w:r w:rsidRPr="00EC20A0">
              <w:t>of</w:t>
            </w:r>
            <w:r w:rsidRPr="00EC20A0">
              <w:rPr>
                <w:spacing w:val="-8"/>
              </w:rPr>
              <w:t xml:space="preserve"> </w:t>
            </w:r>
            <w:r w:rsidRPr="00EC20A0">
              <w:t>Personnel</w:t>
            </w:r>
            <w:r w:rsidRPr="00EC20A0">
              <w:rPr>
                <w:spacing w:val="-8"/>
              </w:rPr>
              <w:t xml:space="preserve"> </w:t>
            </w:r>
            <w:r w:rsidRPr="00EC20A0">
              <w:t>Action</w:t>
            </w:r>
            <w:r w:rsidRPr="00EC20A0">
              <w:rPr>
                <w:spacing w:val="-8"/>
              </w:rPr>
              <w:t xml:space="preserve"> </w:t>
            </w:r>
            <w:r w:rsidRPr="00EC20A0">
              <w:rPr>
                <w:i/>
                <w:spacing w:val="-4"/>
              </w:rPr>
              <w:t>(list</w:t>
            </w:r>
          </w:p>
        </w:tc>
        <w:tc>
          <w:tcPr>
            <w:tcW w:w="2228" w:type="dxa"/>
            <w:tcBorders>
              <w:top w:val="nil"/>
              <w:left w:val="single" w:sz="4" w:space="0" w:color="000000"/>
              <w:bottom w:val="nil"/>
            </w:tcBorders>
          </w:tcPr>
          <w:p w14:paraId="24D60A51" w14:textId="77777777" w:rsidR="00245300" w:rsidRPr="00EC20A0" w:rsidRDefault="00F17249">
            <w:pPr>
              <w:pStyle w:val="TableParagraph"/>
              <w:spacing w:line="233" w:lineRule="exact"/>
              <w:ind w:left="138"/>
            </w:pPr>
            <w:r w:rsidRPr="00EC20A0">
              <w:rPr>
                <w:spacing w:val="-2"/>
              </w:rPr>
              <w:t>approved</w:t>
            </w:r>
          </w:p>
        </w:tc>
      </w:tr>
      <w:tr w:rsidR="00245300" w:rsidRPr="00EC20A0" w14:paraId="24D60A56" w14:textId="77777777">
        <w:trPr>
          <w:trHeight w:val="253"/>
        </w:trPr>
        <w:tc>
          <w:tcPr>
            <w:tcW w:w="3229" w:type="dxa"/>
            <w:tcBorders>
              <w:top w:val="nil"/>
              <w:bottom w:val="nil"/>
              <w:right w:val="single" w:sz="4" w:space="0" w:color="000000"/>
            </w:tcBorders>
          </w:tcPr>
          <w:p w14:paraId="24D60A53" w14:textId="77777777" w:rsidR="00245300" w:rsidRPr="00EC20A0" w:rsidRDefault="00F17249">
            <w:pPr>
              <w:pStyle w:val="TableParagraph"/>
              <w:spacing w:line="233" w:lineRule="exact"/>
              <w:ind w:left="120"/>
            </w:pPr>
            <w:r w:rsidRPr="00EC20A0">
              <w:t>contain</w:t>
            </w:r>
            <w:r w:rsidRPr="00EC20A0">
              <w:rPr>
                <w:spacing w:val="-6"/>
              </w:rPr>
              <w:t xml:space="preserve"> </w:t>
            </w:r>
            <w:r w:rsidRPr="00EC20A0">
              <w:t>a</w:t>
            </w:r>
            <w:r w:rsidRPr="00EC20A0">
              <w:rPr>
                <w:spacing w:val="-5"/>
              </w:rPr>
              <w:t xml:space="preserve"> </w:t>
            </w:r>
            <w:r w:rsidRPr="00EC20A0">
              <w:t>current</w:t>
            </w:r>
            <w:r w:rsidRPr="00EC20A0">
              <w:rPr>
                <w:spacing w:val="-6"/>
              </w:rPr>
              <w:t xml:space="preserve"> </w:t>
            </w:r>
            <w:r w:rsidRPr="00EC20A0">
              <w:rPr>
                <w:spacing w:val="-5"/>
              </w:rPr>
              <w:t>and</w:t>
            </w:r>
          </w:p>
        </w:tc>
        <w:tc>
          <w:tcPr>
            <w:tcW w:w="3859" w:type="dxa"/>
            <w:tcBorders>
              <w:top w:val="nil"/>
              <w:left w:val="single" w:sz="4" w:space="0" w:color="000000"/>
              <w:bottom w:val="nil"/>
              <w:right w:val="single" w:sz="4" w:space="0" w:color="000000"/>
            </w:tcBorders>
          </w:tcPr>
          <w:p w14:paraId="24D60A54" w14:textId="77777777" w:rsidR="00245300" w:rsidRPr="00EC20A0" w:rsidRDefault="00F17249">
            <w:pPr>
              <w:pStyle w:val="TableParagraph"/>
              <w:spacing w:line="233" w:lineRule="exact"/>
              <w:ind w:left="138"/>
            </w:pPr>
            <w:r w:rsidRPr="00EC20A0">
              <w:rPr>
                <w:i/>
              </w:rPr>
              <w:t>and</w:t>
            </w:r>
            <w:r w:rsidRPr="00EC20A0">
              <w:rPr>
                <w:i/>
                <w:spacing w:val="-6"/>
              </w:rPr>
              <w:t xml:space="preserve"> </w:t>
            </w:r>
            <w:r w:rsidRPr="00EC20A0">
              <w:rPr>
                <w:i/>
              </w:rPr>
              <w:t>identify</w:t>
            </w:r>
            <w:r w:rsidRPr="00EC20A0">
              <w:rPr>
                <w:i/>
                <w:spacing w:val="-6"/>
              </w:rPr>
              <w:t xml:space="preserve"> </w:t>
            </w:r>
            <w:r w:rsidRPr="00EC20A0">
              <w:rPr>
                <w:i/>
                <w:spacing w:val="-2"/>
              </w:rPr>
              <w:t>exceptions)</w:t>
            </w:r>
            <w:r w:rsidRPr="00EC20A0">
              <w:rPr>
                <w:spacing w:val="-2"/>
              </w:rPr>
              <w:t>.</w:t>
            </w:r>
          </w:p>
        </w:tc>
        <w:tc>
          <w:tcPr>
            <w:tcW w:w="2228" w:type="dxa"/>
            <w:tcBorders>
              <w:top w:val="nil"/>
              <w:left w:val="single" w:sz="4" w:space="0" w:color="000000"/>
              <w:bottom w:val="nil"/>
            </w:tcBorders>
          </w:tcPr>
          <w:p w14:paraId="24D60A55" w14:textId="77777777" w:rsidR="00245300" w:rsidRPr="00EC20A0" w:rsidRDefault="00F17249">
            <w:pPr>
              <w:pStyle w:val="TableParagraph"/>
              <w:spacing w:line="233" w:lineRule="exact"/>
              <w:ind w:left="138"/>
            </w:pPr>
            <w:r w:rsidRPr="00EC20A0">
              <w:t>Notification</w:t>
            </w:r>
            <w:r w:rsidRPr="00EC20A0">
              <w:rPr>
                <w:spacing w:val="-13"/>
              </w:rPr>
              <w:t xml:space="preserve"> </w:t>
            </w:r>
            <w:r w:rsidRPr="00EC20A0">
              <w:rPr>
                <w:spacing w:val="-5"/>
              </w:rPr>
              <w:t>of</w:t>
            </w:r>
          </w:p>
        </w:tc>
      </w:tr>
      <w:tr w:rsidR="00245300" w:rsidRPr="00EC20A0" w14:paraId="24D60A5A" w14:textId="77777777">
        <w:trPr>
          <w:trHeight w:val="252"/>
        </w:trPr>
        <w:tc>
          <w:tcPr>
            <w:tcW w:w="3229" w:type="dxa"/>
            <w:tcBorders>
              <w:top w:val="nil"/>
              <w:bottom w:val="nil"/>
              <w:right w:val="single" w:sz="4" w:space="0" w:color="000000"/>
            </w:tcBorders>
          </w:tcPr>
          <w:p w14:paraId="24D60A57" w14:textId="77777777" w:rsidR="00245300" w:rsidRPr="00EC20A0" w:rsidRDefault="00F17249">
            <w:pPr>
              <w:pStyle w:val="TableParagraph"/>
              <w:spacing w:line="233" w:lineRule="exact"/>
              <w:ind w:left="120"/>
            </w:pPr>
            <w:r w:rsidRPr="00EC20A0">
              <w:t>approved</w:t>
            </w:r>
            <w:r w:rsidRPr="00EC20A0">
              <w:rPr>
                <w:spacing w:val="-12"/>
              </w:rPr>
              <w:t xml:space="preserve"> </w:t>
            </w:r>
            <w:r w:rsidRPr="00EC20A0">
              <w:t>Notification</w:t>
            </w:r>
            <w:r w:rsidRPr="00EC20A0">
              <w:rPr>
                <w:spacing w:val="-11"/>
              </w:rPr>
              <w:t xml:space="preserve"> </w:t>
            </w:r>
            <w:r w:rsidRPr="00EC20A0">
              <w:rPr>
                <w:spacing w:val="-5"/>
              </w:rPr>
              <w:t>of</w:t>
            </w:r>
          </w:p>
        </w:tc>
        <w:tc>
          <w:tcPr>
            <w:tcW w:w="3859" w:type="dxa"/>
            <w:tcBorders>
              <w:top w:val="nil"/>
              <w:left w:val="single" w:sz="4" w:space="0" w:color="000000"/>
              <w:bottom w:val="nil"/>
              <w:right w:val="single" w:sz="4" w:space="0" w:color="000000"/>
            </w:tcBorders>
          </w:tcPr>
          <w:p w14:paraId="24D60A58" w14:textId="77777777" w:rsidR="00245300" w:rsidRPr="00EC20A0" w:rsidRDefault="00245300">
            <w:pPr>
              <w:pStyle w:val="TableParagraph"/>
              <w:rPr>
                <w:sz w:val="18"/>
              </w:rPr>
            </w:pPr>
          </w:p>
        </w:tc>
        <w:tc>
          <w:tcPr>
            <w:tcW w:w="2228" w:type="dxa"/>
            <w:tcBorders>
              <w:top w:val="nil"/>
              <w:left w:val="single" w:sz="4" w:space="0" w:color="000000"/>
              <w:bottom w:val="nil"/>
            </w:tcBorders>
          </w:tcPr>
          <w:p w14:paraId="24D60A59" w14:textId="77777777" w:rsidR="00245300" w:rsidRPr="00EC20A0" w:rsidRDefault="00F17249">
            <w:pPr>
              <w:pStyle w:val="TableParagraph"/>
              <w:spacing w:line="233" w:lineRule="exact"/>
              <w:ind w:left="138"/>
            </w:pPr>
            <w:r w:rsidRPr="00EC20A0">
              <w:t>Personnel</w:t>
            </w:r>
            <w:r w:rsidRPr="00EC20A0">
              <w:rPr>
                <w:spacing w:val="-11"/>
              </w:rPr>
              <w:t xml:space="preserve"> </w:t>
            </w:r>
            <w:r w:rsidRPr="00EC20A0">
              <w:rPr>
                <w:spacing w:val="-2"/>
              </w:rPr>
              <w:t>Action.</w:t>
            </w:r>
          </w:p>
        </w:tc>
      </w:tr>
      <w:tr w:rsidR="00245300" w:rsidRPr="00EC20A0" w14:paraId="24D60A5E" w14:textId="77777777">
        <w:trPr>
          <w:trHeight w:val="253"/>
        </w:trPr>
        <w:tc>
          <w:tcPr>
            <w:tcW w:w="3229" w:type="dxa"/>
            <w:tcBorders>
              <w:top w:val="nil"/>
              <w:bottom w:val="nil"/>
              <w:right w:val="single" w:sz="4" w:space="0" w:color="000000"/>
            </w:tcBorders>
          </w:tcPr>
          <w:p w14:paraId="24D60A5B" w14:textId="77777777" w:rsidR="00245300" w:rsidRPr="00EC20A0" w:rsidRDefault="00F17249">
            <w:pPr>
              <w:pStyle w:val="TableParagraph"/>
              <w:spacing w:line="233" w:lineRule="exact"/>
              <w:ind w:left="120"/>
            </w:pPr>
            <w:r w:rsidRPr="00EC20A0">
              <w:t>Personnel</w:t>
            </w:r>
            <w:r w:rsidRPr="00EC20A0">
              <w:rPr>
                <w:spacing w:val="-10"/>
              </w:rPr>
              <w:t xml:space="preserve"> </w:t>
            </w:r>
            <w:r w:rsidRPr="00EC20A0">
              <w:t>Action</w:t>
            </w:r>
            <w:r w:rsidRPr="00EC20A0">
              <w:rPr>
                <w:spacing w:val="-9"/>
              </w:rPr>
              <w:t xml:space="preserve"> </w:t>
            </w:r>
            <w:r w:rsidRPr="00EC20A0">
              <w:rPr>
                <w:spacing w:val="-2"/>
              </w:rPr>
              <w:t>(Standard</w:t>
            </w:r>
          </w:p>
        </w:tc>
        <w:tc>
          <w:tcPr>
            <w:tcW w:w="3859" w:type="dxa"/>
            <w:tcBorders>
              <w:top w:val="nil"/>
              <w:left w:val="single" w:sz="4" w:space="0" w:color="000000"/>
              <w:bottom w:val="nil"/>
              <w:right w:val="single" w:sz="4" w:space="0" w:color="000000"/>
            </w:tcBorders>
          </w:tcPr>
          <w:p w14:paraId="24D60A5C" w14:textId="77777777" w:rsidR="00245300" w:rsidRPr="00EC20A0" w:rsidRDefault="00245300">
            <w:pPr>
              <w:pStyle w:val="TableParagraph"/>
              <w:rPr>
                <w:sz w:val="18"/>
              </w:rPr>
            </w:pPr>
          </w:p>
        </w:tc>
        <w:tc>
          <w:tcPr>
            <w:tcW w:w="2228" w:type="dxa"/>
            <w:tcBorders>
              <w:top w:val="nil"/>
              <w:left w:val="single" w:sz="4" w:space="0" w:color="000000"/>
              <w:bottom w:val="nil"/>
            </w:tcBorders>
          </w:tcPr>
          <w:p w14:paraId="24D60A5D" w14:textId="77777777" w:rsidR="00245300" w:rsidRPr="00EC20A0" w:rsidRDefault="00245300">
            <w:pPr>
              <w:pStyle w:val="TableParagraph"/>
              <w:rPr>
                <w:sz w:val="18"/>
              </w:rPr>
            </w:pPr>
          </w:p>
        </w:tc>
      </w:tr>
      <w:tr w:rsidR="00245300" w:rsidRPr="00EC20A0" w14:paraId="24D60A62" w14:textId="77777777">
        <w:trPr>
          <w:trHeight w:val="309"/>
        </w:trPr>
        <w:tc>
          <w:tcPr>
            <w:tcW w:w="3229" w:type="dxa"/>
            <w:tcBorders>
              <w:top w:val="nil"/>
              <w:right w:val="single" w:sz="4" w:space="0" w:color="000000"/>
            </w:tcBorders>
          </w:tcPr>
          <w:p w14:paraId="24D60A5F" w14:textId="77777777" w:rsidR="00245300" w:rsidRPr="00EC20A0" w:rsidRDefault="00F17249">
            <w:pPr>
              <w:pStyle w:val="TableParagraph"/>
              <w:spacing w:line="249" w:lineRule="exact"/>
              <w:ind w:left="120"/>
            </w:pPr>
            <w:r w:rsidRPr="00EC20A0">
              <w:t>Form</w:t>
            </w:r>
            <w:r w:rsidRPr="00EC20A0">
              <w:rPr>
                <w:spacing w:val="-7"/>
              </w:rPr>
              <w:t xml:space="preserve"> </w:t>
            </w:r>
            <w:r w:rsidRPr="00EC20A0">
              <w:rPr>
                <w:spacing w:val="-4"/>
              </w:rPr>
              <w:t>50).</w:t>
            </w:r>
          </w:p>
        </w:tc>
        <w:tc>
          <w:tcPr>
            <w:tcW w:w="3859" w:type="dxa"/>
            <w:tcBorders>
              <w:top w:val="nil"/>
              <w:left w:val="single" w:sz="4" w:space="0" w:color="000000"/>
              <w:right w:val="single" w:sz="4" w:space="0" w:color="000000"/>
            </w:tcBorders>
          </w:tcPr>
          <w:p w14:paraId="24D60A60" w14:textId="77777777" w:rsidR="00245300" w:rsidRPr="00EC20A0" w:rsidRDefault="00245300">
            <w:pPr>
              <w:pStyle w:val="TableParagraph"/>
            </w:pPr>
          </w:p>
        </w:tc>
        <w:tc>
          <w:tcPr>
            <w:tcW w:w="2228" w:type="dxa"/>
            <w:tcBorders>
              <w:top w:val="nil"/>
              <w:left w:val="single" w:sz="4" w:space="0" w:color="000000"/>
            </w:tcBorders>
          </w:tcPr>
          <w:p w14:paraId="24D60A61" w14:textId="77777777" w:rsidR="00245300" w:rsidRPr="00EC20A0" w:rsidRDefault="00245300">
            <w:pPr>
              <w:pStyle w:val="TableParagraph"/>
            </w:pPr>
          </w:p>
        </w:tc>
      </w:tr>
    </w:tbl>
    <w:p w14:paraId="24D60A63" w14:textId="77777777" w:rsidR="00245300" w:rsidRPr="00EC20A0" w:rsidRDefault="00F17249">
      <w:pPr>
        <w:pStyle w:val="BodyText"/>
        <w:spacing w:before="113"/>
        <w:ind w:left="261"/>
        <w:jc w:val="center"/>
      </w:pPr>
      <w:r w:rsidRPr="00EC20A0">
        <w:t>FAM</w:t>
      </w:r>
      <w:r w:rsidRPr="00EC20A0">
        <w:rPr>
          <w:spacing w:val="-7"/>
        </w:rPr>
        <w:t xml:space="preserve"> </w:t>
      </w:r>
      <w:r w:rsidRPr="00EC20A0">
        <w:t>710</w:t>
      </w:r>
      <w:r w:rsidRPr="00EC20A0">
        <w:rPr>
          <w:spacing w:val="-6"/>
        </w:rPr>
        <w:t xml:space="preserve"> </w:t>
      </w:r>
      <w:r w:rsidRPr="00EC20A0">
        <w:t>D</w:t>
      </w:r>
      <w:r w:rsidRPr="00EC20A0">
        <w:rPr>
          <w:spacing w:val="-5"/>
        </w:rPr>
        <w:t xml:space="preserve"> </w:t>
      </w:r>
      <w:r w:rsidRPr="00EC20A0">
        <w:t>provides</w:t>
      </w:r>
      <w:r w:rsidRPr="00EC20A0">
        <w:rPr>
          <w:spacing w:val="-6"/>
        </w:rPr>
        <w:t xml:space="preserve"> </w:t>
      </w:r>
      <w:r w:rsidRPr="00EC20A0">
        <w:t>an</w:t>
      </w:r>
      <w:r w:rsidRPr="00EC20A0">
        <w:rPr>
          <w:spacing w:val="-7"/>
        </w:rPr>
        <w:t xml:space="preserve"> </w:t>
      </w:r>
      <w:r w:rsidRPr="00EC20A0">
        <w:t>example</w:t>
      </w:r>
      <w:r w:rsidRPr="00EC20A0">
        <w:rPr>
          <w:spacing w:val="-6"/>
        </w:rPr>
        <w:t xml:space="preserve"> </w:t>
      </w:r>
      <w:r w:rsidRPr="00EC20A0">
        <w:t>of</w:t>
      </w:r>
      <w:r w:rsidRPr="00EC20A0">
        <w:rPr>
          <w:spacing w:val="-6"/>
        </w:rPr>
        <w:t xml:space="preserve"> </w:t>
      </w:r>
      <w:r w:rsidRPr="00EC20A0">
        <w:t>an</w:t>
      </w:r>
      <w:r w:rsidRPr="00EC20A0">
        <w:rPr>
          <w:spacing w:val="-6"/>
        </w:rPr>
        <w:t xml:space="preserve"> </w:t>
      </w:r>
      <w:r w:rsidRPr="00EC20A0">
        <w:t>agreed-upon</w:t>
      </w:r>
      <w:r w:rsidRPr="00EC20A0">
        <w:rPr>
          <w:spacing w:val="-6"/>
        </w:rPr>
        <w:t xml:space="preserve"> </w:t>
      </w:r>
      <w:r w:rsidRPr="00EC20A0">
        <w:t>procedures</w:t>
      </w:r>
      <w:r w:rsidRPr="00EC20A0">
        <w:rPr>
          <w:spacing w:val="-6"/>
        </w:rPr>
        <w:t xml:space="preserve"> </w:t>
      </w:r>
      <w:r w:rsidRPr="00EC20A0">
        <w:rPr>
          <w:spacing w:val="-2"/>
        </w:rPr>
        <w:t>report.</w:t>
      </w:r>
    </w:p>
    <w:p w14:paraId="24D60A64" w14:textId="77777777" w:rsidR="00245300" w:rsidRPr="00EC20A0" w:rsidRDefault="00245300">
      <w:pPr>
        <w:pStyle w:val="BodyText"/>
        <w:spacing w:before="47"/>
      </w:pPr>
    </w:p>
    <w:p w14:paraId="24D60A65" w14:textId="77777777" w:rsidR="00245300" w:rsidRPr="00EC20A0" w:rsidRDefault="00F17249">
      <w:pPr>
        <w:pStyle w:val="Heading4"/>
        <w:spacing w:before="0"/>
        <w:ind w:left="120"/>
      </w:pPr>
      <w:bookmarkStart w:id="156" w:name="Other_Report_Issues"/>
      <w:bookmarkEnd w:id="156"/>
      <w:r w:rsidRPr="00EC20A0">
        <w:t>Other</w:t>
      </w:r>
      <w:r w:rsidRPr="00EC20A0">
        <w:rPr>
          <w:spacing w:val="-11"/>
        </w:rPr>
        <w:t xml:space="preserve"> </w:t>
      </w:r>
      <w:r w:rsidRPr="00EC20A0">
        <w:t>Report</w:t>
      </w:r>
      <w:r w:rsidRPr="00EC20A0">
        <w:rPr>
          <w:spacing w:val="-11"/>
        </w:rPr>
        <w:t xml:space="preserve"> </w:t>
      </w:r>
      <w:r w:rsidRPr="00EC20A0">
        <w:rPr>
          <w:spacing w:val="-2"/>
        </w:rPr>
        <w:t>Issues</w:t>
      </w:r>
    </w:p>
    <w:p w14:paraId="24D60A66" w14:textId="77777777" w:rsidR="00245300" w:rsidRPr="00EC20A0" w:rsidRDefault="00F17249">
      <w:pPr>
        <w:pStyle w:val="ListParagraph"/>
        <w:numPr>
          <w:ilvl w:val="0"/>
          <w:numId w:val="172"/>
        </w:numPr>
        <w:tabs>
          <w:tab w:val="left" w:pos="1560"/>
        </w:tabs>
        <w:spacing w:before="300"/>
        <w:ind w:right="587"/>
      </w:pPr>
      <w:r w:rsidRPr="00EC20A0">
        <w:t xml:space="preserve">If the audit organization’s procedure is to date reports </w:t>
      </w:r>
      <w:r w:rsidRPr="00EC20A0">
        <w:t>with the issue date, the auditor</w:t>
      </w:r>
      <w:r w:rsidRPr="00EC20A0">
        <w:rPr>
          <w:spacing w:val="-3"/>
        </w:rPr>
        <w:t xml:space="preserve"> </w:t>
      </w:r>
      <w:r w:rsidRPr="00EC20A0">
        <w:t>may</w:t>
      </w:r>
      <w:r w:rsidRPr="00EC20A0">
        <w:rPr>
          <w:spacing w:val="-3"/>
        </w:rPr>
        <w:t xml:space="preserve"> </w:t>
      </w:r>
      <w:r w:rsidRPr="00EC20A0">
        <w:t>state</w:t>
      </w:r>
      <w:r w:rsidRPr="00EC20A0">
        <w:rPr>
          <w:spacing w:val="-3"/>
        </w:rPr>
        <w:t xml:space="preserve"> </w:t>
      </w:r>
      <w:r w:rsidRPr="00EC20A0">
        <w:t>the</w:t>
      </w:r>
      <w:r w:rsidRPr="00EC20A0">
        <w:rPr>
          <w:spacing w:val="-3"/>
        </w:rPr>
        <w:t xml:space="preserve"> </w:t>
      </w:r>
      <w:r w:rsidRPr="00EC20A0">
        <w:t>date</w:t>
      </w:r>
      <w:r w:rsidRPr="00EC20A0">
        <w:rPr>
          <w:spacing w:val="-3"/>
        </w:rPr>
        <w:t xml:space="preserve"> </w:t>
      </w:r>
      <w:r w:rsidRPr="00EC20A0">
        <w:t>of</w:t>
      </w:r>
      <w:r w:rsidRPr="00EC20A0">
        <w:rPr>
          <w:spacing w:val="-3"/>
        </w:rPr>
        <w:t xml:space="preserve"> </w:t>
      </w:r>
      <w:r w:rsidRPr="00EC20A0">
        <w:t>completion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engagement</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report,</w:t>
      </w:r>
      <w:r w:rsidRPr="00EC20A0">
        <w:rPr>
          <w:spacing w:val="-4"/>
        </w:rPr>
        <w:t xml:space="preserve"> </w:t>
      </w:r>
      <w:r w:rsidRPr="00EC20A0">
        <w:t>such as “We completed the agreed-upon procedures on [date].”</w:t>
      </w:r>
    </w:p>
    <w:p w14:paraId="24D60A67" w14:textId="77777777" w:rsidR="00245300" w:rsidRPr="00EC20A0" w:rsidRDefault="00F17249">
      <w:pPr>
        <w:pStyle w:val="ListParagraph"/>
        <w:numPr>
          <w:ilvl w:val="0"/>
          <w:numId w:val="172"/>
        </w:numPr>
        <w:tabs>
          <w:tab w:val="left" w:pos="1559"/>
        </w:tabs>
        <w:ind w:left="1559" w:right="553" w:hanging="720"/>
      </w:pPr>
      <w:r w:rsidRPr="00EC20A0">
        <w:t>The auditor should obtain report comments from the party responsible for the subject</w:t>
      </w:r>
      <w:r w:rsidRPr="00EC20A0">
        <w:rPr>
          <w:spacing w:val="-4"/>
        </w:rPr>
        <w:t xml:space="preserve"> </w:t>
      </w:r>
      <w:r w:rsidRPr="00EC20A0">
        <w:t>matter.</w:t>
      </w:r>
      <w:r w:rsidRPr="00EC20A0">
        <w:rPr>
          <w:spacing w:val="-4"/>
        </w:rPr>
        <w:t xml:space="preserve"> </w:t>
      </w:r>
      <w:r w:rsidRPr="00EC20A0">
        <w:t>These</w:t>
      </w:r>
      <w:r w:rsidRPr="00EC20A0">
        <w:rPr>
          <w:spacing w:val="-4"/>
        </w:rPr>
        <w:t xml:space="preserve"> </w:t>
      </w:r>
      <w:r w:rsidRPr="00EC20A0">
        <w:t>comments</w:t>
      </w:r>
      <w:r w:rsidRPr="00EC20A0">
        <w:rPr>
          <w:spacing w:val="-4"/>
        </w:rPr>
        <w:t xml:space="preserve"> </w:t>
      </w:r>
      <w:r w:rsidRPr="00EC20A0">
        <w:t>can</w:t>
      </w:r>
      <w:r w:rsidRPr="00EC20A0">
        <w:rPr>
          <w:spacing w:val="-4"/>
        </w:rPr>
        <w:t xml:space="preserve"> </w:t>
      </w:r>
      <w:r w:rsidRPr="00EC20A0">
        <w:t>be</w:t>
      </w:r>
      <w:r w:rsidRPr="00EC20A0">
        <w:rPr>
          <w:spacing w:val="-4"/>
        </w:rPr>
        <w:t xml:space="preserve"> </w:t>
      </w:r>
      <w:r w:rsidRPr="00EC20A0">
        <w:t>either</w:t>
      </w:r>
      <w:r w:rsidRPr="00EC20A0">
        <w:rPr>
          <w:spacing w:val="-4"/>
        </w:rPr>
        <w:t xml:space="preserve"> </w:t>
      </w:r>
      <w:r w:rsidRPr="00EC20A0">
        <w:t>written</w:t>
      </w:r>
      <w:r w:rsidRPr="00EC20A0">
        <w:rPr>
          <w:spacing w:val="-4"/>
        </w:rPr>
        <w:t xml:space="preserve"> </w:t>
      </w:r>
      <w:r w:rsidRPr="00EC20A0">
        <w:t>or</w:t>
      </w:r>
      <w:r w:rsidRPr="00EC20A0">
        <w:rPr>
          <w:spacing w:val="-4"/>
        </w:rPr>
        <w:t xml:space="preserve"> </w:t>
      </w:r>
      <w:r w:rsidRPr="00EC20A0">
        <w:t>oral.</w:t>
      </w:r>
      <w:r w:rsidRPr="00EC20A0">
        <w:rPr>
          <w:spacing w:val="-5"/>
        </w:rPr>
        <w:t xml:space="preserve"> </w:t>
      </w:r>
      <w:r w:rsidRPr="00EC20A0">
        <w:t>If</w:t>
      </w:r>
      <w:r w:rsidRPr="00EC20A0">
        <w:rPr>
          <w:spacing w:val="-4"/>
        </w:rPr>
        <w:t xml:space="preserve"> </w:t>
      </w:r>
      <w:r w:rsidRPr="00EC20A0">
        <w:t>oral</w:t>
      </w:r>
      <w:r w:rsidRPr="00EC20A0">
        <w:rPr>
          <w:spacing w:val="-4"/>
        </w:rPr>
        <w:t xml:space="preserve"> </w:t>
      </w:r>
      <w:r w:rsidRPr="00EC20A0">
        <w:t>comments are obtained, the auditor should document them in a memorandum.</w:t>
      </w:r>
    </w:p>
    <w:p w14:paraId="24D60A68" w14:textId="77777777" w:rsidR="00245300" w:rsidRPr="00EC20A0" w:rsidRDefault="00F17249">
      <w:pPr>
        <w:pStyle w:val="ListParagraph"/>
        <w:numPr>
          <w:ilvl w:val="0"/>
          <w:numId w:val="172"/>
        </w:numPr>
        <w:tabs>
          <w:tab w:val="left" w:pos="1559"/>
        </w:tabs>
        <w:ind w:left="1559" w:right="465"/>
      </w:pPr>
      <w:r w:rsidRPr="00EC20A0">
        <w:t xml:space="preserve">Prior to issuing the agreed-upon procedures report, the auditor should obtain a written agreement on the procedures and </w:t>
      </w:r>
      <w:r w:rsidRPr="00EC20A0">
        <w:t>acknowledgment from the engaging party</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procedures</w:t>
      </w:r>
      <w:r w:rsidRPr="00EC20A0">
        <w:rPr>
          <w:spacing w:val="-4"/>
        </w:rPr>
        <w:t xml:space="preserve"> </w:t>
      </w:r>
      <w:r w:rsidRPr="00EC20A0">
        <w:t>performed</w:t>
      </w:r>
      <w:r w:rsidRPr="00EC20A0">
        <w:rPr>
          <w:spacing w:val="-4"/>
        </w:rPr>
        <w:t xml:space="preserve"> </w:t>
      </w:r>
      <w:r w:rsidRPr="00EC20A0">
        <w:t>are</w:t>
      </w:r>
      <w:r w:rsidRPr="00EC20A0">
        <w:rPr>
          <w:spacing w:val="-4"/>
        </w:rPr>
        <w:t xml:space="preserve"> </w:t>
      </w:r>
      <w:r w:rsidRPr="00EC20A0">
        <w:t>appropriate</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intended</w:t>
      </w:r>
      <w:r w:rsidRPr="00EC20A0">
        <w:rPr>
          <w:spacing w:val="-4"/>
        </w:rPr>
        <w:t xml:space="preserve"> </w:t>
      </w:r>
      <w:r w:rsidRPr="00EC20A0">
        <w:t>purpose</w:t>
      </w:r>
      <w:r w:rsidRPr="00EC20A0">
        <w:rPr>
          <w:spacing w:val="-4"/>
        </w:rPr>
        <w:t xml:space="preserve"> </w:t>
      </w:r>
      <w:r w:rsidRPr="00EC20A0">
        <w:t>of the engagement (AT-C 215.22). If the engaging party refuses to provide the written agreement and acknowledgment, the auditor should withdraw from the engagement (AT-C 215.23).</w:t>
      </w:r>
    </w:p>
    <w:p w14:paraId="24D60A69" w14:textId="77777777" w:rsidR="00245300" w:rsidRPr="00EC20A0" w:rsidRDefault="00245300">
      <w:pPr>
        <w:sectPr w:rsidR="00245300" w:rsidRPr="00EC20A0">
          <w:pgSz w:w="12240" w:h="15840"/>
          <w:pgMar w:top="1340" w:right="1140" w:bottom="940" w:left="1320" w:header="721" w:footer="757" w:gutter="0"/>
          <w:cols w:space="720"/>
        </w:sectPr>
      </w:pPr>
    </w:p>
    <w:p w14:paraId="24D60A6A" w14:textId="77777777" w:rsidR="00245300" w:rsidRPr="00EC20A0" w:rsidRDefault="00F17249">
      <w:pPr>
        <w:pStyle w:val="Heading3"/>
        <w:ind w:right="380"/>
        <w:rPr>
          <w:u w:val="none"/>
        </w:rPr>
      </w:pPr>
      <w:bookmarkStart w:id="157" w:name="710_A_–_Example_Agreed-Upon_Procedures_E"/>
      <w:bookmarkStart w:id="158" w:name="_bookmark64"/>
      <w:bookmarkEnd w:id="157"/>
      <w:bookmarkEnd w:id="158"/>
      <w:r w:rsidRPr="00EC20A0">
        <w:t>710</w:t>
      </w:r>
      <w:r w:rsidRPr="00EC20A0">
        <w:rPr>
          <w:spacing w:val="-19"/>
        </w:rPr>
        <w:t xml:space="preserve"> </w:t>
      </w:r>
      <w:r w:rsidRPr="00EC20A0">
        <w:t>A</w:t>
      </w:r>
      <w:r w:rsidRPr="00EC20A0">
        <w:rPr>
          <w:spacing w:val="-18"/>
        </w:rPr>
        <w:t xml:space="preserve"> </w:t>
      </w:r>
      <w:r w:rsidRPr="00EC20A0">
        <w:t>–</w:t>
      </w:r>
      <w:r w:rsidRPr="00EC20A0">
        <w:rPr>
          <w:spacing w:val="-6"/>
        </w:rPr>
        <w:t xml:space="preserve"> </w:t>
      </w:r>
      <w:r w:rsidRPr="00EC20A0">
        <w:t>Example</w:t>
      </w:r>
      <w:r w:rsidRPr="00EC20A0">
        <w:rPr>
          <w:spacing w:val="-19"/>
        </w:rPr>
        <w:t xml:space="preserve"> </w:t>
      </w:r>
      <w:r w:rsidRPr="00EC20A0">
        <w:t>Agreed-Upon</w:t>
      </w:r>
      <w:r w:rsidRPr="00EC20A0">
        <w:rPr>
          <w:spacing w:val="-8"/>
        </w:rPr>
        <w:t xml:space="preserve"> </w:t>
      </w:r>
      <w:r w:rsidRPr="00EC20A0">
        <w:t>Procedures</w:t>
      </w:r>
      <w:r w:rsidRPr="00EC20A0">
        <w:rPr>
          <w:spacing w:val="-7"/>
        </w:rPr>
        <w:t xml:space="preserve"> </w:t>
      </w:r>
      <w:r w:rsidRPr="00EC20A0">
        <w:t>Engagement</w:t>
      </w:r>
      <w:r w:rsidRPr="00EC20A0">
        <w:rPr>
          <w:u w:val="none"/>
        </w:rPr>
        <w:t xml:space="preserve"> </w:t>
      </w:r>
      <w:r w:rsidRPr="00EC20A0">
        <w:rPr>
          <w:spacing w:val="-2"/>
        </w:rPr>
        <w:t>Letter</w:t>
      </w:r>
    </w:p>
    <w:p w14:paraId="24D60A6B" w14:textId="77777777" w:rsidR="00245300" w:rsidRPr="00EC20A0" w:rsidRDefault="00245300">
      <w:pPr>
        <w:pStyle w:val="BodyText"/>
        <w:spacing w:before="106"/>
        <w:rPr>
          <w:b/>
        </w:rPr>
      </w:pPr>
    </w:p>
    <w:p w14:paraId="24D60A6C" w14:textId="77777777" w:rsidR="00245300" w:rsidRPr="00EC20A0" w:rsidRDefault="00F17249">
      <w:pPr>
        <w:pStyle w:val="BodyText"/>
        <w:spacing w:before="1"/>
        <w:ind w:left="120"/>
      </w:pPr>
      <w:r w:rsidRPr="00EC20A0">
        <w:t>(The</w:t>
      </w:r>
      <w:r w:rsidRPr="00EC20A0">
        <w:rPr>
          <w:spacing w:val="-3"/>
        </w:rPr>
        <w:t xml:space="preserve"> </w:t>
      </w:r>
      <w:r w:rsidRPr="00EC20A0">
        <w:t>examples</w:t>
      </w:r>
      <w:r w:rsidRPr="00EC20A0">
        <w:rPr>
          <w:spacing w:val="-3"/>
        </w:rPr>
        <w:t xml:space="preserve"> </w:t>
      </w:r>
      <w:r w:rsidRPr="00EC20A0">
        <w:t>in</w:t>
      </w:r>
      <w:r w:rsidRPr="00EC20A0">
        <w:rPr>
          <w:spacing w:val="-3"/>
        </w:rPr>
        <w:t xml:space="preserve"> </w:t>
      </w:r>
      <w:r w:rsidRPr="00EC20A0">
        <w:t>710</w:t>
      </w:r>
      <w:r w:rsidRPr="00EC20A0">
        <w:rPr>
          <w:spacing w:val="-3"/>
        </w:rPr>
        <w:t xml:space="preserve"> </w:t>
      </w:r>
      <w:r w:rsidRPr="00EC20A0">
        <w:t>A</w:t>
      </w:r>
      <w:r w:rsidRPr="00EC20A0">
        <w:rPr>
          <w:spacing w:val="-4"/>
        </w:rPr>
        <w:t xml:space="preserve"> </w:t>
      </w:r>
      <w:r w:rsidRPr="00EC20A0">
        <w:t>through</w:t>
      </w:r>
      <w:r w:rsidRPr="00EC20A0">
        <w:rPr>
          <w:spacing w:val="-3"/>
        </w:rPr>
        <w:t xml:space="preserve"> </w:t>
      </w:r>
      <w:r w:rsidRPr="00EC20A0">
        <w:t>710</w:t>
      </w:r>
      <w:r w:rsidRPr="00EC20A0">
        <w:rPr>
          <w:spacing w:val="-3"/>
        </w:rPr>
        <w:t xml:space="preserve"> </w:t>
      </w:r>
      <w:r w:rsidRPr="00EC20A0">
        <w:t>D</w:t>
      </w:r>
      <w:r w:rsidRPr="00EC20A0">
        <w:rPr>
          <w:spacing w:val="-4"/>
        </w:rPr>
        <w:t xml:space="preserve"> </w:t>
      </w:r>
      <w:r w:rsidRPr="00EC20A0">
        <w:t>assume</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engaging</w:t>
      </w:r>
      <w:r w:rsidRPr="00EC20A0">
        <w:rPr>
          <w:spacing w:val="-3"/>
        </w:rPr>
        <w:t xml:space="preserve"> </w:t>
      </w:r>
      <w:r w:rsidRPr="00EC20A0">
        <w:t>party</w:t>
      </w:r>
      <w:r w:rsidRPr="00EC20A0">
        <w:rPr>
          <w:spacing w:val="-3"/>
        </w:rPr>
        <w:t xml:space="preserve"> </w:t>
      </w:r>
      <w:r w:rsidRPr="00EC20A0">
        <w:t>is</w:t>
      </w:r>
      <w:r w:rsidRPr="00EC20A0">
        <w:rPr>
          <w:spacing w:val="-4"/>
        </w:rPr>
        <w:t xml:space="preserve"> </w:t>
      </w:r>
      <w:r w:rsidRPr="00EC20A0">
        <w:t>ABC</w:t>
      </w:r>
      <w:r w:rsidRPr="00EC20A0">
        <w:rPr>
          <w:spacing w:val="-4"/>
        </w:rPr>
        <w:t xml:space="preserve"> </w:t>
      </w:r>
      <w:r w:rsidRPr="00EC20A0">
        <w:t>Entity</w:t>
      </w:r>
      <w:r w:rsidRPr="00EC20A0">
        <w:rPr>
          <w:spacing w:val="-3"/>
        </w:rPr>
        <w:t xml:space="preserve"> </w:t>
      </w:r>
      <w:r w:rsidRPr="00EC20A0">
        <w:t>and</w:t>
      </w:r>
      <w:r w:rsidRPr="00EC20A0">
        <w:rPr>
          <w:spacing w:val="-3"/>
        </w:rPr>
        <w:t xml:space="preserve"> </w:t>
      </w:r>
      <w:r w:rsidRPr="00EC20A0">
        <w:t>the responsible party is XYZ Entity.)</w:t>
      </w:r>
    </w:p>
    <w:p w14:paraId="24D60A6D" w14:textId="77777777" w:rsidR="00245300" w:rsidRPr="00EC20A0" w:rsidRDefault="00245300">
      <w:pPr>
        <w:pStyle w:val="BodyText"/>
      </w:pPr>
    </w:p>
    <w:p w14:paraId="24D60A6E" w14:textId="77777777" w:rsidR="00245300" w:rsidRPr="00EC20A0" w:rsidRDefault="00245300">
      <w:pPr>
        <w:pStyle w:val="BodyText"/>
        <w:spacing w:before="227"/>
      </w:pPr>
    </w:p>
    <w:p w14:paraId="24D60A6F" w14:textId="77777777" w:rsidR="00245300" w:rsidRPr="0021786E" w:rsidRDefault="00F17249" w:rsidP="0021786E">
      <w:pPr>
        <w:pStyle w:val="BodyText"/>
        <w:ind w:left="90"/>
        <w:rPr>
          <w:b/>
          <w:bCs/>
        </w:rPr>
      </w:pPr>
      <w:r w:rsidRPr="0021786E">
        <w:rPr>
          <w:b/>
          <w:bCs/>
        </w:rPr>
        <w:t>[Date]</w:t>
      </w:r>
    </w:p>
    <w:p w14:paraId="24D60A70" w14:textId="77777777" w:rsidR="00245300" w:rsidRPr="00EC20A0" w:rsidRDefault="00F17249">
      <w:pPr>
        <w:pStyle w:val="BodyText"/>
        <w:spacing w:before="241"/>
        <w:ind w:left="120"/>
      </w:pPr>
      <w:r w:rsidRPr="00EC20A0">
        <w:t>Management</w:t>
      </w:r>
      <w:r w:rsidRPr="00EC20A0">
        <w:rPr>
          <w:spacing w:val="-8"/>
        </w:rPr>
        <w:t xml:space="preserve"> </w:t>
      </w:r>
      <w:r w:rsidRPr="00EC20A0">
        <w:t>of</w:t>
      </w:r>
      <w:r w:rsidRPr="00EC20A0">
        <w:rPr>
          <w:spacing w:val="-7"/>
        </w:rPr>
        <w:t xml:space="preserve"> </w:t>
      </w:r>
      <w:r w:rsidRPr="00EC20A0">
        <w:t>ABC</w:t>
      </w:r>
      <w:r w:rsidRPr="00EC20A0">
        <w:rPr>
          <w:spacing w:val="-9"/>
        </w:rPr>
        <w:t xml:space="preserve"> </w:t>
      </w:r>
      <w:r w:rsidRPr="00EC20A0">
        <w:rPr>
          <w:spacing w:val="-2"/>
        </w:rPr>
        <w:t>Entity</w:t>
      </w:r>
    </w:p>
    <w:p w14:paraId="24D60A71" w14:textId="77777777" w:rsidR="00245300" w:rsidRPr="00EC20A0" w:rsidRDefault="00F17249">
      <w:pPr>
        <w:pStyle w:val="BodyText"/>
        <w:spacing w:before="239" w:line="468" w:lineRule="auto"/>
        <w:ind w:left="120" w:right="1895"/>
      </w:pPr>
      <w:r w:rsidRPr="00EC20A0">
        <w:t>Subject:</w:t>
      </w:r>
      <w:r w:rsidRPr="00EC20A0">
        <w:rPr>
          <w:spacing w:val="-4"/>
        </w:rPr>
        <w:t xml:space="preserve"> </w:t>
      </w:r>
      <w:r w:rsidRPr="00EC20A0">
        <w:t>Fiscal</w:t>
      </w:r>
      <w:r w:rsidRPr="00EC20A0">
        <w:rPr>
          <w:spacing w:val="-4"/>
        </w:rPr>
        <w:t xml:space="preserve"> </w:t>
      </w:r>
      <w:r w:rsidRPr="00EC20A0">
        <w:t>Year</w:t>
      </w:r>
      <w:r w:rsidRPr="00EC20A0">
        <w:rPr>
          <w:spacing w:val="-4"/>
        </w:rPr>
        <w:t xml:space="preserve"> </w:t>
      </w:r>
      <w:r w:rsidRPr="00EC20A0">
        <w:t>20XX</w:t>
      </w:r>
      <w:r w:rsidRPr="00EC20A0">
        <w:rPr>
          <w:spacing w:val="-4"/>
        </w:rPr>
        <w:t xml:space="preserve"> </w:t>
      </w:r>
      <w:r w:rsidRPr="00EC20A0">
        <w:t>Agreed-Upon</w:t>
      </w:r>
      <w:r w:rsidRPr="00EC20A0">
        <w:rPr>
          <w:spacing w:val="-4"/>
        </w:rPr>
        <w:t xml:space="preserve"> </w:t>
      </w:r>
      <w:r w:rsidRPr="00EC20A0">
        <w:t>Procedures</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Tax</w:t>
      </w:r>
      <w:r w:rsidRPr="00EC20A0">
        <w:rPr>
          <w:spacing w:val="-4"/>
        </w:rPr>
        <w:t xml:space="preserve"> </w:t>
      </w:r>
      <w:r w:rsidRPr="00EC20A0">
        <w:t>Trust</w:t>
      </w:r>
      <w:r w:rsidRPr="00EC20A0">
        <w:rPr>
          <w:spacing w:val="-5"/>
        </w:rPr>
        <w:t xml:space="preserve"> </w:t>
      </w:r>
      <w:r w:rsidRPr="00EC20A0">
        <w:t>Fund Dear Management Official:</w:t>
      </w:r>
    </w:p>
    <w:p w14:paraId="24D60A72" w14:textId="77777777" w:rsidR="00245300" w:rsidRPr="00EC20A0" w:rsidRDefault="00F17249">
      <w:pPr>
        <w:pStyle w:val="BodyText"/>
        <w:ind w:left="119" w:right="380"/>
      </w:pPr>
      <w:r w:rsidRPr="00EC20A0">
        <w:t>This letter responds to your letter of</w:t>
      </w:r>
      <w:r w:rsidRPr="00EC20A0">
        <w:rPr>
          <w:spacing w:val="-1"/>
        </w:rPr>
        <w:t xml:space="preserve"> </w:t>
      </w:r>
      <w:r w:rsidRPr="00EC20A0">
        <w:rPr>
          <w:b/>
        </w:rPr>
        <w:t xml:space="preserve">[date] </w:t>
      </w:r>
      <w:r w:rsidRPr="00EC20A0">
        <w:t>requesting that we assist</w:t>
      </w:r>
      <w:r w:rsidRPr="00EC20A0">
        <w:rPr>
          <w:spacing w:val="-1"/>
        </w:rPr>
        <w:t xml:space="preserve"> </w:t>
      </w:r>
      <w:r w:rsidRPr="00EC20A0">
        <w:t>ABC</w:t>
      </w:r>
      <w:r w:rsidRPr="00EC20A0">
        <w:rPr>
          <w:spacing w:val="-1"/>
        </w:rPr>
        <w:t xml:space="preserve"> </w:t>
      </w:r>
      <w:r w:rsidRPr="00EC20A0">
        <w:t>Entity in determining the</w:t>
      </w:r>
      <w:r w:rsidRPr="00EC20A0">
        <w:rPr>
          <w:spacing w:val="-3"/>
        </w:rPr>
        <w:t xml:space="preserve"> </w:t>
      </w:r>
      <w:r w:rsidRPr="00EC20A0">
        <w:t>completeness</w:t>
      </w:r>
      <w:r w:rsidRPr="00EC20A0">
        <w:rPr>
          <w:spacing w:val="-3"/>
        </w:rPr>
        <w:t xml:space="preserve"> </w:t>
      </w:r>
      <w:r w:rsidRPr="00EC20A0">
        <w:t>and</w:t>
      </w:r>
      <w:r w:rsidRPr="00EC20A0">
        <w:rPr>
          <w:spacing w:val="-3"/>
        </w:rPr>
        <w:t xml:space="preserve"> </w:t>
      </w:r>
      <w:r w:rsidRPr="00EC20A0">
        <w:t>accuracy</w:t>
      </w:r>
      <w:r w:rsidRPr="00EC20A0">
        <w:rPr>
          <w:spacing w:val="-3"/>
        </w:rPr>
        <w:t xml:space="preserve"> </w:t>
      </w:r>
      <w:r w:rsidRPr="00EC20A0">
        <w:t>of</w:t>
      </w:r>
      <w:r w:rsidRPr="00EC20A0">
        <w:rPr>
          <w:spacing w:val="-3"/>
        </w:rPr>
        <w:t xml:space="preserve"> </w:t>
      </w:r>
      <w:r w:rsidRPr="00EC20A0">
        <w:t>receipts</w:t>
      </w:r>
      <w:r w:rsidRPr="00EC20A0">
        <w:rPr>
          <w:spacing w:val="-3"/>
        </w:rPr>
        <w:t xml:space="preserve"> </w:t>
      </w:r>
      <w:r w:rsidRPr="00EC20A0">
        <w:t>transferred</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ABC</w:t>
      </w:r>
      <w:r w:rsidRPr="00EC20A0">
        <w:rPr>
          <w:spacing w:val="-3"/>
        </w:rPr>
        <w:t xml:space="preserve"> </w:t>
      </w:r>
      <w:r w:rsidRPr="00EC20A0">
        <w:t>tax</w:t>
      </w:r>
      <w:r w:rsidRPr="00EC20A0">
        <w:rPr>
          <w:spacing w:val="-3"/>
        </w:rPr>
        <w:t xml:space="preserve"> </w:t>
      </w:r>
      <w:r w:rsidRPr="00EC20A0">
        <w:t>trust</w:t>
      </w:r>
      <w:r w:rsidRPr="00EC20A0">
        <w:rPr>
          <w:spacing w:val="-3"/>
        </w:rPr>
        <w:t xml:space="preserve"> </w:t>
      </w:r>
      <w:r w:rsidRPr="00EC20A0">
        <w:t>fund</w:t>
      </w:r>
      <w:r w:rsidRPr="00EC20A0">
        <w:rPr>
          <w:spacing w:val="-3"/>
        </w:rPr>
        <w:t xml:space="preserve"> </w:t>
      </w:r>
      <w:r w:rsidRPr="00EC20A0">
        <w:t>by</w:t>
      </w:r>
      <w:r w:rsidRPr="00EC20A0">
        <w:rPr>
          <w:spacing w:val="-4"/>
        </w:rPr>
        <w:t xml:space="preserve"> </w:t>
      </w:r>
      <w:r w:rsidRPr="00EC20A0">
        <w:t>XYZ</w:t>
      </w:r>
      <w:r w:rsidRPr="00EC20A0">
        <w:rPr>
          <w:spacing w:val="-3"/>
        </w:rPr>
        <w:t xml:space="preserve"> </w:t>
      </w:r>
      <w:r w:rsidRPr="00EC20A0">
        <w:t xml:space="preserve">Entity. On </w:t>
      </w:r>
      <w:r w:rsidRPr="00EC20A0">
        <w:rPr>
          <w:b/>
        </w:rPr>
        <w:t>[date]</w:t>
      </w:r>
      <w:r w:rsidRPr="00EC20A0">
        <w:t xml:space="preserve">, we met with you to discuss the scope and timing of our work. The detailed procedures we agree to perform are enclosed. We plan to perform these procedures on </w:t>
      </w:r>
      <w:r w:rsidRPr="00EC20A0">
        <w:rPr>
          <w:b/>
        </w:rPr>
        <w:t>[provide date(s)]</w:t>
      </w:r>
      <w:r w:rsidRPr="00EC20A0">
        <w:t>.</w:t>
      </w:r>
    </w:p>
    <w:p w14:paraId="24D60A73" w14:textId="77777777" w:rsidR="00245300" w:rsidRPr="00EC20A0" w:rsidRDefault="00F17249">
      <w:pPr>
        <w:pStyle w:val="BodyText"/>
        <w:spacing w:before="239"/>
        <w:ind w:left="120" w:right="380"/>
      </w:pPr>
      <w:r w:rsidRPr="00EC20A0">
        <w:t>This</w:t>
      </w:r>
      <w:r w:rsidRPr="00EC20A0">
        <w:rPr>
          <w:spacing w:val="-4"/>
        </w:rPr>
        <w:t xml:space="preserve"> </w:t>
      </w:r>
      <w:r w:rsidRPr="00EC20A0">
        <w:t>letter</w:t>
      </w:r>
      <w:r w:rsidRPr="00EC20A0">
        <w:rPr>
          <w:spacing w:val="-4"/>
        </w:rPr>
        <w:t xml:space="preserve"> </w:t>
      </w:r>
      <w:r w:rsidRPr="00EC20A0">
        <w:t>documents</w:t>
      </w:r>
      <w:r w:rsidRPr="00EC20A0">
        <w:rPr>
          <w:spacing w:val="-4"/>
        </w:rPr>
        <w:t xml:space="preserve"> </w:t>
      </w:r>
      <w:r w:rsidRPr="00EC20A0">
        <w:t>our</w:t>
      </w:r>
      <w:r w:rsidRPr="00EC20A0">
        <w:rPr>
          <w:spacing w:val="-4"/>
        </w:rPr>
        <w:t xml:space="preserve"> </w:t>
      </w:r>
      <w:r w:rsidRPr="00EC20A0">
        <w:t>agreement</w:t>
      </w:r>
      <w:r w:rsidRPr="00EC20A0">
        <w:rPr>
          <w:spacing w:val="-4"/>
        </w:rPr>
        <w:t xml:space="preserve"> </w:t>
      </w:r>
      <w:r w:rsidRPr="00EC20A0">
        <w:t>to</w:t>
      </w:r>
      <w:r w:rsidRPr="00EC20A0">
        <w:rPr>
          <w:spacing w:val="-4"/>
        </w:rPr>
        <w:t xml:space="preserve"> </w:t>
      </w:r>
      <w:r w:rsidRPr="00EC20A0">
        <w:t>perform</w:t>
      </w:r>
      <w:r w:rsidRPr="00EC20A0">
        <w:rPr>
          <w:spacing w:val="-4"/>
        </w:rPr>
        <w:t xml:space="preserve"> </w:t>
      </w:r>
      <w:r w:rsidRPr="00EC20A0">
        <w:t>these</w:t>
      </w:r>
      <w:r w:rsidRPr="00EC20A0">
        <w:rPr>
          <w:spacing w:val="-4"/>
        </w:rPr>
        <w:t xml:space="preserve"> </w:t>
      </w:r>
      <w:r w:rsidRPr="00EC20A0">
        <w:t>agreed-upon</w:t>
      </w:r>
      <w:r w:rsidRPr="00EC20A0">
        <w:rPr>
          <w:spacing w:val="-4"/>
        </w:rPr>
        <w:t xml:space="preserve"> </w:t>
      </w:r>
      <w:r w:rsidRPr="00EC20A0">
        <w:t>procedures</w:t>
      </w:r>
      <w:r w:rsidRPr="00EC20A0">
        <w:rPr>
          <w:spacing w:val="-4"/>
        </w:rPr>
        <w:t xml:space="preserve"> </w:t>
      </w:r>
      <w:r w:rsidRPr="00EC20A0">
        <w:t>related</w:t>
      </w:r>
      <w:r w:rsidRPr="00EC20A0">
        <w:rPr>
          <w:spacing w:val="-4"/>
        </w:rPr>
        <w:t xml:space="preserve"> </w:t>
      </w:r>
      <w:r w:rsidRPr="00EC20A0">
        <w:t>to</w:t>
      </w:r>
      <w:r w:rsidRPr="00EC20A0">
        <w:rPr>
          <w:spacing w:val="-4"/>
        </w:rPr>
        <w:t xml:space="preserve"> </w:t>
      </w:r>
      <w:r w:rsidRPr="00EC20A0">
        <w:t>fiscal year 20XX. We will perform these procedures in accordance with U.S. generally accepted government auditing standards, which incorporate the attestation standards established by the American Institute of Certified Public Accountants. The procedures are included in the enclosures to this letter.</w:t>
      </w:r>
    </w:p>
    <w:p w14:paraId="24D60A74" w14:textId="77777777" w:rsidR="00245300" w:rsidRPr="00EC20A0" w:rsidRDefault="00F17249">
      <w:pPr>
        <w:pStyle w:val="BodyText"/>
        <w:spacing w:before="240"/>
        <w:ind w:left="120" w:right="264"/>
      </w:pPr>
      <w:r w:rsidRPr="00EC20A0">
        <w:t>We</w:t>
      </w:r>
      <w:r w:rsidRPr="00EC20A0">
        <w:rPr>
          <w:spacing w:val="-2"/>
        </w:rPr>
        <w:t xml:space="preserve"> </w:t>
      </w:r>
      <w:r w:rsidRPr="00EC20A0">
        <w:t>will</w:t>
      </w:r>
      <w:r w:rsidRPr="00EC20A0">
        <w:rPr>
          <w:spacing w:val="-2"/>
        </w:rPr>
        <w:t xml:space="preserve"> </w:t>
      </w:r>
      <w:r w:rsidRPr="00EC20A0">
        <w:t>provide</w:t>
      </w:r>
      <w:r w:rsidRPr="00EC20A0">
        <w:rPr>
          <w:spacing w:val="-2"/>
        </w:rPr>
        <w:t xml:space="preserve"> </w:t>
      </w:r>
      <w:r w:rsidRPr="00EC20A0">
        <w:t>XYZ</w:t>
      </w:r>
      <w:r w:rsidRPr="00EC20A0">
        <w:rPr>
          <w:spacing w:val="-2"/>
        </w:rPr>
        <w:t xml:space="preserve"> </w:t>
      </w:r>
      <w:r w:rsidRPr="00EC20A0">
        <w:t>Entity</w:t>
      </w:r>
      <w:r w:rsidRPr="00EC20A0">
        <w:rPr>
          <w:spacing w:val="-2"/>
        </w:rPr>
        <w:t xml:space="preserve"> </w:t>
      </w:r>
      <w:r w:rsidRPr="00EC20A0">
        <w:t>with</w:t>
      </w:r>
      <w:r w:rsidRPr="00EC20A0">
        <w:rPr>
          <w:spacing w:val="-2"/>
        </w:rPr>
        <w:t xml:space="preserve"> </w:t>
      </w:r>
      <w:r w:rsidRPr="00EC20A0">
        <w:t>a</w:t>
      </w:r>
      <w:r w:rsidRPr="00EC20A0">
        <w:rPr>
          <w:spacing w:val="-2"/>
        </w:rPr>
        <w:t xml:space="preserve"> </w:t>
      </w:r>
      <w:r w:rsidRPr="00EC20A0">
        <w:t>draft</w:t>
      </w:r>
      <w:r w:rsidRPr="00EC20A0">
        <w:rPr>
          <w:spacing w:val="-2"/>
        </w:rPr>
        <w:t xml:space="preserve"> </w:t>
      </w:r>
      <w:r w:rsidRPr="00EC20A0">
        <w:t>copy</w:t>
      </w:r>
      <w:r w:rsidRPr="00EC20A0">
        <w:rPr>
          <w:spacing w:val="-2"/>
        </w:rPr>
        <w:t xml:space="preserve"> </w:t>
      </w:r>
      <w:r w:rsidRPr="00EC20A0">
        <w:t>of</w:t>
      </w:r>
      <w:r w:rsidRPr="00EC20A0">
        <w:rPr>
          <w:spacing w:val="-2"/>
        </w:rPr>
        <w:t xml:space="preserve"> </w:t>
      </w:r>
      <w:r w:rsidRPr="00EC20A0">
        <w:t>our</w:t>
      </w:r>
      <w:r w:rsidRPr="00EC20A0">
        <w:rPr>
          <w:spacing w:val="-2"/>
        </w:rPr>
        <w:t xml:space="preserve"> </w:t>
      </w:r>
      <w:r w:rsidRPr="00EC20A0">
        <w:t>report</w:t>
      </w:r>
      <w:r w:rsidRPr="00EC20A0">
        <w:rPr>
          <w:spacing w:val="-2"/>
        </w:rPr>
        <w:t xml:space="preserve"> </w:t>
      </w:r>
      <w:r w:rsidRPr="00EC20A0">
        <w:t>for</w:t>
      </w:r>
      <w:r w:rsidRPr="00EC20A0">
        <w:rPr>
          <w:spacing w:val="-2"/>
        </w:rPr>
        <w:t xml:space="preserve"> </w:t>
      </w:r>
      <w:r w:rsidRPr="00EC20A0">
        <w:t>its</w:t>
      </w:r>
      <w:r w:rsidRPr="00EC20A0">
        <w:rPr>
          <w:spacing w:val="-2"/>
        </w:rPr>
        <w:t xml:space="preserve"> </w:t>
      </w:r>
      <w:r w:rsidRPr="00EC20A0">
        <w:t>review</w:t>
      </w:r>
      <w:r w:rsidRPr="00EC20A0">
        <w:rPr>
          <w:spacing w:val="-3"/>
        </w:rPr>
        <w:t xml:space="preserve"> </w:t>
      </w:r>
      <w:r w:rsidRPr="00EC20A0">
        <w:t>and</w:t>
      </w:r>
      <w:r w:rsidRPr="00EC20A0">
        <w:rPr>
          <w:spacing w:val="-2"/>
        </w:rPr>
        <w:t xml:space="preserve"> </w:t>
      </w:r>
      <w:r w:rsidRPr="00EC20A0">
        <w:t>comment</w:t>
      </w:r>
      <w:r w:rsidRPr="00EC20A0">
        <w:rPr>
          <w:spacing w:val="-2"/>
        </w:rPr>
        <w:t xml:space="preserve"> </w:t>
      </w:r>
      <w:r w:rsidRPr="00EC20A0">
        <w:t>and</w:t>
      </w:r>
      <w:r w:rsidRPr="00EC20A0">
        <w:rPr>
          <w:spacing w:val="-2"/>
        </w:rPr>
        <w:t xml:space="preserve"> </w:t>
      </w:r>
      <w:r w:rsidRPr="00EC20A0">
        <w:t>plan</w:t>
      </w:r>
      <w:r w:rsidRPr="00EC20A0">
        <w:rPr>
          <w:spacing w:val="-2"/>
        </w:rPr>
        <w:t xml:space="preserve"> </w:t>
      </w:r>
      <w:r w:rsidRPr="00EC20A0">
        <w:t xml:space="preserve">to issue the report by </w:t>
      </w:r>
      <w:r w:rsidRPr="00EC20A0">
        <w:rPr>
          <w:b/>
        </w:rPr>
        <w:t>[date]</w:t>
      </w:r>
      <w:r w:rsidRPr="00EC20A0">
        <w:t>. At the conclusion of the audit, management of ABC Entity acknowledges its responsibility to provide to us a representation letter. Written representations may also be requested from XYZ Entity. We will meet with you as needed to discuss the</w:t>
      </w:r>
    </w:p>
    <w:p w14:paraId="24D60A75" w14:textId="77777777" w:rsidR="00245300" w:rsidRPr="00EC20A0" w:rsidRDefault="00F17249">
      <w:pPr>
        <w:pStyle w:val="BodyText"/>
        <w:spacing w:line="253" w:lineRule="exact"/>
        <w:ind w:left="120"/>
      </w:pPr>
      <w:r w:rsidRPr="00EC20A0">
        <w:t>agreed-upon</w:t>
      </w:r>
      <w:r w:rsidRPr="00EC20A0">
        <w:rPr>
          <w:spacing w:val="-8"/>
        </w:rPr>
        <w:t xml:space="preserve"> </w:t>
      </w:r>
      <w:r w:rsidRPr="00EC20A0">
        <w:t>procedures,</w:t>
      </w:r>
      <w:r w:rsidRPr="00EC20A0">
        <w:rPr>
          <w:spacing w:val="-7"/>
        </w:rPr>
        <w:t xml:space="preserve"> </w:t>
      </w:r>
      <w:r w:rsidRPr="00EC20A0">
        <w:t>results,</w:t>
      </w:r>
      <w:r w:rsidRPr="00EC20A0">
        <w:rPr>
          <w:spacing w:val="-8"/>
        </w:rPr>
        <w:t xml:space="preserve"> </w:t>
      </w:r>
      <w:r w:rsidRPr="00EC20A0">
        <w:t>and</w:t>
      </w:r>
      <w:r w:rsidRPr="00EC20A0">
        <w:rPr>
          <w:spacing w:val="-7"/>
        </w:rPr>
        <w:t xml:space="preserve"> </w:t>
      </w:r>
      <w:r w:rsidRPr="00EC20A0">
        <w:t>other</w:t>
      </w:r>
      <w:r w:rsidRPr="00EC20A0">
        <w:rPr>
          <w:spacing w:val="-8"/>
        </w:rPr>
        <w:t xml:space="preserve"> </w:t>
      </w:r>
      <w:r w:rsidRPr="00EC20A0">
        <w:t>issues</w:t>
      </w:r>
      <w:r w:rsidRPr="00EC20A0">
        <w:rPr>
          <w:spacing w:val="-7"/>
        </w:rPr>
        <w:t xml:space="preserve"> </w:t>
      </w:r>
      <w:r w:rsidRPr="00EC20A0">
        <w:t>that</w:t>
      </w:r>
      <w:r w:rsidRPr="00EC20A0">
        <w:rPr>
          <w:spacing w:val="-8"/>
        </w:rPr>
        <w:t xml:space="preserve"> </w:t>
      </w:r>
      <w:r w:rsidRPr="00EC20A0">
        <w:t>may</w:t>
      </w:r>
      <w:r w:rsidRPr="00EC20A0">
        <w:rPr>
          <w:spacing w:val="-7"/>
        </w:rPr>
        <w:t xml:space="preserve"> </w:t>
      </w:r>
      <w:r w:rsidRPr="00EC20A0">
        <w:rPr>
          <w:spacing w:val="-2"/>
        </w:rPr>
        <w:t>arise.</w:t>
      </w:r>
    </w:p>
    <w:p w14:paraId="24D60A76" w14:textId="77777777" w:rsidR="00245300" w:rsidRPr="00EC20A0" w:rsidRDefault="00F17249">
      <w:pPr>
        <w:pStyle w:val="BodyText"/>
        <w:spacing w:before="241"/>
        <w:ind w:left="120" w:right="321"/>
      </w:pPr>
      <w:r w:rsidRPr="00EC20A0">
        <w:t>The appropriateness of the agreed-upon procedures to meet the objectives of ABC Entity is solely your responsibility. Accordingly, we make no representation regarding their appropriateness to meet your needs or for any other purpose. Prior to the completion of the audit, management of ABC Entity acknowledges its responsibility to provide us with a written agreement</w:t>
      </w:r>
      <w:r w:rsidRPr="00EC20A0">
        <w:rPr>
          <w:spacing w:val="-4"/>
        </w:rPr>
        <w:t xml:space="preserve"> </w:t>
      </w:r>
      <w:r w:rsidRPr="00EC20A0">
        <w:t>and</w:t>
      </w:r>
      <w:r w:rsidRPr="00EC20A0">
        <w:rPr>
          <w:spacing w:val="-4"/>
        </w:rPr>
        <w:t xml:space="preserve"> </w:t>
      </w:r>
      <w:r w:rsidRPr="00EC20A0">
        <w:t>acknowledgment</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procedures</w:t>
      </w:r>
      <w:r w:rsidRPr="00EC20A0">
        <w:rPr>
          <w:spacing w:val="-4"/>
        </w:rPr>
        <w:t xml:space="preserve"> </w:t>
      </w:r>
      <w:r w:rsidRPr="00EC20A0">
        <w:t>performed</w:t>
      </w:r>
      <w:r w:rsidRPr="00EC20A0">
        <w:rPr>
          <w:spacing w:val="-4"/>
        </w:rPr>
        <w:t xml:space="preserve"> </w:t>
      </w:r>
      <w:r w:rsidRPr="00EC20A0">
        <w:t>are</w:t>
      </w:r>
      <w:r w:rsidRPr="00EC20A0">
        <w:rPr>
          <w:spacing w:val="-4"/>
        </w:rPr>
        <w:t xml:space="preserve"> </w:t>
      </w:r>
      <w:r w:rsidRPr="00EC20A0">
        <w:t>appropriate</w:t>
      </w:r>
      <w:r w:rsidRPr="00EC20A0">
        <w:rPr>
          <w:spacing w:val="-4"/>
        </w:rPr>
        <w:t xml:space="preserve"> </w:t>
      </w:r>
      <w:r w:rsidRPr="00EC20A0">
        <w:t>for</w:t>
      </w:r>
      <w:r w:rsidRPr="00EC20A0">
        <w:rPr>
          <w:spacing w:val="-5"/>
        </w:rPr>
        <w:t xml:space="preserve"> </w:t>
      </w:r>
      <w:r w:rsidRPr="00EC20A0">
        <w:t>the</w:t>
      </w:r>
      <w:r w:rsidRPr="00EC20A0">
        <w:rPr>
          <w:spacing w:val="-4"/>
        </w:rPr>
        <w:t xml:space="preserve"> </w:t>
      </w:r>
      <w:r w:rsidRPr="00EC20A0">
        <w:t>intended purpose of this engagement. In addition, because of the nature of agreed-upon procedures, the results we obtain will only be applicable to the period for which they are performed. We are not engaged to perform, and will not perform, an examination or audit, the objective of which would be to express an opinion on the amount of receipts transferred to the tax trust fund for fiscal</w:t>
      </w:r>
      <w:r w:rsidRPr="00EC20A0">
        <w:rPr>
          <w:spacing w:val="40"/>
        </w:rPr>
        <w:t xml:space="preserve"> </w:t>
      </w:r>
      <w:r w:rsidRPr="00EC20A0">
        <w:t>year 20XX. Accordingly, we will not express su</w:t>
      </w:r>
      <w:r w:rsidRPr="00EC20A0">
        <w:t>ch an opinion. If we were to perform an examination or audit, other matters beyond the scope of the agreed-upon procedures might come to our attention.</w:t>
      </w:r>
    </w:p>
    <w:p w14:paraId="24D60A77" w14:textId="77777777" w:rsidR="00245300" w:rsidRPr="00EC20A0" w:rsidRDefault="00F17249">
      <w:pPr>
        <w:pStyle w:val="BodyText"/>
        <w:spacing w:before="240"/>
        <w:ind w:left="120" w:right="380"/>
      </w:pPr>
      <w:r w:rsidRPr="00EC20A0">
        <w:t>The</w:t>
      </w:r>
      <w:r w:rsidRPr="00EC20A0">
        <w:rPr>
          <w:spacing w:val="-3"/>
        </w:rPr>
        <w:t xml:space="preserve"> </w:t>
      </w:r>
      <w:r w:rsidRPr="00EC20A0">
        <w:t>report</w:t>
      </w:r>
      <w:r w:rsidRPr="00EC20A0">
        <w:rPr>
          <w:spacing w:val="-3"/>
        </w:rPr>
        <w:t xml:space="preserve"> </w:t>
      </w:r>
      <w:r w:rsidRPr="00EC20A0">
        <w:t>we</w:t>
      </w:r>
      <w:r w:rsidRPr="00EC20A0">
        <w:rPr>
          <w:spacing w:val="-3"/>
        </w:rPr>
        <w:t xml:space="preserve"> </w:t>
      </w:r>
      <w:r w:rsidRPr="00EC20A0">
        <w:t>will</w:t>
      </w:r>
      <w:r w:rsidRPr="00EC20A0">
        <w:rPr>
          <w:spacing w:val="-3"/>
        </w:rPr>
        <w:t xml:space="preserve"> </w:t>
      </w:r>
      <w:r w:rsidRPr="00EC20A0">
        <w:t>prepare</w:t>
      </w:r>
      <w:r w:rsidRPr="00EC20A0">
        <w:rPr>
          <w:spacing w:val="-3"/>
        </w:rPr>
        <w:t xml:space="preserve"> </w:t>
      </w:r>
      <w:r w:rsidRPr="00EC20A0">
        <w:t>is</w:t>
      </w:r>
      <w:r w:rsidRPr="00EC20A0">
        <w:rPr>
          <w:spacing w:val="-3"/>
        </w:rPr>
        <w:t xml:space="preserve"> </w:t>
      </w:r>
      <w:r w:rsidRPr="00EC20A0">
        <w:t>intended</w:t>
      </w:r>
      <w:r w:rsidRPr="00EC20A0">
        <w:rPr>
          <w:spacing w:val="-3"/>
        </w:rPr>
        <w:t xml:space="preserve"> </w:t>
      </w:r>
      <w:r w:rsidRPr="00EC20A0">
        <w:t>solely</w:t>
      </w:r>
      <w:r w:rsidRPr="00EC20A0">
        <w:rPr>
          <w:spacing w:val="-4"/>
        </w:rPr>
        <w:t xml:space="preserve"> </w:t>
      </w:r>
      <w:r w:rsidRPr="00EC20A0">
        <w:t>for</w:t>
      </w:r>
      <w:r w:rsidRPr="00EC20A0">
        <w:rPr>
          <w:spacing w:val="-4"/>
        </w:rPr>
        <w:t xml:space="preserve"> </w:t>
      </w:r>
      <w:r w:rsidRPr="00EC20A0">
        <w:t>your</w:t>
      </w:r>
      <w:r w:rsidRPr="00EC20A0">
        <w:rPr>
          <w:spacing w:val="-3"/>
        </w:rPr>
        <w:t xml:space="preserve"> </w:t>
      </w:r>
      <w:r w:rsidRPr="00EC20A0">
        <w:t>information</w:t>
      </w:r>
      <w:r w:rsidRPr="00EC20A0">
        <w:rPr>
          <w:spacing w:val="-3"/>
        </w:rPr>
        <w:t xml:space="preserve"> </w:t>
      </w:r>
      <w:r w:rsidRPr="00EC20A0">
        <w:t>and</w:t>
      </w:r>
      <w:r w:rsidRPr="00EC20A0">
        <w:rPr>
          <w:spacing w:val="-3"/>
        </w:rPr>
        <w:t xml:space="preserve"> </w:t>
      </w:r>
      <w:r w:rsidRPr="00EC20A0">
        <w:t>use</w:t>
      </w:r>
      <w:r w:rsidRPr="00EC20A0">
        <w:rPr>
          <w:spacing w:val="-3"/>
        </w:rPr>
        <w:t xml:space="preserve"> </w:t>
      </w:r>
      <w:r w:rsidRPr="00EC20A0">
        <w:t>and</w:t>
      </w:r>
      <w:r w:rsidRPr="00EC20A0">
        <w:rPr>
          <w:spacing w:val="-3"/>
        </w:rPr>
        <w:t xml:space="preserve"> </w:t>
      </w:r>
      <w:r w:rsidRPr="00EC20A0">
        <w:t>is</w:t>
      </w:r>
      <w:r w:rsidRPr="00EC20A0">
        <w:rPr>
          <w:spacing w:val="-3"/>
        </w:rPr>
        <w:t xml:space="preserve"> </w:t>
      </w:r>
      <w:r w:rsidRPr="00EC20A0">
        <w:t>not</w:t>
      </w:r>
      <w:r w:rsidRPr="00EC20A0">
        <w:rPr>
          <w:spacing w:val="-4"/>
        </w:rPr>
        <w:t xml:space="preserve"> </w:t>
      </w:r>
      <w:r w:rsidRPr="00EC20A0">
        <w:t>intended</w:t>
      </w:r>
      <w:r w:rsidRPr="00EC20A0">
        <w:rPr>
          <w:spacing w:val="-3"/>
        </w:rPr>
        <w:t xml:space="preserve"> </w:t>
      </w:r>
      <w:r w:rsidRPr="00EC20A0">
        <w:t xml:space="preserve">to be, and should not be, used by any other party. However, our </w:t>
      </w:r>
      <w:r w:rsidRPr="00EC20A0">
        <w:t>report will be a matter of public record and will be provided to others upon request. Unless we hear from you, we will assume</w:t>
      </w:r>
    </w:p>
    <w:p w14:paraId="24D60A78" w14:textId="77777777" w:rsidR="00245300" w:rsidRPr="00EC20A0" w:rsidRDefault="00245300">
      <w:pPr>
        <w:sectPr w:rsidR="00245300" w:rsidRPr="00EC20A0">
          <w:headerReference w:type="default" r:id="rId72"/>
          <w:footerReference w:type="default" r:id="rId73"/>
          <w:pgSz w:w="12240" w:h="15840"/>
          <w:pgMar w:top="1340" w:right="1140" w:bottom="940" w:left="1320" w:header="721" w:footer="757" w:gutter="0"/>
          <w:pgNumType w:start="1"/>
          <w:cols w:space="720"/>
        </w:sectPr>
      </w:pPr>
    </w:p>
    <w:p w14:paraId="24D60A79" w14:textId="77777777" w:rsidR="00245300" w:rsidRPr="00EC20A0" w:rsidRDefault="00F17249">
      <w:pPr>
        <w:spacing w:before="121"/>
        <w:ind w:left="120" w:right="380" w:hanging="1"/>
      </w:pPr>
      <w:r w:rsidRPr="00EC20A0">
        <w:t>that</w:t>
      </w:r>
      <w:r w:rsidRPr="00EC20A0">
        <w:rPr>
          <w:spacing w:val="-2"/>
        </w:rPr>
        <w:t xml:space="preserve"> </w:t>
      </w:r>
      <w:r w:rsidRPr="00EC20A0">
        <w:t>you</w:t>
      </w:r>
      <w:r w:rsidRPr="00EC20A0">
        <w:rPr>
          <w:spacing w:val="-2"/>
        </w:rPr>
        <w:t xml:space="preserve"> </w:t>
      </w:r>
      <w:r w:rsidRPr="00EC20A0">
        <w:t>concur</w:t>
      </w:r>
      <w:r w:rsidRPr="00EC20A0">
        <w:rPr>
          <w:spacing w:val="-2"/>
        </w:rPr>
        <w:t xml:space="preserve"> </w:t>
      </w:r>
      <w:r w:rsidRPr="00EC20A0">
        <w:t>with</w:t>
      </w:r>
      <w:r w:rsidRPr="00EC20A0">
        <w:rPr>
          <w:spacing w:val="-2"/>
        </w:rPr>
        <w:t xml:space="preserve"> </w:t>
      </w:r>
      <w:r w:rsidRPr="00EC20A0">
        <w:t>these</w:t>
      </w:r>
      <w:r w:rsidRPr="00EC20A0">
        <w:rPr>
          <w:spacing w:val="-2"/>
        </w:rPr>
        <w:t xml:space="preserve"> </w:t>
      </w:r>
      <w:r w:rsidRPr="00EC20A0">
        <w:t>procedures</w:t>
      </w:r>
      <w:r w:rsidRPr="00EC20A0">
        <w:rPr>
          <w:spacing w:val="-2"/>
        </w:rPr>
        <w:t xml:space="preserve"> </w:t>
      </w:r>
      <w:r w:rsidRPr="00EC20A0">
        <w:t>and</w:t>
      </w:r>
      <w:r w:rsidRPr="00EC20A0">
        <w:rPr>
          <w:spacing w:val="-2"/>
        </w:rPr>
        <w:t xml:space="preserve"> </w:t>
      </w:r>
      <w:r w:rsidRPr="00EC20A0">
        <w:t>their</w:t>
      </w:r>
      <w:r w:rsidRPr="00EC20A0">
        <w:rPr>
          <w:spacing w:val="-3"/>
        </w:rPr>
        <w:t xml:space="preserve"> </w:t>
      </w:r>
      <w:r w:rsidRPr="00EC20A0">
        <w:t>appropriateness</w:t>
      </w:r>
      <w:r w:rsidRPr="00EC20A0">
        <w:rPr>
          <w:spacing w:val="-1"/>
        </w:rPr>
        <w:t xml:space="preserve"> </w:t>
      </w:r>
      <w:r w:rsidRPr="00EC20A0">
        <w:t>for</w:t>
      </w:r>
      <w:r w:rsidRPr="00EC20A0">
        <w:rPr>
          <w:spacing w:val="-2"/>
        </w:rPr>
        <w:t xml:space="preserve"> </w:t>
      </w:r>
      <w:r w:rsidRPr="00EC20A0">
        <w:t>your</w:t>
      </w:r>
      <w:r w:rsidRPr="00EC20A0">
        <w:rPr>
          <w:spacing w:val="-2"/>
        </w:rPr>
        <w:t xml:space="preserve"> </w:t>
      </w:r>
      <w:r w:rsidRPr="00EC20A0">
        <w:t>purposes.</w:t>
      </w:r>
      <w:hyperlink w:anchor="_bookmark65" w:history="1">
        <w:r w:rsidRPr="00EC20A0">
          <w:rPr>
            <w:position w:val="7"/>
            <w:sz w:val="14"/>
          </w:rPr>
          <w:t>17</w:t>
        </w:r>
      </w:hyperlink>
      <w:r w:rsidRPr="00EC20A0">
        <w:rPr>
          <w:spacing w:val="19"/>
          <w:position w:val="7"/>
          <w:sz w:val="14"/>
        </w:rPr>
        <w:t xml:space="preserve"> </w:t>
      </w:r>
      <w:r w:rsidRPr="00EC20A0">
        <w:t>If</w:t>
      </w:r>
      <w:r w:rsidRPr="00EC20A0">
        <w:rPr>
          <w:spacing w:val="-2"/>
        </w:rPr>
        <w:t xml:space="preserve"> </w:t>
      </w:r>
      <w:r w:rsidRPr="00EC20A0">
        <w:t xml:space="preserve">you have any questions, please contact me at </w:t>
      </w:r>
      <w:r w:rsidRPr="00EC20A0">
        <w:rPr>
          <w:b/>
        </w:rPr>
        <w:t xml:space="preserve">[telephone number and email address] </w:t>
      </w:r>
      <w:r w:rsidRPr="00EC20A0">
        <w:t xml:space="preserve">or </w:t>
      </w:r>
      <w:r w:rsidRPr="00EC20A0">
        <w:rPr>
          <w:b/>
        </w:rPr>
        <w:t xml:space="preserve">[alternative contact] </w:t>
      </w:r>
      <w:r w:rsidRPr="00EC20A0">
        <w:t xml:space="preserve">at </w:t>
      </w:r>
      <w:r w:rsidRPr="00EC20A0">
        <w:rPr>
          <w:b/>
        </w:rPr>
        <w:t>[telephone number and email address]</w:t>
      </w:r>
      <w:r w:rsidRPr="00EC20A0">
        <w:t>.</w:t>
      </w:r>
    </w:p>
    <w:p w14:paraId="24D60A7A" w14:textId="77777777" w:rsidR="00245300" w:rsidRPr="00EC20A0" w:rsidRDefault="00F17249">
      <w:pPr>
        <w:pStyle w:val="BodyText"/>
        <w:spacing w:before="239"/>
        <w:ind w:left="120"/>
      </w:pPr>
      <w:r w:rsidRPr="00EC20A0">
        <w:rPr>
          <w:spacing w:val="-2"/>
        </w:rPr>
        <w:t>Sincerely,</w:t>
      </w:r>
    </w:p>
    <w:p w14:paraId="24D60A7B" w14:textId="77777777" w:rsidR="00245300" w:rsidRPr="00EC20A0" w:rsidRDefault="00F17249">
      <w:pPr>
        <w:spacing w:before="241"/>
        <w:ind w:left="120"/>
        <w:rPr>
          <w:b/>
        </w:rPr>
      </w:pPr>
      <w:r w:rsidRPr="00EC20A0">
        <w:rPr>
          <w:b/>
          <w:spacing w:val="-2"/>
        </w:rPr>
        <w:t>[Signed]</w:t>
      </w:r>
    </w:p>
    <w:p w14:paraId="24D60A7C" w14:textId="77777777" w:rsidR="00245300" w:rsidRPr="00EC20A0" w:rsidRDefault="00F17249">
      <w:pPr>
        <w:spacing w:before="240"/>
        <w:ind w:left="120" w:right="7207"/>
        <w:rPr>
          <w:b/>
        </w:rPr>
      </w:pPr>
      <w:r w:rsidRPr="00EC20A0">
        <w:rPr>
          <w:b/>
        </w:rPr>
        <w:t>[Name</w:t>
      </w:r>
      <w:r w:rsidRPr="00EC20A0">
        <w:rPr>
          <w:b/>
          <w:spacing w:val="-16"/>
        </w:rPr>
        <w:t xml:space="preserve"> </w:t>
      </w:r>
      <w:r w:rsidRPr="00EC20A0">
        <w:rPr>
          <w:b/>
        </w:rPr>
        <w:t>of</w:t>
      </w:r>
      <w:r w:rsidRPr="00EC20A0">
        <w:rPr>
          <w:b/>
          <w:spacing w:val="-15"/>
        </w:rPr>
        <w:t xml:space="preserve"> </w:t>
      </w:r>
      <w:r w:rsidRPr="00EC20A0">
        <w:rPr>
          <w:b/>
        </w:rPr>
        <w:t xml:space="preserve">Director] </w:t>
      </w:r>
      <w:r w:rsidRPr="00EC20A0">
        <w:rPr>
          <w:b/>
          <w:spacing w:val="-2"/>
        </w:rPr>
        <w:t>[Title]</w:t>
      </w:r>
    </w:p>
    <w:p w14:paraId="24D60A7D" w14:textId="77777777" w:rsidR="00245300" w:rsidRPr="00EC20A0" w:rsidRDefault="00F17249">
      <w:pPr>
        <w:ind w:left="120"/>
        <w:rPr>
          <w:b/>
        </w:rPr>
      </w:pPr>
      <w:r w:rsidRPr="00EC20A0">
        <w:rPr>
          <w:b/>
        </w:rPr>
        <w:t>[Audit</w:t>
      </w:r>
      <w:r w:rsidRPr="00EC20A0">
        <w:rPr>
          <w:b/>
          <w:spacing w:val="-8"/>
        </w:rPr>
        <w:t xml:space="preserve"> </w:t>
      </w:r>
      <w:r w:rsidRPr="00EC20A0">
        <w:rPr>
          <w:b/>
          <w:spacing w:val="-2"/>
        </w:rPr>
        <w:t>Entity]</w:t>
      </w:r>
    </w:p>
    <w:p w14:paraId="24D60A7E" w14:textId="77777777" w:rsidR="00245300" w:rsidRPr="00EC20A0" w:rsidRDefault="00F17249">
      <w:pPr>
        <w:pStyle w:val="BodyText"/>
        <w:spacing w:before="239"/>
        <w:ind w:left="120"/>
      </w:pPr>
      <w:r w:rsidRPr="00EC20A0">
        <w:rPr>
          <w:spacing w:val="-2"/>
        </w:rPr>
        <w:t>Enclosure</w:t>
      </w:r>
    </w:p>
    <w:p w14:paraId="24D60A7F" w14:textId="77777777" w:rsidR="00245300" w:rsidRPr="00EC20A0" w:rsidRDefault="00F17249">
      <w:pPr>
        <w:pStyle w:val="BodyText"/>
        <w:spacing w:before="240"/>
        <w:ind w:left="120"/>
      </w:pPr>
      <w:r w:rsidRPr="00EC20A0">
        <w:t>cc:</w:t>
      </w:r>
      <w:r w:rsidRPr="00EC20A0">
        <w:rPr>
          <w:spacing w:val="-5"/>
        </w:rPr>
        <w:t xml:space="preserve"> </w:t>
      </w:r>
      <w:r w:rsidRPr="00EC20A0">
        <w:t>XYZ</w:t>
      </w:r>
      <w:r w:rsidRPr="00EC20A0">
        <w:rPr>
          <w:spacing w:val="-5"/>
        </w:rPr>
        <w:t xml:space="preserve"> </w:t>
      </w:r>
      <w:r w:rsidRPr="00EC20A0">
        <w:rPr>
          <w:spacing w:val="-2"/>
        </w:rPr>
        <w:t>Entity</w:t>
      </w:r>
    </w:p>
    <w:p w14:paraId="24D60A80" w14:textId="77777777" w:rsidR="00245300" w:rsidRPr="00EC20A0" w:rsidRDefault="00245300">
      <w:pPr>
        <w:pStyle w:val="BodyText"/>
        <w:rPr>
          <w:sz w:val="20"/>
        </w:rPr>
      </w:pPr>
    </w:p>
    <w:p w14:paraId="24D60A81" w14:textId="77777777" w:rsidR="00245300" w:rsidRPr="00EC20A0" w:rsidRDefault="00245300">
      <w:pPr>
        <w:pStyle w:val="BodyText"/>
        <w:rPr>
          <w:sz w:val="20"/>
        </w:rPr>
      </w:pPr>
    </w:p>
    <w:p w14:paraId="24D60A82" w14:textId="77777777" w:rsidR="00245300" w:rsidRPr="00EC20A0" w:rsidRDefault="00245300">
      <w:pPr>
        <w:pStyle w:val="BodyText"/>
        <w:rPr>
          <w:sz w:val="20"/>
        </w:rPr>
      </w:pPr>
    </w:p>
    <w:p w14:paraId="24D60A83" w14:textId="77777777" w:rsidR="00245300" w:rsidRPr="00EC20A0" w:rsidRDefault="00245300">
      <w:pPr>
        <w:pStyle w:val="BodyText"/>
        <w:rPr>
          <w:sz w:val="20"/>
        </w:rPr>
      </w:pPr>
    </w:p>
    <w:p w14:paraId="24D60A84" w14:textId="77777777" w:rsidR="00245300" w:rsidRPr="00EC20A0" w:rsidRDefault="00245300">
      <w:pPr>
        <w:pStyle w:val="BodyText"/>
        <w:rPr>
          <w:sz w:val="20"/>
        </w:rPr>
      </w:pPr>
    </w:p>
    <w:p w14:paraId="24D60A85" w14:textId="77777777" w:rsidR="00245300" w:rsidRPr="00EC20A0" w:rsidRDefault="00245300">
      <w:pPr>
        <w:pStyle w:val="BodyText"/>
        <w:rPr>
          <w:sz w:val="20"/>
        </w:rPr>
      </w:pPr>
    </w:p>
    <w:p w14:paraId="24D60A86" w14:textId="77777777" w:rsidR="00245300" w:rsidRPr="00EC20A0" w:rsidRDefault="00245300">
      <w:pPr>
        <w:pStyle w:val="BodyText"/>
        <w:rPr>
          <w:sz w:val="20"/>
        </w:rPr>
      </w:pPr>
    </w:p>
    <w:p w14:paraId="24D60A87" w14:textId="77777777" w:rsidR="00245300" w:rsidRPr="00EC20A0" w:rsidRDefault="00245300">
      <w:pPr>
        <w:pStyle w:val="BodyText"/>
        <w:rPr>
          <w:sz w:val="20"/>
        </w:rPr>
      </w:pPr>
    </w:p>
    <w:p w14:paraId="24D60A88" w14:textId="77777777" w:rsidR="00245300" w:rsidRPr="00EC20A0" w:rsidRDefault="00245300">
      <w:pPr>
        <w:pStyle w:val="BodyText"/>
        <w:rPr>
          <w:sz w:val="20"/>
        </w:rPr>
      </w:pPr>
    </w:p>
    <w:p w14:paraId="24D60A89" w14:textId="77777777" w:rsidR="00245300" w:rsidRPr="00EC20A0" w:rsidRDefault="00245300">
      <w:pPr>
        <w:pStyle w:val="BodyText"/>
        <w:rPr>
          <w:sz w:val="20"/>
        </w:rPr>
      </w:pPr>
    </w:p>
    <w:p w14:paraId="24D60A8A" w14:textId="77777777" w:rsidR="00245300" w:rsidRPr="00EC20A0" w:rsidRDefault="00245300">
      <w:pPr>
        <w:pStyle w:val="BodyText"/>
        <w:rPr>
          <w:sz w:val="20"/>
        </w:rPr>
      </w:pPr>
    </w:p>
    <w:p w14:paraId="24D60A8B" w14:textId="77777777" w:rsidR="00245300" w:rsidRPr="00EC20A0" w:rsidRDefault="00245300">
      <w:pPr>
        <w:pStyle w:val="BodyText"/>
        <w:rPr>
          <w:sz w:val="20"/>
        </w:rPr>
      </w:pPr>
    </w:p>
    <w:p w14:paraId="24D60A8C" w14:textId="77777777" w:rsidR="00245300" w:rsidRPr="00EC20A0" w:rsidRDefault="00245300">
      <w:pPr>
        <w:pStyle w:val="BodyText"/>
        <w:rPr>
          <w:sz w:val="20"/>
        </w:rPr>
      </w:pPr>
    </w:p>
    <w:p w14:paraId="24D60A8D" w14:textId="77777777" w:rsidR="00245300" w:rsidRPr="00EC20A0" w:rsidRDefault="00245300">
      <w:pPr>
        <w:pStyle w:val="BodyText"/>
        <w:rPr>
          <w:sz w:val="20"/>
        </w:rPr>
      </w:pPr>
    </w:p>
    <w:p w14:paraId="24D60A8E" w14:textId="77777777" w:rsidR="00245300" w:rsidRPr="00EC20A0" w:rsidRDefault="00245300">
      <w:pPr>
        <w:pStyle w:val="BodyText"/>
        <w:rPr>
          <w:sz w:val="20"/>
        </w:rPr>
      </w:pPr>
    </w:p>
    <w:p w14:paraId="24D60A8F" w14:textId="77777777" w:rsidR="00245300" w:rsidRPr="00EC20A0" w:rsidRDefault="00245300">
      <w:pPr>
        <w:pStyle w:val="BodyText"/>
        <w:rPr>
          <w:sz w:val="20"/>
        </w:rPr>
      </w:pPr>
    </w:p>
    <w:p w14:paraId="24D60A90" w14:textId="77777777" w:rsidR="00245300" w:rsidRPr="00EC20A0" w:rsidRDefault="00245300">
      <w:pPr>
        <w:pStyle w:val="BodyText"/>
        <w:rPr>
          <w:sz w:val="20"/>
        </w:rPr>
      </w:pPr>
    </w:p>
    <w:p w14:paraId="24D60A91" w14:textId="77777777" w:rsidR="00245300" w:rsidRPr="00EC20A0" w:rsidRDefault="00245300">
      <w:pPr>
        <w:pStyle w:val="BodyText"/>
        <w:rPr>
          <w:sz w:val="20"/>
        </w:rPr>
      </w:pPr>
    </w:p>
    <w:p w14:paraId="24D60A92" w14:textId="77777777" w:rsidR="00245300" w:rsidRPr="00EC20A0" w:rsidRDefault="00245300">
      <w:pPr>
        <w:pStyle w:val="BodyText"/>
        <w:rPr>
          <w:sz w:val="20"/>
        </w:rPr>
      </w:pPr>
    </w:p>
    <w:p w14:paraId="24D60A93" w14:textId="77777777" w:rsidR="00245300" w:rsidRPr="00EC20A0" w:rsidRDefault="00245300">
      <w:pPr>
        <w:pStyle w:val="BodyText"/>
        <w:rPr>
          <w:sz w:val="20"/>
        </w:rPr>
      </w:pPr>
    </w:p>
    <w:p w14:paraId="24D60A94" w14:textId="77777777" w:rsidR="00245300" w:rsidRPr="00EC20A0" w:rsidRDefault="00245300">
      <w:pPr>
        <w:pStyle w:val="BodyText"/>
        <w:rPr>
          <w:sz w:val="20"/>
        </w:rPr>
      </w:pPr>
    </w:p>
    <w:p w14:paraId="24D60A95" w14:textId="77777777" w:rsidR="00245300" w:rsidRPr="00EC20A0" w:rsidRDefault="00245300">
      <w:pPr>
        <w:pStyle w:val="BodyText"/>
        <w:rPr>
          <w:sz w:val="20"/>
        </w:rPr>
      </w:pPr>
    </w:p>
    <w:p w14:paraId="24D60A96" w14:textId="77777777" w:rsidR="00245300" w:rsidRPr="00EC20A0" w:rsidRDefault="00245300">
      <w:pPr>
        <w:pStyle w:val="BodyText"/>
        <w:rPr>
          <w:sz w:val="20"/>
        </w:rPr>
      </w:pPr>
    </w:p>
    <w:p w14:paraId="24D60A97" w14:textId="77777777" w:rsidR="00245300" w:rsidRPr="00EC20A0" w:rsidRDefault="00245300">
      <w:pPr>
        <w:pStyle w:val="BodyText"/>
        <w:rPr>
          <w:sz w:val="20"/>
        </w:rPr>
      </w:pPr>
    </w:p>
    <w:p w14:paraId="24D60A98" w14:textId="77777777" w:rsidR="00245300" w:rsidRPr="00EC20A0" w:rsidRDefault="00245300">
      <w:pPr>
        <w:pStyle w:val="BodyText"/>
        <w:rPr>
          <w:sz w:val="20"/>
        </w:rPr>
      </w:pPr>
    </w:p>
    <w:p w14:paraId="24D60A99" w14:textId="77777777" w:rsidR="00245300" w:rsidRPr="00EC20A0" w:rsidRDefault="00245300">
      <w:pPr>
        <w:pStyle w:val="BodyText"/>
        <w:rPr>
          <w:sz w:val="20"/>
        </w:rPr>
      </w:pPr>
    </w:p>
    <w:p w14:paraId="24D60A9A" w14:textId="77777777" w:rsidR="00245300" w:rsidRPr="00EC20A0" w:rsidRDefault="00245300">
      <w:pPr>
        <w:pStyle w:val="BodyText"/>
        <w:rPr>
          <w:sz w:val="20"/>
        </w:rPr>
      </w:pPr>
    </w:p>
    <w:p w14:paraId="24D60A9B" w14:textId="77777777" w:rsidR="00245300" w:rsidRPr="00EC20A0" w:rsidRDefault="00245300">
      <w:pPr>
        <w:pStyle w:val="BodyText"/>
        <w:rPr>
          <w:sz w:val="20"/>
        </w:rPr>
      </w:pPr>
    </w:p>
    <w:p w14:paraId="24D60A9C" w14:textId="77777777" w:rsidR="00245300" w:rsidRPr="00EC20A0" w:rsidRDefault="00245300">
      <w:pPr>
        <w:pStyle w:val="BodyText"/>
        <w:rPr>
          <w:sz w:val="20"/>
        </w:rPr>
      </w:pPr>
    </w:p>
    <w:p w14:paraId="24D60A9D" w14:textId="77777777" w:rsidR="00245300" w:rsidRPr="00EC20A0" w:rsidRDefault="00245300">
      <w:pPr>
        <w:pStyle w:val="BodyText"/>
        <w:rPr>
          <w:sz w:val="20"/>
        </w:rPr>
      </w:pPr>
    </w:p>
    <w:p w14:paraId="24D60A9E" w14:textId="77777777" w:rsidR="00245300" w:rsidRPr="00EC20A0" w:rsidRDefault="00245300">
      <w:pPr>
        <w:pStyle w:val="BodyText"/>
        <w:rPr>
          <w:sz w:val="20"/>
        </w:rPr>
      </w:pPr>
    </w:p>
    <w:p w14:paraId="24D60A9F" w14:textId="77777777" w:rsidR="00245300" w:rsidRPr="00EC20A0" w:rsidRDefault="00245300">
      <w:pPr>
        <w:pStyle w:val="BodyText"/>
        <w:rPr>
          <w:sz w:val="20"/>
        </w:rPr>
      </w:pPr>
    </w:p>
    <w:p w14:paraId="24D60AA0" w14:textId="77777777" w:rsidR="00245300" w:rsidRPr="00EC20A0" w:rsidRDefault="00245300">
      <w:pPr>
        <w:pStyle w:val="BodyText"/>
        <w:rPr>
          <w:sz w:val="20"/>
        </w:rPr>
      </w:pPr>
    </w:p>
    <w:p w14:paraId="24D60AA1" w14:textId="77777777" w:rsidR="00245300" w:rsidRPr="00EC20A0" w:rsidRDefault="00245300">
      <w:pPr>
        <w:pStyle w:val="BodyText"/>
        <w:rPr>
          <w:sz w:val="20"/>
        </w:rPr>
      </w:pPr>
    </w:p>
    <w:p w14:paraId="24D60AA2" w14:textId="77777777" w:rsidR="00245300" w:rsidRPr="00EC20A0" w:rsidRDefault="00245300">
      <w:pPr>
        <w:pStyle w:val="BodyText"/>
        <w:rPr>
          <w:sz w:val="20"/>
        </w:rPr>
      </w:pPr>
    </w:p>
    <w:p w14:paraId="24D60AA3" w14:textId="77777777" w:rsidR="00245300" w:rsidRPr="00EC20A0" w:rsidRDefault="00245300">
      <w:pPr>
        <w:pStyle w:val="BodyText"/>
        <w:rPr>
          <w:sz w:val="20"/>
        </w:rPr>
      </w:pPr>
    </w:p>
    <w:p w14:paraId="24D60AA4" w14:textId="77777777" w:rsidR="00245300" w:rsidRPr="00EC20A0" w:rsidRDefault="00F17249">
      <w:pPr>
        <w:pStyle w:val="BodyText"/>
        <w:spacing w:before="159"/>
        <w:rPr>
          <w:sz w:val="20"/>
        </w:rPr>
      </w:pPr>
      <w:r w:rsidRPr="00EC20A0">
        <w:rPr>
          <w:noProof/>
        </w:rPr>
        <mc:AlternateContent>
          <mc:Choice Requires="wps">
            <w:drawing>
              <wp:anchor distT="0" distB="0" distL="0" distR="0" simplePos="0" relativeHeight="487609856" behindDoc="1" locked="0" layoutInCell="1" allowOverlap="1" wp14:anchorId="24D62B0B" wp14:editId="24D62B0C">
                <wp:simplePos x="0" y="0"/>
                <wp:positionH relativeFrom="page">
                  <wp:posOffset>914400</wp:posOffset>
                </wp:positionH>
                <wp:positionV relativeFrom="paragraph">
                  <wp:posOffset>262469</wp:posOffset>
                </wp:positionV>
                <wp:extent cx="1828800" cy="5715"/>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59AB8" id="Graphic 224" o:spid="_x0000_s1026" style="position:absolute;margin-left:1in;margin-top:20.65pt;width:2in;height:.45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" path="m1828800,l,,,5321r1828800,l1828800,xe" fillcolor="black" stroked="f">
                <v:path arrowok="t"/>
                <w10:wrap type="topAndBottom" anchorx="page"/>
              </v:shape>
            </w:pict>
          </mc:Fallback>
        </mc:AlternateContent>
      </w:r>
    </w:p>
    <w:p w14:paraId="24D60AA5" w14:textId="77777777" w:rsidR="00245300" w:rsidRPr="00EC20A0" w:rsidRDefault="00F17249">
      <w:pPr>
        <w:spacing w:before="202" w:line="249" w:lineRule="auto"/>
        <w:ind w:left="119" w:right="407"/>
        <w:rPr>
          <w:sz w:val="18"/>
        </w:rPr>
      </w:pPr>
      <w:bookmarkStart w:id="159" w:name="_bookmark65"/>
      <w:bookmarkEnd w:id="159"/>
      <w:r w:rsidRPr="00EC20A0">
        <w:rPr>
          <w:position w:val="7"/>
          <w:sz w:val="14"/>
        </w:rPr>
        <w:t>17</w:t>
      </w:r>
      <w:r w:rsidRPr="00EC20A0">
        <w:rPr>
          <w:sz w:val="18"/>
        </w:rPr>
        <w:t>The</w:t>
      </w:r>
      <w:r w:rsidRPr="00EC20A0">
        <w:rPr>
          <w:spacing w:val="-4"/>
          <w:sz w:val="18"/>
        </w:rPr>
        <w:t xml:space="preserve"> </w:t>
      </w:r>
      <w:r w:rsidRPr="00EC20A0">
        <w:rPr>
          <w:sz w:val="18"/>
        </w:rPr>
        <w:t>auditor</w:t>
      </w:r>
      <w:r w:rsidRPr="00EC20A0">
        <w:rPr>
          <w:spacing w:val="-3"/>
          <w:sz w:val="18"/>
        </w:rPr>
        <w:t xml:space="preserve"> </w:t>
      </w:r>
      <w:r w:rsidRPr="00EC20A0">
        <w:rPr>
          <w:sz w:val="18"/>
        </w:rPr>
        <w:t>may</w:t>
      </w:r>
      <w:r w:rsidRPr="00EC20A0">
        <w:rPr>
          <w:spacing w:val="-3"/>
          <w:sz w:val="18"/>
        </w:rPr>
        <w:t xml:space="preserve"> </w:t>
      </w:r>
      <w:r w:rsidRPr="00EC20A0">
        <w:rPr>
          <w:sz w:val="18"/>
        </w:rPr>
        <w:t>request</w:t>
      </w:r>
      <w:r w:rsidRPr="00EC20A0">
        <w:rPr>
          <w:spacing w:val="-3"/>
          <w:sz w:val="18"/>
        </w:rPr>
        <w:t xml:space="preserve"> </w:t>
      </w:r>
      <w:r w:rsidRPr="00EC20A0">
        <w:rPr>
          <w:sz w:val="18"/>
        </w:rPr>
        <w:t>that</w:t>
      </w:r>
      <w:r w:rsidRPr="00EC20A0">
        <w:rPr>
          <w:spacing w:val="-3"/>
          <w:sz w:val="18"/>
        </w:rPr>
        <w:t xml:space="preserve"> </w:t>
      </w:r>
      <w:r w:rsidRPr="00EC20A0">
        <w:rPr>
          <w:sz w:val="18"/>
        </w:rPr>
        <w:t>the</w:t>
      </w:r>
      <w:r w:rsidRPr="00EC20A0">
        <w:rPr>
          <w:spacing w:val="-4"/>
          <w:sz w:val="18"/>
        </w:rPr>
        <w:t xml:space="preserve"> </w:t>
      </w:r>
      <w:r w:rsidRPr="00EC20A0">
        <w:rPr>
          <w:sz w:val="18"/>
        </w:rPr>
        <w:t>users</w:t>
      </w:r>
      <w:r w:rsidRPr="00EC20A0">
        <w:rPr>
          <w:spacing w:val="-3"/>
          <w:sz w:val="18"/>
        </w:rPr>
        <w:t xml:space="preserve"> </w:t>
      </w:r>
      <w:r w:rsidRPr="00EC20A0">
        <w:rPr>
          <w:sz w:val="18"/>
        </w:rPr>
        <w:t>document</w:t>
      </w:r>
      <w:r w:rsidRPr="00EC20A0">
        <w:rPr>
          <w:spacing w:val="-3"/>
          <w:sz w:val="18"/>
        </w:rPr>
        <w:t xml:space="preserve"> </w:t>
      </w:r>
      <w:r w:rsidRPr="00EC20A0">
        <w:rPr>
          <w:sz w:val="18"/>
        </w:rPr>
        <w:t>their</w:t>
      </w:r>
      <w:r w:rsidRPr="00EC20A0">
        <w:rPr>
          <w:spacing w:val="-3"/>
          <w:sz w:val="18"/>
        </w:rPr>
        <w:t xml:space="preserve"> </w:t>
      </w:r>
      <w:r w:rsidRPr="00EC20A0">
        <w:rPr>
          <w:sz w:val="18"/>
        </w:rPr>
        <w:t>agreement</w:t>
      </w:r>
      <w:r w:rsidRPr="00EC20A0">
        <w:rPr>
          <w:spacing w:val="-3"/>
          <w:sz w:val="18"/>
        </w:rPr>
        <w:t xml:space="preserve"> </w:t>
      </w:r>
      <w:r w:rsidRPr="00EC20A0">
        <w:rPr>
          <w:sz w:val="18"/>
        </w:rPr>
        <w:t>with</w:t>
      </w:r>
      <w:r w:rsidRPr="00EC20A0">
        <w:rPr>
          <w:spacing w:val="-4"/>
          <w:sz w:val="18"/>
        </w:rPr>
        <w:t xml:space="preserve"> </w:t>
      </w:r>
      <w:r w:rsidRPr="00EC20A0">
        <w:rPr>
          <w:sz w:val="18"/>
        </w:rPr>
        <w:t>the</w:t>
      </w:r>
      <w:r w:rsidRPr="00EC20A0">
        <w:rPr>
          <w:spacing w:val="-2"/>
          <w:sz w:val="18"/>
        </w:rPr>
        <w:t xml:space="preserve"> </w:t>
      </w:r>
      <w:r w:rsidRPr="00EC20A0">
        <w:rPr>
          <w:sz w:val="18"/>
        </w:rPr>
        <w:t>procedures</w:t>
      </w:r>
      <w:r w:rsidRPr="00EC20A0">
        <w:rPr>
          <w:spacing w:val="-2"/>
          <w:sz w:val="18"/>
        </w:rPr>
        <w:t xml:space="preserve"> </w:t>
      </w:r>
      <w:r w:rsidRPr="00EC20A0">
        <w:rPr>
          <w:sz w:val="18"/>
        </w:rPr>
        <w:t>and</w:t>
      </w:r>
      <w:r w:rsidRPr="00EC20A0">
        <w:rPr>
          <w:spacing w:val="-4"/>
          <w:sz w:val="18"/>
        </w:rPr>
        <w:t xml:space="preserve"> </w:t>
      </w:r>
      <w:r w:rsidRPr="00EC20A0">
        <w:rPr>
          <w:sz w:val="18"/>
        </w:rPr>
        <w:t>their</w:t>
      </w:r>
      <w:r w:rsidRPr="00EC20A0">
        <w:rPr>
          <w:spacing w:val="-3"/>
          <w:sz w:val="18"/>
        </w:rPr>
        <w:t xml:space="preserve"> </w:t>
      </w:r>
      <w:r w:rsidRPr="00EC20A0">
        <w:rPr>
          <w:sz w:val="18"/>
        </w:rPr>
        <w:t xml:space="preserve">appropriateness for their purposes by signing the engagement letter and returning it to the </w:t>
      </w:r>
      <w:r w:rsidRPr="00EC20A0">
        <w:rPr>
          <w:sz w:val="18"/>
        </w:rPr>
        <w:t>auditor.</w:t>
      </w:r>
    </w:p>
    <w:p w14:paraId="24D60AA6" w14:textId="77777777" w:rsidR="00245300" w:rsidRPr="00EC20A0" w:rsidRDefault="00245300">
      <w:pPr>
        <w:spacing w:line="249" w:lineRule="auto"/>
        <w:rPr>
          <w:sz w:val="18"/>
        </w:rPr>
        <w:sectPr w:rsidR="00245300" w:rsidRPr="00EC20A0">
          <w:pgSz w:w="12240" w:h="15840"/>
          <w:pgMar w:top="1340" w:right="1140" w:bottom="940" w:left="1320" w:header="721" w:footer="757" w:gutter="0"/>
          <w:cols w:space="720"/>
        </w:sectPr>
      </w:pPr>
    </w:p>
    <w:p w14:paraId="24D60AA7" w14:textId="77777777" w:rsidR="00245300" w:rsidRPr="00EC20A0" w:rsidRDefault="00F17249">
      <w:pPr>
        <w:pStyle w:val="Heading3"/>
        <w:spacing w:before="360"/>
        <w:ind w:right="414"/>
        <w:rPr>
          <w:u w:val="none"/>
        </w:rPr>
      </w:pPr>
      <w:bookmarkStart w:id="160" w:name="710_B_–_Example_Representation_Letter_fr"/>
      <w:bookmarkStart w:id="161" w:name="_bookmark66"/>
      <w:bookmarkEnd w:id="160"/>
      <w:bookmarkEnd w:id="161"/>
      <w:r w:rsidRPr="00EC20A0">
        <w:t>710</w:t>
      </w:r>
      <w:r w:rsidRPr="00EC20A0">
        <w:rPr>
          <w:spacing w:val="-6"/>
        </w:rPr>
        <w:t xml:space="preserve"> </w:t>
      </w:r>
      <w:r w:rsidRPr="00EC20A0">
        <w:t>B</w:t>
      </w:r>
      <w:r w:rsidRPr="00EC20A0">
        <w:rPr>
          <w:spacing w:val="-5"/>
        </w:rPr>
        <w:t xml:space="preserve"> </w:t>
      </w:r>
      <w:r w:rsidRPr="00EC20A0">
        <w:t>–</w:t>
      </w:r>
      <w:r w:rsidRPr="00EC20A0">
        <w:rPr>
          <w:spacing w:val="-5"/>
        </w:rPr>
        <w:t xml:space="preserve"> </w:t>
      </w:r>
      <w:r w:rsidRPr="00EC20A0">
        <w:t>Example</w:t>
      </w:r>
      <w:r w:rsidRPr="00EC20A0">
        <w:rPr>
          <w:spacing w:val="-6"/>
        </w:rPr>
        <w:t xml:space="preserve"> </w:t>
      </w:r>
      <w:r w:rsidRPr="00EC20A0">
        <w:t>Representation</w:t>
      </w:r>
      <w:r w:rsidRPr="00EC20A0">
        <w:rPr>
          <w:spacing w:val="-6"/>
        </w:rPr>
        <w:t xml:space="preserve"> </w:t>
      </w:r>
      <w:r w:rsidRPr="00EC20A0">
        <w:t>Letter</w:t>
      </w:r>
      <w:r w:rsidRPr="00EC20A0">
        <w:rPr>
          <w:spacing w:val="-6"/>
        </w:rPr>
        <w:t xml:space="preserve"> </w:t>
      </w:r>
      <w:r w:rsidRPr="00EC20A0">
        <w:t>from</w:t>
      </w:r>
      <w:r w:rsidRPr="00EC20A0">
        <w:rPr>
          <w:spacing w:val="-6"/>
        </w:rPr>
        <w:t xml:space="preserve"> </w:t>
      </w:r>
      <w:r w:rsidRPr="00EC20A0">
        <w:t>Engaging</w:t>
      </w:r>
      <w:r w:rsidRPr="00EC20A0">
        <w:rPr>
          <w:spacing w:val="-5"/>
        </w:rPr>
        <w:t xml:space="preserve"> </w:t>
      </w:r>
      <w:r w:rsidRPr="00EC20A0">
        <w:t>Party</w:t>
      </w:r>
      <w:r w:rsidRPr="00EC20A0">
        <w:rPr>
          <w:u w:val="none"/>
        </w:rPr>
        <w:t xml:space="preserve"> </w:t>
      </w:r>
      <w:r w:rsidRPr="00EC20A0">
        <w:t>on Agreed-Upon Procedures Engagement</w:t>
      </w:r>
    </w:p>
    <w:p w14:paraId="24D60AA8" w14:textId="77777777" w:rsidR="00245300" w:rsidRPr="00EC20A0" w:rsidRDefault="00245300">
      <w:pPr>
        <w:pStyle w:val="BodyText"/>
        <w:spacing w:before="107"/>
        <w:rPr>
          <w:b/>
        </w:rPr>
      </w:pPr>
    </w:p>
    <w:p w14:paraId="24D60AA9" w14:textId="77777777" w:rsidR="00245300" w:rsidRPr="00166ADE" w:rsidRDefault="00F17249" w:rsidP="00166ADE">
      <w:pPr>
        <w:ind w:left="90"/>
        <w:rPr>
          <w:b/>
          <w:bCs/>
        </w:rPr>
      </w:pPr>
      <w:r w:rsidRPr="00166ADE">
        <w:rPr>
          <w:b/>
          <w:bCs/>
        </w:rPr>
        <w:t>[ABC Entity letterhead]</w:t>
      </w:r>
    </w:p>
    <w:p w14:paraId="24D60AAA" w14:textId="77777777" w:rsidR="00245300" w:rsidRPr="00EC20A0" w:rsidRDefault="00F17249">
      <w:pPr>
        <w:spacing w:before="240"/>
        <w:ind w:left="120"/>
        <w:rPr>
          <w:b/>
        </w:rPr>
      </w:pPr>
      <w:r w:rsidRPr="00EC20A0">
        <w:rPr>
          <w:b/>
        </w:rPr>
        <w:t>[Date</w:t>
      </w:r>
      <w:r w:rsidRPr="00EC20A0">
        <w:rPr>
          <w:b/>
          <w:spacing w:val="-5"/>
        </w:rPr>
        <w:t xml:space="preserve"> </w:t>
      </w:r>
      <w:r w:rsidRPr="00EC20A0">
        <w:rPr>
          <w:b/>
        </w:rPr>
        <w:t>(as</w:t>
      </w:r>
      <w:r w:rsidRPr="00EC20A0">
        <w:rPr>
          <w:b/>
          <w:spacing w:val="-4"/>
        </w:rPr>
        <w:t xml:space="preserve"> </w:t>
      </w:r>
      <w:r w:rsidRPr="00EC20A0">
        <w:rPr>
          <w:b/>
        </w:rPr>
        <w:t>of</w:t>
      </w:r>
      <w:r w:rsidRPr="00EC20A0">
        <w:rPr>
          <w:b/>
          <w:spacing w:val="-5"/>
        </w:rPr>
        <w:t xml:space="preserve"> </w:t>
      </w:r>
      <w:r w:rsidRPr="00EC20A0">
        <w:rPr>
          <w:b/>
        </w:rPr>
        <w:t>the</w:t>
      </w:r>
      <w:r w:rsidRPr="00EC20A0">
        <w:rPr>
          <w:b/>
          <w:spacing w:val="-4"/>
        </w:rPr>
        <w:t xml:space="preserve"> </w:t>
      </w:r>
      <w:r w:rsidRPr="00EC20A0">
        <w:rPr>
          <w:b/>
        </w:rPr>
        <w:t>date</w:t>
      </w:r>
      <w:r w:rsidRPr="00EC20A0">
        <w:rPr>
          <w:b/>
          <w:spacing w:val="-5"/>
        </w:rPr>
        <w:t xml:space="preserve"> </w:t>
      </w:r>
      <w:r w:rsidRPr="00EC20A0">
        <w:rPr>
          <w:b/>
        </w:rPr>
        <w:t>of</w:t>
      </w:r>
      <w:r w:rsidRPr="00EC20A0">
        <w:rPr>
          <w:b/>
          <w:spacing w:val="-4"/>
        </w:rPr>
        <w:t xml:space="preserve"> </w:t>
      </w:r>
      <w:r w:rsidRPr="00EC20A0">
        <w:rPr>
          <w:b/>
        </w:rPr>
        <w:t>the</w:t>
      </w:r>
      <w:r w:rsidRPr="00EC20A0">
        <w:rPr>
          <w:b/>
          <w:spacing w:val="-4"/>
        </w:rPr>
        <w:t xml:space="preserve"> </w:t>
      </w:r>
      <w:r w:rsidRPr="00EC20A0">
        <w:rPr>
          <w:b/>
        </w:rPr>
        <w:t>auditor’s</w:t>
      </w:r>
      <w:r w:rsidRPr="00EC20A0">
        <w:rPr>
          <w:b/>
          <w:spacing w:val="-5"/>
        </w:rPr>
        <w:t xml:space="preserve"> </w:t>
      </w:r>
      <w:r w:rsidRPr="00EC20A0">
        <w:rPr>
          <w:b/>
          <w:spacing w:val="-2"/>
        </w:rPr>
        <w:t>report)]</w:t>
      </w:r>
    </w:p>
    <w:p w14:paraId="24D60AAB" w14:textId="77777777" w:rsidR="00245300" w:rsidRPr="00EC20A0" w:rsidRDefault="00F17249">
      <w:pPr>
        <w:pStyle w:val="BodyText"/>
        <w:spacing w:before="240"/>
        <w:ind w:left="120"/>
      </w:pPr>
      <w:r w:rsidRPr="00EC20A0">
        <w:t>Dear</w:t>
      </w:r>
      <w:r w:rsidRPr="00EC20A0">
        <w:rPr>
          <w:spacing w:val="-6"/>
        </w:rPr>
        <w:t xml:space="preserve"> </w:t>
      </w:r>
      <w:r w:rsidRPr="00EC20A0">
        <w:rPr>
          <w:spacing w:val="-2"/>
        </w:rPr>
        <w:t>Auditor:</w:t>
      </w:r>
    </w:p>
    <w:p w14:paraId="24D60AAC" w14:textId="77777777" w:rsidR="00245300" w:rsidRPr="00EC20A0" w:rsidRDefault="00F17249">
      <w:pPr>
        <w:pStyle w:val="BodyText"/>
        <w:spacing w:before="239"/>
        <w:ind w:left="120" w:right="352"/>
      </w:pPr>
      <w:r w:rsidRPr="00EC20A0">
        <w:t xml:space="preserve">In connection with the agreed-upon </w:t>
      </w:r>
      <w:r w:rsidRPr="00EC20A0">
        <w:t>procedures engagement for XYZ Entity’s budget execution process for the period from October 1, 20XX, through September 30, 20XX, we confirm to the best</w:t>
      </w:r>
      <w:r w:rsidRPr="00EC20A0">
        <w:rPr>
          <w:spacing w:val="-3"/>
        </w:rPr>
        <w:t xml:space="preserve"> </w:t>
      </w:r>
      <w:r w:rsidRPr="00EC20A0">
        <w:t>of</w:t>
      </w:r>
      <w:r w:rsidRPr="00EC20A0">
        <w:rPr>
          <w:spacing w:val="-3"/>
        </w:rPr>
        <w:t xml:space="preserve"> </w:t>
      </w:r>
      <w:r w:rsidRPr="00EC20A0">
        <w:t>our</w:t>
      </w:r>
      <w:r w:rsidRPr="00EC20A0">
        <w:rPr>
          <w:spacing w:val="-3"/>
        </w:rPr>
        <w:t xml:space="preserve"> </w:t>
      </w:r>
      <w:r w:rsidRPr="00EC20A0">
        <w:t>knowledge</w:t>
      </w:r>
      <w:r w:rsidRPr="00EC20A0">
        <w:rPr>
          <w:spacing w:val="-3"/>
        </w:rPr>
        <w:t xml:space="preserve"> </w:t>
      </w:r>
      <w:r w:rsidRPr="00EC20A0">
        <w:t>and</w:t>
      </w:r>
      <w:r w:rsidRPr="00EC20A0">
        <w:rPr>
          <w:spacing w:val="-3"/>
        </w:rPr>
        <w:t xml:space="preserve"> </w:t>
      </w:r>
      <w:r w:rsidRPr="00EC20A0">
        <w:t>belief,</w:t>
      </w:r>
      <w:r w:rsidRPr="00EC20A0">
        <w:rPr>
          <w:spacing w:val="-3"/>
        </w:rPr>
        <w:t xml:space="preserve"> </w:t>
      </w:r>
      <w:r w:rsidRPr="00EC20A0">
        <w:t>the</w:t>
      </w:r>
      <w:r w:rsidRPr="00EC20A0">
        <w:rPr>
          <w:spacing w:val="-3"/>
        </w:rPr>
        <w:t xml:space="preserve"> </w:t>
      </w:r>
      <w:r w:rsidRPr="00EC20A0">
        <w:t>following</w:t>
      </w:r>
      <w:r w:rsidRPr="00EC20A0">
        <w:rPr>
          <w:spacing w:val="-3"/>
        </w:rPr>
        <w:t xml:space="preserve"> </w:t>
      </w:r>
      <w:r w:rsidRPr="00EC20A0">
        <w:t>representations</w:t>
      </w:r>
      <w:r w:rsidRPr="00EC20A0">
        <w:rPr>
          <w:spacing w:val="-3"/>
        </w:rPr>
        <w:t xml:space="preserve"> </w:t>
      </w:r>
      <w:r w:rsidRPr="00EC20A0">
        <w:t>made</w:t>
      </w:r>
      <w:r w:rsidRPr="00EC20A0">
        <w:rPr>
          <w:spacing w:val="-3"/>
        </w:rPr>
        <w:t xml:space="preserve"> </w:t>
      </w:r>
      <w:r w:rsidRPr="00EC20A0">
        <w:t>to</w:t>
      </w:r>
      <w:r w:rsidRPr="00EC20A0">
        <w:rPr>
          <w:spacing w:val="-3"/>
        </w:rPr>
        <w:t xml:space="preserve"> </w:t>
      </w:r>
      <w:r w:rsidRPr="00EC20A0">
        <w:t>you</w:t>
      </w:r>
      <w:r w:rsidRPr="00EC20A0">
        <w:rPr>
          <w:spacing w:val="-3"/>
        </w:rPr>
        <w:t xml:space="preserve"> </w:t>
      </w:r>
      <w:r w:rsidRPr="00EC20A0">
        <w:t>in</w:t>
      </w:r>
      <w:r w:rsidRPr="00EC20A0">
        <w:rPr>
          <w:spacing w:val="-3"/>
        </w:rPr>
        <w:t xml:space="preserve"> </w:t>
      </w:r>
      <w:r w:rsidRPr="00EC20A0">
        <w:t>performing</w:t>
      </w:r>
      <w:r w:rsidRPr="00EC20A0">
        <w:rPr>
          <w:spacing w:val="-3"/>
        </w:rPr>
        <w:t xml:space="preserve"> </w:t>
      </w:r>
      <w:r w:rsidRPr="00EC20A0">
        <w:t xml:space="preserve">these </w:t>
      </w:r>
      <w:r w:rsidRPr="00EC20A0">
        <w:t>agreed-upon procedures.</w:t>
      </w:r>
    </w:p>
    <w:p w14:paraId="24D60AAD" w14:textId="77777777" w:rsidR="00245300" w:rsidRPr="00EC20A0" w:rsidRDefault="00F17249">
      <w:pPr>
        <w:pStyle w:val="ListParagraph"/>
        <w:numPr>
          <w:ilvl w:val="0"/>
          <w:numId w:val="10"/>
        </w:numPr>
        <w:tabs>
          <w:tab w:val="left" w:pos="479"/>
        </w:tabs>
        <w:ind w:hanging="269"/>
      </w:pPr>
      <w:r w:rsidRPr="00EC20A0">
        <w:t>We</w:t>
      </w:r>
      <w:r w:rsidRPr="00EC20A0">
        <w:rPr>
          <w:spacing w:val="-7"/>
        </w:rPr>
        <w:t xml:space="preserve"> </w:t>
      </w:r>
      <w:r w:rsidRPr="00EC20A0">
        <w:t>acknowledge</w:t>
      </w:r>
      <w:r w:rsidRPr="00EC20A0">
        <w:rPr>
          <w:spacing w:val="-6"/>
        </w:rPr>
        <w:t xml:space="preserve"> </w:t>
      </w:r>
      <w:r w:rsidRPr="00EC20A0">
        <w:t>that</w:t>
      </w:r>
      <w:r w:rsidRPr="00EC20A0">
        <w:rPr>
          <w:spacing w:val="-7"/>
        </w:rPr>
        <w:t xml:space="preserve"> </w:t>
      </w:r>
      <w:r w:rsidRPr="00EC20A0">
        <w:t>XYZ</w:t>
      </w:r>
      <w:r w:rsidRPr="00EC20A0">
        <w:rPr>
          <w:spacing w:val="-6"/>
        </w:rPr>
        <w:t xml:space="preserve"> </w:t>
      </w:r>
      <w:r w:rsidRPr="00EC20A0">
        <w:t>Entity</w:t>
      </w:r>
      <w:r w:rsidRPr="00EC20A0">
        <w:rPr>
          <w:spacing w:val="-7"/>
        </w:rPr>
        <w:t xml:space="preserve"> </w:t>
      </w:r>
      <w:r w:rsidRPr="00EC20A0">
        <w:t>is</w:t>
      </w:r>
      <w:r w:rsidRPr="00EC20A0">
        <w:rPr>
          <w:spacing w:val="-7"/>
        </w:rPr>
        <w:t xml:space="preserve"> </w:t>
      </w:r>
      <w:r w:rsidRPr="00EC20A0">
        <w:t>responsible</w:t>
      </w:r>
      <w:r w:rsidRPr="00EC20A0">
        <w:rPr>
          <w:spacing w:val="-7"/>
        </w:rPr>
        <w:t xml:space="preserve"> </w:t>
      </w:r>
      <w:r w:rsidRPr="00EC20A0">
        <w:t>for</w:t>
      </w:r>
      <w:r w:rsidRPr="00EC20A0">
        <w:rPr>
          <w:spacing w:val="-7"/>
        </w:rPr>
        <w:t xml:space="preserve"> </w:t>
      </w:r>
      <w:r w:rsidRPr="00EC20A0">
        <w:t>the</w:t>
      </w:r>
      <w:r w:rsidRPr="00EC20A0">
        <w:rPr>
          <w:spacing w:val="-6"/>
        </w:rPr>
        <w:t xml:space="preserve"> </w:t>
      </w:r>
      <w:r w:rsidRPr="00EC20A0">
        <w:t>budget</w:t>
      </w:r>
      <w:r w:rsidRPr="00EC20A0">
        <w:rPr>
          <w:spacing w:val="-6"/>
        </w:rPr>
        <w:t xml:space="preserve"> </w:t>
      </w:r>
      <w:r w:rsidRPr="00EC20A0">
        <w:t>execution</w:t>
      </w:r>
      <w:r w:rsidRPr="00EC20A0">
        <w:rPr>
          <w:spacing w:val="-8"/>
        </w:rPr>
        <w:t xml:space="preserve"> </w:t>
      </w:r>
      <w:r w:rsidRPr="00EC20A0">
        <w:rPr>
          <w:spacing w:val="-2"/>
        </w:rPr>
        <w:t>process.</w:t>
      </w:r>
    </w:p>
    <w:p w14:paraId="24D60AAE" w14:textId="77777777" w:rsidR="00245300" w:rsidRPr="00EC20A0" w:rsidRDefault="00F17249">
      <w:pPr>
        <w:pStyle w:val="ListParagraph"/>
        <w:numPr>
          <w:ilvl w:val="0"/>
          <w:numId w:val="10"/>
        </w:numPr>
        <w:tabs>
          <w:tab w:val="left" w:pos="479"/>
        </w:tabs>
        <w:spacing w:before="238"/>
        <w:ind w:right="1644"/>
      </w:pPr>
      <w:r w:rsidRPr="00EC20A0">
        <w:t>We</w:t>
      </w:r>
      <w:r w:rsidRPr="00EC20A0">
        <w:rPr>
          <w:spacing w:val="-4"/>
        </w:rPr>
        <w:t xml:space="preserve"> </w:t>
      </w:r>
      <w:r w:rsidRPr="00EC20A0">
        <w:t>have</w:t>
      </w:r>
      <w:r w:rsidRPr="00EC20A0">
        <w:rPr>
          <w:spacing w:val="-4"/>
        </w:rPr>
        <w:t xml:space="preserve"> </w:t>
      </w:r>
      <w:r w:rsidRPr="00EC20A0">
        <w:t>obtained</w:t>
      </w:r>
      <w:r w:rsidRPr="00EC20A0">
        <w:rPr>
          <w:spacing w:val="-4"/>
        </w:rPr>
        <w:t xml:space="preserve"> </w:t>
      </w:r>
      <w:r w:rsidRPr="00EC20A0">
        <w:t>from</w:t>
      </w:r>
      <w:r w:rsidRPr="00EC20A0">
        <w:rPr>
          <w:spacing w:val="-5"/>
        </w:rPr>
        <w:t xml:space="preserve"> </w:t>
      </w:r>
      <w:r w:rsidRPr="00EC20A0">
        <w:t>all</w:t>
      </w:r>
      <w:r w:rsidRPr="00EC20A0">
        <w:rPr>
          <w:spacing w:val="-4"/>
        </w:rPr>
        <w:t xml:space="preserve"> </w:t>
      </w:r>
      <w:r w:rsidRPr="00EC20A0">
        <w:t>necessary</w:t>
      </w:r>
      <w:r w:rsidRPr="00EC20A0">
        <w:rPr>
          <w:spacing w:val="-4"/>
        </w:rPr>
        <w:t xml:space="preserve"> </w:t>
      </w:r>
      <w:r w:rsidRPr="00EC20A0">
        <w:t>parties</w:t>
      </w:r>
      <w:r w:rsidRPr="00EC20A0">
        <w:rPr>
          <w:spacing w:val="-4"/>
        </w:rPr>
        <w:t xml:space="preserve"> </w:t>
      </w:r>
      <w:r w:rsidRPr="00EC20A0">
        <w:t>agreement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procedures</w:t>
      </w:r>
      <w:r w:rsidRPr="00EC20A0">
        <w:rPr>
          <w:spacing w:val="-4"/>
        </w:rPr>
        <w:t xml:space="preserve"> </w:t>
      </w:r>
      <w:r w:rsidRPr="00EC20A0">
        <w:t>and acknowledgment that the procedures are appropriate for their purposes.</w:t>
      </w:r>
    </w:p>
    <w:p w14:paraId="24D60AAF" w14:textId="77777777" w:rsidR="00245300" w:rsidRPr="00EC20A0" w:rsidRDefault="00F17249">
      <w:pPr>
        <w:pStyle w:val="ListParagraph"/>
        <w:numPr>
          <w:ilvl w:val="0"/>
          <w:numId w:val="10"/>
        </w:numPr>
        <w:tabs>
          <w:tab w:val="left" w:pos="479"/>
        </w:tabs>
        <w:spacing w:before="239"/>
        <w:ind w:right="431"/>
      </w:pPr>
      <w:r w:rsidRPr="00EC20A0">
        <w:t>We know of no matters that would contradict our understanding of XYZ Entity’s budget execution</w:t>
      </w:r>
      <w:r w:rsidRPr="00EC20A0">
        <w:rPr>
          <w:spacing w:val="-4"/>
        </w:rPr>
        <w:t xml:space="preserve"> </w:t>
      </w:r>
      <w:r w:rsidRPr="00EC20A0">
        <w:t>process,</w:t>
      </w:r>
      <w:r w:rsidRPr="00EC20A0">
        <w:rPr>
          <w:spacing w:val="-4"/>
        </w:rPr>
        <w:t xml:space="preserve"> </w:t>
      </w:r>
      <w:r w:rsidRPr="00EC20A0">
        <w:t>including</w:t>
      </w:r>
      <w:r w:rsidRPr="00EC20A0">
        <w:rPr>
          <w:spacing w:val="-4"/>
        </w:rPr>
        <w:t xml:space="preserve"> </w:t>
      </w:r>
      <w:r w:rsidRPr="00EC20A0">
        <w:t>matters</w:t>
      </w:r>
      <w:r w:rsidRPr="00EC20A0">
        <w:rPr>
          <w:spacing w:val="-4"/>
        </w:rPr>
        <w:t xml:space="preserve"> </w:t>
      </w:r>
      <w:r w:rsidRPr="00EC20A0">
        <w:t>occurring</w:t>
      </w:r>
      <w:r w:rsidRPr="00EC20A0">
        <w:rPr>
          <w:spacing w:val="-4"/>
        </w:rPr>
        <w:t xml:space="preserve"> </w:t>
      </w:r>
      <w:r w:rsidRPr="00EC20A0">
        <w:t>between</w:t>
      </w:r>
      <w:r w:rsidRPr="00EC20A0">
        <w:rPr>
          <w:spacing w:val="-4"/>
        </w:rPr>
        <w:t xml:space="preserve"> </w:t>
      </w:r>
      <w:r w:rsidRPr="00EC20A0">
        <w:t>September</w:t>
      </w:r>
      <w:r w:rsidRPr="00EC20A0">
        <w:rPr>
          <w:spacing w:val="-4"/>
        </w:rPr>
        <w:t xml:space="preserve"> </w:t>
      </w:r>
      <w:r w:rsidRPr="00EC20A0">
        <w:t>30,</w:t>
      </w:r>
      <w:r w:rsidRPr="00EC20A0">
        <w:rPr>
          <w:spacing w:val="-4"/>
        </w:rPr>
        <w:t xml:space="preserve"> </w:t>
      </w:r>
      <w:r w:rsidRPr="00EC20A0">
        <w:t>20XX,</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date of the auditor’s report.</w:t>
      </w:r>
    </w:p>
    <w:p w14:paraId="24D60AB0" w14:textId="77777777" w:rsidR="00245300" w:rsidRPr="00EC20A0" w:rsidRDefault="00F17249">
      <w:pPr>
        <w:pStyle w:val="ListParagraph"/>
        <w:numPr>
          <w:ilvl w:val="0"/>
          <w:numId w:val="10"/>
        </w:numPr>
        <w:tabs>
          <w:tab w:val="left" w:pos="479"/>
        </w:tabs>
        <w:spacing w:before="238"/>
        <w:ind w:right="362"/>
      </w:pPr>
      <w:r w:rsidRPr="00EC20A0">
        <w:t>There</w:t>
      </w:r>
      <w:r w:rsidRPr="00EC20A0">
        <w:rPr>
          <w:spacing w:val="-4"/>
        </w:rPr>
        <w:t xml:space="preserve"> </w:t>
      </w:r>
      <w:r w:rsidRPr="00EC20A0">
        <w:t>have</w:t>
      </w:r>
      <w:r w:rsidRPr="00EC20A0">
        <w:rPr>
          <w:spacing w:val="-5"/>
        </w:rPr>
        <w:t xml:space="preserve"> </w:t>
      </w:r>
      <w:r w:rsidRPr="00EC20A0">
        <w:t>been</w:t>
      </w:r>
      <w:r w:rsidRPr="00EC20A0">
        <w:rPr>
          <w:spacing w:val="-4"/>
        </w:rPr>
        <w:t xml:space="preserve"> </w:t>
      </w:r>
      <w:r w:rsidRPr="00EC20A0">
        <w:t>no</w:t>
      </w:r>
      <w:r w:rsidRPr="00EC20A0">
        <w:rPr>
          <w:spacing w:val="-4"/>
        </w:rPr>
        <w:t xml:space="preserve"> </w:t>
      </w:r>
      <w:r w:rsidRPr="00EC20A0">
        <w:t>communications</w:t>
      </w:r>
      <w:r w:rsidRPr="00EC20A0">
        <w:rPr>
          <w:spacing w:val="-4"/>
        </w:rPr>
        <w:t xml:space="preserve"> </w:t>
      </w:r>
      <w:r w:rsidRPr="00EC20A0">
        <w:t>from</w:t>
      </w:r>
      <w:r w:rsidRPr="00EC20A0">
        <w:rPr>
          <w:spacing w:val="-5"/>
        </w:rPr>
        <w:t xml:space="preserve"> </w:t>
      </w:r>
      <w:r w:rsidRPr="00EC20A0">
        <w:t>regulatory</w:t>
      </w:r>
      <w:r w:rsidRPr="00EC20A0">
        <w:rPr>
          <w:spacing w:val="-4"/>
        </w:rPr>
        <w:t xml:space="preserve"> </w:t>
      </w:r>
      <w:r w:rsidRPr="00EC20A0">
        <w:t>or</w:t>
      </w:r>
      <w:r w:rsidRPr="00EC20A0">
        <w:rPr>
          <w:spacing w:val="-4"/>
        </w:rPr>
        <w:t xml:space="preserve"> </w:t>
      </w:r>
      <w:r w:rsidRPr="00EC20A0">
        <w:t>oversight</w:t>
      </w:r>
      <w:r w:rsidRPr="00EC20A0">
        <w:rPr>
          <w:spacing w:val="-4"/>
        </w:rPr>
        <w:t xml:space="preserve"> </w:t>
      </w:r>
      <w:r w:rsidRPr="00EC20A0">
        <w:t>agencies</w:t>
      </w:r>
      <w:r w:rsidRPr="00EC20A0">
        <w:rPr>
          <w:spacing w:val="-4"/>
        </w:rPr>
        <w:t xml:space="preserve"> </w:t>
      </w:r>
      <w:r w:rsidRPr="00EC20A0">
        <w:t>concerning</w:t>
      </w:r>
      <w:r w:rsidRPr="00EC20A0">
        <w:rPr>
          <w:spacing w:val="-4"/>
        </w:rPr>
        <w:t xml:space="preserve"> </w:t>
      </w:r>
      <w:r w:rsidRPr="00EC20A0">
        <w:t xml:space="preserve">XYZ Entity’s budget execution process or noncompliance with budgetary laws or the </w:t>
      </w:r>
      <w:proofErr w:type="spellStart"/>
      <w:r w:rsidRPr="00EC20A0">
        <w:t>Antideficiency</w:t>
      </w:r>
      <w:proofErr w:type="spellEnd"/>
      <w:r w:rsidRPr="00EC20A0">
        <w:t xml:space="preserve"> Act, including communications received between September 30, 20XX, and the date of the auditor’s report.</w:t>
      </w:r>
    </w:p>
    <w:p w14:paraId="24D60AB1" w14:textId="77777777" w:rsidR="00245300" w:rsidRPr="00EC20A0" w:rsidRDefault="00F17249">
      <w:pPr>
        <w:pStyle w:val="ListParagraph"/>
        <w:numPr>
          <w:ilvl w:val="0"/>
          <w:numId w:val="10"/>
        </w:numPr>
        <w:tabs>
          <w:tab w:val="left" w:pos="479"/>
        </w:tabs>
        <w:spacing w:before="238"/>
        <w:ind w:right="1019"/>
      </w:pPr>
      <w:r w:rsidRPr="00EC20A0">
        <w:t>We</w:t>
      </w:r>
      <w:r w:rsidRPr="00EC20A0">
        <w:rPr>
          <w:spacing w:val="-3"/>
        </w:rPr>
        <w:t xml:space="preserve"> </w:t>
      </w:r>
      <w:r w:rsidRPr="00EC20A0">
        <w:t>have</w:t>
      </w:r>
      <w:r w:rsidRPr="00EC20A0">
        <w:rPr>
          <w:spacing w:val="-3"/>
        </w:rPr>
        <w:t xml:space="preserve"> </w:t>
      </w:r>
      <w:r w:rsidRPr="00EC20A0">
        <w:t>made</w:t>
      </w:r>
      <w:r w:rsidRPr="00EC20A0">
        <w:rPr>
          <w:spacing w:val="-3"/>
        </w:rPr>
        <w:t xml:space="preserve"> </w:t>
      </w:r>
      <w:r w:rsidRPr="00EC20A0">
        <w:t>available</w:t>
      </w:r>
      <w:r w:rsidRPr="00EC20A0">
        <w:rPr>
          <w:spacing w:val="-3"/>
        </w:rPr>
        <w:t xml:space="preserve"> </w:t>
      </w:r>
      <w:r w:rsidRPr="00EC20A0">
        <w:t>to</w:t>
      </w:r>
      <w:r w:rsidRPr="00EC20A0">
        <w:rPr>
          <w:spacing w:val="-3"/>
        </w:rPr>
        <w:t xml:space="preserve"> </w:t>
      </w:r>
      <w:r w:rsidRPr="00EC20A0">
        <w:t>you</w:t>
      </w:r>
      <w:r w:rsidRPr="00EC20A0">
        <w:rPr>
          <w:spacing w:val="-3"/>
        </w:rPr>
        <w:t xml:space="preserve"> </w:t>
      </w:r>
      <w:r w:rsidRPr="00EC20A0">
        <w:t>all</w:t>
      </w:r>
      <w:r w:rsidRPr="00EC20A0">
        <w:rPr>
          <w:spacing w:val="-3"/>
        </w:rPr>
        <w:t xml:space="preserve"> </w:t>
      </w:r>
      <w:r w:rsidRPr="00EC20A0">
        <w:t>relevant</w:t>
      </w:r>
      <w:r w:rsidRPr="00EC20A0">
        <w:rPr>
          <w:spacing w:val="-3"/>
        </w:rPr>
        <w:t xml:space="preserve"> </w:t>
      </w:r>
      <w:r w:rsidRPr="00EC20A0">
        <w:t>information</w:t>
      </w:r>
      <w:r w:rsidRPr="00EC20A0">
        <w:rPr>
          <w:spacing w:val="-3"/>
        </w:rPr>
        <w:t xml:space="preserve"> </w:t>
      </w:r>
      <w:r w:rsidRPr="00EC20A0">
        <w:t>and</w:t>
      </w:r>
      <w:r w:rsidRPr="00EC20A0">
        <w:rPr>
          <w:spacing w:val="-3"/>
        </w:rPr>
        <w:t xml:space="preserve"> </w:t>
      </w:r>
      <w:r w:rsidRPr="00EC20A0">
        <w:t>access</w:t>
      </w:r>
      <w:r w:rsidRPr="00EC20A0">
        <w:rPr>
          <w:spacing w:val="-2"/>
        </w:rPr>
        <w:t xml:space="preserve"> </w:t>
      </w:r>
      <w:r w:rsidRPr="00EC20A0">
        <w:t>pertaining</w:t>
      </w:r>
      <w:r w:rsidRPr="00EC20A0">
        <w:rPr>
          <w:spacing w:val="-3"/>
        </w:rPr>
        <w:t xml:space="preserve"> </w:t>
      </w:r>
      <w:r w:rsidRPr="00EC20A0">
        <w:t>to</w:t>
      </w:r>
      <w:r w:rsidRPr="00EC20A0">
        <w:rPr>
          <w:spacing w:val="-3"/>
        </w:rPr>
        <w:t xml:space="preserve"> </w:t>
      </w:r>
      <w:r w:rsidRPr="00EC20A0">
        <w:t>XYZ Entity’s budget execution process during the period from October 1, 20XX, through September 30, 20XX, as agreed upon in the terms of the engagement.</w:t>
      </w:r>
    </w:p>
    <w:p w14:paraId="24D60AB2" w14:textId="77777777" w:rsidR="00245300" w:rsidRPr="00EC20A0" w:rsidRDefault="00F17249">
      <w:pPr>
        <w:pStyle w:val="ListParagraph"/>
        <w:numPr>
          <w:ilvl w:val="0"/>
          <w:numId w:val="10"/>
        </w:numPr>
        <w:tabs>
          <w:tab w:val="left" w:pos="480"/>
        </w:tabs>
        <w:spacing w:before="238"/>
        <w:ind w:left="480" w:right="701"/>
      </w:pPr>
      <w:r w:rsidRPr="00EC20A0">
        <w:t>We</w:t>
      </w:r>
      <w:r w:rsidRPr="00EC20A0">
        <w:rPr>
          <w:spacing w:val="-3"/>
        </w:rPr>
        <w:t xml:space="preserve"> </w:t>
      </w:r>
      <w:r w:rsidRPr="00EC20A0">
        <w:t>are</w:t>
      </w:r>
      <w:r w:rsidRPr="00EC20A0">
        <w:rPr>
          <w:spacing w:val="-3"/>
        </w:rPr>
        <w:t xml:space="preserve"> </w:t>
      </w:r>
      <w:r w:rsidRPr="00EC20A0">
        <w:t>not</w:t>
      </w:r>
      <w:r w:rsidRPr="00EC20A0">
        <w:rPr>
          <w:spacing w:val="-3"/>
        </w:rPr>
        <w:t xml:space="preserve"> </w:t>
      </w:r>
      <w:r w:rsidRPr="00EC20A0">
        <w:t>aware</w:t>
      </w:r>
      <w:r w:rsidRPr="00EC20A0">
        <w:rPr>
          <w:spacing w:val="-3"/>
        </w:rPr>
        <w:t xml:space="preserve"> </w:t>
      </w:r>
      <w:r w:rsidRPr="00EC20A0">
        <w:t>of</w:t>
      </w:r>
      <w:r w:rsidRPr="00EC20A0">
        <w:rPr>
          <w:spacing w:val="-3"/>
        </w:rPr>
        <w:t xml:space="preserve"> </w:t>
      </w:r>
      <w:r w:rsidRPr="00EC20A0">
        <w:t>any</w:t>
      </w:r>
      <w:r w:rsidRPr="00EC20A0">
        <w:rPr>
          <w:spacing w:val="-3"/>
        </w:rPr>
        <w:t xml:space="preserve"> </w:t>
      </w:r>
      <w:r w:rsidRPr="00EC20A0">
        <w:t>material</w:t>
      </w:r>
      <w:r w:rsidRPr="00EC20A0">
        <w:rPr>
          <w:spacing w:val="-3"/>
        </w:rPr>
        <w:t xml:space="preserve"> </w:t>
      </w:r>
      <w:r w:rsidRPr="00EC20A0">
        <w:t>misstatement</w:t>
      </w:r>
      <w:r w:rsidRPr="00EC20A0">
        <w:rPr>
          <w:spacing w:val="-4"/>
        </w:rPr>
        <w:t xml:space="preserve"> </w:t>
      </w:r>
      <w:r w:rsidRPr="00EC20A0">
        <w:t>regarding</w:t>
      </w:r>
      <w:r w:rsidRPr="00EC20A0">
        <w:rPr>
          <w:spacing w:val="-3"/>
        </w:rPr>
        <w:t xml:space="preserve"> </w:t>
      </w:r>
      <w:r w:rsidRPr="00EC20A0">
        <w:t>XYZ</w:t>
      </w:r>
      <w:r w:rsidRPr="00EC20A0">
        <w:rPr>
          <w:spacing w:val="-3"/>
        </w:rPr>
        <w:t xml:space="preserve"> </w:t>
      </w:r>
      <w:r w:rsidRPr="00EC20A0">
        <w:t>Entity’s</w:t>
      </w:r>
      <w:r w:rsidRPr="00EC20A0">
        <w:rPr>
          <w:spacing w:val="-4"/>
        </w:rPr>
        <w:t xml:space="preserve"> </w:t>
      </w:r>
      <w:r w:rsidRPr="00EC20A0">
        <w:t>budget</w:t>
      </w:r>
      <w:r w:rsidRPr="00EC20A0">
        <w:rPr>
          <w:spacing w:val="-3"/>
        </w:rPr>
        <w:t xml:space="preserve"> </w:t>
      </w:r>
      <w:r w:rsidRPr="00EC20A0">
        <w:t xml:space="preserve">execution </w:t>
      </w:r>
      <w:r w:rsidRPr="00EC20A0">
        <w:rPr>
          <w:spacing w:val="-2"/>
        </w:rPr>
        <w:t>process.</w:t>
      </w:r>
    </w:p>
    <w:p w14:paraId="24D60AB3" w14:textId="77777777" w:rsidR="00245300" w:rsidRPr="00EC20A0" w:rsidRDefault="00F17249">
      <w:pPr>
        <w:pStyle w:val="ListParagraph"/>
        <w:numPr>
          <w:ilvl w:val="0"/>
          <w:numId w:val="10"/>
        </w:numPr>
        <w:tabs>
          <w:tab w:val="left" w:pos="480"/>
        </w:tabs>
        <w:spacing w:before="238"/>
        <w:ind w:left="480" w:right="406"/>
      </w:pPr>
      <w:r w:rsidRPr="00EC20A0">
        <w:t>We</w:t>
      </w:r>
      <w:r w:rsidRPr="00EC20A0">
        <w:rPr>
          <w:spacing w:val="-3"/>
        </w:rPr>
        <w:t xml:space="preserve"> </w:t>
      </w:r>
      <w:r w:rsidRPr="00EC20A0">
        <w:t>have</w:t>
      </w:r>
      <w:r w:rsidRPr="00EC20A0">
        <w:rPr>
          <w:spacing w:val="-3"/>
        </w:rPr>
        <w:t xml:space="preserve"> </w:t>
      </w:r>
      <w:r w:rsidRPr="00EC20A0">
        <w:t>disclosed</w:t>
      </w:r>
      <w:r w:rsidRPr="00EC20A0">
        <w:rPr>
          <w:spacing w:val="-3"/>
        </w:rPr>
        <w:t xml:space="preserve"> </w:t>
      </w:r>
      <w:r w:rsidRPr="00EC20A0">
        <w:t>to</w:t>
      </w:r>
      <w:r w:rsidRPr="00EC20A0">
        <w:rPr>
          <w:spacing w:val="-4"/>
        </w:rPr>
        <w:t xml:space="preserve"> </w:t>
      </w:r>
      <w:r w:rsidRPr="00EC20A0">
        <w:t>you</w:t>
      </w:r>
      <w:r w:rsidRPr="00EC20A0">
        <w:rPr>
          <w:spacing w:val="-3"/>
        </w:rPr>
        <w:t xml:space="preserve"> </w:t>
      </w:r>
      <w:r w:rsidRPr="00EC20A0">
        <w:t>all</w:t>
      </w:r>
      <w:r w:rsidRPr="00EC20A0">
        <w:rPr>
          <w:spacing w:val="-3"/>
        </w:rPr>
        <w:t xml:space="preserve"> </w:t>
      </w:r>
      <w:r w:rsidRPr="00EC20A0">
        <w:t>known</w:t>
      </w:r>
      <w:r w:rsidRPr="00EC20A0">
        <w:rPr>
          <w:spacing w:val="-4"/>
        </w:rPr>
        <w:t xml:space="preserve"> </w:t>
      </w:r>
      <w:r w:rsidRPr="00EC20A0">
        <w:t>events</w:t>
      </w:r>
      <w:r w:rsidRPr="00EC20A0">
        <w:rPr>
          <w:spacing w:val="-3"/>
        </w:rPr>
        <w:t xml:space="preserve"> </w:t>
      </w:r>
      <w:r w:rsidRPr="00EC20A0">
        <w:t>subsequent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period</w:t>
      </w:r>
      <w:r w:rsidRPr="00EC20A0">
        <w:rPr>
          <w:spacing w:val="-3"/>
        </w:rPr>
        <w:t xml:space="preserve"> </w:t>
      </w:r>
      <w:r w:rsidRPr="00EC20A0">
        <w:t>being</w:t>
      </w:r>
      <w:r w:rsidRPr="00EC20A0">
        <w:rPr>
          <w:spacing w:val="-2"/>
        </w:rPr>
        <w:t xml:space="preserve"> </w:t>
      </w:r>
      <w:r w:rsidRPr="00EC20A0">
        <w:t>reported</w:t>
      </w:r>
      <w:r w:rsidRPr="00EC20A0">
        <w:rPr>
          <w:spacing w:val="-3"/>
        </w:rPr>
        <w:t xml:space="preserve"> </w:t>
      </w:r>
      <w:r w:rsidRPr="00EC20A0">
        <w:t>on</w:t>
      </w:r>
      <w:r w:rsidRPr="00EC20A0">
        <w:rPr>
          <w:spacing w:val="-3"/>
        </w:rPr>
        <w:t xml:space="preserve"> </w:t>
      </w:r>
      <w:r w:rsidRPr="00EC20A0">
        <w:t>that would have a material effect on XYZ Entity’s budget execution process.</w:t>
      </w:r>
    </w:p>
    <w:p w14:paraId="24D60AB4" w14:textId="77777777" w:rsidR="00245300" w:rsidRDefault="00F17249">
      <w:pPr>
        <w:pStyle w:val="BodyText"/>
        <w:spacing w:before="239"/>
        <w:ind w:left="120"/>
        <w:rPr>
          <w:spacing w:val="-2"/>
        </w:rPr>
      </w:pPr>
      <w:r w:rsidRPr="00EC20A0">
        <w:rPr>
          <w:spacing w:val="-2"/>
        </w:rPr>
        <w:t>Sincerely,</w:t>
      </w:r>
    </w:p>
    <w:p w14:paraId="2D586A68" w14:textId="77777777" w:rsidR="00166ADE" w:rsidRPr="00EC20A0" w:rsidRDefault="00166ADE">
      <w:pPr>
        <w:pStyle w:val="BodyText"/>
        <w:spacing w:before="239"/>
        <w:ind w:left="120"/>
      </w:pPr>
    </w:p>
    <w:p w14:paraId="24D60AB5" w14:textId="77777777" w:rsidR="00245300" w:rsidRPr="00166ADE" w:rsidRDefault="00F17249" w:rsidP="00166ADE">
      <w:pPr>
        <w:ind w:left="90"/>
        <w:rPr>
          <w:b/>
          <w:bCs/>
        </w:rPr>
      </w:pPr>
      <w:r w:rsidRPr="00166ADE">
        <w:rPr>
          <w:b/>
          <w:bCs/>
        </w:rPr>
        <w:t>[signed]</w:t>
      </w:r>
    </w:p>
    <w:p w14:paraId="24D60AB6" w14:textId="77777777" w:rsidR="00245300" w:rsidRPr="00EC20A0" w:rsidRDefault="00F17249">
      <w:pPr>
        <w:spacing w:before="240"/>
        <w:ind w:left="120" w:right="7920" w:hanging="1"/>
      </w:pPr>
      <w:r w:rsidRPr="00EC20A0">
        <w:rPr>
          <w:b/>
        </w:rPr>
        <w:t>[Official’s</w:t>
      </w:r>
      <w:r w:rsidRPr="00EC20A0">
        <w:rPr>
          <w:b/>
          <w:spacing w:val="-16"/>
        </w:rPr>
        <w:t xml:space="preserve"> </w:t>
      </w:r>
      <w:r w:rsidRPr="00EC20A0">
        <w:rPr>
          <w:b/>
        </w:rPr>
        <w:t xml:space="preserve">Name] [Official’s Title] </w:t>
      </w:r>
      <w:r w:rsidRPr="00EC20A0">
        <w:t>ABC Entity</w:t>
      </w:r>
    </w:p>
    <w:p w14:paraId="24D60AB7" w14:textId="77777777" w:rsidR="00245300" w:rsidRPr="00EC20A0" w:rsidRDefault="00245300">
      <w:pPr>
        <w:sectPr w:rsidR="00245300" w:rsidRPr="00EC20A0">
          <w:headerReference w:type="default" r:id="rId74"/>
          <w:footerReference w:type="default" r:id="rId75"/>
          <w:pgSz w:w="12240" w:h="15840"/>
          <w:pgMar w:top="1600" w:right="1140" w:bottom="940" w:left="1320" w:header="721" w:footer="757" w:gutter="0"/>
          <w:cols w:space="720"/>
        </w:sectPr>
      </w:pPr>
    </w:p>
    <w:p w14:paraId="24D60AB8" w14:textId="77777777" w:rsidR="00245300" w:rsidRPr="00EC20A0" w:rsidRDefault="00F17249">
      <w:pPr>
        <w:pStyle w:val="Heading3"/>
        <w:spacing w:before="240"/>
        <w:ind w:right="380"/>
        <w:rPr>
          <w:u w:val="none"/>
        </w:rPr>
      </w:pPr>
      <w:bookmarkStart w:id="162" w:name="710_C_–_Example_Representation_Letter_fr"/>
      <w:bookmarkStart w:id="163" w:name="_bookmark67"/>
      <w:bookmarkEnd w:id="162"/>
      <w:bookmarkEnd w:id="163"/>
      <w:r w:rsidRPr="00EC20A0">
        <w:t>710</w:t>
      </w:r>
      <w:r w:rsidRPr="00EC20A0">
        <w:rPr>
          <w:spacing w:val="-6"/>
        </w:rPr>
        <w:t xml:space="preserve"> </w:t>
      </w:r>
      <w:r w:rsidRPr="00EC20A0">
        <w:t>C</w:t>
      </w:r>
      <w:r w:rsidRPr="00EC20A0">
        <w:rPr>
          <w:spacing w:val="-5"/>
        </w:rPr>
        <w:t xml:space="preserve"> </w:t>
      </w:r>
      <w:r w:rsidRPr="00EC20A0">
        <w:t>–</w:t>
      </w:r>
      <w:r w:rsidRPr="00EC20A0">
        <w:rPr>
          <w:spacing w:val="-5"/>
        </w:rPr>
        <w:t xml:space="preserve"> </w:t>
      </w:r>
      <w:r w:rsidRPr="00EC20A0">
        <w:t>Example</w:t>
      </w:r>
      <w:r w:rsidRPr="00EC20A0">
        <w:rPr>
          <w:spacing w:val="-6"/>
        </w:rPr>
        <w:t xml:space="preserve"> </w:t>
      </w:r>
      <w:r w:rsidRPr="00EC20A0">
        <w:t>Representation</w:t>
      </w:r>
      <w:r w:rsidRPr="00EC20A0">
        <w:rPr>
          <w:spacing w:val="-6"/>
        </w:rPr>
        <w:t xml:space="preserve"> </w:t>
      </w:r>
      <w:r w:rsidRPr="00EC20A0">
        <w:t>Letter</w:t>
      </w:r>
      <w:r w:rsidRPr="00EC20A0">
        <w:rPr>
          <w:spacing w:val="-6"/>
        </w:rPr>
        <w:t xml:space="preserve"> </w:t>
      </w:r>
      <w:r w:rsidRPr="00EC20A0">
        <w:t>from</w:t>
      </w:r>
      <w:r w:rsidRPr="00EC20A0">
        <w:rPr>
          <w:spacing w:val="-6"/>
        </w:rPr>
        <w:t xml:space="preserve"> </w:t>
      </w:r>
      <w:r w:rsidRPr="00EC20A0">
        <w:t>Responsible</w:t>
      </w:r>
      <w:r w:rsidRPr="00EC20A0">
        <w:rPr>
          <w:u w:val="none"/>
        </w:rPr>
        <w:t xml:space="preserve"> </w:t>
      </w:r>
      <w:r w:rsidRPr="00EC20A0">
        <w:t>Party on Agreed-Upon Procedures Engagement</w:t>
      </w:r>
    </w:p>
    <w:p w14:paraId="1ACCE4FE" w14:textId="77777777" w:rsidR="00166ADE" w:rsidRDefault="00166ADE" w:rsidP="00166ADE">
      <w:pPr>
        <w:ind w:left="90"/>
        <w:rPr>
          <w:b/>
          <w:bCs/>
        </w:rPr>
      </w:pPr>
    </w:p>
    <w:p w14:paraId="24D60AB9" w14:textId="7D5757B6" w:rsidR="00245300" w:rsidRPr="00166ADE" w:rsidRDefault="00F17249" w:rsidP="00166ADE">
      <w:pPr>
        <w:ind w:left="90"/>
        <w:rPr>
          <w:b/>
          <w:bCs/>
        </w:rPr>
      </w:pPr>
      <w:r w:rsidRPr="00166ADE">
        <w:rPr>
          <w:b/>
          <w:bCs/>
        </w:rPr>
        <w:t>[XYZ Entity letterhead]</w:t>
      </w:r>
    </w:p>
    <w:p w14:paraId="24D60ABA" w14:textId="77777777" w:rsidR="00245300" w:rsidRPr="00EC20A0" w:rsidRDefault="00F17249">
      <w:pPr>
        <w:spacing w:before="201"/>
        <w:ind w:left="120"/>
        <w:rPr>
          <w:b/>
        </w:rPr>
      </w:pPr>
      <w:r w:rsidRPr="00EC20A0">
        <w:rPr>
          <w:b/>
        </w:rPr>
        <w:t>[Date</w:t>
      </w:r>
      <w:r w:rsidRPr="00EC20A0">
        <w:rPr>
          <w:b/>
          <w:spacing w:val="-5"/>
        </w:rPr>
        <w:t xml:space="preserve"> </w:t>
      </w:r>
      <w:r w:rsidRPr="00EC20A0">
        <w:rPr>
          <w:b/>
        </w:rPr>
        <w:t>(as</w:t>
      </w:r>
      <w:r w:rsidRPr="00EC20A0">
        <w:rPr>
          <w:b/>
          <w:spacing w:val="-4"/>
        </w:rPr>
        <w:t xml:space="preserve"> </w:t>
      </w:r>
      <w:r w:rsidRPr="00EC20A0">
        <w:rPr>
          <w:b/>
        </w:rPr>
        <w:t>of</w:t>
      </w:r>
      <w:r w:rsidRPr="00EC20A0">
        <w:rPr>
          <w:b/>
          <w:spacing w:val="-5"/>
        </w:rPr>
        <w:t xml:space="preserve"> </w:t>
      </w:r>
      <w:r w:rsidRPr="00EC20A0">
        <w:rPr>
          <w:b/>
        </w:rPr>
        <w:t>the</w:t>
      </w:r>
      <w:r w:rsidRPr="00EC20A0">
        <w:rPr>
          <w:b/>
          <w:spacing w:val="-4"/>
        </w:rPr>
        <w:t xml:space="preserve"> </w:t>
      </w:r>
      <w:r w:rsidRPr="00EC20A0">
        <w:rPr>
          <w:b/>
        </w:rPr>
        <w:t>date</w:t>
      </w:r>
      <w:r w:rsidRPr="00EC20A0">
        <w:rPr>
          <w:b/>
          <w:spacing w:val="-5"/>
        </w:rPr>
        <w:t xml:space="preserve"> </w:t>
      </w:r>
      <w:r w:rsidRPr="00EC20A0">
        <w:rPr>
          <w:b/>
        </w:rPr>
        <w:t>of</w:t>
      </w:r>
      <w:r w:rsidRPr="00EC20A0">
        <w:rPr>
          <w:b/>
          <w:spacing w:val="-4"/>
        </w:rPr>
        <w:t xml:space="preserve"> </w:t>
      </w:r>
      <w:r w:rsidRPr="00EC20A0">
        <w:rPr>
          <w:b/>
        </w:rPr>
        <w:t>the</w:t>
      </w:r>
      <w:r w:rsidRPr="00EC20A0">
        <w:rPr>
          <w:b/>
          <w:spacing w:val="-4"/>
        </w:rPr>
        <w:t xml:space="preserve"> </w:t>
      </w:r>
      <w:r w:rsidRPr="00EC20A0">
        <w:rPr>
          <w:b/>
        </w:rPr>
        <w:t>auditor’s</w:t>
      </w:r>
      <w:r w:rsidRPr="00EC20A0">
        <w:rPr>
          <w:b/>
          <w:spacing w:val="-5"/>
        </w:rPr>
        <w:t xml:space="preserve"> </w:t>
      </w:r>
      <w:r w:rsidRPr="00EC20A0">
        <w:rPr>
          <w:b/>
          <w:spacing w:val="-2"/>
        </w:rPr>
        <w:t>report)]</w:t>
      </w:r>
    </w:p>
    <w:p w14:paraId="24D60ABB" w14:textId="77777777" w:rsidR="00245300" w:rsidRPr="00EC20A0" w:rsidRDefault="00F17249">
      <w:pPr>
        <w:pStyle w:val="BodyText"/>
        <w:spacing w:before="199"/>
        <w:ind w:left="120"/>
      </w:pPr>
      <w:r w:rsidRPr="00EC20A0">
        <w:t>Dear</w:t>
      </w:r>
      <w:r w:rsidRPr="00EC20A0">
        <w:rPr>
          <w:spacing w:val="-6"/>
        </w:rPr>
        <w:t xml:space="preserve"> </w:t>
      </w:r>
      <w:r w:rsidRPr="00EC20A0">
        <w:rPr>
          <w:spacing w:val="-2"/>
        </w:rPr>
        <w:t>Auditor:</w:t>
      </w:r>
    </w:p>
    <w:p w14:paraId="24D60ABC" w14:textId="77777777" w:rsidR="00245300" w:rsidRPr="00EC20A0" w:rsidRDefault="00F17249">
      <w:pPr>
        <w:pStyle w:val="BodyText"/>
        <w:spacing w:before="201"/>
        <w:ind w:left="120" w:right="414"/>
      </w:pPr>
      <w:r w:rsidRPr="00EC20A0">
        <w:t>In</w:t>
      </w:r>
      <w:r w:rsidRPr="00EC20A0">
        <w:rPr>
          <w:spacing w:val="-2"/>
        </w:rPr>
        <w:t xml:space="preserve"> </w:t>
      </w:r>
      <w:r w:rsidRPr="00EC20A0">
        <w:t>connection</w:t>
      </w:r>
      <w:r w:rsidRPr="00EC20A0">
        <w:rPr>
          <w:spacing w:val="-2"/>
        </w:rPr>
        <w:t xml:space="preserve"> </w:t>
      </w:r>
      <w:r w:rsidRPr="00EC20A0">
        <w:t>with</w:t>
      </w:r>
      <w:r w:rsidRPr="00EC20A0">
        <w:rPr>
          <w:spacing w:val="-2"/>
        </w:rPr>
        <w:t xml:space="preserve"> </w:t>
      </w:r>
      <w:r w:rsidRPr="00EC20A0">
        <w:t>the</w:t>
      </w:r>
      <w:r w:rsidRPr="00EC20A0">
        <w:rPr>
          <w:spacing w:val="-2"/>
        </w:rPr>
        <w:t xml:space="preserve"> </w:t>
      </w:r>
      <w:r w:rsidRPr="00EC20A0">
        <w:t>agreed-upon</w:t>
      </w:r>
      <w:r w:rsidRPr="00EC20A0">
        <w:rPr>
          <w:spacing w:val="-2"/>
        </w:rPr>
        <w:t xml:space="preserve"> </w:t>
      </w:r>
      <w:r w:rsidRPr="00EC20A0">
        <w:t>procedures</w:t>
      </w:r>
      <w:r w:rsidRPr="00EC20A0">
        <w:rPr>
          <w:spacing w:val="-3"/>
        </w:rPr>
        <w:t xml:space="preserve"> </w:t>
      </w:r>
      <w:r w:rsidRPr="00EC20A0">
        <w:t>engagement</w:t>
      </w:r>
      <w:r w:rsidRPr="00EC20A0">
        <w:rPr>
          <w:spacing w:val="-2"/>
        </w:rPr>
        <w:t xml:space="preserve"> </w:t>
      </w:r>
      <w:r w:rsidRPr="00EC20A0">
        <w:t>for</w:t>
      </w:r>
      <w:r w:rsidRPr="00EC20A0">
        <w:rPr>
          <w:spacing w:val="-2"/>
        </w:rPr>
        <w:t xml:space="preserve"> </w:t>
      </w:r>
      <w:r w:rsidRPr="00EC20A0">
        <w:t>ABC</w:t>
      </w:r>
      <w:r w:rsidRPr="00EC20A0">
        <w:rPr>
          <w:spacing w:val="-3"/>
        </w:rPr>
        <w:t xml:space="preserve"> </w:t>
      </w:r>
      <w:r w:rsidRPr="00EC20A0">
        <w:t>Entity’s</w:t>
      </w:r>
      <w:r w:rsidRPr="00EC20A0">
        <w:rPr>
          <w:spacing w:val="-2"/>
        </w:rPr>
        <w:t xml:space="preserve"> </w:t>
      </w:r>
      <w:r w:rsidRPr="00EC20A0">
        <w:t>budget</w:t>
      </w:r>
      <w:r w:rsidRPr="00EC20A0">
        <w:rPr>
          <w:spacing w:val="-3"/>
        </w:rPr>
        <w:t xml:space="preserve"> </w:t>
      </w:r>
      <w:r w:rsidRPr="00EC20A0">
        <w:t>execution process for the period from October 1, 20XX, through September 30, 20XX, we confirm to the best</w:t>
      </w:r>
      <w:r w:rsidRPr="00EC20A0">
        <w:rPr>
          <w:spacing w:val="-3"/>
        </w:rPr>
        <w:t xml:space="preserve"> </w:t>
      </w:r>
      <w:r w:rsidRPr="00EC20A0">
        <w:t>of</w:t>
      </w:r>
      <w:r w:rsidRPr="00EC20A0">
        <w:rPr>
          <w:spacing w:val="-3"/>
        </w:rPr>
        <w:t xml:space="preserve"> </w:t>
      </w:r>
      <w:r w:rsidRPr="00EC20A0">
        <w:t>our</w:t>
      </w:r>
      <w:r w:rsidRPr="00EC20A0">
        <w:rPr>
          <w:spacing w:val="-3"/>
        </w:rPr>
        <w:t xml:space="preserve"> </w:t>
      </w:r>
      <w:r w:rsidRPr="00EC20A0">
        <w:t>knowledge</w:t>
      </w:r>
      <w:r w:rsidRPr="00EC20A0">
        <w:rPr>
          <w:spacing w:val="-3"/>
        </w:rPr>
        <w:t xml:space="preserve"> </w:t>
      </w:r>
      <w:r w:rsidRPr="00EC20A0">
        <w:t>and</w:t>
      </w:r>
      <w:r w:rsidRPr="00EC20A0">
        <w:rPr>
          <w:spacing w:val="-3"/>
        </w:rPr>
        <w:t xml:space="preserve"> </w:t>
      </w:r>
      <w:r w:rsidRPr="00EC20A0">
        <w:t>belief</w:t>
      </w:r>
      <w:r w:rsidRPr="00EC20A0">
        <w:rPr>
          <w:spacing w:val="-3"/>
        </w:rPr>
        <w:t xml:space="preserve"> </w:t>
      </w:r>
      <w:r w:rsidRPr="00EC20A0">
        <w:t>the</w:t>
      </w:r>
      <w:r w:rsidRPr="00EC20A0">
        <w:rPr>
          <w:spacing w:val="-4"/>
        </w:rPr>
        <w:t xml:space="preserve"> </w:t>
      </w:r>
      <w:r w:rsidRPr="00EC20A0">
        <w:t>following</w:t>
      </w:r>
      <w:r w:rsidRPr="00EC20A0">
        <w:rPr>
          <w:spacing w:val="-3"/>
        </w:rPr>
        <w:t xml:space="preserve"> </w:t>
      </w:r>
      <w:r w:rsidRPr="00EC20A0">
        <w:t>representations</w:t>
      </w:r>
      <w:r w:rsidRPr="00EC20A0">
        <w:rPr>
          <w:spacing w:val="-3"/>
        </w:rPr>
        <w:t xml:space="preserve"> </w:t>
      </w:r>
      <w:r w:rsidRPr="00EC20A0">
        <w:t>made</w:t>
      </w:r>
      <w:r w:rsidRPr="00EC20A0">
        <w:rPr>
          <w:spacing w:val="-3"/>
        </w:rPr>
        <w:t xml:space="preserve"> </w:t>
      </w:r>
      <w:r w:rsidRPr="00EC20A0">
        <w:t>to</w:t>
      </w:r>
      <w:r w:rsidRPr="00EC20A0">
        <w:rPr>
          <w:spacing w:val="-3"/>
        </w:rPr>
        <w:t xml:space="preserve"> </w:t>
      </w:r>
      <w:r w:rsidRPr="00EC20A0">
        <w:t>you</w:t>
      </w:r>
      <w:r w:rsidRPr="00EC20A0">
        <w:rPr>
          <w:spacing w:val="-3"/>
        </w:rPr>
        <w:t xml:space="preserve"> </w:t>
      </w:r>
      <w:r w:rsidRPr="00EC20A0">
        <w:t>in</w:t>
      </w:r>
      <w:r w:rsidRPr="00EC20A0">
        <w:rPr>
          <w:spacing w:val="-3"/>
        </w:rPr>
        <w:t xml:space="preserve"> </w:t>
      </w:r>
      <w:r w:rsidRPr="00EC20A0">
        <w:t>performing</w:t>
      </w:r>
      <w:r w:rsidRPr="00EC20A0">
        <w:rPr>
          <w:spacing w:val="-3"/>
        </w:rPr>
        <w:t xml:space="preserve"> </w:t>
      </w:r>
      <w:r w:rsidRPr="00EC20A0">
        <w:t xml:space="preserve">these agreed-upon </w:t>
      </w:r>
      <w:r w:rsidRPr="00EC20A0">
        <w:t>procedures.</w:t>
      </w:r>
    </w:p>
    <w:p w14:paraId="24D60ABD" w14:textId="77777777" w:rsidR="00245300" w:rsidRPr="00EC20A0" w:rsidRDefault="00F17249">
      <w:pPr>
        <w:pStyle w:val="ListParagraph"/>
        <w:numPr>
          <w:ilvl w:val="0"/>
          <w:numId w:val="10"/>
        </w:numPr>
        <w:tabs>
          <w:tab w:val="left" w:pos="479"/>
        </w:tabs>
        <w:spacing w:before="200"/>
        <w:ind w:hanging="269"/>
      </w:pPr>
      <w:r w:rsidRPr="00EC20A0">
        <w:t>We</w:t>
      </w:r>
      <w:r w:rsidRPr="00EC20A0">
        <w:rPr>
          <w:spacing w:val="-9"/>
        </w:rPr>
        <w:t xml:space="preserve"> </w:t>
      </w:r>
      <w:r w:rsidRPr="00EC20A0">
        <w:t>acknowledge</w:t>
      </w:r>
      <w:r w:rsidRPr="00EC20A0">
        <w:rPr>
          <w:spacing w:val="-8"/>
        </w:rPr>
        <w:t xml:space="preserve"> </w:t>
      </w:r>
      <w:r w:rsidRPr="00EC20A0">
        <w:t>responsibility</w:t>
      </w:r>
      <w:r w:rsidRPr="00EC20A0">
        <w:rPr>
          <w:spacing w:val="-8"/>
        </w:rPr>
        <w:t xml:space="preserve"> </w:t>
      </w:r>
      <w:r w:rsidRPr="00EC20A0">
        <w:t>for</w:t>
      </w:r>
      <w:r w:rsidRPr="00EC20A0">
        <w:rPr>
          <w:spacing w:val="-8"/>
        </w:rPr>
        <w:t xml:space="preserve"> </w:t>
      </w:r>
      <w:r w:rsidRPr="00EC20A0">
        <w:t>our</w:t>
      </w:r>
      <w:r w:rsidRPr="00EC20A0">
        <w:rPr>
          <w:spacing w:val="-8"/>
        </w:rPr>
        <w:t xml:space="preserve"> </w:t>
      </w:r>
      <w:r w:rsidRPr="00EC20A0">
        <w:t>budget</w:t>
      </w:r>
      <w:r w:rsidRPr="00EC20A0">
        <w:rPr>
          <w:spacing w:val="-8"/>
        </w:rPr>
        <w:t xml:space="preserve"> </w:t>
      </w:r>
      <w:r w:rsidRPr="00EC20A0">
        <w:t>execution</w:t>
      </w:r>
      <w:r w:rsidRPr="00EC20A0">
        <w:rPr>
          <w:spacing w:val="-8"/>
        </w:rPr>
        <w:t xml:space="preserve"> </w:t>
      </w:r>
      <w:r w:rsidRPr="00EC20A0">
        <w:rPr>
          <w:spacing w:val="-2"/>
        </w:rPr>
        <w:t>process.</w:t>
      </w:r>
    </w:p>
    <w:p w14:paraId="24D60ABE" w14:textId="77777777" w:rsidR="00245300" w:rsidRPr="00EC20A0" w:rsidRDefault="00F17249">
      <w:pPr>
        <w:pStyle w:val="ListParagraph"/>
        <w:numPr>
          <w:ilvl w:val="0"/>
          <w:numId w:val="10"/>
        </w:numPr>
        <w:tabs>
          <w:tab w:val="left" w:pos="479"/>
        </w:tabs>
        <w:spacing w:before="198"/>
        <w:ind w:hanging="269"/>
      </w:pPr>
      <w:r w:rsidRPr="00EC20A0">
        <w:t>We</w:t>
      </w:r>
      <w:r w:rsidRPr="00EC20A0">
        <w:rPr>
          <w:spacing w:val="-7"/>
        </w:rPr>
        <w:t xml:space="preserve"> </w:t>
      </w:r>
      <w:r w:rsidRPr="00EC20A0">
        <w:t>are</w:t>
      </w:r>
      <w:r w:rsidRPr="00EC20A0">
        <w:rPr>
          <w:spacing w:val="-6"/>
        </w:rPr>
        <w:t xml:space="preserve"> </w:t>
      </w:r>
      <w:r w:rsidRPr="00EC20A0">
        <w:t>not</w:t>
      </w:r>
      <w:r w:rsidRPr="00EC20A0">
        <w:rPr>
          <w:spacing w:val="-7"/>
        </w:rPr>
        <w:t xml:space="preserve"> </w:t>
      </w:r>
      <w:r w:rsidRPr="00EC20A0">
        <w:t>aware</w:t>
      </w:r>
      <w:r w:rsidRPr="00EC20A0">
        <w:rPr>
          <w:spacing w:val="-6"/>
        </w:rPr>
        <w:t xml:space="preserve"> </w:t>
      </w:r>
      <w:r w:rsidRPr="00EC20A0">
        <w:t>of</w:t>
      </w:r>
      <w:r w:rsidRPr="00EC20A0">
        <w:rPr>
          <w:spacing w:val="-6"/>
        </w:rPr>
        <w:t xml:space="preserve"> </w:t>
      </w:r>
      <w:r w:rsidRPr="00EC20A0">
        <w:t>any</w:t>
      </w:r>
      <w:r w:rsidRPr="00EC20A0">
        <w:rPr>
          <w:spacing w:val="-7"/>
        </w:rPr>
        <w:t xml:space="preserve"> </w:t>
      </w:r>
      <w:r w:rsidRPr="00EC20A0">
        <w:t>material</w:t>
      </w:r>
      <w:r w:rsidRPr="00EC20A0">
        <w:rPr>
          <w:spacing w:val="-6"/>
        </w:rPr>
        <w:t xml:space="preserve"> </w:t>
      </w:r>
      <w:r w:rsidRPr="00EC20A0">
        <w:t>misstatement</w:t>
      </w:r>
      <w:r w:rsidRPr="00EC20A0">
        <w:rPr>
          <w:spacing w:val="-7"/>
        </w:rPr>
        <w:t xml:space="preserve"> </w:t>
      </w:r>
      <w:r w:rsidRPr="00EC20A0">
        <w:t>regarding</w:t>
      </w:r>
      <w:r w:rsidRPr="00EC20A0">
        <w:rPr>
          <w:spacing w:val="-7"/>
        </w:rPr>
        <w:t xml:space="preserve"> </w:t>
      </w:r>
      <w:r w:rsidRPr="00EC20A0">
        <w:t>our</w:t>
      </w:r>
      <w:r w:rsidRPr="00EC20A0">
        <w:rPr>
          <w:spacing w:val="-6"/>
        </w:rPr>
        <w:t xml:space="preserve"> </w:t>
      </w:r>
      <w:r w:rsidRPr="00EC20A0">
        <w:t>budget</w:t>
      </w:r>
      <w:r w:rsidRPr="00EC20A0">
        <w:rPr>
          <w:spacing w:val="-7"/>
        </w:rPr>
        <w:t xml:space="preserve"> </w:t>
      </w:r>
      <w:r w:rsidRPr="00EC20A0">
        <w:t>execution</w:t>
      </w:r>
      <w:r w:rsidRPr="00EC20A0">
        <w:rPr>
          <w:spacing w:val="-6"/>
        </w:rPr>
        <w:t xml:space="preserve"> </w:t>
      </w:r>
      <w:r w:rsidRPr="00EC20A0">
        <w:rPr>
          <w:spacing w:val="-2"/>
        </w:rPr>
        <w:t>process.</w:t>
      </w:r>
    </w:p>
    <w:p w14:paraId="24D60ABF" w14:textId="77777777" w:rsidR="00245300" w:rsidRPr="00EC20A0" w:rsidRDefault="00F17249">
      <w:pPr>
        <w:pStyle w:val="ListParagraph"/>
        <w:numPr>
          <w:ilvl w:val="0"/>
          <w:numId w:val="10"/>
        </w:numPr>
        <w:tabs>
          <w:tab w:val="left" w:pos="479"/>
        </w:tabs>
        <w:spacing w:before="199"/>
        <w:ind w:right="592"/>
      </w:pPr>
      <w:r w:rsidRPr="00EC20A0">
        <w:t>We have made available to you all records and related data pertaining to our budget execution</w:t>
      </w:r>
      <w:r w:rsidRPr="00EC20A0">
        <w:rPr>
          <w:spacing w:val="-4"/>
        </w:rPr>
        <w:t xml:space="preserve"> </w:t>
      </w:r>
      <w:r w:rsidRPr="00EC20A0">
        <w:t>process</w:t>
      </w:r>
      <w:r w:rsidRPr="00EC20A0">
        <w:rPr>
          <w:spacing w:val="-4"/>
        </w:rPr>
        <w:t xml:space="preserve"> </w:t>
      </w:r>
      <w:r w:rsidRPr="00EC20A0">
        <w:t>during</w:t>
      </w:r>
      <w:r w:rsidRPr="00EC20A0">
        <w:rPr>
          <w:spacing w:val="-4"/>
        </w:rPr>
        <w:t xml:space="preserve"> </w:t>
      </w:r>
      <w:r w:rsidRPr="00EC20A0">
        <w:t>the</w:t>
      </w:r>
      <w:r w:rsidRPr="00EC20A0">
        <w:rPr>
          <w:spacing w:val="-4"/>
        </w:rPr>
        <w:t xml:space="preserve"> </w:t>
      </w:r>
      <w:r w:rsidRPr="00EC20A0">
        <w:t>period</w:t>
      </w:r>
      <w:r w:rsidRPr="00EC20A0">
        <w:rPr>
          <w:spacing w:val="-4"/>
        </w:rPr>
        <w:t xml:space="preserve"> </w:t>
      </w:r>
      <w:r w:rsidRPr="00EC20A0">
        <w:t>from</w:t>
      </w:r>
      <w:r w:rsidRPr="00EC20A0">
        <w:rPr>
          <w:spacing w:val="-4"/>
        </w:rPr>
        <w:t xml:space="preserve"> </w:t>
      </w:r>
      <w:r w:rsidRPr="00EC20A0">
        <w:t>October</w:t>
      </w:r>
      <w:r w:rsidRPr="00EC20A0">
        <w:rPr>
          <w:spacing w:val="-4"/>
        </w:rPr>
        <w:t xml:space="preserve"> </w:t>
      </w:r>
      <w:r w:rsidRPr="00EC20A0">
        <w:t>1,</w:t>
      </w:r>
      <w:r w:rsidRPr="00EC20A0">
        <w:rPr>
          <w:spacing w:val="-4"/>
        </w:rPr>
        <w:t xml:space="preserve"> </w:t>
      </w:r>
      <w:r w:rsidRPr="00EC20A0">
        <w:t>20XX,</w:t>
      </w:r>
      <w:r w:rsidRPr="00EC20A0">
        <w:rPr>
          <w:spacing w:val="-4"/>
        </w:rPr>
        <w:t xml:space="preserve"> </w:t>
      </w:r>
      <w:r w:rsidRPr="00EC20A0">
        <w:t>through</w:t>
      </w:r>
      <w:r w:rsidRPr="00EC20A0">
        <w:rPr>
          <w:spacing w:val="-4"/>
        </w:rPr>
        <w:t xml:space="preserve"> </w:t>
      </w:r>
      <w:r w:rsidRPr="00EC20A0">
        <w:t>September</w:t>
      </w:r>
      <w:r w:rsidRPr="00EC20A0">
        <w:rPr>
          <w:spacing w:val="-4"/>
        </w:rPr>
        <w:t xml:space="preserve"> </w:t>
      </w:r>
      <w:r w:rsidRPr="00EC20A0">
        <w:t>30,</w:t>
      </w:r>
      <w:r w:rsidRPr="00EC20A0">
        <w:rPr>
          <w:spacing w:val="-4"/>
        </w:rPr>
        <w:t xml:space="preserve"> </w:t>
      </w:r>
      <w:r w:rsidRPr="00EC20A0">
        <w:t>20XX.</w:t>
      </w:r>
    </w:p>
    <w:p w14:paraId="24D60AC0" w14:textId="77777777" w:rsidR="00245300" w:rsidRPr="00EC20A0" w:rsidRDefault="00F17249">
      <w:pPr>
        <w:pStyle w:val="ListParagraph"/>
        <w:numPr>
          <w:ilvl w:val="0"/>
          <w:numId w:val="10"/>
        </w:numPr>
        <w:tabs>
          <w:tab w:val="left" w:pos="479"/>
        </w:tabs>
        <w:spacing w:before="197"/>
        <w:ind w:right="374"/>
      </w:pPr>
      <w:r w:rsidRPr="00EC20A0">
        <w:t>We</w:t>
      </w:r>
      <w:r w:rsidRPr="00EC20A0">
        <w:rPr>
          <w:spacing w:val="-3"/>
        </w:rPr>
        <w:t xml:space="preserve"> </w:t>
      </w:r>
      <w:r w:rsidRPr="00EC20A0">
        <w:t>have</w:t>
      </w:r>
      <w:r w:rsidRPr="00EC20A0">
        <w:rPr>
          <w:spacing w:val="-3"/>
        </w:rPr>
        <w:t xml:space="preserve"> </w:t>
      </w:r>
      <w:r w:rsidRPr="00EC20A0">
        <w:t>disclosed</w:t>
      </w:r>
      <w:r w:rsidRPr="00EC20A0">
        <w:rPr>
          <w:spacing w:val="-3"/>
        </w:rPr>
        <w:t xml:space="preserve"> </w:t>
      </w:r>
      <w:r w:rsidRPr="00EC20A0">
        <w:t>to</w:t>
      </w:r>
      <w:r w:rsidRPr="00EC20A0">
        <w:rPr>
          <w:spacing w:val="-4"/>
        </w:rPr>
        <w:t xml:space="preserve"> </w:t>
      </w:r>
      <w:r w:rsidRPr="00EC20A0">
        <w:t>you</w:t>
      </w:r>
      <w:r w:rsidRPr="00EC20A0">
        <w:rPr>
          <w:spacing w:val="-3"/>
        </w:rPr>
        <w:t xml:space="preserve"> </w:t>
      </w:r>
      <w:r w:rsidRPr="00EC20A0">
        <w:t>all</w:t>
      </w:r>
      <w:r w:rsidRPr="00EC20A0">
        <w:rPr>
          <w:spacing w:val="-3"/>
        </w:rPr>
        <w:t xml:space="preserve"> </w:t>
      </w:r>
      <w:r w:rsidRPr="00EC20A0">
        <w:t>known</w:t>
      </w:r>
      <w:r w:rsidRPr="00EC20A0">
        <w:rPr>
          <w:spacing w:val="-4"/>
        </w:rPr>
        <w:t xml:space="preserve"> </w:t>
      </w:r>
      <w:r w:rsidRPr="00EC20A0">
        <w:t>events</w:t>
      </w:r>
      <w:r w:rsidRPr="00EC20A0">
        <w:rPr>
          <w:spacing w:val="-3"/>
        </w:rPr>
        <w:t xml:space="preserve"> </w:t>
      </w:r>
      <w:r w:rsidRPr="00EC20A0">
        <w:t>subsequent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period</w:t>
      </w:r>
      <w:r w:rsidRPr="00EC20A0">
        <w:rPr>
          <w:spacing w:val="-3"/>
        </w:rPr>
        <w:t xml:space="preserve"> </w:t>
      </w:r>
      <w:r w:rsidRPr="00EC20A0">
        <w:t>(or</w:t>
      </w:r>
      <w:r w:rsidRPr="00EC20A0">
        <w:rPr>
          <w:spacing w:val="-5"/>
        </w:rPr>
        <w:t xml:space="preserve"> </w:t>
      </w:r>
      <w:r w:rsidRPr="00EC20A0">
        <w:t>point</w:t>
      </w:r>
      <w:r w:rsidRPr="00EC20A0">
        <w:rPr>
          <w:spacing w:val="-3"/>
        </w:rPr>
        <w:t xml:space="preserve"> </w:t>
      </w:r>
      <w:r w:rsidRPr="00EC20A0">
        <w:t>in</w:t>
      </w:r>
      <w:r w:rsidRPr="00EC20A0">
        <w:rPr>
          <w:spacing w:val="-3"/>
        </w:rPr>
        <w:t xml:space="preserve"> </w:t>
      </w:r>
      <w:r w:rsidRPr="00EC20A0">
        <w:t>time)</w:t>
      </w:r>
      <w:r w:rsidRPr="00EC20A0">
        <w:rPr>
          <w:spacing w:val="-3"/>
        </w:rPr>
        <w:t xml:space="preserve"> </w:t>
      </w:r>
      <w:r w:rsidRPr="00EC20A0">
        <w:t>being reported on that would have a material effect on our budget execution process.</w:t>
      </w:r>
    </w:p>
    <w:p w14:paraId="24D60AC1" w14:textId="77777777" w:rsidR="00245300" w:rsidRPr="00EC20A0" w:rsidRDefault="00F17249">
      <w:pPr>
        <w:pStyle w:val="ListParagraph"/>
        <w:numPr>
          <w:ilvl w:val="0"/>
          <w:numId w:val="10"/>
        </w:numPr>
        <w:tabs>
          <w:tab w:val="left" w:pos="479"/>
        </w:tabs>
        <w:spacing w:before="199"/>
        <w:ind w:right="1239"/>
      </w:pPr>
      <w:r w:rsidRPr="00EC20A0">
        <w:t>XYZ</w:t>
      </w:r>
      <w:r w:rsidRPr="00EC20A0">
        <w:rPr>
          <w:spacing w:val="-4"/>
        </w:rPr>
        <w:t xml:space="preserve"> </w:t>
      </w:r>
      <w:r w:rsidRPr="00EC20A0">
        <w:t>Entity’s</w:t>
      </w:r>
      <w:r w:rsidRPr="00EC20A0">
        <w:rPr>
          <w:spacing w:val="-4"/>
        </w:rPr>
        <w:t xml:space="preserve"> </w:t>
      </w:r>
      <w:r w:rsidRPr="00EC20A0">
        <w:t>budget</w:t>
      </w:r>
      <w:r w:rsidRPr="00EC20A0">
        <w:rPr>
          <w:spacing w:val="-4"/>
        </w:rPr>
        <w:t xml:space="preserve"> </w:t>
      </w:r>
      <w:r w:rsidRPr="00EC20A0">
        <w:t>execution</w:t>
      </w:r>
      <w:r w:rsidRPr="00EC20A0">
        <w:rPr>
          <w:spacing w:val="-4"/>
        </w:rPr>
        <w:t xml:space="preserve"> </w:t>
      </w:r>
      <w:r w:rsidRPr="00EC20A0">
        <w:t>process</w:t>
      </w:r>
      <w:r w:rsidRPr="00EC20A0">
        <w:rPr>
          <w:spacing w:val="-4"/>
        </w:rPr>
        <w:t xml:space="preserve"> </w:t>
      </w:r>
      <w:r w:rsidRPr="00EC20A0">
        <w:t>is</w:t>
      </w:r>
      <w:r w:rsidRPr="00EC20A0">
        <w:rPr>
          <w:spacing w:val="-4"/>
        </w:rPr>
        <w:t xml:space="preserve"> </w:t>
      </w:r>
      <w:r w:rsidRPr="00EC20A0">
        <w:t>designed</w:t>
      </w:r>
      <w:r w:rsidRPr="00EC20A0">
        <w:rPr>
          <w:spacing w:val="-4"/>
        </w:rPr>
        <w:t xml:space="preserve"> </w:t>
      </w:r>
      <w:r w:rsidRPr="00EC20A0">
        <w:t>to</w:t>
      </w:r>
      <w:r w:rsidRPr="00EC20A0">
        <w:rPr>
          <w:spacing w:val="-4"/>
        </w:rPr>
        <w:t xml:space="preserve"> </w:t>
      </w:r>
      <w:r w:rsidRPr="00EC20A0">
        <w:t>meet</w:t>
      </w:r>
      <w:r w:rsidRPr="00EC20A0">
        <w:rPr>
          <w:spacing w:val="-4"/>
        </w:rPr>
        <w:t xml:space="preserve"> </w:t>
      </w:r>
      <w:r w:rsidRPr="00EC20A0">
        <w:t>the</w:t>
      </w:r>
      <w:r w:rsidRPr="00EC20A0">
        <w:rPr>
          <w:spacing w:val="-4"/>
        </w:rPr>
        <w:t xml:space="preserve"> </w:t>
      </w:r>
      <w:r w:rsidRPr="00EC20A0">
        <w:t>requirements</w:t>
      </w:r>
      <w:r w:rsidRPr="00EC20A0">
        <w:rPr>
          <w:spacing w:val="-4"/>
        </w:rPr>
        <w:t xml:space="preserve"> </w:t>
      </w:r>
      <w:r w:rsidRPr="00EC20A0">
        <w:t>of</w:t>
      </w:r>
      <w:r w:rsidRPr="00EC20A0">
        <w:rPr>
          <w:spacing w:val="-4"/>
        </w:rPr>
        <w:t xml:space="preserve"> </w:t>
      </w:r>
      <w:r w:rsidRPr="00EC20A0">
        <w:t xml:space="preserve">the </w:t>
      </w:r>
      <w:proofErr w:type="spellStart"/>
      <w:r w:rsidRPr="00EC20A0">
        <w:t>Antideficiency</w:t>
      </w:r>
      <w:proofErr w:type="spellEnd"/>
      <w:r w:rsidRPr="00EC20A0">
        <w:t xml:space="preserve"> Act.</w:t>
      </w:r>
    </w:p>
    <w:p w14:paraId="24D60AC2" w14:textId="77777777" w:rsidR="00245300" w:rsidRPr="00EC20A0" w:rsidRDefault="00F17249">
      <w:pPr>
        <w:pStyle w:val="ListParagraph"/>
        <w:numPr>
          <w:ilvl w:val="0"/>
          <w:numId w:val="10"/>
        </w:numPr>
        <w:tabs>
          <w:tab w:val="left" w:pos="479"/>
        </w:tabs>
        <w:spacing w:before="199"/>
        <w:ind w:right="309"/>
      </w:pPr>
      <w:r w:rsidRPr="00EC20A0">
        <w:t>XYZ Entity’s employees check the accounting records and fund status reports quarterly to determine</w:t>
      </w:r>
      <w:r w:rsidRPr="00EC20A0">
        <w:rPr>
          <w:spacing w:val="-4"/>
        </w:rPr>
        <w:t xml:space="preserve"> </w:t>
      </w:r>
      <w:r w:rsidRPr="00EC20A0">
        <w:t>whether</w:t>
      </w:r>
      <w:r w:rsidRPr="00EC20A0">
        <w:rPr>
          <w:spacing w:val="-4"/>
        </w:rPr>
        <w:t xml:space="preserve"> </w:t>
      </w:r>
      <w:r w:rsidRPr="00EC20A0">
        <w:t>all</w:t>
      </w:r>
      <w:r w:rsidRPr="00EC20A0">
        <w:rPr>
          <w:spacing w:val="-4"/>
        </w:rPr>
        <w:t xml:space="preserve"> </w:t>
      </w:r>
      <w:r w:rsidRPr="00EC20A0">
        <w:t>source</w:t>
      </w:r>
      <w:r w:rsidRPr="00EC20A0">
        <w:rPr>
          <w:spacing w:val="-4"/>
        </w:rPr>
        <w:t xml:space="preserve"> </w:t>
      </w:r>
      <w:r w:rsidRPr="00EC20A0">
        <w:t>documents</w:t>
      </w:r>
      <w:r w:rsidRPr="00EC20A0">
        <w:rPr>
          <w:spacing w:val="-4"/>
        </w:rPr>
        <w:t xml:space="preserve"> </w:t>
      </w:r>
      <w:r w:rsidRPr="00EC20A0">
        <w:t>that</w:t>
      </w:r>
      <w:r w:rsidRPr="00EC20A0">
        <w:rPr>
          <w:spacing w:val="-4"/>
        </w:rPr>
        <w:t xml:space="preserve"> </w:t>
      </w:r>
      <w:r w:rsidRPr="00EC20A0">
        <w:t>affect</w:t>
      </w:r>
      <w:r w:rsidRPr="00EC20A0">
        <w:rPr>
          <w:spacing w:val="-4"/>
        </w:rPr>
        <w:t xml:space="preserve"> </w:t>
      </w:r>
      <w:r w:rsidRPr="00EC20A0">
        <w:t>the</w:t>
      </w:r>
      <w:r w:rsidRPr="00EC20A0">
        <w:rPr>
          <w:spacing w:val="-4"/>
        </w:rPr>
        <w:t xml:space="preserve"> </w:t>
      </w:r>
      <w:r w:rsidRPr="00EC20A0">
        <w:t>appropriation</w:t>
      </w:r>
      <w:r w:rsidRPr="00EC20A0">
        <w:rPr>
          <w:spacing w:val="-4"/>
        </w:rPr>
        <w:t xml:space="preserve"> </w:t>
      </w:r>
      <w:r w:rsidRPr="00EC20A0">
        <w:t>and</w:t>
      </w:r>
      <w:r w:rsidRPr="00EC20A0">
        <w:rPr>
          <w:spacing w:val="-4"/>
        </w:rPr>
        <w:t xml:space="preserve"> </w:t>
      </w:r>
      <w:r w:rsidRPr="00EC20A0">
        <w:t>fund</w:t>
      </w:r>
      <w:r w:rsidRPr="00EC20A0">
        <w:rPr>
          <w:spacing w:val="-4"/>
        </w:rPr>
        <w:t xml:space="preserve"> </w:t>
      </w:r>
      <w:r w:rsidRPr="00EC20A0">
        <w:t>balance</w:t>
      </w:r>
      <w:r w:rsidRPr="00EC20A0">
        <w:rPr>
          <w:spacing w:val="-4"/>
        </w:rPr>
        <w:t xml:space="preserve"> </w:t>
      </w:r>
      <w:r w:rsidRPr="00EC20A0">
        <w:t>have been recorded properly, accurately, and timely.</w:t>
      </w:r>
    </w:p>
    <w:p w14:paraId="24D60AC3" w14:textId="77777777" w:rsidR="00245300" w:rsidRPr="00EC20A0" w:rsidRDefault="00F17249">
      <w:pPr>
        <w:pStyle w:val="ListParagraph"/>
        <w:numPr>
          <w:ilvl w:val="0"/>
          <w:numId w:val="10"/>
        </w:numPr>
        <w:tabs>
          <w:tab w:val="left" w:pos="479"/>
        </w:tabs>
        <w:spacing w:before="197"/>
        <w:ind w:right="814"/>
      </w:pPr>
      <w:r w:rsidRPr="00EC20A0">
        <w:t>XYZ Entity’s financial management system provides timely disclosure of total valid obligations</w:t>
      </w:r>
      <w:r w:rsidRPr="00EC20A0">
        <w:rPr>
          <w:spacing w:val="-5"/>
        </w:rPr>
        <w:t xml:space="preserve"> </w:t>
      </w:r>
      <w:r w:rsidRPr="00EC20A0">
        <w:t>incurred</w:t>
      </w:r>
      <w:r w:rsidRPr="00EC20A0">
        <w:rPr>
          <w:spacing w:val="-4"/>
        </w:rPr>
        <w:t xml:space="preserve"> </w:t>
      </w:r>
      <w:r w:rsidRPr="00EC20A0">
        <w:t>to</w:t>
      </w:r>
      <w:r w:rsidRPr="00EC20A0">
        <w:rPr>
          <w:spacing w:val="-4"/>
        </w:rPr>
        <w:t xml:space="preserve"> </w:t>
      </w:r>
      <w:r w:rsidRPr="00EC20A0">
        <w:t>date</w:t>
      </w:r>
      <w:r w:rsidRPr="00EC20A0">
        <w:rPr>
          <w:spacing w:val="-4"/>
        </w:rPr>
        <w:t xml:space="preserve"> </w:t>
      </w:r>
      <w:r w:rsidRPr="00EC20A0">
        <w:t>and</w:t>
      </w:r>
      <w:r w:rsidRPr="00EC20A0">
        <w:rPr>
          <w:spacing w:val="-4"/>
        </w:rPr>
        <w:t xml:space="preserve"> </w:t>
      </w:r>
      <w:r w:rsidRPr="00EC20A0">
        <w:t>total</w:t>
      </w:r>
      <w:r w:rsidRPr="00EC20A0">
        <w:rPr>
          <w:spacing w:val="-5"/>
        </w:rPr>
        <w:t xml:space="preserve"> </w:t>
      </w:r>
      <w:r w:rsidRPr="00EC20A0">
        <w:t>budgetary</w:t>
      </w:r>
      <w:r w:rsidRPr="00EC20A0">
        <w:rPr>
          <w:spacing w:val="-4"/>
        </w:rPr>
        <w:t xml:space="preserve"> </w:t>
      </w:r>
      <w:r w:rsidRPr="00EC20A0">
        <w:t>resources</w:t>
      </w:r>
      <w:r w:rsidRPr="00EC20A0">
        <w:rPr>
          <w:spacing w:val="-4"/>
        </w:rPr>
        <w:t xml:space="preserve"> </w:t>
      </w:r>
      <w:r w:rsidRPr="00EC20A0">
        <w:t>available</w:t>
      </w:r>
      <w:r w:rsidRPr="00EC20A0">
        <w:rPr>
          <w:spacing w:val="-4"/>
        </w:rPr>
        <w:t xml:space="preserve"> </w:t>
      </w:r>
      <w:r w:rsidRPr="00EC20A0">
        <w:t>for</w:t>
      </w:r>
      <w:r w:rsidRPr="00EC20A0">
        <w:rPr>
          <w:spacing w:val="-4"/>
        </w:rPr>
        <w:t xml:space="preserve"> </w:t>
      </w:r>
      <w:r w:rsidRPr="00EC20A0">
        <w:t>obligation</w:t>
      </w:r>
      <w:r w:rsidRPr="00EC20A0">
        <w:rPr>
          <w:spacing w:val="-4"/>
        </w:rPr>
        <w:t xml:space="preserve"> </w:t>
      </w:r>
      <w:r w:rsidRPr="00EC20A0">
        <w:t xml:space="preserve">within each </w:t>
      </w:r>
      <w:r w:rsidRPr="00EC20A0">
        <w:t>apportionment.</w:t>
      </w:r>
    </w:p>
    <w:p w14:paraId="24D60AC4" w14:textId="77777777" w:rsidR="00245300" w:rsidRPr="00EC20A0" w:rsidRDefault="00F17249">
      <w:pPr>
        <w:pStyle w:val="ListParagraph"/>
        <w:numPr>
          <w:ilvl w:val="0"/>
          <w:numId w:val="10"/>
        </w:numPr>
        <w:tabs>
          <w:tab w:val="left" w:pos="479"/>
        </w:tabs>
        <w:spacing w:before="198"/>
        <w:ind w:right="410"/>
      </w:pPr>
      <w:r w:rsidRPr="00EC20A0">
        <w:t>The</w:t>
      </w:r>
      <w:r w:rsidRPr="00EC20A0">
        <w:rPr>
          <w:spacing w:val="-3"/>
        </w:rPr>
        <w:t xml:space="preserve"> </w:t>
      </w:r>
      <w:r w:rsidRPr="00EC20A0">
        <w:t>system</w:t>
      </w:r>
      <w:r w:rsidRPr="00EC20A0">
        <w:rPr>
          <w:spacing w:val="-5"/>
        </w:rPr>
        <w:t xml:space="preserve"> </w:t>
      </w:r>
      <w:r w:rsidRPr="00EC20A0">
        <w:t>also</w:t>
      </w:r>
      <w:r w:rsidRPr="00EC20A0">
        <w:rPr>
          <w:spacing w:val="-3"/>
        </w:rPr>
        <w:t xml:space="preserve"> </w:t>
      </w:r>
      <w:r w:rsidRPr="00EC20A0">
        <w:t>provides</w:t>
      </w:r>
      <w:r w:rsidRPr="00EC20A0">
        <w:rPr>
          <w:spacing w:val="-3"/>
        </w:rPr>
        <w:t xml:space="preserve"> </w:t>
      </w:r>
      <w:r w:rsidRPr="00EC20A0">
        <w:t>timely</w:t>
      </w:r>
      <w:r w:rsidRPr="00EC20A0">
        <w:rPr>
          <w:spacing w:val="-3"/>
        </w:rPr>
        <w:t xml:space="preserve"> </w:t>
      </w:r>
      <w:r w:rsidRPr="00EC20A0">
        <w:t>disclosure</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authorization</w:t>
      </w:r>
      <w:r w:rsidRPr="00EC20A0">
        <w:rPr>
          <w:spacing w:val="-3"/>
        </w:rPr>
        <w:t xml:space="preserve"> </w:t>
      </w:r>
      <w:r w:rsidRPr="00EC20A0">
        <w:t>or</w:t>
      </w:r>
      <w:r w:rsidRPr="00EC20A0">
        <w:rPr>
          <w:spacing w:val="-3"/>
        </w:rPr>
        <w:t xml:space="preserve"> </w:t>
      </w:r>
      <w:r w:rsidRPr="00EC20A0">
        <w:t>creation</w:t>
      </w:r>
      <w:r w:rsidRPr="00EC20A0">
        <w:rPr>
          <w:spacing w:val="-4"/>
        </w:rPr>
        <w:t xml:space="preserve"> </w:t>
      </w:r>
      <w:r w:rsidRPr="00EC20A0">
        <w:t>of</w:t>
      </w:r>
      <w:r w:rsidRPr="00EC20A0">
        <w:rPr>
          <w:spacing w:val="-3"/>
        </w:rPr>
        <w:t xml:space="preserve"> </w:t>
      </w:r>
      <w:r w:rsidRPr="00EC20A0">
        <w:t>commitments, obligations, or expenditures that exceed apportionments and allotments.</w:t>
      </w:r>
    </w:p>
    <w:p w14:paraId="24D60AC5" w14:textId="77777777" w:rsidR="00245300" w:rsidRPr="00EC20A0" w:rsidRDefault="00F17249">
      <w:pPr>
        <w:pStyle w:val="ListParagraph"/>
        <w:numPr>
          <w:ilvl w:val="0"/>
          <w:numId w:val="10"/>
        </w:numPr>
        <w:tabs>
          <w:tab w:val="left" w:pos="478"/>
        </w:tabs>
        <w:spacing w:before="200"/>
        <w:ind w:left="478" w:hanging="269"/>
      </w:pPr>
      <w:r w:rsidRPr="00EC20A0">
        <w:t>We</w:t>
      </w:r>
      <w:r w:rsidRPr="00EC20A0">
        <w:rPr>
          <w:spacing w:val="-7"/>
        </w:rPr>
        <w:t xml:space="preserve"> </w:t>
      </w:r>
      <w:r w:rsidRPr="00EC20A0">
        <w:t>are</w:t>
      </w:r>
      <w:r w:rsidRPr="00EC20A0">
        <w:rPr>
          <w:spacing w:val="-6"/>
        </w:rPr>
        <w:t xml:space="preserve"> </w:t>
      </w:r>
      <w:r w:rsidRPr="00EC20A0">
        <w:t>not</w:t>
      </w:r>
      <w:r w:rsidRPr="00EC20A0">
        <w:rPr>
          <w:spacing w:val="-6"/>
        </w:rPr>
        <w:t xml:space="preserve"> </w:t>
      </w:r>
      <w:r w:rsidRPr="00EC20A0">
        <w:t>aware</w:t>
      </w:r>
      <w:r w:rsidRPr="00EC20A0">
        <w:rPr>
          <w:spacing w:val="-7"/>
        </w:rPr>
        <w:t xml:space="preserve"> </w:t>
      </w:r>
      <w:r w:rsidRPr="00EC20A0">
        <w:t>of</w:t>
      </w:r>
      <w:r w:rsidRPr="00EC20A0">
        <w:rPr>
          <w:spacing w:val="-6"/>
        </w:rPr>
        <w:t xml:space="preserve"> </w:t>
      </w:r>
      <w:r w:rsidRPr="00EC20A0">
        <w:t>instances</w:t>
      </w:r>
      <w:r w:rsidRPr="00EC20A0">
        <w:rPr>
          <w:spacing w:val="-6"/>
        </w:rPr>
        <w:t xml:space="preserve"> </w:t>
      </w:r>
      <w:r w:rsidRPr="00EC20A0">
        <w:t>of</w:t>
      </w:r>
      <w:r w:rsidRPr="00EC20A0">
        <w:rPr>
          <w:spacing w:val="-6"/>
        </w:rPr>
        <w:t xml:space="preserve"> </w:t>
      </w:r>
      <w:r w:rsidRPr="00EC20A0">
        <w:t>noncompliance</w:t>
      </w:r>
      <w:r w:rsidRPr="00EC20A0">
        <w:rPr>
          <w:spacing w:val="-7"/>
        </w:rPr>
        <w:t xml:space="preserve"> </w:t>
      </w:r>
      <w:r w:rsidRPr="00EC20A0">
        <w:t>with</w:t>
      </w:r>
      <w:r w:rsidRPr="00EC20A0">
        <w:rPr>
          <w:spacing w:val="-6"/>
        </w:rPr>
        <w:t xml:space="preserve"> </w:t>
      </w:r>
      <w:r w:rsidRPr="00EC20A0">
        <w:t>the</w:t>
      </w:r>
      <w:r w:rsidRPr="00EC20A0">
        <w:rPr>
          <w:spacing w:val="-6"/>
        </w:rPr>
        <w:t xml:space="preserve"> </w:t>
      </w:r>
      <w:r w:rsidRPr="00EC20A0">
        <w:t>above-stated</w:t>
      </w:r>
      <w:r w:rsidRPr="00EC20A0">
        <w:rPr>
          <w:spacing w:val="-7"/>
        </w:rPr>
        <w:t xml:space="preserve"> </w:t>
      </w:r>
      <w:r w:rsidRPr="00EC20A0">
        <w:rPr>
          <w:spacing w:val="-2"/>
        </w:rPr>
        <w:t>procedures.</w:t>
      </w:r>
    </w:p>
    <w:p w14:paraId="24D60AC6" w14:textId="77777777" w:rsidR="00245300" w:rsidRPr="00EC20A0" w:rsidRDefault="00F17249">
      <w:pPr>
        <w:pStyle w:val="ListParagraph"/>
        <w:numPr>
          <w:ilvl w:val="0"/>
          <w:numId w:val="10"/>
        </w:numPr>
        <w:tabs>
          <w:tab w:val="left" w:pos="477"/>
          <w:tab w:val="left" w:pos="479"/>
        </w:tabs>
        <w:spacing w:before="197"/>
        <w:ind w:right="714" w:hanging="271"/>
      </w:pPr>
      <w:r w:rsidRPr="00EC20A0">
        <w:t>We</w:t>
      </w:r>
      <w:r w:rsidRPr="00EC20A0">
        <w:rPr>
          <w:spacing w:val="-3"/>
        </w:rPr>
        <w:t xml:space="preserve"> </w:t>
      </w:r>
      <w:r w:rsidRPr="00EC20A0">
        <w:t>are</w:t>
      </w:r>
      <w:r w:rsidRPr="00EC20A0">
        <w:rPr>
          <w:spacing w:val="-3"/>
        </w:rPr>
        <w:t xml:space="preserve"> </w:t>
      </w:r>
      <w:r w:rsidRPr="00EC20A0">
        <w:t>not</w:t>
      </w:r>
      <w:r w:rsidRPr="00EC20A0">
        <w:rPr>
          <w:spacing w:val="-3"/>
        </w:rPr>
        <w:t xml:space="preserve"> </w:t>
      </w:r>
      <w:r w:rsidRPr="00EC20A0">
        <w:t>aware</w:t>
      </w:r>
      <w:r w:rsidRPr="00EC20A0">
        <w:rPr>
          <w:spacing w:val="-3"/>
        </w:rPr>
        <w:t xml:space="preserve"> </w:t>
      </w:r>
      <w:r w:rsidRPr="00EC20A0">
        <w:t>of</w:t>
      </w:r>
      <w:r w:rsidRPr="00EC20A0">
        <w:rPr>
          <w:spacing w:val="-3"/>
        </w:rPr>
        <w:t xml:space="preserve"> </w:t>
      </w:r>
      <w:r w:rsidRPr="00EC20A0">
        <w:t>instances</w:t>
      </w:r>
      <w:r w:rsidRPr="00EC20A0">
        <w:rPr>
          <w:spacing w:val="-3"/>
        </w:rPr>
        <w:t xml:space="preserve"> </w:t>
      </w:r>
      <w:r w:rsidRPr="00EC20A0">
        <w:t>of</w:t>
      </w:r>
      <w:r w:rsidRPr="00EC20A0">
        <w:rPr>
          <w:spacing w:val="-3"/>
        </w:rPr>
        <w:t xml:space="preserve"> </w:t>
      </w:r>
      <w:r w:rsidRPr="00EC20A0">
        <w:t>fraud</w:t>
      </w:r>
      <w:r w:rsidRPr="00EC20A0">
        <w:rPr>
          <w:spacing w:val="-3"/>
        </w:rPr>
        <w:t xml:space="preserve"> </w:t>
      </w:r>
      <w:r w:rsidRPr="00EC20A0">
        <w:t>involving</w:t>
      </w:r>
      <w:r w:rsidRPr="00EC20A0">
        <w:rPr>
          <w:spacing w:val="-4"/>
        </w:rPr>
        <w:t xml:space="preserve"> </w:t>
      </w:r>
      <w:r w:rsidRPr="00EC20A0">
        <w:t>management,</w:t>
      </w:r>
      <w:r w:rsidRPr="00EC20A0">
        <w:rPr>
          <w:spacing w:val="-3"/>
        </w:rPr>
        <w:t xml:space="preserve"> </w:t>
      </w:r>
      <w:r w:rsidRPr="00EC20A0">
        <w:t>employees,</w:t>
      </w:r>
      <w:r w:rsidRPr="00EC20A0">
        <w:rPr>
          <w:spacing w:val="-3"/>
        </w:rPr>
        <w:t xml:space="preserve"> </w:t>
      </w:r>
      <w:r w:rsidRPr="00EC20A0">
        <w:t>or</w:t>
      </w:r>
      <w:r w:rsidRPr="00EC20A0">
        <w:rPr>
          <w:spacing w:val="-3"/>
        </w:rPr>
        <w:t xml:space="preserve"> </w:t>
      </w:r>
      <w:r w:rsidRPr="00EC20A0">
        <w:t>contractor staff who have significant roles in the operation of our budget execution process.</w:t>
      </w:r>
    </w:p>
    <w:p w14:paraId="24D60AC7" w14:textId="77777777" w:rsidR="00245300" w:rsidRPr="00EC20A0" w:rsidRDefault="00F17249">
      <w:pPr>
        <w:pStyle w:val="ListParagraph"/>
        <w:numPr>
          <w:ilvl w:val="0"/>
          <w:numId w:val="10"/>
        </w:numPr>
        <w:tabs>
          <w:tab w:val="left" w:pos="479"/>
        </w:tabs>
        <w:spacing w:before="199"/>
        <w:ind w:right="1104"/>
      </w:pPr>
      <w:r w:rsidRPr="00EC20A0">
        <w:t>We</w:t>
      </w:r>
      <w:r w:rsidRPr="00EC20A0">
        <w:rPr>
          <w:spacing w:val="-3"/>
        </w:rPr>
        <w:t xml:space="preserve"> </w:t>
      </w:r>
      <w:r w:rsidRPr="00EC20A0">
        <w:t>have</w:t>
      </w:r>
      <w:r w:rsidRPr="00EC20A0">
        <w:rPr>
          <w:spacing w:val="-3"/>
        </w:rPr>
        <w:t xml:space="preserve"> </w:t>
      </w:r>
      <w:r w:rsidRPr="00EC20A0">
        <w:t>no</w:t>
      </w:r>
      <w:r w:rsidRPr="00EC20A0">
        <w:rPr>
          <w:spacing w:val="-4"/>
        </w:rPr>
        <w:t xml:space="preserve"> </w:t>
      </w:r>
      <w:r w:rsidRPr="00EC20A0">
        <w:t>plans</w:t>
      </w:r>
      <w:r w:rsidRPr="00EC20A0">
        <w:rPr>
          <w:spacing w:val="-3"/>
        </w:rPr>
        <w:t xml:space="preserve"> </w:t>
      </w:r>
      <w:r w:rsidRPr="00EC20A0">
        <w:t>or</w:t>
      </w:r>
      <w:r w:rsidRPr="00EC20A0">
        <w:rPr>
          <w:spacing w:val="-3"/>
        </w:rPr>
        <w:t xml:space="preserve"> </w:t>
      </w:r>
      <w:r w:rsidRPr="00EC20A0">
        <w:t>intentions</w:t>
      </w:r>
      <w:r w:rsidRPr="00EC20A0">
        <w:rPr>
          <w:spacing w:val="-3"/>
        </w:rPr>
        <w:t xml:space="preserve"> </w:t>
      </w:r>
      <w:r w:rsidRPr="00EC20A0">
        <w:t>that</w:t>
      </w:r>
      <w:r w:rsidRPr="00EC20A0">
        <w:rPr>
          <w:spacing w:val="-4"/>
        </w:rPr>
        <w:t xml:space="preserve"> </w:t>
      </w:r>
      <w:r w:rsidRPr="00EC20A0">
        <w:t>would</w:t>
      </w:r>
      <w:r w:rsidRPr="00EC20A0">
        <w:rPr>
          <w:spacing w:val="-3"/>
        </w:rPr>
        <w:t xml:space="preserve"> </w:t>
      </w:r>
      <w:r w:rsidRPr="00EC20A0">
        <w:t>materially</w:t>
      </w:r>
      <w:r w:rsidRPr="00EC20A0">
        <w:rPr>
          <w:spacing w:val="-3"/>
        </w:rPr>
        <w:t xml:space="preserve"> </w:t>
      </w:r>
      <w:r w:rsidRPr="00EC20A0">
        <w:t>affect</w:t>
      </w:r>
      <w:r w:rsidRPr="00EC20A0">
        <w:rPr>
          <w:spacing w:val="-3"/>
        </w:rPr>
        <w:t xml:space="preserve"> </w:t>
      </w:r>
      <w:r w:rsidRPr="00EC20A0">
        <w:t>our</w:t>
      </w:r>
      <w:r w:rsidRPr="00EC20A0">
        <w:rPr>
          <w:spacing w:val="-3"/>
        </w:rPr>
        <w:t xml:space="preserve"> </w:t>
      </w:r>
      <w:r w:rsidRPr="00EC20A0">
        <w:t>budgetary</w:t>
      </w:r>
      <w:r w:rsidRPr="00EC20A0">
        <w:rPr>
          <w:spacing w:val="-3"/>
        </w:rPr>
        <w:t xml:space="preserve"> </w:t>
      </w:r>
      <w:r w:rsidRPr="00EC20A0">
        <w:t>process</w:t>
      </w:r>
      <w:r w:rsidRPr="00EC20A0">
        <w:rPr>
          <w:spacing w:val="-4"/>
        </w:rPr>
        <w:t xml:space="preserve"> </w:t>
      </w:r>
      <w:r w:rsidRPr="00EC20A0">
        <w:t xml:space="preserve">or </w:t>
      </w:r>
      <w:r w:rsidRPr="00EC20A0">
        <w:rPr>
          <w:spacing w:val="-2"/>
        </w:rPr>
        <w:t>operations.</w:t>
      </w:r>
    </w:p>
    <w:p w14:paraId="24D60AC8" w14:textId="77777777" w:rsidR="00245300" w:rsidRPr="00EC20A0" w:rsidRDefault="00F17249">
      <w:pPr>
        <w:pStyle w:val="BodyText"/>
        <w:spacing w:before="198"/>
        <w:ind w:left="119"/>
      </w:pPr>
      <w:r w:rsidRPr="00EC20A0">
        <w:rPr>
          <w:spacing w:val="-2"/>
        </w:rPr>
        <w:t>Sincerely,</w:t>
      </w:r>
    </w:p>
    <w:p w14:paraId="74B344E5" w14:textId="77777777" w:rsidR="00166ADE" w:rsidRDefault="00166ADE" w:rsidP="00166ADE">
      <w:pPr>
        <w:ind w:left="90"/>
        <w:rPr>
          <w:b/>
          <w:bCs/>
        </w:rPr>
      </w:pPr>
    </w:p>
    <w:p w14:paraId="24D60AC9" w14:textId="4179B220" w:rsidR="00245300" w:rsidRPr="00166ADE" w:rsidRDefault="00F17249" w:rsidP="00166ADE">
      <w:pPr>
        <w:ind w:left="90"/>
        <w:rPr>
          <w:b/>
          <w:bCs/>
        </w:rPr>
      </w:pPr>
      <w:r w:rsidRPr="00166ADE">
        <w:rPr>
          <w:b/>
          <w:bCs/>
        </w:rPr>
        <w:t>[signed]</w:t>
      </w:r>
    </w:p>
    <w:p w14:paraId="24D60ACA" w14:textId="77777777" w:rsidR="00245300" w:rsidRPr="00EC20A0" w:rsidRDefault="00245300">
      <w:pPr>
        <w:sectPr w:rsidR="00245300" w:rsidRPr="00EC20A0">
          <w:headerReference w:type="default" r:id="rId76"/>
          <w:footerReference w:type="default" r:id="rId77"/>
          <w:pgSz w:w="12240" w:h="15840"/>
          <w:pgMar w:top="1600" w:right="1140" w:bottom="940" w:left="1320" w:header="721" w:footer="757" w:gutter="0"/>
          <w:pgNumType w:start="1"/>
          <w:cols w:space="720"/>
        </w:sectPr>
      </w:pPr>
    </w:p>
    <w:p w14:paraId="24D60ACB" w14:textId="77777777" w:rsidR="00245300" w:rsidRPr="00EC20A0" w:rsidRDefault="00F17249">
      <w:pPr>
        <w:spacing w:before="120"/>
        <w:ind w:left="120" w:right="7944"/>
      </w:pPr>
      <w:r w:rsidRPr="00EC20A0">
        <w:rPr>
          <w:b/>
        </w:rPr>
        <w:t>[Official’s</w:t>
      </w:r>
      <w:r w:rsidRPr="00EC20A0">
        <w:rPr>
          <w:b/>
          <w:spacing w:val="-16"/>
        </w:rPr>
        <w:t xml:space="preserve"> </w:t>
      </w:r>
      <w:r w:rsidRPr="00EC20A0">
        <w:rPr>
          <w:b/>
        </w:rPr>
        <w:t xml:space="preserve">name] [Official’s title] </w:t>
      </w:r>
      <w:r w:rsidRPr="00EC20A0">
        <w:t>XYZ Entity</w:t>
      </w:r>
    </w:p>
    <w:p w14:paraId="24D60ACC" w14:textId="77777777" w:rsidR="00245300" w:rsidRPr="00EC20A0" w:rsidRDefault="00245300">
      <w:pPr>
        <w:sectPr w:rsidR="00245300" w:rsidRPr="00EC20A0">
          <w:pgSz w:w="12240" w:h="15840"/>
          <w:pgMar w:top="1600" w:right="1140" w:bottom="940" w:left="1320" w:header="721" w:footer="757" w:gutter="0"/>
          <w:cols w:space="720"/>
        </w:sectPr>
      </w:pPr>
    </w:p>
    <w:p w14:paraId="24D60ACD" w14:textId="77777777" w:rsidR="00245300" w:rsidRPr="00EC20A0" w:rsidRDefault="00F17249">
      <w:pPr>
        <w:pStyle w:val="Heading3"/>
        <w:spacing w:before="360"/>
        <w:rPr>
          <w:u w:val="none"/>
        </w:rPr>
      </w:pPr>
      <w:bookmarkStart w:id="164" w:name="710_D_–_Example_Agreed-Upon_Procedures_R"/>
      <w:bookmarkStart w:id="165" w:name="_bookmark68"/>
      <w:bookmarkEnd w:id="164"/>
      <w:bookmarkEnd w:id="165"/>
      <w:r w:rsidRPr="00EC20A0">
        <w:t>710</w:t>
      </w:r>
      <w:r w:rsidRPr="00EC20A0">
        <w:rPr>
          <w:spacing w:val="-6"/>
        </w:rPr>
        <w:t xml:space="preserve"> </w:t>
      </w:r>
      <w:r w:rsidRPr="00EC20A0">
        <w:t>D</w:t>
      </w:r>
      <w:r w:rsidRPr="00EC20A0">
        <w:rPr>
          <w:spacing w:val="-5"/>
        </w:rPr>
        <w:t xml:space="preserve"> </w:t>
      </w:r>
      <w:r w:rsidRPr="00EC20A0">
        <w:t>–</w:t>
      </w:r>
      <w:r w:rsidRPr="00EC20A0">
        <w:rPr>
          <w:spacing w:val="-5"/>
        </w:rPr>
        <w:t xml:space="preserve"> </w:t>
      </w:r>
      <w:r w:rsidRPr="00EC20A0">
        <w:t>Example</w:t>
      </w:r>
      <w:r w:rsidRPr="00EC20A0">
        <w:rPr>
          <w:spacing w:val="-17"/>
        </w:rPr>
        <w:t xml:space="preserve"> </w:t>
      </w:r>
      <w:r w:rsidRPr="00EC20A0">
        <w:t>Agreed-Upon</w:t>
      </w:r>
      <w:r w:rsidRPr="00EC20A0">
        <w:rPr>
          <w:spacing w:val="-7"/>
        </w:rPr>
        <w:t xml:space="preserve"> </w:t>
      </w:r>
      <w:r w:rsidRPr="00EC20A0">
        <w:t>Procedures</w:t>
      </w:r>
      <w:r w:rsidRPr="00EC20A0">
        <w:rPr>
          <w:spacing w:val="-6"/>
        </w:rPr>
        <w:t xml:space="preserve"> </w:t>
      </w:r>
      <w:r w:rsidRPr="00EC20A0">
        <w:t>Report</w:t>
      </w:r>
      <w:r w:rsidRPr="00EC20A0">
        <w:rPr>
          <w:spacing w:val="-5"/>
        </w:rPr>
        <w:t xml:space="preserve"> </w:t>
      </w:r>
      <w:r w:rsidRPr="00EC20A0">
        <w:t>Where</w:t>
      </w:r>
      <w:r w:rsidRPr="00EC20A0">
        <w:rPr>
          <w:spacing w:val="-6"/>
        </w:rPr>
        <w:t xml:space="preserve"> </w:t>
      </w:r>
      <w:r w:rsidRPr="00EC20A0">
        <w:t>the</w:t>
      </w:r>
      <w:r w:rsidRPr="00EC20A0">
        <w:rPr>
          <w:u w:val="none"/>
        </w:rPr>
        <w:t xml:space="preserve"> </w:t>
      </w:r>
      <w:r w:rsidRPr="00EC20A0">
        <w:t>Engaging Party Is Not the Responsible Party</w:t>
      </w:r>
    </w:p>
    <w:p w14:paraId="24D60ACE" w14:textId="77777777" w:rsidR="00245300" w:rsidRPr="00EC20A0" w:rsidRDefault="00245300">
      <w:pPr>
        <w:pStyle w:val="BodyText"/>
        <w:spacing w:before="107"/>
        <w:rPr>
          <w:b/>
        </w:rPr>
      </w:pPr>
    </w:p>
    <w:p w14:paraId="24D60ACF" w14:textId="77777777" w:rsidR="00245300" w:rsidRPr="004161F6" w:rsidRDefault="00F17249" w:rsidP="004161F6">
      <w:pPr>
        <w:rPr>
          <w:b/>
          <w:bCs/>
        </w:rPr>
      </w:pPr>
      <w:r w:rsidRPr="004161F6">
        <w:rPr>
          <w:b/>
          <w:bCs/>
        </w:rPr>
        <w:t>[Date]</w:t>
      </w:r>
    </w:p>
    <w:p w14:paraId="24D60AD0" w14:textId="77777777" w:rsidR="00245300" w:rsidRPr="00EC20A0" w:rsidRDefault="00F17249">
      <w:pPr>
        <w:pStyle w:val="BodyText"/>
        <w:spacing w:before="240"/>
        <w:ind w:left="120"/>
      </w:pPr>
      <w:r w:rsidRPr="00EC20A0">
        <w:t>Management</w:t>
      </w:r>
      <w:r w:rsidRPr="00EC20A0">
        <w:rPr>
          <w:spacing w:val="-8"/>
        </w:rPr>
        <w:t xml:space="preserve"> </w:t>
      </w:r>
      <w:r w:rsidRPr="00EC20A0">
        <w:t>of</w:t>
      </w:r>
      <w:r w:rsidRPr="00EC20A0">
        <w:rPr>
          <w:spacing w:val="-7"/>
        </w:rPr>
        <w:t xml:space="preserve"> </w:t>
      </w:r>
      <w:r w:rsidRPr="00EC20A0">
        <w:t>ABC</w:t>
      </w:r>
      <w:r w:rsidRPr="00EC20A0">
        <w:rPr>
          <w:spacing w:val="-9"/>
        </w:rPr>
        <w:t xml:space="preserve"> </w:t>
      </w:r>
      <w:r w:rsidRPr="00EC20A0">
        <w:rPr>
          <w:spacing w:val="-2"/>
        </w:rPr>
        <w:t>Entity</w:t>
      </w:r>
    </w:p>
    <w:p w14:paraId="24D60AD1" w14:textId="77777777" w:rsidR="00245300" w:rsidRPr="00EC20A0" w:rsidRDefault="00F17249">
      <w:pPr>
        <w:pStyle w:val="BodyText"/>
        <w:spacing w:before="240"/>
        <w:ind w:left="120" w:right="380"/>
      </w:pPr>
      <w:r w:rsidRPr="00EC20A0">
        <w:t>Subject:</w:t>
      </w:r>
      <w:r w:rsidRPr="00EC20A0">
        <w:rPr>
          <w:spacing w:val="-5"/>
        </w:rPr>
        <w:t xml:space="preserve"> </w:t>
      </w:r>
      <w:r w:rsidRPr="00EC20A0">
        <w:t>Independent</w:t>
      </w:r>
      <w:r w:rsidRPr="00EC20A0">
        <w:rPr>
          <w:spacing w:val="-5"/>
        </w:rPr>
        <w:t xml:space="preserve"> </w:t>
      </w:r>
      <w:r w:rsidRPr="00EC20A0">
        <w:t>Accountant’s</w:t>
      </w:r>
      <w:r w:rsidRPr="00EC20A0">
        <w:rPr>
          <w:spacing w:val="-5"/>
        </w:rPr>
        <w:t xml:space="preserve"> </w:t>
      </w:r>
      <w:r w:rsidRPr="00EC20A0">
        <w:t>Report</w:t>
      </w:r>
      <w:r w:rsidRPr="00EC20A0">
        <w:rPr>
          <w:spacing w:val="-5"/>
        </w:rPr>
        <w:t xml:space="preserve"> </w:t>
      </w:r>
      <w:r w:rsidRPr="00EC20A0">
        <w:t>on</w:t>
      </w:r>
      <w:r w:rsidRPr="00EC20A0">
        <w:rPr>
          <w:spacing w:val="-5"/>
        </w:rPr>
        <w:t xml:space="preserve"> </w:t>
      </w:r>
      <w:r w:rsidRPr="00EC20A0">
        <w:t>Applying</w:t>
      </w:r>
      <w:r w:rsidRPr="00EC20A0">
        <w:rPr>
          <w:spacing w:val="-5"/>
        </w:rPr>
        <w:t xml:space="preserve"> </w:t>
      </w:r>
      <w:r w:rsidRPr="00EC20A0">
        <w:t>Agreed-Upon</w:t>
      </w:r>
      <w:r w:rsidRPr="00EC20A0">
        <w:rPr>
          <w:spacing w:val="-5"/>
        </w:rPr>
        <w:t xml:space="preserve"> </w:t>
      </w:r>
      <w:r w:rsidRPr="00EC20A0">
        <w:t>Procedures:</w:t>
      </w:r>
      <w:r w:rsidRPr="00EC20A0">
        <w:rPr>
          <w:spacing w:val="-5"/>
        </w:rPr>
        <w:t xml:space="preserve"> </w:t>
      </w:r>
      <w:r w:rsidRPr="00EC20A0">
        <w:t>Count</w:t>
      </w:r>
      <w:r w:rsidRPr="00EC20A0">
        <w:rPr>
          <w:spacing w:val="-5"/>
        </w:rPr>
        <w:t xml:space="preserve"> </w:t>
      </w:r>
      <w:r w:rsidRPr="00EC20A0">
        <w:t>of Cash and Related Items of XYZ Entity</w:t>
      </w:r>
    </w:p>
    <w:p w14:paraId="24D60AD2" w14:textId="77777777" w:rsidR="00245300" w:rsidRPr="00EC20A0" w:rsidRDefault="00F17249">
      <w:pPr>
        <w:pStyle w:val="BodyText"/>
        <w:spacing w:before="239"/>
        <w:ind w:left="120"/>
      </w:pPr>
      <w:r w:rsidRPr="00EC20A0">
        <w:t>Dear</w:t>
      </w:r>
      <w:r w:rsidRPr="00EC20A0">
        <w:rPr>
          <w:spacing w:val="-10"/>
        </w:rPr>
        <w:t xml:space="preserve"> </w:t>
      </w:r>
      <w:r w:rsidRPr="00EC20A0">
        <w:t>Management</w:t>
      </w:r>
      <w:r w:rsidRPr="00EC20A0">
        <w:rPr>
          <w:spacing w:val="-10"/>
        </w:rPr>
        <w:t xml:space="preserve"> </w:t>
      </w:r>
      <w:r w:rsidRPr="00EC20A0">
        <w:rPr>
          <w:spacing w:val="-2"/>
        </w:rPr>
        <w:t>Official:</w:t>
      </w:r>
    </w:p>
    <w:p w14:paraId="24D60AD3" w14:textId="77777777" w:rsidR="00245300" w:rsidRPr="00EC20A0" w:rsidRDefault="00F17249">
      <w:pPr>
        <w:pStyle w:val="BodyText"/>
        <w:spacing w:before="241"/>
        <w:ind w:left="119" w:right="365"/>
      </w:pPr>
      <w:r w:rsidRPr="00EC20A0">
        <w:t>We have performed the procedures described in the enclosure to this report on the count of cash</w:t>
      </w:r>
      <w:r w:rsidRPr="00EC20A0">
        <w:rPr>
          <w:spacing w:val="-3"/>
        </w:rPr>
        <w:t xml:space="preserve"> </w:t>
      </w:r>
      <w:r w:rsidRPr="00EC20A0">
        <w:t>and</w:t>
      </w:r>
      <w:r w:rsidRPr="00EC20A0">
        <w:rPr>
          <w:spacing w:val="-3"/>
        </w:rPr>
        <w:t xml:space="preserve"> </w:t>
      </w:r>
      <w:r w:rsidRPr="00EC20A0">
        <w:t>cash-related</w:t>
      </w:r>
      <w:r w:rsidRPr="00EC20A0">
        <w:rPr>
          <w:spacing w:val="-3"/>
        </w:rPr>
        <w:t xml:space="preserve"> </w:t>
      </w:r>
      <w:r w:rsidRPr="00EC20A0">
        <w:t>items</w:t>
      </w:r>
      <w:r w:rsidRPr="00EC20A0">
        <w:rPr>
          <w:spacing w:val="-3"/>
        </w:rPr>
        <w:t xml:space="preserve"> </w:t>
      </w:r>
      <w:r w:rsidRPr="00EC20A0">
        <w:t>of</w:t>
      </w:r>
      <w:r w:rsidRPr="00EC20A0">
        <w:rPr>
          <w:spacing w:val="-3"/>
        </w:rPr>
        <w:t xml:space="preserve"> </w:t>
      </w:r>
      <w:r w:rsidRPr="00EC20A0">
        <w:t>XYZ</w:t>
      </w:r>
      <w:r w:rsidRPr="00EC20A0">
        <w:rPr>
          <w:spacing w:val="-2"/>
        </w:rPr>
        <w:t xml:space="preserve"> </w:t>
      </w:r>
      <w:r w:rsidRPr="00EC20A0">
        <w:t>Entity</w:t>
      </w:r>
      <w:r w:rsidRPr="00EC20A0">
        <w:rPr>
          <w:spacing w:val="-3"/>
        </w:rPr>
        <w:t xml:space="preserve"> </w:t>
      </w:r>
      <w:proofErr w:type="gramStart"/>
      <w:r w:rsidRPr="00EC20A0">
        <w:t>at</w:t>
      </w:r>
      <w:proofErr w:type="gramEnd"/>
      <w:r w:rsidRPr="00EC20A0">
        <w:rPr>
          <w:spacing w:val="-3"/>
        </w:rPr>
        <w:t xml:space="preserve"> </w:t>
      </w:r>
      <w:r w:rsidRPr="00EC20A0">
        <w:t>September</w:t>
      </w:r>
      <w:r w:rsidRPr="00EC20A0">
        <w:rPr>
          <w:spacing w:val="-3"/>
        </w:rPr>
        <w:t xml:space="preserve"> </w:t>
      </w:r>
      <w:r w:rsidRPr="00EC20A0">
        <w:t>30,</w:t>
      </w:r>
      <w:r w:rsidRPr="00EC20A0">
        <w:rPr>
          <w:spacing w:val="-3"/>
        </w:rPr>
        <w:t xml:space="preserve"> </w:t>
      </w:r>
      <w:r w:rsidRPr="00EC20A0">
        <w:t>20XX,</w:t>
      </w:r>
      <w:r w:rsidRPr="00EC20A0">
        <w:rPr>
          <w:spacing w:val="-3"/>
        </w:rPr>
        <w:t xml:space="preserve"> </w:t>
      </w:r>
      <w:r w:rsidRPr="00EC20A0">
        <w:t>with</w:t>
      </w:r>
      <w:r w:rsidRPr="00EC20A0">
        <w:rPr>
          <w:spacing w:val="-3"/>
        </w:rPr>
        <w:t xml:space="preserve"> </w:t>
      </w:r>
      <w:r w:rsidRPr="00EC20A0">
        <w:t>which</w:t>
      </w:r>
      <w:r w:rsidRPr="00EC20A0">
        <w:rPr>
          <w:spacing w:val="-3"/>
        </w:rPr>
        <w:t xml:space="preserve"> </w:t>
      </w:r>
      <w:r w:rsidRPr="00EC20A0">
        <w:t>you</w:t>
      </w:r>
      <w:r w:rsidRPr="00EC20A0">
        <w:rPr>
          <w:spacing w:val="-3"/>
        </w:rPr>
        <w:t xml:space="preserve"> </w:t>
      </w:r>
      <w:r w:rsidRPr="00EC20A0">
        <w:t>agreed.</w:t>
      </w:r>
      <w:r w:rsidRPr="00EC20A0">
        <w:rPr>
          <w:spacing w:val="-3"/>
        </w:rPr>
        <w:t xml:space="preserve"> </w:t>
      </w:r>
      <w:r w:rsidRPr="00EC20A0">
        <w:t xml:space="preserve">XYZ Entity management is responsible for the count of its cash and cash-related items </w:t>
      </w:r>
      <w:proofErr w:type="gramStart"/>
      <w:r w:rsidRPr="00EC20A0">
        <w:t>at</w:t>
      </w:r>
      <w:proofErr w:type="gramEnd"/>
      <w:r w:rsidRPr="00EC20A0">
        <w:rPr>
          <w:spacing w:val="40"/>
        </w:rPr>
        <w:t xml:space="preserve"> </w:t>
      </w:r>
      <w:r w:rsidRPr="00EC20A0">
        <w:t>September</w:t>
      </w:r>
      <w:r w:rsidRPr="00EC20A0">
        <w:rPr>
          <w:spacing w:val="-1"/>
        </w:rPr>
        <w:t xml:space="preserve"> </w:t>
      </w:r>
      <w:r w:rsidRPr="00EC20A0">
        <w:t>30,</w:t>
      </w:r>
      <w:r w:rsidRPr="00EC20A0">
        <w:rPr>
          <w:spacing w:val="-2"/>
        </w:rPr>
        <w:t xml:space="preserve"> </w:t>
      </w:r>
      <w:r w:rsidRPr="00EC20A0">
        <w:t>20XX.</w:t>
      </w:r>
      <w:r w:rsidRPr="00EC20A0">
        <w:rPr>
          <w:spacing w:val="-2"/>
        </w:rPr>
        <w:t xml:space="preserve"> </w:t>
      </w:r>
      <w:r w:rsidRPr="00EC20A0">
        <w:t>ABC</w:t>
      </w:r>
      <w:r w:rsidRPr="00EC20A0">
        <w:rPr>
          <w:spacing w:val="-3"/>
        </w:rPr>
        <w:t xml:space="preserve"> </w:t>
      </w:r>
      <w:r w:rsidRPr="00EC20A0">
        <w:t>Entity</w:t>
      </w:r>
      <w:r w:rsidRPr="00EC20A0">
        <w:rPr>
          <w:spacing w:val="-2"/>
        </w:rPr>
        <w:t xml:space="preserve"> </w:t>
      </w:r>
      <w:r w:rsidRPr="00EC20A0">
        <w:t>acknowledged</w:t>
      </w:r>
      <w:r w:rsidRPr="00EC20A0">
        <w:rPr>
          <w:spacing w:val="-3"/>
        </w:rPr>
        <w:t xml:space="preserve"> </w:t>
      </w:r>
      <w:r w:rsidRPr="00EC20A0">
        <w:t>that</w:t>
      </w:r>
      <w:r w:rsidRPr="00EC20A0">
        <w:rPr>
          <w:spacing w:val="-2"/>
        </w:rPr>
        <w:t xml:space="preserve"> </w:t>
      </w:r>
      <w:r w:rsidRPr="00EC20A0">
        <w:t>the</w:t>
      </w:r>
      <w:r w:rsidRPr="00EC20A0">
        <w:rPr>
          <w:spacing w:val="-2"/>
        </w:rPr>
        <w:t xml:space="preserve"> </w:t>
      </w:r>
      <w:r w:rsidRPr="00EC20A0">
        <w:t>procedures</w:t>
      </w:r>
      <w:r w:rsidRPr="00EC20A0">
        <w:rPr>
          <w:spacing w:val="-2"/>
        </w:rPr>
        <w:t xml:space="preserve"> </w:t>
      </w:r>
      <w:r w:rsidRPr="00EC20A0">
        <w:t>performed</w:t>
      </w:r>
      <w:r w:rsidRPr="00EC20A0">
        <w:rPr>
          <w:spacing w:val="-2"/>
        </w:rPr>
        <w:t xml:space="preserve"> </w:t>
      </w:r>
      <w:r w:rsidRPr="00EC20A0">
        <w:t>are</w:t>
      </w:r>
      <w:r w:rsidRPr="00EC20A0">
        <w:rPr>
          <w:spacing w:val="-2"/>
        </w:rPr>
        <w:t xml:space="preserve"> </w:t>
      </w:r>
      <w:r w:rsidRPr="00EC20A0">
        <w:t xml:space="preserve">appropriate to meet the intended purpose of the engagement. We performed these procedures solely to meet your needs for an independent count of cash and cash-related items of XYZ Entity </w:t>
      </w:r>
      <w:proofErr w:type="gramStart"/>
      <w:r w:rsidRPr="00EC20A0">
        <w:t>at</w:t>
      </w:r>
      <w:proofErr w:type="gramEnd"/>
      <w:r w:rsidRPr="00EC20A0">
        <w:t xml:space="preserve"> September</w:t>
      </w:r>
      <w:r w:rsidRPr="00EC20A0">
        <w:rPr>
          <w:spacing w:val="-2"/>
        </w:rPr>
        <w:t xml:space="preserve"> </w:t>
      </w:r>
      <w:r w:rsidRPr="00EC20A0">
        <w:t>30,</w:t>
      </w:r>
      <w:r w:rsidRPr="00EC20A0">
        <w:rPr>
          <w:spacing w:val="-3"/>
        </w:rPr>
        <w:t xml:space="preserve"> </w:t>
      </w:r>
      <w:r w:rsidRPr="00EC20A0">
        <w:t>20XX.</w:t>
      </w:r>
      <w:r w:rsidRPr="00EC20A0">
        <w:rPr>
          <w:spacing w:val="-3"/>
        </w:rPr>
        <w:t xml:space="preserve"> </w:t>
      </w:r>
      <w:r w:rsidRPr="00EC20A0">
        <w:t>Consequently,</w:t>
      </w:r>
      <w:r w:rsidRPr="00EC20A0">
        <w:rPr>
          <w:spacing w:val="-3"/>
        </w:rPr>
        <w:t xml:space="preserve"> </w:t>
      </w:r>
      <w:r w:rsidRPr="00EC20A0">
        <w:t>we</w:t>
      </w:r>
      <w:r w:rsidRPr="00EC20A0">
        <w:rPr>
          <w:spacing w:val="-3"/>
        </w:rPr>
        <w:t xml:space="preserve"> </w:t>
      </w:r>
      <w:r w:rsidRPr="00EC20A0">
        <w:t>make</w:t>
      </w:r>
      <w:r w:rsidRPr="00EC20A0">
        <w:rPr>
          <w:spacing w:val="-3"/>
        </w:rPr>
        <w:t xml:space="preserve"> </w:t>
      </w:r>
      <w:r w:rsidRPr="00EC20A0">
        <w:t>no</w:t>
      </w:r>
      <w:r w:rsidRPr="00EC20A0">
        <w:rPr>
          <w:spacing w:val="-3"/>
        </w:rPr>
        <w:t xml:space="preserve"> </w:t>
      </w:r>
      <w:r w:rsidRPr="00EC20A0">
        <w:t>representation</w:t>
      </w:r>
      <w:r w:rsidRPr="00EC20A0">
        <w:rPr>
          <w:spacing w:val="-3"/>
        </w:rPr>
        <w:t xml:space="preserve"> </w:t>
      </w:r>
      <w:r w:rsidRPr="00EC20A0">
        <w:t>regarding</w:t>
      </w:r>
      <w:r w:rsidRPr="00EC20A0">
        <w:rPr>
          <w:spacing w:val="-3"/>
        </w:rPr>
        <w:t xml:space="preserve"> </w:t>
      </w:r>
      <w:r w:rsidRPr="00EC20A0">
        <w:t>the</w:t>
      </w:r>
      <w:r w:rsidRPr="00EC20A0">
        <w:rPr>
          <w:spacing w:val="-3"/>
        </w:rPr>
        <w:t xml:space="preserve"> </w:t>
      </w:r>
      <w:r w:rsidRPr="00EC20A0">
        <w:t xml:space="preserve">appropriateness of the procedures described in this report either for the purpose </w:t>
      </w:r>
      <w:r w:rsidRPr="00EC20A0">
        <w:t>for which this report has been requested or for any other purpose.</w:t>
      </w:r>
    </w:p>
    <w:p w14:paraId="24D60AD4" w14:textId="77777777" w:rsidR="00245300" w:rsidRPr="00EC20A0" w:rsidRDefault="00F17249">
      <w:pPr>
        <w:pStyle w:val="BodyText"/>
        <w:spacing w:before="239"/>
        <w:ind w:left="119" w:right="264"/>
      </w:pPr>
      <w:r w:rsidRPr="00EC20A0">
        <w:t>We</w:t>
      </w:r>
      <w:r w:rsidRPr="00EC20A0">
        <w:rPr>
          <w:spacing w:val="-4"/>
        </w:rPr>
        <w:t xml:space="preserve"> </w:t>
      </w:r>
      <w:r w:rsidRPr="00EC20A0">
        <w:t>conducted</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in</w:t>
      </w:r>
      <w:r w:rsidRPr="00EC20A0">
        <w:rPr>
          <w:spacing w:val="-4"/>
        </w:rPr>
        <w:t xml:space="preserve"> </w:t>
      </w:r>
      <w:r w:rsidRPr="00EC20A0">
        <w:t>accordance</w:t>
      </w:r>
      <w:r w:rsidRPr="00EC20A0">
        <w:rPr>
          <w:spacing w:val="-5"/>
        </w:rPr>
        <w:t xml:space="preserve"> </w:t>
      </w:r>
      <w:r w:rsidRPr="00EC20A0">
        <w:t>with</w:t>
      </w:r>
      <w:r w:rsidRPr="00EC20A0">
        <w:rPr>
          <w:spacing w:val="-4"/>
        </w:rPr>
        <w:t xml:space="preserve"> </w:t>
      </w:r>
      <w:r w:rsidRPr="00EC20A0">
        <w:t>U.S</w:t>
      </w:r>
      <w:r w:rsidRPr="00EC20A0">
        <w:rPr>
          <w:spacing w:val="-4"/>
        </w:rPr>
        <w:t xml:space="preserve"> </w:t>
      </w:r>
      <w:r w:rsidRPr="00EC20A0">
        <w:t>generally</w:t>
      </w:r>
      <w:r w:rsidRPr="00EC20A0">
        <w:rPr>
          <w:spacing w:val="-4"/>
        </w:rPr>
        <w:t xml:space="preserve"> </w:t>
      </w:r>
      <w:r w:rsidRPr="00EC20A0">
        <w:t>accepted</w:t>
      </w:r>
      <w:r w:rsidRPr="00EC20A0">
        <w:rPr>
          <w:spacing w:val="-4"/>
        </w:rPr>
        <w:t xml:space="preserve"> </w:t>
      </w:r>
      <w:r w:rsidRPr="00EC20A0">
        <w:t>government</w:t>
      </w:r>
      <w:r w:rsidRPr="00EC20A0">
        <w:rPr>
          <w:spacing w:val="-4"/>
        </w:rPr>
        <w:t xml:space="preserve"> </w:t>
      </w:r>
      <w:r w:rsidRPr="00EC20A0">
        <w:t xml:space="preserve">auditing standards, which incorporate attestation standards established by the American Institute of </w:t>
      </w:r>
      <w:r w:rsidRPr="00EC20A0">
        <w:t>Certified Public Accountants. We were not engaged to perform, and did not perform, an examination or review, the objective of which would have been to express an opinion or conclusion, respectively, on the amount of cash on hand. Accordingly, we do not express such an opinion or conclusion. Had we performed additional procedures, other matters might have come to our attention that we would have reported to you.</w:t>
      </w:r>
    </w:p>
    <w:p w14:paraId="24D60AD5" w14:textId="77777777" w:rsidR="00245300" w:rsidRPr="00EC20A0" w:rsidRDefault="00F17249">
      <w:pPr>
        <w:pStyle w:val="BodyText"/>
        <w:spacing w:before="241"/>
        <w:ind w:left="119" w:right="341"/>
      </w:pPr>
      <w:r w:rsidRPr="00EC20A0">
        <w:t>The</w:t>
      </w:r>
      <w:r w:rsidRPr="00EC20A0">
        <w:rPr>
          <w:spacing w:val="-3"/>
        </w:rPr>
        <w:t xml:space="preserve"> </w:t>
      </w:r>
      <w:r w:rsidRPr="00EC20A0">
        <w:t>procedures</w:t>
      </w:r>
      <w:r w:rsidRPr="00EC20A0">
        <w:rPr>
          <w:spacing w:val="-3"/>
        </w:rPr>
        <w:t xml:space="preserve"> </w:t>
      </w:r>
      <w:r w:rsidRPr="00EC20A0">
        <w:t>we</w:t>
      </w:r>
      <w:r w:rsidRPr="00EC20A0">
        <w:rPr>
          <w:spacing w:val="-3"/>
        </w:rPr>
        <w:t xml:space="preserve"> </w:t>
      </w:r>
      <w:r w:rsidRPr="00EC20A0">
        <w:t>agreed</w:t>
      </w:r>
      <w:r w:rsidRPr="00EC20A0">
        <w:rPr>
          <w:spacing w:val="-3"/>
        </w:rPr>
        <w:t xml:space="preserve"> </w:t>
      </w:r>
      <w:r w:rsidRPr="00EC20A0">
        <w:t>to</w:t>
      </w:r>
      <w:r w:rsidRPr="00EC20A0">
        <w:rPr>
          <w:spacing w:val="-3"/>
        </w:rPr>
        <w:t xml:space="preserve"> </w:t>
      </w:r>
      <w:r w:rsidRPr="00EC20A0">
        <w:t>perform</w:t>
      </w:r>
      <w:r w:rsidRPr="00EC20A0">
        <w:rPr>
          <w:spacing w:val="-4"/>
        </w:rPr>
        <w:t xml:space="preserve"> </w:t>
      </w:r>
      <w:r w:rsidRPr="00EC20A0">
        <w:t>consist</w:t>
      </w:r>
      <w:r w:rsidRPr="00EC20A0">
        <w:rPr>
          <w:spacing w:val="-3"/>
        </w:rPr>
        <w:t xml:space="preserve"> </w:t>
      </w:r>
      <w:r w:rsidRPr="00EC20A0">
        <w:t>of</w:t>
      </w:r>
      <w:r w:rsidRPr="00EC20A0">
        <w:rPr>
          <w:spacing w:val="-3"/>
        </w:rPr>
        <w:t xml:space="preserve"> </w:t>
      </w:r>
      <w:r w:rsidRPr="00EC20A0">
        <w:t>counting</w:t>
      </w:r>
      <w:r w:rsidRPr="00EC20A0">
        <w:rPr>
          <w:spacing w:val="-3"/>
        </w:rPr>
        <w:t xml:space="preserve"> </w:t>
      </w:r>
      <w:r w:rsidRPr="00EC20A0">
        <w:t>amounts</w:t>
      </w:r>
      <w:r w:rsidRPr="00EC20A0">
        <w:rPr>
          <w:spacing w:val="-3"/>
        </w:rPr>
        <w:t xml:space="preserve"> </w:t>
      </w:r>
      <w:r w:rsidRPr="00EC20A0">
        <w:t>for</w:t>
      </w:r>
      <w:r w:rsidRPr="00EC20A0">
        <w:rPr>
          <w:spacing w:val="-3"/>
        </w:rPr>
        <w:t xml:space="preserve"> </w:t>
      </w:r>
      <w:r w:rsidRPr="00EC20A0">
        <w:t>cash</w:t>
      </w:r>
      <w:r w:rsidRPr="00EC20A0">
        <w:rPr>
          <w:spacing w:val="-3"/>
        </w:rPr>
        <w:t xml:space="preserve"> </w:t>
      </w:r>
      <w:r w:rsidRPr="00EC20A0">
        <w:t>and</w:t>
      </w:r>
      <w:r w:rsidRPr="00EC20A0">
        <w:rPr>
          <w:spacing w:val="-3"/>
        </w:rPr>
        <w:t xml:space="preserve"> </w:t>
      </w:r>
      <w:r w:rsidRPr="00EC20A0">
        <w:t>related</w:t>
      </w:r>
      <w:r w:rsidRPr="00EC20A0">
        <w:rPr>
          <w:spacing w:val="-3"/>
        </w:rPr>
        <w:t xml:space="preserve"> </w:t>
      </w:r>
      <w:r w:rsidRPr="00EC20A0">
        <w:t>receipts and comparing combined totals to the authorized amounts. These procedures may not address all the items of interest to a user of the report and may not meet the needs of all users of the report. As such, users are responsible for determining whether these procedures are appropriate for their purposes. The enclosure describes the agreed-upon procedures and our results. We completed our agreed-upon procedures on [date o</w:t>
      </w:r>
      <w:r w:rsidRPr="00EC20A0">
        <w:t>f completion].</w:t>
      </w:r>
    </w:p>
    <w:p w14:paraId="24D60AD6" w14:textId="77777777" w:rsidR="00245300" w:rsidRPr="00EC20A0" w:rsidRDefault="00F17249">
      <w:pPr>
        <w:pStyle w:val="BodyText"/>
        <w:spacing w:before="240"/>
        <w:ind w:left="120"/>
      </w:pPr>
      <w:r w:rsidRPr="00EC20A0">
        <w:t>We</w:t>
      </w:r>
      <w:r w:rsidRPr="00EC20A0">
        <w:rPr>
          <w:spacing w:val="-3"/>
        </w:rPr>
        <w:t xml:space="preserve"> </w:t>
      </w:r>
      <w:r w:rsidRPr="00EC20A0">
        <w:t>are</w:t>
      </w:r>
      <w:r w:rsidRPr="00EC20A0">
        <w:rPr>
          <w:spacing w:val="-3"/>
        </w:rPr>
        <w:t xml:space="preserve"> </w:t>
      </w:r>
      <w:r w:rsidRPr="00EC20A0">
        <w:t>required</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independent</w:t>
      </w:r>
      <w:r w:rsidRPr="00EC20A0">
        <w:rPr>
          <w:spacing w:val="-3"/>
        </w:rPr>
        <w:t xml:space="preserve"> </w:t>
      </w:r>
      <w:r w:rsidRPr="00EC20A0">
        <w:t>of</w:t>
      </w:r>
      <w:r w:rsidRPr="00EC20A0">
        <w:rPr>
          <w:spacing w:val="-3"/>
        </w:rPr>
        <w:t xml:space="preserve"> </w:t>
      </w:r>
      <w:r w:rsidRPr="00EC20A0">
        <w:t>XYZ</w:t>
      </w:r>
      <w:r w:rsidRPr="00EC20A0">
        <w:rPr>
          <w:spacing w:val="-3"/>
        </w:rPr>
        <w:t xml:space="preserve"> </w:t>
      </w:r>
      <w:r w:rsidRPr="00EC20A0">
        <w:t>Entity</w:t>
      </w:r>
      <w:r w:rsidRPr="00EC20A0">
        <w:rPr>
          <w:spacing w:val="-3"/>
        </w:rPr>
        <w:t xml:space="preserve"> </w:t>
      </w:r>
      <w:r w:rsidRPr="00EC20A0">
        <w:t>and</w:t>
      </w:r>
      <w:r w:rsidRPr="00EC20A0">
        <w:rPr>
          <w:spacing w:val="-3"/>
        </w:rPr>
        <w:t xml:space="preserve"> </w:t>
      </w:r>
      <w:r w:rsidRPr="00EC20A0">
        <w:t>to</w:t>
      </w:r>
      <w:r w:rsidRPr="00EC20A0">
        <w:rPr>
          <w:spacing w:val="-3"/>
        </w:rPr>
        <w:t xml:space="preserve"> </w:t>
      </w:r>
      <w:r w:rsidRPr="00EC20A0">
        <w:t>meet</w:t>
      </w:r>
      <w:r w:rsidRPr="00EC20A0">
        <w:rPr>
          <w:spacing w:val="-3"/>
        </w:rPr>
        <w:t xml:space="preserve"> </w:t>
      </w:r>
      <w:r w:rsidRPr="00EC20A0">
        <w:t>our</w:t>
      </w:r>
      <w:r w:rsidRPr="00EC20A0">
        <w:rPr>
          <w:spacing w:val="-3"/>
        </w:rPr>
        <w:t xml:space="preserve"> </w:t>
      </w:r>
      <w:r w:rsidRPr="00EC20A0">
        <w:t>ethical</w:t>
      </w:r>
      <w:r w:rsidRPr="00EC20A0">
        <w:rPr>
          <w:spacing w:val="-3"/>
        </w:rPr>
        <w:t xml:space="preserve"> </w:t>
      </w:r>
      <w:r w:rsidRPr="00EC20A0">
        <w:t>responsibilities,</w:t>
      </w:r>
      <w:r w:rsidRPr="00EC20A0">
        <w:rPr>
          <w:spacing w:val="-3"/>
        </w:rPr>
        <w:t xml:space="preserve"> </w:t>
      </w:r>
      <w:r w:rsidRPr="00EC20A0">
        <w:t xml:space="preserve">in accordance with the relevant ethical requirements related to our agreed-upon procedures </w:t>
      </w:r>
      <w:r w:rsidRPr="00EC20A0">
        <w:rPr>
          <w:spacing w:val="-2"/>
        </w:rPr>
        <w:t>engagement.</w:t>
      </w:r>
    </w:p>
    <w:p w14:paraId="24D60AD7" w14:textId="77777777" w:rsidR="00245300" w:rsidRPr="00EC20A0" w:rsidRDefault="00F17249">
      <w:pPr>
        <w:pStyle w:val="BodyText"/>
        <w:spacing w:before="239"/>
        <w:ind w:left="120" w:right="380"/>
      </w:pPr>
      <w:r w:rsidRPr="00EC20A0">
        <w:t>We</w:t>
      </w:r>
      <w:r w:rsidRPr="00EC20A0">
        <w:rPr>
          <w:spacing w:val="-3"/>
        </w:rPr>
        <w:t xml:space="preserve"> </w:t>
      </w:r>
      <w:r w:rsidRPr="00EC20A0">
        <w:t>requested</w:t>
      </w:r>
      <w:r w:rsidRPr="00EC20A0">
        <w:rPr>
          <w:spacing w:val="-3"/>
        </w:rPr>
        <w:t xml:space="preserve"> </w:t>
      </w:r>
      <w:r w:rsidRPr="00EC20A0">
        <w:t>comments</w:t>
      </w:r>
      <w:r w:rsidRPr="00EC20A0">
        <w:rPr>
          <w:spacing w:val="-3"/>
        </w:rPr>
        <w:t xml:space="preserve"> </w:t>
      </w:r>
      <w:r w:rsidRPr="00EC20A0">
        <w:t>on</w:t>
      </w:r>
      <w:r w:rsidRPr="00EC20A0">
        <w:rPr>
          <w:spacing w:val="-3"/>
        </w:rPr>
        <w:t xml:space="preserve"> </w:t>
      </w:r>
      <w:r w:rsidRPr="00EC20A0">
        <w:t>a</w:t>
      </w:r>
      <w:r w:rsidRPr="00EC20A0">
        <w:rPr>
          <w:spacing w:val="-3"/>
        </w:rPr>
        <w:t xml:space="preserve"> </w:t>
      </w:r>
      <w:r w:rsidRPr="00EC20A0">
        <w:t>draft</w:t>
      </w:r>
      <w:r w:rsidRPr="00EC20A0">
        <w:rPr>
          <w:spacing w:val="-4"/>
        </w:rPr>
        <w:t xml:space="preserve"> </w:t>
      </w:r>
      <w:r w:rsidRPr="00EC20A0">
        <w:t>of</w:t>
      </w:r>
      <w:r w:rsidRPr="00EC20A0">
        <w:rPr>
          <w:spacing w:val="-3"/>
        </w:rPr>
        <w:t xml:space="preserve"> </w:t>
      </w:r>
      <w:r w:rsidRPr="00EC20A0">
        <w:t>this</w:t>
      </w:r>
      <w:r w:rsidRPr="00EC20A0">
        <w:rPr>
          <w:spacing w:val="-3"/>
        </w:rPr>
        <w:t xml:space="preserve"> </w:t>
      </w:r>
      <w:r w:rsidRPr="00EC20A0">
        <w:t>report</w:t>
      </w:r>
      <w:r w:rsidRPr="00EC20A0">
        <w:rPr>
          <w:spacing w:val="-4"/>
        </w:rPr>
        <w:t xml:space="preserve"> </w:t>
      </w:r>
      <w:r w:rsidRPr="00EC20A0">
        <w:t>from</w:t>
      </w:r>
      <w:r w:rsidRPr="00EC20A0">
        <w:rPr>
          <w:spacing w:val="-4"/>
        </w:rPr>
        <w:t xml:space="preserve"> </w:t>
      </w:r>
      <w:r w:rsidRPr="00EC20A0">
        <w:t>XYZ</w:t>
      </w:r>
      <w:r w:rsidRPr="00EC20A0">
        <w:rPr>
          <w:spacing w:val="-3"/>
        </w:rPr>
        <w:t xml:space="preserve"> </w:t>
      </w:r>
      <w:r w:rsidRPr="00EC20A0">
        <w:t>Entity</w:t>
      </w:r>
      <w:r w:rsidRPr="00EC20A0">
        <w:rPr>
          <w:spacing w:val="-2"/>
        </w:rPr>
        <w:t xml:space="preserve"> </w:t>
      </w:r>
      <w:r w:rsidRPr="00EC20A0">
        <w:t>representatives.</w:t>
      </w:r>
      <w:r w:rsidRPr="00EC20A0">
        <w:rPr>
          <w:spacing w:val="-3"/>
        </w:rPr>
        <w:t xml:space="preserve"> </w:t>
      </w:r>
      <w:r w:rsidRPr="00EC20A0">
        <w:t>They</w:t>
      </w:r>
      <w:r w:rsidRPr="00EC20A0">
        <w:rPr>
          <w:spacing w:val="-3"/>
        </w:rPr>
        <w:t xml:space="preserve"> </w:t>
      </w:r>
      <w:r w:rsidRPr="00EC20A0">
        <w:t xml:space="preserve">agreed with the results presented in this report and </w:t>
      </w:r>
      <w:r w:rsidRPr="00EC20A0">
        <w:t>had no comments.</w:t>
      </w:r>
    </w:p>
    <w:p w14:paraId="24D60AD8" w14:textId="77777777" w:rsidR="00245300" w:rsidRPr="00EC20A0" w:rsidRDefault="00F17249">
      <w:pPr>
        <w:pStyle w:val="BodyText"/>
        <w:spacing w:before="241"/>
        <w:ind w:left="120" w:right="380"/>
      </w:pPr>
      <w:r w:rsidRPr="00EC20A0">
        <w:t>The purpose of this report is solely to describe agreed-upon procedures related to an independent</w:t>
      </w:r>
      <w:r w:rsidRPr="00EC20A0">
        <w:rPr>
          <w:spacing w:val="-4"/>
        </w:rPr>
        <w:t xml:space="preserve"> </w:t>
      </w:r>
      <w:r w:rsidRPr="00EC20A0">
        <w:t>count</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cash</w:t>
      </w:r>
      <w:r w:rsidRPr="00EC20A0">
        <w:rPr>
          <w:spacing w:val="-3"/>
        </w:rPr>
        <w:t xml:space="preserve"> </w:t>
      </w:r>
      <w:r w:rsidRPr="00EC20A0">
        <w:t>and</w:t>
      </w:r>
      <w:r w:rsidRPr="00EC20A0">
        <w:rPr>
          <w:spacing w:val="-3"/>
        </w:rPr>
        <w:t xml:space="preserve"> </w:t>
      </w:r>
      <w:r w:rsidRPr="00EC20A0">
        <w:t>cash-related</w:t>
      </w:r>
      <w:r w:rsidRPr="00EC20A0">
        <w:rPr>
          <w:spacing w:val="-3"/>
        </w:rPr>
        <w:t xml:space="preserve"> </w:t>
      </w:r>
      <w:r w:rsidRPr="00EC20A0">
        <w:t>items</w:t>
      </w:r>
      <w:r w:rsidRPr="00EC20A0">
        <w:rPr>
          <w:spacing w:val="-3"/>
        </w:rPr>
        <w:t xml:space="preserve"> </w:t>
      </w:r>
      <w:r w:rsidRPr="00EC20A0">
        <w:t>of</w:t>
      </w:r>
      <w:r w:rsidRPr="00EC20A0">
        <w:rPr>
          <w:spacing w:val="-3"/>
        </w:rPr>
        <w:t xml:space="preserve"> </w:t>
      </w:r>
      <w:r w:rsidRPr="00EC20A0">
        <w:t>XYZ</w:t>
      </w:r>
      <w:r w:rsidRPr="00EC20A0">
        <w:rPr>
          <w:spacing w:val="-2"/>
        </w:rPr>
        <w:t xml:space="preserve"> </w:t>
      </w:r>
      <w:r w:rsidRPr="00EC20A0">
        <w:t>Entity</w:t>
      </w:r>
      <w:r w:rsidRPr="00EC20A0">
        <w:rPr>
          <w:spacing w:val="-3"/>
        </w:rPr>
        <w:t xml:space="preserve"> </w:t>
      </w:r>
      <w:proofErr w:type="gramStart"/>
      <w:r w:rsidRPr="00EC20A0">
        <w:t>at</w:t>
      </w:r>
      <w:proofErr w:type="gramEnd"/>
      <w:r w:rsidRPr="00EC20A0">
        <w:rPr>
          <w:spacing w:val="-3"/>
        </w:rPr>
        <w:t xml:space="preserve"> </w:t>
      </w:r>
      <w:r w:rsidRPr="00EC20A0">
        <w:t>September</w:t>
      </w:r>
      <w:r w:rsidRPr="00EC20A0">
        <w:rPr>
          <w:spacing w:val="-3"/>
        </w:rPr>
        <w:t xml:space="preserve"> </w:t>
      </w:r>
      <w:r w:rsidRPr="00EC20A0">
        <w:t>30,</w:t>
      </w:r>
      <w:r w:rsidRPr="00EC20A0">
        <w:rPr>
          <w:spacing w:val="-3"/>
        </w:rPr>
        <w:t xml:space="preserve"> </w:t>
      </w:r>
      <w:r w:rsidRPr="00EC20A0">
        <w:t>20XX, and</w:t>
      </w:r>
      <w:r w:rsidRPr="00EC20A0">
        <w:rPr>
          <w:spacing w:val="-3"/>
        </w:rPr>
        <w:t xml:space="preserve"> </w:t>
      </w:r>
      <w:r w:rsidRPr="00EC20A0">
        <w:t>the</w:t>
      </w:r>
      <w:r w:rsidRPr="00EC20A0">
        <w:rPr>
          <w:spacing w:val="-3"/>
        </w:rPr>
        <w:t xml:space="preserve"> </w:t>
      </w:r>
      <w:r w:rsidRPr="00EC20A0">
        <w:t>report</w:t>
      </w:r>
      <w:r w:rsidRPr="00EC20A0">
        <w:rPr>
          <w:spacing w:val="-3"/>
        </w:rPr>
        <w:t xml:space="preserve"> </w:t>
      </w:r>
      <w:r w:rsidRPr="00EC20A0">
        <w:t>is</w:t>
      </w:r>
      <w:r w:rsidRPr="00EC20A0">
        <w:rPr>
          <w:spacing w:val="-3"/>
        </w:rPr>
        <w:t xml:space="preserve"> </w:t>
      </w:r>
      <w:r w:rsidRPr="00EC20A0">
        <w:t>not</w:t>
      </w:r>
      <w:r w:rsidRPr="00EC20A0">
        <w:rPr>
          <w:spacing w:val="-3"/>
        </w:rPr>
        <w:t xml:space="preserve"> </w:t>
      </w:r>
      <w:r w:rsidRPr="00EC20A0">
        <w:t>suitable</w:t>
      </w:r>
      <w:r w:rsidRPr="00EC20A0">
        <w:rPr>
          <w:spacing w:val="-3"/>
        </w:rPr>
        <w:t xml:space="preserve"> </w:t>
      </w:r>
      <w:r w:rsidRPr="00EC20A0">
        <w:t>for</w:t>
      </w:r>
      <w:r w:rsidRPr="00EC20A0">
        <w:rPr>
          <w:spacing w:val="-3"/>
        </w:rPr>
        <w:t xml:space="preserve"> </w:t>
      </w:r>
      <w:r w:rsidRPr="00EC20A0">
        <w:t>any</w:t>
      </w:r>
      <w:r w:rsidRPr="00EC20A0">
        <w:rPr>
          <w:spacing w:val="-3"/>
        </w:rPr>
        <w:t xml:space="preserve"> </w:t>
      </w:r>
      <w:r w:rsidRPr="00EC20A0">
        <w:t>other</w:t>
      </w:r>
      <w:r w:rsidRPr="00EC20A0">
        <w:rPr>
          <w:spacing w:val="-3"/>
        </w:rPr>
        <w:t xml:space="preserve"> </w:t>
      </w:r>
      <w:r w:rsidRPr="00EC20A0">
        <w:t>purpose.</w:t>
      </w:r>
      <w:r w:rsidRPr="00EC20A0">
        <w:rPr>
          <w:spacing w:val="-3"/>
        </w:rPr>
        <w:t xml:space="preserve"> </w:t>
      </w:r>
      <w:r w:rsidRPr="00EC20A0">
        <w:t>However,</w:t>
      </w:r>
      <w:r w:rsidRPr="00EC20A0">
        <w:rPr>
          <w:spacing w:val="-3"/>
        </w:rPr>
        <w:t xml:space="preserve"> </w:t>
      </w:r>
      <w:r w:rsidRPr="00EC20A0">
        <w:t>this</w:t>
      </w:r>
      <w:r w:rsidRPr="00EC20A0">
        <w:rPr>
          <w:spacing w:val="-3"/>
        </w:rPr>
        <w:t xml:space="preserve"> </w:t>
      </w:r>
      <w:r w:rsidRPr="00EC20A0">
        <w:t>report</w:t>
      </w:r>
      <w:r w:rsidRPr="00EC20A0">
        <w:rPr>
          <w:spacing w:val="-3"/>
        </w:rPr>
        <w:t xml:space="preserve"> </w:t>
      </w:r>
      <w:r w:rsidRPr="00EC20A0">
        <w:t>is</w:t>
      </w:r>
      <w:r w:rsidRPr="00EC20A0">
        <w:rPr>
          <w:spacing w:val="-3"/>
        </w:rPr>
        <w:t xml:space="preserve"> </w:t>
      </w:r>
      <w:r w:rsidRPr="00EC20A0">
        <w:t>a</w:t>
      </w:r>
      <w:r w:rsidRPr="00EC20A0">
        <w:rPr>
          <w:spacing w:val="-3"/>
        </w:rPr>
        <w:t xml:space="preserve"> </w:t>
      </w:r>
      <w:r w:rsidRPr="00EC20A0">
        <w:t>matter</w:t>
      </w:r>
      <w:r w:rsidRPr="00EC20A0">
        <w:rPr>
          <w:spacing w:val="-3"/>
        </w:rPr>
        <w:t xml:space="preserve"> </w:t>
      </w:r>
      <w:r w:rsidRPr="00EC20A0">
        <w:t>of</w:t>
      </w:r>
      <w:r w:rsidRPr="00EC20A0">
        <w:rPr>
          <w:spacing w:val="-3"/>
        </w:rPr>
        <w:t xml:space="preserve"> </w:t>
      </w:r>
      <w:r w:rsidRPr="00EC20A0">
        <w:t xml:space="preserve">public record, and its distribution is not limited. The report is available at no charge at </w:t>
      </w:r>
      <w:r w:rsidRPr="00EC20A0">
        <w:rPr>
          <w:b/>
        </w:rPr>
        <w:t>[website]</w:t>
      </w:r>
      <w:r w:rsidRPr="00EC20A0">
        <w:t>.</w:t>
      </w:r>
    </w:p>
    <w:p w14:paraId="24D60AD9" w14:textId="77777777" w:rsidR="00245300" w:rsidRPr="00EC20A0" w:rsidRDefault="00245300">
      <w:pPr>
        <w:sectPr w:rsidR="00245300" w:rsidRPr="00EC20A0">
          <w:headerReference w:type="default" r:id="rId78"/>
          <w:footerReference w:type="default" r:id="rId79"/>
          <w:pgSz w:w="12240" w:h="15840"/>
          <w:pgMar w:top="1600" w:right="1140" w:bottom="940" w:left="1320" w:header="721" w:footer="757" w:gutter="0"/>
          <w:pgNumType w:start="1"/>
          <w:cols w:space="720"/>
        </w:sectPr>
      </w:pPr>
    </w:p>
    <w:p w14:paraId="24D60ADA" w14:textId="77777777" w:rsidR="00245300" w:rsidRPr="00EC20A0" w:rsidRDefault="00F17249">
      <w:pPr>
        <w:spacing w:before="121" w:line="468" w:lineRule="auto"/>
        <w:ind w:left="119" w:right="1895"/>
      </w:pPr>
      <w:r w:rsidRPr="00EC20A0">
        <w:t>If</w:t>
      </w:r>
      <w:r w:rsidRPr="00EC20A0">
        <w:rPr>
          <w:spacing w:val="-4"/>
        </w:rPr>
        <w:t xml:space="preserve"> </w:t>
      </w:r>
      <w:r w:rsidRPr="00EC20A0">
        <w:t>you</w:t>
      </w:r>
      <w:r w:rsidRPr="00EC20A0">
        <w:rPr>
          <w:spacing w:val="-4"/>
        </w:rPr>
        <w:t xml:space="preserve"> </w:t>
      </w:r>
      <w:r w:rsidRPr="00EC20A0">
        <w:t>have</w:t>
      </w:r>
      <w:r w:rsidRPr="00EC20A0">
        <w:rPr>
          <w:spacing w:val="-5"/>
        </w:rPr>
        <w:t xml:space="preserve"> </w:t>
      </w:r>
      <w:r w:rsidRPr="00EC20A0">
        <w:t>any</w:t>
      </w:r>
      <w:r w:rsidRPr="00EC20A0">
        <w:rPr>
          <w:spacing w:val="-4"/>
        </w:rPr>
        <w:t xml:space="preserve"> </w:t>
      </w:r>
      <w:r w:rsidRPr="00EC20A0">
        <w:t>questions,</w:t>
      </w:r>
      <w:r w:rsidRPr="00EC20A0">
        <w:rPr>
          <w:spacing w:val="-4"/>
        </w:rPr>
        <w:t xml:space="preserve"> </w:t>
      </w:r>
      <w:r w:rsidRPr="00EC20A0">
        <w:t>please</w:t>
      </w:r>
      <w:r w:rsidRPr="00EC20A0">
        <w:rPr>
          <w:spacing w:val="-5"/>
        </w:rPr>
        <w:t xml:space="preserve"> </w:t>
      </w:r>
      <w:r w:rsidRPr="00EC20A0">
        <w:t>call</w:t>
      </w:r>
      <w:r w:rsidRPr="00EC20A0">
        <w:rPr>
          <w:spacing w:val="-4"/>
        </w:rPr>
        <w:t xml:space="preserve"> </w:t>
      </w:r>
      <w:r w:rsidRPr="00EC20A0">
        <w:rPr>
          <w:b/>
        </w:rPr>
        <w:t>[name,</w:t>
      </w:r>
      <w:r w:rsidRPr="00EC20A0">
        <w:rPr>
          <w:b/>
          <w:spacing w:val="-4"/>
        </w:rPr>
        <w:t xml:space="preserve"> </w:t>
      </w:r>
      <w:r w:rsidRPr="00EC20A0">
        <w:rPr>
          <w:b/>
        </w:rPr>
        <w:t>title,</w:t>
      </w:r>
      <w:r w:rsidRPr="00EC20A0">
        <w:rPr>
          <w:b/>
          <w:spacing w:val="-4"/>
        </w:rPr>
        <w:t xml:space="preserve"> </w:t>
      </w:r>
      <w:r w:rsidRPr="00EC20A0">
        <w:rPr>
          <w:b/>
        </w:rPr>
        <w:t>and</w:t>
      </w:r>
      <w:r w:rsidRPr="00EC20A0">
        <w:rPr>
          <w:b/>
          <w:spacing w:val="-4"/>
        </w:rPr>
        <w:t xml:space="preserve"> </w:t>
      </w:r>
      <w:r w:rsidRPr="00EC20A0">
        <w:rPr>
          <w:b/>
        </w:rPr>
        <w:t>telephone</w:t>
      </w:r>
      <w:r w:rsidRPr="00EC20A0">
        <w:rPr>
          <w:b/>
          <w:spacing w:val="-4"/>
        </w:rPr>
        <w:t xml:space="preserve"> </w:t>
      </w:r>
      <w:r w:rsidRPr="00EC20A0">
        <w:rPr>
          <w:b/>
        </w:rPr>
        <w:t>number]</w:t>
      </w:r>
      <w:r w:rsidRPr="00EC20A0">
        <w:t xml:space="preserve">. </w:t>
      </w:r>
      <w:r w:rsidRPr="00EC20A0">
        <w:rPr>
          <w:spacing w:val="-2"/>
        </w:rPr>
        <w:t>Sincerely,</w:t>
      </w:r>
    </w:p>
    <w:p w14:paraId="24D60ADB" w14:textId="77777777" w:rsidR="00245300" w:rsidRPr="004161F6" w:rsidRDefault="00F17249" w:rsidP="009D5247">
      <w:pPr>
        <w:ind w:left="90"/>
        <w:rPr>
          <w:b/>
          <w:bCs/>
        </w:rPr>
      </w:pPr>
      <w:r w:rsidRPr="004161F6">
        <w:rPr>
          <w:b/>
          <w:bCs/>
        </w:rPr>
        <w:t>[Signed]</w:t>
      </w:r>
    </w:p>
    <w:p w14:paraId="24D60ADC" w14:textId="77777777" w:rsidR="00245300" w:rsidRPr="00EC20A0" w:rsidRDefault="00F17249" w:rsidP="009D5247">
      <w:pPr>
        <w:spacing w:before="240"/>
        <w:ind w:left="90"/>
      </w:pPr>
      <w:r w:rsidRPr="00EC20A0">
        <w:rPr>
          <w:b/>
        </w:rPr>
        <w:t>[Name</w:t>
      </w:r>
      <w:r w:rsidRPr="00EC20A0">
        <w:rPr>
          <w:b/>
          <w:spacing w:val="-8"/>
        </w:rPr>
        <w:t xml:space="preserve"> </w:t>
      </w:r>
      <w:r w:rsidRPr="00EC20A0">
        <w:rPr>
          <w:b/>
        </w:rPr>
        <w:t>of</w:t>
      </w:r>
      <w:r w:rsidRPr="00EC20A0">
        <w:rPr>
          <w:b/>
          <w:spacing w:val="-7"/>
        </w:rPr>
        <w:t xml:space="preserve"> </w:t>
      </w:r>
      <w:r w:rsidRPr="00EC20A0">
        <w:rPr>
          <w:b/>
        </w:rPr>
        <w:t>Director]</w:t>
      </w:r>
      <w:r w:rsidRPr="00EC20A0">
        <w:t>,</w:t>
      </w:r>
      <w:r w:rsidRPr="00EC20A0">
        <w:rPr>
          <w:spacing w:val="-7"/>
        </w:rPr>
        <w:t xml:space="preserve"> </w:t>
      </w:r>
      <w:r w:rsidRPr="00EC20A0">
        <w:rPr>
          <w:spacing w:val="-2"/>
        </w:rPr>
        <w:t>Director</w:t>
      </w:r>
    </w:p>
    <w:p w14:paraId="0C84A39E" w14:textId="77777777" w:rsidR="004161F6" w:rsidRDefault="00F17249" w:rsidP="009D5247">
      <w:pPr>
        <w:ind w:left="90"/>
        <w:rPr>
          <w:b/>
          <w:bCs/>
        </w:rPr>
      </w:pPr>
      <w:r w:rsidRPr="004161F6">
        <w:rPr>
          <w:b/>
          <w:bCs/>
        </w:rPr>
        <w:t xml:space="preserve">[Audit Entity] </w:t>
      </w:r>
    </w:p>
    <w:p w14:paraId="24D60ADD" w14:textId="4ED2EAC0" w:rsidR="00245300" w:rsidRPr="004161F6" w:rsidRDefault="00F17249" w:rsidP="009D5247">
      <w:pPr>
        <w:ind w:left="90"/>
        <w:rPr>
          <w:b/>
          <w:bCs/>
        </w:rPr>
      </w:pPr>
      <w:r w:rsidRPr="004161F6">
        <w:rPr>
          <w:b/>
          <w:bCs/>
        </w:rPr>
        <w:t>[City, State]</w:t>
      </w:r>
    </w:p>
    <w:p w14:paraId="24D60ADE" w14:textId="77777777" w:rsidR="00245300" w:rsidRPr="00EC20A0" w:rsidRDefault="00F17249">
      <w:pPr>
        <w:pStyle w:val="BodyText"/>
        <w:spacing w:before="241"/>
        <w:ind w:left="119"/>
      </w:pPr>
      <w:r w:rsidRPr="00EC20A0">
        <w:rPr>
          <w:spacing w:val="-2"/>
        </w:rPr>
        <w:t>Enclosure</w:t>
      </w:r>
    </w:p>
    <w:p w14:paraId="24D60ADF" w14:textId="77777777" w:rsidR="00245300" w:rsidRPr="00EC20A0" w:rsidRDefault="00F17249">
      <w:pPr>
        <w:pStyle w:val="BodyText"/>
        <w:spacing w:before="239"/>
        <w:ind w:left="119"/>
      </w:pPr>
      <w:r w:rsidRPr="00EC20A0">
        <w:t>cc:</w:t>
      </w:r>
      <w:r w:rsidRPr="00EC20A0">
        <w:rPr>
          <w:spacing w:val="-5"/>
        </w:rPr>
        <w:t xml:space="preserve"> </w:t>
      </w:r>
      <w:r w:rsidRPr="00EC20A0">
        <w:t>XYZ</w:t>
      </w:r>
      <w:r w:rsidRPr="00EC20A0">
        <w:rPr>
          <w:spacing w:val="-5"/>
        </w:rPr>
        <w:t xml:space="preserve"> </w:t>
      </w:r>
      <w:r w:rsidRPr="00EC20A0">
        <w:rPr>
          <w:spacing w:val="-2"/>
        </w:rPr>
        <w:t>Entity</w:t>
      </w:r>
    </w:p>
    <w:p w14:paraId="24D60AE0" w14:textId="77777777" w:rsidR="00245300" w:rsidRPr="00EC20A0" w:rsidRDefault="00245300">
      <w:pPr>
        <w:sectPr w:rsidR="00245300" w:rsidRPr="00EC20A0">
          <w:pgSz w:w="12240" w:h="15840"/>
          <w:pgMar w:top="1600" w:right="1140" w:bottom="940" w:left="1320" w:header="721" w:footer="757" w:gutter="0"/>
          <w:cols w:space="720"/>
        </w:sectPr>
      </w:pPr>
    </w:p>
    <w:p w14:paraId="24D60AE1" w14:textId="77777777" w:rsidR="00245300" w:rsidRPr="00EC20A0" w:rsidRDefault="00F17249">
      <w:pPr>
        <w:spacing w:before="121"/>
        <w:ind w:left="120"/>
        <w:rPr>
          <w:b/>
          <w:sz w:val="24"/>
        </w:rPr>
      </w:pPr>
      <w:r w:rsidRPr="00EC20A0">
        <w:rPr>
          <w:b/>
          <w:spacing w:val="-2"/>
          <w:sz w:val="24"/>
        </w:rPr>
        <w:t>Enclosure</w:t>
      </w:r>
    </w:p>
    <w:p w14:paraId="24D60AE2" w14:textId="77777777" w:rsidR="00245300" w:rsidRPr="00EC20A0" w:rsidRDefault="00F17249">
      <w:pPr>
        <w:spacing w:before="120"/>
        <w:ind w:left="3720"/>
        <w:rPr>
          <w:b/>
          <w:sz w:val="32"/>
        </w:rPr>
      </w:pPr>
      <w:r w:rsidRPr="00EC20A0">
        <w:rPr>
          <w:b/>
          <w:sz w:val="32"/>
        </w:rPr>
        <w:t>Results</w:t>
      </w:r>
      <w:r w:rsidRPr="00EC20A0">
        <w:rPr>
          <w:b/>
          <w:spacing w:val="-4"/>
          <w:sz w:val="32"/>
        </w:rPr>
        <w:t xml:space="preserve"> </w:t>
      </w:r>
      <w:r w:rsidRPr="00EC20A0">
        <w:rPr>
          <w:b/>
          <w:sz w:val="32"/>
        </w:rPr>
        <w:t>of</w:t>
      </w:r>
      <w:r w:rsidRPr="00EC20A0">
        <w:rPr>
          <w:b/>
          <w:spacing w:val="-4"/>
          <w:sz w:val="32"/>
        </w:rPr>
        <w:t xml:space="preserve"> </w:t>
      </w:r>
      <w:r w:rsidRPr="00EC20A0">
        <w:rPr>
          <w:b/>
          <w:sz w:val="32"/>
        </w:rPr>
        <w:t>Cash</w:t>
      </w:r>
      <w:r w:rsidRPr="00EC20A0">
        <w:rPr>
          <w:b/>
          <w:spacing w:val="-3"/>
          <w:sz w:val="32"/>
        </w:rPr>
        <w:t xml:space="preserve"> </w:t>
      </w:r>
      <w:r w:rsidRPr="00EC20A0">
        <w:rPr>
          <w:b/>
          <w:spacing w:val="-2"/>
          <w:sz w:val="32"/>
        </w:rPr>
        <w:t>Counts</w:t>
      </w:r>
    </w:p>
    <w:p w14:paraId="24D60AE3" w14:textId="77777777" w:rsidR="00245300" w:rsidRPr="00EC20A0" w:rsidRDefault="00245300">
      <w:pPr>
        <w:pStyle w:val="BodyText"/>
        <w:spacing w:before="9"/>
        <w:rPr>
          <w:b/>
          <w:sz w:val="12"/>
        </w:rPr>
      </w:pPr>
    </w:p>
    <w:p w14:paraId="24D60AE4" w14:textId="77777777" w:rsidR="00245300" w:rsidRPr="00EC20A0" w:rsidRDefault="00245300">
      <w:pPr>
        <w:rPr>
          <w:sz w:val="12"/>
        </w:rPr>
        <w:sectPr w:rsidR="00245300" w:rsidRPr="00EC20A0">
          <w:pgSz w:w="12240" w:h="15840"/>
          <w:pgMar w:top="1600" w:right="1140" w:bottom="940" w:left="1320" w:header="721" w:footer="757" w:gutter="0"/>
          <w:cols w:space="720"/>
        </w:sectPr>
      </w:pPr>
    </w:p>
    <w:p w14:paraId="24D60AE5" w14:textId="77777777" w:rsidR="00245300" w:rsidRPr="00EC20A0" w:rsidRDefault="00F17249">
      <w:pPr>
        <w:pStyle w:val="BodyText"/>
        <w:spacing w:before="92"/>
        <w:ind w:left="120"/>
      </w:pPr>
      <w:r w:rsidRPr="00EC20A0">
        <w:rPr>
          <w:spacing w:val="-2"/>
          <w:u w:val="single"/>
        </w:rPr>
        <w:t>Procedures</w:t>
      </w:r>
    </w:p>
    <w:p w14:paraId="24D60AE6" w14:textId="77777777" w:rsidR="00245300" w:rsidRPr="00EC20A0" w:rsidRDefault="00F17249">
      <w:pPr>
        <w:spacing w:before="212"/>
      </w:pPr>
      <w:r w:rsidRPr="00EC20A0">
        <w:br w:type="column"/>
      </w:r>
    </w:p>
    <w:p w14:paraId="24D60AE7" w14:textId="77777777" w:rsidR="00245300" w:rsidRPr="00EC20A0" w:rsidRDefault="00F17249">
      <w:pPr>
        <w:pStyle w:val="BodyText"/>
        <w:ind w:left="120" w:right="367"/>
      </w:pPr>
      <w:r w:rsidRPr="00EC20A0">
        <w:t xml:space="preserve">We counted and totaled cash on hand for the petty cash fund of XYZ Entity </w:t>
      </w:r>
      <w:proofErr w:type="gramStart"/>
      <w:r w:rsidRPr="00EC20A0">
        <w:t>at</w:t>
      </w:r>
      <w:proofErr w:type="gramEnd"/>
      <w:r w:rsidRPr="00EC20A0">
        <w:t xml:space="preserve"> September</w:t>
      </w:r>
      <w:r w:rsidRPr="00EC20A0">
        <w:rPr>
          <w:spacing w:val="-3"/>
        </w:rPr>
        <w:t xml:space="preserve"> </w:t>
      </w:r>
      <w:r w:rsidRPr="00EC20A0">
        <w:t>30,</w:t>
      </w:r>
      <w:r w:rsidRPr="00EC20A0">
        <w:rPr>
          <w:spacing w:val="-4"/>
        </w:rPr>
        <w:t xml:space="preserve"> </w:t>
      </w:r>
      <w:r w:rsidRPr="00EC20A0">
        <w:t>20XX.</w:t>
      </w:r>
      <w:r w:rsidRPr="00EC20A0">
        <w:rPr>
          <w:spacing w:val="-4"/>
        </w:rPr>
        <w:t xml:space="preserve"> </w:t>
      </w:r>
      <w:r w:rsidRPr="00EC20A0">
        <w:t>We</w:t>
      </w:r>
      <w:r w:rsidRPr="00EC20A0">
        <w:rPr>
          <w:spacing w:val="-4"/>
        </w:rPr>
        <w:t xml:space="preserve"> </w:t>
      </w:r>
      <w:r w:rsidRPr="00EC20A0">
        <w:t>also</w:t>
      </w:r>
      <w:r w:rsidRPr="00EC20A0">
        <w:rPr>
          <w:spacing w:val="-4"/>
        </w:rPr>
        <w:t xml:space="preserve"> </w:t>
      </w:r>
      <w:r w:rsidRPr="00EC20A0">
        <w:t>listed</w:t>
      </w:r>
      <w:r w:rsidRPr="00EC20A0">
        <w:rPr>
          <w:spacing w:val="-4"/>
        </w:rPr>
        <w:t xml:space="preserve"> </w:t>
      </w:r>
      <w:r w:rsidRPr="00EC20A0">
        <w:t>and</w:t>
      </w:r>
      <w:r w:rsidRPr="00EC20A0">
        <w:rPr>
          <w:spacing w:val="-4"/>
        </w:rPr>
        <w:t xml:space="preserve"> </w:t>
      </w:r>
      <w:r w:rsidRPr="00EC20A0">
        <w:t>totaled</w:t>
      </w:r>
      <w:r w:rsidRPr="00EC20A0">
        <w:rPr>
          <w:spacing w:val="-4"/>
        </w:rPr>
        <w:t xml:space="preserve"> </w:t>
      </w:r>
      <w:r w:rsidRPr="00EC20A0">
        <w:t>the</w:t>
      </w:r>
      <w:r w:rsidRPr="00EC20A0">
        <w:rPr>
          <w:spacing w:val="-4"/>
        </w:rPr>
        <w:t xml:space="preserve"> </w:t>
      </w:r>
      <w:r w:rsidRPr="00EC20A0">
        <w:t>receipts</w:t>
      </w:r>
      <w:r w:rsidRPr="00EC20A0">
        <w:rPr>
          <w:spacing w:val="-4"/>
        </w:rPr>
        <w:t xml:space="preserve"> </w:t>
      </w:r>
      <w:r w:rsidRPr="00EC20A0">
        <w:t>on</w:t>
      </w:r>
      <w:r w:rsidRPr="00EC20A0">
        <w:rPr>
          <w:spacing w:val="-4"/>
        </w:rPr>
        <w:t xml:space="preserve"> </w:t>
      </w:r>
      <w:r w:rsidRPr="00EC20A0">
        <w:t>hand</w:t>
      </w:r>
      <w:r w:rsidRPr="00EC20A0">
        <w:rPr>
          <w:spacing w:val="-5"/>
        </w:rPr>
        <w:t xml:space="preserve"> </w:t>
      </w:r>
      <w:r w:rsidRPr="00EC20A0">
        <w:t>evidencing disbursements from the fund. Finally, we compared the combined total of cash and receipts available to the amount authorized for the fund of $500.</w:t>
      </w:r>
    </w:p>
    <w:p w14:paraId="24D60AE8" w14:textId="77777777" w:rsidR="00245300" w:rsidRPr="00EC20A0" w:rsidRDefault="00245300">
      <w:pPr>
        <w:sectPr w:rsidR="00245300" w:rsidRPr="00EC20A0">
          <w:type w:val="continuous"/>
          <w:pgSz w:w="12240" w:h="15840"/>
          <w:pgMar w:top="1020" w:right="1140" w:bottom="280" w:left="1320" w:header="721" w:footer="757" w:gutter="0"/>
          <w:cols w:num="2" w:space="720" w:equalWidth="0">
            <w:col w:w="1285" w:space="155"/>
            <w:col w:w="8340"/>
          </w:cols>
        </w:sectPr>
      </w:pPr>
    </w:p>
    <w:p w14:paraId="24D60AE9" w14:textId="77777777" w:rsidR="00245300" w:rsidRPr="00EC20A0" w:rsidRDefault="00245300">
      <w:pPr>
        <w:pStyle w:val="BodyText"/>
        <w:spacing w:before="9"/>
        <w:rPr>
          <w:sz w:val="12"/>
        </w:rPr>
      </w:pPr>
    </w:p>
    <w:p w14:paraId="24D60AEA" w14:textId="77777777" w:rsidR="00245300" w:rsidRPr="00EC20A0" w:rsidRDefault="00245300">
      <w:pPr>
        <w:rPr>
          <w:sz w:val="12"/>
        </w:rPr>
        <w:sectPr w:rsidR="00245300" w:rsidRPr="00EC20A0">
          <w:type w:val="continuous"/>
          <w:pgSz w:w="12240" w:h="15840"/>
          <w:pgMar w:top="1020" w:right="1140" w:bottom="280" w:left="1320" w:header="721" w:footer="757" w:gutter="0"/>
          <w:cols w:space="720"/>
        </w:sectPr>
      </w:pPr>
    </w:p>
    <w:p w14:paraId="24D60AEB" w14:textId="77777777" w:rsidR="00245300" w:rsidRPr="00EC20A0" w:rsidRDefault="00F17249">
      <w:pPr>
        <w:pStyle w:val="BodyText"/>
        <w:spacing w:before="93"/>
        <w:ind w:left="120"/>
      </w:pPr>
      <w:r w:rsidRPr="00EC20A0">
        <w:rPr>
          <w:spacing w:val="-2"/>
          <w:u w:val="single"/>
        </w:rPr>
        <w:t>Results</w:t>
      </w:r>
    </w:p>
    <w:p w14:paraId="24D60AEC" w14:textId="77777777" w:rsidR="00245300" w:rsidRPr="00EC20A0" w:rsidRDefault="00F17249">
      <w:pPr>
        <w:spacing w:before="213"/>
      </w:pPr>
      <w:r w:rsidRPr="00EC20A0">
        <w:br w:type="column"/>
      </w:r>
    </w:p>
    <w:p w14:paraId="24D60AED" w14:textId="77777777" w:rsidR="00245300" w:rsidRPr="00EC20A0" w:rsidRDefault="00F17249">
      <w:pPr>
        <w:pStyle w:val="BodyText"/>
        <w:ind w:left="120" w:right="289"/>
      </w:pPr>
      <w:r w:rsidRPr="00EC20A0">
        <w:t xml:space="preserve">We counted cash totaling $258.96 and scheduled 14 receipts totaling $174.85, which accounted for $433.81 of the $500 in authorized petty cash funds. In </w:t>
      </w:r>
      <w:r w:rsidRPr="00EC20A0">
        <w:t>addition,</w:t>
      </w:r>
      <w:r w:rsidRPr="00EC20A0">
        <w:rPr>
          <w:spacing w:val="-4"/>
        </w:rPr>
        <w:t xml:space="preserve"> </w:t>
      </w:r>
      <w:r w:rsidRPr="00EC20A0">
        <w:t>the</w:t>
      </w:r>
      <w:r w:rsidRPr="00EC20A0">
        <w:rPr>
          <w:spacing w:val="-5"/>
        </w:rPr>
        <w:t xml:space="preserve"> </w:t>
      </w:r>
      <w:r w:rsidRPr="00EC20A0">
        <w:t>XYZ</w:t>
      </w:r>
      <w:r w:rsidRPr="00EC20A0">
        <w:rPr>
          <w:spacing w:val="-4"/>
        </w:rPr>
        <w:t xml:space="preserve"> </w:t>
      </w:r>
      <w:r w:rsidRPr="00EC20A0">
        <w:t>Entity</w:t>
      </w:r>
      <w:r w:rsidRPr="00EC20A0">
        <w:rPr>
          <w:spacing w:val="-4"/>
        </w:rPr>
        <w:t xml:space="preserve"> </w:t>
      </w:r>
      <w:r w:rsidRPr="00EC20A0">
        <w:t>custodian</w:t>
      </w:r>
      <w:r w:rsidRPr="00EC20A0">
        <w:rPr>
          <w:spacing w:val="-4"/>
        </w:rPr>
        <w:t xml:space="preserve"> </w:t>
      </w:r>
      <w:r w:rsidRPr="00EC20A0">
        <w:t>provided</w:t>
      </w:r>
      <w:r w:rsidRPr="00EC20A0">
        <w:rPr>
          <w:spacing w:val="-4"/>
        </w:rPr>
        <w:t xml:space="preserve"> </w:t>
      </w:r>
      <w:r w:rsidRPr="00EC20A0">
        <w:t>us</w:t>
      </w:r>
      <w:r w:rsidRPr="00EC20A0">
        <w:rPr>
          <w:spacing w:val="-4"/>
        </w:rPr>
        <w:t xml:space="preserve"> </w:t>
      </w:r>
      <w:r w:rsidRPr="00EC20A0">
        <w:t>two</w:t>
      </w:r>
      <w:r w:rsidRPr="00EC20A0">
        <w:rPr>
          <w:spacing w:val="-4"/>
        </w:rPr>
        <w:t xml:space="preserve"> </w:t>
      </w:r>
      <w:r w:rsidRPr="00EC20A0">
        <w:t>separate</w:t>
      </w:r>
      <w:r w:rsidRPr="00EC20A0">
        <w:rPr>
          <w:spacing w:val="-5"/>
        </w:rPr>
        <w:t xml:space="preserve"> </w:t>
      </w:r>
      <w:r w:rsidRPr="00EC20A0">
        <w:t>Expense</w:t>
      </w:r>
      <w:r w:rsidRPr="00EC20A0">
        <w:rPr>
          <w:spacing w:val="-4"/>
        </w:rPr>
        <w:t xml:space="preserve"> </w:t>
      </w:r>
      <w:r w:rsidRPr="00EC20A0">
        <w:t>Summary Report</w:t>
      </w:r>
      <w:r w:rsidRPr="00EC20A0">
        <w:rPr>
          <w:spacing w:val="-7"/>
        </w:rPr>
        <w:t xml:space="preserve"> </w:t>
      </w:r>
      <w:r w:rsidRPr="00EC20A0">
        <w:t>and</w:t>
      </w:r>
      <w:r w:rsidRPr="00EC20A0">
        <w:rPr>
          <w:spacing w:val="-6"/>
        </w:rPr>
        <w:t xml:space="preserve"> </w:t>
      </w:r>
      <w:r w:rsidRPr="00EC20A0">
        <w:t>Petty</w:t>
      </w:r>
      <w:r w:rsidRPr="00EC20A0">
        <w:rPr>
          <w:spacing w:val="-6"/>
        </w:rPr>
        <w:t xml:space="preserve"> </w:t>
      </w:r>
      <w:r w:rsidRPr="00EC20A0">
        <w:t>Cash</w:t>
      </w:r>
      <w:r w:rsidRPr="00EC20A0">
        <w:rPr>
          <w:spacing w:val="-6"/>
        </w:rPr>
        <w:t xml:space="preserve"> </w:t>
      </w:r>
      <w:r w:rsidRPr="00EC20A0">
        <w:t>Itemization</w:t>
      </w:r>
      <w:r w:rsidRPr="00EC20A0">
        <w:rPr>
          <w:spacing w:val="-6"/>
        </w:rPr>
        <w:t xml:space="preserve"> </w:t>
      </w:r>
      <w:r w:rsidRPr="00EC20A0">
        <w:t>Sheets</w:t>
      </w:r>
      <w:r w:rsidRPr="00EC20A0">
        <w:rPr>
          <w:spacing w:val="-7"/>
        </w:rPr>
        <w:t xml:space="preserve"> </w:t>
      </w:r>
      <w:r w:rsidRPr="00EC20A0">
        <w:t>and</w:t>
      </w:r>
      <w:r w:rsidRPr="00EC20A0">
        <w:rPr>
          <w:spacing w:val="-6"/>
        </w:rPr>
        <w:t xml:space="preserve"> </w:t>
      </w:r>
      <w:r w:rsidRPr="00EC20A0">
        <w:t>related</w:t>
      </w:r>
      <w:r w:rsidRPr="00EC20A0">
        <w:rPr>
          <w:spacing w:val="-6"/>
        </w:rPr>
        <w:t xml:space="preserve"> </w:t>
      </w:r>
      <w:r w:rsidRPr="00EC20A0">
        <w:t>receipts</w:t>
      </w:r>
      <w:r w:rsidRPr="00EC20A0">
        <w:rPr>
          <w:spacing w:val="-6"/>
        </w:rPr>
        <w:t xml:space="preserve"> </w:t>
      </w:r>
      <w:r w:rsidRPr="00EC20A0">
        <w:t>for</w:t>
      </w:r>
      <w:r w:rsidRPr="00EC20A0">
        <w:rPr>
          <w:spacing w:val="-6"/>
        </w:rPr>
        <w:t xml:space="preserve"> </w:t>
      </w:r>
      <w:r w:rsidRPr="00EC20A0">
        <w:t>an</w:t>
      </w:r>
      <w:r w:rsidRPr="00EC20A0">
        <w:rPr>
          <w:spacing w:val="-7"/>
        </w:rPr>
        <w:t xml:space="preserve"> </w:t>
      </w:r>
      <w:r w:rsidRPr="00EC20A0">
        <w:rPr>
          <w:spacing w:val="-2"/>
        </w:rPr>
        <w:t>additional</w:t>
      </w:r>
    </w:p>
    <w:p w14:paraId="24D60AEE" w14:textId="77777777" w:rsidR="00245300" w:rsidRPr="00EC20A0" w:rsidRDefault="00F17249">
      <w:pPr>
        <w:pStyle w:val="BodyText"/>
        <w:ind w:left="120" w:right="289"/>
      </w:pPr>
      <w:r w:rsidRPr="00EC20A0">
        <w:t>$65.09,</w:t>
      </w:r>
      <w:r w:rsidRPr="00EC20A0">
        <w:rPr>
          <w:spacing w:val="-4"/>
        </w:rPr>
        <w:t xml:space="preserve"> </w:t>
      </w:r>
      <w:r w:rsidRPr="00EC20A0">
        <w:t>which</w:t>
      </w:r>
      <w:r w:rsidRPr="00EC20A0">
        <w:rPr>
          <w:spacing w:val="-4"/>
        </w:rPr>
        <w:t xml:space="preserve"> </w:t>
      </w:r>
      <w:r w:rsidRPr="00EC20A0">
        <w:t>had</w:t>
      </w:r>
      <w:r w:rsidRPr="00EC20A0">
        <w:rPr>
          <w:spacing w:val="-4"/>
        </w:rPr>
        <w:t xml:space="preserve"> </w:t>
      </w:r>
      <w:r w:rsidRPr="00EC20A0">
        <w:t>been</w:t>
      </w:r>
      <w:r w:rsidRPr="00EC20A0">
        <w:rPr>
          <w:spacing w:val="-5"/>
        </w:rPr>
        <w:t xml:space="preserve"> </w:t>
      </w:r>
      <w:r w:rsidRPr="00EC20A0">
        <w:t>submitted</w:t>
      </w:r>
      <w:r w:rsidRPr="00EC20A0">
        <w:rPr>
          <w:spacing w:val="-4"/>
        </w:rPr>
        <w:t xml:space="preserve"> </w:t>
      </w:r>
      <w:r w:rsidRPr="00EC20A0">
        <w:t>for</w:t>
      </w:r>
      <w:r w:rsidRPr="00EC20A0">
        <w:rPr>
          <w:spacing w:val="-4"/>
        </w:rPr>
        <w:t xml:space="preserve"> </w:t>
      </w:r>
      <w:r w:rsidRPr="00EC20A0">
        <w:t>reimbursement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fund.</w:t>
      </w:r>
      <w:r w:rsidRPr="00EC20A0">
        <w:rPr>
          <w:spacing w:val="-4"/>
        </w:rPr>
        <w:t xml:space="preserve"> </w:t>
      </w:r>
      <w:r w:rsidRPr="00EC20A0">
        <w:t>There</w:t>
      </w:r>
      <w:r w:rsidRPr="00EC20A0">
        <w:rPr>
          <w:spacing w:val="-4"/>
        </w:rPr>
        <w:t xml:space="preserve"> </w:t>
      </w:r>
      <w:r w:rsidRPr="00EC20A0">
        <w:t xml:space="preserve">remains an </w:t>
      </w:r>
      <w:r w:rsidRPr="00EC20A0">
        <w:t>unexplained difference (shortage) of $1.10 between the authorized amount and the total cash and receipts evidencing petty cash fund disbursements.</w:t>
      </w:r>
    </w:p>
    <w:p w14:paraId="24D60AEF" w14:textId="77777777" w:rsidR="00245300" w:rsidRPr="00EC20A0" w:rsidRDefault="00245300">
      <w:pPr>
        <w:sectPr w:rsidR="00245300" w:rsidRPr="00EC20A0">
          <w:type w:val="continuous"/>
          <w:pgSz w:w="12240" w:h="15840"/>
          <w:pgMar w:top="1020" w:right="1140" w:bottom="280" w:left="1320" w:header="721" w:footer="757" w:gutter="0"/>
          <w:cols w:num="2" w:space="720" w:equalWidth="0">
            <w:col w:w="894" w:space="546"/>
            <w:col w:w="8340"/>
          </w:cols>
        </w:sectPr>
      </w:pPr>
    </w:p>
    <w:p w14:paraId="24D60AF0" w14:textId="77777777" w:rsidR="00245300" w:rsidRPr="00EC20A0" w:rsidRDefault="00F17249">
      <w:pPr>
        <w:pStyle w:val="Heading3"/>
        <w:rPr>
          <w:u w:val="none"/>
        </w:rPr>
      </w:pPr>
      <w:bookmarkStart w:id="166" w:name="710_E_–_Agreed-Upon_Procedures_Engagemen"/>
      <w:bookmarkStart w:id="167" w:name="_bookmark69"/>
      <w:bookmarkEnd w:id="166"/>
      <w:bookmarkEnd w:id="167"/>
      <w:r w:rsidRPr="00EC20A0">
        <w:t>710</w:t>
      </w:r>
      <w:r w:rsidRPr="00EC20A0">
        <w:rPr>
          <w:spacing w:val="-7"/>
        </w:rPr>
        <w:t xml:space="preserve"> </w:t>
      </w:r>
      <w:r w:rsidRPr="00EC20A0">
        <w:t>E</w:t>
      </w:r>
      <w:r w:rsidRPr="00EC20A0">
        <w:rPr>
          <w:spacing w:val="-7"/>
        </w:rPr>
        <w:t xml:space="preserve"> </w:t>
      </w:r>
      <w:r w:rsidRPr="00EC20A0">
        <w:t>–</w:t>
      </w:r>
      <w:r w:rsidRPr="00EC20A0">
        <w:rPr>
          <w:spacing w:val="-17"/>
        </w:rPr>
        <w:t xml:space="preserve"> </w:t>
      </w:r>
      <w:r w:rsidRPr="00EC20A0">
        <w:t>Agreed-Upon</w:t>
      </w:r>
      <w:r w:rsidRPr="00EC20A0">
        <w:rPr>
          <w:spacing w:val="-7"/>
        </w:rPr>
        <w:t xml:space="preserve"> </w:t>
      </w:r>
      <w:r w:rsidRPr="00EC20A0">
        <w:t>Procedures</w:t>
      </w:r>
      <w:r w:rsidRPr="00EC20A0">
        <w:rPr>
          <w:spacing w:val="-7"/>
        </w:rPr>
        <w:t xml:space="preserve"> </w:t>
      </w:r>
      <w:r w:rsidRPr="00EC20A0">
        <w:t>Engagement</w:t>
      </w:r>
      <w:r w:rsidRPr="00EC20A0">
        <w:rPr>
          <w:spacing w:val="-7"/>
        </w:rPr>
        <w:t xml:space="preserve"> </w:t>
      </w:r>
      <w:r w:rsidRPr="00EC20A0">
        <w:t>Completion</w:t>
      </w:r>
      <w:r w:rsidRPr="00EC20A0">
        <w:rPr>
          <w:u w:val="none"/>
        </w:rPr>
        <w:t xml:space="preserve"> </w:t>
      </w:r>
      <w:r w:rsidRPr="00EC20A0">
        <w:rPr>
          <w:spacing w:val="-2"/>
        </w:rPr>
        <w:t>Checklist</w:t>
      </w:r>
    </w:p>
    <w:p w14:paraId="24D60AF1" w14:textId="77777777" w:rsidR="00245300" w:rsidRPr="00EC20A0" w:rsidRDefault="00F17249">
      <w:pPr>
        <w:pStyle w:val="BodyText"/>
        <w:tabs>
          <w:tab w:val="left" w:pos="9445"/>
        </w:tabs>
        <w:spacing w:before="240" w:line="352" w:lineRule="auto"/>
        <w:ind w:left="120" w:right="331" w:hanging="1"/>
        <w:jc w:val="both"/>
      </w:pPr>
      <w:r w:rsidRPr="00EC20A0">
        <w:t xml:space="preserve">Engaging party: </w:t>
      </w:r>
      <w:r w:rsidRPr="00EC20A0">
        <w:rPr>
          <w:u w:val="single"/>
        </w:rPr>
        <w:tab/>
      </w:r>
      <w:r w:rsidRPr="00EC20A0">
        <w:t xml:space="preserve"> Job code:</w:t>
      </w:r>
      <w:r w:rsidRPr="00EC20A0">
        <w:rPr>
          <w:spacing w:val="114"/>
        </w:rPr>
        <w:t xml:space="preserve"> </w:t>
      </w:r>
      <w:r w:rsidRPr="00EC20A0">
        <w:rPr>
          <w:u w:val="single"/>
        </w:rPr>
        <w:tab/>
      </w:r>
      <w:r w:rsidRPr="00EC20A0">
        <w:t xml:space="preserve"> Principal report: </w:t>
      </w:r>
      <w:r w:rsidRPr="00EC20A0">
        <w:rPr>
          <w:u w:val="single"/>
        </w:rPr>
        <w:tab/>
      </w:r>
    </w:p>
    <w:p w14:paraId="24D60AF2" w14:textId="77777777" w:rsidR="00245300" w:rsidRPr="00EC20A0" w:rsidRDefault="00F17249">
      <w:pPr>
        <w:pStyle w:val="ListParagraph"/>
        <w:numPr>
          <w:ilvl w:val="0"/>
          <w:numId w:val="9"/>
        </w:numPr>
        <w:tabs>
          <w:tab w:val="left" w:pos="1560"/>
        </w:tabs>
        <w:spacing w:before="123"/>
        <w:ind w:right="1017" w:hanging="720"/>
        <w:jc w:val="both"/>
      </w:pPr>
      <w:r w:rsidRPr="00EC20A0">
        <w:t>This</w:t>
      </w:r>
      <w:r w:rsidRPr="00EC20A0">
        <w:rPr>
          <w:spacing w:val="-3"/>
        </w:rPr>
        <w:t xml:space="preserve"> </w:t>
      </w:r>
      <w:r w:rsidRPr="00EC20A0">
        <w:t>checklist</w:t>
      </w:r>
      <w:r w:rsidRPr="00EC20A0">
        <w:rPr>
          <w:spacing w:val="-3"/>
        </w:rPr>
        <w:t xml:space="preserve"> </w:t>
      </w:r>
      <w:r w:rsidRPr="00EC20A0">
        <w:t>is</w:t>
      </w:r>
      <w:r w:rsidRPr="00EC20A0">
        <w:rPr>
          <w:spacing w:val="-3"/>
        </w:rPr>
        <w:t xml:space="preserve"> </w:t>
      </w:r>
      <w:r w:rsidRPr="00EC20A0">
        <w:t>intended</w:t>
      </w:r>
      <w:r w:rsidRPr="00EC20A0">
        <w:rPr>
          <w:spacing w:val="-3"/>
        </w:rPr>
        <w:t xml:space="preserve"> </w:t>
      </w:r>
      <w:r w:rsidRPr="00EC20A0">
        <w:t>to</w:t>
      </w:r>
      <w:r w:rsidRPr="00EC20A0">
        <w:rPr>
          <w:spacing w:val="-3"/>
        </w:rPr>
        <w:t xml:space="preserve"> </w:t>
      </w:r>
      <w:r w:rsidRPr="00EC20A0">
        <w:t>help</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comply</w:t>
      </w:r>
      <w:r w:rsidRPr="00EC20A0">
        <w:rPr>
          <w:spacing w:val="-3"/>
        </w:rPr>
        <w:t xml:space="preserve"> </w:t>
      </w:r>
      <w:r w:rsidRPr="00EC20A0">
        <w:t>with</w:t>
      </w:r>
      <w:r w:rsidRPr="00EC20A0">
        <w:rPr>
          <w:spacing w:val="-3"/>
        </w:rPr>
        <w:t xml:space="preserve"> </w:t>
      </w:r>
      <w:r w:rsidRPr="00EC20A0">
        <w:t>the</w:t>
      </w:r>
      <w:r w:rsidRPr="00EC20A0">
        <w:rPr>
          <w:spacing w:val="-4"/>
        </w:rPr>
        <w:t xml:space="preserve"> </w:t>
      </w:r>
      <w:r w:rsidRPr="00EC20A0">
        <w:t>standards</w:t>
      </w:r>
      <w:r w:rsidRPr="00EC20A0">
        <w:rPr>
          <w:spacing w:val="-3"/>
        </w:rPr>
        <w:t xml:space="preserve"> </w:t>
      </w:r>
      <w:r w:rsidRPr="00EC20A0">
        <w:t>for agreed-upon</w:t>
      </w:r>
      <w:r w:rsidRPr="00EC20A0">
        <w:rPr>
          <w:spacing w:val="-6"/>
        </w:rPr>
        <w:t xml:space="preserve"> </w:t>
      </w:r>
      <w:r w:rsidRPr="00EC20A0">
        <w:t>procedures</w:t>
      </w:r>
      <w:r w:rsidRPr="00EC20A0">
        <w:rPr>
          <w:spacing w:val="-6"/>
        </w:rPr>
        <w:t xml:space="preserve"> </w:t>
      </w:r>
      <w:r w:rsidRPr="00EC20A0">
        <w:t>engagements.</w:t>
      </w:r>
      <w:r w:rsidRPr="00EC20A0">
        <w:rPr>
          <w:spacing w:val="-6"/>
        </w:rPr>
        <w:t xml:space="preserve"> </w:t>
      </w:r>
      <w:r w:rsidRPr="00EC20A0">
        <w:t>No</w:t>
      </w:r>
      <w:r w:rsidRPr="00EC20A0">
        <w:rPr>
          <w:spacing w:val="-6"/>
        </w:rPr>
        <w:t xml:space="preserve"> </w:t>
      </w:r>
      <w:r w:rsidRPr="00EC20A0">
        <w:t>signatures</w:t>
      </w:r>
      <w:r w:rsidRPr="00EC20A0">
        <w:rPr>
          <w:spacing w:val="-6"/>
        </w:rPr>
        <w:t xml:space="preserve"> </w:t>
      </w:r>
      <w:r w:rsidRPr="00EC20A0">
        <w:t>are</w:t>
      </w:r>
      <w:r w:rsidRPr="00EC20A0">
        <w:rPr>
          <w:spacing w:val="-6"/>
        </w:rPr>
        <w:t xml:space="preserve"> </w:t>
      </w:r>
      <w:r w:rsidRPr="00EC20A0">
        <w:t>required</w:t>
      </w:r>
      <w:r w:rsidRPr="00EC20A0">
        <w:rPr>
          <w:spacing w:val="-6"/>
        </w:rPr>
        <w:t xml:space="preserve"> </w:t>
      </w:r>
      <w:r w:rsidRPr="00EC20A0">
        <w:t>on</w:t>
      </w:r>
      <w:r w:rsidRPr="00EC20A0">
        <w:rPr>
          <w:spacing w:val="-6"/>
        </w:rPr>
        <w:t xml:space="preserve"> </w:t>
      </w:r>
      <w:r w:rsidRPr="00EC20A0">
        <w:t>the checklist in the planning phase.</w:t>
      </w:r>
    </w:p>
    <w:p w14:paraId="24D60AF3" w14:textId="77777777" w:rsidR="00245300" w:rsidRPr="00EC20A0" w:rsidRDefault="00F17249">
      <w:pPr>
        <w:pStyle w:val="ListParagraph"/>
        <w:numPr>
          <w:ilvl w:val="0"/>
          <w:numId w:val="9"/>
        </w:numPr>
        <w:tabs>
          <w:tab w:val="left" w:pos="1559"/>
        </w:tabs>
        <w:ind w:left="1559" w:right="317" w:hanging="720"/>
      </w:pPr>
      <w:r w:rsidRPr="00EC20A0">
        <w:t>Several</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last</w:t>
      </w:r>
      <w:r w:rsidRPr="00EC20A0">
        <w:rPr>
          <w:spacing w:val="-3"/>
        </w:rPr>
        <w:t xml:space="preserve"> </w:t>
      </w:r>
      <w:r w:rsidRPr="00EC20A0">
        <w:t>questions</w:t>
      </w:r>
      <w:r w:rsidRPr="00EC20A0">
        <w:rPr>
          <w:spacing w:val="-3"/>
        </w:rPr>
        <w:t xml:space="preserve"> </w:t>
      </w:r>
      <w:r w:rsidRPr="00EC20A0">
        <w:t>include</w:t>
      </w:r>
      <w:r w:rsidRPr="00EC20A0">
        <w:rPr>
          <w:spacing w:val="-4"/>
        </w:rPr>
        <w:t xml:space="preserve"> </w:t>
      </w:r>
      <w:r w:rsidRPr="00EC20A0">
        <w:t>steps</w:t>
      </w:r>
      <w:r w:rsidRPr="00EC20A0">
        <w:rPr>
          <w:spacing w:val="-3"/>
        </w:rPr>
        <w:t xml:space="preserve"> </w:t>
      </w:r>
      <w:r w:rsidRPr="00EC20A0">
        <w:t>in</w:t>
      </w:r>
      <w:r w:rsidRPr="00EC20A0">
        <w:rPr>
          <w:spacing w:val="-3"/>
        </w:rPr>
        <w:t xml:space="preserve"> </w:t>
      </w:r>
      <w:r w:rsidRPr="00EC20A0">
        <w:t>GAO’s</w:t>
      </w:r>
      <w:r w:rsidRPr="00EC20A0">
        <w:rPr>
          <w:spacing w:val="-3"/>
        </w:rPr>
        <w:t xml:space="preserve"> </w:t>
      </w:r>
      <w:r w:rsidRPr="00EC20A0">
        <w:t>quality</w:t>
      </w:r>
      <w:r w:rsidRPr="00EC20A0">
        <w:rPr>
          <w:spacing w:val="-4"/>
        </w:rPr>
        <w:t xml:space="preserve"> </w:t>
      </w:r>
      <w:r w:rsidRPr="00EC20A0">
        <w:t>control</w:t>
      </w:r>
      <w:r w:rsidRPr="00EC20A0">
        <w:rPr>
          <w:spacing w:val="-3"/>
        </w:rPr>
        <w:t xml:space="preserve"> </w:t>
      </w:r>
      <w:r w:rsidRPr="00EC20A0">
        <w:t>process,</w:t>
      </w:r>
      <w:r w:rsidRPr="00EC20A0">
        <w:rPr>
          <w:spacing w:val="-3"/>
        </w:rPr>
        <w:t xml:space="preserve"> </w:t>
      </w:r>
      <w:r w:rsidRPr="00EC20A0">
        <w:t>audit documentation set, and engagement quality control review. GAO auditors should complete these questions and forms. Inspector general auditors and other auditors may use these questions and forms or may substitute questions and forms that consider their reporting style and quality control.</w:t>
      </w:r>
    </w:p>
    <w:p w14:paraId="24D60AF4" w14:textId="77777777" w:rsidR="00245300" w:rsidRPr="00EC20A0" w:rsidRDefault="00245300">
      <w:pPr>
        <w:pStyle w:val="BodyText"/>
        <w:spacing w:before="24"/>
        <w:rPr>
          <w:sz w:val="20"/>
        </w:rPr>
      </w:pPr>
    </w:p>
    <w:tbl>
      <w:tblPr>
        <w:tblW w:w="0" w:type="auto"/>
        <w:tblInd w:w="37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245300" w:rsidRPr="00EC20A0" w14:paraId="24D60AF9" w14:textId="77777777">
        <w:trPr>
          <w:trHeight w:val="700"/>
        </w:trPr>
        <w:tc>
          <w:tcPr>
            <w:tcW w:w="6898" w:type="dxa"/>
            <w:tcBorders>
              <w:right w:val="single" w:sz="2" w:space="0" w:color="000000"/>
            </w:tcBorders>
          </w:tcPr>
          <w:p w14:paraId="24D60AF5" w14:textId="77777777" w:rsidR="00245300" w:rsidRPr="00EC20A0" w:rsidRDefault="00245300">
            <w:pPr>
              <w:pStyle w:val="TableParagraph"/>
              <w:spacing w:before="121"/>
              <w:rPr>
                <w:sz w:val="20"/>
              </w:rPr>
            </w:pPr>
          </w:p>
          <w:p w14:paraId="24D60AF6" w14:textId="77777777" w:rsidR="00245300" w:rsidRPr="00EC20A0" w:rsidRDefault="00F17249">
            <w:pPr>
              <w:pStyle w:val="TableParagraph"/>
              <w:ind w:left="125"/>
              <w:rPr>
                <w:b/>
                <w:sz w:val="20"/>
              </w:rPr>
            </w:pPr>
            <w:r w:rsidRPr="00EC20A0">
              <w:rPr>
                <w:b/>
                <w:spacing w:val="-2"/>
                <w:sz w:val="20"/>
              </w:rPr>
              <w:t>Steps</w:t>
            </w:r>
          </w:p>
        </w:tc>
        <w:tc>
          <w:tcPr>
            <w:tcW w:w="1052" w:type="dxa"/>
            <w:tcBorders>
              <w:left w:val="single" w:sz="2" w:space="0" w:color="000000"/>
              <w:right w:val="single" w:sz="2" w:space="0" w:color="000000"/>
            </w:tcBorders>
          </w:tcPr>
          <w:p w14:paraId="24D60AF7" w14:textId="77777777" w:rsidR="00245300" w:rsidRPr="00EC20A0" w:rsidRDefault="00F17249">
            <w:pPr>
              <w:pStyle w:val="TableParagraph"/>
              <w:spacing w:before="121"/>
              <w:ind w:left="143" w:right="131"/>
              <w:rPr>
                <w:b/>
                <w:sz w:val="20"/>
              </w:rPr>
            </w:pPr>
            <w:r w:rsidRPr="00EC20A0">
              <w:rPr>
                <w:b/>
                <w:sz w:val="20"/>
              </w:rPr>
              <w:t>Yes,</w:t>
            </w:r>
            <w:r w:rsidRPr="00EC20A0">
              <w:rPr>
                <w:b/>
                <w:spacing w:val="-14"/>
                <w:sz w:val="20"/>
              </w:rPr>
              <w:t xml:space="preserve"> </w:t>
            </w:r>
            <w:r w:rsidRPr="00EC20A0">
              <w:rPr>
                <w:b/>
                <w:sz w:val="20"/>
              </w:rPr>
              <w:t>no, or N/A</w:t>
            </w:r>
          </w:p>
        </w:tc>
        <w:tc>
          <w:tcPr>
            <w:tcW w:w="949" w:type="dxa"/>
            <w:tcBorders>
              <w:left w:val="single" w:sz="2" w:space="0" w:color="000000"/>
            </w:tcBorders>
          </w:tcPr>
          <w:p w14:paraId="24D60AF8" w14:textId="77777777" w:rsidR="00245300" w:rsidRPr="00EC20A0" w:rsidRDefault="00F17249">
            <w:pPr>
              <w:pStyle w:val="TableParagraph"/>
              <w:spacing w:before="121"/>
              <w:ind w:left="143" w:right="21"/>
              <w:rPr>
                <w:b/>
                <w:sz w:val="20"/>
              </w:rPr>
            </w:pPr>
            <w:r w:rsidRPr="00EC20A0">
              <w:rPr>
                <w:b/>
                <w:spacing w:val="-4"/>
                <w:sz w:val="20"/>
              </w:rPr>
              <w:t>Doc. Ref.</w:t>
            </w:r>
          </w:p>
        </w:tc>
      </w:tr>
      <w:tr w:rsidR="00245300" w:rsidRPr="00EC20A0" w14:paraId="24D60AFD" w14:textId="77777777">
        <w:trPr>
          <w:trHeight w:val="999"/>
        </w:trPr>
        <w:tc>
          <w:tcPr>
            <w:tcW w:w="6898" w:type="dxa"/>
            <w:tcBorders>
              <w:bottom w:val="single" w:sz="2" w:space="0" w:color="000000"/>
              <w:right w:val="single" w:sz="2" w:space="0" w:color="000000"/>
            </w:tcBorders>
          </w:tcPr>
          <w:p w14:paraId="24D60AFA" w14:textId="77777777" w:rsidR="00245300" w:rsidRPr="00EC20A0" w:rsidRDefault="00F17249">
            <w:pPr>
              <w:pStyle w:val="TableParagraph"/>
              <w:spacing w:before="120"/>
              <w:ind w:left="485" w:right="182" w:hanging="360"/>
            </w:pPr>
            <w:r w:rsidRPr="00EC20A0">
              <w:t>1.</w:t>
            </w:r>
            <w:r w:rsidRPr="00EC20A0">
              <w:rPr>
                <w:spacing w:val="80"/>
              </w:rPr>
              <w:t xml:space="preserve"> </w:t>
            </w:r>
            <w:r w:rsidRPr="00EC20A0">
              <w:t>Has</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documented</w:t>
            </w:r>
            <w:r w:rsidRPr="00EC20A0">
              <w:rPr>
                <w:spacing w:val="-4"/>
              </w:rPr>
              <w:t xml:space="preserve"> </w:t>
            </w:r>
            <w:r w:rsidRPr="00EC20A0">
              <w:t>an</w:t>
            </w:r>
            <w:r w:rsidRPr="00EC20A0">
              <w:rPr>
                <w:spacing w:val="-4"/>
              </w:rPr>
              <w:t xml:space="preserve"> </w:t>
            </w:r>
            <w:r w:rsidRPr="00EC20A0">
              <w:t>understanding</w:t>
            </w:r>
            <w:r w:rsidRPr="00EC20A0">
              <w:rPr>
                <w:spacing w:val="-4"/>
              </w:rPr>
              <w:t xml:space="preserve"> </w:t>
            </w:r>
            <w:r w:rsidRPr="00EC20A0">
              <w:t xml:space="preserve">with the individuals requesting the agreed-upon procedures in an engagement </w:t>
            </w:r>
            <w:r w:rsidRPr="00EC20A0">
              <w:t>letter?</w:t>
            </w:r>
          </w:p>
        </w:tc>
        <w:tc>
          <w:tcPr>
            <w:tcW w:w="1052" w:type="dxa"/>
            <w:tcBorders>
              <w:left w:val="single" w:sz="2" w:space="0" w:color="000000"/>
              <w:bottom w:val="single" w:sz="2" w:space="0" w:color="000000"/>
              <w:right w:val="single" w:sz="2" w:space="0" w:color="000000"/>
            </w:tcBorders>
          </w:tcPr>
          <w:p w14:paraId="24D60AFB" w14:textId="77777777" w:rsidR="00245300" w:rsidRPr="00EC20A0" w:rsidRDefault="00245300">
            <w:pPr>
              <w:pStyle w:val="TableParagraph"/>
            </w:pPr>
          </w:p>
        </w:tc>
        <w:tc>
          <w:tcPr>
            <w:tcW w:w="949" w:type="dxa"/>
            <w:tcBorders>
              <w:left w:val="single" w:sz="2" w:space="0" w:color="000000"/>
              <w:bottom w:val="single" w:sz="2" w:space="0" w:color="000000"/>
            </w:tcBorders>
          </w:tcPr>
          <w:p w14:paraId="24D60AFC" w14:textId="77777777" w:rsidR="00245300" w:rsidRPr="00EC20A0" w:rsidRDefault="00245300">
            <w:pPr>
              <w:pStyle w:val="TableParagraph"/>
            </w:pPr>
          </w:p>
        </w:tc>
      </w:tr>
      <w:tr w:rsidR="00245300" w:rsidRPr="00EC20A0" w14:paraId="24D60B01" w14:textId="77777777">
        <w:trPr>
          <w:trHeight w:val="746"/>
        </w:trPr>
        <w:tc>
          <w:tcPr>
            <w:tcW w:w="6898" w:type="dxa"/>
            <w:tcBorders>
              <w:top w:val="single" w:sz="2" w:space="0" w:color="000000"/>
              <w:bottom w:val="single" w:sz="2" w:space="0" w:color="000000"/>
              <w:right w:val="single" w:sz="2" w:space="0" w:color="000000"/>
            </w:tcBorders>
          </w:tcPr>
          <w:p w14:paraId="24D60AFE" w14:textId="77777777" w:rsidR="00245300" w:rsidRPr="00EC20A0" w:rsidRDefault="00F17249">
            <w:pPr>
              <w:pStyle w:val="TableParagraph"/>
              <w:spacing w:before="120"/>
              <w:ind w:left="485" w:hanging="360"/>
            </w:pPr>
            <w:r w:rsidRPr="00EC20A0">
              <w:t>2.</w:t>
            </w:r>
            <w:r w:rsidRPr="00EC20A0">
              <w:rPr>
                <w:spacing w:val="80"/>
              </w:rPr>
              <w:t xml:space="preserve"> </w:t>
            </w:r>
            <w:r w:rsidRPr="00EC20A0">
              <w:t>Were</w:t>
            </w:r>
            <w:r w:rsidRPr="00EC20A0">
              <w:rPr>
                <w:spacing w:val="-5"/>
              </w:rPr>
              <w:t xml:space="preserve"> </w:t>
            </w:r>
            <w:r w:rsidRPr="00EC20A0">
              <w:t>appropriate</w:t>
            </w:r>
            <w:r w:rsidRPr="00EC20A0">
              <w:rPr>
                <w:spacing w:val="-5"/>
              </w:rPr>
              <w:t xml:space="preserve"> </w:t>
            </w:r>
            <w:r w:rsidRPr="00EC20A0">
              <w:t>engagement</w:t>
            </w:r>
            <w:r w:rsidRPr="00EC20A0">
              <w:rPr>
                <w:spacing w:val="-5"/>
              </w:rPr>
              <w:t xml:space="preserve"> </w:t>
            </w:r>
            <w:r w:rsidRPr="00EC20A0">
              <w:t>acceptance</w:t>
            </w:r>
            <w:r w:rsidRPr="00EC20A0">
              <w:rPr>
                <w:spacing w:val="-5"/>
              </w:rPr>
              <w:t xml:space="preserve"> </w:t>
            </w:r>
            <w:r w:rsidRPr="00EC20A0">
              <w:t>and</w:t>
            </w:r>
            <w:r w:rsidRPr="00EC20A0">
              <w:rPr>
                <w:spacing w:val="-5"/>
              </w:rPr>
              <w:t xml:space="preserve"> </w:t>
            </w:r>
            <w:r w:rsidRPr="00EC20A0">
              <w:t>risk</w:t>
            </w:r>
            <w:r w:rsidRPr="00EC20A0">
              <w:rPr>
                <w:spacing w:val="-5"/>
              </w:rPr>
              <w:t xml:space="preserve"> </w:t>
            </w:r>
            <w:r w:rsidRPr="00EC20A0">
              <w:t>designation procedures followed?</w:t>
            </w:r>
          </w:p>
        </w:tc>
        <w:tc>
          <w:tcPr>
            <w:tcW w:w="1052" w:type="dxa"/>
            <w:tcBorders>
              <w:top w:val="single" w:sz="2" w:space="0" w:color="000000"/>
              <w:left w:val="single" w:sz="2" w:space="0" w:color="000000"/>
              <w:bottom w:val="single" w:sz="2" w:space="0" w:color="000000"/>
              <w:right w:val="single" w:sz="2" w:space="0" w:color="000000"/>
            </w:tcBorders>
          </w:tcPr>
          <w:p w14:paraId="24D60AFF" w14:textId="77777777" w:rsidR="00245300" w:rsidRPr="00EC20A0" w:rsidRDefault="00245300">
            <w:pPr>
              <w:pStyle w:val="TableParagraph"/>
            </w:pPr>
          </w:p>
        </w:tc>
        <w:tc>
          <w:tcPr>
            <w:tcW w:w="949" w:type="dxa"/>
            <w:tcBorders>
              <w:top w:val="single" w:sz="2" w:space="0" w:color="000000"/>
              <w:left w:val="single" w:sz="2" w:space="0" w:color="000000"/>
              <w:bottom w:val="single" w:sz="2" w:space="0" w:color="000000"/>
            </w:tcBorders>
          </w:tcPr>
          <w:p w14:paraId="24D60B00" w14:textId="77777777" w:rsidR="00245300" w:rsidRPr="00EC20A0" w:rsidRDefault="00245300">
            <w:pPr>
              <w:pStyle w:val="TableParagraph"/>
            </w:pPr>
          </w:p>
        </w:tc>
      </w:tr>
      <w:tr w:rsidR="00245300" w:rsidRPr="00EC20A0" w14:paraId="24D60B0C" w14:textId="77777777">
        <w:trPr>
          <w:trHeight w:val="5445"/>
        </w:trPr>
        <w:tc>
          <w:tcPr>
            <w:tcW w:w="6898" w:type="dxa"/>
            <w:tcBorders>
              <w:top w:val="single" w:sz="2" w:space="0" w:color="000000"/>
              <w:bottom w:val="single" w:sz="2" w:space="0" w:color="000000"/>
              <w:right w:val="single" w:sz="2" w:space="0" w:color="000000"/>
            </w:tcBorders>
          </w:tcPr>
          <w:p w14:paraId="24D60B02" w14:textId="77777777" w:rsidR="00245300" w:rsidRPr="00EC20A0" w:rsidRDefault="00F17249">
            <w:pPr>
              <w:pStyle w:val="TableParagraph"/>
              <w:numPr>
                <w:ilvl w:val="0"/>
                <w:numId w:val="170"/>
              </w:numPr>
              <w:tabs>
                <w:tab w:val="left" w:pos="484"/>
              </w:tabs>
              <w:spacing w:before="120"/>
              <w:ind w:left="484" w:hanging="359"/>
            </w:pPr>
            <w:r w:rsidRPr="00EC20A0">
              <w:t>Does</w:t>
            </w:r>
            <w:r w:rsidRPr="00EC20A0">
              <w:rPr>
                <w:spacing w:val="-7"/>
              </w:rPr>
              <w:t xml:space="preserve"> </w:t>
            </w:r>
            <w:r w:rsidRPr="00EC20A0">
              <w:t>the</w:t>
            </w:r>
            <w:r w:rsidRPr="00EC20A0">
              <w:rPr>
                <w:spacing w:val="-6"/>
              </w:rPr>
              <w:t xml:space="preserve"> </w:t>
            </w:r>
            <w:r w:rsidRPr="00EC20A0">
              <w:t>engagement</w:t>
            </w:r>
            <w:r w:rsidRPr="00EC20A0">
              <w:rPr>
                <w:spacing w:val="-6"/>
              </w:rPr>
              <w:t xml:space="preserve"> </w:t>
            </w:r>
            <w:r w:rsidRPr="00EC20A0">
              <w:t>letter</w:t>
            </w:r>
            <w:r w:rsidRPr="00EC20A0">
              <w:rPr>
                <w:spacing w:val="-6"/>
              </w:rPr>
              <w:t xml:space="preserve"> </w:t>
            </w:r>
            <w:r w:rsidRPr="00EC20A0">
              <w:t>cover</w:t>
            </w:r>
            <w:r w:rsidRPr="00EC20A0">
              <w:rPr>
                <w:spacing w:val="-6"/>
              </w:rPr>
              <w:t xml:space="preserve"> </w:t>
            </w:r>
            <w:r w:rsidRPr="00EC20A0">
              <w:t>the</w:t>
            </w:r>
            <w:r w:rsidRPr="00EC20A0">
              <w:rPr>
                <w:spacing w:val="-6"/>
              </w:rPr>
              <w:t xml:space="preserve"> </w:t>
            </w:r>
            <w:r w:rsidRPr="00EC20A0">
              <w:rPr>
                <w:spacing w:val="-2"/>
              </w:rPr>
              <w:t>following?</w:t>
            </w:r>
          </w:p>
          <w:p w14:paraId="24D60B03" w14:textId="77777777" w:rsidR="00245300" w:rsidRPr="00EC20A0" w:rsidRDefault="00F17249">
            <w:pPr>
              <w:pStyle w:val="TableParagraph"/>
              <w:numPr>
                <w:ilvl w:val="1"/>
                <w:numId w:val="170"/>
              </w:numPr>
              <w:tabs>
                <w:tab w:val="left" w:pos="1204"/>
              </w:tabs>
              <w:spacing w:before="239"/>
              <w:ind w:right="1176"/>
            </w:pPr>
            <w:r w:rsidRPr="00EC20A0">
              <w:t>Independence</w:t>
            </w:r>
            <w:r w:rsidRPr="00EC20A0">
              <w:rPr>
                <w:spacing w:val="-8"/>
              </w:rPr>
              <w:t xml:space="preserve"> </w:t>
            </w:r>
            <w:r w:rsidRPr="00EC20A0">
              <w:t>of</w:t>
            </w:r>
            <w:r w:rsidRPr="00EC20A0">
              <w:rPr>
                <w:spacing w:val="-8"/>
              </w:rPr>
              <w:t xml:space="preserve"> </w:t>
            </w:r>
            <w:r w:rsidRPr="00EC20A0">
              <w:t>professionals</w:t>
            </w:r>
            <w:r w:rsidRPr="00EC20A0">
              <w:rPr>
                <w:spacing w:val="-8"/>
              </w:rPr>
              <w:t xml:space="preserve"> </w:t>
            </w:r>
            <w:r w:rsidRPr="00EC20A0">
              <w:t>working</w:t>
            </w:r>
            <w:r w:rsidRPr="00EC20A0">
              <w:rPr>
                <w:spacing w:val="-8"/>
              </w:rPr>
              <w:t xml:space="preserve"> </w:t>
            </w:r>
            <w:r w:rsidRPr="00EC20A0">
              <w:t>on</w:t>
            </w:r>
            <w:r w:rsidRPr="00EC20A0">
              <w:rPr>
                <w:spacing w:val="-8"/>
              </w:rPr>
              <w:t xml:space="preserve"> </w:t>
            </w:r>
            <w:r w:rsidRPr="00EC20A0">
              <w:t xml:space="preserve">the </w:t>
            </w:r>
            <w:r w:rsidRPr="00EC20A0">
              <w:rPr>
                <w:spacing w:val="-2"/>
              </w:rPr>
              <w:t>engagement.</w:t>
            </w:r>
          </w:p>
          <w:p w14:paraId="24D60B04" w14:textId="77777777" w:rsidR="00245300" w:rsidRPr="00EC20A0" w:rsidRDefault="00F17249">
            <w:pPr>
              <w:pStyle w:val="TableParagraph"/>
              <w:numPr>
                <w:ilvl w:val="1"/>
                <w:numId w:val="170"/>
              </w:numPr>
              <w:tabs>
                <w:tab w:val="left" w:pos="1204"/>
              </w:tabs>
              <w:spacing w:before="239"/>
            </w:pPr>
            <w:r w:rsidRPr="00EC20A0">
              <w:t>The</w:t>
            </w:r>
            <w:r w:rsidRPr="00EC20A0">
              <w:rPr>
                <w:spacing w:val="-4"/>
              </w:rPr>
              <w:t xml:space="preserve"> </w:t>
            </w:r>
            <w:r w:rsidRPr="00EC20A0">
              <w:t>nature</w:t>
            </w:r>
            <w:r w:rsidRPr="00EC20A0">
              <w:rPr>
                <w:spacing w:val="-4"/>
              </w:rPr>
              <w:t xml:space="preserve"> </w:t>
            </w:r>
            <w:r w:rsidRPr="00EC20A0">
              <w:t>of</w:t>
            </w:r>
            <w:r w:rsidRPr="00EC20A0">
              <w:rPr>
                <w:spacing w:val="-4"/>
              </w:rPr>
              <w:t xml:space="preserve"> </w:t>
            </w:r>
            <w:r w:rsidRPr="00EC20A0">
              <w:t>the</w:t>
            </w:r>
            <w:r w:rsidRPr="00EC20A0">
              <w:rPr>
                <w:spacing w:val="-3"/>
              </w:rPr>
              <w:t xml:space="preserve"> </w:t>
            </w:r>
            <w:r w:rsidRPr="00EC20A0">
              <w:rPr>
                <w:spacing w:val="-2"/>
              </w:rPr>
              <w:t>engagement.</w:t>
            </w:r>
          </w:p>
          <w:p w14:paraId="24D60B05" w14:textId="77777777" w:rsidR="00245300" w:rsidRPr="00EC20A0" w:rsidRDefault="00F17249">
            <w:pPr>
              <w:pStyle w:val="TableParagraph"/>
              <w:numPr>
                <w:ilvl w:val="1"/>
                <w:numId w:val="170"/>
              </w:numPr>
              <w:tabs>
                <w:tab w:val="left" w:pos="1204"/>
              </w:tabs>
              <w:spacing w:before="238"/>
              <w:ind w:right="395"/>
            </w:pPr>
            <w:r w:rsidRPr="00EC20A0">
              <w:t>Identification</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subject</w:t>
            </w:r>
            <w:r w:rsidRPr="00EC20A0">
              <w:rPr>
                <w:spacing w:val="-6"/>
              </w:rPr>
              <w:t xml:space="preserve"> </w:t>
            </w:r>
            <w:r w:rsidRPr="00EC20A0">
              <w:t>matter</w:t>
            </w:r>
            <w:r w:rsidRPr="00EC20A0">
              <w:rPr>
                <w:spacing w:val="-6"/>
              </w:rPr>
              <w:t xml:space="preserve"> </w:t>
            </w:r>
            <w:r w:rsidRPr="00EC20A0">
              <w:t>and</w:t>
            </w:r>
            <w:r w:rsidRPr="00EC20A0">
              <w:rPr>
                <w:spacing w:val="-6"/>
              </w:rPr>
              <w:t xml:space="preserve"> </w:t>
            </w:r>
            <w:r w:rsidRPr="00EC20A0">
              <w:t>the</w:t>
            </w:r>
            <w:r w:rsidRPr="00EC20A0">
              <w:rPr>
                <w:spacing w:val="-6"/>
              </w:rPr>
              <w:t xml:space="preserve"> </w:t>
            </w:r>
            <w:r w:rsidRPr="00EC20A0">
              <w:t xml:space="preserve">responsible </w:t>
            </w:r>
            <w:r w:rsidRPr="00EC20A0">
              <w:rPr>
                <w:spacing w:val="-2"/>
              </w:rPr>
              <w:t>entity.</w:t>
            </w:r>
          </w:p>
          <w:p w14:paraId="24D60B06" w14:textId="77777777" w:rsidR="00245300" w:rsidRPr="00EC20A0" w:rsidRDefault="00F17249">
            <w:pPr>
              <w:pStyle w:val="TableParagraph"/>
              <w:numPr>
                <w:ilvl w:val="1"/>
                <w:numId w:val="170"/>
              </w:numPr>
              <w:tabs>
                <w:tab w:val="left" w:pos="1204"/>
              </w:tabs>
              <w:spacing w:before="238"/>
            </w:pPr>
            <w:r w:rsidRPr="00EC20A0">
              <w:t>Auditor’s</w:t>
            </w:r>
            <w:r w:rsidRPr="00EC20A0">
              <w:rPr>
                <w:spacing w:val="-10"/>
              </w:rPr>
              <w:t xml:space="preserve"> </w:t>
            </w:r>
            <w:r w:rsidRPr="00EC20A0">
              <w:rPr>
                <w:spacing w:val="-2"/>
              </w:rPr>
              <w:t>responsibilities.</w:t>
            </w:r>
          </w:p>
          <w:p w14:paraId="24D60B07" w14:textId="77777777" w:rsidR="00245300" w:rsidRPr="00EC20A0" w:rsidRDefault="00F17249">
            <w:pPr>
              <w:pStyle w:val="TableParagraph"/>
              <w:numPr>
                <w:ilvl w:val="1"/>
                <w:numId w:val="170"/>
              </w:numPr>
              <w:tabs>
                <w:tab w:val="left" w:pos="1204"/>
              </w:tabs>
              <w:spacing w:before="238"/>
              <w:ind w:right="445"/>
            </w:pPr>
            <w:r w:rsidRPr="00EC20A0">
              <w:t>Reference to GAGAS and a statement that the engagement</w:t>
            </w:r>
            <w:r w:rsidRPr="00EC20A0">
              <w:rPr>
                <w:spacing w:val="-6"/>
              </w:rPr>
              <w:t xml:space="preserve"> </w:t>
            </w:r>
            <w:r w:rsidRPr="00EC20A0">
              <w:t>will</w:t>
            </w:r>
            <w:r w:rsidRPr="00EC20A0">
              <w:rPr>
                <w:spacing w:val="-6"/>
              </w:rPr>
              <w:t xml:space="preserve"> </w:t>
            </w:r>
            <w:r w:rsidRPr="00EC20A0">
              <w:t>be</w:t>
            </w:r>
            <w:r w:rsidRPr="00EC20A0">
              <w:rPr>
                <w:spacing w:val="-6"/>
              </w:rPr>
              <w:t xml:space="preserve"> </w:t>
            </w:r>
            <w:r w:rsidRPr="00EC20A0">
              <w:t>conducted</w:t>
            </w:r>
            <w:r w:rsidRPr="00EC20A0">
              <w:rPr>
                <w:spacing w:val="-6"/>
              </w:rPr>
              <w:t xml:space="preserve"> </w:t>
            </w:r>
            <w:r w:rsidRPr="00EC20A0">
              <w:t>in</w:t>
            </w:r>
            <w:r w:rsidRPr="00EC20A0">
              <w:rPr>
                <w:spacing w:val="-6"/>
              </w:rPr>
              <w:t xml:space="preserve"> </w:t>
            </w:r>
            <w:r w:rsidRPr="00EC20A0">
              <w:t>accordance</w:t>
            </w:r>
            <w:r w:rsidRPr="00EC20A0">
              <w:rPr>
                <w:spacing w:val="-6"/>
              </w:rPr>
              <w:t xml:space="preserve"> </w:t>
            </w:r>
            <w:r w:rsidRPr="00EC20A0">
              <w:t>with</w:t>
            </w:r>
            <w:r w:rsidRPr="00EC20A0">
              <w:rPr>
                <w:spacing w:val="-6"/>
              </w:rPr>
              <w:t xml:space="preserve"> </w:t>
            </w:r>
            <w:r w:rsidRPr="00EC20A0">
              <w:t>the AICPA’s attestation standards.</w:t>
            </w:r>
          </w:p>
          <w:p w14:paraId="24D60B08" w14:textId="77777777" w:rsidR="00245300" w:rsidRPr="00EC20A0" w:rsidRDefault="00F17249">
            <w:pPr>
              <w:pStyle w:val="TableParagraph"/>
              <w:numPr>
                <w:ilvl w:val="1"/>
                <w:numId w:val="170"/>
              </w:numPr>
              <w:tabs>
                <w:tab w:val="left" w:pos="1204"/>
              </w:tabs>
              <w:spacing w:before="238"/>
              <w:ind w:right="408"/>
            </w:pPr>
            <w:r w:rsidRPr="00EC20A0">
              <w:t>Statement</w:t>
            </w:r>
            <w:r w:rsidRPr="00EC20A0">
              <w:rPr>
                <w:spacing w:val="-6"/>
              </w:rPr>
              <w:t xml:space="preserve"> </w:t>
            </w:r>
            <w:r w:rsidRPr="00EC20A0">
              <w:t>that</w:t>
            </w:r>
            <w:r w:rsidRPr="00EC20A0">
              <w:rPr>
                <w:spacing w:val="-6"/>
              </w:rPr>
              <w:t xml:space="preserve"> </w:t>
            </w:r>
            <w:r w:rsidRPr="00EC20A0">
              <w:t>the</w:t>
            </w:r>
            <w:r w:rsidRPr="00EC20A0">
              <w:rPr>
                <w:spacing w:val="-6"/>
              </w:rPr>
              <w:t xml:space="preserve"> </w:t>
            </w:r>
            <w:r w:rsidRPr="00EC20A0">
              <w:t>responsible</w:t>
            </w:r>
            <w:r w:rsidRPr="00EC20A0">
              <w:rPr>
                <w:spacing w:val="-6"/>
              </w:rPr>
              <w:t xml:space="preserve"> </w:t>
            </w:r>
            <w:r w:rsidRPr="00EC20A0">
              <w:t>party</w:t>
            </w:r>
            <w:r w:rsidRPr="00EC20A0">
              <w:rPr>
                <w:spacing w:val="-6"/>
              </w:rPr>
              <w:t xml:space="preserve"> </w:t>
            </w:r>
            <w:r w:rsidRPr="00EC20A0">
              <w:t>is</w:t>
            </w:r>
            <w:r w:rsidRPr="00EC20A0">
              <w:rPr>
                <w:spacing w:val="-6"/>
              </w:rPr>
              <w:t xml:space="preserve"> </w:t>
            </w:r>
            <w:r w:rsidRPr="00EC20A0">
              <w:t>responsible</w:t>
            </w:r>
            <w:r w:rsidRPr="00EC20A0">
              <w:rPr>
                <w:spacing w:val="-6"/>
              </w:rPr>
              <w:t xml:space="preserve"> </w:t>
            </w:r>
            <w:r w:rsidRPr="00EC20A0">
              <w:t>for the subject matter.</w:t>
            </w:r>
          </w:p>
          <w:p w14:paraId="24D60B09" w14:textId="77777777" w:rsidR="00245300" w:rsidRPr="00EC20A0" w:rsidRDefault="00F17249">
            <w:pPr>
              <w:pStyle w:val="TableParagraph"/>
              <w:numPr>
                <w:ilvl w:val="1"/>
                <w:numId w:val="170"/>
              </w:numPr>
              <w:tabs>
                <w:tab w:val="left" w:pos="1205"/>
              </w:tabs>
              <w:spacing w:before="232" w:line="254" w:lineRule="exact"/>
              <w:ind w:left="1205" w:right="432"/>
            </w:pPr>
            <w:r w:rsidRPr="00EC20A0">
              <w:t>Agreement on the nature, extent, and timing, of procedures</w:t>
            </w:r>
            <w:r w:rsidRPr="00EC20A0">
              <w:rPr>
                <w:spacing w:val="-7"/>
              </w:rPr>
              <w:t xml:space="preserve"> </w:t>
            </w:r>
            <w:r w:rsidRPr="00EC20A0">
              <w:t>and</w:t>
            </w:r>
            <w:r w:rsidRPr="00EC20A0">
              <w:rPr>
                <w:spacing w:val="-6"/>
              </w:rPr>
              <w:t xml:space="preserve"> </w:t>
            </w:r>
            <w:r w:rsidRPr="00EC20A0">
              <w:t>statement</w:t>
            </w:r>
            <w:r w:rsidRPr="00EC20A0">
              <w:rPr>
                <w:spacing w:val="-6"/>
              </w:rPr>
              <w:t xml:space="preserve"> </w:t>
            </w:r>
            <w:r w:rsidRPr="00EC20A0">
              <w:t>that</w:t>
            </w:r>
            <w:r w:rsidRPr="00EC20A0">
              <w:rPr>
                <w:spacing w:val="-6"/>
              </w:rPr>
              <w:t xml:space="preserve"> </w:t>
            </w:r>
            <w:r w:rsidRPr="00EC20A0">
              <w:t>the</w:t>
            </w:r>
            <w:r w:rsidRPr="00EC20A0">
              <w:rPr>
                <w:spacing w:val="-6"/>
              </w:rPr>
              <w:t xml:space="preserve"> </w:t>
            </w:r>
            <w:r w:rsidRPr="00EC20A0">
              <w:t>engaging</w:t>
            </w:r>
            <w:r w:rsidRPr="00EC20A0">
              <w:rPr>
                <w:spacing w:val="-6"/>
              </w:rPr>
              <w:t xml:space="preserve"> </w:t>
            </w:r>
            <w:r w:rsidRPr="00EC20A0">
              <w:t>party</w:t>
            </w:r>
            <w:r w:rsidRPr="00EC20A0">
              <w:rPr>
                <w:spacing w:val="-6"/>
              </w:rPr>
              <w:t xml:space="preserve"> </w:t>
            </w:r>
            <w:r w:rsidRPr="00EC20A0">
              <w:t>will</w:t>
            </w:r>
          </w:p>
        </w:tc>
        <w:tc>
          <w:tcPr>
            <w:tcW w:w="1052" w:type="dxa"/>
            <w:tcBorders>
              <w:top w:val="single" w:sz="2" w:space="0" w:color="000000"/>
              <w:left w:val="single" w:sz="2" w:space="0" w:color="000000"/>
              <w:bottom w:val="single" w:sz="2" w:space="0" w:color="000000"/>
              <w:right w:val="single" w:sz="2" w:space="0" w:color="000000"/>
            </w:tcBorders>
          </w:tcPr>
          <w:p w14:paraId="24D60B0A" w14:textId="77777777" w:rsidR="00245300" w:rsidRPr="00EC20A0" w:rsidRDefault="00245300">
            <w:pPr>
              <w:pStyle w:val="TableParagraph"/>
            </w:pPr>
          </w:p>
        </w:tc>
        <w:tc>
          <w:tcPr>
            <w:tcW w:w="949" w:type="dxa"/>
            <w:tcBorders>
              <w:top w:val="single" w:sz="2" w:space="0" w:color="000000"/>
              <w:left w:val="single" w:sz="2" w:space="0" w:color="000000"/>
              <w:bottom w:val="single" w:sz="2" w:space="0" w:color="000000"/>
            </w:tcBorders>
          </w:tcPr>
          <w:p w14:paraId="24D60B0B" w14:textId="77777777" w:rsidR="00245300" w:rsidRPr="00EC20A0" w:rsidRDefault="00245300">
            <w:pPr>
              <w:pStyle w:val="TableParagraph"/>
            </w:pPr>
          </w:p>
        </w:tc>
      </w:tr>
    </w:tbl>
    <w:p w14:paraId="24D60B0D" w14:textId="77777777" w:rsidR="00245300" w:rsidRPr="00EC20A0" w:rsidRDefault="00245300">
      <w:pPr>
        <w:sectPr w:rsidR="00245300" w:rsidRPr="00EC20A0">
          <w:headerReference w:type="default" r:id="rId80"/>
          <w:footerReference w:type="default" r:id="rId81"/>
          <w:pgSz w:w="12240" w:h="15840"/>
          <w:pgMar w:top="1340" w:right="1140" w:bottom="940" w:left="1320" w:header="721" w:footer="757" w:gutter="0"/>
          <w:pgNumType w:start="1"/>
          <w:cols w:space="720"/>
        </w:sectPr>
      </w:pPr>
    </w:p>
    <w:p w14:paraId="24D60B0E" w14:textId="77777777" w:rsidR="00245300" w:rsidRPr="00EC20A0" w:rsidRDefault="00245300">
      <w:pPr>
        <w:pStyle w:val="BodyText"/>
        <w:spacing w:before="9"/>
        <w:rPr>
          <w:sz w:val="11"/>
        </w:rPr>
      </w:pPr>
    </w:p>
    <w:tbl>
      <w:tblPr>
        <w:tblW w:w="0" w:type="auto"/>
        <w:tblInd w:w="37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245300" w:rsidRPr="00EC20A0" w14:paraId="24D60B13" w14:textId="77777777">
        <w:trPr>
          <w:trHeight w:val="700"/>
        </w:trPr>
        <w:tc>
          <w:tcPr>
            <w:tcW w:w="6898" w:type="dxa"/>
            <w:tcBorders>
              <w:right w:val="single" w:sz="2" w:space="0" w:color="000000"/>
            </w:tcBorders>
          </w:tcPr>
          <w:p w14:paraId="24D60B0F" w14:textId="77777777" w:rsidR="00245300" w:rsidRPr="00EC20A0" w:rsidRDefault="00245300">
            <w:pPr>
              <w:pStyle w:val="TableParagraph"/>
              <w:spacing w:before="121"/>
              <w:rPr>
                <w:sz w:val="20"/>
              </w:rPr>
            </w:pPr>
          </w:p>
          <w:p w14:paraId="24D60B10" w14:textId="77777777" w:rsidR="00245300" w:rsidRPr="00EC20A0" w:rsidRDefault="00F17249">
            <w:pPr>
              <w:pStyle w:val="TableParagraph"/>
              <w:ind w:left="125"/>
              <w:rPr>
                <w:b/>
                <w:sz w:val="20"/>
              </w:rPr>
            </w:pPr>
            <w:r w:rsidRPr="00EC20A0">
              <w:rPr>
                <w:b/>
                <w:spacing w:val="-2"/>
                <w:sz w:val="20"/>
              </w:rPr>
              <w:t>Steps</w:t>
            </w:r>
          </w:p>
        </w:tc>
        <w:tc>
          <w:tcPr>
            <w:tcW w:w="1052" w:type="dxa"/>
            <w:tcBorders>
              <w:left w:val="single" w:sz="2" w:space="0" w:color="000000"/>
              <w:right w:val="single" w:sz="2" w:space="0" w:color="000000"/>
            </w:tcBorders>
          </w:tcPr>
          <w:p w14:paraId="24D60B11" w14:textId="77777777" w:rsidR="00245300" w:rsidRPr="00EC20A0" w:rsidRDefault="00F17249">
            <w:pPr>
              <w:pStyle w:val="TableParagraph"/>
              <w:spacing w:before="121"/>
              <w:ind w:left="143" w:right="131"/>
              <w:rPr>
                <w:b/>
                <w:sz w:val="20"/>
              </w:rPr>
            </w:pPr>
            <w:r w:rsidRPr="00EC20A0">
              <w:rPr>
                <w:b/>
                <w:sz w:val="20"/>
              </w:rPr>
              <w:t>Yes,</w:t>
            </w:r>
            <w:r w:rsidRPr="00EC20A0">
              <w:rPr>
                <w:b/>
                <w:spacing w:val="-14"/>
                <w:sz w:val="20"/>
              </w:rPr>
              <w:t xml:space="preserve"> </w:t>
            </w:r>
            <w:r w:rsidRPr="00EC20A0">
              <w:rPr>
                <w:b/>
                <w:sz w:val="20"/>
              </w:rPr>
              <w:t>no, or N/A</w:t>
            </w:r>
          </w:p>
        </w:tc>
        <w:tc>
          <w:tcPr>
            <w:tcW w:w="949" w:type="dxa"/>
            <w:tcBorders>
              <w:left w:val="single" w:sz="2" w:space="0" w:color="000000"/>
            </w:tcBorders>
          </w:tcPr>
          <w:p w14:paraId="24D60B12" w14:textId="77777777" w:rsidR="00245300" w:rsidRPr="00EC20A0" w:rsidRDefault="00F17249">
            <w:pPr>
              <w:pStyle w:val="TableParagraph"/>
              <w:spacing w:before="121"/>
              <w:ind w:left="143" w:right="21"/>
              <w:rPr>
                <w:b/>
                <w:sz w:val="20"/>
              </w:rPr>
            </w:pPr>
            <w:r w:rsidRPr="00EC20A0">
              <w:rPr>
                <w:b/>
                <w:spacing w:val="-4"/>
                <w:sz w:val="20"/>
              </w:rPr>
              <w:t>Doc. Ref.</w:t>
            </w:r>
          </w:p>
        </w:tc>
      </w:tr>
      <w:tr w:rsidR="00245300" w:rsidRPr="00EC20A0" w14:paraId="24D60B1E" w14:textId="77777777">
        <w:trPr>
          <w:trHeight w:val="6416"/>
        </w:trPr>
        <w:tc>
          <w:tcPr>
            <w:tcW w:w="6898" w:type="dxa"/>
            <w:tcBorders>
              <w:bottom w:val="single" w:sz="2" w:space="0" w:color="000000"/>
              <w:right w:val="single" w:sz="2" w:space="0" w:color="000000"/>
            </w:tcBorders>
          </w:tcPr>
          <w:p w14:paraId="24D60B14" w14:textId="77777777" w:rsidR="00245300" w:rsidRPr="00EC20A0" w:rsidRDefault="00F17249">
            <w:pPr>
              <w:pStyle w:val="TableParagraph"/>
              <w:spacing w:line="214" w:lineRule="exact"/>
              <w:ind w:left="1205"/>
            </w:pPr>
            <w:r w:rsidRPr="00EC20A0">
              <w:t>provide</w:t>
            </w:r>
            <w:r w:rsidRPr="00EC20A0">
              <w:rPr>
                <w:spacing w:val="-9"/>
              </w:rPr>
              <w:t xml:space="preserve"> </w:t>
            </w:r>
            <w:r w:rsidRPr="00EC20A0">
              <w:t>written</w:t>
            </w:r>
            <w:r w:rsidRPr="00EC20A0">
              <w:rPr>
                <w:spacing w:val="-9"/>
              </w:rPr>
              <w:t xml:space="preserve"> </w:t>
            </w:r>
            <w:r w:rsidRPr="00EC20A0">
              <w:t>agreement</w:t>
            </w:r>
            <w:r w:rsidRPr="00EC20A0">
              <w:rPr>
                <w:spacing w:val="-9"/>
              </w:rPr>
              <w:t xml:space="preserve"> </w:t>
            </w:r>
            <w:r w:rsidRPr="00EC20A0">
              <w:t>that</w:t>
            </w:r>
            <w:r w:rsidRPr="00EC20A0">
              <w:rPr>
                <w:spacing w:val="-9"/>
              </w:rPr>
              <w:t xml:space="preserve"> </w:t>
            </w:r>
            <w:r w:rsidRPr="00EC20A0">
              <w:t>procedures</w:t>
            </w:r>
            <w:r w:rsidRPr="00EC20A0">
              <w:rPr>
                <w:spacing w:val="-8"/>
              </w:rPr>
              <w:t xml:space="preserve"> </w:t>
            </w:r>
            <w:r w:rsidRPr="00EC20A0">
              <w:rPr>
                <w:spacing w:val="-2"/>
              </w:rPr>
              <w:t>performed</w:t>
            </w:r>
          </w:p>
          <w:p w14:paraId="24D60B15" w14:textId="77777777" w:rsidR="00245300" w:rsidRPr="00EC20A0" w:rsidRDefault="00F17249">
            <w:pPr>
              <w:pStyle w:val="TableParagraph"/>
              <w:ind w:left="1205"/>
            </w:pPr>
            <w:r w:rsidRPr="00EC20A0">
              <w:t>are</w:t>
            </w:r>
            <w:r w:rsidRPr="00EC20A0">
              <w:rPr>
                <w:spacing w:val="-6"/>
              </w:rPr>
              <w:t xml:space="preserve"> </w:t>
            </w:r>
            <w:r w:rsidRPr="00EC20A0">
              <w:t>appropriate</w:t>
            </w:r>
            <w:r w:rsidRPr="00EC20A0">
              <w:rPr>
                <w:spacing w:val="-5"/>
              </w:rPr>
              <w:t xml:space="preserve"> </w:t>
            </w:r>
            <w:r w:rsidRPr="00EC20A0">
              <w:t>prior</w:t>
            </w:r>
            <w:r w:rsidRPr="00EC20A0">
              <w:rPr>
                <w:spacing w:val="-6"/>
              </w:rPr>
              <w:t xml:space="preserve"> </w:t>
            </w:r>
            <w:r w:rsidRPr="00EC20A0">
              <w:t>to</w:t>
            </w:r>
            <w:r w:rsidRPr="00EC20A0">
              <w:rPr>
                <w:spacing w:val="-5"/>
              </w:rPr>
              <w:t xml:space="preserve"> </w:t>
            </w:r>
            <w:r w:rsidRPr="00EC20A0">
              <w:t>completion</w:t>
            </w:r>
            <w:r w:rsidRPr="00EC20A0">
              <w:rPr>
                <w:spacing w:val="-6"/>
              </w:rPr>
              <w:t xml:space="preserve"> </w:t>
            </w:r>
            <w:r w:rsidRPr="00EC20A0">
              <w:t>of</w:t>
            </w:r>
            <w:r w:rsidRPr="00EC20A0">
              <w:rPr>
                <w:spacing w:val="-5"/>
              </w:rPr>
              <w:t xml:space="preserve"> </w:t>
            </w:r>
            <w:r w:rsidRPr="00EC20A0">
              <w:t>the</w:t>
            </w:r>
            <w:r w:rsidRPr="00EC20A0">
              <w:rPr>
                <w:spacing w:val="-6"/>
              </w:rPr>
              <w:t xml:space="preserve"> </w:t>
            </w:r>
            <w:r w:rsidRPr="00EC20A0">
              <w:rPr>
                <w:spacing w:val="-2"/>
              </w:rPr>
              <w:t>audit.</w:t>
            </w:r>
          </w:p>
          <w:p w14:paraId="24D60B16" w14:textId="77777777" w:rsidR="00245300" w:rsidRPr="00EC20A0" w:rsidRDefault="00F17249">
            <w:pPr>
              <w:pStyle w:val="TableParagraph"/>
              <w:numPr>
                <w:ilvl w:val="0"/>
                <w:numId w:val="169"/>
              </w:numPr>
              <w:tabs>
                <w:tab w:val="left" w:pos="1205"/>
              </w:tabs>
              <w:spacing w:before="240"/>
              <w:ind w:right="273"/>
            </w:pPr>
            <w:r w:rsidRPr="00EC20A0">
              <w:t>Agreement of the engaging party to provide a representation letter or, if the engaging party is not the responsible party, a statement that written representations</w:t>
            </w:r>
            <w:r w:rsidRPr="00EC20A0">
              <w:rPr>
                <w:spacing w:val="-7"/>
              </w:rPr>
              <w:t xml:space="preserve"> </w:t>
            </w:r>
            <w:r w:rsidRPr="00EC20A0">
              <w:t>may</w:t>
            </w:r>
            <w:r w:rsidRPr="00EC20A0">
              <w:rPr>
                <w:spacing w:val="-7"/>
              </w:rPr>
              <w:t xml:space="preserve"> </w:t>
            </w:r>
            <w:r w:rsidRPr="00EC20A0">
              <w:t>be</w:t>
            </w:r>
            <w:r w:rsidRPr="00EC20A0">
              <w:rPr>
                <w:spacing w:val="-7"/>
              </w:rPr>
              <w:t xml:space="preserve"> </w:t>
            </w:r>
            <w:r w:rsidRPr="00EC20A0">
              <w:t>requested</w:t>
            </w:r>
            <w:r w:rsidRPr="00EC20A0">
              <w:rPr>
                <w:spacing w:val="-7"/>
              </w:rPr>
              <w:t xml:space="preserve"> </w:t>
            </w:r>
            <w:r w:rsidRPr="00EC20A0">
              <w:t>from</w:t>
            </w:r>
            <w:r w:rsidRPr="00EC20A0">
              <w:rPr>
                <w:spacing w:val="-8"/>
              </w:rPr>
              <w:t xml:space="preserve"> </w:t>
            </w:r>
            <w:r w:rsidRPr="00EC20A0">
              <w:t>the</w:t>
            </w:r>
            <w:r w:rsidRPr="00EC20A0">
              <w:rPr>
                <w:spacing w:val="-7"/>
              </w:rPr>
              <w:t xml:space="preserve"> </w:t>
            </w:r>
            <w:r w:rsidRPr="00EC20A0">
              <w:t xml:space="preserve">responsible </w:t>
            </w:r>
            <w:r w:rsidRPr="00EC20A0">
              <w:rPr>
                <w:spacing w:val="-2"/>
              </w:rPr>
              <w:t>party.</w:t>
            </w:r>
          </w:p>
          <w:p w14:paraId="24D60B17" w14:textId="77777777" w:rsidR="00245300" w:rsidRPr="00EC20A0" w:rsidRDefault="00F17249">
            <w:pPr>
              <w:pStyle w:val="TableParagraph"/>
              <w:numPr>
                <w:ilvl w:val="0"/>
                <w:numId w:val="169"/>
              </w:numPr>
              <w:tabs>
                <w:tab w:val="left" w:pos="1205"/>
              </w:tabs>
              <w:spacing w:before="237"/>
              <w:ind w:right="357"/>
            </w:pPr>
            <w:r w:rsidRPr="00EC20A0">
              <w:t>Anticipated</w:t>
            </w:r>
            <w:r w:rsidRPr="00EC20A0">
              <w:rPr>
                <w:spacing w:val="-8"/>
              </w:rPr>
              <w:t xml:space="preserve"> </w:t>
            </w:r>
            <w:r w:rsidRPr="00EC20A0">
              <w:t>reporting,</w:t>
            </w:r>
            <w:r w:rsidRPr="00EC20A0">
              <w:rPr>
                <w:spacing w:val="-7"/>
              </w:rPr>
              <w:t xml:space="preserve"> </w:t>
            </w:r>
            <w:r w:rsidRPr="00EC20A0">
              <w:t>including,</w:t>
            </w:r>
            <w:r w:rsidRPr="00EC20A0">
              <w:rPr>
                <w:spacing w:val="-8"/>
              </w:rPr>
              <w:t xml:space="preserve"> </w:t>
            </w:r>
            <w:r w:rsidRPr="00EC20A0">
              <w:t>if</w:t>
            </w:r>
            <w:r w:rsidRPr="00EC20A0">
              <w:rPr>
                <w:spacing w:val="-8"/>
              </w:rPr>
              <w:t xml:space="preserve"> </w:t>
            </w:r>
            <w:r w:rsidRPr="00EC20A0">
              <w:t>applicable,</w:t>
            </w:r>
            <w:r w:rsidRPr="00EC20A0">
              <w:rPr>
                <w:spacing w:val="-8"/>
              </w:rPr>
              <w:t xml:space="preserve"> </w:t>
            </w:r>
            <w:r w:rsidRPr="00EC20A0">
              <w:t>expected disclaimers and use restrictions.</w:t>
            </w:r>
          </w:p>
          <w:p w14:paraId="24D60B18" w14:textId="77777777" w:rsidR="00245300" w:rsidRPr="00EC20A0" w:rsidRDefault="00F17249">
            <w:pPr>
              <w:pStyle w:val="TableParagraph"/>
              <w:numPr>
                <w:ilvl w:val="0"/>
                <w:numId w:val="169"/>
              </w:numPr>
              <w:tabs>
                <w:tab w:val="left" w:pos="1205"/>
              </w:tabs>
              <w:spacing w:before="239"/>
              <w:ind w:right="224"/>
            </w:pPr>
            <w:r w:rsidRPr="00EC20A0">
              <w:t>If applicable, identification of other parties in addition to the</w:t>
            </w:r>
            <w:r w:rsidRPr="00EC20A0">
              <w:rPr>
                <w:spacing w:val="-4"/>
              </w:rPr>
              <w:t xml:space="preserve"> </w:t>
            </w:r>
            <w:r w:rsidRPr="00EC20A0">
              <w:t>engaging</w:t>
            </w:r>
            <w:r w:rsidRPr="00EC20A0">
              <w:rPr>
                <w:spacing w:val="-4"/>
              </w:rPr>
              <w:t xml:space="preserve"> </w:t>
            </w:r>
            <w:r w:rsidRPr="00EC20A0">
              <w:t>party</w:t>
            </w:r>
            <w:r w:rsidRPr="00EC20A0">
              <w:rPr>
                <w:spacing w:val="-4"/>
              </w:rPr>
              <w:t xml:space="preserve"> </w:t>
            </w:r>
            <w:r w:rsidRPr="00EC20A0">
              <w:t>that</w:t>
            </w:r>
            <w:r w:rsidRPr="00EC20A0">
              <w:rPr>
                <w:spacing w:val="-5"/>
              </w:rPr>
              <w:t xml:space="preserve"> </w:t>
            </w:r>
            <w:r w:rsidRPr="00EC20A0">
              <w:t>will</w:t>
            </w:r>
            <w:r w:rsidRPr="00EC20A0">
              <w:rPr>
                <w:spacing w:val="-4"/>
              </w:rPr>
              <w:t xml:space="preserve"> </w:t>
            </w:r>
            <w:r w:rsidRPr="00EC20A0">
              <w:t>be</w:t>
            </w:r>
            <w:r w:rsidRPr="00EC20A0">
              <w:rPr>
                <w:spacing w:val="-4"/>
              </w:rPr>
              <w:t xml:space="preserve"> </w:t>
            </w:r>
            <w:r w:rsidRPr="00EC20A0">
              <w:t>requested</w:t>
            </w:r>
            <w:r w:rsidRPr="00EC20A0">
              <w:rPr>
                <w:spacing w:val="-4"/>
              </w:rPr>
              <w:t xml:space="preserve"> </w:t>
            </w:r>
            <w:r w:rsidRPr="00EC20A0">
              <w:t>to</w:t>
            </w:r>
            <w:r w:rsidRPr="00EC20A0">
              <w:rPr>
                <w:spacing w:val="-4"/>
              </w:rPr>
              <w:t xml:space="preserve"> </w:t>
            </w:r>
            <w:r w:rsidRPr="00EC20A0">
              <w:t>agree</w:t>
            </w:r>
            <w:r w:rsidRPr="00EC20A0">
              <w:rPr>
                <w:spacing w:val="-4"/>
              </w:rPr>
              <w:t xml:space="preserve"> </w:t>
            </w:r>
            <w:r w:rsidRPr="00EC20A0">
              <w:t>to</w:t>
            </w:r>
            <w:r w:rsidRPr="00EC20A0">
              <w:rPr>
                <w:spacing w:val="-4"/>
              </w:rPr>
              <w:t xml:space="preserve"> </w:t>
            </w:r>
            <w:r w:rsidRPr="00EC20A0">
              <w:t xml:space="preserve">the procedures and acknowledge that the procedures performed are appropriate for their purposes (see AT-C </w:t>
            </w:r>
            <w:r w:rsidRPr="00EC20A0">
              <w:rPr>
                <w:spacing w:val="-2"/>
              </w:rPr>
              <w:t>215.15h).</w:t>
            </w:r>
          </w:p>
          <w:p w14:paraId="24D60B19" w14:textId="77777777" w:rsidR="00245300" w:rsidRPr="00EC20A0" w:rsidRDefault="00F17249">
            <w:pPr>
              <w:pStyle w:val="TableParagraph"/>
              <w:numPr>
                <w:ilvl w:val="0"/>
                <w:numId w:val="169"/>
              </w:numPr>
              <w:tabs>
                <w:tab w:val="left" w:pos="1205"/>
              </w:tabs>
              <w:spacing w:before="237"/>
            </w:pPr>
            <w:r w:rsidRPr="00EC20A0">
              <w:t>Assistance</w:t>
            </w:r>
            <w:r w:rsidRPr="00EC20A0">
              <w:rPr>
                <w:spacing w:val="-6"/>
              </w:rPr>
              <w:t xml:space="preserve"> </w:t>
            </w:r>
            <w:r w:rsidRPr="00EC20A0">
              <w:t>to</w:t>
            </w:r>
            <w:r w:rsidRPr="00EC20A0">
              <w:rPr>
                <w:spacing w:val="-5"/>
              </w:rPr>
              <w:t xml:space="preserve"> </w:t>
            </w:r>
            <w:r w:rsidRPr="00EC20A0">
              <w:t>be</w:t>
            </w:r>
            <w:r w:rsidRPr="00EC20A0">
              <w:rPr>
                <w:spacing w:val="-5"/>
              </w:rPr>
              <w:t xml:space="preserve"> </w:t>
            </w:r>
            <w:r w:rsidRPr="00EC20A0">
              <w:t>provided</w:t>
            </w:r>
            <w:r w:rsidRPr="00EC20A0">
              <w:rPr>
                <w:spacing w:val="-6"/>
              </w:rPr>
              <w:t xml:space="preserve"> </w:t>
            </w:r>
            <w:r w:rsidRPr="00EC20A0">
              <w:t>to</w:t>
            </w:r>
            <w:r w:rsidRPr="00EC20A0">
              <w:rPr>
                <w:spacing w:val="-5"/>
              </w:rPr>
              <w:t xml:space="preserve"> </w:t>
            </w:r>
            <w:r w:rsidRPr="00EC20A0">
              <w:t>the</w:t>
            </w:r>
            <w:r w:rsidRPr="00EC20A0">
              <w:rPr>
                <w:spacing w:val="-6"/>
              </w:rPr>
              <w:t xml:space="preserve"> </w:t>
            </w:r>
            <w:r w:rsidRPr="00EC20A0">
              <w:t>auditor,</w:t>
            </w:r>
            <w:r w:rsidRPr="00EC20A0">
              <w:rPr>
                <w:spacing w:val="-5"/>
              </w:rPr>
              <w:t xml:space="preserve"> </w:t>
            </w:r>
            <w:r w:rsidRPr="00EC20A0">
              <w:t>if</w:t>
            </w:r>
            <w:r w:rsidRPr="00EC20A0">
              <w:rPr>
                <w:spacing w:val="-5"/>
              </w:rPr>
              <w:t xml:space="preserve"> </w:t>
            </w:r>
            <w:r w:rsidRPr="00EC20A0">
              <w:rPr>
                <w:spacing w:val="-2"/>
              </w:rPr>
              <w:t>applicable.</w:t>
            </w:r>
          </w:p>
          <w:p w14:paraId="24D60B1A" w14:textId="77777777" w:rsidR="00245300" w:rsidRPr="00EC20A0" w:rsidRDefault="00F17249">
            <w:pPr>
              <w:pStyle w:val="TableParagraph"/>
              <w:numPr>
                <w:ilvl w:val="0"/>
                <w:numId w:val="169"/>
              </w:numPr>
              <w:tabs>
                <w:tab w:val="left" w:pos="1205"/>
              </w:tabs>
              <w:spacing w:before="240"/>
              <w:ind w:right="993"/>
            </w:pPr>
            <w:r w:rsidRPr="00EC20A0">
              <w:t>Involvement</w:t>
            </w:r>
            <w:r w:rsidRPr="00EC20A0">
              <w:rPr>
                <w:spacing w:val="-7"/>
              </w:rPr>
              <w:t xml:space="preserve"> </w:t>
            </w:r>
            <w:r w:rsidRPr="00EC20A0">
              <w:t>of</w:t>
            </w:r>
            <w:r w:rsidRPr="00EC20A0">
              <w:rPr>
                <w:spacing w:val="-6"/>
              </w:rPr>
              <w:t xml:space="preserve"> </w:t>
            </w:r>
            <w:r w:rsidRPr="00EC20A0">
              <w:t>an</w:t>
            </w:r>
            <w:r w:rsidRPr="00EC20A0">
              <w:rPr>
                <w:spacing w:val="-6"/>
              </w:rPr>
              <w:t xml:space="preserve"> </w:t>
            </w:r>
            <w:r w:rsidRPr="00EC20A0">
              <w:t>auditor’s</w:t>
            </w:r>
            <w:r w:rsidRPr="00EC20A0">
              <w:rPr>
                <w:spacing w:val="-6"/>
              </w:rPr>
              <w:t xml:space="preserve"> </w:t>
            </w:r>
            <w:r w:rsidRPr="00EC20A0">
              <w:t>external</w:t>
            </w:r>
            <w:r w:rsidRPr="00EC20A0">
              <w:rPr>
                <w:spacing w:val="-7"/>
              </w:rPr>
              <w:t xml:space="preserve"> </w:t>
            </w:r>
            <w:r w:rsidRPr="00EC20A0">
              <w:t>specialist,</w:t>
            </w:r>
            <w:r w:rsidRPr="00EC20A0">
              <w:rPr>
                <w:spacing w:val="-6"/>
              </w:rPr>
              <w:t xml:space="preserve"> </w:t>
            </w:r>
            <w:r w:rsidRPr="00EC20A0">
              <w:t xml:space="preserve">if </w:t>
            </w:r>
            <w:r w:rsidRPr="00EC20A0">
              <w:rPr>
                <w:spacing w:val="-2"/>
              </w:rPr>
              <w:t>applicable.</w:t>
            </w:r>
          </w:p>
          <w:p w14:paraId="24D60B1B" w14:textId="77777777" w:rsidR="00245300" w:rsidRPr="00EC20A0" w:rsidRDefault="00F17249">
            <w:pPr>
              <w:pStyle w:val="TableParagraph"/>
              <w:numPr>
                <w:ilvl w:val="0"/>
                <w:numId w:val="169"/>
              </w:numPr>
              <w:tabs>
                <w:tab w:val="left" w:pos="1205"/>
              </w:tabs>
              <w:spacing w:before="238"/>
              <w:ind w:right="1090"/>
            </w:pPr>
            <w:r w:rsidRPr="00EC20A0">
              <w:t>Specified</w:t>
            </w:r>
            <w:r w:rsidRPr="00EC20A0">
              <w:rPr>
                <w:spacing w:val="-8"/>
              </w:rPr>
              <w:t xml:space="preserve"> </w:t>
            </w:r>
            <w:r w:rsidRPr="00EC20A0">
              <w:t>thresholds</w:t>
            </w:r>
            <w:r w:rsidRPr="00EC20A0">
              <w:rPr>
                <w:spacing w:val="-8"/>
              </w:rPr>
              <w:t xml:space="preserve"> </w:t>
            </w:r>
            <w:r w:rsidRPr="00EC20A0">
              <w:t>for</w:t>
            </w:r>
            <w:r w:rsidRPr="00EC20A0">
              <w:rPr>
                <w:spacing w:val="-8"/>
              </w:rPr>
              <w:t xml:space="preserve"> </w:t>
            </w:r>
            <w:r w:rsidRPr="00EC20A0">
              <w:t>reporting</w:t>
            </w:r>
            <w:r w:rsidRPr="00EC20A0">
              <w:rPr>
                <w:spacing w:val="-8"/>
              </w:rPr>
              <w:t xml:space="preserve"> </w:t>
            </w:r>
            <w:r w:rsidRPr="00EC20A0">
              <w:t>exceptions,</w:t>
            </w:r>
            <w:r w:rsidRPr="00EC20A0">
              <w:rPr>
                <w:spacing w:val="-8"/>
              </w:rPr>
              <w:t xml:space="preserve"> </w:t>
            </w:r>
            <w:r w:rsidRPr="00EC20A0">
              <w:t xml:space="preserve">if </w:t>
            </w:r>
            <w:r w:rsidRPr="00EC20A0">
              <w:rPr>
                <w:spacing w:val="-2"/>
              </w:rPr>
              <w:t>applicable.</w:t>
            </w:r>
          </w:p>
        </w:tc>
        <w:tc>
          <w:tcPr>
            <w:tcW w:w="1052" w:type="dxa"/>
            <w:tcBorders>
              <w:left w:val="single" w:sz="2" w:space="0" w:color="000000"/>
              <w:bottom w:val="single" w:sz="2" w:space="0" w:color="000000"/>
              <w:right w:val="single" w:sz="2" w:space="0" w:color="000000"/>
            </w:tcBorders>
          </w:tcPr>
          <w:p w14:paraId="24D60B1C" w14:textId="77777777" w:rsidR="00245300" w:rsidRPr="00EC20A0" w:rsidRDefault="00245300">
            <w:pPr>
              <w:pStyle w:val="TableParagraph"/>
              <w:rPr>
                <w:sz w:val="20"/>
              </w:rPr>
            </w:pPr>
          </w:p>
        </w:tc>
        <w:tc>
          <w:tcPr>
            <w:tcW w:w="949" w:type="dxa"/>
            <w:tcBorders>
              <w:left w:val="single" w:sz="2" w:space="0" w:color="000000"/>
              <w:bottom w:val="single" w:sz="2" w:space="0" w:color="000000"/>
            </w:tcBorders>
          </w:tcPr>
          <w:p w14:paraId="24D60B1D" w14:textId="77777777" w:rsidR="00245300" w:rsidRPr="00EC20A0" w:rsidRDefault="00245300">
            <w:pPr>
              <w:pStyle w:val="TableParagraph"/>
              <w:rPr>
                <w:sz w:val="20"/>
              </w:rPr>
            </w:pPr>
          </w:p>
        </w:tc>
      </w:tr>
      <w:tr w:rsidR="00245300" w:rsidRPr="00EC20A0" w14:paraId="24D60B22" w14:textId="77777777">
        <w:trPr>
          <w:trHeight w:val="493"/>
        </w:trPr>
        <w:tc>
          <w:tcPr>
            <w:tcW w:w="6898" w:type="dxa"/>
            <w:tcBorders>
              <w:top w:val="single" w:sz="2" w:space="0" w:color="000000"/>
              <w:bottom w:val="single" w:sz="2" w:space="0" w:color="000000"/>
              <w:right w:val="single" w:sz="2" w:space="0" w:color="000000"/>
            </w:tcBorders>
          </w:tcPr>
          <w:p w14:paraId="24D60B1F" w14:textId="77777777" w:rsidR="00245300" w:rsidRPr="00EC20A0" w:rsidRDefault="00F17249">
            <w:pPr>
              <w:pStyle w:val="TableParagraph"/>
              <w:spacing w:before="120"/>
              <w:ind w:left="125"/>
            </w:pPr>
            <w:r w:rsidRPr="00EC20A0">
              <w:t>4.</w:t>
            </w:r>
            <w:r w:rsidRPr="00EC20A0">
              <w:rPr>
                <w:spacing w:val="69"/>
                <w:w w:val="150"/>
              </w:rPr>
              <w:t xml:space="preserve"> </w:t>
            </w:r>
            <w:r w:rsidRPr="00EC20A0">
              <w:t>Was</w:t>
            </w:r>
            <w:r w:rsidRPr="00EC20A0">
              <w:rPr>
                <w:spacing w:val="-6"/>
              </w:rPr>
              <w:t xml:space="preserve"> </w:t>
            </w:r>
            <w:r w:rsidRPr="00EC20A0">
              <w:t>an</w:t>
            </w:r>
            <w:r w:rsidRPr="00EC20A0">
              <w:rPr>
                <w:spacing w:val="-5"/>
              </w:rPr>
              <w:t xml:space="preserve"> </w:t>
            </w:r>
            <w:r w:rsidRPr="00EC20A0">
              <w:t>entrance</w:t>
            </w:r>
            <w:r w:rsidRPr="00EC20A0">
              <w:rPr>
                <w:spacing w:val="-5"/>
              </w:rPr>
              <w:t xml:space="preserve"> </w:t>
            </w:r>
            <w:r w:rsidRPr="00EC20A0">
              <w:t>conference</w:t>
            </w:r>
            <w:r w:rsidRPr="00EC20A0">
              <w:rPr>
                <w:spacing w:val="-5"/>
              </w:rPr>
              <w:t xml:space="preserve"> </w:t>
            </w:r>
            <w:r w:rsidRPr="00EC20A0">
              <w:t>held</w:t>
            </w:r>
            <w:r w:rsidRPr="00EC20A0">
              <w:rPr>
                <w:spacing w:val="-6"/>
              </w:rPr>
              <w:t xml:space="preserve"> </w:t>
            </w:r>
            <w:r w:rsidRPr="00EC20A0">
              <w:t>with</w:t>
            </w:r>
            <w:r w:rsidRPr="00EC20A0">
              <w:rPr>
                <w:spacing w:val="-5"/>
              </w:rPr>
              <w:t xml:space="preserve"> </w:t>
            </w:r>
            <w:r w:rsidRPr="00EC20A0">
              <w:t>the</w:t>
            </w:r>
            <w:r w:rsidRPr="00EC20A0">
              <w:rPr>
                <w:spacing w:val="-5"/>
              </w:rPr>
              <w:t xml:space="preserve"> </w:t>
            </w:r>
            <w:r w:rsidRPr="00EC20A0">
              <w:t>responsible</w:t>
            </w:r>
            <w:r w:rsidRPr="00EC20A0">
              <w:rPr>
                <w:spacing w:val="-6"/>
              </w:rPr>
              <w:t xml:space="preserve"> </w:t>
            </w:r>
            <w:r w:rsidRPr="00EC20A0">
              <w:rPr>
                <w:spacing w:val="-2"/>
              </w:rPr>
              <w:t>entity?</w:t>
            </w:r>
          </w:p>
        </w:tc>
        <w:tc>
          <w:tcPr>
            <w:tcW w:w="1052" w:type="dxa"/>
            <w:tcBorders>
              <w:top w:val="single" w:sz="2" w:space="0" w:color="000000"/>
              <w:left w:val="single" w:sz="2" w:space="0" w:color="000000"/>
              <w:bottom w:val="single" w:sz="2" w:space="0" w:color="000000"/>
              <w:right w:val="single" w:sz="2" w:space="0" w:color="000000"/>
            </w:tcBorders>
          </w:tcPr>
          <w:p w14:paraId="24D60B20"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21" w14:textId="77777777" w:rsidR="00245300" w:rsidRPr="00EC20A0" w:rsidRDefault="00245300">
            <w:pPr>
              <w:pStyle w:val="TableParagraph"/>
              <w:rPr>
                <w:sz w:val="20"/>
              </w:rPr>
            </w:pPr>
          </w:p>
        </w:tc>
      </w:tr>
      <w:tr w:rsidR="00245300" w:rsidRPr="00EC20A0" w14:paraId="24D60B26" w14:textId="77777777">
        <w:trPr>
          <w:trHeight w:val="1251"/>
        </w:trPr>
        <w:tc>
          <w:tcPr>
            <w:tcW w:w="6898" w:type="dxa"/>
            <w:tcBorders>
              <w:top w:val="single" w:sz="2" w:space="0" w:color="000000"/>
              <w:bottom w:val="single" w:sz="2" w:space="0" w:color="000000"/>
              <w:right w:val="single" w:sz="2" w:space="0" w:color="000000"/>
            </w:tcBorders>
          </w:tcPr>
          <w:p w14:paraId="24D60B23" w14:textId="77777777" w:rsidR="00245300" w:rsidRPr="00EC20A0" w:rsidRDefault="00F17249">
            <w:pPr>
              <w:pStyle w:val="TableParagraph"/>
              <w:spacing w:before="120"/>
              <w:ind w:left="485" w:right="182" w:hanging="360"/>
            </w:pPr>
            <w:r w:rsidRPr="00EC20A0">
              <w:t>5.</w:t>
            </w:r>
            <w:r w:rsidRPr="00EC20A0">
              <w:rPr>
                <w:spacing w:val="80"/>
              </w:rPr>
              <w:t xml:space="preserve"> </w:t>
            </w:r>
            <w:r w:rsidRPr="00EC20A0">
              <w:t>Did the auditor receive written representations from the engaging</w:t>
            </w:r>
            <w:r w:rsidRPr="00EC20A0">
              <w:rPr>
                <w:spacing w:val="-2"/>
              </w:rPr>
              <w:t xml:space="preserve"> </w:t>
            </w:r>
            <w:r w:rsidRPr="00EC20A0">
              <w:t>party</w:t>
            </w:r>
            <w:r w:rsidRPr="00EC20A0">
              <w:rPr>
                <w:spacing w:val="-2"/>
              </w:rPr>
              <w:t xml:space="preserve"> </w:t>
            </w:r>
            <w:r w:rsidRPr="00EC20A0">
              <w:t>as</w:t>
            </w:r>
            <w:r w:rsidRPr="00EC20A0">
              <w:rPr>
                <w:spacing w:val="-8"/>
              </w:rPr>
              <w:t xml:space="preserve"> </w:t>
            </w:r>
            <w:r w:rsidRPr="00EC20A0">
              <w:t>of</w:t>
            </w:r>
            <w:r w:rsidRPr="00EC20A0">
              <w:rPr>
                <w:spacing w:val="-9"/>
              </w:rPr>
              <w:t xml:space="preserve"> </w:t>
            </w:r>
            <w:r w:rsidRPr="00EC20A0">
              <w:t>the</w:t>
            </w:r>
            <w:r w:rsidRPr="00EC20A0">
              <w:rPr>
                <w:spacing w:val="-10"/>
              </w:rPr>
              <w:t xml:space="preserve"> </w:t>
            </w:r>
            <w:r w:rsidRPr="00EC20A0">
              <w:t>date</w:t>
            </w:r>
            <w:r w:rsidRPr="00EC20A0">
              <w:rPr>
                <w:spacing w:val="-7"/>
              </w:rPr>
              <w:t xml:space="preserve"> </w:t>
            </w:r>
            <w:r w:rsidRPr="00EC20A0">
              <w:t>of</w:t>
            </w:r>
            <w:r w:rsidRPr="00EC20A0">
              <w:rPr>
                <w:spacing w:val="-9"/>
              </w:rPr>
              <w:t xml:space="preserve"> </w:t>
            </w:r>
            <w:r w:rsidRPr="00EC20A0">
              <w:t>the</w:t>
            </w:r>
            <w:r w:rsidRPr="00EC20A0">
              <w:rPr>
                <w:spacing w:val="-2"/>
              </w:rPr>
              <w:t xml:space="preserve"> </w:t>
            </w:r>
            <w:r w:rsidRPr="00EC20A0">
              <w:t>auditor’s report</w:t>
            </w:r>
            <w:r w:rsidRPr="00EC20A0">
              <w:rPr>
                <w:spacing w:val="-2"/>
              </w:rPr>
              <w:t xml:space="preserve"> </w:t>
            </w:r>
            <w:r w:rsidRPr="00EC20A0">
              <w:t>as</w:t>
            </w:r>
            <w:r w:rsidRPr="00EC20A0">
              <w:rPr>
                <w:spacing w:val="-2"/>
              </w:rPr>
              <w:t xml:space="preserve"> </w:t>
            </w:r>
            <w:r w:rsidRPr="00EC20A0">
              <w:t xml:space="preserve">required by AT-C 215.27 and .29, and did they address the subject </w:t>
            </w:r>
            <w:r w:rsidRPr="00EC20A0">
              <w:rPr>
                <w:spacing w:val="-2"/>
              </w:rPr>
              <w:t>matter</w:t>
            </w:r>
            <w:r w:rsidRPr="00EC20A0">
              <w:rPr>
                <w:spacing w:val="-12"/>
              </w:rPr>
              <w:t xml:space="preserve"> </w:t>
            </w:r>
            <w:r w:rsidRPr="00EC20A0">
              <w:rPr>
                <w:spacing w:val="-2"/>
              </w:rPr>
              <w:t>and</w:t>
            </w:r>
            <w:r w:rsidRPr="00EC20A0">
              <w:rPr>
                <w:spacing w:val="-10"/>
              </w:rPr>
              <w:t xml:space="preserve"> </w:t>
            </w:r>
            <w:r w:rsidRPr="00EC20A0">
              <w:rPr>
                <w:spacing w:val="-2"/>
              </w:rPr>
              <w:t>periods</w:t>
            </w:r>
            <w:r w:rsidRPr="00EC20A0">
              <w:rPr>
                <w:spacing w:val="-10"/>
              </w:rPr>
              <w:t xml:space="preserve"> </w:t>
            </w:r>
            <w:r w:rsidRPr="00EC20A0">
              <w:rPr>
                <w:spacing w:val="-2"/>
              </w:rPr>
              <w:t>covered</w:t>
            </w:r>
            <w:r w:rsidRPr="00EC20A0">
              <w:rPr>
                <w:spacing w:val="-12"/>
              </w:rPr>
              <w:t xml:space="preserve"> </w:t>
            </w:r>
            <w:r w:rsidRPr="00EC20A0">
              <w:rPr>
                <w:spacing w:val="-2"/>
              </w:rPr>
              <w:t>by</w:t>
            </w:r>
            <w:r w:rsidRPr="00EC20A0">
              <w:rPr>
                <w:spacing w:val="-10"/>
              </w:rPr>
              <w:t xml:space="preserve"> </w:t>
            </w:r>
            <w:r w:rsidRPr="00EC20A0">
              <w:rPr>
                <w:spacing w:val="-2"/>
              </w:rPr>
              <w:t>the</w:t>
            </w:r>
            <w:r w:rsidRPr="00EC20A0">
              <w:rPr>
                <w:spacing w:val="-10"/>
              </w:rPr>
              <w:t xml:space="preserve"> </w:t>
            </w:r>
            <w:r w:rsidRPr="00EC20A0">
              <w:rPr>
                <w:spacing w:val="-2"/>
              </w:rPr>
              <w:t>auditor’s</w:t>
            </w:r>
            <w:r w:rsidRPr="00EC20A0">
              <w:rPr>
                <w:spacing w:val="-15"/>
              </w:rPr>
              <w:t xml:space="preserve"> </w:t>
            </w:r>
            <w:r w:rsidRPr="00EC20A0">
              <w:rPr>
                <w:spacing w:val="-2"/>
              </w:rPr>
              <w:t>findings</w:t>
            </w:r>
            <w:r w:rsidRPr="00EC20A0">
              <w:rPr>
                <w:spacing w:val="-4"/>
              </w:rPr>
              <w:t xml:space="preserve"> </w:t>
            </w:r>
            <w:r w:rsidRPr="00EC20A0">
              <w:rPr>
                <w:spacing w:val="-2"/>
              </w:rPr>
              <w:t>and</w:t>
            </w:r>
            <w:r w:rsidRPr="00EC20A0">
              <w:rPr>
                <w:spacing w:val="-5"/>
              </w:rPr>
              <w:t xml:space="preserve"> </w:t>
            </w:r>
            <w:r w:rsidRPr="00EC20A0">
              <w:rPr>
                <w:spacing w:val="-2"/>
              </w:rPr>
              <w:t>results?</w:t>
            </w:r>
          </w:p>
        </w:tc>
        <w:tc>
          <w:tcPr>
            <w:tcW w:w="1052" w:type="dxa"/>
            <w:tcBorders>
              <w:top w:val="single" w:sz="2" w:space="0" w:color="000000"/>
              <w:left w:val="single" w:sz="2" w:space="0" w:color="000000"/>
              <w:bottom w:val="single" w:sz="2" w:space="0" w:color="000000"/>
              <w:right w:val="single" w:sz="2" w:space="0" w:color="000000"/>
            </w:tcBorders>
          </w:tcPr>
          <w:p w14:paraId="24D60B24"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25" w14:textId="77777777" w:rsidR="00245300" w:rsidRPr="00EC20A0" w:rsidRDefault="00245300">
            <w:pPr>
              <w:pStyle w:val="TableParagraph"/>
              <w:rPr>
                <w:sz w:val="20"/>
              </w:rPr>
            </w:pPr>
          </w:p>
        </w:tc>
      </w:tr>
      <w:tr w:rsidR="00245300" w:rsidRPr="00EC20A0" w14:paraId="24D60B2A" w14:textId="77777777">
        <w:trPr>
          <w:trHeight w:val="1504"/>
        </w:trPr>
        <w:tc>
          <w:tcPr>
            <w:tcW w:w="6898" w:type="dxa"/>
            <w:tcBorders>
              <w:top w:val="single" w:sz="2" w:space="0" w:color="000000"/>
              <w:bottom w:val="single" w:sz="2" w:space="0" w:color="000000"/>
              <w:right w:val="single" w:sz="2" w:space="0" w:color="000000"/>
            </w:tcBorders>
          </w:tcPr>
          <w:p w14:paraId="24D60B27" w14:textId="77777777" w:rsidR="00245300" w:rsidRPr="00EC20A0" w:rsidRDefault="00F17249">
            <w:pPr>
              <w:pStyle w:val="TableParagraph"/>
              <w:spacing w:before="120"/>
              <w:ind w:left="484" w:right="182" w:hanging="360"/>
            </w:pPr>
            <w:r w:rsidRPr="00EC20A0">
              <w:t>6.</w:t>
            </w:r>
            <w:r w:rsidRPr="00EC20A0">
              <w:rPr>
                <w:spacing w:val="80"/>
              </w:rPr>
              <w:t xml:space="preserve"> </w:t>
            </w:r>
            <w:r w:rsidRPr="00EC20A0">
              <w:t xml:space="preserve">When the engaging party is not the responsible party, did the auditor receive relevant written representations from the responsible party as of the date of the auditor’s report as required by AT-C 215.28, and did they address the subject </w:t>
            </w:r>
            <w:r w:rsidRPr="00EC20A0">
              <w:rPr>
                <w:spacing w:val="-2"/>
              </w:rPr>
              <w:t>matter</w:t>
            </w:r>
            <w:r w:rsidRPr="00EC20A0">
              <w:rPr>
                <w:spacing w:val="-12"/>
              </w:rPr>
              <w:t xml:space="preserve"> </w:t>
            </w:r>
            <w:r w:rsidRPr="00EC20A0">
              <w:rPr>
                <w:spacing w:val="-2"/>
              </w:rPr>
              <w:t>and</w:t>
            </w:r>
            <w:r w:rsidRPr="00EC20A0">
              <w:rPr>
                <w:spacing w:val="-10"/>
              </w:rPr>
              <w:t xml:space="preserve"> </w:t>
            </w:r>
            <w:r w:rsidRPr="00EC20A0">
              <w:rPr>
                <w:spacing w:val="-2"/>
              </w:rPr>
              <w:t>periods</w:t>
            </w:r>
            <w:r w:rsidRPr="00EC20A0">
              <w:rPr>
                <w:spacing w:val="-10"/>
              </w:rPr>
              <w:t xml:space="preserve"> </w:t>
            </w:r>
            <w:r w:rsidRPr="00EC20A0">
              <w:rPr>
                <w:spacing w:val="-2"/>
              </w:rPr>
              <w:t>covered</w:t>
            </w:r>
            <w:r w:rsidRPr="00EC20A0">
              <w:rPr>
                <w:spacing w:val="-12"/>
              </w:rPr>
              <w:t xml:space="preserve"> </w:t>
            </w:r>
            <w:r w:rsidRPr="00EC20A0">
              <w:rPr>
                <w:spacing w:val="-2"/>
              </w:rPr>
              <w:t>by</w:t>
            </w:r>
            <w:r w:rsidRPr="00EC20A0">
              <w:rPr>
                <w:spacing w:val="-10"/>
              </w:rPr>
              <w:t xml:space="preserve"> </w:t>
            </w:r>
            <w:r w:rsidRPr="00EC20A0">
              <w:rPr>
                <w:spacing w:val="-2"/>
              </w:rPr>
              <w:t>the</w:t>
            </w:r>
            <w:r w:rsidRPr="00EC20A0">
              <w:rPr>
                <w:spacing w:val="-10"/>
              </w:rPr>
              <w:t xml:space="preserve"> </w:t>
            </w:r>
            <w:r w:rsidRPr="00EC20A0">
              <w:rPr>
                <w:spacing w:val="-2"/>
              </w:rPr>
              <w:t>auditor’s</w:t>
            </w:r>
            <w:r w:rsidRPr="00EC20A0">
              <w:rPr>
                <w:spacing w:val="-15"/>
              </w:rPr>
              <w:t xml:space="preserve"> </w:t>
            </w:r>
            <w:r w:rsidRPr="00EC20A0">
              <w:rPr>
                <w:spacing w:val="-2"/>
              </w:rPr>
              <w:t>findings</w:t>
            </w:r>
            <w:r w:rsidRPr="00EC20A0">
              <w:rPr>
                <w:spacing w:val="-4"/>
              </w:rPr>
              <w:t xml:space="preserve"> </w:t>
            </w:r>
            <w:r w:rsidRPr="00EC20A0">
              <w:rPr>
                <w:spacing w:val="-2"/>
              </w:rPr>
              <w:t>and</w:t>
            </w:r>
            <w:r w:rsidRPr="00EC20A0">
              <w:rPr>
                <w:spacing w:val="-5"/>
              </w:rPr>
              <w:t xml:space="preserve"> </w:t>
            </w:r>
            <w:r w:rsidRPr="00EC20A0">
              <w:rPr>
                <w:spacing w:val="-2"/>
              </w:rPr>
              <w:t>results?</w:t>
            </w:r>
          </w:p>
        </w:tc>
        <w:tc>
          <w:tcPr>
            <w:tcW w:w="1052" w:type="dxa"/>
            <w:tcBorders>
              <w:top w:val="single" w:sz="2" w:space="0" w:color="000000"/>
              <w:left w:val="single" w:sz="2" w:space="0" w:color="000000"/>
              <w:bottom w:val="single" w:sz="2" w:space="0" w:color="000000"/>
              <w:right w:val="single" w:sz="2" w:space="0" w:color="000000"/>
            </w:tcBorders>
          </w:tcPr>
          <w:p w14:paraId="24D60B28"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29" w14:textId="77777777" w:rsidR="00245300" w:rsidRPr="00EC20A0" w:rsidRDefault="00245300">
            <w:pPr>
              <w:pStyle w:val="TableParagraph"/>
              <w:rPr>
                <w:sz w:val="20"/>
              </w:rPr>
            </w:pPr>
          </w:p>
        </w:tc>
      </w:tr>
      <w:tr w:rsidR="00245300" w:rsidRPr="00EC20A0" w14:paraId="24D60B2E" w14:textId="77777777">
        <w:trPr>
          <w:trHeight w:val="746"/>
        </w:trPr>
        <w:tc>
          <w:tcPr>
            <w:tcW w:w="6898" w:type="dxa"/>
            <w:tcBorders>
              <w:top w:val="single" w:sz="2" w:space="0" w:color="000000"/>
              <w:bottom w:val="single" w:sz="2" w:space="0" w:color="000000"/>
              <w:right w:val="single" w:sz="2" w:space="0" w:color="000000"/>
            </w:tcBorders>
          </w:tcPr>
          <w:p w14:paraId="24D60B2B" w14:textId="77777777" w:rsidR="00245300" w:rsidRPr="00EC20A0" w:rsidRDefault="00F17249">
            <w:pPr>
              <w:pStyle w:val="TableParagraph"/>
              <w:spacing w:before="120"/>
              <w:ind w:left="485" w:hanging="360"/>
            </w:pPr>
            <w:r w:rsidRPr="00EC20A0">
              <w:t>7.</w:t>
            </w:r>
            <w:r w:rsidRPr="00EC20A0">
              <w:rPr>
                <w:spacing w:val="80"/>
              </w:rPr>
              <w:t xml:space="preserve"> </w:t>
            </w:r>
            <w:r w:rsidRPr="00EC20A0">
              <w:t>If</w:t>
            </w:r>
            <w:r w:rsidRPr="00EC20A0">
              <w:rPr>
                <w:spacing w:val="-4"/>
              </w:rPr>
              <w:t xml:space="preserve"> </w:t>
            </w:r>
            <w:r w:rsidRPr="00EC20A0">
              <w:t>applicable</w:t>
            </w:r>
            <w:r w:rsidRPr="00EC20A0">
              <w:rPr>
                <w:spacing w:val="-5"/>
              </w:rPr>
              <w:t xml:space="preserve"> </w:t>
            </w:r>
            <w:r w:rsidRPr="00EC20A0">
              <w:t>to</w:t>
            </w:r>
            <w:r w:rsidRPr="00EC20A0">
              <w:rPr>
                <w:spacing w:val="-4"/>
              </w:rPr>
              <w:t xml:space="preserve"> </w:t>
            </w:r>
            <w:r w:rsidRPr="00EC20A0">
              <w:t>the</w:t>
            </w:r>
            <w:r w:rsidRPr="00EC20A0">
              <w:rPr>
                <w:spacing w:val="-4"/>
              </w:rPr>
              <w:t xml:space="preserve"> </w:t>
            </w:r>
            <w:r w:rsidRPr="00EC20A0">
              <w:t>procedures,</w:t>
            </w:r>
            <w:r w:rsidRPr="00EC20A0">
              <w:rPr>
                <w:spacing w:val="-4"/>
              </w:rPr>
              <w:t xml:space="preserve"> </w:t>
            </w:r>
            <w:r w:rsidRPr="00EC20A0">
              <w:t>were</w:t>
            </w:r>
            <w:r w:rsidRPr="00EC20A0">
              <w:rPr>
                <w:spacing w:val="-4"/>
              </w:rPr>
              <w:t xml:space="preserve"> </w:t>
            </w:r>
            <w:r w:rsidRPr="00EC20A0">
              <w:t>laws</w:t>
            </w:r>
            <w:r w:rsidRPr="00EC20A0">
              <w:rPr>
                <w:spacing w:val="-4"/>
              </w:rPr>
              <w:t xml:space="preserve"> </w:t>
            </w:r>
            <w:r w:rsidRPr="00EC20A0">
              <w:t>and</w:t>
            </w:r>
            <w:r w:rsidRPr="00EC20A0">
              <w:rPr>
                <w:spacing w:val="-4"/>
              </w:rPr>
              <w:t xml:space="preserve"> </w:t>
            </w:r>
            <w:r w:rsidRPr="00EC20A0">
              <w:t xml:space="preserve">regulations </w:t>
            </w:r>
            <w:r w:rsidRPr="00EC20A0">
              <w:rPr>
                <w:spacing w:val="-2"/>
              </w:rPr>
              <w:t>documented?</w:t>
            </w:r>
          </w:p>
        </w:tc>
        <w:tc>
          <w:tcPr>
            <w:tcW w:w="1052" w:type="dxa"/>
            <w:tcBorders>
              <w:top w:val="single" w:sz="2" w:space="0" w:color="000000"/>
              <w:left w:val="single" w:sz="2" w:space="0" w:color="000000"/>
              <w:bottom w:val="single" w:sz="2" w:space="0" w:color="000000"/>
              <w:right w:val="single" w:sz="2" w:space="0" w:color="000000"/>
            </w:tcBorders>
          </w:tcPr>
          <w:p w14:paraId="24D60B2C"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2D" w14:textId="77777777" w:rsidR="00245300" w:rsidRPr="00EC20A0" w:rsidRDefault="00245300">
            <w:pPr>
              <w:pStyle w:val="TableParagraph"/>
              <w:rPr>
                <w:sz w:val="20"/>
              </w:rPr>
            </w:pPr>
          </w:p>
        </w:tc>
      </w:tr>
      <w:tr w:rsidR="00245300" w:rsidRPr="00EC20A0" w14:paraId="24D60B33" w14:textId="77777777">
        <w:trPr>
          <w:trHeight w:val="1387"/>
        </w:trPr>
        <w:tc>
          <w:tcPr>
            <w:tcW w:w="6898" w:type="dxa"/>
            <w:tcBorders>
              <w:top w:val="single" w:sz="2" w:space="0" w:color="000000"/>
              <w:bottom w:val="single" w:sz="2" w:space="0" w:color="000000"/>
              <w:right w:val="single" w:sz="2" w:space="0" w:color="000000"/>
            </w:tcBorders>
          </w:tcPr>
          <w:p w14:paraId="24D60B2F" w14:textId="77777777" w:rsidR="00245300" w:rsidRPr="00EC20A0" w:rsidRDefault="00F17249">
            <w:pPr>
              <w:pStyle w:val="TableParagraph"/>
              <w:numPr>
                <w:ilvl w:val="0"/>
                <w:numId w:val="168"/>
              </w:numPr>
              <w:tabs>
                <w:tab w:val="left" w:pos="484"/>
              </w:tabs>
              <w:spacing w:before="120"/>
              <w:ind w:left="484" w:hanging="359"/>
            </w:pPr>
            <w:r w:rsidRPr="00EC20A0">
              <w:t>Does</w:t>
            </w:r>
            <w:r w:rsidRPr="00EC20A0">
              <w:rPr>
                <w:spacing w:val="-7"/>
              </w:rPr>
              <w:t xml:space="preserve"> </w:t>
            </w:r>
            <w:r w:rsidRPr="00EC20A0">
              <w:t>the</w:t>
            </w:r>
            <w:r w:rsidRPr="00EC20A0">
              <w:rPr>
                <w:spacing w:val="-7"/>
              </w:rPr>
              <w:t xml:space="preserve"> </w:t>
            </w:r>
            <w:r w:rsidRPr="00EC20A0">
              <w:t>documentation</w:t>
            </w:r>
            <w:r w:rsidRPr="00EC20A0">
              <w:rPr>
                <w:spacing w:val="-7"/>
              </w:rPr>
              <w:t xml:space="preserve"> </w:t>
            </w:r>
            <w:r w:rsidRPr="00EC20A0">
              <w:t>contain</w:t>
            </w:r>
            <w:r w:rsidRPr="00EC20A0">
              <w:rPr>
                <w:spacing w:val="-7"/>
              </w:rPr>
              <w:t xml:space="preserve"> </w:t>
            </w:r>
            <w:r w:rsidRPr="00EC20A0">
              <w:t>the</w:t>
            </w:r>
            <w:r w:rsidRPr="00EC20A0">
              <w:rPr>
                <w:spacing w:val="-8"/>
              </w:rPr>
              <w:t xml:space="preserve"> </w:t>
            </w:r>
            <w:r w:rsidRPr="00EC20A0">
              <w:rPr>
                <w:spacing w:val="-2"/>
              </w:rPr>
              <w:t>following?</w:t>
            </w:r>
          </w:p>
          <w:p w14:paraId="24D60B30" w14:textId="77777777" w:rsidR="00245300" w:rsidRPr="00EC20A0" w:rsidRDefault="00F17249">
            <w:pPr>
              <w:pStyle w:val="TableParagraph"/>
              <w:numPr>
                <w:ilvl w:val="1"/>
                <w:numId w:val="168"/>
              </w:numPr>
              <w:tabs>
                <w:tab w:val="left" w:pos="1205"/>
              </w:tabs>
              <w:spacing w:before="232" w:line="254" w:lineRule="exact"/>
              <w:ind w:right="272"/>
            </w:pPr>
            <w:r w:rsidRPr="00EC20A0">
              <w:t xml:space="preserve">The scope and methodology, including any sampling criteria used and </w:t>
            </w:r>
            <w:r w:rsidRPr="00EC20A0">
              <w:t>consideration of the results of any previous</w:t>
            </w:r>
            <w:r w:rsidRPr="00EC20A0">
              <w:rPr>
                <w:spacing w:val="-7"/>
              </w:rPr>
              <w:t xml:space="preserve"> </w:t>
            </w:r>
            <w:r w:rsidRPr="00EC20A0">
              <w:t>agreed-upon</w:t>
            </w:r>
            <w:r w:rsidRPr="00EC20A0">
              <w:rPr>
                <w:spacing w:val="-7"/>
              </w:rPr>
              <w:t xml:space="preserve"> </w:t>
            </w:r>
            <w:r w:rsidRPr="00EC20A0">
              <w:t>procedures</w:t>
            </w:r>
            <w:r w:rsidRPr="00EC20A0">
              <w:rPr>
                <w:spacing w:val="-7"/>
              </w:rPr>
              <w:t xml:space="preserve"> </w:t>
            </w:r>
            <w:r w:rsidRPr="00EC20A0">
              <w:t>and</w:t>
            </w:r>
            <w:r w:rsidRPr="00EC20A0">
              <w:rPr>
                <w:spacing w:val="-7"/>
              </w:rPr>
              <w:t xml:space="preserve"> </w:t>
            </w:r>
            <w:r w:rsidRPr="00EC20A0">
              <w:t>follow-up</w:t>
            </w:r>
            <w:r w:rsidRPr="00EC20A0">
              <w:rPr>
                <w:spacing w:val="-8"/>
              </w:rPr>
              <w:t xml:space="preserve"> </w:t>
            </w:r>
            <w:r w:rsidRPr="00EC20A0">
              <w:t>on</w:t>
            </w:r>
            <w:r w:rsidRPr="00EC20A0">
              <w:rPr>
                <w:spacing w:val="-7"/>
              </w:rPr>
              <w:t xml:space="preserve"> </w:t>
            </w:r>
            <w:r w:rsidRPr="00EC20A0">
              <w:t>any</w:t>
            </w:r>
          </w:p>
        </w:tc>
        <w:tc>
          <w:tcPr>
            <w:tcW w:w="1052" w:type="dxa"/>
            <w:tcBorders>
              <w:top w:val="single" w:sz="2" w:space="0" w:color="000000"/>
              <w:left w:val="single" w:sz="2" w:space="0" w:color="000000"/>
              <w:bottom w:val="single" w:sz="2" w:space="0" w:color="000000"/>
              <w:right w:val="single" w:sz="2" w:space="0" w:color="000000"/>
            </w:tcBorders>
          </w:tcPr>
          <w:p w14:paraId="24D60B31"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32" w14:textId="77777777" w:rsidR="00245300" w:rsidRPr="00EC20A0" w:rsidRDefault="00245300">
            <w:pPr>
              <w:pStyle w:val="TableParagraph"/>
              <w:rPr>
                <w:sz w:val="20"/>
              </w:rPr>
            </w:pPr>
          </w:p>
        </w:tc>
      </w:tr>
    </w:tbl>
    <w:p w14:paraId="24D60B34" w14:textId="77777777" w:rsidR="00245300" w:rsidRPr="00EC20A0" w:rsidRDefault="00245300">
      <w:pPr>
        <w:rPr>
          <w:sz w:val="20"/>
        </w:rPr>
        <w:sectPr w:rsidR="00245300" w:rsidRPr="00EC20A0">
          <w:pgSz w:w="12240" w:h="15840"/>
          <w:pgMar w:top="1340" w:right="1140" w:bottom="940" w:left="1320" w:header="721" w:footer="757" w:gutter="0"/>
          <w:cols w:space="720"/>
        </w:sectPr>
      </w:pPr>
    </w:p>
    <w:p w14:paraId="24D60B35" w14:textId="77777777" w:rsidR="00245300" w:rsidRPr="00EC20A0" w:rsidRDefault="00245300">
      <w:pPr>
        <w:pStyle w:val="BodyText"/>
        <w:spacing w:before="9"/>
        <w:rPr>
          <w:sz w:val="11"/>
        </w:rPr>
      </w:pPr>
    </w:p>
    <w:tbl>
      <w:tblPr>
        <w:tblW w:w="0" w:type="auto"/>
        <w:tblInd w:w="37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245300" w:rsidRPr="00EC20A0" w14:paraId="24D60B3A" w14:textId="77777777">
        <w:trPr>
          <w:trHeight w:val="700"/>
        </w:trPr>
        <w:tc>
          <w:tcPr>
            <w:tcW w:w="6898" w:type="dxa"/>
            <w:tcBorders>
              <w:right w:val="single" w:sz="2" w:space="0" w:color="000000"/>
            </w:tcBorders>
          </w:tcPr>
          <w:p w14:paraId="24D60B36" w14:textId="77777777" w:rsidR="00245300" w:rsidRPr="00EC20A0" w:rsidRDefault="00245300">
            <w:pPr>
              <w:pStyle w:val="TableParagraph"/>
              <w:spacing w:before="121"/>
              <w:rPr>
                <w:sz w:val="20"/>
              </w:rPr>
            </w:pPr>
          </w:p>
          <w:p w14:paraId="24D60B37" w14:textId="77777777" w:rsidR="00245300" w:rsidRPr="00EC20A0" w:rsidRDefault="00F17249">
            <w:pPr>
              <w:pStyle w:val="TableParagraph"/>
              <w:ind w:left="125"/>
              <w:rPr>
                <w:b/>
                <w:sz w:val="20"/>
              </w:rPr>
            </w:pPr>
            <w:r w:rsidRPr="00EC20A0">
              <w:rPr>
                <w:b/>
                <w:spacing w:val="-2"/>
                <w:sz w:val="20"/>
              </w:rPr>
              <w:t>Steps</w:t>
            </w:r>
          </w:p>
        </w:tc>
        <w:tc>
          <w:tcPr>
            <w:tcW w:w="1052" w:type="dxa"/>
            <w:tcBorders>
              <w:left w:val="single" w:sz="2" w:space="0" w:color="000000"/>
              <w:right w:val="single" w:sz="2" w:space="0" w:color="000000"/>
            </w:tcBorders>
          </w:tcPr>
          <w:p w14:paraId="24D60B38" w14:textId="77777777" w:rsidR="00245300" w:rsidRPr="00EC20A0" w:rsidRDefault="00F17249">
            <w:pPr>
              <w:pStyle w:val="TableParagraph"/>
              <w:spacing w:before="121"/>
              <w:ind w:left="143" w:right="131"/>
              <w:rPr>
                <w:b/>
                <w:sz w:val="20"/>
              </w:rPr>
            </w:pPr>
            <w:r w:rsidRPr="00EC20A0">
              <w:rPr>
                <w:b/>
                <w:sz w:val="20"/>
              </w:rPr>
              <w:t>Yes,</w:t>
            </w:r>
            <w:r w:rsidRPr="00EC20A0">
              <w:rPr>
                <w:b/>
                <w:spacing w:val="-14"/>
                <w:sz w:val="20"/>
              </w:rPr>
              <w:t xml:space="preserve"> </w:t>
            </w:r>
            <w:r w:rsidRPr="00EC20A0">
              <w:rPr>
                <w:b/>
                <w:sz w:val="20"/>
              </w:rPr>
              <w:t>no, or N/A</w:t>
            </w:r>
          </w:p>
        </w:tc>
        <w:tc>
          <w:tcPr>
            <w:tcW w:w="949" w:type="dxa"/>
            <w:tcBorders>
              <w:left w:val="single" w:sz="2" w:space="0" w:color="000000"/>
            </w:tcBorders>
          </w:tcPr>
          <w:p w14:paraId="24D60B39" w14:textId="77777777" w:rsidR="00245300" w:rsidRPr="00EC20A0" w:rsidRDefault="00F17249">
            <w:pPr>
              <w:pStyle w:val="TableParagraph"/>
              <w:spacing w:before="121"/>
              <w:ind w:left="143" w:right="21"/>
              <w:rPr>
                <w:b/>
                <w:sz w:val="20"/>
              </w:rPr>
            </w:pPr>
            <w:r w:rsidRPr="00EC20A0">
              <w:rPr>
                <w:b/>
                <w:spacing w:val="-4"/>
                <w:sz w:val="20"/>
              </w:rPr>
              <w:t>Doc. Ref.</w:t>
            </w:r>
          </w:p>
        </w:tc>
      </w:tr>
      <w:tr w:rsidR="00245300" w:rsidRPr="00EC20A0" w14:paraId="24D60B44" w14:textId="77777777">
        <w:trPr>
          <w:trHeight w:val="4643"/>
        </w:trPr>
        <w:tc>
          <w:tcPr>
            <w:tcW w:w="6898" w:type="dxa"/>
            <w:tcBorders>
              <w:bottom w:val="single" w:sz="2" w:space="0" w:color="000000"/>
              <w:right w:val="single" w:sz="2" w:space="0" w:color="000000"/>
            </w:tcBorders>
          </w:tcPr>
          <w:p w14:paraId="24D60B3B" w14:textId="77777777" w:rsidR="00245300" w:rsidRPr="00EC20A0" w:rsidRDefault="00F17249">
            <w:pPr>
              <w:pStyle w:val="TableParagraph"/>
              <w:spacing w:line="214" w:lineRule="exact"/>
              <w:ind w:left="1205"/>
            </w:pPr>
            <w:r w:rsidRPr="00EC20A0">
              <w:t>significant</w:t>
            </w:r>
            <w:r w:rsidRPr="00EC20A0">
              <w:rPr>
                <w:spacing w:val="-8"/>
              </w:rPr>
              <w:t xml:space="preserve"> </w:t>
            </w:r>
            <w:r w:rsidRPr="00EC20A0">
              <w:t>findings</w:t>
            </w:r>
            <w:r w:rsidRPr="00EC20A0">
              <w:rPr>
                <w:spacing w:val="-7"/>
              </w:rPr>
              <w:t xml:space="preserve"> </w:t>
            </w:r>
            <w:r w:rsidRPr="00EC20A0">
              <w:t>that</w:t>
            </w:r>
            <w:r w:rsidRPr="00EC20A0">
              <w:rPr>
                <w:spacing w:val="-9"/>
              </w:rPr>
              <w:t xml:space="preserve"> </w:t>
            </w:r>
            <w:r w:rsidRPr="00EC20A0">
              <w:t>directly</w:t>
            </w:r>
            <w:r w:rsidRPr="00EC20A0">
              <w:rPr>
                <w:spacing w:val="-7"/>
              </w:rPr>
              <w:t xml:space="preserve"> </w:t>
            </w:r>
            <w:r w:rsidRPr="00EC20A0">
              <w:t>relate</w:t>
            </w:r>
            <w:r w:rsidRPr="00EC20A0">
              <w:rPr>
                <w:spacing w:val="-8"/>
              </w:rPr>
              <w:t xml:space="preserve"> </w:t>
            </w:r>
            <w:r w:rsidRPr="00EC20A0">
              <w:t>to</w:t>
            </w:r>
            <w:r w:rsidRPr="00EC20A0">
              <w:rPr>
                <w:spacing w:val="-7"/>
              </w:rPr>
              <w:t xml:space="preserve"> </w:t>
            </w:r>
            <w:r w:rsidRPr="00EC20A0">
              <w:t>the</w:t>
            </w:r>
            <w:r w:rsidRPr="00EC20A0">
              <w:rPr>
                <w:spacing w:val="-7"/>
              </w:rPr>
              <w:t xml:space="preserve"> </w:t>
            </w:r>
            <w:r w:rsidRPr="00EC20A0">
              <w:t>agreed-</w:t>
            </w:r>
            <w:r w:rsidRPr="00EC20A0">
              <w:rPr>
                <w:spacing w:val="-4"/>
              </w:rPr>
              <w:t>upon</w:t>
            </w:r>
          </w:p>
          <w:p w14:paraId="24D60B3C" w14:textId="77777777" w:rsidR="00245300" w:rsidRPr="00EC20A0" w:rsidRDefault="00F17249">
            <w:pPr>
              <w:pStyle w:val="TableParagraph"/>
              <w:ind w:left="1205"/>
            </w:pPr>
            <w:r w:rsidRPr="00EC20A0">
              <w:t>procedures</w:t>
            </w:r>
            <w:r w:rsidRPr="00EC20A0">
              <w:rPr>
                <w:spacing w:val="-14"/>
              </w:rPr>
              <w:t xml:space="preserve"> </w:t>
            </w:r>
            <w:r w:rsidRPr="00EC20A0">
              <w:rPr>
                <w:spacing w:val="-2"/>
              </w:rPr>
              <w:t>engagement.</w:t>
            </w:r>
          </w:p>
          <w:p w14:paraId="24D60B3D" w14:textId="77777777" w:rsidR="00245300" w:rsidRPr="00EC20A0" w:rsidRDefault="00F17249">
            <w:pPr>
              <w:pStyle w:val="TableParagraph"/>
              <w:numPr>
                <w:ilvl w:val="0"/>
                <w:numId w:val="167"/>
              </w:numPr>
              <w:tabs>
                <w:tab w:val="left" w:pos="1205"/>
              </w:tabs>
              <w:spacing w:before="240"/>
              <w:ind w:right="394"/>
            </w:pPr>
            <w:r w:rsidRPr="00EC20A0">
              <w:t xml:space="preserve">Any indication of fraud, </w:t>
            </w:r>
            <w:r w:rsidRPr="00EC20A0">
              <w:t>illegal acts, violations of provisions</w:t>
            </w:r>
            <w:r w:rsidRPr="00EC20A0">
              <w:rPr>
                <w:spacing w:val="-6"/>
              </w:rPr>
              <w:t xml:space="preserve"> </w:t>
            </w:r>
            <w:r w:rsidRPr="00EC20A0">
              <w:t>of</w:t>
            </w:r>
            <w:r w:rsidRPr="00EC20A0">
              <w:rPr>
                <w:spacing w:val="-6"/>
              </w:rPr>
              <w:t xml:space="preserve"> </w:t>
            </w:r>
            <w:r w:rsidRPr="00EC20A0">
              <w:t>contracts</w:t>
            </w:r>
            <w:r w:rsidRPr="00EC20A0">
              <w:rPr>
                <w:spacing w:val="-6"/>
              </w:rPr>
              <w:t xml:space="preserve"> </w:t>
            </w:r>
            <w:r w:rsidRPr="00EC20A0">
              <w:t>or</w:t>
            </w:r>
            <w:r w:rsidRPr="00EC20A0">
              <w:rPr>
                <w:spacing w:val="-6"/>
              </w:rPr>
              <w:t xml:space="preserve"> </w:t>
            </w:r>
            <w:r w:rsidRPr="00EC20A0">
              <w:t>grant</w:t>
            </w:r>
            <w:r w:rsidRPr="00EC20A0">
              <w:rPr>
                <w:spacing w:val="-6"/>
              </w:rPr>
              <w:t xml:space="preserve"> </w:t>
            </w:r>
            <w:r w:rsidRPr="00EC20A0">
              <w:t>agreements,</w:t>
            </w:r>
            <w:r w:rsidRPr="00EC20A0">
              <w:rPr>
                <w:spacing w:val="-6"/>
              </w:rPr>
              <w:t xml:space="preserve"> </w:t>
            </w:r>
            <w:r w:rsidRPr="00EC20A0">
              <w:t>or</w:t>
            </w:r>
            <w:r w:rsidRPr="00EC20A0">
              <w:rPr>
                <w:spacing w:val="-6"/>
              </w:rPr>
              <w:t xml:space="preserve"> </w:t>
            </w:r>
            <w:r w:rsidRPr="00EC20A0">
              <w:t xml:space="preserve">abuse, and—if there was such indication—the directed procedures performed, results obtained, and related </w:t>
            </w:r>
            <w:r w:rsidRPr="00EC20A0">
              <w:rPr>
                <w:spacing w:val="-2"/>
              </w:rPr>
              <w:t>communications.</w:t>
            </w:r>
          </w:p>
          <w:p w14:paraId="24D60B3E" w14:textId="77777777" w:rsidR="00245300" w:rsidRPr="00EC20A0" w:rsidRDefault="00F17249">
            <w:pPr>
              <w:pStyle w:val="TableParagraph"/>
              <w:numPr>
                <w:ilvl w:val="0"/>
                <w:numId w:val="167"/>
              </w:numPr>
              <w:tabs>
                <w:tab w:val="left" w:pos="1204"/>
              </w:tabs>
              <w:spacing w:before="237"/>
              <w:ind w:left="1204" w:hanging="359"/>
            </w:pPr>
            <w:r w:rsidRPr="00EC20A0">
              <w:t>Descriptions</w:t>
            </w:r>
            <w:r w:rsidRPr="00EC20A0">
              <w:rPr>
                <w:spacing w:val="-9"/>
              </w:rPr>
              <w:t xml:space="preserve"> </w:t>
            </w:r>
            <w:r w:rsidRPr="00EC20A0">
              <w:t>of</w:t>
            </w:r>
            <w:r w:rsidRPr="00EC20A0">
              <w:rPr>
                <w:spacing w:val="-8"/>
              </w:rPr>
              <w:t xml:space="preserve"> </w:t>
            </w:r>
            <w:r w:rsidRPr="00EC20A0">
              <w:t>transactions</w:t>
            </w:r>
            <w:r w:rsidRPr="00EC20A0">
              <w:rPr>
                <w:spacing w:val="-8"/>
              </w:rPr>
              <w:t xml:space="preserve"> </w:t>
            </w:r>
            <w:r w:rsidRPr="00EC20A0">
              <w:t>and</w:t>
            </w:r>
            <w:r w:rsidRPr="00EC20A0">
              <w:rPr>
                <w:spacing w:val="-8"/>
              </w:rPr>
              <w:t xml:space="preserve"> </w:t>
            </w:r>
            <w:r w:rsidRPr="00EC20A0">
              <w:t>records</w:t>
            </w:r>
            <w:r w:rsidRPr="00EC20A0">
              <w:rPr>
                <w:spacing w:val="-8"/>
              </w:rPr>
              <w:t xml:space="preserve"> </w:t>
            </w:r>
            <w:r w:rsidRPr="00EC20A0">
              <w:rPr>
                <w:spacing w:val="-2"/>
              </w:rPr>
              <w:t>examined.</w:t>
            </w:r>
          </w:p>
          <w:p w14:paraId="24D60B3F" w14:textId="77777777" w:rsidR="00245300" w:rsidRPr="00EC20A0" w:rsidRDefault="00F17249">
            <w:pPr>
              <w:pStyle w:val="TableParagraph"/>
              <w:numPr>
                <w:ilvl w:val="0"/>
                <w:numId w:val="167"/>
              </w:numPr>
              <w:tabs>
                <w:tab w:val="left" w:pos="1204"/>
              </w:tabs>
              <w:spacing w:before="238"/>
              <w:ind w:left="1204" w:right="274"/>
            </w:pPr>
            <w:r w:rsidRPr="00EC20A0">
              <w:t>A</w:t>
            </w:r>
            <w:r w:rsidRPr="00EC20A0">
              <w:rPr>
                <w:spacing w:val="-5"/>
              </w:rPr>
              <w:t xml:space="preserve"> </w:t>
            </w:r>
            <w:r w:rsidRPr="00EC20A0">
              <w:t>description</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performed</w:t>
            </w:r>
            <w:r w:rsidRPr="00EC20A0">
              <w:rPr>
                <w:spacing w:val="-5"/>
              </w:rPr>
              <w:t xml:space="preserve"> </w:t>
            </w:r>
            <w:r w:rsidRPr="00EC20A0">
              <w:t>to</w:t>
            </w:r>
            <w:r w:rsidRPr="00EC20A0">
              <w:rPr>
                <w:spacing w:val="-5"/>
              </w:rPr>
              <w:t xml:space="preserve"> </w:t>
            </w:r>
            <w:r w:rsidRPr="00EC20A0">
              <w:t>support</w:t>
            </w:r>
            <w:r w:rsidRPr="00EC20A0">
              <w:rPr>
                <w:spacing w:val="-5"/>
              </w:rPr>
              <w:t xml:space="preserve"> </w:t>
            </w:r>
            <w:r w:rsidRPr="00EC20A0">
              <w:t xml:space="preserve">reported </w:t>
            </w:r>
            <w:r w:rsidRPr="00EC20A0">
              <w:rPr>
                <w:spacing w:val="-2"/>
              </w:rPr>
              <w:t>results.</w:t>
            </w:r>
          </w:p>
          <w:p w14:paraId="24D60B40" w14:textId="77777777" w:rsidR="00245300" w:rsidRPr="00EC20A0" w:rsidRDefault="00F17249">
            <w:pPr>
              <w:pStyle w:val="TableParagraph"/>
              <w:numPr>
                <w:ilvl w:val="0"/>
                <w:numId w:val="167"/>
              </w:numPr>
              <w:tabs>
                <w:tab w:val="left" w:pos="1204"/>
              </w:tabs>
              <w:spacing w:before="239"/>
              <w:ind w:left="1204" w:right="163"/>
            </w:pPr>
            <w:r w:rsidRPr="00EC20A0">
              <w:t>Who</w:t>
            </w:r>
            <w:r w:rsidRPr="00EC20A0">
              <w:rPr>
                <w:spacing w:val="-5"/>
              </w:rPr>
              <w:t xml:space="preserve"> </w:t>
            </w:r>
            <w:r w:rsidRPr="00EC20A0">
              <w:t>performed</w:t>
            </w:r>
            <w:r w:rsidRPr="00EC20A0">
              <w:rPr>
                <w:spacing w:val="-5"/>
              </w:rPr>
              <w:t xml:space="preserve"> </w:t>
            </w:r>
            <w:r w:rsidRPr="00EC20A0">
              <w:t>the</w:t>
            </w:r>
            <w:r w:rsidRPr="00EC20A0">
              <w:rPr>
                <w:spacing w:val="-5"/>
              </w:rPr>
              <w:t xml:space="preserve"> </w:t>
            </w:r>
            <w:r w:rsidRPr="00EC20A0">
              <w:t>engagement</w:t>
            </w:r>
            <w:r w:rsidRPr="00EC20A0">
              <w:rPr>
                <w:spacing w:val="-5"/>
              </w:rPr>
              <w:t xml:space="preserve"> </w:t>
            </w:r>
            <w:r w:rsidRPr="00EC20A0">
              <w:t>work</w:t>
            </w:r>
            <w:r w:rsidRPr="00EC20A0">
              <w:rPr>
                <w:spacing w:val="-5"/>
              </w:rPr>
              <w:t xml:space="preserve"> </w:t>
            </w:r>
            <w:r w:rsidRPr="00EC20A0">
              <w:t>and</w:t>
            </w:r>
            <w:r w:rsidRPr="00EC20A0">
              <w:rPr>
                <w:spacing w:val="-5"/>
              </w:rPr>
              <w:t xml:space="preserve"> </w:t>
            </w:r>
            <w:r w:rsidRPr="00EC20A0">
              <w:t>the</w:t>
            </w:r>
            <w:r w:rsidRPr="00EC20A0">
              <w:rPr>
                <w:spacing w:val="-5"/>
              </w:rPr>
              <w:t xml:space="preserve"> </w:t>
            </w:r>
            <w:r w:rsidRPr="00EC20A0">
              <w:t>date</w:t>
            </w:r>
            <w:r w:rsidRPr="00EC20A0">
              <w:rPr>
                <w:spacing w:val="-5"/>
              </w:rPr>
              <w:t xml:space="preserve"> </w:t>
            </w:r>
            <w:r w:rsidRPr="00EC20A0">
              <w:t>such work was completed.</w:t>
            </w:r>
          </w:p>
          <w:p w14:paraId="24D60B41" w14:textId="77777777" w:rsidR="00245300" w:rsidRPr="00EC20A0" w:rsidRDefault="00F17249">
            <w:pPr>
              <w:pStyle w:val="TableParagraph"/>
              <w:numPr>
                <w:ilvl w:val="0"/>
                <w:numId w:val="167"/>
              </w:numPr>
              <w:tabs>
                <w:tab w:val="left" w:pos="1204"/>
              </w:tabs>
              <w:spacing w:before="238"/>
              <w:ind w:left="1204"/>
            </w:pPr>
            <w:r w:rsidRPr="00EC20A0">
              <w:t>Evidence</w:t>
            </w:r>
            <w:r w:rsidRPr="00EC20A0">
              <w:rPr>
                <w:spacing w:val="-9"/>
              </w:rPr>
              <w:t xml:space="preserve"> </w:t>
            </w:r>
            <w:r w:rsidRPr="00EC20A0">
              <w:t>of</w:t>
            </w:r>
            <w:r w:rsidRPr="00EC20A0">
              <w:rPr>
                <w:spacing w:val="-9"/>
              </w:rPr>
              <w:t xml:space="preserve"> </w:t>
            </w:r>
            <w:r w:rsidRPr="00EC20A0">
              <w:t>supervisory</w:t>
            </w:r>
            <w:r w:rsidRPr="00EC20A0">
              <w:rPr>
                <w:spacing w:val="-10"/>
              </w:rPr>
              <w:t xml:space="preserve"> </w:t>
            </w:r>
            <w:r w:rsidRPr="00EC20A0">
              <w:rPr>
                <w:spacing w:val="-2"/>
              </w:rPr>
              <w:t>review.</w:t>
            </w:r>
          </w:p>
        </w:tc>
        <w:tc>
          <w:tcPr>
            <w:tcW w:w="1052" w:type="dxa"/>
            <w:tcBorders>
              <w:left w:val="single" w:sz="2" w:space="0" w:color="000000"/>
              <w:bottom w:val="single" w:sz="2" w:space="0" w:color="000000"/>
              <w:right w:val="single" w:sz="2" w:space="0" w:color="000000"/>
            </w:tcBorders>
          </w:tcPr>
          <w:p w14:paraId="24D60B42" w14:textId="77777777" w:rsidR="00245300" w:rsidRPr="00EC20A0" w:rsidRDefault="00245300">
            <w:pPr>
              <w:pStyle w:val="TableParagraph"/>
              <w:rPr>
                <w:sz w:val="20"/>
              </w:rPr>
            </w:pPr>
          </w:p>
        </w:tc>
        <w:tc>
          <w:tcPr>
            <w:tcW w:w="949" w:type="dxa"/>
            <w:tcBorders>
              <w:left w:val="single" w:sz="2" w:space="0" w:color="000000"/>
              <w:bottom w:val="single" w:sz="2" w:space="0" w:color="000000"/>
            </w:tcBorders>
          </w:tcPr>
          <w:p w14:paraId="24D60B43" w14:textId="77777777" w:rsidR="00245300" w:rsidRPr="00EC20A0" w:rsidRDefault="00245300">
            <w:pPr>
              <w:pStyle w:val="TableParagraph"/>
              <w:rPr>
                <w:sz w:val="20"/>
              </w:rPr>
            </w:pPr>
          </w:p>
        </w:tc>
      </w:tr>
      <w:tr w:rsidR="00245300" w:rsidRPr="00EC20A0" w14:paraId="24D60B48" w14:textId="77777777">
        <w:trPr>
          <w:trHeight w:val="746"/>
        </w:trPr>
        <w:tc>
          <w:tcPr>
            <w:tcW w:w="6898" w:type="dxa"/>
            <w:tcBorders>
              <w:top w:val="single" w:sz="2" w:space="0" w:color="000000"/>
              <w:bottom w:val="single" w:sz="2" w:space="0" w:color="000000"/>
              <w:right w:val="single" w:sz="2" w:space="0" w:color="000000"/>
            </w:tcBorders>
          </w:tcPr>
          <w:p w14:paraId="24D60B45" w14:textId="77777777" w:rsidR="00245300" w:rsidRPr="00EC20A0" w:rsidRDefault="00F17249">
            <w:pPr>
              <w:pStyle w:val="TableParagraph"/>
              <w:spacing w:before="120"/>
              <w:ind w:left="485" w:right="182" w:hanging="360"/>
            </w:pPr>
            <w:r w:rsidRPr="00EC20A0">
              <w:t>9.</w:t>
            </w:r>
            <w:r w:rsidRPr="00EC20A0">
              <w:rPr>
                <w:spacing w:val="80"/>
              </w:rPr>
              <w:t xml:space="preserve"> </w:t>
            </w:r>
            <w:r w:rsidRPr="00EC20A0">
              <w:t>Does</w:t>
            </w:r>
            <w:r w:rsidRPr="00EC20A0">
              <w:rPr>
                <w:spacing w:val="-4"/>
              </w:rPr>
              <w:t xml:space="preserve"> </w:t>
            </w:r>
            <w:r w:rsidRPr="00EC20A0">
              <w:t>the</w:t>
            </w:r>
            <w:r w:rsidRPr="00EC20A0">
              <w:rPr>
                <w:spacing w:val="-4"/>
              </w:rPr>
              <w:t xml:space="preserve"> </w:t>
            </w:r>
            <w:r w:rsidRPr="00EC20A0">
              <w:t>documentation</w:t>
            </w:r>
            <w:r w:rsidRPr="00EC20A0">
              <w:rPr>
                <w:spacing w:val="-4"/>
              </w:rPr>
              <w:t xml:space="preserve"> </w:t>
            </w:r>
            <w:r w:rsidRPr="00EC20A0">
              <w:t>assert</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applicable</w:t>
            </w:r>
            <w:r w:rsidRPr="00EC20A0">
              <w:rPr>
                <w:spacing w:val="-4"/>
              </w:rPr>
              <w:t xml:space="preserve"> </w:t>
            </w:r>
            <w:r w:rsidRPr="00EC20A0">
              <w:t>standards were followed?</w:t>
            </w:r>
          </w:p>
        </w:tc>
        <w:tc>
          <w:tcPr>
            <w:tcW w:w="1052" w:type="dxa"/>
            <w:tcBorders>
              <w:top w:val="single" w:sz="2" w:space="0" w:color="000000"/>
              <w:left w:val="single" w:sz="2" w:space="0" w:color="000000"/>
              <w:bottom w:val="single" w:sz="2" w:space="0" w:color="000000"/>
              <w:right w:val="single" w:sz="2" w:space="0" w:color="000000"/>
            </w:tcBorders>
          </w:tcPr>
          <w:p w14:paraId="24D60B46"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47" w14:textId="77777777" w:rsidR="00245300" w:rsidRPr="00EC20A0" w:rsidRDefault="00245300">
            <w:pPr>
              <w:pStyle w:val="TableParagraph"/>
              <w:rPr>
                <w:sz w:val="20"/>
              </w:rPr>
            </w:pPr>
          </w:p>
        </w:tc>
      </w:tr>
      <w:tr w:rsidR="00245300" w:rsidRPr="00EC20A0" w14:paraId="24D60B4C" w14:textId="77777777">
        <w:trPr>
          <w:trHeight w:val="746"/>
        </w:trPr>
        <w:tc>
          <w:tcPr>
            <w:tcW w:w="6898" w:type="dxa"/>
            <w:tcBorders>
              <w:top w:val="single" w:sz="2" w:space="0" w:color="000000"/>
              <w:bottom w:val="single" w:sz="2" w:space="0" w:color="000000"/>
              <w:right w:val="single" w:sz="2" w:space="0" w:color="000000"/>
            </w:tcBorders>
          </w:tcPr>
          <w:p w14:paraId="24D60B49" w14:textId="77777777" w:rsidR="00245300" w:rsidRPr="00EC20A0" w:rsidRDefault="00F17249">
            <w:pPr>
              <w:pStyle w:val="TableParagraph"/>
              <w:spacing w:before="120"/>
              <w:ind w:left="485" w:right="182" w:hanging="360"/>
            </w:pPr>
            <w:r w:rsidRPr="00EC20A0">
              <w:t>10.</w:t>
            </w:r>
            <w:r w:rsidRPr="00EC20A0">
              <w:rPr>
                <w:spacing w:val="-11"/>
              </w:rPr>
              <w:t xml:space="preserve"> </w:t>
            </w:r>
            <w:r w:rsidRPr="00EC20A0">
              <w:t>Does</w:t>
            </w:r>
            <w:r w:rsidRPr="00EC20A0">
              <w:rPr>
                <w:spacing w:val="-5"/>
              </w:rPr>
              <w:t xml:space="preserve"> </w:t>
            </w:r>
            <w:r w:rsidRPr="00EC20A0">
              <w:t>the</w:t>
            </w:r>
            <w:r w:rsidRPr="00EC20A0">
              <w:rPr>
                <w:spacing w:val="-5"/>
              </w:rPr>
              <w:t xml:space="preserve"> </w:t>
            </w:r>
            <w:r w:rsidRPr="00EC20A0">
              <w:t>documentation</w:t>
            </w:r>
            <w:r w:rsidRPr="00EC20A0">
              <w:rPr>
                <w:spacing w:val="-5"/>
              </w:rPr>
              <w:t xml:space="preserve"> </w:t>
            </w:r>
            <w:r w:rsidRPr="00EC20A0">
              <w:t>provide</w:t>
            </w:r>
            <w:r w:rsidRPr="00EC20A0">
              <w:rPr>
                <w:spacing w:val="-5"/>
              </w:rPr>
              <w:t xml:space="preserve"> </w:t>
            </w:r>
            <w:r w:rsidRPr="00EC20A0">
              <w:t>a</w:t>
            </w:r>
            <w:r w:rsidRPr="00EC20A0">
              <w:rPr>
                <w:spacing w:val="-5"/>
              </w:rPr>
              <w:t xml:space="preserve"> </w:t>
            </w:r>
            <w:r w:rsidRPr="00EC20A0">
              <w:t>reasonable</w:t>
            </w:r>
            <w:r w:rsidRPr="00EC20A0">
              <w:rPr>
                <w:spacing w:val="-5"/>
              </w:rPr>
              <w:t xml:space="preserve"> </w:t>
            </w:r>
            <w:r w:rsidRPr="00EC20A0">
              <w:t>basis</w:t>
            </w:r>
            <w:r w:rsidRPr="00EC20A0">
              <w:rPr>
                <w:spacing w:val="-5"/>
              </w:rPr>
              <w:t xml:space="preserve"> </w:t>
            </w:r>
            <w:r w:rsidRPr="00EC20A0">
              <w:t>for</w:t>
            </w:r>
            <w:r w:rsidRPr="00EC20A0">
              <w:rPr>
                <w:spacing w:val="-5"/>
              </w:rPr>
              <w:t xml:space="preserve"> </w:t>
            </w:r>
            <w:r w:rsidRPr="00EC20A0">
              <w:t>the results of the agreed-upon procedures?</w:t>
            </w:r>
          </w:p>
        </w:tc>
        <w:tc>
          <w:tcPr>
            <w:tcW w:w="1052" w:type="dxa"/>
            <w:tcBorders>
              <w:top w:val="single" w:sz="2" w:space="0" w:color="000000"/>
              <w:left w:val="single" w:sz="2" w:space="0" w:color="000000"/>
              <w:bottom w:val="single" w:sz="2" w:space="0" w:color="000000"/>
              <w:right w:val="single" w:sz="2" w:space="0" w:color="000000"/>
            </w:tcBorders>
          </w:tcPr>
          <w:p w14:paraId="24D60B4A"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4B" w14:textId="77777777" w:rsidR="00245300" w:rsidRPr="00EC20A0" w:rsidRDefault="00245300">
            <w:pPr>
              <w:pStyle w:val="TableParagraph"/>
              <w:rPr>
                <w:sz w:val="20"/>
              </w:rPr>
            </w:pPr>
          </w:p>
        </w:tc>
      </w:tr>
      <w:tr w:rsidR="00245300" w:rsidRPr="00EC20A0" w14:paraId="24D60B50" w14:textId="77777777">
        <w:trPr>
          <w:trHeight w:val="746"/>
        </w:trPr>
        <w:tc>
          <w:tcPr>
            <w:tcW w:w="6898" w:type="dxa"/>
            <w:tcBorders>
              <w:top w:val="single" w:sz="2" w:space="0" w:color="000000"/>
              <w:bottom w:val="single" w:sz="2" w:space="0" w:color="000000"/>
              <w:right w:val="single" w:sz="2" w:space="0" w:color="000000"/>
            </w:tcBorders>
          </w:tcPr>
          <w:p w14:paraId="24D60B4D" w14:textId="77777777" w:rsidR="00245300" w:rsidRPr="00EC20A0" w:rsidRDefault="00F17249">
            <w:pPr>
              <w:pStyle w:val="TableParagraph"/>
              <w:spacing w:before="120"/>
              <w:ind w:left="485" w:hanging="360"/>
            </w:pPr>
            <w:r w:rsidRPr="00EC20A0">
              <w:t>11.</w:t>
            </w:r>
            <w:r w:rsidRPr="00EC20A0">
              <w:rPr>
                <w:spacing w:val="-13"/>
              </w:rPr>
              <w:t xml:space="preserve"> </w:t>
            </w:r>
            <w:r w:rsidRPr="00EC20A0">
              <w:t>Does</w:t>
            </w:r>
            <w:r w:rsidRPr="00EC20A0">
              <w:rPr>
                <w:spacing w:val="-6"/>
              </w:rPr>
              <w:t xml:space="preserve"> </w:t>
            </w:r>
            <w:r w:rsidRPr="00EC20A0">
              <w:t>the</w:t>
            </w:r>
            <w:r w:rsidRPr="00EC20A0">
              <w:rPr>
                <w:spacing w:val="-6"/>
              </w:rPr>
              <w:t xml:space="preserve"> </w:t>
            </w:r>
            <w:r w:rsidRPr="00EC20A0">
              <w:t>summary</w:t>
            </w:r>
            <w:r w:rsidRPr="00EC20A0">
              <w:rPr>
                <w:spacing w:val="-5"/>
              </w:rPr>
              <w:t xml:space="preserve"> </w:t>
            </w:r>
            <w:r w:rsidRPr="00EC20A0">
              <w:t>memorandum</w:t>
            </w:r>
            <w:r w:rsidRPr="00EC20A0">
              <w:rPr>
                <w:spacing w:val="-7"/>
              </w:rPr>
              <w:t xml:space="preserve"> </w:t>
            </w:r>
            <w:r w:rsidRPr="00EC20A0">
              <w:t>appropriately</w:t>
            </w:r>
            <w:r w:rsidRPr="00EC20A0">
              <w:rPr>
                <w:spacing w:val="-6"/>
              </w:rPr>
              <w:t xml:space="preserve"> </w:t>
            </w:r>
            <w:r w:rsidRPr="00EC20A0">
              <w:t>summarize</w:t>
            </w:r>
            <w:r w:rsidRPr="00EC20A0">
              <w:rPr>
                <w:spacing w:val="-6"/>
              </w:rPr>
              <w:t xml:space="preserve"> </w:t>
            </w:r>
            <w:r w:rsidRPr="00EC20A0">
              <w:t>the results of the procedures and refer to the documentation?</w:t>
            </w:r>
          </w:p>
        </w:tc>
        <w:tc>
          <w:tcPr>
            <w:tcW w:w="1052" w:type="dxa"/>
            <w:tcBorders>
              <w:top w:val="single" w:sz="2" w:space="0" w:color="000000"/>
              <w:left w:val="single" w:sz="2" w:space="0" w:color="000000"/>
              <w:bottom w:val="single" w:sz="2" w:space="0" w:color="000000"/>
              <w:right w:val="single" w:sz="2" w:space="0" w:color="000000"/>
            </w:tcBorders>
          </w:tcPr>
          <w:p w14:paraId="24D60B4E"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4F" w14:textId="77777777" w:rsidR="00245300" w:rsidRPr="00EC20A0" w:rsidRDefault="00245300">
            <w:pPr>
              <w:pStyle w:val="TableParagraph"/>
              <w:rPr>
                <w:sz w:val="20"/>
              </w:rPr>
            </w:pPr>
          </w:p>
        </w:tc>
      </w:tr>
      <w:tr w:rsidR="00245300" w:rsidRPr="00EC20A0" w14:paraId="24D60B57" w14:textId="77777777">
        <w:trPr>
          <w:trHeight w:val="2775"/>
        </w:trPr>
        <w:tc>
          <w:tcPr>
            <w:tcW w:w="6898" w:type="dxa"/>
            <w:tcBorders>
              <w:top w:val="single" w:sz="2" w:space="0" w:color="000000"/>
              <w:bottom w:val="single" w:sz="2" w:space="0" w:color="000000"/>
              <w:right w:val="single" w:sz="2" w:space="0" w:color="000000"/>
            </w:tcBorders>
          </w:tcPr>
          <w:p w14:paraId="24D60B51" w14:textId="77777777" w:rsidR="00245300" w:rsidRPr="00EC20A0" w:rsidRDefault="00F17249">
            <w:pPr>
              <w:pStyle w:val="TableParagraph"/>
              <w:numPr>
                <w:ilvl w:val="0"/>
                <w:numId w:val="166"/>
              </w:numPr>
              <w:tabs>
                <w:tab w:val="left" w:pos="485"/>
              </w:tabs>
              <w:spacing w:before="120"/>
              <w:ind w:right="1227"/>
            </w:pPr>
            <w:r w:rsidRPr="00EC20A0">
              <w:t>If</w:t>
            </w:r>
            <w:r w:rsidRPr="00EC20A0">
              <w:rPr>
                <w:spacing w:val="-6"/>
              </w:rPr>
              <w:t xml:space="preserve"> </w:t>
            </w:r>
            <w:r w:rsidRPr="00EC20A0">
              <w:t>there</w:t>
            </w:r>
            <w:r w:rsidRPr="00EC20A0">
              <w:rPr>
                <w:spacing w:val="-6"/>
              </w:rPr>
              <w:t xml:space="preserve"> </w:t>
            </w:r>
            <w:r w:rsidRPr="00EC20A0">
              <w:t>were</w:t>
            </w:r>
            <w:r w:rsidRPr="00EC20A0">
              <w:rPr>
                <w:spacing w:val="-6"/>
              </w:rPr>
              <w:t xml:space="preserve"> </w:t>
            </w:r>
            <w:r w:rsidRPr="00EC20A0">
              <w:t>departures</w:t>
            </w:r>
            <w:r w:rsidRPr="00EC20A0">
              <w:rPr>
                <w:spacing w:val="-7"/>
              </w:rPr>
              <w:t xml:space="preserve"> </w:t>
            </w:r>
            <w:r w:rsidRPr="00EC20A0">
              <w:t>from</w:t>
            </w:r>
            <w:r w:rsidRPr="00EC20A0">
              <w:rPr>
                <w:spacing w:val="-7"/>
              </w:rPr>
              <w:t xml:space="preserve"> </w:t>
            </w:r>
            <w:r w:rsidRPr="00EC20A0">
              <w:t>any</w:t>
            </w:r>
            <w:r w:rsidRPr="00EC20A0">
              <w:rPr>
                <w:spacing w:val="-6"/>
              </w:rPr>
              <w:t xml:space="preserve"> </w:t>
            </w:r>
            <w:r w:rsidRPr="00EC20A0">
              <w:t>applicable</w:t>
            </w:r>
            <w:r w:rsidRPr="00EC20A0">
              <w:rPr>
                <w:spacing w:val="-6"/>
              </w:rPr>
              <w:t xml:space="preserve"> </w:t>
            </w:r>
            <w:r w:rsidRPr="00EC20A0">
              <w:t>“should” procedures in the FAM:</w:t>
            </w:r>
          </w:p>
          <w:p w14:paraId="24D60B52" w14:textId="77777777" w:rsidR="00245300" w:rsidRPr="00EC20A0" w:rsidRDefault="00F17249">
            <w:pPr>
              <w:pStyle w:val="TableParagraph"/>
              <w:numPr>
                <w:ilvl w:val="1"/>
                <w:numId w:val="166"/>
              </w:numPr>
              <w:tabs>
                <w:tab w:val="left" w:pos="1204"/>
              </w:tabs>
              <w:spacing w:before="238"/>
            </w:pPr>
            <w:r w:rsidRPr="00EC20A0">
              <w:t>Was</w:t>
            </w:r>
            <w:r w:rsidRPr="00EC20A0">
              <w:rPr>
                <w:spacing w:val="-5"/>
              </w:rPr>
              <w:t xml:space="preserve"> </w:t>
            </w:r>
            <w:r w:rsidRPr="00EC20A0">
              <w:t>the</w:t>
            </w:r>
            <w:r w:rsidRPr="00EC20A0">
              <w:rPr>
                <w:spacing w:val="-5"/>
              </w:rPr>
              <w:t xml:space="preserve"> </w:t>
            </w:r>
            <w:r w:rsidRPr="00EC20A0">
              <w:t>basis</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departure</w:t>
            </w:r>
            <w:r w:rsidRPr="00EC20A0">
              <w:rPr>
                <w:spacing w:val="-5"/>
              </w:rPr>
              <w:t xml:space="preserve"> </w:t>
            </w:r>
            <w:r w:rsidRPr="00EC20A0">
              <w:rPr>
                <w:spacing w:val="-2"/>
              </w:rPr>
              <w:t>documented?</w:t>
            </w:r>
          </w:p>
          <w:p w14:paraId="24D60B53" w14:textId="77777777" w:rsidR="00245300" w:rsidRPr="00EC20A0" w:rsidRDefault="00F17249">
            <w:pPr>
              <w:pStyle w:val="TableParagraph"/>
              <w:numPr>
                <w:ilvl w:val="1"/>
                <w:numId w:val="166"/>
              </w:numPr>
              <w:tabs>
                <w:tab w:val="left" w:pos="1204"/>
              </w:tabs>
              <w:spacing w:before="240"/>
            </w:pPr>
            <w:r w:rsidRPr="00EC20A0">
              <w:t>Did</w:t>
            </w:r>
            <w:r w:rsidRPr="00EC20A0">
              <w:rPr>
                <w:spacing w:val="-6"/>
              </w:rPr>
              <w:t xml:space="preserve"> </w:t>
            </w:r>
            <w:r w:rsidRPr="00EC20A0">
              <w:t>the</w:t>
            </w:r>
            <w:r w:rsidRPr="00EC20A0">
              <w:rPr>
                <w:spacing w:val="-5"/>
              </w:rPr>
              <w:t xml:space="preserve"> </w:t>
            </w:r>
            <w:r w:rsidRPr="00EC20A0">
              <w:t>audit</w:t>
            </w:r>
            <w:r w:rsidRPr="00EC20A0">
              <w:rPr>
                <w:spacing w:val="-6"/>
              </w:rPr>
              <w:t xml:space="preserve"> </w:t>
            </w:r>
            <w:r w:rsidRPr="00EC20A0">
              <w:t>director</w:t>
            </w:r>
            <w:r w:rsidRPr="00EC20A0">
              <w:rPr>
                <w:spacing w:val="-5"/>
              </w:rPr>
              <w:t xml:space="preserve"> </w:t>
            </w:r>
            <w:r w:rsidRPr="00EC20A0">
              <w:t>approve</w:t>
            </w:r>
            <w:r w:rsidRPr="00EC20A0">
              <w:rPr>
                <w:spacing w:val="-6"/>
              </w:rPr>
              <w:t xml:space="preserve"> </w:t>
            </w:r>
            <w:r w:rsidRPr="00EC20A0">
              <w:t>the</w:t>
            </w:r>
            <w:r w:rsidRPr="00EC20A0">
              <w:rPr>
                <w:spacing w:val="-5"/>
              </w:rPr>
              <w:t xml:space="preserve"> </w:t>
            </w:r>
            <w:r w:rsidRPr="00EC20A0">
              <w:rPr>
                <w:spacing w:val="-2"/>
              </w:rPr>
              <w:t>documentation?</w:t>
            </w:r>
          </w:p>
          <w:p w14:paraId="24D60B54" w14:textId="77777777" w:rsidR="00245300" w:rsidRPr="00EC20A0" w:rsidRDefault="00F17249">
            <w:pPr>
              <w:pStyle w:val="TableParagraph"/>
              <w:numPr>
                <w:ilvl w:val="1"/>
                <w:numId w:val="166"/>
              </w:numPr>
              <w:tabs>
                <w:tab w:val="left" w:pos="1204"/>
              </w:tabs>
              <w:spacing w:before="238"/>
              <w:ind w:right="519"/>
            </w:pPr>
            <w:r w:rsidRPr="00EC20A0">
              <w:t>Did the auditor provide the documentation to the reviewer</w:t>
            </w:r>
            <w:r w:rsidRPr="00EC20A0">
              <w:rPr>
                <w:spacing w:val="-4"/>
              </w:rPr>
              <w:t xml:space="preserve"> </w:t>
            </w:r>
            <w:r w:rsidRPr="00EC20A0">
              <w:t>in</w:t>
            </w:r>
            <w:r w:rsidRPr="00EC20A0">
              <w:rPr>
                <w:spacing w:val="-5"/>
              </w:rPr>
              <w:t xml:space="preserve"> </w:t>
            </w:r>
            <w:r w:rsidRPr="00EC20A0">
              <w:t>a</w:t>
            </w:r>
            <w:r w:rsidRPr="00EC20A0">
              <w:rPr>
                <w:spacing w:val="-4"/>
              </w:rPr>
              <w:t xml:space="preserve"> </w:t>
            </w:r>
            <w:r w:rsidRPr="00EC20A0">
              <w:t>timely</w:t>
            </w:r>
            <w:r w:rsidRPr="00EC20A0">
              <w:rPr>
                <w:spacing w:val="-4"/>
              </w:rPr>
              <w:t xml:space="preserve"> </w:t>
            </w:r>
            <w:r w:rsidRPr="00EC20A0">
              <w:t>manner</w:t>
            </w:r>
            <w:r w:rsidRPr="00EC20A0">
              <w:rPr>
                <w:spacing w:val="-4"/>
              </w:rPr>
              <w:t xml:space="preserve"> </w:t>
            </w:r>
            <w:r w:rsidRPr="00EC20A0">
              <w:t>to</w:t>
            </w:r>
            <w:r w:rsidRPr="00EC20A0">
              <w:rPr>
                <w:spacing w:val="-4"/>
              </w:rPr>
              <w:t xml:space="preserve"> </w:t>
            </w:r>
            <w:r w:rsidRPr="00EC20A0">
              <w:t>allow</w:t>
            </w:r>
            <w:r w:rsidRPr="00EC20A0">
              <w:rPr>
                <w:spacing w:val="-5"/>
              </w:rPr>
              <w:t xml:space="preserve"> </w:t>
            </w:r>
            <w:r w:rsidRPr="00EC20A0">
              <w:t>any</w:t>
            </w:r>
            <w:r w:rsidRPr="00EC20A0">
              <w:rPr>
                <w:spacing w:val="-4"/>
              </w:rPr>
              <w:t xml:space="preserve"> </w:t>
            </w:r>
            <w:r w:rsidRPr="00EC20A0">
              <w:t>issues</w:t>
            </w:r>
            <w:r w:rsidRPr="00EC20A0">
              <w:rPr>
                <w:spacing w:val="-4"/>
              </w:rPr>
              <w:t xml:space="preserve"> </w:t>
            </w:r>
            <w:r w:rsidRPr="00EC20A0">
              <w:t>to</w:t>
            </w:r>
            <w:r w:rsidRPr="00EC20A0">
              <w:rPr>
                <w:spacing w:val="-4"/>
              </w:rPr>
              <w:t xml:space="preserve"> </w:t>
            </w:r>
            <w:r w:rsidRPr="00EC20A0">
              <w:t>be promptly identified and resolved?</w:t>
            </w:r>
          </w:p>
        </w:tc>
        <w:tc>
          <w:tcPr>
            <w:tcW w:w="1052" w:type="dxa"/>
            <w:tcBorders>
              <w:top w:val="single" w:sz="2" w:space="0" w:color="000000"/>
              <w:left w:val="single" w:sz="2" w:space="0" w:color="000000"/>
              <w:bottom w:val="single" w:sz="2" w:space="0" w:color="000000"/>
              <w:right w:val="single" w:sz="2" w:space="0" w:color="000000"/>
            </w:tcBorders>
          </w:tcPr>
          <w:p w14:paraId="24D60B55"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56" w14:textId="77777777" w:rsidR="00245300" w:rsidRPr="00EC20A0" w:rsidRDefault="00245300">
            <w:pPr>
              <w:pStyle w:val="TableParagraph"/>
              <w:rPr>
                <w:sz w:val="20"/>
              </w:rPr>
            </w:pPr>
          </w:p>
        </w:tc>
      </w:tr>
      <w:tr w:rsidR="00245300" w:rsidRPr="00EC20A0" w14:paraId="24D60B5B" w14:textId="77777777">
        <w:trPr>
          <w:trHeight w:val="492"/>
        </w:trPr>
        <w:tc>
          <w:tcPr>
            <w:tcW w:w="6898" w:type="dxa"/>
            <w:tcBorders>
              <w:top w:val="single" w:sz="2" w:space="0" w:color="000000"/>
              <w:bottom w:val="single" w:sz="2" w:space="0" w:color="000000"/>
              <w:right w:val="single" w:sz="2" w:space="0" w:color="000000"/>
            </w:tcBorders>
          </w:tcPr>
          <w:p w14:paraId="24D60B58" w14:textId="77777777" w:rsidR="00245300" w:rsidRPr="00EC20A0" w:rsidRDefault="00F17249">
            <w:pPr>
              <w:pStyle w:val="TableParagraph"/>
              <w:spacing w:before="120"/>
              <w:ind w:left="125"/>
            </w:pPr>
            <w:r w:rsidRPr="00EC20A0">
              <w:t>13.</w:t>
            </w:r>
            <w:r w:rsidRPr="00EC20A0">
              <w:rPr>
                <w:spacing w:val="-12"/>
              </w:rPr>
              <w:t xml:space="preserve"> </w:t>
            </w:r>
            <w:r w:rsidRPr="00EC20A0">
              <w:t>Was</w:t>
            </w:r>
            <w:r w:rsidRPr="00EC20A0">
              <w:rPr>
                <w:spacing w:val="-6"/>
              </w:rPr>
              <w:t xml:space="preserve"> </w:t>
            </w:r>
            <w:r w:rsidRPr="00EC20A0">
              <w:t>an</w:t>
            </w:r>
            <w:r w:rsidRPr="00EC20A0">
              <w:rPr>
                <w:spacing w:val="-6"/>
              </w:rPr>
              <w:t xml:space="preserve"> </w:t>
            </w:r>
            <w:r w:rsidRPr="00EC20A0">
              <w:t>exit</w:t>
            </w:r>
            <w:r w:rsidRPr="00EC20A0">
              <w:rPr>
                <w:spacing w:val="-6"/>
              </w:rPr>
              <w:t xml:space="preserve"> </w:t>
            </w:r>
            <w:r w:rsidRPr="00EC20A0">
              <w:t>conference</w:t>
            </w:r>
            <w:r w:rsidRPr="00EC20A0">
              <w:rPr>
                <w:spacing w:val="-7"/>
              </w:rPr>
              <w:t xml:space="preserve"> </w:t>
            </w:r>
            <w:r w:rsidRPr="00EC20A0">
              <w:t>held</w:t>
            </w:r>
            <w:r w:rsidRPr="00EC20A0">
              <w:rPr>
                <w:spacing w:val="-5"/>
              </w:rPr>
              <w:t xml:space="preserve"> </w:t>
            </w:r>
            <w:r w:rsidRPr="00EC20A0">
              <w:t>with</w:t>
            </w:r>
            <w:r w:rsidRPr="00EC20A0">
              <w:rPr>
                <w:spacing w:val="-6"/>
              </w:rPr>
              <w:t xml:space="preserve"> </w:t>
            </w:r>
            <w:r w:rsidRPr="00EC20A0">
              <w:t>the</w:t>
            </w:r>
            <w:r w:rsidRPr="00EC20A0">
              <w:rPr>
                <w:spacing w:val="-5"/>
              </w:rPr>
              <w:t xml:space="preserve"> </w:t>
            </w:r>
            <w:r w:rsidRPr="00EC20A0">
              <w:t>responsible</w:t>
            </w:r>
            <w:r w:rsidRPr="00EC20A0">
              <w:rPr>
                <w:spacing w:val="-6"/>
              </w:rPr>
              <w:t xml:space="preserve"> </w:t>
            </w:r>
            <w:r w:rsidRPr="00EC20A0">
              <w:rPr>
                <w:spacing w:val="-2"/>
              </w:rPr>
              <w:t>entity?</w:t>
            </w:r>
          </w:p>
        </w:tc>
        <w:tc>
          <w:tcPr>
            <w:tcW w:w="1052" w:type="dxa"/>
            <w:tcBorders>
              <w:top w:val="single" w:sz="2" w:space="0" w:color="000000"/>
              <w:left w:val="single" w:sz="2" w:space="0" w:color="000000"/>
              <w:bottom w:val="single" w:sz="2" w:space="0" w:color="000000"/>
              <w:right w:val="single" w:sz="2" w:space="0" w:color="000000"/>
            </w:tcBorders>
          </w:tcPr>
          <w:p w14:paraId="24D60B59"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5A" w14:textId="77777777" w:rsidR="00245300" w:rsidRPr="00EC20A0" w:rsidRDefault="00245300">
            <w:pPr>
              <w:pStyle w:val="TableParagraph"/>
              <w:rPr>
                <w:sz w:val="20"/>
              </w:rPr>
            </w:pPr>
          </w:p>
        </w:tc>
      </w:tr>
      <w:tr w:rsidR="00245300" w:rsidRPr="00EC20A0" w14:paraId="24D60B5F" w14:textId="77777777">
        <w:trPr>
          <w:trHeight w:val="493"/>
        </w:trPr>
        <w:tc>
          <w:tcPr>
            <w:tcW w:w="6898" w:type="dxa"/>
            <w:tcBorders>
              <w:top w:val="single" w:sz="2" w:space="0" w:color="000000"/>
              <w:bottom w:val="single" w:sz="2" w:space="0" w:color="000000"/>
              <w:right w:val="single" w:sz="2" w:space="0" w:color="000000"/>
            </w:tcBorders>
          </w:tcPr>
          <w:p w14:paraId="24D60B5C" w14:textId="77777777" w:rsidR="00245300" w:rsidRPr="00EC20A0" w:rsidRDefault="00F17249">
            <w:pPr>
              <w:pStyle w:val="TableParagraph"/>
              <w:spacing w:before="120"/>
              <w:ind w:left="125"/>
            </w:pPr>
            <w:r w:rsidRPr="00EC20A0">
              <w:t>14.</w:t>
            </w:r>
            <w:r w:rsidRPr="00EC20A0">
              <w:rPr>
                <w:spacing w:val="-13"/>
              </w:rPr>
              <w:t xml:space="preserve"> </w:t>
            </w:r>
            <w:r w:rsidRPr="00EC20A0">
              <w:t>Was</w:t>
            </w:r>
            <w:r w:rsidRPr="00EC20A0">
              <w:rPr>
                <w:spacing w:val="-6"/>
              </w:rPr>
              <w:t xml:space="preserve"> </w:t>
            </w:r>
            <w:r w:rsidRPr="00EC20A0">
              <w:t>the</w:t>
            </w:r>
            <w:r w:rsidRPr="00EC20A0">
              <w:rPr>
                <w:spacing w:val="-6"/>
              </w:rPr>
              <w:t xml:space="preserve"> </w:t>
            </w:r>
            <w:r w:rsidRPr="00EC20A0">
              <w:t>report</w:t>
            </w:r>
            <w:r w:rsidRPr="00EC20A0">
              <w:rPr>
                <w:spacing w:val="-7"/>
              </w:rPr>
              <w:t xml:space="preserve"> </w:t>
            </w:r>
            <w:r w:rsidRPr="00EC20A0">
              <w:t>referenced</w:t>
            </w:r>
            <w:r w:rsidRPr="00EC20A0">
              <w:rPr>
                <w:spacing w:val="-6"/>
              </w:rPr>
              <w:t xml:space="preserve"> </w:t>
            </w:r>
            <w:r w:rsidRPr="00EC20A0">
              <w:t>to</w:t>
            </w:r>
            <w:r w:rsidRPr="00EC20A0">
              <w:rPr>
                <w:spacing w:val="-6"/>
              </w:rPr>
              <w:t xml:space="preserve"> </w:t>
            </w:r>
            <w:r w:rsidRPr="00EC20A0">
              <w:t>supporting</w:t>
            </w:r>
            <w:r w:rsidRPr="00EC20A0">
              <w:rPr>
                <w:spacing w:val="-6"/>
              </w:rPr>
              <w:t xml:space="preserve"> </w:t>
            </w:r>
            <w:r w:rsidRPr="00EC20A0">
              <w:rPr>
                <w:spacing w:val="-2"/>
              </w:rPr>
              <w:t>documentation?</w:t>
            </w:r>
          </w:p>
        </w:tc>
        <w:tc>
          <w:tcPr>
            <w:tcW w:w="1052" w:type="dxa"/>
            <w:tcBorders>
              <w:top w:val="single" w:sz="2" w:space="0" w:color="000000"/>
              <w:left w:val="single" w:sz="2" w:space="0" w:color="000000"/>
              <w:bottom w:val="single" w:sz="2" w:space="0" w:color="000000"/>
              <w:right w:val="single" w:sz="2" w:space="0" w:color="000000"/>
            </w:tcBorders>
          </w:tcPr>
          <w:p w14:paraId="24D60B5D"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5E" w14:textId="77777777" w:rsidR="00245300" w:rsidRPr="00EC20A0" w:rsidRDefault="00245300">
            <w:pPr>
              <w:pStyle w:val="TableParagraph"/>
              <w:rPr>
                <w:sz w:val="20"/>
              </w:rPr>
            </w:pPr>
          </w:p>
        </w:tc>
      </w:tr>
      <w:tr w:rsidR="00245300" w:rsidRPr="00EC20A0" w14:paraId="24D60B64" w14:textId="77777777">
        <w:trPr>
          <w:trHeight w:val="1253"/>
        </w:trPr>
        <w:tc>
          <w:tcPr>
            <w:tcW w:w="6898" w:type="dxa"/>
            <w:tcBorders>
              <w:top w:val="single" w:sz="2" w:space="0" w:color="000000"/>
              <w:bottom w:val="single" w:sz="2" w:space="0" w:color="000000"/>
              <w:right w:val="single" w:sz="2" w:space="0" w:color="000000"/>
            </w:tcBorders>
          </w:tcPr>
          <w:p w14:paraId="24D60B60" w14:textId="77777777" w:rsidR="00245300" w:rsidRPr="00EC20A0" w:rsidRDefault="00F17249">
            <w:pPr>
              <w:pStyle w:val="TableParagraph"/>
              <w:numPr>
                <w:ilvl w:val="0"/>
                <w:numId w:val="165"/>
              </w:numPr>
              <w:tabs>
                <w:tab w:val="left" w:pos="484"/>
              </w:tabs>
              <w:spacing w:before="120"/>
              <w:ind w:left="484" w:hanging="359"/>
            </w:pPr>
            <w:r w:rsidRPr="00EC20A0">
              <w:t>Did</w:t>
            </w:r>
            <w:r w:rsidRPr="00EC20A0">
              <w:rPr>
                <w:spacing w:val="-6"/>
              </w:rPr>
              <w:t xml:space="preserve"> </w:t>
            </w:r>
            <w:r w:rsidRPr="00EC20A0">
              <w:t>the</w:t>
            </w:r>
            <w:r w:rsidRPr="00EC20A0">
              <w:rPr>
                <w:spacing w:val="-6"/>
              </w:rPr>
              <w:t xml:space="preserve"> </w:t>
            </w:r>
            <w:r w:rsidRPr="00EC20A0">
              <w:t>assistant</w:t>
            </w:r>
            <w:r w:rsidRPr="00EC20A0">
              <w:rPr>
                <w:spacing w:val="-6"/>
              </w:rPr>
              <w:t xml:space="preserve"> </w:t>
            </w:r>
            <w:r w:rsidRPr="00EC20A0">
              <w:t>director</w:t>
            </w:r>
            <w:r w:rsidRPr="00EC20A0">
              <w:rPr>
                <w:spacing w:val="-6"/>
              </w:rPr>
              <w:t xml:space="preserve"> </w:t>
            </w:r>
            <w:r w:rsidRPr="00EC20A0">
              <w:t>review</w:t>
            </w:r>
            <w:r w:rsidRPr="00EC20A0">
              <w:rPr>
                <w:spacing w:val="-7"/>
              </w:rPr>
              <w:t xml:space="preserve"> </w:t>
            </w:r>
            <w:r w:rsidRPr="00EC20A0">
              <w:t>the</w:t>
            </w:r>
            <w:r w:rsidRPr="00EC20A0">
              <w:rPr>
                <w:spacing w:val="-6"/>
              </w:rPr>
              <w:t xml:space="preserve"> </w:t>
            </w:r>
            <w:r w:rsidRPr="00EC20A0">
              <w:rPr>
                <w:spacing w:val="-2"/>
              </w:rPr>
              <w:t>following?</w:t>
            </w:r>
          </w:p>
          <w:p w14:paraId="24D60B61" w14:textId="77777777" w:rsidR="00245300" w:rsidRPr="00EC20A0" w:rsidRDefault="00F17249">
            <w:pPr>
              <w:pStyle w:val="TableParagraph"/>
              <w:numPr>
                <w:ilvl w:val="1"/>
                <w:numId w:val="165"/>
              </w:numPr>
              <w:tabs>
                <w:tab w:val="left" w:pos="1204"/>
              </w:tabs>
              <w:spacing w:before="239"/>
              <w:ind w:right="213"/>
            </w:pPr>
            <w:r w:rsidRPr="00EC20A0">
              <w:t>Documentation</w:t>
            </w:r>
            <w:r w:rsidRPr="00EC20A0">
              <w:rPr>
                <w:spacing w:val="-7"/>
              </w:rPr>
              <w:t xml:space="preserve"> </w:t>
            </w:r>
            <w:r w:rsidRPr="00EC20A0">
              <w:t>of</w:t>
            </w:r>
            <w:r w:rsidRPr="00EC20A0">
              <w:rPr>
                <w:spacing w:val="-7"/>
              </w:rPr>
              <w:t xml:space="preserve"> </w:t>
            </w:r>
            <w:r w:rsidRPr="00EC20A0">
              <w:t>the</w:t>
            </w:r>
            <w:r w:rsidRPr="00EC20A0">
              <w:rPr>
                <w:spacing w:val="-7"/>
              </w:rPr>
              <w:t xml:space="preserve"> </w:t>
            </w:r>
            <w:r w:rsidRPr="00EC20A0">
              <w:t>understanding</w:t>
            </w:r>
            <w:r w:rsidRPr="00EC20A0">
              <w:rPr>
                <w:spacing w:val="-8"/>
              </w:rPr>
              <w:t xml:space="preserve"> </w:t>
            </w:r>
            <w:r w:rsidRPr="00EC20A0">
              <w:t>with</w:t>
            </w:r>
            <w:r w:rsidRPr="00EC20A0">
              <w:rPr>
                <w:spacing w:val="-7"/>
              </w:rPr>
              <w:t xml:space="preserve"> </w:t>
            </w:r>
            <w:r w:rsidRPr="00EC20A0">
              <w:t>the</w:t>
            </w:r>
            <w:r w:rsidRPr="00EC20A0">
              <w:rPr>
                <w:spacing w:val="-7"/>
              </w:rPr>
              <w:t xml:space="preserve"> </w:t>
            </w:r>
            <w:r w:rsidRPr="00EC20A0">
              <w:t>individuals requesting the procedures and officials of the entity.</w:t>
            </w:r>
          </w:p>
        </w:tc>
        <w:tc>
          <w:tcPr>
            <w:tcW w:w="1052" w:type="dxa"/>
            <w:tcBorders>
              <w:top w:val="single" w:sz="2" w:space="0" w:color="000000"/>
              <w:left w:val="single" w:sz="2" w:space="0" w:color="000000"/>
              <w:bottom w:val="single" w:sz="2" w:space="0" w:color="000000"/>
              <w:right w:val="single" w:sz="2" w:space="0" w:color="000000"/>
            </w:tcBorders>
          </w:tcPr>
          <w:p w14:paraId="24D60B62"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63" w14:textId="77777777" w:rsidR="00245300" w:rsidRPr="00EC20A0" w:rsidRDefault="00245300">
            <w:pPr>
              <w:pStyle w:val="TableParagraph"/>
              <w:rPr>
                <w:sz w:val="20"/>
              </w:rPr>
            </w:pPr>
          </w:p>
        </w:tc>
      </w:tr>
    </w:tbl>
    <w:p w14:paraId="24D60B65" w14:textId="77777777" w:rsidR="00245300" w:rsidRPr="00EC20A0" w:rsidRDefault="00245300">
      <w:pPr>
        <w:rPr>
          <w:sz w:val="20"/>
        </w:rPr>
        <w:sectPr w:rsidR="00245300" w:rsidRPr="00EC20A0">
          <w:pgSz w:w="12240" w:h="15840"/>
          <w:pgMar w:top="1340" w:right="1140" w:bottom="940" w:left="1320" w:header="721" w:footer="757" w:gutter="0"/>
          <w:cols w:space="720"/>
        </w:sectPr>
      </w:pPr>
    </w:p>
    <w:p w14:paraId="24D60B66" w14:textId="77777777" w:rsidR="00245300" w:rsidRPr="00EC20A0" w:rsidRDefault="00245300">
      <w:pPr>
        <w:pStyle w:val="BodyText"/>
        <w:spacing w:before="9"/>
        <w:rPr>
          <w:sz w:val="11"/>
        </w:rPr>
      </w:pPr>
    </w:p>
    <w:tbl>
      <w:tblPr>
        <w:tblW w:w="0" w:type="auto"/>
        <w:tblInd w:w="37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245300" w:rsidRPr="00EC20A0" w14:paraId="24D60B6B" w14:textId="77777777">
        <w:trPr>
          <w:trHeight w:val="700"/>
        </w:trPr>
        <w:tc>
          <w:tcPr>
            <w:tcW w:w="6898" w:type="dxa"/>
            <w:tcBorders>
              <w:right w:val="single" w:sz="2" w:space="0" w:color="000000"/>
            </w:tcBorders>
          </w:tcPr>
          <w:p w14:paraId="24D60B67" w14:textId="77777777" w:rsidR="00245300" w:rsidRPr="00EC20A0" w:rsidRDefault="00245300">
            <w:pPr>
              <w:pStyle w:val="TableParagraph"/>
              <w:spacing w:before="121"/>
              <w:rPr>
                <w:sz w:val="20"/>
              </w:rPr>
            </w:pPr>
          </w:p>
          <w:p w14:paraId="24D60B68" w14:textId="77777777" w:rsidR="00245300" w:rsidRPr="00EC20A0" w:rsidRDefault="00F17249">
            <w:pPr>
              <w:pStyle w:val="TableParagraph"/>
              <w:ind w:left="125"/>
              <w:rPr>
                <w:b/>
                <w:sz w:val="20"/>
              </w:rPr>
            </w:pPr>
            <w:r w:rsidRPr="00EC20A0">
              <w:rPr>
                <w:b/>
                <w:spacing w:val="-2"/>
                <w:sz w:val="20"/>
              </w:rPr>
              <w:t>Steps</w:t>
            </w:r>
          </w:p>
        </w:tc>
        <w:tc>
          <w:tcPr>
            <w:tcW w:w="1052" w:type="dxa"/>
            <w:tcBorders>
              <w:left w:val="single" w:sz="2" w:space="0" w:color="000000"/>
              <w:right w:val="single" w:sz="2" w:space="0" w:color="000000"/>
            </w:tcBorders>
          </w:tcPr>
          <w:p w14:paraId="24D60B69" w14:textId="77777777" w:rsidR="00245300" w:rsidRPr="00EC20A0" w:rsidRDefault="00F17249">
            <w:pPr>
              <w:pStyle w:val="TableParagraph"/>
              <w:spacing w:before="121"/>
              <w:ind w:left="143" w:right="131"/>
              <w:rPr>
                <w:b/>
                <w:sz w:val="20"/>
              </w:rPr>
            </w:pPr>
            <w:r w:rsidRPr="00EC20A0">
              <w:rPr>
                <w:b/>
                <w:sz w:val="20"/>
              </w:rPr>
              <w:t>Yes,</w:t>
            </w:r>
            <w:r w:rsidRPr="00EC20A0">
              <w:rPr>
                <w:b/>
                <w:spacing w:val="-14"/>
                <w:sz w:val="20"/>
              </w:rPr>
              <w:t xml:space="preserve"> </w:t>
            </w:r>
            <w:r w:rsidRPr="00EC20A0">
              <w:rPr>
                <w:b/>
                <w:sz w:val="20"/>
              </w:rPr>
              <w:t>no, or N/A</w:t>
            </w:r>
          </w:p>
        </w:tc>
        <w:tc>
          <w:tcPr>
            <w:tcW w:w="949" w:type="dxa"/>
            <w:tcBorders>
              <w:left w:val="single" w:sz="2" w:space="0" w:color="000000"/>
            </w:tcBorders>
          </w:tcPr>
          <w:p w14:paraId="24D60B6A" w14:textId="77777777" w:rsidR="00245300" w:rsidRPr="00EC20A0" w:rsidRDefault="00F17249">
            <w:pPr>
              <w:pStyle w:val="TableParagraph"/>
              <w:spacing w:before="121"/>
              <w:ind w:left="143" w:right="21"/>
              <w:rPr>
                <w:b/>
                <w:sz w:val="20"/>
              </w:rPr>
            </w:pPr>
            <w:r w:rsidRPr="00EC20A0">
              <w:rPr>
                <w:b/>
                <w:spacing w:val="-4"/>
                <w:sz w:val="20"/>
              </w:rPr>
              <w:t>Doc. Ref.</w:t>
            </w:r>
          </w:p>
        </w:tc>
      </w:tr>
      <w:tr w:rsidR="00245300" w:rsidRPr="00EC20A0" w14:paraId="24D60B78" w14:textId="77777777">
        <w:trPr>
          <w:trHeight w:val="5544"/>
        </w:trPr>
        <w:tc>
          <w:tcPr>
            <w:tcW w:w="6898" w:type="dxa"/>
            <w:tcBorders>
              <w:bottom w:val="single" w:sz="2" w:space="0" w:color="000000"/>
              <w:right w:val="single" w:sz="2" w:space="0" w:color="000000"/>
            </w:tcBorders>
          </w:tcPr>
          <w:p w14:paraId="24D60B6C" w14:textId="77777777" w:rsidR="00245300" w:rsidRPr="00EC20A0" w:rsidRDefault="00F17249">
            <w:pPr>
              <w:pStyle w:val="TableParagraph"/>
              <w:numPr>
                <w:ilvl w:val="0"/>
                <w:numId w:val="164"/>
              </w:numPr>
              <w:tabs>
                <w:tab w:val="left" w:pos="1205"/>
              </w:tabs>
              <w:spacing w:before="80"/>
              <w:ind w:right="1178"/>
            </w:pPr>
            <w:r w:rsidRPr="00EC20A0">
              <w:t>Memorandum</w:t>
            </w:r>
            <w:r w:rsidRPr="00EC20A0">
              <w:rPr>
                <w:spacing w:val="-9"/>
              </w:rPr>
              <w:t xml:space="preserve"> </w:t>
            </w:r>
            <w:r w:rsidRPr="00EC20A0">
              <w:t>of</w:t>
            </w:r>
            <w:r w:rsidRPr="00EC20A0">
              <w:rPr>
                <w:spacing w:val="-8"/>
              </w:rPr>
              <w:t xml:space="preserve"> </w:t>
            </w:r>
            <w:r w:rsidRPr="00EC20A0">
              <w:t>entrance</w:t>
            </w:r>
            <w:r w:rsidRPr="00EC20A0">
              <w:rPr>
                <w:spacing w:val="-8"/>
              </w:rPr>
              <w:t xml:space="preserve"> </w:t>
            </w:r>
            <w:r w:rsidRPr="00EC20A0">
              <w:t>conference</w:t>
            </w:r>
            <w:r w:rsidRPr="00EC20A0">
              <w:rPr>
                <w:spacing w:val="-8"/>
              </w:rPr>
              <w:t xml:space="preserve"> </w:t>
            </w:r>
            <w:r w:rsidRPr="00EC20A0">
              <w:t>with</w:t>
            </w:r>
            <w:r w:rsidRPr="00EC20A0">
              <w:rPr>
                <w:spacing w:val="-8"/>
              </w:rPr>
              <w:t xml:space="preserve"> </w:t>
            </w:r>
            <w:r w:rsidRPr="00EC20A0">
              <w:t>the responsible entity.</w:t>
            </w:r>
          </w:p>
          <w:p w14:paraId="24D60B6D" w14:textId="77777777" w:rsidR="00245300" w:rsidRPr="00EC20A0" w:rsidRDefault="00F17249">
            <w:pPr>
              <w:pStyle w:val="TableParagraph"/>
              <w:numPr>
                <w:ilvl w:val="0"/>
                <w:numId w:val="164"/>
              </w:numPr>
              <w:tabs>
                <w:tab w:val="left" w:pos="1204"/>
              </w:tabs>
              <w:spacing w:before="238"/>
              <w:ind w:left="1204" w:hanging="359"/>
            </w:pPr>
            <w:r w:rsidRPr="00EC20A0">
              <w:t>Completed</w:t>
            </w:r>
            <w:r w:rsidRPr="00EC20A0">
              <w:rPr>
                <w:spacing w:val="-7"/>
              </w:rPr>
              <w:t xml:space="preserve"> </w:t>
            </w:r>
            <w:r w:rsidRPr="00EC20A0">
              <w:t>work</w:t>
            </w:r>
            <w:r w:rsidRPr="00EC20A0">
              <w:rPr>
                <w:spacing w:val="-7"/>
              </w:rPr>
              <w:t xml:space="preserve"> </w:t>
            </w:r>
            <w:r w:rsidRPr="00EC20A0">
              <w:t>plans</w:t>
            </w:r>
            <w:r w:rsidRPr="00EC20A0">
              <w:rPr>
                <w:spacing w:val="-8"/>
              </w:rPr>
              <w:t xml:space="preserve"> </w:t>
            </w:r>
            <w:r w:rsidRPr="00EC20A0">
              <w:t>and</w:t>
            </w:r>
            <w:r w:rsidRPr="00EC20A0">
              <w:rPr>
                <w:spacing w:val="-7"/>
              </w:rPr>
              <w:t xml:space="preserve"> </w:t>
            </w:r>
            <w:r w:rsidRPr="00EC20A0">
              <w:rPr>
                <w:spacing w:val="-2"/>
              </w:rPr>
              <w:t>procedures.</w:t>
            </w:r>
          </w:p>
          <w:p w14:paraId="24D60B6E" w14:textId="77777777" w:rsidR="00245300" w:rsidRPr="00EC20A0" w:rsidRDefault="00F17249">
            <w:pPr>
              <w:pStyle w:val="TableParagraph"/>
              <w:numPr>
                <w:ilvl w:val="0"/>
                <w:numId w:val="164"/>
              </w:numPr>
              <w:tabs>
                <w:tab w:val="left" w:pos="1204"/>
              </w:tabs>
              <w:spacing w:before="238"/>
              <w:ind w:left="1204" w:hanging="359"/>
            </w:pPr>
            <w:r w:rsidRPr="00EC20A0">
              <w:t>Memorandums</w:t>
            </w:r>
            <w:r w:rsidRPr="00EC20A0">
              <w:rPr>
                <w:spacing w:val="-10"/>
              </w:rPr>
              <w:t xml:space="preserve"> </w:t>
            </w:r>
            <w:r w:rsidRPr="00EC20A0">
              <w:t>on</w:t>
            </w:r>
            <w:r w:rsidRPr="00EC20A0">
              <w:rPr>
                <w:spacing w:val="-9"/>
              </w:rPr>
              <w:t xml:space="preserve"> </w:t>
            </w:r>
            <w:r w:rsidRPr="00EC20A0">
              <w:t>key</w:t>
            </w:r>
            <w:r w:rsidRPr="00EC20A0">
              <w:rPr>
                <w:spacing w:val="-9"/>
              </w:rPr>
              <w:t xml:space="preserve"> </w:t>
            </w:r>
            <w:r w:rsidRPr="00EC20A0">
              <w:t>engagement</w:t>
            </w:r>
            <w:r w:rsidRPr="00EC20A0">
              <w:rPr>
                <w:spacing w:val="-9"/>
              </w:rPr>
              <w:t xml:space="preserve"> </w:t>
            </w:r>
            <w:r w:rsidRPr="00EC20A0">
              <w:rPr>
                <w:spacing w:val="-2"/>
              </w:rPr>
              <w:t>issues.</w:t>
            </w:r>
          </w:p>
          <w:p w14:paraId="24D60B6F" w14:textId="77777777" w:rsidR="00245300" w:rsidRPr="00EC20A0" w:rsidRDefault="00F17249">
            <w:pPr>
              <w:pStyle w:val="TableParagraph"/>
              <w:numPr>
                <w:ilvl w:val="0"/>
                <w:numId w:val="164"/>
              </w:numPr>
              <w:tabs>
                <w:tab w:val="left" w:pos="1204"/>
              </w:tabs>
              <w:spacing w:before="238"/>
              <w:ind w:left="1204" w:hanging="359"/>
            </w:pPr>
            <w:r w:rsidRPr="00EC20A0">
              <w:t>Summary</w:t>
            </w:r>
            <w:r w:rsidRPr="00EC20A0">
              <w:rPr>
                <w:spacing w:val="-5"/>
              </w:rPr>
              <w:t xml:space="preserve"> </w:t>
            </w:r>
            <w:r w:rsidRPr="00EC20A0">
              <w:t>of</w:t>
            </w:r>
            <w:r w:rsidRPr="00EC20A0">
              <w:rPr>
                <w:spacing w:val="-5"/>
              </w:rPr>
              <w:t xml:space="preserve"> </w:t>
            </w:r>
            <w:r w:rsidRPr="00EC20A0">
              <w:t>the</w:t>
            </w:r>
            <w:r w:rsidRPr="00EC20A0">
              <w:rPr>
                <w:spacing w:val="-4"/>
              </w:rPr>
              <w:t xml:space="preserve"> </w:t>
            </w:r>
            <w:r w:rsidRPr="00EC20A0">
              <w:t>results</w:t>
            </w:r>
            <w:r w:rsidRPr="00EC20A0">
              <w:rPr>
                <w:spacing w:val="-6"/>
              </w:rPr>
              <w:t xml:space="preserve"> </w:t>
            </w:r>
            <w:r w:rsidRPr="00EC20A0">
              <w:t>of</w:t>
            </w:r>
            <w:r w:rsidRPr="00EC20A0">
              <w:rPr>
                <w:spacing w:val="-5"/>
              </w:rPr>
              <w:t xml:space="preserve"> </w:t>
            </w:r>
            <w:r w:rsidRPr="00EC20A0">
              <w:t>the</w:t>
            </w:r>
            <w:r w:rsidRPr="00EC20A0">
              <w:rPr>
                <w:spacing w:val="-4"/>
              </w:rPr>
              <w:t xml:space="preserve"> </w:t>
            </w:r>
            <w:r w:rsidRPr="00EC20A0">
              <w:rPr>
                <w:spacing w:val="-2"/>
              </w:rPr>
              <w:t>procedures.</w:t>
            </w:r>
          </w:p>
          <w:p w14:paraId="24D60B70" w14:textId="77777777" w:rsidR="00245300" w:rsidRPr="00EC20A0" w:rsidRDefault="00F17249">
            <w:pPr>
              <w:pStyle w:val="TableParagraph"/>
              <w:numPr>
                <w:ilvl w:val="0"/>
                <w:numId w:val="164"/>
              </w:numPr>
              <w:tabs>
                <w:tab w:val="left" w:pos="1205"/>
              </w:tabs>
              <w:spacing w:before="238"/>
              <w:ind w:right="506"/>
            </w:pPr>
            <w:r w:rsidRPr="00EC20A0">
              <w:t>Memorandum</w:t>
            </w:r>
            <w:r w:rsidRPr="00EC20A0">
              <w:rPr>
                <w:spacing w:val="-8"/>
              </w:rPr>
              <w:t xml:space="preserve"> </w:t>
            </w:r>
            <w:r w:rsidRPr="00EC20A0">
              <w:t>of</w:t>
            </w:r>
            <w:r w:rsidRPr="00EC20A0">
              <w:rPr>
                <w:spacing w:val="-7"/>
              </w:rPr>
              <w:t xml:space="preserve"> </w:t>
            </w:r>
            <w:r w:rsidRPr="00EC20A0">
              <w:t>exit</w:t>
            </w:r>
            <w:r w:rsidRPr="00EC20A0">
              <w:rPr>
                <w:spacing w:val="-7"/>
              </w:rPr>
              <w:t xml:space="preserve"> </w:t>
            </w:r>
            <w:r w:rsidRPr="00EC20A0">
              <w:t>conference</w:t>
            </w:r>
            <w:r w:rsidRPr="00EC20A0">
              <w:rPr>
                <w:spacing w:val="-7"/>
              </w:rPr>
              <w:t xml:space="preserve"> </w:t>
            </w:r>
            <w:r w:rsidRPr="00EC20A0">
              <w:t>with</w:t>
            </w:r>
            <w:r w:rsidRPr="00EC20A0">
              <w:rPr>
                <w:spacing w:val="-7"/>
              </w:rPr>
              <w:t xml:space="preserve"> </w:t>
            </w:r>
            <w:r w:rsidRPr="00EC20A0">
              <w:t>the</w:t>
            </w:r>
            <w:r w:rsidRPr="00EC20A0">
              <w:rPr>
                <w:spacing w:val="-7"/>
              </w:rPr>
              <w:t xml:space="preserve"> </w:t>
            </w:r>
            <w:r w:rsidRPr="00EC20A0">
              <w:t xml:space="preserve">responsible </w:t>
            </w:r>
            <w:r w:rsidRPr="00EC20A0">
              <w:rPr>
                <w:spacing w:val="-2"/>
              </w:rPr>
              <w:t>entity.</w:t>
            </w:r>
          </w:p>
          <w:p w14:paraId="24D60B71" w14:textId="77777777" w:rsidR="00245300" w:rsidRPr="00EC20A0" w:rsidRDefault="00F17249">
            <w:pPr>
              <w:pStyle w:val="TableParagraph"/>
              <w:numPr>
                <w:ilvl w:val="0"/>
                <w:numId w:val="164"/>
              </w:numPr>
              <w:tabs>
                <w:tab w:val="left" w:pos="1204"/>
              </w:tabs>
              <w:spacing w:before="238"/>
              <w:ind w:left="1204" w:hanging="359"/>
            </w:pPr>
            <w:r w:rsidRPr="00EC20A0">
              <w:t>Deviations</w:t>
            </w:r>
            <w:r w:rsidRPr="00EC20A0">
              <w:rPr>
                <w:spacing w:val="-9"/>
              </w:rPr>
              <w:t xml:space="preserve"> </w:t>
            </w:r>
            <w:r w:rsidRPr="00EC20A0">
              <w:t>from</w:t>
            </w:r>
            <w:r w:rsidRPr="00EC20A0">
              <w:rPr>
                <w:spacing w:val="-10"/>
              </w:rPr>
              <w:t xml:space="preserve"> </w:t>
            </w:r>
            <w:r w:rsidRPr="00EC20A0">
              <w:t>standard</w:t>
            </w:r>
            <w:r w:rsidRPr="00EC20A0">
              <w:rPr>
                <w:spacing w:val="-9"/>
              </w:rPr>
              <w:t xml:space="preserve"> </w:t>
            </w:r>
            <w:r w:rsidRPr="00EC20A0">
              <w:t>reporting</w:t>
            </w:r>
            <w:r w:rsidRPr="00EC20A0">
              <w:rPr>
                <w:spacing w:val="-8"/>
              </w:rPr>
              <w:t xml:space="preserve"> </w:t>
            </w:r>
            <w:r w:rsidRPr="00EC20A0">
              <w:rPr>
                <w:spacing w:val="-2"/>
              </w:rPr>
              <w:t>language.</w:t>
            </w:r>
          </w:p>
          <w:p w14:paraId="24D60B72" w14:textId="77777777" w:rsidR="00245300" w:rsidRPr="00EC20A0" w:rsidRDefault="00F17249">
            <w:pPr>
              <w:pStyle w:val="TableParagraph"/>
              <w:numPr>
                <w:ilvl w:val="0"/>
                <w:numId w:val="164"/>
              </w:numPr>
              <w:tabs>
                <w:tab w:val="left" w:pos="1204"/>
              </w:tabs>
              <w:spacing w:before="240"/>
              <w:ind w:left="1204" w:hanging="359"/>
            </w:pPr>
            <w:r w:rsidRPr="00EC20A0">
              <w:t>Financial</w:t>
            </w:r>
            <w:r w:rsidRPr="00EC20A0">
              <w:rPr>
                <w:spacing w:val="-13"/>
              </w:rPr>
              <w:t xml:space="preserve"> </w:t>
            </w:r>
            <w:r w:rsidRPr="00EC20A0">
              <w:t>schedules/statements,</w:t>
            </w:r>
            <w:r w:rsidRPr="00EC20A0">
              <w:rPr>
                <w:spacing w:val="-12"/>
              </w:rPr>
              <w:t xml:space="preserve"> </w:t>
            </w:r>
            <w:r w:rsidRPr="00EC20A0">
              <w:t>if</w:t>
            </w:r>
            <w:r w:rsidRPr="00EC20A0">
              <w:rPr>
                <w:spacing w:val="-12"/>
              </w:rPr>
              <w:t xml:space="preserve"> </w:t>
            </w:r>
            <w:r w:rsidRPr="00EC20A0">
              <w:rPr>
                <w:spacing w:val="-2"/>
              </w:rPr>
              <w:t>applicable.</w:t>
            </w:r>
          </w:p>
          <w:p w14:paraId="24D60B73" w14:textId="77777777" w:rsidR="00245300" w:rsidRPr="00EC20A0" w:rsidRDefault="00F17249">
            <w:pPr>
              <w:pStyle w:val="TableParagraph"/>
              <w:numPr>
                <w:ilvl w:val="0"/>
                <w:numId w:val="164"/>
              </w:numPr>
              <w:tabs>
                <w:tab w:val="left" w:pos="1204"/>
              </w:tabs>
              <w:spacing w:before="238"/>
              <w:ind w:left="1204"/>
            </w:pPr>
            <w:r w:rsidRPr="00EC20A0">
              <w:t>Management</w:t>
            </w:r>
            <w:r w:rsidRPr="00EC20A0">
              <w:rPr>
                <w:spacing w:val="-15"/>
              </w:rPr>
              <w:t xml:space="preserve"> </w:t>
            </w:r>
            <w:r w:rsidRPr="00EC20A0">
              <w:t>representation</w:t>
            </w:r>
            <w:r w:rsidRPr="00EC20A0">
              <w:rPr>
                <w:spacing w:val="-14"/>
              </w:rPr>
              <w:t xml:space="preserve"> </w:t>
            </w:r>
            <w:r w:rsidRPr="00EC20A0">
              <w:rPr>
                <w:spacing w:val="-2"/>
              </w:rPr>
              <w:t>letter.</w:t>
            </w:r>
          </w:p>
          <w:p w14:paraId="24D60B74" w14:textId="77777777" w:rsidR="00245300" w:rsidRPr="00EC20A0" w:rsidRDefault="00F17249">
            <w:pPr>
              <w:pStyle w:val="TableParagraph"/>
              <w:numPr>
                <w:ilvl w:val="0"/>
                <w:numId w:val="164"/>
              </w:numPr>
              <w:tabs>
                <w:tab w:val="left" w:pos="1204"/>
              </w:tabs>
              <w:spacing w:before="238"/>
              <w:ind w:left="1204"/>
            </w:pPr>
            <w:r w:rsidRPr="00EC20A0">
              <w:t>Agreed-upon</w:t>
            </w:r>
            <w:r w:rsidRPr="00EC20A0">
              <w:rPr>
                <w:spacing w:val="-13"/>
              </w:rPr>
              <w:t xml:space="preserve"> </w:t>
            </w:r>
            <w:r w:rsidRPr="00EC20A0">
              <w:t>procedures</w:t>
            </w:r>
            <w:r w:rsidRPr="00EC20A0">
              <w:rPr>
                <w:spacing w:val="-13"/>
              </w:rPr>
              <w:t xml:space="preserve"> </w:t>
            </w:r>
            <w:r w:rsidRPr="00EC20A0">
              <w:rPr>
                <w:spacing w:val="-2"/>
              </w:rPr>
              <w:t>report.</w:t>
            </w:r>
          </w:p>
          <w:p w14:paraId="24D60B75" w14:textId="77777777" w:rsidR="00245300" w:rsidRPr="00EC20A0" w:rsidRDefault="00F17249">
            <w:pPr>
              <w:pStyle w:val="TableParagraph"/>
              <w:numPr>
                <w:ilvl w:val="0"/>
                <w:numId w:val="164"/>
              </w:numPr>
              <w:tabs>
                <w:tab w:val="left" w:pos="1204"/>
              </w:tabs>
              <w:spacing w:before="238"/>
              <w:ind w:left="1204"/>
            </w:pPr>
            <w:r w:rsidRPr="00EC20A0">
              <w:t>GAO</w:t>
            </w:r>
            <w:r w:rsidRPr="00EC20A0">
              <w:rPr>
                <w:spacing w:val="-8"/>
              </w:rPr>
              <w:t xml:space="preserve"> </w:t>
            </w:r>
            <w:r w:rsidRPr="00EC20A0">
              <w:t>Audit</w:t>
            </w:r>
            <w:r w:rsidRPr="00EC20A0">
              <w:rPr>
                <w:spacing w:val="-7"/>
              </w:rPr>
              <w:t xml:space="preserve"> </w:t>
            </w:r>
            <w:r w:rsidRPr="00EC20A0">
              <w:t>Documentation</w:t>
            </w:r>
            <w:r w:rsidRPr="00EC20A0">
              <w:rPr>
                <w:spacing w:val="-7"/>
              </w:rPr>
              <w:t xml:space="preserve"> </w:t>
            </w:r>
            <w:r w:rsidRPr="00EC20A0">
              <w:t>Set</w:t>
            </w:r>
            <w:r w:rsidRPr="00EC20A0">
              <w:rPr>
                <w:spacing w:val="-7"/>
              </w:rPr>
              <w:t xml:space="preserve"> </w:t>
            </w:r>
            <w:r w:rsidRPr="00EC20A0">
              <w:t>or</w:t>
            </w:r>
            <w:r w:rsidRPr="00EC20A0">
              <w:rPr>
                <w:spacing w:val="-7"/>
              </w:rPr>
              <w:t xml:space="preserve"> </w:t>
            </w:r>
            <w:r w:rsidRPr="00EC20A0">
              <w:rPr>
                <w:spacing w:val="-2"/>
              </w:rPr>
              <w:t>equivalent.</w:t>
            </w:r>
          </w:p>
        </w:tc>
        <w:tc>
          <w:tcPr>
            <w:tcW w:w="1052" w:type="dxa"/>
            <w:tcBorders>
              <w:left w:val="single" w:sz="2" w:space="0" w:color="000000"/>
              <w:bottom w:val="single" w:sz="2" w:space="0" w:color="000000"/>
              <w:right w:val="single" w:sz="2" w:space="0" w:color="000000"/>
            </w:tcBorders>
          </w:tcPr>
          <w:p w14:paraId="24D60B76" w14:textId="77777777" w:rsidR="00245300" w:rsidRPr="00EC20A0" w:rsidRDefault="00245300">
            <w:pPr>
              <w:pStyle w:val="TableParagraph"/>
              <w:rPr>
                <w:sz w:val="20"/>
              </w:rPr>
            </w:pPr>
          </w:p>
        </w:tc>
        <w:tc>
          <w:tcPr>
            <w:tcW w:w="949" w:type="dxa"/>
            <w:tcBorders>
              <w:left w:val="single" w:sz="2" w:space="0" w:color="000000"/>
              <w:bottom w:val="single" w:sz="2" w:space="0" w:color="000000"/>
            </w:tcBorders>
          </w:tcPr>
          <w:p w14:paraId="24D60B77" w14:textId="77777777" w:rsidR="00245300" w:rsidRPr="00EC20A0" w:rsidRDefault="00245300">
            <w:pPr>
              <w:pStyle w:val="TableParagraph"/>
              <w:rPr>
                <w:sz w:val="20"/>
              </w:rPr>
            </w:pPr>
          </w:p>
        </w:tc>
      </w:tr>
      <w:tr w:rsidR="00245300" w:rsidRPr="00EC20A0" w14:paraId="24D60B83" w14:textId="77777777">
        <w:trPr>
          <w:trHeight w:val="4300"/>
        </w:trPr>
        <w:tc>
          <w:tcPr>
            <w:tcW w:w="6898" w:type="dxa"/>
            <w:tcBorders>
              <w:top w:val="single" w:sz="2" w:space="0" w:color="000000"/>
              <w:bottom w:val="single" w:sz="2" w:space="0" w:color="000000"/>
              <w:right w:val="single" w:sz="2" w:space="0" w:color="000000"/>
            </w:tcBorders>
          </w:tcPr>
          <w:p w14:paraId="24D60B79" w14:textId="77777777" w:rsidR="00245300" w:rsidRPr="00EC20A0" w:rsidRDefault="00F17249">
            <w:pPr>
              <w:pStyle w:val="TableParagraph"/>
              <w:numPr>
                <w:ilvl w:val="0"/>
                <w:numId w:val="163"/>
              </w:numPr>
              <w:tabs>
                <w:tab w:val="left" w:pos="545"/>
              </w:tabs>
              <w:spacing w:before="120"/>
              <w:ind w:left="545" w:hanging="420"/>
            </w:pPr>
            <w:r w:rsidRPr="00EC20A0">
              <w:t>Did</w:t>
            </w:r>
            <w:r w:rsidRPr="00EC20A0">
              <w:rPr>
                <w:spacing w:val="-5"/>
              </w:rPr>
              <w:t xml:space="preserve"> </w:t>
            </w:r>
            <w:r w:rsidRPr="00EC20A0">
              <w:t>the</w:t>
            </w:r>
            <w:r w:rsidRPr="00EC20A0">
              <w:rPr>
                <w:spacing w:val="-5"/>
              </w:rPr>
              <w:t xml:space="preserve"> </w:t>
            </w:r>
            <w:r w:rsidRPr="00EC20A0">
              <w:t>audit</w:t>
            </w:r>
            <w:r w:rsidRPr="00EC20A0">
              <w:rPr>
                <w:spacing w:val="-5"/>
              </w:rPr>
              <w:t xml:space="preserve"> </w:t>
            </w:r>
            <w:r w:rsidRPr="00EC20A0">
              <w:t>director</w:t>
            </w:r>
            <w:r w:rsidRPr="00EC20A0">
              <w:rPr>
                <w:spacing w:val="-5"/>
              </w:rPr>
              <w:t xml:space="preserve"> </w:t>
            </w:r>
            <w:r w:rsidRPr="00EC20A0">
              <w:t>review</w:t>
            </w:r>
            <w:r w:rsidRPr="00EC20A0">
              <w:rPr>
                <w:spacing w:val="-6"/>
              </w:rPr>
              <w:t xml:space="preserve"> </w:t>
            </w:r>
            <w:r w:rsidRPr="00EC20A0">
              <w:t>the</w:t>
            </w:r>
            <w:r w:rsidRPr="00EC20A0">
              <w:rPr>
                <w:spacing w:val="-5"/>
              </w:rPr>
              <w:t xml:space="preserve"> </w:t>
            </w:r>
            <w:r w:rsidRPr="00EC20A0">
              <w:rPr>
                <w:spacing w:val="-2"/>
              </w:rPr>
              <w:t>following?</w:t>
            </w:r>
          </w:p>
          <w:p w14:paraId="24D60B7A" w14:textId="77777777" w:rsidR="00245300" w:rsidRPr="00EC20A0" w:rsidRDefault="00F17249">
            <w:pPr>
              <w:pStyle w:val="TableParagraph"/>
              <w:numPr>
                <w:ilvl w:val="1"/>
                <w:numId w:val="163"/>
              </w:numPr>
              <w:tabs>
                <w:tab w:val="left" w:pos="1205"/>
              </w:tabs>
              <w:spacing w:before="239"/>
              <w:ind w:right="212"/>
            </w:pPr>
            <w:r w:rsidRPr="00EC20A0">
              <w:t>Documentation</w:t>
            </w:r>
            <w:r w:rsidRPr="00EC20A0">
              <w:rPr>
                <w:spacing w:val="-7"/>
              </w:rPr>
              <w:t xml:space="preserve"> </w:t>
            </w:r>
            <w:r w:rsidRPr="00EC20A0">
              <w:t>of</w:t>
            </w:r>
            <w:r w:rsidRPr="00EC20A0">
              <w:rPr>
                <w:spacing w:val="-7"/>
              </w:rPr>
              <w:t xml:space="preserve"> </w:t>
            </w:r>
            <w:r w:rsidRPr="00EC20A0">
              <w:t>the</w:t>
            </w:r>
            <w:r w:rsidRPr="00EC20A0">
              <w:rPr>
                <w:spacing w:val="-7"/>
              </w:rPr>
              <w:t xml:space="preserve"> </w:t>
            </w:r>
            <w:r w:rsidRPr="00EC20A0">
              <w:t>understanding</w:t>
            </w:r>
            <w:r w:rsidRPr="00EC20A0">
              <w:rPr>
                <w:spacing w:val="-8"/>
              </w:rPr>
              <w:t xml:space="preserve"> </w:t>
            </w:r>
            <w:r w:rsidRPr="00EC20A0">
              <w:t>with</w:t>
            </w:r>
            <w:r w:rsidRPr="00EC20A0">
              <w:rPr>
                <w:spacing w:val="-7"/>
              </w:rPr>
              <w:t xml:space="preserve"> </w:t>
            </w:r>
            <w:r w:rsidRPr="00EC20A0">
              <w:t>the</w:t>
            </w:r>
            <w:r w:rsidRPr="00EC20A0">
              <w:rPr>
                <w:spacing w:val="-7"/>
              </w:rPr>
              <w:t xml:space="preserve"> </w:t>
            </w:r>
            <w:r w:rsidRPr="00EC20A0">
              <w:t xml:space="preserve">individuals requesting the procedures and officials of the </w:t>
            </w:r>
            <w:r w:rsidRPr="00EC20A0">
              <w:t>entity.</w:t>
            </w:r>
          </w:p>
          <w:p w14:paraId="24D60B7B" w14:textId="77777777" w:rsidR="00245300" w:rsidRPr="00EC20A0" w:rsidRDefault="00F17249">
            <w:pPr>
              <w:pStyle w:val="TableParagraph"/>
              <w:numPr>
                <w:ilvl w:val="1"/>
                <w:numId w:val="163"/>
              </w:numPr>
              <w:tabs>
                <w:tab w:val="left" w:pos="1205"/>
              </w:tabs>
              <w:spacing w:before="239"/>
            </w:pPr>
            <w:r w:rsidRPr="00EC20A0">
              <w:t>Summary</w:t>
            </w:r>
            <w:r w:rsidRPr="00EC20A0">
              <w:rPr>
                <w:spacing w:val="-6"/>
              </w:rPr>
              <w:t xml:space="preserve"> </w:t>
            </w:r>
            <w:r w:rsidRPr="00EC20A0">
              <w:t>of</w:t>
            </w:r>
            <w:r w:rsidRPr="00EC20A0">
              <w:rPr>
                <w:spacing w:val="-5"/>
              </w:rPr>
              <w:t xml:space="preserve"> </w:t>
            </w:r>
            <w:r w:rsidRPr="00EC20A0">
              <w:t>results</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rPr>
                <w:spacing w:val="-2"/>
              </w:rPr>
              <w:t>procedures.</w:t>
            </w:r>
          </w:p>
          <w:p w14:paraId="24D60B7C" w14:textId="77777777" w:rsidR="00245300" w:rsidRPr="00EC20A0" w:rsidRDefault="00F17249">
            <w:pPr>
              <w:pStyle w:val="TableParagraph"/>
              <w:numPr>
                <w:ilvl w:val="1"/>
                <w:numId w:val="163"/>
              </w:numPr>
              <w:tabs>
                <w:tab w:val="left" w:pos="1205"/>
              </w:tabs>
              <w:spacing w:before="237"/>
            </w:pPr>
            <w:r w:rsidRPr="00EC20A0">
              <w:t>Memorandum</w:t>
            </w:r>
            <w:r w:rsidRPr="00EC20A0">
              <w:rPr>
                <w:spacing w:val="-10"/>
              </w:rPr>
              <w:t xml:space="preserve"> </w:t>
            </w:r>
            <w:r w:rsidRPr="00EC20A0">
              <w:t>of</w:t>
            </w:r>
            <w:r w:rsidRPr="00EC20A0">
              <w:rPr>
                <w:spacing w:val="-8"/>
              </w:rPr>
              <w:t xml:space="preserve"> </w:t>
            </w:r>
            <w:r w:rsidRPr="00EC20A0">
              <w:t>exit</w:t>
            </w:r>
            <w:r w:rsidRPr="00EC20A0">
              <w:rPr>
                <w:spacing w:val="-8"/>
              </w:rPr>
              <w:t xml:space="preserve"> </w:t>
            </w:r>
            <w:r w:rsidRPr="00EC20A0">
              <w:t>conference</w:t>
            </w:r>
            <w:r w:rsidRPr="00EC20A0">
              <w:rPr>
                <w:spacing w:val="-9"/>
              </w:rPr>
              <w:t xml:space="preserve"> </w:t>
            </w:r>
            <w:r w:rsidRPr="00EC20A0">
              <w:t>with</w:t>
            </w:r>
            <w:r w:rsidRPr="00EC20A0">
              <w:rPr>
                <w:spacing w:val="-8"/>
              </w:rPr>
              <w:t xml:space="preserve"> </w:t>
            </w:r>
            <w:r w:rsidRPr="00EC20A0">
              <w:t>responsible</w:t>
            </w:r>
            <w:r w:rsidRPr="00EC20A0">
              <w:rPr>
                <w:spacing w:val="-8"/>
              </w:rPr>
              <w:t xml:space="preserve"> </w:t>
            </w:r>
            <w:r w:rsidRPr="00EC20A0">
              <w:rPr>
                <w:spacing w:val="-2"/>
              </w:rPr>
              <w:t>entity.</w:t>
            </w:r>
          </w:p>
          <w:p w14:paraId="24D60B7D" w14:textId="77777777" w:rsidR="00245300" w:rsidRPr="00EC20A0" w:rsidRDefault="00F17249">
            <w:pPr>
              <w:pStyle w:val="TableParagraph"/>
              <w:numPr>
                <w:ilvl w:val="1"/>
                <w:numId w:val="163"/>
              </w:numPr>
              <w:tabs>
                <w:tab w:val="left" w:pos="1205"/>
              </w:tabs>
              <w:spacing w:before="240"/>
            </w:pPr>
            <w:r w:rsidRPr="00EC20A0">
              <w:t>Deviations</w:t>
            </w:r>
            <w:r w:rsidRPr="00EC20A0">
              <w:rPr>
                <w:spacing w:val="-9"/>
              </w:rPr>
              <w:t xml:space="preserve"> </w:t>
            </w:r>
            <w:r w:rsidRPr="00EC20A0">
              <w:t>from</w:t>
            </w:r>
            <w:r w:rsidRPr="00EC20A0">
              <w:rPr>
                <w:spacing w:val="-10"/>
              </w:rPr>
              <w:t xml:space="preserve"> </w:t>
            </w:r>
            <w:r w:rsidRPr="00EC20A0">
              <w:t>standard</w:t>
            </w:r>
            <w:r w:rsidRPr="00EC20A0">
              <w:rPr>
                <w:spacing w:val="-9"/>
              </w:rPr>
              <w:t xml:space="preserve"> </w:t>
            </w:r>
            <w:r w:rsidRPr="00EC20A0">
              <w:t>reporting</w:t>
            </w:r>
            <w:r w:rsidRPr="00EC20A0">
              <w:rPr>
                <w:spacing w:val="-8"/>
              </w:rPr>
              <w:t xml:space="preserve"> </w:t>
            </w:r>
            <w:r w:rsidRPr="00EC20A0">
              <w:rPr>
                <w:spacing w:val="-2"/>
              </w:rPr>
              <w:t>language.</w:t>
            </w:r>
          </w:p>
          <w:p w14:paraId="24D60B7E" w14:textId="77777777" w:rsidR="00245300" w:rsidRPr="00EC20A0" w:rsidRDefault="00F17249">
            <w:pPr>
              <w:pStyle w:val="TableParagraph"/>
              <w:numPr>
                <w:ilvl w:val="1"/>
                <w:numId w:val="163"/>
              </w:numPr>
              <w:tabs>
                <w:tab w:val="left" w:pos="1205"/>
              </w:tabs>
              <w:spacing w:before="238"/>
            </w:pPr>
            <w:r w:rsidRPr="00EC20A0">
              <w:t>Agreed-upon</w:t>
            </w:r>
            <w:r w:rsidRPr="00EC20A0">
              <w:rPr>
                <w:spacing w:val="-13"/>
              </w:rPr>
              <w:t xml:space="preserve"> </w:t>
            </w:r>
            <w:r w:rsidRPr="00EC20A0">
              <w:t>procedures</w:t>
            </w:r>
            <w:r w:rsidRPr="00EC20A0">
              <w:rPr>
                <w:spacing w:val="-13"/>
              </w:rPr>
              <w:t xml:space="preserve"> </w:t>
            </w:r>
            <w:r w:rsidRPr="00EC20A0">
              <w:rPr>
                <w:spacing w:val="-2"/>
              </w:rPr>
              <w:t>report.</w:t>
            </w:r>
          </w:p>
          <w:p w14:paraId="24D60B7F" w14:textId="77777777" w:rsidR="00245300" w:rsidRPr="00EC20A0" w:rsidRDefault="00F17249">
            <w:pPr>
              <w:pStyle w:val="TableParagraph"/>
              <w:numPr>
                <w:ilvl w:val="1"/>
                <w:numId w:val="163"/>
              </w:numPr>
              <w:tabs>
                <w:tab w:val="left" w:pos="1204"/>
              </w:tabs>
              <w:spacing w:before="238"/>
              <w:ind w:left="1204"/>
            </w:pPr>
            <w:r w:rsidRPr="00EC20A0">
              <w:t>Financial</w:t>
            </w:r>
            <w:r w:rsidRPr="00EC20A0">
              <w:rPr>
                <w:spacing w:val="-13"/>
              </w:rPr>
              <w:t xml:space="preserve"> </w:t>
            </w:r>
            <w:r w:rsidRPr="00EC20A0">
              <w:t>schedules/statements,</w:t>
            </w:r>
            <w:r w:rsidRPr="00EC20A0">
              <w:rPr>
                <w:spacing w:val="-12"/>
              </w:rPr>
              <w:t xml:space="preserve"> </w:t>
            </w:r>
            <w:r w:rsidRPr="00EC20A0">
              <w:t>if</w:t>
            </w:r>
            <w:r w:rsidRPr="00EC20A0">
              <w:rPr>
                <w:spacing w:val="-12"/>
              </w:rPr>
              <w:t xml:space="preserve"> </w:t>
            </w:r>
            <w:r w:rsidRPr="00EC20A0">
              <w:rPr>
                <w:spacing w:val="-2"/>
              </w:rPr>
              <w:t>applicable.</w:t>
            </w:r>
          </w:p>
          <w:p w14:paraId="24D60B80" w14:textId="77777777" w:rsidR="00245300" w:rsidRPr="00EC20A0" w:rsidRDefault="00F17249">
            <w:pPr>
              <w:pStyle w:val="TableParagraph"/>
              <w:numPr>
                <w:ilvl w:val="1"/>
                <w:numId w:val="163"/>
              </w:numPr>
              <w:tabs>
                <w:tab w:val="left" w:pos="1204"/>
              </w:tabs>
              <w:spacing w:before="238"/>
              <w:ind w:left="1204"/>
            </w:pPr>
            <w:r w:rsidRPr="00EC20A0">
              <w:t>Management</w:t>
            </w:r>
            <w:r w:rsidRPr="00EC20A0">
              <w:rPr>
                <w:spacing w:val="-15"/>
              </w:rPr>
              <w:t xml:space="preserve"> </w:t>
            </w:r>
            <w:r w:rsidRPr="00EC20A0">
              <w:t>representation</w:t>
            </w:r>
            <w:r w:rsidRPr="00EC20A0">
              <w:rPr>
                <w:spacing w:val="-14"/>
              </w:rPr>
              <w:t xml:space="preserve"> </w:t>
            </w:r>
            <w:r w:rsidRPr="00EC20A0">
              <w:rPr>
                <w:spacing w:val="-2"/>
              </w:rPr>
              <w:t>letter.</w:t>
            </w:r>
          </w:p>
        </w:tc>
        <w:tc>
          <w:tcPr>
            <w:tcW w:w="1052" w:type="dxa"/>
            <w:tcBorders>
              <w:top w:val="single" w:sz="2" w:space="0" w:color="000000"/>
              <w:left w:val="single" w:sz="2" w:space="0" w:color="000000"/>
              <w:bottom w:val="single" w:sz="2" w:space="0" w:color="000000"/>
              <w:right w:val="single" w:sz="2" w:space="0" w:color="000000"/>
            </w:tcBorders>
          </w:tcPr>
          <w:p w14:paraId="24D60B81"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82" w14:textId="77777777" w:rsidR="00245300" w:rsidRPr="00EC20A0" w:rsidRDefault="00245300">
            <w:pPr>
              <w:pStyle w:val="TableParagraph"/>
              <w:rPr>
                <w:sz w:val="20"/>
              </w:rPr>
            </w:pPr>
          </w:p>
        </w:tc>
      </w:tr>
      <w:tr w:rsidR="00245300" w:rsidRPr="00EC20A0" w14:paraId="24D60B87" w14:textId="77777777">
        <w:trPr>
          <w:trHeight w:val="746"/>
        </w:trPr>
        <w:tc>
          <w:tcPr>
            <w:tcW w:w="6898" w:type="dxa"/>
            <w:tcBorders>
              <w:top w:val="single" w:sz="2" w:space="0" w:color="000000"/>
              <w:bottom w:val="single" w:sz="2" w:space="0" w:color="000000"/>
              <w:right w:val="single" w:sz="2" w:space="0" w:color="000000"/>
            </w:tcBorders>
          </w:tcPr>
          <w:p w14:paraId="24D60B84" w14:textId="77777777" w:rsidR="00245300" w:rsidRPr="00EC20A0" w:rsidRDefault="00F17249">
            <w:pPr>
              <w:pStyle w:val="TableParagraph"/>
              <w:spacing w:before="120"/>
              <w:ind w:left="485" w:hanging="361"/>
            </w:pPr>
            <w:r w:rsidRPr="00EC20A0">
              <w:t>17.</w:t>
            </w:r>
            <w:r w:rsidRPr="00EC20A0">
              <w:rPr>
                <w:spacing w:val="-11"/>
              </w:rPr>
              <w:t xml:space="preserve"> </w:t>
            </w:r>
            <w:r w:rsidRPr="00EC20A0">
              <w:t>Did</w:t>
            </w:r>
            <w:r w:rsidRPr="00EC20A0">
              <w:rPr>
                <w:spacing w:val="-5"/>
              </w:rPr>
              <w:t xml:space="preserve"> </w:t>
            </w:r>
            <w:r w:rsidRPr="00EC20A0">
              <w:t>the</w:t>
            </w:r>
            <w:r w:rsidRPr="00EC20A0">
              <w:rPr>
                <w:spacing w:val="-5"/>
              </w:rPr>
              <w:t xml:space="preserve"> </w:t>
            </w:r>
            <w:r w:rsidRPr="00EC20A0">
              <w:t>assistant</w:t>
            </w:r>
            <w:r w:rsidRPr="00EC20A0">
              <w:rPr>
                <w:spacing w:val="-5"/>
              </w:rPr>
              <w:t xml:space="preserve"> </w:t>
            </w:r>
            <w:r w:rsidRPr="00EC20A0">
              <w:t>director</w:t>
            </w:r>
            <w:r w:rsidRPr="00EC20A0">
              <w:rPr>
                <w:spacing w:val="-5"/>
              </w:rPr>
              <w:t xml:space="preserve"> </w:t>
            </w:r>
            <w:r w:rsidRPr="00EC20A0">
              <w:t>or</w:t>
            </w:r>
            <w:r w:rsidRPr="00EC20A0">
              <w:rPr>
                <w:spacing w:val="-5"/>
              </w:rPr>
              <w:t xml:space="preserve"> </w:t>
            </w:r>
            <w:r w:rsidRPr="00EC20A0">
              <w:t>the</w:t>
            </w:r>
            <w:r w:rsidRPr="00EC20A0">
              <w:rPr>
                <w:spacing w:val="-5"/>
              </w:rPr>
              <w:t xml:space="preserve"> </w:t>
            </w:r>
            <w:r w:rsidRPr="00EC20A0">
              <w:t>auditor-in-charge</w:t>
            </w:r>
            <w:r w:rsidRPr="00EC20A0">
              <w:rPr>
                <w:spacing w:val="-5"/>
              </w:rPr>
              <w:t xml:space="preserve"> </w:t>
            </w:r>
            <w:r w:rsidRPr="00EC20A0">
              <w:t>determine</w:t>
            </w:r>
            <w:r w:rsidRPr="00EC20A0">
              <w:rPr>
                <w:spacing w:val="-5"/>
              </w:rPr>
              <w:t xml:space="preserve"> </w:t>
            </w:r>
            <w:r w:rsidRPr="00EC20A0">
              <w:t>that all significant review notes were resolved appropriately?</w:t>
            </w:r>
          </w:p>
        </w:tc>
        <w:tc>
          <w:tcPr>
            <w:tcW w:w="1052" w:type="dxa"/>
            <w:tcBorders>
              <w:top w:val="single" w:sz="2" w:space="0" w:color="000000"/>
              <w:left w:val="single" w:sz="2" w:space="0" w:color="000000"/>
              <w:bottom w:val="single" w:sz="2" w:space="0" w:color="000000"/>
              <w:right w:val="single" w:sz="2" w:space="0" w:color="000000"/>
            </w:tcBorders>
          </w:tcPr>
          <w:p w14:paraId="24D60B85"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86" w14:textId="77777777" w:rsidR="00245300" w:rsidRPr="00EC20A0" w:rsidRDefault="00245300">
            <w:pPr>
              <w:pStyle w:val="TableParagraph"/>
              <w:rPr>
                <w:sz w:val="20"/>
              </w:rPr>
            </w:pPr>
          </w:p>
        </w:tc>
      </w:tr>
      <w:tr w:rsidR="00245300" w:rsidRPr="00EC20A0" w14:paraId="24D60B8D" w14:textId="77777777">
        <w:trPr>
          <w:trHeight w:val="1509"/>
        </w:trPr>
        <w:tc>
          <w:tcPr>
            <w:tcW w:w="6898" w:type="dxa"/>
            <w:tcBorders>
              <w:top w:val="single" w:sz="2" w:space="0" w:color="000000"/>
              <w:bottom w:val="single" w:sz="2" w:space="0" w:color="000000"/>
              <w:right w:val="single" w:sz="2" w:space="0" w:color="000000"/>
            </w:tcBorders>
          </w:tcPr>
          <w:p w14:paraId="24D60B88" w14:textId="77777777" w:rsidR="00245300" w:rsidRPr="00EC20A0" w:rsidRDefault="00F17249">
            <w:pPr>
              <w:pStyle w:val="TableParagraph"/>
              <w:numPr>
                <w:ilvl w:val="0"/>
                <w:numId w:val="162"/>
              </w:numPr>
              <w:tabs>
                <w:tab w:val="left" w:pos="484"/>
              </w:tabs>
              <w:spacing w:before="120"/>
              <w:ind w:left="484" w:hanging="359"/>
            </w:pPr>
            <w:r w:rsidRPr="00EC20A0">
              <w:t>Is</w:t>
            </w:r>
            <w:r w:rsidRPr="00EC20A0">
              <w:rPr>
                <w:spacing w:val="-5"/>
              </w:rPr>
              <w:t xml:space="preserve"> </w:t>
            </w:r>
            <w:r w:rsidRPr="00EC20A0">
              <w:t>the</w:t>
            </w:r>
            <w:r w:rsidRPr="00EC20A0">
              <w:rPr>
                <w:spacing w:val="-4"/>
              </w:rPr>
              <w:t xml:space="preserve"> </w:t>
            </w:r>
            <w:r w:rsidRPr="00EC20A0">
              <w:t>report</w:t>
            </w:r>
            <w:r w:rsidRPr="00EC20A0">
              <w:rPr>
                <w:spacing w:val="-5"/>
              </w:rPr>
              <w:t xml:space="preserve"> </w:t>
            </w:r>
            <w:r w:rsidRPr="00EC20A0">
              <w:t>appropriate</w:t>
            </w:r>
            <w:r w:rsidRPr="00EC20A0">
              <w:rPr>
                <w:spacing w:val="-5"/>
              </w:rPr>
              <w:t xml:space="preserve"> </w:t>
            </w:r>
            <w:r w:rsidRPr="00EC20A0">
              <w:t>as</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rPr>
                <w:spacing w:val="-2"/>
              </w:rPr>
              <w:t>following?</w:t>
            </w:r>
          </w:p>
          <w:p w14:paraId="24D60B89" w14:textId="77777777" w:rsidR="00245300" w:rsidRPr="00EC20A0" w:rsidRDefault="00F17249">
            <w:pPr>
              <w:pStyle w:val="TableParagraph"/>
              <w:numPr>
                <w:ilvl w:val="1"/>
                <w:numId w:val="162"/>
              </w:numPr>
              <w:tabs>
                <w:tab w:val="left" w:pos="1204"/>
              </w:tabs>
              <w:spacing w:before="239"/>
            </w:pPr>
            <w:r w:rsidRPr="00EC20A0">
              <w:rPr>
                <w:spacing w:val="-2"/>
              </w:rPr>
              <w:t>Wording.</w:t>
            </w:r>
          </w:p>
          <w:p w14:paraId="24D60B8A" w14:textId="77777777" w:rsidR="00245300" w:rsidRPr="00EC20A0" w:rsidRDefault="00F17249">
            <w:pPr>
              <w:pStyle w:val="TableParagraph"/>
              <w:numPr>
                <w:ilvl w:val="1"/>
                <w:numId w:val="162"/>
              </w:numPr>
              <w:tabs>
                <w:tab w:val="left" w:pos="1204"/>
              </w:tabs>
              <w:spacing w:before="238"/>
            </w:pPr>
            <w:r w:rsidRPr="00EC20A0">
              <w:t>Scope</w:t>
            </w:r>
            <w:r w:rsidRPr="00EC20A0">
              <w:rPr>
                <w:spacing w:val="-5"/>
              </w:rPr>
              <w:t xml:space="preserve"> </w:t>
            </w:r>
            <w:r w:rsidRPr="00EC20A0">
              <w:t>of</w:t>
            </w:r>
            <w:r w:rsidRPr="00EC20A0">
              <w:rPr>
                <w:spacing w:val="-5"/>
              </w:rPr>
              <w:t xml:space="preserve"> </w:t>
            </w:r>
            <w:r w:rsidRPr="00EC20A0">
              <w:rPr>
                <w:spacing w:val="-2"/>
              </w:rPr>
              <w:t>work.</w:t>
            </w:r>
          </w:p>
        </w:tc>
        <w:tc>
          <w:tcPr>
            <w:tcW w:w="1052" w:type="dxa"/>
            <w:tcBorders>
              <w:top w:val="single" w:sz="2" w:space="0" w:color="000000"/>
              <w:left w:val="single" w:sz="2" w:space="0" w:color="000000"/>
              <w:bottom w:val="single" w:sz="2" w:space="0" w:color="000000"/>
              <w:right w:val="single" w:sz="2" w:space="0" w:color="000000"/>
            </w:tcBorders>
          </w:tcPr>
          <w:p w14:paraId="24D60B8B" w14:textId="77777777" w:rsidR="00245300" w:rsidRPr="00EC20A0" w:rsidRDefault="00245300">
            <w:pPr>
              <w:pStyle w:val="TableParagraph"/>
              <w:rPr>
                <w:sz w:val="20"/>
              </w:rPr>
            </w:pPr>
          </w:p>
        </w:tc>
        <w:tc>
          <w:tcPr>
            <w:tcW w:w="949" w:type="dxa"/>
            <w:tcBorders>
              <w:top w:val="single" w:sz="2" w:space="0" w:color="000000"/>
              <w:left w:val="single" w:sz="2" w:space="0" w:color="000000"/>
              <w:bottom w:val="single" w:sz="2" w:space="0" w:color="000000"/>
            </w:tcBorders>
          </w:tcPr>
          <w:p w14:paraId="24D60B8C" w14:textId="77777777" w:rsidR="00245300" w:rsidRPr="00EC20A0" w:rsidRDefault="00245300">
            <w:pPr>
              <w:pStyle w:val="TableParagraph"/>
              <w:rPr>
                <w:sz w:val="20"/>
              </w:rPr>
            </w:pPr>
          </w:p>
        </w:tc>
      </w:tr>
    </w:tbl>
    <w:p w14:paraId="24D60B8E" w14:textId="77777777" w:rsidR="00245300" w:rsidRPr="00EC20A0" w:rsidRDefault="00245300">
      <w:pPr>
        <w:rPr>
          <w:sz w:val="20"/>
        </w:rPr>
        <w:sectPr w:rsidR="00245300" w:rsidRPr="00EC20A0">
          <w:pgSz w:w="12240" w:h="15840"/>
          <w:pgMar w:top="1340" w:right="1140" w:bottom="940" w:left="1320" w:header="721" w:footer="757" w:gutter="0"/>
          <w:cols w:space="720"/>
        </w:sectPr>
      </w:pPr>
    </w:p>
    <w:p w14:paraId="24D60B8F" w14:textId="77777777" w:rsidR="00245300" w:rsidRPr="00EC20A0" w:rsidRDefault="00245300">
      <w:pPr>
        <w:pStyle w:val="BodyText"/>
        <w:spacing w:before="9"/>
        <w:rPr>
          <w:sz w:val="11"/>
        </w:rPr>
      </w:pPr>
    </w:p>
    <w:tbl>
      <w:tblPr>
        <w:tblW w:w="0" w:type="auto"/>
        <w:tblInd w:w="37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245300" w:rsidRPr="00EC20A0" w14:paraId="24D60B94" w14:textId="77777777">
        <w:trPr>
          <w:trHeight w:val="700"/>
        </w:trPr>
        <w:tc>
          <w:tcPr>
            <w:tcW w:w="6898" w:type="dxa"/>
            <w:tcBorders>
              <w:right w:val="single" w:sz="2" w:space="0" w:color="000000"/>
            </w:tcBorders>
          </w:tcPr>
          <w:p w14:paraId="24D60B90" w14:textId="77777777" w:rsidR="00245300" w:rsidRPr="00EC20A0" w:rsidRDefault="00245300">
            <w:pPr>
              <w:pStyle w:val="TableParagraph"/>
              <w:spacing w:before="121"/>
              <w:rPr>
                <w:sz w:val="20"/>
              </w:rPr>
            </w:pPr>
          </w:p>
          <w:p w14:paraId="24D60B91" w14:textId="77777777" w:rsidR="00245300" w:rsidRPr="00EC20A0" w:rsidRDefault="00F17249">
            <w:pPr>
              <w:pStyle w:val="TableParagraph"/>
              <w:ind w:left="125"/>
              <w:rPr>
                <w:b/>
                <w:sz w:val="20"/>
              </w:rPr>
            </w:pPr>
            <w:r w:rsidRPr="00EC20A0">
              <w:rPr>
                <w:b/>
                <w:spacing w:val="-2"/>
                <w:sz w:val="20"/>
              </w:rPr>
              <w:t>Steps</w:t>
            </w:r>
          </w:p>
        </w:tc>
        <w:tc>
          <w:tcPr>
            <w:tcW w:w="1052" w:type="dxa"/>
            <w:tcBorders>
              <w:left w:val="single" w:sz="2" w:space="0" w:color="000000"/>
              <w:right w:val="single" w:sz="2" w:space="0" w:color="000000"/>
            </w:tcBorders>
          </w:tcPr>
          <w:p w14:paraId="24D60B92" w14:textId="77777777" w:rsidR="00245300" w:rsidRPr="00EC20A0" w:rsidRDefault="00F17249">
            <w:pPr>
              <w:pStyle w:val="TableParagraph"/>
              <w:spacing w:before="121"/>
              <w:ind w:left="143" w:right="131"/>
              <w:rPr>
                <w:b/>
                <w:sz w:val="20"/>
              </w:rPr>
            </w:pPr>
            <w:r w:rsidRPr="00EC20A0">
              <w:rPr>
                <w:b/>
                <w:sz w:val="20"/>
              </w:rPr>
              <w:t>Yes,</w:t>
            </w:r>
            <w:r w:rsidRPr="00EC20A0">
              <w:rPr>
                <w:b/>
                <w:spacing w:val="-14"/>
                <w:sz w:val="20"/>
              </w:rPr>
              <w:t xml:space="preserve"> </w:t>
            </w:r>
            <w:r w:rsidRPr="00EC20A0">
              <w:rPr>
                <w:b/>
                <w:sz w:val="20"/>
              </w:rPr>
              <w:t>no, or N/A</w:t>
            </w:r>
          </w:p>
        </w:tc>
        <w:tc>
          <w:tcPr>
            <w:tcW w:w="949" w:type="dxa"/>
            <w:tcBorders>
              <w:left w:val="single" w:sz="2" w:space="0" w:color="000000"/>
            </w:tcBorders>
          </w:tcPr>
          <w:p w14:paraId="24D60B93" w14:textId="77777777" w:rsidR="00245300" w:rsidRPr="00EC20A0" w:rsidRDefault="00F17249">
            <w:pPr>
              <w:pStyle w:val="TableParagraph"/>
              <w:spacing w:before="121"/>
              <w:ind w:left="143" w:right="21"/>
              <w:rPr>
                <w:b/>
                <w:sz w:val="20"/>
              </w:rPr>
            </w:pPr>
            <w:r w:rsidRPr="00EC20A0">
              <w:rPr>
                <w:b/>
                <w:spacing w:val="-4"/>
                <w:sz w:val="20"/>
              </w:rPr>
              <w:t>Doc. Ref.</w:t>
            </w:r>
          </w:p>
        </w:tc>
      </w:tr>
      <w:tr w:rsidR="00245300" w:rsidRPr="00EC20A0" w14:paraId="24D60B99" w14:textId="77777777">
        <w:trPr>
          <w:trHeight w:val="975"/>
        </w:trPr>
        <w:tc>
          <w:tcPr>
            <w:tcW w:w="6898" w:type="dxa"/>
            <w:tcBorders>
              <w:bottom w:val="single" w:sz="2" w:space="0" w:color="000000"/>
              <w:right w:val="single" w:sz="2" w:space="0" w:color="000000"/>
            </w:tcBorders>
          </w:tcPr>
          <w:p w14:paraId="24D60B95" w14:textId="77777777" w:rsidR="00245300" w:rsidRPr="00EC20A0" w:rsidRDefault="00F17249">
            <w:pPr>
              <w:pStyle w:val="TableParagraph"/>
              <w:numPr>
                <w:ilvl w:val="0"/>
                <w:numId w:val="161"/>
              </w:numPr>
              <w:tabs>
                <w:tab w:val="left" w:pos="1204"/>
              </w:tabs>
              <w:spacing w:before="80"/>
              <w:ind w:left="1204" w:hanging="359"/>
            </w:pPr>
            <w:r w:rsidRPr="00EC20A0">
              <w:rPr>
                <w:spacing w:val="-2"/>
              </w:rPr>
              <w:t>GAGAS.</w:t>
            </w:r>
          </w:p>
          <w:p w14:paraId="24D60B96" w14:textId="77777777" w:rsidR="00245300" w:rsidRPr="00EC20A0" w:rsidRDefault="00F17249">
            <w:pPr>
              <w:pStyle w:val="TableParagraph"/>
              <w:numPr>
                <w:ilvl w:val="0"/>
                <w:numId w:val="161"/>
              </w:numPr>
              <w:tabs>
                <w:tab w:val="left" w:pos="1204"/>
              </w:tabs>
              <w:spacing w:before="238"/>
              <w:ind w:left="1204" w:hanging="359"/>
            </w:pPr>
            <w:r w:rsidRPr="00EC20A0">
              <w:t>Explanatory</w:t>
            </w:r>
            <w:r w:rsidRPr="00EC20A0">
              <w:rPr>
                <w:spacing w:val="-14"/>
              </w:rPr>
              <w:t xml:space="preserve"> </w:t>
            </w:r>
            <w:r w:rsidRPr="00EC20A0">
              <w:rPr>
                <w:spacing w:val="-2"/>
              </w:rPr>
              <w:t>paragraphs.</w:t>
            </w:r>
          </w:p>
        </w:tc>
        <w:tc>
          <w:tcPr>
            <w:tcW w:w="1052" w:type="dxa"/>
            <w:tcBorders>
              <w:left w:val="single" w:sz="2" w:space="0" w:color="000000"/>
              <w:bottom w:val="single" w:sz="2" w:space="0" w:color="000000"/>
              <w:right w:val="single" w:sz="2" w:space="0" w:color="000000"/>
            </w:tcBorders>
          </w:tcPr>
          <w:p w14:paraId="24D60B97" w14:textId="77777777" w:rsidR="00245300" w:rsidRPr="00EC20A0" w:rsidRDefault="00245300">
            <w:pPr>
              <w:pStyle w:val="TableParagraph"/>
              <w:rPr>
                <w:sz w:val="20"/>
              </w:rPr>
            </w:pPr>
          </w:p>
        </w:tc>
        <w:tc>
          <w:tcPr>
            <w:tcW w:w="949" w:type="dxa"/>
            <w:tcBorders>
              <w:left w:val="single" w:sz="2" w:space="0" w:color="000000"/>
              <w:bottom w:val="single" w:sz="2" w:space="0" w:color="000000"/>
            </w:tcBorders>
          </w:tcPr>
          <w:p w14:paraId="24D60B98" w14:textId="77777777" w:rsidR="00245300" w:rsidRPr="00EC20A0" w:rsidRDefault="00245300">
            <w:pPr>
              <w:pStyle w:val="TableParagraph"/>
              <w:rPr>
                <w:sz w:val="20"/>
              </w:rPr>
            </w:pPr>
          </w:p>
        </w:tc>
      </w:tr>
      <w:tr w:rsidR="00245300" w:rsidRPr="00EC20A0" w14:paraId="24D60B9D" w14:textId="77777777">
        <w:trPr>
          <w:trHeight w:val="999"/>
        </w:trPr>
        <w:tc>
          <w:tcPr>
            <w:tcW w:w="6898" w:type="dxa"/>
            <w:tcBorders>
              <w:top w:val="single" w:sz="2" w:space="0" w:color="000000"/>
              <w:right w:val="single" w:sz="2" w:space="0" w:color="000000"/>
            </w:tcBorders>
          </w:tcPr>
          <w:p w14:paraId="24D60B9A" w14:textId="77777777" w:rsidR="00245300" w:rsidRPr="00EC20A0" w:rsidRDefault="00F17249">
            <w:pPr>
              <w:pStyle w:val="TableParagraph"/>
              <w:spacing w:before="120"/>
              <w:ind w:left="485" w:right="182" w:hanging="361"/>
            </w:pPr>
            <w:r w:rsidRPr="00EC20A0">
              <w:t>19.</w:t>
            </w:r>
            <w:r w:rsidRPr="00EC20A0">
              <w:rPr>
                <w:spacing w:val="-12"/>
              </w:rPr>
              <w:t xml:space="preserve"> </w:t>
            </w:r>
            <w:r w:rsidRPr="00EC20A0">
              <w:t>Is</w:t>
            </w:r>
            <w:r w:rsidRPr="00EC20A0">
              <w:rPr>
                <w:spacing w:val="-5"/>
              </w:rPr>
              <w:t xml:space="preserve"> </w:t>
            </w:r>
            <w:r w:rsidRPr="00EC20A0">
              <w:t>the</w:t>
            </w:r>
            <w:r w:rsidRPr="00EC20A0">
              <w:rPr>
                <w:spacing w:val="-5"/>
              </w:rPr>
              <w:t xml:space="preserve"> </w:t>
            </w:r>
            <w:r w:rsidRPr="00EC20A0">
              <w:t>agreed-upon</w:t>
            </w:r>
            <w:r w:rsidRPr="00EC20A0">
              <w:rPr>
                <w:spacing w:val="-5"/>
              </w:rPr>
              <w:t xml:space="preserve"> </w:t>
            </w:r>
            <w:r w:rsidRPr="00EC20A0">
              <w:t>procedures</w:t>
            </w:r>
            <w:r w:rsidRPr="00EC20A0">
              <w:rPr>
                <w:spacing w:val="-5"/>
              </w:rPr>
              <w:t xml:space="preserve"> </w:t>
            </w:r>
            <w:r w:rsidRPr="00EC20A0">
              <w:t>report</w:t>
            </w:r>
            <w:r w:rsidRPr="00EC20A0">
              <w:rPr>
                <w:spacing w:val="-5"/>
              </w:rPr>
              <w:t xml:space="preserve"> </w:t>
            </w:r>
            <w:r w:rsidRPr="00EC20A0">
              <w:t>dated</w:t>
            </w:r>
            <w:r w:rsidRPr="00EC20A0">
              <w:rPr>
                <w:spacing w:val="-5"/>
              </w:rPr>
              <w:t xml:space="preserve"> </w:t>
            </w:r>
            <w:r w:rsidRPr="00EC20A0">
              <w:t>appropriately,</w:t>
            </w:r>
            <w:r w:rsidRPr="00EC20A0">
              <w:rPr>
                <w:spacing w:val="-5"/>
              </w:rPr>
              <w:t xml:space="preserve"> </w:t>
            </w:r>
            <w:r w:rsidRPr="00EC20A0">
              <w:t xml:space="preserve">or does the report indicate when the auditor completed the </w:t>
            </w:r>
            <w:r w:rsidRPr="00EC20A0">
              <w:rPr>
                <w:spacing w:val="-2"/>
              </w:rPr>
              <w:t>engagement?</w:t>
            </w:r>
          </w:p>
        </w:tc>
        <w:tc>
          <w:tcPr>
            <w:tcW w:w="1052" w:type="dxa"/>
            <w:tcBorders>
              <w:top w:val="single" w:sz="2" w:space="0" w:color="000000"/>
              <w:left w:val="single" w:sz="2" w:space="0" w:color="000000"/>
              <w:right w:val="single" w:sz="2" w:space="0" w:color="000000"/>
            </w:tcBorders>
          </w:tcPr>
          <w:p w14:paraId="24D60B9B" w14:textId="77777777" w:rsidR="00245300" w:rsidRPr="00EC20A0" w:rsidRDefault="00245300">
            <w:pPr>
              <w:pStyle w:val="TableParagraph"/>
              <w:rPr>
                <w:sz w:val="20"/>
              </w:rPr>
            </w:pPr>
          </w:p>
        </w:tc>
        <w:tc>
          <w:tcPr>
            <w:tcW w:w="949" w:type="dxa"/>
            <w:tcBorders>
              <w:top w:val="single" w:sz="2" w:space="0" w:color="000000"/>
              <w:left w:val="single" w:sz="2" w:space="0" w:color="000000"/>
            </w:tcBorders>
          </w:tcPr>
          <w:p w14:paraId="24D60B9C" w14:textId="77777777" w:rsidR="00245300" w:rsidRPr="00EC20A0" w:rsidRDefault="00245300">
            <w:pPr>
              <w:pStyle w:val="TableParagraph"/>
              <w:rPr>
                <w:sz w:val="20"/>
              </w:rPr>
            </w:pPr>
          </w:p>
        </w:tc>
      </w:tr>
    </w:tbl>
    <w:p w14:paraId="24D60B9E" w14:textId="77777777" w:rsidR="00245300" w:rsidRPr="00EC20A0" w:rsidRDefault="00245300">
      <w:pPr>
        <w:pStyle w:val="BodyText"/>
        <w:spacing w:before="105"/>
      </w:pPr>
    </w:p>
    <w:p w14:paraId="24D60B9F" w14:textId="77777777" w:rsidR="00245300" w:rsidRPr="00EC20A0" w:rsidRDefault="00F17249">
      <w:pPr>
        <w:pStyle w:val="BodyText"/>
        <w:ind w:left="120" w:right="374"/>
        <w:jc w:val="both"/>
      </w:pPr>
      <w:r w:rsidRPr="00EC20A0">
        <w:t>Note:</w:t>
      </w:r>
      <w:r w:rsidRPr="00EC20A0">
        <w:rPr>
          <w:spacing w:val="-2"/>
        </w:rPr>
        <w:t xml:space="preserve"> </w:t>
      </w:r>
      <w:r w:rsidRPr="00EC20A0">
        <w:t>The</w:t>
      </w:r>
      <w:r w:rsidRPr="00EC20A0">
        <w:rPr>
          <w:spacing w:val="-2"/>
        </w:rPr>
        <w:t xml:space="preserve"> </w:t>
      </w:r>
      <w:r w:rsidRPr="00EC20A0">
        <w:t>auditor</w:t>
      </w:r>
      <w:r w:rsidRPr="00EC20A0">
        <w:rPr>
          <w:spacing w:val="-2"/>
        </w:rPr>
        <w:t xml:space="preserve"> </w:t>
      </w:r>
      <w:r w:rsidRPr="00EC20A0">
        <w:t>should</w:t>
      </w:r>
      <w:r w:rsidRPr="00EC20A0">
        <w:rPr>
          <w:spacing w:val="-2"/>
        </w:rPr>
        <w:t xml:space="preserve"> </w:t>
      </w:r>
      <w:r w:rsidRPr="00EC20A0">
        <w:t>discuss</w:t>
      </w:r>
      <w:r w:rsidRPr="00EC20A0">
        <w:rPr>
          <w:spacing w:val="-2"/>
        </w:rPr>
        <w:t xml:space="preserve"> </w:t>
      </w:r>
      <w:r w:rsidRPr="00EC20A0">
        <w:t>all</w:t>
      </w:r>
      <w:r w:rsidRPr="00EC20A0">
        <w:rPr>
          <w:spacing w:val="-3"/>
        </w:rPr>
        <w:t xml:space="preserve"> </w:t>
      </w:r>
      <w:r w:rsidRPr="00EC20A0">
        <w:t>“No”</w:t>
      </w:r>
      <w:r w:rsidRPr="00EC20A0">
        <w:rPr>
          <w:spacing w:val="-2"/>
        </w:rPr>
        <w:t xml:space="preserve"> </w:t>
      </w:r>
      <w:r w:rsidRPr="00EC20A0">
        <w:t>answers</w:t>
      </w:r>
      <w:r w:rsidRPr="00EC20A0">
        <w:rPr>
          <w:spacing w:val="-2"/>
        </w:rPr>
        <w:t xml:space="preserve"> </w:t>
      </w:r>
      <w:r w:rsidRPr="00EC20A0">
        <w:t>in</w:t>
      </w:r>
      <w:r w:rsidRPr="00EC20A0">
        <w:rPr>
          <w:spacing w:val="-2"/>
        </w:rPr>
        <w:t xml:space="preserve"> </w:t>
      </w:r>
      <w:r w:rsidRPr="00EC20A0">
        <w:t>attached</w:t>
      </w:r>
      <w:r w:rsidRPr="00EC20A0">
        <w:rPr>
          <w:spacing w:val="-2"/>
        </w:rPr>
        <w:t xml:space="preserve"> </w:t>
      </w:r>
      <w:r w:rsidRPr="00EC20A0">
        <w:t>documentation.</w:t>
      </w:r>
      <w:r w:rsidRPr="00EC20A0">
        <w:rPr>
          <w:spacing w:val="-2"/>
        </w:rPr>
        <w:t xml:space="preserve"> </w:t>
      </w:r>
      <w:r w:rsidRPr="00EC20A0">
        <w:t>If</w:t>
      </w:r>
      <w:r w:rsidRPr="00EC20A0">
        <w:rPr>
          <w:spacing w:val="-2"/>
        </w:rPr>
        <w:t xml:space="preserve"> </w:t>
      </w:r>
      <w:r w:rsidRPr="00EC20A0">
        <w:t>the</w:t>
      </w:r>
      <w:r w:rsidRPr="00EC20A0">
        <w:rPr>
          <w:spacing w:val="-2"/>
        </w:rPr>
        <w:t xml:space="preserve"> </w:t>
      </w:r>
      <w:r w:rsidRPr="00EC20A0">
        <w:t>reason</w:t>
      </w:r>
      <w:r w:rsidRPr="00EC20A0">
        <w:rPr>
          <w:spacing w:val="-2"/>
        </w:rPr>
        <w:t xml:space="preserve"> </w:t>
      </w:r>
      <w:r w:rsidRPr="00EC20A0">
        <w:t>that a</w:t>
      </w:r>
      <w:r w:rsidRPr="00EC20A0">
        <w:rPr>
          <w:spacing w:val="-3"/>
        </w:rPr>
        <w:t xml:space="preserve"> </w:t>
      </w:r>
      <w:r w:rsidRPr="00EC20A0">
        <w:t>question</w:t>
      </w:r>
      <w:r w:rsidRPr="00EC20A0">
        <w:rPr>
          <w:spacing w:val="-3"/>
        </w:rPr>
        <w:t xml:space="preserve"> </w:t>
      </w:r>
      <w:r w:rsidRPr="00EC20A0">
        <w:t>is</w:t>
      </w:r>
      <w:r w:rsidRPr="00EC20A0">
        <w:rPr>
          <w:spacing w:val="-3"/>
        </w:rPr>
        <w:t xml:space="preserve"> </w:t>
      </w:r>
      <w:r w:rsidRPr="00EC20A0">
        <w:t>“N/A”</w:t>
      </w:r>
      <w:r w:rsidRPr="00EC20A0">
        <w:rPr>
          <w:spacing w:val="-3"/>
        </w:rPr>
        <w:t xml:space="preserve"> </w:t>
      </w:r>
      <w:r w:rsidRPr="00EC20A0">
        <w:t>is</w:t>
      </w:r>
      <w:r w:rsidRPr="00EC20A0">
        <w:rPr>
          <w:spacing w:val="-3"/>
        </w:rPr>
        <w:t xml:space="preserve"> </w:t>
      </w:r>
      <w:r w:rsidRPr="00EC20A0">
        <w:t>not</w:t>
      </w:r>
      <w:r w:rsidRPr="00EC20A0">
        <w:rPr>
          <w:spacing w:val="-3"/>
        </w:rPr>
        <w:t xml:space="preserve"> </w:t>
      </w:r>
      <w:r w:rsidRPr="00EC20A0">
        <w:t>obvious,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3"/>
        </w:rPr>
        <w:t xml:space="preserve"> </w:t>
      </w:r>
      <w:r w:rsidRPr="00EC20A0">
        <w:t>document</w:t>
      </w:r>
      <w:r w:rsidRPr="00EC20A0">
        <w:rPr>
          <w:spacing w:val="-3"/>
        </w:rPr>
        <w:t xml:space="preserve"> </w:t>
      </w:r>
      <w:r w:rsidRPr="00EC20A0">
        <w:t>the</w:t>
      </w:r>
      <w:r w:rsidRPr="00EC20A0">
        <w:rPr>
          <w:spacing w:val="-3"/>
        </w:rPr>
        <w:t xml:space="preserve"> </w:t>
      </w:r>
      <w:r w:rsidRPr="00EC20A0">
        <w:t>reason</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checklist</w:t>
      </w:r>
      <w:r w:rsidRPr="00EC20A0">
        <w:rPr>
          <w:spacing w:val="-3"/>
        </w:rPr>
        <w:t xml:space="preserve"> </w:t>
      </w:r>
      <w:r w:rsidRPr="00EC20A0">
        <w:t>or</w:t>
      </w:r>
      <w:r w:rsidRPr="00EC20A0">
        <w:rPr>
          <w:spacing w:val="-3"/>
        </w:rPr>
        <w:t xml:space="preserve"> </w:t>
      </w:r>
      <w:r w:rsidRPr="00EC20A0">
        <w:t>in an attachment.</w:t>
      </w:r>
    </w:p>
    <w:p w14:paraId="24D60BA0" w14:textId="77777777" w:rsidR="00245300" w:rsidRPr="00EC20A0" w:rsidRDefault="00245300">
      <w:pPr>
        <w:pStyle w:val="BodyText"/>
        <w:spacing w:before="240"/>
      </w:pPr>
    </w:p>
    <w:p w14:paraId="24D60BA1" w14:textId="77777777" w:rsidR="00245300" w:rsidRPr="00EC20A0" w:rsidRDefault="00F17249">
      <w:pPr>
        <w:pStyle w:val="BodyText"/>
        <w:tabs>
          <w:tab w:val="left" w:pos="5988"/>
        </w:tabs>
        <w:ind w:left="120"/>
        <w:jc w:val="both"/>
      </w:pPr>
      <w:r w:rsidRPr="00EC20A0">
        <w:t>Date</w:t>
      </w:r>
      <w:r w:rsidRPr="00EC20A0">
        <w:rPr>
          <w:spacing w:val="-1"/>
        </w:rPr>
        <w:t xml:space="preserve"> </w:t>
      </w:r>
      <w:r w:rsidRPr="00EC20A0">
        <w:t>of</w:t>
      </w:r>
      <w:r w:rsidRPr="00EC20A0">
        <w:rPr>
          <w:spacing w:val="-1"/>
        </w:rPr>
        <w:t xml:space="preserve"> </w:t>
      </w:r>
      <w:r w:rsidRPr="00EC20A0">
        <w:t>completion</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engagement</w:t>
      </w:r>
      <w:r w:rsidRPr="00EC20A0">
        <w:rPr>
          <w:spacing w:val="-1"/>
        </w:rPr>
        <w:t xml:space="preserve"> </w:t>
      </w:r>
      <w:r w:rsidRPr="00EC20A0">
        <w:rPr>
          <w:u w:val="single"/>
        </w:rPr>
        <w:tab/>
      </w:r>
    </w:p>
    <w:p w14:paraId="24D60BA2" w14:textId="77777777" w:rsidR="00245300" w:rsidRPr="00EC20A0" w:rsidRDefault="00F17249">
      <w:pPr>
        <w:pStyle w:val="BodyText"/>
        <w:tabs>
          <w:tab w:val="left" w:pos="6015"/>
          <w:tab w:val="left" w:pos="6261"/>
          <w:tab w:val="left" w:pos="8621"/>
        </w:tabs>
        <w:spacing w:before="240"/>
        <w:ind w:left="120"/>
      </w:pPr>
      <w:r w:rsidRPr="00EC20A0">
        <w:rPr>
          <w:spacing w:val="-2"/>
        </w:rPr>
        <w:t>Auditor-in-Charge</w:t>
      </w:r>
      <w:r w:rsidRPr="00EC20A0">
        <w:rPr>
          <w:spacing w:val="40"/>
        </w:rPr>
        <w:t xml:space="preserve"> </w:t>
      </w:r>
      <w:r w:rsidRPr="00EC20A0">
        <w:rPr>
          <w:u w:val="single"/>
        </w:rPr>
        <w:tab/>
      </w:r>
      <w:r w:rsidRPr="00EC20A0">
        <w:tab/>
        <w:t xml:space="preserve">Date </w:t>
      </w:r>
      <w:r w:rsidRPr="00EC20A0">
        <w:rPr>
          <w:u w:val="single"/>
        </w:rPr>
        <w:tab/>
      </w:r>
    </w:p>
    <w:p w14:paraId="24D60BA3" w14:textId="77777777" w:rsidR="00245300" w:rsidRPr="00EC20A0" w:rsidRDefault="00F17249">
      <w:pPr>
        <w:pStyle w:val="BodyText"/>
        <w:tabs>
          <w:tab w:val="left" w:pos="6002"/>
          <w:tab w:val="left" w:pos="6248"/>
          <w:tab w:val="left" w:pos="8608"/>
        </w:tabs>
        <w:spacing w:before="241"/>
        <w:ind w:left="120"/>
      </w:pPr>
      <w:r w:rsidRPr="00EC20A0">
        <w:t xml:space="preserve">Assistant </w:t>
      </w:r>
      <w:r w:rsidRPr="00EC20A0">
        <w:t>Director</w:t>
      </w:r>
      <w:r w:rsidRPr="00EC20A0">
        <w:rPr>
          <w:spacing w:val="40"/>
        </w:rPr>
        <w:t xml:space="preserve"> </w:t>
      </w:r>
      <w:r w:rsidRPr="00EC20A0">
        <w:rPr>
          <w:u w:val="single"/>
        </w:rPr>
        <w:tab/>
      </w:r>
      <w:r w:rsidRPr="00EC20A0">
        <w:tab/>
        <w:t xml:space="preserve">Date </w:t>
      </w:r>
      <w:r w:rsidRPr="00EC20A0">
        <w:rPr>
          <w:u w:val="single"/>
        </w:rPr>
        <w:tab/>
      </w:r>
    </w:p>
    <w:p w14:paraId="24D60BA4" w14:textId="77777777" w:rsidR="00245300" w:rsidRPr="00EC20A0" w:rsidRDefault="00F17249">
      <w:pPr>
        <w:pStyle w:val="BodyText"/>
        <w:tabs>
          <w:tab w:val="left" w:pos="6040"/>
          <w:tab w:val="left" w:pos="6288"/>
          <w:tab w:val="left" w:pos="8648"/>
        </w:tabs>
        <w:spacing w:before="240"/>
        <w:ind w:left="120"/>
      </w:pPr>
      <w:r w:rsidRPr="00EC20A0">
        <w:t>Audit Director</w:t>
      </w:r>
      <w:r w:rsidRPr="00EC20A0">
        <w:rPr>
          <w:spacing w:val="80"/>
        </w:rPr>
        <w:t xml:space="preserve"> </w:t>
      </w:r>
      <w:r w:rsidRPr="00EC20A0">
        <w:rPr>
          <w:u w:val="single"/>
        </w:rPr>
        <w:tab/>
      </w:r>
      <w:r w:rsidRPr="00EC20A0">
        <w:tab/>
        <w:t xml:space="preserve">Date </w:t>
      </w:r>
      <w:r w:rsidRPr="00EC20A0">
        <w:rPr>
          <w:u w:val="single"/>
        </w:rPr>
        <w:tab/>
      </w:r>
    </w:p>
    <w:p w14:paraId="24D60BA5" w14:textId="77777777" w:rsidR="00245300" w:rsidRPr="00EC20A0" w:rsidRDefault="00245300">
      <w:pPr>
        <w:sectPr w:rsidR="00245300" w:rsidRPr="00EC20A0">
          <w:pgSz w:w="12240" w:h="15840"/>
          <w:pgMar w:top="1340" w:right="1140" w:bottom="940" w:left="1320" w:header="721" w:footer="757" w:gutter="0"/>
          <w:cols w:space="720"/>
        </w:sectPr>
      </w:pPr>
    </w:p>
    <w:p w14:paraId="24D60BA6" w14:textId="77777777" w:rsidR="00245300" w:rsidRPr="00EC20A0" w:rsidRDefault="00245300">
      <w:pPr>
        <w:pStyle w:val="BodyText"/>
        <w:spacing w:before="9"/>
        <w:rPr>
          <w:sz w:val="11"/>
        </w:rPr>
      </w:pPr>
    </w:p>
    <w:tbl>
      <w:tblPr>
        <w:tblW w:w="0" w:type="auto"/>
        <w:tblInd w:w="23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9270"/>
      </w:tblGrid>
      <w:tr w:rsidR="00245300" w:rsidRPr="00EC20A0" w14:paraId="24D60BA8" w14:textId="77777777">
        <w:trPr>
          <w:trHeight w:val="1524"/>
        </w:trPr>
        <w:tc>
          <w:tcPr>
            <w:tcW w:w="9270" w:type="dxa"/>
          </w:tcPr>
          <w:p w14:paraId="24D60BA7" w14:textId="77777777" w:rsidR="00245300" w:rsidRPr="00EC20A0" w:rsidRDefault="00F17249">
            <w:pPr>
              <w:pStyle w:val="TableParagraph"/>
              <w:spacing w:before="120" w:line="448" w:lineRule="auto"/>
              <w:ind w:left="2840" w:right="810" w:hanging="2014"/>
              <w:rPr>
                <w:b/>
                <w:sz w:val="24"/>
              </w:rPr>
            </w:pPr>
            <w:r w:rsidRPr="00EC20A0">
              <w:rPr>
                <w:b/>
                <w:sz w:val="24"/>
              </w:rPr>
              <w:t>ENGAGEMENT</w:t>
            </w:r>
            <w:r w:rsidRPr="00EC20A0">
              <w:rPr>
                <w:b/>
                <w:spacing w:val="-7"/>
                <w:sz w:val="24"/>
              </w:rPr>
              <w:t xml:space="preserve"> </w:t>
            </w:r>
            <w:r w:rsidRPr="00EC20A0">
              <w:rPr>
                <w:b/>
                <w:sz w:val="24"/>
              </w:rPr>
              <w:t>QUALITY</w:t>
            </w:r>
            <w:r w:rsidRPr="00EC20A0">
              <w:rPr>
                <w:b/>
                <w:spacing w:val="-8"/>
                <w:sz w:val="24"/>
              </w:rPr>
              <w:t xml:space="preserve"> </w:t>
            </w:r>
            <w:r w:rsidRPr="00EC20A0">
              <w:rPr>
                <w:b/>
                <w:sz w:val="24"/>
              </w:rPr>
              <w:t>CONTROL</w:t>
            </w:r>
            <w:r w:rsidRPr="00EC20A0">
              <w:rPr>
                <w:b/>
                <w:spacing w:val="-8"/>
                <w:sz w:val="24"/>
              </w:rPr>
              <w:t xml:space="preserve"> </w:t>
            </w:r>
            <w:r w:rsidRPr="00EC20A0">
              <w:rPr>
                <w:b/>
                <w:sz w:val="24"/>
              </w:rPr>
              <w:t>REVIEW</w:t>
            </w:r>
            <w:r w:rsidRPr="00EC20A0">
              <w:rPr>
                <w:b/>
                <w:spacing w:val="-8"/>
                <w:sz w:val="24"/>
              </w:rPr>
              <w:t xml:space="preserve"> </w:t>
            </w:r>
            <w:r w:rsidRPr="00EC20A0">
              <w:rPr>
                <w:b/>
                <w:sz w:val="24"/>
              </w:rPr>
              <w:t>(SECOND</w:t>
            </w:r>
            <w:r w:rsidRPr="00EC20A0">
              <w:rPr>
                <w:b/>
                <w:spacing w:val="-8"/>
                <w:sz w:val="24"/>
              </w:rPr>
              <w:t xml:space="preserve"> </w:t>
            </w:r>
            <w:r w:rsidRPr="00EC20A0">
              <w:rPr>
                <w:b/>
                <w:sz w:val="24"/>
              </w:rPr>
              <w:t>PARTNER) AGREED-UPON PROCEDURES</w:t>
            </w:r>
          </w:p>
        </w:tc>
      </w:tr>
      <w:tr w:rsidR="00245300" w:rsidRPr="00EC20A0" w14:paraId="24D60BB7" w14:textId="77777777">
        <w:trPr>
          <w:trHeight w:val="8257"/>
        </w:trPr>
        <w:tc>
          <w:tcPr>
            <w:tcW w:w="9270" w:type="dxa"/>
          </w:tcPr>
          <w:p w14:paraId="24D60BA9" w14:textId="77777777" w:rsidR="00245300" w:rsidRPr="00EC20A0" w:rsidRDefault="00F17249">
            <w:pPr>
              <w:pStyle w:val="TableParagraph"/>
              <w:spacing w:before="121"/>
              <w:ind w:left="125" w:right="161"/>
            </w:pPr>
            <w:r w:rsidRPr="00EC20A0">
              <w:rPr>
                <w:b/>
              </w:rPr>
              <w:t>Objective:</w:t>
            </w:r>
            <w:r w:rsidRPr="00EC20A0">
              <w:rPr>
                <w:b/>
                <w:spacing w:val="-4"/>
              </w:rPr>
              <w:t xml:space="preserve"> </w:t>
            </w:r>
            <w:r w:rsidRPr="00EC20A0">
              <w:t>To</w:t>
            </w:r>
            <w:r w:rsidRPr="00EC20A0">
              <w:rPr>
                <w:spacing w:val="-4"/>
              </w:rPr>
              <w:t xml:space="preserve"> </w:t>
            </w:r>
            <w:r w:rsidRPr="00EC20A0">
              <w:t>objectively</w:t>
            </w:r>
            <w:r w:rsidRPr="00EC20A0">
              <w:rPr>
                <w:spacing w:val="-4"/>
              </w:rPr>
              <w:t xml:space="preserve"> </w:t>
            </w:r>
            <w:r w:rsidRPr="00EC20A0">
              <w:t>review</w:t>
            </w:r>
            <w:r w:rsidRPr="00EC20A0">
              <w:rPr>
                <w:spacing w:val="-5"/>
              </w:rPr>
              <w:t xml:space="preserve"> </w:t>
            </w:r>
            <w:r w:rsidRPr="00EC20A0">
              <w:t>significant</w:t>
            </w:r>
            <w:r w:rsidRPr="00EC20A0">
              <w:rPr>
                <w:spacing w:val="-4"/>
              </w:rPr>
              <w:t xml:space="preserve"> </w:t>
            </w:r>
            <w:r w:rsidRPr="00EC20A0">
              <w:t>engagement</w:t>
            </w:r>
            <w:r w:rsidRPr="00EC20A0">
              <w:rPr>
                <w:spacing w:val="-4"/>
              </w:rPr>
              <w:t xml:space="preserve"> </w:t>
            </w:r>
            <w:r w:rsidRPr="00EC20A0">
              <w:t>matters</w:t>
            </w:r>
            <w:r w:rsidRPr="00EC20A0">
              <w:rPr>
                <w:spacing w:val="-4"/>
              </w:rPr>
              <w:t xml:space="preserve"> </w:t>
            </w:r>
            <w:r w:rsidRPr="00EC20A0">
              <w:t>to</w:t>
            </w:r>
            <w:r w:rsidRPr="00EC20A0">
              <w:rPr>
                <w:spacing w:val="-4"/>
              </w:rPr>
              <w:t xml:space="preserve"> </w:t>
            </w:r>
            <w:r w:rsidRPr="00EC20A0">
              <w:t>conclude,</w:t>
            </w:r>
            <w:r w:rsidRPr="00EC20A0">
              <w:rPr>
                <w:spacing w:val="-4"/>
              </w:rPr>
              <w:t xml:space="preserve"> </w:t>
            </w:r>
            <w:r w:rsidRPr="00EC20A0">
              <w:t>based</w:t>
            </w:r>
            <w:r w:rsidRPr="00EC20A0">
              <w:rPr>
                <w:spacing w:val="-5"/>
              </w:rPr>
              <w:t xml:space="preserve"> </w:t>
            </w:r>
            <w:r w:rsidRPr="00EC20A0">
              <w:t>on</w:t>
            </w:r>
            <w:r w:rsidRPr="00EC20A0">
              <w:rPr>
                <w:spacing w:val="-4"/>
              </w:rPr>
              <w:t xml:space="preserve"> </w:t>
            </w:r>
            <w:r w:rsidRPr="00EC20A0">
              <w:t>all facts</w:t>
            </w:r>
            <w:r w:rsidRPr="00EC20A0">
              <w:rPr>
                <w:spacing w:val="-2"/>
              </w:rPr>
              <w:t xml:space="preserve"> </w:t>
            </w:r>
            <w:r w:rsidRPr="00EC20A0">
              <w:t>the</w:t>
            </w:r>
            <w:r w:rsidRPr="00EC20A0">
              <w:rPr>
                <w:spacing w:val="-2"/>
              </w:rPr>
              <w:t xml:space="preserve"> </w:t>
            </w:r>
            <w:r w:rsidRPr="00EC20A0">
              <w:t>second</w:t>
            </w:r>
            <w:r w:rsidRPr="00EC20A0">
              <w:rPr>
                <w:spacing w:val="-2"/>
              </w:rPr>
              <w:t xml:space="preserve"> </w:t>
            </w:r>
            <w:r w:rsidRPr="00EC20A0">
              <w:t>partner</w:t>
            </w:r>
            <w:r w:rsidRPr="00EC20A0">
              <w:rPr>
                <w:spacing w:val="-2"/>
              </w:rPr>
              <w:t xml:space="preserve"> </w:t>
            </w:r>
            <w:r w:rsidRPr="00EC20A0">
              <w:t>(or</w:t>
            </w:r>
            <w:r w:rsidRPr="00EC20A0">
              <w:rPr>
                <w:spacing w:val="-2"/>
              </w:rPr>
              <w:t xml:space="preserve"> </w:t>
            </w:r>
            <w:r w:rsidRPr="00EC20A0">
              <w:t>equivalent)</w:t>
            </w:r>
            <w:r w:rsidRPr="00EC20A0">
              <w:rPr>
                <w:spacing w:val="-2"/>
              </w:rPr>
              <w:t xml:space="preserve"> </w:t>
            </w:r>
            <w:r w:rsidRPr="00EC20A0">
              <w:t>has</w:t>
            </w:r>
            <w:r w:rsidRPr="00EC20A0">
              <w:rPr>
                <w:spacing w:val="-2"/>
              </w:rPr>
              <w:t xml:space="preserve"> </w:t>
            </w:r>
            <w:r w:rsidRPr="00EC20A0">
              <w:t>knowledge</w:t>
            </w:r>
            <w:r w:rsidRPr="00EC20A0">
              <w:rPr>
                <w:spacing w:val="-2"/>
              </w:rPr>
              <w:t xml:space="preserve"> </w:t>
            </w:r>
            <w:r w:rsidRPr="00EC20A0">
              <w:t>of,</w:t>
            </w:r>
            <w:r w:rsidRPr="00EC20A0">
              <w:rPr>
                <w:spacing w:val="-2"/>
              </w:rPr>
              <w:t xml:space="preserve"> </w:t>
            </w:r>
            <w:r w:rsidRPr="00EC20A0">
              <w:t>that</w:t>
            </w:r>
            <w:r w:rsidRPr="00EC20A0">
              <w:rPr>
                <w:spacing w:val="-2"/>
              </w:rPr>
              <w:t xml:space="preserve"> </w:t>
            </w:r>
            <w:r w:rsidRPr="00EC20A0">
              <w:t>no</w:t>
            </w:r>
            <w:r w:rsidRPr="00EC20A0">
              <w:rPr>
                <w:spacing w:val="-2"/>
              </w:rPr>
              <w:t xml:space="preserve"> </w:t>
            </w:r>
            <w:r w:rsidRPr="00EC20A0">
              <w:t>matters</w:t>
            </w:r>
            <w:r w:rsidRPr="00EC20A0">
              <w:rPr>
                <w:spacing w:val="-2"/>
              </w:rPr>
              <w:t xml:space="preserve"> </w:t>
            </w:r>
            <w:r w:rsidRPr="00EC20A0">
              <w:t>were</w:t>
            </w:r>
            <w:r w:rsidRPr="00EC20A0">
              <w:rPr>
                <w:spacing w:val="-2"/>
              </w:rPr>
              <w:t xml:space="preserve"> </w:t>
            </w:r>
            <w:r w:rsidRPr="00EC20A0">
              <w:t>found</w:t>
            </w:r>
            <w:r w:rsidRPr="00EC20A0">
              <w:rPr>
                <w:spacing w:val="-2"/>
              </w:rPr>
              <w:t xml:space="preserve"> </w:t>
            </w:r>
            <w:r w:rsidRPr="00EC20A0">
              <w:t>that caused the second partner (or equivalent) to believe that (1) the procedures were not performed in accordance with GAGAS, which incorporate financial audit and attestation standards established by the AICPA, and (2) the report does not meet professional standards and audit organization policies.</w:t>
            </w:r>
          </w:p>
          <w:p w14:paraId="24D60BAA" w14:textId="77777777" w:rsidR="00245300" w:rsidRPr="00EC20A0" w:rsidRDefault="00F17249">
            <w:pPr>
              <w:pStyle w:val="TableParagraph"/>
              <w:spacing w:before="240"/>
              <w:ind w:left="125"/>
            </w:pPr>
            <w:r w:rsidRPr="00EC20A0">
              <w:rPr>
                <w:b/>
              </w:rPr>
              <w:t>Procedures:</w:t>
            </w:r>
            <w:r w:rsidRPr="00EC20A0">
              <w:rPr>
                <w:b/>
                <w:spacing w:val="-7"/>
              </w:rPr>
              <w:t xml:space="preserve"> </w:t>
            </w:r>
            <w:r w:rsidRPr="00EC20A0">
              <w:t>Before</w:t>
            </w:r>
            <w:r w:rsidRPr="00EC20A0">
              <w:rPr>
                <w:spacing w:val="-7"/>
              </w:rPr>
              <w:t xml:space="preserve"> </w:t>
            </w:r>
            <w:r w:rsidRPr="00EC20A0">
              <w:t>the</w:t>
            </w:r>
            <w:r w:rsidRPr="00EC20A0">
              <w:rPr>
                <w:spacing w:val="-7"/>
              </w:rPr>
              <w:t xml:space="preserve"> </w:t>
            </w:r>
            <w:r w:rsidRPr="00EC20A0">
              <w:t>report</w:t>
            </w:r>
            <w:r w:rsidRPr="00EC20A0">
              <w:rPr>
                <w:spacing w:val="-7"/>
              </w:rPr>
              <w:t xml:space="preserve"> </w:t>
            </w:r>
            <w:r w:rsidRPr="00EC20A0">
              <w:t>was</w:t>
            </w:r>
            <w:r w:rsidRPr="00EC20A0">
              <w:rPr>
                <w:spacing w:val="-7"/>
              </w:rPr>
              <w:t xml:space="preserve"> </w:t>
            </w:r>
            <w:r w:rsidRPr="00EC20A0">
              <w:t>issued,</w:t>
            </w:r>
            <w:r w:rsidRPr="00EC20A0">
              <w:rPr>
                <w:spacing w:val="-7"/>
              </w:rPr>
              <w:t xml:space="preserve"> </w:t>
            </w:r>
            <w:r w:rsidRPr="00EC20A0">
              <w:t>I</w:t>
            </w:r>
            <w:r w:rsidRPr="00EC20A0">
              <w:rPr>
                <w:spacing w:val="-7"/>
              </w:rPr>
              <w:t xml:space="preserve"> </w:t>
            </w:r>
            <w:r w:rsidRPr="00EC20A0">
              <w:t>performed</w:t>
            </w:r>
            <w:r w:rsidRPr="00EC20A0">
              <w:rPr>
                <w:spacing w:val="-7"/>
              </w:rPr>
              <w:t xml:space="preserve"> </w:t>
            </w:r>
            <w:r w:rsidRPr="00EC20A0">
              <w:t>the</w:t>
            </w:r>
            <w:r w:rsidRPr="00EC20A0">
              <w:rPr>
                <w:spacing w:val="-7"/>
              </w:rPr>
              <w:t xml:space="preserve"> </w:t>
            </w:r>
            <w:r w:rsidRPr="00EC20A0">
              <w:t>following</w:t>
            </w:r>
            <w:r w:rsidRPr="00EC20A0">
              <w:rPr>
                <w:spacing w:val="-7"/>
              </w:rPr>
              <w:t xml:space="preserve"> </w:t>
            </w:r>
            <w:r w:rsidRPr="00EC20A0">
              <w:rPr>
                <w:spacing w:val="-2"/>
              </w:rPr>
              <w:t>procedures:</w:t>
            </w:r>
          </w:p>
          <w:p w14:paraId="24D60BAB" w14:textId="77777777" w:rsidR="00245300" w:rsidRPr="00EC20A0" w:rsidRDefault="00F17249">
            <w:pPr>
              <w:pStyle w:val="TableParagraph"/>
              <w:numPr>
                <w:ilvl w:val="0"/>
                <w:numId w:val="160"/>
              </w:numPr>
              <w:tabs>
                <w:tab w:val="left" w:pos="484"/>
              </w:tabs>
              <w:spacing w:before="119" w:line="269" w:lineRule="exact"/>
              <w:ind w:left="484" w:hanging="359"/>
            </w:pPr>
            <w:r w:rsidRPr="00EC20A0">
              <w:t>as</w:t>
            </w:r>
            <w:r w:rsidRPr="00EC20A0">
              <w:rPr>
                <w:spacing w:val="-9"/>
              </w:rPr>
              <w:t xml:space="preserve"> </w:t>
            </w:r>
            <w:r w:rsidRPr="00EC20A0">
              <w:t>necessary,</w:t>
            </w:r>
            <w:r w:rsidRPr="00EC20A0">
              <w:rPr>
                <w:spacing w:val="-8"/>
              </w:rPr>
              <w:t xml:space="preserve"> </w:t>
            </w:r>
            <w:r w:rsidRPr="00EC20A0">
              <w:t>discussed</w:t>
            </w:r>
            <w:r w:rsidRPr="00EC20A0">
              <w:rPr>
                <w:spacing w:val="-9"/>
              </w:rPr>
              <w:t xml:space="preserve"> </w:t>
            </w:r>
            <w:r w:rsidRPr="00EC20A0">
              <w:t>significant</w:t>
            </w:r>
            <w:r w:rsidRPr="00EC20A0">
              <w:rPr>
                <w:spacing w:val="-8"/>
              </w:rPr>
              <w:t xml:space="preserve"> </w:t>
            </w:r>
            <w:r w:rsidRPr="00EC20A0">
              <w:t>engagement</w:t>
            </w:r>
            <w:r w:rsidRPr="00EC20A0">
              <w:rPr>
                <w:spacing w:val="-8"/>
              </w:rPr>
              <w:t xml:space="preserve"> </w:t>
            </w:r>
            <w:r w:rsidRPr="00EC20A0">
              <w:t>issues</w:t>
            </w:r>
            <w:r w:rsidRPr="00EC20A0">
              <w:rPr>
                <w:spacing w:val="-8"/>
              </w:rPr>
              <w:t xml:space="preserve"> </w:t>
            </w:r>
            <w:r w:rsidRPr="00EC20A0">
              <w:t>with</w:t>
            </w:r>
            <w:r w:rsidRPr="00EC20A0">
              <w:rPr>
                <w:spacing w:val="-8"/>
              </w:rPr>
              <w:t xml:space="preserve"> </w:t>
            </w:r>
            <w:r w:rsidRPr="00EC20A0">
              <w:t>the</w:t>
            </w:r>
            <w:r w:rsidRPr="00EC20A0">
              <w:rPr>
                <w:spacing w:val="-8"/>
              </w:rPr>
              <w:t xml:space="preserve"> </w:t>
            </w:r>
            <w:r w:rsidRPr="00EC20A0">
              <w:t>audit</w:t>
            </w:r>
            <w:r w:rsidRPr="00EC20A0">
              <w:rPr>
                <w:spacing w:val="-8"/>
              </w:rPr>
              <w:t xml:space="preserve"> </w:t>
            </w:r>
            <w:r w:rsidRPr="00EC20A0">
              <w:rPr>
                <w:spacing w:val="-2"/>
              </w:rPr>
              <w:t>director;</w:t>
            </w:r>
          </w:p>
          <w:p w14:paraId="24D60BAC" w14:textId="77777777" w:rsidR="00245300" w:rsidRPr="00EC20A0" w:rsidRDefault="00F17249">
            <w:pPr>
              <w:pStyle w:val="TableParagraph"/>
              <w:numPr>
                <w:ilvl w:val="0"/>
                <w:numId w:val="160"/>
              </w:numPr>
              <w:tabs>
                <w:tab w:val="left" w:pos="484"/>
              </w:tabs>
              <w:spacing w:line="268" w:lineRule="exact"/>
              <w:ind w:left="484" w:hanging="359"/>
            </w:pPr>
            <w:r w:rsidRPr="00EC20A0">
              <w:t>read</w:t>
            </w:r>
            <w:r w:rsidRPr="00EC20A0">
              <w:rPr>
                <w:spacing w:val="-7"/>
              </w:rPr>
              <w:t xml:space="preserve"> </w:t>
            </w:r>
            <w:r w:rsidRPr="00EC20A0">
              <w:t>documentation</w:t>
            </w:r>
            <w:r w:rsidRPr="00EC20A0">
              <w:rPr>
                <w:spacing w:val="-7"/>
              </w:rPr>
              <w:t xml:space="preserve"> </w:t>
            </w:r>
            <w:r w:rsidRPr="00EC20A0">
              <w:t>of</w:t>
            </w:r>
            <w:r w:rsidRPr="00EC20A0">
              <w:rPr>
                <w:spacing w:val="-7"/>
              </w:rPr>
              <w:t xml:space="preserve"> </w:t>
            </w:r>
            <w:r w:rsidRPr="00EC20A0">
              <w:t>key</w:t>
            </w:r>
            <w:r w:rsidRPr="00EC20A0">
              <w:rPr>
                <w:spacing w:val="-6"/>
              </w:rPr>
              <w:t xml:space="preserve"> </w:t>
            </w:r>
            <w:r w:rsidRPr="00EC20A0">
              <w:t>decisions</w:t>
            </w:r>
            <w:r w:rsidRPr="00EC20A0">
              <w:rPr>
                <w:spacing w:val="-8"/>
              </w:rPr>
              <w:t xml:space="preserve"> </w:t>
            </w:r>
            <w:r w:rsidRPr="00EC20A0">
              <w:t>and</w:t>
            </w:r>
            <w:r w:rsidRPr="00EC20A0">
              <w:rPr>
                <w:spacing w:val="-6"/>
              </w:rPr>
              <w:t xml:space="preserve"> </w:t>
            </w:r>
            <w:r w:rsidRPr="00EC20A0">
              <w:rPr>
                <w:spacing w:val="-2"/>
              </w:rPr>
              <w:t>consultations;</w:t>
            </w:r>
          </w:p>
          <w:p w14:paraId="24D60BAD" w14:textId="77777777" w:rsidR="00245300" w:rsidRPr="00EC20A0" w:rsidRDefault="00F17249">
            <w:pPr>
              <w:pStyle w:val="TableParagraph"/>
              <w:numPr>
                <w:ilvl w:val="0"/>
                <w:numId w:val="160"/>
              </w:numPr>
              <w:tabs>
                <w:tab w:val="left" w:pos="484"/>
              </w:tabs>
              <w:spacing w:line="268" w:lineRule="exact"/>
              <w:ind w:left="484"/>
            </w:pPr>
            <w:r w:rsidRPr="00EC20A0">
              <w:t>read</w:t>
            </w:r>
            <w:r w:rsidRPr="00EC20A0">
              <w:rPr>
                <w:spacing w:val="-8"/>
              </w:rPr>
              <w:t xml:space="preserve"> </w:t>
            </w:r>
            <w:r w:rsidRPr="00EC20A0">
              <w:t>the</w:t>
            </w:r>
            <w:r w:rsidRPr="00EC20A0">
              <w:rPr>
                <w:spacing w:val="-8"/>
              </w:rPr>
              <w:t xml:space="preserve"> </w:t>
            </w:r>
            <w:r w:rsidRPr="00EC20A0">
              <w:t>agreed-upon</w:t>
            </w:r>
            <w:r w:rsidRPr="00EC20A0">
              <w:rPr>
                <w:spacing w:val="-7"/>
              </w:rPr>
              <w:t xml:space="preserve"> </w:t>
            </w:r>
            <w:r w:rsidRPr="00EC20A0">
              <w:t>procedures</w:t>
            </w:r>
            <w:r w:rsidRPr="00EC20A0">
              <w:rPr>
                <w:spacing w:val="-8"/>
              </w:rPr>
              <w:t xml:space="preserve"> </w:t>
            </w:r>
            <w:r w:rsidRPr="00EC20A0">
              <w:t>report;</w:t>
            </w:r>
            <w:r w:rsidRPr="00EC20A0">
              <w:rPr>
                <w:spacing w:val="-8"/>
              </w:rPr>
              <w:t xml:space="preserve"> </w:t>
            </w:r>
            <w:r w:rsidRPr="00EC20A0">
              <w:rPr>
                <w:spacing w:val="-5"/>
              </w:rPr>
              <w:t>and</w:t>
            </w:r>
          </w:p>
          <w:p w14:paraId="24D60BAE" w14:textId="77777777" w:rsidR="00245300" w:rsidRPr="00EC20A0" w:rsidRDefault="00F17249">
            <w:pPr>
              <w:pStyle w:val="TableParagraph"/>
              <w:numPr>
                <w:ilvl w:val="0"/>
                <w:numId w:val="160"/>
              </w:numPr>
              <w:tabs>
                <w:tab w:val="left" w:pos="484"/>
              </w:tabs>
              <w:spacing w:line="269" w:lineRule="exact"/>
              <w:ind w:left="484"/>
            </w:pPr>
            <w:r w:rsidRPr="00EC20A0">
              <w:t>confirmed</w:t>
            </w:r>
            <w:r w:rsidRPr="00EC20A0">
              <w:rPr>
                <w:spacing w:val="-6"/>
              </w:rPr>
              <w:t xml:space="preserve"> </w:t>
            </w:r>
            <w:r w:rsidRPr="00EC20A0">
              <w:t>with</w:t>
            </w:r>
            <w:r w:rsidRPr="00EC20A0">
              <w:rPr>
                <w:spacing w:val="-6"/>
              </w:rPr>
              <w:t xml:space="preserve"> </w:t>
            </w:r>
            <w:r w:rsidRPr="00EC20A0">
              <w:t>the</w:t>
            </w:r>
            <w:r w:rsidRPr="00EC20A0">
              <w:rPr>
                <w:spacing w:val="-5"/>
              </w:rPr>
              <w:t xml:space="preserve"> </w:t>
            </w:r>
            <w:r w:rsidRPr="00EC20A0">
              <w:t>audit</w:t>
            </w:r>
            <w:r w:rsidRPr="00EC20A0">
              <w:rPr>
                <w:spacing w:val="-7"/>
              </w:rPr>
              <w:t xml:space="preserve"> </w:t>
            </w:r>
            <w:r w:rsidRPr="00EC20A0">
              <w:t>director</w:t>
            </w:r>
            <w:r w:rsidRPr="00EC20A0">
              <w:rPr>
                <w:spacing w:val="-5"/>
              </w:rPr>
              <w:t xml:space="preserve"> </w:t>
            </w:r>
            <w:r w:rsidRPr="00EC20A0">
              <w:t>that</w:t>
            </w:r>
            <w:r w:rsidRPr="00EC20A0">
              <w:rPr>
                <w:spacing w:val="-7"/>
              </w:rPr>
              <w:t xml:space="preserve"> </w:t>
            </w:r>
            <w:r w:rsidRPr="00EC20A0">
              <w:t>there</w:t>
            </w:r>
            <w:r w:rsidRPr="00EC20A0">
              <w:rPr>
                <w:spacing w:val="-6"/>
              </w:rPr>
              <w:t xml:space="preserve"> </w:t>
            </w:r>
            <w:r w:rsidRPr="00EC20A0">
              <w:t>are</w:t>
            </w:r>
            <w:r w:rsidRPr="00EC20A0">
              <w:rPr>
                <w:spacing w:val="-5"/>
              </w:rPr>
              <w:t xml:space="preserve"> </w:t>
            </w:r>
            <w:r w:rsidRPr="00EC20A0">
              <w:t>no</w:t>
            </w:r>
            <w:r w:rsidRPr="00EC20A0">
              <w:rPr>
                <w:spacing w:val="-6"/>
              </w:rPr>
              <w:t xml:space="preserve"> </w:t>
            </w:r>
            <w:r w:rsidRPr="00EC20A0">
              <w:t>unresolved</w:t>
            </w:r>
            <w:r w:rsidRPr="00EC20A0">
              <w:rPr>
                <w:spacing w:val="-6"/>
              </w:rPr>
              <w:t xml:space="preserve"> </w:t>
            </w:r>
            <w:r w:rsidRPr="00EC20A0">
              <w:rPr>
                <w:spacing w:val="-2"/>
              </w:rPr>
              <w:t>issues.</w:t>
            </w:r>
          </w:p>
          <w:p w14:paraId="24D60BAF" w14:textId="77777777" w:rsidR="00245300" w:rsidRPr="00EC20A0" w:rsidRDefault="00F17249">
            <w:pPr>
              <w:pStyle w:val="TableParagraph"/>
              <w:spacing w:before="119"/>
              <w:ind w:left="124" w:right="161"/>
            </w:pPr>
            <w:r w:rsidRPr="00EC20A0">
              <w:rPr>
                <w:b/>
              </w:rPr>
              <w:t>Conclusions:</w:t>
            </w:r>
            <w:r w:rsidRPr="00EC20A0">
              <w:rPr>
                <w:b/>
                <w:spacing w:val="-3"/>
              </w:rPr>
              <w:t xml:space="preserve"> </w:t>
            </w:r>
            <w:r w:rsidRPr="00EC20A0">
              <w:t>Based</w:t>
            </w:r>
            <w:r w:rsidRPr="00EC20A0">
              <w:rPr>
                <w:spacing w:val="-3"/>
              </w:rPr>
              <w:t xml:space="preserve"> </w:t>
            </w:r>
            <w:r w:rsidRPr="00EC20A0">
              <w:t>on</w:t>
            </w:r>
            <w:r w:rsidRPr="00EC20A0">
              <w:rPr>
                <w:spacing w:val="-3"/>
              </w:rPr>
              <w:t xml:space="preserve"> </w:t>
            </w:r>
            <w:r w:rsidRPr="00EC20A0">
              <w:t>all</w:t>
            </w:r>
            <w:r w:rsidRPr="00EC20A0">
              <w:rPr>
                <w:spacing w:val="-3"/>
              </w:rPr>
              <w:t xml:space="preserve"> </w:t>
            </w:r>
            <w:r w:rsidRPr="00EC20A0">
              <w:t>the</w:t>
            </w:r>
            <w:r w:rsidRPr="00EC20A0">
              <w:rPr>
                <w:spacing w:val="-3"/>
              </w:rPr>
              <w:t xml:space="preserve"> </w:t>
            </w:r>
            <w:r w:rsidRPr="00EC20A0">
              <w:t>relevant</w:t>
            </w:r>
            <w:r w:rsidRPr="00EC20A0">
              <w:rPr>
                <w:spacing w:val="-3"/>
              </w:rPr>
              <w:t xml:space="preserve"> </w:t>
            </w:r>
            <w:r w:rsidRPr="00EC20A0">
              <w:t>facts</w:t>
            </w:r>
            <w:r w:rsidRPr="00EC20A0">
              <w:rPr>
                <w:spacing w:val="-3"/>
              </w:rPr>
              <w:t xml:space="preserve"> </w:t>
            </w:r>
            <w:r w:rsidRPr="00EC20A0">
              <w:t>of</w:t>
            </w:r>
            <w:r w:rsidRPr="00EC20A0">
              <w:rPr>
                <w:spacing w:val="-4"/>
              </w:rPr>
              <w:t xml:space="preserve"> </w:t>
            </w:r>
            <w:r w:rsidRPr="00EC20A0">
              <w:t>which</w:t>
            </w:r>
            <w:r w:rsidRPr="00EC20A0">
              <w:rPr>
                <w:spacing w:val="-3"/>
              </w:rPr>
              <w:t xml:space="preserve"> </w:t>
            </w:r>
            <w:r w:rsidRPr="00EC20A0">
              <w:t>I</w:t>
            </w:r>
            <w:r w:rsidRPr="00EC20A0">
              <w:rPr>
                <w:spacing w:val="-3"/>
              </w:rPr>
              <w:t xml:space="preserve"> </w:t>
            </w:r>
            <w:r w:rsidRPr="00EC20A0">
              <w:t>have</w:t>
            </w:r>
            <w:r w:rsidRPr="00EC20A0">
              <w:rPr>
                <w:spacing w:val="-4"/>
              </w:rPr>
              <w:t xml:space="preserve"> </w:t>
            </w:r>
            <w:r w:rsidRPr="00EC20A0">
              <w:t>knowledge,</w:t>
            </w:r>
            <w:r w:rsidRPr="00EC20A0">
              <w:rPr>
                <w:spacing w:val="-4"/>
              </w:rPr>
              <w:t xml:space="preserve"> </w:t>
            </w:r>
            <w:r w:rsidRPr="00EC20A0">
              <w:t>I</w:t>
            </w:r>
            <w:r w:rsidRPr="00EC20A0">
              <w:rPr>
                <w:spacing w:val="-3"/>
              </w:rPr>
              <w:t xml:space="preserve"> </w:t>
            </w:r>
            <w:r w:rsidRPr="00EC20A0">
              <w:t>found</w:t>
            </w:r>
            <w:r w:rsidRPr="00EC20A0">
              <w:rPr>
                <w:spacing w:val="-3"/>
              </w:rPr>
              <w:t xml:space="preserve"> </w:t>
            </w:r>
            <w:r w:rsidRPr="00EC20A0">
              <w:t>no</w:t>
            </w:r>
            <w:r w:rsidRPr="00EC20A0">
              <w:rPr>
                <w:spacing w:val="-4"/>
              </w:rPr>
              <w:t xml:space="preserve"> </w:t>
            </w:r>
            <w:r w:rsidRPr="00EC20A0">
              <w:t>matters that caused me to believe that (1) the agreed-upon procedures were not performed in accordance with GAGAS and the AICPA’s attestation standards related to agreed-upon procedures engagements and (2) the report is not in accordance with professional standards and audit organization policies.</w:t>
            </w:r>
          </w:p>
          <w:p w14:paraId="24D60BB0" w14:textId="77777777" w:rsidR="00245300" w:rsidRPr="00EC20A0" w:rsidRDefault="00F17249">
            <w:pPr>
              <w:pStyle w:val="TableParagraph"/>
              <w:spacing w:before="240"/>
              <w:ind w:left="125" w:right="810"/>
            </w:pPr>
            <w:r w:rsidRPr="00EC20A0">
              <w:t>In</w:t>
            </w:r>
            <w:r w:rsidRPr="00EC20A0">
              <w:rPr>
                <w:spacing w:val="-3"/>
              </w:rPr>
              <w:t xml:space="preserve"> </w:t>
            </w:r>
            <w:r w:rsidRPr="00EC20A0">
              <w:t>signing</w:t>
            </w:r>
            <w:r w:rsidRPr="00EC20A0">
              <w:rPr>
                <w:spacing w:val="-3"/>
              </w:rPr>
              <w:t xml:space="preserve"> </w:t>
            </w:r>
            <w:r w:rsidRPr="00EC20A0">
              <w:t>this</w:t>
            </w:r>
            <w:r w:rsidRPr="00EC20A0">
              <w:rPr>
                <w:spacing w:val="-3"/>
              </w:rPr>
              <w:t xml:space="preserve"> </w:t>
            </w:r>
            <w:r w:rsidRPr="00EC20A0">
              <w:t>form,</w:t>
            </w:r>
            <w:r w:rsidRPr="00EC20A0">
              <w:rPr>
                <w:spacing w:val="-3"/>
              </w:rPr>
              <w:t xml:space="preserve"> </w:t>
            </w:r>
            <w:r w:rsidRPr="00EC20A0">
              <w:t>I</w:t>
            </w:r>
            <w:r w:rsidRPr="00EC20A0">
              <w:rPr>
                <w:spacing w:val="-3"/>
              </w:rPr>
              <w:t xml:space="preserve"> </w:t>
            </w:r>
            <w:r w:rsidRPr="00EC20A0">
              <w:t>acknowledge</w:t>
            </w:r>
            <w:r w:rsidRPr="00EC20A0">
              <w:rPr>
                <w:spacing w:val="-3"/>
              </w:rPr>
              <w:t xml:space="preserve"> </w:t>
            </w:r>
            <w:r w:rsidRPr="00EC20A0">
              <w:t>that</w:t>
            </w:r>
            <w:r w:rsidRPr="00EC20A0">
              <w:rPr>
                <w:spacing w:val="-3"/>
              </w:rPr>
              <w:t xml:space="preserve"> </w:t>
            </w:r>
            <w:r w:rsidRPr="00EC20A0">
              <w:t>there</w:t>
            </w:r>
            <w:r w:rsidRPr="00EC20A0">
              <w:rPr>
                <w:spacing w:val="-3"/>
              </w:rPr>
              <w:t xml:space="preserve"> </w:t>
            </w:r>
            <w:r w:rsidRPr="00EC20A0">
              <w:t>have</w:t>
            </w:r>
            <w:r w:rsidRPr="00EC20A0">
              <w:rPr>
                <w:spacing w:val="-3"/>
              </w:rPr>
              <w:t xml:space="preserve"> </w:t>
            </w:r>
            <w:r w:rsidRPr="00EC20A0">
              <w:t>been</w:t>
            </w:r>
            <w:r w:rsidRPr="00EC20A0">
              <w:rPr>
                <w:spacing w:val="-3"/>
              </w:rPr>
              <w:t xml:space="preserve"> </w:t>
            </w:r>
            <w:r w:rsidRPr="00EC20A0">
              <w:t>no</w:t>
            </w:r>
            <w:r w:rsidRPr="00EC20A0">
              <w:rPr>
                <w:spacing w:val="-4"/>
              </w:rPr>
              <w:t xml:space="preserve"> </w:t>
            </w:r>
            <w:r w:rsidRPr="00EC20A0">
              <w:t>personal</w:t>
            </w:r>
            <w:r w:rsidRPr="00EC20A0">
              <w:rPr>
                <w:spacing w:val="-3"/>
              </w:rPr>
              <w:t xml:space="preserve"> </w:t>
            </w:r>
            <w:r w:rsidRPr="00EC20A0">
              <w:t>or</w:t>
            </w:r>
            <w:r w:rsidRPr="00EC20A0">
              <w:rPr>
                <w:spacing w:val="-5"/>
              </w:rPr>
              <w:t xml:space="preserve"> </w:t>
            </w:r>
            <w:r w:rsidRPr="00EC20A0">
              <w:t>external impairments to independence regarding my work on this engagement.</w:t>
            </w:r>
          </w:p>
          <w:p w14:paraId="24D60BB1" w14:textId="77777777" w:rsidR="00245300" w:rsidRPr="00EC20A0" w:rsidRDefault="00245300">
            <w:pPr>
              <w:pStyle w:val="TableParagraph"/>
              <w:rPr>
                <w:sz w:val="20"/>
              </w:rPr>
            </w:pPr>
          </w:p>
          <w:p w14:paraId="24D60BB2" w14:textId="77777777" w:rsidR="00245300" w:rsidRPr="00EC20A0" w:rsidRDefault="00245300">
            <w:pPr>
              <w:pStyle w:val="TableParagraph"/>
              <w:rPr>
                <w:sz w:val="20"/>
              </w:rPr>
            </w:pPr>
          </w:p>
          <w:p w14:paraId="24D60BB3" w14:textId="77777777" w:rsidR="00245300" w:rsidRPr="00EC20A0" w:rsidRDefault="00245300">
            <w:pPr>
              <w:pStyle w:val="TableParagraph"/>
              <w:rPr>
                <w:sz w:val="20"/>
              </w:rPr>
            </w:pPr>
          </w:p>
          <w:p w14:paraId="24D60BB4" w14:textId="77777777" w:rsidR="00245300" w:rsidRPr="00EC20A0" w:rsidRDefault="00245300">
            <w:pPr>
              <w:pStyle w:val="TableParagraph"/>
              <w:spacing w:before="42"/>
              <w:rPr>
                <w:sz w:val="20"/>
              </w:rPr>
            </w:pPr>
          </w:p>
          <w:p w14:paraId="24D60BB5" w14:textId="77777777" w:rsidR="00245300" w:rsidRPr="00EC20A0" w:rsidRDefault="00F17249">
            <w:pPr>
              <w:pStyle w:val="TableParagraph"/>
              <w:spacing w:line="20" w:lineRule="exact"/>
              <w:ind w:left="118"/>
              <w:rPr>
                <w:sz w:val="2"/>
              </w:rPr>
            </w:pPr>
            <w:r w:rsidRPr="00EC20A0">
              <w:rPr>
                <w:noProof/>
                <w:sz w:val="2"/>
              </w:rPr>
              <mc:AlternateContent>
                <mc:Choice Requires="wpg">
                  <w:drawing>
                    <wp:inline distT="0" distB="0" distL="0" distR="0" wp14:anchorId="24D62B0D" wp14:editId="24D62B0E">
                      <wp:extent cx="5285740" cy="13335"/>
                      <wp:effectExtent l="9525" t="0" r="0" b="5714"/>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740" cy="13335"/>
                                <a:chOff x="0" y="0"/>
                                <a:chExt cx="5285740" cy="13335"/>
                              </a:xfrm>
                            </wpg:grpSpPr>
                            <wps:wsp>
                              <wps:cNvPr id="254" name="Graphic 254"/>
                              <wps:cNvSpPr/>
                              <wps:spPr>
                                <a:xfrm>
                                  <a:off x="0" y="8879"/>
                                  <a:ext cx="5281930" cy="1270"/>
                                </a:xfrm>
                                <a:custGeom>
                                  <a:avLst/>
                                  <a:gdLst/>
                                  <a:ahLst/>
                                  <a:cxnLst/>
                                  <a:rect l="l" t="t" r="r" b="b"/>
                                  <a:pathLst>
                                    <a:path w="5281930">
                                      <a:moveTo>
                                        <a:pt x="0" y="0"/>
                                      </a:moveTo>
                                      <a:lnTo>
                                        <a:pt x="5281656" y="0"/>
                                      </a:lnTo>
                                    </a:path>
                                  </a:pathLst>
                                </a:custGeom>
                                <a:ln w="8785">
                                  <a:solidFill>
                                    <a:srgbClr val="000000"/>
                                  </a:solidFill>
                                  <a:prstDash val="solid"/>
                                </a:ln>
                              </wps:spPr>
                              <wps:bodyPr wrap="square" lIns="0" tIns="0" rIns="0" bIns="0" rtlCol="0">
                                <a:prstTxWarp prst="textNoShape">
                                  <a:avLst/>
                                </a:prstTxWarp>
                                <a:noAutofit/>
                              </wps:bodyPr>
                            </wps:wsp>
                            <wps:wsp>
                              <wps:cNvPr id="255" name="Graphic 255"/>
                              <wps:cNvSpPr/>
                              <wps:spPr>
                                <a:xfrm>
                                  <a:off x="0" y="0"/>
                                  <a:ext cx="5285740" cy="10160"/>
                                </a:xfrm>
                                <a:custGeom>
                                  <a:avLst/>
                                  <a:gdLst/>
                                  <a:ahLst/>
                                  <a:cxnLst/>
                                  <a:rect l="l" t="t" r="r" b="b"/>
                                  <a:pathLst>
                                    <a:path w="5285740" h="10160">
                                      <a:moveTo>
                                        <a:pt x="5285232" y="0"/>
                                      </a:moveTo>
                                      <a:lnTo>
                                        <a:pt x="0" y="0"/>
                                      </a:lnTo>
                                      <a:lnTo>
                                        <a:pt x="0" y="9905"/>
                                      </a:lnTo>
                                      <a:lnTo>
                                        <a:pt x="5285232" y="9905"/>
                                      </a:lnTo>
                                      <a:lnTo>
                                        <a:pt x="52852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CBB119" id="Group 253" o:spid="_x0000_s1026" style="width:416.2pt;height:1.05pt;mso-position-horizontal-relative:char;mso-position-vertical-relative:line" coordsize="5285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">
                      <v:shape id="Graphic 254" o:spid="_x0000_s1027" style="position:absolute;top:88;width:52819;height:13;visibility:visible;mso-wrap-style:square;v-text-anchor:top" coordsize="5281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" path="m,l5281656,e" filled="f" strokeweight=".24403mm">
                        <v:path arrowok="t"/>
                      </v:shape>
                      <v:shape id="Graphic 255" o:spid="_x0000_s1028" style="position:absolute;width:52857;height:101;visibility:visible;mso-wrap-style:square;v-text-anchor:top" coordsize="5285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" path="m5285232,l,,,9905r5285232,l5285232,xe" fillcolor="black" stroked="f">
                        <v:path arrowok="t"/>
                      </v:shape>
                      <w10:anchorlock/>
                    </v:group>
                  </w:pict>
                </mc:Fallback>
              </mc:AlternateContent>
            </w:r>
          </w:p>
          <w:p w14:paraId="24D60BB6" w14:textId="77777777" w:rsidR="00245300" w:rsidRPr="00EC20A0" w:rsidRDefault="00F17249">
            <w:pPr>
              <w:pStyle w:val="TableParagraph"/>
              <w:tabs>
                <w:tab w:val="left" w:pos="3454"/>
                <w:tab w:val="left" w:pos="6548"/>
              </w:tabs>
              <w:spacing w:before="243"/>
              <w:ind w:left="125"/>
              <w:rPr>
                <w:b/>
              </w:rPr>
            </w:pPr>
            <w:r w:rsidRPr="00EC20A0">
              <w:rPr>
                <w:b/>
                <w:spacing w:val="-2"/>
              </w:rPr>
              <w:t>Title</w:t>
            </w:r>
            <w:r w:rsidRPr="00EC20A0">
              <w:rPr>
                <w:b/>
              </w:rPr>
              <w:tab/>
            </w:r>
            <w:r w:rsidRPr="00EC20A0">
              <w:rPr>
                <w:b/>
                <w:spacing w:val="-2"/>
              </w:rPr>
              <w:t>Signature</w:t>
            </w:r>
            <w:r w:rsidRPr="00EC20A0">
              <w:rPr>
                <w:b/>
              </w:rPr>
              <w:tab/>
            </w:r>
            <w:r w:rsidRPr="00EC20A0">
              <w:rPr>
                <w:b/>
                <w:spacing w:val="-4"/>
              </w:rPr>
              <w:t>Date</w:t>
            </w:r>
          </w:p>
        </w:tc>
      </w:tr>
    </w:tbl>
    <w:p w14:paraId="24D60BB8" w14:textId="77777777" w:rsidR="00245300" w:rsidRPr="00EC20A0" w:rsidRDefault="00245300">
      <w:pPr>
        <w:sectPr w:rsidR="00245300" w:rsidRPr="00EC20A0">
          <w:pgSz w:w="12240" w:h="15840"/>
          <w:pgMar w:top="1340" w:right="1140" w:bottom="940" w:left="1320" w:header="721" w:footer="757" w:gutter="0"/>
          <w:cols w:space="720"/>
        </w:sectPr>
      </w:pPr>
    </w:p>
    <w:p w14:paraId="24D60BB9" w14:textId="77777777" w:rsidR="00245300" w:rsidRPr="00EC20A0" w:rsidRDefault="00F17249">
      <w:pPr>
        <w:pStyle w:val="BodyText"/>
        <w:spacing w:line="20" w:lineRule="exact"/>
        <w:ind w:left="170"/>
        <w:rPr>
          <w:sz w:val="2"/>
        </w:rPr>
      </w:pPr>
      <w:r w:rsidRPr="00EC20A0">
        <w:rPr>
          <w:noProof/>
          <w:sz w:val="2"/>
        </w:rPr>
        <mc:AlternateContent>
          <mc:Choice Requires="wpg">
            <w:drawing>
              <wp:inline distT="0" distB="0" distL="0" distR="0" wp14:anchorId="24D62B0F" wp14:editId="24D62B10">
                <wp:extent cx="5911850" cy="9525"/>
                <wp:effectExtent l="9525" t="0" r="3175" b="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850" cy="9525"/>
                          <a:chOff x="0" y="0"/>
                          <a:chExt cx="5911850" cy="9525"/>
                        </a:xfrm>
                      </wpg:grpSpPr>
                      <wps:wsp>
                        <wps:cNvPr id="257" name="Graphic 257"/>
                        <wps:cNvSpPr/>
                        <wps:spPr>
                          <a:xfrm>
                            <a:off x="0" y="4762"/>
                            <a:ext cx="5911850" cy="1270"/>
                          </a:xfrm>
                          <a:custGeom>
                            <a:avLst/>
                            <a:gdLst/>
                            <a:ahLst/>
                            <a:cxnLst/>
                            <a:rect l="l" t="t" r="r" b="b"/>
                            <a:pathLst>
                              <a:path w="5911850">
                                <a:moveTo>
                                  <a:pt x="0" y="0"/>
                                </a:moveTo>
                                <a:lnTo>
                                  <a:pt x="59118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C64733" id="Group 256" o:spid="_x0000_s1026" style="width:465.5pt;height:.75pt;mso-position-horizontal-relative:char;mso-position-vertical-relative:line" coordsize="59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">
                <v:shape id="Graphic 257" o:spid="_x0000_s1027" style="position:absolute;top:47;width:59118;height:13;visibility:visible;mso-wrap-style:square;v-text-anchor:top" coordsize="5911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" path="m,l5911850,e" filled="f">
                  <v:path arrowok="t"/>
                </v:shape>
                <w10:anchorlock/>
              </v:group>
            </w:pict>
          </mc:Fallback>
        </mc:AlternateContent>
      </w:r>
    </w:p>
    <w:p w14:paraId="24D60BBA" w14:textId="77777777" w:rsidR="00245300" w:rsidRPr="00EC20A0" w:rsidRDefault="00F17249">
      <w:pPr>
        <w:pStyle w:val="Heading1"/>
        <w:spacing w:before="677"/>
        <w:ind w:left="5646"/>
      </w:pPr>
      <w:bookmarkStart w:id="168" w:name="Section_800_-_Compliance"/>
      <w:bookmarkStart w:id="169" w:name="_bookmark70"/>
      <w:bookmarkEnd w:id="168"/>
      <w:bookmarkEnd w:id="169"/>
      <w:r w:rsidRPr="00EC20A0">
        <w:t>SECTION</w:t>
      </w:r>
      <w:r w:rsidRPr="00EC20A0">
        <w:rPr>
          <w:spacing w:val="-4"/>
        </w:rPr>
        <w:t xml:space="preserve"> </w:t>
      </w:r>
      <w:r w:rsidRPr="00EC20A0">
        <w:rPr>
          <w:spacing w:val="-5"/>
        </w:rPr>
        <w:t>800</w:t>
      </w:r>
    </w:p>
    <w:p w14:paraId="24D60BBB" w14:textId="77777777" w:rsidR="00245300" w:rsidRPr="00EC20A0" w:rsidRDefault="00245300">
      <w:pPr>
        <w:pStyle w:val="BodyText"/>
        <w:rPr>
          <w:sz w:val="20"/>
        </w:rPr>
      </w:pPr>
    </w:p>
    <w:p w14:paraId="24D60BBC" w14:textId="77777777" w:rsidR="00245300" w:rsidRPr="00EC20A0" w:rsidRDefault="00F17249">
      <w:pPr>
        <w:pStyle w:val="BodyText"/>
        <w:spacing w:before="208"/>
        <w:rPr>
          <w:sz w:val="20"/>
        </w:rPr>
      </w:pPr>
      <w:r w:rsidRPr="00EC20A0">
        <w:rPr>
          <w:noProof/>
        </w:rPr>
        <mc:AlternateContent>
          <mc:Choice Requires="wps">
            <w:drawing>
              <wp:anchor distT="0" distB="0" distL="0" distR="0" simplePos="0" relativeHeight="487611392" behindDoc="1" locked="0" layoutInCell="1" allowOverlap="1" wp14:anchorId="24D62B11" wp14:editId="24D62B12">
                <wp:simplePos x="0" y="0"/>
                <wp:positionH relativeFrom="page">
                  <wp:posOffset>946150</wp:posOffset>
                </wp:positionH>
                <wp:positionV relativeFrom="paragraph">
                  <wp:posOffset>293419</wp:posOffset>
                </wp:positionV>
                <wp:extent cx="5911850" cy="9144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91440"/>
                        </a:xfrm>
                        <a:custGeom>
                          <a:avLst/>
                          <a:gdLst/>
                          <a:ahLst/>
                          <a:cxnLst/>
                          <a:rect l="l" t="t" r="r" b="b"/>
                          <a:pathLst>
                            <a:path w="5911850" h="91440">
                              <a:moveTo>
                                <a:pt x="5911850" y="0"/>
                              </a:moveTo>
                              <a:lnTo>
                                <a:pt x="0" y="0"/>
                              </a:lnTo>
                              <a:lnTo>
                                <a:pt x="0" y="91440"/>
                              </a:lnTo>
                              <a:lnTo>
                                <a:pt x="5911850" y="91440"/>
                              </a:lnTo>
                              <a:lnTo>
                                <a:pt x="5911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015833" id="Graphic 258" o:spid="_x0000_s1026" style="position:absolute;margin-left:74.5pt;margin-top:23.1pt;width:465.5pt;height:7.2pt;z-index:-15705088;visibility:visible;mso-wrap-style:square;mso-wrap-distance-left:0;mso-wrap-distance-top:0;mso-wrap-distance-right:0;mso-wrap-distance-bottom:0;mso-position-horizontal:absolute;mso-position-horizontal-relative:page;mso-position-vertical:absolute;mso-position-vertical-relative:text;v-text-anchor:top" coordsize="591185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" path="m5911850,l,,,91440r5911850,l5911850,xe" fillcolor="black" stroked="f">
                <v:path arrowok="t"/>
                <w10:wrap type="topAndBottom" anchorx="page"/>
              </v:shape>
            </w:pict>
          </mc:Fallback>
        </mc:AlternateContent>
      </w:r>
    </w:p>
    <w:p w14:paraId="24D60BBD" w14:textId="77777777" w:rsidR="00245300" w:rsidRPr="00EC20A0" w:rsidRDefault="00F17249">
      <w:pPr>
        <w:pStyle w:val="Heading2"/>
        <w:spacing w:before="293"/>
        <w:ind w:right="298"/>
      </w:pPr>
      <w:r w:rsidRPr="00EC20A0">
        <w:rPr>
          <w:spacing w:val="-2"/>
        </w:rPr>
        <w:t>Compliance</w:t>
      </w:r>
    </w:p>
    <w:p w14:paraId="24D60BBE" w14:textId="77777777" w:rsidR="00245300" w:rsidRPr="00EC20A0" w:rsidRDefault="00245300">
      <w:pPr>
        <w:pStyle w:val="BodyText"/>
        <w:rPr>
          <w:sz w:val="20"/>
        </w:rPr>
      </w:pPr>
    </w:p>
    <w:p w14:paraId="24D60BBF" w14:textId="77777777" w:rsidR="00245300" w:rsidRPr="00EC20A0" w:rsidRDefault="00245300">
      <w:pPr>
        <w:pStyle w:val="BodyText"/>
        <w:rPr>
          <w:sz w:val="20"/>
        </w:rPr>
      </w:pPr>
    </w:p>
    <w:p w14:paraId="24D60BC0" w14:textId="77777777" w:rsidR="00245300" w:rsidRPr="00EC20A0" w:rsidRDefault="00245300">
      <w:pPr>
        <w:pStyle w:val="BodyText"/>
        <w:rPr>
          <w:sz w:val="20"/>
        </w:rPr>
      </w:pPr>
    </w:p>
    <w:p w14:paraId="24D60BC1" w14:textId="77777777" w:rsidR="00245300" w:rsidRPr="00EC20A0" w:rsidRDefault="00245300">
      <w:pPr>
        <w:pStyle w:val="BodyText"/>
        <w:rPr>
          <w:sz w:val="20"/>
        </w:rPr>
      </w:pPr>
    </w:p>
    <w:p w14:paraId="24D60BC2" w14:textId="77777777" w:rsidR="00245300" w:rsidRPr="00EC20A0" w:rsidRDefault="00245300">
      <w:pPr>
        <w:pStyle w:val="BodyText"/>
        <w:rPr>
          <w:sz w:val="20"/>
        </w:rPr>
      </w:pPr>
    </w:p>
    <w:p w14:paraId="24D60BC3" w14:textId="77777777" w:rsidR="00245300" w:rsidRPr="00EC20A0" w:rsidRDefault="00245300">
      <w:pPr>
        <w:pStyle w:val="BodyText"/>
        <w:rPr>
          <w:sz w:val="20"/>
        </w:rPr>
      </w:pPr>
    </w:p>
    <w:p w14:paraId="24D60BC4" w14:textId="77777777" w:rsidR="00245300" w:rsidRPr="00EC20A0" w:rsidRDefault="00245300">
      <w:pPr>
        <w:pStyle w:val="BodyText"/>
        <w:rPr>
          <w:sz w:val="20"/>
        </w:rPr>
      </w:pPr>
    </w:p>
    <w:p w14:paraId="24D60BC5" w14:textId="77777777" w:rsidR="00245300" w:rsidRPr="00EC20A0" w:rsidRDefault="00245300">
      <w:pPr>
        <w:pStyle w:val="BodyText"/>
        <w:rPr>
          <w:sz w:val="20"/>
        </w:rPr>
      </w:pPr>
    </w:p>
    <w:p w14:paraId="24D60BC6" w14:textId="77777777" w:rsidR="00245300" w:rsidRPr="00EC20A0" w:rsidRDefault="00245300">
      <w:pPr>
        <w:pStyle w:val="BodyText"/>
        <w:rPr>
          <w:sz w:val="20"/>
        </w:rPr>
      </w:pPr>
    </w:p>
    <w:p w14:paraId="24D60BC7" w14:textId="77777777" w:rsidR="00245300" w:rsidRPr="00EC20A0" w:rsidRDefault="00245300">
      <w:pPr>
        <w:pStyle w:val="BodyText"/>
        <w:rPr>
          <w:sz w:val="20"/>
        </w:rPr>
      </w:pPr>
    </w:p>
    <w:p w14:paraId="24D60BC8" w14:textId="77777777" w:rsidR="00245300" w:rsidRPr="00EC20A0" w:rsidRDefault="00245300">
      <w:pPr>
        <w:pStyle w:val="BodyText"/>
        <w:rPr>
          <w:sz w:val="20"/>
        </w:rPr>
      </w:pPr>
    </w:p>
    <w:p w14:paraId="24D60BC9" w14:textId="77777777" w:rsidR="00245300" w:rsidRPr="00EC20A0" w:rsidRDefault="00245300">
      <w:pPr>
        <w:pStyle w:val="BodyText"/>
        <w:rPr>
          <w:sz w:val="20"/>
        </w:rPr>
      </w:pPr>
    </w:p>
    <w:p w14:paraId="24D60BCA" w14:textId="77777777" w:rsidR="00245300" w:rsidRPr="00EC20A0" w:rsidRDefault="00245300">
      <w:pPr>
        <w:pStyle w:val="BodyText"/>
        <w:rPr>
          <w:sz w:val="20"/>
        </w:rPr>
      </w:pPr>
    </w:p>
    <w:p w14:paraId="24D60BCB" w14:textId="77777777" w:rsidR="00245300" w:rsidRPr="00EC20A0" w:rsidRDefault="00245300">
      <w:pPr>
        <w:pStyle w:val="BodyText"/>
        <w:rPr>
          <w:sz w:val="20"/>
        </w:rPr>
      </w:pPr>
    </w:p>
    <w:p w14:paraId="24D60BCC" w14:textId="77777777" w:rsidR="00245300" w:rsidRPr="00EC20A0" w:rsidRDefault="00245300">
      <w:pPr>
        <w:pStyle w:val="BodyText"/>
        <w:rPr>
          <w:sz w:val="20"/>
        </w:rPr>
      </w:pPr>
    </w:p>
    <w:p w14:paraId="24D60BCD" w14:textId="77777777" w:rsidR="00245300" w:rsidRPr="00EC20A0" w:rsidRDefault="00245300">
      <w:pPr>
        <w:pStyle w:val="BodyText"/>
        <w:rPr>
          <w:sz w:val="20"/>
        </w:rPr>
      </w:pPr>
    </w:p>
    <w:p w14:paraId="24D60BCE" w14:textId="77777777" w:rsidR="00245300" w:rsidRPr="00EC20A0" w:rsidRDefault="00245300">
      <w:pPr>
        <w:pStyle w:val="BodyText"/>
        <w:rPr>
          <w:sz w:val="20"/>
        </w:rPr>
      </w:pPr>
    </w:p>
    <w:p w14:paraId="24D60BCF" w14:textId="77777777" w:rsidR="00245300" w:rsidRPr="00EC20A0" w:rsidRDefault="00245300">
      <w:pPr>
        <w:pStyle w:val="BodyText"/>
        <w:rPr>
          <w:sz w:val="20"/>
        </w:rPr>
      </w:pPr>
    </w:p>
    <w:p w14:paraId="24D60BD0" w14:textId="77777777" w:rsidR="00245300" w:rsidRPr="00EC20A0" w:rsidRDefault="00245300">
      <w:pPr>
        <w:pStyle w:val="BodyText"/>
        <w:rPr>
          <w:sz w:val="20"/>
        </w:rPr>
      </w:pPr>
    </w:p>
    <w:p w14:paraId="24D60BD1" w14:textId="77777777" w:rsidR="00245300" w:rsidRPr="00EC20A0" w:rsidRDefault="00245300">
      <w:pPr>
        <w:pStyle w:val="BodyText"/>
        <w:rPr>
          <w:sz w:val="20"/>
        </w:rPr>
      </w:pPr>
    </w:p>
    <w:p w14:paraId="24D60BD2" w14:textId="77777777" w:rsidR="00245300" w:rsidRPr="00EC20A0" w:rsidRDefault="00245300">
      <w:pPr>
        <w:pStyle w:val="BodyText"/>
        <w:rPr>
          <w:sz w:val="20"/>
        </w:rPr>
      </w:pPr>
    </w:p>
    <w:p w14:paraId="24D60BD3" w14:textId="77777777" w:rsidR="00245300" w:rsidRPr="00EC20A0" w:rsidRDefault="00245300">
      <w:pPr>
        <w:pStyle w:val="BodyText"/>
        <w:rPr>
          <w:sz w:val="20"/>
        </w:rPr>
      </w:pPr>
    </w:p>
    <w:p w14:paraId="24D60BD4" w14:textId="77777777" w:rsidR="00245300" w:rsidRPr="00EC20A0" w:rsidRDefault="00245300">
      <w:pPr>
        <w:pStyle w:val="BodyText"/>
        <w:rPr>
          <w:sz w:val="20"/>
        </w:rPr>
      </w:pPr>
    </w:p>
    <w:p w14:paraId="24D60BD5" w14:textId="77777777" w:rsidR="00245300" w:rsidRPr="00EC20A0" w:rsidRDefault="00245300">
      <w:pPr>
        <w:pStyle w:val="BodyText"/>
        <w:rPr>
          <w:sz w:val="20"/>
        </w:rPr>
      </w:pPr>
    </w:p>
    <w:p w14:paraId="24D60BD6" w14:textId="77777777" w:rsidR="00245300" w:rsidRPr="00EC20A0" w:rsidRDefault="00245300">
      <w:pPr>
        <w:pStyle w:val="BodyText"/>
        <w:rPr>
          <w:sz w:val="20"/>
        </w:rPr>
      </w:pPr>
    </w:p>
    <w:p w14:paraId="24D60BD7" w14:textId="77777777" w:rsidR="00245300" w:rsidRPr="00EC20A0" w:rsidRDefault="00245300">
      <w:pPr>
        <w:pStyle w:val="BodyText"/>
        <w:rPr>
          <w:sz w:val="20"/>
        </w:rPr>
      </w:pPr>
    </w:p>
    <w:p w14:paraId="24D60BD8" w14:textId="77777777" w:rsidR="00245300" w:rsidRPr="00EC20A0" w:rsidRDefault="00245300">
      <w:pPr>
        <w:pStyle w:val="BodyText"/>
        <w:rPr>
          <w:sz w:val="20"/>
        </w:rPr>
      </w:pPr>
    </w:p>
    <w:p w14:paraId="24D60BD9" w14:textId="77777777" w:rsidR="00245300" w:rsidRPr="00EC20A0" w:rsidRDefault="00245300">
      <w:pPr>
        <w:pStyle w:val="BodyText"/>
        <w:rPr>
          <w:sz w:val="20"/>
        </w:rPr>
      </w:pPr>
    </w:p>
    <w:p w14:paraId="24D60BDA" w14:textId="77777777" w:rsidR="00245300" w:rsidRPr="00EC20A0" w:rsidRDefault="00245300">
      <w:pPr>
        <w:pStyle w:val="BodyText"/>
        <w:rPr>
          <w:sz w:val="20"/>
        </w:rPr>
      </w:pPr>
    </w:p>
    <w:p w14:paraId="24D60BDB" w14:textId="77777777" w:rsidR="00245300" w:rsidRPr="00EC20A0" w:rsidRDefault="00245300">
      <w:pPr>
        <w:pStyle w:val="BodyText"/>
        <w:rPr>
          <w:sz w:val="20"/>
        </w:rPr>
      </w:pPr>
    </w:p>
    <w:p w14:paraId="24D60BDC" w14:textId="77777777" w:rsidR="00245300" w:rsidRPr="00EC20A0" w:rsidRDefault="00245300">
      <w:pPr>
        <w:pStyle w:val="BodyText"/>
        <w:rPr>
          <w:sz w:val="20"/>
        </w:rPr>
      </w:pPr>
    </w:p>
    <w:p w14:paraId="24D60BDD" w14:textId="77777777" w:rsidR="00245300" w:rsidRPr="00EC20A0" w:rsidRDefault="00245300">
      <w:pPr>
        <w:pStyle w:val="BodyText"/>
        <w:rPr>
          <w:sz w:val="20"/>
        </w:rPr>
      </w:pPr>
    </w:p>
    <w:p w14:paraId="24D60BDE" w14:textId="77777777" w:rsidR="00245300" w:rsidRPr="00EC20A0" w:rsidRDefault="00245300">
      <w:pPr>
        <w:pStyle w:val="BodyText"/>
        <w:rPr>
          <w:sz w:val="20"/>
        </w:rPr>
      </w:pPr>
    </w:p>
    <w:p w14:paraId="24D60BDF" w14:textId="77777777" w:rsidR="00245300" w:rsidRPr="00EC20A0" w:rsidRDefault="00245300">
      <w:pPr>
        <w:pStyle w:val="BodyText"/>
        <w:rPr>
          <w:sz w:val="20"/>
        </w:rPr>
      </w:pPr>
    </w:p>
    <w:p w14:paraId="24D60BE0" w14:textId="77777777" w:rsidR="00245300" w:rsidRPr="00EC20A0" w:rsidRDefault="00245300">
      <w:pPr>
        <w:pStyle w:val="BodyText"/>
        <w:rPr>
          <w:sz w:val="20"/>
        </w:rPr>
      </w:pPr>
    </w:p>
    <w:p w14:paraId="24D60BE1" w14:textId="77777777" w:rsidR="00245300" w:rsidRPr="00EC20A0" w:rsidRDefault="00245300">
      <w:pPr>
        <w:pStyle w:val="BodyText"/>
        <w:rPr>
          <w:sz w:val="20"/>
        </w:rPr>
      </w:pPr>
    </w:p>
    <w:p w14:paraId="24D60BE2" w14:textId="77777777" w:rsidR="00245300" w:rsidRPr="00EC20A0" w:rsidRDefault="00245300">
      <w:pPr>
        <w:pStyle w:val="BodyText"/>
        <w:rPr>
          <w:sz w:val="20"/>
        </w:rPr>
      </w:pPr>
    </w:p>
    <w:p w14:paraId="24D60BE3" w14:textId="77777777" w:rsidR="00245300" w:rsidRPr="00EC20A0" w:rsidRDefault="00245300">
      <w:pPr>
        <w:pStyle w:val="BodyText"/>
        <w:rPr>
          <w:sz w:val="20"/>
        </w:rPr>
      </w:pPr>
    </w:p>
    <w:p w14:paraId="24D60BE4" w14:textId="77777777" w:rsidR="00245300" w:rsidRPr="00EC20A0" w:rsidRDefault="00245300">
      <w:pPr>
        <w:pStyle w:val="BodyText"/>
        <w:rPr>
          <w:sz w:val="20"/>
        </w:rPr>
      </w:pPr>
    </w:p>
    <w:p w14:paraId="24D60BE5" w14:textId="77777777" w:rsidR="00245300" w:rsidRPr="00EC20A0" w:rsidRDefault="00245300">
      <w:pPr>
        <w:pStyle w:val="BodyText"/>
        <w:rPr>
          <w:sz w:val="20"/>
        </w:rPr>
      </w:pPr>
    </w:p>
    <w:p w14:paraId="24D60BE6" w14:textId="77777777" w:rsidR="00245300" w:rsidRPr="00EC20A0" w:rsidRDefault="00245300">
      <w:pPr>
        <w:pStyle w:val="BodyText"/>
        <w:rPr>
          <w:sz w:val="20"/>
        </w:rPr>
      </w:pPr>
    </w:p>
    <w:p w14:paraId="24D60BE7" w14:textId="77777777" w:rsidR="00245300" w:rsidRPr="00EC20A0" w:rsidRDefault="00245300">
      <w:pPr>
        <w:pStyle w:val="BodyText"/>
        <w:rPr>
          <w:sz w:val="20"/>
        </w:rPr>
      </w:pPr>
    </w:p>
    <w:p w14:paraId="24D60BE8" w14:textId="77777777" w:rsidR="00245300" w:rsidRPr="00EC20A0" w:rsidRDefault="00245300">
      <w:pPr>
        <w:pStyle w:val="BodyText"/>
        <w:rPr>
          <w:sz w:val="20"/>
        </w:rPr>
      </w:pPr>
    </w:p>
    <w:p w14:paraId="24D60BE9" w14:textId="77777777" w:rsidR="00245300" w:rsidRPr="00EC20A0" w:rsidRDefault="00245300">
      <w:pPr>
        <w:pStyle w:val="BodyText"/>
        <w:rPr>
          <w:sz w:val="20"/>
        </w:rPr>
      </w:pPr>
    </w:p>
    <w:p w14:paraId="24D60BEA" w14:textId="77777777" w:rsidR="00245300" w:rsidRPr="00EC20A0" w:rsidRDefault="00245300">
      <w:pPr>
        <w:pStyle w:val="BodyText"/>
        <w:rPr>
          <w:sz w:val="20"/>
        </w:rPr>
      </w:pPr>
    </w:p>
    <w:p w14:paraId="24D60BEB" w14:textId="77777777" w:rsidR="00245300" w:rsidRPr="00EC20A0" w:rsidRDefault="00F17249">
      <w:pPr>
        <w:pStyle w:val="BodyText"/>
        <w:spacing w:before="163"/>
        <w:rPr>
          <w:sz w:val="20"/>
        </w:rPr>
      </w:pPr>
      <w:r w:rsidRPr="00EC20A0">
        <w:rPr>
          <w:noProof/>
        </w:rPr>
        <mc:AlternateContent>
          <mc:Choice Requires="wps">
            <w:drawing>
              <wp:anchor distT="0" distB="0" distL="0" distR="0" simplePos="0" relativeHeight="487611904" behindDoc="1" locked="0" layoutInCell="1" allowOverlap="1" wp14:anchorId="24D62B13" wp14:editId="24D62B14">
                <wp:simplePos x="0" y="0"/>
                <wp:positionH relativeFrom="page">
                  <wp:posOffset>895350</wp:posOffset>
                </wp:positionH>
                <wp:positionV relativeFrom="paragraph">
                  <wp:posOffset>264782</wp:posOffset>
                </wp:positionV>
                <wp:extent cx="5981700" cy="1905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49"/>
                              </a:lnTo>
                              <a:lnTo>
                                <a:pt x="5981700" y="19049"/>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0BE18" id="Graphic 259" o:spid="_x0000_s1026" style="position:absolute;margin-left:70.5pt;margin-top:20.85pt;width:471pt;height:1.5pt;z-index:-15704576;visibility:visible;mso-wrap-style:square;mso-wrap-distance-left:0;mso-wrap-distance-top:0;mso-wrap-distance-right:0;mso-wrap-distance-bottom:0;mso-position-horizontal:absolute;mso-position-horizontal-relative:page;mso-position-vertical:absolute;mso-position-vertical-relative:text;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" path="m5981700,l,,,19049r5981700,l5981700,xe" fillcolor="black" stroked="f">
                <v:path arrowok="t"/>
                <w10:wrap type="topAndBottom" anchorx="page"/>
              </v:shape>
            </w:pict>
          </mc:Fallback>
        </mc:AlternateContent>
      </w:r>
    </w:p>
    <w:p w14:paraId="24D60BEC" w14:textId="77777777" w:rsidR="00245300" w:rsidRPr="00EC20A0" w:rsidRDefault="00245300">
      <w:pPr>
        <w:rPr>
          <w:sz w:val="20"/>
        </w:rPr>
        <w:sectPr w:rsidR="00245300" w:rsidRPr="00EC20A0">
          <w:headerReference w:type="default" r:id="rId82"/>
          <w:footerReference w:type="default" r:id="rId83"/>
          <w:pgSz w:w="12240" w:h="15840"/>
          <w:pgMar w:top="960" w:right="1140" w:bottom="280" w:left="1320" w:header="0" w:footer="0" w:gutter="0"/>
          <w:cols w:space="720"/>
        </w:sectPr>
      </w:pPr>
    </w:p>
    <w:p w14:paraId="24D60BED" w14:textId="77777777" w:rsidR="00245300" w:rsidRPr="00EC20A0" w:rsidRDefault="00F17249">
      <w:pPr>
        <w:pStyle w:val="Heading3"/>
        <w:spacing w:before="217"/>
        <w:rPr>
          <w:u w:val="none"/>
        </w:rPr>
      </w:pPr>
      <w:bookmarkStart w:id="170" w:name="Contents_–_Compliance"/>
      <w:bookmarkEnd w:id="170"/>
      <w:r w:rsidRPr="00EC20A0">
        <w:t>Contents</w:t>
      </w:r>
      <w:r w:rsidRPr="00EC20A0">
        <w:rPr>
          <w:spacing w:val="-4"/>
        </w:rPr>
        <w:t xml:space="preserve"> </w:t>
      </w:r>
      <w:r w:rsidRPr="00EC20A0">
        <w:t>–</w:t>
      </w:r>
      <w:r w:rsidRPr="00EC20A0">
        <w:rPr>
          <w:spacing w:val="-4"/>
        </w:rPr>
        <w:t xml:space="preserve"> </w:t>
      </w:r>
      <w:r w:rsidRPr="00EC20A0">
        <w:rPr>
          <w:spacing w:val="-2"/>
        </w:rPr>
        <w:t>Compliance</w:t>
      </w:r>
    </w:p>
    <w:p w14:paraId="24D60BEE" w14:textId="77777777" w:rsidR="00245300" w:rsidRPr="00EC20A0" w:rsidRDefault="00245300">
      <w:pPr>
        <w:pStyle w:val="BodyText"/>
        <w:spacing w:before="66"/>
        <w:rPr>
          <w:b/>
          <w:sz w:val="20"/>
        </w:rPr>
      </w:pPr>
    </w:p>
    <w:tbl>
      <w:tblPr>
        <w:tblW w:w="0" w:type="auto"/>
        <w:tblInd w:w="437" w:type="dxa"/>
        <w:tblLayout w:type="fixed"/>
        <w:tblCellMar>
          <w:left w:w="0" w:type="dxa"/>
          <w:right w:w="0" w:type="dxa"/>
        </w:tblCellMar>
        <w:tblLook w:val="01E0" w:firstRow="1" w:lastRow="1" w:firstColumn="1" w:lastColumn="1" w:noHBand="0" w:noVBand="0"/>
      </w:tblPr>
      <w:tblGrid>
        <w:gridCol w:w="7699"/>
        <w:gridCol w:w="943"/>
      </w:tblGrid>
      <w:tr w:rsidR="00245300" w:rsidRPr="00EC20A0" w14:paraId="24D60BF1" w14:textId="77777777">
        <w:trPr>
          <w:trHeight w:val="392"/>
        </w:trPr>
        <w:tc>
          <w:tcPr>
            <w:tcW w:w="7699" w:type="dxa"/>
          </w:tcPr>
          <w:p w14:paraId="24D60BEF" w14:textId="77777777" w:rsidR="00245300" w:rsidRPr="00EC20A0" w:rsidRDefault="00245300">
            <w:pPr>
              <w:pStyle w:val="TableParagraph"/>
            </w:pPr>
          </w:p>
        </w:tc>
        <w:tc>
          <w:tcPr>
            <w:tcW w:w="943" w:type="dxa"/>
          </w:tcPr>
          <w:p w14:paraId="24D60BF0" w14:textId="77777777" w:rsidR="00245300" w:rsidRPr="00EC20A0" w:rsidRDefault="00F17249">
            <w:pPr>
              <w:pStyle w:val="TableParagraph"/>
              <w:spacing w:line="245" w:lineRule="exact"/>
              <w:ind w:right="48"/>
              <w:jc w:val="right"/>
              <w:rPr>
                <w:b/>
              </w:rPr>
            </w:pPr>
            <w:r w:rsidRPr="00EC20A0">
              <w:rPr>
                <w:b/>
                <w:spacing w:val="-5"/>
              </w:rPr>
              <w:t>FAM</w:t>
            </w:r>
          </w:p>
        </w:tc>
      </w:tr>
      <w:tr w:rsidR="00245300" w:rsidRPr="00EC20A0" w14:paraId="24D60BF4" w14:textId="77777777">
        <w:trPr>
          <w:trHeight w:val="540"/>
        </w:trPr>
        <w:tc>
          <w:tcPr>
            <w:tcW w:w="7699" w:type="dxa"/>
          </w:tcPr>
          <w:p w14:paraId="24D60BF2" w14:textId="77777777" w:rsidR="00245300" w:rsidRPr="00EC20A0" w:rsidRDefault="00F17249">
            <w:pPr>
              <w:pStyle w:val="TableParagraph"/>
              <w:spacing w:before="139"/>
              <w:ind w:left="50"/>
            </w:pPr>
            <w:r w:rsidRPr="00EC20A0">
              <w:t>General</w:t>
            </w:r>
            <w:r w:rsidRPr="00EC20A0">
              <w:rPr>
                <w:spacing w:val="-12"/>
              </w:rPr>
              <w:t xml:space="preserve"> </w:t>
            </w:r>
            <w:r w:rsidRPr="00EC20A0">
              <w:t>Compliance</w:t>
            </w:r>
            <w:r w:rsidRPr="00EC20A0">
              <w:rPr>
                <w:spacing w:val="-11"/>
              </w:rPr>
              <w:t xml:space="preserve"> </w:t>
            </w:r>
            <w:r w:rsidRPr="00EC20A0">
              <w:rPr>
                <w:spacing w:val="-2"/>
              </w:rPr>
              <w:t>Checklist</w:t>
            </w:r>
          </w:p>
        </w:tc>
        <w:tc>
          <w:tcPr>
            <w:tcW w:w="943" w:type="dxa"/>
          </w:tcPr>
          <w:p w14:paraId="24D60BF3" w14:textId="77777777" w:rsidR="00245300" w:rsidRPr="00EC20A0" w:rsidRDefault="00F17249">
            <w:pPr>
              <w:pStyle w:val="TableParagraph"/>
              <w:spacing w:before="139"/>
              <w:ind w:right="102"/>
              <w:jc w:val="right"/>
            </w:pPr>
            <w:r w:rsidRPr="00EC20A0">
              <w:rPr>
                <w:spacing w:val="-5"/>
              </w:rPr>
              <w:t>802</w:t>
            </w:r>
          </w:p>
        </w:tc>
      </w:tr>
      <w:tr w:rsidR="00245300" w:rsidRPr="00EC20A0" w14:paraId="24D60BF7" w14:textId="77777777">
        <w:trPr>
          <w:trHeight w:val="794"/>
        </w:trPr>
        <w:tc>
          <w:tcPr>
            <w:tcW w:w="7699" w:type="dxa"/>
          </w:tcPr>
          <w:p w14:paraId="24D60BF5" w14:textId="77777777" w:rsidR="00245300" w:rsidRPr="00EC20A0" w:rsidRDefault="00F17249">
            <w:pPr>
              <w:pStyle w:val="TableParagraph"/>
              <w:spacing w:before="140"/>
              <w:ind w:left="50" w:right="439"/>
            </w:pPr>
            <w:proofErr w:type="spellStart"/>
            <w:r w:rsidRPr="00EC20A0">
              <w:t>Antideficiency</w:t>
            </w:r>
            <w:proofErr w:type="spellEnd"/>
            <w:r w:rsidRPr="00EC20A0">
              <w:rPr>
                <w:spacing w:val="-4"/>
              </w:rPr>
              <w:t xml:space="preserve"> </w:t>
            </w:r>
            <w:r w:rsidRPr="00EC20A0">
              <w:t>Act</w:t>
            </w:r>
            <w:r w:rsidRPr="00EC20A0">
              <w:rPr>
                <w:spacing w:val="-4"/>
              </w:rPr>
              <w:t xml:space="preserve"> </w:t>
            </w:r>
            <w:r w:rsidRPr="00EC20A0">
              <w:t>(ADA),</w:t>
            </w:r>
            <w:r w:rsidRPr="00EC20A0">
              <w:rPr>
                <w:spacing w:val="-4"/>
              </w:rPr>
              <w:t xml:space="preserve"> </w:t>
            </w:r>
            <w:r w:rsidRPr="00EC20A0">
              <w:t>as</w:t>
            </w:r>
            <w:r w:rsidRPr="00EC20A0">
              <w:rPr>
                <w:spacing w:val="-4"/>
              </w:rPr>
              <w:t xml:space="preserve"> </w:t>
            </w:r>
            <w:r w:rsidRPr="00EC20A0">
              <w:t>Provided</w:t>
            </w:r>
            <w:r w:rsidRPr="00EC20A0">
              <w:rPr>
                <w:spacing w:val="-4"/>
              </w:rPr>
              <w:t xml:space="preserve"> </w:t>
            </w:r>
            <w:r w:rsidRPr="00EC20A0">
              <w:t>Primarily</w:t>
            </w:r>
            <w:r w:rsidRPr="00EC20A0">
              <w:rPr>
                <w:spacing w:val="-4"/>
              </w:rPr>
              <w:t xml:space="preserve"> </w:t>
            </w:r>
            <w:r w:rsidRPr="00EC20A0">
              <w:t>in</w:t>
            </w:r>
            <w:r w:rsidRPr="00EC20A0">
              <w:rPr>
                <w:spacing w:val="-4"/>
              </w:rPr>
              <w:t xml:space="preserve"> </w:t>
            </w:r>
            <w:r w:rsidRPr="00EC20A0">
              <w:t>31</w:t>
            </w:r>
            <w:r w:rsidRPr="00EC20A0">
              <w:rPr>
                <w:spacing w:val="-4"/>
              </w:rPr>
              <w:t xml:space="preserve"> </w:t>
            </w:r>
            <w:r w:rsidRPr="00EC20A0">
              <w:t>U.S.C.</w:t>
            </w:r>
            <w:r w:rsidRPr="00EC20A0">
              <w:rPr>
                <w:spacing w:val="-4"/>
              </w:rPr>
              <w:t xml:space="preserve"> </w:t>
            </w:r>
            <w:r w:rsidRPr="00EC20A0">
              <w:t>Chapters</w:t>
            </w:r>
            <w:r w:rsidRPr="00EC20A0">
              <w:rPr>
                <w:spacing w:val="-4"/>
              </w:rPr>
              <w:t xml:space="preserve"> </w:t>
            </w:r>
            <w:r w:rsidRPr="00EC20A0">
              <w:t xml:space="preserve">13, </w:t>
            </w:r>
            <w:r w:rsidRPr="00EC20A0">
              <w:rPr>
                <w:spacing w:val="-6"/>
              </w:rPr>
              <w:t>15</w:t>
            </w:r>
          </w:p>
        </w:tc>
        <w:tc>
          <w:tcPr>
            <w:tcW w:w="943" w:type="dxa"/>
          </w:tcPr>
          <w:p w14:paraId="24D60BF6" w14:textId="77777777" w:rsidR="00245300" w:rsidRPr="00EC20A0" w:rsidRDefault="00F17249">
            <w:pPr>
              <w:pStyle w:val="TableParagraph"/>
              <w:spacing w:before="140"/>
              <w:ind w:right="102"/>
              <w:jc w:val="right"/>
            </w:pPr>
            <w:r w:rsidRPr="00EC20A0">
              <w:rPr>
                <w:spacing w:val="-5"/>
              </w:rPr>
              <w:t>803</w:t>
            </w:r>
          </w:p>
        </w:tc>
      </w:tr>
      <w:tr w:rsidR="00245300" w:rsidRPr="00EC20A0" w14:paraId="24D60BFA" w14:textId="77777777">
        <w:trPr>
          <w:trHeight w:val="793"/>
        </w:trPr>
        <w:tc>
          <w:tcPr>
            <w:tcW w:w="7699" w:type="dxa"/>
          </w:tcPr>
          <w:p w14:paraId="24D60BF8" w14:textId="77777777" w:rsidR="00245300" w:rsidRPr="00EC20A0" w:rsidRDefault="00F17249">
            <w:pPr>
              <w:pStyle w:val="TableParagraph"/>
              <w:spacing w:before="140"/>
              <w:ind w:left="50" w:right="775"/>
            </w:pPr>
            <w:r w:rsidRPr="00EC20A0">
              <w:t>Federal</w:t>
            </w:r>
            <w:r w:rsidRPr="00EC20A0">
              <w:rPr>
                <w:spacing w:val="-4"/>
              </w:rPr>
              <w:t xml:space="preserve"> </w:t>
            </w:r>
            <w:r w:rsidRPr="00EC20A0">
              <w:t>Credit</w:t>
            </w:r>
            <w:r w:rsidRPr="00EC20A0">
              <w:rPr>
                <w:spacing w:val="-4"/>
              </w:rPr>
              <w:t xml:space="preserve"> </w:t>
            </w:r>
            <w:r w:rsidRPr="00EC20A0">
              <w:t>Reform</w:t>
            </w:r>
            <w:r w:rsidRPr="00EC20A0">
              <w:rPr>
                <w:spacing w:val="-5"/>
              </w:rPr>
              <w:t xml:space="preserve"> </w:t>
            </w:r>
            <w:r w:rsidRPr="00EC20A0">
              <w:t>Act</w:t>
            </w:r>
            <w:r w:rsidRPr="00EC20A0">
              <w:rPr>
                <w:spacing w:val="-4"/>
              </w:rPr>
              <w:t xml:space="preserve"> </w:t>
            </w:r>
            <w:r w:rsidRPr="00EC20A0">
              <w:t>of</w:t>
            </w:r>
            <w:r w:rsidRPr="00EC20A0">
              <w:rPr>
                <w:spacing w:val="-4"/>
              </w:rPr>
              <w:t xml:space="preserve"> </w:t>
            </w:r>
            <w:r w:rsidRPr="00EC20A0">
              <w:t>1990</w:t>
            </w:r>
            <w:r w:rsidRPr="00EC20A0">
              <w:rPr>
                <w:spacing w:val="-4"/>
              </w:rPr>
              <w:t xml:space="preserve"> </w:t>
            </w:r>
            <w:r w:rsidRPr="00EC20A0">
              <w:t>(FCRA),</w:t>
            </w:r>
            <w:r w:rsidRPr="00EC20A0">
              <w:rPr>
                <w:spacing w:val="-4"/>
              </w:rPr>
              <w:t xml:space="preserve"> </w:t>
            </w:r>
            <w:r w:rsidRPr="00EC20A0">
              <w:t>as</w:t>
            </w:r>
            <w:r w:rsidRPr="00EC20A0">
              <w:rPr>
                <w:spacing w:val="-2"/>
              </w:rPr>
              <w:t xml:space="preserve"> </w:t>
            </w:r>
            <w:r w:rsidRPr="00EC20A0">
              <w:t>Provided</w:t>
            </w:r>
            <w:r w:rsidRPr="00EC20A0">
              <w:rPr>
                <w:spacing w:val="-4"/>
              </w:rPr>
              <w:t xml:space="preserve"> </w:t>
            </w:r>
            <w:r w:rsidRPr="00EC20A0">
              <w:t>in</w:t>
            </w:r>
            <w:r w:rsidRPr="00EC20A0">
              <w:rPr>
                <w:spacing w:val="-5"/>
              </w:rPr>
              <w:t xml:space="preserve"> </w:t>
            </w:r>
            <w:r w:rsidRPr="00EC20A0">
              <w:t>2</w:t>
            </w:r>
            <w:r w:rsidRPr="00EC20A0">
              <w:rPr>
                <w:spacing w:val="-4"/>
              </w:rPr>
              <w:t xml:space="preserve"> </w:t>
            </w:r>
            <w:r w:rsidRPr="00EC20A0">
              <w:t>U.S.C.</w:t>
            </w:r>
            <w:r w:rsidRPr="00EC20A0">
              <w:rPr>
                <w:spacing w:val="-4"/>
              </w:rPr>
              <w:t xml:space="preserve"> </w:t>
            </w:r>
            <w:r w:rsidRPr="00EC20A0">
              <w:t xml:space="preserve">§§ </w:t>
            </w:r>
            <w:r w:rsidRPr="00EC20A0">
              <w:rPr>
                <w:spacing w:val="-2"/>
              </w:rPr>
              <w:t>661-661f</w:t>
            </w:r>
          </w:p>
        </w:tc>
        <w:tc>
          <w:tcPr>
            <w:tcW w:w="943" w:type="dxa"/>
          </w:tcPr>
          <w:p w14:paraId="24D60BF9" w14:textId="77777777" w:rsidR="00245300" w:rsidRPr="00EC20A0" w:rsidRDefault="00F17249">
            <w:pPr>
              <w:pStyle w:val="TableParagraph"/>
              <w:spacing w:before="140"/>
              <w:ind w:right="102"/>
              <w:jc w:val="right"/>
            </w:pPr>
            <w:r w:rsidRPr="00EC20A0">
              <w:rPr>
                <w:spacing w:val="-5"/>
              </w:rPr>
              <w:t>804</w:t>
            </w:r>
          </w:p>
        </w:tc>
      </w:tr>
      <w:tr w:rsidR="00245300" w:rsidRPr="00EC20A0" w14:paraId="24D60BFD" w14:textId="77777777">
        <w:trPr>
          <w:trHeight w:val="540"/>
        </w:trPr>
        <w:tc>
          <w:tcPr>
            <w:tcW w:w="7699" w:type="dxa"/>
          </w:tcPr>
          <w:p w14:paraId="24D60BFB" w14:textId="77777777" w:rsidR="00245300" w:rsidRPr="00EC20A0" w:rsidRDefault="00F17249">
            <w:pPr>
              <w:pStyle w:val="TableParagraph"/>
              <w:spacing w:before="139"/>
              <w:ind w:left="50"/>
            </w:pPr>
            <w:r w:rsidRPr="00EC20A0">
              <w:t>Federal</w:t>
            </w:r>
            <w:r w:rsidRPr="00EC20A0">
              <w:rPr>
                <w:spacing w:val="-7"/>
              </w:rPr>
              <w:t xml:space="preserve"> </w:t>
            </w:r>
            <w:r w:rsidRPr="00EC20A0">
              <w:t>Debt</w:t>
            </w:r>
            <w:r w:rsidRPr="00EC20A0">
              <w:rPr>
                <w:spacing w:val="-7"/>
              </w:rPr>
              <w:t xml:space="preserve"> </w:t>
            </w:r>
            <w:r w:rsidRPr="00EC20A0">
              <w:t>Collection</w:t>
            </w:r>
            <w:r w:rsidRPr="00EC20A0">
              <w:rPr>
                <w:spacing w:val="-8"/>
              </w:rPr>
              <w:t xml:space="preserve"> </w:t>
            </w:r>
            <w:r w:rsidRPr="00EC20A0">
              <w:t>Authorities,</w:t>
            </w:r>
            <w:r w:rsidRPr="00EC20A0">
              <w:rPr>
                <w:spacing w:val="-8"/>
              </w:rPr>
              <w:t xml:space="preserve"> </w:t>
            </w:r>
            <w:r w:rsidRPr="00EC20A0">
              <w:t>as</w:t>
            </w:r>
            <w:r w:rsidRPr="00EC20A0">
              <w:rPr>
                <w:spacing w:val="-6"/>
              </w:rPr>
              <w:t xml:space="preserve"> </w:t>
            </w:r>
            <w:r w:rsidRPr="00EC20A0">
              <w:t>Provided</w:t>
            </w:r>
            <w:r w:rsidRPr="00EC20A0">
              <w:rPr>
                <w:spacing w:val="-8"/>
              </w:rPr>
              <w:t xml:space="preserve"> </w:t>
            </w:r>
            <w:r w:rsidRPr="00EC20A0">
              <w:t>in</w:t>
            </w:r>
            <w:r w:rsidRPr="00EC20A0">
              <w:rPr>
                <w:spacing w:val="-7"/>
              </w:rPr>
              <w:t xml:space="preserve"> </w:t>
            </w:r>
            <w:r w:rsidRPr="00EC20A0">
              <w:t>31</w:t>
            </w:r>
            <w:r w:rsidRPr="00EC20A0">
              <w:rPr>
                <w:spacing w:val="-7"/>
              </w:rPr>
              <w:t xml:space="preserve"> </w:t>
            </w:r>
            <w:r w:rsidRPr="00EC20A0">
              <w:t>U.S.C.</w:t>
            </w:r>
            <w:r w:rsidRPr="00EC20A0">
              <w:rPr>
                <w:spacing w:val="-7"/>
              </w:rPr>
              <w:t xml:space="preserve"> </w:t>
            </w:r>
            <w:r w:rsidRPr="00EC20A0">
              <w:t>Chapter</w:t>
            </w:r>
            <w:r w:rsidRPr="00EC20A0">
              <w:rPr>
                <w:spacing w:val="-7"/>
              </w:rPr>
              <w:t xml:space="preserve"> </w:t>
            </w:r>
            <w:r w:rsidRPr="00EC20A0">
              <w:rPr>
                <w:spacing w:val="-5"/>
              </w:rPr>
              <w:t>37</w:t>
            </w:r>
          </w:p>
        </w:tc>
        <w:tc>
          <w:tcPr>
            <w:tcW w:w="943" w:type="dxa"/>
          </w:tcPr>
          <w:p w14:paraId="24D60BFC" w14:textId="77777777" w:rsidR="00245300" w:rsidRPr="00EC20A0" w:rsidRDefault="00F17249">
            <w:pPr>
              <w:pStyle w:val="TableParagraph"/>
              <w:spacing w:before="139"/>
              <w:ind w:right="102"/>
              <w:jc w:val="right"/>
            </w:pPr>
            <w:r w:rsidRPr="00EC20A0">
              <w:rPr>
                <w:spacing w:val="-5"/>
              </w:rPr>
              <w:t>805</w:t>
            </w:r>
          </w:p>
        </w:tc>
      </w:tr>
      <w:tr w:rsidR="00245300" w:rsidRPr="00EC20A0" w14:paraId="24D60C00" w14:textId="77777777">
        <w:trPr>
          <w:trHeight w:val="541"/>
        </w:trPr>
        <w:tc>
          <w:tcPr>
            <w:tcW w:w="7699" w:type="dxa"/>
          </w:tcPr>
          <w:p w14:paraId="24D60BFE" w14:textId="77777777" w:rsidR="00245300" w:rsidRPr="00EC20A0" w:rsidRDefault="00F17249">
            <w:pPr>
              <w:pStyle w:val="TableParagraph"/>
              <w:spacing w:before="140"/>
              <w:ind w:left="50"/>
            </w:pPr>
            <w:r w:rsidRPr="00EC20A0">
              <w:t>Prompt</w:t>
            </w:r>
            <w:r w:rsidRPr="00EC20A0">
              <w:rPr>
                <w:spacing w:val="-7"/>
              </w:rPr>
              <w:t xml:space="preserve"> </w:t>
            </w:r>
            <w:r w:rsidRPr="00EC20A0">
              <w:t>Payment</w:t>
            </w:r>
            <w:r w:rsidRPr="00EC20A0">
              <w:rPr>
                <w:spacing w:val="-6"/>
              </w:rPr>
              <w:t xml:space="preserve"> </w:t>
            </w:r>
            <w:r w:rsidRPr="00EC20A0">
              <w:t>Act</w:t>
            </w:r>
            <w:r w:rsidRPr="00EC20A0">
              <w:rPr>
                <w:spacing w:val="-6"/>
              </w:rPr>
              <w:t xml:space="preserve"> </w:t>
            </w:r>
            <w:r w:rsidRPr="00EC20A0">
              <w:t>(PPA),</w:t>
            </w:r>
            <w:r w:rsidRPr="00EC20A0">
              <w:rPr>
                <w:spacing w:val="-6"/>
              </w:rPr>
              <w:t xml:space="preserve"> </w:t>
            </w:r>
            <w:r w:rsidRPr="00EC20A0">
              <w:t>as</w:t>
            </w:r>
            <w:r w:rsidRPr="00EC20A0">
              <w:rPr>
                <w:spacing w:val="-6"/>
              </w:rPr>
              <w:t xml:space="preserve"> </w:t>
            </w:r>
            <w:r w:rsidRPr="00EC20A0">
              <w:t>Provided</w:t>
            </w:r>
            <w:r w:rsidRPr="00EC20A0">
              <w:rPr>
                <w:spacing w:val="-6"/>
              </w:rPr>
              <w:t xml:space="preserve"> </w:t>
            </w:r>
            <w:r w:rsidRPr="00EC20A0">
              <w:t>in</w:t>
            </w:r>
            <w:r w:rsidRPr="00EC20A0">
              <w:rPr>
                <w:spacing w:val="-6"/>
              </w:rPr>
              <w:t xml:space="preserve"> </w:t>
            </w:r>
            <w:r w:rsidRPr="00EC20A0">
              <w:t>31</w:t>
            </w:r>
            <w:r w:rsidRPr="00EC20A0">
              <w:rPr>
                <w:spacing w:val="-7"/>
              </w:rPr>
              <w:t xml:space="preserve"> </w:t>
            </w:r>
            <w:r w:rsidRPr="00EC20A0">
              <w:t>U.S.C.</w:t>
            </w:r>
            <w:r w:rsidRPr="00EC20A0">
              <w:rPr>
                <w:spacing w:val="-6"/>
              </w:rPr>
              <w:t xml:space="preserve"> </w:t>
            </w:r>
            <w:r w:rsidRPr="00EC20A0">
              <w:t>Chapter</w:t>
            </w:r>
            <w:r w:rsidRPr="00EC20A0">
              <w:rPr>
                <w:spacing w:val="-6"/>
              </w:rPr>
              <w:t xml:space="preserve"> </w:t>
            </w:r>
            <w:r w:rsidRPr="00EC20A0">
              <w:rPr>
                <w:spacing w:val="-5"/>
              </w:rPr>
              <w:t>39</w:t>
            </w:r>
          </w:p>
        </w:tc>
        <w:tc>
          <w:tcPr>
            <w:tcW w:w="943" w:type="dxa"/>
          </w:tcPr>
          <w:p w14:paraId="24D60BFF" w14:textId="77777777" w:rsidR="00245300" w:rsidRPr="00EC20A0" w:rsidRDefault="00F17249">
            <w:pPr>
              <w:pStyle w:val="TableParagraph"/>
              <w:spacing w:before="140"/>
              <w:ind w:right="102"/>
              <w:jc w:val="right"/>
            </w:pPr>
            <w:r w:rsidRPr="00EC20A0">
              <w:rPr>
                <w:spacing w:val="-5"/>
              </w:rPr>
              <w:t>806</w:t>
            </w:r>
          </w:p>
        </w:tc>
      </w:tr>
      <w:tr w:rsidR="00245300" w:rsidRPr="00EC20A0" w14:paraId="24D60C03" w14:textId="77777777">
        <w:trPr>
          <w:trHeight w:val="794"/>
        </w:trPr>
        <w:tc>
          <w:tcPr>
            <w:tcW w:w="7699" w:type="dxa"/>
          </w:tcPr>
          <w:p w14:paraId="24D60C01" w14:textId="77777777" w:rsidR="00245300" w:rsidRPr="00EC20A0" w:rsidRDefault="00F17249">
            <w:pPr>
              <w:pStyle w:val="TableParagraph"/>
              <w:spacing w:before="140"/>
              <w:ind w:left="50" w:right="439"/>
            </w:pPr>
            <w:r w:rsidRPr="00EC20A0">
              <w:t>Pay</w:t>
            </w:r>
            <w:r w:rsidRPr="00EC20A0">
              <w:rPr>
                <w:spacing w:val="-5"/>
              </w:rPr>
              <w:t xml:space="preserve"> </w:t>
            </w:r>
            <w:r w:rsidRPr="00EC20A0">
              <w:t>and</w:t>
            </w:r>
            <w:r w:rsidRPr="00EC20A0">
              <w:rPr>
                <w:spacing w:val="-5"/>
              </w:rPr>
              <w:t xml:space="preserve"> </w:t>
            </w:r>
            <w:r w:rsidRPr="00EC20A0">
              <w:t>Allowance</w:t>
            </w:r>
            <w:r w:rsidRPr="00EC20A0">
              <w:rPr>
                <w:spacing w:val="-5"/>
              </w:rPr>
              <w:t xml:space="preserve"> </w:t>
            </w:r>
            <w:r w:rsidRPr="00EC20A0">
              <w:t>System</w:t>
            </w:r>
            <w:r w:rsidRPr="00EC20A0">
              <w:rPr>
                <w:spacing w:val="-6"/>
              </w:rPr>
              <w:t xml:space="preserve"> </w:t>
            </w:r>
            <w:r w:rsidRPr="00EC20A0">
              <w:t>for</w:t>
            </w:r>
            <w:r w:rsidRPr="00EC20A0">
              <w:rPr>
                <w:spacing w:val="-5"/>
              </w:rPr>
              <w:t xml:space="preserve"> </w:t>
            </w:r>
            <w:r w:rsidRPr="00EC20A0">
              <w:t>Civilian</w:t>
            </w:r>
            <w:r w:rsidRPr="00EC20A0">
              <w:rPr>
                <w:spacing w:val="-5"/>
              </w:rPr>
              <w:t xml:space="preserve"> </w:t>
            </w:r>
            <w:r w:rsidRPr="00EC20A0">
              <w:t>Employees,</w:t>
            </w:r>
            <w:r w:rsidRPr="00EC20A0">
              <w:rPr>
                <w:spacing w:val="-5"/>
              </w:rPr>
              <w:t xml:space="preserve"> </w:t>
            </w:r>
            <w:r w:rsidRPr="00EC20A0">
              <w:t>as</w:t>
            </w:r>
            <w:r w:rsidRPr="00EC20A0">
              <w:rPr>
                <w:spacing w:val="-5"/>
              </w:rPr>
              <w:t xml:space="preserve"> </w:t>
            </w:r>
            <w:r w:rsidRPr="00EC20A0">
              <w:t>Provided</w:t>
            </w:r>
            <w:r w:rsidRPr="00EC20A0">
              <w:rPr>
                <w:spacing w:val="-5"/>
              </w:rPr>
              <w:t xml:space="preserve"> </w:t>
            </w:r>
            <w:r w:rsidRPr="00EC20A0">
              <w:t>Primarily in 5 U.S.C. Chapters 51-59</w:t>
            </w:r>
          </w:p>
        </w:tc>
        <w:tc>
          <w:tcPr>
            <w:tcW w:w="943" w:type="dxa"/>
          </w:tcPr>
          <w:p w14:paraId="24D60C02" w14:textId="77777777" w:rsidR="00245300" w:rsidRPr="00EC20A0" w:rsidRDefault="00F17249">
            <w:pPr>
              <w:pStyle w:val="TableParagraph"/>
              <w:spacing w:before="140"/>
              <w:ind w:right="102"/>
              <w:jc w:val="right"/>
            </w:pPr>
            <w:r w:rsidRPr="00EC20A0">
              <w:rPr>
                <w:spacing w:val="-5"/>
              </w:rPr>
              <w:t>807</w:t>
            </w:r>
          </w:p>
        </w:tc>
      </w:tr>
      <w:tr w:rsidR="00245300" w:rsidRPr="00EC20A0" w14:paraId="24D60C06" w14:textId="77777777">
        <w:trPr>
          <w:trHeight w:val="540"/>
        </w:trPr>
        <w:tc>
          <w:tcPr>
            <w:tcW w:w="7699" w:type="dxa"/>
          </w:tcPr>
          <w:p w14:paraId="24D60C04" w14:textId="77777777" w:rsidR="00245300" w:rsidRPr="00EC20A0" w:rsidRDefault="00F17249">
            <w:pPr>
              <w:pStyle w:val="TableParagraph"/>
              <w:spacing w:before="140"/>
              <w:ind w:left="50"/>
            </w:pPr>
            <w:r w:rsidRPr="00EC20A0">
              <w:t>Civil</w:t>
            </w:r>
            <w:r w:rsidRPr="00EC20A0">
              <w:rPr>
                <w:spacing w:val="-7"/>
              </w:rPr>
              <w:t xml:space="preserve"> </w:t>
            </w:r>
            <w:r w:rsidRPr="00EC20A0">
              <w:t>Service</w:t>
            </w:r>
            <w:r w:rsidRPr="00EC20A0">
              <w:rPr>
                <w:spacing w:val="-8"/>
              </w:rPr>
              <w:t xml:space="preserve"> </w:t>
            </w:r>
            <w:r w:rsidRPr="00EC20A0">
              <w:t>Retirement</w:t>
            </w:r>
            <w:r w:rsidRPr="00EC20A0">
              <w:rPr>
                <w:spacing w:val="-7"/>
              </w:rPr>
              <w:t xml:space="preserve"> </w:t>
            </w:r>
            <w:r w:rsidRPr="00EC20A0">
              <w:t>Act</w:t>
            </w:r>
            <w:r w:rsidRPr="00EC20A0">
              <w:rPr>
                <w:spacing w:val="-7"/>
              </w:rPr>
              <w:t xml:space="preserve"> </w:t>
            </w:r>
            <w:r w:rsidRPr="00EC20A0">
              <w:t>(CSRA),</w:t>
            </w:r>
            <w:r w:rsidRPr="00EC20A0">
              <w:rPr>
                <w:spacing w:val="-6"/>
              </w:rPr>
              <w:t xml:space="preserve"> </w:t>
            </w:r>
            <w:r w:rsidRPr="00EC20A0">
              <w:t>as</w:t>
            </w:r>
            <w:r w:rsidRPr="00EC20A0">
              <w:rPr>
                <w:spacing w:val="-7"/>
              </w:rPr>
              <w:t xml:space="preserve"> </w:t>
            </w:r>
            <w:r w:rsidRPr="00EC20A0">
              <w:t>Provided</w:t>
            </w:r>
            <w:r w:rsidRPr="00EC20A0">
              <w:rPr>
                <w:spacing w:val="-8"/>
              </w:rPr>
              <w:t xml:space="preserve"> </w:t>
            </w:r>
            <w:r w:rsidRPr="00EC20A0">
              <w:t>in</w:t>
            </w:r>
            <w:r w:rsidRPr="00EC20A0">
              <w:rPr>
                <w:spacing w:val="-7"/>
              </w:rPr>
              <w:t xml:space="preserve"> </w:t>
            </w:r>
            <w:r w:rsidRPr="00EC20A0">
              <w:t>5</w:t>
            </w:r>
            <w:r w:rsidRPr="00EC20A0">
              <w:rPr>
                <w:spacing w:val="-7"/>
              </w:rPr>
              <w:t xml:space="preserve"> </w:t>
            </w:r>
            <w:r w:rsidRPr="00EC20A0">
              <w:t>U.S.C.</w:t>
            </w:r>
            <w:r w:rsidRPr="00EC20A0">
              <w:rPr>
                <w:spacing w:val="-6"/>
              </w:rPr>
              <w:t xml:space="preserve"> </w:t>
            </w:r>
            <w:r w:rsidRPr="00EC20A0">
              <w:t>Chapter</w:t>
            </w:r>
            <w:r w:rsidRPr="00EC20A0">
              <w:rPr>
                <w:spacing w:val="-7"/>
              </w:rPr>
              <w:t xml:space="preserve"> </w:t>
            </w:r>
            <w:r w:rsidRPr="00EC20A0">
              <w:rPr>
                <w:spacing w:val="-5"/>
              </w:rPr>
              <w:t>83</w:t>
            </w:r>
          </w:p>
        </w:tc>
        <w:tc>
          <w:tcPr>
            <w:tcW w:w="943" w:type="dxa"/>
          </w:tcPr>
          <w:p w14:paraId="24D60C05" w14:textId="77777777" w:rsidR="00245300" w:rsidRPr="00EC20A0" w:rsidRDefault="00F17249">
            <w:pPr>
              <w:pStyle w:val="TableParagraph"/>
              <w:spacing w:before="140"/>
              <w:ind w:right="102"/>
              <w:jc w:val="right"/>
            </w:pPr>
            <w:r w:rsidRPr="00EC20A0">
              <w:rPr>
                <w:spacing w:val="-5"/>
              </w:rPr>
              <w:t>808</w:t>
            </w:r>
          </w:p>
        </w:tc>
      </w:tr>
      <w:tr w:rsidR="00245300" w:rsidRPr="00EC20A0" w14:paraId="24D60C09" w14:textId="77777777">
        <w:trPr>
          <w:trHeight w:val="793"/>
        </w:trPr>
        <w:tc>
          <w:tcPr>
            <w:tcW w:w="7699" w:type="dxa"/>
          </w:tcPr>
          <w:p w14:paraId="24D60C07" w14:textId="77777777" w:rsidR="00245300" w:rsidRPr="00EC20A0" w:rsidRDefault="00F17249">
            <w:pPr>
              <w:pStyle w:val="TableParagraph"/>
              <w:spacing w:before="139"/>
              <w:ind w:left="50"/>
            </w:pPr>
            <w:r w:rsidRPr="00EC20A0">
              <w:t>Federal</w:t>
            </w:r>
            <w:r w:rsidRPr="00EC20A0">
              <w:rPr>
                <w:spacing w:val="-4"/>
              </w:rPr>
              <w:t xml:space="preserve"> </w:t>
            </w:r>
            <w:r w:rsidRPr="00EC20A0">
              <w:t>Employees</w:t>
            </w:r>
            <w:r w:rsidRPr="00EC20A0">
              <w:rPr>
                <w:spacing w:val="-4"/>
              </w:rPr>
              <w:t xml:space="preserve"> </w:t>
            </w:r>
            <w:r w:rsidRPr="00EC20A0">
              <w:t>Health</w:t>
            </w:r>
            <w:r w:rsidRPr="00EC20A0">
              <w:rPr>
                <w:spacing w:val="-4"/>
              </w:rPr>
              <w:t xml:space="preserve"> </w:t>
            </w:r>
            <w:r w:rsidRPr="00EC20A0">
              <w:t>Benefits</w:t>
            </w:r>
            <w:r w:rsidRPr="00EC20A0">
              <w:rPr>
                <w:spacing w:val="-5"/>
              </w:rPr>
              <w:t xml:space="preserve"> </w:t>
            </w:r>
            <w:r w:rsidRPr="00EC20A0">
              <w:t>Act</w:t>
            </w:r>
            <w:r w:rsidRPr="00EC20A0">
              <w:rPr>
                <w:spacing w:val="-4"/>
              </w:rPr>
              <w:t xml:space="preserve"> </w:t>
            </w:r>
            <w:r w:rsidRPr="00EC20A0">
              <w:t>(FEHBA),</w:t>
            </w:r>
            <w:r w:rsidRPr="00EC20A0">
              <w:rPr>
                <w:spacing w:val="-4"/>
              </w:rPr>
              <w:t xml:space="preserve"> </w:t>
            </w:r>
            <w:r w:rsidRPr="00EC20A0">
              <w:t>as</w:t>
            </w:r>
            <w:r w:rsidRPr="00EC20A0">
              <w:rPr>
                <w:spacing w:val="-4"/>
              </w:rPr>
              <w:t xml:space="preserve"> </w:t>
            </w:r>
            <w:r w:rsidRPr="00EC20A0">
              <w:t>Provided</w:t>
            </w:r>
            <w:r w:rsidRPr="00EC20A0">
              <w:rPr>
                <w:spacing w:val="-4"/>
              </w:rPr>
              <w:t xml:space="preserve"> </w:t>
            </w:r>
            <w:r w:rsidRPr="00EC20A0">
              <w:t>in</w:t>
            </w:r>
            <w:r w:rsidRPr="00EC20A0">
              <w:rPr>
                <w:spacing w:val="-4"/>
              </w:rPr>
              <w:t xml:space="preserve"> </w:t>
            </w:r>
            <w:r w:rsidRPr="00EC20A0">
              <w:t>5</w:t>
            </w:r>
            <w:r w:rsidRPr="00EC20A0">
              <w:rPr>
                <w:spacing w:val="-4"/>
              </w:rPr>
              <w:t xml:space="preserve"> </w:t>
            </w:r>
            <w:r w:rsidRPr="00EC20A0">
              <w:t>U.S.C. Chapter 89</w:t>
            </w:r>
          </w:p>
        </w:tc>
        <w:tc>
          <w:tcPr>
            <w:tcW w:w="943" w:type="dxa"/>
          </w:tcPr>
          <w:p w14:paraId="24D60C08" w14:textId="77777777" w:rsidR="00245300" w:rsidRPr="00EC20A0" w:rsidRDefault="00F17249">
            <w:pPr>
              <w:pStyle w:val="TableParagraph"/>
              <w:spacing w:before="141"/>
              <w:ind w:right="102"/>
              <w:jc w:val="right"/>
            </w:pPr>
            <w:r w:rsidRPr="00EC20A0">
              <w:rPr>
                <w:spacing w:val="-5"/>
              </w:rPr>
              <w:t>809</w:t>
            </w:r>
          </w:p>
        </w:tc>
      </w:tr>
      <w:tr w:rsidR="00245300" w:rsidRPr="00EC20A0" w14:paraId="24D60C0C" w14:textId="77777777">
        <w:trPr>
          <w:trHeight w:val="794"/>
        </w:trPr>
        <w:tc>
          <w:tcPr>
            <w:tcW w:w="7699" w:type="dxa"/>
          </w:tcPr>
          <w:p w14:paraId="24D60C0A" w14:textId="77777777" w:rsidR="00245300" w:rsidRPr="00EC20A0" w:rsidRDefault="00F17249">
            <w:pPr>
              <w:pStyle w:val="TableParagraph"/>
              <w:spacing w:before="140"/>
              <w:ind w:left="50"/>
            </w:pPr>
            <w:r w:rsidRPr="00EC20A0">
              <w:t>Federal</w:t>
            </w:r>
            <w:r w:rsidRPr="00EC20A0">
              <w:rPr>
                <w:spacing w:val="-5"/>
              </w:rPr>
              <w:t xml:space="preserve"> </w:t>
            </w:r>
            <w:r w:rsidRPr="00EC20A0">
              <w:t>Employees'</w:t>
            </w:r>
            <w:r w:rsidRPr="00EC20A0">
              <w:rPr>
                <w:spacing w:val="-5"/>
              </w:rPr>
              <w:t xml:space="preserve"> </w:t>
            </w:r>
            <w:r w:rsidRPr="00EC20A0">
              <w:t>Compensation</w:t>
            </w:r>
            <w:r w:rsidRPr="00EC20A0">
              <w:rPr>
                <w:spacing w:val="-5"/>
              </w:rPr>
              <w:t xml:space="preserve"> </w:t>
            </w:r>
            <w:r w:rsidRPr="00EC20A0">
              <w:t>Act</w:t>
            </w:r>
            <w:r w:rsidRPr="00EC20A0">
              <w:rPr>
                <w:spacing w:val="-5"/>
              </w:rPr>
              <w:t xml:space="preserve"> </w:t>
            </w:r>
            <w:r w:rsidRPr="00EC20A0">
              <w:t>(FECA),</w:t>
            </w:r>
            <w:r w:rsidRPr="00EC20A0">
              <w:rPr>
                <w:spacing w:val="-4"/>
              </w:rPr>
              <w:t xml:space="preserve"> </w:t>
            </w:r>
            <w:r w:rsidRPr="00EC20A0">
              <w:t>as</w:t>
            </w:r>
            <w:r w:rsidRPr="00EC20A0">
              <w:rPr>
                <w:spacing w:val="-4"/>
              </w:rPr>
              <w:t xml:space="preserve"> </w:t>
            </w:r>
            <w:r w:rsidRPr="00EC20A0">
              <w:t>Provided</w:t>
            </w:r>
            <w:r w:rsidRPr="00EC20A0">
              <w:rPr>
                <w:spacing w:val="-6"/>
              </w:rPr>
              <w:t xml:space="preserve"> </w:t>
            </w:r>
            <w:r w:rsidRPr="00EC20A0">
              <w:t>in</w:t>
            </w:r>
            <w:r w:rsidRPr="00EC20A0">
              <w:rPr>
                <w:spacing w:val="-5"/>
              </w:rPr>
              <w:t xml:space="preserve"> </w:t>
            </w:r>
            <w:r w:rsidRPr="00EC20A0">
              <w:t>5</w:t>
            </w:r>
            <w:r w:rsidRPr="00EC20A0">
              <w:rPr>
                <w:spacing w:val="-5"/>
              </w:rPr>
              <w:t xml:space="preserve"> </w:t>
            </w:r>
            <w:r w:rsidRPr="00EC20A0">
              <w:t>U.S.C. Chapter 81</w:t>
            </w:r>
          </w:p>
        </w:tc>
        <w:tc>
          <w:tcPr>
            <w:tcW w:w="943" w:type="dxa"/>
          </w:tcPr>
          <w:p w14:paraId="24D60C0B" w14:textId="77777777" w:rsidR="00245300" w:rsidRPr="00EC20A0" w:rsidRDefault="00F17249">
            <w:pPr>
              <w:pStyle w:val="TableParagraph"/>
              <w:spacing w:before="140"/>
              <w:ind w:right="102"/>
              <w:jc w:val="right"/>
            </w:pPr>
            <w:r w:rsidRPr="00EC20A0">
              <w:rPr>
                <w:spacing w:val="-5"/>
              </w:rPr>
              <w:t>810</w:t>
            </w:r>
          </w:p>
        </w:tc>
      </w:tr>
      <w:tr w:rsidR="00245300" w:rsidRPr="00EC20A0" w14:paraId="24D60C10" w14:textId="77777777">
        <w:trPr>
          <w:trHeight w:val="646"/>
        </w:trPr>
        <w:tc>
          <w:tcPr>
            <w:tcW w:w="7699" w:type="dxa"/>
          </w:tcPr>
          <w:p w14:paraId="24D60C0D" w14:textId="77777777" w:rsidR="00245300" w:rsidRPr="00EC20A0" w:rsidRDefault="00F17249">
            <w:pPr>
              <w:pStyle w:val="TableParagraph"/>
              <w:spacing w:before="140"/>
              <w:ind w:left="50"/>
            </w:pPr>
            <w:r w:rsidRPr="00EC20A0">
              <w:t>Federal</w:t>
            </w:r>
            <w:r w:rsidRPr="00EC20A0">
              <w:rPr>
                <w:spacing w:val="-8"/>
              </w:rPr>
              <w:t xml:space="preserve"> </w:t>
            </w:r>
            <w:r w:rsidRPr="00EC20A0">
              <w:t>Employees’</w:t>
            </w:r>
            <w:r w:rsidRPr="00EC20A0">
              <w:rPr>
                <w:spacing w:val="-8"/>
              </w:rPr>
              <w:t xml:space="preserve"> </w:t>
            </w:r>
            <w:r w:rsidRPr="00EC20A0">
              <w:t>Retirement</w:t>
            </w:r>
            <w:r w:rsidRPr="00EC20A0">
              <w:rPr>
                <w:spacing w:val="-7"/>
              </w:rPr>
              <w:t xml:space="preserve"> </w:t>
            </w:r>
            <w:r w:rsidRPr="00EC20A0">
              <w:t>System</w:t>
            </w:r>
            <w:r w:rsidRPr="00EC20A0">
              <w:rPr>
                <w:spacing w:val="-9"/>
              </w:rPr>
              <w:t xml:space="preserve"> </w:t>
            </w:r>
            <w:r w:rsidRPr="00EC20A0">
              <w:t>Act</w:t>
            </w:r>
            <w:r w:rsidRPr="00EC20A0">
              <w:rPr>
                <w:spacing w:val="-7"/>
              </w:rPr>
              <w:t xml:space="preserve"> </w:t>
            </w:r>
            <w:r w:rsidRPr="00EC20A0">
              <w:t>(FERSA),</w:t>
            </w:r>
            <w:r w:rsidRPr="00EC20A0">
              <w:rPr>
                <w:spacing w:val="-8"/>
              </w:rPr>
              <w:t xml:space="preserve"> </w:t>
            </w:r>
            <w:r w:rsidRPr="00EC20A0">
              <w:t>as</w:t>
            </w:r>
            <w:r w:rsidRPr="00EC20A0">
              <w:rPr>
                <w:spacing w:val="-8"/>
              </w:rPr>
              <w:t xml:space="preserve"> </w:t>
            </w:r>
            <w:r w:rsidRPr="00EC20A0">
              <w:t>Provided</w:t>
            </w:r>
            <w:r w:rsidRPr="00EC20A0">
              <w:rPr>
                <w:spacing w:val="-7"/>
              </w:rPr>
              <w:t xml:space="preserve"> </w:t>
            </w:r>
            <w:r w:rsidRPr="00EC20A0">
              <w:t>in</w:t>
            </w:r>
            <w:r w:rsidRPr="00EC20A0">
              <w:rPr>
                <w:spacing w:val="-8"/>
              </w:rPr>
              <w:t xml:space="preserve"> </w:t>
            </w:r>
            <w:r w:rsidRPr="00EC20A0">
              <w:rPr>
                <w:spacing w:val="-10"/>
              </w:rPr>
              <w:t>5</w:t>
            </w:r>
          </w:p>
          <w:p w14:paraId="24D60C0E" w14:textId="77777777" w:rsidR="00245300" w:rsidRPr="00EC20A0" w:rsidRDefault="00F17249">
            <w:pPr>
              <w:pStyle w:val="TableParagraph"/>
              <w:spacing w:line="233" w:lineRule="exact"/>
              <w:ind w:left="50"/>
            </w:pPr>
            <w:r w:rsidRPr="00EC20A0">
              <w:t>U.S.C.</w:t>
            </w:r>
            <w:r w:rsidRPr="00EC20A0">
              <w:rPr>
                <w:spacing w:val="-9"/>
              </w:rPr>
              <w:t xml:space="preserve"> </w:t>
            </w:r>
            <w:r w:rsidRPr="00EC20A0">
              <w:t>Chapter</w:t>
            </w:r>
            <w:r w:rsidRPr="00EC20A0">
              <w:rPr>
                <w:spacing w:val="-9"/>
              </w:rPr>
              <w:t xml:space="preserve"> </w:t>
            </w:r>
            <w:r w:rsidRPr="00EC20A0">
              <w:rPr>
                <w:spacing w:val="-5"/>
              </w:rPr>
              <w:t>84</w:t>
            </w:r>
          </w:p>
        </w:tc>
        <w:tc>
          <w:tcPr>
            <w:tcW w:w="943" w:type="dxa"/>
          </w:tcPr>
          <w:p w14:paraId="24D60C0F" w14:textId="77777777" w:rsidR="00245300" w:rsidRPr="00EC20A0" w:rsidRDefault="00F17249">
            <w:pPr>
              <w:pStyle w:val="TableParagraph"/>
              <w:spacing w:before="140"/>
              <w:ind w:right="102"/>
              <w:jc w:val="right"/>
            </w:pPr>
            <w:r w:rsidRPr="00EC20A0">
              <w:rPr>
                <w:spacing w:val="-5"/>
              </w:rPr>
              <w:t>811</w:t>
            </w:r>
          </w:p>
        </w:tc>
      </w:tr>
    </w:tbl>
    <w:p w14:paraId="24D60C11" w14:textId="77777777" w:rsidR="00245300" w:rsidRPr="00EC20A0" w:rsidRDefault="00245300">
      <w:pPr>
        <w:jc w:val="right"/>
        <w:sectPr w:rsidR="00245300" w:rsidRPr="00EC20A0">
          <w:headerReference w:type="default" r:id="rId84"/>
          <w:footerReference w:type="default" r:id="rId85"/>
          <w:pgSz w:w="12240" w:h="15840"/>
          <w:pgMar w:top="1340" w:right="1140" w:bottom="940" w:left="1320" w:header="721" w:footer="742" w:gutter="0"/>
          <w:cols w:space="720"/>
        </w:sectPr>
      </w:pPr>
    </w:p>
    <w:p w14:paraId="24D60C12" w14:textId="77777777" w:rsidR="00245300" w:rsidRPr="00EC20A0" w:rsidRDefault="00F17249" w:rsidP="00350A92">
      <w:pPr>
        <w:pStyle w:val="Heading3"/>
      </w:pPr>
      <w:bookmarkStart w:id="171" w:name="802_–_General_Compliance_Checklist"/>
      <w:bookmarkStart w:id="172" w:name="_bookmark71"/>
      <w:bookmarkEnd w:id="171"/>
      <w:bookmarkEnd w:id="172"/>
      <w:r w:rsidRPr="00EC20A0">
        <w:t>802</w:t>
      </w:r>
      <w:r w:rsidRPr="00EC20A0">
        <w:rPr>
          <w:spacing w:val="-6"/>
        </w:rPr>
        <w:t xml:space="preserve"> </w:t>
      </w:r>
      <w:r w:rsidRPr="00EC20A0">
        <w:t>–</w:t>
      </w:r>
      <w:r w:rsidRPr="00EC20A0">
        <w:rPr>
          <w:spacing w:val="-3"/>
        </w:rPr>
        <w:t xml:space="preserve"> </w:t>
      </w:r>
      <w:r w:rsidRPr="00EC20A0">
        <w:t>General</w:t>
      </w:r>
      <w:r w:rsidRPr="00EC20A0">
        <w:rPr>
          <w:spacing w:val="-5"/>
        </w:rPr>
        <w:t xml:space="preserve"> </w:t>
      </w:r>
      <w:r w:rsidRPr="00EC20A0">
        <w:t>Compliance</w:t>
      </w:r>
      <w:r w:rsidRPr="00EC20A0">
        <w:rPr>
          <w:spacing w:val="-3"/>
        </w:rPr>
        <w:t xml:space="preserve"> </w:t>
      </w:r>
      <w:r w:rsidRPr="00EC20A0">
        <w:rPr>
          <w:spacing w:val="-2"/>
        </w:rPr>
        <w:t>Checklist</w:t>
      </w:r>
    </w:p>
    <w:p w14:paraId="24D60C13" w14:textId="77777777" w:rsidR="00245300" w:rsidRPr="00EC20A0" w:rsidRDefault="00F17249">
      <w:pPr>
        <w:pStyle w:val="ListParagraph"/>
        <w:numPr>
          <w:ilvl w:val="0"/>
          <w:numId w:val="8"/>
        </w:numPr>
        <w:tabs>
          <w:tab w:val="left" w:pos="1470"/>
        </w:tabs>
        <w:spacing w:before="143"/>
        <w:ind w:right="323"/>
      </w:pPr>
      <w:r w:rsidRPr="00EC20A0">
        <w:t>The compliance testing section consists of the General Compliance Checklist in FAM 802 (questionnaire) for identifying laws and regulations for compliance testing (see FAM 245, Identify Significant Provisions of Applicable Laws, Regulations, Contracts, and Grant Agreements</w:t>
      </w:r>
      <w:r w:rsidRPr="00EC20A0">
        <w:rPr>
          <w:i/>
        </w:rPr>
        <w:t xml:space="preserve">, </w:t>
      </w:r>
      <w:r w:rsidRPr="00EC20A0">
        <w:t>and FAM 295 H, List of General Laws). This checklist assists the auditor with the requirement in FAM 245.03 to obtain sufficient appropriate audit evidence regarding material amounts and disclosures in the financial statements that are determined by provisions of those laws,</w:t>
      </w:r>
      <w:r w:rsidRPr="00EC20A0">
        <w:rPr>
          <w:spacing w:val="-4"/>
        </w:rPr>
        <w:t xml:space="preserve"> </w:t>
      </w:r>
      <w:r w:rsidRPr="00EC20A0">
        <w:t>regulations,</w:t>
      </w:r>
      <w:r w:rsidRPr="00EC20A0">
        <w:rPr>
          <w:spacing w:val="-4"/>
        </w:rPr>
        <w:t xml:space="preserve"> </w:t>
      </w:r>
      <w:r w:rsidRPr="00EC20A0">
        <w:t>contracts,</w:t>
      </w:r>
      <w:r w:rsidRPr="00EC20A0">
        <w:rPr>
          <w:spacing w:val="-4"/>
        </w:rPr>
        <w:t xml:space="preserve"> </w:t>
      </w:r>
      <w:r w:rsidRPr="00EC20A0">
        <w:t>and</w:t>
      </w:r>
      <w:r w:rsidRPr="00EC20A0">
        <w:rPr>
          <w:spacing w:val="-4"/>
        </w:rPr>
        <w:t xml:space="preserve"> </w:t>
      </w:r>
      <w:r w:rsidRPr="00EC20A0">
        <w:t>grant</w:t>
      </w:r>
      <w:r w:rsidRPr="00EC20A0">
        <w:rPr>
          <w:spacing w:val="-4"/>
        </w:rPr>
        <w:t xml:space="preserve"> </w:t>
      </w:r>
      <w:r w:rsidRPr="00EC20A0">
        <w:t>agreements</w:t>
      </w:r>
      <w:r w:rsidRPr="00EC20A0">
        <w:rPr>
          <w:spacing w:val="-4"/>
        </w:rPr>
        <w:t xml:space="preserve"> </w:t>
      </w:r>
      <w:r w:rsidRPr="00EC20A0">
        <w:t>generally</w:t>
      </w:r>
      <w:r w:rsidRPr="00EC20A0">
        <w:rPr>
          <w:spacing w:val="-4"/>
        </w:rPr>
        <w:t xml:space="preserve"> </w:t>
      </w:r>
      <w:r w:rsidRPr="00EC20A0">
        <w:t>recognized</w:t>
      </w:r>
      <w:r w:rsidRPr="00EC20A0">
        <w:rPr>
          <w:spacing w:val="-4"/>
        </w:rPr>
        <w:t xml:space="preserve"> </w:t>
      </w:r>
      <w:r w:rsidRPr="00EC20A0">
        <w:t>to</w:t>
      </w:r>
      <w:r w:rsidRPr="00EC20A0">
        <w:rPr>
          <w:spacing w:val="-4"/>
        </w:rPr>
        <w:t xml:space="preserve"> </w:t>
      </w:r>
      <w:r w:rsidRPr="00EC20A0">
        <w:t>have</w:t>
      </w:r>
      <w:r w:rsidRPr="00EC20A0">
        <w:rPr>
          <w:spacing w:val="-4"/>
        </w:rPr>
        <w:t xml:space="preserve"> </w:t>
      </w:r>
      <w:r w:rsidRPr="00EC20A0">
        <w:t xml:space="preserve">a direct effect on their determination and to thereby comply with GAGAS and AU-C 250, </w:t>
      </w:r>
      <w:r w:rsidRPr="00EC20A0">
        <w:rPr>
          <w:i/>
        </w:rPr>
        <w:t>Consideration of Laws and Regulations in an Audit of Financial Statements</w:t>
      </w:r>
      <w:r w:rsidRPr="00EC20A0">
        <w:t>.</w:t>
      </w:r>
      <w:r w:rsidRPr="00EC20A0">
        <w:t xml:space="preserve"> The checklist does so by including frequently encountered laws that apply to</w:t>
      </w:r>
      <w:r w:rsidRPr="00EC20A0">
        <w:rPr>
          <w:spacing w:val="40"/>
        </w:rPr>
        <w:t xml:space="preserve"> </w:t>
      </w:r>
      <w:r w:rsidRPr="00EC20A0">
        <w:t>many federal entities and also a section that identifies other laws and regulations based on a particular federal entity’s legal and regulatory framework. The compliance supplements, which are found in FAM sections 803-811, provide detailed guidance for assessing the effectiveness of compliance controls and testing compliance with the significant provisions of frequently encountered laws. The</w:t>
      </w:r>
      <w:r w:rsidRPr="00EC20A0">
        <w:rPr>
          <w:spacing w:val="-1"/>
        </w:rPr>
        <w:t xml:space="preserve"> </w:t>
      </w:r>
      <w:r w:rsidRPr="00EC20A0">
        <w:t>General</w:t>
      </w:r>
      <w:r w:rsidRPr="00EC20A0">
        <w:rPr>
          <w:spacing w:val="-1"/>
        </w:rPr>
        <w:t xml:space="preserve"> </w:t>
      </w:r>
      <w:r w:rsidRPr="00EC20A0">
        <w:t>Compliance</w:t>
      </w:r>
      <w:r w:rsidRPr="00EC20A0">
        <w:rPr>
          <w:spacing w:val="-1"/>
        </w:rPr>
        <w:t xml:space="preserve"> </w:t>
      </w:r>
      <w:r w:rsidRPr="00EC20A0">
        <w:t>Checklist</w:t>
      </w:r>
      <w:r w:rsidRPr="00EC20A0">
        <w:rPr>
          <w:spacing w:val="-1"/>
        </w:rPr>
        <w:t xml:space="preserve"> </w:t>
      </w:r>
      <w:r w:rsidRPr="00EC20A0">
        <w:t>does</w:t>
      </w:r>
      <w:r w:rsidRPr="00EC20A0">
        <w:rPr>
          <w:spacing w:val="-1"/>
        </w:rPr>
        <w:t xml:space="preserve"> </w:t>
      </w:r>
      <w:r w:rsidRPr="00EC20A0">
        <w:t>not</w:t>
      </w:r>
      <w:r w:rsidRPr="00EC20A0">
        <w:rPr>
          <w:spacing w:val="-1"/>
        </w:rPr>
        <w:t xml:space="preserve"> </w:t>
      </w:r>
      <w:r w:rsidRPr="00EC20A0">
        <w:t>include</w:t>
      </w:r>
      <w:r w:rsidRPr="00EC20A0">
        <w:rPr>
          <w:spacing w:val="-1"/>
        </w:rPr>
        <w:t xml:space="preserve"> </w:t>
      </w:r>
      <w:r w:rsidRPr="00EC20A0">
        <w:t>guidance</w:t>
      </w:r>
      <w:r w:rsidRPr="00EC20A0">
        <w:rPr>
          <w:spacing w:val="-1"/>
        </w:rPr>
        <w:t xml:space="preserve"> </w:t>
      </w:r>
      <w:r w:rsidRPr="00EC20A0">
        <w:t>related</w:t>
      </w:r>
      <w:r w:rsidRPr="00EC20A0">
        <w:rPr>
          <w:spacing w:val="-1"/>
        </w:rPr>
        <w:t xml:space="preserve"> </w:t>
      </w:r>
      <w:r w:rsidRPr="00EC20A0">
        <w:t>to</w:t>
      </w:r>
      <w:r w:rsidRPr="00EC20A0">
        <w:rPr>
          <w:spacing w:val="-2"/>
        </w:rPr>
        <w:t xml:space="preserve"> </w:t>
      </w:r>
      <w:r w:rsidRPr="00EC20A0">
        <w:t>contracts and grant agreements, which are discussed in FAM 245.</w:t>
      </w:r>
    </w:p>
    <w:p w14:paraId="24D60C14" w14:textId="77777777" w:rsidR="00245300" w:rsidRPr="00EC20A0" w:rsidRDefault="00F17249">
      <w:pPr>
        <w:pStyle w:val="ListParagraph"/>
        <w:numPr>
          <w:ilvl w:val="0"/>
          <w:numId w:val="8"/>
        </w:numPr>
        <w:tabs>
          <w:tab w:val="left" w:pos="1470"/>
        </w:tabs>
        <w:spacing w:before="145"/>
        <w:ind w:right="346"/>
      </w:pPr>
      <w:r w:rsidRPr="00EC20A0">
        <w:t xml:space="preserve">The auditor generally should complete the General </w:t>
      </w:r>
      <w:r w:rsidRPr="00EC20A0">
        <w:t>Compliance Checklist (Form 802), or its equivalent, for federal financial statement audits. The auditor should decide if a frequently encountered law is significant for purposes of compliance testing.</w:t>
      </w:r>
      <w:r w:rsidRPr="00EC20A0">
        <w:rPr>
          <w:spacing w:val="-4"/>
        </w:rPr>
        <w:t xml:space="preserve"> </w:t>
      </w:r>
      <w:r w:rsidRPr="00EC20A0">
        <w:t>The</w:t>
      </w:r>
      <w:r w:rsidRPr="00EC20A0">
        <w:rPr>
          <w:spacing w:val="-5"/>
        </w:rPr>
        <w:t xml:space="preserve"> </w:t>
      </w:r>
      <w:r w:rsidRPr="00EC20A0">
        <w:t>auditor</w:t>
      </w:r>
      <w:r w:rsidRPr="00EC20A0">
        <w:rPr>
          <w:spacing w:val="-4"/>
        </w:rPr>
        <w:t xml:space="preserve"> </w:t>
      </w:r>
      <w:r w:rsidRPr="00EC20A0">
        <w:t>should</w:t>
      </w:r>
      <w:r w:rsidRPr="00EC20A0">
        <w:rPr>
          <w:spacing w:val="-4"/>
        </w:rPr>
        <w:t xml:space="preserve"> </w:t>
      </w:r>
      <w:r w:rsidRPr="00EC20A0">
        <w:t>complete</w:t>
      </w:r>
      <w:r w:rsidRPr="00EC20A0">
        <w:rPr>
          <w:spacing w:val="-5"/>
        </w:rPr>
        <w:t xml:space="preserve"> </w:t>
      </w:r>
      <w:r w:rsidRPr="00EC20A0">
        <w:t>compliance</w:t>
      </w:r>
      <w:r w:rsidRPr="00EC20A0">
        <w:rPr>
          <w:spacing w:val="-5"/>
        </w:rPr>
        <w:t xml:space="preserve"> </w:t>
      </w:r>
      <w:r w:rsidRPr="00EC20A0">
        <w:t>supplements</w:t>
      </w:r>
      <w:r w:rsidRPr="00EC20A0">
        <w:rPr>
          <w:spacing w:val="-3"/>
        </w:rPr>
        <w:t xml:space="preserve"> </w:t>
      </w:r>
      <w:r w:rsidRPr="00EC20A0">
        <w:t>(or</w:t>
      </w:r>
      <w:r w:rsidRPr="00EC20A0">
        <w:rPr>
          <w:spacing w:val="-4"/>
        </w:rPr>
        <w:t xml:space="preserve"> </w:t>
      </w:r>
      <w:r w:rsidRPr="00EC20A0">
        <w:t>equivalent)</w:t>
      </w:r>
      <w:r w:rsidRPr="00EC20A0">
        <w:rPr>
          <w:spacing w:val="-4"/>
        </w:rPr>
        <w:t xml:space="preserve"> </w:t>
      </w:r>
      <w:r w:rsidRPr="00EC20A0">
        <w:t>only for laws identified for compliance testing on the General Compliance Checklist (FAM 802.07). Use of these documents is described below.</w:t>
      </w:r>
    </w:p>
    <w:p w14:paraId="24D60C15" w14:textId="77777777" w:rsidR="00245300" w:rsidRPr="00EC20A0" w:rsidRDefault="00F17249">
      <w:pPr>
        <w:pStyle w:val="ListParagraph"/>
        <w:numPr>
          <w:ilvl w:val="0"/>
          <w:numId w:val="8"/>
        </w:numPr>
        <w:tabs>
          <w:tab w:val="left" w:pos="1470"/>
        </w:tabs>
        <w:spacing w:before="144"/>
        <w:ind w:right="603"/>
      </w:pPr>
      <w:r w:rsidRPr="00EC20A0">
        <w:t>To</w:t>
      </w:r>
      <w:r w:rsidRPr="00EC20A0">
        <w:rPr>
          <w:spacing w:val="-4"/>
        </w:rPr>
        <w:t xml:space="preserve"> </w:t>
      </w:r>
      <w:r w:rsidRPr="00EC20A0">
        <w:t>understand</w:t>
      </w:r>
      <w:r w:rsidRPr="00EC20A0">
        <w:rPr>
          <w:spacing w:val="-4"/>
        </w:rPr>
        <w:t xml:space="preserve"> </w:t>
      </w:r>
      <w:r w:rsidRPr="00EC20A0">
        <w:t>and</w:t>
      </w:r>
      <w:r w:rsidRPr="00EC20A0">
        <w:rPr>
          <w:spacing w:val="-4"/>
        </w:rPr>
        <w:t xml:space="preserve"> </w:t>
      </w:r>
      <w:r w:rsidRPr="00EC20A0">
        <w:t>evaluate</w:t>
      </w:r>
      <w:r w:rsidRPr="00EC20A0">
        <w:rPr>
          <w:spacing w:val="-4"/>
        </w:rPr>
        <w:t xml:space="preserve"> </w:t>
      </w:r>
      <w:r w:rsidRPr="00EC20A0">
        <w:t>compliance</w:t>
      </w:r>
      <w:r w:rsidRPr="00EC20A0">
        <w:rPr>
          <w:spacing w:val="-4"/>
        </w:rPr>
        <w:t xml:space="preserve"> </w:t>
      </w:r>
      <w:r w:rsidRPr="00EC20A0">
        <w:t>controls,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also</w:t>
      </w:r>
      <w:r w:rsidRPr="00EC20A0">
        <w:rPr>
          <w:spacing w:val="-4"/>
        </w:rPr>
        <w:t xml:space="preserve"> </w:t>
      </w:r>
      <w:r w:rsidRPr="00EC20A0">
        <w:t>should</w:t>
      </w:r>
      <w:r w:rsidRPr="00EC20A0">
        <w:rPr>
          <w:spacing w:val="-4"/>
        </w:rPr>
        <w:t xml:space="preserve"> </w:t>
      </w:r>
      <w:r w:rsidRPr="00EC20A0">
        <w:t>follow the guidance in FAM 260, Understand the Entity’s Internal Control, and in FAM 300, Internal Control Phase. The FAM also provides additional guidance on compliance considerations for all audit phases.</w:t>
      </w:r>
    </w:p>
    <w:p w14:paraId="24D60C16" w14:textId="77777777" w:rsidR="00245300" w:rsidRPr="00EC20A0" w:rsidRDefault="00F17249">
      <w:pPr>
        <w:pStyle w:val="Heading4"/>
        <w:spacing w:before="143"/>
        <w:ind w:left="120"/>
      </w:pPr>
      <w:bookmarkStart w:id="173" w:name="Instructions_for_General_Compliance_Chec"/>
      <w:bookmarkEnd w:id="173"/>
      <w:r w:rsidRPr="00EC20A0">
        <w:t>Instructions</w:t>
      </w:r>
      <w:r w:rsidRPr="00EC20A0">
        <w:rPr>
          <w:spacing w:val="-15"/>
        </w:rPr>
        <w:t xml:space="preserve"> </w:t>
      </w:r>
      <w:r w:rsidRPr="00EC20A0">
        <w:t>for</w:t>
      </w:r>
      <w:r w:rsidRPr="00EC20A0">
        <w:rPr>
          <w:spacing w:val="-15"/>
        </w:rPr>
        <w:t xml:space="preserve"> </w:t>
      </w:r>
      <w:r w:rsidRPr="00EC20A0">
        <w:t>General</w:t>
      </w:r>
      <w:r w:rsidRPr="00EC20A0">
        <w:rPr>
          <w:spacing w:val="-14"/>
        </w:rPr>
        <w:t xml:space="preserve"> </w:t>
      </w:r>
      <w:r w:rsidRPr="00EC20A0">
        <w:t>Compliance</w:t>
      </w:r>
      <w:r w:rsidRPr="00EC20A0">
        <w:rPr>
          <w:spacing w:val="-15"/>
        </w:rPr>
        <w:t xml:space="preserve"> </w:t>
      </w:r>
      <w:r w:rsidRPr="00EC20A0">
        <w:rPr>
          <w:spacing w:val="-2"/>
        </w:rPr>
        <w:t>Checklist</w:t>
      </w:r>
    </w:p>
    <w:p w14:paraId="24D60C17" w14:textId="77777777" w:rsidR="00245300" w:rsidRPr="00EC20A0" w:rsidRDefault="00F17249">
      <w:pPr>
        <w:pStyle w:val="ListParagraph"/>
        <w:numPr>
          <w:ilvl w:val="0"/>
          <w:numId w:val="8"/>
        </w:numPr>
        <w:tabs>
          <w:tab w:val="left" w:pos="1470"/>
        </w:tabs>
        <w:spacing w:before="145"/>
        <w:ind w:right="347"/>
      </w:pPr>
      <w:r w:rsidRPr="00EC20A0">
        <w:t xml:space="preserve">The checklist contains a </w:t>
      </w:r>
      <w:r w:rsidRPr="00EC20A0">
        <w:t>summary for each frequently encountered law. The auditor</w:t>
      </w:r>
      <w:r w:rsidRPr="00EC20A0">
        <w:rPr>
          <w:spacing w:val="-3"/>
        </w:rPr>
        <w:t xml:space="preserve"> </w:t>
      </w:r>
      <w:r w:rsidRPr="00EC20A0">
        <w:t>should</w:t>
      </w:r>
      <w:r w:rsidRPr="00EC20A0">
        <w:rPr>
          <w:spacing w:val="-3"/>
        </w:rPr>
        <w:t xml:space="preserve"> </w:t>
      </w:r>
      <w:r w:rsidRPr="00EC20A0">
        <w:t>use</w:t>
      </w:r>
      <w:r w:rsidRPr="00EC20A0">
        <w:rPr>
          <w:spacing w:val="-3"/>
        </w:rPr>
        <w:t xml:space="preserve"> </w:t>
      </w:r>
      <w:r w:rsidRPr="00EC20A0">
        <w:t>this</w:t>
      </w:r>
      <w:r w:rsidRPr="00EC20A0">
        <w:rPr>
          <w:spacing w:val="-3"/>
        </w:rPr>
        <w:t xml:space="preserve"> </w:t>
      </w:r>
      <w:r w:rsidRPr="00EC20A0">
        <w:t>checklist</w:t>
      </w:r>
      <w:r w:rsidRPr="00EC20A0">
        <w:rPr>
          <w:spacing w:val="-3"/>
        </w:rPr>
        <w:t xml:space="preserve"> </w:t>
      </w:r>
      <w:r w:rsidRPr="00EC20A0">
        <w:t>or</w:t>
      </w:r>
      <w:r w:rsidRPr="00EC20A0">
        <w:rPr>
          <w:spacing w:val="-3"/>
        </w:rPr>
        <w:t xml:space="preserve"> </w:t>
      </w:r>
      <w:r w:rsidRPr="00EC20A0">
        <w:t>its</w:t>
      </w:r>
      <w:r w:rsidRPr="00EC20A0">
        <w:rPr>
          <w:spacing w:val="-2"/>
        </w:rPr>
        <w:t xml:space="preserve"> </w:t>
      </w:r>
      <w:r w:rsidRPr="00EC20A0">
        <w:t>equivalent</w:t>
      </w:r>
      <w:r w:rsidRPr="00EC20A0">
        <w:rPr>
          <w:spacing w:val="-4"/>
        </w:rPr>
        <w:t xml:space="preserve"> </w:t>
      </w:r>
      <w:r w:rsidRPr="00EC20A0">
        <w:t>to</w:t>
      </w:r>
      <w:r w:rsidRPr="00EC20A0">
        <w:rPr>
          <w:spacing w:val="-3"/>
        </w:rPr>
        <w:t xml:space="preserve"> </w:t>
      </w:r>
      <w:r w:rsidRPr="00EC20A0">
        <w:t>determine</w:t>
      </w:r>
      <w:r w:rsidRPr="00EC20A0">
        <w:rPr>
          <w:spacing w:val="-3"/>
        </w:rPr>
        <w:t xml:space="preserve"> </w:t>
      </w:r>
      <w:r w:rsidRPr="00EC20A0">
        <w:t>which</w:t>
      </w:r>
      <w:r w:rsidRPr="00EC20A0">
        <w:rPr>
          <w:spacing w:val="-3"/>
        </w:rPr>
        <w:t xml:space="preserve"> </w:t>
      </w:r>
      <w:r w:rsidRPr="00EC20A0">
        <w:t>of</w:t>
      </w:r>
      <w:r w:rsidRPr="00EC20A0">
        <w:rPr>
          <w:spacing w:val="-3"/>
        </w:rPr>
        <w:t xml:space="preserve"> </w:t>
      </w:r>
      <w:r w:rsidRPr="00EC20A0">
        <w:t>these</w:t>
      </w:r>
      <w:r w:rsidRPr="00EC20A0">
        <w:rPr>
          <w:spacing w:val="-3"/>
        </w:rPr>
        <w:t xml:space="preserve"> </w:t>
      </w:r>
      <w:r w:rsidRPr="00EC20A0">
        <w:t xml:space="preserve">laws are significant for testing compliance, as discussed in FAM 245, Identify Significant Provisions of Applicable Laws, </w:t>
      </w:r>
      <w:r w:rsidRPr="00EC20A0">
        <w:t>Regulations, Contracts, and Grant Agreements, and FAM 295 H, List of General Laws. The auditor may indicate whether each law meets the criteria for significance by answering yes or no.</w:t>
      </w:r>
    </w:p>
    <w:p w14:paraId="24D60C18" w14:textId="77777777" w:rsidR="00245300" w:rsidRPr="00EC20A0" w:rsidRDefault="00F17249">
      <w:pPr>
        <w:pStyle w:val="ListParagraph"/>
        <w:numPr>
          <w:ilvl w:val="0"/>
          <w:numId w:val="8"/>
        </w:numPr>
        <w:tabs>
          <w:tab w:val="left" w:pos="1469"/>
        </w:tabs>
        <w:spacing w:before="143"/>
        <w:ind w:left="1469" w:hanging="719"/>
      </w:pPr>
      <w:r w:rsidRPr="00EC20A0">
        <w:t>The</w:t>
      </w:r>
      <w:r w:rsidRPr="00EC20A0">
        <w:rPr>
          <w:spacing w:val="-7"/>
        </w:rPr>
        <w:t xml:space="preserve"> </w:t>
      </w:r>
      <w:r w:rsidRPr="00EC20A0">
        <w:t>auditor</w:t>
      </w:r>
      <w:r w:rsidRPr="00EC20A0">
        <w:rPr>
          <w:spacing w:val="-8"/>
        </w:rPr>
        <w:t xml:space="preserve"> </w:t>
      </w:r>
      <w:r w:rsidRPr="00EC20A0">
        <w:t>may</w:t>
      </w:r>
      <w:r w:rsidRPr="00EC20A0">
        <w:rPr>
          <w:spacing w:val="-7"/>
        </w:rPr>
        <w:t xml:space="preserve"> </w:t>
      </w:r>
      <w:r w:rsidRPr="00EC20A0">
        <w:t>use</w:t>
      </w:r>
      <w:r w:rsidRPr="00EC20A0">
        <w:rPr>
          <w:spacing w:val="-6"/>
        </w:rPr>
        <w:t xml:space="preserve"> </w:t>
      </w:r>
      <w:r w:rsidRPr="00EC20A0">
        <w:t>estimates</w:t>
      </w:r>
      <w:r w:rsidRPr="00EC20A0">
        <w:rPr>
          <w:spacing w:val="-7"/>
        </w:rPr>
        <w:t xml:space="preserve"> </w:t>
      </w:r>
      <w:r w:rsidRPr="00EC20A0">
        <w:t>or</w:t>
      </w:r>
      <w:r w:rsidRPr="00EC20A0">
        <w:rPr>
          <w:spacing w:val="-6"/>
        </w:rPr>
        <w:t xml:space="preserve"> </w:t>
      </w:r>
      <w:r w:rsidRPr="00EC20A0">
        <w:t>interim</w:t>
      </w:r>
      <w:r w:rsidRPr="00EC20A0">
        <w:rPr>
          <w:spacing w:val="-8"/>
        </w:rPr>
        <w:t xml:space="preserve"> </w:t>
      </w:r>
      <w:r w:rsidRPr="00EC20A0">
        <w:t>information</w:t>
      </w:r>
      <w:r w:rsidRPr="00EC20A0">
        <w:rPr>
          <w:spacing w:val="-6"/>
        </w:rPr>
        <w:t xml:space="preserve"> </w:t>
      </w:r>
      <w:r w:rsidRPr="00EC20A0">
        <w:t>in</w:t>
      </w:r>
      <w:r w:rsidRPr="00EC20A0">
        <w:rPr>
          <w:spacing w:val="-6"/>
        </w:rPr>
        <w:t xml:space="preserve"> </w:t>
      </w:r>
      <w:r w:rsidRPr="00EC20A0">
        <w:t>the</w:t>
      </w:r>
      <w:r w:rsidRPr="00EC20A0">
        <w:rPr>
          <w:spacing w:val="-7"/>
        </w:rPr>
        <w:t xml:space="preserve"> </w:t>
      </w:r>
      <w:r w:rsidRPr="00EC20A0">
        <w:t>preliminary</w:t>
      </w:r>
      <w:r w:rsidRPr="00EC20A0">
        <w:rPr>
          <w:spacing w:val="-6"/>
        </w:rPr>
        <w:t xml:space="preserve"> </w:t>
      </w:r>
      <w:r w:rsidRPr="00EC20A0">
        <w:rPr>
          <w:spacing w:val="-2"/>
        </w:rPr>
        <w:t>column.</w:t>
      </w:r>
    </w:p>
    <w:p w14:paraId="24D60C19" w14:textId="77777777" w:rsidR="00245300" w:rsidRPr="00EC20A0" w:rsidRDefault="00F17249">
      <w:pPr>
        <w:pStyle w:val="BodyText"/>
        <w:ind w:left="1470" w:right="380"/>
      </w:pPr>
      <w:r w:rsidRPr="00EC20A0">
        <w:t>The final amounts (based on the audited amounts or the final amounts of available</w:t>
      </w:r>
      <w:r w:rsidRPr="00EC20A0">
        <w:rPr>
          <w:spacing w:val="-4"/>
        </w:rPr>
        <w:t xml:space="preserve"> </w:t>
      </w:r>
      <w:r w:rsidRPr="00EC20A0">
        <w:t>budget</w:t>
      </w:r>
      <w:r w:rsidRPr="00EC20A0">
        <w:rPr>
          <w:spacing w:val="-4"/>
        </w:rPr>
        <w:t xml:space="preserve"> </w:t>
      </w:r>
      <w:r w:rsidRPr="00EC20A0">
        <w:t>authority)</w:t>
      </w:r>
      <w:r w:rsidRPr="00EC20A0">
        <w:rPr>
          <w:spacing w:val="-4"/>
        </w:rPr>
        <w:t xml:space="preserve"> </w:t>
      </w:r>
      <w:r w:rsidRPr="00EC20A0">
        <w:t>are</w:t>
      </w:r>
      <w:r w:rsidRPr="00EC20A0">
        <w:rPr>
          <w:spacing w:val="-4"/>
        </w:rPr>
        <w:t xml:space="preserve"> </w:t>
      </w:r>
      <w:r w:rsidRPr="00EC20A0">
        <w:t>used</w:t>
      </w:r>
      <w:r w:rsidRPr="00EC20A0">
        <w:rPr>
          <w:spacing w:val="-3"/>
        </w:rPr>
        <w:t xml:space="preserve"> </w:t>
      </w:r>
      <w:r w:rsidRPr="00EC20A0">
        <w:t>to</w:t>
      </w:r>
      <w:r w:rsidRPr="00EC20A0">
        <w:rPr>
          <w:spacing w:val="-4"/>
        </w:rPr>
        <w:t xml:space="preserve"> </w:t>
      </w:r>
      <w:r w:rsidRPr="00EC20A0">
        <w:t>determine</w:t>
      </w:r>
      <w:r w:rsidRPr="00EC20A0">
        <w:rPr>
          <w:spacing w:val="-4"/>
        </w:rPr>
        <w:t xml:space="preserve"> </w:t>
      </w:r>
      <w:r w:rsidRPr="00EC20A0">
        <w:t>whether</w:t>
      </w:r>
      <w:r w:rsidRPr="00EC20A0">
        <w:rPr>
          <w:spacing w:val="-4"/>
        </w:rPr>
        <w:t xml:space="preserve"> </w:t>
      </w:r>
      <w:r w:rsidRPr="00EC20A0">
        <w:t>all</w:t>
      </w:r>
      <w:r w:rsidRPr="00EC20A0">
        <w:rPr>
          <w:spacing w:val="-4"/>
        </w:rPr>
        <w:t xml:space="preserve"> </w:t>
      </w:r>
      <w:r w:rsidRPr="00EC20A0">
        <w:t>laws</w:t>
      </w:r>
      <w:r w:rsidRPr="00EC20A0">
        <w:rPr>
          <w:spacing w:val="-4"/>
        </w:rPr>
        <w:t xml:space="preserve"> </w:t>
      </w:r>
      <w:r w:rsidRPr="00EC20A0">
        <w:t>that</w:t>
      </w:r>
      <w:r w:rsidRPr="00EC20A0">
        <w:rPr>
          <w:spacing w:val="-4"/>
        </w:rPr>
        <w:t xml:space="preserve"> </w:t>
      </w:r>
      <w:r w:rsidRPr="00EC20A0">
        <w:t>would</w:t>
      </w:r>
      <w:r w:rsidRPr="00EC20A0">
        <w:rPr>
          <w:spacing w:val="-4"/>
        </w:rPr>
        <w:t xml:space="preserve"> </w:t>
      </w:r>
      <w:r w:rsidRPr="00EC20A0">
        <w:t>be significant in quantitative terms have been identified for control and compliance testing.</w:t>
      </w:r>
      <w:r w:rsidRPr="00EC20A0">
        <w:rPr>
          <w:spacing w:val="-2"/>
        </w:rPr>
        <w:t xml:space="preserve"> </w:t>
      </w:r>
      <w:r w:rsidRPr="00EC20A0">
        <w:t>The</w:t>
      </w:r>
      <w:r w:rsidRPr="00EC20A0">
        <w:rPr>
          <w:spacing w:val="-3"/>
        </w:rPr>
        <w:t xml:space="preserve"> </w:t>
      </w:r>
      <w:r w:rsidRPr="00EC20A0">
        <w:t>auditor</w:t>
      </w:r>
      <w:r w:rsidRPr="00EC20A0">
        <w:rPr>
          <w:spacing w:val="-2"/>
        </w:rPr>
        <w:t xml:space="preserve"> </w:t>
      </w:r>
      <w:r w:rsidRPr="00EC20A0">
        <w:t>should</w:t>
      </w:r>
      <w:r w:rsidRPr="00EC20A0">
        <w:rPr>
          <w:spacing w:val="-2"/>
        </w:rPr>
        <w:t xml:space="preserve"> </w:t>
      </w:r>
      <w:r w:rsidRPr="00EC20A0">
        <w:t>document</w:t>
      </w:r>
      <w:r w:rsidRPr="00EC20A0">
        <w:rPr>
          <w:spacing w:val="-2"/>
        </w:rPr>
        <w:t xml:space="preserve"> </w:t>
      </w:r>
      <w:r w:rsidRPr="00EC20A0">
        <w:t>the</w:t>
      </w:r>
      <w:r w:rsidRPr="00EC20A0">
        <w:rPr>
          <w:spacing w:val="-2"/>
        </w:rPr>
        <w:t xml:space="preserve"> </w:t>
      </w:r>
      <w:r w:rsidRPr="00EC20A0">
        <w:t>sources</w:t>
      </w:r>
      <w:r w:rsidRPr="00EC20A0">
        <w:rPr>
          <w:spacing w:val="-3"/>
        </w:rPr>
        <w:t xml:space="preserve"> </w:t>
      </w:r>
      <w:r w:rsidRPr="00EC20A0">
        <w:t>of</w:t>
      </w:r>
      <w:r w:rsidRPr="00EC20A0">
        <w:rPr>
          <w:spacing w:val="-2"/>
        </w:rPr>
        <w:t xml:space="preserve"> </w:t>
      </w:r>
      <w:r w:rsidRPr="00EC20A0">
        <w:t>all</w:t>
      </w:r>
      <w:r w:rsidRPr="00EC20A0">
        <w:rPr>
          <w:spacing w:val="-2"/>
        </w:rPr>
        <w:t xml:space="preserve"> </w:t>
      </w:r>
      <w:r w:rsidRPr="00EC20A0">
        <w:t>amounts</w:t>
      </w:r>
      <w:r w:rsidRPr="00EC20A0">
        <w:rPr>
          <w:spacing w:val="-2"/>
        </w:rPr>
        <w:t xml:space="preserve"> </w:t>
      </w:r>
      <w:r w:rsidRPr="00EC20A0">
        <w:t>included</w:t>
      </w:r>
      <w:r w:rsidRPr="00EC20A0">
        <w:rPr>
          <w:spacing w:val="-3"/>
        </w:rPr>
        <w:t xml:space="preserve"> </w:t>
      </w:r>
      <w:r w:rsidRPr="00EC20A0">
        <w:t>in</w:t>
      </w:r>
      <w:r w:rsidRPr="00EC20A0">
        <w:rPr>
          <w:spacing w:val="-2"/>
        </w:rPr>
        <w:t xml:space="preserve"> </w:t>
      </w:r>
      <w:r w:rsidRPr="00EC20A0">
        <w:t>this checklist. If the auditor determines the law is significant from a qualitative standpoint, then the auditor should document the reasons for this conclusion.</w:t>
      </w:r>
    </w:p>
    <w:p w14:paraId="24D60C1A" w14:textId="77777777" w:rsidR="00245300" w:rsidRPr="00EC20A0" w:rsidRDefault="00F17249">
      <w:pPr>
        <w:pStyle w:val="ListParagraph"/>
        <w:numPr>
          <w:ilvl w:val="0"/>
          <w:numId w:val="8"/>
        </w:numPr>
        <w:tabs>
          <w:tab w:val="left" w:pos="1470"/>
        </w:tabs>
        <w:spacing w:before="144"/>
        <w:ind w:right="457"/>
      </w:pPr>
      <w:r w:rsidRPr="00EC20A0">
        <w:t>The</w:t>
      </w:r>
      <w:r w:rsidRPr="00EC20A0">
        <w:rPr>
          <w:spacing w:val="-4"/>
        </w:rPr>
        <w:t xml:space="preserve"> </w:t>
      </w:r>
      <w:r w:rsidRPr="00EC20A0">
        <w:t>checklist</w:t>
      </w:r>
      <w:r w:rsidRPr="00EC20A0">
        <w:rPr>
          <w:spacing w:val="-4"/>
        </w:rPr>
        <w:t xml:space="preserve"> </w:t>
      </w:r>
      <w:r w:rsidRPr="00EC20A0">
        <w:t>also</w:t>
      </w:r>
      <w:r w:rsidRPr="00EC20A0">
        <w:rPr>
          <w:spacing w:val="-4"/>
        </w:rPr>
        <w:t xml:space="preserve"> </w:t>
      </w:r>
      <w:r w:rsidRPr="00EC20A0">
        <w:t>contains</w:t>
      </w:r>
      <w:r w:rsidRPr="00EC20A0">
        <w:rPr>
          <w:spacing w:val="-4"/>
        </w:rPr>
        <w:t xml:space="preserve"> </w:t>
      </w:r>
      <w:r w:rsidRPr="00EC20A0">
        <w:t>procedures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perform</w:t>
      </w:r>
      <w:r w:rsidRPr="00EC20A0">
        <w:rPr>
          <w:spacing w:val="-5"/>
        </w:rPr>
        <w:t xml:space="preserve"> </w:t>
      </w:r>
      <w:r w:rsidRPr="00EC20A0">
        <w:t>to</w:t>
      </w:r>
      <w:r w:rsidRPr="00EC20A0">
        <w:rPr>
          <w:spacing w:val="-4"/>
        </w:rPr>
        <w:t xml:space="preserve"> </w:t>
      </w:r>
      <w:r w:rsidRPr="00EC20A0">
        <w:t>identify other laws and regulations for compliance testing, as discussed in FAM 245, Identify Significant Provisions of Applicable Laws, Regulations, Contracts, and Grant Agreements.</w:t>
      </w:r>
    </w:p>
    <w:p w14:paraId="24D60C1B" w14:textId="77777777" w:rsidR="00245300" w:rsidRPr="00EC20A0" w:rsidRDefault="00245300">
      <w:pPr>
        <w:sectPr w:rsidR="00245300" w:rsidRPr="00EC20A0">
          <w:headerReference w:type="default" r:id="rId86"/>
          <w:footerReference w:type="default" r:id="rId87"/>
          <w:pgSz w:w="12240" w:h="15840"/>
          <w:pgMar w:top="1340" w:right="1140" w:bottom="1020" w:left="1320" w:header="721" w:footer="822" w:gutter="0"/>
          <w:cols w:space="720"/>
        </w:sectPr>
      </w:pPr>
    </w:p>
    <w:p w14:paraId="24D60C1C" w14:textId="77777777" w:rsidR="00245300" w:rsidRPr="00EC20A0" w:rsidRDefault="00F17249">
      <w:pPr>
        <w:pStyle w:val="ListParagraph"/>
        <w:numPr>
          <w:ilvl w:val="0"/>
          <w:numId w:val="8"/>
        </w:numPr>
        <w:tabs>
          <w:tab w:val="left" w:pos="1470"/>
        </w:tabs>
        <w:spacing w:before="121"/>
        <w:ind w:right="1153"/>
      </w:pPr>
      <w:r w:rsidRPr="00EC20A0">
        <w:t>Frequently encountered laws contained in supplements to the General Compliance</w:t>
      </w:r>
      <w:r w:rsidRPr="00EC20A0">
        <w:rPr>
          <w:spacing w:val="-4"/>
        </w:rPr>
        <w:t xml:space="preserve"> </w:t>
      </w:r>
      <w:r w:rsidRPr="00EC20A0">
        <w:t>Checklist</w:t>
      </w:r>
      <w:r w:rsidRPr="00EC20A0">
        <w:rPr>
          <w:spacing w:val="-4"/>
        </w:rPr>
        <w:t xml:space="preserve"> </w:t>
      </w:r>
      <w:r w:rsidRPr="00EC20A0">
        <w:t>(Form</w:t>
      </w:r>
      <w:r w:rsidRPr="00EC20A0">
        <w:rPr>
          <w:spacing w:val="-5"/>
        </w:rPr>
        <w:t xml:space="preserve"> </w:t>
      </w:r>
      <w:r w:rsidRPr="00EC20A0">
        <w:t>802)</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may</w:t>
      </w:r>
      <w:r w:rsidRPr="00EC20A0">
        <w:rPr>
          <w:spacing w:val="-4"/>
        </w:rPr>
        <w:t xml:space="preserve"> </w:t>
      </w:r>
      <w:r w:rsidRPr="00EC20A0">
        <w:t>test</w:t>
      </w:r>
      <w:r w:rsidRPr="00EC20A0">
        <w:rPr>
          <w:spacing w:val="-4"/>
        </w:rPr>
        <w:t xml:space="preserve"> </w:t>
      </w:r>
      <w:r w:rsidRPr="00EC20A0">
        <w:t>are</w:t>
      </w:r>
      <w:r w:rsidRPr="00EC20A0">
        <w:rPr>
          <w:spacing w:val="-4"/>
        </w:rPr>
        <w:t xml:space="preserve"> </w:t>
      </w:r>
      <w:r w:rsidRPr="00EC20A0">
        <w:t>as</w:t>
      </w:r>
      <w:r w:rsidRPr="00EC20A0">
        <w:rPr>
          <w:spacing w:val="-4"/>
        </w:rPr>
        <w:t xml:space="preserve"> </w:t>
      </w:r>
      <w:r w:rsidRPr="00EC20A0">
        <w:t>follows:</w:t>
      </w:r>
    </w:p>
    <w:p w14:paraId="24D60C1D" w14:textId="77777777" w:rsidR="00245300" w:rsidRPr="00EC20A0" w:rsidRDefault="00245300">
      <w:pPr>
        <w:pStyle w:val="BodyText"/>
        <w:spacing w:before="4"/>
        <w:rPr>
          <w:sz w:val="13"/>
        </w:rPr>
      </w:pPr>
    </w:p>
    <w:tbl>
      <w:tblPr>
        <w:tblW w:w="0" w:type="auto"/>
        <w:tblInd w:w="15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570"/>
        <w:gridCol w:w="1537"/>
      </w:tblGrid>
      <w:tr w:rsidR="00245300" w:rsidRPr="00EC20A0" w14:paraId="24D60C21" w14:textId="77777777">
        <w:trPr>
          <w:trHeight w:val="937"/>
        </w:trPr>
        <w:tc>
          <w:tcPr>
            <w:tcW w:w="6570" w:type="dxa"/>
            <w:tcBorders>
              <w:right w:val="single" w:sz="4" w:space="0" w:color="000000"/>
            </w:tcBorders>
          </w:tcPr>
          <w:p w14:paraId="24D60C1E" w14:textId="77777777" w:rsidR="00245300" w:rsidRPr="00EC20A0" w:rsidRDefault="00245300">
            <w:pPr>
              <w:pStyle w:val="TableParagraph"/>
              <w:spacing w:before="215"/>
            </w:pPr>
          </w:p>
          <w:p w14:paraId="24D60C1F" w14:textId="77777777" w:rsidR="00245300" w:rsidRPr="00EC20A0" w:rsidRDefault="00F17249">
            <w:pPr>
              <w:pStyle w:val="TableParagraph"/>
              <w:ind w:left="104"/>
              <w:rPr>
                <w:b/>
              </w:rPr>
            </w:pPr>
            <w:r w:rsidRPr="00EC20A0">
              <w:rPr>
                <w:b/>
                <w:spacing w:val="-5"/>
              </w:rPr>
              <w:t>Law</w:t>
            </w:r>
          </w:p>
        </w:tc>
        <w:tc>
          <w:tcPr>
            <w:tcW w:w="1537" w:type="dxa"/>
            <w:tcBorders>
              <w:left w:val="single" w:sz="4" w:space="0" w:color="000000"/>
            </w:tcBorders>
          </w:tcPr>
          <w:p w14:paraId="24D60C20" w14:textId="77777777" w:rsidR="00245300" w:rsidRPr="00EC20A0" w:rsidRDefault="00F17249">
            <w:pPr>
              <w:pStyle w:val="TableParagraph"/>
              <w:spacing w:before="215"/>
              <w:ind w:left="114"/>
              <w:rPr>
                <w:b/>
              </w:rPr>
            </w:pPr>
            <w:r w:rsidRPr="00EC20A0">
              <w:rPr>
                <w:b/>
                <w:spacing w:val="-2"/>
              </w:rPr>
              <w:t>Supplement number</w:t>
            </w:r>
          </w:p>
        </w:tc>
      </w:tr>
      <w:tr w:rsidR="00245300" w:rsidRPr="00EC20A0" w14:paraId="24D60C24" w14:textId="77777777">
        <w:trPr>
          <w:trHeight w:val="938"/>
        </w:trPr>
        <w:tc>
          <w:tcPr>
            <w:tcW w:w="6570" w:type="dxa"/>
            <w:tcBorders>
              <w:bottom w:val="single" w:sz="4" w:space="0" w:color="000000"/>
              <w:right w:val="single" w:sz="4" w:space="0" w:color="000000"/>
            </w:tcBorders>
          </w:tcPr>
          <w:p w14:paraId="24D60C22" w14:textId="77777777" w:rsidR="00245300" w:rsidRPr="00EC20A0" w:rsidRDefault="00F17249">
            <w:pPr>
              <w:pStyle w:val="TableParagraph"/>
              <w:spacing w:before="216"/>
              <w:ind w:left="105" w:hanging="1"/>
            </w:pPr>
            <w:proofErr w:type="spellStart"/>
            <w:r w:rsidRPr="00EC20A0">
              <w:t>Antideficiency</w:t>
            </w:r>
            <w:proofErr w:type="spellEnd"/>
            <w:r w:rsidRPr="00EC20A0">
              <w:rPr>
                <w:spacing w:val="-5"/>
              </w:rPr>
              <w:t xml:space="preserve"> </w:t>
            </w:r>
            <w:r w:rsidRPr="00EC20A0">
              <w:t>Act</w:t>
            </w:r>
            <w:r w:rsidRPr="00EC20A0">
              <w:rPr>
                <w:spacing w:val="-5"/>
              </w:rPr>
              <w:t xml:space="preserve"> </w:t>
            </w:r>
            <w:r w:rsidRPr="00EC20A0">
              <w:t>(ADA),</w:t>
            </w:r>
            <w:r w:rsidRPr="00EC20A0">
              <w:rPr>
                <w:spacing w:val="-5"/>
              </w:rPr>
              <w:t xml:space="preserve"> </w:t>
            </w:r>
            <w:r w:rsidRPr="00EC20A0">
              <w:t>as</w:t>
            </w:r>
            <w:r w:rsidRPr="00EC20A0">
              <w:rPr>
                <w:spacing w:val="-5"/>
              </w:rPr>
              <w:t xml:space="preserve"> </w:t>
            </w:r>
            <w:r w:rsidRPr="00EC20A0">
              <w:t>provided</w:t>
            </w:r>
            <w:r w:rsidRPr="00EC20A0">
              <w:rPr>
                <w:spacing w:val="-5"/>
              </w:rPr>
              <w:t xml:space="preserve"> </w:t>
            </w:r>
            <w:r w:rsidRPr="00EC20A0">
              <w:t>primarily</w:t>
            </w:r>
            <w:r w:rsidRPr="00EC20A0">
              <w:rPr>
                <w:spacing w:val="-5"/>
              </w:rPr>
              <w:t xml:space="preserve"> </w:t>
            </w:r>
            <w:r w:rsidRPr="00EC20A0">
              <w:t>in</w:t>
            </w:r>
            <w:r w:rsidRPr="00EC20A0">
              <w:rPr>
                <w:spacing w:val="-5"/>
              </w:rPr>
              <w:t xml:space="preserve"> </w:t>
            </w:r>
            <w:r w:rsidRPr="00EC20A0">
              <w:t>31</w:t>
            </w:r>
            <w:r w:rsidRPr="00EC20A0">
              <w:rPr>
                <w:spacing w:val="-5"/>
              </w:rPr>
              <w:t xml:space="preserve"> </w:t>
            </w:r>
            <w:r w:rsidRPr="00EC20A0">
              <w:t>U.S.C. chapters 13, 15</w:t>
            </w:r>
          </w:p>
        </w:tc>
        <w:tc>
          <w:tcPr>
            <w:tcW w:w="1537" w:type="dxa"/>
            <w:tcBorders>
              <w:left w:val="single" w:sz="4" w:space="0" w:color="000000"/>
              <w:bottom w:val="single" w:sz="4" w:space="0" w:color="000000"/>
            </w:tcBorders>
          </w:tcPr>
          <w:p w14:paraId="24D60C23" w14:textId="77777777" w:rsidR="00245300" w:rsidRPr="00EC20A0" w:rsidRDefault="00F17249">
            <w:pPr>
              <w:pStyle w:val="TableParagraph"/>
              <w:spacing w:before="216"/>
              <w:ind w:left="115"/>
            </w:pPr>
            <w:r w:rsidRPr="00EC20A0">
              <w:t>FAM</w:t>
            </w:r>
            <w:r w:rsidRPr="00EC20A0">
              <w:rPr>
                <w:spacing w:val="-7"/>
              </w:rPr>
              <w:t xml:space="preserve"> </w:t>
            </w:r>
            <w:r w:rsidRPr="00EC20A0">
              <w:rPr>
                <w:spacing w:val="-5"/>
              </w:rPr>
              <w:t>803</w:t>
            </w:r>
          </w:p>
        </w:tc>
      </w:tr>
      <w:tr w:rsidR="00245300" w:rsidRPr="00EC20A0" w14:paraId="24D60C28" w14:textId="77777777">
        <w:trPr>
          <w:trHeight w:val="937"/>
        </w:trPr>
        <w:tc>
          <w:tcPr>
            <w:tcW w:w="6570" w:type="dxa"/>
            <w:tcBorders>
              <w:top w:val="single" w:sz="4" w:space="0" w:color="000000"/>
              <w:bottom w:val="single" w:sz="4" w:space="0" w:color="000000"/>
              <w:right w:val="single" w:sz="4" w:space="0" w:color="000000"/>
            </w:tcBorders>
          </w:tcPr>
          <w:p w14:paraId="24D60C25" w14:textId="77777777" w:rsidR="00245300" w:rsidRPr="00EC20A0" w:rsidRDefault="00F17249">
            <w:pPr>
              <w:pStyle w:val="TableParagraph"/>
              <w:spacing w:before="216"/>
              <w:ind w:left="105"/>
            </w:pPr>
            <w:r w:rsidRPr="00EC20A0">
              <w:t>Federal</w:t>
            </w:r>
            <w:r w:rsidRPr="00EC20A0">
              <w:rPr>
                <w:spacing w:val="-6"/>
              </w:rPr>
              <w:t xml:space="preserve"> </w:t>
            </w:r>
            <w:r w:rsidRPr="00EC20A0">
              <w:t>Credit</w:t>
            </w:r>
            <w:r w:rsidRPr="00EC20A0">
              <w:rPr>
                <w:spacing w:val="-6"/>
              </w:rPr>
              <w:t xml:space="preserve"> </w:t>
            </w:r>
            <w:r w:rsidRPr="00EC20A0">
              <w:t>Reform</w:t>
            </w:r>
            <w:r w:rsidRPr="00EC20A0">
              <w:rPr>
                <w:spacing w:val="-6"/>
              </w:rPr>
              <w:t xml:space="preserve"> </w:t>
            </w:r>
            <w:r w:rsidRPr="00EC20A0">
              <w:t>Act</w:t>
            </w:r>
            <w:r w:rsidRPr="00EC20A0">
              <w:rPr>
                <w:spacing w:val="-6"/>
              </w:rPr>
              <w:t xml:space="preserve"> </w:t>
            </w:r>
            <w:r w:rsidRPr="00EC20A0">
              <w:t>of</w:t>
            </w:r>
            <w:r w:rsidRPr="00EC20A0">
              <w:rPr>
                <w:spacing w:val="-5"/>
              </w:rPr>
              <w:t xml:space="preserve"> </w:t>
            </w:r>
            <w:r w:rsidRPr="00EC20A0">
              <w:t>1990</w:t>
            </w:r>
            <w:r w:rsidRPr="00EC20A0">
              <w:rPr>
                <w:spacing w:val="-6"/>
              </w:rPr>
              <w:t xml:space="preserve"> </w:t>
            </w:r>
            <w:r w:rsidRPr="00EC20A0">
              <w:t>(FCRA),</w:t>
            </w:r>
            <w:r w:rsidRPr="00EC20A0">
              <w:rPr>
                <w:spacing w:val="-6"/>
              </w:rPr>
              <w:t xml:space="preserve"> </w:t>
            </w:r>
            <w:r w:rsidRPr="00EC20A0">
              <w:t>as</w:t>
            </w:r>
            <w:r w:rsidRPr="00EC20A0">
              <w:rPr>
                <w:spacing w:val="-5"/>
              </w:rPr>
              <w:t xml:space="preserve"> </w:t>
            </w:r>
            <w:r w:rsidRPr="00EC20A0">
              <w:t>provided</w:t>
            </w:r>
            <w:r w:rsidRPr="00EC20A0">
              <w:rPr>
                <w:spacing w:val="-6"/>
              </w:rPr>
              <w:t xml:space="preserve"> </w:t>
            </w:r>
            <w:r w:rsidRPr="00EC20A0">
              <w:t>in</w:t>
            </w:r>
            <w:r w:rsidRPr="00EC20A0">
              <w:rPr>
                <w:spacing w:val="-5"/>
              </w:rPr>
              <w:t xml:space="preserve"> </w:t>
            </w:r>
            <w:r w:rsidRPr="00EC20A0">
              <w:rPr>
                <w:spacing w:val="-10"/>
              </w:rPr>
              <w:t>2</w:t>
            </w:r>
          </w:p>
          <w:p w14:paraId="24D60C26" w14:textId="77777777" w:rsidR="00245300" w:rsidRPr="00EC20A0" w:rsidRDefault="00F17249">
            <w:pPr>
              <w:pStyle w:val="TableParagraph"/>
              <w:ind w:left="105"/>
            </w:pPr>
            <w:r w:rsidRPr="00EC20A0">
              <w:t>U.S.C.</w:t>
            </w:r>
            <w:r w:rsidRPr="00EC20A0">
              <w:rPr>
                <w:spacing w:val="-8"/>
              </w:rPr>
              <w:t xml:space="preserve"> </w:t>
            </w:r>
            <w:r w:rsidRPr="00EC20A0">
              <w:t>§§</w:t>
            </w:r>
            <w:r w:rsidRPr="00EC20A0">
              <w:rPr>
                <w:spacing w:val="-8"/>
              </w:rPr>
              <w:t xml:space="preserve"> </w:t>
            </w:r>
            <w:r w:rsidRPr="00EC20A0">
              <w:t>661-</w:t>
            </w:r>
            <w:r w:rsidRPr="00EC20A0">
              <w:rPr>
                <w:spacing w:val="-4"/>
              </w:rPr>
              <w:t>661f</w:t>
            </w:r>
          </w:p>
        </w:tc>
        <w:tc>
          <w:tcPr>
            <w:tcW w:w="1537" w:type="dxa"/>
            <w:tcBorders>
              <w:top w:val="single" w:sz="4" w:space="0" w:color="000000"/>
              <w:left w:val="single" w:sz="4" w:space="0" w:color="000000"/>
              <w:bottom w:val="single" w:sz="4" w:space="0" w:color="000000"/>
            </w:tcBorders>
          </w:tcPr>
          <w:p w14:paraId="24D60C27" w14:textId="77777777" w:rsidR="00245300" w:rsidRPr="00EC20A0" w:rsidRDefault="00F17249">
            <w:pPr>
              <w:pStyle w:val="TableParagraph"/>
              <w:spacing w:before="216"/>
              <w:ind w:left="114"/>
            </w:pPr>
            <w:r w:rsidRPr="00EC20A0">
              <w:t>FAM</w:t>
            </w:r>
            <w:r w:rsidRPr="00EC20A0">
              <w:rPr>
                <w:spacing w:val="-7"/>
              </w:rPr>
              <w:t xml:space="preserve"> </w:t>
            </w:r>
            <w:r w:rsidRPr="00EC20A0">
              <w:rPr>
                <w:spacing w:val="-5"/>
              </w:rPr>
              <w:t>804</w:t>
            </w:r>
          </w:p>
        </w:tc>
      </w:tr>
      <w:tr w:rsidR="00245300" w:rsidRPr="00EC20A0" w14:paraId="24D60C2B" w14:textId="77777777">
        <w:trPr>
          <w:trHeight w:val="938"/>
        </w:trPr>
        <w:tc>
          <w:tcPr>
            <w:tcW w:w="6570" w:type="dxa"/>
            <w:tcBorders>
              <w:top w:val="single" w:sz="4" w:space="0" w:color="000000"/>
              <w:bottom w:val="single" w:sz="4" w:space="0" w:color="000000"/>
              <w:right w:val="single" w:sz="4" w:space="0" w:color="000000"/>
            </w:tcBorders>
          </w:tcPr>
          <w:p w14:paraId="24D60C29" w14:textId="77777777" w:rsidR="00245300" w:rsidRPr="00EC20A0" w:rsidRDefault="00F17249">
            <w:pPr>
              <w:pStyle w:val="TableParagraph"/>
              <w:spacing w:before="216"/>
              <w:ind w:left="105"/>
            </w:pPr>
            <w:r w:rsidRPr="00EC20A0">
              <w:t>Federal</w:t>
            </w:r>
            <w:r w:rsidRPr="00EC20A0">
              <w:rPr>
                <w:spacing w:val="-5"/>
              </w:rPr>
              <w:t xml:space="preserve"> </w:t>
            </w:r>
            <w:r w:rsidRPr="00EC20A0">
              <w:t>Debt</w:t>
            </w:r>
            <w:r w:rsidRPr="00EC20A0">
              <w:rPr>
                <w:spacing w:val="-5"/>
              </w:rPr>
              <w:t xml:space="preserve"> </w:t>
            </w:r>
            <w:r w:rsidRPr="00EC20A0">
              <w:t>Collection</w:t>
            </w:r>
            <w:r w:rsidRPr="00EC20A0">
              <w:rPr>
                <w:spacing w:val="-6"/>
              </w:rPr>
              <w:t xml:space="preserve"> </w:t>
            </w:r>
            <w:r w:rsidRPr="00EC20A0">
              <w:t>Authorities,</w:t>
            </w:r>
            <w:r w:rsidRPr="00EC20A0">
              <w:rPr>
                <w:spacing w:val="-6"/>
              </w:rPr>
              <w:t xml:space="preserve"> </w:t>
            </w:r>
            <w:r w:rsidRPr="00EC20A0">
              <w:t>as</w:t>
            </w:r>
            <w:r w:rsidRPr="00EC20A0">
              <w:rPr>
                <w:spacing w:val="-5"/>
              </w:rPr>
              <w:t xml:space="preserve"> </w:t>
            </w:r>
            <w:r w:rsidRPr="00EC20A0">
              <w:t>provided</w:t>
            </w:r>
            <w:r w:rsidRPr="00EC20A0">
              <w:rPr>
                <w:spacing w:val="-6"/>
              </w:rPr>
              <w:t xml:space="preserve"> </w:t>
            </w:r>
            <w:r w:rsidRPr="00EC20A0">
              <w:t>in</w:t>
            </w:r>
            <w:r w:rsidRPr="00EC20A0">
              <w:rPr>
                <w:spacing w:val="-5"/>
              </w:rPr>
              <w:t xml:space="preserve"> </w:t>
            </w:r>
            <w:r w:rsidRPr="00EC20A0">
              <w:t>31</w:t>
            </w:r>
            <w:r w:rsidRPr="00EC20A0">
              <w:rPr>
                <w:spacing w:val="-5"/>
              </w:rPr>
              <w:t xml:space="preserve"> </w:t>
            </w:r>
            <w:r w:rsidRPr="00EC20A0">
              <w:t>U.S.C. chapter 37</w:t>
            </w:r>
          </w:p>
        </w:tc>
        <w:tc>
          <w:tcPr>
            <w:tcW w:w="1537" w:type="dxa"/>
            <w:tcBorders>
              <w:top w:val="single" w:sz="4" w:space="0" w:color="000000"/>
              <w:left w:val="single" w:sz="4" w:space="0" w:color="000000"/>
              <w:bottom w:val="single" w:sz="4" w:space="0" w:color="000000"/>
            </w:tcBorders>
          </w:tcPr>
          <w:p w14:paraId="24D60C2A" w14:textId="77777777" w:rsidR="00245300" w:rsidRPr="00EC20A0" w:rsidRDefault="00F17249">
            <w:pPr>
              <w:pStyle w:val="TableParagraph"/>
              <w:spacing w:before="216"/>
              <w:ind w:left="115"/>
            </w:pPr>
            <w:r w:rsidRPr="00EC20A0">
              <w:t>FAM</w:t>
            </w:r>
            <w:r w:rsidRPr="00EC20A0">
              <w:rPr>
                <w:spacing w:val="-7"/>
              </w:rPr>
              <w:t xml:space="preserve"> </w:t>
            </w:r>
            <w:r w:rsidRPr="00EC20A0">
              <w:rPr>
                <w:spacing w:val="-5"/>
              </w:rPr>
              <w:t>805</w:t>
            </w:r>
          </w:p>
        </w:tc>
      </w:tr>
      <w:tr w:rsidR="00245300" w:rsidRPr="00EC20A0" w14:paraId="24D60C2E" w14:textId="77777777">
        <w:trPr>
          <w:trHeight w:val="684"/>
        </w:trPr>
        <w:tc>
          <w:tcPr>
            <w:tcW w:w="6570" w:type="dxa"/>
            <w:tcBorders>
              <w:top w:val="single" w:sz="4" w:space="0" w:color="000000"/>
              <w:bottom w:val="single" w:sz="4" w:space="0" w:color="000000"/>
              <w:right w:val="single" w:sz="4" w:space="0" w:color="000000"/>
            </w:tcBorders>
          </w:tcPr>
          <w:p w14:paraId="24D60C2C" w14:textId="77777777" w:rsidR="00245300" w:rsidRPr="00EC20A0" w:rsidRDefault="00F17249">
            <w:pPr>
              <w:pStyle w:val="TableParagraph"/>
              <w:spacing w:before="216"/>
              <w:ind w:left="105"/>
            </w:pPr>
            <w:r w:rsidRPr="00EC20A0">
              <w:t>Prompt</w:t>
            </w:r>
            <w:r w:rsidRPr="00EC20A0">
              <w:rPr>
                <w:spacing w:val="-7"/>
              </w:rPr>
              <w:t xml:space="preserve"> </w:t>
            </w:r>
            <w:r w:rsidRPr="00EC20A0">
              <w:t>Payment</w:t>
            </w:r>
            <w:r w:rsidRPr="00EC20A0">
              <w:rPr>
                <w:spacing w:val="-6"/>
              </w:rPr>
              <w:t xml:space="preserve"> </w:t>
            </w:r>
            <w:r w:rsidRPr="00EC20A0">
              <w:t>Act</w:t>
            </w:r>
            <w:r w:rsidRPr="00EC20A0">
              <w:rPr>
                <w:spacing w:val="-6"/>
              </w:rPr>
              <w:t xml:space="preserve"> </w:t>
            </w:r>
            <w:r w:rsidRPr="00EC20A0">
              <w:t>(PPA),</w:t>
            </w:r>
            <w:r w:rsidRPr="00EC20A0">
              <w:rPr>
                <w:spacing w:val="-6"/>
              </w:rPr>
              <w:t xml:space="preserve"> </w:t>
            </w:r>
            <w:r w:rsidRPr="00EC20A0">
              <w:t>as</w:t>
            </w:r>
            <w:r w:rsidRPr="00EC20A0">
              <w:rPr>
                <w:spacing w:val="-7"/>
              </w:rPr>
              <w:t xml:space="preserve"> </w:t>
            </w:r>
            <w:r w:rsidRPr="00EC20A0">
              <w:t>provided</w:t>
            </w:r>
            <w:r w:rsidRPr="00EC20A0">
              <w:rPr>
                <w:spacing w:val="-6"/>
              </w:rPr>
              <w:t xml:space="preserve"> </w:t>
            </w:r>
            <w:r w:rsidRPr="00EC20A0">
              <w:t>in</w:t>
            </w:r>
            <w:r w:rsidRPr="00EC20A0">
              <w:rPr>
                <w:spacing w:val="-6"/>
              </w:rPr>
              <w:t xml:space="preserve"> </w:t>
            </w:r>
            <w:r w:rsidRPr="00EC20A0">
              <w:t>31</w:t>
            </w:r>
            <w:r w:rsidRPr="00EC20A0">
              <w:rPr>
                <w:spacing w:val="-6"/>
              </w:rPr>
              <w:t xml:space="preserve"> </w:t>
            </w:r>
            <w:r w:rsidRPr="00EC20A0">
              <w:t>U.S.C.</w:t>
            </w:r>
            <w:r w:rsidRPr="00EC20A0">
              <w:rPr>
                <w:spacing w:val="-6"/>
              </w:rPr>
              <w:t xml:space="preserve"> </w:t>
            </w:r>
            <w:r w:rsidRPr="00EC20A0">
              <w:t>chapter</w:t>
            </w:r>
            <w:r w:rsidRPr="00EC20A0">
              <w:rPr>
                <w:spacing w:val="-7"/>
              </w:rPr>
              <w:t xml:space="preserve"> </w:t>
            </w:r>
            <w:r w:rsidRPr="00EC20A0">
              <w:rPr>
                <w:spacing w:val="-5"/>
              </w:rPr>
              <w:t>39</w:t>
            </w:r>
          </w:p>
        </w:tc>
        <w:tc>
          <w:tcPr>
            <w:tcW w:w="1537" w:type="dxa"/>
            <w:tcBorders>
              <w:top w:val="single" w:sz="4" w:space="0" w:color="000000"/>
              <w:left w:val="single" w:sz="4" w:space="0" w:color="000000"/>
              <w:bottom w:val="single" w:sz="4" w:space="0" w:color="000000"/>
            </w:tcBorders>
          </w:tcPr>
          <w:p w14:paraId="24D60C2D" w14:textId="77777777" w:rsidR="00245300" w:rsidRPr="00EC20A0" w:rsidRDefault="00F17249">
            <w:pPr>
              <w:pStyle w:val="TableParagraph"/>
              <w:spacing w:before="216"/>
              <w:ind w:left="115"/>
            </w:pPr>
            <w:r w:rsidRPr="00EC20A0">
              <w:t>FAM</w:t>
            </w:r>
            <w:r w:rsidRPr="00EC20A0">
              <w:rPr>
                <w:spacing w:val="-7"/>
              </w:rPr>
              <w:t xml:space="preserve"> </w:t>
            </w:r>
            <w:r w:rsidRPr="00EC20A0">
              <w:rPr>
                <w:spacing w:val="-5"/>
              </w:rPr>
              <w:t>806</w:t>
            </w:r>
          </w:p>
        </w:tc>
      </w:tr>
      <w:tr w:rsidR="00245300" w:rsidRPr="00EC20A0" w14:paraId="24D60C31" w14:textId="77777777">
        <w:trPr>
          <w:trHeight w:val="937"/>
        </w:trPr>
        <w:tc>
          <w:tcPr>
            <w:tcW w:w="6570" w:type="dxa"/>
            <w:tcBorders>
              <w:top w:val="single" w:sz="4" w:space="0" w:color="000000"/>
              <w:bottom w:val="single" w:sz="4" w:space="0" w:color="000000"/>
              <w:right w:val="single" w:sz="4" w:space="0" w:color="000000"/>
            </w:tcBorders>
          </w:tcPr>
          <w:p w14:paraId="24D60C2F" w14:textId="77777777" w:rsidR="00245300" w:rsidRPr="00EC20A0" w:rsidRDefault="00F17249">
            <w:pPr>
              <w:pStyle w:val="TableParagraph"/>
              <w:spacing w:before="216"/>
              <w:ind w:left="105"/>
            </w:pPr>
            <w:r w:rsidRPr="00EC20A0">
              <w:t>Pay</w:t>
            </w:r>
            <w:r w:rsidRPr="00EC20A0">
              <w:rPr>
                <w:spacing w:val="-5"/>
              </w:rPr>
              <w:t xml:space="preserve"> </w:t>
            </w:r>
            <w:r w:rsidRPr="00EC20A0">
              <w:t>and</w:t>
            </w:r>
            <w:r w:rsidRPr="00EC20A0">
              <w:rPr>
                <w:spacing w:val="-5"/>
              </w:rPr>
              <w:t xml:space="preserve"> </w:t>
            </w:r>
            <w:r w:rsidRPr="00EC20A0">
              <w:t>Allowance</w:t>
            </w:r>
            <w:r w:rsidRPr="00EC20A0">
              <w:rPr>
                <w:spacing w:val="-5"/>
              </w:rPr>
              <w:t xml:space="preserve"> </w:t>
            </w:r>
            <w:r w:rsidRPr="00EC20A0">
              <w:t>System</w:t>
            </w:r>
            <w:r w:rsidRPr="00EC20A0">
              <w:rPr>
                <w:spacing w:val="-6"/>
              </w:rPr>
              <w:t xml:space="preserve"> </w:t>
            </w:r>
            <w:r w:rsidRPr="00EC20A0">
              <w:t>for</w:t>
            </w:r>
            <w:r w:rsidRPr="00EC20A0">
              <w:rPr>
                <w:spacing w:val="-5"/>
              </w:rPr>
              <w:t xml:space="preserve"> </w:t>
            </w:r>
            <w:r w:rsidRPr="00EC20A0">
              <w:t>Civilian</w:t>
            </w:r>
            <w:r w:rsidRPr="00EC20A0">
              <w:rPr>
                <w:spacing w:val="-5"/>
              </w:rPr>
              <w:t xml:space="preserve"> </w:t>
            </w:r>
            <w:r w:rsidRPr="00EC20A0">
              <w:t>Employees</w:t>
            </w:r>
            <w:r w:rsidRPr="00EC20A0">
              <w:rPr>
                <w:spacing w:val="-5"/>
              </w:rPr>
              <w:t xml:space="preserve"> </w:t>
            </w:r>
            <w:r w:rsidRPr="00EC20A0">
              <w:t>as</w:t>
            </w:r>
            <w:r w:rsidRPr="00EC20A0">
              <w:rPr>
                <w:spacing w:val="-5"/>
              </w:rPr>
              <w:t xml:space="preserve"> </w:t>
            </w:r>
            <w:r w:rsidRPr="00EC20A0">
              <w:t>provided primarily in 5 U.S.C. chapters 51-59</w:t>
            </w:r>
          </w:p>
        </w:tc>
        <w:tc>
          <w:tcPr>
            <w:tcW w:w="1537" w:type="dxa"/>
            <w:tcBorders>
              <w:top w:val="single" w:sz="4" w:space="0" w:color="000000"/>
              <w:left w:val="single" w:sz="4" w:space="0" w:color="000000"/>
              <w:bottom w:val="single" w:sz="4" w:space="0" w:color="000000"/>
            </w:tcBorders>
          </w:tcPr>
          <w:p w14:paraId="24D60C30" w14:textId="77777777" w:rsidR="00245300" w:rsidRPr="00EC20A0" w:rsidRDefault="00F17249">
            <w:pPr>
              <w:pStyle w:val="TableParagraph"/>
              <w:spacing w:before="216"/>
              <w:ind w:left="114"/>
            </w:pPr>
            <w:r w:rsidRPr="00EC20A0">
              <w:t>FAM</w:t>
            </w:r>
            <w:r w:rsidRPr="00EC20A0">
              <w:rPr>
                <w:spacing w:val="-7"/>
              </w:rPr>
              <w:t xml:space="preserve"> </w:t>
            </w:r>
            <w:r w:rsidRPr="00EC20A0">
              <w:rPr>
                <w:spacing w:val="-5"/>
              </w:rPr>
              <w:t>807</w:t>
            </w:r>
          </w:p>
        </w:tc>
      </w:tr>
      <w:tr w:rsidR="00245300" w:rsidRPr="00EC20A0" w14:paraId="24D60C34" w14:textId="77777777">
        <w:trPr>
          <w:trHeight w:val="937"/>
        </w:trPr>
        <w:tc>
          <w:tcPr>
            <w:tcW w:w="6570" w:type="dxa"/>
            <w:tcBorders>
              <w:top w:val="single" w:sz="4" w:space="0" w:color="000000"/>
              <w:bottom w:val="single" w:sz="4" w:space="0" w:color="000000"/>
              <w:right w:val="single" w:sz="4" w:space="0" w:color="000000"/>
            </w:tcBorders>
          </w:tcPr>
          <w:p w14:paraId="24D60C32" w14:textId="77777777" w:rsidR="00245300" w:rsidRPr="00EC20A0" w:rsidRDefault="00F17249">
            <w:pPr>
              <w:pStyle w:val="TableParagraph"/>
              <w:spacing w:before="216"/>
              <w:ind w:left="105"/>
            </w:pPr>
            <w:r w:rsidRPr="00EC20A0">
              <w:t>Civil</w:t>
            </w:r>
            <w:r w:rsidRPr="00EC20A0">
              <w:rPr>
                <w:spacing w:val="-5"/>
              </w:rPr>
              <w:t xml:space="preserve"> </w:t>
            </w:r>
            <w:r w:rsidRPr="00EC20A0">
              <w:t>Service</w:t>
            </w:r>
            <w:r w:rsidRPr="00EC20A0">
              <w:rPr>
                <w:spacing w:val="-6"/>
              </w:rPr>
              <w:t xml:space="preserve"> </w:t>
            </w:r>
            <w:r w:rsidRPr="00EC20A0">
              <w:t>Retirement</w:t>
            </w:r>
            <w:r w:rsidRPr="00EC20A0">
              <w:rPr>
                <w:spacing w:val="-5"/>
              </w:rPr>
              <w:t xml:space="preserve"> </w:t>
            </w:r>
            <w:r w:rsidRPr="00EC20A0">
              <w:t>Act</w:t>
            </w:r>
            <w:r w:rsidRPr="00EC20A0">
              <w:rPr>
                <w:spacing w:val="-5"/>
              </w:rPr>
              <w:t xml:space="preserve"> </w:t>
            </w:r>
            <w:r w:rsidRPr="00EC20A0">
              <w:t>(CSRA),</w:t>
            </w:r>
            <w:r w:rsidRPr="00EC20A0">
              <w:rPr>
                <w:spacing w:val="-4"/>
              </w:rPr>
              <w:t xml:space="preserve"> </w:t>
            </w:r>
            <w:r w:rsidRPr="00EC20A0">
              <w:t>as</w:t>
            </w:r>
            <w:r w:rsidRPr="00EC20A0">
              <w:rPr>
                <w:spacing w:val="-5"/>
              </w:rPr>
              <w:t xml:space="preserve"> </w:t>
            </w:r>
            <w:r w:rsidRPr="00EC20A0">
              <w:t>provided</w:t>
            </w:r>
            <w:r w:rsidRPr="00EC20A0">
              <w:rPr>
                <w:spacing w:val="-6"/>
              </w:rPr>
              <w:t xml:space="preserve"> </w:t>
            </w:r>
            <w:r w:rsidRPr="00EC20A0">
              <w:t>in</w:t>
            </w:r>
            <w:r w:rsidRPr="00EC20A0">
              <w:rPr>
                <w:spacing w:val="-5"/>
              </w:rPr>
              <w:t xml:space="preserve"> </w:t>
            </w:r>
            <w:r w:rsidRPr="00EC20A0">
              <w:t>5</w:t>
            </w:r>
            <w:r w:rsidRPr="00EC20A0">
              <w:rPr>
                <w:spacing w:val="-5"/>
              </w:rPr>
              <w:t xml:space="preserve"> </w:t>
            </w:r>
            <w:r w:rsidRPr="00EC20A0">
              <w:t>U.S.C. chapter 83</w:t>
            </w:r>
          </w:p>
        </w:tc>
        <w:tc>
          <w:tcPr>
            <w:tcW w:w="1537" w:type="dxa"/>
            <w:tcBorders>
              <w:top w:val="single" w:sz="4" w:space="0" w:color="000000"/>
              <w:left w:val="single" w:sz="4" w:space="0" w:color="000000"/>
              <w:bottom w:val="single" w:sz="4" w:space="0" w:color="000000"/>
            </w:tcBorders>
          </w:tcPr>
          <w:p w14:paraId="24D60C33" w14:textId="77777777" w:rsidR="00245300" w:rsidRPr="00EC20A0" w:rsidRDefault="00F17249">
            <w:pPr>
              <w:pStyle w:val="TableParagraph"/>
              <w:spacing w:before="216"/>
              <w:ind w:left="115"/>
            </w:pPr>
            <w:r w:rsidRPr="00EC20A0">
              <w:t>FAM</w:t>
            </w:r>
            <w:r w:rsidRPr="00EC20A0">
              <w:rPr>
                <w:spacing w:val="-7"/>
              </w:rPr>
              <w:t xml:space="preserve"> </w:t>
            </w:r>
            <w:r w:rsidRPr="00EC20A0">
              <w:rPr>
                <w:spacing w:val="-5"/>
              </w:rPr>
              <w:t>808</w:t>
            </w:r>
          </w:p>
        </w:tc>
      </w:tr>
      <w:tr w:rsidR="00245300" w:rsidRPr="00EC20A0" w14:paraId="24D60C37" w14:textId="77777777">
        <w:trPr>
          <w:trHeight w:val="938"/>
        </w:trPr>
        <w:tc>
          <w:tcPr>
            <w:tcW w:w="6570" w:type="dxa"/>
            <w:tcBorders>
              <w:top w:val="single" w:sz="4" w:space="0" w:color="000000"/>
              <w:bottom w:val="single" w:sz="4" w:space="0" w:color="000000"/>
              <w:right w:val="single" w:sz="4" w:space="0" w:color="000000"/>
            </w:tcBorders>
          </w:tcPr>
          <w:p w14:paraId="24D60C35" w14:textId="77777777" w:rsidR="00245300" w:rsidRPr="00EC20A0" w:rsidRDefault="00F17249">
            <w:pPr>
              <w:pStyle w:val="TableParagraph"/>
              <w:spacing w:before="216"/>
              <w:ind w:left="104" w:right="124"/>
            </w:pPr>
            <w:r w:rsidRPr="00EC20A0">
              <w:t>Federal</w:t>
            </w:r>
            <w:r w:rsidRPr="00EC20A0">
              <w:rPr>
                <w:spacing w:val="-5"/>
              </w:rPr>
              <w:t xml:space="preserve"> </w:t>
            </w:r>
            <w:r w:rsidRPr="00EC20A0">
              <w:t>Employees</w:t>
            </w:r>
            <w:r w:rsidRPr="00EC20A0">
              <w:rPr>
                <w:spacing w:val="-5"/>
              </w:rPr>
              <w:t xml:space="preserve"> </w:t>
            </w:r>
            <w:r w:rsidRPr="00EC20A0">
              <w:t>Health</w:t>
            </w:r>
            <w:r w:rsidRPr="00EC20A0">
              <w:rPr>
                <w:spacing w:val="-5"/>
              </w:rPr>
              <w:t xml:space="preserve"> </w:t>
            </w:r>
            <w:r w:rsidRPr="00EC20A0">
              <w:t>Benefits</w:t>
            </w:r>
            <w:r w:rsidRPr="00EC20A0">
              <w:rPr>
                <w:spacing w:val="-6"/>
              </w:rPr>
              <w:t xml:space="preserve"> </w:t>
            </w:r>
            <w:r w:rsidRPr="00EC20A0">
              <w:t>Act</w:t>
            </w:r>
            <w:r w:rsidRPr="00EC20A0">
              <w:rPr>
                <w:spacing w:val="-5"/>
              </w:rPr>
              <w:t xml:space="preserve"> </w:t>
            </w:r>
            <w:r w:rsidRPr="00EC20A0">
              <w:t>(FEHBA),</w:t>
            </w:r>
            <w:r w:rsidRPr="00EC20A0">
              <w:rPr>
                <w:spacing w:val="-5"/>
              </w:rPr>
              <w:t xml:space="preserve"> </w:t>
            </w:r>
            <w:r w:rsidRPr="00EC20A0">
              <w:t>as</w:t>
            </w:r>
            <w:r w:rsidRPr="00EC20A0">
              <w:rPr>
                <w:spacing w:val="-5"/>
              </w:rPr>
              <w:t xml:space="preserve"> </w:t>
            </w:r>
            <w:r w:rsidRPr="00EC20A0">
              <w:t>provided</w:t>
            </w:r>
            <w:r w:rsidRPr="00EC20A0">
              <w:rPr>
                <w:spacing w:val="-5"/>
              </w:rPr>
              <w:t xml:space="preserve"> </w:t>
            </w:r>
            <w:r w:rsidRPr="00EC20A0">
              <w:t>in 5 U.S.C. chapter 89</w:t>
            </w:r>
          </w:p>
        </w:tc>
        <w:tc>
          <w:tcPr>
            <w:tcW w:w="1537" w:type="dxa"/>
            <w:tcBorders>
              <w:top w:val="single" w:sz="4" w:space="0" w:color="000000"/>
              <w:left w:val="single" w:sz="4" w:space="0" w:color="000000"/>
              <w:bottom w:val="single" w:sz="4" w:space="0" w:color="000000"/>
            </w:tcBorders>
          </w:tcPr>
          <w:p w14:paraId="24D60C36" w14:textId="77777777" w:rsidR="00245300" w:rsidRPr="00EC20A0" w:rsidRDefault="00F17249">
            <w:pPr>
              <w:pStyle w:val="TableParagraph"/>
              <w:spacing w:before="216"/>
              <w:ind w:left="114"/>
            </w:pPr>
            <w:r w:rsidRPr="00EC20A0">
              <w:t>FAM</w:t>
            </w:r>
            <w:r w:rsidRPr="00EC20A0">
              <w:rPr>
                <w:spacing w:val="-7"/>
              </w:rPr>
              <w:t xml:space="preserve"> </w:t>
            </w:r>
            <w:r w:rsidRPr="00EC20A0">
              <w:rPr>
                <w:spacing w:val="-5"/>
              </w:rPr>
              <w:t>809</w:t>
            </w:r>
          </w:p>
        </w:tc>
      </w:tr>
      <w:tr w:rsidR="00245300" w:rsidRPr="00EC20A0" w14:paraId="24D60C3B" w14:textId="77777777">
        <w:trPr>
          <w:trHeight w:val="938"/>
        </w:trPr>
        <w:tc>
          <w:tcPr>
            <w:tcW w:w="6570" w:type="dxa"/>
            <w:tcBorders>
              <w:top w:val="single" w:sz="4" w:space="0" w:color="000000"/>
              <w:bottom w:val="single" w:sz="4" w:space="0" w:color="000000"/>
              <w:right w:val="single" w:sz="4" w:space="0" w:color="000000"/>
            </w:tcBorders>
          </w:tcPr>
          <w:p w14:paraId="24D60C38" w14:textId="77777777" w:rsidR="00245300" w:rsidRPr="00EC20A0" w:rsidRDefault="00F17249">
            <w:pPr>
              <w:pStyle w:val="TableParagraph"/>
              <w:spacing w:before="216"/>
              <w:ind w:left="105"/>
            </w:pPr>
            <w:r w:rsidRPr="00EC20A0">
              <w:t>Federal</w:t>
            </w:r>
            <w:r w:rsidRPr="00EC20A0">
              <w:rPr>
                <w:spacing w:val="-9"/>
              </w:rPr>
              <w:t xml:space="preserve"> </w:t>
            </w:r>
            <w:r w:rsidRPr="00EC20A0">
              <w:t>Employees’</w:t>
            </w:r>
            <w:r w:rsidRPr="00EC20A0">
              <w:rPr>
                <w:spacing w:val="-8"/>
              </w:rPr>
              <w:t xml:space="preserve"> </w:t>
            </w:r>
            <w:r w:rsidRPr="00EC20A0">
              <w:t>Compensation</w:t>
            </w:r>
            <w:r w:rsidRPr="00EC20A0">
              <w:rPr>
                <w:spacing w:val="-8"/>
              </w:rPr>
              <w:t xml:space="preserve"> </w:t>
            </w:r>
            <w:r w:rsidRPr="00EC20A0">
              <w:t>Act</w:t>
            </w:r>
            <w:r w:rsidRPr="00EC20A0">
              <w:rPr>
                <w:spacing w:val="-8"/>
              </w:rPr>
              <w:t xml:space="preserve"> </w:t>
            </w:r>
            <w:r w:rsidRPr="00EC20A0">
              <w:t>(FECA),</w:t>
            </w:r>
            <w:r w:rsidRPr="00EC20A0">
              <w:rPr>
                <w:spacing w:val="-7"/>
              </w:rPr>
              <w:t xml:space="preserve"> </w:t>
            </w:r>
            <w:r w:rsidRPr="00EC20A0">
              <w:t>as</w:t>
            </w:r>
            <w:r w:rsidRPr="00EC20A0">
              <w:rPr>
                <w:spacing w:val="-8"/>
              </w:rPr>
              <w:t xml:space="preserve"> </w:t>
            </w:r>
            <w:r w:rsidRPr="00EC20A0">
              <w:t>provided</w:t>
            </w:r>
            <w:r w:rsidRPr="00EC20A0">
              <w:rPr>
                <w:spacing w:val="-9"/>
              </w:rPr>
              <w:t xml:space="preserve"> </w:t>
            </w:r>
            <w:r w:rsidRPr="00EC20A0">
              <w:t>in</w:t>
            </w:r>
            <w:r w:rsidRPr="00EC20A0">
              <w:rPr>
                <w:spacing w:val="-8"/>
              </w:rPr>
              <w:t xml:space="preserve"> </w:t>
            </w:r>
            <w:r w:rsidRPr="00EC20A0">
              <w:rPr>
                <w:spacing w:val="-10"/>
              </w:rPr>
              <w:t>5</w:t>
            </w:r>
          </w:p>
          <w:p w14:paraId="24D60C39" w14:textId="77777777" w:rsidR="00245300" w:rsidRPr="00EC20A0" w:rsidRDefault="00F17249">
            <w:pPr>
              <w:pStyle w:val="TableParagraph"/>
              <w:ind w:left="105"/>
            </w:pPr>
            <w:r w:rsidRPr="00EC20A0">
              <w:t>U.S.C.</w:t>
            </w:r>
            <w:r w:rsidRPr="00EC20A0">
              <w:rPr>
                <w:spacing w:val="-9"/>
              </w:rPr>
              <w:t xml:space="preserve"> </w:t>
            </w:r>
            <w:r w:rsidRPr="00EC20A0">
              <w:t>chapter</w:t>
            </w:r>
            <w:r w:rsidRPr="00EC20A0">
              <w:rPr>
                <w:spacing w:val="-8"/>
              </w:rPr>
              <w:t xml:space="preserve"> </w:t>
            </w:r>
            <w:r w:rsidRPr="00EC20A0">
              <w:rPr>
                <w:spacing w:val="-5"/>
              </w:rPr>
              <w:t>81</w:t>
            </w:r>
          </w:p>
        </w:tc>
        <w:tc>
          <w:tcPr>
            <w:tcW w:w="1537" w:type="dxa"/>
            <w:tcBorders>
              <w:top w:val="single" w:sz="4" w:space="0" w:color="000000"/>
              <w:left w:val="single" w:sz="4" w:space="0" w:color="000000"/>
              <w:bottom w:val="single" w:sz="4" w:space="0" w:color="000000"/>
            </w:tcBorders>
          </w:tcPr>
          <w:p w14:paraId="24D60C3A" w14:textId="77777777" w:rsidR="00245300" w:rsidRPr="00EC20A0" w:rsidRDefault="00F17249">
            <w:pPr>
              <w:pStyle w:val="TableParagraph"/>
              <w:spacing w:before="216"/>
              <w:ind w:left="114"/>
            </w:pPr>
            <w:r w:rsidRPr="00EC20A0">
              <w:t>FAM</w:t>
            </w:r>
            <w:r w:rsidRPr="00EC20A0">
              <w:rPr>
                <w:spacing w:val="-7"/>
              </w:rPr>
              <w:t xml:space="preserve"> </w:t>
            </w:r>
            <w:r w:rsidRPr="00EC20A0">
              <w:rPr>
                <w:spacing w:val="-5"/>
              </w:rPr>
              <w:t>810</w:t>
            </w:r>
          </w:p>
        </w:tc>
      </w:tr>
      <w:tr w:rsidR="00245300" w:rsidRPr="00EC20A0" w14:paraId="24D60C3E" w14:textId="77777777">
        <w:trPr>
          <w:trHeight w:val="938"/>
        </w:trPr>
        <w:tc>
          <w:tcPr>
            <w:tcW w:w="6570" w:type="dxa"/>
            <w:tcBorders>
              <w:top w:val="single" w:sz="4" w:space="0" w:color="000000"/>
              <w:right w:val="single" w:sz="4" w:space="0" w:color="000000"/>
            </w:tcBorders>
          </w:tcPr>
          <w:p w14:paraId="24D60C3C" w14:textId="77777777" w:rsidR="00245300" w:rsidRPr="00EC20A0" w:rsidRDefault="00F17249">
            <w:pPr>
              <w:pStyle w:val="TableParagraph"/>
              <w:spacing w:before="216"/>
              <w:ind w:left="105" w:right="124"/>
            </w:pPr>
            <w:r w:rsidRPr="00EC20A0">
              <w:t>Federal</w:t>
            </w:r>
            <w:r w:rsidRPr="00EC20A0">
              <w:rPr>
                <w:spacing w:val="-7"/>
              </w:rPr>
              <w:t xml:space="preserve"> </w:t>
            </w:r>
            <w:r w:rsidRPr="00EC20A0">
              <w:t>Employees’</w:t>
            </w:r>
            <w:r w:rsidRPr="00EC20A0">
              <w:rPr>
                <w:spacing w:val="-7"/>
              </w:rPr>
              <w:t xml:space="preserve"> </w:t>
            </w:r>
            <w:r w:rsidRPr="00EC20A0">
              <w:t>Retirement</w:t>
            </w:r>
            <w:r w:rsidRPr="00EC20A0">
              <w:rPr>
                <w:spacing w:val="-7"/>
              </w:rPr>
              <w:t xml:space="preserve"> </w:t>
            </w:r>
            <w:r w:rsidRPr="00EC20A0">
              <w:t>System</w:t>
            </w:r>
            <w:r w:rsidRPr="00EC20A0">
              <w:rPr>
                <w:spacing w:val="-8"/>
              </w:rPr>
              <w:t xml:space="preserve"> </w:t>
            </w:r>
            <w:r w:rsidRPr="00EC20A0">
              <w:t>Act</w:t>
            </w:r>
            <w:r w:rsidRPr="00EC20A0">
              <w:rPr>
                <w:spacing w:val="-7"/>
              </w:rPr>
              <w:t xml:space="preserve"> </w:t>
            </w:r>
            <w:r w:rsidRPr="00EC20A0">
              <w:t>(FERSA),</w:t>
            </w:r>
            <w:r w:rsidRPr="00EC20A0">
              <w:rPr>
                <w:spacing w:val="-7"/>
              </w:rPr>
              <w:t xml:space="preserve"> </w:t>
            </w:r>
            <w:r w:rsidRPr="00EC20A0">
              <w:t>as provided in 5 U.S.C. chapter 84</w:t>
            </w:r>
          </w:p>
        </w:tc>
        <w:tc>
          <w:tcPr>
            <w:tcW w:w="1537" w:type="dxa"/>
            <w:tcBorders>
              <w:top w:val="single" w:sz="4" w:space="0" w:color="000000"/>
              <w:left w:val="single" w:sz="4" w:space="0" w:color="000000"/>
            </w:tcBorders>
          </w:tcPr>
          <w:p w14:paraId="24D60C3D" w14:textId="77777777" w:rsidR="00245300" w:rsidRPr="00EC20A0" w:rsidRDefault="00F17249">
            <w:pPr>
              <w:pStyle w:val="TableParagraph"/>
              <w:spacing w:before="216"/>
              <w:ind w:left="114"/>
            </w:pPr>
            <w:r w:rsidRPr="00EC20A0">
              <w:t>FAM</w:t>
            </w:r>
            <w:r w:rsidRPr="00EC20A0">
              <w:rPr>
                <w:spacing w:val="-7"/>
              </w:rPr>
              <w:t xml:space="preserve"> </w:t>
            </w:r>
            <w:r w:rsidRPr="00EC20A0">
              <w:rPr>
                <w:spacing w:val="-5"/>
              </w:rPr>
              <w:t>811</w:t>
            </w:r>
          </w:p>
        </w:tc>
      </w:tr>
    </w:tbl>
    <w:p w14:paraId="24D60C3F" w14:textId="77777777" w:rsidR="00245300" w:rsidRPr="00EC20A0" w:rsidRDefault="00245300">
      <w:pPr>
        <w:sectPr w:rsidR="00245300" w:rsidRPr="00EC20A0">
          <w:headerReference w:type="default" r:id="rId88"/>
          <w:footerReference w:type="default" r:id="rId89"/>
          <w:pgSz w:w="12240" w:h="15840"/>
          <w:pgMar w:top="1340" w:right="1140" w:bottom="940" w:left="1320" w:header="721" w:footer="742" w:gutter="0"/>
          <w:pgNumType w:start="2"/>
          <w:cols w:space="720"/>
        </w:sectPr>
      </w:pPr>
    </w:p>
    <w:p w14:paraId="24D60C40" w14:textId="77777777" w:rsidR="00245300" w:rsidRPr="00EC20A0" w:rsidRDefault="00F17249">
      <w:pPr>
        <w:pStyle w:val="BodyText"/>
        <w:tabs>
          <w:tab w:val="left" w:pos="9445"/>
        </w:tabs>
        <w:spacing w:before="121" w:after="13" w:line="376" w:lineRule="auto"/>
        <w:ind w:left="119" w:right="331"/>
        <w:jc w:val="both"/>
      </w:pPr>
      <w:r w:rsidRPr="00EC20A0">
        <w:t xml:space="preserve">Entity </w:t>
      </w:r>
      <w:r w:rsidRPr="00EC20A0">
        <w:rPr>
          <w:u w:val="single"/>
        </w:rPr>
        <w:tab/>
      </w:r>
      <w:r w:rsidRPr="00EC20A0">
        <w:t xml:space="preserve"> Period of financial statements</w:t>
      </w:r>
      <w:r w:rsidRPr="00EC20A0">
        <w:rPr>
          <w:spacing w:val="143"/>
        </w:rPr>
        <w:t xml:space="preserve"> </w:t>
      </w:r>
      <w:r w:rsidRPr="00EC20A0">
        <w:rPr>
          <w:u w:val="single"/>
        </w:rPr>
        <w:tab/>
      </w:r>
      <w:r w:rsidRPr="00EC20A0">
        <w:t xml:space="preserve"> Job code</w:t>
      </w:r>
      <w:r w:rsidRPr="00EC20A0">
        <w:rPr>
          <w:spacing w:val="175"/>
        </w:rPr>
        <w:t xml:space="preserve"> </w:t>
      </w:r>
      <w:r w:rsidRPr="00EC20A0">
        <w:rPr>
          <w:u w:val="single"/>
        </w:rPr>
        <w:tab/>
      </w: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8042"/>
        <w:gridCol w:w="1317"/>
      </w:tblGrid>
      <w:tr w:rsidR="00245300" w:rsidRPr="00EC20A0" w14:paraId="24D60C43" w14:textId="77777777">
        <w:trPr>
          <w:trHeight w:val="541"/>
        </w:trPr>
        <w:tc>
          <w:tcPr>
            <w:tcW w:w="8042" w:type="dxa"/>
            <w:tcBorders>
              <w:right w:val="single" w:sz="6" w:space="0" w:color="000000"/>
            </w:tcBorders>
          </w:tcPr>
          <w:p w14:paraId="24D60C41" w14:textId="77777777" w:rsidR="00245300" w:rsidRPr="00EC20A0" w:rsidRDefault="00F17249">
            <w:pPr>
              <w:pStyle w:val="TableParagraph"/>
              <w:spacing w:before="145"/>
              <w:ind w:left="2445"/>
              <w:rPr>
                <w:b/>
              </w:rPr>
            </w:pPr>
            <w:r w:rsidRPr="00EC20A0">
              <w:rPr>
                <w:b/>
              </w:rPr>
              <w:t>Description</w:t>
            </w:r>
            <w:r w:rsidRPr="00EC20A0">
              <w:rPr>
                <w:b/>
                <w:spacing w:val="-9"/>
              </w:rPr>
              <w:t xml:space="preserve"> </w:t>
            </w:r>
            <w:r w:rsidRPr="00EC20A0">
              <w:rPr>
                <w:b/>
              </w:rPr>
              <w:t>of</w:t>
            </w:r>
            <w:r w:rsidRPr="00EC20A0">
              <w:rPr>
                <w:b/>
                <w:spacing w:val="-8"/>
              </w:rPr>
              <w:t xml:space="preserve"> </w:t>
            </w:r>
            <w:r w:rsidRPr="00EC20A0">
              <w:rPr>
                <w:b/>
                <w:spacing w:val="-5"/>
              </w:rPr>
              <w:t>law</w:t>
            </w:r>
          </w:p>
        </w:tc>
        <w:tc>
          <w:tcPr>
            <w:tcW w:w="1317" w:type="dxa"/>
            <w:tcBorders>
              <w:left w:val="single" w:sz="6" w:space="0" w:color="000000"/>
            </w:tcBorders>
          </w:tcPr>
          <w:p w14:paraId="24D60C42" w14:textId="77777777" w:rsidR="00245300" w:rsidRPr="00EC20A0" w:rsidRDefault="00F17249">
            <w:pPr>
              <w:pStyle w:val="TableParagraph"/>
              <w:spacing w:before="145"/>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C68" w14:textId="77777777">
        <w:trPr>
          <w:trHeight w:val="8488"/>
        </w:trPr>
        <w:tc>
          <w:tcPr>
            <w:tcW w:w="8042" w:type="dxa"/>
            <w:tcBorders>
              <w:right w:val="single" w:sz="6" w:space="0" w:color="000000"/>
            </w:tcBorders>
          </w:tcPr>
          <w:p w14:paraId="24D60C44" w14:textId="77777777" w:rsidR="00245300" w:rsidRPr="00EC20A0" w:rsidRDefault="00F17249">
            <w:pPr>
              <w:pStyle w:val="TableParagraph"/>
              <w:spacing w:before="144"/>
              <w:ind w:left="129" w:right="255"/>
              <w:rPr>
                <w:b/>
              </w:rPr>
            </w:pPr>
            <w:proofErr w:type="spellStart"/>
            <w:r w:rsidRPr="00EC20A0">
              <w:rPr>
                <w:b/>
              </w:rPr>
              <w:t>Antideficiency</w:t>
            </w:r>
            <w:proofErr w:type="spellEnd"/>
            <w:r w:rsidRPr="00EC20A0">
              <w:rPr>
                <w:b/>
                <w:spacing w:val="-4"/>
              </w:rPr>
              <w:t xml:space="preserve"> </w:t>
            </w:r>
            <w:r w:rsidRPr="00EC20A0">
              <w:rPr>
                <w:b/>
              </w:rPr>
              <w:t>Act</w:t>
            </w:r>
            <w:r w:rsidRPr="00EC20A0">
              <w:rPr>
                <w:b/>
                <w:spacing w:val="-4"/>
              </w:rPr>
              <w:t xml:space="preserve"> </w:t>
            </w:r>
            <w:r w:rsidRPr="00EC20A0">
              <w:rPr>
                <w:b/>
              </w:rPr>
              <w:t>(ADA),</w:t>
            </w:r>
            <w:r w:rsidRPr="00EC20A0">
              <w:rPr>
                <w:b/>
                <w:spacing w:val="-4"/>
              </w:rPr>
              <w:t xml:space="preserve"> </w:t>
            </w:r>
            <w:r w:rsidRPr="00EC20A0">
              <w:rPr>
                <w:b/>
              </w:rPr>
              <w:t>as</w:t>
            </w:r>
            <w:r w:rsidRPr="00EC20A0">
              <w:rPr>
                <w:b/>
                <w:spacing w:val="-4"/>
              </w:rPr>
              <w:t xml:space="preserve"> </w:t>
            </w:r>
            <w:r w:rsidRPr="00EC20A0">
              <w:rPr>
                <w:b/>
              </w:rPr>
              <w:t>provided</w:t>
            </w:r>
            <w:r w:rsidRPr="00EC20A0">
              <w:rPr>
                <w:b/>
                <w:spacing w:val="-4"/>
              </w:rPr>
              <w:t xml:space="preserve"> </w:t>
            </w:r>
            <w:r w:rsidRPr="00EC20A0">
              <w:rPr>
                <w:b/>
              </w:rPr>
              <w:t>primarily</w:t>
            </w:r>
            <w:r w:rsidRPr="00EC20A0">
              <w:rPr>
                <w:b/>
                <w:spacing w:val="-4"/>
              </w:rPr>
              <w:t xml:space="preserve"> </w:t>
            </w:r>
            <w:r w:rsidRPr="00EC20A0">
              <w:rPr>
                <w:b/>
              </w:rPr>
              <w:t>in</w:t>
            </w:r>
            <w:r w:rsidRPr="00EC20A0">
              <w:rPr>
                <w:b/>
                <w:spacing w:val="-4"/>
              </w:rPr>
              <w:t xml:space="preserve"> </w:t>
            </w:r>
            <w:r w:rsidRPr="00EC20A0">
              <w:rPr>
                <w:b/>
              </w:rPr>
              <w:t>31</w:t>
            </w:r>
            <w:r w:rsidRPr="00EC20A0">
              <w:rPr>
                <w:b/>
                <w:spacing w:val="-4"/>
              </w:rPr>
              <w:t xml:space="preserve"> </w:t>
            </w:r>
            <w:r w:rsidRPr="00EC20A0">
              <w:rPr>
                <w:b/>
              </w:rPr>
              <w:t>U.S.C.</w:t>
            </w:r>
            <w:r w:rsidRPr="00EC20A0">
              <w:rPr>
                <w:b/>
                <w:spacing w:val="-4"/>
              </w:rPr>
              <w:t xml:space="preserve"> </w:t>
            </w:r>
            <w:r w:rsidRPr="00EC20A0">
              <w:rPr>
                <w:b/>
              </w:rPr>
              <w:t>chapters</w:t>
            </w:r>
            <w:r w:rsidRPr="00EC20A0">
              <w:rPr>
                <w:b/>
                <w:spacing w:val="-4"/>
              </w:rPr>
              <w:t xml:space="preserve"> </w:t>
            </w:r>
            <w:r w:rsidRPr="00EC20A0">
              <w:rPr>
                <w:b/>
              </w:rPr>
              <w:t>13, 15 (31 U.S.C. §§ 1341(a)(1)(A), (B); and 31 U.S.C. § 1517(a))</w:t>
            </w:r>
            <w:hyperlink w:anchor="_bookmark72" w:history="1">
              <w:r w:rsidRPr="00EC20A0">
                <w:rPr>
                  <w:b/>
                  <w:vertAlign w:val="superscript"/>
                </w:rPr>
                <w:t>1</w:t>
              </w:r>
            </w:hyperlink>
          </w:p>
          <w:p w14:paraId="24D60C45" w14:textId="77777777" w:rsidR="00245300" w:rsidRPr="00EC20A0" w:rsidRDefault="00F17249">
            <w:pPr>
              <w:pStyle w:val="TableParagraph"/>
              <w:spacing w:before="145"/>
              <w:ind w:left="129" w:right="255"/>
            </w:pPr>
            <w:r w:rsidRPr="00EC20A0">
              <w:t>This</w:t>
            </w:r>
            <w:r w:rsidRPr="00EC20A0">
              <w:rPr>
                <w:spacing w:val="-4"/>
              </w:rPr>
              <w:t xml:space="preserve"> </w:t>
            </w:r>
            <w:r w:rsidRPr="00EC20A0">
              <w:t>law</w:t>
            </w:r>
            <w:r w:rsidRPr="00EC20A0">
              <w:rPr>
                <w:spacing w:val="-5"/>
              </w:rPr>
              <w:t xml:space="preserve"> </w:t>
            </w:r>
            <w:r w:rsidRPr="00EC20A0">
              <w:t>imposes</w:t>
            </w:r>
            <w:r w:rsidRPr="00EC20A0">
              <w:rPr>
                <w:spacing w:val="-4"/>
              </w:rPr>
              <w:t xml:space="preserve"> </w:t>
            </w:r>
            <w:r w:rsidRPr="00EC20A0">
              <w:t>restrictions</w:t>
            </w:r>
            <w:r w:rsidRPr="00EC20A0">
              <w:rPr>
                <w:spacing w:val="-4"/>
              </w:rPr>
              <w:t xml:space="preserve"> </w:t>
            </w:r>
            <w:r w:rsidRPr="00EC20A0">
              <w:t>on</w:t>
            </w:r>
            <w:r w:rsidRPr="00EC20A0">
              <w:rPr>
                <w:spacing w:val="-4"/>
              </w:rPr>
              <w:t xml:space="preserve"> </w:t>
            </w:r>
            <w:r w:rsidRPr="00EC20A0">
              <w:t>the</w:t>
            </w:r>
            <w:r w:rsidRPr="00EC20A0">
              <w:rPr>
                <w:spacing w:val="-5"/>
              </w:rPr>
              <w:t xml:space="preserve"> </w:t>
            </w:r>
            <w:r w:rsidRPr="00EC20A0">
              <w:t>amounts</w:t>
            </w:r>
            <w:r w:rsidRPr="00EC20A0">
              <w:rPr>
                <w:spacing w:val="-4"/>
              </w:rPr>
              <w:t xml:space="preserve"> </w:t>
            </w:r>
            <w:r w:rsidRPr="00EC20A0">
              <w:t>of</w:t>
            </w:r>
            <w:r w:rsidRPr="00EC20A0">
              <w:rPr>
                <w:spacing w:val="-4"/>
              </w:rPr>
              <w:t xml:space="preserve"> </w:t>
            </w:r>
            <w:r w:rsidRPr="00EC20A0">
              <w:t>obligations</w:t>
            </w:r>
            <w:r w:rsidRPr="00EC20A0">
              <w:rPr>
                <w:spacing w:val="-6"/>
              </w:rPr>
              <w:t xml:space="preserve"> </w:t>
            </w:r>
            <w:r w:rsidRPr="00EC20A0">
              <w:t>or</w:t>
            </w:r>
            <w:r w:rsidRPr="00EC20A0">
              <w:rPr>
                <w:spacing w:val="-4"/>
              </w:rPr>
              <w:t xml:space="preserve"> </w:t>
            </w:r>
            <w:r w:rsidRPr="00EC20A0">
              <w:t>expenditures that entities may make. More specifically, this law provides that the entity’s officers or employees, unless authorized by law, shall not:</w:t>
            </w:r>
          </w:p>
          <w:p w14:paraId="24D60C46" w14:textId="77777777" w:rsidR="00245300" w:rsidRPr="00EC20A0" w:rsidRDefault="00F17249">
            <w:pPr>
              <w:pStyle w:val="TableParagraph"/>
              <w:numPr>
                <w:ilvl w:val="0"/>
                <w:numId w:val="159"/>
              </w:numPr>
              <w:tabs>
                <w:tab w:val="left" w:pos="848"/>
                <w:tab w:val="left" w:pos="909"/>
              </w:tabs>
              <w:spacing w:before="143"/>
              <w:ind w:right="349" w:hanging="360"/>
            </w:pPr>
            <w:r w:rsidRPr="00EC20A0">
              <w:t>make</w:t>
            </w:r>
            <w:r w:rsidRPr="00EC20A0">
              <w:rPr>
                <w:spacing w:val="-5"/>
              </w:rPr>
              <w:t xml:space="preserve"> </w:t>
            </w:r>
            <w:r w:rsidRPr="00EC20A0">
              <w:t>or</w:t>
            </w:r>
            <w:r w:rsidRPr="00EC20A0">
              <w:rPr>
                <w:spacing w:val="-5"/>
              </w:rPr>
              <w:t xml:space="preserve"> </w:t>
            </w:r>
            <w:r w:rsidRPr="00EC20A0">
              <w:t>authorize</w:t>
            </w:r>
            <w:r w:rsidRPr="00EC20A0">
              <w:rPr>
                <w:spacing w:val="-5"/>
              </w:rPr>
              <w:t xml:space="preserve"> </w:t>
            </w:r>
            <w:r w:rsidRPr="00EC20A0">
              <w:t>expenditures</w:t>
            </w:r>
            <w:r w:rsidRPr="00EC20A0">
              <w:rPr>
                <w:spacing w:val="-5"/>
              </w:rPr>
              <w:t xml:space="preserve"> </w:t>
            </w:r>
            <w:r w:rsidRPr="00EC20A0">
              <w:t>or</w:t>
            </w:r>
            <w:r w:rsidRPr="00EC20A0">
              <w:rPr>
                <w:spacing w:val="-5"/>
              </w:rPr>
              <w:t xml:space="preserve"> </w:t>
            </w:r>
            <w:r w:rsidRPr="00EC20A0">
              <w:t>obligations</w:t>
            </w:r>
            <w:r w:rsidRPr="00EC20A0">
              <w:rPr>
                <w:spacing w:val="-5"/>
              </w:rPr>
              <w:t xml:space="preserve"> </w:t>
            </w:r>
            <w:r w:rsidRPr="00EC20A0">
              <w:t>that</w:t>
            </w:r>
            <w:r w:rsidRPr="00EC20A0">
              <w:rPr>
                <w:spacing w:val="-5"/>
              </w:rPr>
              <w:t xml:space="preserve"> </w:t>
            </w:r>
            <w:r w:rsidRPr="00EC20A0">
              <w:t>exceed</w:t>
            </w:r>
            <w:r w:rsidRPr="00EC20A0">
              <w:rPr>
                <w:spacing w:val="-5"/>
              </w:rPr>
              <w:t xml:space="preserve"> </w:t>
            </w:r>
            <w:r w:rsidRPr="00EC20A0">
              <w:t>the</w:t>
            </w:r>
            <w:r w:rsidRPr="00EC20A0">
              <w:rPr>
                <w:spacing w:val="-5"/>
              </w:rPr>
              <w:t xml:space="preserve"> </w:t>
            </w:r>
            <w:r w:rsidRPr="00EC20A0">
              <w:t>amount available for expenditure or obligation in an appropriation or a fund;</w:t>
            </w:r>
          </w:p>
          <w:p w14:paraId="24D60C47" w14:textId="77777777" w:rsidR="00245300" w:rsidRPr="00EC20A0" w:rsidRDefault="00F17249">
            <w:pPr>
              <w:pStyle w:val="TableParagraph"/>
              <w:numPr>
                <w:ilvl w:val="0"/>
                <w:numId w:val="159"/>
              </w:numPr>
              <w:tabs>
                <w:tab w:val="left" w:pos="847"/>
                <w:tab w:val="left" w:pos="909"/>
              </w:tabs>
              <w:spacing w:before="145"/>
              <w:ind w:right="520" w:hanging="361"/>
            </w:pPr>
            <w:r w:rsidRPr="00EC20A0">
              <w:t>involve the U.S. government in a contract or an obligation for the payment</w:t>
            </w:r>
            <w:r w:rsidRPr="00EC20A0">
              <w:rPr>
                <w:spacing w:val="-4"/>
              </w:rPr>
              <w:t xml:space="preserve"> </w:t>
            </w:r>
            <w:r w:rsidRPr="00EC20A0">
              <w:t>of</w:t>
            </w:r>
            <w:r w:rsidRPr="00EC20A0">
              <w:rPr>
                <w:spacing w:val="-4"/>
              </w:rPr>
              <w:t xml:space="preserve"> </w:t>
            </w:r>
            <w:r w:rsidRPr="00EC20A0">
              <w:t>money</w:t>
            </w:r>
            <w:r w:rsidRPr="00EC20A0">
              <w:rPr>
                <w:spacing w:val="-4"/>
              </w:rPr>
              <w:t xml:space="preserve"> </w:t>
            </w:r>
            <w:r w:rsidRPr="00EC20A0">
              <w:t>for</w:t>
            </w:r>
            <w:r w:rsidRPr="00EC20A0">
              <w:rPr>
                <w:spacing w:val="-4"/>
              </w:rPr>
              <w:t xml:space="preserve"> </w:t>
            </w:r>
            <w:r w:rsidRPr="00EC20A0">
              <w:t>any</w:t>
            </w:r>
            <w:r w:rsidRPr="00EC20A0">
              <w:rPr>
                <w:spacing w:val="-4"/>
              </w:rPr>
              <w:t xml:space="preserve"> </w:t>
            </w:r>
            <w:r w:rsidRPr="00EC20A0">
              <w:t>purpose</w:t>
            </w:r>
            <w:r w:rsidRPr="00EC20A0">
              <w:rPr>
                <w:spacing w:val="-5"/>
              </w:rPr>
              <w:t xml:space="preserve"> </w:t>
            </w:r>
            <w:r w:rsidRPr="00EC20A0">
              <w:t>before</w:t>
            </w:r>
            <w:r w:rsidRPr="00EC20A0">
              <w:rPr>
                <w:spacing w:val="-4"/>
              </w:rPr>
              <w:t xml:space="preserve"> </w:t>
            </w:r>
            <w:r w:rsidRPr="00EC20A0">
              <w:t>an</w:t>
            </w:r>
            <w:r w:rsidRPr="00EC20A0">
              <w:rPr>
                <w:spacing w:val="-4"/>
              </w:rPr>
              <w:t xml:space="preserve"> </w:t>
            </w:r>
            <w:r w:rsidRPr="00EC20A0">
              <w:t>appropriation</w:t>
            </w:r>
            <w:r w:rsidRPr="00EC20A0">
              <w:rPr>
                <w:spacing w:val="-5"/>
              </w:rPr>
              <w:t xml:space="preserve"> </w:t>
            </w:r>
            <w:r w:rsidRPr="00EC20A0">
              <w:t>for</w:t>
            </w:r>
            <w:r w:rsidRPr="00EC20A0">
              <w:rPr>
                <w:spacing w:val="-4"/>
              </w:rPr>
              <w:t xml:space="preserve"> </w:t>
            </w:r>
            <w:r w:rsidRPr="00EC20A0">
              <w:t>such purpose is made; or</w:t>
            </w:r>
          </w:p>
          <w:p w14:paraId="24D60C48" w14:textId="77777777" w:rsidR="00245300" w:rsidRPr="00EC20A0" w:rsidRDefault="00F17249">
            <w:pPr>
              <w:pStyle w:val="TableParagraph"/>
              <w:numPr>
                <w:ilvl w:val="0"/>
                <w:numId w:val="159"/>
              </w:numPr>
              <w:tabs>
                <w:tab w:val="left" w:pos="847"/>
                <w:tab w:val="left" w:pos="909"/>
              </w:tabs>
              <w:spacing w:before="143"/>
              <w:ind w:right="348" w:hanging="361"/>
            </w:pPr>
            <w:r w:rsidRPr="00EC20A0">
              <w:t>make</w:t>
            </w:r>
            <w:r w:rsidRPr="00EC20A0">
              <w:rPr>
                <w:spacing w:val="-4"/>
              </w:rPr>
              <w:t xml:space="preserve"> </w:t>
            </w:r>
            <w:r w:rsidRPr="00EC20A0">
              <w:t>or</w:t>
            </w:r>
            <w:r w:rsidRPr="00EC20A0">
              <w:rPr>
                <w:spacing w:val="-4"/>
              </w:rPr>
              <w:t xml:space="preserve"> </w:t>
            </w:r>
            <w:r w:rsidRPr="00EC20A0">
              <w:t>authorize</w:t>
            </w:r>
            <w:r w:rsidRPr="00EC20A0">
              <w:rPr>
                <w:spacing w:val="-4"/>
              </w:rPr>
              <w:t xml:space="preserve"> </w:t>
            </w:r>
            <w:r w:rsidRPr="00EC20A0">
              <w:t>expenditures</w:t>
            </w:r>
            <w:r w:rsidRPr="00EC20A0">
              <w:rPr>
                <w:spacing w:val="-4"/>
              </w:rPr>
              <w:t xml:space="preserve"> </w:t>
            </w:r>
            <w:r w:rsidRPr="00EC20A0">
              <w:t>or</w:t>
            </w:r>
            <w:r w:rsidRPr="00EC20A0">
              <w:rPr>
                <w:spacing w:val="-4"/>
              </w:rPr>
              <w:t xml:space="preserve"> </w:t>
            </w:r>
            <w:r w:rsidRPr="00EC20A0">
              <w:t>obligations</w:t>
            </w:r>
            <w:r w:rsidRPr="00EC20A0">
              <w:rPr>
                <w:spacing w:val="-5"/>
              </w:rPr>
              <w:t xml:space="preserve"> </w:t>
            </w:r>
            <w:r w:rsidRPr="00EC20A0">
              <w:t>that</w:t>
            </w:r>
            <w:r w:rsidRPr="00EC20A0">
              <w:rPr>
                <w:spacing w:val="-4"/>
              </w:rPr>
              <w:t xml:space="preserve"> </w:t>
            </w:r>
            <w:r w:rsidRPr="00EC20A0">
              <w:t>exceed</w:t>
            </w:r>
            <w:r w:rsidRPr="00EC20A0">
              <w:rPr>
                <w:spacing w:val="-4"/>
              </w:rPr>
              <w:t xml:space="preserve"> </w:t>
            </w:r>
            <w:r w:rsidRPr="00EC20A0">
              <w:t>the</w:t>
            </w:r>
            <w:r w:rsidRPr="00EC20A0">
              <w:rPr>
                <w:spacing w:val="-3"/>
              </w:rPr>
              <w:t xml:space="preserve"> </w:t>
            </w:r>
            <w:r w:rsidRPr="00EC20A0">
              <w:t>amount of an apportionment (or reapportionment, if applicable) or a lesser amount, if any, established by entity regulations (</w:t>
            </w:r>
            <w:r w:rsidRPr="00EC20A0">
              <w:rPr>
                <w:i/>
              </w:rPr>
              <w:t xml:space="preserve">e.g., </w:t>
            </w:r>
            <w:r w:rsidRPr="00EC20A0">
              <w:t xml:space="preserve">an allotment </w:t>
            </w:r>
            <w:r w:rsidRPr="00EC20A0">
              <w:rPr>
                <w:spacing w:val="-2"/>
              </w:rPr>
              <w:t>level).</w:t>
            </w:r>
          </w:p>
          <w:p w14:paraId="24D60C49" w14:textId="77777777" w:rsidR="00245300" w:rsidRPr="00EC20A0" w:rsidRDefault="00F17249">
            <w:pPr>
              <w:pStyle w:val="TableParagraph"/>
              <w:spacing w:before="144"/>
              <w:ind w:left="129"/>
            </w:pPr>
            <w:r w:rsidRPr="00EC20A0">
              <w:t xml:space="preserve">As </w:t>
            </w:r>
            <w:r w:rsidRPr="00EC20A0">
              <w:t>discussed in FAM 250, Identify Relevant Budget Restrictions, the auditor should</w:t>
            </w:r>
            <w:r w:rsidRPr="00EC20A0">
              <w:rPr>
                <w:spacing w:val="-4"/>
              </w:rPr>
              <w:t xml:space="preserve"> </w:t>
            </w:r>
            <w:r w:rsidRPr="00EC20A0">
              <w:t>obtain</w:t>
            </w:r>
            <w:r w:rsidRPr="00EC20A0">
              <w:rPr>
                <w:spacing w:val="-4"/>
              </w:rPr>
              <w:t xml:space="preserve"> </w:t>
            </w:r>
            <w:r w:rsidRPr="00EC20A0">
              <w:t>information</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budget</w:t>
            </w:r>
            <w:r w:rsidRPr="00EC20A0">
              <w:rPr>
                <w:spacing w:val="-5"/>
              </w:rPr>
              <w:t xml:space="preserve"> </w:t>
            </w:r>
            <w:r w:rsidRPr="00EC20A0">
              <w:t>authority,</w:t>
            </w:r>
            <w:r w:rsidRPr="00EC20A0">
              <w:rPr>
                <w:spacing w:val="-4"/>
              </w:rPr>
              <w:t xml:space="preserve"> </w:t>
            </w:r>
            <w:r w:rsidRPr="00EC20A0">
              <w:t>from</w:t>
            </w:r>
            <w:r w:rsidRPr="00EC20A0">
              <w:rPr>
                <w:spacing w:val="-5"/>
              </w:rPr>
              <w:t xml:space="preserve"> </w:t>
            </w:r>
            <w:r w:rsidRPr="00EC20A0">
              <w:t>sources</w:t>
            </w:r>
            <w:r w:rsidRPr="00EC20A0">
              <w:rPr>
                <w:spacing w:val="-4"/>
              </w:rPr>
              <w:t xml:space="preserve"> </w:t>
            </w:r>
            <w:r w:rsidRPr="00EC20A0">
              <w:t>such</w:t>
            </w:r>
            <w:r w:rsidRPr="00EC20A0">
              <w:rPr>
                <w:spacing w:val="-4"/>
              </w:rPr>
              <w:t xml:space="preserve"> </w:t>
            </w:r>
            <w:r w:rsidRPr="00EC20A0">
              <w:t xml:space="preserve">as appropriation statutes, and identify all legally binding restrictions on budget </w:t>
            </w:r>
            <w:r w:rsidRPr="00EC20A0">
              <w:rPr>
                <w:spacing w:val="-2"/>
              </w:rPr>
              <w:t>execution.</w:t>
            </w:r>
          </w:p>
          <w:p w14:paraId="24D60C4A" w14:textId="77777777" w:rsidR="00245300" w:rsidRPr="00EC20A0" w:rsidRDefault="00F17249">
            <w:pPr>
              <w:pStyle w:val="TableParagraph"/>
              <w:spacing w:before="145"/>
              <w:ind w:left="129" w:right="138"/>
              <w:rPr>
                <w:i/>
              </w:rPr>
            </w:pPr>
            <w:r w:rsidRPr="00EC20A0">
              <w:rPr>
                <w:i/>
              </w:rPr>
              <w:t>Does</w:t>
            </w:r>
            <w:r w:rsidRPr="00EC20A0">
              <w:rPr>
                <w:i/>
                <w:spacing w:val="-3"/>
              </w:rPr>
              <w:t xml:space="preserve"> </w:t>
            </w:r>
            <w:r w:rsidRPr="00EC20A0">
              <w:rPr>
                <w:i/>
              </w:rPr>
              <w:t>the</w:t>
            </w:r>
            <w:r w:rsidRPr="00EC20A0">
              <w:rPr>
                <w:i/>
                <w:spacing w:val="-3"/>
              </w:rPr>
              <w:t xml:space="preserve"> </w:t>
            </w:r>
            <w:r w:rsidRPr="00EC20A0">
              <w:rPr>
                <w:i/>
              </w:rPr>
              <w:t>entity</w:t>
            </w:r>
            <w:r w:rsidRPr="00EC20A0">
              <w:rPr>
                <w:i/>
                <w:spacing w:val="-3"/>
              </w:rPr>
              <w:t xml:space="preserve"> </w:t>
            </w:r>
            <w:r w:rsidRPr="00EC20A0">
              <w:rPr>
                <w:i/>
              </w:rPr>
              <w:t>have</w:t>
            </w:r>
            <w:r w:rsidRPr="00EC20A0">
              <w:rPr>
                <w:i/>
                <w:spacing w:val="-3"/>
              </w:rPr>
              <w:t xml:space="preserve"> </w:t>
            </w:r>
            <w:r w:rsidRPr="00EC20A0">
              <w:rPr>
                <w:i/>
              </w:rPr>
              <w:t>appropriations</w:t>
            </w:r>
            <w:r w:rsidRPr="00EC20A0">
              <w:rPr>
                <w:i/>
                <w:spacing w:val="-4"/>
              </w:rPr>
              <w:t xml:space="preserve"> </w:t>
            </w:r>
            <w:r w:rsidRPr="00EC20A0">
              <w:rPr>
                <w:i/>
              </w:rPr>
              <w:t>or</w:t>
            </w:r>
            <w:r w:rsidRPr="00EC20A0">
              <w:rPr>
                <w:i/>
                <w:spacing w:val="-3"/>
              </w:rPr>
              <w:t xml:space="preserve"> </w:t>
            </w:r>
            <w:r w:rsidRPr="00EC20A0">
              <w:rPr>
                <w:i/>
              </w:rPr>
              <w:t>other</w:t>
            </w:r>
            <w:r w:rsidRPr="00EC20A0">
              <w:rPr>
                <w:i/>
                <w:spacing w:val="-2"/>
              </w:rPr>
              <w:t xml:space="preserve"> </w:t>
            </w:r>
            <w:r w:rsidRPr="00EC20A0">
              <w:rPr>
                <w:i/>
              </w:rPr>
              <w:t>funds</w:t>
            </w:r>
            <w:r w:rsidRPr="00EC20A0">
              <w:rPr>
                <w:i/>
                <w:spacing w:val="-3"/>
              </w:rPr>
              <w:t xml:space="preserve"> </w:t>
            </w:r>
            <w:r w:rsidRPr="00EC20A0">
              <w:rPr>
                <w:i/>
              </w:rPr>
              <w:t>that</w:t>
            </w:r>
            <w:r w:rsidRPr="00EC20A0">
              <w:rPr>
                <w:i/>
                <w:spacing w:val="-3"/>
              </w:rPr>
              <w:t xml:space="preserve"> </w:t>
            </w:r>
            <w:r w:rsidRPr="00EC20A0">
              <w:rPr>
                <w:i/>
              </w:rPr>
              <w:t>are</w:t>
            </w:r>
            <w:r w:rsidRPr="00EC20A0">
              <w:rPr>
                <w:i/>
                <w:spacing w:val="-3"/>
              </w:rPr>
              <w:t xml:space="preserve"> </w:t>
            </w:r>
            <w:r w:rsidRPr="00EC20A0">
              <w:rPr>
                <w:i/>
              </w:rPr>
              <w:t>limited</w:t>
            </w:r>
            <w:r w:rsidRPr="00EC20A0">
              <w:rPr>
                <w:i/>
                <w:spacing w:val="-3"/>
              </w:rPr>
              <w:t xml:space="preserve"> </w:t>
            </w:r>
            <w:r w:rsidRPr="00EC20A0">
              <w:rPr>
                <w:i/>
              </w:rPr>
              <w:t>to</w:t>
            </w:r>
            <w:r w:rsidRPr="00EC20A0">
              <w:rPr>
                <w:i/>
                <w:spacing w:val="-3"/>
              </w:rPr>
              <w:t xml:space="preserve"> </w:t>
            </w:r>
            <w:r w:rsidRPr="00EC20A0">
              <w:rPr>
                <w:i/>
              </w:rPr>
              <w:t>an</w:t>
            </w:r>
            <w:r w:rsidRPr="00EC20A0">
              <w:rPr>
                <w:i/>
                <w:spacing w:val="-3"/>
              </w:rPr>
              <w:t xml:space="preserve"> </w:t>
            </w:r>
            <w:r w:rsidRPr="00EC20A0">
              <w:rPr>
                <w:i/>
              </w:rPr>
              <w:t>amount or a specified period of availability?</w:t>
            </w:r>
          </w:p>
          <w:p w14:paraId="24D60C4B" w14:textId="77777777" w:rsidR="00245300" w:rsidRPr="00EC20A0" w:rsidRDefault="00F17249">
            <w:pPr>
              <w:pStyle w:val="TableParagraph"/>
              <w:spacing w:before="143"/>
              <w:ind w:left="129"/>
            </w:pPr>
            <w:r w:rsidRPr="00EC20A0">
              <w:t>Because</w:t>
            </w:r>
            <w:r w:rsidRPr="00EC20A0">
              <w:rPr>
                <w:spacing w:val="-4"/>
              </w:rPr>
              <w:t xml:space="preserve"> </w:t>
            </w:r>
            <w:r w:rsidRPr="00EC20A0">
              <w:t>the</w:t>
            </w:r>
            <w:r w:rsidRPr="00EC20A0">
              <w:rPr>
                <w:spacing w:val="-5"/>
              </w:rPr>
              <w:t xml:space="preserve"> </w:t>
            </w:r>
            <w:proofErr w:type="spellStart"/>
            <w:r w:rsidRPr="00EC20A0">
              <w:t>Antideficiency</w:t>
            </w:r>
            <w:proofErr w:type="spellEnd"/>
            <w:r w:rsidRPr="00EC20A0">
              <w:rPr>
                <w:spacing w:val="-4"/>
              </w:rPr>
              <w:t xml:space="preserve"> </w:t>
            </w:r>
            <w:r w:rsidRPr="00EC20A0">
              <w:t>Act</w:t>
            </w:r>
            <w:r w:rsidRPr="00EC20A0">
              <w:rPr>
                <w:spacing w:val="-4"/>
              </w:rPr>
              <w:t xml:space="preserve"> </w:t>
            </w:r>
            <w:r w:rsidRPr="00EC20A0">
              <w:t>has</w:t>
            </w:r>
            <w:r w:rsidRPr="00EC20A0">
              <w:rPr>
                <w:spacing w:val="-4"/>
              </w:rPr>
              <w:t xml:space="preserve"> </w:t>
            </w:r>
            <w:r w:rsidRPr="00EC20A0">
              <w:t>no</w:t>
            </w:r>
            <w:r w:rsidRPr="00EC20A0">
              <w:rPr>
                <w:spacing w:val="-4"/>
              </w:rPr>
              <w:t xml:space="preserve"> </w:t>
            </w:r>
            <w:r w:rsidRPr="00EC20A0">
              <w:t>materiality</w:t>
            </w:r>
            <w:r w:rsidRPr="00EC20A0">
              <w:rPr>
                <w:spacing w:val="-5"/>
              </w:rPr>
              <w:t xml:space="preserve"> </w:t>
            </w:r>
            <w:r w:rsidRPr="00EC20A0">
              <w:t>limit,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 complete the compliance supplement at FAM 803.</w:t>
            </w:r>
          </w:p>
        </w:tc>
        <w:tc>
          <w:tcPr>
            <w:tcW w:w="1317" w:type="dxa"/>
            <w:tcBorders>
              <w:left w:val="single" w:sz="6" w:space="0" w:color="000000"/>
            </w:tcBorders>
          </w:tcPr>
          <w:p w14:paraId="24D60C4C" w14:textId="77777777" w:rsidR="00245300" w:rsidRPr="00EC20A0" w:rsidRDefault="00245300">
            <w:pPr>
              <w:pStyle w:val="TableParagraph"/>
              <w:rPr>
                <w:sz w:val="20"/>
              </w:rPr>
            </w:pPr>
          </w:p>
          <w:p w14:paraId="24D60C4D" w14:textId="77777777" w:rsidR="00245300" w:rsidRPr="00EC20A0" w:rsidRDefault="00245300">
            <w:pPr>
              <w:pStyle w:val="TableParagraph"/>
              <w:rPr>
                <w:sz w:val="20"/>
              </w:rPr>
            </w:pPr>
          </w:p>
          <w:p w14:paraId="24D60C4E" w14:textId="77777777" w:rsidR="00245300" w:rsidRPr="00EC20A0" w:rsidRDefault="00245300">
            <w:pPr>
              <w:pStyle w:val="TableParagraph"/>
              <w:rPr>
                <w:sz w:val="20"/>
              </w:rPr>
            </w:pPr>
          </w:p>
          <w:p w14:paraId="24D60C4F" w14:textId="77777777" w:rsidR="00245300" w:rsidRPr="00EC20A0" w:rsidRDefault="00245300">
            <w:pPr>
              <w:pStyle w:val="TableParagraph"/>
              <w:rPr>
                <w:sz w:val="20"/>
              </w:rPr>
            </w:pPr>
          </w:p>
          <w:p w14:paraId="24D60C50" w14:textId="77777777" w:rsidR="00245300" w:rsidRPr="00EC20A0" w:rsidRDefault="00245300">
            <w:pPr>
              <w:pStyle w:val="TableParagraph"/>
              <w:rPr>
                <w:sz w:val="20"/>
              </w:rPr>
            </w:pPr>
          </w:p>
          <w:p w14:paraId="24D60C51" w14:textId="77777777" w:rsidR="00245300" w:rsidRPr="00EC20A0" w:rsidRDefault="00245300">
            <w:pPr>
              <w:pStyle w:val="TableParagraph"/>
              <w:rPr>
                <w:sz w:val="20"/>
              </w:rPr>
            </w:pPr>
          </w:p>
          <w:p w14:paraId="24D60C52" w14:textId="77777777" w:rsidR="00245300" w:rsidRPr="00EC20A0" w:rsidRDefault="00245300">
            <w:pPr>
              <w:pStyle w:val="TableParagraph"/>
              <w:rPr>
                <w:sz w:val="20"/>
              </w:rPr>
            </w:pPr>
          </w:p>
          <w:p w14:paraId="24D60C53" w14:textId="77777777" w:rsidR="00245300" w:rsidRPr="00EC20A0" w:rsidRDefault="00245300">
            <w:pPr>
              <w:pStyle w:val="TableParagraph"/>
              <w:rPr>
                <w:sz w:val="20"/>
              </w:rPr>
            </w:pPr>
          </w:p>
          <w:p w14:paraId="24D60C54" w14:textId="77777777" w:rsidR="00245300" w:rsidRPr="00EC20A0" w:rsidRDefault="00245300">
            <w:pPr>
              <w:pStyle w:val="TableParagraph"/>
              <w:rPr>
                <w:sz w:val="20"/>
              </w:rPr>
            </w:pPr>
          </w:p>
          <w:p w14:paraId="24D60C55" w14:textId="77777777" w:rsidR="00245300" w:rsidRPr="00EC20A0" w:rsidRDefault="00245300">
            <w:pPr>
              <w:pStyle w:val="TableParagraph"/>
              <w:rPr>
                <w:sz w:val="20"/>
              </w:rPr>
            </w:pPr>
          </w:p>
          <w:p w14:paraId="24D60C56" w14:textId="77777777" w:rsidR="00245300" w:rsidRPr="00EC20A0" w:rsidRDefault="00245300">
            <w:pPr>
              <w:pStyle w:val="TableParagraph"/>
              <w:rPr>
                <w:sz w:val="20"/>
              </w:rPr>
            </w:pPr>
          </w:p>
          <w:p w14:paraId="24D60C57" w14:textId="77777777" w:rsidR="00245300" w:rsidRPr="00EC20A0" w:rsidRDefault="00245300">
            <w:pPr>
              <w:pStyle w:val="TableParagraph"/>
              <w:rPr>
                <w:sz w:val="20"/>
              </w:rPr>
            </w:pPr>
          </w:p>
          <w:p w14:paraId="24D60C58" w14:textId="77777777" w:rsidR="00245300" w:rsidRPr="00EC20A0" w:rsidRDefault="00245300">
            <w:pPr>
              <w:pStyle w:val="TableParagraph"/>
              <w:rPr>
                <w:sz w:val="20"/>
              </w:rPr>
            </w:pPr>
          </w:p>
          <w:p w14:paraId="24D60C59" w14:textId="77777777" w:rsidR="00245300" w:rsidRPr="00EC20A0" w:rsidRDefault="00245300">
            <w:pPr>
              <w:pStyle w:val="TableParagraph"/>
              <w:rPr>
                <w:sz w:val="20"/>
              </w:rPr>
            </w:pPr>
          </w:p>
          <w:p w14:paraId="24D60C5A" w14:textId="77777777" w:rsidR="00245300" w:rsidRPr="00EC20A0" w:rsidRDefault="00245300">
            <w:pPr>
              <w:pStyle w:val="TableParagraph"/>
              <w:rPr>
                <w:sz w:val="20"/>
              </w:rPr>
            </w:pPr>
          </w:p>
          <w:p w14:paraId="24D60C5B" w14:textId="77777777" w:rsidR="00245300" w:rsidRPr="00EC20A0" w:rsidRDefault="00245300">
            <w:pPr>
              <w:pStyle w:val="TableParagraph"/>
              <w:rPr>
                <w:sz w:val="20"/>
              </w:rPr>
            </w:pPr>
          </w:p>
          <w:p w14:paraId="24D60C5C" w14:textId="77777777" w:rsidR="00245300" w:rsidRPr="00EC20A0" w:rsidRDefault="00245300">
            <w:pPr>
              <w:pStyle w:val="TableParagraph"/>
              <w:rPr>
                <w:sz w:val="20"/>
              </w:rPr>
            </w:pPr>
          </w:p>
          <w:p w14:paraId="24D60C5D" w14:textId="77777777" w:rsidR="00245300" w:rsidRPr="00EC20A0" w:rsidRDefault="00245300">
            <w:pPr>
              <w:pStyle w:val="TableParagraph"/>
              <w:rPr>
                <w:sz w:val="20"/>
              </w:rPr>
            </w:pPr>
          </w:p>
          <w:p w14:paraId="24D60C5E" w14:textId="77777777" w:rsidR="00245300" w:rsidRPr="00EC20A0" w:rsidRDefault="00245300">
            <w:pPr>
              <w:pStyle w:val="TableParagraph"/>
              <w:rPr>
                <w:sz w:val="20"/>
              </w:rPr>
            </w:pPr>
          </w:p>
          <w:p w14:paraId="24D60C5F" w14:textId="77777777" w:rsidR="00245300" w:rsidRPr="00EC20A0" w:rsidRDefault="00245300">
            <w:pPr>
              <w:pStyle w:val="TableParagraph"/>
              <w:rPr>
                <w:sz w:val="20"/>
              </w:rPr>
            </w:pPr>
          </w:p>
          <w:p w14:paraId="24D60C60" w14:textId="77777777" w:rsidR="00245300" w:rsidRPr="00EC20A0" w:rsidRDefault="00245300">
            <w:pPr>
              <w:pStyle w:val="TableParagraph"/>
              <w:rPr>
                <w:sz w:val="20"/>
              </w:rPr>
            </w:pPr>
          </w:p>
          <w:p w14:paraId="24D60C61" w14:textId="77777777" w:rsidR="00245300" w:rsidRPr="00EC20A0" w:rsidRDefault="00245300">
            <w:pPr>
              <w:pStyle w:val="TableParagraph"/>
              <w:rPr>
                <w:sz w:val="20"/>
              </w:rPr>
            </w:pPr>
          </w:p>
          <w:p w14:paraId="24D60C62" w14:textId="77777777" w:rsidR="00245300" w:rsidRPr="00EC20A0" w:rsidRDefault="00245300">
            <w:pPr>
              <w:pStyle w:val="TableParagraph"/>
              <w:rPr>
                <w:sz w:val="20"/>
              </w:rPr>
            </w:pPr>
          </w:p>
          <w:p w14:paraId="24D60C63" w14:textId="77777777" w:rsidR="00245300" w:rsidRPr="00EC20A0" w:rsidRDefault="00245300">
            <w:pPr>
              <w:pStyle w:val="TableParagraph"/>
              <w:rPr>
                <w:sz w:val="20"/>
              </w:rPr>
            </w:pPr>
          </w:p>
          <w:p w14:paraId="24D60C64" w14:textId="77777777" w:rsidR="00245300" w:rsidRPr="00EC20A0" w:rsidRDefault="00245300">
            <w:pPr>
              <w:pStyle w:val="TableParagraph"/>
              <w:rPr>
                <w:sz w:val="20"/>
              </w:rPr>
            </w:pPr>
          </w:p>
          <w:p w14:paraId="24D60C65" w14:textId="77777777" w:rsidR="00245300" w:rsidRPr="00EC20A0" w:rsidRDefault="00245300">
            <w:pPr>
              <w:pStyle w:val="TableParagraph"/>
              <w:rPr>
                <w:sz w:val="20"/>
              </w:rPr>
            </w:pPr>
          </w:p>
          <w:p w14:paraId="24D60C66" w14:textId="77777777" w:rsidR="00245300" w:rsidRPr="00EC20A0" w:rsidRDefault="00245300">
            <w:pPr>
              <w:pStyle w:val="TableParagraph"/>
              <w:spacing w:before="133"/>
              <w:rPr>
                <w:sz w:val="20"/>
              </w:rPr>
            </w:pPr>
          </w:p>
          <w:p w14:paraId="24D60C67" w14:textId="77777777" w:rsidR="00245300" w:rsidRPr="00EC20A0" w:rsidRDefault="00F17249">
            <w:pPr>
              <w:pStyle w:val="TableParagraph"/>
              <w:spacing w:line="20" w:lineRule="exact"/>
              <w:ind w:left="188"/>
              <w:rPr>
                <w:sz w:val="2"/>
              </w:rPr>
            </w:pPr>
            <w:r w:rsidRPr="00EC20A0">
              <w:rPr>
                <w:noProof/>
                <w:sz w:val="2"/>
              </w:rPr>
              <mc:AlternateContent>
                <mc:Choice Requires="wpg">
                  <w:drawing>
                    <wp:inline distT="0" distB="0" distL="0" distR="0" wp14:anchorId="24D62B15" wp14:editId="24D62B16">
                      <wp:extent cx="621665" cy="8890"/>
                      <wp:effectExtent l="9525" t="0" r="0" b="635"/>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282" name="Graphic 282"/>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27585A" id="Group 281"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AI/pnZwAgAAjwUAAA4AAAAAAAAAAAAAAAAA&#10;LgIAAGRycy9lMm9Eb2MueG1sUEsBAi0AFAAGAAgAAAAhABFF7qTaAAAAAgEAAA8AAAAAAAAAAAAA&#10;AAAAygQAAGRycy9kb3ducmV2LnhtbFBLBQYAAAAABAAEAPMAAADRBQAAAAA=&#10;">
                      <v:shape id="Graphic 282"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" path="m,l621371,e" filled="f" strokeweight=".24403mm">
                        <v:path arrowok="t"/>
                      </v:shape>
                      <w10:anchorlock/>
                    </v:group>
                  </w:pict>
                </mc:Fallback>
              </mc:AlternateContent>
            </w:r>
          </w:p>
        </w:tc>
      </w:tr>
    </w:tbl>
    <w:p w14:paraId="24D60C69" w14:textId="77777777" w:rsidR="00245300" w:rsidRPr="00EC20A0" w:rsidRDefault="00245300">
      <w:pPr>
        <w:pStyle w:val="BodyText"/>
        <w:rPr>
          <w:sz w:val="20"/>
        </w:rPr>
      </w:pPr>
    </w:p>
    <w:p w14:paraId="24D60C6A" w14:textId="77777777" w:rsidR="00245300" w:rsidRPr="00EC20A0" w:rsidRDefault="00245300">
      <w:pPr>
        <w:pStyle w:val="BodyText"/>
        <w:rPr>
          <w:sz w:val="20"/>
        </w:rPr>
      </w:pPr>
    </w:p>
    <w:p w14:paraId="24D60C6B" w14:textId="77777777" w:rsidR="00245300" w:rsidRPr="00EC20A0" w:rsidRDefault="00245300">
      <w:pPr>
        <w:pStyle w:val="BodyText"/>
        <w:rPr>
          <w:sz w:val="20"/>
        </w:rPr>
      </w:pPr>
    </w:p>
    <w:p w14:paraId="24D60C6C" w14:textId="77777777" w:rsidR="00245300" w:rsidRPr="00EC20A0" w:rsidRDefault="00245300">
      <w:pPr>
        <w:pStyle w:val="BodyText"/>
        <w:rPr>
          <w:sz w:val="20"/>
        </w:rPr>
      </w:pPr>
    </w:p>
    <w:p w14:paraId="24D60C6D" w14:textId="77777777" w:rsidR="00245300" w:rsidRPr="00EC20A0" w:rsidRDefault="00245300">
      <w:pPr>
        <w:pStyle w:val="BodyText"/>
        <w:rPr>
          <w:sz w:val="20"/>
        </w:rPr>
      </w:pPr>
    </w:p>
    <w:p w14:paraId="24D60C6E" w14:textId="77777777" w:rsidR="00245300" w:rsidRPr="00EC20A0" w:rsidRDefault="00F17249">
      <w:pPr>
        <w:pStyle w:val="BodyText"/>
        <w:spacing w:before="98"/>
        <w:rPr>
          <w:sz w:val="20"/>
        </w:rPr>
      </w:pPr>
      <w:r w:rsidRPr="00EC20A0">
        <w:rPr>
          <w:noProof/>
        </w:rPr>
        <mc:AlternateContent>
          <mc:Choice Requires="wps">
            <w:drawing>
              <wp:anchor distT="0" distB="0" distL="0" distR="0" simplePos="0" relativeHeight="487612928" behindDoc="1" locked="0" layoutInCell="1" allowOverlap="1" wp14:anchorId="24D62B17" wp14:editId="24D62B18">
                <wp:simplePos x="0" y="0"/>
                <wp:positionH relativeFrom="page">
                  <wp:posOffset>914400</wp:posOffset>
                </wp:positionH>
                <wp:positionV relativeFrom="paragraph">
                  <wp:posOffset>224090</wp:posOffset>
                </wp:positionV>
                <wp:extent cx="1828800" cy="6985"/>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C0BA4" id="Graphic 283" o:spid="_x0000_s1026" style="position:absolute;margin-left:1in;margin-top:17.65pt;width:2in;height:.5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" path="m1828800,l,,,6858r1828800,l1828800,xe" fillcolor="black" stroked="f">
                <v:path arrowok="t"/>
                <w10:wrap type="topAndBottom" anchorx="page"/>
              </v:shape>
            </w:pict>
          </mc:Fallback>
        </mc:AlternateContent>
      </w:r>
    </w:p>
    <w:p w14:paraId="24D60C6F" w14:textId="77777777" w:rsidR="00245300" w:rsidRPr="00EC20A0" w:rsidRDefault="00F17249">
      <w:pPr>
        <w:spacing w:before="216" w:line="242" w:lineRule="auto"/>
        <w:ind w:left="120" w:right="414" w:hanging="1"/>
        <w:rPr>
          <w:sz w:val="18"/>
        </w:rPr>
      </w:pPr>
      <w:bookmarkStart w:id="174" w:name="_bookmark72"/>
      <w:bookmarkEnd w:id="174"/>
      <w:r w:rsidRPr="00EC20A0">
        <w:rPr>
          <w:position w:val="7"/>
          <w:sz w:val="14"/>
        </w:rPr>
        <w:t>1</w:t>
      </w:r>
      <w:r w:rsidRPr="00EC20A0">
        <w:rPr>
          <w:sz w:val="18"/>
        </w:rPr>
        <w:t>See</w:t>
      </w:r>
      <w:r w:rsidRPr="00EC20A0">
        <w:rPr>
          <w:spacing w:val="-3"/>
          <w:sz w:val="18"/>
        </w:rPr>
        <w:t xml:space="preserve"> </w:t>
      </w:r>
      <w:r w:rsidRPr="00EC20A0">
        <w:rPr>
          <w:sz w:val="18"/>
        </w:rPr>
        <w:t>also</w:t>
      </w:r>
      <w:r w:rsidRPr="00EC20A0">
        <w:rPr>
          <w:spacing w:val="-3"/>
          <w:sz w:val="18"/>
        </w:rPr>
        <w:t xml:space="preserve"> </w:t>
      </w:r>
      <w:r w:rsidRPr="00EC20A0">
        <w:rPr>
          <w:sz w:val="18"/>
        </w:rPr>
        <w:t>31</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1341(c), which</w:t>
      </w:r>
      <w:r w:rsidRPr="00EC20A0">
        <w:rPr>
          <w:spacing w:val="-3"/>
          <w:sz w:val="18"/>
        </w:rPr>
        <w:t xml:space="preserve"> </w:t>
      </w:r>
      <w:r w:rsidRPr="00EC20A0">
        <w:rPr>
          <w:sz w:val="18"/>
        </w:rPr>
        <w:t>provides</w:t>
      </w:r>
      <w:r w:rsidRPr="00EC20A0">
        <w:rPr>
          <w:spacing w:val="-2"/>
          <w:sz w:val="18"/>
        </w:rPr>
        <w:t xml:space="preserve"> </w:t>
      </w:r>
      <w:r w:rsidRPr="00EC20A0">
        <w:rPr>
          <w:sz w:val="18"/>
        </w:rPr>
        <w:t>that</w:t>
      </w:r>
      <w:r w:rsidRPr="00EC20A0">
        <w:rPr>
          <w:spacing w:val="-2"/>
          <w:sz w:val="18"/>
        </w:rPr>
        <w:t xml:space="preserve"> </w:t>
      </w:r>
      <w:r w:rsidRPr="00EC20A0">
        <w:rPr>
          <w:sz w:val="18"/>
        </w:rPr>
        <w:t>in</w:t>
      </w:r>
      <w:r w:rsidRPr="00EC20A0">
        <w:rPr>
          <w:spacing w:val="-3"/>
          <w:sz w:val="18"/>
        </w:rPr>
        <w:t xml:space="preserve"> </w:t>
      </w:r>
      <w:r w:rsidRPr="00EC20A0">
        <w:rPr>
          <w:sz w:val="18"/>
        </w:rPr>
        <w:t>the</w:t>
      </w:r>
      <w:r w:rsidRPr="00EC20A0">
        <w:rPr>
          <w:spacing w:val="-2"/>
          <w:sz w:val="18"/>
        </w:rPr>
        <w:t xml:space="preserve"> </w:t>
      </w:r>
      <w:r w:rsidRPr="00EC20A0">
        <w:rPr>
          <w:sz w:val="18"/>
        </w:rPr>
        <w:t>event</w:t>
      </w:r>
      <w:r w:rsidRPr="00EC20A0">
        <w:rPr>
          <w:spacing w:val="-2"/>
          <w:sz w:val="18"/>
        </w:rPr>
        <w:t xml:space="preserve"> </w:t>
      </w:r>
      <w:r w:rsidRPr="00EC20A0">
        <w:rPr>
          <w:sz w:val="18"/>
        </w:rPr>
        <w:t>of</w:t>
      </w:r>
      <w:r w:rsidRPr="00EC20A0">
        <w:rPr>
          <w:spacing w:val="-2"/>
          <w:sz w:val="18"/>
        </w:rPr>
        <w:t xml:space="preserve"> </w:t>
      </w:r>
      <w:r w:rsidRPr="00EC20A0">
        <w:rPr>
          <w:sz w:val="18"/>
        </w:rPr>
        <w:t>a</w:t>
      </w:r>
      <w:r w:rsidRPr="00EC20A0">
        <w:rPr>
          <w:spacing w:val="-3"/>
          <w:sz w:val="18"/>
        </w:rPr>
        <w:t xml:space="preserve"> </w:t>
      </w:r>
      <w:r w:rsidRPr="00EC20A0">
        <w:rPr>
          <w:sz w:val="18"/>
        </w:rPr>
        <w:t>lapse</w:t>
      </w:r>
      <w:r w:rsidRPr="00EC20A0">
        <w:rPr>
          <w:spacing w:val="-3"/>
          <w:sz w:val="18"/>
        </w:rPr>
        <w:t xml:space="preserve"> </w:t>
      </w:r>
      <w:r w:rsidRPr="00EC20A0">
        <w:rPr>
          <w:sz w:val="18"/>
        </w:rPr>
        <w:t>in</w:t>
      </w:r>
      <w:r w:rsidRPr="00EC20A0">
        <w:rPr>
          <w:spacing w:val="-3"/>
          <w:sz w:val="18"/>
        </w:rPr>
        <w:t xml:space="preserve"> </w:t>
      </w:r>
      <w:r w:rsidRPr="00EC20A0">
        <w:rPr>
          <w:sz w:val="18"/>
        </w:rPr>
        <w:t>appropriations</w:t>
      </w:r>
      <w:r w:rsidRPr="00EC20A0">
        <w:rPr>
          <w:spacing w:val="-2"/>
          <w:sz w:val="18"/>
        </w:rPr>
        <w:t xml:space="preserve"> </w:t>
      </w:r>
      <w:r w:rsidRPr="00EC20A0">
        <w:rPr>
          <w:sz w:val="18"/>
        </w:rPr>
        <w:t>beginning</w:t>
      </w:r>
      <w:r w:rsidRPr="00EC20A0">
        <w:rPr>
          <w:spacing w:val="-2"/>
          <w:sz w:val="18"/>
        </w:rPr>
        <w:t xml:space="preserve"> </w:t>
      </w:r>
      <w:r w:rsidRPr="00EC20A0">
        <w:rPr>
          <w:sz w:val="18"/>
        </w:rPr>
        <w:t>on</w:t>
      </w:r>
      <w:r w:rsidRPr="00EC20A0">
        <w:rPr>
          <w:spacing w:val="-3"/>
          <w:sz w:val="18"/>
        </w:rPr>
        <w:t xml:space="preserve"> </w:t>
      </w:r>
      <w:r w:rsidRPr="00EC20A0">
        <w:rPr>
          <w:sz w:val="18"/>
        </w:rPr>
        <w:t>or</w:t>
      </w:r>
      <w:r w:rsidRPr="00EC20A0">
        <w:rPr>
          <w:spacing w:val="-2"/>
          <w:sz w:val="18"/>
        </w:rPr>
        <w:t xml:space="preserve"> </w:t>
      </w:r>
      <w:r w:rsidRPr="00EC20A0">
        <w:rPr>
          <w:sz w:val="18"/>
        </w:rPr>
        <w:t xml:space="preserve">after December 22, 2018, employees of the U.S. government or of a District of Columbia public employer, who are furloughed or </w:t>
      </w:r>
      <w:r w:rsidRPr="00EC20A0">
        <w:rPr>
          <w:sz w:val="18"/>
        </w:rPr>
        <w:t>required to work during such a lapse, must subsequently be timely compensated after the lapse in appropriations ends.</w:t>
      </w:r>
    </w:p>
    <w:p w14:paraId="24D60C70" w14:textId="77777777" w:rsidR="00245300" w:rsidRPr="00EC20A0" w:rsidRDefault="00245300">
      <w:pPr>
        <w:spacing w:line="242" w:lineRule="auto"/>
        <w:rPr>
          <w:sz w:val="18"/>
        </w:rPr>
        <w:sectPr w:rsidR="00245300" w:rsidRPr="00EC20A0">
          <w:pgSz w:w="12240" w:h="15840"/>
          <w:pgMar w:top="1340" w:right="1140" w:bottom="940" w:left="1320" w:header="721" w:footer="742" w:gutter="0"/>
          <w:cols w:space="720"/>
        </w:sectPr>
      </w:pP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245300" w:rsidRPr="00EC20A0" w14:paraId="24D60C73" w14:textId="77777777">
        <w:trPr>
          <w:trHeight w:val="120"/>
        </w:trPr>
        <w:tc>
          <w:tcPr>
            <w:tcW w:w="8044" w:type="dxa"/>
            <w:tcBorders>
              <w:left w:val="nil"/>
              <w:bottom w:val="double" w:sz="6" w:space="0" w:color="000000"/>
              <w:right w:val="nil"/>
            </w:tcBorders>
          </w:tcPr>
          <w:p w14:paraId="24D60C71" w14:textId="77777777" w:rsidR="00245300" w:rsidRPr="00EC20A0" w:rsidRDefault="00245300">
            <w:pPr>
              <w:pStyle w:val="TableParagraph"/>
              <w:rPr>
                <w:sz w:val="6"/>
              </w:rPr>
            </w:pPr>
          </w:p>
        </w:tc>
        <w:tc>
          <w:tcPr>
            <w:tcW w:w="1319" w:type="dxa"/>
            <w:tcBorders>
              <w:left w:val="nil"/>
              <w:bottom w:val="double" w:sz="6" w:space="0" w:color="000000"/>
              <w:right w:val="nil"/>
            </w:tcBorders>
          </w:tcPr>
          <w:p w14:paraId="24D60C72" w14:textId="77777777" w:rsidR="00245300" w:rsidRPr="00EC20A0" w:rsidRDefault="00245300">
            <w:pPr>
              <w:pStyle w:val="TableParagraph"/>
              <w:rPr>
                <w:sz w:val="6"/>
              </w:rPr>
            </w:pPr>
          </w:p>
        </w:tc>
      </w:tr>
      <w:tr w:rsidR="00245300" w:rsidRPr="00EC20A0" w14:paraId="24D60C76"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24D60C74" w14:textId="77777777" w:rsidR="00245300" w:rsidRPr="00EC20A0" w:rsidRDefault="00F17249">
            <w:pPr>
              <w:pStyle w:val="TableParagraph"/>
              <w:spacing w:before="144"/>
              <w:ind w:left="2447"/>
              <w:rPr>
                <w:b/>
              </w:rPr>
            </w:pPr>
            <w:r w:rsidRPr="00EC20A0">
              <w:rPr>
                <w:b/>
              </w:rPr>
              <w:t>Description</w:t>
            </w:r>
            <w:r w:rsidRPr="00EC20A0">
              <w:rPr>
                <w:b/>
                <w:spacing w:val="-9"/>
              </w:rPr>
              <w:t xml:space="preserve"> </w:t>
            </w:r>
            <w:r w:rsidRPr="00EC20A0">
              <w:rPr>
                <w:b/>
              </w:rPr>
              <w:t>of</w:t>
            </w:r>
            <w:r w:rsidRPr="00EC20A0">
              <w:rPr>
                <w:b/>
                <w:spacing w:val="-8"/>
              </w:rPr>
              <w:t xml:space="preserve"> </w:t>
            </w:r>
            <w:r w:rsidRPr="00EC20A0">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24D60C75"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C89" w14:textId="77777777">
        <w:trPr>
          <w:trHeight w:val="2437"/>
        </w:trPr>
        <w:tc>
          <w:tcPr>
            <w:tcW w:w="8044" w:type="dxa"/>
            <w:tcBorders>
              <w:top w:val="double" w:sz="6" w:space="0" w:color="000000"/>
              <w:left w:val="double" w:sz="6" w:space="0" w:color="000000"/>
              <w:bottom w:val="nil"/>
              <w:right w:val="single" w:sz="6" w:space="0" w:color="000000"/>
            </w:tcBorders>
          </w:tcPr>
          <w:p w14:paraId="24D60C77" w14:textId="77777777" w:rsidR="00245300" w:rsidRPr="00EC20A0" w:rsidRDefault="00F17249">
            <w:pPr>
              <w:pStyle w:val="TableParagraph"/>
              <w:spacing w:before="145"/>
              <w:ind w:left="131"/>
              <w:rPr>
                <w:b/>
              </w:rPr>
            </w:pPr>
            <w:r w:rsidRPr="00EC20A0">
              <w:rPr>
                <w:b/>
              </w:rPr>
              <w:t>Federal</w:t>
            </w:r>
            <w:r w:rsidRPr="00EC20A0">
              <w:rPr>
                <w:b/>
                <w:spacing w:val="-3"/>
              </w:rPr>
              <w:t xml:space="preserve"> </w:t>
            </w:r>
            <w:r w:rsidRPr="00EC20A0">
              <w:rPr>
                <w:b/>
              </w:rPr>
              <w:t>Credit</w:t>
            </w:r>
            <w:r w:rsidRPr="00EC20A0">
              <w:rPr>
                <w:b/>
                <w:spacing w:val="-3"/>
              </w:rPr>
              <w:t xml:space="preserve"> </w:t>
            </w:r>
            <w:r w:rsidRPr="00EC20A0">
              <w:rPr>
                <w:b/>
              </w:rPr>
              <w:t>Reform</w:t>
            </w:r>
            <w:r w:rsidRPr="00EC20A0">
              <w:rPr>
                <w:b/>
                <w:spacing w:val="-2"/>
              </w:rPr>
              <w:t xml:space="preserve"> </w:t>
            </w:r>
            <w:r w:rsidRPr="00EC20A0">
              <w:rPr>
                <w:b/>
              </w:rPr>
              <w:t>Act</w:t>
            </w:r>
            <w:r w:rsidRPr="00EC20A0">
              <w:rPr>
                <w:b/>
                <w:spacing w:val="-3"/>
              </w:rPr>
              <w:t xml:space="preserve"> </w:t>
            </w:r>
            <w:r w:rsidRPr="00EC20A0">
              <w:rPr>
                <w:b/>
              </w:rPr>
              <w:t>of</w:t>
            </w:r>
            <w:r w:rsidRPr="00EC20A0">
              <w:rPr>
                <w:b/>
                <w:spacing w:val="-3"/>
              </w:rPr>
              <w:t xml:space="preserve"> </w:t>
            </w:r>
            <w:r w:rsidRPr="00EC20A0">
              <w:rPr>
                <w:b/>
              </w:rPr>
              <w:t>1990</w:t>
            </w:r>
            <w:r w:rsidRPr="00EC20A0">
              <w:rPr>
                <w:b/>
                <w:spacing w:val="-3"/>
              </w:rPr>
              <w:t xml:space="preserve"> </w:t>
            </w:r>
            <w:r w:rsidRPr="00EC20A0">
              <w:rPr>
                <w:b/>
              </w:rPr>
              <w:t>(FCRA),</w:t>
            </w:r>
            <w:r w:rsidRPr="00EC20A0">
              <w:rPr>
                <w:b/>
                <w:spacing w:val="-3"/>
              </w:rPr>
              <w:t xml:space="preserve"> </w:t>
            </w:r>
            <w:r w:rsidRPr="00EC20A0">
              <w:rPr>
                <w:b/>
              </w:rPr>
              <w:t>as</w:t>
            </w:r>
            <w:r w:rsidRPr="00EC20A0">
              <w:rPr>
                <w:b/>
                <w:spacing w:val="-2"/>
              </w:rPr>
              <w:t xml:space="preserve"> </w:t>
            </w:r>
            <w:r w:rsidRPr="00EC20A0">
              <w:rPr>
                <w:b/>
              </w:rPr>
              <w:t>provided</w:t>
            </w:r>
            <w:r w:rsidRPr="00EC20A0">
              <w:rPr>
                <w:b/>
                <w:spacing w:val="-3"/>
              </w:rPr>
              <w:t xml:space="preserve"> </w:t>
            </w:r>
            <w:r w:rsidRPr="00EC20A0">
              <w:rPr>
                <w:b/>
              </w:rPr>
              <w:t>in</w:t>
            </w:r>
            <w:r w:rsidRPr="00EC20A0">
              <w:rPr>
                <w:b/>
                <w:spacing w:val="-3"/>
              </w:rPr>
              <w:t xml:space="preserve"> </w:t>
            </w:r>
            <w:r w:rsidRPr="00EC20A0">
              <w:rPr>
                <w:b/>
              </w:rPr>
              <w:t>2</w:t>
            </w:r>
            <w:r w:rsidRPr="00EC20A0">
              <w:rPr>
                <w:b/>
                <w:spacing w:val="-3"/>
              </w:rPr>
              <w:t xml:space="preserve"> </w:t>
            </w:r>
            <w:r w:rsidRPr="00EC20A0">
              <w:rPr>
                <w:b/>
              </w:rPr>
              <w:t>U.S.C.</w:t>
            </w:r>
            <w:r w:rsidRPr="00EC20A0">
              <w:rPr>
                <w:b/>
                <w:spacing w:val="-3"/>
              </w:rPr>
              <w:t xml:space="preserve"> </w:t>
            </w:r>
            <w:r w:rsidRPr="00EC20A0">
              <w:rPr>
                <w:b/>
              </w:rPr>
              <w:t>§§</w:t>
            </w:r>
            <w:r w:rsidRPr="00EC20A0">
              <w:rPr>
                <w:b/>
                <w:spacing w:val="-3"/>
              </w:rPr>
              <w:t xml:space="preserve"> </w:t>
            </w:r>
            <w:r w:rsidRPr="00EC20A0">
              <w:rPr>
                <w:b/>
              </w:rPr>
              <w:t xml:space="preserve">661- 661f (2 </w:t>
            </w:r>
            <w:r w:rsidRPr="00EC20A0">
              <w:rPr>
                <w:b/>
              </w:rPr>
              <w:t>U.S.C. § 661c(b), (e))</w:t>
            </w:r>
          </w:p>
          <w:p w14:paraId="24D60C78" w14:textId="77777777" w:rsidR="00245300" w:rsidRPr="00EC20A0" w:rsidRDefault="00F17249">
            <w:pPr>
              <w:pStyle w:val="TableParagraph"/>
              <w:spacing w:before="143"/>
              <w:ind w:left="131" w:right="141"/>
            </w:pPr>
            <w:r w:rsidRPr="00EC20A0">
              <w:t>This law contains numerous provisions relating to the recording of activity related to direct loans, loan guarantees, and related loan modifications for budget</w:t>
            </w:r>
            <w:r w:rsidRPr="00EC20A0">
              <w:rPr>
                <w:spacing w:val="-4"/>
              </w:rPr>
              <w:t xml:space="preserve"> </w:t>
            </w:r>
            <w:r w:rsidRPr="00EC20A0">
              <w:t>accounting</w:t>
            </w:r>
            <w:r w:rsidRPr="00EC20A0">
              <w:rPr>
                <w:spacing w:val="-4"/>
              </w:rPr>
              <w:t xml:space="preserve"> </w:t>
            </w:r>
            <w:r w:rsidRPr="00EC20A0">
              <w:t>purposes.</w:t>
            </w:r>
            <w:r w:rsidRPr="00EC20A0">
              <w:rPr>
                <w:spacing w:val="-4"/>
              </w:rPr>
              <w:t xml:space="preserve"> </w:t>
            </w:r>
            <w:r w:rsidRPr="00EC20A0">
              <w:t>The</w:t>
            </w:r>
            <w:r w:rsidRPr="00EC20A0">
              <w:rPr>
                <w:spacing w:val="-4"/>
              </w:rPr>
              <w:t xml:space="preserve"> </w:t>
            </w:r>
            <w:r w:rsidRPr="00EC20A0">
              <w:t>law</w:t>
            </w:r>
            <w:r w:rsidRPr="00EC20A0">
              <w:rPr>
                <w:spacing w:val="-4"/>
              </w:rPr>
              <w:t xml:space="preserve"> </w:t>
            </w:r>
            <w:r w:rsidRPr="00EC20A0">
              <w:t>provides</w:t>
            </w:r>
            <w:r w:rsidRPr="00EC20A0">
              <w:rPr>
                <w:spacing w:val="-4"/>
              </w:rPr>
              <w:t xml:space="preserve"> </w:t>
            </w:r>
            <w:r w:rsidRPr="00EC20A0">
              <w:t>that</w:t>
            </w:r>
            <w:r w:rsidRPr="00EC20A0">
              <w:rPr>
                <w:spacing w:val="-4"/>
              </w:rPr>
              <w:t xml:space="preserve"> </w:t>
            </w:r>
            <w:r w:rsidRPr="00EC20A0">
              <w:t>on</w:t>
            </w:r>
            <w:r w:rsidRPr="00EC20A0">
              <w:rPr>
                <w:spacing w:val="-4"/>
              </w:rPr>
              <w:t xml:space="preserve"> </w:t>
            </w:r>
            <w:r w:rsidRPr="00EC20A0">
              <w:t>or</w:t>
            </w:r>
            <w:r w:rsidRPr="00EC20A0">
              <w:rPr>
                <w:spacing w:val="-4"/>
              </w:rPr>
              <w:t xml:space="preserve"> </w:t>
            </w:r>
            <w:r w:rsidRPr="00EC20A0">
              <w:t>after</w:t>
            </w:r>
            <w:r w:rsidRPr="00EC20A0">
              <w:rPr>
                <w:spacing w:val="-4"/>
              </w:rPr>
              <w:t xml:space="preserve"> </w:t>
            </w:r>
            <w:r w:rsidRPr="00EC20A0">
              <w:t>October</w:t>
            </w:r>
            <w:r w:rsidRPr="00EC20A0">
              <w:rPr>
                <w:spacing w:val="-4"/>
              </w:rPr>
              <w:t xml:space="preserve"> </w:t>
            </w:r>
            <w:r w:rsidRPr="00EC20A0">
              <w:t>1,</w:t>
            </w:r>
            <w:r w:rsidRPr="00EC20A0">
              <w:rPr>
                <w:spacing w:val="-4"/>
              </w:rPr>
              <w:t xml:space="preserve"> </w:t>
            </w:r>
            <w:r w:rsidRPr="00EC20A0">
              <w:t>1991, an agency may incur new direct loan obligations or make new loan guarantee commitments only to the extent that an appropriation or other budget authority is available to cover the costs of the direct loan or loan guarantee.</w:t>
            </w:r>
          </w:p>
        </w:tc>
        <w:tc>
          <w:tcPr>
            <w:tcW w:w="1319" w:type="dxa"/>
            <w:vMerge w:val="restart"/>
            <w:tcBorders>
              <w:top w:val="double" w:sz="6" w:space="0" w:color="000000"/>
              <w:left w:val="single" w:sz="6" w:space="0" w:color="000000"/>
              <w:bottom w:val="double" w:sz="6" w:space="0" w:color="000000"/>
              <w:right w:val="double" w:sz="6" w:space="0" w:color="000000"/>
            </w:tcBorders>
          </w:tcPr>
          <w:p w14:paraId="24D60C79" w14:textId="77777777" w:rsidR="00245300" w:rsidRPr="00EC20A0" w:rsidRDefault="00245300">
            <w:pPr>
              <w:pStyle w:val="TableParagraph"/>
              <w:rPr>
                <w:sz w:val="20"/>
              </w:rPr>
            </w:pPr>
          </w:p>
          <w:p w14:paraId="24D60C7A" w14:textId="77777777" w:rsidR="00245300" w:rsidRPr="00EC20A0" w:rsidRDefault="00245300">
            <w:pPr>
              <w:pStyle w:val="TableParagraph"/>
              <w:rPr>
                <w:sz w:val="20"/>
              </w:rPr>
            </w:pPr>
          </w:p>
          <w:p w14:paraId="24D60C7B" w14:textId="77777777" w:rsidR="00245300" w:rsidRPr="00EC20A0" w:rsidRDefault="00245300">
            <w:pPr>
              <w:pStyle w:val="TableParagraph"/>
              <w:rPr>
                <w:sz w:val="20"/>
              </w:rPr>
            </w:pPr>
          </w:p>
          <w:p w14:paraId="24D60C7C" w14:textId="77777777" w:rsidR="00245300" w:rsidRPr="00EC20A0" w:rsidRDefault="00245300">
            <w:pPr>
              <w:pStyle w:val="TableParagraph"/>
              <w:rPr>
                <w:sz w:val="20"/>
              </w:rPr>
            </w:pPr>
          </w:p>
          <w:p w14:paraId="24D60C7D" w14:textId="77777777" w:rsidR="00245300" w:rsidRPr="00EC20A0" w:rsidRDefault="00245300">
            <w:pPr>
              <w:pStyle w:val="TableParagraph"/>
              <w:rPr>
                <w:sz w:val="20"/>
              </w:rPr>
            </w:pPr>
          </w:p>
          <w:p w14:paraId="24D60C7E" w14:textId="77777777" w:rsidR="00245300" w:rsidRPr="00EC20A0" w:rsidRDefault="00245300">
            <w:pPr>
              <w:pStyle w:val="TableParagraph"/>
              <w:rPr>
                <w:sz w:val="20"/>
              </w:rPr>
            </w:pPr>
          </w:p>
          <w:p w14:paraId="24D60C7F" w14:textId="77777777" w:rsidR="00245300" w:rsidRPr="00EC20A0" w:rsidRDefault="00245300">
            <w:pPr>
              <w:pStyle w:val="TableParagraph"/>
              <w:rPr>
                <w:sz w:val="20"/>
              </w:rPr>
            </w:pPr>
          </w:p>
          <w:p w14:paraId="24D60C80" w14:textId="77777777" w:rsidR="00245300" w:rsidRPr="00EC20A0" w:rsidRDefault="00245300">
            <w:pPr>
              <w:pStyle w:val="TableParagraph"/>
              <w:rPr>
                <w:sz w:val="20"/>
              </w:rPr>
            </w:pPr>
          </w:p>
          <w:p w14:paraId="24D60C81" w14:textId="77777777" w:rsidR="00245300" w:rsidRPr="00EC20A0" w:rsidRDefault="00245300">
            <w:pPr>
              <w:pStyle w:val="TableParagraph"/>
              <w:rPr>
                <w:sz w:val="20"/>
              </w:rPr>
            </w:pPr>
          </w:p>
          <w:p w14:paraId="24D60C82" w14:textId="77777777" w:rsidR="00245300" w:rsidRPr="00EC20A0" w:rsidRDefault="00245300">
            <w:pPr>
              <w:pStyle w:val="TableParagraph"/>
              <w:rPr>
                <w:sz w:val="20"/>
              </w:rPr>
            </w:pPr>
          </w:p>
          <w:p w14:paraId="24D60C83" w14:textId="77777777" w:rsidR="00245300" w:rsidRPr="00EC20A0" w:rsidRDefault="00245300">
            <w:pPr>
              <w:pStyle w:val="TableParagraph"/>
              <w:rPr>
                <w:sz w:val="20"/>
              </w:rPr>
            </w:pPr>
          </w:p>
          <w:p w14:paraId="24D60C84" w14:textId="77777777" w:rsidR="00245300" w:rsidRPr="00EC20A0" w:rsidRDefault="00245300">
            <w:pPr>
              <w:pStyle w:val="TableParagraph"/>
              <w:rPr>
                <w:sz w:val="20"/>
              </w:rPr>
            </w:pPr>
          </w:p>
          <w:p w14:paraId="24D60C85" w14:textId="77777777" w:rsidR="00245300" w:rsidRPr="00EC20A0" w:rsidRDefault="00245300">
            <w:pPr>
              <w:pStyle w:val="TableParagraph"/>
              <w:rPr>
                <w:sz w:val="20"/>
              </w:rPr>
            </w:pPr>
          </w:p>
          <w:p w14:paraId="24D60C86" w14:textId="77777777" w:rsidR="00245300" w:rsidRPr="00EC20A0" w:rsidRDefault="00245300">
            <w:pPr>
              <w:pStyle w:val="TableParagraph"/>
              <w:rPr>
                <w:sz w:val="20"/>
              </w:rPr>
            </w:pPr>
          </w:p>
          <w:p w14:paraId="24D60C87" w14:textId="77777777" w:rsidR="00245300" w:rsidRPr="00EC20A0" w:rsidRDefault="00245300">
            <w:pPr>
              <w:pStyle w:val="TableParagraph"/>
              <w:spacing w:before="188"/>
              <w:rPr>
                <w:sz w:val="20"/>
              </w:rPr>
            </w:pPr>
          </w:p>
          <w:p w14:paraId="24D60C88" w14:textId="77777777" w:rsidR="00245300" w:rsidRPr="00EC20A0" w:rsidRDefault="00F17249">
            <w:pPr>
              <w:pStyle w:val="TableParagraph"/>
              <w:spacing w:line="20" w:lineRule="exact"/>
              <w:ind w:left="188"/>
              <w:rPr>
                <w:sz w:val="2"/>
              </w:rPr>
            </w:pPr>
            <w:r w:rsidRPr="00EC20A0">
              <w:rPr>
                <w:noProof/>
                <w:sz w:val="2"/>
              </w:rPr>
              <mc:AlternateContent>
                <mc:Choice Requires="wpg">
                  <w:drawing>
                    <wp:inline distT="0" distB="0" distL="0" distR="0" wp14:anchorId="24D62B19" wp14:editId="24D62B1A">
                      <wp:extent cx="621665" cy="8890"/>
                      <wp:effectExtent l="9525" t="0" r="0" b="635"/>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291" name="Graphic 291"/>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FE5DF4" id="Group 290"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P7tHeFwAgAAjwUAAA4AAAAAAAAAAAAAAAAA&#10;LgIAAGRycy9lMm9Eb2MueG1sUEsBAi0AFAAGAAgAAAAhABFF7qTaAAAAAgEAAA8AAAAAAAAAAAAA&#10;AAAAygQAAGRycy9kb3ducmV2LnhtbFBLBQYAAAAABAAEAPMAAADRBQAAAAA=&#10;">
                      <v:shape id="Graphic 291"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" path="m,l621371,e" filled="f" strokeweight=".24403mm">
                        <v:path arrowok="t"/>
                      </v:shape>
                      <w10:anchorlock/>
                    </v:group>
                  </w:pict>
                </mc:Fallback>
              </mc:AlternateContent>
            </w:r>
          </w:p>
        </w:tc>
      </w:tr>
      <w:tr w:rsidR="00245300" w:rsidRPr="00EC20A0" w14:paraId="24D60C8C" w14:textId="77777777">
        <w:trPr>
          <w:trHeight w:val="1508"/>
        </w:trPr>
        <w:tc>
          <w:tcPr>
            <w:tcW w:w="8044" w:type="dxa"/>
            <w:tcBorders>
              <w:top w:val="nil"/>
              <w:left w:val="double" w:sz="6" w:space="0" w:color="000000"/>
              <w:bottom w:val="nil"/>
              <w:right w:val="single" w:sz="6" w:space="0" w:color="000000"/>
            </w:tcBorders>
          </w:tcPr>
          <w:p w14:paraId="24D60C8A" w14:textId="77777777" w:rsidR="00245300" w:rsidRPr="00EC20A0" w:rsidRDefault="00F17249">
            <w:pPr>
              <w:pStyle w:val="TableParagraph"/>
              <w:spacing w:before="118"/>
              <w:ind w:left="131" w:right="186"/>
              <w:rPr>
                <w:i/>
              </w:rPr>
            </w:pPr>
            <w:r w:rsidRPr="00EC20A0">
              <w:rPr>
                <w:i/>
              </w:rPr>
              <w:t xml:space="preserve">Does the </w:t>
            </w:r>
            <w:r w:rsidRPr="00EC20A0">
              <w:rPr>
                <w:i/>
              </w:rPr>
              <w:t>entity’s budget authority available during the audit period for direct loan obligations, loan guarantee commitments, or any related loan modifications</w:t>
            </w:r>
            <w:r w:rsidRPr="00EC20A0">
              <w:rPr>
                <w:i/>
                <w:spacing w:val="-4"/>
              </w:rPr>
              <w:t xml:space="preserve"> </w:t>
            </w:r>
            <w:r w:rsidRPr="00EC20A0">
              <w:rPr>
                <w:i/>
              </w:rPr>
              <w:t>exceed</w:t>
            </w:r>
            <w:r w:rsidRPr="00EC20A0">
              <w:rPr>
                <w:i/>
                <w:spacing w:val="-4"/>
              </w:rPr>
              <w:t xml:space="preserve"> </w:t>
            </w:r>
            <w:r w:rsidRPr="00EC20A0">
              <w:rPr>
                <w:i/>
              </w:rPr>
              <w:t>materiality,</w:t>
            </w:r>
            <w:r w:rsidRPr="00EC20A0">
              <w:rPr>
                <w:i/>
                <w:spacing w:val="-5"/>
              </w:rPr>
              <w:t xml:space="preserve"> </w:t>
            </w:r>
            <w:r w:rsidRPr="00EC20A0">
              <w:rPr>
                <w:i/>
              </w:rPr>
              <w:t>or</w:t>
            </w:r>
            <w:r w:rsidRPr="00EC20A0">
              <w:rPr>
                <w:i/>
                <w:spacing w:val="-6"/>
              </w:rPr>
              <w:t xml:space="preserve"> </w:t>
            </w:r>
            <w:r w:rsidRPr="00EC20A0">
              <w:rPr>
                <w:i/>
              </w:rPr>
              <w:t>did</w:t>
            </w:r>
            <w:r w:rsidRPr="00EC20A0">
              <w:rPr>
                <w:i/>
                <w:spacing w:val="-4"/>
              </w:rPr>
              <w:t xml:space="preserve"> </w:t>
            </w:r>
            <w:r w:rsidRPr="00EC20A0">
              <w:rPr>
                <w:i/>
              </w:rPr>
              <w:t>the</w:t>
            </w:r>
            <w:r w:rsidRPr="00EC20A0">
              <w:rPr>
                <w:i/>
                <w:spacing w:val="-4"/>
              </w:rPr>
              <w:t xml:space="preserve"> </w:t>
            </w:r>
            <w:r w:rsidRPr="00EC20A0">
              <w:rPr>
                <w:i/>
              </w:rPr>
              <w:t>auditor</w:t>
            </w:r>
            <w:r w:rsidRPr="00EC20A0">
              <w:rPr>
                <w:i/>
                <w:spacing w:val="-4"/>
              </w:rPr>
              <w:t xml:space="preserve"> </w:t>
            </w:r>
            <w:r w:rsidRPr="00EC20A0">
              <w:rPr>
                <w:i/>
              </w:rPr>
              <w:t>determine</w:t>
            </w:r>
            <w:r w:rsidRPr="00EC20A0">
              <w:rPr>
                <w:i/>
                <w:spacing w:val="-4"/>
              </w:rPr>
              <w:t xml:space="preserve"> </w:t>
            </w:r>
            <w:r w:rsidRPr="00EC20A0">
              <w:rPr>
                <w:i/>
              </w:rPr>
              <w:t>that</w:t>
            </w:r>
            <w:r w:rsidRPr="00EC20A0">
              <w:rPr>
                <w:i/>
                <w:spacing w:val="-4"/>
              </w:rPr>
              <w:t xml:space="preserve"> </w:t>
            </w:r>
            <w:r w:rsidRPr="00EC20A0">
              <w:rPr>
                <w:i/>
              </w:rPr>
              <w:t>FCRA</w:t>
            </w:r>
            <w:r w:rsidRPr="00EC20A0">
              <w:rPr>
                <w:i/>
                <w:spacing w:val="-3"/>
              </w:rPr>
              <w:t xml:space="preserve"> </w:t>
            </w:r>
            <w:r w:rsidRPr="00EC20A0">
              <w:rPr>
                <w:i/>
              </w:rPr>
              <w:t>has</w:t>
            </w:r>
            <w:r w:rsidRPr="00EC20A0">
              <w:rPr>
                <w:i/>
                <w:spacing w:val="-4"/>
              </w:rPr>
              <w:t xml:space="preserve"> </w:t>
            </w:r>
            <w:r w:rsidRPr="00EC20A0">
              <w:rPr>
                <w:i/>
              </w:rPr>
              <w:t>a direct effect on the determination of material 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24D60C8B" w14:textId="77777777" w:rsidR="00245300" w:rsidRPr="00EC20A0" w:rsidRDefault="00245300">
            <w:pPr>
              <w:rPr>
                <w:sz w:val="2"/>
                <w:szCs w:val="2"/>
              </w:rPr>
            </w:pPr>
          </w:p>
        </w:tc>
      </w:tr>
      <w:tr w:rsidR="00245300" w:rsidRPr="00EC20A0" w14:paraId="24D60C95" w14:textId="77777777">
        <w:trPr>
          <w:trHeight w:val="3099"/>
        </w:trPr>
        <w:tc>
          <w:tcPr>
            <w:tcW w:w="8044" w:type="dxa"/>
            <w:tcBorders>
              <w:top w:val="nil"/>
              <w:left w:val="double" w:sz="6" w:space="0" w:color="000000"/>
              <w:bottom w:val="nil"/>
              <w:right w:val="single" w:sz="6" w:space="0" w:color="000000"/>
            </w:tcBorders>
          </w:tcPr>
          <w:p w14:paraId="24D60C8D" w14:textId="77777777" w:rsidR="00245300" w:rsidRPr="00EC20A0" w:rsidRDefault="00F17249">
            <w:pPr>
              <w:pStyle w:val="TableParagraph"/>
              <w:tabs>
                <w:tab w:val="left" w:pos="6807"/>
              </w:tabs>
              <w:spacing w:before="117"/>
              <w:ind w:left="4532"/>
            </w:pPr>
            <w:r w:rsidRPr="00EC20A0">
              <w:rPr>
                <w:spacing w:val="-2"/>
                <w:u w:val="single"/>
              </w:rPr>
              <w:t>Preliminary</w:t>
            </w:r>
            <w:r w:rsidRPr="00EC20A0">
              <w:tab/>
            </w:r>
            <w:r w:rsidRPr="00EC20A0">
              <w:rPr>
                <w:spacing w:val="-2"/>
                <w:u w:val="single"/>
              </w:rPr>
              <w:t>Final</w:t>
            </w:r>
          </w:p>
          <w:p w14:paraId="24D60C8E" w14:textId="77777777" w:rsidR="00245300" w:rsidRPr="00EC20A0" w:rsidRDefault="00245300">
            <w:pPr>
              <w:pStyle w:val="TableParagraph"/>
              <w:spacing w:before="35"/>
            </w:pPr>
          </w:p>
          <w:p w14:paraId="24D60C8F" w14:textId="77777777" w:rsidR="00245300" w:rsidRPr="00EC20A0" w:rsidRDefault="00F17249">
            <w:pPr>
              <w:pStyle w:val="TableParagraph"/>
              <w:ind w:left="299" w:right="4319"/>
            </w:pPr>
            <w:r w:rsidRPr="00EC20A0">
              <w:t>Total appropriations or other budget authority available during the fiscal year for costs of FCRA activities (direct loans, direct loan obligations,</w:t>
            </w:r>
            <w:r w:rsidRPr="00EC20A0">
              <w:rPr>
                <w:spacing w:val="-13"/>
              </w:rPr>
              <w:t xml:space="preserve"> </w:t>
            </w:r>
            <w:r w:rsidRPr="00EC20A0">
              <w:t>loan</w:t>
            </w:r>
            <w:r w:rsidRPr="00EC20A0">
              <w:rPr>
                <w:spacing w:val="-13"/>
              </w:rPr>
              <w:t xml:space="preserve"> </w:t>
            </w:r>
            <w:r w:rsidRPr="00EC20A0">
              <w:t>guarantees,</w:t>
            </w:r>
            <w:r w:rsidRPr="00EC20A0">
              <w:rPr>
                <w:spacing w:val="-13"/>
              </w:rPr>
              <w:t xml:space="preserve"> </w:t>
            </w:r>
            <w:r w:rsidRPr="00EC20A0">
              <w:t>loan</w:t>
            </w:r>
          </w:p>
          <w:p w14:paraId="24D60C90" w14:textId="77777777" w:rsidR="00245300" w:rsidRPr="00EC20A0" w:rsidRDefault="00F17249">
            <w:pPr>
              <w:pStyle w:val="TableParagraph"/>
              <w:ind w:left="299" w:right="3776" w:hanging="1"/>
            </w:pPr>
            <w:r w:rsidRPr="00EC20A0">
              <w:t>guarantee</w:t>
            </w:r>
            <w:r w:rsidRPr="00EC20A0">
              <w:rPr>
                <w:spacing w:val="-13"/>
              </w:rPr>
              <w:t xml:space="preserve"> </w:t>
            </w:r>
            <w:r w:rsidRPr="00EC20A0">
              <w:t>commitments,</w:t>
            </w:r>
            <w:r w:rsidRPr="00EC20A0">
              <w:rPr>
                <w:spacing w:val="-13"/>
              </w:rPr>
              <w:t xml:space="preserve"> </w:t>
            </w:r>
            <w:r w:rsidRPr="00EC20A0">
              <w:t>and</w:t>
            </w:r>
            <w:r w:rsidRPr="00EC20A0">
              <w:rPr>
                <w:spacing w:val="-13"/>
              </w:rPr>
              <w:t xml:space="preserve"> </w:t>
            </w:r>
            <w:r w:rsidRPr="00EC20A0">
              <w:t>related loan modifications)</w:t>
            </w:r>
          </w:p>
          <w:p w14:paraId="24D60C91" w14:textId="77777777" w:rsidR="00245300" w:rsidRPr="00EC20A0" w:rsidRDefault="00245300">
            <w:pPr>
              <w:pStyle w:val="TableParagraph"/>
              <w:spacing w:before="6" w:after="1"/>
              <w:rPr>
                <w:sz w:val="12"/>
              </w:rPr>
            </w:pPr>
          </w:p>
          <w:p w14:paraId="24D60C92" w14:textId="77777777" w:rsidR="00245300" w:rsidRPr="00EC20A0" w:rsidRDefault="00F17249">
            <w:pPr>
              <w:pStyle w:val="TableParagraph"/>
              <w:spacing w:line="20" w:lineRule="exact"/>
              <w:ind w:left="4062"/>
              <w:rPr>
                <w:sz w:val="2"/>
              </w:rPr>
            </w:pPr>
            <w:r w:rsidRPr="00EC20A0">
              <w:rPr>
                <w:noProof/>
              </w:rPr>
              <mc:AlternateContent>
                <mc:Choice Requires="wpg">
                  <w:drawing>
                    <wp:anchor distT="0" distB="0" distL="0" distR="0" simplePos="0" relativeHeight="475268096" behindDoc="1" locked="0" layoutInCell="1" allowOverlap="1" wp14:anchorId="24D62B1B" wp14:editId="24D62B1C">
                      <wp:simplePos x="0" y="0"/>
                      <wp:positionH relativeFrom="column">
                        <wp:posOffset>2588514</wp:posOffset>
                      </wp:positionH>
                      <wp:positionV relativeFrom="paragraph">
                        <wp:posOffset>346709</wp:posOffset>
                      </wp:positionV>
                      <wp:extent cx="1295400" cy="317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293" name="Graphic 293"/>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C68C87" id="Group 292" o:spid="_x0000_s1026" style="position:absolute;margin-left:203.8pt;margin-top:27.3pt;width:102pt;height:.25pt;z-index:-2804838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">
                      <v:shape id="Graphic 293"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68608" behindDoc="1" locked="0" layoutInCell="1" allowOverlap="1" wp14:anchorId="24D62B1D" wp14:editId="24D62B1E">
                      <wp:simplePos x="0" y="0"/>
                      <wp:positionH relativeFrom="column">
                        <wp:posOffset>3960114</wp:posOffset>
                      </wp:positionH>
                      <wp:positionV relativeFrom="paragraph">
                        <wp:posOffset>346709</wp:posOffset>
                      </wp:positionV>
                      <wp:extent cx="1045844" cy="3175"/>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295" name="Graphic 295"/>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F697ED" id="Group 294" o:spid="_x0000_s1026" style="position:absolute;margin-left:311.8pt;margin-top:27.3pt;width:82.35pt;height:.25pt;z-index:-2804787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">
                      <v:shape id="Graphic 295"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" path="m1045463,l,,,3048r1045463,l1045463,xe" fillcolor="black" stroked="f">
                        <v:path arrowok="t"/>
                      </v:shape>
                    </v:group>
                  </w:pict>
                </mc:Fallback>
              </mc:AlternateContent>
            </w:r>
            <w:r w:rsidRPr="00EC20A0">
              <w:rPr>
                <w:noProof/>
                <w:sz w:val="2"/>
              </w:rPr>
              <mc:AlternateContent>
                <mc:Choice Requires="wpg">
                  <w:drawing>
                    <wp:inline distT="0" distB="0" distL="0" distR="0" wp14:anchorId="24D62B1F" wp14:editId="24D62B20">
                      <wp:extent cx="1295400" cy="3175"/>
                      <wp:effectExtent l="0" t="0" r="0" b="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297" name="Graphic 297"/>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7B2D24" id="Group 296"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EnfMThxAgAA8wUAAA4AAAAAAAAAAAAAAAAA&#10;LgIAAGRycy9lMm9Eb2MueG1sUEsBAi0AFAAGAAgAAAAhAPt8ozjZAAAAAgEAAA8AAAAAAAAAAAAA&#10;AAAAywQAAGRycy9kb3ducmV2LnhtbFBLBQYAAAAABAAEAPMAAADRBQAAAAA=&#10;">
                      <v:shape id="Graphic 297"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" path="m1295400,l,,,3048r1295400,l1295400,xe" fillcolor="black" stroked="f">
                        <v:path arrowok="t"/>
                      </v:shape>
                      <w10:anchorlock/>
                    </v:group>
                  </w:pict>
                </mc:Fallback>
              </mc:AlternateContent>
            </w:r>
            <w:r w:rsidRPr="00EC20A0">
              <w:rPr>
                <w:spacing w:val="95"/>
                <w:sz w:val="2"/>
              </w:rPr>
              <w:t xml:space="preserve"> </w:t>
            </w:r>
            <w:r w:rsidRPr="00EC20A0">
              <w:rPr>
                <w:noProof/>
                <w:spacing w:val="95"/>
                <w:sz w:val="2"/>
              </w:rPr>
              <mc:AlternateContent>
                <mc:Choice Requires="wpg">
                  <w:drawing>
                    <wp:inline distT="0" distB="0" distL="0" distR="0" wp14:anchorId="24D62B21" wp14:editId="24D62B22">
                      <wp:extent cx="1045844" cy="3175"/>
                      <wp:effectExtent l="0" t="0" r="0" b="0"/>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299" name="Graphic 299"/>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2879C5" id="Group 298"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">
                      <v:shape id="Graphic 299"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" path="m1045463,l,,,3048r1045463,l1045463,xe" fillcolor="black" stroked="f">
                        <v:path arrowok="t"/>
                      </v:shape>
                      <w10:anchorlock/>
                    </v:group>
                  </w:pict>
                </mc:Fallback>
              </mc:AlternateContent>
            </w:r>
          </w:p>
          <w:p w14:paraId="24D60C93" w14:textId="77777777" w:rsidR="00245300" w:rsidRPr="00EC20A0" w:rsidRDefault="00F17249">
            <w:pPr>
              <w:pStyle w:val="TableParagraph"/>
              <w:spacing w:before="129"/>
              <w:ind w:left="299"/>
            </w:pPr>
            <w:r w:rsidRPr="00EC20A0">
              <w:rPr>
                <w:spacing w:val="-2"/>
              </w:rPr>
              <w:t>Materiality</w:t>
            </w:r>
          </w:p>
        </w:tc>
        <w:tc>
          <w:tcPr>
            <w:tcW w:w="1319" w:type="dxa"/>
            <w:vMerge/>
            <w:tcBorders>
              <w:top w:val="nil"/>
              <w:left w:val="single" w:sz="6" w:space="0" w:color="000000"/>
              <w:bottom w:val="double" w:sz="6" w:space="0" w:color="000000"/>
              <w:right w:val="double" w:sz="6" w:space="0" w:color="000000"/>
            </w:tcBorders>
          </w:tcPr>
          <w:p w14:paraId="24D60C94" w14:textId="77777777" w:rsidR="00245300" w:rsidRPr="00EC20A0" w:rsidRDefault="00245300">
            <w:pPr>
              <w:rPr>
                <w:sz w:val="2"/>
                <w:szCs w:val="2"/>
              </w:rPr>
            </w:pPr>
          </w:p>
        </w:tc>
      </w:tr>
      <w:tr w:rsidR="00245300" w:rsidRPr="00EC20A0" w14:paraId="24D60C9A" w14:textId="77777777">
        <w:trPr>
          <w:trHeight w:val="1390"/>
        </w:trPr>
        <w:tc>
          <w:tcPr>
            <w:tcW w:w="8044" w:type="dxa"/>
            <w:tcBorders>
              <w:top w:val="nil"/>
              <w:left w:val="double" w:sz="6" w:space="0" w:color="000000"/>
              <w:bottom w:val="double" w:sz="6" w:space="0" w:color="000000"/>
              <w:right w:val="single" w:sz="6" w:space="0" w:color="000000"/>
            </w:tcBorders>
          </w:tcPr>
          <w:p w14:paraId="24D60C96" w14:textId="77777777" w:rsidR="00245300" w:rsidRPr="00EC20A0" w:rsidRDefault="00245300">
            <w:pPr>
              <w:pStyle w:val="TableParagraph"/>
            </w:pPr>
          </w:p>
          <w:p w14:paraId="24D60C97" w14:textId="77777777" w:rsidR="00245300" w:rsidRPr="00EC20A0" w:rsidRDefault="00245300">
            <w:pPr>
              <w:pStyle w:val="TableParagraph"/>
              <w:spacing w:before="89"/>
            </w:pPr>
          </w:p>
          <w:p w14:paraId="24D60C98" w14:textId="77777777" w:rsidR="00245300" w:rsidRPr="00EC20A0" w:rsidRDefault="00F17249">
            <w:pPr>
              <w:pStyle w:val="TableParagraph"/>
              <w:ind w:left="131"/>
            </w:pPr>
            <w:r w:rsidRPr="00EC20A0">
              <w:t>If</w:t>
            </w:r>
            <w:r w:rsidRPr="00EC20A0">
              <w:rPr>
                <w:spacing w:val="-7"/>
              </w:rPr>
              <w:t xml:space="preserve"> </w:t>
            </w:r>
            <w:r w:rsidRPr="00EC20A0">
              <w:t>yes,</w:t>
            </w:r>
            <w:r w:rsidRPr="00EC20A0">
              <w:rPr>
                <w:spacing w:val="-6"/>
              </w:rPr>
              <w:t xml:space="preserve"> </w:t>
            </w:r>
            <w:r w:rsidRPr="00EC20A0">
              <w:t>then</w:t>
            </w:r>
            <w:r w:rsidRPr="00EC20A0">
              <w:rPr>
                <w:spacing w:val="-7"/>
              </w:rPr>
              <w:t xml:space="preserve"> </w:t>
            </w:r>
            <w:r w:rsidRPr="00EC20A0">
              <w:t>complete</w:t>
            </w:r>
            <w:r w:rsidRPr="00EC20A0">
              <w:rPr>
                <w:spacing w:val="-6"/>
              </w:rPr>
              <w:t xml:space="preserve"> </w:t>
            </w:r>
            <w:r w:rsidRPr="00EC20A0">
              <w:t>the</w:t>
            </w:r>
            <w:r w:rsidRPr="00EC20A0">
              <w:rPr>
                <w:spacing w:val="-6"/>
              </w:rPr>
              <w:t xml:space="preserve"> </w:t>
            </w:r>
            <w:r w:rsidRPr="00EC20A0">
              <w:t>compliance</w:t>
            </w:r>
            <w:r w:rsidRPr="00EC20A0">
              <w:rPr>
                <w:spacing w:val="-7"/>
              </w:rPr>
              <w:t xml:space="preserve"> </w:t>
            </w:r>
            <w:r w:rsidRPr="00EC20A0">
              <w:t>supplement</w:t>
            </w:r>
            <w:r w:rsidRPr="00EC20A0">
              <w:rPr>
                <w:spacing w:val="-6"/>
              </w:rPr>
              <w:t xml:space="preserve"> </w:t>
            </w:r>
            <w:r w:rsidRPr="00EC20A0">
              <w:t>at</w:t>
            </w:r>
            <w:r w:rsidRPr="00EC20A0">
              <w:rPr>
                <w:spacing w:val="-6"/>
              </w:rPr>
              <w:t xml:space="preserve"> </w:t>
            </w:r>
            <w:r w:rsidRPr="00EC20A0">
              <w:t>FAM</w:t>
            </w:r>
            <w:r w:rsidRPr="00EC20A0">
              <w:rPr>
                <w:spacing w:val="-7"/>
              </w:rPr>
              <w:t xml:space="preserve"> </w:t>
            </w:r>
            <w:r w:rsidRPr="00EC20A0">
              <w:rPr>
                <w:spacing w:val="-5"/>
              </w:rPr>
              <w:t>804</w:t>
            </w:r>
          </w:p>
        </w:tc>
        <w:tc>
          <w:tcPr>
            <w:tcW w:w="1319" w:type="dxa"/>
            <w:vMerge/>
            <w:tcBorders>
              <w:top w:val="nil"/>
              <w:left w:val="single" w:sz="6" w:space="0" w:color="000000"/>
              <w:bottom w:val="double" w:sz="6" w:space="0" w:color="000000"/>
              <w:right w:val="double" w:sz="6" w:space="0" w:color="000000"/>
            </w:tcBorders>
          </w:tcPr>
          <w:p w14:paraId="24D60C99" w14:textId="77777777" w:rsidR="00245300" w:rsidRPr="00EC20A0" w:rsidRDefault="00245300">
            <w:pPr>
              <w:rPr>
                <w:sz w:val="2"/>
                <w:szCs w:val="2"/>
              </w:rPr>
            </w:pPr>
          </w:p>
        </w:tc>
      </w:tr>
    </w:tbl>
    <w:p w14:paraId="24D60C9B" w14:textId="77777777" w:rsidR="00245300" w:rsidRPr="00EC20A0" w:rsidRDefault="00245300">
      <w:pPr>
        <w:rPr>
          <w:sz w:val="2"/>
          <w:szCs w:val="2"/>
        </w:rPr>
        <w:sectPr w:rsidR="00245300" w:rsidRPr="00EC20A0">
          <w:headerReference w:type="default" r:id="rId90"/>
          <w:footerReference w:type="default" r:id="rId91"/>
          <w:pgSz w:w="12240" w:h="15840"/>
          <w:pgMar w:top="1300" w:right="1140" w:bottom="940" w:left="1320" w:header="721" w:footer="742" w:gutter="0"/>
          <w:cols w:space="720"/>
        </w:sectPr>
      </w:pPr>
    </w:p>
    <w:p w14:paraId="24D60C9C" w14:textId="77777777" w:rsidR="00245300" w:rsidRPr="00EC20A0" w:rsidRDefault="00245300">
      <w:pPr>
        <w:pStyle w:val="BodyText"/>
        <w:spacing w:before="158" w:after="1"/>
        <w:rPr>
          <w:sz w:val="20"/>
        </w:r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8042"/>
        <w:gridCol w:w="1317"/>
      </w:tblGrid>
      <w:tr w:rsidR="00245300" w:rsidRPr="00EC20A0" w14:paraId="24D60C9F" w14:textId="77777777">
        <w:trPr>
          <w:trHeight w:val="540"/>
        </w:trPr>
        <w:tc>
          <w:tcPr>
            <w:tcW w:w="8042" w:type="dxa"/>
            <w:tcBorders>
              <w:right w:val="single" w:sz="6" w:space="0" w:color="000000"/>
            </w:tcBorders>
          </w:tcPr>
          <w:p w14:paraId="24D60C9D" w14:textId="77777777" w:rsidR="00245300" w:rsidRPr="00EC20A0" w:rsidRDefault="00F17249">
            <w:pPr>
              <w:pStyle w:val="TableParagraph"/>
              <w:spacing w:before="144"/>
              <w:ind w:right="363"/>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7" w:type="dxa"/>
            <w:tcBorders>
              <w:left w:val="single" w:sz="6" w:space="0" w:color="000000"/>
            </w:tcBorders>
          </w:tcPr>
          <w:p w14:paraId="24D60C9E"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CC1" w14:textId="77777777">
        <w:trPr>
          <w:trHeight w:val="4858"/>
        </w:trPr>
        <w:tc>
          <w:tcPr>
            <w:tcW w:w="8042" w:type="dxa"/>
            <w:tcBorders>
              <w:bottom w:val="nil"/>
              <w:right w:val="single" w:sz="6" w:space="0" w:color="000000"/>
            </w:tcBorders>
          </w:tcPr>
          <w:p w14:paraId="24D60CA0" w14:textId="77777777" w:rsidR="00245300" w:rsidRPr="00EC20A0" w:rsidRDefault="00F17249">
            <w:pPr>
              <w:pStyle w:val="TableParagraph"/>
              <w:spacing w:before="144"/>
              <w:ind w:left="130" w:right="138" w:hanging="1"/>
              <w:rPr>
                <w:b/>
              </w:rPr>
            </w:pPr>
            <w:r w:rsidRPr="00EC20A0">
              <w:rPr>
                <w:b/>
              </w:rPr>
              <w:t>Federal Debt Collection Authorities, as provided in 31 U.S.C. chapter 37 (31</w:t>
            </w:r>
            <w:r w:rsidRPr="00EC20A0">
              <w:rPr>
                <w:b/>
                <w:spacing w:val="-3"/>
              </w:rPr>
              <w:t xml:space="preserve"> </w:t>
            </w:r>
            <w:r w:rsidRPr="00EC20A0">
              <w:rPr>
                <w:b/>
              </w:rPr>
              <w:t>U.S.C.</w:t>
            </w:r>
            <w:r w:rsidRPr="00EC20A0">
              <w:rPr>
                <w:b/>
                <w:spacing w:val="-3"/>
              </w:rPr>
              <w:t xml:space="preserve"> </w:t>
            </w:r>
            <w:r w:rsidRPr="00EC20A0">
              <w:rPr>
                <w:b/>
              </w:rPr>
              <w:t>§</w:t>
            </w:r>
            <w:r w:rsidRPr="00EC20A0">
              <w:rPr>
                <w:b/>
                <w:spacing w:val="-2"/>
              </w:rPr>
              <w:t xml:space="preserve"> </w:t>
            </w:r>
            <w:r w:rsidRPr="00EC20A0">
              <w:rPr>
                <w:b/>
              </w:rPr>
              <w:t>3711;</w:t>
            </w:r>
            <w:r w:rsidRPr="00EC20A0">
              <w:rPr>
                <w:b/>
                <w:spacing w:val="-3"/>
              </w:rPr>
              <w:t xml:space="preserve"> </w:t>
            </w:r>
            <w:r w:rsidRPr="00EC20A0">
              <w:rPr>
                <w:b/>
              </w:rPr>
              <w:t>31</w:t>
            </w:r>
            <w:r w:rsidRPr="00EC20A0">
              <w:rPr>
                <w:b/>
                <w:spacing w:val="-3"/>
              </w:rPr>
              <w:t xml:space="preserve"> </w:t>
            </w:r>
            <w:r w:rsidRPr="00EC20A0">
              <w:rPr>
                <w:b/>
              </w:rPr>
              <w:t>U.S.C.</w:t>
            </w:r>
            <w:r w:rsidRPr="00EC20A0">
              <w:rPr>
                <w:b/>
                <w:spacing w:val="-3"/>
              </w:rPr>
              <w:t xml:space="preserve"> </w:t>
            </w:r>
            <w:r w:rsidRPr="00EC20A0">
              <w:rPr>
                <w:b/>
              </w:rPr>
              <w:t>§</w:t>
            </w:r>
            <w:r w:rsidRPr="00EC20A0">
              <w:rPr>
                <w:b/>
                <w:spacing w:val="-3"/>
              </w:rPr>
              <w:t xml:space="preserve"> </w:t>
            </w:r>
            <w:r w:rsidRPr="00EC20A0">
              <w:rPr>
                <w:b/>
              </w:rPr>
              <w:t>3717(a),</w:t>
            </w:r>
            <w:r w:rsidRPr="00EC20A0">
              <w:rPr>
                <w:b/>
                <w:spacing w:val="-3"/>
              </w:rPr>
              <w:t xml:space="preserve"> </w:t>
            </w:r>
            <w:r w:rsidRPr="00EC20A0">
              <w:rPr>
                <w:b/>
              </w:rPr>
              <w:t>(b),</w:t>
            </w:r>
            <w:r w:rsidRPr="00EC20A0">
              <w:rPr>
                <w:b/>
                <w:spacing w:val="-3"/>
              </w:rPr>
              <w:t xml:space="preserve"> </w:t>
            </w:r>
            <w:r w:rsidRPr="00EC20A0">
              <w:rPr>
                <w:b/>
              </w:rPr>
              <w:t>(c),</w:t>
            </w:r>
            <w:r w:rsidRPr="00EC20A0">
              <w:rPr>
                <w:b/>
                <w:spacing w:val="-3"/>
              </w:rPr>
              <w:t xml:space="preserve"> </w:t>
            </w:r>
            <w:r w:rsidRPr="00EC20A0">
              <w:rPr>
                <w:b/>
              </w:rPr>
              <w:t>(e),</w:t>
            </w:r>
            <w:r w:rsidRPr="00EC20A0">
              <w:rPr>
                <w:b/>
                <w:spacing w:val="-3"/>
              </w:rPr>
              <w:t xml:space="preserve"> </w:t>
            </w:r>
            <w:r w:rsidRPr="00EC20A0">
              <w:rPr>
                <w:b/>
              </w:rPr>
              <w:t>(f);</w:t>
            </w:r>
            <w:r w:rsidRPr="00EC20A0">
              <w:rPr>
                <w:b/>
                <w:spacing w:val="-3"/>
              </w:rPr>
              <w:t xml:space="preserve"> </w:t>
            </w:r>
            <w:r w:rsidRPr="00EC20A0">
              <w:rPr>
                <w:b/>
              </w:rPr>
              <w:t>and</w:t>
            </w:r>
            <w:r w:rsidRPr="00EC20A0">
              <w:rPr>
                <w:b/>
                <w:spacing w:val="-3"/>
              </w:rPr>
              <w:t xml:space="preserve"> </w:t>
            </w:r>
            <w:r w:rsidRPr="00EC20A0">
              <w:rPr>
                <w:b/>
              </w:rPr>
              <w:t>31</w:t>
            </w:r>
            <w:r w:rsidRPr="00EC20A0">
              <w:rPr>
                <w:b/>
                <w:spacing w:val="-3"/>
              </w:rPr>
              <w:t xml:space="preserve"> </w:t>
            </w:r>
            <w:r w:rsidRPr="00EC20A0">
              <w:rPr>
                <w:b/>
              </w:rPr>
              <w:t>U.S.C.</w:t>
            </w:r>
            <w:r w:rsidRPr="00EC20A0">
              <w:rPr>
                <w:b/>
                <w:spacing w:val="-3"/>
              </w:rPr>
              <w:t xml:space="preserve"> </w:t>
            </w:r>
            <w:r w:rsidRPr="00EC20A0">
              <w:rPr>
                <w:b/>
              </w:rPr>
              <w:t>§</w:t>
            </w:r>
            <w:r w:rsidRPr="00EC20A0">
              <w:rPr>
                <w:b/>
                <w:spacing w:val="-2"/>
              </w:rPr>
              <w:t xml:space="preserve"> </w:t>
            </w:r>
            <w:r w:rsidRPr="00EC20A0">
              <w:rPr>
                <w:b/>
              </w:rPr>
              <w:t>3719)</w:t>
            </w:r>
          </w:p>
          <w:p w14:paraId="24D60CA1" w14:textId="77777777" w:rsidR="00245300" w:rsidRPr="00EC20A0" w:rsidRDefault="00F17249">
            <w:pPr>
              <w:pStyle w:val="TableParagraph"/>
              <w:spacing w:before="145"/>
              <w:ind w:left="129" w:right="138"/>
            </w:pPr>
            <w:r w:rsidRPr="00EC20A0">
              <w:t xml:space="preserve">These </w:t>
            </w:r>
            <w:r w:rsidRPr="00EC20A0">
              <w:t>authorities address the collection of claims of the U.S. government, which involve most nontax amounts (a.k.a., debts) that have been determined by an appropriate federal official to be owed to the U.S. government from nonfederal parties. These authorities generally apply in the absence of more specific legal requirements that directly address claims for particular circumstances.</w:t>
            </w:r>
            <w:r w:rsidRPr="00EC20A0">
              <w:rPr>
                <w:spacing w:val="-3"/>
              </w:rPr>
              <w:t xml:space="preserve"> </w:t>
            </w:r>
            <w:r w:rsidRPr="00EC20A0">
              <w:t>Interest</w:t>
            </w:r>
            <w:r w:rsidRPr="00EC20A0">
              <w:rPr>
                <w:spacing w:val="-4"/>
              </w:rPr>
              <w:t xml:space="preserve"> </w:t>
            </w:r>
            <w:r w:rsidRPr="00EC20A0">
              <w:t>generally</w:t>
            </w:r>
            <w:r w:rsidRPr="00EC20A0">
              <w:rPr>
                <w:spacing w:val="-3"/>
              </w:rPr>
              <w:t xml:space="preserve"> </w:t>
            </w:r>
            <w:r w:rsidRPr="00EC20A0">
              <w:t>accrues</w:t>
            </w:r>
            <w:r w:rsidRPr="00EC20A0">
              <w:rPr>
                <w:spacing w:val="-3"/>
              </w:rPr>
              <w:t xml:space="preserve"> </w:t>
            </w:r>
            <w:r w:rsidRPr="00EC20A0">
              <w:t>from</w:t>
            </w:r>
            <w:r w:rsidRPr="00EC20A0">
              <w:rPr>
                <w:spacing w:val="-4"/>
              </w:rPr>
              <w:t xml:space="preserve"> </w:t>
            </w:r>
            <w:r w:rsidRPr="00EC20A0">
              <w:t>the</w:t>
            </w:r>
            <w:r w:rsidRPr="00EC20A0">
              <w:rPr>
                <w:spacing w:val="-3"/>
              </w:rPr>
              <w:t xml:space="preserve"> </w:t>
            </w:r>
            <w:r w:rsidRPr="00EC20A0">
              <w:t>date</w:t>
            </w:r>
            <w:r w:rsidRPr="00EC20A0">
              <w:rPr>
                <w:spacing w:val="-3"/>
              </w:rPr>
              <w:t xml:space="preserve"> </w:t>
            </w:r>
            <w:r w:rsidRPr="00EC20A0">
              <w:t>that</w:t>
            </w:r>
            <w:r w:rsidRPr="00EC20A0">
              <w:rPr>
                <w:spacing w:val="-4"/>
              </w:rPr>
              <w:t xml:space="preserve"> </w:t>
            </w:r>
            <w:r w:rsidRPr="00EC20A0">
              <w:t>a</w:t>
            </w:r>
            <w:r w:rsidRPr="00EC20A0">
              <w:rPr>
                <w:spacing w:val="-3"/>
              </w:rPr>
              <w:t xml:space="preserve"> </w:t>
            </w:r>
            <w:r w:rsidRPr="00EC20A0">
              <w:t>notice</w:t>
            </w:r>
            <w:r w:rsidRPr="00EC20A0">
              <w:rPr>
                <w:spacing w:val="-3"/>
              </w:rPr>
              <w:t xml:space="preserve"> </w:t>
            </w:r>
            <w:r w:rsidRPr="00EC20A0">
              <w:t>stating</w:t>
            </w:r>
            <w:r w:rsidRPr="00EC20A0">
              <w:rPr>
                <w:spacing w:val="-3"/>
              </w:rPr>
              <w:t xml:space="preserve"> </w:t>
            </w:r>
            <w:r w:rsidRPr="00EC20A0">
              <w:t>the amount due and the interest policies is first mailed to the de</w:t>
            </w:r>
            <w:r w:rsidRPr="00EC20A0">
              <w:t>btor. Interest generally accrues at a rate established by the Secretary of the Treasury.</w:t>
            </w:r>
          </w:p>
          <w:p w14:paraId="24D60CA2" w14:textId="77777777" w:rsidR="00245300" w:rsidRPr="00EC20A0" w:rsidRDefault="00F17249">
            <w:pPr>
              <w:pStyle w:val="TableParagraph"/>
              <w:ind w:left="129"/>
            </w:pPr>
            <w:r w:rsidRPr="00EC20A0">
              <w:t>Generally,</w:t>
            </w:r>
            <w:r w:rsidRPr="00EC20A0">
              <w:rPr>
                <w:spacing w:val="-8"/>
              </w:rPr>
              <w:t xml:space="preserve"> </w:t>
            </w:r>
            <w:r w:rsidRPr="00EC20A0">
              <w:t>administrative</w:t>
            </w:r>
            <w:r w:rsidRPr="00EC20A0">
              <w:rPr>
                <w:spacing w:val="-7"/>
              </w:rPr>
              <w:t xml:space="preserve"> </w:t>
            </w:r>
            <w:r w:rsidRPr="00EC20A0">
              <w:t>costs</w:t>
            </w:r>
            <w:r w:rsidRPr="00EC20A0">
              <w:rPr>
                <w:spacing w:val="-7"/>
              </w:rPr>
              <w:t xml:space="preserve"> </w:t>
            </w:r>
            <w:r w:rsidRPr="00EC20A0">
              <w:t>and</w:t>
            </w:r>
            <w:r w:rsidRPr="00EC20A0">
              <w:rPr>
                <w:spacing w:val="-8"/>
              </w:rPr>
              <w:t xml:space="preserve"> </w:t>
            </w:r>
            <w:r w:rsidRPr="00EC20A0">
              <w:t>penalties</w:t>
            </w:r>
            <w:r w:rsidRPr="00EC20A0">
              <w:rPr>
                <w:spacing w:val="-8"/>
              </w:rPr>
              <w:t xml:space="preserve"> </w:t>
            </w:r>
            <w:r w:rsidRPr="00EC20A0">
              <w:t>shall</w:t>
            </w:r>
            <w:r w:rsidRPr="00EC20A0">
              <w:rPr>
                <w:spacing w:val="-7"/>
              </w:rPr>
              <w:t xml:space="preserve"> </w:t>
            </w:r>
            <w:r w:rsidRPr="00EC20A0">
              <w:t>also</w:t>
            </w:r>
            <w:r w:rsidRPr="00EC20A0">
              <w:rPr>
                <w:spacing w:val="-7"/>
              </w:rPr>
              <w:t xml:space="preserve"> </w:t>
            </w:r>
            <w:r w:rsidRPr="00EC20A0">
              <w:t>be</w:t>
            </w:r>
            <w:r w:rsidRPr="00EC20A0">
              <w:rPr>
                <w:spacing w:val="-8"/>
              </w:rPr>
              <w:t xml:space="preserve"> </w:t>
            </w:r>
            <w:r w:rsidRPr="00EC20A0">
              <w:rPr>
                <w:spacing w:val="-2"/>
              </w:rPr>
              <w:t>charged.</w:t>
            </w:r>
          </w:p>
          <w:p w14:paraId="24D60CA3" w14:textId="77777777" w:rsidR="00245300" w:rsidRPr="00EC20A0" w:rsidRDefault="00F17249">
            <w:pPr>
              <w:pStyle w:val="TableParagraph"/>
              <w:spacing w:before="143"/>
              <w:ind w:left="129" w:right="174"/>
            </w:pPr>
            <w:r w:rsidRPr="00EC20A0">
              <w:t>The</w:t>
            </w:r>
            <w:r w:rsidRPr="00EC20A0">
              <w:rPr>
                <w:spacing w:val="-3"/>
              </w:rPr>
              <w:t xml:space="preserve"> </w:t>
            </w:r>
            <w:r w:rsidRPr="00EC20A0">
              <w:t>authorities</w:t>
            </w:r>
            <w:r w:rsidRPr="00EC20A0">
              <w:rPr>
                <w:spacing w:val="-3"/>
              </w:rPr>
              <w:t xml:space="preserve"> </w:t>
            </w:r>
            <w:r w:rsidRPr="00EC20A0">
              <w:t>also</w:t>
            </w:r>
            <w:r w:rsidRPr="00EC20A0">
              <w:rPr>
                <w:spacing w:val="-3"/>
              </w:rPr>
              <w:t xml:space="preserve"> </w:t>
            </w:r>
            <w:r w:rsidRPr="00EC20A0">
              <w:t>require</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to</w:t>
            </w:r>
            <w:r w:rsidRPr="00EC20A0">
              <w:rPr>
                <w:spacing w:val="-3"/>
              </w:rPr>
              <w:t xml:space="preserve"> </w:t>
            </w:r>
            <w:r w:rsidRPr="00EC20A0">
              <w:t>take</w:t>
            </w:r>
            <w:r w:rsidRPr="00EC20A0">
              <w:rPr>
                <w:spacing w:val="-3"/>
              </w:rPr>
              <w:t xml:space="preserve"> </w:t>
            </w:r>
            <w:r w:rsidRPr="00EC20A0">
              <w:t>all</w:t>
            </w:r>
            <w:r w:rsidRPr="00EC20A0">
              <w:rPr>
                <w:spacing w:val="-3"/>
              </w:rPr>
              <w:t xml:space="preserve"> </w:t>
            </w:r>
            <w:r w:rsidRPr="00EC20A0">
              <w:t>appropriate</w:t>
            </w:r>
            <w:r w:rsidRPr="00EC20A0">
              <w:rPr>
                <w:spacing w:val="-3"/>
              </w:rPr>
              <w:t xml:space="preserve"> </w:t>
            </w:r>
            <w:r w:rsidRPr="00EC20A0">
              <w:t>steps</w:t>
            </w:r>
            <w:r w:rsidRPr="00EC20A0">
              <w:rPr>
                <w:spacing w:val="-3"/>
              </w:rPr>
              <w:t xml:space="preserve"> </w:t>
            </w:r>
            <w:r w:rsidRPr="00EC20A0">
              <w:t>to</w:t>
            </w:r>
            <w:r w:rsidRPr="00EC20A0">
              <w:rPr>
                <w:spacing w:val="-3"/>
              </w:rPr>
              <w:t xml:space="preserve"> </w:t>
            </w:r>
            <w:r w:rsidRPr="00EC20A0">
              <w:t>collect</w:t>
            </w:r>
            <w:r w:rsidRPr="00EC20A0">
              <w:rPr>
                <w:spacing w:val="-3"/>
              </w:rPr>
              <w:t xml:space="preserve"> </w:t>
            </w:r>
            <w:r w:rsidRPr="00EC20A0">
              <w:t>the debt before discharging it and to notify Treasury about delinquent debt for the use of certain debt collection tools, such as administrative offset. The authorities also generally require the entity not to make or guarantee loans to persons who owe delinquent debt. Further, in appropriate circumstances, the authorities permit the compromise, termination, or suspension of claims.</w:t>
            </w:r>
          </w:p>
        </w:tc>
        <w:tc>
          <w:tcPr>
            <w:tcW w:w="1317" w:type="dxa"/>
            <w:vMerge w:val="restart"/>
            <w:tcBorders>
              <w:left w:val="single" w:sz="6" w:space="0" w:color="000000"/>
            </w:tcBorders>
          </w:tcPr>
          <w:p w14:paraId="24D60CA4" w14:textId="77777777" w:rsidR="00245300" w:rsidRPr="00EC20A0" w:rsidRDefault="00245300">
            <w:pPr>
              <w:pStyle w:val="TableParagraph"/>
              <w:rPr>
                <w:sz w:val="20"/>
              </w:rPr>
            </w:pPr>
          </w:p>
          <w:p w14:paraId="24D60CA5" w14:textId="77777777" w:rsidR="00245300" w:rsidRPr="00EC20A0" w:rsidRDefault="00245300">
            <w:pPr>
              <w:pStyle w:val="TableParagraph"/>
              <w:rPr>
                <w:sz w:val="20"/>
              </w:rPr>
            </w:pPr>
          </w:p>
          <w:p w14:paraId="24D60CA6" w14:textId="77777777" w:rsidR="00245300" w:rsidRPr="00EC20A0" w:rsidRDefault="00245300">
            <w:pPr>
              <w:pStyle w:val="TableParagraph"/>
              <w:rPr>
                <w:sz w:val="20"/>
              </w:rPr>
            </w:pPr>
          </w:p>
          <w:p w14:paraId="24D60CA7" w14:textId="77777777" w:rsidR="00245300" w:rsidRPr="00EC20A0" w:rsidRDefault="00245300">
            <w:pPr>
              <w:pStyle w:val="TableParagraph"/>
              <w:rPr>
                <w:sz w:val="20"/>
              </w:rPr>
            </w:pPr>
          </w:p>
          <w:p w14:paraId="24D60CA8" w14:textId="77777777" w:rsidR="00245300" w:rsidRPr="00EC20A0" w:rsidRDefault="00245300">
            <w:pPr>
              <w:pStyle w:val="TableParagraph"/>
              <w:rPr>
                <w:sz w:val="20"/>
              </w:rPr>
            </w:pPr>
          </w:p>
          <w:p w14:paraId="24D60CA9" w14:textId="77777777" w:rsidR="00245300" w:rsidRPr="00EC20A0" w:rsidRDefault="00245300">
            <w:pPr>
              <w:pStyle w:val="TableParagraph"/>
              <w:rPr>
                <w:sz w:val="20"/>
              </w:rPr>
            </w:pPr>
          </w:p>
          <w:p w14:paraId="24D60CAA" w14:textId="77777777" w:rsidR="00245300" w:rsidRPr="00EC20A0" w:rsidRDefault="00245300">
            <w:pPr>
              <w:pStyle w:val="TableParagraph"/>
              <w:rPr>
                <w:sz w:val="20"/>
              </w:rPr>
            </w:pPr>
          </w:p>
          <w:p w14:paraId="24D60CAB" w14:textId="77777777" w:rsidR="00245300" w:rsidRPr="00EC20A0" w:rsidRDefault="00245300">
            <w:pPr>
              <w:pStyle w:val="TableParagraph"/>
              <w:rPr>
                <w:sz w:val="20"/>
              </w:rPr>
            </w:pPr>
          </w:p>
          <w:p w14:paraId="24D60CAC" w14:textId="77777777" w:rsidR="00245300" w:rsidRPr="00EC20A0" w:rsidRDefault="00245300">
            <w:pPr>
              <w:pStyle w:val="TableParagraph"/>
              <w:rPr>
                <w:sz w:val="20"/>
              </w:rPr>
            </w:pPr>
          </w:p>
          <w:p w14:paraId="24D60CAD" w14:textId="77777777" w:rsidR="00245300" w:rsidRPr="00EC20A0" w:rsidRDefault="00245300">
            <w:pPr>
              <w:pStyle w:val="TableParagraph"/>
              <w:rPr>
                <w:sz w:val="20"/>
              </w:rPr>
            </w:pPr>
          </w:p>
          <w:p w14:paraId="24D60CAE" w14:textId="77777777" w:rsidR="00245300" w:rsidRPr="00EC20A0" w:rsidRDefault="00245300">
            <w:pPr>
              <w:pStyle w:val="TableParagraph"/>
              <w:rPr>
                <w:sz w:val="20"/>
              </w:rPr>
            </w:pPr>
          </w:p>
          <w:p w14:paraId="24D60CAF" w14:textId="77777777" w:rsidR="00245300" w:rsidRPr="00EC20A0" w:rsidRDefault="00245300">
            <w:pPr>
              <w:pStyle w:val="TableParagraph"/>
              <w:rPr>
                <w:sz w:val="20"/>
              </w:rPr>
            </w:pPr>
          </w:p>
          <w:p w14:paraId="24D60CB0" w14:textId="77777777" w:rsidR="00245300" w:rsidRPr="00EC20A0" w:rsidRDefault="00245300">
            <w:pPr>
              <w:pStyle w:val="TableParagraph"/>
              <w:rPr>
                <w:sz w:val="20"/>
              </w:rPr>
            </w:pPr>
          </w:p>
          <w:p w14:paraId="24D60CB1" w14:textId="77777777" w:rsidR="00245300" w:rsidRPr="00EC20A0" w:rsidRDefault="00245300">
            <w:pPr>
              <w:pStyle w:val="TableParagraph"/>
              <w:rPr>
                <w:sz w:val="20"/>
              </w:rPr>
            </w:pPr>
          </w:p>
          <w:p w14:paraId="24D60CB2" w14:textId="77777777" w:rsidR="00245300" w:rsidRPr="00EC20A0" w:rsidRDefault="00245300">
            <w:pPr>
              <w:pStyle w:val="TableParagraph"/>
              <w:rPr>
                <w:sz w:val="20"/>
              </w:rPr>
            </w:pPr>
          </w:p>
          <w:p w14:paraId="24D60CB3" w14:textId="77777777" w:rsidR="00245300" w:rsidRPr="00EC20A0" w:rsidRDefault="00245300">
            <w:pPr>
              <w:pStyle w:val="TableParagraph"/>
              <w:rPr>
                <w:sz w:val="20"/>
              </w:rPr>
            </w:pPr>
          </w:p>
          <w:p w14:paraId="24D60CB4" w14:textId="77777777" w:rsidR="00245300" w:rsidRPr="00EC20A0" w:rsidRDefault="00245300">
            <w:pPr>
              <w:pStyle w:val="TableParagraph"/>
              <w:rPr>
                <w:sz w:val="20"/>
              </w:rPr>
            </w:pPr>
          </w:p>
          <w:p w14:paraId="24D60CB5" w14:textId="77777777" w:rsidR="00245300" w:rsidRPr="00EC20A0" w:rsidRDefault="00245300">
            <w:pPr>
              <w:pStyle w:val="TableParagraph"/>
              <w:rPr>
                <w:sz w:val="20"/>
              </w:rPr>
            </w:pPr>
          </w:p>
          <w:p w14:paraId="24D60CB6" w14:textId="77777777" w:rsidR="00245300" w:rsidRPr="00EC20A0" w:rsidRDefault="00245300">
            <w:pPr>
              <w:pStyle w:val="TableParagraph"/>
              <w:rPr>
                <w:sz w:val="20"/>
              </w:rPr>
            </w:pPr>
          </w:p>
          <w:p w14:paraId="24D60CB7" w14:textId="77777777" w:rsidR="00245300" w:rsidRPr="00EC20A0" w:rsidRDefault="00245300">
            <w:pPr>
              <w:pStyle w:val="TableParagraph"/>
              <w:rPr>
                <w:sz w:val="20"/>
              </w:rPr>
            </w:pPr>
          </w:p>
          <w:p w14:paraId="24D60CB8" w14:textId="77777777" w:rsidR="00245300" w:rsidRPr="00EC20A0" w:rsidRDefault="00245300">
            <w:pPr>
              <w:pStyle w:val="TableParagraph"/>
              <w:rPr>
                <w:sz w:val="20"/>
              </w:rPr>
            </w:pPr>
          </w:p>
          <w:p w14:paraId="24D60CB9" w14:textId="77777777" w:rsidR="00245300" w:rsidRPr="00EC20A0" w:rsidRDefault="00245300">
            <w:pPr>
              <w:pStyle w:val="TableParagraph"/>
              <w:spacing w:before="204" w:after="1"/>
              <w:rPr>
                <w:sz w:val="20"/>
              </w:rPr>
            </w:pPr>
          </w:p>
          <w:p w14:paraId="24D60CBA" w14:textId="77777777" w:rsidR="00245300" w:rsidRPr="00EC20A0" w:rsidRDefault="00F17249">
            <w:pPr>
              <w:pStyle w:val="TableParagraph"/>
              <w:spacing w:line="20" w:lineRule="exact"/>
              <w:ind w:left="145"/>
              <w:rPr>
                <w:sz w:val="2"/>
              </w:rPr>
            </w:pPr>
            <w:r w:rsidRPr="00EC20A0">
              <w:rPr>
                <w:noProof/>
                <w:sz w:val="2"/>
              </w:rPr>
              <mc:AlternateContent>
                <mc:Choice Requires="wpg">
                  <w:drawing>
                    <wp:inline distT="0" distB="0" distL="0" distR="0" wp14:anchorId="24D62B23" wp14:editId="24D62B24">
                      <wp:extent cx="621665" cy="8890"/>
                      <wp:effectExtent l="9525" t="0" r="0" b="635"/>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08" name="Graphic 308"/>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10A156" id="Group 307"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">
                      <v:shape id="Graphic 308"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" path="m,l621371,e" filled="f" strokeweight=".24403mm">
                        <v:path arrowok="t"/>
                      </v:shape>
                      <w10:anchorlock/>
                    </v:group>
                  </w:pict>
                </mc:Fallback>
              </mc:AlternateContent>
            </w:r>
          </w:p>
          <w:p w14:paraId="24D60CBB" w14:textId="77777777" w:rsidR="00245300" w:rsidRPr="00EC20A0" w:rsidRDefault="00245300">
            <w:pPr>
              <w:pStyle w:val="TableParagraph"/>
              <w:rPr>
                <w:sz w:val="20"/>
              </w:rPr>
            </w:pPr>
          </w:p>
          <w:p w14:paraId="24D60CBC" w14:textId="77777777" w:rsidR="00245300" w:rsidRPr="00EC20A0" w:rsidRDefault="00245300">
            <w:pPr>
              <w:pStyle w:val="TableParagraph"/>
              <w:spacing w:before="170"/>
              <w:rPr>
                <w:sz w:val="20"/>
              </w:rPr>
            </w:pPr>
          </w:p>
          <w:p w14:paraId="24D60CBD" w14:textId="77777777" w:rsidR="00245300" w:rsidRPr="00EC20A0" w:rsidRDefault="00F17249">
            <w:pPr>
              <w:pStyle w:val="TableParagraph"/>
              <w:spacing w:line="20" w:lineRule="exact"/>
              <w:ind w:left="145"/>
              <w:rPr>
                <w:sz w:val="2"/>
              </w:rPr>
            </w:pPr>
            <w:r w:rsidRPr="00EC20A0">
              <w:rPr>
                <w:noProof/>
                <w:sz w:val="2"/>
              </w:rPr>
              <mc:AlternateContent>
                <mc:Choice Requires="wpg">
                  <w:drawing>
                    <wp:inline distT="0" distB="0" distL="0" distR="0" wp14:anchorId="24D62B25" wp14:editId="24D62B26">
                      <wp:extent cx="621665" cy="8890"/>
                      <wp:effectExtent l="9525" t="0" r="0" b="635"/>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10" name="Graphic 310"/>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A0BE83" id="Group 309"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AQAVItwAgAAjwUAAA4AAAAAAAAAAAAAAAAA&#10;LgIAAGRycy9lMm9Eb2MueG1sUEsBAi0AFAAGAAgAAAAhABFF7qTaAAAAAgEAAA8AAAAAAAAAAAAA&#10;AAAAygQAAGRycy9kb3ducmV2LnhtbFBLBQYAAAAABAAEAPMAAADRBQAAAAA=&#10;">
                      <v:shape id="Graphic 310"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" path="m,l621371,e" filled="f" strokeweight=".24403mm">
                        <v:path arrowok="t"/>
                      </v:shape>
                      <w10:anchorlock/>
                    </v:group>
                  </w:pict>
                </mc:Fallback>
              </mc:AlternateContent>
            </w:r>
          </w:p>
          <w:p w14:paraId="24D60CBE" w14:textId="77777777" w:rsidR="00245300" w:rsidRPr="00EC20A0" w:rsidRDefault="00245300">
            <w:pPr>
              <w:pStyle w:val="TableParagraph"/>
              <w:rPr>
                <w:sz w:val="20"/>
              </w:rPr>
            </w:pPr>
          </w:p>
          <w:p w14:paraId="24D60CBF" w14:textId="77777777" w:rsidR="00245300" w:rsidRPr="00EC20A0" w:rsidRDefault="00245300">
            <w:pPr>
              <w:pStyle w:val="TableParagraph"/>
              <w:spacing w:before="170"/>
              <w:rPr>
                <w:sz w:val="20"/>
              </w:rPr>
            </w:pPr>
          </w:p>
          <w:p w14:paraId="24D60CC0" w14:textId="77777777" w:rsidR="00245300" w:rsidRPr="00EC20A0" w:rsidRDefault="00F17249">
            <w:pPr>
              <w:pStyle w:val="TableParagraph"/>
              <w:spacing w:line="20" w:lineRule="exact"/>
              <w:ind w:left="145"/>
              <w:rPr>
                <w:sz w:val="2"/>
              </w:rPr>
            </w:pPr>
            <w:r w:rsidRPr="00EC20A0">
              <w:rPr>
                <w:noProof/>
                <w:sz w:val="2"/>
              </w:rPr>
              <mc:AlternateContent>
                <mc:Choice Requires="wpg">
                  <w:drawing>
                    <wp:inline distT="0" distB="0" distL="0" distR="0" wp14:anchorId="24D62B27" wp14:editId="24D62B28">
                      <wp:extent cx="621665" cy="8890"/>
                      <wp:effectExtent l="9525" t="0" r="0" b="635"/>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12" name="Graphic 312"/>
                              <wps:cNvSpPr/>
                              <wps:spPr>
                                <a:xfrm>
                                  <a:off x="0" y="4392"/>
                                  <a:ext cx="621665" cy="1270"/>
                                </a:xfrm>
                                <a:custGeom>
                                  <a:avLst/>
                                  <a:gdLst/>
                                  <a:ahLst/>
                                  <a:cxnLst/>
                                  <a:rect l="l" t="t" r="r" b="b"/>
                                  <a:pathLst>
                                    <a:path w="621665">
                                      <a:moveTo>
                                        <a:pt x="0" y="0"/>
                                      </a:moveTo>
                                      <a:lnTo>
                                        <a:pt x="621510"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FDBB89" id="Group 311"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AyydTdwAgAAjwUAAA4AAAAAAAAAAAAAAAAA&#10;LgIAAGRycy9lMm9Eb2MueG1sUEsBAi0AFAAGAAgAAAAhABFF7qTaAAAAAgEAAA8AAAAAAAAAAAAA&#10;AAAAygQAAGRycy9kb3ducmV2LnhtbFBLBQYAAAAABAAEAPMAAADRBQAAAAA=&#10;">
                      <v:shape id="Graphic 312"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" path="m,l621510,e" filled="f" strokeweight=".24403mm">
                        <v:path arrowok="t"/>
                      </v:shape>
                      <w10:anchorlock/>
                    </v:group>
                  </w:pict>
                </mc:Fallback>
              </mc:AlternateContent>
            </w:r>
          </w:p>
        </w:tc>
      </w:tr>
      <w:tr w:rsidR="00245300" w:rsidRPr="00EC20A0" w14:paraId="24D60CC7" w14:textId="77777777">
        <w:trPr>
          <w:trHeight w:val="2717"/>
        </w:trPr>
        <w:tc>
          <w:tcPr>
            <w:tcW w:w="8042" w:type="dxa"/>
            <w:tcBorders>
              <w:top w:val="nil"/>
              <w:right w:val="single" w:sz="6" w:space="0" w:color="000000"/>
            </w:tcBorders>
          </w:tcPr>
          <w:p w14:paraId="24D60CC2" w14:textId="77777777" w:rsidR="00245300" w:rsidRPr="00EC20A0" w:rsidRDefault="00F17249">
            <w:pPr>
              <w:pStyle w:val="TableParagraph"/>
              <w:spacing w:before="117"/>
              <w:ind w:left="129" w:right="138"/>
              <w:rPr>
                <w:i/>
              </w:rPr>
            </w:pPr>
            <w:r w:rsidRPr="00EC20A0">
              <w:rPr>
                <w:i/>
              </w:rPr>
              <w:t>Does</w:t>
            </w:r>
            <w:r w:rsidRPr="00EC20A0">
              <w:rPr>
                <w:i/>
                <w:spacing w:val="-4"/>
              </w:rPr>
              <w:t xml:space="preserve"> </w:t>
            </w:r>
            <w:r w:rsidRPr="00EC20A0">
              <w:rPr>
                <w:i/>
              </w:rPr>
              <w:t>the</w:t>
            </w:r>
            <w:r w:rsidRPr="00EC20A0">
              <w:rPr>
                <w:i/>
                <w:spacing w:val="-4"/>
              </w:rPr>
              <w:t xml:space="preserve"> </w:t>
            </w:r>
            <w:r w:rsidRPr="00EC20A0">
              <w:rPr>
                <w:i/>
              </w:rPr>
              <w:t>cumulative</w:t>
            </w:r>
            <w:r w:rsidRPr="00EC20A0">
              <w:rPr>
                <w:i/>
                <w:spacing w:val="-4"/>
              </w:rPr>
              <w:t xml:space="preserve"> </w:t>
            </w:r>
            <w:r w:rsidRPr="00EC20A0">
              <w:rPr>
                <w:i/>
              </w:rPr>
              <w:t>amount</w:t>
            </w:r>
            <w:r w:rsidRPr="00EC20A0">
              <w:rPr>
                <w:i/>
                <w:spacing w:val="-4"/>
              </w:rPr>
              <w:t xml:space="preserve"> </w:t>
            </w:r>
            <w:r w:rsidRPr="00EC20A0">
              <w:rPr>
                <w:i/>
              </w:rPr>
              <w:t>of</w:t>
            </w:r>
            <w:r w:rsidRPr="00EC20A0">
              <w:rPr>
                <w:i/>
                <w:spacing w:val="-4"/>
              </w:rPr>
              <w:t xml:space="preserve"> </w:t>
            </w:r>
            <w:r w:rsidRPr="00EC20A0">
              <w:rPr>
                <w:i/>
              </w:rPr>
              <w:t>receivables</w:t>
            </w:r>
            <w:r w:rsidRPr="00EC20A0">
              <w:rPr>
                <w:i/>
                <w:spacing w:val="-4"/>
              </w:rPr>
              <w:t xml:space="preserve"> </w:t>
            </w:r>
            <w:r w:rsidRPr="00EC20A0">
              <w:rPr>
                <w:i/>
              </w:rPr>
              <w:t>created</w:t>
            </w:r>
            <w:r w:rsidRPr="00EC20A0">
              <w:rPr>
                <w:i/>
                <w:spacing w:val="-4"/>
              </w:rPr>
              <w:t xml:space="preserve"> </w:t>
            </w:r>
            <w:r w:rsidRPr="00EC20A0">
              <w:rPr>
                <w:i/>
              </w:rPr>
              <w:t>during</w:t>
            </w:r>
            <w:r w:rsidRPr="00EC20A0">
              <w:rPr>
                <w:i/>
                <w:spacing w:val="-4"/>
              </w:rPr>
              <w:t xml:space="preserve"> </w:t>
            </w:r>
            <w:r w:rsidRPr="00EC20A0">
              <w:rPr>
                <w:i/>
              </w:rPr>
              <w:t>the</w:t>
            </w:r>
            <w:r w:rsidRPr="00EC20A0">
              <w:rPr>
                <w:i/>
                <w:spacing w:val="-4"/>
              </w:rPr>
              <w:t xml:space="preserve"> </w:t>
            </w:r>
            <w:r w:rsidRPr="00EC20A0">
              <w:rPr>
                <w:i/>
              </w:rPr>
              <w:t>audit</w:t>
            </w:r>
            <w:r w:rsidRPr="00EC20A0">
              <w:rPr>
                <w:i/>
                <w:spacing w:val="-4"/>
              </w:rPr>
              <w:t xml:space="preserve"> </w:t>
            </w:r>
            <w:r w:rsidRPr="00EC20A0">
              <w:rPr>
                <w:i/>
              </w:rPr>
              <w:t>period</w:t>
            </w:r>
            <w:r w:rsidRPr="00EC20A0">
              <w:rPr>
                <w:i/>
                <w:spacing w:val="-4"/>
              </w:rPr>
              <w:t xml:space="preserve"> </w:t>
            </w:r>
            <w:r w:rsidRPr="00EC20A0">
              <w:rPr>
                <w:i/>
              </w:rPr>
              <w:t xml:space="preserve">that is subject to the </w:t>
            </w:r>
            <w:r w:rsidRPr="00EC20A0">
              <w:rPr>
                <w:i/>
              </w:rPr>
              <w:t>Federal Debt Collection Authorities exceed materiality?</w:t>
            </w:r>
          </w:p>
          <w:p w14:paraId="24D60CC3" w14:textId="77777777" w:rsidR="00245300" w:rsidRPr="00EC20A0" w:rsidRDefault="00F17249">
            <w:pPr>
              <w:pStyle w:val="TableParagraph"/>
              <w:spacing w:before="144"/>
              <w:ind w:left="130" w:right="255"/>
              <w:rPr>
                <w:i/>
              </w:rPr>
            </w:pPr>
            <w:r w:rsidRPr="00EC20A0">
              <w:rPr>
                <w:i/>
              </w:rPr>
              <w:t>Does</w:t>
            </w:r>
            <w:r w:rsidRPr="00EC20A0">
              <w:rPr>
                <w:i/>
                <w:spacing w:val="-3"/>
              </w:rPr>
              <w:t xml:space="preserve"> </w:t>
            </w:r>
            <w:r w:rsidRPr="00EC20A0">
              <w:rPr>
                <w:i/>
              </w:rPr>
              <w:t>the</w:t>
            </w:r>
            <w:r w:rsidRPr="00EC20A0">
              <w:rPr>
                <w:i/>
                <w:spacing w:val="-3"/>
              </w:rPr>
              <w:t xml:space="preserve"> </w:t>
            </w:r>
            <w:r w:rsidRPr="00EC20A0">
              <w:rPr>
                <w:i/>
              </w:rPr>
              <w:t>amount</w:t>
            </w:r>
            <w:r w:rsidRPr="00EC20A0">
              <w:rPr>
                <w:i/>
                <w:spacing w:val="-3"/>
              </w:rPr>
              <w:t xml:space="preserve"> </w:t>
            </w:r>
            <w:r w:rsidRPr="00EC20A0">
              <w:rPr>
                <w:i/>
              </w:rPr>
              <w:t>of</w:t>
            </w:r>
            <w:r w:rsidRPr="00EC20A0">
              <w:rPr>
                <w:i/>
                <w:spacing w:val="-3"/>
              </w:rPr>
              <w:t xml:space="preserve"> </w:t>
            </w:r>
            <w:r w:rsidRPr="00EC20A0">
              <w:rPr>
                <w:i/>
              </w:rPr>
              <w:t>receivables</w:t>
            </w:r>
            <w:r w:rsidRPr="00EC20A0">
              <w:rPr>
                <w:i/>
                <w:spacing w:val="-3"/>
              </w:rPr>
              <w:t xml:space="preserve"> </w:t>
            </w:r>
            <w:r w:rsidRPr="00EC20A0">
              <w:rPr>
                <w:i/>
              </w:rPr>
              <w:t>at</w:t>
            </w:r>
            <w:r w:rsidRPr="00EC20A0">
              <w:rPr>
                <w:i/>
                <w:spacing w:val="-3"/>
              </w:rPr>
              <w:t xml:space="preserve"> </w:t>
            </w:r>
            <w:r w:rsidRPr="00EC20A0">
              <w:rPr>
                <w:i/>
              </w:rPr>
              <w:t>the</w:t>
            </w:r>
            <w:r w:rsidRPr="00EC20A0">
              <w:rPr>
                <w:i/>
                <w:spacing w:val="-3"/>
              </w:rPr>
              <w:t xml:space="preserve"> </w:t>
            </w:r>
            <w:r w:rsidRPr="00EC20A0">
              <w:rPr>
                <w:i/>
              </w:rPr>
              <w:t>end</w:t>
            </w:r>
            <w:r w:rsidRPr="00EC20A0">
              <w:rPr>
                <w:i/>
                <w:spacing w:val="-3"/>
              </w:rPr>
              <w:t xml:space="preserve"> </w:t>
            </w:r>
            <w:r w:rsidRPr="00EC20A0">
              <w:rPr>
                <w:i/>
              </w:rPr>
              <w:t>of</w:t>
            </w:r>
            <w:r w:rsidRPr="00EC20A0">
              <w:rPr>
                <w:i/>
                <w:spacing w:val="-3"/>
              </w:rPr>
              <w:t xml:space="preserve"> </w:t>
            </w:r>
            <w:r w:rsidRPr="00EC20A0">
              <w:rPr>
                <w:i/>
              </w:rPr>
              <w:t>the</w:t>
            </w:r>
            <w:r w:rsidRPr="00EC20A0">
              <w:rPr>
                <w:i/>
                <w:spacing w:val="-3"/>
              </w:rPr>
              <w:t xml:space="preserve"> </w:t>
            </w:r>
            <w:r w:rsidRPr="00EC20A0">
              <w:rPr>
                <w:i/>
              </w:rPr>
              <w:t>audit</w:t>
            </w:r>
            <w:r w:rsidRPr="00EC20A0">
              <w:rPr>
                <w:i/>
                <w:spacing w:val="-3"/>
              </w:rPr>
              <w:t xml:space="preserve"> </w:t>
            </w:r>
            <w:r w:rsidRPr="00EC20A0">
              <w:rPr>
                <w:i/>
              </w:rPr>
              <w:t>period</w:t>
            </w:r>
            <w:r w:rsidRPr="00EC20A0">
              <w:rPr>
                <w:i/>
                <w:spacing w:val="-3"/>
              </w:rPr>
              <w:t xml:space="preserve"> </w:t>
            </w:r>
            <w:r w:rsidRPr="00EC20A0">
              <w:rPr>
                <w:i/>
              </w:rPr>
              <w:t>that</w:t>
            </w:r>
            <w:r w:rsidRPr="00EC20A0">
              <w:rPr>
                <w:i/>
                <w:spacing w:val="-3"/>
              </w:rPr>
              <w:t xml:space="preserve"> </w:t>
            </w:r>
            <w:r w:rsidRPr="00EC20A0">
              <w:rPr>
                <w:i/>
              </w:rPr>
              <w:t>is</w:t>
            </w:r>
            <w:r w:rsidRPr="00EC20A0">
              <w:rPr>
                <w:i/>
                <w:spacing w:val="-3"/>
              </w:rPr>
              <w:t xml:space="preserve"> </w:t>
            </w:r>
            <w:r w:rsidRPr="00EC20A0">
              <w:rPr>
                <w:i/>
              </w:rPr>
              <w:t>subject</w:t>
            </w:r>
            <w:r w:rsidRPr="00EC20A0">
              <w:rPr>
                <w:i/>
                <w:spacing w:val="-3"/>
              </w:rPr>
              <w:t xml:space="preserve"> </w:t>
            </w:r>
            <w:r w:rsidRPr="00EC20A0">
              <w:rPr>
                <w:i/>
              </w:rPr>
              <w:t>to the Federal Debt Collection Authorities exceed materiality?</w:t>
            </w:r>
          </w:p>
          <w:p w14:paraId="24D60CC4" w14:textId="77777777" w:rsidR="00245300" w:rsidRPr="00EC20A0" w:rsidRDefault="00F17249">
            <w:pPr>
              <w:pStyle w:val="TableParagraph"/>
              <w:spacing w:before="145"/>
              <w:ind w:left="129" w:right="433"/>
              <w:jc w:val="both"/>
              <w:rPr>
                <w:i/>
              </w:rPr>
            </w:pPr>
            <w:r w:rsidRPr="00EC20A0">
              <w:rPr>
                <w:i/>
              </w:rPr>
              <w:t>Did</w:t>
            </w:r>
            <w:r w:rsidRPr="00EC20A0">
              <w:rPr>
                <w:i/>
                <w:spacing w:val="-4"/>
              </w:rPr>
              <w:t xml:space="preserve"> </w:t>
            </w:r>
            <w:r w:rsidRPr="00EC20A0">
              <w:rPr>
                <w:i/>
              </w:rPr>
              <w:t>the</w:t>
            </w:r>
            <w:r w:rsidRPr="00EC20A0">
              <w:rPr>
                <w:i/>
                <w:spacing w:val="-4"/>
              </w:rPr>
              <w:t xml:space="preserve"> </w:t>
            </w:r>
            <w:r w:rsidRPr="00EC20A0">
              <w:rPr>
                <w:i/>
              </w:rPr>
              <w:t>auditor</w:t>
            </w:r>
            <w:r w:rsidRPr="00EC20A0">
              <w:rPr>
                <w:i/>
                <w:spacing w:val="-4"/>
              </w:rPr>
              <w:t xml:space="preserve"> </w:t>
            </w:r>
            <w:r w:rsidRPr="00EC20A0">
              <w:rPr>
                <w:i/>
              </w:rPr>
              <w:t>determine</w:t>
            </w:r>
            <w:r w:rsidRPr="00EC20A0">
              <w:rPr>
                <w:i/>
                <w:spacing w:val="-4"/>
              </w:rPr>
              <w:t xml:space="preserve"> </w:t>
            </w:r>
            <w:r w:rsidRPr="00EC20A0">
              <w:rPr>
                <w:i/>
              </w:rPr>
              <w:t>that</w:t>
            </w:r>
            <w:r w:rsidRPr="00EC20A0">
              <w:rPr>
                <w:i/>
                <w:spacing w:val="-4"/>
              </w:rPr>
              <w:t xml:space="preserve"> </w:t>
            </w:r>
            <w:r w:rsidRPr="00EC20A0">
              <w:rPr>
                <w:i/>
              </w:rPr>
              <w:t>the</w:t>
            </w:r>
            <w:r w:rsidRPr="00EC20A0">
              <w:rPr>
                <w:i/>
                <w:spacing w:val="-4"/>
              </w:rPr>
              <w:t xml:space="preserve"> </w:t>
            </w:r>
            <w:r w:rsidRPr="00EC20A0">
              <w:rPr>
                <w:i/>
              </w:rPr>
              <w:t>Federal</w:t>
            </w:r>
            <w:r w:rsidRPr="00EC20A0">
              <w:rPr>
                <w:i/>
                <w:spacing w:val="-4"/>
              </w:rPr>
              <w:t xml:space="preserve"> </w:t>
            </w:r>
            <w:r w:rsidRPr="00EC20A0">
              <w:rPr>
                <w:i/>
              </w:rPr>
              <w:t>Debt</w:t>
            </w:r>
            <w:r w:rsidRPr="00EC20A0">
              <w:rPr>
                <w:i/>
                <w:spacing w:val="-4"/>
              </w:rPr>
              <w:t xml:space="preserve"> </w:t>
            </w:r>
            <w:r w:rsidRPr="00EC20A0">
              <w:rPr>
                <w:i/>
              </w:rPr>
              <w:t>Collection</w:t>
            </w:r>
            <w:r w:rsidRPr="00EC20A0">
              <w:rPr>
                <w:i/>
                <w:spacing w:val="-4"/>
              </w:rPr>
              <w:t xml:space="preserve"> </w:t>
            </w:r>
            <w:r w:rsidRPr="00EC20A0">
              <w:rPr>
                <w:i/>
              </w:rPr>
              <w:t>Authorities</w:t>
            </w:r>
            <w:r w:rsidRPr="00EC20A0">
              <w:rPr>
                <w:i/>
                <w:spacing w:val="-4"/>
              </w:rPr>
              <w:t xml:space="preserve"> </w:t>
            </w:r>
            <w:r w:rsidRPr="00EC20A0">
              <w:rPr>
                <w:i/>
              </w:rPr>
              <w:t>have</w:t>
            </w:r>
            <w:r w:rsidRPr="00EC20A0">
              <w:rPr>
                <w:i/>
                <w:spacing w:val="-4"/>
              </w:rPr>
              <w:t xml:space="preserve"> </w:t>
            </w:r>
            <w:r w:rsidRPr="00EC20A0">
              <w:rPr>
                <w:i/>
              </w:rPr>
              <w:t>a direct effect on the determination of material amounts and disclosures in the entity’s financial statements?</w:t>
            </w:r>
          </w:p>
          <w:p w14:paraId="24D60CC5" w14:textId="77777777" w:rsidR="00245300" w:rsidRPr="00EC20A0" w:rsidRDefault="00F17249">
            <w:pPr>
              <w:pStyle w:val="TableParagraph"/>
              <w:spacing w:before="144"/>
              <w:ind w:left="363" w:right="363"/>
              <w:jc w:val="center"/>
            </w:pPr>
            <w:r w:rsidRPr="00EC20A0">
              <w:t>(continue</w:t>
            </w:r>
            <w:r w:rsidRPr="00EC20A0">
              <w:rPr>
                <w:spacing w:val="-6"/>
              </w:rPr>
              <w:t xml:space="preserve"> </w:t>
            </w:r>
            <w:r w:rsidRPr="00EC20A0">
              <w:t>to</w:t>
            </w:r>
            <w:r w:rsidRPr="00EC20A0">
              <w:rPr>
                <w:spacing w:val="-5"/>
              </w:rPr>
              <w:t xml:space="preserve"> </w:t>
            </w:r>
            <w:r w:rsidRPr="00EC20A0">
              <w:t>next</w:t>
            </w:r>
            <w:r w:rsidRPr="00EC20A0">
              <w:rPr>
                <w:spacing w:val="-6"/>
              </w:rPr>
              <w:t xml:space="preserve"> </w:t>
            </w:r>
            <w:r w:rsidRPr="00EC20A0">
              <w:rPr>
                <w:spacing w:val="-2"/>
              </w:rPr>
              <w:t>page)</w:t>
            </w:r>
          </w:p>
        </w:tc>
        <w:tc>
          <w:tcPr>
            <w:tcW w:w="1317" w:type="dxa"/>
            <w:vMerge/>
            <w:tcBorders>
              <w:top w:val="nil"/>
              <w:left w:val="single" w:sz="6" w:space="0" w:color="000000"/>
            </w:tcBorders>
          </w:tcPr>
          <w:p w14:paraId="24D60CC6" w14:textId="77777777" w:rsidR="00245300" w:rsidRPr="00EC20A0" w:rsidRDefault="00245300">
            <w:pPr>
              <w:rPr>
                <w:sz w:val="2"/>
                <w:szCs w:val="2"/>
              </w:rPr>
            </w:pPr>
          </w:p>
        </w:tc>
      </w:tr>
    </w:tbl>
    <w:p w14:paraId="24D60CC8" w14:textId="77777777" w:rsidR="00245300" w:rsidRPr="00EC20A0" w:rsidRDefault="00245300">
      <w:pPr>
        <w:rPr>
          <w:sz w:val="2"/>
          <w:szCs w:val="2"/>
        </w:rPr>
        <w:sectPr w:rsidR="00245300" w:rsidRPr="00EC20A0">
          <w:headerReference w:type="default" r:id="rId92"/>
          <w:footerReference w:type="default" r:id="rId93"/>
          <w:pgSz w:w="12240" w:h="15840"/>
          <w:pgMar w:top="1340" w:right="1140" w:bottom="940" w:left="1320" w:header="721" w:footer="742" w:gutter="0"/>
          <w:cols w:space="720"/>
        </w:sectPr>
      </w:pPr>
    </w:p>
    <w:p w14:paraId="24D60CC9" w14:textId="77777777" w:rsidR="00245300" w:rsidRPr="00EC20A0" w:rsidRDefault="00F17249">
      <w:pPr>
        <w:pStyle w:val="BodyText"/>
        <w:spacing w:before="9"/>
        <w:rPr>
          <w:sz w:val="11"/>
        </w:rPr>
      </w:pPr>
      <w:r w:rsidRPr="00EC20A0">
        <w:rPr>
          <w:noProof/>
        </w:rPr>
        <mc:AlternateContent>
          <mc:Choice Requires="wps">
            <w:drawing>
              <wp:anchor distT="0" distB="0" distL="0" distR="0" simplePos="0" relativeHeight="15759872" behindDoc="0" locked="0" layoutInCell="1" allowOverlap="1" wp14:anchorId="24D62B29" wp14:editId="24D62B2A">
                <wp:simplePos x="0" y="0"/>
                <wp:positionH relativeFrom="page">
                  <wp:posOffset>1042530</wp:posOffset>
                </wp:positionH>
                <wp:positionV relativeFrom="page">
                  <wp:posOffset>2155953</wp:posOffset>
                </wp:positionV>
                <wp:extent cx="4914900" cy="275399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27539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853"/>
                              <w:gridCol w:w="120"/>
                              <w:gridCol w:w="1646"/>
                            </w:tblGrid>
                            <w:tr w:rsidR="00245300" w14:paraId="24D631BF" w14:textId="77777777">
                              <w:trPr>
                                <w:trHeight w:val="393"/>
                              </w:trPr>
                              <w:tc>
                                <w:tcPr>
                                  <w:tcW w:w="5853" w:type="dxa"/>
                                </w:tcPr>
                                <w:p w14:paraId="24D631BC" w14:textId="77777777" w:rsidR="00245300" w:rsidRDefault="00245300">
                                  <w:pPr>
                                    <w:pStyle w:val="TableParagraph"/>
                                    <w:rPr>
                                      <w:rFonts w:ascii="Times New Roman"/>
                                      <w:sz w:val="20"/>
                                    </w:rPr>
                                  </w:pPr>
                                </w:p>
                              </w:tc>
                              <w:tc>
                                <w:tcPr>
                                  <w:tcW w:w="120" w:type="dxa"/>
                                </w:tcPr>
                                <w:p w14:paraId="24D631BD" w14:textId="77777777" w:rsidR="00245300" w:rsidRDefault="00245300">
                                  <w:pPr>
                                    <w:pStyle w:val="TableParagraph"/>
                                    <w:rPr>
                                      <w:rFonts w:ascii="Times New Roman"/>
                                      <w:sz w:val="20"/>
                                    </w:rPr>
                                  </w:pPr>
                                </w:p>
                              </w:tc>
                              <w:tc>
                                <w:tcPr>
                                  <w:tcW w:w="1646" w:type="dxa"/>
                                </w:tcPr>
                                <w:p w14:paraId="24D631BE" w14:textId="77777777" w:rsidR="00245300" w:rsidRDefault="00245300">
                                  <w:pPr>
                                    <w:pStyle w:val="TableParagraph"/>
                                    <w:rPr>
                                      <w:rFonts w:ascii="Times New Roman"/>
                                      <w:sz w:val="20"/>
                                    </w:rPr>
                                  </w:pPr>
                                </w:p>
                              </w:tc>
                            </w:tr>
                            <w:tr w:rsidR="00245300" w14:paraId="24D631C3" w14:textId="77777777">
                              <w:trPr>
                                <w:trHeight w:val="1549"/>
                              </w:trPr>
                              <w:tc>
                                <w:tcPr>
                                  <w:tcW w:w="5853" w:type="dxa"/>
                                </w:tcPr>
                                <w:p w14:paraId="24D631C0" w14:textId="77777777" w:rsidR="00245300" w:rsidRDefault="00245300">
                                  <w:pPr>
                                    <w:pStyle w:val="TableParagraph"/>
                                    <w:rPr>
                                      <w:rFonts w:ascii="Times New Roman"/>
                                      <w:sz w:val="20"/>
                                    </w:rPr>
                                  </w:pPr>
                                </w:p>
                              </w:tc>
                              <w:tc>
                                <w:tcPr>
                                  <w:tcW w:w="120" w:type="dxa"/>
                                </w:tcPr>
                                <w:p w14:paraId="24D631C1" w14:textId="77777777" w:rsidR="00245300" w:rsidRDefault="00245300">
                                  <w:pPr>
                                    <w:pStyle w:val="TableParagraph"/>
                                    <w:rPr>
                                      <w:rFonts w:ascii="Times New Roman"/>
                                      <w:sz w:val="20"/>
                                    </w:rPr>
                                  </w:pPr>
                                </w:p>
                              </w:tc>
                              <w:tc>
                                <w:tcPr>
                                  <w:tcW w:w="1646" w:type="dxa"/>
                                  <w:tcBorders>
                                    <w:bottom w:val="single" w:sz="2" w:space="0" w:color="000000"/>
                                  </w:tcBorders>
                                </w:tcPr>
                                <w:p w14:paraId="24D631C2" w14:textId="77777777" w:rsidR="00245300" w:rsidRDefault="00245300">
                                  <w:pPr>
                                    <w:pStyle w:val="TableParagraph"/>
                                    <w:rPr>
                                      <w:rFonts w:ascii="Times New Roman"/>
                                      <w:sz w:val="20"/>
                                    </w:rPr>
                                  </w:pPr>
                                </w:p>
                              </w:tc>
                            </w:tr>
                            <w:tr w:rsidR="00245300" w14:paraId="24D631C7" w14:textId="77777777">
                              <w:trPr>
                                <w:trHeight w:val="544"/>
                              </w:trPr>
                              <w:tc>
                                <w:tcPr>
                                  <w:tcW w:w="5853" w:type="dxa"/>
                                </w:tcPr>
                                <w:p w14:paraId="24D631C4" w14:textId="77777777" w:rsidR="00245300" w:rsidRDefault="00245300">
                                  <w:pPr>
                                    <w:pStyle w:val="TableParagraph"/>
                                    <w:rPr>
                                      <w:rFonts w:ascii="Times New Roman"/>
                                      <w:sz w:val="20"/>
                                    </w:rPr>
                                  </w:pPr>
                                </w:p>
                              </w:tc>
                              <w:tc>
                                <w:tcPr>
                                  <w:tcW w:w="120" w:type="dxa"/>
                                </w:tcPr>
                                <w:p w14:paraId="24D631C5" w14:textId="77777777" w:rsidR="00245300" w:rsidRDefault="00245300">
                                  <w:pPr>
                                    <w:pStyle w:val="TableParagraph"/>
                                    <w:rPr>
                                      <w:rFonts w:ascii="Times New Roman"/>
                                      <w:sz w:val="20"/>
                                    </w:rPr>
                                  </w:pPr>
                                </w:p>
                              </w:tc>
                              <w:tc>
                                <w:tcPr>
                                  <w:tcW w:w="1646" w:type="dxa"/>
                                  <w:tcBorders>
                                    <w:top w:val="single" w:sz="2" w:space="0" w:color="000000"/>
                                  </w:tcBorders>
                                </w:tcPr>
                                <w:p w14:paraId="24D631C6" w14:textId="77777777" w:rsidR="00245300" w:rsidRDefault="00245300">
                                  <w:pPr>
                                    <w:pStyle w:val="TableParagraph"/>
                                    <w:rPr>
                                      <w:rFonts w:ascii="Times New Roman"/>
                                      <w:sz w:val="20"/>
                                    </w:rPr>
                                  </w:pPr>
                                </w:p>
                              </w:tc>
                            </w:tr>
                            <w:tr w:rsidR="00245300" w14:paraId="24D631CB" w14:textId="77777777">
                              <w:trPr>
                                <w:trHeight w:val="1295"/>
                              </w:trPr>
                              <w:tc>
                                <w:tcPr>
                                  <w:tcW w:w="5853" w:type="dxa"/>
                                </w:tcPr>
                                <w:p w14:paraId="24D631C8" w14:textId="77777777" w:rsidR="00245300" w:rsidRDefault="00245300">
                                  <w:pPr>
                                    <w:pStyle w:val="TableParagraph"/>
                                    <w:rPr>
                                      <w:rFonts w:ascii="Times New Roman"/>
                                      <w:sz w:val="20"/>
                                    </w:rPr>
                                  </w:pPr>
                                </w:p>
                              </w:tc>
                              <w:tc>
                                <w:tcPr>
                                  <w:tcW w:w="120" w:type="dxa"/>
                                </w:tcPr>
                                <w:p w14:paraId="24D631C9" w14:textId="77777777" w:rsidR="00245300" w:rsidRDefault="00245300">
                                  <w:pPr>
                                    <w:pStyle w:val="TableParagraph"/>
                                    <w:rPr>
                                      <w:rFonts w:ascii="Times New Roman"/>
                                      <w:sz w:val="20"/>
                                    </w:rPr>
                                  </w:pPr>
                                </w:p>
                              </w:tc>
                              <w:tc>
                                <w:tcPr>
                                  <w:tcW w:w="1646" w:type="dxa"/>
                                  <w:tcBorders>
                                    <w:bottom w:val="single" w:sz="2" w:space="0" w:color="000000"/>
                                  </w:tcBorders>
                                </w:tcPr>
                                <w:p w14:paraId="24D631CA" w14:textId="77777777" w:rsidR="00245300" w:rsidRDefault="00245300">
                                  <w:pPr>
                                    <w:pStyle w:val="TableParagraph"/>
                                    <w:rPr>
                                      <w:rFonts w:ascii="Times New Roman"/>
                                      <w:sz w:val="20"/>
                                    </w:rPr>
                                  </w:pPr>
                                </w:p>
                              </w:tc>
                            </w:tr>
                            <w:tr w:rsidR="00245300" w14:paraId="24D631CF" w14:textId="77777777">
                              <w:trPr>
                                <w:trHeight w:val="541"/>
                              </w:trPr>
                              <w:tc>
                                <w:tcPr>
                                  <w:tcW w:w="5853" w:type="dxa"/>
                                </w:tcPr>
                                <w:p w14:paraId="24D631CC" w14:textId="77777777" w:rsidR="00245300" w:rsidRDefault="00245300">
                                  <w:pPr>
                                    <w:pStyle w:val="TableParagraph"/>
                                    <w:rPr>
                                      <w:rFonts w:ascii="Times New Roman"/>
                                      <w:sz w:val="20"/>
                                    </w:rPr>
                                  </w:pPr>
                                </w:p>
                              </w:tc>
                              <w:tc>
                                <w:tcPr>
                                  <w:tcW w:w="120" w:type="dxa"/>
                                </w:tcPr>
                                <w:p w14:paraId="24D631CD" w14:textId="77777777" w:rsidR="00245300" w:rsidRDefault="00245300">
                                  <w:pPr>
                                    <w:pStyle w:val="TableParagraph"/>
                                    <w:rPr>
                                      <w:rFonts w:ascii="Times New Roman"/>
                                      <w:sz w:val="20"/>
                                    </w:rPr>
                                  </w:pPr>
                                </w:p>
                              </w:tc>
                              <w:tc>
                                <w:tcPr>
                                  <w:tcW w:w="1646" w:type="dxa"/>
                                  <w:tcBorders>
                                    <w:top w:val="single" w:sz="2" w:space="0" w:color="000000"/>
                                    <w:bottom w:val="single" w:sz="2" w:space="0" w:color="000000"/>
                                  </w:tcBorders>
                                </w:tcPr>
                                <w:p w14:paraId="24D631CE" w14:textId="77777777" w:rsidR="00245300" w:rsidRDefault="00245300">
                                  <w:pPr>
                                    <w:pStyle w:val="TableParagraph"/>
                                    <w:rPr>
                                      <w:rFonts w:ascii="Times New Roman"/>
                                      <w:sz w:val="20"/>
                                    </w:rPr>
                                  </w:pPr>
                                </w:p>
                              </w:tc>
                            </w:tr>
                          </w:tbl>
                          <w:p w14:paraId="24D631D0" w14:textId="77777777" w:rsidR="00245300" w:rsidRDefault="00245300">
                            <w:pPr>
                              <w:pStyle w:val="BodyText"/>
                            </w:pPr>
                          </w:p>
                        </w:txbxContent>
                      </wps:txbx>
                      <wps:bodyPr wrap="square" lIns="0" tIns="0" rIns="0" bIns="0" rtlCol="0">
                        <a:noAutofit/>
                      </wps:bodyPr>
                    </wps:wsp>
                  </a:graphicData>
                </a:graphic>
              </wp:anchor>
            </w:drawing>
          </mc:Choice>
          <mc:Fallback>
            <w:pict>
              <v:shapetype w14:anchorId="24D62B29" id="_x0000_t202" coordsize="21600,21600" o:spt="202" path="m,l,21600r21600,l21600,xe">
                <v:stroke joinstyle="miter"/>
                <v:path gradientshapeok="t" o:connecttype="rect"/>
              </v:shapetype>
              <v:shape id="Textbox 313" o:spid="_x0000_s1026" type="#_x0000_t202" style="position:absolute;margin-left:82.1pt;margin-top:169.75pt;width:387pt;height:216.8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853"/>
                        <w:gridCol w:w="120"/>
                        <w:gridCol w:w="1646"/>
                      </w:tblGrid>
                      <w:tr w:rsidR="00245300" w14:paraId="24D631BF" w14:textId="77777777">
                        <w:trPr>
                          <w:trHeight w:val="393"/>
                        </w:trPr>
                        <w:tc>
                          <w:tcPr>
                            <w:tcW w:w="5853" w:type="dxa"/>
                          </w:tcPr>
                          <w:p w14:paraId="24D631BC" w14:textId="77777777" w:rsidR="00245300" w:rsidRDefault="00245300">
                            <w:pPr>
                              <w:pStyle w:val="TableParagraph"/>
                              <w:rPr>
                                <w:rFonts w:ascii="Times New Roman"/>
                                <w:sz w:val="20"/>
                              </w:rPr>
                            </w:pPr>
                          </w:p>
                        </w:tc>
                        <w:tc>
                          <w:tcPr>
                            <w:tcW w:w="120" w:type="dxa"/>
                          </w:tcPr>
                          <w:p w14:paraId="24D631BD" w14:textId="77777777" w:rsidR="00245300" w:rsidRDefault="00245300">
                            <w:pPr>
                              <w:pStyle w:val="TableParagraph"/>
                              <w:rPr>
                                <w:rFonts w:ascii="Times New Roman"/>
                                <w:sz w:val="20"/>
                              </w:rPr>
                            </w:pPr>
                          </w:p>
                        </w:tc>
                        <w:tc>
                          <w:tcPr>
                            <w:tcW w:w="1646" w:type="dxa"/>
                          </w:tcPr>
                          <w:p w14:paraId="24D631BE" w14:textId="77777777" w:rsidR="00245300" w:rsidRDefault="00245300">
                            <w:pPr>
                              <w:pStyle w:val="TableParagraph"/>
                              <w:rPr>
                                <w:rFonts w:ascii="Times New Roman"/>
                                <w:sz w:val="20"/>
                              </w:rPr>
                            </w:pPr>
                          </w:p>
                        </w:tc>
                      </w:tr>
                      <w:tr w:rsidR="00245300" w14:paraId="24D631C3" w14:textId="77777777">
                        <w:trPr>
                          <w:trHeight w:val="1549"/>
                        </w:trPr>
                        <w:tc>
                          <w:tcPr>
                            <w:tcW w:w="5853" w:type="dxa"/>
                          </w:tcPr>
                          <w:p w14:paraId="24D631C0" w14:textId="77777777" w:rsidR="00245300" w:rsidRDefault="00245300">
                            <w:pPr>
                              <w:pStyle w:val="TableParagraph"/>
                              <w:rPr>
                                <w:rFonts w:ascii="Times New Roman"/>
                                <w:sz w:val="20"/>
                              </w:rPr>
                            </w:pPr>
                          </w:p>
                        </w:tc>
                        <w:tc>
                          <w:tcPr>
                            <w:tcW w:w="120" w:type="dxa"/>
                          </w:tcPr>
                          <w:p w14:paraId="24D631C1" w14:textId="77777777" w:rsidR="00245300" w:rsidRDefault="00245300">
                            <w:pPr>
                              <w:pStyle w:val="TableParagraph"/>
                              <w:rPr>
                                <w:rFonts w:ascii="Times New Roman"/>
                                <w:sz w:val="20"/>
                              </w:rPr>
                            </w:pPr>
                          </w:p>
                        </w:tc>
                        <w:tc>
                          <w:tcPr>
                            <w:tcW w:w="1646" w:type="dxa"/>
                            <w:tcBorders>
                              <w:bottom w:val="single" w:sz="2" w:space="0" w:color="000000"/>
                            </w:tcBorders>
                          </w:tcPr>
                          <w:p w14:paraId="24D631C2" w14:textId="77777777" w:rsidR="00245300" w:rsidRDefault="00245300">
                            <w:pPr>
                              <w:pStyle w:val="TableParagraph"/>
                              <w:rPr>
                                <w:rFonts w:ascii="Times New Roman"/>
                                <w:sz w:val="20"/>
                              </w:rPr>
                            </w:pPr>
                          </w:p>
                        </w:tc>
                      </w:tr>
                      <w:tr w:rsidR="00245300" w14:paraId="24D631C7" w14:textId="77777777">
                        <w:trPr>
                          <w:trHeight w:val="544"/>
                        </w:trPr>
                        <w:tc>
                          <w:tcPr>
                            <w:tcW w:w="5853" w:type="dxa"/>
                          </w:tcPr>
                          <w:p w14:paraId="24D631C4" w14:textId="77777777" w:rsidR="00245300" w:rsidRDefault="00245300">
                            <w:pPr>
                              <w:pStyle w:val="TableParagraph"/>
                              <w:rPr>
                                <w:rFonts w:ascii="Times New Roman"/>
                                <w:sz w:val="20"/>
                              </w:rPr>
                            </w:pPr>
                          </w:p>
                        </w:tc>
                        <w:tc>
                          <w:tcPr>
                            <w:tcW w:w="120" w:type="dxa"/>
                          </w:tcPr>
                          <w:p w14:paraId="24D631C5" w14:textId="77777777" w:rsidR="00245300" w:rsidRDefault="00245300">
                            <w:pPr>
                              <w:pStyle w:val="TableParagraph"/>
                              <w:rPr>
                                <w:rFonts w:ascii="Times New Roman"/>
                                <w:sz w:val="20"/>
                              </w:rPr>
                            </w:pPr>
                          </w:p>
                        </w:tc>
                        <w:tc>
                          <w:tcPr>
                            <w:tcW w:w="1646" w:type="dxa"/>
                            <w:tcBorders>
                              <w:top w:val="single" w:sz="2" w:space="0" w:color="000000"/>
                            </w:tcBorders>
                          </w:tcPr>
                          <w:p w14:paraId="24D631C6" w14:textId="77777777" w:rsidR="00245300" w:rsidRDefault="00245300">
                            <w:pPr>
                              <w:pStyle w:val="TableParagraph"/>
                              <w:rPr>
                                <w:rFonts w:ascii="Times New Roman"/>
                                <w:sz w:val="20"/>
                              </w:rPr>
                            </w:pPr>
                          </w:p>
                        </w:tc>
                      </w:tr>
                      <w:tr w:rsidR="00245300" w14:paraId="24D631CB" w14:textId="77777777">
                        <w:trPr>
                          <w:trHeight w:val="1295"/>
                        </w:trPr>
                        <w:tc>
                          <w:tcPr>
                            <w:tcW w:w="5853" w:type="dxa"/>
                          </w:tcPr>
                          <w:p w14:paraId="24D631C8" w14:textId="77777777" w:rsidR="00245300" w:rsidRDefault="00245300">
                            <w:pPr>
                              <w:pStyle w:val="TableParagraph"/>
                              <w:rPr>
                                <w:rFonts w:ascii="Times New Roman"/>
                                <w:sz w:val="20"/>
                              </w:rPr>
                            </w:pPr>
                          </w:p>
                        </w:tc>
                        <w:tc>
                          <w:tcPr>
                            <w:tcW w:w="120" w:type="dxa"/>
                          </w:tcPr>
                          <w:p w14:paraId="24D631C9" w14:textId="77777777" w:rsidR="00245300" w:rsidRDefault="00245300">
                            <w:pPr>
                              <w:pStyle w:val="TableParagraph"/>
                              <w:rPr>
                                <w:rFonts w:ascii="Times New Roman"/>
                                <w:sz w:val="20"/>
                              </w:rPr>
                            </w:pPr>
                          </w:p>
                        </w:tc>
                        <w:tc>
                          <w:tcPr>
                            <w:tcW w:w="1646" w:type="dxa"/>
                            <w:tcBorders>
                              <w:bottom w:val="single" w:sz="2" w:space="0" w:color="000000"/>
                            </w:tcBorders>
                          </w:tcPr>
                          <w:p w14:paraId="24D631CA" w14:textId="77777777" w:rsidR="00245300" w:rsidRDefault="00245300">
                            <w:pPr>
                              <w:pStyle w:val="TableParagraph"/>
                              <w:rPr>
                                <w:rFonts w:ascii="Times New Roman"/>
                                <w:sz w:val="20"/>
                              </w:rPr>
                            </w:pPr>
                          </w:p>
                        </w:tc>
                      </w:tr>
                      <w:tr w:rsidR="00245300" w14:paraId="24D631CF" w14:textId="77777777">
                        <w:trPr>
                          <w:trHeight w:val="541"/>
                        </w:trPr>
                        <w:tc>
                          <w:tcPr>
                            <w:tcW w:w="5853" w:type="dxa"/>
                          </w:tcPr>
                          <w:p w14:paraId="24D631CC" w14:textId="77777777" w:rsidR="00245300" w:rsidRDefault="00245300">
                            <w:pPr>
                              <w:pStyle w:val="TableParagraph"/>
                              <w:rPr>
                                <w:rFonts w:ascii="Times New Roman"/>
                                <w:sz w:val="20"/>
                              </w:rPr>
                            </w:pPr>
                          </w:p>
                        </w:tc>
                        <w:tc>
                          <w:tcPr>
                            <w:tcW w:w="120" w:type="dxa"/>
                          </w:tcPr>
                          <w:p w14:paraId="24D631CD" w14:textId="77777777" w:rsidR="00245300" w:rsidRDefault="00245300">
                            <w:pPr>
                              <w:pStyle w:val="TableParagraph"/>
                              <w:rPr>
                                <w:rFonts w:ascii="Times New Roman"/>
                                <w:sz w:val="20"/>
                              </w:rPr>
                            </w:pPr>
                          </w:p>
                        </w:tc>
                        <w:tc>
                          <w:tcPr>
                            <w:tcW w:w="1646" w:type="dxa"/>
                            <w:tcBorders>
                              <w:top w:val="single" w:sz="2" w:space="0" w:color="000000"/>
                              <w:bottom w:val="single" w:sz="2" w:space="0" w:color="000000"/>
                            </w:tcBorders>
                          </w:tcPr>
                          <w:p w14:paraId="24D631CE" w14:textId="77777777" w:rsidR="00245300" w:rsidRDefault="00245300">
                            <w:pPr>
                              <w:pStyle w:val="TableParagraph"/>
                              <w:rPr>
                                <w:rFonts w:ascii="Times New Roman"/>
                                <w:sz w:val="20"/>
                              </w:rPr>
                            </w:pPr>
                          </w:p>
                        </w:tc>
                      </w:tr>
                    </w:tbl>
                    <w:p w14:paraId="24D631D0" w14:textId="77777777" w:rsidR="00245300" w:rsidRDefault="00245300">
                      <w:pPr>
                        <w:pStyle w:val="BodyText"/>
                      </w:pPr>
                    </w:p>
                  </w:txbxContent>
                </v:textbox>
                <w10:wrap anchorx="page" anchory="page"/>
              </v:shape>
            </w:pict>
          </mc:Fallback>
        </mc:AlternateContent>
      </w: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8042"/>
        <w:gridCol w:w="1317"/>
      </w:tblGrid>
      <w:tr w:rsidR="00245300" w:rsidRPr="00EC20A0" w14:paraId="24D60CCC" w14:textId="77777777">
        <w:trPr>
          <w:trHeight w:val="540"/>
        </w:trPr>
        <w:tc>
          <w:tcPr>
            <w:tcW w:w="8042" w:type="dxa"/>
            <w:tcBorders>
              <w:right w:val="single" w:sz="6" w:space="0" w:color="000000"/>
            </w:tcBorders>
          </w:tcPr>
          <w:p w14:paraId="24D60CCA" w14:textId="77777777" w:rsidR="00245300" w:rsidRPr="00EC20A0" w:rsidRDefault="00F17249">
            <w:pPr>
              <w:pStyle w:val="TableParagraph"/>
              <w:spacing w:before="144"/>
              <w:ind w:right="363"/>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7" w:type="dxa"/>
            <w:tcBorders>
              <w:left w:val="single" w:sz="6" w:space="0" w:color="000000"/>
            </w:tcBorders>
          </w:tcPr>
          <w:p w14:paraId="24D60CCB"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CE3" w14:textId="77777777">
        <w:trPr>
          <w:trHeight w:val="8053"/>
        </w:trPr>
        <w:tc>
          <w:tcPr>
            <w:tcW w:w="8042" w:type="dxa"/>
            <w:tcBorders>
              <w:right w:val="single" w:sz="6" w:space="0" w:color="000000"/>
            </w:tcBorders>
          </w:tcPr>
          <w:p w14:paraId="24D60CCD" w14:textId="77777777" w:rsidR="00245300" w:rsidRPr="00EC20A0" w:rsidRDefault="00F17249">
            <w:pPr>
              <w:pStyle w:val="TableParagraph"/>
              <w:spacing w:before="145"/>
              <w:ind w:left="130" w:right="138" w:hanging="1"/>
              <w:rPr>
                <w:b/>
              </w:rPr>
            </w:pPr>
            <w:r w:rsidRPr="00EC20A0">
              <w:rPr>
                <w:b/>
              </w:rPr>
              <w:t>Federal Debt Collection Authorities, as provided in 31 U.S.C. chapter 37 (31</w:t>
            </w:r>
            <w:r w:rsidRPr="00EC20A0">
              <w:rPr>
                <w:b/>
                <w:spacing w:val="-3"/>
              </w:rPr>
              <w:t xml:space="preserve"> </w:t>
            </w:r>
            <w:r w:rsidRPr="00EC20A0">
              <w:rPr>
                <w:b/>
              </w:rPr>
              <w:t>U.S.C.</w:t>
            </w:r>
            <w:r w:rsidRPr="00EC20A0">
              <w:rPr>
                <w:b/>
                <w:spacing w:val="-3"/>
              </w:rPr>
              <w:t xml:space="preserve"> </w:t>
            </w:r>
            <w:r w:rsidRPr="00EC20A0">
              <w:rPr>
                <w:b/>
              </w:rPr>
              <w:t>§</w:t>
            </w:r>
            <w:r w:rsidRPr="00EC20A0">
              <w:rPr>
                <w:b/>
                <w:spacing w:val="-2"/>
              </w:rPr>
              <w:t xml:space="preserve"> </w:t>
            </w:r>
            <w:r w:rsidRPr="00EC20A0">
              <w:rPr>
                <w:b/>
              </w:rPr>
              <w:t>3711;</w:t>
            </w:r>
            <w:r w:rsidRPr="00EC20A0">
              <w:rPr>
                <w:b/>
                <w:spacing w:val="-3"/>
              </w:rPr>
              <w:t xml:space="preserve"> </w:t>
            </w:r>
            <w:r w:rsidRPr="00EC20A0">
              <w:rPr>
                <w:b/>
              </w:rPr>
              <w:t>31</w:t>
            </w:r>
            <w:r w:rsidRPr="00EC20A0">
              <w:rPr>
                <w:b/>
                <w:spacing w:val="-3"/>
              </w:rPr>
              <w:t xml:space="preserve"> </w:t>
            </w:r>
            <w:r w:rsidRPr="00EC20A0">
              <w:rPr>
                <w:b/>
              </w:rPr>
              <w:t>U.S.C.</w:t>
            </w:r>
            <w:r w:rsidRPr="00EC20A0">
              <w:rPr>
                <w:b/>
                <w:spacing w:val="-3"/>
              </w:rPr>
              <w:t xml:space="preserve"> </w:t>
            </w:r>
            <w:r w:rsidRPr="00EC20A0">
              <w:rPr>
                <w:b/>
              </w:rPr>
              <w:t>§</w:t>
            </w:r>
            <w:r w:rsidRPr="00EC20A0">
              <w:rPr>
                <w:b/>
                <w:spacing w:val="-3"/>
              </w:rPr>
              <w:t xml:space="preserve"> </w:t>
            </w:r>
            <w:r w:rsidRPr="00EC20A0">
              <w:rPr>
                <w:b/>
              </w:rPr>
              <w:t>3717(a),</w:t>
            </w:r>
            <w:r w:rsidRPr="00EC20A0">
              <w:rPr>
                <w:b/>
                <w:spacing w:val="-3"/>
              </w:rPr>
              <w:t xml:space="preserve"> </w:t>
            </w:r>
            <w:r w:rsidRPr="00EC20A0">
              <w:rPr>
                <w:b/>
              </w:rPr>
              <w:t>(b),</w:t>
            </w:r>
            <w:r w:rsidRPr="00EC20A0">
              <w:rPr>
                <w:b/>
                <w:spacing w:val="-3"/>
              </w:rPr>
              <w:t xml:space="preserve"> </w:t>
            </w:r>
            <w:r w:rsidRPr="00EC20A0">
              <w:rPr>
                <w:b/>
              </w:rPr>
              <w:t>(c),</w:t>
            </w:r>
            <w:r w:rsidRPr="00EC20A0">
              <w:rPr>
                <w:b/>
                <w:spacing w:val="-3"/>
              </w:rPr>
              <w:t xml:space="preserve"> </w:t>
            </w:r>
            <w:r w:rsidRPr="00EC20A0">
              <w:rPr>
                <w:b/>
              </w:rPr>
              <w:t>(e),</w:t>
            </w:r>
            <w:r w:rsidRPr="00EC20A0">
              <w:rPr>
                <w:b/>
                <w:spacing w:val="-3"/>
              </w:rPr>
              <w:t xml:space="preserve"> </w:t>
            </w:r>
            <w:r w:rsidRPr="00EC20A0">
              <w:rPr>
                <w:b/>
              </w:rPr>
              <w:t>(f);</w:t>
            </w:r>
            <w:r w:rsidRPr="00EC20A0">
              <w:rPr>
                <w:b/>
                <w:spacing w:val="-3"/>
              </w:rPr>
              <w:t xml:space="preserve"> </w:t>
            </w:r>
            <w:r w:rsidRPr="00EC20A0">
              <w:rPr>
                <w:b/>
              </w:rPr>
              <w:t>and</w:t>
            </w:r>
            <w:r w:rsidRPr="00EC20A0">
              <w:rPr>
                <w:b/>
                <w:spacing w:val="-3"/>
              </w:rPr>
              <w:t xml:space="preserve"> </w:t>
            </w:r>
            <w:r w:rsidRPr="00EC20A0">
              <w:rPr>
                <w:b/>
              </w:rPr>
              <w:t>31</w:t>
            </w:r>
            <w:r w:rsidRPr="00EC20A0">
              <w:rPr>
                <w:b/>
                <w:spacing w:val="-3"/>
              </w:rPr>
              <w:t xml:space="preserve"> </w:t>
            </w:r>
            <w:r w:rsidRPr="00EC20A0">
              <w:rPr>
                <w:b/>
              </w:rPr>
              <w:t>U.S.C.</w:t>
            </w:r>
            <w:r w:rsidRPr="00EC20A0">
              <w:rPr>
                <w:b/>
                <w:spacing w:val="-3"/>
              </w:rPr>
              <w:t xml:space="preserve"> </w:t>
            </w:r>
            <w:r w:rsidRPr="00EC20A0">
              <w:rPr>
                <w:b/>
              </w:rPr>
              <w:t>§</w:t>
            </w:r>
            <w:r w:rsidRPr="00EC20A0">
              <w:rPr>
                <w:b/>
                <w:spacing w:val="-2"/>
              </w:rPr>
              <w:t xml:space="preserve"> </w:t>
            </w:r>
            <w:r w:rsidRPr="00EC20A0">
              <w:rPr>
                <w:b/>
              </w:rPr>
              <w:t>3719)</w:t>
            </w:r>
          </w:p>
          <w:p w14:paraId="24D60CCE" w14:textId="77777777" w:rsidR="00245300" w:rsidRPr="00EC20A0" w:rsidRDefault="00F17249">
            <w:pPr>
              <w:pStyle w:val="TableParagraph"/>
              <w:spacing w:before="98"/>
              <w:ind w:left="2678"/>
            </w:pPr>
            <w:r w:rsidRPr="00EC20A0">
              <w:t>(continued</w:t>
            </w:r>
            <w:r w:rsidRPr="00EC20A0">
              <w:rPr>
                <w:spacing w:val="-8"/>
              </w:rPr>
              <w:t xml:space="preserve"> </w:t>
            </w:r>
            <w:r w:rsidRPr="00EC20A0">
              <w:t>from</w:t>
            </w:r>
            <w:r w:rsidRPr="00EC20A0">
              <w:rPr>
                <w:spacing w:val="-8"/>
              </w:rPr>
              <w:t xml:space="preserve"> </w:t>
            </w:r>
            <w:r w:rsidRPr="00EC20A0">
              <w:t>prior</w:t>
            </w:r>
            <w:r w:rsidRPr="00EC20A0">
              <w:rPr>
                <w:spacing w:val="-7"/>
              </w:rPr>
              <w:t xml:space="preserve"> </w:t>
            </w:r>
            <w:r w:rsidRPr="00EC20A0">
              <w:rPr>
                <w:spacing w:val="-2"/>
              </w:rPr>
              <w:t>page)</w:t>
            </w:r>
          </w:p>
          <w:p w14:paraId="24D60CCF" w14:textId="77777777" w:rsidR="00245300" w:rsidRPr="00EC20A0" w:rsidRDefault="00245300">
            <w:pPr>
              <w:pStyle w:val="TableParagraph"/>
              <w:spacing w:before="29"/>
            </w:pPr>
          </w:p>
          <w:p w14:paraId="24D60CD0" w14:textId="77777777" w:rsidR="00245300" w:rsidRPr="00EC20A0" w:rsidRDefault="00F17249">
            <w:pPr>
              <w:pStyle w:val="TableParagraph"/>
              <w:tabs>
                <w:tab w:val="left" w:pos="6805"/>
              </w:tabs>
              <w:ind w:left="4530"/>
            </w:pPr>
            <w:r w:rsidRPr="00EC20A0">
              <w:rPr>
                <w:spacing w:val="-2"/>
                <w:u w:val="single"/>
              </w:rPr>
              <w:t>Preliminary</w:t>
            </w:r>
            <w:r w:rsidRPr="00EC20A0">
              <w:tab/>
            </w:r>
            <w:r w:rsidRPr="00EC20A0">
              <w:rPr>
                <w:spacing w:val="-2"/>
                <w:u w:val="single"/>
              </w:rPr>
              <w:t>Final</w:t>
            </w:r>
          </w:p>
          <w:p w14:paraId="24D60CD1" w14:textId="77777777" w:rsidR="00245300" w:rsidRPr="00EC20A0" w:rsidRDefault="00245300">
            <w:pPr>
              <w:pStyle w:val="TableParagraph"/>
              <w:spacing w:before="35"/>
            </w:pPr>
          </w:p>
          <w:p w14:paraId="24D60CD2" w14:textId="77777777" w:rsidR="00245300" w:rsidRPr="00EC20A0" w:rsidRDefault="00F17249">
            <w:pPr>
              <w:pStyle w:val="TableParagraph"/>
              <w:ind w:left="297" w:right="4628"/>
            </w:pPr>
            <w:r w:rsidRPr="00EC20A0">
              <w:t>Cumulative amount of receivables</w:t>
            </w:r>
            <w:r w:rsidRPr="00EC20A0">
              <w:rPr>
                <w:spacing w:val="-14"/>
              </w:rPr>
              <w:t xml:space="preserve"> </w:t>
            </w:r>
            <w:r w:rsidRPr="00EC20A0">
              <w:t>created</w:t>
            </w:r>
            <w:r w:rsidRPr="00EC20A0">
              <w:rPr>
                <w:spacing w:val="-13"/>
              </w:rPr>
              <w:t xml:space="preserve"> </w:t>
            </w:r>
            <w:r w:rsidRPr="00EC20A0">
              <w:t>during</w:t>
            </w:r>
            <w:r w:rsidRPr="00EC20A0">
              <w:rPr>
                <w:spacing w:val="-13"/>
              </w:rPr>
              <w:t xml:space="preserve"> </w:t>
            </w:r>
            <w:r w:rsidRPr="00EC20A0">
              <w:t xml:space="preserve">the audit period that is subject to the Federal Debt Collection </w:t>
            </w:r>
            <w:r w:rsidRPr="00EC20A0">
              <w:rPr>
                <w:spacing w:val="-2"/>
              </w:rPr>
              <w:t>Authorities</w:t>
            </w:r>
          </w:p>
          <w:p w14:paraId="24D60CD3" w14:textId="77777777" w:rsidR="00245300" w:rsidRPr="00EC20A0" w:rsidRDefault="00245300">
            <w:pPr>
              <w:pStyle w:val="TableParagraph"/>
              <w:spacing w:before="6"/>
              <w:rPr>
                <w:sz w:val="12"/>
              </w:rPr>
            </w:pPr>
          </w:p>
          <w:p w14:paraId="24D60CD4" w14:textId="77777777" w:rsidR="00245300" w:rsidRPr="00EC20A0" w:rsidRDefault="00F17249">
            <w:pPr>
              <w:pStyle w:val="TableParagraph"/>
              <w:spacing w:line="20" w:lineRule="exact"/>
              <w:ind w:left="4061"/>
              <w:rPr>
                <w:sz w:val="2"/>
              </w:rPr>
            </w:pPr>
            <w:r w:rsidRPr="00EC20A0">
              <w:rPr>
                <w:noProof/>
                <w:sz w:val="2"/>
              </w:rPr>
              <mc:AlternateContent>
                <mc:Choice Requires="wpg">
                  <w:drawing>
                    <wp:inline distT="0" distB="0" distL="0" distR="0" wp14:anchorId="24D62B2B" wp14:editId="24D62B2C">
                      <wp:extent cx="1295400" cy="3175"/>
                      <wp:effectExtent l="0" t="0" r="0" b="0"/>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15" name="Graphic 315"/>
                              <wps:cNvSpPr/>
                              <wps:spPr>
                                <a:xfrm>
                                  <a:off x="0" y="0"/>
                                  <a:ext cx="1295400" cy="3175"/>
                                </a:xfrm>
                                <a:custGeom>
                                  <a:avLst/>
                                  <a:gdLst/>
                                  <a:ahLst/>
                                  <a:cxnLst/>
                                  <a:rect l="l" t="t" r="r" b="b"/>
                                  <a:pathLst>
                                    <a:path w="1295400" h="3175">
                                      <a:moveTo>
                                        <a:pt x="1295400" y="0"/>
                                      </a:moveTo>
                                      <a:lnTo>
                                        <a:pt x="0" y="0"/>
                                      </a:lnTo>
                                      <a:lnTo>
                                        <a:pt x="0" y="3035"/>
                                      </a:lnTo>
                                      <a:lnTo>
                                        <a:pt x="1295400" y="3035"/>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3F6767" id="Group 314"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">
                      <v:shape id="Graphic 31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" path="m1295400,l,,,3035r1295400,l1295400,xe" fillcolor="black" stroked="f">
                        <v:path arrowok="t"/>
                      </v:shape>
                      <w10:anchorlock/>
                    </v:group>
                  </w:pict>
                </mc:Fallback>
              </mc:AlternateContent>
            </w:r>
          </w:p>
          <w:p w14:paraId="24D60CD5" w14:textId="77777777" w:rsidR="00245300" w:rsidRPr="00EC20A0" w:rsidRDefault="00F17249">
            <w:pPr>
              <w:pStyle w:val="TableParagraph"/>
              <w:spacing w:before="129"/>
              <w:ind w:left="297"/>
            </w:pPr>
            <w:r w:rsidRPr="00EC20A0">
              <w:rPr>
                <w:spacing w:val="-5"/>
              </w:rPr>
              <w:t>or</w:t>
            </w:r>
          </w:p>
          <w:p w14:paraId="24D60CD6" w14:textId="77777777" w:rsidR="00245300" w:rsidRPr="00EC20A0" w:rsidRDefault="00245300">
            <w:pPr>
              <w:pStyle w:val="TableParagraph"/>
              <w:spacing w:before="35"/>
            </w:pPr>
          </w:p>
          <w:p w14:paraId="24D60CD7" w14:textId="77777777" w:rsidR="00245300" w:rsidRPr="00EC20A0" w:rsidRDefault="00F17249">
            <w:pPr>
              <w:pStyle w:val="TableParagraph"/>
              <w:ind w:left="297" w:right="4628"/>
            </w:pPr>
            <w:r w:rsidRPr="00EC20A0">
              <w:t>Amount of receivables at the end</w:t>
            </w:r>
            <w:r w:rsidRPr="00EC20A0">
              <w:rPr>
                <w:spacing w:val="-7"/>
              </w:rPr>
              <w:t xml:space="preserve"> </w:t>
            </w:r>
            <w:r w:rsidRPr="00EC20A0">
              <w:t>of</w:t>
            </w:r>
            <w:r w:rsidRPr="00EC20A0">
              <w:rPr>
                <w:spacing w:val="-7"/>
              </w:rPr>
              <w:t xml:space="preserve"> </w:t>
            </w:r>
            <w:r w:rsidRPr="00EC20A0">
              <w:t>the</w:t>
            </w:r>
            <w:r w:rsidRPr="00EC20A0">
              <w:rPr>
                <w:spacing w:val="-7"/>
              </w:rPr>
              <w:t xml:space="preserve"> </w:t>
            </w:r>
            <w:r w:rsidRPr="00EC20A0">
              <w:t>audit</w:t>
            </w:r>
            <w:r w:rsidRPr="00EC20A0">
              <w:rPr>
                <w:spacing w:val="-7"/>
              </w:rPr>
              <w:t xml:space="preserve"> </w:t>
            </w:r>
            <w:r w:rsidRPr="00EC20A0">
              <w:t>period</w:t>
            </w:r>
            <w:r w:rsidRPr="00EC20A0">
              <w:rPr>
                <w:spacing w:val="-7"/>
              </w:rPr>
              <w:t xml:space="preserve"> </w:t>
            </w:r>
            <w:r w:rsidRPr="00EC20A0">
              <w:t>that</w:t>
            </w:r>
            <w:r w:rsidRPr="00EC20A0">
              <w:rPr>
                <w:spacing w:val="-7"/>
              </w:rPr>
              <w:t xml:space="preserve"> </w:t>
            </w:r>
            <w:r w:rsidRPr="00EC20A0">
              <w:t xml:space="preserve">is </w:t>
            </w:r>
            <w:r w:rsidRPr="00EC20A0">
              <w:t>subject to the Federal Debt Collection Authorities</w:t>
            </w:r>
          </w:p>
          <w:p w14:paraId="24D60CD8" w14:textId="77777777" w:rsidR="00245300" w:rsidRPr="00EC20A0" w:rsidRDefault="00245300">
            <w:pPr>
              <w:pStyle w:val="TableParagraph"/>
              <w:spacing w:before="5"/>
              <w:rPr>
                <w:sz w:val="12"/>
              </w:rPr>
            </w:pPr>
          </w:p>
          <w:p w14:paraId="24D60CD9" w14:textId="77777777" w:rsidR="00245300" w:rsidRPr="00EC20A0" w:rsidRDefault="00F17249">
            <w:pPr>
              <w:pStyle w:val="TableParagraph"/>
              <w:spacing w:line="20" w:lineRule="exact"/>
              <w:ind w:left="4061"/>
              <w:rPr>
                <w:sz w:val="2"/>
              </w:rPr>
            </w:pPr>
            <w:r w:rsidRPr="00EC20A0">
              <w:rPr>
                <w:noProof/>
                <w:sz w:val="2"/>
              </w:rPr>
              <mc:AlternateContent>
                <mc:Choice Requires="wpg">
                  <w:drawing>
                    <wp:inline distT="0" distB="0" distL="0" distR="0" wp14:anchorId="24D62B2D" wp14:editId="24D62B2E">
                      <wp:extent cx="1295400" cy="3175"/>
                      <wp:effectExtent l="0" t="0" r="0"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17" name="Graphic 317"/>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C2D8F9" id="Group 316"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">
                      <v:shape id="Graphic 317"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" path="m1295400,l,,,3048r1295400,l1295400,xe" fillcolor="black" stroked="f">
                        <v:path arrowok="t"/>
                      </v:shape>
                      <w10:anchorlock/>
                    </v:group>
                  </w:pict>
                </mc:Fallback>
              </mc:AlternateContent>
            </w:r>
          </w:p>
          <w:p w14:paraId="24D60CDA" w14:textId="77777777" w:rsidR="00245300" w:rsidRPr="00EC20A0" w:rsidRDefault="00F17249">
            <w:pPr>
              <w:pStyle w:val="TableParagraph"/>
              <w:spacing w:before="129"/>
              <w:ind w:left="297"/>
            </w:pPr>
            <w:r w:rsidRPr="00EC20A0">
              <w:rPr>
                <w:spacing w:val="-2"/>
              </w:rPr>
              <w:t>Materiality</w:t>
            </w:r>
          </w:p>
          <w:p w14:paraId="24D60CDB" w14:textId="77777777" w:rsidR="00245300" w:rsidRPr="00EC20A0" w:rsidRDefault="00245300">
            <w:pPr>
              <w:pStyle w:val="TableParagraph"/>
              <w:spacing w:before="6"/>
              <w:rPr>
                <w:sz w:val="12"/>
              </w:rPr>
            </w:pPr>
          </w:p>
          <w:p w14:paraId="24D60CDC" w14:textId="77777777" w:rsidR="00245300" w:rsidRPr="00EC20A0" w:rsidRDefault="00F17249">
            <w:pPr>
              <w:pStyle w:val="TableParagraph"/>
              <w:spacing w:line="20" w:lineRule="exact"/>
              <w:ind w:left="4061"/>
              <w:rPr>
                <w:sz w:val="2"/>
              </w:rPr>
            </w:pPr>
            <w:r w:rsidRPr="00EC20A0">
              <w:rPr>
                <w:noProof/>
                <w:sz w:val="2"/>
              </w:rPr>
              <mc:AlternateContent>
                <mc:Choice Requires="wpg">
                  <w:drawing>
                    <wp:inline distT="0" distB="0" distL="0" distR="0" wp14:anchorId="24D62B2F" wp14:editId="24D62B30">
                      <wp:extent cx="1295400" cy="3175"/>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19" name="Graphic 31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DB58BB" id="Group 318"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">
                      <v:shape id="Graphic 31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" path="m1295400,l,,,3048r1295400,l1295400,xe" fillcolor="black" stroked="f">
                        <v:path arrowok="t"/>
                      </v:shape>
                      <w10:anchorlock/>
                    </v:group>
                  </w:pict>
                </mc:Fallback>
              </mc:AlternateContent>
            </w:r>
          </w:p>
          <w:p w14:paraId="24D60CDD" w14:textId="77777777" w:rsidR="00245300" w:rsidRPr="00EC20A0" w:rsidRDefault="00245300">
            <w:pPr>
              <w:pStyle w:val="TableParagraph"/>
            </w:pPr>
          </w:p>
          <w:p w14:paraId="24D60CDE" w14:textId="77777777" w:rsidR="00245300" w:rsidRPr="00EC20A0" w:rsidRDefault="00245300">
            <w:pPr>
              <w:pStyle w:val="TableParagraph"/>
              <w:spacing w:before="94"/>
            </w:pPr>
          </w:p>
          <w:p w14:paraId="24D60CDF" w14:textId="77777777" w:rsidR="00245300" w:rsidRPr="00EC20A0" w:rsidRDefault="00F17249">
            <w:pPr>
              <w:pStyle w:val="TableParagraph"/>
              <w:ind w:left="129"/>
            </w:pPr>
            <w:r w:rsidRPr="00EC20A0">
              <w:t>If</w:t>
            </w:r>
            <w:r w:rsidRPr="00EC20A0">
              <w:rPr>
                <w:spacing w:val="-7"/>
              </w:rPr>
              <w:t xml:space="preserve"> </w:t>
            </w:r>
            <w:r w:rsidRPr="00EC20A0">
              <w:t>yes,</w:t>
            </w:r>
            <w:r w:rsidRPr="00EC20A0">
              <w:rPr>
                <w:spacing w:val="-6"/>
              </w:rPr>
              <w:t xml:space="preserve"> </w:t>
            </w:r>
            <w:r w:rsidRPr="00EC20A0">
              <w:t>then</w:t>
            </w:r>
            <w:r w:rsidRPr="00EC20A0">
              <w:rPr>
                <w:spacing w:val="-7"/>
              </w:rPr>
              <w:t xml:space="preserve"> </w:t>
            </w:r>
            <w:r w:rsidRPr="00EC20A0">
              <w:t>complete</w:t>
            </w:r>
            <w:r w:rsidRPr="00EC20A0">
              <w:rPr>
                <w:spacing w:val="-6"/>
              </w:rPr>
              <w:t xml:space="preserve"> </w:t>
            </w:r>
            <w:r w:rsidRPr="00EC20A0">
              <w:t>the</w:t>
            </w:r>
            <w:r w:rsidRPr="00EC20A0">
              <w:rPr>
                <w:spacing w:val="-6"/>
              </w:rPr>
              <w:t xml:space="preserve"> </w:t>
            </w:r>
            <w:r w:rsidRPr="00EC20A0">
              <w:t>compliance</w:t>
            </w:r>
            <w:r w:rsidRPr="00EC20A0">
              <w:rPr>
                <w:spacing w:val="-7"/>
              </w:rPr>
              <w:t xml:space="preserve"> </w:t>
            </w:r>
            <w:r w:rsidRPr="00EC20A0">
              <w:t>supplement</w:t>
            </w:r>
            <w:r w:rsidRPr="00EC20A0">
              <w:rPr>
                <w:spacing w:val="-6"/>
              </w:rPr>
              <w:t xml:space="preserve"> </w:t>
            </w:r>
            <w:r w:rsidRPr="00EC20A0">
              <w:t>at</w:t>
            </w:r>
            <w:r w:rsidRPr="00EC20A0">
              <w:rPr>
                <w:spacing w:val="-6"/>
              </w:rPr>
              <w:t xml:space="preserve"> </w:t>
            </w:r>
            <w:r w:rsidRPr="00EC20A0">
              <w:t>FAM</w:t>
            </w:r>
            <w:r w:rsidRPr="00EC20A0">
              <w:rPr>
                <w:spacing w:val="-7"/>
              </w:rPr>
              <w:t xml:space="preserve"> </w:t>
            </w:r>
            <w:r w:rsidRPr="00EC20A0">
              <w:rPr>
                <w:spacing w:val="-4"/>
              </w:rPr>
              <w:t>805.</w:t>
            </w:r>
          </w:p>
          <w:p w14:paraId="24D60CE0" w14:textId="77777777" w:rsidR="00245300" w:rsidRPr="00EC20A0" w:rsidRDefault="00245300">
            <w:pPr>
              <w:pStyle w:val="TableParagraph"/>
              <w:spacing w:before="144"/>
            </w:pPr>
          </w:p>
          <w:p w14:paraId="24D60CE1" w14:textId="77777777" w:rsidR="00245300" w:rsidRPr="00EC20A0" w:rsidRDefault="00F17249">
            <w:pPr>
              <w:pStyle w:val="TableParagraph"/>
              <w:spacing w:before="1"/>
              <w:ind w:left="129"/>
            </w:pPr>
            <w:r w:rsidRPr="00EC20A0">
              <w:t xml:space="preserve">Note: These Federal Debt Collection Authorities generally do not apply to amounts payable to the entity under the </w:t>
            </w:r>
            <w:r w:rsidRPr="00EC20A0">
              <w:t>Internal Revenue Code, the Social Security</w:t>
            </w:r>
            <w:r w:rsidRPr="00EC20A0">
              <w:rPr>
                <w:spacing w:val="-3"/>
              </w:rPr>
              <w:t xml:space="preserve"> </w:t>
            </w:r>
            <w:r w:rsidRPr="00EC20A0">
              <w:t>Act,</w:t>
            </w:r>
            <w:r w:rsidRPr="00EC20A0">
              <w:rPr>
                <w:spacing w:val="-3"/>
              </w:rPr>
              <w:t xml:space="preserve"> </w:t>
            </w:r>
            <w:r w:rsidRPr="00EC20A0">
              <w:t>or</w:t>
            </w:r>
            <w:r w:rsidRPr="00EC20A0">
              <w:rPr>
                <w:spacing w:val="-3"/>
              </w:rPr>
              <w:t xml:space="preserve"> </w:t>
            </w:r>
            <w:r w:rsidRPr="00EC20A0">
              <w:t>the</w:t>
            </w:r>
            <w:r w:rsidRPr="00EC20A0">
              <w:rPr>
                <w:spacing w:val="-3"/>
              </w:rPr>
              <w:t xml:space="preserve"> </w:t>
            </w:r>
            <w:r w:rsidRPr="00EC20A0">
              <w:t>tariff</w:t>
            </w:r>
            <w:r w:rsidRPr="00EC20A0">
              <w:rPr>
                <w:spacing w:val="-4"/>
              </w:rPr>
              <w:t xml:space="preserve"> </w:t>
            </w:r>
            <w:r w:rsidRPr="00EC20A0">
              <w:t>laws.</w:t>
            </w:r>
            <w:r w:rsidRPr="00EC20A0">
              <w:rPr>
                <w:spacing w:val="-3"/>
              </w:rPr>
              <w:t xml:space="preserve"> </w:t>
            </w:r>
            <w:r w:rsidRPr="00EC20A0">
              <w:t>Those</w:t>
            </w:r>
            <w:r w:rsidRPr="00EC20A0">
              <w:rPr>
                <w:spacing w:val="-3"/>
              </w:rPr>
              <w:t xml:space="preserve"> </w:t>
            </w:r>
            <w:r w:rsidRPr="00EC20A0">
              <w:t>laws</w:t>
            </w:r>
            <w:r w:rsidRPr="00EC20A0">
              <w:rPr>
                <w:spacing w:val="-3"/>
              </w:rPr>
              <w:t xml:space="preserve"> </w:t>
            </w:r>
            <w:r w:rsidRPr="00EC20A0">
              <w:t>contain</w:t>
            </w:r>
            <w:r w:rsidRPr="00EC20A0">
              <w:rPr>
                <w:spacing w:val="-3"/>
              </w:rPr>
              <w:t xml:space="preserve"> </w:t>
            </w:r>
            <w:r w:rsidRPr="00EC20A0">
              <w:t>specific</w:t>
            </w:r>
            <w:r w:rsidRPr="00EC20A0">
              <w:rPr>
                <w:spacing w:val="-3"/>
              </w:rPr>
              <w:t xml:space="preserve"> </w:t>
            </w:r>
            <w:r w:rsidRPr="00EC20A0">
              <w:t>provisions</w:t>
            </w:r>
            <w:r w:rsidRPr="00EC20A0">
              <w:rPr>
                <w:spacing w:val="-3"/>
              </w:rPr>
              <w:t xml:space="preserve"> </w:t>
            </w:r>
            <w:r w:rsidRPr="00EC20A0">
              <w:t>for</w:t>
            </w:r>
            <w:r w:rsidRPr="00EC20A0">
              <w:rPr>
                <w:spacing w:val="-4"/>
              </w:rPr>
              <w:t xml:space="preserve"> </w:t>
            </w:r>
            <w:r w:rsidRPr="00EC20A0">
              <w:t xml:space="preserve">these </w:t>
            </w:r>
            <w:r w:rsidRPr="00EC20A0">
              <w:rPr>
                <w:spacing w:val="-2"/>
              </w:rPr>
              <w:t>amounts.</w:t>
            </w:r>
          </w:p>
        </w:tc>
        <w:tc>
          <w:tcPr>
            <w:tcW w:w="1317" w:type="dxa"/>
            <w:tcBorders>
              <w:left w:val="single" w:sz="6" w:space="0" w:color="000000"/>
            </w:tcBorders>
          </w:tcPr>
          <w:p w14:paraId="24D60CE2" w14:textId="77777777" w:rsidR="00245300" w:rsidRPr="00EC20A0" w:rsidRDefault="00245300">
            <w:pPr>
              <w:pStyle w:val="TableParagraph"/>
              <w:rPr>
                <w:sz w:val="20"/>
              </w:rPr>
            </w:pPr>
          </w:p>
        </w:tc>
      </w:tr>
    </w:tbl>
    <w:p w14:paraId="24D60CE4" w14:textId="77777777" w:rsidR="00245300" w:rsidRPr="00EC20A0" w:rsidRDefault="00245300">
      <w:pPr>
        <w:rPr>
          <w:sz w:val="20"/>
        </w:rPr>
        <w:sectPr w:rsidR="00245300" w:rsidRPr="00EC20A0">
          <w:pgSz w:w="12240" w:h="15840"/>
          <w:pgMar w:top="1340" w:right="1140" w:bottom="940" w:left="1320" w:header="721" w:footer="742" w:gutter="0"/>
          <w:cols w:space="720"/>
        </w:sectPr>
      </w:pP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245300" w:rsidRPr="00EC20A0" w14:paraId="24D60CE7" w14:textId="77777777">
        <w:trPr>
          <w:trHeight w:val="120"/>
        </w:trPr>
        <w:tc>
          <w:tcPr>
            <w:tcW w:w="8044" w:type="dxa"/>
            <w:tcBorders>
              <w:left w:val="nil"/>
              <w:bottom w:val="double" w:sz="6" w:space="0" w:color="000000"/>
              <w:right w:val="nil"/>
            </w:tcBorders>
          </w:tcPr>
          <w:p w14:paraId="24D60CE5" w14:textId="77777777" w:rsidR="00245300" w:rsidRPr="00EC20A0" w:rsidRDefault="00245300">
            <w:pPr>
              <w:pStyle w:val="TableParagraph"/>
              <w:rPr>
                <w:sz w:val="6"/>
              </w:rPr>
            </w:pPr>
          </w:p>
        </w:tc>
        <w:tc>
          <w:tcPr>
            <w:tcW w:w="1319" w:type="dxa"/>
            <w:tcBorders>
              <w:left w:val="nil"/>
              <w:bottom w:val="double" w:sz="6" w:space="0" w:color="000000"/>
              <w:right w:val="nil"/>
            </w:tcBorders>
          </w:tcPr>
          <w:p w14:paraId="24D60CE6" w14:textId="77777777" w:rsidR="00245300" w:rsidRPr="00EC20A0" w:rsidRDefault="00245300">
            <w:pPr>
              <w:pStyle w:val="TableParagraph"/>
              <w:rPr>
                <w:sz w:val="6"/>
              </w:rPr>
            </w:pPr>
          </w:p>
        </w:tc>
      </w:tr>
      <w:tr w:rsidR="00245300" w:rsidRPr="00EC20A0" w14:paraId="24D60CEA"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24D60CE8" w14:textId="77777777" w:rsidR="00245300" w:rsidRPr="00EC20A0" w:rsidRDefault="00F17249">
            <w:pPr>
              <w:pStyle w:val="TableParagraph"/>
              <w:spacing w:before="144"/>
              <w:ind w:right="362"/>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24D60CE9"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D03" w14:textId="77777777">
        <w:trPr>
          <w:trHeight w:val="3450"/>
        </w:trPr>
        <w:tc>
          <w:tcPr>
            <w:tcW w:w="8044" w:type="dxa"/>
            <w:tcBorders>
              <w:top w:val="double" w:sz="6" w:space="0" w:color="000000"/>
              <w:left w:val="double" w:sz="6" w:space="0" w:color="000000"/>
              <w:bottom w:val="nil"/>
              <w:right w:val="single" w:sz="6" w:space="0" w:color="000000"/>
            </w:tcBorders>
          </w:tcPr>
          <w:p w14:paraId="24D60CEB" w14:textId="77777777" w:rsidR="00245300" w:rsidRPr="00EC20A0" w:rsidRDefault="00F17249">
            <w:pPr>
              <w:pStyle w:val="TableParagraph"/>
              <w:spacing w:before="145"/>
              <w:ind w:left="131"/>
              <w:rPr>
                <w:b/>
              </w:rPr>
            </w:pPr>
            <w:r w:rsidRPr="00EC20A0">
              <w:rPr>
                <w:b/>
              </w:rPr>
              <w:t>Prompt</w:t>
            </w:r>
            <w:r w:rsidRPr="00EC20A0">
              <w:rPr>
                <w:b/>
                <w:spacing w:val="-6"/>
              </w:rPr>
              <w:t xml:space="preserve"> </w:t>
            </w:r>
            <w:r w:rsidRPr="00EC20A0">
              <w:rPr>
                <w:b/>
              </w:rPr>
              <w:t>Payment</w:t>
            </w:r>
            <w:r w:rsidRPr="00EC20A0">
              <w:rPr>
                <w:b/>
                <w:spacing w:val="-6"/>
              </w:rPr>
              <w:t xml:space="preserve"> </w:t>
            </w:r>
            <w:r w:rsidRPr="00EC20A0">
              <w:rPr>
                <w:b/>
              </w:rPr>
              <w:t>Act</w:t>
            </w:r>
            <w:r w:rsidRPr="00EC20A0">
              <w:rPr>
                <w:b/>
                <w:spacing w:val="-6"/>
              </w:rPr>
              <w:t xml:space="preserve"> </w:t>
            </w:r>
            <w:r w:rsidRPr="00EC20A0">
              <w:rPr>
                <w:b/>
              </w:rPr>
              <w:t>(PPA),</w:t>
            </w:r>
            <w:r w:rsidRPr="00EC20A0">
              <w:rPr>
                <w:b/>
                <w:spacing w:val="-6"/>
              </w:rPr>
              <w:t xml:space="preserve"> </w:t>
            </w:r>
            <w:r w:rsidRPr="00EC20A0">
              <w:rPr>
                <w:b/>
              </w:rPr>
              <w:t>as</w:t>
            </w:r>
            <w:r w:rsidRPr="00EC20A0">
              <w:rPr>
                <w:b/>
                <w:spacing w:val="-5"/>
              </w:rPr>
              <w:t xml:space="preserve"> </w:t>
            </w:r>
            <w:r w:rsidRPr="00EC20A0">
              <w:rPr>
                <w:b/>
              </w:rPr>
              <w:t>provided</w:t>
            </w:r>
            <w:r w:rsidRPr="00EC20A0">
              <w:rPr>
                <w:b/>
                <w:spacing w:val="-6"/>
              </w:rPr>
              <w:t xml:space="preserve"> </w:t>
            </w:r>
            <w:r w:rsidRPr="00EC20A0">
              <w:rPr>
                <w:b/>
              </w:rPr>
              <w:t>in</w:t>
            </w:r>
            <w:r w:rsidRPr="00EC20A0">
              <w:rPr>
                <w:b/>
                <w:spacing w:val="-6"/>
              </w:rPr>
              <w:t xml:space="preserve"> </w:t>
            </w:r>
            <w:r w:rsidRPr="00EC20A0">
              <w:rPr>
                <w:b/>
              </w:rPr>
              <w:t>31</w:t>
            </w:r>
            <w:r w:rsidRPr="00EC20A0">
              <w:rPr>
                <w:b/>
                <w:spacing w:val="-7"/>
              </w:rPr>
              <w:t xml:space="preserve"> </w:t>
            </w:r>
            <w:r w:rsidRPr="00EC20A0">
              <w:rPr>
                <w:b/>
              </w:rPr>
              <w:t>U.S.C.</w:t>
            </w:r>
            <w:r w:rsidRPr="00EC20A0">
              <w:rPr>
                <w:b/>
                <w:spacing w:val="-5"/>
              </w:rPr>
              <w:t xml:space="preserve"> </w:t>
            </w:r>
            <w:r w:rsidRPr="00EC20A0">
              <w:rPr>
                <w:b/>
              </w:rPr>
              <w:t>chapter</w:t>
            </w:r>
            <w:r w:rsidRPr="00EC20A0">
              <w:rPr>
                <w:b/>
                <w:spacing w:val="-7"/>
              </w:rPr>
              <w:t xml:space="preserve"> </w:t>
            </w:r>
            <w:r w:rsidRPr="00EC20A0">
              <w:rPr>
                <w:b/>
              </w:rPr>
              <w:t>39</w:t>
            </w:r>
            <w:r w:rsidRPr="00EC20A0">
              <w:rPr>
                <w:b/>
                <w:spacing w:val="-6"/>
              </w:rPr>
              <w:t xml:space="preserve"> </w:t>
            </w:r>
            <w:r w:rsidRPr="00EC20A0">
              <w:rPr>
                <w:b/>
              </w:rPr>
              <w:t>(31</w:t>
            </w:r>
            <w:r w:rsidRPr="00EC20A0">
              <w:rPr>
                <w:b/>
                <w:spacing w:val="-6"/>
              </w:rPr>
              <w:t xml:space="preserve"> </w:t>
            </w:r>
            <w:r w:rsidRPr="00EC20A0">
              <w:rPr>
                <w:b/>
                <w:spacing w:val="-2"/>
              </w:rPr>
              <w:t>U.S.C.</w:t>
            </w:r>
          </w:p>
          <w:p w14:paraId="24D60CEC" w14:textId="77777777" w:rsidR="00245300" w:rsidRPr="00EC20A0" w:rsidRDefault="00F17249">
            <w:pPr>
              <w:pStyle w:val="TableParagraph"/>
              <w:ind w:left="131"/>
              <w:rPr>
                <w:b/>
              </w:rPr>
            </w:pPr>
            <w:r w:rsidRPr="00EC20A0">
              <w:rPr>
                <w:b/>
              </w:rPr>
              <w:t>§</w:t>
            </w:r>
            <w:r w:rsidRPr="00EC20A0">
              <w:rPr>
                <w:b/>
                <w:spacing w:val="-5"/>
              </w:rPr>
              <w:t xml:space="preserve"> </w:t>
            </w:r>
            <w:r w:rsidRPr="00EC20A0">
              <w:rPr>
                <w:b/>
              </w:rPr>
              <w:t>3902(a),</w:t>
            </w:r>
            <w:r w:rsidRPr="00EC20A0">
              <w:rPr>
                <w:b/>
                <w:spacing w:val="-4"/>
              </w:rPr>
              <w:t xml:space="preserve"> </w:t>
            </w:r>
            <w:r w:rsidRPr="00EC20A0">
              <w:rPr>
                <w:b/>
              </w:rPr>
              <w:t>(b),</w:t>
            </w:r>
            <w:r w:rsidRPr="00EC20A0">
              <w:rPr>
                <w:b/>
                <w:spacing w:val="-4"/>
              </w:rPr>
              <w:t xml:space="preserve"> </w:t>
            </w:r>
            <w:r w:rsidRPr="00EC20A0">
              <w:rPr>
                <w:b/>
              </w:rPr>
              <w:t>(f)</w:t>
            </w:r>
            <w:r w:rsidRPr="00EC20A0">
              <w:rPr>
                <w:b/>
                <w:spacing w:val="-4"/>
              </w:rPr>
              <w:t xml:space="preserve"> </w:t>
            </w:r>
            <w:r w:rsidRPr="00EC20A0">
              <w:rPr>
                <w:b/>
              </w:rPr>
              <w:t>and</w:t>
            </w:r>
            <w:r w:rsidRPr="00EC20A0">
              <w:rPr>
                <w:b/>
                <w:spacing w:val="-4"/>
              </w:rPr>
              <w:t xml:space="preserve"> </w:t>
            </w:r>
            <w:r w:rsidRPr="00EC20A0">
              <w:rPr>
                <w:b/>
              </w:rPr>
              <w:t>31</w:t>
            </w:r>
            <w:r w:rsidRPr="00EC20A0">
              <w:rPr>
                <w:b/>
                <w:spacing w:val="-4"/>
              </w:rPr>
              <w:t xml:space="preserve"> </w:t>
            </w:r>
            <w:r w:rsidRPr="00EC20A0">
              <w:rPr>
                <w:b/>
              </w:rPr>
              <w:t>U.S.C.</w:t>
            </w:r>
            <w:r w:rsidRPr="00EC20A0">
              <w:rPr>
                <w:b/>
                <w:spacing w:val="-4"/>
              </w:rPr>
              <w:t xml:space="preserve"> </w:t>
            </w:r>
            <w:r w:rsidRPr="00EC20A0">
              <w:rPr>
                <w:b/>
              </w:rPr>
              <w:t>§</w:t>
            </w:r>
            <w:r w:rsidRPr="00EC20A0">
              <w:rPr>
                <w:b/>
                <w:spacing w:val="-4"/>
              </w:rPr>
              <w:t xml:space="preserve"> </w:t>
            </w:r>
            <w:r w:rsidRPr="00EC20A0">
              <w:rPr>
                <w:b/>
                <w:spacing w:val="-2"/>
              </w:rPr>
              <w:t>3904)</w:t>
            </w:r>
          </w:p>
          <w:p w14:paraId="24D60CED" w14:textId="77777777" w:rsidR="00245300" w:rsidRPr="00EC20A0" w:rsidRDefault="00F17249">
            <w:pPr>
              <w:pStyle w:val="TableParagraph"/>
              <w:spacing w:before="143"/>
              <w:ind w:left="131" w:right="141"/>
            </w:pPr>
            <w:r w:rsidRPr="00EC20A0">
              <w:t>The Prompt Payment Act requires federal entities to make payments for property or services by the due dates specified in the related contracts or, if a payment date is not specified in a contract, generally 30 days after a proper invoice for the amount due is received. If payments are not made within the appropriate</w:t>
            </w:r>
            <w:r w:rsidRPr="00EC20A0">
              <w:rPr>
                <w:spacing w:val="-5"/>
              </w:rPr>
              <w:t xml:space="preserve"> </w:t>
            </w:r>
            <w:r w:rsidRPr="00EC20A0">
              <w:t>period,</w:t>
            </w:r>
            <w:r w:rsidRPr="00EC20A0">
              <w:rPr>
                <w:spacing w:val="-4"/>
              </w:rPr>
              <w:t xml:space="preserve"> </w:t>
            </w:r>
            <w:r w:rsidRPr="00EC20A0">
              <w:t>then</w:t>
            </w:r>
            <w:r w:rsidRPr="00EC20A0">
              <w:rPr>
                <w:spacing w:val="-5"/>
              </w:rPr>
              <w:t xml:space="preserve"> </w:t>
            </w:r>
            <w:r w:rsidRPr="00EC20A0">
              <w:t>the</w:t>
            </w:r>
            <w:r w:rsidRPr="00EC20A0">
              <w:rPr>
                <w:spacing w:val="-4"/>
              </w:rPr>
              <w:t xml:space="preserve"> </w:t>
            </w:r>
            <w:r w:rsidRPr="00EC20A0">
              <w:t>entity</w:t>
            </w:r>
            <w:r w:rsidRPr="00EC20A0">
              <w:rPr>
                <w:spacing w:val="-4"/>
              </w:rPr>
              <w:t xml:space="preserve"> </w:t>
            </w:r>
            <w:r w:rsidRPr="00EC20A0">
              <w:t>shall</w:t>
            </w:r>
            <w:r w:rsidRPr="00EC20A0">
              <w:rPr>
                <w:spacing w:val="-4"/>
              </w:rPr>
              <w:t xml:space="preserve"> </w:t>
            </w:r>
            <w:r w:rsidRPr="00EC20A0">
              <w:t>pay</w:t>
            </w:r>
            <w:r w:rsidRPr="00EC20A0">
              <w:rPr>
                <w:spacing w:val="-4"/>
              </w:rPr>
              <w:t xml:space="preserve"> </w:t>
            </w:r>
            <w:r w:rsidRPr="00EC20A0">
              <w:t>an</w:t>
            </w:r>
            <w:r w:rsidRPr="00EC20A0">
              <w:rPr>
                <w:spacing w:val="-5"/>
              </w:rPr>
              <w:t xml:space="preserve"> </w:t>
            </w:r>
            <w:r w:rsidRPr="00EC20A0">
              <w:t>interest</w:t>
            </w:r>
            <w:r w:rsidRPr="00EC20A0">
              <w:rPr>
                <w:spacing w:val="-4"/>
              </w:rPr>
              <w:t xml:space="preserve"> </w:t>
            </w:r>
            <w:r w:rsidRPr="00EC20A0">
              <w:t>penalty.</w:t>
            </w:r>
            <w:r w:rsidRPr="00EC20A0">
              <w:rPr>
                <w:spacing w:val="-4"/>
              </w:rPr>
              <w:t xml:space="preserve"> </w:t>
            </w:r>
            <w:r w:rsidRPr="00EC20A0">
              <w:t>Also,</w:t>
            </w:r>
            <w:r w:rsidRPr="00EC20A0">
              <w:rPr>
                <w:spacing w:val="-3"/>
              </w:rPr>
              <w:t xml:space="preserve"> </w:t>
            </w:r>
            <w:r w:rsidRPr="00EC20A0">
              <w:t xml:space="preserve">discounts offered by vendors may be taken only during the specified period. If they are taken after the time period has expired, then an interest penalty shall be paid. Further, federal entities may only pay late payment interest penalties out of amounts made available to carry out the programs for which the penalties are </w:t>
            </w:r>
            <w:r w:rsidRPr="00EC20A0">
              <w:rPr>
                <w:spacing w:val="-2"/>
              </w:rPr>
              <w:t>incurred.</w:t>
            </w:r>
          </w:p>
        </w:tc>
        <w:tc>
          <w:tcPr>
            <w:tcW w:w="1319" w:type="dxa"/>
            <w:vMerge w:val="restart"/>
            <w:tcBorders>
              <w:top w:val="double" w:sz="6" w:space="0" w:color="000000"/>
              <w:left w:val="single" w:sz="6" w:space="0" w:color="000000"/>
              <w:bottom w:val="double" w:sz="6" w:space="0" w:color="000000"/>
              <w:right w:val="double" w:sz="6" w:space="0" w:color="000000"/>
            </w:tcBorders>
          </w:tcPr>
          <w:p w14:paraId="24D60CEE" w14:textId="77777777" w:rsidR="00245300" w:rsidRPr="00EC20A0" w:rsidRDefault="00245300">
            <w:pPr>
              <w:pStyle w:val="TableParagraph"/>
              <w:rPr>
                <w:sz w:val="20"/>
              </w:rPr>
            </w:pPr>
          </w:p>
          <w:p w14:paraId="24D60CEF" w14:textId="77777777" w:rsidR="00245300" w:rsidRPr="00EC20A0" w:rsidRDefault="00245300">
            <w:pPr>
              <w:pStyle w:val="TableParagraph"/>
              <w:rPr>
                <w:sz w:val="20"/>
              </w:rPr>
            </w:pPr>
          </w:p>
          <w:p w14:paraId="24D60CF0" w14:textId="77777777" w:rsidR="00245300" w:rsidRPr="00EC20A0" w:rsidRDefault="00245300">
            <w:pPr>
              <w:pStyle w:val="TableParagraph"/>
              <w:rPr>
                <w:sz w:val="20"/>
              </w:rPr>
            </w:pPr>
          </w:p>
          <w:p w14:paraId="24D60CF1" w14:textId="77777777" w:rsidR="00245300" w:rsidRPr="00EC20A0" w:rsidRDefault="00245300">
            <w:pPr>
              <w:pStyle w:val="TableParagraph"/>
              <w:rPr>
                <w:sz w:val="20"/>
              </w:rPr>
            </w:pPr>
          </w:p>
          <w:p w14:paraId="24D60CF2" w14:textId="77777777" w:rsidR="00245300" w:rsidRPr="00EC20A0" w:rsidRDefault="00245300">
            <w:pPr>
              <w:pStyle w:val="TableParagraph"/>
              <w:rPr>
                <w:sz w:val="20"/>
              </w:rPr>
            </w:pPr>
          </w:p>
          <w:p w14:paraId="24D60CF3" w14:textId="77777777" w:rsidR="00245300" w:rsidRPr="00EC20A0" w:rsidRDefault="00245300">
            <w:pPr>
              <w:pStyle w:val="TableParagraph"/>
              <w:rPr>
                <w:sz w:val="20"/>
              </w:rPr>
            </w:pPr>
          </w:p>
          <w:p w14:paraId="24D60CF4" w14:textId="77777777" w:rsidR="00245300" w:rsidRPr="00EC20A0" w:rsidRDefault="00245300">
            <w:pPr>
              <w:pStyle w:val="TableParagraph"/>
              <w:rPr>
                <w:sz w:val="20"/>
              </w:rPr>
            </w:pPr>
          </w:p>
          <w:p w14:paraId="24D60CF5" w14:textId="77777777" w:rsidR="00245300" w:rsidRPr="00EC20A0" w:rsidRDefault="00245300">
            <w:pPr>
              <w:pStyle w:val="TableParagraph"/>
              <w:rPr>
                <w:sz w:val="20"/>
              </w:rPr>
            </w:pPr>
          </w:p>
          <w:p w14:paraId="24D60CF6" w14:textId="77777777" w:rsidR="00245300" w:rsidRPr="00EC20A0" w:rsidRDefault="00245300">
            <w:pPr>
              <w:pStyle w:val="TableParagraph"/>
              <w:rPr>
                <w:sz w:val="20"/>
              </w:rPr>
            </w:pPr>
          </w:p>
          <w:p w14:paraId="24D60CF7" w14:textId="77777777" w:rsidR="00245300" w:rsidRPr="00EC20A0" w:rsidRDefault="00245300">
            <w:pPr>
              <w:pStyle w:val="TableParagraph"/>
              <w:rPr>
                <w:sz w:val="20"/>
              </w:rPr>
            </w:pPr>
          </w:p>
          <w:p w14:paraId="24D60CF8" w14:textId="77777777" w:rsidR="00245300" w:rsidRPr="00EC20A0" w:rsidRDefault="00245300">
            <w:pPr>
              <w:pStyle w:val="TableParagraph"/>
              <w:rPr>
                <w:sz w:val="20"/>
              </w:rPr>
            </w:pPr>
          </w:p>
          <w:p w14:paraId="24D60CF9" w14:textId="77777777" w:rsidR="00245300" w:rsidRPr="00EC20A0" w:rsidRDefault="00245300">
            <w:pPr>
              <w:pStyle w:val="TableParagraph"/>
              <w:rPr>
                <w:sz w:val="20"/>
              </w:rPr>
            </w:pPr>
          </w:p>
          <w:p w14:paraId="24D60CFA" w14:textId="77777777" w:rsidR="00245300" w:rsidRPr="00EC20A0" w:rsidRDefault="00245300">
            <w:pPr>
              <w:pStyle w:val="TableParagraph"/>
              <w:rPr>
                <w:sz w:val="20"/>
              </w:rPr>
            </w:pPr>
          </w:p>
          <w:p w14:paraId="24D60CFB" w14:textId="77777777" w:rsidR="00245300" w:rsidRPr="00EC20A0" w:rsidRDefault="00245300">
            <w:pPr>
              <w:pStyle w:val="TableParagraph"/>
              <w:rPr>
                <w:sz w:val="20"/>
              </w:rPr>
            </w:pPr>
          </w:p>
          <w:p w14:paraId="24D60CFC" w14:textId="77777777" w:rsidR="00245300" w:rsidRPr="00EC20A0" w:rsidRDefault="00245300">
            <w:pPr>
              <w:pStyle w:val="TableParagraph"/>
              <w:rPr>
                <w:sz w:val="20"/>
              </w:rPr>
            </w:pPr>
          </w:p>
          <w:p w14:paraId="24D60CFD" w14:textId="77777777" w:rsidR="00245300" w:rsidRPr="00EC20A0" w:rsidRDefault="00245300">
            <w:pPr>
              <w:pStyle w:val="TableParagraph"/>
              <w:rPr>
                <w:sz w:val="20"/>
              </w:rPr>
            </w:pPr>
          </w:p>
          <w:p w14:paraId="24D60CFE" w14:textId="77777777" w:rsidR="00245300" w:rsidRPr="00EC20A0" w:rsidRDefault="00245300">
            <w:pPr>
              <w:pStyle w:val="TableParagraph"/>
              <w:rPr>
                <w:sz w:val="20"/>
              </w:rPr>
            </w:pPr>
          </w:p>
          <w:p w14:paraId="24D60CFF" w14:textId="77777777" w:rsidR="00245300" w:rsidRPr="00EC20A0" w:rsidRDefault="00245300">
            <w:pPr>
              <w:pStyle w:val="TableParagraph"/>
              <w:rPr>
                <w:sz w:val="20"/>
              </w:rPr>
            </w:pPr>
          </w:p>
          <w:p w14:paraId="24D60D00" w14:textId="77777777" w:rsidR="00245300" w:rsidRPr="00EC20A0" w:rsidRDefault="00245300">
            <w:pPr>
              <w:pStyle w:val="TableParagraph"/>
              <w:rPr>
                <w:sz w:val="20"/>
              </w:rPr>
            </w:pPr>
          </w:p>
          <w:p w14:paraId="24D60D01" w14:textId="77777777" w:rsidR="00245300" w:rsidRPr="00EC20A0" w:rsidRDefault="00245300">
            <w:pPr>
              <w:pStyle w:val="TableParagraph"/>
              <w:spacing w:before="50"/>
              <w:rPr>
                <w:sz w:val="20"/>
              </w:rPr>
            </w:pPr>
          </w:p>
          <w:p w14:paraId="24D60D02" w14:textId="77777777" w:rsidR="00245300" w:rsidRPr="00EC20A0" w:rsidRDefault="00F17249">
            <w:pPr>
              <w:pStyle w:val="TableParagraph"/>
              <w:spacing w:line="20" w:lineRule="exact"/>
              <w:ind w:left="145"/>
              <w:rPr>
                <w:sz w:val="2"/>
              </w:rPr>
            </w:pPr>
            <w:r w:rsidRPr="00EC20A0">
              <w:rPr>
                <w:noProof/>
                <w:sz w:val="2"/>
              </w:rPr>
              <mc:AlternateContent>
                <mc:Choice Requires="wpg">
                  <w:drawing>
                    <wp:inline distT="0" distB="0" distL="0" distR="0" wp14:anchorId="24D62B31" wp14:editId="24D62B32">
                      <wp:extent cx="621665" cy="8890"/>
                      <wp:effectExtent l="9525" t="0" r="0" b="635"/>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27" name="Graphic 327"/>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9096D3E" id="Group 326"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HMeqvxwAgAAjwUAAA4AAAAAAAAAAAAAAAAA&#10;LgIAAGRycy9lMm9Eb2MueG1sUEsBAi0AFAAGAAgAAAAhABFF7qTaAAAAAgEAAA8AAAAAAAAAAAAA&#10;AAAAygQAAGRycy9kb3ducmV2LnhtbFBLBQYAAAAABAAEAPMAAADRBQAAAAA=&#10;">
                      <v:shape id="Graphic 327"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" path="m,l621371,e" filled="f" strokeweight=".24403mm">
                        <v:path arrowok="t"/>
                      </v:shape>
                      <w10:anchorlock/>
                    </v:group>
                  </w:pict>
                </mc:Fallback>
              </mc:AlternateContent>
            </w:r>
          </w:p>
        </w:tc>
      </w:tr>
      <w:tr w:rsidR="00245300" w:rsidRPr="00EC20A0" w14:paraId="24D60D06" w14:textId="77777777">
        <w:trPr>
          <w:trHeight w:val="1132"/>
        </w:trPr>
        <w:tc>
          <w:tcPr>
            <w:tcW w:w="8044" w:type="dxa"/>
            <w:tcBorders>
              <w:top w:val="nil"/>
              <w:left w:val="double" w:sz="6" w:space="0" w:color="000000"/>
              <w:bottom w:val="nil"/>
              <w:right w:val="single" w:sz="6" w:space="0" w:color="000000"/>
            </w:tcBorders>
          </w:tcPr>
          <w:p w14:paraId="24D60D04" w14:textId="77777777" w:rsidR="00245300" w:rsidRPr="00EC20A0" w:rsidRDefault="00F17249">
            <w:pPr>
              <w:pStyle w:val="TableParagraph"/>
              <w:spacing w:before="100" w:line="250" w:lineRule="atLeast"/>
              <w:ind w:left="131" w:right="163"/>
              <w:rPr>
                <w:i/>
              </w:rPr>
            </w:pPr>
            <w:r w:rsidRPr="00EC20A0">
              <w:rPr>
                <w:i/>
              </w:rPr>
              <w:t>Do the entity’s payments for property or services subject to the Prompt Payment Act for the audit period exceed materiality, or did the auditor determine</w:t>
            </w:r>
            <w:r w:rsidRPr="00EC20A0">
              <w:rPr>
                <w:i/>
                <w:spacing w:val="-3"/>
              </w:rPr>
              <w:t xml:space="preserve"> </w:t>
            </w:r>
            <w:r w:rsidRPr="00EC20A0">
              <w:rPr>
                <w:i/>
              </w:rPr>
              <w:t>that</w:t>
            </w:r>
            <w:r w:rsidRPr="00EC20A0">
              <w:rPr>
                <w:i/>
                <w:spacing w:val="-3"/>
              </w:rPr>
              <w:t xml:space="preserve"> </w:t>
            </w:r>
            <w:r w:rsidRPr="00EC20A0">
              <w:rPr>
                <w:i/>
              </w:rPr>
              <w:t>the</w:t>
            </w:r>
            <w:r w:rsidRPr="00EC20A0">
              <w:rPr>
                <w:i/>
                <w:spacing w:val="-3"/>
              </w:rPr>
              <w:t xml:space="preserve"> </w:t>
            </w:r>
            <w:r w:rsidRPr="00EC20A0">
              <w:rPr>
                <w:i/>
              </w:rPr>
              <w:t>Prompt</w:t>
            </w:r>
            <w:r w:rsidRPr="00EC20A0">
              <w:rPr>
                <w:i/>
                <w:spacing w:val="-3"/>
              </w:rPr>
              <w:t xml:space="preserve"> </w:t>
            </w:r>
            <w:r w:rsidRPr="00EC20A0">
              <w:rPr>
                <w:i/>
              </w:rPr>
              <w:t>Payment</w:t>
            </w:r>
            <w:r w:rsidRPr="00EC20A0">
              <w:rPr>
                <w:i/>
                <w:spacing w:val="-3"/>
              </w:rPr>
              <w:t xml:space="preserve"> </w:t>
            </w:r>
            <w:r w:rsidRPr="00EC20A0">
              <w:rPr>
                <w:i/>
              </w:rPr>
              <w:t>Act</w:t>
            </w:r>
            <w:r w:rsidRPr="00EC20A0">
              <w:rPr>
                <w:i/>
                <w:spacing w:val="-3"/>
              </w:rPr>
              <w:t xml:space="preserve"> </w:t>
            </w:r>
            <w:r w:rsidRPr="00EC20A0">
              <w:rPr>
                <w:i/>
              </w:rPr>
              <w:t>has</w:t>
            </w:r>
            <w:r w:rsidRPr="00EC20A0">
              <w:rPr>
                <w:i/>
                <w:spacing w:val="-3"/>
              </w:rPr>
              <w:t xml:space="preserve"> </w:t>
            </w:r>
            <w:r w:rsidRPr="00EC20A0">
              <w:rPr>
                <w:i/>
              </w:rPr>
              <w:t>a</w:t>
            </w:r>
            <w:r w:rsidRPr="00EC20A0">
              <w:rPr>
                <w:i/>
                <w:spacing w:val="-3"/>
              </w:rPr>
              <w:t xml:space="preserve"> </w:t>
            </w:r>
            <w:r w:rsidRPr="00EC20A0">
              <w:rPr>
                <w:i/>
              </w:rPr>
              <w:t>direct</w:t>
            </w:r>
            <w:r w:rsidRPr="00EC20A0">
              <w:rPr>
                <w:i/>
                <w:spacing w:val="-3"/>
              </w:rPr>
              <w:t xml:space="preserve"> </w:t>
            </w:r>
            <w:r w:rsidRPr="00EC20A0">
              <w:rPr>
                <w:i/>
              </w:rPr>
              <w:t>effect</w:t>
            </w:r>
            <w:r w:rsidRPr="00EC20A0">
              <w:rPr>
                <w:i/>
                <w:spacing w:val="-3"/>
              </w:rPr>
              <w:t xml:space="preserve"> </w:t>
            </w:r>
            <w:r w:rsidRPr="00EC20A0">
              <w:rPr>
                <w:i/>
              </w:rPr>
              <w:t>on</w:t>
            </w:r>
            <w:r w:rsidRPr="00EC20A0">
              <w:rPr>
                <w:i/>
                <w:spacing w:val="-4"/>
              </w:rPr>
              <w:t xml:space="preserve"> </w:t>
            </w:r>
            <w:r w:rsidRPr="00EC20A0">
              <w:rPr>
                <w:i/>
              </w:rPr>
              <w:t>the</w:t>
            </w:r>
            <w:r w:rsidRPr="00EC20A0">
              <w:rPr>
                <w:i/>
                <w:spacing w:val="-3"/>
              </w:rPr>
              <w:t xml:space="preserve"> </w:t>
            </w:r>
            <w:r w:rsidRPr="00EC20A0">
              <w:rPr>
                <w:i/>
              </w:rPr>
              <w:t xml:space="preserve">determination of material </w:t>
            </w:r>
            <w:r w:rsidRPr="00EC20A0">
              <w:rPr>
                <w:i/>
              </w:rPr>
              <w:t>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24D60D05" w14:textId="77777777" w:rsidR="00245300" w:rsidRPr="00EC20A0" w:rsidRDefault="00245300">
            <w:pPr>
              <w:rPr>
                <w:sz w:val="2"/>
                <w:szCs w:val="2"/>
              </w:rPr>
            </w:pPr>
          </w:p>
        </w:tc>
      </w:tr>
      <w:tr w:rsidR="00245300" w:rsidRPr="00EC20A0" w14:paraId="24D60D0F" w14:textId="77777777">
        <w:trPr>
          <w:trHeight w:val="2245"/>
        </w:trPr>
        <w:tc>
          <w:tcPr>
            <w:tcW w:w="8044" w:type="dxa"/>
            <w:tcBorders>
              <w:top w:val="nil"/>
              <w:left w:val="double" w:sz="6" w:space="0" w:color="000000"/>
              <w:bottom w:val="nil"/>
              <w:right w:val="single" w:sz="6" w:space="0" w:color="000000"/>
            </w:tcBorders>
          </w:tcPr>
          <w:p w14:paraId="24D60D07" w14:textId="77777777" w:rsidR="00245300" w:rsidRPr="00EC20A0" w:rsidRDefault="00245300">
            <w:pPr>
              <w:pStyle w:val="TableParagraph"/>
              <w:spacing w:before="22"/>
            </w:pPr>
          </w:p>
          <w:p w14:paraId="24D60D08" w14:textId="77777777" w:rsidR="00245300" w:rsidRPr="00EC20A0" w:rsidRDefault="00F17249">
            <w:pPr>
              <w:pStyle w:val="TableParagraph"/>
              <w:tabs>
                <w:tab w:val="left" w:pos="6807"/>
              </w:tabs>
              <w:ind w:left="4532"/>
            </w:pPr>
            <w:r w:rsidRPr="00EC20A0">
              <w:rPr>
                <w:spacing w:val="-2"/>
                <w:u w:val="single"/>
              </w:rPr>
              <w:t>Preliminary</w:t>
            </w:r>
            <w:r w:rsidRPr="00EC20A0">
              <w:tab/>
            </w:r>
            <w:r w:rsidRPr="00EC20A0">
              <w:rPr>
                <w:spacing w:val="-2"/>
                <w:u w:val="single"/>
              </w:rPr>
              <w:t>Final</w:t>
            </w:r>
          </w:p>
          <w:p w14:paraId="24D60D09" w14:textId="77777777" w:rsidR="00245300" w:rsidRPr="00EC20A0" w:rsidRDefault="00245300">
            <w:pPr>
              <w:pStyle w:val="TableParagraph"/>
              <w:spacing w:before="35"/>
            </w:pPr>
          </w:p>
          <w:p w14:paraId="24D60D0A" w14:textId="77777777" w:rsidR="00245300" w:rsidRPr="00EC20A0" w:rsidRDefault="00F17249">
            <w:pPr>
              <w:pStyle w:val="TableParagraph"/>
              <w:spacing w:before="1"/>
              <w:ind w:left="299" w:right="4690"/>
            </w:pPr>
            <w:r w:rsidRPr="00EC20A0">
              <w:t>Amount</w:t>
            </w:r>
            <w:r w:rsidRPr="00EC20A0">
              <w:rPr>
                <w:spacing w:val="-10"/>
              </w:rPr>
              <w:t xml:space="preserve"> </w:t>
            </w:r>
            <w:r w:rsidRPr="00EC20A0">
              <w:t>of</w:t>
            </w:r>
            <w:r w:rsidRPr="00EC20A0">
              <w:rPr>
                <w:spacing w:val="-10"/>
              </w:rPr>
              <w:t xml:space="preserve"> </w:t>
            </w:r>
            <w:r w:rsidRPr="00EC20A0">
              <w:t>payments</w:t>
            </w:r>
            <w:r w:rsidRPr="00EC20A0">
              <w:rPr>
                <w:spacing w:val="-10"/>
              </w:rPr>
              <w:t xml:space="preserve"> </w:t>
            </w:r>
            <w:r w:rsidRPr="00EC20A0">
              <w:t>made</w:t>
            </w:r>
            <w:r w:rsidRPr="00EC20A0">
              <w:rPr>
                <w:spacing w:val="-10"/>
              </w:rPr>
              <w:t xml:space="preserve"> </w:t>
            </w:r>
            <w:r w:rsidRPr="00EC20A0">
              <w:t>for property and services subject to the Prompt Payment Act</w:t>
            </w:r>
          </w:p>
          <w:p w14:paraId="24D60D0B" w14:textId="77777777" w:rsidR="00245300" w:rsidRPr="00EC20A0" w:rsidRDefault="00245300">
            <w:pPr>
              <w:pStyle w:val="TableParagraph"/>
              <w:spacing w:before="5"/>
              <w:rPr>
                <w:sz w:val="12"/>
              </w:rPr>
            </w:pPr>
          </w:p>
          <w:p w14:paraId="24D60D0C" w14:textId="77777777" w:rsidR="00245300" w:rsidRPr="00EC20A0" w:rsidRDefault="00F17249">
            <w:pPr>
              <w:pStyle w:val="TableParagraph"/>
              <w:spacing w:line="20" w:lineRule="exact"/>
              <w:ind w:left="4062"/>
              <w:rPr>
                <w:sz w:val="2"/>
              </w:rPr>
            </w:pPr>
            <w:r w:rsidRPr="00EC20A0">
              <w:rPr>
                <w:noProof/>
              </w:rPr>
              <mc:AlternateContent>
                <mc:Choice Requires="wpg">
                  <w:drawing>
                    <wp:anchor distT="0" distB="0" distL="0" distR="0" simplePos="0" relativeHeight="475274240" behindDoc="1" locked="0" layoutInCell="1" allowOverlap="1" wp14:anchorId="24D62B33" wp14:editId="24D62B34">
                      <wp:simplePos x="0" y="0"/>
                      <wp:positionH relativeFrom="column">
                        <wp:posOffset>2588514</wp:posOffset>
                      </wp:positionH>
                      <wp:positionV relativeFrom="paragraph">
                        <wp:posOffset>346697</wp:posOffset>
                      </wp:positionV>
                      <wp:extent cx="1295400" cy="317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29" name="Graphic 32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B0E466" id="Group 328" o:spid="_x0000_s1026" style="position:absolute;margin-left:203.8pt;margin-top:27.3pt;width:102pt;height:.25pt;z-index:-2804224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">
                      <v:shape id="Graphic 32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74752" behindDoc="1" locked="0" layoutInCell="1" allowOverlap="1" wp14:anchorId="24D62B35" wp14:editId="24D62B36">
                      <wp:simplePos x="0" y="0"/>
                      <wp:positionH relativeFrom="column">
                        <wp:posOffset>3960114</wp:posOffset>
                      </wp:positionH>
                      <wp:positionV relativeFrom="paragraph">
                        <wp:posOffset>346697</wp:posOffset>
                      </wp:positionV>
                      <wp:extent cx="1045844" cy="317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31" name="Graphic 331"/>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F93076" id="Group 330" o:spid="_x0000_s1026" style="position:absolute;margin-left:311.8pt;margin-top:27.3pt;width:82.35pt;height:.25pt;z-index:-2804172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">
                      <v:shape id="Graphic 331"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" path="m1045463,l,,,3048r1045463,l1045463,xe" fillcolor="black" stroked="f">
                        <v:path arrowok="t"/>
                      </v:shape>
                    </v:group>
                  </w:pict>
                </mc:Fallback>
              </mc:AlternateContent>
            </w:r>
            <w:r w:rsidRPr="00EC20A0">
              <w:rPr>
                <w:noProof/>
                <w:sz w:val="2"/>
              </w:rPr>
              <mc:AlternateContent>
                <mc:Choice Requires="wpg">
                  <w:drawing>
                    <wp:inline distT="0" distB="0" distL="0" distR="0" wp14:anchorId="24D62B37" wp14:editId="24D62B38">
                      <wp:extent cx="1295400" cy="3175"/>
                      <wp:effectExtent l="0" t="0" r="0" b="0"/>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33" name="Graphic 333"/>
                              <wps:cNvSpPr/>
                              <wps:spPr>
                                <a:xfrm>
                                  <a:off x="0" y="0"/>
                                  <a:ext cx="1295400" cy="3175"/>
                                </a:xfrm>
                                <a:custGeom>
                                  <a:avLst/>
                                  <a:gdLst/>
                                  <a:ahLst/>
                                  <a:cxnLst/>
                                  <a:rect l="l" t="t" r="r" b="b"/>
                                  <a:pathLst>
                                    <a:path w="1295400" h="3175">
                                      <a:moveTo>
                                        <a:pt x="1295400" y="0"/>
                                      </a:moveTo>
                                      <a:lnTo>
                                        <a:pt x="0" y="0"/>
                                      </a:lnTo>
                                      <a:lnTo>
                                        <a:pt x="0" y="3035"/>
                                      </a:lnTo>
                                      <a:lnTo>
                                        <a:pt x="1295400" y="3035"/>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40D3C5" id="Group 332"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">
                      <v:shape id="Graphic 333"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" path="m1295400,l,,,3035r1295400,l1295400,xe" fillcolor="black" stroked="f">
                        <v:path arrowok="t"/>
                      </v:shape>
                      <w10:anchorlock/>
                    </v:group>
                  </w:pict>
                </mc:Fallback>
              </mc:AlternateContent>
            </w:r>
            <w:r w:rsidRPr="00EC20A0">
              <w:rPr>
                <w:spacing w:val="95"/>
                <w:sz w:val="2"/>
              </w:rPr>
              <w:t xml:space="preserve"> </w:t>
            </w:r>
            <w:r w:rsidRPr="00EC20A0">
              <w:rPr>
                <w:noProof/>
                <w:spacing w:val="95"/>
                <w:sz w:val="2"/>
              </w:rPr>
              <mc:AlternateContent>
                <mc:Choice Requires="wpg">
                  <w:drawing>
                    <wp:inline distT="0" distB="0" distL="0" distR="0" wp14:anchorId="24D62B39" wp14:editId="24D62B3A">
                      <wp:extent cx="1045844" cy="3175"/>
                      <wp:effectExtent l="0" t="0" r="0" b="0"/>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35" name="Graphic 335"/>
                              <wps:cNvSpPr/>
                              <wps:spPr>
                                <a:xfrm>
                                  <a:off x="0" y="0"/>
                                  <a:ext cx="1045844" cy="3175"/>
                                </a:xfrm>
                                <a:custGeom>
                                  <a:avLst/>
                                  <a:gdLst/>
                                  <a:ahLst/>
                                  <a:cxnLst/>
                                  <a:rect l="l" t="t" r="r" b="b"/>
                                  <a:pathLst>
                                    <a:path w="1045844" h="3175">
                                      <a:moveTo>
                                        <a:pt x="1045463" y="0"/>
                                      </a:moveTo>
                                      <a:lnTo>
                                        <a:pt x="0" y="0"/>
                                      </a:lnTo>
                                      <a:lnTo>
                                        <a:pt x="0" y="3035"/>
                                      </a:lnTo>
                                      <a:lnTo>
                                        <a:pt x="1045463" y="3035"/>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1114E1" id="Group 334"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">
                      <v:shape id="Graphic 335"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" path="m1045463,l,,,3035r1045463,l1045463,xe" fillcolor="black" stroked="f">
                        <v:path arrowok="t"/>
                      </v:shape>
                      <w10:anchorlock/>
                    </v:group>
                  </w:pict>
                </mc:Fallback>
              </mc:AlternateContent>
            </w:r>
          </w:p>
          <w:p w14:paraId="24D60D0D" w14:textId="77777777" w:rsidR="00245300" w:rsidRPr="00EC20A0" w:rsidRDefault="00F17249">
            <w:pPr>
              <w:pStyle w:val="TableParagraph"/>
              <w:spacing w:before="129"/>
              <w:ind w:left="299"/>
            </w:pPr>
            <w:r w:rsidRPr="00EC20A0">
              <w:rPr>
                <w:spacing w:val="-2"/>
              </w:rPr>
              <w:t>Materiality</w:t>
            </w:r>
          </w:p>
        </w:tc>
        <w:tc>
          <w:tcPr>
            <w:tcW w:w="1319" w:type="dxa"/>
            <w:vMerge/>
            <w:tcBorders>
              <w:top w:val="nil"/>
              <w:left w:val="single" w:sz="6" w:space="0" w:color="000000"/>
              <w:bottom w:val="double" w:sz="6" w:space="0" w:color="000000"/>
              <w:right w:val="double" w:sz="6" w:space="0" w:color="000000"/>
            </w:tcBorders>
          </w:tcPr>
          <w:p w14:paraId="24D60D0E" w14:textId="77777777" w:rsidR="00245300" w:rsidRPr="00EC20A0" w:rsidRDefault="00245300">
            <w:pPr>
              <w:rPr>
                <w:sz w:val="2"/>
                <w:szCs w:val="2"/>
              </w:rPr>
            </w:pPr>
          </w:p>
        </w:tc>
      </w:tr>
      <w:tr w:rsidR="00245300" w:rsidRPr="00EC20A0" w14:paraId="24D60D14" w14:textId="77777777">
        <w:trPr>
          <w:trHeight w:val="994"/>
        </w:trPr>
        <w:tc>
          <w:tcPr>
            <w:tcW w:w="8044" w:type="dxa"/>
            <w:tcBorders>
              <w:top w:val="nil"/>
              <w:left w:val="double" w:sz="6" w:space="0" w:color="000000"/>
              <w:bottom w:val="double" w:sz="6" w:space="0" w:color="000000"/>
              <w:right w:val="single" w:sz="6" w:space="0" w:color="000000"/>
            </w:tcBorders>
          </w:tcPr>
          <w:p w14:paraId="24D60D10" w14:textId="77777777" w:rsidR="00245300" w:rsidRPr="00EC20A0" w:rsidRDefault="00245300">
            <w:pPr>
              <w:pStyle w:val="TableParagraph"/>
            </w:pPr>
          </w:p>
          <w:p w14:paraId="24D60D11" w14:textId="77777777" w:rsidR="00245300" w:rsidRPr="00EC20A0" w:rsidRDefault="00245300">
            <w:pPr>
              <w:pStyle w:val="TableParagraph"/>
              <w:spacing w:before="90"/>
            </w:pPr>
          </w:p>
          <w:p w14:paraId="24D60D12" w14:textId="77777777" w:rsidR="00245300" w:rsidRPr="00EC20A0" w:rsidRDefault="00F17249">
            <w:pPr>
              <w:pStyle w:val="TableParagraph"/>
              <w:ind w:left="131"/>
            </w:pPr>
            <w:r w:rsidRPr="00EC20A0">
              <w:t>If</w:t>
            </w:r>
            <w:r w:rsidRPr="00EC20A0">
              <w:rPr>
                <w:spacing w:val="-7"/>
              </w:rPr>
              <w:t xml:space="preserve"> </w:t>
            </w:r>
            <w:r w:rsidRPr="00EC20A0">
              <w:t>yes,</w:t>
            </w:r>
            <w:r w:rsidRPr="00EC20A0">
              <w:rPr>
                <w:spacing w:val="-6"/>
              </w:rPr>
              <w:t xml:space="preserve"> </w:t>
            </w:r>
            <w:r w:rsidRPr="00EC20A0">
              <w:t>then</w:t>
            </w:r>
            <w:r w:rsidRPr="00EC20A0">
              <w:rPr>
                <w:spacing w:val="-7"/>
              </w:rPr>
              <w:t xml:space="preserve"> </w:t>
            </w:r>
            <w:r w:rsidRPr="00EC20A0">
              <w:t>complete</w:t>
            </w:r>
            <w:r w:rsidRPr="00EC20A0">
              <w:rPr>
                <w:spacing w:val="-6"/>
              </w:rPr>
              <w:t xml:space="preserve"> </w:t>
            </w:r>
            <w:r w:rsidRPr="00EC20A0">
              <w:t>the</w:t>
            </w:r>
            <w:r w:rsidRPr="00EC20A0">
              <w:rPr>
                <w:spacing w:val="-6"/>
              </w:rPr>
              <w:t xml:space="preserve"> </w:t>
            </w:r>
            <w:r w:rsidRPr="00EC20A0">
              <w:t>compliance</w:t>
            </w:r>
            <w:r w:rsidRPr="00EC20A0">
              <w:rPr>
                <w:spacing w:val="-7"/>
              </w:rPr>
              <w:t xml:space="preserve"> </w:t>
            </w:r>
            <w:r w:rsidRPr="00EC20A0">
              <w:t>supplement</w:t>
            </w:r>
            <w:r w:rsidRPr="00EC20A0">
              <w:rPr>
                <w:spacing w:val="-6"/>
              </w:rPr>
              <w:t xml:space="preserve"> </w:t>
            </w:r>
            <w:r w:rsidRPr="00EC20A0">
              <w:t>at</w:t>
            </w:r>
            <w:r w:rsidRPr="00EC20A0">
              <w:rPr>
                <w:spacing w:val="-6"/>
              </w:rPr>
              <w:t xml:space="preserve"> </w:t>
            </w:r>
            <w:r w:rsidRPr="00EC20A0">
              <w:t>FAM</w:t>
            </w:r>
            <w:r w:rsidRPr="00EC20A0">
              <w:rPr>
                <w:spacing w:val="-7"/>
              </w:rPr>
              <w:t xml:space="preserve"> </w:t>
            </w:r>
            <w:r w:rsidRPr="00EC20A0">
              <w:rPr>
                <w:spacing w:val="-4"/>
              </w:rPr>
              <w:t>806.</w:t>
            </w:r>
          </w:p>
        </w:tc>
        <w:tc>
          <w:tcPr>
            <w:tcW w:w="1319" w:type="dxa"/>
            <w:vMerge/>
            <w:tcBorders>
              <w:top w:val="nil"/>
              <w:left w:val="single" w:sz="6" w:space="0" w:color="000000"/>
              <w:bottom w:val="double" w:sz="6" w:space="0" w:color="000000"/>
              <w:right w:val="double" w:sz="6" w:space="0" w:color="000000"/>
            </w:tcBorders>
          </w:tcPr>
          <w:p w14:paraId="24D60D13" w14:textId="77777777" w:rsidR="00245300" w:rsidRPr="00EC20A0" w:rsidRDefault="00245300">
            <w:pPr>
              <w:rPr>
                <w:sz w:val="2"/>
                <w:szCs w:val="2"/>
              </w:rPr>
            </w:pPr>
          </w:p>
        </w:tc>
      </w:tr>
    </w:tbl>
    <w:p w14:paraId="24D60D15" w14:textId="77777777" w:rsidR="00245300" w:rsidRPr="00EC20A0" w:rsidRDefault="00245300">
      <w:pPr>
        <w:rPr>
          <w:sz w:val="2"/>
          <w:szCs w:val="2"/>
        </w:rPr>
        <w:sectPr w:rsidR="00245300" w:rsidRPr="00EC20A0">
          <w:headerReference w:type="default" r:id="rId94"/>
          <w:footerReference w:type="default" r:id="rId95"/>
          <w:pgSz w:w="12240" w:h="15840"/>
          <w:pgMar w:top="1300" w:right="1140" w:bottom="940" w:left="1320" w:header="721" w:footer="742" w:gutter="0"/>
          <w:cols w:space="720"/>
        </w:sectPr>
      </w:pP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245300" w:rsidRPr="00EC20A0" w14:paraId="24D60D18" w14:textId="77777777">
        <w:trPr>
          <w:trHeight w:val="120"/>
        </w:trPr>
        <w:tc>
          <w:tcPr>
            <w:tcW w:w="8044" w:type="dxa"/>
            <w:tcBorders>
              <w:left w:val="nil"/>
              <w:bottom w:val="double" w:sz="6" w:space="0" w:color="000000"/>
              <w:right w:val="nil"/>
            </w:tcBorders>
          </w:tcPr>
          <w:p w14:paraId="24D60D16" w14:textId="77777777" w:rsidR="00245300" w:rsidRPr="00EC20A0" w:rsidRDefault="00245300">
            <w:pPr>
              <w:pStyle w:val="TableParagraph"/>
              <w:rPr>
                <w:sz w:val="6"/>
              </w:rPr>
            </w:pPr>
          </w:p>
        </w:tc>
        <w:tc>
          <w:tcPr>
            <w:tcW w:w="1319" w:type="dxa"/>
            <w:tcBorders>
              <w:left w:val="nil"/>
              <w:bottom w:val="double" w:sz="6" w:space="0" w:color="000000"/>
              <w:right w:val="nil"/>
            </w:tcBorders>
          </w:tcPr>
          <w:p w14:paraId="24D60D17" w14:textId="77777777" w:rsidR="00245300" w:rsidRPr="00EC20A0" w:rsidRDefault="00245300">
            <w:pPr>
              <w:pStyle w:val="TableParagraph"/>
              <w:rPr>
                <w:sz w:val="6"/>
              </w:rPr>
            </w:pPr>
          </w:p>
        </w:tc>
      </w:tr>
      <w:tr w:rsidR="00245300" w:rsidRPr="00EC20A0" w14:paraId="24D60D1B"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24D60D19" w14:textId="77777777" w:rsidR="00245300" w:rsidRPr="00EC20A0" w:rsidRDefault="00F17249">
            <w:pPr>
              <w:pStyle w:val="TableParagraph"/>
              <w:spacing w:before="144"/>
              <w:ind w:right="362"/>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24D60D1A"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D30" w14:textId="77777777">
        <w:trPr>
          <w:trHeight w:val="2691"/>
        </w:trPr>
        <w:tc>
          <w:tcPr>
            <w:tcW w:w="8044" w:type="dxa"/>
            <w:tcBorders>
              <w:top w:val="double" w:sz="6" w:space="0" w:color="000000"/>
              <w:left w:val="double" w:sz="6" w:space="0" w:color="000000"/>
              <w:bottom w:val="nil"/>
              <w:right w:val="single" w:sz="6" w:space="0" w:color="000000"/>
            </w:tcBorders>
          </w:tcPr>
          <w:p w14:paraId="24D60D1C" w14:textId="77777777" w:rsidR="00245300" w:rsidRPr="00EC20A0" w:rsidRDefault="00F17249">
            <w:pPr>
              <w:pStyle w:val="TableParagraph"/>
              <w:spacing w:before="145"/>
              <w:ind w:left="131" w:right="141"/>
              <w:rPr>
                <w:b/>
              </w:rPr>
            </w:pPr>
            <w:r w:rsidRPr="00EC20A0">
              <w:rPr>
                <w:b/>
              </w:rPr>
              <w:t>Pay</w:t>
            </w:r>
            <w:r w:rsidRPr="00EC20A0">
              <w:rPr>
                <w:b/>
                <w:spacing w:val="-4"/>
              </w:rPr>
              <w:t xml:space="preserve"> </w:t>
            </w:r>
            <w:r w:rsidRPr="00EC20A0">
              <w:rPr>
                <w:b/>
              </w:rPr>
              <w:t>and</w:t>
            </w:r>
            <w:r w:rsidRPr="00EC20A0">
              <w:rPr>
                <w:b/>
                <w:spacing w:val="-4"/>
              </w:rPr>
              <w:t xml:space="preserve"> </w:t>
            </w:r>
            <w:r w:rsidRPr="00EC20A0">
              <w:rPr>
                <w:b/>
              </w:rPr>
              <w:t>Allowance</w:t>
            </w:r>
            <w:r w:rsidRPr="00EC20A0">
              <w:rPr>
                <w:b/>
                <w:spacing w:val="-4"/>
              </w:rPr>
              <w:t xml:space="preserve"> </w:t>
            </w:r>
            <w:r w:rsidRPr="00EC20A0">
              <w:rPr>
                <w:b/>
              </w:rPr>
              <w:t>System</w:t>
            </w:r>
            <w:r w:rsidRPr="00EC20A0">
              <w:rPr>
                <w:b/>
                <w:spacing w:val="-4"/>
              </w:rPr>
              <w:t xml:space="preserve"> </w:t>
            </w:r>
            <w:r w:rsidRPr="00EC20A0">
              <w:rPr>
                <w:b/>
              </w:rPr>
              <w:t>for</w:t>
            </w:r>
            <w:r w:rsidRPr="00EC20A0">
              <w:rPr>
                <w:b/>
                <w:spacing w:val="-5"/>
              </w:rPr>
              <w:t xml:space="preserve"> </w:t>
            </w:r>
            <w:r w:rsidRPr="00EC20A0">
              <w:rPr>
                <w:b/>
              </w:rPr>
              <w:t>Civilian</w:t>
            </w:r>
            <w:r w:rsidRPr="00EC20A0">
              <w:rPr>
                <w:b/>
                <w:spacing w:val="-4"/>
              </w:rPr>
              <w:t xml:space="preserve"> </w:t>
            </w:r>
            <w:r w:rsidRPr="00EC20A0">
              <w:rPr>
                <w:b/>
              </w:rPr>
              <w:t>Employees,</w:t>
            </w:r>
            <w:r w:rsidRPr="00EC20A0">
              <w:rPr>
                <w:b/>
                <w:spacing w:val="-4"/>
              </w:rPr>
              <w:t xml:space="preserve"> </w:t>
            </w:r>
            <w:r w:rsidRPr="00EC20A0">
              <w:rPr>
                <w:b/>
              </w:rPr>
              <w:t>as</w:t>
            </w:r>
            <w:r w:rsidRPr="00EC20A0">
              <w:rPr>
                <w:b/>
                <w:spacing w:val="-4"/>
              </w:rPr>
              <w:t xml:space="preserve"> </w:t>
            </w:r>
            <w:r w:rsidRPr="00EC20A0">
              <w:rPr>
                <w:b/>
              </w:rPr>
              <w:t>provided</w:t>
            </w:r>
            <w:r w:rsidRPr="00EC20A0">
              <w:rPr>
                <w:b/>
                <w:spacing w:val="-4"/>
              </w:rPr>
              <w:t xml:space="preserve"> </w:t>
            </w:r>
            <w:r w:rsidRPr="00EC20A0">
              <w:rPr>
                <w:b/>
              </w:rPr>
              <w:t xml:space="preserve">primarily in 5 </w:t>
            </w:r>
            <w:r w:rsidRPr="00EC20A0">
              <w:rPr>
                <w:b/>
              </w:rPr>
              <w:t>U.S.C. chapters 51-59 (5 U.S.C. § 5332, 5 U.S.C. § 5343, 5 U.S.C. §</w:t>
            </w:r>
          </w:p>
          <w:p w14:paraId="24D60D1D" w14:textId="77777777" w:rsidR="00245300" w:rsidRPr="00EC20A0" w:rsidRDefault="00F17249">
            <w:pPr>
              <w:pStyle w:val="TableParagraph"/>
              <w:spacing w:line="252" w:lineRule="exact"/>
              <w:ind w:left="131"/>
              <w:rPr>
                <w:b/>
              </w:rPr>
            </w:pPr>
            <w:r w:rsidRPr="00EC20A0">
              <w:rPr>
                <w:b/>
              </w:rPr>
              <w:t>5376,</w:t>
            </w:r>
            <w:r w:rsidRPr="00EC20A0">
              <w:rPr>
                <w:b/>
                <w:spacing w:val="-5"/>
              </w:rPr>
              <w:t xml:space="preserve"> </w:t>
            </w:r>
            <w:r w:rsidRPr="00EC20A0">
              <w:rPr>
                <w:b/>
              </w:rPr>
              <w:t>and</w:t>
            </w:r>
            <w:r w:rsidRPr="00EC20A0">
              <w:rPr>
                <w:b/>
                <w:spacing w:val="-4"/>
              </w:rPr>
              <w:t xml:space="preserve"> </w:t>
            </w:r>
            <w:r w:rsidRPr="00EC20A0">
              <w:rPr>
                <w:b/>
              </w:rPr>
              <w:t>5</w:t>
            </w:r>
            <w:r w:rsidRPr="00EC20A0">
              <w:rPr>
                <w:b/>
                <w:spacing w:val="-4"/>
              </w:rPr>
              <w:t xml:space="preserve"> </w:t>
            </w:r>
            <w:r w:rsidRPr="00EC20A0">
              <w:rPr>
                <w:b/>
              </w:rPr>
              <w:t>U.S.C.</w:t>
            </w:r>
            <w:r w:rsidRPr="00EC20A0">
              <w:rPr>
                <w:b/>
                <w:spacing w:val="-5"/>
              </w:rPr>
              <w:t xml:space="preserve"> </w:t>
            </w:r>
            <w:r w:rsidRPr="00EC20A0">
              <w:rPr>
                <w:b/>
              </w:rPr>
              <w:t>§</w:t>
            </w:r>
            <w:r w:rsidRPr="00EC20A0">
              <w:rPr>
                <w:b/>
                <w:spacing w:val="-4"/>
              </w:rPr>
              <w:t xml:space="preserve"> </w:t>
            </w:r>
            <w:r w:rsidRPr="00EC20A0">
              <w:rPr>
                <w:b/>
                <w:spacing w:val="-2"/>
              </w:rPr>
              <w:t>5383)</w:t>
            </w:r>
          </w:p>
          <w:p w14:paraId="24D60D1E" w14:textId="77777777" w:rsidR="00245300" w:rsidRPr="00EC20A0" w:rsidRDefault="00F17249">
            <w:pPr>
              <w:pStyle w:val="TableParagraph"/>
              <w:spacing w:before="145"/>
              <w:ind w:left="131" w:right="141"/>
            </w:pPr>
            <w:r w:rsidRPr="00EC20A0">
              <w:t xml:space="preserve">These laws require that employees in specific positions be paid at the appropriate pay rates or schedules established by law. These include employees in </w:t>
            </w:r>
            <w:r w:rsidRPr="00EC20A0">
              <w:t>positions subject to the General Schedule; prevailing rate employees; employees in certain senior-level positions, such as specially qualified</w:t>
            </w:r>
            <w:r w:rsidRPr="00EC20A0">
              <w:rPr>
                <w:spacing w:val="-5"/>
              </w:rPr>
              <w:t xml:space="preserve"> </w:t>
            </w:r>
            <w:r w:rsidRPr="00EC20A0">
              <w:t>scientific</w:t>
            </w:r>
            <w:r w:rsidRPr="00EC20A0">
              <w:rPr>
                <w:spacing w:val="-5"/>
              </w:rPr>
              <w:t xml:space="preserve"> </w:t>
            </w:r>
            <w:r w:rsidRPr="00EC20A0">
              <w:t>and</w:t>
            </w:r>
            <w:r w:rsidRPr="00EC20A0">
              <w:rPr>
                <w:spacing w:val="-5"/>
              </w:rPr>
              <w:t xml:space="preserve"> </w:t>
            </w:r>
            <w:r w:rsidRPr="00EC20A0">
              <w:t>professional</w:t>
            </w:r>
            <w:r w:rsidRPr="00EC20A0">
              <w:rPr>
                <w:spacing w:val="-7"/>
              </w:rPr>
              <w:t xml:space="preserve"> </w:t>
            </w:r>
            <w:r w:rsidRPr="00EC20A0">
              <w:t>personnel;</w:t>
            </w:r>
            <w:r w:rsidRPr="00EC20A0">
              <w:rPr>
                <w:spacing w:val="-5"/>
              </w:rPr>
              <w:t xml:space="preserve"> </w:t>
            </w:r>
            <w:r w:rsidRPr="00EC20A0">
              <w:t>employees</w:t>
            </w:r>
            <w:r w:rsidRPr="00EC20A0">
              <w:rPr>
                <w:spacing w:val="-5"/>
              </w:rPr>
              <w:t xml:space="preserve"> </w:t>
            </w:r>
            <w:r w:rsidRPr="00EC20A0">
              <w:t>appointed</w:t>
            </w:r>
            <w:r w:rsidRPr="00EC20A0">
              <w:rPr>
                <w:spacing w:val="-5"/>
              </w:rPr>
              <w:t xml:space="preserve"> </w:t>
            </w:r>
            <w:r w:rsidRPr="00EC20A0">
              <w:t>to</w:t>
            </w:r>
            <w:r w:rsidRPr="00EC20A0">
              <w:rPr>
                <w:spacing w:val="-5"/>
              </w:rPr>
              <w:t xml:space="preserve"> </w:t>
            </w:r>
            <w:r w:rsidRPr="00EC20A0">
              <w:t>the Senior Executive Service; and employees paid the minimum wage.</w:t>
            </w:r>
          </w:p>
        </w:tc>
        <w:tc>
          <w:tcPr>
            <w:tcW w:w="1319" w:type="dxa"/>
            <w:vMerge w:val="restart"/>
            <w:tcBorders>
              <w:top w:val="double" w:sz="6" w:space="0" w:color="000000"/>
              <w:left w:val="single" w:sz="6" w:space="0" w:color="000000"/>
              <w:bottom w:val="double" w:sz="6" w:space="0" w:color="000000"/>
              <w:right w:val="double" w:sz="6" w:space="0" w:color="000000"/>
            </w:tcBorders>
          </w:tcPr>
          <w:p w14:paraId="24D60D1F" w14:textId="77777777" w:rsidR="00245300" w:rsidRPr="00EC20A0" w:rsidRDefault="00245300">
            <w:pPr>
              <w:pStyle w:val="TableParagraph"/>
              <w:rPr>
                <w:sz w:val="20"/>
              </w:rPr>
            </w:pPr>
          </w:p>
          <w:p w14:paraId="24D60D20" w14:textId="77777777" w:rsidR="00245300" w:rsidRPr="00EC20A0" w:rsidRDefault="00245300">
            <w:pPr>
              <w:pStyle w:val="TableParagraph"/>
              <w:rPr>
                <w:sz w:val="20"/>
              </w:rPr>
            </w:pPr>
          </w:p>
          <w:p w14:paraId="24D60D21" w14:textId="77777777" w:rsidR="00245300" w:rsidRPr="00EC20A0" w:rsidRDefault="00245300">
            <w:pPr>
              <w:pStyle w:val="TableParagraph"/>
              <w:rPr>
                <w:sz w:val="20"/>
              </w:rPr>
            </w:pPr>
          </w:p>
          <w:p w14:paraId="24D60D22" w14:textId="77777777" w:rsidR="00245300" w:rsidRPr="00EC20A0" w:rsidRDefault="00245300">
            <w:pPr>
              <w:pStyle w:val="TableParagraph"/>
              <w:rPr>
                <w:sz w:val="20"/>
              </w:rPr>
            </w:pPr>
          </w:p>
          <w:p w14:paraId="24D60D23" w14:textId="77777777" w:rsidR="00245300" w:rsidRPr="00EC20A0" w:rsidRDefault="00245300">
            <w:pPr>
              <w:pStyle w:val="TableParagraph"/>
              <w:rPr>
                <w:sz w:val="20"/>
              </w:rPr>
            </w:pPr>
          </w:p>
          <w:p w14:paraId="24D60D24" w14:textId="77777777" w:rsidR="00245300" w:rsidRPr="00EC20A0" w:rsidRDefault="00245300">
            <w:pPr>
              <w:pStyle w:val="TableParagraph"/>
              <w:rPr>
                <w:sz w:val="20"/>
              </w:rPr>
            </w:pPr>
          </w:p>
          <w:p w14:paraId="24D60D25" w14:textId="77777777" w:rsidR="00245300" w:rsidRPr="00EC20A0" w:rsidRDefault="00245300">
            <w:pPr>
              <w:pStyle w:val="TableParagraph"/>
              <w:rPr>
                <w:sz w:val="20"/>
              </w:rPr>
            </w:pPr>
          </w:p>
          <w:p w14:paraId="24D60D26" w14:textId="77777777" w:rsidR="00245300" w:rsidRPr="00EC20A0" w:rsidRDefault="00245300">
            <w:pPr>
              <w:pStyle w:val="TableParagraph"/>
              <w:rPr>
                <w:sz w:val="20"/>
              </w:rPr>
            </w:pPr>
          </w:p>
          <w:p w14:paraId="24D60D27" w14:textId="77777777" w:rsidR="00245300" w:rsidRPr="00EC20A0" w:rsidRDefault="00245300">
            <w:pPr>
              <w:pStyle w:val="TableParagraph"/>
              <w:rPr>
                <w:sz w:val="20"/>
              </w:rPr>
            </w:pPr>
          </w:p>
          <w:p w14:paraId="24D60D28" w14:textId="77777777" w:rsidR="00245300" w:rsidRPr="00EC20A0" w:rsidRDefault="00245300">
            <w:pPr>
              <w:pStyle w:val="TableParagraph"/>
              <w:rPr>
                <w:sz w:val="20"/>
              </w:rPr>
            </w:pPr>
          </w:p>
          <w:p w14:paraId="24D60D29" w14:textId="77777777" w:rsidR="00245300" w:rsidRPr="00EC20A0" w:rsidRDefault="00245300">
            <w:pPr>
              <w:pStyle w:val="TableParagraph"/>
              <w:rPr>
                <w:sz w:val="20"/>
              </w:rPr>
            </w:pPr>
          </w:p>
          <w:p w14:paraId="24D60D2A" w14:textId="77777777" w:rsidR="00245300" w:rsidRPr="00EC20A0" w:rsidRDefault="00245300">
            <w:pPr>
              <w:pStyle w:val="TableParagraph"/>
              <w:rPr>
                <w:sz w:val="20"/>
              </w:rPr>
            </w:pPr>
          </w:p>
          <w:p w14:paraId="24D60D2B" w14:textId="77777777" w:rsidR="00245300" w:rsidRPr="00EC20A0" w:rsidRDefault="00245300">
            <w:pPr>
              <w:pStyle w:val="TableParagraph"/>
              <w:rPr>
                <w:sz w:val="20"/>
              </w:rPr>
            </w:pPr>
          </w:p>
          <w:p w14:paraId="24D60D2C" w14:textId="77777777" w:rsidR="00245300" w:rsidRPr="00EC20A0" w:rsidRDefault="00245300">
            <w:pPr>
              <w:pStyle w:val="TableParagraph"/>
              <w:rPr>
                <w:sz w:val="20"/>
              </w:rPr>
            </w:pPr>
          </w:p>
          <w:p w14:paraId="24D60D2D" w14:textId="77777777" w:rsidR="00245300" w:rsidRPr="00EC20A0" w:rsidRDefault="00245300">
            <w:pPr>
              <w:pStyle w:val="TableParagraph"/>
              <w:rPr>
                <w:sz w:val="20"/>
              </w:rPr>
            </w:pPr>
          </w:p>
          <w:p w14:paraId="24D60D2E" w14:textId="77777777" w:rsidR="00245300" w:rsidRPr="00EC20A0" w:rsidRDefault="00245300">
            <w:pPr>
              <w:pStyle w:val="TableParagraph"/>
              <w:spacing w:before="211" w:after="1"/>
              <w:rPr>
                <w:sz w:val="20"/>
              </w:rPr>
            </w:pPr>
          </w:p>
          <w:p w14:paraId="24D60D2F" w14:textId="77777777" w:rsidR="00245300" w:rsidRPr="00EC20A0" w:rsidRDefault="00F17249">
            <w:pPr>
              <w:pStyle w:val="TableParagraph"/>
              <w:spacing w:line="20" w:lineRule="exact"/>
              <w:ind w:left="144"/>
              <w:rPr>
                <w:sz w:val="2"/>
              </w:rPr>
            </w:pPr>
            <w:r w:rsidRPr="00EC20A0">
              <w:rPr>
                <w:noProof/>
                <w:sz w:val="2"/>
              </w:rPr>
              <mc:AlternateContent>
                <mc:Choice Requires="wpg">
                  <w:drawing>
                    <wp:inline distT="0" distB="0" distL="0" distR="0" wp14:anchorId="24D62B3B" wp14:editId="24D62B3C">
                      <wp:extent cx="621665" cy="8890"/>
                      <wp:effectExtent l="9525" t="0" r="0" b="635"/>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37" name="Graphic 337"/>
                              <wps:cNvSpPr/>
                              <wps:spPr>
                                <a:xfrm>
                                  <a:off x="0" y="4392"/>
                                  <a:ext cx="621665" cy="1270"/>
                                </a:xfrm>
                                <a:custGeom>
                                  <a:avLst/>
                                  <a:gdLst/>
                                  <a:ahLst/>
                                  <a:cxnLst/>
                                  <a:rect l="l" t="t" r="r" b="b"/>
                                  <a:pathLst>
                                    <a:path w="621665">
                                      <a:moveTo>
                                        <a:pt x="0" y="0"/>
                                      </a:moveTo>
                                      <a:lnTo>
                                        <a:pt x="621650"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16D262" id="Group 336"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tqbwIAAI8FAAAOAAAAZHJzL2Uyb0RvYy54bWykVMlu2zAQvRfoPxC81/JSLxE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">
                      <v:shape id="Graphic 337"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" path="m,l621650,e" filled="f" strokeweight=".24403mm">
                        <v:path arrowok="t"/>
                      </v:shape>
                      <w10:anchorlock/>
                    </v:group>
                  </w:pict>
                </mc:Fallback>
              </mc:AlternateContent>
            </w:r>
          </w:p>
        </w:tc>
      </w:tr>
      <w:tr w:rsidR="00245300" w:rsidRPr="00EC20A0" w14:paraId="24D60D33" w14:textId="77777777">
        <w:trPr>
          <w:trHeight w:val="1507"/>
        </w:trPr>
        <w:tc>
          <w:tcPr>
            <w:tcW w:w="8044" w:type="dxa"/>
            <w:tcBorders>
              <w:top w:val="nil"/>
              <w:left w:val="double" w:sz="6" w:space="0" w:color="000000"/>
              <w:bottom w:val="nil"/>
              <w:right w:val="single" w:sz="6" w:space="0" w:color="000000"/>
            </w:tcBorders>
          </w:tcPr>
          <w:p w14:paraId="24D60D31" w14:textId="77777777" w:rsidR="00245300" w:rsidRPr="00EC20A0" w:rsidRDefault="00F17249">
            <w:pPr>
              <w:pStyle w:val="TableParagraph"/>
              <w:spacing w:before="117"/>
              <w:ind w:left="131" w:right="141"/>
              <w:rPr>
                <w:i/>
              </w:rPr>
            </w:pPr>
            <w:r w:rsidRPr="00EC20A0">
              <w:rPr>
                <w:i/>
              </w:rPr>
              <w:t>Does</w:t>
            </w:r>
            <w:r w:rsidRPr="00EC20A0">
              <w:rPr>
                <w:i/>
                <w:spacing w:val="-3"/>
              </w:rPr>
              <w:t xml:space="preserve"> </w:t>
            </w:r>
            <w:r w:rsidRPr="00EC20A0">
              <w:rPr>
                <w:i/>
              </w:rPr>
              <w:t>the</w:t>
            </w:r>
            <w:r w:rsidRPr="00EC20A0">
              <w:rPr>
                <w:i/>
                <w:spacing w:val="-3"/>
              </w:rPr>
              <w:t xml:space="preserve"> </w:t>
            </w:r>
            <w:r w:rsidRPr="00EC20A0">
              <w:rPr>
                <w:i/>
              </w:rPr>
              <w:t>entity’s</w:t>
            </w:r>
            <w:r w:rsidRPr="00EC20A0">
              <w:rPr>
                <w:i/>
                <w:spacing w:val="-3"/>
              </w:rPr>
              <w:t xml:space="preserve"> </w:t>
            </w:r>
            <w:r w:rsidRPr="00EC20A0">
              <w:rPr>
                <w:i/>
              </w:rPr>
              <w:t>payroll</w:t>
            </w:r>
            <w:r w:rsidRPr="00EC20A0">
              <w:rPr>
                <w:i/>
                <w:spacing w:val="-4"/>
              </w:rPr>
              <w:t xml:space="preserve"> </w:t>
            </w:r>
            <w:r w:rsidRPr="00EC20A0">
              <w:rPr>
                <w:i/>
              </w:rPr>
              <w:t>expense</w:t>
            </w:r>
            <w:r w:rsidRPr="00EC20A0">
              <w:rPr>
                <w:i/>
                <w:spacing w:val="-3"/>
              </w:rPr>
              <w:t xml:space="preserve"> </w:t>
            </w:r>
            <w:r w:rsidRPr="00EC20A0">
              <w:rPr>
                <w:i/>
              </w:rPr>
              <w:t>for</w:t>
            </w:r>
            <w:r w:rsidRPr="00EC20A0">
              <w:rPr>
                <w:i/>
                <w:spacing w:val="-5"/>
              </w:rPr>
              <w:t xml:space="preserve"> </w:t>
            </w:r>
            <w:r w:rsidRPr="00EC20A0">
              <w:rPr>
                <w:i/>
              </w:rPr>
              <w:t>the</w:t>
            </w:r>
            <w:r w:rsidRPr="00EC20A0">
              <w:rPr>
                <w:i/>
                <w:spacing w:val="-3"/>
              </w:rPr>
              <w:t xml:space="preserve"> </w:t>
            </w:r>
            <w:r w:rsidRPr="00EC20A0">
              <w:rPr>
                <w:i/>
              </w:rPr>
              <w:t>audit</w:t>
            </w:r>
            <w:r w:rsidRPr="00EC20A0">
              <w:rPr>
                <w:i/>
                <w:spacing w:val="-3"/>
              </w:rPr>
              <w:t xml:space="preserve"> </w:t>
            </w:r>
            <w:r w:rsidRPr="00EC20A0">
              <w:rPr>
                <w:i/>
              </w:rPr>
              <w:t>period</w:t>
            </w:r>
            <w:r w:rsidRPr="00EC20A0">
              <w:rPr>
                <w:i/>
                <w:spacing w:val="-3"/>
              </w:rPr>
              <w:t xml:space="preserve"> </w:t>
            </w:r>
            <w:r w:rsidRPr="00EC20A0">
              <w:rPr>
                <w:i/>
              </w:rPr>
              <w:t>exceed</w:t>
            </w:r>
            <w:r w:rsidRPr="00EC20A0">
              <w:rPr>
                <w:i/>
                <w:spacing w:val="-4"/>
              </w:rPr>
              <w:t xml:space="preserve"> </w:t>
            </w:r>
            <w:r w:rsidRPr="00EC20A0">
              <w:rPr>
                <w:i/>
              </w:rPr>
              <w:t>materiality,</w:t>
            </w:r>
            <w:r w:rsidRPr="00EC20A0">
              <w:rPr>
                <w:i/>
                <w:spacing w:val="-4"/>
              </w:rPr>
              <w:t xml:space="preserve"> </w:t>
            </w:r>
            <w:r w:rsidRPr="00EC20A0">
              <w:rPr>
                <w:i/>
              </w:rPr>
              <w:t>or</w:t>
            </w:r>
            <w:r w:rsidRPr="00EC20A0">
              <w:rPr>
                <w:i/>
                <w:spacing w:val="-3"/>
              </w:rPr>
              <w:t xml:space="preserve"> </w:t>
            </w:r>
            <w:r w:rsidRPr="00EC20A0">
              <w:rPr>
                <w:i/>
              </w:rPr>
              <w:t xml:space="preserve">did the auditor determine that the Pay and Allowance System for Civilian Employees (as provided primarily in chapters 51 through 59 of </w:t>
            </w:r>
            <w:r w:rsidRPr="00EC20A0">
              <w:rPr>
                <w:i/>
              </w:rPr>
              <w:t>Title 5, U.S. Code) has a direct effect on the determination of material 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24D60D32" w14:textId="77777777" w:rsidR="00245300" w:rsidRPr="00EC20A0" w:rsidRDefault="00245300">
            <w:pPr>
              <w:rPr>
                <w:sz w:val="2"/>
                <w:szCs w:val="2"/>
              </w:rPr>
            </w:pPr>
          </w:p>
        </w:tc>
      </w:tr>
      <w:tr w:rsidR="00245300" w:rsidRPr="00EC20A0" w14:paraId="24D60D37" w14:textId="77777777">
        <w:trPr>
          <w:trHeight w:val="1582"/>
        </w:trPr>
        <w:tc>
          <w:tcPr>
            <w:tcW w:w="8044" w:type="dxa"/>
            <w:tcBorders>
              <w:top w:val="nil"/>
              <w:left w:val="double" w:sz="6" w:space="0" w:color="000000"/>
              <w:bottom w:val="nil"/>
              <w:right w:val="single" w:sz="6" w:space="0" w:color="000000"/>
            </w:tcBorders>
          </w:tcPr>
          <w:p w14:paraId="24D60D34" w14:textId="77777777" w:rsidR="00245300" w:rsidRPr="00EC20A0" w:rsidRDefault="00F17249">
            <w:pPr>
              <w:pStyle w:val="TableParagraph"/>
              <w:tabs>
                <w:tab w:val="left" w:pos="6807"/>
              </w:tabs>
              <w:spacing w:before="118"/>
              <w:ind w:left="4532"/>
            </w:pPr>
            <w:r w:rsidRPr="00EC20A0">
              <w:rPr>
                <w:noProof/>
              </w:rPr>
              <mc:AlternateContent>
                <mc:Choice Requires="wpg">
                  <w:drawing>
                    <wp:anchor distT="0" distB="0" distL="0" distR="0" simplePos="0" relativeHeight="475275776" behindDoc="1" locked="0" layoutInCell="1" allowOverlap="1" wp14:anchorId="24D62B3D" wp14:editId="24D62B3E">
                      <wp:simplePos x="0" y="0"/>
                      <wp:positionH relativeFrom="column">
                        <wp:posOffset>2588514</wp:posOffset>
                      </wp:positionH>
                      <wp:positionV relativeFrom="paragraph">
                        <wp:posOffset>670786</wp:posOffset>
                      </wp:positionV>
                      <wp:extent cx="1295400" cy="317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39" name="Graphic 33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493CCC" id="Group 338" o:spid="_x0000_s1026" style="position:absolute;margin-left:203.8pt;margin-top:52.8pt;width:102pt;height:.25pt;z-index:-2804070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">
                      <v:shape id="Graphic 33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76288" behindDoc="1" locked="0" layoutInCell="1" allowOverlap="1" wp14:anchorId="24D62B3F" wp14:editId="24D62B40">
                      <wp:simplePos x="0" y="0"/>
                      <wp:positionH relativeFrom="column">
                        <wp:posOffset>3960114</wp:posOffset>
                      </wp:positionH>
                      <wp:positionV relativeFrom="paragraph">
                        <wp:posOffset>670786</wp:posOffset>
                      </wp:positionV>
                      <wp:extent cx="1045844" cy="317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41" name="Graphic 341"/>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26BC95" id="Group 340" o:spid="_x0000_s1026" style="position:absolute;margin-left:311.8pt;margin-top:52.8pt;width:82.35pt;height:.25pt;z-index:-2804019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">
                      <v:shape id="Graphic 341"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" path="m1045463,l,,,3048r1045463,l1045463,xe" fillcolor="black" stroked="f">
                        <v:path arrowok="t"/>
                      </v:shape>
                    </v:group>
                  </w:pict>
                </mc:Fallback>
              </mc:AlternateContent>
            </w:r>
            <w:r w:rsidRPr="00EC20A0">
              <w:rPr>
                <w:noProof/>
              </w:rPr>
              <mc:AlternateContent>
                <mc:Choice Requires="wpg">
                  <w:drawing>
                    <wp:anchor distT="0" distB="0" distL="0" distR="0" simplePos="0" relativeHeight="475276800" behindDoc="1" locked="0" layoutInCell="1" allowOverlap="1" wp14:anchorId="24D62B41" wp14:editId="24D62B42">
                      <wp:simplePos x="0" y="0"/>
                      <wp:positionH relativeFrom="column">
                        <wp:posOffset>2588514</wp:posOffset>
                      </wp:positionH>
                      <wp:positionV relativeFrom="paragraph">
                        <wp:posOffset>1017509</wp:posOffset>
                      </wp:positionV>
                      <wp:extent cx="1295400" cy="317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43" name="Graphic 343"/>
                              <wps:cNvSpPr/>
                              <wps:spPr>
                                <a:xfrm>
                                  <a:off x="0" y="0"/>
                                  <a:ext cx="1295400" cy="3175"/>
                                </a:xfrm>
                                <a:custGeom>
                                  <a:avLst/>
                                  <a:gdLst/>
                                  <a:ahLst/>
                                  <a:cxnLst/>
                                  <a:rect l="l" t="t" r="r" b="b"/>
                                  <a:pathLst>
                                    <a:path w="1295400" h="3175">
                                      <a:moveTo>
                                        <a:pt x="1295400" y="0"/>
                                      </a:moveTo>
                                      <a:lnTo>
                                        <a:pt x="0" y="0"/>
                                      </a:lnTo>
                                      <a:lnTo>
                                        <a:pt x="0" y="3035"/>
                                      </a:lnTo>
                                      <a:lnTo>
                                        <a:pt x="1295400" y="3035"/>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8B0C52" id="Group 342" o:spid="_x0000_s1026" style="position:absolute;margin-left:203.8pt;margin-top:80.1pt;width:102pt;height:.25pt;z-index:-2803968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">
                      <v:shape id="Graphic 343"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" path="m1295400,l,,,3035r1295400,l1295400,xe" fillcolor="black" stroked="f">
                        <v:path arrowok="t"/>
                      </v:shape>
                    </v:group>
                  </w:pict>
                </mc:Fallback>
              </mc:AlternateContent>
            </w:r>
            <w:r w:rsidRPr="00EC20A0">
              <w:rPr>
                <w:noProof/>
              </w:rPr>
              <mc:AlternateContent>
                <mc:Choice Requires="wpg">
                  <w:drawing>
                    <wp:anchor distT="0" distB="0" distL="0" distR="0" simplePos="0" relativeHeight="475277312" behindDoc="1" locked="0" layoutInCell="1" allowOverlap="1" wp14:anchorId="24D62B43" wp14:editId="24D62B44">
                      <wp:simplePos x="0" y="0"/>
                      <wp:positionH relativeFrom="column">
                        <wp:posOffset>3960114</wp:posOffset>
                      </wp:positionH>
                      <wp:positionV relativeFrom="paragraph">
                        <wp:posOffset>1017509</wp:posOffset>
                      </wp:positionV>
                      <wp:extent cx="1045844" cy="317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45" name="Graphic 345"/>
                              <wps:cNvSpPr/>
                              <wps:spPr>
                                <a:xfrm>
                                  <a:off x="0" y="0"/>
                                  <a:ext cx="1045844" cy="3175"/>
                                </a:xfrm>
                                <a:custGeom>
                                  <a:avLst/>
                                  <a:gdLst/>
                                  <a:ahLst/>
                                  <a:cxnLst/>
                                  <a:rect l="l" t="t" r="r" b="b"/>
                                  <a:pathLst>
                                    <a:path w="1045844" h="3175">
                                      <a:moveTo>
                                        <a:pt x="1045463" y="0"/>
                                      </a:moveTo>
                                      <a:lnTo>
                                        <a:pt x="0" y="0"/>
                                      </a:lnTo>
                                      <a:lnTo>
                                        <a:pt x="0" y="3035"/>
                                      </a:lnTo>
                                      <a:lnTo>
                                        <a:pt x="1045463" y="3035"/>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E86A38" id="Group 344" o:spid="_x0000_s1026" style="position:absolute;margin-left:311.8pt;margin-top:80.1pt;width:82.35pt;height:.25pt;z-index:-2803916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">
                      <v:shape id="Graphic 345"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" path="m1045463,l,,,3035r1045463,l1045463,xe" fillcolor="black" stroked="f">
                        <v:path arrowok="t"/>
                      </v:shape>
                    </v:group>
                  </w:pict>
                </mc:Fallback>
              </mc:AlternateContent>
            </w:r>
            <w:r w:rsidRPr="00EC20A0">
              <w:rPr>
                <w:spacing w:val="-2"/>
                <w:u w:val="single"/>
              </w:rPr>
              <w:t>Preliminary</w:t>
            </w:r>
            <w:r w:rsidRPr="00EC20A0">
              <w:tab/>
            </w:r>
            <w:r w:rsidRPr="00EC20A0">
              <w:rPr>
                <w:spacing w:val="-2"/>
                <w:u w:val="single"/>
              </w:rPr>
              <w:t>Final</w:t>
            </w:r>
          </w:p>
          <w:p w14:paraId="24D60D35" w14:textId="77777777" w:rsidR="00245300" w:rsidRPr="00EC20A0" w:rsidRDefault="00F17249">
            <w:pPr>
              <w:pStyle w:val="TableParagraph"/>
              <w:spacing w:before="57" w:line="546" w:lineRule="exact"/>
              <w:ind w:left="299" w:right="6145"/>
            </w:pPr>
            <w:r w:rsidRPr="00EC20A0">
              <w:t>Payroll</w:t>
            </w:r>
            <w:r w:rsidRPr="00EC20A0">
              <w:rPr>
                <w:spacing w:val="-16"/>
              </w:rPr>
              <w:t xml:space="preserve"> </w:t>
            </w:r>
            <w:r w:rsidRPr="00EC20A0">
              <w:t xml:space="preserve">expense </w:t>
            </w:r>
            <w:r w:rsidRPr="00EC20A0">
              <w:rPr>
                <w:spacing w:val="-2"/>
              </w:rPr>
              <w:t>Materiality</w:t>
            </w:r>
          </w:p>
        </w:tc>
        <w:tc>
          <w:tcPr>
            <w:tcW w:w="1319" w:type="dxa"/>
            <w:vMerge/>
            <w:tcBorders>
              <w:top w:val="nil"/>
              <w:left w:val="single" w:sz="6" w:space="0" w:color="000000"/>
              <w:bottom w:val="double" w:sz="6" w:space="0" w:color="000000"/>
              <w:right w:val="double" w:sz="6" w:space="0" w:color="000000"/>
            </w:tcBorders>
          </w:tcPr>
          <w:p w14:paraId="24D60D36" w14:textId="77777777" w:rsidR="00245300" w:rsidRPr="00EC20A0" w:rsidRDefault="00245300">
            <w:pPr>
              <w:rPr>
                <w:sz w:val="2"/>
                <w:szCs w:val="2"/>
              </w:rPr>
            </w:pPr>
          </w:p>
        </w:tc>
      </w:tr>
      <w:tr w:rsidR="00245300" w:rsidRPr="00EC20A0" w14:paraId="24D60D3D" w14:textId="77777777">
        <w:trPr>
          <w:trHeight w:val="2654"/>
        </w:trPr>
        <w:tc>
          <w:tcPr>
            <w:tcW w:w="8044" w:type="dxa"/>
            <w:tcBorders>
              <w:top w:val="nil"/>
              <w:left w:val="double" w:sz="6" w:space="0" w:color="000000"/>
              <w:bottom w:val="double" w:sz="6" w:space="0" w:color="000000"/>
              <w:right w:val="single" w:sz="6" w:space="0" w:color="000000"/>
            </w:tcBorders>
          </w:tcPr>
          <w:p w14:paraId="24D60D38" w14:textId="77777777" w:rsidR="00245300" w:rsidRPr="00EC20A0" w:rsidRDefault="00245300">
            <w:pPr>
              <w:pStyle w:val="TableParagraph"/>
            </w:pPr>
          </w:p>
          <w:p w14:paraId="24D60D39" w14:textId="77777777" w:rsidR="00245300" w:rsidRPr="00EC20A0" w:rsidRDefault="00245300">
            <w:pPr>
              <w:pStyle w:val="TableParagraph"/>
              <w:spacing w:before="89"/>
            </w:pPr>
          </w:p>
          <w:p w14:paraId="24D60D3A" w14:textId="77777777" w:rsidR="00245300" w:rsidRPr="00EC20A0" w:rsidRDefault="00F17249">
            <w:pPr>
              <w:pStyle w:val="TableParagraph"/>
              <w:ind w:left="131"/>
            </w:pPr>
            <w:r w:rsidRPr="00EC20A0">
              <w:t>If</w:t>
            </w:r>
            <w:r w:rsidRPr="00EC20A0">
              <w:rPr>
                <w:spacing w:val="-7"/>
              </w:rPr>
              <w:t xml:space="preserve"> </w:t>
            </w:r>
            <w:r w:rsidRPr="00EC20A0">
              <w:t>yes,</w:t>
            </w:r>
            <w:r w:rsidRPr="00EC20A0">
              <w:rPr>
                <w:spacing w:val="-6"/>
              </w:rPr>
              <w:t xml:space="preserve"> </w:t>
            </w:r>
            <w:r w:rsidRPr="00EC20A0">
              <w:t>then</w:t>
            </w:r>
            <w:r w:rsidRPr="00EC20A0">
              <w:rPr>
                <w:spacing w:val="-7"/>
              </w:rPr>
              <w:t xml:space="preserve"> </w:t>
            </w:r>
            <w:r w:rsidRPr="00EC20A0">
              <w:t>complete</w:t>
            </w:r>
            <w:r w:rsidRPr="00EC20A0">
              <w:rPr>
                <w:spacing w:val="-6"/>
              </w:rPr>
              <w:t xml:space="preserve"> </w:t>
            </w:r>
            <w:r w:rsidRPr="00EC20A0">
              <w:t>the</w:t>
            </w:r>
            <w:r w:rsidRPr="00EC20A0">
              <w:rPr>
                <w:spacing w:val="-6"/>
              </w:rPr>
              <w:t xml:space="preserve"> </w:t>
            </w:r>
            <w:r w:rsidRPr="00EC20A0">
              <w:t>compliance</w:t>
            </w:r>
            <w:r w:rsidRPr="00EC20A0">
              <w:rPr>
                <w:spacing w:val="-7"/>
              </w:rPr>
              <w:t xml:space="preserve"> </w:t>
            </w:r>
            <w:r w:rsidRPr="00EC20A0">
              <w:t>supplement</w:t>
            </w:r>
            <w:r w:rsidRPr="00EC20A0">
              <w:rPr>
                <w:spacing w:val="-6"/>
              </w:rPr>
              <w:t xml:space="preserve"> </w:t>
            </w:r>
            <w:r w:rsidRPr="00EC20A0">
              <w:t>at</w:t>
            </w:r>
            <w:r w:rsidRPr="00EC20A0">
              <w:rPr>
                <w:spacing w:val="-6"/>
              </w:rPr>
              <w:t xml:space="preserve"> </w:t>
            </w:r>
            <w:r w:rsidRPr="00EC20A0">
              <w:t>FAM</w:t>
            </w:r>
            <w:r w:rsidRPr="00EC20A0">
              <w:rPr>
                <w:spacing w:val="-7"/>
              </w:rPr>
              <w:t xml:space="preserve"> </w:t>
            </w:r>
            <w:r w:rsidRPr="00EC20A0">
              <w:rPr>
                <w:spacing w:val="-4"/>
              </w:rPr>
              <w:t>807.</w:t>
            </w:r>
          </w:p>
          <w:p w14:paraId="24D60D3B" w14:textId="77777777" w:rsidR="00245300" w:rsidRPr="00EC20A0" w:rsidRDefault="00F17249">
            <w:pPr>
              <w:pStyle w:val="TableParagraph"/>
              <w:spacing w:before="145"/>
              <w:ind w:left="131" w:right="141"/>
            </w:pPr>
            <w:r w:rsidRPr="00EC20A0">
              <w:t>The entity’s expenses for performance awards, cash awards, overtime, travel, transportation, subsistence, or allowances for the audit period usually do not exceed materiality. If, however, the auditor determines that these items or related</w:t>
            </w:r>
            <w:r w:rsidRPr="00EC20A0">
              <w:rPr>
                <w:spacing w:val="-4"/>
              </w:rPr>
              <w:t xml:space="preserve"> </w:t>
            </w:r>
            <w:r w:rsidRPr="00EC20A0">
              <w:t>provisions</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Pay</w:t>
            </w:r>
            <w:r w:rsidRPr="00EC20A0">
              <w:rPr>
                <w:spacing w:val="-4"/>
              </w:rPr>
              <w:t xml:space="preserve"> </w:t>
            </w:r>
            <w:r w:rsidRPr="00EC20A0">
              <w:t>and</w:t>
            </w:r>
            <w:r w:rsidRPr="00EC20A0">
              <w:rPr>
                <w:spacing w:val="-4"/>
              </w:rPr>
              <w:t xml:space="preserve"> </w:t>
            </w:r>
            <w:r w:rsidRPr="00EC20A0">
              <w:t>Allowance</w:t>
            </w:r>
            <w:r w:rsidRPr="00EC20A0">
              <w:rPr>
                <w:spacing w:val="-4"/>
              </w:rPr>
              <w:t xml:space="preserve"> </w:t>
            </w:r>
            <w:r w:rsidRPr="00EC20A0">
              <w:t>System</w:t>
            </w:r>
            <w:r w:rsidRPr="00EC20A0">
              <w:rPr>
                <w:spacing w:val="-5"/>
              </w:rPr>
              <w:t xml:space="preserve"> </w:t>
            </w:r>
            <w:r w:rsidRPr="00EC20A0">
              <w:t>for</w:t>
            </w:r>
            <w:r w:rsidRPr="00EC20A0">
              <w:rPr>
                <w:spacing w:val="-4"/>
              </w:rPr>
              <w:t xml:space="preserve"> </w:t>
            </w:r>
            <w:r w:rsidRPr="00EC20A0">
              <w:t>Civilian</w:t>
            </w:r>
            <w:r w:rsidRPr="00EC20A0">
              <w:rPr>
                <w:spacing w:val="-4"/>
              </w:rPr>
              <w:t xml:space="preserve"> </w:t>
            </w:r>
            <w:r w:rsidRPr="00EC20A0">
              <w:t>Employees</w:t>
            </w:r>
            <w:r w:rsidRPr="00EC20A0">
              <w:rPr>
                <w:spacing w:val="-4"/>
              </w:rPr>
              <w:t xml:space="preserve"> </w:t>
            </w:r>
            <w:r w:rsidRPr="00EC20A0">
              <w:t>are otherwise significant, then the auditor should consult with the Office of the General Counsel (OGC) for specific provisions to be compliance tested.</w:t>
            </w:r>
          </w:p>
        </w:tc>
        <w:tc>
          <w:tcPr>
            <w:tcW w:w="1319" w:type="dxa"/>
            <w:vMerge/>
            <w:tcBorders>
              <w:top w:val="nil"/>
              <w:left w:val="single" w:sz="6" w:space="0" w:color="000000"/>
              <w:bottom w:val="double" w:sz="6" w:space="0" w:color="000000"/>
              <w:right w:val="double" w:sz="6" w:space="0" w:color="000000"/>
            </w:tcBorders>
          </w:tcPr>
          <w:p w14:paraId="24D60D3C" w14:textId="77777777" w:rsidR="00245300" w:rsidRPr="00EC20A0" w:rsidRDefault="00245300">
            <w:pPr>
              <w:rPr>
                <w:sz w:val="2"/>
                <w:szCs w:val="2"/>
              </w:rPr>
            </w:pPr>
          </w:p>
        </w:tc>
      </w:tr>
    </w:tbl>
    <w:p w14:paraId="24D60D3E" w14:textId="77777777" w:rsidR="00245300" w:rsidRPr="00EC20A0" w:rsidRDefault="00245300">
      <w:pPr>
        <w:rPr>
          <w:sz w:val="2"/>
          <w:szCs w:val="2"/>
        </w:rPr>
        <w:sectPr w:rsidR="00245300" w:rsidRPr="00EC20A0">
          <w:pgSz w:w="12240" w:h="15840"/>
          <w:pgMar w:top="1300" w:right="1140" w:bottom="940" w:left="1320" w:header="721" w:footer="742" w:gutter="0"/>
          <w:cols w:space="720"/>
        </w:sectPr>
      </w:pP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245300" w:rsidRPr="00EC20A0" w14:paraId="24D60D41" w14:textId="77777777">
        <w:trPr>
          <w:trHeight w:val="120"/>
        </w:trPr>
        <w:tc>
          <w:tcPr>
            <w:tcW w:w="8044" w:type="dxa"/>
            <w:tcBorders>
              <w:left w:val="nil"/>
              <w:bottom w:val="double" w:sz="6" w:space="0" w:color="000000"/>
              <w:right w:val="nil"/>
            </w:tcBorders>
          </w:tcPr>
          <w:p w14:paraId="24D60D3F" w14:textId="77777777" w:rsidR="00245300" w:rsidRPr="00EC20A0" w:rsidRDefault="00245300">
            <w:pPr>
              <w:pStyle w:val="TableParagraph"/>
              <w:rPr>
                <w:sz w:val="6"/>
              </w:rPr>
            </w:pPr>
          </w:p>
        </w:tc>
        <w:tc>
          <w:tcPr>
            <w:tcW w:w="1319" w:type="dxa"/>
            <w:tcBorders>
              <w:left w:val="nil"/>
              <w:bottom w:val="double" w:sz="6" w:space="0" w:color="000000"/>
              <w:right w:val="nil"/>
            </w:tcBorders>
          </w:tcPr>
          <w:p w14:paraId="24D60D40" w14:textId="77777777" w:rsidR="00245300" w:rsidRPr="00EC20A0" w:rsidRDefault="00245300">
            <w:pPr>
              <w:pStyle w:val="TableParagraph"/>
              <w:rPr>
                <w:sz w:val="6"/>
              </w:rPr>
            </w:pPr>
          </w:p>
        </w:tc>
      </w:tr>
      <w:tr w:rsidR="00245300" w:rsidRPr="00EC20A0" w14:paraId="24D60D44"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24D60D42" w14:textId="77777777" w:rsidR="00245300" w:rsidRPr="00EC20A0" w:rsidRDefault="00F17249">
            <w:pPr>
              <w:pStyle w:val="TableParagraph"/>
              <w:spacing w:before="144"/>
              <w:ind w:right="362"/>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24D60D43"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D58" w14:textId="77777777">
        <w:trPr>
          <w:trHeight w:val="2691"/>
        </w:trPr>
        <w:tc>
          <w:tcPr>
            <w:tcW w:w="8044" w:type="dxa"/>
            <w:tcBorders>
              <w:top w:val="double" w:sz="6" w:space="0" w:color="000000"/>
              <w:left w:val="double" w:sz="6" w:space="0" w:color="000000"/>
              <w:bottom w:val="nil"/>
              <w:right w:val="single" w:sz="6" w:space="0" w:color="000000"/>
            </w:tcBorders>
          </w:tcPr>
          <w:p w14:paraId="24D60D45" w14:textId="77777777" w:rsidR="00245300" w:rsidRPr="00EC20A0" w:rsidRDefault="00F17249">
            <w:pPr>
              <w:pStyle w:val="TableParagraph"/>
              <w:spacing w:before="145"/>
              <w:ind w:left="131"/>
              <w:rPr>
                <w:b/>
              </w:rPr>
            </w:pPr>
            <w:r w:rsidRPr="00EC20A0">
              <w:rPr>
                <w:b/>
              </w:rPr>
              <w:t>Civil</w:t>
            </w:r>
            <w:r w:rsidRPr="00EC20A0">
              <w:rPr>
                <w:b/>
                <w:spacing w:val="-4"/>
              </w:rPr>
              <w:t xml:space="preserve"> </w:t>
            </w:r>
            <w:r w:rsidRPr="00EC20A0">
              <w:rPr>
                <w:b/>
              </w:rPr>
              <w:t>Service</w:t>
            </w:r>
            <w:r w:rsidRPr="00EC20A0">
              <w:rPr>
                <w:b/>
                <w:spacing w:val="-4"/>
              </w:rPr>
              <w:t xml:space="preserve"> </w:t>
            </w:r>
            <w:r w:rsidRPr="00EC20A0">
              <w:rPr>
                <w:b/>
              </w:rPr>
              <w:t>Retirement</w:t>
            </w:r>
            <w:r w:rsidRPr="00EC20A0">
              <w:rPr>
                <w:b/>
                <w:spacing w:val="-4"/>
              </w:rPr>
              <w:t xml:space="preserve"> </w:t>
            </w:r>
            <w:r w:rsidRPr="00EC20A0">
              <w:rPr>
                <w:b/>
              </w:rPr>
              <w:t>Act</w:t>
            </w:r>
            <w:r w:rsidRPr="00EC20A0">
              <w:rPr>
                <w:b/>
                <w:spacing w:val="-4"/>
              </w:rPr>
              <w:t xml:space="preserve"> </w:t>
            </w:r>
            <w:r w:rsidRPr="00EC20A0">
              <w:rPr>
                <w:b/>
              </w:rPr>
              <w:t>(CSRA),</w:t>
            </w:r>
            <w:r w:rsidRPr="00EC20A0">
              <w:rPr>
                <w:b/>
                <w:spacing w:val="-4"/>
              </w:rPr>
              <w:t xml:space="preserve"> </w:t>
            </w:r>
            <w:r w:rsidRPr="00EC20A0">
              <w:rPr>
                <w:b/>
              </w:rPr>
              <w:t>as</w:t>
            </w:r>
            <w:r w:rsidRPr="00EC20A0">
              <w:rPr>
                <w:b/>
                <w:spacing w:val="-4"/>
              </w:rPr>
              <w:t xml:space="preserve"> </w:t>
            </w:r>
            <w:r w:rsidRPr="00EC20A0">
              <w:rPr>
                <w:b/>
              </w:rPr>
              <w:t>provided</w:t>
            </w:r>
            <w:r w:rsidRPr="00EC20A0">
              <w:rPr>
                <w:b/>
                <w:spacing w:val="-4"/>
              </w:rPr>
              <w:t xml:space="preserve"> </w:t>
            </w:r>
            <w:r w:rsidRPr="00EC20A0">
              <w:rPr>
                <w:b/>
              </w:rPr>
              <w:t>in</w:t>
            </w:r>
            <w:r w:rsidRPr="00EC20A0">
              <w:rPr>
                <w:b/>
                <w:spacing w:val="-4"/>
              </w:rPr>
              <w:t xml:space="preserve"> </w:t>
            </w:r>
            <w:r w:rsidRPr="00EC20A0">
              <w:rPr>
                <w:b/>
              </w:rPr>
              <w:t>5</w:t>
            </w:r>
            <w:r w:rsidRPr="00EC20A0">
              <w:rPr>
                <w:b/>
                <w:spacing w:val="-4"/>
              </w:rPr>
              <w:t xml:space="preserve"> </w:t>
            </w:r>
            <w:r w:rsidRPr="00EC20A0">
              <w:rPr>
                <w:b/>
              </w:rPr>
              <w:t>U.S.C.</w:t>
            </w:r>
            <w:r w:rsidRPr="00EC20A0">
              <w:rPr>
                <w:b/>
                <w:spacing w:val="-4"/>
              </w:rPr>
              <w:t xml:space="preserve"> </w:t>
            </w:r>
            <w:r w:rsidRPr="00EC20A0">
              <w:rPr>
                <w:b/>
              </w:rPr>
              <w:t>chapter</w:t>
            </w:r>
            <w:r w:rsidRPr="00EC20A0">
              <w:rPr>
                <w:b/>
                <w:spacing w:val="-5"/>
              </w:rPr>
              <w:t xml:space="preserve"> </w:t>
            </w:r>
            <w:r w:rsidRPr="00EC20A0">
              <w:rPr>
                <w:b/>
              </w:rPr>
              <w:t>83, subchapter III</w:t>
            </w:r>
          </w:p>
          <w:p w14:paraId="24D60D46" w14:textId="77777777" w:rsidR="00245300" w:rsidRPr="00EC20A0" w:rsidRDefault="00F17249">
            <w:pPr>
              <w:pStyle w:val="TableParagraph"/>
              <w:spacing w:before="143"/>
              <w:ind w:left="131"/>
            </w:pPr>
            <w:r w:rsidRPr="00EC20A0">
              <w:t>This law provides retirement benefits to employees who were hired prior to January</w:t>
            </w:r>
            <w:r w:rsidRPr="00EC20A0">
              <w:rPr>
                <w:spacing w:val="-3"/>
              </w:rPr>
              <w:t xml:space="preserve"> </w:t>
            </w:r>
            <w:r w:rsidRPr="00EC20A0">
              <w:t>1,</w:t>
            </w:r>
            <w:r w:rsidRPr="00EC20A0">
              <w:rPr>
                <w:spacing w:val="-3"/>
              </w:rPr>
              <w:t xml:space="preserve"> </w:t>
            </w:r>
            <w:r w:rsidRPr="00EC20A0">
              <w:t>1984.</w:t>
            </w:r>
            <w:r w:rsidRPr="00EC20A0">
              <w:rPr>
                <w:spacing w:val="-3"/>
              </w:rPr>
              <w:t xml:space="preserve"> </w:t>
            </w:r>
            <w:r w:rsidRPr="00EC20A0">
              <w:t>For</w:t>
            </w:r>
            <w:r w:rsidRPr="00EC20A0">
              <w:rPr>
                <w:spacing w:val="-3"/>
              </w:rPr>
              <w:t xml:space="preserve"> </w:t>
            </w:r>
            <w:r w:rsidRPr="00EC20A0">
              <w:t>each</w:t>
            </w:r>
            <w:r w:rsidRPr="00EC20A0">
              <w:rPr>
                <w:spacing w:val="-3"/>
              </w:rPr>
              <w:t xml:space="preserve"> </w:t>
            </w:r>
            <w:r w:rsidRPr="00EC20A0">
              <w:t>employee,</w:t>
            </w:r>
            <w:r w:rsidRPr="00EC20A0">
              <w:rPr>
                <w:spacing w:val="-3"/>
              </w:rPr>
              <w:t xml:space="preserve"> </w:t>
            </w:r>
            <w:r w:rsidRPr="00EC20A0">
              <w:t>the</w:t>
            </w:r>
            <w:r w:rsidRPr="00EC20A0">
              <w:rPr>
                <w:spacing w:val="-3"/>
              </w:rPr>
              <w:t xml:space="preserve"> </w:t>
            </w:r>
            <w:r w:rsidRPr="00EC20A0">
              <w:t>entity</w:t>
            </w:r>
            <w:r w:rsidRPr="00EC20A0">
              <w:rPr>
                <w:spacing w:val="-4"/>
              </w:rPr>
              <w:t xml:space="preserve"> </w:t>
            </w:r>
            <w:r w:rsidRPr="00EC20A0">
              <w:t>withholds</w:t>
            </w:r>
            <w:r w:rsidRPr="00EC20A0">
              <w:rPr>
                <w:spacing w:val="-3"/>
              </w:rPr>
              <w:t xml:space="preserve"> </w:t>
            </w:r>
            <w:r w:rsidRPr="00EC20A0">
              <w:t>a</w:t>
            </w:r>
            <w:r w:rsidRPr="00EC20A0">
              <w:rPr>
                <w:spacing w:val="-4"/>
              </w:rPr>
              <w:t xml:space="preserve"> </w:t>
            </w:r>
            <w:r w:rsidRPr="00EC20A0">
              <w:t>percentage</w:t>
            </w:r>
            <w:r w:rsidRPr="00EC20A0">
              <w:rPr>
                <w:spacing w:val="-4"/>
              </w:rPr>
              <w:t xml:space="preserve"> </w:t>
            </w:r>
            <w:r w:rsidRPr="00EC20A0">
              <w:t>of</w:t>
            </w:r>
            <w:r w:rsidRPr="00EC20A0">
              <w:rPr>
                <w:spacing w:val="-3"/>
              </w:rPr>
              <w:t xml:space="preserve"> </w:t>
            </w:r>
            <w:r w:rsidRPr="00EC20A0">
              <w:t>basic pay from the employee’s compensation and contributes an equal amount for retirement. For most employees, the entity contribution shall be paid from the appropriation account or fund used to pay the employee. The employee and entity amounts are deposited into the Treasury to the credit of the Civil Service Retirement and Disability Fund.</w:t>
            </w:r>
          </w:p>
        </w:tc>
        <w:tc>
          <w:tcPr>
            <w:tcW w:w="1319" w:type="dxa"/>
            <w:vMerge w:val="restart"/>
            <w:tcBorders>
              <w:top w:val="double" w:sz="6" w:space="0" w:color="000000"/>
              <w:left w:val="single" w:sz="6" w:space="0" w:color="000000"/>
              <w:bottom w:val="double" w:sz="6" w:space="0" w:color="000000"/>
              <w:right w:val="double" w:sz="6" w:space="0" w:color="000000"/>
            </w:tcBorders>
          </w:tcPr>
          <w:p w14:paraId="24D60D47" w14:textId="77777777" w:rsidR="00245300" w:rsidRPr="00EC20A0" w:rsidRDefault="00245300">
            <w:pPr>
              <w:pStyle w:val="TableParagraph"/>
              <w:rPr>
                <w:sz w:val="20"/>
              </w:rPr>
            </w:pPr>
          </w:p>
          <w:p w14:paraId="24D60D48" w14:textId="77777777" w:rsidR="00245300" w:rsidRPr="00EC20A0" w:rsidRDefault="00245300">
            <w:pPr>
              <w:pStyle w:val="TableParagraph"/>
              <w:rPr>
                <w:sz w:val="20"/>
              </w:rPr>
            </w:pPr>
          </w:p>
          <w:p w14:paraId="24D60D49" w14:textId="77777777" w:rsidR="00245300" w:rsidRPr="00EC20A0" w:rsidRDefault="00245300">
            <w:pPr>
              <w:pStyle w:val="TableParagraph"/>
              <w:rPr>
                <w:sz w:val="20"/>
              </w:rPr>
            </w:pPr>
          </w:p>
          <w:p w14:paraId="24D60D4A" w14:textId="77777777" w:rsidR="00245300" w:rsidRPr="00EC20A0" w:rsidRDefault="00245300">
            <w:pPr>
              <w:pStyle w:val="TableParagraph"/>
              <w:rPr>
                <w:sz w:val="20"/>
              </w:rPr>
            </w:pPr>
          </w:p>
          <w:p w14:paraId="24D60D4B" w14:textId="77777777" w:rsidR="00245300" w:rsidRPr="00EC20A0" w:rsidRDefault="00245300">
            <w:pPr>
              <w:pStyle w:val="TableParagraph"/>
              <w:rPr>
                <w:sz w:val="20"/>
              </w:rPr>
            </w:pPr>
          </w:p>
          <w:p w14:paraId="24D60D4C" w14:textId="77777777" w:rsidR="00245300" w:rsidRPr="00EC20A0" w:rsidRDefault="00245300">
            <w:pPr>
              <w:pStyle w:val="TableParagraph"/>
              <w:rPr>
                <w:sz w:val="20"/>
              </w:rPr>
            </w:pPr>
          </w:p>
          <w:p w14:paraId="24D60D4D" w14:textId="77777777" w:rsidR="00245300" w:rsidRPr="00EC20A0" w:rsidRDefault="00245300">
            <w:pPr>
              <w:pStyle w:val="TableParagraph"/>
              <w:rPr>
                <w:sz w:val="20"/>
              </w:rPr>
            </w:pPr>
          </w:p>
          <w:p w14:paraId="24D60D4E" w14:textId="77777777" w:rsidR="00245300" w:rsidRPr="00EC20A0" w:rsidRDefault="00245300">
            <w:pPr>
              <w:pStyle w:val="TableParagraph"/>
              <w:rPr>
                <w:sz w:val="20"/>
              </w:rPr>
            </w:pPr>
          </w:p>
          <w:p w14:paraId="24D60D4F" w14:textId="77777777" w:rsidR="00245300" w:rsidRPr="00EC20A0" w:rsidRDefault="00245300">
            <w:pPr>
              <w:pStyle w:val="TableParagraph"/>
              <w:rPr>
                <w:sz w:val="20"/>
              </w:rPr>
            </w:pPr>
          </w:p>
          <w:p w14:paraId="24D60D50" w14:textId="77777777" w:rsidR="00245300" w:rsidRPr="00EC20A0" w:rsidRDefault="00245300">
            <w:pPr>
              <w:pStyle w:val="TableParagraph"/>
              <w:rPr>
                <w:sz w:val="20"/>
              </w:rPr>
            </w:pPr>
          </w:p>
          <w:p w14:paraId="24D60D51" w14:textId="77777777" w:rsidR="00245300" w:rsidRPr="00EC20A0" w:rsidRDefault="00245300">
            <w:pPr>
              <w:pStyle w:val="TableParagraph"/>
              <w:rPr>
                <w:sz w:val="20"/>
              </w:rPr>
            </w:pPr>
          </w:p>
          <w:p w14:paraId="24D60D52" w14:textId="77777777" w:rsidR="00245300" w:rsidRPr="00EC20A0" w:rsidRDefault="00245300">
            <w:pPr>
              <w:pStyle w:val="TableParagraph"/>
              <w:rPr>
                <w:sz w:val="20"/>
              </w:rPr>
            </w:pPr>
          </w:p>
          <w:p w14:paraId="24D60D53" w14:textId="77777777" w:rsidR="00245300" w:rsidRPr="00EC20A0" w:rsidRDefault="00245300">
            <w:pPr>
              <w:pStyle w:val="TableParagraph"/>
              <w:rPr>
                <w:sz w:val="20"/>
              </w:rPr>
            </w:pPr>
          </w:p>
          <w:p w14:paraId="24D60D54" w14:textId="77777777" w:rsidR="00245300" w:rsidRPr="00EC20A0" w:rsidRDefault="00245300">
            <w:pPr>
              <w:pStyle w:val="TableParagraph"/>
              <w:rPr>
                <w:sz w:val="20"/>
              </w:rPr>
            </w:pPr>
          </w:p>
          <w:p w14:paraId="24D60D55" w14:textId="77777777" w:rsidR="00245300" w:rsidRPr="00EC20A0" w:rsidRDefault="00245300">
            <w:pPr>
              <w:pStyle w:val="TableParagraph"/>
              <w:rPr>
                <w:sz w:val="20"/>
              </w:rPr>
            </w:pPr>
          </w:p>
          <w:p w14:paraId="24D60D56" w14:textId="77777777" w:rsidR="00245300" w:rsidRPr="00EC20A0" w:rsidRDefault="00245300">
            <w:pPr>
              <w:pStyle w:val="TableParagraph"/>
              <w:spacing w:before="211" w:after="1"/>
              <w:rPr>
                <w:sz w:val="20"/>
              </w:rPr>
            </w:pPr>
          </w:p>
          <w:p w14:paraId="24D60D57" w14:textId="77777777" w:rsidR="00245300" w:rsidRPr="00EC20A0" w:rsidRDefault="00F17249">
            <w:pPr>
              <w:pStyle w:val="TableParagraph"/>
              <w:spacing w:line="20" w:lineRule="exact"/>
              <w:ind w:left="145"/>
              <w:rPr>
                <w:sz w:val="2"/>
              </w:rPr>
            </w:pPr>
            <w:r w:rsidRPr="00EC20A0">
              <w:rPr>
                <w:noProof/>
                <w:sz w:val="2"/>
              </w:rPr>
              <mc:AlternateContent>
                <mc:Choice Requires="wpg">
                  <w:drawing>
                    <wp:inline distT="0" distB="0" distL="0" distR="0" wp14:anchorId="24D62B45" wp14:editId="24D62B46">
                      <wp:extent cx="621665" cy="8890"/>
                      <wp:effectExtent l="9525" t="0" r="0" b="63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47" name="Graphic 347"/>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9EE1AC" id="Group 346"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AMvnn5wAgAAjwUAAA4AAAAAAAAAAAAAAAAA&#10;LgIAAGRycy9lMm9Eb2MueG1sUEsBAi0AFAAGAAgAAAAhABFF7qTaAAAAAgEAAA8AAAAAAAAAAAAA&#10;AAAAygQAAGRycy9kb3ducmV2LnhtbFBLBQYAAAAABAAEAPMAAADRBQAAAAA=&#10;">
                      <v:shape id="Graphic 347"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" path="m,l621371,e" filled="f" strokeweight=".24403mm">
                        <v:path arrowok="t"/>
                      </v:shape>
                      <w10:anchorlock/>
                    </v:group>
                  </w:pict>
                </mc:Fallback>
              </mc:AlternateContent>
            </w:r>
          </w:p>
        </w:tc>
      </w:tr>
      <w:tr w:rsidR="00245300" w:rsidRPr="00EC20A0" w14:paraId="24D60D5B" w14:textId="77777777">
        <w:trPr>
          <w:trHeight w:val="1507"/>
        </w:trPr>
        <w:tc>
          <w:tcPr>
            <w:tcW w:w="8044" w:type="dxa"/>
            <w:tcBorders>
              <w:top w:val="nil"/>
              <w:left w:val="double" w:sz="6" w:space="0" w:color="000000"/>
              <w:bottom w:val="nil"/>
              <w:right w:val="single" w:sz="6" w:space="0" w:color="000000"/>
            </w:tcBorders>
          </w:tcPr>
          <w:p w14:paraId="24D60D59" w14:textId="77777777" w:rsidR="00245300" w:rsidRPr="00EC20A0" w:rsidRDefault="00F17249">
            <w:pPr>
              <w:pStyle w:val="TableParagraph"/>
              <w:spacing w:before="118"/>
              <w:ind w:left="131" w:right="141"/>
              <w:rPr>
                <w:i/>
              </w:rPr>
            </w:pPr>
            <w:r w:rsidRPr="00EC20A0">
              <w:rPr>
                <w:i/>
              </w:rPr>
              <w:t xml:space="preserve">Does the entity’s expense for retirement costs under the Civil Service Retirement Act for the audit period exceed materiality, or did the auditor determine that the </w:t>
            </w:r>
            <w:r w:rsidRPr="00EC20A0">
              <w:rPr>
                <w:i/>
              </w:rPr>
              <w:t>Civil Service Retirement Act has a direct effect on the determination</w:t>
            </w:r>
            <w:r w:rsidRPr="00EC20A0">
              <w:rPr>
                <w:i/>
                <w:spacing w:val="-4"/>
              </w:rPr>
              <w:t xml:space="preserve"> </w:t>
            </w:r>
            <w:r w:rsidRPr="00EC20A0">
              <w:rPr>
                <w:i/>
              </w:rPr>
              <w:t>of</w:t>
            </w:r>
            <w:r w:rsidRPr="00EC20A0">
              <w:rPr>
                <w:i/>
                <w:spacing w:val="-4"/>
              </w:rPr>
              <w:t xml:space="preserve"> </w:t>
            </w:r>
            <w:r w:rsidRPr="00EC20A0">
              <w:rPr>
                <w:i/>
              </w:rPr>
              <w:t>material</w:t>
            </w:r>
            <w:r w:rsidRPr="00EC20A0">
              <w:rPr>
                <w:i/>
                <w:spacing w:val="-4"/>
              </w:rPr>
              <w:t xml:space="preserve"> </w:t>
            </w:r>
            <w:r w:rsidRPr="00EC20A0">
              <w:rPr>
                <w:i/>
              </w:rPr>
              <w:t>amounts</w:t>
            </w:r>
            <w:r w:rsidRPr="00EC20A0">
              <w:rPr>
                <w:i/>
                <w:spacing w:val="-4"/>
              </w:rPr>
              <w:t xml:space="preserve"> </w:t>
            </w:r>
            <w:r w:rsidRPr="00EC20A0">
              <w:rPr>
                <w:i/>
              </w:rPr>
              <w:t>and</w:t>
            </w:r>
            <w:r w:rsidRPr="00EC20A0">
              <w:rPr>
                <w:i/>
                <w:spacing w:val="-4"/>
              </w:rPr>
              <w:t xml:space="preserve"> </w:t>
            </w:r>
            <w:r w:rsidRPr="00EC20A0">
              <w:rPr>
                <w:i/>
              </w:rPr>
              <w:t>disclosures</w:t>
            </w:r>
            <w:r w:rsidRPr="00EC20A0">
              <w:rPr>
                <w:i/>
                <w:spacing w:val="-4"/>
              </w:rPr>
              <w:t xml:space="preserve"> </w:t>
            </w:r>
            <w:r w:rsidRPr="00EC20A0">
              <w:rPr>
                <w:i/>
              </w:rPr>
              <w:t>in</w:t>
            </w:r>
            <w:r w:rsidRPr="00EC20A0">
              <w:rPr>
                <w:i/>
                <w:spacing w:val="-4"/>
              </w:rPr>
              <w:t xml:space="preserve"> </w:t>
            </w:r>
            <w:r w:rsidRPr="00EC20A0">
              <w:rPr>
                <w:i/>
              </w:rPr>
              <w:t>the</w:t>
            </w:r>
            <w:r w:rsidRPr="00EC20A0">
              <w:rPr>
                <w:i/>
                <w:spacing w:val="-4"/>
              </w:rPr>
              <w:t xml:space="preserve"> </w:t>
            </w:r>
            <w:r w:rsidRPr="00EC20A0">
              <w:rPr>
                <w:i/>
              </w:rPr>
              <w:t>entity’s</w:t>
            </w:r>
            <w:r w:rsidRPr="00EC20A0">
              <w:rPr>
                <w:i/>
                <w:spacing w:val="-4"/>
              </w:rPr>
              <w:t xml:space="preserve"> </w:t>
            </w:r>
            <w:r w:rsidRPr="00EC20A0">
              <w:rPr>
                <w:i/>
              </w:rPr>
              <w:t xml:space="preserve">financial </w:t>
            </w:r>
            <w:r w:rsidRPr="00EC20A0">
              <w:rPr>
                <w:i/>
                <w:spacing w:val="-2"/>
              </w:rPr>
              <w:t>statements?</w:t>
            </w:r>
          </w:p>
        </w:tc>
        <w:tc>
          <w:tcPr>
            <w:tcW w:w="1319" w:type="dxa"/>
            <w:vMerge/>
            <w:tcBorders>
              <w:top w:val="nil"/>
              <w:left w:val="single" w:sz="6" w:space="0" w:color="000000"/>
              <w:bottom w:val="double" w:sz="6" w:space="0" w:color="000000"/>
              <w:right w:val="double" w:sz="6" w:space="0" w:color="000000"/>
            </w:tcBorders>
          </w:tcPr>
          <w:p w14:paraId="24D60D5A" w14:textId="77777777" w:rsidR="00245300" w:rsidRPr="00EC20A0" w:rsidRDefault="00245300">
            <w:pPr>
              <w:rPr>
                <w:sz w:val="2"/>
                <w:szCs w:val="2"/>
              </w:rPr>
            </w:pPr>
          </w:p>
        </w:tc>
      </w:tr>
      <w:tr w:rsidR="00245300" w:rsidRPr="00EC20A0" w14:paraId="24D60D63" w14:textId="77777777">
        <w:trPr>
          <w:trHeight w:val="1835"/>
        </w:trPr>
        <w:tc>
          <w:tcPr>
            <w:tcW w:w="8044" w:type="dxa"/>
            <w:tcBorders>
              <w:top w:val="nil"/>
              <w:left w:val="double" w:sz="6" w:space="0" w:color="000000"/>
              <w:bottom w:val="nil"/>
              <w:right w:val="single" w:sz="6" w:space="0" w:color="000000"/>
            </w:tcBorders>
          </w:tcPr>
          <w:p w14:paraId="24D60D5C" w14:textId="77777777" w:rsidR="00245300" w:rsidRPr="00EC20A0" w:rsidRDefault="00F17249">
            <w:pPr>
              <w:pStyle w:val="TableParagraph"/>
              <w:tabs>
                <w:tab w:val="left" w:pos="6807"/>
              </w:tabs>
              <w:spacing w:before="118"/>
              <w:ind w:left="4532"/>
            </w:pPr>
            <w:r w:rsidRPr="00EC20A0">
              <w:rPr>
                <w:spacing w:val="-2"/>
                <w:u w:val="single"/>
              </w:rPr>
              <w:t>Preliminary</w:t>
            </w:r>
            <w:r w:rsidRPr="00EC20A0">
              <w:tab/>
            </w:r>
            <w:r w:rsidRPr="00EC20A0">
              <w:rPr>
                <w:spacing w:val="-2"/>
                <w:u w:val="single"/>
              </w:rPr>
              <w:t>Final</w:t>
            </w:r>
          </w:p>
          <w:p w14:paraId="24D60D5D" w14:textId="77777777" w:rsidR="00245300" w:rsidRPr="00EC20A0" w:rsidRDefault="00245300">
            <w:pPr>
              <w:pStyle w:val="TableParagraph"/>
              <w:spacing w:before="35"/>
            </w:pPr>
          </w:p>
          <w:p w14:paraId="24D60D5E" w14:textId="77777777" w:rsidR="00245300" w:rsidRPr="00EC20A0" w:rsidRDefault="00F17249">
            <w:pPr>
              <w:pStyle w:val="TableParagraph"/>
              <w:ind w:left="299" w:right="4319"/>
            </w:pPr>
            <w:r w:rsidRPr="00EC20A0">
              <w:t>Expense</w:t>
            </w:r>
            <w:r w:rsidRPr="00EC20A0">
              <w:rPr>
                <w:spacing w:val="-16"/>
              </w:rPr>
              <w:t xml:space="preserve"> </w:t>
            </w:r>
            <w:r w:rsidRPr="00EC20A0">
              <w:t>for</w:t>
            </w:r>
            <w:r w:rsidRPr="00EC20A0">
              <w:rPr>
                <w:spacing w:val="-15"/>
              </w:rPr>
              <w:t xml:space="preserve"> </w:t>
            </w:r>
            <w:r w:rsidRPr="00EC20A0">
              <w:t xml:space="preserve">retirement </w:t>
            </w:r>
            <w:r w:rsidRPr="00EC20A0">
              <w:rPr>
                <w:spacing w:val="-2"/>
              </w:rPr>
              <w:t>contributions</w:t>
            </w:r>
          </w:p>
          <w:p w14:paraId="24D60D5F" w14:textId="77777777" w:rsidR="00245300" w:rsidRPr="00EC20A0" w:rsidRDefault="00245300">
            <w:pPr>
              <w:pStyle w:val="TableParagraph"/>
              <w:spacing w:before="6"/>
              <w:rPr>
                <w:sz w:val="12"/>
              </w:rPr>
            </w:pPr>
          </w:p>
          <w:p w14:paraId="24D60D60" w14:textId="77777777" w:rsidR="00245300" w:rsidRPr="00EC20A0" w:rsidRDefault="00F17249">
            <w:pPr>
              <w:pStyle w:val="TableParagraph"/>
              <w:spacing w:line="20" w:lineRule="exact"/>
              <w:ind w:left="4062"/>
              <w:rPr>
                <w:sz w:val="2"/>
              </w:rPr>
            </w:pPr>
            <w:r w:rsidRPr="00EC20A0">
              <w:rPr>
                <w:noProof/>
              </w:rPr>
              <mc:AlternateContent>
                <mc:Choice Requires="wpg">
                  <w:drawing>
                    <wp:anchor distT="0" distB="0" distL="0" distR="0" simplePos="0" relativeHeight="475279360" behindDoc="1" locked="0" layoutInCell="1" allowOverlap="1" wp14:anchorId="24D62B47" wp14:editId="24D62B48">
                      <wp:simplePos x="0" y="0"/>
                      <wp:positionH relativeFrom="column">
                        <wp:posOffset>2588514</wp:posOffset>
                      </wp:positionH>
                      <wp:positionV relativeFrom="paragraph">
                        <wp:posOffset>346709</wp:posOffset>
                      </wp:positionV>
                      <wp:extent cx="1295400" cy="317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49" name="Graphic 34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DBF78D" id="Group 348" o:spid="_x0000_s1026" style="position:absolute;margin-left:203.8pt;margin-top:27.3pt;width:102pt;height:.25pt;z-index:-2803712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">
                      <v:shape id="Graphic 34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79872" behindDoc="1" locked="0" layoutInCell="1" allowOverlap="1" wp14:anchorId="24D62B49" wp14:editId="24D62B4A">
                      <wp:simplePos x="0" y="0"/>
                      <wp:positionH relativeFrom="column">
                        <wp:posOffset>3960114</wp:posOffset>
                      </wp:positionH>
                      <wp:positionV relativeFrom="paragraph">
                        <wp:posOffset>346709</wp:posOffset>
                      </wp:positionV>
                      <wp:extent cx="1045844" cy="317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51" name="Graphic 351"/>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7E3E68" id="Group 350" o:spid="_x0000_s1026" style="position:absolute;margin-left:311.8pt;margin-top:27.3pt;width:82.35pt;height:.25pt;z-index:-2803660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">
                      <v:shape id="Graphic 351"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" path="m1045463,l,,,3048r1045463,l1045463,xe" fillcolor="black" stroked="f">
                        <v:path arrowok="t"/>
                      </v:shape>
                    </v:group>
                  </w:pict>
                </mc:Fallback>
              </mc:AlternateContent>
            </w:r>
            <w:r w:rsidRPr="00EC20A0">
              <w:rPr>
                <w:noProof/>
                <w:sz w:val="2"/>
              </w:rPr>
              <mc:AlternateContent>
                <mc:Choice Requires="wpg">
                  <w:drawing>
                    <wp:inline distT="0" distB="0" distL="0" distR="0" wp14:anchorId="24D62B4B" wp14:editId="24D62B4C">
                      <wp:extent cx="1295400" cy="3175"/>
                      <wp:effectExtent l="0" t="0" r="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53" name="Graphic 353"/>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DB060D" id="Group 352"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HTU9kRxAgAA8wUAAA4AAAAAAAAAAAAAAAAA&#10;LgIAAGRycy9lMm9Eb2MueG1sUEsBAi0AFAAGAAgAAAAhAPt8ozjZAAAAAgEAAA8AAAAAAAAAAAAA&#10;AAAAywQAAGRycy9kb3ducmV2LnhtbFBLBQYAAAAABAAEAPMAAADRBQAAAAA=&#10;">
                      <v:shape id="Graphic 353"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" path="m1295400,l,,,3048r1295400,l1295400,xe" fillcolor="black" stroked="f">
                        <v:path arrowok="t"/>
                      </v:shape>
                      <w10:anchorlock/>
                    </v:group>
                  </w:pict>
                </mc:Fallback>
              </mc:AlternateContent>
            </w:r>
            <w:r w:rsidRPr="00EC20A0">
              <w:rPr>
                <w:spacing w:val="95"/>
                <w:sz w:val="2"/>
              </w:rPr>
              <w:t xml:space="preserve"> </w:t>
            </w:r>
            <w:r w:rsidRPr="00EC20A0">
              <w:rPr>
                <w:noProof/>
                <w:spacing w:val="95"/>
                <w:sz w:val="2"/>
              </w:rPr>
              <mc:AlternateContent>
                <mc:Choice Requires="wpg">
                  <w:drawing>
                    <wp:inline distT="0" distB="0" distL="0" distR="0" wp14:anchorId="24D62B4D" wp14:editId="24D62B4E">
                      <wp:extent cx="1045844" cy="3175"/>
                      <wp:effectExtent l="0" t="0" r="0" b="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55" name="Graphic 355"/>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25CF84" id="Group 354"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">
                      <v:shape id="Graphic 355"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" path="m1045463,l,,,3048r1045463,l1045463,xe" fillcolor="black" stroked="f">
                        <v:path arrowok="t"/>
                      </v:shape>
                      <w10:anchorlock/>
                    </v:group>
                  </w:pict>
                </mc:Fallback>
              </mc:AlternateContent>
            </w:r>
          </w:p>
          <w:p w14:paraId="24D60D61" w14:textId="77777777" w:rsidR="00245300" w:rsidRPr="00EC20A0" w:rsidRDefault="00F17249">
            <w:pPr>
              <w:pStyle w:val="TableParagraph"/>
              <w:spacing w:before="129"/>
              <w:ind w:left="299"/>
            </w:pPr>
            <w:r w:rsidRPr="00EC20A0">
              <w:rPr>
                <w:spacing w:val="-2"/>
              </w:rPr>
              <w:t>Materiality</w:t>
            </w:r>
          </w:p>
        </w:tc>
        <w:tc>
          <w:tcPr>
            <w:tcW w:w="1319" w:type="dxa"/>
            <w:vMerge/>
            <w:tcBorders>
              <w:top w:val="nil"/>
              <w:left w:val="single" w:sz="6" w:space="0" w:color="000000"/>
              <w:bottom w:val="double" w:sz="6" w:space="0" w:color="000000"/>
              <w:right w:val="double" w:sz="6" w:space="0" w:color="000000"/>
            </w:tcBorders>
          </w:tcPr>
          <w:p w14:paraId="24D60D62" w14:textId="77777777" w:rsidR="00245300" w:rsidRPr="00EC20A0" w:rsidRDefault="00245300">
            <w:pPr>
              <w:rPr>
                <w:sz w:val="2"/>
                <w:szCs w:val="2"/>
              </w:rPr>
            </w:pPr>
          </w:p>
        </w:tc>
      </w:tr>
      <w:tr w:rsidR="00245300" w:rsidRPr="00EC20A0" w14:paraId="24D60D68" w14:textId="77777777">
        <w:trPr>
          <w:trHeight w:val="992"/>
        </w:trPr>
        <w:tc>
          <w:tcPr>
            <w:tcW w:w="8044" w:type="dxa"/>
            <w:tcBorders>
              <w:top w:val="nil"/>
              <w:left w:val="double" w:sz="6" w:space="0" w:color="000000"/>
              <w:bottom w:val="double" w:sz="6" w:space="0" w:color="000000"/>
              <w:right w:val="single" w:sz="6" w:space="0" w:color="000000"/>
            </w:tcBorders>
          </w:tcPr>
          <w:p w14:paraId="24D60D64" w14:textId="77777777" w:rsidR="00245300" w:rsidRPr="00EC20A0" w:rsidRDefault="00245300">
            <w:pPr>
              <w:pStyle w:val="TableParagraph"/>
            </w:pPr>
          </w:p>
          <w:p w14:paraId="24D60D65" w14:textId="77777777" w:rsidR="00245300" w:rsidRPr="00EC20A0" w:rsidRDefault="00245300">
            <w:pPr>
              <w:pStyle w:val="TableParagraph"/>
              <w:spacing w:before="89"/>
            </w:pPr>
          </w:p>
          <w:p w14:paraId="24D60D66" w14:textId="77777777" w:rsidR="00245300" w:rsidRPr="00EC20A0" w:rsidRDefault="00F17249">
            <w:pPr>
              <w:pStyle w:val="TableParagraph"/>
              <w:ind w:left="131"/>
            </w:pPr>
            <w:r w:rsidRPr="00EC20A0">
              <w:t>If</w:t>
            </w:r>
            <w:r w:rsidRPr="00EC20A0">
              <w:rPr>
                <w:spacing w:val="-7"/>
              </w:rPr>
              <w:t xml:space="preserve"> </w:t>
            </w:r>
            <w:r w:rsidRPr="00EC20A0">
              <w:t>yes,</w:t>
            </w:r>
            <w:r w:rsidRPr="00EC20A0">
              <w:rPr>
                <w:spacing w:val="-6"/>
              </w:rPr>
              <w:t xml:space="preserve"> </w:t>
            </w:r>
            <w:r w:rsidRPr="00EC20A0">
              <w:t>then</w:t>
            </w:r>
            <w:r w:rsidRPr="00EC20A0">
              <w:rPr>
                <w:spacing w:val="-7"/>
              </w:rPr>
              <w:t xml:space="preserve"> </w:t>
            </w:r>
            <w:r w:rsidRPr="00EC20A0">
              <w:t>complete</w:t>
            </w:r>
            <w:r w:rsidRPr="00EC20A0">
              <w:rPr>
                <w:spacing w:val="-6"/>
              </w:rPr>
              <w:t xml:space="preserve"> </w:t>
            </w:r>
            <w:r w:rsidRPr="00EC20A0">
              <w:t>the</w:t>
            </w:r>
            <w:r w:rsidRPr="00EC20A0">
              <w:rPr>
                <w:spacing w:val="-6"/>
              </w:rPr>
              <w:t xml:space="preserve"> </w:t>
            </w:r>
            <w:r w:rsidRPr="00EC20A0">
              <w:t>compliance</w:t>
            </w:r>
            <w:r w:rsidRPr="00EC20A0">
              <w:rPr>
                <w:spacing w:val="-7"/>
              </w:rPr>
              <w:t xml:space="preserve"> </w:t>
            </w:r>
            <w:r w:rsidRPr="00EC20A0">
              <w:t>supplement</w:t>
            </w:r>
            <w:r w:rsidRPr="00EC20A0">
              <w:rPr>
                <w:spacing w:val="-6"/>
              </w:rPr>
              <w:t xml:space="preserve"> </w:t>
            </w:r>
            <w:r w:rsidRPr="00EC20A0">
              <w:t>at</w:t>
            </w:r>
            <w:r w:rsidRPr="00EC20A0">
              <w:rPr>
                <w:spacing w:val="-6"/>
              </w:rPr>
              <w:t xml:space="preserve"> </w:t>
            </w:r>
            <w:r w:rsidRPr="00EC20A0">
              <w:t>FAM</w:t>
            </w:r>
            <w:r w:rsidRPr="00EC20A0">
              <w:rPr>
                <w:spacing w:val="-7"/>
              </w:rPr>
              <w:t xml:space="preserve"> </w:t>
            </w:r>
            <w:r w:rsidRPr="00EC20A0">
              <w:rPr>
                <w:spacing w:val="-4"/>
              </w:rPr>
              <w:t>808.</w:t>
            </w:r>
          </w:p>
        </w:tc>
        <w:tc>
          <w:tcPr>
            <w:tcW w:w="1319" w:type="dxa"/>
            <w:vMerge/>
            <w:tcBorders>
              <w:top w:val="nil"/>
              <w:left w:val="single" w:sz="6" w:space="0" w:color="000000"/>
              <w:bottom w:val="double" w:sz="6" w:space="0" w:color="000000"/>
              <w:right w:val="double" w:sz="6" w:space="0" w:color="000000"/>
            </w:tcBorders>
          </w:tcPr>
          <w:p w14:paraId="24D60D67" w14:textId="77777777" w:rsidR="00245300" w:rsidRPr="00EC20A0" w:rsidRDefault="00245300">
            <w:pPr>
              <w:rPr>
                <w:sz w:val="2"/>
                <w:szCs w:val="2"/>
              </w:rPr>
            </w:pPr>
          </w:p>
        </w:tc>
      </w:tr>
    </w:tbl>
    <w:p w14:paraId="24D60D69" w14:textId="77777777" w:rsidR="00245300" w:rsidRPr="00EC20A0" w:rsidRDefault="00245300">
      <w:pPr>
        <w:rPr>
          <w:sz w:val="2"/>
          <w:szCs w:val="2"/>
        </w:rPr>
        <w:sectPr w:rsidR="00245300" w:rsidRPr="00EC20A0">
          <w:pgSz w:w="12240" w:h="15840"/>
          <w:pgMar w:top="1300" w:right="1140" w:bottom="940" w:left="1320" w:header="721" w:footer="742" w:gutter="0"/>
          <w:cols w:space="720"/>
        </w:sectPr>
      </w:pP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245300" w:rsidRPr="00EC20A0" w14:paraId="24D60D6C" w14:textId="77777777">
        <w:trPr>
          <w:trHeight w:val="120"/>
        </w:trPr>
        <w:tc>
          <w:tcPr>
            <w:tcW w:w="8044" w:type="dxa"/>
            <w:tcBorders>
              <w:left w:val="nil"/>
              <w:bottom w:val="double" w:sz="6" w:space="0" w:color="000000"/>
              <w:right w:val="nil"/>
            </w:tcBorders>
          </w:tcPr>
          <w:p w14:paraId="24D60D6A" w14:textId="77777777" w:rsidR="00245300" w:rsidRPr="00EC20A0" w:rsidRDefault="00245300">
            <w:pPr>
              <w:pStyle w:val="TableParagraph"/>
              <w:rPr>
                <w:sz w:val="6"/>
              </w:rPr>
            </w:pPr>
          </w:p>
        </w:tc>
        <w:tc>
          <w:tcPr>
            <w:tcW w:w="1319" w:type="dxa"/>
            <w:tcBorders>
              <w:left w:val="nil"/>
              <w:bottom w:val="double" w:sz="6" w:space="0" w:color="000000"/>
              <w:right w:val="nil"/>
            </w:tcBorders>
          </w:tcPr>
          <w:p w14:paraId="24D60D6B" w14:textId="77777777" w:rsidR="00245300" w:rsidRPr="00EC20A0" w:rsidRDefault="00245300">
            <w:pPr>
              <w:pStyle w:val="TableParagraph"/>
              <w:rPr>
                <w:sz w:val="6"/>
              </w:rPr>
            </w:pPr>
          </w:p>
        </w:tc>
      </w:tr>
      <w:tr w:rsidR="00245300" w:rsidRPr="00EC20A0" w14:paraId="24D60D6F"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24D60D6D" w14:textId="77777777" w:rsidR="00245300" w:rsidRPr="00EC20A0" w:rsidRDefault="00F17249">
            <w:pPr>
              <w:pStyle w:val="TableParagraph"/>
              <w:spacing w:before="144"/>
              <w:ind w:right="362"/>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24D60D6E"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D84" w14:textId="77777777">
        <w:trPr>
          <w:trHeight w:val="3197"/>
        </w:trPr>
        <w:tc>
          <w:tcPr>
            <w:tcW w:w="8044" w:type="dxa"/>
            <w:tcBorders>
              <w:top w:val="double" w:sz="6" w:space="0" w:color="000000"/>
              <w:left w:val="double" w:sz="6" w:space="0" w:color="000000"/>
              <w:bottom w:val="nil"/>
              <w:right w:val="single" w:sz="6" w:space="0" w:color="000000"/>
            </w:tcBorders>
          </w:tcPr>
          <w:p w14:paraId="24D60D70" w14:textId="77777777" w:rsidR="00245300" w:rsidRPr="00EC20A0" w:rsidRDefault="00F17249">
            <w:pPr>
              <w:pStyle w:val="TableParagraph"/>
              <w:spacing w:before="145"/>
              <w:ind w:left="131"/>
              <w:rPr>
                <w:b/>
              </w:rPr>
            </w:pPr>
            <w:r w:rsidRPr="00EC20A0">
              <w:rPr>
                <w:b/>
              </w:rPr>
              <w:t>Federal</w:t>
            </w:r>
            <w:r w:rsidRPr="00EC20A0">
              <w:rPr>
                <w:b/>
                <w:spacing w:val="-4"/>
              </w:rPr>
              <w:t xml:space="preserve"> </w:t>
            </w:r>
            <w:r w:rsidRPr="00EC20A0">
              <w:rPr>
                <w:b/>
              </w:rPr>
              <w:t>Employees</w:t>
            </w:r>
            <w:r w:rsidRPr="00EC20A0">
              <w:rPr>
                <w:b/>
                <w:spacing w:val="-4"/>
              </w:rPr>
              <w:t xml:space="preserve"> </w:t>
            </w:r>
            <w:r w:rsidRPr="00EC20A0">
              <w:rPr>
                <w:b/>
              </w:rPr>
              <w:t>Health</w:t>
            </w:r>
            <w:r w:rsidRPr="00EC20A0">
              <w:rPr>
                <w:b/>
                <w:spacing w:val="-4"/>
              </w:rPr>
              <w:t xml:space="preserve"> </w:t>
            </w:r>
            <w:r w:rsidRPr="00EC20A0">
              <w:rPr>
                <w:b/>
              </w:rPr>
              <w:t>Benefits</w:t>
            </w:r>
            <w:r w:rsidRPr="00EC20A0">
              <w:rPr>
                <w:b/>
                <w:spacing w:val="-4"/>
              </w:rPr>
              <w:t xml:space="preserve"> </w:t>
            </w:r>
            <w:r w:rsidRPr="00EC20A0">
              <w:rPr>
                <w:b/>
              </w:rPr>
              <w:t>Act</w:t>
            </w:r>
            <w:r w:rsidRPr="00EC20A0">
              <w:rPr>
                <w:b/>
                <w:spacing w:val="-4"/>
              </w:rPr>
              <w:t xml:space="preserve"> </w:t>
            </w:r>
            <w:r w:rsidRPr="00EC20A0">
              <w:rPr>
                <w:b/>
              </w:rPr>
              <w:t>(FEHBA),</w:t>
            </w:r>
            <w:r w:rsidRPr="00EC20A0">
              <w:rPr>
                <w:b/>
                <w:spacing w:val="-4"/>
              </w:rPr>
              <w:t xml:space="preserve"> </w:t>
            </w:r>
            <w:r w:rsidRPr="00EC20A0">
              <w:rPr>
                <w:b/>
              </w:rPr>
              <w:t>as</w:t>
            </w:r>
            <w:r w:rsidRPr="00EC20A0">
              <w:rPr>
                <w:b/>
                <w:spacing w:val="-4"/>
              </w:rPr>
              <w:t xml:space="preserve"> </w:t>
            </w:r>
            <w:r w:rsidRPr="00EC20A0">
              <w:rPr>
                <w:b/>
              </w:rPr>
              <w:t>provided</w:t>
            </w:r>
            <w:r w:rsidRPr="00EC20A0">
              <w:rPr>
                <w:b/>
                <w:spacing w:val="-4"/>
              </w:rPr>
              <w:t xml:space="preserve"> </w:t>
            </w:r>
            <w:r w:rsidRPr="00EC20A0">
              <w:rPr>
                <w:b/>
              </w:rPr>
              <w:t>in</w:t>
            </w:r>
            <w:r w:rsidRPr="00EC20A0">
              <w:rPr>
                <w:b/>
                <w:spacing w:val="-4"/>
              </w:rPr>
              <w:t xml:space="preserve"> </w:t>
            </w:r>
            <w:r w:rsidRPr="00EC20A0">
              <w:rPr>
                <w:b/>
              </w:rPr>
              <w:t>5</w:t>
            </w:r>
            <w:r w:rsidRPr="00EC20A0">
              <w:rPr>
                <w:b/>
                <w:spacing w:val="-5"/>
              </w:rPr>
              <w:t xml:space="preserve"> </w:t>
            </w:r>
            <w:r w:rsidRPr="00EC20A0">
              <w:rPr>
                <w:b/>
              </w:rPr>
              <w:t>U.S.C. chapter 89</w:t>
            </w:r>
          </w:p>
          <w:p w14:paraId="24D60D71" w14:textId="77777777" w:rsidR="00245300" w:rsidRPr="00EC20A0" w:rsidRDefault="00F17249">
            <w:pPr>
              <w:pStyle w:val="TableParagraph"/>
              <w:spacing w:before="143"/>
              <w:ind w:left="131" w:right="151"/>
            </w:pPr>
            <w:r w:rsidRPr="00EC20A0">
              <w:t>This law provides health insurance coverage to employees who elect health insurance</w:t>
            </w:r>
            <w:r w:rsidRPr="00EC20A0">
              <w:rPr>
                <w:spacing w:val="-1"/>
              </w:rPr>
              <w:t xml:space="preserve"> </w:t>
            </w:r>
            <w:r w:rsidRPr="00EC20A0">
              <w:t>benefits.</w:t>
            </w:r>
            <w:r w:rsidRPr="00EC20A0">
              <w:rPr>
                <w:spacing w:val="-1"/>
              </w:rPr>
              <w:t xml:space="preserve"> </w:t>
            </w:r>
            <w:r w:rsidRPr="00EC20A0">
              <w:t>For</w:t>
            </w:r>
            <w:r w:rsidRPr="00EC20A0">
              <w:rPr>
                <w:spacing w:val="-3"/>
              </w:rPr>
              <w:t xml:space="preserve"> </w:t>
            </w:r>
            <w:r w:rsidRPr="00EC20A0">
              <w:t>each</w:t>
            </w:r>
            <w:r w:rsidRPr="00EC20A0">
              <w:rPr>
                <w:spacing w:val="-1"/>
              </w:rPr>
              <w:t xml:space="preserve"> </w:t>
            </w:r>
            <w:r w:rsidRPr="00EC20A0">
              <w:t>employee</w:t>
            </w:r>
            <w:r w:rsidRPr="00EC20A0">
              <w:rPr>
                <w:spacing w:val="-1"/>
              </w:rPr>
              <w:t xml:space="preserve"> </w:t>
            </w:r>
            <w:r w:rsidRPr="00EC20A0">
              <w:t>who</w:t>
            </w:r>
            <w:r w:rsidRPr="00EC20A0">
              <w:rPr>
                <w:spacing w:val="-1"/>
              </w:rPr>
              <w:t xml:space="preserve"> </w:t>
            </w:r>
            <w:r w:rsidRPr="00EC20A0">
              <w:t>elects</w:t>
            </w:r>
            <w:r w:rsidRPr="00EC20A0">
              <w:rPr>
                <w:spacing w:val="-1"/>
              </w:rPr>
              <w:t xml:space="preserve"> </w:t>
            </w:r>
            <w:r w:rsidRPr="00EC20A0">
              <w:t>coverage,</w:t>
            </w:r>
            <w:r w:rsidRPr="00EC20A0">
              <w:rPr>
                <w:spacing w:val="-1"/>
              </w:rPr>
              <w:t xml:space="preserve"> </w:t>
            </w:r>
            <w:r w:rsidRPr="00EC20A0">
              <w:t>the</w:t>
            </w:r>
            <w:r w:rsidRPr="00EC20A0">
              <w:rPr>
                <w:spacing w:val="-1"/>
              </w:rPr>
              <w:t xml:space="preserve"> </w:t>
            </w:r>
            <w:r w:rsidRPr="00EC20A0">
              <w:t>entity</w:t>
            </w:r>
            <w:r w:rsidRPr="00EC20A0">
              <w:rPr>
                <w:spacing w:val="-2"/>
              </w:rPr>
              <w:t xml:space="preserve"> </w:t>
            </w:r>
            <w:r w:rsidRPr="00EC20A0">
              <w:t>pays</w:t>
            </w:r>
            <w:r w:rsidRPr="00EC20A0">
              <w:rPr>
                <w:spacing w:val="-1"/>
              </w:rPr>
              <w:t xml:space="preserve"> </w:t>
            </w:r>
            <w:r w:rsidRPr="00EC20A0">
              <w:t>an amount</w:t>
            </w:r>
            <w:r w:rsidRPr="00EC20A0">
              <w:rPr>
                <w:spacing w:val="-4"/>
              </w:rPr>
              <w:t xml:space="preserve"> </w:t>
            </w:r>
            <w:r w:rsidRPr="00EC20A0">
              <w:t>set</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Office</w:t>
            </w:r>
            <w:r w:rsidRPr="00EC20A0">
              <w:rPr>
                <w:spacing w:val="-4"/>
              </w:rPr>
              <w:t xml:space="preserve"> </w:t>
            </w:r>
            <w:r w:rsidRPr="00EC20A0">
              <w:t>of</w:t>
            </w:r>
            <w:r w:rsidRPr="00EC20A0">
              <w:rPr>
                <w:spacing w:val="-4"/>
              </w:rPr>
              <w:t xml:space="preserve"> </w:t>
            </w:r>
            <w:r w:rsidRPr="00EC20A0">
              <w:t>Personnel</w:t>
            </w:r>
            <w:r w:rsidRPr="00EC20A0">
              <w:rPr>
                <w:spacing w:val="-4"/>
              </w:rPr>
              <w:t xml:space="preserve"> </w:t>
            </w:r>
            <w:r w:rsidRPr="00EC20A0">
              <w:t>Management</w:t>
            </w:r>
            <w:r w:rsidRPr="00EC20A0">
              <w:rPr>
                <w:spacing w:val="-4"/>
              </w:rPr>
              <w:t xml:space="preserve"> </w:t>
            </w:r>
            <w:r w:rsidRPr="00EC20A0">
              <w:t>(OPM)</w:t>
            </w:r>
            <w:r w:rsidRPr="00EC20A0">
              <w:rPr>
                <w:spacing w:val="-3"/>
              </w:rPr>
              <w:t xml:space="preserve"> </w:t>
            </w:r>
            <w:r w:rsidRPr="00EC20A0">
              <w:t>for</w:t>
            </w:r>
            <w:r w:rsidRPr="00EC20A0">
              <w:rPr>
                <w:spacing w:val="-4"/>
              </w:rPr>
              <w:t xml:space="preserve"> </w:t>
            </w:r>
            <w:r w:rsidRPr="00EC20A0">
              <w:t>health</w:t>
            </w:r>
            <w:r w:rsidRPr="00EC20A0">
              <w:rPr>
                <w:spacing w:val="-4"/>
              </w:rPr>
              <w:t xml:space="preserve"> </w:t>
            </w:r>
            <w:r w:rsidRPr="00EC20A0">
              <w:t xml:space="preserve">insurance costs. The entity portion cannot exceed 75 percent of the insurance cost. For most employees, the entity </w:t>
            </w:r>
            <w:r w:rsidRPr="00EC20A0">
              <w:t>contribution shall be paid from the appropriation account or fund used to pay the employee. The employee pays the remainder of the total cost. The entity withholds the amount of the employee’s portion of the cost from the employee’s pay and remits this amount, along with its own contribution, to Treasury for deposit into the Employees Health Benefits Fund.</w:t>
            </w:r>
          </w:p>
        </w:tc>
        <w:tc>
          <w:tcPr>
            <w:tcW w:w="1319" w:type="dxa"/>
            <w:vMerge w:val="restart"/>
            <w:tcBorders>
              <w:top w:val="double" w:sz="6" w:space="0" w:color="000000"/>
              <w:left w:val="single" w:sz="6" w:space="0" w:color="000000"/>
              <w:bottom w:val="double" w:sz="6" w:space="0" w:color="000000"/>
              <w:right w:val="double" w:sz="6" w:space="0" w:color="000000"/>
            </w:tcBorders>
          </w:tcPr>
          <w:p w14:paraId="24D60D72" w14:textId="77777777" w:rsidR="00245300" w:rsidRPr="00EC20A0" w:rsidRDefault="00245300">
            <w:pPr>
              <w:pStyle w:val="TableParagraph"/>
              <w:rPr>
                <w:sz w:val="20"/>
              </w:rPr>
            </w:pPr>
          </w:p>
          <w:p w14:paraId="24D60D73" w14:textId="77777777" w:rsidR="00245300" w:rsidRPr="00EC20A0" w:rsidRDefault="00245300">
            <w:pPr>
              <w:pStyle w:val="TableParagraph"/>
              <w:rPr>
                <w:sz w:val="20"/>
              </w:rPr>
            </w:pPr>
          </w:p>
          <w:p w14:paraId="24D60D74" w14:textId="77777777" w:rsidR="00245300" w:rsidRPr="00EC20A0" w:rsidRDefault="00245300">
            <w:pPr>
              <w:pStyle w:val="TableParagraph"/>
              <w:rPr>
                <w:sz w:val="20"/>
              </w:rPr>
            </w:pPr>
          </w:p>
          <w:p w14:paraId="24D60D75" w14:textId="77777777" w:rsidR="00245300" w:rsidRPr="00EC20A0" w:rsidRDefault="00245300">
            <w:pPr>
              <w:pStyle w:val="TableParagraph"/>
              <w:rPr>
                <w:sz w:val="20"/>
              </w:rPr>
            </w:pPr>
          </w:p>
          <w:p w14:paraId="24D60D76" w14:textId="77777777" w:rsidR="00245300" w:rsidRPr="00EC20A0" w:rsidRDefault="00245300">
            <w:pPr>
              <w:pStyle w:val="TableParagraph"/>
              <w:rPr>
                <w:sz w:val="20"/>
              </w:rPr>
            </w:pPr>
          </w:p>
          <w:p w14:paraId="24D60D77" w14:textId="77777777" w:rsidR="00245300" w:rsidRPr="00EC20A0" w:rsidRDefault="00245300">
            <w:pPr>
              <w:pStyle w:val="TableParagraph"/>
              <w:rPr>
                <w:sz w:val="20"/>
              </w:rPr>
            </w:pPr>
          </w:p>
          <w:p w14:paraId="24D60D78" w14:textId="77777777" w:rsidR="00245300" w:rsidRPr="00EC20A0" w:rsidRDefault="00245300">
            <w:pPr>
              <w:pStyle w:val="TableParagraph"/>
              <w:rPr>
                <w:sz w:val="20"/>
              </w:rPr>
            </w:pPr>
          </w:p>
          <w:p w14:paraId="24D60D79" w14:textId="77777777" w:rsidR="00245300" w:rsidRPr="00EC20A0" w:rsidRDefault="00245300">
            <w:pPr>
              <w:pStyle w:val="TableParagraph"/>
              <w:rPr>
                <w:sz w:val="20"/>
              </w:rPr>
            </w:pPr>
          </w:p>
          <w:p w14:paraId="24D60D7A" w14:textId="77777777" w:rsidR="00245300" w:rsidRPr="00EC20A0" w:rsidRDefault="00245300">
            <w:pPr>
              <w:pStyle w:val="TableParagraph"/>
              <w:rPr>
                <w:sz w:val="20"/>
              </w:rPr>
            </w:pPr>
          </w:p>
          <w:p w14:paraId="24D60D7B" w14:textId="77777777" w:rsidR="00245300" w:rsidRPr="00EC20A0" w:rsidRDefault="00245300">
            <w:pPr>
              <w:pStyle w:val="TableParagraph"/>
              <w:rPr>
                <w:sz w:val="20"/>
              </w:rPr>
            </w:pPr>
          </w:p>
          <w:p w14:paraId="24D60D7C" w14:textId="77777777" w:rsidR="00245300" w:rsidRPr="00EC20A0" w:rsidRDefault="00245300">
            <w:pPr>
              <w:pStyle w:val="TableParagraph"/>
              <w:rPr>
                <w:sz w:val="20"/>
              </w:rPr>
            </w:pPr>
          </w:p>
          <w:p w14:paraId="24D60D7D" w14:textId="77777777" w:rsidR="00245300" w:rsidRPr="00EC20A0" w:rsidRDefault="00245300">
            <w:pPr>
              <w:pStyle w:val="TableParagraph"/>
              <w:rPr>
                <w:sz w:val="20"/>
              </w:rPr>
            </w:pPr>
          </w:p>
          <w:p w14:paraId="24D60D7E" w14:textId="77777777" w:rsidR="00245300" w:rsidRPr="00EC20A0" w:rsidRDefault="00245300">
            <w:pPr>
              <w:pStyle w:val="TableParagraph"/>
              <w:rPr>
                <w:sz w:val="20"/>
              </w:rPr>
            </w:pPr>
          </w:p>
          <w:p w14:paraId="24D60D7F" w14:textId="77777777" w:rsidR="00245300" w:rsidRPr="00EC20A0" w:rsidRDefault="00245300">
            <w:pPr>
              <w:pStyle w:val="TableParagraph"/>
              <w:rPr>
                <w:sz w:val="20"/>
              </w:rPr>
            </w:pPr>
          </w:p>
          <w:p w14:paraId="24D60D80" w14:textId="77777777" w:rsidR="00245300" w:rsidRPr="00EC20A0" w:rsidRDefault="00245300">
            <w:pPr>
              <w:pStyle w:val="TableParagraph"/>
              <w:rPr>
                <w:sz w:val="20"/>
              </w:rPr>
            </w:pPr>
          </w:p>
          <w:p w14:paraId="24D60D81" w14:textId="77777777" w:rsidR="00245300" w:rsidRPr="00EC20A0" w:rsidRDefault="00245300">
            <w:pPr>
              <w:pStyle w:val="TableParagraph"/>
              <w:rPr>
                <w:sz w:val="20"/>
              </w:rPr>
            </w:pPr>
          </w:p>
          <w:p w14:paraId="24D60D82" w14:textId="77777777" w:rsidR="00245300" w:rsidRPr="00EC20A0" w:rsidRDefault="00245300">
            <w:pPr>
              <w:pStyle w:val="TableParagraph"/>
              <w:spacing w:before="91"/>
              <w:rPr>
                <w:sz w:val="20"/>
              </w:rPr>
            </w:pPr>
          </w:p>
          <w:p w14:paraId="24D60D83" w14:textId="77777777" w:rsidR="00245300" w:rsidRPr="00EC20A0" w:rsidRDefault="00F17249">
            <w:pPr>
              <w:pStyle w:val="TableParagraph"/>
              <w:spacing w:line="20" w:lineRule="exact"/>
              <w:ind w:left="145"/>
              <w:rPr>
                <w:sz w:val="2"/>
              </w:rPr>
            </w:pPr>
            <w:r w:rsidRPr="00EC20A0">
              <w:rPr>
                <w:noProof/>
                <w:sz w:val="2"/>
              </w:rPr>
              <mc:AlternateContent>
                <mc:Choice Requires="wpg">
                  <w:drawing>
                    <wp:inline distT="0" distB="0" distL="0" distR="0" wp14:anchorId="24D62B4F" wp14:editId="24D62B50">
                      <wp:extent cx="621665" cy="8890"/>
                      <wp:effectExtent l="9525" t="0" r="0" b="635"/>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57" name="Graphic 357"/>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CF6087" id="Group 356"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f3bwIAAI8FAAAOAAAAZHJzL2Uyb0RvYy54bWykVMlu2zAQvRfoPxC81/JSLxE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">
                      <v:shape id="Graphic 357"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" path="m,l621371,e" filled="f" strokeweight=".24403mm">
                        <v:path arrowok="t"/>
                      </v:shape>
                      <w10:anchorlock/>
                    </v:group>
                  </w:pict>
                </mc:Fallback>
              </mc:AlternateContent>
            </w:r>
          </w:p>
        </w:tc>
      </w:tr>
      <w:tr w:rsidR="00245300" w:rsidRPr="00EC20A0" w14:paraId="24D60D87" w14:textId="77777777">
        <w:trPr>
          <w:trHeight w:val="1254"/>
        </w:trPr>
        <w:tc>
          <w:tcPr>
            <w:tcW w:w="8044" w:type="dxa"/>
            <w:tcBorders>
              <w:top w:val="nil"/>
              <w:left w:val="double" w:sz="6" w:space="0" w:color="000000"/>
              <w:bottom w:val="nil"/>
              <w:right w:val="single" w:sz="6" w:space="0" w:color="000000"/>
            </w:tcBorders>
          </w:tcPr>
          <w:p w14:paraId="24D60D85" w14:textId="77777777" w:rsidR="00245300" w:rsidRPr="00EC20A0" w:rsidRDefault="00F17249">
            <w:pPr>
              <w:pStyle w:val="TableParagraph"/>
              <w:spacing w:before="118"/>
              <w:ind w:left="131" w:right="170"/>
              <w:rPr>
                <w:i/>
              </w:rPr>
            </w:pPr>
            <w:r w:rsidRPr="00EC20A0">
              <w:rPr>
                <w:i/>
              </w:rPr>
              <w:t>Does the entity’s expense for health insurance costs for the audit period</w:t>
            </w:r>
            <w:r w:rsidRPr="00EC20A0">
              <w:rPr>
                <w:i/>
                <w:spacing w:val="40"/>
              </w:rPr>
              <w:t xml:space="preserve"> </w:t>
            </w:r>
            <w:r w:rsidRPr="00EC20A0">
              <w:rPr>
                <w:i/>
              </w:rPr>
              <w:t xml:space="preserve">exceed materiality, or did the auditor determine that </w:t>
            </w:r>
            <w:r w:rsidRPr="00EC20A0">
              <w:rPr>
                <w:i/>
              </w:rPr>
              <w:t>the Federal Employees Health</w:t>
            </w:r>
            <w:r w:rsidRPr="00EC20A0">
              <w:rPr>
                <w:i/>
                <w:spacing w:val="-3"/>
              </w:rPr>
              <w:t xml:space="preserve"> </w:t>
            </w:r>
            <w:r w:rsidRPr="00EC20A0">
              <w:rPr>
                <w:i/>
              </w:rPr>
              <w:t>Benefits</w:t>
            </w:r>
            <w:r w:rsidRPr="00EC20A0">
              <w:rPr>
                <w:i/>
                <w:spacing w:val="-3"/>
              </w:rPr>
              <w:t xml:space="preserve"> </w:t>
            </w:r>
            <w:r w:rsidRPr="00EC20A0">
              <w:rPr>
                <w:i/>
              </w:rPr>
              <w:t>Act</w:t>
            </w:r>
            <w:r w:rsidRPr="00EC20A0">
              <w:rPr>
                <w:i/>
                <w:spacing w:val="-3"/>
              </w:rPr>
              <w:t xml:space="preserve"> </w:t>
            </w:r>
            <w:r w:rsidRPr="00EC20A0">
              <w:rPr>
                <w:i/>
              </w:rPr>
              <w:t>has</w:t>
            </w:r>
            <w:r w:rsidRPr="00EC20A0">
              <w:rPr>
                <w:i/>
                <w:spacing w:val="-4"/>
              </w:rPr>
              <w:t xml:space="preserve"> </w:t>
            </w:r>
            <w:r w:rsidRPr="00EC20A0">
              <w:rPr>
                <w:i/>
              </w:rPr>
              <w:t>a</w:t>
            </w:r>
            <w:r w:rsidRPr="00EC20A0">
              <w:rPr>
                <w:i/>
                <w:spacing w:val="-3"/>
              </w:rPr>
              <w:t xml:space="preserve"> </w:t>
            </w:r>
            <w:r w:rsidRPr="00EC20A0">
              <w:rPr>
                <w:i/>
              </w:rPr>
              <w:t>direct</w:t>
            </w:r>
            <w:r w:rsidRPr="00EC20A0">
              <w:rPr>
                <w:i/>
                <w:spacing w:val="-3"/>
              </w:rPr>
              <w:t xml:space="preserve"> </w:t>
            </w:r>
            <w:r w:rsidRPr="00EC20A0">
              <w:rPr>
                <w:i/>
              </w:rPr>
              <w:t>effect</w:t>
            </w:r>
            <w:r w:rsidRPr="00EC20A0">
              <w:rPr>
                <w:i/>
                <w:spacing w:val="-3"/>
              </w:rPr>
              <w:t xml:space="preserve"> </w:t>
            </w:r>
            <w:r w:rsidRPr="00EC20A0">
              <w:rPr>
                <w:i/>
              </w:rPr>
              <w:t>on</w:t>
            </w:r>
            <w:r w:rsidRPr="00EC20A0">
              <w:rPr>
                <w:i/>
                <w:spacing w:val="-3"/>
              </w:rPr>
              <w:t xml:space="preserve"> </w:t>
            </w:r>
            <w:r w:rsidRPr="00EC20A0">
              <w:rPr>
                <w:i/>
              </w:rPr>
              <w:t>the</w:t>
            </w:r>
            <w:r w:rsidRPr="00EC20A0">
              <w:rPr>
                <w:i/>
                <w:spacing w:val="-3"/>
              </w:rPr>
              <w:t xml:space="preserve"> </w:t>
            </w:r>
            <w:r w:rsidRPr="00EC20A0">
              <w:rPr>
                <w:i/>
              </w:rPr>
              <w:t>determination</w:t>
            </w:r>
            <w:r w:rsidRPr="00EC20A0">
              <w:rPr>
                <w:i/>
                <w:spacing w:val="-3"/>
              </w:rPr>
              <w:t xml:space="preserve"> </w:t>
            </w:r>
            <w:r w:rsidRPr="00EC20A0">
              <w:rPr>
                <w:i/>
              </w:rPr>
              <w:t>of</w:t>
            </w:r>
            <w:r w:rsidRPr="00EC20A0">
              <w:rPr>
                <w:i/>
                <w:spacing w:val="-3"/>
              </w:rPr>
              <w:t xml:space="preserve"> </w:t>
            </w:r>
            <w:r w:rsidRPr="00EC20A0">
              <w:rPr>
                <w:i/>
              </w:rPr>
              <w:t>material</w:t>
            </w:r>
            <w:r w:rsidRPr="00EC20A0">
              <w:rPr>
                <w:i/>
                <w:spacing w:val="-3"/>
              </w:rPr>
              <w:t xml:space="preserve"> </w:t>
            </w:r>
            <w:r w:rsidRPr="00EC20A0">
              <w:rPr>
                <w:i/>
              </w:rPr>
              <w:t>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24D60D86" w14:textId="77777777" w:rsidR="00245300" w:rsidRPr="00EC20A0" w:rsidRDefault="00245300">
            <w:pPr>
              <w:rPr>
                <w:sz w:val="2"/>
                <w:szCs w:val="2"/>
              </w:rPr>
            </w:pPr>
          </w:p>
        </w:tc>
      </w:tr>
      <w:tr w:rsidR="00245300" w:rsidRPr="00EC20A0" w14:paraId="24D60D8B" w14:textId="77777777">
        <w:trPr>
          <w:trHeight w:val="1582"/>
        </w:trPr>
        <w:tc>
          <w:tcPr>
            <w:tcW w:w="8044" w:type="dxa"/>
            <w:tcBorders>
              <w:top w:val="nil"/>
              <w:left w:val="double" w:sz="6" w:space="0" w:color="000000"/>
              <w:bottom w:val="nil"/>
              <w:right w:val="single" w:sz="6" w:space="0" w:color="000000"/>
            </w:tcBorders>
          </w:tcPr>
          <w:p w14:paraId="24D60D88" w14:textId="77777777" w:rsidR="00245300" w:rsidRPr="00EC20A0" w:rsidRDefault="00F17249">
            <w:pPr>
              <w:pStyle w:val="TableParagraph"/>
              <w:tabs>
                <w:tab w:val="left" w:pos="6807"/>
              </w:tabs>
              <w:spacing w:before="118"/>
              <w:ind w:left="4532"/>
            </w:pPr>
            <w:r w:rsidRPr="00EC20A0">
              <w:rPr>
                <w:noProof/>
              </w:rPr>
              <mc:AlternateContent>
                <mc:Choice Requires="wpg">
                  <w:drawing>
                    <wp:anchor distT="0" distB="0" distL="0" distR="0" simplePos="0" relativeHeight="475280896" behindDoc="1" locked="0" layoutInCell="1" allowOverlap="1" wp14:anchorId="24D62B51" wp14:editId="24D62B52">
                      <wp:simplePos x="0" y="0"/>
                      <wp:positionH relativeFrom="column">
                        <wp:posOffset>2588514</wp:posOffset>
                      </wp:positionH>
                      <wp:positionV relativeFrom="paragraph">
                        <wp:posOffset>670786</wp:posOffset>
                      </wp:positionV>
                      <wp:extent cx="1295400" cy="317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59" name="Graphic 35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82F305" id="Group 358" o:spid="_x0000_s1026" style="position:absolute;margin-left:203.8pt;margin-top:52.8pt;width:102pt;height:.25pt;z-index:-2803558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">
                      <v:shape id="Graphic 35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81408" behindDoc="1" locked="0" layoutInCell="1" allowOverlap="1" wp14:anchorId="24D62B53" wp14:editId="24D62B54">
                      <wp:simplePos x="0" y="0"/>
                      <wp:positionH relativeFrom="column">
                        <wp:posOffset>3960114</wp:posOffset>
                      </wp:positionH>
                      <wp:positionV relativeFrom="paragraph">
                        <wp:posOffset>670786</wp:posOffset>
                      </wp:positionV>
                      <wp:extent cx="1045844" cy="3175"/>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61" name="Graphic 361"/>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44740E" id="Group 360" o:spid="_x0000_s1026" style="position:absolute;margin-left:311.8pt;margin-top:52.8pt;width:82.35pt;height:.25pt;z-index:-2803507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">
                      <v:shape id="Graphic 361"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" path="m1045463,l,,,3048r1045463,l1045463,xe" fillcolor="black" stroked="f">
                        <v:path arrowok="t"/>
                      </v:shape>
                    </v:group>
                  </w:pict>
                </mc:Fallback>
              </mc:AlternateContent>
            </w:r>
            <w:r w:rsidRPr="00EC20A0">
              <w:rPr>
                <w:noProof/>
              </w:rPr>
              <mc:AlternateContent>
                <mc:Choice Requires="wpg">
                  <w:drawing>
                    <wp:anchor distT="0" distB="0" distL="0" distR="0" simplePos="0" relativeHeight="475281920" behindDoc="1" locked="0" layoutInCell="1" allowOverlap="1" wp14:anchorId="24D62B55" wp14:editId="24D62B56">
                      <wp:simplePos x="0" y="0"/>
                      <wp:positionH relativeFrom="column">
                        <wp:posOffset>2588514</wp:posOffset>
                      </wp:positionH>
                      <wp:positionV relativeFrom="paragraph">
                        <wp:posOffset>1017496</wp:posOffset>
                      </wp:positionV>
                      <wp:extent cx="1295400" cy="317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63" name="Graphic 363"/>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BE252A" id="Group 362" o:spid="_x0000_s1026" style="position:absolute;margin-left:203.8pt;margin-top:80.1pt;width:102pt;height:.25pt;z-index:-2803456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">
                      <v:shape id="Graphic 363"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82432" behindDoc="1" locked="0" layoutInCell="1" allowOverlap="1" wp14:anchorId="24D62B57" wp14:editId="24D62B58">
                      <wp:simplePos x="0" y="0"/>
                      <wp:positionH relativeFrom="column">
                        <wp:posOffset>3960114</wp:posOffset>
                      </wp:positionH>
                      <wp:positionV relativeFrom="paragraph">
                        <wp:posOffset>1017496</wp:posOffset>
                      </wp:positionV>
                      <wp:extent cx="1045844" cy="317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65" name="Graphic 365"/>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6598F0" id="Group 364" o:spid="_x0000_s1026" style="position:absolute;margin-left:311.8pt;margin-top:80.1pt;width:82.35pt;height:.25pt;z-index:-2803404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">
                      <v:shape id="Graphic 365"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" path="m1045463,l,,,3048r1045463,l1045463,xe" fillcolor="black" stroked="f">
                        <v:path arrowok="t"/>
                      </v:shape>
                    </v:group>
                  </w:pict>
                </mc:Fallback>
              </mc:AlternateContent>
            </w:r>
            <w:r w:rsidRPr="00EC20A0">
              <w:rPr>
                <w:spacing w:val="-2"/>
                <w:u w:val="single"/>
              </w:rPr>
              <w:t>Preliminary</w:t>
            </w:r>
            <w:r w:rsidRPr="00EC20A0">
              <w:tab/>
            </w:r>
            <w:r w:rsidRPr="00EC20A0">
              <w:rPr>
                <w:spacing w:val="-2"/>
                <w:u w:val="single"/>
              </w:rPr>
              <w:t>Final</w:t>
            </w:r>
          </w:p>
          <w:p w14:paraId="24D60D89" w14:textId="77777777" w:rsidR="00245300" w:rsidRPr="00EC20A0" w:rsidRDefault="00F17249">
            <w:pPr>
              <w:pStyle w:val="TableParagraph"/>
              <w:spacing w:before="57" w:line="546" w:lineRule="exact"/>
              <w:ind w:left="299" w:right="4319"/>
            </w:pPr>
            <w:r w:rsidRPr="00EC20A0">
              <w:t>Expense</w:t>
            </w:r>
            <w:r w:rsidRPr="00EC20A0">
              <w:rPr>
                <w:spacing w:val="-13"/>
              </w:rPr>
              <w:t xml:space="preserve"> </w:t>
            </w:r>
            <w:r w:rsidRPr="00EC20A0">
              <w:t>for</w:t>
            </w:r>
            <w:r w:rsidRPr="00EC20A0">
              <w:rPr>
                <w:spacing w:val="-14"/>
              </w:rPr>
              <w:t xml:space="preserve"> </w:t>
            </w:r>
            <w:r w:rsidRPr="00EC20A0">
              <w:t>health</w:t>
            </w:r>
            <w:r w:rsidRPr="00EC20A0">
              <w:rPr>
                <w:spacing w:val="-13"/>
              </w:rPr>
              <w:t xml:space="preserve"> </w:t>
            </w:r>
            <w:r w:rsidRPr="00EC20A0">
              <w:t xml:space="preserve">insurance </w:t>
            </w:r>
            <w:r w:rsidRPr="00EC20A0">
              <w:rPr>
                <w:spacing w:val="-2"/>
              </w:rPr>
              <w:t>Materiality</w:t>
            </w:r>
          </w:p>
        </w:tc>
        <w:tc>
          <w:tcPr>
            <w:tcW w:w="1319" w:type="dxa"/>
            <w:vMerge/>
            <w:tcBorders>
              <w:top w:val="nil"/>
              <w:left w:val="single" w:sz="6" w:space="0" w:color="000000"/>
              <w:bottom w:val="double" w:sz="6" w:space="0" w:color="000000"/>
              <w:right w:val="double" w:sz="6" w:space="0" w:color="000000"/>
            </w:tcBorders>
          </w:tcPr>
          <w:p w14:paraId="24D60D8A" w14:textId="77777777" w:rsidR="00245300" w:rsidRPr="00EC20A0" w:rsidRDefault="00245300">
            <w:pPr>
              <w:rPr>
                <w:sz w:val="2"/>
                <w:szCs w:val="2"/>
              </w:rPr>
            </w:pPr>
          </w:p>
        </w:tc>
      </w:tr>
      <w:tr w:rsidR="00245300" w:rsidRPr="00EC20A0" w14:paraId="24D60D90" w14:textId="77777777">
        <w:trPr>
          <w:trHeight w:val="992"/>
        </w:trPr>
        <w:tc>
          <w:tcPr>
            <w:tcW w:w="8044" w:type="dxa"/>
            <w:tcBorders>
              <w:top w:val="nil"/>
              <w:left w:val="double" w:sz="6" w:space="0" w:color="000000"/>
              <w:bottom w:val="double" w:sz="6" w:space="0" w:color="000000"/>
              <w:right w:val="single" w:sz="6" w:space="0" w:color="000000"/>
            </w:tcBorders>
          </w:tcPr>
          <w:p w14:paraId="24D60D8C" w14:textId="77777777" w:rsidR="00245300" w:rsidRPr="00EC20A0" w:rsidRDefault="00245300">
            <w:pPr>
              <w:pStyle w:val="TableParagraph"/>
            </w:pPr>
          </w:p>
          <w:p w14:paraId="24D60D8D" w14:textId="77777777" w:rsidR="00245300" w:rsidRPr="00EC20A0" w:rsidRDefault="00245300">
            <w:pPr>
              <w:pStyle w:val="TableParagraph"/>
              <w:spacing w:before="89"/>
            </w:pPr>
          </w:p>
          <w:p w14:paraId="24D60D8E" w14:textId="77777777" w:rsidR="00245300" w:rsidRPr="00EC20A0" w:rsidRDefault="00F17249">
            <w:pPr>
              <w:pStyle w:val="TableParagraph"/>
              <w:ind w:left="131"/>
            </w:pPr>
            <w:r w:rsidRPr="00EC20A0">
              <w:t>If</w:t>
            </w:r>
            <w:r w:rsidRPr="00EC20A0">
              <w:rPr>
                <w:spacing w:val="-7"/>
              </w:rPr>
              <w:t xml:space="preserve"> </w:t>
            </w:r>
            <w:r w:rsidRPr="00EC20A0">
              <w:t>yes,</w:t>
            </w:r>
            <w:r w:rsidRPr="00EC20A0">
              <w:rPr>
                <w:spacing w:val="-6"/>
              </w:rPr>
              <w:t xml:space="preserve"> </w:t>
            </w:r>
            <w:r w:rsidRPr="00EC20A0">
              <w:t>then</w:t>
            </w:r>
            <w:r w:rsidRPr="00EC20A0">
              <w:rPr>
                <w:spacing w:val="-7"/>
              </w:rPr>
              <w:t xml:space="preserve"> </w:t>
            </w:r>
            <w:r w:rsidRPr="00EC20A0">
              <w:t>complete</w:t>
            </w:r>
            <w:r w:rsidRPr="00EC20A0">
              <w:rPr>
                <w:spacing w:val="-6"/>
              </w:rPr>
              <w:t xml:space="preserve"> </w:t>
            </w:r>
            <w:r w:rsidRPr="00EC20A0">
              <w:t>the</w:t>
            </w:r>
            <w:r w:rsidRPr="00EC20A0">
              <w:rPr>
                <w:spacing w:val="-6"/>
              </w:rPr>
              <w:t xml:space="preserve"> </w:t>
            </w:r>
            <w:r w:rsidRPr="00EC20A0">
              <w:t>compliance</w:t>
            </w:r>
            <w:r w:rsidRPr="00EC20A0">
              <w:rPr>
                <w:spacing w:val="-7"/>
              </w:rPr>
              <w:t xml:space="preserve"> </w:t>
            </w:r>
            <w:r w:rsidRPr="00EC20A0">
              <w:t>supplement</w:t>
            </w:r>
            <w:r w:rsidRPr="00EC20A0">
              <w:rPr>
                <w:spacing w:val="-6"/>
              </w:rPr>
              <w:t xml:space="preserve"> </w:t>
            </w:r>
            <w:r w:rsidRPr="00EC20A0">
              <w:t>at</w:t>
            </w:r>
            <w:r w:rsidRPr="00EC20A0">
              <w:rPr>
                <w:spacing w:val="-6"/>
              </w:rPr>
              <w:t xml:space="preserve"> </w:t>
            </w:r>
            <w:r w:rsidRPr="00EC20A0">
              <w:t>FAM</w:t>
            </w:r>
            <w:r w:rsidRPr="00EC20A0">
              <w:rPr>
                <w:spacing w:val="-7"/>
              </w:rPr>
              <w:t xml:space="preserve"> </w:t>
            </w:r>
            <w:r w:rsidRPr="00EC20A0">
              <w:rPr>
                <w:spacing w:val="-4"/>
              </w:rPr>
              <w:t>809.</w:t>
            </w:r>
          </w:p>
        </w:tc>
        <w:tc>
          <w:tcPr>
            <w:tcW w:w="1319" w:type="dxa"/>
            <w:vMerge/>
            <w:tcBorders>
              <w:top w:val="nil"/>
              <w:left w:val="single" w:sz="6" w:space="0" w:color="000000"/>
              <w:bottom w:val="double" w:sz="6" w:space="0" w:color="000000"/>
              <w:right w:val="double" w:sz="6" w:space="0" w:color="000000"/>
            </w:tcBorders>
          </w:tcPr>
          <w:p w14:paraId="24D60D8F" w14:textId="77777777" w:rsidR="00245300" w:rsidRPr="00EC20A0" w:rsidRDefault="00245300">
            <w:pPr>
              <w:rPr>
                <w:sz w:val="2"/>
                <w:szCs w:val="2"/>
              </w:rPr>
            </w:pPr>
          </w:p>
        </w:tc>
      </w:tr>
    </w:tbl>
    <w:p w14:paraId="24D60D91" w14:textId="77777777" w:rsidR="00245300" w:rsidRPr="00EC20A0" w:rsidRDefault="00245300">
      <w:pPr>
        <w:rPr>
          <w:sz w:val="2"/>
          <w:szCs w:val="2"/>
        </w:rPr>
        <w:sectPr w:rsidR="00245300" w:rsidRPr="00EC20A0">
          <w:pgSz w:w="12240" w:h="15840"/>
          <w:pgMar w:top="1300" w:right="1140" w:bottom="940" w:left="1320" w:header="721" w:footer="742" w:gutter="0"/>
          <w:cols w:space="720"/>
        </w:sectPr>
      </w:pP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245300" w:rsidRPr="00EC20A0" w14:paraId="24D60D94" w14:textId="77777777">
        <w:trPr>
          <w:trHeight w:val="120"/>
        </w:trPr>
        <w:tc>
          <w:tcPr>
            <w:tcW w:w="8044" w:type="dxa"/>
            <w:tcBorders>
              <w:left w:val="nil"/>
              <w:bottom w:val="double" w:sz="6" w:space="0" w:color="000000"/>
              <w:right w:val="nil"/>
            </w:tcBorders>
          </w:tcPr>
          <w:p w14:paraId="24D60D92" w14:textId="77777777" w:rsidR="00245300" w:rsidRPr="00EC20A0" w:rsidRDefault="00245300">
            <w:pPr>
              <w:pStyle w:val="TableParagraph"/>
              <w:rPr>
                <w:sz w:val="6"/>
              </w:rPr>
            </w:pPr>
          </w:p>
        </w:tc>
        <w:tc>
          <w:tcPr>
            <w:tcW w:w="1319" w:type="dxa"/>
            <w:tcBorders>
              <w:left w:val="nil"/>
              <w:bottom w:val="double" w:sz="6" w:space="0" w:color="000000"/>
              <w:right w:val="nil"/>
            </w:tcBorders>
          </w:tcPr>
          <w:p w14:paraId="24D60D93" w14:textId="77777777" w:rsidR="00245300" w:rsidRPr="00EC20A0" w:rsidRDefault="00245300">
            <w:pPr>
              <w:pStyle w:val="TableParagraph"/>
              <w:rPr>
                <w:sz w:val="6"/>
              </w:rPr>
            </w:pPr>
          </w:p>
        </w:tc>
      </w:tr>
      <w:tr w:rsidR="00245300" w:rsidRPr="00EC20A0" w14:paraId="24D60D97"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24D60D95" w14:textId="77777777" w:rsidR="00245300" w:rsidRPr="00EC20A0" w:rsidRDefault="00F17249">
            <w:pPr>
              <w:pStyle w:val="TableParagraph"/>
              <w:spacing w:before="144"/>
              <w:ind w:right="362"/>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24D60D96"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DB1" w14:textId="77777777">
        <w:trPr>
          <w:trHeight w:val="4099"/>
        </w:trPr>
        <w:tc>
          <w:tcPr>
            <w:tcW w:w="8044" w:type="dxa"/>
            <w:tcBorders>
              <w:top w:val="double" w:sz="6" w:space="0" w:color="000000"/>
              <w:left w:val="double" w:sz="6" w:space="0" w:color="000000"/>
              <w:bottom w:val="nil"/>
              <w:right w:val="single" w:sz="6" w:space="0" w:color="000000"/>
            </w:tcBorders>
          </w:tcPr>
          <w:p w14:paraId="24D60D98" w14:textId="77777777" w:rsidR="00245300" w:rsidRPr="00EC20A0" w:rsidRDefault="00F17249">
            <w:pPr>
              <w:pStyle w:val="TableParagraph"/>
              <w:spacing w:before="145"/>
              <w:ind w:left="131"/>
              <w:rPr>
                <w:b/>
              </w:rPr>
            </w:pPr>
            <w:r w:rsidRPr="00EC20A0">
              <w:rPr>
                <w:b/>
              </w:rPr>
              <w:t>Federal</w:t>
            </w:r>
            <w:r w:rsidRPr="00EC20A0">
              <w:rPr>
                <w:b/>
                <w:spacing w:val="-5"/>
              </w:rPr>
              <w:t xml:space="preserve"> </w:t>
            </w:r>
            <w:r w:rsidRPr="00EC20A0">
              <w:rPr>
                <w:b/>
              </w:rPr>
              <w:t>Employees’</w:t>
            </w:r>
            <w:r w:rsidRPr="00EC20A0">
              <w:rPr>
                <w:b/>
                <w:spacing w:val="-5"/>
              </w:rPr>
              <w:t xml:space="preserve"> </w:t>
            </w:r>
            <w:r w:rsidRPr="00EC20A0">
              <w:rPr>
                <w:b/>
              </w:rPr>
              <w:t>Compensation</w:t>
            </w:r>
            <w:r w:rsidRPr="00EC20A0">
              <w:rPr>
                <w:b/>
                <w:spacing w:val="-5"/>
              </w:rPr>
              <w:t xml:space="preserve"> </w:t>
            </w:r>
            <w:r w:rsidRPr="00EC20A0">
              <w:rPr>
                <w:b/>
              </w:rPr>
              <w:t>Act</w:t>
            </w:r>
            <w:r w:rsidRPr="00EC20A0">
              <w:rPr>
                <w:b/>
                <w:spacing w:val="-5"/>
              </w:rPr>
              <w:t xml:space="preserve"> </w:t>
            </w:r>
            <w:r w:rsidRPr="00EC20A0">
              <w:rPr>
                <w:b/>
              </w:rPr>
              <w:t>(FECA),</w:t>
            </w:r>
            <w:r w:rsidRPr="00EC20A0">
              <w:rPr>
                <w:b/>
                <w:spacing w:val="-5"/>
              </w:rPr>
              <w:t xml:space="preserve"> </w:t>
            </w:r>
            <w:r w:rsidRPr="00EC20A0">
              <w:rPr>
                <w:b/>
              </w:rPr>
              <w:t>as</w:t>
            </w:r>
            <w:r w:rsidRPr="00EC20A0">
              <w:rPr>
                <w:b/>
                <w:spacing w:val="-5"/>
              </w:rPr>
              <w:t xml:space="preserve"> </w:t>
            </w:r>
            <w:r w:rsidRPr="00EC20A0">
              <w:rPr>
                <w:b/>
              </w:rPr>
              <w:t>provided</w:t>
            </w:r>
            <w:r w:rsidRPr="00EC20A0">
              <w:rPr>
                <w:b/>
                <w:spacing w:val="-5"/>
              </w:rPr>
              <w:t xml:space="preserve"> </w:t>
            </w:r>
            <w:r w:rsidRPr="00EC20A0">
              <w:rPr>
                <w:b/>
              </w:rPr>
              <w:t>in</w:t>
            </w:r>
            <w:r w:rsidRPr="00EC20A0">
              <w:rPr>
                <w:b/>
                <w:spacing w:val="-5"/>
              </w:rPr>
              <w:t xml:space="preserve"> </w:t>
            </w:r>
            <w:r w:rsidRPr="00EC20A0">
              <w:rPr>
                <w:b/>
              </w:rPr>
              <w:t>5</w:t>
            </w:r>
            <w:r w:rsidRPr="00EC20A0">
              <w:rPr>
                <w:b/>
                <w:spacing w:val="-6"/>
              </w:rPr>
              <w:t xml:space="preserve"> </w:t>
            </w:r>
            <w:r w:rsidRPr="00EC20A0">
              <w:rPr>
                <w:b/>
              </w:rPr>
              <w:t>U.S.C. chapter 81, subchapter I</w:t>
            </w:r>
          </w:p>
          <w:p w14:paraId="24D60D99" w14:textId="77777777" w:rsidR="00245300" w:rsidRPr="00EC20A0" w:rsidRDefault="00F17249">
            <w:pPr>
              <w:pStyle w:val="TableParagraph"/>
              <w:spacing w:before="143"/>
              <w:ind w:left="131"/>
            </w:pPr>
            <w:r w:rsidRPr="00EC20A0">
              <w:t xml:space="preserve">This law provides for the compensation of employees who are injured while </w:t>
            </w:r>
            <w:r w:rsidRPr="00EC20A0">
              <w:t>performing their duties. Claims are paid out of the federal Employees’ Compensation</w:t>
            </w:r>
            <w:r w:rsidRPr="00EC20A0">
              <w:rPr>
                <w:spacing w:val="-4"/>
              </w:rPr>
              <w:t xml:space="preserve"> </w:t>
            </w:r>
            <w:r w:rsidRPr="00EC20A0">
              <w:t>Fund</w:t>
            </w:r>
            <w:r w:rsidRPr="00EC20A0">
              <w:rPr>
                <w:spacing w:val="-4"/>
              </w:rPr>
              <w:t xml:space="preserve"> </w:t>
            </w:r>
            <w:r w:rsidRPr="00EC20A0">
              <w:t>(Fund).</w:t>
            </w:r>
            <w:r w:rsidRPr="00EC20A0">
              <w:rPr>
                <w:spacing w:val="-4"/>
              </w:rPr>
              <w:t xml:space="preserve"> </w:t>
            </w:r>
            <w:r w:rsidRPr="00EC20A0">
              <w:t>Federal</w:t>
            </w:r>
            <w:r w:rsidRPr="00EC20A0">
              <w:rPr>
                <w:spacing w:val="-5"/>
              </w:rPr>
              <w:t xml:space="preserve"> </w:t>
            </w:r>
            <w:r w:rsidRPr="00EC20A0">
              <w:t>entities</w:t>
            </w:r>
            <w:r w:rsidRPr="00EC20A0">
              <w:rPr>
                <w:spacing w:val="-4"/>
              </w:rPr>
              <w:t xml:space="preserve"> </w:t>
            </w:r>
            <w:r w:rsidRPr="00EC20A0">
              <w:t>are</w:t>
            </w:r>
            <w:r w:rsidRPr="00EC20A0">
              <w:rPr>
                <w:spacing w:val="-5"/>
              </w:rPr>
              <w:t xml:space="preserve"> </w:t>
            </w:r>
            <w:r w:rsidRPr="00EC20A0">
              <w:t>billed</w:t>
            </w:r>
            <w:r w:rsidRPr="00EC20A0">
              <w:rPr>
                <w:spacing w:val="-3"/>
              </w:rPr>
              <w:t xml:space="preserve"> </w:t>
            </w:r>
            <w:r w:rsidRPr="00EC20A0">
              <w:t>annually</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fund</w:t>
            </w:r>
            <w:r w:rsidRPr="00EC20A0">
              <w:rPr>
                <w:spacing w:val="-4"/>
              </w:rPr>
              <w:t xml:space="preserve"> </w:t>
            </w:r>
            <w:r w:rsidRPr="00EC20A0">
              <w:t>for claims paid on their behalf.</w:t>
            </w:r>
          </w:p>
          <w:p w14:paraId="24D60D9A" w14:textId="77777777" w:rsidR="00245300" w:rsidRPr="00EC20A0" w:rsidRDefault="00F17249">
            <w:pPr>
              <w:pStyle w:val="TableParagraph"/>
              <w:spacing w:before="144"/>
              <w:ind w:left="131" w:right="76"/>
            </w:pPr>
            <w:r w:rsidRPr="00EC20A0">
              <w:t>Billed federal entities, which are funded by annual appropriations, must request an appropriation to cover the billed amounts in their budget requests during the next year.</w:t>
            </w:r>
            <w:r w:rsidRPr="00EC20A0">
              <w:rPr>
                <w:spacing w:val="-1"/>
              </w:rPr>
              <w:t xml:space="preserve"> </w:t>
            </w:r>
            <w:r w:rsidRPr="00EC20A0">
              <w:t>Within 30 days of their availability, amounts appropriated pursuant to the request shall be deposited into the Treasury to the credit of the Fund. If, however, the billed entity does not receive annual appropriations, then it shall make</w:t>
            </w:r>
            <w:r w:rsidRPr="00EC20A0">
              <w:rPr>
                <w:spacing w:val="-3"/>
              </w:rPr>
              <w:t xml:space="preserve"> </w:t>
            </w:r>
            <w:r w:rsidRPr="00EC20A0">
              <w:t>the</w:t>
            </w:r>
            <w:r w:rsidRPr="00EC20A0">
              <w:rPr>
                <w:spacing w:val="-3"/>
              </w:rPr>
              <w:t xml:space="preserve"> </w:t>
            </w:r>
            <w:r w:rsidRPr="00EC20A0">
              <w:t>required</w:t>
            </w:r>
            <w:r w:rsidRPr="00EC20A0">
              <w:rPr>
                <w:spacing w:val="-3"/>
              </w:rPr>
              <w:t xml:space="preserve"> </w:t>
            </w:r>
            <w:r w:rsidRPr="00EC20A0">
              <w:t>deposit</w:t>
            </w:r>
            <w:r w:rsidRPr="00EC20A0">
              <w:rPr>
                <w:spacing w:val="-3"/>
              </w:rPr>
              <w:t xml:space="preserve"> </w:t>
            </w:r>
            <w:r w:rsidRPr="00EC20A0">
              <w:t>into</w:t>
            </w:r>
            <w:r w:rsidRPr="00EC20A0">
              <w:rPr>
                <w:spacing w:val="-3"/>
              </w:rPr>
              <w:t xml:space="preserve"> </w:t>
            </w:r>
            <w:r w:rsidRPr="00EC20A0">
              <w:t>the</w:t>
            </w:r>
            <w:r w:rsidRPr="00EC20A0">
              <w:rPr>
                <w:spacing w:val="-3"/>
              </w:rPr>
              <w:t xml:space="preserve"> </w:t>
            </w:r>
            <w:r w:rsidRPr="00EC20A0">
              <w:t>Treasury</w:t>
            </w:r>
            <w:r w:rsidRPr="00EC20A0">
              <w:rPr>
                <w:spacing w:val="-3"/>
              </w:rPr>
              <w:t xml:space="preserve"> </w:t>
            </w:r>
            <w:r w:rsidRPr="00EC20A0">
              <w:t>to</w:t>
            </w:r>
            <w:r w:rsidRPr="00EC20A0">
              <w:rPr>
                <w:spacing w:val="-3"/>
              </w:rPr>
              <w:t xml:space="preserve"> </w:t>
            </w:r>
            <w:r w:rsidRPr="00EC20A0">
              <w:t>the</w:t>
            </w:r>
            <w:r w:rsidRPr="00EC20A0">
              <w:rPr>
                <w:spacing w:val="-2"/>
              </w:rPr>
              <w:t xml:space="preserve"> </w:t>
            </w:r>
            <w:r w:rsidRPr="00EC20A0">
              <w:t>credit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Fund</w:t>
            </w:r>
            <w:r w:rsidRPr="00EC20A0">
              <w:rPr>
                <w:spacing w:val="-3"/>
              </w:rPr>
              <w:t xml:space="preserve"> </w:t>
            </w:r>
            <w:r w:rsidRPr="00EC20A0">
              <w:t>from</w:t>
            </w:r>
            <w:r w:rsidRPr="00EC20A0">
              <w:rPr>
                <w:spacing w:val="-4"/>
              </w:rPr>
              <w:t xml:space="preserve"> </w:t>
            </w:r>
            <w:r w:rsidRPr="00EC20A0">
              <w:t xml:space="preserve">funds under its control during the first 15 days of October after it receives the Fund cost </w:t>
            </w:r>
            <w:r w:rsidRPr="00EC20A0">
              <w:t>statement.</w:t>
            </w:r>
          </w:p>
        </w:tc>
        <w:tc>
          <w:tcPr>
            <w:tcW w:w="1319" w:type="dxa"/>
            <w:vMerge w:val="restart"/>
            <w:tcBorders>
              <w:top w:val="double" w:sz="6" w:space="0" w:color="000000"/>
              <w:left w:val="single" w:sz="6" w:space="0" w:color="000000"/>
              <w:bottom w:val="double" w:sz="6" w:space="0" w:color="000000"/>
              <w:right w:val="double" w:sz="6" w:space="0" w:color="000000"/>
            </w:tcBorders>
          </w:tcPr>
          <w:p w14:paraId="24D60D9B" w14:textId="77777777" w:rsidR="00245300" w:rsidRPr="00EC20A0" w:rsidRDefault="00245300">
            <w:pPr>
              <w:pStyle w:val="TableParagraph"/>
              <w:rPr>
                <w:sz w:val="20"/>
              </w:rPr>
            </w:pPr>
          </w:p>
          <w:p w14:paraId="24D60D9C" w14:textId="77777777" w:rsidR="00245300" w:rsidRPr="00EC20A0" w:rsidRDefault="00245300">
            <w:pPr>
              <w:pStyle w:val="TableParagraph"/>
              <w:rPr>
                <w:sz w:val="20"/>
              </w:rPr>
            </w:pPr>
          </w:p>
          <w:p w14:paraId="24D60D9D" w14:textId="77777777" w:rsidR="00245300" w:rsidRPr="00EC20A0" w:rsidRDefault="00245300">
            <w:pPr>
              <w:pStyle w:val="TableParagraph"/>
              <w:rPr>
                <w:sz w:val="20"/>
              </w:rPr>
            </w:pPr>
          </w:p>
          <w:p w14:paraId="24D60D9E" w14:textId="77777777" w:rsidR="00245300" w:rsidRPr="00EC20A0" w:rsidRDefault="00245300">
            <w:pPr>
              <w:pStyle w:val="TableParagraph"/>
              <w:rPr>
                <w:sz w:val="20"/>
              </w:rPr>
            </w:pPr>
          </w:p>
          <w:p w14:paraId="24D60D9F" w14:textId="77777777" w:rsidR="00245300" w:rsidRPr="00EC20A0" w:rsidRDefault="00245300">
            <w:pPr>
              <w:pStyle w:val="TableParagraph"/>
              <w:rPr>
                <w:sz w:val="20"/>
              </w:rPr>
            </w:pPr>
          </w:p>
          <w:p w14:paraId="24D60DA0" w14:textId="77777777" w:rsidR="00245300" w:rsidRPr="00EC20A0" w:rsidRDefault="00245300">
            <w:pPr>
              <w:pStyle w:val="TableParagraph"/>
              <w:rPr>
                <w:sz w:val="20"/>
              </w:rPr>
            </w:pPr>
          </w:p>
          <w:p w14:paraId="24D60DA1" w14:textId="77777777" w:rsidR="00245300" w:rsidRPr="00EC20A0" w:rsidRDefault="00245300">
            <w:pPr>
              <w:pStyle w:val="TableParagraph"/>
              <w:rPr>
                <w:sz w:val="20"/>
              </w:rPr>
            </w:pPr>
          </w:p>
          <w:p w14:paraId="24D60DA2" w14:textId="77777777" w:rsidR="00245300" w:rsidRPr="00EC20A0" w:rsidRDefault="00245300">
            <w:pPr>
              <w:pStyle w:val="TableParagraph"/>
              <w:rPr>
                <w:sz w:val="20"/>
              </w:rPr>
            </w:pPr>
          </w:p>
          <w:p w14:paraId="24D60DA3" w14:textId="77777777" w:rsidR="00245300" w:rsidRPr="00EC20A0" w:rsidRDefault="00245300">
            <w:pPr>
              <w:pStyle w:val="TableParagraph"/>
              <w:rPr>
                <w:sz w:val="20"/>
              </w:rPr>
            </w:pPr>
          </w:p>
          <w:p w14:paraId="24D60DA4" w14:textId="77777777" w:rsidR="00245300" w:rsidRPr="00EC20A0" w:rsidRDefault="00245300">
            <w:pPr>
              <w:pStyle w:val="TableParagraph"/>
              <w:rPr>
                <w:sz w:val="20"/>
              </w:rPr>
            </w:pPr>
          </w:p>
          <w:p w14:paraId="24D60DA5" w14:textId="77777777" w:rsidR="00245300" w:rsidRPr="00EC20A0" w:rsidRDefault="00245300">
            <w:pPr>
              <w:pStyle w:val="TableParagraph"/>
              <w:rPr>
                <w:sz w:val="20"/>
              </w:rPr>
            </w:pPr>
          </w:p>
          <w:p w14:paraId="24D60DA6" w14:textId="77777777" w:rsidR="00245300" w:rsidRPr="00EC20A0" w:rsidRDefault="00245300">
            <w:pPr>
              <w:pStyle w:val="TableParagraph"/>
              <w:rPr>
                <w:sz w:val="20"/>
              </w:rPr>
            </w:pPr>
          </w:p>
          <w:p w14:paraId="24D60DA7" w14:textId="77777777" w:rsidR="00245300" w:rsidRPr="00EC20A0" w:rsidRDefault="00245300">
            <w:pPr>
              <w:pStyle w:val="TableParagraph"/>
              <w:rPr>
                <w:sz w:val="20"/>
              </w:rPr>
            </w:pPr>
          </w:p>
          <w:p w14:paraId="24D60DA8" w14:textId="77777777" w:rsidR="00245300" w:rsidRPr="00EC20A0" w:rsidRDefault="00245300">
            <w:pPr>
              <w:pStyle w:val="TableParagraph"/>
              <w:rPr>
                <w:sz w:val="20"/>
              </w:rPr>
            </w:pPr>
          </w:p>
          <w:p w14:paraId="24D60DA9" w14:textId="77777777" w:rsidR="00245300" w:rsidRPr="00EC20A0" w:rsidRDefault="00245300">
            <w:pPr>
              <w:pStyle w:val="TableParagraph"/>
              <w:rPr>
                <w:sz w:val="20"/>
              </w:rPr>
            </w:pPr>
          </w:p>
          <w:p w14:paraId="24D60DAA" w14:textId="77777777" w:rsidR="00245300" w:rsidRPr="00EC20A0" w:rsidRDefault="00245300">
            <w:pPr>
              <w:pStyle w:val="TableParagraph"/>
              <w:rPr>
                <w:sz w:val="20"/>
              </w:rPr>
            </w:pPr>
          </w:p>
          <w:p w14:paraId="24D60DAB" w14:textId="77777777" w:rsidR="00245300" w:rsidRPr="00EC20A0" w:rsidRDefault="00245300">
            <w:pPr>
              <w:pStyle w:val="TableParagraph"/>
              <w:rPr>
                <w:sz w:val="20"/>
              </w:rPr>
            </w:pPr>
          </w:p>
          <w:p w14:paraId="24D60DAC" w14:textId="77777777" w:rsidR="00245300" w:rsidRPr="00EC20A0" w:rsidRDefault="00245300">
            <w:pPr>
              <w:pStyle w:val="TableParagraph"/>
              <w:rPr>
                <w:sz w:val="20"/>
              </w:rPr>
            </w:pPr>
          </w:p>
          <w:p w14:paraId="24D60DAD" w14:textId="77777777" w:rsidR="00245300" w:rsidRPr="00EC20A0" w:rsidRDefault="00245300">
            <w:pPr>
              <w:pStyle w:val="TableParagraph"/>
              <w:rPr>
                <w:sz w:val="20"/>
              </w:rPr>
            </w:pPr>
          </w:p>
          <w:p w14:paraId="24D60DAE" w14:textId="77777777" w:rsidR="00245300" w:rsidRPr="00EC20A0" w:rsidRDefault="00245300">
            <w:pPr>
              <w:pStyle w:val="TableParagraph"/>
              <w:rPr>
                <w:sz w:val="20"/>
              </w:rPr>
            </w:pPr>
          </w:p>
          <w:p w14:paraId="24D60DAF" w14:textId="77777777" w:rsidR="00245300" w:rsidRPr="00EC20A0" w:rsidRDefault="00245300">
            <w:pPr>
              <w:pStyle w:val="TableParagraph"/>
              <w:spacing w:before="73"/>
              <w:rPr>
                <w:sz w:val="20"/>
              </w:rPr>
            </w:pPr>
          </w:p>
          <w:p w14:paraId="24D60DB0" w14:textId="77777777" w:rsidR="00245300" w:rsidRPr="00EC20A0" w:rsidRDefault="00F17249">
            <w:pPr>
              <w:pStyle w:val="TableParagraph"/>
              <w:spacing w:line="20" w:lineRule="exact"/>
              <w:ind w:left="145"/>
              <w:rPr>
                <w:sz w:val="2"/>
              </w:rPr>
            </w:pPr>
            <w:r w:rsidRPr="00EC20A0">
              <w:rPr>
                <w:noProof/>
                <w:sz w:val="2"/>
              </w:rPr>
              <mc:AlternateContent>
                <mc:Choice Requires="wpg">
                  <w:drawing>
                    <wp:inline distT="0" distB="0" distL="0" distR="0" wp14:anchorId="24D62B59" wp14:editId="24D62B5A">
                      <wp:extent cx="621665" cy="8890"/>
                      <wp:effectExtent l="9525" t="0" r="0" b="635"/>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67" name="Graphic 367"/>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8732E7" id="Group 366"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Ow9XbZwAgAAjwUAAA4AAAAAAAAAAAAAAAAA&#10;LgIAAGRycy9lMm9Eb2MueG1sUEsBAi0AFAAGAAgAAAAhABFF7qTaAAAAAgEAAA8AAAAAAAAAAAAA&#10;AAAAygQAAGRycy9kb3ducmV2LnhtbFBLBQYAAAAABAAEAPMAAADRBQAAAAA=&#10;">
                      <v:shape id="Graphic 367"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" path="m,l621371,e" filled="f" strokeweight=".24403mm">
                        <v:path arrowok="t"/>
                      </v:shape>
                      <w10:anchorlock/>
                    </v:group>
                  </w:pict>
                </mc:Fallback>
              </mc:AlternateContent>
            </w:r>
          </w:p>
        </w:tc>
      </w:tr>
      <w:tr w:rsidR="00245300" w:rsidRPr="00EC20A0" w14:paraId="24D60DB4" w14:textId="77777777">
        <w:trPr>
          <w:trHeight w:val="1255"/>
        </w:trPr>
        <w:tc>
          <w:tcPr>
            <w:tcW w:w="8044" w:type="dxa"/>
            <w:tcBorders>
              <w:top w:val="nil"/>
              <w:left w:val="double" w:sz="6" w:space="0" w:color="000000"/>
              <w:bottom w:val="nil"/>
              <w:right w:val="single" w:sz="6" w:space="0" w:color="000000"/>
            </w:tcBorders>
          </w:tcPr>
          <w:p w14:paraId="24D60DB2" w14:textId="77777777" w:rsidR="00245300" w:rsidRPr="00EC20A0" w:rsidRDefault="00F17249">
            <w:pPr>
              <w:pStyle w:val="TableParagraph"/>
              <w:spacing w:before="118"/>
              <w:ind w:left="131" w:right="141"/>
              <w:rPr>
                <w:i/>
              </w:rPr>
            </w:pPr>
            <w:r w:rsidRPr="00EC20A0">
              <w:rPr>
                <w:i/>
              </w:rPr>
              <w:t>Does the entity’s expense for the audit period for</w:t>
            </w:r>
            <w:r w:rsidRPr="00EC20A0">
              <w:rPr>
                <w:i/>
                <w:spacing w:val="-1"/>
              </w:rPr>
              <w:t xml:space="preserve"> </w:t>
            </w:r>
            <w:r w:rsidRPr="00EC20A0">
              <w:rPr>
                <w:i/>
              </w:rPr>
              <w:t>benefits paid by the Fund on the entity’s behalf exceed materiality, or did the auditor determine that FECA has</w:t>
            </w:r>
            <w:r w:rsidRPr="00EC20A0">
              <w:rPr>
                <w:i/>
                <w:spacing w:val="-3"/>
              </w:rPr>
              <w:t xml:space="preserve"> </w:t>
            </w:r>
            <w:r w:rsidRPr="00EC20A0">
              <w:rPr>
                <w:i/>
              </w:rPr>
              <w:t>a</w:t>
            </w:r>
            <w:r w:rsidRPr="00EC20A0">
              <w:rPr>
                <w:i/>
                <w:spacing w:val="-3"/>
              </w:rPr>
              <w:t xml:space="preserve"> </w:t>
            </w:r>
            <w:r w:rsidRPr="00EC20A0">
              <w:rPr>
                <w:i/>
              </w:rPr>
              <w:t>direct</w:t>
            </w:r>
            <w:r w:rsidRPr="00EC20A0">
              <w:rPr>
                <w:i/>
                <w:spacing w:val="-4"/>
              </w:rPr>
              <w:t xml:space="preserve"> </w:t>
            </w:r>
            <w:r w:rsidRPr="00EC20A0">
              <w:rPr>
                <w:i/>
              </w:rPr>
              <w:t>effect</w:t>
            </w:r>
            <w:r w:rsidRPr="00EC20A0">
              <w:rPr>
                <w:i/>
                <w:spacing w:val="-3"/>
              </w:rPr>
              <w:t xml:space="preserve"> </w:t>
            </w:r>
            <w:r w:rsidRPr="00EC20A0">
              <w:rPr>
                <w:i/>
              </w:rPr>
              <w:t>on</w:t>
            </w:r>
            <w:r w:rsidRPr="00EC20A0">
              <w:rPr>
                <w:i/>
                <w:spacing w:val="-3"/>
              </w:rPr>
              <w:t xml:space="preserve"> </w:t>
            </w:r>
            <w:r w:rsidRPr="00EC20A0">
              <w:rPr>
                <w:i/>
              </w:rPr>
              <w:t>the</w:t>
            </w:r>
            <w:r w:rsidRPr="00EC20A0">
              <w:rPr>
                <w:i/>
                <w:spacing w:val="-4"/>
              </w:rPr>
              <w:t xml:space="preserve"> </w:t>
            </w:r>
            <w:r w:rsidRPr="00EC20A0">
              <w:rPr>
                <w:i/>
              </w:rPr>
              <w:t>determination</w:t>
            </w:r>
            <w:r w:rsidRPr="00EC20A0">
              <w:rPr>
                <w:i/>
                <w:spacing w:val="-3"/>
              </w:rPr>
              <w:t xml:space="preserve"> </w:t>
            </w:r>
            <w:r w:rsidRPr="00EC20A0">
              <w:rPr>
                <w:i/>
              </w:rPr>
              <w:t>of</w:t>
            </w:r>
            <w:r w:rsidRPr="00EC20A0">
              <w:rPr>
                <w:i/>
                <w:spacing w:val="-3"/>
              </w:rPr>
              <w:t xml:space="preserve"> </w:t>
            </w:r>
            <w:r w:rsidRPr="00EC20A0">
              <w:rPr>
                <w:i/>
              </w:rPr>
              <w:t>material</w:t>
            </w:r>
            <w:r w:rsidRPr="00EC20A0">
              <w:rPr>
                <w:i/>
                <w:spacing w:val="-3"/>
              </w:rPr>
              <w:t xml:space="preserve"> </w:t>
            </w:r>
            <w:r w:rsidRPr="00EC20A0">
              <w:rPr>
                <w:i/>
              </w:rPr>
              <w:t>amounts</w:t>
            </w:r>
            <w:r w:rsidRPr="00EC20A0">
              <w:rPr>
                <w:i/>
                <w:spacing w:val="-3"/>
              </w:rPr>
              <w:t xml:space="preserve"> </w:t>
            </w:r>
            <w:r w:rsidRPr="00EC20A0">
              <w:rPr>
                <w:i/>
              </w:rPr>
              <w:t>and</w:t>
            </w:r>
            <w:r w:rsidRPr="00EC20A0">
              <w:rPr>
                <w:i/>
                <w:spacing w:val="-3"/>
              </w:rPr>
              <w:t xml:space="preserve"> </w:t>
            </w:r>
            <w:r w:rsidRPr="00EC20A0">
              <w:rPr>
                <w:i/>
              </w:rPr>
              <w:t>disclosures</w:t>
            </w:r>
            <w:r w:rsidRPr="00EC20A0">
              <w:rPr>
                <w:i/>
                <w:spacing w:val="-3"/>
              </w:rPr>
              <w:t xml:space="preserve"> </w:t>
            </w:r>
            <w:r w:rsidRPr="00EC20A0">
              <w:rPr>
                <w:i/>
              </w:rPr>
              <w:t>in the entity’s financial statements?</w:t>
            </w:r>
          </w:p>
        </w:tc>
        <w:tc>
          <w:tcPr>
            <w:tcW w:w="1319" w:type="dxa"/>
            <w:vMerge/>
            <w:tcBorders>
              <w:top w:val="nil"/>
              <w:left w:val="single" w:sz="6" w:space="0" w:color="000000"/>
              <w:bottom w:val="double" w:sz="6" w:space="0" w:color="000000"/>
              <w:right w:val="double" w:sz="6" w:space="0" w:color="000000"/>
            </w:tcBorders>
          </w:tcPr>
          <w:p w14:paraId="24D60DB3" w14:textId="77777777" w:rsidR="00245300" w:rsidRPr="00EC20A0" w:rsidRDefault="00245300">
            <w:pPr>
              <w:rPr>
                <w:sz w:val="2"/>
                <w:szCs w:val="2"/>
              </w:rPr>
            </w:pPr>
          </w:p>
        </w:tc>
      </w:tr>
      <w:tr w:rsidR="00245300" w:rsidRPr="00EC20A0" w14:paraId="24D60DBC" w14:textId="77777777">
        <w:trPr>
          <w:trHeight w:val="1834"/>
        </w:trPr>
        <w:tc>
          <w:tcPr>
            <w:tcW w:w="8044" w:type="dxa"/>
            <w:tcBorders>
              <w:top w:val="nil"/>
              <w:left w:val="double" w:sz="6" w:space="0" w:color="000000"/>
              <w:bottom w:val="nil"/>
              <w:right w:val="single" w:sz="6" w:space="0" w:color="000000"/>
            </w:tcBorders>
          </w:tcPr>
          <w:p w14:paraId="24D60DB5" w14:textId="77777777" w:rsidR="00245300" w:rsidRPr="00EC20A0" w:rsidRDefault="00F17249">
            <w:pPr>
              <w:pStyle w:val="TableParagraph"/>
              <w:tabs>
                <w:tab w:val="left" w:pos="6807"/>
              </w:tabs>
              <w:spacing w:before="117"/>
              <w:ind w:left="4532"/>
            </w:pPr>
            <w:r w:rsidRPr="00EC20A0">
              <w:rPr>
                <w:spacing w:val="-2"/>
                <w:u w:val="single"/>
              </w:rPr>
              <w:t>Preliminary</w:t>
            </w:r>
            <w:r w:rsidRPr="00EC20A0">
              <w:tab/>
            </w:r>
            <w:r w:rsidRPr="00EC20A0">
              <w:rPr>
                <w:spacing w:val="-2"/>
                <w:u w:val="single"/>
              </w:rPr>
              <w:t>Final</w:t>
            </w:r>
          </w:p>
          <w:p w14:paraId="24D60DB6" w14:textId="77777777" w:rsidR="00245300" w:rsidRPr="00EC20A0" w:rsidRDefault="00245300">
            <w:pPr>
              <w:pStyle w:val="TableParagraph"/>
              <w:spacing w:before="35"/>
            </w:pPr>
          </w:p>
          <w:p w14:paraId="24D60DB7" w14:textId="77777777" w:rsidR="00245300" w:rsidRPr="00EC20A0" w:rsidRDefault="00F17249">
            <w:pPr>
              <w:pStyle w:val="TableParagraph"/>
              <w:ind w:left="299" w:right="4319"/>
            </w:pPr>
            <w:r w:rsidRPr="00EC20A0">
              <w:t>Expense</w:t>
            </w:r>
            <w:r w:rsidRPr="00EC20A0">
              <w:rPr>
                <w:spacing w:val="-13"/>
              </w:rPr>
              <w:t xml:space="preserve"> </w:t>
            </w:r>
            <w:r w:rsidRPr="00EC20A0">
              <w:t>for</w:t>
            </w:r>
            <w:r w:rsidRPr="00EC20A0">
              <w:rPr>
                <w:spacing w:val="-14"/>
              </w:rPr>
              <w:t xml:space="preserve"> </w:t>
            </w:r>
            <w:r w:rsidRPr="00EC20A0">
              <w:t>Compensation</w:t>
            </w:r>
            <w:r w:rsidRPr="00EC20A0">
              <w:rPr>
                <w:spacing w:val="-13"/>
              </w:rPr>
              <w:t xml:space="preserve"> </w:t>
            </w:r>
            <w:r w:rsidRPr="00EC20A0">
              <w:t xml:space="preserve">Fund </w:t>
            </w:r>
            <w:r w:rsidRPr="00EC20A0">
              <w:rPr>
                <w:spacing w:val="-2"/>
              </w:rPr>
              <w:t>claims</w:t>
            </w:r>
          </w:p>
          <w:p w14:paraId="24D60DB8" w14:textId="77777777" w:rsidR="00245300" w:rsidRPr="00EC20A0" w:rsidRDefault="00245300">
            <w:pPr>
              <w:pStyle w:val="TableParagraph"/>
              <w:spacing w:before="6" w:after="1"/>
              <w:rPr>
                <w:sz w:val="12"/>
              </w:rPr>
            </w:pPr>
          </w:p>
          <w:p w14:paraId="24D60DB9" w14:textId="77777777" w:rsidR="00245300" w:rsidRPr="00EC20A0" w:rsidRDefault="00F17249">
            <w:pPr>
              <w:pStyle w:val="TableParagraph"/>
              <w:spacing w:line="20" w:lineRule="exact"/>
              <w:ind w:left="4062"/>
              <w:rPr>
                <w:sz w:val="2"/>
              </w:rPr>
            </w:pPr>
            <w:r w:rsidRPr="00EC20A0">
              <w:rPr>
                <w:noProof/>
              </w:rPr>
              <mc:AlternateContent>
                <mc:Choice Requires="wpg">
                  <w:drawing>
                    <wp:anchor distT="0" distB="0" distL="0" distR="0" simplePos="0" relativeHeight="475284480" behindDoc="1" locked="0" layoutInCell="1" allowOverlap="1" wp14:anchorId="24D62B5B" wp14:editId="24D62B5C">
                      <wp:simplePos x="0" y="0"/>
                      <wp:positionH relativeFrom="column">
                        <wp:posOffset>2588514</wp:posOffset>
                      </wp:positionH>
                      <wp:positionV relativeFrom="paragraph">
                        <wp:posOffset>346709</wp:posOffset>
                      </wp:positionV>
                      <wp:extent cx="1295400" cy="3175"/>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69" name="Graphic 36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018E10" id="Group 368" o:spid="_x0000_s1026" style="position:absolute;margin-left:203.8pt;margin-top:27.3pt;width:102pt;height:.25pt;z-index:-2803200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">
                      <v:shape id="Graphic 36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84992" behindDoc="1" locked="0" layoutInCell="1" allowOverlap="1" wp14:anchorId="24D62B5D" wp14:editId="24D62B5E">
                      <wp:simplePos x="0" y="0"/>
                      <wp:positionH relativeFrom="column">
                        <wp:posOffset>3960114</wp:posOffset>
                      </wp:positionH>
                      <wp:positionV relativeFrom="paragraph">
                        <wp:posOffset>346709</wp:posOffset>
                      </wp:positionV>
                      <wp:extent cx="1045844" cy="317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71" name="Graphic 371"/>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4A5518" id="Group 370" o:spid="_x0000_s1026" style="position:absolute;margin-left:311.8pt;margin-top:27.3pt;width:82.35pt;height:.25pt;z-index:-2803148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6CdQIAAPMFAAAOAAAAZHJzL2Uyb0RvYy54bWykVN9P2zAQfp+0/8Hy+0gLBaqIFE0wqkmI&#10;IQHas+s4PzTH553dpvz3OztxG4E0aSwPyTn3+Xz33ee7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">
                      <v:shape id="Graphic 371"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" path="m1045463,l,,,3048r1045463,l1045463,xe" fillcolor="black" stroked="f">
                        <v:path arrowok="t"/>
                      </v:shape>
                    </v:group>
                  </w:pict>
                </mc:Fallback>
              </mc:AlternateContent>
            </w:r>
            <w:r w:rsidRPr="00EC20A0">
              <w:rPr>
                <w:noProof/>
                <w:sz w:val="2"/>
              </w:rPr>
              <mc:AlternateContent>
                <mc:Choice Requires="wpg">
                  <w:drawing>
                    <wp:inline distT="0" distB="0" distL="0" distR="0" wp14:anchorId="24D62B5F" wp14:editId="24D62B60">
                      <wp:extent cx="1295400" cy="3175"/>
                      <wp:effectExtent l="0" t="0" r="0" b="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73" name="Graphic 373"/>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B31F96" id="Group 372"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ClJZexxAgAA8wUAAA4AAAAAAAAAAAAAAAAA&#10;LgIAAGRycy9lMm9Eb2MueG1sUEsBAi0AFAAGAAgAAAAhAPt8ozjZAAAAAgEAAA8AAAAAAAAAAAAA&#10;AAAAywQAAGRycy9kb3ducmV2LnhtbFBLBQYAAAAABAAEAPMAAADRBQAAAAA=&#10;">
                      <v:shape id="Graphic 373"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" path="m1295400,l,,,3048r1295400,l1295400,xe" fillcolor="black" stroked="f">
                        <v:path arrowok="t"/>
                      </v:shape>
                      <w10:anchorlock/>
                    </v:group>
                  </w:pict>
                </mc:Fallback>
              </mc:AlternateContent>
            </w:r>
            <w:r w:rsidRPr="00EC20A0">
              <w:rPr>
                <w:spacing w:val="95"/>
                <w:sz w:val="2"/>
              </w:rPr>
              <w:t xml:space="preserve"> </w:t>
            </w:r>
            <w:r w:rsidRPr="00EC20A0">
              <w:rPr>
                <w:noProof/>
                <w:spacing w:val="95"/>
                <w:sz w:val="2"/>
              </w:rPr>
              <mc:AlternateContent>
                <mc:Choice Requires="wpg">
                  <w:drawing>
                    <wp:inline distT="0" distB="0" distL="0" distR="0" wp14:anchorId="24D62B61" wp14:editId="24D62B62">
                      <wp:extent cx="1045844" cy="3175"/>
                      <wp:effectExtent l="0" t="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75" name="Graphic 375"/>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54776D" id="Group 374"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">
                      <v:shape id="Graphic 375"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" path="m1045463,l,,,3048r1045463,l1045463,xe" fillcolor="black" stroked="f">
                        <v:path arrowok="t"/>
                      </v:shape>
                      <w10:anchorlock/>
                    </v:group>
                  </w:pict>
                </mc:Fallback>
              </mc:AlternateContent>
            </w:r>
          </w:p>
          <w:p w14:paraId="24D60DBA" w14:textId="77777777" w:rsidR="00245300" w:rsidRPr="00EC20A0" w:rsidRDefault="00F17249">
            <w:pPr>
              <w:pStyle w:val="TableParagraph"/>
              <w:spacing w:before="129"/>
              <w:ind w:left="299"/>
            </w:pPr>
            <w:r w:rsidRPr="00EC20A0">
              <w:rPr>
                <w:spacing w:val="-2"/>
              </w:rPr>
              <w:t>Materiality</w:t>
            </w:r>
          </w:p>
        </w:tc>
        <w:tc>
          <w:tcPr>
            <w:tcW w:w="1319" w:type="dxa"/>
            <w:vMerge/>
            <w:tcBorders>
              <w:top w:val="nil"/>
              <w:left w:val="single" w:sz="6" w:space="0" w:color="000000"/>
              <w:bottom w:val="double" w:sz="6" w:space="0" w:color="000000"/>
              <w:right w:val="double" w:sz="6" w:space="0" w:color="000000"/>
            </w:tcBorders>
          </w:tcPr>
          <w:p w14:paraId="24D60DBB" w14:textId="77777777" w:rsidR="00245300" w:rsidRPr="00EC20A0" w:rsidRDefault="00245300">
            <w:pPr>
              <w:rPr>
                <w:sz w:val="2"/>
                <w:szCs w:val="2"/>
              </w:rPr>
            </w:pPr>
          </w:p>
        </w:tc>
      </w:tr>
      <w:tr w:rsidR="00245300" w:rsidRPr="00EC20A0" w14:paraId="24D60DC1" w14:textId="77777777">
        <w:trPr>
          <w:trHeight w:val="994"/>
        </w:trPr>
        <w:tc>
          <w:tcPr>
            <w:tcW w:w="8044" w:type="dxa"/>
            <w:tcBorders>
              <w:top w:val="nil"/>
              <w:left w:val="double" w:sz="6" w:space="0" w:color="000000"/>
              <w:bottom w:val="double" w:sz="6" w:space="0" w:color="000000"/>
              <w:right w:val="single" w:sz="6" w:space="0" w:color="000000"/>
            </w:tcBorders>
          </w:tcPr>
          <w:p w14:paraId="24D60DBD" w14:textId="77777777" w:rsidR="00245300" w:rsidRPr="00EC20A0" w:rsidRDefault="00245300">
            <w:pPr>
              <w:pStyle w:val="TableParagraph"/>
            </w:pPr>
          </w:p>
          <w:p w14:paraId="24D60DBE" w14:textId="77777777" w:rsidR="00245300" w:rsidRPr="00EC20A0" w:rsidRDefault="00245300">
            <w:pPr>
              <w:pStyle w:val="TableParagraph"/>
              <w:spacing w:before="89"/>
            </w:pPr>
          </w:p>
          <w:p w14:paraId="24D60DBF" w14:textId="77777777" w:rsidR="00245300" w:rsidRPr="00EC20A0" w:rsidRDefault="00F17249">
            <w:pPr>
              <w:pStyle w:val="TableParagraph"/>
              <w:ind w:left="131"/>
            </w:pPr>
            <w:r w:rsidRPr="00EC20A0">
              <w:t>If</w:t>
            </w:r>
            <w:r w:rsidRPr="00EC20A0">
              <w:rPr>
                <w:spacing w:val="-7"/>
              </w:rPr>
              <w:t xml:space="preserve"> </w:t>
            </w:r>
            <w:r w:rsidRPr="00EC20A0">
              <w:t>yes,</w:t>
            </w:r>
            <w:r w:rsidRPr="00EC20A0">
              <w:rPr>
                <w:spacing w:val="-7"/>
              </w:rPr>
              <w:t xml:space="preserve"> </w:t>
            </w:r>
            <w:r w:rsidRPr="00EC20A0">
              <w:t>then</w:t>
            </w:r>
            <w:r w:rsidRPr="00EC20A0">
              <w:rPr>
                <w:spacing w:val="-8"/>
              </w:rPr>
              <w:t xml:space="preserve"> </w:t>
            </w:r>
            <w:r w:rsidRPr="00EC20A0">
              <w:t>complete</w:t>
            </w:r>
            <w:r w:rsidRPr="00EC20A0">
              <w:rPr>
                <w:spacing w:val="-6"/>
              </w:rPr>
              <w:t xml:space="preserve"> </w:t>
            </w:r>
            <w:r w:rsidRPr="00EC20A0">
              <w:t>compliance</w:t>
            </w:r>
            <w:r w:rsidRPr="00EC20A0">
              <w:rPr>
                <w:spacing w:val="-7"/>
              </w:rPr>
              <w:t xml:space="preserve"> </w:t>
            </w:r>
            <w:r w:rsidRPr="00EC20A0">
              <w:t>supplement</w:t>
            </w:r>
            <w:r w:rsidRPr="00EC20A0">
              <w:rPr>
                <w:spacing w:val="-7"/>
              </w:rPr>
              <w:t xml:space="preserve"> </w:t>
            </w:r>
            <w:r w:rsidRPr="00EC20A0">
              <w:t>at</w:t>
            </w:r>
            <w:r w:rsidRPr="00EC20A0">
              <w:rPr>
                <w:spacing w:val="-6"/>
              </w:rPr>
              <w:t xml:space="preserve"> </w:t>
            </w:r>
            <w:r w:rsidRPr="00EC20A0">
              <w:t>FAM</w:t>
            </w:r>
            <w:r w:rsidRPr="00EC20A0">
              <w:rPr>
                <w:spacing w:val="-8"/>
              </w:rPr>
              <w:t xml:space="preserve"> </w:t>
            </w:r>
            <w:r w:rsidRPr="00EC20A0">
              <w:rPr>
                <w:spacing w:val="-4"/>
              </w:rPr>
              <w:t>810.</w:t>
            </w:r>
          </w:p>
        </w:tc>
        <w:tc>
          <w:tcPr>
            <w:tcW w:w="1319" w:type="dxa"/>
            <w:vMerge/>
            <w:tcBorders>
              <w:top w:val="nil"/>
              <w:left w:val="single" w:sz="6" w:space="0" w:color="000000"/>
              <w:bottom w:val="double" w:sz="6" w:space="0" w:color="000000"/>
              <w:right w:val="double" w:sz="6" w:space="0" w:color="000000"/>
            </w:tcBorders>
          </w:tcPr>
          <w:p w14:paraId="24D60DC0" w14:textId="77777777" w:rsidR="00245300" w:rsidRPr="00EC20A0" w:rsidRDefault="00245300">
            <w:pPr>
              <w:rPr>
                <w:sz w:val="2"/>
                <w:szCs w:val="2"/>
              </w:rPr>
            </w:pPr>
          </w:p>
        </w:tc>
      </w:tr>
    </w:tbl>
    <w:p w14:paraId="24D60DC2" w14:textId="77777777" w:rsidR="00245300" w:rsidRPr="00EC20A0" w:rsidRDefault="00245300">
      <w:pPr>
        <w:rPr>
          <w:sz w:val="2"/>
          <w:szCs w:val="2"/>
        </w:rPr>
        <w:sectPr w:rsidR="00245300" w:rsidRPr="00EC20A0">
          <w:pgSz w:w="12240" w:h="15840"/>
          <w:pgMar w:top="1300" w:right="1140" w:bottom="940" w:left="1320" w:header="721" w:footer="742" w:gutter="0"/>
          <w:cols w:space="720"/>
        </w:sectPr>
      </w:pPr>
    </w:p>
    <w:tbl>
      <w:tblPr>
        <w:tblW w:w="0" w:type="auto"/>
        <w:tblInd w:w="1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245300" w:rsidRPr="00EC20A0" w14:paraId="24D60DC5" w14:textId="77777777">
        <w:trPr>
          <w:trHeight w:val="120"/>
        </w:trPr>
        <w:tc>
          <w:tcPr>
            <w:tcW w:w="8044" w:type="dxa"/>
            <w:tcBorders>
              <w:left w:val="nil"/>
              <w:bottom w:val="double" w:sz="6" w:space="0" w:color="000000"/>
              <w:right w:val="nil"/>
            </w:tcBorders>
          </w:tcPr>
          <w:p w14:paraId="24D60DC3" w14:textId="77777777" w:rsidR="00245300" w:rsidRPr="00EC20A0" w:rsidRDefault="00245300">
            <w:pPr>
              <w:pStyle w:val="TableParagraph"/>
              <w:rPr>
                <w:sz w:val="6"/>
              </w:rPr>
            </w:pPr>
          </w:p>
        </w:tc>
        <w:tc>
          <w:tcPr>
            <w:tcW w:w="1319" w:type="dxa"/>
            <w:tcBorders>
              <w:left w:val="nil"/>
              <w:bottom w:val="double" w:sz="6" w:space="0" w:color="000000"/>
              <w:right w:val="nil"/>
            </w:tcBorders>
          </w:tcPr>
          <w:p w14:paraId="24D60DC4" w14:textId="77777777" w:rsidR="00245300" w:rsidRPr="00EC20A0" w:rsidRDefault="00245300">
            <w:pPr>
              <w:pStyle w:val="TableParagraph"/>
              <w:rPr>
                <w:sz w:val="6"/>
              </w:rPr>
            </w:pPr>
          </w:p>
        </w:tc>
      </w:tr>
      <w:tr w:rsidR="00245300" w:rsidRPr="00EC20A0" w14:paraId="24D60DC8"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24D60DC6" w14:textId="77777777" w:rsidR="00245300" w:rsidRPr="00EC20A0" w:rsidRDefault="00F17249">
            <w:pPr>
              <w:pStyle w:val="TableParagraph"/>
              <w:spacing w:before="144"/>
              <w:ind w:right="362"/>
              <w:jc w:val="center"/>
              <w:rPr>
                <w:b/>
              </w:rPr>
            </w:pPr>
            <w:r w:rsidRPr="00EC20A0">
              <w:rPr>
                <w:b/>
              </w:rPr>
              <w:t>Description</w:t>
            </w:r>
            <w:r w:rsidRPr="00EC20A0">
              <w:rPr>
                <w:b/>
                <w:spacing w:val="-9"/>
              </w:rPr>
              <w:t xml:space="preserve"> </w:t>
            </w:r>
            <w:r w:rsidRPr="00EC20A0">
              <w:rPr>
                <w:b/>
              </w:rPr>
              <w:t>of</w:t>
            </w:r>
            <w:r w:rsidRPr="00EC20A0">
              <w:rPr>
                <w:b/>
                <w:spacing w:val="-9"/>
              </w:rPr>
              <w:t xml:space="preserve"> </w:t>
            </w:r>
            <w:r w:rsidRPr="00EC20A0">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24D60DC7" w14:textId="77777777" w:rsidR="00245300" w:rsidRPr="00EC20A0" w:rsidRDefault="00F17249">
            <w:pPr>
              <w:pStyle w:val="TableParagraph"/>
              <w:spacing w:before="144"/>
              <w:ind w:left="145"/>
              <w:rPr>
                <w:b/>
              </w:rPr>
            </w:pPr>
            <w:r w:rsidRPr="00EC20A0">
              <w:rPr>
                <w:b/>
              </w:rPr>
              <w:t>Yes</w:t>
            </w:r>
            <w:r w:rsidRPr="00EC20A0">
              <w:rPr>
                <w:b/>
                <w:spacing w:val="-3"/>
              </w:rPr>
              <w:t xml:space="preserve"> </w:t>
            </w:r>
            <w:r w:rsidRPr="00EC20A0">
              <w:rPr>
                <w:b/>
              </w:rPr>
              <w:t>/</w:t>
            </w:r>
            <w:r w:rsidRPr="00EC20A0">
              <w:rPr>
                <w:b/>
                <w:spacing w:val="-3"/>
              </w:rPr>
              <w:t xml:space="preserve"> </w:t>
            </w:r>
            <w:r w:rsidRPr="00EC20A0">
              <w:rPr>
                <w:b/>
                <w:spacing w:val="-5"/>
              </w:rPr>
              <w:t>No</w:t>
            </w:r>
          </w:p>
        </w:tc>
      </w:tr>
      <w:tr w:rsidR="00245300" w:rsidRPr="00EC20A0" w14:paraId="24D60DDE" w14:textId="77777777">
        <w:trPr>
          <w:trHeight w:val="3450"/>
        </w:trPr>
        <w:tc>
          <w:tcPr>
            <w:tcW w:w="8044" w:type="dxa"/>
            <w:tcBorders>
              <w:top w:val="double" w:sz="6" w:space="0" w:color="000000"/>
              <w:left w:val="double" w:sz="6" w:space="0" w:color="000000"/>
              <w:bottom w:val="nil"/>
              <w:right w:val="single" w:sz="6" w:space="0" w:color="000000"/>
            </w:tcBorders>
          </w:tcPr>
          <w:p w14:paraId="24D60DC9" w14:textId="77777777" w:rsidR="00245300" w:rsidRPr="00EC20A0" w:rsidRDefault="00F17249">
            <w:pPr>
              <w:pStyle w:val="TableParagraph"/>
              <w:spacing w:before="145"/>
              <w:ind w:left="131" w:right="724"/>
              <w:rPr>
                <w:b/>
              </w:rPr>
            </w:pPr>
            <w:r w:rsidRPr="00EC20A0">
              <w:rPr>
                <w:b/>
              </w:rPr>
              <w:t>Federal</w:t>
            </w:r>
            <w:r w:rsidRPr="00EC20A0">
              <w:rPr>
                <w:b/>
                <w:spacing w:val="-6"/>
              </w:rPr>
              <w:t xml:space="preserve"> </w:t>
            </w:r>
            <w:r w:rsidRPr="00EC20A0">
              <w:rPr>
                <w:b/>
              </w:rPr>
              <w:t>Employees’</w:t>
            </w:r>
            <w:r w:rsidRPr="00EC20A0">
              <w:rPr>
                <w:b/>
                <w:spacing w:val="-6"/>
              </w:rPr>
              <w:t xml:space="preserve"> </w:t>
            </w:r>
            <w:r w:rsidRPr="00EC20A0">
              <w:rPr>
                <w:b/>
              </w:rPr>
              <w:t>Retirement</w:t>
            </w:r>
            <w:r w:rsidRPr="00EC20A0">
              <w:rPr>
                <w:b/>
                <w:spacing w:val="-6"/>
              </w:rPr>
              <w:t xml:space="preserve"> </w:t>
            </w:r>
            <w:r w:rsidRPr="00EC20A0">
              <w:rPr>
                <w:b/>
              </w:rPr>
              <w:t>System</w:t>
            </w:r>
            <w:r w:rsidRPr="00EC20A0">
              <w:rPr>
                <w:b/>
                <w:spacing w:val="-6"/>
              </w:rPr>
              <w:t xml:space="preserve"> </w:t>
            </w:r>
            <w:r w:rsidRPr="00EC20A0">
              <w:rPr>
                <w:b/>
              </w:rPr>
              <w:t>Act</w:t>
            </w:r>
            <w:r w:rsidRPr="00EC20A0">
              <w:rPr>
                <w:b/>
                <w:spacing w:val="-6"/>
              </w:rPr>
              <w:t xml:space="preserve"> </w:t>
            </w:r>
            <w:r w:rsidRPr="00EC20A0">
              <w:rPr>
                <w:b/>
              </w:rPr>
              <w:t>(FERSA),</w:t>
            </w:r>
            <w:r w:rsidRPr="00EC20A0">
              <w:rPr>
                <w:b/>
                <w:spacing w:val="-6"/>
              </w:rPr>
              <w:t xml:space="preserve"> </w:t>
            </w:r>
            <w:r w:rsidRPr="00EC20A0">
              <w:rPr>
                <w:b/>
              </w:rPr>
              <w:t>as</w:t>
            </w:r>
            <w:r w:rsidRPr="00EC20A0">
              <w:rPr>
                <w:b/>
                <w:spacing w:val="-5"/>
              </w:rPr>
              <w:t xml:space="preserve"> </w:t>
            </w:r>
            <w:r w:rsidRPr="00EC20A0">
              <w:rPr>
                <w:b/>
              </w:rPr>
              <w:t>provided</w:t>
            </w:r>
            <w:r w:rsidRPr="00EC20A0">
              <w:rPr>
                <w:b/>
                <w:spacing w:val="-6"/>
              </w:rPr>
              <w:t xml:space="preserve"> </w:t>
            </w:r>
            <w:r w:rsidRPr="00EC20A0">
              <w:rPr>
                <w:b/>
              </w:rPr>
              <w:t>in 5 U.S.C. chapter 84</w:t>
            </w:r>
          </w:p>
          <w:p w14:paraId="24D60DCA" w14:textId="77777777" w:rsidR="00245300" w:rsidRPr="00EC20A0" w:rsidRDefault="00F17249">
            <w:pPr>
              <w:pStyle w:val="TableParagraph"/>
              <w:spacing w:before="143"/>
              <w:ind w:left="131" w:right="138"/>
            </w:pPr>
            <w:r w:rsidRPr="00EC20A0">
              <w:t>This law provides retirement benefits for employees who were hired after December</w:t>
            </w:r>
            <w:r w:rsidRPr="00EC20A0">
              <w:rPr>
                <w:spacing w:val="-3"/>
              </w:rPr>
              <w:t xml:space="preserve"> </w:t>
            </w:r>
            <w:r w:rsidRPr="00EC20A0">
              <w:t>31,</w:t>
            </w:r>
            <w:r w:rsidRPr="00EC20A0">
              <w:rPr>
                <w:spacing w:val="-3"/>
              </w:rPr>
              <w:t xml:space="preserve"> </w:t>
            </w:r>
            <w:r w:rsidRPr="00EC20A0">
              <w:t>1983,</w:t>
            </w:r>
            <w:r w:rsidRPr="00EC20A0">
              <w:rPr>
                <w:spacing w:val="-3"/>
              </w:rPr>
              <w:t xml:space="preserve"> </w:t>
            </w:r>
            <w:r w:rsidRPr="00EC20A0">
              <w:t>or</w:t>
            </w:r>
            <w:r w:rsidRPr="00EC20A0">
              <w:rPr>
                <w:spacing w:val="-5"/>
              </w:rPr>
              <w:t xml:space="preserve"> </w:t>
            </w:r>
            <w:r w:rsidRPr="00EC20A0">
              <w:t>employees</w:t>
            </w:r>
            <w:r w:rsidRPr="00EC20A0">
              <w:rPr>
                <w:spacing w:val="-4"/>
              </w:rPr>
              <w:t xml:space="preserve"> </w:t>
            </w:r>
            <w:r w:rsidRPr="00EC20A0">
              <w:t>who</w:t>
            </w:r>
            <w:r w:rsidRPr="00EC20A0">
              <w:rPr>
                <w:spacing w:val="-3"/>
              </w:rPr>
              <w:t xml:space="preserve"> </w:t>
            </w:r>
            <w:r w:rsidRPr="00EC20A0">
              <w:t>were</w:t>
            </w:r>
            <w:r w:rsidRPr="00EC20A0">
              <w:rPr>
                <w:spacing w:val="-3"/>
              </w:rPr>
              <w:t xml:space="preserve"> </w:t>
            </w:r>
            <w:r w:rsidRPr="00EC20A0">
              <w:t>previously</w:t>
            </w:r>
            <w:r w:rsidRPr="00EC20A0">
              <w:rPr>
                <w:spacing w:val="-3"/>
              </w:rPr>
              <w:t xml:space="preserve"> </w:t>
            </w:r>
            <w:r w:rsidRPr="00EC20A0">
              <w:t>covered</w:t>
            </w:r>
            <w:r w:rsidRPr="00EC20A0">
              <w:rPr>
                <w:spacing w:val="-3"/>
              </w:rPr>
              <w:t xml:space="preserve"> </w:t>
            </w:r>
            <w:r w:rsidRPr="00EC20A0">
              <w:t>under</w:t>
            </w:r>
            <w:r w:rsidRPr="00EC20A0">
              <w:rPr>
                <w:spacing w:val="-3"/>
              </w:rPr>
              <w:t xml:space="preserve"> </w:t>
            </w:r>
            <w:r w:rsidRPr="00EC20A0">
              <w:t>the</w:t>
            </w:r>
            <w:r w:rsidRPr="00EC20A0">
              <w:rPr>
                <w:spacing w:val="-3"/>
              </w:rPr>
              <w:t xml:space="preserve"> </w:t>
            </w:r>
            <w:r w:rsidRPr="00EC20A0">
              <w:t xml:space="preserve">Civil Service Retirement Act and elected to be covered under FERSA. For each employee, the entity withholds a percentage of basic pay from the employee’s compensation and contributes an amount equal to the employing entity’s applicable normal-cost percentage multiplied by the employee’s aggregate amount of basic pay payable by the entity. For most employees, the entity contribution shall be paid from the appropriation account or fund used to pay </w:t>
            </w:r>
            <w:r w:rsidRPr="00EC20A0">
              <w:t>the employee. The employee and entity amounts are deposited into the Treasury to the credit of the Civil Service Retirement and Disability Fund.</w:t>
            </w:r>
          </w:p>
        </w:tc>
        <w:tc>
          <w:tcPr>
            <w:tcW w:w="1319" w:type="dxa"/>
            <w:vMerge w:val="restart"/>
            <w:tcBorders>
              <w:top w:val="double" w:sz="6" w:space="0" w:color="000000"/>
              <w:left w:val="single" w:sz="6" w:space="0" w:color="000000"/>
              <w:bottom w:val="double" w:sz="6" w:space="0" w:color="000000"/>
              <w:right w:val="double" w:sz="6" w:space="0" w:color="000000"/>
            </w:tcBorders>
          </w:tcPr>
          <w:p w14:paraId="24D60DCB" w14:textId="77777777" w:rsidR="00245300" w:rsidRPr="00EC20A0" w:rsidRDefault="00245300">
            <w:pPr>
              <w:pStyle w:val="TableParagraph"/>
              <w:rPr>
                <w:sz w:val="20"/>
              </w:rPr>
            </w:pPr>
          </w:p>
          <w:p w14:paraId="24D60DCC" w14:textId="77777777" w:rsidR="00245300" w:rsidRPr="00EC20A0" w:rsidRDefault="00245300">
            <w:pPr>
              <w:pStyle w:val="TableParagraph"/>
              <w:rPr>
                <w:sz w:val="20"/>
              </w:rPr>
            </w:pPr>
          </w:p>
          <w:p w14:paraId="24D60DCD" w14:textId="77777777" w:rsidR="00245300" w:rsidRPr="00EC20A0" w:rsidRDefault="00245300">
            <w:pPr>
              <w:pStyle w:val="TableParagraph"/>
              <w:rPr>
                <w:sz w:val="20"/>
              </w:rPr>
            </w:pPr>
          </w:p>
          <w:p w14:paraId="24D60DCE" w14:textId="77777777" w:rsidR="00245300" w:rsidRPr="00EC20A0" w:rsidRDefault="00245300">
            <w:pPr>
              <w:pStyle w:val="TableParagraph"/>
              <w:rPr>
                <w:sz w:val="20"/>
              </w:rPr>
            </w:pPr>
          </w:p>
          <w:p w14:paraId="24D60DCF" w14:textId="77777777" w:rsidR="00245300" w:rsidRPr="00EC20A0" w:rsidRDefault="00245300">
            <w:pPr>
              <w:pStyle w:val="TableParagraph"/>
              <w:rPr>
                <w:sz w:val="20"/>
              </w:rPr>
            </w:pPr>
          </w:p>
          <w:p w14:paraId="24D60DD0" w14:textId="77777777" w:rsidR="00245300" w:rsidRPr="00EC20A0" w:rsidRDefault="00245300">
            <w:pPr>
              <w:pStyle w:val="TableParagraph"/>
              <w:rPr>
                <w:sz w:val="20"/>
              </w:rPr>
            </w:pPr>
          </w:p>
          <w:p w14:paraId="24D60DD1" w14:textId="77777777" w:rsidR="00245300" w:rsidRPr="00EC20A0" w:rsidRDefault="00245300">
            <w:pPr>
              <w:pStyle w:val="TableParagraph"/>
              <w:rPr>
                <w:sz w:val="20"/>
              </w:rPr>
            </w:pPr>
          </w:p>
          <w:p w14:paraId="24D60DD2" w14:textId="77777777" w:rsidR="00245300" w:rsidRPr="00EC20A0" w:rsidRDefault="00245300">
            <w:pPr>
              <w:pStyle w:val="TableParagraph"/>
              <w:rPr>
                <w:sz w:val="20"/>
              </w:rPr>
            </w:pPr>
          </w:p>
          <w:p w14:paraId="24D60DD3" w14:textId="77777777" w:rsidR="00245300" w:rsidRPr="00EC20A0" w:rsidRDefault="00245300">
            <w:pPr>
              <w:pStyle w:val="TableParagraph"/>
              <w:rPr>
                <w:sz w:val="20"/>
              </w:rPr>
            </w:pPr>
          </w:p>
          <w:p w14:paraId="24D60DD4" w14:textId="77777777" w:rsidR="00245300" w:rsidRPr="00EC20A0" w:rsidRDefault="00245300">
            <w:pPr>
              <w:pStyle w:val="TableParagraph"/>
              <w:rPr>
                <w:sz w:val="20"/>
              </w:rPr>
            </w:pPr>
          </w:p>
          <w:p w14:paraId="24D60DD5" w14:textId="77777777" w:rsidR="00245300" w:rsidRPr="00EC20A0" w:rsidRDefault="00245300">
            <w:pPr>
              <w:pStyle w:val="TableParagraph"/>
              <w:rPr>
                <w:sz w:val="20"/>
              </w:rPr>
            </w:pPr>
          </w:p>
          <w:p w14:paraId="24D60DD6" w14:textId="77777777" w:rsidR="00245300" w:rsidRPr="00EC20A0" w:rsidRDefault="00245300">
            <w:pPr>
              <w:pStyle w:val="TableParagraph"/>
              <w:rPr>
                <w:sz w:val="20"/>
              </w:rPr>
            </w:pPr>
          </w:p>
          <w:p w14:paraId="24D60DD7" w14:textId="77777777" w:rsidR="00245300" w:rsidRPr="00EC20A0" w:rsidRDefault="00245300">
            <w:pPr>
              <w:pStyle w:val="TableParagraph"/>
              <w:rPr>
                <w:sz w:val="20"/>
              </w:rPr>
            </w:pPr>
          </w:p>
          <w:p w14:paraId="24D60DD8" w14:textId="77777777" w:rsidR="00245300" w:rsidRPr="00EC20A0" w:rsidRDefault="00245300">
            <w:pPr>
              <w:pStyle w:val="TableParagraph"/>
              <w:rPr>
                <w:sz w:val="20"/>
              </w:rPr>
            </w:pPr>
          </w:p>
          <w:p w14:paraId="24D60DD9" w14:textId="77777777" w:rsidR="00245300" w:rsidRPr="00EC20A0" w:rsidRDefault="00245300">
            <w:pPr>
              <w:pStyle w:val="TableParagraph"/>
              <w:rPr>
                <w:sz w:val="20"/>
              </w:rPr>
            </w:pPr>
          </w:p>
          <w:p w14:paraId="24D60DDA" w14:textId="77777777" w:rsidR="00245300" w:rsidRPr="00EC20A0" w:rsidRDefault="00245300">
            <w:pPr>
              <w:pStyle w:val="TableParagraph"/>
              <w:rPr>
                <w:sz w:val="20"/>
              </w:rPr>
            </w:pPr>
          </w:p>
          <w:p w14:paraId="24D60DDB" w14:textId="77777777" w:rsidR="00245300" w:rsidRPr="00EC20A0" w:rsidRDefault="00245300">
            <w:pPr>
              <w:pStyle w:val="TableParagraph"/>
              <w:rPr>
                <w:sz w:val="20"/>
              </w:rPr>
            </w:pPr>
          </w:p>
          <w:p w14:paraId="24D60DDC" w14:textId="77777777" w:rsidR="00245300" w:rsidRPr="00EC20A0" w:rsidRDefault="00245300">
            <w:pPr>
              <w:pStyle w:val="TableParagraph"/>
              <w:spacing w:before="112" w:after="1"/>
              <w:rPr>
                <w:sz w:val="20"/>
              </w:rPr>
            </w:pPr>
          </w:p>
          <w:p w14:paraId="24D60DDD" w14:textId="77777777" w:rsidR="00245300" w:rsidRPr="00EC20A0" w:rsidRDefault="00F17249">
            <w:pPr>
              <w:pStyle w:val="TableParagraph"/>
              <w:spacing w:line="20" w:lineRule="exact"/>
              <w:ind w:left="144"/>
              <w:rPr>
                <w:sz w:val="2"/>
              </w:rPr>
            </w:pPr>
            <w:r w:rsidRPr="00EC20A0">
              <w:rPr>
                <w:noProof/>
                <w:sz w:val="2"/>
              </w:rPr>
              <mc:AlternateContent>
                <mc:Choice Requires="wpg">
                  <w:drawing>
                    <wp:inline distT="0" distB="0" distL="0" distR="0" wp14:anchorId="24D62B63" wp14:editId="24D62B64">
                      <wp:extent cx="621665" cy="8890"/>
                      <wp:effectExtent l="9525" t="0" r="0" b="635"/>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77" name="Graphic 377"/>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CC7986" id="Group 376"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Ls3hD9wAgAAjwUAAA4AAAAAAAAAAAAAAAAA&#10;LgIAAGRycy9lMm9Eb2MueG1sUEsBAi0AFAAGAAgAAAAhABFF7qTaAAAAAgEAAA8AAAAAAAAAAAAA&#10;AAAAygQAAGRycy9kb3ducmV2LnhtbFBLBQYAAAAABAAEAPMAAADRBQAAAAA=&#10;">
                      <v:shape id="Graphic 377"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" path="m,l621371,e" filled="f" strokeweight=".24403mm">
                        <v:path arrowok="t"/>
                      </v:shape>
                      <w10:anchorlock/>
                    </v:group>
                  </w:pict>
                </mc:Fallback>
              </mc:AlternateContent>
            </w:r>
          </w:p>
        </w:tc>
      </w:tr>
      <w:tr w:rsidR="00245300" w:rsidRPr="00EC20A0" w14:paraId="24D60DE1" w14:textId="77777777">
        <w:trPr>
          <w:trHeight w:val="1255"/>
        </w:trPr>
        <w:tc>
          <w:tcPr>
            <w:tcW w:w="8044" w:type="dxa"/>
            <w:tcBorders>
              <w:top w:val="nil"/>
              <w:left w:val="double" w:sz="6" w:space="0" w:color="000000"/>
              <w:bottom w:val="nil"/>
              <w:right w:val="single" w:sz="6" w:space="0" w:color="000000"/>
            </w:tcBorders>
          </w:tcPr>
          <w:p w14:paraId="24D60DDF" w14:textId="77777777" w:rsidR="00245300" w:rsidRPr="00EC20A0" w:rsidRDefault="00F17249">
            <w:pPr>
              <w:pStyle w:val="TableParagraph"/>
              <w:spacing w:before="117"/>
              <w:ind w:left="131" w:right="186"/>
              <w:rPr>
                <w:i/>
              </w:rPr>
            </w:pPr>
            <w:r w:rsidRPr="00EC20A0">
              <w:rPr>
                <w:i/>
              </w:rPr>
              <w:t>Does the entity’s expense for retirement costs under FERSA for the audit period</w:t>
            </w:r>
            <w:r w:rsidRPr="00EC20A0">
              <w:rPr>
                <w:i/>
                <w:spacing w:val="-4"/>
              </w:rPr>
              <w:t xml:space="preserve"> </w:t>
            </w:r>
            <w:r w:rsidRPr="00EC20A0">
              <w:rPr>
                <w:i/>
              </w:rPr>
              <w:t>exceed</w:t>
            </w:r>
            <w:r w:rsidRPr="00EC20A0">
              <w:rPr>
                <w:i/>
                <w:spacing w:val="-4"/>
              </w:rPr>
              <w:t xml:space="preserve"> </w:t>
            </w:r>
            <w:r w:rsidRPr="00EC20A0">
              <w:rPr>
                <w:i/>
              </w:rPr>
              <w:t>materiality,</w:t>
            </w:r>
            <w:r w:rsidRPr="00EC20A0">
              <w:rPr>
                <w:i/>
                <w:spacing w:val="-4"/>
              </w:rPr>
              <w:t xml:space="preserve"> </w:t>
            </w:r>
            <w:r w:rsidRPr="00EC20A0">
              <w:rPr>
                <w:i/>
              </w:rPr>
              <w:t>or</w:t>
            </w:r>
            <w:r w:rsidRPr="00EC20A0">
              <w:rPr>
                <w:i/>
                <w:spacing w:val="-4"/>
              </w:rPr>
              <w:t xml:space="preserve"> </w:t>
            </w:r>
            <w:r w:rsidRPr="00EC20A0">
              <w:rPr>
                <w:i/>
              </w:rPr>
              <w:t>did</w:t>
            </w:r>
            <w:r w:rsidRPr="00EC20A0">
              <w:rPr>
                <w:i/>
                <w:spacing w:val="-4"/>
              </w:rPr>
              <w:t xml:space="preserve"> </w:t>
            </w:r>
            <w:r w:rsidRPr="00EC20A0">
              <w:rPr>
                <w:i/>
              </w:rPr>
              <w:t>the</w:t>
            </w:r>
            <w:r w:rsidRPr="00EC20A0">
              <w:rPr>
                <w:i/>
                <w:spacing w:val="-4"/>
              </w:rPr>
              <w:t xml:space="preserve"> </w:t>
            </w:r>
            <w:r w:rsidRPr="00EC20A0">
              <w:rPr>
                <w:i/>
              </w:rPr>
              <w:t>auditor</w:t>
            </w:r>
            <w:r w:rsidRPr="00EC20A0">
              <w:rPr>
                <w:i/>
                <w:spacing w:val="-4"/>
              </w:rPr>
              <w:t xml:space="preserve"> </w:t>
            </w:r>
            <w:r w:rsidRPr="00EC20A0">
              <w:rPr>
                <w:i/>
              </w:rPr>
              <w:t>determine</w:t>
            </w:r>
            <w:r w:rsidRPr="00EC20A0">
              <w:rPr>
                <w:i/>
                <w:spacing w:val="-4"/>
              </w:rPr>
              <w:t xml:space="preserve"> </w:t>
            </w:r>
            <w:r w:rsidRPr="00EC20A0">
              <w:rPr>
                <w:i/>
              </w:rPr>
              <w:t>that</w:t>
            </w:r>
            <w:r w:rsidRPr="00EC20A0">
              <w:rPr>
                <w:i/>
                <w:spacing w:val="-4"/>
              </w:rPr>
              <w:t xml:space="preserve"> </w:t>
            </w:r>
            <w:r w:rsidRPr="00EC20A0">
              <w:rPr>
                <w:i/>
              </w:rPr>
              <w:t>FERSA</w:t>
            </w:r>
            <w:r w:rsidRPr="00EC20A0">
              <w:rPr>
                <w:i/>
                <w:spacing w:val="-4"/>
              </w:rPr>
              <w:t xml:space="preserve"> </w:t>
            </w:r>
            <w:r w:rsidRPr="00EC20A0">
              <w:rPr>
                <w:i/>
              </w:rPr>
              <w:t>has</w:t>
            </w:r>
            <w:r w:rsidRPr="00EC20A0">
              <w:rPr>
                <w:i/>
                <w:spacing w:val="-4"/>
              </w:rPr>
              <w:t xml:space="preserve"> </w:t>
            </w:r>
            <w:r w:rsidRPr="00EC20A0">
              <w:rPr>
                <w:i/>
              </w:rPr>
              <w:t>a</w:t>
            </w:r>
            <w:r w:rsidRPr="00EC20A0">
              <w:rPr>
                <w:i/>
                <w:spacing w:val="-3"/>
              </w:rPr>
              <w:t xml:space="preserve"> </w:t>
            </w:r>
            <w:r w:rsidRPr="00EC20A0">
              <w:rPr>
                <w:i/>
              </w:rPr>
              <w:t xml:space="preserve">direct effect on the </w:t>
            </w:r>
            <w:r w:rsidRPr="00EC20A0">
              <w:rPr>
                <w:i/>
              </w:rPr>
              <w:t>determination of material 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24D60DE0" w14:textId="77777777" w:rsidR="00245300" w:rsidRPr="00EC20A0" w:rsidRDefault="00245300">
            <w:pPr>
              <w:rPr>
                <w:sz w:val="2"/>
                <w:szCs w:val="2"/>
              </w:rPr>
            </w:pPr>
          </w:p>
        </w:tc>
      </w:tr>
      <w:tr w:rsidR="00245300" w:rsidRPr="00EC20A0" w14:paraId="24D60DE5" w14:textId="77777777">
        <w:trPr>
          <w:trHeight w:val="1580"/>
        </w:trPr>
        <w:tc>
          <w:tcPr>
            <w:tcW w:w="8044" w:type="dxa"/>
            <w:tcBorders>
              <w:top w:val="nil"/>
              <w:left w:val="double" w:sz="6" w:space="0" w:color="000000"/>
              <w:bottom w:val="nil"/>
              <w:right w:val="single" w:sz="6" w:space="0" w:color="000000"/>
            </w:tcBorders>
          </w:tcPr>
          <w:p w14:paraId="24D60DE2" w14:textId="77777777" w:rsidR="00245300" w:rsidRPr="00EC20A0" w:rsidRDefault="00F17249">
            <w:pPr>
              <w:pStyle w:val="TableParagraph"/>
              <w:tabs>
                <w:tab w:val="left" w:pos="6807"/>
              </w:tabs>
              <w:spacing w:before="118"/>
              <w:ind w:left="4532"/>
            </w:pPr>
            <w:r w:rsidRPr="00EC20A0">
              <w:rPr>
                <w:noProof/>
              </w:rPr>
              <mc:AlternateContent>
                <mc:Choice Requires="wpg">
                  <w:drawing>
                    <wp:anchor distT="0" distB="0" distL="0" distR="0" simplePos="0" relativeHeight="475286016" behindDoc="1" locked="0" layoutInCell="1" allowOverlap="1" wp14:anchorId="24D62B65" wp14:editId="24D62B66">
                      <wp:simplePos x="0" y="0"/>
                      <wp:positionH relativeFrom="column">
                        <wp:posOffset>2588514</wp:posOffset>
                      </wp:positionH>
                      <wp:positionV relativeFrom="paragraph">
                        <wp:posOffset>670024</wp:posOffset>
                      </wp:positionV>
                      <wp:extent cx="1295400" cy="317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79" name="Graphic 37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E57CB6" id="Group 378" o:spid="_x0000_s1026" style="position:absolute;margin-left:203.8pt;margin-top:52.75pt;width:102pt;height:.25pt;z-index:-2803046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">
                      <v:shape id="Graphic 37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86528" behindDoc="1" locked="0" layoutInCell="1" allowOverlap="1" wp14:anchorId="24D62B67" wp14:editId="24D62B68">
                      <wp:simplePos x="0" y="0"/>
                      <wp:positionH relativeFrom="column">
                        <wp:posOffset>3960114</wp:posOffset>
                      </wp:positionH>
                      <wp:positionV relativeFrom="paragraph">
                        <wp:posOffset>670024</wp:posOffset>
                      </wp:positionV>
                      <wp:extent cx="1045844" cy="317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81" name="Graphic 381"/>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1ACE50" id="Group 380" o:spid="_x0000_s1026" style="position:absolute;margin-left:311.8pt;margin-top:52.75pt;width:82.35pt;height:.25pt;z-index:-2802995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">
                      <v:shape id="Graphic 381"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" path="m1045463,l,,,3048r1045463,l1045463,xe" fillcolor="black" stroked="f">
                        <v:path arrowok="t"/>
                      </v:shape>
                    </v:group>
                  </w:pict>
                </mc:Fallback>
              </mc:AlternateContent>
            </w:r>
            <w:r w:rsidRPr="00EC20A0">
              <w:rPr>
                <w:noProof/>
              </w:rPr>
              <mc:AlternateContent>
                <mc:Choice Requires="wpg">
                  <w:drawing>
                    <wp:anchor distT="0" distB="0" distL="0" distR="0" simplePos="0" relativeHeight="475287040" behindDoc="1" locked="0" layoutInCell="1" allowOverlap="1" wp14:anchorId="24D62B69" wp14:editId="24D62B6A">
                      <wp:simplePos x="0" y="0"/>
                      <wp:positionH relativeFrom="column">
                        <wp:posOffset>2588514</wp:posOffset>
                      </wp:positionH>
                      <wp:positionV relativeFrom="paragraph">
                        <wp:posOffset>1016734</wp:posOffset>
                      </wp:positionV>
                      <wp:extent cx="1295400" cy="3175"/>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383" name="Graphic 383"/>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DCD32D" id="Group 382" o:spid="_x0000_s1026" style="position:absolute;margin-left:203.8pt;margin-top:80.05pt;width:102pt;height:.25pt;z-index:-2802944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">
                      <v:shape id="Graphic 383"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" path="m1295400,l,,,3048r1295400,l1295400,xe" fillcolor="black" stroked="f">
                        <v:path arrowok="t"/>
                      </v:shape>
                    </v:group>
                  </w:pict>
                </mc:Fallback>
              </mc:AlternateContent>
            </w:r>
            <w:r w:rsidRPr="00EC20A0">
              <w:rPr>
                <w:noProof/>
              </w:rPr>
              <mc:AlternateContent>
                <mc:Choice Requires="wpg">
                  <w:drawing>
                    <wp:anchor distT="0" distB="0" distL="0" distR="0" simplePos="0" relativeHeight="475287552" behindDoc="1" locked="0" layoutInCell="1" allowOverlap="1" wp14:anchorId="24D62B6B" wp14:editId="24D62B6C">
                      <wp:simplePos x="0" y="0"/>
                      <wp:positionH relativeFrom="column">
                        <wp:posOffset>3960114</wp:posOffset>
                      </wp:positionH>
                      <wp:positionV relativeFrom="paragraph">
                        <wp:posOffset>1016734</wp:posOffset>
                      </wp:positionV>
                      <wp:extent cx="1045844" cy="317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385" name="Graphic 385"/>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61CF48" id="Group 384" o:spid="_x0000_s1026" style="position:absolute;margin-left:311.8pt;margin-top:80.05pt;width:82.35pt;height:.25pt;z-index:-2802892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">
                      <v:shape id="Graphic 385"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" path="m1045463,l,,,3048r1045463,l1045463,xe" fillcolor="black" stroked="f">
                        <v:path arrowok="t"/>
                      </v:shape>
                    </v:group>
                  </w:pict>
                </mc:Fallback>
              </mc:AlternateContent>
            </w:r>
            <w:r w:rsidRPr="00EC20A0">
              <w:rPr>
                <w:spacing w:val="-2"/>
                <w:u w:val="single"/>
              </w:rPr>
              <w:t>Preliminary</w:t>
            </w:r>
            <w:r w:rsidRPr="00EC20A0">
              <w:tab/>
            </w:r>
            <w:r w:rsidRPr="00EC20A0">
              <w:rPr>
                <w:spacing w:val="-2"/>
                <w:u w:val="single"/>
              </w:rPr>
              <w:t>Final</w:t>
            </w:r>
          </w:p>
          <w:p w14:paraId="24D60DE3" w14:textId="77777777" w:rsidR="00245300" w:rsidRPr="00EC20A0" w:rsidRDefault="00F17249">
            <w:pPr>
              <w:pStyle w:val="TableParagraph"/>
              <w:spacing w:before="57" w:line="546" w:lineRule="exact"/>
              <w:ind w:left="299" w:right="3776"/>
            </w:pPr>
            <w:r w:rsidRPr="00EC20A0">
              <w:t>Expense</w:t>
            </w:r>
            <w:r w:rsidRPr="00EC20A0">
              <w:rPr>
                <w:spacing w:val="-12"/>
              </w:rPr>
              <w:t xml:space="preserve"> </w:t>
            </w:r>
            <w:r w:rsidRPr="00EC20A0">
              <w:t>for</w:t>
            </w:r>
            <w:r w:rsidRPr="00EC20A0">
              <w:rPr>
                <w:spacing w:val="-13"/>
              </w:rPr>
              <w:t xml:space="preserve"> </w:t>
            </w:r>
            <w:r w:rsidRPr="00EC20A0">
              <w:t>retirement</w:t>
            </w:r>
            <w:r w:rsidRPr="00EC20A0">
              <w:rPr>
                <w:spacing w:val="-12"/>
              </w:rPr>
              <w:t xml:space="preserve"> </w:t>
            </w:r>
            <w:r w:rsidRPr="00EC20A0">
              <w:t xml:space="preserve">contributions </w:t>
            </w:r>
            <w:r w:rsidRPr="00EC20A0">
              <w:rPr>
                <w:spacing w:val="-2"/>
              </w:rPr>
              <w:t>Materiality</w:t>
            </w:r>
          </w:p>
        </w:tc>
        <w:tc>
          <w:tcPr>
            <w:tcW w:w="1319" w:type="dxa"/>
            <w:vMerge/>
            <w:tcBorders>
              <w:top w:val="nil"/>
              <w:left w:val="single" w:sz="6" w:space="0" w:color="000000"/>
              <w:bottom w:val="double" w:sz="6" w:space="0" w:color="000000"/>
              <w:right w:val="double" w:sz="6" w:space="0" w:color="000000"/>
            </w:tcBorders>
          </w:tcPr>
          <w:p w14:paraId="24D60DE4" w14:textId="77777777" w:rsidR="00245300" w:rsidRPr="00EC20A0" w:rsidRDefault="00245300">
            <w:pPr>
              <w:rPr>
                <w:sz w:val="2"/>
                <w:szCs w:val="2"/>
              </w:rPr>
            </w:pPr>
          </w:p>
        </w:tc>
      </w:tr>
      <w:tr w:rsidR="00245300" w:rsidRPr="00EC20A0" w14:paraId="24D60DEA" w14:textId="77777777">
        <w:trPr>
          <w:trHeight w:val="994"/>
        </w:trPr>
        <w:tc>
          <w:tcPr>
            <w:tcW w:w="8044" w:type="dxa"/>
            <w:tcBorders>
              <w:top w:val="nil"/>
              <w:left w:val="double" w:sz="6" w:space="0" w:color="000000"/>
              <w:bottom w:val="double" w:sz="6" w:space="0" w:color="000000"/>
              <w:right w:val="single" w:sz="6" w:space="0" w:color="000000"/>
            </w:tcBorders>
          </w:tcPr>
          <w:p w14:paraId="24D60DE6" w14:textId="77777777" w:rsidR="00245300" w:rsidRPr="00EC20A0" w:rsidRDefault="00245300">
            <w:pPr>
              <w:pStyle w:val="TableParagraph"/>
            </w:pPr>
          </w:p>
          <w:p w14:paraId="24D60DE7" w14:textId="77777777" w:rsidR="00245300" w:rsidRPr="00EC20A0" w:rsidRDefault="00245300">
            <w:pPr>
              <w:pStyle w:val="TableParagraph"/>
              <w:spacing w:before="90"/>
            </w:pPr>
          </w:p>
          <w:p w14:paraId="24D60DE8" w14:textId="77777777" w:rsidR="00245300" w:rsidRPr="00EC20A0" w:rsidRDefault="00F17249">
            <w:pPr>
              <w:pStyle w:val="TableParagraph"/>
              <w:ind w:left="131"/>
            </w:pPr>
            <w:r w:rsidRPr="00EC20A0">
              <w:t>If</w:t>
            </w:r>
            <w:r w:rsidRPr="00EC20A0">
              <w:rPr>
                <w:spacing w:val="-7"/>
              </w:rPr>
              <w:t xml:space="preserve"> </w:t>
            </w:r>
            <w:r w:rsidRPr="00EC20A0">
              <w:t>yes,</w:t>
            </w:r>
            <w:r w:rsidRPr="00EC20A0">
              <w:rPr>
                <w:spacing w:val="-7"/>
              </w:rPr>
              <w:t xml:space="preserve"> </w:t>
            </w:r>
            <w:r w:rsidRPr="00EC20A0">
              <w:t>then</w:t>
            </w:r>
            <w:r w:rsidRPr="00EC20A0">
              <w:rPr>
                <w:spacing w:val="-8"/>
              </w:rPr>
              <w:t xml:space="preserve"> </w:t>
            </w:r>
            <w:r w:rsidRPr="00EC20A0">
              <w:t>complete</w:t>
            </w:r>
            <w:r w:rsidRPr="00EC20A0">
              <w:rPr>
                <w:spacing w:val="-6"/>
              </w:rPr>
              <w:t xml:space="preserve"> </w:t>
            </w:r>
            <w:r w:rsidRPr="00EC20A0">
              <w:t>compliance</w:t>
            </w:r>
            <w:r w:rsidRPr="00EC20A0">
              <w:rPr>
                <w:spacing w:val="-7"/>
              </w:rPr>
              <w:t xml:space="preserve"> </w:t>
            </w:r>
            <w:r w:rsidRPr="00EC20A0">
              <w:t>supplement</w:t>
            </w:r>
            <w:r w:rsidRPr="00EC20A0">
              <w:rPr>
                <w:spacing w:val="-7"/>
              </w:rPr>
              <w:t xml:space="preserve"> </w:t>
            </w:r>
            <w:r w:rsidRPr="00EC20A0">
              <w:t>at</w:t>
            </w:r>
            <w:r w:rsidRPr="00EC20A0">
              <w:rPr>
                <w:spacing w:val="-6"/>
              </w:rPr>
              <w:t xml:space="preserve"> </w:t>
            </w:r>
            <w:r w:rsidRPr="00EC20A0">
              <w:t>FAM</w:t>
            </w:r>
            <w:r w:rsidRPr="00EC20A0">
              <w:rPr>
                <w:spacing w:val="-8"/>
              </w:rPr>
              <w:t xml:space="preserve"> </w:t>
            </w:r>
            <w:r w:rsidRPr="00EC20A0">
              <w:rPr>
                <w:spacing w:val="-4"/>
              </w:rPr>
              <w:t>811.</w:t>
            </w:r>
          </w:p>
        </w:tc>
        <w:tc>
          <w:tcPr>
            <w:tcW w:w="1319" w:type="dxa"/>
            <w:vMerge/>
            <w:tcBorders>
              <w:top w:val="nil"/>
              <w:left w:val="single" w:sz="6" w:space="0" w:color="000000"/>
              <w:bottom w:val="double" w:sz="6" w:space="0" w:color="000000"/>
              <w:right w:val="double" w:sz="6" w:space="0" w:color="000000"/>
            </w:tcBorders>
          </w:tcPr>
          <w:p w14:paraId="24D60DE9" w14:textId="77777777" w:rsidR="00245300" w:rsidRPr="00EC20A0" w:rsidRDefault="00245300">
            <w:pPr>
              <w:rPr>
                <w:sz w:val="2"/>
                <w:szCs w:val="2"/>
              </w:rPr>
            </w:pPr>
          </w:p>
        </w:tc>
      </w:tr>
    </w:tbl>
    <w:p w14:paraId="24D60DEB" w14:textId="77777777" w:rsidR="00245300" w:rsidRPr="00EC20A0" w:rsidRDefault="00245300">
      <w:pPr>
        <w:rPr>
          <w:sz w:val="2"/>
          <w:szCs w:val="2"/>
        </w:rPr>
        <w:sectPr w:rsidR="00245300" w:rsidRPr="00EC20A0">
          <w:pgSz w:w="12240" w:h="15840"/>
          <w:pgMar w:top="1300" w:right="1140" w:bottom="940" w:left="1320" w:header="721" w:footer="742" w:gutter="0"/>
          <w:cols w:space="720"/>
        </w:sectPr>
      </w:pPr>
    </w:p>
    <w:p w14:paraId="24D60DEC" w14:textId="77777777" w:rsidR="00245300" w:rsidRPr="00EC20A0" w:rsidRDefault="00245300">
      <w:pPr>
        <w:pStyle w:val="BodyText"/>
        <w:spacing w:before="9"/>
        <w:rPr>
          <w:sz w:val="11"/>
        </w:r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1"/>
        <w:gridCol w:w="1080"/>
        <w:gridCol w:w="1298"/>
      </w:tblGrid>
      <w:tr w:rsidR="00245300" w:rsidRPr="00EC20A0" w14:paraId="24D60DF2" w14:textId="77777777">
        <w:trPr>
          <w:trHeight w:val="793"/>
        </w:trPr>
        <w:tc>
          <w:tcPr>
            <w:tcW w:w="7021" w:type="dxa"/>
            <w:tcBorders>
              <w:right w:val="single" w:sz="6" w:space="0" w:color="000000"/>
            </w:tcBorders>
          </w:tcPr>
          <w:p w14:paraId="24D60DED" w14:textId="77777777" w:rsidR="00245300" w:rsidRPr="00EC20A0" w:rsidRDefault="00245300">
            <w:pPr>
              <w:pStyle w:val="TableParagraph"/>
              <w:spacing w:before="168"/>
            </w:pPr>
          </w:p>
          <w:p w14:paraId="24D60DEE" w14:textId="77777777" w:rsidR="00245300" w:rsidRPr="00EC20A0" w:rsidRDefault="00F17249">
            <w:pPr>
              <w:pStyle w:val="TableParagraph"/>
              <w:ind w:left="129"/>
              <w:rPr>
                <w:b/>
              </w:rPr>
            </w:pPr>
            <w:r w:rsidRPr="00EC20A0">
              <w:rPr>
                <w:b/>
              </w:rPr>
              <w:t>Procedures</w:t>
            </w:r>
            <w:r w:rsidRPr="00EC20A0">
              <w:rPr>
                <w:b/>
                <w:spacing w:val="-6"/>
              </w:rPr>
              <w:t xml:space="preserve"> </w:t>
            </w:r>
            <w:r w:rsidRPr="00EC20A0">
              <w:rPr>
                <w:b/>
              </w:rPr>
              <w:t>for</w:t>
            </w:r>
            <w:r w:rsidRPr="00EC20A0">
              <w:rPr>
                <w:b/>
                <w:spacing w:val="-8"/>
              </w:rPr>
              <w:t xml:space="preserve"> </w:t>
            </w:r>
            <w:r w:rsidRPr="00EC20A0">
              <w:rPr>
                <w:b/>
              </w:rPr>
              <w:t>other</w:t>
            </w:r>
            <w:r w:rsidRPr="00EC20A0">
              <w:rPr>
                <w:b/>
                <w:spacing w:val="-7"/>
              </w:rPr>
              <w:t xml:space="preserve"> </w:t>
            </w:r>
            <w:r w:rsidRPr="00EC20A0">
              <w:rPr>
                <w:b/>
              </w:rPr>
              <w:t>laws</w:t>
            </w:r>
            <w:r w:rsidRPr="00EC20A0">
              <w:rPr>
                <w:b/>
                <w:spacing w:val="-7"/>
              </w:rPr>
              <w:t xml:space="preserve"> </w:t>
            </w:r>
            <w:r w:rsidRPr="00EC20A0">
              <w:rPr>
                <w:b/>
              </w:rPr>
              <w:t>and</w:t>
            </w:r>
            <w:r w:rsidRPr="00EC20A0">
              <w:rPr>
                <w:b/>
                <w:spacing w:val="-7"/>
              </w:rPr>
              <w:t xml:space="preserve"> </w:t>
            </w:r>
            <w:r w:rsidRPr="00EC20A0">
              <w:rPr>
                <w:b/>
                <w:spacing w:val="-2"/>
              </w:rPr>
              <w:t>regulations</w:t>
            </w:r>
          </w:p>
        </w:tc>
        <w:tc>
          <w:tcPr>
            <w:tcW w:w="1080" w:type="dxa"/>
            <w:tcBorders>
              <w:left w:val="single" w:sz="6" w:space="0" w:color="000000"/>
              <w:right w:val="single" w:sz="6" w:space="0" w:color="000000"/>
            </w:tcBorders>
          </w:tcPr>
          <w:p w14:paraId="24D60DEF" w14:textId="77777777" w:rsidR="00245300" w:rsidRPr="00EC20A0" w:rsidRDefault="00F17249">
            <w:pPr>
              <w:pStyle w:val="TableParagraph"/>
              <w:spacing w:before="144"/>
              <w:ind w:left="313" w:hanging="153"/>
              <w:rPr>
                <w:b/>
              </w:rPr>
            </w:pPr>
            <w:r w:rsidRPr="00EC20A0">
              <w:rPr>
                <w:b/>
                <w:spacing w:val="-2"/>
              </w:rPr>
              <w:t xml:space="preserve">Initials/ </w:t>
            </w:r>
            <w:r w:rsidRPr="00EC20A0">
              <w:rPr>
                <w:b/>
                <w:spacing w:val="-4"/>
              </w:rPr>
              <w:t>date</w:t>
            </w:r>
          </w:p>
        </w:tc>
        <w:tc>
          <w:tcPr>
            <w:tcW w:w="1298" w:type="dxa"/>
            <w:tcBorders>
              <w:left w:val="single" w:sz="6" w:space="0" w:color="000000"/>
            </w:tcBorders>
          </w:tcPr>
          <w:p w14:paraId="24D60DF0" w14:textId="77777777" w:rsidR="00245300" w:rsidRPr="00EC20A0" w:rsidRDefault="00245300">
            <w:pPr>
              <w:pStyle w:val="TableParagraph"/>
              <w:spacing w:before="144"/>
            </w:pPr>
          </w:p>
          <w:p w14:paraId="24D60DF1" w14:textId="77777777" w:rsidR="00245300" w:rsidRPr="00EC20A0" w:rsidRDefault="00F17249">
            <w:pPr>
              <w:pStyle w:val="TableParagraph"/>
              <w:ind w:left="208"/>
              <w:rPr>
                <w:b/>
              </w:rPr>
            </w:pPr>
            <w:r w:rsidRPr="00EC20A0">
              <w:rPr>
                <w:b/>
              </w:rPr>
              <w:t>Doc.</w:t>
            </w:r>
            <w:r w:rsidRPr="00EC20A0">
              <w:rPr>
                <w:b/>
                <w:spacing w:val="-6"/>
              </w:rPr>
              <w:t xml:space="preserve"> </w:t>
            </w:r>
            <w:r w:rsidRPr="00EC20A0">
              <w:rPr>
                <w:b/>
                <w:spacing w:val="-4"/>
              </w:rPr>
              <w:t>ref.</w:t>
            </w:r>
          </w:p>
        </w:tc>
      </w:tr>
      <w:tr w:rsidR="00245300" w:rsidRPr="00EC20A0" w14:paraId="24D60DFE" w14:textId="77777777">
        <w:trPr>
          <w:trHeight w:val="9030"/>
        </w:trPr>
        <w:tc>
          <w:tcPr>
            <w:tcW w:w="7021" w:type="dxa"/>
            <w:tcBorders>
              <w:bottom w:val="single" w:sz="4" w:space="0" w:color="000000"/>
              <w:right w:val="single" w:sz="6" w:space="0" w:color="000000"/>
            </w:tcBorders>
          </w:tcPr>
          <w:p w14:paraId="24D60DF3" w14:textId="77777777" w:rsidR="00245300" w:rsidRPr="00EC20A0" w:rsidRDefault="00F17249">
            <w:pPr>
              <w:pStyle w:val="TableParagraph"/>
              <w:numPr>
                <w:ilvl w:val="0"/>
                <w:numId w:val="158"/>
              </w:numPr>
              <w:tabs>
                <w:tab w:val="left" w:pos="489"/>
              </w:tabs>
              <w:spacing w:before="144"/>
              <w:ind w:right="738"/>
            </w:pPr>
            <w:r w:rsidRPr="00EC20A0">
              <w:t>Obtain a general understanding of the entity’s legal and regulatory</w:t>
            </w:r>
            <w:r w:rsidRPr="00EC20A0">
              <w:rPr>
                <w:spacing w:val="-4"/>
              </w:rPr>
              <w:t xml:space="preserve"> </w:t>
            </w:r>
            <w:r w:rsidRPr="00EC20A0">
              <w:t>framework</w:t>
            </w:r>
            <w:r w:rsidRPr="00EC20A0">
              <w:rPr>
                <w:spacing w:val="-4"/>
              </w:rPr>
              <w:t xml:space="preserve"> </w:t>
            </w:r>
            <w:r w:rsidRPr="00EC20A0">
              <w:t>and</w:t>
            </w:r>
            <w:r w:rsidRPr="00EC20A0">
              <w:rPr>
                <w:spacing w:val="-4"/>
              </w:rPr>
              <w:t xml:space="preserve"> </w:t>
            </w:r>
            <w:r w:rsidRPr="00EC20A0">
              <w:t>how</w:t>
            </w:r>
            <w:r w:rsidRPr="00EC20A0">
              <w:rPr>
                <w:spacing w:val="-5"/>
              </w:rPr>
              <w:t xml:space="preserve"> </w:t>
            </w:r>
            <w:r w:rsidRPr="00EC20A0">
              <w:t>the</w:t>
            </w:r>
            <w:r w:rsidRPr="00EC20A0">
              <w:rPr>
                <w:spacing w:val="-4"/>
              </w:rPr>
              <w:t xml:space="preserve"> </w:t>
            </w:r>
            <w:r w:rsidRPr="00EC20A0">
              <w:t>entity</w:t>
            </w:r>
            <w:r w:rsidRPr="00EC20A0">
              <w:rPr>
                <w:spacing w:val="-4"/>
              </w:rPr>
              <w:t xml:space="preserve"> </w:t>
            </w:r>
            <w:r w:rsidRPr="00EC20A0">
              <w:t>complies</w:t>
            </w:r>
            <w:r w:rsidRPr="00EC20A0">
              <w:rPr>
                <w:spacing w:val="-4"/>
              </w:rPr>
              <w:t xml:space="preserve"> </w:t>
            </w:r>
            <w:r w:rsidRPr="00EC20A0">
              <w:t>with</w:t>
            </w:r>
            <w:r w:rsidRPr="00EC20A0">
              <w:rPr>
                <w:spacing w:val="-3"/>
              </w:rPr>
              <w:t xml:space="preserve"> </w:t>
            </w:r>
            <w:r w:rsidRPr="00EC20A0">
              <w:t>it</w:t>
            </w:r>
            <w:r w:rsidRPr="00EC20A0">
              <w:rPr>
                <w:spacing w:val="-4"/>
              </w:rPr>
              <w:t xml:space="preserve"> </w:t>
            </w:r>
            <w:r w:rsidRPr="00EC20A0">
              <w:t>by performing the following (AU-C 250.12 and .A8):</w:t>
            </w:r>
          </w:p>
          <w:p w14:paraId="24D60DF4" w14:textId="77777777" w:rsidR="00245300" w:rsidRPr="00EC20A0" w:rsidRDefault="00F17249">
            <w:pPr>
              <w:pStyle w:val="TableParagraph"/>
              <w:numPr>
                <w:ilvl w:val="1"/>
                <w:numId w:val="158"/>
              </w:numPr>
              <w:tabs>
                <w:tab w:val="left" w:pos="921"/>
              </w:tabs>
              <w:spacing w:before="145"/>
              <w:ind w:left="921" w:right="186"/>
              <w:jc w:val="both"/>
            </w:pPr>
            <w:r w:rsidRPr="00EC20A0">
              <w:t>Update</w:t>
            </w:r>
            <w:r w:rsidRPr="00EC20A0">
              <w:rPr>
                <w:spacing w:val="-1"/>
              </w:rPr>
              <w:t xml:space="preserve"> </w:t>
            </w:r>
            <w:r w:rsidRPr="00EC20A0">
              <w:t>the</w:t>
            </w:r>
            <w:r w:rsidRPr="00EC20A0">
              <w:rPr>
                <w:spacing w:val="-1"/>
              </w:rPr>
              <w:t xml:space="preserve"> </w:t>
            </w:r>
            <w:r w:rsidRPr="00EC20A0">
              <w:t>auditor’s</w:t>
            </w:r>
            <w:r w:rsidRPr="00EC20A0">
              <w:rPr>
                <w:spacing w:val="-1"/>
              </w:rPr>
              <w:t xml:space="preserve"> </w:t>
            </w:r>
            <w:r w:rsidRPr="00EC20A0">
              <w:t>existing</w:t>
            </w:r>
            <w:r w:rsidRPr="00EC20A0">
              <w:rPr>
                <w:spacing w:val="-1"/>
              </w:rPr>
              <w:t xml:space="preserve"> </w:t>
            </w:r>
            <w:r w:rsidRPr="00EC20A0">
              <w:t>understanding</w:t>
            </w:r>
            <w:r w:rsidRPr="00EC20A0">
              <w:rPr>
                <w:spacing w:val="-1"/>
              </w:rPr>
              <w:t xml:space="preserve"> </w:t>
            </w:r>
            <w:r w:rsidRPr="00EC20A0">
              <w:t>or</w:t>
            </w:r>
            <w:r w:rsidRPr="00EC20A0">
              <w:rPr>
                <w:spacing w:val="-1"/>
              </w:rPr>
              <w:t xml:space="preserve"> </w:t>
            </w:r>
            <w:r w:rsidRPr="00EC20A0">
              <w:t>knowledge</w:t>
            </w:r>
            <w:r w:rsidRPr="00EC20A0">
              <w:rPr>
                <w:spacing w:val="-1"/>
              </w:rPr>
              <w:t xml:space="preserve"> </w:t>
            </w:r>
            <w:r w:rsidRPr="00EC20A0">
              <w:t>of the</w:t>
            </w:r>
            <w:r w:rsidRPr="00EC20A0">
              <w:rPr>
                <w:spacing w:val="-5"/>
              </w:rPr>
              <w:t xml:space="preserve"> </w:t>
            </w:r>
            <w:r w:rsidRPr="00EC20A0">
              <w:t>entity’s</w:t>
            </w:r>
            <w:r w:rsidRPr="00EC20A0">
              <w:rPr>
                <w:spacing w:val="-6"/>
              </w:rPr>
              <w:t xml:space="preserve"> </w:t>
            </w:r>
            <w:r w:rsidRPr="00EC20A0">
              <w:t>mission</w:t>
            </w:r>
            <w:r w:rsidRPr="00EC20A0">
              <w:rPr>
                <w:spacing w:val="-5"/>
              </w:rPr>
              <w:t xml:space="preserve"> </w:t>
            </w:r>
            <w:r w:rsidRPr="00EC20A0">
              <w:t>and</w:t>
            </w:r>
            <w:r w:rsidRPr="00EC20A0">
              <w:rPr>
                <w:spacing w:val="-6"/>
              </w:rPr>
              <w:t xml:space="preserve"> </w:t>
            </w:r>
            <w:r w:rsidRPr="00EC20A0">
              <w:t>programs,</w:t>
            </w:r>
            <w:r w:rsidRPr="00EC20A0">
              <w:rPr>
                <w:spacing w:val="-5"/>
              </w:rPr>
              <w:t xml:space="preserve"> </w:t>
            </w:r>
            <w:r w:rsidRPr="00EC20A0">
              <w:t>and</w:t>
            </w:r>
            <w:r w:rsidRPr="00EC20A0">
              <w:rPr>
                <w:spacing w:val="-5"/>
              </w:rPr>
              <w:t xml:space="preserve"> </w:t>
            </w:r>
            <w:r w:rsidRPr="00EC20A0">
              <w:t>legal,</w:t>
            </w:r>
            <w:r w:rsidRPr="00EC20A0">
              <w:rPr>
                <w:spacing w:val="-5"/>
              </w:rPr>
              <w:t xml:space="preserve"> </w:t>
            </w:r>
            <w:r w:rsidRPr="00EC20A0">
              <w:t>regulatory,</w:t>
            </w:r>
            <w:r w:rsidRPr="00EC20A0">
              <w:rPr>
                <w:spacing w:val="-5"/>
              </w:rPr>
              <w:t xml:space="preserve"> </w:t>
            </w:r>
            <w:r w:rsidRPr="00EC20A0">
              <w:t>and other external factors.</w:t>
            </w:r>
          </w:p>
          <w:p w14:paraId="24D60DF5" w14:textId="77777777" w:rsidR="00245300" w:rsidRPr="00EC20A0" w:rsidRDefault="00F17249">
            <w:pPr>
              <w:pStyle w:val="TableParagraph"/>
              <w:numPr>
                <w:ilvl w:val="1"/>
                <w:numId w:val="158"/>
              </w:numPr>
              <w:tabs>
                <w:tab w:val="left" w:pos="921"/>
              </w:tabs>
              <w:spacing w:before="143"/>
              <w:ind w:left="921" w:right="186"/>
            </w:pPr>
            <w:r w:rsidRPr="00EC20A0">
              <w:t xml:space="preserve">Update the auditor’s understanding or knowledge of the provisions of laws, regulations, contracts, or grant </w:t>
            </w:r>
            <w:r w:rsidRPr="00EC20A0">
              <w:t>agreements</w:t>
            </w:r>
            <w:r w:rsidRPr="00EC20A0">
              <w:rPr>
                <w:spacing w:val="-4"/>
              </w:rPr>
              <w:t xml:space="preserve"> </w:t>
            </w:r>
            <w:r w:rsidRPr="00EC20A0">
              <w:t>that</w:t>
            </w:r>
            <w:r w:rsidRPr="00EC20A0">
              <w:rPr>
                <w:spacing w:val="-5"/>
              </w:rPr>
              <w:t xml:space="preserve"> </w:t>
            </w:r>
            <w:r w:rsidRPr="00EC20A0">
              <w:t>are</w:t>
            </w:r>
            <w:r w:rsidRPr="00EC20A0">
              <w:rPr>
                <w:spacing w:val="-5"/>
              </w:rPr>
              <w:t xml:space="preserve"> </w:t>
            </w:r>
            <w:r w:rsidRPr="00EC20A0">
              <w:t>used</w:t>
            </w:r>
            <w:r w:rsidRPr="00EC20A0">
              <w:rPr>
                <w:spacing w:val="-5"/>
              </w:rPr>
              <w:t xml:space="preserve"> </w:t>
            </w:r>
            <w:r w:rsidRPr="00EC20A0">
              <w:t>to</w:t>
            </w:r>
            <w:r w:rsidRPr="00EC20A0">
              <w:rPr>
                <w:spacing w:val="-5"/>
              </w:rPr>
              <w:t xml:space="preserve"> </w:t>
            </w:r>
            <w:r w:rsidRPr="00EC20A0">
              <w:t>directly</w:t>
            </w:r>
            <w:r w:rsidRPr="00EC20A0">
              <w:rPr>
                <w:spacing w:val="-6"/>
              </w:rPr>
              <w:t xml:space="preserve"> </w:t>
            </w:r>
            <w:r w:rsidRPr="00EC20A0">
              <w:t>determine</w:t>
            </w:r>
            <w:r w:rsidRPr="00EC20A0">
              <w:rPr>
                <w:spacing w:val="-5"/>
              </w:rPr>
              <w:t xml:space="preserve"> </w:t>
            </w:r>
            <w:r w:rsidRPr="00EC20A0">
              <w:t>amounts</w:t>
            </w:r>
            <w:r w:rsidRPr="00EC20A0">
              <w:rPr>
                <w:spacing w:val="-5"/>
              </w:rPr>
              <w:t xml:space="preserve"> </w:t>
            </w:r>
            <w:r w:rsidRPr="00EC20A0">
              <w:t>and disclosures in the financial statements.</w:t>
            </w:r>
          </w:p>
          <w:p w14:paraId="24D60DF6" w14:textId="77777777" w:rsidR="00245300" w:rsidRPr="00EC20A0" w:rsidRDefault="00F17249">
            <w:pPr>
              <w:pStyle w:val="TableParagraph"/>
              <w:numPr>
                <w:ilvl w:val="1"/>
                <w:numId w:val="158"/>
              </w:numPr>
              <w:tabs>
                <w:tab w:val="left" w:pos="921"/>
              </w:tabs>
              <w:spacing w:before="145"/>
              <w:ind w:left="921" w:right="317"/>
            </w:pPr>
            <w:r w:rsidRPr="00EC20A0">
              <w:t xml:space="preserve">Consider the known history of the entity’s noncompliance with provisions of laws, regulations, contracts, or grant agreements, including </w:t>
            </w:r>
            <w:r w:rsidRPr="00EC20A0">
              <w:t>consideration of previous findings identified</w:t>
            </w:r>
            <w:r w:rsidRPr="00EC20A0">
              <w:rPr>
                <w:spacing w:val="-5"/>
              </w:rPr>
              <w:t xml:space="preserve"> </w:t>
            </w:r>
            <w:r w:rsidRPr="00EC20A0">
              <w:t>in</w:t>
            </w:r>
            <w:r w:rsidRPr="00EC20A0">
              <w:rPr>
                <w:spacing w:val="-6"/>
              </w:rPr>
              <w:t xml:space="preserve"> </w:t>
            </w:r>
            <w:r w:rsidRPr="00EC20A0">
              <w:t>audit</w:t>
            </w:r>
            <w:r w:rsidRPr="00EC20A0">
              <w:rPr>
                <w:spacing w:val="-5"/>
              </w:rPr>
              <w:t xml:space="preserve"> </w:t>
            </w:r>
            <w:r w:rsidRPr="00EC20A0">
              <w:t>planning</w:t>
            </w:r>
            <w:r w:rsidRPr="00EC20A0">
              <w:rPr>
                <w:spacing w:val="-5"/>
              </w:rPr>
              <w:t xml:space="preserve"> </w:t>
            </w:r>
            <w:r w:rsidRPr="00EC20A0">
              <w:t>(GAGAS</w:t>
            </w:r>
            <w:r w:rsidRPr="00EC20A0">
              <w:rPr>
                <w:spacing w:val="-3"/>
              </w:rPr>
              <w:t xml:space="preserve"> </w:t>
            </w:r>
            <w:r w:rsidRPr="00EC20A0">
              <w:t>(2018)</w:t>
            </w:r>
            <w:r w:rsidRPr="00EC20A0">
              <w:rPr>
                <w:spacing w:val="-5"/>
              </w:rPr>
              <w:t xml:space="preserve"> </w:t>
            </w:r>
            <w:r w:rsidRPr="00EC20A0">
              <w:t>6.11,</w:t>
            </w:r>
            <w:r w:rsidRPr="00EC20A0">
              <w:rPr>
                <w:spacing w:val="-5"/>
              </w:rPr>
              <w:t xml:space="preserve"> </w:t>
            </w:r>
            <w:r w:rsidRPr="00EC20A0">
              <w:t>Results</w:t>
            </w:r>
            <w:r w:rsidRPr="00EC20A0">
              <w:rPr>
                <w:spacing w:val="-5"/>
              </w:rPr>
              <w:t xml:space="preserve"> </w:t>
            </w:r>
            <w:r w:rsidRPr="00EC20A0">
              <w:t>of Previous Engagements).</w:t>
            </w:r>
          </w:p>
          <w:p w14:paraId="24D60DF7" w14:textId="77777777" w:rsidR="00245300" w:rsidRPr="00EC20A0" w:rsidRDefault="00F17249">
            <w:pPr>
              <w:pStyle w:val="TableParagraph"/>
              <w:numPr>
                <w:ilvl w:val="1"/>
                <w:numId w:val="158"/>
              </w:numPr>
              <w:tabs>
                <w:tab w:val="left" w:pos="920"/>
              </w:tabs>
              <w:spacing w:before="144"/>
              <w:ind w:left="920" w:hanging="359"/>
            </w:pPr>
            <w:r w:rsidRPr="00EC20A0">
              <w:t>Inquire</w:t>
            </w:r>
            <w:r w:rsidRPr="00EC20A0">
              <w:rPr>
                <w:spacing w:val="-7"/>
              </w:rPr>
              <w:t xml:space="preserve"> </w:t>
            </w:r>
            <w:r w:rsidRPr="00EC20A0">
              <w:t>of</w:t>
            </w:r>
            <w:r w:rsidRPr="00EC20A0">
              <w:rPr>
                <w:spacing w:val="-6"/>
              </w:rPr>
              <w:t xml:space="preserve"> </w:t>
            </w:r>
            <w:r w:rsidRPr="00EC20A0">
              <w:t>management</w:t>
            </w:r>
            <w:r w:rsidRPr="00EC20A0">
              <w:rPr>
                <w:spacing w:val="-7"/>
              </w:rPr>
              <w:t xml:space="preserve"> </w:t>
            </w:r>
            <w:r w:rsidRPr="00EC20A0">
              <w:t>about</w:t>
            </w:r>
            <w:r w:rsidRPr="00EC20A0">
              <w:rPr>
                <w:spacing w:val="-6"/>
              </w:rPr>
              <w:t xml:space="preserve"> </w:t>
            </w:r>
            <w:r w:rsidRPr="00EC20A0">
              <w:t>the</w:t>
            </w:r>
            <w:r w:rsidRPr="00EC20A0">
              <w:rPr>
                <w:spacing w:val="-6"/>
              </w:rPr>
              <w:t xml:space="preserve"> </w:t>
            </w:r>
            <w:r w:rsidRPr="00EC20A0">
              <w:rPr>
                <w:spacing w:val="-2"/>
              </w:rPr>
              <w:t>following:</w:t>
            </w:r>
          </w:p>
          <w:p w14:paraId="24D60DF8" w14:textId="77777777" w:rsidR="00245300" w:rsidRPr="00EC20A0" w:rsidRDefault="00F17249">
            <w:pPr>
              <w:pStyle w:val="TableParagraph"/>
              <w:numPr>
                <w:ilvl w:val="2"/>
                <w:numId w:val="158"/>
              </w:numPr>
              <w:tabs>
                <w:tab w:val="left" w:pos="1569"/>
              </w:tabs>
              <w:spacing w:before="143"/>
              <w:ind w:right="540"/>
              <w:jc w:val="left"/>
            </w:pPr>
            <w:r w:rsidRPr="00EC20A0">
              <w:t>Other</w:t>
            </w:r>
            <w:r w:rsidRPr="00EC20A0">
              <w:rPr>
                <w:spacing w:val="-6"/>
              </w:rPr>
              <w:t xml:space="preserve"> </w:t>
            </w:r>
            <w:r w:rsidRPr="00EC20A0">
              <w:t>provisions</w:t>
            </w:r>
            <w:r w:rsidRPr="00EC20A0">
              <w:rPr>
                <w:spacing w:val="-6"/>
              </w:rPr>
              <w:t xml:space="preserve"> </w:t>
            </w:r>
            <w:r w:rsidRPr="00EC20A0">
              <w:t>of</w:t>
            </w:r>
            <w:r w:rsidRPr="00EC20A0">
              <w:rPr>
                <w:spacing w:val="-6"/>
              </w:rPr>
              <w:t xml:space="preserve"> </w:t>
            </w:r>
            <w:r w:rsidRPr="00EC20A0">
              <w:t>laws,</w:t>
            </w:r>
            <w:r w:rsidRPr="00EC20A0">
              <w:rPr>
                <w:spacing w:val="-7"/>
              </w:rPr>
              <w:t xml:space="preserve"> </w:t>
            </w:r>
            <w:r w:rsidRPr="00EC20A0">
              <w:t>regulations,</w:t>
            </w:r>
            <w:r w:rsidRPr="00EC20A0">
              <w:rPr>
                <w:spacing w:val="-7"/>
              </w:rPr>
              <w:t xml:space="preserve"> </w:t>
            </w:r>
            <w:r w:rsidRPr="00EC20A0">
              <w:t>contracts,</w:t>
            </w:r>
            <w:r w:rsidRPr="00EC20A0">
              <w:rPr>
                <w:spacing w:val="-6"/>
              </w:rPr>
              <w:t xml:space="preserve"> </w:t>
            </w:r>
            <w:r w:rsidRPr="00EC20A0">
              <w:t xml:space="preserve">or grant agreements that might have a </w:t>
            </w:r>
            <w:r w:rsidRPr="00EC20A0">
              <w:t>fundamental effect on the entity's operations.</w:t>
            </w:r>
          </w:p>
          <w:p w14:paraId="24D60DF9" w14:textId="77777777" w:rsidR="00245300" w:rsidRPr="00EC20A0" w:rsidRDefault="00F17249">
            <w:pPr>
              <w:pStyle w:val="TableParagraph"/>
              <w:numPr>
                <w:ilvl w:val="2"/>
                <w:numId w:val="158"/>
              </w:numPr>
              <w:tabs>
                <w:tab w:val="left" w:pos="1569"/>
              </w:tabs>
              <w:spacing w:before="145"/>
              <w:ind w:right="135" w:hanging="519"/>
              <w:jc w:val="left"/>
            </w:pPr>
            <w:r w:rsidRPr="00EC20A0">
              <w:t>Entity policies and procedures regarding compliance with</w:t>
            </w:r>
            <w:r w:rsidRPr="00EC20A0">
              <w:rPr>
                <w:spacing w:val="-5"/>
              </w:rPr>
              <w:t xml:space="preserve"> </w:t>
            </w:r>
            <w:r w:rsidRPr="00EC20A0">
              <w:t>provisions</w:t>
            </w:r>
            <w:r w:rsidRPr="00EC20A0">
              <w:rPr>
                <w:spacing w:val="-5"/>
              </w:rPr>
              <w:t xml:space="preserve"> </w:t>
            </w:r>
            <w:r w:rsidRPr="00EC20A0">
              <w:t>of</w:t>
            </w:r>
            <w:r w:rsidRPr="00EC20A0">
              <w:rPr>
                <w:spacing w:val="-5"/>
              </w:rPr>
              <w:t xml:space="preserve"> </w:t>
            </w:r>
            <w:r w:rsidRPr="00EC20A0">
              <w:t>laws,</w:t>
            </w:r>
            <w:r w:rsidRPr="00EC20A0">
              <w:rPr>
                <w:spacing w:val="-5"/>
              </w:rPr>
              <w:t xml:space="preserve"> </w:t>
            </w:r>
            <w:r w:rsidRPr="00EC20A0">
              <w:t>regulations,</w:t>
            </w:r>
            <w:r w:rsidRPr="00EC20A0">
              <w:rPr>
                <w:spacing w:val="-6"/>
              </w:rPr>
              <w:t xml:space="preserve"> </w:t>
            </w:r>
            <w:r w:rsidRPr="00EC20A0">
              <w:t>contracts,</w:t>
            </w:r>
            <w:r w:rsidRPr="00EC20A0">
              <w:rPr>
                <w:spacing w:val="-5"/>
              </w:rPr>
              <w:t xml:space="preserve"> </w:t>
            </w:r>
            <w:r w:rsidRPr="00EC20A0">
              <w:t>or</w:t>
            </w:r>
            <w:r w:rsidRPr="00EC20A0">
              <w:rPr>
                <w:spacing w:val="-6"/>
              </w:rPr>
              <w:t xml:space="preserve"> </w:t>
            </w:r>
            <w:r w:rsidRPr="00EC20A0">
              <w:t>grant agreements and the prevention of noncompliance.</w:t>
            </w:r>
          </w:p>
          <w:p w14:paraId="24D60DFA" w14:textId="77777777" w:rsidR="00245300" w:rsidRPr="00EC20A0" w:rsidRDefault="00F17249">
            <w:pPr>
              <w:pStyle w:val="TableParagraph"/>
              <w:numPr>
                <w:ilvl w:val="2"/>
                <w:numId w:val="158"/>
              </w:numPr>
              <w:tabs>
                <w:tab w:val="left" w:pos="1569"/>
              </w:tabs>
              <w:spacing w:before="143"/>
              <w:ind w:right="392" w:hanging="568"/>
              <w:jc w:val="left"/>
            </w:pPr>
            <w:r w:rsidRPr="00EC20A0">
              <w:t>Entity policies or procedures for identifying, evaluating,</w:t>
            </w:r>
            <w:r w:rsidRPr="00EC20A0">
              <w:rPr>
                <w:spacing w:val="-7"/>
              </w:rPr>
              <w:t xml:space="preserve"> </w:t>
            </w:r>
            <w:r w:rsidRPr="00EC20A0">
              <w:t>and</w:t>
            </w:r>
            <w:r w:rsidRPr="00EC20A0">
              <w:rPr>
                <w:spacing w:val="-6"/>
              </w:rPr>
              <w:t xml:space="preserve"> </w:t>
            </w:r>
            <w:r w:rsidRPr="00EC20A0">
              <w:t>accounting</w:t>
            </w:r>
            <w:r w:rsidRPr="00EC20A0">
              <w:rPr>
                <w:spacing w:val="-6"/>
              </w:rPr>
              <w:t xml:space="preserve"> </w:t>
            </w:r>
            <w:r w:rsidRPr="00EC20A0">
              <w:t>for</w:t>
            </w:r>
            <w:r w:rsidRPr="00EC20A0">
              <w:rPr>
                <w:spacing w:val="-6"/>
              </w:rPr>
              <w:t xml:space="preserve"> </w:t>
            </w:r>
            <w:r w:rsidRPr="00EC20A0">
              <w:t>litigation,</w:t>
            </w:r>
            <w:r w:rsidRPr="00EC20A0">
              <w:rPr>
                <w:spacing w:val="-6"/>
              </w:rPr>
              <w:t xml:space="preserve"> </w:t>
            </w:r>
            <w:r w:rsidRPr="00EC20A0">
              <w:t>contract,</w:t>
            </w:r>
            <w:r w:rsidRPr="00EC20A0">
              <w:rPr>
                <w:spacing w:val="-6"/>
              </w:rPr>
              <w:t xml:space="preserve"> </w:t>
            </w:r>
            <w:r w:rsidRPr="00EC20A0">
              <w:t>or grant agreement claims.</w:t>
            </w:r>
          </w:p>
          <w:p w14:paraId="24D60DFB" w14:textId="77777777" w:rsidR="00245300" w:rsidRPr="00EC20A0" w:rsidRDefault="00F17249">
            <w:pPr>
              <w:pStyle w:val="TableParagraph"/>
              <w:numPr>
                <w:ilvl w:val="2"/>
                <w:numId w:val="158"/>
              </w:numPr>
              <w:tabs>
                <w:tab w:val="left" w:pos="1569"/>
              </w:tabs>
              <w:spacing w:before="145"/>
              <w:ind w:right="135" w:hanging="580"/>
              <w:jc w:val="left"/>
            </w:pPr>
            <w:r w:rsidRPr="00EC20A0">
              <w:t>The use of directives issued by the entity and periodic representations obtained from management at appropriate levels of authority regarding compliance with</w:t>
            </w:r>
            <w:r w:rsidRPr="00EC20A0">
              <w:rPr>
                <w:spacing w:val="-5"/>
              </w:rPr>
              <w:t xml:space="preserve"> </w:t>
            </w:r>
            <w:r w:rsidRPr="00EC20A0">
              <w:t>provisions</w:t>
            </w:r>
            <w:r w:rsidRPr="00EC20A0">
              <w:rPr>
                <w:spacing w:val="-5"/>
              </w:rPr>
              <w:t xml:space="preserve"> </w:t>
            </w:r>
            <w:r w:rsidRPr="00EC20A0">
              <w:t>of</w:t>
            </w:r>
            <w:r w:rsidRPr="00EC20A0">
              <w:rPr>
                <w:spacing w:val="-5"/>
              </w:rPr>
              <w:t xml:space="preserve"> </w:t>
            </w:r>
            <w:r w:rsidRPr="00EC20A0">
              <w:t>laws,</w:t>
            </w:r>
            <w:r w:rsidRPr="00EC20A0">
              <w:rPr>
                <w:spacing w:val="-5"/>
              </w:rPr>
              <w:t xml:space="preserve"> </w:t>
            </w:r>
            <w:r w:rsidRPr="00EC20A0">
              <w:t>regulations,</w:t>
            </w:r>
            <w:r w:rsidRPr="00EC20A0">
              <w:rPr>
                <w:spacing w:val="-6"/>
              </w:rPr>
              <w:t xml:space="preserve"> </w:t>
            </w:r>
            <w:r w:rsidRPr="00EC20A0">
              <w:t>contracts,</w:t>
            </w:r>
            <w:r w:rsidRPr="00EC20A0">
              <w:rPr>
                <w:spacing w:val="-5"/>
              </w:rPr>
              <w:t xml:space="preserve"> </w:t>
            </w:r>
            <w:r w:rsidRPr="00EC20A0">
              <w:t>or</w:t>
            </w:r>
            <w:r w:rsidRPr="00EC20A0">
              <w:rPr>
                <w:spacing w:val="-6"/>
              </w:rPr>
              <w:t xml:space="preserve"> </w:t>
            </w:r>
            <w:r w:rsidRPr="00EC20A0">
              <w:t xml:space="preserve">grant </w:t>
            </w:r>
            <w:r w:rsidRPr="00EC20A0">
              <w:rPr>
                <w:spacing w:val="-2"/>
              </w:rPr>
              <w:t>agreements.</w:t>
            </w:r>
          </w:p>
        </w:tc>
        <w:tc>
          <w:tcPr>
            <w:tcW w:w="1080" w:type="dxa"/>
            <w:tcBorders>
              <w:left w:val="single" w:sz="6" w:space="0" w:color="000000"/>
              <w:bottom w:val="single" w:sz="4" w:space="0" w:color="000000"/>
              <w:right w:val="single" w:sz="6" w:space="0" w:color="000000"/>
            </w:tcBorders>
          </w:tcPr>
          <w:p w14:paraId="24D60DFC" w14:textId="77777777" w:rsidR="00245300" w:rsidRPr="00EC20A0" w:rsidRDefault="00245300">
            <w:pPr>
              <w:pStyle w:val="TableParagraph"/>
              <w:rPr>
                <w:sz w:val="20"/>
              </w:rPr>
            </w:pPr>
          </w:p>
        </w:tc>
        <w:tc>
          <w:tcPr>
            <w:tcW w:w="1298" w:type="dxa"/>
            <w:tcBorders>
              <w:left w:val="single" w:sz="6" w:space="0" w:color="000000"/>
              <w:bottom w:val="single" w:sz="4" w:space="0" w:color="000000"/>
            </w:tcBorders>
          </w:tcPr>
          <w:p w14:paraId="24D60DFD" w14:textId="77777777" w:rsidR="00245300" w:rsidRPr="00EC20A0" w:rsidRDefault="00245300">
            <w:pPr>
              <w:pStyle w:val="TableParagraph"/>
              <w:rPr>
                <w:sz w:val="20"/>
              </w:rPr>
            </w:pPr>
          </w:p>
        </w:tc>
      </w:tr>
      <w:tr w:rsidR="00245300" w:rsidRPr="00EC20A0" w14:paraId="24D60E02" w14:textId="77777777">
        <w:trPr>
          <w:trHeight w:val="1552"/>
        </w:trPr>
        <w:tc>
          <w:tcPr>
            <w:tcW w:w="7021" w:type="dxa"/>
            <w:tcBorders>
              <w:top w:val="single" w:sz="4" w:space="0" w:color="000000"/>
              <w:left w:val="double" w:sz="4" w:space="0" w:color="000000"/>
              <w:bottom w:val="single" w:sz="4" w:space="0" w:color="000000"/>
              <w:right w:val="single" w:sz="6" w:space="0" w:color="000000"/>
            </w:tcBorders>
          </w:tcPr>
          <w:p w14:paraId="24D60DFF" w14:textId="77777777" w:rsidR="00245300" w:rsidRPr="00EC20A0" w:rsidRDefault="00F17249">
            <w:pPr>
              <w:pStyle w:val="TableParagraph"/>
              <w:spacing w:before="144"/>
              <w:ind w:left="497" w:right="143" w:hanging="360"/>
            </w:pPr>
            <w:r w:rsidRPr="00EC20A0">
              <w:t>2.</w:t>
            </w:r>
            <w:r w:rsidRPr="00EC20A0">
              <w:rPr>
                <w:spacing w:val="80"/>
              </w:rPr>
              <w:t xml:space="preserve"> </w:t>
            </w:r>
            <w:r w:rsidRPr="00EC20A0">
              <w:t xml:space="preserve">Identify any other significant provisions of laws or regulations for compliance testing. Attach a list of the other laws or regulations identified to this form, and reference it to control and </w:t>
            </w:r>
            <w:r w:rsidRPr="00EC20A0">
              <w:t>compliance work</w:t>
            </w:r>
            <w:r w:rsidRPr="00EC20A0">
              <w:rPr>
                <w:spacing w:val="-4"/>
              </w:rPr>
              <w:t xml:space="preserve"> </w:t>
            </w:r>
            <w:r w:rsidRPr="00EC20A0">
              <w:t>performed.</w:t>
            </w:r>
            <w:r w:rsidRPr="00EC20A0">
              <w:rPr>
                <w:spacing w:val="-4"/>
              </w:rPr>
              <w:t xml:space="preserve"> </w:t>
            </w:r>
            <w:r w:rsidRPr="00EC20A0">
              <w:t>The</w:t>
            </w:r>
            <w:r w:rsidRPr="00EC20A0">
              <w:rPr>
                <w:spacing w:val="-4"/>
              </w:rPr>
              <w:t xml:space="preserve"> </w:t>
            </w:r>
            <w:r w:rsidRPr="00EC20A0">
              <w:t>list</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prepared</w:t>
            </w:r>
            <w:r w:rsidRPr="00EC20A0">
              <w:rPr>
                <w:spacing w:val="-4"/>
              </w:rPr>
              <w:t xml:space="preserve"> </w:t>
            </w:r>
            <w:r w:rsidRPr="00EC20A0">
              <w:t>as</w:t>
            </w:r>
            <w:r w:rsidRPr="00EC20A0">
              <w:rPr>
                <w:spacing w:val="-4"/>
              </w:rPr>
              <w:t xml:space="preserve"> </w:t>
            </w:r>
            <w:r w:rsidRPr="00EC20A0">
              <w:t>a</w:t>
            </w:r>
            <w:r w:rsidRPr="00EC20A0">
              <w:rPr>
                <w:spacing w:val="-4"/>
              </w:rPr>
              <w:t xml:space="preserve"> </w:t>
            </w:r>
            <w:r w:rsidRPr="00EC20A0">
              <w:t>table</w:t>
            </w:r>
            <w:r w:rsidRPr="00EC20A0">
              <w:rPr>
                <w:spacing w:val="-4"/>
              </w:rPr>
              <w:t xml:space="preserve"> </w:t>
            </w:r>
            <w:r w:rsidRPr="00EC20A0">
              <w:t>or</w:t>
            </w:r>
            <w:r w:rsidRPr="00EC20A0">
              <w:rPr>
                <w:spacing w:val="-4"/>
              </w:rPr>
              <w:t xml:space="preserve"> </w:t>
            </w:r>
            <w:r w:rsidRPr="00EC20A0">
              <w:t>any</w:t>
            </w:r>
            <w:r w:rsidRPr="00EC20A0">
              <w:rPr>
                <w:spacing w:val="-5"/>
              </w:rPr>
              <w:t xml:space="preserve"> </w:t>
            </w:r>
            <w:r w:rsidRPr="00EC20A0">
              <w:t>other effective means of presenting the information.</w:t>
            </w:r>
          </w:p>
        </w:tc>
        <w:tc>
          <w:tcPr>
            <w:tcW w:w="1080" w:type="dxa"/>
            <w:tcBorders>
              <w:top w:val="single" w:sz="4" w:space="0" w:color="000000"/>
              <w:left w:val="single" w:sz="6" w:space="0" w:color="000000"/>
              <w:bottom w:val="single" w:sz="4" w:space="0" w:color="000000"/>
              <w:right w:val="single" w:sz="6" w:space="0" w:color="000000"/>
            </w:tcBorders>
          </w:tcPr>
          <w:p w14:paraId="24D60E00" w14:textId="77777777" w:rsidR="00245300" w:rsidRPr="00EC20A0" w:rsidRDefault="00245300">
            <w:pPr>
              <w:pStyle w:val="TableParagraph"/>
              <w:rPr>
                <w:sz w:val="20"/>
              </w:rPr>
            </w:pPr>
          </w:p>
        </w:tc>
        <w:tc>
          <w:tcPr>
            <w:tcW w:w="1298" w:type="dxa"/>
            <w:tcBorders>
              <w:top w:val="single" w:sz="4" w:space="0" w:color="000000"/>
              <w:left w:val="single" w:sz="6" w:space="0" w:color="000000"/>
              <w:bottom w:val="single" w:sz="4" w:space="0" w:color="000000"/>
            </w:tcBorders>
          </w:tcPr>
          <w:p w14:paraId="24D60E01" w14:textId="77777777" w:rsidR="00245300" w:rsidRPr="00EC20A0" w:rsidRDefault="00245300">
            <w:pPr>
              <w:pStyle w:val="TableParagraph"/>
              <w:rPr>
                <w:sz w:val="20"/>
              </w:rPr>
            </w:pPr>
          </w:p>
        </w:tc>
      </w:tr>
      <w:tr w:rsidR="00245300" w:rsidRPr="00EC20A0" w14:paraId="24D60E06" w14:textId="77777777">
        <w:trPr>
          <w:trHeight w:val="1300"/>
        </w:trPr>
        <w:tc>
          <w:tcPr>
            <w:tcW w:w="7021" w:type="dxa"/>
            <w:tcBorders>
              <w:top w:val="single" w:sz="4" w:space="0" w:color="000000"/>
              <w:left w:val="double" w:sz="4" w:space="0" w:color="000000"/>
              <w:bottom w:val="single" w:sz="4" w:space="0" w:color="000000"/>
              <w:right w:val="single" w:sz="6" w:space="0" w:color="000000"/>
            </w:tcBorders>
          </w:tcPr>
          <w:p w14:paraId="24D60E03" w14:textId="77777777" w:rsidR="00245300" w:rsidRPr="00EC20A0" w:rsidRDefault="00F17249">
            <w:pPr>
              <w:pStyle w:val="TableParagraph"/>
              <w:spacing w:before="145"/>
              <w:ind w:left="497" w:right="143" w:hanging="360"/>
            </w:pPr>
            <w:r w:rsidRPr="00EC20A0">
              <w:t>3.</w:t>
            </w:r>
            <w:r w:rsidRPr="00EC20A0">
              <w:rPr>
                <w:spacing w:val="80"/>
              </w:rPr>
              <w:t xml:space="preserve"> </w:t>
            </w:r>
            <w:r w:rsidRPr="00EC20A0">
              <w:t>As described in FAM 245.07, review the list of laws and regulations</w:t>
            </w:r>
            <w:r w:rsidRPr="00EC20A0">
              <w:rPr>
                <w:spacing w:val="-4"/>
              </w:rPr>
              <w:t xml:space="preserve"> </w:t>
            </w:r>
            <w:r w:rsidRPr="00EC20A0">
              <w:t>identified</w:t>
            </w:r>
            <w:r w:rsidRPr="00EC20A0">
              <w:rPr>
                <w:spacing w:val="-4"/>
              </w:rPr>
              <w:t xml:space="preserve"> </w:t>
            </w:r>
            <w:r w:rsidRPr="00EC20A0">
              <w:t>by</w:t>
            </w:r>
            <w:r w:rsidRPr="00EC20A0">
              <w:rPr>
                <w:spacing w:val="-5"/>
              </w:rPr>
              <w:t xml:space="preserve"> </w:t>
            </w:r>
            <w:r w:rsidRPr="00EC20A0">
              <w:t>the</w:t>
            </w:r>
            <w:r w:rsidRPr="00EC20A0">
              <w:rPr>
                <w:spacing w:val="-4"/>
              </w:rPr>
              <w:t xml:space="preserve"> </w:t>
            </w:r>
            <w:r w:rsidRPr="00EC20A0">
              <w:t>entity</w:t>
            </w:r>
            <w:r w:rsidRPr="00EC20A0">
              <w:rPr>
                <w:spacing w:val="-4"/>
              </w:rPr>
              <w:t xml:space="preserve"> </w:t>
            </w:r>
            <w:r w:rsidRPr="00EC20A0">
              <w:t>as</w:t>
            </w:r>
            <w:r w:rsidRPr="00EC20A0">
              <w:rPr>
                <w:spacing w:val="-5"/>
              </w:rPr>
              <w:t xml:space="preserve"> </w:t>
            </w:r>
            <w:r w:rsidRPr="00EC20A0">
              <w:t>significant</w:t>
            </w:r>
            <w:r w:rsidRPr="00EC20A0">
              <w:rPr>
                <w:spacing w:val="-4"/>
              </w:rPr>
              <w:t xml:space="preserve"> </w:t>
            </w:r>
            <w:r w:rsidRPr="00EC20A0">
              <w:t>and</w:t>
            </w:r>
            <w:r w:rsidRPr="00EC20A0">
              <w:rPr>
                <w:spacing w:val="-4"/>
              </w:rPr>
              <w:t xml:space="preserve"> </w:t>
            </w:r>
            <w:r w:rsidRPr="00EC20A0">
              <w:t>modify</w:t>
            </w:r>
            <w:r w:rsidRPr="00EC20A0">
              <w:rPr>
                <w:spacing w:val="-4"/>
              </w:rPr>
              <w:t xml:space="preserve"> </w:t>
            </w:r>
            <w:r w:rsidRPr="00EC20A0">
              <w:t xml:space="preserve">the </w:t>
            </w:r>
            <w:r w:rsidRPr="00EC20A0">
              <w:t>listing in step 2 above to include any additional laws and regulations as needed.</w:t>
            </w:r>
          </w:p>
        </w:tc>
        <w:tc>
          <w:tcPr>
            <w:tcW w:w="1080" w:type="dxa"/>
            <w:tcBorders>
              <w:top w:val="single" w:sz="4" w:space="0" w:color="000000"/>
              <w:left w:val="single" w:sz="6" w:space="0" w:color="000000"/>
              <w:bottom w:val="single" w:sz="4" w:space="0" w:color="000000"/>
              <w:right w:val="single" w:sz="6" w:space="0" w:color="000000"/>
            </w:tcBorders>
          </w:tcPr>
          <w:p w14:paraId="24D60E04" w14:textId="77777777" w:rsidR="00245300" w:rsidRPr="00EC20A0" w:rsidRDefault="00245300">
            <w:pPr>
              <w:pStyle w:val="TableParagraph"/>
              <w:rPr>
                <w:sz w:val="20"/>
              </w:rPr>
            </w:pPr>
          </w:p>
        </w:tc>
        <w:tc>
          <w:tcPr>
            <w:tcW w:w="1298" w:type="dxa"/>
            <w:tcBorders>
              <w:top w:val="single" w:sz="4" w:space="0" w:color="000000"/>
              <w:left w:val="single" w:sz="6" w:space="0" w:color="000000"/>
              <w:bottom w:val="single" w:sz="4" w:space="0" w:color="000000"/>
            </w:tcBorders>
          </w:tcPr>
          <w:p w14:paraId="24D60E05" w14:textId="77777777" w:rsidR="00245300" w:rsidRPr="00EC20A0" w:rsidRDefault="00245300">
            <w:pPr>
              <w:pStyle w:val="TableParagraph"/>
              <w:rPr>
                <w:sz w:val="20"/>
              </w:rPr>
            </w:pPr>
          </w:p>
        </w:tc>
      </w:tr>
    </w:tbl>
    <w:p w14:paraId="24D60E07" w14:textId="77777777" w:rsidR="00245300" w:rsidRPr="00EC20A0" w:rsidRDefault="00245300">
      <w:pPr>
        <w:rPr>
          <w:sz w:val="20"/>
        </w:rPr>
        <w:sectPr w:rsidR="00245300" w:rsidRPr="00EC20A0">
          <w:headerReference w:type="default" r:id="rId96"/>
          <w:footerReference w:type="default" r:id="rId97"/>
          <w:pgSz w:w="12240" w:h="15840"/>
          <w:pgMar w:top="1340" w:right="1140" w:bottom="940" w:left="1320" w:header="721" w:footer="742" w:gutter="0"/>
          <w:cols w:space="720"/>
        </w:sectPr>
      </w:pPr>
    </w:p>
    <w:p w14:paraId="24D60E08" w14:textId="77777777" w:rsidR="00245300" w:rsidRPr="00EC20A0" w:rsidRDefault="00245300">
      <w:pPr>
        <w:pStyle w:val="BodyText"/>
        <w:spacing w:before="9"/>
        <w:rPr>
          <w:sz w:val="11"/>
        </w:r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1"/>
        <w:gridCol w:w="1080"/>
        <w:gridCol w:w="1298"/>
      </w:tblGrid>
      <w:tr w:rsidR="00245300" w:rsidRPr="00EC20A0" w14:paraId="24D60E0E" w14:textId="77777777">
        <w:trPr>
          <w:trHeight w:val="793"/>
        </w:trPr>
        <w:tc>
          <w:tcPr>
            <w:tcW w:w="7021" w:type="dxa"/>
            <w:tcBorders>
              <w:right w:val="single" w:sz="6" w:space="0" w:color="000000"/>
            </w:tcBorders>
          </w:tcPr>
          <w:p w14:paraId="24D60E09" w14:textId="77777777" w:rsidR="00245300" w:rsidRPr="00EC20A0" w:rsidRDefault="00245300">
            <w:pPr>
              <w:pStyle w:val="TableParagraph"/>
              <w:spacing w:before="168"/>
            </w:pPr>
          </w:p>
          <w:p w14:paraId="24D60E0A" w14:textId="77777777" w:rsidR="00245300" w:rsidRPr="00EC20A0" w:rsidRDefault="00F17249">
            <w:pPr>
              <w:pStyle w:val="TableParagraph"/>
              <w:ind w:left="129"/>
              <w:rPr>
                <w:b/>
              </w:rPr>
            </w:pPr>
            <w:r w:rsidRPr="00EC20A0">
              <w:rPr>
                <w:b/>
              </w:rPr>
              <w:t>Procedures</w:t>
            </w:r>
            <w:r w:rsidRPr="00EC20A0">
              <w:rPr>
                <w:b/>
                <w:spacing w:val="-5"/>
              </w:rPr>
              <w:t xml:space="preserve"> </w:t>
            </w:r>
            <w:r w:rsidRPr="00EC20A0">
              <w:rPr>
                <w:b/>
              </w:rPr>
              <w:t>for</w:t>
            </w:r>
            <w:r w:rsidRPr="00EC20A0">
              <w:rPr>
                <w:b/>
                <w:spacing w:val="-6"/>
              </w:rPr>
              <w:t xml:space="preserve"> </w:t>
            </w:r>
            <w:r w:rsidRPr="00EC20A0">
              <w:rPr>
                <w:b/>
              </w:rPr>
              <w:t>other</w:t>
            </w:r>
            <w:r w:rsidRPr="00EC20A0">
              <w:rPr>
                <w:b/>
                <w:spacing w:val="-6"/>
              </w:rPr>
              <w:t xml:space="preserve"> </w:t>
            </w:r>
            <w:r w:rsidRPr="00EC20A0">
              <w:rPr>
                <w:b/>
              </w:rPr>
              <w:t>laws</w:t>
            </w:r>
            <w:r w:rsidRPr="00EC20A0">
              <w:rPr>
                <w:b/>
                <w:spacing w:val="-6"/>
              </w:rPr>
              <w:t xml:space="preserve"> </w:t>
            </w:r>
            <w:r w:rsidRPr="00EC20A0">
              <w:rPr>
                <w:b/>
              </w:rPr>
              <w:t>and</w:t>
            </w:r>
            <w:r w:rsidRPr="00EC20A0">
              <w:rPr>
                <w:b/>
                <w:spacing w:val="-6"/>
              </w:rPr>
              <w:t xml:space="preserve"> </w:t>
            </w:r>
            <w:r w:rsidRPr="00EC20A0">
              <w:rPr>
                <w:b/>
                <w:spacing w:val="-2"/>
              </w:rPr>
              <w:t>regulations</w:t>
            </w:r>
          </w:p>
        </w:tc>
        <w:tc>
          <w:tcPr>
            <w:tcW w:w="1080" w:type="dxa"/>
            <w:tcBorders>
              <w:left w:val="single" w:sz="6" w:space="0" w:color="000000"/>
              <w:right w:val="single" w:sz="6" w:space="0" w:color="000000"/>
            </w:tcBorders>
          </w:tcPr>
          <w:p w14:paraId="24D60E0B" w14:textId="77777777" w:rsidR="00245300" w:rsidRPr="00EC20A0" w:rsidRDefault="00F17249">
            <w:pPr>
              <w:pStyle w:val="TableParagraph"/>
              <w:spacing w:before="144"/>
              <w:ind w:left="313" w:hanging="153"/>
              <w:rPr>
                <w:b/>
              </w:rPr>
            </w:pPr>
            <w:r w:rsidRPr="00EC20A0">
              <w:rPr>
                <w:b/>
                <w:spacing w:val="-2"/>
              </w:rPr>
              <w:t xml:space="preserve">Initials/ </w:t>
            </w:r>
            <w:r w:rsidRPr="00EC20A0">
              <w:rPr>
                <w:b/>
                <w:spacing w:val="-4"/>
              </w:rPr>
              <w:t>date</w:t>
            </w:r>
          </w:p>
        </w:tc>
        <w:tc>
          <w:tcPr>
            <w:tcW w:w="1298" w:type="dxa"/>
            <w:tcBorders>
              <w:left w:val="single" w:sz="6" w:space="0" w:color="000000"/>
            </w:tcBorders>
          </w:tcPr>
          <w:p w14:paraId="24D60E0C" w14:textId="77777777" w:rsidR="00245300" w:rsidRPr="00EC20A0" w:rsidRDefault="00245300">
            <w:pPr>
              <w:pStyle w:val="TableParagraph"/>
              <w:spacing w:before="144"/>
            </w:pPr>
          </w:p>
          <w:p w14:paraId="24D60E0D" w14:textId="77777777" w:rsidR="00245300" w:rsidRPr="00EC20A0" w:rsidRDefault="00F17249">
            <w:pPr>
              <w:pStyle w:val="TableParagraph"/>
              <w:ind w:left="208"/>
              <w:rPr>
                <w:b/>
              </w:rPr>
            </w:pPr>
            <w:r w:rsidRPr="00EC20A0">
              <w:rPr>
                <w:b/>
              </w:rPr>
              <w:t>Doc.</w:t>
            </w:r>
            <w:r w:rsidRPr="00EC20A0">
              <w:rPr>
                <w:b/>
                <w:spacing w:val="-5"/>
              </w:rPr>
              <w:t xml:space="preserve"> </w:t>
            </w:r>
            <w:r w:rsidRPr="00EC20A0">
              <w:rPr>
                <w:b/>
                <w:spacing w:val="-4"/>
              </w:rPr>
              <w:t>ref.</w:t>
            </w:r>
          </w:p>
        </w:tc>
      </w:tr>
      <w:tr w:rsidR="00245300" w:rsidRPr="00EC20A0" w14:paraId="24D60E12" w14:textId="77777777">
        <w:trPr>
          <w:trHeight w:val="2565"/>
        </w:trPr>
        <w:tc>
          <w:tcPr>
            <w:tcW w:w="7021" w:type="dxa"/>
            <w:tcBorders>
              <w:left w:val="double" w:sz="4" w:space="0" w:color="000000"/>
              <w:bottom w:val="single" w:sz="4" w:space="0" w:color="000000"/>
              <w:right w:val="single" w:sz="6" w:space="0" w:color="000000"/>
            </w:tcBorders>
          </w:tcPr>
          <w:p w14:paraId="24D60E0F" w14:textId="77777777" w:rsidR="00245300" w:rsidRPr="00EC20A0" w:rsidRDefault="00F17249">
            <w:pPr>
              <w:pStyle w:val="TableParagraph"/>
              <w:spacing w:before="144"/>
              <w:ind w:left="497" w:right="143" w:hanging="360"/>
            </w:pPr>
            <w:r w:rsidRPr="00EC20A0">
              <w:t>4.</w:t>
            </w:r>
            <w:r w:rsidRPr="00EC20A0">
              <w:rPr>
                <w:spacing w:val="80"/>
              </w:rPr>
              <w:t xml:space="preserve"> </w:t>
            </w:r>
            <w:r w:rsidRPr="00EC20A0">
              <w:t>Provide the laws and regulations listing to OGC. Working in collaboration with the auditors, OGC will review and revise the auditor-prepared listing for accuracy and completeness in identifying</w:t>
            </w:r>
            <w:r w:rsidRPr="00EC20A0">
              <w:rPr>
                <w:spacing w:val="-7"/>
              </w:rPr>
              <w:t xml:space="preserve"> </w:t>
            </w:r>
            <w:r w:rsidRPr="00EC20A0">
              <w:t>and</w:t>
            </w:r>
            <w:r w:rsidRPr="00EC20A0">
              <w:rPr>
                <w:spacing w:val="-6"/>
              </w:rPr>
              <w:t xml:space="preserve"> </w:t>
            </w:r>
            <w:r w:rsidRPr="00EC20A0">
              <w:t>describing</w:t>
            </w:r>
            <w:r w:rsidRPr="00EC20A0">
              <w:rPr>
                <w:spacing w:val="-6"/>
              </w:rPr>
              <w:t xml:space="preserve"> </w:t>
            </w:r>
            <w:r w:rsidRPr="00EC20A0">
              <w:t>significant</w:t>
            </w:r>
            <w:r w:rsidRPr="00EC20A0">
              <w:rPr>
                <w:spacing w:val="-7"/>
              </w:rPr>
              <w:t xml:space="preserve"> </w:t>
            </w:r>
            <w:r w:rsidRPr="00EC20A0">
              <w:t>provisions</w:t>
            </w:r>
            <w:r w:rsidRPr="00EC20A0">
              <w:rPr>
                <w:spacing w:val="-6"/>
              </w:rPr>
              <w:t xml:space="preserve"> </w:t>
            </w:r>
            <w:r w:rsidRPr="00EC20A0">
              <w:t>in</w:t>
            </w:r>
            <w:r w:rsidRPr="00EC20A0">
              <w:rPr>
                <w:spacing w:val="-7"/>
              </w:rPr>
              <w:t xml:space="preserve"> </w:t>
            </w:r>
            <w:r w:rsidRPr="00EC20A0">
              <w:t>applicable</w:t>
            </w:r>
            <w:r w:rsidRPr="00EC20A0">
              <w:rPr>
                <w:spacing w:val="-7"/>
              </w:rPr>
              <w:t xml:space="preserve"> </w:t>
            </w:r>
            <w:r w:rsidRPr="00EC20A0">
              <w:t>laws and regulations that could have a direct effect on the determination of material amounts and disclosures in the entity’s financial statements. The auditor makes all determinations regarding</w:t>
            </w:r>
            <w:r w:rsidRPr="00EC20A0">
              <w:rPr>
                <w:spacing w:val="-1"/>
              </w:rPr>
              <w:t xml:space="preserve"> </w:t>
            </w:r>
            <w:r w:rsidRPr="00EC20A0">
              <w:t>materiality.</w:t>
            </w:r>
            <w:r w:rsidRPr="00EC20A0">
              <w:rPr>
                <w:spacing w:val="-1"/>
              </w:rPr>
              <w:t xml:space="preserve"> </w:t>
            </w:r>
            <w:r w:rsidRPr="00EC20A0">
              <w:t>After</w:t>
            </w:r>
            <w:r w:rsidRPr="00EC20A0">
              <w:rPr>
                <w:spacing w:val="-1"/>
              </w:rPr>
              <w:t xml:space="preserve"> </w:t>
            </w:r>
            <w:r w:rsidRPr="00EC20A0">
              <w:t>consulting</w:t>
            </w:r>
            <w:r w:rsidRPr="00EC20A0">
              <w:rPr>
                <w:spacing w:val="-1"/>
              </w:rPr>
              <w:t xml:space="preserve"> </w:t>
            </w:r>
            <w:r w:rsidRPr="00EC20A0">
              <w:t>with</w:t>
            </w:r>
            <w:r w:rsidRPr="00EC20A0">
              <w:rPr>
                <w:spacing w:val="-1"/>
              </w:rPr>
              <w:t xml:space="preserve"> </w:t>
            </w:r>
            <w:r w:rsidRPr="00EC20A0">
              <w:t>OGC, finalize</w:t>
            </w:r>
            <w:r w:rsidRPr="00EC20A0">
              <w:rPr>
                <w:spacing w:val="-2"/>
              </w:rPr>
              <w:t xml:space="preserve"> </w:t>
            </w:r>
            <w:r w:rsidRPr="00EC20A0">
              <w:t>the</w:t>
            </w:r>
            <w:r w:rsidRPr="00EC20A0">
              <w:rPr>
                <w:spacing w:val="-1"/>
              </w:rPr>
              <w:t xml:space="preserve"> </w:t>
            </w:r>
            <w:r w:rsidRPr="00EC20A0">
              <w:t>laws and regulations listing.</w:t>
            </w:r>
          </w:p>
        </w:tc>
        <w:tc>
          <w:tcPr>
            <w:tcW w:w="1080" w:type="dxa"/>
            <w:tcBorders>
              <w:left w:val="single" w:sz="6" w:space="0" w:color="000000"/>
              <w:bottom w:val="single" w:sz="4" w:space="0" w:color="000000"/>
              <w:right w:val="single" w:sz="6" w:space="0" w:color="000000"/>
            </w:tcBorders>
          </w:tcPr>
          <w:p w14:paraId="24D60E10" w14:textId="77777777" w:rsidR="00245300" w:rsidRPr="00EC20A0" w:rsidRDefault="00245300">
            <w:pPr>
              <w:pStyle w:val="TableParagraph"/>
              <w:rPr>
                <w:sz w:val="20"/>
              </w:rPr>
            </w:pPr>
          </w:p>
        </w:tc>
        <w:tc>
          <w:tcPr>
            <w:tcW w:w="1298" w:type="dxa"/>
            <w:tcBorders>
              <w:left w:val="single" w:sz="6" w:space="0" w:color="000000"/>
              <w:bottom w:val="single" w:sz="4" w:space="0" w:color="000000"/>
            </w:tcBorders>
          </w:tcPr>
          <w:p w14:paraId="24D60E11" w14:textId="77777777" w:rsidR="00245300" w:rsidRPr="00EC20A0" w:rsidRDefault="00245300">
            <w:pPr>
              <w:pStyle w:val="TableParagraph"/>
              <w:rPr>
                <w:sz w:val="20"/>
              </w:rPr>
            </w:pPr>
          </w:p>
        </w:tc>
      </w:tr>
      <w:tr w:rsidR="00245300" w:rsidRPr="00EC20A0" w14:paraId="24D60E1A" w14:textId="77777777">
        <w:trPr>
          <w:trHeight w:val="5020"/>
        </w:trPr>
        <w:tc>
          <w:tcPr>
            <w:tcW w:w="7021" w:type="dxa"/>
            <w:tcBorders>
              <w:top w:val="single" w:sz="4" w:space="0" w:color="000000"/>
              <w:left w:val="double" w:sz="4" w:space="0" w:color="000000"/>
              <w:bottom w:val="single" w:sz="4" w:space="0" w:color="000000"/>
              <w:right w:val="single" w:sz="6" w:space="0" w:color="000000"/>
            </w:tcBorders>
          </w:tcPr>
          <w:p w14:paraId="24D60E13" w14:textId="77777777" w:rsidR="00245300" w:rsidRPr="00EC20A0" w:rsidRDefault="00F17249">
            <w:pPr>
              <w:pStyle w:val="TableParagraph"/>
              <w:numPr>
                <w:ilvl w:val="0"/>
                <w:numId w:val="157"/>
              </w:numPr>
              <w:tabs>
                <w:tab w:val="left" w:pos="497"/>
              </w:tabs>
              <w:spacing w:before="144"/>
              <w:ind w:right="408" w:hanging="360"/>
            </w:pPr>
            <w:r w:rsidRPr="00EC20A0">
              <w:t>Determine</w:t>
            </w:r>
            <w:r w:rsidRPr="00EC20A0">
              <w:rPr>
                <w:spacing w:val="-4"/>
              </w:rPr>
              <w:t xml:space="preserve"> </w:t>
            </w:r>
            <w:r w:rsidRPr="00EC20A0">
              <w:t>whether</w:t>
            </w:r>
            <w:r w:rsidRPr="00EC20A0">
              <w:rPr>
                <w:spacing w:val="-5"/>
              </w:rPr>
              <w:t xml:space="preserve"> </w:t>
            </w:r>
            <w:r w:rsidRPr="00EC20A0">
              <w:t>to</w:t>
            </w:r>
            <w:r w:rsidRPr="00EC20A0">
              <w:rPr>
                <w:spacing w:val="-5"/>
              </w:rPr>
              <w:t xml:space="preserve"> </w:t>
            </w:r>
            <w:r w:rsidRPr="00EC20A0">
              <w:t>test</w:t>
            </w:r>
            <w:r w:rsidRPr="00EC20A0">
              <w:rPr>
                <w:spacing w:val="-5"/>
              </w:rPr>
              <w:t xml:space="preserve"> </w:t>
            </w:r>
            <w:r w:rsidRPr="00EC20A0">
              <w:t>compliance</w:t>
            </w:r>
            <w:r w:rsidRPr="00EC20A0">
              <w:rPr>
                <w:spacing w:val="-5"/>
              </w:rPr>
              <w:t xml:space="preserve"> </w:t>
            </w:r>
            <w:r w:rsidRPr="00EC20A0">
              <w:t>with</w:t>
            </w:r>
            <w:r w:rsidRPr="00EC20A0">
              <w:rPr>
                <w:spacing w:val="-5"/>
              </w:rPr>
              <w:t xml:space="preserve"> </w:t>
            </w:r>
            <w:r w:rsidRPr="00EC20A0">
              <w:t>any</w:t>
            </w:r>
            <w:r w:rsidRPr="00EC20A0">
              <w:rPr>
                <w:spacing w:val="-5"/>
              </w:rPr>
              <w:t xml:space="preserve"> </w:t>
            </w:r>
            <w:r w:rsidRPr="00EC20A0">
              <w:t>indirect</w:t>
            </w:r>
            <w:r w:rsidRPr="00EC20A0">
              <w:rPr>
                <w:spacing w:val="-5"/>
              </w:rPr>
              <w:t xml:space="preserve"> </w:t>
            </w:r>
            <w:r w:rsidRPr="00EC20A0">
              <w:t>laws</w:t>
            </w:r>
            <w:r w:rsidRPr="00EC20A0">
              <w:rPr>
                <w:spacing w:val="-5"/>
              </w:rPr>
              <w:t xml:space="preserve"> </w:t>
            </w:r>
            <w:r w:rsidRPr="00EC20A0">
              <w:t>or regulations and perform the procedures, as discussed in</w:t>
            </w:r>
          </w:p>
          <w:p w14:paraId="24D60E14" w14:textId="77777777" w:rsidR="00245300" w:rsidRPr="00EC20A0" w:rsidRDefault="00F17249">
            <w:pPr>
              <w:pStyle w:val="TableParagraph"/>
              <w:ind w:left="497"/>
            </w:pPr>
            <w:r w:rsidRPr="00EC20A0">
              <w:t>FAM</w:t>
            </w:r>
            <w:r w:rsidRPr="00EC20A0">
              <w:rPr>
                <w:spacing w:val="-7"/>
              </w:rPr>
              <w:t xml:space="preserve"> </w:t>
            </w:r>
            <w:r w:rsidRPr="00EC20A0">
              <w:t>245.09</w:t>
            </w:r>
            <w:r w:rsidRPr="00EC20A0">
              <w:rPr>
                <w:spacing w:val="-5"/>
              </w:rPr>
              <w:t xml:space="preserve"> </w:t>
            </w:r>
            <w:r w:rsidRPr="00EC20A0">
              <w:t>through</w:t>
            </w:r>
            <w:r w:rsidRPr="00EC20A0">
              <w:rPr>
                <w:spacing w:val="-6"/>
              </w:rPr>
              <w:t xml:space="preserve"> </w:t>
            </w:r>
            <w:r w:rsidRPr="00EC20A0">
              <w:rPr>
                <w:spacing w:val="-4"/>
              </w:rPr>
              <w:t>.10.</w:t>
            </w:r>
          </w:p>
          <w:p w14:paraId="24D60E15" w14:textId="77777777" w:rsidR="00245300" w:rsidRPr="00EC20A0" w:rsidRDefault="00F17249">
            <w:pPr>
              <w:pStyle w:val="TableParagraph"/>
              <w:numPr>
                <w:ilvl w:val="1"/>
                <w:numId w:val="157"/>
              </w:numPr>
              <w:tabs>
                <w:tab w:val="left" w:pos="929"/>
              </w:tabs>
              <w:spacing w:before="144"/>
              <w:ind w:right="234" w:hanging="360"/>
            </w:pPr>
            <w:r w:rsidRPr="00EC20A0">
              <w:t xml:space="preserve">Inquire of management and, when </w:t>
            </w:r>
            <w:r w:rsidRPr="00EC20A0">
              <w:t>appropriate, those charged</w:t>
            </w:r>
            <w:r w:rsidRPr="00EC20A0">
              <w:rPr>
                <w:spacing w:val="-7"/>
              </w:rPr>
              <w:t xml:space="preserve"> </w:t>
            </w:r>
            <w:r w:rsidRPr="00EC20A0">
              <w:t>with</w:t>
            </w:r>
            <w:r w:rsidRPr="00EC20A0">
              <w:rPr>
                <w:spacing w:val="-7"/>
              </w:rPr>
              <w:t xml:space="preserve"> </w:t>
            </w:r>
            <w:r w:rsidRPr="00EC20A0">
              <w:t>governance</w:t>
            </w:r>
            <w:r w:rsidRPr="00EC20A0">
              <w:rPr>
                <w:spacing w:val="-7"/>
              </w:rPr>
              <w:t xml:space="preserve"> </w:t>
            </w:r>
            <w:r w:rsidRPr="00EC20A0">
              <w:t>regarding</w:t>
            </w:r>
            <w:r w:rsidRPr="00EC20A0">
              <w:rPr>
                <w:spacing w:val="-7"/>
              </w:rPr>
              <w:t xml:space="preserve"> </w:t>
            </w:r>
            <w:r w:rsidRPr="00EC20A0">
              <w:t>policies</w:t>
            </w:r>
            <w:r w:rsidRPr="00EC20A0">
              <w:rPr>
                <w:spacing w:val="-7"/>
              </w:rPr>
              <w:t xml:space="preserve"> </w:t>
            </w:r>
            <w:r w:rsidRPr="00EC20A0">
              <w:t>and</w:t>
            </w:r>
            <w:r w:rsidRPr="00EC20A0">
              <w:rPr>
                <w:spacing w:val="-7"/>
              </w:rPr>
              <w:t xml:space="preserve"> </w:t>
            </w:r>
            <w:r w:rsidRPr="00EC20A0">
              <w:t>procedures that prevent noncompliance and whether they are in compliance with those policies and procedures.</w:t>
            </w:r>
          </w:p>
          <w:p w14:paraId="24D60E16" w14:textId="77777777" w:rsidR="00245300" w:rsidRPr="00EC20A0" w:rsidRDefault="00F17249">
            <w:pPr>
              <w:pStyle w:val="TableParagraph"/>
              <w:numPr>
                <w:ilvl w:val="1"/>
                <w:numId w:val="157"/>
              </w:numPr>
              <w:tabs>
                <w:tab w:val="left" w:pos="929"/>
              </w:tabs>
              <w:spacing w:before="144"/>
              <w:ind w:right="149" w:hanging="360"/>
            </w:pPr>
            <w:r w:rsidRPr="00EC20A0">
              <w:t>Through</w:t>
            </w:r>
            <w:r w:rsidRPr="00EC20A0">
              <w:rPr>
                <w:spacing w:val="-5"/>
              </w:rPr>
              <w:t xml:space="preserve"> </w:t>
            </w:r>
            <w:r w:rsidRPr="00EC20A0">
              <w:t>other</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cycle</w:t>
            </w:r>
            <w:r w:rsidRPr="00EC20A0">
              <w:rPr>
                <w:spacing w:val="-6"/>
              </w:rPr>
              <w:t xml:space="preserve"> </w:t>
            </w:r>
            <w:r w:rsidRPr="00EC20A0">
              <w:t>teams</w:t>
            </w:r>
            <w:r w:rsidRPr="00EC20A0">
              <w:rPr>
                <w:spacing w:val="-5"/>
              </w:rPr>
              <w:t xml:space="preserve"> </w:t>
            </w:r>
            <w:r w:rsidRPr="00EC20A0">
              <w:t xml:space="preserve">perform that are not </w:t>
            </w:r>
            <w:r w:rsidRPr="00EC20A0">
              <w:t>directly designed for compliance, determine whether any issues regarding significant provisions of applicable laws, regulations, contracts, or grant agreements were identified.</w:t>
            </w:r>
          </w:p>
          <w:p w14:paraId="24D60E17" w14:textId="77777777" w:rsidR="00245300" w:rsidRPr="00EC20A0" w:rsidRDefault="00F17249">
            <w:pPr>
              <w:pStyle w:val="TableParagraph"/>
              <w:numPr>
                <w:ilvl w:val="1"/>
                <w:numId w:val="157"/>
              </w:numPr>
              <w:tabs>
                <w:tab w:val="left" w:pos="856"/>
                <w:tab w:val="left" w:pos="929"/>
              </w:tabs>
              <w:spacing w:before="144"/>
              <w:ind w:right="380" w:hanging="360"/>
            </w:pPr>
            <w:r w:rsidRPr="00EC20A0">
              <w:t>Review reports issued by other oversight bodies of the audited</w:t>
            </w:r>
            <w:r w:rsidRPr="00EC20A0">
              <w:rPr>
                <w:spacing w:val="-4"/>
              </w:rPr>
              <w:t xml:space="preserve"> </w:t>
            </w:r>
            <w:r w:rsidRPr="00EC20A0">
              <w:t>entity,</w:t>
            </w:r>
            <w:r w:rsidRPr="00EC20A0">
              <w:rPr>
                <w:spacing w:val="-4"/>
              </w:rPr>
              <w:t xml:space="preserve"> </w:t>
            </w:r>
            <w:r w:rsidRPr="00EC20A0">
              <w:t>such</w:t>
            </w:r>
            <w:r w:rsidRPr="00EC20A0">
              <w:rPr>
                <w:spacing w:val="-4"/>
              </w:rPr>
              <w:t xml:space="preserve"> </w:t>
            </w:r>
            <w:r w:rsidRPr="00EC20A0">
              <w:t>as</w:t>
            </w:r>
            <w:r w:rsidRPr="00EC20A0">
              <w:rPr>
                <w:spacing w:val="-4"/>
              </w:rPr>
              <w:t xml:space="preserve"> </w:t>
            </w:r>
            <w:r w:rsidRPr="00EC20A0">
              <w:t>GAO</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office</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inspector general, for any reported instances of noncompliance and determine if those instances could be material to the financial statements.</w:t>
            </w:r>
          </w:p>
        </w:tc>
        <w:tc>
          <w:tcPr>
            <w:tcW w:w="1080" w:type="dxa"/>
            <w:tcBorders>
              <w:top w:val="single" w:sz="4" w:space="0" w:color="000000"/>
              <w:left w:val="single" w:sz="6" w:space="0" w:color="000000"/>
              <w:bottom w:val="single" w:sz="4" w:space="0" w:color="000000"/>
              <w:right w:val="single" w:sz="6" w:space="0" w:color="000000"/>
            </w:tcBorders>
          </w:tcPr>
          <w:p w14:paraId="24D60E18" w14:textId="77777777" w:rsidR="00245300" w:rsidRPr="00EC20A0" w:rsidRDefault="00245300">
            <w:pPr>
              <w:pStyle w:val="TableParagraph"/>
              <w:rPr>
                <w:sz w:val="20"/>
              </w:rPr>
            </w:pPr>
          </w:p>
        </w:tc>
        <w:tc>
          <w:tcPr>
            <w:tcW w:w="1298" w:type="dxa"/>
            <w:tcBorders>
              <w:top w:val="single" w:sz="4" w:space="0" w:color="000000"/>
              <w:left w:val="single" w:sz="6" w:space="0" w:color="000000"/>
              <w:bottom w:val="single" w:sz="4" w:space="0" w:color="000000"/>
            </w:tcBorders>
          </w:tcPr>
          <w:p w14:paraId="24D60E19" w14:textId="77777777" w:rsidR="00245300" w:rsidRPr="00EC20A0" w:rsidRDefault="00245300">
            <w:pPr>
              <w:pStyle w:val="TableParagraph"/>
              <w:rPr>
                <w:sz w:val="20"/>
              </w:rPr>
            </w:pPr>
          </w:p>
        </w:tc>
      </w:tr>
      <w:tr w:rsidR="00245300" w:rsidRPr="00EC20A0" w14:paraId="24D60E1E" w14:textId="77777777">
        <w:trPr>
          <w:trHeight w:val="1554"/>
        </w:trPr>
        <w:tc>
          <w:tcPr>
            <w:tcW w:w="7021" w:type="dxa"/>
            <w:tcBorders>
              <w:top w:val="single" w:sz="4" w:space="0" w:color="000000"/>
              <w:right w:val="single" w:sz="6" w:space="0" w:color="000000"/>
            </w:tcBorders>
          </w:tcPr>
          <w:p w14:paraId="24D60E1B" w14:textId="77777777" w:rsidR="00245300" w:rsidRPr="00EC20A0" w:rsidRDefault="00F17249">
            <w:pPr>
              <w:pStyle w:val="TableParagraph"/>
              <w:spacing w:before="144"/>
              <w:ind w:left="489" w:right="175" w:hanging="360"/>
              <w:rPr>
                <w:i/>
              </w:rPr>
            </w:pPr>
            <w:r w:rsidRPr="00EC20A0">
              <w:t>6.</w:t>
            </w:r>
            <w:r w:rsidRPr="00EC20A0">
              <w:rPr>
                <w:spacing w:val="80"/>
              </w:rPr>
              <w:t xml:space="preserve"> </w:t>
            </w:r>
            <w:r w:rsidRPr="00EC20A0">
              <w:t xml:space="preserve">For all laws or regulations identified for testing above, identify </w:t>
            </w:r>
            <w:r w:rsidRPr="00EC20A0">
              <w:t>significant provisions using the criteria in FAM 245.06. Test compliance</w:t>
            </w:r>
            <w:r w:rsidRPr="00EC20A0">
              <w:rPr>
                <w:spacing w:val="-6"/>
              </w:rPr>
              <w:t xml:space="preserve"> </w:t>
            </w:r>
            <w:r w:rsidRPr="00EC20A0">
              <w:t>controls</w:t>
            </w:r>
            <w:r w:rsidRPr="00EC20A0">
              <w:rPr>
                <w:spacing w:val="-5"/>
              </w:rPr>
              <w:t xml:space="preserve"> </w:t>
            </w:r>
            <w:r w:rsidRPr="00EC20A0">
              <w:t>and</w:t>
            </w:r>
            <w:r w:rsidRPr="00EC20A0">
              <w:rPr>
                <w:spacing w:val="-6"/>
              </w:rPr>
              <w:t xml:space="preserve"> </w:t>
            </w:r>
            <w:r w:rsidRPr="00EC20A0">
              <w:t>compliance</w:t>
            </w:r>
            <w:r w:rsidRPr="00EC20A0">
              <w:rPr>
                <w:spacing w:val="-6"/>
              </w:rPr>
              <w:t xml:space="preserve"> </w:t>
            </w:r>
            <w:r w:rsidRPr="00EC20A0">
              <w:t>as</w:t>
            </w:r>
            <w:r w:rsidRPr="00EC20A0">
              <w:rPr>
                <w:spacing w:val="-5"/>
              </w:rPr>
              <w:t xml:space="preserve"> </w:t>
            </w:r>
            <w:r w:rsidRPr="00EC20A0">
              <w:t>described</w:t>
            </w:r>
            <w:r w:rsidRPr="00EC20A0">
              <w:rPr>
                <w:spacing w:val="-5"/>
              </w:rPr>
              <w:t xml:space="preserve"> </w:t>
            </w:r>
            <w:r w:rsidRPr="00EC20A0">
              <w:t>in</w:t>
            </w:r>
            <w:r w:rsidRPr="00EC20A0">
              <w:rPr>
                <w:spacing w:val="-5"/>
              </w:rPr>
              <w:t xml:space="preserve"> </w:t>
            </w:r>
            <w:r w:rsidRPr="00EC20A0">
              <w:t>FAM</w:t>
            </w:r>
            <w:r w:rsidRPr="00EC20A0">
              <w:rPr>
                <w:spacing w:val="-5"/>
              </w:rPr>
              <w:t xml:space="preserve"> </w:t>
            </w:r>
            <w:r w:rsidRPr="00EC20A0">
              <w:t xml:space="preserve">300, Internal Control Phase, and FAM 460, Perform Compliance </w:t>
            </w:r>
            <w:r w:rsidRPr="00EC20A0">
              <w:rPr>
                <w:spacing w:val="-2"/>
              </w:rPr>
              <w:t>Tests</w:t>
            </w:r>
            <w:r w:rsidRPr="00EC20A0">
              <w:rPr>
                <w:i/>
                <w:spacing w:val="-2"/>
              </w:rPr>
              <w:t>.</w:t>
            </w:r>
          </w:p>
        </w:tc>
        <w:tc>
          <w:tcPr>
            <w:tcW w:w="1080" w:type="dxa"/>
            <w:tcBorders>
              <w:top w:val="single" w:sz="4" w:space="0" w:color="000000"/>
              <w:left w:val="single" w:sz="6" w:space="0" w:color="000000"/>
              <w:right w:val="single" w:sz="6" w:space="0" w:color="000000"/>
            </w:tcBorders>
          </w:tcPr>
          <w:p w14:paraId="24D60E1C" w14:textId="77777777" w:rsidR="00245300" w:rsidRPr="00EC20A0" w:rsidRDefault="00245300">
            <w:pPr>
              <w:pStyle w:val="TableParagraph"/>
              <w:rPr>
                <w:sz w:val="20"/>
              </w:rPr>
            </w:pPr>
          </w:p>
        </w:tc>
        <w:tc>
          <w:tcPr>
            <w:tcW w:w="1298" w:type="dxa"/>
            <w:tcBorders>
              <w:top w:val="single" w:sz="4" w:space="0" w:color="000000"/>
              <w:left w:val="single" w:sz="6" w:space="0" w:color="000000"/>
            </w:tcBorders>
          </w:tcPr>
          <w:p w14:paraId="24D60E1D" w14:textId="77777777" w:rsidR="00245300" w:rsidRPr="00EC20A0" w:rsidRDefault="00245300">
            <w:pPr>
              <w:pStyle w:val="TableParagraph"/>
              <w:rPr>
                <w:sz w:val="20"/>
              </w:rPr>
            </w:pPr>
          </w:p>
        </w:tc>
      </w:tr>
    </w:tbl>
    <w:p w14:paraId="24D60E1F" w14:textId="77777777" w:rsidR="00245300" w:rsidRPr="00EC20A0" w:rsidRDefault="00245300">
      <w:pPr>
        <w:rPr>
          <w:sz w:val="20"/>
        </w:rPr>
        <w:sectPr w:rsidR="00245300" w:rsidRPr="00EC20A0">
          <w:pgSz w:w="12240" w:h="15840"/>
          <w:pgMar w:top="1340" w:right="1140" w:bottom="940" w:left="1320" w:header="721" w:footer="742" w:gutter="0"/>
          <w:cols w:space="720"/>
        </w:sectPr>
      </w:pPr>
    </w:p>
    <w:p w14:paraId="24D60E20" w14:textId="77777777" w:rsidR="00245300" w:rsidRPr="00EC20A0" w:rsidRDefault="00F17249">
      <w:pPr>
        <w:pStyle w:val="Heading4"/>
        <w:spacing w:before="121"/>
        <w:ind w:left="120"/>
      </w:pPr>
      <w:bookmarkStart w:id="175" w:name="Instructions_for_Compliance_Supplements"/>
      <w:bookmarkEnd w:id="175"/>
      <w:r w:rsidRPr="00EC20A0">
        <w:t>Instructions</w:t>
      </w:r>
      <w:r w:rsidRPr="00EC20A0">
        <w:rPr>
          <w:spacing w:val="-16"/>
        </w:rPr>
        <w:t xml:space="preserve"> </w:t>
      </w:r>
      <w:r w:rsidRPr="00EC20A0">
        <w:t>for</w:t>
      </w:r>
      <w:r w:rsidRPr="00EC20A0">
        <w:rPr>
          <w:spacing w:val="-15"/>
        </w:rPr>
        <w:t xml:space="preserve"> </w:t>
      </w:r>
      <w:r w:rsidRPr="00EC20A0">
        <w:t>Compliance</w:t>
      </w:r>
      <w:r w:rsidRPr="00EC20A0">
        <w:rPr>
          <w:spacing w:val="-15"/>
        </w:rPr>
        <w:t xml:space="preserve"> </w:t>
      </w:r>
      <w:r w:rsidRPr="00EC20A0">
        <w:rPr>
          <w:spacing w:val="-2"/>
        </w:rPr>
        <w:t>Supplements</w:t>
      </w:r>
    </w:p>
    <w:p w14:paraId="24D60E21" w14:textId="77777777" w:rsidR="00245300" w:rsidRPr="00EC20A0" w:rsidRDefault="00F17249">
      <w:pPr>
        <w:pStyle w:val="ListParagraph"/>
        <w:numPr>
          <w:ilvl w:val="0"/>
          <w:numId w:val="8"/>
        </w:numPr>
        <w:tabs>
          <w:tab w:val="left" w:pos="1470"/>
        </w:tabs>
        <w:spacing w:before="144"/>
        <w:ind w:right="1118"/>
      </w:pPr>
      <w:r w:rsidRPr="00EC20A0">
        <w:t>Each compliance supplement in FAM 803 through 811 consists of (1) a compliance</w:t>
      </w:r>
      <w:r w:rsidRPr="00EC20A0">
        <w:rPr>
          <w:spacing w:val="-6"/>
        </w:rPr>
        <w:t xml:space="preserve"> </w:t>
      </w:r>
      <w:r w:rsidRPr="00EC20A0">
        <w:t>summary,</w:t>
      </w:r>
      <w:r w:rsidRPr="00EC20A0">
        <w:rPr>
          <w:spacing w:val="-5"/>
        </w:rPr>
        <w:t xml:space="preserve"> </w:t>
      </w:r>
      <w:r w:rsidRPr="00EC20A0">
        <w:t>(2)</w:t>
      </w:r>
      <w:r w:rsidRPr="00EC20A0">
        <w:rPr>
          <w:spacing w:val="-5"/>
        </w:rPr>
        <w:t xml:space="preserve"> </w:t>
      </w:r>
      <w:r w:rsidRPr="00EC20A0">
        <w:t>compliance</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and</w:t>
      </w:r>
      <w:r w:rsidRPr="00EC20A0">
        <w:rPr>
          <w:spacing w:val="-6"/>
        </w:rPr>
        <w:t xml:space="preserve"> </w:t>
      </w:r>
      <w:r w:rsidRPr="00EC20A0">
        <w:t>(3)</w:t>
      </w:r>
      <w:r w:rsidRPr="00EC20A0">
        <w:rPr>
          <w:spacing w:val="-5"/>
        </w:rPr>
        <w:t xml:space="preserve"> </w:t>
      </w:r>
      <w:r w:rsidRPr="00EC20A0">
        <w:t>footnotes.</w:t>
      </w:r>
    </w:p>
    <w:p w14:paraId="24D60E22" w14:textId="77777777" w:rsidR="00245300" w:rsidRPr="00EC20A0" w:rsidRDefault="00F17249">
      <w:pPr>
        <w:pStyle w:val="Heading5"/>
        <w:spacing w:before="144"/>
        <w:ind w:left="840"/>
        <w:rPr>
          <w:u w:val="none"/>
        </w:rPr>
      </w:pPr>
      <w:bookmarkStart w:id="176" w:name="Compliance_Summary"/>
      <w:bookmarkEnd w:id="176"/>
      <w:r w:rsidRPr="00EC20A0">
        <w:t>Compliance</w:t>
      </w:r>
      <w:r w:rsidRPr="00EC20A0">
        <w:rPr>
          <w:spacing w:val="-6"/>
        </w:rPr>
        <w:t xml:space="preserve"> </w:t>
      </w:r>
      <w:r w:rsidRPr="00EC20A0">
        <w:rPr>
          <w:spacing w:val="-2"/>
        </w:rPr>
        <w:t>Summary</w:t>
      </w:r>
    </w:p>
    <w:p w14:paraId="24D60E23" w14:textId="77777777" w:rsidR="00245300" w:rsidRPr="00EC20A0" w:rsidRDefault="00F17249">
      <w:pPr>
        <w:pStyle w:val="ListParagraph"/>
        <w:numPr>
          <w:ilvl w:val="0"/>
          <w:numId w:val="8"/>
        </w:numPr>
        <w:tabs>
          <w:tab w:val="left" w:pos="1470"/>
        </w:tabs>
        <w:spacing w:before="144"/>
        <w:ind w:right="298"/>
      </w:pPr>
      <w:r w:rsidRPr="00EC20A0">
        <w:t xml:space="preserve">For each law identified for compliance testing on the General Compliance Checklist, the auditor should </w:t>
      </w:r>
      <w:r w:rsidRPr="00EC20A0">
        <w:t>complete the related compliance summary or</w:t>
      </w:r>
      <w:r w:rsidRPr="00EC20A0">
        <w:rPr>
          <w:spacing w:val="40"/>
        </w:rPr>
        <w:t xml:space="preserve"> </w:t>
      </w:r>
      <w:r w:rsidRPr="00EC20A0">
        <w:t>prepare</w:t>
      </w:r>
      <w:r w:rsidRPr="00EC20A0">
        <w:rPr>
          <w:spacing w:val="-5"/>
        </w:rPr>
        <w:t xml:space="preserve"> </w:t>
      </w:r>
      <w:r w:rsidRPr="00EC20A0">
        <w:t>equivalent</w:t>
      </w:r>
      <w:r w:rsidRPr="00EC20A0">
        <w:rPr>
          <w:spacing w:val="-5"/>
        </w:rPr>
        <w:t xml:space="preserve"> </w:t>
      </w:r>
      <w:r w:rsidRPr="00EC20A0">
        <w:t>documentation.</w:t>
      </w:r>
      <w:r w:rsidRPr="00EC20A0">
        <w:rPr>
          <w:spacing w:val="-5"/>
        </w:rPr>
        <w:t xml:space="preserve"> </w:t>
      </w:r>
      <w:r w:rsidRPr="00EC20A0">
        <w:t>The</w:t>
      </w:r>
      <w:r w:rsidRPr="00EC20A0">
        <w:rPr>
          <w:spacing w:val="-5"/>
        </w:rPr>
        <w:t xml:space="preserve"> </w:t>
      </w:r>
      <w:r w:rsidRPr="00EC20A0">
        <w:t>compliance</w:t>
      </w:r>
      <w:r w:rsidRPr="00EC20A0">
        <w:rPr>
          <w:spacing w:val="-5"/>
        </w:rPr>
        <w:t xml:space="preserve"> </w:t>
      </w:r>
      <w:r w:rsidRPr="00EC20A0">
        <w:t>summary</w:t>
      </w:r>
      <w:r w:rsidRPr="00EC20A0">
        <w:rPr>
          <w:spacing w:val="-5"/>
        </w:rPr>
        <w:t xml:space="preserve"> </w:t>
      </w:r>
      <w:r w:rsidRPr="00EC20A0">
        <w:t>is</w:t>
      </w:r>
      <w:r w:rsidRPr="00EC20A0">
        <w:rPr>
          <w:spacing w:val="-5"/>
        </w:rPr>
        <w:t xml:space="preserve"> </w:t>
      </w:r>
      <w:r w:rsidRPr="00EC20A0">
        <w:t>designed</w:t>
      </w:r>
      <w:r w:rsidRPr="00EC20A0">
        <w:rPr>
          <w:spacing w:val="-6"/>
        </w:rPr>
        <w:t xml:space="preserve"> </w:t>
      </w:r>
      <w:r w:rsidRPr="00EC20A0">
        <w:t>to</w:t>
      </w:r>
      <w:r w:rsidRPr="00EC20A0">
        <w:rPr>
          <w:spacing w:val="-5"/>
        </w:rPr>
        <w:t xml:space="preserve"> </w:t>
      </w:r>
      <w:r w:rsidRPr="00EC20A0">
        <w:t xml:space="preserve">assist the auditor in planning compliance control tests and summarizing the results of compliance control tests and compliance tests for reporting the results of the work </w:t>
      </w:r>
      <w:r w:rsidRPr="00EC20A0">
        <w:rPr>
          <w:spacing w:val="-2"/>
        </w:rPr>
        <w:t>performed.</w:t>
      </w:r>
    </w:p>
    <w:p w14:paraId="24D60E24" w14:textId="77777777" w:rsidR="00245300" w:rsidRPr="00EC20A0" w:rsidRDefault="00F17249">
      <w:pPr>
        <w:pStyle w:val="ListParagraph"/>
        <w:numPr>
          <w:ilvl w:val="0"/>
          <w:numId w:val="156"/>
        </w:numPr>
        <w:tabs>
          <w:tab w:val="left" w:pos="1470"/>
        </w:tabs>
        <w:spacing w:before="144"/>
        <w:ind w:right="726"/>
      </w:pPr>
      <w:r w:rsidRPr="00EC20A0">
        <w:t>The first column of the compliance summary contains a descriptive title of the provision,</w:t>
      </w:r>
      <w:r w:rsidRPr="00EC20A0">
        <w:rPr>
          <w:spacing w:val="-5"/>
        </w:rPr>
        <w:t xml:space="preserve"> </w:t>
      </w:r>
      <w:r w:rsidRPr="00EC20A0">
        <w:t>an</w:t>
      </w:r>
      <w:r w:rsidRPr="00EC20A0">
        <w:rPr>
          <w:spacing w:val="-4"/>
        </w:rPr>
        <w:t xml:space="preserve"> </w:t>
      </w:r>
      <w:r w:rsidRPr="00EC20A0">
        <w:t>identification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type</w:t>
      </w:r>
      <w:r w:rsidRPr="00EC20A0">
        <w:rPr>
          <w:spacing w:val="-4"/>
        </w:rPr>
        <w:t xml:space="preserve"> </w:t>
      </w:r>
      <w:r w:rsidRPr="00EC20A0">
        <w:t>of</w:t>
      </w:r>
      <w:r w:rsidRPr="00EC20A0">
        <w:rPr>
          <w:spacing w:val="-4"/>
        </w:rPr>
        <w:t xml:space="preserve"> </w:t>
      </w:r>
      <w:r w:rsidRPr="00EC20A0">
        <w:t>provision,</w:t>
      </w:r>
      <w:r w:rsidRPr="00EC20A0">
        <w:rPr>
          <w:spacing w:val="-4"/>
        </w:rPr>
        <w:t xml:space="preserve"> </w:t>
      </w:r>
      <w:r w:rsidRPr="00EC20A0">
        <w:t>a</w:t>
      </w:r>
      <w:r w:rsidRPr="00EC20A0">
        <w:rPr>
          <w:spacing w:val="-4"/>
        </w:rPr>
        <w:t xml:space="preserve"> </w:t>
      </w:r>
      <w:r w:rsidRPr="00EC20A0">
        <w:t>description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specific provisions of the law that have been identified for compliance testing, and the legal reference(s) to the provision of law.</w:t>
      </w:r>
    </w:p>
    <w:p w14:paraId="24D60E25" w14:textId="77777777" w:rsidR="00245300" w:rsidRPr="00EC20A0" w:rsidRDefault="00F17249">
      <w:pPr>
        <w:pStyle w:val="ListParagraph"/>
        <w:numPr>
          <w:ilvl w:val="0"/>
          <w:numId w:val="156"/>
        </w:numPr>
        <w:tabs>
          <w:tab w:val="left" w:pos="1470"/>
        </w:tabs>
        <w:spacing w:before="144"/>
        <w:ind w:right="481"/>
      </w:pPr>
      <w:r w:rsidRPr="00EC20A0">
        <w:t>The</w:t>
      </w:r>
      <w:r w:rsidRPr="00EC20A0">
        <w:rPr>
          <w:spacing w:val="-4"/>
        </w:rPr>
        <w:t xml:space="preserve"> </w:t>
      </w:r>
      <w:r w:rsidRPr="00EC20A0">
        <w:t>second</w:t>
      </w:r>
      <w:r w:rsidRPr="00EC20A0">
        <w:rPr>
          <w:spacing w:val="-5"/>
        </w:rPr>
        <w:t xml:space="preserve"> </w:t>
      </w:r>
      <w:r w:rsidRPr="00EC20A0">
        <w:t>column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compliance</w:t>
      </w:r>
      <w:r w:rsidRPr="00EC20A0">
        <w:rPr>
          <w:spacing w:val="-4"/>
        </w:rPr>
        <w:t xml:space="preserve"> </w:t>
      </w:r>
      <w:r w:rsidRPr="00EC20A0">
        <w:t>summary</w:t>
      </w:r>
      <w:r w:rsidRPr="00EC20A0">
        <w:rPr>
          <w:spacing w:val="-3"/>
        </w:rPr>
        <w:t xml:space="preserve"> </w:t>
      </w:r>
      <w:r w:rsidRPr="00EC20A0">
        <w:t>contains</w:t>
      </w:r>
      <w:r w:rsidRPr="00EC20A0">
        <w:rPr>
          <w:spacing w:val="-4"/>
        </w:rPr>
        <w:t xml:space="preserve"> </w:t>
      </w:r>
      <w:r w:rsidRPr="00EC20A0">
        <w:t>the</w:t>
      </w:r>
      <w:r w:rsidRPr="00EC20A0">
        <w:rPr>
          <w:spacing w:val="-5"/>
        </w:rPr>
        <w:t xml:space="preserve"> </w:t>
      </w:r>
      <w:r w:rsidRPr="00EC20A0">
        <w:t>objective</w:t>
      </w:r>
      <w:r w:rsidRPr="00EC20A0">
        <w:rPr>
          <w:spacing w:val="-4"/>
        </w:rPr>
        <w:t xml:space="preserve"> </w:t>
      </w:r>
      <w:r w:rsidRPr="00EC20A0">
        <w:t>related</w:t>
      </w:r>
      <w:r w:rsidRPr="00EC20A0">
        <w:rPr>
          <w:spacing w:val="-4"/>
        </w:rPr>
        <w:t xml:space="preserve"> </w:t>
      </w:r>
      <w:r w:rsidRPr="00EC20A0">
        <w:t xml:space="preserve">to the specific provision to be used for both compliance control and compliance </w:t>
      </w:r>
      <w:r w:rsidRPr="00EC20A0">
        <w:rPr>
          <w:spacing w:val="-2"/>
        </w:rPr>
        <w:t>testing.</w:t>
      </w:r>
    </w:p>
    <w:p w14:paraId="24D60E26" w14:textId="77777777" w:rsidR="00245300" w:rsidRPr="00EC20A0" w:rsidRDefault="00F17249">
      <w:pPr>
        <w:pStyle w:val="ListParagraph"/>
        <w:numPr>
          <w:ilvl w:val="0"/>
          <w:numId w:val="156"/>
        </w:numPr>
        <w:tabs>
          <w:tab w:val="left" w:pos="1470"/>
        </w:tabs>
        <w:spacing w:before="144"/>
        <w:ind w:right="322"/>
      </w:pPr>
      <w:r w:rsidRPr="00EC20A0">
        <w:t>In the third column of the compliance summary, the auditor should identify the control activities that the entity has in place to achieve each objective and document the control activity. If the entity does not have a control activity that achieves</w:t>
      </w:r>
      <w:r w:rsidRPr="00EC20A0">
        <w:rPr>
          <w:spacing w:val="-4"/>
        </w:rPr>
        <w:t xml:space="preserve"> </w:t>
      </w:r>
      <w:r w:rsidRPr="00EC20A0">
        <w:t>the</w:t>
      </w:r>
      <w:r w:rsidRPr="00EC20A0">
        <w:rPr>
          <w:spacing w:val="-4"/>
        </w:rPr>
        <w:t xml:space="preserve"> </w:t>
      </w:r>
      <w:r w:rsidRPr="00EC20A0">
        <w:t>objective,</w:t>
      </w:r>
      <w:r w:rsidRPr="00EC20A0">
        <w:rPr>
          <w:spacing w:val="-4"/>
        </w:rPr>
        <w:t xml:space="preserve"> </w:t>
      </w:r>
      <w:r w:rsidRPr="00EC20A0">
        <w:t>then</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document</w:t>
      </w:r>
      <w:r w:rsidRPr="00EC20A0">
        <w:rPr>
          <w:spacing w:val="-4"/>
        </w:rPr>
        <w:t xml:space="preserve"> </w:t>
      </w:r>
      <w:r w:rsidRPr="00EC20A0">
        <w:t>this</w:t>
      </w:r>
      <w:r w:rsidRPr="00EC20A0">
        <w:rPr>
          <w:spacing w:val="-4"/>
        </w:rPr>
        <w:t xml:space="preserve"> </w:t>
      </w:r>
      <w:r w:rsidRPr="00EC20A0">
        <w:t>condition</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 xml:space="preserve">third </w:t>
      </w:r>
      <w:r w:rsidRPr="00EC20A0">
        <w:rPr>
          <w:spacing w:val="-2"/>
        </w:rPr>
        <w:t>column.</w:t>
      </w:r>
    </w:p>
    <w:p w14:paraId="24D60E27" w14:textId="77777777" w:rsidR="00245300" w:rsidRPr="00EC20A0" w:rsidRDefault="00F17249">
      <w:pPr>
        <w:pStyle w:val="ListParagraph"/>
        <w:numPr>
          <w:ilvl w:val="0"/>
          <w:numId w:val="156"/>
        </w:numPr>
        <w:tabs>
          <w:tab w:val="left" w:pos="1470"/>
        </w:tabs>
        <w:spacing w:before="143"/>
        <w:ind w:right="356" w:hanging="720"/>
      </w:pPr>
      <w:r w:rsidRPr="00EC20A0">
        <w:t xml:space="preserve">The fourth column of the compliance summary is used to </w:t>
      </w:r>
      <w:r w:rsidRPr="00EC20A0">
        <w:t>indicate (Yes or No) whether the control activity is related to information systems (IS), as described in FAM 295 F. IS controls are those whose effectiveness depends on information system</w:t>
      </w:r>
      <w:r w:rsidRPr="00EC20A0">
        <w:rPr>
          <w:spacing w:val="-5"/>
        </w:rPr>
        <w:t xml:space="preserve"> </w:t>
      </w:r>
      <w:r w:rsidRPr="00EC20A0">
        <w:t>processing.</w:t>
      </w:r>
      <w:r w:rsidRPr="00EC20A0">
        <w:rPr>
          <w:spacing w:val="-4"/>
        </w:rPr>
        <w:t xml:space="preserve"> </w:t>
      </w:r>
      <w:r w:rsidRPr="00EC20A0">
        <w:t>They</w:t>
      </w:r>
      <w:r w:rsidRPr="00EC20A0">
        <w:rPr>
          <w:spacing w:val="-4"/>
        </w:rPr>
        <w:t xml:space="preserve"> </w:t>
      </w:r>
      <w:r w:rsidRPr="00EC20A0">
        <w:t>can</w:t>
      </w:r>
      <w:r w:rsidRPr="00EC20A0">
        <w:rPr>
          <w:spacing w:val="-4"/>
        </w:rPr>
        <w:t xml:space="preserve"> </w:t>
      </w:r>
      <w:r w:rsidRPr="00EC20A0">
        <w:t>generally</w:t>
      </w:r>
      <w:r w:rsidRPr="00EC20A0">
        <w:rPr>
          <w:spacing w:val="-4"/>
        </w:rPr>
        <w:t xml:space="preserve"> </w:t>
      </w:r>
      <w:r w:rsidRPr="00EC20A0">
        <w:t>be</w:t>
      </w:r>
      <w:r w:rsidRPr="00EC20A0">
        <w:rPr>
          <w:spacing w:val="-4"/>
        </w:rPr>
        <w:t xml:space="preserve"> </w:t>
      </w:r>
      <w:r w:rsidRPr="00EC20A0">
        <w:t>classified</w:t>
      </w:r>
      <w:r w:rsidRPr="00EC20A0">
        <w:rPr>
          <w:spacing w:val="-4"/>
        </w:rPr>
        <w:t xml:space="preserve"> </w:t>
      </w:r>
      <w:r w:rsidRPr="00EC20A0">
        <w:t>into</w:t>
      </w:r>
      <w:r w:rsidRPr="00EC20A0">
        <w:rPr>
          <w:spacing w:val="-4"/>
        </w:rPr>
        <w:t xml:space="preserve"> </w:t>
      </w:r>
      <w:r w:rsidRPr="00EC20A0">
        <w:t>general,</w:t>
      </w:r>
      <w:r w:rsidRPr="00EC20A0">
        <w:rPr>
          <w:spacing w:val="-4"/>
        </w:rPr>
        <w:t xml:space="preserve"> </w:t>
      </w:r>
      <w:r w:rsidRPr="00EC20A0">
        <w:t>application,</w:t>
      </w:r>
      <w:r w:rsidRPr="00EC20A0">
        <w:rPr>
          <w:spacing w:val="-4"/>
        </w:rPr>
        <w:t xml:space="preserve"> </w:t>
      </w:r>
      <w:r w:rsidRPr="00EC20A0">
        <w:t xml:space="preserve">and user controls. Due to the technical nature of many IS controls, the auditor generally should obtain assistance from an IS controls auditor in assessing these </w:t>
      </w:r>
      <w:r w:rsidRPr="00EC20A0">
        <w:rPr>
          <w:spacing w:val="-2"/>
        </w:rPr>
        <w:t>controls.</w:t>
      </w:r>
    </w:p>
    <w:p w14:paraId="24D60E28" w14:textId="77777777" w:rsidR="00245300" w:rsidRPr="00EC20A0" w:rsidRDefault="00F17249">
      <w:pPr>
        <w:pStyle w:val="ListParagraph"/>
        <w:numPr>
          <w:ilvl w:val="0"/>
          <w:numId w:val="156"/>
        </w:numPr>
        <w:tabs>
          <w:tab w:val="left" w:pos="1471"/>
        </w:tabs>
        <w:spacing w:before="145"/>
        <w:ind w:left="1471" w:right="321" w:hanging="720"/>
      </w:pPr>
      <w:r w:rsidRPr="00EC20A0">
        <w:t>The fifth column of the compliance summary indicates whether the auditor believes that compliance controls are effective (Yes or No). The auditor should design control tests to determine whether the control activities that have been identified in the third column are in place and operating effectively. A control activity</w:t>
      </w:r>
      <w:r w:rsidRPr="00EC20A0">
        <w:rPr>
          <w:spacing w:val="-3"/>
        </w:rPr>
        <w:t xml:space="preserve"> </w:t>
      </w:r>
      <w:r w:rsidRPr="00EC20A0">
        <w:t>is</w:t>
      </w:r>
      <w:r w:rsidRPr="00EC20A0">
        <w:rPr>
          <w:spacing w:val="-4"/>
        </w:rPr>
        <w:t xml:space="preserve"> </w:t>
      </w:r>
      <w:r w:rsidRPr="00EC20A0">
        <w:t>considered</w:t>
      </w:r>
      <w:r w:rsidRPr="00EC20A0">
        <w:rPr>
          <w:spacing w:val="-3"/>
        </w:rPr>
        <w:t xml:space="preserve"> </w:t>
      </w:r>
      <w:r w:rsidRPr="00EC20A0">
        <w:t>to</w:t>
      </w:r>
      <w:r w:rsidRPr="00EC20A0">
        <w:rPr>
          <w:spacing w:val="-4"/>
        </w:rPr>
        <w:t xml:space="preserve"> </w:t>
      </w:r>
      <w:r w:rsidRPr="00EC20A0">
        <w:t>be</w:t>
      </w:r>
      <w:r w:rsidRPr="00EC20A0">
        <w:rPr>
          <w:spacing w:val="-3"/>
        </w:rPr>
        <w:t xml:space="preserve"> </w:t>
      </w:r>
      <w:r w:rsidRPr="00EC20A0">
        <w:t>effective</w:t>
      </w:r>
      <w:r w:rsidRPr="00EC20A0">
        <w:rPr>
          <w:spacing w:val="-4"/>
        </w:rPr>
        <w:t xml:space="preserve"> </w:t>
      </w:r>
      <w:r w:rsidRPr="00EC20A0">
        <w:t>if</w:t>
      </w:r>
      <w:r w:rsidRPr="00EC20A0">
        <w:rPr>
          <w:spacing w:val="-3"/>
        </w:rPr>
        <w:t xml:space="preserve"> </w:t>
      </w:r>
      <w:r w:rsidRPr="00EC20A0">
        <w:t>it</w:t>
      </w:r>
      <w:r w:rsidRPr="00EC20A0">
        <w:rPr>
          <w:spacing w:val="-3"/>
        </w:rPr>
        <w:t xml:space="preserve"> </w:t>
      </w:r>
      <w:r w:rsidRPr="00EC20A0">
        <w:t>achieves</w:t>
      </w:r>
      <w:r w:rsidRPr="00EC20A0">
        <w:rPr>
          <w:spacing w:val="-4"/>
        </w:rPr>
        <w:t xml:space="preserve"> </w:t>
      </w:r>
      <w:r w:rsidRPr="00EC20A0">
        <w:t>the</w:t>
      </w:r>
      <w:r w:rsidRPr="00EC20A0">
        <w:rPr>
          <w:spacing w:val="-3"/>
        </w:rPr>
        <w:t xml:space="preserve"> </w:t>
      </w:r>
      <w:r w:rsidRPr="00EC20A0">
        <w:t>control</w:t>
      </w:r>
      <w:r w:rsidRPr="00EC20A0">
        <w:rPr>
          <w:spacing w:val="-4"/>
        </w:rPr>
        <w:t xml:space="preserve"> </w:t>
      </w:r>
      <w:r w:rsidRPr="00EC20A0">
        <w:t>objective.</w:t>
      </w:r>
      <w:r w:rsidRPr="00EC20A0">
        <w:rPr>
          <w:spacing w:val="-3"/>
        </w:rPr>
        <w:t xml:space="preserve"> </w:t>
      </w:r>
      <w:r w:rsidRPr="00EC20A0">
        <w:t>The</w:t>
      </w:r>
      <w:r w:rsidRPr="00EC20A0">
        <w:rPr>
          <w:spacing w:val="-3"/>
        </w:rPr>
        <w:t xml:space="preserve"> </w:t>
      </w:r>
      <w:r w:rsidRPr="00EC20A0">
        <w:t>auditor should provide a reference in the fifth column to the supporting documents of the control testing procedures, the control tests, the results of these tests, and the auditor’s conclusions on the effectiveness of the compliance controls.</w:t>
      </w:r>
    </w:p>
    <w:p w14:paraId="24D60E29" w14:textId="77777777" w:rsidR="00245300" w:rsidRPr="00EC20A0" w:rsidRDefault="00F17249">
      <w:pPr>
        <w:pStyle w:val="ListParagraph"/>
        <w:numPr>
          <w:ilvl w:val="0"/>
          <w:numId w:val="156"/>
        </w:numPr>
        <w:tabs>
          <w:tab w:val="left" w:pos="1471"/>
        </w:tabs>
        <w:spacing w:before="145"/>
        <w:ind w:left="1471" w:right="334"/>
      </w:pPr>
      <w:r w:rsidRPr="00EC20A0">
        <w:t>The sixth column of the compliance summary indicates whether the auditor has noted any instances of noncompliance (Yes or No). The auditor should perform compliance</w:t>
      </w:r>
      <w:r w:rsidRPr="00EC20A0">
        <w:rPr>
          <w:spacing w:val="-6"/>
        </w:rPr>
        <w:t xml:space="preserve"> </w:t>
      </w:r>
      <w:r w:rsidRPr="00EC20A0">
        <w:t>tests</w:t>
      </w:r>
      <w:r w:rsidRPr="00EC20A0">
        <w:rPr>
          <w:spacing w:val="-5"/>
        </w:rPr>
        <w:t xml:space="preserve"> </w:t>
      </w:r>
      <w:r w:rsidRPr="00EC20A0">
        <w:t>using</w:t>
      </w:r>
      <w:r w:rsidRPr="00EC20A0">
        <w:rPr>
          <w:spacing w:val="-5"/>
        </w:rPr>
        <w:t xml:space="preserve"> </w:t>
      </w:r>
      <w:r w:rsidRPr="00EC20A0">
        <w:t>the</w:t>
      </w:r>
      <w:r w:rsidRPr="00EC20A0">
        <w:rPr>
          <w:spacing w:val="-5"/>
        </w:rPr>
        <w:t xml:space="preserve"> </w:t>
      </w:r>
      <w:r w:rsidRPr="00EC20A0">
        <w:t>related</w:t>
      </w:r>
      <w:r w:rsidRPr="00EC20A0">
        <w:rPr>
          <w:spacing w:val="-5"/>
        </w:rPr>
        <w:t xml:space="preserve"> </w:t>
      </w:r>
      <w:r w:rsidRPr="00EC20A0">
        <w:t>Compliance</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discussed</w:t>
      </w:r>
      <w:r w:rsidRPr="00EC20A0">
        <w:rPr>
          <w:spacing w:val="-5"/>
        </w:rPr>
        <w:t xml:space="preserve"> </w:t>
      </w:r>
      <w:r w:rsidRPr="00EC20A0">
        <w:t>below or prepare equivalent documentation. In this column, the auditor should also refer to the supporting documents for the results of the compliance tests.</w:t>
      </w:r>
    </w:p>
    <w:p w14:paraId="24D60E2A" w14:textId="77777777" w:rsidR="00245300" w:rsidRPr="00EC20A0" w:rsidRDefault="00245300">
      <w:pPr>
        <w:sectPr w:rsidR="00245300" w:rsidRPr="00EC20A0">
          <w:pgSz w:w="12240" w:h="15840"/>
          <w:pgMar w:top="1340" w:right="1140" w:bottom="940" w:left="1320" w:header="721" w:footer="742" w:gutter="0"/>
          <w:cols w:space="720"/>
        </w:sectPr>
      </w:pPr>
    </w:p>
    <w:p w14:paraId="24D60E2B" w14:textId="77777777" w:rsidR="00245300" w:rsidRPr="00EC20A0" w:rsidRDefault="00F17249">
      <w:pPr>
        <w:pStyle w:val="Heading5"/>
        <w:spacing w:before="121"/>
        <w:ind w:left="840"/>
        <w:rPr>
          <w:u w:val="none"/>
        </w:rPr>
      </w:pPr>
      <w:bookmarkStart w:id="177" w:name="Compliance_Audit_Procedures"/>
      <w:bookmarkEnd w:id="177"/>
      <w:r w:rsidRPr="00EC20A0">
        <w:t>Compliance</w:t>
      </w:r>
      <w:r w:rsidRPr="00EC20A0">
        <w:rPr>
          <w:spacing w:val="-5"/>
        </w:rPr>
        <w:t xml:space="preserve"> </w:t>
      </w:r>
      <w:r w:rsidRPr="00EC20A0">
        <w:t>Audit</w:t>
      </w:r>
      <w:r w:rsidRPr="00EC20A0">
        <w:rPr>
          <w:spacing w:val="-4"/>
        </w:rPr>
        <w:t xml:space="preserve"> </w:t>
      </w:r>
      <w:r w:rsidRPr="00EC20A0">
        <w:rPr>
          <w:spacing w:val="-2"/>
        </w:rPr>
        <w:t>Procedures</w:t>
      </w:r>
    </w:p>
    <w:p w14:paraId="24D60E2C" w14:textId="77777777" w:rsidR="00245300" w:rsidRPr="00EC20A0" w:rsidRDefault="00F17249">
      <w:pPr>
        <w:pStyle w:val="ListParagraph"/>
        <w:numPr>
          <w:ilvl w:val="0"/>
          <w:numId w:val="156"/>
        </w:numPr>
        <w:tabs>
          <w:tab w:val="left" w:pos="1469"/>
        </w:tabs>
        <w:spacing w:before="144"/>
        <w:ind w:left="1469" w:right="360" w:hanging="720"/>
      </w:pPr>
      <w:r w:rsidRPr="00EC20A0">
        <w:t xml:space="preserve">Compliance audit procedures are </w:t>
      </w:r>
      <w:r w:rsidRPr="00EC20A0">
        <w:t>provided for each law. For each law identified for</w:t>
      </w:r>
      <w:r w:rsidRPr="00EC20A0">
        <w:rPr>
          <w:spacing w:val="-4"/>
        </w:rPr>
        <w:t xml:space="preserve"> </w:t>
      </w:r>
      <w:r w:rsidRPr="00EC20A0">
        <w:t>compliance</w:t>
      </w:r>
      <w:r w:rsidRPr="00EC20A0">
        <w:rPr>
          <w:spacing w:val="-4"/>
        </w:rPr>
        <w:t xml:space="preserve"> </w:t>
      </w:r>
      <w:r w:rsidRPr="00EC20A0">
        <w:t>testing</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General</w:t>
      </w:r>
      <w:r w:rsidRPr="00EC20A0">
        <w:rPr>
          <w:spacing w:val="-4"/>
        </w:rPr>
        <w:t xml:space="preserve"> </w:t>
      </w:r>
      <w:r w:rsidRPr="00EC20A0">
        <w:t>Compliance</w:t>
      </w:r>
      <w:r w:rsidRPr="00EC20A0">
        <w:rPr>
          <w:spacing w:val="-4"/>
        </w:rPr>
        <w:t xml:space="preserve"> </w:t>
      </w:r>
      <w:r w:rsidRPr="00EC20A0">
        <w:t>Checklist,</w:t>
      </w:r>
      <w:r w:rsidRPr="00EC20A0">
        <w:rPr>
          <w:spacing w:val="-4"/>
        </w:rPr>
        <w:t xml:space="preserve"> </w:t>
      </w:r>
      <w:r w:rsidRPr="00EC20A0">
        <w:t>the</w:t>
      </w:r>
      <w:r w:rsidRPr="00EC20A0">
        <w:rPr>
          <w:spacing w:val="-4"/>
        </w:rPr>
        <w:t xml:space="preserve"> </w:t>
      </w:r>
      <w:r w:rsidRPr="00EC20A0">
        <w:t>auditor</w:t>
      </w:r>
      <w:r w:rsidRPr="00EC20A0">
        <w:rPr>
          <w:spacing w:val="-6"/>
        </w:rPr>
        <w:t xml:space="preserve"> </w:t>
      </w:r>
      <w:r w:rsidRPr="00EC20A0">
        <w:t>generally should perform each step of the related compliance audit procedures in the first column.</w:t>
      </w:r>
      <w:r w:rsidRPr="00EC20A0">
        <w:rPr>
          <w:spacing w:val="-2"/>
        </w:rPr>
        <w:t xml:space="preserve"> </w:t>
      </w:r>
      <w:r w:rsidRPr="00EC20A0">
        <w:t>Because</w:t>
      </w:r>
      <w:r w:rsidRPr="00EC20A0">
        <w:rPr>
          <w:spacing w:val="-2"/>
        </w:rPr>
        <w:t xml:space="preserve"> </w:t>
      </w:r>
      <w:r w:rsidRPr="00EC20A0">
        <w:t>the</w:t>
      </w:r>
      <w:r w:rsidRPr="00EC20A0">
        <w:rPr>
          <w:spacing w:val="-2"/>
        </w:rPr>
        <w:t xml:space="preserve"> </w:t>
      </w:r>
      <w:r w:rsidRPr="00EC20A0">
        <w:t>subject</w:t>
      </w:r>
      <w:r w:rsidRPr="00EC20A0">
        <w:rPr>
          <w:spacing w:val="-2"/>
        </w:rPr>
        <w:t xml:space="preserve"> </w:t>
      </w:r>
      <w:r w:rsidRPr="00EC20A0">
        <w:t>matter</w:t>
      </w:r>
      <w:r w:rsidRPr="00EC20A0">
        <w:rPr>
          <w:spacing w:val="-2"/>
        </w:rPr>
        <w:t xml:space="preserve"> </w:t>
      </w:r>
      <w:r w:rsidRPr="00EC20A0">
        <w:t>of</w:t>
      </w:r>
      <w:r w:rsidRPr="00EC20A0">
        <w:rPr>
          <w:spacing w:val="-2"/>
        </w:rPr>
        <w:t xml:space="preserve"> </w:t>
      </w:r>
      <w:r w:rsidRPr="00EC20A0">
        <w:t>some</w:t>
      </w:r>
      <w:r w:rsidRPr="00EC20A0">
        <w:rPr>
          <w:spacing w:val="-2"/>
        </w:rPr>
        <w:t xml:space="preserve"> </w:t>
      </w:r>
      <w:r w:rsidRPr="00EC20A0">
        <w:t>laws</w:t>
      </w:r>
      <w:r w:rsidRPr="00EC20A0">
        <w:rPr>
          <w:spacing w:val="-2"/>
        </w:rPr>
        <w:t xml:space="preserve"> </w:t>
      </w:r>
      <w:r w:rsidRPr="00EC20A0">
        <w:t>is</w:t>
      </w:r>
      <w:r w:rsidRPr="00EC20A0">
        <w:rPr>
          <w:spacing w:val="-2"/>
        </w:rPr>
        <w:t xml:space="preserve"> </w:t>
      </w:r>
      <w:r w:rsidRPr="00EC20A0">
        <w:t>closely</w:t>
      </w:r>
      <w:r w:rsidRPr="00EC20A0">
        <w:rPr>
          <w:spacing w:val="-2"/>
        </w:rPr>
        <w:t xml:space="preserve"> </w:t>
      </w:r>
      <w:r w:rsidRPr="00EC20A0">
        <w:t>related</w:t>
      </w:r>
      <w:r w:rsidRPr="00EC20A0">
        <w:rPr>
          <w:spacing w:val="-2"/>
        </w:rPr>
        <w:t xml:space="preserve"> </w:t>
      </w:r>
      <w:r w:rsidRPr="00EC20A0">
        <w:t>to</w:t>
      </w:r>
      <w:r w:rsidRPr="00EC20A0">
        <w:rPr>
          <w:spacing w:val="-2"/>
        </w:rPr>
        <w:t xml:space="preserve"> </w:t>
      </w:r>
      <w:r w:rsidRPr="00EC20A0">
        <w:t>matters</w:t>
      </w:r>
      <w:r w:rsidRPr="00EC20A0">
        <w:rPr>
          <w:spacing w:val="-2"/>
        </w:rPr>
        <w:t xml:space="preserve"> </w:t>
      </w:r>
      <w:r w:rsidRPr="00EC20A0">
        <w:t>the auditor will test in other parts of the audit, the auditor may coordinate with that other testing and design multipurpose tests. For example, payroll compliance testing could be performed using multipurpose tests of payr</w:t>
      </w:r>
      <w:r w:rsidRPr="00EC20A0">
        <w:t>oll controls and/or substantive payroll testing.</w:t>
      </w:r>
    </w:p>
    <w:p w14:paraId="24D60E2D" w14:textId="77777777" w:rsidR="00245300" w:rsidRPr="00EC20A0" w:rsidRDefault="00F17249">
      <w:pPr>
        <w:pStyle w:val="BodyText"/>
        <w:spacing w:before="143"/>
        <w:ind w:left="1469" w:right="414"/>
      </w:pPr>
      <w:r w:rsidRPr="00EC20A0">
        <w:t>The</w:t>
      </w:r>
      <w:r w:rsidRPr="00EC20A0">
        <w:rPr>
          <w:spacing w:val="-3"/>
        </w:rPr>
        <w:t xml:space="preserve"> </w:t>
      </w:r>
      <w:r w:rsidRPr="00EC20A0">
        <w:t>auditor</w:t>
      </w:r>
      <w:r w:rsidRPr="00EC20A0">
        <w:rPr>
          <w:spacing w:val="-5"/>
        </w:rPr>
        <w:t xml:space="preserve"> </w:t>
      </w:r>
      <w:r w:rsidRPr="00EC20A0">
        <w:t>performing</w:t>
      </w:r>
      <w:r w:rsidRPr="00EC20A0">
        <w:rPr>
          <w:spacing w:val="-3"/>
        </w:rPr>
        <w:t xml:space="preserve"> </w:t>
      </w:r>
      <w:r w:rsidRPr="00EC20A0">
        <w:t>the</w:t>
      </w:r>
      <w:r w:rsidRPr="00EC20A0">
        <w:rPr>
          <w:spacing w:val="-3"/>
        </w:rPr>
        <w:t xml:space="preserve"> </w:t>
      </w:r>
      <w:r w:rsidRPr="00EC20A0">
        <w:t>procedure</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first</w:t>
      </w:r>
      <w:r w:rsidRPr="00EC20A0">
        <w:rPr>
          <w:spacing w:val="-4"/>
        </w:rPr>
        <w:t xml:space="preserve"> </w:t>
      </w:r>
      <w:r w:rsidRPr="00EC20A0">
        <w:t>column</w:t>
      </w:r>
      <w:r w:rsidRPr="00EC20A0">
        <w:rPr>
          <w:spacing w:val="-3"/>
        </w:rPr>
        <w:t xml:space="preserve"> </w:t>
      </w:r>
      <w:r w:rsidRPr="00EC20A0">
        <w:t>should</w:t>
      </w:r>
      <w:r w:rsidRPr="00EC20A0">
        <w:rPr>
          <w:spacing w:val="-3"/>
        </w:rPr>
        <w:t xml:space="preserve"> </w:t>
      </w:r>
      <w:r w:rsidRPr="00EC20A0">
        <w:t>initial</w:t>
      </w:r>
      <w:r w:rsidRPr="00EC20A0">
        <w:rPr>
          <w:spacing w:val="-3"/>
        </w:rPr>
        <w:t xml:space="preserve"> </w:t>
      </w:r>
      <w:r w:rsidRPr="00EC20A0">
        <w:t>and</w:t>
      </w:r>
      <w:r w:rsidRPr="00EC20A0">
        <w:rPr>
          <w:spacing w:val="-3"/>
        </w:rPr>
        <w:t xml:space="preserve"> </w:t>
      </w:r>
      <w:r w:rsidRPr="00EC20A0">
        <w:t>date</w:t>
      </w:r>
      <w:r w:rsidRPr="00EC20A0">
        <w:rPr>
          <w:spacing w:val="-3"/>
        </w:rPr>
        <w:t xml:space="preserve"> </w:t>
      </w:r>
      <w:r w:rsidRPr="00EC20A0">
        <w:t>in the</w:t>
      </w:r>
      <w:r w:rsidRPr="00EC20A0">
        <w:rPr>
          <w:spacing w:val="-3"/>
        </w:rPr>
        <w:t xml:space="preserve"> </w:t>
      </w:r>
      <w:r w:rsidRPr="00EC20A0">
        <w:t>second</w:t>
      </w:r>
      <w:r w:rsidRPr="00EC20A0">
        <w:rPr>
          <w:spacing w:val="-4"/>
        </w:rPr>
        <w:t xml:space="preserve"> </w:t>
      </w:r>
      <w:r w:rsidRPr="00EC20A0">
        <w:t>column</w:t>
      </w:r>
      <w:r w:rsidRPr="00EC20A0">
        <w:rPr>
          <w:spacing w:val="-3"/>
        </w:rPr>
        <w:t xml:space="preserve"> </w:t>
      </w:r>
      <w:r w:rsidRPr="00EC20A0">
        <w:t>when</w:t>
      </w:r>
      <w:r w:rsidRPr="00EC20A0">
        <w:rPr>
          <w:spacing w:val="-2"/>
        </w:rPr>
        <w:t xml:space="preserve"> </w:t>
      </w:r>
      <w:r w:rsidRPr="00EC20A0">
        <w:t>the</w:t>
      </w:r>
      <w:r w:rsidRPr="00EC20A0">
        <w:rPr>
          <w:spacing w:val="-3"/>
        </w:rPr>
        <w:t xml:space="preserve"> </w:t>
      </w:r>
      <w:r w:rsidRPr="00EC20A0">
        <w:t>procedure</w:t>
      </w:r>
      <w:r w:rsidRPr="00EC20A0">
        <w:rPr>
          <w:spacing w:val="-3"/>
        </w:rPr>
        <w:t xml:space="preserve"> </w:t>
      </w:r>
      <w:r w:rsidRPr="00EC20A0">
        <w:t>is</w:t>
      </w:r>
      <w:r w:rsidRPr="00EC20A0">
        <w:rPr>
          <w:spacing w:val="-3"/>
        </w:rPr>
        <w:t xml:space="preserve"> </w:t>
      </w:r>
      <w:r w:rsidRPr="00EC20A0">
        <w:t>performed.</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3"/>
        </w:rPr>
        <w:t xml:space="preserve"> </w:t>
      </w:r>
      <w:r w:rsidRPr="00EC20A0">
        <w:t xml:space="preserve">include a reference to the documentation </w:t>
      </w:r>
      <w:r w:rsidRPr="00EC20A0">
        <w:t>recording the work performed for each step in the third and last column of the compliance audit procedures.</w:t>
      </w:r>
    </w:p>
    <w:p w14:paraId="24D60E2E" w14:textId="77777777" w:rsidR="00245300" w:rsidRPr="00EC20A0" w:rsidRDefault="00F17249">
      <w:pPr>
        <w:pStyle w:val="Heading5"/>
        <w:spacing w:before="182"/>
        <w:ind w:left="840"/>
        <w:rPr>
          <w:u w:val="none"/>
        </w:rPr>
      </w:pPr>
      <w:bookmarkStart w:id="178" w:name="Footnotes"/>
      <w:bookmarkEnd w:id="178"/>
      <w:r w:rsidRPr="00EC20A0">
        <w:rPr>
          <w:spacing w:val="-2"/>
        </w:rPr>
        <w:t>Footnotes</w:t>
      </w:r>
    </w:p>
    <w:p w14:paraId="24D60E2F" w14:textId="77777777" w:rsidR="00245300" w:rsidRPr="00EC20A0" w:rsidRDefault="00F17249">
      <w:pPr>
        <w:pStyle w:val="ListParagraph"/>
        <w:numPr>
          <w:ilvl w:val="0"/>
          <w:numId w:val="156"/>
        </w:numPr>
        <w:tabs>
          <w:tab w:val="left" w:pos="1470"/>
        </w:tabs>
        <w:spacing w:before="179"/>
        <w:ind w:right="346"/>
      </w:pPr>
      <w:r w:rsidRPr="00EC20A0">
        <w:t>Footnotes are provided for each compliance supplement to assist the auditor in understanding criteria, definitions, exemptions, and restrictions of law. The footnotes</w:t>
      </w:r>
      <w:r w:rsidRPr="00EC20A0">
        <w:rPr>
          <w:spacing w:val="-3"/>
        </w:rPr>
        <w:t xml:space="preserve"> </w:t>
      </w:r>
      <w:r w:rsidRPr="00EC20A0">
        <w:t>also</w:t>
      </w:r>
      <w:r w:rsidRPr="00EC20A0">
        <w:rPr>
          <w:spacing w:val="-3"/>
        </w:rPr>
        <w:t xml:space="preserve"> </w:t>
      </w:r>
      <w:r w:rsidRPr="00EC20A0">
        <w:t>provide</w:t>
      </w:r>
      <w:r w:rsidRPr="00EC20A0">
        <w:rPr>
          <w:spacing w:val="-3"/>
        </w:rPr>
        <w:t xml:space="preserve"> </w:t>
      </w:r>
      <w:r w:rsidRPr="00EC20A0">
        <w:t>guidance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in</w:t>
      </w:r>
      <w:r w:rsidRPr="00EC20A0">
        <w:rPr>
          <w:spacing w:val="-4"/>
        </w:rPr>
        <w:t xml:space="preserve"> </w:t>
      </w:r>
      <w:r w:rsidRPr="00EC20A0">
        <w:t>testing</w:t>
      </w:r>
      <w:r w:rsidRPr="00EC20A0">
        <w:rPr>
          <w:spacing w:val="-3"/>
        </w:rPr>
        <w:t xml:space="preserve"> </w:t>
      </w:r>
      <w:r w:rsidRPr="00EC20A0">
        <w:t>and</w:t>
      </w:r>
      <w:r w:rsidRPr="00EC20A0">
        <w:rPr>
          <w:spacing w:val="-4"/>
        </w:rPr>
        <w:t xml:space="preserve"> </w:t>
      </w:r>
      <w:r w:rsidRPr="00EC20A0">
        <w:t>evaluating</w:t>
      </w:r>
      <w:r w:rsidRPr="00EC20A0">
        <w:rPr>
          <w:spacing w:val="-4"/>
        </w:rPr>
        <w:t xml:space="preserve"> </w:t>
      </w:r>
      <w:r w:rsidRPr="00EC20A0">
        <w:t>controls</w:t>
      </w:r>
      <w:r w:rsidRPr="00EC20A0">
        <w:rPr>
          <w:spacing w:val="-3"/>
        </w:rPr>
        <w:t xml:space="preserve"> </w:t>
      </w:r>
      <w:r w:rsidRPr="00EC20A0">
        <w:t>to achieve the compliance objective.</w:t>
      </w:r>
    </w:p>
    <w:p w14:paraId="24D60E30" w14:textId="77777777" w:rsidR="00245300" w:rsidRPr="00EC20A0" w:rsidRDefault="00245300">
      <w:pPr>
        <w:sectPr w:rsidR="00245300" w:rsidRPr="00EC20A0">
          <w:pgSz w:w="12240" w:h="15840"/>
          <w:pgMar w:top="1340" w:right="1140" w:bottom="940" w:left="1320" w:header="721" w:footer="742" w:gutter="0"/>
          <w:cols w:space="720"/>
        </w:sectPr>
      </w:pPr>
    </w:p>
    <w:p w14:paraId="24D60E31" w14:textId="77777777" w:rsidR="00245300" w:rsidRPr="00EC20A0" w:rsidRDefault="00F17249">
      <w:pPr>
        <w:pStyle w:val="Heading3"/>
        <w:spacing w:before="113"/>
        <w:rPr>
          <w:u w:val="none"/>
        </w:rPr>
      </w:pPr>
      <w:bookmarkStart w:id="179" w:name="803_–_Antideficiency_Act_(ADA),_as_Provi"/>
      <w:bookmarkStart w:id="180" w:name="_bookmark73"/>
      <w:bookmarkEnd w:id="179"/>
      <w:bookmarkEnd w:id="180"/>
      <w:r w:rsidRPr="00EC20A0">
        <w:t>803</w:t>
      </w:r>
      <w:r w:rsidRPr="00EC20A0">
        <w:rPr>
          <w:spacing w:val="-7"/>
        </w:rPr>
        <w:t xml:space="preserve"> </w:t>
      </w:r>
      <w:r w:rsidRPr="00EC20A0">
        <w:t>–</w:t>
      </w:r>
      <w:r w:rsidRPr="00EC20A0">
        <w:rPr>
          <w:spacing w:val="-15"/>
        </w:rPr>
        <w:t xml:space="preserve"> </w:t>
      </w:r>
      <w:proofErr w:type="spellStart"/>
      <w:r w:rsidRPr="00EC20A0">
        <w:t>Antideficiency</w:t>
      </w:r>
      <w:proofErr w:type="spellEnd"/>
      <w:r w:rsidRPr="00EC20A0">
        <w:rPr>
          <w:spacing w:val="-14"/>
        </w:rPr>
        <w:t xml:space="preserve"> </w:t>
      </w:r>
      <w:r w:rsidRPr="00EC20A0">
        <w:t>Act</w:t>
      </w:r>
      <w:r w:rsidRPr="00EC20A0">
        <w:rPr>
          <w:spacing w:val="-5"/>
        </w:rPr>
        <w:t xml:space="preserve"> </w:t>
      </w:r>
      <w:r w:rsidRPr="00EC20A0">
        <w:t>(ADA),</w:t>
      </w:r>
      <w:r w:rsidRPr="00EC20A0">
        <w:rPr>
          <w:spacing w:val="-5"/>
        </w:rPr>
        <w:t xml:space="preserve"> </w:t>
      </w:r>
      <w:r w:rsidRPr="00EC20A0">
        <w:t>as</w:t>
      </w:r>
      <w:r w:rsidRPr="00EC20A0">
        <w:rPr>
          <w:spacing w:val="-3"/>
        </w:rPr>
        <w:t xml:space="preserve"> </w:t>
      </w:r>
      <w:r w:rsidRPr="00EC20A0">
        <w:t>Provided</w:t>
      </w:r>
      <w:r w:rsidRPr="00EC20A0">
        <w:rPr>
          <w:spacing w:val="-3"/>
        </w:rPr>
        <w:t xml:space="preserve"> </w:t>
      </w:r>
      <w:r w:rsidRPr="00EC20A0">
        <w:t>Primarily</w:t>
      </w:r>
      <w:r w:rsidRPr="00EC20A0">
        <w:rPr>
          <w:spacing w:val="-4"/>
        </w:rPr>
        <w:t xml:space="preserve"> </w:t>
      </w:r>
      <w:r w:rsidRPr="00EC20A0">
        <w:t>in</w:t>
      </w:r>
      <w:r w:rsidRPr="00EC20A0">
        <w:rPr>
          <w:spacing w:val="-5"/>
        </w:rPr>
        <w:t xml:space="preserve"> </w:t>
      </w:r>
      <w:bookmarkStart w:id="181" w:name="_bookmark74"/>
      <w:bookmarkEnd w:id="181"/>
      <w:r w:rsidRPr="00EC20A0">
        <w:t>31</w:t>
      </w:r>
      <w:r w:rsidRPr="00EC20A0">
        <w:rPr>
          <w:spacing w:val="-4"/>
        </w:rPr>
        <w:t xml:space="preserve"> </w:t>
      </w:r>
      <w:r w:rsidRPr="00EC20A0">
        <w:t>U.S.C.</w:t>
      </w:r>
      <w:r w:rsidRPr="00EC20A0">
        <w:rPr>
          <w:spacing w:val="-3"/>
        </w:rPr>
        <w:t xml:space="preserve"> </w:t>
      </w:r>
      <w:r w:rsidRPr="00EC20A0">
        <w:t>Chapters</w:t>
      </w:r>
      <w:r w:rsidRPr="00EC20A0">
        <w:rPr>
          <w:spacing w:val="-3"/>
        </w:rPr>
        <w:t xml:space="preserve"> </w:t>
      </w:r>
      <w:r w:rsidRPr="00EC20A0">
        <w:t>13,</w:t>
      </w:r>
      <w:r w:rsidRPr="00EC20A0">
        <w:rPr>
          <w:spacing w:val="-4"/>
        </w:rPr>
        <w:t xml:space="preserve"> </w:t>
      </w:r>
      <w:r w:rsidRPr="00EC20A0">
        <w:rPr>
          <w:spacing w:val="-5"/>
        </w:rPr>
        <w:t>15</w:t>
      </w:r>
    </w:p>
    <w:p w14:paraId="24D60E32" w14:textId="77777777" w:rsidR="00245300" w:rsidRPr="00EC20A0" w:rsidRDefault="00F17249">
      <w:pPr>
        <w:pStyle w:val="BodyText"/>
        <w:spacing w:before="143"/>
        <w:ind w:left="120" w:right="294" w:hanging="1"/>
        <w:rPr>
          <w:i/>
        </w:rPr>
      </w:pPr>
      <w:r w:rsidRPr="00EC20A0">
        <w:t xml:space="preserve">Note: The auditor should complete this compliance summary or prepare equivalent documentation if the entity has appropriations or other funds that are limited to an amount or a specified period of availability. If so, the provisions of the </w:t>
      </w:r>
      <w:proofErr w:type="spellStart"/>
      <w:r w:rsidRPr="00EC20A0">
        <w:t>Antideficiency</w:t>
      </w:r>
      <w:proofErr w:type="spellEnd"/>
      <w:r w:rsidRPr="00EC20A0">
        <w:t xml:space="preserve"> Act (ADA), as provided</w:t>
      </w:r>
      <w:r w:rsidRPr="00EC20A0">
        <w:rPr>
          <w:spacing w:val="-2"/>
        </w:rPr>
        <w:t xml:space="preserve"> </w:t>
      </w:r>
      <w:r w:rsidRPr="00EC20A0">
        <w:t>primarily</w:t>
      </w:r>
      <w:r w:rsidRPr="00EC20A0">
        <w:rPr>
          <w:spacing w:val="-2"/>
        </w:rPr>
        <w:t xml:space="preserve"> </w:t>
      </w:r>
      <w:r w:rsidRPr="00EC20A0">
        <w:t>in</w:t>
      </w:r>
      <w:r w:rsidRPr="00EC20A0">
        <w:rPr>
          <w:spacing w:val="-2"/>
        </w:rPr>
        <w:t xml:space="preserve"> </w:t>
      </w:r>
      <w:r w:rsidRPr="00EC20A0">
        <w:t>31</w:t>
      </w:r>
      <w:r w:rsidRPr="00EC20A0">
        <w:rPr>
          <w:spacing w:val="-3"/>
        </w:rPr>
        <w:t xml:space="preserve"> </w:t>
      </w:r>
      <w:r w:rsidRPr="00EC20A0">
        <w:t>U.S.C.</w:t>
      </w:r>
      <w:r w:rsidRPr="00EC20A0">
        <w:rPr>
          <w:spacing w:val="-2"/>
        </w:rPr>
        <w:t xml:space="preserve"> </w:t>
      </w:r>
      <w:r w:rsidRPr="00EC20A0">
        <w:t>chapters</w:t>
      </w:r>
      <w:r w:rsidRPr="00EC20A0">
        <w:rPr>
          <w:spacing w:val="-2"/>
        </w:rPr>
        <w:t xml:space="preserve"> </w:t>
      </w:r>
      <w:r w:rsidRPr="00EC20A0">
        <w:t>13,</w:t>
      </w:r>
      <w:r w:rsidRPr="00EC20A0">
        <w:rPr>
          <w:spacing w:val="-2"/>
        </w:rPr>
        <w:t xml:space="preserve"> </w:t>
      </w:r>
      <w:r w:rsidRPr="00EC20A0">
        <w:t>15,</w:t>
      </w:r>
      <w:r w:rsidRPr="00EC20A0">
        <w:rPr>
          <w:spacing w:val="-3"/>
        </w:rPr>
        <w:t xml:space="preserve"> </w:t>
      </w:r>
      <w:r w:rsidRPr="00EC20A0">
        <w:t>are</w:t>
      </w:r>
      <w:r w:rsidRPr="00EC20A0">
        <w:rPr>
          <w:spacing w:val="-2"/>
        </w:rPr>
        <w:t xml:space="preserve"> </w:t>
      </w:r>
      <w:r w:rsidRPr="00EC20A0">
        <w:t>applicable</w:t>
      </w:r>
      <w:r w:rsidRPr="00EC20A0">
        <w:rPr>
          <w:spacing w:val="-2"/>
        </w:rPr>
        <w:t xml:space="preserve"> </w:t>
      </w:r>
      <w:r w:rsidRPr="00EC20A0">
        <w:t>as</w:t>
      </w:r>
      <w:r w:rsidRPr="00EC20A0">
        <w:rPr>
          <w:spacing w:val="-2"/>
        </w:rPr>
        <w:t xml:space="preserve"> </w:t>
      </w:r>
      <w:r w:rsidRPr="00EC20A0">
        <w:t>indicated</w:t>
      </w:r>
      <w:r w:rsidRPr="00EC20A0">
        <w:rPr>
          <w:spacing w:val="-2"/>
        </w:rPr>
        <w:t xml:space="preserve"> </w:t>
      </w:r>
      <w:r w:rsidRPr="00EC20A0">
        <w:t>on</w:t>
      </w:r>
      <w:r w:rsidRPr="00EC20A0">
        <w:rPr>
          <w:spacing w:val="-2"/>
        </w:rPr>
        <w:t xml:space="preserve"> </w:t>
      </w:r>
      <w:r w:rsidRPr="00EC20A0">
        <w:t>Form</w:t>
      </w:r>
      <w:r w:rsidRPr="00EC20A0">
        <w:rPr>
          <w:spacing w:val="-3"/>
        </w:rPr>
        <w:t xml:space="preserve"> </w:t>
      </w:r>
      <w:r w:rsidRPr="00EC20A0">
        <w:t>802,</w:t>
      </w:r>
      <w:r w:rsidRPr="00EC20A0">
        <w:rPr>
          <w:spacing w:val="-2"/>
        </w:rPr>
        <w:t xml:space="preserve"> </w:t>
      </w:r>
      <w:r w:rsidRPr="00EC20A0">
        <w:t>General</w:t>
      </w:r>
      <w:r w:rsidRPr="00EC20A0">
        <w:rPr>
          <w:spacing w:val="-2"/>
        </w:rPr>
        <w:t xml:space="preserve"> </w:t>
      </w:r>
      <w:r w:rsidRPr="00EC20A0">
        <w:t>Compliance</w:t>
      </w:r>
      <w:r w:rsidRPr="00EC20A0">
        <w:rPr>
          <w:spacing w:val="-2"/>
        </w:rPr>
        <w:t xml:space="preserve"> </w:t>
      </w:r>
      <w:r w:rsidRPr="00EC20A0">
        <w:t>Checklist,</w:t>
      </w:r>
      <w:r w:rsidRPr="00EC20A0">
        <w:rPr>
          <w:spacing w:val="-4"/>
        </w:rPr>
        <w:t xml:space="preserve"> </w:t>
      </w:r>
      <w:r w:rsidRPr="00EC20A0">
        <w:t>at</w:t>
      </w:r>
      <w:r w:rsidRPr="00EC20A0">
        <w:rPr>
          <w:spacing w:val="-2"/>
        </w:rPr>
        <w:t xml:space="preserve"> </w:t>
      </w:r>
      <w:r w:rsidRPr="00EC20A0">
        <w:t>page</w:t>
      </w:r>
      <w:r w:rsidRPr="00EC20A0">
        <w:rPr>
          <w:spacing w:val="-2"/>
        </w:rPr>
        <w:t xml:space="preserve"> </w:t>
      </w:r>
      <w:r w:rsidRPr="00EC20A0">
        <w:t xml:space="preserve">802-3. Office of Management and Budget (OMB) guidance on budget execution, including the </w:t>
      </w:r>
      <w:proofErr w:type="spellStart"/>
      <w:r w:rsidRPr="00EC20A0">
        <w:t>Antideficiency</w:t>
      </w:r>
      <w:proofErr w:type="spellEnd"/>
      <w:r w:rsidRPr="00EC20A0">
        <w:t xml:space="preserve"> Act, is included in OMB Circular No. A-11, </w:t>
      </w:r>
      <w:r w:rsidRPr="00EC20A0">
        <w:rPr>
          <w:i/>
        </w:rPr>
        <w:t xml:space="preserve">Preparing, Submitting, and Executing the Budget, </w:t>
      </w:r>
      <w:r w:rsidRPr="00EC20A0">
        <w:t xml:space="preserve">Part 4, </w:t>
      </w:r>
      <w:r w:rsidRPr="00EC20A0">
        <w:rPr>
          <w:i/>
        </w:rPr>
        <w:t>Instructions on Budget Execution.</w:t>
      </w:r>
    </w:p>
    <w:p w14:paraId="24D60E33" w14:textId="77777777" w:rsidR="00245300" w:rsidRPr="00EC20A0" w:rsidRDefault="00245300">
      <w:pPr>
        <w:pStyle w:val="BodyText"/>
        <w:rPr>
          <w:i/>
          <w:sz w:val="20"/>
        </w:rPr>
      </w:pPr>
    </w:p>
    <w:p w14:paraId="24D60E34" w14:textId="77777777" w:rsidR="00245300" w:rsidRPr="00EC20A0" w:rsidRDefault="00245300">
      <w:pPr>
        <w:pStyle w:val="BodyText"/>
        <w:spacing w:before="91"/>
        <w:rPr>
          <w:i/>
          <w:sz w:val="20"/>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64"/>
        <w:gridCol w:w="1710"/>
        <w:gridCol w:w="1620"/>
        <w:gridCol w:w="1350"/>
        <w:gridCol w:w="1529"/>
        <w:gridCol w:w="1819"/>
      </w:tblGrid>
      <w:tr w:rsidR="00245300" w:rsidRPr="00EC20A0" w14:paraId="24D60E38" w14:textId="77777777">
        <w:trPr>
          <w:trHeight w:val="1574"/>
        </w:trPr>
        <w:tc>
          <w:tcPr>
            <w:tcW w:w="13392" w:type="dxa"/>
            <w:gridSpan w:val="6"/>
          </w:tcPr>
          <w:p w14:paraId="24D60E35" w14:textId="77777777" w:rsidR="00245300" w:rsidRPr="00EC20A0" w:rsidRDefault="00F17249">
            <w:pPr>
              <w:pStyle w:val="TableParagraph"/>
              <w:tabs>
                <w:tab w:val="left" w:pos="9318"/>
              </w:tabs>
              <w:spacing w:before="144"/>
              <w:ind w:right="1946"/>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0E36" w14:textId="77777777" w:rsidR="00245300" w:rsidRPr="00EC20A0" w:rsidRDefault="00F17249">
            <w:pPr>
              <w:pStyle w:val="TableParagraph"/>
              <w:spacing w:before="12"/>
              <w:ind w:left="1972" w:right="1946"/>
              <w:jc w:val="center"/>
              <w:rPr>
                <w:b/>
                <w:sz w:val="24"/>
              </w:rPr>
            </w:pPr>
            <w:r w:rsidRPr="00EC20A0">
              <w:rPr>
                <w:noProof/>
              </w:rPr>
              <mc:AlternateContent>
                <mc:Choice Requires="wpg">
                  <w:drawing>
                    <wp:anchor distT="0" distB="0" distL="0" distR="0" simplePos="0" relativeHeight="475289088" behindDoc="1" locked="0" layoutInCell="1" allowOverlap="1" wp14:anchorId="24D62B6D" wp14:editId="24D62B6E">
                      <wp:simplePos x="0" y="0"/>
                      <wp:positionH relativeFrom="column">
                        <wp:posOffset>7058406</wp:posOffset>
                      </wp:positionH>
                      <wp:positionV relativeFrom="paragraph">
                        <wp:posOffset>91895</wp:posOffset>
                      </wp:positionV>
                      <wp:extent cx="1371600" cy="635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01" name="Graphic 401"/>
                              <wps:cNvSpPr/>
                              <wps:spPr>
                                <a:xfrm>
                                  <a:off x="0" y="0"/>
                                  <a:ext cx="1371600" cy="6350"/>
                                </a:xfrm>
                                <a:custGeom>
                                  <a:avLst/>
                                  <a:gdLst/>
                                  <a:ahLst/>
                                  <a:cxnLst/>
                                  <a:rect l="l" t="t" r="r" b="b"/>
                                  <a:pathLst>
                                    <a:path w="1371600" h="6350">
                                      <a:moveTo>
                                        <a:pt x="1371600" y="0"/>
                                      </a:moveTo>
                                      <a:lnTo>
                                        <a:pt x="0" y="0"/>
                                      </a:lnTo>
                                      <a:lnTo>
                                        <a:pt x="0" y="6096"/>
                                      </a:lnTo>
                                      <a:lnTo>
                                        <a:pt x="1371600" y="6096"/>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C0326A" id="Group 400" o:spid="_x0000_s1026" style="position:absolute;margin-left:555.8pt;margin-top:7.25pt;width:108pt;height:.5pt;z-index:-2802739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">
                      <v:shape id="Graphic 401"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" path="m1371600,l,,,6096r1371600,l1371600,xe" fillcolor="black" stroked="f">
                        <v:path arrowok="t"/>
                      </v:shape>
                    </v:group>
                  </w:pict>
                </mc:Fallback>
              </mc:AlternateContent>
            </w:r>
            <w:r w:rsidRPr="00EC20A0">
              <w:rPr>
                <w:noProof/>
              </w:rPr>
              <mc:AlternateContent>
                <mc:Choice Requires="wpg">
                  <w:drawing>
                    <wp:anchor distT="0" distB="0" distL="0" distR="0" simplePos="0" relativeHeight="475290112" behindDoc="1" locked="0" layoutInCell="1" allowOverlap="1" wp14:anchorId="24D62B6F" wp14:editId="24D62B70">
                      <wp:simplePos x="0" y="0"/>
                      <wp:positionH relativeFrom="column">
                        <wp:posOffset>7058406</wp:posOffset>
                      </wp:positionH>
                      <wp:positionV relativeFrom="paragraph">
                        <wp:posOffset>441653</wp:posOffset>
                      </wp:positionV>
                      <wp:extent cx="1371600" cy="635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03" name="Graphic 403"/>
                              <wps:cNvSpPr/>
                              <wps:spPr>
                                <a:xfrm>
                                  <a:off x="0" y="0"/>
                                  <a:ext cx="1371600" cy="6350"/>
                                </a:xfrm>
                                <a:custGeom>
                                  <a:avLst/>
                                  <a:gdLst/>
                                  <a:ahLst/>
                                  <a:cxnLst/>
                                  <a:rect l="l" t="t" r="r" b="b"/>
                                  <a:pathLst>
                                    <a:path w="1371600" h="6350">
                                      <a:moveTo>
                                        <a:pt x="1371600" y="0"/>
                                      </a:moveTo>
                                      <a:lnTo>
                                        <a:pt x="0" y="0"/>
                                      </a:lnTo>
                                      <a:lnTo>
                                        <a:pt x="0" y="6096"/>
                                      </a:lnTo>
                                      <a:lnTo>
                                        <a:pt x="1371600" y="6096"/>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CF297F" id="Group 402" o:spid="_x0000_s1026" style="position:absolute;margin-left:555.8pt;margin-top:34.8pt;width:108pt;height:.5pt;z-index:-2802636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">
                      <v:shape id="Graphic 403"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" path="m1371600,l,,,6096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0E37" w14:textId="77777777" w:rsidR="00245300" w:rsidRPr="00EC20A0" w:rsidRDefault="00F17249">
            <w:pPr>
              <w:pStyle w:val="TableParagraph"/>
              <w:tabs>
                <w:tab w:val="left" w:pos="9013"/>
              </w:tabs>
              <w:spacing w:before="11"/>
              <w:ind w:right="1702"/>
              <w:jc w:val="center"/>
            </w:pPr>
            <w:r w:rsidRPr="00EC20A0">
              <w:rPr>
                <w:noProof/>
              </w:rPr>
              <mc:AlternateContent>
                <mc:Choice Requires="wpg">
                  <w:drawing>
                    <wp:anchor distT="0" distB="0" distL="0" distR="0" simplePos="0" relativeHeight="475288576" behindDoc="1" locked="0" layoutInCell="1" allowOverlap="1" wp14:anchorId="24D62B71" wp14:editId="24D62B72">
                      <wp:simplePos x="0" y="0"/>
                      <wp:positionH relativeFrom="column">
                        <wp:posOffset>1280160</wp:posOffset>
                      </wp:positionH>
                      <wp:positionV relativeFrom="paragraph">
                        <wp:posOffset>-91387</wp:posOffset>
                      </wp:positionV>
                      <wp:extent cx="1206500" cy="635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405" name="Graphic 405"/>
                              <wps:cNvSpPr/>
                              <wps:spPr>
                                <a:xfrm>
                                  <a:off x="0" y="0"/>
                                  <a:ext cx="1206500" cy="6350"/>
                                </a:xfrm>
                                <a:custGeom>
                                  <a:avLst/>
                                  <a:gdLst/>
                                  <a:ahLst/>
                                  <a:cxnLst/>
                                  <a:rect l="l" t="t" r="r" b="b"/>
                                  <a:pathLst>
                                    <a:path w="1206500" h="6350">
                                      <a:moveTo>
                                        <a:pt x="1206245" y="0"/>
                                      </a:moveTo>
                                      <a:lnTo>
                                        <a:pt x="0" y="0"/>
                                      </a:lnTo>
                                      <a:lnTo>
                                        <a:pt x="0" y="6096"/>
                                      </a:lnTo>
                                      <a:lnTo>
                                        <a:pt x="1206245" y="6096"/>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48D365" id="Group 404" o:spid="_x0000_s1026" style="position:absolute;margin-left:100.8pt;margin-top:-7.2pt;width:95pt;height:.5pt;z-index:-28027904;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">
                      <v:shape id="Graphic 405"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" path="m1206245,l,,,6096r1206245,l1206245,xe" fillcolor="black" stroked="f">
                        <v:path arrowok="t"/>
                      </v:shape>
                    </v:group>
                  </w:pict>
                </mc:Fallback>
              </mc:AlternateContent>
            </w:r>
            <w:r w:rsidRPr="00EC20A0">
              <w:rPr>
                <w:noProof/>
              </w:rPr>
              <mc:AlternateContent>
                <mc:Choice Requires="wpg">
                  <w:drawing>
                    <wp:anchor distT="0" distB="0" distL="0" distR="0" simplePos="0" relativeHeight="475289600" behindDoc="1" locked="0" layoutInCell="1" allowOverlap="1" wp14:anchorId="24D62B73" wp14:editId="24D62B74">
                      <wp:simplePos x="0" y="0"/>
                      <wp:positionH relativeFrom="column">
                        <wp:posOffset>1280160</wp:posOffset>
                      </wp:positionH>
                      <wp:positionV relativeFrom="paragraph">
                        <wp:posOffset>258370</wp:posOffset>
                      </wp:positionV>
                      <wp:extent cx="1206500" cy="635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407" name="Graphic 407"/>
                              <wps:cNvSpPr/>
                              <wps:spPr>
                                <a:xfrm>
                                  <a:off x="0" y="0"/>
                                  <a:ext cx="1206500" cy="6350"/>
                                </a:xfrm>
                                <a:custGeom>
                                  <a:avLst/>
                                  <a:gdLst/>
                                  <a:ahLst/>
                                  <a:cxnLst/>
                                  <a:rect l="l" t="t" r="r" b="b"/>
                                  <a:pathLst>
                                    <a:path w="1206500" h="6350">
                                      <a:moveTo>
                                        <a:pt x="1206245" y="0"/>
                                      </a:moveTo>
                                      <a:lnTo>
                                        <a:pt x="0" y="0"/>
                                      </a:lnTo>
                                      <a:lnTo>
                                        <a:pt x="0" y="6096"/>
                                      </a:lnTo>
                                      <a:lnTo>
                                        <a:pt x="1206245" y="6096"/>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1C3472" id="Group 406" o:spid="_x0000_s1026" style="position:absolute;margin-left:100.8pt;margin-top:20.35pt;width:95pt;height:.5pt;z-index:-28026880;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">
                      <v:shape id="Graphic 407"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" path="m1206245,l,,,6096r1206245,l1206245,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0E42" w14:textId="77777777">
        <w:trPr>
          <w:trHeight w:val="794"/>
        </w:trPr>
        <w:tc>
          <w:tcPr>
            <w:tcW w:w="5364" w:type="dxa"/>
            <w:tcBorders>
              <w:right w:val="single" w:sz="4" w:space="0" w:color="000000"/>
            </w:tcBorders>
          </w:tcPr>
          <w:p w14:paraId="24D60E39" w14:textId="77777777" w:rsidR="00245300" w:rsidRPr="00EC20A0" w:rsidRDefault="00245300">
            <w:pPr>
              <w:pStyle w:val="TableParagraph"/>
              <w:spacing w:before="144"/>
              <w:rPr>
                <w:i/>
              </w:rPr>
            </w:pPr>
          </w:p>
          <w:p w14:paraId="24D60E3A" w14:textId="77777777" w:rsidR="00245300" w:rsidRPr="00EC20A0" w:rsidRDefault="00F17249">
            <w:pPr>
              <w:pStyle w:val="TableParagraph"/>
              <w:spacing w:before="1"/>
              <w:ind w:left="97"/>
            </w:pPr>
            <w:r w:rsidRPr="00EC20A0">
              <w:t>Provision</w:t>
            </w:r>
            <w:r w:rsidRPr="00EC20A0">
              <w:rPr>
                <w:spacing w:val="-11"/>
              </w:rPr>
              <w:t xml:space="preserve"> </w:t>
            </w:r>
            <w:r w:rsidRPr="00EC20A0">
              <w:rPr>
                <w:spacing w:val="-2"/>
              </w:rPr>
              <w:t>Description</w:t>
            </w:r>
          </w:p>
        </w:tc>
        <w:tc>
          <w:tcPr>
            <w:tcW w:w="1710" w:type="dxa"/>
            <w:tcBorders>
              <w:left w:val="single" w:sz="4" w:space="0" w:color="000000"/>
              <w:right w:val="single" w:sz="4" w:space="0" w:color="000000"/>
            </w:tcBorders>
          </w:tcPr>
          <w:p w14:paraId="24D60E3B" w14:textId="77777777" w:rsidR="00245300" w:rsidRPr="00EC20A0" w:rsidRDefault="00245300">
            <w:pPr>
              <w:pStyle w:val="TableParagraph"/>
              <w:spacing w:before="144"/>
              <w:rPr>
                <w:i/>
              </w:rPr>
            </w:pPr>
          </w:p>
          <w:p w14:paraId="24D60E3C" w14:textId="77777777" w:rsidR="00245300" w:rsidRPr="00EC20A0" w:rsidRDefault="00F17249">
            <w:pPr>
              <w:pStyle w:val="TableParagraph"/>
              <w:spacing w:before="1"/>
              <w:ind w:left="107"/>
            </w:pPr>
            <w:r w:rsidRPr="00EC20A0">
              <w:rPr>
                <w:spacing w:val="-2"/>
              </w:rPr>
              <w:t>Objective</w:t>
            </w:r>
          </w:p>
        </w:tc>
        <w:tc>
          <w:tcPr>
            <w:tcW w:w="1620" w:type="dxa"/>
            <w:tcBorders>
              <w:left w:val="single" w:sz="4" w:space="0" w:color="000000"/>
              <w:right w:val="single" w:sz="4" w:space="0" w:color="000000"/>
            </w:tcBorders>
          </w:tcPr>
          <w:p w14:paraId="24D60E3D" w14:textId="77777777" w:rsidR="00245300" w:rsidRPr="00EC20A0" w:rsidRDefault="00F17249">
            <w:pPr>
              <w:pStyle w:val="TableParagraph"/>
              <w:spacing w:before="144"/>
              <w:ind w:left="107" w:right="215"/>
            </w:pPr>
            <w:r w:rsidRPr="00EC20A0">
              <w:rPr>
                <w:spacing w:val="-2"/>
              </w:rPr>
              <w:t>Control Activities</w:t>
            </w:r>
          </w:p>
        </w:tc>
        <w:tc>
          <w:tcPr>
            <w:tcW w:w="1350" w:type="dxa"/>
            <w:tcBorders>
              <w:left w:val="single" w:sz="4" w:space="0" w:color="000000"/>
              <w:right w:val="single" w:sz="4" w:space="0" w:color="000000"/>
            </w:tcBorders>
          </w:tcPr>
          <w:p w14:paraId="24D60E3E" w14:textId="77777777" w:rsidR="00245300" w:rsidRPr="00EC20A0" w:rsidRDefault="00245300">
            <w:pPr>
              <w:pStyle w:val="TableParagraph"/>
              <w:spacing w:before="144"/>
              <w:rPr>
                <w:i/>
              </w:rPr>
            </w:pPr>
          </w:p>
          <w:p w14:paraId="24D60E3F" w14:textId="77777777" w:rsidR="00245300" w:rsidRPr="00EC20A0" w:rsidRDefault="00F17249">
            <w:pPr>
              <w:pStyle w:val="TableParagraph"/>
              <w:spacing w:before="1"/>
              <w:ind w:left="107"/>
            </w:pPr>
            <w:r w:rsidRPr="00EC20A0">
              <w:t>IS</w:t>
            </w:r>
            <w:r w:rsidRPr="00EC20A0">
              <w:rPr>
                <w:spacing w:val="-3"/>
              </w:rPr>
              <w:t xml:space="preserve"> </w:t>
            </w:r>
            <w:r w:rsidRPr="00EC20A0">
              <w:rPr>
                <w:spacing w:val="-2"/>
              </w:rPr>
              <w:t>(Y/N)</w:t>
            </w:r>
          </w:p>
        </w:tc>
        <w:tc>
          <w:tcPr>
            <w:tcW w:w="1529" w:type="dxa"/>
            <w:tcBorders>
              <w:left w:val="single" w:sz="4" w:space="0" w:color="000000"/>
              <w:right w:val="single" w:sz="4" w:space="0" w:color="000000"/>
            </w:tcBorders>
          </w:tcPr>
          <w:p w14:paraId="24D60E40" w14:textId="77777777" w:rsidR="00245300" w:rsidRPr="00EC20A0" w:rsidRDefault="00F17249">
            <w:pPr>
              <w:pStyle w:val="TableParagraph"/>
              <w:spacing w:before="144"/>
              <w:ind w:left="107"/>
            </w:pPr>
            <w:r w:rsidRPr="00EC20A0">
              <w:rPr>
                <w:spacing w:val="-2"/>
              </w:rPr>
              <w:t>Effective controls?</w:t>
            </w:r>
          </w:p>
        </w:tc>
        <w:tc>
          <w:tcPr>
            <w:tcW w:w="1819" w:type="dxa"/>
            <w:tcBorders>
              <w:left w:val="single" w:sz="4" w:space="0" w:color="000000"/>
            </w:tcBorders>
          </w:tcPr>
          <w:p w14:paraId="24D60E41" w14:textId="77777777" w:rsidR="00245300" w:rsidRPr="00EC20A0" w:rsidRDefault="00F17249">
            <w:pPr>
              <w:pStyle w:val="TableParagraph"/>
              <w:spacing w:before="144"/>
              <w:ind w:left="107"/>
            </w:pPr>
            <w:r w:rsidRPr="00EC20A0">
              <w:t xml:space="preserve">Instances of </w:t>
            </w:r>
            <w:r w:rsidRPr="00EC20A0">
              <w:rPr>
                <w:spacing w:val="-2"/>
              </w:rPr>
              <w:t>noncompliance?</w:t>
            </w:r>
          </w:p>
        </w:tc>
      </w:tr>
      <w:tr w:rsidR="00245300" w:rsidRPr="00EC20A0" w14:paraId="24D60E4C" w14:textId="77777777">
        <w:trPr>
          <w:trHeight w:val="2191"/>
        </w:trPr>
        <w:tc>
          <w:tcPr>
            <w:tcW w:w="5364" w:type="dxa"/>
            <w:tcBorders>
              <w:right w:val="single" w:sz="4" w:space="0" w:color="000000"/>
            </w:tcBorders>
          </w:tcPr>
          <w:p w14:paraId="24D60E43" w14:textId="77777777" w:rsidR="00245300" w:rsidRPr="00EC20A0" w:rsidRDefault="00F17249">
            <w:pPr>
              <w:pStyle w:val="TableParagraph"/>
              <w:spacing w:before="145"/>
              <w:ind w:left="97"/>
              <w:rPr>
                <w:sz w:val="18"/>
              </w:rPr>
            </w:pPr>
            <w:r w:rsidRPr="00EC20A0">
              <w:rPr>
                <w:smallCaps/>
                <w:sz w:val="18"/>
              </w:rPr>
              <w:t>803.01.</w:t>
            </w:r>
            <w:r w:rsidRPr="00EC20A0">
              <w:rPr>
                <w:smallCaps/>
                <w:spacing w:val="-4"/>
                <w:sz w:val="18"/>
              </w:rPr>
              <w:t xml:space="preserve"> </w:t>
            </w:r>
            <w:r w:rsidRPr="00EC20A0">
              <w:rPr>
                <w:smallCaps/>
                <w:spacing w:val="14"/>
                <w:sz w:val="18"/>
              </w:rPr>
              <w:t xml:space="preserve"> </w:t>
            </w:r>
            <w:r w:rsidRPr="00EC20A0">
              <w:rPr>
                <w:smallCaps/>
                <w:sz w:val="18"/>
              </w:rPr>
              <w:t>Limitations</w:t>
            </w:r>
            <w:r w:rsidRPr="00EC20A0">
              <w:rPr>
                <w:smallCaps/>
                <w:spacing w:val="-4"/>
                <w:sz w:val="18"/>
              </w:rPr>
              <w:t xml:space="preserve"> </w:t>
            </w:r>
            <w:r w:rsidRPr="00EC20A0">
              <w:rPr>
                <w:smallCaps/>
                <w:sz w:val="18"/>
              </w:rPr>
              <w:t>on</w:t>
            </w:r>
            <w:r w:rsidRPr="00EC20A0">
              <w:rPr>
                <w:smallCaps/>
                <w:spacing w:val="-4"/>
                <w:sz w:val="18"/>
              </w:rPr>
              <w:t xml:space="preserve"> </w:t>
            </w:r>
            <w:r w:rsidRPr="00EC20A0">
              <w:rPr>
                <w:smallCaps/>
                <w:sz w:val="18"/>
              </w:rPr>
              <w:t>Excess</w:t>
            </w:r>
            <w:r w:rsidRPr="00EC20A0">
              <w:rPr>
                <w:smallCaps/>
                <w:spacing w:val="-4"/>
                <w:sz w:val="18"/>
              </w:rPr>
              <w:t xml:space="preserve"> </w:t>
            </w:r>
            <w:r w:rsidRPr="00EC20A0">
              <w:rPr>
                <w:smallCaps/>
                <w:sz w:val="18"/>
              </w:rPr>
              <w:t>Expenditures</w:t>
            </w:r>
            <w:r w:rsidRPr="00EC20A0">
              <w:rPr>
                <w:smallCaps/>
                <w:spacing w:val="-5"/>
                <w:sz w:val="18"/>
              </w:rPr>
              <w:t xml:space="preserve"> </w:t>
            </w:r>
            <w:r w:rsidRPr="00EC20A0">
              <w:rPr>
                <w:smallCaps/>
                <w:sz w:val="18"/>
              </w:rPr>
              <w:t>and</w:t>
            </w:r>
            <w:r w:rsidRPr="00EC20A0">
              <w:rPr>
                <w:smallCaps/>
                <w:spacing w:val="-3"/>
                <w:sz w:val="18"/>
              </w:rPr>
              <w:t xml:space="preserve"> </w:t>
            </w:r>
            <w:r w:rsidRPr="00EC20A0">
              <w:rPr>
                <w:smallCaps/>
                <w:spacing w:val="-2"/>
                <w:sz w:val="18"/>
              </w:rPr>
              <w:t>Obligations</w:t>
            </w:r>
          </w:p>
          <w:p w14:paraId="24D60E44" w14:textId="77777777" w:rsidR="00245300" w:rsidRPr="00EC20A0" w:rsidRDefault="00F17249">
            <w:pPr>
              <w:pStyle w:val="TableParagraph"/>
              <w:spacing w:before="143"/>
              <w:ind w:left="97"/>
              <w:rPr>
                <w:sz w:val="18"/>
              </w:rPr>
            </w:pPr>
            <w:r w:rsidRPr="00EC20A0">
              <w:rPr>
                <w:sz w:val="18"/>
              </w:rPr>
              <w:t>Provision</w:t>
            </w:r>
            <w:r w:rsidRPr="00EC20A0">
              <w:rPr>
                <w:spacing w:val="-7"/>
                <w:sz w:val="18"/>
              </w:rPr>
              <w:t xml:space="preserve"> </w:t>
            </w:r>
            <w:r w:rsidRPr="00EC20A0">
              <w:rPr>
                <w:sz w:val="18"/>
              </w:rPr>
              <w:t>Type:</w:t>
            </w:r>
            <w:r w:rsidRPr="00EC20A0">
              <w:rPr>
                <w:spacing w:val="-6"/>
                <w:sz w:val="18"/>
              </w:rPr>
              <w:t xml:space="preserve"> </w:t>
            </w:r>
            <w:r w:rsidRPr="00EC20A0">
              <w:rPr>
                <w:sz w:val="18"/>
              </w:rPr>
              <w:t>Quantitative-</w:t>
            </w:r>
            <w:r w:rsidRPr="00EC20A0">
              <w:rPr>
                <w:spacing w:val="-2"/>
                <w:sz w:val="18"/>
              </w:rPr>
              <w:t>based.</w:t>
            </w:r>
          </w:p>
          <w:p w14:paraId="24D60E45" w14:textId="77777777" w:rsidR="00245300" w:rsidRPr="00EC20A0" w:rsidRDefault="00F17249">
            <w:pPr>
              <w:pStyle w:val="TableParagraph"/>
              <w:spacing w:before="144"/>
              <w:ind w:left="97"/>
              <w:rPr>
                <w:sz w:val="18"/>
              </w:rPr>
            </w:pPr>
            <w:r w:rsidRPr="00EC20A0">
              <w:rPr>
                <w:sz w:val="18"/>
              </w:rPr>
              <w:t>The entity’s officers or employees shall not make or authorize expenditures</w:t>
            </w:r>
            <w:r w:rsidRPr="00EC20A0">
              <w:rPr>
                <w:spacing w:val="-5"/>
                <w:sz w:val="18"/>
              </w:rPr>
              <w:t xml:space="preserve"> </w:t>
            </w:r>
            <w:r w:rsidRPr="00EC20A0">
              <w:rPr>
                <w:sz w:val="18"/>
              </w:rPr>
              <w:t>or</w:t>
            </w:r>
            <w:r w:rsidRPr="00EC20A0">
              <w:rPr>
                <w:spacing w:val="-5"/>
                <w:sz w:val="18"/>
              </w:rPr>
              <w:t xml:space="preserve"> </w:t>
            </w:r>
            <w:r w:rsidRPr="00EC20A0">
              <w:rPr>
                <w:sz w:val="18"/>
              </w:rPr>
              <w:t>obligations</w:t>
            </w:r>
            <w:r w:rsidRPr="00EC20A0">
              <w:rPr>
                <w:spacing w:val="-5"/>
                <w:sz w:val="18"/>
              </w:rPr>
              <w:t xml:space="preserve"> </w:t>
            </w:r>
            <w:r w:rsidRPr="00EC20A0">
              <w:rPr>
                <w:sz w:val="18"/>
              </w:rPr>
              <w:t>that</w:t>
            </w:r>
            <w:r w:rsidRPr="00EC20A0">
              <w:rPr>
                <w:spacing w:val="-5"/>
                <w:sz w:val="18"/>
              </w:rPr>
              <w:t xml:space="preserve"> </w:t>
            </w:r>
            <w:r w:rsidRPr="00EC20A0">
              <w:rPr>
                <w:sz w:val="18"/>
              </w:rPr>
              <w:t>exceed</w:t>
            </w:r>
            <w:r w:rsidRPr="00EC20A0">
              <w:rPr>
                <w:spacing w:val="-6"/>
                <w:sz w:val="18"/>
              </w:rPr>
              <w:t xml:space="preserve"> </w:t>
            </w:r>
            <w:r w:rsidRPr="00EC20A0">
              <w:rPr>
                <w:sz w:val="18"/>
              </w:rPr>
              <w:t>the</w:t>
            </w:r>
            <w:r w:rsidRPr="00EC20A0">
              <w:rPr>
                <w:spacing w:val="-6"/>
                <w:sz w:val="18"/>
              </w:rPr>
              <w:t xml:space="preserve"> </w:t>
            </w:r>
            <w:r w:rsidRPr="00EC20A0">
              <w:rPr>
                <w:sz w:val="18"/>
              </w:rPr>
              <w:t>amount</w:t>
            </w:r>
            <w:r w:rsidRPr="00EC20A0">
              <w:rPr>
                <w:spacing w:val="-5"/>
                <w:sz w:val="18"/>
              </w:rPr>
              <w:t xml:space="preserve"> </w:t>
            </w:r>
            <w:r w:rsidRPr="00EC20A0">
              <w:rPr>
                <w:sz w:val="18"/>
              </w:rPr>
              <w:t>available</w:t>
            </w:r>
            <w:r w:rsidRPr="00EC20A0">
              <w:rPr>
                <w:spacing w:val="-6"/>
                <w:sz w:val="18"/>
              </w:rPr>
              <w:t xml:space="preserve"> </w:t>
            </w:r>
            <w:r w:rsidRPr="00EC20A0">
              <w:rPr>
                <w:sz w:val="18"/>
              </w:rPr>
              <w:t>for expenditure or obligation in an appropriation or a fund, unless authorized by law. 31 U.S.C. § 1341(a)(1)(A).</w:t>
            </w:r>
          </w:p>
        </w:tc>
        <w:tc>
          <w:tcPr>
            <w:tcW w:w="1710" w:type="dxa"/>
            <w:tcBorders>
              <w:left w:val="single" w:sz="4" w:space="0" w:color="000000"/>
              <w:right w:val="single" w:sz="4" w:space="0" w:color="000000"/>
            </w:tcBorders>
          </w:tcPr>
          <w:p w14:paraId="24D60E46" w14:textId="77777777" w:rsidR="00245300" w:rsidRPr="00EC20A0" w:rsidRDefault="00F17249">
            <w:pPr>
              <w:pStyle w:val="TableParagraph"/>
              <w:spacing w:before="143"/>
              <w:ind w:left="107" w:right="131"/>
              <w:rPr>
                <w:sz w:val="18"/>
              </w:rPr>
            </w:pPr>
            <w:r w:rsidRPr="00EC20A0">
              <w:rPr>
                <w:sz w:val="18"/>
              </w:rPr>
              <w:t>Expenditures or obligations</w:t>
            </w:r>
            <w:r w:rsidRPr="00EC20A0">
              <w:rPr>
                <w:spacing w:val="-15"/>
                <w:sz w:val="18"/>
              </w:rPr>
              <w:t xml:space="preserve"> </w:t>
            </w:r>
            <w:r w:rsidRPr="00EC20A0">
              <w:rPr>
                <w:sz w:val="18"/>
              </w:rPr>
              <w:t>do</w:t>
            </w:r>
            <w:r w:rsidRPr="00EC20A0">
              <w:rPr>
                <w:spacing w:val="-12"/>
                <w:sz w:val="18"/>
              </w:rPr>
              <w:t xml:space="preserve"> </w:t>
            </w:r>
            <w:r w:rsidRPr="00EC20A0">
              <w:rPr>
                <w:sz w:val="18"/>
              </w:rPr>
              <w:t>not exceed the amount available for</w:t>
            </w:r>
            <w:r w:rsidRPr="00EC20A0">
              <w:rPr>
                <w:spacing w:val="-15"/>
                <w:sz w:val="18"/>
              </w:rPr>
              <w:t xml:space="preserve"> </w:t>
            </w:r>
            <w:r w:rsidRPr="00EC20A0">
              <w:rPr>
                <w:sz w:val="18"/>
              </w:rPr>
              <w:t>expenditure</w:t>
            </w:r>
            <w:r w:rsidRPr="00EC20A0">
              <w:rPr>
                <w:spacing w:val="-12"/>
                <w:sz w:val="18"/>
              </w:rPr>
              <w:t xml:space="preserve"> </w:t>
            </w:r>
            <w:r w:rsidRPr="00EC20A0">
              <w:rPr>
                <w:sz w:val="18"/>
              </w:rPr>
              <w:t>or obligation in an appropriation</w:t>
            </w:r>
            <w:r w:rsidRPr="00EC20A0">
              <w:rPr>
                <w:spacing w:val="-15"/>
                <w:sz w:val="18"/>
              </w:rPr>
              <w:t xml:space="preserve"> </w:t>
            </w:r>
            <w:r w:rsidRPr="00EC20A0">
              <w:rPr>
                <w:sz w:val="18"/>
              </w:rPr>
              <w:t>or</w:t>
            </w:r>
            <w:r w:rsidRPr="00EC20A0">
              <w:rPr>
                <w:spacing w:val="-12"/>
                <w:sz w:val="18"/>
              </w:rPr>
              <w:t xml:space="preserve"> </w:t>
            </w:r>
            <w:r w:rsidRPr="00EC20A0">
              <w:rPr>
                <w:sz w:val="18"/>
              </w:rPr>
              <w:t xml:space="preserve">a </w:t>
            </w:r>
            <w:r w:rsidRPr="00EC20A0">
              <w:rPr>
                <w:spacing w:val="-2"/>
                <w:sz w:val="18"/>
              </w:rPr>
              <w:t>fund.</w:t>
            </w:r>
          </w:p>
        </w:tc>
        <w:tc>
          <w:tcPr>
            <w:tcW w:w="1620" w:type="dxa"/>
            <w:tcBorders>
              <w:left w:val="single" w:sz="4" w:space="0" w:color="000000"/>
              <w:right w:val="single" w:sz="4" w:space="0" w:color="000000"/>
            </w:tcBorders>
          </w:tcPr>
          <w:p w14:paraId="24D60E47" w14:textId="77777777" w:rsidR="00245300" w:rsidRPr="00EC20A0" w:rsidRDefault="00F17249">
            <w:pPr>
              <w:pStyle w:val="TableParagraph"/>
              <w:spacing w:before="143"/>
              <w:ind w:left="107" w:right="215"/>
              <w:rPr>
                <w:sz w:val="12"/>
              </w:rPr>
            </w:pPr>
            <w:r w:rsidRPr="00EC20A0">
              <w:rPr>
                <w:sz w:val="18"/>
              </w:rPr>
              <w:t>[Document the control</w:t>
            </w:r>
            <w:r w:rsidRPr="00EC20A0">
              <w:rPr>
                <w:spacing w:val="-13"/>
                <w:sz w:val="18"/>
              </w:rPr>
              <w:t xml:space="preserve"> </w:t>
            </w:r>
            <w:r w:rsidRPr="00EC20A0">
              <w:rPr>
                <w:sz w:val="18"/>
              </w:rPr>
              <w:t>activities that the entity used</w:t>
            </w:r>
            <w:r w:rsidRPr="00EC20A0">
              <w:rPr>
                <w:spacing w:val="-9"/>
                <w:sz w:val="18"/>
              </w:rPr>
              <w:t xml:space="preserve"> </w:t>
            </w:r>
            <w:r w:rsidRPr="00EC20A0">
              <w:rPr>
                <w:sz w:val="18"/>
              </w:rPr>
              <w:t>to</w:t>
            </w:r>
            <w:r w:rsidRPr="00EC20A0">
              <w:rPr>
                <w:spacing w:val="-9"/>
                <w:sz w:val="18"/>
              </w:rPr>
              <w:t xml:space="preserve"> </w:t>
            </w:r>
            <w:r w:rsidRPr="00EC20A0">
              <w:rPr>
                <w:sz w:val="18"/>
              </w:rPr>
              <w:t>achieve the objective.]</w:t>
            </w:r>
            <w:hyperlink w:anchor="_bookmark74" w:history="1">
              <w:r w:rsidRPr="00EC20A0">
                <w:rPr>
                  <w:position w:val="6"/>
                  <w:sz w:val="12"/>
                </w:rPr>
                <w:t>2</w:t>
              </w:r>
            </w:hyperlink>
          </w:p>
        </w:tc>
        <w:tc>
          <w:tcPr>
            <w:tcW w:w="1350" w:type="dxa"/>
            <w:tcBorders>
              <w:left w:val="single" w:sz="4" w:space="0" w:color="000000"/>
              <w:right w:val="single" w:sz="4" w:space="0" w:color="000000"/>
            </w:tcBorders>
          </w:tcPr>
          <w:p w14:paraId="24D60E48" w14:textId="77777777" w:rsidR="00245300" w:rsidRPr="00EC20A0" w:rsidRDefault="00F17249">
            <w:pPr>
              <w:pStyle w:val="TableParagraph"/>
              <w:spacing w:before="143"/>
              <w:ind w:left="107" w:right="165"/>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529" w:type="dxa"/>
            <w:tcBorders>
              <w:left w:val="single" w:sz="4" w:space="0" w:color="000000"/>
              <w:right w:val="single" w:sz="4" w:space="0" w:color="000000"/>
            </w:tcBorders>
          </w:tcPr>
          <w:p w14:paraId="24D60E49" w14:textId="77777777" w:rsidR="00245300" w:rsidRPr="00EC20A0" w:rsidRDefault="00F17249">
            <w:pPr>
              <w:pStyle w:val="TableParagraph"/>
              <w:spacing w:before="143"/>
              <w:ind w:left="107"/>
              <w:rPr>
                <w:sz w:val="18"/>
              </w:rPr>
            </w:pPr>
            <w:r w:rsidRPr="00EC20A0">
              <w:rPr>
                <w:sz w:val="18"/>
              </w:rPr>
              <w:t xml:space="preserve">[Indicate yes or no; include reference to </w:t>
            </w:r>
            <w:r w:rsidRPr="00EC20A0">
              <w:rPr>
                <w:spacing w:val="-2"/>
                <w:sz w:val="18"/>
              </w:rPr>
              <w:t>supporting documentation.]</w:t>
            </w:r>
          </w:p>
        </w:tc>
        <w:tc>
          <w:tcPr>
            <w:tcW w:w="1819" w:type="dxa"/>
            <w:tcBorders>
              <w:left w:val="single" w:sz="4" w:space="0" w:color="000000"/>
            </w:tcBorders>
          </w:tcPr>
          <w:p w14:paraId="24D60E4A" w14:textId="77777777" w:rsidR="00245300" w:rsidRPr="00EC20A0" w:rsidRDefault="00F17249">
            <w:pPr>
              <w:pStyle w:val="TableParagraph"/>
              <w:spacing w:before="143"/>
              <w:ind w:left="107"/>
              <w:rPr>
                <w:sz w:val="18"/>
              </w:rPr>
            </w:pPr>
            <w:r w:rsidRPr="00EC20A0">
              <w:rPr>
                <w:sz w:val="18"/>
              </w:rPr>
              <w:t>[Indicate yes or no; include</w:t>
            </w:r>
            <w:r w:rsidRPr="00EC20A0">
              <w:rPr>
                <w:spacing w:val="-15"/>
                <w:sz w:val="18"/>
              </w:rPr>
              <w:t xml:space="preserve"> </w:t>
            </w:r>
            <w:r w:rsidRPr="00EC20A0">
              <w:rPr>
                <w:sz w:val="18"/>
              </w:rPr>
              <w:t>reference</w:t>
            </w:r>
            <w:r w:rsidRPr="00EC20A0">
              <w:rPr>
                <w:spacing w:val="-12"/>
                <w:sz w:val="18"/>
              </w:rPr>
              <w:t xml:space="preserve"> </w:t>
            </w:r>
            <w:r w:rsidRPr="00EC20A0">
              <w:rPr>
                <w:sz w:val="18"/>
              </w:rPr>
              <w:t xml:space="preserve">to </w:t>
            </w:r>
            <w:r w:rsidRPr="00EC20A0">
              <w:rPr>
                <w:spacing w:val="-2"/>
                <w:sz w:val="18"/>
              </w:rPr>
              <w:t xml:space="preserve">supporting </w:t>
            </w:r>
            <w:r w:rsidRPr="00EC20A0">
              <w:rPr>
                <w:spacing w:val="-2"/>
                <w:sz w:val="18"/>
              </w:rPr>
              <w:t>documentation.]</w:t>
            </w:r>
          </w:p>
          <w:p w14:paraId="24D60E4B" w14:textId="77777777" w:rsidR="00245300" w:rsidRPr="00EC20A0" w:rsidRDefault="00F17249">
            <w:pPr>
              <w:pStyle w:val="TableParagraph"/>
              <w:spacing w:before="144"/>
              <w:ind w:left="107" w:right="254"/>
              <w:rPr>
                <w:sz w:val="18"/>
              </w:rPr>
            </w:pPr>
            <w:r w:rsidRPr="00EC20A0">
              <w:rPr>
                <w:sz w:val="18"/>
              </w:rPr>
              <w:t>See Compliance Audit</w:t>
            </w:r>
            <w:r w:rsidRPr="00EC20A0">
              <w:rPr>
                <w:spacing w:val="-13"/>
                <w:sz w:val="18"/>
              </w:rPr>
              <w:t xml:space="preserve"> </w:t>
            </w:r>
            <w:r w:rsidRPr="00EC20A0">
              <w:rPr>
                <w:sz w:val="18"/>
              </w:rPr>
              <w:t>Procedures, FAM 803 step 3.</w:t>
            </w:r>
          </w:p>
        </w:tc>
      </w:tr>
    </w:tbl>
    <w:p w14:paraId="24D60E4D" w14:textId="77777777" w:rsidR="00245300" w:rsidRPr="00EC20A0" w:rsidRDefault="00245300">
      <w:pPr>
        <w:pStyle w:val="BodyText"/>
        <w:rPr>
          <w:i/>
          <w:sz w:val="20"/>
        </w:rPr>
      </w:pPr>
    </w:p>
    <w:p w14:paraId="24D60E4E" w14:textId="77777777" w:rsidR="00245300" w:rsidRPr="00EC20A0" w:rsidRDefault="00245300">
      <w:pPr>
        <w:pStyle w:val="BodyText"/>
        <w:rPr>
          <w:i/>
          <w:sz w:val="20"/>
        </w:rPr>
      </w:pPr>
    </w:p>
    <w:p w14:paraId="24D60E4F" w14:textId="77777777" w:rsidR="00245300" w:rsidRPr="00EC20A0" w:rsidRDefault="00F17249">
      <w:pPr>
        <w:pStyle w:val="BodyText"/>
        <w:spacing w:before="225"/>
        <w:rPr>
          <w:i/>
          <w:sz w:val="20"/>
        </w:rPr>
      </w:pPr>
      <w:r w:rsidRPr="00EC20A0">
        <w:rPr>
          <w:noProof/>
        </w:rPr>
        <mc:AlternateContent>
          <mc:Choice Requires="wps">
            <w:drawing>
              <wp:anchor distT="0" distB="0" distL="0" distR="0" simplePos="0" relativeHeight="487634944" behindDoc="1" locked="0" layoutInCell="1" allowOverlap="1" wp14:anchorId="24D62B75" wp14:editId="24D62B76">
                <wp:simplePos x="0" y="0"/>
                <wp:positionH relativeFrom="page">
                  <wp:posOffset>685800</wp:posOffset>
                </wp:positionH>
                <wp:positionV relativeFrom="paragraph">
                  <wp:posOffset>304450</wp:posOffset>
                </wp:positionV>
                <wp:extent cx="1828800" cy="6985"/>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CA07E2" id="Graphic 408" o:spid="_x0000_s1026" style="position:absolute;margin-left:54pt;margin-top:23.95pt;width:2in;height:.55pt;z-index:-156815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" path="m1828800,l,,,6857r1828800,l1828800,xe" fillcolor="black" stroked="f">
                <v:path arrowok="t"/>
                <w10:wrap type="topAndBottom" anchorx="page"/>
              </v:shape>
            </w:pict>
          </mc:Fallback>
        </mc:AlternateContent>
      </w:r>
    </w:p>
    <w:p w14:paraId="24D60E50" w14:textId="77777777" w:rsidR="00245300" w:rsidRPr="00EC20A0" w:rsidRDefault="00245300">
      <w:pPr>
        <w:pStyle w:val="BodyText"/>
        <w:spacing w:before="10"/>
        <w:rPr>
          <w:i/>
          <w:sz w:val="18"/>
        </w:rPr>
      </w:pPr>
    </w:p>
    <w:p w14:paraId="24D60E51" w14:textId="77777777" w:rsidR="00245300" w:rsidRPr="00EC20A0" w:rsidRDefault="00F17249">
      <w:pPr>
        <w:spacing w:line="242" w:lineRule="auto"/>
        <w:ind w:left="119" w:right="294"/>
        <w:rPr>
          <w:sz w:val="18"/>
        </w:rPr>
      </w:pPr>
      <w:r w:rsidRPr="00EC20A0">
        <w:rPr>
          <w:position w:val="7"/>
          <w:sz w:val="14"/>
        </w:rPr>
        <w:t>2</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should</w:t>
      </w:r>
      <w:r w:rsidRPr="00EC20A0">
        <w:rPr>
          <w:spacing w:val="-3"/>
          <w:sz w:val="18"/>
        </w:rPr>
        <w:t xml:space="preserve"> </w:t>
      </w:r>
      <w:r w:rsidRPr="00EC20A0">
        <w:rPr>
          <w:sz w:val="18"/>
        </w:rPr>
        <w:t>consider</w:t>
      </w:r>
      <w:r w:rsidRPr="00EC20A0">
        <w:rPr>
          <w:spacing w:val="-2"/>
          <w:sz w:val="18"/>
        </w:rPr>
        <w:t xml:space="preserve"> </w:t>
      </w:r>
      <w:r w:rsidRPr="00EC20A0">
        <w:rPr>
          <w:sz w:val="18"/>
        </w:rPr>
        <w:t>the</w:t>
      </w:r>
      <w:r w:rsidRPr="00EC20A0">
        <w:rPr>
          <w:spacing w:val="-3"/>
          <w:sz w:val="18"/>
        </w:rPr>
        <w:t xml:space="preserve"> </w:t>
      </w:r>
      <w:r w:rsidRPr="00EC20A0">
        <w:rPr>
          <w:sz w:val="18"/>
        </w:rPr>
        <w:t>results</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evaluation</w:t>
      </w:r>
      <w:r w:rsidRPr="00EC20A0">
        <w:rPr>
          <w:spacing w:val="-3"/>
          <w:sz w:val="18"/>
        </w:rPr>
        <w:t xml:space="preserve"> </w:t>
      </w:r>
      <w:r w:rsidRPr="00EC20A0">
        <w:rPr>
          <w:sz w:val="18"/>
        </w:rPr>
        <w:t>and</w:t>
      </w:r>
      <w:r w:rsidRPr="00EC20A0">
        <w:rPr>
          <w:spacing w:val="-3"/>
          <w:sz w:val="18"/>
        </w:rPr>
        <w:t xml:space="preserve"> </w:t>
      </w:r>
      <w:r w:rsidRPr="00EC20A0">
        <w:rPr>
          <w:sz w:val="18"/>
        </w:rPr>
        <w:t>testing</w:t>
      </w:r>
      <w:r w:rsidRPr="00EC20A0">
        <w:rPr>
          <w:spacing w:val="-3"/>
          <w:sz w:val="18"/>
        </w:rPr>
        <w:t xml:space="preserve"> </w:t>
      </w:r>
      <w:r w:rsidRPr="00EC20A0">
        <w:rPr>
          <w:sz w:val="18"/>
        </w:rPr>
        <w:t>of</w:t>
      </w:r>
      <w:r w:rsidRPr="00EC20A0">
        <w:rPr>
          <w:spacing w:val="-2"/>
          <w:sz w:val="18"/>
        </w:rPr>
        <w:t xml:space="preserve"> </w:t>
      </w:r>
      <w:r w:rsidRPr="00EC20A0">
        <w:rPr>
          <w:sz w:val="18"/>
        </w:rPr>
        <w:t>budget</w:t>
      </w:r>
      <w:r w:rsidRPr="00EC20A0">
        <w:rPr>
          <w:spacing w:val="-1"/>
          <w:sz w:val="18"/>
        </w:rPr>
        <w:t xml:space="preserve"> </w:t>
      </w:r>
      <w:r w:rsidRPr="00EC20A0">
        <w:rPr>
          <w:sz w:val="18"/>
        </w:rPr>
        <w:t>controls</w:t>
      </w:r>
      <w:r w:rsidRPr="00EC20A0">
        <w:rPr>
          <w:spacing w:val="-2"/>
          <w:sz w:val="18"/>
        </w:rPr>
        <w:t xml:space="preserve"> </w:t>
      </w:r>
      <w:r w:rsidRPr="00EC20A0">
        <w:rPr>
          <w:sz w:val="18"/>
        </w:rPr>
        <w:t>(FAM</w:t>
      </w:r>
      <w:r w:rsidRPr="00EC20A0">
        <w:rPr>
          <w:spacing w:val="-2"/>
          <w:sz w:val="18"/>
        </w:rPr>
        <w:t xml:space="preserve"> </w:t>
      </w:r>
      <w:r w:rsidRPr="00EC20A0">
        <w:rPr>
          <w:sz w:val="18"/>
        </w:rPr>
        <w:t>370.12).</w:t>
      </w:r>
      <w:r w:rsidRPr="00EC20A0">
        <w:rPr>
          <w:spacing w:val="-2"/>
          <w:sz w:val="18"/>
        </w:rPr>
        <w:t xml:space="preserve"> </w:t>
      </w:r>
      <w:r w:rsidRPr="00EC20A0">
        <w:rPr>
          <w:sz w:val="18"/>
        </w:rPr>
        <w:t>These</w:t>
      </w:r>
      <w:r w:rsidRPr="00EC20A0">
        <w:rPr>
          <w:spacing w:val="-3"/>
          <w:sz w:val="18"/>
        </w:rPr>
        <w:t xml:space="preserve"> </w:t>
      </w:r>
      <w:r w:rsidRPr="00EC20A0">
        <w:rPr>
          <w:sz w:val="18"/>
        </w:rPr>
        <w:t>controls</w:t>
      </w:r>
      <w:r w:rsidRPr="00EC20A0">
        <w:rPr>
          <w:spacing w:val="-1"/>
          <w:sz w:val="18"/>
        </w:rPr>
        <w:t xml:space="preserve"> </w:t>
      </w:r>
      <w:r w:rsidRPr="00EC20A0">
        <w:rPr>
          <w:sz w:val="18"/>
        </w:rPr>
        <w:t>relate</w:t>
      </w:r>
      <w:r w:rsidRPr="00EC20A0">
        <w:rPr>
          <w:spacing w:val="-3"/>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execution</w:t>
      </w:r>
      <w:r w:rsidRPr="00EC20A0">
        <w:rPr>
          <w:spacing w:val="-3"/>
          <w:sz w:val="18"/>
        </w:rPr>
        <w:t xml:space="preserve"> </w:t>
      </w:r>
      <w:r w:rsidRPr="00EC20A0">
        <w:rPr>
          <w:sz w:val="18"/>
        </w:rPr>
        <w:t>of</w:t>
      </w:r>
      <w:r w:rsidRPr="00EC20A0">
        <w:rPr>
          <w:spacing w:val="-2"/>
          <w:sz w:val="18"/>
        </w:rPr>
        <w:t xml:space="preserve"> </w:t>
      </w:r>
      <w:r w:rsidRPr="00EC20A0">
        <w:rPr>
          <w:sz w:val="18"/>
        </w:rPr>
        <w:t>budget</w:t>
      </w:r>
      <w:r w:rsidRPr="00EC20A0">
        <w:rPr>
          <w:spacing w:val="-2"/>
          <w:sz w:val="18"/>
        </w:rPr>
        <w:t xml:space="preserve"> </w:t>
      </w:r>
      <w:r w:rsidRPr="00EC20A0">
        <w:rPr>
          <w:sz w:val="18"/>
        </w:rPr>
        <w:t>authority</w:t>
      </w:r>
      <w:r w:rsidRPr="00EC20A0">
        <w:rPr>
          <w:spacing w:val="-2"/>
          <w:sz w:val="18"/>
        </w:rPr>
        <w:t xml:space="preserve"> </w:t>
      </w:r>
      <w:r w:rsidRPr="00EC20A0">
        <w:rPr>
          <w:sz w:val="18"/>
        </w:rPr>
        <w:t xml:space="preserve">and usually are the same controls that are used to comply with the </w:t>
      </w:r>
      <w:proofErr w:type="spellStart"/>
      <w:r w:rsidRPr="00EC20A0">
        <w:rPr>
          <w:sz w:val="18"/>
        </w:rPr>
        <w:t>Antideficiency</w:t>
      </w:r>
      <w:proofErr w:type="spellEnd"/>
      <w:r w:rsidRPr="00EC20A0">
        <w:rPr>
          <w:sz w:val="18"/>
        </w:rPr>
        <w:t xml:space="preserve"> Act. Accordingly, additional determinations of controls that achieve the compliance objective</w:t>
      </w:r>
      <w:r w:rsidRPr="00EC20A0">
        <w:rPr>
          <w:spacing w:val="-1"/>
          <w:sz w:val="18"/>
        </w:rPr>
        <w:t xml:space="preserve"> </w:t>
      </w:r>
      <w:r w:rsidRPr="00EC20A0">
        <w:rPr>
          <w:sz w:val="18"/>
        </w:rPr>
        <w:t>generally are</w:t>
      </w:r>
      <w:r w:rsidRPr="00EC20A0">
        <w:rPr>
          <w:spacing w:val="-1"/>
          <w:sz w:val="18"/>
        </w:rPr>
        <w:t xml:space="preserve"> </w:t>
      </w:r>
      <w:r w:rsidRPr="00EC20A0">
        <w:rPr>
          <w:sz w:val="18"/>
        </w:rPr>
        <w:t>not necessary if the</w:t>
      </w:r>
      <w:r w:rsidRPr="00EC20A0">
        <w:rPr>
          <w:spacing w:val="-1"/>
          <w:sz w:val="18"/>
        </w:rPr>
        <w:t xml:space="preserve"> </w:t>
      </w:r>
      <w:r w:rsidRPr="00EC20A0">
        <w:rPr>
          <w:sz w:val="18"/>
        </w:rPr>
        <w:t>auditor has assessed</w:t>
      </w:r>
      <w:r w:rsidRPr="00EC20A0">
        <w:rPr>
          <w:spacing w:val="-1"/>
          <w:sz w:val="18"/>
        </w:rPr>
        <w:t xml:space="preserve"> </w:t>
      </w:r>
      <w:r w:rsidRPr="00EC20A0">
        <w:rPr>
          <w:sz w:val="18"/>
        </w:rPr>
        <w:t>whether the</w:t>
      </w:r>
      <w:r w:rsidRPr="00EC20A0">
        <w:rPr>
          <w:spacing w:val="-1"/>
          <w:sz w:val="18"/>
        </w:rPr>
        <w:t xml:space="preserve"> </w:t>
      </w:r>
      <w:r w:rsidRPr="00EC20A0">
        <w:rPr>
          <w:sz w:val="18"/>
        </w:rPr>
        <w:t>entity achieves all of the</w:t>
      </w:r>
      <w:r w:rsidRPr="00EC20A0">
        <w:rPr>
          <w:spacing w:val="-1"/>
          <w:sz w:val="18"/>
        </w:rPr>
        <w:t xml:space="preserve"> </w:t>
      </w:r>
      <w:r w:rsidRPr="00EC20A0">
        <w:rPr>
          <w:sz w:val="18"/>
        </w:rPr>
        <w:t>budget control objectives listed</w:t>
      </w:r>
      <w:r w:rsidRPr="00EC20A0">
        <w:rPr>
          <w:spacing w:val="-1"/>
          <w:sz w:val="18"/>
        </w:rPr>
        <w:t xml:space="preserve"> </w:t>
      </w:r>
      <w:r w:rsidRPr="00EC20A0">
        <w:rPr>
          <w:sz w:val="18"/>
        </w:rPr>
        <w:t>in</w:t>
      </w:r>
      <w:r w:rsidRPr="00EC20A0">
        <w:rPr>
          <w:spacing w:val="-1"/>
          <w:sz w:val="18"/>
        </w:rPr>
        <w:t xml:space="preserve"> </w:t>
      </w:r>
      <w:r w:rsidRPr="00EC20A0">
        <w:rPr>
          <w:sz w:val="18"/>
        </w:rPr>
        <w:t>FAM 395</w:t>
      </w:r>
      <w:r w:rsidRPr="00EC20A0">
        <w:rPr>
          <w:spacing w:val="-1"/>
          <w:sz w:val="18"/>
        </w:rPr>
        <w:t xml:space="preserve"> </w:t>
      </w:r>
      <w:r w:rsidRPr="00EC20A0">
        <w:rPr>
          <w:sz w:val="18"/>
        </w:rPr>
        <w:t>F,</w:t>
      </w:r>
      <w:r w:rsidRPr="00EC20A0">
        <w:rPr>
          <w:spacing w:val="-1"/>
          <w:sz w:val="18"/>
        </w:rPr>
        <w:t xml:space="preserve"> </w:t>
      </w:r>
      <w:r w:rsidRPr="00EC20A0">
        <w:rPr>
          <w:i/>
          <w:sz w:val="18"/>
        </w:rPr>
        <w:t>Budget Control Objectives</w:t>
      </w:r>
      <w:r w:rsidRPr="00EC20A0">
        <w:rPr>
          <w:sz w:val="18"/>
        </w:rPr>
        <w:t>.</w:t>
      </w:r>
      <w:r w:rsidRPr="00EC20A0">
        <w:rPr>
          <w:spacing w:val="-1"/>
          <w:sz w:val="18"/>
        </w:rPr>
        <w:t xml:space="preserve"> </w:t>
      </w:r>
      <w:r w:rsidRPr="00EC20A0">
        <w:rPr>
          <w:sz w:val="18"/>
        </w:rPr>
        <w:t>The</w:t>
      </w:r>
      <w:r w:rsidRPr="00EC20A0">
        <w:rPr>
          <w:spacing w:val="-2"/>
          <w:sz w:val="18"/>
        </w:rPr>
        <w:t xml:space="preserve"> </w:t>
      </w:r>
      <w:r w:rsidRPr="00EC20A0">
        <w:rPr>
          <w:sz w:val="18"/>
        </w:rPr>
        <w:t>auditor</w:t>
      </w:r>
      <w:r w:rsidRPr="00EC20A0">
        <w:rPr>
          <w:spacing w:val="-1"/>
          <w:sz w:val="18"/>
        </w:rPr>
        <w:t xml:space="preserve"> </w:t>
      </w:r>
      <w:r w:rsidRPr="00EC20A0">
        <w:rPr>
          <w:sz w:val="18"/>
        </w:rPr>
        <w:t>should</w:t>
      </w:r>
      <w:r w:rsidRPr="00EC20A0">
        <w:rPr>
          <w:spacing w:val="-2"/>
          <w:sz w:val="18"/>
        </w:rPr>
        <w:t xml:space="preserve"> </w:t>
      </w:r>
      <w:r w:rsidRPr="00EC20A0">
        <w:rPr>
          <w:sz w:val="18"/>
        </w:rPr>
        <w:t>reference</w:t>
      </w:r>
      <w:r w:rsidRPr="00EC20A0">
        <w:rPr>
          <w:spacing w:val="-2"/>
          <w:sz w:val="18"/>
        </w:rPr>
        <w:t xml:space="preserve"> </w:t>
      </w:r>
      <w:r w:rsidRPr="00EC20A0">
        <w:rPr>
          <w:sz w:val="18"/>
        </w:rPr>
        <w:t>this</w:t>
      </w:r>
      <w:r w:rsidRPr="00EC20A0">
        <w:rPr>
          <w:spacing w:val="-1"/>
          <w:sz w:val="18"/>
        </w:rPr>
        <w:t xml:space="preserve"> </w:t>
      </w:r>
      <w:r w:rsidRPr="00EC20A0">
        <w:rPr>
          <w:sz w:val="18"/>
        </w:rPr>
        <w:t>compliance</w:t>
      </w:r>
      <w:r w:rsidRPr="00EC20A0">
        <w:rPr>
          <w:spacing w:val="-1"/>
          <w:sz w:val="18"/>
        </w:rPr>
        <w:t xml:space="preserve"> </w:t>
      </w:r>
      <w:r w:rsidRPr="00EC20A0">
        <w:rPr>
          <w:sz w:val="18"/>
        </w:rPr>
        <w:t>summary</w:t>
      </w:r>
      <w:r w:rsidRPr="00EC20A0">
        <w:rPr>
          <w:spacing w:val="-1"/>
          <w:sz w:val="18"/>
        </w:rPr>
        <w:t xml:space="preserve"> </w:t>
      </w:r>
      <w:r w:rsidRPr="00EC20A0">
        <w:rPr>
          <w:sz w:val="18"/>
        </w:rPr>
        <w:t>to</w:t>
      </w:r>
      <w:r w:rsidRPr="00EC20A0">
        <w:rPr>
          <w:spacing w:val="-2"/>
          <w:sz w:val="18"/>
        </w:rPr>
        <w:t xml:space="preserve"> </w:t>
      </w:r>
      <w:r w:rsidRPr="00EC20A0">
        <w:rPr>
          <w:sz w:val="18"/>
        </w:rPr>
        <w:t>the</w:t>
      </w:r>
      <w:r w:rsidRPr="00EC20A0">
        <w:rPr>
          <w:spacing w:val="-2"/>
          <w:sz w:val="18"/>
        </w:rPr>
        <w:t xml:space="preserve"> </w:t>
      </w:r>
      <w:r w:rsidRPr="00EC20A0">
        <w:rPr>
          <w:sz w:val="18"/>
        </w:rPr>
        <w:t>budget</w:t>
      </w:r>
      <w:r w:rsidRPr="00EC20A0">
        <w:rPr>
          <w:spacing w:val="-1"/>
          <w:sz w:val="18"/>
        </w:rPr>
        <w:t xml:space="preserve"> </w:t>
      </w:r>
      <w:r w:rsidRPr="00EC20A0">
        <w:rPr>
          <w:sz w:val="18"/>
        </w:rPr>
        <w:t>control</w:t>
      </w:r>
      <w:r w:rsidRPr="00EC20A0">
        <w:rPr>
          <w:spacing w:val="-1"/>
          <w:sz w:val="18"/>
        </w:rPr>
        <w:t xml:space="preserve"> </w:t>
      </w:r>
      <w:r w:rsidRPr="00EC20A0">
        <w:rPr>
          <w:sz w:val="18"/>
        </w:rPr>
        <w:t>evaluation</w:t>
      </w:r>
      <w:r w:rsidRPr="00EC20A0">
        <w:rPr>
          <w:spacing w:val="-2"/>
          <w:sz w:val="18"/>
        </w:rPr>
        <w:t xml:space="preserve"> </w:t>
      </w:r>
      <w:r w:rsidRPr="00EC20A0">
        <w:rPr>
          <w:sz w:val="18"/>
        </w:rPr>
        <w:t>and</w:t>
      </w:r>
      <w:r w:rsidRPr="00EC20A0">
        <w:rPr>
          <w:spacing w:val="-2"/>
          <w:sz w:val="18"/>
        </w:rPr>
        <w:t xml:space="preserve"> </w:t>
      </w:r>
      <w:r w:rsidRPr="00EC20A0">
        <w:rPr>
          <w:sz w:val="18"/>
        </w:rPr>
        <w:t>testing</w:t>
      </w:r>
      <w:r w:rsidRPr="00EC20A0">
        <w:rPr>
          <w:spacing w:val="-2"/>
          <w:sz w:val="18"/>
        </w:rPr>
        <w:t xml:space="preserve"> </w:t>
      </w:r>
      <w:r w:rsidRPr="00EC20A0">
        <w:rPr>
          <w:sz w:val="18"/>
        </w:rPr>
        <w:t>and</w:t>
      </w:r>
      <w:r w:rsidRPr="00EC20A0">
        <w:rPr>
          <w:spacing w:val="-2"/>
          <w:sz w:val="18"/>
        </w:rPr>
        <w:t xml:space="preserve"> </w:t>
      </w:r>
      <w:r w:rsidRPr="00EC20A0">
        <w:rPr>
          <w:sz w:val="18"/>
        </w:rPr>
        <w:t>perform</w:t>
      </w:r>
      <w:r w:rsidRPr="00EC20A0">
        <w:rPr>
          <w:spacing w:val="-1"/>
          <w:sz w:val="18"/>
        </w:rPr>
        <w:t xml:space="preserve"> </w:t>
      </w:r>
      <w:r w:rsidRPr="00EC20A0">
        <w:rPr>
          <w:sz w:val="18"/>
        </w:rPr>
        <w:t>any</w:t>
      </w:r>
      <w:r w:rsidRPr="00EC20A0">
        <w:rPr>
          <w:spacing w:val="-1"/>
          <w:sz w:val="18"/>
        </w:rPr>
        <w:t xml:space="preserve"> </w:t>
      </w:r>
      <w:r w:rsidRPr="00EC20A0">
        <w:rPr>
          <w:sz w:val="18"/>
        </w:rPr>
        <w:t>additional</w:t>
      </w:r>
      <w:r w:rsidRPr="00EC20A0">
        <w:rPr>
          <w:spacing w:val="-1"/>
          <w:sz w:val="18"/>
        </w:rPr>
        <w:t xml:space="preserve"> </w:t>
      </w:r>
      <w:r w:rsidRPr="00EC20A0">
        <w:rPr>
          <w:sz w:val="18"/>
        </w:rPr>
        <w:t>procedures</w:t>
      </w:r>
      <w:r w:rsidRPr="00EC20A0">
        <w:rPr>
          <w:spacing w:val="-1"/>
          <w:sz w:val="18"/>
        </w:rPr>
        <w:t xml:space="preserve"> </w:t>
      </w:r>
      <w:r w:rsidRPr="00EC20A0">
        <w:rPr>
          <w:sz w:val="18"/>
        </w:rPr>
        <w:t>determined</w:t>
      </w:r>
      <w:r w:rsidRPr="00EC20A0">
        <w:rPr>
          <w:spacing w:val="-2"/>
          <w:sz w:val="18"/>
        </w:rPr>
        <w:t xml:space="preserve"> </w:t>
      </w:r>
      <w:r w:rsidRPr="00EC20A0">
        <w:rPr>
          <w:sz w:val="18"/>
        </w:rPr>
        <w:t>to be necessary to c</w:t>
      </w:r>
      <w:r w:rsidRPr="00EC20A0">
        <w:rPr>
          <w:sz w:val="18"/>
        </w:rPr>
        <w:t>onclude on whether compliance controls are effective.</w:t>
      </w:r>
    </w:p>
    <w:p w14:paraId="24D60E52" w14:textId="77777777" w:rsidR="00245300" w:rsidRPr="00EC20A0" w:rsidRDefault="00245300">
      <w:pPr>
        <w:spacing w:line="242" w:lineRule="auto"/>
        <w:rPr>
          <w:sz w:val="18"/>
        </w:rPr>
        <w:sectPr w:rsidR="00245300" w:rsidRPr="00EC20A0">
          <w:headerReference w:type="default" r:id="rId98"/>
          <w:footerReference w:type="default" r:id="rId99"/>
          <w:pgSz w:w="15840" w:h="12240" w:orient="landscape"/>
          <w:pgMar w:top="1440" w:right="1220" w:bottom="960" w:left="960" w:header="721" w:footer="765" w:gutter="0"/>
          <w:pgNumType w:start="1"/>
          <w:cols w:space="720"/>
        </w:sectPr>
      </w:pPr>
    </w:p>
    <w:p w14:paraId="24D60E53" w14:textId="77777777" w:rsidR="00245300" w:rsidRPr="00EC20A0" w:rsidRDefault="00245300">
      <w:pPr>
        <w:pStyle w:val="BodyText"/>
        <w:spacing w:before="3"/>
        <w:rPr>
          <w:sz w:val="2"/>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64"/>
        <w:gridCol w:w="1710"/>
        <w:gridCol w:w="1620"/>
        <w:gridCol w:w="1350"/>
        <w:gridCol w:w="1529"/>
        <w:gridCol w:w="1819"/>
      </w:tblGrid>
      <w:tr w:rsidR="00245300" w:rsidRPr="00EC20A0" w14:paraId="24D60E57" w14:textId="77777777">
        <w:trPr>
          <w:trHeight w:val="1574"/>
        </w:trPr>
        <w:tc>
          <w:tcPr>
            <w:tcW w:w="13392" w:type="dxa"/>
            <w:gridSpan w:val="6"/>
          </w:tcPr>
          <w:p w14:paraId="24D60E54" w14:textId="77777777" w:rsidR="00245300" w:rsidRPr="00EC20A0" w:rsidRDefault="00F17249">
            <w:pPr>
              <w:pStyle w:val="TableParagraph"/>
              <w:tabs>
                <w:tab w:val="left" w:pos="9319"/>
              </w:tabs>
              <w:spacing w:before="144"/>
              <w:ind w:right="1947"/>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182" w:name="_bookmark75"/>
            <w:bookmarkEnd w:id="182"/>
            <w:r w:rsidRPr="00EC20A0">
              <w:t>Prepared</w:t>
            </w:r>
            <w:r w:rsidRPr="00EC20A0">
              <w:rPr>
                <w:spacing w:val="-11"/>
              </w:rPr>
              <w:t xml:space="preserve"> </w:t>
            </w:r>
            <w:r w:rsidRPr="00EC20A0">
              <w:rPr>
                <w:spacing w:val="-5"/>
              </w:rPr>
              <w:t>by:</w:t>
            </w:r>
          </w:p>
          <w:p w14:paraId="24D60E55" w14:textId="77777777" w:rsidR="00245300" w:rsidRPr="00EC20A0" w:rsidRDefault="00F17249">
            <w:pPr>
              <w:pStyle w:val="TableParagraph"/>
              <w:spacing w:before="12"/>
              <w:ind w:left="1972" w:right="1946"/>
              <w:jc w:val="center"/>
              <w:rPr>
                <w:b/>
                <w:sz w:val="24"/>
              </w:rPr>
            </w:pPr>
            <w:r w:rsidRPr="00EC20A0">
              <w:rPr>
                <w:noProof/>
              </w:rPr>
              <mc:AlternateContent>
                <mc:Choice Requires="wpg">
                  <w:drawing>
                    <wp:anchor distT="0" distB="0" distL="0" distR="0" simplePos="0" relativeHeight="475291648" behindDoc="1" locked="0" layoutInCell="1" allowOverlap="1" wp14:anchorId="24D62B77" wp14:editId="24D62B78">
                      <wp:simplePos x="0" y="0"/>
                      <wp:positionH relativeFrom="column">
                        <wp:posOffset>7058406</wp:posOffset>
                      </wp:positionH>
                      <wp:positionV relativeFrom="paragraph">
                        <wp:posOffset>91882</wp:posOffset>
                      </wp:positionV>
                      <wp:extent cx="1371600" cy="635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10" name="Graphic 410"/>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24CC98" id="Group 409" o:spid="_x0000_s1026" style="position:absolute;margin-left:555.8pt;margin-top:7.25pt;width:108pt;height:.5pt;z-index:-2802483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">
                      <v:shape id="Graphic 410"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" path="m1371600,l,,,6108r1371600,l1371600,xe" fillcolor="black" stroked="f">
                        <v:path arrowok="t"/>
                      </v:shape>
                    </v:group>
                  </w:pict>
                </mc:Fallback>
              </mc:AlternateContent>
            </w:r>
            <w:r w:rsidRPr="00EC20A0">
              <w:rPr>
                <w:noProof/>
              </w:rPr>
              <mc:AlternateContent>
                <mc:Choice Requires="wpg">
                  <w:drawing>
                    <wp:anchor distT="0" distB="0" distL="0" distR="0" simplePos="0" relativeHeight="475292672" behindDoc="1" locked="0" layoutInCell="1" allowOverlap="1" wp14:anchorId="24D62B79" wp14:editId="24D62B7A">
                      <wp:simplePos x="0" y="0"/>
                      <wp:positionH relativeFrom="column">
                        <wp:posOffset>7058406</wp:posOffset>
                      </wp:positionH>
                      <wp:positionV relativeFrom="paragraph">
                        <wp:posOffset>441640</wp:posOffset>
                      </wp:positionV>
                      <wp:extent cx="1371600" cy="6350"/>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12" name="Graphic 412"/>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ECC296" id="Group 411" o:spid="_x0000_s1026" style="position:absolute;margin-left:555.8pt;margin-top:34.75pt;width:108pt;height:.5pt;z-index:-2802380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">
                      <v:shape id="Graphic 412"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" path="m1371600,l,,,6108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0E56" w14:textId="77777777" w:rsidR="00245300" w:rsidRPr="00EC20A0" w:rsidRDefault="00F17249">
            <w:pPr>
              <w:pStyle w:val="TableParagraph"/>
              <w:tabs>
                <w:tab w:val="left" w:pos="9013"/>
              </w:tabs>
              <w:spacing w:before="10"/>
              <w:ind w:right="1702"/>
              <w:jc w:val="center"/>
            </w:pPr>
            <w:r w:rsidRPr="00EC20A0">
              <w:rPr>
                <w:noProof/>
              </w:rPr>
              <mc:AlternateContent>
                <mc:Choice Requires="wpg">
                  <w:drawing>
                    <wp:anchor distT="0" distB="0" distL="0" distR="0" simplePos="0" relativeHeight="475291136" behindDoc="1" locked="0" layoutInCell="1" allowOverlap="1" wp14:anchorId="24D62B7B" wp14:editId="24D62B7C">
                      <wp:simplePos x="0" y="0"/>
                      <wp:positionH relativeFrom="column">
                        <wp:posOffset>1280160</wp:posOffset>
                      </wp:positionH>
                      <wp:positionV relativeFrom="paragraph">
                        <wp:posOffset>-91198</wp:posOffset>
                      </wp:positionV>
                      <wp:extent cx="1206500" cy="635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414" name="Graphic 414"/>
                              <wps:cNvSpPr/>
                              <wps:spPr>
                                <a:xfrm>
                                  <a:off x="0" y="0"/>
                                  <a:ext cx="1206500" cy="6350"/>
                                </a:xfrm>
                                <a:custGeom>
                                  <a:avLst/>
                                  <a:gdLst/>
                                  <a:ahLst/>
                                  <a:cxnLst/>
                                  <a:rect l="l" t="t" r="r" b="b"/>
                                  <a:pathLst>
                                    <a:path w="1206500" h="6350">
                                      <a:moveTo>
                                        <a:pt x="1206245" y="0"/>
                                      </a:moveTo>
                                      <a:lnTo>
                                        <a:pt x="0" y="0"/>
                                      </a:lnTo>
                                      <a:lnTo>
                                        <a:pt x="0" y="6108"/>
                                      </a:lnTo>
                                      <a:lnTo>
                                        <a:pt x="1206245" y="6108"/>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BC3995" id="Group 413" o:spid="_x0000_s1026" style="position:absolute;margin-left:100.8pt;margin-top:-7.2pt;width:95pt;height:.5pt;z-index:-28025344;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">
                      <v:shape id="Graphic 414"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" path="m1206245,l,,,6108r1206245,l1206245,xe" fillcolor="black" stroked="f">
                        <v:path arrowok="t"/>
                      </v:shape>
                    </v:group>
                  </w:pict>
                </mc:Fallback>
              </mc:AlternateContent>
            </w:r>
            <w:r w:rsidRPr="00EC20A0">
              <w:rPr>
                <w:noProof/>
              </w:rPr>
              <mc:AlternateContent>
                <mc:Choice Requires="wpg">
                  <w:drawing>
                    <wp:anchor distT="0" distB="0" distL="0" distR="0" simplePos="0" relativeHeight="475292160" behindDoc="1" locked="0" layoutInCell="1" allowOverlap="1" wp14:anchorId="24D62B7D" wp14:editId="24D62B7E">
                      <wp:simplePos x="0" y="0"/>
                      <wp:positionH relativeFrom="column">
                        <wp:posOffset>1280160</wp:posOffset>
                      </wp:positionH>
                      <wp:positionV relativeFrom="paragraph">
                        <wp:posOffset>258559</wp:posOffset>
                      </wp:positionV>
                      <wp:extent cx="1206500" cy="635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416" name="Graphic 416"/>
                              <wps:cNvSpPr/>
                              <wps:spPr>
                                <a:xfrm>
                                  <a:off x="0" y="0"/>
                                  <a:ext cx="1206500" cy="6350"/>
                                </a:xfrm>
                                <a:custGeom>
                                  <a:avLst/>
                                  <a:gdLst/>
                                  <a:ahLst/>
                                  <a:cxnLst/>
                                  <a:rect l="l" t="t" r="r" b="b"/>
                                  <a:pathLst>
                                    <a:path w="1206500" h="6350">
                                      <a:moveTo>
                                        <a:pt x="1206245" y="0"/>
                                      </a:moveTo>
                                      <a:lnTo>
                                        <a:pt x="0" y="0"/>
                                      </a:lnTo>
                                      <a:lnTo>
                                        <a:pt x="0" y="6108"/>
                                      </a:lnTo>
                                      <a:lnTo>
                                        <a:pt x="1206245" y="6108"/>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72E21F" id="Group 415" o:spid="_x0000_s1026" style="position:absolute;margin-left:100.8pt;margin-top:20.35pt;width:95pt;height:.5pt;z-index:-28024320;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">
                      <v:shape id="Graphic 416"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" path="m1206245,l,,,6108r1206245,l1206245,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0E61" w14:textId="77777777">
        <w:trPr>
          <w:trHeight w:val="793"/>
        </w:trPr>
        <w:tc>
          <w:tcPr>
            <w:tcW w:w="5364" w:type="dxa"/>
            <w:tcBorders>
              <w:right w:val="single" w:sz="4" w:space="0" w:color="000000"/>
            </w:tcBorders>
          </w:tcPr>
          <w:p w14:paraId="24D60E58" w14:textId="77777777" w:rsidR="00245300" w:rsidRPr="00EC20A0" w:rsidRDefault="00245300">
            <w:pPr>
              <w:pStyle w:val="TableParagraph"/>
              <w:spacing w:before="143"/>
            </w:pPr>
          </w:p>
          <w:p w14:paraId="24D60E59"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10" w:type="dxa"/>
            <w:tcBorders>
              <w:left w:val="single" w:sz="4" w:space="0" w:color="000000"/>
              <w:right w:val="single" w:sz="4" w:space="0" w:color="000000"/>
            </w:tcBorders>
          </w:tcPr>
          <w:p w14:paraId="24D60E5A" w14:textId="77777777" w:rsidR="00245300" w:rsidRPr="00EC20A0" w:rsidRDefault="00245300">
            <w:pPr>
              <w:pStyle w:val="TableParagraph"/>
              <w:spacing w:before="143"/>
            </w:pPr>
          </w:p>
          <w:p w14:paraId="24D60E5B" w14:textId="77777777" w:rsidR="00245300" w:rsidRPr="00EC20A0" w:rsidRDefault="00F17249">
            <w:pPr>
              <w:pStyle w:val="TableParagraph"/>
              <w:ind w:left="107"/>
            </w:pPr>
            <w:r w:rsidRPr="00EC20A0">
              <w:rPr>
                <w:spacing w:val="-2"/>
              </w:rPr>
              <w:t>Objective</w:t>
            </w:r>
          </w:p>
        </w:tc>
        <w:tc>
          <w:tcPr>
            <w:tcW w:w="1620" w:type="dxa"/>
            <w:tcBorders>
              <w:left w:val="single" w:sz="4" w:space="0" w:color="000000"/>
              <w:right w:val="single" w:sz="4" w:space="0" w:color="000000"/>
            </w:tcBorders>
          </w:tcPr>
          <w:p w14:paraId="24D60E5C" w14:textId="77777777" w:rsidR="00245300" w:rsidRPr="00EC20A0" w:rsidRDefault="00F17249">
            <w:pPr>
              <w:pStyle w:val="TableParagraph"/>
              <w:spacing w:before="143"/>
              <w:ind w:left="107" w:right="215"/>
            </w:pPr>
            <w:r w:rsidRPr="00EC20A0">
              <w:rPr>
                <w:spacing w:val="-2"/>
              </w:rPr>
              <w:t>Control Activities</w:t>
            </w:r>
          </w:p>
        </w:tc>
        <w:tc>
          <w:tcPr>
            <w:tcW w:w="1350" w:type="dxa"/>
            <w:tcBorders>
              <w:left w:val="single" w:sz="4" w:space="0" w:color="000000"/>
              <w:right w:val="single" w:sz="4" w:space="0" w:color="000000"/>
            </w:tcBorders>
          </w:tcPr>
          <w:p w14:paraId="24D60E5D" w14:textId="77777777" w:rsidR="00245300" w:rsidRPr="00EC20A0" w:rsidRDefault="00245300">
            <w:pPr>
              <w:pStyle w:val="TableParagraph"/>
              <w:spacing w:before="143"/>
            </w:pPr>
          </w:p>
          <w:p w14:paraId="24D60E5E"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529" w:type="dxa"/>
            <w:tcBorders>
              <w:left w:val="single" w:sz="4" w:space="0" w:color="000000"/>
              <w:right w:val="single" w:sz="4" w:space="0" w:color="000000"/>
            </w:tcBorders>
          </w:tcPr>
          <w:p w14:paraId="24D60E5F" w14:textId="77777777" w:rsidR="00245300" w:rsidRPr="00EC20A0" w:rsidRDefault="00F17249">
            <w:pPr>
              <w:pStyle w:val="TableParagraph"/>
              <w:spacing w:before="143"/>
              <w:ind w:left="107"/>
            </w:pPr>
            <w:r w:rsidRPr="00EC20A0">
              <w:rPr>
                <w:spacing w:val="-2"/>
              </w:rPr>
              <w:t>Effective controls?</w:t>
            </w:r>
          </w:p>
        </w:tc>
        <w:tc>
          <w:tcPr>
            <w:tcW w:w="1819" w:type="dxa"/>
            <w:tcBorders>
              <w:left w:val="single" w:sz="4" w:space="0" w:color="000000"/>
            </w:tcBorders>
          </w:tcPr>
          <w:p w14:paraId="24D60E60"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0E6A" w14:textId="77777777">
        <w:trPr>
          <w:trHeight w:val="2026"/>
        </w:trPr>
        <w:tc>
          <w:tcPr>
            <w:tcW w:w="5364" w:type="dxa"/>
            <w:tcBorders>
              <w:bottom w:val="single" w:sz="4" w:space="0" w:color="000000"/>
              <w:right w:val="single" w:sz="4" w:space="0" w:color="000000"/>
            </w:tcBorders>
          </w:tcPr>
          <w:p w14:paraId="24D60E62" w14:textId="77777777" w:rsidR="00245300" w:rsidRPr="00EC20A0" w:rsidRDefault="00F17249">
            <w:pPr>
              <w:pStyle w:val="TableParagraph"/>
              <w:spacing w:before="143"/>
              <w:ind w:left="817" w:hanging="720"/>
              <w:rPr>
                <w:sz w:val="18"/>
              </w:rPr>
            </w:pPr>
            <w:r w:rsidRPr="00EC20A0">
              <w:rPr>
                <w:smallCaps/>
                <w:sz w:val="18"/>
              </w:rPr>
              <w:t>803.02.</w:t>
            </w:r>
            <w:r w:rsidRPr="00EC20A0">
              <w:rPr>
                <w:smallCaps/>
                <w:spacing w:val="-2"/>
                <w:sz w:val="18"/>
              </w:rPr>
              <w:t xml:space="preserve"> </w:t>
            </w:r>
            <w:r w:rsidRPr="00EC20A0">
              <w:rPr>
                <w:smallCaps/>
                <w:spacing w:val="17"/>
                <w:sz w:val="18"/>
              </w:rPr>
              <w:t xml:space="preserve"> </w:t>
            </w:r>
            <w:r w:rsidRPr="00EC20A0">
              <w:rPr>
                <w:smallCaps/>
                <w:sz w:val="18"/>
              </w:rPr>
              <w:t>Limitations</w:t>
            </w:r>
            <w:r w:rsidRPr="00EC20A0">
              <w:rPr>
                <w:smallCaps/>
                <w:spacing w:val="-3"/>
                <w:sz w:val="18"/>
              </w:rPr>
              <w:t xml:space="preserve"> </w:t>
            </w:r>
            <w:r w:rsidRPr="00EC20A0">
              <w:rPr>
                <w:smallCaps/>
                <w:sz w:val="18"/>
              </w:rPr>
              <w:t>on</w:t>
            </w:r>
            <w:r w:rsidRPr="00EC20A0">
              <w:rPr>
                <w:smallCaps/>
                <w:spacing w:val="-2"/>
                <w:sz w:val="18"/>
              </w:rPr>
              <w:t xml:space="preserve"> </w:t>
            </w:r>
            <w:r w:rsidRPr="00EC20A0">
              <w:rPr>
                <w:smallCaps/>
                <w:sz w:val="18"/>
              </w:rPr>
              <w:t>Advance</w:t>
            </w:r>
            <w:r w:rsidRPr="00EC20A0">
              <w:rPr>
                <w:smallCaps/>
                <w:spacing w:val="-2"/>
                <w:sz w:val="18"/>
              </w:rPr>
              <w:t xml:space="preserve"> </w:t>
            </w:r>
            <w:r w:rsidRPr="00EC20A0">
              <w:rPr>
                <w:smallCaps/>
                <w:sz w:val="18"/>
              </w:rPr>
              <w:t>Contracting</w:t>
            </w:r>
            <w:r w:rsidRPr="00EC20A0">
              <w:rPr>
                <w:smallCaps/>
                <w:spacing w:val="-3"/>
                <w:sz w:val="18"/>
              </w:rPr>
              <w:t xml:space="preserve"> </w:t>
            </w:r>
            <w:r w:rsidRPr="00EC20A0">
              <w:rPr>
                <w:smallCaps/>
                <w:sz w:val="18"/>
              </w:rPr>
              <w:t>or</w:t>
            </w:r>
            <w:r w:rsidRPr="00EC20A0">
              <w:rPr>
                <w:smallCaps/>
                <w:spacing w:val="-2"/>
                <w:sz w:val="18"/>
              </w:rPr>
              <w:t xml:space="preserve"> </w:t>
            </w:r>
            <w:r w:rsidRPr="00EC20A0">
              <w:rPr>
                <w:smallCaps/>
                <w:sz w:val="18"/>
              </w:rPr>
              <w:t>Other</w:t>
            </w:r>
            <w:r w:rsidRPr="00EC20A0">
              <w:rPr>
                <w:smallCaps/>
                <w:spacing w:val="-1"/>
                <w:sz w:val="18"/>
              </w:rPr>
              <w:t xml:space="preserve"> </w:t>
            </w:r>
            <w:r w:rsidRPr="00EC20A0">
              <w:rPr>
                <w:smallCaps/>
                <w:sz w:val="18"/>
              </w:rPr>
              <w:t>Legal</w:t>
            </w:r>
            <w:r w:rsidRPr="00EC20A0">
              <w:rPr>
                <w:smallCaps/>
                <w:spacing w:val="40"/>
                <w:sz w:val="18"/>
              </w:rPr>
              <w:t xml:space="preserve"> </w:t>
            </w:r>
            <w:r w:rsidRPr="00EC20A0">
              <w:rPr>
                <w:smallCaps/>
                <w:spacing w:val="-2"/>
                <w:sz w:val="18"/>
              </w:rPr>
              <w:t>Obligations</w:t>
            </w:r>
          </w:p>
          <w:p w14:paraId="24D60E63" w14:textId="77777777" w:rsidR="00245300" w:rsidRPr="00EC20A0" w:rsidRDefault="00F17249">
            <w:pPr>
              <w:pStyle w:val="TableParagraph"/>
              <w:spacing w:before="146"/>
              <w:ind w:left="97"/>
              <w:rPr>
                <w:sz w:val="18"/>
              </w:rPr>
            </w:pPr>
            <w:r w:rsidRPr="00EC20A0">
              <w:rPr>
                <w:sz w:val="18"/>
              </w:rPr>
              <w:t>Provision</w:t>
            </w:r>
            <w:r w:rsidRPr="00EC20A0">
              <w:rPr>
                <w:spacing w:val="-8"/>
                <w:sz w:val="18"/>
              </w:rPr>
              <w:t xml:space="preserve"> </w:t>
            </w:r>
            <w:r w:rsidRPr="00EC20A0">
              <w:rPr>
                <w:sz w:val="18"/>
              </w:rPr>
              <w:t>Type:</w:t>
            </w:r>
            <w:r w:rsidRPr="00EC20A0">
              <w:rPr>
                <w:spacing w:val="-6"/>
                <w:sz w:val="18"/>
              </w:rPr>
              <w:t xml:space="preserve"> </w:t>
            </w:r>
            <w:r w:rsidRPr="00EC20A0">
              <w:rPr>
                <w:sz w:val="18"/>
              </w:rPr>
              <w:t>Quantitative-</w:t>
            </w:r>
            <w:r w:rsidRPr="00EC20A0">
              <w:rPr>
                <w:spacing w:val="-2"/>
                <w:sz w:val="18"/>
              </w:rPr>
              <w:t>based.</w:t>
            </w:r>
          </w:p>
          <w:p w14:paraId="24D60E64" w14:textId="77777777" w:rsidR="00245300" w:rsidRPr="00EC20A0" w:rsidRDefault="00F17249">
            <w:pPr>
              <w:pStyle w:val="TableParagraph"/>
              <w:spacing w:before="143"/>
              <w:ind w:left="97" w:right="36"/>
              <w:rPr>
                <w:sz w:val="18"/>
              </w:rPr>
            </w:pPr>
            <w:r w:rsidRPr="00EC20A0">
              <w:rPr>
                <w:sz w:val="18"/>
              </w:rPr>
              <w:t>The entity’s officers or employees shall not involve the U.S. government in a contract or an obligation for the payment of money</w:t>
            </w:r>
            <w:r w:rsidRPr="00EC20A0">
              <w:rPr>
                <w:spacing w:val="-5"/>
                <w:sz w:val="18"/>
              </w:rPr>
              <w:t xml:space="preserve"> </w:t>
            </w:r>
            <w:r w:rsidRPr="00EC20A0">
              <w:rPr>
                <w:sz w:val="18"/>
              </w:rPr>
              <w:t>for</w:t>
            </w:r>
            <w:r w:rsidRPr="00EC20A0">
              <w:rPr>
                <w:spacing w:val="-5"/>
                <w:sz w:val="18"/>
              </w:rPr>
              <w:t xml:space="preserve"> </w:t>
            </w:r>
            <w:r w:rsidRPr="00EC20A0">
              <w:rPr>
                <w:sz w:val="18"/>
              </w:rPr>
              <w:t>any</w:t>
            </w:r>
            <w:r w:rsidRPr="00EC20A0">
              <w:rPr>
                <w:spacing w:val="-4"/>
                <w:sz w:val="18"/>
              </w:rPr>
              <w:t xml:space="preserve"> </w:t>
            </w:r>
            <w:r w:rsidRPr="00EC20A0">
              <w:rPr>
                <w:sz w:val="18"/>
              </w:rPr>
              <w:t>purpose</w:t>
            </w:r>
            <w:r w:rsidRPr="00EC20A0">
              <w:rPr>
                <w:spacing w:val="-5"/>
                <w:sz w:val="18"/>
              </w:rPr>
              <w:t xml:space="preserve"> </w:t>
            </w:r>
            <w:r w:rsidRPr="00EC20A0">
              <w:rPr>
                <w:sz w:val="18"/>
              </w:rPr>
              <w:t>before</w:t>
            </w:r>
            <w:r w:rsidRPr="00EC20A0">
              <w:rPr>
                <w:spacing w:val="-4"/>
                <w:sz w:val="18"/>
              </w:rPr>
              <w:t xml:space="preserve"> </w:t>
            </w:r>
            <w:r w:rsidRPr="00EC20A0">
              <w:rPr>
                <w:sz w:val="18"/>
              </w:rPr>
              <w:t>an</w:t>
            </w:r>
            <w:r w:rsidRPr="00EC20A0">
              <w:rPr>
                <w:spacing w:val="-5"/>
                <w:sz w:val="18"/>
              </w:rPr>
              <w:t xml:space="preserve"> </w:t>
            </w:r>
            <w:r w:rsidRPr="00EC20A0">
              <w:rPr>
                <w:sz w:val="18"/>
              </w:rPr>
              <w:t>appropriation</w:t>
            </w:r>
            <w:r w:rsidRPr="00EC20A0">
              <w:rPr>
                <w:spacing w:val="-5"/>
                <w:sz w:val="18"/>
              </w:rPr>
              <w:t xml:space="preserve"> </w:t>
            </w:r>
            <w:r w:rsidRPr="00EC20A0">
              <w:rPr>
                <w:sz w:val="18"/>
              </w:rPr>
              <w:t>for</w:t>
            </w:r>
            <w:r w:rsidRPr="00EC20A0">
              <w:rPr>
                <w:spacing w:val="-5"/>
                <w:sz w:val="18"/>
              </w:rPr>
              <w:t xml:space="preserve"> </w:t>
            </w:r>
            <w:r w:rsidRPr="00EC20A0">
              <w:rPr>
                <w:sz w:val="18"/>
              </w:rPr>
              <w:t>such</w:t>
            </w:r>
            <w:r w:rsidRPr="00EC20A0">
              <w:rPr>
                <w:spacing w:val="-5"/>
                <w:sz w:val="18"/>
              </w:rPr>
              <w:t xml:space="preserve"> </w:t>
            </w:r>
            <w:r w:rsidRPr="00EC20A0">
              <w:rPr>
                <w:sz w:val="18"/>
              </w:rPr>
              <w:t>purpose is made, unless authorized by law. 31 U.S.C. § 1341(a)(1)(B).</w:t>
            </w:r>
          </w:p>
        </w:tc>
        <w:tc>
          <w:tcPr>
            <w:tcW w:w="1710" w:type="dxa"/>
            <w:tcBorders>
              <w:left w:val="single" w:sz="4" w:space="0" w:color="000000"/>
              <w:bottom w:val="single" w:sz="4" w:space="0" w:color="000000"/>
              <w:right w:val="single" w:sz="4" w:space="0" w:color="000000"/>
            </w:tcBorders>
          </w:tcPr>
          <w:p w14:paraId="24D60E65" w14:textId="77777777" w:rsidR="00245300" w:rsidRPr="00EC20A0" w:rsidRDefault="00F17249">
            <w:pPr>
              <w:pStyle w:val="TableParagraph"/>
              <w:spacing w:before="143"/>
              <w:ind w:left="107" w:right="110"/>
              <w:rPr>
                <w:sz w:val="18"/>
              </w:rPr>
            </w:pPr>
            <w:r w:rsidRPr="00EC20A0">
              <w:rPr>
                <w:sz w:val="18"/>
              </w:rPr>
              <w:t>Legal obligations do not occur before an appropriation is made</w:t>
            </w:r>
            <w:r w:rsidRPr="00EC20A0">
              <w:rPr>
                <w:spacing w:val="-15"/>
                <w:sz w:val="18"/>
              </w:rPr>
              <w:t xml:space="preserve"> </w:t>
            </w:r>
            <w:r w:rsidRPr="00EC20A0">
              <w:rPr>
                <w:sz w:val="18"/>
              </w:rPr>
              <w:t>or</w:t>
            </w:r>
            <w:r w:rsidRPr="00EC20A0">
              <w:rPr>
                <w:spacing w:val="-12"/>
                <w:sz w:val="18"/>
              </w:rPr>
              <w:t xml:space="preserve"> </w:t>
            </w:r>
            <w:r w:rsidRPr="00EC20A0">
              <w:rPr>
                <w:sz w:val="18"/>
              </w:rPr>
              <w:t>otherwise authorized</w:t>
            </w:r>
            <w:r w:rsidRPr="00EC20A0">
              <w:rPr>
                <w:spacing w:val="-5"/>
                <w:sz w:val="18"/>
              </w:rPr>
              <w:t xml:space="preserve"> </w:t>
            </w:r>
            <w:r w:rsidRPr="00EC20A0">
              <w:rPr>
                <w:sz w:val="18"/>
              </w:rPr>
              <w:t>by</w:t>
            </w:r>
            <w:r w:rsidRPr="00EC20A0">
              <w:rPr>
                <w:spacing w:val="-2"/>
                <w:sz w:val="18"/>
              </w:rPr>
              <w:t xml:space="preserve"> </w:t>
            </w:r>
            <w:r w:rsidRPr="00EC20A0">
              <w:rPr>
                <w:spacing w:val="-4"/>
                <w:sz w:val="18"/>
              </w:rPr>
              <w:t>law.</w:t>
            </w:r>
          </w:p>
        </w:tc>
        <w:tc>
          <w:tcPr>
            <w:tcW w:w="1620" w:type="dxa"/>
            <w:tcBorders>
              <w:left w:val="single" w:sz="4" w:space="0" w:color="000000"/>
              <w:bottom w:val="single" w:sz="4" w:space="0" w:color="000000"/>
              <w:right w:val="single" w:sz="4" w:space="0" w:color="000000"/>
            </w:tcBorders>
          </w:tcPr>
          <w:p w14:paraId="24D60E66" w14:textId="77777777" w:rsidR="00245300" w:rsidRPr="00EC20A0" w:rsidRDefault="00245300">
            <w:pPr>
              <w:pStyle w:val="TableParagraph"/>
              <w:rPr>
                <w:sz w:val="18"/>
              </w:rPr>
            </w:pPr>
          </w:p>
        </w:tc>
        <w:tc>
          <w:tcPr>
            <w:tcW w:w="1350" w:type="dxa"/>
            <w:tcBorders>
              <w:left w:val="single" w:sz="4" w:space="0" w:color="000000"/>
              <w:bottom w:val="single" w:sz="4" w:space="0" w:color="000000"/>
              <w:right w:val="single" w:sz="4" w:space="0" w:color="000000"/>
            </w:tcBorders>
          </w:tcPr>
          <w:p w14:paraId="24D60E67" w14:textId="77777777" w:rsidR="00245300" w:rsidRPr="00EC20A0" w:rsidRDefault="00245300">
            <w:pPr>
              <w:pStyle w:val="TableParagraph"/>
              <w:rPr>
                <w:sz w:val="18"/>
              </w:rPr>
            </w:pPr>
          </w:p>
        </w:tc>
        <w:tc>
          <w:tcPr>
            <w:tcW w:w="1529" w:type="dxa"/>
            <w:tcBorders>
              <w:left w:val="single" w:sz="4" w:space="0" w:color="000000"/>
              <w:bottom w:val="single" w:sz="4" w:space="0" w:color="000000"/>
              <w:right w:val="single" w:sz="4" w:space="0" w:color="000000"/>
            </w:tcBorders>
          </w:tcPr>
          <w:p w14:paraId="24D60E68" w14:textId="77777777" w:rsidR="00245300" w:rsidRPr="00EC20A0" w:rsidRDefault="00245300">
            <w:pPr>
              <w:pStyle w:val="TableParagraph"/>
              <w:rPr>
                <w:sz w:val="18"/>
              </w:rPr>
            </w:pPr>
          </w:p>
        </w:tc>
        <w:tc>
          <w:tcPr>
            <w:tcW w:w="1819" w:type="dxa"/>
            <w:tcBorders>
              <w:left w:val="single" w:sz="4" w:space="0" w:color="000000"/>
              <w:bottom w:val="single" w:sz="4" w:space="0" w:color="000000"/>
            </w:tcBorders>
          </w:tcPr>
          <w:p w14:paraId="24D60E69" w14:textId="77777777" w:rsidR="00245300" w:rsidRPr="00EC20A0" w:rsidRDefault="00F17249">
            <w:pPr>
              <w:pStyle w:val="TableParagraph"/>
              <w:spacing w:before="143"/>
              <w:ind w:left="107" w:right="254"/>
              <w:rPr>
                <w:sz w:val="18"/>
              </w:rPr>
            </w:pPr>
            <w:r w:rsidRPr="00EC20A0">
              <w:rPr>
                <w:sz w:val="18"/>
              </w:rPr>
              <w:t>See Compliance Audit</w:t>
            </w:r>
            <w:r w:rsidRPr="00EC20A0">
              <w:rPr>
                <w:spacing w:val="-13"/>
                <w:sz w:val="18"/>
              </w:rPr>
              <w:t xml:space="preserve"> </w:t>
            </w:r>
            <w:r w:rsidRPr="00EC20A0">
              <w:rPr>
                <w:sz w:val="18"/>
              </w:rPr>
              <w:t>Procedures, FAM 803 step 4.</w:t>
            </w:r>
          </w:p>
        </w:tc>
      </w:tr>
      <w:tr w:rsidR="00245300" w:rsidRPr="00EC20A0" w14:paraId="24D60E76" w14:textId="77777777">
        <w:trPr>
          <w:trHeight w:val="3078"/>
        </w:trPr>
        <w:tc>
          <w:tcPr>
            <w:tcW w:w="5364" w:type="dxa"/>
            <w:tcBorders>
              <w:top w:val="single" w:sz="4" w:space="0" w:color="000000"/>
              <w:right w:val="single" w:sz="4" w:space="0" w:color="000000"/>
            </w:tcBorders>
          </w:tcPr>
          <w:p w14:paraId="24D60E6B" w14:textId="77777777" w:rsidR="00245300" w:rsidRPr="00EC20A0" w:rsidRDefault="00F17249">
            <w:pPr>
              <w:pStyle w:val="TableParagraph"/>
              <w:spacing w:before="143"/>
              <w:ind w:left="817" w:hanging="720"/>
              <w:rPr>
                <w:sz w:val="18"/>
              </w:rPr>
            </w:pPr>
            <w:r w:rsidRPr="00EC20A0">
              <w:rPr>
                <w:smallCaps/>
                <w:sz w:val="18"/>
              </w:rPr>
              <w:t>803.03</w:t>
            </w:r>
            <w:r w:rsidRPr="00EC20A0">
              <w:rPr>
                <w:smallCaps/>
                <w:spacing w:val="39"/>
                <w:sz w:val="18"/>
              </w:rPr>
              <w:t xml:space="preserve"> </w:t>
            </w:r>
            <w:r w:rsidRPr="00EC20A0">
              <w:rPr>
                <w:smallCaps/>
                <w:spacing w:val="19"/>
                <w:sz w:val="18"/>
              </w:rPr>
              <w:t xml:space="preserve"> </w:t>
            </w:r>
            <w:r w:rsidRPr="00EC20A0">
              <w:rPr>
                <w:smallCaps/>
                <w:sz w:val="18"/>
              </w:rPr>
              <w:t>Limitations</w:t>
            </w:r>
            <w:r w:rsidRPr="00EC20A0">
              <w:rPr>
                <w:smallCaps/>
                <w:spacing w:val="-1"/>
                <w:sz w:val="18"/>
              </w:rPr>
              <w:t xml:space="preserve"> </w:t>
            </w:r>
            <w:r w:rsidRPr="00EC20A0">
              <w:rPr>
                <w:smallCaps/>
                <w:sz w:val="18"/>
              </w:rPr>
              <w:t>on Excess</w:t>
            </w:r>
            <w:r w:rsidRPr="00EC20A0">
              <w:rPr>
                <w:smallCaps/>
                <w:spacing w:val="-1"/>
                <w:sz w:val="18"/>
              </w:rPr>
              <w:t xml:space="preserve"> </w:t>
            </w:r>
            <w:r w:rsidRPr="00EC20A0">
              <w:rPr>
                <w:smallCaps/>
                <w:sz w:val="18"/>
              </w:rPr>
              <w:t>Expenditures</w:t>
            </w:r>
            <w:r w:rsidRPr="00EC20A0">
              <w:rPr>
                <w:smallCaps/>
                <w:spacing w:val="-1"/>
                <w:sz w:val="18"/>
              </w:rPr>
              <w:t xml:space="preserve"> </w:t>
            </w:r>
            <w:r w:rsidRPr="00EC20A0">
              <w:rPr>
                <w:smallCaps/>
                <w:sz w:val="18"/>
              </w:rPr>
              <w:t xml:space="preserve">and </w:t>
            </w:r>
            <w:r w:rsidRPr="00EC20A0">
              <w:rPr>
                <w:smallCaps/>
                <w:sz w:val="18"/>
              </w:rPr>
              <w:t>Obligations</w:t>
            </w:r>
            <w:r w:rsidRPr="00EC20A0">
              <w:rPr>
                <w:smallCaps/>
                <w:spacing w:val="40"/>
                <w:sz w:val="18"/>
              </w:rPr>
              <w:t xml:space="preserve"> </w:t>
            </w:r>
            <w:r w:rsidRPr="00EC20A0">
              <w:rPr>
                <w:smallCaps/>
                <w:sz w:val="18"/>
              </w:rPr>
              <w:t>Related to Apportionments and Allotments</w:t>
            </w:r>
          </w:p>
          <w:p w14:paraId="24D60E6C" w14:textId="77777777" w:rsidR="00245300" w:rsidRPr="00EC20A0" w:rsidRDefault="00F17249">
            <w:pPr>
              <w:pStyle w:val="TableParagraph"/>
              <w:spacing w:before="145"/>
              <w:ind w:left="97"/>
              <w:rPr>
                <w:sz w:val="18"/>
              </w:rPr>
            </w:pPr>
            <w:r w:rsidRPr="00EC20A0">
              <w:rPr>
                <w:sz w:val="18"/>
              </w:rPr>
              <w:t>Provision</w:t>
            </w:r>
            <w:r w:rsidRPr="00EC20A0">
              <w:rPr>
                <w:spacing w:val="-8"/>
                <w:sz w:val="18"/>
              </w:rPr>
              <w:t xml:space="preserve"> </w:t>
            </w:r>
            <w:r w:rsidRPr="00EC20A0">
              <w:rPr>
                <w:sz w:val="18"/>
              </w:rPr>
              <w:t>Type:</w:t>
            </w:r>
            <w:r w:rsidRPr="00EC20A0">
              <w:rPr>
                <w:spacing w:val="-7"/>
                <w:sz w:val="18"/>
              </w:rPr>
              <w:t xml:space="preserve"> </w:t>
            </w:r>
            <w:r w:rsidRPr="00EC20A0">
              <w:rPr>
                <w:sz w:val="18"/>
              </w:rPr>
              <w:t>Quantitative-</w:t>
            </w:r>
            <w:r w:rsidRPr="00EC20A0">
              <w:rPr>
                <w:spacing w:val="-2"/>
                <w:sz w:val="18"/>
              </w:rPr>
              <w:t>based.</w:t>
            </w:r>
          </w:p>
          <w:p w14:paraId="24D60E6D" w14:textId="77777777" w:rsidR="00245300" w:rsidRPr="00EC20A0" w:rsidRDefault="00F17249">
            <w:pPr>
              <w:pStyle w:val="TableParagraph"/>
              <w:spacing w:before="142"/>
              <w:ind w:left="97"/>
              <w:rPr>
                <w:sz w:val="18"/>
              </w:rPr>
            </w:pPr>
            <w:r w:rsidRPr="00EC20A0">
              <w:rPr>
                <w:sz w:val="18"/>
              </w:rPr>
              <w:t>Unless</w:t>
            </w:r>
            <w:r w:rsidRPr="00EC20A0">
              <w:rPr>
                <w:spacing w:val="-4"/>
                <w:sz w:val="18"/>
              </w:rPr>
              <w:t xml:space="preserve"> </w:t>
            </w:r>
            <w:r w:rsidRPr="00EC20A0">
              <w:rPr>
                <w:sz w:val="18"/>
              </w:rPr>
              <w:t>authorized</w:t>
            </w:r>
            <w:r w:rsidRPr="00EC20A0">
              <w:rPr>
                <w:spacing w:val="-6"/>
                <w:sz w:val="18"/>
              </w:rPr>
              <w:t xml:space="preserve"> </w:t>
            </w:r>
            <w:r w:rsidRPr="00EC20A0">
              <w:rPr>
                <w:sz w:val="18"/>
              </w:rPr>
              <w:t>by</w:t>
            </w:r>
            <w:r w:rsidRPr="00EC20A0">
              <w:rPr>
                <w:spacing w:val="-5"/>
                <w:sz w:val="18"/>
              </w:rPr>
              <w:t xml:space="preserve"> </w:t>
            </w:r>
            <w:r w:rsidRPr="00EC20A0">
              <w:rPr>
                <w:sz w:val="18"/>
              </w:rPr>
              <w:t>law,</w:t>
            </w:r>
            <w:r w:rsidRPr="00EC20A0">
              <w:rPr>
                <w:spacing w:val="-5"/>
                <w:sz w:val="18"/>
              </w:rPr>
              <w:t xml:space="preserve"> </w:t>
            </w:r>
            <w:r w:rsidRPr="00EC20A0">
              <w:rPr>
                <w:sz w:val="18"/>
              </w:rPr>
              <w:t>the</w:t>
            </w:r>
            <w:r w:rsidRPr="00EC20A0">
              <w:rPr>
                <w:spacing w:val="-4"/>
                <w:sz w:val="18"/>
              </w:rPr>
              <w:t xml:space="preserve"> </w:t>
            </w:r>
            <w:r w:rsidRPr="00EC20A0">
              <w:rPr>
                <w:sz w:val="18"/>
              </w:rPr>
              <w:t>entity’s</w:t>
            </w:r>
            <w:r w:rsidRPr="00EC20A0">
              <w:rPr>
                <w:spacing w:val="-5"/>
                <w:sz w:val="18"/>
              </w:rPr>
              <w:t xml:space="preserve"> </w:t>
            </w:r>
            <w:r w:rsidRPr="00EC20A0">
              <w:rPr>
                <w:sz w:val="18"/>
              </w:rPr>
              <w:t>officers</w:t>
            </w:r>
            <w:r w:rsidRPr="00EC20A0">
              <w:rPr>
                <w:spacing w:val="-5"/>
                <w:sz w:val="18"/>
              </w:rPr>
              <w:t xml:space="preserve"> </w:t>
            </w:r>
            <w:r w:rsidRPr="00EC20A0">
              <w:rPr>
                <w:sz w:val="18"/>
              </w:rPr>
              <w:t>or</w:t>
            </w:r>
            <w:r w:rsidRPr="00EC20A0">
              <w:rPr>
                <w:spacing w:val="-5"/>
                <w:sz w:val="18"/>
              </w:rPr>
              <w:t xml:space="preserve"> </w:t>
            </w:r>
            <w:r w:rsidRPr="00EC20A0">
              <w:rPr>
                <w:sz w:val="18"/>
              </w:rPr>
              <w:t>employees</w:t>
            </w:r>
            <w:r w:rsidRPr="00EC20A0">
              <w:rPr>
                <w:spacing w:val="-4"/>
                <w:sz w:val="18"/>
              </w:rPr>
              <w:t xml:space="preserve"> </w:t>
            </w:r>
            <w:r w:rsidRPr="00EC20A0">
              <w:rPr>
                <w:sz w:val="18"/>
              </w:rPr>
              <w:t>shall not make or authorize expenditures or obligations that exceed</w:t>
            </w:r>
          </w:p>
          <w:p w14:paraId="24D60E6E" w14:textId="77777777" w:rsidR="00245300" w:rsidRPr="00EC20A0" w:rsidRDefault="00F17249">
            <w:pPr>
              <w:pStyle w:val="TableParagraph"/>
              <w:numPr>
                <w:ilvl w:val="0"/>
                <w:numId w:val="155"/>
              </w:numPr>
              <w:tabs>
                <w:tab w:val="left" w:pos="367"/>
              </w:tabs>
              <w:spacing w:before="144"/>
              <w:ind w:right="452"/>
              <w:rPr>
                <w:sz w:val="18"/>
              </w:rPr>
            </w:pPr>
            <w:r w:rsidRPr="00EC20A0">
              <w:rPr>
                <w:sz w:val="18"/>
              </w:rPr>
              <w:t>the</w:t>
            </w:r>
            <w:r w:rsidRPr="00EC20A0">
              <w:rPr>
                <w:spacing w:val="-6"/>
                <w:sz w:val="18"/>
              </w:rPr>
              <w:t xml:space="preserve"> </w:t>
            </w:r>
            <w:r w:rsidRPr="00EC20A0">
              <w:rPr>
                <w:sz w:val="18"/>
              </w:rPr>
              <w:t>amount</w:t>
            </w:r>
            <w:r w:rsidRPr="00EC20A0">
              <w:rPr>
                <w:spacing w:val="-5"/>
                <w:sz w:val="18"/>
              </w:rPr>
              <w:t xml:space="preserve"> </w:t>
            </w:r>
            <w:r w:rsidRPr="00EC20A0">
              <w:rPr>
                <w:sz w:val="18"/>
              </w:rPr>
              <w:t>of</w:t>
            </w:r>
            <w:r w:rsidRPr="00EC20A0">
              <w:rPr>
                <w:spacing w:val="-5"/>
                <w:sz w:val="18"/>
              </w:rPr>
              <w:t xml:space="preserve"> </w:t>
            </w:r>
            <w:r w:rsidRPr="00EC20A0">
              <w:rPr>
                <w:sz w:val="18"/>
              </w:rPr>
              <w:t>an</w:t>
            </w:r>
            <w:r w:rsidRPr="00EC20A0">
              <w:rPr>
                <w:spacing w:val="-6"/>
                <w:sz w:val="18"/>
              </w:rPr>
              <w:t xml:space="preserve"> </w:t>
            </w:r>
            <w:r w:rsidRPr="00EC20A0">
              <w:rPr>
                <w:sz w:val="18"/>
              </w:rPr>
              <w:t>apportionment</w:t>
            </w:r>
            <w:r w:rsidRPr="00EC20A0">
              <w:rPr>
                <w:spacing w:val="-5"/>
                <w:sz w:val="18"/>
              </w:rPr>
              <w:t xml:space="preserve"> </w:t>
            </w:r>
            <w:r w:rsidRPr="00EC20A0">
              <w:rPr>
                <w:sz w:val="18"/>
              </w:rPr>
              <w:t>(or</w:t>
            </w:r>
            <w:r w:rsidRPr="00EC20A0">
              <w:rPr>
                <w:spacing w:val="-5"/>
                <w:sz w:val="18"/>
              </w:rPr>
              <w:t xml:space="preserve"> </w:t>
            </w:r>
            <w:r w:rsidRPr="00EC20A0">
              <w:rPr>
                <w:sz w:val="18"/>
              </w:rPr>
              <w:t>a</w:t>
            </w:r>
            <w:r w:rsidRPr="00EC20A0">
              <w:rPr>
                <w:spacing w:val="-6"/>
                <w:sz w:val="18"/>
              </w:rPr>
              <w:t xml:space="preserve"> </w:t>
            </w:r>
            <w:r w:rsidRPr="00EC20A0">
              <w:rPr>
                <w:sz w:val="18"/>
              </w:rPr>
              <w:t>reapportionment,</w:t>
            </w:r>
            <w:r w:rsidRPr="00EC20A0">
              <w:rPr>
                <w:spacing w:val="-5"/>
                <w:sz w:val="18"/>
              </w:rPr>
              <w:t xml:space="preserve"> </w:t>
            </w:r>
            <w:r w:rsidRPr="00EC20A0">
              <w:rPr>
                <w:sz w:val="18"/>
              </w:rPr>
              <w:t>if applicable) or</w:t>
            </w:r>
          </w:p>
          <w:p w14:paraId="24D60E6F" w14:textId="77777777" w:rsidR="00245300" w:rsidRPr="00EC20A0" w:rsidRDefault="00F17249">
            <w:pPr>
              <w:pStyle w:val="TableParagraph"/>
              <w:numPr>
                <w:ilvl w:val="0"/>
                <w:numId w:val="155"/>
              </w:numPr>
              <w:tabs>
                <w:tab w:val="left" w:pos="367"/>
              </w:tabs>
              <w:spacing w:before="144"/>
              <w:ind w:right="505"/>
              <w:rPr>
                <w:sz w:val="12"/>
              </w:rPr>
            </w:pPr>
            <w:r w:rsidRPr="00EC20A0">
              <w:rPr>
                <w:sz w:val="18"/>
              </w:rPr>
              <w:t>a</w:t>
            </w:r>
            <w:r w:rsidRPr="00EC20A0">
              <w:rPr>
                <w:spacing w:val="-6"/>
                <w:sz w:val="18"/>
              </w:rPr>
              <w:t xml:space="preserve"> </w:t>
            </w:r>
            <w:r w:rsidRPr="00EC20A0">
              <w:rPr>
                <w:sz w:val="18"/>
              </w:rPr>
              <w:t>lesser</w:t>
            </w:r>
            <w:r w:rsidRPr="00EC20A0">
              <w:rPr>
                <w:spacing w:val="-5"/>
                <w:sz w:val="18"/>
              </w:rPr>
              <w:t xml:space="preserve"> </w:t>
            </w:r>
            <w:r w:rsidRPr="00EC20A0">
              <w:rPr>
                <w:sz w:val="18"/>
              </w:rPr>
              <w:t>amount,</w:t>
            </w:r>
            <w:r w:rsidRPr="00EC20A0">
              <w:rPr>
                <w:spacing w:val="-5"/>
                <w:sz w:val="18"/>
              </w:rPr>
              <w:t xml:space="preserve"> </w:t>
            </w:r>
            <w:r w:rsidRPr="00EC20A0">
              <w:rPr>
                <w:sz w:val="18"/>
              </w:rPr>
              <w:t>if</w:t>
            </w:r>
            <w:r w:rsidRPr="00EC20A0">
              <w:rPr>
                <w:spacing w:val="-5"/>
                <w:sz w:val="18"/>
              </w:rPr>
              <w:t xml:space="preserve"> </w:t>
            </w:r>
            <w:r w:rsidRPr="00EC20A0">
              <w:rPr>
                <w:sz w:val="18"/>
              </w:rPr>
              <w:t>any,</w:t>
            </w:r>
            <w:r w:rsidRPr="00EC20A0">
              <w:rPr>
                <w:spacing w:val="-5"/>
                <w:sz w:val="18"/>
              </w:rPr>
              <w:t xml:space="preserve"> </w:t>
            </w:r>
            <w:r w:rsidRPr="00EC20A0">
              <w:rPr>
                <w:sz w:val="18"/>
              </w:rPr>
              <w:t>established</w:t>
            </w:r>
            <w:r w:rsidRPr="00EC20A0">
              <w:rPr>
                <w:spacing w:val="-6"/>
                <w:sz w:val="18"/>
              </w:rPr>
              <w:t xml:space="preserve"> </w:t>
            </w:r>
            <w:r w:rsidRPr="00EC20A0">
              <w:rPr>
                <w:sz w:val="18"/>
              </w:rPr>
              <w:t>by</w:t>
            </w:r>
            <w:r w:rsidRPr="00EC20A0">
              <w:rPr>
                <w:spacing w:val="-5"/>
                <w:sz w:val="18"/>
              </w:rPr>
              <w:t xml:space="preserve"> </w:t>
            </w:r>
            <w:r w:rsidRPr="00EC20A0">
              <w:rPr>
                <w:sz w:val="18"/>
              </w:rPr>
              <w:t>entity</w:t>
            </w:r>
            <w:r w:rsidRPr="00EC20A0">
              <w:rPr>
                <w:spacing w:val="-5"/>
                <w:sz w:val="18"/>
              </w:rPr>
              <w:t xml:space="preserve"> </w:t>
            </w:r>
            <w:r w:rsidRPr="00EC20A0">
              <w:rPr>
                <w:sz w:val="18"/>
              </w:rPr>
              <w:t>regulations (</w:t>
            </w:r>
            <w:r w:rsidRPr="00EC20A0">
              <w:rPr>
                <w:i/>
                <w:sz w:val="18"/>
              </w:rPr>
              <w:t xml:space="preserve">e.g., </w:t>
            </w:r>
            <w:r w:rsidRPr="00EC20A0">
              <w:rPr>
                <w:sz w:val="18"/>
              </w:rPr>
              <w:t>an allotment level).</w:t>
            </w:r>
            <w:hyperlink w:anchor="_bookmark75" w:history="1">
              <w:r w:rsidRPr="00EC20A0">
                <w:rPr>
                  <w:position w:val="6"/>
                  <w:sz w:val="12"/>
                </w:rPr>
                <w:t>3</w:t>
              </w:r>
            </w:hyperlink>
          </w:p>
          <w:p w14:paraId="24D60E70" w14:textId="77777777" w:rsidR="00245300" w:rsidRPr="00EC20A0" w:rsidRDefault="00F17249">
            <w:pPr>
              <w:pStyle w:val="TableParagraph"/>
              <w:spacing w:before="142"/>
              <w:ind w:left="97"/>
              <w:rPr>
                <w:sz w:val="18"/>
              </w:rPr>
            </w:pPr>
            <w:r w:rsidRPr="00EC20A0">
              <w:rPr>
                <w:sz w:val="18"/>
              </w:rPr>
              <w:t>31</w:t>
            </w:r>
            <w:r w:rsidRPr="00EC20A0">
              <w:rPr>
                <w:spacing w:val="-3"/>
                <w:sz w:val="18"/>
              </w:rPr>
              <w:t xml:space="preserve"> </w:t>
            </w:r>
            <w:r w:rsidRPr="00EC20A0">
              <w:rPr>
                <w:sz w:val="18"/>
              </w:rPr>
              <w:t>U.S.C.</w:t>
            </w:r>
            <w:r w:rsidRPr="00EC20A0">
              <w:rPr>
                <w:spacing w:val="-1"/>
                <w:sz w:val="18"/>
              </w:rPr>
              <w:t xml:space="preserve"> </w:t>
            </w:r>
            <w:r w:rsidRPr="00EC20A0">
              <w:rPr>
                <w:sz w:val="18"/>
              </w:rPr>
              <w:t>§</w:t>
            </w:r>
            <w:r w:rsidRPr="00EC20A0">
              <w:rPr>
                <w:spacing w:val="-1"/>
                <w:sz w:val="18"/>
              </w:rPr>
              <w:t xml:space="preserve"> </w:t>
            </w:r>
            <w:r w:rsidRPr="00EC20A0">
              <w:rPr>
                <w:spacing w:val="-2"/>
                <w:sz w:val="18"/>
              </w:rPr>
              <w:t>1517(a).</w:t>
            </w:r>
          </w:p>
        </w:tc>
        <w:tc>
          <w:tcPr>
            <w:tcW w:w="1710" w:type="dxa"/>
            <w:tcBorders>
              <w:top w:val="single" w:sz="4" w:space="0" w:color="000000"/>
              <w:left w:val="single" w:sz="4" w:space="0" w:color="000000"/>
              <w:right w:val="single" w:sz="4" w:space="0" w:color="000000"/>
            </w:tcBorders>
          </w:tcPr>
          <w:p w14:paraId="24D60E71" w14:textId="77777777" w:rsidR="00245300" w:rsidRPr="00EC20A0" w:rsidRDefault="00F17249">
            <w:pPr>
              <w:pStyle w:val="TableParagraph"/>
              <w:spacing w:before="143"/>
              <w:ind w:left="107" w:right="122"/>
              <w:rPr>
                <w:sz w:val="18"/>
              </w:rPr>
            </w:pPr>
            <w:r w:rsidRPr="00EC20A0">
              <w:rPr>
                <w:sz w:val="18"/>
              </w:rPr>
              <w:t>Expenditures or obligations do not exceed</w:t>
            </w:r>
            <w:r w:rsidRPr="00EC20A0">
              <w:rPr>
                <w:spacing w:val="-4"/>
                <w:sz w:val="18"/>
              </w:rPr>
              <w:t xml:space="preserve"> </w:t>
            </w:r>
            <w:r w:rsidRPr="00EC20A0">
              <w:rPr>
                <w:sz w:val="18"/>
              </w:rPr>
              <w:t>the</w:t>
            </w:r>
            <w:r w:rsidRPr="00EC20A0">
              <w:rPr>
                <w:spacing w:val="-4"/>
                <w:sz w:val="18"/>
              </w:rPr>
              <w:t xml:space="preserve"> </w:t>
            </w:r>
            <w:r w:rsidRPr="00EC20A0">
              <w:rPr>
                <w:sz w:val="18"/>
              </w:rPr>
              <w:t>legally binding limit on</w:t>
            </w:r>
            <w:r w:rsidRPr="00EC20A0">
              <w:rPr>
                <w:spacing w:val="40"/>
                <w:sz w:val="18"/>
              </w:rPr>
              <w:t xml:space="preserve"> </w:t>
            </w:r>
            <w:r w:rsidRPr="00EC20A0">
              <w:rPr>
                <w:sz w:val="18"/>
              </w:rPr>
              <w:t>the</w:t>
            </w:r>
            <w:r w:rsidRPr="00EC20A0">
              <w:rPr>
                <w:spacing w:val="-12"/>
                <w:sz w:val="18"/>
              </w:rPr>
              <w:t xml:space="preserve"> </w:t>
            </w:r>
            <w:r w:rsidRPr="00EC20A0">
              <w:rPr>
                <w:sz w:val="18"/>
              </w:rPr>
              <w:t>entity's</w:t>
            </w:r>
            <w:r w:rsidRPr="00EC20A0">
              <w:rPr>
                <w:spacing w:val="-11"/>
                <w:sz w:val="18"/>
              </w:rPr>
              <w:t xml:space="preserve"> </w:t>
            </w:r>
            <w:r w:rsidRPr="00EC20A0">
              <w:rPr>
                <w:sz w:val="18"/>
              </w:rPr>
              <w:t>budget authority. (The amount of the apportionment or</w:t>
            </w:r>
            <w:r w:rsidRPr="00EC20A0">
              <w:rPr>
                <w:spacing w:val="40"/>
                <w:sz w:val="18"/>
              </w:rPr>
              <w:t xml:space="preserve"> </w:t>
            </w:r>
            <w:r w:rsidRPr="00EC20A0">
              <w:rPr>
                <w:sz w:val="18"/>
              </w:rPr>
              <w:t>a</w:t>
            </w:r>
            <w:r w:rsidRPr="00EC20A0">
              <w:rPr>
                <w:spacing w:val="-13"/>
                <w:sz w:val="18"/>
              </w:rPr>
              <w:t xml:space="preserve"> </w:t>
            </w:r>
            <w:r w:rsidRPr="00EC20A0">
              <w:rPr>
                <w:sz w:val="18"/>
              </w:rPr>
              <w:t>lesser</w:t>
            </w:r>
            <w:r w:rsidRPr="00EC20A0">
              <w:rPr>
                <w:spacing w:val="-12"/>
                <w:sz w:val="18"/>
              </w:rPr>
              <w:t xml:space="preserve"> </w:t>
            </w:r>
            <w:r w:rsidRPr="00EC20A0">
              <w:rPr>
                <w:sz w:val="18"/>
              </w:rPr>
              <w:t>amount,</w:t>
            </w:r>
            <w:r w:rsidRPr="00EC20A0">
              <w:rPr>
                <w:spacing w:val="-12"/>
                <w:sz w:val="18"/>
              </w:rPr>
              <w:t xml:space="preserve"> </w:t>
            </w:r>
            <w:r w:rsidRPr="00EC20A0">
              <w:rPr>
                <w:sz w:val="18"/>
              </w:rPr>
              <w:t xml:space="preserve">if any, established by the entity's </w:t>
            </w:r>
            <w:r w:rsidRPr="00EC20A0">
              <w:rPr>
                <w:sz w:val="18"/>
              </w:rPr>
              <w:t>regulations.) See footnote 2 below.</w:t>
            </w:r>
          </w:p>
        </w:tc>
        <w:tc>
          <w:tcPr>
            <w:tcW w:w="1620" w:type="dxa"/>
            <w:tcBorders>
              <w:top w:val="single" w:sz="4" w:space="0" w:color="000000"/>
              <w:left w:val="single" w:sz="4" w:space="0" w:color="000000"/>
              <w:right w:val="single" w:sz="4" w:space="0" w:color="000000"/>
            </w:tcBorders>
          </w:tcPr>
          <w:p w14:paraId="24D60E72" w14:textId="77777777" w:rsidR="00245300" w:rsidRPr="00EC20A0" w:rsidRDefault="00245300">
            <w:pPr>
              <w:pStyle w:val="TableParagraph"/>
              <w:rPr>
                <w:sz w:val="18"/>
              </w:rPr>
            </w:pPr>
          </w:p>
        </w:tc>
        <w:tc>
          <w:tcPr>
            <w:tcW w:w="1350" w:type="dxa"/>
            <w:tcBorders>
              <w:top w:val="single" w:sz="4" w:space="0" w:color="000000"/>
              <w:left w:val="single" w:sz="4" w:space="0" w:color="000000"/>
              <w:right w:val="single" w:sz="4" w:space="0" w:color="000000"/>
            </w:tcBorders>
          </w:tcPr>
          <w:p w14:paraId="24D60E73" w14:textId="77777777" w:rsidR="00245300" w:rsidRPr="00EC20A0" w:rsidRDefault="00245300">
            <w:pPr>
              <w:pStyle w:val="TableParagraph"/>
              <w:rPr>
                <w:sz w:val="18"/>
              </w:rPr>
            </w:pPr>
          </w:p>
        </w:tc>
        <w:tc>
          <w:tcPr>
            <w:tcW w:w="1529" w:type="dxa"/>
            <w:tcBorders>
              <w:top w:val="single" w:sz="4" w:space="0" w:color="000000"/>
              <w:left w:val="single" w:sz="4" w:space="0" w:color="000000"/>
              <w:right w:val="single" w:sz="4" w:space="0" w:color="000000"/>
            </w:tcBorders>
          </w:tcPr>
          <w:p w14:paraId="24D60E74" w14:textId="77777777" w:rsidR="00245300" w:rsidRPr="00EC20A0" w:rsidRDefault="00245300">
            <w:pPr>
              <w:pStyle w:val="TableParagraph"/>
              <w:rPr>
                <w:sz w:val="18"/>
              </w:rPr>
            </w:pPr>
          </w:p>
        </w:tc>
        <w:tc>
          <w:tcPr>
            <w:tcW w:w="1819" w:type="dxa"/>
            <w:tcBorders>
              <w:top w:val="single" w:sz="4" w:space="0" w:color="000000"/>
              <w:left w:val="single" w:sz="4" w:space="0" w:color="000000"/>
            </w:tcBorders>
          </w:tcPr>
          <w:p w14:paraId="24D60E75" w14:textId="77777777" w:rsidR="00245300" w:rsidRPr="00EC20A0" w:rsidRDefault="00F17249">
            <w:pPr>
              <w:pStyle w:val="TableParagraph"/>
              <w:spacing w:before="143"/>
              <w:ind w:left="107" w:right="254"/>
              <w:rPr>
                <w:sz w:val="18"/>
              </w:rPr>
            </w:pPr>
            <w:r w:rsidRPr="00EC20A0">
              <w:rPr>
                <w:sz w:val="18"/>
              </w:rPr>
              <w:t>See Compliance Audit</w:t>
            </w:r>
            <w:r w:rsidRPr="00EC20A0">
              <w:rPr>
                <w:spacing w:val="-13"/>
                <w:sz w:val="18"/>
              </w:rPr>
              <w:t xml:space="preserve"> </w:t>
            </w:r>
            <w:r w:rsidRPr="00EC20A0">
              <w:rPr>
                <w:sz w:val="18"/>
              </w:rPr>
              <w:t>Procedures, FAM 803 step 5.</w:t>
            </w:r>
          </w:p>
        </w:tc>
      </w:tr>
    </w:tbl>
    <w:p w14:paraId="24D60E77" w14:textId="77777777" w:rsidR="00245300" w:rsidRPr="00EC20A0" w:rsidRDefault="00245300">
      <w:pPr>
        <w:pStyle w:val="BodyText"/>
        <w:rPr>
          <w:sz w:val="20"/>
        </w:rPr>
      </w:pPr>
    </w:p>
    <w:p w14:paraId="24D60E78" w14:textId="77777777" w:rsidR="00245300" w:rsidRPr="00EC20A0" w:rsidRDefault="00F17249">
      <w:pPr>
        <w:pStyle w:val="BodyText"/>
        <w:spacing w:before="153"/>
        <w:rPr>
          <w:sz w:val="20"/>
        </w:rPr>
      </w:pPr>
      <w:r w:rsidRPr="00EC20A0">
        <w:rPr>
          <w:noProof/>
        </w:rPr>
        <mc:AlternateContent>
          <mc:Choice Requires="wps">
            <w:drawing>
              <wp:anchor distT="0" distB="0" distL="0" distR="0" simplePos="0" relativeHeight="487637504" behindDoc="1" locked="0" layoutInCell="1" allowOverlap="1" wp14:anchorId="24D62B7F" wp14:editId="24D62B80">
                <wp:simplePos x="0" y="0"/>
                <wp:positionH relativeFrom="page">
                  <wp:posOffset>685800</wp:posOffset>
                </wp:positionH>
                <wp:positionV relativeFrom="paragraph">
                  <wp:posOffset>258966</wp:posOffset>
                </wp:positionV>
                <wp:extent cx="1828800" cy="6985"/>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4AD014" id="Graphic 417" o:spid="_x0000_s1026" style="position:absolute;margin-left:54pt;margin-top:20.4pt;width:2in;height:.55pt;z-index:-156789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" path="m1828800,l,,,6857r1828800,l1828800,xe" fillcolor="black" stroked="f">
                <v:path arrowok="t"/>
                <w10:wrap type="topAndBottom" anchorx="page"/>
              </v:shape>
            </w:pict>
          </mc:Fallback>
        </mc:AlternateContent>
      </w:r>
    </w:p>
    <w:p w14:paraId="24D60E79" w14:textId="77777777" w:rsidR="00245300" w:rsidRPr="00EC20A0" w:rsidRDefault="00245300">
      <w:pPr>
        <w:pStyle w:val="BodyText"/>
        <w:spacing w:before="10"/>
        <w:rPr>
          <w:sz w:val="18"/>
        </w:rPr>
      </w:pPr>
    </w:p>
    <w:p w14:paraId="24D60E7A" w14:textId="77777777" w:rsidR="00245300" w:rsidRPr="00EC20A0" w:rsidRDefault="00F17249">
      <w:pPr>
        <w:spacing w:line="242" w:lineRule="auto"/>
        <w:ind w:left="119" w:right="294"/>
        <w:rPr>
          <w:sz w:val="18"/>
        </w:rPr>
      </w:pPr>
      <w:r w:rsidRPr="00EC20A0">
        <w:rPr>
          <w:position w:val="7"/>
          <w:sz w:val="14"/>
        </w:rPr>
        <w:t>3</w:t>
      </w:r>
      <w:r w:rsidRPr="00EC20A0">
        <w:rPr>
          <w:sz w:val="18"/>
        </w:rPr>
        <w:t xml:space="preserve">Entities are required to establish regulations that provide for a system of administrative controls over their execution of budget authority. 31 U.S.C. § </w:t>
      </w:r>
      <w:r w:rsidRPr="00EC20A0">
        <w:rPr>
          <w:sz w:val="18"/>
        </w:rPr>
        <w:t>1514(a). As discussed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250.03,</w:t>
      </w:r>
      <w:r w:rsidRPr="00EC20A0">
        <w:rPr>
          <w:spacing w:val="-2"/>
          <w:sz w:val="18"/>
        </w:rPr>
        <w:t xml:space="preserve"> </w:t>
      </w:r>
      <w:r w:rsidRPr="00EC20A0">
        <w:rPr>
          <w:sz w:val="18"/>
        </w:rPr>
        <w:t>an</w:t>
      </w:r>
      <w:r w:rsidRPr="00EC20A0">
        <w:rPr>
          <w:spacing w:val="-3"/>
          <w:sz w:val="18"/>
        </w:rPr>
        <w:t xml:space="preserve"> </w:t>
      </w:r>
      <w:r w:rsidRPr="00EC20A0">
        <w:rPr>
          <w:sz w:val="18"/>
        </w:rPr>
        <w:t>entity</w:t>
      </w:r>
      <w:r w:rsidRPr="00EC20A0">
        <w:rPr>
          <w:spacing w:val="-2"/>
          <w:sz w:val="18"/>
        </w:rPr>
        <w:t xml:space="preserve"> </w:t>
      </w:r>
      <w:r w:rsidRPr="00EC20A0">
        <w:rPr>
          <w:sz w:val="18"/>
        </w:rPr>
        <w:t>may</w:t>
      </w:r>
      <w:r w:rsidRPr="00EC20A0">
        <w:rPr>
          <w:spacing w:val="-2"/>
          <w:sz w:val="18"/>
        </w:rPr>
        <w:t xml:space="preserve"> </w:t>
      </w:r>
      <w:r w:rsidRPr="00EC20A0">
        <w:rPr>
          <w:sz w:val="18"/>
        </w:rPr>
        <w:t>elect</w:t>
      </w:r>
      <w:r w:rsidRPr="00EC20A0">
        <w:rPr>
          <w:spacing w:val="-2"/>
          <w:sz w:val="18"/>
        </w:rPr>
        <w:t xml:space="preserve"> </w:t>
      </w:r>
      <w:r w:rsidRPr="00EC20A0">
        <w:rPr>
          <w:sz w:val="18"/>
        </w:rPr>
        <w:t>to</w:t>
      </w:r>
      <w:r w:rsidRPr="00EC20A0">
        <w:rPr>
          <w:spacing w:val="-3"/>
          <w:sz w:val="18"/>
        </w:rPr>
        <w:t xml:space="preserve"> </w:t>
      </w:r>
      <w:r w:rsidRPr="00EC20A0">
        <w:rPr>
          <w:sz w:val="18"/>
        </w:rPr>
        <w:t>lower</w:t>
      </w:r>
      <w:r w:rsidRPr="00EC20A0">
        <w:rPr>
          <w:spacing w:val="-2"/>
          <w:sz w:val="18"/>
        </w:rPr>
        <w:t xml:space="preserve"> </w:t>
      </w:r>
      <w:r w:rsidRPr="00EC20A0">
        <w:rPr>
          <w:sz w:val="18"/>
        </w:rPr>
        <w:t>the</w:t>
      </w:r>
      <w:r w:rsidRPr="00EC20A0">
        <w:rPr>
          <w:spacing w:val="-3"/>
          <w:sz w:val="18"/>
        </w:rPr>
        <w:t xml:space="preserve"> </w:t>
      </w:r>
      <w:r w:rsidRPr="00EC20A0">
        <w:rPr>
          <w:sz w:val="18"/>
        </w:rPr>
        <w:t>level</w:t>
      </w:r>
      <w:r w:rsidRPr="00EC20A0">
        <w:rPr>
          <w:spacing w:val="-2"/>
          <w:sz w:val="18"/>
        </w:rPr>
        <w:t xml:space="preserve"> </w:t>
      </w:r>
      <w:r w:rsidRPr="00EC20A0">
        <w:rPr>
          <w:sz w:val="18"/>
        </w:rPr>
        <w:t>at</w:t>
      </w:r>
      <w:r w:rsidRPr="00EC20A0">
        <w:rPr>
          <w:spacing w:val="-2"/>
          <w:sz w:val="18"/>
        </w:rPr>
        <w:t xml:space="preserve"> </w:t>
      </w:r>
      <w:r w:rsidRPr="00EC20A0">
        <w:rPr>
          <w:sz w:val="18"/>
        </w:rPr>
        <w:t>which</w:t>
      </w:r>
      <w:r w:rsidRPr="00EC20A0">
        <w:rPr>
          <w:spacing w:val="-3"/>
          <w:sz w:val="18"/>
        </w:rPr>
        <w:t xml:space="preserve"> </w:t>
      </w:r>
      <w:r w:rsidRPr="00EC20A0">
        <w:rPr>
          <w:sz w:val="18"/>
        </w:rPr>
        <w:t>budget</w:t>
      </w:r>
      <w:r w:rsidRPr="00EC20A0">
        <w:rPr>
          <w:spacing w:val="-2"/>
          <w:sz w:val="18"/>
        </w:rPr>
        <w:t xml:space="preserve"> </w:t>
      </w:r>
      <w:r w:rsidRPr="00EC20A0">
        <w:rPr>
          <w:sz w:val="18"/>
        </w:rPr>
        <w:t>limitations</w:t>
      </w:r>
      <w:r w:rsidRPr="00EC20A0">
        <w:rPr>
          <w:spacing w:val="-1"/>
          <w:sz w:val="18"/>
        </w:rPr>
        <w:t xml:space="preserve"> </w:t>
      </w:r>
      <w:r w:rsidRPr="00EC20A0">
        <w:rPr>
          <w:sz w:val="18"/>
        </w:rPr>
        <w:t>are</w:t>
      </w:r>
      <w:r w:rsidRPr="00EC20A0">
        <w:rPr>
          <w:spacing w:val="-3"/>
          <w:sz w:val="18"/>
        </w:rPr>
        <w:t xml:space="preserve"> </w:t>
      </w:r>
      <w:r w:rsidRPr="00EC20A0">
        <w:rPr>
          <w:sz w:val="18"/>
        </w:rPr>
        <w:t>legally</w:t>
      </w:r>
      <w:r w:rsidRPr="00EC20A0">
        <w:rPr>
          <w:spacing w:val="-2"/>
          <w:sz w:val="18"/>
        </w:rPr>
        <w:t xml:space="preserve"> </w:t>
      </w:r>
      <w:r w:rsidRPr="00EC20A0">
        <w:rPr>
          <w:sz w:val="18"/>
        </w:rPr>
        <w:t>binding</w:t>
      </w:r>
      <w:r w:rsidRPr="00EC20A0">
        <w:rPr>
          <w:spacing w:val="-3"/>
          <w:sz w:val="18"/>
        </w:rPr>
        <w:t xml:space="preserve"> </w:t>
      </w:r>
      <w:r w:rsidRPr="00EC20A0">
        <w:rPr>
          <w:sz w:val="18"/>
        </w:rPr>
        <w:t>in</w:t>
      </w:r>
      <w:r w:rsidRPr="00EC20A0">
        <w:rPr>
          <w:spacing w:val="-3"/>
          <w:sz w:val="18"/>
        </w:rPr>
        <w:t xml:space="preserve"> </w:t>
      </w:r>
      <w:r w:rsidRPr="00EC20A0">
        <w:rPr>
          <w:sz w:val="18"/>
        </w:rPr>
        <w:t>these</w:t>
      </w:r>
      <w:r w:rsidRPr="00EC20A0">
        <w:rPr>
          <w:spacing w:val="-2"/>
          <w:sz w:val="18"/>
        </w:rPr>
        <w:t xml:space="preserve"> </w:t>
      </w:r>
      <w:r w:rsidRPr="00EC20A0">
        <w:rPr>
          <w:sz w:val="18"/>
        </w:rPr>
        <w:t>regulations.</w:t>
      </w:r>
      <w:r w:rsidRPr="00EC20A0">
        <w:rPr>
          <w:spacing w:val="-2"/>
          <w:sz w:val="18"/>
        </w:rPr>
        <w:t xml:space="preserve"> </w:t>
      </w:r>
      <w:r w:rsidRPr="00EC20A0">
        <w:rPr>
          <w:sz w:val="18"/>
        </w:rPr>
        <w:t>For</w:t>
      </w:r>
      <w:r w:rsidRPr="00EC20A0">
        <w:rPr>
          <w:spacing w:val="-2"/>
          <w:sz w:val="18"/>
        </w:rPr>
        <w:t xml:space="preserve"> </w:t>
      </w:r>
      <w:r w:rsidRPr="00EC20A0">
        <w:rPr>
          <w:sz w:val="18"/>
        </w:rPr>
        <w:t>example,</w:t>
      </w:r>
      <w:r w:rsidRPr="00EC20A0">
        <w:rPr>
          <w:spacing w:val="-2"/>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may</w:t>
      </w:r>
      <w:r w:rsidRPr="00EC20A0">
        <w:rPr>
          <w:spacing w:val="-2"/>
          <w:sz w:val="18"/>
        </w:rPr>
        <w:t xml:space="preserve"> </w:t>
      </w:r>
      <w:r w:rsidRPr="00EC20A0">
        <w:rPr>
          <w:sz w:val="18"/>
        </w:rPr>
        <w:t>elect</w:t>
      </w:r>
      <w:r w:rsidRPr="00EC20A0">
        <w:rPr>
          <w:spacing w:val="-2"/>
          <w:sz w:val="18"/>
        </w:rPr>
        <w:t xml:space="preserve"> </w:t>
      </w:r>
      <w:r w:rsidRPr="00EC20A0">
        <w:rPr>
          <w:sz w:val="18"/>
        </w:rPr>
        <w:t xml:space="preserve">to reduce the legally binding limit on the obligation and </w:t>
      </w:r>
      <w:r w:rsidRPr="00EC20A0">
        <w:rPr>
          <w:sz w:val="18"/>
        </w:rPr>
        <w:t>expenditure of budget funds from the apportionment level to the allotment level. The auditor should determine the level at which the entity’s legally binding limit has been established.</w:t>
      </w:r>
    </w:p>
    <w:p w14:paraId="24D60E7B" w14:textId="77777777" w:rsidR="00245300" w:rsidRPr="00EC20A0" w:rsidRDefault="00245300">
      <w:pPr>
        <w:spacing w:line="242" w:lineRule="auto"/>
        <w:rPr>
          <w:sz w:val="18"/>
        </w:rPr>
        <w:sectPr w:rsidR="00245300" w:rsidRPr="00EC20A0">
          <w:pgSz w:w="15840" w:h="12240" w:orient="landscape"/>
          <w:pgMar w:top="1440" w:right="1220" w:bottom="960" w:left="960" w:header="721" w:footer="765" w:gutter="0"/>
          <w:cols w:space="720"/>
        </w:sectPr>
      </w:pPr>
    </w:p>
    <w:p w14:paraId="24D60E7C" w14:textId="77777777" w:rsidR="00245300" w:rsidRPr="00EC20A0" w:rsidRDefault="00F17249">
      <w:pPr>
        <w:pStyle w:val="BodyText"/>
        <w:spacing w:before="82"/>
        <w:ind w:left="119" w:right="185"/>
      </w:pPr>
      <w:r w:rsidRPr="00EC20A0">
        <w:t>Note: The auditor generally should perform these procedures or prepare equivalent documentation if the entity has appropriations or other funds that are limited to an amount or a specified</w:t>
      </w:r>
      <w:r w:rsidRPr="00EC20A0">
        <w:rPr>
          <w:spacing w:val="-4"/>
        </w:rPr>
        <w:t xml:space="preserve"> </w:t>
      </w:r>
      <w:r w:rsidRPr="00EC20A0">
        <w:t>period</w:t>
      </w:r>
      <w:r w:rsidRPr="00EC20A0">
        <w:rPr>
          <w:spacing w:val="-3"/>
        </w:rPr>
        <w:t xml:space="preserve"> </w:t>
      </w:r>
      <w:r w:rsidRPr="00EC20A0">
        <w:t>of</w:t>
      </w:r>
      <w:r w:rsidRPr="00EC20A0">
        <w:rPr>
          <w:spacing w:val="-3"/>
        </w:rPr>
        <w:t xml:space="preserve"> </w:t>
      </w:r>
      <w:r w:rsidRPr="00EC20A0">
        <w:t>availability.</w:t>
      </w:r>
      <w:r w:rsidRPr="00EC20A0">
        <w:rPr>
          <w:spacing w:val="-3"/>
        </w:rPr>
        <w:t xml:space="preserve"> </w:t>
      </w:r>
      <w:r w:rsidRPr="00EC20A0">
        <w:t>If</w:t>
      </w:r>
      <w:r w:rsidRPr="00EC20A0">
        <w:rPr>
          <w:spacing w:val="-3"/>
        </w:rPr>
        <w:t xml:space="preserve"> </w:t>
      </w:r>
      <w:r w:rsidRPr="00EC20A0">
        <w:t>so,</w:t>
      </w:r>
      <w:r w:rsidRPr="00EC20A0">
        <w:rPr>
          <w:spacing w:val="-4"/>
        </w:rPr>
        <w:t xml:space="preserve"> </w:t>
      </w:r>
      <w:r w:rsidRPr="00EC20A0">
        <w:t>the</w:t>
      </w:r>
      <w:r w:rsidRPr="00EC20A0">
        <w:rPr>
          <w:spacing w:val="-3"/>
        </w:rPr>
        <w:t xml:space="preserve"> </w:t>
      </w:r>
      <w:r w:rsidRPr="00EC20A0">
        <w:t>provisions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proofErr w:type="spellStart"/>
      <w:r w:rsidRPr="00EC20A0">
        <w:t>Antideficiency</w:t>
      </w:r>
      <w:proofErr w:type="spellEnd"/>
      <w:r w:rsidRPr="00EC20A0">
        <w:rPr>
          <w:spacing w:val="-4"/>
        </w:rPr>
        <w:t xml:space="preserve"> </w:t>
      </w:r>
      <w:r w:rsidRPr="00EC20A0">
        <w:t>Act</w:t>
      </w:r>
      <w:r w:rsidRPr="00EC20A0">
        <w:rPr>
          <w:spacing w:val="-3"/>
        </w:rPr>
        <w:t xml:space="preserve"> </w:t>
      </w:r>
      <w:r w:rsidRPr="00EC20A0">
        <w:t>(ADA),</w:t>
      </w:r>
      <w:r w:rsidRPr="00EC20A0">
        <w:rPr>
          <w:spacing w:val="-3"/>
        </w:rPr>
        <w:t xml:space="preserve"> </w:t>
      </w:r>
      <w:r w:rsidRPr="00EC20A0">
        <w:t>as</w:t>
      </w:r>
      <w:r w:rsidRPr="00EC20A0">
        <w:rPr>
          <w:spacing w:val="-3"/>
        </w:rPr>
        <w:t xml:space="preserve"> </w:t>
      </w:r>
      <w:r w:rsidRPr="00EC20A0">
        <w:t xml:space="preserve">provided primarily in 31 U.S.C. chapters 13, 15, are applicable, as indicated on Form 802, General Compliance Checklist, at page 802-3. These procedures test compliance with the provisions listed on the Compliance Summary. OMB guidance on budget execution, including the </w:t>
      </w:r>
      <w:proofErr w:type="spellStart"/>
      <w:r w:rsidRPr="00EC20A0">
        <w:t>Antideficiency</w:t>
      </w:r>
      <w:proofErr w:type="spellEnd"/>
      <w:r w:rsidRPr="00EC20A0">
        <w:rPr>
          <w:spacing w:val="-3"/>
        </w:rPr>
        <w:t xml:space="preserve"> </w:t>
      </w:r>
      <w:r w:rsidRPr="00EC20A0">
        <w:t>Act,</w:t>
      </w:r>
      <w:r w:rsidRPr="00EC20A0">
        <w:rPr>
          <w:spacing w:val="-3"/>
        </w:rPr>
        <w:t xml:space="preserve"> </w:t>
      </w:r>
      <w:r w:rsidRPr="00EC20A0">
        <w:t>is</w:t>
      </w:r>
      <w:r w:rsidRPr="00EC20A0">
        <w:rPr>
          <w:spacing w:val="-3"/>
        </w:rPr>
        <w:t xml:space="preserve"> </w:t>
      </w:r>
      <w:r w:rsidRPr="00EC20A0">
        <w:t>included</w:t>
      </w:r>
      <w:r w:rsidRPr="00EC20A0">
        <w:rPr>
          <w:spacing w:val="-3"/>
        </w:rPr>
        <w:t xml:space="preserve"> </w:t>
      </w:r>
      <w:r w:rsidRPr="00EC20A0">
        <w:t>in</w:t>
      </w:r>
      <w:r w:rsidRPr="00EC20A0">
        <w:rPr>
          <w:spacing w:val="-3"/>
        </w:rPr>
        <w:t xml:space="preserve"> </w:t>
      </w:r>
      <w:r w:rsidRPr="00EC20A0">
        <w:t>OMB</w:t>
      </w:r>
      <w:r w:rsidRPr="00EC20A0">
        <w:rPr>
          <w:spacing w:val="-3"/>
        </w:rPr>
        <w:t xml:space="preserve"> </w:t>
      </w:r>
      <w:r w:rsidRPr="00EC20A0">
        <w:t>Circular</w:t>
      </w:r>
      <w:r w:rsidRPr="00EC20A0">
        <w:rPr>
          <w:spacing w:val="-3"/>
        </w:rPr>
        <w:t xml:space="preserve"> </w:t>
      </w:r>
      <w:r w:rsidRPr="00EC20A0">
        <w:t>No.</w:t>
      </w:r>
      <w:r w:rsidRPr="00EC20A0">
        <w:rPr>
          <w:spacing w:val="-3"/>
        </w:rPr>
        <w:t xml:space="preserve"> </w:t>
      </w:r>
      <w:r w:rsidRPr="00EC20A0">
        <w:t>A-11,</w:t>
      </w:r>
      <w:r w:rsidRPr="00EC20A0">
        <w:rPr>
          <w:spacing w:val="-3"/>
        </w:rPr>
        <w:t xml:space="preserve"> </w:t>
      </w:r>
      <w:r w:rsidRPr="00EC20A0">
        <w:rPr>
          <w:i/>
        </w:rPr>
        <w:t>Preparing,</w:t>
      </w:r>
      <w:r w:rsidRPr="00EC20A0">
        <w:rPr>
          <w:i/>
          <w:spacing w:val="-3"/>
        </w:rPr>
        <w:t xml:space="preserve"> </w:t>
      </w:r>
      <w:r w:rsidRPr="00EC20A0">
        <w:rPr>
          <w:i/>
        </w:rPr>
        <w:t>Submitting,</w:t>
      </w:r>
      <w:r w:rsidRPr="00EC20A0">
        <w:rPr>
          <w:i/>
          <w:spacing w:val="-3"/>
        </w:rPr>
        <w:t xml:space="preserve"> </w:t>
      </w:r>
      <w:r w:rsidRPr="00EC20A0">
        <w:rPr>
          <w:i/>
        </w:rPr>
        <w:t>and</w:t>
      </w:r>
      <w:r w:rsidRPr="00EC20A0">
        <w:rPr>
          <w:i/>
          <w:spacing w:val="-3"/>
        </w:rPr>
        <w:t xml:space="preserve"> </w:t>
      </w:r>
      <w:r w:rsidRPr="00EC20A0">
        <w:rPr>
          <w:i/>
        </w:rPr>
        <w:t xml:space="preserve">Executing the Budget, </w:t>
      </w:r>
      <w:r w:rsidRPr="00EC20A0">
        <w:t xml:space="preserve">Part 4, </w:t>
      </w:r>
      <w:r w:rsidRPr="00EC20A0">
        <w:rPr>
          <w:i/>
        </w:rPr>
        <w:t>Instructions on Budget Execution</w:t>
      </w:r>
      <w:r w:rsidRPr="00EC20A0">
        <w:t>.</w:t>
      </w:r>
    </w:p>
    <w:p w14:paraId="24D60E7D" w14:textId="77777777" w:rsidR="00245300" w:rsidRPr="00EC20A0" w:rsidRDefault="00245300">
      <w:pPr>
        <w:pStyle w:val="BodyText"/>
        <w:spacing w:before="8"/>
        <w:rPr>
          <w:sz w:val="13"/>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286"/>
        <w:gridCol w:w="1089"/>
        <w:gridCol w:w="985"/>
      </w:tblGrid>
      <w:tr w:rsidR="00245300" w:rsidRPr="00EC20A0" w14:paraId="24D60E7F" w14:textId="77777777">
        <w:trPr>
          <w:trHeight w:val="1335"/>
        </w:trPr>
        <w:tc>
          <w:tcPr>
            <w:tcW w:w="9360" w:type="dxa"/>
            <w:gridSpan w:val="3"/>
          </w:tcPr>
          <w:p w14:paraId="24D60E7E" w14:textId="77777777" w:rsidR="00245300" w:rsidRPr="00EC20A0" w:rsidRDefault="00F17249">
            <w:pPr>
              <w:pStyle w:val="TableParagraph"/>
              <w:tabs>
                <w:tab w:val="left" w:pos="8944"/>
              </w:tabs>
              <w:spacing w:before="8" w:line="390" w:lineRule="atLeast"/>
              <w:ind w:left="130" w:right="368"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0E84" w14:textId="77777777">
        <w:trPr>
          <w:trHeight w:val="627"/>
        </w:trPr>
        <w:tc>
          <w:tcPr>
            <w:tcW w:w="7286" w:type="dxa"/>
            <w:tcBorders>
              <w:right w:val="single" w:sz="6" w:space="0" w:color="000000"/>
            </w:tcBorders>
          </w:tcPr>
          <w:p w14:paraId="24D60E80" w14:textId="77777777" w:rsidR="00245300" w:rsidRPr="00EC20A0" w:rsidRDefault="00245300">
            <w:pPr>
              <w:pStyle w:val="TableParagraph"/>
              <w:spacing w:before="61"/>
            </w:pPr>
          </w:p>
          <w:p w14:paraId="24D60E81"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089" w:type="dxa"/>
            <w:tcBorders>
              <w:left w:val="single" w:sz="6" w:space="0" w:color="000000"/>
              <w:right w:val="single" w:sz="6" w:space="0" w:color="000000"/>
            </w:tcBorders>
          </w:tcPr>
          <w:p w14:paraId="24D60E82" w14:textId="77777777" w:rsidR="00245300" w:rsidRPr="00EC20A0" w:rsidRDefault="00F17249">
            <w:pPr>
              <w:pStyle w:val="TableParagraph"/>
              <w:spacing w:before="61"/>
              <w:ind w:left="145"/>
              <w:rPr>
                <w:b/>
              </w:rPr>
            </w:pPr>
            <w:r w:rsidRPr="00EC20A0">
              <w:rPr>
                <w:b/>
                <w:spacing w:val="-2"/>
              </w:rPr>
              <w:t xml:space="preserve">Initials/ </w:t>
            </w:r>
            <w:r w:rsidRPr="00EC20A0">
              <w:rPr>
                <w:b/>
                <w:spacing w:val="-4"/>
              </w:rPr>
              <w:t>date</w:t>
            </w:r>
          </w:p>
        </w:tc>
        <w:tc>
          <w:tcPr>
            <w:tcW w:w="985" w:type="dxa"/>
            <w:tcBorders>
              <w:left w:val="single" w:sz="6" w:space="0" w:color="000000"/>
            </w:tcBorders>
          </w:tcPr>
          <w:p w14:paraId="24D60E83" w14:textId="77777777" w:rsidR="00245300" w:rsidRPr="00EC20A0" w:rsidRDefault="00F17249">
            <w:pPr>
              <w:pStyle w:val="TableParagraph"/>
              <w:spacing w:before="61"/>
              <w:ind w:left="146" w:right="329" w:hanging="1"/>
              <w:rPr>
                <w:b/>
              </w:rPr>
            </w:pPr>
            <w:r w:rsidRPr="00EC20A0">
              <w:rPr>
                <w:b/>
                <w:spacing w:val="-4"/>
              </w:rPr>
              <w:t>Doc. ref.</w:t>
            </w:r>
          </w:p>
        </w:tc>
      </w:tr>
      <w:tr w:rsidR="00245300" w:rsidRPr="00EC20A0" w14:paraId="24D60E89" w14:textId="77777777">
        <w:trPr>
          <w:trHeight w:val="2456"/>
        </w:trPr>
        <w:tc>
          <w:tcPr>
            <w:tcW w:w="7286" w:type="dxa"/>
            <w:tcBorders>
              <w:bottom w:val="single" w:sz="6" w:space="0" w:color="000000"/>
              <w:right w:val="single" w:sz="6" w:space="0" w:color="000000"/>
            </w:tcBorders>
          </w:tcPr>
          <w:p w14:paraId="24D60E85" w14:textId="77777777" w:rsidR="00245300" w:rsidRPr="00EC20A0" w:rsidRDefault="00F17249">
            <w:pPr>
              <w:pStyle w:val="TableParagraph"/>
              <w:spacing w:before="144"/>
              <w:ind w:left="489" w:right="160" w:hanging="360"/>
            </w:pPr>
            <w:r w:rsidRPr="00EC20A0">
              <w:t>1.</w:t>
            </w:r>
            <w:r w:rsidRPr="00EC20A0">
              <w:rPr>
                <w:spacing w:val="80"/>
              </w:rPr>
              <w:t xml:space="preserve"> </w:t>
            </w:r>
            <w:r w:rsidRPr="00EC20A0">
              <w:t xml:space="preserve">List the </w:t>
            </w:r>
            <w:r w:rsidRPr="00EC20A0">
              <w:t>appropriations or other budget authority and the related budget</w:t>
            </w:r>
            <w:r w:rsidRPr="00EC20A0">
              <w:rPr>
                <w:spacing w:val="-4"/>
              </w:rPr>
              <w:t xml:space="preserve"> </w:t>
            </w:r>
            <w:r w:rsidRPr="00EC20A0">
              <w:t>accounts</w:t>
            </w:r>
            <w:r w:rsidRPr="00EC20A0">
              <w:rPr>
                <w:spacing w:val="-4"/>
              </w:rPr>
              <w:t xml:space="preserve"> </w:t>
            </w:r>
            <w:r w:rsidRPr="00EC20A0">
              <w:t>that</w:t>
            </w:r>
            <w:r w:rsidRPr="00EC20A0">
              <w:rPr>
                <w:spacing w:val="-4"/>
              </w:rPr>
              <w:t xml:space="preserve"> </w:t>
            </w:r>
            <w:r w:rsidRPr="00EC20A0">
              <w:t>were</w:t>
            </w:r>
            <w:r w:rsidRPr="00EC20A0">
              <w:rPr>
                <w:spacing w:val="-4"/>
              </w:rPr>
              <w:t xml:space="preserve"> </w:t>
            </w:r>
            <w:r w:rsidRPr="00EC20A0">
              <w:t>identified</w:t>
            </w:r>
            <w:r w:rsidRPr="00EC20A0">
              <w:rPr>
                <w:spacing w:val="-5"/>
              </w:rPr>
              <w:t xml:space="preserve"> </w:t>
            </w:r>
            <w:r w:rsidRPr="00EC20A0">
              <w:t>for</w:t>
            </w:r>
            <w:r w:rsidRPr="00EC20A0">
              <w:rPr>
                <w:spacing w:val="-4"/>
              </w:rPr>
              <w:t xml:space="preserve"> </w:t>
            </w:r>
            <w:r w:rsidRPr="00EC20A0">
              <w:t>compliance</w:t>
            </w:r>
            <w:r w:rsidRPr="00EC20A0">
              <w:rPr>
                <w:spacing w:val="-4"/>
              </w:rPr>
              <w:t xml:space="preserve"> </w:t>
            </w:r>
            <w:r w:rsidRPr="00EC20A0">
              <w:t>testing</w:t>
            </w:r>
            <w:r w:rsidRPr="00EC20A0">
              <w:rPr>
                <w:spacing w:val="-4"/>
              </w:rPr>
              <w:t xml:space="preserve"> </w:t>
            </w:r>
            <w:r w:rsidRPr="00EC20A0">
              <w:t>on</w:t>
            </w:r>
            <w:r w:rsidRPr="00EC20A0">
              <w:rPr>
                <w:spacing w:val="-4"/>
              </w:rPr>
              <w:t xml:space="preserve"> </w:t>
            </w:r>
            <w:r w:rsidRPr="00EC20A0">
              <w:t>Form 802, General Compliance Checklist. Per FAM 802.07 at page 802- 2, the auditor should identify all legally binding restrictions on budget execution, from sources such as appropriation statutes.</w:t>
            </w:r>
          </w:p>
          <w:p w14:paraId="24D60E86" w14:textId="77777777" w:rsidR="00245300" w:rsidRPr="00EC20A0" w:rsidRDefault="00F17249">
            <w:pPr>
              <w:pStyle w:val="TableParagraph"/>
              <w:spacing w:before="144"/>
              <w:ind w:left="490" w:right="207"/>
            </w:pPr>
            <w:r w:rsidRPr="00EC20A0">
              <w:t>(The</w:t>
            </w:r>
            <w:r w:rsidRPr="00EC20A0">
              <w:rPr>
                <w:spacing w:val="-4"/>
              </w:rPr>
              <w:t xml:space="preserve"> </w:t>
            </w:r>
            <w:r w:rsidRPr="00EC20A0">
              <w:t>auditor</w:t>
            </w:r>
            <w:r w:rsidRPr="00EC20A0">
              <w:rPr>
                <w:spacing w:val="-5"/>
              </w:rPr>
              <w:t xml:space="preserve"> </w:t>
            </w:r>
            <w:r w:rsidRPr="00EC20A0">
              <w:t>may</w:t>
            </w:r>
            <w:r w:rsidRPr="00EC20A0">
              <w:rPr>
                <w:spacing w:val="-4"/>
              </w:rPr>
              <w:t xml:space="preserve"> </w:t>
            </w:r>
            <w:r w:rsidRPr="00EC20A0">
              <w:t>coordinate</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tests</w:t>
            </w:r>
            <w:r w:rsidRPr="00EC20A0">
              <w:rPr>
                <w:spacing w:val="-4"/>
              </w:rPr>
              <w:t xml:space="preserve"> </w:t>
            </w:r>
            <w:r w:rsidRPr="00EC20A0">
              <w:t>for</w:t>
            </w:r>
            <w:r w:rsidRPr="00EC20A0">
              <w:rPr>
                <w:spacing w:val="-4"/>
              </w:rPr>
              <w:t xml:space="preserve"> </w:t>
            </w:r>
            <w:r w:rsidRPr="00EC20A0">
              <w:t>compliance</w:t>
            </w:r>
            <w:r w:rsidRPr="00EC20A0">
              <w:rPr>
                <w:spacing w:val="-4"/>
              </w:rPr>
              <w:t xml:space="preserve"> </w:t>
            </w:r>
            <w:r w:rsidRPr="00EC20A0">
              <w:t xml:space="preserve">with the </w:t>
            </w:r>
            <w:proofErr w:type="spellStart"/>
            <w:r w:rsidRPr="00EC20A0">
              <w:t>Antideficiency</w:t>
            </w:r>
            <w:proofErr w:type="spellEnd"/>
            <w:r w:rsidRPr="00EC20A0">
              <w:t xml:space="preserve"> Act with tests of the Statement of Budgetary Resources and with tests of expenses.)</w:t>
            </w:r>
          </w:p>
        </w:tc>
        <w:tc>
          <w:tcPr>
            <w:tcW w:w="1089" w:type="dxa"/>
            <w:tcBorders>
              <w:left w:val="single" w:sz="6" w:space="0" w:color="000000"/>
              <w:bottom w:val="single" w:sz="6" w:space="0" w:color="000000"/>
              <w:right w:val="single" w:sz="6" w:space="0" w:color="000000"/>
            </w:tcBorders>
          </w:tcPr>
          <w:p w14:paraId="24D60E87" w14:textId="77777777" w:rsidR="00245300" w:rsidRPr="00EC20A0" w:rsidRDefault="00245300">
            <w:pPr>
              <w:pStyle w:val="TableParagraph"/>
              <w:rPr>
                <w:sz w:val="20"/>
              </w:rPr>
            </w:pPr>
          </w:p>
        </w:tc>
        <w:tc>
          <w:tcPr>
            <w:tcW w:w="985" w:type="dxa"/>
            <w:tcBorders>
              <w:left w:val="single" w:sz="6" w:space="0" w:color="000000"/>
              <w:bottom w:val="single" w:sz="6" w:space="0" w:color="000000"/>
            </w:tcBorders>
          </w:tcPr>
          <w:p w14:paraId="24D60E88" w14:textId="77777777" w:rsidR="00245300" w:rsidRPr="00EC20A0" w:rsidRDefault="00245300">
            <w:pPr>
              <w:pStyle w:val="TableParagraph"/>
              <w:rPr>
                <w:sz w:val="20"/>
              </w:rPr>
            </w:pPr>
          </w:p>
        </w:tc>
      </w:tr>
      <w:tr w:rsidR="00245300" w:rsidRPr="00EC20A0" w14:paraId="24D60E90" w14:textId="77777777">
        <w:trPr>
          <w:trHeight w:val="6454"/>
        </w:trPr>
        <w:tc>
          <w:tcPr>
            <w:tcW w:w="7286" w:type="dxa"/>
            <w:tcBorders>
              <w:top w:val="single" w:sz="6" w:space="0" w:color="000000"/>
              <w:bottom w:val="single" w:sz="6" w:space="0" w:color="000000"/>
              <w:right w:val="single" w:sz="6" w:space="0" w:color="000000"/>
            </w:tcBorders>
          </w:tcPr>
          <w:p w14:paraId="24D60E8A" w14:textId="77777777" w:rsidR="00245300" w:rsidRPr="00EC20A0" w:rsidRDefault="00F17249">
            <w:pPr>
              <w:pStyle w:val="TableParagraph"/>
              <w:spacing w:before="143"/>
              <w:ind w:left="489" w:right="207" w:hanging="360"/>
            </w:pPr>
            <w:r w:rsidRPr="00EC20A0">
              <w:t>2.</w:t>
            </w:r>
            <w:r w:rsidRPr="00EC20A0">
              <w:rPr>
                <w:spacing w:val="80"/>
              </w:rPr>
              <w:t xml:space="preserve"> </w:t>
            </w:r>
            <w:r w:rsidRPr="00EC20A0">
              <w:t>As</w:t>
            </w:r>
            <w:r w:rsidRPr="00EC20A0">
              <w:rPr>
                <w:spacing w:val="-3"/>
              </w:rPr>
              <w:t xml:space="preserve"> </w:t>
            </w:r>
            <w:r w:rsidRPr="00EC20A0">
              <w:t>discussed</w:t>
            </w:r>
            <w:r w:rsidRPr="00EC20A0">
              <w:rPr>
                <w:spacing w:val="-3"/>
              </w:rPr>
              <w:t xml:space="preserve"> </w:t>
            </w:r>
            <w:r w:rsidRPr="00EC20A0">
              <w:t>in</w:t>
            </w:r>
            <w:r w:rsidRPr="00EC20A0">
              <w:rPr>
                <w:spacing w:val="-3"/>
              </w:rPr>
              <w:t xml:space="preserve"> </w:t>
            </w:r>
            <w:r w:rsidRPr="00EC20A0">
              <w:t>FAM</w:t>
            </w:r>
            <w:r w:rsidRPr="00EC20A0">
              <w:rPr>
                <w:spacing w:val="-4"/>
              </w:rPr>
              <w:t xml:space="preserve"> </w:t>
            </w:r>
            <w:r w:rsidRPr="00EC20A0">
              <w:t>460.03,</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4"/>
              </w:rPr>
              <w:t xml:space="preserve"> </w:t>
            </w:r>
            <w:r w:rsidRPr="00EC20A0">
              <w:t>determine</w:t>
            </w:r>
            <w:r w:rsidRPr="00EC20A0">
              <w:rPr>
                <w:spacing w:val="-3"/>
              </w:rPr>
              <w:t xml:space="preserve"> </w:t>
            </w:r>
            <w:r w:rsidRPr="00EC20A0">
              <w:t>whether the summarized budget information (obligations and expenditures) used for compliance tests is reasonably accurate and complete. The auditor may obtain assurance through effective controls that the auditor tests (usually the budget controls) or, if the controls are not effective, through substantive testing of budget amounts for validity, completeness, cutoff, recording, classification, and summarization, as described in FAM 495 B, Example Procedu</w:t>
            </w:r>
            <w:r w:rsidRPr="00EC20A0">
              <w:t>res for Tests of Budget Information.</w:t>
            </w:r>
          </w:p>
          <w:p w14:paraId="24D60E8B" w14:textId="77777777" w:rsidR="00245300" w:rsidRPr="00EC20A0" w:rsidRDefault="00F17249">
            <w:pPr>
              <w:pStyle w:val="TableParagraph"/>
              <w:spacing w:before="144"/>
              <w:ind w:left="461" w:right="207"/>
            </w:pPr>
            <w:r w:rsidRPr="00EC20A0">
              <w:t>For</w:t>
            </w:r>
            <w:r w:rsidRPr="00EC20A0">
              <w:rPr>
                <w:spacing w:val="-3"/>
              </w:rPr>
              <w:t xml:space="preserve"> </w:t>
            </w:r>
            <w:r w:rsidRPr="00EC20A0">
              <w:t>the</w:t>
            </w:r>
            <w:r w:rsidRPr="00EC20A0">
              <w:rPr>
                <w:spacing w:val="-3"/>
              </w:rPr>
              <w:t xml:space="preserve"> </w:t>
            </w:r>
            <w:r w:rsidRPr="00EC20A0">
              <w:t>accounts</w:t>
            </w:r>
            <w:r w:rsidRPr="00EC20A0">
              <w:rPr>
                <w:spacing w:val="-3"/>
              </w:rPr>
              <w:t xml:space="preserve"> </w:t>
            </w:r>
            <w:r w:rsidRPr="00EC20A0">
              <w:t>listed</w:t>
            </w:r>
            <w:r w:rsidRPr="00EC20A0">
              <w:rPr>
                <w:spacing w:val="-3"/>
              </w:rPr>
              <w:t xml:space="preserve"> </w:t>
            </w:r>
            <w:r w:rsidRPr="00EC20A0">
              <w:t>in</w:t>
            </w:r>
            <w:r w:rsidRPr="00EC20A0">
              <w:rPr>
                <w:spacing w:val="-4"/>
              </w:rPr>
              <w:t xml:space="preserve"> </w:t>
            </w:r>
            <w:r w:rsidRPr="00EC20A0">
              <w:t>step</w:t>
            </w:r>
            <w:r w:rsidRPr="00EC20A0">
              <w:rPr>
                <w:spacing w:val="-3"/>
              </w:rPr>
              <w:t xml:space="preserve"> </w:t>
            </w:r>
            <w:r w:rsidRPr="00EC20A0">
              <w:t>1,</w:t>
            </w:r>
            <w:r w:rsidRPr="00EC20A0">
              <w:rPr>
                <w:spacing w:val="-3"/>
              </w:rPr>
              <w:t xml:space="preserve"> </w:t>
            </w:r>
            <w:r w:rsidRPr="00EC20A0">
              <w:t>document</w:t>
            </w:r>
            <w:r w:rsidRPr="00EC20A0">
              <w:rPr>
                <w:spacing w:val="-3"/>
              </w:rPr>
              <w:t xml:space="preserve"> </w:t>
            </w:r>
            <w:r w:rsidRPr="00EC20A0">
              <w:t>if</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will</w:t>
            </w:r>
            <w:r w:rsidRPr="00EC20A0">
              <w:rPr>
                <w:spacing w:val="-3"/>
              </w:rPr>
              <w:t xml:space="preserve"> </w:t>
            </w:r>
            <w:r w:rsidRPr="00EC20A0">
              <w:t>obtain this assurance by testing controls (as indicated on Form 803, Compliance Summary) or if substantive tests of the budget information are necessary.</w:t>
            </w:r>
          </w:p>
          <w:p w14:paraId="24D60E8C" w14:textId="77777777" w:rsidR="00245300" w:rsidRPr="00EC20A0" w:rsidRDefault="00F17249">
            <w:pPr>
              <w:pStyle w:val="TableParagraph"/>
              <w:spacing w:before="144"/>
              <w:ind w:left="490"/>
            </w:pPr>
            <w:r w:rsidRPr="00EC20A0">
              <w:t>If the auditor determines that controls are not effective in meeting some or all of the budget control objectives listed in FAM 395 F, Budget Control Objectives, then the auditor should perform substantive tests of the budget amounts (obligations and expenditures), as discussed in FAM 495 B. The auditor should perform</w:t>
            </w:r>
            <w:r w:rsidRPr="00EC20A0">
              <w:rPr>
                <w:spacing w:val="-6"/>
              </w:rPr>
              <w:t xml:space="preserve"> </w:t>
            </w:r>
            <w:r w:rsidRPr="00EC20A0">
              <w:t>substantive</w:t>
            </w:r>
            <w:r w:rsidRPr="00EC20A0">
              <w:rPr>
                <w:spacing w:val="-5"/>
              </w:rPr>
              <w:t xml:space="preserve"> </w:t>
            </w:r>
            <w:r w:rsidRPr="00EC20A0">
              <w:t>tests</w:t>
            </w:r>
            <w:r w:rsidRPr="00EC20A0">
              <w:rPr>
                <w:spacing w:val="-5"/>
              </w:rPr>
              <w:t xml:space="preserve"> </w:t>
            </w:r>
            <w:r w:rsidRPr="00EC20A0">
              <w:t>only</w:t>
            </w:r>
            <w:r w:rsidRPr="00EC20A0">
              <w:rPr>
                <w:spacing w:val="-5"/>
              </w:rPr>
              <w:t xml:space="preserve"> </w:t>
            </w:r>
            <w:r w:rsidRPr="00EC20A0">
              <w:t>for</w:t>
            </w:r>
            <w:r w:rsidRPr="00EC20A0">
              <w:rPr>
                <w:spacing w:val="-5"/>
              </w:rPr>
              <w:t xml:space="preserve"> </w:t>
            </w:r>
            <w:r w:rsidRPr="00EC20A0">
              <w:t>those</w:t>
            </w:r>
            <w:r w:rsidRPr="00EC20A0">
              <w:rPr>
                <w:spacing w:val="-5"/>
              </w:rPr>
              <w:t xml:space="preserve"> </w:t>
            </w:r>
            <w:r w:rsidRPr="00EC20A0">
              <w:t>potential</w:t>
            </w:r>
            <w:r w:rsidRPr="00EC20A0">
              <w:rPr>
                <w:spacing w:val="-5"/>
              </w:rPr>
              <w:t xml:space="preserve"> </w:t>
            </w:r>
            <w:r w:rsidRPr="00EC20A0">
              <w:t>misstatements</w:t>
            </w:r>
            <w:r w:rsidRPr="00EC20A0">
              <w:rPr>
                <w:spacing w:val="-5"/>
              </w:rPr>
              <w:t xml:space="preserve"> </w:t>
            </w:r>
            <w:r w:rsidRPr="00EC20A0">
              <w:t>for which the entity does not have effective budget controls.</w:t>
            </w:r>
          </w:p>
          <w:p w14:paraId="24D60E8D" w14:textId="77777777" w:rsidR="00245300" w:rsidRPr="00EC20A0" w:rsidRDefault="00F17249">
            <w:pPr>
              <w:pStyle w:val="TableParagraph"/>
              <w:spacing w:before="144"/>
              <w:ind w:left="461" w:right="207"/>
            </w:pPr>
            <w:r w:rsidRPr="00EC20A0">
              <w:t>After</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is</w:t>
            </w:r>
            <w:r w:rsidRPr="00EC20A0">
              <w:rPr>
                <w:spacing w:val="-4"/>
              </w:rPr>
              <w:t xml:space="preserve"> </w:t>
            </w:r>
            <w:r w:rsidRPr="00EC20A0">
              <w:t>satisfied</w:t>
            </w:r>
            <w:r w:rsidRPr="00EC20A0">
              <w:rPr>
                <w:spacing w:val="-4"/>
              </w:rPr>
              <w:t xml:space="preserve"> </w:t>
            </w:r>
            <w:r w:rsidRPr="00EC20A0">
              <w:t>as</w:t>
            </w:r>
            <w:r w:rsidRPr="00EC20A0">
              <w:rPr>
                <w:spacing w:val="-4"/>
              </w:rPr>
              <w:t xml:space="preserve"> </w:t>
            </w:r>
            <w:r w:rsidRPr="00EC20A0">
              <w:t>to</w:t>
            </w:r>
            <w:r w:rsidRPr="00EC20A0">
              <w:rPr>
                <w:spacing w:val="-4"/>
              </w:rPr>
              <w:t xml:space="preserve"> </w:t>
            </w:r>
            <w:r w:rsidRPr="00EC20A0">
              <w:t>the</w:t>
            </w:r>
            <w:r w:rsidRPr="00EC20A0">
              <w:rPr>
                <w:spacing w:val="-5"/>
              </w:rPr>
              <w:t xml:space="preserve"> </w:t>
            </w:r>
            <w:r w:rsidRPr="00EC20A0">
              <w:t>reasonableness</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budget amounts to be used for the compliance tests, perform the compliance tests in steps 3 and 4.</w:t>
            </w:r>
          </w:p>
        </w:tc>
        <w:tc>
          <w:tcPr>
            <w:tcW w:w="1089" w:type="dxa"/>
            <w:tcBorders>
              <w:top w:val="single" w:sz="6" w:space="0" w:color="000000"/>
              <w:left w:val="single" w:sz="6" w:space="0" w:color="000000"/>
              <w:bottom w:val="single" w:sz="6" w:space="0" w:color="000000"/>
              <w:right w:val="single" w:sz="6" w:space="0" w:color="000000"/>
            </w:tcBorders>
          </w:tcPr>
          <w:p w14:paraId="24D60E8E" w14:textId="77777777" w:rsidR="00245300" w:rsidRPr="00EC20A0" w:rsidRDefault="00245300">
            <w:pPr>
              <w:pStyle w:val="TableParagraph"/>
              <w:rPr>
                <w:sz w:val="20"/>
              </w:rPr>
            </w:pPr>
          </w:p>
        </w:tc>
        <w:tc>
          <w:tcPr>
            <w:tcW w:w="985" w:type="dxa"/>
            <w:tcBorders>
              <w:top w:val="single" w:sz="6" w:space="0" w:color="000000"/>
              <w:left w:val="single" w:sz="6" w:space="0" w:color="000000"/>
              <w:bottom w:val="single" w:sz="6" w:space="0" w:color="000000"/>
            </w:tcBorders>
          </w:tcPr>
          <w:p w14:paraId="24D60E8F" w14:textId="77777777" w:rsidR="00245300" w:rsidRPr="00EC20A0" w:rsidRDefault="00245300">
            <w:pPr>
              <w:pStyle w:val="TableParagraph"/>
              <w:rPr>
                <w:sz w:val="20"/>
              </w:rPr>
            </w:pPr>
          </w:p>
        </w:tc>
      </w:tr>
    </w:tbl>
    <w:p w14:paraId="24D60E91" w14:textId="77777777" w:rsidR="00245300" w:rsidRPr="00EC20A0" w:rsidRDefault="00245300">
      <w:pPr>
        <w:rPr>
          <w:sz w:val="20"/>
        </w:rPr>
        <w:sectPr w:rsidR="00245300" w:rsidRPr="00EC20A0">
          <w:headerReference w:type="default" r:id="rId100"/>
          <w:footerReference w:type="default" r:id="rId101"/>
          <w:pgSz w:w="12240" w:h="15840"/>
          <w:pgMar w:top="1380" w:right="1320" w:bottom="940" w:left="1320" w:header="721" w:footer="742" w:gutter="0"/>
          <w:cols w:space="720"/>
        </w:sectPr>
      </w:pPr>
    </w:p>
    <w:p w14:paraId="24D60E92" w14:textId="77777777" w:rsidR="00245300" w:rsidRPr="00EC20A0" w:rsidRDefault="00245300">
      <w:pPr>
        <w:pStyle w:val="BodyText"/>
        <w:spacing w:before="4" w:after="1"/>
        <w:rPr>
          <w:sz w:val="8"/>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286"/>
        <w:gridCol w:w="1089"/>
        <w:gridCol w:w="985"/>
      </w:tblGrid>
      <w:tr w:rsidR="00245300" w:rsidRPr="00EC20A0" w14:paraId="24D60E94" w14:textId="77777777">
        <w:trPr>
          <w:trHeight w:val="1335"/>
        </w:trPr>
        <w:tc>
          <w:tcPr>
            <w:tcW w:w="9360" w:type="dxa"/>
            <w:gridSpan w:val="3"/>
          </w:tcPr>
          <w:p w14:paraId="24D60E93" w14:textId="77777777" w:rsidR="00245300" w:rsidRPr="00EC20A0" w:rsidRDefault="00F17249">
            <w:pPr>
              <w:pStyle w:val="TableParagraph"/>
              <w:tabs>
                <w:tab w:val="left" w:pos="8943"/>
              </w:tabs>
              <w:spacing w:before="7" w:line="390" w:lineRule="atLeast"/>
              <w:ind w:left="130" w:right="368"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0E99" w14:textId="77777777">
        <w:trPr>
          <w:trHeight w:val="625"/>
        </w:trPr>
        <w:tc>
          <w:tcPr>
            <w:tcW w:w="7286" w:type="dxa"/>
            <w:tcBorders>
              <w:right w:val="single" w:sz="6" w:space="0" w:color="000000"/>
            </w:tcBorders>
          </w:tcPr>
          <w:p w14:paraId="24D60E95" w14:textId="77777777" w:rsidR="00245300" w:rsidRPr="00EC20A0" w:rsidRDefault="00245300">
            <w:pPr>
              <w:pStyle w:val="TableParagraph"/>
              <w:spacing w:before="60"/>
            </w:pPr>
          </w:p>
          <w:p w14:paraId="24D60E96" w14:textId="77777777" w:rsidR="00245300" w:rsidRPr="00EC20A0" w:rsidRDefault="00F17249">
            <w:pPr>
              <w:pStyle w:val="TableParagraph"/>
              <w:ind w:left="129"/>
              <w:rPr>
                <w:b/>
              </w:rPr>
            </w:pPr>
            <w:r w:rsidRPr="00EC20A0">
              <w:rPr>
                <w:b/>
              </w:rPr>
              <w:t>Audit</w:t>
            </w:r>
            <w:r w:rsidRPr="00EC20A0">
              <w:rPr>
                <w:b/>
                <w:spacing w:val="-8"/>
              </w:rPr>
              <w:t xml:space="preserve"> </w:t>
            </w:r>
            <w:r w:rsidRPr="00EC20A0">
              <w:rPr>
                <w:b/>
                <w:spacing w:val="-2"/>
              </w:rPr>
              <w:t>procedures</w:t>
            </w:r>
          </w:p>
        </w:tc>
        <w:tc>
          <w:tcPr>
            <w:tcW w:w="1089" w:type="dxa"/>
            <w:tcBorders>
              <w:left w:val="single" w:sz="6" w:space="0" w:color="000000"/>
              <w:right w:val="single" w:sz="6" w:space="0" w:color="000000"/>
            </w:tcBorders>
          </w:tcPr>
          <w:p w14:paraId="24D60E97" w14:textId="77777777" w:rsidR="00245300" w:rsidRPr="00EC20A0" w:rsidRDefault="00F17249">
            <w:pPr>
              <w:pStyle w:val="TableParagraph"/>
              <w:spacing w:before="60"/>
              <w:ind w:left="145"/>
              <w:rPr>
                <w:b/>
              </w:rPr>
            </w:pPr>
            <w:r w:rsidRPr="00EC20A0">
              <w:rPr>
                <w:b/>
                <w:spacing w:val="-2"/>
              </w:rPr>
              <w:t xml:space="preserve">Initials/ </w:t>
            </w:r>
            <w:r w:rsidRPr="00EC20A0">
              <w:rPr>
                <w:b/>
                <w:spacing w:val="-4"/>
              </w:rPr>
              <w:t>date</w:t>
            </w:r>
          </w:p>
        </w:tc>
        <w:tc>
          <w:tcPr>
            <w:tcW w:w="985" w:type="dxa"/>
            <w:tcBorders>
              <w:left w:val="single" w:sz="6" w:space="0" w:color="000000"/>
            </w:tcBorders>
          </w:tcPr>
          <w:p w14:paraId="24D60E98" w14:textId="77777777" w:rsidR="00245300" w:rsidRPr="00EC20A0" w:rsidRDefault="00F17249">
            <w:pPr>
              <w:pStyle w:val="TableParagraph"/>
              <w:spacing w:before="60"/>
              <w:ind w:left="146" w:right="329" w:hanging="1"/>
              <w:rPr>
                <w:b/>
              </w:rPr>
            </w:pPr>
            <w:r w:rsidRPr="00EC20A0">
              <w:rPr>
                <w:b/>
                <w:spacing w:val="-4"/>
              </w:rPr>
              <w:t>Doc. ref.</w:t>
            </w:r>
          </w:p>
        </w:tc>
      </w:tr>
      <w:tr w:rsidR="00245300" w:rsidRPr="00EC20A0" w14:paraId="24D60E9D" w14:textId="77777777">
        <w:trPr>
          <w:trHeight w:val="1554"/>
        </w:trPr>
        <w:tc>
          <w:tcPr>
            <w:tcW w:w="7286" w:type="dxa"/>
            <w:tcBorders>
              <w:bottom w:val="single" w:sz="6" w:space="0" w:color="000000"/>
              <w:right w:val="single" w:sz="6" w:space="0" w:color="000000"/>
            </w:tcBorders>
          </w:tcPr>
          <w:p w14:paraId="24D60E9A" w14:textId="77777777" w:rsidR="00245300" w:rsidRPr="00EC20A0" w:rsidRDefault="00F17249">
            <w:pPr>
              <w:pStyle w:val="TableParagraph"/>
              <w:spacing w:before="144"/>
              <w:ind w:left="489" w:right="96" w:hanging="360"/>
            </w:pPr>
            <w:r w:rsidRPr="00EC20A0">
              <w:t>3.</w:t>
            </w:r>
            <w:r w:rsidRPr="00EC20A0">
              <w:rPr>
                <w:spacing w:val="80"/>
              </w:rPr>
              <w:t xml:space="preserve"> </w:t>
            </w:r>
            <w:r w:rsidRPr="00EC20A0">
              <w:t>Compare the actual amounts of recorded obligations and expenditures</w:t>
            </w:r>
            <w:r w:rsidRPr="00EC20A0">
              <w:rPr>
                <w:spacing w:val="-5"/>
              </w:rPr>
              <w:t xml:space="preserve"> </w:t>
            </w:r>
            <w:r w:rsidRPr="00EC20A0">
              <w:t>with</w:t>
            </w:r>
            <w:r w:rsidRPr="00EC20A0">
              <w:rPr>
                <w:spacing w:val="-5"/>
              </w:rPr>
              <w:t xml:space="preserve"> </w:t>
            </w:r>
            <w:r w:rsidRPr="00EC20A0">
              <w:t>the</w:t>
            </w:r>
            <w:r w:rsidRPr="00EC20A0">
              <w:rPr>
                <w:spacing w:val="-5"/>
              </w:rPr>
              <w:t xml:space="preserve"> </w:t>
            </w:r>
            <w:r w:rsidRPr="00EC20A0">
              <w:t>related</w:t>
            </w:r>
            <w:r w:rsidRPr="00EC20A0">
              <w:rPr>
                <w:spacing w:val="-5"/>
              </w:rPr>
              <w:t xml:space="preserve"> </w:t>
            </w:r>
            <w:r w:rsidRPr="00EC20A0">
              <w:t>appropriation</w:t>
            </w:r>
            <w:r w:rsidRPr="00EC20A0">
              <w:rPr>
                <w:spacing w:val="-4"/>
              </w:rPr>
              <w:t xml:space="preserve"> </w:t>
            </w:r>
            <w:r w:rsidRPr="00EC20A0">
              <w:t>or</w:t>
            </w:r>
            <w:r w:rsidRPr="00EC20A0">
              <w:rPr>
                <w:spacing w:val="-5"/>
              </w:rPr>
              <w:t xml:space="preserve"> </w:t>
            </w:r>
            <w:r w:rsidRPr="00EC20A0">
              <w:t>other</w:t>
            </w:r>
            <w:r w:rsidRPr="00EC20A0">
              <w:rPr>
                <w:spacing w:val="-5"/>
              </w:rPr>
              <w:t xml:space="preserve"> </w:t>
            </w:r>
            <w:r w:rsidRPr="00EC20A0">
              <w:t>budget</w:t>
            </w:r>
            <w:r w:rsidRPr="00EC20A0">
              <w:rPr>
                <w:spacing w:val="-5"/>
              </w:rPr>
              <w:t xml:space="preserve"> </w:t>
            </w:r>
            <w:r w:rsidRPr="00EC20A0">
              <w:t>authority listed in step 1. If the entity does not appear to have complied with the provision, then perform step 6. See FAM 803.01, Limitations on Excess Expenditures and Obligations.</w:t>
            </w:r>
          </w:p>
        </w:tc>
        <w:tc>
          <w:tcPr>
            <w:tcW w:w="1089" w:type="dxa"/>
            <w:tcBorders>
              <w:left w:val="single" w:sz="6" w:space="0" w:color="000000"/>
              <w:bottom w:val="single" w:sz="6" w:space="0" w:color="000000"/>
              <w:right w:val="single" w:sz="6" w:space="0" w:color="000000"/>
            </w:tcBorders>
          </w:tcPr>
          <w:p w14:paraId="24D60E9B" w14:textId="77777777" w:rsidR="00245300" w:rsidRPr="00EC20A0" w:rsidRDefault="00245300">
            <w:pPr>
              <w:pStyle w:val="TableParagraph"/>
              <w:rPr>
                <w:sz w:val="20"/>
              </w:rPr>
            </w:pPr>
          </w:p>
        </w:tc>
        <w:tc>
          <w:tcPr>
            <w:tcW w:w="985" w:type="dxa"/>
            <w:tcBorders>
              <w:left w:val="single" w:sz="6" w:space="0" w:color="000000"/>
              <w:bottom w:val="single" w:sz="6" w:space="0" w:color="000000"/>
            </w:tcBorders>
          </w:tcPr>
          <w:p w14:paraId="24D60E9C" w14:textId="77777777" w:rsidR="00245300" w:rsidRPr="00EC20A0" w:rsidRDefault="00245300">
            <w:pPr>
              <w:pStyle w:val="TableParagraph"/>
              <w:rPr>
                <w:sz w:val="20"/>
              </w:rPr>
            </w:pPr>
          </w:p>
        </w:tc>
      </w:tr>
      <w:tr w:rsidR="00245300" w:rsidRPr="00EC20A0" w14:paraId="24D60EA1" w14:textId="77777777">
        <w:trPr>
          <w:trHeight w:val="1552"/>
        </w:trPr>
        <w:tc>
          <w:tcPr>
            <w:tcW w:w="7286" w:type="dxa"/>
            <w:tcBorders>
              <w:top w:val="single" w:sz="6" w:space="0" w:color="000000"/>
              <w:bottom w:val="single" w:sz="4" w:space="0" w:color="000000"/>
              <w:right w:val="single" w:sz="6" w:space="0" w:color="000000"/>
            </w:tcBorders>
          </w:tcPr>
          <w:p w14:paraId="24D60E9E" w14:textId="77777777" w:rsidR="00245300" w:rsidRPr="00EC20A0" w:rsidRDefault="00F17249">
            <w:pPr>
              <w:pStyle w:val="TableParagraph"/>
              <w:spacing w:before="143"/>
              <w:ind w:left="490" w:right="96" w:hanging="361"/>
            </w:pPr>
            <w:r w:rsidRPr="00EC20A0">
              <w:t>4.</w:t>
            </w:r>
            <w:r w:rsidRPr="00EC20A0">
              <w:rPr>
                <w:spacing w:val="80"/>
              </w:rPr>
              <w:t xml:space="preserve"> </w:t>
            </w:r>
            <w:r w:rsidRPr="00EC20A0">
              <w:t xml:space="preserve">Compare timing of legal obligations </w:t>
            </w:r>
            <w:r w:rsidRPr="00EC20A0">
              <w:t>(contractual or otherwise) with available appropriation or other budget authority listed in step 1. If the</w:t>
            </w:r>
            <w:r w:rsidRPr="00EC20A0">
              <w:rPr>
                <w:spacing w:val="-4"/>
              </w:rPr>
              <w:t xml:space="preserve"> </w:t>
            </w:r>
            <w:r w:rsidRPr="00EC20A0">
              <w:t>entity</w:t>
            </w:r>
            <w:r w:rsidRPr="00EC20A0">
              <w:rPr>
                <w:spacing w:val="-4"/>
              </w:rPr>
              <w:t xml:space="preserve"> </w:t>
            </w:r>
            <w:r w:rsidRPr="00EC20A0">
              <w:t>does</w:t>
            </w:r>
            <w:r w:rsidRPr="00EC20A0">
              <w:rPr>
                <w:spacing w:val="-4"/>
              </w:rPr>
              <w:t xml:space="preserve"> </w:t>
            </w:r>
            <w:r w:rsidRPr="00EC20A0">
              <w:t>not</w:t>
            </w:r>
            <w:r w:rsidRPr="00EC20A0">
              <w:rPr>
                <w:spacing w:val="-4"/>
              </w:rPr>
              <w:t xml:space="preserve"> </w:t>
            </w:r>
            <w:r w:rsidRPr="00EC20A0">
              <w:t>appear</w:t>
            </w:r>
            <w:r w:rsidRPr="00EC20A0">
              <w:rPr>
                <w:spacing w:val="-4"/>
              </w:rPr>
              <w:t xml:space="preserve"> </w:t>
            </w:r>
            <w:r w:rsidRPr="00EC20A0">
              <w:t>to</w:t>
            </w:r>
            <w:r w:rsidRPr="00EC20A0">
              <w:rPr>
                <w:spacing w:val="-4"/>
              </w:rPr>
              <w:t xml:space="preserve"> </w:t>
            </w:r>
            <w:r w:rsidRPr="00EC20A0">
              <w:t>have</w:t>
            </w:r>
            <w:r w:rsidRPr="00EC20A0">
              <w:rPr>
                <w:spacing w:val="-4"/>
              </w:rPr>
              <w:t xml:space="preserve"> </w:t>
            </w:r>
            <w:r w:rsidRPr="00EC20A0">
              <w:t>complied</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provision,</w:t>
            </w:r>
            <w:r w:rsidRPr="00EC20A0">
              <w:rPr>
                <w:spacing w:val="-4"/>
              </w:rPr>
              <w:t xml:space="preserve"> </w:t>
            </w:r>
            <w:r w:rsidRPr="00EC20A0">
              <w:t xml:space="preserve">then perform step 6. See FAM 803.02, Limitations on Advance Contracting or Other </w:t>
            </w:r>
            <w:r w:rsidRPr="00EC20A0">
              <w:t>Legal Obligations.</w:t>
            </w:r>
          </w:p>
        </w:tc>
        <w:tc>
          <w:tcPr>
            <w:tcW w:w="1089" w:type="dxa"/>
            <w:tcBorders>
              <w:top w:val="single" w:sz="6" w:space="0" w:color="000000"/>
              <w:left w:val="single" w:sz="6" w:space="0" w:color="000000"/>
              <w:bottom w:val="single" w:sz="4" w:space="0" w:color="000000"/>
              <w:right w:val="single" w:sz="6" w:space="0" w:color="000000"/>
            </w:tcBorders>
          </w:tcPr>
          <w:p w14:paraId="24D60E9F" w14:textId="77777777" w:rsidR="00245300" w:rsidRPr="00EC20A0" w:rsidRDefault="00245300">
            <w:pPr>
              <w:pStyle w:val="TableParagraph"/>
              <w:rPr>
                <w:sz w:val="20"/>
              </w:rPr>
            </w:pPr>
          </w:p>
        </w:tc>
        <w:tc>
          <w:tcPr>
            <w:tcW w:w="985" w:type="dxa"/>
            <w:tcBorders>
              <w:top w:val="single" w:sz="6" w:space="0" w:color="000000"/>
              <w:left w:val="single" w:sz="6" w:space="0" w:color="000000"/>
              <w:bottom w:val="single" w:sz="4" w:space="0" w:color="000000"/>
            </w:tcBorders>
          </w:tcPr>
          <w:p w14:paraId="24D60EA0" w14:textId="77777777" w:rsidR="00245300" w:rsidRPr="00EC20A0" w:rsidRDefault="00245300">
            <w:pPr>
              <w:pStyle w:val="TableParagraph"/>
              <w:rPr>
                <w:sz w:val="20"/>
              </w:rPr>
            </w:pPr>
          </w:p>
        </w:tc>
      </w:tr>
      <w:tr w:rsidR="00245300" w:rsidRPr="00EC20A0" w14:paraId="24D60EA5" w14:textId="77777777">
        <w:trPr>
          <w:trHeight w:val="2818"/>
        </w:trPr>
        <w:tc>
          <w:tcPr>
            <w:tcW w:w="7286" w:type="dxa"/>
            <w:tcBorders>
              <w:top w:val="single" w:sz="4" w:space="0" w:color="000000"/>
              <w:bottom w:val="single" w:sz="6" w:space="0" w:color="000000"/>
              <w:right w:val="single" w:sz="6" w:space="0" w:color="000000"/>
            </w:tcBorders>
          </w:tcPr>
          <w:p w14:paraId="24D60EA2" w14:textId="77777777" w:rsidR="00245300" w:rsidRPr="00EC20A0" w:rsidRDefault="00F17249">
            <w:pPr>
              <w:pStyle w:val="TableParagraph"/>
              <w:spacing w:before="144"/>
              <w:ind w:left="461" w:right="158" w:hanging="332"/>
            </w:pPr>
            <w:r w:rsidRPr="00EC20A0">
              <w:t>5.</w:t>
            </w:r>
            <w:r w:rsidRPr="00EC20A0">
              <w:rPr>
                <w:spacing w:val="40"/>
              </w:rPr>
              <w:t xml:space="preserve"> </w:t>
            </w:r>
            <w:r w:rsidRPr="00EC20A0">
              <w:t>Determine</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legally</w:t>
            </w:r>
            <w:r w:rsidRPr="00EC20A0">
              <w:rPr>
                <w:spacing w:val="-4"/>
              </w:rPr>
              <w:t xml:space="preserve"> </w:t>
            </w:r>
            <w:r w:rsidRPr="00EC20A0">
              <w:t>binding</w:t>
            </w:r>
            <w:r w:rsidRPr="00EC20A0">
              <w:rPr>
                <w:spacing w:val="-4"/>
              </w:rPr>
              <w:t xml:space="preserve"> </w:t>
            </w:r>
            <w:r w:rsidRPr="00EC20A0">
              <w:t>level</w:t>
            </w:r>
            <w:r w:rsidRPr="00EC20A0">
              <w:rPr>
                <w:spacing w:val="-5"/>
              </w:rPr>
              <w:t xml:space="preserve"> </w:t>
            </w:r>
            <w:r w:rsidRPr="00EC20A0">
              <w:t>of</w:t>
            </w:r>
            <w:r w:rsidRPr="00EC20A0">
              <w:rPr>
                <w:spacing w:val="-5"/>
              </w:rPr>
              <w:t xml:space="preserve"> </w:t>
            </w:r>
            <w:r w:rsidRPr="00EC20A0">
              <w:t>budget</w:t>
            </w:r>
            <w:r w:rsidRPr="00EC20A0">
              <w:rPr>
                <w:spacing w:val="-4"/>
              </w:rPr>
              <w:t xml:space="preserve"> </w:t>
            </w:r>
            <w:r w:rsidRPr="00EC20A0">
              <w:t>authority</w:t>
            </w:r>
            <w:r w:rsidRPr="00EC20A0">
              <w:rPr>
                <w:spacing w:val="-4"/>
              </w:rPr>
              <w:t xml:space="preserve"> </w:t>
            </w:r>
            <w:r w:rsidRPr="00EC20A0">
              <w:t xml:space="preserve">(below the appropriation level) that was identified during the planning phase. This level is usually the apportionment level unless the entity has elected a </w:t>
            </w:r>
            <w:r w:rsidRPr="00EC20A0">
              <w:t>lower level, such as allotments. Compare the amount of actual obligations and expenditures to the legally binding level of restrictions on budget authority identified for compliance testing (</w:t>
            </w:r>
            <w:r w:rsidRPr="00EC20A0">
              <w:rPr>
                <w:u w:val="single"/>
              </w:rPr>
              <w:t>the</w:t>
            </w:r>
            <w:r w:rsidRPr="00EC20A0">
              <w:t xml:space="preserve"> </w:t>
            </w:r>
            <w:r w:rsidRPr="00EC20A0">
              <w:rPr>
                <w:u w:val="single"/>
              </w:rPr>
              <w:t>apportionment or allotment level</w:t>
            </w:r>
            <w:r w:rsidRPr="00EC20A0">
              <w:t>). If the entity does not appear to have complied with the provision, then perform step 6. See FAM 803.03, Limitations on Excess Expenditures and Obligations</w:t>
            </w:r>
            <w:r w:rsidRPr="00EC20A0">
              <w:rPr>
                <w:spacing w:val="40"/>
              </w:rPr>
              <w:t xml:space="preserve"> </w:t>
            </w:r>
            <w:r w:rsidRPr="00EC20A0">
              <w:t>Related to Apportionments and Allotments.</w:t>
            </w:r>
          </w:p>
        </w:tc>
        <w:tc>
          <w:tcPr>
            <w:tcW w:w="1089" w:type="dxa"/>
            <w:tcBorders>
              <w:top w:val="single" w:sz="4" w:space="0" w:color="000000"/>
              <w:left w:val="single" w:sz="6" w:space="0" w:color="000000"/>
              <w:bottom w:val="single" w:sz="6" w:space="0" w:color="000000"/>
              <w:right w:val="single" w:sz="6" w:space="0" w:color="000000"/>
            </w:tcBorders>
          </w:tcPr>
          <w:p w14:paraId="24D60EA3" w14:textId="77777777" w:rsidR="00245300" w:rsidRPr="00EC20A0" w:rsidRDefault="00245300">
            <w:pPr>
              <w:pStyle w:val="TableParagraph"/>
              <w:rPr>
                <w:sz w:val="20"/>
              </w:rPr>
            </w:pPr>
          </w:p>
        </w:tc>
        <w:tc>
          <w:tcPr>
            <w:tcW w:w="985" w:type="dxa"/>
            <w:tcBorders>
              <w:top w:val="single" w:sz="4" w:space="0" w:color="000000"/>
              <w:left w:val="single" w:sz="6" w:space="0" w:color="000000"/>
              <w:bottom w:val="single" w:sz="6" w:space="0" w:color="000000"/>
            </w:tcBorders>
          </w:tcPr>
          <w:p w14:paraId="24D60EA4" w14:textId="77777777" w:rsidR="00245300" w:rsidRPr="00EC20A0" w:rsidRDefault="00245300">
            <w:pPr>
              <w:pStyle w:val="TableParagraph"/>
              <w:rPr>
                <w:sz w:val="20"/>
              </w:rPr>
            </w:pPr>
          </w:p>
        </w:tc>
      </w:tr>
      <w:tr w:rsidR="00245300" w:rsidRPr="00EC20A0" w14:paraId="24D60EAD" w14:textId="77777777">
        <w:trPr>
          <w:trHeight w:val="4861"/>
        </w:trPr>
        <w:tc>
          <w:tcPr>
            <w:tcW w:w="7286" w:type="dxa"/>
            <w:tcBorders>
              <w:top w:val="single" w:sz="6" w:space="0" w:color="000000"/>
              <w:bottom w:val="single" w:sz="6" w:space="0" w:color="000000"/>
              <w:right w:val="single" w:sz="6" w:space="0" w:color="000000"/>
            </w:tcBorders>
          </w:tcPr>
          <w:p w14:paraId="24D60EA6" w14:textId="77777777" w:rsidR="00245300" w:rsidRPr="00EC20A0" w:rsidRDefault="00F17249">
            <w:pPr>
              <w:pStyle w:val="TableParagraph"/>
              <w:numPr>
                <w:ilvl w:val="0"/>
                <w:numId w:val="154"/>
              </w:numPr>
              <w:tabs>
                <w:tab w:val="left" w:pos="460"/>
                <w:tab w:val="left" w:pos="463"/>
              </w:tabs>
              <w:spacing w:before="143"/>
              <w:ind w:right="384" w:hanging="302"/>
            </w:pPr>
            <w:r w:rsidRPr="00EC20A0">
              <w:t xml:space="preserve">If the entity does not appear to be in compliance based on the results of </w:t>
            </w:r>
            <w:r w:rsidRPr="00EC20A0">
              <w:t>tests performed, then discuss these matters with OGC and,</w:t>
            </w:r>
            <w:r w:rsidRPr="00EC20A0">
              <w:rPr>
                <w:spacing w:val="-4"/>
              </w:rPr>
              <w:t xml:space="preserve"> </w:t>
            </w:r>
            <w:r w:rsidRPr="00EC20A0">
              <w:t>when</w:t>
            </w:r>
            <w:r w:rsidRPr="00EC20A0">
              <w:rPr>
                <w:spacing w:val="-4"/>
              </w:rPr>
              <w:t xml:space="preserve"> </w:t>
            </w:r>
            <w:r w:rsidRPr="00EC20A0">
              <w:t>appropriate,</w:t>
            </w:r>
            <w:r w:rsidRPr="00EC20A0">
              <w:rPr>
                <w:spacing w:val="-4"/>
              </w:rPr>
              <w:t xml:space="preserve"> </w:t>
            </w:r>
            <w:r w:rsidRPr="00EC20A0">
              <w:t>the</w:t>
            </w:r>
            <w:r w:rsidRPr="00EC20A0">
              <w:rPr>
                <w:spacing w:val="-4"/>
              </w:rPr>
              <w:t xml:space="preserve"> </w:t>
            </w:r>
            <w:r w:rsidRPr="00EC20A0">
              <w:t>Special</w:t>
            </w:r>
            <w:r w:rsidRPr="00EC20A0">
              <w:rPr>
                <w:spacing w:val="-4"/>
              </w:rPr>
              <w:t xml:space="preserve"> </w:t>
            </w:r>
            <w:r w:rsidRPr="00EC20A0">
              <w:t>Investigator</w:t>
            </w:r>
            <w:r w:rsidRPr="00EC20A0">
              <w:rPr>
                <w:spacing w:val="-6"/>
              </w:rPr>
              <w:t xml:space="preserve"> </w:t>
            </w:r>
            <w:r w:rsidRPr="00EC20A0">
              <w:t>Unit</w:t>
            </w:r>
            <w:r w:rsidRPr="00EC20A0">
              <w:rPr>
                <w:spacing w:val="-4"/>
              </w:rPr>
              <w:t xml:space="preserve"> </w:t>
            </w:r>
            <w:r w:rsidRPr="00EC20A0">
              <w:t>to</w:t>
            </w:r>
            <w:r w:rsidRPr="00EC20A0">
              <w:rPr>
                <w:spacing w:val="-4"/>
              </w:rPr>
              <w:t xml:space="preserve"> </w:t>
            </w:r>
            <w:r w:rsidRPr="00EC20A0">
              <w:t>conclude</w:t>
            </w:r>
            <w:r w:rsidRPr="00EC20A0">
              <w:rPr>
                <w:spacing w:val="-4"/>
              </w:rPr>
              <w:t xml:space="preserve"> </w:t>
            </w:r>
            <w:r w:rsidRPr="00EC20A0">
              <w:t>if noncompliance</w:t>
            </w:r>
            <w:r w:rsidRPr="00EC20A0">
              <w:rPr>
                <w:spacing w:val="-3"/>
              </w:rPr>
              <w:t xml:space="preserve"> </w:t>
            </w:r>
            <w:r w:rsidRPr="00EC20A0">
              <w:t>actually</w:t>
            </w:r>
            <w:r w:rsidRPr="00EC20A0">
              <w:rPr>
                <w:spacing w:val="-4"/>
              </w:rPr>
              <w:t xml:space="preserve"> </w:t>
            </w:r>
            <w:r w:rsidRPr="00EC20A0">
              <w:t>has</w:t>
            </w:r>
            <w:r w:rsidRPr="00EC20A0">
              <w:rPr>
                <w:spacing w:val="-3"/>
              </w:rPr>
              <w:t xml:space="preserve"> </w:t>
            </w:r>
            <w:r w:rsidRPr="00EC20A0">
              <w:t>occurred</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implications</w:t>
            </w:r>
            <w:r w:rsidRPr="00EC20A0">
              <w:rPr>
                <w:spacing w:val="-3"/>
              </w:rPr>
              <w:t xml:space="preserve"> </w:t>
            </w:r>
            <w:r w:rsidRPr="00EC20A0">
              <w:t>of</w:t>
            </w:r>
            <w:r w:rsidRPr="00EC20A0">
              <w:rPr>
                <w:spacing w:val="-4"/>
              </w:rPr>
              <w:t xml:space="preserve"> </w:t>
            </w:r>
            <w:r w:rsidRPr="00EC20A0">
              <w:t>such noncompliance. For any noncompliance noted</w:t>
            </w:r>
          </w:p>
          <w:p w14:paraId="24D60EA7" w14:textId="77777777" w:rsidR="00245300" w:rsidRPr="00EC20A0" w:rsidRDefault="00F17249">
            <w:pPr>
              <w:pStyle w:val="TableParagraph"/>
              <w:numPr>
                <w:ilvl w:val="1"/>
                <w:numId w:val="154"/>
              </w:numPr>
              <w:tabs>
                <w:tab w:val="left" w:pos="849"/>
              </w:tabs>
              <w:spacing w:before="144"/>
              <w:ind w:right="813"/>
            </w:pPr>
            <w:r w:rsidRPr="00EC20A0">
              <w:t>identify the weakness in controls that allowed the noncompliance</w:t>
            </w:r>
            <w:r w:rsidRPr="00EC20A0">
              <w:rPr>
                <w:spacing w:val="-5"/>
              </w:rPr>
              <w:t xml:space="preserve"> </w:t>
            </w:r>
            <w:r w:rsidRPr="00EC20A0">
              <w:t>to</w:t>
            </w:r>
            <w:r w:rsidRPr="00EC20A0">
              <w:rPr>
                <w:spacing w:val="-5"/>
              </w:rPr>
              <w:t xml:space="preserve"> </w:t>
            </w:r>
            <w:r w:rsidRPr="00EC20A0">
              <w:t>occur,</w:t>
            </w:r>
            <w:r w:rsidRPr="00EC20A0">
              <w:rPr>
                <w:spacing w:val="-5"/>
              </w:rPr>
              <w:t xml:space="preserve"> </w:t>
            </w:r>
            <w:r w:rsidRPr="00EC20A0">
              <w:t>if</w:t>
            </w:r>
            <w:r w:rsidRPr="00EC20A0">
              <w:rPr>
                <w:spacing w:val="-5"/>
              </w:rPr>
              <w:t xml:space="preserve"> </w:t>
            </w:r>
            <w:r w:rsidRPr="00EC20A0">
              <w:t>not</w:t>
            </w:r>
            <w:r w:rsidRPr="00EC20A0">
              <w:rPr>
                <w:spacing w:val="-5"/>
              </w:rPr>
              <w:t xml:space="preserve"> </w:t>
            </w:r>
            <w:r w:rsidRPr="00EC20A0">
              <w:t>previously</w:t>
            </w:r>
            <w:r w:rsidRPr="00EC20A0">
              <w:rPr>
                <w:spacing w:val="-5"/>
              </w:rPr>
              <w:t xml:space="preserve"> </w:t>
            </w:r>
            <w:r w:rsidRPr="00EC20A0">
              <w:t>identified</w:t>
            </w:r>
            <w:r w:rsidRPr="00EC20A0">
              <w:rPr>
                <w:spacing w:val="-5"/>
              </w:rPr>
              <w:t xml:space="preserve"> </w:t>
            </w:r>
            <w:r w:rsidRPr="00EC20A0">
              <w:t>during control testing;</w:t>
            </w:r>
          </w:p>
          <w:p w14:paraId="24D60EA8" w14:textId="77777777" w:rsidR="00245300" w:rsidRPr="00EC20A0" w:rsidRDefault="00F17249">
            <w:pPr>
              <w:pStyle w:val="TableParagraph"/>
              <w:numPr>
                <w:ilvl w:val="1"/>
                <w:numId w:val="154"/>
              </w:numPr>
              <w:tabs>
                <w:tab w:val="left" w:pos="849"/>
              </w:tabs>
              <w:spacing w:before="142"/>
              <w:ind w:right="937"/>
            </w:pPr>
            <w:r w:rsidRPr="00EC20A0">
              <w:t>determine</w:t>
            </w:r>
            <w:r w:rsidRPr="00EC20A0">
              <w:rPr>
                <w:spacing w:val="-5"/>
              </w:rPr>
              <w:t xml:space="preserve"> </w:t>
            </w:r>
            <w:r w:rsidRPr="00EC20A0">
              <w:t>the</w:t>
            </w:r>
            <w:r w:rsidRPr="00EC20A0">
              <w:rPr>
                <w:spacing w:val="-5"/>
              </w:rPr>
              <w:t xml:space="preserve"> </w:t>
            </w:r>
            <w:r w:rsidRPr="00EC20A0">
              <w:t>impact</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report</w:t>
            </w:r>
            <w:r w:rsidRPr="00EC20A0">
              <w:rPr>
                <w:spacing w:val="-5"/>
              </w:rPr>
              <w:t xml:space="preserve"> </w:t>
            </w:r>
            <w:r w:rsidRPr="00EC20A0">
              <w:t>on</w:t>
            </w:r>
            <w:r w:rsidRPr="00EC20A0">
              <w:rPr>
                <w:spacing w:val="-5"/>
              </w:rPr>
              <w:t xml:space="preserve"> </w:t>
            </w:r>
            <w:r w:rsidRPr="00EC20A0">
              <w:t>internal</w:t>
            </w:r>
            <w:r w:rsidRPr="00EC20A0">
              <w:rPr>
                <w:spacing w:val="-5"/>
              </w:rPr>
              <w:t xml:space="preserve"> </w:t>
            </w:r>
            <w:r w:rsidRPr="00EC20A0">
              <w:t>control</w:t>
            </w:r>
            <w:r w:rsidRPr="00EC20A0">
              <w:rPr>
                <w:spacing w:val="-5"/>
              </w:rPr>
              <w:t xml:space="preserve"> </w:t>
            </w:r>
            <w:r w:rsidRPr="00EC20A0">
              <w:t>as appropriate (see FAM 580.56–.85);</w:t>
            </w:r>
          </w:p>
          <w:p w14:paraId="24D60EA9" w14:textId="77777777" w:rsidR="00245300" w:rsidRPr="00EC20A0" w:rsidRDefault="00F17249">
            <w:pPr>
              <w:pStyle w:val="TableParagraph"/>
              <w:numPr>
                <w:ilvl w:val="1"/>
                <w:numId w:val="154"/>
              </w:numPr>
              <w:tabs>
                <w:tab w:val="left" w:pos="849"/>
              </w:tabs>
              <w:spacing w:before="143"/>
              <w:ind w:right="252" w:hanging="361"/>
            </w:pPr>
            <w:r w:rsidRPr="00EC20A0">
              <w:t>consider</w:t>
            </w:r>
            <w:r w:rsidRPr="00EC20A0">
              <w:rPr>
                <w:spacing w:val="-5"/>
              </w:rPr>
              <w:t xml:space="preserve"> </w:t>
            </w:r>
            <w:r w:rsidRPr="00EC20A0">
              <w:t>the</w:t>
            </w:r>
            <w:r w:rsidRPr="00EC20A0">
              <w:rPr>
                <w:spacing w:val="-6"/>
              </w:rPr>
              <w:t xml:space="preserve"> </w:t>
            </w:r>
            <w:r w:rsidRPr="00EC20A0">
              <w:t>implications</w:t>
            </w:r>
            <w:r w:rsidRPr="00EC20A0">
              <w:rPr>
                <w:spacing w:val="-6"/>
              </w:rPr>
              <w:t xml:space="preserve"> </w:t>
            </w:r>
            <w:r w:rsidRPr="00EC20A0">
              <w:t>of</w:t>
            </w:r>
            <w:r w:rsidRPr="00EC20A0">
              <w:rPr>
                <w:spacing w:val="-5"/>
              </w:rPr>
              <w:t xml:space="preserve"> </w:t>
            </w:r>
            <w:r w:rsidRPr="00EC20A0">
              <w:t>any</w:t>
            </w:r>
            <w:r w:rsidRPr="00EC20A0">
              <w:rPr>
                <w:spacing w:val="-4"/>
              </w:rPr>
              <w:t xml:space="preserve"> </w:t>
            </w:r>
            <w:r w:rsidRPr="00EC20A0">
              <w:t>instances</w:t>
            </w:r>
            <w:r w:rsidRPr="00EC20A0">
              <w:rPr>
                <w:spacing w:val="-5"/>
              </w:rPr>
              <w:t xml:space="preserve"> </w:t>
            </w:r>
            <w:r w:rsidRPr="00EC20A0">
              <w:t>of</w:t>
            </w:r>
            <w:r w:rsidRPr="00EC20A0">
              <w:rPr>
                <w:spacing w:val="-5"/>
              </w:rPr>
              <w:t xml:space="preserve"> </w:t>
            </w:r>
            <w:r w:rsidRPr="00EC20A0">
              <w:t>noncompliance</w:t>
            </w:r>
            <w:r w:rsidRPr="00EC20A0">
              <w:rPr>
                <w:spacing w:val="-6"/>
              </w:rPr>
              <w:t xml:space="preserve"> </w:t>
            </w:r>
            <w:r w:rsidRPr="00EC20A0">
              <w:t>on the financial statements; and</w:t>
            </w:r>
          </w:p>
          <w:p w14:paraId="24D60EAA" w14:textId="77777777" w:rsidR="00245300" w:rsidRPr="00EC20A0" w:rsidRDefault="00F17249">
            <w:pPr>
              <w:pStyle w:val="TableParagraph"/>
              <w:numPr>
                <w:ilvl w:val="1"/>
                <w:numId w:val="154"/>
              </w:numPr>
              <w:tabs>
                <w:tab w:val="left" w:pos="849"/>
              </w:tabs>
              <w:spacing w:before="142"/>
              <w:ind w:right="511"/>
            </w:pPr>
            <w:r w:rsidRPr="00EC20A0">
              <w:t>report</w:t>
            </w:r>
            <w:r w:rsidRPr="00EC20A0">
              <w:rPr>
                <w:spacing w:val="-6"/>
              </w:rPr>
              <w:t xml:space="preserve"> </w:t>
            </w:r>
            <w:r w:rsidRPr="00EC20A0">
              <w:t>instances</w:t>
            </w:r>
            <w:r w:rsidRPr="00EC20A0">
              <w:rPr>
                <w:spacing w:val="-6"/>
              </w:rPr>
              <w:t xml:space="preserve"> </w:t>
            </w:r>
            <w:r w:rsidRPr="00EC20A0">
              <w:t>of</w:t>
            </w:r>
            <w:r w:rsidRPr="00EC20A0">
              <w:rPr>
                <w:spacing w:val="-6"/>
              </w:rPr>
              <w:t xml:space="preserve"> </w:t>
            </w:r>
            <w:r w:rsidRPr="00EC20A0">
              <w:t>noncompliance,</w:t>
            </w:r>
            <w:r w:rsidRPr="00EC20A0">
              <w:rPr>
                <w:spacing w:val="-7"/>
              </w:rPr>
              <w:t xml:space="preserve"> </w:t>
            </w:r>
            <w:r w:rsidRPr="00EC20A0">
              <w:t>as</w:t>
            </w:r>
            <w:r w:rsidRPr="00EC20A0">
              <w:rPr>
                <w:spacing w:val="-6"/>
              </w:rPr>
              <w:t xml:space="preserve"> </w:t>
            </w:r>
            <w:r w:rsidRPr="00EC20A0">
              <w:t>appropriate</w:t>
            </w:r>
            <w:r w:rsidRPr="00EC20A0">
              <w:rPr>
                <w:spacing w:val="-6"/>
              </w:rPr>
              <w:t xml:space="preserve"> </w:t>
            </w:r>
            <w:r w:rsidRPr="00EC20A0">
              <w:t>(see</w:t>
            </w:r>
            <w:r w:rsidRPr="00EC20A0">
              <w:rPr>
                <w:spacing w:val="-6"/>
              </w:rPr>
              <w:t xml:space="preserve"> </w:t>
            </w:r>
            <w:r w:rsidRPr="00EC20A0">
              <w:t xml:space="preserve">FAM </w:t>
            </w:r>
            <w:r w:rsidRPr="00EC20A0">
              <w:rPr>
                <w:spacing w:val="-2"/>
              </w:rPr>
              <w:t>580.91–.99).</w:t>
            </w:r>
          </w:p>
        </w:tc>
        <w:tc>
          <w:tcPr>
            <w:tcW w:w="1089" w:type="dxa"/>
            <w:tcBorders>
              <w:top w:val="single" w:sz="6" w:space="0" w:color="000000"/>
              <w:left w:val="single" w:sz="6" w:space="0" w:color="000000"/>
              <w:bottom w:val="single" w:sz="6" w:space="0" w:color="000000"/>
              <w:right w:val="single" w:sz="6" w:space="0" w:color="000000"/>
            </w:tcBorders>
          </w:tcPr>
          <w:p w14:paraId="24D60EAB" w14:textId="77777777" w:rsidR="00245300" w:rsidRPr="00EC20A0" w:rsidRDefault="00245300">
            <w:pPr>
              <w:pStyle w:val="TableParagraph"/>
              <w:rPr>
                <w:sz w:val="20"/>
              </w:rPr>
            </w:pPr>
          </w:p>
        </w:tc>
        <w:tc>
          <w:tcPr>
            <w:tcW w:w="985" w:type="dxa"/>
            <w:tcBorders>
              <w:top w:val="single" w:sz="6" w:space="0" w:color="000000"/>
              <w:left w:val="single" w:sz="6" w:space="0" w:color="000000"/>
              <w:bottom w:val="single" w:sz="6" w:space="0" w:color="000000"/>
            </w:tcBorders>
          </w:tcPr>
          <w:p w14:paraId="24D60EAC" w14:textId="77777777" w:rsidR="00245300" w:rsidRPr="00EC20A0" w:rsidRDefault="00245300">
            <w:pPr>
              <w:pStyle w:val="TableParagraph"/>
              <w:rPr>
                <w:sz w:val="20"/>
              </w:rPr>
            </w:pPr>
          </w:p>
        </w:tc>
      </w:tr>
    </w:tbl>
    <w:p w14:paraId="24D60EAE" w14:textId="77777777" w:rsidR="00245300" w:rsidRPr="00EC20A0" w:rsidRDefault="00245300">
      <w:pPr>
        <w:rPr>
          <w:sz w:val="20"/>
        </w:rPr>
        <w:sectPr w:rsidR="00245300" w:rsidRPr="00EC20A0">
          <w:pgSz w:w="12240" w:h="15840"/>
          <w:pgMar w:top="1380" w:right="1320" w:bottom="940" w:left="1320" w:header="721" w:footer="742" w:gutter="0"/>
          <w:cols w:space="720"/>
        </w:sectPr>
      </w:pPr>
    </w:p>
    <w:p w14:paraId="24D60EAF" w14:textId="77777777" w:rsidR="00245300" w:rsidRPr="00EC20A0" w:rsidRDefault="00245300">
      <w:pPr>
        <w:pStyle w:val="BodyText"/>
        <w:spacing w:before="4" w:after="1"/>
        <w:rPr>
          <w:sz w:val="8"/>
        </w:rPr>
      </w:pPr>
    </w:p>
    <w:tbl>
      <w:tblPr>
        <w:tblW w:w="0" w:type="auto"/>
        <w:tblInd w:w="1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288"/>
        <w:gridCol w:w="1089"/>
        <w:gridCol w:w="983"/>
      </w:tblGrid>
      <w:tr w:rsidR="00245300" w:rsidRPr="00EC20A0" w14:paraId="24D60EB1" w14:textId="77777777">
        <w:trPr>
          <w:trHeight w:val="1335"/>
        </w:trPr>
        <w:tc>
          <w:tcPr>
            <w:tcW w:w="9360" w:type="dxa"/>
            <w:gridSpan w:val="3"/>
          </w:tcPr>
          <w:p w14:paraId="24D60EB0" w14:textId="77777777" w:rsidR="00245300" w:rsidRPr="00EC20A0" w:rsidRDefault="00F17249">
            <w:pPr>
              <w:pStyle w:val="TableParagraph"/>
              <w:tabs>
                <w:tab w:val="left" w:pos="8946"/>
              </w:tabs>
              <w:spacing w:before="7" w:line="390" w:lineRule="atLeast"/>
              <w:ind w:left="133" w:right="365"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0EB6" w14:textId="77777777">
        <w:trPr>
          <w:trHeight w:val="625"/>
        </w:trPr>
        <w:tc>
          <w:tcPr>
            <w:tcW w:w="7288" w:type="dxa"/>
            <w:tcBorders>
              <w:right w:val="single" w:sz="6" w:space="0" w:color="000000"/>
            </w:tcBorders>
          </w:tcPr>
          <w:p w14:paraId="24D60EB2" w14:textId="77777777" w:rsidR="00245300" w:rsidRPr="00EC20A0" w:rsidRDefault="00245300">
            <w:pPr>
              <w:pStyle w:val="TableParagraph"/>
              <w:spacing w:before="60"/>
            </w:pPr>
          </w:p>
          <w:p w14:paraId="24D60EB3" w14:textId="77777777" w:rsidR="00245300" w:rsidRPr="00EC20A0" w:rsidRDefault="00F17249">
            <w:pPr>
              <w:pStyle w:val="TableParagraph"/>
              <w:ind w:left="132"/>
              <w:rPr>
                <w:b/>
              </w:rPr>
            </w:pPr>
            <w:r w:rsidRPr="00EC20A0">
              <w:rPr>
                <w:b/>
              </w:rPr>
              <w:t>Audit</w:t>
            </w:r>
            <w:r w:rsidRPr="00EC20A0">
              <w:rPr>
                <w:b/>
                <w:spacing w:val="-8"/>
              </w:rPr>
              <w:t xml:space="preserve"> </w:t>
            </w:r>
            <w:r w:rsidRPr="00EC20A0">
              <w:rPr>
                <w:b/>
                <w:spacing w:val="-2"/>
              </w:rPr>
              <w:t>procedures</w:t>
            </w:r>
          </w:p>
        </w:tc>
        <w:tc>
          <w:tcPr>
            <w:tcW w:w="1089" w:type="dxa"/>
            <w:tcBorders>
              <w:left w:val="single" w:sz="6" w:space="0" w:color="000000"/>
              <w:right w:val="single" w:sz="6" w:space="0" w:color="000000"/>
            </w:tcBorders>
          </w:tcPr>
          <w:p w14:paraId="24D60EB4" w14:textId="77777777" w:rsidR="00245300" w:rsidRPr="00EC20A0" w:rsidRDefault="00F17249">
            <w:pPr>
              <w:pStyle w:val="TableParagraph"/>
              <w:spacing w:before="60"/>
              <w:ind w:left="146"/>
              <w:rPr>
                <w:b/>
              </w:rPr>
            </w:pPr>
            <w:r w:rsidRPr="00EC20A0">
              <w:rPr>
                <w:b/>
                <w:spacing w:val="-2"/>
              </w:rPr>
              <w:t xml:space="preserve">Initials/ </w:t>
            </w:r>
            <w:r w:rsidRPr="00EC20A0">
              <w:rPr>
                <w:b/>
                <w:spacing w:val="-4"/>
              </w:rPr>
              <w:t>date</w:t>
            </w:r>
          </w:p>
        </w:tc>
        <w:tc>
          <w:tcPr>
            <w:tcW w:w="983" w:type="dxa"/>
            <w:tcBorders>
              <w:left w:val="single" w:sz="6" w:space="0" w:color="000000"/>
            </w:tcBorders>
          </w:tcPr>
          <w:p w14:paraId="24D60EB5" w14:textId="77777777" w:rsidR="00245300" w:rsidRPr="00EC20A0" w:rsidRDefault="00F17249">
            <w:pPr>
              <w:pStyle w:val="TableParagraph"/>
              <w:spacing w:before="60"/>
              <w:ind w:left="147" w:right="327" w:hanging="1"/>
              <w:rPr>
                <w:b/>
              </w:rPr>
            </w:pPr>
            <w:r w:rsidRPr="00EC20A0">
              <w:rPr>
                <w:b/>
                <w:spacing w:val="-4"/>
              </w:rPr>
              <w:t>Doc. ref.</w:t>
            </w:r>
          </w:p>
        </w:tc>
      </w:tr>
      <w:tr w:rsidR="00245300" w:rsidRPr="00EC20A0" w14:paraId="24D60EBD" w14:textId="77777777">
        <w:trPr>
          <w:trHeight w:val="2368"/>
        </w:trPr>
        <w:tc>
          <w:tcPr>
            <w:tcW w:w="7288" w:type="dxa"/>
            <w:tcBorders>
              <w:left w:val="double" w:sz="8" w:space="0" w:color="000000"/>
              <w:bottom w:val="single" w:sz="4" w:space="0" w:color="000000"/>
              <w:right w:val="single" w:sz="8" w:space="0" w:color="000000"/>
            </w:tcBorders>
          </w:tcPr>
          <w:p w14:paraId="24D60EB7" w14:textId="77777777" w:rsidR="00245300" w:rsidRPr="00EC20A0" w:rsidRDefault="00F17249">
            <w:pPr>
              <w:pStyle w:val="TableParagraph"/>
              <w:numPr>
                <w:ilvl w:val="0"/>
                <w:numId w:val="153"/>
              </w:numPr>
              <w:tabs>
                <w:tab w:val="left" w:pos="456"/>
              </w:tabs>
              <w:spacing w:before="60"/>
              <w:ind w:right="271" w:hanging="361"/>
            </w:pPr>
            <w:r w:rsidRPr="00EC20A0">
              <w:t xml:space="preserve">Contact the entity office responsible for submitting </w:t>
            </w:r>
            <w:proofErr w:type="spellStart"/>
            <w:r w:rsidRPr="00EC20A0">
              <w:t>Antideficiency</w:t>
            </w:r>
            <w:proofErr w:type="spellEnd"/>
            <w:r w:rsidRPr="00EC20A0">
              <w:t xml:space="preserve"> Act</w:t>
            </w:r>
            <w:r w:rsidRPr="00EC20A0">
              <w:rPr>
                <w:spacing w:val="-4"/>
              </w:rPr>
              <w:t xml:space="preserve"> </w:t>
            </w:r>
            <w:r w:rsidRPr="00EC20A0">
              <w:t>(ADA)</w:t>
            </w:r>
            <w:r w:rsidRPr="00EC20A0">
              <w:rPr>
                <w:spacing w:val="-4"/>
              </w:rPr>
              <w:t xml:space="preserve"> </w:t>
            </w:r>
            <w:r w:rsidRPr="00EC20A0">
              <w:t>violations</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President,</w:t>
            </w:r>
            <w:r w:rsidRPr="00EC20A0">
              <w:rPr>
                <w:spacing w:val="-4"/>
              </w:rPr>
              <w:t xml:space="preserve"> </w:t>
            </w:r>
            <w:r w:rsidRPr="00EC20A0">
              <w:t>the</w:t>
            </w:r>
            <w:r w:rsidRPr="00EC20A0">
              <w:rPr>
                <w:spacing w:val="-4"/>
              </w:rPr>
              <w:t xml:space="preserve"> </w:t>
            </w:r>
            <w:r w:rsidRPr="00EC20A0">
              <w:t>Congress,</w:t>
            </w:r>
            <w:r w:rsidRPr="00EC20A0">
              <w:rPr>
                <w:spacing w:val="-4"/>
              </w:rPr>
              <w:t xml:space="preserve"> </w:t>
            </w:r>
            <w:r w:rsidRPr="00EC20A0">
              <w:t>and</w:t>
            </w:r>
            <w:r w:rsidRPr="00EC20A0">
              <w:rPr>
                <w:spacing w:val="-4"/>
              </w:rPr>
              <w:t xml:space="preserve"> </w:t>
            </w:r>
            <w:r w:rsidRPr="00EC20A0">
              <w:t>GAO,</w:t>
            </w:r>
            <w:r w:rsidRPr="00EC20A0">
              <w:rPr>
                <w:spacing w:val="-4"/>
              </w:rPr>
              <w:t xml:space="preserve"> </w:t>
            </w:r>
            <w:r w:rsidRPr="00EC20A0">
              <w:t>and do the following:</w:t>
            </w:r>
          </w:p>
          <w:p w14:paraId="24D60EB8" w14:textId="77777777" w:rsidR="00245300" w:rsidRPr="00EC20A0" w:rsidRDefault="00F17249">
            <w:pPr>
              <w:pStyle w:val="TableParagraph"/>
              <w:numPr>
                <w:ilvl w:val="1"/>
                <w:numId w:val="153"/>
              </w:numPr>
              <w:tabs>
                <w:tab w:val="left" w:pos="820"/>
              </w:tabs>
              <w:spacing w:before="60"/>
            </w:pPr>
            <w:r w:rsidRPr="00EC20A0">
              <w:t>obtain</w:t>
            </w:r>
            <w:r w:rsidRPr="00EC20A0">
              <w:rPr>
                <w:spacing w:val="-5"/>
              </w:rPr>
              <w:t xml:space="preserve"> </w:t>
            </w:r>
            <w:r w:rsidRPr="00EC20A0">
              <w:t>a</w:t>
            </w:r>
            <w:r w:rsidRPr="00EC20A0">
              <w:rPr>
                <w:spacing w:val="-5"/>
              </w:rPr>
              <w:t xml:space="preserve"> </w:t>
            </w:r>
            <w:r w:rsidRPr="00EC20A0">
              <w:t>listing</w:t>
            </w:r>
            <w:r w:rsidRPr="00EC20A0">
              <w:rPr>
                <w:spacing w:val="-5"/>
              </w:rPr>
              <w:t xml:space="preserve"> </w:t>
            </w:r>
            <w:r w:rsidRPr="00EC20A0">
              <w:t>of</w:t>
            </w:r>
            <w:r w:rsidRPr="00EC20A0">
              <w:rPr>
                <w:spacing w:val="-5"/>
              </w:rPr>
              <w:t xml:space="preserve"> </w:t>
            </w:r>
            <w:r w:rsidRPr="00EC20A0">
              <w:t>violations</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year</w:t>
            </w:r>
            <w:r w:rsidRPr="00EC20A0">
              <w:rPr>
                <w:spacing w:val="-5"/>
              </w:rPr>
              <w:t xml:space="preserve"> </w:t>
            </w:r>
            <w:r w:rsidRPr="00EC20A0">
              <w:t>under</w:t>
            </w:r>
            <w:r w:rsidRPr="00EC20A0">
              <w:rPr>
                <w:spacing w:val="-5"/>
              </w:rPr>
              <w:t xml:space="preserve"> </w:t>
            </w:r>
            <w:r w:rsidRPr="00EC20A0">
              <w:rPr>
                <w:spacing w:val="-2"/>
              </w:rPr>
              <w:t>audit;</w:t>
            </w:r>
          </w:p>
          <w:p w14:paraId="24D60EB9" w14:textId="77777777" w:rsidR="00245300" w:rsidRPr="00EC20A0" w:rsidRDefault="00F17249">
            <w:pPr>
              <w:pStyle w:val="TableParagraph"/>
              <w:numPr>
                <w:ilvl w:val="1"/>
                <w:numId w:val="153"/>
              </w:numPr>
              <w:tabs>
                <w:tab w:val="left" w:pos="820"/>
              </w:tabs>
              <w:spacing w:before="58"/>
              <w:ind w:right="236"/>
            </w:pPr>
            <w:r w:rsidRPr="00EC20A0">
              <w:t>inquire</w:t>
            </w:r>
            <w:r w:rsidRPr="00EC20A0">
              <w:rPr>
                <w:spacing w:val="-4"/>
              </w:rPr>
              <w:t xml:space="preserve"> </w:t>
            </w:r>
            <w:r w:rsidRPr="00EC20A0">
              <w:t>if</w:t>
            </w:r>
            <w:r w:rsidRPr="00EC20A0">
              <w:rPr>
                <w:spacing w:val="-4"/>
              </w:rPr>
              <w:t xml:space="preserve"> </w:t>
            </w:r>
            <w:r w:rsidRPr="00EC20A0">
              <w:t>all</w:t>
            </w:r>
            <w:r w:rsidRPr="00EC20A0">
              <w:rPr>
                <w:spacing w:val="-5"/>
              </w:rPr>
              <w:t xml:space="preserve"> </w:t>
            </w:r>
            <w:r w:rsidRPr="00EC20A0">
              <w:t>known</w:t>
            </w:r>
            <w:r w:rsidRPr="00EC20A0">
              <w:rPr>
                <w:spacing w:val="-4"/>
              </w:rPr>
              <w:t xml:space="preserve"> </w:t>
            </w:r>
            <w:r w:rsidRPr="00EC20A0">
              <w:t>violations</w:t>
            </w:r>
            <w:r w:rsidRPr="00EC20A0">
              <w:rPr>
                <w:spacing w:val="-4"/>
              </w:rPr>
              <w:t xml:space="preserve"> </w:t>
            </w:r>
            <w:r w:rsidRPr="00EC20A0">
              <w:t>have</w:t>
            </w:r>
            <w:r w:rsidRPr="00EC20A0">
              <w:rPr>
                <w:spacing w:val="-3"/>
              </w:rPr>
              <w:t xml:space="preserve"> </w:t>
            </w:r>
            <w:r w:rsidRPr="00EC20A0">
              <w:t>been</w:t>
            </w:r>
            <w:r w:rsidRPr="00EC20A0">
              <w:rPr>
                <w:spacing w:val="-4"/>
              </w:rPr>
              <w:t xml:space="preserve"> </w:t>
            </w:r>
            <w:r w:rsidRPr="00EC20A0">
              <w:t>included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list</w:t>
            </w:r>
            <w:r w:rsidRPr="00EC20A0">
              <w:rPr>
                <w:spacing w:val="-5"/>
              </w:rPr>
              <w:t xml:space="preserve"> </w:t>
            </w:r>
            <w:r w:rsidRPr="00EC20A0">
              <w:t>and reported; and</w:t>
            </w:r>
          </w:p>
          <w:p w14:paraId="24D60EBA" w14:textId="77777777" w:rsidR="00245300" w:rsidRPr="00EC20A0" w:rsidRDefault="00F17249">
            <w:pPr>
              <w:pStyle w:val="TableParagraph"/>
              <w:numPr>
                <w:ilvl w:val="1"/>
                <w:numId w:val="153"/>
              </w:numPr>
              <w:tabs>
                <w:tab w:val="left" w:pos="820"/>
              </w:tabs>
              <w:spacing w:before="59"/>
              <w:ind w:right="188"/>
            </w:pPr>
            <w:r w:rsidRPr="00EC20A0">
              <w:t>for</w:t>
            </w:r>
            <w:r w:rsidRPr="00EC20A0">
              <w:rPr>
                <w:spacing w:val="-4"/>
              </w:rPr>
              <w:t xml:space="preserve"> </w:t>
            </w:r>
            <w:r w:rsidRPr="00EC20A0">
              <w:t>each</w:t>
            </w:r>
            <w:r w:rsidRPr="00EC20A0">
              <w:rPr>
                <w:spacing w:val="-4"/>
              </w:rPr>
              <w:t xml:space="preserve"> </w:t>
            </w:r>
            <w:r w:rsidRPr="00EC20A0">
              <w:t>ADA</w:t>
            </w:r>
            <w:r w:rsidRPr="00EC20A0">
              <w:rPr>
                <w:spacing w:val="-4"/>
              </w:rPr>
              <w:t xml:space="preserve"> </w:t>
            </w:r>
            <w:r w:rsidRPr="00EC20A0">
              <w:t>violation,</w:t>
            </w:r>
            <w:r w:rsidRPr="00EC20A0">
              <w:rPr>
                <w:spacing w:val="-5"/>
              </w:rPr>
              <w:t xml:space="preserve"> </w:t>
            </w:r>
            <w:r w:rsidRPr="00EC20A0">
              <w:t>determine</w:t>
            </w:r>
            <w:r w:rsidRPr="00EC20A0">
              <w:rPr>
                <w:spacing w:val="-4"/>
              </w:rPr>
              <w:t xml:space="preserve"> </w:t>
            </w:r>
            <w:r w:rsidRPr="00EC20A0">
              <w:t>whether</w:t>
            </w:r>
            <w:r w:rsidRPr="00EC20A0">
              <w:rPr>
                <w:spacing w:val="-4"/>
              </w:rPr>
              <w:t xml:space="preserve"> </w:t>
            </w:r>
            <w:r w:rsidRPr="00EC20A0">
              <w:t>it</w:t>
            </w:r>
            <w:r w:rsidRPr="00EC20A0">
              <w:rPr>
                <w:spacing w:val="-4"/>
              </w:rPr>
              <w:t xml:space="preserve"> </w:t>
            </w:r>
            <w:r w:rsidRPr="00EC20A0">
              <w:t>was</w:t>
            </w:r>
            <w:r w:rsidRPr="00EC20A0">
              <w:rPr>
                <w:spacing w:val="-4"/>
              </w:rPr>
              <w:t xml:space="preserve"> </w:t>
            </w:r>
            <w:r w:rsidRPr="00EC20A0">
              <w:t>reported</w:t>
            </w:r>
            <w:r w:rsidRPr="00EC20A0">
              <w:rPr>
                <w:spacing w:val="-4"/>
              </w:rPr>
              <w:t xml:space="preserve"> </w:t>
            </w:r>
            <w:r w:rsidRPr="00EC20A0">
              <w:t>to</w:t>
            </w:r>
            <w:r w:rsidRPr="00EC20A0">
              <w:rPr>
                <w:spacing w:val="-4"/>
              </w:rPr>
              <w:t xml:space="preserve"> </w:t>
            </w:r>
            <w:r w:rsidRPr="00EC20A0">
              <w:t>the President, the Congress, and GAO.</w:t>
            </w:r>
          </w:p>
        </w:tc>
        <w:tc>
          <w:tcPr>
            <w:tcW w:w="1089" w:type="dxa"/>
            <w:tcBorders>
              <w:left w:val="single" w:sz="8" w:space="0" w:color="000000"/>
              <w:bottom w:val="single" w:sz="4" w:space="0" w:color="000000"/>
              <w:right w:val="single" w:sz="8" w:space="0" w:color="000000"/>
            </w:tcBorders>
          </w:tcPr>
          <w:p w14:paraId="24D60EBB" w14:textId="77777777" w:rsidR="00245300" w:rsidRPr="00EC20A0" w:rsidRDefault="00245300">
            <w:pPr>
              <w:pStyle w:val="TableParagraph"/>
              <w:rPr>
                <w:sz w:val="20"/>
              </w:rPr>
            </w:pPr>
          </w:p>
        </w:tc>
        <w:tc>
          <w:tcPr>
            <w:tcW w:w="983" w:type="dxa"/>
            <w:tcBorders>
              <w:left w:val="single" w:sz="8" w:space="0" w:color="000000"/>
              <w:bottom w:val="single" w:sz="4" w:space="0" w:color="000000"/>
              <w:right w:val="double" w:sz="8" w:space="0" w:color="000000"/>
            </w:tcBorders>
          </w:tcPr>
          <w:p w14:paraId="24D60EBC" w14:textId="77777777" w:rsidR="00245300" w:rsidRPr="00EC20A0" w:rsidRDefault="00245300">
            <w:pPr>
              <w:pStyle w:val="TableParagraph"/>
              <w:rPr>
                <w:sz w:val="20"/>
              </w:rPr>
            </w:pPr>
          </w:p>
        </w:tc>
      </w:tr>
      <w:tr w:rsidR="00245300" w:rsidRPr="00EC20A0" w14:paraId="24D60EC1" w14:textId="77777777">
        <w:trPr>
          <w:trHeight w:val="1637"/>
        </w:trPr>
        <w:tc>
          <w:tcPr>
            <w:tcW w:w="7288" w:type="dxa"/>
            <w:tcBorders>
              <w:top w:val="single" w:sz="4" w:space="0" w:color="000000"/>
              <w:left w:val="double" w:sz="8" w:space="0" w:color="000000"/>
              <w:bottom w:val="single" w:sz="4" w:space="0" w:color="000000"/>
              <w:right w:val="single" w:sz="8" w:space="0" w:color="000000"/>
            </w:tcBorders>
          </w:tcPr>
          <w:p w14:paraId="24D60EBE" w14:textId="77777777" w:rsidR="00245300" w:rsidRPr="00EC20A0" w:rsidRDefault="00F17249">
            <w:pPr>
              <w:pStyle w:val="TableParagraph"/>
              <w:spacing w:before="60"/>
              <w:ind w:left="456" w:right="174" w:hanging="360"/>
            </w:pPr>
            <w:r w:rsidRPr="00EC20A0">
              <w:t>8.</w:t>
            </w:r>
            <w:r w:rsidRPr="00EC20A0">
              <w:rPr>
                <w:spacing w:val="40"/>
              </w:rPr>
              <w:t xml:space="preserve"> </w:t>
            </w:r>
            <w:r w:rsidRPr="00EC20A0">
              <w:t xml:space="preserve">Check GAO’s ADA reporting web page: </w:t>
            </w:r>
            <w:hyperlink r:id="rId102">
              <w:r w:rsidRPr="00EC20A0">
                <w:rPr>
                  <w:color w:val="0000FF"/>
                  <w:u w:val="single" w:color="0000FF"/>
                </w:rPr>
                <w:t>https://www.gao.gov/legal/appropriations-law/resources</w:t>
              </w:r>
            </w:hyperlink>
            <w:r w:rsidRPr="00EC20A0">
              <w:rPr>
                <w:color w:val="0000FF"/>
              </w:rPr>
              <w:t xml:space="preserve"> </w:t>
            </w:r>
            <w:r w:rsidRPr="00EC20A0">
              <w:t>(accessed June 4, 2024) to identify and obtain background about ADA violations reported by the entity and compare audit evidence with what</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reported</w:t>
            </w:r>
            <w:r w:rsidRPr="00EC20A0">
              <w:rPr>
                <w:spacing w:val="-4"/>
              </w:rPr>
              <w:t xml:space="preserve"> </w:t>
            </w:r>
            <w:r w:rsidRPr="00EC20A0">
              <w:t>in</w:t>
            </w:r>
            <w:r w:rsidRPr="00EC20A0">
              <w:rPr>
                <w:spacing w:val="-4"/>
              </w:rPr>
              <w:t xml:space="preserve"> </w:t>
            </w:r>
            <w:r w:rsidRPr="00EC20A0">
              <w:t>ADA</w:t>
            </w:r>
            <w:r w:rsidRPr="00EC20A0">
              <w:rPr>
                <w:spacing w:val="-4"/>
              </w:rPr>
              <w:t xml:space="preserve"> </w:t>
            </w:r>
            <w:r w:rsidRPr="00EC20A0">
              <w:t>violation</w:t>
            </w:r>
            <w:r w:rsidRPr="00EC20A0">
              <w:rPr>
                <w:spacing w:val="-4"/>
              </w:rPr>
              <w:t xml:space="preserve"> </w:t>
            </w:r>
            <w:r w:rsidRPr="00EC20A0">
              <w:t>reports.</w:t>
            </w:r>
            <w:r w:rsidRPr="00EC20A0">
              <w:rPr>
                <w:spacing w:val="-5"/>
              </w:rPr>
              <w:t xml:space="preserve"> </w:t>
            </w:r>
            <w:r w:rsidRPr="00EC20A0">
              <w:t>There</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time lags as to when violations are reported, particularly at year-end.</w:t>
            </w:r>
          </w:p>
        </w:tc>
        <w:tc>
          <w:tcPr>
            <w:tcW w:w="1089" w:type="dxa"/>
            <w:tcBorders>
              <w:top w:val="single" w:sz="4" w:space="0" w:color="000000"/>
              <w:left w:val="single" w:sz="8" w:space="0" w:color="000000"/>
              <w:bottom w:val="single" w:sz="4" w:space="0" w:color="000000"/>
              <w:right w:val="single" w:sz="8" w:space="0" w:color="000000"/>
            </w:tcBorders>
          </w:tcPr>
          <w:p w14:paraId="24D60EBF" w14:textId="77777777" w:rsidR="00245300" w:rsidRPr="00EC20A0" w:rsidRDefault="00245300">
            <w:pPr>
              <w:pStyle w:val="TableParagraph"/>
              <w:rPr>
                <w:sz w:val="20"/>
              </w:rPr>
            </w:pPr>
          </w:p>
        </w:tc>
        <w:tc>
          <w:tcPr>
            <w:tcW w:w="983" w:type="dxa"/>
            <w:tcBorders>
              <w:top w:val="single" w:sz="4" w:space="0" w:color="000000"/>
              <w:left w:val="single" w:sz="8" w:space="0" w:color="000000"/>
              <w:bottom w:val="single" w:sz="4" w:space="0" w:color="000000"/>
              <w:right w:val="double" w:sz="8" w:space="0" w:color="000000"/>
            </w:tcBorders>
          </w:tcPr>
          <w:p w14:paraId="24D60EC0" w14:textId="77777777" w:rsidR="00245300" w:rsidRPr="00EC20A0" w:rsidRDefault="00245300">
            <w:pPr>
              <w:pStyle w:val="TableParagraph"/>
              <w:rPr>
                <w:sz w:val="20"/>
              </w:rPr>
            </w:pPr>
          </w:p>
        </w:tc>
      </w:tr>
      <w:tr w:rsidR="00245300" w:rsidRPr="00EC20A0" w14:paraId="24D60EC7" w14:textId="77777777">
        <w:trPr>
          <w:trHeight w:val="6758"/>
        </w:trPr>
        <w:tc>
          <w:tcPr>
            <w:tcW w:w="7288" w:type="dxa"/>
            <w:tcBorders>
              <w:top w:val="single" w:sz="4" w:space="0" w:color="000000"/>
              <w:right w:val="single" w:sz="8" w:space="0" w:color="000000"/>
            </w:tcBorders>
          </w:tcPr>
          <w:p w14:paraId="24D60EC2" w14:textId="77777777" w:rsidR="00245300" w:rsidRPr="00EC20A0" w:rsidRDefault="00F17249">
            <w:pPr>
              <w:pStyle w:val="TableParagraph"/>
              <w:spacing w:before="60"/>
              <w:ind w:left="464" w:right="76" w:hanging="335"/>
            </w:pPr>
            <w:r w:rsidRPr="00EC20A0">
              <w:t>9.</w:t>
            </w:r>
            <w:r w:rsidRPr="00EC20A0">
              <w:rPr>
                <w:spacing w:val="40"/>
              </w:rPr>
              <w:t xml:space="preserve"> </w:t>
            </w:r>
            <w:r w:rsidRPr="00EC20A0">
              <w:t>Document</w:t>
            </w:r>
            <w:r w:rsidRPr="00EC20A0">
              <w:rPr>
                <w:spacing w:val="-4"/>
              </w:rPr>
              <w:t xml:space="preserve"> </w:t>
            </w:r>
            <w:r w:rsidRPr="00EC20A0">
              <w:t>conclusions</w:t>
            </w:r>
            <w:r w:rsidRPr="00EC20A0">
              <w:rPr>
                <w:spacing w:val="-4"/>
              </w:rPr>
              <w:t xml:space="preserve"> </w:t>
            </w:r>
            <w:r w:rsidRPr="00EC20A0">
              <w:t>on</w:t>
            </w:r>
            <w:r w:rsidRPr="00EC20A0">
              <w:rPr>
                <w:spacing w:val="-4"/>
              </w:rPr>
              <w:t xml:space="preserve"> </w:t>
            </w:r>
            <w:r w:rsidRPr="00EC20A0">
              <w:t>compliance</w:t>
            </w:r>
            <w:r w:rsidRPr="00EC20A0">
              <w:rPr>
                <w:spacing w:val="-4"/>
              </w:rPr>
              <w:t xml:space="preserve"> </w:t>
            </w:r>
            <w:r w:rsidRPr="00EC20A0">
              <w:t>with</w:t>
            </w:r>
            <w:r w:rsidRPr="00EC20A0">
              <w:rPr>
                <w:spacing w:val="-4"/>
              </w:rPr>
              <w:t xml:space="preserve"> </w:t>
            </w:r>
            <w:r w:rsidRPr="00EC20A0">
              <w:t>each</w:t>
            </w:r>
            <w:r w:rsidRPr="00EC20A0">
              <w:rPr>
                <w:spacing w:val="-4"/>
              </w:rPr>
              <w:t xml:space="preserve"> </w:t>
            </w:r>
            <w:r w:rsidRPr="00EC20A0">
              <w:t>provision</w:t>
            </w:r>
            <w:r w:rsidRPr="00EC20A0">
              <w:rPr>
                <w:spacing w:val="-4"/>
              </w:rPr>
              <w:t xml:space="preserve"> </w:t>
            </w:r>
            <w:r w:rsidRPr="00EC20A0">
              <w:t>on</w:t>
            </w:r>
            <w:r w:rsidRPr="00EC20A0">
              <w:rPr>
                <w:spacing w:val="-4"/>
              </w:rPr>
              <w:t xml:space="preserve"> </w:t>
            </w:r>
            <w:r w:rsidRPr="00EC20A0">
              <w:t xml:space="preserve">Form 803, </w:t>
            </w:r>
            <w:r w:rsidRPr="00EC20A0">
              <w:t>Compliance Summary.</w:t>
            </w:r>
          </w:p>
          <w:p w14:paraId="24D60EC3" w14:textId="77777777" w:rsidR="00245300" w:rsidRPr="00EC20A0" w:rsidRDefault="00F17249">
            <w:pPr>
              <w:pStyle w:val="TableParagraph"/>
              <w:spacing w:before="60"/>
              <w:ind w:left="437" w:right="76"/>
            </w:pPr>
            <w:r w:rsidRPr="00EC20A0">
              <w:t>Note: The ADA requires that an entity report all violations to the President</w:t>
            </w:r>
            <w:r w:rsidRPr="00EC20A0">
              <w:rPr>
                <w:spacing w:val="-5"/>
              </w:rPr>
              <w:t xml:space="preserve"> </w:t>
            </w:r>
            <w:r w:rsidRPr="00EC20A0">
              <w:t>and</w:t>
            </w:r>
            <w:r w:rsidRPr="00EC20A0">
              <w:rPr>
                <w:spacing w:val="-5"/>
              </w:rPr>
              <w:t xml:space="preserve"> </w:t>
            </w:r>
            <w:r w:rsidRPr="00EC20A0">
              <w:t>the</w:t>
            </w:r>
            <w:r w:rsidRPr="00EC20A0">
              <w:rPr>
                <w:spacing w:val="-5"/>
              </w:rPr>
              <w:t xml:space="preserve"> </w:t>
            </w:r>
            <w:r w:rsidRPr="00EC20A0">
              <w:t>Congress</w:t>
            </w:r>
            <w:r w:rsidRPr="00EC20A0">
              <w:rPr>
                <w:spacing w:val="-4"/>
              </w:rPr>
              <w:t xml:space="preserve"> </w:t>
            </w:r>
            <w:r w:rsidRPr="00EC20A0">
              <w:t>and</w:t>
            </w:r>
            <w:r w:rsidRPr="00EC20A0">
              <w:rPr>
                <w:spacing w:val="-5"/>
              </w:rPr>
              <w:t xml:space="preserve"> </w:t>
            </w:r>
            <w:r w:rsidRPr="00EC20A0">
              <w:t>contemporaneously</w:t>
            </w:r>
            <w:r w:rsidRPr="00EC20A0">
              <w:rPr>
                <w:spacing w:val="-5"/>
              </w:rPr>
              <w:t xml:space="preserve"> </w:t>
            </w:r>
            <w:r w:rsidRPr="00EC20A0">
              <w:t>transmit</w:t>
            </w:r>
            <w:r w:rsidRPr="00EC20A0">
              <w:rPr>
                <w:spacing w:val="-5"/>
              </w:rPr>
              <w:t xml:space="preserve"> </w:t>
            </w:r>
            <w:r w:rsidRPr="00EC20A0">
              <w:t>a</w:t>
            </w:r>
            <w:r w:rsidRPr="00EC20A0">
              <w:rPr>
                <w:spacing w:val="-5"/>
              </w:rPr>
              <w:t xml:space="preserve"> </w:t>
            </w:r>
            <w:r w:rsidRPr="00EC20A0">
              <w:t xml:space="preserve">copy to GAO. Under implementing guidance in section 145 of OMB Circular No. A-11, </w:t>
            </w:r>
            <w:r w:rsidRPr="00EC20A0">
              <w:rPr>
                <w:i/>
              </w:rPr>
              <w:t>Preparation, Submission and Execution of the Budget</w:t>
            </w:r>
            <w:r w:rsidRPr="00EC20A0">
              <w:t>, entity heads must report all ADA violations by transmitting a letter to the President through the Director of OMB (with identical copies sent to the Congress and GAO), and the letter must set forth all the required information. Auditor’s judgment is required in determining the impact of these violations and whether these vio</w:t>
            </w:r>
            <w:r w:rsidRPr="00EC20A0">
              <w:t>lations</w:t>
            </w:r>
            <w:r w:rsidRPr="00EC20A0">
              <w:rPr>
                <w:spacing w:val="-2"/>
              </w:rPr>
              <w:t xml:space="preserve"> </w:t>
            </w:r>
            <w:r w:rsidRPr="00EC20A0">
              <w:t>constitute</w:t>
            </w:r>
            <w:r w:rsidRPr="00EC20A0">
              <w:rPr>
                <w:spacing w:val="-2"/>
              </w:rPr>
              <w:t xml:space="preserve"> </w:t>
            </w:r>
            <w:r w:rsidRPr="00EC20A0">
              <w:t>reportable</w:t>
            </w:r>
            <w:r w:rsidRPr="00EC20A0">
              <w:rPr>
                <w:spacing w:val="-2"/>
              </w:rPr>
              <w:t xml:space="preserve"> </w:t>
            </w:r>
            <w:r w:rsidRPr="00EC20A0">
              <w:t>noncompliance,</w:t>
            </w:r>
            <w:r w:rsidRPr="00EC20A0">
              <w:rPr>
                <w:spacing w:val="-2"/>
              </w:rPr>
              <w:t xml:space="preserve"> </w:t>
            </w:r>
            <w:r w:rsidRPr="00EC20A0">
              <w:t>as</w:t>
            </w:r>
            <w:r w:rsidRPr="00EC20A0">
              <w:rPr>
                <w:spacing w:val="-2"/>
              </w:rPr>
              <w:t xml:space="preserve"> </w:t>
            </w:r>
            <w:r w:rsidRPr="00EC20A0">
              <w:t>discussed</w:t>
            </w:r>
            <w:r w:rsidRPr="00EC20A0">
              <w:rPr>
                <w:spacing w:val="-3"/>
              </w:rPr>
              <w:t xml:space="preserve"> </w:t>
            </w:r>
            <w:r w:rsidRPr="00EC20A0">
              <w:t>in</w:t>
            </w:r>
            <w:r w:rsidRPr="00EC20A0">
              <w:rPr>
                <w:spacing w:val="-2"/>
              </w:rPr>
              <w:t xml:space="preserve"> </w:t>
            </w:r>
            <w:r w:rsidRPr="00EC20A0">
              <w:t>FAM</w:t>
            </w:r>
          </w:p>
          <w:p w14:paraId="24D60EC4" w14:textId="77777777" w:rsidR="00245300" w:rsidRPr="00EC20A0" w:rsidRDefault="00F17249">
            <w:pPr>
              <w:pStyle w:val="TableParagraph"/>
              <w:ind w:left="436" w:right="174" w:firstLine="1"/>
            </w:pPr>
            <w:r w:rsidRPr="00EC20A0">
              <w:t>580.92. For example, if the auditor determines, based on quantitative and qualitative considerations, that an ADA violation does not have a material effect on the financial statements or other financial data significant to the audit objectives, the auditor may conclude that the violation is not reportable noncompliance in the auditor’s report on compliance. The auditor should consult with the entity’s legal counsel regarding conclusions on the entity’s compliance with significant provisions of applicable la</w:t>
            </w:r>
            <w:r w:rsidRPr="00EC20A0">
              <w:t>ws, regulations, contracts, and grant agreements. Also, FAM 580.93 discusses</w:t>
            </w:r>
            <w:r w:rsidRPr="00EC20A0">
              <w:rPr>
                <w:spacing w:val="-5"/>
              </w:rPr>
              <w:t xml:space="preserve"> </w:t>
            </w:r>
            <w:r w:rsidRPr="00EC20A0">
              <w:t>additional</w:t>
            </w:r>
            <w:r w:rsidRPr="00EC20A0">
              <w:rPr>
                <w:spacing w:val="-5"/>
              </w:rPr>
              <w:t xml:space="preserve"> </w:t>
            </w:r>
            <w:r w:rsidRPr="00EC20A0">
              <w:t>auditor</w:t>
            </w:r>
            <w:r w:rsidRPr="00EC20A0">
              <w:rPr>
                <w:spacing w:val="-5"/>
              </w:rPr>
              <w:t xml:space="preserve"> </w:t>
            </w:r>
            <w:r w:rsidRPr="00EC20A0">
              <w:t>considerations</w:t>
            </w:r>
            <w:r w:rsidRPr="00EC20A0">
              <w:rPr>
                <w:spacing w:val="-5"/>
              </w:rPr>
              <w:t xml:space="preserve"> </w:t>
            </w:r>
            <w:r w:rsidRPr="00EC20A0">
              <w:t>if</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identifies</w:t>
            </w:r>
            <w:r w:rsidRPr="00EC20A0">
              <w:rPr>
                <w:spacing w:val="-4"/>
              </w:rPr>
              <w:t xml:space="preserve"> </w:t>
            </w:r>
            <w:r w:rsidRPr="00EC20A0">
              <w:t>or suspects instances of noncompliance with applicable provisions of laws, regulations, contracts, or grant agreements that do not have a material effect on the financial statements or other financial data significant to the audit objectives.</w:t>
            </w:r>
          </w:p>
        </w:tc>
        <w:tc>
          <w:tcPr>
            <w:tcW w:w="1089" w:type="dxa"/>
            <w:tcBorders>
              <w:top w:val="single" w:sz="4" w:space="0" w:color="000000"/>
              <w:left w:val="single" w:sz="8" w:space="0" w:color="000000"/>
              <w:right w:val="single" w:sz="8" w:space="0" w:color="000000"/>
            </w:tcBorders>
          </w:tcPr>
          <w:p w14:paraId="24D60EC5" w14:textId="77777777" w:rsidR="00245300" w:rsidRPr="00EC20A0" w:rsidRDefault="00245300">
            <w:pPr>
              <w:pStyle w:val="TableParagraph"/>
              <w:rPr>
                <w:sz w:val="20"/>
              </w:rPr>
            </w:pPr>
          </w:p>
        </w:tc>
        <w:tc>
          <w:tcPr>
            <w:tcW w:w="983" w:type="dxa"/>
            <w:tcBorders>
              <w:top w:val="single" w:sz="4" w:space="0" w:color="000000"/>
              <w:left w:val="single" w:sz="8" w:space="0" w:color="000000"/>
            </w:tcBorders>
          </w:tcPr>
          <w:p w14:paraId="24D60EC6" w14:textId="77777777" w:rsidR="00245300" w:rsidRPr="00EC20A0" w:rsidRDefault="00245300">
            <w:pPr>
              <w:pStyle w:val="TableParagraph"/>
              <w:rPr>
                <w:sz w:val="20"/>
              </w:rPr>
            </w:pPr>
          </w:p>
        </w:tc>
      </w:tr>
    </w:tbl>
    <w:p w14:paraId="24D60EC8" w14:textId="77777777" w:rsidR="00245300" w:rsidRPr="00EC20A0" w:rsidRDefault="00245300">
      <w:pPr>
        <w:rPr>
          <w:sz w:val="20"/>
        </w:rPr>
        <w:sectPr w:rsidR="00245300" w:rsidRPr="00EC20A0">
          <w:pgSz w:w="12240" w:h="15840"/>
          <w:pgMar w:top="1380" w:right="1320" w:bottom="940" w:left="1320" w:header="721" w:footer="742" w:gutter="0"/>
          <w:cols w:space="720"/>
        </w:sectPr>
      </w:pPr>
    </w:p>
    <w:p w14:paraId="24D60EC9" w14:textId="77777777" w:rsidR="00245300" w:rsidRPr="00EC20A0" w:rsidRDefault="00F17249">
      <w:pPr>
        <w:pStyle w:val="Heading3"/>
        <w:spacing w:before="113"/>
        <w:rPr>
          <w:u w:val="none"/>
        </w:rPr>
      </w:pPr>
      <w:bookmarkStart w:id="183" w:name="804_–_Federal_Credit_Reform_Act_of_1990,"/>
      <w:bookmarkStart w:id="184" w:name="_bookmark76"/>
      <w:bookmarkEnd w:id="183"/>
      <w:bookmarkEnd w:id="184"/>
      <w:r w:rsidRPr="00EC20A0">
        <w:t>804</w:t>
      </w:r>
      <w:r w:rsidRPr="00EC20A0">
        <w:rPr>
          <w:spacing w:val="-6"/>
        </w:rPr>
        <w:t xml:space="preserve"> </w:t>
      </w:r>
      <w:r w:rsidRPr="00EC20A0">
        <w:t>–</w:t>
      </w:r>
      <w:r w:rsidRPr="00EC20A0">
        <w:rPr>
          <w:spacing w:val="-2"/>
        </w:rPr>
        <w:t xml:space="preserve"> </w:t>
      </w:r>
      <w:r w:rsidRPr="00EC20A0">
        <w:t>Federal</w:t>
      </w:r>
      <w:r w:rsidRPr="00EC20A0">
        <w:rPr>
          <w:spacing w:val="-4"/>
        </w:rPr>
        <w:t xml:space="preserve"> </w:t>
      </w:r>
      <w:r w:rsidRPr="00EC20A0">
        <w:t>Credit</w:t>
      </w:r>
      <w:r w:rsidRPr="00EC20A0">
        <w:rPr>
          <w:spacing w:val="-4"/>
        </w:rPr>
        <w:t xml:space="preserve"> </w:t>
      </w:r>
      <w:r w:rsidRPr="00EC20A0">
        <w:t>Reform</w:t>
      </w:r>
      <w:r w:rsidRPr="00EC20A0">
        <w:rPr>
          <w:spacing w:val="-14"/>
        </w:rPr>
        <w:t xml:space="preserve"> </w:t>
      </w:r>
      <w:r w:rsidRPr="00EC20A0">
        <w:t>Act</w:t>
      </w:r>
      <w:r w:rsidRPr="00EC20A0">
        <w:rPr>
          <w:spacing w:val="-2"/>
        </w:rPr>
        <w:t xml:space="preserve"> </w:t>
      </w:r>
      <w:r w:rsidRPr="00EC20A0">
        <w:t>of</w:t>
      </w:r>
      <w:r w:rsidRPr="00EC20A0">
        <w:rPr>
          <w:spacing w:val="-3"/>
        </w:rPr>
        <w:t xml:space="preserve"> </w:t>
      </w:r>
      <w:r w:rsidRPr="00EC20A0">
        <w:t>19</w:t>
      </w:r>
      <w:bookmarkStart w:id="185" w:name="_bookmark80"/>
      <w:bookmarkEnd w:id="185"/>
      <w:r w:rsidRPr="00EC20A0">
        <w:t>90,</w:t>
      </w:r>
      <w:r w:rsidRPr="00EC20A0">
        <w:rPr>
          <w:spacing w:val="-4"/>
        </w:rPr>
        <w:t xml:space="preserve"> </w:t>
      </w:r>
      <w:r w:rsidRPr="00EC20A0">
        <w:t>a</w:t>
      </w:r>
      <w:bookmarkStart w:id="186" w:name="_bookmark81"/>
      <w:bookmarkEnd w:id="186"/>
      <w:r w:rsidRPr="00EC20A0">
        <w:t>s</w:t>
      </w:r>
      <w:r w:rsidRPr="00EC20A0">
        <w:rPr>
          <w:spacing w:val="-3"/>
        </w:rPr>
        <w:t xml:space="preserve"> </w:t>
      </w:r>
      <w:r w:rsidRPr="00EC20A0">
        <w:t>P</w:t>
      </w:r>
      <w:bookmarkStart w:id="187" w:name="_bookmark82"/>
      <w:bookmarkEnd w:id="187"/>
      <w:r w:rsidRPr="00EC20A0">
        <w:t>rovid</w:t>
      </w:r>
      <w:bookmarkStart w:id="188" w:name="_bookmark77"/>
      <w:bookmarkEnd w:id="188"/>
      <w:r w:rsidRPr="00EC20A0">
        <w:t>ed</w:t>
      </w:r>
      <w:r w:rsidRPr="00EC20A0">
        <w:rPr>
          <w:spacing w:val="-3"/>
        </w:rPr>
        <w:t xml:space="preserve"> </w:t>
      </w:r>
      <w:r w:rsidRPr="00EC20A0">
        <w:t>in</w:t>
      </w:r>
      <w:r w:rsidRPr="00EC20A0">
        <w:rPr>
          <w:spacing w:val="-3"/>
        </w:rPr>
        <w:t xml:space="preserve"> </w:t>
      </w:r>
      <w:bookmarkStart w:id="189" w:name="_bookmark78"/>
      <w:bookmarkEnd w:id="189"/>
      <w:r w:rsidRPr="00EC20A0">
        <w:t>2</w:t>
      </w:r>
      <w:r w:rsidRPr="00EC20A0">
        <w:rPr>
          <w:spacing w:val="-2"/>
        </w:rPr>
        <w:t xml:space="preserve"> </w:t>
      </w:r>
      <w:bookmarkStart w:id="190" w:name="_bookmark79"/>
      <w:bookmarkEnd w:id="190"/>
      <w:r w:rsidRPr="00EC20A0">
        <w:t>U.S.C.</w:t>
      </w:r>
      <w:r w:rsidRPr="00EC20A0">
        <w:rPr>
          <w:spacing w:val="-3"/>
        </w:rPr>
        <w:t xml:space="preserve"> </w:t>
      </w:r>
      <w:r w:rsidRPr="00EC20A0">
        <w:t>§§</w:t>
      </w:r>
      <w:r w:rsidRPr="00EC20A0">
        <w:rPr>
          <w:spacing w:val="-3"/>
        </w:rPr>
        <w:t xml:space="preserve"> </w:t>
      </w:r>
      <w:r w:rsidRPr="00EC20A0">
        <w:rPr>
          <w:spacing w:val="-2"/>
        </w:rPr>
        <w:t>661–661f</w:t>
      </w:r>
    </w:p>
    <w:p w14:paraId="24D60ECA" w14:textId="77777777" w:rsidR="00245300" w:rsidRPr="00EC20A0" w:rsidRDefault="00F17249">
      <w:pPr>
        <w:pStyle w:val="BodyText"/>
        <w:spacing w:before="143"/>
        <w:ind w:left="120" w:right="197"/>
      </w:pPr>
      <w:r w:rsidRPr="00EC20A0">
        <w:t>Note:</w:t>
      </w:r>
      <w:r w:rsidRPr="00EC20A0">
        <w:rPr>
          <w:spacing w:val="-2"/>
        </w:rPr>
        <w:t xml:space="preserve"> </w:t>
      </w:r>
      <w:r w:rsidRPr="00EC20A0">
        <w:t>The</w:t>
      </w:r>
      <w:r w:rsidRPr="00EC20A0">
        <w:rPr>
          <w:spacing w:val="-2"/>
        </w:rPr>
        <w:t xml:space="preserve"> </w:t>
      </w:r>
      <w:r w:rsidRPr="00EC20A0">
        <w:t>auditor</w:t>
      </w:r>
      <w:r w:rsidRPr="00EC20A0">
        <w:rPr>
          <w:spacing w:val="-2"/>
        </w:rPr>
        <w:t xml:space="preserve"> </w:t>
      </w:r>
      <w:r w:rsidRPr="00EC20A0">
        <w:t>should</w:t>
      </w:r>
      <w:r w:rsidRPr="00EC20A0">
        <w:rPr>
          <w:spacing w:val="-2"/>
        </w:rPr>
        <w:t xml:space="preserve"> </w:t>
      </w:r>
      <w:r w:rsidRPr="00EC20A0">
        <w:t>complete</w:t>
      </w:r>
      <w:r w:rsidRPr="00EC20A0">
        <w:rPr>
          <w:spacing w:val="-2"/>
        </w:rPr>
        <w:t xml:space="preserve"> </w:t>
      </w:r>
      <w:r w:rsidRPr="00EC20A0">
        <w:t>this</w:t>
      </w:r>
      <w:r w:rsidRPr="00EC20A0">
        <w:rPr>
          <w:spacing w:val="-2"/>
        </w:rPr>
        <w:t xml:space="preserve"> </w:t>
      </w:r>
      <w:r w:rsidRPr="00EC20A0">
        <w:t>compliance</w:t>
      </w:r>
      <w:r w:rsidRPr="00EC20A0">
        <w:rPr>
          <w:spacing w:val="-2"/>
        </w:rPr>
        <w:t xml:space="preserve"> </w:t>
      </w:r>
      <w:r w:rsidRPr="00EC20A0">
        <w:t>summary</w:t>
      </w:r>
      <w:r w:rsidRPr="00EC20A0">
        <w:rPr>
          <w:spacing w:val="-2"/>
        </w:rPr>
        <w:t xml:space="preserve"> </w:t>
      </w:r>
      <w:r w:rsidRPr="00EC20A0">
        <w:t>or</w:t>
      </w:r>
      <w:r w:rsidRPr="00EC20A0">
        <w:rPr>
          <w:spacing w:val="-2"/>
        </w:rPr>
        <w:t xml:space="preserve"> </w:t>
      </w:r>
      <w:r w:rsidRPr="00EC20A0">
        <w:t>prepare</w:t>
      </w:r>
      <w:r w:rsidRPr="00EC20A0">
        <w:rPr>
          <w:spacing w:val="-2"/>
        </w:rPr>
        <w:t xml:space="preserve"> </w:t>
      </w:r>
      <w:r w:rsidRPr="00EC20A0">
        <w:t>equivalent</w:t>
      </w:r>
      <w:r w:rsidRPr="00EC20A0">
        <w:rPr>
          <w:spacing w:val="-2"/>
        </w:rPr>
        <w:t xml:space="preserve"> </w:t>
      </w:r>
      <w:r w:rsidRPr="00EC20A0">
        <w:t>documentation</w:t>
      </w:r>
      <w:r w:rsidRPr="00EC20A0">
        <w:rPr>
          <w:spacing w:val="-2"/>
        </w:rPr>
        <w:t xml:space="preserve"> </w:t>
      </w:r>
      <w:r w:rsidRPr="00EC20A0">
        <w:t>only</w:t>
      </w:r>
      <w:r w:rsidRPr="00EC20A0">
        <w:rPr>
          <w:spacing w:val="-2"/>
        </w:rPr>
        <w:t xml:space="preserve"> </w:t>
      </w:r>
      <w:r w:rsidRPr="00EC20A0">
        <w:t>if</w:t>
      </w:r>
      <w:r w:rsidRPr="00EC20A0">
        <w:rPr>
          <w:spacing w:val="-2"/>
        </w:rPr>
        <w:t xml:space="preserve"> </w:t>
      </w:r>
      <w:r w:rsidRPr="00EC20A0">
        <w:t>provisions</w:t>
      </w:r>
      <w:r w:rsidRPr="00EC20A0">
        <w:rPr>
          <w:spacing w:val="-2"/>
        </w:rPr>
        <w:t xml:space="preserve"> </w:t>
      </w:r>
      <w:r w:rsidRPr="00EC20A0">
        <w:t>of</w:t>
      </w:r>
      <w:r w:rsidRPr="00EC20A0">
        <w:rPr>
          <w:spacing w:val="-2"/>
        </w:rPr>
        <w:t xml:space="preserve"> </w:t>
      </w:r>
      <w:r w:rsidRPr="00EC20A0">
        <w:t>the</w:t>
      </w:r>
      <w:r w:rsidRPr="00EC20A0">
        <w:rPr>
          <w:spacing w:val="-2"/>
        </w:rPr>
        <w:t xml:space="preserve"> </w:t>
      </w:r>
      <w:r w:rsidRPr="00EC20A0">
        <w:t>Federal</w:t>
      </w:r>
      <w:r w:rsidRPr="00EC20A0">
        <w:rPr>
          <w:spacing w:val="-2"/>
        </w:rPr>
        <w:t xml:space="preserve"> </w:t>
      </w:r>
      <w:r w:rsidRPr="00EC20A0">
        <w:t xml:space="preserve">Credit Reform Act of 1990 (FCRA), as provided in 2 U.S.C. §§ 661–661f, are significant, as indicated on Form 802, General Compliance Checklist, at page 802-4. OMB guidance on FCRA is included in OMB Circular No. A-11, </w:t>
      </w:r>
      <w:r w:rsidRPr="00EC20A0">
        <w:rPr>
          <w:i/>
        </w:rPr>
        <w:t xml:space="preserve">Preparing, Submitting, and Executing the Budget, </w:t>
      </w:r>
      <w:r w:rsidRPr="00EC20A0">
        <w:t xml:space="preserve">part 5, </w:t>
      </w:r>
      <w:r w:rsidRPr="00EC20A0">
        <w:rPr>
          <w:i/>
        </w:rPr>
        <w:t>Federal Credit</w:t>
      </w:r>
      <w:r w:rsidRPr="00EC20A0">
        <w:t>.</w:t>
      </w:r>
    </w:p>
    <w:p w14:paraId="24D60ECB" w14:textId="77777777" w:rsidR="00245300" w:rsidRPr="00EC20A0" w:rsidRDefault="00245300">
      <w:pPr>
        <w:pStyle w:val="BodyText"/>
        <w:spacing w:before="5"/>
        <w:rPr>
          <w:sz w:val="13"/>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245300" w:rsidRPr="00EC20A0" w14:paraId="24D60ECF" w14:textId="77777777">
        <w:trPr>
          <w:trHeight w:val="1573"/>
        </w:trPr>
        <w:tc>
          <w:tcPr>
            <w:tcW w:w="13393" w:type="dxa"/>
            <w:gridSpan w:val="6"/>
          </w:tcPr>
          <w:p w14:paraId="24D60ECC" w14:textId="77777777" w:rsidR="00245300" w:rsidRPr="00EC20A0" w:rsidRDefault="00F17249">
            <w:pPr>
              <w:pStyle w:val="TableParagraph"/>
              <w:tabs>
                <w:tab w:val="left" w:pos="9319"/>
              </w:tabs>
              <w:spacing w:before="144"/>
              <w:ind w:right="196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0ECD" w14:textId="77777777" w:rsidR="00245300" w:rsidRPr="00EC20A0" w:rsidRDefault="00F17249">
            <w:pPr>
              <w:pStyle w:val="TableParagraph"/>
              <w:spacing w:before="12"/>
              <w:ind w:left="1974" w:right="1965"/>
              <w:jc w:val="center"/>
              <w:rPr>
                <w:b/>
                <w:sz w:val="24"/>
              </w:rPr>
            </w:pPr>
            <w:r w:rsidRPr="00EC20A0">
              <w:rPr>
                <w:noProof/>
              </w:rPr>
              <mc:AlternateContent>
                <mc:Choice Requires="wpg">
                  <w:drawing>
                    <wp:anchor distT="0" distB="0" distL="0" distR="0" simplePos="0" relativeHeight="475294208" behindDoc="1" locked="0" layoutInCell="1" allowOverlap="1" wp14:anchorId="24D62B81" wp14:editId="24D62B82">
                      <wp:simplePos x="0" y="0"/>
                      <wp:positionH relativeFrom="column">
                        <wp:posOffset>7052309</wp:posOffset>
                      </wp:positionH>
                      <wp:positionV relativeFrom="paragraph">
                        <wp:posOffset>91882</wp:posOffset>
                      </wp:positionV>
                      <wp:extent cx="1371600" cy="635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33" name="Graphic 433"/>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54731F" id="Group 432" o:spid="_x0000_s1026" style="position:absolute;margin-left:555.3pt;margin-top:7.25pt;width:108pt;height:.5pt;z-index:-2802227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">
                      <v:shape id="Graphic 433"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" path="m1371600,l,,,6108r1371600,l1371600,xe" fillcolor="black" stroked="f">
                        <v:path arrowok="t"/>
                      </v:shape>
                    </v:group>
                  </w:pict>
                </mc:Fallback>
              </mc:AlternateContent>
            </w:r>
            <w:r w:rsidRPr="00EC20A0">
              <w:rPr>
                <w:noProof/>
              </w:rPr>
              <mc:AlternateContent>
                <mc:Choice Requires="wpg">
                  <w:drawing>
                    <wp:anchor distT="0" distB="0" distL="0" distR="0" simplePos="0" relativeHeight="475295232" behindDoc="1" locked="0" layoutInCell="1" allowOverlap="1" wp14:anchorId="24D62B83" wp14:editId="24D62B84">
                      <wp:simplePos x="0" y="0"/>
                      <wp:positionH relativeFrom="column">
                        <wp:posOffset>7052309</wp:posOffset>
                      </wp:positionH>
                      <wp:positionV relativeFrom="paragraph">
                        <wp:posOffset>441640</wp:posOffset>
                      </wp:positionV>
                      <wp:extent cx="1371600" cy="635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35" name="Graphic 435"/>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2F2FCA" id="Group 434" o:spid="_x0000_s1026" style="position:absolute;margin-left:555.3pt;margin-top:34.75pt;width:108pt;height:.5pt;z-index:-2802124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wUcAIAAPMFAAAOAAAAZHJzL2Uyb0RvYy54bWykVE1v2zAMvQ/YfxB0X520a1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cj4bKhrrw5&#10;JJtvfzuWiXy4MiY2JdJbUo47kuP+j5zHRlgVOXeh+AdkbVnwz2fn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">
                      <v:shape id="Graphic 435"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" path="m1371600,l,,,6108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0ECE" w14:textId="77777777" w:rsidR="00245300" w:rsidRPr="00EC20A0" w:rsidRDefault="00F17249">
            <w:pPr>
              <w:pStyle w:val="TableParagraph"/>
              <w:tabs>
                <w:tab w:val="left" w:pos="9013"/>
              </w:tabs>
              <w:spacing w:before="10"/>
              <w:ind w:right="1720"/>
              <w:jc w:val="center"/>
            </w:pPr>
            <w:r w:rsidRPr="00EC20A0">
              <w:rPr>
                <w:noProof/>
              </w:rPr>
              <mc:AlternateContent>
                <mc:Choice Requires="wpg">
                  <w:drawing>
                    <wp:anchor distT="0" distB="0" distL="0" distR="0" simplePos="0" relativeHeight="475293696" behindDoc="1" locked="0" layoutInCell="1" allowOverlap="1" wp14:anchorId="24D62B85" wp14:editId="24D62B86">
                      <wp:simplePos x="0" y="0"/>
                      <wp:positionH relativeFrom="column">
                        <wp:posOffset>1274825</wp:posOffset>
                      </wp:positionH>
                      <wp:positionV relativeFrom="paragraph">
                        <wp:posOffset>-91198</wp:posOffset>
                      </wp:positionV>
                      <wp:extent cx="1205865" cy="635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37" name="Graphic 437"/>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959877" id="Group 436" o:spid="_x0000_s1026" style="position:absolute;margin-left:100.4pt;margin-top:-7.2pt;width:94.95pt;height:.5pt;z-index:-28022784;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T4e0J3QCAADzBQAADgAA&#10;AAAAAAAAAAAAAAAuAgAAZHJzL2Uyb0RvYy54bWxQSwECLQAUAAYACAAAACEALa106eEAAAALAQAA&#10;DwAAAAAAAAAAAAAAAADOBAAAZHJzL2Rvd25yZXYueG1sUEsFBgAAAAAEAAQA8wAAANwFAAAAAA==&#10;">
                      <v:shape id="Graphic 437"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" path="m1205484,l,,,6108r1205484,l1205484,xe" fillcolor="black" stroked="f">
                        <v:path arrowok="t"/>
                      </v:shape>
                    </v:group>
                  </w:pict>
                </mc:Fallback>
              </mc:AlternateContent>
            </w:r>
            <w:r w:rsidRPr="00EC20A0">
              <w:rPr>
                <w:noProof/>
              </w:rPr>
              <mc:AlternateContent>
                <mc:Choice Requires="wpg">
                  <w:drawing>
                    <wp:anchor distT="0" distB="0" distL="0" distR="0" simplePos="0" relativeHeight="475294720" behindDoc="1" locked="0" layoutInCell="1" allowOverlap="1" wp14:anchorId="24D62B87" wp14:editId="24D62B88">
                      <wp:simplePos x="0" y="0"/>
                      <wp:positionH relativeFrom="column">
                        <wp:posOffset>1274825</wp:posOffset>
                      </wp:positionH>
                      <wp:positionV relativeFrom="paragraph">
                        <wp:posOffset>258559</wp:posOffset>
                      </wp:positionV>
                      <wp:extent cx="1205865" cy="635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39" name="Graphic 439"/>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C2029B" id="Group 438" o:spid="_x0000_s1026" style="position:absolute;margin-left:100.4pt;margin-top:20.35pt;width:94.95pt;height:.5pt;z-index:-28021760;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">
                      <v:shape id="Graphic 439"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" path="m1205484,l,,,6108r1205484,l1205484,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0ED9" w14:textId="77777777">
        <w:trPr>
          <w:trHeight w:val="794"/>
        </w:trPr>
        <w:tc>
          <w:tcPr>
            <w:tcW w:w="4644" w:type="dxa"/>
            <w:tcBorders>
              <w:right w:val="single" w:sz="4" w:space="0" w:color="000000"/>
            </w:tcBorders>
          </w:tcPr>
          <w:p w14:paraId="24D60ED0" w14:textId="77777777" w:rsidR="00245300" w:rsidRPr="00EC20A0" w:rsidRDefault="00245300">
            <w:pPr>
              <w:pStyle w:val="TableParagraph"/>
              <w:spacing w:before="144"/>
            </w:pPr>
          </w:p>
          <w:p w14:paraId="24D60ED1" w14:textId="77777777" w:rsidR="00245300" w:rsidRPr="00EC20A0" w:rsidRDefault="00F17249">
            <w:pPr>
              <w:pStyle w:val="TableParagraph"/>
              <w:spacing w:before="1"/>
              <w:ind w:left="97"/>
            </w:pPr>
            <w:r w:rsidRPr="00EC20A0">
              <w:t>Provision</w:t>
            </w:r>
            <w:r w:rsidRPr="00EC20A0">
              <w:rPr>
                <w:spacing w:val="-11"/>
              </w:rPr>
              <w:t xml:space="preserve"> </w:t>
            </w:r>
            <w:r w:rsidRPr="00EC20A0">
              <w:rPr>
                <w:spacing w:val="-2"/>
              </w:rPr>
              <w:t>Description</w:t>
            </w:r>
          </w:p>
        </w:tc>
        <w:tc>
          <w:tcPr>
            <w:tcW w:w="2250" w:type="dxa"/>
            <w:tcBorders>
              <w:left w:val="single" w:sz="4" w:space="0" w:color="000000"/>
              <w:right w:val="single" w:sz="4" w:space="0" w:color="000000"/>
            </w:tcBorders>
          </w:tcPr>
          <w:p w14:paraId="24D60ED2" w14:textId="77777777" w:rsidR="00245300" w:rsidRPr="00EC20A0" w:rsidRDefault="00245300">
            <w:pPr>
              <w:pStyle w:val="TableParagraph"/>
              <w:spacing w:before="144"/>
            </w:pPr>
          </w:p>
          <w:p w14:paraId="24D60ED3" w14:textId="77777777" w:rsidR="00245300" w:rsidRPr="00EC20A0" w:rsidRDefault="00F17249">
            <w:pPr>
              <w:pStyle w:val="TableParagraph"/>
              <w:spacing w:before="1"/>
              <w:ind w:left="107"/>
            </w:pPr>
            <w:r w:rsidRPr="00EC20A0">
              <w:rPr>
                <w:spacing w:val="-2"/>
              </w:rPr>
              <w:t>Objective</w:t>
            </w:r>
          </w:p>
        </w:tc>
        <w:tc>
          <w:tcPr>
            <w:tcW w:w="1620" w:type="dxa"/>
            <w:tcBorders>
              <w:left w:val="single" w:sz="4" w:space="0" w:color="000000"/>
              <w:right w:val="single" w:sz="4" w:space="0" w:color="000000"/>
            </w:tcBorders>
          </w:tcPr>
          <w:p w14:paraId="24D60ED4" w14:textId="77777777" w:rsidR="00245300" w:rsidRPr="00EC20A0" w:rsidRDefault="00F17249">
            <w:pPr>
              <w:pStyle w:val="TableParagraph"/>
              <w:spacing w:before="144"/>
              <w:ind w:left="107" w:right="215"/>
            </w:pPr>
            <w:r w:rsidRPr="00EC20A0">
              <w:rPr>
                <w:spacing w:val="-2"/>
              </w:rPr>
              <w:t>Control Activities</w:t>
            </w:r>
          </w:p>
        </w:tc>
        <w:tc>
          <w:tcPr>
            <w:tcW w:w="1402" w:type="dxa"/>
            <w:tcBorders>
              <w:left w:val="single" w:sz="4" w:space="0" w:color="000000"/>
              <w:right w:val="single" w:sz="4" w:space="0" w:color="000000"/>
            </w:tcBorders>
          </w:tcPr>
          <w:p w14:paraId="24D60ED5" w14:textId="77777777" w:rsidR="00245300" w:rsidRPr="00EC20A0" w:rsidRDefault="00245300">
            <w:pPr>
              <w:pStyle w:val="TableParagraph"/>
              <w:spacing w:before="144"/>
            </w:pPr>
          </w:p>
          <w:p w14:paraId="24D60ED6" w14:textId="77777777" w:rsidR="00245300" w:rsidRPr="00EC20A0" w:rsidRDefault="00F17249">
            <w:pPr>
              <w:pStyle w:val="TableParagraph"/>
              <w:spacing w:before="1"/>
              <w:ind w:left="107"/>
            </w:pPr>
            <w:r w:rsidRPr="00EC20A0">
              <w:t>IS</w:t>
            </w:r>
            <w:r w:rsidRPr="00EC20A0">
              <w:rPr>
                <w:spacing w:val="-3"/>
              </w:rPr>
              <w:t xml:space="preserve"> </w:t>
            </w:r>
            <w:r w:rsidRPr="00EC20A0">
              <w:rPr>
                <w:spacing w:val="-2"/>
              </w:rPr>
              <w:t>(Y/N)</w:t>
            </w:r>
          </w:p>
        </w:tc>
        <w:tc>
          <w:tcPr>
            <w:tcW w:w="1498" w:type="dxa"/>
            <w:tcBorders>
              <w:left w:val="single" w:sz="4" w:space="0" w:color="000000"/>
              <w:right w:val="single" w:sz="4" w:space="0" w:color="000000"/>
            </w:tcBorders>
          </w:tcPr>
          <w:p w14:paraId="24D60ED7" w14:textId="77777777" w:rsidR="00245300" w:rsidRPr="00EC20A0" w:rsidRDefault="00F17249">
            <w:pPr>
              <w:pStyle w:val="TableParagraph"/>
              <w:spacing w:before="144"/>
              <w:ind w:left="107"/>
            </w:pPr>
            <w:r w:rsidRPr="00EC20A0">
              <w:rPr>
                <w:spacing w:val="-2"/>
              </w:rPr>
              <w:t>Effective controls?</w:t>
            </w:r>
          </w:p>
        </w:tc>
        <w:tc>
          <w:tcPr>
            <w:tcW w:w="1979" w:type="dxa"/>
            <w:tcBorders>
              <w:left w:val="single" w:sz="4" w:space="0" w:color="000000"/>
            </w:tcBorders>
          </w:tcPr>
          <w:p w14:paraId="24D60ED8" w14:textId="77777777" w:rsidR="00245300" w:rsidRPr="00EC20A0" w:rsidRDefault="00F17249">
            <w:pPr>
              <w:pStyle w:val="TableParagraph"/>
              <w:spacing w:before="144"/>
              <w:ind w:left="107" w:right="140"/>
            </w:pPr>
            <w:r w:rsidRPr="00EC20A0">
              <w:t xml:space="preserve">Instances of </w:t>
            </w:r>
            <w:r w:rsidRPr="00EC20A0">
              <w:rPr>
                <w:spacing w:val="-2"/>
              </w:rPr>
              <w:t>noncompliance?</w:t>
            </w:r>
          </w:p>
        </w:tc>
      </w:tr>
      <w:tr w:rsidR="00245300" w:rsidRPr="00EC20A0" w14:paraId="24D60EE4" w14:textId="77777777">
        <w:trPr>
          <w:trHeight w:val="2089"/>
        </w:trPr>
        <w:tc>
          <w:tcPr>
            <w:tcW w:w="4644" w:type="dxa"/>
            <w:tcBorders>
              <w:right w:val="single" w:sz="4" w:space="0" w:color="000000"/>
            </w:tcBorders>
          </w:tcPr>
          <w:p w14:paraId="24D60EDA" w14:textId="77777777" w:rsidR="00245300" w:rsidRPr="00EC20A0" w:rsidRDefault="00F17249">
            <w:pPr>
              <w:pStyle w:val="TableParagraph"/>
              <w:spacing w:before="143"/>
              <w:ind w:left="817" w:right="137" w:hanging="720"/>
              <w:rPr>
                <w:sz w:val="18"/>
              </w:rPr>
            </w:pPr>
            <w:r w:rsidRPr="00EC20A0">
              <w:rPr>
                <w:smallCaps/>
                <w:sz w:val="18"/>
              </w:rPr>
              <w:t>804.01.</w:t>
            </w:r>
            <w:r w:rsidRPr="00EC20A0">
              <w:rPr>
                <w:smallCaps/>
                <w:spacing w:val="-3"/>
                <w:sz w:val="18"/>
              </w:rPr>
              <w:t xml:space="preserve"> </w:t>
            </w:r>
            <w:r w:rsidRPr="00EC20A0">
              <w:rPr>
                <w:smallCaps/>
                <w:spacing w:val="16"/>
                <w:sz w:val="18"/>
              </w:rPr>
              <w:t xml:space="preserve"> </w:t>
            </w:r>
            <w:r w:rsidRPr="00EC20A0">
              <w:rPr>
                <w:smallCaps/>
                <w:sz w:val="18"/>
              </w:rPr>
              <w:t>Advance</w:t>
            </w:r>
            <w:r w:rsidRPr="00EC20A0">
              <w:rPr>
                <w:smallCaps/>
                <w:spacing w:val="-3"/>
                <w:sz w:val="18"/>
              </w:rPr>
              <w:t xml:space="preserve"> </w:t>
            </w:r>
            <w:r w:rsidRPr="00EC20A0">
              <w:rPr>
                <w:smallCaps/>
                <w:sz w:val="18"/>
              </w:rPr>
              <w:t>Budget</w:t>
            </w:r>
            <w:r w:rsidRPr="00EC20A0">
              <w:rPr>
                <w:smallCaps/>
                <w:spacing w:val="-3"/>
                <w:sz w:val="18"/>
              </w:rPr>
              <w:t xml:space="preserve"> </w:t>
            </w:r>
            <w:r w:rsidRPr="00EC20A0">
              <w:rPr>
                <w:smallCaps/>
                <w:sz w:val="18"/>
              </w:rPr>
              <w:t>Authority</w:t>
            </w:r>
            <w:r w:rsidRPr="00EC20A0">
              <w:rPr>
                <w:smallCaps/>
                <w:spacing w:val="-3"/>
                <w:sz w:val="18"/>
              </w:rPr>
              <w:t xml:space="preserve"> </w:t>
            </w:r>
            <w:r w:rsidRPr="00EC20A0">
              <w:rPr>
                <w:smallCaps/>
                <w:sz w:val="18"/>
              </w:rPr>
              <w:t>Required</w:t>
            </w:r>
            <w:r w:rsidRPr="00EC20A0">
              <w:rPr>
                <w:smallCaps/>
                <w:spacing w:val="-3"/>
                <w:sz w:val="18"/>
              </w:rPr>
              <w:t xml:space="preserve"> </w:t>
            </w:r>
            <w:r w:rsidRPr="00EC20A0">
              <w:rPr>
                <w:smallCaps/>
                <w:sz w:val="18"/>
              </w:rPr>
              <w:t>For</w:t>
            </w:r>
            <w:r w:rsidRPr="00EC20A0">
              <w:rPr>
                <w:smallCaps/>
                <w:spacing w:val="40"/>
                <w:sz w:val="18"/>
              </w:rPr>
              <w:t xml:space="preserve"> </w:t>
            </w:r>
            <w:r w:rsidRPr="00EC20A0">
              <w:rPr>
                <w:smallCaps/>
                <w:sz w:val="18"/>
              </w:rPr>
              <w:t>New Direct Loan Obligations</w:t>
            </w:r>
          </w:p>
          <w:p w14:paraId="24D60EDB" w14:textId="77777777" w:rsidR="00245300" w:rsidRPr="00EC20A0" w:rsidRDefault="00F17249">
            <w:pPr>
              <w:pStyle w:val="TableParagraph"/>
              <w:spacing w:before="146"/>
              <w:ind w:left="97"/>
              <w:rPr>
                <w:sz w:val="18"/>
              </w:rPr>
            </w:pPr>
            <w:r w:rsidRPr="00EC20A0">
              <w:rPr>
                <w:sz w:val="18"/>
              </w:rPr>
              <w:t>Provision</w:t>
            </w:r>
            <w:r w:rsidRPr="00EC20A0">
              <w:rPr>
                <w:spacing w:val="-7"/>
                <w:sz w:val="18"/>
              </w:rPr>
              <w:t xml:space="preserve"> </w:t>
            </w:r>
            <w:r w:rsidRPr="00EC20A0">
              <w:rPr>
                <w:sz w:val="18"/>
              </w:rPr>
              <w:t>Type:</w:t>
            </w:r>
            <w:r w:rsidRPr="00EC20A0">
              <w:rPr>
                <w:spacing w:val="-7"/>
                <w:sz w:val="18"/>
              </w:rPr>
              <w:t xml:space="preserve"> </w:t>
            </w:r>
            <w:r w:rsidRPr="00EC20A0">
              <w:rPr>
                <w:sz w:val="18"/>
              </w:rPr>
              <w:t>Quantitative-</w:t>
            </w:r>
            <w:r w:rsidRPr="00EC20A0">
              <w:rPr>
                <w:spacing w:val="-2"/>
                <w:sz w:val="18"/>
              </w:rPr>
              <w:t>based.</w:t>
            </w:r>
          </w:p>
          <w:p w14:paraId="24D60EDC" w14:textId="77777777" w:rsidR="00245300" w:rsidRPr="00EC20A0" w:rsidRDefault="00F17249">
            <w:pPr>
              <w:pStyle w:val="TableParagraph"/>
              <w:spacing w:before="145" w:line="237" w:lineRule="auto"/>
              <w:ind w:left="97" w:right="137"/>
              <w:rPr>
                <w:sz w:val="18"/>
              </w:rPr>
            </w:pPr>
            <w:r w:rsidRPr="00EC20A0">
              <w:rPr>
                <w:sz w:val="18"/>
              </w:rPr>
              <w:t>New</w:t>
            </w:r>
            <w:r w:rsidRPr="00EC20A0">
              <w:rPr>
                <w:spacing w:val="-5"/>
                <w:sz w:val="18"/>
              </w:rPr>
              <w:t xml:space="preserve"> </w:t>
            </w:r>
            <w:r w:rsidRPr="00EC20A0">
              <w:rPr>
                <w:sz w:val="18"/>
              </w:rPr>
              <w:t>direct</w:t>
            </w:r>
            <w:r w:rsidRPr="00EC20A0">
              <w:rPr>
                <w:spacing w:val="-5"/>
                <w:sz w:val="18"/>
              </w:rPr>
              <w:t xml:space="preserve"> </w:t>
            </w:r>
            <w:r w:rsidRPr="00EC20A0">
              <w:rPr>
                <w:sz w:val="18"/>
              </w:rPr>
              <w:t>loan</w:t>
            </w:r>
            <w:r w:rsidRPr="00EC20A0">
              <w:rPr>
                <w:spacing w:val="-6"/>
                <w:sz w:val="18"/>
              </w:rPr>
              <w:t xml:space="preserve"> </w:t>
            </w:r>
            <w:r w:rsidRPr="00EC20A0">
              <w:rPr>
                <w:sz w:val="18"/>
              </w:rPr>
              <w:t>obligations</w:t>
            </w:r>
            <w:r w:rsidRPr="00EC20A0">
              <w:rPr>
                <w:spacing w:val="-5"/>
                <w:sz w:val="18"/>
              </w:rPr>
              <w:t xml:space="preserve"> </w:t>
            </w:r>
            <w:r w:rsidRPr="00EC20A0">
              <w:rPr>
                <w:sz w:val="18"/>
              </w:rPr>
              <w:t>may</w:t>
            </w:r>
            <w:r w:rsidRPr="00EC20A0">
              <w:rPr>
                <w:spacing w:val="-5"/>
                <w:sz w:val="18"/>
              </w:rPr>
              <w:t xml:space="preserve"> </w:t>
            </w:r>
            <w:r w:rsidRPr="00EC20A0">
              <w:rPr>
                <w:sz w:val="18"/>
              </w:rPr>
              <w:t>be</w:t>
            </w:r>
            <w:r w:rsidRPr="00EC20A0">
              <w:rPr>
                <w:spacing w:val="-6"/>
                <w:sz w:val="18"/>
              </w:rPr>
              <w:t xml:space="preserve"> </w:t>
            </w:r>
            <w:r w:rsidRPr="00EC20A0">
              <w:rPr>
                <w:sz w:val="18"/>
              </w:rPr>
              <w:t>incurred</w:t>
            </w:r>
            <w:r w:rsidRPr="00EC20A0">
              <w:rPr>
                <w:spacing w:val="-4"/>
                <w:sz w:val="18"/>
              </w:rPr>
              <w:t xml:space="preserve"> </w:t>
            </w:r>
            <w:r w:rsidRPr="00EC20A0">
              <w:rPr>
                <w:sz w:val="18"/>
              </w:rPr>
              <w:t>on</w:t>
            </w:r>
            <w:r w:rsidRPr="00EC20A0">
              <w:rPr>
                <w:spacing w:val="-6"/>
                <w:sz w:val="18"/>
              </w:rPr>
              <w:t xml:space="preserve"> </w:t>
            </w:r>
            <w:r w:rsidRPr="00EC20A0">
              <w:rPr>
                <w:sz w:val="18"/>
              </w:rPr>
              <w:t>or</w:t>
            </w:r>
            <w:r w:rsidRPr="00EC20A0">
              <w:rPr>
                <w:spacing w:val="-5"/>
                <w:sz w:val="18"/>
              </w:rPr>
              <w:t xml:space="preserve"> </w:t>
            </w:r>
            <w:r w:rsidRPr="00EC20A0">
              <w:rPr>
                <w:sz w:val="18"/>
              </w:rPr>
              <w:t xml:space="preserve">after October 1, 1991, only to the extent that an appropriation or other budget authority is </w:t>
            </w:r>
            <w:r w:rsidRPr="00EC20A0">
              <w:rPr>
                <w:sz w:val="18"/>
              </w:rPr>
              <w:t>available to cover these costs.</w:t>
            </w:r>
            <w:hyperlink w:anchor="_bookmark77" w:history="1">
              <w:r w:rsidRPr="00EC20A0">
                <w:rPr>
                  <w:position w:val="6"/>
                  <w:sz w:val="12"/>
                </w:rPr>
                <w:t>4</w:t>
              </w:r>
            </w:hyperlink>
            <w:r w:rsidRPr="00EC20A0">
              <w:rPr>
                <w:position w:val="6"/>
                <w:sz w:val="12"/>
              </w:rPr>
              <w:t>,</w:t>
            </w:r>
            <w:hyperlink w:anchor="_bookmark78" w:history="1">
              <w:r w:rsidRPr="00EC20A0">
                <w:rPr>
                  <w:position w:val="6"/>
                  <w:sz w:val="12"/>
                </w:rPr>
                <w:t>5</w:t>
              </w:r>
            </w:hyperlink>
            <w:r w:rsidRPr="00EC20A0">
              <w:rPr>
                <w:position w:val="6"/>
                <w:sz w:val="12"/>
              </w:rPr>
              <w:t>,</w:t>
            </w:r>
            <w:hyperlink w:anchor="_bookmark79" w:history="1">
              <w:r w:rsidRPr="00EC20A0">
                <w:rPr>
                  <w:position w:val="6"/>
                  <w:sz w:val="12"/>
                </w:rPr>
                <w:t>6</w:t>
              </w:r>
            </w:hyperlink>
            <w:r w:rsidRPr="00EC20A0">
              <w:rPr>
                <w:position w:val="6"/>
                <w:sz w:val="12"/>
              </w:rPr>
              <w:t>,</w:t>
            </w:r>
            <w:r w:rsidRPr="00EC20A0">
              <w:rPr>
                <w:spacing w:val="-17"/>
                <w:position w:val="6"/>
                <w:sz w:val="12"/>
              </w:rPr>
              <w:t xml:space="preserve"> </w:t>
            </w:r>
            <w:hyperlink w:anchor="_bookmark80" w:history="1">
              <w:r w:rsidRPr="00EC20A0">
                <w:rPr>
                  <w:position w:val="6"/>
                  <w:sz w:val="12"/>
                </w:rPr>
                <w:t>7</w:t>
              </w:r>
            </w:hyperlink>
            <w:r w:rsidRPr="00EC20A0">
              <w:rPr>
                <w:position w:val="6"/>
                <w:sz w:val="12"/>
              </w:rPr>
              <w:t>,</w:t>
            </w:r>
            <w:hyperlink w:anchor="_bookmark81" w:history="1">
              <w:r w:rsidRPr="00EC20A0">
                <w:rPr>
                  <w:position w:val="6"/>
                  <w:sz w:val="12"/>
                </w:rPr>
                <w:t>8</w:t>
              </w:r>
            </w:hyperlink>
            <w:r w:rsidRPr="00EC20A0">
              <w:rPr>
                <w:spacing w:val="40"/>
                <w:position w:val="6"/>
                <w:sz w:val="12"/>
              </w:rPr>
              <w:t xml:space="preserve"> </w:t>
            </w:r>
            <w:r w:rsidRPr="00EC20A0">
              <w:rPr>
                <w:sz w:val="18"/>
              </w:rPr>
              <w:t>2 U.S.C. § 661c(b).</w:t>
            </w:r>
          </w:p>
        </w:tc>
        <w:tc>
          <w:tcPr>
            <w:tcW w:w="2250" w:type="dxa"/>
            <w:tcBorders>
              <w:left w:val="single" w:sz="4" w:space="0" w:color="000000"/>
              <w:right w:val="single" w:sz="4" w:space="0" w:color="000000"/>
            </w:tcBorders>
          </w:tcPr>
          <w:p w14:paraId="24D60EDD" w14:textId="77777777" w:rsidR="00245300" w:rsidRPr="00EC20A0" w:rsidRDefault="00F17249">
            <w:pPr>
              <w:pStyle w:val="TableParagraph"/>
              <w:spacing w:before="143"/>
              <w:ind w:left="107" w:right="91"/>
              <w:rPr>
                <w:sz w:val="18"/>
              </w:rPr>
            </w:pPr>
            <w:r w:rsidRPr="00EC20A0">
              <w:rPr>
                <w:sz w:val="18"/>
              </w:rPr>
              <w:t>Direct loan obligations made</w:t>
            </w:r>
            <w:r w:rsidRPr="00EC20A0">
              <w:rPr>
                <w:spacing w:val="-11"/>
                <w:sz w:val="18"/>
              </w:rPr>
              <w:t xml:space="preserve"> </w:t>
            </w:r>
            <w:r w:rsidRPr="00EC20A0">
              <w:rPr>
                <w:sz w:val="18"/>
              </w:rPr>
              <w:t>on</w:t>
            </w:r>
            <w:r w:rsidRPr="00EC20A0">
              <w:rPr>
                <w:spacing w:val="-11"/>
                <w:sz w:val="18"/>
              </w:rPr>
              <w:t xml:space="preserve"> </w:t>
            </w:r>
            <w:r w:rsidRPr="00EC20A0">
              <w:rPr>
                <w:sz w:val="18"/>
              </w:rPr>
              <w:t>or</w:t>
            </w:r>
            <w:r w:rsidRPr="00EC20A0">
              <w:rPr>
                <w:spacing w:val="-10"/>
                <w:sz w:val="18"/>
              </w:rPr>
              <w:t xml:space="preserve"> </w:t>
            </w:r>
            <w:r w:rsidRPr="00EC20A0">
              <w:rPr>
                <w:sz w:val="18"/>
              </w:rPr>
              <w:t>after</w:t>
            </w:r>
            <w:r w:rsidRPr="00EC20A0">
              <w:rPr>
                <w:spacing w:val="-10"/>
                <w:sz w:val="18"/>
              </w:rPr>
              <w:t xml:space="preserve"> </w:t>
            </w:r>
            <w:r w:rsidRPr="00EC20A0">
              <w:rPr>
                <w:sz w:val="18"/>
              </w:rPr>
              <w:t xml:space="preserve">October 1, 1991, do not exceed the available appropriation or other budget authority. (See footnotes 3 through 7 </w:t>
            </w:r>
            <w:r w:rsidRPr="00EC20A0">
              <w:rPr>
                <w:spacing w:val="-2"/>
                <w:sz w:val="18"/>
              </w:rPr>
              <w:t>below.)</w:t>
            </w:r>
          </w:p>
        </w:tc>
        <w:tc>
          <w:tcPr>
            <w:tcW w:w="1620" w:type="dxa"/>
            <w:tcBorders>
              <w:left w:val="single" w:sz="4" w:space="0" w:color="000000"/>
              <w:right w:val="single" w:sz="4" w:space="0" w:color="000000"/>
            </w:tcBorders>
          </w:tcPr>
          <w:p w14:paraId="24D60EDE" w14:textId="77777777" w:rsidR="00245300" w:rsidRPr="00EC20A0" w:rsidRDefault="00F17249">
            <w:pPr>
              <w:pStyle w:val="TableParagraph"/>
              <w:spacing w:before="143"/>
              <w:ind w:left="107" w:right="215"/>
              <w:rPr>
                <w:sz w:val="12"/>
              </w:rPr>
            </w:pPr>
            <w:r w:rsidRPr="00EC20A0">
              <w:rPr>
                <w:sz w:val="18"/>
              </w:rPr>
              <w:t>[Document the control</w:t>
            </w:r>
            <w:r w:rsidRPr="00EC20A0">
              <w:rPr>
                <w:spacing w:val="-13"/>
                <w:sz w:val="18"/>
              </w:rPr>
              <w:t xml:space="preserve"> </w:t>
            </w:r>
            <w:r w:rsidRPr="00EC20A0">
              <w:rPr>
                <w:sz w:val="18"/>
              </w:rPr>
              <w:t>activities that the entity used</w:t>
            </w:r>
            <w:r w:rsidRPr="00EC20A0">
              <w:rPr>
                <w:spacing w:val="-9"/>
                <w:sz w:val="18"/>
              </w:rPr>
              <w:t xml:space="preserve"> </w:t>
            </w:r>
            <w:r w:rsidRPr="00EC20A0">
              <w:rPr>
                <w:sz w:val="18"/>
              </w:rPr>
              <w:t>to</w:t>
            </w:r>
            <w:r w:rsidRPr="00EC20A0">
              <w:rPr>
                <w:spacing w:val="-9"/>
                <w:sz w:val="18"/>
              </w:rPr>
              <w:t xml:space="preserve"> </w:t>
            </w:r>
            <w:r w:rsidRPr="00EC20A0">
              <w:rPr>
                <w:sz w:val="18"/>
              </w:rPr>
              <w:t>achieve the objective.]</w:t>
            </w:r>
            <w:hyperlink w:anchor="_bookmark82" w:history="1">
              <w:r w:rsidRPr="00EC20A0">
                <w:rPr>
                  <w:position w:val="6"/>
                  <w:sz w:val="12"/>
                </w:rPr>
                <w:t>9</w:t>
              </w:r>
            </w:hyperlink>
          </w:p>
        </w:tc>
        <w:tc>
          <w:tcPr>
            <w:tcW w:w="1402" w:type="dxa"/>
            <w:tcBorders>
              <w:left w:val="single" w:sz="4" w:space="0" w:color="000000"/>
              <w:right w:val="single" w:sz="4" w:space="0" w:color="000000"/>
            </w:tcBorders>
          </w:tcPr>
          <w:p w14:paraId="24D60EDF" w14:textId="77777777" w:rsidR="00245300" w:rsidRPr="00EC20A0" w:rsidRDefault="00F17249">
            <w:pPr>
              <w:pStyle w:val="TableParagraph"/>
              <w:spacing w:before="143"/>
              <w:ind w:left="107" w:right="217"/>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498" w:type="dxa"/>
            <w:tcBorders>
              <w:left w:val="single" w:sz="4" w:space="0" w:color="000000"/>
              <w:right w:val="single" w:sz="4" w:space="0" w:color="000000"/>
            </w:tcBorders>
          </w:tcPr>
          <w:p w14:paraId="24D60EE0" w14:textId="77777777" w:rsidR="00245300" w:rsidRPr="00EC20A0" w:rsidRDefault="00F17249">
            <w:pPr>
              <w:pStyle w:val="TableParagraph"/>
              <w:spacing w:before="143"/>
              <w:ind w:left="107"/>
              <w:rPr>
                <w:sz w:val="18"/>
              </w:rPr>
            </w:pPr>
            <w:r w:rsidRPr="00EC20A0">
              <w:rPr>
                <w:sz w:val="18"/>
              </w:rPr>
              <w:t xml:space="preserve">[Indicate yes or no; include reference to </w:t>
            </w:r>
            <w:r w:rsidRPr="00EC20A0">
              <w:rPr>
                <w:spacing w:val="-2"/>
                <w:sz w:val="18"/>
              </w:rPr>
              <w:t>supporting documentation.]</w:t>
            </w:r>
          </w:p>
        </w:tc>
        <w:tc>
          <w:tcPr>
            <w:tcW w:w="1979" w:type="dxa"/>
            <w:tcBorders>
              <w:left w:val="single" w:sz="4" w:space="0" w:color="000000"/>
            </w:tcBorders>
          </w:tcPr>
          <w:p w14:paraId="24D60EE1" w14:textId="77777777" w:rsidR="00245300" w:rsidRPr="00EC20A0" w:rsidRDefault="00F17249">
            <w:pPr>
              <w:pStyle w:val="TableParagraph"/>
              <w:spacing w:before="143"/>
              <w:ind w:left="107" w:right="140"/>
              <w:rPr>
                <w:sz w:val="18"/>
              </w:rPr>
            </w:pPr>
            <w:r w:rsidRPr="00EC20A0">
              <w:rPr>
                <w:sz w:val="18"/>
              </w:rPr>
              <w:t>[Indicate yes or no; include</w:t>
            </w:r>
            <w:r w:rsidRPr="00EC20A0">
              <w:rPr>
                <w:spacing w:val="-15"/>
                <w:sz w:val="18"/>
              </w:rPr>
              <w:t xml:space="preserve"> </w:t>
            </w:r>
            <w:r w:rsidRPr="00EC20A0">
              <w:rPr>
                <w:sz w:val="18"/>
              </w:rPr>
              <w:t>reference</w:t>
            </w:r>
            <w:r w:rsidRPr="00EC20A0">
              <w:rPr>
                <w:spacing w:val="-12"/>
                <w:sz w:val="18"/>
              </w:rPr>
              <w:t xml:space="preserve"> </w:t>
            </w:r>
            <w:r w:rsidRPr="00EC20A0">
              <w:rPr>
                <w:sz w:val="18"/>
              </w:rPr>
              <w:t xml:space="preserve">to </w:t>
            </w:r>
            <w:r w:rsidRPr="00EC20A0">
              <w:rPr>
                <w:spacing w:val="-2"/>
                <w:sz w:val="18"/>
              </w:rPr>
              <w:t>supporting documentation.]</w:t>
            </w:r>
          </w:p>
          <w:p w14:paraId="24D60EE2" w14:textId="77777777" w:rsidR="00245300" w:rsidRPr="00EC20A0" w:rsidRDefault="00F17249">
            <w:pPr>
              <w:pStyle w:val="TableParagraph"/>
              <w:spacing w:before="144"/>
              <w:ind w:left="107" w:right="140"/>
              <w:rPr>
                <w:sz w:val="18"/>
              </w:rPr>
            </w:pPr>
            <w:r w:rsidRPr="00EC20A0">
              <w:rPr>
                <w:sz w:val="18"/>
              </w:rPr>
              <w:t>See Compliance Audit Procedures, FAM</w:t>
            </w:r>
            <w:r w:rsidRPr="00EC20A0">
              <w:rPr>
                <w:spacing w:val="-10"/>
                <w:sz w:val="18"/>
              </w:rPr>
              <w:t xml:space="preserve"> </w:t>
            </w:r>
            <w:r w:rsidRPr="00EC20A0">
              <w:rPr>
                <w:sz w:val="18"/>
              </w:rPr>
              <w:t>804</w:t>
            </w:r>
            <w:r w:rsidRPr="00EC20A0">
              <w:rPr>
                <w:spacing w:val="-11"/>
                <w:sz w:val="18"/>
              </w:rPr>
              <w:t xml:space="preserve"> </w:t>
            </w:r>
            <w:r w:rsidRPr="00EC20A0">
              <w:rPr>
                <w:sz w:val="18"/>
              </w:rPr>
              <w:t>steps</w:t>
            </w:r>
            <w:r w:rsidRPr="00EC20A0">
              <w:rPr>
                <w:spacing w:val="-9"/>
                <w:sz w:val="18"/>
              </w:rPr>
              <w:t xml:space="preserve"> </w:t>
            </w:r>
            <w:r w:rsidRPr="00EC20A0">
              <w:rPr>
                <w:sz w:val="18"/>
              </w:rPr>
              <w:t>3</w:t>
            </w:r>
            <w:r w:rsidRPr="00EC20A0">
              <w:rPr>
                <w:spacing w:val="-11"/>
                <w:sz w:val="18"/>
              </w:rPr>
              <w:t xml:space="preserve"> </w:t>
            </w:r>
            <w:r w:rsidRPr="00EC20A0">
              <w:rPr>
                <w:sz w:val="18"/>
              </w:rPr>
              <w:t>and</w:t>
            </w:r>
          </w:p>
          <w:p w14:paraId="24D60EE3" w14:textId="77777777" w:rsidR="00245300" w:rsidRPr="00EC20A0" w:rsidRDefault="00F17249">
            <w:pPr>
              <w:pStyle w:val="TableParagraph"/>
              <w:spacing w:before="2"/>
              <w:ind w:left="107"/>
              <w:rPr>
                <w:sz w:val="18"/>
              </w:rPr>
            </w:pPr>
            <w:r w:rsidRPr="00EC20A0">
              <w:rPr>
                <w:spacing w:val="-5"/>
                <w:sz w:val="18"/>
              </w:rPr>
              <w:t>4.</w:t>
            </w:r>
          </w:p>
        </w:tc>
      </w:tr>
    </w:tbl>
    <w:p w14:paraId="24D60EE5" w14:textId="77777777" w:rsidR="00245300" w:rsidRPr="00EC20A0" w:rsidRDefault="00245300">
      <w:pPr>
        <w:pStyle w:val="BodyText"/>
        <w:rPr>
          <w:sz w:val="20"/>
        </w:rPr>
      </w:pPr>
    </w:p>
    <w:p w14:paraId="24D60EE6" w14:textId="77777777" w:rsidR="00245300" w:rsidRPr="00EC20A0" w:rsidRDefault="00245300">
      <w:pPr>
        <w:pStyle w:val="BodyText"/>
        <w:rPr>
          <w:sz w:val="20"/>
        </w:rPr>
      </w:pPr>
    </w:p>
    <w:p w14:paraId="24D60EE7" w14:textId="77777777" w:rsidR="00245300" w:rsidRPr="00EC20A0" w:rsidRDefault="00F17249">
      <w:pPr>
        <w:pStyle w:val="BodyText"/>
        <w:spacing w:before="134"/>
        <w:rPr>
          <w:sz w:val="20"/>
        </w:rPr>
      </w:pPr>
      <w:r w:rsidRPr="00EC20A0">
        <w:rPr>
          <w:noProof/>
        </w:rPr>
        <mc:AlternateContent>
          <mc:Choice Requires="wps">
            <w:drawing>
              <wp:anchor distT="0" distB="0" distL="0" distR="0" simplePos="0" relativeHeight="487640064" behindDoc="1" locked="0" layoutInCell="1" allowOverlap="1" wp14:anchorId="24D62B89" wp14:editId="24D62B8A">
                <wp:simplePos x="0" y="0"/>
                <wp:positionH relativeFrom="page">
                  <wp:posOffset>685800</wp:posOffset>
                </wp:positionH>
                <wp:positionV relativeFrom="paragraph">
                  <wp:posOffset>246404</wp:posOffset>
                </wp:positionV>
                <wp:extent cx="1828800" cy="6985"/>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93D00" id="Graphic 440" o:spid="_x0000_s1026" style="position:absolute;margin-left:54pt;margin-top:19.4pt;width:2in;height:.55pt;z-index:-156764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" path="m1828800,l,,,6857r1828800,l1828800,xe" fillcolor="black" stroked="f">
                <v:path arrowok="t"/>
                <w10:wrap type="topAndBottom" anchorx="page"/>
              </v:shape>
            </w:pict>
          </mc:Fallback>
        </mc:AlternateContent>
      </w:r>
    </w:p>
    <w:p w14:paraId="24D60EE8" w14:textId="77777777" w:rsidR="00245300" w:rsidRPr="00EC20A0" w:rsidRDefault="00F17249">
      <w:pPr>
        <w:spacing w:before="217" w:line="244" w:lineRule="auto"/>
        <w:ind w:left="119" w:right="294"/>
        <w:rPr>
          <w:sz w:val="18"/>
        </w:rPr>
      </w:pPr>
      <w:r w:rsidRPr="00EC20A0">
        <w:rPr>
          <w:position w:val="7"/>
          <w:sz w:val="14"/>
        </w:rPr>
        <w:t>4</w:t>
      </w:r>
      <w:r w:rsidRPr="00EC20A0">
        <w:rPr>
          <w:sz w:val="18"/>
        </w:rPr>
        <w:t xml:space="preserve">A direct loan is a disbursement of funds by the </w:t>
      </w:r>
      <w:r w:rsidRPr="00EC20A0">
        <w:rPr>
          <w:sz w:val="18"/>
        </w:rPr>
        <w:t>U.S. government to a nonfederal borrower under a contract that requires the repayment of such funds with or without interest.</w:t>
      </w:r>
      <w:r w:rsidRPr="00EC20A0">
        <w:rPr>
          <w:spacing w:val="-2"/>
          <w:sz w:val="18"/>
        </w:rPr>
        <w:t xml:space="preserve"> </w:t>
      </w:r>
      <w:r w:rsidRPr="00EC20A0">
        <w:rPr>
          <w:sz w:val="18"/>
        </w:rPr>
        <w:t>The</w:t>
      </w:r>
      <w:r w:rsidRPr="00EC20A0">
        <w:rPr>
          <w:spacing w:val="-3"/>
          <w:sz w:val="18"/>
        </w:rPr>
        <w:t xml:space="preserve"> </w:t>
      </w:r>
      <w:r w:rsidRPr="00EC20A0">
        <w:rPr>
          <w:sz w:val="18"/>
        </w:rPr>
        <w:t>term</w:t>
      </w:r>
      <w:r w:rsidRPr="00EC20A0">
        <w:rPr>
          <w:spacing w:val="-2"/>
          <w:sz w:val="18"/>
        </w:rPr>
        <w:t xml:space="preserve"> </w:t>
      </w:r>
      <w:r w:rsidRPr="00EC20A0">
        <w:rPr>
          <w:sz w:val="18"/>
        </w:rPr>
        <w:t>also</w:t>
      </w:r>
      <w:r w:rsidRPr="00EC20A0">
        <w:rPr>
          <w:spacing w:val="-3"/>
          <w:sz w:val="18"/>
        </w:rPr>
        <w:t xml:space="preserve"> </w:t>
      </w:r>
      <w:r w:rsidRPr="00EC20A0">
        <w:rPr>
          <w:sz w:val="18"/>
        </w:rPr>
        <w:t>includes</w:t>
      </w:r>
      <w:r w:rsidRPr="00EC20A0">
        <w:rPr>
          <w:spacing w:val="-2"/>
          <w:sz w:val="18"/>
        </w:rPr>
        <w:t xml:space="preserve"> </w:t>
      </w:r>
      <w:r w:rsidRPr="00EC20A0">
        <w:rPr>
          <w:sz w:val="18"/>
        </w:rPr>
        <w:t>the</w:t>
      </w:r>
      <w:r w:rsidRPr="00EC20A0">
        <w:rPr>
          <w:spacing w:val="-3"/>
          <w:sz w:val="18"/>
        </w:rPr>
        <w:t xml:space="preserve"> </w:t>
      </w:r>
      <w:r w:rsidRPr="00EC20A0">
        <w:rPr>
          <w:sz w:val="18"/>
        </w:rPr>
        <w:t>purchase</w:t>
      </w:r>
      <w:r w:rsidRPr="00EC20A0">
        <w:rPr>
          <w:spacing w:val="-1"/>
          <w:sz w:val="18"/>
        </w:rPr>
        <w:t xml:space="preserve"> </w:t>
      </w:r>
      <w:r w:rsidRPr="00EC20A0">
        <w:rPr>
          <w:sz w:val="18"/>
        </w:rPr>
        <w:t>of,</w:t>
      </w:r>
      <w:r w:rsidRPr="00EC20A0">
        <w:rPr>
          <w:spacing w:val="-2"/>
          <w:sz w:val="18"/>
        </w:rPr>
        <w:t xml:space="preserve"> </w:t>
      </w:r>
      <w:r w:rsidRPr="00EC20A0">
        <w:rPr>
          <w:sz w:val="18"/>
        </w:rPr>
        <w:t>or</w:t>
      </w:r>
      <w:r w:rsidRPr="00EC20A0">
        <w:rPr>
          <w:spacing w:val="-2"/>
          <w:sz w:val="18"/>
        </w:rPr>
        <w:t xml:space="preserve"> </w:t>
      </w:r>
      <w:r w:rsidRPr="00EC20A0">
        <w:rPr>
          <w:sz w:val="18"/>
        </w:rPr>
        <w:t>participation</w:t>
      </w:r>
      <w:r w:rsidRPr="00EC20A0">
        <w:rPr>
          <w:spacing w:val="-2"/>
          <w:sz w:val="18"/>
        </w:rPr>
        <w:t xml:space="preserve"> </w:t>
      </w:r>
      <w:r w:rsidRPr="00EC20A0">
        <w:rPr>
          <w:sz w:val="18"/>
        </w:rPr>
        <w:t>in,</w:t>
      </w:r>
      <w:r w:rsidRPr="00EC20A0">
        <w:rPr>
          <w:spacing w:val="-2"/>
          <w:sz w:val="18"/>
        </w:rPr>
        <w:t xml:space="preserve"> </w:t>
      </w:r>
      <w:r w:rsidRPr="00EC20A0">
        <w:rPr>
          <w:sz w:val="18"/>
        </w:rPr>
        <w:t>a</w:t>
      </w:r>
      <w:r w:rsidRPr="00EC20A0">
        <w:rPr>
          <w:spacing w:val="-3"/>
          <w:sz w:val="18"/>
        </w:rPr>
        <w:t xml:space="preserve"> </w:t>
      </w:r>
      <w:r w:rsidRPr="00EC20A0">
        <w:rPr>
          <w:sz w:val="18"/>
        </w:rPr>
        <w:t>loan</w:t>
      </w:r>
      <w:r w:rsidRPr="00EC20A0">
        <w:rPr>
          <w:spacing w:val="-2"/>
          <w:sz w:val="18"/>
        </w:rPr>
        <w:t xml:space="preserve"> </w:t>
      </w:r>
      <w:r w:rsidRPr="00EC20A0">
        <w:rPr>
          <w:sz w:val="18"/>
        </w:rPr>
        <w:t>made</w:t>
      </w:r>
      <w:r w:rsidRPr="00EC20A0">
        <w:rPr>
          <w:spacing w:val="-3"/>
          <w:sz w:val="18"/>
        </w:rPr>
        <w:t xml:space="preserve"> </w:t>
      </w:r>
      <w:r w:rsidRPr="00EC20A0">
        <w:rPr>
          <w:sz w:val="18"/>
        </w:rPr>
        <w:t>by</w:t>
      </w:r>
      <w:r w:rsidRPr="00EC20A0">
        <w:rPr>
          <w:spacing w:val="-2"/>
          <w:sz w:val="18"/>
        </w:rPr>
        <w:t xml:space="preserve"> </w:t>
      </w:r>
      <w:r w:rsidRPr="00EC20A0">
        <w:rPr>
          <w:sz w:val="18"/>
        </w:rPr>
        <w:t>another</w:t>
      </w:r>
      <w:r w:rsidRPr="00EC20A0">
        <w:rPr>
          <w:spacing w:val="-2"/>
          <w:sz w:val="18"/>
        </w:rPr>
        <w:t xml:space="preserve"> </w:t>
      </w:r>
      <w:r w:rsidRPr="00EC20A0">
        <w:rPr>
          <w:sz w:val="18"/>
        </w:rPr>
        <w:t>lender.</w:t>
      </w:r>
      <w:r w:rsidRPr="00EC20A0">
        <w:rPr>
          <w:spacing w:val="-1"/>
          <w:sz w:val="18"/>
        </w:rPr>
        <w:t xml:space="preserve"> </w:t>
      </w:r>
      <w:r w:rsidRPr="00EC20A0">
        <w:rPr>
          <w:sz w:val="18"/>
        </w:rPr>
        <w:t>The</w:t>
      </w:r>
      <w:r w:rsidRPr="00EC20A0">
        <w:rPr>
          <w:spacing w:val="-3"/>
          <w:sz w:val="18"/>
        </w:rPr>
        <w:t xml:space="preserve"> </w:t>
      </w:r>
      <w:r w:rsidRPr="00EC20A0">
        <w:rPr>
          <w:sz w:val="18"/>
        </w:rPr>
        <w:t>term</w:t>
      </w:r>
      <w:r w:rsidRPr="00EC20A0">
        <w:rPr>
          <w:spacing w:val="-2"/>
          <w:sz w:val="18"/>
        </w:rPr>
        <w:t xml:space="preserve"> </w:t>
      </w:r>
      <w:r w:rsidRPr="00EC20A0">
        <w:rPr>
          <w:sz w:val="18"/>
        </w:rPr>
        <w:t>does</w:t>
      </w:r>
      <w:r w:rsidRPr="00EC20A0">
        <w:rPr>
          <w:spacing w:val="-2"/>
          <w:sz w:val="18"/>
        </w:rPr>
        <w:t xml:space="preserve"> </w:t>
      </w:r>
      <w:r w:rsidRPr="00EC20A0">
        <w:rPr>
          <w:sz w:val="18"/>
        </w:rPr>
        <w:t>not</w:t>
      </w:r>
      <w:r w:rsidRPr="00EC20A0">
        <w:rPr>
          <w:spacing w:val="-2"/>
          <w:sz w:val="18"/>
        </w:rPr>
        <w:t xml:space="preserve"> </w:t>
      </w:r>
      <w:r w:rsidRPr="00EC20A0">
        <w:rPr>
          <w:sz w:val="18"/>
        </w:rPr>
        <w:t>include</w:t>
      </w:r>
      <w:r w:rsidRPr="00EC20A0">
        <w:rPr>
          <w:spacing w:val="-3"/>
          <w:sz w:val="18"/>
        </w:rPr>
        <w:t xml:space="preserve"> </w:t>
      </w:r>
      <w:r w:rsidRPr="00EC20A0">
        <w:rPr>
          <w:sz w:val="18"/>
        </w:rPr>
        <w:t>the</w:t>
      </w:r>
      <w:r w:rsidRPr="00EC20A0">
        <w:rPr>
          <w:spacing w:val="-3"/>
          <w:sz w:val="18"/>
        </w:rPr>
        <w:t xml:space="preserve"> </w:t>
      </w:r>
      <w:r w:rsidRPr="00EC20A0">
        <w:rPr>
          <w:sz w:val="18"/>
        </w:rPr>
        <w:t>acquisition</w:t>
      </w:r>
      <w:r w:rsidRPr="00EC20A0">
        <w:rPr>
          <w:spacing w:val="-2"/>
          <w:sz w:val="18"/>
        </w:rPr>
        <w:t xml:space="preserve"> </w:t>
      </w:r>
      <w:r w:rsidRPr="00EC20A0">
        <w:rPr>
          <w:sz w:val="18"/>
        </w:rPr>
        <w:t>of</w:t>
      </w:r>
      <w:r w:rsidRPr="00EC20A0">
        <w:rPr>
          <w:spacing w:val="-2"/>
          <w:sz w:val="18"/>
        </w:rPr>
        <w:t xml:space="preserve"> </w:t>
      </w:r>
      <w:r w:rsidRPr="00EC20A0">
        <w:rPr>
          <w:sz w:val="18"/>
        </w:rPr>
        <w:t>a</w:t>
      </w:r>
      <w:r w:rsidRPr="00EC20A0">
        <w:rPr>
          <w:spacing w:val="-3"/>
          <w:sz w:val="18"/>
        </w:rPr>
        <w:t xml:space="preserve"> </w:t>
      </w:r>
      <w:r w:rsidRPr="00EC20A0">
        <w:rPr>
          <w:sz w:val="18"/>
        </w:rPr>
        <w:t>federally</w:t>
      </w:r>
      <w:r w:rsidRPr="00EC20A0">
        <w:rPr>
          <w:spacing w:val="-1"/>
          <w:sz w:val="18"/>
        </w:rPr>
        <w:t xml:space="preserve"> </w:t>
      </w:r>
      <w:r w:rsidRPr="00EC20A0">
        <w:rPr>
          <w:sz w:val="18"/>
        </w:rPr>
        <w:t>guaranteed loan in satisfaction of default claims or the price support loans of the Commodity Credit Corporation. 2 U.S.C. § 661a(1).</w:t>
      </w:r>
    </w:p>
    <w:p w14:paraId="24D60EE9" w14:textId="77777777" w:rsidR="00245300" w:rsidRPr="00EC20A0" w:rsidRDefault="00F17249">
      <w:pPr>
        <w:spacing w:before="122"/>
        <w:ind w:left="120"/>
        <w:rPr>
          <w:sz w:val="18"/>
        </w:rPr>
      </w:pPr>
      <w:r w:rsidRPr="00EC20A0">
        <w:rPr>
          <w:position w:val="7"/>
          <w:sz w:val="14"/>
        </w:rPr>
        <w:t>5</w:t>
      </w:r>
      <w:r w:rsidRPr="00EC20A0">
        <w:rPr>
          <w:sz w:val="18"/>
        </w:rPr>
        <w:t>A</w:t>
      </w:r>
      <w:r w:rsidRPr="00EC20A0">
        <w:rPr>
          <w:spacing w:val="-4"/>
          <w:sz w:val="18"/>
        </w:rPr>
        <w:t xml:space="preserve"> </w:t>
      </w:r>
      <w:r w:rsidRPr="00EC20A0">
        <w:rPr>
          <w:sz w:val="18"/>
        </w:rPr>
        <w:t>direct</w:t>
      </w:r>
      <w:r w:rsidRPr="00EC20A0">
        <w:rPr>
          <w:spacing w:val="-2"/>
          <w:sz w:val="18"/>
        </w:rPr>
        <w:t xml:space="preserve"> </w:t>
      </w:r>
      <w:r w:rsidRPr="00EC20A0">
        <w:rPr>
          <w:sz w:val="18"/>
        </w:rPr>
        <w:t>loan</w:t>
      </w:r>
      <w:r w:rsidRPr="00EC20A0">
        <w:rPr>
          <w:spacing w:val="-3"/>
          <w:sz w:val="18"/>
        </w:rPr>
        <w:t xml:space="preserve"> </w:t>
      </w:r>
      <w:r w:rsidRPr="00EC20A0">
        <w:rPr>
          <w:sz w:val="18"/>
        </w:rPr>
        <w:t>obligation</w:t>
      </w:r>
      <w:r w:rsidRPr="00EC20A0">
        <w:rPr>
          <w:spacing w:val="-3"/>
          <w:sz w:val="18"/>
        </w:rPr>
        <w:t xml:space="preserve"> </w:t>
      </w:r>
      <w:r w:rsidRPr="00EC20A0">
        <w:rPr>
          <w:sz w:val="18"/>
        </w:rPr>
        <w:t>is</w:t>
      </w:r>
      <w:r w:rsidRPr="00EC20A0">
        <w:rPr>
          <w:spacing w:val="-2"/>
          <w:sz w:val="18"/>
        </w:rPr>
        <w:t xml:space="preserve"> </w:t>
      </w:r>
      <w:r w:rsidRPr="00EC20A0">
        <w:rPr>
          <w:sz w:val="18"/>
        </w:rPr>
        <w:t>a</w:t>
      </w:r>
      <w:r w:rsidRPr="00EC20A0">
        <w:rPr>
          <w:spacing w:val="-3"/>
          <w:sz w:val="18"/>
        </w:rPr>
        <w:t xml:space="preserve"> </w:t>
      </w:r>
      <w:r w:rsidRPr="00EC20A0">
        <w:rPr>
          <w:sz w:val="18"/>
        </w:rPr>
        <w:t>binding</w:t>
      </w:r>
      <w:r w:rsidRPr="00EC20A0">
        <w:rPr>
          <w:spacing w:val="-3"/>
          <w:sz w:val="18"/>
        </w:rPr>
        <w:t xml:space="preserve"> </w:t>
      </w:r>
      <w:r w:rsidRPr="00EC20A0">
        <w:rPr>
          <w:sz w:val="18"/>
        </w:rPr>
        <w:t>agreement</w:t>
      </w:r>
      <w:r w:rsidRPr="00EC20A0">
        <w:rPr>
          <w:spacing w:val="-2"/>
          <w:sz w:val="18"/>
        </w:rPr>
        <w:t xml:space="preserve"> </w:t>
      </w:r>
      <w:r w:rsidRPr="00EC20A0">
        <w:rPr>
          <w:sz w:val="18"/>
        </w:rPr>
        <w:t>by</w:t>
      </w:r>
      <w:r w:rsidRPr="00EC20A0">
        <w:rPr>
          <w:spacing w:val="-2"/>
          <w:sz w:val="18"/>
        </w:rPr>
        <w:t xml:space="preserve"> </w:t>
      </w:r>
      <w:r w:rsidRPr="00EC20A0">
        <w:rPr>
          <w:sz w:val="18"/>
        </w:rPr>
        <w:t>a</w:t>
      </w:r>
      <w:r w:rsidRPr="00EC20A0">
        <w:rPr>
          <w:spacing w:val="-3"/>
          <w:sz w:val="18"/>
        </w:rPr>
        <w:t xml:space="preserve"> </w:t>
      </w:r>
      <w:r w:rsidRPr="00EC20A0">
        <w:rPr>
          <w:sz w:val="18"/>
        </w:rPr>
        <w:t>federal</w:t>
      </w:r>
      <w:r w:rsidRPr="00EC20A0">
        <w:rPr>
          <w:spacing w:val="-2"/>
          <w:sz w:val="18"/>
        </w:rPr>
        <w:t xml:space="preserve"> </w:t>
      </w:r>
      <w:r w:rsidRPr="00EC20A0">
        <w:rPr>
          <w:sz w:val="18"/>
        </w:rPr>
        <w:t>entity</w:t>
      </w:r>
      <w:r w:rsidRPr="00EC20A0">
        <w:rPr>
          <w:spacing w:val="-2"/>
          <w:sz w:val="18"/>
        </w:rPr>
        <w:t xml:space="preserve"> </w:t>
      </w:r>
      <w:r w:rsidRPr="00EC20A0">
        <w:rPr>
          <w:sz w:val="18"/>
        </w:rPr>
        <w:t>to</w:t>
      </w:r>
      <w:r w:rsidRPr="00EC20A0">
        <w:rPr>
          <w:spacing w:val="-3"/>
          <w:sz w:val="18"/>
        </w:rPr>
        <w:t xml:space="preserve"> </w:t>
      </w:r>
      <w:r w:rsidRPr="00EC20A0">
        <w:rPr>
          <w:sz w:val="18"/>
        </w:rPr>
        <w:t>make</w:t>
      </w:r>
      <w:r w:rsidRPr="00EC20A0">
        <w:rPr>
          <w:spacing w:val="-2"/>
          <w:sz w:val="18"/>
        </w:rPr>
        <w:t xml:space="preserve"> </w:t>
      </w:r>
      <w:r w:rsidRPr="00EC20A0">
        <w:rPr>
          <w:sz w:val="18"/>
        </w:rPr>
        <w:t>a</w:t>
      </w:r>
      <w:r w:rsidRPr="00EC20A0">
        <w:rPr>
          <w:spacing w:val="-3"/>
          <w:sz w:val="18"/>
        </w:rPr>
        <w:t xml:space="preserve"> </w:t>
      </w:r>
      <w:r w:rsidRPr="00EC20A0">
        <w:rPr>
          <w:sz w:val="18"/>
        </w:rPr>
        <w:t>direct</w:t>
      </w:r>
      <w:r w:rsidRPr="00EC20A0">
        <w:rPr>
          <w:spacing w:val="-2"/>
          <w:sz w:val="18"/>
        </w:rPr>
        <w:t xml:space="preserve"> </w:t>
      </w:r>
      <w:r w:rsidRPr="00EC20A0">
        <w:rPr>
          <w:sz w:val="18"/>
        </w:rPr>
        <w:t>loan</w:t>
      </w:r>
      <w:r w:rsidRPr="00EC20A0">
        <w:rPr>
          <w:spacing w:val="-3"/>
          <w:sz w:val="18"/>
        </w:rPr>
        <w:t xml:space="preserve"> </w:t>
      </w:r>
      <w:r w:rsidRPr="00EC20A0">
        <w:rPr>
          <w:sz w:val="18"/>
        </w:rPr>
        <w:t>when</w:t>
      </w:r>
      <w:r w:rsidRPr="00EC20A0">
        <w:rPr>
          <w:spacing w:val="-3"/>
          <w:sz w:val="18"/>
        </w:rPr>
        <w:t xml:space="preserve"> </w:t>
      </w:r>
      <w:r w:rsidRPr="00EC20A0">
        <w:rPr>
          <w:sz w:val="18"/>
        </w:rPr>
        <w:t>specified</w:t>
      </w:r>
      <w:r w:rsidRPr="00EC20A0">
        <w:rPr>
          <w:spacing w:val="-3"/>
          <w:sz w:val="18"/>
        </w:rPr>
        <w:t xml:space="preserve"> </w:t>
      </w:r>
      <w:r w:rsidRPr="00EC20A0">
        <w:rPr>
          <w:sz w:val="18"/>
        </w:rPr>
        <w:t>conditions</w:t>
      </w:r>
      <w:r w:rsidRPr="00EC20A0">
        <w:rPr>
          <w:spacing w:val="-1"/>
          <w:sz w:val="18"/>
        </w:rPr>
        <w:t xml:space="preserve"> </w:t>
      </w:r>
      <w:r w:rsidRPr="00EC20A0">
        <w:rPr>
          <w:sz w:val="18"/>
        </w:rPr>
        <w:t>are</w:t>
      </w:r>
      <w:r w:rsidRPr="00EC20A0">
        <w:rPr>
          <w:spacing w:val="-3"/>
          <w:sz w:val="18"/>
        </w:rPr>
        <w:t xml:space="preserve"> </w:t>
      </w:r>
      <w:r w:rsidRPr="00EC20A0">
        <w:rPr>
          <w:sz w:val="18"/>
        </w:rPr>
        <w:t>fulfilled</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borrower.</w:t>
      </w:r>
      <w:r w:rsidRPr="00EC20A0">
        <w:rPr>
          <w:spacing w:val="-2"/>
          <w:sz w:val="18"/>
        </w:rPr>
        <w:t xml:space="preserve"> </w:t>
      </w:r>
      <w:r w:rsidRPr="00EC20A0">
        <w:rPr>
          <w:sz w:val="18"/>
        </w:rPr>
        <w:t>2</w:t>
      </w:r>
      <w:r w:rsidRPr="00EC20A0">
        <w:rPr>
          <w:spacing w:val="-3"/>
          <w:sz w:val="18"/>
        </w:rPr>
        <w:t xml:space="preserve"> </w:t>
      </w:r>
      <w:r w:rsidRPr="00EC20A0">
        <w:rPr>
          <w:sz w:val="18"/>
        </w:rPr>
        <w:t>U.S.C.</w:t>
      </w:r>
      <w:r w:rsidRPr="00EC20A0">
        <w:rPr>
          <w:spacing w:val="-2"/>
          <w:sz w:val="18"/>
        </w:rPr>
        <w:t xml:space="preserve"> </w:t>
      </w:r>
      <w:r w:rsidRPr="00EC20A0">
        <w:rPr>
          <w:sz w:val="18"/>
        </w:rPr>
        <w:t xml:space="preserve">§ </w:t>
      </w:r>
      <w:r w:rsidRPr="00EC20A0">
        <w:rPr>
          <w:spacing w:val="-2"/>
          <w:sz w:val="18"/>
        </w:rPr>
        <w:t>661a(2).</w:t>
      </w:r>
    </w:p>
    <w:p w14:paraId="24D60EEA" w14:textId="77777777" w:rsidR="00245300" w:rsidRPr="00EC20A0" w:rsidRDefault="00F17249">
      <w:pPr>
        <w:spacing w:before="133" w:line="244" w:lineRule="auto"/>
        <w:ind w:left="119" w:right="294"/>
        <w:rPr>
          <w:sz w:val="18"/>
        </w:rPr>
      </w:pPr>
      <w:r w:rsidRPr="00EC20A0">
        <w:rPr>
          <w:position w:val="7"/>
          <w:sz w:val="14"/>
        </w:rPr>
        <w:t>6</w:t>
      </w:r>
      <w:r w:rsidRPr="00EC20A0">
        <w:rPr>
          <w:sz w:val="18"/>
        </w:rPr>
        <w:t>Appropriations or other budget authority to cover the cost of budget obligations for direct loan obligations must be enacted in advance of new direct loan obligations made</w:t>
      </w:r>
      <w:r w:rsidRPr="00EC20A0">
        <w:rPr>
          <w:spacing w:val="-3"/>
          <w:sz w:val="18"/>
        </w:rPr>
        <w:t xml:space="preserve"> </w:t>
      </w:r>
      <w:r w:rsidRPr="00EC20A0">
        <w:rPr>
          <w:sz w:val="18"/>
        </w:rPr>
        <w:t>on</w:t>
      </w:r>
      <w:r w:rsidRPr="00EC20A0">
        <w:rPr>
          <w:spacing w:val="-3"/>
          <w:sz w:val="18"/>
        </w:rPr>
        <w:t xml:space="preserve"> </w:t>
      </w:r>
      <w:r w:rsidRPr="00EC20A0">
        <w:rPr>
          <w:sz w:val="18"/>
        </w:rPr>
        <w:t>or</w:t>
      </w:r>
      <w:r w:rsidRPr="00EC20A0">
        <w:rPr>
          <w:spacing w:val="-2"/>
          <w:sz w:val="18"/>
        </w:rPr>
        <w:t xml:space="preserve"> </w:t>
      </w:r>
      <w:r w:rsidRPr="00EC20A0">
        <w:rPr>
          <w:sz w:val="18"/>
        </w:rPr>
        <w:t>after</w:t>
      </w:r>
      <w:r w:rsidRPr="00EC20A0">
        <w:rPr>
          <w:spacing w:val="-2"/>
          <w:sz w:val="18"/>
        </w:rPr>
        <w:t xml:space="preserve"> </w:t>
      </w:r>
      <w:r w:rsidRPr="00EC20A0">
        <w:rPr>
          <w:sz w:val="18"/>
        </w:rPr>
        <w:t>October</w:t>
      </w:r>
      <w:r w:rsidRPr="00EC20A0">
        <w:rPr>
          <w:spacing w:val="-2"/>
          <w:sz w:val="18"/>
        </w:rPr>
        <w:t xml:space="preserve"> </w:t>
      </w:r>
      <w:r w:rsidRPr="00EC20A0">
        <w:rPr>
          <w:sz w:val="18"/>
        </w:rPr>
        <w:t>1,</w:t>
      </w:r>
      <w:r w:rsidRPr="00EC20A0">
        <w:rPr>
          <w:spacing w:val="-2"/>
          <w:sz w:val="18"/>
        </w:rPr>
        <w:t xml:space="preserve"> </w:t>
      </w:r>
      <w:r w:rsidRPr="00EC20A0">
        <w:rPr>
          <w:sz w:val="18"/>
        </w:rPr>
        <w:t>1991.</w:t>
      </w:r>
      <w:r w:rsidRPr="00EC20A0">
        <w:rPr>
          <w:spacing w:val="-2"/>
          <w:sz w:val="18"/>
        </w:rPr>
        <w:t xml:space="preserve"> </w:t>
      </w:r>
      <w:r w:rsidRPr="00EC20A0">
        <w:rPr>
          <w:sz w:val="18"/>
        </w:rPr>
        <w:t>2</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661c(b).</w:t>
      </w:r>
      <w:r w:rsidRPr="00EC20A0">
        <w:rPr>
          <w:spacing w:val="-2"/>
          <w:sz w:val="18"/>
        </w:rPr>
        <w:t xml:space="preserve"> </w:t>
      </w:r>
      <w:r w:rsidRPr="00EC20A0">
        <w:rPr>
          <w:sz w:val="18"/>
        </w:rPr>
        <w:t>For</w:t>
      </w:r>
      <w:r w:rsidRPr="00EC20A0">
        <w:rPr>
          <w:spacing w:val="-2"/>
          <w:sz w:val="18"/>
        </w:rPr>
        <w:t xml:space="preserve"> </w:t>
      </w:r>
      <w:r w:rsidRPr="00EC20A0">
        <w:rPr>
          <w:sz w:val="18"/>
        </w:rPr>
        <w:t>revolving</w:t>
      </w:r>
      <w:r w:rsidRPr="00EC20A0">
        <w:rPr>
          <w:spacing w:val="-3"/>
          <w:sz w:val="18"/>
        </w:rPr>
        <w:t xml:space="preserve"> </w:t>
      </w:r>
      <w:r w:rsidRPr="00EC20A0">
        <w:rPr>
          <w:sz w:val="18"/>
        </w:rPr>
        <w:t>or</w:t>
      </w:r>
      <w:r w:rsidRPr="00EC20A0">
        <w:rPr>
          <w:spacing w:val="-2"/>
          <w:sz w:val="18"/>
        </w:rPr>
        <w:t xml:space="preserve"> </w:t>
      </w:r>
      <w:r w:rsidRPr="00EC20A0">
        <w:rPr>
          <w:sz w:val="18"/>
        </w:rPr>
        <w:t>other</w:t>
      </w:r>
      <w:r w:rsidRPr="00EC20A0">
        <w:rPr>
          <w:spacing w:val="-2"/>
          <w:sz w:val="18"/>
        </w:rPr>
        <w:t xml:space="preserve"> </w:t>
      </w:r>
      <w:r w:rsidRPr="00EC20A0">
        <w:rPr>
          <w:sz w:val="18"/>
        </w:rPr>
        <w:t>funds</w:t>
      </w:r>
      <w:r w:rsidRPr="00EC20A0">
        <w:rPr>
          <w:spacing w:val="-2"/>
          <w:sz w:val="18"/>
        </w:rPr>
        <w:t xml:space="preserve"> </w:t>
      </w:r>
      <w:r w:rsidRPr="00EC20A0">
        <w:rPr>
          <w:sz w:val="18"/>
        </w:rPr>
        <w:t>that</w:t>
      </w:r>
      <w:r w:rsidRPr="00EC20A0">
        <w:rPr>
          <w:spacing w:val="-2"/>
          <w:sz w:val="18"/>
        </w:rPr>
        <w:t xml:space="preserve"> </w:t>
      </w:r>
      <w:r w:rsidRPr="00EC20A0">
        <w:rPr>
          <w:sz w:val="18"/>
        </w:rPr>
        <w:t>otherwise</w:t>
      </w:r>
      <w:r w:rsidRPr="00EC20A0">
        <w:rPr>
          <w:spacing w:val="-3"/>
          <w:sz w:val="18"/>
        </w:rPr>
        <w:t xml:space="preserve"> </w:t>
      </w:r>
      <w:r w:rsidRPr="00EC20A0">
        <w:rPr>
          <w:sz w:val="18"/>
        </w:rPr>
        <w:t>would</w:t>
      </w:r>
      <w:r w:rsidRPr="00EC20A0">
        <w:rPr>
          <w:spacing w:val="-3"/>
          <w:sz w:val="18"/>
        </w:rPr>
        <w:t xml:space="preserve"> </w:t>
      </w:r>
      <w:r w:rsidRPr="00EC20A0">
        <w:rPr>
          <w:sz w:val="18"/>
        </w:rPr>
        <w:t>be</w:t>
      </w:r>
      <w:r w:rsidRPr="00EC20A0">
        <w:rPr>
          <w:spacing w:val="-3"/>
          <w:sz w:val="18"/>
        </w:rPr>
        <w:t xml:space="preserve"> </w:t>
      </w:r>
      <w:r w:rsidRPr="00EC20A0">
        <w:rPr>
          <w:sz w:val="18"/>
        </w:rPr>
        <w:t>available</w:t>
      </w:r>
      <w:r w:rsidRPr="00EC20A0">
        <w:rPr>
          <w:spacing w:val="-3"/>
          <w:sz w:val="18"/>
        </w:rPr>
        <w:t xml:space="preserve"> </w:t>
      </w:r>
      <w:r w:rsidRPr="00EC20A0">
        <w:rPr>
          <w:sz w:val="18"/>
        </w:rPr>
        <w:t>for</w:t>
      </w:r>
      <w:r w:rsidRPr="00EC20A0">
        <w:rPr>
          <w:spacing w:val="-2"/>
          <w:sz w:val="18"/>
        </w:rPr>
        <w:t xml:space="preserve"> </w:t>
      </w:r>
      <w:r w:rsidRPr="00EC20A0">
        <w:rPr>
          <w:sz w:val="18"/>
        </w:rPr>
        <w:t>these</w:t>
      </w:r>
      <w:r w:rsidRPr="00EC20A0">
        <w:rPr>
          <w:spacing w:val="-3"/>
          <w:sz w:val="18"/>
        </w:rPr>
        <w:t xml:space="preserve"> </w:t>
      </w:r>
      <w:r w:rsidRPr="00EC20A0">
        <w:rPr>
          <w:sz w:val="18"/>
        </w:rPr>
        <w:t>budget</w:t>
      </w:r>
      <w:r w:rsidRPr="00EC20A0">
        <w:rPr>
          <w:spacing w:val="-1"/>
          <w:sz w:val="18"/>
        </w:rPr>
        <w:t xml:space="preserve"> </w:t>
      </w:r>
      <w:r w:rsidRPr="00EC20A0">
        <w:rPr>
          <w:sz w:val="18"/>
        </w:rPr>
        <w:t>obligations,</w:t>
      </w:r>
      <w:r w:rsidRPr="00EC20A0">
        <w:rPr>
          <w:spacing w:val="-2"/>
          <w:sz w:val="18"/>
        </w:rPr>
        <w:t xml:space="preserve"> </w:t>
      </w:r>
      <w:r w:rsidRPr="00EC20A0">
        <w:rPr>
          <w:sz w:val="18"/>
        </w:rPr>
        <w:t>the</w:t>
      </w:r>
      <w:r w:rsidRPr="00EC20A0">
        <w:rPr>
          <w:spacing w:val="-2"/>
          <w:sz w:val="18"/>
        </w:rPr>
        <w:t xml:space="preserve"> </w:t>
      </w:r>
      <w:r w:rsidRPr="00EC20A0">
        <w:rPr>
          <w:sz w:val="18"/>
        </w:rPr>
        <w:t>Congress</w:t>
      </w:r>
      <w:r w:rsidRPr="00EC20A0">
        <w:rPr>
          <w:spacing w:val="-2"/>
          <w:sz w:val="18"/>
        </w:rPr>
        <w:t xml:space="preserve"> </w:t>
      </w:r>
      <w:r w:rsidRPr="00EC20A0">
        <w:rPr>
          <w:sz w:val="18"/>
        </w:rPr>
        <w:t>must enact a limit on the use of such funds for these purposes to make them available for use.</w:t>
      </w:r>
    </w:p>
    <w:p w14:paraId="24D60EEB" w14:textId="77777777" w:rsidR="00245300" w:rsidRPr="00EC20A0" w:rsidRDefault="00245300">
      <w:pPr>
        <w:spacing w:line="244" w:lineRule="auto"/>
        <w:rPr>
          <w:sz w:val="18"/>
        </w:rPr>
        <w:sectPr w:rsidR="00245300" w:rsidRPr="00EC20A0">
          <w:headerReference w:type="default" r:id="rId103"/>
          <w:footerReference w:type="default" r:id="rId104"/>
          <w:pgSz w:w="15840" w:h="12240" w:orient="landscape"/>
          <w:pgMar w:top="1440" w:right="1220" w:bottom="940" w:left="960" w:header="721" w:footer="742" w:gutter="0"/>
          <w:pgNumType w:start="1"/>
          <w:cols w:space="720"/>
        </w:sectPr>
      </w:pPr>
    </w:p>
    <w:p w14:paraId="24D60EEC" w14:textId="77777777" w:rsidR="00245300" w:rsidRPr="00EC20A0" w:rsidRDefault="00245300">
      <w:pPr>
        <w:pStyle w:val="BodyText"/>
        <w:spacing w:before="3"/>
        <w:rPr>
          <w:sz w:val="2"/>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245300" w:rsidRPr="00EC20A0" w14:paraId="24D60EF0" w14:textId="77777777">
        <w:trPr>
          <w:trHeight w:val="1574"/>
        </w:trPr>
        <w:tc>
          <w:tcPr>
            <w:tcW w:w="13393" w:type="dxa"/>
            <w:gridSpan w:val="6"/>
          </w:tcPr>
          <w:p w14:paraId="24D60EED" w14:textId="77777777" w:rsidR="00245300" w:rsidRPr="00EC20A0" w:rsidRDefault="00F17249">
            <w:pPr>
              <w:pStyle w:val="TableParagraph"/>
              <w:tabs>
                <w:tab w:val="left" w:pos="9319"/>
              </w:tabs>
              <w:spacing w:before="144"/>
              <w:ind w:right="196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191" w:name="_bookmark83"/>
            <w:bookmarkStart w:id="192" w:name="_bookmark84"/>
            <w:bookmarkStart w:id="193" w:name="_bookmark85"/>
            <w:bookmarkStart w:id="194" w:name="_bookmark86"/>
            <w:bookmarkEnd w:id="191"/>
            <w:bookmarkEnd w:id="192"/>
            <w:bookmarkEnd w:id="193"/>
            <w:bookmarkEnd w:id="194"/>
            <w:r w:rsidRPr="00EC20A0">
              <w:t>Prepared</w:t>
            </w:r>
            <w:r w:rsidRPr="00EC20A0">
              <w:rPr>
                <w:spacing w:val="-11"/>
              </w:rPr>
              <w:t xml:space="preserve"> </w:t>
            </w:r>
            <w:r w:rsidRPr="00EC20A0">
              <w:rPr>
                <w:spacing w:val="-5"/>
              </w:rPr>
              <w:t>by:</w:t>
            </w:r>
          </w:p>
          <w:p w14:paraId="24D60EEE" w14:textId="77777777" w:rsidR="00245300" w:rsidRPr="00EC20A0" w:rsidRDefault="00F17249">
            <w:pPr>
              <w:pStyle w:val="TableParagraph"/>
              <w:spacing w:before="12"/>
              <w:ind w:left="1974" w:right="1965"/>
              <w:jc w:val="center"/>
              <w:rPr>
                <w:b/>
                <w:sz w:val="24"/>
              </w:rPr>
            </w:pPr>
            <w:r w:rsidRPr="00EC20A0">
              <w:rPr>
                <w:noProof/>
              </w:rPr>
              <mc:AlternateContent>
                <mc:Choice Requires="wpg">
                  <w:drawing>
                    <wp:anchor distT="0" distB="0" distL="0" distR="0" simplePos="0" relativeHeight="475296768" behindDoc="1" locked="0" layoutInCell="1" allowOverlap="1" wp14:anchorId="24D62B8B" wp14:editId="24D62B8C">
                      <wp:simplePos x="0" y="0"/>
                      <wp:positionH relativeFrom="column">
                        <wp:posOffset>7052309</wp:posOffset>
                      </wp:positionH>
                      <wp:positionV relativeFrom="paragraph">
                        <wp:posOffset>91882</wp:posOffset>
                      </wp:positionV>
                      <wp:extent cx="1371600" cy="63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42" name="Graphic 442"/>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9F687A" id="Group 441" o:spid="_x0000_s1026" style="position:absolute;margin-left:555.3pt;margin-top:7.25pt;width:108pt;height:.5pt;z-index:-2801971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bfcAIAAPMFAAAOAAAAZHJzL2Uyb0RvYy54bWykVE1v2zAMvQ/YfxB0X520XV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59HwmVDXXlz&#10;SDbf/nYsE/lwZUxsSqS3pBx3JMf9HzmPjbAqcu5C8Q/I2rLg5+en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">
                      <v:shape id="Graphic 442"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" path="m1371600,l,,,6108r1371600,l1371600,xe" fillcolor="black" stroked="f">
                        <v:path arrowok="t"/>
                      </v:shape>
                    </v:group>
                  </w:pict>
                </mc:Fallback>
              </mc:AlternateContent>
            </w:r>
            <w:r w:rsidRPr="00EC20A0">
              <w:rPr>
                <w:noProof/>
              </w:rPr>
              <mc:AlternateContent>
                <mc:Choice Requires="wpg">
                  <w:drawing>
                    <wp:anchor distT="0" distB="0" distL="0" distR="0" simplePos="0" relativeHeight="475297792" behindDoc="1" locked="0" layoutInCell="1" allowOverlap="1" wp14:anchorId="24D62B8D" wp14:editId="24D62B8E">
                      <wp:simplePos x="0" y="0"/>
                      <wp:positionH relativeFrom="column">
                        <wp:posOffset>7052309</wp:posOffset>
                      </wp:positionH>
                      <wp:positionV relativeFrom="paragraph">
                        <wp:posOffset>441640</wp:posOffset>
                      </wp:positionV>
                      <wp:extent cx="1371600" cy="635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44" name="Graphic 444"/>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BD7B73" id="Group 443" o:spid="_x0000_s1026" style="position:absolute;margin-left:555.3pt;margin-top:34.75pt;width:108pt;height:.5pt;z-index:-2801868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EYcAIAAPMFAAAOAAAAZHJzL2Uyb0RvYy54bWykVE1v2zAMvQ/YfxB0X520XV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59HwmVDXXlz&#10;SDbf/nYsE/lwZUxsSqS3pBx3JMf9HzmPjbAqcu5C8Q/I2rLg5+fn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">
                      <v:shape id="Graphic 444"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" path="m1371600,l,,,6108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0EEF" w14:textId="77777777" w:rsidR="00245300" w:rsidRPr="00EC20A0" w:rsidRDefault="00F17249">
            <w:pPr>
              <w:pStyle w:val="TableParagraph"/>
              <w:tabs>
                <w:tab w:val="left" w:pos="9013"/>
              </w:tabs>
              <w:spacing w:before="10"/>
              <w:ind w:right="1720"/>
              <w:jc w:val="center"/>
            </w:pPr>
            <w:r w:rsidRPr="00EC20A0">
              <w:rPr>
                <w:noProof/>
              </w:rPr>
              <mc:AlternateContent>
                <mc:Choice Requires="wpg">
                  <w:drawing>
                    <wp:anchor distT="0" distB="0" distL="0" distR="0" simplePos="0" relativeHeight="475296256" behindDoc="1" locked="0" layoutInCell="1" allowOverlap="1" wp14:anchorId="24D62B8F" wp14:editId="24D62B90">
                      <wp:simplePos x="0" y="0"/>
                      <wp:positionH relativeFrom="column">
                        <wp:posOffset>1274825</wp:posOffset>
                      </wp:positionH>
                      <wp:positionV relativeFrom="paragraph">
                        <wp:posOffset>-91198</wp:posOffset>
                      </wp:positionV>
                      <wp:extent cx="1205865" cy="635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46" name="Graphic 446"/>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55E57E" id="Group 445" o:spid="_x0000_s1026" style="position:absolute;margin-left:100.4pt;margin-top:-7.2pt;width:94.95pt;height:.5pt;z-index:-28020224;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EewZK3QCAADzBQAADgAA&#10;AAAAAAAAAAAAAAAuAgAAZHJzL2Uyb0RvYy54bWxQSwECLQAUAAYACAAAACEALa106eEAAAALAQAA&#10;DwAAAAAAAAAAAAAAAADOBAAAZHJzL2Rvd25yZXYueG1sUEsFBgAAAAAEAAQA8wAAANwFAAAAAA==&#10;">
                      <v:shape id="Graphic 446"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" path="m1205484,l,,,6108r1205484,l1205484,xe" fillcolor="black" stroked="f">
                        <v:path arrowok="t"/>
                      </v:shape>
                    </v:group>
                  </w:pict>
                </mc:Fallback>
              </mc:AlternateContent>
            </w:r>
            <w:r w:rsidRPr="00EC20A0">
              <w:rPr>
                <w:noProof/>
              </w:rPr>
              <mc:AlternateContent>
                <mc:Choice Requires="wpg">
                  <w:drawing>
                    <wp:anchor distT="0" distB="0" distL="0" distR="0" simplePos="0" relativeHeight="475297280" behindDoc="1" locked="0" layoutInCell="1" allowOverlap="1" wp14:anchorId="24D62B91" wp14:editId="24D62B92">
                      <wp:simplePos x="0" y="0"/>
                      <wp:positionH relativeFrom="column">
                        <wp:posOffset>1274825</wp:posOffset>
                      </wp:positionH>
                      <wp:positionV relativeFrom="paragraph">
                        <wp:posOffset>258559</wp:posOffset>
                      </wp:positionV>
                      <wp:extent cx="1205865" cy="6350"/>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48" name="Graphic 448"/>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24263E" id="Group 447" o:spid="_x0000_s1026" style="position:absolute;margin-left:100.4pt;margin-top:20.35pt;width:94.95pt;height:.5pt;z-index:-28019200;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">
                      <v:shape id="Graphic 448"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" path="m1205484,l,,,6108r1205484,l1205484,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0EFA" w14:textId="77777777">
        <w:trPr>
          <w:trHeight w:val="793"/>
        </w:trPr>
        <w:tc>
          <w:tcPr>
            <w:tcW w:w="4644" w:type="dxa"/>
            <w:tcBorders>
              <w:right w:val="single" w:sz="4" w:space="0" w:color="000000"/>
            </w:tcBorders>
          </w:tcPr>
          <w:p w14:paraId="24D60EF1" w14:textId="77777777" w:rsidR="00245300" w:rsidRPr="00EC20A0" w:rsidRDefault="00245300">
            <w:pPr>
              <w:pStyle w:val="TableParagraph"/>
              <w:spacing w:before="143"/>
            </w:pPr>
          </w:p>
          <w:p w14:paraId="24D60EF2"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2250" w:type="dxa"/>
            <w:tcBorders>
              <w:left w:val="single" w:sz="4" w:space="0" w:color="000000"/>
              <w:right w:val="single" w:sz="4" w:space="0" w:color="000000"/>
            </w:tcBorders>
          </w:tcPr>
          <w:p w14:paraId="24D60EF3" w14:textId="77777777" w:rsidR="00245300" w:rsidRPr="00EC20A0" w:rsidRDefault="00245300">
            <w:pPr>
              <w:pStyle w:val="TableParagraph"/>
              <w:spacing w:before="143"/>
            </w:pPr>
          </w:p>
          <w:p w14:paraId="24D60EF4" w14:textId="77777777" w:rsidR="00245300" w:rsidRPr="00EC20A0" w:rsidRDefault="00F17249">
            <w:pPr>
              <w:pStyle w:val="TableParagraph"/>
              <w:ind w:left="107"/>
            </w:pPr>
            <w:r w:rsidRPr="00EC20A0">
              <w:rPr>
                <w:spacing w:val="-2"/>
              </w:rPr>
              <w:t>Objective</w:t>
            </w:r>
          </w:p>
        </w:tc>
        <w:tc>
          <w:tcPr>
            <w:tcW w:w="1620" w:type="dxa"/>
            <w:tcBorders>
              <w:left w:val="single" w:sz="4" w:space="0" w:color="000000"/>
              <w:right w:val="single" w:sz="4" w:space="0" w:color="000000"/>
            </w:tcBorders>
          </w:tcPr>
          <w:p w14:paraId="24D60EF5" w14:textId="77777777" w:rsidR="00245300" w:rsidRPr="00EC20A0" w:rsidRDefault="00F17249">
            <w:pPr>
              <w:pStyle w:val="TableParagraph"/>
              <w:spacing w:before="143"/>
              <w:ind w:left="107" w:right="215"/>
            </w:pPr>
            <w:r w:rsidRPr="00EC20A0">
              <w:rPr>
                <w:spacing w:val="-2"/>
              </w:rPr>
              <w:t>Control Activities</w:t>
            </w:r>
          </w:p>
        </w:tc>
        <w:tc>
          <w:tcPr>
            <w:tcW w:w="1402" w:type="dxa"/>
            <w:tcBorders>
              <w:left w:val="single" w:sz="4" w:space="0" w:color="000000"/>
              <w:right w:val="single" w:sz="4" w:space="0" w:color="000000"/>
            </w:tcBorders>
          </w:tcPr>
          <w:p w14:paraId="24D60EF6" w14:textId="77777777" w:rsidR="00245300" w:rsidRPr="00EC20A0" w:rsidRDefault="00245300">
            <w:pPr>
              <w:pStyle w:val="TableParagraph"/>
              <w:spacing w:before="143"/>
            </w:pPr>
          </w:p>
          <w:p w14:paraId="24D60EF7"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498" w:type="dxa"/>
            <w:tcBorders>
              <w:left w:val="single" w:sz="4" w:space="0" w:color="000000"/>
              <w:right w:val="single" w:sz="4" w:space="0" w:color="000000"/>
            </w:tcBorders>
          </w:tcPr>
          <w:p w14:paraId="24D60EF8" w14:textId="77777777" w:rsidR="00245300" w:rsidRPr="00EC20A0" w:rsidRDefault="00F17249">
            <w:pPr>
              <w:pStyle w:val="TableParagraph"/>
              <w:spacing w:before="143"/>
              <w:ind w:left="107"/>
            </w:pPr>
            <w:r w:rsidRPr="00EC20A0">
              <w:rPr>
                <w:spacing w:val="-2"/>
              </w:rPr>
              <w:t>Effective controls?</w:t>
            </w:r>
          </w:p>
        </w:tc>
        <w:tc>
          <w:tcPr>
            <w:tcW w:w="1979" w:type="dxa"/>
            <w:tcBorders>
              <w:left w:val="single" w:sz="4" w:space="0" w:color="000000"/>
            </w:tcBorders>
          </w:tcPr>
          <w:p w14:paraId="24D60EF9" w14:textId="77777777" w:rsidR="00245300" w:rsidRPr="00EC20A0" w:rsidRDefault="00F17249">
            <w:pPr>
              <w:pStyle w:val="TableParagraph"/>
              <w:spacing w:before="143"/>
              <w:ind w:left="107" w:right="140"/>
            </w:pPr>
            <w:r w:rsidRPr="00EC20A0">
              <w:t xml:space="preserve">Instances of </w:t>
            </w:r>
            <w:r w:rsidRPr="00EC20A0">
              <w:rPr>
                <w:spacing w:val="-2"/>
              </w:rPr>
              <w:t>noncompliance?</w:t>
            </w:r>
          </w:p>
        </w:tc>
      </w:tr>
      <w:tr w:rsidR="00245300" w:rsidRPr="00EC20A0" w14:paraId="24D60F03" w14:textId="77777777">
        <w:trPr>
          <w:trHeight w:val="2026"/>
        </w:trPr>
        <w:tc>
          <w:tcPr>
            <w:tcW w:w="4644" w:type="dxa"/>
            <w:tcBorders>
              <w:bottom w:val="single" w:sz="4" w:space="0" w:color="000000"/>
              <w:right w:val="single" w:sz="4" w:space="0" w:color="000000"/>
            </w:tcBorders>
          </w:tcPr>
          <w:p w14:paraId="24D60EFB" w14:textId="77777777" w:rsidR="00245300" w:rsidRPr="00EC20A0" w:rsidRDefault="00F17249">
            <w:pPr>
              <w:pStyle w:val="TableParagraph"/>
              <w:spacing w:before="145"/>
              <w:ind w:left="97"/>
              <w:rPr>
                <w:sz w:val="18"/>
              </w:rPr>
            </w:pPr>
            <w:r w:rsidRPr="00EC20A0">
              <w:rPr>
                <w:smallCaps/>
                <w:sz w:val="18"/>
              </w:rPr>
              <w:t>804.02.</w:t>
            </w:r>
            <w:r w:rsidRPr="00EC20A0">
              <w:rPr>
                <w:smallCaps/>
                <w:spacing w:val="-4"/>
                <w:sz w:val="18"/>
              </w:rPr>
              <w:t xml:space="preserve"> </w:t>
            </w:r>
            <w:r w:rsidRPr="00EC20A0">
              <w:rPr>
                <w:smallCaps/>
                <w:spacing w:val="14"/>
                <w:sz w:val="18"/>
              </w:rPr>
              <w:t xml:space="preserve"> </w:t>
            </w:r>
            <w:r w:rsidRPr="00EC20A0">
              <w:rPr>
                <w:smallCaps/>
                <w:sz w:val="18"/>
              </w:rPr>
              <w:t>Modifications</w:t>
            </w:r>
            <w:r w:rsidRPr="00EC20A0">
              <w:rPr>
                <w:smallCaps/>
                <w:spacing w:val="-5"/>
                <w:sz w:val="18"/>
              </w:rPr>
              <w:t xml:space="preserve"> </w:t>
            </w:r>
            <w:r w:rsidRPr="00EC20A0">
              <w:rPr>
                <w:smallCaps/>
                <w:sz w:val="18"/>
              </w:rPr>
              <w:t>of</w:t>
            </w:r>
            <w:r w:rsidRPr="00EC20A0">
              <w:rPr>
                <w:smallCaps/>
                <w:spacing w:val="-4"/>
                <w:sz w:val="18"/>
              </w:rPr>
              <w:t xml:space="preserve"> </w:t>
            </w:r>
            <w:r w:rsidRPr="00EC20A0">
              <w:rPr>
                <w:smallCaps/>
                <w:sz w:val="18"/>
              </w:rPr>
              <w:t>Outstanding</w:t>
            </w:r>
            <w:r w:rsidRPr="00EC20A0">
              <w:rPr>
                <w:smallCaps/>
                <w:spacing w:val="-4"/>
                <w:sz w:val="18"/>
              </w:rPr>
              <w:t xml:space="preserve"> </w:t>
            </w:r>
            <w:r w:rsidRPr="00EC20A0">
              <w:rPr>
                <w:smallCaps/>
                <w:sz w:val="18"/>
              </w:rPr>
              <w:t>Direct</w:t>
            </w:r>
            <w:r w:rsidRPr="00EC20A0">
              <w:rPr>
                <w:smallCaps/>
                <w:spacing w:val="-2"/>
                <w:sz w:val="18"/>
              </w:rPr>
              <w:t xml:space="preserve"> Loans.</w:t>
            </w:r>
          </w:p>
          <w:p w14:paraId="24D60EFC" w14:textId="77777777" w:rsidR="00245300" w:rsidRPr="00EC20A0" w:rsidRDefault="00F17249">
            <w:pPr>
              <w:pStyle w:val="TableParagraph"/>
              <w:spacing w:before="144"/>
              <w:ind w:left="97"/>
              <w:rPr>
                <w:sz w:val="18"/>
              </w:rPr>
            </w:pPr>
            <w:r w:rsidRPr="00EC20A0">
              <w:rPr>
                <w:sz w:val="18"/>
              </w:rPr>
              <w:t>Provision</w:t>
            </w:r>
            <w:r w:rsidRPr="00EC20A0">
              <w:rPr>
                <w:spacing w:val="-8"/>
                <w:sz w:val="18"/>
              </w:rPr>
              <w:t xml:space="preserve"> </w:t>
            </w:r>
            <w:r w:rsidRPr="00EC20A0">
              <w:rPr>
                <w:sz w:val="18"/>
              </w:rPr>
              <w:t>Type:</w:t>
            </w:r>
            <w:r w:rsidRPr="00EC20A0">
              <w:rPr>
                <w:spacing w:val="-6"/>
                <w:sz w:val="18"/>
              </w:rPr>
              <w:t xml:space="preserve"> </w:t>
            </w:r>
            <w:r w:rsidRPr="00EC20A0">
              <w:rPr>
                <w:sz w:val="18"/>
              </w:rPr>
              <w:t>Quantitative-</w:t>
            </w:r>
            <w:r w:rsidRPr="00EC20A0">
              <w:rPr>
                <w:spacing w:val="-2"/>
                <w:sz w:val="18"/>
              </w:rPr>
              <w:t>based.</w:t>
            </w:r>
          </w:p>
          <w:p w14:paraId="24D60EFD" w14:textId="77777777" w:rsidR="00245300" w:rsidRPr="00EC20A0" w:rsidRDefault="00F17249">
            <w:pPr>
              <w:pStyle w:val="TableParagraph"/>
              <w:spacing w:before="142"/>
              <w:ind w:left="97" w:right="137"/>
              <w:rPr>
                <w:sz w:val="18"/>
              </w:rPr>
            </w:pPr>
            <w:r w:rsidRPr="00EC20A0">
              <w:rPr>
                <w:sz w:val="18"/>
              </w:rPr>
              <w:t>A</w:t>
            </w:r>
            <w:r w:rsidRPr="00EC20A0">
              <w:rPr>
                <w:spacing w:val="-4"/>
                <w:sz w:val="18"/>
              </w:rPr>
              <w:t xml:space="preserve"> </w:t>
            </w:r>
            <w:r w:rsidRPr="00EC20A0">
              <w:rPr>
                <w:sz w:val="18"/>
              </w:rPr>
              <w:t>direct</w:t>
            </w:r>
            <w:r w:rsidRPr="00EC20A0">
              <w:rPr>
                <w:spacing w:val="-4"/>
                <w:sz w:val="18"/>
              </w:rPr>
              <w:t xml:space="preserve"> </w:t>
            </w:r>
            <w:r w:rsidRPr="00EC20A0">
              <w:rPr>
                <w:sz w:val="18"/>
              </w:rPr>
              <w:t>loan</w:t>
            </w:r>
            <w:r w:rsidRPr="00EC20A0">
              <w:rPr>
                <w:spacing w:val="-5"/>
                <w:sz w:val="18"/>
              </w:rPr>
              <w:t xml:space="preserve"> </w:t>
            </w:r>
            <w:r w:rsidRPr="00EC20A0">
              <w:rPr>
                <w:sz w:val="18"/>
              </w:rPr>
              <w:t>obligation</w:t>
            </w:r>
            <w:r w:rsidRPr="00EC20A0">
              <w:rPr>
                <w:spacing w:val="-5"/>
                <w:sz w:val="18"/>
              </w:rPr>
              <w:t xml:space="preserve"> </w:t>
            </w:r>
            <w:r w:rsidRPr="00EC20A0">
              <w:rPr>
                <w:sz w:val="18"/>
              </w:rPr>
              <w:t>or</w:t>
            </w:r>
            <w:r w:rsidRPr="00EC20A0">
              <w:rPr>
                <w:spacing w:val="-4"/>
                <w:sz w:val="18"/>
              </w:rPr>
              <w:t xml:space="preserve"> </w:t>
            </w:r>
            <w:r w:rsidRPr="00EC20A0">
              <w:rPr>
                <w:sz w:val="18"/>
              </w:rPr>
              <w:t>a</w:t>
            </w:r>
            <w:r w:rsidRPr="00EC20A0">
              <w:rPr>
                <w:spacing w:val="-5"/>
                <w:sz w:val="18"/>
              </w:rPr>
              <w:t xml:space="preserve"> </w:t>
            </w:r>
            <w:r w:rsidRPr="00EC20A0">
              <w:rPr>
                <w:sz w:val="18"/>
              </w:rPr>
              <w:t>direct</w:t>
            </w:r>
            <w:r w:rsidRPr="00EC20A0">
              <w:rPr>
                <w:spacing w:val="-4"/>
                <w:sz w:val="18"/>
              </w:rPr>
              <w:t xml:space="preserve"> </w:t>
            </w:r>
            <w:r w:rsidRPr="00EC20A0">
              <w:rPr>
                <w:sz w:val="18"/>
              </w:rPr>
              <w:t>loan,</w:t>
            </w:r>
            <w:r w:rsidRPr="00EC20A0">
              <w:rPr>
                <w:spacing w:val="-4"/>
                <w:sz w:val="18"/>
              </w:rPr>
              <w:t xml:space="preserve"> </w:t>
            </w:r>
            <w:r w:rsidRPr="00EC20A0">
              <w:rPr>
                <w:sz w:val="18"/>
              </w:rPr>
              <w:t>either</w:t>
            </w:r>
            <w:r w:rsidRPr="00EC20A0">
              <w:rPr>
                <w:spacing w:val="-4"/>
                <w:sz w:val="18"/>
              </w:rPr>
              <w:t xml:space="preserve"> </w:t>
            </w:r>
            <w:r w:rsidRPr="00EC20A0">
              <w:rPr>
                <w:sz w:val="18"/>
              </w:rPr>
              <w:t>of</w:t>
            </w:r>
            <w:r w:rsidRPr="00EC20A0">
              <w:rPr>
                <w:spacing w:val="-4"/>
                <w:sz w:val="18"/>
              </w:rPr>
              <w:t xml:space="preserve"> </w:t>
            </w:r>
            <w:r w:rsidRPr="00EC20A0">
              <w:rPr>
                <w:sz w:val="18"/>
              </w:rPr>
              <w:t>which is currently outstanding, shall not be modified in a manner</w:t>
            </w:r>
            <w:r w:rsidRPr="00EC20A0">
              <w:rPr>
                <w:spacing w:val="-3"/>
                <w:sz w:val="18"/>
              </w:rPr>
              <w:t xml:space="preserve"> </w:t>
            </w:r>
            <w:r w:rsidRPr="00EC20A0">
              <w:rPr>
                <w:sz w:val="18"/>
              </w:rPr>
              <w:t>that</w:t>
            </w:r>
            <w:r w:rsidRPr="00EC20A0">
              <w:rPr>
                <w:spacing w:val="-3"/>
                <w:sz w:val="18"/>
              </w:rPr>
              <w:t xml:space="preserve"> </w:t>
            </w:r>
            <w:r w:rsidRPr="00EC20A0">
              <w:rPr>
                <w:sz w:val="18"/>
              </w:rPr>
              <w:t>increases</w:t>
            </w:r>
            <w:r w:rsidRPr="00EC20A0">
              <w:rPr>
                <w:spacing w:val="-3"/>
                <w:sz w:val="18"/>
              </w:rPr>
              <w:t xml:space="preserve"> </w:t>
            </w:r>
            <w:r w:rsidRPr="00EC20A0">
              <w:rPr>
                <w:sz w:val="18"/>
              </w:rPr>
              <w:t>its</w:t>
            </w:r>
            <w:r w:rsidRPr="00EC20A0">
              <w:rPr>
                <w:spacing w:val="-3"/>
                <w:sz w:val="18"/>
              </w:rPr>
              <w:t xml:space="preserve"> </w:t>
            </w:r>
            <w:r w:rsidRPr="00EC20A0">
              <w:rPr>
                <w:sz w:val="18"/>
              </w:rPr>
              <w:t>cost</w:t>
            </w:r>
            <w:r w:rsidRPr="00EC20A0">
              <w:rPr>
                <w:spacing w:val="-3"/>
                <w:sz w:val="18"/>
              </w:rPr>
              <w:t xml:space="preserve"> </w:t>
            </w:r>
            <w:r w:rsidRPr="00EC20A0">
              <w:rPr>
                <w:sz w:val="18"/>
              </w:rPr>
              <w:t>unless</w:t>
            </w:r>
            <w:r w:rsidRPr="00EC20A0">
              <w:rPr>
                <w:spacing w:val="-3"/>
                <w:sz w:val="18"/>
              </w:rPr>
              <w:t xml:space="preserve"> </w:t>
            </w:r>
            <w:r w:rsidRPr="00EC20A0">
              <w:rPr>
                <w:sz w:val="18"/>
              </w:rPr>
              <w:t>budget</w:t>
            </w:r>
            <w:r w:rsidRPr="00EC20A0">
              <w:rPr>
                <w:spacing w:val="-3"/>
                <w:sz w:val="18"/>
              </w:rPr>
              <w:t xml:space="preserve"> </w:t>
            </w:r>
            <w:r w:rsidRPr="00EC20A0">
              <w:rPr>
                <w:sz w:val="18"/>
              </w:rPr>
              <w:t>authority for the additional cost is available.</w:t>
            </w:r>
            <w:hyperlink w:anchor="_bookmark83" w:history="1">
              <w:r w:rsidRPr="00EC20A0">
                <w:rPr>
                  <w:position w:val="6"/>
                  <w:sz w:val="12"/>
                </w:rPr>
                <w:t>10</w:t>
              </w:r>
            </w:hyperlink>
            <w:r w:rsidRPr="00EC20A0">
              <w:rPr>
                <w:position w:val="6"/>
                <w:sz w:val="12"/>
              </w:rPr>
              <w:t>,</w:t>
            </w:r>
            <w:r w:rsidRPr="00EC20A0">
              <w:rPr>
                <w:spacing w:val="-19"/>
                <w:position w:val="6"/>
                <w:sz w:val="12"/>
              </w:rPr>
              <w:t xml:space="preserve"> </w:t>
            </w:r>
            <w:hyperlink w:anchor="_bookmark84" w:history="1">
              <w:r w:rsidRPr="00EC20A0">
                <w:rPr>
                  <w:position w:val="6"/>
                  <w:sz w:val="12"/>
                </w:rPr>
                <w:t>11</w:t>
              </w:r>
            </w:hyperlink>
            <w:r w:rsidRPr="00EC20A0">
              <w:rPr>
                <w:position w:val="6"/>
                <w:sz w:val="12"/>
              </w:rPr>
              <w:t>,</w:t>
            </w:r>
            <w:hyperlink w:anchor="_bookmark85" w:history="1">
              <w:r w:rsidRPr="00EC20A0">
                <w:rPr>
                  <w:position w:val="6"/>
                  <w:sz w:val="12"/>
                </w:rPr>
                <w:t>12</w:t>
              </w:r>
            </w:hyperlink>
            <w:r w:rsidRPr="00EC20A0">
              <w:rPr>
                <w:spacing w:val="36"/>
                <w:position w:val="6"/>
                <w:sz w:val="12"/>
              </w:rPr>
              <w:t xml:space="preserve"> </w:t>
            </w:r>
            <w:r w:rsidRPr="00EC20A0">
              <w:rPr>
                <w:sz w:val="18"/>
              </w:rPr>
              <w:t xml:space="preserve">2 U.S.C. § </w:t>
            </w:r>
            <w:r w:rsidRPr="00EC20A0">
              <w:rPr>
                <w:spacing w:val="-2"/>
                <w:sz w:val="18"/>
              </w:rPr>
              <w:t>661c(e).</w:t>
            </w:r>
          </w:p>
        </w:tc>
        <w:tc>
          <w:tcPr>
            <w:tcW w:w="2250" w:type="dxa"/>
            <w:tcBorders>
              <w:left w:val="single" w:sz="4" w:space="0" w:color="000000"/>
              <w:bottom w:val="single" w:sz="4" w:space="0" w:color="000000"/>
              <w:right w:val="single" w:sz="4" w:space="0" w:color="000000"/>
            </w:tcBorders>
          </w:tcPr>
          <w:p w14:paraId="24D60EFE" w14:textId="77777777" w:rsidR="00245300" w:rsidRPr="00EC20A0" w:rsidRDefault="00F17249">
            <w:pPr>
              <w:pStyle w:val="TableParagraph"/>
              <w:spacing w:before="143"/>
              <w:ind w:left="107" w:right="151"/>
              <w:rPr>
                <w:sz w:val="18"/>
              </w:rPr>
            </w:pPr>
            <w:r w:rsidRPr="00EC20A0">
              <w:rPr>
                <w:sz w:val="18"/>
              </w:rPr>
              <w:t xml:space="preserve">Modifications made to outstanding direct loan obligations or outstanding direct loans do not exceed the </w:t>
            </w:r>
            <w:r w:rsidRPr="00EC20A0">
              <w:rPr>
                <w:sz w:val="18"/>
              </w:rPr>
              <w:t>available budget authority.</w:t>
            </w:r>
            <w:r w:rsidRPr="00EC20A0">
              <w:rPr>
                <w:spacing w:val="-15"/>
                <w:sz w:val="18"/>
              </w:rPr>
              <w:t xml:space="preserve"> </w:t>
            </w:r>
            <w:r w:rsidRPr="00EC20A0">
              <w:rPr>
                <w:sz w:val="18"/>
              </w:rPr>
              <w:t>(See</w:t>
            </w:r>
            <w:r w:rsidRPr="00EC20A0">
              <w:rPr>
                <w:spacing w:val="-12"/>
                <w:sz w:val="18"/>
              </w:rPr>
              <w:t xml:space="preserve"> </w:t>
            </w:r>
            <w:r w:rsidRPr="00EC20A0">
              <w:rPr>
                <w:sz w:val="18"/>
              </w:rPr>
              <w:t>footnotes 9 through 11 below.)</w:t>
            </w:r>
          </w:p>
        </w:tc>
        <w:tc>
          <w:tcPr>
            <w:tcW w:w="1620" w:type="dxa"/>
            <w:tcBorders>
              <w:left w:val="single" w:sz="4" w:space="0" w:color="000000"/>
              <w:bottom w:val="single" w:sz="4" w:space="0" w:color="000000"/>
              <w:right w:val="single" w:sz="4" w:space="0" w:color="000000"/>
            </w:tcBorders>
          </w:tcPr>
          <w:p w14:paraId="24D60EFF" w14:textId="77777777" w:rsidR="00245300" w:rsidRPr="00EC20A0" w:rsidRDefault="00F17249">
            <w:pPr>
              <w:pStyle w:val="TableParagraph"/>
              <w:spacing w:before="143"/>
              <w:ind w:left="107" w:right="195"/>
              <w:rPr>
                <w:sz w:val="12"/>
              </w:rPr>
            </w:pPr>
            <w:r w:rsidRPr="00EC20A0">
              <w:rPr>
                <w:sz w:val="18"/>
              </w:rPr>
              <w:t xml:space="preserve">Consider pre- </w:t>
            </w:r>
            <w:r w:rsidRPr="00EC20A0">
              <w:rPr>
                <w:spacing w:val="-2"/>
                <w:sz w:val="18"/>
              </w:rPr>
              <w:t xml:space="preserve">testing </w:t>
            </w:r>
            <w:r w:rsidRPr="00EC20A0">
              <w:rPr>
                <w:sz w:val="18"/>
              </w:rPr>
              <w:t>discussions</w:t>
            </w:r>
            <w:r w:rsidRPr="00EC20A0">
              <w:rPr>
                <w:spacing w:val="-13"/>
                <w:sz w:val="18"/>
              </w:rPr>
              <w:t xml:space="preserve"> </w:t>
            </w:r>
            <w:r w:rsidRPr="00EC20A0">
              <w:rPr>
                <w:sz w:val="18"/>
              </w:rPr>
              <w:t xml:space="preserve">with </w:t>
            </w:r>
            <w:r w:rsidRPr="00EC20A0">
              <w:rPr>
                <w:spacing w:val="-2"/>
                <w:sz w:val="18"/>
              </w:rPr>
              <w:t>OGC.</w:t>
            </w:r>
            <w:hyperlink w:anchor="_bookmark86" w:history="1">
              <w:r w:rsidRPr="00EC20A0">
                <w:rPr>
                  <w:spacing w:val="-2"/>
                  <w:position w:val="6"/>
                  <w:sz w:val="12"/>
                </w:rPr>
                <w:t>13</w:t>
              </w:r>
            </w:hyperlink>
          </w:p>
        </w:tc>
        <w:tc>
          <w:tcPr>
            <w:tcW w:w="1402" w:type="dxa"/>
            <w:tcBorders>
              <w:left w:val="single" w:sz="4" w:space="0" w:color="000000"/>
              <w:bottom w:val="single" w:sz="4" w:space="0" w:color="000000"/>
              <w:right w:val="single" w:sz="4" w:space="0" w:color="000000"/>
            </w:tcBorders>
          </w:tcPr>
          <w:p w14:paraId="24D60F00" w14:textId="77777777" w:rsidR="00245300" w:rsidRPr="00EC20A0" w:rsidRDefault="00245300">
            <w:pPr>
              <w:pStyle w:val="TableParagraph"/>
              <w:rPr>
                <w:sz w:val="18"/>
              </w:rPr>
            </w:pPr>
          </w:p>
        </w:tc>
        <w:tc>
          <w:tcPr>
            <w:tcW w:w="1498" w:type="dxa"/>
            <w:tcBorders>
              <w:left w:val="single" w:sz="4" w:space="0" w:color="000000"/>
              <w:bottom w:val="single" w:sz="4" w:space="0" w:color="000000"/>
              <w:right w:val="single" w:sz="4" w:space="0" w:color="000000"/>
            </w:tcBorders>
          </w:tcPr>
          <w:p w14:paraId="24D60F01" w14:textId="77777777" w:rsidR="00245300" w:rsidRPr="00EC20A0" w:rsidRDefault="00245300">
            <w:pPr>
              <w:pStyle w:val="TableParagraph"/>
              <w:rPr>
                <w:sz w:val="18"/>
              </w:rPr>
            </w:pPr>
          </w:p>
        </w:tc>
        <w:tc>
          <w:tcPr>
            <w:tcW w:w="1979" w:type="dxa"/>
            <w:tcBorders>
              <w:left w:val="single" w:sz="4" w:space="0" w:color="000000"/>
              <w:bottom w:val="single" w:sz="4" w:space="0" w:color="000000"/>
            </w:tcBorders>
          </w:tcPr>
          <w:p w14:paraId="24D60F02" w14:textId="77777777" w:rsidR="00245300" w:rsidRPr="00EC20A0" w:rsidRDefault="00F17249">
            <w:pPr>
              <w:pStyle w:val="TableParagraph"/>
              <w:spacing w:before="143"/>
              <w:ind w:left="107" w:right="414"/>
              <w:rPr>
                <w:sz w:val="18"/>
              </w:rPr>
            </w:pPr>
            <w:r w:rsidRPr="00EC20A0">
              <w:rPr>
                <w:sz w:val="18"/>
              </w:rPr>
              <w:t>See Compliance Audit</w:t>
            </w:r>
            <w:r w:rsidRPr="00EC20A0">
              <w:rPr>
                <w:spacing w:val="-13"/>
                <w:sz w:val="18"/>
              </w:rPr>
              <w:t xml:space="preserve"> </w:t>
            </w:r>
            <w:r w:rsidRPr="00EC20A0">
              <w:rPr>
                <w:sz w:val="18"/>
              </w:rPr>
              <w:t>Procedures, FAM 804 step 3.</w:t>
            </w:r>
          </w:p>
        </w:tc>
      </w:tr>
    </w:tbl>
    <w:p w14:paraId="24D60F04" w14:textId="77777777" w:rsidR="00245300" w:rsidRPr="00EC20A0" w:rsidRDefault="00245300">
      <w:pPr>
        <w:pStyle w:val="BodyText"/>
        <w:rPr>
          <w:sz w:val="20"/>
        </w:rPr>
      </w:pPr>
    </w:p>
    <w:p w14:paraId="24D60F05" w14:textId="77777777" w:rsidR="00245300" w:rsidRPr="00EC20A0" w:rsidRDefault="00F17249">
      <w:pPr>
        <w:pStyle w:val="BodyText"/>
        <w:spacing w:before="150"/>
        <w:rPr>
          <w:sz w:val="20"/>
        </w:rPr>
      </w:pPr>
      <w:r w:rsidRPr="00EC20A0">
        <w:rPr>
          <w:noProof/>
        </w:rPr>
        <mc:AlternateContent>
          <mc:Choice Requires="wps">
            <w:drawing>
              <wp:anchor distT="0" distB="0" distL="0" distR="0" simplePos="0" relativeHeight="487642624" behindDoc="1" locked="0" layoutInCell="1" allowOverlap="1" wp14:anchorId="24D62B93" wp14:editId="24D62B94">
                <wp:simplePos x="0" y="0"/>
                <wp:positionH relativeFrom="page">
                  <wp:posOffset>685800</wp:posOffset>
                </wp:positionH>
                <wp:positionV relativeFrom="paragraph">
                  <wp:posOffset>256680</wp:posOffset>
                </wp:positionV>
                <wp:extent cx="1828800" cy="6985"/>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400CBD" id="Graphic 449" o:spid="_x0000_s1026" style="position:absolute;margin-left:54pt;margin-top:20.2pt;width:2in;height:.55pt;z-index:-156738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" path="m1828800,l,,,6858r1828800,l1828800,xe" fillcolor="black" stroked="f">
                <v:path arrowok="t"/>
                <w10:wrap type="topAndBottom" anchorx="page"/>
              </v:shape>
            </w:pict>
          </mc:Fallback>
        </mc:AlternateContent>
      </w:r>
    </w:p>
    <w:p w14:paraId="24D60F06" w14:textId="77777777" w:rsidR="00245300" w:rsidRPr="00EC20A0" w:rsidRDefault="00245300">
      <w:pPr>
        <w:pStyle w:val="BodyText"/>
        <w:spacing w:before="10"/>
        <w:rPr>
          <w:sz w:val="18"/>
        </w:rPr>
      </w:pPr>
    </w:p>
    <w:p w14:paraId="24D60F07" w14:textId="77777777" w:rsidR="00245300" w:rsidRPr="00EC20A0" w:rsidRDefault="00F17249">
      <w:pPr>
        <w:spacing w:line="244" w:lineRule="auto"/>
        <w:ind w:left="119" w:right="294"/>
        <w:rPr>
          <w:sz w:val="18"/>
        </w:rPr>
      </w:pPr>
      <w:r w:rsidRPr="00EC20A0">
        <w:rPr>
          <w:position w:val="7"/>
          <w:sz w:val="14"/>
        </w:rPr>
        <w:t>7</w:t>
      </w:r>
      <w:r w:rsidRPr="00EC20A0">
        <w:rPr>
          <w:sz w:val="18"/>
        </w:rPr>
        <w:t xml:space="preserve">Costs are defined as </w:t>
      </w:r>
      <w:r w:rsidRPr="00EC20A0">
        <w:rPr>
          <w:sz w:val="18"/>
        </w:rPr>
        <w:t>the estimated long-term cost to the U.S. government of a direct loan or a related loan modification, calculated on a net present value basis, excluding</w:t>
      </w:r>
      <w:r w:rsidRPr="00EC20A0">
        <w:rPr>
          <w:spacing w:val="-3"/>
          <w:sz w:val="18"/>
        </w:rPr>
        <w:t xml:space="preserve"> </w:t>
      </w:r>
      <w:r w:rsidRPr="00EC20A0">
        <w:rPr>
          <w:sz w:val="18"/>
        </w:rPr>
        <w:t>administrative</w:t>
      </w:r>
      <w:r w:rsidRPr="00EC20A0">
        <w:rPr>
          <w:spacing w:val="-3"/>
          <w:sz w:val="18"/>
        </w:rPr>
        <w:t xml:space="preserve"> </w:t>
      </w:r>
      <w:r w:rsidRPr="00EC20A0">
        <w:rPr>
          <w:sz w:val="18"/>
        </w:rPr>
        <w:t>costs</w:t>
      </w:r>
      <w:r w:rsidRPr="00EC20A0">
        <w:rPr>
          <w:spacing w:val="-1"/>
          <w:sz w:val="18"/>
        </w:rPr>
        <w:t xml:space="preserve"> </w:t>
      </w:r>
      <w:r w:rsidRPr="00EC20A0">
        <w:rPr>
          <w:sz w:val="18"/>
        </w:rPr>
        <w:t>and</w:t>
      </w:r>
      <w:r w:rsidRPr="00EC20A0">
        <w:rPr>
          <w:spacing w:val="-3"/>
          <w:sz w:val="18"/>
        </w:rPr>
        <w:t xml:space="preserve"> </w:t>
      </w:r>
      <w:r w:rsidRPr="00EC20A0">
        <w:rPr>
          <w:sz w:val="18"/>
        </w:rPr>
        <w:t>any</w:t>
      </w:r>
      <w:r w:rsidRPr="00EC20A0">
        <w:rPr>
          <w:spacing w:val="-2"/>
          <w:sz w:val="18"/>
        </w:rPr>
        <w:t xml:space="preserve"> </w:t>
      </w:r>
      <w:r w:rsidRPr="00EC20A0">
        <w:rPr>
          <w:sz w:val="18"/>
        </w:rPr>
        <w:t>incidental</w:t>
      </w:r>
      <w:r w:rsidRPr="00EC20A0">
        <w:rPr>
          <w:spacing w:val="-2"/>
          <w:sz w:val="18"/>
        </w:rPr>
        <w:t xml:space="preserve"> </w:t>
      </w:r>
      <w:r w:rsidRPr="00EC20A0">
        <w:rPr>
          <w:sz w:val="18"/>
        </w:rPr>
        <w:t>effects</w:t>
      </w:r>
      <w:r w:rsidRPr="00EC20A0">
        <w:rPr>
          <w:spacing w:val="-2"/>
          <w:sz w:val="18"/>
        </w:rPr>
        <w:t xml:space="preserve"> </w:t>
      </w:r>
      <w:r w:rsidRPr="00EC20A0">
        <w:rPr>
          <w:sz w:val="18"/>
        </w:rPr>
        <w:t>on</w:t>
      </w:r>
      <w:r w:rsidRPr="00EC20A0">
        <w:rPr>
          <w:spacing w:val="-1"/>
          <w:sz w:val="18"/>
        </w:rPr>
        <w:t xml:space="preserve"> </w:t>
      </w:r>
      <w:r w:rsidRPr="00EC20A0">
        <w:rPr>
          <w:sz w:val="18"/>
        </w:rPr>
        <w:t>governmental</w:t>
      </w:r>
      <w:r w:rsidRPr="00EC20A0">
        <w:rPr>
          <w:spacing w:val="-2"/>
          <w:sz w:val="18"/>
        </w:rPr>
        <w:t xml:space="preserve"> </w:t>
      </w:r>
      <w:r w:rsidRPr="00EC20A0">
        <w:rPr>
          <w:sz w:val="18"/>
        </w:rPr>
        <w:t>receipts</w:t>
      </w:r>
      <w:r w:rsidRPr="00EC20A0">
        <w:rPr>
          <w:spacing w:val="-2"/>
          <w:sz w:val="18"/>
        </w:rPr>
        <w:t xml:space="preserve"> </w:t>
      </w:r>
      <w:r w:rsidRPr="00EC20A0">
        <w:rPr>
          <w:sz w:val="18"/>
        </w:rPr>
        <w:t>or</w:t>
      </w:r>
      <w:r w:rsidRPr="00EC20A0">
        <w:rPr>
          <w:spacing w:val="-2"/>
          <w:sz w:val="18"/>
        </w:rPr>
        <w:t xml:space="preserve"> </w:t>
      </w:r>
      <w:r w:rsidRPr="00EC20A0">
        <w:rPr>
          <w:sz w:val="18"/>
        </w:rPr>
        <w:t>outlays.</w:t>
      </w:r>
      <w:r w:rsidRPr="00EC20A0">
        <w:rPr>
          <w:spacing w:val="-2"/>
          <w:sz w:val="18"/>
        </w:rPr>
        <w:t xml:space="preserve"> </w:t>
      </w:r>
      <w:r w:rsidRPr="00EC20A0">
        <w:rPr>
          <w:sz w:val="18"/>
        </w:rPr>
        <w:t>These</w:t>
      </w:r>
      <w:r w:rsidRPr="00EC20A0">
        <w:rPr>
          <w:spacing w:val="-3"/>
          <w:sz w:val="18"/>
        </w:rPr>
        <w:t xml:space="preserve"> </w:t>
      </w:r>
      <w:r w:rsidRPr="00EC20A0">
        <w:rPr>
          <w:sz w:val="18"/>
        </w:rPr>
        <w:t>calculations</w:t>
      </w:r>
      <w:r w:rsidRPr="00EC20A0">
        <w:rPr>
          <w:spacing w:val="-2"/>
          <w:sz w:val="18"/>
        </w:rPr>
        <w:t xml:space="preserve"> </w:t>
      </w:r>
      <w:r w:rsidRPr="00EC20A0">
        <w:rPr>
          <w:sz w:val="18"/>
        </w:rPr>
        <w:t>are</w:t>
      </w:r>
      <w:r w:rsidRPr="00EC20A0">
        <w:rPr>
          <w:spacing w:val="-1"/>
          <w:sz w:val="18"/>
        </w:rPr>
        <w:t xml:space="preserve"> </w:t>
      </w:r>
      <w:r w:rsidRPr="00EC20A0">
        <w:rPr>
          <w:sz w:val="18"/>
        </w:rPr>
        <w:t>described</w:t>
      </w:r>
      <w:r w:rsidRPr="00EC20A0">
        <w:rPr>
          <w:spacing w:val="-3"/>
          <w:sz w:val="18"/>
        </w:rPr>
        <w:t xml:space="preserve"> </w:t>
      </w:r>
      <w:r w:rsidRPr="00EC20A0">
        <w:rPr>
          <w:sz w:val="18"/>
        </w:rPr>
        <w:t>in</w:t>
      </w:r>
      <w:r w:rsidRPr="00EC20A0">
        <w:rPr>
          <w:spacing w:val="-3"/>
          <w:sz w:val="18"/>
        </w:rPr>
        <w:t xml:space="preserve"> </w:t>
      </w:r>
      <w:r w:rsidRPr="00EC20A0">
        <w:rPr>
          <w:sz w:val="18"/>
        </w:rPr>
        <w:t>further</w:t>
      </w:r>
      <w:r w:rsidRPr="00EC20A0">
        <w:rPr>
          <w:spacing w:val="-2"/>
          <w:sz w:val="18"/>
        </w:rPr>
        <w:t xml:space="preserve"> </w:t>
      </w:r>
      <w:r w:rsidRPr="00EC20A0">
        <w:rPr>
          <w:sz w:val="18"/>
        </w:rPr>
        <w:t>detail</w:t>
      </w:r>
      <w:r w:rsidRPr="00EC20A0">
        <w:rPr>
          <w:spacing w:val="-2"/>
          <w:sz w:val="18"/>
        </w:rPr>
        <w:t xml:space="preserve"> </w:t>
      </w:r>
      <w:r w:rsidRPr="00EC20A0">
        <w:rPr>
          <w:sz w:val="18"/>
        </w:rPr>
        <w:t>under</w:t>
      </w:r>
      <w:r w:rsidRPr="00EC20A0">
        <w:rPr>
          <w:spacing w:val="-1"/>
          <w:sz w:val="18"/>
        </w:rPr>
        <w:t xml:space="preserve"> </w:t>
      </w:r>
      <w:r w:rsidRPr="00EC20A0">
        <w:rPr>
          <w:sz w:val="18"/>
        </w:rPr>
        <w:t>the</w:t>
      </w:r>
      <w:r w:rsidRPr="00EC20A0">
        <w:rPr>
          <w:spacing w:val="-3"/>
          <w:sz w:val="18"/>
        </w:rPr>
        <w:t xml:space="preserve"> </w:t>
      </w:r>
      <w:r w:rsidRPr="00EC20A0">
        <w:rPr>
          <w:sz w:val="18"/>
        </w:rPr>
        <w:t>valuation control objective for obligations in FAM 395 F, Budget Control Objectives. 2 U.S.C. § 661a(5)(A).</w:t>
      </w:r>
    </w:p>
    <w:p w14:paraId="24D60F08" w14:textId="77777777" w:rsidR="00245300" w:rsidRPr="00EC20A0" w:rsidRDefault="00F17249">
      <w:pPr>
        <w:spacing w:before="122" w:line="249" w:lineRule="auto"/>
        <w:ind w:left="119" w:right="294"/>
        <w:rPr>
          <w:sz w:val="18"/>
        </w:rPr>
      </w:pPr>
      <w:r w:rsidRPr="00EC20A0">
        <w:rPr>
          <w:position w:val="7"/>
          <w:sz w:val="14"/>
        </w:rPr>
        <w:t>8</w:t>
      </w:r>
      <w:r w:rsidRPr="00EC20A0">
        <w:rPr>
          <w:sz w:val="18"/>
        </w:rPr>
        <w:t>There</w:t>
      </w:r>
      <w:r w:rsidRPr="00EC20A0">
        <w:rPr>
          <w:spacing w:val="-3"/>
          <w:sz w:val="18"/>
        </w:rPr>
        <w:t xml:space="preserve"> </w:t>
      </w:r>
      <w:r w:rsidRPr="00EC20A0">
        <w:rPr>
          <w:sz w:val="18"/>
        </w:rPr>
        <w:t>is</w:t>
      </w:r>
      <w:r w:rsidRPr="00EC20A0">
        <w:rPr>
          <w:spacing w:val="-2"/>
          <w:sz w:val="18"/>
        </w:rPr>
        <w:t xml:space="preserve"> </w:t>
      </w:r>
      <w:r w:rsidRPr="00EC20A0">
        <w:rPr>
          <w:sz w:val="18"/>
        </w:rPr>
        <w:t>an</w:t>
      </w:r>
      <w:r w:rsidRPr="00EC20A0">
        <w:rPr>
          <w:spacing w:val="-3"/>
          <w:sz w:val="18"/>
        </w:rPr>
        <w:t xml:space="preserve"> </w:t>
      </w:r>
      <w:r w:rsidRPr="00EC20A0">
        <w:rPr>
          <w:sz w:val="18"/>
        </w:rPr>
        <w:t>exemption</w:t>
      </w:r>
      <w:r w:rsidRPr="00EC20A0">
        <w:rPr>
          <w:spacing w:val="-3"/>
          <w:sz w:val="18"/>
        </w:rPr>
        <w:t xml:space="preserve"> </w:t>
      </w:r>
      <w:r w:rsidRPr="00EC20A0">
        <w:rPr>
          <w:sz w:val="18"/>
        </w:rPr>
        <w:t>from</w:t>
      </w:r>
      <w:r w:rsidRPr="00EC20A0">
        <w:rPr>
          <w:spacing w:val="-2"/>
          <w:sz w:val="18"/>
        </w:rPr>
        <w:t xml:space="preserve"> </w:t>
      </w:r>
      <w:r w:rsidRPr="00EC20A0">
        <w:rPr>
          <w:sz w:val="18"/>
        </w:rPr>
        <w:t>the</w:t>
      </w:r>
      <w:r w:rsidRPr="00EC20A0">
        <w:rPr>
          <w:spacing w:val="-3"/>
          <w:sz w:val="18"/>
        </w:rPr>
        <w:t xml:space="preserve"> </w:t>
      </w:r>
      <w:r w:rsidRPr="00EC20A0">
        <w:rPr>
          <w:sz w:val="18"/>
        </w:rPr>
        <w:t>requirement</w:t>
      </w:r>
      <w:r w:rsidRPr="00EC20A0">
        <w:rPr>
          <w:spacing w:val="-1"/>
          <w:sz w:val="18"/>
        </w:rPr>
        <w:t xml:space="preserve"> </w:t>
      </w:r>
      <w:r w:rsidRPr="00EC20A0">
        <w:rPr>
          <w:sz w:val="18"/>
        </w:rPr>
        <w:t>regarding</w:t>
      </w:r>
      <w:r w:rsidRPr="00EC20A0">
        <w:rPr>
          <w:spacing w:val="-1"/>
          <w:sz w:val="18"/>
        </w:rPr>
        <w:t xml:space="preserve"> </w:t>
      </w:r>
      <w:r w:rsidRPr="00EC20A0">
        <w:rPr>
          <w:sz w:val="18"/>
        </w:rPr>
        <w:t>advance</w:t>
      </w:r>
      <w:r w:rsidRPr="00EC20A0">
        <w:rPr>
          <w:spacing w:val="-3"/>
          <w:sz w:val="18"/>
        </w:rPr>
        <w:t xml:space="preserve"> </w:t>
      </w:r>
      <w:r w:rsidRPr="00EC20A0">
        <w:rPr>
          <w:sz w:val="18"/>
        </w:rPr>
        <w:t>budget</w:t>
      </w:r>
      <w:r w:rsidRPr="00EC20A0">
        <w:rPr>
          <w:spacing w:val="-2"/>
          <w:sz w:val="18"/>
        </w:rPr>
        <w:t xml:space="preserve"> </w:t>
      </w:r>
      <w:r w:rsidRPr="00EC20A0">
        <w:rPr>
          <w:sz w:val="18"/>
        </w:rPr>
        <w:t>authority</w:t>
      </w:r>
      <w:r w:rsidRPr="00EC20A0">
        <w:rPr>
          <w:spacing w:val="-2"/>
          <w:sz w:val="18"/>
        </w:rPr>
        <w:t xml:space="preserve"> </w:t>
      </w:r>
      <w:r w:rsidRPr="00EC20A0">
        <w:rPr>
          <w:sz w:val="18"/>
        </w:rPr>
        <w:t>for</w:t>
      </w:r>
      <w:r w:rsidRPr="00EC20A0">
        <w:rPr>
          <w:spacing w:val="-2"/>
          <w:sz w:val="18"/>
        </w:rPr>
        <w:t xml:space="preserve"> </w:t>
      </w:r>
      <w:r w:rsidRPr="00EC20A0">
        <w:rPr>
          <w:sz w:val="18"/>
        </w:rPr>
        <w:t>entitlements</w:t>
      </w:r>
      <w:r w:rsidRPr="00EC20A0">
        <w:rPr>
          <w:spacing w:val="-2"/>
          <w:sz w:val="18"/>
        </w:rPr>
        <w:t xml:space="preserve"> </w:t>
      </w:r>
      <w:r w:rsidRPr="00EC20A0">
        <w:rPr>
          <w:sz w:val="18"/>
        </w:rPr>
        <w:t>(i.e.,</w:t>
      </w:r>
      <w:r w:rsidRPr="00EC20A0">
        <w:rPr>
          <w:spacing w:val="-2"/>
          <w:sz w:val="18"/>
        </w:rPr>
        <w:t xml:space="preserve"> </w:t>
      </w:r>
      <w:r w:rsidRPr="00EC20A0">
        <w:rPr>
          <w:sz w:val="18"/>
        </w:rPr>
        <w:t>mandatory</w:t>
      </w:r>
      <w:r w:rsidRPr="00EC20A0">
        <w:rPr>
          <w:spacing w:val="-2"/>
          <w:sz w:val="18"/>
        </w:rPr>
        <w:t xml:space="preserve"> </w:t>
      </w:r>
      <w:r w:rsidRPr="00EC20A0">
        <w:rPr>
          <w:sz w:val="18"/>
        </w:rPr>
        <w:t>programs)</w:t>
      </w:r>
      <w:r w:rsidRPr="00EC20A0">
        <w:rPr>
          <w:spacing w:val="-2"/>
          <w:sz w:val="18"/>
        </w:rPr>
        <w:t xml:space="preserve"> </w:t>
      </w:r>
      <w:r w:rsidRPr="00EC20A0">
        <w:rPr>
          <w:sz w:val="18"/>
        </w:rPr>
        <w:t>and</w:t>
      </w:r>
      <w:r w:rsidRPr="00EC20A0">
        <w:rPr>
          <w:spacing w:val="-3"/>
          <w:sz w:val="18"/>
        </w:rPr>
        <w:t xml:space="preserve"> </w:t>
      </w:r>
      <w:r w:rsidRPr="00EC20A0">
        <w:rPr>
          <w:sz w:val="18"/>
        </w:rPr>
        <w:t>credit</w:t>
      </w:r>
      <w:r w:rsidRPr="00EC20A0">
        <w:rPr>
          <w:spacing w:val="-2"/>
          <w:sz w:val="18"/>
        </w:rPr>
        <w:t xml:space="preserve"> </w:t>
      </w:r>
      <w:r w:rsidRPr="00EC20A0">
        <w:rPr>
          <w:sz w:val="18"/>
        </w:rPr>
        <w:t>programs</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Commodity Credit Corporation existing on the date of enactment of FCRA (Nov. 5, 1990). 2 U.S.C. § 661c(c).</w:t>
      </w:r>
    </w:p>
    <w:p w14:paraId="24D60F09" w14:textId="77777777" w:rsidR="00245300" w:rsidRPr="00EC20A0" w:rsidRDefault="00F17249">
      <w:pPr>
        <w:spacing w:before="116" w:line="242" w:lineRule="auto"/>
        <w:ind w:left="119" w:right="265"/>
        <w:rPr>
          <w:sz w:val="18"/>
        </w:rPr>
      </w:pPr>
      <w:r w:rsidRPr="00EC20A0">
        <w:rPr>
          <w:position w:val="7"/>
          <w:sz w:val="14"/>
        </w:rPr>
        <w:t>9</w:t>
      </w:r>
      <w:r w:rsidRPr="00EC20A0">
        <w:rPr>
          <w:sz w:val="18"/>
        </w:rPr>
        <w:t xml:space="preserve">The auditor should determine the results of the evaluation and testing of budget controls and testing of the Statement of Budgetary Resources. These controls relate to the execution of budget authority and usually are the same controls that are used to comply with the </w:t>
      </w:r>
      <w:proofErr w:type="spellStart"/>
      <w:r w:rsidRPr="00EC20A0">
        <w:rPr>
          <w:sz w:val="18"/>
        </w:rPr>
        <w:t>Antideficiency</w:t>
      </w:r>
      <w:proofErr w:type="spellEnd"/>
      <w:r w:rsidRPr="00EC20A0">
        <w:rPr>
          <w:sz w:val="18"/>
        </w:rPr>
        <w:t xml:space="preserve"> Act and FCRA. Accordingly, additional consideration of controls that achieve the compliance objective generally is not necessary if the auditor has assessed whether the entity achieves all of the budget control</w:t>
      </w:r>
      <w:r w:rsidRPr="00EC20A0">
        <w:rPr>
          <w:spacing w:val="-2"/>
          <w:sz w:val="18"/>
        </w:rPr>
        <w:t xml:space="preserve"> </w:t>
      </w:r>
      <w:r w:rsidRPr="00EC20A0">
        <w:rPr>
          <w:sz w:val="18"/>
        </w:rPr>
        <w:t>objectives</w:t>
      </w:r>
      <w:r w:rsidRPr="00EC20A0">
        <w:rPr>
          <w:spacing w:val="-2"/>
          <w:sz w:val="18"/>
        </w:rPr>
        <w:t xml:space="preserve"> </w:t>
      </w:r>
      <w:r w:rsidRPr="00EC20A0">
        <w:rPr>
          <w:sz w:val="18"/>
        </w:rPr>
        <w:t>listed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395</w:t>
      </w:r>
      <w:r w:rsidRPr="00EC20A0">
        <w:rPr>
          <w:spacing w:val="-3"/>
          <w:sz w:val="18"/>
        </w:rPr>
        <w:t xml:space="preserve"> </w:t>
      </w:r>
      <w:r w:rsidRPr="00EC20A0">
        <w:rPr>
          <w:sz w:val="18"/>
        </w:rPr>
        <w:t>F,</w:t>
      </w:r>
      <w:r w:rsidRPr="00EC20A0">
        <w:rPr>
          <w:spacing w:val="-2"/>
          <w:sz w:val="18"/>
        </w:rPr>
        <w:t xml:space="preserve"> </w:t>
      </w:r>
      <w:r w:rsidRPr="00EC20A0">
        <w:rPr>
          <w:sz w:val="18"/>
        </w:rPr>
        <w:t>Budget</w:t>
      </w:r>
      <w:r w:rsidRPr="00EC20A0">
        <w:rPr>
          <w:spacing w:val="-1"/>
          <w:sz w:val="18"/>
        </w:rPr>
        <w:t xml:space="preserve"> </w:t>
      </w:r>
      <w:r w:rsidRPr="00EC20A0">
        <w:rPr>
          <w:sz w:val="18"/>
        </w:rPr>
        <w:t>Control</w:t>
      </w:r>
      <w:r w:rsidRPr="00EC20A0">
        <w:rPr>
          <w:spacing w:val="-2"/>
          <w:sz w:val="18"/>
        </w:rPr>
        <w:t xml:space="preserve"> </w:t>
      </w:r>
      <w:r w:rsidRPr="00EC20A0">
        <w:rPr>
          <w:sz w:val="18"/>
        </w:rPr>
        <w:t>Objective,</w:t>
      </w:r>
      <w:r w:rsidRPr="00EC20A0">
        <w:rPr>
          <w:spacing w:val="-2"/>
          <w:sz w:val="18"/>
        </w:rPr>
        <w:t xml:space="preserve"> </w:t>
      </w:r>
      <w:r w:rsidRPr="00EC20A0">
        <w:rPr>
          <w:sz w:val="18"/>
        </w:rPr>
        <w:t>including</w:t>
      </w:r>
      <w:r w:rsidRPr="00EC20A0">
        <w:rPr>
          <w:spacing w:val="-1"/>
          <w:sz w:val="18"/>
        </w:rPr>
        <w:t xml:space="preserve"> </w:t>
      </w:r>
      <w:r w:rsidRPr="00EC20A0">
        <w:rPr>
          <w:sz w:val="18"/>
        </w:rPr>
        <w:t>the</w:t>
      </w:r>
      <w:r w:rsidRPr="00EC20A0">
        <w:rPr>
          <w:spacing w:val="-3"/>
          <w:sz w:val="18"/>
        </w:rPr>
        <w:t xml:space="preserve"> </w:t>
      </w:r>
      <w:r w:rsidRPr="00EC20A0">
        <w:rPr>
          <w:sz w:val="18"/>
        </w:rPr>
        <w:t>supplemental</w:t>
      </w:r>
      <w:r w:rsidRPr="00EC20A0">
        <w:rPr>
          <w:spacing w:val="-2"/>
          <w:sz w:val="18"/>
        </w:rPr>
        <w:t xml:space="preserve"> </w:t>
      </w:r>
      <w:r w:rsidRPr="00EC20A0">
        <w:rPr>
          <w:sz w:val="18"/>
        </w:rPr>
        <w:t>control</w:t>
      </w:r>
      <w:r w:rsidRPr="00EC20A0">
        <w:rPr>
          <w:spacing w:val="-2"/>
          <w:sz w:val="18"/>
        </w:rPr>
        <w:t xml:space="preserve"> </w:t>
      </w:r>
      <w:r w:rsidRPr="00EC20A0">
        <w:rPr>
          <w:sz w:val="18"/>
        </w:rPr>
        <w:t>objectives</w:t>
      </w:r>
      <w:r w:rsidRPr="00EC20A0">
        <w:rPr>
          <w:spacing w:val="-2"/>
          <w:sz w:val="18"/>
        </w:rPr>
        <w:t xml:space="preserve"> </w:t>
      </w:r>
      <w:r w:rsidRPr="00EC20A0">
        <w:rPr>
          <w:sz w:val="18"/>
        </w:rPr>
        <w:t>for</w:t>
      </w:r>
      <w:r w:rsidRPr="00EC20A0">
        <w:rPr>
          <w:spacing w:val="-2"/>
          <w:sz w:val="18"/>
        </w:rPr>
        <w:t xml:space="preserve"> </w:t>
      </w:r>
      <w:r w:rsidRPr="00EC20A0">
        <w:rPr>
          <w:sz w:val="18"/>
        </w:rPr>
        <w:t>FCRA.</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should</w:t>
      </w:r>
      <w:r w:rsidRPr="00EC20A0">
        <w:rPr>
          <w:spacing w:val="-3"/>
          <w:sz w:val="18"/>
        </w:rPr>
        <w:t xml:space="preserve"> </w:t>
      </w:r>
      <w:r w:rsidRPr="00EC20A0">
        <w:rPr>
          <w:sz w:val="18"/>
        </w:rPr>
        <w:t>refer</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budget</w:t>
      </w:r>
      <w:r w:rsidRPr="00EC20A0">
        <w:rPr>
          <w:spacing w:val="-2"/>
          <w:sz w:val="18"/>
        </w:rPr>
        <w:t xml:space="preserve"> </w:t>
      </w:r>
      <w:r w:rsidRPr="00EC20A0">
        <w:rPr>
          <w:sz w:val="18"/>
        </w:rPr>
        <w:t>control evaluation and testing and perform any additional procedures considered necessary to conclude on whether compliance controls are effective.</w:t>
      </w:r>
    </w:p>
    <w:p w14:paraId="24D60F0A" w14:textId="77777777" w:rsidR="00245300" w:rsidRPr="00EC20A0" w:rsidRDefault="00F17249">
      <w:pPr>
        <w:spacing w:before="124" w:line="244" w:lineRule="auto"/>
        <w:ind w:left="119" w:right="405"/>
        <w:jc w:val="both"/>
        <w:rPr>
          <w:sz w:val="18"/>
        </w:rPr>
      </w:pPr>
      <w:r w:rsidRPr="00EC20A0">
        <w:rPr>
          <w:position w:val="7"/>
          <w:sz w:val="14"/>
        </w:rPr>
        <w:t>10</w:t>
      </w:r>
      <w:r w:rsidRPr="00EC20A0">
        <w:rPr>
          <w:sz w:val="18"/>
        </w:rPr>
        <w:t>Appropriations</w:t>
      </w:r>
      <w:r w:rsidRPr="00EC20A0">
        <w:rPr>
          <w:spacing w:val="-1"/>
          <w:sz w:val="18"/>
        </w:rPr>
        <w:t xml:space="preserve"> </w:t>
      </w:r>
      <w:r w:rsidRPr="00EC20A0">
        <w:rPr>
          <w:sz w:val="18"/>
        </w:rPr>
        <w:t>or</w:t>
      </w:r>
      <w:r w:rsidRPr="00EC20A0">
        <w:rPr>
          <w:spacing w:val="-2"/>
          <w:sz w:val="18"/>
        </w:rPr>
        <w:t xml:space="preserve"> </w:t>
      </w:r>
      <w:r w:rsidRPr="00EC20A0">
        <w:rPr>
          <w:sz w:val="18"/>
        </w:rPr>
        <w:t>other</w:t>
      </w:r>
      <w:r w:rsidRPr="00EC20A0">
        <w:rPr>
          <w:spacing w:val="-2"/>
          <w:sz w:val="18"/>
        </w:rPr>
        <w:t xml:space="preserve"> </w:t>
      </w:r>
      <w:r w:rsidRPr="00EC20A0">
        <w:rPr>
          <w:sz w:val="18"/>
        </w:rPr>
        <w:t>budget</w:t>
      </w:r>
      <w:r w:rsidRPr="00EC20A0">
        <w:rPr>
          <w:spacing w:val="-2"/>
          <w:sz w:val="18"/>
        </w:rPr>
        <w:t xml:space="preserve"> </w:t>
      </w:r>
      <w:r w:rsidRPr="00EC20A0">
        <w:rPr>
          <w:sz w:val="18"/>
        </w:rPr>
        <w:t>authority</w:t>
      </w:r>
      <w:r w:rsidRPr="00EC20A0">
        <w:rPr>
          <w:spacing w:val="-2"/>
          <w:sz w:val="18"/>
        </w:rPr>
        <w:t xml:space="preserve"> </w:t>
      </w:r>
      <w:r w:rsidRPr="00EC20A0">
        <w:rPr>
          <w:sz w:val="18"/>
        </w:rPr>
        <w:t>to</w:t>
      </w:r>
      <w:r w:rsidRPr="00EC20A0">
        <w:rPr>
          <w:spacing w:val="-3"/>
          <w:sz w:val="18"/>
        </w:rPr>
        <w:t xml:space="preserve"> </w:t>
      </w:r>
      <w:r w:rsidRPr="00EC20A0">
        <w:rPr>
          <w:sz w:val="18"/>
        </w:rPr>
        <w:t>cover</w:t>
      </w:r>
      <w:r w:rsidRPr="00EC20A0">
        <w:rPr>
          <w:spacing w:val="-2"/>
          <w:sz w:val="18"/>
        </w:rPr>
        <w:t xml:space="preserve"> </w:t>
      </w:r>
      <w:r w:rsidRPr="00EC20A0">
        <w:rPr>
          <w:sz w:val="18"/>
        </w:rPr>
        <w:t>the</w:t>
      </w:r>
      <w:r w:rsidRPr="00EC20A0">
        <w:rPr>
          <w:spacing w:val="-3"/>
          <w:sz w:val="18"/>
        </w:rPr>
        <w:t xml:space="preserve"> </w:t>
      </w:r>
      <w:r w:rsidRPr="00EC20A0">
        <w:rPr>
          <w:sz w:val="18"/>
        </w:rPr>
        <w:t>cost</w:t>
      </w:r>
      <w:r w:rsidRPr="00EC20A0">
        <w:rPr>
          <w:spacing w:val="-2"/>
          <w:sz w:val="18"/>
        </w:rPr>
        <w:t xml:space="preserve"> </w:t>
      </w:r>
      <w:r w:rsidRPr="00EC20A0">
        <w:rPr>
          <w:sz w:val="18"/>
        </w:rPr>
        <w:t>of</w:t>
      </w:r>
      <w:r w:rsidRPr="00EC20A0">
        <w:rPr>
          <w:spacing w:val="-2"/>
          <w:sz w:val="18"/>
        </w:rPr>
        <w:t xml:space="preserve"> </w:t>
      </w:r>
      <w:r w:rsidRPr="00EC20A0">
        <w:rPr>
          <w:sz w:val="18"/>
        </w:rPr>
        <w:t>budget</w:t>
      </w:r>
      <w:r w:rsidRPr="00EC20A0">
        <w:rPr>
          <w:spacing w:val="-2"/>
          <w:sz w:val="18"/>
        </w:rPr>
        <w:t xml:space="preserve"> </w:t>
      </w:r>
      <w:r w:rsidRPr="00EC20A0">
        <w:rPr>
          <w:sz w:val="18"/>
        </w:rPr>
        <w:t>obligations</w:t>
      </w:r>
      <w:r w:rsidRPr="00EC20A0">
        <w:rPr>
          <w:spacing w:val="-2"/>
          <w:sz w:val="18"/>
        </w:rPr>
        <w:t xml:space="preserve"> </w:t>
      </w:r>
      <w:r w:rsidRPr="00EC20A0">
        <w:rPr>
          <w:sz w:val="18"/>
        </w:rPr>
        <w:t>for</w:t>
      </w:r>
      <w:r w:rsidRPr="00EC20A0">
        <w:rPr>
          <w:spacing w:val="-2"/>
          <w:sz w:val="18"/>
        </w:rPr>
        <w:t xml:space="preserve"> </w:t>
      </w:r>
      <w:r w:rsidRPr="00EC20A0">
        <w:rPr>
          <w:sz w:val="18"/>
        </w:rPr>
        <w:t>direct</w:t>
      </w:r>
      <w:r w:rsidRPr="00EC20A0">
        <w:rPr>
          <w:spacing w:val="-2"/>
          <w:sz w:val="18"/>
        </w:rPr>
        <w:t xml:space="preserve"> </w:t>
      </w:r>
      <w:r w:rsidRPr="00EC20A0">
        <w:rPr>
          <w:sz w:val="18"/>
        </w:rPr>
        <w:t>loan</w:t>
      </w:r>
      <w:r w:rsidRPr="00EC20A0">
        <w:rPr>
          <w:spacing w:val="-3"/>
          <w:sz w:val="18"/>
        </w:rPr>
        <w:t xml:space="preserve"> </w:t>
      </w:r>
      <w:r w:rsidRPr="00EC20A0">
        <w:rPr>
          <w:sz w:val="18"/>
        </w:rPr>
        <w:t>obligations</w:t>
      </w:r>
      <w:r w:rsidRPr="00EC20A0">
        <w:rPr>
          <w:spacing w:val="-1"/>
          <w:sz w:val="18"/>
        </w:rPr>
        <w:t xml:space="preserve"> </w:t>
      </w:r>
      <w:r w:rsidRPr="00EC20A0">
        <w:rPr>
          <w:sz w:val="18"/>
        </w:rPr>
        <w:t>must</w:t>
      </w:r>
      <w:r w:rsidRPr="00EC20A0">
        <w:rPr>
          <w:spacing w:val="-2"/>
          <w:sz w:val="18"/>
        </w:rPr>
        <w:t xml:space="preserve"> </w:t>
      </w:r>
      <w:r w:rsidRPr="00EC20A0">
        <w:rPr>
          <w:sz w:val="18"/>
        </w:rPr>
        <w:t>be</w:t>
      </w:r>
      <w:r w:rsidRPr="00EC20A0">
        <w:rPr>
          <w:spacing w:val="-3"/>
          <w:sz w:val="18"/>
        </w:rPr>
        <w:t xml:space="preserve"> </w:t>
      </w:r>
      <w:r w:rsidRPr="00EC20A0">
        <w:rPr>
          <w:sz w:val="18"/>
        </w:rPr>
        <w:t>enacted</w:t>
      </w:r>
      <w:r w:rsidRPr="00EC20A0">
        <w:rPr>
          <w:spacing w:val="-3"/>
          <w:sz w:val="18"/>
        </w:rPr>
        <w:t xml:space="preserve"> </w:t>
      </w:r>
      <w:r w:rsidRPr="00EC20A0">
        <w:rPr>
          <w:sz w:val="18"/>
        </w:rPr>
        <w:t>in</w:t>
      </w:r>
      <w:r w:rsidRPr="00EC20A0">
        <w:rPr>
          <w:spacing w:val="-3"/>
          <w:sz w:val="18"/>
        </w:rPr>
        <w:t xml:space="preserve"> </w:t>
      </w:r>
      <w:r w:rsidRPr="00EC20A0">
        <w:rPr>
          <w:sz w:val="18"/>
        </w:rPr>
        <w:t>advance</w:t>
      </w:r>
      <w:r w:rsidRPr="00EC20A0">
        <w:rPr>
          <w:spacing w:val="-1"/>
          <w:sz w:val="18"/>
        </w:rPr>
        <w:t xml:space="preserve"> </w:t>
      </w:r>
      <w:r w:rsidRPr="00EC20A0">
        <w:rPr>
          <w:sz w:val="18"/>
        </w:rPr>
        <w:t>of</w:t>
      </w:r>
      <w:r w:rsidRPr="00EC20A0">
        <w:rPr>
          <w:spacing w:val="-2"/>
          <w:sz w:val="18"/>
        </w:rPr>
        <w:t xml:space="preserve"> </w:t>
      </w:r>
      <w:r w:rsidRPr="00EC20A0">
        <w:rPr>
          <w:sz w:val="18"/>
        </w:rPr>
        <w:t>new</w:t>
      </w:r>
      <w:r w:rsidRPr="00EC20A0">
        <w:rPr>
          <w:spacing w:val="-2"/>
          <w:sz w:val="18"/>
        </w:rPr>
        <w:t xml:space="preserve"> </w:t>
      </w:r>
      <w:r w:rsidRPr="00EC20A0">
        <w:rPr>
          <w:sz w:val="18"/>
        </w:rPr>
        <w:t>direct</w:t>
      </w:r>
      <w:r w:rsidRPr="00EC20A0">
        <w:rPr>
          <w:spacing w:val="-2"/>
          <w:sz w:val="18"/>
        </w:rPr>
        <w:t xml:space="preserve"> </w:t>
      </w:r>
      <w:r w:rsidRPr="00EC20A0">
        <w:rPr>
          <w:sz w:val="18"/>
        </w:rPr>
        <w:t>loan</w:t>
      </w:r>
      <w:r w:rsidRPr="00EC20A0">
        <w:rPr>
          <w:spacing w:val="-3"/>
          <w:sz w:val="18"/>
        </w:rPr>
        <w:t xml:space="preserve"> </w:t>
      </w:r>
      <w:r w:rsidRPr="00EC20A0">
        <w:rPr>
          <w:sz w:val="18"/>
        </w:rPr>
        <w:t>obligations made</w:t>
      </w:r>
      <w:r w:rsidRPr="00EC20A0">
        <w:rPr>
          <w:spacing w:val="-2"/>
          <w:sz w:val="18"/>
        </w:rPr>
        <w:t xml:space="preserve"> </w:t>
      </w:r>
      <w:r w:rsidRPr="00EC20A0">
        <w:rPr>
          <w:sz w:val="18"/>
        </w:rPr>
        <w:t>on</w:t>
      </w:r>
      <w:r w:rsidRPr="00EC20A0">
        <w:rPr>
          <w:spacing w:val="-2"/>
          <w:sz w:val="18"/>
        </w:rPr>
        <w:t xml:space="preserve"> </w:t>
      </w:r>
      <w:r w:rsidRPr="00EC20A0">
        <w:rPr>
          <w:sz w:val="18"/>
        </w:rPr>
        <w:t>or</w:t>
      </w:r>
      <w:r w:rsidRPr="00EC20A0">
        <w:rPr>
          <w:spacing w:val="-1"/>
          <w:sz w:val="18"/>
        </w:rPr>
        <w:t xml:space="preserve"> </w:t>
      </w:r>
      <w:r w:rsidRPr="00EC20A0">
        <w:rPr>
          <w:sz w:val="18"/>
        </w:rPr>
        <w:t>after</w:t>
      </w:r>
      <w:r w:rsidRPr="00EC20A0">
        <w:rPr>
          <w:spacing w:val="-1"/>
          <w:sz w:val="18"/>
        </w:rPr>
        <w:t xml:space="preserve"> </w:t>
      </w:r>
      <w:r w:rsidRPr="00EC20A0">
        <w:rPr>
          <w:sz w:val="18"/>
        </w:rPr>
        <w:t>October</w:t>
      </w:r>
      <w:r w:rsidRPr="00EC20A0">
        <w:rPr>
          <w:spacing w:val="-1"/>
          <w:sz w:val="18"/>
        </w:rPr>
        <w:t xml:space="preserve"> </w:t>
      </w:r>
      <w:r w:rsidRPr="00EC20A0">
        <w:rPr>
          <w:sz w:val="18"/>
        </w:rPr>
        <w:t>1,</w:t>
      </w:r>
      <w:r w:rsidRPr="00EC20A0">
        <w:rPr>
          <w:spacing w:val="-1"/>
          <w:sz w:val="18"/>
        </w:rPr>
        <w:t xml:space="preserve"> </w:t>
      </w:r>
      <w:r w:rsidRPr="00EC20A0">
        <w:rPr>
          <w:sz w:val="18"/>
        </w:rPr>
        <w:t>1991.</w:t>
      </w:r>
      <w:r w:rsidRPr="00EC20A0">
        <w:rPr>
          <w:spacing w:val="-1"/>
          <w:sz w:val="18"/>
        </w:rPr>
        <w:t xml:space="preserve"> </w:t>
      </w:r>
      <w:r w:rsidRPr="00EC20A0">
        <w:rPr>
          <w:sz w:val="18"/>
        </w:rPr>
        <w:t>2</w:t>
      </w:r>
      <w:r w:rsidRPr="00EC20A0">
        <w:rPr>
          <w:spacing w:val="-2"/>
          <w:sz w:val="18"/>
        </w:rPr>
        <w:t xml:space="preserve"> </w:t>
      </w:r>
      <w:r w:rsidRPr="00EC20A0">
        <w:rPr>
          <w:sz w:val="18"/>
        </w:rPr>
        <w:t>U.S.C.</w:t>
      </w:r>
      <w:r w:rsidRPr="00EC20A0">
        <w:rPr>
          <w:spacing w:val="-1"/>
          <w:sz w:val="18"/>
        </w:rPr>
        <w:t xml:space="preserve"> </w:t>
      </w:r>
      <w:r w:rsidRPr="00EC20A0">
        <w:rPr>
          <w:sz w:val="18"/>
        </w:rPr>
        <w:t>§</w:t>
      </w:r>
      <w:r w:rsidRPr="00EC20A0">
        <w:rPr>
          <w:spacing w:val="-2"/>
          <w:sz w:val="18"/>
        </w:rPr>
        <w:t xml:space="preserve"> </w:t>
      </w:r>
      <w:r w:rsidRPr="00EC20A0">
        <w:rPr>
          <w:sz w:val="18"/>
        </w:rPr>
        <w:t>661c(b).</w:t>
      </w:r>
      <w:r w:rsidRPr="00EC20A0">
        <w:rPr>
          <w:spacing w:val="-1"/>
          <w:sz w:val="18"/>
        </w:rPr>
        <w:t xml:space="preserve"> </w:t>
      </w:r>
      <w:r w:rsidRPr="00EC20A0">
        <w:rPr>
          <w:sz w:val="18"/>
        </w:rPr>
        <w:t>For</w:t>
      </w:r>
      <w:r w:rsidRPr="00EC20A0">
        <w:rPr>
          <w:spacing w:val="-1"/>
          <w:sz w:val="18"/>
        </w:rPr>
        <w:t xml:space="preserve"> </w:t>
      </w:r>
      <w:r w:rsidRPr="00EC20A0">
        <w:rPr>
          <w:sz w:val="18"/>
        </w:rPr>
        <w:t>revolving</w:t>
      </w:r>
      <w:r w:rsidRPr="00EC20A0">
        <w:rPr>
          <w:spacing w:val="-2"/>
          <w:sz w:val="18"/>
        </w:rPr>
        <w:t xml:space="preserve"> </w:t>
      </w:r>
      <w:r w:rsidRPr="00EC20A0">
        <w:rPr>
          <w:sz w:val="18"/>
        </w:rPr>
        <w:t>or</w:t>
      </w:r>
      <w:r w:rsidRPr="00EC20A0">
        <w:rPr>
          <w:spacing w:val="-1"/>
          <w:sz w:val="18"/>
        </w:rPr>
        <w:t xml:space="preserve"> </w:t>
      </w:r>
      <w:r w:rsidRPr="00EC20A0">
        <w:rPr>
          <w:sz w:val="18"/>
        </w:rPr>
        <w:t>other</w:t>
      </w:r>
      <w:r w:rsidRPr="00EC20A0">
        <w:rPr>
          <w:spacing w:val="-1"/>
          <w:sz w:val="18"/>
        </w:rPr>
        <w:t xml:space="preserve"> </w:t>
      </w:r>
      <w:r w:rsidRPr="00EC20A0">
        <w:rPr>
          <w:sz w:val="18"/>
        </w:rPr>
        <w:t>funds</w:t>
      </w:r>
      <w:r w:rsidRPr="00EC20A0">
        <w:rPr>
          <w:spacing w:val="-1"/>
          <w:sz w:val="18"/>
        </w:rPr>
        <w:t xml:space="preserve"> </w:t>
      </w:r>
      <w:r w:rsidRPr="00EC20A0">
        <w:rPr>
          <w:sz w:val="18"/>
        </w:rPr>
        <w:t>that</w:t>
      </w:r>
      <w:r w:rsidRPr="00EC20A0">
        <w:rPr>
          <w:spacing w:val="-1"/>
          <w:sz w:val="18"/>
        </w:rPr>
        <w:t xml:space="preserve"> </w:t>
      </w:r>
      <w:r w:rsidRPr="00EC20A0">
        <w:rPr>
          <w:sz w:val="18"/>
        </w:rPr>
        <w:t>otherwise</w:t>
      </w:r>
      <w:r w:rsidRPr="00EC20A0">
        <w:rPr>
          <w:spacing w:val="-2"/>
          <w:sz w:val="18"/>
        </w:rPr>
        <w:t xml:space="preserve"> </w:t>
      </w:r>
      <w:r w:rsidRPr="00EC20A0">
        <w:rPr>
          <w:sz w:val="18"/>
        </w:rPr>
        <w:t>would</w:t>
      </w:r>
      <w:r w:rsidRPr="00EC20A0">
        <w:rPr>
          <w:spacing w:val="-2"/>
          <w:sz w:val="18"/>
        </w:rPr>
        <w:t xml:space="preserve"> </w:t>
      </w:r>
      <w:r w:rsidRPr="00EC20A0">
        <w:rPr>
          <w:sz w:val="18"/>
        </w:rPr>
        <w:t>be</w:t>
      </w:r>
      <w:r w:rsidRPr="00EC20A0">
        <w:rPr>
          <w:spacing w:val="-2"/>
          <w:sz w:val="18"/>
        </w:rPr>
        <w:t xml:space="preserve"> </w:t>
      </w:r>
      <w:r w:rsidRPr="00EC20A0">
        <w:rPr>
          <w:sz w:val="18"/>
        </w:rPr>
        <w:t>available</w:t>
      </w:r>
      <w:r w:rsidRPr="00EC20A0">
        <w:rPr>
          <w:spacing w:val="-2"/>
          <w:sz w:val="18"/>
        </w:rPr>
        <w:t xml:space="preserve"> </w:t>
      </w:r>
      <w:r w:rsidRPr="00EC20A0">
        <w:rPr>
          <w:sz w:val="18"/>
        </w:rPr>
        <w:t>for</w:t>
      </w:r>
      <w:r w:rsidRPr="00EC20A0">
        <w:rPr>
          <w:spacing w:val="-1"/>
          <w:sz w:val="18"/>
        </w:rPr>
        <w:t xml:space="preserve"> </w:t>
      </w:r>
      <w:r w:rsidRPr="00EC20A0">
        <w:rPr>
          <w:sz w:val="18"/>
        </w:rPr>
        <w:t>these</w:t>
      </w:r>
      <w:r w:rsidRPr="00EC20A0">
        <w:rPr>
          <w:spacing w:val="-2"/>
          <w:sz w:val="18"/>
        </w:rPr>
        <w:t xml:space="preserve"> </w:t>
      </w:r>
      <w:r w:rsidRPr="00EC20A0">
        <w:rPr>
          <w:sz w:val="18"/>
        </w:rPr>
        <w:t>budget</w:t>
      </w:r>
      <w:r w:rsidRPr="00EC20A0">
        <w:rPr>
          <w:spacing w:val="-1"/>
          <w:sz w:val="18"/>
        </w:rPr>
        <w:t xml:space="preserve"> </w:t>
      </w:r>
      <w:r w:rsidRPr="00EC20A0">
        <w:rPr>
          <w:sz w:val="18"/>
        </w:rPr>
        <w:t>obligations,</w:t>
      </w:r>
      <w:r w:rsidRPr="00EC20A0">
        <w:rPr>
          <w:spacing w:val="-1"/>
          <w:sz w:val="18"/>
        </w:rPr>
        <w:t xml:space="preserve"> </w:t>
      </w:r>
      <w:r w:rsidRPr="00EC20A0">
        <w:rPr>
          <w:sz w:val="18"/>
        </w:rPr>
        <w:t>the</w:t>
      </w:r>
      <w:r w:rsidRPr="00EC20A0">
        <w:rPr>
          <w:spacing w:val="-2"/>
          <w:sz w:val="18"/>
        </w:rPr>
        <w:t xml:space="preserve"> </w:t>
      </w:r>
      <w:r w:rsidRPr="00EC20A0">
        <w:rPr>
          <w:sz w:val="18"/>
        </w:rPr>
        <w:t>Congress</w:t>
      </w:r>
      <w:r w:rsidRPr="00EC20A0">
        <w:rPr>
          <w:spacing w:val="-1"/>
          <w:sz w:val="18"/>
        </w:rPr>
        <w:t xml:space="preserve"> </w:t>
      </w:r>
      <w:r w:rsidRPr="00EC20A0">
        <w:rPr>
          <w:sz w:val="18"/>
        </w:rPr>
        <w:t>must enact a limit on the use of such funds for these purposes to make them available for use.</w:t>
      </w:r>
    </w:p>
    <w:p w14:paraId="24D60F0B" w14:textId="77777777" w:rsidR="00245300" w:rsidRPr="00EC20A0" w:rsidRDefault="00245300">
      <w:pPr>
        <w:spacing w:line="244" w:lineRule="auto"/>
        <w:jc w:val="both"/>
        <w:rPr>
          <w:sz w:val="18"/>
        </w:rPr>
        <w:sectPr w:rsidR="00245300" w:rsidRPr="00EC20A0">
          <w:pgSz w:w="15840" w:h="12240" w:orient="landscape"/>
          <w:pgMar w:top="1440" w:right="1220" w:bottom="940" w:left="960" w:header="721" w:footer="742" w:gutter="0"/>
          <w:cols w:space="720"/>
        </w:sectPr>
      </w:pPr>
    </w:p>
    <w:p w14:paraId="24D60F0C" w14:textId="77777777" w:rsidR="00245300" w:rsidRPr="00EC20A0" w:rsidRDefault="00245300">
      <w:pPr>
        <w:pStyle w:val="BodyText"/>
        <w:rPr>
          <w:sz w:val="20"/>
        </w:rPr>
      </w:pPr>
    </w:p>
    <w:p w14:paraId="24D60F0D" w14:textId="77777777" w:rsidR="00245300" w:rsidRPr="00EC20A0" w:rsidRDefault="00245300">
      <w:pPr>
        <w:pStyle w:val="BodyText"/>
        <w:rPr>
          <w:sz w:val="20"/>
        </w:rPr>
      </w:pPr>
    </w:p>
    <w:p w14:paraId="24D60F0E" w14:textId="77777777" w:rsidR="00245300" w:rsidRPr="00EC20A0" w:rsidRDefault="00245300">
      <w:pPr>
        <w:pStyle w:val="BodyText"/>
        <w:rPr>
          <w:sz w:val="20"/>
        </w:rPr>
      </w:pPr>
    </w:p>
    <w:p w14:paraId="24D60F0F" w14:textId="77777777" w:rsidR="00245300" w:rsidRPr="00EC20A0" w:rsidRDefault="00245300">
      <w:pPr>
        <w:pStyle w:val="BodyText"/>
        <w:rPr>
          <w:sz w:val="20"/>
        </w:rPr>
      </w:pPr>
    </w:p>
    <w:p w14:paraId="24D60F10" w14:textId="77777777" w:rsidR="00245300" w:rsidRPr="00EC20A0" w:rsidRDefault="00245300">
      <w:pPr>
        <w:pStyle w:val="BodyText"/>
        <w:rPr>
          <w:sz w:val="20"/>
        </w:rPr>
      </w:pPr>
    </w:p>
    <w:p w14:paraId="24D60F11" w14:textId="77777777" w:rsidR="00245300" w:rsidRPr="00EC20A0" w:rsidRDefault="00245300">
      <w:pPr>
        <w:pStyle w:val="BodyText"/>
        <w:rPr>
          <w:sz w:val="20"/>
        </w:rPr>
      </w:pPr>
    </w:p>
    <w:p w14:paraId="24D60F12" w14:textId="77777777" w:rsidR="00245300" w:rsidRPr="00EC20A0" w:rsidRDefault="00245300">
      <w:pPr>
        <w:pStyle w:val="BodyText"/>
        <w:rPr>
          <w:sz w:val="20"/>
        </w:rPr>
      </w:pPr>
    </w:p>
    <w:p w14:paraId="24D60F13" w14:textId="77777777" w:rsidR="00245300" w:rsidRPr="00EC20A0" w:rsidRDefault="00245300">
      <w:pPr>
        <w:pStyle w:val="BodyText"/>
        <w:rPr>
          <w:sz w:val="20"/>
        </w:rPr>
      </w:pPr>
    </w:p>
    <w:p w14:paraId="24D60F14" w14:textId="77777777" w:rsidR="00245300" w:rsidRPr="00EC20A0" w:rsidRDefault="00245300">
      <w:pPr>
        <w:pStyle w:val="BodyText"/>
        <w:rPr>
          <w:sz w:val="20"/>
        </w:rPr>
      </w:pPr>
    </w:p>
    <w:p w14:paraId="24D60F15" w14:textId="77777777" w:rsidR="00245300" w:rsidRPr="00EC20A0" w:rsidRDefault="00245300">
      <w:pPr>
        <w:pStyle w:val="BodyText"/>
        <w:rPr>
          <w:sz w:val="20"/>
        </w:rPr>
      </w:pPr>
    </w:p>
    <w:p w14:paraId="24D60F16" w14:textId="77777777" w:rsidR="00245300" w:rsidRPr="00EC20A0" w:rsidRDefault="00245300">
      <w:pPr>
        <w:pStyle w:val="BodyText"/>
        <w:rPr>
          <w:sz w:val="20"/>
        </w:rPr>
      </w:pPr>
    </w:p>
    <w:p w14:paraId="24D60F17" w14:textId="77777777" w:rsidR="00245300" w:rsidRPr="00EC20A0" w:rsidRDefault="00245300">
      <w:pPr>
        <w:pStyle w:val="BodyText"/>
        <w:rPr>
          <w:sz w:val="20"/>
        </w:rPr>
      </w:pPr>
    </w:p>
    <w:p w14:paraId="24D60F18" w14:textId="77777777" w:rsidR="00245300" w:rsidRPr="00EC20A0" w:rsidRDefault="00245300">
      <w:pPr>
        <w:pStyle w:val="BodyText"/>
        <w:rPr>
          <w:sz w:val="20"/>
        </w:rPr>
      </w:pPr>
    </w:p>
    <w:p w14:paraId="24D60F19" w14:textId="77777777" w:rsidR="00245300" w:rsidRPr="00EC20A0" w:rsidRDefault="00245300">
      <w:pPr>
        <w:pStyle w:val="BodyText"/>
        <w:rPr>
          <w:sz w:val="20"/>
        </w:rPr>
      </w:pPr>
    </w:p>
    <w:p w14:paraId="24D60F1A" w14:textId="77777777" w:rsidR="00245300" w:rsidRPr="00EC20A0" w:rsidRDefault="00245300">
      <w:pPr>
        <w:pStyle w:val="BodyText"/>
        <w:rPr>
          <w:sz w:val="20"/>
        </w:rPr>
      </w:pPr>
    </w:p>
    <w:p w14:paraId="24D60F1B" w14:textId="77777777" w:rsidR="00245300" w:rsidRPr="00EC20A0" w:rsidRDefault="00245300">
      <w:pPr>
        <w:pStyle w:val="BodyText"/>
        <w:rPr>
          <w:sz w:val="20"/>
        </w:rPr>
      </w:pPr>
    </w:p>
    <w:p w14:paraId="24D60F1C" w14:textId="77777777" w:rsidR="00245300" w:rsidRPr="00EC20A0" w:rsidRDefault="00245300">
      <w:pPr>
        <w:pStyle w:val="BodyText"/>
        <w:rPr>
          <w:sz w:val="20"/>
        </w:rPr>
      </w:pPr>
    </w:p>
    <w:p w14:paraId="24D60F1D" w14:textId="77777777" w:rsidR="00245300" w:rsidRPr="00EC20A0" w:rsidRDefault="00245300">
      <w:pPr>
        <w:pStyle w:val="BodyText"/>
        <w:rPr>
          <w:sz w:val="20"/>
        </w:rPr>
      </w:pPr>
    </w:p>
    <w:p w14:paraId="24D60F1E" w14:textId="77777777" w:rsidR="00245300" w:rsidRPr="00EC20A0" w:rsidRDefault="00245300">
      <w:pPr>
        <w:pStyle w:val="BodyText"/>
        <w:rPr>
          <w:sz w:val="20"/>
        </w:rPr>
      </w:pPr>
    </w:p>
    <w:p w14:paraId="24D60F1F" w14:textId="77777777" w:rsidR="00245300" w:rsidRPr="00EC20A0" w:rsidRDefault="00245300">
      <w:pPr>
        <w:pStyle w:val="BodyText"/>
        <w:rPr>
          <w:sz w:val="20"/>
        </w:rPr>
      </w:pPr>
    </w:p>
    <w:p w14:paraId="24D60F20" w14:textId="77777777" w:rsidR="00245300" w:rsidRPr="00EC20A0" w:rsidRDefault="00245300">
      <w:pPr>
        <w:pStyle w:val="BodyText"/>
        <w:rPr>
          <w:sz w:val="20"/>
        </w:rPr>
      </w:pPr>
    </w:p>
    <w:p w14:paraId="24D60F21" w14:textId="77777777" w:rsidR="00245300" w:rsidRPr="00EC20A0" w:rsidRDefault="00245300">
      <w:pPr>
        <w:pStyle w:val="BodyText"/>
        <w:rPr>
          <w:sz w:val="20"/>
        </w:rPr>
      </w:pPr>
    </w:p>
    <w:p w14:paraId="24D60F22" w14:textId="77777777" w:rsidR="00245300" w:rsidRPr="00EC20A0" w:rsidRDefault="00245300">
      <w:pPr>
        <w:pStyle w:val="BodyText"/>
        <w:rPr>
          <w:sz w:val="20"/>
        </w:rPr>
      </w:pPr>
    </w:p>
    <w:p w14:paraId="24D60F23" w14:textId="77777777" w:rsidR="00245300" w:rsidRPr="00EC20A0" w:rsidRDefault="00245300">
      <w:pPr>
        <w:pStyle w:val="BodyText"/>
        <w:spacing w:before="40"/>
        <w:rPr>
          <w:sz w:val="20"/>
        </w:rPr>
      </w:pPr>
    </w:p>
    <w:p w14:paraId="24D60F24" w14:textId="77777777" w:rsidR="00245300" w:rsidRPr="00EC20A0" w:rsidRDefault="00F17249">
      <w:pPr>
        <w:pStyle w:val="BodyText"/>
        <w:spacing w:line="20" w:lineRule="exact"/>
        <w:ind w:left="120"/>
        <w:rPr>
          <w:sz w:val="2"/>
        </w:rPr>
      </w:pPr>
      <w:r w:rsidRPr="00EC20A0">
        <w:rPr>
          <w:noProof/>
          <w:sz w:val="2"/>
        </w:rPr>
        <mc:AlternateContent>
          <mc:Choice Requires="wpg">
            <w:drawing>
              <wp:inline distT="0" distB="0" distL="0" distR="0" wp14:anchorId="24D62B95" wp14:editId="24D62B96">
                <wp:extent cx="1828800" cy="6985"/>
                <wp:effectExtent l="0" t="0" r="0" b="0"/>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451" name="Graphic 451"/>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56BDB8" id="Group 450"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">
                <v:shape id="Graphic 451" o:spid="_x0000_s1027" style="position:absolute;width:18288;height:69;visibility:visible;mso-wrap-style:square;v-text-anchor:top" coordsize="1828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" path="m1828800,l,,,6858r1828800,l1828800,xe" fillcolor="black" stroked="f">
                  <v:path arrowok="t"/>
                </v:shape>
                <w10:anchorlock/>
              </v:group>
            </w:pict>
          </mc:Fallback>
        </mc:AlternateContent>
      </w:r>
    </w:p>
    <w:p w14:paraId="24D60F25" w14:textId="77777777" w:rsidR="00245300" w:rsidRPr="00EC20A0" w:rsidRDefault="00245300">
      <w:pPr>
        <w:pStyle w:val="BodyText"/>
        <w:rPr>
          <w:sz w:val="18"/>
        </w:rPr>
      </w:pPr>
    </w:p>
    <w:p w14:paraId="24D60F26" w14:textId="77777777" w:rsidR="00245300" w:rsidRPr="00EC20A0" w:rsidRDefault="00F17249">
      <w:pPr>
        <w:ind w:left="120"/>
        <w:rPr>
          <w:sz w:val="18"/>
        </w:rPr>
      </w:pPr>
      <w:r w:rsidRPr="00EC20A0">
        <w:rPr>
          <w:position w:val="7"/>
          <w:sz w:val="14"/>
        </w:rPr>
        <w:t>11</w:t>
      </w:r>
      <w:r w:rsidRPr="00EC20A0">
        <w:rPr>
          <w:sz w:val="18"/>
        </w:rPr>
        <w:t>Modifications</w:t>
      </w:r>
      <w:r w:rsidRPr="00EC20A0">
        <w:rPr>
          <w:spacing w:val="-3"/>
          <w:sz w:val="18"/>
        </w:rPr>
        <w:t xml:space="preserve"> </w:t>
      </w:r>
      <w:r w:rsidRPr="00EC20A0">
        <w:rPr>
          <w:sz w:val="18"/>
        </w:rPr>
        <w:t>are</w:t>
      </w:r>
      <w:r w:rsidRPr="00EC20A0">
        <w:rPr>
          <w:spacing w:val="-4"/>
          <w:sz w:val="18"/>
        </w:rPr>
        <w:t xml:space="preserve"> </w:t>
      </w:r>
      <w:r w:rsidRPr="00EC20A0">
        <w:rPr>
          <w:sz w:val="18"/>
        </w:rPr>
        <w:t>government actions</w:t>
      </w:r>
      <w:r w:rsidRPr="00EC20A0">
        <w:rPr>
          <w:spacing w:val="-3"/>
          <w:sz w:val="18"/>
        </w:rPr>
        <w:t xml:space="preserve"> </w:t>
      </w:r>
      <w:r w:rsidRPr="00EC20A0">
        <w:rPr>
          <w:sz w:val="18"/>
        </w:rPr>
        <w:t>that</w:t>
      </w:r>
      <w:r w:rsidRPr="00EC20A0">
        <w:rPr>
          <w:spacing w:val="-2"/>
          <w:sz w:val="18"/>
        </w:rPr>
        <w:t xml:space="preserve"> </w:t>
      </w:r>
      <w:r w:rsidRPr="00EC20A0">
        <w:rPr>
          <w:sz w:val="18"/>
        </w:rPr>
        <w:t>alter</w:t>
      </w:r>
      <w:r w:rsidRPr="00EC20A0">
        <w:rPr>
          <w:spacing w:val="-3"/>
          <w:sz w:val="18"/>
        </w:rPr>
        <w:t xml:space="preserve"> </w:t>
      </w:r>
      <w:r w:rsidRPr="00EC20A0">
        <w:rPr>
          <w:sz w:val="18"/>
        </w:rPr>
        <w:t>the</w:t>
      </w:r>
      <w:r w:rsidRPr="00EC20A0">
        <w:rPr>
          <w:spacing w:val="-3"/>
          <w:sz w:val="18"/>
        </w:rPr>
        <w:t xml:space="preserve"> </w:t>
      </w:r>
      <w:r w:rsidRPr="00EC20A0">
        <w:rPr>
          <w:sz w:val="18"/>
        </w:rPr>
        <w:t>estimated</w:t>
      </w:r>
      <w:r w:rsidRPr="00EC20A0">
        <w:rPr>
          <w:spacing w:val="-4"/>
          <w:sz w:val="18"/>
        </w:rPr>
        <w:t xml:space="preserve"> </w:t>
      </w:r>
      <w:r w:rsidRPr="00EC20A0">
        <w:rPr>
          <w:sz w:val="18"/>
        </w:rPr>
        <w:t>cost</w:t>
      </w:r>
      <w:r w:rsidRPr="00EC20A0">
        <w:rPr>
          <w:spacing w:val="-3"/>
          <w:sz w:val="18"/>
        </w:rPr>
        <w:t xml:space="preserve"> </w:t>
      </w:r>
      <w:r w:rsidRPr="00EC20A0">
        <w:rPr>
          <w:sz w:val="18"/>
        </w:rPr>
        <w:t>of</w:t>
      </w:r>
      <w:r w:rsidRPr="00EC20A0">
        <w:rPr>
          <w:spacing w:val="-2"/>
          <w:sz w:val="18"/>
        </w:rPr>
        <w:t xml:space="preserve"> </w:t>
      </w:r>
      <w:r w:rsidRPr="00EC20A0">
        <w:rPr>
          <w:sz w:val="18"/>
        </w:rPr>
        <w:t>an</w:t>
      </w:r>
      <w:r w:rsidRPr="00EC20A0">
        <w:rPr>
          <w:spacing w:val="-4"/>
          <w:sz w:val="18"/>
        </w:rPr>
        <w:t xml:space="preserve"> </w:t>
      </w:r>
      <w:r w:rsidRPr="00EC20A0">
        <w:rPr>
          <w:sz w:val="18"/>
        </w:rPr>
        <w:t>outstanding</w:t>
      </w:r>
      <w:r w:rsidRPr="00EC20A0">
        <w:rPr>
          <w:spacing w:val="-3"/>
          <w:sz w:val="18"/>
        </w:rPr>
        <w:t xml:space="preserve"> </w:t>
      </w:r>
      <w:r w:rsidRPr="00EC20A0">
        <w:rPr>
          <w:sz w:val="18"/>
        </w:rPr>
        <w:t>direct</w:t>
      </w:r>
      <w:r w:rsidRPr="00EC20A0">
        <w:rPr>
          <w:spacing w:val="-3"/>
          <w:sz w:val="18"/>
        </w:rPr>
        <w:t xml:space="preserve"> </w:t>
      </w:r>
      <w:r w:rsidRPr="00EC20A0">
        <w:rPr>
          <w:sz w:val="18"/>
        </w:rPr>
        <w:t>loan</w:t>
      </w:r>
      <w:r w:rsidRPr="00EC20A0">
        <w:rPr>
          <w:spacing w:val="-2"/>
          <w:sz w:val="18"/>
        </w:rPr>
        <w:t xml:space="preserve"> </w:t>
      </w:r>
      <w:r w:rsidRPr="00EC20A0">
        <w:rPr>
          <w:sz w:val="18"/>
        </w:rPr>
        <w:t>(or</w:t>
      </w:r>
      <w:r w:rsidRPr="00EC20A0">
        <w:rPr>
          <w:spacing w:val="-3"/>
          <w:sz w:val="18"/>
        </w:rPr>
        <w:t xml:space="preserve"> </w:t>
      </w:r>
      <w:r w:rsidRPr="00EC20A0">
        <w:rPr>
          <w:sz w:val="18"/>
        </w:rPr>
        <w:t>direct</w:t>
      </w:r>
      <w:r w:rsidRPr="00EC20A0">
        <w:rPr>
          <w:spacing w:val="-2"/>
          <w:sz w:val="18"/>
        </w:rPr>
        <w:t xml:space="preserve"> </w:t>
      </w:r>
      <w:r w:rsidRPr="00EC20A0">
        <w:rPr>
          <w:sz w:val="18"/>
        </w:rPr>
        <w:t>loan</w:t>
      </w:r>
      <w:r w:rsidRPr="00EC20A0">
        <w:rPr>
          <w:spacing w:val="-4"/>
          <w:sz w:val="18"/>
        </w:rPr>
        <w:t xml:space="preserve"> </w:t>
      </w:r>
      <w:r w:rsidRPr="00EC20A0">
        <w:rPr>
          <w:sz w:val="18"/>
        </w:rPr>
        <w:t>obligation)</w:t>
      </w:r>
      <w:r w:rsidRPr="00EC20A0">
        <w:rPr>
          <w:spacing w:val="-2"/>
          <w:sz w:val="18"/>
        </w:rPr>
        <w:t xml:space="preserve"> </w:t>
      </w:r>
      <w:r w:rsidRPr="00EC20A0">
        <w:rPr>
          <w:sz w:val="18"/>
        </w:rPr>
        <w:t>from</w:t>
      </w:r>
      <w:r w:rsidRPr="00EC20A0">
        <w:rPr>
          <w:spacing w:val="-2"/>
          <w:sz w:val="18"/>
        </w:rPr>
        <w:t xml:space="preserve"> </w:t>
      </w:r>
      <w:r w:rsidRPr="00EC20A0">
        <w:rPr>
          <w:sz w:val="18"/>
        </w:rPr>
        <w:t>the</w:t>
      </w:r>
      <w:r w:rsidRPr="00EC20A0">
        <w:rPr>
          <w:spacing w:val="-4"/>
          <w:sz w:val="18"/>
        </w:rPr>
        <w:t xml:space="preserve"> </w:t>
      </w:r>
      <w:r w:rsidRPr="00EC20A0">
        <w:rPr>
          <w:sz w:val="18"/>
        </w:rPr>
        <w:t>current</w:t>
      </w:r>
      <w:r w:rsidRPr="00EC20A0">
        <w:rPr>
          <w:spacing w:val="-2"/>
          <w:sz w:val="18"/>
        </w:rPr>
        <w:t xml:space="preserve"> </w:t>
      </w:r>
      <w:r w:rsidRPr="00EC20A0">
        <w:rPr>
          <w:sz w:val="18"/>
        </w:rPr>
        <w:t>estimate</w:t>
      </w:r>
      <w:r w:rsidRPr="00EC20A0">
        <w:rPr>
          <w:spacing w:val="-4"/>
          <w:sz w:val="18"/>
        </w:rPr>
        <w:t xml:space="preserve"> </w:t>
      </w:r>
      <w:r w:rsidRPr="00EC20A0">
        <w:rPr>
          <w:sz w:val="18"/>
        </w:rPr>
        <w:t>of</w:t>
      </w:r>
      <w:r w:rsidRPr="00EC20A0">
        <w:rPr>
          <w:spacing w:val="-2"/>
          <w:sz w:val="18"/>
        </w:rPr>
        <w:t xml:space="preserve"> </w:t>
      </w:r>
      <w:r w:rsidRPr="00EC20A0">
        <w:rPr>
          <w:sz w:val="18"/>
        </w:rPr>
        <w:t>cash</w:t>
      </w:r>
      <w:r w:rsidRPr="00EC20A0">
        <w:rPr>
          <w:spacing w:val="-4"/>
          <w:sz w:val="18"/>
        </w:rPr>
        <w:t xml:space="preserve"> </w:t>
      </w:r>
      <w:r w:rsidRPr="00EC20A0">
        <w:rPr>
          <w:sz w:val="18"/>
        </w:rPr>
        <w:t>flows.</w:t>
      </w:r>
      <w:r w:rsidRPr="00EC20A0">
        <w:rPr>
          <w:spacing w:val="-2"/>
          <w:sz w:val="18"/>
        </w:rPr>
        <w:t xml:space="preserve"> </w:t>
      </w:r>
      <w:r w:rsidRPr="00EC20A0">
        <w:rPr>
          <w:spacing w:val="-10"/>
          <w:sz w:val="18"/>
        </w:rPr>
        <w:t>2</w:t>
      </w:r>
    </w:p>
    <w:p w14:paraId="24D60F27" w14:textId="77777777" w:rsidR="00245300" w:rsidRPr="00EC20A0" w:rsidRDefault="00F17249">
      <w:pPr>
        <w:spacing w:before="8"/>
        <w:ind w:left="119" w:right="294"/>
        <w:rPr>
          <w:sz w:val="18"/>
        </w:rPr>
      </w:pPr>
      <w:r w:rsidRPr="00EC20A0">
        <w:rPr>
          <w:sz w:val="18"/>
        </w:rPr>
        <w:t xml:space="preserve">U.S.C. § 661a(9). This includes the sale of loan assets (with or without recourse), as well as any action resulting from new statutes, or from the exercise of administrative discretion under existing law, that directly or indirectly alters the estimating cost of outstanding direct loans (or direct loan obligations). 2 U.S.C. § 661a(9). Thus, the sale of a direct loan, per SFFAS 2, paragraph 53, or a policy change affecting the repayment period or interest rate for a group of existing loans would constitute </w:t>
      </w:r>
      <w:r w:rsidRPr="00EC20A0">
        <w:rPr>
          <w:sz w:val="18"/>
        </w:rPr>
        <w:t>modifications, whereas changes within the terms of existing contracts or through other existing authorities would not be considered modifications. Also,</w:t>
      </w:r>
      <w:r w:rsidRPr="00EC20A0">
        <w:rPr>
          <w:spacing w:val="-2"/>
          <w:sz w:val="18"/>
        </w:rPr>
        <w:t xml:space="preserve"> </w:t>
      </w:r>
      <w:r w:rsidRPr="00EC20A0">
        <w:rPr>
          <w:sz w:val="18"/>
        </w:rPr>
        <w:t>“work</w:t>
      </w:r>
      <w:r w:rsidRPr="00EC20A0">
        <w:rPr>
          <w:spacing w:val="-2"/>
          <w:sz w:val="18"/>
        </w:rPr>
        <w:t xml:space="preserve"> </w:t>
      </w:r>
      <w:r w:rsidRPr="00EC20A0">
        <w:rPr>
          <w:sz w:val="18"/>
        </w:rPr>
        <w:t>outs”</w:t>
      </w:r>
      <w:r w:rsidRPr="00EC20A0">
        <w:rPr>
          <w:spacing w:val="-2"/>
          <w:sz w:val="18"/>
        </w:rPr>
        <w:t xml:space="preserve"> </w:t>
      </w:r>
      <w:r w:rsidRPr="00EC20A0">
        <w:rPr>
          <w:sz w:val="18"/>
        </w:rPr>
        <w:t>of</w:t>
      </w:r>
      <w:r w:rsidRPr="00EC20A0">
        <w:rPr>
          <w:spacing w:val="-2"/>
          <w:sz w:val="18"/>
        </w:rPr>
        <w:t xml:space="preserve"> </w:t>
      </w:r>
      <w:r w:rsidRPr="00EC20A0">
        <w:rPr>
          <w:sz w:val="18"/>
        </w:rPr>
        <w:t>individual</w:t>
      </w:r>
      <w:r w:rsidRPr="00EC20A0">
        <w:rPr>
          <w:spacing w:val="-2"/>
          <w:sz w:val="18"/>
        </w:rPr>
        <w:t xml:space="preserve"> </w:t>
      </w:r>
      <w:r w:rsidRPr="00EC20A0">
        <w:rPr>
          <w:sz w:val="18"/>
        </w:rPr>
        <w:t>loans,</w:t>
      </w:r>
      <w:r w:rsidRPr="00EC20A0">
        <w:rPr>
          <w:spacing w:val="-1"/>
          <w:sz w:val="18"/>
        </w:rPr>
        <w:t xml:space="preserve"> </w:t>
      </w:r>
      <w:r w:rsidRPr="00EC20A0">
        <w:rPr>
          <w:sz w:val="18"/>
        </w:rPr>
        <w:t>such</w:t>
      </w:r>
      <w:r w:rsidRPr="00EC20A0">
        <w:rPr>
          <w:spacing w:val="-3"/>
          <w:sz w:val="18"/>
        </w:rPr>
        <w:t xml:space="preserve"> </w:t>
      </w:r>
      <w:r w:rsidRPr="00EC20A0">
        <w:rPr>
          <w:sz w:val="18"/>
        </w:rPr>
        <w:t>as</w:t>
      </w:r>
      <w:r w:rsidRPr="00EC20A0">
        <w:rPr>
          <w:spacing w:val="-1"/>
          <w:sz w:val="18"/>
        </w:rPr>
        <w:t xml:space="preserve"> </w:t>
      </w:r>
      <w:r w:rsidRPr="00EC20A0">
        <w:rPr>
          <w:sz w:val="18"/>
        </w:rPr>
        <w:t>a</w:t>
      </w:r>
      <w:r w:rsidRPr="00EC20A0">
        <w:rPr>
          <w:spacing w:val="-3"/>
          <w:sz w:val="18"/>
        </w:rPr>
        <w:t xml:space="preserve"> </w:t>
      </w:r>
      <w:r w:rsidRPr="00EC20A0">
        <w:rPr>
          <w:sz w:val="18"/>
        </w:rPr>
        <w:t>change</w:t>
      </w:r>
      <w:r w:rsidRPr="00EC20A0">
        <w:rPr>
          <w:spacing w:val="-3"/>
          <w:sz w:val="18"/>
        </w:rPr>
        <w:t xml:space="preserve"> </w:t>
      </w:r>
      <w:r w:rsidRPr="00EC20A0">
        <w:rPr>
          <w:sz w:val="18"/>
        </w:rPr>
        <w:t>in</w:t>
      </w:r>
      <w:r w:rsidRPr="00EC20A0">
        <w:rPr>
          <w:spacing w:val="-3"/>
          <w:sz w:val="18"/>
        </w:rPr>
        <w:t xml:space="preserve"> </w:t>
      </w:r>
      <w:r w:rsidRPr="00EC20A0">
        <w:rPr>
          <w:sz w:val="18"/>
        </w:rPr>
        <w:t>the</w:t>
      </w:r>
      <w:r w:rsidRPr="00EC20A0">
        <w:rPr>
          <w:spacing w:val="-3"/>
          <w:sz w:val="18"/>
        </w:rPr>
        <w:t xml:space="preserve"> </w:t>
      </w:r>
      <w:r w:rsidRPr="00EC20A0">
        <w:rPr>
          <w:sz w:val="18"/>
        </w:rPr>
        <w:t>amount</w:t>
      </w:r>
      <w:r w:rsidRPr="00EC20A0">
        <w:rPr>
          <w:spacing w:val="-1"/>
          <w:sz w:val="18"/>
        </w:rPr>
        <w:t xml:space="preserve"> </w:t>
      </w:r>
      <w:r w:rsidRPr="00EC20A0">
        <w:rPr>
          <w:sz w:val="18"/>
        </w:rPr>
        <w:t>or</w:t>
      </w:r>
      <w:r w:rsidRPr="00EC20A0">
        <w:rPr>
          <w:spacing w:val="-2"/>
          <w:sz w:val="18"/>
        </w:rPr>
        <w:t xml:space="preserve"> </w:t>
      </w:r>
      <w:r w:rsidRPr="00EC20A0">
        <w:rPr>
          <w:sz w:val="18"/>
        </w:rPr>
        <w:t>timing</w:t>
      </w:r>
      <w:r w:rsidRPr="00EC20A0">
        <w:rPr>
          <w:spacing w:val="-3"/>
          <w:sz w:val="18"/>
        </w:rPr>
        <w:t xml:space="preserve"> </w:t>
      </w:r>
      <w:r w:rsidRPr="00EC20A0">
        <w:rPr>
          <w:sz w:val="18"/>
        </w:rPr>
        <w:t>of</w:t>
      </w:r>
      <w:r w:rsidRPr="00EC20A0">
        <w:rPr>
          <w:spacing w:val="-2"/>
          <w:sz w:val="18"/>
        </w:rPr>
        <w:t xml:space="preserve"> </w:t>
      </w:r>
      <w:r w:rsidRPr="00EC20A0">
        <w:rPr>
          <w:sz w:val="18"/>
        </w:rPr>
        <w:t>payments</w:t>
      </w:r>
      <w:r w:rsidRPr="00EC20A0">
        <w:rPr>
          <w:spacing w:val="-2"/>
          <w:sz w:val="18"/>
        </w:rPr>
        <w:t xml:space="preserve"> </w:t>
      </w:r>
      <w:r w:rsidRPr="00EC20A0">
        <w:rPr>
          <w:sz w:val="18"/>
        </w:rPr>
        <w:t>to</w:t>
      </w:r>
      <w:r w:rsidRPr="00EC20A0">
        <w:rPr>
          <w:spacing w:val="-3"/>
          <w:sz w:val="18"/>
        </w:rPr>
        <w:t xml:space="preserve"> </w:t>
      </w:r>
      <w:r w:rsidRPr="00EC20A0">
        <w:rPr>
          <w:sz w:val="18"/>
        </w:rPr>
        <w:t>be</w:t>
      </w:r>
      <w:r w:rsidRPr="00EC20A0">
        <w:rPr>
          <w:spacing w:val="-3"/>
          <w:sz w:val="18"/>
        </w:rPr>
        <w:t xml:space="preserve"> </w:t>
      </w:r>
      <w:r w:rsidRPr="00EC20A0">
        <w:rPr>
          <w:sz w:val="18"/>
        </w:rPr>
        <w:t>made,</w:t>
      </w:r>
      <w:r w:rsidRPr="00EC20A0">
        <w:rPr>
          <w:spacing w:val="-2"/>
          <w:sz w:val="18"/>
        </w:rPr>
        <w:t xml:space="preserve"> </w:t>
      </w:r>
      <w:r w:rsidRPr="00EC20A0">
        <w:rPr>
          <w:sz w:val="18"/>
        </w:rPr>
        <w:t>would</w:t>
      </w:r>
      <w:r w:rsidRPr="00EC20A0">
        <w:rPr>
          <w:spacing w:val="-3"/>
          <w:sz w:val="18"/>
        </w:rPr>
        <w:t xml:space="preserve"> </w:t>
      </w:r>
      <w:r w:rsidRPr="00EC20A0">
        <w:rPr>
          <w:sz w:val="18"/>
        </w:rPr>
        <w:t>not</w:t>
      </w:r>
      <w:r w:rsidRPr="00EC20A0">
        <w:rPr>
          <w:spacing w:val="-2"/>
          <w:sz w:val="18"/>
        </w:rPr>
        <w:t xml:space="preserve"> </w:t>
      </w:r>
      <w:r w:rsidRPr="00EC20A0">
        <w:rPr>
          <w:sz w:val="18"/>
        </w:rPr>
        <w:t>be</w:t>
      </w:r>
      <w:r w:rsidRPr="00EC20A0">
        <w:rPr>
          <w:spacing w:val="-1"/>
          <w:sz w:val="18"/>
        </w:rPr>
        <w:t xml:space="preserve"> </w:t>
      </w:r>
      <w:r w:rsidRPr="00EC20A0">
        <w:rPr>
          <w:sz w:val="18"/>
        </w:rPr>
        <w:t>considered</w:t>
      </w:r>
      <w:r w:rsidRPr="00EC20A0">
        <w:rPr>
          <w:spacing w:val="-3"/>
          <w:sz w:val="18"/>
        </w:rPr>
        <w:t xml:space="preserve"> </w:t>
      </w:r>
      <w:r w:rsidRPr="00EC20A0">
        <w:rPr>
          <w:sz w:val="18"/>
        </w:rPr>
        <w:t>modifications.</w:t>
      </w:r>
      <w:r w:rsidRPr="00EC20A0">
        <w:rPr>
          <w:spacing w:val="-2"/>
          <w:sz w:val="18"/>
        </w:rPr>
        <w:t xml:space="preserve"> </w:t>
      </w:r>
      <w:r w:rsidRPr="00EC20A0">
        <w:rPr>
          <w:sz w:val="18"/>
        </w:rPr>
        <w:t>The</w:t>
      </w:r>
      <w:r w:rsidRPr="00EC20A0">
        <w:rPr>
          <w:spacing w:val="-1"/>
          <w:sz w:val="18"/>
        </w:rPr>
        <w:t xml:space="preserve"> </w:t>
      </w:r>
      <w:r w:rsidRPr="00EC20A0">
        <w:rPr>
          <w:sz w:val="18"/>
        </w:rPr>
        <w:t>effects</w:t>
      </w:r>
      <w:r w:rsidRPr="00EC20A0">
        <w:rPr>
          <w:spacing w:val="-2"/>
          <w:sz w:val="18"/>
        </w:rPr>
        <w:t xml:space="preserve"> </w:t>
      </w:r>
      <w:r w:rsidRPr="00EC20A0">
        <w:rPr>
          <w:sz w:val="18"/>
        </w:rPr>
        <w:t>of</w:t>
      </w:r>
      <w:r w:rsidRPr="00EC20A0">
        <w:rPr>
          <w:spacing w:val="-2"/>
          <w:sz w:val="18"/>
        </w:rPr>
        <w:t xml:space="preserve"> </w:t>
      </w:r>
      <w:r w:rsidRPr="00EC20A0">
        <w:rPr>
          <w:sz w:val="18"/>
        </w:rPr>
        <w:t xml:space="preserve">these changes should be included in the annual </w:t>
      </w:r>
      <w:proofErr w:type="spellStart"/>
      <w:r w:rsidRPr="00EC20A0">
        <w:rPr>
          <w:sz w:val="18"/>
        </w:rPr>
        <w:t>reestimates</w:t>
      </w:r>
      <w:proofErr w:type="spellEnd"/>
      <w:r w:rsidRPr="00EC20A0">
        <w:rPr>
          <w:sz w:val="18"/>
        </w:rPr>
        <w:t xml:space="preserve"> of the estimated net present value of the obligations. Permanent indefinite authority is provided by FCRA for these </w:t>
      </w:r>
      <w:proofErr w:type="spellStart"/>
      <w:r w:rsidRPr="00EC20A0">
        <w:rPr>
          <w:sz w:val="18"/>
        </w:rPr>
        <w:t>reestimates</w:t>
      </w:r>
      <w:proofErr w:type="spellEnd"/>
      <w:r w:rsidRPr="00EC20A0">
        <w:rPr>
          <w:sz w:val="18"/>
        </w:rPr>
        <w:t>. 2 U.S.C. § 661c(f).</w:t>
      </w:r>
    </w:p>
    <w:p w14:paraId="24D60F28" w14:textId="77777777" w:rsidR="00245300" w:rsidRPr="00EC20A0" w:rsidRDefault="00F17249">
      <w:pPr>
        <w:spacing w:before="125" w:line="249" w:lineRule="auto"/>
        <w:ind w:left="120" w:hanging="1"/>
        <w:rPr>
          <w:sz w:val="18"/>
        </w:rPr>
      </w:pPr>
      <w:r w:rsidRPr="00EC20A0">
        <w:rPr>
          <w:position w:val="7"/>
          <w:sz w:val="14"/>
        </w:rPr>
        <w:t>12</w:t>
      </w:r>
      <w:r w:rsidRPr="00EC20A0">
        <w:rPr>
          <w:sz w:val="18"/>
        </w:rPr>
        <w:t>Prior</w:t>
      </w:r>
      <w:r w:rsidRPr="00EC20A0">
        <w:rPr>
          <w:spacing w:val="-2"/>
          <w:sz w:val="18"/>
        </w:rPr>
        <w:t xml:space="preserve"> </w:t>
      </w:r>
      <w:r w:rsidRPr="00EC20A0">
        <w:rPr>
          <w:sz w:val="18"/>
        </w:rPr>
        <w:t>to</w:t>
      </w:r>
      <w:r w:rsidRPr="00EC20A0">
        <w:rPr>
          <w:spacing w:val="-3"/>
          <w:sz w:val="18"/>
        </w:rPr>
        <w:t xml:space="preserve"> </w:t>
      </w:r>
      <w:r w:rsidRPr="00EC20A0">
        <w:rPr>
          <w:sz w:val="18"/>
        </w:rPr>
        <w:t>performing</w:t>
      </w:r>
      <w:r w:rsidRPr="00EC20A0">
        <w:rPr>
          <w:spacing w:val="-3"/>
          <w:sz w:val="18"/>
        </w:rPr>
        <w:t xml:space="preserve"> </w:t>
      </w:r>
      <w:r w:rsidRPr="00EC20A0">
        <w:rPr>
          <w:sz w:val="18"/>
        </w:rPr>
        <w:t>control</w:t>
      </w:r>
      <w:r w:rsidRPr="00EC20A0">
        <w:rPr>
          <w:spacing w:val="-2"/>
          <w:sz w:val="18"/>
        </w:rPr>
        <w:t xml:space="preserve"> </w:t>
      </w:r>
      <w:r w:rsidRPr="00EC20A0">
        <w:rPr>
          <w:sz w:val="18"/>
        </w:rPr>
        <w:t>or</w:t>
      </w:r>
      <w:r w:rsidRPr="00EC20A0">
        <w:rPr>
          <w:spacing w:val="-1"/>
          <w:sz w:val="18"/>
        </w:rPr>
        <w:t xml:space="preserve"> </w:t>
      </w:r>
      <w:r w:rsidRPr="00EC20A0">
        <w:rPr>
          <w:sz w:val="18"/>
        </w:rPr>
        <w:t>compliance</w:t>
      </w:r>
      <w:r w:rsidRPr="00EC20A0">
        <w:rPr>
          <w:spacing w:val="-3"/>
          <w:sz w:val="18"/>
        </w:rPr>
        <w:t xml:space="preserve"> </w:t>
      </w:r>
      <w:r w:rsidRPr="00EC20A0">
        <w:rPr>
          <w:sz w:val="18"/>
        </w:rPr>
        <w:t>tests,</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1"/>
          <w:sz w:val="18"/>
        </w:rPr>
        <w:t xml:space="preserve"> </w:t>
      </w:r>
      <w:r w:rsidRPr="00EC20A0">
        <w:rPr>
          <w:sz w:val="18"/>
        </w:rPr>
        <w:t>should</w:t>
      </w:r>
      <w:r w:rsidRPr="00EC20A0">
        <w:rPr>
          <w:spacing w:val="-3"/>
          <w:sz w:val="18"/>
        </w:rPr>
        <w:t xml:space="preserve"> </w:t>
      </w:r>
      <w:r w:rsidRPr="00EC20A0">
        <w:rPr>
          <w:sz w:val="18"/>
        </w:rPr>
        <w:t>discuss</w:t>
      </w:r>
      <w:r w:rsidRPr="00EC20A0">
        <w:rPr>
          <w:spacing w:val="-2"/>
          <w:sz w:val="18"/>
        </w:rPr>
        <w:t xml:space="preserve"> </w:t>
      </w:r>
      <w:r w:rsidRPr="00EC20A0">
        <w:rPr>
          <w:sz w:val="18"/>
        </w:rPr>
        <w:t>with</w:t>
      </w:r>
      <w:r w:rsidRPr="00EC20A0">
        <w:rPr>
          <w:spacing w:val="-3"/>
          <w:sz w:val="18"/>
        </w:rPr>
        <w:t xml:space="preserve"> </w:t>
      </w:r>
      <w:r w:rsidRPr="00EC20A0">
        <w:rPr>
          <w:sz w:val="18"/>
        </w:rPr>
        <w:t>OGC</w:t>
      </w:r>
      <w:r w:rsidRPr="00EC20A0">
        <w:rPr>
          <w:spacing w:val="-2"/>
          <w:sz w:val="18"/>
        </w:rPr>
        <w:t xml:space="preserve"> </w:t>
      </w:r>
      <w:r w:rsidRPr="00EC20A0">
        <w:rPr>
          <w:sz w:val="18"/>
        </w:rPr>
        <w:t>the</w:t>
      </w:r>
      <w:r w:rsidRPr="00EC20A0">
        <w:rPr>
          <w:spacing w:val="-3"/>
          <w:sz w:val="18"/>
        </w:rPr>
        <w:t xml:space="preserve"> </w:t>
      </w:r>
      <w:r w:rsidRPr="00EC20A0">
        <w:rPr>
          <w:sz w:val="18"/>
        </w:rPr>
        <w:t>applicability</w:t>
      </w:r>
      <w:r w:rsidRPr="00EC20A0">
        <w:rPr>
          <w:spacing w:val="-2"/>
          <w:sz w:val="18"/>
        </w:rPr>
        <w:t xml:space="preserve"> </w:t>
      </w:r>
      <w:r w:rsidRPr="00EC20A0">
        <w:rPr>
          <w:sz w:val="18"/>
        </w:rPr>
        <w:t>of</w:t>
      </w:r>
      <w:r w:rsidRPr="00EC20A0">
        <w:rPr>
          <w:spacing w:val="-1"/>
          <w:sz w:val="18"/>
        </w:rPr>
        <w:t xml:space="preserve"> </w:t>
      </w:r>
      <w:r w:rsidRPr="00EC20A0">
        <w:rPr>
          <w:sz w:val="18"/>
        </w:rPr>
        <w:t>this</w:t>
      </w:r>
      <w:r w:rsidRPr="00EC20A0">
        <w:rPr>
          <w:spacing w:val="-2"/>
          <w:sz w:val="18"/>
        </w:rPr>
        <w:t xml:space="preserve"> </w:t>
      </w:r>
      <w:r w:rsidRPr="00EC20A0">
        <w:rPr>
          <w:sz w:val="18"/>
        </w:rPr>
        <w:t>budget</w:t>
      </w:r>
      <w:r w:rsidRPr="00EC20A0">
        <w:rPr>
          <w:spacing w:val="-2"/>
          <w:sz w:val="18"/>
        </w:rPr>
        <w:t xml:space="preserve"> </w:t>
      </w:r>
      <w:r w:rsidRPr="00EC20A0">
        <w:rPr>
          <w:sz w:val="18"/>
        </w:rPr>
        <w:t>restriction</w:t>
      </w:r>
      <w:r w:rsidRPr="00EC20A0">
        <w:rPr>
          <w:spacing w:val="-3"/>
          <w:sz w:val="18"/>
        </w:rPr>
        <w:t xml:space="preserve"> </w:t>
      </w:r>
      <w:r w:rsidRPr="00EC20A0">
        <w:rPr>
          <w:sz w:val="18"/>
        </w:rPr>
        <w:t>related</w:t>
      </w:r>
      <w:r w:rsidRPr="00EC20A0">
        <w:rPr>
          <w:spacing w:val="-1"/>
          <w:sz w:val="18"/>
        </w:rPr>
        <w:t xml:space="preserve"> </w:t>
      </w:r>
      <w:r w:rsidRPr="00EC20A0">
        <w:rPr>
          <w:sz w:val="18"/>
        </w:rPr>
        <w:t>to</w:t>
      </w:r>
      <w:r w:rsidRPr="00EC20A0">
        <w:rPr>
          <w:spacing w:val="-3"/>
          <w:sz w:val="18"/>
        </w:rPr>
        <w:t xml:space="preserve"> </w:t>
      </w:r>
      <w:r w:rsidRPr="00EC20A0">
        <w:rPr>
          <w:sz w:val="18"/>
        </w:rPr>
        <w:t>modification</w:t>
      </w:r>
      <w:r w:rsidRPr="00EC20A0">
        <w:rPr>
          <w:spacing w:val="-1"/>
          <w:sz w:val="18"/>
        </w:rPr>
        <w:t xml:space="preserve"> </w:t>
      </w:r>
      <w:r w:rsidRPr="00EC20A0">
        <w:rPr>
          <w:sz w:val="18"/>
        </w:rPr>
        <w:t>of</w:t>
      </w:r>
      <w:r w:rsidRPr="00EC20A0">
        <w:rPr>
          <w:spacing w:val="-2"/>
          <w:sz w:val="18"/>
        </w:rPr>
        <w:t xml:space="preserve"> </w:t>
      </w:r>
      <w:r w:rsidRPr="00EC20A0">
        <w:rPr>
          <w:sz w:val="18"/>
        </w:rPr>
        <w:t>direct</w:t>
      </w:r>
      <w:r w:rsidRPr="00EC20A0">
        <w:rPr>
          <w:spacing w:val="-2"/>
          <w:sz w:val="18"/>
        </w:rPr>
        <w:t xml:space="preserve"> </w:t>
      </w:r>
      <w:r w:rsidRPr="00EC20A0">
        <w:rPr>
          <w:sz w:val="18"/>
        </w:rPr>
        <w:t>loans</w:t>
      </w:r>
      <w:r w:rsidRPr="00EC20A0">
        <w:rPr>
          <w:spacing w:val="-1"/>
          <w:sz w:val="18"/>
        </w:rPr>
        <w:t xml:space="preserve"> </w:t>
      </w:r>
      <w:r w:rsidRPr="00EC20A0">
        <w:rPr>
          <w:sz w:val="18"/>
        </w:rPr>
        <w:t>or direct loan obligations that were outstanding prior to October 1, 1991.</w:t>
      </w:r>
    </w:p>
    <w:p w14:paraId="24D60F29" w14:textId="77777777" w:rsidR="00245300" w:rsidRPr="00EC20A0" w:rsidRDefault="00F17249">
      <w:pPr>
        <w:spacing w:before="118" w:line="242" w:lineRule="auto"/>
        <w:ind w:left="119" w:right="197"/>
        <w:rPr>
          <w:sz w:val="18"/>
        </w:rPr>
      </w:pPr>
      <w:r w:rsidRPr="00EC20A0">
        <w:rPr>
          <w:position w:val="7"/>
          <w:sz w:val="14"/>
        </w:rPr>
        <w:t>13</w:t>
      </w:r>
      <w:r w:rsidRPr="00EC20A0">
        <w:rPr>
          <w:sz w:val="18"/>
        </w:rPr>
        <w:t>The</w:t>
      </w:r>
      <w:r w:rsidRPr="00EC20A0">
        <w:rPr>
          <w:spacing w:val="-1"/>
          <w:sz w:val="18"/>
        </w:rPr>
        <w:t xml:space="preserve"> </w:t>
      </w:r>
      <w:r w:rsidRPr="00EC20A0">
        <w:rPr>
          <w:sz w:val="18"/>
        </w:rPr>
        <w:t>auditor should</w:t>
      </w:r>
      <w:r w:rsidRPr="00EC20A0">
        <w:rPr>
          <w:spacing w:val="-1"/>
          <w:sz w:val="18"/>
        </w:rPr>
        <w:t xml:space="preserve"> </w:t>
      </w:r>
      <w:r w:rsidRPr="00EC20A0">
        <w:rPr>
          <w:sz w:val="18"/>
        </w:rPr>
        <w:t>determine the</w:t>
      </w:r>
      <w:r w:rsidRPr="00EC20A0">
        <w:rPr>
          <w:spacing w:val="-1"/>
          <w:sz w:val="18"/>
        </w:rPr>
        <w:t xml:space="preserve"> </w:t>
      </w:r>
      <w:r w:rsidRPr="00EC20A0">
        <w:rPr>
          <w:sz w:val="18"/>
        </w:rPr>
        <w:t>results of the</w:t>
      </w:r>
      <w:r w:rsidRPr="00EC20A0">
        <w:rPr>
          <w:spacing w:val="-1"/>
          <w:sz w:val="18"/>
        </w:rPr>
        <w:t xml:space="preserve"> </w:t>
      </w:r>
      <w:r w:rsidRPr="00EC20A0">
        <w:rPr>
          <w:sz w:val="18"/>
        </w:rPr>
        <w:t>evaluation</w:t>
      </w:r>
      <w:r w:rsidRPr="00EC20A0">
        <w:rPr>
          <w:spacing w:val="-1"/>
          <w:sz w:val="18"/>
        </w:rPr>
        <w:t xml:space="preserve"> </w:t>
      </w:r>
      <w:r w:rsidRPr="00EC20A0">
        <w:rPr>
          <w:sz w:val="18"/>
        </w:rPr>
        <w:t>and</w:t>
      </w:r>
      <w:r w:rsidRPr="00EC20A0">
        <w:rPr>
          <w:spacing w:val="-1"/>
          <w:sz w:val="18"/>
        </w:rPr>
        <w:t xml:space="preserve"> </w:t>
      </w:r>
      <w:r w:rsidRPr="00EC20A0">
        <w:rPr>
          <w:sz w:val="18"/>
        </w:rPr>
        <w:t>testing of budget controls and</w:t>
      </w:r>
      <w:r w:rsidRPr="00EC20A0">
        <w:rPr>
          <w:spacing w:val="-1"/>
          <w:sz w:val="18"/>
        </w:rPr>
        <w:t xml:space="preserve"> </w:t>
      </w:r>
      <w:r w:rsidRPr="00EC20A0">
        <w:rPr>
          <w:sz w:val="18"/>
        </w:rPr>
        <w:t>testing</w:t>
      </w:r>
      <w:r w:rsidRPr="00EC20A0">
        <w:rPr>
          <w:spacing w:val="-1"/>
          <w:sz w:val="18"/>
        </w:rPr>
        <w:t xml:space="preserve"> </w:t>
      </w:r>
      <w:r w:rsidRPr="00EC20A0">
        <w:rPr>
          <w:sz w:val="18"/>
        </w:rPr>
        <w:t>of the</w:t>
      </w:r>
      <w:r w:rsidRPr="00EC20A0">
        <w:rPr>
          <w:spacing w:val="-1"/>
          <w:sz w:val="18"/>
        </w:rPr>
        <w:t xml:space="preserve"> </w:t>
      </w:r>
      <w:r w:rsidRPr="00EC20A0">
        <w:rPr>
          <w:sz w:val="18"/>
        </w:rPr>
        <w:t>Statement of Budgetary Resources. These</w:t>
      </w:r>
      <w:r w:rsidRPr="00EC20A0">
        <w:rPr>
          <w:spacing w:val="-1"/>
          <w:sz w:val="18"/>
        </w:rPr>
        <w:t xml:space="preserve"> </w:t>
      </w:r>
      <w:r w:rsidRPr="00EC20A0">
        <w:rPr>
          <w:sz w:val="18"/>
        </w:rPr>
        <w:t xml:space="preserve">controls relate to the execution of budget authority and usually are the same controls that are used to comply with the </w:t>
      </w:r>
      <w:proofErr w:type="spellStart"/>
      <w:r w:rsidRPr="00EC20A0">
        <w:rPr>
          <w:sz w:val="18"/>
        </w:rPr>
        <w:t>Antideficiency</w:t>
      </w:r>
      <w:proofErr w:type="spellEnd"/>
      <w:r w:rsidRPr="00EC20A0">
        <w:rPr>
          <w:sz w:val="18"/>
        </w:rPr>
        <w:t xml:space="preserve"> Act and FCRA. Accordingly, additional consideration of controls that achieve the compliance objective generally is not necessary if the auditor has assessed whether the entity achieves all of the budget control</w:t>
      </w:r>
      <w:r w:rsidRPr="00EC20A0">
        <w:rPr>
          <w:spacing w:val="-2"/>
          <w:sz w:val="18"/>
        </w:rPr>
        <w:t xml:space="preserve"> </w:t>
      </w:r>
      <w:r w:rsidRPr="00EC20A0">
        <w:rPr>
          <w:sz w:val="18"/>
        </w:rPr>
        <w:t>objectives</w:t>
      </w:r>
      <w:r w:rsidRPr="00EC20A0">
        <w:rPr>
          <w:spacing w:val="-2"/>
          <w:sz w:val="18"/>
        </w:rPr>
        <w:t xml:space="preserve"> </w:t>
      </w:r>
      <w:r w:rsidRPr="00EC20A0">
        <w:rPr>
          <w:sz w:val="18"/>
        </w:rPr>
        <w:t>listed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395</w:t>
      </w:r>
      <w:r w:rsidRPr="00EC20A0">
        <w:rPr>
          <w:spacing w:val="-3"/>
          <w:sz w:val="18"/>
        </w:rPr>
        <w:t xml:space="preserve"> </w:t>
      </w:r>
      <w:r w:rsidRPr="00EC20A0">
        <w:rPr>
          <w:sz w:val="18"/>
        </w:rPr>
        <w:t>F,</w:t>
      </w:r>
      <w:r w:rsidRPr="00EC20A0">
        <w:rPr>
          <w:spacing w:val="-2"/>
          <w:sz w:val="18"/>
        </w:rPr>
        <w:t xml:space="preserve"> </w:t>
      </w:r>
      <w:r w:rsidRPr="00EC20A0">
        <w:rPr>
          <w:sz w:val="18"/>
        </w:rPr>
        <w:t>Budget</w:t>
      </w:r>
      <w:r w:rsidRPr="00EC20A0">
        <w:rPr>
          <w:spacing w:val="-2"/>
          <w:sz w:val="18"/>
        </w:rPr>
        <w:t xml:space="preserve"> </w:t>
      </w:r>
      <w:r w:rsidRPr="00EC20A0">
        <w:rPr>
          <w:sz w:val="18"/>
        </w:rPr>
        <w:t>Control</w:t>
      </w:r>
      <w:r w:rsidRPr="00EC20A0">
        <w:rPr>
          <w:spacing w:val="-2"/>
          <w:sz w:val="18"/>
        </w:rPr>
        <w:t xml:space="preserve"> </w:t>
      </w:r>
      <w:r w:rsidRPr="00EC20A0">
        <w:rPr>
          <w:sz w:val="18"/>
        </w:rPr>
        <w:t>Objective,</w:t>
      </w:r>
      <w:r w:rsidRPr="00EC20A0">
        <w:rPr>
          <w:spacing w:val="-2"/>
          <w:sz w:val="18"/>
        </w:rPr>
        <w:t xml:space="preserve"> </w:t>
      </w:r>
      <w:r w:rsidRPr="00EC20A0">
        <w:rPr>
          <w:sz w:val="18"/>
        </w:rPr>
        <w:t>including</w:t>
      </w:r>
      <w:r w:rsidRPr="00EC20A0">
        <w:rPr>
          <w:spacing w:val="-1"/>
          <w:sz w:val="18"/>
        </w:rPr>
        <w:t xml:space="preserve"> </w:t>
      </w:r>
      <w:r w:rsidRPr="00EC20A0">
        <w:rPr>
          <w:sz w:val="18"/>
        </w:rPr>
        <w:t>the</w:t>
      </w:r>
      <w:r w:rsidRPr="00EC20A0">
        <w:rPr>
          <w:spacing w:val="-3"/>
          <w:sz w:val="18"/>
        </w:rPr>
        <w:t xml:space="preserve"> </w:t>
      </w:r>
      <w:r w:rsidRPr="00EC20A0">
        <w:rPr>
          <w:sz w:val="18"/>
        </w:rPr>
        <w:t>supplemental</w:t>
      </w:r>
      <w:r w:rsidRPr="00EC20A0">
        <w:rPr>
          <w:spacing w:val="-2"/>
          <w:sz w:val="18"/>
        </w:rPr>
        <w:t xml:space="preserve"> </w:t>
      </w:r>
      <w:r w:rsidRPr="00EC20A0">
        <w:rPr>
          <w:sz w:val="18"/>
        </w:rPr>
        <w:t>control</w:t>
      </w:r>
      <w:r w:rsidRPr="00EC20A0">
        <w:rPr>
          <w:spacing w:val="-2"/>
          <w:sz w:val="18"/>
        </w:rPr>
        <w:t xml:space="preserve"> </w:t>
      </w:r>
      <w:r w:rsidRPr="00EC20A0">
        <w:rPr>
          <w:sz w:val="18"/>
        </w:rPr>
        <w:t>objectives</w:t>
      </w:r>
      <w:r w:rsidRPr="00EC20A0">
        <w:rPr>
          <w:spacing w:val="-2"/>
          <w:sz w:val="18"/>
        </w:rPr>
        <w:t xml:space="preserve"> </w:t>
      </w:r>
      <w:r w:rsidRPr="00EC20A0">
        <w:rPr>
          <w:sz w:val="18"/>
        </w:rPr>
        <w:t>for</w:t>
      </w:r>
      <w:r w:rsidRPr="00EC20A0">
        <w:rPr>
          <w:spacing w:val="-2"/>
          <w:sz w:val="18"/>
        </w:rPr>
        <w:t xml:space="preserve"> </w:t>
      </w:r>
      <w:r w:rsidRPr="00EC20A0">
        <w:rPr>
          <w:sz w:val="18"/>
        </w:rPr>
        <w:t>FCRA.</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should</w:t>
      </w:r>
      <w:r w:rsidRPr="00EC20A0">
        <w:rPr>
          <w:spacing w:val="-2"/>
          <w:sz w:val="18"/>
        </w:rPr>
        <w:t xml:space="preserve"> </w:t>
      </w:r>
      <w:r w:rsidRPr="00EC20A0">
        <w:rPr>
          <w:sz w:val="18"/>
        </w:rPr>
        <w:t>refer</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budget</w:t>
      </w:r>
      <w:r w:rsidRPr="00EC20A0">
        <w:rPr>
          <w:spacing w:val="-2"/>
          <w:sz w:val="18"/>
        </w:rPr>
        <w:t xml:space="preserve"> </w:t>
      </w:r>
      <w:r w:rsidRPr="00EC20A0">
        <w:rPr>
          <w:sz w:val="18"/>
        </w:rPr>
        <w:t>control evaluation and testing and perform any additional procedures considered necessary to conclude on whether compliance controls are effective.</w:t>
      </w:r>
    </w:p>
    <w:p w14:paraId="24D60F2A" w14:textId="77777777" w:rsidR="00245300" w:rsidRPr="00EC20A0" w:rsidRDefault="00245300">
      <w:pPr>
        <w:spacing w:line="242" w:lineRule="auto"/>
        <w:rPr>
          <w:sz w:val="18"/>
        </w:rPr>
        <w:sectPr w:rsidR="00245300" w:rsidRPr="00EC20A0">
          <w:pgSz w:w="15840" w:h="12240" w:orient="landscape"/>
          <w:pgMar w:top="1440" w:right="1220" w:bottom="940" w:left="960" w:header="721" w:footer="742" w:gutter="0"/>
          <w:cols w:space="720"/>
        </w:sectPr>
      </w:pPr>
    </w:p>
    <w:p w14:paraId="24D60F2B" w14:textId="77777777" w:rsidR="00245300" w:rsidRPr="00EC20A0" w:rsidRDefault="00245300">
      <w:pPr>
        <w:pStyle w:val="BodyText"/>
        <w:spacing w:before="3"/>
        <w:rPr>
          <w:sz w:val="2"/>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245300" w:rsidRPr="00EC20A0" w14:paraId="24D60F2F" w14:textId="77777777">
        <w:trPr>
          <w:trHeight w:val="1574"/>
        </w:trPr>
        <w:tc>
          <w:tcPr>
            <w:tcW w:w="13393" w:type="dxa"/>
            <w:gridSpan w:val="6"/>
          </w:tcPr>
          <w:p w14:paraId="24D60F2C" w14:textId="77777777" w:rsidR="00245300" w:rsidRPr="00EC20A0" w:rsidRDefault="00F17249">
            <w:pPr>
              <w:pStyle w:val="TableParagraph"/>
              <w:tabs>
                <w:tab w:val="left" w:pos="9319"/>
              </w:tabs>
              <w:spacing w:before="144"/>
              <w:ind w:right="196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195" w:name="_bookmark87"/>
            <w:bookmarkStart w:id="196" w:name="_bookmark88"/>
            <w:bookmarkStart w:id="197" w:name="_bookmark89"/>
            <w:bookmarkStart w:id="198" w:name="_bookmark90"/>
            <w:bookmarkStart w:id="199" w:name="_bookmark91"/>
            <w:bookmarkStart w:id="200" w:name="_bookmark92"/>
            <w:bookmarkEnd w:id="195"/>
            <w:bookmarkEnd w:id="196"/>
            <w:bookmarkEnd w:id="197"/>
            <w:bookmarkEnd w:id="198"/>
            <w:bookmarkEnd w:id="199"/>
            <w:bookmarkEnd w:id="200"/>
            <w:r w:rsidRPr="00EC20A0">
              <w:t>Prepared</w:t>
            </w:r>
            <w:r w:rsidRPr="00EC20A0">
              <w:rPr>
                <w:spacing w:val="-11"/>
              </w:rPr>
              <w:t xml:space="preserve"> </w:t>
            </w:r>
            <w:r w:rsidRPr="00EC20A0">
              <w:rPr>
                <w:spacing w:val="-5"/>
              </w:rPr>
              <w:t>by:</w:t>
            </w:r>
          </w:p>
          <w:p w14:paraId="24D60F2D" w14:textId="77777777" w:rsidR="00245300" w:rsidRPr="00EC20A0" w:rsidRDefault="00F17249">
            <w:pPr>
              <w:pStyle w:val="TableParagraph"/>
              <w:spacing w:before="12"/>
              <w:ind w:left="1974" w:right="1965"/>
              <w:jc w:val="center"/>
              <w:rPr>
                <w:b/>
                <w:sz w:val="24"/>
              </w:rPr>
            </w:pPr>
            <w:r w:rsidRPr="00EC20A0">
              <w:rPr>
                <w:noProof/>
              </w:rPr>
              <mc:AlternateContent>
                <mc:Choice Requires="wpg">
                  <w:drawing>
                    <wp:anchor distT="0" distB="0" distL="0" distR="0" simplePos="0" relativeHeight="475299840" behindDoc="1" locked="0" layoutInCell="1" allowOverlap="1" wp14:anchorId="24D62B97" wp14:editId="24D62B98">
                      <wp:simplePos x="0" y="0"/>
                      <wp:positionH relativeFrom="column">
                        <wp:posOffset>7052309</wp:posOffset>
                      </wp:positionH>
                      <wp:positionV relativeFrom="paragraph">
                        <wp:posOffset>91882</wp:posOffset>
                      </wp:positionV>
                      <wp:extent cx="1371600" cy="635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53" name="Graphic 453"/>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261ACE" id="Group 452" o:spid="_x0000_s1026" style="position:absolute;margin-left:555.3pt;margin-top:7.25pt;width:108pt;height:.5pt;z-index:-28016640;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17xcAIAAPMFAAAOAAAAZHJzL2Uyb0RvYy54bWykVE1v2zAMvQ/YfxB0X520a1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cj4bKhrrw5&#10;JJtvfzuWiXy4MiY2JdJbUo47kuP+j5zHRlgVOXeh+AdkbVnwz+dn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">
                      <v:shape id="Graphic 453"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" path="m1371600,l,,,6108r1371600,l1371600,xe" fillcolor="black" stroked="f">
                        <v:path arrowok="t"/>
                      </v:shape>
                    </v:group>
                  </w:pict>
                </mc:Fallback>
              </mc:AlternateContent>
            </w:r>
            <w:r w:rsidRPr="00EC20A0">
              <w:rPr>
                <w:noProof/>
              </w:rPr>
              <mc:AlternateContent>
                <mc:Choice Requires="wpg">
                  <w:drawing>
                    <wp:anchor distT="0" distB="0" distL="0" distR="0" simplePos="0" relativeHeight="475300864" behindDoc="1" locked="0" layoutInCell="1" allowOverlap="1" wp14:anchorId="24D62B99" wp14:editId="24D62B9A">
                      <wp:simplePos x="0" y="0"/>
                      <wp:positionH relativeFrom="column">
                        <wp:posOffset>7052309</wp:posOffset>
                      </wp:positionH>
                      <wp:positionV relativeFrom="paragraph">
                        <wp:posOffset>441640</wp:posOffset>
                      </wp:positionV>
                      <wp:extent cx="1371600" cy="635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55" name="Graphic 455"/>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439F87" id="Group 454" o:spid="_x0000_s1026" style="position:absolute;margin-left:555.3pt;margin-top:34.75pt;width:108pt;height:.5pt;z-index:-28015616;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k2cAIAAPMFAAAOAAAAZHJzL2Uyb0RvYy54bWykVE1v2zAMvQ/YfxB0X520a1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cj4bKhrrw5&#10;JJtvfzuWiXy4MiY2JdJbUo47kuP+j5zHRlgVOXeh+AdkbVnwz+fn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">
                      <v:shape id="Graphic 455"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" path="m1371600,l,,,6108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0F2E" w14:textId="77777777" w:rsidR="00245300" w:rsidRPr="00EC20A0" w:rsidRDefault="00F17249">
            <w:pPr>
              <w:pStyle w:val="TableParagraph"/>
              <w:tabs>
                <w:tab w:val="left" w:pos="9013"/>
              </w:tabs>
              <w:spacing w:before="10"/>
              <w:ind w:right="1720"/>
              <w:jc w:val="center"/>
            </w:pPr>
            <w:r w:rsidRPr="00EC20A0">
              <w:rPr>
                <w:noProof/>
              </w:rPr>
              <mc:AlternateContent>
                <mc:Choice Requires="wpg">
                  <w:drawing>
                    <wp:anchor distT="0" distB="0" distL="0" distR="0" simplePos="0" relativeHeight="475299328" behindDoc="1" locked="0" layoutInCell="1" allowOverlap="1" wp14:anchorId="24D62B9B" wp14:editId="24D62B9C">
                      <wp:simplePos x="0" y="0"/>
                      <wp:positionH relativeFrom="column">
                        <wp:posOffset>1274825</wp:posOffset>
                      </wp:positionH>
                      <wp:positionV relativeFrom="paragraph">
                        <wp:posOffset>-91198</wp:posOffset>
                      </wp:positionV>
                      <wp:extent cx="1205865" cy="635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57" name="Graphic 457"/>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4BDF5E" id="Group 456" o:spid="_x0000_s1026" style="position:absolute;margin-left:100.4pt;margin-top:-7.2pt;width:94.95pt;height:.5pt;z-index:-28017152;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6SZxBXQCAADzBQAADgAA&#10;AAAAAAAAAAAAAAAuAgAAZHJzL2Uyb0RvYy54bWxQSwECLQAUAAYACAAAACEALa106eEAAAALAQAA&#10;DwAAAAAAAAAAAAAAAADOBAAAZHJzL2Rvd25yZXYueG1sUEsFBgAAAAAEAAQA8wAAANwFAAAAAA==&#10;">
                      <v:shape id="Graphic 457"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" path="m1205484,l,,,6108r1205484,l1205484,xe" fillcolor="black" stroked="f">
                        <v:path arrowok="t"/>
                      </v:shape>
                    </v:group>
                  </w:pict>
                </mc:Fallback>
              </mc:AlternateContent>
            </w:r>
            <w:r w:rsidRPr="00EC20A0">
              <w:rPr>
                <w:noProof/>
              </w:rPr>
              <mc:AlternateContent>
                <mc:Choice Requires="wpg">
                  <w:drawing>
                    <wp:anchor distT="0" distB="0" distL="0" distR="0" simplePos="0" relativeHeight="475300352" behindDoc="1" locked="0" layoutInCell="1" allowOverlap="1" wp14:anchorId="24D62B9D" wp14:editId="24D62B9E">
                      <wp:simplePos x="0" y="0"/>
                      <wp:positionH relativeFrom="column">
                        <wp:posOffset>1274825</wp:posOffset>
                      </wp:positionH>
                      <wp:positionV relativeFrom="paragraph">
                        <wp:posOffset>258559</wp:posOffset>
                      </wp:positionV>
                      <wp:extent cx="1205865" cy="6350"/>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59" name="Graphic 459"/>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EC77CB" id="Group 458" o:spid="_x0000_s1026" style="position:absolute;margin-left:100.4pt;margin-top:20.35pt;width:94.95pt;height:.5pt;z-index:-28016128;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">
                      <v:shape id="Graphic 459"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" path="m1205484,l,,,6108r1205484,l1205484,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0F39" w14:textId="77777777">
        <w:trPr>
          <w:trHeight w:val="793"/>
        </w:trPr>
        <w:tc>
          <w:tcPr>
            <w:tcW w:w="4644" w:type="dxa"/>
            <w:tcBorders>
              <w:right w:val="single" w:sz="4" w:space="0" w:color="000000"/>
            </w:tcBorders>
          </w:tcPr>
          <w:p w14:paraId="24D60F30" w14:textId="77777777" w:rsidR="00245300" w:rsidRPr="00EC20A0" w:rsidRDefault="00245300">
            <w:pPr>
              <w:pStyle w:val="TableParagraph"/>
              <w:spacing w:before="143"/>
            </w:pPr>
          </w:p>
          <w:p w14:paraId="24D60F31"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2250" w:type="dxa"/>
            <w:tcBorders>
              <w:left w:val="single" w:sz="4" w:space="0" w:color="000000"/>
              <w:right w:val="single" w:sz="4" w:space="0" w:color="000000"/>
            </w:tcBorders>
          </w:tcPr>
          <w:p w14:paraId="24D60F32" w14:textId="77777777" w:rsidR="00245300" w:rsidRPr="00EC20A0" w:rsidRDefault="00245300">
            <w:pPr>
              <w:pStyle w:val="TableParagraph"/>
              <w:spacing w:before="143"/>
            </w:pPr>
          </w:p>
          <w:p w14:paraId="24D60F33" w14:textId="77777777" w:rsidR="00245300" w:rsidRPr="00EC20A0" w:rsidRDefault="00F17249">
            <w:pPr>
              <w:pStyle w:val="TableParagraph"/>
              <w:ind w:left="107"/>
            </w:pPr>
            <w:r w:rsidRPr="00EC20A0">
              <w:rPr>
                <w:spacing w:val="-2"/>
              </w:rPr>
              <w:t>Objective</w:t>
            </w:r>
          </w:p>
        </w:tc>
        <w:tc>
          <w:tcPr>
            <w:tcW w:w="1620" w:type="dxa"/>
            <w:tcBorders>
              <w:left w:val="single" w:sz="4" w:space="0" w:color="000000"/>
              <w:right w:val="single" w:sz="4" w:space="0" w:color="000000"/>
            </w:tcBorders>
          </w:tcPr>
          <w:p w14:paraId="24D60F34" w14:textId="77777777" w:rsidR="00245300" w:rsidRPr="00EC20A0" w:rsidRDefault="00F17249">
            <w:pPr>
              <w:pStyle w:val="TableParagraph"/>
              <w:spacing w:before="143"/>
              <w:ind w:left="107" w:right="215"/>
            </w:pPr>
            <w:r w:rsidRPr="00EC20A0">
              <w:rPr>
                <w:spacing w:val="-2"/>
              </w:rPr>
              <w:t>Control Activities</w:t>
            </w:r>
          </w:p>
        </w:tc>
        <w:tc>
          <w:tcPr>
            <w:tcW w:w="1402" w:type="dxa"/>
            <w:tcBorders>
              <w:left w:val="single" w:sz="4" w:space="0" w:color="000000"/>
              <w:right w:val="single" w:sz="4" w:space="0" w:color="000000"/>
            </w:tcBorders>
          </w:tcPr>
          <w:p w14:paraId="24D60F35" w14:textId="77777777" w:rsidR="00245300" w:rsidRPr="00EC20A0" w:rsidRDefault="00245300">
            <w:pPr>
              <w:pStyle w:val="TableParagraph"/>
              <w:spacing w:before="143"/>
            </w:pPr>
          </w:p>
          <w:p w14:paraId="24D60F36"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498" w:type="dxa"/>
            <w:tcBorders>
              <w:left w:val="single" w:sz="4" w:space="0" w:color="000000"/>
              <w:right w:val="single" w:sz="4" w:space="0" w:color="000000"/>
            </w:tcBorders>
          </w:tcPr>
          <w:p w14:paraId="24D60F37" w14:textId="77777777" w:rsidR="00245300" w:rsidRPr="00EC20A0" w:rsidRDefault="00F17249">
            <w:pPr>
              <w:pStyle w:val="TableParagraph"/>
              <w:spacing w:before="143"/>
              <w:ind w:left="107"/>
            </w:pPr>
            <w:r w:rsidRPr="00EC20A0">
              <w:rPr>
                <w:spacing w:val="-2"/>
              </w:rPr>
              <w:t>Effective controls?</w:t>
            </w:r>
          </w:p>
        </w:tc>
        <w:tc>
          <w:tcPr>
            <w:tcW w:w="1979" w:type="dxa"/>
            <w:tcBorders>
              <w:left w:val="single" w:sz="4" w:space="0" w:color="000000"/>
            </w:tcBorders>
          </w:tcPr>
          <w:p w14:paraId="24D60F38" w14:textId="77777777" w:rsidR="00245300" w:rsidRPr="00EC20A0" w:rsidRDefault="00F17249">
            <w:pPr>
              <w:pStyle w:val="TableParagraph"/>
              <w:spacing w:before="143"/>
              <w:ind w:left="107" w:right="140"/>
            </w:pPr>
            <w:r w:rsidRPr="00EC20A0">
              <w:t xml:space="preserve">Instances of </w:t>
            </w:r>
            <w:r w:rsidRPr="00EC20A0">
              <w:rPr>
                <w:spacing w:val="-2"/>
              </w:rPr>
              <w:t>noncompliance?</w:t>
            </w:r>
          </w:p>
        </w:tc>
      </w:tr>
      <w:tr w:rsidR="00245300" w:rsidRPr="00EC20A0" w14:paraId="24D60F44" w14:textId="77777777">
        <w:trPr>
          <w:trHeight w:val="2152"/>
        </w:trPr>
        <w:tc>
          <w:tcPr>
            <w:tcW w:w="4644" w:type="dxa"/>
            <w:tcBorders>
              <w:right w:val="single" w:sz="4" w:space="0" w:color="000000"/>
            </w:tcBorders>
          </w:tcPr>
          <w:p w14:paraId="24D60F3A" w14:textId="77777777" w:rsidR="00245300" w:rsidRPr="00EC20A0" w:rsidRDefault="00F17249">
            <w:pPr>
              <w:pStyle w:val="TableParagraph"/>
              <w:spacing w:before="143"/>
              <w:ind w:left="97"/>
              <w:rPr>
                <w:sz w:val="18"/>
              </w:rPr>
            </w:pPr>
            <w:r w:rsidRPr="00EC20A0">
              <w:rPr>
                <w:smallCaps/>
                <w:sz w:val="18"/>
              </w:rPr>
              <w:t>804.03.</w:t>
            </w:r>
            <w:r w:rsidRPr="00EC20A0">
              <w:rPr>
                <w:smallCaps/>
                <w:spacing w:val="-7"/>
                <w:sz w:val="18"/>
              </w:rPr>
              <w:t xml:space="preserve"> </w:t>
            </w:r>
            <w:r w:rsidRPr="00EC20A0">
              <w:rPr>
                <w:smallCaps/>
                <w:spacing w:val="14"/>
                <w:sz w:val="18"/>
              </w:rPr>
              <w:t xml:space="preserve"> </w:t>
            </w:r>
            <w:r w:rsidRPr="00EC20A0">
              <w:rPr>
                <w:smallCaps/>
                <w:sz w:val="18"/>
              </w:rPr>
              <w:t>Advance</w:t>
            </w:r>
            <w:r w:rsidRPr="00EC20A0">
              <w:rPr>
                <w:smallCaps/>
                <w:spacing w:val="-4"/>
                <w:sz w:val="18"/>
              </w:rPr>
              <w:t xml:space="preserve"> </w:t>
            </w:r>
            <w:r w:rsidRPr="00EC20A0">
              <w:rPr>
                <w:smallCaps/>
                <w:sz w:val="18"/>
              </w:rPr>
              <w:t>Budget</w:t>
            </w:r>
            <w:r w:rsidRPr="00EC20A0">
              <w:rPr>
                <w:smallCaps/>
                <w:spacing w:val="-4"/>
                <w:sz w:val="18"/>
              </w:rPr>
              <w:t xml:space="preserve"> </w:t>
            </w:r>
            <w:r w:rsidRPr="00EC20A0">
              <w:rPr>
                <w:smallCaps/>
                <w:sz w:val="18"/>
              </w:rPr>
              <w:t>Authority</w:t>
            </w:r>
            <w:r w:rsidRPr="00EC20A0">
              <w:rPr>
                <w:smallCaps/>
                <w:spacing w:val="-5"/>
                <w:sz w:val="18"/>
              </w:rPr>
              <w:t xml:space="preserve"> </w:t>
            </w:r>
            <w:r w:rsidRPr="00EC20A0">
              <w:rPr>
                <w:smallCaps/>
                <w:sz w:val="18"/>
              </w:rPr>
              <w:t>Required</w:t>
            </w:r>
            <w:r w:rsidRPr="00EC20A0">
              <w:rPr>
                <w:smallCaps/>
                <w:spacing w:val="-5"/>
                <w:sz w:val="18"/>
              </w:rPr>
              <w:t xml:space="preserve"> for</w:t>
            </w:r>
          </w:p>
          <w:p w14:paraId="24D60F3B" w14:textId="77777777" w:rsidR="00245300" w:rsidRPr="00EC20A0" w:rsidRDefault="00F17249">
            <w:pPr>
              <w:pStyle w:val="TableParagraph"/>
              <w:spacing w:before="2"/>
              <w:ind w:left="817"/>
              <w:rPr>
                <w:sz w:val="18"/>
              </w:rPr>
            </w:pPr>
            <w:r w:rsidRPr="00EC20A0">
              <w:rPr>
                <w:smallCaps/>
                <w:sz w:val="18"/>
              </w:rPr>
              <w:t>New</w:t>
            </w:r>
            <w:r w:rsidRPr="00EC20A0">
              <w:rPr>
                <w:smallCaps/>
                <w:spacing w:val="-3"/>
                <w:sz w:val="18"/>
              </w:rPr>
              <w:t xml:space="preserve"> </w:t>
            </w:r>
            <w:r w:rsidRPr="00EC20A0">
              <w:rPr>
                <w:smallCaps/>
                <w:sz w:val="18"/>
              </w:rPr>
              <w:t>Loan</w:t>
            </w:r>
            <w:r w:rsidRPr="00EC20A0">
              <w:rPr>
                <w:smallCaps/>
                <w:spacing w:val="-4"/>
                <w:sz w:val="18"/>
              </w:rPr>
              <w:t xml:space="preserve"> </w:t>
            </w:r>
            <w:r w:rsidRPr="00EC20A0">
              <w:rPr>
                <w:smallCaps/>
                <w:sz w:val="18"/>
              </w:rPr>
              <w:t>Guarantee</w:t>
            </w:r>
            <w:r w:rsidRPr="00EC20A0">
              <w:rPr>
                <w:smallCaps/>
                <w:spacing w:val="-3"/>
                <w:sz w:val="18"/>
              </w:rPr>
              <w:t xml:space="preserve"> </w:t>
            </w:r>
            <w:r w:rsidRPr="00EC20A0">
              <w:rPr>
                <w:smallCaps/>
                <w:spacing w:val="-2"/>
                <w:sz w:val="18"/>
              </w:rPr>
              <w:t>Commitments.</w:t>
            </w:r>
          </w:p>
          <w:p w14:paraId="24D60F3C" w14:textId="77777777" w:rsidR="00245300" w:rsidRPr="00EC20A0" w:rsidRDefault="00F17249">
            <w:pPr>
              <w:pStyle w:val="TableParagraph"/>
              <w:spacing w:before="144"/>
              <w:ind w:left="97"/>
              <w:rPr>
                <w:sz w:val="18"/>
              </w:rPr>
            </w:pPr>
            <w:r w:rsidRPr="00EC20A0">
              <w:rPr>
                <w:sz w:val="18"/>
              </w:rPr>
              <w:t>Provision</w:t>
            </w:r>
            <w:r w:rsidRPr="00EC20A0">
              <w:rPr>
                <w:spacing w:val="-8"/>
                <w:sz w:val="18"/>
              </w:rPr>
              <w:t xml:space="preserve"> </w:t>
            </w:r>
            <w:r w:rsidRPr="00EC20A0">
              <w:rPr>
                <w:sz w:val="18"/>
              </w:rPr>
              <w:t>Type:</w:t>
            </w:r>
            <w:r w:rsidRPr="00EC20A0">
              <w:rPr>
                <w:spacing w:val="-6"/>
                <w:sz w:val="18"/>
              </w:rPr>
              <w:t xml:space="preserve"> </w:t>
            </w:r>
            <w:r w:rsidRPr="00EC20A0">
              <w:rPr>
                <w:sz w:val="18"/>
              </w:rPr>
              <w:t>Quantitative-</w:t>
            </w:r>
            <w:r w:rsidRPr="00EC20A0">
              <w:rPr>
                <w:spacing w:val="-2"/>
                <w:sz w:val="18"/>
              </w:rPr>
              <w:t>based.</w:t>
            </w:r>
          </w:p>
          <w:p w14:paraId="24D60F3D" w14:textId="77777777" w:rsidR="00245300" w:rsidRPr="00EC20A0" w:rsidRDefault="00F17249">
            <w:pPr>
              <w:pStyle w:val="TableParagraph"/>
              <w:spacing w:before="145" w:line="237" w:lineRule="auto"/>
              <w:ind w:left="97" w:right="134"/>
              <w:rPr>
                <w:sz w:val="18"/>
              </w:rPr>
            </w:pPr>
            <w:r w:rsidRPr="00EC20A0">
              <w:rPr>
                <w:sz w:val="18"/>
              </w:rPr>
              <w:t>Loan</w:t>
            </w:r>
            <w:r w:rsidRPr="00EC20A0">
              <w:rPr>
                <w:spacing w:val="-6"/>
                <w:sz w:val="18"/>
              </w:rPr>
              <w:t xml:space="preserve"> </w:t>
            </w:r>
            <w:r w:rsidRPr="00EC20A0">
              <w:rPr>
                <w:sz w:val="18"/>
              </w:rPr>
              <w:t>guarantee</w:t>
            </w:r>
            <w:r w:rsidRPr="00EC20A0">
              <w:rPr>
                <w:spacing w:val="-6"/>
                <w:sz w:val="18"/>
              </w:rPr>
              <w:t xml:space="preserve"> </w:t>
            </w:r>
            <w:r w:rsidRPr="00EC20A0">
              <w:rPr>
                <w:sz w:val="18"/>
              </w:rPr>
              <w:t>commitments</w:t>
            </w:r>
            <w:r w:rsidRPr="00EC20A0">
              <w:rPr>
                <w:spacing w:val="-4"/>
                <w:sz w:val="18"/>
              </w:rPr>
              <w:t xml:space="preserve"> </w:t>
            </w:r>
            <w:r w:rsidRPr="00EC20A0">
              <w:rPr>
                <w:sz w:val="18"/>
              </w:rPr>
              <w:t>may</w:t>
            </w:r>
            <w:r w:rsidRPr="00EC20A0">
              <w:rPr>
                <w:spacing w:val="-5"/>
                <w:sz w:val="18"/>
              </w:rPr>
              <w:t xml:space="preserve"> </w:t>
            </w:r>
            <w:r w:rsidRPr="00EC20A0">
              <w:rPr>
                <w:sz w:val="18"/>
              </w:rPr>
              <w:t>be</w:t>
            </w:r>
            <w:r w:rsidRPr="00EC20A0">
              <w:rPr>
                <w:spacing w:val="-6"/>
                <w:sz w:val="18"/>
              </w:rPr>
              <w:t xml:space="preserve"> </w:t>
            </w:r>
            <w:r w:rsidRPr="00EC20A0">
              <w:rPr>
                <w:sz w:val="18"/>
              </w:rPr>
              <w:t>made</w:t>
            </w:r>
            <w:r w:rsidRPr="00EC20A0">
              <w:rPr>
                <w:spacing w:val="-4"/>
                <w:sz w:val="18"/>
              </w:rPr>
              <w:t xml:space="preserve"> </w:t>
            </w:r>
            <w:r w:rsidRPr="00EC20A0">
              <w:rPr>
                <w:sz w:val="18"/>
              </w:rPr>
              <w:t>on</w:t>
            </w:r>
            <w:r w:rsidRPr="00EC20A0">
              <w:rPr>
                <w:spacing w:val="-6"/>
                <w:sz w:val="18"/>
              </w:rPr>
              <w:t xml:space="preserve"> </w:t>
            </w:r>
            <w:r w:rsidRPr="00EC20A0">
              <w:rPr>
                <w:sz w:val="18"/>
              </w:rPr>
              <w:t>or</w:t>
            </w:r>
            <w:r w:rsidRPr="00EC20A0">
              <w:rPr>
                <w:spacing w:val="-5"/>
                <w:sz w:val="18"/>
              </w:rPr>
              <w:t xml:space="preserve"> </w:t>
            </w:r>
            <w:r w:rsidRPr="00EC20A0">
              <w:rPr>
                <w:sz w:val="18"/>
              </w:rPr>
              <w:t>after October 1, 1991, only to the extent that an appropriation or other budget authority is available to cover these costs.</w:t>
            </w:r>
            <w:hyperlink w:anchor="_bookmark87" w:history="1">
              <w:r w:rsidRPr="00EC20A0">
                <w:rPr>
                  <w:position w:val="6"/>
                  <w:sz w:val="12"/>
                </w:rPr>
                <w:t>14</w:t>
              </w:r>
            </w:hyperlink>
            <w:r w:rsidRPr="00EC20A0">
              <w:rPr>
                <w:position w:val="6"/>
                <w:sz w:val="12"/>
              </w:rPr>
              <w:t xml:space="preserve">, </w:t>
            </w:r>
            <w:hyperlink w:anchor="_bookmark88" w:history="1">
              <w:r w:rsidRPr="00EC20A0">
                <w:rPr>
                  <w:position w:val="6"/>
                  <w:sz w:val="12"/>
                </w:rPr>
                <w:t>15</w:t>
              </w:r>
            </w:hyperlink>
            <w:r w:rsidRPr="00EC20A0">
              <w:rPr>
                <w:position w:val="6"/>
                <w:sz w:val="12"/>
              </w:rPr>
              <w:t>,</w:t>
            </w:r>
            <w:hyperlink w:anchor="_bookmark89" w:history="1">
              <w:r w:rsidRPr="00EC20A0">
                <w:rPr>
                  <w:position w:val="6"/>
                  <w:sz w:val="12"/>
                </w:rPr>
                <w:t>16</w:t>
              </w:r>
            </w:hyperlink>
            <w:r w:rsidRPr="00EC20A0">
              <w:rPr>
                <w:position w:val="6"/>
                <w:sz w:val="12"/>
              </w:rPr>
              <w:t>,</w:t>
            </w:r>
            <w:r w:rsidRPr="00EC20A0">
              <w:rPr>
                <w:spacing w:val="-18"/>
                <w:position w:val="6"/>
                <w:sz w:val="12"/>
              </w:rPr>
              <w:t xml:space="preserve"> </w:t>
            </w:r>
            <w:hyperlink w:anchor="_bookmark90" w:history="1">
              <w:r w:rsidRPr="00EC20A0">
                <w:rPr>
                  <w:position w:val="6"/>
                  <w:sz w:val="12"/>
                </w:rPr>
                <w:t>17</w:t>
              </w:r>
            </w:hyperlink>
            <w:r w:rsidRPr="00EC20A0">
              <w:rPr>
                <w:position w:val="6"/>
                <w:sz w:val="12"/>
              </w:rPr>
              <w:t>,</w:t>
            </w:r>
            <w:hyperlink w:anchor="_bookmark91" w:history="1">
              <w:r w:rsidRPr="00EC20A0">
                <w:rPr>
                  <w:position w:val="6"/>
                  <w:sz w:val="12"/>
                </w:rPr>
                <w:t>18</w:t>
              </w:r>
            </w:hyperlink>
            <w:r w:rsidRPr="00EC20A0">
              <w:rPr>
                <w:spacing w:val="40"/>
                <w:position w:val="6"/>
                <w:sz w:val="12"/>
              </w:rPr>
              <w:t xml:space="preserve"> </w:t>
            </w:r>
            <w:r w:rsidRPr="00EC20A0">
              <w:rPr>
                <w:sz w:val="18"/>
              </w:rPr>
              <w:t>2 U.S.C. § 661c(b).</w:t>
            </w:r>
          </w:p>
        </w:tc>
        <w:tc>
          <w:tcPr>
            <w:tcW w:w="2250" w:type="dxa"/>
            <w:tcBorders>
              <w:left w:val="single" w:sz="4" w:space="0" w:color="000000"/>
              <w:right w:val="single" w:sz="4" w:space="0" w:color="000000"/>
            </w:tcBorders>
          </w:tcPr>
          <w:p w14:paraId="24D60F3E" w14:textId="77777777" w:rsidR="00245300" w:rsidRPr="00EC20A0" w:rsidRDefault="00F17249">
            <w:pPr>
              <w:pStyle w:val="TableParagraph"/>
              <w:spacing w:before="143"/>
              <w:ind w:left="107" w:right="195"/>
              <w:rPr>
                <w:sz w:val="18"/>
              </w:rPr>
            </w:pPr>
            <w:r w:rsidRPr="00EC20A0">
              <w:rPr>
                <w:sz w:val="18"/>
              </w:rPr>
              <w:t>Obligations</w:t>
            </w:r>
            <w:r w:rsidRPr="00EC20A0">
              <w:rPr>
                <w:spacing w:val="-13"/>
                <w:sz w:val="18"/>
              </w:rPr>
              <w:t xml:space="preserve"> </w:t>
            </w:r>
            <w:r w:rsidRPr="00EC20A0">
              <w:rPr>
                <w:sz w:val="18"/>
              </w:rPr>
              <w:t>for</w:t>
            </w:r>
            <w:r w:rsidRPr="00EC20A0">
              <w:rPr>
                <w:spacing w:val="-12"/>
                <w:sz w:val="18"/>
              </w:rPr>
              <w:t xml:space="preserve"> </w:t>
            </w:r>
            <w:r w:rsidRPr="00EC20A0">
              <w:rPr>
                <w:sz w:val="18"/>
              </w:rPr>
              <w:t>new</w:t>
            </w:r>
            <w:r w:rsidRPr="00EC20A0">
              <w:rPr>
                <w:spacing w:val="-13"/>
                <w:sz w:val="18"/>
              </w:rPr>
              <w:t xml:space="preserve"> </w:t>
            </w:r>
            <w:r w:rsidRPr="00EC20A0">
              <w:rPr>
                <w:sz w:val="18"/>
              </w:rPr>
              <w:t>loan guarantee</w:t>
            </w:r>
            <w:r w:rsidRPr="00EC20A0">
              <w:rPr>
                <w:spacing w:val="-13"/>
                <w:sz w:val="18"/>
              </w:rPr>
              <w:t xml:space="preserve"> </w:t>
            </w:r>
            <w:r w:rsidRPr="00EC20A0">
              <w:rPr>
                <w:sz w:val="18"/>
              </w:rPr>
              <w:t xml:space="preserve">commitments made on or </w:t>
            </w:r>
            <w:r w:rsidRPr="00EC20A0">
              <w:rPr>
                <w:sz w:val="18"/>
              </w:rPr>
              <w:t>after October 1, 1991, do not exceed the available appropriation or other budget authority. (See footnotes</w:t>
            </w:r>
            <w:r w:rsidRPr="00EC20A0">
              <w:rPr>
                <w:spacing w:val="-2"/>
                <w:sz w:val="18"/>
              </w:rPr>
              <w:t xml:space="preserve"> </w:t>
            </w:r>
            <w:r w:rsidRPr="00EC20A0">
              <w:rPr>
                <w:sz w:val="18"/>
              </w:rPr>
              <w:t>13</w:t>
            </w:r>
            <w:r w:rsidRPr="00EC20A0">
              <w:rPr>
                <w:spacing w:val="-3"/>
                <w:sz w:val="18"/>
              </w:rPr>
              <w:t xml:space="preserve"> </w:t>
            </w:r>
            <w:r w:rsidRPr="00EC20A0">
              <w:rPr>
                <w:sz w:val="18"/>
              </w:rPr>
              <w:t>through</w:t>
            </w:r>
            <w:r w:rsidRPr="00EC20A0">
              <w:rPr>
                <w:spacing w:val="-3"/>
                <w:sz w:val="18"/>
              </w:rPr>
              <w:t xml:space="preserve"> </w:t>
            </w:r>
            <w:r w:rsidRPr="00EC20A0">
              <w:rPr>
                <w:sz w:val="18"/>
              </w:rPr>
              <w:t xml:space="preserve">17 </w:t>
            </w:r>
            <w:r w:rsidRPr="00EC20A0">
              <w:rPr>
                <w:spacing w:val="-2"/>
                <w:sz w:val="18"/>
              </w:rPr>
              <w:t>below.)</w:t>
            </w:r>
          </w:p>
        </w:tc>
        <w:tc>
          <w:tcPr>
            <w:tcW w:w="1620" w:type="dxa"/>
            <w:tcBorders>
              <w:left w:val="single" w:sz="4" w:space="0" w:color="000000"/>
              <w:right w:val="single" w:sz="4" w:space="0" w:color="000000"/>
            </w:tcBorders>
          </w:tcPr>
          <w:p w14:paraId="24D60F3F" w14:textId="77777777" w:rsidR="00245300" w:rsidRPr="00EC20A0" w:rsidRDefault="00F17249">
            <w:pPr>
              <w:pStyle w:val="TableParagraph"/>
              <w:spacing w:before="143"/>
              <w:ind w:left="107" w:right="195"/>
              <w:rPr>
                <w:sz w:val="12"/>
              </w:rPr>
            </w:pPr>
            <w:r w:rsidRPr="00EC20A0">
              <w:rPr>
                <w:sz w:val="18"/>
              </w:rPr>
              <w:t xml:space="preserve">Consider pre- </w:t>
            </w:r>
            <w:r w:rsidRPr="00EC20A0">
              <w:rPr>
                <w:spacing w:val="-2"/>
                <w:sz w:val="18"/>
              </w:rPr>
              <w:t xml:space="preserve">testing </w:t>
            </w:r>
            <w:r w:rsidRPr="00EC20A0">
              <w:rPr>
                <w:sz w:val="18"/>
              </w:rPr>
              <w:t>discussions</w:t>
            </w:r>
            <w:r w:rsidRPr="00EC20A0">
              <w:rPr>
                <w:spacing w:val="-13"/>
                <w:sz w:val="18"/>
              </w:rPr>
              <w:t xml:space="preserve"> </w:t>
            </w:r>
            <w:r w:rsidRPr="00EC20A0">
              <w:rPr>
                <w:sz w:val="18"/>
              </w:rPr>
              <w:t xml:space="preserve">with </w:t>
            </w:r>
            <w:r w:rsidRPr="00EC20A0">
              <w:rPr>
                <w:spacing w:val="-2"/>
                <w:sz w:val="18"/>
              </w:rPr>
              <w:t>OGC.</w:t>
            </w:r>
            <w:hyperlink w:anchor="_bookmark92" w:history="1">
              <w:r w:rsidRPr="00EC20A0">
                <w:rPr>
                  <w:spacing w:val="-2"/>
                  <w:position w:val="6"/>
                  <w:sz w:val="12"/>
                </w:rPr>
                <w:t>19</w:t>
              </w:r>
            </w:hyperlink>
          </w:p>
        </w:tc>
        <w:tc>
          <w:tcPr>
            <w:tcW w:w="1402" w:type="dxa"/>
            <w:tcBorders>
              <w:left w:val="single" w:sz="4" w:space="0" w:color="000000"/>
              <w:right w:val="single" w:sz="4" w:space="0" w:color="000000"/>
            </w:tcBorders>
          </w:tcPr>
          <w:p w14:paraId="24D60F40" w14:textId="77777777" w:rsidR="00245300" w:rsidRPr="00EC20A0" w:rsidRDefault="00245300">
            <w:pPr>
              <w:pStyle w:val="TableParagraph"/>
              <w:rPr>
                <w:sz w:val="18"/>
              </w:rPr>
            </w:pPr>
          </w:p>
        </w:tc>
        <w:tc>
          <w:tcPr>
            <w:tcW w:w="1498" w:type="dxa"/>
            <w:tcBorders>
              <w:left w:val="single" w:sz="4" w:space="0" w:color="000000"/>
              <w:right w:val="single" w:sz="4" w:space="0" w:color="000000"/>
            </w:tcBorders>
          </w:tcPr>
          <w:p w14:paraId="24D60F41" w14:textId="77777777" w:rsidR="00245300" w:rsidRPr="00EC20A0" w:rsidRDefault="00245300">
            <w:pPr>
              <w:pStyle w:val="TableParagraph"/>
              <w:rPr>
                <w:sz w:val="18"/>
              </w:rPr>
            </w:pPr>
          </w:p>
        </w:tc>
        <w:tc>
          <w:tcPr>
            <w:tcW w:w="1979" w:type="dxa"/>
            <w:tcBorders>
              <w:left w:val="single" w:sz="4" w:space="0" w:color="000000"/>
            </w:tcBorders>
          </w:tcPr>
          <w:p w14:paraId="24D60F42" w14:textId="77777777" w:rsidR="00245300" w:rsidRPr="00EC20A0" w:rsidRDefault="00F17249">
            <w:pPr>
              <w:pStyle w:val="TableParagraph"/>
              <w:spacing w:before="143"/>
              <w:ind w:left="107" w:right="140"/>
              <w:rPr>
                <w:sz w:val="18"/>
              </w:rPr>
            </w:pPr>
            <w:r w:rsidRPr="00EC20A0">
              <w:rPr>
                <w:sz w:val="18"/>
              </w:rPr>
              <w:t xml:space="preserve">See </w:t>
            </w:r>
            <w:r w:rsidRPr="00EC20A0">
              <w:rPr>
                <w:sz w:val="18"/>
              </w:rPr>
              <w:t>Compliance Audit Procedures, FAM</w:t>
            </w:r>
            <w:r w:rsidRPr="00EC20A0">
              <w:rPr>
                <w:spacing w:val="-10"/>
                <w:sz w:val="18"/>
              </w:rPr>
              <w:t xml:space="preserve"> </w:t>
            </w:r>
            <w:r w:rsidRPr="00EC20A0">
              <w:rPr>
                <w:sz w:val="18"/>
              </w:rPr>
              <w:t>804</w:t>
            </w:r>
            <w:r w:rsidRPr="00EC20A0">
              <w:rPr>
                <w:spacing w:val="-11"/>
                <w:sz w:val="18"/>
              </w:rPr>
              <w:t xml:space="preserve"> </w:t>
            </w:r>
            <w:r w:rsidRPr="00EC20A0">
              <w:rPr>
                <w:sz w:val="18"/>
              </w:rPr>
              <w:t>steps</w:t>
            </w:r>
            <w:r w:rsidRPr="00EC20A0">
              <w:rPr>
                <w:spacing w:val="-9"/>
                <w:sz w:val="18"/>
              </w:rPr>
              <w:t xml:space="preserve"> </w:t>
            </w:r>
            <w:r w:rsidRPr="00EC20A0">
              <w:rPr>
                <w:sz w:val="18"/>
              </w:rPr>
              <w:t>3</w:t>
            </w:r>
            <w:r w:rsidRPr="00EC20A0">
              <w:rPr>
                <w:spacing w:val="-11"/>
                <w:sz w:val="18"/>
              </w:rPr>
              <w:t xml:space="preserve"> </w:t>
            </w:r>
            <w:r w:rsidRPr="00EC20A0">
              <w:rPr>
                <w:sz w:val="18"/>
              </w:rPr>
              <w:t>and</w:t>
            </w:r>
          </w:p>
          <w:p w14:paraId="24D60F43" w14:textId="77777777" w:rsidR="00245300" w:rsidRPr="00EC20A0" w:rsidRDefault="00F17249">
            <w:pPr>
              <w:pStyle w:val="TableParagraph"/>
              <w:spacing w:before="2"/>
              <w:ind w:left="107"/>
              <w:rPr>
                <w:sz w:val="18"/>
              </w:rPr>
            </w:pPr>
            <w:r w:rsidRPr="00EC20A0">
              <w:rPr>
                <w:spacing w:val="-5"/>
                <w:sz w:val="18"/>
              </w:rPr>
              <w:t>4.</w:t>
            </w:r>
          </w:p>
        </w:tc>
      </w:tr>
    </w:tbl>
    <w:p w14:paraId="24D60F45" w14:textId="77777777" w:rsidR="00245300" w:rsidRPr="00EC20A0" w:rsidRDefault="00F17249">
      <w:pPr>
        <w:pStyle w:val="BodyText"/>
        <w:spacing w:before="188"/>
        <w:rPr>
          <w:sz w:val="20"/>
        </w:rPr>
      </w:pPr>
      <w:r w:rsidRPr="00EC20A0">
        <w:rPr>
          <w:noProof/>
        </w:rPr>
        <mc:AlternateContent>
          <mc:Choice Requires="wps">
            <w:drawing>
              <wp:anchor distT="0" distB="0" distL="0" distR="0" simplePos="0" relativeHeight="487645696" behindDoc="1" locked="0" layoutInCell="1" allowOverlap="1" wp14:anchorId="24D62B9F" wp14:editId="24D62BA0">
                <wp:simplePos x="0" y="0"/>
                <wp:positionH relativeFrom="page">
                  <wp:posOffset>685800</wp:posOffset>
                </wp:positionH>
                <wp:positionV relativeFrom="paragraph">
                  <wp:posOffset>281052</wp:posOffset>
                </wp:positionV>
                <wp:extent cx="1828800" cy="6985"/>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284416" id="Graphic 460" o:spid="_x0000_s1026" style="position:absolute;margin-left:54pt;margin-top:22.15pt;width:2in;height:.55pt;z-index:-156707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" path="m1828800,l,,,6858r1828800,l1828800,xe" fillcolor="black" stroked="f">
                <v:path arrowok="t"/>
                <w10:wrap type="topAndBottom" anchorx="page"/>
              </v:shape>
            </w:pict>
          </mc:Fallback>
        </mc:AlternateContent>
      </w:r>
    </w:p>
    <w:p w14:paraId="24D60F46" w14:textId="77777777" w:rsidR="00245300" w:rsidRPr="00EC20A0" w:rsidRDefault="00245300">
      <w:pPr>
        <w:pStyle w:val="BodyText"/>
        <w:spacing w:before="10"/>
        <w:rPr>
          <w:sz w:val="18"/>
        </w:rPr>
      </w:pPr>
    </w:p>
    <w:p w14:paraId="24D60F47" w14:textId="77777777" w:rsidR="00245300" w:rsidRPr="00EC20A0" w:rsidRDefault="00F17249">
      <w:pPr>
        <w:spacing w:line="244" w:lineRule="auto"/>
        <w:ind w:left="119"/>
        <w:rPr>
          <w:sz w:val="18"/>
        </w:rPr>
      </w:pPr>
      <w:r w:rsidRPr="00EC20A0">
        <w:rPr>
          <w:position w:val="7"/>
          <w:sz w:val="14"/>
        </w:rPr>
        <w:t>14</w:t>
      </w:r>
      <w:r w:rsidRPr="00EC20A0">
        <w:rPr>
          <w:sz w:val="18"/>
        </w:rPr>
        <w:t>A loan guarantee is any guarantee, insurance, or other pledge with respect to the payment of all or a part of the principal or interest on any debt obligation of a nonfederal</w:t>
      </w:r>
      <w:r w:rsidRPr="00EC20A0">
        <w:rPr>
          <w:spacing w:val="-2"/>
          <w:sz w:val="18"/>
        </w:rPr>
        <w:t xml:space="preserve"> </w:t>
      </w:r>
      <w:r w:rsidRPr="00EC20A0">
        <w:rPr>
          <w:sz w:val="18"/>
        </w:rPr>
        <w:t>borrower</w:t>
      </w:r>
      <w:r w:rsidRPr="00EC20A0">
        <w:rPr>
          <w:spacing w:val="-2"/>
          <w:sz w:val="18"/>
        </w:rPr>
        <w:t xml:space="preserve"> </w:t>
      </w:r>
      <w:r w:rsidRPr="00EC20A0">
        <w:rPr>
          <w:sz w:val="18"/>
        </w:rPr>
        <w:t>to</w:t>
      </w:r>
      <w:r w:rsidRPr="00EC20A0">
        <w:rPr>
          <w:spacing w:val="-3"/>
          <w:sz w:val="18"/>
        </w:rPr>
        <w:t xml:space="preserve"> </w:t>
      </w:r>
      <w:r w:rsidRPr="00EC20A0">
        <w:rPr>
          <w:sz w:val="18"/>
        </w:rPr>
        <w:t>a</w:t>
      </w:r>
      <w:r w:rsidRPr="00EC20A0">
        <w:rPr>
          <w:spacing w:val="-3"/>
          <w:sz w:val="18"/>
        </w:rPr>
        <w:t xml:space="preserve"> </w:t>
      </w:r>
      <w:r w:rsidRPr="00EC20A0">
        <w:rPr>
          <w:sz w:val="18"/>
        </w:rPr>
        <w:t>nonfederal</w:t>
      </w:r>
      <w:r w:rsidRPr="00EC20A0">
        <w:rPr>
          <w:spacing w:val="-2"/>
          <w:sz w:val="18"/>
        </w:rPr>
        <w:t xml:space="preserve"> </w:t>
      </w:r>
      <w:r w:rsidRPr="00EC20A0">
        <w:rPr>
          <w:sz w:val="18"/>
        </w:rPr>
        <w:t>lender,</w:t>
      </w:r>
      <w:r w:rsidRPr="00EC20A0">
        <w:rPr>
          <w:spacing w:val="-2"/>
          <w:sz w:val="18"/>
        </w:rPr>
        <w:t xml:space="preserve"> </w:t>
      </w:r>
      <w:r w:rsidRPr="00EC20A0">
        <w:rPr>
          <w:sz w:val="18"/>
        </w:rPr>
        <w:t>but</w:t>
      </w:r>
      <w:r w:rsidRPr="00EC20A0">
        <w:rPr>
          <w:spacing w:val="-2"/>
          <w:sz w:val="18"/>
        </w:rPr>
        <w:t xml:space="preserve"> </w:t>
      </w:r>
      <w:r w:rsidRPr="00EC20A0">
        <w:rPr>
          <w:sz w:val="18"/>
        </w:rPr>
        <w:t>does</w:t>
      </w:r>
      <w:r w:rsidRPr="00EC20A0">
        <w:rPr>
          <w:spacing w:val="-1"/>
          <w:sz w:val="18"/>
        </w:rPr>
        <w:t xml:space="preserve"> </w:t>
      </w:r>
      <w:r w:rsidRPr="00EC20A0">
        <w:rPr>
          <w:sz w:val="18"/>
        </w:rPr>
        <w:t>not</w:t>
      </w:r>
      <w:r w:rsidRPr="00EC20A0">
        <w:rPr>
          <w:spacing w:val="-2"/>
          <w:sz w:val="18"/>
        </w:rPr>
        <w:t xml:space="preserve"> </w:t>
      </w:r>
      <w:r w:rsidRPr="00EC20A0">
        <w:rPr>
          <w:sz w:val="18"/>
        </w:rPr>
        <w:t>include</w:t>
      </w:r>
      <w:r w:rsidRPr="00EC20A0">
        <w:rPr>
          <w:spacing w:val="-3"/>
          <w:sz w:val="18"/>
        </w:rPr>
        <w:t xml:space="preserve"> </w:t>
      </w:r>
      <w:r w:rsidRPr="00EC20A0">
        <w:rPr>
          <w:sz w:val="18"/>
        </w:rPr>
        <w:t>the</w:t>
      </w:r>
      <w:r w:rsidRPr="00EC20A0">
        <w:rPr>
          <w:spacing w:val="-3"/>
          <w:sz w:val="18"/>
        </w:rPr>
        <w:t xml:space="preserve"> </w:t>
      </w:r>
      <w:r w:rsidRPr="00EC20A0">
        <w:rPr>
          <w:sz w:val="18"/>
        </w:rPr>
        <w:t>insurance</w:t>
      </w:r>
      <w:r w:rsidRPr="00EC20A0">
        <w:rPr>
          <w:spacing w:val="-3"/>
          <w:sz w:val="18"/>
        </w:rPr>
        <w:t xml:space="preserve"> </w:t>
      </w:r>
      <w:r w:rsidRPr="00EC20A0">
        <w:rPr>
          <w:sz w:val="18"/>
        </w:rPr>
        <w:t>of</w:t>
      </w:r>
      <w:r w:rsidRPr="00EC20A0">
        <w:rPr>
          <w:spacing w:val="-2"/>
          <w:sz w:val="18"/>
        </w:rPr>
        <w:t xml:space="preserve"> </w:t>
      </w:r>
      <w:r w:rsidRPr="00EC20A0">
        <w:rPr>
          <w:sz w:val="18"/>
        </w:rPr>
        <w:t>deposits,</w:t>
      </w:r>
      <w:r w:rsidRPr="00EC20A0">
        <w:rPr>
          <w:spacing w:val="-2"/>
          <w:sz w:val="18"/>
        </w:rPr>
        <w:t xml:space="preserve"> </w:t>
      </w:r>
      <w:r w:rsidRPr="00EC20A0">
        <w:rPr>
          <w:sz w:val="18"/>
        </w:rPr>
        <w:t>shares,</w:t>
      </w:r>
      <w:r w:rsidRPr="00EC20A0">
        <w:rPr>
          <w:spacing w:val="-2"/>
          <w:sz w:val="18"/>
        </w:rPr>
        <w:t xml:space="preserve"> </w:t>
      </w:r>
      <w:r w:rsidRPr="00EC20A0">
        <w:rPr>
          <w:sz w:val="18"/>
        </w:rPr>
        <w:t>or</w:t>
      </w:r>
      <w:r w:rsidRPr="00EC20A0">
        <w:rPr>
          <w:spacing w:val="-2"/>
          <w:sz w:val="18"/>
        </w:rPr>
        <w:t xml:space="preserve"> </w:t>
      </w:r>
      <w:r w:rsidRPr="00EC20A0">
        <w:rPr>
          <w:sz w:val="18"/>
        </w:rPr>
        <w:t>other</w:t>
      </w:r>
      <w:r w:rsidRPr="00EC20A0">
        <w:rPr>
          <w:spacing w:val="-2"/>
          <w:sz w:val="18"/>
        </w:rPr>
        <w:t xml:space="preserve"> </w:t>
      </w:r>
      <w:r w:rsidRPr="00EC20A0">
        <w:rPr>
          <w:sz w:val="18"/>
        </w:rPr>
        <w:t>withdrawable</w:t>
      </w:r>
      <w:r w:rsidRPr="00EC20A0">
        <w:rPr>
          <w:spacing w:val="-3"/>
          <w:sz w:val="18"/>
        </w:rPr>
        <w:t xml:space="preserve"> </w:t>
      </w:r>
      <w:r w:rsidRPr="00EC20A0">
        <w:rPr>
          <w:sz w:val="18"/>
        </w:rPr>
        <w:t>accounts</w:t>
      </w:r>
      <w:r w:rsidRPr="00EC20A0">
        <w:rPr>
          <w:spacing w:val="-2"/>
          <w:sz w:val="18"/>
        </w:rPr>
        <w:t xml:space="preserve"> </w:t>
      </w:r>
      <w:r w:rsidRPr="00EC20A0">
        <w:rPr>
          <w:sz w:val="18"/>
        </w:rPr>
        <w:t>in</w:t>
      </w:r>
      <w:r w:rsidRPr="00EC20A0">
        <w:rPr>
          <w:spacing w:val="-3"/>
          <w:sz w:val="18"/>
        </w:rPr>
        <w:t xml:space="preserve"> </w:t>
      </w:r>
      <w:r w:rsidRPr="00EC20A0">
        <w:rPr>
          <w:sz w:val="18"/>
        </w:rPr>
        <w:t>financial</w:t>
      </w:r>
      <w:r w:rsidRPr="00EC20A0">
        <w:rPr>
          <w:spacing w:val="-2"/>
          <w:sz w:val="18"/>
        </w:rPr>
        <w:t xml:space="preserve"> </w:t>
      </w:r>
      <w:r w:rsidRPr="00EC20A0">
        <w:rPr>
          <w:sz w:val="18"/>
        </w:rPr>
        <w:t>institutions.</w:t>
      </w:r>
      <w:r w:rsidRPr="00EC20A0">
        <w:rPr>
          <w:spacing w:val="-2"/>
          <w:sz w:val="18"/>
        </w:rPr>
        <w:t xml:space="preserve"> </w:t>
      </w:r>
      <w:r w:rsidRPr="00EC20A0">
        <w:rPr>
          <w:sz w:val="18"/>
        </w:rPr>
        <w:t>2</w:t>
      </w:r>
      <w:r w:rsidRPr="00EC20A0">
        <w:rPr>
          <w:spacing w:val="-3"/>
          <w:sz w:val="18"/>
        </w:rPr>
        <w:t xml:space="preserve"> </w:t>
      </w:r>
      <w:r w:rsidRPr="00EC20A0">
        <w:rPr>
          <w:sz w:val="18"/>
        </w:rPr>
        <w:t>U.S.C.</w:t>
      </w:r>
      <w:r w:rsidRPr="00EC20A0">
        <w:rPr>
          <w:spacing w:val="-2"/>
          <w:sz w:val="18"/>
        </w:rPr>
        <w:t xml:space="preserve"> </w:t>
      </w:r>
      <w:r w:rsidRPr="00EC20A0">
        <w:rPr>
          <w:sz w:val="18"/>
        </w:rPr>
        <w:t xml:space="preserve">§ </w:t>
      </w:r>
      <w:r w:rsidRPr="00EC20A0">
        <w:rPr>
          <w:spacing w:val="-2"/>
          <w:sz w:val="18"/>
        </w:rPr>
        <w:t>661a(3).</w:t>
      </w:r>
    </w:p>
    <w:p w14:paraId="24D60F48" w14:textId="77777777" w:rsidR="00245300" w:rsidRPr="00EC20A0" w:rsidRDefault="00F17249">
      <w:pPr>
        <w:spacing w:before="120" w:line="249" w:lineRule="auto"/>
        <w:ind w:left="119" w:right="294"/>
        <w:rPr>
          <w:sz w:val="18"/>
        </w:rPr>
      </w:pPr>
      <w:r w:rsidRPr="00EC20A0">
        <w:rPr>
          <w:position w:val="7"/>
          <w:sz w:val="14"/>
        </w:rPr>
        <w:t>15</w:t>
      </w:r>
      <w:r w:rsidRPr="00EC20A0">
        <w:rPr>
          <w:sz w:val="18"/>
        </w:rPr>
        <w:t>A</w:t>
      </w:r>
      <w:r w:rsidRPr="00EC20A0">
        <w:rPr>
          <w:spacing w:val="-2"/>
          <w:sz w:val="18"/>
        </w:rPr>
        <w:t xml:space="preserve"> </w:t>
      </w:r>
      <w:r w:rsidRPr="00EC20A0">
        <w:rPr>
          <w:sz w:val="18"/>
        </w:rPr>
        <w:t>loan</w:t>
      </w:r>
      <w:r w:rsidRPr="00EC20A0">
        <w:rPr>
          <w:spacing w:val="-3"/>
          <w:sz w:val="18"/>
        </w:rPr>
        <w:t xml:space="preserve"> </w:t>
      </w:r>
      <w:r w:rsidRPr="00EC20A0">
        <w:rPr>
          <w:sz w:val="18"/>
        </w:rPr>
        <w:t>guarantee</w:t>
      </w:r>
      <w:r w:rsidRPr="00EC20A0">
        <w:rPr>
          <w:spacing w:val="-3"/>
          <w:sz w:val="18"/>
        </w:rPr>
        <w:t xml:space="preserve"> </w:t>
      </w:r>
      <w:r w:rsidRPr="00EC20A0">
        <w:rPr>
          <w:sz w:val="18"/>
        </w:rPr>
        <w:t>commitment</w:t>
      </w:r>
      <w:r w:rsidRPr="00EC20A0">
        <w:rPr>
          <w:spacing w:val="-2"/>
          <w:sz w:val="18"/>
        </w:rPr>
        <w:t xml:space="preserve"> </w:t>
      </w:r>
      <w:r w:rsidRPr="00EC20A0">
        <w:rPr>
          <w:sz w:val="18"/>
        </w:rPr>
        <w:t>is</w:t>
      </w:r>
      <w:r w:rsidRPr="00EC20A0">
        <w:rPr>
          <w:spacing w:val="-2"/>
          <w:sz w:val="18"/>
        </w:rPr>
        <w:t xml:space="preserve"> </w:t>
      </w:r>
      <w:r w:rsidRPr="00EC20A0">
        <w:rPr>
          <w:sz w:val="18"/>
        </w:rPr>
        <w:t>a</w:t>
      </w:r>
      <w:r w:rsidRPr="00EC20A0">
        <w:rPr>
          <w:spacing w:val="-3"/>
          <w:sz w:val="18"/>
        </w:rPr>
        <w:t xml:space="preserve"> </w:t>
      </w:r>
      <w:r w:rsidRPr="00EC20A0">
        <w:rPr>
          <w:sz w:val="18"/>
        </w:rPr>
        <w:t>binding</w:t>
      </w:r>
      <w:r w:rsidRPr="00EC20A0">
        <w:rPr>
          <w:spacing w:val="-3"/>
          <w:sz w:val="18"/>
        </w:rPr>
        <w:t xml:space="preserve"> </w:t>
      </w:r>
      <w:r w:rsidRPr="00EC20A0">
        <w:rPr>
          <w:sz w:val="18"/>
        </w:rPr>
        <w:t>agreement</w:t>
      </w:r>
      <w:r w:rsidRPr="00EC20A0">
        <w:rPr>
          <w:spacing w:val="-2"/>
          <w:sz w:val="18"/>
        </w:rPr>
        <w:t xml:space="preserve"> </w:t>
      </w:r>
      <w:r w:rsidRPr="00EC20A0">
        <w:rPr>
          <w:sz w:val="18"/>
        </w:rPr>
        <w:t>by</w:t>
      </w:r>
      <w:r w:rsidRPr="00EC20A0">
        <w:rPr>
          <w:spacing w:val="-2"/>
          <w:sz w:val="18"/>
        </w:rPr>
        <w:t xml:space="preserve"> </w:t>
      </w:r>
      <w:r w:rsidRPr="00EC20A0">
        <w:rPr>
          <w:sz w:val="18"/>
        </w:rPr>
        <w:t>a</w:t>
      </w:r>
      <w:r w:rsidRPr="00EC20A0">
        <w:rPr>
          <w:spacing w:val="-1"/>
          <w:sz w:val="18"/>
        </w:rPr>
        <w:t xml:space="preserve"> </w:t>
      </w:r>
      <w:r w:rsidRPr="00EC20A0">
        <w:rPr>
          <w:sz w:val="18"/>
        </w:rPr>
        <w:t>federal</w:t>
      </w:r>
      <w:r w:rsidRPr="00EC20A0">
        <w:rPr>
          <w:spacing w:val="-2"/>
          <w:sz w:val="18"/>
        </w:rPr>
        <w:t xml:space="preserve"> </w:t>
      </w:r>
      <w:r w:rsidRPr="00EC20A0">
        <w:rPr>
          <w:sz w:val="18"/>
        </w:rPr>
        <w:t>entity</w:t>
      </w:r>
      <w:r w:rsidRPr="00EC20A0">
        <w:rPr>
          <w:spacing w:val="-2"/>
          <w:sz w:val="18"/>
        </w:rPr>
        <w:t xml:space="preserve"> </w:t>
      </w:r>
      <w:r w:rsidRPr="00EC20A0">
        <w:rPr>
          <w:sz w:val="18"/>
        </w:rPr>
        <w:t>to</w:t>
      </w:r>
      <w:r w:rsidRPr="00EC20A0">
        <w:rPr>
          <w:spacing w:val="-2"/>
          <w:sz w:val="18"/>
        </w:rPr>
        <w:t xml:space="preserve"> </w:t>
      </w:r>
      <w:r w:rsidRPr="00EC20A0">
        <w:rPr>
          <w:sz w:val="18"/>
        </w:rPr>
        <w:t>make</w:t>
      </w:r>
      <w:r w:rsidRPr="00EC20A0">
        <w:rPr>
          <w:spacing w:val="-3"/>
          <w:sz w:val="18"/>
        </w:rPr>
        <w:t xml:space="preserve"> </w:t>
      </w:r>
      <w:r w:rsidRPr="00EC20A0">
        <w:rPr>
          <w:sz w:val="18"/>
        </w:rPr>
        <w:t>a</w:t>
      </w:r>
      <w:r w:rsidRPr="00EC20A0">
        <w:rPr>
          <w:spacing w:val="-3"/>
          <w:sz w:val="18"/>
        </w:rPr>
        <w:t xml:space="preserve"> </w:t>
      </w:r>
      <w:r w:rsidRPr="00EC20A0">
        <w:rPr>
          <w:sz w:val="18"/>
        </w:rPr>
        <w:t>loan</w:t>
      </w:r>
      <w:r w:rsidRPr="00EC20A0">
        <w:rPr>
          <w:spacing w:val="-1"/>
          <w:sz w:val="18"/>
        </w:rPr>
        <w:t xml:space="preserve"> </w:t>
      </w:r>
      <w:r w:rsidRPr="00EC20A0">
        <w:rPr>
          <w:sz w:val="18"/>
        </w:rPr>
        <w:t>guarantee</w:t>
      </w:r>
      <w:r w:rsidRPr="00EC20A0">
        <w:rPr>
          <w:spacing w:val="-3"/>
          <w:sz w:val="18"/>
        </w:rPr>
        <w:t xml:space="preserve"> </w:t>
      </w:r>
      <w:r w:rsidRPr="00EC20A0">
        <w:rPr>
          <w:sz w:val="18"/>
        </w:rPr>
        <w:t>when</w:t>
      </w:r>
      <w:r w:rsidRPr="00EC20A0">
        <w:rPr>
          <w:spacing w:val="-3"/>
          <w:sz w:val="18"/>
        </w:rPr>
        <w:t xml:space="preserve"> </w:t>
      </w:r>
      <w:r w:rsidRPr="00EC20A0">
        <w:rPr>
          <w:sz w:val="18"/>
        </w:rPr>
        <w:t>specified</w:t>
      </w:r>
      <w:r w:rsidRPr="00EC20A0">
        <w:rPr>
          <w:spacing w:val="-3"/>
          <w:sz w:val="18"/>
        </w:rPr>
        <w:t xml:space="preserve"> </w:t>
      </w:r>
      <w:r w:rsidRPr="00EC20A0">
        <w:rPr>
          <w:sz w:val="18"/>
        </w:rPr>
        <w:t>conditions</w:t>
      </w:r>
      <w:r w:rsidRPr="00EC20A0">
        <w:rPr>
          <w:spacing w:val="-2"/>
          <w:sz w:val="18"/>
        </w:rPr>
        <w:t xml:space="preserve"> </w:t>
      </w:r>
      <w:r w:rsidRPr="00EC20A0">
        <w:rPr>
          <w:sz w:val="18"/>
        </w:rPr>
        <w:t>are</w:t>
      </w:r>
      <w:r w:rsidRPr="00EC20A0">
        <w:rPr>
          <w:spacing w:val="-3"/>
          <w:sz w:val="18"/>
        </w:rPr>
        <w:t xml:space="preserve"> </w:t>
      </w:r>
      <w:r w:rsidRPr="00EC20A0">
        <w:rPr>
          <w:sz w:val="18"/>
        </w:rPr>
        <w:t>fulfilled</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1"/>
          <w:sz w:val="18"/>
        </w:rPr>
        <w:t xml:space="preserve"> </w:t>
      </w:r>
      <w:r w:rsidRPr="00EC20A0">
        <w:rPr>
          <w:sz w:val="18"/>
        </w:rPr>
        <w:t>borrower,</w:t>
      </w:r>
      <w:r w:rsidRPr="00EC20A0">
        <w:rPr>
          <w:spacing w:val="-2"/>
          <w:sz w:val="18"/>
        </w:rPr>
        <w:t xml:space="preserve"> </w:t>
      </w:r>
      <w:r w:rsidRPr="00EC20A0">
        <w:rPr>
          <w:sz w:val="18"/>
        </w:rPr>
        <w:t>the</w:t>
      </w:r>
      <w:r w:rsidRPr="00EC20A0">
        <w:rPr>
          <w:spacing w:val="-3"/>
          <w:sz w:val="18"/>
        </w:rPr>
        <w:t xml:space="preserve"> </w:t>
      </w:r>
      <w:r w:rsidRPr="00EC20A0">
        <w:rPr>
          <w:sz w:val="18"/>
        </w:rPr>
        <w:t xml:space="preserve">lender, or any other party to the </w:t>
      </w:r>
      <w:proofErr w:type="gramStart"/>
      <w:r w:rsidRPr="00EC20A0">
        <w:rPr>
          <w:sz w:val="18"/>
        </w:rPr>
        <w:t>guarantee</w:t>
      </w:r>
      <w:proofErr w:type="gramEnd"/>
      <w:r w:rsidRPr="00EC20A0">
        <w:rPr>
          <w:sz w:val="18"/>
        </w:rPr>
        <w:t xml:space="preserve"> agreement. 2 U.S.C. § 661a(4).</w:t>
      </w:r>
    </w:p>
    <w:p w14:paraId="24D60F49" w14:textId="77777777" w:rsidR="00245300" w:rsidRPr="00EC20A0" w:rsidRDefault="00F17249">
      <w:pPr>
        <w:spacing w:before="118" w:line="244" w:lineRule="auto"/>
        <w:ind w:left="119" w:right="294"/>
        <w:rPr>
          <w:sz w:val="18"/>
        </w:rPr>
      </w:pPr>
      <w:r w:rsidRPr="00EC20A0">
        <w:rPr>
          <w:position w:val="7"/>
          <w:sz w:val="14"/>
        </w:rPr>
        <w:t>16</w:t>
      </w:r>
      <w:r w:rsidRPr="00EC20A0">
        <w:rPr>
          <w:sz w:val="18"/>
        </w:rPr>
        <w:t>Appropriations</w:t>
      </w:r>
      <w:r w:rsidRPr="00EC20A0">
        <w:rPr>
          <w:spacing w:val="-1"/>
          <w:sz w:val="18"/>
        </w:rPr>
        <w:t xml:space="preserve"> </w:t>
      </w:r>
      <w:r w:rsidRPr="00EC20A0">
        <w:rPr>
          <w:sz w:val="18"/>
        </w:rPr>
        <w:t>or</w:t>
      </w:r>
      <w:r w:rsidRPr="00EC20A0">
        <w:rPr>
          <w:spacing w:val="-2"/>
          <w:sz w:val="18"/>
        </w:rPr>
        <w:t xml:space="preserve"> </w:t>
      </w:r>
      <w:r w:rsidRPr="00EC20A0">
        <w:rPr>
          <w:sz w:val="18"/>
        </w:rPr>
        <w:t>other</w:t>
      </w:r>
      <w:r w:rsidRPr="00EC20A0">
        <w:rPr>
          <w:spacing w:val="-2"/>
          <w:sz w:val="18"/>
        </w:rPr>
        <w:t xml:space="preserve"> </w:t>
      </w:r>
      <w:r w:rsidRPr="00EC20A0">
        <w:rPr>
          <w:sz w:val="18"/>
        </w:rPr>
        <w:t>budget</w:t>
      </w:r>
      <w:r w:rsidRPr="00EC20A0">
        <w:rPr>
          <w:spacing w:val="-2"/>
          <w:sz w:val="18"/>
        </w:rPr>
        <w:t xml:space="preserve"> </w:t>
      </w:r>
      <w:r w:rsidRPr="00EC20A0">
        <w:rPr>
          <w:sz w:val="18"/>
        </w:rPr>
        <w:t>authority</w:t>
      </w:r>
      <w:r w:rsidRPr="00EC20A0">
        <w:rPr>
          <w:spacing w:val="-2"/>
          <w:sz w:val="18"/>
        </w:rPr>
        <w:t xml:space="preserve"> </w:t>
      </w:r>
      <w:r w:rsidRPr="00EC20A0">
        <w:rPr>
          <w:sz w:val="18"/>
        </w:rPr>
        <w:t>to</w:t>
      </w:r>
      <w:r w:rsidRPr="00EC20A0">
        <w:rPr>
          <w:spacing w:val="-3"/>
          <w:sz w:val="18"/>
        </w:rPr>
        <w:t xml:space="preserve"> </w:t>
      </w:r>
      <w:r w:rsidRPr="00EC20A0">
        <w:rPr>
          <w:sz w:val="18"/>
        </w:rPr>
        <w:t>cover</w:t>
      </w:r>
      <w:r w:rsidRPr="00EC20A0">
        <w:rPr>
          <w:spacing w:val="-2"/>
          <w:sz w:val="18"/>
        </w:rPr>
        <w:t xml:space="preserve"> </w:t>
      </w:r>
      <w:r w:rsidRPr="00EC20A0">
        <w:rPr>
          <w:sz w:val="18"/>
        </w:rPr>
        <w:t>the</w:t>
      </w:r>
      <w:r w:rsidRPr="00EC20A0">
        <w:rPr>
          <w:spacing w:val="-3"/>
          <w:sz w:val="18"/>
        </w:rPr>
        <w:t xml:space="preserve"> </w:t>
      </w:r>
      <w:r w:rsidRPr="00EC20A0">
        <w:rPr>
          <w:sz w:val="18"/>
        </w:rPr>
        <w:t>cost</w:t>
      </w:r>
      <w:r w:rsidRPr="00EC20A0">
        <w:rPr>
          <w:spacing w:val="-2"/>
          <w:sz w:val="18"/>
        </w:rPr>
        <w:t xml:space="preserve"> </w:t>
      </w:r>
      <w:r w:rsidRPr="00EC20A0">
        <w:rPr>
          <w:sz w:val="18"/>
        </w:rPr>
        <w:t>of</w:t>
      </w:r>
      <w:r w:rsidRPr="00EC20A0">
        <w:rPr>
          <w:spacing w:val="-2"/>
          <w:sz w:val="18"/>
        </w:rPr>
        <w:t xml:space="preserve"> </w:t>
      </w:r>
      <w:r w:rsidRPr="00EC20A0">
        <w:rPr>
          <w:sz w:val="18"/>
        </w:rPr>
        <w:t>budget</w:t>
      </w:r>
      <w:r w:rsidRPr="00EC20A0">
        <w:rPr>
          <w:spacing w:val="-2"/>
          <w:sz w:val="18"/>
        </w:rPr>
        <w:t xml:space="preserve"> </w:t>
      </w:r>
      <w:r w:rsidRPr="00EC20A0">
        <w:rPr>
          <w:sz w:val="18"/>
        </w:rPr>
        <w:t>obligations</w:t>
      </w:r>
      <w:r w:rsidRPr="00EC20A0">
        <w:rPr>
          <w:spacing w:val="-2"/>
          <w:sz w:val="18"/>
        </w:rPr>
        <w:t xml:space="preserve"> </w:t>
      </w:r>
      <w:r w:rsidRPr="00EC20A0">
        <w:rPr>
          <w:sz w:val="18"/>
        </w:rPr>
        <w:t>for</w:t>
      </w:r>
      <w:r w:rsidRPr="00EC20A0">
        <w:rPr>
          <w:spacing w:val="-2"/>
          <w:sz w:val="18"/>
        </w:rPr>
        <w:t xml:space="preserve"> </w:t>
      </w:r>
      <w:r w:rsidRPr="00EC20A0">
        <w:rPr>
          <w:sz w:val="18"/>
        </w:rPr>
        <w:t>loan</w:t>
      </w:r>
      <w:r w:rsidRPr="00EC20A0">
        <w:rPr>
          <w:spacing w:val="-3"/>
          <w:sz w:val="18"/>
        </w:rPr>
        <w:t xml:space="preserve"> </w:t>
      </w:r>
      <w:r w:rsidRPr="00EC20A0">
        <w:rPr>
          <w:sz w:val="18"/>
        </w:rPr>
        <w:t>guarantee</w:t>
      </w:r>
      <w:r w:rsidRPr="00EC20A0">
        <w:rPr>
          <w:spacing w:val="-2"/>
          <w:sz w:val="18"/>
        </w:rPr>
        <w:t xml:space="preserve"> </w:t>
      </w:r>
      <w:r w:rsidRPr="00EC20A0">
        <w:rPr>
          <w:sz w:val="18"/>
        </w:rPr>
        <w:t>commitments</w:t>
      </w:r>
      <w:r w:rsidRPr="00EC20A0">
        <w:rPr>
          <w:spacing w:val="-2"/>
          <w:sz w:val="18"/>
        </w:rPr>
        <w:t xml:space="preserve"> </w:t>
      </w:r>
      <w:r w:rsidRPr="00EC20A0">
        <w:rPr>
          <w:sz w:val="18"/>
        </w:rPr>
        <w:t>must</w:t>
      </w:r>
      <w:r w:rsidRPr="00EC20A0">
        <w:rPr>
          <w:spacing w:val="-2"/>
          <w:sz w:val="18"/>
        </w:rPr>
        <w:t xml:space="preserve"> </w:t>
      </w:r>
      <w:r w:rsidRPr="00EC20A0">
        <w:rPr>
          <w:sz w:val="18"/>
        </w:rPr>
        <w:t>be</w:t>
      </w:r>
      <w:r w:rsidRPr="00EC20A0">
        <w:rPr>
          <w:spacing w:val="-3"/>
          <w:sz w:val="18"/>
        </w:rPr>
        <w:t xml:space="preserve"> </w:t>
      </w:r>
      <w:r w:rsidRPr="00EC20A0">
        <w:rPr>
          <w:sz w:val="18"/>
        </w:rPr>
        <w:t>enacted</w:t>
      </w:r>
      <w:r w:rsidRPr="00EC20A0">
        <w:rPr>
          <w:spacing w:val="-3"/>
          <w:sz w:val="18"/>
        </w:rPr>
        <w:t xml:space="preserve"> </w:t>
      </w:r>
      <w:r w:rsidRPr="00EC20A0">
        <w:rPr>
          <w:sz w:val="18"/>
        </w:rPr>
        <w:t>in</w:t>
      </w:r>
      <w:r w:rsidRPr="00EC20A0">
        <w:rPr>
          <w:spacing w:val="-2"/>
          <w:sz w:val="18"/>
        </w:rPr>
        <w:t xml:space="preserve"> </w:t>
      </w:r>
      <w:r w:rsidRPr="00EC20A0">
        <w:rPr>
          <w:sz w:val="18"/>
        </w:rPr>
        <w:t>advance</w:t>
      </w:r>
      <w:r w:rsidRPr="00EC20A0">
        <w:rPr>
          <w:spacing w:val="-3"/>
          <w:sz w:val="18"/>
        </w:rPr>
        <w:t xml:space="preserve"> </w:t>
      </w:r>
      <w:r w:rsidRPr="00EC20A0">
        <w:rPr>
          <w:sz w:val="18"/>
        </w:rPr>
        <w:t>of</w:t>
      </w:r>
      <w:r w:rsidRPr="00EC20A0">
        <w:rPr>
          <w:spacing w:val="-2"/>
          <w:sz w:val="18"/>
        </w:rPr>
        <w:t xml:space="preserve"> </w:t>
      </w:r>
      <w:r w:rsidRPr="00EC20A0">
        <w:rPr>
          <w:sz w:val="18"/>
        </w:rPr>
        <w:t>new</w:t>
      </w:r>
      <w:r w:rsidRPr="00EC20A0">
        <w:rPr>
          <w:spacing w:val="-1"/>
          <w:sz w:val="18"/>
        </w:rPr>
        <w:t xml:space="preserve"> </w:t>
      </w:r>
      <w:r w:rsidRPr="00EC20A0">
        <w:rPr>
          <w:sz w:val="18"/>
        </w:rPr>
        <w:t>loan</w:t>
      </w:r>
      <w:r w:rsidRPr="00EC20A0">
        <w:rPr>
          <w:spacing w:val="-3"/>
          <w:sz w:val="18"/>
        </w:rPr>
        <w:t xml:space="preserve"> </w:t>
      </w:r>
      <w:r w:rsidRPr="00EC20A0">
        <w:rPr>
          <w:sz w:val="18"/>
        </w:rPr>
        <w:t>guarantee commitments made after on or after October 1, 1991. 2 U.S.C. § 661c(b). For revolving or other funds that otherwise would be available for these budget obligations, the Congress must enact a limit on the use of such funds for these purposes to make them available for use.</w:t>
      </w:r>
    </w:p>
    <w:p w14:paraId="24D60F4A" w14:textId="77777777" w:rsidR="00245300" w:rsidRPr="00EC20A0" w:rsidRDefault="00F17249">
      <w:pPr>
        <w:spacing w:before="120" w:line="244" w:lineRule="auto"/>
        <w:ind w:left="119" w:right="197"/>
        <w:rPr>
          <w:sz w:val="18"/>
        </w:rPr>
      </w:pPr>
      <w:r w:rsidRPr="00EC20A0">
        <w:rPr>
          <w:position w:val="7"/>
          <w:sz w:val="14"/>
        </w:rPr>
        <w:t>17</w:t>
      </w:r>
      <w:r w:rsidRPr="00EC20A0">
        <w:rPr>
          <w:sz w:val="18"/>
        </w:rPr>
        <w:t>Costs</w:t>
      </w:r>
      <w:r w:rsidRPr="00EC20A0">
        <w:rPr>
          <w:spacing w:val="-1"/>
          <w:sz w:val="18"/>
        </w:rPr>
        <w:t xml:space="preserve"> </w:t>
      </w:r>
      <w:r w:rsidRPr="00EC20A0">
        <w:rPr>
          <w:sz w:val="18"/>
        </w:rPr>
        <w:t>are</w:t>
      </w:r>
      <w:r w:rsidRPr="00EC20A0">
        <w:rPr>
          <w:spacing w:val="-2"/>
          <w:sz w:val="18"/>
        </w:rPr>
        <w:t xml:space="preserve"> </w:t>
      </w:r>
      <w:r w:rsidRPr="00EC20A0">
        <w:rPr>
          <w:sz w:val="18"/>
        </w:rPr>
        <w:t>defined</w:t>
      </w:r>
      <w:r w:rsidRPr="00EC20A0">
        <w:rPr>
          <w:spacing w:val="-2"/>
          <w:sz w:val="18"/>
        </w:rPr>
        <w:t xml:space="preserve"> </w:t>
      </w:r>
      <w:r w:rsidRPr="00EC20A0">
        <w:rPr>
          <w:sz w:val="18"/>
        </w:rPr>
        <w:t>as</w:t>
      </w:r>
      <w:r w:rsidRPr="00EC20A0">
        <w:rPr>
          <w:spacing w:val="-1"/>
          <w:sz w:val="18"/>
        </w:rPr>
        <w:t xml:space="preserve"> </w:t>
      </w:r>
      <w:r w:rsidRPr="00EC20A0">
        <w:rPr>
          <w:sz w:val="18"/>
        </w:rPr>
        <w:t>the</w:t>
      </w:r>
      <w:r w:rsidRPr="00EC20A0">
        <w:rPr>
          <w:spacing w:val="-2"/>
          <w:sz w:val="18"/>
        </w:rPr>
        <w:t xml:space="preserve"> </w:t>
      </w:r>
      <w:r w:rsidRPr="00EC20A0">
        <w:rPr>
          <w:sz w:val="18"/>
        </w:rPr>
        <w:t>estimated</w:t>
      </w:r>
      <w:r w:rsidRPr="00EC20A0">
        <w:rPr>
          <w:spacing w:val="-2"/>
          <w:sz w:val="18"/>
        </w:rPr>
        <w:t xml:space="preserve"> </w:t>
      </w:r>
      <w:r w:rsidRPr="00EC20A0">
        <w:rPr>
          <w:sz w:val="18"/>
        </w:rPr>
        <w:t>long-term</w:t>
      </w:r>
      <w:r w:rsidRPr="00EC20A0">
        <w:rPr>
          <w:spacing w:val="-1"/>
          <w:sz w:val="18"/>
        </w:rPr>
        <w:t xml:space="preserve"> </w:t>
      </w:r>
      <w:r w:rsidRPr="00EC20A0">
        <w:rPr>
          <w:sz w:val="18"/>
        </w:rPr>
        <w:t>cost</w:t>
      </w:r>
      <w:r w:rsidRPr="00EC20A0">
        <w:rPr>
          <w:spacing w:val="-1"/>
          <w:sz w:val="18"/>
        </w:rPr>
        <w:t xml:space="preserve"> </w:t>
      </w:r>
      <w:r w:rsidRPr="00EC20A0">
        <w:rPr>
          <w:sz w:val="18"/>
        </w:rPr>
        <w:t>to</w:t>
      </w:r>
      <w:r w:rsidRPr="00EC20A0">
        <w:rPr>
          <w:spacing w:val="-2"/>
          <w:sz w:val="18"/>
        </w:rPr>
        <w:t xml:space="preserve"> </w:t>
      </w:r>
      <w:r w:rsidRPr="00EC20A0">
        <w:rPr>
          <w:sz w:val="18"/>
        </w:rPr>
        <w:t>the</w:t>
      </w:r>
      <w:r w:rsidRPr="00EC20A0">
        <w:rPr>
          <w:spacing w:val="-2"/>
          <w:sz w:val="18"/>
        </w:rPr>
        <w:t xml:space="preserve"> </w:t>
      </w:r>
      <w:r w:rsidRPr="00EC20A0">
        <w:rPr>
          <w:sz w:val="18"/>
        </w:rPr>
        <w:t>U.S.</w:t>
      </w:r>
      <w:r w:rsidRPr="00EC20A0">
        <w:rPr>
          <w:spacing w:val="-1"/>
          <w:sz w:val="18"/>
        </w:rPr>
        <w:t xml:space="preserve"> </w:t>
      </w:r>
      <w:r w:rsidRPr="00EC20A0">
        <w:rPr>
          <w:sz w:val="18"/>
        </w:rPr>
        <w:t>government</w:t>
      </w:r>
      <w:r w:rsidRPr="00EC20A0">
        <w:rPr>
          <w:spacing w:val="-1"/>
          <w:sz w:val="18"/>
        </w:rPr>
        <w:t xml:space="preserve"> </w:t>
      </w:r>
      <w:r w:rsidRPr="00EC20A0">
        <w:rPr>
          <w:sz w:val="18"/>
        </w:rPr>
        <w:t>of</w:t>
      </w:r>
      <w:r w:rsidRPr="00EC20A0">
        <w:rPr>
          <w:spacing w:val="-1"/>
          <w:sz w:val="18"/>
        </w:rPr>
        <w:t xml:space="preserve"> </w:t>
      </w:r>
      <w:r w:rsidRPr="00EC20A0">
        <w:rPr>
          <w:sz w:val="18"/>
        </w:rPr>
        <w:t>a</w:t>
      </w:r>
      <w:r w:rsidRPr="00EC20A0">
        <w:rPr>
          <w:spacing w:val="-2"/>
          <w:sz w:val="18"/>
        </w:rPr>
        <w:t xml:space="preserve"> </w:t>
      </w:r>
      <w:r w:rsidRPr="00EC20A0">
        <w:rPr>
          <w:sz w:val="18"/>
        </w:rPr>
        <w:t>loan</w:t>
      </w:r>
      <w:r w:rsidRPr="00EC20A0">
        <w:rPr>
          <w:spacing w:val="-2"/>
          <w:sz w:val="18"/>
        </w:rPr>
        <w:t xml:space="preserve"> </w:t>
      </w:r>
      <w:r w:rsidRPr="00EC20A0">
        <w:rPr>
          <w:sz w:val="18"/>
        </w:rPr>
        <w:t>guarantee</w:t>
      </w:r>
      <w:r w:rsidRPr="00EC20A0">
        <w:rPr>
          <w:spacing w:val="-2"/>
          <w:sz w:val="18"/>
        </w:rPr>
        <w:t xml:space="preserve"> </w:t>
      </w:r>
      <w:r w:rsidRPr="00EC20A0">
        <w:rPr>
          <w:sz w:val="18"/>
        </w:rPr>
        <w:t>or</w:t>
      </w:r>
      <w:r w:rsidRPr="00EC20A0">
        <w:rPr>
          <w:spacing w:val="-1"/>
          <w:sz w:val="18"/>
        </w:rPr>
        <w:t xml:space="preserve"> </w:t>
      </w:r>
      <w:r w:rsidRPr="00EC20A0">
        <w:rPr>
          <w:sz w:val="18"/>
        </w:rPr>
        <w:t>a</w:t>
      </w:r>
      <w:r w:rsidRPr="00EC20A0">
        <w:rPr>
          <w:spacing w:val="-2"/>
          <w:sz w:val="18"/>
        </w:rPr>
        <w:t xml:space="preserve"> </w:t>
      </w:r>
      <w:r w:rsidRPr="00EC20A0">
        <w:rPr>
          <w:sz w:val="18"/>
        </w:rPr>
        <w:t>related</w:t>
      </w:r>
      <w:r w:rsidRPr="00EC20A0">
        <w:rPr>
          <w:spacing w:val="-1"/>
          <w:sz w:val="18"/>
        </w:rPr>
        <w:t xml:space="preserve"> </w:t>
      </w:r>
      <w:r w:rsidRPr="00EC20A0">
        <w:rPr>
          <w:sz w:val="18"/>
        </w:rPr>
        <w:t>loan</w:t>
      </w:r>
      <w:r w:rsidRPr="00EC20A0">
        <w:rPr>
          <w:spacing w:val="-2"/>
          <w:sz w:val="18"/>
        </w:rPr>
        <w:t xml:space="preserve"> </w:t>
      </w:r>
      <w:r w:rsidRPr="00EC20A0">
        <w:rPr>
          <w:sz w:val="18"/>
        </w:rPr>
        <w:t>modification,</w:t>
      </w:r>
      <w:r w:rsidRPr="00EC20A0">
        <w:rPr>
          <w:spacing w:val="-1"/>
          <w:sz w:val="18"/>
        </w:rPr>
        <w:t xml:space="preserve"> </w:t>
      </w:r>
      <w:r w:rsidRPr="00EC20A0">
        <w:rPr>
          <w:sz w:val="18"/>
        </w:rPr>
        <w:t>calculated</w:t>
      </w:r>
      <w:r w:rsidRPr="00EC20A0">
        <w:rPr>
          <w:spacing w:val="-2"/>
          <w:sz w:val="18"/>
        </w:rPr>
        <w:t xml:space="preserve"> </w:t>
      </w:r>
      <w:r w:rsidRPr="00EC20A0">
        <w:rPr>
          <w:sz w:val="18"/>
        </w:rPr>
        <w:t>on</w:t>
      </w:r>
      <w:r w:rsidRPr="00EC20A0">
        <w:rPr>
          <w:spacing w:val="-2"/>
          <w:sz w:val="18"/>
        </w:rPr>
        <w:t xml:space="preserve"> </w:t>
      </w:r>
      <w:r w:rsidRPr="00EC20A0">
        <w:rPr>
          <w:sz w:val="18"/>
        </w:rPr>
        <w:t>a</w:t>
      </w:r>
      <w:r w:rsidRPr="00EC20A0">
        <w:rPr>
          <w:spacing w:val="-2"/>
          <w:sz w:val="18"/>
        </w:rPr>
        <w:t xml:space="preserve"> </w:t>
      </w:r>
      <w:r w:rsidRPr="00EC20A0">
        <w:rPr>
          <w:sz w:val="18"/>
        </w:rPr>
        <w:t>net</w:t>
      </w:r>
      <w:r w:rsidRPr="00EC20A0">
        <w:rPr>
          <w:spacing w:val="-1"/>
          <w:sz w:val="18"/>
        </w:rPr>
        <w:t xml:space="preserve"> </w:t>
      </w:r>
      <w:r w:rsidRPr="00EC20A0">
        <w:rPr>
          <w:sz w:val="18"/>
        </w:rPr>
        <w:t>present</w:t>
      </w:r>
      <w:r w:rsidRPr="00EC20A0">
        <w:rPr>
          <w:spacing w:val="-1"/>
          <w:sz w:val="18"/>
        </w:rPr>
        <w:t xml:space="preserve"> </w:t>
      </w:r>
      <w:r w:rsidRPr="00EC20A0">
        <w:rPr>
          <w:sz w:val="18"/>
        </w:rPr>
        <w:t>value</w:t>
      </w:r>
      <w:r w:rsidRPr="00EC20A0">
        <w:rPr>
          <w:spacing w:val="-2"/>
          <w:sz w:val="18"/>
        </w:rPr>
        <w:t xml:space="preserve"> </w:t>
      </w:r>
      <w:r w:rsidRPr="00EC20A0">
        <w:rPr>
          <w:sz w:val="18"/>
        </w:rPr>
        <w:t xml:space="preserve">basis, </w:t>
      </w:r>
      <w:r w:rsidRPr="00EC20A0">
        <w:rPr>
          <w:sz w:val="18"/>
        </w:rPr>
        <w:t>excluding administrative costs and any incidental effects on governmental receipts or outlays. These calculations are described in further detail under the valuation control objective for obligations in FAM 395 F, Budget Control Objectives. 2 U.S.C. § 661a(5)(A).</w:t>
      </w:r>
    </w:p>
    <w:p w14:paraId="24D60F4B" w14:textId="77777777" w:rsidR="00245300" w:rsidRPr="00EC20A0" w:rsidRDefault="00F17249">
      <w:pPr>
        <w:spacing w:before="122" w:line="244" w:lineRule="auto"/>
        <w:ind w:left="119" w:right="294"/>
        <w:rPr>
          <w:sz w:val="18"/>
        </w:rPr>
      </w:pPr>
      <w:r w:rsidRPr="00EC20A0">
        <w:rPr>
          <w:position w:val="7"/>
          <w:sz w:val="14"/>
        </w:rPr>
        <w:t>18</w:t>
      </w:r>
      <w:r w:rsidRPr="00EC20A0">
        <w:rPr>
          <w:sz w:val="18"/>
        </w:rPr>
        <w:t>There</w:t>
      </w:r>
      <w:r w:rsidRPr="00EC20A0">
        <w:rPr>
          <w:spacing w:val="-3"/>
          <w:sz w:val="18"/>
        </w:rPr>
        <w:t xml:space="preserve"> </w:t>
      </w:r>
      <w:r w:rsidRPr="00EC20A0">
        <w:rPr>
          <w:sz w:val="18"/>
        </w:rPr>
        <w:t>is</w:t>
      </w:r>
      <w:r w:rsidRPr="00EC20A0">
        <w:rPr>
          <w:spacing w:val="-2"/>
          <w:sz w:val="18"/>
        </w:rPr>
        <w:t xml:space="preserve"> </w:t>
      </w:r>
      <w:r w:rsidRPr="00EC20A0">
        <w:rPr>
          <w:sz w:val="18"/>
        </w:rPr>
        <w:t>an</w:t>
      </w:r>
      <w:r w:rsidRPr="00EC20A0">
        <w:rPr>
          <w:spacing w:val="-3"/>
          <w:sz w:val="18"/>
        </w:rPr>
        <w:t xml:space="preserve"> </w:t>
      </w:r>
      <w:r w:rsidRPr="00EC20A0">
        <w:rPr>
          <w:sz w:val="18"/>
        </w:rPr>
        <w:t>exemption</w:t>
      </w:r>
      <w:r w:rsidRPr="00EC20A0">
        <w:rPr>
          <w:spacing w:val="-3"/>
          <w:sz w:val="18"/>
        </w:rPr>
        <w:t xml:space="preserve"> </w:t>
      </w:r>
      <w:r w:rsidRPr="00EC20A0">
        <w:rPr>
          <w:sz w:val="18"/>
        </w:rPr>
        <w:t>from</w:t>
      </w:r>
      <w:r w:rsidRPr="00EC20A0">
        <w:rPr>
          <w:spacing w:val="-2"/>
          <w:sz w:val="18"/>
        </w:rPr>
        <w:t xml:space="preserve"> </w:t>
      </w:r>
      <w:r w:rsidRPr="00EC20A0">
        <w:rPr>
          <w:sz w:val="18"/>
        </w:rPr>
        <w:t>the</w:t>
      </w:r>
      <w:r w:rsidRPr="00EC20A0">
        <w:rPr>
          <w:spacing w:val="-3"/>
          <w:sz w:val="18"/>
        </w:rPr>
        <w:t xml:space="preserve"> </w:t>
      </w:r>
      <w:r w:rsidRPr="00EC20A0">
        <w:rPr>
          <w:sz w:val="18"/>
        </w:rPr>
        <w:t>requirement</w:t>
      </w:r>
      <w:r w:rsidRPr="00EC20A0">
        <w:rPr>
          <w:spacing w:val="-1"/>
          <w:sz w:val="18"/>
        </w:rPr>
        <w:t xml:space="preserve"> </w:t>
      </w:r>
      <w:r w:rsidRPr="00EC20A0">
        <w:rPr>
          <w:sz w:val="18"/>
        </w:rPr>
        <w:t>regarding</w:t>
      </w:r>
      <w:r w:rsidRPr="00EC20A0">
        <w:rPr>
          <w:spacing w:val="-1"/>
          <w:sz w:val="18"/>
        </w:rPr>
        <w:t xml:space="preserve"> </w:t>
      </w:r>
      <w:r w:rsidRPr="00EC20A0">
        <w:rPr>
          <w:sz w:val="18"/>
        </w:rPr>
        <w:t>advance</w:t>
      </w:r>
      <w:r w:rsidRPr="00EC20A0">
        <w:rPr>
          <w:spacing w:val="-3"/>
          <w:sz w:val="18"/>
        </w:rPr>
        <w:t xml:space="preserve"> </w:t>
      </w:r>
      <w:r w:rsidRPr="00EC20A0">
        <w:rPr>
          <w:sz w:val="18"/>
        </w:rPr>
        <w:t>budget</w:t>
      </w:r>
      <w:r w:rsidRPr="00EC20A0">
        <w:rPr>
          <w:spacing w:val="-2"/>
          <w:sz w:val="18"/>
        </w:rPr>
        <w:t xml:space="preserve"> </w:t>
      </w:r>
      <w:r w:rsidRPr="00EC20A0">
        <w:rPr>
          <w:sz w:val="18"/>
        </w:rPr>
        <w:t>authority</w:t>
      </w:r>
      <w:r w:rsidRPr="00EC20A0">
        <w:rPr>
          <w:spacing w:val="-2"/>
          <w:sz w:val="18"/>
        </w:rPr>
        <w:t xml:space="preserve"> </w:t>
      </w:r>
      <w:r w:rsidRPr="00EC20A0">
        <w:rPr>
          <w:sz w:val="18"/>
        </w:rPr>
        <w:t>for</w:t>
      </w:r>
      <w:r w:rsidRPr="00EC20A0">
        <w:rPr>
          <w:spacing w:val="-2"/>
          <w:sz w:val="18"/>
        </w:rPr>
        <w:t xml:space="preserve"> </w:t>
      </w:r>
      <w:r w:rsidRPr="00EC20A0">
        <w:rPr>
          <w:sz w:val="18"/>
        </w:rPr>
        <w:t>entitlements</w:t>
      </w:r>
      <w:r w:rsidRPr="00EC20A0">
        <w:rPr>
          <w:spacing w:val="-2"/>
          <w:sz w:val="18"/>
        </w:rPr>
        <w:t xml:space="preserve"> </w:t>
      </w:r>
      <w:r w:rsidRPr="00EC20A0">
        <w:rPr>
          <w:sz w:val="18"/>
        </w:rPr>
        <w:t>(i.e.,</w:t>
      </w:r>
      <w:r w:rsidRPr="00EC20A0">
        <w:rPr>
          <w:spacing w:val="-2"/>
          <w:sz w:val="18"/>
        </w:rPr>
        <w:t xml:space="preserve"> </w:t>
      </w:r>
      <w:r w:rsidRPr="00EC20A0">
        <w:rPr>
          <w:sz w:val="18"/>
        </w:rPr>
        <w:t>mandatory</w:t>
      </w:r>
      <w:r w:rsidRPr="00EC20A0">
        <w:rPr>
          <w:spacing w:val="-2"/>
          <w:sz w:val="18"/>
        </w:rPr>
        <w:t xml:space="preserve"> </w:t>
      </w:r>
      <w:r w:rsidRPr="00EC20A0">
        <w:rPr>
          <w:sz w:val="18"/>
        </w:rPr>
        <w:t>programs,</w:t>
      </w:r>
      <w:r w:rsidRPr="00EC20A0">
        <w:rPr>
          <w:spacing w:val="-2"/>
          <w:sz w:val="18"/>
        </w:rPr>
        <w:t xml:space="preserve"> </w:t>
      </w:r>
      <w:r w:rsidRPr="00EC20A0">
        <w:rPr>
          <w:sz w:val="18"/>
        </w:rPr>
        <w:t>such</w:t>
      </w:r>
      <w:r w:rsidRPr="00EC20A0">
        <w:rPr>
          <w:spacing w:val="-3"/>
          <w:sz w:val="18"/>
        </w:rPr>
        <w:t xml:space="preserve"> </w:t>
      </w:r>
      <w:r w:rsidRPr="00EC20A0">
        <w:rPr>
          <w:sz w:val="18"/>
        </w:rPr>
        <w:t>as</w:t>
      </w:r>
      <w:r w:rsidRPr="00EC20A0">
        <w:rPr>
          <w:spacing w:val="-1"/>
          <w:sz w:val="18"/>
        </w:rPr>
        <w:t xml:space="preserve"> </w:t>
      </w:r>
      <w:r w:rsidRPr="00EC20A0">
        <w:rPr>
          <w:sz w:val="18"/>
        </w:rPr>
        <w:t>the</w:t>
      </w:r>
      <w:r w:rsidRPr="00EC20A0">
        <w:rPr>
          <w:spacing w:val="-3"/>
          <w:sz w:val="18"/>
        </w:rPr>
        <w:t xml:space="preserve"> </w:t>
      </w:r>
      <w:r w:rsidRPr="00EC20A0">
        <w:rPr>
          <w:sz w:val="18"/>
        </w:rPr>
        <w:t>Department</w:t>
      </w:r>
      <w:r w:rsidRPr="00EC20A0">
        <w:rPr>
          <w:spacing w:val="-2"/>
          <w:sz w:val="18"/>
        </w:rPr>
        <w:t xml:space="preserve"> </w:t>
      </w:r>
      <w:r w:rsidRPr="00EC20A0">
        <w:rPr>
          <w:sz w:val="18"/>
        </w:rPr>
        <w:t>of</w:t>
      </w:r>
      <w:r w:rsidRPr="00EC20A0">
        <w:rPr>
          <w:spacing w:val="-2"/>
          <w:sz w:val="18"/>
        </w:rPr>
        <w:t xml:space="preserve"> </w:t>
      </w:r>
      <w:r w:rsidRPr="00EC20A0">
        <w:rPr>
          <w:sz w:val="18"/>
        </w:rPr>
        <w:t>Education direct and guaranteed student loan programs and the Department of Veterans Affairs home loan guaranty program) and credit programs of the Commodity Credit Corporation existing on the date of enactment of FCRA (Nov. 5, 1990). 2 U.S.C. § 661c(c).</w:t>
      </w:r>
    </w:p>
    <w:p w14:paraId="24D60F4C" w14:textId="77777777" w:rsidR="00245300" w:rsidRPr="00EC20A0" w:rsidRDefault="00245300">
      <w:pPr>
        <w:spacing w:line="244" w:lineRule="auto"/>
        <w:rPr>
          <w:sz w:val="18"/>
        </w:rPr>
        <w:sectPr w:rsidR="00245300" w:rsidRPr="00EC20A0">
          <w:pgSz w:w="15840" w:h="12240" w:orient="landscape"/>
          <w:pgMar w:top="1440" w:right="1220" w:bottom="940" w:left="960" w:header="721" w:footer="742" w:gutter="0"/>
          <w:cols w:space="720"/>
        </w:sectPr>
      </w:pPr>
    </w:p>
    <w:p w14:paraId="24D60F4D" w14:textId="77777777" w:rsidR="00245300" w:rsidRPr="00EC20A0" w:rsidRDefault="00245300">
      <w:pPr>
        <w:pStyle w:val="BodyText"/>
        <w:spacing w:before="3"/>
        <w:rPr>
          <w:sz w:val="2"/>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245300" w:rsidRPr="00EC20A0" w14:paraId="24D60F51" w14:textId="77777777">
        <w:trPr>
          <w:trHeight w:val="1574"/>
        </w:trPr>
        <w:tc>
          <w:tcPr>
            <w:tcW w:w="13393" w:type="dxa"/>
            <w:gridSpan w:val="6"/>
          </w:tcPr>
          <w:p w14:paraId="24D60F4E" w14:textId="77777777" w:rsidR="00245300" w:rsidRPr="00EC20A0" w:rsidRDefault="00F17249">
            <w:pPr>
              <w:pStyle w:val="TableParagraph"/>
              <w:tabs>
                <w:tab w:val="left" w:pos="9319"/>
              </w:tabs>
              <w:spacing w:before="144"/>
              <w:ind w:right="196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01" w:name="_bookmark93"/>
            <w:bookmarkStart w:id="202" w:name="_bookmark94"/>
            <w:bookmarkStart w:id="203" w:name="_bookmark95"/>
            <w:bookmarkStart w:id="204" w:name="_bookmark96"/>
            <w:bookmarkEnd w:id="201"/>
            <w:bookmarkEnd w:id="202"/>
            <w:bookmarkEnd w:id="203"/>
            <w:bookmarkEnd w:id="204"/>
            <w:r w:rsidRPr="00EC20A0">
              <w:t>Prepared</w:t>
            </w:r>
            <w:r w:rsidRPr="00EC20A0">
              <w:rPr>
                <w:spacing w:val="-11"/>
              </w:rPr>
              <w:t xml:space="preserve"> </w:t>
            </w:r>
            <w:r w:rsidRPr="00EC20A0">
              <w:rPr>
                <w:spacing w:val="-5"/>
              </w:rPr>
              <w:t>by:</w:t>
            </w:r>
          </w:p>
          <w:p w14:paraId="24D60F4F" w14:textId="77777777" w:rsidR="00245300" w:rsidRPr="00EC20A0" w:rsidRDefault="00F17249">
            <w:pPr>
              <w:pStyle w:val="TableParagraph"/>
              <w:spacing w:before="12"/>
              <w:ind w:left="1974" w:right="1965"/>
              <w:jc w:val="center"/>
              <w:rPr>
                <w:b/>
                <w:sz w:val="24"/>
              </w:rPr>
            </w:pPr>
            <w:r w:rsidRPr="00EC20A0">
              <w:rPr>
                <w:noProof/>
              </w:rPr>
              <mc:AlternateContent>
                <mc:Choice Requires="wpg">
                  <w:drawing>
                    <wp:anchor distT="0" distB="0" distL="0" distR="0" simplePos="0" relativeHeight="475302400" behindDoc="1" locked="0" layoutInCell="1" allowOverlap="1" wp14:anchorId="24D62BA1" wp14:editId="24D62BA2">
                      <wp:simplePos x="0" y="0"/>
                      <wp:positionH relativeFrom="column">
                        <wp:posOffset>7052309</wp:posOffset>
                      </wp:positionH>
                      <wp:positionV relativeFrom="paragraph">
                        <wp:posOffset>91882</wp:posOffset>
                      </wp:positionV>
                      <wp:extent cx="1371600" cy="6350"/>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62" name="Graphic 462"/>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4AD64E" id="Group 461" o:spid="_x0000_s1026" style="position:absolute;margin-left:555.3pt;margin-top:7.25pt;width:108pt;height:.5pt;z-index:-28014080;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">
                      <v:shape id="Graphic 462"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" path="m1371600,l,,,6108r1371600,l1371600,xe" fillcolor="black" stroked="f">
                        <v:path arrowok="t"/>
                      </v:shape>
                    </v:group>
                  </w:pict>
                </mc:Fallback>
              </mc:AlternateContent>
            </w:r>
            <w:r w:rsidRPr="00EC20A0">
              <w:rPr>
                <w:noProof/>
              </w:rPr>
              <mc:AlternateContent>
                <mc:Choice Requires="wpg">
                  <w:drawing>
                    <wp:anchor distT="0" distB="0" distL="0" distR="0" simplePos="0" relativeHeight="475303424" behindDoc="1" locked="0" layoutInCell="1" allowOverlap="1" wp14:anchorId="24D62BA3" wp14:editId="24D62BA4">
                      <wp:simplePos x="0" y="0"/>
                      <wp:positionH relativeFrom="column">
                        <wp:posOffset>7052309</wp:posOffset>
                      </wp:positionH>
                      <wp:positionV relativeFrom="paragraph">
                        <wp:posOffset>441640</wp:posOffset>
                      </wp:positionV>
                      <wp:extent cx="1371600" cy="6350"/>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464" name="Graphic 464"/>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11B790" id="Group 463" o:spid="_x0000_s1026" style="position:absolute;margin-left:555.3pt;margin-top:34.75pt;width:108pt;height:.5pt;z-index:-28013056;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KwbwIAAPMFAAAOAAAAZHJzL2Uyb0RvYy54bWykVE1v2zAMvQ/YfxB0X520XV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">
                      <v:shape id="Graphic 464"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" path="m1371600,l,,,6108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0F50" w14:textId="77777777" w:rsidR="00245300" w:rsidRPr="00EC20A0" w:rsidRDefault="00F17249">
            <w:pPr>
              <w:pStyle w:val="TableParagraph"/>
              <w:tabs>
                <w:tab w:val="left" w:pos="9013"/>
              </w:tabs>
              <w:spacing w:before="10"/>
              <w:ind w:right="1720"/>
              <w:jc w:val="center"/>
            </w:pPr>
            <w:r w:rsidRPr="00EC20A0">
              <w:rPr>
                <w:noProof/>
              </w:rPr>
              <mc:AlternateContent>
                <mc:Choice Requires="wpg">
                  <w:drawing>
                    <wp:anchor distT="0" distB="0" distL="0" distR="0" simplePos="0" relativeHeight="475301888" behindDoc="1" locked="0" layoutInCell="1" allowOverlap="1" wp14:anchorId="24D62BA5" wp14:editId="24D62BA6">
                      <wp:simplePos x="0" y="0"/>
                      <wp:positionH relativeFrom="column">
                        <wp:posOffset>1274825</wp:posOffset>
                      </wp:positionH>
                      <wp:positionV relativeFrom="paragraph">
                        <wp:posOffset>-91198</wp:posOffset>
                      </wp:positionV>
                      <wp:extent cx="1205865" cy="6350"/>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66" name="Graphic 466"/>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24FDB0" id="Group 465" o:spid="_x0000_s1026" style="position:absolute;margin-left:100.4pt;margin-top:-7.2pt;width:94.95pt;height:.5pt;z-index:-28014592;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THGKg3QCAADzBQAADgAA&#10;AAAAAAAAAAAAAAAuAgAAZHJzL2Uyb0RvYy54bWxQSwECLQAUAAYACAAAACEALa106eEAAAALAQAA&#10;DwAAAAAAAAAAAAAAAADOBAAAZHJzL2Rvd25yZXYueG1sUEsFBgAAAAAEAAQA8wAAANwFAAAAAA==&#10;">
                      <v:shape id="Graphic 466"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" path="m1205484,l,,,6108r1205484,l1205484,xe" fillcolor="black" stroked="f">
                        <v:path arrowok="t"/>
                      </v:shape>
                    </v:group>
                  </w:pict>
                </mc:Fallback>
              </mc:AlternateContent>
            </w:r>
            <w:r w:rsidRPr="00EC20A0">
              <w:rPr>
                <w:noProof/>
              </w:rPr>
              <mc:AlternateContent>
                <mc:Choice Requires="wpg">
                  <w:drawing>
                    <wp:anchor distT="0" distB="0" distL="0" distR="0" simplePos="0" relativeHeight="475302912" behindDoc="1" locked="0" layoutInCell="1" allowOverlap="1" wp14:anchorId="24D62BA7" wp14:editId="24D62BA8">
                      <wp:simplePos x="0" y="0"/>
                      <wp:positionH relativeFrom="column">
                        <wp:posOffset>1274825</wp:posOffset>
                      </wp:positionH>
                      <wp:positionV relativeFrom="paragraph">
                        <wp:posOffset>258559</wp:posOffset>
                      </wp:positionV>
                      <wp:extent cx="1205865" cy="635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468" name="Graphic 468"/>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8A99ED" id="Group 467" o:spid="_x0000_s1026" style="position:absolute;margin-left:100.4pt;margin-top:20.35pt;width:94.95pt;height:.5pt;z-index:-28013568;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">
                      <v:shape id="Graphic 468"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" path="m1205484,l,,,6108r1205484,l1205484,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r>
            <w:r w:rsidRPr="00EC20A0">
              <w:t>Reviewed</w:t>
            </w:r>
            <w:r w:rsidRPr="00EC20A0">
              <w:rPr>
                <w:spacing w:val="-12"/>
              </w:rPr>
              <w:t xml:space="preserve"> </w:t>
            </w:r>
            <w:r w:rsidRPr="00EC20A0">
              <w:rPr>
                <w:spacing w:val="-5"/>
              </w:rPr>
              <w:t>by:</w:t>
            </w:r>
          </w:p>
        </w:tc>
      </w:tr>
      <w:tr w:rsidR="00245300" w:rsidRPr="00EC20A0" w14:paraId="24D60F5B" w14:textId="77777777">
        <w:trPr>
          <w:trHeight w:val="793"/>
        </w:trPr>
        <w:tc>
          <w:tcPr>
            <w:tcW w:w="4644" w:type="dxa"/>
            <w:tcBorders>
              <w:right w:val="single" w:sz="4" w:space="0" w:color="000000"/>
            </w:tcBorders>
          </w:tcPr>
          <w:p w14:paraId="24D60F52" w14:textId="77777777" w:rsidR="00245300" w:rsidRPr="00EC20A0" w:rsidRDefault="00245300">
            <w:pPr>
              <w:pStyle w:val="TableParagraph"/>
              <w:spacing w:before="143"/>
            </w:pPr>
          </w:p>
          <w:p w14:paraId="24D60F53"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2250" w:type="dxa"/>
            <w:tcBorders>
              <w:left w:val="single" w:sz="4" w:space="0" w:color="000000"/>
              <w:right w:val="single" w:sz="4" w:space="0" w:color="000000"/>
            </w:tcBorders>
          </w:tcPr>
          <w:p w14:paraId="24D60F54" w14:textId="77777777" w:rsidR="00245300" w:rsidRPr="00EC20A0" w:rsidRDefault="00245300">
            <w:pPr>
              <w:pStyle w:val="TableParagraph"/>
              <w:spacing w:before="143"/>
            </w:pPr>
          </w:p>
          <w:p w14:paraId="24D60F55" w14:textId="77777777" w:rsidR="00245300" w:rsidRPr="00EC20A0" w:rsidRDefault="00F17249">
            <w:pPr>
              <w:pStyle w:val="TableParagraph"/>
              <w:ind w:left="107"/>
            </w:pPr>
            <w:r w:rsidRPr="00EC20A0">
              <w:rPr>
                <w:spacing w:val="-2"/>
              </w:rPr>
              <w:t>Objective</w:t>
            </w:r>
          </w:p>
        </w:tc>
        <w:tc>
          <w:tcPr>
            <w:tcW w:w="1620" w:type="dxa"/>
            <w:tcBorders>
              <w:left w:val="single" w:sz="4" w:space="0" w:color="000000"/>
              <w:right w:val="single" w:sz="4" w:space="0" w:color="000000"/>
            </w:tcBorders>
          </w:tcPr>
          <w:p w14:paraId="24D60F56" w14:textId="77777777" w:rsidR="00245300" w:rsidRPr="00EC20A0" w:rsidRDefault="00F17249">
            <w:pPr>
              <w:pStyle w:val="TableParagraph"/>
              <w:spacing w:before="143"/>
              <w:ind w:left="107" w:right="215"/>
            </w:pPr>
            <w:r w:rsidRPr="00EC20A0">
              <w:rPr>
                <w:spacing w:val="-2"/>
              </w:rPr>
              <w:t>Control Activities</w:t>
            </w:r>
          </w:p>
        </w:tc>
        <w:tc>
          <w:tcPr>
            <w:tcW w:w="1402" w:type="dxa"/>
            <w:tcBorders>
              <w:left w:val="single" w:sz="4" w:space="0" w:color="000000"/>
              <w:right w:val="single" w:sz="4" w:space="0" w:color="000000"/>
            </w:tcBorders>
          </w:tcPr>
          <w:p w14:paraId="24D60F57" w14:textId="77777777" w:rsidR="00245300" w:rsidRPr="00EC20A0" w:rsidRDefault="00245300">
            <w:pPr>
              <w:pStyle w:val="TableParagraph"/>
              <w:spacing w:before="143"/>
            </w:pPr>
          </w:p>
          <w:p w14:paraId="24D60F58"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498" w:type="dxa"/>
            <w:tcBorders>
              <w:left w:val="single" w:sz="4" w:space="0" w:color="000000"/>
              <w:right w:val="single" w:sz="4" w:space="0" w:color="000000"/>
            </w:tcBorders>
          </w:tcPr>
          <w:p w14:paraId="24D60F59" w14:textId="77777777" w:rsidR="00245300" w:rsidRPr="00EC20A0" w:rsidRDefault="00F17249">
            <w:pPr>
              <w:pStyle w:val="TableParagraph"/>
              <w:spacing w:before="143"/>
              <w:ind w:left="107"/>
            </w:pPr>
            <w:r w:rsidRPr="00EC20A0">
              <w:rPr>
                <w:spacing w:val="-2"/>
              </w:rPr>
              <w:t>Effective controls?</w:t>
            </w:r>
          </w:p>
        </w:tc>
        <w:tc>
          <w:tcPr>
            <w:tcW w:w="1979" w:type="dxa"/>
            <w:tcBorders>
              <w:left w:val="single" w:sz="4" w:space="0" w:color="000000"/>
            </w:tcBorders>
          </w:tcPr>
          <w:p w14:paraId="24D60F5A" w14:textId="77777777" w:rsidR="00245300" w:rsidRPr="00EC20A0" w:rsidRDefault="00F17249">
            <w:pPr>
              <w:pStyle w:val="TableParagraph"/>
              <w:spacing w:before="143"/>
              <w:ind w:left="107" w:right="140"/>
            </w:pPr>
            <w:r w:rsidRPr="00EC20A0">
              <w:t xml:space="preserve">Instances of </w:t>
            </w:r>
            <w:r w:rsidRPr="00EC20A0">
              <w:rPr>
                <w:spacing w:val="-2"/>
              </w:rPr>
              <w:t>noncompliance?</w:t>
            </w:r>
          </w:p>
        </w:tc>
      </w:tr>
      <w:tr w:rsidR="00245300" w:rsidRPr="00EC20A0" w14:paraId="24D60F64" w14:textId="77777777">
        <w:trPr>
          <w:trHeight w:val="2233"/>
        </w:trPr>
        <w:tc>
          <w:tcPr>
            <w:tcW w:w="4644" w:type="dxa"/>
            <w:tcBorders>
              <w:right w:val="single" w:sz="4" w:space="0" w:color="000000"/>
            </w:tcBorders>
          </w:tcPr>
          <w:p w14:paraId="24D60F5C" w14:textId="77777777" w:rsidR="00245300" w:rsidRPr="00EC20A0" w:rsidRDefault="00F17249">
            <w:pPr>
              <w:pStyle w:val="TableParagraph"/>
              <w:spacing w:before="143"/>
              <w:ind w:left="817" w:hanging="720"/>
              <w:rPr>
                <w:sz w:val="18"/>
              </w:rPr>
            </w:pPr>
            <w:r w:rsidRPr="00EC20A0">
              <w:rPr>
                <w:smallCaps/>
                <w:sz w:val="18"/>
              </w:rPr>
              <w:t>804.04.</w:t>
            </w:r>
            <w:r w:rsidRPr="00EC20A0">
              <w:rPr>
                <w:smallCaps/>
                <w:spacing w:val="-3"/>
                <w:sz w:val="18"/>
              </w:rPr>
              <w:t xml:space="preserve"> </w:t>
            </w:r>
            <w:r w:rsidRPr="00EC20A0">
              <w:rPr>
                <w:smallCaps/>
                <w:spacing w:val="16"/>
                <w:sz w:val="18"/>
              </w:rPr>
              <w:t xml:space="preserve"> </w:t>
            </w:r>
            <w:r w:rsidRPr="00EC20A0">
              <w:rPr>
                <w:smallCaps/>
                <w:sz w:val="18"/>
              </w:rPr>
              <w:t>Modifications</w:t>
            </w:r>
            <w:r w:rsidRPr="00EC20A0">
              <w:rPr>
                <w:smallCaps/>
                <w:spacing w:val="-5"/>
                <w:sz w:val="18"/>
              </w:rPr>
              <w:t xml:space="preserve"> </w:t>
            </w:r>
            <w:r w:rsidRPr="00EC20A0">
              <w:rPr>
                <w:smallCaps/>
                <w:sz w:val="18"/>
              </w:rPr>
              <w:t>of</w:t>
            </w:r>
            <w:r w:rsidRPr="00EC20A0">
              <w:rPr>
                <w:smallCaps/>
                <w:spacing w:val="-3"/>
                <w:sz w:val="18"/>
              </w:rPr>
              <w:t xml:space="preserve"> </w:t>
            </w:r>
            <w:r w:rsidRPr="00EC20A0">
              <w:rPr>
                <w:smallCaps/>
                <w:sz w:val="18"/>
              </w:rPr>
              <w:t>Outstanding</w:t>
            </w:r>
            <w:r w:rsidRPr="00EC20A0">
              <w:rPr>
                <w:smallCaps/>
                <w:spacing w:val="-3"/>
                <w:sz w:val="18"/>
              </w:rPr>
              <w:t xml:space="preserve"> </w:t>
            </w:r>
            <w:r w:rsidRPr="00EC20A0">
              <w:rPr>
                <w:smallCaps/>
                <w:sz w:val="18"/>
              </w:rPr>
              <w:t>Loan</w:t>
            </w:r>
            <w:r w:rsidRPr="00EC20A0">
              <w:rPr>
                <w:smallCaps/>
                <w:spacing w:val="40"/>
                <w:sz w:val="18"/>
              </w:rPr>
              <w:t xml:space="preserve"> </w:t>
            </w:r>
            <w:r w:rsidRPr="00EC20A0">
              <w:rPr>
                <w:smallCaps/>
                <w:spacing w:val="-2"/>
                <w:sz w:val="18"/>
              </w:rPr>
              <w:t>Guarantees.</w:t>
            </w:r>
          </w:p>
          <w:p w14:paraId="24D60F5D" w14:textId="77777777" w:rsidR="00245300" w:rsidRPr="00EC20A0" w:rsidRDefault="00F17249">
            <w:pPr>
              <w:pStyle w:val="TableParagraph"/>
              <w:spacing w:before="146"/>
              <w:ind w:left="97"/>
              <w:rPr>
                <w:sz w:val="18"/>
              </w:rPr>
            </w:pPr>
            <w:r w:rsidRPr="00EC20A0">
              <w:rPr>
                <w:sz w:val="18"/>
              </w:rPr>
              <w:t>Provision</w:t>
            </w:r>
            <w:r w:rsidRPr="00EC20A0">
              <w:rPr>
                <w:spacing w:val="-8"/>
                <w:sz w:val="18"/>
              </w:rPr>
              <w:t xml:space="preserve"> </w:t>
            </w:r>
            <w:r w:rsidRPr="00EC20A0">
              <w:rPr>
                <w:sz w:val="18"/>
              </w:rPr>
              <w:t>Type:</w:t>
            </w:r>
            <w:r w:rsidRPr="00EC20A0">
              <w:rPr>
                <w:spacing w:val="-6"/>
                <w:sz w:val="18"/>
              </w:rPr>
              <w:t xml:space="preserve"> </w:t>
            </w:r>
            <w:r w:rsidRPr="00EC20A0">
              <w:rPr>
                <w:sz w:val="18"/>
              </w:rPr>
              <w:t>Quantitative-</w:t>
            </w:r>
            <w:r w:rsidRPr="00EC20A0">
              <w:rPr>
                <w:spacing w:val="-2"/>
                <w:sz w:val="18"/>
              </w:rPr>
              <w:t>based.</w:t>
            </w:r>
          </w:p>
          <w:p w14:paraId="24D60F5E" w14:textId="77777777" w:rsidR="00245300" w:rsidRPr="00EC20A0" w:rsidRDefault="00F17249">
            <w:pPr>
              <w:pStyle w:val="TableParagraph"/>
              <w:spacing w:before="143"/>
              <w:ind w:left="97" w:right="137"/>
              <w:rPr>
                <w:sz w:val="18"/>
              </w:rPr>
            </w:pPr>
            <w:r w:rsidRPr="00EC20A0">
              <w:rPr>
                <w:sz w:val="18"/>
              </w:rPr>
              <w:t>A</w:t>
            </w:r>
            <w:r w:rsidRPr="00EC20A0">
              <w:rPr>
                <w:spacing w:val="-3"/>
                <w:sz w:val="18"/>
              </w:rPr>
              <w:t xml:space="preserve"> </w:t>
            </w:r>
            <w:r w:rsidRPr="00EC20A0">
              <w:rPr>
                <w:sz w:val="18"/>
              </w:rPr>
              <w:t>loan</w:t>
            </w:r>
            <w:r w:rsidRPr="00EC20A0">
              <w:rPr>
                <w:spacing w:val="-4"/>
                <w:sz w:val="18"/>
              </w:rPr>
              <w:t xml:space="preserve"> </w:t>
            </w:r>
            <w:r w:rsidRPr="00EC20A0">
              <w:rPr>
                <w:sz w:val="18"/>
              </w:rPr>
              <w:t>guarantee</w:t>
            </w:r>
            <w:r w:rsidRPr="00EC20A0">
              <w:rPr>
                <w:spacing w:val="-4"/>
                <w:sz w:val="18"/>
              </w:rPr>
              <w:t xml:space="preserve"> </w:t>
            </w:r>
            <w:r w:rsidRPr="00EC20A0">
              <w:rPr>
                <w:sz w:val="18"/>
              </w:rPr>
              <w:t>commitment</w:t>
            </w:r>
            <w:r w:rsidRPr="00EC20A0">
              <w:rPr>
                <w:spacing w:val="-3"/>
                <w:sz w:val="18"/>
              </w:rPr>
              <w:t xml:space="preserve"> </w:t>
            </w:r>
            <w:r w:rsidRPr="00EC20A0">
              <w:rPr>
                <w:sz w:val="18"/>
              </w:rPr>
              <w:t>or</w:t>
            </w:r>
            <w:r w:rsidRPr="00EC20A0">
              <w:rPr>
                <w:spacing w:val="-3"/>
                <w:sz w:val="18"/>
              </w:rPr>
              <w:t xml:space="preserve"> </w:t>
            </w:r>
            <w:r w:rsidRPr="00EC20A0">
              <w:rPr>
                <w:sz w:val="18"/>
              </w:rPr>
              <w:t>a</w:t>
            </w:r>
            <w:r w:rsidRPr="00EC20A0">
              <w:rPr>
                <w:spacing w:val="-4"/>
                <w:sz w:val="18"/>
              </w:rPr>
              <w:t xml:space="preserve"> </w:t>
            </w:r>
            <w:r w:rsidRPr="00EC20A0">
              <w:rPr>
                <w:sz w:val="18"/>
              </w:rPr>
              <w:t>loan</w:t>
            </w:r>
            <w:r w:rsidRPr="00EC20A0">
              <w:rPr>
                <w:spacing w:val="-3"/>
                <w:sz w:val="18"/>
              </w:rPr>
              <w:t xml:space="preserve"> </w:t>
            </w:r>
            <w:r w:rsidRPr="00EC20A0">
              <w:rPr>
                <w:sz w:val="18"/>
              </w:rPr>
              <w:t>guarantee, either</w:t>
            </w:r>
            <w:r w:rsidRPr="00EC20A0">
              <w:rPr>
                <w:spacing w:val="-6"/>
                <w:sz w:val="18"/>
              </w:rPr>
              <w:t xml:space="preserve"> </w:t>
            </w:r>
            <w:r w:rsidRPr="00EC20A0">
              <w:rPr>
                <w:sz w:val="18"/>
              </w:rPr>
              <w:t>of</w:t>
            </w:r>
            <w:r w:rsidRPr="00EC20A0">
              <w:rPr>
                <w:spacing w:val="-6"/>
                <w:sz w:val="18"/>
              </w:rPr>
              <w:t xml:space="preserve"> </w:t>
            </w:r>
            <w:r w:rsidRPr="00EC20A0">
              <w:rPr>
                <w:sz w:val="18"/>
              </w:rPr>
              <w:t>which</w:t>
            </w:r>
            <w:r w:rsidRPr="00EC20A0">
              <w:rPr>
                <w:spacing w:val="-5"/>
                <w:sz w:val="18"/>
              </w:rPr>
              <w:t xml:space="preserve"> </w:t>
            </w:r>
            <w:r w:rsidRPr="00EC20A0">
              <w:rPr>
                <w:sz w:val="18"/>
              </w:rPr>
              <w:t>is</w:t>
            </w:r>
            <w:r w:rsidRPr="00EC20A0">
              <w:rPr>
                <w:spacing w:val="-6"/>
                <w:sz w:val="18"/>
              </w:rPr>
              <w:t xml:space="preserve"> </w:t>
            </w:r>
            <w:r w:rsidRPr="00EC20A0">
              <w:rPr>
                <w:sz w:val="18"/>
              </w:rPr>
              <w:t>currently</w:t>
            </w:r>
            <w:r w:rsidRPr="00EC20A0">
              <w:rPr>
                <w:spacing w:val="-6"/>
                <w:sz w:val="18"/>
              </w:rPr>
              <w:t xml:space="preserve"> </w:t>
            </w:r>
            <w:r w:rsidRPr="00EC20A0">
              <w:rPr>
                <w:sz w:val="18"/>
              </w:rPr>
              <w:t>outstanding,</w:t>
            </w:r>
            <w:r w:rsidRPr="00EC20A0">
              <w:rPr>
                <w:spacing w:val="-6"/>
                <w:sz w:val="18"/>
              </w:rPr>
              <w:t xml:space="preserve"> </w:t>
            </w:r>
            <w:r w:rsidRPr="00EC20A0">
              <w:rPr>
                <w:sz w:val="18"/>
              </w:rPr>
              <w:t>shall</w:t>
            </w:r>
            <w:r w:rsidRPr="00EC20A0">
              <w:rPr>
                <w:spacing w:val="-5"/>
                <w:sz w:val="18"/>
              </w:rPr>
              <w:t xml:space="preserve"> </w:t>
            </w:r>
            <w:r w:rsidRPr="00EC20A0">
              <w:rPr>
                <w:sz w:val="18"/>
              </w:rPr>
              <w:t>not</w:t>
            </w:r>
            <w:r w:rsidRPr="00EC20A0">
              <w:rPr>
                <w:spacing w:val="-6"/>
                <w:sz w:val="18"/>
              </w:rPr>
              <w:t xml:space="preserve"> </w:t>
            </w:r>
            <w:r w:rsidRPr="00EC20A0">
              <w:rPr>
                <w:sz w:val="18"/>
              </w:rPr>
              <w:t>be modified in a manner that increases its cost unless budget authority for the additional cost is available.</w:t>
            </w:r>
            <w:hyperlink w:anchor="_bookmark93" w:history="1">
              <w:r w:rsidRPr="00EC20A0">
                <w:rPr>
                  <w:sz w:val="18"/>
                  <w:vertAlign w:val="superscript"/>
                </w:rPr>
                <w:t>20</w:t>
              </w:r>
            </w:hyperlink>
            <w:r w:rsidRPr="00EC20A0">
              <w:rPr>
                <w:sz w:val="18"/>
                <w:vertAlign w:val="superscript"/>
              </w:rPr>
              <w:t>,</w:t>
            </w:r>
            <w:hyperlink w:anchor="_bookmark94" w:history="1">
              <w:r w:rsidRPr="00EC20A0">
                <w:rPr>
                  <w:sz w:val="18"/>
                  <w:vertAlign w:val="superscript"/>
                </w:rPr>
                <w:t>21</w:t>
              </w:r>
            </w:hyperlink>
            <w:r w:rsidRPr="00EC20A0">
              <w:rPr>
                <w:sz w:val="18"/>
                <w:vertAlign w:val="superscript"/>
              </w:rPr>
              <w:t>,</w:t>
            </w:r>
            <w:hyperlink w:anchor="_bookmark95" w:history="1">
              <w:r w:rsidRPr="00EC20A0">
                <w:rPr>
                  <w:sz w:val="18"/>
                  <w:vertAlign w:val="superscript"/>
                </w:rPr>
                <w:t>22</w:t>
              </w:r>
            </w:hyperlink>
            <w:r w:rsidRPr="00EC20A0">
              <w:rPr>
                <w:sz w:val="18"/>
              </w:rPr>
              <w:t xml:space="preserve"> 2 U.S.C. § 661c(e).</w:t>
            </w:r>
          </w:p>
        </w:tc>
        <w:tc>
          <w:tcPr>
            <w:tcW w:w="2250" w:type="dxa"/>
            <w:tcBorders>
              <w:left w:val="single" w:sz="4" w:space="0" w:color="000000"/>
              <w:right w:val="single" w:sz="4" w:space="0" w:color="000000"/>
            </w:tcBorders>
          </w:tcPr>
          <w:p w14:paraId="24D60F5F" w14:textId="77777777" w:rsidR="00245300" w:rsidRPr="00EC20A0" w:rsidRDefault="00F17249">
            <w:pPr>
              <w:pStyle w:val="TableParagraph"/>
              <w:spacing w:before="143"/>
              <w:ind w:left="107" w:right="195"/>
              <w:rPr>
                <w:sz w:val="18"/>
              </w:rPr>
            </w:pPr>
            <w:r w:rsidRPr="00EC20A0">
              <w:rPr>
                <w:sz w:val="18"/>
              </w:rPr>
              <w:t>Modifications made to outstanding loan guarantee</w:t>
            </w:r>
            <w:r w:rsidRPr="00EC20A0">
              <w:rPr>
                <w:spacing w:val="-13"/>
                <w:sz w:val="18"/>
              </w:rPr>
              <w:t xml:space="preserve"> </w:t>
            </w:r>
            <w:r w:rsidRPr="00EC20A0">
              <w:rPr>
                <w:sz w:val="18"/>
              </w:rPr>
              <w:t xml:space="preserve">commitments or outstanding loan guarantees do not exceed the </w:t>
            </w:r>
            <w:r w:rsidRPr="00EC20A0">
              <w:rPr>
                <w:sz w:val="18"/>
              </w:rPr>
              <w:t>available budget authority. (See footnotes</w:t>
            </w:r>
            <w:r w:rsidRPr="00EC20A0">
              <w:rPr>
                <w:spacing w:val="-2"/>
                <w:sz w:val="18"/>
              </w:rPr>
              <w:t xml:space="preserve"> </w:t>
            </w:r>
            <w:r w:rsidRPr="00EC20A0">
              <w:rPr>
                <w:sz w:val="18"/>
              </w:rPr>
              <w:t>19</w:t>
            </w:r>
            <w:r w:rsidRPr="00EC20A0">
              <w:rPr>
                <w:spacing w:val="-3"/>
                <w:sz w:val="18"/>
              </w:rPr>
              <w:t xml:space="preserve"> </w:t>
            </w:r>
            <w:r w:rsidRPr="00EC20A0">
              <w:rPr>
                <w:sz w:val="18"/>
              </w:rPr>
              <w:t>through</w:t>
            </w:r>
            <w:r w:rsidRPr="00EC20A0">
              <w:rPr>
                <w:spacing w:val="-3"/>
                <w:sz w:val="18"/>
              </w:rPr>
              <w:t xml:space="preserve"> </w:t>
            </w:r>
            <w:r w:rsidRPr="00EC20A0">
              <w:rPr>
                <w:sz w:val="18"/>
              </w:rPr>
              <w:t xml:space="preserve">21 </w:t>
            </w:r>
            <w:r w:rsidRPr="00EC20A0">
              <w:rPr>
                <w:spacing w:val="-2"/>
                <w:sz w:val="18"/>
              </w:rPr>
              <w:t>below.)</w:t>
            </w:r>
          </w:p>
        </w:tc>
        <w:tc>
          <w:tcPr>
            <w:tcW w:w="1620" w:type="dxa"/>
            <w:tcBorders>
              <w:left w:val="single" w:sz="4" w:space="0" w:color="000000"/>
              <w:right w:val="single" w:sz="4" w:space="0" w:color="000000"/>
            </w:tcBorders>
          </w:tcPr>
          <w:p w14:paraId="24D60F60" w14:textId="77777777" w:rsidR="00245300" w:rsidRPr="00EC20A0" w:rsidRDefault="00F17249">
            <w:pPr>
              <w:pStyle w:val="TableParagraph"/>
              <w:spacing w:before="143"/>
              <w:ind w:left="107" w:right="195"/>
              <w:rPr>
                <w:sz w:val="12"/>
              </w:rPr>
            </w:pPr>
            <w:r w:rsidRPr="00EC20A0">
              <w:rPr>
                <w:sz w:val="18"/>
              </w:rPr>
              <w:t xml:space="preserve">Consider pre- </w:t>
            </w:r>
            <w:r w:rsidRPr="00EC20A0">
              <w:rPr>
                <w:spacing w:val="-2"/>
                <w:sz w:val="18"/>
              </w:rPr>
              <w:t xml:space="preserve">testing </w:t>
            </w:r>
            <w:r w:rsidRPr="00EC20A0">
              <w:rPr>
                <w:sz w:val="18"/>
              </w:rPr>
              <w:t>discussions</w:t>
            </w:r>
            <w:r w:rsidRPr="00EC20A0">
              <w:rPr>
                <w:spacing w:val="-13"/>
                <w:sz w:val="18"/>
              </w:rPr>
              <w:t xml:space="preserve"> </w:t>
            </w:r>
            <w:r w:rsidRPr="00EC20A0">
              <w:rPr>
                <w:sz w:val="18"/>
              </w:rPr>
              <w:t xml:space="preserve">with </w:t>
            </w:r>
            <w:r w:rsidRPr="00EC20A0">
              <w:rPr>
                <w:spacing w:val="-2"/>
                <w:sz w:val="18"/>
              </w:rPr>
              <w:t>OGC.</w:t>
            </w:r>
            <w:hyperlink w:anchor="_bookmark96" w:history="1">
              <w:r w:rsidRPr="00EC20A0">
                <w:rPr>
                  <w:spacing w:val="-2"/>
                  <w:position w:val="6"/>
                  <w:sz w:val="12"/>
                </w:rPr>
                <w:t>23</w:t>
              </w:r>
            </w:hyperlink>
          </w:p>
        </w:tc>
        <w:tc>
          <w:tcPr>
            <w:tcW w:w="1402" w:type="dxa"/>
            <w:tcBorders>
              <w:left w:val="single" w:sz="4" w:space="0" w:color="000000"/>
              <w:right w:val="single" w:sz="4" w:space="0" w:color="000000"/>
            </w:tcBorders>
          </w:tcPr>
          <w:p w14:paraId="24D60F61" w14:textId="77777777" w:rsidR="00245300" w:rsidRPr="00EC20A0" w:rsidRDefault="00245300">
            <w:pPr>
              <w:pStyle w:val="TableParagraph"/>
              <w:rPr>
                <w:sz w:val="18"/>
              </w:rPr>
            </w:pPr>
          </w:p>
        </w:tc>
        <w:tc>
          <w:tcPr>
            <w:tcW w:w="1498" w:type="dxa"/>
            <w:tcBorders>
              <w:left w:val="single" w:sz="4" w:space="0" w:color="000000"/>
              <w:right w:val="single" w:sz="4" w:space="0" w:color="000000"/>
            </w:tcBorders>
          </w:tcPr>
          <w:p w14:paraId="24D60F62" w14:textId="77777777" w:rsidR="00245300" w:rsidRPr="00EC20A0" w:rsidRDefault="00245300">
            <w:pPr>
              <w:pStyle w:val="TableParagraph"/>
              <w:rPr>
                <w:sz w:val="18"/>
              </w:rPr>
            </w:pPr>
          </w:p>
        </w:tc>
        <w:tc>
          <w:tcPr>
            <w:tcW w:w="1979" w:type="dxa"/>
            <w:tcBorders>
              <w:left w:val="single" w:sz="4" w:space="0" w:color="000000"/>
            </w:tcBorders>
          </w:tcPr>
          <w:p w14:paraId="24D60F63" w14:textId="77777777" w:rsidR="00245300" w:rsidRPr="00EC20A0" w:rsidRDefault="00F17249">
            <w:pPr>
              <w:pStyle w:val="TableParagraph"/>
              <w:spacing w:before="143"/>
              <w:ind w:left="107" w:right="414"/>
              <w:rPr>
                <w:sz w:val="18"/>
              </w:rPr>
            </w:pPr>
            <w:r w:rsidRPr="00EC20A0">
              <w:rPr>
                <w:sz w:val="18"/>
              </w:rPr>
              <w:t>See Compliance Audit</w:t>
            </w:r>
            <w:r w:rsidRPr="00EC20A0">
              <w:rPr>
                <w:spacing w:val="-13"/>
                <w:sz w:val="18"/>
              </w:rPr>
              <w:t xml:space="preserve"> </w:t>
            </w:r>
            <w:r w:rsidRPr="00EC20A0">
              <w:rPr>
                <w:sz w:val="18"/>
              </w:rPr>
              <w:t>Procedures, FAM 804 step 3.</w:t>
            </w:r>
          </w:p>
        </w:tc>
      </w:tr>
    </w:tbl>
    <w:p w14:paraId="24D60F65" w14:textId="77777777" w:rsidR="00245300" w:rsidRPr="00EC20A0" w:rsidRDefault="00F17249">
      <w:pPr>
        <w:pStyle w:val="BodyText"/>
        <w:spacing w:before="6"/>
        <w:rPr>
          <w:sz w:val="20"/>
        </w:rPr>
      </w:pPr>
      <w:r w:rsidRPr="00EC20A0">
        <w:rPr>
          <w:noProof/>
        </w:rPr>
        <mc:AlternateContent>
          <mc:Choice Requires="wps">
            <w:drawing>
              <wp:anchor distT="0" distB="0" distL="0" distR="0" simplePos="0" relativeHeight="487648256" behindDoc="1" locked="0" layoutInCell="1" allowOverlap="1" wp14:anchorId="24D62BA9" wp14:editId="24D62BAA">
                <wp:simplePos x="0" y="0"/>
                <wp:positionH relativeFrom="page">
                  <wp:posOffset>685800</wp:posOffset>
                </wp:positionH>
                <wp:positionV relativeFrom="paragraph">
                  <wp:posOffset>165609</wp:posOffset>
                </wp:positionV>
                <wp:extent cx="1828800" cy="6985"/>
                <wp:effectExtent l="0" t="0" r="0" b="0"/>
                <wp:wrapTopAndBottom/>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CE6236" id="Graphic 469" o:spid="_x0000_s1026" style="position:absolute;margin-left:54pt;margin-top:13.05pt;width:2in;height:.55pt;z-index:-156682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" path="m1828800,l,,,6858r1828800,l1828800,xe" fillcolor="black" stroked="f">
                <v:path arrowok="t"/>
                <w10:wrap type="topAndBottom" anchorx="page"/>
              </v:shape>
            </w:pict>
          </mc:Fallback>
        </mc:AlternateContent>
      </w:r>
    </w:p>
    <w:p w14:paraId="24D60F66" w14:textId="77777777" w:rsidR="00245300" w:rsidRPr="00EC20A0" w:rsidRDefault="00245300">
      <w:pPr>
        <w:pStyle w:val="BodyText"/>
        <w:spacing w:before="10"/>
        <w:rPr>
          <w:sz w:val="18"/>
        </w:rPr>
      </w:pPr>
    </w:p>
    <w:p w14:paraId="24D60F67" w14:textId="77777777" w:rsidR="00245300" w:rsidRPr="00EC20A0" w:rsidRDefault="00F17249">
      <w:pPr>
        <w:spacing w:line="242" w:lineRule="auto"/>
        <w:ind w:left="119" w:right="197"/>
        <w:rPr>
          <w:sz w:val="18"/>
        </w:rPr>
      </w:pPr>
      <w:r w:rsidRPr="00EC20A0">
        <w:rPr>
          <w:position w:val="7"/>
          <w:sz w:val="14"/>
        </w:rPr>
        <w:t>19</w:t>
      </w:r>
      <w:r w:rsidRPr="00EC20A0">
        <w:rPr>
          <w:sz w:val="18"/>
        </w:rPr>
        <w:t>The</w:t>
      </w:r>
      <w:r w:rsidRPr="00EC20A0">
        <w:rPr>
          <w:spacing w:val="-1"/>
          <w:sz w:val="18"/>
        </w:rPr>
        <w:t xml:space="preserve"> </w:t>
      </w:r>
      <w:r w:rsidRPr="00EC20A0">
        <w:rPr>
          <w:sz w:val="18"/>
        </w:rPr>
        <w:t xml:space="preserve">auditor </w:t>
      </w:r>
      <w:r w:rsidRPr="00EC20A0">
        <w:rPr>
          <w:sz w:val="18"/>
        </w:rPr>
        <w:t>should</w:t>
      </w:r>
      <w:r w:rsidRPr="00EC20A0">
        <w:rPr>
          <w:spacing w:val="-1"/>
          <w:sz w:val="18"/>
        </w:rPr>
        <w:t xml:space="preserve"> </w:t>
      </w:r>
      <w:r w:rsidRPr="00EC20A0">
        <w:rPr>
          <w:sz w:val="18"/>
        </w:rPr>
        <w:t>determine the results of the</w:t>
      </w:r>
      <w:r w:rsidRPr="00EC20A0">
        <w:rPr>
          <w:spacing w:val="-1"/>
          <w:sz w:val="18"/>
        </w:rPr>
        <w:t xml:space="preserve"> </w:t>
      </w:r>
      <w:r w:rsidRPr="00EC20A0">
        <w:rPr>
          <w:sz w:val="18"/>
        </w:rPr>
        <w:t>evaluation</w:t>
      </w:r>
      <w:r w:rsidRPr="00EC20A0">
        <w:rPr>
          <w:spacing w:val="-1"/>
          <w:sz w:val="18"/>
        </w:rPr>
        <w:t xml:space="preserve"> </w:t>
      </w:r>
      <w:r w:rsidRPr="00EC20A0">
        <w:rPr>
          <w:sz w:val="18"/>
        </w:rPr>
        <w:t>and testing of budget controls and</w:t>
      </w:r>
      <w:r w:rsidRPr="00EC20A0">
        <w:rPr>
          <w:spacing w:val="-1"/>
          <w:sz w:val="18"/>
        </w:rPr>
        <w:t xml:space="preserve"> </w:t>
      </w:r>
      <w:r w:rsidRPr="00EC20A0">
        <w:rPr>
          <w:sz w:val="18"/>
        </w:rPr>
        <w:t>testing</w:t>
      </w:r>
      <w:r w:rsidRPr="00EC20A0">
        <w:rPr>
          <w:spacing w:val="-1"/>
          <w:sz w:val="18"/>
        </w:rPr>
        <w:t xml:space="preserve"> </w:t>
      </w:r>
      <w:r w:rsidRPr="00EC20A0">
        <w:rPr>
          <w:sz w:val="18"/>
        </w:rPr>
        <w:t>of the</w:t>
      </w:r>
      <w:r w:rsidRPr="00EC20A0">
        <w:rPr>
          <w:spacing w:val="-1"/>
          <w:sz w:val="18"/>
        </w:rPr>
        <w:t xml:space="preserve"> </w:t>
      </w:r>
      <w:r w:rsidRPr="00EC20A0">
        <w:rPr>
          <w:sz w:val="18"/>
        </w:rPr>
        <w:t>Statement of Budgetary Resources. These</w:t>
      </w:r>
      <w:r w:rsidRPr="00EC20A0">
        <w:rPr>
          <w:spacing w:val="-1"/>
          <w:sz w:val="18"/>
        </w:rPr>
        <w:t xml:space="preserve"> </w:t>
      </w:r>
      <w:r w:rsidRPr="00EC20A0">
        <w:rPr>
          <w:sz w:val="18"/>
        </w:rPr>
        <w:t xml:space="preserve">controls relate to the execution of budget authority and usually are the same controls that are used to comply with the </w:t>
      </w:r>
      <w:proofErr w:type="spellStart"/>
      <w:r w:rsidRPr="00EC20A0">
        <w:rPr>
          <w:sz w:val="18"/>
        </w:rPr>
        <w:t>Antideficiency</w:t>
      </w:r>
      <w:proofErr w:type="spellEnd"/>
      <w:r w:rsidRPr="00EC20A0">
        <w:rPr>
          <w:sz w:val="18"/>
        </w:rPr>
        <w:t xml:space="preserve"> Act and FCRA. Accordingly, additional consideration of controls that achieve the compliance objective generally is not necessary if the auditor has assessed whether the entity achieves all of the budget control</w:t>
      </w:r>
      <w:r w:rsidRPr="00EC20A0">
        <w:rPr>
          <w:spacing w:val="-2"/>
          <w:sz w:val="18"/>
        </w:rPr>
        <w:t xml:space="preserve"> </w:t>
      </w:r>
      <w:r w:rsidRPr="00EC20A0">
        <w:rPr>
          <w:sz w:val="18"/>
        </w:rPr>
        <w:t>objectives</w:t>
      </w:r>
      <w:r w:rsidRPr="00EC20A0">
        <w:rPr>
          <w:spacing w:val="-2"/>
          <w:sz w:val="18"/>
        </w:rPr>
        <w:t xml:space="preserve"> </w:t>
      </w:r>
      <w:r w:rsidRPr="00EC20A0">
        <w:rPr>
          <w:sz w:val="18"/>
        </w:rPr>
        <w:t>listed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395</w:t>
      </w:r>
      <w:r w:rsidRPr="00EC20A0">
        <w:rPr>
          <w:spacing w:val="-3"/>
          <w:sz w:val="18"/>
        </w:rPr>
        <w:t xml:space="preserve"> </w:t>
      </w:r>
      <w:r w:rsidRPr="00EC20A0">
        <w:rPr>
          <w:sz w:val="18"/>
        </w:rPr>
        <w:t>F,</w:t>
      </w:r>
      <w:r w:rsidRPr="00EC20A0">
        <w:rPr>
          <w:spacing w:val="-2"/>
          <w:sz w:val="18"/>
        </w:rPr>
        <w:t xml:space="preserve"> </w:t>
      </w:r>
      <w:r w:rsidRPr="00EC20A0">
        <w:rPr>
          <w:sz w:val="18"/>
        </w:rPr>
        <w:t>Budget</w:t>
      </w:r>
      <w:r w:rsidRPr="00EC20A0">
        <w:rPr>
          <w:spacing w:val="-2"/>
          <w:sz w:val="18"/>
        </w:rPr>
        <w:t xml:space="preserve"> </w:t>
      </w:r>
      <w:r w:rsidRPr="00EC20A0">
        <w:rPr>
          <w:sz w:val="18"/>
        </w:rPr>
        <w:t>Control</w:t>
      </w:r>
      <w:r w:rsidRPr="00EC20A0">
        <w:rPr>
          <w:spacing w:val="-2"/>
          <w:sz w:val="18"/>
        </w:rPr>
        <w:t xml:space="preserve"> </w:t>
      </w:r>
      <w:r w:rsidRPr="00EC20A0">
        <w:rPr>
          <w:sz w:val="18"/>
        </w:rPr>
        <w:t>Objective,</w:t>
      </w:r>
      <w:r w:rsidRPr="00EC20A0">
        <w:rPr>
          <w:spacing w:val="-2"/>
          <w:sz w:val="18"/>
        </w:rPr>
        <w:t xml:space="preserve"> </w:t>
      </w:r>
      <w:r w:rsidRPr="00EC20A0">
        <w:rPr>
          <w:sz w:val="18"/>
        </w:rPr>
        <w:t>including</w:t>
      </w:r>
      <w:r w:rsidRPr="00EC20A0">
        <w:rPr>
          <w:spacing w:val="-1"/>
          <w:sz w:val="18"/>
        </w:rPr>
        <w:t xml:space="preserve"> </w:t>
      </w:r>
      <w:r w:rsidRPr="00EC20A0">
        <w:rPr>
          <w:sz w:val="18"/>
        </w:rPr>
        <w:t>the</w:t>
      </w:r>
      <w:r w:rsidRPr="00EC20A0">
        <w:rPr>
          <w:spacing w:val="-3"/>
          <w:sz w:val="18"/>
        </w:rPr>
        <w:t xml:space="preserve"> </w:t>
      </w:r>
      <w:r w:rsidRPr="00EC20A0">
        <w:rPr>
          <w:sz w:val="18"/>
        </w:rPr>
        <w:t>supplemental</w:t>
      </w:r>
      <w:r w:rsidRPr="00EC20A0">
        <w:rPr>
          <w:spacing w:val="-2"/>
          <w:sz w:val="18"/>
        </w:rPr>
        <w:t xml:space="preserve"> </w:t>
      </w:r>
      <w:r w:rsidRPr="00EC20A0">
        <w:rPr>
          <w:sz w:val="18"/>
        </w:rPr>
        <w:t>control</w:t>
      </w:r>
      <w:r w:rsidRPr="00EC20A0">
        <w:rPr>
          <w:spacing w:val="-2"/>
          <w:sz w:val="18"/>
        </w:rPr>
        <w:t xml:space="preserve"> </w:t>
      </w:r>
      <w:r w:rsidRPr="00EC20A0">
        <w:rPr>
          <w:sz w:val="18"/>
        </w:rPr>
        <w:t>objectives</w:t>
      </w:r>
      <w:r w:rsidRPr="00EC20A0">
        <w:rPr>
          <w:spacing w:val="-2"/>
          <w:sz w:val="18"/>
        </w:rPr>
        <w:t xml:space="preserve"> </w:t>
      </w:r>
      <w:r w:rsidRPr="00EC20A0">
        <w:rPr>
          <w:sz w:val="18"/>
        </w:rPr>
        <w:t>for</w:t>
      </w:r>
      <w:r w:rsidRPr="00EC20A0">
        <w:rPr>
          <w:spacing w:val="-2"/>
          <w:sz w:val="18"/>
        </w:rPr>
        <w:t xml:space="preserve"> </w:t>
      </w:r>
      <w:r w:rsidRPr="00EC20A0">
        <w:rPr>
          <w:sz w:val="18"/>
        </w:rPr>
        <w:t>FCRA.</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should</w:t>
      </w:r>
      <w:r w:rsidRPr="00EC20A0">
        <w:rPr>
          <w:spacing w:val="-2"/>
          <w:sz w:val="18"/>
        </w:rPr>
        <w:t xml:space="preserve"> </w:t>
      </w:r>
      <w:r w:rsidRPr="00EC20A0">
        <w:rPr>
          <w:sz w:val="18"/>
        </w:rPr>
        <w:t>refer</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budget</w:t>
      </w:r>
      <w:r w:rsidRPr="00EC20A0">
        <w:rPr>
          <w:spacing w:val="-2"/>
          <w:sz w:val="18"/>
        </w:rPr>
        <w:t xml:space="preserve"> </w:t>
      </w:r>
      <w:r w:rsidRPr="00EC20A0">
        <w:rPr>
          <w:sz w:val="18"/>
        </w:rPr>
        <w:t>control evaluation and testing and perform any additional procedures considered necessary to conclude on whether compliance controls are effective.</w:t>
      </w:r>
    </w:p>
    <w:p w14:paraId="24D60F68" w14:textId="77777777" w:rsidR="00245300" w:rsidRPr="00EC20A0" w:rsidRDefault="00F17249">
      <w:pPr>
        <w:spacing w:before="122" w:line="244" w:lineRule="auto"/>
        <w:ind w:left="120" w:right="294" w:hanging="1"/>
        <w:rPr>
          <w:sz w:val="18"/>
        </w:rPr>
      </w:pPr>
      <w:r w:rsidRPr="00EC20A0">
        <w:rPr>
          <w:position w:val="7"/>
          <w:sz w:val="14"/>
        </w:rPr>
        <w:t>20</w:t>
      </w:r>
      <w:r w:rsidRPr="00EC20A0">
        <w:rPr>
          <w:sz w:val="18"/>
        </w:rPr>
        <w:t>Appropriations</w:t>
      </w:r>
      <w:r w:rsidRPr="00EC20A0">
        <w:rPr>
          <w:spacing w:val="-1"/>
          <w:sz w:val="18"/>
        </w:rPr>
        <w:t xml:space="preserve"> </w:t>
      </w:r>
      <w:r w:rsidRPr="00EC20A0">
        <w:rPr>
          <w:sz w:val="18"/>
        </w:rPr>
        <w:t>or</w:t>
      </w:r>
      <w:r w:rsidRPr="00EC20A0">
        <w:rPr>
          <w:spacing w:val="-2"/>
          <w:sz w:val="18"/>
        </w:rPr>
        <w:t xml:space="preserve"> </w:t>
      </w:r>
      <w:r w:rsidRPr="00EC20A0">
        <w:rPr>
          <w:sz w:val="18"/>
        </w:rPr>
        <w:t>other</w:t>
      </w:r>
      <w:r w:rsidRPr="00EC20A0">
        <w:rPr>
          <w:spacing w:val="-2"/>
          <w:sz w:val="18"/>
        </w:rPr>
        <w:t xml:space="preserve"> </w:t>
      </w:r>
      <w:r w:rsidRPr="00EC20A0">
        <w:rPr>
          <w:sz w:val="18"/>
        </w:rPr>
        <w:t>budget</w:t>
      </w:r>
      <w:r w:rsidRPr="00EC20A0">
        <w:rPr>
          <w:spacing w:val="-2"/>
          <w:sz w:val="18"/>
        </w:rPr>
        <w:t xml:space="preserve"> </w:t>
      </w:r>
      <w:r w:rsidRPr="00EC20A0">
        <w:rPr>
          <w:sz w:val="18"/>
        </w:rPr>
        <w:t>authority</w:t>
      </w:r>
      <w:r w:rsidRPr="00EC20A0">
        <w:rPr>
          <w:spacing w:val="-2"/>
          <w:sz w:val="18"/>
        </w:rPr>
        <w:t xml:space="preserve"> </w:t>
      </w:r>
      <w:r w:rsidRPr="00EC20A0">
        <w:rPr>
          <w:sz w:val="18"/>
        </w:rPr>
        <w:t>to</w:t>
      </w:r>
      <w:r w:rsidRPr="00EC20A0">
        <w:rPr>
          <w:spacing w:val="-3"/>
          <w:sz w:val="18"/>
        </w:rPr>
        <w:t xml:space="preserve"> </w:t>
      </w:r>
      <w:r w:rsidRPr="00EC20A0">
        <w:rPr>
          <w:sz w:val="18"/>
        </w:rPr>
        <w:t>cover</w:t>
      </w:r>
      <w:r w:rsidRPr="00EC20A0">
        <w:rPr>
          <w:spacing w:val="-2"/>
          <w:sz w:val="18"/>
        </w:rPr>
        <w:t xml:space="preserve"> </w:t>
      </w:r>
      <w:r w:rsidRPr="00EC20A0">
        <w:rPr>
          <w:sz w:val="18"/>
        </w:rPr>
        <w:t>the</w:t>
      </w:r>
      <w:r w:rsidRPr="00EC20A0">
        <w:rPr>
          <w:spacing w:val="-3"/>
          <w:sz w:val="18"/>
        </w:rPr>
        <w:t xml:space="preserve"> </w:t>
      </w:r>
      <w:r w:rsidRPr="00EC20A0">
        <w:rPr>
          <w:sz w:val="18"/>
        </w:rPr>
        <w:t>cost</w:t>
      </w:r>
      <w:r w:rsidRPr="00EC20A0">
        <w:rPr>
          <w:spacing w:val="-2"/>
          <w:sz w:val="18"/>
        </w:rPr>
        <w:t xml:space="preserve"> </w:t>
      </w:r>
      <w:r w:rsidRPr="00EC20A0">
        <w:rPr>
          <w:sz w:val="18"/>
        </w:rPr>
        <w:t>of</w:t>
      </w:r>
      <w:r w:rsidRPr="00EC20A0">
        <w:rPr>
          <w:spacing w:val="-2"/>
          <w:sz w:val="18"/>
        </w:rPr>
        <w:t xml:space="preserve"> </w:t>
      </w:r>
      <w:r w:rsidRPr="00EC20A0">
        <w:rPr>
          <w:sz w:val="18"/>
        </w:rPr>
        <w:t>budget</w:t>
      </w:r>
      <w:r w:rsidRPr="00EC20A0">
        <w:rPr>
          <w:spacing w:val="-2"/>
          <w:sz w:val="18"/>
        </w:rPr>
        <w:t xml:space="preserve"> </w:t>
      </w:r>
      <w:r w:rsidRPr="00EC20A0">
        <w:rPr>
          <w:sz w:val="18"/>
        </w:rPr>
        <w:t>obligations</w:t>
      </w:r>
      <w:r w:rsidRPr="00EC20A0">
        <w:rPr>
          <w:spacing w:val="-2"/>
          <w:sz w:val="18"/>
        </w:rPr>
        <w:t xml:space="preserve"> </w:t>
      </w:r>
      <w:r w:rsidRPr="00EC20A0">
        <w:rPr>
          <w:sz w:val="18"/>
        </w:rPr>
        <w:t>for</w:t>
      </w:r>
      <w:r w:rsidRPr="00EC20A0">
        <w:rPr>
          <w:spacing w:val="-2"/>
          <w:sz w:val="18"/>
        </w:rPr>
        <w:t xml:space="preserve"> </w:t>
      </w:r>
      <w:r w:rsidRPr="00EC20A0">
        <w:rPr>
          <w:sz w:val="18"/>
        </w:rPr>
        <w:t>loan</w:t>
      </w:r>
      <w:r w:rsidRPr="00EC20A0">
        <w:rPr>
          <w:spacing w:val="-3"/>
          <w:sz w:val="18"/>
        </w:rPr>
        <w:t xml:space="preserve"> </w:t>
      </w:r>
      <w:r w:rsidRPr="00EC20A0">
        <w:rPr>
          <w:sz w:val="18"/>
        </w:rPr>
        <w:t>guarantee</w:t>
      </w:r>
      <w:r w:rsidRPr="00EC20A0">
        <w:rPr>
          <w:spacing w:val="-3"/>
          <w:sz w:val="18"/>
        </w:rPr>
        <w:t xml:space="preserve"> </w:t>
      </w:r>
      <w:r w:rsidRPr="00EC20A0">
        <w:rPr>
          <w:sz w:val="18"/>
        </w:rPr>
        <w:t>commitments</w:t>
      </w:r>
      <w:r w:rsidRPr="00EC20A0">
        <w:rPr>
          <w:spacing w:val="-2"/>
          <w:sz w:val="18"/>
        </w:rPr>
        <w:t xml:space="preserve"> </w:t>
      </w:r>
      <w:r w:rsidRPr="00EC20A0">
        <w:rPr>
          <w:sz w:val="18"/>
        </w:rPr>
        <w:t>must</w:t>
      </w:r>
      <w:r w:rsidRPr="00EC20A0">
        <w:rPr>
          <w:spacing w:val="-2"/>
          <w:sz w:val="18"/>
        </w:rPr>
        <w:t xml:space="preserve"> </w:t>
      </w:r>
      <w:r w:rsidRPr="00EC20A0">
        <w:rPr>
          <w:sz w:val="18"/>
        </w:rPr>
        <w:t>be</w:t>
      </w:r>
      <w:r w:rsidRPr="00EC20A0">
        <w:rPr>
          <w:spacing w:val="-3"/>
          <w:sz w:val="18"/>
        </w:rPr>
        <w:t xml:space="preserve"> </w:t>
      </w:r>
      <w:r w:rsidRPr="00EC20A0">
        <w:rPr>
          <w:sz w:val="18"/>
        </w:rPr>
        <w:t>enacted</w:t>
      </w:r>
      <w:r w:rsidRPr="00EC20A0">
        <w:rPr>
          <w:spacing w:val="-3"/>
          <w:sz w:val="18"/>
        </w:rPr>
        <w:t xml:space="preserve"> </w:t>
      </w:r>
      <w:r w:rsidRPr="00EC20A0">
        <w:rPr>
          <w:sz w:val="18"/>
        </w:rPr>
        <w:t>in</w:t>
      </w:r>
      <w:r w:rsidRPr="00EC20A0">
        <w:rPr>
          <w:spacing w:val="-3"/>
          <w:sz w:val="18"/>
        </w:rPr>
        <w:t xml:space="preserve"> </w:t>
      </w:r>
      <w:r w:rsidRPr="00EC20A0">
        <w:rPr>
          <w:sz w:val="18"/>
        </w:rPr>
        <w:t>advance</w:t>
      </w:r>
      <w:r w:rsidRPr="00EC20A0">
        <w:rPr>
          <w:spacing w:val="-3"/>
          <w:sz w:val="18"/>
        </w:rPr>
        <w:t xml:space="preserve"> </w:t>
      </w:r>
      <w:r w:rsidRPr="00EC20A0">
        <w:rPr>
          <w:sz w:val="18"/>
        </w:rPr>
        <w:t>of</w:t>
      </w:r>
      <w:r w:rsidRPr="00EC20A0">
        <w:rPr>
          <w:spacing w:val="-2"/>
          <w:sz w:val="18"/>
        </w:rPr>
        <w:t xml:space="preserve"> </w:t>
      </w:r>
      <w:r w:rsidRPr="00EC20A0">
        <w:rPr>
          <w:sz w:val="18"/>
        </w:rPr>
        <w:t>new</w:t>
      </w:r>
      <w:r w:rsidRPr="00EC20A0">
        <w:rPr>
          <w:spacing w:val="-1"/>
          <w:sz w:val="18"/>
        </w:rPr>
        <w:t xml:space="preserve"> </w:t>
      </w:r>
      <w:r w:rsidRPr="00EC20A0">
        <w:rPr>
          <w:sz w:val="18"/>
        </w:rPr>
        <w:t>loan</w:t>
      </w:r>
      <w:r w:rsidRPr="00EC20A0">
        <w:rPr>
          <w:spacing w:val="-3"/>
          <w:sz w:val="18"/>
        </w:rPr>
        <w:t xml:space="preserve"> </w:t>
      </w:r>
      <w:r w:rsidRPr="00EC20A0">
        <w:rPr>
          <w:sz w:val="18"/>
        </w:rPr>
        <w:t xml:space="preserve">guarantee commitments made after on or after October 1, 1991. 2 U.S.C. § </w:t>
      </w:r>
      <w:r w:rsidRPr="00EC20A0">
        <w:rPr>
          <w:sz w:val="18"/>
        </w:rPr>
        <w:t>661c(b). For revolving or other funds that otherwise would be available for these budget obligations, the Congress must enact a limit on the use of such funds for these purposes to make them available for use.</w:t>
      </w:r>
    </w:p>
    <w:p w14:paraId="24D60F69" w14:textId="77777777" w:rsidR="00245300" w:rsidRPr="00EC20A0" w:rsidRDefault="00F17249">
      <w:pPr>
        <w:spacing w:before="122" w:line="242" w:lineRule="auto"/>
        <w:ind w:left="119" w:right="254"/>
        <w:rPr>
          <w:sz w:val="18"/>
        </w:rPr>
      </w:pPr>
      <w:r w:rsidRPr="00EC20A0">
        <w:rPr>
          <w:position w:val="7"/>
          <w:sz w:val="14"/>
        </w:rPr>
        <w:t>21</w:t>
      </w:r>
      <w:r w:rsidRPr="00EC20A0">
        <w:rPr>
          <w:sz w:val="18"/>
        </w:rPr>
        <w:t>Modifications are government actions that alter the estimated cost of an outstanding loan guarantee (or loan guarantee commitment) from the current estimate of cash flows. 2 U.S.C. § 661a(9). This includes the purchase of guaranteed loans, as well as any action resulting from new statutes, or from the exercise of</w:t>
      </w:r>
      <w:r w:rsidRPr="00EC20A0">
        <w:rPr>
          <w:spacing w:val="40"/>
          <w:sz w:val="18"/>
        </w:rPr>
        <w:t xml:space="preserve"> </w:t>
      </w:r>
      <w:r w:rsidRPr="00EC20A0">
        <w:rPr>
          <w:sz w:val="18"/>
        </w:rPr>
        <w:t>administrative discretion under existing law, that directly or indirectly alters the estimating cost of outstanding loan guarantees (or loan commitments) 2 U.S.C. § 661a(9). Thus</w:t>
      </w:r>
      <w:r w:rsidRPr="00EC20A0">
        <w:rPr>
          <w:i/>
          <w:sz w:val="18"/>
        </w:rPr>
        <w:t xml:space="preserve">, </w:t>
      </w:r>
      <w:r w:rsidRPr="00EC20A0">
        <w:rPr>
          <w:sz w:val="18"/>
        </w:rPr>
        <w:t>a</w:t>
      </w:r>
      <w:r w:rsidRPr="00EC20A0">
        <w:rPr>
          <w:spacing w:val="-1"/>
          <w:sz w:val="18"/>
        </w:rPr>
        <w:t xml:space="preserve"> </w:t>
      </w:r>
      <w:r w:rsidRPr="00EC20A0">
        <w:rPr>
          <w:sz w:val="18"/>
        </w:rPr>
        <w:t>policy change</w:t>
      </w:r>
      <w:r w:rsidRPr="00EC20A0">
        <w:rPr>
          <w:spacing w:val="-1"/>
          <w:sz w:val="18"/>
        </w:rPr>
        <w:t xml:space="preserve"> </w:t>
      </w:r>
      <w:r w:rsidRPr="00EC20A0">
        <w:rPr>
          <w:sz w:val="18"/>
        </w:rPr>
        <w:t>a</w:t>
      </w:r>
      <w:r w:rsidRPr="00EC20A0">
        <w:rPr>
          <w:sz w:val="18"/>
        </w:rPr>
        <w:t>ffecting</w:t>
      </w:r>
      <w:r w:rsidRPr="00EC20A0">
        <w:rPr>
          <w:spacing w:val="-1"/>
          <w:sz w:val="18"/>
        </w:rPr>
        <w:t xml:space="preserve"> </w:t>
      </w:r>
      <w:r w:rsidRPr="00EC20A0">
        <w:rPr>
          <w:sz w:val="18"/>
        </w:rPr>
        <w:t>the repayment period</w:t>
      </w:r>
      <w:r w:rsidRPr="00EC20A0">
        <w:rPr>
          <w:spacing w:val="-1"/>
          <w:sz w:val="18"/>
        </w:rPr>
        <w:t xml:space="preserve"> </w:t>
      </w:r>
      <w:r w:rsidRPr="00EC20A0">
        <w:rPr>
          <w:sz w:val="18"/>
        </w:rPr>
        <w:t>or interest rate</w:t>
      </w:r>
      <w:r w:rsidRPr="00EC20A0">
        <w:rPr>
          <w:spacing w:val="-1"/>
          <w:sz w:val="18"/>
        </w:rPr>
        <w:t xml:space="preserve"> </w:t>
      </w:r>
      <w:r w:rsidRPr="00EC20A0">
        <w:rPr>
          <w:sz w:val="18"/>
        </w:rPr>
        <w:t>for a</w:t>
      </w:r>
      <w:r w:rsidRPr="00EC20A0">
        <w:rPr>
          <w:spacing w:val="-1"/>
          <w:sz w:val="18"/>
        </w:rPr>
        <w:t xml:space="preserve"> </w:t>
      </w:r>
      <w:r w:rsidRPr="00EC20A0">
        <w:rPr>
          <w:sz w:val="18"/>
        </w:rPr>
        <w:t>group</w:t>
      </w:r>
      <w:r w:rsidRPr="00EC20A0">
        <w:rPr>
          <w:spacing w:val="-1"/>
          <w:sz w:val="18"/>
        </w:rPr>
        <w:t xml:space="preserve"> </w:t>
      </w:r>
      <w:r w:rsidRPr="00EC20A0">
        <w:rPr>
          <w:sz w:val="18"/>
        </w:rPr>
        <w:t>of existing</w:t>
      </w:r>
      <w:r w:rsidRPr="00EC20A0">
        <w:rPr>
          <w:spacing w:val="-1"/>
          <w:sz w:val="18"/>
        </w:rPr>
        <w:t xml:space="preserve"> </w:t>
      </w:r>
      <w:r w:rsidRPr="00EC20A0">
        <w:rPr>
          <w:sz w:val="18"/>
        </w:rPr>
        <w:t>loans would constitute</w:t>
      </w:r>
      <w:r w:rsidRPr="00EC20A0">
        <w:rPr>
          <w:spacing w:val="-1"/>
          <w:sz w:val="18"/>
        </w:rPr>
        <w:t xml:space="preserve"> </w:t>
      </w:r>
      <w:r w:rsidRPr="00EC20A0">
        <w:rPr>
          <w:sz w:val="18"/>
        </w:rPr>
        <w:t>a</w:t>
      </w:r>
      <w:r w:rsidRPr="00EC20A0">
        <w:rPr>
          <w:spacing w:val="-1"/>
          <w:sz w:val="18"/>
        </w:rPr>
        <w:t xml:space="preserve"> </w:t>
      </w:r>
      <w:r w:rsidRPr="00EC20A0">
        <w:rPr>
          <w:sz w:val="18"/>
        </w:rPr>
        <w:t>modification, whereas changes within</w:t>
      </w:r>
      <w:r w:rsidRPr="00EC20A0">
        <w:rPr>
          <w:spacing w:val="-1"/>
          <w:sz w:val="18"/>
        </w:rPr>
        <w:t xml:space="preserve"> </w:t>
      </w:r>
      <w:r w:rsidRPr="00EC20A0">
        <w:rPr>
          <w:sz w:val="18"/>
        </w:rPr>
        <w:t>the terms of existing contracts or through other existing authorities would not be considered to be modifications. Also, “work outs” of individual loans, such as a change in the</w:t>
      </w:r>
      <w:r w:rsidRPr="00EC20A0">
        <w:rPr>
          <w:spacing w:val="-3"/>
          <w:sz w:val="18"/>
        </w:rPr>
        <w:t xml:space="preserve"> </w:t>
      </w:r>
      <w:r w:rsidRPr="00EC20A0">
        <w:rPr>
          <w:sz w:val="18"/>
        </w:rPr>
        <w:t>amount</w:t>
      </w:r>
      <w:r w:rsidRPr="00EC20A0">
        <w:rPr>
          <w:spacing w:val="-2"/>
          <w:sz w:val="18"/>
        </w:rPr>
        <w:t xml:space="preserve"> </w:t>
      </w:r>
      <w:r w:rsidRPr="00EC20A0">
        <w:rPr>
          <w:sz w:val="18"/>
        </w:rPr>
        <w:t>or</w:t>
      </w:r>
      <w:r w:rsidRPr="00EC20A0">
        <w:rPr>
          <w:spacing w:val="-2"/>
          <w:sz w:val="18"/>
        </w:rPr>
        <w:t xml:space="preserve"> </w:t>
      </w:r>
      <w:r w:rsidRPr="00EC20A0">
        <w:rPr>
          <w:sz w:val="18"/>
        </w:rPr>
        <w:t>timing</w:t>
      </w:r>
      <w:r w:rsidRPr="00EC20A0">
        <w:rPr>
          <w:spacing w:val="-1"/>
          <w:sz w:val="18"/>
        </w:rPr>
        <w:t xml:space="preserve"> </w:t>
      </w:r>
      <w:r w:rsidRPr="00EC20A0">
        <w:rPr>
          <w:sz w:val="18"/>
        </w:rPr>
        <w:t>of</w:t>
      </w:r>
      <w:r w:rsidRPr="00EC20A0">
        <w:rPr>
          <w:spacing w:val="-2"/>
          <w:sz w:val="18"/>
        </w:rPr>
        <w:t xml:space="preserve"> </w:t>
      </w:r>
      <w:r w:rsidRPr="00EC20A0">
        <w:rPr>
          <w:sz w:val="18"/>
        </w:rPr>
        <w:t>payments</w:t>
      </w:r>
      <w:r w:rsidRPr="00EC20A0">
        <w:rPr>
          <w:spacing w:val="-2"/>
          <w:sz w:val="18"/>
        </w:rPr>
        <w:t xml:space="preserve"> </w:t>
      </w:r>
      <w:r w:rsidRPr="00EC20A0">
        <w:rPr>
          <w:sz w:val="18"/>
        </w:rPr>
        <w:t>to</w:t>
      </w:r>
      <w:r w:rsidRPr="00EC20A0">
        <w:rPr>
          <w:spacing w:val="-3"/>
          <w:sz w:val="18"/>
        </w:rPr>
        <w:t xml:space="preserve"> </w:t>
      </w:r>
      <w:r w:rsidRPr="00EC20A0">
        <w:rPr>
          <w:sz w:val="18"/>
        </w:rPr>
        <w:t>be</w:t>
      </w:r>
      <w:r w:rsidRPr="00EC20A0">
        <w:rPr>
          <w:spacing w:val="-3"/>
          <w:sz w:val="18"/>
        </w:rPr>
        <w:t xml:space="preserve"> </w:t>
      </w:r>
      <w:r w:rsidRPr="00EC20A0">
        <w:rPr>
          <w:sz w:val="18"/>
        </w:rPr>
        <w:t>made,</w:t>
      </w:r>
      <w:r w:rsidRPr="00EC20A0">
        <w:rPr>
          <w:spacing w:val="-1"/>
          <w:sz w:val="18"/>
        </w:rPr>
        <w:t xml:space="preserve"> </w:t>
      </w:r>
      <w:r w:rsidRPr="00EC20A0">
        <w:rPr>
          <w:sz w:val="18"/>
        </w:rPr>
        <w:t>would</w:t>
      </w:r>
      <w:r w:rsidRPr="00EC20A0">
        <w:rPr>
          <w:spacing w:val="-3"/>
          <w:sz w:val="18"/>
        </w:rPr>
        <w:t xml:space="preserve"> </w:t>
      </w:r>
      <w:r w:rsidRPr="00EC20A0">
        <w:rPr>
          <w:sz w:val="18"/>
        </w:rPr>
        <w:t>not</w:t>
      </w:r>
      <w:r w:rsidRPr="00EC20A0">
        <w:rPr>
          <w:spacing w:val="-2"/>
          <w:sz w:val="18"/>
        </w:rPr>
        <w:t xml:space="preserve"> </w:t>
      </w:r>
      <w:r w:rsidRPr="00EC20A0">
        <w:rPr>
          <w:sz w:val="18"/>
        </w:rPr>
        <w:t>be</w:t>
      </w:r>
      <w:r w:rsidRPr="00EC20A0">
        <w:rPr>
          <w:spacing w:val="-1"/>
          <w:sz w:val="18"/>
        </w:rPr>
        <w:t xml:space="preserve"> </w:t>
      </w:r>
      <w:r w:rsidRPr="00EC20A0">
        <w:rPr>
          <w:sz w:val="18"/>
        </w:rPr>
        <w:t>considered</w:t>
      </w:r>
      <w:r w:rsidRPr="00EC20A0">
        <w:rPr>
          <w:spacing w:val="-3"/>
          <w:sz w:val="18"/>
        </w:rPr>
        <w:t xml:space="preserve"> </w:t>
      </w:r>
      <w:r w:rsidRPr="00EC20A0">
        <w:rPr>
          <w:sz w:val="18"/>
        </w:rPr>
        <w:t>modifications.</w:t>
      </w:r>
      <w:r w:rsidRPr="00EC20A0">
        <w:rPr>
          <w:spacing w:val="-2"/>
          <w:sz w:val="18"/>
        </w:rPr>
        <w:t xml:space="preserve"> </w:t>
      </w:r>
      <w:r w:rsidRPr="00EC20A0">
        <w:rPr>
          <w:sz w:val="18"/>
        </w:rPr>
        <w:t>The</w:t>
      </w:r>
      <w:r w:rsidRPr="00EC20A0">
        <w:rPr>
          <w:spacing w:val="-1"/>
          <w:sz w:val="18"/>
        </w:rPr>
        <w:t xml:space="preserve"> </w:t>
      </w:r>
      <w:r w:rsidRPr="00EC20A0">
        <w:rPr>
          <w:sz w:val="18"/>
        </w:rPr>
        <w:t>effects</w:t>
      </w:r>
      <w:r w:rsidRPr="00EC20A0">
        <w:rPr>
          <w:spacing w:val="-2"/>
          <w:sz w:val="18"/>
        </w:rPr>
        <w:t xml:space="preserve"> </w:t>
      </w:r>
      <w:r w:rsidRPr="00EC20A0">
        <w:rPr>
          <w:sz w:val="18"/>
        </w:rPr>
        <w:t>of</w:t>
      </w:r>
      <w:r w:rsidRPr="00EC20A0">
        <w:rPr>
          <w:spacing w:val="-2"/>
          <w:sz w:val="18"/>
        </w:rPr>
        <w:t xml:space="preserve"> </w:t>
      </w:r>
      <w:r w:rsidRPr="00EC20A0">
        <w:rPr>
          <w:sz w:val="18"/>
        </w:rPr>
        <w:t>these</w:t>
      </w:r>
      <w:r w:rsidRPr="00EC20A0">
        <w:rPr>
          <w:spacing w:val="-3"/>
          <w:sz w:val="18"/>
        </w:rPr>
        <w:t xml:space="preserve"> </w:t>
      </w:r>
      <w:r w:rsidRPr="00EC20A0">
        <w:rPr>
          <w:sz w:val="18"/>
        </w:rPr>
        <w:t>changes</w:t>
      </w:r>
      <w:r w:rsidRPr="00EC20A0">
        <w:rPr>
          <w:spacing w:val="-2"/>
          <w:sz w:val="18"/>
        </w:rPr>
        <w:t xml:space="preserve"> </w:t>
      </w:r>
      <w:r w:rsidRPr="00EC20A0">
        <w:rPr>
          <w:sz w:val="18"/>
        </w:rPr>
        <w:t>should</w:t>
      </w:r>
      <w:r w:rsidRPr="00EC20A0">
        <w:rPr>
          <w:spacing w:val="-3"/>
          <w:sz w:val="18"/>
        </w:rPr>
        <w:t xml:space="preserve"> </w:t>
      </w:r>
      <w:r w:rsidRPr="00EC20A0">
        <w:rPr>
          <w:sz w:val="18"/>
        </w:rPr>
        <w:t>be</w:t>
      </w:r>
      <w:r w:rsidRPr="00EC20A0">
        <w:rPr>
          <w:spacing w:val="-3"/>
          <w:sz w:val="18"/>
        </w:rPr>
        <w:t xml:space="preserve"> </w:t>
      </w:r>
      <w:r w:rsidRPr="00EC20A0">
        <w:rPr>
          <w:sz w:val="18"/>
        </w:rPr>
        <w:t>included</w:t>
      </w:r>
      <w:r w:rsidRPr="00EC20A0">
        <w:rPr>
          <w:spacing w:val="-1"/>
          <w:sz w:val="18"/>
        </w:rPr>
        <w:t xml:space="preserve"> </w:t>
      </w:r>
      <w:r w:rsidRPr="00EC20A0">
        <w:rPr>
          <w:sz w:val="18"/>
        </w:rPr>
        <w:t>in</w:t>
      </w:r>
      <w:r w:rsidRPr="00EC20A0">
        <w:rPr>
          <w:spacing w:val="-3"/>
          <w:sz w:val="18"/>
        </w:rPr>
        <w:t xml:space="preserve"> </w:t>
      </w:r>
      <w:r w:rsidRPr="00EC20A0">
        <w:rPr>
          <w:sz w:val="18"/>
        </w:rPr>
        <w:t>the</w:t>
      </w:r>
      <w:r w:rsidRPr="00EC20A0">
        <w:rPr>
          <w:spacing w:val="-2"/>
          <w:sz w:val="18"/>
        </w:rPr>
        <w:t xml:space="preserve"> </w:t>
      </w:r>
      <w:r w:rsidRPr="00EC20A0">
        <w:rPr>
          <w:sz w:val="18"/>
        </w:rPr>
        <w:t>annual</w:t>
      </w:r>
      <w:r w:rsidRPr="00EC20A0">
        <w:rPr>
          <w:spacing w:val="-2"/>
          <w:sz w:val="18"/>
        </w:rPr>
        <w:t xml:space="preserve"> </w:t>
      </w:r>
      <w:proofErr w:type="spellStart"/>
      <w:r w:rsidRPr="00EC20A0">
        <w:rPr>
          <w:sz w:val="18"/>
        </w:rPr>
        <w:t>reestimates</w:t>
      </w:r>
      <w:proofErr w:type="spellEnd"/>
      <w:r w:rsidRPr="00EC20A0">
        <w:rPr>
          <w:spacing w:val="-2"/>
          <w:sz w:val="18"/>
        </w:rPr>
        <w:t xml:space="preserve"> </w:t>
      </w:r>
      <w:r w:rsidRPr="00EC20A0">
        <w:rPr>
          <w:sz w:val="18"/>
        </w:rPr>
        <w:t>of</w:t>
      </w:r>
      <w:r w:rsidRPr="00EC20A0">
        <w:rPr>
          <w:spacing w:val="-2"/>
          <w:sz w:val="18"/>
        </w:rPr>
        <w:t xml:space="preserve"> </w:t>
      </w:r>
      <w:r w:rsidRPr="00EC20A0">
        <w:rPr>
          <w:sz w:val="18"/>
        </w:rPr>
        <w:t xml:space="preserve">the estimated net present value of the obligations. Permanent indefinite authority is provided by FCRA for these </w:t>
      </w:r>
      <w:proofErr w:type="spellStart"/>
      <w:r w:rsidRPr="00EC20A0">
        <w:rPr>
          <w:sz w:val="18"/>
        </w:rPr>
        <w:t>reestimates</w:t>
      </w:r>
      <w:proofErr w:type="spellEnd"/>
      <w:r w:rsidRPr="00EC20A0">
        <w:rPr>
          <w:sz w:val="18"/>
        </w:rPr>
        <w:t>. 2 U.S.C. § 661c(f).</w:t>
      </w:r>
    </w:p>
    <w:p w14:paraId="24D60F6A" w14:textId="77777777" w:rsidR="00245300" w:rsidRPr="00EC20A0" w:rsidRDefault="00F17249">
      <w:pPr>
        <w:spacing w:before="119" w:line="249" w:lineRule="auto"/>
        <w:ind w:left="119" w:right="294"/>
        <w:rPr>
          <w:sz w:val="18"/>
        </w:rPr>
      </w:pPr>
      <w:r w:rsidRPr="00EC20A0">
        <w:rPr>
          <w:position w:val="7"/>
          <w:sz w:val="14"/>
        </w:rPr>
        <w:t>22</w:t>
      </w:r>
      <w:r w:rsidRPr="00EC20A0">
        <w:rPr>
          <w:sz w:val="18"/>
        </w:rPr>
        <w:t>Prior</w:t>
      </w:r>
      <w:r w:rsidRPr="00EC20A0">
        <w:rPr>
          <w:spacing w:val="-2"/>
          <w:sz w:val="18"/>
        </w:rPr>
        <w:t xml:space="preserve"> </w:t>
      </w:r>
      <w:r w:rsidRPr="00EC20A0">
        <w:rPr>
          <w:sz w:val="18"/>
        </w:rPr>
        <w:t>to</w:t>
      </w:r>
      <w:r w:rsidRPr="00EC20A0">
        <w:rPr>
          <w:spacing w:val="-3"/>
          <w:sz w:val="18"/>
        </w:rPr>
        <w:t xml:space="preserve"> </w:t>
      </w:r>
      <w:r w:rsidRPr="00EC20A0">
        <w:rPr>
          <w:sz w:val="18"/>
        </w:rPr>
        <w:t>performing</w:t>
      </w:r>
      <w:r w:rsidRPr="00EC20A0">
        <w:rPr>
          <w:spacing w:val="-3"/>
          <w:sz w:val="18"/>
        </w:rPr>
        <w:t xml:space="preserve"> </w:t>
      </w:r>
      <w:r w:rsidRPr="00EC20A0">
        <w:rPr>
          <w:sz w:val="18"/>
        </w:rPr>
        <w:t>control</w:t>
      </w:r>
      <w:r w:rsidRPr="00EC20A0">
        <w:rPr>
          <w:spacing w:val="-2"/>
          <w:sz w:val="18"/>
        </w:rPr>
        <w:t xml:space="preserve"> </w:t>
      </w:r>
      <w:r w:rsidRPr="00EC20A0">
        <w:rPr>
          <w:sz w:val="18"/>
        </w:rPr>
        <w:t>or</w:t>
      </w:r>
      <w:r w:rsidRPr="00EC20A0">
        <w:rPr>
          <w:spacing w:val="-1"/>
          <w:sz w:val="18"/>
        </w:rPr>
        <w:t xml:space="preserve"> </w:t>
      </w:r>
      <w:r w:rsidRPr="00EC20A0">
        <w:rPr>
          <w:sz w:val="18"/>
        </w:rPr>
        <w:t>compliance</w:t>
      </w:r>
      <w:r w:rsidRPr="00EC20A0">
        <w:rPr>
          <w:spacing w:val="-3"/>
          <w:sz w:val="18"/>
        </w:rPr>
        <w:t xml:space="preserve"> </w:t>
      </w:r>
      <w:r w:rsidRPr="00EC20A0">
        <w:rPr>
          <w:sz w:val="18"/>
        </w:rPr>
        <w:t>tests,</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1"/>
          <w:sz w:val="18"/>
        </w:rPr>
        <w:t xml:space="preserve"> </w:t>
      </w:r>
      <w:r w:rsidRPr="00EC20A0">
        <w:rPr>
          <w:sz w:val="18"/>
        </w:rPr>
        <w:t>should</w:t>
      </w:r>
      <w:r w:rsidRPr="00EC20A0">
        <w:rPr>
          <w:spacing w:val="-3"/>
          <w:sz w:val="18"/>
        </w:rPr>
        <w:t xml:space="preserve"> </w:t>
      </w:r>
      <w:r w:rsidRPr="00EC20A0">
        <w:rPr>
          <w:sz w:val="18"/>
        </w:rPr>
        <w:t>discuss</w:t>
      </w:r>
      <w:r w:rsidRPr="00EC20A0">
        <w:rPr>
          <w:spacing w:val="-2"/>
          <w:sz w:val="18"/>
        </w:rPr>
        <w:t xml:space="preserve"> </w:t>
      </w:r>
      <w:r w:rsidRPr="00EC20A0">
        <w:rPr>
          <w:sz w:val="18"/>
        </w:rPr>
        <w:t>with</w:t>
      </w:r>
      <w:r w:rsidRPr="00EC20A0">
        <w:rPr>
          <w:spacing w:val="-3"/>
          <w:sz w:val="18"/>
        </w:rPr>
        <w:t xml:space="preserve"> </w:t>
      </w:r>
      <w:r w:rsidRPr="00EC20A0">
        <w:rPr>
          <w:sz w:val="18"/>
        </w:rPr>
        <w:t>OGC</w:t>
      </w:r>
      <w:r w:rsidRPr="00EC20A0">
        <w:rPr>
          <w:spacing w:val="-2"/>
          <w:sz w:val="18"/>
        </w:rPr>
        <w:t xml:space="preserve"> </w:t>
      </w:r>
      <w:r w:rsidRPr="00EC20A0">
        <w:rPr>
          <w:sz w:val="18"/>
        </w:rPr>
        <w:t>the</w:t>
      </w:r>
      <w:r w:rsidRPr="00EC20A0">
        <w:rPr>
          <w:spacing w:val="-3"/>
          <w:sz w:val="18"/>
        </w:rPr>
        <w:t xml:space="preserve"> </w:t>
      </w:r>
      <w:r w:rsidRPr="00EC20A0">
        <w:rPr>
          <w:sz w:val="18"/>
        </w:rPr>
        <w:t>applicability</w:t>
      </w:r>
      <w:r w:rsidRPr="00EC20A0">
        <w:rPr>
          <w:spacing w:val="-2"/>
          <w:sz w:val="18"/>
        </w:rPr>
        <w:t xml:space="preserve"> </w:t>
      </w:r>
      <w:r w:rsidRPr="00EC20A0">
        <w:rPr>
          <w:sz w:val="18"/>
        </w:rPr>
        <w:t>of</w:t>
      </w:r>
      <w:r w:rsidRPr="00EC20A0">
        <w:rPr>
          <w:spacing w:val="-1"/>
          <w:sz w:val="18"/>
        </w:rPr>
        <w:t xml:space="preserve"> </w:t>
      </w:r>
      <w:r w:rsidRPr="00EC20A0">
        <w:rPr>
          <w:sz w:val="18"/>
        </w:rPr>
        <w:t>this</w:t>
      </w:r>
      <w:r w:rsidRPr="00EC20A0">
        <w:rPr>
          <w:spacing w:val="-2"/>
          <w:sz w:val="18"/>
        </w:rPr>
        <w:t xml:space="preserve"> </w:t>
      </w:r>
      <w:r w:rsidRPr="00EC20A0">
        <w:rPr>
          <w:sz w:val="18"/>
        </w:rPr>
        <w:t>budget</w:t>
      </w:r>
      <w:r w:rsidRPr="00EC20A0">
        <w:rPr>
          <w:spacing w:val="-2"/>
          <w:sz w:val="18"/>
        </w:rPr>
        <w:t xml:space="preserve"> </w:t>
      </w:r>
      <w:r w:rsidRPr="00EC20A0">
        <w:rPr>
          <w:sz w:val="18"/>
        </w:rPr>
        <w:t>restriction</w:t>
      </w:r>
      <w:r w:rsidRPr="00EC20A0">
        <w:rPr>
          <w:spacing w:val="-3"/>
          <w:sz w:val="18"/>
        </w:rPr>
        <w:t xml:space="preserve"> </w:t>
      </w:r>
      <w:r w:rsidRPr="00EC20A0">
        <w:rPr>
          <w:sz w:val="18"/>
        </w:rPr>
        <w:t>related</w:t>
      </w:r>
      <w:r w:rsidRPr="00EC20A0">
        <w:rPr>
          <w:spacing w:val="-1"/>
          <w:sz w:val="18"/>
        </w:rPr>
        <w:t xml:space="preserve"> </w:t>
      </w:r>
      <w:r w:rsidRPr="00EC20A0">
        <w:rPr>
          <w:sz w:val="18"/>
        </w:rPr>
        <w:t>to</w:t>
      </w:r>
      <w:r w:rsidRPr="00EC20A0">
        <w:rPr>
          <w:spacing w:val="-3"/>
          <w:sz w:val="18"/>
        </w:rPr>
        <w:t xml:space="preserve"> </w:t>
      </w:r>
      <w:r w:rsidRPr="00EC20A0">
        <w:rPr>
          <w:sz w:val="18"/>
        </w:rPr>
        <w:t>modification</w:t>
      </w:r>
      <w:r w:rsidRPr="00EC20A0">
        <w:rPr>
          <w:spacing w:val="-1"/>
          <w:sz w:val="18"/>
        </w:rPr>
        <w:t xml:space="preserve"> </w:t>
      </w:r>
      <w:r w:rsidRPr="00EC20A0">
        <w:rPr>
          <w:sz w:val="18"/>
        </w:rPr>
        <w:t>of</w:t>
      </w:r>
      <w:r w:rsidRPr="00EC20A0">
        <w:rPr>
          <w:spacing w:val="-2"/>
          <w:sz w:val="18"/>
        </w:rPr>
        <w:t xml:space="preserve"> </w:t>
      </w:r>
      <w:r w:rsidRPr="00EC20A0">
        <w:rPr>
          <w:sz w:val="18"/>
        </w:rPr>
        <w:t>loan guarantees or loan guarantee commitments that were outstanding prior to October 1, 1991.</w:t>
      </w:r>
    </w:p>
    <w:p w14:paraId="24D60F6B" w14:textId="77777777" w:rsidR="00245300" w:rsidRPr="00EC20A0" w:rsidRDefault="00245300">
      <w:pPr>
        <w:spacing w:line="249" w:lineRule="auto"/>
        <w:rPr>
          <w:sz w:val="18"/>
        </w:rPr>
        <w:sectPr w:rsidR="00245300" w:rsidRPr="00EC20A0">
          <w:pgSz w:w="15840" w:h="12240" w:orient="landscape"/>
          <w:pgMar w:top="1440" w:right="1220" w:bottom="940" w:left="960" w:header="721" w:footer="742" w:gutter="0"/>
          <w:cols w:space="720"/>
        </w:sectPr>
      </w:pPr>
    </w:p>
    <w:p w14:paraId="24D60F6C" w14:textId="77777777" w:rsidR="00245300" w:rsidRPr="00EC20A0" w:rsidRDefault="00245300">
      <w:pPr>
        <w:pStyle w:val="BodyText"/>
        <w:rPr>
          <w:sz w:val="20"/>
        </w:rPr>
      </w:pPr>
    </w:p>
    <w:p w14:paraId="24D60F6D" w14:textId="77777777" w:rsidR="00245300" w:rsidRPr="00EC20A0" w:rsidRDefault="00245300">
      <w:pPr>
        <w:pStyle w:val="BodyText"/>
        <w:rPr>
          <w:sz w:val="20"/>
        </w:rPr>
      </w:pPr>
    </w:p>
    <w:p w14:paraId="24D60F6E" w14:textId="77777777" w:rsidR="00245300" w:rsidRPr="00EC20A0" w:rsidRDefault="00245300">
      <w:pPr>
        <w:pStyle w:val="BodyText"/>
        <w:rPr>
          <w:sz w:val="20"/>
        </w:rPr>
      </w:pPr>
    </w:p>
    <w:p w14:paraId="24D60F6F" w14:textId="77777777" w:rsidR="00245300" w:rsidRPr="00EC20A0" w:rsidRDefault="00245300">
      <w:pPr>
        <w:pStyle w:val="BodyText"/>
        <w:rPr>
          <w:sz w:val="20"/>
        </w:rPr>
      </w:pPr>
    </w:p>
    <w:p w14:paraId="24D60F70" w14:textId="77777777" w:rsidR="00245300" w:rsidRPr="00EC20A0" w:rsidRDefault="00245300">
      <w:pPr>
        <w:pStyle w:val="BodyText"/>
        <w:rPr>
          <w:sz w:val="20"/>
        </w:rPr>
      </w:pPr>
    </w:p>
    <w:p w14:paraId="24D60F71" w14:textId="77777777" w:rsidR="00245300" w:rsidRPr="00EC20A0" w:rsidRDefault="00245300">
      <w:pPr>
        <w:pStyle w:val="BodyText"/>
        <w:rPr>
          <w:sz w:val="20"/>
        </w:rPr>
      </w:pPr>
    </w:p>
    <w:p w14:paraId="24D60F72" w14:textId="77777777" w:rsidR="00245300" w:rsidRPr="00EC20A0" w:rsidRDefault="00245300">
      <w:pPr>
        <w:pStyle w:val="BodyText"/>
        <w:rPr>
          <w:sz w:val="20"/>
        </w:rPr>
      </w:pPr>
    </w:p>
    <w:p w14:paraId="24D60F73" w14:textId="77777777" w:rsidR="00245300" w:rsidRPr="00EC20A0" w:rsidRDefault="00245300">
      <w:pPr>
        <w:pStyle w:val="BodyText"/>
        <w:rPr>
          <w:sz w:val="20"/>
        </w:rPr>
      </w:pPr>
    </w:p>
    <w:p w14:paraId="24D60F74" w14:textId="77777777" w:rsidR="00245300" w:rsidRPr="00EC20A0" w:rsidRDefault="00245300">
      <w:pPr>
        <w:pStyle w:val="BodyText"/>
        <w:rPr>
          <w:sz w:val="20"/>
        </w:rPr>
      </w:pPr>
    </w:p>
    <w:p w14:paraId="24D60F75" w14:textId="77777777" w:rsidR="00245300" w:rsidRPr="00EC20A0" w:rsidRDefault="00245300">
      <w:pPr>
        <w:pStyle w:val="BodyText"/>
        <w:rPr>
          <w:sz w:val="20"/>
        </w:rPr>
      </w:pPr>
    </w:p>
    <w:p w14:paraId="24D60F76" w14:textId="77777777" w:rsidR="00245300" w:rsidRPr="00EC20A0" w:rsidRDefault="00245300">
      <w:pPr>
        <w:pStyle w:val="BodyText"/>
        <w:rPr>
          <w:sz w:val="20"/>
        </w:rPr>
      </w:pPr>
    </w:p>
    <w:p w14:paraId="24D60F77" w14:textId="77777777" w:rsidR="00245300" w:rsidRPr="00EC20A0" w:rsidRDefault="00245300">
      <w:pPr>
        <w:pStyle w:val="BodyText"/>
        <w:rPr>
          <w:sz w:val="20"/>
        </w:rPr>
      </w:pPr>
    </w:p>
    <w:p w14:paraId="24D60F78" w14:textId="77777777" w:rsidR="00245300" w:rsidRPr="00EC20A0" w:rsidRDefault="00245300">
      <w:pPr>
        <w:pStyle w:val="BodyText"/>
        <w:rPr>
          <w:sz w:val="20"/>
        </w:rPr>
      </w:pPr>
    </w:p>
    <w:p w14:paraId="24D60F79" w14:textId="77777777" w:rsidR="00245300" w:rsidRPr="00EC20A0" w:rsidRDefault="00245300">
      <w:pPr>
        <w:pStyle w:val="BodyText"/>
        <w:rPr>
          <w:sz w:val="20"/>
        </w:rPr>
      </w:pPr>
    </w:p>
    <w:p w14:paraId="24D60F7A" w14:textId="77777777" w:rsidR="00245300" w:rsidRPr="00EC20A0" w:rsidRDefault="00245300">
      <w:pPr>
        <w:pStyle w:val="BodyText"/>
        <w:rPr>
          <w:sz w:val="20"/>
        </w:rPr>
      </w:pPr>
    </w:p>
    <w:p w14:paraId="24D60F7B" w14:textId="77777777" w:rsidR="00245300" w:rsidRPr="00EC20A0" w:rsidRDefault="00245300">
      <w:pPr>
        <w:pStyle w:val="BodyText"/>
        <w:rPr>
          <w:sz w:val="20"/>
        </w:rPr>
      </w:pPr>
    </w:p>
    <w:p w14:paraId="24D60F7C" w14:textId="77777777" w:rsidR="00245300" w:rsidRPr="00EC20A0" w:rsidRDefault="00245300">
      <w:pPr>
        <w:pStyle w:val="BodyText"/>
        <w:rPr>
          <w:sz w:val="20"/>
        </w:rPr>
      </w:pPr>
    </w:p>
    <w:p w14:paraId="24D60F7D" w14:textId="77777777" w:rsidR="00245300" w:rsidRPr="00EC20A0" w:rsidRDefault="00245300">
      <w:pPr>
        <w:pStyle w:val="BodyText"/>
        <w:rPr>
          <w:sz w:val="20"/>
        </w:rPr>
      </w:pPr>
    </w:p>
    <w:p w14:paraId="24D60F7E" w14:textId="77777777" w:rsidR="00245300" w:rsidRPr="00EC20A0" w:rsidRDefault="00245300">
      <w:pPr>
        <w:pStyle w:val="BodyText"/>
        <w:rPr>
          <w:sz w:val="20"/>
        </w:rPr>
      </w:pPr>
    </w:p>
    <w:p w14:paraId="24D60F7F" w14:textId="77777777" w:rsidR="00245300" w:rsidRPr="00EC20A0" w:rsidRDefault="00245300">
      <w:pPr>
        <w:pStyle w:val="BodyText"/>
        <w:rPr>
          <w:sz w:val="20"/>
        </w:rPr>
      </w:pPr>
    </w:p>
    <w:p w14:paraId="24D60F80" w14:textId="77777777" w:rsidR="00245300" w:rsidRPr="00EC20A0" w:rsidRDefault="00245300">
      <w:pPr>
        <w:pStyle w:val="BodyText"/>
        <w:rPr>
          <w:sz w:val="20"/>
        </w:rPr>
      </w:pPr>
    </w:p>
    <w:p w14:paraId="24D60F81" w14:textId="77777777" w:rsidR="00245300" w:rsidRPr="00EC20A0" w:rsidRDefault="00245300">
      <w:pPr>
        <w:pStyle w:val="BodyText"/>
        <w:rPr>
          <w:sz w:val="20"/>
        </w:rPr>
      </w:pPr>
    </w:p>
    <w:p w14:paraId="24D60F82" w14:textId="77777777" w:rsidR="00245300" w:rsidRPr="00EC20A0" w:rsidRDefault="00245300">
      <w:pPr>
        <w:pStyle w:val="BodyText"/>
        <w:rPr>
          <w:sz w:val="20"/>
        </w:rPr>
      </w:pPr>
    </w:p>
    <w:p w14:paraId="24D60F83" w14:textId="77777777" w:rsidR="00245300" w:rsidRPr="00EC20A0" w:rsidRDefault="00245300">
      <w:pPr>
        <w:pStyle w:val="BodyText"/>
        <w:rPr>
          <w:sz w:val="20"/>
        </w:rPr>
      </w:pPr>
    </w:p>
    <w:p w14:paraId="24D60F84" w14:textId="77777777" w:rsidR="00245300" w:rsidRPr="00EC20A0" w:rsidRDefault="00245300">
      <w:pPr>
        <w:pStyle w:val="BodyText"/>
        <w:rPr>
          <w:sz w:val="20"/>
        </w:rPr>
      </w:pPr>
    </w:p>
    <w:p w14:paraId="24D60F85" w14:textId="77777777" w:rsidR="00245300" w:rsidRPr="00EC20A0" w:rsidRDefault="00245300">
      <w:pPr>
        <w:pStyle w:val="BodyText"/>
        <w:rPr>
          <w:sz w:val="20"/>
        </w:rPr>
      </w:pPr>
    </w:p>
    <w:p w14:paraId="24D60F86" w14:textId="77777777" w:rsidR="00245300" w:rsidRPr="00EC20A0" w:rsidRDefault="00245300">
      <w:pPr>
        <w:pStyle w:val="BodyText"/>
        <w:rPr>
          <w:sz w:val="20"/>
        </w:rPr>
      </w:pPr>
    </w:p>
    <w:p w14:paraId="24D60F87" w14:textId="77777777" w:rsidR="00245300" w:rsidRPr="00EC20A0" w:rsidRDefault="00245300">
      <w:pPr>
        <w:pStyle w:val="BodyText"/>
        <w:rPr>
          <w:sz w:val="20"/>
        </w:rPr>
      </w:pPr>
    </w:p>
    <w:p w14:paraId="24D60F88" w14:textId="77777777" w:rsidR="00245300" w:rsidRPr="00EC20A0" w:rsidRDefault="00245300">
      <w:pPr>
        <w:pStyle w:val="BodyText"/>
        <w:rPr>
          <w:sz w:val="20"/>
        </w:rPr>
      </w:pPr>
    </w:p>
    <w:p w14:paraId="24D60F89" w14:textId="77777777" w:rsidR="00245300" w:rsidRPr="00EC20A0" w:rsidRDefault="00245300">
      <w:pPr>
        <w:pStyle w:val="BodyText"/>
        <w:rPr>
          <w:sz w:val="20"/>
        </w:rPr>
      </w:pPr>
    </w:p>
    <w:p w14:paraId="24D60F8A" w14:textId="77777777" w:rsidR="00245300" w:rsidRPr="00EC20A0" w:rsidRDefault="00245300">
      <w:pPr>
        <w:pStyle w:val="BodyText"/>
        <w:rPr>
          <w:sz w:val="20"/>
        </w:rPr>
      </w:pPr>
    </w:p>
    <w:p w14:paraId="24D60F8B" w14:textId="77777777" w:rsidR="00245300" w:rsidRPr="00EC20A0" w:rsidRDefault="00245300">
      <w:pPr>
        <w:pStyle w:val="BodyText"/>
        <w:rPr>
          <w:sz w:val="20"/>
        </w:rPr>
      </w:pPr>
    </w:p>
    <w:p w14:paraId="24D60F8C" w14:textId="77777777" w:rsidR="00245300" w:rsidRPr="00EC20A0" w:rsidRDefault="00245300">
      <w:pPr>
        <w:pStyle w:val="BodyText"/>
        <w:rPr>
          <w:sz w:val="20"/>
        </w:rPr>
      </w:pPr>
    </w:p>
    <w:p w14:paraId="24D60F8D" w14:textId="77777777" w:rsidR="00245300" w:rsidRPr="00EC20A0" w:rsidRDefault="00245300">
      <w:pPr>
        <w:pStyle w:val="BodyText"/>
        <w:rPr>
          <w:sz w:val="20"/>
        </w:rPr>
      </w:pPr>
    </w:p>
    <w:p w14:paraId="24D60F8E" w14:textId="77777777" w:rsidR="00245300" w:rsidRPr="00EC20A0" w:rsidRDefault="00245300">
      <w:pPr>
        <w:pStyle w:val="BodyText"/>
        <w:spacing w:before="31" w:after="1"/>
        <w:rPr>
          <w:sz w:val="20"/>
        </w:rPr>
      </w:pPr>
    </w:p>
    <w:p w14:paraId="24D60F8F" w14:textId="77777777" w:rsidR="00245300" w:rsidRPr="00EC20A0" w:rsidRDefault="00F17249">
      <w:pPr>
        <w:pStyle w:val="BodyText"/>
        <w:spacing w:line="20" w:lineRule="exact"/>
        <w:ind w:left="120"/>
        <w:rPr>
          <w:sz w:val="2"/>
        </w:rPr>
      </w:pPr>
      <w:r w:rsidRPr="00EC20A0">
        <w:rPr>
          <w:noProof/>
          <w:sz w:val="2"/>
        </w:rPr>
        <mc:AlternateContent>
          <mc:Choice Requires="wpg">
            <w:drawing>
              <wp:inline distT="0" distB="0" distL="0" distR="0" wp14:anchorId="24D62BAB" wp14:editId="24D62BAC">
                <wp:extent cx="1828800" cy="6985"/>
                <wp:effectExtent l="0" t="0" r="0" b="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471" name="Graphic 471"/>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D1CD09" id="Group 470"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">
                <v:shape id="Graphic 471" o:spid="_x0000_s1027" style="position:absolute;width:18288;height:69;visibility:visible;mso-wrap-style:square;v-text-anchor:top" coordsize="1828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" path="m1828800,l,,,6857r1828800,l1828800,xe" fillcolor="black" stroked="f">
                  <v:path arrowok="t"/>
                </v:shape>
                <w10:anchorlock/>
              </v:group>
            </w:pict>
          </mc:Fallback>
        </mc:AlternateContent>
      </w:r>
    </w:p>
    <w:p w14:paraId="24D60F90" w14:textId="77777777" w:rsidR="00245300" w:rsidRPr="00EC20A0" w:rsidRDefault="00245300">
      <w:pPr>
        <w:pStyle w:val="BodyText"/>
        <w:spacing w:before="1"/>
        <w:rPr>
          <w:sz w:val="18"/>
        </w:rPr>
      </w:pPr>
    </w:p>
    <w:p w14:paraId="24D60F91" w14:textId="77777777" w:rsidR="00245300" w:rsidRPr="00EC20A0" w:rsidRDefault="00F17249">
      <w:pPr>
        <w:spacing w:line="242" w:lineRule="auto"/>
        <w:ind w:left="119" w:right="197"/>
        <w:rPr>
          <w:sz w:val="18"/>
        </w:rPr>
      </w:pPr>
      <w:r w:rsidRPr="00EC20A0">
        <w:rPr>
          <w:position w:val="7"/>
          <w:sz w:val="14"/>
        </w:rPr>
        <w:t>23</w:t>
      </w:r>
      <w:r w:rsidRPr="00EC20A0">
        <w:rPr>
          <w:sz w:val="18"/>
        </w:rPr>
        <w:t>The</w:t>
      </w:r>
      <w:r w:rsidRPr="00EC20A0">
        <w:rPr>
          <w:spacing w:val="-1"/>
          <w:sz w:val="18"/>
        </w:rPr>
        <w:t xml:space="preserve"> </w:t>
      </w:r>
      <w:r w:rsidRPr="00EC20A0">
        <w:rPr>
          <w:sz w:val="18"/>
        </w:rPr>
        <w:t>auditor should</w:t>
      </w:r>
      <w:r w:rsidRPr="00EC20A0">
        <w:rPr>
          <w:spacing w:val="-1"/>
          <w:sz w:val="18"/>
        </w:rPr>
        <w:t xml:space="preserve"> </w:t>
      </w:r>
      <w:r w:rsidRPr="00EC20A0">
        <w:rPr>
          <w:sz w:val="18"/>
        </w:rPr>
        <w:t>determine the</w:t>
      </w:r>
      <w:r w:rsidRPr="00EC20A0">
        <w:rPr>
          <w:spacing w:val="-1"/>
          <w:sz w:val="18"/>
        </w:rPr>
        <w:t xml:space="preserve"> </w:t>
      </w:r>
      <w:r w:rsidRPr="00EC20A0">
        <w:rPr>
          <w:sz w:val="18"/>
        </w:rPr>
        <w:t>results of the</w:t>
      </w:r>
      <w:r w:rsidRPr="00EC20A0">
        <w:rPr>
          <w:spacing w:val="-1"/>
          <w:sz w:val="18"/>
        </w:rPr>
        <w:t xml:space="preserve"> </w:t>
      </w:r>
      <w:r w:rsidRPr="00EC20A0">
        <w:rPr>
          <w:sz w:val="18"/>
        </w:rPr>
        <w:t>evaluation and</w:t>
      </w:r>
      <w:r w:rsidRPr="00EC20A0">
        <w:rPr>
          <w:spacing w:val="-1"/>
          <w:sz w:val="18"/>
        </w:rPr>
        <w:t xml:space="preserve"> </w:t>
      </w:r>
      <w:r w:rsidRPr="00EC20A0">
        <w:rPr>
          <w:sz w:val="18"/>
        </w:rPr>
        <w:t>testing of budget controls and</w:t>
      </w:r>
      <w:r w:rsidRPr="00EC20A0">
        <w:rPr>
          <w:spacing w:val="-1"/>
          <w:sz w:val="18"/>
        </w:rPr>
        <w:t xml:space="preserve"> </w:t>
      </w:r>
      <w:r w:rsidRPr="00EC20A0">
        <w:rPr>
          <w:sz w:val="18"/>
        </w:rPr>
        <w:t>testing</w:t>
      </w:r>
      <w:r w:rsidRPr="00EC20A0">
        <w:rPr>
          <w:spacing w:val="-1"/>
          <w:sz w:val="18"/>
        </w:rPr>
        <w:t xml:space="preserve"> </w:t>
      </w:r>
      <w:r w:rsidRPr="00EC20A0">
        <w:rPr>
          <w:sz w:val="18"/>
        </w:rPr>
        <w:t>of the</w:t>
      </w:r>
      <w:r w:rsidRPr="00EC20A0">
        <w:rPr>
          <w:spacing w:val="-1"/>
          <w:sz w:val="18"/>
        </w:rPr>
        <w:t xml:space="preserve"> </w:t>
      </w:r>
      <w:r w:rsidRPr="00EC20A0">
        <w:rPr>
          <w:sz w:val="18"/>
        </w:rPr>
        <w:t>Statement of Budgetary Resources. These</w:t>
      </w:r>
      <w:r w:rsidRPr="00EC20A0">
        <w:rPr>
          <w:spacing w:val="-1"/>
          <w:sz w:val="18"/>
        </w:rPr>
        <w:t xml:space="preserve"> </w:t>
      </w:r>
      <w:r w:rsidRPr="00EC20A0">
        <w:rPr>
          <w:sz w:val="18"/>
        </w:rPr>
        <w:t xml:space="preserve">controls relate to the execution of budget authority and usually are the same controls that are used to comply with the </w:t>
      </w:r>
      <w:proofErr w:type="spellStart"/>
      <w:r w:rsidRPr="00EC20A0">
        <w:rPr>
          <w:sz w:val="18"/>
        </w:rPr>
        <w:t>Antideficiency</w:t>
      </w:r>
      <w:proofErr w:type="spellEnd"/>
      <w:r w:rsidRPr="00EC20A0">
        <w:rPr>
          <w:sz w:val="18"/>
        </w:rPr>
        <w:t xml:space="preserve"> Act and FCRA. Accordingly, additional consideration of controls that achieve the compliance objective generally is not necessary if the auditor has assessed whether the entity achieves all of the budget control</w:t>
      </w:r>
      <w:r w:rsidRPr="00EC20A0">
        <w:rPr>
          <w:spacing w:val="-2"/>
          <w:sz w:val="18"/>
        </w:rPr>
        <w:t xml:space="preserve"> </w:t>
      </w:r>
      <w:r w:rsidRPr="00EC20A0">
        <w:rPr>
          <w:sz w:val="18"/>
        </w:rPr>
        <w:t>objectives</w:t>
      </w:r>
      <w:r w:rsidRPr="00EC20A0">
        <w:rPr>
          <w:spacing w:val="-2"/>
          <w:sz w:val="18"/>
        </w:rPr>
        <w:t xml:space="preserve"> </w:t>
      </w:r>
      <w:r w:rsidRPr="00EC20A0">
        <w:rPr>
          <w:sz w:val="18"/>
        </w:rPr>
        <w:t>listed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395</w:t>
      </w:r>
      <w:r w:rsidRPr="00EC20A0">
        <w:rPr>
          <w:spacing w:val="-2"/>
          <w:sz w:val="18"/>
        </w:rPr>
        <w:t xml:space="preserve"> </w:t>
      </w:r>
      <w:r w:rsidRPr="00EC20A0">
        <w:rPr>
          <w:sz w:val="18"/>
        </w:rPr>
        <w:t>F,</w:t>
      </w:r>
      <w:r w:rsidRPr="00EC20A0">
        <w:rPr>
          <w:spacing w:val="-2"/>
          <w:sz w:val="18"/>
        </w:rPr>
        <w:t xml:space="preserve"> </w:t>
      </w:r>
      <w:r w:rsidRPr="00EC20A0">
        <w:rPr>
          <w:sz w:val="18"/>
        </w:rPr>
        <w:t>Budget</w:t>
      </w:r>
      <w:r w:rsidRPr="00EC20A0">
        <w:rPr>
          <w:spacing w:val="-2"/>
          <w:sz w:val="18"/>
        </w:rPr>
        <w:t xml:space="preserve"> </w:t>
      </w:r>
      <w:r w:rsidRPr="00EC20A0">
        <w:rPr>
          <w:sz w:val="18"/>
        </w:rPr>
        <w:t>Control</w:t>
      </w:r>
      <w:r w:rsidRPr="00EC20A0">
        <w:rPr>
          <w:spacing w:val="-2"/>
          <w:sz w:val="18"/>
        </w:rPr>
        <w:t xml:space="preserve"> </w:t>
      </w:r>
      <w:r w:rsidRPr="00EC20A0">
        <w:rPr>
          <w:sz w:val="18"/>
        </w:rPr>
        <w:t>Objective,</w:t>
      </w:r>
      <w:r w:rsidRPr="00EC20A0">
        <w:rPr>
          <w:spacing w:val="-2"/>
          <w:sz w:val="18"/>
        </w:rPr>
        <w:t xml:space="preserve"> </w:t>
      </w:r>
      <w:r w:rsidRPr="00EC20A0">
        <w:rPr>
          <w:sz w:val="18"/>
        </w:rPr>
        <w:t>includi</w:t>
      </w:r>
      <w:r w:rsidRPr="00EC20A0">
        <w:rPr>
          <w:sz w:val="18"/>
        </w:rPr>
        <w:t>ng</w:t>
      </w:r>
      <w:r w:rsidRPr="00EC20A0">
        <w:rPr>
          <w:spacing w:val="-1"/>
          <w:sz w:val="18"/>
        </w:rPr>
        <w:t xml:space="preserve"> </w:t>
      </w:r>
      <w:r w:rsidRPr="00EC20A0">
        <w:rPr>
          <w:sz w:val="18"/>
        </w:rPr>
        <w:t>the</w:t>
      </w:r>
      <w:r w:rsidRPr="00EC20A0">
        <w:rPr>
          <w:spacing w:val="-2"/>
          <w:sz w:val="18"/>
        </w:rPr>
        <w:t xml:space="preserve"> </w:t>
      </w:r>
      <w:r w:rsidRPr="00EC20A0">
        <w:rPr>
          <w:sz w:val="18"/>
        </w:rPr>
        <w:t>supplemental</w:t>
      </w:r>
      <w:r w:rsidRPr="00EC20A0">
        <w:rPr>
          <w:spacing w:val="-2"/>
          <w:sz w:val="18"/>
        </w:rPr>
        <w:t xml:space="preserve"> </w:t>
      </w:r>
      <w:r w:rsidRPr="00EC20A0">
        <w:rPr>
          <w:sz w:val="18"/>
        </w:rPr>
        <w:t>control</w:t>
      </w:r>
      <w:r w:rsidRPr="00EC20A0">
        <w:rPr>
          <w:spacing w:val="-2"/>
          <w:sz w:val="18"/>
        </w:rPr>
        <w:t xml:space="preserve"> </w:t>
      </w:r>
      <w:r w:rsidRPr="00EC20A0">
        <w:rPr>
          <w:sz w:val="18"/>
        </w:rPr>
        <w:t>objectives</w:t>
      </w:r>
      <w:r w:rsidRPr="00EC20A0">
        <w:rPr>
          <w:spacing w:val="-2"/>
          <w:sz w:val="18"/>
        </w:rPr>
        <w:t xml:space="preserve"> </w:t>
      </w:r>
      <w:r w:rsidRPr="00EC20A0">
        <w:rPr>
          <w:sz w:val="18"/>
        </w:rPr>
        <w:t>for</w:t>
      </w:r>
      <w:r w:rsidRPr="00EC20A0">
        <w:rPr>
          <w:spacing w:val="-2"/>
          <w:sz w:val="18"/>
        </w:rPr>
        <w:t xml:space="preserve"> </w:t>
      </w:r>
      <w:r w:rsidRPr="00EC20A0">
        <w:rPr>
          <w:sz w:val="18"/>
        </w:rPr>
        <w:t>FCRA.</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should</w:t>
      </w:r>
      <w:r w:rsidRPr="00EC20A0">
        <w:rPr>
          <w:spacing w:val="-3"/>
          <w:sz w:val="18"/>
        </w:rPr>
        <w:t xml:space="preserve"> </w:t>
      </w:r>
      <w:r w:rsidRPr="00EC20A0">
        <w:rPr>
          <w:sz w:val="18"/>
        </w:rPr>
        <w:t>refer</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budget</w:t>
      </w:r>
      <w:r w:rsidRPr="00EC20A0">
        <w:rPr>
          <w:spacing w:val="-2"/>
          <w:sz w:val="18"/>
        </w:rPr>
        <w:t xml:space="preserve"> </w:t>
      </w:r>
      <w:r w:rsidRPr="00EC20A0">
        <w:rPr>
          <w:sz w:val="18"/>
        </w:rPr>
        <w:t>control evaluation and testing and perform any additional procedures considered necessary to conclude on whether compliance controls are effective.</w:t>
      </w:r>
    </w:p>
    <w:p w14:paraId="24D60F92" w14:textId="77777777" w:rsidR="00245300" w:rsidRPr="00EC20A0" w:rsidRDefault="00245300">
      <w:pPr>
        <w:spacing w:line="242" w:lineRule="auto"/>
        <w:rPr>
          <w:sz w:val="18"/>
        </w:rPr>
        <w:sectPr w:rsidR="00245300" w:rsidRPr="00EC20A0">
          <w:pgSz w:w="15840" w:h="12240" w:orient="landscape"/>
          <w:pgMar w:top="1440" w:right="1220" w:bottom="940" w:left="960" w:header="721" w:footer="742" w:gutter="0"/>
          <w:cols w:space="720"/>
        </w:sectPr>
      </w:pPr>
    </w:p>
    <w:p w14:paraId="24D60F93" w14:textId="77777777" w:rsidR="00245300" w:rsidRPr="00EC20A0" w:rsidRDefault="00F17249">
      <w:pPr>
        <w:pStyle w:val="BodyText"/>
        <w:spacing w:line="44" w:lineRule="exact"/>
        <w:ind w:left="110"/>
        <w:rPr>
          <w:sz w:val="4"/>
        </w:rPr>
      </w:pPr>
      <w:r w:rsidRPr="00EC20A0">
        <w:rPr>
          <w:noProof/>
          <w:sz w:val="4"/>
        </w:rPr>
        <mc:AlternateContent>
          <mc:Choice Requires="wpg">
            <w:drawing>
              <wp:inline distT="0" distB="0" distL="0" distR="0" wp14:anchorId="24D62BAD" wp14:editId="24D62BAE">
                <wp:extent cx="5981700" cy="28575"/>
                <wp:effectExtent l="0" t="0" r="0" b="0"/>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8575"/>
                          <a:chOff x="0" y="0"/>
                          <a:chExt cx="5981700" cy="28575"/>
                        </a:xfrm>
                      </wpg:grpSpPr>
                      <wps:wsp>
                        <wps:cNvPr id="479" name="Graphic 479"/>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548FB0" id="Group 478" o:spid="_x0000_s1026" style="width:471pt;height:2.25pt;mso-position-horizontal-relative:char;mso-position-vertical-relative:line" coordsize="598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">
                <v:shape id="Graphic 479" o:spid="_x0000_s1027" style="position:absolute;width:59817;height:285;visibility:visible;mso-wrap-style:square;v-text-anchor:top" coordsize="59817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" path="m5981700,l,,,28194r5981700,l5981700,xe" fillcolor="black" stroked="f">
                  <v:path arrowok="t"/>
                </v:shape>
                <w10:anchorlock/>
              </v:group>
            </w:pict>
          </mc:Fallback>
        </mc:AlternateContent>
      </w:r>
    </w:p>
    <w:p w14:paraId="24D60F94" w14:textId="77777777" w:rsidR="00245300" w:rsidRPr="00EC20A0" w:rsidRDefault="00F17249">
      <w:pPr>
        <w:spacing w:before="166"/>
        <w:ind w:left="138" w:right="177" w:firstLine="1"/>
        <w:rPr>
          <w:sz w:val="20"/>
        </w:rPr>
      </w:pPr>
      <w:r w:rsidRPr="00EC20A0">
        <w:rPr>
          <w:sz w:val="20"/>
        </w:rPr>
        <w:t>Note:</w:t>
      </w:r>
      <w:r w:rsidRPr="00EC20A0">
        <w:rPr>
          <w:spacing w:val="-3"/>
          <w:sz w:val="20"/>
        </w:rPr>
        <w:t xml:space="preserve"> </w:t>
      </w:r>
      <w:r w:rsidRPr="00EC20A0">
        <w:rPr>
          <w:sz w:val="20"/>
        </w:rPr>
        <w:t>The</w:t>
      </w:r>
      <w:r w:rsidRPr="00EC20A0">
        <w:rPr>
          <w:spacing w:val="-3"/>
          <w:sz w:val="20"/>
        </w:rPr>
        <w:t xml:space="preserve"> </w:t>
      </w:r>
      <w:r w:rsidRPr="00EC20A0">
        <w:rPr>
          <w:sz w:val="20"/>
        </w:rPr>
        <w:t>auditor</w:t>
      </w:r>
      <w:r w:rsidRPr="00EC20A0">
        <w:rPr>
          <w:spacing w:val="-3"/>
          <w:sz w:val="20"/>
        </w:rPr>
        <w:t xml:space="preserve"> </w:t>
      </w:r>
      <w:r w:rsidRPr="00EC20A0">
        <w:rPr>
          <w:sz w:val="20"/>
        </w:rPr>
        <w:t>generally</w:t>
      </w:r>
      <w:r w:rsidRPr="00EC20A0">
        <w:rPr>
          <w:spacing w:val="-2"/>
          <w:sz w:val="20"/>
        </w:rPr>
        <w:t xml:space="preserve"> </w:t>
      </w:r>
      <w:r w:rsidRPr="00EC20A0">
        <w:rPr>
          <w:sz w:val="20"/>
        </w:rPr>
        <w:t>should</w:t>
      </w:r>
      <w:r w:rsidRPr="00EC20A0">
        <w:rPr>
          <w:spacing w:val="-3"/>
          <w:sz w:val="20"/>
        </w:rPr>
        <w:t xml:space="preserve"> </w:t>
      </w:r>
      <w:r w:rsidRPr="00EC20A0">
        <w:rPr>
          <w:sz w:val="20"/>
        </w:rPr>
        <w:t>perform</w:t>
      </w:r>
      <w:r w:rsidRPr="00EC20A0">
        <w:rPr>
          <w:spacing w:val="-3"/>
          <w:sz w:val="20"/>
        </w:rPr>
        <w:t xml:space="preserve"> </w:t>
      </w:r>
      <w:r w:rsidRPr="00EC20A0">
        <w:rPr>
          <w:sz w:val="20"/>
        </w:rPr>
        <w:t>these</w:t>
      </w:r>
      <w:r w:rsidRPr="00EC20A0">
        <w:rPr>
          <w:spacing w:val="-3"/>
          <w:sz w:val="20"/>
        </w:rPr>
        <w:t xml:space="preserve"> </w:t>
      </w:r>
      <w:r w:rsidRPr="00EC20A0">
        <w:rPr>
          <w:sz w:val="20"/>
        </w:rPr>
        <w:t>procedures</w:t>
      </w:r>
      <w:r w:rsidRPr="00EC20A0">
        <w:rPr>
          <w:spacing w:val="-2"/>
          <w:sz w:val="20"/>
        </w:rPr>
        <w:t xml:space="preserve"> </w:t>
      </w:r>
      <w:r w:rsidRPr="00EC20A0">
        <w:rPr>
          <w:sz w:val="20"/>
        </w:rPr>
        <w:t>or</w:t>
      </w:r>
      <w:r w:rsidRPr="00EC20A0">
        <w:rPr>
          <w:spacing w:val="-2"/>
          <w:sz w:val="20"/>
        </w:rPr>
        <w:t xml:space="preserve"> </w:t>
      </w:r>
      <w:r w:rsidRPr="00EC20A0">
        <w:rPr>
          <w:sz w:val="20"/>
        </w:rPr>
        <w:t>prepare</w:t>
      </w:r>
      <w:r w:rsidRPr="00EC20A0">
        <w:rPr>
          <w:spacing w:val="-3"/>
          <w:sz w:val="20"/>
        </w:rPr>
        <w:t xml:space="preserve"> </w:t>
      </w:r>
      <w:r w:rsidRPr="00EC20A0">
        <w:rPr>
          <w:sz w:val="20"/>
        </w:rPr>
        <w:t>equivalent</w:t>
      </w:r>
      <w:r w:rsidRPr="00EC20A0">
        <w:rPr>
          <w:spacing w:val="-3"/>
          <w:sz w:val="20"/>
        </w:rPr>
        <w:t xml:space="preserve"> </w:t>
      </w:r>
      <w:r w:rsidRPr="00EC20A0">
        <w:rPr>
          <w:sz w:val="20"/>
        </w:rPr>
        <w:t>documentation</w:t>
      </w:r>
      <w:r w:rsidRPr="00EC20A0">
        <w:rPr>
          <w:spacing w:val="-3"/>
          <w:sz w:val="20"/>
        </w:rPr>
        <w:t xml:space="preserve"> </w:t>
      </w:r>
      <w:r w:rsidRPr="00EC20A0">
        <w:rPr>
          <w:sz w:val="20"/>
        </w:rPr>
        <w:t>only</w:t>
      </w:r>
      <w:r w:rsidRPr="00EC20A0">
        <w:rPr>
          <w:spacing w:val="-3"/>
          <w:sz w:val="20"/>
        </w:rPr>
        <w:t xml:space="preserve"> </w:t>
      </w:r>
      <w:r w:rsidRPr="00EC20A0">
        <w:rPr>
          <w:sz w:val="20"/>
        </w:rPr>
        <w:t xml:space="preserve">if provisions of the Federal Credit Reform Act of 1990 (FCRA), as provided in 2 U.S.C. §§ 661–661f, are significant, as indicated on Form 802, </w:t>
      </w:r>
      <w:r w:rsidRPr="00EC20A0">
        <w:rPr>
          <w:sz w:val="20"/>
        </w:rPr>
        <w:t>General Compliance Checklist, at page 802-4. These procedures test compliance with the provisions listed on the Compliance Summary. OMB guidance on FCRA programs is included</w:t>
      </w:r>
      <w:r w:rsidRPr="00EC20A0">
        <w:rPr>
          <w:spacing w:val="-1"/>
          <w:sz w:val="20"/>
        </w:rPr>
        <w:t xml:space="preserve"> </w:t>
      </w:r>
      <w:r w:rsidRPr="00EC20A0">
        <w:rPr>
          <w:sz w:val="20"/>
        </w:rPr>
        <w:t>in</w:t>
      </w:r>
      <w:r w:rsidRPr="00EC20A0">
        <w:rPr>
          <w:spacing w:val="-1"/>
          <w:sz w:val="20"/>
        </w:rPr>
        <w:t xml:space="preserve"> </w:t>
      </w:r>
      <w:r w:rsidRPr="00EC20A0">
        <w:rPr>
          <w:sz w:val="20"/>
        </w:rPr>
        <w:t>OMB</w:t>
      </w:r>
      <w:r w:rsidRPr="00EC20A0">
        <w:rPr>
          <w:spacing w:val="-1"/>
          <w:sz w:val="20"/>
        </w:rPr>
        <w:t xml:space="preserve"> </w:t>
      </w:r>
      <w:r w:rsidRPr="00EC20A0">
        <w:rPr>
          <w:sz w:val="20"/>
        </w:rPr>
        <w:t>Circular No.</w:t>
      </w:r>
      <w:r w:rsidRPr="00EC20A0">
        <w:rPr>
          <w:spacing w:val="-1"/>
          <w:sz w:val="20"/>
        </w:rPr>
        <w:t xml:space="preserve"> </w:t>
      </w:r>
      <w:r w:rsidRPr="00EC20A0">
        <w:rPr>
          <w:sz w:val="20"/>
        </w:rPr>
        <w:t>A-11,</w:t>
      </w:r>
      <w:r w:rsidRPr="00EC20A0">
        <w:rPr>
          <w:spacing w:val="-1"/>
          <w:sz w:val="20"/>
        </w:rPr>
        <w:t xml:space="preserve"> </w:t>
      </w:r>
      <w:r w:rsidRPr="00EC20A0">
        <w:rPr>
          <w:i/>
          <w:sz w:val="20"/>
        </w:rPr>
        <w:t>Preparing,</w:t>
      </w:r>
      <w:r w:rsidRPr="00EC20A0">
        <w:rPr>
          <w:i/>
          <w:spacing w:val="-1"/>
          <w:sz w:val="20"/>
        </w:rPr>
        <w:t xml:space="preserve"> </w:t>
      </w:r>
      <w:r w:rsidRPr="00EC20A0">
        <w:rPr>
          <w:i/>
          <w:sz w:val="20"/>
        </w:rPr>
        <w:t>Submitting,</w:t>
      </w:r>
      <w:r w:rsidRPr="00EC20A0">
        <w:rPr>
          <w:i/>
          <w:spacing w:val="-1"/>
          <w:sz w:val="20"/>
        </w:rPr>
        <w:t xml:space="preserve"> </w:t>
      </w:r>
      <w:r w:rsidRPr="00EC20A0">
        <w:rPr>
          <w:i/>
          <w:sz w:val="20"/>
        </w:rPr>
        <w:t>and</w:t>
      </w:r>
      <w:r w:rsidRPr="00EC20A0">
        <w:rPr>
          <w:i/>
          <w:spacing w:val="-1"/>
          <w:sz w:val="20"/>
        </w:rPr>
        <w:t xml:space="preserve"> </w:t>
      </w:r>
      <w:r w:rsidRPr="00EC20A0">
        <w:rPr>
          <w:i/>
          <w:sz w:val="20"/>
        </w:rPr>
        <w:t>Executing</w:t>
      </w:r>
      <w:r w:rsidRPr="00EC20A0">
        <w:rPr>
          <w:i/>
          <w:spacing w:val="-1"/>
          <w:sz w:val="20"/>
        </w:rPr>
        <w:t xml:space="preserve"> </w:t>
      </w:r>
      <w:r w:rsidRPr="00EC20A0">
        <w:rPr>
          <w:i/>
          <w:sz w:val="20"/>
        </w:rPr>
        <w:t>the</w:t>
      </w:r>
      <w:r w:rsidRPr="00EC20A0">
        <w:rPr>
          <w:i/>
          <w:spacing w:val="-1"/>
          <w:sz w:val="20"/>
        </w:rPr>
        <w:t xml:space="preserve"> </w:t>
      </w:r>
      <w:r w:rsidRPr="00EC20A0">
        <w:rPr>
          <w:i/>
          <w:sz w:val="20"/>
        </w:rPr>
        <w:t>Budget,</w:t>
      </w:r>
      <w:r w:rsidRPr="00EC20A0">
        <w:rPr>
          <w:i/>
          <w:spacing w:val="-2"/>
          <w:sz w:val="20"/>
        </w:rPr>
        <w:t xml:space="preserve"> </w:t>
      </w:r>
      <w:r w:rsidRPr="00EC20A0">
        <w:rPr>
          <w:sz w:val="20"/>
        </w:rPr>
        <w:t>part</w:t>
      </w:r>
      <w:r w:rsidRPr="00EC20A0">
        <w:rPr>
          <w:spacing w:val="-1"/>
          <w:sz w:val="20"/>
        </w:rPr>
        <w:t xml:space="preserve"> </w:t>
      </w:r>
      <w:r w:rsidRPr="00EC20A0">
        <w:rPr>
          <w:sz w:val="20"/>
        </w:rPr>
        <w:t xml:space="preserve">5, </w:t>
      </w:r>
      <w:r w:rsidRPr="00EC20A0">
        <w:rPr>
          <w:i/>
          <w:sz w:val="20"/>
        </w:rPr>
        <w:t>Federal Credit</w:t>
      </w:r>
      <w:r w:rsidRPr="00EC20A0">
        <w:rPr>
          <w:sz w:val="20"/>
        </w:rPr>
        <w:t>.</w:t>
      </w:r>
    </w:p>
    <w:p w14:paraId="24D60F95" w14:textId="77777777" w:rsidR="00245300" w:rsidRPr="00EC20A0" w:rsidRDefault="00245300">
      <w:pPr>
        <w:pStyle w:val="BodyText"/>
        <w:rPr>
          <w:sz w:val="20"/>
        </w:rPr>
      </w:pPr>
    </w:p>
    <w:p w14:paraId="24D60F96" w14:textId="77777777" w:rsidR="00245300" w:rsidRPr="00EC20A0" w:rsidRDefault="00245300">
      <w:pPr>
        <w:pStyle w:val="BodyText"/>
        <w:spacing w:before="72"/>
        <w:rPr>
          <w:sz w:val="20"/>
        </w:rPr>
      </w:pPr>
    </w:p>
    <w:tbl>
      <w:tblPr>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40"/>
        <w:gridCol w:w="1200"/>
        <w:gridCol w:w="1410"/>
      </w:tblGrid>
      <w:tr w:rsidR="00245300" w:rsidRPr="00EC20A0" w14:paraId="24D60F98" w14:textId="77777777">
        <w:trPr>
          <w:trHeight w:val="1333"/>
        </w:trPr>
        <w:tc>
          <w:tcPr>
            <w:tcW w:w="9450" w:type="dxa"/>
            <w:gridSpan w:val="3"/>
          </w:tcPr>
          <w:p w14:paraId="24D60F97" w14:textId="77777777" w:rsidR="00245300" w:rsidRPr="00EC20A0" w:rsidRDefault="00F17249">
            <w:pPr>
              <w:pStyle w:val="TableParagraph"/>
              <w:tabs>
                <w:tab w:val="left" w:pos="8698"/>
              </w:tabs>
              <w:spacing w:before="7" w:line="390" w:lineRule="atLeast"/>
              <w:ind w:left="129" w:right="703"/>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0F9E" w14:textId="77777777">
        <w:trPr>
          <w:trHeight w:val="794"/>
        </w:trPr>
        <w:tc>
          <w:tcPr>
            <w:tcW w:w="6840" w:type="dxa"/>
            <w:tcBorders>
              <w:right w:val="single" w:sz="6" w:space="0" w:color="000000"/>
            </w:tcBorders>
          </w:tcPr>
          <w:p w14:paraId="24D60F99" w14:textId="77777777" w:rsidR="00245300" w:rsidRPr="00EC20A0" w:rsidRDefault="00245300">
            <w:pPr>
              <w:pStyle w:val="TableParagraph"/>
              <w:spacing w:before="145"/>
            </w:pPr>
          </w:p>
          <w:p w14:paraId="24D60F9A"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200" w:type="dxa"/>
            <w:tcBorders>
              <w:left w:val="single" w:sz="6" w:space="0" w:color="000000"/>
              <w:right w:val="single" w:sz="6" w:space="0" w:color="000000"/>
            </w:tcBorders>
          </w:tcPr>
          <w:p w14:paraId="24D60F9B" w14:textId="77777777" w:rsidR="00245300" w:rsidRPr="00EC20A0" w:rsidRDefault="00F17249">
            <w:pPr>
              <w:pStyle w:val="TableParagraph"/>
              <w:spacing w:before="145"/>
              <w:ind w:left="144"/>
              <w:rPr>
                <w:b/>
              </w:rPr>
            </w:pPr>
            <w:r w:rsidRPr="00EC20A0">
              <w:rPr>
                <w:b/>
                <w:spacing w:val="-2"/>
              </w:rPr>
              <w:t xml:space="preserve">Initials/ </w:t>
            </w:r>
            <w:r w:rsidRPr="00EC20A0">
              <w:rPr>
                <w:b/>
                <w:spacing w:val="-4"/>
              </w:rPr>
              <w:t>date</w:t>
            </w:r>
          </w:p>
        </w:tc>
        <w:tc>
          <w:tcPr>
            <w:tcW w:w="1410" w:type="dxa"/>
            <w:tcBorders>
              <w:left w:val="single" w:sz="6" w:space="0" w:color="000000"/>
            </w:tcBorders>
          </w:tcPr>
          <w:p w14:paraId="24D60F9C" w14:textId="77777777" w:rsidR="00245300" w:rsidRPr="00EC20A0" w:rsidRDefault="00245300">
            <w:pPr>
              <w:pStyle w:val="TableParagraph"/>
              <w:spacing w:before="145"/>
            </w:pPr>
          </w:p>
          <w:p w14:paraId="24D60F9D"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0FA2" w14:textId="77777777">
        <w:trPr>
          <w:trHeight w:val="1299"/>
        </w:trPr>
        <w:tc>
          <w:tcPr>
            <w:tcW w:w="6840" w:type="dxa"/>
            <w:tcBorders>
              <w:bottom w:val="single" w:sz="6" w:space="0" w:color="000000"/>
              <w:right w:val="single" w:sz="6" w:space="0" w:color="000000"/>
            </w:tcBorders>
          </w:tcPr>
          <w:p w14:paraId="24D60F9F" w14:textId="77777777" w:rsidR="00245300" w:rsidRPr="00EC20A0" w:rsidRDefault="00F17249">
            <w:pPr>
              <w:pStyle w:val="TableParagraph"/>
              <w:tabs>
                <w:tab w:val="left" w:pos="567"/>
              </w:tabs>
              <w:spacing w:before="144"/>
              <w:ind w:left="605" w:right="307" w:hanging="476"/>
            </w:pPr>
            <w:r w:rsidRPr="00EC20A0">
              <w:rPr>
                <w:spacing w:val="-6"/>
              </w:rPr>
              <w:t>1.</w:t>
            </w:r>
            <w:r w:rsidRPr="00EC20A0">
              <w:tab/>
              <w:t>List the appropriations or other budget authority and the related budget accounts that were identified for compliance testing</w:t>
            </w:r>
            <w:r w:rsidRPr="00EC20A0">
              <w:rPr>
                <w:spacing w:val="-5"/>
              </w:rPr>
              <w:t xml:space="preserve"> </w:t>
            </w:r>
            <w:r w:rsidRPr="00EC20A0">
              <w:t>on</w:t>
            </w:r>
            <w:r w:rsidRPr="00EC20A0">
              <w:rPr>
                <w:spacing w:val="-5"/>
              </w:rPr>
              <w:t xml:space="preserve"> </w:t>
            </w:r>
            <w:r w:rsidRPr="00EC20A0">
              <w:t>Form</w:t>
            </w:r>
            <w:r w:rsidRPr="00EC20A0">
              <w:rPr>
                <w:spacing w:val="-6"/>
              </w:rPr>
              <w:t xml:space="preserve"> </w:t>
            </w:r>
            <w:r w:rsidRPr="00EC20A0">
              <w:t>802,</w:t>
            </w:r>
            <w:r w:rsidRPr="00EC20A0">
              <w:rPr>
                <w:spacing w:val="-5"/>
              </w:rPr>
              <w:t xml:space="preserve"> </w:t>
            </w:r>
            <w:r w:rsidRPr="00EC20A0">
              <w:t>General</w:t>
            </w:r>
            <w:r w:rsidRPr="00EC20A0">
              <w:rPr>
                <w:spacing w:val="-5"/>
              </w:rPr>
              <w:t xml:space="preserve"> </w:t>
            </w:r>
            <w:r w:rsidRPr="00EC20A0">
              <w:t>Compliance</w:t>
            </w:r>
            <w:r w:rsidRPr="00EC20A0">
              <w:rPr>
                <w:spacing w:val="-5"/>
              </w:rPr>
              <w:t xml:space="preserve"> </w:t>
            </w:r>
            <w:r w:rsidRPr="00EC20A0">
              <w:t>Checklist,</w:t>
            </w:r>
            <w:r w:rsidRPr="00EC20A0">
              <w:rPr>
                <w:spacing w:val="-5"/>
              </w:rPr>
              <w:t xml:space="preserve"> </w:t>
            </w:r>
            <w:r w:rsidRPr="00EC20A0">
              <w:t>at</w:t>
            </w:r>
            <w:r w:rsidRPr="00EC20A0">
              <w:rPr>
                <w:spacing w:val="-5"/>
              </w:rPr>
              <w:t xml:space="preserve"> </w:t>
            </w:r>
            <w:r w:rsidRPr="00EC20A0">
              <w:t xml:space="preserve">page </w:t>
            </w:r>
            <w:r w:rsidRPr="00EC20A0">
              <w:rPr>
                <w:spacing w:val="-2"/>
              </w:rPr>
              <w:t>802-4.</w:t>
            </w:r>
          </w:p>
        </w:tc>
        <w:tc>
          <w:tcPr>
            <w:tcW w:w="1200" w:type="dxa"/>
            <w:tcBorders>
              <w:left w:val="single" w:sz="6" w:space="0" w:color="000000"/>
              <w:bottom w:val="single" w:sz="6" w:space="0" w:color="000000"/>
              <w:right w:val="single" w:sz="6" w:space="0" w:color="000000"/>
            </w:tcBorders>
          </w:tcPr>
          <w:p w14:paraId="24D60FA0" w14:textId="77777777" w:rsidR="00245300" w:rsidRPr="00EC20A0" w:rsidRDefault="00245300">
            <w:pPr>
              <w:pStyle w:val="TableParagraph"/>
              <w:rPr>
                <w:sz w:val="20"/>
              </w:rPr>
            </w:pPr>
          </w:p>
        </w:tc>
        <w:tc>
          <w:tcPr>
            <w:tcW w:w="1410" w:type="dxa"/>
            <w:tcBorders>
              <w:left w:val="single" w:sz="6" w:space="0" w:color="000000"/>
              <w:bottom w:val="single" w:sz="6" w:space="0" w:color="000000"/>
            </w:tcBorders>
          </w:tcPr>
          <w:p w14:paraId="24D60FA1" w14:textId="77777777" w:rsidR="00245300" w:rsidRPr="00EC20A0" w:rsidRDefault="00245300">
            <w:pPr>
              <w:pStyle w:val="TableParagraph"/>
              <w:rPr>
                <w:sz w:val="20"/>
              </w:rPr>
            </w:pPr>
          </w:p>
        </w:tc>
      </w:tr>
      <w:tr w:rsidR="00245300" w:rsidRPr="00EC20A0" w14:paraId="24D60FA9" w14:textId="77777777">
        <w:trPr>
          <w:trHeight w:val="7299"/>
        </w:trPr>
        <w:tc>
          <w:tcPr>
            <w:tcW w:w="6840" w:type="dxa"/>
            <w:tcBorders>
              <w:top w:val="single" w:sz="6" w:space="0" w:color="000000"/>
              <w:bottom w:val="single" w:sz="6" w:space="0" w:color="000000"/>
              <w:right w:val="single" w:sz="6" w:space="0" w:color="000000"/>
            </w:tcBorders>
          </w:tcPr>
          <w:p w14:paraId="24D60FA3" w14:textId="77777777" w:rsidR="00245300" w:rsidRPr="00EC20A0" w:rsidRDefault="00F17249">
            <w:pPr>
              <w:pStyle w:val="TableParagraph"/>
              <w:tabs>
                <w:tab w:val="left" w:pos="600"/>
              </w:tabs>
              <w:spacing w:before="145"/>
              <w:ind w:left="600" w:right="447" w:hanging="471"/>
            </w:pPr>
            <w:r w:rsidRPr="00EC20A0">
              <w:rPr>
                <w:spacing w:val="-6"/>
              </w:rPr>
              <w:t>2.</w:t>
            </w:r>
            <w:r w:rsidRPr="00EC20A0">
              <w:tab/>
              <w:t xml:space="preserve">As discussed in FAM 460.03, the auditor should determine whether summarized budget information (obligations and expenditures) used for compliance tests is reasonably accurate and complete. The </w:t>
            </w:r>
            <w:r w:rsidRPr="00EC20A0">
              <w:t>auditor may obtain assurance through effective controls that the auditor tests (usually the budget</w:t>
            </w:r>
            <w:r w:rsidRPr="00EC20A0">
              <w:rPr>
                <w:spacing w:val="-4"/>
              </w:rPr>
              <w:t xml:space="preserve"> </w:t>
            </w:r>
            <w:r w:rsidRPr="00EC20A0">
              <w:t>controls)</w:t>
            </w:r>
            <w:r w:rsidRPr="00EC20A0">
              <w:rPr>
                <w:spacing w:val="-4"/>
              </w:rPr>
              <w:t xml:space="preserve"> </w:t>
            </w:r>
            <w:r w:rsidRPr="00EC20A0">
              <w:t>or,</w:t>
            </w:r>
            <w:r w:rsidRPr="00EC20A0">
              <w:rPr>
                <w:spacing w:val="-4"/>
              </w:rPr>
              <w:t xml:space="preserve"> </w:t>
            </w:r>
            <w:r w:rsidRPr="00EC20A0">
              <w:t>if</w:t>
            </w:r>
            <w:r w:rsidRPr="00EC20A0">
              <w:rPr>
                <w:spacing w:val="-4"/>
              </w:rPr>
              <w:t xml:space="preserve"> </w:t>
            </w:r>
            <w:r w:rsidRPr="00EC20A0">
              <w:t>the</w:t>
            </w:r>
            <w:r w:rsidRPr="00EC20A0">
              <w:rPr>
                <w:spacing w:val="-5"/>
              </w:rPr>
              <w:t xml:space="preserve"> </w:t>
            </w:r>
            <w:r w:rsidRPr="00EC20A0">
              <w:t>controls</w:t>
            </w:r>
            <w:r w:rsidRPr="00EC20A0">
              <w:rPr>
                <w:spacing w:val="-4"/>
              </w:rPr>
              <w:t xml:space="preserve"> </w:t>
            </w:r>
            <w:r w:rsidRPr="00EC20A0">
              <w:t>are</w:t>
            </w:r>
            <w:r w:rsidRPr="00EC20A0">
              <w:rPr>
                <w:spacing w:val="-5"/>
              </w:rPr>
              <w:t xml:space="preserve"> </w:t>
            </w:r>
            <w:r w:rsidRPr="00EC20A0">
              <w:t>not</w:t>
            </w:r>
            <w:r w:rsidRPr="00EC20A0">
              <w:rPr>
                <w:spacing w:val="-4"/>
              </w:rPr>
              <w:t xml:space="preserve"> </w:t>
            </w:r>
            <w:r w:rsidRPr="00EC20A0">
              <w:t>effective,</w:t>
            </w:r>
            <w:r w:rsidRPr="00EC20A0">
              <w:rPr>
                <w:spacing w:val="-4"/>
              </w:rPr>
              <w:t xml:space="preserve"> </w:t>
            </w:r>
            <w:r w:rsidRPr="00EC20A0">
              <w:t xml:space="preserve">through substantive testing of budget amounts for validity, completeness, cutoff, recording, </w:t>
            </w:r>
            <w:r w:rsidRPr="00EC20A0">
              <w:t>classification, and summarization, as described in FAM 495 B, Example Procedures for Tests of Budget Information.</w:t>
            </w:r>
          </w:p>
          <w:p w14:paraId="24D60FA4" w14:textId="77777777" w:rsidR="00245300" w:rsidRPr="00EC20A0" w:rsidRDefault="00F17249">
            <w:pPr>
              <w:pStyle w:val="TableParagraph"/>
              <w:spacing w:before="144"/>
              <w:ind w:left="605" w:right="307"/>
            </w:pPr>
            <w:r w:rsidRPr="00EC20A0">
              <w:t>For</w:t>
            </w:r>
            <w:r w:rsidRPr="00EC20A0">
              <w:rPr>
                <w:spacing w:val="-4"/>
              </w:rPr>
              <w:t xml:space="preserve"> </w:t>
            </w:r>
            <w:r w:rsidRPr="00EC20A0">
              <w:t>the</w:t>
            </w:r>
            <w:r w:rsidRPr="00EC20A0">
              <w:rPr>
                <w:spacing w:val="-4"/>
              </w:rPr>
              <w:t xml:space="preserve"> </w:t>
            </w:r>
            <w:r w:rsidRPr="00EC20A0">
              <w:t>accounts</w:t>
            </w:r>
            <w:r w:rsidRPr="00EC20A0">
              <w:rPr>
                <w:spacing w:val="-4"/>
              </w:rPr>
              <w:t xml:space="preserve"> </w:t>
            </w:r>
            <w:r w:rsidRPr="00EC20A0">
              <w:t>listed</w:t>
            </w:r>
            <w:r w:rsidRPr="00EC20A0">
              <w:rPr>
                <w:spacing w:val="-4"/>
              </w:rPr>
              <w:t xml:space="preserve"> </w:t>
            </w:r>
            <w:r w:rsidRPr="00EC20A0">
              <w:t>in</w:t>
            </w:r>
            <w:r w:rsidRPr="00EC20A0">
              <w:rPr>
                <w:spacing w:val="-5"/>
              </w:rPr>
              <w:t xml:space="preserve"> </w:t>
            </w:r>
            <w:r w:rsidRPr="00EC20A0">
              <w:t>step</w:t>
            </w:r>
            <w:r w:rsidRPr="00EC20A0">
              <w:rPr>
                <w:spacing w:val="-4"/>
              </w:rPr>
              <w:t xml:space="preserve"> </w:t>
            </w:r>
            <w:r w:rsidRPr="00EC20A0">
              <w:t>1,</w:t>
            </w:r>
            <w:r w:rsidRPr="00EC20A0">
              <w:rPr>
                <w:spacing w:val="-4"/>
              </w:rPr>
              <w:t xml:space="preserve"> </w:t>
            </w:r>
            <w:r w:rsidRPr="00EC20A0">
              <w:t>document</w:t>
            </w:r>
            <w:r w:rsidRPr="00EC20A0">
              <w:rPr>
                <w:spacing w:val="-4"/>
              </w:rPr>
              <w:t xml:space="preserve"> </w:t>
            </w:r>
            <w:r w:rsidRPr="00EC20A0">
              <w:t>if</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will obtain assurance by testing controls (as indicated on Form 804, Compliance Summary) or whether substantive tests of the budget information are necessary.</w:t>
            </w:r>
          </w:p>
          <w:p w14:paraId="24D60FA5" w14:textId="77777777" w:rsidR="00245300" w:rsidRPr="00EC20A0" w:rsidRDefault="00F17249">
            <w:pPr>
              <w:pStyle w:val="TableParagraph"/>
              <w:spacing w:before="144"/>
              <w:ind w:left="562" w:right="178"/>
            </w:pPr>
            <w:r w:rsidRPr="00EC20A0">
              <w:t>If the auditor determines that controls are not effective in meeting some or all of the budget control objectives listed in FAM 395 F.01 and the supplemental objectives for FCRA listed in FAM 395 F.02, then the auditor should perform substantive tests of the budget amounts (obligations and expenditures),</w:t>
            </w:r>
            <w:r w:rsidRPr="00EC20A0">
              <w:rPr>
                <w:spacing w:val="-5"/>
              </w:rPr>
              <w:t xml:space="preserve"> </w:t>
            </w:r>
            <w:r w:rsidRPr="00EC20A0">
              <w:t>as</w:t>
            </w:r>
            <w:r w:rsidRPr="00EC20A0">
              <w:rPr>
                <w:spacing w:val="-5"/>
              </w:rPr>
              <w:t xml:space="preserve"> </w:t>
            </w:r>
            <w:r w:rsidRPr="00EC20A0">
              <w:t>discussed</w:t>
            </w:r>
            <w:r w:rsidRPr="00EC20A0">
              <w:rPr>
                <w:spacing w:val="-5"/>
              </w:rPr>
              <w:t xml:space="preserve"> </w:t>
            </w:r>
            <w:r w:rsidRPr="00EC20A0">
              <w:t>in</w:t>
            </w:r>
            <w:r w:rsidRPr="00EC20A0">
              <w:rPr>
                <w:spacing w:val="-5"/>
              </w:rPr>
              <w:t xml:space="preserve"> </w:t>
            </w:r>
            <w:r w:rsidRPr="00EC20A0">
              <w:t>FAM</w:t>
            </w:r>
            <w:r w:rsidRPr="00EC20A0">
              <w:rPr>
                <w:spacing w:val="-6"/>
              </w:rPr>
              <w:t xml:space="preserve"> </w:t>
            </w:r>
            <w:r w:rsidRPr="00EC20A0">
              <w:t>495</w:t>
            </w:r>
            <w:r w:rsidRPr="00EC20A0">
              <w:rPr>
                <w:spacing w:val="-5"/>
              </w:rPr>
              <w:t xml:space="preserve"> </w:t>
            </w:r>
            <w:r w:rsidRPr="00EC20A0">
              <w:t>B.</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should perform substantive tests only for those potential misstatements for which the entity does not have effective budget controls.</w:t>
            </w:r>
          </w:p>
          <w:p w14:paraId="24D60FA6" w14:textId="77777777" w:rsidR="00245300" w:rsidRPr="00EC20A0" w:rsidRDefault="00F17249">
            <w:pPr>
              <w:pStyle w:val="TableParagraph"/>
              <w:spacing w:before="143"/>
              <w:ind w:left="562" w:right="178"/>
            </w:pPr>
            <w:r w:rsidRPr="00EC20A0">
              <w:t>After the auditor is satisfied as to the reasonableness of the budget amounts to be used for the compliance tests, the auditor</w:t>
            </w:r>
            <w:r w:rsidRPr="00EC20A0">
              <w:rPr>
                <w:spacing w:val="-4"/>
              </w:rPr>
              <w:t xml:space="preserve"> </w:t>
            </w:r>
            <w:r w:rsidRPr="00EC20A0">
              <w:t>should</w:t>
            </w:r>
            <w:r w:rsidRPr="00EC20A0">
              <w:rPr>
                <w:spacing w:val="-4"/>
              </w:rPr>
              <w:t xml:space="preserve"> </w:t>
            </w:r>
            <w:r w:rsidRPr="00EC20A0">
              <w:t>perform</w:t>
            </w:r>
            <w:r w:rsidRPr="00EC20A0">
              <w:rPr>
                <w:spacing w:val="-5"/>
              </w:rPr>
              <w:t xml:space="preserve"> </w:t>
            </w:r>
            <w:r w:rsidRPr="00EC20A0">
              <w:t>the</w:t>
            </w:r>
            <w:r w:rsidRPr="00EC20A0">
              <w:rPr>
                <w:spacing w:val="-4"/>
              </w:rPr>
              <w:t xml:space="preserve"> </w:t>
            </w:r>
            <w:r w:rsidRPr="00EC20A0">
              <w:t>compliance</w:t>
            </w:r>
            <w:r w:rsidRPr="00EC20A0">
              <w:rPr>
                <w:spacing w:val="-4"/>
              </w:rPr>
              <w:t xml:space="preserve"> </w:t>
            </w:r>
            <w:r w:rsidRPr="00EC20A0">
              <w:t>tests</w:t>
            </w:r>
            <w:r w:rsidRPr="00EC20A0">
              <w:rPr>
                <w:spacing w:val="-5"/>
              </w:rPr>
              <w:t xml:space="preserve"> </w:t>
            </w:r>
            <w:r w:rsidRPr="00EC20A0">
              <w:t>in</w:t>
            </w:r>
            <w:r w:rsidRPr="00EC20A0">
              <w:rPr>
                <w:spacing w:val="-4"/>
              </w:rPr>
              <w:t xml:space="preserve"> </w:t>
            </w:r>
            <w:r w:rsidRPr="00EC20A0">
              <w:t>steps</w:t>
            </w:r>
            <w:r w:rsidRPr="00EC20A0">
              <w:rPr>
                <w:spacing w:val="-4"/>
              </w:rPr>
              <w:t xml:space="preserve"> </w:t>
            </w:r>
            <w:r w:rsidRPr="00EC20A0">
              <w:t>3</w:t>
            </w:r>
            <w:r w:rsidRPr="00EC20A0">
              <w:rPr>
                <w:spacing w:val="-4"/>
              </w:rPr>
              <w:t xml:space="preserve"> </w:t>
            </w:r>
            <w:r w:rsidRPr="00EC20A0">
              <w:t>and</w:t>
            </w:r>
            <w:r w:rsidRPr="00EC20A0">
              <w:rPr>
                <w:spacing w:val="-4"/>
              </w:rPr>
              <w:t xml:space="preserve"> </w:t>
            </w:r>
            <w:r w:rsidRPr="00EC20A0">
              <w:t>4.</w:t>
            </w:r>
          </w:p>
        </w:tc>
        <w:tc>
          <w:tcPr>
            <w:tcW w:w="1200" w:type="dxa"/>
            <w:tcBorders>
              <w:top w:val="single" w:sz="6" w:space="0" w:color="000000"/>
              <w:left w:val="single" w:sz="6" w:space="0" w:color="000000"/>
              <w:bottom w:val="single" w:sz="6" w:space="0" w:color="000000"/>
              <w:right w:val="single" w:sz="6" w:space="0" w:color="000000"/>
            </w:tcBorders>
          </w:tcPr>
          <w:p w14:paraId="24D60FA7" w14:textId="77777777" w:rsidR="00245300" w:rsidRPr="00EC20A0" w:rsidRDefault="00245300">
            <w:pPr>
              <w:pStyle w:val="TableParagraph"/>
              <w:rPr>
                <w:sz w:val="20"/>
              </w:rPr>
            </w:pPr>
          </w:p>
        </w:tc>
        <w:tc>
          <w:tcPr>
            <w:tcW w:w="1410" w:type="dxa"/>
            <w:tcBorders>
              <w:top w:val="single" w:sz="6" w:space="0" w:color="000000"/>
              <w:left w:val="single" w:sz="6" w:space="0" w:color="000000"/>
              <w:bottom w:val="single" w:sz="6" w:space="0" w:color="000000"/>
            </w:tcBorders>
          </w:tcPr>
          <w:p w14:paraId="24D60FA8" w14:textId="77777777" w:rsidR="00245300" w:rsidRPr="00EC20A0" w:rsidRDefault="00245300">
            <w:pPr>
              <w:pStyle w:val="TableParagraph"/>
              <w:rPr>
                <w:sz w:val="20"/>
              </w:rPr>
            </w:pPr>
          </w:p>
        </w:tc>
      </w:tr>
    </w:tbl>
    <w:p w14:paraId="24D60FAA" w14:textId="77777777" w:rsidR="00245300" w:rsidRPr="00EC20A0" w:rsidRDefault="00245300">
      <w:pPr>
        <w:rPr>
          <w:sz w:val="20"/>
        </w:rPr>
        <w:sectPr w:rsidR="00245300" w:rsidRPr="00EC20A0">
          <w:headerReference w:type="default" r:id="rId105"/>
          <w:footerReference w:type="default" r:id="rId106"/>
          <w:pgSz w:w="12240" w:h="15840"/>
          <w:pgMar w:top="1280" w:right="1240" w:bottom="940" w:left="1300" w:header="721" w:footer="742" w:gutter="0"/>
          <w:cols w:space="720"/>
        </w:sectPr>
      </w:pPr>
    </w:p>
    <w:tbl>
      <w:tblPr>
        <w:tblW w:w="0" w:type="auto"/>
        <w:tblInd w:w="162"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6840"/>
        <w:gridCol w:w="1200"/>
        <w:gridCol w:w="1410"/>
      </w:tblGrid>
      <w:tr w:rsidR="00245300" w:rsidRPr="00EC20A0" w14:paraId="24D60FAC" w14:textId="77777777">
        <w:trPr>
          <w:trHeight w:val="1335"/>
        </w:trPr>
        <w:tc>
          <w:tcPr>
            <w:tcW w:w="9450" w:type="dxa"/>
            <w:gridSpan w:val="3"/>
            <w:tcBorders>
              <w:left w:val="double" w:sz="6" w:space="0" w:color="000000"/>
              <w:bottom w:val="double" w:sz="6" w:space="0" w:color="000000"/>
              <w:right w:val="double" w:sz="6" w:space="0" w:color="000000"/>
            </w:tcBorders>
          </w:tcPr>
          <w:p w14:paraId="24D60FAB" w14:textId="77777777" w:rsidR="00245300" w:rsidRPr="00EC20A0" w:rsidRDefault="00F17249">
            <w:pPr>
              <w:pStyle w:val="TableParagraph"/>
              <w:tabs>
                <w:tab w:val="left" w:pos="8698"/>
              </w:tabs>
              <w:spacing w:before="7" w:line="390" w:lineRule="atLeast"/>
              <w:ind w:left="129" w:right="703"/>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0FB2" w14:textId="77777777">
        <w:trPr>
          <w:trHeight w:val="793"/>
        </w:trPr>
        <w:tc>
          <w:tcPr>
            <w:tcW w:w="6840" w:type="dxa"/>
            <w:tcBorders>
              <w:top w:val="double" w:sz="6" w:space="0" w:color="000000"/>
              <w:left w:val="double" w:sz="6" w:space="0" w:color="000000"/>
              <w:bottom w:val="double" w:sz="6" w:space="0" w:color="000000"/>
              <w:right w:val="single" w:sz="6" w:space="0" w:color="000000"/>
            </w:tcBorders>
          </w:tcPr>
          <w:p w14:paraId="24D60FAD" w14:textId="77777777" w:rsidR="00245300" w:rsidRPr="00EC20A0" w:rsidRDefault="00245300">
            <w:pPr>
              <w:pStyle w:val="TableParagraph"/>
              <w:spacing w:before="144"/>
            </w:pPr>
          </w:p>
          <w:p w14:paraId="24D60FAE"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200" w:type="dxa"/>
            <w:tcBorders>
              <w:top w:val="double" w:sz="6" w:space="0" w:color="000000"/>
              <w:left w:val="single" w:sz="6" w:space="0" w:color="000000"/>
              <w:bottom w:val="double" w:sz="6" w:space="0" w:color="000000"/>
              <w:right w:val="single" w:sz="6" w:space="0" w:color="000000"/>
            </w:tcBorders>
          </w:tcPr>
          <w:p w14:paraId="24D60FAF" w14:textId="77777777" w:rsidR="00245300" w:rsidRPr="00EC20A0" w:rsidRDefault="00F17249">
            <w:pPr>
              <w:pStyle w:val="TableParagraph"/>
              <w:spacing w:before="144"/>
              <w:ind w:left="144"/>
              <w:rPr>
                <w:b/>
              </w:rPr>
            </w:pPr>
            <w:r w:rsidRPr="00EC20A0">
              <w:rPr>
                <w:b/>
                <w:spacing w:val="-2"/>
              </w:rPr>
              <w:t xml:space="preserve">Initials/ </w:t>
            </w:r>
            <w:r w:rsidRPr="00EC20A0">
              <w:rPr>
                <w:b/>
                <w:spacing w:val="-4"/>
              </w:rPr>
              <w:t>date</w:t>
            </w:r>
          </w:p>
        </w:tc>
        <w:tc>
          <w:tcPr>
            <w:tcW w:w="1410" w:type="dxa"/>
            <w:tcBorders>
              <w:top w:val="double" w:sz="6" w:space="0" w:color="000000"/>
              <w:left w:val="single" w:sz="6" w:space="0" w:color="000000"/>
              <w:bottom w:val="double" w:sz="6" w:space="0" w:color="000000"/>
              <w:right w:val="double" w:sz="6" w:space="0" w:color="000000"/>
            </w:tcBorders>
          </w:tcPr>
          <w:p w14:paraId="24D60FB0" w14:textId="77777777" w:rsidR="00245300" w:rsidRPr="00EC20A0" w:rsidRDefault="00245300">
            <w:pPr>
              <w:pStyle w:val="TableParagraph"/>
              <w:spacing w:before="144"/>
            </w:pPr>
          </w:p>
          <w:p w14:paraId="24D60FB1"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0FB7" w14:textId="77777777">
        <w:trPr>
          <w:trHeight w:val="3216"/>
        </w:trPr>
        <w:tc>
          <w:tcPr>
            <w:tcW w:w="6840" w:type="dxa"/>
            <w:tcBorders>
              <w:top w:val="double" w:sz="6" w:space="0" w:color="000000"/>
              <w:left w:val="double" w:sz="6" w:space="0" w:color="000000"/>
              <w:bottom w:val="single" w:sz="6" w:space="0" w:color="000000"/>
              <w:right w:val="single" w:sz="6" w:space="0" w:color="000000"/>
            </w:tcBorders>
          </w:tcPr>
          <w:p w14:paraId="24D60FB3" w14:textId="77777777" w:rsidR="00245300" w:rsidRPr="00EC20A0" w:rsidRDefault="00F17249">
            <w:pPr>
              <w:pStyle w:val="TableParagraph"/>
              <w:numPr>
                <w:ilvl w:val="0"/>
                <w:numId w:val="152"/>
              </w:numPr>
              <w:tabs>
                <w:tab w:val="left" w:pos="600"/>
              </w:tabs>
              <w:spacing w:before="144"/>
              <w:ind w:right="251"/>
            </w:pPr>
            <w:r w:rsidRPr="00EC20A0">
              <w:t>For</w:t>
            </w:r>
            <w:r w:rsidRPr="00EC20A0">
              <w:rPr>
                <w:spacing w:val="-4"/>
              </w:rPr>
              <w:t xml:space="preserve"> </w:t>
            </w:r>
            <w:r w:rsidRPr="00EC20A0">
              <w:t>each</w:t>
            </w:r>
            <w:r w:rsidRPr="00EC20A0">
              <w:rPr>
                <w:spacing w:val="-5"/>
              </w:rPr>
              <w:t xml:space="preserve"> </w:t>
            </w:r>
            <w:r w:rsidRPr="00EC20A0">
              <w:t>appropriation</w:t>
            </w:r>
            <w:r w:rsidRPr="00EC20A0">
              <w:rPr>
                <w:spacing w:val="-4"/>
              </w:rPr>
              <w:t xml:space="preserve"> </w:t>
            </w:r>
            <w:r w:rsidRPr="00EC20A0">
              <w:t>or</w:t>
            </w:r>
            <w:r w:rsidRPr="00EC20A0">
              <w:rPr>
                <w:spacing w:val="-5"/>
              </w:rPr>
              <w:t xml:space="preserve"> </w:t>
            </w:r>
            <w:r w:rsidRPr="00EC20A0">
              <w:t>other</w:t>
            </w:r>
            <w:r w:rsidRPr="00EC20A0">
              <w:rPr>
                <w:spacing w:val="-4"/>
              </w:rPr>
              <w:t xml:space="preserve"> </w:t>
            </w:r>
            <w:r w:rsidRPr="00EC20A0">
              <w:t>budget</w:t>
            </w:r>
            <w:r w:rsidRPr="00EC20A0">
              <w:rPr>
                <w:spacing w:val="-5"/>
              </w:rPr>
              <w:t xml:space="preserve"> </w:t>
            </w:r>
            <w:r w:rsidRPr="00EC20A0">
              <w:t>authority</w:t>
            </w:r>
            <w:r w:rsidRPr="00EC20A0">
              <w:rPr>
                <w:spacing w:val="-4"/>
              </w:rPr>
              <w:t xml:space="preserve"> </w:t>
            </w:r>
            <w:r w:rsidRPr="00EC20A0">
              <w:t>listed</w:t>
            </w:r>
            <w:r w:rsidRPr="00EC20A0">
              <w:rPr>
                <w:spacing w:val="-5"/>
              </w:rPr>
              <w:t xml:space="preserve"> </w:t>
            </w:r>
            <w:r w:rsidRPr="00EC20A0">
              <w:t>in</w:t>
            </w:r>
            <w:r w:rsidRPr="00EC20A0">
              <w:rPr>
                <w:spacing w:val="-5"/>
              </w:rPr>
              <w:t xml:space="preserve"> </w:t>
            </w:r>
            <w:r w:rsidRPr="00EC20A0">
              <w:t>step 1, perform the following procedures that are applicable for direct and guaranteed loan programs that have a positive subsidy (i.e., cash outflows exceed cash inflows); for direct and guaranteed loan programs that have a negative subsidy (i.e., cash inflows exceed cash outflows), perform step 4.</w:t>
            </w:r>
          </w:p>
          <w:p w14:paraId="24D60FB4" w14:textId="77777777" w:rsidR="00245300" w:rsidRPr="00EC20A0" w:rsidRDefault="00F17249">
            <w:pPr>
              <w:pStyle w:val="TableParagraph"/>
              <w:numPr>
                <w:ilvl w:val="1"/>
                <w:numId w:val="152"/>
              </w:numPr>
              <w:tabs>
                <w:tab w:val="left" w:pos="1062"/>
                <w:tab w:val="left" w:pos="1064"/>
              </w:tabs>
              <w:spacing w:before="144"/>
              <w:ind w:right="179"/>
            </w:pPr>
            <w:r w:rsidRPr="00EC20A0">
              <w:t>Compare</w:t>
            </w:r>
            <w:r w:rsidRPr="00EC20A0">
              <w:rPr>
                <w:spacing w:val="-2"/>
              </w:rPr>
              <w:t xml:space="preserve"> </w:t>
            </w:r>
            <w:r w:rsidRPr="00EC20A0">
              <w:t>the</w:t>
            </w:r>
            <w:r w:rsidRPr="00EC20A0">
              <w:rPr>
                <w:spacing w:val="-2"/>
              </w:rPr>
              <w:t xml:space="preserve"> </w:t>
            </w:r>
            <w:r w:rsidRPr="00EC20A0">
              <w:t>amount</w:t>
            </w:r>
            <w:r w:rsidRPr="00EC20A0">
              <w:rPr>
                <w:spacing w:val="-2"/>
              </w:rPr>
              <w:t xml:space="preserve"> </w:t>
            </w:r>
            <w:r w:rsidRPr="00EC20A0">
              <w:t>of</w:t>
            </w:r>
            <w:r w:rsidRPr="00EC20A0">
              <w:rPr>
                <w:spacing w:val="-2"/>
              </w:rPr>
              <w:t xml:space="preserve"> </w:t>
            </w:r>
            <w:r w:rsidRPr="00EC20A0">
              <w:t>obligations</w:t>
            </w:r>
            <w:r w:rsidRPr="00EC20A0">
              <w:rPr>
                <w:spacing w:val="-3"/>
              </w:rPr>
              <w:t xml:space="preserve"> </w:t>
            </w:r>
            <w:r w:rsidRPr="00EC20A0">
              <w:t>for</w:t>
            </w:r>
            <w:r w:rsidRPr="00EC20A0">
              <w:rPr>
                <w:spacing w:val="-2"/>
              </w:rPr>
              <w:t xml:space="preserve"> </w:t>
            </w:r>
            <w:r w:rsidRPr="00EC20A0">
              <w:t>direct</w:t>
            </w:r>
            <w:r w:rsidRPr="00EC20A0">
              <w:rPr>
                <w:spacing w:val="-2"/>
              </w:rPr>
              <w:t xml:space="preserve"> </w:t>
            </w:r>
            <w:r w:rsidRPr="00EC20A0">
              <w:t>loans</w:t>
            </w:r>
            <w:r w:rsidRPr="00EC20A0">
              <w:rPr>
                <w:spacing w:val="-2"/>
              </w:rPr>
              <w:t xml:space="preserve"> </w:t>
            </w:r>
            <w:r w:rsidRPr="00EC20A0">
              <w:t>to</w:t>
            </w:r>
            <w:r w:rsidRPr="00EC20A0">
              <w:rPr>
                <w:spacing w:val="-2"/>
              </w:rPr>
              <w:t xml:space="preserve"> </w:t>
            </w:r>
            <w:r w:rsidRPr="00EC20A0">
              <w:t>the amount of the available appropriation or other budget authority.</w:t>
            </w:r>
            <w:r w:rsidRPr="00EC20A0">
              <w:rPr>
                <w:spacing w:val="-1"/>
              </w:rPr>
              <w:t xml:space="preserve"> </w:t>
            </w:r>
            <w:r w:rsidRPr="00EC20A0">
              <w:t>(Note:</w:t>
            </w:r>
            <w:r w:rsidRPr="00EC20A0">
              <w:rPr>
                <w:spacing w:val="-1"/>
              </w:rPr>
              <w:t xml:space="preserve"> </w:t>
            </w:r>
            <w:r w:rsidRPr="00EC20A0">
              <w:t>This</w:t>
            </w:r>
            <w:r w:rsidRPr="00EC20A0">
              <w:rPr>
                <w:spacing w:val="-1"/>
              </w:rPr>
              <w:t xml:space="preserve"> </w:t>
            </w:r>
            <w:r w:rsidRPr="00EC20A0">
              <w:t>budget</w:t>
            </w:r>
            <w:r w:rsidRPr="00EC20A0">
              <w:rPr>
                <w:spacing w:val="-1"/>
              </w:rPr>
              <w:t xml:space="preserve"> </w:t>
            </w:r>
            <w:r w:rsidRPr="00EC20A0">
              <w:t>restriction</w:t>
            </w:r>
            <w:r w:rsidRPr="00EC20A0">
              <w:rPr>
                <w:spacing w:val="-1"/>
              </w:rPr>
              <w:t xml:space="preserve"> </w:t>
            </w:r>
            <w:r w:rsidRPr="00EC20A0">
              <w:t>is</w:t>
            </w:r>
            <w:r w:rsidRPr="00EC20A0">
              <w:rPr>
                <w:spacing w:val="-1"/>
              </w:rPr>
              <w:t xml:space="preserve"> </w:t>
            </w:r>
            <w:r w:rsidRPr="00EC20A0">
              <w:t>applicable</w:t>
            </w:r>
            <w:r w:rsidRPr="00EC20A0">
              <w:rPr>
                <w:spacing w:val="-1"/>
              </w:rPr>
              <w:t xml:space="preserve"> </w:t>
            </w:r>
            <w:r w:rsidRPr="00EC20A0">
              <w:t>only to</w:t>
            </w:r>
            <w:r w:rsidRPr="00EC20A0">
              <w:rPr>
                <w:spacing w:val="-4"/>
              </w:rPr>
              <w:t xml:space="preserve"> </w:t>
            </w:r>
            <w:r w:rsidRPr="00EC20A0">
              <w:t>obligations</w:t>
            </w:r>
            <w:r w:rsidRPr="00EC20A0">
              <w:rPr>
                <w:spacing w:val="-4"/>
              </w:rPr>
              <w:t xml:space="preserve"> </w:t>
            </w:r>
            <w:r w:rsidRPr="00EC20A0">
              <w:t>for</w:t>
            </w:r>
            <w:r w:rsidRPr="00EC20A0">
              <w:rPr>
                <w:spacing w:val="-4"/>
              </w:rPr>
              <w:t xml:space="preserve"> </w:t>
            </w:r>
            <w:r w:rsidRPr="00EC20A0">
              <w:t>direct</w:t>
            </w:r>
            <w:r w:rsidRPr="00EC20A0">
              <w:rPr>
                <w:spacing w:val="-5"/>
              </w:rPr>
              <w:t xml:space="preserve"> </w:t>
            </w:r>
            <w:r w:rsidRPr="00EC20A0">
              <w:t>loans</w:t>
            </w:r>
            <w:r w:rsidRPr="00EC20A0">
              <w:rPr>
                <w:spacing w:val="-4"/>
              </w:rPr>
              <w:t xml:space="preserve"> </w:t>
            </w:r>
            <w:r w:rsidRPr="00EC20A0">
              <w:t>made</w:t>
            </w:r>
            <w:r w:rsidRPr="00EC20A0">
              <w:rPr>
                <w:spacing w:val="-4"/>
              </w:rPr>
              <w:t xml:space="preserve"> </w:t>
            </w:r>
            <w:r w:rsidRPr="00EC20A0">
              <w:t>on</w:t>
            </w:r>
            <w:r w:rsidRPr="00EC20A0">
              <w:rPr>
                <w:spacing w:val="-4"/>
              </w:rPr>
              <w:t xml:space="preserve"> </w:t>
            </w:r>
            <w:r w:rsidRPr="00EC20A0">
              <w:t>or</w:t>
            </w:r>
            <w:r w:rsidRPr="00EC20A0">
              <w:rPr>
                <w:spacing w:val="-4"/>
              </w:rPr>
              <w:t xml:space="preserve"> </w:t>
            </w:r>
            <w:r w:rsidRPr="00EC20A0">
              <w:t>after</w:t>
            </w:r>
            <w:r w:rsidRPr="00EC20A0">
              <w:rPr>
                <w:spacing w:val="-4"/>
              </w:rPr>
              <w:t xml:space="preserve"> </w:t>
            </w:r>
            <w:r w:rsidRPr="00EC20A0">
              <w:t>October</w:t>
            </w:r>
            <w:r w:rsidRPr="00EC20A0">
              <w:rPr>
                <w:spacing w:val="-4"/>
              </w:rPr>
              <w:t xml:space="preserve"> </w:t>
            </w:r>
            <w:r w:rsidRPr="00EC20A0">
              <w:t xml:space="preserve">1, </w:t>
            </w:r>
            <w:r w:rsidRPr="00EC20A0">
              <w:rPr>
                <w:spacing w:val="-2"/>
              </w:rPr>
              <w:t>1991.)</w:t>
            </w:r>
          </w:p>
        </w:tc>
        <w:tc>
          <w:tcPr>
            <w:tcW w:w="1200" w:type="dxa"/>
            <w:tcBorders>
              <w:top w:val="double" w:sz="6" w:space="0" w:color="000000"/>
              <w:left w:val="single" w:sz="6" w:space="0" w:color="000000"/>
              <w:bottom w:val="single" w:sz="6" w:space="0" w:color="000000"/>
              <w:right w:val="single" w:sz="6" w:space="0" w:color="000000"/>
            </w:tcBorders>
          </w:tcPr>
          <w:p w14:paraId="24D60FB5" w14:textId="77777777" w:rsidR="00245300" w:rsidRPr="00EC20A0" w:rsidRDefault="00245300">
            <w:pPr>
              <w:pStyle w:val="TableParagraph"/>
              <w:rPr>
                <w:sz w:val="20"/>
              </w:rPr>
            </w:pPr>
          </w:p>
        </w:tc>
        <w:tc>
          <w:tcPr>
            <w:tcW w:w="1410" w:type="dxa"/>
            <w:tcBorders>
              <w:top w:val="double" w:sz="6" w:space="0" w:color="000000"/>
              <w:left w:val="single" w:sz="6" w:space="0" w:color="000000"/>
              <w:bottom w:val="single" w:sz="6" w:space="0" w:color="000000"/>
              <w:right w:val="double" w:sz="6" w:space="0" w:color="000000"/>
            </w:tcBorders>
          </w:tcPr>
          <w:p w14:paraId="24D60FB6" w14:textId="77777777" w:rsidR="00245300" w:rsidRPr="00EC20A0" w:rsidRDefault="00245300">
            <w:pPr>
              <w:pStyle w:val="TableParagraph"/>
              <w:rPr>
                <w:sz w:val="20"/>
              </w:rPr>
            </w:pPr>
          </w:p>
        </w:tc>
      </w:tr>
      <w:tr w:rsidR="00245300" w:rsidRPr="00EC20A0" w14:paraId="24D60FBB" w14:textId="77777777">
        <w:trPr>
          <w:trHeight w:val="2563"/>
        </w:trPr>
        <w:tc>
          <w:tcPr>
            <w:tcW w:w="6840" w:type="dxa"/>
            <w:tcBorders>
              <w:top w:val="single" w:sz="6" w:space="0" w:color="000000"/>
              <w:left w:val="double" w:sz="6" w:space="0" w:color="000000"/>
              <w:bottom w:val="single" w:sz="6" w:space="0" w:color="000000"/>
              <w:right w:val="single" w:sz="6" w:space="0" w:color="000000"/>
            </w:tcBorders>
          </w:tcPr>
          <w:p w14:paraId="24D60FB8" w14:textId="77777777" w:rsidR="00245300" w:rsidRPr="00EC20A0" w:rsidRDefault="00F17249">
            <w:pPr>
              <w:pStyle w:val="TableParagraph"/>
              <w:tabs>
                <w:tab w:val="left" w:pos="1065"/>
              </w:tabs>
              <w:spacing w:before="143"/>
              <w:ind w:left="1066" w:right="141" w:hanging="499"/>
            </w:pPr>
            <w:r w:rsidRPr="00EC20A0">
              <w:rPr>
                <w:spacing w:val="-4"/>
              </w:rPr>
              <w:t>(b)</w:t>
            </w:r>
            <w:r w:rsidRPr="00EC20A0">
              <w:tab/>
              <w:t>Compare the amount of obligations for modifications of direct loan obligations or outstanding direct loans to the amount</w:t>
            </w:r>
            <w:r w:rsidRPr="00EC20A0">
              <w:rPr>
                <w:spacing w:val="-5"/>
              </w:rPr>
              <w:t xml:space="preserve"> </w:t>
            </w:r>
            <w:r w:rsidRPr="00EC20A0">
              <w:t>of</w:t>
            </w:r>
            <w:r w:rsidRPr="00EC20A0">
              <w:rPr>
                <w:spacing w:val="-5"/>
              </w:rPr>
              <w:t xml:space="preserve"> </w:t>
            </w:r>
            <w:r w:rsidRPr="00EC20A0">
              <w:t>available</w:t>
            </w:r>
            <w:r w:rsidRPr="00EC20A0">
              <w:rPr>
                <w:spacing w:val="-5"/>
              </w:rPr>
              <w:t xml:space="preserve"> </w:t>
            </w:r>
            <w:r w:rsidRPr="00EC20A0">
              <w:t>budget</w:t>
            </w:r>
            <w:r w:rsidRPr="00EC20A0">
              <w:rPr>
                <w:spacing w:val="-5"/>
              </w:rPr>
              <w:t xml:space="preserve"> </w:t>
            </w:r>
            <w:r w:rsidRPr="00EC20A0">
              <w:t>authority.</w:t>
            </w:r>
            <w:r w:rsidRPr="00EC20A0">
              <w:rPr>
                <w:spacing w:val="-5"/>
              </w:rPr>
              <w:t xml:space="preserve"> </w:t>
            </w:r>
            <w:r w:rsidRPr="00EC20A0">
              <w:t>(Note:</w:t>
            </w:r>
            <w:r w:rsidRPr="00EC20A0">
              <w:rPr>
                <w:spacing w:val="-5"/>
              </w:rPr>
              <w:t xml:space="preserve"> </w:t>
            </w:r>
            <w:r w:rsidRPr="00EC20A0">
              <w:t>The</w:t>
            </w:r>
            <w:r w:rsidRPr="00EC20A0">
              <w:rPr>
                <w:spacing w:val="-5"/>
              </w:rPr>
              <w:t xml:space="preserve"> </w:t>
            </w:r>
            <w:r w:rsidRPr="00EC20A0">
              <w:t>sale</w:t>
            </w:r>
            <w:r w:rsidRPr="00EC20A0">
              <w:rPr>
                <w:spacing w:val="-5"/>
              </w:rPr>
              <w:t xml:space="preserve"> </w:t>
            </w:r>
            <w:r w:rsidRPr="00EC20A0">
              <w:t>of</w:t>
            </w:r>
            <w:r w:rsidRPr="00EC20A0">
              <w:rPr>
                <w:spacing w:val="-5"/>
              </w:rPr>
              <w:t xml:space="preserve"> </w:t>
            </w:r>
            <w:r w:rsidRPr="00EC20A0">
              <w:t>a direct loan is considered a modification. See FAM</w:t>
            </w:r>
            <w:r w:rsidRPr="00EC20A0">
              <w:rPr>
                <w:spacing w:val="40"/>
              </w:rPr>
              <w:t xml:space="preserve"> </w:t>
            </w:r>
            <w:r w:rsidRPr="00EC20A0">
              <w:t>804.02, Modifications of Outstanding Direct Loans.) (Discuss applicability of this budget restriction to direct loans and direct loan obligations that were outstanding prior to October 1, 1991, with OGC prior to performing compliance test.)</w:t>
            </w:r>
          </w:p>
        </w:tc>
        <w:tc>
          <w:tcPr>
            <w:tcW w:w="1200" w:type="dxa"/>
            <w:tcBorders>
              <w:top w:val="single" w:sz="6" w:space="0" w:color="000000"/>
              <w:left w:val="single" w:sz="6" w:space="0" w:color="000000"/>
              <w:bottom w:val="single" w:sz="6" w:space="0" w:color="000000"/>
              <w:right w:val="single" w:sz="6" w:space="0" w:color="000000"/>
            </w:tcBorders>
          </w:tcPr>
          <w:p w14:paraId="24D60FB9" w14:textId="77777777" w:rsidR="00245300" w:rsidRPr="00EC20A0" w:rsidRDefault="00245300">
            <w:pPr>
              <w:pStyle w:val="TableParagraph"/>
              <w:rPr>
                <w:sz w:val="20"/>
              </w:rPr>
            </w:pPr>
          </w:p>
        </w:tc>
        <w:tc>
          <w:tcPr>
            <w:tcW w:w="1410" w:type="dxa"/>
            <w:tcBorders>
              <w:top w:val="single" w:sz="6" w:space="0" w:color="000000"/>
              <w:left w:val="single" w:sz="6" w:space="0" w:color="000000"/>
              <w:bottom w:val="single" w:sz="6" w:space="0" w:color="000000"/>
              <w:right w:val="double" w:sz="6" w:space="0" w:color="000000"/>
            </w:tcBorders>
          </w:tcPr>
          <w:p w14:paraId="24D60FBA" w14:textId="77777777" w:rsidR="00245300" w:rsidRPr="00EC20A0" w:rsidRDefault="00245300">
            <w:pPr>
              <w:pStyle w:val="TableParagraph"/>
              <w:rPr>
                <w:sz w:val="20"/>
              </w:rPr>
            </w:pPr>
          </w:p>
        </w:tc>
      </w:tr>
      <w:tr w:rsidR="00245300" w:rsidRPr="00EC20A0" w14:paraId="24D60FBF" w14:textId="77777777">
        <w:trPr>
          <w:trHeight w:val="1553"/>
        </w:trPr>
        <w:tc>
          <w:tcPr>
            <w:tcW w:w="6840" w:type="dxa"/>
            <w:tcBorders>
              <w:top w:val="single" w:sz="6" w:space="0" w:color="000000"/>
              <w:left w:val="double" w:sz="6" w:space="0" w:color="000000"/>
              <w:bottom w:val="single" w:sz="6" w:space="0" w:color="000000"/>
              <w:right w:val="single" w:sz="6" w:space="0" w:color="000000"/>
            </w:tcBorders>
          </w:tcPr>
          <w:p w14:paraId="24D60FBC" w14:textId="77777777" w:rsidR="00245300" w:rsidRPr="00EC20A0" w:rsidRDefault="00F17249">
            <w:pPr>
              <w:pStyle w:val="TableParagraph"/>
              <w:tabs>
                <w:tab w:val="left" w:pos="1065"/>
              </w:tabs>
              <w:spacing w:before="145"/>
              <w:ind w:left="1065" w:right="141" w:hanging="498"/>
            </w:pPr>
            <w:r w:rsidRPr="00EC20A0">
              <w:rPr>
                <w:spacing w:val="-4"/>
              </w:rPr>
              <w:t>(c)</w:t>
            </w:r>
            <w:r w:rsidRPr="00EC20A0">
              <w:tab/>
              <w:t>Compare the amount of obligations for loan guarantee commitments</w:t>
            </w:r>
            <w:r w:rsidRPr="00EC20A0">
              <w:rPr>
                <w:spacing w:val="-6"/>
              </w:rPr>
              <w:t xml:space="preserve"> </w:t>
            </w:r>
            <w:r w:rsidRPr="00EC20A0">
              <w:t>to</w:t>
            </w:r>
            <w:r w:rsidRPr="00EC20A0">
              <w:rPr>
                <w:spacing w:val="-6"/>
              </w:rPr>
              <w:t xml:space="preserve"> </w:t>
            </w:r>
            <w:r w:rsidRPr="00EC20A0">
              <w:t>the</w:t>
            </w:r>
            <w:r w:rsidRPr="00EC20A0">
              <w:rPr>
                <w:spacing w:val="-6"/>
              </w:rPr>
              <w:t xml:space="preserve"> </w:t>
            </w:r>
            <w:r w:rsidRPr="00EC20A0">
              <w:t>amount</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available</w:t>
            </w:r>
            <w:r w:rsidRPr="00EC20A0">
              <w:rPr>
                <w:spacing w:val="-6"/>
              </w:rPr>
              <w:t xml:space="preserve"> </w:t>
            </w:r>
            <w:r w:rsidRPr="00EC20A0">
              <w:t>appropriation or other budget authority. (Note: This</w:t>
            </w:r>
            <w:r w:rsidRPr="00EC20A0">
              <w:rPr>
                <w:spacing w:val="-1"/>
              </w:rPr>
              <w:t xml:space="preserve"> </w:t>
            </w:r>
            <w:r w:rsidRPr="00EC20A0">
              <w:t xml:space="preserve">budget </w:t>
            </w:r>
            <w:r w:rsidRPr="00EC20A0">
              <w:t>restriction is only applicable to obligations for loan guarantee commitments made on or after October 1, 1991.)</w:t>
            </w:r>
          </w:p>
        </w:tc>
        <w:tc>
          <w:tcPr>
            <w:tcW w:w="1200" w:type="dxa"/>
            <w:tcBorders>
              <w:top w:val="single" w:sz="6" w:space="0" w:color="000000"/>
              <w:left w:val="single" w:sz="6" w:space="0" w:color="000000"/>
              <w:bottom w:val="single" w:sz="6" w:space="0" w:color="000000"/>
              <w:right w:val="single" w:sz="6" w:space="0" w:color="000000"/>
            </w:tcBorders>
          </w:tcPr>
          <w:p w14:paraId="24D60FBD" w14:textId="77777777" w:rsidR="00245300" w:rsidRPr="00EC20A0" w:rsidRDefault="00245300">
            <w:pPr>
              <w:pStyle w:val="TableParagraph"/>
              <w:rPr>
                <w:sz w:val="20"/>
              </w:rPr>
            </w:pPr>
          </w:p>
        </w:tc>
        <w:tc>
          <w:tcPr>
            <w:tcW w:w="1410" w:type="dxa"/>
            <w:tcBorders>
              <w:top w:val="single" w:sz="6" w:space="0" w:color="000000"/>
              <w:left w:val="single" w:sz="6" w:space="0" w:color="000000"/>
              <w:bottom w:val="single" w:sz="6" w:space="0" w:color="000000"/>
              <w:right w:val="double" w:sz="6" w:space="0" w:color="000000"/>
            </w:tcBorders>
          </w:tcPr>
          <w:p w14:paraId="24D60FBE" w14:textId="77777777" w:rsidR="00245300" w:rsidRPr="00EC20A0" w:rsidRDefault="00245300">
            <w:pPr>
              <w:pStyle w:val="TableParagraph"/>
              <w:rPr>
                <w:sz w:val="20"/>
              </w:rPr>
            </w:pPr>
          </w:p>
        </w:tc>
      </w:tr>
      <w:tr w:rsidR="00245300" w:rsidRPr="00EC20A0" w14:paraId="24D60FC5" w14:textId="77777777">
        <w:trPr>
          <w:trHeight w:val="3215"/>
        </w:trPr>
        <w:tc>
          <w:tcPr>
            <w:tcW w:w="6840" w:type="dxa"/>
            <w:tcBorders>
              <w:top w:val="single" w:sz="6" w:space="0" w:color="000000"/>
              <w:left w:val="double" w:sz="6" w:space="0" w:color="000000"/>
              <w:bottom w:val="single" w:sz="6" w:space="0" w:color="000000"/>
              <w:right w:val="single" w:sz="6" w:space="0" w:color="000000"/>
            </w:tcBorders>
          </w:tcPr>
          <w:p w14:paraId="24D60FC0" w14:textId="77777777" w:rsidR="00245300" w:rsidRPr="00EC20A0" w:rsidRDefault="00F17249">
            <w:pPr>
              <w:pStyle w:val="TableParagraph"/>
              <w:tabs>
                <w:tab w:val="left" w:pos="1064"/>
              </w:tabs>
              <w:spacing w:before="143"/>
              <w:ind w:left="1064" w:right="362" w:hanging="497"/>
            </w:pPr>
            <w:r w:rsidRPr="00EC20A0">
              <w:rPr>
                <w:spacing w:val="-4"/>
              </w:rPr>
              <w:t>(d)</w:t>
            </w:r>
            <w:r w:rsidRPr="00EC20A0">
              <w:tab/>
              <w:t>Compare the amount of obligations for modifications of loan guarantee commitments or outstanding loan guarantees</w:t>
            </w:r>
            <w:r w:rsidRPr="00EC20A0">
              <w:rPr>
                <w:spacing w:val="-6"/>
              </w:rPr>
              <w:t xml:space="preserve"> </w:t>
            </w:r>
            <w:r w:rsidRPr="00EC20A0">
              <w:t>to</w:t>
            </w:r>
            <w:r w:rsidRPr="00EC20A0">
              <w:rPr>
                <w:spacing w:val="-6"/>
              </w:rPr>
              <w:t xml:space="preserve"> </w:t>
            </w:r>
            <w:r w:rsidRPr="00EC20A0">
              <w:t>the</w:t>
            </w:r>
            <w:r w:rsidRPr="00EC20A0">
              <w:rPr>
                <w:spacing w:val="-6"/>
              </w:rPr>
              <w:t xml:space="preserve"> </w:t>
            </w:r>
            <w:r w:rsidRPr="00EC20A0">
              <w:t>amount</w:t>
            </w:r>
            <w:r w:rsidRPr="00EC20A0">
              <w:rPr>
                <w:spacing w:val="-6"/>
              </w:rPr>
              <w:t xml:space="preserve"> </w:t>
            </w:r>
            <w:r w:rsidRPr="00EC20A0">
              <w:t>of</w:t>
            </w:r>
            <w:r w:rsidRPr="00EC20A0">
              <w:rPr>
                <w:spacing w:val="-6"/>
              </w:rPr>
              <w:t xml:space="preserve"> </w:t>
            </w:r>
            <w:r w:rsidRPr="00EC20A0">
              <w:t>available</w:t>
            </w:r>
            <w:r w:rsidRPr="00EC20A0">
              <w:rPr>
                <w:spacing w:val="-6"/>
              </w:rPr>
              <w:t xml:space="preserve"> </w:t>
            </w:r>
            <w:r w:rsidRPr="00EC20A0">
              <w:t>budget</w:t>
            </w:r>
            <w:r w:rsidRPr="00EC20A0">
              <w:rPr>
                <w:spacing w:val="-6"/>
              </w:rPr>
              <w:t xml:space="preserve"> </w:t>
            </w:r>
            <w:r w:rsidRPr="00EC20A0">
              <w:t>authority. (Note: Discuss applicability of this budget restriction to loan guarantees and loan guarantee commitments that were outstanding prior to</w:t>
            </w:r>
          </w:p>
          <w:p w14:paraId="24D60FC1" w14:textId="77777777" w:rsidR="00245300" w:rsidRPr="00EC20A0" w:rsidRDefault="00F17249">
            <w:pPr>
              <w:pStyle w:val="TableParagraph"/>
              <w:spacing w:before="1"/>
              <w:ind w:left="1064" w:right="307"/>
            </w:pPr>
            <w:r w:rsidRPr="00EC20A0">
              <w:t>October</w:t>
            </w:r>
            <w:r w:rsidRPr="00EC20A0">
              <w:rPr>
                <w:spacing w:val="-7"/>
              </w:rPr>
              <w:t xml:space="preserve"> </w:t>
            </w:r>
            <w:r w:rsidRPr="00EC20A0">
              <w:t>1,</w:t>
            </w:r>
            <w:r w:rsidRPr="00EC20A0">
              <w:rPr>
                <w:spacing w:val="-7"/>
              </w:rPr>
              <w:t xml:space="preserve"> </w:t>
            </w:r>
            <w:r w:rsidRPr="00EC20A0">
              <w:t>1991,</w:t>
            </w:r>
            <w:r w:rsidRPr="00EC20A0">
              <w:rPr>
                <w:spacing w:val="-7"/>
              </w:rPr>
              <w:t xml:space="preserve"> </w:t>
            </w:r>
            <w:r w:rsidRPr="00EC20A0">
              <w:t>with</w:t>
            </w:r>
            <w:r w:rsidRPr="00EC20A0">
              <w:rPr>
                <w:spacing w:val="-7"/>
              </w:rPr>
              <w:t xml:space="preserve"> </w:t>
            </w:r>
            <w:r w:rsidRPr="00EC20A0">
              <w:t>OGC</w:t>
            </w:r>
            <w:r w:rsidRPr="00EC20A0">
              <w:rPr>
                <w:spacing w:val="-7"/>
              </w:rPr>
              <w:t xml:space="preserve"> </w:t>
            </w:r>
            <w:r w:rsidRPr="00EC20A0">
              <w:t>before</w:t>
            </w:r>
            <w:r w:rsidRPr="00EC20A0">
              <w:rPr>
                <w:spacing w:val="-7"/>
              </w:rPr>
              <w:t xml:space="preserve"> </w:t>
            </w:r>
            <w:r w:rsidRPr="00EC20A0">
              <w:t>performing compliance test.) 2 U.S.C. § 661c(b), (e).</w:t>
            </w:r>
          </w:p>
          <w:p w14:paraId="24D60FC2" w14:textId="77777777" w:rsidR="00245300" w:rsidRPr="00EC20A0" w:rsidRDefault="00F17249">
            <w:pPr>
              <w:pStyle w:val="TableParagraph"/>
              <w:spacing w:before="144"/>
              <w:ind w:left="568" w:right="178"/>
            </w:pPr>
            <w:r w:rsidRPr="00EC20A0">
              <w:t>If the amounts of obligations in any of these comparisons exceed</w:t>
            </w:r>
            <w:r w:rsidRPr="00EC20A0">
              <w:rPr>
                <w:spacing w:val="-5"/>
              </w:rPr>
              <w:t xml:space="preserve"> </w:t>
            </w:r>
            <w:r w:rsidRPr="00EC20A0">
              <w:t>the</w:t>
            </w:r>
            <w:r w:rsidRPr="00EC20A0">
              <w:rPr>
                <w:spacing w:val="-6"/>
              </w:rPr>
              <w:t xml:space="preserve"> </w:t>
            </w:r>
            <w:r w:rsidRPr="00EC20A0">
              <w:t>available</w:t>
            </w:r>
            <w:r w:rsidRPr="00EC20A0">
              <w:rPr>
                <w:spacing w:val="-5"/>
              </w:rPr>
              <w:t xml:space="preserve"> </w:t>
            </w:r>
            <w:r w:rsidRPr="00EC20A0">
              <w:t>budget</w:t>
            </w:r>
            <w:r w:rsidRPr="00EC20A0">
              <w:rPr>
                <w:spacing w:val="-5"/>
              </w:rPr>
              <w:t xml:space="preserve"> </w:t>
            </w:r>
            <w:r w:rsidRPr="00EC20A0">
              <w:t>authority,</w:t>
            </w:r>
            <w:r w:rsidRPr="00EC20A0">
              <w:rPr>
                <w:spacing w:val="-5"/>
              </w:rPr>
              <w:t xml:space="preserve"> </w:t>
            </w:r>
            <w:r w:rsidRPr="00EC20A0">
              <w:t>then</w:t>
            </w:r>
            <w:r w:rsidRPr="00EC20A0">
              <w:rPr>
                <w:spacing w:val="-5"/>
              </w:rPr>
              <w:t xml:space="preserve"> </w:t>
            </w:r>
            <w:r w:rsidRPr="00EC20A0">
              <w:t>the</w:t>
            </w:r>
            <w:r w:rsidRPr="00EC20A0">
              <w:rPr>
                <w:spacing w:val="-5"/>
              </w:rPr>
              <w:t xml:space="preserve"> </w:t>
            </w:r>
            <w:r w:rsidRPr="00EC20A0">
              <w:t>entity</w:t>
            </w:r>
            <w:r w:rsidRPr="00EC20A0">
              <w:rPr>
                <w:spacing w:val="-5"/>
              </w:rPr>
              <w:t xml:space="preserve"> </w:t>
            </w:r>
            <w:r w:rsidRPr="00EC20A0">
              <w:t>may</w:t>
            </w:r>
            <w:r w:rsidRPr="00EC20A0">
              <w:rPr>
                <w:spacing w:val="-5"/>
              </w:rPr>
              <w:t xml:space="preserve"> </w:t>
            </w:r>
            <w:r w:rsidRPr="00EC20A0">
              <w:t>not be in compliance. Perform step 5.</w:t>
            </w:r>
          </w:p>
        </w:tc>
        <w:tc>
          <w:tcPr>
            <w:tcW w:w="1200" w:type="dxa"/>
            <w:tcBorders>
              <w:top w:val="single" w:sz="6" w:space="0" w:color="000000"/>
              <w:left w:val="single" w:sz="6" w:space="0" w:color="000000"/>
              <w:bottom w:val="single" w:sz="6" w:space="0" w:color="000000"/>
              <w:right w:val="single" w:sz="6" w:space="0" w:color="000000"/>
            </w:tcBorders>
          </w:tcPr>
          <w:p w14:paraId="24D60FC3" w14:textId="77777777" w:rsidR="00245300" w:rsidRPr="00EC20A0" w:rsidRDefault="00245300">
            <w:pPr>
              <w:pStyle w:val="TableParagraph"/>
              <w:rPr>
                <w:sz w:val="20"/>
              </w:rPr>
            </w:pPr>
          </w:p>
        </w:tc>
        <w:tc>
          <w:tcPr>
            <w:tcW w:w="1410" w:type="dxa"/>
            <w:tcBorders>
              <w:top w:val="single" w:sz="6" w:space="0" w:color="000000"/>
              <w:left w:val="single" w:sz="6" w:space="0" w:color="000000"/>
              <w:bottom w:val="single" w:sz="6" w:space="0" w:color="000000"/>
              <w:right w:val="double" w:sz="6" w:space="0" w:color="000000"/>
            </w:tcBorders>
          </w:tcPr>
          <w:p w14:paraId="24D60FC4" w14:textId="77777777" w:rsidR="00245300" w:rsidRPr="00EC20A0" w:rsidRDefault="00245300">
            <w:pPr>
              <w:pStyle w:val="TableParagraph"/>
              <w:rPr>
                <w:sz w:val="20"/>
              </w:rPr>
            </w:pPr>
          </w:p>
        </w:tc>
      </w:tr>
    </w:tbl>
    <w:p w14:paraId="24D60FC6" w14:textId="77777777" w:rsidR="00245300" w:rsidRPr="00EC20A0" w:rsidRDefault="00245300">
      <w:pPr>
        <w:rPr>
          <w:sz w:val="20"/>
        </w:rPr>
        <w:sectPr w:rsidR="00245300" w:rsidRPr="00EC20A0">
          <w:type w:val="continuous"/>
          <w:pgSz w:w="12240" w:h="15840"/>
          <w:pgMar w:top="1300" w:right="1240" w:bottom="940" w:left="1300" w:header="721" w:footer="742" w:gutter="0"/>
          <w:cols w:space="720"/>
        </w:sectPr>
      </w:pPr>
    </w:p>
    <w:tbl>
      <w:tblPr>
        <w:tblW w:w="0" w:type="auto"/>
        <w:tblInd w:w="162"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6840"/>
        <w:gridCol w:w="1200"/>
        <w:gridCol w:w="1410"/>
      </w:tblGrid>
      <w:tr w:rsidR="00245300" w:rsidRPr="00EC20A0" w14:paraId="24D60FC8" w14:textId="77777777">
        <w:trPr>
          <w:trHeight w:val="1335"/>
        </w:trPr>
        <w:tc>
          <w:tcPr>
            <w:tcW w:w="9450" w:type="dxa"/>
            <w:gridSpan w:val="3"/>
            <w:tcBorders>
              <w:left w:val="double" w:sz="6" w:space="0" w:color="000000"/>
              <w:bottom w:val="double" w:sz="6" w:space="0" w:color="000000"/>
              <w:right w:val="double" w:sz="6" w:space="0" w:color="000000"/>
            </w:tcBorders>
          </w:tcPr>
          <w:p w14:paraId="24D60FC7" w14:textId="77777777" w:rsidR="00245300" w:rsidRPr="00EC20A0" w:rsidRDefault="00F17249">
            <w:pPr>
              <w:pStyle w:val="TableParagraph"/>
              <w:tabs>
                <w:tab w:val="left" w:pos="8698"/>
              </w:tabs>
              <w:spacing w:before="7" w:line="390" w:lineRule="atLeast"/>
              <w:ind w:left="129" w:right="703"/>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0FCE" w14:textId="77777777">
        <w:trPr>
          <w:trHeight w:val="793"/>
        </w:trPr>
        <w:tc>
          <w:tcPr>
            <w:tcW w:w="6840" w:type="dxa"/>
            <w:tcBorders>
              <w:top w:val="double" w:sz="6" w:space="0" w:color="000000"/>
              <w:left w:val="double" w:sz="6" w:space="0" w:color="000000"/>
              <w:bottom w:val="double" w:sz="6" w:space="0" w:color="000000"/>
              <w:right w:val="single" w:sz="6" w:space="0" w:color="000000"/>
            </w:tcBorders>
          </w:tcPr>
          <w:p w14:paraId="24D60FC9" w14:textId="77777777" w:rsidR="00245300" w:rsidRPr="00EC20A0" w:rsidRDefault="00245300">
            <w:pPr>
              <w:pStyle w:val="TableParagraph"/>
              <w:spacing w:before="144"/>
            </w:pPr>
          </w:p>
          <w:p w14:paraId="24D60FCA"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200" w:type="dxa"/>
            <w:tcBorders>
              <w:top w:val="double" w:sz="6" w:space="0" w:color="000000"/>
              <w:left w:val="single" w:sz="6" w:space="0" w:color="000000"/>
              <w:bottom w:val="double" w:sz="6" w:space="0" w:color="000000"/>
              <w:right w:val="single" w:sz="6" w:space="0" w:color="000000"/>
            </w:tcBorders>
          </w:tcPr>
          <w:p w14:paraId="24D60FCB" w14:textId="77777777" w:rsidR="00245300" w:rsidRPr="00EC20A0" w:rsidRDefault="00F17249">
            <w:pPr>
              <w:pStyle w:val="TableParagraph"/>
              <w:spacing w:before="144"/>
              <w:ind w:left="144"/>
              <w:rPr>
                <w:b/>
              </w:rPr>
            </w:pPr>
            <w:r w:rsidRPr="00EC20A0">
              <w:rPr>
                <w:b/>
                <w:spacing w:val="-2"/>
              </w:rPr>
              <w:t xml:space="preserve">Initials/ </w:t>
            </w:r>
            <w:r w:rsidRPr="00EC20A0">
              <w:rPr>
                <w:b/>
                <w:spacing w:val="-4"/>
              </w:rPr>
              <w:t>date</w:t>
            </w:r>
          </w:p>
        </w:tc>
        <w:tc>
          <w:tcPr>
            <w:tcW w:w="1410" w:type="dxa"/>
            <w:tcBorders>
              <w:top w:val="double" w:sz="6" w:space="0" w:color="000000"/>
              <w:left w:val="single" w:sz="6" w:space="0" w:color="000000"/>
              <w:bottom w:val="double" w:sz="6" w:space="0" w:color="000000"/>
              <w:right w:val="double" w:sz="6" w:space="0" w:color="000000"/>
            </w:tcBorders>
          </w:tcPr>
          <w:p w14:paraId="24D60FCC" w14:textId="77777777" w:rsidR="00245300" w:rsidRPr="00EC20A0" w:rsidRDefault="00245300">
            <w:pPr>
              <w:pStyle w:val="TableParagraph"/>
              <w:spacing w:before="144"/>
            </w:pPr>
          </w:p>
          <w:p w14:paraId="24D60FCD"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0FD2" w14:textId="77777777">
        <w:trPr>
          <w:trHeight w:val="2312"/>
        </w:trPr>
        <w:tc>
          <w:tcPr>
            <w:tcW w:w="6840" w:type="dxa"/>
            <w:tcBorders>
              <w:top w:val="double" w:sz="6" w:space="0" w:color="000000"/>
              <w:left w:val="double" w:sz="6" w:space="0" w:color="000000"/>
              <w:bottom w:val="single" w:sz="6" w:space="0" w:color="000000"/>
              <w:right w:val="single" w:sz="6" w:space="0" w:color="000000"/>
            </w:tcBorders>
          </w:tcPr>
          <w:p w14:paraId="24D60FCF" w14:textId="77777777" w:rsidR="00245300" w:rsidRPr="00EC20A0" w:rsidRDefault="00F17249">
            <w:pPr>
              <w:pStyle w:val="TableParagraph"/>
              <w:tabs>
                <w:tab w:val="left" w:pos="567"/>
              </w:tabs>
              <w:spacing w:before="144"/>
              <w:ind w:left="600" w:right="199" w:hanging="471"/>
            </w:pPr>
            <w:r w:rsidRPr="00EC20A0">
              <w:rPr>
                <w:spacing w:val="-6"/>
              </w:rPr>
              <w:t>4.</w:t>
            </w:r>
            <w:r w:rsidRPr="00EC20A0">
              <w:tab/>
              <w:t>Compare</w:t>
            </w:r>
            <w:r w:rsidRPr="00EC20A0">
              <w:rPr>
                <w:spacing w:val="-4"/>
              </w:rPr>
              <w:t xml:space="preserve"> </w:t>
            </w:r>
            <w:r w:rsidRPr="00EC20A0">
              <w:t>the</w:t>
            </w:r>
            <w:r w:rsidRPr="00EC20A0">
              <w:rPr>
                <w:spacing w:val="-4"/>
              </w:rPr>
              <w:t xml:space="preserve"> </w:t>
            </w:r>
            <w:r w:rsidRPr="00EC20A0">
              <w:t>total</w:t>
            </w:r>
            <w:r w:rsidRPr="00EC20A0">
              <w:rPr>
                <w:spacing w:val="-4"/>
              </w:rPr>
              <w:t xml:space="preserve"> </w:t>
            </w:r>
            <w:r w:rsidRPr="00EC20A0">
              <w:t>number</w:t>
            </w:r>
            <w:r w:rsidRPr="00EC20A0">
              <w:rPr>
                <w:spacing w:val="-4"/>
              </w:rPr>
              <w:t xml:space="preserve"> </w:t>
            </w:r>
            <w:r w:rsidRPr="00EC20A0">
              <w:t>and</w:t>
            </w:r>
            <w:r w:rsidRPr="00EC20A0">
              <w:rPr>
                <w:spacing w:val="-4"/>
              </w:rPr>
              <w:t xml:space="preserve"> </w:t>
            </w:r>
            <w:r w:rsidRPr="00EC20A0">
              <w:t>dollar</w:t>
            </w:r>
            <w:r w:rsidRPr="00EC20A0">
              <w:rPr>
                <w:spacing w:val="-5"/>
              </w:rPr>
              <w:t xml:space="preserve"> </w:t>
            </w:r>
            <w:r w:rsidRPr="00EC20A0">
              <w:t>volume</w:t>
            </w:r>
            <w:r w:rsidRPr="00EC20A0">
              <w:rPr>
                <w:spacing w:val="-4"/>
              </w:rPr>
              <w:t xml:space="preserve"> </w:t>
            </w:r>
            <w:r w:rsidRPr="00EC20A0">
              <w:t>of</w:t>
            </w:r>
            <w:r w:rsidRPr="00EC20A0">
              <w:rPr>
                <w:spacing w:val="-4"/>
              </w:rPr>
              <w:t xml:space="preserve"> </w:t>
            </w:r>
            <w:r w:rsidRPr="00EC20A0">
              <w:t>loans</w:t>
            </w:r>
            <w:r w:rsidRPr="00EC20A0">
              <w:rPr>
                <w:spacing w:val="-4"/>
              </w:rPr>
              <w:t xml:space="preserve"> </w:t>
            </w:r>
            <w:r w:rsidRPr="00EC20A0">
              <w:t>made</w:t>
            </w:r>
            <w:r w:rsidRPr="00EC20A0">
              <w:rPr>
                <w:spacing w:val="-4"/>
              </w:rPr>
              <w:t xml:space="preserve"> </w:t>
            </w:r>
            <w:r w:rsidRPr="00EC20A0">
              <w:t>to the loan limit in the applicable appropriations statute or other law for direct and guaranteed loan programs that have a negative subsidy (</w:t>
            </w:r>
            <w:r w:rsidRPr="00EC20A0">
              <w:rPr>
                <w:i/>
              </w:rPr>
              <w:t xml:space="preserve">i.e., </w:t>
            </w:r>
            <w:r w:rsidRPr="00EC20A0">
              <w:t xml:space="preserve">cash inflows </w:t>
            </w:r>
            <w:r w:rsidRPr="00EC20A0">
              <w:t>exceed cash outflows). Such programs do not receive an appropriation. However, such programs often have a loan limit that cannot be exceeded, that is, a maximum number of loans that can be made or guaranteed. Perform step 5.</w:t>
            </w:r>
          </w:p>
        </w:tc>
        <w:tc>
          <w:tcPr>
            <w:tcW w:w="1200" w:type="dxa"/>
            <w:tcBorders>
              <w:top w:val="double" w:sz="6" w:space="0" w:color="000000"/>
              <w:left w:val="single" w:sz="6" w:space="0" w:color="000000"/>
              <w:bottom w:val="single" w:sz="6" w:space="0" w:color="000000"/>
              <w:right w:val="single" w:sz="6" w:space="0" w:color="000000"/>
            </w:tcBorders>
          </w:tcPr>
          <w:p w14:paraId="24D60FD0" w14:textId="77777777" w:rsidR="00245300" w:rsidRPr="00EC20A0" w:rsidRDefault="00245300">
            <w:pPr>
              <w:pStyle w:val="TableParagraph"/>
              <w:rPr>
                <w:sz w:val="20"/>
              </w:rPr>
            </w:pPr>
          </w:p>
        </w:tc>
        <w:tc>
          <w:tcPr>
            <w:tcW w:w="1410" w:type="dxa"/>
            <w:tcBorders>
              <w:top w:val="double" w:sz="6" w:space="0" w:color="000000"/>
              <w:left w:val="single" w:sz="6" w:space="0" w:color="000000"/>
              <w:bottom w:val="single" w:sz="6" w:space="0" w:color="000000"/>
              <w:right w:val="double" w:sz="6" w:space="0" w:color="000000"/>
            </w:tcBorders>
          </w:tcPr>
          <w:p w14:paraId="24D60FD1" w14:textId="77777777" w:rsidR="00245300" w:rsidRPr="00EC20A0" w:rsidRDefault="00245300">
            <w:pPr>
              <w:pStyle w:val="TableParagraph"/>
              <w:rPr>
                <w:sz w:val="20"/>
              </w:rPr>
            </w:pPr>
          </w:p>
        </w:tc>
      </w:tr>
      <w:tr w:rsidR="00245300" w:rsidRPr="00EC20A0" w14:paraId="24D60FDB" w14:textId="77777777">
        <w:trPr>
          <w:trHeight w:val="4861"/>
        </w:trPr>
        <w:tc>
          <w:tcPr>
            <w:tcW w:w="6840" w:type="dxa"/>
            <w:tcBorders>
              <w:top w:val="single" w:sz="6" w:space="0" w:color="000000"/>
              <w:left w:val="double" w:sz="6" w:space="0" w:color="000000"/>
              <w:bottom w:val="single" w:sz="6" w:space="0" w:color="000000"/>
              <w:right w:val="single" w:sz="6" w:space="0" w:color="000000"/>
            </w:tcBorders>
          </w:tcPr>
          <w:p w14:paraId="24D60FD3" w14:textId="77777777" w:rsidR="00245300" w:rsidRPr="00EC20A0" w:rsidRDefault="00F17249">
            <w:pPr>
              <w:pStyle w:val="TableParagraph"/>
              <w:numPr>
                <w:ilvl w:val="0"/>
                <w:numId w:val="151"/>
              </w:numPr>
              <w:tabs>
                <w:tab w:val="left" w:pos="600"/>
              </w:tabs>
              <w:spacing w:before="143"/>
              <w:ind w:right="166"/>
            </w:pPr>
            <w:r w:rsidRPr="00EC20A0">
              <w:t>If</w:t>
            </w:r>
            <w:r w:rsidRPr="00EC20A0">
              <w:rPr>
                <w:spacing w:val="-1"/>
              </w:rPr>
              <w:t xml:space="preserve"> </w:t>
            </w:r>
            <w:r w:rsidRPr="00EC20A0">
              <w:t>the</w:t>
            </w:r>
            <w:r w:rsidRPr="00EC20A0">
              <w:rPr>
                <w:spacing w:val="-1"/>
              </w:rPr>
              <w:t xml:space="preserve"> </w:t>
            </w:r>
            <w:r w:rsidRPr="00EC20A0">
              <w:t>entity</w:t>
            </w:r>
            <w:r w:rsidRPr="00EC20A0">
              <w:rPr>
                <w:spacing w:val="-2"/>
              </w:rPr>
              <w:t xml:space="preserve"> </w:t>
            </w:r>
            <w:r w:rsidRPr="00EC20A0">
              <w:t>does</w:t>
            </w:r>
            <w:r w:rsidRPr="00EC20A0">
              <w:rPr>
                <w:spacing w:val="-1"/>
              </w:rPr>
              <w:t xml:space="preserve"> </w:t>
            </w:r>
            <w:r w:rsidRPr="00EC20A0">
              <w:t>not</w:t>
            </w:r>
            <w:r w:rsidRPr="00EC20A0">
              <w:rPr>
                <w:spacing w:val="-1"/>
              </w:rPr>
              <w:t xml:space="preserve"> </w:t>
            </w:r>
            <w:r w:rsidRPr="00EC20A0">
              <w:t>appear</w:t>
            </w:r>
            <w:r w:rsidRPr="00EC20A0">
              <w:rPr>
                <w:spacing w:val="-1"/>
              </w:rPr>
              <w:t xml:space="preserve"> </w:t>
            </w:r>
            <w:r w:rsidRPr="00EC20A0">
              <w:t>to</w:t>
            </w:r>
            <w:r w:rsidRPr="00EC20A0">
              <w:rPr>
                <w:spacing w:val="-1"/>
              </w:rPr>
              <w:t xml:space="preserve"> </w:t>
            </w:r>
            <w:r w:rsidRPr="00EC20A0">
              <w:t>be</w:t>
            </w:r>
            <w:r w:rsidRPr="00EC20A0">
              <w:rPr>
                <w:spacing w:val="-1"/>
              </w:rPr>
              <w:t xml:space="preserve"> </w:t>
            </w:r>
            <w:r w:rsidRPr="00EC20A0">
              <w:t>in</w:t>
            </w:r>
            <w:r w:rsidRPr="00EC20A0">
              <w:rPr>
                <w:spacing w:val="-2"/>
              </w:rPr>
              <w:t xml:space="preserve"> </w:t>
            </w:r>
            <w:r w:rsidRPr="00EC20A0">
              <w:t>compliance</w:t>
            </w:r>
            <w:r w:rsidRPr="00EC20A0">
              <w:rPr>
                <w:spacing w:val="-2"/>
              </w:rPr>
              <w:t xml:space="preserve"> </w:t>
            </w:r>
            <w:r w:rsidRPr="00EC20A0">
              <w:t>based</w:t>
            </w:r>
            <w:r w:rsidRPr="00EC20A0">
              <w:rPr>
                <w:spacing w:val="-1"/>
              </w:rPr>
              <w:t xml:space="preserve"> </w:t>
            </w:r>
            <w:r w:rsidRPr="00EC20A0">
              <w:t>on</w:t>
            </w:r>
            <w:r w:rsidRPr="00EC20A0">
              <w:rPr>
                <w:spacing w:val="-1"/>
              </w:rPr>
              <w:t xml:space="preserve"> </w:t>
            </w:r>
            <w:r w:rsidRPr="00EC20A0">
              <w:t>the results of tests performed, then the auditor should discuss these matters with OGC and, when appropriate, the Special Investigator Unit to conclude on whether noncompliance has actually</w:t>
            </w:r>
            <w:r w:rsidRPr="00EC20A0">
              <w:rPr>
                <w:spacing w:val="-7"/>
              </w:rPr>
              <w:t xml:space="preserve"> </w:t>
            </w:r>
            <w:r w:rsidRPr="00EC20A0">
              <w:t>occurred</w:t>
            </w:r>
            <w:r w:rsidRPr="00EC20A0">
              <w:rPr>
                <w:spacing w:val="-6"/>
              </w:rPr>
              <w:t xml:space="preserve"> </w:t>
            </w:r>
            <w:r w:rsidRPr="00EC20A0">
              <w:t>and</w:t>
            </w:r>
            <w:r w:rsidRPr="00EC20A0">
              <w:rPr>
                <w:spacing w:val="-6"/>
              </w:rPr>
              <w:t xml:space="preserve"> </w:t>
            </w:r>
            <w:r w:rsidRPr="00EC20A0">
              <w:t>the</w:t>
            </w:r>
            <w:r w:rsidRPr="00EC20A0">
              <w:rPr>
                <w:spacing w:val="-6"/>
              </w:rPr>
              <w:t xml:space="preserve"> </w:t>
            </w:r>
            <w:r w:rsidRPr="00EC20A0">
              <w:t>implications</w:t>
            </w:r>
            <w:r w:rsidRPr="00EC20A0">
              <w:rPr>
                <w:spacing w:val="-6"/>
              </w:rPr>
              <w:t xml:space="preserve"> </w:t>
            </w:r>
            <w:r w:rsidRPr="00EC20A0">
              <w:t>of</w:t>
            </w:r>
            <w:r w:rsidRPr="00EC20A0">
              <w:rPr>
                <w:spacing w:val="-6"/>
              </w:rPr>
              <w:t xml:space="preserve"> </w:t>
            </w:r>
            <w:r w:rsidRPr="00EC20A0">
              <w:t>such</w:t>
            </w:r>
            <w:r w:rsidRPr="00EC20A0">
              <w:rPr>
                <w:spacing w:val="-6"/>
              </w:rPr>
              <w:t xml:space="preserve"> </w:t>
            </w:r>
            <w:r w:rsidRPr="00EC20A0">
              <w:t>noncompliance.</w:t>
            </w:r>
          </w:p>
          <w:p w14:paraId="24D60FD4" w14:textId="77777777" w:rsidR="00245300" w:rsidRPr="00EC20A0" w:rsidRDefault="00F17249">
            <w:pPr>
              <w:pStyle w:val="TableParagraph"/>
              <w:spacing w:before="146"/>
              <w:ind w:left="567"/>
            </w:pPr>
            <w:r w:rsidRPr="00EC20A0">
              <w:t>For</w:t>
            </w:r>
            <w:r w:rsidRPr="00EC20A0">
              <w:rPr>
                <w:spacing w:val="-7"/>
              </w:rPr>
              <w:t xml:space="preserve"> </w:t>
            </w:r>
            <w:r w:rsidRPr="00EC20A0">
              <w:t>any</w:t>
            </w:r>
            <w:r w:rsidRPr="00EC20A0">
              <w:rPr>
                <w:spacing w:val="-7"/>
              </w:rPr>
              <w:t xml:space="preserve"> </w:t>
            </w:r>
            <w:r w:rsidRPr="00EC20A0">
              <w:t>noncompliance</w:t>
            </w:r>
            <w:r w:rsidRPr="00EC20A0">
              <w:rPr>
                <w:spacing w:val="-7"/>
              </w:rPr>
              <w:t xml:space="preserve"> </w:t>
            </w:r>
            <w:r w:rsidRPr="00EC20A0">
              <w:t>noted,</w:t>
            </w:r>
            <w:r w:rsidRPr="00EC20A0">
              <w:rPr>
                <w:spacing w:val="-7"/>
              </w:rPr>
              <w:t xml:space="preserve"> </w:t>
            </w:r>
            <w:r w:rsidRPr="00EC20A0">
              <w:t>the</w:t>
            </w:r>
            <w:r w:rsidRPr="00EC20A0">
              <w:rPr>
                <w:spacing w:val="-6"/>
              </w:rPr>
              <w:t xml:space="preserve"> </w:t>
            </w:r>
            <w:r w:rsidRPr="00EC20A0">
              <w:t>auditor</w:t>
            </w:r>
            <w:r w:rsidRPr="00EC20A0">
              <w:rPr>
                <w:spacing w:val="-7"/>
              </w:rPr>
              <w:t xml:space="preserve"> </w:t>
            </w:r>
            <w:r w:rsidRPr="00EC20A0">
              <w:rPr>
                <w:spacing w:val="-2"/>
              </w:rPr>
              <w:t>should</w:t>
            </w:r>
          </w:p>
          <w:p w14:paraId="24D60FD5" w14:textId="77777777" w:rsidR="00245300" w:rsidRPr="00EC20A0" w:rsidRDefault="00F17249">
            <w:pPr>
              <w:pStyle w:val="TableParagraph"/>
              <w:numPr>
                <w:ilvl w:val="1"/>
                <w:numId w:val="151"/>
              </w:numPr>
              <w:tabs>
                <w:tab w:val="left" w:pos="927"/>
              </w:tabs>
              <w:spacing w:before="142"/>
              <w:ind w:right="290"/>
            </w:pPr>
            <w:r w:rsidRPr="00EC20A0">
              <w:t>identify the weakness in controls that allowed the noncompliance</w:t>
            </w:r>
            <w:r w:rsidRPr="00EC20A0">
              <w:rPr>
                <w:spacing w:val="-6"/>
              </w:rPr>
              <w:t xml:space="preserve"> </w:t>
            </w:r>
            <w:r w:rsidRPr="00EC20A0">
              <w:t>to</w:t>
            </w:r>
            <w:r w:rsidRPr="00EC20A0">
              <w:rPr>
                <w:spacing w:val="-6"/>
              </w:rPr>
              <w:t xml:space="preserve"> </w:t>
            </w:r>
            <w:r w:rsidRPr="00EC20A0">
              <w:t>occur,</w:t>
            </w:r>
            <w:r w:rsidRPr="00EC20A0">
              <w:rPr>
                <w:spacing w:val="-6"/>
              </w:rPr>
              <w:t xml:space="preserve"> </w:t>
            </w:r>
            <w:r w:rsidRPr="00EC20A0">
              <w:t>if</w:t>
            </w:r>
            <w:r w:rsidRPr="00EC20A0">
              <w:rPr>
                <w:spacing w:val="-6"/>
              </w:rPr>
              <w:t xml:space="preserve"> </w:t>
            </w:r>
            <w:r w:rsidRPr="00EC20A0">
              <w:t>not</w:t>
            </w:r>
            <w:r w:rsidRPr="00EC20A0">
              <w:rPr>
                <w:spacing w:val="-6"/>
              </w:rPr>
              <w:t xml:space="preserve"> </w:t>
            </w:r>
            <w:r w:rsidRPr="00EC20A0">
              <w:t>previously</w:t>
            </w:r>
            <w:r w:rsidRPr="00EC20A0">
              <w:rPr>
                <w:spacing w:val="-6"/>
              </w:rPr>
              <w:t xml:space="preserve"> </w:t>
            </w:r>
            <w:r w:rsidRPr="00EC20A0">
              <w:t>identified</w:t>
            </w:r>
            <w:r w:rsidRPr="00EC20A0">
              <w:rPr>
                <w:spacing w:val="-6"/>
              </w:rPr>
              <w:t xml:space="preserve"> </w:t>
            </w:r>
            <w:r w:rsidRPr="00EC20A0">
              <w:t>during control testing;</w:t>
            </w:r>
          </w:p>
          <w:p w14:paraId="24D60FD6" w14:textId="77777777" w:rsidR="00245300" w:rsidRPr="00EC20A0" w:rsidRDefault="00F17249">
            <w:pPr>
              <w:pStyle w:val="TableParagraph"/>
              <w:numPr>
                <w:ilvl w:val="1"/>
                <w:numId w:val="151"/>
              </w:numPr>
              <w:tabs>
                <w:tab w:val="left" w:pos="927"/>
              </w:tabs>
              <w:spacing w:before="143"/>
              <w:ind w:right="413"/>
            </w:pPr>
            <w:r w:rsidRPr="00EC20A0">
              <w:t>determine</w:t>
            </w:r>
            <w:r w:rsidRPr="00EC20A0">
              <w:rPr>
                <w:spacing w:val="-5"/>
              </w:rPr>
              <w:t xml:space="preserve"> </w:t>
            </w:r>
            <w:r w:rsidRPr="00EC20A0">
              <w:t>the</w:t>
            </w:r>
            <w:r w:rsidRPr="00EC20A0">
              <w:rPr>
                <w:spacing w:val="-5"/>
              </w:rPr>
              <w:t xml:space="preserve"> </w:t>
            </w:r>
            <w:r w:rsidRPr="00EC20A0">
              <w:t>impact</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report</w:t>
            </w:r>
            <w:r w:rsidRPr="00EC20A0">
              <w:rPr>
                <w:spacing w:val="-5"/>
              </w:rPr>
              <w:t xml:space="preserve"> </w:t>
            </w:r>
            <w:r w:rsidRPr="00EC20A0">
              <w:t>on</w:t>
            </w:r>
            <w:r w:rsidRPr="00EC20A0">
              <w:rPr>
                <w:spacing w:val="-5"/>
              </w:rPr>
              <w:t xml:space="preserve"> </w:t>
            </w:r>
            <w:r w:rsidRPr="00EC20A0">
              <w:t>internal</w:t>
            </w:r>
            <w:r w:rsidRPr="00EC20A0">
              <w:rPr>
                <w:spacing w:val="-5"/>
              </w:rPr>
              <w:t xml:space="preserve"> </w:t>
            </w:r>
            <w:r w:rsidRPr="00EC20A0">
              <w:t>control</w:t>
            </w:r>
            <w:r w:rsidRPr="00EC20A0">
              <w:rPr>
                <w:spacing w:val="-5"/>
              </w:rPr>
              <w:t xml:space="preserve"> </w:t>
            </w:r>
            <w:r w:rsidRPr="00EC20A0">
              <w:t>as appropriate (see FAM 580.56–.85);</w:t>
            </w:r>
          </w:p>
          <w:p w14:paraId="24D60FD7" w14:textId="77777777" w:rsidR="00245300" w:rsidRPr="00EC20A0" w:rsidRDefault="00F17249">
            <w:pPr>
              <w:pStyle w:val="TableParagraph"/>
              <w:numPr>
                <w:ilvl w:val="1"/>
                <w:numId w:val="151"/>
              </w:numPr>
              <w:tabs>
                <w:tab w:val="left" w:pos="927"/>
              </w:tabs>
              <w:spacing w:before="142"/>
              <w:ind w:right="1234"/>
            </w:pPr>
            <w:r w:rsidRPr="00EC20A0">
              <w:t>consider the implications of any instances of noncompliance</w:t>
            </w:r>
            <w:r w:rsidRPr="00EC20A0">
              <w:rPr>
                <w:spacing w:val="-8"/>
              </w:rPr>
              <w:t xml:space="preserve"> </w:t>
            </w:r>
            <w:r w:rsidRPr="00EC20A0">
              <w:t>on</w:t>
            </w:r>
            <w:r w:rsidRPr="00EC20A0">
              <w:rPr>
                <w:spacing w:val="-8"/>
              </w:rPr>
              <w:t xml:space="preserve"> </w:t>
            </w:r>
            <w:r w:rsidRPr="00EC20A0">
              <w:t>the</w:t>
            </w:r>
            <w:r w:rsidRPr="00EC20A0">
              <w:rPr>
                <w:spacing w:val="-8"/>
              </w:rPr>
              <w:t xml:space="preserve"> </w:t>
            </w:r>
            <w:r w:rsidRPr="00EC20A0">
              <w:t>financial</w:t>
            </w:r>
            <w:r w:rsidRPr="00EC20A0">
              <w:rPr>
                <w:spacing w:val="-8"/>
              </w:rPr>
              <w:t xml:space="preserve"> </w:t>
            </w:r>
            <w:r w:rsidRPr="00EC20A0">
              <w:t>statements;</w:t>
            </w:r>
            <w:r w:rsidRPr="00EC20A0">
              <w:rPr>
                <w:spacing w:val="-8"/>
              </w:rPr>
              <w:t xml:space="preserve"> </w:t>
            </w:r>
            <w:r w:rsidRPr="00EC20A0">
              <w:t>and</w:t>
            </w:r>
          </w:p>
          <w:p w14:paraId="24D60FD8" w14:textId="77777777" w:rsidR="00245300" w:rsidRPr="00EC20A0" w:rsidRDefault="00F17249">
            <w:pPr>
              <w:pStyle w:val="TableParagraph"/>
              <w:numPr>
                <w:ilvl w:val="1"/>
                <w:numId w:val="151"/>
              </w:numPr>
              <w:tabs>
                <w:tab w:val="left" w:pos="927"/>
              </w:tabs>
              <w:spacing w:before="142"/>
              <w:ind w:right="512"/>
            </w:pPr>
            <w:r w:rsidRPr="00EC20A0">
              <w:t>report</w:t>
            </w:r>
            <w:r w:rsidRPr="00EC20A0">
              <w:rPr>
                <w:spacing w:val="-7"/>
              </w:rPr>
              <w:t xml:space="preserve"> </w:t>
            </w:r>
            <w:r w:rsidRPr="00EC20A0">
              <w:t>instances</w:t>
            </w:r>
            <w:r w:rsidRPr="00EC20A0">
              <w:rPr>
                <w:spacing w:val="-7"/>
              </w:rPr>
              <w:t xml:space="preserve"> </w:t>
            </w:r>
            <w:r w:rsidRPr="00EC20A0">
              <w:t>of</w:t>
            </w:r>
            <w:r w:rsidRPr="00EC20A0">
              <w:rPr>
                <w:spacing w:val="-7"/>
              </w:rPr>
              <w:t xml:space="preserve"> </w:t>
            </w:r>
            <w:r w:rsidRPr="00EC20A0">
              <w:t>noncompliance,</w:t>
            </w:r>
            <w:r w:rsidRPr="00EC20A0">
              <w:rPr>
                <w:spacing w:val="-8"/>
              </w:rPr>
              <w:t xml:space="preserve"> </w:t>
            </w:r>
            <w:r w:rsidRPr="00EC20A0">
              <w:t>as</w:t>
            </w:r>
            <w:r w:rsidRPr="00EC20A0">
              <w:rPr>
                <w:spacing w:val="-7"/>
              </w:rPr>
              <w:t xml:space="preserve"> </w:t>
            </w:r>
            <w:r w:rsidRPr="00EC20A0">
              <w:t>appropriate</w:t>
            </w:r>
            <w:r w:rsidRPr="00EC20A0">
              <w:rPr>
                <w:spacing w:val="-7"/>
              </w:rPr>
              <w:t xml:space="preserve"> </w:t>
            </w:r>
            <w:r w:rsidRPr="00EC20A0">
              <w:t>(see FAM 580.91–.99).</w:t>
            </w:r>
          </w:p>
        </w:tc>
        <w:tc>
          <w:tcPr>
            <w:tcW w:w="1200" w:type="dxa"/>
            <w:tcBorders>
              <w:top w:val="single" w:sz="6" w:space="0" w:color="000000"/>
              <w:left w:val="single" w:sz="6" w:space="0" w:color="000000"/>
              <w:bottom w:val="single" w:sz="6" w:space="0" w:color="000000"/>
              <w:right w:val="single" w:sz="6" w:space="0" w:color="000000"/>
            </w:tcBorders>
          </w:tcPr>
          <w:p w14:paraId="24D60FD9" w14:textId="77777777" w:rsidR="00245300" w:rsidRPr="00EC20A0" w:rsidRDefault="00245300">
            <w:pPr>
              <w:pStyle w:val="TableParagraph"/>
              <w:rPr>
                <w:sz w:val="20"/>
              </w:rPr>
            </w:pPr>
          </w:p>
        </w:tc>
        <w:tc>
          <w:tcPr>
            <w:tcW w:w="1410" w:type="dxa"/>
            <w:tcBorders>
              <w:top w:val="single" w:sz="6" w:space="0" w:color="000000"/>
              <w:left w:val="single" w:sz="6" w:space="0" w:color="000000"/>
              <w:bottom w:val="single" w:sz="6" w:space="0" w:color="000000"/>
              <w:right w:val="double" w:sz="6" w:space="0" w:color="000000"/>
            </w:tcBorders>
          </w:tcPr>
          <w:p w14:paraId="24D60FDA" w14:textId="77777777" w:rsidR="00245300" w:rsidRPr="00EC20A0" w:rsidRDefault="00245300">
            <w:pPr>
              <w:pStyle w:val="TableParagraph"/>
              <w:rPr>
                <w:sz w:val="20"/>
              </w:rPr>
            </w:pPr>
          </w:p>
        </w:tc>
      </w:tr>
      <w:tr w:rsidR="00245300" w:rsidRPr="00EC20A0" w14:paraId="24D60FDF" w14:textId="77777777">
        <w:trPr>
          <w:trHeight w:val="795"/>
        </w:trPr>
        <w:tc>
          <w:tcPr>
            <w:tcW w:w="6840" w:type="dxa"/>
            <w:tcBorders>
              <w:top w:val="single" w:sz="6" w:space="0" w:color="000000"/>
              <w:left w:val="double" w:sz="6" w:space="0" w:color="000000"/>
              <w:bottom w:val="double" w:sz="6" w:space="0" w:color="000000"/>
              <w:right w:val="single" w:sz="6" w:space="0" w:color="000000"/>
            </w:tcBorders>
          </w:tcPr>
          <w:p w14:paraId="24D60FDC" w14:textId="77777777" w:rsidR="00245300" w:rsidRPr="00EC20A0" w:rsidRDefault="00F17249">
            <w:pPr>
              <w:pStyle w:val="TableParagraph"/>
              <w:tabs>
                <w:tab w:val="left" w:pos="567"/>
              </w:tabs>
              <w:spacing w:before="145"/>
              <w:ind w:left="605" w:right="309" w:hanging="476"/>
            </w:pPr>
            <w:r w:rsidRPr="00EC20A0">
              <w:rPr>
                <w:spacing w:val="-6"/>
              </w:rPr>
              <w:t>6.</w:t>
            </w:r>
            <w:r w:rsidRPr="00EC20A0">
              <w:tab/>
              <w:t>Document</w:t>
            </w:r>
            <w:r w:rsidRPr="00EC20A0">
              <w:rPr>
                <w:spacing w:val="-6"/>
              </w:rPr>
              <w:t xml:space="preserve"> </w:t>
            </w:r>
            <w:r w:rsidRPr="00EC20A0">
              <w:t>conclusions</w:t>
            </w:r>
            <w:r w:rsidRPr="00EC20A0">
              <w:rPr>
                <w:spacing w:val="-6"/>
              </w:rPr>
              <w:t xml:space="preserve"> </w:t>
            </w:r>
            <w:r w:rsidRPr="00EC20A0">
              <w:t>on</w:t>
            </w:r>
            <w:r w:rsidRPr="00EC20A0">
              <w:rPr>
                <w:spacing w:val="-6"/>
              </w:rPr>
              <w:t xml:space="preserve"> </w:t>
            </w:r>
            <w:r w:rsidRPr="00EC20A0">
              <w:t>compliance</w:t>
            </w:r>
            <w:r w:rsidRPr="00EC20A0">
              <w:rPr>
                <w:spacing w:val="-6"/>
              </w:rPr>
              <w:t xml:space="preserve"> </w:t>
            </w:r>
            <w:r w:rsidRPr="00EC20A0">
              <w:t>with</w:t>
            </w:r>
            <w:r w:rsidRPr="00EC20A0">
              <w:rPr>
                <w:spacing w:val="-6"/>
              </w:rPr>
              <w:t xml:space="preserve"> </w:t>
            </w:r>
            <w:r w:rsidRPr="00EC20A0">
              <w:t>each</w:t>
            </w:r>
            <w:r w:rsidRPr="00EC20A0">
              <w:rPr>
                <w:spacing w:val="-7"/>
              </w:rPr>
              <w:t xml:space="preserve"> </w:t>
            </w:r>
            <w:r w:rsidRPr="00EC20A0">
              <w:t>provision</w:t>
            </w:r>
            <w:r w:rsidRPr="00EC20A0">
              <w:rPr>
                <w:spacing w:val="-6"/>
              </w:rPr>
              <w:t xml:space="preserve"> </w:t>
            </w:r>
            <w:r w:rsidRPr="00EC20A0">
              <w:t>on Form 804, Compliance Summary.</w:t>
            </w:r>
          </w:p>
        </w:tc>
        <w:tc>
          <w:tcPr>
            <w:tcW w:w="1200" w:type="dxa"/>
            <w:tcBorders>
              <w:top w:val="single" w:sz="6" w:space="0" w:color="000000"/>
              <w:left w:val="single" w:sz="6" w:space="0" w:color="000000"/>
              <w:bottom w:val="double" w:sz="6" w:space="0" w:color="000000"/>
              <w:right w:val="single" w:sz="6" w:space="0" w:color="000000"/>
            </w:tcBorders>
          </w:tcPr>
          <w:p w14:paraId="24D60FDD" w14:textId="77777777" w:rsidR="00245300" w:rsidRPr="00EC20A0" w:rsidRDefault="00245300">
            <w:pPr>
              <w:pStyle w:val="TableParagraph"/>
              <w:rPr>
                <w:sz w:val="20"/>
              </w:rPr>
            </w:pPr>
          </w:p>
        </w:tc>
        <w:tc>
          <w:tcPr>
            <w:tcW w:w="1410" w:type="dxa"/>
            <w:tcBorders>
              <w:top w:val="single" w:sz="6" w:space="0" w:color="000000"/>
              <w:left w:val="single" w:sz="6" w:space="0" w:color="000000"/>
              <w:bottom w:val="double" w:sz="6" w:space="0" w:color="000000"/>
              <w:right w:val="double" w:sz="6" w:space="0" w:color="000000"/>
            </w:tcBorders>
          </w:tcPr>
          <w:p w14:paraId="24D60FDE" w14:textId="77777777" w:rsidR="00245300" w:rsidRPr="00EC20A0" w:rsidRDefault="00245300">
            <w:pPr>
              <w:pStyle w:val="TableParagraph"/>
              <w:rPr>
                <w:sz w:val="20"/>
              </w:rPr>
            </w:pPr>
          </w:p>
        </w:tc>
      </w:tr>
    </w:tbl>
    <w:p w14:paraId="24D60FE0" w14:textId="77777777" w:rsidR="00245300" w:rsidRPr="00EC20A0" w:rsidRDefault="00245300">
      <w:pPr>
        <w:rPr>
          <w:sz w:val="20"/>
        </w:rPr>
        <w:sectPr w:rsidR="00245300" w:rsidRPr="00EC20A0">
          <w:type w:val="continuous"/>
          <w:pgSz w:w="12240" w:h="15840"/>
          <w:pgMar w:top="1300" w:right="1240" w:bottom="940" w:left="1300" w:header="721" w:footer="742" w:gutter="0"/>
          <w:cols w:space="720"/>
        </w:sectPr>
      </w:pPr>
    </w:p>
    <w:p w14:paraId="24D60FE1" w14:textId="77777777" w:rsidR="00245300" w:rsidRPr="00EC20A0" w:rsidRDefault="00F17249">
      <w:pPr>
        <w:pStyle w:val="Heading3"/>
        <w:spacing w:before="85"/>
        <w:rPr>
          <w:u w:val="none"/>
        </w:rPr>
      </w:pPr>
      <w:bookmarkStart w:id="205" w:name="805_–_Federal_Debt_Collection_Authoritie"/>
      <w:bookmarkStart w:id="206" w:name="_bookmark97"/>
      <w:bookmarkEnd w:id="205"/>
      <w:bookmarkEnd w:id="206"/>
      <w:r w:rsidRPr="00EC20A0">
        <w:t>805</w:t>
      </w:r>
      <w:r w:rsidRPr="00EC20A0">
        <w:rPr>
          <w:spacing w:val="-6"/>
        </w:rPr>
        <w:t xml:space="preserve"> </w:t>
      </w:r>
      <w:r w:rsidRPr="00EC20A0">
        <w:t>–</w:t>
      </w:r>
      <w:r w:rsidRPr="00EC20A0">
        <w:rPr>
          <w:spacing w:val="-3"/>
        </w:rPr>
        <w:t xml:space="preserve"> </w:t>
      </w:r>
      <w:r w:rsidRPr="00EC20A0">
        <w:t>Federal</w:t>
      </w:r>
      <w:r w:rsidRPr="00EC20A0">
        <w:rPr>
          <w:spacing w:val="-5"/>
        </w:rPr>
        <w:t xml:space="preserve"> </w:t>
      </w:r>
      <w:r w:rsidRPr="00EC20A0">
        <w:t>Debt</w:t>
      </w:r>
      <w:r w:rsidRPr="00EC20A0">
        <w:rPr>
          <w:spacing w:val="-5"/>
        </w:rPr>
        <w:t xml:space="preserve"> </w:t>
      </w:r>
      <w:r w:rsidRPr="00EC20A0">
        <w:t>Collection</w:t>
      </w:r>
      <w:r w:rsidRPr="00EC20A0">
        <w:rPr>
          <w:spacing w:val="-15"/>
        </w:rPr>
        <w:t xml:space="preserve"> </w:t>
      </w:r>
      <w:r w:rsidRPr="00EC20A0">
        <w:t>Authorities,</w:t>
      </w:r>
      <w:r w:rsidRPr="00EC20A0">
        <w:rPr>
          <w:spacing w:val="-4"/>
        </w:rPr>
        <w:t xml:space="preserve"> </w:t>
      </w:r>
      <w:r w:rsidRPr="00EC20A0">
        <w:t>a</w:t>
      </w:r>
      <w:bookmarkStart w:id="207" w:name="_bookmark99"/>
      <w:bookmarkEnd w:id="207"/>
      <w:r w:rsidRPr="00EC20A0">
        <w:t>s</w:t>
      </w:r>
      <w:r w:rsidRPr="00EC20A0">
        <w:rPr>
          <w:spacing w:val="-5"/>
        </w:rPr>
        <w:t xml:space="preserve"> </w:t>
      </w:r>
      <w:r w:rsidRPr="00EC20A0">
        <w:t>Provi</w:t>
      </w:r>
      <w:bookmarkStart w:id="208" w:name="_bookmark100"/>
      <w:bookmarkEnd w:id="208"/>
      <w:r w:rsidRPr="00EC20A0">
        <w:t>ded</w:t>
      </w:r>
      <w:r w:rsidRPr="00EC20A0">
        <w:rPr>
          <w:spacing w:val="-4"/>
        </w:rPr>
        <w:t xml:space="preserve"> </w:t>
      </w:r>
      <w:r w:rsidRPr="00EC20A0">
        <w:t>i</w:t>
      </w:r>
      <w:bookmarkStart w:id="209" w:name="_bookmark98"/>
      <w:bookmarkStart w:id="210" w:name="_bookmark101"/>
      <w:bookmarkEnd w:id="209"/>
      <w:bookmarkEnd w:id="210"/>
      <w:r w:rsidRPr="00EC20A0">
        <w:t>n</w:t>
      </w:r>
      <w:r w:rsidRPr="00EC20A0">
        <w:rPr>
          <w:spacing w:val="-4"/>
        </w:rPr>
        <w:t xml:space="preserve"> </w:t>
      </w:r>
      <w:r w:rsidRPr="00EC20A0">
        <w:t>31</w:t>
      </w:r>
      <w:r w:rsidRPr="00EC20A0">
        <w:rPr>
          <w:spacing w:val="-4"/>
        </w:rPr>
        <w:t xml:space="preserve"> </w:t>
      </w:r>
      <w:bookmarkStart w:id="211" w:name="_bookmark102"/>
      <w:bookmarkEnd w:id="211"/>
      <w:r w:rsidRPr="00EC20A0">
        <w:t>U.S.C.</w:t>
      </w:r>
      <w:r w:rsidRPr="00EC20A0">
        <w:rPr>
          <w:spacing w:val="-5"/>
        </w:rPr>
        <w:t xml:space="preserve"> </w:t>
      </w:r>
      <w:r w:rsidRPr="00EC20A0">
        <w:t>Chapter</w:t>
      </w:r>
      <w:r w:rsidRPr="00EC20A0">
        <w:rPr>
          <w:spacing w:val="-4"/>
        </w:rPr>
        <w:t xml:space="preserve"> </w:t>
      </w:r>
      <w:r w:rsidRPr="00EC20A0">
        <w:rPr>
          <w:spacing w:val="-5"/>
        </w:rPr>
        <w:t>37</w:t>
      </w:r>
    </w:p>
    <w:p w14:paraId="24D60FE2" w14:textId="77777777" w:rsidR="00245300" w:rsidRPr="00EC20A0" w:rsidRDefault="00F17249">
      <w:pPr>
        <w:pStyle w:val="BodyText"/>
        <w:spacing w:before="143"/>
        <w:ind w:left="120"/>
      </w:pPr>
      <w:r w:rsidRPr="00EC20A0">
        <w:t xml:space="preserve">Note: The auditor should complete this compliance summary or prepare equivalent </w:t>
      </w:r>
      <w:r w:rsidRPr="00EC20A0">
        <w:t>documentation only if the Federal Debt Collection Authorities,</w:t>
      </w:r>
      <w:r w:rsidRPr="00EC20A0">
        <w:rPr>
          <w:spacing w:val="-3"/>
        </w:rPr>
        <w:t xml:space="preserve"> </w:t>
      </w:r>
      <w:r w:rsidRPr="00EC20A0">
        <w:t>as</w:t>
      </w:r>
      <w:r w:rsidRPr="00EC20A0">
        <w:rPr>
          <w:spacing w:val="-2"/>
        </w:rPr>
        <w:t xml:space="preserve"> </w:t>
      </w:r>
      <w:r w:rsidRPr="00EC20A0">
        <w:t>provided</w:t>
      </w:r>
      <w:r w:rsidRPr="00EC20A0">
        <w:rPr>
          <w:spacing w:val="-3"/>
        </w:rPr>
        <w:t xml:space="preserve"> </w:t>
      </w:r>
      <w:r w:rsidRPr="00EC20A0">
        <w:t>in</w:t>
      </w:r>
      <w:r w:rsidRPr="00EC20A0">
        <w:rPr>
          <w:spacing w:val="-2"/>
        </w:rPr>
        <w:t xml:space="preserve"> </w:t>
      </w:r>
      <w:r w:rsidRPr="00EC20A0">
        <w:t>31</w:t>
      </w:r>
      <w:r w:rsidRPr="00EC20A0">
        <w:rPr>
          <w:spacing w:val="-2"/>
        </w:rPr>
        <w:t xml:space="preserve"> </w:t>
      </w:r>
      <w:r w:rsidRPr="00EC20A0">
        <w:t>U.S.C.</w:t>
      </w:r>
      <w:r w:rsidRPr="00EC20A0">
        <w:rPr>
          <w:spacing w:val="-2"/>
        </w:rPr>
        <w:t xml:space="preserve"> </w:t>
      </w:r>
      <w:r w:rsidRPr="00EC20A0">
        <w:t>chapter</w:t>
      </w:r>
      <w:r w:rsidRPr="00EC20A0">
        <w:rPr>
          <w:spacing w:val="-2"/>
        </w:rPr>
        <w:t xml:space="preserve"> </w:t>
      </w:r>
      <w:r w:rsidRPr="00EC20A0">
        <w:t>37,</w:t>
      </w:r>
      <w:r w:rsidRPr="00EC20A0">
        <w:rPr>
          <w:spacing w:val="-3"/>
        </w:rPr>
        <w:t xml:space="preserve"> </w:t>
      </w:r>
      <w:r w:rsidRPr="00EC20A0">
        <w:t>are</w:t>
      </w:r>
      <w:r w:rsidRPr="00EC20A0">
        <w:rPr>
          <w:spacing w:val="-2"/>
        </w:rPr>
        <w:t xml:space="preserve"> </w:t>
      </w:r>
      <w:r w:rsidRPr="00EC20A0">
        <w:t>significant,</w:t>
      </w:r>
      <w:r w:rsidRPr="00EC20A0">
        <w:rPr>
          <w:spacing w:val="-2"/>
        </w:rPr>
        <w:t xml:space="preserve"> </w:t>
      </w:r>
      <w:r w:rsidRPr="00EC20A0">
        <w:t>as</w:t>
      </w:r>
      <w:r w:rsidRPr="00EC20A0">
        <w:rPr>
          <w:spacing w:val="-2"/>
        </w:rPr>
        <w:t xml:space="preserve"> </w:t>
      </w:r>
      <w:r w:rsidRPr="00EC20A0">
        <w:t>indicated</w:t>
      </w:r>
      <w:r w:rsidRPr="00EC20A0">
        <w:rPr>
          <w:spacing w:val="-2"/>
        </w:rPr>
        <w:t xml:space="preserve"> </w:t>
      </w:r>
      <w:r w:rsidRPr="00EC20A0">
        <w:t>on</w:t>
      </w:r>
      <w:r w:rsidRPr="00EC20A0">
        <w:rPr>
          <w:spacing w:val="-2"/>
        </w:rPr>
        <w:t xml:space="preserve"> </w:t>
      </w:r>
      <w:r w:rsidRPr="00EC20A0">
        <w:t>Form</w:t>
      </w:r>
      <w:r w:rsidRPr="00EC20A0">
        <w:rPr>
          <w:spacing w:val="-3"/>
        </w:rPr>
        <w:t xml:space="preserve"> </w:t>
      </w:r>
      <w:r w:rsidRPr="00EC20A0">
        <w:t>802,</w:t>
      </w:r>
      <w:r w:rsidRPr="00EC20A0">
        <w:rPr>
          <w:spacing w:val="-1"/>
        </w:rPr>
        <w:t xml:space="preserve"> </w:t>
      </w:r>
      <w:r w:rsidRPr="00EC20A0">
        <w:t>General</w:t>
      </w:r>
      <w:r w:rsidRPr="00EC20A0">
        <w:rPr>
          <w:spacing w:val="-2"/>
        </w:rPr>
        <w:t xml:space="preserve"> </w:t>
      </w:r>
      <w:r w:rsidRPr="00EC20A0">
        <w:t>Compliance</w:t>
      </w:r>
      <w:r w:rsidRPr="00EC20A0">
        <w:rPr>
          <w:spacing w:val="-2"/>
        </w:rPr>
        <w:t xml:space="preserve"> </w:t>
      </w:r>
      <w:r w:rsidRPr="00EC20A0">
        <w:t>Checklist,</w:t>
      </w:r>
      <w:r w:rsidRPr="00EC20A0">
        <w:rPr>
          <w:spacing w:val="-2"/>
        </w:rPr>
        <w:t xml:space="preserve"> </w:t>
      </w:r>
      <w:r w:rsidRPr="00EC20A0">
        <w:t>at</w:t>
      </w:r>
      <w:r w:rsidRPr="00EC20A0">
        <w:rPr>
          <w:spacing w:val="-2"/>
        </w:rPr>
        <w:t xml:space="preserve"> </w:t>
      </w:r>
      <w:r w:rsidRPr="00EC20A0">
        <w:t>page</w:t>
      </w:r>
      <w:r w:rsidRPr="00EC20A0">
        <w:rPr>
          <w:spacing w:val="-2"/>
        </w:rPr>
        <w:t xml:space="preserve"> </w:t>
      </w:r>
      <w:r w:rsidRPr="00EC20A0">
        <w:t>802-</w:t>
      </w:r>
    </w:p>
    <w:p w14:paraId="24D60FE3" w14:textId="77777777" w:rsidR="00245300" w:rsidRPr="00EC20A0" w:rsidRDefault="00F17249">
      <w:pPr>
        <w:pStyle w:val="BodyText"/>
        <w:spacing w:before="1"/>
        <w:ind w:left="120" w:hanging="1"/>
      </w:pPr>
      <w:r w:rsidRPr="00EC20A0">
        <w:t>5.</w:t>
      </w:r>
      <w:r w:rsidRPr="00EC20A0">
        <w:rPr>
          <w:spacing w:val="-2"/>
        </w:rPr>
        <w:t xml:space="preserve"> </w:t>
      </w:r>
      <w:r w:rsidRPr="00EC20A0">
        <w:t>Implementing</w:t>
      </w:r>
      <w:r w:rsidRPr="00EC20A0">
        <w:rPr>
          <w:spacing w:val="-2"/>
        </w:rPr>
        <w:t xml:space="preserve"> </w:t>
      </w:r>
      <w:r w:rsidRPr="00EC20A0">
        <w:t>regulations</w:t>
      </w:r>
      <w:r w:rsidRPr="00EC20A0">
        <w:rPr>
          <w:spacing w:val="-2"/>
        </w:rPr>
        <w:t xml:space="preserve"> </w:t>
      </w:r>
      <w:r w:rsidRPr="00EC20A0">
        <w:t>on</w:t>
      </w:r>
      <w:r w:rsidRPr="00EC20A0">
        <w:rPr>
          <w:spacing w:val="-2"/>
        </w:rPr>
        <w:t xml:space="preserve"> </w:t>
      </w:r>
      <w:r w:rsidRPr="00EC20A0">
        <w:t>the</w:t>
      </w:r>
      <w:r w:rsidRPr="00EC20A0">
        <w:rPr>
          <w:spacing w:val="-2"/>
        </w:rPr>
        <w:t xml:space="preserve"> </w:t>
      </w:r>
      <w:r w:rsidRPr="00EC20A0">
        <w:t>Federal</w:t>
      </w:r>
      <w:r w:rsidRPr="00EC20A0">
        <w:rPr>
          <w:spacing w:val="-2"/>
        </w:rPr>
        <w:t xml:space="preserve"> </w:t>
      </w:r>
      <w:r w:rsidRPr="00EC20A0">
        <w:t>Debt</w:t>
      </w:r>
      <w:r w:rsidRPr="00EC20A0">
        <w:rPr>
          <w:spacing w:val="-2"/>
        </w:rPr>
        <w:t xml:space="preserve"> </w:t>
      </w:r>
      <w:r w:rsidRPr="00EC20A0">
        <w:t>Collection</w:t>
      </w:r>
      <w:r w:rsidRPr="00EC20A0">
        <w:rPr>
          <w:spacing w:val="-2"/>
        </w:rPr>
        <w:t xml:space="preserve"> </w:t>
      </w:r>
      <w:r w:rsidRPr="00EC20A0">
        <w:t>Authorities,</w:t>
      </w:r>
      <w:r w:rsidRPr="00EC20A0">
        <w:rPr>
          <w:spacing w:val="-2"/>
        </w:rPr>
        <w:t xml:space="preserve"> </w:t>
      </w:r>
      <w:r w:rsidRPr="00EC20A0">
        <w:t>as</w:t>
      </w:r>
      <w:r w:rsidRPr="00EC20A0">
        <w:rPr>
          <w:spacing w:val="-2"/>
        </w:rPr>
        <w:t xml:space="preserve"> </w:t>
      </w:r>
      <w:r w:rsidRPr="00EC20A0">
        <w:t>provided</w:t>
      </w:r>
      <w:r w:rsidRPr="00EC20A0">
        <w:rPr>
          <w:spacing w:val="-3"/>
        </w:rPr>
        <w:t xml:space="preserve"> </w:t>
      </w:r>
      <w:r w:rsidRPr="00EC20A0">
        <w:t>in</w:t>
      </w:r>
      <w:r w:rsidRPr="00EC20A0">
        <w:rPr>
          <w:spacing w:val="-2"/>
        </w:rPr>
        <w:t xml:space="preserve"> </w:t>
      </w:r>
      <w:r w:rsidRPr="00EC20A0">
        <w:t>31</w:t>
      </w:r>
      <w:r w:rsidRPr="00EC20A0">
        <w:rPr>
          <w:spacing w:val="-2"/>
        </w:rPr>
        <w:t xml:space="preserve"> </w:t>
      </w:r>
      <w:r w:rsidRPr="00EC20A0">
        <w:t>U.S.C.</w:t>
      </w:r>
      <w:r w:rsidRPr="00EC20A0">
        <w:rPr>
          <w:spacing w:val="-1"/>
        </w:rPr>
        <w:t xml:space="preserve"> </w:t>
      </w:r>
      <w:r w:rsidRPr="00EC20A0">
        <w:t>chapter</w:t>
      </w:r>
      <w:r w:rsidRPr="00EC20A0">
        <w:rPr>
          <w:spacing w:val="-2"/>
        </w:rPr>
        <w:t xml:space="preserve"> </w:t>
      </w:r>
      <w:r w:rsidRPr="00EC20A0">
        <w:t>37,</w:t>
      </w:r>
      <w:r w:rsidRPr="00EC20A0">
        <w:rPr>
          <w:spacing w:val="-3"/>
        </w:rPr>
        <w:t xml:space="preserve"> </w:t>
      </w:r>
      <w:r w:rsidRPr="00EC20A0">
        <w:t>are</w:t>
      </w:r>
      <w:r w:rsidRPr="00EC20A0">
        <w:rPr>
          <w:spacing w:val="-2"/>
        </w:rPr>
        <w:t xml:space="preserve"> </w:t>
      </w:r>
      <w:r w:rsidRPr="00EC20A0">
        <w:t>included</w:t>
      </w:r>
      <w:r w:rsidRPr="00EC20A0">
        <w:rPr>
          <w:spacing w:val="-3"/>
        </w:rPr>
        <w:t xml:space="preserve"> </w:t>
      </w:r>
      <w:r w:rsidRPr="00EC20A0">
        <w:t>in</w:t>
      </w:r>
      <w:r w:rsidRPr="00EC20A0">
        <w:rPr>
          <w:spacing w:val="-2"/>
        </w:rPr>
        <w:t xml:space="preserve"> </w:t>
      </w:r>
      <w:r w:rsidRPr="00EC20A0">
        <w:t>31</w:t>
      </w:r>
      <w:r w:rsidRPr="00EC20A0">
        <w:rPr>
          <w:spacing w:val="-2"/>
        </w:rPr>
        <w:t xml:space="preserve"> </w:t>
      </w:r>
      <w:r w:rsidRPr="00EC20A0">
        <w:t>C.F.R. Parts 285 and 900-904.</w:t>
      </w:r>
    </w:p>
    <w:p w14:paraId="24D60FE4" w14:textId="77777777" w:rsidR="00245300" w:rsidRPr="00EC20A0" w:rsidRDefault="00245300">
      <w:pPr>
        <w:pStyle w:val="BodyText"/>
        <w:spacing w:before="4"/>
        <w:rPr>
          <w:sz w:val="13"/>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245300" w:rsidRPr="00EC20A0" w14:paraId="24D60FE8" w14:textId="77777777">
        <w:trPr>
          <w:trHeight w:val="1574"/>
        </w:trPr>
        <w:tc>
          <w:tcPr>
            <w:tcW w:w="13170" w:type="dxa"/>
            <w:gridSpan w:val="6"/>
          </w:tcPr>
          <w:p w14:paraId="24D60FE5" w14:textId="77777777" w:rsidR="00245300" w:rsidRPr="00EC20A0" w:rsidRDefault="00F17249">
            <w:pPr>
              <w:pStyle w:val="TableParagraph"/>
              <w:tabs>
                <w:tab w:val="left" w:pos="9183"/>
              </w:tabs>
              <w:spacing w:before="144"/>
              <w:ind w:right="1918"/>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0FE6" w14:textId="77777777" w:rsidR="00245300" w:rsidRPr="00EC20A0" w:rsidRDefault="00F17249">
            <w:pPr>
              <w:pStyle w:val="TableParagraph"/>
              <w:spacing w:before="12"/>
              <w:ind w:left="1945" w:right="1918"/>
              <w:jc w:val="center"/>
              <w:rPr>
                <w:b/>
                <w:sz w:val="24"/>
              </w:rPr>
            </w:pPr>
            <w:r w:rsidRPr="00EC20A0">
              <w:rPr>
                <w:noProof/>
              </w:rPr>
              <mc:AlternateContent>
                <mc:Choice Requires="wpg">
                  <w:drawing>
                    <wp:anchor distT="0" distB="0" distL="0" distR="0" simplePos="0" relativeHeight="475305984" behindDoc="1" locked="0" layoutInCell="1" allowOverlap="1" wp14:anchorId="24D62BAF" wp14:editId="24D62BB0">
                      <wp:simplePos x="0" y="0"/>
                      <wp:positionH relativeFrom="column">
                        <wp:posOffset>6953250</wp:posOffset>
                      </wp:positionH>
                      <wp:positionV relativeFrom="paragraph">
                        <wp:posOffset>91895</wp:posOffset>
                      </wp:positionV>
                      <wp:extent cx="1344930" cy="635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488" name="Graphic 488"/>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200627" id="Group 487" o:spid="_x0000_s1026" style="position:absolute;margin-left:547.5pt;margin-top:7.25pt;width:105.9pt;height:.5pt;z-index:-28010496;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BaoqJBzAgAA8wUAAA4AAAAA&#10;AAAAAAAAAAAALgIAAGRycy9lMm9Eb2MueG1sUEsBAi0AFAAGAAgAAAAhAFfXjnrgAAAACwEAAA8A&#10;AAAAAAAAAAAAAAAAzQQAAGRycy9kb3ducmV2LnhtbFBLBQYAAAAABAAEAPMAAADaBQAAAAA=&#10;">
                      <v:shape id="Graphic 488"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" path="m1344929,l,,,6096r1344929,l1344929,xe" fillcolor="black" stroked="f">
                        <v:path arrowok="t"/>
                      </v:shape>
                    </v:group>
                  </w:pict>
                </mc:Fallback>
              </mc:AlternateContent>
            </w:r>
            <w:r w:rsidRPr="00EC20A0">
              <w:rPr>
                <w:noProof/>
              </w:rPr>
              <mc:AlternateContent>
                <mc:Choice Requires="wpg">
                  <w:drawing>
                    <wp:anchor distT="0" distB="0" distL="0" distR="0" simplePos="0" relativeHeight="475307008" behindDoc="1" locked="0" layoutInCell="1" allowOverlap="1" wp14:anchorId="24D62BB1" wp14:editId="24D62BB2">
                      <wp:simplePos x="0" y="0"/>
                      <wp:positionH relativeFrom="column">
                        <wp:posOffset>6953250</wp:posOffset>
                      </wp:positionH>
                      <wp:positionV relativeFrom="paragraph">
                        <wp:posOffset>441653</wp:posOffset>
                      </wp:positionV>
                      <wp:extent cx="1344930" cy="635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490" name="Graphic 490"/>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526C24" id="Group 489" o:spid="_x0000_s1026" style="position:absolute;margin-left:547.5pt;margin-top:34.8pt;width:105.9pt;height:.5pt;z-index:-2800947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">
                      <v:shape id="Graphic 490"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" path="m1344929,l,,,6096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0FE7" w14:textId="77777777" w:rsidR="00245300" w:rsidRPr="00EC20A0" w:rsidRDefault="00F17249">
            <w:pPr>
              <w:pStyle w:val="TableParagraph"/>
              <w:tabs>
                <w:tab w:val="left" w:pos="8878"/>
              </w:tabs>
              <w:spacing w:before="10"/>
              <w:ind w:right="1675"/>
              <w:jc w:val="center"/>
            </w:pPr>
            <w:r w:rsidRPr="00EC20A0">
              <w:rPr>
                <w:noProof/>
              </w:rPr>
              <mc:AlternateContent>
                <mc:Choice Requires="wpg">
                  <w:drawing>
                    <wp:anchor distT="0" distB="0" distL="0" distR="0" simplePos="0" relativeHeight="475305472" behindDoc="1" locked="0" layoutInCell="1" allowOverlap="1" wp14:anchorId="24D62BB3" wp14:editId="24D62BB4">
                      <wp:simplePos x="0" y="0"/>
                      <wp:positionH relativeFrom="column">
                        <wp:posOffset>1260347</wp:posOffset>
                      </wp:positionH>
                      <wp:positionV relativeFrom="paragraph">
                        <wp:posOffset>-91185</wp:posOffset>
                      </wp:positionV>
                      <wp:extent cx="1183005" cy="6350"/>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492" name="Graphic 492"/>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925F05" id="Group 491" o:spid="_x0000_s1026" style="position:absolute;margin-left:99.25pt;margin-top:-7.2pt;width:93.15pt;height:.5pt;z-index:-28011008;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">
                      <v:shape id="Graphic 492"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" path="m1182611,l,,,6096r1182611,l1182611,xe" fillcolor="black" stroked="f">
                        <v:path arrowok="t"/>
                      </v:shape>
                    </v:group>
                  </w:pict>
                </mc:Fallback>
              </mc:AlternateContent>
            </w:r>
            <w:r w:rsidRPr="00EC20A0">
              <w:rPr>
                <w:noProof/>
              </w:rPr>
              <mc:AlternateContent>
                <mc:Choice Requires="wpg">
                  <w:drawing>
                    <wp:anchor distT="0" distB="0" distL="0" distR="0" simplePos="0" relativeHeight="475306496" behindDoc="1" locked="0" layoutInCell="1" allowOverlap="1" wp14:anchorId="24D62BB5" wp14:editId="24D62BB6">
                      <wp:simplePos x="0" y="0"/>
                      <wp:positionH relativeFrom="column">
                        <wp:posOffset>1260347</wp:posOffset>
                      </wp:positionH>
                      <wp:positionV relativeFrom="paragraph">
                        <wp:posOffset>258572</wp:posOffset>
                      </wp:positionV>
                      <wp:extent cx="1183005" cy="635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494" name="Graphic 494"/>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65D3A4" id="Group 493" o:spid="_x0000_s1026" style="position:absolute;margin-left:99.25pt;margin-top:20.35pt;width:93.15pt;height:.5pt;z-index:-2800998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">
                      <v:shape id="Graphic 494"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" path="m1182611,l,,,6096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0FF3" w14:textId="77777777">
        <w:trPr>
          <w:trHeight w:val="793"/>
        </w:trPr>
        <w:tc>
          <w:tcPr>
            <w:tcW w:w="3943" w:type="dxa"/>
            <w:tcBorders>
              <w:right w:val="single" w:sz="4" w:space="0" w:color="000000"/>
            </w:tcBorders>
          </w:tcPr>
          <w:p w14:paraId="24D60FE9" w14:textId="77777777" w:rsidR="00245300" w:rsidRPr="00EC20A0" w:rsidRDefault="00245300">
            <w:pPr>
              <w:pStyle w:val="TableParagraph"/>
              <w:spacing w:before="143"/>
            </w:pPr>
          </w:p>
          <w:p w14:paraId="24D60FEA"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91" w:type="dxa"/>
            <w:tcBorders>
              <w:left w:val="single" w:sz="4" w:space="0" w:color="000000"/>
              <w:right w:val="single" w:sz="4" w:space="0" w:color="000000"/>
            </w:tcBorders>
          </w:tcPr>
          <w:p w14:paraId="24D60FEB" w14:textId="77777777" w:rsidR="00245300" w:rsidRPr="00EC20A0" w:rsidRDefault="00245300">
            <w:pPr>
              <w:pStyle w:val="TableParagraph"/>
              <w:spacing w:before="143"/>
            </w:pPr>
          </w:p>
          <w:p w14:paraId="24D60FEC" w14:textId="77777777" w:rsidR="00245300" w:rsidRPr="00EC20A0" w:rsidRDefault="00F17249">
            <w:pPr>
              <w:pStyle w:val="TableParagraph"/>
              <w:ind w:left="107"/>
            </w:pPr>
            <w:r w:rsidRPr="00EC20A0">
              <w:rPr>
                <w:spacing w:val="-2"/>
              </w:rPr>
              <w:t>Objective</w:t>
            </w:r>
          </w:p>
        </w:tc>
        <w:tc>
          <w:tcPr>
            <w:tcW w:w="2231" w:type="dxa"/>
            <w:tcBorders>
              <w:left w:val="single" w:sz="4" w:space="0" w:color="000000"/>
              <w:right w:val="single" w:sz="4" w:space="0" w:color="000000"/>
            </w:tcBorders>
          </w:tcPr>
          <w:p w14:paraId="24D60FED" w14:textId="77777777" w:rsidR="00245300" w:rsidRPr="00EC20A0" w:rsidRDefault="00245300">
            <w:pPr>
              <w:pStyle w:val="TableParagraph"/>
              <w:spacing w:before="143"/>
            </w:pPr>
          </w:p>
          <w:p w14:paraId="24D60FEE"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24" w:type="dxa"/>
            <w:tcBorders>
              <w:left w:val="single" w:sz="4" w:space="0" w:color="000000"/>
              <w:right w:val="single" w:sz="4" w:space="0" w:color="000000"/>
            </w:tcBorders>
          </w:tcPr>
          <w:p w14:paraId="24D60FEF" w14:textId="77777777" w:rsidR="00245300" w:rsidRPr="00EC20A0" w:rsidRDefault="00245300">
            <w:pPr>
              <w:pStyle w:val="TableParagraph"/>
              <w:spacing w:before="143"/>
            </w:pPr>
          </w:p>
          <w:p w14:paraId="24D60FF0" w14:textId="77777777" w:rsidR="00245300" w:rsidRPr="00EC20A0" w:rsidRDefault="00F17249">
            <w:pPr>
              <w:pStyle w:val="TableParagraph"/>
              <w:ind w:left="109"/>
            </w:pPr>
            <w:r w:rsidRPr="00EC20A0">
              <w:t>IS</w:t>
            </w:r>
            <w:r w:rsidRPr="00EC20A0">
              <w:rPr>
                <w:spacing w:val="-3"/>
              </w:rPr>
              <w:t xml:space="preserve"> </w:t>
            </w:r>
            <w:r w:rsidRPr="00EC20A0">
              <w:rPr>
                <w:spacing w:val="-2"/>
              </w:rPr>
              <w:t>(Y/N)</w:t>
            </w:r>
          </w:p>
        </w:tc>
        <w:tc>
          <w:tcPr>
            <w:tcW w:w="1496" w:type="dxa"/>
            <w:tcBorders>
              <w:left w:val="single" w:sz="4" w:space="0" w:color="000000"/>
              <w:right w:val="single" w:sz="4" w:space="0" w:color="000000"/>
            </w:tcBorders>
          </w:tcPr>
          <w:p w14:paraId="24D60FF1" w14:textId="77777777" w:rsidR="00245300" w:rsidRPr="00EC20A0" w:rsidRDefault="00F17249">
            <w:pPr>
              <w:pStyle w:val="TableParagraph"/>
              <w:spacing w:before="143"/>
              <w:ind w:left="110"/>
            </w:pPr>
            <w:r w:rsidRPr="00EC20A0">
              <w:rPr>
                <w:spacing w:val="-2"/>
              </w:rPr>
              <w:t>Effective controls?</w:t>
            </w:r>
          </w:p>
        </w:tc>
        <w:tc>
          <w:tcPr>
            <w:tcW w:w="2185" w:type="dxa"/>
            <w:tcBorders>
              <w:left w:val="single" w:sz="4" w:space="0" w:color="000000"/>
            </w:tcBorders>
          </w:tcPr>
          <w:p w14:paraId="24D60FF2" w14:textId="77777777" w:rsidR="00245300" w:rsidRPr="00EC20A0" w:rsidRDefault="00F17249">
            <w:pPr>
              <w:pStyle w:val="TableParagraph"/>
              <w:spacing w:before="143"/>
              <w:ind w:left="111" w:right="3"/>
            </w:pPr>
            <w:r w:rsidRPr="00EC20A0">
              <w:t xml:space="preserve">Instances of </w:t>
            </w:r>
            <w:r w:rsidRPr="00EC20A0">
              <w:rPr>
                <w:spacing w:val="-2"/>
              </w:rPr>
              <w:t>noncompliance?</w:t>
            </w:r>
          </w:p>
        </w:tc>
      </w:tr>
      <w:tr w:rsidR="00245300" w:rsidRPr="00EC20A0" w14:paraId="24D61001" w14:textId="77777777">
        <w:trPr>
          <w:trHeight w:val="3682"/>
        </w:trPr>
        <w:tc>
          <w:tcPr>
            <w:tcW w:w="3943" w:type="dxa"/>
            <w:tcBorders>
              <w:bottom w:val="single" w:sz="4" w:space="0" w:color="000000"/>
              <w:right w:val="single" w:sz="4" w:space="0" w:color="000000"/>
            </w:tcBorders>
          </w:tcPr>
          <w:p w14:paraId="24D60FF4" w14:textId="77777777" w:rsidR="00245300" w:rsidRPr="00EC20A0" w:rsidRDefault="00F17249">
            <w:pPr>
              <w:pStyle w:val="TableParagraph"/>
              <w:spacing w:before="143"/>
              <w:ind w:left="817" w:right="115" w:hanging="721"/>
              <w:rPr>
                <w:sz w:val="18"/>
              </w:rPr>
            </w:pPr>
            <w:r w:rsidRPr="00EC20A0">
              <w:rPr>
                <w:smallCaps/>
                <w:sz w:val="18"/>
              </w:rPr>
              <w:t>805.01.</w:t>
            </w:r>
            <w:r w:rsidRPr="00EC20A0">
              <w:rPr>
                <w:smallCaps/>
                <w:spacing w:val="-3"/>
                <w:sz w:val="18"/>
              </w:rPr>
              <w:t xml:space="preserve"> </w:t>
            </w:r>
            <w:r w:rsidRPr="00EC20A0">
              <w:rPr>
                <w:smallCaps/>
                <w:spacing w:val="16"/>
                <w:sz w:val="18"/>
              </w:rPr>
              <w:t xml:space="preserve"> </w:t>
            </w:r>
            <w:r w:rsidRPr="00EC20A0">
              <w:rPr>
                <w:smallCaps/>
                <w:sz w:val="18"/>
              </w:rPr>
              <w:t>Interest</w:t>
            </w:r>
            <w:r w:rsidRPr="00EC20A0">
              <w:rPr>
                <w:smallCaps/>
                <w:spacing w:val="-3"/>
                <w:sz w:val="18"/>
              </w:rPr>
              <w:t xml:space="preserve"> </w:t>
            </w:r>
            <w:r w:rsidRPr="00EC20A0">
              <w:rPr>
                <w:smallCaps/>
                <w:sz w:val="18"/>
              </w:rPr>
              <w:t>on</w:t>
            </w:r>
            <w:r w:rsidRPr="00EC20A0">
              <w:rPr>
                <w:smallCaps/>
                <w:spacing w:val="-3"/>
                <w:sz w:val="18"/>
              </w:rPr>
              <w:t xml:space="preserve"> </w:t>
            </w:r>
            <w:r w:rsidRPr="00EC20A0">
              <w:rPr>
                <w:smallCaps/>
                <w:sz w:val="18"/>
              </w:rPr>
              <w:t>Outstanding</w:t>
            </w:r>
            <w:r w:rsidRPr="00EC20A0">
              <w:rPr>
                <w:smallCaps/>
                <w:spacing w:val="-3"/>
                <w:sz w:val="18"/>
              </w:rPr>
              <w:t xml:space="preserve"> </w:t>
            </w:r>
            <w:r w:rsidRPr="00EC20A0">
              <w:rPr>
                <w:smallCaps/>
                <w:sz w:val="18"/>
              </w:rPr>
              <w:t>Debt</w:t>
            </w:r>
            <w:r w:rsidRPr="00EC20A0">
              <w:rPr>
                <w:smallCaps/>
                <w:spacing w:val="-3"/>
                <w:sz w:val="18"/>
              </w:rPr>
              <w:t xml:space="preserve"> </w:t>
            </w:r>
            <w:r w:rsidRPr="00EC20A0">
              <w:rPr>
                <w:smallCaps/>
                <w:sz w:val="18"/>
              </w:rPr>
              <w:t>Owed</w:t>
            </w:r>
            <w:r w:rsidRPr="00EC20A0">
              <w:rPr>
                <w:smallCaps/>
                <w:spacing w:val="40"/>
                <w:sz w:val="18"/>
              </w:rPr>
              <w:t xml:space="preserve"> </w:t>
            </w:r>
            <w:r w:rsidRPr="00EC20A0">
              <w:rPr>
                <w:smallCaps/>
                <w:sz w:val="18"/>
              </w:rPr>
              <w:t>to the Entity.</w:t>
            </w:r>
          </w:p>
          <w:p w14:paraId="24D60FF5" w14:textId="77777777" w:rsidR="00245300" w:rsidRPr="00EC20A0" w:rsidRDefault="00F17249">
            <w:pPr>
              <w:pStyle w:val="TableParagraph"/>
              <w:spacing w:before="146"/>
              <w:ind w:left="97"/>
              <w:rPr>
                <w:sz w:val="18"/>
              </w:rPr>
            </w:pPr>
            <w:r w:rsidRPr="00EC20A0">
              <w:rPr>
                <w:sz w:val="18"/>
              </w:rPr>
              <w:t>Provision</w:t>
            </w:r>
            <w:r w:rsidRPr="00EC20A0">
              <w:rPr>
                <w:spacing w:val="-10"/>
                <w:sz w:val="18"/>
              </w:rPr>
              <w:t xml:space="preserve"> </w:t>
            </w:r>
            <w:r w:rsidRPr="00EC20A0">
              <w:rPr>
                <w:sz w:val="18"/>
              </w:rPr>
              <w:t>Type:</w:t>
            </w:r>
            <w:r w:rsidRPr="00EC20A0">
              <w:rPr>
                <w:spacing w:val="-8"/>
                <w:sz w:val="18"/>
              </w:rPr>
              <w:t xml:space="preserve"> </w:t>
            </w:r>
            <w:r w:rsidRPr="00EC20A0">
              <w:rPr>
                <w:sz w:val="18"/>
              </w:rPr>
              <w:t>Transaction-</w:t>
            </w:r>
            <w:r w:rsidRPr="00EC20A0">
              <w:rPr>
                <w:spacing w:val="-2"/>
                <w:sz w:val="18"/>
              </w:rPr>
              <w:t>based.</w:t>
            </w:r>
          </w:p>
          <w:p w14:paraId="24D60FF6" w14:textId="77777777" w:rsidR="00245300" w:rsidRPr="00EC20A0" w:rsidRDefault="00F17249">
            <w:pPr>
              <w:pStyle w:val="TableParagraph"/>
              <w:spacing w:before="145" w:line="237" w:lineRule="auto"/>
              <w:ind w:left="97" w:right="92"/>
              <w:rPr>
                <w:sz w:val="18"/>
              </w:rPr>
            </w:pPr>
            <w:r w:rsidRPr="00EC20A0">
              <w:rPr>
                <w:sz w:val="18"/>
              </w:rPr>
              <w:t>Generally, interest shall be charged on an outstanding</w:t>
            </w:r>
            <w:r w:rsidRPr="00EC20A0">
              <w:rPr>
                <w:spacing w:val="-6"/>
                <w:sz w:val="18"/>
              </w:rPr>
              <w:t xml:space="preserve"> </w:t>
            </w:r>
            <w:r w:rsidRPr="00EC20A0">
              <w:rPr>
                <w:sz w:val="18"/>
              </w:rPr>
              <w:t>nontax</w:t>
            </w:r>
            <w:r w:rsidRPr="00EC20A0">
              <w:rPr>
                <w:spacing w:val="-5"/>
                <w:sz w:val="18"/>
              </w:rPr>
              <w:t xml:space="preserve"> </w:t>
            </w:r>
            <w:r w:rsidRPr="00EC20A0">
              <w:rPr>
                <w:sz w:val="18"/>
              </w:rPr>
              <w:t>debt</w:t>
            </w:r>
            <w:r w:rsidRPr="00EC20A0">
              <w:rPr>
                <w:spacing w:val="-5"/>
                <w:sz w:val="18"/>
              </w:rPr>
              <w:t xml:space="preserve"> </w:t>
            </w:r>
            <w:r w:rsidRPr="00EC20A0">
              <w:rPr>
                <w:sz w:val="18"/>
              </w:rPr>
              <w:t>(or</w:t>
            </w:r>
            <w:r w:rsidRPr="00EC20A0">
              <w:rPr>
                <w:spacing w:val="-5"/>
                <w:sz w:val="18"/>
              </w:rPr>
              <w:t xml:space="preserve"> </w:t>
            </w:r>
            <w:r w:rsidRPr="00EC20A0">
              <w:rPr>
                <w:sz w:val="18"/>
              </w:rPr>
              <w:t>claim)</w:t>
            </w:r>
            <w:hyperlink w:anchor="_bookmark98" w:history="1">
              <w:r w:rsidRPr="00EC20A0">
                <w:rPr>
                  <w:sz w:val="18"/>
                  <w:vertAlign w:val="superscript"/>
                </w:rPr>
                <w:t>24</w:t>
              </w:r>
            </w:hyperlink>
            <w:r w:rsidRPr="00EC20A0">
              <w:rPr>
                <w:spacing w:val="-5"/>
                <w:sz w:val="18"/>
              </w:rPr>
              <w:t xml:space="preserve"> </w:t>
            </w:r>
            <w:r w:rsidRPr="00EC20A0">
              <w:rPr>
                <w:sz w:val="18"/>
              </w:rPr>
              <w:t>owed</w:t>
            </w:r>
            <w:r w:rsidRPr="00EC20A0">
              <w:rPr>
                <w:spacing w:val="-6"/>
                <w:sz w:val="18"/>
              </w:rPr>
              <w:t xml:space="preserve"> </w:t>
            </w:r>
            <w:r w:rsidRPr="00EC20A0">
              <w:rPr>
                <w:sz w:val="18"/>
              </w:rPr>
              <w:t xml:space="preserve">to the entity. </w:t>
            </w:r>
            <w:hyperlink w:anchor="_bookmark99" w:history="1">
              <w:r w:rsidRPr="00EC20A0">
                <w:rPr>
                  <w:position w:val="6"/>
                  <w:sz w:val="12"/>
                </w:rPr>
                <w:t>25</w:t>
              </w:r>
            </w:hyperlink>
            <w:r w:rsidRPr="00EC20A0">
              <w:rPr>
                <w:position w:val="6"/>
                <w:sz w:val="12"/>
              </w:rPr>
              <w:t>,</w:t>
            </w:r>
            <w:hyperlink w:anchor="_bookmark100" w:history="1">
              <w:r w:rsidRPr="00EC20A0">
                <w:rPr>
                  <w:position w:val="6"/>
                  <w:sz w:val="12"/>
                </w:rPr>
                <w:t>26</w:t>
              </w:r>
            </w:hyperlink>
            <w:r w:rsidRPr="00EC20A0">
              <w:rPr>
                <w:position w:val="6"/>
                <w:sz w:val="12"/>
              </w:rPr>
              <w:t>,</w:t>
            </w:r>
            <w:hyperlink w:anchor="_bookmark101" w:history="1">
              <w:r w:rsidRPr="00EC20A0">
                <w:rPr>
                  <w:position w:val="6"/>
                  <w:sz w:val="12"/>
                </w:rPr>
                <w:t>27</w:t>
              </w:r>
            </w:hyperlink>
            <w:r w:rsidRPr="00EC20A0">
              <w:rPr>
                <w:position w:val="6"/>
                <w:sz w:val="12"/>
              </w:rPr>
              <w:t>,</w:t>
            </w:r>
            <w:r w:rsidRPr="00EC20A0">
              <w:rPr>
                <w:spacing w:val="-18"/>
                <w:position w:val="6"/>
                <w:sz w:val="12"/>
              </w:rPr>
              <w:t xml:space="preserve"> </w:t>
            </w:r>
            <w:hyperlink w:anchor="_bookmark102" w:history="1">
              <w:r w:rsidRPr="00EC20A0">
                <w:rPr>
                  <w:position w:val="6"/>
                  <w:sz w:val="12"/>
                </w:rPr>
                <w:t>28</w:t>
              </w:r>
            </w:hyperlink>
            <w:r w:rsidRPr="00EC20A0">
              <w:rPr>
                <w:spacing w:val="40"/>
                <w:position w:val="6"/>
                <w:sz w:val="12"/>
              </w:rPr>
              <w:t xml:space="preserve"> </w:t>
            </w:r>
            <w:r w:rsidRPr="00EC20A0">
              <w:rPr>
                <w:sz w:val="18"/>
              </w:rPr>
              <w:t>31 § U.S.C. 3717(a).</w:t>
            </w:r>
          </w:p>
          <w:p w14:paraId="24D60FF7" w14:textId="77777777" w:rsidR="00245300" w:rsidRPr="00EC20A0" w:rsidRDefault="00F17249">
            <w:pPr>
              <w:pStyle w:val="TableParagraph"/>
              <w:ind w:left="97" w:right="92"/>
              <w:rPr>
                <w:sz w:val="18"/>
              </w:rPr>
            </w:pPr>
            <w:r w:rsidRPr="00EC20A0">
              <w:rPr>
                <w:sz w:val="18"/>
              </w:rPr>
              <w:t>Normally, interest accrues from the date that the notice of the amount due and interest policies</w:t>
            </w:r>
            <w:r w:rsidRPr="00EC20A0">
              <w:rPr>
                <w:spacing w:val="-5"/>
                <w:sz w:val="18"/>
              </w:rPr>
              <w:t xml:space="preserve"> </w:t>
            </w:r>
            <w:r w:rsidRPr="00EC20A0">
              <w:rPr>
                <w:sz w:val="18"/>
              </w:rPr>
              <w:t>is</w:t>
            </w:r>
            <w:r w:rsidRPr="00EC20A0">
              <w:rPr>
                <w:spacing w:val="-5"/>
                <w:sz w:val="18"/>
              </w:rPr>
              <w:t xml:space="preserve"> </w:t>
            </w:r>
            <w:r w:rsidRPr="00EC20A0">
              <w:rPr>
                <w:sz w:val="18"/>
              </w:rPr>
              <w:t>first</w:t>
            </w:r>
            <w:r w:rsidRPr="00EC20A0">
              <w:rPr>
                <w:spacing w:val="-5"/>
                <w:sz w:val="18"/>
              </w:rPr>
              <w:t xml:space="preserve"> </w:t>
            </w:r>
            <w:r w:rsidRPr="00EC20A0">
              <w:rPr>
                <w:sz w:val="18"/>
              </w:rPr>
              <w:t>mailed</w:t>
            </w:r>
            <w:r w:rsidRPr="00EC20A0">
              <w:rPr>
                <w:spacing w:val="-6"/>
                <w:sz w:val="18"/>
              </w:rPr>
              <w:t xml:space="preserve"> </w:t>
            </w:r>
            <w:r w:rsidRPr="00EC20A0">
              <w:rPr>
                <w:sz w:val="18"/>
              </w:rPr>
              <w:t>to</w:t>
            </w:r>
            <w:r w:rsidRPr="00EC20A0">
              <w:rPr>
                <w:spacing w:val="-6"/>
                <w:sz w:val="18"/>
              </w:rPr>
              <w:t xml:space="preserve"> </w:t>
            </w:r>
            <w:r w:rsidRPr="00EC20A0">
              <w:rPr>
                <w:sz w:val="18"/>
              </w:rPr>
              <w:t>the</w:t>
            </w:r>
            <w:r w:rsidRPr="00EC20A0">
              <w:rPr>
                <w:spacing w:val="-6"/>
                <w:sz w:val="18"/>
              </w:rPr>
              <w:t xml:space="preserve"> </w:t>
            </w:r>
            <w:r w:rsidRPr="00EC20A0">
              <w:rPr>
                <w:sz w:val="18"/>
              </w:rPr>
              <w:t>debtor.</w:t>
            </w:r>
            <w:r w:rsidRPr="00EC20A0">
              <w:rPr>
                <w:spacing w:val="-5"/>
                <w:sz w:val="18"/>
              </w:rPr>
              <w:t xml:space="preserve"> </w:t>
            </w:r>
            <w:r w:rsidRPr="00EC20A0">
              <w:rPr>
                <w:sz w:val="18"/>
              </w:rPr>
              <w:t>31</w:t>
            </w:r>
            <w:r w:rsidRPr="00EC20A0">
              <w:rPr>
                <w:spacing w:val="-6"/>
                <w:sz w:val="18"/>
              </w:rPr>
              <w:t xml:space="preserve"> </w:t>
            </w:r>
            <w:r w:rsidRPr="00EC20A0">
              <w:rPr>
                <w:sz w:val="18"/>
              </w:rPr>
              <w:t>U.S.C.</w:t>
            </w:r>
          </w:p>
          <w:p w14:paraId="24D60FF8" w14:textId="77777777" w:rsidR="00245300" w:rsidRPr="00EC20A0" w:rsidRDefault="00F17249">
            <w:pPr>
              <w:pStyle w:val="TableParagraph"/>
              <w:spacing w:before="1"/>
              <w:ind w:left="97" w:right="92"/>
              <w:rPr>
                <w:sz w:val="18"/>
              </w:rPr>
            </w:pPr>
            <w:r w:rsidRPr="00EC20A0">
              <w:rPr>
                <w:sz w:val="18"/>
              </w:rPr>
              <w:t>§</w:t>
            </w:r>
            <w:r w:rsidRPr="00EC20A0">
              <w:rPr>
                <w:spacing w:val="-7"/>
                <w:sz w:val="18"/>
              </w:rPr>
              <w:t xml:space="preserve"> </w:t>
            </w:r>
            <w:r w:rsidRPr="00EC20A0">
              <w:rPr>
                <w:sz w:val="18"/>
              </w:rPr>
              <w:t>3717(b).</w:t>
            </w:r>
            <w:r w:rsidRPr="00EC20A0">
              <w:rPr>
                <w:spacing w:val="-6"/>
                <w:sz w:val="18"/>
              </w:rPr>
              <w:t xml:space="preserve"> </w:t>
            </w:r>
            <w:r w:rsidRPr="00EC20A0">
              <w:rPr>
                <w:sz w:val="18"/>
              </w:rPr>
              <w:t>Generally,</w:t>
            </w:r>
            <w:r w:rsidRPr="00EC20A0">
              <w:rPr>
                <w:spacing w:val="-6"/>
                <w:sz w:val="18"/>
              </w:rPr>
              <w:t xml:space="preserve"> </w:t>
            </w:r>
            <w:r w:rsidRPr="00EC20A0">
              <w:rPr>
                <w:sz w:val="18"/>
              </w:rPr>
              <w:t>interest</w:t>
            </w:r>
            <w:r w:rsidRPr="00EC20A0">
              <w:rPr>
                <w:spacing w:val="-6"/>
                <w:sz w:val="18"/>
              </w:rPr>
              <w:t xml:space="preserve"> </w:t>
            </w:r>
            <w:r w:rsidRPr="00EC20A0">
              <w:rPr>
                <w:sz w:val="18"/>
              </w:rPr>
              <w:t>is</w:t>
            </w:r>
            <w:r w:rsidRPr="00EC20A0">
              <w:rPr>
                <w:spacing w:val="-6"/>
                <w:sz w:val="18"/>
              </w:rPr>
              <w:t xml:space="preserve"> </w:t>
            </w:r>
            <w:r w:rsidRPr="00EC20A0">
              <w:rPr>
                <w:sz w:val="18"/>
              </w:rPr>
              <w:t>charged</w:t>
            </w:r>
            <w:r w:rsidRPr="00EC20A0">
              <w:rPr>
                <w:spacing w:val="-7"/>
                <w:sz w:val="18"/>
              </w:rPr>
              <w:t xml:space="preserve"> </w:t>
            </w:r>
            <w:r w:rsidRPr="00EC20A0">
              <w:rPr>
                <w:sz w:val="18"/>
              </w:rPr>
              <w:t>at</w:t>
            </w:r>
            <w:r w:rsidRPr="00EC20A0">
              <w:rPr>
                <w:spacing w:val="-6"/>
                <w:sz w:val="18"/>
              </w:rPr>
              <w:t xml:space="preserve"> </w:t>
            </w:r>
            <w:r w:rsidRPr="00EC20A0">
              <w:rPr>
                <w:sz w:val="18"/>
              </w:rPr>
              <w:t xml:space="preserve">the rate established by the Secretary of the Treasury that is in effect on that date; further, that rate generally remains fixed for the duration of the indebtedness. 31 U.S.C. § </w:t>
            </w:r>
            <w:r w:rsidRPr="00EC20A0">
              <w:rPr>
                <w:spacing w:val="-2"/>
                <w:sz w:val="18"/>
              </w:rPr>
              <w:t>3717(c).</w:t>
            </w:r>
          </w:p>
        </w:tc>
        <w:tc>
          <w:tcPr>
            <w:tcW w:w="1791" w:type="dxa"/>
            <w:tcBorders>
              <w:left w:val="single" w:sz="4" w:space="0" w:color="000000"/>
              <w:bottom w:val="single" w:sz="4" w:space="0" w:color="000000"/>
              <w:right w:val="single" w:sz="4" w:space="0" w:color="000000"/>
            </w:tcBorders>
          </w:tcPr>
          <w:p w14:paraId="24D60FF9" w14:textId="77777777" w:rsidR="00245300" w:rsidRPr="00EC20A0" w:rsidRDefault="00F17249">
            <w:pPr>
              <w:pStyle w:val="TableParagraph"/>
              <w:spacing w:before="144"/>
              <w:ind w:left="107" w:right="102"/>
              <w:rPr>
                <w:sz w:val="18"/>
              </w:rPr>
            </w:pPr>
            <w:r w:rsidRPr="00EC20A0">
              <w:rPr>
                <w:sz w:val="18"/>
              </w:rPr>
              <w:t>Interest is properly calculated and charged on past due</w:t>
            </w:r>
            <w:r w:rsidRPr="00EC20A0">
              <w:rPr>
                <w:spacing w:val="-15"/>
                <w:sz w:val="18"/>
              </w:rPr>
              <w:t xml:space="preserve"> </w:t>
            </w:r>
            <w:r w:rsidRPr="00EC20A0">
              <w:rPr>
                <w:sz w:val="18"/>
              </w:rPr>
              <w:t>amounts</w:t>
            </w:r>
            <w:r w:rsidRPr="00EC20A0">
              <w:rPr>
                <w:spacing w:val="-12"/>
                <w:sz w:val="18"/>
              </w:rPr>
              <w:t xml:space="preserve"> </w:t>
            </w:r>
            <w:r w:rsidRPr="00EC20A0">
              <w:rPr>
                <w:sz w:val="18"/>
              </w:rPr>
              <w:t>owed to the entity at the correct rates.</w:t>
            </w:r>
          </w:p>
          <w:p w14:paraId="24D60FFA" w14:textId="77777777" w:rsidR="00245300" w:rsidRPr="00EC20A0" w:rsidRDefault="00F17249">
            <w:pPr>
              <w:pStyle w:val="TableParagraph"/>
              <w:ind w:left="107"/>
              <w:rPr>
                <w:sz w:val="18"/>
              </w:rPr>
            </w:pPr>
            <w:r w:rsidRPr="00EC20A0">
              <w:rPr>
                <w:sz w:val="18"/>
              </w:rPr>
              <w:t>(See</w:t>
            </w:r>
            <w:r w:rsidRPr="00EC20A0">
              <w:rPr>
                <w:spacing w:val="-4"/>
                <w:sz w:val="18"/>
              </w:rPr>
              <w:t xml:space="preserve"> </w:t>
            </w:r>
            <w:r w:rsidRPr="00EC20A0">
              <w:rPr>
                <w:sz w:val="18"/>
              </w:rPr>
              <w:t>footnotes</w:t>
            </w:r>
            <w:r w:rsidRPr="00EC20A0">
              <w:rPr>
                <w:spacing w:val="-3"/>
                <w:sz w:val="18"/>
              </w:rPr>
              <w:t xml:space="preserve"> </w:t>
            </w:r>
            <w:r w:rsidRPr="00EC20A0">
              <w:rPr>
                <w:spacing w:val="-5"/>
                <w:sz w:val="18"/>
              </w:rPr>
              <w:t>23</w:t>
            </w:r>
          </w:p>
          <w:p w14:paraId="24D60FFB" w14:textId="77777777" w:rsidR="00245300" w:rsidRPr="00EC20A0" w:rsidRDefault="00F17249">
            <w:pPr>
              <w:pStyle w:val="TableParagraph"/>
              <w:spacing w:before="1"/>
              <w:ind w:left="107"/>
              <w:rPr>
                <w:sz w:val="18"/>
              </w:rPr>
            </w:pPr>
            <w:r w:rsidRPr="00EC20A0">
              <w:rPr>
                <w:sz w:val="18"/>
              </w:rPr>
              <w:t>through</w:t>
            </w:r>
            <w:r w:rsidRPr="00EC20A0">
              <w:rPr>
                <w:spacing w:val="-3"/>
                <w:sz w:val="18"/>
              </w:rPr>
              <w:t xml:space="preserve"> </w:t>
            </w:r>
            <w:r w:rsidRPr="00EC20A0">
              <w:rPr>
                <w:sz w:val="18"/>
              </w:rPr>
              <w:t>27</w:t>
            </w:r>
            <w:r w:rsidRPr="00EC20A0">
              <w:rPr>
                <w:spacing w:val="-2"/>
                <w:sz w:val="18"/>
              </w:rPr>
              <w:t xml:space="preserve"> below.)</w:t>
            </w:r>
          </w:p>
        </w:tc>
        <w:tc>
          <w:tcPr>
            <w:tcW w:w="2231" w:type="dxa"/>
            <w:tcBorders>
              <w:left w:val="single" w:sz="4" w:space="0" w:color="000000"/>
              <w:bottom w:val="single" w:sz="4" w:space="0" w:color="000000"/>
              <w:right w:val="single" w:sz="4" w:space="0" w:color="000000"/>
            </w:tcBorders>
          </w:tcPr>
          <w:p w14:paraId="24D60FFC" w14:textId="77777777" w:rsidR="00245300" w:rsidRPr="00EC20A0" w:rsidRDefault="00F17249">
            <w:pPr>
              <w:pStyle w:val="TableParagraph"/>
              <w:spacing w:before="144"/>
              <w:ind w:left="108"/>
              <w:rPr>
                <w:sz w:val="18"/>
              </w:rPr>
            </w:pPr>
            <w:r w:rsidRPr="00EC20A0">
              <w:rPr>
                <w:sz w:val="18"/>
              </w:rPr>
              <w:t>[Document the control activities</w:t>
            </w:r>
            <w:r w:rsidRPr="00EC20A0">
              <w:rPr>
                <w:spacing w:val="-13"/>
                <w:sz w:val="18"/>
              </w:rPr>
              <w:t xml:space="preserve"> </w:t>
            </w:r>
            <w:r w:rsidRPr="00EC20A0">
              <w:rPr>
                <w:sz w:val="18"/>
              </w:rPr>
              <w:t>that</w:t>
            </w:r>
            <w:r w:rsidRPr="00EC20A0">
              <w:rPr>
                <w:spacing w:val="-12"/>
                <w:sz w:val="18"/>
              </w:rPr>
              <w:t xml:space="preserve"> </w:t>
            </w:r>
            <w:r w:rsidRPr="00EC20A0">
              <w:rPr>
                <w:sz w:val="18"/>
              </w:rPr>
              <w:t>the</w:t>
            </w:r>
            <w:r w:rsidRPr="00EC20A0">
              <w:rPr>
                <w:spacing w:val="-13"/>
                <w:sz w:val="18"/>
              </w:rPr>
              <w:t xml:space="preserve"> </w:t>
            </w:r>
            <w:r w:rsidRPr="00EC20A0">
              <w:rPr>
                <w:sz w:val="18"/>
              </w:rPr>
              <w:t xml:space="preserve">entity used to achieve the </w:t>
            </w:r>
            <w:r w:rsidRPr="00EC20A0">
              <w:rPr>
                <w:spacing w:val="-2"/>
                <w:sz w:val="18"/>
              </w:rPr>
              <w:t>objective.]</w:t>
            </w:r>
          </w:p>
        </w:tc>
        <w:tc>
          <w:tcPr>
            <w:tcW w:w="1524" w:type="dxa"/>
            <w:tcBorders>
              <w:left w:val="single" w:sz="4" w:space="0" w:color="000000"/>
              <w:bottom w:val="single" w:sz="4" w:space="0" w:color="000000"/>
              <w:right w:val="single" w:sz="4" w:space="0" w:color="000000"/>
            </w:tcBorders>
          </w:tcPr>
          <w:p w14:paraId="24D60FFD" w14:textId="77777777" w:rsidR="00245300" w:rsidRPr="00EC20A0" w:rsidRDefault="00F17249">
            <w:pPr>
              <w:pStyle w:val="TableParagraph"/>
              <w:spacing w:before="144"/>
              <w:ind w:left="109" w:right="337"/>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496" w:type="dxa"/>
            <w:tcBorders>
              <w:left w:val="single" w:sz="4" w:space="0" w:color="000000"/>
              <w:bottom w:val="single" w:sz="4" w:space="0" w:color="000000"/>
              <w:right w:val="single" w:sz="4" w:space="0" w:color="000000"/>
            </w:tcBorders>
          </w:tcPr>
          <w:p w14:paraId="24D60FFE" w14:textId="77777777" w:rsidR="00245300" w:rsidRPr="00EC20A0" w:rsidRDefault="00F17249">
            <w:pPr>
              <w:pStyle w:val="TableParagraph"/>
              <w:spacing w:before="143"/>
              <w:ind w:left="110"/>
              <w:rPr>
                <w:sz w:val="18"/>
              </w:rPr>
            </w:pPr>
            <w:r w:rsidRPr="00EC20A0">
              <w:rPr>
                <w:sz w:val="18"/>
              </w:rPr>
              <w:t xml:space="preserve">[Indicate yes or no; include reference to </w:t>
            </w:r>
            <w:r w:rsidRPr="00EC20A0">
              <w:rPr>
                <w:spacing w:val="-2"/>
                <w:sz w:val="18"/>
              </w:rPr>
              <w:t>supporting documentation.]</w:t>
            </w:r>
          </w:p>
        </w:tc>
        <w:tc>
          <w:tcPr>
            <w:tcW w:w="2185" w:type="dxa"/>
            <w:tcBorders>
              <w:left w:val="single" w:sz="4" w:space="0" w:color="000000"/>
              <w:bottom w:val="single" w:sz="4" w:space="0" w:color="000000"/>
            </w:tcBorders>
          </w:tcPr>
          <w:p w14:paraId="24D60FFF" w14:textId="77777777" w:rsidR="00245300" w:rsidRPr="00EC20A0" w:rsidRDefault="00F17249">
            <w:pPr>
              <w:pStyle w:val="TableParagraph"/>
              <w:spacing w:before="143"/>
              <w:ind w:left="110" w:right="3"/>
              <w:rPr>
                <w:sz w:val="18"/>
              </w:rPr>
            </w:pPr>
            <w:r w:rsidRPr="00EC20A0">
              <w:rPr>
                <w:sz w:val="18"/>
              </w:rPr>
              <w:t>[Indicate yes or no; include</w:t>
            </w:r>
            <w:r w:rsidRPr="00EC20A0">
              <w:rPr>
                <w:spacing w:val="-15"/>
                <w:sz w:val="18"/>
              </w:rPr>
              <w:t xml:space="preserve"> </w:t>
            </w:r>
            <w:r w:rsidRPr="00EC20A0">
              <w:rPr>
                <w:sz w:val="18"/>
              </w:rPr>
              <w:t>reference</w:t>
            </w:r>
            <w:r w:rsidRPr="00EC20A0">
              <w:rPr>
                <w:spacing w:val="-12"/>
                <w:sz w:val="18"/>
              </w:rPr>
              <w:t xml:space="preserve"> </w:t>
            </w:r>
            <w:r w:rsidRPr="00EC20A0">
              <w:rPr>
                <w:sz w:val="18"/>
              </w:rPr>
              <w:t xml:space="preserve">to </w:t>
            </w:r>
            <w:r w:rsidRPr="00EC20A0">
              <w:rPr>
                <w:spacing w:val="-2"/>
                <w:sz w:val="18"/>
              </w:rPr>
              <w:t>supporting documentation.]</w:t>
            </w:r>
          </w:p>
          <w:p w14:paraId="24D61000" w14:textId="77777777" w:rsidR="00245300" w:rsidRPr="00EC20A0" w:rsidRDefault="00F17249">
            <w:pPr>
              <w:pStyle w:val="TableParagraph"/>
              <w:spacing w:before="144"/>
              <w:ind w:left="110" w:right="3"/>
              <w:rPr>
                <w:sz w:val="18"/>
              </w:rPr>
            </w:pPr>
            <w:r w:rsidRPr="00EC20A0">
              <w:rPr>
                <w:sz w:val="18"/>
              </w:rPr>
              <w:t>See Compliance Audit Procedures, FAM 805 steps</w:t>
            </w:r>
            <w:r w:rsidRPr="00EC20A0">
              <w:rPr>
                <w:spacing w:val="-8"/>
                <w:sz w:val="18"/>
              </w:rPr>
              <w:t xml:space="preserve"> </w:t>
            </w:r>
            <w:r w:rsidRPr="00EC20A0">
              <w:rPr>
                <w:sz w:val="18"/>
              </w:rPr>
              <w:t>3</w:t>
            </w:r>
            <w:r w:rsidRPr="00EC20A0">
              <w:rPr>
                <w:spacing w:val="-9"/>
                <w:sz w:val="18"/>
              </w:rPr>
              <w:t xml:space="preserve"> </w:t>
            </w:r>
            <w:r w:rsidRPr="00EC20A0">
              <w:rPr>
                <w:sz w:val="18"/>
              </w:rPr>
              <w:t>(a),</w:t>
            </w:r>
            <w:r w:rsidRPr="00EC20A0">
              <w:rPr>
                <w:spacing w:val="-8"/>
                <w:sz w:val="18"/>
              </w:rPr>
              <w:t xml:space="preserve"> </w:t>
            </w:r>
            <w:r w:rsidRPr="00EC20A0">
              <w:rPr>
                <w:sz w:val="18"/>
              </w:rPr>
              <w:t>(b),</w:t>
            </w:r>
            <w:r w:rsidRPr="00EC20A0">
              <w:rPr>
                <w:spacing w:val="-8"/>
                <w:sz w:val="18"/>
              </w:rPr>
              <w:t xml:space="preserve"> </w:t>
            </w:r>
            <w:r w:rsidRPr="00EC20A0">
              <w:rPr>
                <w:sz w:val="18"/>
              </w:rPr>
              <w:t>and</w:t>
            </w:r>
            <w:r w:rsidRPr="00EC20A0">
              <w:rPr>
                <w:spacing w:val="-9"/>
                <w:sz w:val="18"/>
              </w:rPr>
              <w:t xml:space="preserve"> </w:t>
            </w:r>
            <w:r w:rsidRPr="00EC20A0">
              <w:rPr>
                <w:sz w:val="18"/>
              </w:rPr>
              <w:t>(c).</w:t>
            </w:r>
          </w:p>
        </w:tc>
      </w:tr>
    </w:tbl>
    <w:p w14:paraId="24D61002" w14:textId="77777777" w:rsidR="00245300" w:rsidRPr="00EC20A0" w:rsidRDefault="00F17249">
      <w:pPr>
        <w:pStyle w:val="BodyText"/>
        <w:spacing w:before="6"/>
        <w:rPr>
          <w:sz w:val="20"/>
        </w:rPr>
      </w:pPr>
      <w:r w:rsidRPr="00EC20A0">
        <w:rPr>
          <w:noProof/>
        </w:rPr>
        <mc:AlternateContent>
          <mc:Choice Requires="wps">
            <w:drawing>
              <wp:anchor distT="0" distB="0" distL="0" distR="0" simplePos="0" relativeHeight="487651840" behindDoc="1" locked="0" layoutInCell="1" allowOverlap="1" wp14:anchorId="24D62BB7" wp14:editId="24D62BB8">
                <wp:simplePos x="0" y="0"/>
                <wp:positionH relativeFrom="page">
                  <wp:posOffset>685800</wp:posOffset>
                </wp:positionH>
                <wp:positionV relativeFrom="paragraph">
                  <wp:posOffset>165233</wp:posOffset>
                </wp:positionV>
                <wp:extent cx="1828800" cy="6985"/>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D8332" id="Graphic 495" o:spid="_x0000_s1026" style="position:absolute;margin-left:54pt;margin-top:13pt;width:2in;height:.55pt;z-index:-156646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" path="m1828800,l,,,6857r1828800,l1828800,xe" fillcolor="black" stroked="f">
                <v:path arrowok="t"/>
                <w10:wrap type="topAndBottom" anchorx="page"/>
              </v:shape>
            </w:pict>
          </mc:Fallback>
        </mc:AlternateContent>
      </w:r>
    </w:p>
    <w:p w14:paraId="24D61003" w14:textId="77777777" w:rsidR="00245300" w:rsidRPr="00EC20A0" w:rsidRDefault="00F17249">
      <w:pPr>
        <w:spacing w:before="216" w:line="242" w:lineRule="auto"/>
        <w:ind w:left="120" w:right="181" w:hanging="1"/>
        <w:rPr>
          <w:sz w:val="18"/>
        </w:rPr>
      </w:pPr>
      <w:r w:rsidRPr="00EC20A0">
        <w:rPr>
          <w:position w:val="7"/>
          <w:sz w:val="14"/>
        </w:rPr>
        <w:t>24</w:t>
      </w:r>
      <w:r w:rsidRPr="00EC20A0">
        <w:rPr>
          <w:sz w:val="18"/>
        </w:rPr>
        <w:t xml:space="preserve">Under the Federal Debt Collection Authorities, a debt is defined as a nontax claim of the U.S. government for money or property from a nonfederal party that has been determined by an appropriate entity official to be due to the U.S. </w:t>
      </w:r>
      <w:r w:rsidRPr="00EC20A0">
        <w:rPr>
          <w:sz w:val="18"/>
        </w:rPr>
        <w:t>government. 31 U.S.C. § 3701(b). This definition excludes amounts owed to an entity from another</w:t>
      </w:r>
      <w:r w:rsidRPr="00EC20A0">
        <w:rPr>
          <w:spacing w:val="-2"/>
          <w:sz w:val="18"/>
        </w:rPr>
        <w:t xml:space="preserve"> </w:t>
      </w:r>
      <w:r w:rsidRPr="00EC20A0">
        <w:rPr>
          <w:sz w:val="18"/>
        </w:rPr>
        <w:t>federal</w:t>
      </w:r>
      <w:r w:rsidRPr="00EC20A0">
        <w:rPr>
          <w:spacing w:val="-1"/>
          <w:sz w:val="18"/>
        </w:rPr>
        <w:t xml:space="preserve"> </w:t>
      </w:r>
      <w:r w:rsidRPr="00EC20A0">
        <w:rPr>
          <w:sz w:val="18"/>
        </w:rPr>
        <w:t>entity;</w:t>
      </w:r>
      <w:r w:rsidRPr="00EC20A0">
        <w:rPr>
          <w:spacing w:val="-2"/>
          <w:sz w:val="18"/>
        </w:rPr>
        <w:t xml:space="preserve"> </w:t>
      </w:r>
      <w:r w:rsidRPr="00EC20A0">
        <w:rPr>
          <w:sz w:val="18"/>
        </w:rPr>
        <w:t>however,</w:t>
      </w:r>
      <w:r w:rsidRPr="00EC20A0">
        <w:rPr>
          <w:spacing w:val="-2"/>
          <w:sz w:val="18"/>
        </w:rPr>
        <w:t xml:space="preserve"> </w:t>
      </w:r>
      <w:r w:rsidRPr="00EC20A0">
        <w:rPr>
          <w:sz w:val="18"/>
        </w:rPr>
        <w:t>it</w:t>
      </w:r>
      <w:r w:rsidRPr="00EC20A0">
        <w:rPr>
          <w:spacing w:val="-2"/>
          <w:sz w:val="18"/>
        </w:rPr>
        <w:t xml:space="preserve"> </w:t>
      </w:r>
      <w:r w:rsidRPr="00EC20A0">
        <w:rPr>
          <w:sz w:val="18"/>
        </w:rPr>
        <w:t>includes</w:t>
      </w:r>
      <w:r w:rsidRPr="00EC20A0">
        <w:rPr>
          <w:spacing w:val="-2"/>
          <w:sz w:val="18"/>
        </w:rPr>
        <w:t xml:space="preserve"> </w:t>
      </w:r>
      <w:r w:rsidRPr="00EC20A0">
        <w:rPr>
          <w:sz w:val="18"/>
        </w:rPr>
        <w:t>amounts</w:t>
      </w:r>
      <w:r w:rsidRPr="00EC20A0">
        <w:rPr>
          <w:spacing w:val="-2"/>
          <w:sz w:val="18"/>
        </w:rPr>
        <w:t xml:space="preserve"> </w:t>
      </w:r>
      <w:r w:rsidRPr="00EC20A0">
        <w:rPr>
          <w:sz w:val="18"/>
        </w:rPr>
        <w:t>owed</w:t>
      </w:r>
      <w:r w:rsidRPr="00EC20A0">
        <w:rPr>
          <w:spacing w:val="-3"/>
          <w:sz w:val="18"/>
        </w:rPr>
        <w:t xml:space="preserve"> </w:t>
      </w:r>
      <w:r w:rsidRPr="00EC20A0">
        <w:rPr>
          <w:sz w:val="18"/>
        </w:rPr>
        <w:t>for</w:t>
      </w:r>
      <w:r w:rsidRPr="00EC20A0">
        <w:rPr>
          <w:spacing w:val="-2"/>
          <w:sz w:val="18"/>
        </w:rPr>
        <w:t xml:space="preserve"> </w:t>
      </w:r>
      <w:r w:rsidRPr="00EC20A0">
        <w:rPr>
          <w:sz w:val="18"/>
        </w:rPr>
        <w:t>loans</w:t>
      </w:r>
      <w:r w:rsidRPr="00EC20A0">
        <w:rPr>
          <w:spacing w:val="-2"/>
          <w:sz w:val="18"/>
        </w:rPr>
        <w:t xml:space="preserve"> </w:t>
      </w:r>
      <w:r w:rsidRPr="00EC20A0">
        <w:rPr>
          <w:sz w:val="18"/>
        </w:rPr>
        <w:t>insured</w:t>
      </w:r>
      <w:r w:rsidRPr="00EC20A0">
        <w:rPr>
          <w:spacing w:val="-3"/>
          <w:sz w:val="18"/>
        </w:rPr>
        <w:t xml:space="preserve"> </w:t>
      </w:r>
      <w:r w:rsidRPr="00EC20A0">
        <w:rPr>
          <w:sz w:val="18"/>
        </w:rPr>
        <w:t>or</w:t>
      </w:r>
      <w:r w:rsidRPr="00EC20A0">
        <w:rPr>
          <w:spacing w:val="-2"/>
          <w:sz w:val="18"/>
        </w:rPr>
        <w:t xml:space="preserve"> </w:t>
      </w:r>
      <w:r w:rsidRPr="00EC20A0">
        <w:rPr>
          <w:sz w:val="18"/>
        </w:rPr>
        <w:t>guaranteed</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federal</w:t>
      </w:r>
      <w:r w:rsidRPr="00EC20A0">
        <w:rPr>
          <w:spacing w:val="-2"/>
          <w:sz w:val="18"/>
        </w:rPr>
        <w:t xml:space="preserve"> </w:t>
      </w:r>
      <w:r w:rsidRPr="00EC20A0">
        <w:rPr>
          <w:sz w:val="18"/>
        </w:rPr>
        <w:t>government,</w:t>
      </w:r>
      <w:r w:rsidRPr="00EC20A0">
        <w:rPr>
          <w:spacing w:val="-2"/>
          <w:sz w:val="18"/>
        </w:rPr>
        <w:t xml:space="preserve"> </w:t>
      </w:r>
      <w:r w:rsidRPr="00EC20A0">
        <w:rPr>
          <w:sz w:val="18"/>
        </w:rPr>
        <w:t>overpayments,</w:t>
      </w:r>
      <w:r w:rsidRPr="00EC20A0">
        <w:rPr>
          <w:spacing w:val="-1"/>
          <w:sz w:val="18"/>
        </w:rPr>
        <w:t xml:space="preserve"> </w:t>
      </w:r>
      <w:r w:rsidRPr="00EC20A0">
        <w:rPr>
          <w:sz w:val="18"/>
        </w:rPr>
        <w:t>and</w:t>
      </w:r>
      <w:r w:rsidRPr="00EC20A0">
        <w:rPr>
          <w:spacing w:val="-3"/>
          <w:sz w:val="18"/>
        </w:rPr>
        <w:t xml:space="preserve"> </w:t>
      </w:r>
      <w:r w:rsidRPr="00EC20A0">
        <w:rPr>
          <w:sz w:val="18"/>
        </w:rPr>
        <w:t>fines</w:t>
      </w:r>
      <w:r w:rsidRPr="00EC20A0">
        <w:rPr>
          <w:spacing w:val="-1"/>
          <w:sz w:val="18"/>
        </w:rPr>
        <w:t xml:space="preserve"> </w:t>
      </w:r>
      <w:r w:rsidRPr="00EC20A0">
        <w:rPr>
          <w:sz w:val="18"/>
        </w:rPr>
        <w:t>or penalties</w:t>
      </w:r>
      <w:r w:rsidRPr="00EC20A0">
        <w:rPr>
          <w:spacing w:val="-2"/>
          <w:sz w:val="18"/>
        </w:rPr>
        <w:t xml:space="preserve"> </w:t>
      </w:r>
      <w:r w:rsidRPr="00EC20A0">
        <w:rPr>
          <w:sz w:val="18"/>
        </w:rPr>
        <w:t>assessed by the entity. 31 U.S.C. § 3701(b), (c). In this law, the term debt is used interchangeably with the term claim, and debts covered by this law do not apply to amounts payable under the Internal Revenue Code, the Social Security Act, or tariff laws. 31 U.S.C. § 3701(b), (d).</w:t>
      </w:r>
    </w:p>
    <w:p w14:paraId="24D61004" w14:textId="77777777" w:rsidR="00245300" w:rsidRPr="00EC20A0" w:rsidRDefault="00245300">
      <w:pPr>
        <w:spacing w:line="242" w:lineRule="auto"/>
        <w:rPr>
          <w:sz w:val="18"/>
        </w:rPr>
        <w:sectPr w:rsidR="00245300" w:rsidRPr="00EC20A0">
          <w:headerReference w:type="default" r:id="rId107"/>
          <w:footerReference w:type="default" r:id="rId108"/>
          <w:pgSz w:w="15840" w:h="12240" w:orient="landscape"/>
          <w:pgMar w:top="1340" w:right="1340" w:bottom="940" w:left="960" w:header="721" w:footer="742" w:gutter="0"/>
          <w:pgNumType w:start="1"/>
          <w:cols w:space="720"/>
        </w:sectPr>
      </w:pPr>
    </w:p>
    <w:p w14:paraId="24D61005" w14:textId="77777777" w:rsidR="00245300" w:rsidRPr="00EC20A0" w:rsidRDefault="00245300">
      <w:pPr>
        <w:pStyle w:val="BodyText"/>
        <w:rPr>
          <w:sz w:val="20"/>
        </w:rPr>
      </w:pPr>
    </w:p>
    <w:p w14:paraId="24D61006" w14:textId="77777777" w:rsidR="00245300" w:rsidRPr="00EC20A0" w:rsidRDefault="00245300">
      <w:pPr>
        <w:pStyle w:val="BodyText"/>
        <w:rPr>
          <w:sz w:val="20"/>
        </w:rPr>
      </w:pPr>
    </w:p>
    <w:p w14:paraId="24D61007" w14:textId="77777777" w:rsidR="00245300" w:rsidRPr="00EC20A0" w:rsidRDefault="00245300">
      <w:pPr>
        <w:pStyle w:val="BodyText"/>
        <w:rPr>
          <w:sz w:val="20"/>
        </w:rPr>
      </w:pPr>
    </w:p>
    <w:p w14:paraId="24D61008" w14:textId="77777777" w:rsidR="00245300" w:rsidRPr="00EC20A0" w:rsidRDefault="00245300">
      <w:pPr>
        <w:pStyle w:val="BodyText"/>
        <w:rPr>
          <w:sz w:val="20"/>
        </w:rPr>
      </w:pPr>
    </w:p>
    <w:p w14:paraId="24D61009" w14:textId="77777777" w:rsidR="00245300" w:rsidRPr="00EC20A0" w:rsidRDefault="00245300">
      <w:pPr>
        <w:pStyle w:val="BodyText"/>
        <w:rPr>
          <w:sz w:val="20"/>
        </w:rPr>
      </w:pPr>
    </w:p>
    <w:p w14:paraId="24D6100A" w14:textId="77777777" w:rsidR="00245300" w:rsidRPr="00EC20A0" w:rsidRDefault="00245300">
      <w:pPr>
        <w:pStyle w:val="BodyText"/>
        <w:rPr>
          <w:sz w:val="20"/>
        </w:rPr>
      </w:pPr>
    </w:p>
    <w:p w14:paraId="24D6100B" w14:textId="77777777" w:rsidR="00245300" w:rsidRPr="00EC20A0" w:rsidRDefault="00245300">
      <w:pPr>
        <w:pStyle w:val="BodyText"/>
        <w:rPr>
          <w:sz w:val="20"/>
        </w:rPr>
      </w:pPr>
    </w:p>
    <w:p w14:paraId="24D6100C" w14:textId="77777777" w:rsidR="00245300" w:rsidRPr="00EC20A0" w:rsidRDefault="00245300">
      <w:pPr>
        <w:pStyle w:val="BodyText"/>
        <w:rPr>
          <w:sz w:val="20"/>
        </w:rPr>
      </w:pPr>
    </w:p>
    <w:p w14:paraId="24D6100D" w14:textId="77777777" w:rsidR="00245300" w:rsidRPr="00EC20A0" w:rsidRDefault="00245300">
      <w:pPr>
        <w:pStyle w:val="BodyText"/>
        <w:rPr>
          <w:sz w:val="20"/>
        </w:rPr>
      </w:pPr>
    </w:p>
    <w:p w14:paraId="24D6100E" w14:textId="77777777" w:rsidR="00245300" w:rsidRPr="00EC20A0" w:rsidRDefault="00245300">
      <w:pPr>
        <w:pStyle w:val="BodyText"/>
        <w:rPr>
          <w:sz w:val="20"/>
        </w:rPr>
      </w:pPr>
    </w:p>
    <w:p w14:paraId="24D6100F" w14:textId="77777777" w:rsidR="00245300" w:rsidRPr="00EC20A0" w:rsidRDefault="00245300">
      <w:pPr>
        <w:pStyle w:val="BodyText"/>
        <w:rPr>
          <w:sz w:val="20"/>
        </w:rPr>
      </w:pPr>
    </w:p>
    <w:p w14:paraId="24D61010" w14:textId="77777777" w:rsidR="00245300" w:rsidRPr="00EC20A0" w:rsidRDefault="00245300">
      <w:pPr>
        <w:pStyle w:val="BodyText"/>
        <w:rPr>
          <w:sz w:val="20"/>
        </w:rPr>
      </w:pPr>
    </w:p>
    <w:p w14:paraId="24D61011" w14:textId="77777777" w:rsidR="00245300" w:rsidRPr="00EC20A0" w:rsidRDefault="00245300">
      <w:pPr>
        <w:pStyle w:val="BodyText"/>
        <w:rPr>
          <w:sz w:val="20"/>
        </w:rPr>
      </w:pPr>
    </w:p>
    <w:p w14:paraId="24D61012" w14:textId="77777777" w:rsidR="00245300" w:rsidRPr="00EC20A0" w:rsidRDefault="00245300">
      <w:pPr>
        <w:pStyle w:val="BodyText"/>
        <w:rPr>
          <w:sz w:val="20"/>
        </w:rPr>
      </w:pPr>
    </w:p>
    <w:p w14:paraId="24D61013" w14:textId="77777777" w:rsidR="00245300" w:rsidRPr="00EC20A0" w:rsidRDefault="00245300">
      <w:pPr>
        <w:pStyle w:val="BodyText"/>
        <w:rPr>
          <w:sz w:val="20"/>
        </w:rPr>
      </w:pPr>
    </w:p>
    <w:p w14:paraId="24D61014" w14:textId="77777777" w:rsidR="00245300" w:rsidRPr="00EC20A0" w:rsidRDefault="00245300">
      <w:pPr>
        <w:pStyle w:val="BodyText"/>
        <w:rPr>
          <w:sz w:val="20"/>
        </w:rPr>
      </w:pPr>
    </w:p>
    <w:p w14:paraId="24D61015" w14:textId="77777777" w:rsidR="00245300" w:rsidRPr="00EC20A0" w:rsidRDefault="00245300">
      <w:pPr>
        <w:pStyle w:val="BodyText"/>
        <w:rPr>
          <w:sz w:val="20"/>
        </w:rPr>
      </w:pPr>
    </w:p>
    <w:p w14:paraId="24D61016" w14:textId="77777777" w:rsidR="00245300" w:rsidRPr="00EC20A0" w:rsidRDefault="00245300">
      <w:pPr>
        <w:pStyle w:val="BodyText"/>
        <w:rPr>
          <w:sz w:val="20"/>
        </w:rPr>
      </w:pPr>
    </w:p>
    <w:p w14:paraId="24D61017" w14:textId="77777777" w:rsidR="00245300" w:rsidRPr="00EC20A0" w:rsidRDefault="00245300">
      <w:pPr>
        <w:pStyle w:val="BodyText"/>
        <w:rPr>
          <w:sz w:val="20"/>
        </w:rPr>
      </w:pPr>
    </w:p>
    <w:p w14:paraId="24D61018" w14:textId="77777777" w:rsidR="00245300" w:rsidRPr="00EC20A0" w:rsidRDefault="00245300">
      <w:pPr>
        <w:pStyle w:val="BodyText"/>
        <w:rPr>
          <w:sz w:val="20"/>
        </w:rPr>
      </w:pPr>
    </w:p>
    <w:p w14:paraId="24D61019" w14:textId="77777777" w:rsidR="00245300" w:rsidRPr="00EC20A0" w:rsidRDefault="00245300">
      <w:pPr>
        <w:pStyle w:val="BodyText"/>
        <w:rPr>
          <w:sz w:val="20"/>
        </w:rPr>
      </w:pPr>
    </w:p>
    <w:p w14:paraId="24D6101A" w14:textId="77777777" w:rsidR="00245300" w:rsidRPr="00EC20A0" w:rsidRDefault="00245300">
      <w:pPr>
        <w:pStyle w:val="BodyText"/>
        <w:rPr>
          <w:sz w:val="20"/>
        </w:rPr>
      </w:pPr>
    </w:p>
    <w:p w14:paraId="24D6101B" w14:textId="77777777" w:rsidR="00245300" w:rsidRPr="00EC20A0" w:rsidRDefault="00245300">
      <w:pPr>
        <w:pStyle w:val="BodyText"/>
        <w:rPr>
          <w:sz w:val="20"/>
        </w:rPr>
      </w:pPr>
    </w:p>
    <w:p w14:paraId="24D6101C" w14:textId="77777777" w:rsidR="00245300" w:rsidRPr="00EC20A0" w:rsidRDefault="00245300">
      <w:pPr>
        <w:pStyle w:val="BodyText"/>
        <w:rPr>
          <w:sz w:val="20"/>
        </w:rPr>
      </w:pPr>
    </w:p>
    <w:p w14:paraId="24D6101D" w14:textId="77777777" w:rsidR="00245300" w:rsidRPr="00EC20A0" w:rsidRDefault="00245300">
      <w:pPr>
        <w:pStyle w:val="BodyText"/>
        <w:rPr>
          <w:sz w:val="20"/>
        </w:rPr>
      </w:pPr>
    </w:p>
    <w:p w14:paraId="24D6101E" w14:textId="77777777" w:rsidR="00245300" w:rsidRPr="00EC20A0" w:rsidRDefault="00245300">
      <w:pPr>
        <w:pStyle w:val="BodyText"/>
        <w:rPr>
          <w:sz w:val="20"/>
        </w:rPr>
      </w:pPr>
    </w:p>
    <w:p w14:paraId="24D6101F" w14:textId="77777777" w:rsidR="00245300" w:rsidRPr="00EC20A0" w:rsidRDefault="00245300">
      <w:pPr>
        <w:pStyle w:val="BodyText"/>
        <w:spacing w:before="29"/>
        <w:rPr>
          <w:sz w:val="20"/>
        </w:rPr>
      </w:pPr>
    </w:p>
    <w:p w14:paraId="24D61020" w14:textId="77777777" w:rsidR="00245300" w:rsidRPr="00EC20A0" w:rsidRDefault="00F17249">
      <w:pPr>
        <w:pStyle w:val="BodyText"/>
        <w:spacing w:line="20" w:lineRule="exact"/>
        <w:ind w:left="120"/>
        <w:rPr>
          <w:sz w:val="2"/>
        </w:rPr>
      </w:pPr>
      <w:r w:rsidRPr="00EC20A0">
        <w:rPr>
          <w:noProof/>
          <w:sz w:val="2"/>
        </w:rPr>
        <mc:AlternateContent>
          <mc:Choice Requires="wpg">
            <w:drawing>
              <wp:inline distT="0" distB="0" distL="0" distR="0" wp14:anchorId="24D62BB9" wp14:editId="24D62BBA">
                <wp:extent cx="1828800" cy="6985"/>
                <wp:effectExtent l="0" t="0" r="0" b="0"/>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497" name="Graphic 497"/>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F218E8" id="Group 496"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">
                <v:shape id="Graphic 497" o:spid="_x0000_s1027" style="position:absolute;width:18288;height:69;visibility:visible;mso-wrap-style:square;v-text-anchor:top" coordsize="1828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" path="m1828800,l,,,6857r1828800,l1828800,xe" fillcolor="black" stroked="f">
                  <v:path arrowok="t"/>
                </v:shape>
                <w10:anchorlock/>
              </v:group>
            </w:pict>
          </mc:Fallback>
        </mc:AlternateContent>
      </w:r>
    </w:p>
    <w:p w14:paraId="24D61021" w14:textId="77777777" w:rsidR="00245300" w:rsidRPr="00EC20A0" w:rsidRDefault="00245300">
      <w:pPr>
        <w:pStyle w:val="BodyText"/>
        <w:rPr>
          <w:sz w:val="18"/>
        </w:rPr>
      </w:pPr>
    </w:p>
    <w:p w14:paraId="24D61022" w14:textId="77777777" w:rsidR="00245300" w:rsidRPr="00EC20A0" w:rsidRDefault="00F17249">
      <w:pPr>
        <w:ind w:left="120"/>
        <w:rPr>
          <w:sz w:val="18"/>
        </w:rPr>
      </w:pPr>
      <w:r w:rsidRPr="00EC20A0">
        <w:rPr>
          <w:position w:val="7"/>
          <w:sz w:val="14"/>
        </w:rPr>
        <w:t>25</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shall</w:t>
      </w:r>
      <w:r w:rsidRPr="00EC20A0">
        <w:rPr>
          <w:spacing w:val="-1"/>
          <w:sz w:val="18"/>
        </w:rPr>
        <w:t xml:space="preserve"> </w:t>
      </w:r>
      <w:r w:rsidRPr="00EC20A0">
        <w:rPr>
          <w:sz w:val="18"/>
        </w:rPr>
        <w:t>waive</w:t>
      </w:r>
      <w:r w:rsidRPr="00EC20A0">
        <w:rPr>
          <w:spacing w:val="-3"/>
          <w:sz w:val="18"/>
        </w:rPr>
        <w:t xml:space="preserve"> </w:t>
      </w:r>
      <w:r w:rsidRPr="00EC20A0">
        <w:rPr>
          <w:sz w:val="18"/>
        </w:rPr>
        <w:t>the</w:t>
      </w:r>
      <w:r w:rsidRPr="00EC20A0">
        <w:rPr>
          <w:spacing w:val="-3"/>
          <w:sz w:val="18"/>
        </w:rPr>
        <w:t xml:space="preserve"> </w:t>
      </w:r>
      <w:r w:rsidRPr="00EC20A0">
        <w:rPr>
          <w:sz w:val="18"/>
        </w:rPr>
        <w:t>collection</w:t>
      </w:r>
      <w:r w:rsidRPr="00EC20A0">
        <w:rPr>
          <w:spacing w:val="-2"/>
          <w:sz w:val="18"/>
        </w:rPr>
        <w:t xml:space="preserve"> </w:t>
      </w:r>
      <w:r w:rsidRPr="00EC20A0">
        <w:rPr>
          <w:sz w:val="18"/>
        </w:rPr>
        <w:t>of</w:t>
      </w:r>
      <w:r w:rsidRPr="00EC20A0">
        <w:rPr>
          <w:spacing w:val="-2"/>
          <w:sz w:val="18"/>
        </w:rPr>
        <w:t xml:space="preserve"> </w:t>
      </w:r>
      <w:r w:rsidRPr="00EC20A0">
        <w:rPr>
          <w:sz w:val="18"/>
        </w:rPr>
        <w:t>interest</w:t>
      </w:r>
      <w:r w:rsidRPr="00EC20A0">
        <w:rPr>
          <w:spacing w:val="-1"/>
          <w:sz w:val="18"/>
        </w:rPr>
        <w:t xml:space="preserve"> </w:t>
      </w:r>
      <w:r w:rsidRPr="00EC20A0">
        <w:rPr>
          <w:sz w:val="18"/>
        </w:rPr>
        <w:t>on</w:t>
      </w:r>
      <w:r w:rsidRPr="00EC20A0">
        <w:rPr>
          <w:spacing w:val="-3"/>
          <w:sz w:val="18"/>
        </w:rPr>
        <w:t xml:space="preserve"> </w:t>
      </w:r>
      <w:r w:rsidRPr="00EC20A0">
        <w:rPr>
          <w:sz w:val="18"/>
        </w:rPr>
        <w:t>a</w:t>
      </w:r>
      <w:r w:rsidRPr="00EC20A0">
        <w:rPr>
          <w:spacing w:val="-3"/>
          <w:sz w:val="18"/>
        </w:rPr>
        <w:t xml:space="preserve"> </w:t>
      </w:r>
      <w:r w:rsidRPr="00EC20A0">
        <w:rPr>
          <w:sz w:val="18"/>
        </w:rPr>
        <w:t>claim</w:t>
      </w:r>
      <w:r w:rsidRPr="00EC20A0">
        <w:rPr>
          <w:spacing w:val="-2"/>
          <w:sz w:val="18"/>
        </w:rPr>
        <w:t xml:space="preserve"> </w:t>
      </w:r>
      <w:r w:rsidRPr="00EC20A0">
        <w:rPr>
          <w:sz w:val="18"/>
        </w:rPr>
        <w:t>(or</w:t>
      </w:r>
      <w:r w:rsidRPr="00EC20A0">
        <w:rPr>
          <w:spacing w:val="-2"/>
          <w:sz w:val="18"/>
        </w:rPr>
        <w:t xml:space="preserve"> </w:t>
      </w:r>
      <w:r w:rsidRPr="00EC20A0">
        <w:rPr>
          <w:sz w:val="18"/>
        </w:rPr>
        <w:t>any</w:t>
      </w:r>
      <w:r w:rsidRPr="00EC20A0">
        <w:rPr>
          <w:spacing w:val="-2"/>
          <w:sz w:val="18"/>
        </w:rPr>
        <w:t xml:space="preserve"> </w:t>
      </w:r>
      <w:r w:rsidRPr="00EC20A0">
        <w:rPr>
          <w:sz w:val="18"/>
        </w:rPr>
        <w:t>portion</w:t>
      </w:r>
      <w:r w:rsidRPr="00EC20A0">
        <w:rPr>
          <w:spacing w:val="-3"/>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claim)</w:t>
      </w:r>
      <w:r w:rsidRPr="00EC20A0">
        <w:rPr>
          <w:spacing w:val="-2"/>
          <w:sz w:val="18"/>
        </w:rPr>
        <w:t xml:space="preserve"> </w:t>
      </w:r>
      <w:r w:rsidRPr="00EC20A0">
        <w:rPr>
          <w:sz w:val="18"/>
        </w:rPr>
        <w:t>that</w:t>
      </w:r>
      <w:r w:rsidRPr="00EC20A0">
        <w:rPr>
          <w:spacing w:val="-1"/>
          <w:sz w:val="18"/>
        </w:rPr>
        <w:t xml:space="preserve"> </w:t>
      </w:r>
      <w:r w:rsidRPr="00EC20A0">
        <w:rPr>
          <w:sz w:val="18"/>
        </w:rPr>
        <w:t>is</w:t>
      </w:r>
      <w:r w:rsidRPr="00EC20A0">
        <w:rPr>
          <w:spacing w:val="-2"/>
          <w:sz w:val="18"/>
        </w:rPr>
        <w:t xml:space="preserve"> </w:t>
      </w:r>
      <w:r w:rsidRPr="00EC20A0">
        <w:rPr>
          <w:sz w:val="18"/>
        </w:rPr>
        <w:t>paid</w:t>
      </w:r>
      <w:r w:rsidRPr="00EC20A0">
        <w:rPr>
          <w:spacing w:val="-3"/>
          <w:sz w:val="18"/>
        </w:rPr>
        <w:t xml:space="preserve"> </w:t>
      </w:r>
      <w:r w:rsidRPr="00EC20A0">
        <w:rPr>
          <w:sz w:val="18"/>
        </w:rPr>
        <w:t>within</w:t>
      </w:r>
      <w:r w:rsidRPr="00EC20A0">
        <w:rPr>
          <w:spacing w:val="-1"/>
          <w:sz w:val="18"/>
        </w:rPr>
        <w:t xml:space="preserve"> </w:t>
      </w:r>
      <w:r w:rsidRPr="00EC20A0">
        <w:rPr>
          <w:sz w:val="18"/>
        </w:rPr>
        <w:t>30</w:t>
      </w:r>
      <w:r w:rsidRPr="00EC20A0">
        <w:rPr>
          <w:spacing w:val="-3"/>
          <w:sz w:val="18"/>
        </w:rPr>
        <w:t xml:space="preserve"> </w:t>
      </w:r>
      <w:r w:rsidRPr="00EC20A0">
        <w:rPr>
          <w:sz w:val="18"/>
        </w:rPr>
        <w:t>days</w:t>
      </w:r>
      <w:r w:rsidRPr="00EC20A0">
        <w:rPr>
          <w:spacing w:val="-2"/>
          <w:sz w:val="18"/>
        </w:rPr>
        <w:t xml:space="preserve"> </w:t>
      </w:r>
      <w:r w:rsidRPr="00EC20A0">
        <w:rPr>
          <w:sz w:val="18"/>
        </w:rPr>
        <w:t>after</w:t>
      </w:r>
      <w:r w:rsidRPr="00EC20A0">
        <w:rPr>
          <w:spacing w:val="-2"/>
          <w:sz w:val="18"/>
        </w:rPr>
        <w:t xml:space="preserve"> </w:t>
      </w:r>
      <w:r w:rsidRPr="00EC20A0">
        <w:rPr>
          <w:sz w:val="18"/>
        </w:rPr>
        <w:t>the</w:t>
      </w:r>
      <w:r w:rsidRPr="00EC20A0">
        <w:rPr>
          <w:spacing w:val="-2"/>
          <w:sz w:val="18"/>
        </w:rPr>
        <w:t xml:space="preserve"> </w:t>
      </w:r>
      <w:r w:rsidRPr="00EC20A0">
        <w:rPr>
          <w:sz w:val="18"/>
        </w:rPr>
        <w:t>date</w:t>
      </w:r>
      <w:r w:rsidRPr="00EC20A0">
        <w:rPr>
          <w:spacing w:val="-1"/>
          <w:sz w:val="18"/>
        </w:rPr>
        <w:t xml:space="preserve"> </w:t>
      </w:r>
      <w:r w:rsidRPr="00EC20A0">
        <w:rPr>
          <w:sz w:val="18"/>
        </w:rPr>
        <w:t>on</w:t>
      </w:r>
      <w:r w:rsidRPr="00EC20A0">
        <w:rPr>
          <w:spacing w:val="-3"/>
          <w:sz w:val="18"/>
        </w:rPr>
        <w:t xml:space="preserve"> </w:t>
      </w:r>
      <w:r w:rsidRPr="00EC20A0">
        <w:rPr>
          <w:sz w:val="18"/>
        </w:rPr>
        <w:t>which</w:t>
      </w:r>
      <w:r w:rsidRPr="00EC20A0">
        <w:rPr>
          <w:spacing w:val="-3"/>
          <w:sz w:val="18"/>
        </w:rPr>
        <w:t xml:space="preserve"> </w:t>
      </w:r>
      <w:r w:rsidRPr="00EC20A0">
        <w:rPr>
          <w:sz w:val="18"/>
        </w:rPr>
        <w:t>interest</w:t>
      </w:r>
      <w:r w:rsidRPr="00EC20A0">
        <w:rPr>
          <w:spacing w:val="-2"/>
          <w:sz w:val="18"/>
        </w:rPr>
        <w:t xml:space="preserve"> </w:t>
      </w:r>
      <w:r w:rsidRPr="00EC20A0">
        <w:rPr>
          <w:sz w:val="18"/>
        </w:rPr>
        <w:t>began</w:t>
      </w:r>
      <w:r w:rsidRPr="00EC20A0">
        <w:rPr>
          <w:spacing w:val="-3"/>
          <w:sz w:val="18"/>
        </w:rPr>
        <w:t xml:space="preserve"> </w:t>
      </w:r>
      <w:r w:rsidRPr="00EC20A0">
        <w:rPr>
          <w:sz w:val="18"/>
        </w:rPr>
        <w:t>to</w:t>
      </w:r>
      <w:r w:rsidRPr="00EC20A0">
        <w:rPr>
          <w:spacing w:val="-3"/>
          <w:sz w:val="18"/>
        </w:rPr>
        <w:t xml:space="preserve"> </w:t>
      </w:r>
      <w:r w:rsidRPr="00EC20A0">
        <w:rPr>
          <w:sz w:val="18"/>
        </w:rPr>
        <w:t>accrue.</w:t>
      </w:r>
      <w:r w:rsidRPr="00EC20A0">
        <w:rPr>
          <w:spacing w:val="-1"/>
          <w:sz w:val="18"/>
        </w:rPr>
        <w:t xml:space="preserve"> </w:t>
      </w:r>
      <w:r w:rsidRPr="00EC20A0">
        <w:rPr>
          <w:spacing w:val="-5"/>
          <w:sz w:val="18"/>
        </w:rPr>
        <w:t>31</w:t>
      </w:r>
    </w:p>
    <w:p w14:paraId="24D61023" w14:textId="77777777" w:rsidR="00245300" w:rsidRPr="00EC20A0" w:rsidRDefault="00F17249">
      <w:pPr>
        <w:spacing w:before="8"/>
        <w:ind w:left="119" w:right="181"/>
        <w:rPr>
          <w:sz w:val="18"/>
        </w:rPr>
      </w:pPr>
      <w:r w:rsidRPr="00EC20A0">
        <w:rPr>
          <w:sz w:val="18"/>
        </w:rPr>
        <w:t>U.S.C.</w:t>
      </w:r>
      <w:r w:rsidRPr="00EC20A0">
        <w:rPr>
          <w:spacing w:val="-2"/>
          <w:sz w:val="18"/>
        </w:rPr>
        <w:t xml:space="preserve"> </w:t>
      </w:r>
      <w:r w:rsidRPr="00EC20A0">
        <w:rPr>
          <w:sz w:val="18"/>
        </w:rPr>
        <w:t>§</w:t>
      </w:r>
      <w:r w:rsidRPr="00EC20A0">
        <w:rPr>
          <w:spacing w:val="-3"/>
          <w:sz w:val="18"/>
        </w:rPr>
        <w:t xml:space="preserve"> </w:t>
      </w:r>
      <w:r w:rsidRPr="00EC20A0">
        <w:rPr>
          <w:sz w:val="18"/>
        </w:rPr>
        <w:t>3717(d).</w:t>
      </w:r>
      <w:r w:rsidRPr="00EC20A0">
        <w:rPr>
          <w:spacing w:val="-2"/>
          <w:sz w:val="18"/>
        </w:rPr>
        <w:t xml:space="preserve"> </w:t>
      </w:r>
      <w:r w:rsidRPr="00EC20A0">
        <w:rPr>
          <w:sz w:val="18"/>
        </w:rPr>
        <w:t>Further,</w:t>
      </w:r>
      <w:r w:rsidRPr="00EC20A0">
        <w:rPr>
          <w:spacing w:val="-2"/>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head</w:t>
      </w:r>
      <w:r w:rsidRPr="00EC20A0">
        <w:rPr>
          <w:spacing w:val="-2"/>
          <w:sz w:val="18"/>
        </w:rPr>
        <w:t xml:space="preserve"> </w:t>
      </w:r>
      <w:r w:rsidRPr="00EC20A0">
        <w:rPr>
          <w:sz w:val="18"/>
        </w:rPr>
        <w:t>may</w:t>
      </w:r>
      <w:r w:rsidRPr="00EC20A0">
        <w:rPr>
          <w:spacing w:val="-2"/>
          <w:sz w:val="18"/>
        </w:rPr>
        <w:t xml:space="preserve"> </w:t>
      </w:r>
      <w:r w:rsidRPr="00EC20A0">
        <w:rPr>
          <w:sz w:val="18"/>
        </w:rPr>
        <w:t>extend</w:t>
      </w:r>
      <w:r w:rsidRPr="00EC20A0">
        <w:rPr>
          <w:spacing w:val="-3"/>
          <w:sz w:val="18"/>
        </w:rPr>
        <w:t xml:space="preserve"> </w:t>
      </w:r>
      <w:r w:rsidRPr="00EC20A0">
        <w:rPr>
          <w:sz w:val="18"/>
        </w:rPr>
        <w:t>this</w:t>
      </w:r>
      <w:r w:rsidRPr="00EC20A0">
        <w:rPr>
          <w:spacing w:val="-2"/>
          <w:sz w:val="18"/>
        </w:rPr>
        <w:t xml:space="preserve"> </w:t>
      </w:r>
      <w:r w:rsidRPr="00EC20A0">
        <w:rPr>
          <w:sz w:val="18"/>
        </w:rPr>
        <w:t>30-day</w:t>
      </w:r>
      <w:r w:rsidRPr="00EC20A0">
        <w:rPr>
          <w:spacing w:val="-2"/>
          <w:sz w:val="18"/>
        </w:rPr>
        <w:t xml:space="preserve"> </w:t>
      </w:r>
      <w:r w:rsidRPr="00EC20A0">
        <w:rPr>
          <w:sz w:val="18"/>
        </w:rPr>
        <w:t>period. 31</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3717(d).</w:t>
      </w:r>
      <w:r w:rsidRPr="00EC20A0">
        <w:rPr>
          <w:spacing w:val="-2"/>
          <w:sz w:val="18"/>
        </w:rPr>
        <w:t xml:space="preserve"> </w:t>
      </w:r>
      <w:r w:rsidRPr="00EC20A0">
        <w:rPr>
          <w:sz w:val="18"/>
        </w:rPr>
        <w:t>Interest</w:t>
      </w:r>
      <w:r w:rsidRPr="00EC20A0">
        <w:rPr>
          <w:spacing w:val="-2"/>
          <w:sz w:val="18"/>
        </w:rPr>
        <w:t xml:space="preserve"> </w:t>
      </w:r>
      <w:r w:rsidRPr="00EC20A0">
        <w:rPr>
          <w:sz w:val="18"/>
        </w:rPr>
        <w:t>that</w:t>
      </w:r>
      <w:r w:rsidRPr="00EC20A0">
        <w:rPr>
          <w:spacing w:val="-2"/>
          <w:sz w:val="18"/>
        </w:rPr>
        <w:t xml:space="preserve"> </w:t>
      </w:r>
      <w:r w:rsidRPr="00EC20A0">
        <w:rPr>
          <w:sz w:val="18"/>
        </w:rPr>
        <w:t>is</w:t>
      </w:r>
      <w:r w:rsidRPr="00EC20A0">
        <w:rPr>
          <w:spacing w:val="-2"/>
          <w:sz w:val="18"/>
        </w:rPr>
        <w:t xml:space="preserve"> </w:t>
      </w:r>
      <w:r w:rsidRPr="00EC20A0">
        <w:rPr>
          <w:sz w:val="18"/>
        </w:rPr>
        <w:t>either</w:t>
      </w:r>
      <w:r w:rsidRPr="00EC20A0">
        <w:rPr>
          <w:spacing w:val="-2"/>
          <w:sz w:val="18"/>
        </w:rPr>
        <w:t xml:space="preserve"> </w:t>
      </w:r>
      <w:r w:rsidRPr="00EC20A0">
        <w:rPr>
          <w:sz w:val="18"/>
        </w:rPr>
        <w:t>accrued</w:t>
      </w:r>
      <w:r w:rsidRPr="00EC20A0">
        <w:rPr>
          <w:spacing w:val="-2"/>
          <w:sz w:val="18"/>
        </w:rPr>
        <w:t xml:space="preserve"> </w:t>
      </w:r>
      <w:r w:rsidRPr="00EC20A0">
        <w:rPr>
          <w:sz w:val="18"/>
        </w:rPr>
        <w:t>or</w:t>
      </w:r>
      <w:r w:rsidRPr="00EC20A0">
        <w:rPr>
          <w:spacing w:val="-2"/>
          <w:sz w:val="18"/>
        </w:rPr>
        <w:t xml:space="preserve"> </w:t>
      </w:r>
      <w:r w:rsidRPr="00EC20A0">
        <w:rPr>
          <w:sz w:val="18"/>
        </w:rPr>
        <w:t>collected</w:t>
      </w:r>
      <w:r w:rsidRPr="00EC20A0">
        <w:rPr>
          <w:spacing w:val="-3"/>
          <w:sz w:val="18"/>
        </w:rPr>
        <w:t xml:space="preserve"> </w:t>
      </w:r>
      <w:r w:rsidRPr="00EC20A0">
        <w:rPr>
          <w:sz w:val="18"/>
        </w:rPr>
        <w:t>on</w:t>
      </w:r>
      <w:r w:rsidRPr="00EC20A0">
        <w:rPr>
          <w:spacing w:val="-3"/>
          <w:sz w:val="18"/>
        </w:rPr>
        <w:t xml:space="preserve"> </w:t>
      </w:r>
      <w:r w:rsidRPr="00EC20A0">
        <w:rPr>
          <w:sz w:val="18"/>
        </w:rPr>
        <w:t>claims</w:t>
      </w:r>
      <w:r w:rsidRPr="00EC20A0">
        <w:rPr>
          <w:spacing w:val="-2"/>
          <w:sz w:val="18"/>
        </w:rPr>
        <w:t xml:space="preserve"> </w:t>
      </w:r>
      <w:r w:rsidRPr="00EC20A0">
        <w:rPr>
          <w:sz w:val="18"/>
        </w:rPr>
        <w:t>that</w:t>
      </w:r>
      <w:r w:rsidRPr="00EC20A0">
        <w:rPr>
          <w:spacing w:val="-2"/>
          <w:sz w:val="18"/>
        </w:rPr>
        <w:t xml:space="preserve"> </w:t>
      </w:r>
      <w:r w:rsidRPr="00EC20A0">
        <w:rPr>
          <w:sz w:val="18"/>
        </w:rPr>
        <w:t>are</w:t>
      </w:r>
      <w:r w:rsidRPr="00EC20A0">
        <w:rPr>
          <w:spacing w:val="-3"/>
          <w:sz w:val="18"/>
        </w:rPr>
        <w:t xml:space="preserve"> </w:t>
      </w:r>
      <w:r w:rsidRPr="00EC20A0">
        <w:rPr>
          <w:sz w:val="18"/>
        </w:rPr>
        <w:t>paid</w:t>
      </w:r>
      <w:r w:rsidRPr="00EC20A0">
        <w:rPr>
          <w:spacing w:val="-3"/>
          <w:sz w:val="18"/>
        </w:rPr>
        <w:t xml:space="preserve"> </w:t>
      </w:r>
      <w:r w:rsidRPr="00EC20A0">
        <w:rPr>
          <w:sz w:val="18"/>
        </w:rPr>
        <w:t>within the 30-day period would usually not be material or otherwise significant for purposes of compliance testing. If the auditor considers this provision to be significant for compliance testing, then this form should be tailored to include the appropriate testing procedures.</w:t>
      </w:r>
    </w:p>
    <w:p w14:paraId="24D61024" w14:textId="77777777" w:rsidR="00245300" w:rsidRPr="00EC20A0" w:rsidRDefault="00F17249">
      <w:pPr>
        <w:spacing w:before="126" w:line="244" w:lineRule="auto"/>
        <w:ind w:left="119" w:right="93"/>
        <w:rPr>
          <w:sz w:val="18"/>
        </w:rPr>
      </w:pPr>
      <w:r w:rsidRPr="00EC20A0">
        <w:rPr>
          <w:position w:val="7"/>
          <w:sz w:val="14"/>
        </w:rPr>
        <w:t>26</w:t>
      </w:r>
      <w:r w:rsidRPr="00EC20A0">
        <w:rPr>
          <w:sz w:val="18"/>
        </w:rPr>
        <w:t xml:space="preserve">The requirements under 31 U.S.C. § 3717 regarding charging interest on a debt do not apply to the extent that a statute, a regulation </w:t>
      </w:r>
      <w:r w:rsidRPr="00EC20A0">
        <w:rPr>
          <w:sz w:val="18"/>
        </w:rPr>
        <w:t>required by statute, a loan agreement,</w:t>
      </w:r>
      <w:r w:rsidRPr="00EC20A0">
        <w:rPr>
          <w:spacing w:val="-2"/>
          <w:sz w:val="18"/>
        </w:rPr>
        <w:t xml:space="preserve"> </w:t>
      </w:r>
      <w:r w:rsidRPr="00EC20A0">
        <w:rPr>
          <w:sz w:val="18"/>
        </w:rPr>
        <w:t>or</w:t>
      </w:r>
      <w:r w:rsidRPr="00EC20A0">
        <w:rPr>
          <w:spacing w:val="-2"/>
          <w:sz w:val="18"/>
        </w:rPr>
        <w:t xml:space="preserve"> </w:t>
      </w:r>
      <w:r w:rsidRPr="00EC20A0">
        <w:rPr>
          <w:sz w:val="18"/>
        </w:rPr>
        <w:t>a</w:t>
      </w:r>
      <w:r w:rsidRPr="00EC20A0">
        <w:rPr>
          <w:spacing w:val="-3"/>
          <w:sz w:val="18"/>
        </w:rPr>
        <w:t xml:space="preserve"> </w:t>
      </w:r>
      <w:r w:rsidRPr="00EC20A0">
        <w:rPr>
          <w:sz w:val="18"/>
        </w:rPr>
        <w:t>contract</w:t>
      </w:r>
      <w:r w:rsidRPr="00EC20A0">
        <w:rPr>
          <w:spacing w:val="-2"/>
          <w:sz w:val="18"/>
        </w:rPr>
        <w:t xml:space="preserve"> </w:t>
      </w:r>
      <w:r w:rsidRPr="00EC20A0">
        <w:rPr>
          <w:sz w:val="18"/>
        </w:rPr>
        <w:t>prohibits</w:t>
      </w:r>
      <w:r w:rsidRPr="00EC20A0">
        <w:rPr>
          <w:spacing w:val="-2"/>
          <w:sz w:val="18"/>
        </w:rPr>
        <w:t xml:space="preserve"> </w:t>
      </w:r>
      <w:r w:rsidRPr="00EC20A0">
        <w:rPr>
          <w:sz w:val="18"/>
        </w:rPr>
        <w:t>charging</w:t>
      </w:r>
      <w:r w:rsidRPr="00EC20A0">
        <w:rPr>
          <w:spacing w:val="-3"/>
          <w:sz w:val="18"/>
        </w:rPr>
        <w:t xml:space="preserve"> </w:t>
      </w:r>
      <w:r w:rsidRPr="00EC20A0">
        <w:rPr>
          <w:sz w:val="18"/>
        </w:rPr>
        <w:t>interest</w:t>
      </w:r>
      <w:r w:rsidRPr="00EC20A0">
        <w:rPr>
          <w:spacing w:val="-2"/>
          <w:sz w:val="18"/>
        </w:rPr>
        <w:t xml:space="preserve"> </w:t>
      </w:r>
      <w:r w:rsidRPr="00EC20A0">
        <w:rPr>
          <w:sz w:val="18"/>
        </w:rPr>
        <w:t>or</w:t>
      </w:r>
      <w:r w:rsidRPr="00EC20A0">
        <w:rPr>
          <w:spacing w:val="-2"/>
          <w:sz w:val="18"/>
        </w:rPr>
        <w:t xml:space="preserve"> </w:t>
      </w:r>
      <w:r w:rsidRPr="00EC20A0">
        <w:rPr>
          <w:sz w:val="18"/>
        </w:rPr>
        <w:t>explicitly</w:t>
      </w:r>
      <w:r w:rsidRPr="00EC20A0">
        <w:rPr>
          <w:spacing w:val="-2"/>
          <w:sz w:val="18"/>
        </w:rPr>
        <w:t xml:space="preserve"> </w:t>
      </w:r>
      <w:r w:rsidRPr="00EC20A0">
        <w:rPr>
          <w:sz w:val="18"/>
        </w:rPr>
        <w:t>fixes</w:t>
      </w:r>
      <w:r w:rsidRPr="00EC20A0">
        <w:rPr>
          <w:spacing w:val="-2"/>
          <w:sz w:val="18"/>
        </w:rPr>
        <w:t xml:space="preserve"> </w:t>
      </w:r>
      <w:r w:rsidRPr="00EC20A0">
        <w:rPr>
          <w:sz w:val="18"/>
        </w:rPr>
        <w:t>the</w:t>
      </w:r>
      <w:r w:rsidRPr="00EC20A0">
        <w:rPr>
          <w:spacing w:val="-3"/>
          <w:sz w:val="18"/>
        </w:rPr>
        <w:t xml:space="preserve"> </w:t>
      </w:r>
      <w:r w:rsidRPr="00EC20A0">
        <w:rPr>
          <w:sz w:val="18"/>
        </w:rPr>
        <w:t>interest.</w:t>
      </w:r>
      <w:r w:rsidRPr="00EC20A0">
        <w:rPr>
          <w:spacing w:val="-2"/>
          <w:sz w:val="18"/>
        </w:rPr>
        <w:t xml:space="preserve"> </w:t>
      </w:r>
      <w:r w:rsidRPr="00EC20A0">
        <w:rPr>
          <w:sz w:val="18"/>
        </w:rPr>
        <w:t>31</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3717(g)(1).</w:t>
      </w:r>
      <w:r w:rsidRPr="00EC20A0">
        <w:rPr>
          <w:spacing w:val="-1"/>
          <w:sz w:val="18"/>
        </w:rPr>
        <w:t xml:space="preserve"> </w:t>
      </w:r>
      <w:r w:rsidRPr="00EC20A0">
        <w:rPr>
          <w:sz w:val="18"/>
        </w:rPr>
        <w:t>Additionally,</w:t>
      </w:r>
      <w:r w:rsidRPr="00EC20A0">
        <w:rPr>
          <w:spacing w:val="-2"/>
          <w:sz w:val="18"/>
        </w:rPr>
        <w:t xml:space="preserve"> </w:t>
      </w:r>
      <w:r w:rsidRPr="00EC20A0">
        <w:rPr>
          <w:sz w:val="18"/>
        </w:rPr>
        <w:t>these</w:t>
      </w:r>
      <w:r w:rsidRPr="00EC20A0">
        <w:rPr>
          <w:spacing w:val="-3"/>
          <w:sz w:val="18"/>
        </w:rPr>
        <w:t xml:space="preserve"> </w:t>
      </w:r>
      <w:r w:rsidRPr="00EC20A0">
        <w:rPr>
          <w:sz w:val="18"/>
        </w:rPr>
        <w:t>requirements</w:t>
      </w:r>
      <w:r w:rsidRPr="00EC20A0">
        <w:rPr>
          <w:spacing w:val="-2"/>
          <w:sz w:val="18"/>
        </w:rPr>
        <w:t xml:space="preserve"> </w:t>
      </w:r>
      <w:r w:rsidRPr="00EC20A0">
        <w:rPr>
          <w:sz w:val="18"/>
        </w:rPr>
        <w:t>do</w:t>
      </w:r>
      <w:r w:rsidRPr="00EC20A0">
        <w:rPr>
          <w:spacing w:val="-3"/>
          <w:sz w:val="18"/>
        </w:rPr>
        <w:t xml:space="preserve"> </w:t>
      </w:r>
      <w:r w:rsidRPr="00EC20A0">
        <w:rPr>
          <w:sz w:val="18"/>
        </w:rPr>
        <w:t>not</w:t>
      </w:r>
      <w:r w:rsidRPr="00EC20A0">
        <w:rPr>
          <w:spacing w:val="-2"/>
          <w:sz w:val="18"/>
        </w:rPr>
        <w:t xml:space="preserve"> </w:t>
      </w:r>
      <w:r w:rsidRPr="00EC20A0">
        <w:rPr>
          <w:sz w:val="18"/>
        </w:rPr>
        <w:t>apply</w:t>
      </w:r>
      <w:r w:rsidRPr="00EC20A0">
        <w:rPr>
          <w:spacing w:val="-2"/>
          <w:sz w:val="18"/>
        </w:rPr>
        <w:t xml:space="preserve"> </w:t>
      </w:r>
      <w:r w:rsidRPr="00EC20A0">
        <w:rPr>
          <w:sz w:val="18"/>
        </w:rPr>
        <w:t>to</w:t>
      </w:r>
      <w:r w:rsidRPr="00EC20A0">
        <w:rPr>
          <w:spacing w:val="-3"/>
          <w:sz w:val="18"/>
        </w:rPr>
        <w:t xml:space="preserve"> </w:t>
      </w:r>
      <w:r w:rsidRPr="00EC20A0">
        <w:rPr>
          <w:sz w:val="18"/>
        </w:rPr>
        <w:t>a</w:t>
      </w:r>
      <w:r w:rsidRPr="00EC20A0">
        <w:rPr>
          <w:spacing w:val="-3"/>
          <w:sz w:val="18"/>
        </w:rPr>
        <w:t xml:space="preserve"> </w:t>
      </w:r>
      <w:r w:rsidRPr="00EC20A0">
        <w:rPr>
          <w:sz w:val="18"/>
        </w:rPr>
        <w:t>claim</w:t>
      </w:r>
      <w:r w:rsidRPr="00EC20A0">
        <w:rPr>
          <w:spacing w:val="-2"/>
          <w:sz w:val="18"/>
        </w:rPr>
        <w:t xml:space="preserve"> </w:t>
      </w:r>
      <w:r w:rsidRPr="00EC20A0">
        <w:rPr>
          <w:sz w:val="18"/>
        </w:rPr>
        <w:t>under a contract executed before October 25, 1982, that is in effect on October 25, 1982. 31 U.S.C. § 3717(g)(2).</w:t>
      </w:r>
    </w:p>
    <w:p w14:paraId="24D61025" w14:textId="77777777" w:rsidR="00245300" w:rsidRPr="00EC20A0" w:rsidRDefault="00F17249">
      <w:pPr>
        <w:spacing w:before="120" w:line="244" w:lineRule="auto"/>
        <w:ind w:left="119" w:right="211"/>
        <w:rPr>
          <w:sz w:val="18"/>
        </w:rPr>
      </w:pPr>
      <w:r w:rsidRPr="00EC20A0">
        <w:rPr>
          <w:position w:val="7"/>
          <w:sz w:val="14"/>
        </w:rPr>
        <w:t>27</w:t>
      </w:r>
      <w:r w:rsidRPr="00EC20A0">
        <w:rPr>
          <w:sz w:val="18"/>
        </w:rPr>
        <w:t>The entity has the authority to waive the collection of interest, penalties, and administrative charges. 31 U.S.C. § 3717(h). To do so, the entity shall prescribe regulations</w:t>
      </w:r>
      <w:r w:rsidRPr="00EC20A0">
        <w:rPr>
          <w:spacing w:val="-2"/>
          <w:sz w:val="18"/>
        </w:rPr>
        <w:t xml:space="preserve"> </w:t>
      </w:r>
      <w:r w:rsidRPr="00EC20A0">
        <w:rPr>
          <w:sz w:val="18"/>
        </w:rPr>
        <w:t>identifying</w:t>
      </w:r>
      <w:r w:rsidRPr="00EC20A0">
        <w:rPr>
          <w:spacing w:val="-3"/>
          <w:sz w:val="18"/>
        </w:rPr>
        <w:t xml:space="preserve"> </w:t>
      </w:r>
      <w:r w:rsidRPr="00EC20A0">
        <w:rPr>
          <w:sz w:val="18"/>
        </w:rPr>
        <w:t>the</w:t>
      </w:r>
      <w:r w:rsidRPr="00EC20A0">
        <w:rPr>
          <w:spacing w:val="-3"/>
          <w:sz w:val="18"/>
        </w:rPr>
        <w:t xml:space="preserve"> </w:t>
      </w:r>
      <w:r w:rsidRPr="00EC20A0">
        <w:rPr>
          <w:sz w:val="18"/>
        </w:rPr>
        <w:t>circumstances</w:t>
      </w:r>
      <w:r w:rsidRPr="00EC20A0">
        <w:rPr>
          <w:spacing w:val="-2"/>
          <w:sz w:val="18"/>
        </w:rPr>
        <w:t xml:space="preserve"> </w:t>
      </w:r>
      <w:r w:rsidRPr="00EC20A0">
        <w:rPr>
          <w:sz w:val="18"/>
        </w:rPr>
        <w:t>that</w:t>
      </w:r>
      <w:r w:rsidRPr="00EC20A0">
        <w:rPr>
          <w:spacing w:val="-1"/>
          <w:sz w:val="18"/>
        </w:rPr>
        <w:t xml:space="preserve"> </w:t>
      </w:r>
      <w:r w:rsidRPr="00EC20A0">
        <w:rPr>
          <w:sz w:val="18"/>
        </w:rPr>
        <w:t>are</w:t>
      </w:r>
      <w:r w:rsidRPr="00EC20A0">
        <w:rPr>
          <w:spacing w:val="-3"/>
          <w:sz w:val="18"/>
        </w:rPr>
        <w:t xml:space="preserve"> </w:t>
      </w:r>
      <w:r w:rsidRPr="00EC20A0">
        <w:rPr>
          <w:sz w:val="18"/>
        </w:rPr>
        <w:t>appropriate</w:t>
      </w:r>
      <w:r w:rsidRPr="00EC20A0">
        <w:rPr>
          <w:spacing w:val="-3"/>
          <w:sz w:val="18"/>
        </w:rPr>
        <w:t xml:space="preserve"> </w:t>
      </w:r>
      <w:r w:rsidRPr="00EC20A0">
        <w:rPr>
          <w:sz w:val="18"/>
        </w:rPr>
        <w:t>for</w:t>
      </w:r>
      <w:r w:rsidRPr="00EC20A0">
        <w:rPr>
          <w:spacing w:val="-2"/>
          <w:sz w:val="18"/>
        </w:rPr>
        <w:t xml:space="preserve"> </w:t>
      </w:r>
      <w:r w:rsidRPr="00EC20A0">
        <w:rPr>
          <w:sz w:val="18"/>
        </w:rPr>
        <w:t>waiving</w:t>
      </w:r>
      <w:r w:rsidRPr="00EC20A0">
        <w:rPr>
          <w:spacing w:val="-3"/>
          <w:sz w:val="18"/>
        </w:rPr>
        <w:t xml:space="preserve"> </w:t>
      </w:r>
      <w:r w:rsidRPr="00EC20A0">
        <w:rPr>
          <w:sz w:val="18"/>
        </w:rPr>
        <w:t>interest</w:t>
      </w:r>
      <w:r w:rsidRPr="00EC20A0">
        <w:rPr>
          <w:spacing w:val="-2"/>
          <w:sz w:val="18"/>
        </w:rPr>
        <w:t xml:space="preserve"> </w:t>
      </w:r>
      <w:r w:rsidRPr="00EC20A0">
        <w:rPr>
          <w:sz w:val="18"/>
        </w:rPr>
        <w:t>collection,</w:t>
      </w:r>
      <w:r w:rsidRPr="00EC20A0">
        <w:rPr>
          <w:spacing w:val="-2"/>
          <w:sz w:val="18"/>
        </w:rPr>
        <w:t xml:space="preserve"> </w:t>
      </w:r>
      <w:r w:rsidRPr="00EC20A0">
        <w:rPr>
          <w:sz w:val="18"/>
        </w:rPr>
        <w:t>and</w:t>
      </w:r>
      <w:r w:rsidRPr="00EC20A0">
        <w:rPr>
          <w:spacing w:val="-2"/>
          <w:sz w:val="18"/>
        </w:rPr>
        <w:t xml:space="preserve"> </w:t>
      </w:r>
      <w:r w:rsidRPr="00EC20A0">
        <w:rPr>
          <w:sz w:val="18"/>
        </w:rPr>
        <w:t>such</w:t>
      </w:r>
      <w:r w:rsidRPr="00EC20A0">
        <w:rPr>
          <w:spacing w:val="-3"/>
          <w:sz w:val="18"/>
        </w:rPr>
        <w:t xml:space="preserve"> </w:t>
      </w:r>
      <w:r w:rsidRPr="00EC20A0">
        <w:rPr>
          <w:sz w:val="18"/>
        </w:rPr>
        <w:t>regulations</w:t>
      </w:r>
      <w:r w:rsidRPr="00EC20A0">
        <w:rPr>
          <w:spacing w:val="-2"/>
          <w:sz w:val="18"/>
        </w:rPr>
        <w:t xml:space="preserve"> </w:t>
      </w:r>
      <w:r w:rsidRPr="00EC20A0">
        <w:rPr>
          <w:sz w:val="18"/>
        </w:rPr>
        <w:t>shall</w:t>
      </w:r>
      <w:r w:rsidRPr="00EC20A0">
        <w:rPr>
          <w:spacing w:val="-2"/>
          <w:sz w:val="18"/>
        </w:rPr>
        <w:t xml:space="preserve"> </w:t>
      </w:r>
      <w:r w:rsidRPr="00EC20A0">
        <w:rPr>
          <w:sz w:val="18"/>
        </w:rPr>
        <w:t>be</w:t>
      </w:r>
      <w:r w:rsidRPr="00EC20A0">
        <w:rPr>
          <w:spacing w:val="-2"/>
          <w:sz w:val="18"/>
        </w:rPr>
        <w:t xml:space="preserve"> </w:t>
      </w:r>
      <w:r w:rsidRPr="00EC20A0">
        <w:rPr>
          <w:sz w:val="18"/>
        </w:rPr>
        <w:t>in</w:t>
      </w:r>
      <w:r w:rsidRPr="00EC20A0">
        <w:rPr>
          <w:spacing w:val="-3"/>
          <w:sz w:val="18"/>
        </w:rPr>
        <w:t xml:space="preserve"> </w:t>
      </w:r>
      <w:r w:rsidRPr="00EC20A0">
        <w:rPr>
          <w:sz w:val="18"/>
        </w:rPr>
        <w:t>conformity</w:t>
      </w:r>
      <w:r w:rsidRPr="00EC20A0">
        <w:rPr>
          <w:spacing w:val="-2"/>
          <w:sz w:val="18"/>
        </w:rPr>
        <w:t xml:space="preserve"> </w:t>
      </w:r>
      <w:r w:rsidRPr="00EC20A0">
        <w:rPr>
          <w:sz w:val="18"/>
        </w:rPr>
        <w:t>with</w:t>
      </w:r>
      <w:r w:rsidRPr="00EC20A0">
        <w:rPr>
          <w:spacing w:val="-3"/>
          <w:sz w:val="18"/>
        </w:rPr>
        <w:t xml:space="preserve"> </w:t>
      </w:r>
      <w:r w:rsidRPr="00EC20A0">
        <w:rPr>
          <w:sz w:val="18"/>
        </w:rPr>
        <w:t>standards</w:t>
      </w:r>
      <w:r w:rsidRPr="00EC20A0">
        <w:rPr>
          <w:spacing w:val="-2"/>
          <w:sz w:val="18"/>
        </w:rPr>
        <w:t xml:space="preserve"> </w:t>
      </w:r>
      <w:r w:rsidRPr="00EC20A0">
        <w:rPr>
          <w:sz w:val="18"/>
        </w:rPr>
        <w:t xml:space="preserve">prescribed jointly by the U.S. Comptroller General, the U.S. Attorney General, and the Secretary of the Treasury. 31 U.S.C. § </w:t>
      </w:r>
      <w:r w:rsidRPr="00EC20A0">
        <w:rPr>
          <w:sz w:val="18"/>
        </w:rPr>
        <w:t>3717(h).</w:t>
      </w:r>
    </w:p>
    <w:p w14:paraId="24D61026" w14:textId="77777777" w:rsidR="00245300" w:rsidRPr="00EC20A0" w:rsidRDefault="00F17249">
      <w:pPr>
        <w:spacing w:before="122" w:line="249" w:lineRule="auto"/>
        <w:ind w:left="120" w:right="181" w:hanging="1"/>
        <w:rPr>
          <w:sz w:val="18"/>
        </w:rPr>
      </w:pPr>
      <w:r w:rsidRPr="00EC20A0">
        <w:rPr>
          <w:position w:val="7"/>
          <w:sz w:val="14"/>
        </w:rPr>
        <w:t>28</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may</w:t>
      </w:r>
      <w:r w:rsidRPr="00EC20A0">
        <w:rPr>
          <w:spacing w:val="-1"/>
          <w:sz w:val="18"/>
        </w:rPr>
        <w:t xml:space="preserve"> </w:t>
      </w:r>
      <w:r w:rsidRPr="00EC20A0">
        <w:rPr>
          <w:sz w:val="18"/>
        </w:rPr>
        <w:t>increase</w:t>
      </w:r>
      <w:r w:rsidRPr="00EC20A0">
        <w:rPr>
          <w:spacing w:val="-3"/>
          <w:sz w:val="18"/>
        </w:rPr>
        <w:t xml:space="preserve"> </w:t>
      </w:r>
      <w:r w:rsidRPr="00EC20A0">
        <w:rPr>
          <w:sz w:val="18"/>
        </w:rPr>
        <w:t>an</w:t>
      </w:r>
      <w:r w:rsidRPr="00EC20A0">
        <w:rPr>
          <w:spacing w:val="-3"/>
          <w:sz w:val="18"/>
        </w:rPr>
        <w:t xml:space="preserve"> </w:t>
      </w:r>
      <w:r w:rsidRPr="00EC20A0">
        <w:rPr>
          <w:sz w:val="18"/>
        </w:rPr>
        <w:t>administrative</w:t>
      </w:r>
      <w:r w:rsidRPr="00EC20A0">
        <w:rPr>
          <w:spacing w:val="-3"/>
          <w:sz w:val="18"/>
        </w:rPr>
        <w:t xml:space="preserve"> </w:t>
      </w:r>
      <w:r w:rsidRPr="00EC20A0">
        <w:rPr>
          <w:sz w:val="18"/>
        </w:rPr>
        <w:t>claim</w:t>
      </w:r>
      <w:r w:rsidRPr="00EC20A0">
        <w:rPr>
          <w:spacing w:val="-2"/>
          <w:sz w:val="18"/>
        </w:rPr>
        <w:t xml:space="preserve"> </w:t>
      </w:r>
      <w:r w:rsidRPr="00EC20A0">
        <w:rPr>
          <w:sz w:val="18"/>
        </w:rPr>
        <w:t>(a</w:t>
      </w:r>
      <w:r w:rsidRPr="00EC20A0">
        <w:rPr>
          <w:spacing w:val="-3"/>
          <w:sz w:val="18"/>
        </w:rPr>
        <w:t xml:space="preserve"> </w:t>
      </w:r>
      <w:r w:rsidRPr="00EC20A0">
        <w:rPr>
          <w:sz w:val="18"/>
        </w:rPr>
        <w:t>debt</w:t>
      </w:r>
      <w:r w:rsidRPr="00EC20A0">
        <w:rPr>
          <w:spacing w:val="-2"/>
          <w:sz w:val="18"/>
        </w:rPr>
        <w:t xml:space="preserve"> </w:t>
      </w:r>
      <w:r w:rsidRPr="00EC20A0">
        <w:rPr>
          <w:sz w:val="18"/>
        </w:rPr>
        <w:t>not based</w:t>
      </w:r>
      <w:r w:rsidRPr="00EC20A0">
        <w:rPr>
          <w:spacing w:val="-3"/>
          <w:sz w:val="18"/>
        </w:rPr>
        <w:t xml:space="preserve"> </w:t>
      </w:r>
      <w:r w:rsidRPr="00EC20A0">
        <w:rPr>
          <w:sz w:val="18"/>
        </w:rPr>
        <w:t>on</w:t>
      </w:r>
      <w:r w:rsidRPr="00EC20A0">
        <w:rPr>
          <w:spacing w:val="-3"/>
          <w:sz w:val="18"/>
        </w:rPr>
        <w:t xml:space="preserve"> </w:t>
      </w:r>
      <w:r w:rsidRPr="00EC20A0">
        <w:rPr>
          <w:sz w:val="18"/>
        </w:rPr>
        <w:t>an</w:t>
      </w:r>
      <w:r w:rsidRPr="00EC20A0">
        <w:rPr>
          <w:spacing w:val="-3"/>
          <w:sz w:val="18"/>
        </w:rPr>
        <w:t xml:space="preserve"> </w:t>
      </w:r>
      <w:r w:rsidRPr="00EC20A0">
        <w:rPr>
          <w:sz w:val="18"/>
        </w:rPr>
        <w:t>extension</w:t>
      </w:r>
      <w:r w:rsidRPr="00EC20A0">
        <w:rPr>
          <w:spacing w:val="-3"/>
          <w:sz w:val="18"/>
        </w:rPr>
        <w:t xml:space="preserve"> </w:t>
      </w:r>
      <w:r w:rsidRPr="00EC20A0">
        <w:rPr>
          <w:sz w:val="18"/>
        </w:rPr>
        <w:t>of</w:t>
      </w:r>
      <w:r w:rsidRPr="00EC20A0">
        <w:rPr>
          <w:spacing w:val="-2"/>
          <w:sz w:val="18"/>
        </w:rPr>
        <w:t xml:space="preserve"> </w:t>
      </w:r>
      <w:r w:rsidRPr="00EC20A0">
        <w:rPr>
          <w:sz w:val="18"/>
        </w:rPr>
        <w:t>government</w:t>
      </w:r>
      <w:r w:rsidRPr="00EC20A0">
        <w:rPr>
          <w:spacing w:val="-2"/>
          <w:sz w:val="18"/>
        </w:rPr>
        <w:t xml:space="preserve"> </w:t>
      </w:r>
      <w:r w:rsidRPr="00EC20A0">
        <w:rPr>
          <w:sz w:val="18"/>
        </w:rPr>
        <w:t>credit</w:t>
      </w:r>
      <w:r w:rsidRPr="00EC20A0">
        <w:rPr>
          <w:spacing w:val="-2"/>
          <w:sz w:val="18"/>
        </w:rPr>
        <w:t xml:space="preserve"> </w:t>
      </w:r>
      <w:r w:rsidRPr="00EC20A0">
        <w:rPr>
          <w:sz w:val="18"/>
        </w:rPr>
        <w:t>through</w:t>
      </w:r>
      <w:r w:rsidRPr="00EC20A0">
        <w:rPr>
          <w:spacing w:val="-3"/>
          <w:sz w:val="18"/>
        </w:rPr>
        <w:t xml:space="preserve"> </w:t>
      </w:r>
      <w:r w:rsidRPr="00EC20A0">
        <w:rPr>
          <w:sz w:val="18"/>
        </w:rPr>
        <w:t>direct</w:t>
      </w:r>
      <w:r w:rsidRPr="00EC20A0">
        <w:rPr>
          <w:spacing w:val="-2"/>
          <w:sz w:val="18"/>
        </w:rPr>
        <w:t xml:space="preserve"> </w:t>
      </w:r>
      <w:r w:rsidRPr="00EC20A0">
        <w:rPr>
          <w:sz w:val="18"/>
        </w:rPr>
        <w:t>loans,</w:t>
      </w:r>
      <w:r w:rsidRPr="00EC20A0">
        <w:rPr>
          <w:spacing w:val="-2"/>
          <w:sz w:val="18"/>
        </w:rPr>
        <w:t xml:space="preserve"> </w:t>
      </w:r>
      <w:r w:rsidRPr="00EC20A0">
        <w:rPr>
          <w:sz w:val="18"/>
        </w:rPr>
        <w:t>guarantees,</w:t>
      </w:r>
      <w:r w:rsidRPr="00EC20A0">
        <w:rPr>
          <w:spacing w:val="-2"/>
          <w:sz w:val="18"/>
        </w:rPr>
        <w:t xml:space="preserve"> </w:t>
      </w:r>
      <w:r w:rsidRPr="00EC20A0">
        <w:rPr>
          <w:sz w:val="18"/>
        </w:rPr>
        <w:t>or</w:t>
      </w:r>
      <w:r w:rsidRPr="00EC20A0">
        <w:rPr>
          <w:spacing w:val="-2"/>
          <w:sz w:val="18"/>
        </w:rPr>
        <w:t xml:space="preserve"> </w:t>
      </w:r>
      <w:r w:rsidRPr="00EC20A0">
        <w:rPr>
          <w:sz w:val="18"/>
        </w:rPr>
        <w:t>insurance,</w:t>
      </w:r>
      <w:r w:rsidRPr="00EC20A0">
        <w:rPr>
          <w:spacing w:val="-2"/>
          <w:sz w:val="18"/>
        </w:rPr>
        <w:t xml:space="preserve"> </w:t>
      </w:r>
      <w:r w:rsidRPr="00EC20A0">
        <w:rPr>
          <w:sz w:val="18"/>
        </w:rPr>
        <w:t>including fines, penalties, and overpayments) annually by the cost of living adjustment in lieu of charging interest and penalties. 31 U.S.C. § 3717(i).</w:t>
      </w:r>
    </w:p>
    <w:p w14:paraId="24D61027" w14:textId="77777777" w:rsidR="00245300" w:rsidRPr="00EC20A0" w:rsidRDefault="00245300">
      <w:pPr>
        <w:spacing w:line="249" w:lineRule="auto"/>
        <w:rPr>
          <w:sz w:val="18"/>
        </w:rPr>
        <w:sectPr w:rsidR="00245300" w:rsidRPr="00EC20A0">
          <w:pgSz w:w="15840" w:h="12240" w:orient="landscape"/>
          <w:pgMar w:top="1340" w:right="1340" w:bottom="940" w:left="960" w:header="721" w:footer="742" w:gutter="0"/>
          <w:cols w:space="720"/>
        </w:sect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245300" w:rsidRPr="00EC20A0" w14:paraId="24D6102B" w14:textId="77777777">
        <w:trPr>
          <w:trHeight w:val="1574"/>
        </w:trPr>
        <w:tc>
          <w:tcPr>
            <w:tcW w:w="13170" w:type="dxa"/>
            <w:gridSpan w:val="6"/>
          </w:tcPr>
          <w:p w14:paraId="24D61028" w14:textId="77777777" w:rsidR="00245300" w:rsidRPr="00EC20A0" w:rsidRDefault="00F17249">
            <w:pPr>
              <w:pStyle w:val="TableParagraph"/>
              <w:tabs>
                <w:tab w:val="left" w:pos="9184"/>
              </w:tabs>
              <w:spacing w:before="144"/>
              <w:ind w:right="1919"/>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12" w:name="_bookmark103"/>
            <w:bookmarkStart w:id="213" w:name="_bookmark104"/>
            <w:bookmarkStart w:id="214" w:name="_bookmark105"/>
            <w:bookmarkEnd w:id="212"/>
            <w:bookmarkEnd w:id="213"/>
            <w:bookmarkEnd w:id="214"/>
            <w:r w:rsidRPr="00EC20A0">
              <w:t>Prepared</w:t>
            </w:r>
            <w:r w:rsidRPr="00EC20A0">
              <w:rPr>
                <w:spacing w:val="-11"/>
              </w:rPr>
              <w:t xml:space="preserve"> </w:t>
            </w:r>
            <w:r w:rsidRPr="00EC20A0">
              <w:rPr>
                <w:spacing w:val="-5"/>
              </w:rPr>
              <w:t>by:</w:t>
            </w:r>
          </w:p>
          <w:p w14:paraId="24D61029" w14:textId="77777777" w:rsidR="00245300" w:rsidRPr="00EC20A0" w:rsidRDefault="00F17249">
            <w:pPr>
              <w:pStyle w:val="TableParagraph"/>
              <w:spacing w:before="12"/>
              <w:ind w:left="1945" w:right="1918"/>
              <w:jc w:val="center"/>
              <w:rPr>
                <w:b/>
                <w:sz w:val="24"/>
              </w:rPr>
            </w:pPr>
            <w:r w:rsidRPr="00EC20A0">
              <w:rPr>
                <w:noProof/>
              </w:rPr>
              <mc:AlternateContent>
                <mc:Choice Requires="wpg">
                  <w:drawing>
                    <wp:anchor distT="0" distB="0" distL="0" distR="0" simplePos="0" relativeHeight="475309056" behindDoc="1" locked="0" layoutInCell="1" allowOverlap="1" wp14:anchorId="24D62BBB" wp14:editId="24D62BBC">
                      <wp:simplePos x="0" y="0"/>
                      <wp:positionH relativeFrom="column">
                        <wp:posOffset>6953250</wp:posOffset>
                      </wp:positionH>
                      <wp:positionV relativeFrom="paragraph">
                        <wp:posOffset>91882</wp:posOffset>
                      </wp:positionV>
                      <wp:extent cx="1344930" cy="635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499" name="Graphic 499"/>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1AAC87" id="Group 498" o:spid="_x0000_s1026" style="position:absolute;margin-left:547.5pt;margin-top:7.25pt;width:105.9pt;height:.5pt;z-index:-2800742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">
                      <v:shape id="Graphic 499"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10080" behindDoc="1" locked="0" layoutInCell="1" allowOverlap="1" wp14:anchorId="24D62BBD" wp14:editId="24D62BBE">
                      <wp:simplePos x="0" y="0"/>
                      <wp:positionH relativeFrom="column">
                        <wp:posOffset>6953250</wp:posOffset>
                      </wp:positionH>
                      <wp:positionV relativeFrom="paragraph">
                        <wp:posOffset>441640</wp:posOffset>
                      </wp:positionV>
                      <wp:extent cx="1344930" cy="635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01" name="Graphic 501"/>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37E1A3" id="Group 500" o:spid="_x0000_s1026" style="position:absolute;margin-left:547.5pt;margin-top:34.75pt;width:105.9pt;height:.5pt;z-index:-2800640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CAPSAzcwIAAPMFAAAOAAAA&#10;AAAAAAAAAAAAAC4CAABkcnMvZTJvRG9jLnhtbFBLAQItABQABgAIAAAAIQCvzK704QAAAAsBAAAP&#10;AAAAAAAAAAAAAAAAAM0EAABkcnMvZG93bnJldi54bWxQSwUGAAAAAAQABADzAAAA2wUAAAAA&#10;">
                      <v:shape id="Graphic 501"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02A" w14:textId="77777777" w:rsidR="00245300" w:rsidRPr="00EC20A0" w:rsidRDefault="00F17249">
            <w:pPr>
              <w:pStyle w:val="TableParagraph"/>
              <w:tabs>
                <w:tab w:val="left" w:pos="8878"/>
              </w:tabs>
              <w:spacing w:before="10"/>
              <w:ind w:right="1675"/>
              <w:jc w:val="center"/>
            </w:pPr>
            <w:r w:rsidRPr="00EC20A0">
              <w:rPr>
                <w:noProof/>
              </w:rPr>
              <mc:AlternateContent>
                <mc:Choice Requires="wpg">
                  <w:drawing>
                    <wp:anchor distT="0" distB="0" distL="0" distR="0" simplePos="0" relativeHeight="475308544" behindDoc="1" locked="0" layoutInCell="1" allowOverlap="1" wp14:anchorId="24D62BBF" wp14:editId="24D62BC0">
                      <wp:simplePos x="0" y="0"/>
                      <wp:positionH relativeFrom="column">
                        <wp:posOffset>1260347</wp:posOffset>
                      </wp:positionH>
                      <wp:positionV relativeFrom="paragraph">
                        <wp:posOffset>-91198</wp:posOffset>
                      </wp:positionV>
                      <wp:extent cx="1183005" cy="635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03" name="Graphic 503"/>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06737F" id="Group 502" o:spid="_x0000_s1026" style="position:absolute;margin-left:99.25pt;margin-top:-7.2pt;width:93.15pt;height:.5pt;z-index:-2800793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">
                      <v:shape id="Graphic 503"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09568" behindDoc="1" locked="0" layoutInCell="1" allowOverlap="1" wp14:anchorId="24D62BC1" wp14:editId="24D62BC2">
                      <wp:simplePos x="0" y="0"/>
                      <wp:positionH relativeFrom="column">
                        <wp:posOffset>1260347</wp:posOffset>
                      </wp:positionH>
                      <wp:positionV relativeFrom="paragraph">
                        <wp:posOffset>258559</wp:posOffset>
                      </wp:positionV>
                      <wp:extent cx="1183005" cy="6350"/>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05" name="Graphic 505"/>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8DA028" id="Group 504" o:spid="_x0000_s1026" style="position:absolute;margin-left:99.25pt;margin-top:20.35pt;width:93.15pt;height:.5pt;z-index:-2800691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">
                      <v:shape id="Graphic 505"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" path="m1182611,l,,,6108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036" w14:textId="77777777">
        <w:trPr>
          <w:trHeight w:val="793"/>
        </w:trPr>
        <w:tc>
          <w:tcPr>
            <w:tcW w:w="3943" w:type="dxa"/>
            <w:tcBorders>
              <w:right w:val="single" w:sz="4" w:space="0" w:color="000000"/>
            </w:tcBorders>
          </w:tcPr>
          <w:p w14:paraId="24D6102C" w14:textId="77777777" w:rsidR="00245300" w:rsidRPr="00EC20A0" w:rsidRDefault="00245300">
            <w:pPr>
              <w:pStyle w:val="TableParagraph"/>
              <w:spacing w:before="143"/>
            </w:pPr>
          </w:p>
          <w:p w14:paraId="24D6102D"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91" w:type="dxa"/>
            <w:tcBorders>
              <w:left w:val="single" w:sz="4" w:space="0" w:color="000000"/>
              <w:right w:val="single" w:sz="4" w:space="0" w:color="000000"/>
            </w:tcBorders>
          </w:tcPr>
          <w:p w14:paraId="24D6102E" w14:textId="77777777" w:rsidR="00245300" w:rsidRPr="00EC20A0" w:rsidRDefault="00245300">
            <w:pPr>
              <w:pStyle w:val="TableParagraph"/>
              <w:spacing w:before="143"/>
            </w:pPr>
          </w:p>
          <w:p w14:paraId="24D6102F" w14:textId="77777777" w:rsidR="00245300" w:rsidRPr="00EC20A0" w:rsidRDefault="00F17249">
            <w:pPr>
              <w:pStyle w:val="TableParagraph"/>
              <w:ind w:left="107"/>
            </w:pPr>
            <w:r w:rsidRPr="00EC20A0">
              <w:rPr>
                <w:spacing w:val="-2"/>
              </w:rPr>
              <w:t>Objective</w:t>
            </w:r>
          </w:p>
        </w:tc>
        <w:tc>
          <w:tcPr>
            <w:tcW w:w="2231" w:type="dxa"/>
            <w:tcBorders>
              <w:left w:val="single" w:sz="4" w:space="0" w:color="000000"/>
              <w:right w:val="single" w:sz="4" w:space="0" w:color="000000"/>
            </w:tcBorders>
          </w:tcPr>
          <w:p w14:paraId="24D61030" w14:textId="77777777" w:rsidR="00245300" w:rsidRPr="00EC20A0" w:rsidRDefault="00245300">
            <w:pPr>
              <w:pStyle w:val="TableParagraph"/>
              <w:spacing w:before="143"/>
            </w:pPr>
          </w:p>
          <w:p w14:paraId="24D61031"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24" w:type="dxa"/>
            <w:tcBorders>
              <w:left w:val="single" w:sz="4" w:space="0" w:color="000000"/>
              <w:right w:val="single" w:sz="4" w:space="0" w:color="000000"/>
            </w:tcBorders>
          </w:tcPr>
          <w:p w14:paraId="24D61032" w14:textId="77777777" w:rsidR="00245300" w:rsidRPr="00EC20A0" w:rsidRDefault="00245300">
            <w:pPr>
              <w:pStyle w:val="TableParagraph"/>
              <w:spacing w:before="143"/>
            </w:pPr>
          </w:p>
          <w:p w14:paraId="24D61033" w14:textId="77777777" w:rsidR="00245300" w:rsidRPr="00EC20A0" w:rsidRDefault="00F17249">
            <w:pPr>
              <w:pStyle w:val="TableParagraph"/>
              <w:ind w:left="109"/>
            </w:pPr>
            <w:r w:rsidRPr="00EC20A0">
              <w:t>IS</w:t>
            </w:r>
            <w:r w:rsidRPr="00EC20A0">
              <w:rPr>
                <w:spacing w:val="-3"/>
              </w:rPr>
              <w:t xml:space="preserve"> </w:t>
            </w:r>
            <w:r w:rsidRPr="00EC20A0">
              <w:rPr>
                <w:spacing w:val="-2"/>
              </w:rPr>
              <w:t>(Y/N)</w:t>
            </w:r>
          </w:p>
        </w:tc>
        <w:tc>
          <w:tcPr>
            <w:tcW w:w="1496" w:type="dxa"/>
            <w:tcBorders>
              <w:left w:val="single" w:sz="4" w:space="0" w:color="000000"/>
              <w:right w:val="single" w:sz="4" w:space="0" w:color="000000"/>
            </w:tcBorders>
          </w:tcPr>
          <w:p w14:paraId="24D61034" w14:textId="77777777" w:rsidR="00245300" w:rsidRPr="00EC20A0" w:rsidRDefault="00F17249">
            <w:pPr>
              <w:pStyle w:val="TableParagraph"/>
              <w:spacing w:before="143"/>
              <w:ind w:left="110"/>
            </w:pPr>
            <w:r w:rsidRPr="00EC20A0">
              <w:rPr>
                <w:spacing w:val="-2"/>
              </w:rPr>
              <w:t>Effective controls?</w:t>
            </w:r>
          </w:p>
        </w:tc>
        <w:tc>
          <w:tcPr>
            <w:tcW w:w="2185" w:type="dxa"/>
            <w:tcBorders>
              <w:left w:val="single" w:sz="4" w:space="0" w:color="000000"/>
            </w:tcBorders>
          </w:tcPr>
          <w:p w14:paraId="24D61035" w14:textId="77777777" w:rsidR="00245300" w:rsidRPr="00EC20A0" w:rsidRDefault="00F17249">
            <w:pPr>
              <w:pStyle w:val="TableParagraph"/>
              <w:spacing w:before="143"/>
              <w:ind w:left="111" w:right="3"/>
            </w:pPr>
            <w:r w:rsidRPr="00EC20A0">
              <w:t xml:space="preserve">Instances of </w:t>
            </w:r>
            <w:r w:rsidRPr="00EC20A0">
              <w:rPr>
                <w:spacing w:val="-2"/>
              </w:rPr>
              <w:t>noncompliance?</w:t>
            </w:r>
          </w:p>
        </w:tc>
      </w:tr>
      <w:tr w:rsidR="00245300" w:rsidRPr="00EC20A0" w14:paraId="24D61042" w14:textId="77777777">
        <w:trPr>
          <w:trHeight w:val="3888"/>
        </w:trPr>
        <w:tc>
          <w:tcPr>
            <w:tcW w:w="3943" w:type="dxa"/>
            <w:tcBorders>
              <w:bottom w:val="single" w:sz="4" w:space="0" w:color="000000"/>
              <w:right w:val="single" w:sz="4" w:space="0" w:color="000000"/>
            </w:tcBorders>
          </w:tcPr>
          <w:p w14:paraId="24D61037" w14:textId="77777777" w:rsidR="00245300" w:rsidRPr="00EC20A0" w:rsidRDefault="00F17249">
            <w:pPr>
              <w:pStyle w:val="TableParagraph"/>
              <w:spacing w:before="143"/>
              <w:ind w:left="817" w:hanging="720"/>
              <w:rPr>
                <w:sz w:val="18"/>
              </w:rPr>
            </w:pPr>
            <w:r w:rsidRPr="00EC20A0">
              <w:rPr>
                <w:smallCaps/>
                <w:sz w:val="18"/>
              </w:rPr>
              <w:t xml:space="preserve">805.02. </w:t>
            </w:r>
            <w:r w:rsidRPr="00EC20A0">
              <w:rPr>
                <w:smallCaps/>
                <w:spacing w:val="20"/>
                <w:sz w:val="18"/>
              </w:rPr>
              <w:t xml:space="preserve"> </w:t>
            </w:r>
            <w:r w:rsidRPr="00EC20A0">
              <w:rPr>
                <w:smallCaps/>
                <w:sz w:val="18"/>
              </w:rPr>
              <w:t>Additional Debt-Related Charges:</w:t>
            </w:r>
            <w:r w:rsidRPr="00EC20A0">
              <w:rPr>
                <w:smallCaps/>
                <w:spacing w:val="40"/>
                <w:sz w:val="18"/>
              </w:rPr>
              <w:t xml:space="preserve"> </w:t>
            </w:r>
            <w:r w:rsidRPr="00EC20A0">
              <w:rPr>
                <w:smallCaps/>
                <w:sz w:val="18"/>
              </w:rPr>
              <w:t>Administrative</w:t>
            </w:r>
            <w:r w:rsidRPr="00EC20A0">
              <w:rPr>
                <w:smallCaps/>
                <w:spacing w:val="-10"/>
                <w:sz w:val="18"/>
              </w:rPr>
              <w:t xml:space="preserve"> </w:t>
            </w:r>
            <w:r w:rsidRPr="00EC20A0">
              <w:rPr>
                <w:smallCaps/>
                <w:sz w:val="18"/>
              </w:rPr>
              <w:t>Costs</w:t>
            </w:r>
            <w:r w:rsidRPr="00EC20A0">
              <w:rPr>
                <w:smallCaps/>
                <w:spacing w:val="-10"/>
                <w:sz w:val="18"/>
              </w:rPr>
              <w:t xml:space="preserve"> </w:t>
            </w:r>
            <w:r w:rsidRPr="00EC20A0">
              <w:rPr>
                <w:smallCaps/>
                <w:sz w:val="18"/>
              </w:rPr>
              <w:t>And</w:t>
            </w:r>
            <w:r w:rsidRPr="00EC20A0">
              <w:rPr>
                <w:smallCaps/>
                <w:spacing w:val="-10"/>
                <w:sz w:val="18"/>
              </w:rPr>
              <w:t xml:space="preserve"> </w:t>
            </w:r>
            <w:r w:rsidRPr="00EC20A0">
              <w:rPr>
                <w:smallCaps/>
                <w:sz w:val="18"/>
              </w:rPr>
              <w:t>Penalties.</w:t>
            </w:r>
          </w:p>
          <w:p w14:paraId="24D61038" w14:textId="77777777" w:rsidR="00245300" w:rsidRPr="00EC20A0" w:rsidRDefault="00F17249">
            <w:pPr>
              <w:pStyle w:val="TableParagraph"/>
              <w:spacing w:before="146"/>
              <w:ind w:left="97"/>
              <w:rPr>
                <w:sz w:val="18"/>
              </w:rPr>
            </w:pPr>
            <w:r w:rsidRPr="00EC20A0">
              <w:rPr>
                <w:sz w:val="18"/>
              </w:rPr>
              <w:t>Provision</w:t>
            </w:r>
            <w:r w:rsidRPr="00EC20A0">
              <w:rPr>
                <w:spacing w:val="-10"/>
                <w:sz w:val="18"/>
              </w:rPr>
              <w:t xml:space="preserve"> </w:t>
            </w:r>
            <w:r w:rsidRPr="00EC20A0">
              <w:rPr>
                <w:sz w:val="18"/>
              </w:rPr>
              <w:t>Type:</w:t>
            </w:r>
            <w:r w:rsidRPr="00EC20A0">
              <w:rPr>
                <w:spacing w:val="-8"/>
                <w:sz w:val="18"/>
              </w:rPr>
              <w:t xml:space="preserve"> </w:t>
            </w:r>
            <w:r w:rsidRPr="00EC20A0">
              <w:rPr>
                <w:sz w:val="18"/>
              </w:rPr>
              <w:t>Transaction-</w:t>
            </w:r>
            <w:r w:rsidRPr="00EC20A0">
              <w:rPr>
                <w:spacing w:val="-2"/>
                <w:sz w:val="18"/>
              </w:rPr>
              <w:t>based.</w:t>
            </w:r>
          </w:p>
          <w:p w14:paraId="24D61039" w14:textId="77777777" w:rsidR="00245300" w:rsidRPr="00EC20A0" w:rsidRDefault="00F17249">
            <w:pPr>
              <w:pStyle w:val="TableParagraph"/>
              <w:spacing w:before="143"/>
              <w:ind w:left="97" w:right="107"/>
              <w:rPr>
                <w:sz w:val="18"/>
              </w:rPr>
            </w:pPr>
            <w:r w:rsidRPr="00EC20A0">
              <w:rPr>
                <w:sz w:val="18"/>
              </w:rPr>
              <w:t>The entity shall assess, on a claim owed to it (</w:t>
            </w:r>
            <w:r w:rsidRPr="00EC20A0">
              <w:rPr>
                <w:i/>
                <w:sz w:val="18"/>
              </w:rPr>
              <w:t xml:space="preserve">i.e., </w:t>
            </w:r>
            <w:r w:rsidRPr="00EC20A0">
              <w:rPr>
                <w:sz w:val="18"/>
              </w:rPr>
              <w:t xml:space="preserve">a debt), a charge to cover the cost of processing and </w:t>
            </w:r>
            <w:r w:rsidRPr="00EC20A0">
              <w:rPr>
                <w:sz w:val="18"/>
              </w:rPr>
              <w:t>handling a delinquent claim (administrative</w:t>
            </w:r>
            <w:r w:rsidRPr="00EC20A0">
              <w:rPr>
                <w:spacing w:val="-6"/>
                <w:sz w:val="18"/>
              </w:rPr>
              <w:t xml:space="preserve"> </w:t>
            </w:r>
            <w:r w:rsidRPr="00EC20A0">
              <w:rPr>
                <w:sz w:val="18"/>
              </w:rPr>
              <w:t>costs),</w:t>
            </w:r>
            <w:r w:rsidRPr="00EC20A0">
              <w:rPr>
                <w:spacing w:val="-7"/>
                <w:sz w:val="18"/>
              </w:rPr>
              <w:t xml:space="preserve"> </w:t>
            </w:r>
            <w:r w:rsidRPr="00EC20A0">
              <w:rPr>
                <w:sz w:val="18"/>
              </w:rPr>
              <w:t>which</w:t>
            </w:r>
            <w:r w:rsidRPr="00EC20A0">
              <w:rPr>
                <w:spacing w:val="-8"/>
                <w:sz w:val="18"/>
              </w:rPr>
              <w:t xml:space="preserve"> </w:t>
            </w:r>
            <w:r w:rsidRPr="00EC20A0">
              <w:rPr>
                <w:sz w:val="18"/>
              </w:rPr>
              <w:t>shall</w:t>
            </w:r>
            <w:r w:rsidRPr="00EC20A0">
              <w:rPr>
                <w:spacing w:val="-6"/>
                <w:sz w:val="18"/>
              </w:rPr>
              <w:t xml:space="preserve"> </w:t>
            </w:r>
            <w:r w:rsidRPr="00EC20A0">
              <w:rPr>
                <w:sz w:val="18"/>
              </w:rPr>
              <w:t>be</w:t>
            </w:r>
            <w:r w:rsidRPr="00EC20A0">
              <w:rPr>
                <w:spacing w:val="-8"/>
                <w:sz w:val="18"/>
              </w:rPr>
              <w:t xml:space="preserve"> </w:t>
            </w:r>
            <w:r w:rsidRPr="00EC20A0">
              <w:rPr>
                <w:sz w:val="18"/>
              </w:rPr>
              <w:t>based</w:t>
            </w:r>
            <w:r w:rsidRPr="00EC20A0">
              <w:rPr>
                <w:spacing w:val="-8"/>
                <w:sz w:val="18"/>
              </w:rPr>
              <w:t xml:space="preserve"> </w:t>
            </w:r>
            <w:r w:rsidRPr="00EC20A0">
              <w:rPr>
                <w:sz w:val="18"/>
              </w:rPr>
              <w:t>on the actual costs incurred or upon estimated costs, as determined by the assessing entity. 31 U.S.C. § 3717(e)(1). The entity shall also assess on a claim owed to it a penalty charge (of not more than 6 percent a year) for failure to pay a part of a claim more than 90 days</w:t>
            </w:r>
            <w:r w:rsidRPr="00EC20A0">
              <w:rPr>
                <w:spacing w:val="40"/>
                <w:sz w:val="18"/>
              </w:rPr>
              <w:t xml:space="preserve"> </w:t>
            </w:r>
            <w:r w:rsidRPr="00EC20A0">
              <w:rPr>
                <w:sz w:val="18"/>
              </w:rPr>
              <w:t>past due. 31 U.S.C. § 3717(e)(2). These additional charges do not accrue</w:t>
            </w:r>
          </w:p>
          <w:p w14:paraId="24D6103A" w14:textId="77777777" w:rsidR="00245300" w:rsidRPr="00EC20A0" w:rsidRDefault="00F17249">
            <w:pPr>
              <w:pStyle w:val="TableParagraph"/>
              <w:spacing w:before="2"/>
              <w:ind w:left="97"/>
              <w:rPr>
                <w:sz w:val="18"/>
              </w:rPr>
            </w:pPr>
            <w:r w:rsidRPr="00EC20A0">
              <w:rPr>
                <w:sz w:val="18"/>
              </w:rPr>
              <w:t>interest.</w:t>
            </w:r>
            <w:hyperlink w:anchor="_bookmark103" w:history="1">
              <w:r w:rsidRPr="00EC20A0">
                <w:rPr>
                  <w:sz w:val="18"/>
                  <w:vertAlign w:val="superscript"/>
                </w:rPr>
                <w:t>29</w:t>
              </w:r>
            </w:hyperlink>
            <w:r w:rsidRPr="00EC20A0">
              <w:rPr>
                <w:sz w:val="18"/>
                <w:vertAlign w:val="superscript"/>
              </w:rPr>
              <w:t>,</w:t>
            </w:r>
            <w:hyperlink w:anchor="_bookmark104" w:history="1">
              <w:r w:rsidRPr="00EC20A0">
                <w:rPr>
                  <w:sz w:val="18"/>
                  <w:vertAlign w:val="superscript"/>
                </w:rPr>
                <w:t>30</w:t>
              </w:r>
            </w:hyperlink>
            <w:r w:rsidRPr="00EC20A0">
              <w:rPr>
                <w:sz w:val="18"/>
                <w:vertAlign w:val="superscript"/>
              </w:rPr>
              <w:t>,</w:t>
            </w:r>
            <w:hyperlink w:anchor="_bookmark105" w:history="1">
              <w:r w:rsidRPr="00EC20A0">
                <w:rPr>
                  <w:sz w:val="18"/>
                  <w:vertAlign w:val="superscript"/>
                </w:rPr>
                <w:t>31</w:t>
              </w:r>
            </w:hyperlink>
            <w:r w:rsidRPr="00EC20A0">
              <w:rPr>
                <w:spacing w:val="5"/>
                <w:sz w:val="18"/>
              </w:rPr>
              <w:t xml:space="preserve"> </w:t>
            </w:r>
            <w:r w:rsidRPr="00EC20A0">
              <w:rPr>
                <w:sz w:val="18"/>
              </w:rPr>
              <w:t>31</w:t>
            </w:r>
            <w:r w:rsidRPr="00EC20A0">
              <w:rPr>
                <w:spacing w:val="5"/>
                <w:sz w:val="18"/>
              </w:rPr>
              <w:t xml:space="preserve"> </w:t>
            </w:r>
            <w:r w:rsidRPr="00EC20A0">
              <w:rPr>
                <w:sz w:val="18"/>
              </w:rPr>
              <w:t>U.S.C.</w:t>
            </w:r>
            <w:r w:rsidRPr="00EC20A0">
              <w:rPr>
                <w:spacing w:val="6"/>
                <w:sz w:val="18"/>
              </w:rPr>
              <w:t xml:space="preserve"> </w:t>
            </w:r>
            <w:r w:rsidRPr="00EC20A0">
              <w:rPr>
                <w:sz w:val="18"/>
              </w:rPr>
              <w:t>§</w:t>
            </w:r>
            <w:r w:rsidRPr="00EC20A0">
              <w:rPr>
                <w:spacing w:val="6"/>
                <w:sz w:val="18"/>
              </w:rPr>
              <w:t xml:space="preserve"> </w:t>
            </w:r>
            <w:r w:rsidRPr="00EC20A0">
              <w:rPr>
                <w:spacing w:val="-2"/>
                <w:sz w:val="18"/>
              </w:rPr>
              <w:t>3717(f).</w:t>
            </w:r>
          </w:p>
        </w:tc>
        <w:tc>
          <w:tcPr>
            <w:tcW w:w="1791" w:type="dxa"/>
            <w:tcBorders>
              <w:left w:val="single" w:sz="4" w:space="0" w:color="000000"/>
              <w:bottom w:val="single" w:sz="4" w:space="0" w:color="000000"/>
              <w:right w:val="single" w:sz="4" w:space="0" w:color="000000"/>
            </w:tcBorders>
          </w:tcPr>
          <w:p w14:paraId="24D6103B" w14:textId="77777777" w:rsidR="00245300" w:rsidRPr="00EC20A0" w:rsidRDefault="00F17249">
            <w:pPr>
              <w:pStyle w:val="TableParagraph"/>
              <w:spacing w:before="143"/>
              <w:ind w:left="107" w:right="102"/>
              <w:rPr>
                <w:sz w:val="18"/>
              </w:rPr>
            </w:pPr>
            <w:r w:rsidRPr="00EC20A0">
              <w:rPr>
                <w:spacing w:val="-2"/>
                <w:sz w:val="18"/>
              </w:rPr>
              <w:t xml:space="preserve">Administrative </w:t>
            </w:r>
            <w:r w:rsidRPr="00EC20A0">
              <w:rPr>
                <w:sz w:val="18"/>
              </w:rPr>
              <w:t xml:space="preserve">charges and late payment penalties are </w:t>
            </w:r>
            <w:r w:rsidRPr="00EC20A0">
              <w:rPr>
                <w:sz w:val="18"/>
              </w:rPr>
              <w:t>properly calculated and charged on past due</w:t>
            </w:r>
            <w:r w:rsidRPr="00EC20A0">
              <w:rPr>
                <w:spacing w:val="-15"/>
                <w:sz w:val="18"/>
              </w:rPr>
              <w:t xml:space="preserve"> </w:t>
            </w:r>
            <w:r w:rsidRPr="00EC20A0">
              <w:rPr>
                <w:sz w:val="18"/>
              </w:rPr>
              <w:t>amounts.</w:t>
            </w:r>
            <w:r w:rsidRPr="00EC20A0">
              <w:rPr>
                <w:spacing w:val="-12"/>
                <w:sz w:val="18"/>
              </w:rPr>
              <w:t xml:space="preserve"> </w:t>
            </w:r>
            <w:r w:rsidRPr="00EC20A0">
              <w:rPr>
                <w:sz w:val="18"/>
              </w:rPr>
              <w:t>(See footnotes 28</w:t>
            </w:r>
          </w:p>
          <w:p w14:paraId="24D6103C" w14:textId="77777777" w:rsidR="00245300" w:rsidRPr="00EC20A0" w:rsidRDefault="00F17249">
            <w:pPr>
              <w:pStyle w:val="TableParagraph"/>
              <w:spacing w:before="2"/>
              <w:ind w:left="107"/>
              <w:rPr>
                <w:sz w:val="18"/>
              </w:rPr>
            </w:pPr>
            <w:r w:rsidRPr="00EC20A0">
              <w:rPr>
                <w:sz w:val="18"/>
              </w:rPr>
              <w:t>through</w:t>
            </w:r>
            <w:r w:rsidRPr="00EC20A0">
              <w:rPr>
                <w:spacing w:val="-3"/>
                <w:sz w:val="18"/>
              </w:rPr>
              <w:t xml:space="preserve"> </w:t>
            </w:r>
            <w:r w:rsidRPr="00EC20A0">
              <w:rPr>
                <w:sz w:val="18"/>
              </w:rPr>
              <w:t>30</w:t>
            </w:r>
            <w:r w:rsidRPr="00EC20A0">
              <w:rPr>
                <w:spacing w:val="-3"/>
                <w:sz w:val="18"/>
              </w:rPr>
              <w:t xml:space="preserve"> </w:t>
            </w:r>
            <w:r w:rsidRPr="00EC20A0">
              <w:rPr>
                <w:spacing w:val="-2"/>
                <w:sz w:val="18"/>
              </w:rPr>
              <w:t>below.)</w:t>
            </w:r>
          </w:p>
        </w:tc>
        <w:tc>
          <w:tcPr>
            <w:tcW w:w="2231" w:type="dxa"/>
            <w:tcBorders>
              <w:left w:val="single" w:sz="4" w:space="0" w:color="000000"/>
              <w:bottom w:val="single" w:sz="4" w:space="0" w:color="000000"/>
              <w:right w:val="single" w:sz="4" w:space="0" w:color="000000"/>
            </w:tcBorders>
          </w:tcPr>
          <w:p w14:paraId="24D6103D" w14:textId="77777777" w:rsidR="00245300" w:rsidRPr="00EC20A0" w:rsidRDefault="00245300">
            <w:pPr>
              <w:pStyle w:val="TableParagraph"/>
              <w:rPr>
                <w:sz w:val="18"/>
              </w:rPr>
            </w:pPr>
          </w:p>
        </w:tc>
        <w:tc>
          <w:tcPr>
            <w:tcW w:w="1524" w:type="dxa"/>
            <w:tcBorders>
              <w:left w:val="single" w:sz="4" w:space="0" w:color="000000"/>
              <w:bottom w:val="single" w:sz="4" w:space="0" w:color="000000"/>
              <w:right w:val="single" w:sz="4" w:space="0" w:color="000000"/>
            </w:tcBorders>
          </w:tcPr>
          <w:p w14:paraId="24D6103E" w14:textId="77777777" w:rsidR="00245300" w:rsidRPr="00EC20A0" w:rsidRDefault="00245300">
            <w:pPr>
              <w:pStyle w:val="TableParagraph"/>
              <w:rPr>
                <w:sz w:val="18"/>
              </w:rPr>
            </w:pPr>
          </w:p>
        </w:tc>
        <w:tc>
          <w:tcPr>
            <w:tcW w:w="1496" w:type="dxa"/>
            <w:tcBorders>
              <w:left w:val="single" w:sz="4" w:space="0" w:color="000000"/>
              <w:bottom w:val="single" w:sz="4" w:space="0" w:color="000000"/>
              <w:right w:val="single" w:sz="4" w:space="0" w:color="000000"/>
            </w:tcBorders>
          </w:tcPr>
          <w:p w14:paraId="24D6103F" w14:textId="77777777" w:rsidR="00245300" w:rsidRPr="00EC20A0" w:rsidRDefault="00245300">
            <w:pPr>
              <w:pStyle w:val="TableParagraph"/>
              <w:rPr>
                <w:sz w:val="18"/>
              </w:rPr>
            </w:pPr>
          </w:p>
        </w:tc>
        <w:tc>
          <w:tcPr>
            <w:tcW w:w="2185" w:type="dxa"/>
            <w:tcBorders>
              <w:left w:val="single" w:sz="4" w:space="0" w:color="000000"/>
              <w:bottom w:val="single" w:sz="4" w:space="0" w:color="000000"/>
            </w:tcBorders>
          </w:tcPr>
          <w:p w14:paraId="24D61040" w14:textId="77777777" w:rsidR="00245300" w:rsidRPr="00EC20A0" w:rsidRDefault="00F17249">
            <w:pPr>
              <w:pStyle w:val="TableParagraph"/>
              <w:spacing w:before="143"/>
              <w:ind w:left="110" w:right="3"/>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3"/>
                <w:sz w:val="18"/>
              </w:rPr>
              <w:t xml:space="preserve"> </w:t>
            </w:r>
            <w:r w:rsidRPr="00EC20A0">
              <w:rPr>
                <w:sz w:val="18"/>
              </w:rPr>
              <w:t>FAM</w:t>
            </w:r>
            <w:r w:rsidRPr="00EC20A0">
              <w:rPr>
                <w:spacing w:val="-3"/>
                <w:sz w:val="18"/>
              </w:rPr>
              <w:t xml:space="preserve"> </w:t>
            </w:r>
            <w:r w:rsidRPr="00EC20A0">
              <w:rPr>
                <w:spacing w:val="-5"/>
                <w:sz w:val="18"/>
              </w:rPr>
              <w:t>805</w:t>
            </w:r>
          </w:p>
          <w:p w14:paraId="24D61041" w14:textId="77777777" w:rsidR="00245300" w:rsidRPr="00EC20A0" w:rsidRDefault="00F17249">
            <w:pPr>
              <w:pStyle w:val="TableParagraph"/>
              <w:spacing w:before="1"/>
              <w:ind w:left="110"/>
              <w:rPr>
                <w:sz w:val="18"/>
              </w:rPr>
            </w:pPr>
            <w:r w:rsidRPr="00EC20A0">
              <w:rPr>
                <w:sz w:val="18"/>
              </w:rPr>
              <w:t>step</w:t>
            </w:r>
            <w:r w:rsidRPr="00EC20A0">
              <w:rPr>
                <w:spacing w:val="-2"/>
                <w:sz w:val="18"/>
              </w:rPr>
              <w:t xml:space="preserve"> </w:t>
            </w:r>
            <w:r w:rsidRPr="00EC20A0">
              <w:rPr>
                <w:sz w:val="18"/>
              </w:rPr>
              <w:t>3</w:t>
            </w:r>
            <w:r w:rsidRPr="00EC20A0">
              <w:rPr>
                <w:spacing w:val="-1"/>
                <w:sz w:val="18"/>
              </w:rPr>
              <w:t xml:space="preserve"> </w:t>
            </w:r>
            <w:r w:rsidRPr="00EC20A0">
              <w:rPr>
                <w:spacing w:val="-4"/>
                <w:sz w:val="18"/>
              </w:rPr>
              <w:t>(d).</w:t>
            </w:r>
          </w:p>
        </w:tc>
      </w:tr>
    </w:tbl>
    <w:p w14:paraId="24D61043" w14:textId="77777777" w:rsidR="00245300" w:rsidRPr="00EC20A0" w:rsidRDefault="00245300">
      <w:pPr>
        <w:pStyle w:val="BodyText"/>
        <w:rPr>
          <w:sz w:val="20"/>
        </w:rPr>
      </w:pPr>
    </w:p>
    <w:p w14:paraId="24D61044" w14:textId="77777777" w:rsidR="00245300" w:rsidRPr="00EC20A0" w:rsidRDefault="00245300">
      <w:pPr>
        <w:pStyle w:val="BodyText"/>
        <w:rPr>
          <w:sz w:val="20"/>
        </w:rPr>
      </w:pPr>
    </w:p>
    <w:p w14:paraId="24D61045" w14:textId="77777777" w:rsidR="00245300" w:rsidRPr="00EC20A0" w:rsidRDefault="00245300">
      <w:pPr>
        <w:pStyle w:val="BodyText"/>
        <w:rPr>
          <w:sz w:val="20"/>
        </w:rPr>
      </w:pPr>
    </w:p>
    <w:p w14:paraId="24D61046" w14:textId="77777777" w:rsidR="00245300" w:rsidRPr="00EC20A0" w:rsidRDefault="00F17249">
      <w:pPr>
        <w:pStyle w:val="BodyText"/>
        <w:spacing w:before="54"/>
        <w:rPr>
          <w:sz w:val="20"/>
        </w:rPr>
      </w:pPr>
      <w:r w:rsidRPr="00EC20A0">
        <w:rPr>
          <w:noProof/>
        </w:rPr>
        <mc:AlternateContent>
          <mc:Choice Requires="wps">
            <w:drawing>
              <wp:anchor distT="0" distB="0" distL="0" distR="0" simplePos="0" relativeHeight="487654912" behindDoc="1" locked="0" layoutInCell="1" allowOverlap="1" wp14:anchorId="24D62BC3" wp14:editId="24D62BC4">
                <wp:simplePos x="0" y="0"/>
                <wp:positionH relativeFrom="page">
                  <wp:posOffset>685800</wp:posOffset>
                </wp:positionH>
                <wp:positionV relativeFrom="paragraph">
                  <wp:posOffset>195998</wp:posOffset>
                </wp:positionV>
                <wp:extent cx="1828800" cy="6985"/>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80A7F" id="Graphic 506" o:spid="_x0000_s1026" style="position:absolute;margin-left:54pt;margin-top:15.45pt;width:2in;height:.55pt;z-index:-156615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" path="m1828800,l,,,6857r1828800,l1828800,xe" fillcolor="black" stroked="f">
                <v:path arrowok="t"/>
                <w10:wrap type="topAndBottom" anchorx="page"/>
              </v:shape>
            </w:pict>
          </mc:Fallback>
        </mc:AlternateContent>
      </w:r>
    </w:p>
    <w:p w14:paraId="24D61047" w14:textId="77777777" w:rsidR="00245300" w:rsidRPr="00EC20A0" w:rsidRDefault="00245300">
      <w:pPr>
        <w:pStyle w:val="BodyText"/>
        <w:spacing w:before="10"/>
        <w:rPr>
          <w:sz w:val="18"/>
        </w:rPr>
      </w:pPr>
    </w:p>
    <w:p w14:paraId="24D61048" w14:textId="77777777" w:rsidR="00245300" w:rsidRPr="00EC20A0" w:rsidRDefault="00F17249">
      <w:pPr>
        <w:spacing w:line="249" w:lineRule="auto"/>
        <w:ind w:left="119" w:right="93"/>
        <w:rPr>
          <w:sz w:val="18"/>
        </w:rPr>
      </w:pPr>
      <w:r w:rsidRPr="00EC20A0">
        <w:rPr>
          <w:position w:val="7"/>
          <w:sz w:val="14"/>
        </w:rPr>
        <w:t>29</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may</w:t>
      </w:r>
      <w:r w:rsidRPr="00EC20A0">
        <w:rPr>
          <w:spacing w:val="-1"/>
          <w:sz w:val="18"/>
        </w:rPr>
        <w:t xml:space="preserve"> </w:t>
      </w:r>
      <w:r w:rsidRPr="00EC20A0">
        <w:rPr>
          <w:sz w:val="18"/>
        </w:rPr>
        <w:t>not</w:t>
      </w:r>
      <w:r w:rsidRPr="00EC20A0">
        <w:rPr>
          <w:spacing w:val="-2"/>
          <w:sz w:val="18"/>
        </w:rPr>
        <w:t xml:space="preserve"> </w:t>
      </w:r>
      <w:r w:rsidRPr="00EC20A0">
        <w:rPr>
          <w:sz w:val="18"/>
        </w:rPr>
        <w:t>assess</w:t>
      </w:r>
      <w:r w:rsidRPr="00EC20A0">
        <w:rPr>
          <w:spacing w:val="-2"/>
          <w:sz w:val="18"/>
        </w:rPr>
        <w:t xml:space="preserve"> </w:t>
      </w:r>
      <w:r w:rsidRPr="00EC20A0">
        <w:rPr>
          <w:sz w:val="18"/>
        </w:rPr>
        <w:t>interest,</w:t>
      </w:r>
      <w:r w:rsidRPr="00EC20A0">
        <w:rPr>
          <w:spacing w:val="-2"/>
          <w:sz w:val="18"/>
        </w:rPr>
        <w:t xml:space="preserve"> </w:t>
      </w:r>
      <w:r w:rsidRPr="00EC20A0">
        <w:rPr>
          <w:sz w:val="18"/>
        </w:rPr>
        <w:t>administrative</w:t>
      </w:r>
      <w:r w:rsidRPr="00EC20A0">
        <w:rPr>
          <w:spacing w:val="-3"/>
          <w:sz w:val="18"/>
        </w:rPr>
        <w:t xml:space="preserve"> </w:t>
      </w:r>
      <w:r w:rsidRPr="00EC20A0">
        <w:rPr>
          <w:sz w:val="18"/>
        </w:rPr>
        <w:t>costs,</w:t>
      </w:r>
      <w:r w:rsidRPr="00EC20A0">
        <w:rPr>
          <w:spacing w:val="-2"/>
          <w:sz w:val="18"/>
        </w:rPr>
        <w:t xml:space="preserve"> </w:t>
      </w:r>
      <w:r w:rsidRPr="00EC20A0">
        <w:rPr>
          <w:sz w:val="18"/>
        </w:rPr>
        <w:t>or</w:t>
      </w:r>
      <w:r w:rsidRPr="00EC20A0">
        <w:rPr>
          <w:spacing w:val="-2"/>
          <w:sz w:val="18"/>
        </w:rPr>
        <w:t xml:space="preserve"> </w:t>
      </w:r>
      <w:r w:rsidRPr="00EC20A0">
        <w:rPr>
          <w:sz w:val="18"/>
        </w:rPr>
        <w:t>penalty</w:t>
      </w:r>
      <w:r w:rsidRPr="00EC20A0">
        <w:rPr>
          <w:spacing w:val="-2"/>
          <w:sz w:val="18"/>
        </w:rPr>
        <w:t xml:space="preserve"> </w:t>
      </w:r>
      <w:r w:rsidRPr="00EC20A0">
        <w:rPr>
          <w:sz w:val="18"/>
        </w:rPr>
        <w:t>charges</w:t>
      </w:r>
      <w:r w:rsidRPr="00EC20A0">
        <w:rPr>
          <w:spacing w:val="-2"/>
          <w:sz w:val="18"/>
        </w:rPr>
        <w:t xml:space="preserve"> </w:t>
      </w:r>
      <w:r w:rsidRPr="00EC20A0">
        <w:rPr>
          <w:sz w:val="18"/>
        </w:rPr>
        <w:t>under</w:t>
      </w:r>
      <w:r w:rsidRPr="00EC20A0">
        <w:rPr>
          <w:spacing w:val="-2"/>
          <w:sz w:val="18"/>
        </w:rPr>
        <w:t xml:space="preserve"> </w:t>
      </w:r>
      <w:r w:rsidRPr="00EC20A0">
        <w:rPr>
          <w:sz w:val="18"/>
        </w:rPr>
        <w:t>31</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3717</w:t>
      </w:r>
      <w:r w:rsidRPr="00EC20A0">
        <w:rPr>
          <w:spacing w:val="-3"/>
          <w:sz w:val="18"/>
        </w:rPr>
        <w:t xml:space="preserve"> </w:t>
      </w:r>
      <w:r w:rsidRPr="00EC20A0">
        <w:rPr>
          <w:sz w:val="18"/>
        </w:rPr>
        <w:t>if</w:t>
      </w:r>
      <w:r w:rsidRPr="00EC20A0">
        <w:rPr>
          <w:spacing w:val="-2"/>
          <w:sz w:val="18"/>
        </w:rPr>
        <w:t xml:space="preserve"> </w:t>
      </w:r>
      <w:r w:rsidRPr="00EC20A0">
        <w:rPr>
          <w:sz w:val="18"/>
        </w:rPr>
        <w:t>a</w:t>
      </w:r>
      <w:r w:rsidRPr="00EC20A0">
        <w:rPr>
          <w:spacing w:val="-1"/>
          <w:sz w:val="18"/>
        </w:rPr>
        <w:t xml:space="preserve"> </w:t>
      </w:r>
      <w:r w:rsidRPr="00EC20A0">
        <w:rPr>
          <w:sz w:val="18"/>
        </w:rPr>
        <w:t>statute,</w:t>
      </w:r>
      <w:r w:rsidRPr="00EC20A0">
        <w:rPr>
          <w:spacing w:val="-2"/>
          <w:sz w:val="18"/>
        </w:rPr>
        <w:t xml:space="preserve"> </w:t>
      </w:r>
      <w:r w:rsidRPr="00EC20A0">
        <w:rPr>
          <w:sz w:val="18"/>
        </w:rPr>
        <w:t>a</w:t>
      </w:r>
      <w:r w:rsidRPr="00EC20A0">
        <w:rPr>
          <w:spacing w:val="-3"/>
          <w:sz w:val="18"/>
        </w:rPr>
        <w:t xml:space="preserve"> </w:t>
      </w:r>
      <w:r w:rsidRPr="00EC20A0">
        <w:rPr>
          <w:sz w:val="18"/>
        </w:rPr>
        <w:t>regulation</w:t>
      </w:r>
      <w:r w:rsidRPr="00EC20A0">
        <w:rPr>
          <w:spacing w:val="-3"/>
          <w:sz w:val="18"/>
        </w:rPr>
        <w:t xml:space="preserve"> </w:t>
      </w:r>
      <w:r w:rsidRPr="00EC20A0">
        <w:rPr>
          <w:sz w:val="18"/>
        </w:rPr>
        <w:t>required</w:t>
      </w:r>
      <w:r w:rsidRPr="00EC20A0">
        <w:rPr>
          <w:spacing w:val="-1"/>
          <w:sz w:val="18"/>
        </w:rPr>
        <w:t xml:space="preserve"> </w:t>
      </w:r>
      <w:r w:rsidRPr="00EC20A0">
        <w:rPr>
          <w:sz w:val="18"/>
        </w:rPr>
        <w:t>by</w:t>
      </w:r>
      <w:r w:rsidRPr="00EC20A0">
        <w:rPr>
          <w:spacing w:val="-2"/>
          <w:sz w:val="18"/>
        </w:rPr>
        <w:t xml:space="preserve"> </w:t>
      </w:r>
      <w:r w:rsidRPr="00EC20A0">
        <w:rPr>
          <w:sz w:val="18"/>
        </w:rPr>
        <w:t>statute,</w:t>
      </w:r>
      <w:r w:rsidRPr="00EC20A0">
        <w:rPr>
          <w:spacing w:val="-2"/>
          <w:sz w:val="18"/>
        </w:rPr>
        <w:t xml:space="preserve"> </w:t>
      </w:r>
      <w:r w:rsidRPr="00EC20A0">
        <w:rPr>
          <w:sz w:val="18"/>
        </w:rPr>
        <w:t>a</w:t>
      </w:r>
      <w:r w:rsidRPr="00EC20A0">
        <w:rPr>
          <w:spacing w:val="-3"/>
          <w:sz w:val="18"/>
        </w:rPr>
        <w:t xml:space="preserve"> </w:t>
      </w:r>
      <w:r w:rsidRPr="00EC20A0">
        <w:rPr>
          <w:sz w:val="18"/>
        </w:rPr>
        <w:t>loan</w:t>
      </w:r>
      <w:r w:rsidRPr="00EC20A0">
        <w:rPr>
          <w:spacing w:val="-3"/>
          <w:sz w:val="18"/>
        </w:rPr>
        <w:t xml:space="preserve"> </w:t>
      </w:r>
      <w:r w:rsidRPr="00EC20A0">
        <w:rPr>
          <w:sz w:val="18"/>
        </w:rPr>
        <w:t>agreement,</w:t>
      </w:r>
      <w:r w:rsidRPr="00EC20A0">
        <w:rPr>
          <w:spacing w:val="-2"/>
          <w:sz w:val="18"/>
        </w:rPr>
        <w:t xml:space="preserve"> </w:t>
      </w:r>
      <w:r w:rsidRPr="00EC20A0">
        <w:rPr>
          <w:sz w:val="18"/>
        </w:rPr>
        <w:t>or a contract prohibits assessing charges or explicitly fixes the charges. 31 U.S.C. § 3717(g).</w:t>
      </w:r>
    </w:p>
    <w:p w14:paraId="24D61049" w14:textId="77777777" w:rsidR="00245300" w:rsidRPr="00EC20A0" w:rsidRDefault="00F17249">
      <w:pPr>
        <w:spacing w:before="117" w:line="244" w:lineRule="auto"/>
        <w:ind w:left="119" w:right="211"/>
        <w:rPr>
          <w:sz w:val="18"/>
        </w:rPr>
      </w:pPr>
      <w:r w:rsidRPr="00EC20A0">
        <w:rPr>
          <w:position w:val="7"/>
          <w:sz w:val="14"/>
        </w:rPr>
        <w:t>30</w:t>
      </w:r>
      <w:r w:rsidRPr="00EC20A0">
        <w:rPr>
          <w:sz w:val="18"/>
        </w:rPr>
        <w:t>The entity has the authority to waive the collection of interest, penalties, and administrative charges. 31 U.S.C. § 3717(h). To do so, the entity shall prescribe regulations</w:t>
      </w:r>
      <w:r w:rsidRPr="00EC20A0">
        <w:rPr>
          <w:spacing w:val="-2"/>
          <w:sz w:val="18"/>
        </w:rPr>
        <w:t xml:space="preserve"> </w:t>
      </w:r>
      <w:r w:rsidRPr="00EC20A0">
        <w:rPr>
          <w:sz w:val="18"/>
        </w:rPr>
        <w:t>identifying</w:t>
      </w:r>
      <w:r w:rsidRPr="00EC20A0">
        <w:rPr>
          <w:spacing w:val="-3"/>
          <w:sz w:val="18"/>
        </w:rPr>
        <w:t xml:space="preserve"> </w:t>
      </w:r>
      <w:r w:rsidRPr="00EC20A0">
        <w:rPr>
          <w:sz w:val="18"/>
        </w:rPr>
        <w:t>the</w:t>
      </w:r>
      <w:r w:rsidRPr="00EC20A0">
        <w:rPr>
          <w:spacing w:val="-3"/>
          <w:sz w:val="18"/>
        </w:rPr>
        <w:t xml:space="preserve"> </w:t>
      </w:r>
      <w:r w:rsidRPr="00EC20A0">
        <w:rPr>
          <w:sz w:val="18"/>
        </w:rPr>
        <w:t>circumstances</w:t>
      </w:r>
      <w:r w:rsidRPr="00EC20A0">
        <w:rPr>
          <w:spacing w:val="-2"/>
          <w:sz w:val="18"/>
        </w:rPr>
        <w:t xml:space="preserve"> </w:t>
      </w:r>
      <w:r w:rsidRPr="00EC20A0">
        <w:rPr>
          <w:sz w:val="18"/>
        </w:rPr>
        <w:t>that</w:t>
      </w:r>
      <w:r w:rsidRPr="00EC20A0">
        <w:rPr>
          <w:spacing w:val="-1"/>
          <w:sz w:val="18"/>
        </w:rPr>
        <w:t xml:space="preserve"> </w:t>
      </w:r>
      <w:r w:rsidRPr="00EC20A0">
        <w:rPr>
          <w:sz w:val="18"/>
        </w:rPr>
        <w:t>are</w:t>
      </w:r>
      <w:r w:rsidRPr="00EC20A0">
        <w:rPr>
          <w:spacing w:val="-3"/>
          <w:sz w:val="18"/>
        </w:rPr>
        <w:t xml:space="preserve"> </w:t>
      </w:r>
      <w:r w:rsidRPr="00EC20A0">
        <w:rPr>
          <w:sz w:val="18"/>
        </w:rPr>
        <w:t>appropriate</w:t>
      </w:r>
      <w:r w:rsidRPr="00EC20A0">
        <w:rPr>
          <w:spacing w:val="-3"/>
          <w:sz w:val="18"/>
        </w:rPr>
        <w:t xml:space="preserve"> </w:t>
      </w:r>
      <w:r w:rsidRPr="00EC20A0">
        <w:rPr>
          <w:sz w:val="18"/>
        </w:rPr>
        <w:t>for</w:t>
      </w:r>
      <w:r w:rsidRPr="00EC20A0">
        <w:rPr>
          <w:spacing w:val="-2"/>
          <w:sz w:val="18"/>
        </w:rPr>
        <w:t xml:space="preserve"> </w:t>
      </w:r>
      <w:r w:rsidRPr="00EC20A0">
        <w:rPr>
          <w:sz w:val="18"/>
        </w:rPr>
        <w:t>waiving</w:t>
      </w:r>
      <w:r w:rsidRPr="00EC20A0">
        <w:rPr>
          <w:spacing w:val="-3"/>
          <w:sz w:val="18"/>
        </w:rPr>
        <w:t xml:space="preserve"> </w:t>
      </w:r>
      <w:r w:rsidRPr="00EC20A0">
        <w:rPr>
          <w:sz w:val="18"/>
        </w:rPr>
        <w:t>interest</w:t>
      </w:r>
      <w:r w:rsidRPr="00EC20A0">
        <w:rPr>
          <w:spacing w:val="-2"/>
          <w:sz w:val="18"/>
        </w:rPr>
        <w:t xml:space="preserve"> </w:t>
      </w:r>
      <w:r w:rsidRPr="00EC20A0">
        <w:rPr>
          <w:sz w:val="18"/>
        </w:rPr>
        <w:t>collection,</w:t>
      </w:r>
      <w:r w:rsidRPr="00EC20A0">
        <w:rPr>
          <w:spacing w:val="-2"/>
          <w:sz w:val="18"/>
        </w:rPr>
        <w:t xml:space="preserve"> </w:t>
      </w:r>
      <w:r w:rsidRPr="00EC20A0">
        <w:rPr>
          <w:sz w:val="18"/>
        </w:rPr>
        <w:t>and</w:t>
      </w:r>
      <w:r w:rsidRPr="00EC20A0">
        <w:rPr>
          <w:spacing w:val="-2"/>
          <w:sz w:val="18"/>
        </w:rPr>
        <w:t xml:space="preserve"> </w:t>
      </w:r>
      <w:r w:rsidRPr="00EC20A0">
        <w:rPr>
          <w:sz w:val="18"/>
        </w:rPr>
        <w:t>such</w:t>
      </w:r>
      <w:r w:rsidRPr="00EC20A0">
        <w:rPr>
          <w:spacing w:val="-3"/>
          <w:sz w:val="18"/>
        </w:rPr>
        <w:t xml:space="preserve"> </w:t>
      </w:r>
      <w:r w:rsidRPr="00EC20A0">
        <w:rPr>
          <w:sz w:val="18"/>
        </w:rPr>
        <w:t>regulations</w:t>
      </w:r>
      <w:r w:rsidRPr="00EC20A0">
        <w:rPr>
          <w:spacing w:val="-2"/>
          <w:sz w:val="18"/>
        </w:rPr>
        <w:t xml:space="preserve"> </w:t>
      </w:r>
      <w:r w:rsidRPr="00EC20A0">
        <w:rPr>
          <w:sz w:val="18"/>
        </w:rPr>
        <w:t>shall</w:t>
      </w:r>
      <w:r w:rsidRPr="00EC20A0">
        <w:rPr>
          <w:spacing w:val="-2"/>
          <w:sz w:val="18"/>
        </w:rPr>
        <w:t xml:space="preserve"> </w:t>
      </w:r>
      <w:r w:rsidRPr="00EC20A0">
        <w:rPr>
          <w:sz w:val="18"/>
        </w:rPr>
        <w:t>be</w:t>
      </w:r>
      <w:r w:rsidRPr="00EC20A0">
        <w:rPr>
          <w:spacing w:val="-2"/>
          <w:sz w:val="18"/>
        </w:rPr>
        <w:t xml:space="preserve"> </w:t>
      </w:r>
      <w:r w:rsidRPr="00EC20A0">
        <w:rPr>
          <w:sz w:val="18"/>
        </w:rPr>
        <w:t>in</w:t>
      </w:r>
      <w:r w:rsidRPr="00EC20A0">
        <w:rPr>
          <w:spacing w:val="-3"/>
          <w:sz w:val="18"/>
        </w:rPr>
        <w:t xml:space="preserve"> </w:t>
      </w:r>
      <w:r w:rsidRPr="00EC20A0">
        <w:rPr>
          <w:sz w:val="18"/>
        </w:rPr>
        <w:t>conformity</w:t>
      </w:r>
      <w:r w:rsidRPr="00EC20A0">
        <w:rPr>
          <w:spacing w:val="-2"/>
          <w:sz w:val="18"/>
        </w:rPr>
        <w:t xml:space="preserve"> </w:t>
      </w:r>
      <w:r w:rsidRPr="00EC20A0">
        <w:rPr>
          <w:sz w:val="18"/>
        </w:rPr>
        <w:t>with</w:t>
      </w:r>
      <w:r w:rsidRPr="00EC20A0">
        <w:rPr>
          <w:spacing w:val="-3"/>
          <w:sz w:val="18"/>
        </w:rPr>
        <w:t xml:space="preserve"> </w:t>
      </w:r>
      <w:r w:rsidRPr="00EC20A0">
        <w:rPr>
          <w:sz w:val="18"/>
        </w:rPr>
        <w:t>standards</w:t>
      </w:r>
      <w:r w:rsidRPr="00EC20A0">
        <w:rPr>
          <w:spacing w:val="-2"/>
          <w:sz w:val="18"/>
        </w:rPr>
        <w:t xml:space="preserve"> </w:t>
      </w:r>
      <w:r w:rsidRPr="00EC20A0">
        <w:rPr>
          <w:sz w:val="18"/>
        </w:rPr>
        <w:t>prescribed jointly by the U.S. Comptroller General, the U.S. Attorney General, and the Secretary of the Treasury. 31 U.S.C. § 3717(h).</w:t>
      </w:r>
    </w:p>
    <w:p w14:paraId="24D6104A" w14:textId="77777777" w:rsidR="00245300" w:rsidRPr="00EC20A0" w:rsidRDefault="00F17249">
      <w:pPr>
        <w:spacing w:before="121" w:line="249" w:lineRule="auto"/>
        <w:ind w:left="120" w:right="181" w:hanging="1"/>
        <w:rPr>
          <w:sz w:val="18"/>
        </w:rPr>
      </w:pPr>
      <w:r w:rsidRPr="00EC20A0">
        <w:rPr>
          <w:position w:val="7"/>
          <w:sz w:val="14"/>
        </w:rPr>
        <w:t>31</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may</w:t>
      </w:r>
      <w:r w:rsidRPr="00EC20A0">
        <w:rPr>
          <w:spacing w:val="-1"/>
          <w:sz w:val="18"/>
        </w:rPr>
        <w:t xml:space="preserve"> </w:t>
      </w:r>
      <w:r w:rsidRPr="00EC20A0">
        <w:rPr>
          <w:sz w:val="18"/>
        </w:rPr>
        <w:t>increase</w:t>
      </w:r>
      <w:r w:rsidRPr="00EC20A0">
        <w:rPr>
          <w:spacing w:val="-3"/>
          <w:sz w:val="18"/>
        </w:rPr>
        <w:t xml:space="preserve"> </w:t>
      </w:r>
      <w:r w:rsidRPr="00EC20A0">
        <w:rPr>
          <w:sz w:val="18"/>
        </w:rPr>
        <w:t>an</w:t>
      </w:r>
      <w:r w:rsidRPr="00EC20A0">
        <w:rPr>
          <w:spacing w:val="-3"/>
          <w:sz w:val="18"/>
        </w:rPr>
        <w:t xml:space="preserve"> </w:t>
      </w:r>
      <w:r w:rsidRPr="00EC20A0">
        <w:rPr>
          <w:sz w:val="18"/>
        </w:rPr>
        <w:t>administrative</w:t>
      </w:r>
      <w:r w:rsidRPr="00EC20A0">
        <w:rPr>
          <w:spacing w:val="-3"/>
          <w:sz w:val="18"/>
        </w:rPr>
        <w:t xml:space="preserve"> </w:t>
      </w:r>
      <w:r w:rsidRPr="00EC20A0">
        <w:rPr>
          <w:sz w:val="18"/>
        </w:rPr>
        <w:t>claim</w:t>
      </w:r>
      <w:r w:rsidRPr="00EC20A0">
        <w:rPr>
          <w:spacing w:val="-2"/>
          <w:sz w:val="18"/>
        </w:rPr>
        <w:t xml:space="preserve"> </w:t>
      </w:r>
      <w:r w:rsidRPr="00EC20A0">
        <w:rPr>
          <w:sz w:val="18"/>
        </w:rPr>
        <w:t>(a</w:t>
      </w:r>
      <w:r w:rsidRPr="00EC20A0">
        <w:rPr>
          <w:spacing w:val="-3"/>
          <w:sz w:val="18"/>
        </w:rPr>
        <w:t xml:space="preserve"> </w:t>
      </w:r>
      <w:r w:rsidRPr="00EC20A0">
        <w:rPr>
          <w:sz w:val="18"/>
        </w:rPr>
        <w:t>debt</w:t>
      </w:r>
      <w:r w:rsidRPr="00EC20A0">
        <w:rPr>
          <w:spacing w:val="-2"/>
          <w:sz w:val="18"/>
        </w:rPr>
        <w:t xml:space="preserve"> </w:t>
      </w:r>
      <w:r w:rsidRPr="00EC20A0">
        <w:rPr>
          <w:sz w:val="18"/>
        </w:rPr>
        <w:t>not based</w:t>
      </w:r>
      <w:r w:rsidRPr="00EC20A0">
        <w:rPr>
          <w:spacing w:val="-3"/>
          <w:sz w:val="18"/>
        </w:rPr>
        <w:t xml:space="preserve"> </w:t>
      </w:r>
      <w:r w:rsidRPr="00EC20A0">
        <w:rPr>
          <w:sz w:val="18"/>
        </w:rPr>
        <w:t>on</w:t>
      </w:r>
      <w:r w:rsidRPr="00EC20A0">
        <w:rPr>
          <w:spacing w:val="-3"/>
          <w:sz w:val="18"/>
        </w:rPr>
        <w:t xml:space="preserve"> </w:t>
      </w:r>
      <w:r w:rsidRPr="00EC20A0">
        <w:rPr>
          <w:sz w:val="18"/>
        </w:rPr>
        <w:t>an</w:t>
      </w:r>
      <w:r w:rsidRPr="00EC20A0">
        <w:rPr>
          <w:spacing w:val="-3"/>
          <w:sz w:val="18"/>
        </w:rPr>
        <w:t xml:space="preserve"> </w:t>
      </w:r>
      <w:r w:rsidRPr="00EC20A0">
        <w:rPr>
          <w:sz w:val="18"/>
        </w:rPr>
        <w:t>extension</w:t>
      </w:r>
      <w:r w:rsidRPr="00EC20A0">
        <w:rPr>
          <w:spacing w:val="-3"/>
          <w:sz w:val="18"/>
        </w:rPr>
        <w:t xml:space="preserve"> </w:t>
      </w:r>
      <w:r w:rsidRPr="00EC20A0">
        <w:rPr>
          <w:sz w:val="18"/>
        </w:rPr>
        <w:t>of</w:t>
      </w:r>
      <w:r w:rsidRPr="00EC20A0">
        <w:rPr>
          <w:spacing w:val="-2"/>
          <w:sz w:val="18"/>
        </w:rPr>
        <w:t xml:space="preserve"> </w:t>
      </w:r>
      <w:r w:rsidRPr="00EC20A0">
        <w:rPr>
          <w:sz w:val="18"/>
        </w:rPr>
        <w:t>government</w:t>
      </w:r>
      <w:r w:rsidRPr="00EC20A0">
        <w:rPr>
          <w:spacing w:val="-2"/>
          <w:sz w:val="18"/>
        </w:rPr>
        <w:t xml:space="preserve"> </w:t>
      </w:r>
      <w:r w:rsidRPr="00EC20A0">
        <w:rPr>
          <w:sz w:val="18"/>
        </w:rPr>
        <w:t>credit</w:t>
      </w:r>
      <w:r w:rsidRPr="00EC20A0">
        <w:rPr>
          <w:spacing w:val="-2"/>
          <w:sz w:val="18"/>
        </w:rPr>
        <w:t xml:space="preserve"> </w:t>
      </w:r>
      <w:r w:rsidRPr="00EC20A0">
        <w:rPr>
          <w:sz w:val="18"/>
        </w:rPr>
        <w:t>through</w:t>
      </w:r>
      <w:r w:rsidRPr="00EC20A0">
        <w:rPr>
          <w:spacing w:val="-3"/>
          <w:sz w:val="18"/>
        </w:rPr>
        <w:t xml:space="preserve"> </w:t>
      </w:r>
      <w:r w:rsidRPr="00EC20A0">
        <w:rPr>
          <w:sz w:val="18"/>
        </w:rPr>
        <w:t>direct</w:t>
      </w:r>
      <w:r w:rsidRPr="00EC20A0">
        <w:rPr>
          <w:spacing w:val="-2"/>
          <w:sz w:val="18"/>
        </w:rPr>
        <w:t xml:space="preserve"> </w:t>
      </w:r>
      <w:r w:rsidRPr="00EC20A0">
        <w:rPr>
          <w:sz w:val="18"/>
        </w:rPr>
        <w:t>loans,</w:t>
      </w:r>
      <w:r w:rsidRPr="00EC20A0">
        <w:rPr>
          <w:spacing w:val="-2"/>
          <w:sz w:val="18"/>
        </w:rPr>
        <w:t xml:space="preserve"> </w:t>
      </w:r>
      <w:r w:rsidRPr="00EC20A0">
        <w:rPr>
          <w:sz w:val="18"/>
        </w:rPr>
        <w:t>guarantees,</w:t>
      </w:r>
      <w:r w:rsidRPr="00EC20A0">
        <w:rPr>
          <w:spacing w:val="-2"/>
          <w:sz w:val="18"/>
        </w:rPr>
        <w:t xml:space="preserve"> </w:t>
      </w:r>
      <w:r w:rsidRPr="00EC20A0">
        <w:rPr>
          <w:sz w:val="18"/>
        </w:rPr>
        <w:t>or</w:t>
      </w:r>
      <w:r w:rsidRPr="00EC20A0">
        <w:rPr>
          <w:spacing w:val="-2"/>
          <w:sz w:val="18"/>
        </w:rPr>
        <w:t xml:space="preserve"> </w:t>
      </w:r>
      <w:r w:rsidRPr="00EC20A0">
        <w:rPr>
          <w:sz w:val="18"/>
        </w:rPr>
        <w:t>insurance,</w:t>
      </w:r>
      <w:r w:rsidRPr="00EC20A0">
        <w:rPr>
          <w:spacing w:val="-2"/>
          <w:sz w:val="18"/>
        </w:rPr>
        <w:t xml:space="preserve"> </w:t>
      </w:r>
      <w:r w:rsidRPr="00EC20A0">
        <w:rPr>
          <w:sz w:val="18"/>
        </w:rPr>
        <w:t>including fines, penalties, and overpayments) annually by the cost of living adjustment in lieu of charging interest and penalties. 31 U.S.C. § 3717(i).</w:t>
      </w:r>
    </w:p>
    <w:p w14:paraId="24D6104B" w14:textId="77777777" w:rsidR="00245300" w:rsidRPr="00EC20A0" w:rsidRDefault="00245300">
      <w:pPr>
        <w:spacing w:line="249" w:lineRule="auto"/>
        <w:rPr>
          <w:sz w:val="18"/>
        </w:rPr>
        <w:sectPr w:rsidR="00245300" w:rsidRPr="00EC20A0">
          <w:pgSz w:w="15840" w:h="12240" w:orient="landscape"/>
          <w:pgMar w:top="1440" w:right="1340" w:bottom="940" w:left="960" w:header="721" w:footer="742" w:gutter="0"/>
          <w:cols w:space="720"/>
        </w:sect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245300" w:rsidRPr="00EC20A0" w14:paraId="24D6104F" w14:textId="77777777">
        <w:trPr>
          <w:trHeight w:val="1574"/>
        </w:trPr>
        <w:tc>
          <w:tcPr>
            <w:tcW w:w="13170" w:type="dxa"/>
            <w:gridSpan w:val="6"/>
          </w:tcPr>
          <w:p w14:paraId="24D6104C" w14:textId="77777777" w:rsidR="00245300" w:rsidRPr="00EC20A0" w:rsidRDefault="00F17249">
            <w:pPr>
              <w:pStyle w:val="TableParagraph"/>
              <w:tabs>
                <w:tab w:val="left" w:pos="9184"/>
              </w:tabs>
              <w:spacing w:before="144"/>
              <w:ind w:right="1919"/>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15" w:name="_bookmark106"/>
            <w:bookmarkStart w:id="216" w:name="_bookmark107"/>
            <w:bookmarkEnd w:id="215"/>
            <w:bookmarkEnd w:id="216"/>
            <w:r w:rsidRPr="00EC20A0">
              <w:t>Prepared</w:t>
            </w:r>
            <w:r w:rsidRPr="00EC20A0">
              <w:rPr>
                <w:spacing w:val="-11"/>
              </w:rPr>
              <w:t xml:space="preserve"> </w:t>
            </w:r>
            <w:r w:rsidRPr="00EC20A0">
              <w:rPr>
                <w:spacing w:val="-5"/>
              </w:rPr>
              <w:t>by:</w:t>
            </w:r>
          </w:p>
          <w:p w14:paraId="24D6104D" w14:textId="77777777" w:rsidR="00245300" w:rsidRPr="00EC20A0" w:rsidRDefault="00F17249">
            <w:pPr>
              <w:pStyle w:val="TableParagraph"/>
              <w:spacing w:before="12"/>
              <w:ind w:left="1945" w:right="1918"/>
              <w:jc w:val="center"/>
              <w:rPr>
                <w:b/>
                <w:sz w:val="24"/>
              </w:rPr>
            </w:pPr>
            <w:r w:rsidRPr="00EC20A0">
              <w:rPr>
                <w:noProof/>
              </w:rPr>
              <mc:AlternateContent>
                <mc:Choice Requires="wpg">
                  <w:drawing>
                    <wp:anchor distT="0" distB="0" distL="0" distR="0" simplePos="0" relativeHeight="475311616" behindDoc="1" locked="0" layoutInCell="1" allowOverlap="1" wp14:anchorId="24D62BC5" wp14:editId="24D62BC6">
                      <wp:simplePos x="0" y="0"/>
                      <wp:positionH relativeFrom="column">
                        <wp:posOffset>6953250</wp:posOffset>
                      </wp:positionH>
                      <wp:positionV relativeFrom="paragraph">
                        <wp:posOffset>91882</wp:posOffset>
                      </wp:positionV>
                      <wp:extent cx="1344930" cy="6350"/>
                      <wp:effectExtent l="0" t="0" r="0"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08" name="Graphic 508"/>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1B3FCE" id="Group 507" o:spid="_x0000_s1026" style="position:absolute;margin-left:547.5pt;margin-top:7.25pt;width:105.9pt;height:.5pt;z-index:-2800486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">
                      <v:shape id="Graphic 508"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12640" behindDoc="1" locked="0" layoutInCell="1" allowOverlap="1" wp14:anchorId="24D62BC7" wp14:editId="24D62BC8">
                      <wp:simplePos x="0" y="0"/>
                      <wp:positionH relativeFrom="column">
                        <wp:posOffset>6953250</wp:posOffset>
                      </wp:positionH>
                      <wp:positionV relativeFrom="paragraph">
                        <wp:posOffset>441640</wp:posOffset>
                      </wp:positionV>
                      <wp:extent cx="1344930" cy="635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10" name="Graphic 510"/>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9523EB" id="Group 509" o:spid="_x0000_s1026" style="position:absolute;margin-left:547.5pt;margin-top:34.75pt;width:105.9pt;height:.5pt;z-index:-2800384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">
                      <v:shape id="Graphic 510"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04E" w14:textId="77777777" w:rsidR="00245300" w:rsidRPr="00EC20A0" w:rsidRDefault="00F17249">
            <w:pPr>
              <w:pStyle w:val="TableParagraph"/>
              <w:tabs>
                <w:tab w:val="left" w:pos="8878"/>
              </w:tabs>
              <w:spacing w:before="10"/>
              <w:ind w:right="1675"/>
              <w:jc w:val="center"/>
            </w:pPr>
            <w:r w:rsidRPr="00EC20A0">
              <w:rPr>
                <w:noProof/>
              </w:rPr>
              <mc:AlternateContent>
                <mc:Choice Requires="wpg">
                  <w:drawing>
                    <wp:anchor distT="0" distB="0" distL="0" distR="0" simplePos="0" relativeHeight="475311104" behindDoc="1" locked="0" layoutInCell="1" allowOverlap="1" wp14:anchorId="24D62BC9" wp14:editId="24D62BCA">
                      <wp:simplePos x="0" y="0"/>
                      <wp:positionH relativeFrom="column">
                        <wp:posOffset>1260347</wp:posOffset>
                      </wp:positionH>
                      <wp:positionV relativeFrom="paragraph">
                        <wp:posOffset>-91198</wp:posOffset>
                      </wp:positionV>
                      <wp:extent cx="1183005" cy="635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12" name="Graphic 512"/>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B7EE8A" id="Group 511" o:spid="_x0000_s1026" style="position:absolute;margin-left:99.25pt;margin-top:-7.2pt;width:93.15pt;height:.5pt;z-index:-2800537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">
                      <v:shape id="Graphic 512"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12128" behindDoc="1" locked="0" layoutInCell="1" allowOverlap="1" wp14:anchorId="24D62BCB" wp14:editId="24D62BCC">
                      <wp:simplePos x="0" y="0"/>
                      <wp:positionH relativeFrom="column">
                        <wp:posOffset>1260347</wp:posOffset>
                      </wp:positionH>
                      <wp:positionV relativeFrom="paragraph">
                        <wp:posOffset>258559</wp:posOffset>
                      </wp:positionV>
                      <wp:extent cx="1183005" cy="635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14" name="Graphic 514"/>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15A2FC" id="Group 513" o:spid="_x0000_s1026" style="position:absolute;margin-left:99.25pt;margin-top:20.35pt;width:93.15pt;height:.5pt;z-index:-2800435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CSIASNdAIAAPMFAAAOAAAA&#10;AAAAAAAAAAAAAC4CAABkcnMvZTJvRG9jLnhtbFBLAQItABQABgAIAAAAIQD6/POT4AAAAAkBAAAP&#10;AAAAAAAAAAAAAAAAAM4EAABkcnMvZG93bnJldi54bWxQSwUGAAAAAAQABADzAAAA2wUAAAAA&#10;">
                      <v:shape id="Graphic 514"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" path="m1182611,l,,,6108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05A" w14:textId="77777777">
        <w:trPr>
          <w:trHeight w:val="793"/>
        </w:trPr>
        <w:tc>
          <w:tcPr>
            <w:tcW w:w="3943" w:type="dxa"/>
            <w:tcBorders>
              <w:right w:val="single" w:sz="4" w:space="0" w:color="000000"/>
            </w:tcBorders>
          </w:tcPr>
          <w:p w14:paraId="24D61050" w14:textId="77777777" w:rsidR="00245300" w:rsidRPr="00EC20A0" w:rsidRDefault="00245300">
            <w:pPr>
              <w:pStyle w:val="TableParagraph"/>
              <w:spacing w:before="143"/>
            </w:pPr>
          </w:p>
          <w:p w14:paraId="24D61051"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91" w:type="dxa"/>
            <w:tcBorders>
              <w:left w:val="single" w:sz="4" w:space="0" w:color="000000"/>
              <w:right w:val="single" w:sz="4" w:space="0" w:color="000000"/>
            </w:tcBorders>
          </w:tcPr>
          <w:p w14:paraId="24D61052" w14:textId="77777777" w:rsidR="00245300" w:rsidRPr="00EC20A0" w:rsidRDefault="00245300">
            <w:pPr>
              <w:pStyle w:val="TableParagraph"/>
              <w:spacing w:before="143"/>
            </w:pPr>
          </w:p>
          <w:p w14:paraId="24D61053" w14:textId="77777777" w:rsidR="00245300" w:rsidRPr="00EC20A0" w:rsidRDefault="00F17249">
            <w:pPr>
              <w:pStyle w:val="TableParagraph"/>
              <w:ind w:left="107"/>
            </w:pPr>
            <w:r w:rsidRPr="00EC20A0">
              <w:rPr>
                <w:spacing w:val="-2"/>
              </w:rPr>
              <w:t>Objective</w:t>
            </w:r>
          </w:p>
        </w:tc>
        <w:tc>
          <w:tcPr>
            <w:tcW w:w="2231" w:type="dxa"/>
            <w:tcBorders>
              <w:left w:val="single" w:sz="4" w:space="0" w:color="000000"/>
              <w:right w:val="single" w:sz="4" w:space="0" w:color="000000"/>
            </w:tcBorders>
          </w:tcPr>
          <w:p w14:paraId="24D61054" w14:textId="77777777" w:rsidR="00245300" w:rsidRPr="00EC20A0" w:rsidRDefault="00245300">
            <w:pPr>
              <w:pStyle w:val="TableParagraph"/>
              <w:spacing w:before="143"/>
            </w:pPr>
          </w:p>
          <w:p w14:paraId="24D61055"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24" w:type="dxa"/>
            <w:tcBorders>
              <w:left w:val="single" w:sz="4" w:space="0" w:color="000000"/>
              <w:right w:val="single" w:sz="4" w:space="0" w:color="000000"/>
            </w:tcBorders>
          </w:tcPr>
          <w:p w14:paraId="24D61056" w14:textId="77777777" w:rsidR="00245300" w:rsidRPr="00EC20A0" w:rsidRDefault="00245300">
            <w:pPr>
              <w:pStyle w:val="TableParagraph"/>
              <w:spacing w:before="143"/>
            </w:pPr>
          </w:p>
          <w:p w14:paraId="24D61057" w14:textId="77777777" w:rsidR="00245300" w:rsidRPr="00EC20A0" w:rsidRDefault="00F17249">
            <w:pPr>
              <w:pStyle w:val="TableParagraph"/>
              <w:ind w:left="109"/>
            </w:pPr>
            <w:r w:rsidRPr="00EC20A0">
              <w:t>IS</w:t>
            </w:r>
            <w:r w:rsidRPr="00EC20A0">
              <w:rPr>
                <w:spacing w:val="-3"/>
              </w:rPr>
              <w:t xml:space="preserve"> </w:t>
            </w:r>
            <w:r w:rsidRPr="00EC20A0">
              <w:rPr>
                <w:spacing w:val="-2"/>
              </w:rPr>
              <w:t>(Y/N)</w:t>
            </w:r>
          </w:p>
        </w:tc>
        <w:tc>
          <w:tcPr>
            <w:tcW w:w="1496" w:type="dxa"/>
            <w:tcBorders>
              <w:left w:val="single" w:sz="4" w:space="0" w:color="000000"/>
              <w:right w:val="single" w:sz="4" w:space="0" w:color="000000"/>
            </w:tcBorders>
          </w:tcPr>
          <w:p w14:paraId="24D61058" w14:textId="77777777" w:rsidR="00245300" w:rsidRPr="00EC20A0" w:rsidRDefault="00F17249">
            <w:pPr>
              <w:pStyle w:val="TableParagraph"/>
              <w:spacing w:before="143"/>
              <w:ind w:left="110"/>
            </w:pPr>
            <w:r w:rsidRPr="00EC20A0">
              <w:rPr>
                <w:spacing w:val="-2"/>
              </w:rPr>
              <w:t>Effective controls?</w:t>
            </w:r>
          </w:p>
        </w:tc>
        <w:tc>
          <w:tcPr>
            <w:tcW w:w="2185" w:type="dxa"/>
            <w:tcBorders>
              <w:left w:val="single" w:sz="4" w:space="0" w:color="000000"/>
            </w:tcBorders>
          </w:tcPr>
          <w:p w14:paraId="24D61059" w14:textId="77777777" w:rsidR="00245300" w:rsidRPr="00EC20A0" w:rsidRDefault="00F17249">
            <w:pPr>
              <w:pStyle w:val="TableParagraph"/>
              <w:spacing w:before="143"/>
              <w:ind w:left="111" w:right="3"/>
            </w:pPr>
            <w:r w:rsidRPr="00EC20A0">
              <w:t xml:space="preserve">Instances of </w:t>
            </w:r>
            <w:r w:rsidRPr="00EC20A0">
              <w:rPr>
                <w:spacing w:val="-2"/>
              </w:rPr>
              <w:t>noncompliance?</w:t>
            </w:r>
          </w:p>
        </w:tc>
      </w:tr>
      <w:tr w:rsidR="00245300" w:rsidRPr="00EC20A0" w14:paraId="24D61066" w14:textId="77777777">
        <w:trPr>
          <w:trHeight w:val="4303"/>
        </w:trPr>
        <w:tc>
          <w:tcPr>
            <w:tcW w:w="3943" w:type="dxa"/>
            <w:tcBorders>
              <w:right w:val="single" w:sz="4" w:space="0" w:color="000000"/>
            </w:tcBorders>
          </w:tcPr>
          <w:p w14:paraId="24D6105B" w14:textId="77777777" w:rsidR="00245300" w:rsidRPr="00EC20A0" w:rsidRDefault="00F17249">
            <w:pPr>
              <w:pStyle w:val="TableParagraph"/>
              <w:spacing w:before="143"/>
              <w:ind w:left="817" w:hanging="720"/>
              <w:rPr>
                <w:sz w:val="18"/>
              </w:rPr>
            </w:pPr>
            <w:r w:rsidRPr="00EC20A0">
              <w:rPr>
                <w:smallCaps/>
                <w:sz w:val="18"/>
              </w:rPr>
              <w:t xml:space="preserve">805.03. </w:t>
            </w:r>
            <w:r w:rsidRPr="00EC20A0">
              <w:rPr>
                <w:smallCaps/>
                <w:spacing w:val="20"/>
                <w:sz w:val="18"/>
              </w:rPr>
              <w:t xml:space="preserve"> </w:t>
            </w:r>
            <w:r w:rsidRPr="00EC20A0">
              <w:rPr>
                <w:smallCaps/>
                <w:sz w:val="18"/>
              </w:rPr>
              <w:t>Less Than Payment in Full:</w:t>
            </w:r>
            <w:r w:rsidRPr="00EC20A0">
              <w:rPr>
                <w:smallCaps/>
                <w:spacing w:val="40"/>
                <w:sz w:val="18"/>
              </w:rPr>
              <w:t xml:space="preserve"> </w:t>
            </w:r>
            <w:r w:rsidRPr="00EC20A0">
              <w:rPr>
                <w:smallCaps/>
                <w:sz w:val="18"/>
              </w:rPr>
              <w:t>Compromise,</w:t>
            </w:r>
            <w:r w:rsidRPr="00EC20A0">
              <w:rPr>
                <w:smallCaps/>
                <w:spacing w:val="-12"/>
                <w:sz w:val="18"/>
              </w:rPr>
              <w:t xml:space="preserve"> </w:t>
            </w:r>
            <w:r w:rsidRPr="00EC20A0">
              <w:rPr>
                <w:smallCaps/>
                <w:sz w:val="18"/>
              </w:rPr>
              <w:t>Termination,</w:t>
            </w:r>
            <w:r w:rsidRPr="00EC20A0">
              <w:rPr>
                <w:smallCaps/>
                <w:spacing w:val="-12"/>
                <w:sz w:val="18"/>
              </w:rPr>
              <w:t xml:space="preserve"> </w:t>
            </w:r>
            <w:r w:rsidRPr="00EC20A0">
              <w:rPr>
                <w:smallCaps/>
                <w:sz w:val="18"/>
              </w:rPr>
              <w:t>or</w:t>
            </w:r>
            <w:r w:rsidRPr="00EC20A0">
              <w:rPr>
                <w:smallCaps/>
                <w:spacing w:val="40"/>
                <w:sz w:val="18"/>
              </w:rPr>
              <w:t xml:space="preserve"> </w:t>
            </w:r>
            <w:r w:rsidRPr="00EC20A0">
              <w:rPr>
                <w:smallCaps/>
                <w:sz w:val="18"/>
              </w:rPr>
              <w:t>Suspension of Claims.</w:t>
            </w:r>
          </w:p>
          <w:p w14:paraId="24D6105C" w14:textId="77777777" w:rsidR="00245300" w:rsidRPr="00EC20A0" w:rsidRDefault="00F17249">
            <w:pPr>
              <w:pStyle w:val="TableParagraph"/>
              <w:spacing w:before="146"/>
              <w:ind w:left="97"/>
              <w:rPr>
                <w:sz w:val="18"/>
              </w:rPr>
            </w:pPr>
            <w:r w:rsidRPr="00EC20A0">
              <w:rPr>
                <w:sz w:val="18"/>
              </w:rPr>
              <w:t>Provision</w:t>
            </w:r>
            <w:r w:rsidRPr="00EC20A0">
              <w:rPr>
                <w:spacing w:val="-10"/>
                <w:sz w:val="18"/>
              </w:rPr>
              <w:t xml:space="preserve"> </w:t>
            </w:r>
            <w:r w:rsidRPr="00EC20A0">
              <w:rPr>
                <w:sz w:val="18"/>
              </w:rPr>
              <w:t>Type:</w:t>
            </w:r>
            <w:r w:rsidRPr="00EC20A0">
              <w:rPr>
                <w:spacing w:val="-9"/>
                <w:sz w:val="18"/>
              </w:rPr>
              <w:t xml:space="preserve"> </w:t>
            </w:r>
            <w:r w:rsidRPr="00EC20A0">
              <w:rPr>
                <w:sz w:val="18"/>
              </w:rPr>
              <w:t>Procedural-</w:t>
            </w:r>
            <w:r w:rsidRPr="00EC20A0">
              <w:rPr>
                <w:spacing w:val="-2"/>
                <w:sz w:val="18"/>
              </w:rPr>
              <w:t>based.</w:t>
            </w:r>
          </w:p>
          <w:p w14:paraId="24D6105D" w14:textId="77777777" w:rsidR="00245300" w:rsidRPr="00EC20A0" w:rsidRDefault="00F17249">
            <w:pPr>
              <w:pStyle w:val="TableParagraph"/>
              <w:spacing w:before="142"/>
              <w:ind w:left="97" w:right="140"/>
              <w:rPr>
                <w:sz w:val="18"/>
              </w:rPr>
            </w:pPr>
            <w:r w:rsidRPr="00EC20A0">
              <w:rPr>
                <w:sz w:val="18"/>
              </w:rPr>
              <w:t>In general, the entity may compromise, terminate, or suspend claims,</w:t>
            </w:r>
            <w:hyperlink w:anchor="_bookmark106" w:history="1">
              <w:r w:rsidRPr="00EC20A0">
                <w:rPr>
                  <w:position w:val="6"/>
                  <w:sz w:val="12"/>
                </w:rPr>
                <w:t>32</w:t>
              </w:r>
            </w:hyperlink>
            <w:r w:rsidRPr="00EC20A0">
              <w:rPr>
                <w:spacing w:val="40"/>
                <w:position w:val="6"/>
                <w:sz w:val="12"/>
              </w:rPr>
              <w:t xml:space="preserve"> </w:t>
            </w:r>
            <w:r w:rsidRPr="00EC20A0">
              <w:rPr>
                <w:sz w:val="18"/>
              </w:rPr>
              <w:t>which have not been referred to another entity for further collection action, when such claims are not more than $100,000 (excluding interest, penalties, and administrative costs) or such higher amounts as the U.S. Attorney General may prescribe. 31 U.S.C. § 3711(a)(2), (3). Unless otherwise provided by law, claims of more than $100,000 (excluding interest, penalties, and administrative costs) shall be referred to the Department of Justice for compromise,</w:t>
            </w:r>
            <w:r w:rsidRPr="00EC20A0">
              <w:rPr>
                <w:spacing w:val="-7"/>
                <w:sz w:val="18"/>
              </w:rPr>
              <w:t xml:space="preserve"> </w:t>
            </w:r>
            <w:r w:rsidRPr="00EC20A0">
              <w:rPr>
                <w:sz w:val="18"/>
              </w:rPr>
              <w:t>termination,</w:t>
            </w:r>
            <w:r w:rsidRPr="00EC20A0">
              <w:rPr>
                <w:spacing w:val="-7"/>
                <w:sz w:val="18"/>
              </w:rPr>
              <w:t xml:space="preserve"> </w:t>
            </w:r>
            <w:r w:rsidRPr="00EC20A0">
              <w:rPr>
                <w:sz w:val="18"/>
              </w:rPr>
              <w:t>or</w:t>
            </w:r>
            <w:r w:rsidRPr="00EC20A0">
              <w:rPr>
                <w:spacing w:val="-6"/>
                <w:sz w:val="18"/>
              </w:rPr>
              <w:t xml:space="preserve"> </w:t>
            </w:r>
            <w:r w:rsidRPr="00EC20A0">
              <w:rPr>
                <w:sz w:val="18"/>
              </w:rPr>
              <w:t>suspension.</w:t>
            </w:r>
            <w:hyperlink w:anchor="_bookmark107" w:history="1">
              <w:r w:rsidRPr="00EC20A0">
                <w:rPr>
                  <w:position w:val="6"/>
                  <w:sz w:val="12"/>
                </w:rPr>
                <w:t>33</w:t>
              </w:r>
            </w:hyperlink>
            <w:r w:rsidRPr="00EC20A0">
              <w:rPr>
                <w:spacing w:val="10"/>
                <w:position w:val="6"/>
                <w:sz w:val="12"/>
              </w:rPr>
              <w:t xml:space="preserve"> </w:t>
            </w:r>
            <w:r w:rsidRPr="00EC20A0">
              <w:rPr>
                <w:sz w:val="18"/>
              </w:rPr>
              <w:t>31</w:t>
            </w:r>
          </w:p>
          <w:p w14:paraId="24D6105E" w14:textId="77777777" w:rsidR="00245300" w:rsidRPr="00EC20A0" w:rsidRDefault="00F17249">
            <w:pPr>
              <w:pStyle w:val="TableParagraph"/>
              <w:spacing w:line="200" w:lineRule="exact"/>
              <w:ind w:left="97"/>
              <w:rPr>
                <w:sz w:val="18"/>
              </w:rPr>
            </w:pPr>
            <w:r w:rsidRPr="00EC20A0">
              <w:rPr>
                <w:sz w:val="18"/>
              </w:rPr>
              <w:t>C.F.R.</w:t>
            </w:r>
            <w:r w:rsidRPr="00EC20A0">
              <w:rPr>
                <w:spacing w:val="-2"/>
                <w:sz w:val="18"/>
              </w:rPr>
              <w:t xml:space="preserve"> </w:t>
            </w:r>
            <w:r w:rsidRPr="00EC20A0">
              <w:rPr>
                <w:sz w:val="18"/>
              </w:rPr>
              <w:t>§</w:t>
            </w:r>
            <w:r w:rsidRPr="00EC20A0">
              <w:rPr>
                <w:spacing w:val="-3"/>
                <w:sz w:val="18"/>
              </w:rPr>
              <w:t xml:space="preserve"> </w:t>
            </w:r>
            <w:r w:rsidRPr="00EC20A0">
              <w:rPr>
                <w:sz w:val="18"/>
              </w:rPr>
              <w:t>902.1(b)</w:t>
            </w:r>
            <w:r w:rsidRPr="00EC20A0">
              <w:rPr>
                <w:spacing w:val="-2"/>
                <w:sz w:val="18"/>
              </w:rPr>
              <w:t xml:space="preserve"> </w:t>
            </w:r>
            <w:r w:rsidRPr="00EC20A0">
              <w:rPr>
                <w:sz w:val="18"/>
              </w:rPr>
              <w:t>and</w:t>
            </w:r>
            <w:r w:rsidRPr="00EC20A0">
              <w:rPr>
                <w:spacing w:val="-3"/>
                <w:sz w:val="18"/>
              </w:rPr>
              <w:t xml:space="preserve"> </w:t>
            </w:r>
            <w:r w:rsidRPr="00EC20A0">
              <w:rPr>
                <w:sz w:val="18"/>
              </w:rPr>
              <w:t>§</w:t>
            </w:r>
            <w:r w:rsidRPr="00EC20A0">
              <w:rPr>
                <w:spacing w:val="-1"/>
                <w:sz w:val="18"/>
              </w:rPr>
              <w:t xml:space="preserve"> </w:t>
            </w:r>
            <w:r w:rsidRPr="00EC20A0">
              <w:rPr>
                <w:spacing w:val="-2"/>
                <w:sz w:val="18"/>
              </w:rPr>
              <w:t>903.1(b).</w:t>
            </w:r>
          </w:p>
        </w:tc>
        <w:tc>
          <w:tcPr>
            <w:tcW w:w="1791" w:type="dxa"/>
            <w:tcBorders>
              <w:left w:val="single" w:sz="4" w:space="0" w:color="000000"/>
              <w:right w:val="single" w:sz="4" w:space="0" w:color="000000"/>
            </w:tcBorders>
          </w:tcPr>
          <w:p w14:paraId="24D6105F" w14:textId="77777777" w:rsidR="00245300" w:rsidRPr="00EC20A0" w:rsidRDefault="00F17249">
            <w:pPr>
              <w:pStyle w:val="TableParagraph"/>
              <w:spacing w:before="143"/>
              <w:ind w:left="108" w:right="155"/>
              <w:rPr>
                <w:sz w:val="18"/>
              </w:rPr>
            </w:pPr>
            <w:r w:rsidRPr="00EC20A0">
              <w:rPr>
                <w:sz w:val="18"/>
              </w:rPr>
              <w:t xml:space="preserve">Claims of more </w:t>
            </w:r>
            <w:r w:rsidRPr="00EC20A0">
              <w:rPr>
                <w:sz w:val="18"/>
              </w:rPr>
              <w:t>than $100,000 (excluding</w:t>
            </w:r>
            <w:r w:rsidRPr="00EC20A0">
              <w:rPr>
                <w:spacing w:val="-13"/>
                <w:sz w:val="18"/>
              </w:rPr>
              <w:t xml:space="preserve"> </w:t>
            </w:r>
            <w:r w:rsidRPr="00EC20A0">
              <w:rPr>
                <w:sz w:val="18"/>
              </w:rPr>
              <w:t xml:space="preserve">interest, penalties, and </w:t>
            </w:r>
            <w:r w:rsidRPr="00EC20A0">
              <w:rPr>
                <w:spacing w:val="-2"/>
                <w:sz w:val="18"/>
              </w:rPr>
              <w:t xml:space="preserve">administrative </w:t>
            </w:r>
            <w:r w:rsidRPr="00EC20A0">
              <w:rPr>
                <w:sz w:val="18"/>
              </w:rPr>
              <w:t xml:space="preserve">costs) are referred to the Department of Justice for </w:t>
            </w:r>
            <w:r w:rsidRPr="00EC20A0">
              <w:rPr>
                <w:spacing w:val="-2"/>
                <w:sz w:val="18"/>
              </w:rPr>
              <w:t xml:space="preserve">compromise, </w:t>
            </w:r>
            <w:r w:rsidRPr="00EC20A0">
              <w:rPr>
                <w:sz w:val="18"/>
              </w:rPr>
              <w:t>termination, or suspension. (See footnotes 31 and</w:t>
            </w:r>
          </w:p>
          <w:p w14:paraId="24D61060" w14:textId="77777777" w:rsidR="00245300" w:rsidRPr="00EC20A0" w:rsidRDefault="00F17249">
            <w:pPr>
              <w:pStyle w:val="TableParagraph"/>
              <w:spacing w:before="2"/>
              <w:ind w:left="107"/>
              <w:rPr>
                <w:sz w:val="18"/>
              </w:rPr>
            </w:pPr>
            <w:r w:rsidRPr="00EC20A0">
              <w:rPr>
                <w:sz w:val="18"/>
              </w:rPr>
              <w:t>32</w:t>
            </w:r>
            <w:r w:rsidRPr="00EC20A0">
              <w:rPr>
                <w:spacing w:val="-1"/>
                <w:sz w:val="18"/>
              </w:rPr>
              <w:t xml:space="preserve"> </w:t>
            </w:r>
            <w:r w:rsidRPr="00EC20A0">
              <w:rPr>
                <w:spacing w:val="-2"/>
                <w:sz w:val="18"/>
              </w:rPr>
              <w:t>below.)</w:t>
            </w:r>
          </w:p>
        </w:tc>
        <w:tc>
          <w:tcPr>
            <w:tcW w:w="2231" w:type="dxa"/>
            <w:tcBorders>
              <w:left w:val="single" w:sz="4" w:space="0" w:color="000000"/>
              <w:right w:val="single" w:sz="4" w:space="0" w:color="000000"/>
            </w:tcBorders>
          </w:tcPr>
          <w:p w14:paraId="24D61061" w14:textId="77777777" w:rsidR="00245300" w:rsidRPr="00EC20A0" w:rsidRDefault="00245300">
            <w:pPr>
              <w:pStyle w:val="TableParagraph"/>
              <w:rPr>
                <w:sz w:val="18"/>
              </w:rPr>
            </w:pPr>
          </w:p>
        </w:tc>
        <w:tc>
          <w:tcPr>
            <w:tcW w:w="1524" w:type="dxa"/>
            <w:tcBorders>
              <w:left w:val="single" w:sz="4" w:space="0" w:color="000000"/>
              <w:right w:val="single" w:sz="4" w:space="0" w:color="000000"/>
            </w:tcBorders>
          </w:tcPr>
          <w:p w14:paraId="24D61062" w14:textId="77777777" w:rsidR="00245300" w:rsidRPr="00EC20A0" w:rsidRDefault="00245300">
            <w:pPr>
              <w:pStyle w:val="TableParagraph"/>
              <w:rPr>
                <w:sz w:val="18"/>
              </w:rPr>
            </w:pPr>
          </w:p>
        </w:tc>
        <w:tc>
          <w:tcPr>
            <w:tcW w:w="1496" w:type="dxa"/>
            <w:tcBorders>
              <w:left w:val="single" w:sz="4" w:space="0" w:color="000000"/>
              <w:right w:val="single" w:sz="4" w:space="0" w:color="000000"/>
            </w:tcBorders>
          </w:tcPr>
          <w:p w14:paraId="24D61063" w14:textId="77777777" w:rsidR="00245300" w:rsidRPr="00EC20A0" w:rsidRDefault="00245300">
            <w:pPr>
              <w:pStyle w:val="TableParagraph"/>
              <w:rPr>
                <w:sz w:val="18"/>
              </w:rPr>
            </w:pPr>
          </w:p>
        </w:tc>
        <w:tc>
          <w:tcPr>
            <w:tcW w:w="2185" w:type="dxa"/>
            <w:tcBorders>
              <w:left w:val="single" w:sz="4" w:space="0" w:color="000000"/>
            </w:tcBorders>
          </w:tcPr>
          <w:p w14:paraId="24D61064" w14:textId="77777777" w:rsidR="00245300" w:rsidRPr="00EC20A0" w:rsidRDefault="00F17249">
            <w:pPr>
              <w:pStyle w:val="TableParagraph"/>
              <w:spacing w:before="143"/>
              <w:ind w:left="111" w:right="3"/>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5"/>
                <w:sz w:val="18"/>
              </w:rPr>
              <w:t xml:space="preserve"> </w:t>
            </w:r>
            <w:r w:rsidRPr="00EC20A0">
              <w:rPr>
                <w:sz w:val="18"/>
              </w:rPr>
              <w:t>FAM</w:t>
            </w:r>
            <w:r w:rsidRPr="00EC20A0">
              <w:rPr>
                <w:spacing w:val="-4"/>
                <w:sz w:val="18"/>
              </w:rPr>
              <w:t xml:space="preserve"> </w:t>
            </w:r>
            <w:r w:rsidRPr="00EC20A0">
              <w:rPr>
                <w:spacing w:val="-5"/>
                <w:sz w:val="18"/>
              </w:rPr>
              <w:t>805</w:t>
            </w:r>
          </w:p>
          <w:p w14:paraId="24D61065" w14:textId="77777777" w:rsidR="00245300" w:rsidRPr="00EC20A0" w:rsidRDefault="00F17249">
            <w:pPr>
              <w:pStyle w:val="TableParagraph"/>
              <w:spacing w:before="1"/>
              <w:ind w:left="111"/>
              <w:rPr>
                <w:sz w:val="18"/>
              </w:rPr>
            </w:pPr>
            <w:r w:rsidRPr="00EC20A0">
              <w:rPr>
                <w:sz w:val="18"/>
              </w:rPr>
              <w:t>step</w:t>
            </w:r>
            <w:r w:rsidRPr="00EC20A0">
              <w:rPr>
                <w:spacing w:val="-2"/>
                <w:sz w:val="18"/>
              </w:rPr>
              <w:t xml:space="preserve"> </w:t>
            </w:r>
            <w:r w:rsidRPr="00EC20A0">
              <w:rPr>
                <w:sz w:val="18"/>
              </w:rPr>
              <w:t>5</w:t>
            </w:r>
            <w:r w:rsidRPr="00EC20A0">
              <w:rPr>
                <w:spacing w:val="-1"/>
                <w:sz w:val="18"/>
              </w:rPr>
              <w:t xml:space="preserve"> </w:t>
            </w:r>
            <w:r w:rsidRPr="00EC20A0">
              <w:rPr>
                <w:spacing w:val="-4"/>
                <w:sz w:val="18"/>
              </w:rPr>
              <w:t>(a).</w:t>
            </w:r>
          </w:p>
        </w:tc>
      </w:tr>
    </w:tbl>
    <w:p w14:paraId="24D61067" w14:textId="77777777" w:rsidR="00245300" w:rsidRPr="00EC20A0" w:rsidRDefault="00245300">
      <w:pPr>
        <w:pStyle w:val="BodyText"/>
        <w:rPr>
          <w:sz w:val="20"/>
        </w:rPr>
      </w:pPr>
    </w:p>
    <w:p w14:paraId="24D61068" w14:textId="77777777" w:rsidR="00245300" w:rsidRPr="00EC20A0" w:rsidRDefault="00245300">
      <w:pPr>
        <w:pStyle w:val="BodyText"/>
        <w:rPr>
          <w:sz w:val="20"/>
        </w:rPr>
      </w:pPr>
    </w:p>
    <w:p w14:paraId="24D61069" w14:textId="77777777" w:rsidR="00245300" w:rsidRPr="00EC20A0" w:rsidRDefault="00F17249">
      <w:pPr>
        <w:pStyle w:val="BodyText"/>
        <w:spacing w:before="222"/>
        <w:rPr>
          <w:sz w:val="20"/>
        </w:rPr>
      </w:pPr>
      <w:r w:rsidRPr="00EC20A0">
        <w:rPr>
          <w:noProof/>
        </w:rPr>
        <mc:AlternateContent>
          <mc:Choice Requires="wps">
            <w:drawing>
              <wp:anchor distT="0" distB="0" distL="0" distR="0" simplePos="0" relativeHeight="487657472" behindDoc="1" locked="0" layoutInCell="1" allowOverlap="1" wp14:anchorId="24D62BCD" wp14:editId="24D62BCE">
                <wp:simplePos x="0" y="0"/>
                <wp:positionH relativeFrom="page">
                  <wp:posOffset>685800</wp:posOffset>
                </wp:positionH>
                <wp:positionV relativeFrom="paragraph">
                  <wp:posOffset>302792</wp:posOffset>
                </wp:positionV>
                <wp:extent cx="1828800" cy="6985"/>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8A10D" id="Graphic 515" o:spid="_x0000_s1026" style="position:absolute;margin-left:54pt;margin-top:23.85pt;width:2in;height:.55pt;z-index:-15659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" path="m1828800,l,,,6857r1828800,l1828800,xe" fillcolor="black" stroked="f">
                <v:path arrowok="t"/>
                <w10:wrap type="topAndBottom" anchorx="page"/>
              </v:shape>
            </w:pict>
          </mc:Fallback>
        </mc:AlternateContent>
      </w:r>
    </w:p>
    <w:p w14:paraId="24D6106A" w14:textId="77777777" w:rsidR="00245300" w:rsidRPr="00EC20A0" w:rsidRDefault="00245300">
      <w:pPr>
        <w:pStyle w:val="BodyText"/>
        <w:spacing w:before="10"/>
        <w:rPr>
          <w:sz w:val="18"/>
        </w:rPr>
      </w:pPr>
    </w:p>
    <w:p w14:paraId="24D6106B" w14:textId="77777777" w:rsidR="00245300" w:rsidRPr="00EC20A0" w:rsidRDefault="00F17249">
      <w:pPr>
        <w:spacing w:line="244" w:lineRule="auto"/>
        <w:ind w:left="119" w:right="181"/>
        <w:rPr>
          <w:sz w:val="18"/>
        </w:rPr>
      </w:pPr>
      <w:r w:rsidRPr="00EC20A0">
        <w:rPr>
          <w:position w:val="7"/>
          <w:sz w:val="14"/>
        </w:rPr>
        <w:t>32</w:t>
      </w:r>
      <w:r w:rsidRPr="00EC20A0">
        <w:rPr>
          <w:sz w:val="18"/>
        </w:rPr>
        <w:t>Compromise is the term used when an amount less than the total amount of the claim is accepted by the entity as payment in full. 31 C.F.R. §902.2. Suspension refers</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temporary</w:t>
      </w:r>
      <w:r w:rsidRPr="00EC20A0">
        <w:rPr>
          <w:spacing w:val="-2"/>
          <w:sz w:val="18"/>
        </w:rPr>
        <w:t xml:space="preserve"> </w:t>
      </w:r>
      <w:r w:rsidRPr="00EC20A0">
        <w:rPr>
          <w:sz w:val="18"/>
        </w:rPr>
        <w:t>deferral</w:t>
      </w:r>
      <w:r w:rsidRPr="00EC20A0">
        <w:rPr>
          <w:spacing w:val="-2"/>
          <w:sz w:val="18"/>
        </w:rPr>
        <w:t xml:space="preserve"> </w:t>
      </w:r>
      <w:r w:rsidRPr="00EC20A0">
        <w:rPr>
          <w:sz w:val="18"/>
        </w:rPr>
        <w:t>of</w:t>
      </w:r>
      <w:r w:rsidRPr="00EC20A0">
        <w:rPr>
          <w:spacing w:val="-2"/>
          <w:sz w:val="18"/>
        </w:rPr>
        <w:t xml:space="preserve"> </w:t>
      </w:r>
      <w:r w:rsidRPr="00EC20A0">
        <w:rPr>
          <w:sz w:val="18"/>
        </w:rPr>
        <w:t>collection</w:t>
      </w:r>
      <w:r w:rsidRPr="00EC20A0">
        <w:rPr>
          <w:spacing w:val="-1"/>
          <w:sz w:val="18"/>
        </w:rPr>
        <w:t xml:space="preserve"> </w:t>
      </w:r>
      <w:r w:rsidRPr="00EC20A0">
        <w:rPr>
          <w:sz w:val="18"/>
        </w:rPr>
        <w:t>activities</w:t>
      </w:r>
      <w:r w:rsidRPr="00EC20A0">
        <w:rPr>
          <w:spacing w:val="-2"/>
          <w:sz w:val="18"/>
        </w:rPr>
        <w:t xml:space="preserve"> </w:t>
      </w:r>
      <w:r w:rsidRPr="00EC20A0">
        <w:rPr>
          <w:sz w:val="18"/>
        </w:rPr>
        <w:t>until</w:t>
      </w:r>
      <w:r w:rsidRPr="00EC20A0">
        <w:rPr>
          <w:spacing w:val="-2"/>
          <w:sz w:val="18"/>
        </w:rPr>
        <w:t xml:space="preserve"> </w:t>
      </w:r>
      <w:r w:rsidRPr="00EC20A0">
        <w:rPr>
          <w:sz w:val="18"/>
        </w:rPr>
        <w:t>collection</w:t>
      </w:r>
      <w:r w:rsidRPr="00EC20A0">
        <w:rPr>
          <w:spacing w:val="-3"/>
          <w:sz w:val="18"/>
        </w:rPr>
        <w:t xml:space="preserve"> </w:t>
      </w:r>
      <w:r w:rsidRPr="00EC20A0">
        <w:rPr>
          <w:sz w:val="18"/>
        </w:rPr>
        <w:t>activity</w:t>
      </w:r>
      <w:r w:rsidRPr="00EC20A0">
        <w:rPr>
          <w:spacing w:val="-2"/>
          <w:sz w:val="18"/>
        </w:rPr>
        <w:t xml:space="preserve"> </w:t>
      </w:r>
      <w:r w:rsidRPr="00EC20A0">
        <w:rPr>
          <w:sz w:val="18"/>
        </w:rPr>
        <w:t>is</w:t>
      </w:r>
      <w:r w:rsidRPr="00EC20A0">
        <w:rPr>
          <w:spacing w:val="-2"/>
          <w:sz w:val="18"/>
        </w:rPr>
        <w:t xml:space="preserve"> </w:t>
      </w:r>
      <w:r w:rsidRPr="00EC20A0">
        <w:rPr>
          <w:sz w:val="18"/>
        </w:rPr>
        <w:t>expected</w:t>
      </w:r>
      <w:r w:rsidRPr="00EC20A0">
        <w:rPr>
          <w:spacing w:val="-3"/>
          <w:sz w:val="18"/>
        </w:rPr>
        <w:t xml:space="preserve"> </w:t>
      </w:r>
      <w:r w:rsidRPr="00EC20A0">
        <w:rPr>
          <w:sz w:val="18"/>
        </w:rPr>
        <w:t>to</w:t>
      </w:r>
      <w:r w:rsidRPr="00EC20A0">
        <w:rPr>
          <w:spacing w:val="-3"/>
          <w:sz w:val="18"/>
        </w:rPr>
        <w:t xml:space="preserve"> </w:t>
      </w:r>
      <w:r w:rsidRPr="00EC20A0">
        <w:rPr>
          <w:sz w:val="18"/>
        </w:rPr>
        <w:t>be</w:t>
      </w:r>
      <w:r w:rsidRPr="00EC20A0">
        <w:rPr>
          <w:spacing w:val="-3"/>
          <w:sz w:val="18"/>
        </w:rPr>
        <w:t xml:space="preserve"> </w:t>
      </w:r>
      <w:r w:rsidRPr="00EC20A0">
        <w:rPr>
          <w:sz w:val="18"/>
        </w:rPr>
        <w:t>more</w:t>
      </w:r>
      <w:r w:rsidRPr="00EC20A0">
        <w:rPr>
          <w:spacing w:val="-3"/>
          <w:sz w:val="18"/>
        </w:rPr>
        <w:t xml:space="preserve"> </w:t>
      </w:r>
      <w:r w:rsidRPr="00EC20A0">
        <w:rPr>
          <w:sz w:val="18"/>
        </w:rPr>
        <w:t>successful.</w:t>
      </w:r>
      <w:r w:rsidRPr="00EC20A0">
        <w:rPr>
          <w:spacing w:val="-2"/>
          <w:sz w:val="18"/>
        </w:rPr>
        <w:t xml:space="preserve"> </w:t>
      </w:r>
      <w:r w:rsidRPr="00EC20A0">
        <w:rPr>
          <w:sz w:val="18"/>
        </w:rPr>
        <w:t>31</w:t>
      </w:r>
      <w:r w:rsidRPr="00EC20A0">
        <w:rPr>
          <w:spacing w:val="-3"/>
          <w:sz w:val="18"/>
        </w:rPr>
        <w:t xml:space="preserve"> </w:t>
      </w:r>
      <w:r w:rsidRPr="00EC20A0">
        <w:rPr>
          <w:sz w:val="18"/>
        </w:rPr>
        <w:t>C.F.R.</w:t>
      </w:r>
      <w:r w:rsidRPr="00EC20A0">
        <w:rPr>
          <w:spacing w:val="-2"/>
          <w:sz w:val="18"/>
        </w:rPr>
        <w:t xml:space="preserve"> </w:t>
      </w:r>
      <w:r w:rsidRPr="00EC20A0">
        <w:rPr>
          <w:sz w:val="18"/>
        </w:rPr>
        <w:t>§</w:t>
      </w:r>
      <w:r w:rsidRPr="00EC20A0">
        <w:rPr>
          <w:spacing w:val="-2"/>
          <w:sz w:val="18"/>
        </w:rPr>
        <w:t xml:space="preserve"> </w:t>
      </w:r>
      <w:r w:rsidRPr="00EC20A0">
        <w:rPr>
          <w:sz w:val="18"/>
        </w:rPr>
        <w:t>903.2.</w:t>
      </w:r>
      <w:r w:rsidRPr="00EC20A0">
        <w:rPr>
          <w:spacing w:val="-2"/>
          <w:sz w:val="18"/>
        </w:rPr>
        <w:t xml:space="preserve"> </w:t>
      </w:r>
      <w:r w:rsidRPr="00EC20A0">
        <w:rPr>
          <w:sz w:val="18"/>
        </w:rPr>
        <w:t>Termination</w:t>
      </w:r>
      <w:r w:rsidRPr="00EC20A0">
        <w:rPr>
          <w:spacing w:val="-3"/>
          <w:sz w:val="18"/>
        </w:rPr>
        <w:t xml:space="preserve"> </w:t>
      </w:r>
      <w:r w:rsidRPr="00EC20A0">
        <w:rPr>
          <w:sz w:val="18"/>
        </w:rPr>
        <w:t>refers</w:t>
      </w:r>
      <w:r w:rsidRPr="00EC20A0">
        <w:rPr>
          <w:spacing w:val="-2"/>
          <w:sz w:val="18"/>
        </w:rPr>
        <w:t xml:space="preserve"> </w:t>
      </w:r>
      <w:r w:rsidRPr="00EC20A0">
        <w:rPr>
          <w:sz w:val="18"/>
        </w:rPr>
        <w:t>to</w:t>
      </w:r>
      <w:r w:rsidRPr="00EC20A0">
        <w:rPr>
          <w:spacing w:val="-3"/>
          <w:sz w:val="18"/>
        </w:rPr>
        <w:t xml:space="preserve"> </w:t>
      </w:r>
      <w:r w:rsidRPr="00EC20A0">
        <w:rPr>
          <w:sz w:val="18"/>
        </w:rPr>
        <w:t>stopping</w:t>
      </w:r>
      <w:r w:rsidRPr="00EC20A0">
        <w:rPr>
          <w:spacing w:val="-3"/>
          <w:sz w:val="18"/>
        </w:rPr>
        <w:t xml:space="preserve"> </w:t>
      </w:r>
      <w:r w:rsidRPr="00EC20A0">
        <w:rPr>
          <w:sz w:val="18"/>
        </w:rPr>
        <w:t>of collection activities. 31 C.F.R. § 903.3.</w:t>
      </w:r>
    </w:p>
    <w:p w14:paraId="24D6106C" w14:textId="77777777" w:rsidR="00245300" w:rsidRPr="00EC20A0" w:rsidRDefault="00F17249">
      <w:pPr>
        <w:spacing w:before="122" w:line="244" w:lineRule="auto"/>
        <w:ind w:left="119"/>
        <w:rPr>
          <w:sz w:val="18"/>
        </w:rPr>
      </w:pPr>
      <w:r w:rsidRPr="00EC20A0">
        <w:rPr>
          <w:position w:val="7"/>
          <w:sz w:val="14"/>
        </w:rPr>
        <w:t>33</w:t>
      </w:r>
      <w:r w:rsidRPr="00EC20A0">
        <w:rPr>
          <w:sz w:val="18"/>
        </w:rPr>
        <w:t xml:space="preserve">Only the Department of Justice has the authority to compromise, terminate, or suspend collection on claims that are greater than </w:t>
      </w:r>
      <w:r w:rsidRPr="00EC20A0">
        <w:rPr>
          <w:sz w:val="18"/>
        </w:rPr>
        <w:t>$100,000 (excluding interest, penalties,</w:t>
      </w:r>
      <w:r w:rsidRPr="00EC20A0">
        <w:rPr>
          <w:spacing w:val="-2"/>
          <w:sz w:val="18"/>
        </w:rPr>
        <w:t xml:space="preserve"> </w:t>
      </w:r>
      <w:r w:rsidRPr="00EC20A0">
        <w:rPr>
          <w:sz w:val="18"/>
        </w:rPr>
        <w:t>and</w:t>
      </w:r>
      <w:r w:rsidRPr="00EC20A0">
        <w:rPr>
          <w:spacing w:val="-1"/>
          <w:sz w:val="18"/>
        </w:rPr>
        <w:t xml:space="preserve"> </w:t>
      </w:r>
      <w:r w:rsidRPr="00EC20A0">
        <w:rPr>
          <w:sz w:val="18"/>
        </w:rPr>
        <w:t>administrative</w:t>
      </w:r>
      <w:r w:rsidRPr="00EC20A0">
        <w:rPr>
          <w:spacing w:val="-1"/>
          <w:sz w:val="18"/>
        </w:rPr>
        <w:t xml:space="preserve"> </w:t>
      </w:r>
      <w:r w:rsidRPr="00EC20A0">
        <w:rPr>
          <w:sz w:val="18"/>
        </w:rPr>
        <w:t>charges).</w:t>
      </w:r>
      <w:r w:rsidRPr="00EC20A0">
        <w:rPr>
          <w:spacing w:val="-2"/>
          <w:sz w:val="18"/>
        </w:rPr>
        <w:t xml:space="preserve"> </w:t>
      </w:r>
      <w:r w:rsidRPr="00EC20A0">
        <w:rPr>
          <w:sz w:val="18"/>
        </w:rPr>
        <w:t>Pursuant</w:t>
      </w:r>
      <w:r w:rsidRPr="00EC20A0">
        <w:rPr>
          <w:spacing w:val="-2"/>
          <w:sz w:val="18"/>
        </w:rPr>
        <w:t xml:space="preserve"> </w:t>
      </w:r>
      <w:r w:rsidRPr="00EC20A0">
        <w:rPr>
          <w:sz w:val="18"/>
        </w:rPr>
        <w:t>to</w:t>
      </w:r>
      <w:r w:rsidRPr="00EC20A0">
        <w:rPr>
          <w:spacing w:val="-3"/>
          <w:sz w:val="18"/>
        </w:rPr>
        <w:t xml:space="preserve"> </w:t>
      </w:r>
      <w:r w:rsidRPr="00EC20A0">
        <w:rPr>
          <w:sz w:val="18"/>
        </w:rPr>
        <w:t>31</w:t>
      </w:r>
      <w:r w:rsidRPr="00EC20A0">
        <w:rPr>
          <w:spacing w:val="-3"/>
          <w:sz w:val="18"/>
        </w:rPr>
        <w:t xml:space="preserve"> </w:t>
      </w:r>
      <w:r w:rsidRPr="00EC20A0">
        <w:rPr>
          <w:sz w:val="18"/>
        </w:rPr>
        <w:t>C.F.R.</w:t>
      </w:r>
      <w:r w:rsidRPr="00EC20A0">
        <w:rPr>
          <w:spacing w:val="-1"/>
          <w:sz w:val="18"/>
        </w:rPr>
        <w:t xml:space="preserve"> </w:t>
      </w:r>
      <w:r w:rsidRPr="00EC20A0">
        <w:rPr>
          <w:sz w:val="18"/>
        </w:rPr>
        <w:t>§</w:t>
      </w:r>
      <w:r w:rsidRPr="00EC20A0">
        <w:rPr>
          <w:spacing w:val="-3"/>
          <w:sz w:val="18"/>
        </w:rPr>
        <w:t xml:space="preserve"> </w:t>
      </w:r>
      <w:r w:rsidRPr="00EC20A0">
        <w:rPr>
          <w:sz w:val="18"/>
        </w:rPr>
        <w:t>902.1</w:t>
      </w:r>
      <w:r w:rsidRPr="00EC20A0">
        <w:rPr>
          <w:spacing w:val="-3"/>
          <w:sz w:val="18"/>
        </w:rPr>
        <w:t xml:space="preserve"> </w:t>
      </w:r>
      <w:r w:rsidRPr="00EC20A0">
        <w:rPr>
          <w:sz w:val="18"/>
        </w:rPr>
        <w:t>and</w:t>
      </w:r>
      <w:r w:rsidRPr="00EC20A0">
        <w:rPr>
          <w:spacing w:val="-1"/>
          <w:sz w:val="18"/>
        </w:rPr>
        <w:t xml:space="preserve"> </w:t>
      </w:r>
      <w:r w:rsidRPr="00EC20A0">
        <w:rPr>
          <w:sz w:val="18"/>
        </w:rPr>
        <w:t>§</w:t>
      </w:r>
      <w:r w:rsidRPr="00EC20A0">
        <w:rPr>
          <w:spacing w:val="-2"/>
          <w:sz w:val="18"/>
        </w:rPr>
        <w:t xml:space="preserve"> </w:t>
      </w:r>
      <w:r w:rsidRPr="00EC20A0">
        <w:rPr>
          <w:sz w:val="18"/>
        </w:rPr>
        <w:t>903.1,</w:t>
      </w:r>
      <w:r w:rsidRPr="00EC20A0">
        <w:rPr>
          <w:spacing w:val="-2"/>
          <w:sz w:val="18"/>
        </w:rPr>
        <w:t xml:space="preserve"> </w:t>
      </w:r>
      <w:r w:rsidRPr="00EC20A0">
        <w:rPr>
          <w:sz w:val="18"/>
        </w:rPr>
        <w:t>entities</w:t>
      </w:r>
      <w:r w:rsidRPr="00EC20A0">
        <w:rPr>
          <w:spacing w:val="-2"/>
          <w:sz w:val="18"/>
        </w:rPr>
        <w:t xml:space="preserve"> </w:t>
      </w:r>
      <w:r w:rsidRPr="00EC20A0">
        <w:rPr>
          <w:sz w:val="18"/>
        </w:rPr>
        <w:t>generally</w:t>
      </w:r>
      <w:r w:rsidRPr="00EC20A0">
        <w:rPr>
          <w:spacing w:val="-2"/>
          <w:sz w:val="18"/>
        </w:rPr>
        <w:t xml:space="preserve"> </w:t>
      </w:r>
      <w:r w:rsidRPr="00EC20A0">
        <w:rPr>
          <w:sz w:val="18"/>
        </w:rPr>
        <w:t>should</w:t>
      </w:r>
      <w:r w:rsidRPr="00EC20A0">
        <w:rPr>
          <w:spacing w:val="-3"/>
          <w:sz w:val="18"/>
        </w:rPr>
        <w:t xml:space="preserve"> </w:t>
      </w:r>
      <w:r w:rsidRPr="00EC20A0">
        <w:rPr>
          <w:sz w:val="18"/>
        </w:rPr>
        <w:t>use</w:t>
      </w:r>
      <w:r w:rsidRPr="00EC20A0">
        <w:rPr>
          <w:spacing w:val="-3"/>
          <w:sz w:val="18"/>
        </w:rPr>
        <w:t xml:space="preserve"> </w:t>
      </w:r>
      <w:r w:rsidRPr="00EC20A0">
        <w:rPr>
          <w:sz w:val="18"/>
        </w:rPr>
        <w:t>a</w:t>
      </w:r>
      <w:r w:rsidRPr="00EC20A0">
        <w:rPr>
          <w:spacing w:val="-3"/>
          <w:sz w:val="18"/>
        </w:rPr>
        <w:t xml:space="preserve"> </w:t>
      </w:r>
      <w:r w:rsidRPr="00EC20A0">
        <w:rPr>
          <w:sz w:val="18"/>
        </w:rPr>
        <w:t>Claims</w:t>
      </w:r>
      <w:r w:rsidRPr="00EC20A0">
        <w:rPr>
          <w:spacing w:val="-2"/>
          <w:sz w:val="18"/>
        </w:rPr>
        <w:t xml:space="preserve"> </w:t>
      </w:r>
      <w:r w:rsidRPr="00EC20A0">
        <w:rPr>
          <w:sz w:val="18"/>
        </w:rPr>
        <w:t>Collection</w:t>
      </w:r>
      <w:r w:rsidRPr="00EC20A0">
        <w:rPr>
          <w:spacing w:val="-1"/>
          <w:sz w:val="18"/>
        </w:rPr>
        <w:t xml:space="preserve"> </w:t>
      </w:r>
      <w:r w:rsidRPr="00EC20A0">
        <w:rPr>
          <w:sz w:val="18"/>
        </w:rPr>
        <w:t>Litigation</w:t>
      </w:r>
      <w:r w:rsidRPr="00EC20A0">
        <w:rPr>
          <w:spacing w:val="-3"/>
          <w:sz w:val="18"/>
        </w:rPr>
        <w:t xml:space="preserve"> </w:t>
      </w:r>
      <w:r w:rsidRPr="00EC20A0">
        <w:rPr>
          <w:sz w:val="18"/>
        </w:rPr>
        <w:t>Report</w:t>
      </w:r>
      <w:r w:rsidRPr="00EC20A0">
        <w:rPr>
          <w:spacing w:val="-2"/>
          <w:sz w:val="18"/>
        </w:rPr>
        <w:t xml:space="preserve"> </w:t>
      </w:r>
      <w:r w:rsidRPr="00EC20A0">
        <w:rPr>
          <w:sz w:val="18"/>
        </w:rPr>
        <w:t>(CCLR)</w:t>
      </w:r>
      <w:r w:rsidRPr="00EC20A0">
        <w:rPr>
          <w:spacing w:val="-2"/>
          <w:sz w:val="18"/>
        </w:rPr>
        <w:t xml:space="preserve"> </w:t>
      </w:r>
      <w:r w:rsidRPr="00EC20A0">
        <w:rPr>
          <w:sz w:val="18"/>
        </w:rPr>
        <w:t>to</w:t>
      </w:r>
      <w:r w:rsidRPr="00EC20A0">
        <w:rPr>
          <w:spacing w:val="-3"/>
          <w:sz w:val="18"/>
        </w:rPr>
        <w:t xml:space="preserve"> </w:t>
      </w:r>
      <w:r w:rsidRPr="00EC20A0">
        <w:rPr>
          <w:sz w:val="18"/>
        </w:rPr>
        <w:t>refer such matters to the Department of Justice.</w:t>
      </w:r>
    </w:p>
    <w:p w14:paraId="24D6106D" w14:textId="77777777" w:rsidR="00245300" w:rsidRPr="00EC20A0" w:rsidRDefault="00245300">
      <w:pPr>
        <w:spacing w:line="244" w:lineRule="auto"/>
        <w:rPr>
          <w:sz w:val="18"/>
        </w:rPr>
        <w:sectPr w:rsidR="00245300" w:rsidRPr="00EC20A0">
          <w:pgSz w:w="15840" w:h="12240" w:orient="landscape"/>
          <w:pgMar w:top="1440" w:right="1340" w:bottom="940" w:left="960" w:header="721" w:footer="742" w:gutter="0"/>
          <w:cols w:space="720"/>
        </w:sectPr>
      </w:pPr>
    </w:p>
    <w:p w14:paraId="24D6106E" w14:textId="77777777" w:rsidR="00245300" w:rsidRPr="00EC20A0" w:rsidRDefault="00245300">
      <w:pPr>
        <w:pStyle w:val="BodyText"/>
        <w:spacing w:before="2" w:after="1"/>
        <w:rPr>
          <w:sz w:val="8"/>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245300" w:rsidRPr="00EC20A0" w14:paraId="24D61072" w14:textId="77777777">
        <w:trPr>
          <w:trHeight w:val="1574"/>
        </w:trPr>
        <w:tc>
          <w:tcPr>
            <w:tcW w:w="13170" w:type="dxa"/>
            <w:gridSpan w:val="6"/>
          </w:tcPr>
          <w:p w14:paraId="24D6106F" w14:textId="77777777" w:rsidR="00245300" w:rsidRPr="00EC20A0" w:rsidRDefault="00F17249">
            <w:pPr>
              <w:pStyle w:val="TableParagraph"/>
              <w:tabs>
                <w:tab w:val="left" w:pos="9184"/>
              </w:tabs>
              <w:spacing w:before="144"/>
              <w:ind w:right="1919"/>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17" w:name="_bookmark108"/>
            <w:bookmarkStart w:id="218" w:name="_bookmark109"/>
            <w:bookmarkStart w:id="219" w:name="_bookmark110"/>
            <w:bookmarkStart w:id="220" w:name="_bookmark111"/>
            <w:bookmarkStart w:id="221" w:name="_bookmark112"/>
            <w:bookmarkStart w:id="222" w:name="_bookmark113"/>
            <w:bookmarkEnd w:id="217"/>
            <w:bookmarkEnd w:id="218"/>
            <w:bookmarkEnd w:id="219"/>
            <w:bookmarkEnd w:id="220"/>
            <w:bookmarkEnd w:id="221"/>
            <w:bookmarkEnd w:id="222"/>
            <w:r w:rsidRPr="00EC20A0">
              <w:t>Prepared</w:t>
            </w:r>
            <w:r w:rsidRPr="00EC20A0">
              <w:rPr>
                <w:spacing w:val="-11"/>
              </w:rPr>
              <w:t xml:space="preserve"> </w:t>
            </w:r>
            <w:r w:rsidRPr="00EC20A0">
              <w:rPr>
                <w:spacing w:val="-5"/>
              </w:rPr>
              <w:t>by:</w:t>
            </w:r>
          </w:p>
          <w:p w14:paraId="24D61070" w14:textId="77777777" w:rsidR="00245300" w:rsidRPr="00EC20A0" w:rsidRDefault="00F17249">
            <w:pPr>
              <w:pStyle w:val="TableParagraph"/>
              <w:spacing w:before="12"/>
              <w:ind w:left="1945" w:right="1918"/>
              <w:jc w:val="center"/>
              <w:rPr>
                <w:b/>
                <w:sz w:val="24"/>
              </w:rPr>
            </w:pPr>
            <w:r w:rsidRPr="00EC20A0">
              <w:rPr>
                <w:noProof/>
              </w:rPr>
              <mc:AlternateContent>
                <mc:Choice Requires="wpg">
                  <w:drawing>
                    <wp:anchor distT="0" distB="0" distL="0" distR="0" simplePos="0" relativeHeight="475314176" behindDoc="1" locked="0" layoutInCell="1" allowOverlap="1" wp14:anchorId="24D62BCF" wp14:editId="24D62BD0">
                      <wp:simplePos x="0" y="0"/>
                      <wp:positionH relativeFrom="column">
                        <wp:posOffset>6953250</wp:posOffset>
                      </wp:positionH>
                      <wp:positionV relativeFrom="paragraph">
                        <wp:posOffset>91882</wp:posOffset>
                      </wp:positionV>
                      <wp:extent cx="1344930" cy="635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17" name="Graphic 517"/>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09D3F7" id="Group 516" o:spid="_x0000_s1026" style="position:absolute;margin-left:547.5pt;margin-top:7.25pt;width:105.9pt;height:.5pt;z-index:-2800230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LhvZk1zAgAA8wUAAA4AAAAA&#10;AAAAAAAAAAAALgIAAGRycy9lMm9Eb2MueG1sUEsBAi0AFAAGAAgAAAAhAFfXjnrgAAAACwEAAA8A&#10;AAAAAAAAAAAAAAAAzQQAAGRycy9kb3ducmV2LnhtbFBLBQYAAAAABAAEAPMAAADaBQAAAAA=&#10;">
                      <v:shape id="Graphic 517"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15200" behindDoc="1" locked="0" layoutInCell="1" allowOverlap="1" wp14:anchorId="24D62BD1" wp14:editId="24D62BD2">
                      <wp:simplePos x="0" y="0"/>
                      <wp:positionH relativeFrom="column">
                        <wp:posOffset>6953250</wp:posOffset>
                      </wp:positionH>
                      <wp:positionV relativeFrom="paragraph">
                        <wp:posOffset>441640</wp:posOffset>
                      </wp:positionV>
                      <wp:extent cx="1344930" cy="635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19" name="Graphic 519"/>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0EAF09" id="Group 518" o:spid="_x0000_s1026" style="position:absolute;margin-left:547.5pt;margin-top:34.75pt;width:105.9pt;height:.5pt;z-index:-2800128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">
                      <v:shape id="Graphic 519"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071" w14:textId="77777777" w:rsidR="00245300" w:rsidRPr="00EC20A0" w:rsidRDefault="00F17249">
            <w:pPr>
              <w:pStyle w:val="TableParagraph"/>
              <w:tabs>
                <w:tab w:val="left" w:pos="8878"/>
              </w:tabs>
              <w:spacing w:before="10"/>
              <w:ind w:right="1675"/>
              <w:jc w:val="center"/>
            </w:pPr>
            <w:r w:rsidRPr="00EC20A0">
              <w:rPr>
                <w:noProof/>
              </w:rPr>
              <mc:AlternateContent>
                <mc:Choice Requires="wpg">
                  <w:drawing>
                    <wp:anchor distT="0" distB="0" distL="0" distR="0" simplePos="0" relativeHeight="475313664" behindDoc="1" locked="0" layoutInCell="1" allowOverlap="1" wp14:anchorId="24D62BD3" wp14:editId="24D62BD4">
                      <wp:simplePos x="0" y="0"/>
                      <wp:positionH relativeFrom="column">
                        <wp:posOffset>1260347</wp:posOffset>
                      </wp:positionH>
                      <wp:positionV relativeFrom="paragraph">
                        <wp:posOffset>-91198</wp:posOffset>
                      </wp:positionV>
                      <wp:extent cx="1183005" cy="635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21" name="Graphic 521"/>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83158E" id="Group 520" o:spid="_x0000_s1026" style="position:absolute;margin-left:99.25pt;margin-top:-7.2pt;width:93.15pt;height:.5pt;z-index:-2800281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">
                      <v:shape id="Graphic 521"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14688" behindDoc="1" locked="0" layoutInCell="1" allowOverlap="1" wp14:anchorId="24D62BD5" wp14:editId="24D62BD6">
                      <wp:simplePos x="0" y="0"/>
                      <wp:positionH relativeFrom="column">
                        <wp:posOffset>1260347</wp:posOffset>
                      </wp:positionH>
                      <wp:positionV relativeFrom="paragraph">
                        <wp:posOffset>258559</wp:posOffset>
                      </wp:positionV>
                      <wp:extent cx="1183005" cy="635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23" name="Graphic 523"/>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6E375E" id="Group 522" o:spid="_x0000_s1026" style="position:absolute;margin-left:99.25pt;margin-top:20.35pt;width:93.15pt;height:.5pt;z-index:-2800179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CBaEjMdAIAAPMFAAAOAAAA&#10;AAAAAAAAAAAAAC4CAABkcnMvZTJvRG9jLnhtbFBLAQItABQABgAIAAAAIQD6/POT4AAAAAkBAAAP&#10;AAAAAAAAAAAAAAAAAM4EAABkcnMvZG93bnJldi54bWxQSwUGAAAAAAQABADzAAAA2wUAAAAA&#10;">
                      <v:shape id="Graphic 523"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" path="m1182611,l,,,6108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07D" w14:textId="77777777">
        <w:trPr>
          <w:trHeight w:val="793"/>
        </w:trPr>
        <w:tc>
          <w:tcPr>
            <w:tcW w:w="3943" w:type="dxa"/>
            <w:tcBorders>
              <w:right w:val="single" w:sz="4" w:space="0" w:color="000000"/>
            </w:tcBorders>
          </w:tcPr>
          <w:p w14:paraId="24D61073" w14:textId="77777777" w:rsidR="00245300" w:rsidRPr="00EC20A0" w:rsidRDefault="00245300">
            <w:pPr>
              <w:pStyle w:val="TableParagraph"/>
              <w:spacing w:before="143"/>
            </w:pPr>
          </w:p>
          <w:p w14:paraId="24D61074"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91" w:type="dxa"/>
            <w:tcBorders>
              <w:left w:val="single" w:sz="4" w:space="0" w:color="000000"/>
              <w:right w:val="single" w:sz="4" w:space="0" w:color="000000"/>
            </w:tcBorders>
          </w:tcPr>
          <w:p w14:paraId="24D61075" w14:textId="77777777" w:rsidR="00245300" w:rsidRPr="00EC20A0" w:rsidRDefault="00245300">
            <w:pPr>
              <w:pStyle w:val="TableParagraph"/>
              <w:spacing w:before="143"/>
            </w:pPr>
          </w:p>
          <w:p w14:paraId="24D61076" w14:textId="77777777" w:rsidR="00245300" w:rsidRPr="00EC20A0" w:rsidRDefault="00F17249">
            <w:pPr>
              <w:pStyle w:val="TableParagraph"/>
              <w:ind w:left="107"/>
            </w:pPr>
            <w:r w:rsidRPr="00EC20A0">
              <w:rPr>
                <w:spacing w:val="-2"/>
              </w:rPr>
              <w:t>Objective</w:t>
            </w:r>
          </w:p>
        </w:tc>
        <w:tc>
          <w:tcPr>
            <w:tcW w:w="2231" w:type="dxa"/>
            <w:tcBorders>
              <w:left w:val="single" w:sz="4" w:space="0" w:color="000000"/>
              <w:right w:val="single" w:sz="4" w:space="0" w:color="000000"/>
            </w:tcBorders>
          </w:tcPr>
          <w:p w14:paraId="24D61077" w14:textId="77777777" w:rsidR="00245300" w:rsidRPr="00EC20A0" w:rsidRDefault="00245300">
            <w:pPr>
              <w:pStyle w:val="TableParagraph"/>
              <w:spacing w:before="143"/>
            </w:pPr>
          </w:p>
          <w:p w14:paraId="24D61078"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24" w:type="dxa"/>
            <w:tcBorders>
              <w:left w:val="single" w:sz="4" w:space="0" w:color="000000"/>
              <w:right w:val="single" w:sz="4" w:space="0" w:color="000000"/>
            </w:tcBorders>
          </w:tcPr>
          <w:p w14:paraId="24D61079" w14:textId="77777777" w:rsidR="00245300" w:rsidRPr="00EC20A0" w:rsidRDefault="00245300">
            <w:pPr>
              <w:pStyle w:val="TableParagraph"/>
              <w:spacing w:before="143"/>
            </w:pPr>
          </w:p>
          <w:p w14:paraId="24D6107A" w14:textId="77777777" w:rsidR="00245300" w:rsidRPr="00EC20A0" w:rsidRDefault="00F17249">
            <w:pPr>
              <w:pStyle w:val="TableParagraph"/>
              <w:ind w:left="109"/>
            </w:pPr>
            <w:r w:rsidRPr="00EC20A0">
              <w:t>IS</w:t>
            </w:r>
            <w:r w:rsidRPr="00EC20A0">
              <w:rPr>
                <w:spacing w:val="-3"/>
              </w:rPr>
              <w:t xml:space="preserve"> </w:t>
            </w:r>
            <w:r w:rsidRPr="00EC20A0">
              <w:rPr>
                <w:spacing w:val="-2"/>
              </w:rPr>
              <w:t>(Y/N)</w:t>
            </w:r>
          </w:p>
        </w:tc>
        <w:tc>
          <w:tcPr>
            <w:tcW w:w="1496" w:type="dxa"/>
            <w:tcBorders>
              <w:left w:val="single" w:sz="4" w:space="0" w:color="000000"/>
              <w:right w:val="single" w:sz="4" w:space="0" w:color="000000"/>
            </w:tcBorders>
          </w:tcPr>
          <w:p w14:paraId="24D6107B" w14:textId="77777777" w:rsidR="00245300" w:rsidRPr="00EC20A0" w:rsidRDefault="00F17249">
            <w:pPr>
              <w:pStyle w:val="TableParagraph"/>
              <w:spacing w:before="143"/>
              <w:ind w:left="110"/>
            </w:pPr>
            <w:r w:rsidRPr="00EC20A0">
              <w:rPr>
                <w:spacing w:val="-2"/>
              </w:rPr>
              <w:t>Effective controls?</w:t>
            </w:r>
          </w:p>
        </w:tc>
        <w:tc>
          <w:tcPr>
            <w:tcW w:w="2185" w:type="dxa"/>
            <w:tcBorders>
              <w:left w:val="single" w:sz="4" w:space="0" w:color="000000"/>
            </w:tcBorders>
          </w:tcPr>
          <w:p w14:paraId="24D6107C" w14:textId="77777777" w:rsidR="00245300" w:rsidRPr="00EC20A0" w:rsidRDefault="00F17249">
            <w:pPr>
              <w:pStyle w:val="TableParagraph"/>
              <w:spacing w:before="143"/>
              <w:ind w:left="111" w:right="3"/>
            </w:pPr>
            <w:r w:rsidRPr="00EC20A0">
              <w:t xml:space="preserve">Instances of </w:t>
            </w:r>
            <w:r w:rsidRPr="00EC20A0">
              <w:rPr>
                <w:spacing w:val="-2"/>
              </w:rPr>
              <w:t>noncompliance?</w:t>
            </w:r>
          </w:p>
        </w:tc>
      </w:tr>
      <w:tr w:rsidR="00245300" w:rsidRPr="00EC20A0" w14:paraId="24D6108A" w14:textId="77777777">
        <w:trPr>
          <w:trHeight w:val="3475"/>
        </w:trPr>
        <w:tc>
          <w:tcPr>
            <w:tcW w:w="3943" w:type="dxa"/>
            <w:tcBorders>
              <w:right w:val="single" w:sz="4" w:space="0" w:color="000000"/>
            </w:tcBorders>
          </w:tcPr>
          <w:p w14:paraId="24D6107E" w14:textId="77777777" w:rsidR="00245300" w:rsidRPr="00EC20A0" w:rsidRDefault="00F17249">
            <w:pPr>
              <w:pStyle w:val="TableParagraph"/>
              <w:spacing w:before="143"/>
              <w:ind w:left="817" w:right="140" w:hanging="720"/>
              <w:rPr>
                <w:sz w:val="18"/>
              </w:rPr>
            </w:pPr>
            <w:r w:rsidRPr="00EC20A0">
              <w:rPr>
                <w:smallCaps/>
                <w:sz w:val="18"/>
              </w:rPr>
              <w:t>805.04.</w:t>
            </w:r>
            <w:r w:rsidRPr="00EC20A0">
              <w:rPr>
                <w:smallCaps/>
                <w:spacing w:val="-1"/>
                <w:sz w:val="18"/>
              </w:rPr>
              <w:t xml:space="preserve"> </w:t>
            </w:r>
            <w:r w:rsidRPr="00EC20A0">
              <w:rPr>
                <w:smallCaps/>
                <w:spacing w:val="19"/>
                <w:sz w:val="18"/>
              </w:rPr>
              <w:t xml:space="preserve"> </w:t>
            </w:r>
            <w:r w:rsidRPr="00EC20A0">
              <w:rPr>
                <w:smallCaps/>
                <w:sz w:val="18"/>
              </w:rPr>
              <w:t>Administrative</w:t>
            </w:r>
            <w:r w:rsidRPr="00EC20A0">
              <w:rPr>
                <w:smallCaps/>
                <w:spacing w:val="-2"/>
                <w:sz w:val="18"/>
              </w:rPr>
              <w:t xml:space="preserve"> </w:t>
            </w:r>
            <w:r w:rsidRPr="00EC20A0">
              <w:rPr>
                <w:smallCaps/>
                <w:sz w:val="18"/>
              </w:rPr>
              <w:t>Offset:</w:t>
            </w:r>
            <w:r w:rsidRPr="00EC20A0">
              <w:rPr>
                <w:smallCaps/>
                <w:spacing w:val="-12"/>
                <w:sz w:val="18"/>
              </w:rPr>
              <w:t xml:space="preserve"> </w:t>
            </w:r>
            <w:r w:rsidRPr="00EC20A0">
              <w:rPr>
                <w:smallCaps/>
                <w:sz w:val="18"/>
              </w:rPr>
              <w:t>Treasury</w:t>
            </w:r>
            <w:r w:rsidRPr="00EC20A0">
              <w:rPr>
                <w:smallCaps/>
                <w:spacing w:val="40"/>
                <w:sz w:val="18"/>
              </w:rPr>
              <w:t xml:space="preserve"> </w:t>
            </w:r>
            <w:r w:rsidRPr="00EC20A0">
              <w:rPr>
                <w:smallCaps/>
                <w:sz w:val="18"/>
              </w:rPr>
              <w:t>Notification and Referral of</w:t>
            </w:r>
            <w:r w:rsidRPr="00EC20A0">
              <w:rPr>
                <w:smallCaps/>
                <w:spacing w:val="40"/>
                <w:sz w:val="18"/>
              </w:rPr>
              <w:t xml:space="preserve"> </w:t>
            </w:r>
            <w:r w:rsidRPr="00EC20A0">
              <w:rPr>
                <w:smallCaps/>
                <w:spacing w:val="-2"/>
                <w:sz w:val="18"/>
              </w:rPr>
              <w:t>Claims.</w:t>
            </w:r>
          </w:p>
          <w:p w14:paraId="24D6107F" w14:textId="77777777" w:rsidR="00245300" w:rsidRPr="00EC20A0" w:rsidRDefault="00F17249">
            <w:pPr>
              <w:pStyle w:val="TableParagraph"/>
              <w:spacing w:before="146"/>
              <w:ind w:left="97"/>
              <w:rPr>
                <w:sz w:val="18"/>
              </w:rPr>
            </w:pPr>
            <w:r w:rsidRPr="00EC20A0">
              <w:rPr>
                <w:sz w:val="18"/>
              </w:rPr>
              <w:t>Provision</w:t>
            </w:r>
            <w:r w:rsidRPr="00EC20A0">
              <w:rPr>
                <w:spacing w:val="-9"/>
                <w:sz w:val="18"/>
              </w:rPr>
              <w:t xml:space="preserve"> </w:t>
            </w:r>
            <w:r w:rsidRPr="00EC20A0">
              <w:rPr>
                <w:sz w:val="18"/>
              </w:rPr>
              <w:t>Type:</w:t>
            </w:r>
            <w:r w:rsidRPr="00EC20A0">
              <w:rPr>
                <w:spacing w:val="-7"/>
                <w:sz w:val="18"/>
              </w:rPr>
              <w:t xml:space="preserve"> </w:t>
            </w:r>
            <w:r w:rsidRPr="00EC20A0">
              <w:rPr>
                <w:sz w:val="18"/>
              </w:rPr>
              <w:t>Procedural-</w:t>
            </w:r>
            <w:r w:rsidRPr="00EC20A0">
              <w:rPr>
                <w:spacing w:val="-2"/>
                <w:sz w:val="18"/>
              </w:rPr>
              <w:t>based.</w:t>
            </w:r>
          </w:p>
          <w:p w14:paraId="24D61080" w14:textId="77777777" w:rsidR="00245300" w:rsidRPr="00EC20A0" w:rsidRDefault="00F17249">
            <w:pPr>
              <w:pStyle w:val="TableParagraph"/>
              <w:spacing w:before="142"/>
              <w:ind w:left="97" w:right="92"/>
              <w:rPr>
                <w:sz w:val="18"/>
              </w:rPr>
            </w:pPr>
            <w:r w:rsidRPr="00EC20A0">
              <w:rPr>
                <w:sz w:val="18"/>
              </w:rPr>
              <w:t>In general, if the entity is owed a valid and legally enforceable, nontax debt delinquent over 120 days, and there are no bars to collection, then the entity shall notify Treasury about the debt for administrative offset; and refer the debt to Treasury or a Treasury- designated</w:t>
            </w:r>
            <w:r w:rsidRPr="00EC20A0">
              <w:rPr>
                <w:spacing w:val="-9"/>
                <w:sz w:val="18"/>
              </w:rPr>
              <w:t xml:space="preserve"> </w:t>
            </w:r>
            <w:r w:rsidRPr="00EC20A0">
              <w:rPr>
                <w:sz w:val="18"/>
              </w:rPr>
              <w:t>debt</w:t>
            </w:r>
            <w:r w:rsidRPr="00EC20A0">
              <w:rPr>
                <w:spacing w:val="-8"/>
                <w:sz w:val="18"/>
              </w:rPr>
              <w:t xml:space="preserve"> </w:t>
            </w:r>
            <w:r w:rsidRPr="00EC20A0">
              <w:rPr>
                <w:sz w:val="18"/>
              </w:rPr>
              <w:t>collection</w:t>
            </w:r>
            <w:r w:rsidRPr="00EC20A0">
              <w:rPr>
                <w:spacing w:val="-9"/>
                <w:sz w:val="18"/>
              </w:rPr>
              <w:t xml:space="preserve"> </w:t>
            </w:r>
            <w:r w:rsidRPr="00EC20A0">
              <w:rPr>
                <w:sz w:val="18"/>
              </w:rPr>
              <w:t>center</w:t>
            </w:r>
            <w:r w:rsidRPr="00EC20A0">
              <w:rPr>
                <w:spacing w:val="-8"/>
                <w:sz w:val="18"/>
              </w:rPr>
              <w:t xml:space="preserve"> </w:t>
            </w:r>
            <w:r w:rsidRPr="00EC20A0">
              <w:rPr>
                <w:sz w:val="18"/>
              </w:rPr>
              <w:t>for</w:t>
            </w:r>
            <w:r w:rsidRPr="00EC20A0">
              <w:rPr>
                <w:spacing w:val="-8"/>
                <w:sz w:val="18"/>
              </w:rPr>
              <w:t xml:space="preserve"> </w:t>
            </w:r>
            <w:r w:rsidRPr="00EC20A0">
              <w:rPr>
                <w:sz w:val="18"/>
              </w:rPr>
              <w:t>collection action.</w:t>
            </w:r>
            <w:hyperlink w:anchor="_bookmark108" w:history="1">
              <w:r w:rsidRPr="00EC20A0">
                <w:rPr>
                  <w:position w:val="6"/>
                  <w:sz w:val="12"/>
                </w:rPr>
                <w:t>34</w:t>
              </w:r>
            </w:hyperlink>
            <w:r w:rsidRPr="00EC20A0">
              <w:rPr>
                <w:position w:val="6"/>
                <w:sz w:val="12"/>
              </w:rPr>
              <w:t>,</w:t>
            </w:r>
            <w:r w:rsidRPr="00EC20A0">
              <w:rPr>
                <w:spacing w:val="-15"/>
                <w:position w:val="6"/>
                <w:sz w:val="12"/>
              </w:rPr>
              <w:t xml:space="preserve"> </w:t>
            </w:r>
            <w:hyperlink w:anchor="_bookmark109" w:history="1">
              <w:r w:rsidRPr="00EC20A0">
                <w:rPr>
                  <w:position w:val="6"/>
                  <w:sz w:val="12"/>
                </w:rPr>
                <w:t>35</w:t>
              </w:r>
            </w:hyperlink>
            <w:r w:rsidRPr="00EC20A0">
              <w:rPr>
                <w:position w:val="6"/>
                <w:sz w:val="12"/>
              </w:rPr>
              <w:t>,</w:t>
            </w:r>
            <w:hyperlink w:anchor="_bookmark110" w:history="1">
              <w:r w:rsidRPr="00EC20A0">
                <w:rPr>
                  <w:position w:val="6"/>
                  <w:sz w:val="12"/>
                </w:rPr>
                <w:t>36</w:t>
              </w:r>
            </w:hyperlink>
            <w:r w:rsidRPr="00EC20A0">
              <w:rPr>
                <w:position w:val="6"/>
                <w:sz w:val="12"/>
              </w:rPr>
              <w:t>,</w:t>
            </w:r>
            <w:hyperlink w:anchor="_bookmark111" w:history="1">
              <w:r w:rsidRPr="00EC20A0">
                <w:rPr>
                  <w:position w:val="6"/>
                  <w:sz w:val="12"/>
                </w:rPr>
                <w:t>37</w:t>
              </w:r>
            </w:hyperlink>
            <w:r w:rsidRPr="00EC20A0">
              <w:rPr>
                <w:position w:val="6"/>
                <w:sz w:val="12"/>
              </w:rPr>
              <w:t>,</w:t>
            </w:r>
            <w:r w:rsidRPr="00EC20A0">
              <w:rPr>
                <w:spacing w:val="-15"/>
                <w:position w:val="6"/>
                <w:sz w:val="12"/>
              </w:rPr>
              <w:t xml:space="preserve"> </w:t>
            </w:r>
            <w:hyperlink w:anchor="_bookmark112" w:history="1">
              <w:r w:rsidRPr="00EC20A0">
                <w:rPr>
                  <w:position w:val="6"/>
                  <w:sz w:val="12"/>
                </w:rPr>
                <w:t>38</w:t>
              </w:r>
            </w:hyperlink>
            <w:r w:rsidRPr="00EC20A0">
              <w:rPr>
                <w:position w:val="6"/>
                <w:sz w:val="12"/>
              </w:rPr>
              <w:t>,</w:t>
            </w:r>
            <w:hyperlink w:anchor="_bookmark113" w:history="1">
              <w:r w:rsidRPr="00EC20A0">
                <w:rPr>
                  <w:position w:val="6"/>
                  <w:sz w:val="12"/>
                </w:rPr>
                <w:t>39</w:t>
              </w:r>
            </w:hyperlink>
            <w:r w:rsidRPr="00EC20A0">
              <w:rPr>
                <w:spacing w:val="40"/>
                <w:position w:val="6"/>
                <w:sz w:val="12"/>
              </w:rPr>
              <w:t xml:space="preserve"> </w:t>
            </w:r>
            <w:r w:rsidRPr="00EC20A0">
              <w:rPr>
                <w:sz w:val="18"/>
              </w:rPr>
              <w:t>31 U.S.C. § 3711(g)(1),</w:t>
            </w:r>
          </w:p>
          <w:p w14:paraId="24D61081" w14:textId="77777777" w:rsidR="00245300" w:rsidRPr="00EC20A0" w:rsidRDefault="00F17249">
            <w:pPr>
              <w:pStyle w:val="TableParagraph"/>
              <w:spacing w:line="204" w:lineRule="exact"/>
              <w:ind w:left="97"/>
              <w:rPr>
                <w:sz w:val="18"/>
              </w:rPr>
            </w:pPr>
            <w:r w:rsidRPr="00EC20A0">
              <w:rPr>
                <w:sz w:val="18"/>
              </w:rPr>
              <w:t>31</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3716(c)(6)(A),</w:t>
            </w:r>
            <w:r w:rsidRPr="00EC20A0">
              <w:rPr>
                <w:spacing w:val="-2"/>
                <w:sz w:val="18"/>
              </w:rPr>
              <w:t xml:space="preserve"> </w:t>
            </w:r>
            <w:r w:rsidRPr="00EC20A0">
              <w:rPr>
                <w:sz w:val="18"/>
              </w:rPr>
              <w:t>and</w:t>
            </w:r>
            <w:r w:rsidRPr="00EC20A0">
              <w:rPr>
                <w:spacing w:val="-3"/>
                <w:sz w:val="18"/>
              </w:rPr>
              <w:t xml:space="preserve"> </w:t>
            </w:r>
            <w:r w:rsidRPr="00EC20A0">
              <w:rPr>
                <w:sz w:val="18"/>
              </w:rPr>
              <w:t>31</w:t>
            </w:r>
            <w:r w:rsidRPr="00EC20A0">
              <w:rPr>
                <w:spacing w:val="-3"/>
                <w:sz w:val="18"/>
              </w:rPr>
              <w:t xml:space="preserve"> </w:t>
            </w:r>
            <w:r w:rsidRPr="00EC20A0">
              <w:rPr>
                <w:sz w:val="18"/>
              </w:rPr>
              <w:t>C.F.R.</w:t>
            </w:r>
            <w:r w:rsidRPr="00EC20A0">
              <w:rPr>
                <w:spacing w:val="-1"/>
                <w:sz w:val="18"/>
              </w:rPr>
              <w:t xml:space="preserve"> </w:t>
            </w:r>
            <w:r w:rsidRPr="00EC20A0">
              <w:rPr>
                <w:spacing w:val="-10"/>
                <w:sz w:val="18"/>
              </w:rPr>
              <w:t>§</w:t>
            </w:r>
          </w:p>
          <w:p w14:paraId="24D61082" w14:textId="77777777" w:rsidR="00245300" w:rsidRPr="00EC20A0" w:rsidRDefault="00F17249">
            <w:pPr>
              <w:pStyle w:val="TableParagraph"/>
              <w:spacing w:before="2"/>
              <w:ind w:left="97"/>
              <w:rPr>
                <w:sz w:val="18"/>
              </w:rPr>
            </w:pPr>
            <w:r w:rsidRPr="00EC20A0">
              <w:rPr>
                <w:spacing w:val="-2"/>
                <w:sz w:val="18"/>
              </w:rPr>
              <w:t>285.12(g).</w:t>
            </w:r>
          </w:p>
        </w:tc>
        <w:tc>
          <w:tcPr>
            <w:tcW w:w="1791" w:type="dxa"/>
            <w:tcBorders>
              <w:left w:val="single" w:sz="4" w:space="0" w:color="000000"/>
              <w:right w:val="single" w:sz="4" w:space="0" w:color="000000"/>
            </w:tcBorders>
          </w:tcPr>
          <w:p w14:paraId="24D61083" w14:textId="77777777" w:rsidR="00245300" w:rsidRPr="00EC20A0" w:rsidRDefault="00F17249">
            <w:pPr>
              <w:pStyle w:val="TableParagraph"/>
              <w:spacing w:before="144"/>
              <w:ind w:left="108" w:right="170"/>
              <w:rPr>
                <w:sz w:val="18"/>
              </w:rPr>
            </w:pPr>
            <w:r w:rsidRPr="00EC20A0">
              <w:rPr>
                <w:sz w:val="18"/>
              </w:rPr>
              <w:t>When</w:t>
            </w:r>
            <w:r w:rsidRPr="00EC20A0">
              <w:rPr>
                <w:spacing w:val="-15"/>
                <w:sz w:val="18"/>
              </w:rPr>
              <w:t xml:space="preserve"> </w:t>
            </w:r>
            <w:r w:rsidRPr="00EC20A0">
              <w:rPr>
                <w:sz w:val="18"/>
              </w:rPr>
              <w:t>nontax</w:t>
            </w:r>
            <w:r w:rsidRPr="00EC20A0">
              <w:rPr>
                <w:spacing w:val="-12"/>
                <w:sz w:val="18"/>
              </w:rPr>
              <w:t xml:space="preserve"> </w:t>
            </w:r>
            <w:r w:rsidRPr="00EC20A0">
              <w:rPr>
                <w:sz w:val="18"/>
              </w:rPr>
              <w:t xml:space="preserve">debt </w:t>
            </w:r>
            <w:r w:rsidRPr="00EC20A0">
              <w:rPr>
                <w:spacing w:val="-2"/>
                <w:sz w:val="18"/>
              </w:rPr>
              <w:t xml:space="preserve">becomes </w:t>
            </w:r>
            <w:r w:rsidRPr="00EC20A0">
              <w:rPr>
                <w:sz w:val="18"/>
              </w:rPr>
              <w:t xml:space="preserve">delinquent over 120 days, it is referred to Treasury for </w:t>
            </w:r>
            <w:r w:rsidRPr="00EC20A0">
              <w:rPr>
                <w:spacing w:val="-2"/>
                <w:sz w:val="18"/>
              </w:rPr>
              <w:t xml:space="preserve">administrative </w:t>
            </w:r>
            <w:r w:rsidRPr="00EC20A0">
              <w:rPr>
                <w:sz w:val="18"/>
              </w:rPr>
              <w:t>offset and collection. (See footnotes 33</w:t>
            </w:r>
          </w:p>
          <w:p w14:paraId="24D61084" w14:textId="77777777" w:rsidR="00245300" w:rsidRPr="00EC20A0" w:rsidRDefault="00F17249">
            <w:pPr>
              <w:pStyle w:val="TableParagraph"/>
              <w:spacing w:before="1"/>
              <w:ind w:left="108"/>
              <w:rPr>
                <w:sz w:val="18"/>
              </w:rPr>
            </w:pPr>
            <w:r w:rsidRPr="00EC20A0">
              <w:rPr>
                <w:sz w:val="18"/>
              </w:rPr>
              <w:t>through</w:t>
            </w:r>
            <w:r w:rsidRPr="00EC20A0">
              <w:rPr>
                <w:spacing w:val="-3"/>
                <w:sz w:val="18"/>
              </w:rPr>
              <w:t xml:space="preserve"> </w:t>
            </w:r>
            <w:r w:rsidRPr="00EC20A0">
              <w:rPr>
                <w:sz w:val="18"/>
              </w:rPr>
              <w:t>38</w:t>
            </w:r>
            <w:r w:rsidRPr="00EC20A0">
              <w:rPr>
                <w:spacing w:val="-3"/>
                <w:sz w:val="18"/>
              </w:rPr>
              <w:t xml:space="preserve"> </w:t>
            </w:r>
            <w:r w:rsidRPr="00EC20A0">
              <w:rPr>
                <w:spacing w:val="-2"/>
                <w:sz w:val="18"/>
              </w:rPr>
              <w:t>below.)</w:t>
            </w:r>
          </w:p>
        </w:tc>
        <w:tc>
          <w:tcPr>
            <w:tcW w:w="2231" w:type="dxa"/>
            <w:tcBorders>
              <w:left w:val="single" w:sz="4" w:space="0" w:color="000000"/>
              <w:right w:val="single" w:sz="4" w:space="0" w:color="000000"/>
            </w:tcBorders>
          </w:tcPr>
          <w:p w14:paraId="24D61085" w14:textId="77777777" w:rsidR="00245300" w:rsidRPr="00EC20A0" w:rsidRDefault="00245300">
            <w:pPr>
              <w:pStyle w:val="TableParagraph"/>
              <w:rPr>
                <w:sz w:val="18"/>
              </w:rPr>
            </w:pPr>
          </w:p>
        </w:tc>
        <w:tc>
          <w:tcPr>
            <w:tcW w:w="1524" w:type="dxa"/>
            <w:tcBorders>
              <w:left w:val="single" w:sz="4" w:space="0" w:color="000000"/>
              <w:right w:val="single" w:sz="4" w:space="0" w:color="000000"/>
            </w:tcBorders>
          </w:tcPr>
          <w:p w14:paraId="24D61086" w14:textId="77777777" w:rsidR="00245300" w:rsidRPr="00EC20A0" w:rsidRDefault="00245300">
            <w:pPr>
              <w:pStyle w:val="TableParagraph"/>
              <w:rPr>
                <w:sz w:val="18"/>
              </w:rPr>
            </w:pPr>
          </w:p>
        </w:tc>
        <w:tc>
          <w:tcPr>
            <w:tcW w:w="1496" w:type="dxa"/>
            <w:tcBorders>
              <w:left w:val="single" w:sz="4" w:space="0" w:color="000000"/>
              <w:right w:val="single" w:sz="4" w:space="0" w:color="000000"/>
            </w:tcBorders>
          </w:tcPr>
          <w:p w14:paraId="24D61087" w14:textId="77777777" w:rsidR="00245300" w:rsidRPr="00EC20A0" w:rsidRDefault="00245300">
            <w:pPr>
              <w:pStyle w:val="TableParagraph"/>
              <w:rPr>
                <w:sz w:val="18"/>
              </w:rPr>
            </w:pPr>
          </w:p>
        </w:tc>
        <w:tc>
          <w:tcPr>
            <w:tcW w:w="2185" w:type="dxa"/>
            <w:tcBorders>
              <w:left w:val="single" w:sz="4" w:space="0" w:color="000000"/>
            </w:tcBorders>
          </w:tcPr>
          <w:p w14:paraId="24D61088" w14:textId="77777777" w:rsidR="00245300" w:rsidRPr="00EC20A0" w:rsidRDefault="00F17249">
            <w:pPr>
              <w:pStyle w:val="TableParagraph"/>
              <w:spacing w:before="143"/>
              <w:ind w:left="111" w:right="3"/>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3"/>
                <w:sz w:val="18"/>
              </w:rPr>
              <w:t xml:space="preserve"> </w:t>
            </w:r>
            <w:r w:rsidRPr="00EC20A0">
              <w:rPr>
                <w:spacing w:val="-5"/>
                <w:sz w:val="18"/>
              </w:rPr>
              <w:t>805</w:t>
            </w:r>
          </w:p>
          <w:p w14:paraId="24D61089" w14:textId="77777777" w:rsidR="00245300" w:rsidRPr="00EC20A0" w:rsidRDefault="00F17249">
            <w:pPr>
              <w:pStyle w:val="TableParagraph"/>
              <w:spacing w:before="1"/>
              <w:ind w:left="111"/>
              <w:rPr>
                <w:sz w:val="18"/>
              </w:rPr>
            </w:pPr>
            <w:r w:rsidRPr="00EC20A0">
              <w:rPr>
                <w:sz w:val="18"/>
              </w:rPr>
              <w:t>step</w:t>
            </w:r>
            <w:r w:rsidRPr="00EC20A0">
              <w:rPr>
                <w:spacing w:val="-2"/>
                <w:sz w:val="18"/>
              </w:rPr>
              <w:t xml:space="preserve"> </w:t>
            </w:r>
            <w:r w:rsidRPr="00EC20A0">
              <w:rPr>
                <w:sz w:val="18"/>
              </w:rPr>
              <w:t>5</w:t>
            </w:r>
            <w:r w:rsidRPr="00EC20A0">
              <w:rPr>
                <w:spacing w:val="-1"/>
                <w:sz w:val="18"/>
              </w:rPr>
              <w:t xml:space="preserve"> </w:t>
            </w:r>
            <w:r w:rsidRPr="00EC20A0">
              <w:rPr>
                <w:spacing w:val="-4"/>
                <w:sz w:val="18"/>
              </w:rPr>
              <w:t>(b).</w:t>
            </w:r>
          </w:p>
        </w:tc>
      </w:tr>
    </w:tbl>
    <w:p w14:paraId="24D6108B" w14:textId="77777777" w:rsidR="00245300" w:rsidRPr="00EC20A0" w:rsidRDefault="00F17249">
      <w:pPr>
        <w:pStyle w:val="BodyText"/>
        <w:spacing w:before="134"/>
        <w:rPr>
          <w:sz w:val="20"/>
        </w:rPr>
      </w:pPr>
      <w:r w:rsidRPr="00EC20A0">
        <w:rPr>
          <w:noProof/>
        </w:rPr>
        <mc:AlternateContent>
          <mc:Choice Requires="wps">
            <w:drawing>
              <wp:anchor distT="0" distB="0" distL="0" distR="0" simplePos="0" relativeHeight="487660032" behindDoc="1" locked="0" layoutInCell="1" allowOverlap="1" wp14:anchorId="24D62BD7" wp14:editId="24D62BD8">
                <wp:simplePos x="0" y="0"/>
                <wp:positionH relativeFrom="page">
                  <wp:posOffset>685800</wp:posOffset>
                </wp:positionH>
                <wp:positionV relativeFrom="paragraph">
                  <wp:posOffset>246634</wp:posOffset>
                </wp:positionV>
                <wp:extent cx="1828800" cy="6985"/>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18A35" id="Graphic 524" o:spid="_x0000_s1026" style="position:absolute;margin-left:54pt;margin-top:19.4pt;width:2in;height:.55pt;z-index:-156564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" path="m1828800,l,,,6857r1828800,l1828800,xe" fillcolor="black" stroked="f">
                <v:path arrowok="t"/>
                <w10:wrap type="topAndBottom" anchorx="page"/>
              </v:shape>
            </w:pict>
          </mc:Fallback>
        </mc:AlternateContent>
      </w:r>
    </w:p>
    <w:p w14:paraId="24D6108C" w14:textId="77777777" w:rsidR="00245300" w:rsidRPr="00EC20A0" w:rsidRDefault="00245300">
      <w:pPr>
        <w:pStyle w:val="BodyText"/>
        <w:spacing w:before="10"/>
        <w:rPr>
          <w:sz w:val="18"/>
        </w:rPr>
      </w:pPr>
    </w:p>
    <w:p w14:paraId="24D6108D" w14:textId="77777777" w:rsidR="00245300" w:rsidRPr="00EC20A0" w:rsidRDefault="00F17249">
      <w:pPr>
        <w:spacing w:line="249" w:lineRule="auto"/>
        <w:ind w:left="119" w:right="181"/>
        <w:rPr>
          <w:sz w:val="18"/>
        </w:rPr>
      </w:pPr>
      <w:r w:rsidRPr="00EC20A0">
        <w:rPr>
          <w:position w:val="7"/>
          <w:sz w:val="14"/>
        </w:rPr>
        <w:t>34</w:t>
      </w:r>
      <w:r w:rsidRPr="00EC20A0">
        <w:rPr>
          <w:sz w:val="18"/>
        </w:rPr>
        <w:t>Before</w:t>
      </w:r>
      <w:r w:rsidRPr="00EC20A0">
        <w:rPr>
          <w:spacing w:val="-3"/>
          <w:sz w:val="18"/>
        </w:rPr>
        <w:t xml:space="preserve"> </w:t>
      </w:r>
      <w:r w:rsidRPr="00EC20A0">
        <w:rPr>
          <w:sz w:val="18"/>
        </w:rPr>
        <w:t>discharging</w:t>
      </w:r>
      <w:r w:rsidRPr="00EC20A0">
        <w:rPr>
          <w:spacing w:val="-2"/>
          <w:sz w:val="18"/>
        </w:rPr>
        <w:t xml:space="preserve"> </w:t>
      </w:r>
      <w:r w:rsidRPr="00EC20A0">
        <w:rPr>
          <w:sz w:val="18"/>
        </w:rPr>
        <w:t>debt</w:t>
      </w:r>
      <w:r w:rsidRPr="00EC20A0">
        <w:rPr>
          <w:spacing w:val="-2"/>
          <w:sz w:val="18"/>
        </w:rPr>
        <w:t xml:space="preserve"> </w:t>
      </w:r>
      <w:r w:rsidRPr="00EC20A0">
        <w:rPr>
          <w:sz w:val="18"/>
        </w:rPr>
        <w:t>owed</w:t>
      </w:r>
      <w:r w:rsidRPr="00EC20A0">
        <w:rPr>
          <w:spacing w:val="-1"/>
          <w:sz w:val="18"/>
        </w:rPr>
        <w:t xml:space="preserve"> </w:t>
      </w:r>
      <w:r w:rsidRPr="00EC20A0">
        <w:rPr>
          <w:sz w:val="18"/>
        </w:rPr>
        <w:t>to</w:t>
      </w:r>
      <w:r w:rsidRPr="00EC20A0">
        <w:rPr>
          <w:spacing w:val="-3"/>
          <w:sz w:val="18"/>
        </w:rPr>
        <w:t xml:space="preserve"> </w:t>
      </w:r>
      <w:r w:rsidRPr="00EC20A0">
        <w:rPr>
          <w:sz w:val="18"/>
        </w:rPr>
        <w:t>the</w:t>
      </w:r>
      <w:r w:rsidRPr="00EC20A0">
        <w:rPr>
          <w:spacing w:val="-2"/>
          <w:sz w:val="18"/>
        </w:rPr>
        <w:t xml:space="preserve"> </w:t>
      </w:r>
      <w:r w:rsidRPr="00EC20A0">
        <w:rPr>
          <w:sz w:val="18"/>
        </w:rPr>
        <w:t>entity,</w:t>
      </w:r>
      <w:r w:rsidRPr="00EC20A0">
        <w:rPr>
          <w:spacing w:val="-2"/>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head</w:t>
      </w:r>
      <w:r w:rsidRPr="00EC20A0">
        <w:rPr>
          <w:spacing w:val="-1"/>
          <w:sz w:val="18"/>
        </w:rPr>
        <w:t xml:space="preserve"> </w:t>
      </w:r>
      <w:r w:rsidRPr="00EC20A0">
        <w:rPr>
          <w:sz w:val="18"/>
        </w:rPr>
        <w:t>shall</w:t>
      </w:r>
      <w:r w:rsidRPr="00EC20A0">
        <w:rPr>
          <w:spacing w:val="-2"/>
          <w:sz w:val="18"/>
        </w:rPr>
        <w:t xml:space="preserve"> </w:t>
      </w:r>
      <w:r w:rsidRPr="00EC20A0">
        <w:rPr>
          <w:sz w:val="18"/>
        </w:rPr>
        <w:t>take</w:t>
      </w:r>
      <w:r w:rsidRPr="00EC20A0">
        <w:rPr>
          <w:spacing w:val="-3"/>
          <w:sz w:val="18"/>
        </w:rPr>
        <w:t xml:space="preserve"> </w:t>
      </w:r>
      <w:r w:rsidRPr="00EC20A0">
        <w:rPr>
          <w:sz w:val="18"/>
        </w:rPr>
        <w:t>all</w:t>
      </w:r>
      <w:r w:rsidRPr="00EC20A0">
        <w:rPr>
          <w:spacing w:val="-2"/>
          <w:sz w:val="18"/>
        </w:rPr>
        <w:t xml:space="preserve"> </w:t>
      </w:r>
      <w:r w:rsidRPr="00EC20A0">
        <w:rPr>
          <w:sz w:val="18"/>
        </w:rPr>
        <w:t>appropriate</w:t>
      </w:r>
      <w:r w:rsidRPr="00EC20A0">
        <w:rPr>
          <w:spacing w:val="-3"/>
          <w:sz w:val="18"/>
        </w:rPr>
        <w:t xml:space="preserve"> </w:t>
      </w:r>
      <w:r w:rsidRPr="00EC20A0">
        <w:rPr>
          <w:sz w:val="18"/>
        </w:rPr>
        <w:t>steps</w:t>
      </w:r>
      <w:r w:rsidRPr="00EC20A0">
        <w:rPr>
          <w:spacing w:val="-2"/>
          <w:sz w:val="18"/>
        </w:rPr>
        <w:t xml:space="preserve"> </w:t>
      </w:r>
      <w:r w:rsidRPr="00EC20A0">
        <w:rPr>
          <w:sz w:val="18"/>
        </w:rPr>
        <w:t>to</w:t>
      </w:r>
      <w:r w:rsidRPr="00EC20A0">
        <w:rPr>
          <w:spacing w:val="-3"/>
          <w:sz w:val="18"/>
        </w:rPr>
        <w:t xml:space="preserve"> </w:t>
      </w:r>
      <w:r w:rsidRPr="00EC20A0">
        <w:rPr>
          <w:sz w:val="18"/>
        </w:rPr>
        <w:t>collect</w:t>
      </w:r>
      <w:r w:rsidRPr="00EC20A0">
        <w:rPr>
          <w:spacing w:val="-2"/>
          <w:sz w:val="18"/>
        </w:rPr>
        <w:t xml:space="preserve"> </w:t>
      </w:r>
      <w:r w:rsidRPr="00EC20A0">
        <w:rPr>
          <w:sz w:val="18"/>
        </w:rPr>
        <w:t>such</w:t>
      </w:r>
      <w:r w:rsidRPr="00EC20A0">
        <w:rPr>
          <w:spacing w:val="-3"/>
          <w:sz w:val="18"/>
        </w:rPr>
        <w:t xml:space="preserve"> </w:t>
      </w:r>
      <w:r w:rsidRPr="00EC20A0">
        <w:rPr>
          <w:sz w:val="18"/>
        </w:rPr>
        <w:t>debt,</w:t>
      </w:r>
      <w:r w:rsidRPr="00EC20A0">
        <w:rPr>
          <w:spacing w:val="-2"/>
          <w:sz w:val="18"/>
        </w:rPr>
        <w:t xml:space="preserve"> </w:t>
      </w:r>
      <w:r w:rsidRPr="00EC20A0">
        <w:rPr>
          <w:sz w:val="18"/>
        </w:rPr>
        <w:t>including</w:t>
      </w:r>
      <w:r w:rsidRPr="00EC20A0">
        <w:rPr>
          <w:spacing w:val="-3"/>
          <w:sz w:val="18"/>
        </w:rPr>
        <w:t xml:space="preserve"> </w:t>
      </w:r>
      <w:r w:rsidRPr="00EC20A0">
        <w:rPr>
          <w:sz w:val="18"/>
        </w:rPr>
        <w:t>administrative</w:t>
      </w:r>
      <w:r w:rsidRPr="00EC20A0">
        <w:rPr>
          <w:spacing w:val="-3"/>
          <w:sz w:val="18"/>
        </w:rPr>
        <w:t xml:space="preserve"> </w:t>
      </w:r>
      <w:r w:rsidRPr="00EC20A0">
        <w:rPr>
          <w:sz w:val="18"/>
        </w:rPr>
        <w:t>offset.</w:t>
      </w:r>
      <w:r w:rsidRPr="00EC20A0">
        <w:rPr>
          <w:spacing w:val="-2"/>
          <w:sz w:val="18"/>
        </w:rPr>
        <w:t xml:space="preserve"> </w:t>
      </w:r>
      <w:r w:rsidRPr="00EC20A0">
        <w:rPr>
          <w:sz w:val="18"/>
        </w:rPr>
        <w:t>31</w:t>
      </w:r>
      <w:r w:rsidRPr="00EC20A0">
        <w:rPr>
          <w:spacing w:val="-3"/>
          <w:sz w:val="18"/>
        </w:rPr>
        <w:t xml:space="preserve"> </w:t>
      </w:r>
      <w:r w:rsidRPr="00EC20A0">
        <w:rPr>
          <w:sz w:val="18"/>
        </w:rPr>
        <w:t>U.S.C.</w:t>
      </w:r>
      <w:r w:rsidRPr="00EC20A0">
        <w:rPr>
          <w:spacing w:val="-1"/>
          <w:sz w:val="18"/>
        </w:rPr>
        <w:t xml:space="preserve"> </w:t>
      </w:r>
      <w:r w:rsidRPr="00EC20A0">
        <w:rPr>
          <w:sz w:val="18"/>
        </w:rPr>
        <w:t xml:space="preserve">§ </w:t>
      </w:r>
      <w:r w:rsidRPr="00EC20A0">
        <w:rPr>
          <w:spacing w:val="-2"/>
          <w:sz w:val="18"/>
        </w:rPr>
        <w:t>3711(g)(9)(A).</w:t>
      </w:r>
    </w:p>
    <w:p w14:paraId="24D6108E" w14:textId="77777777" w:rsidR="00245300" w:rsidRPr="00EC20A0" w:rsidRDefault="00F17249">
      <w:pPr>
        <w:spacing w:before="117" w:line="244" w:lineRule="auto"/>
        <w:ind w:left="119" w:right="181"/>
        <w:rPr>
          <w:sz w:val="18"/>
        </w:rPr>
      </w:pPr>
      <w:r w:rsidRPr="00EC20A0">
        <w:rPr>
          <w:position w:val="7"/>
          <w:sz w:val="14"/>
        </w:rPr>
        <w:t>35</w:t>
      </w:r>
      <w:r w:rsidRPr="00EC20A0">
        <w:rPr>
          <w:sz w:val="18"/>
        </w:rPr>
        <w:t>Under</w:t>
      </w:r>
      <w:r w:rsidRPr="00EC20A0">
        <w:rPr>
          <w:spacing w:val="-2"/>
          <w:sz w:val="18"/>
        </w:rPr>
        <w:t xml:space="preserve"> </w:t>
      </w:r>
      <w:r w:rsidRPr="00EC20A0">
        <w:rPr>
          <w:sz w:val="18"/>
        </w:rPr>
        <w:t>implementing</w:t>
      </w:r>
      <w:r w:rsidRPr="00EC20A0">
        <w:rPr>
          <w:spacing w:val="-3"/>
          <w:sz w:val="18"/>
        </w:rPr>
        <w:t xml:space="preserve"> </w:t>
      </w:r>
      <w:r w:rsidRPr="00EC20A0">
        <w:rPr>
          <w:sz w:val="18"/>
        </w:rPr>
        <w:t>Treasury</w:t>
      </w:r>
      <w:r w:rsidRPr="00EC20A0">
        <w:rPr>
          <w:spacing w:val="-2"/>
          <w:sz w:val="18"/>
        </w:rPr>
        <w:t xml:space="preserve"> </w:t>
      </w:r>
      <w:r w:rsidRPr="00EC20A0">
        <w:rPr>
          <w:sz w:val="18"/>
        </w:rPr>
        <w:t>regulations,</w:t>
      </w:r>
      <w:r w:rsidRPr="00EC20A0">
        <w:rPr>
          <w:spacing w:val="-2"/>
          <w:sz w:val="18"/>
        </w:rPr>
        <w:t xml:space="preserve"> </w:t>
      </w:r>
      <w:r w:rsidRPr="00EC20A0">
        <w:rPr>
          <w:sz w:val="18"/>
        </w:rPr>
        <w:t>the</w:t>
      </w:r>
      <w:r w:rsidRPr="00EC20A0">
        <w:rPr>
          <w:spacing w:val="-3"/>
          <w:sz w:val="18"/>
        </w:rPr>
        <w:t xml:space="preserve"> </w:t>
      </w:r>
      <w:r w:rsidRPr="00EC20A0">
        <w:rPr>
          <w:sz w:val="18"/>
        </w:rPr>
        <w:t>120-day</w:t>
      </w:r>
      <w:r w:rsidRPr="00EC20A0">
        <w:rPr>
          <w:spacing w:val="-2"/>
          <w:sz w:val="18"/>
        </w:rPr>
        <w:t xml:space="preserve"> </w:t>
      </w:r>
      <w:r w:rsidRPr="00EC20A0">
        <w:rPr>
          <w:sz w:val="18"/>
        </w:rPr>
        <w:t>referral</w:t>
      </w:r>
      <w:r w:rsidRPr="00EC20A0">
        <w:rPr>
          <w:spacing w:val="-2"/>
          <w:sz w:val="18"/>
        </w:rPr>
        <w:t xml:space="preserve"> </w:t>
      </w:r>
      <w:r w:rsidRPr="00EC20A0">
        <w:rPr>
          <w:sz w:val="18"/>
        </w:rPr>
        <w:t>requirement</w:t>
      </w:r>
      <w:r w:rsidRPr="00EC20A0">
        <w:rPr>
          <w:spacing w:val="-1"/>
          <w:sz w:val="18"/>
        </w:rPr>
        <w:t xml:space="preserve"> </w:t>
      </w:r>
      <w:r w:rsidRPr="00EC20A0">
        <w:rPr>
          <w:sz w:val="18"/>
        </w:rPr>
        <w:t>applies</w:t>
      </w:r>
      <w:r w:rsidRPr="00EC20A0">
        <w:rPr>
          <w:spacing w:val="-2"/>
          <w:sz w:val="18"/>
        </w:rPr>
        <w:t xml:space="preserve"> </w:t>
      </w:r>
      <w:r w:rsidRPr="00EC20A0">
        <w:rPr>
          <w:sz w:val="18"/>
        </w:rPr>
        <w:t>to</w:t>
      </w:r>
      <w:r w:rsidRPr="00EC20A0">
        <w:rPr>
          <w:spacing w:val="-3"/>
          <w:sz w:val="18"/>
        </w:rPr>
        <w:t xml:space="preserve"> </w:t>
      </w:r>
      <w:r w:rsidRPr="00EC20A0">
        <w:rPr>
          <w:sz w:val="18"/>
        </w:rPr>
        <w:t>all</w:t>
      </w:r>
      <w:r w:rsidRPr="00EC20A0">
        <w:rPr>
          <w:spacing w:val="-2"/>
          <w:sz w:val="18"/>
        </w:rPr>
        <w:t xml:space="preserve"> </w:t>
      </w:r>
      <w:r w:rsidRPr="00EC20A0">
        <w:rPr>
          <w:sz w:val="18"/>
        </w:rPr>
        <w:t>entities</w:t>
      </w:r>
      <w:r w:rsidRPr="00EC20A0">
        <w:rPr>
          <w:spacing w:val="-2"/>
          <w:sz w:val="18"/>
        </w:rPr>
        <w:t xml:space="preserve"> </w:t>
      </w:r>
      <w:r w:rsidRPr="00EC20A0">
        <w:rPr>
          <w:sz w:val="18"/>
        </w:rPr>
        <w:t>relying</w:t>
      </w:r>
      <w:r w:rsidRPr="00EC20A0">
        <w:rPr>
          <w:spacing w:val="-3"/>
          <w:sz w:val="18"/>
        </w:rPr>
        <w:t xml:space="preserve"> </w:t>
      </w:r>
      <w:r w:rsidRPr="00EC20A0">
        <w:rPr>
          <w:sz w:val="18"/>
        </w:rPr>
        <w:t>on</w:t>
      </w:r>
      <w:r w:rsidRPr="00EC20A0">
        <w:rPr>
          <w:spacing w:val="-3"/>
          <w:sz w:val="18"/>
        </w:rPr>
        <w:t xml:space="preserve"> </w:t>
      </w:r>
      <w:r w:rsidRPr="00EC20A0">
        <w:rPr>
          <w:sz w:val="18"/>
        </w:rPr>
        <w:t>Treasury’s</w:t>
      </w:r>
      <w:r w:rsidRPr="00EC20A0">
        <w:rPr>
          <w:spacing w:val="-2"/>
          <w:sz w:val="18"/>
        </w:rPr>
        <w:t xml:space="preserve"> </w:t>
      </w:r>
      <w:r w:rsidRPr="00EC20A0">
        <w:rPr>
          <w:sz w:val="18"/>
        </w:rPr>
        <w:t>Bureau</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Fiscal</w:t>
      </w:r>
      <w:r w:rsidRPr="00EC20A0">
        <w:rPr>
          <w:spacing w:val="-2"/>
          <w:sz w:val="18"/>
        </w:rPr>
        <w:t xml:space="preserve"> </w:t>
      </w:r>
      <w:r w:rsidRPr="00EC20A0">
        <w:rPr>
          <w:sz w:val="18"/>
        </w:rPr>
        <w:t>Service</w:t>
      </w:r>
      <w:r w:rsidRPr="00EC20A0">
        <w:rPr>
          <w:spacing w:val="-3"/>
          <w:sz w:val="18"/>
        </w:rPr>
        <w:t xml:space="preserve"> </w:t>
      </w:r>
      <w:r w:rsidRPr="00EC20A0">
        <w:rPr>
          <w:sz w:val="18"/>
        </w:rPr>
        <w:t>to</w:t>
      </w:r>
      <w:r w:rsidRPr="00EC20A0">
        <w:rPr>
          <w:spacing w:val="-3"/>
          <w:sz w:val="18"/>
        </w:rPr>
        <w:t xml:space="preserve"> </w:t>
      </w:r>
      <w:r w:rsidRPr="00EC20A0">
        <w:rPr>
          <w:sz w:val="18"/>
        </w:rPr>
        <w:t>submit</w:t>
      </w:r>
      <w:r w:rsidRPr="00EC20A0">
        <w:rPr>
          <w:spacing w:val="-2"/>
          <w:sz w:val="18"/>
        </w:rPr>
        <w:t xml:space="preserve"> </w:t>
      </w:r>
      <w:r w:rsidRPr="00EC20A0">
        <w:rPr>
          <w:sz w:val="18"/>
        </w:rPr>
        <w:t>debts for administrative offset on the entity’s behalf. 31 C.F.R. § 285.12(g). Further, by referring the delinquent debt to Treasury or a Treasury-designated debt collection center, the entity’s referral action will satisfy the 120-day notification requirement. 31 C.F.R. § 2815.12(g).</w:t>
      </w:r>
    </w:p>
    <w:p w14:paraId="24D6108F" w14:textId="77777777" w:rsidR="00245300" w:rsidRPr="00EC20A0" w:rsidRDefault="00F17249">
      <w:pPr>
        <w:spacing w:before="121" w:line="249" w:lineRule="auto"/>
        <w:ind w:left="119"/>
        <w:rPr>
          <w:sz w:val="18"/>
        </w:rPr>
      </w:pPr>
      <w:r w:rsidRPr="00EC20A0">
        <w:rPr>
          <w:position w:val="7"/>
          <w:sz w:val="14"/>
        </w:rPr>
        <w:t>36</w:t>
      </w:r>
      <w:r w:rsidRPr="00EC20A0">
        <w:rPr>
          <w:sz w:val="18"/>
        </w:rPr>
        <w:t>There</w:t>
      </w:r>
      <w:r w:rsidRPr="00EC20A0">
        <w:rPr>
          <w:spacing w:val="-3"/>
          <w:sz w:val="18"/>
        </w:rPr>
        <w:t xml:space="preserve"> </w:t>
      </w:r>
      <w:r w:rsidRPr="00EC20A0">
        <w:rPr>
          <w:sz w:val="18"/>
        </w:rPr>
        <w:t>is</w:t>
      </w:r>
      <w:r w:rsidRPr="00EC20A0">
        <w:rPr>
          <w:spacing w:val="-2"/>
          <w:sz w:val="18"/>
        </w:rPr>
        <w:t xml:space="preserve"> </w:t>
      </w:r>
      <w:r w:rsidRPr="00EC20A0">
        <w:rPr>
          <w:sz w:val="18"/>
        </w:rPr>
        <w:t>no</w:t>
      </w:r>
      <w:r w:rsidRPr="00EC20A0">
        <w:rPr>
          <w:spacing w:val="-3"/>
          <w:sz w:val="18"/>
        </w:rPr>
        <w:t xml:space="preserve"> </w:t>
      </w:r>
      <w:r w:rsidRPr="00EC20A0">
        <w:rPr>
          <w:sz w:val="18"/>
        </w:rPr>
        <w:t>statute</w:t>
      </w:r>
      <w:r w:rsidRPr="00EC20A0">
        <w:rPr>
          <w:spacing w:val="-3"/>
          <w:sz w:val="18"/>
        </w:rPr>
        <w:t xml:space="preserve"> </w:t>
      </w:r>
      <w:r w:rsidRPr="00EC20A0">
        <w:rPr>
          <w:sz w:val="18"/>
        </w:rPr>
        <w:t>of</w:t>
      </w:r>
      <w:r w:rsidRPr="00EC20A0">
        <w:rPr>
          <w:spacing w:val="-2"/>
          <w:sz w:val="18"/>
        </w:rPr>
        <w:t xml:space="preserve"> </w:t>
      </w:r>
      <w:r w:rsidRPr="00EC20A0">
        <w:rPr>
          <w:sz w:val="18"/>
        </w:rPr>
        <w:t>limitation</w:t>
      </w:r>
      <w:r w:rsidRPr="00EC20A0">
        <w:rPr>
          <w:spacing w:val="-3"/>
          <w:sz w:val="18"/>
        </w:rPr>
        <w:t xml:space="preserve"> </w:t>
      </w:r>
      <w:r w:rsidRPr="00EC20A0">
        <w:rPr>
          <w:sz w:val="18"/>
        </w:rPr>
        <w:t>on</w:t>
      </w:r>
      <w:r w:rsidRPr="00EC20A0">
        <w:rPr>
          <w:spacing w:val="-3"/>
          <w:sz w:val="18"/>
        </w:rPr>
        <w:t xml:space="preserve"> </w:t>
      </w:r>
      <w:r w:rsidRPr="00EC20A0">
        <w:rPr>
          <w:sz w:val="18"/>
        </w:rPr>
        <w:t>using</w:t>
      </w:r>
      <w:r w:rsidRPr="00EC20A0">
        <w:rPr>
          <w:spacing w:val="-3"/>
          <w:sz w:val="18"/>
        </w:rPr>
        <w:t xml:space="preserve"> </w:t>
      </w:r>
      <w:r w:rsidRPr="00EC20A0">
        <w:rPr>
          <w:sz w:val="18"/>
        </w:rPr>
        <w:t>administrative</w:t>
      </w:r>
      <w:r w:rsidRPr="00EC20A0">
        <w:rPr>
          <w:spacing w:val="-1"/>
          <w:sz w:val="18"/>
        </w:rPr>
        <w:t xml:space="preserve"> </w:t>
      </w:r>
      <w:r w:rsidRPr="00EC20A0">
        <w:rPr>
          <w:sz w:val="18"/>
        </w:rPr>
        <w:t>offset</w:t>
      </w:r>
      <w:r w:rsidRPr="00EC20A0">
        <w:rPr>
          <w:spacing w:val="-2"/>
          <w:sz w:val="18"/>
        </w:rPr>
        <w:t xml:space="preserve"> </w:t>
      </w:r>
      <w:r w:rsidRPr="00EC20A0">
        <w:rPr>
          <w:sz w:val="18"/>
        </w:rPr>
        <w:t>for</w:t>
      </w:r>
      <w:r w:rsidRPr="00EC20A0">
        <w:rPr>
          <w:spacing w:val="-2"/>
          <w:sz w:val="18"/>
        </w:rPr>
        <w:t xml:space="preserve"> </w:t>
      </w:r>
      <w:r w:rsidRPr="00EC20A0">
        <w:rPr>
          <w:sz w:val="18"/>
        </w:rPr>
        <w:t>debt</w:t>
      </w:r>
      <w:r w:rsidRPr="00EC20A0">
        <w:rPr>
          <w:spacing w:val="-2"/>
          <w:sz w:val="18"/>
        </w:rPr>
        <w:t xml:space="preserve"> </w:t>
      </w:r>
      <w:r w:rsidRPr="00EC20A0">
        <w:rPr>
          <w:sz w:val="18"/>
        </w:rPr>
        <w:t>collection.</w:t>
      </w:r>
      <w:r w:rsidRPr="00EC20A0">
        <w:rPr>
          <w:spacing w:val="-2"/>
          <w:sz w:val="18"/>
        </w:rPr>
        <w:t xml:space="preserve"> </w:t>
      </w:r>
      <w:r w:rsidRPr="00EC20A0">
        <w:rPr>
          <w:sz w:val="18"/>
        </w:rPr>
        <w:t>31</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3716(e)(1).</w:t>
      </w:r>
      <w:r w:rsidRPr="00EC20A0">
        <w:rPr>
          <w:spacing w:val="-2"/>
          <w:sz w:val="18"/>
        </w:rPr>
        <w:t xml:space="preserve"> </w:t>
      </w:r>
      <w:r w:rsidRPr="00EC20A0">
        <w:rPr>
          <w:sz w:val="18"/>
        </w:rPr>
        <w:t>Under</w:t>
      </w:r>
      <w:r w:rsidRPr="00EC20A0">
        <w:rPr>
          <w:spacing w:val="-2"/>
          <w:sz w:val="18"/>
        </w:rPr>
        <w:t xml:space="preserve"> </w:t>
      </w:r>
      <w:r w:rsidRPr="00EC20A0">
        <w:rPr>
          <w:sz w:val="18"/>
        </w:rPr>
        <w:t>applicable</w:t>
      </w:r>
      <w:r w:rsidRPr="00EC20A0">
        <w:rPr>
          <w:spacing w:val="-3"/>
          <w:sz w:val="18"/>
        </w:rPr>
        <w:t xml:space="preserve"> </w:t>
      </w:r>
      <w:r w:rsidRPr="00EC20A0">
        <w:rPr>
          <w:sz w:val="18"/>
        </w:rPr>
        <w:t>regulations,</w:t>
      </w:r>
      <w:r w:rsidRPr="00EC20A0">
        <w:rPr>
          <w:spacing w:val="-2"/>
          <w:sz w:val="18"/>
        </w:rPr>
        <w:t xml:space="preserve"> </w:t>
      </w:r>
      <w:r w:rsidRPr="00EC20A0">
        <w:rPr>
          <w:sz w:val="18"/>
        </w:rPr>
        <w:t>however,</w:t>
      </w:r>
      <w:r w:rsidRPr="00EC20A0">
        <w:rPr>
          <w:spacing w:val="-2"/>
          <w:sz w:val="18"/>
        </w:rPr>
        <w:t xml:space="preserve"> </w:t>
      </w:r>
      <w:r w:rsidRPr="00EC20A0">
        <w:rPr>
          <w:sz w:val="18"/>
        </w:rPr>
        <w:t>generally</w:t>
      </w:r>
      <w:r w:rsidRPr="00EC20A0">
        <w:rPr>
          <w:spacing w:val="-2"/>
          <w:sz w:val="18"/>
        </w:rPr>
        <w:t xml:space="preserve"> </w:t>
      </w:r>
      <w:r w:rsidRPr="00EC20A0">
        <w:rPr>
          <w:sz w:val="18"/>
        </w:rPr>
        <w:t>the</w:t>
      </w:r>
      <w:r w:rsidRPr="00EC20A0">
        <w:rPr>
          <w:spacing w:val="-2"/>
          <w:sz w:val="18"/>
        </w:rPr>
        <w:t xml:space="preserve"> </w:t>
      </w:r>
      <w:r w:rsidRPr="00EC20A0">
        <w:rPr>
          <w:sz w:val="18"/>
        </w:rPr>
        <w:t>U.S. government</w:t>
      </w:r>
      <w:r w:rsidRPr="00EC20A0">
        <w:rPr>
          <w:spacing w:val="-5"/>
          <w:sz w:val="18"/>
        </w:rPr>
        <w:t xml:space="preserve"> </w:t>
      </w:r>
      <w:r w:rsidRPr="00EC20A0">
        <w:rPr>
          <w:sz w:val="18"/>
        </w:rPr>
        <w:t>will</w:t>
      </w:r>
      <w:r w:rsidRPr="00EC20A0">
        <w:rPr>
          <w:spacing w:val="-3"/>
          <w:sz w:val="18"/>
        </w:rPr>
        <w:t xml:space="preserve"> </w:t>
      </w:r>
      <w:r w:rsidRPr="00EC20A0">
        <w:rPr>
          <w:sz w:val="18"/>
        </w:rPr>
        <w:t>not</w:t>
      </w:r>
      <w:r w:rsidRPr="00EC20A0">
        <w:rPr>
          <w:spacing w:val="-2"/>
          <w:sz w:val="18"/>
        </w:rPr>
        <w:t xml:space="preserve"> </w:t>
      </w:r>
      <w:r w:rsidRPr="00EC20A0">
        <w:rPr>
          <w:sz w:val="18"/>
        </w:rPr>
        <w:t>use</w:t>
      </w:r>
      <w:r w:rsidRPr="00EC20A0">
        <w:rPr>
          <w:spacing w:val="-3"/>
          <w:sz w:val="18"/>
        </w:rPr>
        <w:t xml:space="preserve"> </w:t>
      </w:r>
      <w:r w:rsidRPr="00EC20A0">
        <w:rPr>
          <w:sz w:val="18"/>
        </w:rPr>
        <w:t>administrative</w:t>
      </w:r>
      <w:r w:rsidRPr="00EC20A0">
        <w:rPr>
          <w:spacing w:val="-3"/>
          <w:sz w:val="18"/>
        </w:rPr>
        <w:t xml:space="preserve"> </w:t>
      </w:r>
      <w:r w:rsidRPr="00EC20A0">
        <w:rPr>
          <w:sz w:val="18"/>
        </w:rPr>
        <w:t>offset</w:t>
      </w:r>
      <w:r w:rsidRPr="00EC20A0">
        <w:rPr>
          <w:spacing w:val="-3"/>
          <w:sz w:val="18"/>
        </w:rPr>
        <w:t xml:space="preserve"> </w:t>
      </w:r>
      <w:r w:rsidRPr="00EC20A0">
        <w:rPr>
          <w:sz w:val="18"/>
        </w:rPr>
        <w:t>for</w:t>
      </w:r>
      <w:r w:rsidRPr="00EC20A0">
        <w:rPr>
          <w:spacing w:val="-2"/>
          <w:sz w:val="18"/>
        </w:rPr>
        <w:t xml:space="preserve"> </w:t>
      </w:r>
      <w:r w:rsidRPr="00EC20A0">
        <w:rPr>
          <w:sz w:val="18"/>
        </w:rPr>
        <w:t>claims</w:t>
      </w:r>
      <w:r w:rsidRPr="00EC20A0">
        <w:rPr>
          <w:spacing w:val="-2"/>
          <w:sz w:val="18"/>
        </w:rPr>
        <w:t xml:space="preserve"> </w:t>
      </w:r>
      <w:r w:rsidRPr="00EC20A0">
        <w:rPr>
          <w:sz w:val="18"/>
        </w:rPr>
        <w:t>collection</w:t>
      </w:r>
      <w:r w:rsidRPr="00EC20A0">
        <w:rPr>
          <w:spacing w:val="-3"/>
          <w:sz w:val="18"/>
        </w:rPr>
        <w:t xml:space="preserve"> </w:t>
      </w:r>
      <w:r w:rsidRPr="00EC20A0">
        <w:rPr>
          <w:sz w:val="18"/>
        </w:rPr>
        <w:t>purposes</w:t>
      </w:r>
      <w:r w:rsidRPr="00EC20A0">
        <w:rPr>
          <w:spacing w:val="-2"/>
          <w:sz w:val="18"/>
        </w:rPr>
        <w:t xml:space="preserve"> </w:t>
      </w:r>
      <w:r w:rsidRPr="00EC20A0">
        <w:rPr>
          <w:sz w:val="18"/>
        </w:rPr>
        <w:t>more</w:t>
      </w:r>
      <w:r w:rsidRPr="00EC20A0">
        <w:rPr>
          <w:spacing w:val="-4"/>
          <w:sz w:val="18"/>
        </w:rPr>
        <w:t xml:space="preserve"> </w:t>
      </w:r>
      <w:r w:rsidRPr="00EC20A0">
        <w:rPr>
          <w:sz w:val="18"/>
        </w:rPr>
        <w:t>than</w:t>
      </w:r>
      <w:r w:rsidRPr="00EC20A0">
        <w:rPr>
          <w:spacing w:val="-3"/>
          <w:sz w:val="18"/>
        </w:rPr>
        <w:t xml:space="preserve"> </w:t>
      </w:r>
      <w:r w:rsidRPr="00EC20A0">
        <w:rPr>
          <w:sz w:val="18"/>
        </w:rPr>
        <w:t>10</w:t>
      </w:r>
      <w:r w:rsidRPr="00EC20A0">
        <w:rPr>
          <w:spacing w:val="-3"/>
          <w:sz w:val="18"/>
        </w:rPr>
        <w:t xml:space="preserve"> </w:t>
      </w:r>
      <w:r w:rsidRPr="00EC20A0">
        <w:rPr>
          <w:sz w:val="18"/>
        </w:rPr>
        <w:t>years</w:t>
      </w:r>
      <w:r w:rsidRPr="00EC20A0">
        <w:rPr>
          <w:spacing w:val="-2"/>
          <w:sz w:val="18"/>
        </w:rPr>
        <w:t xml:space="preserve"> </w:t>
      </w:r>
      <w:r w:rsidRPr="00EC20A0">
        <w:rPr>
          <w:sz w:val="18"/>
        </w:rPr>
        <w:t>after</w:t>
      </w:r>
      <w:r w:rsidRPr="00EC20A0">
        <w:rPr>
          <w:spacing w:val="-2"/>
          <w:sz w:val="18"/>
        </w:rPr>
        <w:t xml:space="preserve"> </w:t>
      </w:r>
      <w:r w:rsidRPr="00EC20A0">
        <w:rPr>
          <w:sz w:val="18"/>
        </w:rPr>
        <w:t>the</w:t>
      </w:r>
      <w:r w:rsidRPr="00EC20A0">
        <w:rPr>
          <w:spacing w:val="-4"/>
          <w:sz w:val="18"/>
        </w:rPr>
        <w:t xml:space="preserve"> </w:t>
      </w:r>
      <w:r w:rsidRPr="00EC20A0">
        <w:rPr>
          <w:sz w:val="18"/>
        </w:rPr>
        <w:t>U.S.</w:t>
      </w:r>
      <w:r w:rsidRPr="00EC20A0">
        <w:rPr>
          <w:spacing w:val="-2"/>
          <w:sz w:val="18"/>
        </w:rPr>
        <w:t xml:space="preserve"> </w:t>
      </w:r>
      <w:r w:rsidRPr="00EC20A0">
        <w:rPr>
          <w:sz w:val="18"/>
        </w:rPr>
        <w:t>government’s</w:t>
      </w:r>
      <w:r w:rsidRPr="00EC20A0">
        <w:rPr>
          <w:spacing w:val="-2"/>
          <w:sz w:val="18"/>
        </w:rPr>
        <w:t xml:space="preserve"> </w:t>
      </w:r>
      <w:r w:rsidRPr="00EC20A0">
        <w:rPr>
          <w:sz w:val="18"/>
        </w:rPr>
        <w:t>right</w:t>
      </w:r>
      <w:r w:rsidRPr="00EC20A0">
        <w:rPr>
          <w:spacing w:val="-2"/>
          <w:sz w:val="18"/>
        </w:rPr>
        <w:t xml:space="preserve"> </w:t>
      </w:r>
      <w:r w:rsidRPr="00EC20A0">
        <w:rPr>
          <w:sz w:val="18"/>
        </w:rPr>
        <w:t>to</w:t>
      </w:r>
      <w:r w:rsidRPr="00EC20A0">
        <w:rPr>
          <w:spacing w:val="-3"/>
          <w:sz w:val="18"/>
        </w:rPr>
        <w:t xml:space="preserve"> </w:t>
      </w:r>
      <w:r w:rsidRPr="00EC20A0">
        <w:rPr>
          <w:sz w:val="18"/>
        </w:rPr>
        <w:t>collect</w:t>
      </w:r>
      <w:r w:rsidRPr="00EC20A0">
        <w:rPr>
          <w:spacing w:val="-3"/>
          <w:sz w:val="18"/>
        </w:rPr>
        <w:t xml:space="preserve"> </w:t>
      </w:r>
      <w:r w:rsidRPr="00EC20A0">
        <w:rPr>
          <w:sz w:val="18"/>
        </w:rPr>
        <w:t>the</w:t>
      </w:r>
      <w:r w:rsidRPr="00EC20A0">
        <w:rPr>
          <w:spacing w:val="-3"/>
          <w:sz w:val="18"/>
        </w:rPr>
        <w:t xml:space="preserve"> </w:t>
      </w:r>
      <w:r w:rsidRPr="00EC20A0">
        <w:rPr>
          <w:sz w:val="18"/>
        </w:rPr>
        <w:t>claim</w:t>
      </w:r>
      <w:r w:rsidRPr="00EC20A0">
        <w:rPr>
          <w:spacing w:val="-2"/>
          <w:sz w:val="18"/>
        </w:rPr>
        <w:t xml:space="preserve"> </w:t>
      </w:r>
      <w:r w:rsidRPr="00EC20A0">
        <w:rPr>
          <w:sz w:val="18"/>
        </w:rPr>
        <w:t>first</w:t>
      </w:r>
      <w:r w:rsidRPr="00EC20A0">
        <w:rPr>
          <w:spacing w:val="-2"/>
          <w:sz w:val="18"/>
        </w:rPr>
        <w:t xml:space="preserve"> </w:t>
      </w:r>
      <w:r w:rsidRPr="00EC20A0">
        <w:rPr>
          <w:sz w:val="18"/>
        </w:rPr>
        <w:t>accrued.</w:t>
      </w:r>
      <w:r w:rsidRPr="00EC20A0">
        <w:rPr>
          <w:spacing w:val="-2"/>
          <w:sz w:val="18"/>
        </w:rPr>
        <w:t xml:space="preserve"> </w:t>
      </w:r>
      <w:r w:rsidRPr="00EC20A0">
        <w:rPr>
          <w:spacing w:val="-5"/>
          <w:sz w:val="18"/>
        </w:rPr>
        <w:t>31</w:t>
      </w:r>
    </w:p>
    <w:p w14:paraId="24D61090" w14:textId="77777777" w:rsidR="00245300" w:rsidRPr="00EC20A0" w:rsidRDefault="00F17249">
      <w:pPr>
        <w:spacing w:line="199" w:lineRule="exact"/>
        <w:ind w:left="119"/>
        <w:rPr>
          <w:sz w:val="18"/>
        </w:rPr>
      </w:pPr>
      <w:r w:rsidRPr="00EC20A0">
        <w:rPr>
          <w:sz w:val="18"/>
        </w:rPr>
        <w:t>C.F.R.</w:t>
      </w:r>
      <w:r w:rsidRPr="00EC20A0">
        <w:rPr>
          <w:spacing w:val="-2"/>
          <w:sz w:val="18"/>
        </w:rPr>
        <w:t xml:space="preserve"> </w:t>
      </w:r>
      <w:r w:rsidRPr="00EC20A0">
        <w:rPr>
          <w:sz w:val="18"/>
        </w:rPr>
        <w:t>§</w:t>
      </w:r>
      <w:r w:rsidRPr="00EC20A0">
        <w:rPr>
          <w:spacing w:val="-1"/>
          <w:sz w:val="18"/>
        </w:rPr>
        <w:t xml:space="preserve"> </w:t>
      </w:r>
      <w:r w:rsidRPr="00EC20A0">
        <w:rPr>
          <w:spacing w:val="-2"/>
          <w:sz w:val="18"/>
        </w:rPr>
        <w:t>901.3(a)(4).</w:t>
      </w:r>
    </w:p>
    <w:p w14:paraId="24D61091" w14:textId="77777777" w:rsidR="00245300" w:rsidRPr="00EC20A0" w:rsidRDefault="00F17249">
      <w:pPr>
        <w:spacing w:before="126" w:line="244" w:lineRule="auto"/>
        <w:ind w:left="119" w:right="181"/>
        <w:rPr>
          <w:sz w:val="18"/>
        </w:rPr>
      </w:pPr>
      <w:r w:rsidRPr="00EC20A0">
        <w:rPr>
          <w:position w:val="7"/>
          <w:sz w:val="14"/>
        </w:rPr>
        <w:t>37</w:t>
      </w:r>
      <w:r w:rsidRPr="00EC20A0">
        <w:rPr>
          <w:sz w:val="18"/>
        </w:rPr>
        <w:t xml:space="preserve">An exception to the Treasury notification and referral requirement of nontax debt </w:t>
      </w:r>
      <w:r w:rsidRPr="00EC20A0">
        <w:rPr>
          <w:sz w:val="18"/>
        </w:rPr>
        <w:t>delinquent over 120 days for administrative offset is when a statute explicitly prohibits</w:t>
      </w:r>
      <w:r w:rsidRPr="00EC20A0">
        <w:rPr>
          <w:spacing w:val="-2"/>
          <w:sz w:val="18"/>
        </w:rPr>
        <w:t xml:space="preserve"> </w:t>
      </w:r>
      <w:r w:rsidRPr="00EC20A0">
        <w:rPr>
          <w:sz w:val="18"/>
        </w:rPr>
        <w:t>using</w:t>
      </w:r>
      <w:r w:rsidRPr="00EC20A0">
        <w:rPr>
          <w:spacing w:val="-1"/>
          <w:sz w:val="18"/>
        </w:rPr>
        <w:t xml:space="preserve"> </w:t>
      </w:r>
      <w:r w:rsidRPr="00EC20A0">
        <w:rPr>
          <w:sz w:val="18"/>
        </w:rPr>
        <w:t>administrative</w:t>
      </w:r>
      <w:r w:rsidRPr="00EC20A0">
        <w:rPr>
          <w:spacing w:val="-1"/>
          <w:sz w:val="18"/>
        </w:rPr>
        <w:t xml:space="preserve"> </w:t>
      </w:r>
      <w:r w:rsidRPr="00EC20A0">
        <w:rPr>
          <w:sz w:val="18"/>
        </w:rPr>
        <w:t>offset</w:t>
      </w:r>
      <w:r w:rsidRPr="00EC20A0">
        <w:rPr>
          <w:spacing w:val="-2"/>
          <w:sz w:val="18"/>
        </w:rPr>
        <w:t xml:space="preserve"> </w:t>
      </w:r>
      <w:r w:rsidRPr="00EC20A0">
        <w:rPr>
          <w:sz w:val="18"/>
        </w:rPr>
        <w:t>or</w:t>
      </w:r>
      <w:r w:rsidRPr="00EC20A0">
        <w:rPr>
          <w:spacing w:val="-2"/>
          <w:sz w:val="18"/>
        </w:rPr>
        <w:t xml:space="preserve"> </w:t>
      </w:r>
      <w:r w:rsidRPr="00EC20A0">
        <w:rPr>
          <w:sz w:val="18"/>
        </w:rPr>
        <w:t>setoff</w:t>
      </w:r>
      <w:r w:rsidRPr="00EC20A0">
        <w:rPr>
          <w:spacing w:val="-3"/>
          <w:sz w:val="18"/>
        </w:rPr>
        <w:t xml:space="preserve"> </w:t>
      </w:r>
      <w:r w:rsidRPr="00EC20A0">
        <w:rPr>
          <w:sz w:val="18"/>
        </w:rPr>
        <w:t>to</w:t>
      </w:r>
      <w:r w:rsidRPr="00EC20A0">
        <w:rPr>
          <w:spacing w:val="-3"/>
          <w:sz w:val="18"/>
        </w:rPr>
        <w:t xml:space="preserve"> </w:t>
      </w:r>
      <w:r w:rsidRPr="00EC20A0">
        <w:rPr>
          <w:sz w:val="18"/>
        </w:rPr>
        <w:t>collect</w:t>
      </w:r>
      <w:r w:rsidRPr="00EC20A0">
        <w:rPr>
          <w:spacing w:val="-2"/>
          <w:sz w:val="18"/>
        </w:rPr>
        <w:t xml:space="preserve"> </w:t>
      </w:r>
      <w:r w:rsidRPr="00EC20A0">
        <w:rPr>
          <w:sz w:val="18"/>
        </w:rPr>
        <w:t>the</w:t>
      </w:r>
      <w:r w:rsidRPr="00EC20A0">
        <w:rPr>
          <w:spacing w:val="-3"/>
          <w:sz w:val="18"/>
        </w:rPr>
        <w:t xml:space="preserve"> </w:t>
      </w:r>
      <w:r w:rsidRPr="00EC20A0">
        <w:rPr>
          <w:sz w:val="18"/>
        </w:rPr>
        <w:t>type</w:t>
      </w:r>
      <w:r w:rsidRPr="00EC20A0">
        <w:rPr>
          <w:spacing w:val="-3"/>
          <w:sz w:val="18"/>
        </w:rPr>
        <w:t xml:space="preserve"> </w:t>
      </w:r>
      <w:r w:rsidRPr="00EC20A0">
        <w:rPr>
          <w:sz w:val="18"/>
        </w:rPr>
        <w:t>of</w:t>
      </w:r>
      <w:r w:rsidRPr="00EC20A0">
        <w:rPr>
          <w:spacing w:val="-2"/>
          <w:sz w:val="18"/>
        </w:rPr>
        <w:t xml:space="preserve"> </w:t>
      </w:r>
      <w:r w:rsidRPr="00EC20A0">
        <w:rPr>
          <w:sz w:val="18"/>
        </w:rPr>
        <w:t>claim</w:t>
      </w:r>
      <w:r w:rsidRPr="00EC20A0">
        <w:rPr>
          <w:spacing w:val="-2"/>
          <w:sz w:val="18"/>
        </w:rPr>
        <w:t xml:space="preserve"> </w:t>
      </w:r>
      <w:r w:rsidRPr="00EC20A0">
        <w:rPr>
          <w:sz w:val="18"/>
        </w:rPr>
        <w:t>involved.</w:t>
      </w:r>
      <w:r w:rsidRPr="00EC20A0">
        <w:rPr>
          <w:spacing w:val="-2"/>
          <w:sz w:val="18"/>
        </w:rPr>
        <w:t xml:space="preserve"> </w:t>
      </w:r>
      <w:r w:rsidRPr="00EC20A0">
        <w:rPr>
          <w:sz w:val="18"/>
        </w:rPr>
        <w:t>31</w:t>
      </w:r>
      <w:r w:rsidRPr="00EC20A0">
        <w:rPr>
          <w:spacing w:val="-2"/>
          <w:sz w:val="18"/>
        </w:rPr>
        <w:t xml:space="preserve"> </w:t>
      </w:r>
      <w:r w:rsidRPr="00EC20A0">
        <w:rPr>
          <w:sz w:val="18"/>
        </w:rPr>
        <w:t>U.S.C.</w:t>
      </w:r>
      <w:r w:rsidRPr="00EC20A0">
        <w:rPr>
          <w:spacing w:val="-2"/>
          <w:sz w:val="18"/>
        </w:rPr>
        <w:t xml:space="preserve"> </w:t>
      </w:r>
      <w:r w:rsidRPr="00EC20A0">
        <w:rPr>
          <w:sz w:val="18"/>
        </w:rPr>
        <w:t>§</w:t>
      </w:r>
      <w:r w:rsidRPr="00EC20A0">
        <w:rPr>
          <w:spacing w:val="-3"/>
          <w:sz w:val="18"/>
        </w:rPr>
        <w:t xml:space="preserve"> </w:t>
      </w:r>
      <w:r w:rsidRPr="00EC20A0">
        <w:rPr>
          <w:sz w:val="18"/>
        </w:rPr>
        <w:t>3716(e)(2).</w:t>
      </w:r>
      <w:r w:rsidRPr="00EC20A0">
        <w:rPr>
          <w:spacing w:val="-1"/>
          <w:sz w:val="18"/>
        </w:rPr>
        <w:t xml:space="preserve"> </w:t>
      </w:r>
      <w:r w:rsidRPr="00EC20A0">
        <w:rPr>
          <w:sz w:val="18"/>
        </w:rPr>
        <w:t>Also,</w:t>
      </w:r>
      <w:r w:rsidRPr="00EC20A0">
        <w:rPr>
          <w:spacing w:val="-2"/>
          <w:sz w:val="18"/>
        </w:rPr>
        <w:t xml:space="preserve"> </w:t>
      </w:r>
      <w:r w:rsidRPr="00EC20A0">
        <w:rPr>
          <w:sz w:val="18"/>
        </w:rPr>
        <w:t>this</w:t>
      </w:r>
      <w:r w:rsidRPr="00EC20A0">
        <w:rPr>
          <w:spacing w:val="-2"/>
          <w:sz w:val="18"/>
        </w:rPr>
        <w:t xml:space="preserve"> </w:t>
      </w:r>
      <w:r w:rsidRPr="00EC20A0">
        <w:rPr>
          <w:sz w:val="18"/>
        </w:rPr>
        <w:t>section</w:t>
      </w:r>
      <w:r w:rsidRPr="00EC20A0">
        <w:rPr>
          <w:spacing w:val="-3"/>
          <w:sz w:val="18"/>
        </w:rPr>
        <w:t xml:space="preserve"> </w:t>
      </w:r>
      <w:r w:rsidRPr="00EC20A0">
        <w:rPr>
          <w:sz w:val="18"/>
        </w:rPr>
        <w:t>does</w:t>
      </w:r>
      <w:r w:rsidRPr="00EC20A0">
        <w:rPr>
          <w:spacing w:val="-2"/>
          <w:sz w:val="18"/>
        </w:rPr>
        <w:t xml:space="preserve"> </w:t>
      </w:r>
      <w:r w:rsidRPr="00EC20A0">
        <w:rPr>
          <w:sz w:val="18"/>
        </w:rPr>
        <w:t>not</w:t>
      </w:r>
      <w:r w:rsidRPr="00EC20A0">
        <w:rPr>
          <w:spacing w:val="-2"/>
          <w:sz w:val="18"/>
        </w:rPr>
        <w:t xml:space="preserve"> </w:t>
      </w:r>
      <w:r w:rsidRPr="00EC20A0">
        <w:rPr>
          <w:sz w:val="18"/>
        </w:rPr>
        <w:t>prohibit</w:t>
      </w:r>
      <w:r w:rsidRPr="00EC20A0">
        <w:rPr>
          <w:spacing w:val="-2"/>
          <w:sz w:val="18"/>
        </w:rPr>
        <w:t xml:space="preserve"> </w:t>
      </w:r>
      <w:r w:rsidRPr="00EC20A0">
        <w:rPr>
          <w:sz w:val="18"/>
        </w:rPr>
        <w:t>the</w:t>
      </w:r>
      <w:r w:rsidRPr="00EC20A0">
        <w:rPr>
          <w:spacing w:val="-3"/>
          <w:sz w:val="18"/>
        </w:rPr>
        <w:t xml:space="preserve"> </w:t>
      </w:r>
      <w:r w:rsidRPr="00EC20A0">
        <w:rPr>
          <w:sz w:val="18"/>
        </w:rPr>
        <w:t>use</w:t>
      </w:r>
      <w:r w:rsidRPr="00EC20A0">
        <w:rPr>
          <w:spacing w:val="-3"/>
          <w:sz w:val="18"/>
        </w:rPr>
        <w:t xml:space="preserve"> </w:t>
      </w:r>
      <w:r w:rsidRPr="00EC20A0">
        <w:rPr>
          <w:sz w:val="18"/>
        </w:rPr>
        <w:t>of</w:t>
      </w:r>
      <w:r w:rsidRPr="00EC20A0">
        <w:rPr>
          <w:spacing w:val="-2"/>
          <w:sz w:val="18"/>
        </w:rPr>
        <w:t xml:space="preserve"> </w:t>
      </w:r>
      <w:r w:rsidRPr="00EC20A0">
        <w:rPr>
          <w:sz w:val="18"/>
        </w:rPr>
        <w:t>any</w:t>
      </w:r>
      <w:r w:rsidRPr="00EC20A0">
        <w:rPr>
          <w:spacing w:val="-2"/>
          <w:sz w:val="18"/>
        </w:rPr>
        <w:t xml:space="preserve"> </w:t>
      </w:r>
      <w:r w:rsidRPr="00EC20A0">
        <w:rPr>
          <w:sz w:val="18"/>
        </w:rPr>
        <w:t>other existing administrative offset authority. 31 U.S.C. § 3716(d).</w:t>
      </w:r>
    </w:p>
    <w:p w14:paraId="24D61092" w14:textId="77777777" w:rsidR="00245300" w:rsidRPr="00EC20A0" w:rsidRDefault="00245300">
      <w:pPr>
        <w:spacing w:line="244" w:lineRule="auto"/>
        <w:rPr>
          <w:sz w:val="18"/>
        </w:rPr>
        <w:sectPr w:rsidR="00245300" w:rsidRPr="00EC20A0">
          <w:pgSz w:w="15840" w:h="12240" w:orient="landscape"/>
          <w:pgMar w:top="1340" w:right="1340" w:bottom="940" w:left="960" w:header="721" w:footer="742" w:gutter="0"/>
          <w:cols w:space="720"/>
        </w:sectPr>
      </w:pPr>
    </w:p>
    <w:p w14:paraId="24D61093" w14:textId="77777777" w:rsidR="00245300" w:rsidRPr="00EC20A0" w:rsidRDefault="00245300">
      <w:pPr>
        <w:pStyle w:val="BodyText"/>
        <w:spacing w:before="2" w:after="1"/>
        <w:rPr>
          <w:sz w:val="8"/>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245300" w:rsidRPr="00EC20A0" w14:paraId="24D61097" w14:textId="77777777">
        <w:trPr>
          <w:trHeight w:val="1574"/>
        </w:trPr>
        <w:tc>
          <w:tcPr>
            <w:tcW w:w="13170" w:type="dxa"/>
            <w:gridSpan w:val="6"/>
          </w:tcPr>
          <w:p w14:paraId="24D61094" w14:textId="77777777" w:rsidR="00245300" w:rsidRPr="00EC20A0" w:rsidRDefault="00F17249">
            <w:pPr>
              <w:pStyle w:val="TableParagraph"/>
              <w:tabs>
                <w:tab w:val="left" w:pos="9184"/>
              </w:tabs>
              <w:spacing w:before="144"/>
              <w:ind w:right="1919"/>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1095" w14:textId="77777777" w:rsidR="00245300" w:rsidRPr="00EC20A0" w:rsidRDefault="00F17249">
            <w:pPr>
              <w:pStyle w:val="TableParagraph"/>
              <w:spacing w:before="12"/>
              <w:ind w:left="1945" w:right="1918"/>
              <w:jc w:val="center"/>
              <w:rPr>
                <w:b/>
                <w:sz w:val="24"/>
              </w:rPr>
            </w:pPr>
            <w:r w:rsidRPr="00EC20A0">
              <w:rPr>
                <w:noProof/>
              </w:rPr>
              <mc:AlternateContent>
                <mc:Choice Requires="wpg">
                  <w:drawing>
                    <wp:anchor distT="0" distB="0" distL="0" distR="0" simplePos="0" relativeHeight="475316736" behindDoc="1" locked="0" layoutInCell="1" allowOverlap="1" wp14:anchorId="24D62BD9" wp14:editId="24D62BDA">
                      <wp:simplePos x="0" y="0"/>
                      <wp:positionH relativeFrom="column">
                        <wp:posOffset>6953250</wp:posOffset>
                      </wp:positionH>
                      <wp:positionV relativeFrom="paragraph">
                        <wp:posOffset>91882</wp:posOffset>
                      </wp:positionV>
                      <wp:extent cx="1344930" cy="635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26" name="Graphic 526"/>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08C302" id="Group 525" o:spid="_x0000_s1026" style="position:absolute;margin-left:547.5pt;margin-top:7.25pt;width:105.9pt;height:.5pt;z-index:-2799974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B04nctzAgAA8wUAAA4AAAAA&#10;AAAAAAAAAAAALgIAAGRycy9lMm9Eb2MueG1sUEsBAi0AFAAGAAgAAAAhAFfXjnrgAAAACwEAAA8A&#10;AAAAAAAAAAAAAAAAzQQAAGRycy9kb3ducmV2LnhtbFBLBQYAAAAABAAEAPMAAADaBQAAAAA=&#10;">
                      <v:shape id="Graphic 526"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17760" behindDoc="1" locked="0" layoutInCell="1" allowOverlap="1" wp14:anchorId="24D62BDB" wp14:editId="24D62BDC">
                      <wp:simplePos x="0" y="0"/>
                      <wp:positionH relativeFrom="column">
                        <wp:posOffset>6953250</wp:posOffset>
                      </wp:positionH>
                      <wp:positionV relativeFrom="paragraph">
                        <wp:posOffset>441640</wp:posOffset>
                      </wp:positionV>
                      <wp:extent cx="1344930" cy="635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28" name="Graphic 528"/>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2F6D1B" id="Group 527" o:spid="_x0000_s1026" style="position:absolute;margin-left:547.5pt;margin-top:34.75pt;width:105.9pt;height:.5pt;z-index:-2799872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">
                      <v:shape id="Graphic 528"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096" w14:textId="77777777" w:rsidR="00245300" w:rsidRPr="00EC20A0" w:rsidRDefault="00F17249">
            <w:pPr>
              <w:pStyle w:val="TableParagraph"/>
              <w:tabs>
                <w:tab w:val="left" w:pos="8878"/>
              </w:tabs>
              <w:spacing w:before="10"/>
              <w:ind w:right="1675"/>
              <w:jc w:val="center"/>
            </w:pPr>
            <w:r w:rsidRPr="00EC20A0">
              <w:rPr>
                <w:noProof/>
              </w:rPr>
              <mc:AlternateContent>
                <mc:Choice Requires="wpg">
                  <w:drawing>
                    <wp:anchor distT="0" distB="0" distL="0" distR="0" simplePos="0" relativeHeight="475316224" behindDoc="1" locked="0" layoutInCell="1" allowOverlap="1" wp14:anchorId="24D62BDD" wp14:editId="24D62BDE">
                      <wp:simplePos x="0" y="0"/>
                      <wp:positionH relativeFrom="column">
                        <wp:posOffset>1260347</wp:posOffset>
                      </wp:positionH>
                      <wp:positionV relativeFrom="paragraph">
                        <wp:posOffset>-91198</wp:posOffset>
                      </wp:positionV>
                      <wp:extent cx="1183005" cy="6350"/>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30" name="Graphic 53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106A79" id="Group 529" o:spid="_x0000_s1026" style="position:absolute;margin-left:99.25pt;margin-top:-7.2pt;width:93.15pt;height:.5pt;z-index:-2800025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">
                      <v:shape id="Graphic 53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17248" behindDoc="1" locked="0" layoutInCell="1" allowOverlap="1" wp14:anchorId="24D62BDF" wp14:editId="24D62BE0">
                      <wp:simplePos x="0" y="0"/>
                      <wp:positionH relativeFrom="column">
                        <wp:posOffset>1260347</wp:posOffset>
                      </wp:positionH>
                      <wp:positionV relativeFrom="paragraph">
                        <wp:posOffset>258559</wp:posOffset>
                      </wp:positionV>
                      <wp:extent cx="1183005" cy="635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32" name="Graphic 532"/>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AE1302" id="Group 531" o:spid="_x0000_s1026" style="position:absolute;margin-left:99.25pt;margin-top:20.35pt;width:93.15pt;height:.5pt;z-index:-2799923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B5oiDidAIAAPMFAAAOAAAA&#10;AAAAAAAAAAAAAC4CAABkcnMvZTJvRG9jLnhtbFBLAQItABQABgAIAAAAIQD6/POT4AAAAAkBAAAP&#10;AAAAAAAAAAAAAAAAAM4EAABkcnMvZG93bnJldi54bWxQSwUGAAAAAAQABADzAAAA2wUAAAAA&#10;">
                      <v:shape id="Graphic 532"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" path="m1182611,l,,,6108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0A2" w14:textId="77777777">
        <w:trPr>
          <w:trHeight w:val="793"/>
        </w:trPr>
        <w:tc>
          <w:tcPr>
            <w:tcW w:w="3943" w:type="dxa"/>
            <w:tcBorders>
              <w:right w:val="single" w:sz="4" w:space="0" w:color="000000"/>
            </w:tcBorders>
          </w:tcPr>
          <w:p w14:paraId="24D61098" w14:textId="77777777" w:rsidR="00245300" w:rsidRPr="00EC20A0" w:rsidRDefault="00245300">
            <w:pPr>
              <w:pStyle w:val="TableParagraph"/>
              <w:spacing w:before="143"/>
            </w:pPr>
          </w:p>
          <w:p w14:paraId="24D61099"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91" w:type="dxa"/>
            <w:tcBorders>
              <w:left w:val="single" w:sz="4" w:space="0" w:color="000000"/>
              <w:right w:val="single" w:sz="4" w:space="0" w:color="000000"/>
            </w:tcBorders>
          </w:tcPr>
          <w:p w14:paraId="24D6109A" w14:textId="77777777" w:rsidR="00245300" w:rsidRPr="00EC20A0" w:rsidRDefault="00245300">
            <w:pPr>
              <w:pStyle w:val="TableParagraph"/>
              <w:spacing w:before="143"/>
            </w:pPr>
          </w:p>
          <w:p w14:paraId="24D6109B" w14:textId="77777777" w:rsidR="00245300" w:rsidRPr="00EC20A0" w:rsidRDefault="00F17249">
            <w:pPr>
              <w:pStyle w:val="TableParagraph"/>
              <w:ind w:left="107"/>
            </w:pPr>
            <w:r w:rsidRPr="00EC20A0">
              <w:rPr>
                <w:spacing w:val="-2"/>
              </w:rPr>
              <w:t>Objective</w:t>
            </w:r>
          </w:p>
        </w:tc>
        <w:tc>
          <w:tcPr>
            <w:tcW w:w="2231" w:type="dxa"/>
            <w:tcBorders>
              <w:left w:val="single" w:sz="4" w:space="0" w:color="000000"/>
              <w:right w:val="single" w:sz="4" w:space="0" w:color="000000"/>
            </w:tcBorders>
          </w:tcPr>
          <w:p w14:paraId="24D6109C" w14:textId="77777777" w:rsidR="00245300" w:rsidRPr="00EC20A0" w:rsidRDefault="00245300">
            <w:pPr>
              <w:pStyle w:val="TableParagraph"/>
              <w:spacing w:before="143"/>
            </w:pPr>
          </w:p>
          <w:p w14:paraId="24D6109D"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24" w:type="dxa"/>
            <w:tcBorders>
              <w:left w:val="single" w:sz="4" w:space="0" w:color="000000"/>
              <w:right w:val="single" w:sz="4" w:space="0" w:color="000000"/>
            </w:tcBorders>
          </w:tcPr>
          <w:p w14:paraId="24D6109E" w14:textId="77777777" w:rsidR="00245300" w:rsidRPr="00EC20A0" w:rsidRDefault="00245300">
            <w:pPr>
              <w:pStyle w:val="TableParagraph"/>
              <w:spacing w:before="143"/>
            </w:pPr>
          </w:p>
          <w:p w14:paraId="24D6109F" w14:textId="77777777" w:rsidR="00245300" w:rsidRPr="00EC20A0" w:rsidRDefault="00F17249">
            <w:pPr>
              <w:pStyle w:val="TableParagraph"/>
              <w:ind w:left="109"/>
            </w:pPr>
            <w:r w:rsidRPr="00EC20A0">
              <w:t>IS</w:t>
            </w:r>
            <w:r w:rsidRPr="00EC20A0">
              <w:rPr>
                <w:spacing w:val="-3"/>
              </w:rPr>
              <w:t xml:space="preserve"> </w:t>
            </w:r>
            <w:r w:rsidRPr="00EC20A0">
              <w:rPr>
                <w:spacing w:val="-2"/>
              </w:rPr>
              <w:t>(Y/N)</w:t>
            </w:r>
          </w:p>
        </w:tc>
        <w:tc>
          <w:tcPr>
            <w:tcW w:w="1496" w:type="dxa"/>
            <w:tcBorders>
              <w:left w:val="single" w:sz="4" w:space="0" w:color="000000"/>
              <w:right w:val="single" w:sz="4" w:space="0" w:color="000000"/>
            </w:tcBorders>
          </w:tcPr>
          <w:p w14:paraId="24D610A0" w14:textId="77777777" w:rsidR="00245300" w:rsidRPr="00EC20A0" w:rsidRDefault="00F17249">
            <w:pPr>
              <w:pStyle w:val="TableParagraph"/>
              <w:spacing w:before="143"/>
              <w:ind w:left="110"/>
            </w:pPr>
            <w:r w:rsidRPr="00EC20A0">
              <w:rPr>
                <w:spacing w:val="-2"/>
              </w:rPr>
              <w:t>Effective controls?</w:t>
            </w:r>
          </w:p>
        </w:tc>
        <w:tc>
          <w:tcPr>
            <w:tcW w:w="2185" w:type="dxa"/>
            <w:tcBorders>
              <w:left w:val="single" w:sz="4" w:space="0" w:color="000000"/>
            </w:tcBorders>
          </w:tcPr>
          <w:p w14:paraId="24D610A1" w14:textId="77777777" w:rsidR="00245300" w:rsidRPr="00EC20A0" w:rsidRDefault="00F17249">
            <w:pPr>
              <w:pStyle w:val="TableParagraph"/>
              <w:spacing w:before="143"/>
              <w:ind w:left="111" w:right="3"/>
            </w:pPr>
            <w:r w:rsidRPr="00EC20A0">
              <w:t xml:space="preserve">Instances of </w:t>
            </w:r>
            <w:r w:rsidRPr="00EC20A0">
              <w:rPr>
                <w:spacing w:val="-2"/>
              </w:rPr>
              <w:t>noncompliance?</w:t>
            </w:r>
          </w:p>
        </w:tc>
      </w:tr>
      <w:tr w:rsidR="00245300" w:rsidRPr="00EC20A0" w14:paraId="24D610AC" w14:textId="77777777">
        <w:trPr>
          <w:trHeight w:val="3061"/>
        </w:trPr>
        <w:tc>
          <w:tcPr>
            <w:tcW w:w="3943" w:type="dxa"/>
            <w:tcBorders>
              <w:right w:val="single" w:sz="4" w:space="0" w:color="000000"/>
            </w:tcBorders>
          </w:tcPr>
          <w:p w14:paraId="24D610A3" w14:textId="77777777" w:rsidR="00245300" w:rsidRPr="00EC20A0" w:rsidRDefault="00F17249">
            <w:pPr>
              <w:pStyle w:val="TableParagraph"/>
              <w:spacing w:before="143"/>
              <w:ind w:left="817" w:right="92" w:hanging="720"/>
              <w:rPr>
                <w:sz w:val="18"/>
              </w:rPr>
            </w:pPr>
            <w:r w:rsidRPr="00EC20A0">
              <w:rPr>
                <w:smallCaps/>
                <w:sz w:val="18"/>
              </w:rPr>
              <w:t xml:space="preserve">805.05. </w:t>
            </w:r>
            <w:r w:rsidRPr="00EC20A0">
              <w:rPr>
                <w:smallCaps/>
                <w:spacing w:val="20"/>
                <w:sz w:val="18"/>
              </w:rPr>
              <w:t xml:space="preserve"> </w:t>
            </w:r>
            <w:r w:rsidRPr="00EC20A0">
              <w:rPr>
                <w:smallCaps/>
                <w:sz w:val="18"/>
              </w:rPr>
              <w:t>Denying Federal Financial</w:t>
            </w:r>
            <w:r w:rsidRPr="00EC20A0">
              <w:rPr>
                <w:smallCaps/>
                <w:spacing w:val="40"/>
                <w:sz w:val="18"/>
              </w:rPr>
              <w:t xml:space="preserve"> </w:t>
            </w:r>
            <w:r w:rsidRPr="00EC20A0">
              <w:rPr>
                <w:smallCaps/>
                <w:sz w:val="18"/>
              </w:rPr>
              <w:t>Assistance</w:t>
            </w:r>
            <w:r w:rsidRPr="00EC20A0">
              <w:rPr>
                <w:smallCaps/>
                <w:spacing w:val="-10"/>
                <w:sz w:val="18"/>
              </w:rPr>
              <w:t xml:space="preserve"> </w:t>
            </w:r>
            <w:r w:rsidRPr="00EC20A0">
              <w:rPr>
                <w:smallCaps/>
                <w:sz w:val="18"/>
              </w:rPr>
              <w:t>to</w:t>
            </w:r>
            <w:r w:rsidRPr="00EC20A0">
              <w:rPr>
                <w:smallCaps/>
                <w:spacing w:val="-10"/>
                <w:sz w:val="18"/>
              </w:rPr>
              <w:t xml:space="preserve"> </w:t>
            </w:r>
            <w:r w:rsidRPr="00EC20A0">
              <w:rPr>
                <w:smallCaps/>
                <w:sz w:val="18"/>
              </w:rPr>
              <w:t>Delinquent</w:t>
            </w:r>
            <w:r w:rsidRPr="00EC20A0">
              <w:rPr>
                <w:smallCaps/>
                <w:spacing w:val="-10"/>
                <w:sz w:val="18"/>
              </w:rPr>
              <w:t xml:space="preserve"> </w:t>
            </w:r>
            <w:r w:rsidRPr="00EC20A0">
              <w:rPr>
                <w:smallCaps/>
                <w:sz w:val="18"/>
              </w:rPr>
              <w:t>Debtors.</w:t>
            </w:r>
          </w:p>
          <w:p w14:paraId="24D610A4" w14:textId="77777777" w:rsidR="00245300" w:rsidRPr="00EC20A0" w:rsidRDefault="00F17249">
            <w:pPr>
              <w:pStyle w:val="TableParagraph"/>
              <w:spacing w:before="146"/>
              <w:ind w:left="97"/>
              <w:rPr>
                <w:sz w:val="18"/>
              </w:rPr>
            </w:pPr>
            <w:r w:rsidRPr="00EC20A0">
              <w:rPr>
                <w:sz w:val="18"/>
              </w:rPr>
              <w:t>Provision</w:t>
            </w:r>
            <w:r w:rsidRPr="00EC20A0">
              <w:rPr>
                <w:spacing w:val="-10"/>
                <w:sz w:val="18"/>
              </w:rPr>
              <w:t xml:space="preserve"> </w:t>
            </w:r>
            <w:r w:rsidRPr="00EC20A0">
              <w:rPr>
                <w:sz w:val="18"/>
              </w:rPr>
              <w:t>Type:</w:t>
            </w:r>
            <w:r w:rsidRPr="00EC20A0">
              <w:rPr>
                <w:spacing w:val="-8"/>
                <w:sz w:val="18"/>
              </w:rPr>
              <w:t xml:space="preserve"> </w:t>
            </w:r>
            <w:r w:rsidRPr="00EC20A0">
              <w:rPr>
                <w:sz w:val="18"/>
              </w:rPr>
              <w:t>Transaction-</w:t>
            </w:r>
            <w:r w:rsidRPr="00EC20A0">
              <w:rPr>
                <w:spacing w:val="-2"/>
                <w:sz w:val="18"/>
              </w:rPr>
              <w:t>based.</w:t>
            </w:r>
          </w:p>
          <w:p w14:paraId="24D610A5" w14:textId="77777777" w:rsidR="00245300" w:rsidRPr="00EC20A0" w:rsidRDefault="00F17249">
            <w:pPr>
              <w:pStyle w:val="TableParagraph"/>
              <w:spacing w:before="143"/>
              <w:ind w:left="97" w:right="92"/>
              <w:rPr>
                <w:sz w:val="18"/>
              </w:rPr>
            </w:pPr>
            <w:r w:rsidRPr="00EC20A0">
              <w:rPr>
                <w:sz w:val="18"/>
              </w:rPr>
              <w:t>Unless</w:t>
            </w:r>
            <w:r w:rsidRPr="00EC20A0">
              <w:rPr>
                <w:spacing w:val="-1"/>
                <w:sz w:val="18"/>
              </w:rPr>
              <w:t xml:space="preserve"> </w:t>
            </w:r>
            <w:r w:rsidRPr="00EC20A0">
              <w:rPr>
                <w:sz w:val="18"/>
              </w:rPr>
              <w:t>waived by</w:t>
            </w:r>
            <w:r w:rsidRPr="00EC20A0">
              <w:rPr>
                <w:spacing w:val="-1"/>
                <w:sz w:val="18"/>
              </w:rPr>
              <w:t xml:space="preserve"> </w:t>
            </w:r>
            <w:r w:rsidRPr="00EC20A0">
              <w:rPr>
                <w:sz w:val="18"/>
              </w:rPr>
              <w:t>the</w:t>
            </w:r>
            <w:r w:rsidRPr="00EC20A0">
              <w:rPr>
                <w:spacing w:val="-2"/>
                <w:sz w:val="18"/>
              </w:rPr>
              <w:t xml:space="preserve"> </w:t>
            </w:r>
            <w:r w:rsidRPr="00EC20A0">
              <w:rPr>
                <w:sz w:val="18"/>
              </w:rPr>
              <w:t>entity,</w:t>
            </w:r>
            <w:r w:rsidRPr="00EC20A0">
              <w:rPr>
                <w:spacing w:val="-1"/>
                <w:sz w:val="18"/>
              </w:rPr>
              <w:t xml:space="preserve"> </w:t>
            </w:r>
            <w:r w:rsidRPr="00EC20A0">
              <w:rPr>
                <w:sz w:val="18"/>
              </w:rPr>
              <w:t>a</w:t>
            </w:r>
            <w:r w:rsidRPr="00EC20A0">
              <w:rPr>
                <w:spacing w:val="-2"/>
                <w:sz w:val="18"/>
              </w:rPr>
              <w:t xml:space="preserve"> </w:t>
            </w:r>
            <w:r w:rsidRPr="00EC20A0">
              <w:rPr>
                <w:sz w:val="18"/>
              </w:rPr>
              <w:t>person</w:t>
            </w:r>
            <w:r w:rsidRPr="00EC20A0">
              <w:rPr>
                <w:spacing w:val="-2"/>
                <w:sz w:val="18"/>
              </w:rPr>
              <w:t xml:space="preserve"> </w:t>
            </w:r>
            <w:r w:rsidRPr="00EC20A0">
              <w:rPr>
                <w:sz w:val="18"/>
              </w:rPr>
              <w:t>may</w:t>
            </w:r>
            <w:r w:rsidRPr="00EC20A0">
              <w:rPr>
                <w:spacing w:val="-1"/>
                <w:sz w:val="18"/>
              </w:rPr>
              <w:t xml:space="preserve"> </w:t>
            </w:r>
            <w:r w:rsidRPr="00EC20A0">
              <w:rPr>
                <w:sz w:val="18"/>
              </w:rPr>
              <w:t xml:space="preserve">not obtain any loan (other than one of the listed exceptions, such as a </w:t>
            </w:r>
            <w:r w:rsidRPr="00EC20A0">
              <w:rPr>
                <w:sz w:val="18"/>
              </w:rPr>
              <w:t>disaster loan) or loan insurance or guarantee administered by the entity if the person has outstanding nontax delinquent</w:t>
            </w:r>
            <w:r w:rsidRPr="00EC20A0">
              <w:rPr>
                <w:spacing w:val="-7"/>
                <w:sz w:val="18"/>
              </w:rPr>
              <w:t xml:space="preserve"> </w:t>
            </w:r>
            <w:r w:rsidRPr="00EC20A0">
              <w:rPr>
                <w:sz w:val="18"/>
              </w:rPr>
              <w:t>federal</w:t>
            </w:r>
            <w:r w:rsidRPr="00EC20A0">
              <w:rPr>
                <w:spacing w:val="-7"/>
                <w:sz w:val="18"/>
              </w:rPr>
              <w:t xml:space="preserve"> </w:t>
            </w:r>
            <w:r w:rsidRPr="00EC20A0">
              <w:rPr>
                <w:sz w:val="18"/>
              </w:rPr>
              <w:t>debt.</w:t>
            </w:r>
            <w:r w:rsidRPr="00EC20A0">
              <w:rPr>
                <w:spacing w:val="-7"/>
                <w:sz w:val="18"/>
              </w:rPr>
              <w:t xml:space="preserve"> </w:t>
            </w:r>
            <w:r w:rsidRPr="00EC20A0">
              <w:rPr>
                <w:sz w:val="18"/>
              </w:rPr>
              <w:t>31</w:t>
            </w:r>
            <w:r w:rsidRPr="00EC20A0">
              <w:rPr>
                <w:spacing w:val="-7"/>
                <w:sz w:val="18"/>
              </w:rPr>
              <w:t xml:space="preserve"> </w:t>
            </w:r>
            <w:r w:rsidRPr="00EC20A0">
              <w:rPr>
                <w:sz w:val="18"/>
              </w:rPr>
              <w:t>U.S.C.</w:t>
            </w:r>
            <w:r w:rsidRPr="00EC20A0">
              <w:rPr>
                <w:spacing w:val="-6"/>
                <w:sz w:val="18"/>
              </w:rPr>
              <w:t xml:space="preserve"> </w:t>
            </w:r>
            <w:r w:rsidRPr="00EC20A0">
              <w:rPr>
                <w:sz w:val="18"/>
              </w:rPr>
              <w:t>§</w:t>
            </w:r>
            <w:r w:rsidRPr="00EC20A0">
              <w:rPr>
                <w:spacing w:val="-7"/>
                <w:sz w:val="18"/>
              </w:rPr>
              <w:t xml:space="preserve"> </w:t>
            </w:r>
            <w:r w:rsidRPr="00EC20A0">
              <w:rPr>
                <w:sz w:val="18"/>
              </w:rPr>
              <w:t>3720B(a). Delinquency is determined under standards prescribed in implementing Treasury regulations. 31 U.S.C. § 3720B(a).</w:t>
            </w:r>
          </w:p>
        </w:tc>
        <w:tc>
          <w:tcPr>
            <w:tcW w:w="1791" w:type="dxa"/>
            <w:tcBorders>
              <w:left w:val="single" w:sz="4" w:space="0" w:color="000000"/>
              <w:right w:val="single" w:sz="4" w:space="0" w:color="000000"/>
            </w:tcBorders>
          </w:tcPr>
          <w:p w14:paraId="24D610A6" w14:textId="77777777" w:rsidR="00245300" w:rsidRPr="00EC20A0" w:rsidRDefault="00F17249">
            <w:pPr>
              <w:pStyle w:val="TableParagraph"/>
              <w:spacing w:before="144"/>
              <w:ind w:left="108"/>
              <w:rPr>
                <w:sz w:val="18"/>
              </w:rPr>
            </w:pPr>
            <w:r w:rsidRPr="00EC20A0">
              <w:rPr>
                <w:sz w:val="18"/>
              </w:rPr>
              <w:t>Loans and loan insurance or guarantees</w:t>
            </w:r>
            <w:r w:rsidRPr="00EC20A0">
              <w:rPr>
                <w:spacing w:val="-15"/>
                <w:sz w:val="18"/>
              </w:rPr>
              <w:t xml:space="preserve"> </w:t>
            </w:r>
            <w:r w:rsidRPr="00EC20A0">
              <w:rPr>
                <w:sz w:val="18"/>
              </w:rPr>
              <w:t>are</w:t>
            </w:r>
            <w:r w:rsidRPr="00EC20A0">
              <w:rPr>
                <w:spacing w:val="-12"/>
                <w:sz w:val="18"/>
              </w:rPr>
              <w:t xml:space="preserve"> </w:t>
            </w:r>
            <w:r w:rsidRPr="00EC20A0">
              <w:rPr>
                <w:sz w:val="18"/>
              </w:rPr>
              <w:t>not granted</w:t>
            </w:r>
            <w:r w:rsidRPr="00EC20A0">
              <w:rPr>
                <w:spacing w:val="-15"/>
                <w:sz w:val="18"/>
              </w:rPr>
              <w:t xml:space="preserve"> </w:t>
            </w:r>
            <w:r w:rsidRPr="00EC20A0">
              <w:rPr>
                <w:sz w:val="18"/>
              </w:rPr>
              <w:t>to</w:t>
            </w:r>
            <w:r w:rsidRPr="00EC20A0">
              <w:rPr>
                <w:spacing w:val="-12"/>
                <w:sz w:val="18"/>
              </w:rPr>
              <w:t xml:space="preserve"> </w:t>
            </w:r>
            <w:r w:rsidRPr="00EC20A0">
              <w:rPr>
                <w:sz w:val="18"/>
              </w:rPr>
              <w:t>persons with delinquent nontax debt.</w:t>
            </w:r>
          </w:p>
        </w:tc>
        <w:tc>
          <w:tcPr>
            <w:tcW w:w="2231" w:type="dxa"/>
            <w:tcBorders>
              <w:left w:val="single" w:sz="4" w:space="0" w:color="000000"/>
              <w:right w:val="single" w:sz="4" w:space="0" w:color="000000"/>
            </w:tcBorders>
          </w:tcPr>
          <w:p w14:paraId="24D610A7" w14:textId="77777777" w:rsidR="00245300" w:rsidRPr="00EC20A0" w:rsidRDefault="00245300">
            <w:pPr>
              <w:pStyle w:val="TableParagraph"/>
              <w:rPr>
                <w:sz w:val="18"/>
              </w:rPr>
            </w:pPr>
          </w:p>
        </w:tc>
        <w:tc>
          <w:tcPr>
            <w:tcW w:w="1524" w:type="dxa"/>
            <w:tcBorders>
              <w:left w:val="single" w:sz="4" w:space="0" w:color="000000"/>
              <w:right w:val="single" w:sz="4" w:space="0" w:color="000000"/>
            </w:tcBorders>
          </w:tcPr>
          <w:p w14:paraId="24D610A8" w14:textId="77777777" w:rsidR="00245300" w:rsidRPr="00EC20A0" w:rsidRDefault="00245300">
            <w:pPr>
              <w:pStyle w:val="TableParagraph"/>
              <w:rPr>
                <w:sz w:val="18"/>
              </w:rPr>
            </w:pPr>
          </w:p>
        </w:tc>
        <w:tc>
          <w:tcPr>
            <w:tcW w:w="1496" w:type="dxa"/>
            <w:tcBorders>
              <w:left w:val="single" w:sz="4" w:space="0" w:color="000000"/>
              <w:right w:val="single" w:sz="4" w:space="0" w:color="000000"/>
            </w:tcBorders>
          </w:tcPr>
          <w:p w14:paraId="24D610A9" w14:textId="77777777" w:rsidR="00245300" w:rsidRPr="00EC20A0" w:rsidRDefault="00245300">
            <w:pPr>
              <w:pStyle w:val="TableParagraph"/>
              <w:rPr>
                <w:sz w:val="18"/>
              </w:rPr>
            </w:pPr>
          </w:p>
        </w:tc>
        <w:tc>
          <w:tcPr>
            <w:tcW w:w="2185" w:type="dxa"/>
            <w:tcBorders>
              <w:left w:val="single" w:sz="4" w:space="0" w:color="000000"/>
            </w:tcBorders>
          </w:tcPr>
          <w:p w14:paraId="24D610AA" w14:textId="77777777" w:rsidR="00245300" w:rsidRPr="00EC20A0" w:rsidRDefault="00F17249">
            <w:pPr>
              <w:pStyle w:val="TableParagraph"/>
              <w:spacing w:before="144"/>
              <w:ind w:left="111" w:right="3"/>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3"/>
                <w:sz w:val="18"/>
              </w:rPr>
              <w:t xml:space="preserve"> </w:t>
            </w:r>
            <w:r w:rsidRPr="00EC20A0">
              <w:rPr>
                <w:spacing w:val="-5"/>
                <w:sz w:val="18"/>
              </w:rPr>
              <w:t>805</w:t>
            </w:r>
          </w:p>
          <w:p w14:paraId="24D610AB" w14:textId="77777777" w:rsidR="00245300" w:rsidRPr="00EC20A0" w:rsidRDefault="00F17249">
            <w:pPr>
              <w:pStyle w:val="TableParagraph"/>
              <w:spacing w:before="1"/>
              <w:ind w:left="111"/>
              <w:rPr>
                <w:sz w:val="18"/>
              </w:rPr>
            </w:pPr>
            <w:r w:rsidRPr="00EC20A0">
              <w:rPr>
                <w:sz w:val="18"/>
              </w:rPr>
              <w:t>step</w:t>
            </w:r>
            <w:r w:rsidRPr="00EC20A0">
              <w:rPr>
                <w:spacing w:val="-1"/>
                <w:sz w:val="18"/>
              </w:rPr>
              <w:t xml:space="preserve"> </w:t>
            </w:r>
            <w:r w:rsidRPr="00EC20A0">
              <w:rPr>
                <w:sz w:val="18"/>
              </w:rPr>
              <w:t>4</w:t>
            </w:r>
            <w:r w:rsidRPr="00EC20A0">
              <w:rPr>
                <w:spacing w:val="-1"/>
                <w:sz w:val="18"/>
              </w:rPr>
              <w:t xml:space="preserve"> </w:t>
            </w:r>
            <w:r w:rsidRPr="00EC20A0">
              <w:rPr>
                <w:spacing w:val="-4"/>
                <w:sz w:val="18"/>
              </w:rPr>
              <w:t>(b).</w:t>
            </w:r>
          </w:p>
        </w:tc>
      </w:tr>
    </w:tbl>
    <w:p w14:paraId="24D610AD" w14:textId="77777777" w:rsidR="00245300" w:rsidRPr="00EC20A0" w:rsidRDefault="00245300">
      <w:pPr>
        <w:pStyle w:val="BodyText"/>
        <w:rPr>
          <w:sz w:val="20"/>
        </w:rPr>
      </w:pPr>
    </w:p>
    <w:p w14:paraId="24D610AE" w14:textId="77777777" w:rsidR="00245300" w:rsidRPr="00EC20A0" w:rsidRDefault="00245300">
      <w:pPr>
        <w:pStyle w:val="BodyText"/>
        <w:rPr>
          <w:sz w:val="20"/>
        </w:rPr>
      </w:pPr>
    </w:p>
    <w:p w14:paraId="24D610AF" w14:textId="77777777" w:rsidR="00245300" w:rsidRPr="00EC20A0" w:rsidRDefault="00F17249">
      <w:pPr>
        <w:pStyle w:val="BodyText"/>
        <w:spacing w:before="213"/>
        <w:rPr>
          <w:sz w:val="20"/>
        </w:rPr>
      </w:pPr>
      <w:r w:rsidRPr="00EC20A0">
        <w:rPr>
          <w:noProof/>
        </w:rPr>
        <mc:AlternateContent>
          <mc:Choice Requires="wps">
            <w:drawing>
              <wp:anchor distT="0" distB="0" distL="0" distR="0" simplePos="0" relativeHeight="487662592" behindDoc="1" locked="0" layoutInCell="1" allowOverlap="1" wp14:anchorId="24D62BE1" wp14:editId="24D62BE2">
                <wp:simplePos x="0" y="0"/>
                <wp:positionH relativeFrom="page">
                  <wp:posOffset>685800</wp:posOffset>
                </wp:positionH>
                <wp:positionV relativeFrom="paragraph">
                  <wp:posOffset>296696</wp:posOffset>
                </wp:positionV>
                <wp:extent cx="1828800" cy="6985"/>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D6D22E" id="Graphic 533" o:spid="_x0000_s1026" style="position:absolute;margin-left:54pt;margin-top:23.35pt;width:2in;height:.55pt;z-index:-1565388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" path="m1828800,l,,,6857r1828800,l1828800,xe" fillcolor="black" stroked="f">
                <v:path arrowok="t"/>
                <w10:wrap type="topAndBottom" anchorx="page"/>
              </v:shape>
            </w:pict>
          </mc:Fallback>
        </mc:AlternateContent>
      </w:r>
    </w:p>
    <w:p w14:paraId="24D610B0" w14:textId="77777777" w:rsidR="00245300" w:rsidRPr="00EC20A0" w:rsidRDefault="00245300">
      <w:pPr>
        <w:pStyle w:val="BodyText"/>
        <w:spacing w:before="10"/>
        <w:rPr>
          <w:sz w:val="18"/>
        </w:rPr>
      </w:pPr>
    </w:p>
    <w:p w14:paraId="24D610B1" w14:textId="77777777" w:rsidR="00245300" w:rsidRPr="00EC20A0" w:rsidRDefault="00F17249">
      <w:pPr>
        <w:spacing w:line="242" w:lineRule="auto"/>
        <w:ind w:left="119" w:right="181"/>
        <w:rPr>
          <w:sz w:val="18"/>
        </w:rPr>
      </w:pPr>
      <w:r w:rsidRPr="00EC20A0">
        <w:rPr>
          <w:position w:val="7"/>
          <w:sz w:val="14"/>
        </w:rPr>
        <w:t>38</w:t>
      </w:r>
      <w:r w:rsidRPr="00EC20A0">
        <w:rPr>
          <w:sz w:val="18"/>
        </w:rPr>
        <w:t xml:space="preserve">Before collecting a claim by administrative offset, an entity must adopt </w:t>
      </w:r>
      <w:r w:rsidRPr="00EC20A0">
        <w:rPr>
          <w:sz w:val="18"/>
        </w:rPr>
        <w:t>regulations on collecting claims by administrative offset, which are be in conformity with the regulations issued jointly by the U.S. Comptroller General, the U.S. Attorney General, and the Secretary of the Treasury. 31 U.S.C. § 3716(b). Such regulations must provide that prior to initiating collection by administrative offset, the entity (1) shall provide written notice to the debtor of (A) the type and amount of the debt, (B) the entity’s intention to use administrative offset to collect the debt, and (C)</w:t>
      </w:r>
      <w:r w:rsidRPr="00EC20A0">
        <w:rPr>
          <w:sz w:val="18"/>
        </w:rPr>
        <w:t xml:space="preserve"> an explanation of the debtor’s rights under 31 U.S.C. § 3716; and (2) shall provide the debtor with</w:t>
      </w:r>
      <w:r w:rsidRPr="00EC20A0">
        <w:rPr>
          <w:spacing w:val="-2"/>
          <w:sz w:val="18"/>
        </w:rPr>
        <w:t xml:space="preserve"> </w:t>
      </w:r>
      <w:r w:rsidRPr="00EC20A0">
        <w:rPr>
          <w:sz w:val="18"/>
        </w:rPr>
        <w:t>the</w:t>
      </w:r>
      <w:r w:rsidRPr="00EC20A0">
        <w:rPr>
          <w:spacing w:val="-2"/>
          <w:sz w:val="18"/>
        </w:rPr>
        <w:t xml:space="preserve"> </w:t>
      </w:r>
      <w:r w:rsidRPr="00EC20A0">
        <w:rPr>
          <w:sz w:val="18"/>
        </w:rPr>
        <w:t>opportunity</w:t>
      </w:r>
      <w:r w:rsidRPr="00EC20A0">
        <w:rPr>
          <w:spacing w:val="-1"/>
          <w:sz w:val="18"/>
        </w:rPr>
        <w:t xml:space="preserve"> </w:t>
      </w:r>
      <w:r w:rsidRPr="00EC20A0">
        <w:rPr>
          <w:sz w:val="18"/>
        </w:rPr>
        <w:t>(A)</w:t>
      </w:r>
      <w:r w:rsidRPr="00EC20A0">
        <w:rPr>
          <w:spacing w:val="-1"/>
          <w:sz w:val="18"/>
        </w:rPr>
        <w:t xml:space="preserve"> </w:t>
      </w:r>
      <w:r w:rsidRPr="00EC20A0">
        <w:rPr>
          <w:sz w:val="18"/>
        </w:rPr>
        <w:t>to</w:t>
      </w:r>
      <w:r w:rsidRPr="00EC20A0">
        <w:rPr>
          <w:spacing w:val="-2"/>
          <w:sz w:val="18"/>
        </w:rPr>
        <w:t xml:space="preserve"> </w:t>
      </w:r>
      <w:r w:rsidRPr="00EC20A0">
        <w:rPr>
          <w:sz w:val="18"/>
        </w:rPr>
        <w:t>inspect</w:t>
      </w:r>
      <w:r w:rsidRPr="00EC20A0">
        <w:rPr>
          <w:spacing w:val="-1"/>
          <w:sz w:val="18"/>
        </w:rPr>
        <w:t xml:space="preserve"> </w:t>
      </w:r>
      <w:r w:rsidRPr="00EC20A0">
        <w:rPr>
          <w:sz w:val="18"/>
        </w:rPr>
        <w:t>and</w:t>
      </w:r>
      <w:r w:rsidRPr="00EC20A0">
        <w:rPr>
          <w:spacing w:val="-2"/>
          <w:sz w:val="18"/>
        </w:rPr>
        <w:t xml:space="preserve"> </w:t>
      </w:r>
      <w:r w:rsidRPr="00EC20A0">
        <w:rPr>
          <w:sz w:val="18"/>
        </w:rPr>
        <w:t>copy entity</w:t>
      </w:r>
      <w:r w:rsidRPr="00EC20A0">
        <w:rPr>
          <w:spacing w:val="-1"/>
          <w:sz w:val="18"/>
        </w:rPr>
        <w:t xml:space="preserve"> </w:t>
      </w:r>
      <w:r w:rsidRPr="00EC20A0">
        <w:rPr>
          <w:sz w:val="18"/>
        </w:rPr>
        <w:t>records</w:t>
      </w:r>
      <w:r w:rsidRPr="00EC20A0">
        <w:rPr>
          <w:spacing w:val="-1"/>
          <w:sz w:val="18"/>
        </w:rPr>
        <w:t xml:space="preserve"> </w:t>
      </w:r>
      <w:r w:rsidRPr="00EC20A0">
        <w:rPr>
          <w:sz w:val="18"/>
        </w:rPr>
        <w:t>related</w:t>
      </w:r>
      <w:r w:rsidRPr="00EC20A0">
        <w:rPr>
          <w:spacing w:val="-2"/>
          <w:sz w:val="18"/>
        </w:rPr>
        <w:t xml:space="preserve"> </w:t>
      </w:r>
      <w:r w:rsidRPr="00EC20A0">
        <w:rPr>
          <w:sz w:val="18"/>
        </w:rPr>
        <w:t>to</w:t>
      </w:r>
      <w:r w:rsidRPr="00EC20A0">
        <w:rPr>
          <w:spacing w:val="-2"/>
          <w:sz w:val="18"/>
        </w:rPr>
        <w:t xml:space="preserve"> </w:t>
      </w:r>
      <w:r w:rsidRPr="00EC20A0">
        <w:rPr>
          <w:sz w:val="18"/>
        </w:rPr>
        <w:t>the</w:t>
      </w:r>
      <w:r w:rsidRPr="00EC20A0">
        <w:rPr>
          <w:spacing w:val="-2"/>
          <w:sz w:val="18"/>
        </w:rPr>
        <w:t xml:space="preserve"> </w:t>
      </w:r>
      <w:r w:rsidRPr="00EC20A0">
        <w:rPr>
          <w:sz w:val="18"/>
        </w:rPr>
        <w:t>debt,</w:t>
      </w:r>
      <w:r w:rsidRPr="00EC20A0">
        <w:rPr>
          <w:spacing w:val="-1"/>
          <w:sz w:val="18"/>
        </w:rPr>
        <w:t xml:space="preserve"> </w:t>
      </w:r>
      <w:r w:rsidRPr="00EC20A0">
        <w:rPr>
          <w:sz w:val="18"/>
        </w:rPr>
        <w:t>(B)</w:t>
      </w:r>
      <w:r w:rsidRPr="00EC20A0">
        <w:rPr>
          <w:spacing w:val="-1"/>
          <w:sz w:val="18"/>
        </w:rPr>
        <w:t xml:space="preserve"> </w:t>
      </w:r>
      <w:r w:rsidRPr="00EC20A0">
        <w:rPr>
          <w:sz w:val="18"/>
        </w:rPr>
        <w:t>for</w:t>
      </w:r>
      <w:r w:rsidRPr="00EC20A0">
        <w:rPr>
          <w:spacing w:val="-1"/>
          <w:sz w:val="18"/>
        </w:rPr>
        <w:t xml:space="preserve"> </w:t>
      </w:r>
      <w:r w:rsidRPr="00EC20A0">
        <w:rPr>
          <w:sz w:val="18"/>
        </w:rPr>
        <w:t>a</w:t>
      </w:r>
      <w:r w:rsidRPr="00EC20A0">
        <w:rPr>
          <w:spacing w:val="-2"/>
          <w:sz w:val="18"/>
        </w:rPr>
        <w:t xml:space="preserve"> </w:t>
      </w:r>
      <w:r w:rsidRPr="00EC20A0">
        <w:rPr>
          <w:sz w:val="18"/>
        </w:rPr>
        <w:t>review</w:t>
      </w:r>
      <w:r w:rsidRPr="00EC20A0">
        <w:rPr>
          <w:spacing w:val="-1"/>
          <w:sz w:val="18"/>
        </w:rPr>
        <w:t xml:space="preserve"> </w:t>
      </w:r>
      <w:r w:rsidRPr="00EC20A0">
        <w:rPr>
          <w:sz w:val="18"/>
        </w:rPr>
        <w:t>within</w:t>
      </w:r>
      <w:r w:rsidRPr="00EC20A0">
        <w:rPr>
          <w:spacing w:val="-2"/>
          <w:sz w:val="18"/>
        </w:rPr>
        <w:t xml:space="preserve"> </w:t>
      </w:r>
      <w:r w:rsidRPr="00EC20A0">
        <w:rPr>
          <w:sz w:val="18"/>
        </w:rPr>
        <w:t>the entity</w:t>
      </w:r>
      <w:r w:rsidRPr="00EC20A0">
        <w:rPr>
          <w:spacing w:val="-1"/>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determination</w:t>
      </w:r>
      <w:r w:rsidRPr="00EC20A0">
        <w:rPr>
          <w:spacing w:val="-2"/>
          <w:sz w:val="18"/>
        </w:rPr>
        <w:t xml:space="preserve"> </w:t>
      </w:r>
      <w:r w:rsidRPr="00EC20A0">
        <w:rPr>
          <w:sz w:val="18"/>
        </w:rPr>
        <w:t>of</w:t>
      </w:r>
      <w:r w:rsidRPr="00EC20A0">
        <w:rPr>
          <w:spacing w:val="-1"/>
          <w:sz w:val="18"/>
        </w:rPr>
        <w:t xml:space="preserve"> </w:t>
      </w:r>
      <w:r w:rsidRPr="00EC20A0">
        <w:rPr>
          <w:sz w:val="18"/>
        </w:rPr>
        <w:t>indebtedness,</w:t>
      </w:r>
      <w:r w:rsidRPr="00EC20A0">
        <w:rPr>
          <w:spacing w:val="-1"/>
          <w:sz w:val="18"/>
        </w:rPr>
        <w:t xml:space="preserve"> </w:t>
      </w:r>
      <w:r w:rsidRPr="00EC20A0">
        <w:rPr>
          <w:sz w:val="18"/>
        </w:rPr>
        <w:t>and</w:t>
      </w:r>
      <w:r w:rsidRPr="00EC20A0">
        <w:rPr>
          <w:spacing w:val="-2"/>
          <w:sz w:val="18"/>
        </w:rPr>
        <w:t xml:space="preserve"> </w:t>
      </w:r>
      <w:r w:rsidRPr="00EC20A0">
        <w:rPr>
          <w:sz w:val="18"/>
        </w:rPr>
        <w:t>(C)</w:t>
      </w:r>
      <w:r w:rsidRPr="00EC20A0">
        <w:rPr>
          <w:spacing w:val="-1"/>
          <w:sz w:val="18"/>
        </w:rPr>
        <w:t xml:space="preserve"> </w:t>
      </w:r>
      <w:r w:rsidRPr="00EC20A0">
        <w:rPr>
          <w:sz w:val="18"/>
        </w:rPr>
        <w:t>to</w:t>
      </w:r>
      <w:r w:rsidRPr="00EC20A0">
        <w:rPr>
          <w:spacing w:val="-2"/>
          <w:sz w:val="18"/>
        </w:rPr>
        <w:t xml:space="preserve"> </w:t>
      </w:r>
      <w:r w:rsidRPr="00EC20A0">
        <w:rPr>
          <w:sz w:val="18"/>
        </w:rPr>
        <w:t>make</w:t>
      </w:r>
      <w:r w:rsidRPr="00EC20A0">
        <w:rPr>
          <w:spacing w:val="-2"/>
          <w:sz w:val="18"/>
        </w:rPr>
        <w:t xml:space="preserve"> </w:t>
      </w:r>
      <w:r w:rsidRPr="00EC20A0">
        <w:rPr>
          <w:sz w:val="18"/>
        </w:rPr>
        <w:t>a written agreement to repay the debt. 31 C.F.R. § 901.3(b)(4).</w:t>
      </w:r>
    </w:p>
    <w:p w14:paraId="24D610B2" w14:textId="77777777" w:rsidR="00245300" w:rsidRPr="00EC20A0" w:rsidRDefault="00F17249">
      <w:pPr>
        <w:spacing w:before="121" w:line="242" w:lineRule="auto"/>
        <w:ind w:left="119" w:right="93"/>
        <w:rPr>
          <w:sz w:val="18"/>
        </w:rPr>
      </w:pPr>
      <w:r w:rsidRPr="00EC20A0">
        <w:rPr>
          <w:position w:val="7"/>
          <w:sz w:val="14"/>
        </w:rPr>
        <w:t>39</w:t>
      </w:r>
      <w:r w:rsidRPr="00EC20A0">
        <w:rPr>
          <w:sz w:val="18"/>
        </w:rPr>
        <w:t xml:space="preserve">Exceptions to the requirement to transfer nontax debt delinquent for a period of 120 days to Treasury for collection are (1) a debt or claim that (A) is in litigation or </w:t>
      </w:r>
      <w:r w:rsidRPr="00EC20A0">
        <w:rPr>
          <w:sz w:val="18"/>
        </w:rPr>
        <w:t>foreclosure, (B) will be disposed of under an asset sales program within 1 year after becoming eligible for sale, or later than 1 year if consistent with an asset sales program and a schedule established by the entity and approved by OMB, (C) has been referred to a private collection contractor for collection for a period determined by Treasury, (D) has been referred by, or with the consent of, Treasury to a debt collection center for a period determined by Treasury, or (E) will be collected under internal</w:t>
      </w:r>
      <w:r w:rsidRPr="00EC20A0">
        <w:rPr>
          <w:spacing w:val="-2"/>
          <w:sz w:val="18"/>
        </w:rPr>
        <w:t xml:space="preserve"> </w:t>
      </w:r>
      <w:r w:rsidRPr="00EC20A0">
        <w:rPr>
          <w:sz w:val="18"/>
        </w:rPr>
        <w:t>offset,</w:t>
      </w:r>
      <w:r w:rsidRPr="00EC20A0">
        <w:rPr>
          <w:spacing w:val="-2"/>
          <w:sz w:val="18"/>
        </w:rPr>
        <w:t xml:space="preserve"> </w:t>
      </w:r>
      <w:r w:rsidRPr="00EC20A0">
        <w:rPr>
          <w:sz w:val="18"/>
        </w:rPr>
        <w:t>if</w:t>
      </w:r>
      <w:r w:rsidRPr="00EC20A0">
        <w:rPr>
          <w:spacing w:val="-2"/>
          <w:sz w:val="18"/>
        </w:rPr>
        <w:t xml:space="preserve"> </w:t>
      </w:r>
      <w:r w:rsidRPr="00EC20A0">
        <w:rPr>
          <w:sz w:val="18"/>
        </w:rPr>
        <w:t>such</w:t>
      </w:r>
      <w:r w:rsidRPr="00EC20A0">
        <w:rPr>
          <w:spacing w:val="-3"/>
          <w:sz w:val="18"/>
        </w:rPr>
        <w:t xml:space="preserve"> </w:t>
      </w:r>
      <w:r w:rsidRPr="00EC20A0">
        <w:rPr>
          <w:sz w:val="18"/>
        </w:rPr>
        <w:t>offset</w:t>
      </w:r>
      <w:r w:rsidRPr="00EC20A0">
        <w:rPr>
          <w:spacing w:val="-2"/>
          <w:sz w:val="18"/>
        </w:rPr>
        <w:t xml:space="preserve"> </w:t>
      </w:r>
      <w:r w:rsidRPr="00EC20A0">
        <w:rPr>
          <w:sz w:val="18"/>
        </w:rPr>
        <w:t>is</w:t>
      </w:r>
      <w:r w:rsidRPr="00EC20A0">
        <w:rPr>
          <w:spacing w:val="-3"/>
          <w:sz w:val="18"/>
        </w:rPr>
        <w:t xml:space="preserve"> </w:t>
      </w:r>
      <w:r w:rsidRPr="00EC20A0">
        <w:rPr>
          <w:sz w:val="18"/>
        </w:rPr>
        <w:t>sufficient</w:t>
      </w:r>
      <w:r w:rsidRPr="00EC20A0">
        <w:rPr>
          <w:spacing w:val="-2"/>
          <w:sz w:val="18"/>
        </w:rPr>
        <w:t xml:space="preserve"> </w:t>
      </w:r>
      <w:r w:rsidRPr="00EC20A0">
        <w:rPr>
          <w:sz w:val="18"/>
        </w:rPr>
        <w:t>to</w:t>
      </w:r>
      <w:r w:rsidRPr="00EC20A0">
        <w:rPr>
          <w:spacing w:val="-3"/>
          <w:sz w:val="18"/>
        </w:rPr>
        <w:t xml:space="preserve"> </w:t>
      </w:r>
      <w:r w:rsidRPr="00EC20A0">
        <w:rPr>
          <w:sz w:val="18"/>
        </w:rPr>
        <w:t>collect</w:t>
      </w:r>
      <w:r w:rsidRPr="00EC20A0">
        <w:rPr>
          <w:spacing w:val="-1"/>
          <w:sz w:val="18"/>
        </w:rPr>
        <w:t xml:space="preserve"> </w:t>
      </w:r>
      <w:r w:rsidRPr="00EC20A0">
        <w:rPr>
          <w:sz w:val="18"/>
        </w:rPr>
        <w:t>the</w:t>
      </w:r>
      <w:r w:rsidRPr="00EC20A0">
        <w:rPr>
          <w:spacing w:val="-2"/>
          <w:sz w:val="18"/>
        </w:rPr>
        <w:t xml:space="preserve"> </w:t>
      </w:r>
      <w:r w:rsidRPr="00EC20A0">
        <w:rPr>
          <w:sz w:val="18"/>
        </w:rPr>
        <w:t>claim</w:t>
      </w:r>
      <w:r w:rsidRPr="00EC20A0">
        <w:rPr>
          <w:spacing w:val="-1"/>
          <w:sz w:val="18"/>
        </w:rPr>
        <w:t xml:space="preserve"> </w:t>
      </w:r>
      <w:r w:rsidRPr="00EC20A0">
        <w:rPr>
          <w:sz w:val="18"/>
        </w:rPr>
        <w:t>within</w:t>
      </w:r>
      <w:r w:rsidRPr="00EC20A0">
        <w:rPr>
          <w:spacing w:val="-1"/>
          <w:sz w:val="18"/>
        </w:rPr>
        <w:t xml:space="preserve"> </w:t>
      </w:r>
      <w:r w:rsidRPr="00EC20A0">
        <w:rPr>
          <w:sz w:val="18"/>
        </w:rPr>
        <w:t>3</w:t>
      </w:r>
      <w:r w:rsidRPr="00EC20A0">
        <w:rPr>
          <w:spacing w:val="-3"/>
          <w:sz w:val="18"/>
        </w:rPr>
        <w:t xml:space="preserve"> </w:t>
      </w:r>
      <w:r w:rsidRPr="00EC20A0">
        <w:rPr>
          <w:sz w:val="18"/>
        </w:rPr>
        <w:t>years</w:t>
      </w:r>
      <w:r w:rsidRPr="00EC20A0">
        <w:rPr>
          <w:spacing w:val="-1"/>
          <w:sz w:val="18"/>
        </w:rPr>
        <w:t xml:space="preserve"> </w:t>
      </w:r>
      <w:r w:rsidRPr="00EC20A0">
        <w:rPr>
          <w:sz w:val="18"/>
        </w:rPr>
        <w:t>after</w:t>
      </w:r>
      <w:r w:rsidRPr="00EC20A0">
        <w:rPr>
          <w:spacing w:val="-2"/>
          <w:sz w:val="18"/>
        </w:rPr>
        <w:t xml:space="preserve"> </w:t>
      </w:r>
      <w:r w:rsidRPr="00EC20A0">
        <w:rPr>
          <w:sz w:val="18"/>
        </w:rPr>
        <w:t>the</w:t>
      </w:r>
      <w:r w:rsidRPr="00EC20A0">
        <w:rPr>
          <w:spacing w:val="-3"/>
          <w:sz w:val="18"/>
        </w:rPr>
        <w:t xml:space="preserve"> </w:t>
      </w:r>
      <w:r w:rsidRPr="00EC20A0">
        <w:rPr>
          <w:sz w:val="18"/>
        </w:rPr>
        <w:t>date</w:t>
      </w:r>
      <w:r w:rsidRPr="00EC20A0">
        <w:rPr>
          <w:spacing w:val="-3"/>
          <w:sz w:val="18"/>
        </w:rPr>
        <w:t xml:space="preserve"> </w:t>
      </w:r>
      <w:r w:rsidRPr="00EC20A0">
        <w:rPr>
          <w:sz w:val="18"/>
        </w:rPr>
        <w:t>the</w:t>
      </w:r>
      <w:r w:rsidRPr="00EC20A0">
        <w:rPr>
          <w:spacing w:val="-3"/>
          <w:sz w:val="18"/>
        </w:rPr>
        <w:t xml:space="preserve"> </w:t>
      </w:r>
      <w:r w:rsidRPr="00EC20A0">
        <w:rPr>
          <w:sz w:val="18"/>
        </w:rPr>
        <w:t>debt</w:t>
      </w:r>
      <w:r w:rsidRPr="00EC20A0">
        <w:rPr>
          <w:spacing w:val="-2"/>
          <w:sz w:val="18"/>
        </w:rPr>
        <w:t xml:space="preserve"> </w:t>
      </w:r>
      <w:r w:rsidRPr="00EC20A0">
        <w:rPr>
          <w:sz w:val="18"/>
        </w:rPr>
        <w:t>or</w:t>
      </w:r>
      <w:r w:rsidRPr="00EC20A0">
        <w:rPr>
          <w:spacing w:val="-2"/>
          <w:sz w:val="18"/>
        </w:rPr>
        <w:t xml:space="preserve"> </w:t>
      </w:r>
      <w:r w:rsidRPr="00EC20A0">
        <w:rPr>
          <w:sz w:val="18"/>
        </w:rPr>
        <w:t>claim</w:t>
      </w:r>
      <w:r w:rsidRPr="00EC20A0">
        <w:rPr>
          <w:spacing w:val="-2"/>
          <w:sz w:val="18"/>
        </w:rPr>
        <w:t xml:space="preserve"> </w:t>
      </w:r>
      <w:r w:rsidRPr="00EC20A0">
        <w:rPr>
          <w:sz w:val="18"/>
        </w:rPr>
        <w:t>is</w:t>
      </w:r>
      <w:r w:rsidRPr="00EC20A0">
        <w:rPr>
          <w:spacing w:val="-2"/>
          <w:sz w:val="18"/>
        </w:rPr>
        <w:t xml:space="preserve"> </w:t>
      </w:r>
      <w:r w:rsidRPr="00EC20A0">
        <w:rPr>
          <w:sz w:val="18"/>
        </w:rPr>
        <w:t>first</w:t>
      </w:r>
      <w:r w:rsidRPr="00EC20A0">
        <w:rPr>
          <w:spacing w:val="-2"/>
          <w:sz w:val="18"/>
        </w:rPr>
        <w:t xml:space="preserve"> </w:t>
      </w:r>
      <w:r w:rsidRPr="00EC20A0">
        <w:rPr>
          <w:sz w:val="18"/>
        </w:rPr>
        <w:t>delinquent;</w:t>
      </w:r>
      <w:r w:rsidRPr="00EC20A0">
        <w:rPr>
          <w:spacing w:val="-2"/>
          <w:sz w:val="18"/>
        </w:rPr>
        <w:t xml:space="preserve"> </w:t>
      </w:r>
      <w:r w:rsidRPr="00EC20A0">
        <w:rPr>
          <w:sz w:val="18"/>
        </w:rPr>
        <w:t>and</w:t>
      </w:r>
      <w:r w:rsidRPr="00EC20A0">
        <w:rPr>
          <w:spacing w:val="-3"/>
          <w:sz w:val="18"/>
        </w:rPr>
        <w:t xml:space="preserve"> </w:t>
      </w:r>
      <w:r w:rsidRPr="00EC20A0">
        <w:rPr>
          <w:sz w:val="18"/>
        </w:rPr>
        <w:t>(2)</w:t>
      </w:r>
      <w:r w:rsidRPr="00EC20A0">
        <w:rPr>
          <w:spacing w:val="-2"/>
          <w:sz w:val="18"/>
        </w:rPr>
        <w:t xml:space="preserve"> </w:t>
      </w:r>
      <w:r w:rsidRPr="00EC20A0">
        <w:rPr>
          <w:sz w:val="18"/>
        </w:rPr>
        <w:t>to</w:t>
      </w:r>
      <w:r w:rsidRPr="00EC20A0">
        <w:rPr>
          <w:spacing w:val="-3"/>
          <w:sz w:val="18"/>
        </w:rPr>
        <w:t xml:space="preserve"> </w:t>
      </w:r>
      <w:r w:rsidRPr="00EC20A0">
        <w:rPr>
          <w:sz w:val="18"/>
        </w:rPr>
        <w:t>any</w:t>
      </w:r>
      <w:r w:rsidRPr="00EC20A0">
        <w:rPr>
          <w:spacing w:val="-2"/>
          <w:sz w:val="18"/>
        </w:rPr>
        <w:t xml:space="preserve"> </w:t>
      </w:r>
      <w:r w:rsidRPr="00EC20A0">
        <w:rPr>
          <w:sz w:val="18"/>
        </w:rPr>
        <w:t>other</w:t>
      </w:r>
      <w:r w:rsidRPr="00EC20A0">
        <w:rPr>
          <w:spacing w:val="-2"/>
          <w:sz w:val="18"/>
        </w:rPr>
        <w:t xml:space="preserve"> </w:t>
      </w:r>
      <w:r w:rsidRPr="00EC20A0">
        <w:rPr>
          <w:sz w:val="18"/>
        </w:rPr>
        <w:t>specific</w:t>
      </w:r>
      <w:r w:rsidRPr="00EC20A0">
        <w:rPr>
          <w:spacing w:val="-2"/>
          <w:sz w:val="18"/>
        </w:rPr>
        <w:t xml:space="preserve"> </w:t>
      </w:r>
      <w:r w:rsidRPr="00EC20A0">
        <w:rPr>
          <w:sz w:val="18"/>
        </w:rPr>
        <w:t>class</w:t>
      </w:r>
      <w:r w:rsidRPr="00EC20A0">
        <w:rPr>
          <w:spacing w:val="-2"/>
          <w:sz w:val="18"/>
        </w:rPr>
        <w:t xml:space="preserve"> </w:t>
      </w:r>
      <w:r w:rsidRPr="00EC20A0">
        <w:rPr>
          <w:sz w:val="18"/>
        </w:rPr>
        <w:t>of</w:t>
      </w:r>
      <w:r w:rsidRPr="00EC20A0">
        <w:rPr>
          <w:spacing w:val="-2"/>
          <w:sz w:val="18"/>
        </w:rPr>
        <w:t xml:space="preserve"> </w:t>
      </w:r>
      <w:r w:rsidRPr="00EC20A0">
        <w:rPr>
          <w:sz w:val="18"/>
        </w:rPr>
        <w:t>debt</w:t>
      </w:r>
      <w:r w:rsidRPr="00EC20A0">
        <w:rPr>
          <w:spacing w:val="-2"/>
          <w:sz w:val="18"/>
        </w:rPr>
        <w:t xml:space="preserve"> </w:t>
      </w:r>
      <w:r w:rsidRPr="00EC20A0">
        <w:rPr>
          <w:sz w:val="18"/>
        </w:rPr>
        <w:t>or claim, as determined by Treasury at the request of an entity. 31 U.S.C. § 3711(g)(2) and 31 U.S.C. § 3716(c)(6)(A).</w:t>
      </w:r>
    </w:p>
    <w:p w14:paraId="24D610B3" w14:textId="77777777" w:rsidR="00245300" w:rsidRPr="00EC20A0" w:rsidRDefault="00245300">
      <w:pPr>
        <w:spacing w:line="242" w:lineRule="auto"/>
        <w:rPr>
          <w:sz w:val="18"/>
        </w:rPr>
        <w:sectPr w:rsidR="00245300" w:rsidRPr="00EC20A0">
          <w:pgSz w:w="15840" w:h="12240" w:orient="landscape"/>
          <w:pgMar w:top="1340" w:right="1340" w:bottom="940" w:left="960" w:header="721" w:footer="742" w:gutter="0"/>
          <w:cols w:space="720"/>
        </w:sectPr>
      </w:pPr>
    </w:p>
    <w:p w14:paraId="24D610B4" w14:textId="77777777" w:rsidR="00245300" w:rsidRPr="00EC20A0" w:rsidRDefault="00F17249">
      <w:pPr>
        <w:pStyle w:val="BodyText"/>
        <w:spacing w:before="82"/>
        <w:ind w:left="119" w:right="185"/>
      </w:pPr>
      <w:r w:rsidRPr="00EC20A0">
        <w:t>Note: The auditor generally should perform these procedures or prepare equivalent documentation</w:t>
      </w:r>
      <w:r w:rsidRPr="00EC20A0">
        <w:rPr>
          <w:spacing w:val="-3"/>
        </w:rPr>
        <w:t xml:space="preserve"> </w:t>
      </w:r>
      <w:r w:rsidRPr="00EC20A0">
        <w:t>only</w:t>
      </w:r>
      <w:r w:rsidRPr="00EC20A0">
        <w:rPr>
          <w:spacing w:val="-3"/>
        </w:rPr>
        <w:t xml:space="preserve"> </w:t>
      </w:r>
      <w:r w:rsidRPr="00EC20A0">
        <w:t>if</w:t>
      </w:r>
      <w:r w:rsidRPr="00EC20A0">
        <w:rPr>
          <w:spacing w:val="-3"/>
        </w:rPr>
        <w:t xml:space="preserve"> </w:t>
      </w:r>
      <w:r w:rsidRPr="00EC20A0">
        <w:t>the</w:t>
      </w:r>
      <w:r w:rsidRPr="00EC20A0">
        <w:rPr>
          <w:spacing w:val="-3"/>
        </w:rPr>
        <w:t xml:space="preserve"> </w:t>
      </w:r>
      <w:r w:rsidRPr="00EC20A0">
        <w:t>Federal</w:t>
      </w:r>
      <w:r w:rsidRPr="00EC20A0">
        <w:rPr>
          <w:spacing w:val="-3"/>
        </w:rPr>
        <w:t xml:space="preserve"> </w:t>
      </w:r>
      <w:r w:rsidRPr="00EC20A0">
        <w:t>Debt</w:t>
      </w:r>
      <w:r w:rsidRPr="00EC20A0">
        <w:rPr>
          <w:spacing w:val="-3"/>
        </w:rPr>
        <w:t xml:space="preserve"> </w:t>
      </w:r>
      <w:r w:rsidRPr="00EC20A0">
        <w:t>Collection</w:t>
      </w:r>
      <w:r w:rsidRPr="00EC20A0">
        <w:rPr>
          <w:spacing w:val="-3"/>
        </w:rPr>
        <w:t xml:space="preserve"> </w:t>
      </w:r>
      <w:r w:rsidRPr="00EC20A0">
        <w:t>Authorities,</w:t>
      </w:r>
      <w:r w:rsidRPr="00EC20A0">
        <w:rPr>
          <w:spacing w:val="-3"/>
        </w:rPr>
        <w:t xml:space="preserve"> </w:t>
      </w:r>
      <w:r w:rsidRPr="00EC20A0">
        <w:t>as</w:t>
      </w:r>
      <w:r w:rsidRPr="00EC20A0">
        <w:rPr>
          <w:spacing w:val="-3"/>
        </w:rPr>
        <w:t xml:space="preserve"> </w:t>
      </w:r>
      <w:r w:rsidRPr="00EC20A0">
        <w:t>provided</w:t>
      </w:r>
      <w:r w:rsidRPr="00EC20A0">
        <w:rPr>
          <w:spacing w:val="-3"/>
        </w:rPr>
        <w:t xml:space="preserve"> </w:t>
      </w:r>
      <w:r w:rsidRPr="00EC20A0">
        <w:t>in</w:t>
      </w:r>
      <w:r w:rsidRPr="00EC20A0">
        <w:rPr>
          <w:spacing w:val="-3"/>
        </w:rPr>
        <w:t xml:space="preserve"> </w:t>
      </w:r>
      <w:r w:rsidRPr="00EC20A0">
        <w:t>31</w:t>
      </w:r>
      <w:r w:rsidRPr="00EC20A0">
        <w:rPr>
          <w:spacing w:val="-3"/>
        </w:rPr>
        <w:t xml:space="preserve"> </w:t>
      </w:r>
      <w:r w:rsidRPr="00EC20A0">
        <w:t>U.S.C.</w:t>
      </w:r>
      <w:r w:rsidRPr="00EC20A0">
        <w:rPr>
          <w:spacing w:val="-3"/>
        </w:rPr>
        <w:t xml:space="preserve"> </w:t>
      </w:r>
      <w:r w:rsidRPr="00EC20A0">
        <w:t xml:space="preserve">chapter 37, are </w:t>
      </w:r>
      <w:r w:rsidRPr="00EC20A0">
        <w:t>significant, as indicated on Form 802, General Compliance Checklist, at page 802-5.</w:t>
      </w:r>
    </w:p>
    <w:p w14:paraId="24D610B5" w14:textId="77777777" w:rsidR="00245300" w:rsidRPr="00EC20A0" w:rsidRDefault="00F17249">
      <w:pPr>
        <w:pStyle w:val="BodyText"/>
        <w:ind w:left="120" w:right="185"/>
      </w:pPr>
      <w:r w:rsidRPr="00EC20A0">
        <w:t>These procedures test compliance with the provisions listed on the Compliance Summary. Implementing</w:t>
      </w:r>
      <w:r w:rsidRPr="00EC20A0">
        <w:rPr>
          <w:spacing w:val="-4"/>
        </w:rPr>
        <w:t xml:space="preserve"> </w:t>
      </w:r>
      <w:r w:rsidRPr="00EC20A0">
        <w:t>regulations</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Federal</w:t>
      </w:r>
      <w:r w:rsidRPr="00EC20A0">
        <w:rPr>
          <w:spacing w:val="-4"/>
        </w:rPr>
        <w:t xml:space="preserve"> </w:t>
      </w:r>
      <w:r w:rsidRPr="00EC20A0">
        <w:t>Debt</w:t>
      </w:r>
      <w:r w:rsidRPr="00EC20A0">
        <w:rPr>
          <w:spacing w:val="-4"/>
        </w:rPr>
        <w:t xml:space="preserve"> </w:t>
      </w:r>
      <w:r w:rsidRPr="00EC20A0">
        <w:t>Collection</w:t>
      </w:r>
      <w:r w:rsidRPr="00EC20A0">
        <w:rPr>
          <w:spacing w:val="-4"/>
        </w:rPr>
        <w:t xml:space="preserve"> </w:t>
      </w:r>
      <w:r w:rsidRPr="00EC20A0">
        <w:t>Authorities,</w:t>
      </w:r>
      <w:r w:rsidRPr="00EC20A0">
        <w:rPr>
          <w:spacing w:val="-4"/>
        </w:rPr>
        <w:t xml:space="preserve"> </w:t>
      </w:r>
      <w:r w:rsidRPr="00EC20A0">
        <w:t>as</w:t>
      </w:r>
      <w:r w:rsidRPr="00EC20A0">
        <w:rPr>
          <w:spacing w:val="-5"/>
        </w:rPr>
        <w:t xml:space="preserve"> </w:t>
      </w:r>
      <w:r w:rsidRPr="00EC20A0">
        <w:t>provided</w:t>
      </w:r>
      <w:r w:rsidRPr="00EC20A0">
        <w:rPr>
          <w:spacing w:val="-4"/>
        </w:rPr>
        <w:t xml:space="preserve"> </w:t>
      </w:r>
      <w:r w:rsidRPr="00EC20A0">
        <w:t>in</w:t>
      </w:r>
      <w:r w:rsidRPr="00EC20A0">
        <w:rPr>
          <w:spacing w:val="-5"/>
        </w:rPr>
        <w:t xml:space="preserve"> </w:t>
      </w:r>
      <w:r w:rsidRPr="00EC20A0">
        <w:t>31</w:t>
      </w:r>
      <w:r w:rsidRPr="00EC20A0">
        <w:rPr>
          <w:spacing w:val="-4"/>
        </w:rPr>
        <w:t xml:space="preserve"> </w:t>
      </w:r>
      <w:r w:rsidRPr="00EC20A0">
        <w:t>U.S.C. chapter 37, are included in 31 C.F.R. Parts 285 and 900-904.</w:t>
      </w:r>
    </w:p>
    <w:p w14:paraId="24D610B6" w14:textId="77777777" w:rsidR="00245300" w:rsidRPr="00EC20A0" w:rsidRDefault="00245300">
      <w:pPr>
        <w:pStyle w:val="BodyText"/>
        <w:spacing w:before="9"/>
        <w:rPr>
          <w:sz w:val="13"/>
        </w:r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245300" w:rsidRPr="00EC20A0" w14:paraId="24D610B8" w14:textId="77777777">
        <w:trPr>
          <w:trHeight w:val="1335"/>
        </w:trPr>
        <w:tc>
          <w:tcPr>
            <w:tcW w:w="9361" w:type="dxa"/>
            <w:gridSpan w:val="3"/>
          </w:tcPr>
          <w:p w14:paraId="24D610B7" w14:textId="77777777" w:rsidR="00245300" w:rsidRPr="00EC20A0" w:rsidRDefault="00F17249">
            <w:pPr>
              <w:pStyle w:val="TableParagraph"/>
              <w:tabs>
                <w:tab w:val="left" w:pos="8945"/>
              </w:tabs>
              <w:spacing w:before="7" w:line="390" w:lineRule="atLeast"/>
              <w:ind w:left="130" w:right="368"/>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80"/>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0BE" w14:textId="77777777">
        <w:trPr>
          <w:trHeight w:val="625"/>
        </w:trPr>
        <w:tc>
          <w:tcPr>
            <w:tcW w:w="6948" w:type="dxa"/>
            <w:tcBorders>
              <w:right w:val="single" w:sz="6" w:space="0" w:color="000000"/>
            </w:tcBorders>
          </w:tcPr>
          <w:p w14:paraId="24D610B9" w14:textId="77777777" w:rsidR="00245300" w:rsidRPr="00EC20A0" w:rsidRDefault="00245300">
            <w:pPr>
              <w:pStyle w:val="TableParagraph"/>
              <w:spacing w:before="60"/>
            </w:pPr>
          </w:p>
          <w:p w14:paraId="24D610BA"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0BB" w14:textId="77777777" w:rsidR="00245300" w:rsidRPr="00EC20A0" w:rsidRDefault="00F17249">
            <w:pPr>
              <w:pStyle w:val="TableParagraph"/>
              <w:spacing w:before="60"/>
              <w:ind w:left="145"/>
              <w:rPr>
                <w:b/>
              </w:rPr>
            </w:pPr>
            <w:r w:rsidRPr="00EC20A0">
              <w:rPr>
                <w:b/>
                <w:spacing w:val="-2"/>
              </w:rPr>
              <w:t xml:space="preserve">Initials/ </w:t>
            </w:r>
            <w:r w:rsidRPr="00EC20A0">
              <w:rPr>
                <w:b/>
                <w:spacing w:val="-4"/>
              </w:rPr>
              <w:t>date</w:t>
            </w:r>
          </w:p>
        </w:tc>
        <w:tc>
          <w:tcPr>
            <w:tcW w:w="1261" w:type="dxa"/>
            <w:tcBorders>
              <w:left w:val="single" w:sz="6" w:space="0" w:color="000000"/>
            </w:tcBorders>
          </w:tcPr>
          <w:p w14:paraId="24D610BC" w14:textId="77777777" w:rsidR="00245300" w:rsidRPr="00EC20A0" w:rsidRDefault="00245300">
            <w:pPr>
              <w:pStyle w:val="TableParagraph"/>
              <w:spacing w:before="60"/>
            </w:pPr>
          </w:p>
          <w:p w14:paraId="24D610BD" w14:textId="77777777" w:rsidR="00245300" w:rsidRPr="00EC20A0" w:rsidRDefault="00F17249">
            <w:pPr>
              <w:pStyle w:val="TableParagraph"/>
              <w:ind w:left="145"/>
              <w:rPr>
                <w:b/>
              </w:rPr>
            </w:pPr>
            <w:r w:rsidRPr="00EC20A0">
              <w:rPr>
                <w:b/>
              </w:rPr>
              <w:t>Doc.</w:t>
            </w:r>
            <w:r w:rsidRPr="00EC20A0">
              <w:rPr>
                <w:b/>
                <w:spacing w:val="-6"/>
              </w:rPr>
              <w:t xml:space="preserve"> </w:t>
            </w:r>
            <w:r w:rsidRPr="00EC20A0">
              <w:rPr>
                <w:b/>
                <w:spacing w:val="-4"/>
              </w:rPr>
              <w:t>ref.</w:t>
            </w:r>
          </w:p>
        </w:tc>
      </w:tr>
      <w:tr w:rsidR="00245300" w:rsidRPr="00EC20A0" w14:paraId="24D610C3" w14:textId="77777777">
        <w:trPr>
          <w:trHeight w:val="2757"/>
        </w:trPr>
        <w:tc>
          <w:tcPr>
            <w:tcW w:w="6948" w:type="dxa"/>
            <w:tcBorders>
              <w:bottom w:val="single" w:sz="6" w:space="0" w:color="000000"/>
              <w:right w:val="single" w:sz="6" w:space="0" w:color="000000"/>
            </w:tcBorders>
          </w:tcPr>
          <w:p w14:paraId="24D610BF" w14:textId="77777777" w:rsidR="00245300" w:rsidRPr="00EC20A0" w:rsidRDefault="00F17249">
            <w:pPr>
              <w:pStyle w:val="TableParagraph"/>
              <w:tabs>
                <w:tab w:val="left" w:pos="561"/>
              </w:tabs>
              <w:spacing w:before="120"/>
              <w:ind w:left="561" w:right="266" w:hanging="432"/>
              <w:rPr>
                <w:sz w:val="14"/>
              </w:rPr>
            </w:pPr>
            <w:r w:rsidRPr="00EC20A0">
              <w:rPr>
                <w:spacing w:val="-6"/>
              </w:rPr>
              <w:t>1.</w:t>
            </w:r>
            <w:r w:rsidRPr="00EC20A0">
              <w:tab/>
              <w:t xml:space="preserve">Based on the preliminary assessment of compliance control effectiveness (as </w:t>
            </w:r>
            <w:r w:rsidRPr="00EC20A0">
              <w:t>documented on Form 805, Compliance Summary), select a statistical sample of amounts owed to the entity during</w:t>
            </w:r>
            <w:r w:rsidRPr="00EC20A0">
              <w:rPr>
                <w:spacing w:val="-1"/>
              </w:rPr>
              <w:t xml:space="preserve"> </w:t>
            </w:r>
            <w:r w:rsidRPr="00EC20A0">
              <w:t>or at the end of the audit period. The sample size will vary based on the expected effectiveness of compliance controls,</w:t>
            </w:r>
            <w:r w:rsidRPr="00EC20A0">
              <w:rPr>
                <w:spacing w:val="-5"/>
              </w:rPr>
              <w:t xml:space="preserve"> </w:t>
            </w:r>
            <w:r w:rsidRPr="00EC20A0">
              <w:t>as</w:t>
            </w:r>
            <w:r w:rsidRPr="00EC20A0">
              <w:rPr>
                <w:spacing w:val="-6"/>
              </w:rPr>
              <w:t xml:space="preserve"> </w:t>
            </w:r>
            <w:r w:rsidRPr="00EC20A0">
              <w:t>discussed</w:t>
            </w:r>
            <w:r w:rsidRPr="00EC20A0">
              <w:rPr>
                <w:spacing w:val="-5"/>
              </w:rPr>
              <w:t xml:space="preserve"> </w:t>
            </w:r>
            <w:r w:rsidRPr="00EC20A0">
              <w:t>in</w:t>
            </w:r>
            <w:r w:rsidRPr="00EC20A0">
              <w:rPr>
                <w:spacing w:val="-6"/>
              </w:rPr>
              <w:t xml:space="preserve"> </w:t>
            </w:r>
            <w:r w:rsidRPr="00EC20A0">
              <w:t>FAM</w:t>
            </w:r>
            <w:r w:rsidRPr="00EC20A0">
              <w:rPr>
                <w:spacing w:val="-6"/>
              </w:rPr>
              <w:t xml:space="preserve"> </w:t>
            </w:r>
            <w:r w:rsidRPr="00EC20A0">
              <w:t>460.02.</w:t>
            </w:r>
            <w:r w:rsidRPr="00EC20A0">
              <w:rPr>
                <w:spacing w:val="-5"/>
              </w:rPr>
              <w:t xml:space="preserve"> </w:t>
            </w:r>
            <w:r w:rsidRPr="00EC20A0">
              <w:t>Document</w:t>
            </w:r>
            <w:r w:rsidRPr="00EC20A0">
              <w:rPr>
                <w:spacing w:val="-5"/>
              </w:rPr>
              <w:t xml:space="preserve"> </w:t>
            </w:r>
            <w:r w:rsidRPr="00EC20A0">
              <w:t>the</w:t>
            </w:r>
            <w:r w:rsidRPr="00EC20A0">
              <w:rPr>
                <w:spacing w:val="-5"/>
              </w:rPr>
              <w:t xml:space="preserve"> </w:t>
            </w:r>
            <w:r w:rsidRPr="00EC20A0">
              <w:t>sampling approach (see example documentation in FAM 495 D).</w:t>
            </w:r>
            <w:hyperlink w:anchor="_bookmark114" w:history="1">
              <w:r w:rsidRPr="00EC20A0">
                <w:rPr>
                  <w:position w:val="7"/>
                  <w:sz w:val="14"/>
                </w:rPr>
                <w:t>40</w:t>
              </w:r>
            </w:hyperlink>
          </w:p>
          <w:p w14:paraId="24D610C0" w14:textId="77777777" w:rsidR="00245300" w:rsidRPr="00EC20A0" w:rsidRDefault="00F17249">
            <w:pPr>
              <w:pStyle w:val="TableParagraph"/>
              <w:tabs>
                <w:tab w:val="left" w:pos="6498"/>
              </w:tabs>
              <w:spacing w:before="3" w:line="370" w:lineRule="atLeast"/>
              <w:ind w:left="561" w:right="416"/>
            </w:pPr>
            <w:r w:rsidRPr="00EC20A0">
              <w:t>Sample size</w:t>
            </w:r>
            <w:r w:rsidRPr="00EC20A0">
              <w:rPr>
                <w:spacing w:val="29"/>
              </w:rPr>
              <w:t xml:space="preserve"> </w:t>
            </w:r>
            <w:r w:rsidRPr="00EC20A0">
              <w:rPr>
                <w:u w:val="single"/>
              </w:rPr>
              <w:tab/>
            </w:r>
            <w:r w:rsidRPr="00EC20A0">
              <w:t xml:space="preserve"> Sample selection method</w:t>
            </w:r>
            <w:r w:rsidRPr="00EC20A0">
              <w:rPr>
                <w:spacing w:val="103"/>
              </w:rPr>
              <w:t xml:space="preserve"> </w:t>
            </w:r>
            <w:r w:rsidRPr="00EC20A0">
              <w:rPr>
                <w:u w:val="single"/>
              </w:rPr>
              <w:tab/>
            </w:r>
          </w:p>
        </w:tc>
        <w:tc>
          <w:tcPr>
            <w:tcW w:w="1152" w:type="dxa"/>
            <w:tcBorders>
              <w:left w:val="single" w:sz="6" w:space="0" w:color="000000"/>
              <w:bottom w:val="single" w:sz="6" w:space="0" w:color="000000"/>
              <w:right w:val="single" w:sz="6" w:space="0" w:color="000000"/>
            </w:tcBorders>
          </w:tcPr>
          <w:p w14:paraId="24D610C1" w14:textId="77777777" w:rsidR="00245300" w:rsidRPr="00EC20A0" w:rsidRDefault="00245300">
            <w:pPr>
              <w:pStyle w:val="TableParagraph"/>
              <w:rPr>
                <w:sz w:val="20"/>
              </w:rPr>
            </w:pPr>
          </w:p>
        </w:tc>
        <w:tc>
          <w:tcPr>
            <w:tcW w:w="1261" w:type="dxa"/>
            <w:tcBorders>
              <w:left w:val="single" w:sz="6" w:space="0" w:color="000000"/>
              <w:bottom w:val="single" w:sz="6" w:space="0" w:color="000000"/>
            </w:tcBorders>
          </w:tcPr>
          <w:p w14:paraId="24D610C2" w14:textId="77777777" w:rsidR="00245300" w:rsidRPr="00EC20A0" w:rsidRDefault="00245300">
            <w:pPr>
              <w:pStyle w:val="TableParagraph"/>
              <w:rPr>
                <w:sz w:val="20"/>
              </w:rPr>
            </w:pPr>
          </w:p>
        </w:tc>
      </w:tr>
      <w:tr w:rsidR="00245300" w:rsidRPr="00EC20A0" w14:paraId="24D610CD" w14:textId="77777777">
        <w:trPr>
          <w:trHeight w:val="4190"/>
        </w:trPr>
        <w:tc>
          <w:tcPr>
            <w:tcW w:w="6948" w:type="dxa"/>
            <w:tcBorders>
              <w:top w:val="single" w:sz="6" w:space="0" w:color="000000"/>
              <w:bottom w:val="single" w:sz="2" w:space="0" w:color="000000"/>
              <w:right w:val="single" w:sz="6" w:space="0" w:color="000000"/>
            </w:tcBorders>
          </w:tcPr>
          <w:p w14:paraId="24D610C4" w14:textId="77777777" w:rsidR="00245300" w:rsidRPr="00EC20A0" w:rsidRDefault="00F17249">
            <w:pPr>
              <w:pStyle w:val="TableParagraph"/>
              <w:numPr>
                <w:ilvl w:val="0"/>
                <w:numId w:val="150"/>
              </w:numPr>
              <w:tabs>
                <w:tab w:val="left" w:pos="567"/>
                <w:tab w:val="left" w:pos="600"/>
              </w:tabs>
              <w:spacing w:before="119"/>
              <w:ind w:right="141" w:hanging="471"/>
            </w:pPr>
            <w:r w:rsidRPr="00EC20A0">
              <w:t xml:space="preserve">For each item selected in step 1, obtain the loan file or other </w:t>
            </w:r>
            <w:r w:rsidRPr="00EC20A0">
              <w:t>supporting</w:t>
            </w:r>
            <w:r w:rsidRPr="00EC20A0">
              <w:rPr>
                <w:spacing w:val="-6"/>
              </w:rPr>
              <w:t xml:space="preserve"> </w:t>
            </w:r>
            <w:r w:rsidRPr="00EC20A0">
              <w:t>documentation</w:t>
            </w:r>
            <w:r w:rsidRPr="00EC20A0">
              <w:rPr>
                <w:spacing w:val="-6"/>
              </w:rPr>
              <w:t xml:space="preserve"> </w:t>
            </w:r>
            <w:r w:rsidRPr="00EC20A0">
              <w:t>and</w:t>
            </w:r>
            <w:r w:rsidRPr="00EC20A0">
              <w:rPr>
                <w:spacing w:val="-6"/>
              </w:rPr>
              <w:t xml:space="preserve"> </w:t>
            </w:r>
            <w:r w:rsidRPr="00EC20A0">
              <w:t>note</w:t>
            </w:r>
            <w:r w:rsidRPr="00EC20A0">
              <w:rPr>
                <w:spacing w:val="-6"/>
              </w:rPr>
              <w:t xml:space="preserve"> </w:t>
            </w:r>
            <w:r w:rsidRPr="00EC20A0">
              <w:t>the</w:t>
            </w:r>
            <w:r w:rsidRPr="00EC20A0">
              <w:rPr>
                <w:spacing w:val="-6"/>
              </w:rPr>
              <w:t xml:space="preserve"> </w:t>
            </w:r>
            <w:r w:rsidRPr="00EC20A0">
              <w:t>following</w:t>
            </w:r>
            <w:r w:rsidRPr="00EC20A0">
              <w:rPr>
                <w:spacing w:val="-7"/>
              </w:rPr>
              <w:t xml:space="preserve"> </w:t>
            </w:r>
            <w:r w:rsidRPr="00EC20A0">
              <w:t>information</w:t>
            </w:r>
            <w:r w:rsidRPr="00EC20A0">
              <w:rPr>
                <w:spacing w:val="-6"/>
              </w:rPr>
              <w:t xml:space="preserve"> </w:t>
            </w:r>
            <w:r w:rsidRPr="00EC20A0">
              <w:t>as of the date selected for testing:</w:t>
            </w:r>
          </w:p>
          <w:p w14:paraId="24D610C5" w14:textId="77777777" w:rsidR="00245300" w:rsidRPr="00EC20A0" w:rsidRDefault="00F17249">
            <w:pPr>
              <w:pStyle w:val="TableParagraph"/>
              <w:numPr>
                <w:ilvl w:val="1"/>
                <w:numId w:val="150"/>
              </w:numPr>
              <w:tabs>
                <w:tab w:val="left" w:pos="974"/>
              </w:tabs>
              <w:spacing w:before="121"/>
              <w:ind w:left="974"/>
            </w:pPr>
            <w:r w:rsidRPr="00EC20A0">
              <w:t>due</w:t>
            </w:r>
            <w:r w:rsidRPr="00EC20A0">
              <w:rPr>
                <w:spacing w:val="-4"/>
              </w:rPr>
              <w:t xml:space="preserve"> </w:t>
            </w:r>
            <w:r w:rsidRPr="00EC20A0">
              <w:t>date</w:t>
            </w:r>
            <w:r w:rsidRPr="00EC20A0">
              <w:rPr>
                <w:spacing w:val="-3"/>
              </w:rPr>
              <w:t xml:space="preserve"> </w:t>
            </w:r>
            <w:r w:rsidRPr="00EC20A0">
              <w:t>of</w:t>
            </w:r>
            <w:r w:rsidRPr="00EC20A0">
              <w:rPr>
                <w:spacing w:val="-4"/>
              </w:rPr>
              <w:t xml:space="preserve"> </w:t>
            </w:r>
            <w:r w:rsidRPr="00EC20A0">
              <w:rPr>
                <w:spacing w:val="-2"/>
              </w:rPr>
              <w:t>debt;</w:t>
            </w:r>
          </w:p>
          <w:p w14:paraId="24D610C6" w14:textId="77777777" w:rsidR="00245300" w:rsidRPr="00EC20A0" w:rsidRDefault="00F17249">
            <w:pPr>
              <w:pStyle w:val="TableParagraph"/>
              <w:numPr>
                <w:ilvl w:val="1"/>
                <w:numId w:val="150"/>
              </w:numPr>
              <w:tabs>
                <w:tab w:val="left" w:pos="974"/>
              </w:tabs>
              <w:spacing w:before="118"/>
              <w:ind w:left="974"/>
            </w:pPr>
            <w:r w:rsidRPr="00EC20A0">
              <w:t>amount</w:t>
            </w:r>
            <w:r w:rsidRPr="00EC20A0">
              <w:rPr>
                <w:spacing w:val="-9"/>
              </w:rPr>
              <w:t xml:space="preserve"> </w:t>
            </w:r>
            <w:r w:rsidRPr="00EC20A0">
              <w:rPr>
                <w:spacing w:val="-2"/>
              </w:rPr>
              <w:t>owed;</w:t>
            </w:r>
          </w:p>
          <w:p w14:paraId="24D610C7" w14:textId="77777777" w:rsidR="00245300" w:rsidRPr="00EC20A0" w:rsidRDefault="00F17249">
            <w:pPr>
              <w:pStyle w:val="TableParagraph"/>
              <w:numPr>
                <w:ilvl w:val="1"/>
                <w:numId w:val="150"/>
              </w:numPr>
              <w:tabs>
                <w:tab w:val="left" w:pos="965"/>
                <w:tab w:val="left" w:pos="974"/>
              </w:tabs>
              <w:spacing w:before="118"/>
              <w:ind w:right="291" w:hanging="361"/>
            </w:pPr>
            <w:r w:rsidRPr="00EC20A0">
              <w:t>date the</w:t>
            </w:r>
            <w:r w:rsidRPr="00EC20A0">
              <w:rPr>
                <w:spacing w:val="-4"/>
              </w:rPr>
              <w:t xml:space="preserve"> </w:t>
            </w:r>
            <w:r w:rsidRPr="00EC20A0">
              <w:t>notice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amount</w:t>
            </w:r>
            <w:r w:rsidRPr="00EC20A0">
              <w:rPr>
                <w:spacing w:val="-4"/>
              </w:rPr>
              <w:t xml:space="preserve"> </w:t>
            </w:r>
            <w:r w:rsidRPr="00EC20A0">
              <w:t>due</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interest</w:t>
            </w:r>
            <w:r w:rsidRPr="00EC20A0">
              <w:rPr>
                <w:spacing w:val="-4"/>
              </w:rPr>
              <w:t xml:space="preserve"> </w:t>
            </w:r>
            <w:r w:rsidRPr="00EC20A0">
              <w:t>policies is first mailed to the debtor;</w:t>
            </w:r>
          </w:p>
          <w:p w14:paraId="24D610C8" w14:textId="77777777" w:rsidR="00245300" w:rsidRPr="00EC20A0" w:rsidRDefault="00F17249">
            <w:pPr>
              <w:pStyle w:val="TableParagraph"/>
              <w:numPr>
                <w:ilvl w:val="1"/>
                <w:numId w:val="150"/>
              </w:numPr>
              <w:tabs>
                <w:tab w:val="left" w:pos="965"/>
                <w:tab w:val="left" w:pos="974"/>
              </w:tabs>
              <w:spacing w:before="118"/>
              <w:ind w:right="927" w:hanging="361"/>
            </w:pPr>
            <w:r w:rsidRPr="00EC20A0">
              <w:t>amount of</w:t>
            </w:r>
            <w:r w:rsidRPr="00EC20A0">
              <w:rPr>
                <w:spacing w:val="-6"/>
              </w:rPr>
              <w:t xml:space="preserve"> </w:t>
            </w:r>
            <w:r w:rsidRPr="00EC20A0">
              <w:t>interest</w:t>
            </w:r>
            <w:r w:rsidRPr="00EC20A0">
              <w:rPr>
                <w:spacing w:val="-6"/>
              </w:rPr>
              <w:t xml:space="preserve"> </w:t>
            </w:r>
            <w:r w:rsidRPr="00EC20A0">
              <w:t>accrued</w:t>
            </w:r>
            <w:r w:rsidRPr="00EC20A0">
              <w:rPr>
                <w:spacing w:val="-6"/>
              </w:rPr>
              <w:t xml:space="preserve"> </w:t>
            </w:r>
            <w:r w:rsidRPr="00EC20A0">
              <w:t>and</w:t>
            </w:r>
            <w:r w:rsidRPr="00EC20A0">
              <w:rPr>
                <w:spacing w:val="-6"/>
              </w:rPr>
              <w:t xml:space="preserve"> </w:t>
            </w:r>
            <w:r w:rsidRPr="00EC20A0">
              <w:t>other</w:t>
            </w:r>
            <w:r w:rsidRPr="00EC20A0">
              <w:rPr>
                <w:spacing w:val="-6"/>
              </w:rPr>
              <w:t xml:space="preserve"> </w:t>
            </w:r>
            <w:r w:rsidRPr="00EC20A0">
              <w:t>administrative charges and penalties charged, if any; and</w:t>
            </w:r>
          </w:p>
          <w:p w14:paraId="24D610C9" w14:textId="77777777" w:rsidR="00245300" w:rsidRPr="00EC20A0" w:rsidRDefault="00F17249">
            <w:pPr>
              <w:pStyle w:val="TableParagraph"/>
              <w:numPr>
                <w:ilvl w:val="1"/>
                <w:numId w:val="150"/>
              </w:numPr>
              <w:tabs>
                <w:tab w:val="left" w:pos="974"/>
              </w:tabs>
              <w:spacing w:before="118" w:line="345" w:lineRule="auto"/>
              <w:ind w:left="567" w:right="1733" w:firstLine="37"/>
            </w:pPr>
            <w:r w:rsidRPr="00EC20A0">
              <w:t>number</w:t>
            </w:r>
            <w:r w:rsidRPr="00EC20A0">
              <w:rPr>
                <w:spacing w:val="-4"/>
              </w:rPr>
              <w:t xml:space="preserve"> </w:t>
            </w:r>
            <w:r w:rsidRPr="00EC20A0">
              <w:t>of</w:t>
            </w:r>
            <w:r w:rsidRPr="00EC20A0">
              <w:rPr>
                <w:spacing w:val="-4"/>
              </w:rPr>
              <w:t xml:space="preserve"> </w:t>
            </w:r>
            <w:r w:rsidRPr="00EC20A0">
              <w:t>days</w:t>
            </w:r>
            <w:r w:rsidRPr="00EC20A0">
              <w:rPr>
                <w:spacing w:val="-4"/>
              </w:rPr>
              <w:t xml:space="preserve"> </w:t>
            </w:r>
            <w:r w:rsidRPr="00EC20A0">
              <w:t>the</w:t>
            </w:r>
            <w:r w:rsidRPr="00EC20A0">
              <w:rPr>
                <w:spacing w:val="-4"/>
              </w:rPr>
              <w:t xml:space="preserve"> </w:t>
            </w:r>
            <w:r w:rsidRPr="00EC20A0">
              <w:t>debt</w:t>
            </w:r>
            <w:r w:rsidRPr="00EC20A0">
              <w:rPr>
                <w:spacing w:val="-5"/>
              </w:rPr>
              <w:t xml:space="preserve"> </w:t>
            </w:r>
            <w:r w:rsidRPr="00EC20A0">
              <w:t>is</w:t>
            </w:r>
            <w:r w:rsidRPr="00EC20A0">
              <w:rPr>
                <w:spacing w:val="-4"/>
              </w:rPr>
              <w:t xml:space="preserve"> </w:t>
            </w:r>
            <w:r w:rsidRPr="00EC20A0">
              <w:t>past</w:t>
            </w:r>
            <w:r w:rsidRPr="00EC20A0">
              <w:rPr>
                <w:spacing w:val="-4"/>
              </w:rPr>
              <w:t xml:space="preserve"> </w:t>
            </w:r>
            <w:r w:rsidRPr="00EC20A0">
              <w:t>due,</w:t>
            </w:r>
            <w:r w:rsidRPr="00EC20A0">
              <w:rPr>
                <w:spacing w:val="-5"/>
              </w:rPr>
              <w:t xml:space="preserve"> </w:t>
            </w:r>
            <w:r w:rsidRPr="00EC20A0">
              <w:t>if</w:t>
            </w:r>
            <w:r w:rsidRPr="00EC20A0">
              <w:rPr>
                <w:spacing w:val="-4"/>
              </w:rPr>
              <w:t xml:space="preserve"> </w:t>
            </w:r>
            <w:r w:rsidRPr="00EC20A0">
              <w:t>any. Perform step 3 if the debt is past due.</w:t>
            </w:r>
          </w:p>
          <w:p w14:paraId="24D610CA" w14:textId="77777777" w:rsidR="00245300" w:rsidRPr="00EC20A0" w:rsidRDefault="00F17249">
            <w:pPr>
              <w:pStyle w:val="TableParagraph"/>
              <w:spacing w:before="9"/>
              <w:ind w:left="567"/>
            </w:pPr>
            <w:r w:rsidRPr="00EC20A0">
              <w:t>Perform</w:t>
            </w:r>
            <w:r w:rsidRPr="00EC20A0">
              <w:rPr>
                <w:spacing w:val="-5"/>
              </w:rPr>
              <w:t xml:space="preserve"> </w:t>
            </w:r>
            <w:r w:rsidRPr="00EC20A0">
              <w:t>step</w:t>
            </w:r>
            <w:r w:rsidRPr="00EC20A0">
              <w:rPr>
                <w:spacing w:val="-4"/>
              </w:rPr>
              <w:t xml:space="preserve"> </w:t>
            </w:r>
            <w:r w:rsidRPr="00EC20A0">
              <w:t>4</w:t>
            </w:r>
            <w:r w:rsidRPr="00EC20A0">
              <w:rPr>
                <w:spacing w:val="-4"/>
              </w:rPr>
              <w:t xml:space="preserve"> </w:t>
            </w:r>
            <w:r w:rsidRPr="00EC20A0">
              <w:t>if</w:t>
            </w:r>
            <w:r w:rsidRPr="00EC20A0">
              <w:rPr>
                <w:spacing w:val="-3"/>
              </w:rPr>
              <w:t xml:space="preserve"> </w:t>
            </w:r>
            <w:r w:rsidRPr="00EC20A0">
              <w:t>the</w:t>
            </w:r>
            <w:r w:rsidRPr="00EC20A0">
              <w:rPr>
                <w:spacing w:val="-4"/>
              </w:rPr>
              <w:t xml:space="preserve"> </w:t>
            </w:r>
            <w:r w:rsidRPr="00EC20A0">
              <w:t>debt</w:t>
            </w:r>
            <w:r w:rsidRPr="00EC20A0">
              <w:rPr>
                <w:spacing w:val="-4"/>
              </w:rPr>
              <w:t xml:space="preserve"> </w:t>
            </w:r>
            <w:r w:rsidRPr="00EC20A0">
              <w:t>is</w:t>
            </w:r>
            <w:r w:rsidRPr="00EC20A0">
              <w:rPr>
                <w:spacing w:val="-3"/>
              </w:rPr>
              <w:t xml:space="preserve"> </w:t>
            </w:r>
            <w:r w:rsidRPr="00EC20A0">
              <w:t>not</w:t>
            </w:r>
            <w:r w:rsidRPr="00EC20A0">
              <w:rPr>
                <w:spacing w:val="-4"/>
              </w:rPr>
              <w:t xml:space="preserve"> </w:t>
            </w:r>
            <w:r w:rsidRPr="00EC20A0">
              <w:t>past</w:t>
            </w:r>
            <w:r w:rsidRPr="00EC20A0">
              <w:rPr>
                <w:spacing w:val="-4"/>
              </w:rPr>
              <w:t xml:space="preserve"> due.</w:t>
            </w:r>
          </w:p>
        </w:tc>
        <w:tc>
          <w:tcPr>
            <w:tcW w:w="1152" w:type="dxa"/>
            <w:tcBorders>
              <w:top w:val="single" w:sz="6" w:space="0" w:color="000000"/>
              <w:left w:val="single" w:sz="6" w:space="0" w:color="000000"/>
              <w:bottom w:val="single" w:sz="2" w:space="0" w:color="000000"/>
              <w:right w:val="single" w:sz="6" w:space="0" w:color="000000"/>
            </w:tcBorders>
          </w:tcPr>
          <w:p w14:paraId="24D610CB" w14:textId="77777777" w:rsidR="00245300" w:rsidRPr="00EC20A0" w:rsidRDefault="00245300">
            <w:pPr>
              <w:pStyle w:val="TableParagraph"/>
              <w:rPr>
                <w:sz w:val="20"/>
              </w:rPr>
            </w:pPr>
          </w:p>
        </w:tc>
        <w:tc>
          <w:tcPr>
            <w:tcW w:w="1261" w:type="dxa"/>
            <w:tcBorders>
              <w:top w:val="single" w:sz="6" w:space="0" w:color="000000"/>
              <w:left w:val="single" w:sz="6" w:space="0" w:color="000000"/>
              <w:bottom w:val="single" w:sz="2" w:space="0" w:color="000000"/>
            </w:tcBorders>
          </w:tcPr>
          <w:p w14:paraId="24D610CC" w14:textId="77777777" w:rsidR="00245300" w:rsidRPr="00EC20A0" w:rsidRDefault="00245300">
            <w:pPr>
              <w:pStyle w:val="TableParagraph"/>
              <w:rPr>
                <w:sz w:val="20"/>
              </w:rPr>
            </w:pPr>
          </w:p>
        </w:tc>
      </w:tr>
    </w:tbl>
    <w:p w14:paraId="24D610CE" w14:textId="77777777" w:rsidR="00245300" w:rsidRPr="00EC20A0" w:rsidRDefault="00F17249">
      <w:pPr>
        <w:pStyle w:val="BodyText"/>
        <w:spacing w:before="89"/>
        <w:rPr>
          <w:sz w:val="20"/>
        </w:rPr>
      </w:pPr>
      <w:r w:rsidRPr="00EC20A0">
        <w:rPr>
          <w:noProof/>
        </w:rPr>
        <mc:AlternateContent>
          <mc:Choice Requires="wps">
            <w:drawing>
              <wp:anchor distT="0" distB="0" distL="0" distR="0" simplePos="0" relativeHeight="487665152" behindDoc="1" locked="0" layoutInCell="1" allowOverlap="1" wp14:anchorId="24D62BE3" wp14:editId="24D62BE4">
                <wp:simplePos x="0" y="0"/>
                <wp:positionH relativeFrom="page">
                  <wp:posOffset>914400</wp:posOffset>
                </wp:positionH>
                <wp:positionV relativeFrom="paragraph">
                  <wp:posOffset>218186</wp:posOffset>
                </wp:positionV>
                <wp:extent cx="1828800" cy="6985"/>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380AEC" id="Graphic 541" o:spid="_x0000_s1026" style="position:absolute;margin-left:1in;margin-top:17.2pt;width:2in;height:.55pt;z-index:-156513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" path="m1828800,l,,,6858r1828800,l1828800,xe" fillcolor="black" stroked="f">
                <v:path arrowok="t"/>
                <w10:wrap type="topAndBottom" anchorx="page"/>
              </v:shape>
            </w:pict>
          </mc:Fallback>
        </mc:AlternateContent>
      </w:r>
    </w:p>
    <w:p w14:paraId="24D610CF" w14:textId="77777777" w:rsidR="00245300" w:rsidRPr="00EC20A0" w:rsidRDefault="00F17249">
      <w:pPr>
        <w:spacing w:before="217" w:line="242" w:lineRule="auto"/>
        <w:ind w:left="119" w:right="185"/>
        <w:rPr>
          <w:sz w:val="18"/>
        </w:rPr>
      </w:pPr>
      <w:bookmarkStart w:id="223" w:name="_bookmark114"/>
      <w:bookmarkEnd w:id="223"/>
      <w:r w:rsidRPr="00EC20A0">
        <w:rPr>
          <w:position w:val="7"/>
          <w:sz w:val="14"/>
        </w:rPr>
        <w:t>40</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uses</w:t>
      </w:r>
      <w:r w:rsidRPr="00EC20A0">
        <w:rPr>
          <w:spacing w:val="-2"/>
          <w:sz w:val="18"/>
        </w:rPr>
        <w:t xml:space="preserve"> </w:t>
      </w:r>
      <w:r w:rsidRPr="00EC20A0">
        <w:rPr>
          <w:sz w:val="18"/>
        </w:rPr>
        <w:t>multipurpose</w:t>
      </w:r>
      <w:r w:rsidRPr="00EC20A0">
        <w:rPr>
          <w:spacing w:val="-3"/>
          <w:sz w:val="18"/>
        </w:rPr>
        <w:t xml:space="preserve"> </w:t>
      </w:r>
      <w:r w:rsidRPr="00EC20A0">
        <w:rPr>
          <w:sz w:val="18"/>
        </w:rPr>
        <w:t>testing</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3"/>
          <w:sz w:val="18"/>
        </w:rPr>
        <w:t xml:space="preserve"> </w:t>
      </w:r>
      <w:r w:rsidRPr="00EC20A0">
        <w:rPr>
          <w:sz w:val="18"/>
        </w:rPr>
        <w:t>compliance</w:t>
      </w:r>
      <w:r w:rsidRPr="00EC20A0">
        <w:rPr>
          <w:spacing w:val="-1"/>
          <w:sz w:val="18"/>
        </w:rPr>
        <w:t xml:space="preserve"> </w:t>
      </w:r>
      <w:r w:rsidRPr="00EC20A0">
        <w:rPr>
          <w:sz w:val="18"/>
        </w:rPr>
        <w:t>test</w:t>
      </w:r>
      <w:r w:rsidRPr="00EC20A0">
        <w:rPr>
          <w:spacing w:val="-2"/>
          <w:sz w:val="18"/>
        </w:rPr>
        <w:t xml:space="preserve"> </w:t>
      </w:r>
      <w:r w:rsidRPr="00EC20A0">
        <w:rPr>
          <w:sz w:val="18"/>
        </w:rPr>
        <w:t>and/or</w:t>
      </w:r>
      <w:r w:rsidRPr="00EC20A0">
        <w:rPr>
          <w:spacing w:val="-2"/>
          <w:sz w:val="18"/>
        </w:rPr>
        <w:t xml:space="preserve"> </w:t>
      </w:r>
      <w:r w:rsidRPr="00EC20A0">
        <w:rPr>
          <w:sz w:val="18"/>
        </w:rPr>
        <w:t>compliance</w:t>
      </w:r>
      <w:r w:rsidRPr="00EC20A0">
        <w:rPr>
          <w:spacing w:val="-3"/>
          <w:sz w:val="18"/>
        </w:rPr>
        <w:t xml:space="preserve"> </w:t>
      </w:r>
      <w:r w:rsidRPr="00EC20A0">
        <w:rPr>
          <w:sz w:val="18"/>
        </w:rPr>
        <w:t>control</w:t>
      </w:r>
      <w:r w:rsidRPr="00EC20A0">
        <w:rPr>
          <w:spacing w:val="-2"/>
          <w:sz w:val="18"/>
        </w:rPr>
        <w:t xml:space="preserve"> </w:t>
      </w:r>
      <w:r w:rsidRPr="00EC20A0">
        <w:rPr>
          <w:sz w:val="18"/>
        </w:rPr>
        <w:t>test</w:t>
      </w:r>
      <w:r w:rsidRPr="00EC20A0">
        <w:rPr>
          <w:spacing w:val="-2"/>
          <w:sz w:val="18"/>
        </w:rPr>
        <w:t xml:space="preserve"> </w:t>
      </w:r>
      <w:r w:rsidRPr="00EC20A0">
        <w:rPr>
          <w:sz w:val="18"/>
        </w:rPr>
        <w:t>and/or</w:t>
      </w:r>
      <w:r w:rsidRPr="00EC20A0">
        <w:rPr>
          <w:spacing w:val="-2"/>
          <w:sz w:val="18"/>
        </w:rPr>
        <w:t xml:space="preserve"> </w:t>
      </w:r>
      <w:r w:rsidRPr="00EC20A0">
        <w:rPr>
          <w:sz w:val="18"/>
        </w:rPr>
        <w:t>a</w:t>
      </w:r>
      <w:r w:rsidRPr="00EC20A0">
        <w:rPr>
          <w:spacing w:val="-1"/>
          <w:sz w:val="18"/>
        </w:rPr>
        <w:t xml:space="preserve"> </w:t>
      </w:r>
      <w:r w:rsidRPr="00EC20A0">
        <w:rPr>
          <w:sz w:val="18"/>
        </w:rPr>
        <w:t>substantive test of accounts or loans receivable details, the sample items for the compliance test and/or compliance control test should</w:t>
      </w:r>
      <w:r w:rsidRPr="00EC20A0">
        <w:rPr>
          <w:spacing w:val="-3"/>
          <w:sz w:val="18"/>
        </w:rPr>
        <w:t xml:space="preserve"> </w:t>
      </w:r>
      <w:r w:rsidRPr="00EC20A0">
        <w:rPr>
          <w:sz w:val="18"/>
        </w:rPr>
        <w:t>be</w:t>
      </w:r>
      <w:r w:rsidRPr="00EC20A0">
        <w:rPr>
          <w:spacing w:val="-3"/>
          <w:sz w:val="18"/>
        </w:rPr>
        <w:t xml:space="preserve"> </w:t>
      </w:r>
      <w:r w:rsidRPr="00EC20A0">
        <w:rPr>
          <w:sz w:val="18"/>
        </w:rPr>
        <w:t>selected</w:t>
      </w:r>
      <w:r w:rsidRPr="00EC20A0">
        <w:rPr>
          <w:spacing w:val="-3"/>
          <w:sz w:val="18"/>
        </w:rPr>
        <w:t xml:space="preserve"> </w:t>
      </w:r>
      <w:r w:rsidRPr="00EC20A0">
        <w:rPr>
          <w:sz w:val="18"/>
        </w:rPr>
        <w:t>using</w:t>
      </w:r>
      <w:r w:rsidRPr="00EC20A0">
        <w:rPr>
          <w:spacing w:val="-3"/>
          <w:sz w:val="18"/>
        </w:rPr>
        <w:t xml:space="preserve"> </w:t>
      </w:r>
      <w:r w:rsidRPr="00EC20A0">
        <w:rPr>
          <w:sz w:val="18"/>
        </w:rPr>
        <w:t>the</w:t>
      </w:r>
      <w:r w:rsidRPr="00EC20A0">
        <w:rPr>
          <w:spacing w:val="-1"/>
          <w:sz w:val="18"/>
        </w:rPr>
        <w:t xml:space="preserve"> </w:t>
      </w:r>
      <w:r w:rsidRPr="00EC20A0">
        <w:rPr>
          <w:sz w:val="18"/>
        </w:rPr>
        <w:t>sampling</w:t>
      </w:r>
      <w:r w:rsidRPr="00EC20A0">
        <w:rPr>
          <w:spacing w:val="-2"/>
          <w:sz w:val="18"/>
        </w:rPr>
        <w:t xml:space="preserve"> </w:t>
      </w:r>
      <w:r w:rsidRPr="00EC20A0">
        <w:rPr>
          <w:sz w:val="18"/>
        </w:rPr>
        <w:t>method</w:t>
      </w:r>
      <w:r w:rsidRPr="00EC20A0">
        <w:rPr>
          <w:spacing w:val="-3"/>
          <w:sz w:val="18"/>
        </w:rPr>
        <w:t xml:space="preserve"> </w:t>
      </w:r>
      <w:r w:rsidRPr="00EC20A0">
        <w:rPr>
          <w:sz w:val="18"/>
        </w:rPr>
        <w:t>used</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1"/>
          <w:sz w:val="18"/>
        </w:rPr>
        <w:t xml:space="preserve"> </w:t>
      </w:r>
      <w:r w:rsidRPr="00EC20A0">
        <w:rPr>
          <w:sz w:val="18"/>
        </w:rPr>
        <w:t>substantive</w:t>
      </w:r>
      <w:r w:rsidRPr="00EC20A0">
        <w:rPr>
          <w:spacing w:val="-3"/>
          <w:sz w:val="18"/>
        </w:rPr>
        <w:t xml:space="preserve"> </w:t>
      </w:r>
      <w:r w:rsidRPr="00EC20A0">
        <w:rPr>
          <w:sz w:val="18"/>
        </w:rPr>
        <w:t>test</w:t>
      </w:r>
      <w:r w:rsidRPr="00EC20A0">
        <w:rPr>
          <w:spacing w:val="-2"/>
          <w:sz w:val="18"/>
        </w:rPr>
        <w:t xml:space="preserve"> </w:t>
      </w:r>
      <w:r w:rsidRPr="00EC20A0">
        <w:rPr>
          <w:sz w:val="18"/>
        </w:rPr>
        <w:t>as</w:t>
      </w:r>
      <w:r w:rsidRPr="00EC20A0">
        <w:rPr>
          <w:spacing w:val="-2"/>
          <w:sz w:val="18"/>
        </w:rPr>
        <w:t xml:space="preserve"> </w:t>
      </w:r>
      <w:r w:rsidRPr="00EC20A0">
        <w:rPr>
          <w:sz w:val="18"/>
        </w:rPr>
        <w:t>described</w:t>
      </w:r>
      <w:r w:rsidRPr="00EC20A0">
        <w:rPr>
          <w:spacing w:val="-1"/>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430,</w:t>
      </w:r>
      <w:r w:rsidRPr="00EC20A0">
        <w:rPr>
          <w:spacing w:val="-1"/>
          <w:sz w:val="18"/>
        </w:rPr>
        <w:t xml:space="preserve"> </w:t>
      </w:r>
      <w:r w:rsidRPr="00EC20A0">
        <w:rPr>
          <w:sz w:val="18"/>
        </w:rPr>
        <w:t>Design</w:t>
      </w:r>
      <w:r w:rsidRPr="00EC20A0">
        <w:rPr>
          <w:spacing w:val="-3"/>
          <w:sz w:val="18"/>
        </w:rPr>
        <w:t xml:space="preserve"> </w:t>
      </w:r>
      <w:r w:rsidRPr="00EC20A0">
        <w:rPr>
          <w:sz w:val="18"/>
        </w:rPr>
        <w:t>Tests. Otherwise, the auditor should select items using attribute sampling, as discussed in FAM 460.02.</w:t>
      </w:r>
    </w:p>
    <w:p w14:paraId="24D610D0" w14:textId="77777777" w:rsidR="00245300" w:rsidRPr="00EC20A0" w:rsidRDefault="00F17249">
      <w:pPr>
        <w:ind w:left="119" w:right="185"/>
        <w:rPr>
          <w:sz w:val="18"/>
        </w:rPr>
      </w:pPr>
      <w:r w:rsidRPr="00EC20A0">
        <w:rPr>
          <w:sz w:val="18"/>
        </w:rPr>
        <w:t>As with all sampling applications, the auditor should determine the completeness of the test population. For efficiency,</w:t>
      </w:r>
      <w:r w:rsidRPr="00EC20A0">
        <w:rPr>
          <w:spacing w:val="-3"/>
          <w:sz w:val="18"/>
        </w:rPr>
        <w:t xml:space="preserve"> </w:t>
      </w:r>
      <w:r w:rsidRPr="00EC20A0">
        <w:rPr>
          <w:sz w:val="18"/>
        </w:rPr>
        <w:t>the</w:t>
      </w:r>
      <w:r w:rsidRPr="00EC20A0">
        <w:rPr>
          <w:spacing w:val="-2"/>
          <w:sz w:val="18"/>
        </w:rPr>
        <w:t xml:space="preserve"> </w:t>
      </w:r>
      <w:r w:rsidRPr="00EC20A0">
        <w:rPr>
          <w:sz w:val="18"/>
        </w:rPr>
        <w:t>auditor</w:t>
      </w:r>
      <w:r w:rsidRPr="00EC20A0">
        <w:rPr>
          <w:spacing w:val="-3"/>
          <w:sz w:val="18"/>
        </w:rPr>
        <w:t xml:space="preserve"> </w:t>
      </w:r>
      <w:r w:rsidRPr="00EC20A0">
        <w:rPr>
          <w:sz w:val="18"/>
        </w:rPr>
        <w:t>should</w:t>
      </w:r>
      <w:r w:rsidRPr="00EC20A0">
        <w:rPr>
          <w:spacing w:val="-2"/>
          <w:sz w:val="18"/>
        </w:rPr>
        <w:t xml:space="preserve"> </w:t>
      </w:r>
      <w:r w:rsidRPr="00EC20A0">
        <w:rPr>
          <w:sz w:val="18"/>
        </w:rPr>
        <w:t>use</w:t>
      </w:r>
      <w:r w:rsidRPr="00EC20A0">
        <w:rPr>
          <w:spacing w:val="-4"/>
          <w:sz w:val="18"/>
        </w:rPr>
        <w:t xml:space="preserve"> </w:t>
      </w:r>
      <w:r w:rsidRPr="00EC20A0">
        <w:rPr>
          <w:sz w:val="18"/>
        </w:rPr>
        <w:t>records</w:t>
      </w:r>
      <w:r w:rsidRPr="00EC20A0">
        <w:rPr>
          <w:spacing w:val="-3"/>
          <w:sz w:val="18"/>
        </w:rPr>
        <w:t xml:space="preserve"> </w:t>
      </w:r>
      <w:r w:rsidRPr="00EC20A0">
        <w:rPr>
          <w:sz w:val="18"/>
        </w:rPr>
        <w:t>that</w:t>
      </w:r>
      <w:r w:rsidRPr="00EC20A0">
        <w:rPr>
          <w:spacing w:val="-2"/>
          <w:sz w:val="18"/>
        </w:rPr>
        <w:t xml:space="preserve"> </w:t>
      </w:r>
      <w:r w:rsidRPr="00EC20A0">
        <w:rPr>
          <w:sz w:val="18"/>
        </w:rPr>
        <w:t>were</w:t>
      </w:r>
      <w:r w:rsidRPr="00EC20A0">
        <w:rPr>
          <w:spacing w:val="-4"/>
          <w:sz w:val="18"/>
        </w:rPr>
        <w:t xml:space="preserve"> </w:t>
      </w:r>
      <w:r w:rsidRPr="00EC20A0">
        <w:rPr>
          <w:sz w:val="18"/>
        </w:rPr>
        <w:t>tested</w:t>
      </w:r>
      <w:r w:rsidRPr="00EC20A0">
        <w:rPr>
          <w:spacing w:val="-2"/>
          <w:sz w:val="18"/>
        </w:rPr>
        <w:t xml:space="preserve"> </w:t>
      </w:r>
      <w:r w:rsidRPr="00EC20A0">
        <w:rPr>
          <w:sz w:val="18"/>
        </w:rPr>
        <w:t>for</w:t>
      </w:r>
      <w:r w:rsidRPr="00EC20A0">
        <w:rPr>
          <w:spacing w:val="-3"/>
          <w:sz w:val="18"/>
        </w:rPr>
        <w:t xml:space="preserve"> </w:t>
      </w:r>
      <w:r w:rsidRPr="00EC20A0">
        <w:rPr>
          <w:sz w:val="18"/>
        </w:rPr>
        <w:t>validity,</w:t>
      </w:r>
      <w:r w:rsidRPr="00EC20A0">
        <w:rPr>
          <w:spacing w:val="-3"/>
          <w:sz w:val="18"/>
        </w:rPr>
        <w:t xml:space="preserve"> </w:t>
      </w:r>
      <w:r w:rsidRPr="00EC20A0">
        <w:rPr>
          <w:sz w:val="18"/>
        </w:rPr>
        <w:t>accuracy,</w:t>
      </w:r>
      <w:r w:rsidRPr="00EC20A0">
        <w:rPr>
          <w:spacing w:val="-3"/>
          <w:sz w:val="18"/>
        </w:rPr>
        <w:t xml:space="preserve"> </w:t>
      </w:r>
      <w:r w:rsidRPr="00EC20A0">
        <w:rPr>
          <w:sz w:val="18"/>
        </w:rPr>
        <w:t>and</w:t>
      </w:r>
      <w:r w:rsidRPr="00EC20A0">
        <w:rPr>
          <w:spacing w:val="-4"/>
          <w:sz w:val="18"/>
        </w:rPr>
        <w:t xml:space="preserve"> </w:t>
      </w:r>
      <w:r w:rsidRPr="00EC20A0">
        <w:rPr>
          <w:sz w:val="18"/>
        </w:rPr>
        <w:t>completeness</w:t>
      </w:r>
      <w:r w:rsidRPr="00EC20A0">
        <w:rPr>
          <w:spacing w:val="-3"/>
          <w:sz w:val="18"/>
        </w:rPr>
        <w:t xml:space="preserve"> </w:t>
      </w:r>
      <w:r w:rsidRPr="00EC20A0">
        <w:rPr>
          <w:sz w:val="18"/>
        </w:rPr>
        <w:t>(as</w:t>
      </w:r>
      <w:r w:rsidRPr="00EC20A0">
        <w:rPr>
          <w:spacing w:val="-2"/>
          <w:sz w:val="18"/>
        </w:rPr>
        <w:t xml:space="preserve"> </w:t>
      </w:r>
      <w:r w:rsidRPr="00EC20A0">
        <w:rPr>
          <w:sz w:val="18"/>
        </w:rPr>
        <w:t>well</w:t>
      </w:r>
      <w:r w:rsidRPr="00EC20A0">
        <w:rPr>
          <w:spacing w:val="-3"/>
          <w:sz w:val="18"/>
        </w:rPr>
        <w:t xml:space="preserve"> </w:t>
      </w:r>
      <w:r w:rsidRPr="00EC20A0">
        <w:rPr>
          <w:sz w:val="18"/>
        </w:rPr>
        <w:t>as</w:t>
      </w:r>
      <w:r w:rsidRPr="00EC20A0">
        <w:rPr>
          <w:spacing w:val="-3"/>
          <w:sz w:val="18"/>
        </w:rPr>
        <w:t xml:space="preserve"> </w:t>
      </w:r>
      <w:r w:rsidRPr="00EC20A0">
        <w:rPr>
          <w:sz w:val="18"/>
        </w:rPr>
        <w:t>the other assertions) in conjunction with substantive tests of the population.</w:t>
      </w:r>
    </w:p>
    <w:p w14:paraId="24D610D1" w14:textId="77777777" w:rsidR="00245300" w:rsidRPr="00EC20A0" w:rsidRDefault="00245300">
      <w:pPr>
        <w:rPr>
          <w:sz w:val="18"/>
        </w:rPr>
        <w:sectPr w:rsidR="00245300" w:rsidRPr="00EC20A0">
          <w:headerReference w:type="default" r:id="rId109"/>
          <w:footerReference w:type="default" r:id="rId110"/>
          <w:pgSz w:w="12240" w:h="15840"/>
          <w:pgMar w:top="1560" w:right="1320" w:bottom="940" w:left="1320" w:header="865" w:footer="742" w:gutter="0"/>
          <w:cols w:space="720"/>
        </w:sectPr>
      </w:pPr>
    </w:p>
    <w:p w14:paraId="24D610D2" w14:textId="77777777" w:rsidR="00245300" w:rsidRPr="00EC20A0" w:rsidRDefault="00245300">
      <w:pPr>
        <w:pStyle w:val="BodyText"/>
        <w:spacing w:before="4" w:after="1"/>
        <w:rPr>
          <w:sz w:val="8"/>
        </w:r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245300" w:rsidRPr="00EC20A0" w14:paraId="24D610D4" w14:textId="77777777">
        <w:trPr>
          <w:trHeight w:val="1335"/>
        </w:trPr>
        <w:tc>
          <w:tcPr>
            <w:tcW w:w="9361" w:type="dxa"/>
            <w:gridSpan w:val="3"/>
          </w:tcPr>
          <w:p w14:paraId="24D610D3" w14:textId="77777777" w:rsidR="00245300" w:rsidRPr="00EC20A0" w:rsidRDefault="00F17249">
            <w:pPr>
              <w:pStyle w:val="TableParagraph"/>
              <w:tabs>
                <w:tab w:val="left" w:pos="8944"/>
              </w:tabs>
              <w:spacing w:before="7" w:line="390" w:lineRule="atLeast"/>
              <w:ind w:left="129" w:right="368"/>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80"/>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0DA" w14:textId="77777777">
        <w:trPr>
          <w:trHeight w:val="625"/>
        </w:trPr>
        <w:tc>
          <w:tcPr>
            <w:tcW w:w="6948" w:type="dxa"/>
            <w:tcBorders>
              <w:right w:val="single" w:sz="6" w:space="0" w:color="000000"/>
            </w:tcBorders>
          </w:tcPr>
          <w:p w14:paraId="24D610D5" w14:textId="77777777" w:rsidR="00245300" w:rsidRPr="00EC20A0" w:rsidRDefault="00245300">
            <w:pPr>
              <w:pStyle w:val="TableParagraph"/>
              <w:spacing w:before="60"/>
            </w:pPr>
          </w:p>
          <w:p w14:paraId="24D610D6"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0D7" w14:textId="77777777" w:rsidR="00245300" w:rsidRPr="00EC20A0" w:rsidRDefault="00F17249">
            <w:pPr>
              <w:pStyle w:val="TableParagraph"/>
              <w:spacing w:before="60"/>
              <w:ind w:left="145"/>
              <w:rPr>
                <w:b/>
              </w:rPr>
            </w:pPr>
            <w:r w:rsidRPr="00EC20A0">
              <w:rPr>
                <w:b/>
                <w:spacing w:val="-2"/>
              </w:rPr>
              <w:t xml:space="preserve">Initials/ </w:t>
            </w:r>
            <w:r w:rsidRPr="00EC20A0">
              <w:rPr>
                <w:b/>
                <w:spacing w:val="-4"/>
              </w:rPr>
              <w:t>date</w:t>
            </w:r>
          </w:p>
        </w:tc>
        <w:tc>
          <w:tcPr>
            <w:tcW w:w="1261" w:type="dxa"/>
            <w:tcBorders>
              <w:left w:val="single" w:sz="6" w:space="0" w:color="000000"/>
            </w:tcBorders>
          </w:tcPr>
          <w:p w14:paraId="24D610D8" w14:textId="77777777" w:rsidR="00245300" w:rsidRPr="00EC20A0" w:rsidRDefault="00245300">
            <w:pPr>
              <w:pStyle w:val="TableParagraph"/>
              <w:spacing w:before="60"/>
            </w:pPr>
          </w:p>
          <w:p w14:paraId="24D610D9" w14:textId="77777777" w:rsidR="00245300" w:rsidRPr="00EC20A0" w:rsidRDefault="00F17249">
            <w:pPr>
              <w:pStyle w:val="TableParagraph"/>
              <w:ind w:left="145"/>
              <w:rPr>
                <w:b/>
              </w:rPr>
            </w:pPr>
            <w:r w:rsidRPr="00EC20A0">
              <w:rPr>
                <w:b/>
              </w:rPr>
              <w:t>Doc.</w:t>
            </w:r>
            <w:r w:rsidRPr="00EC20A0">
              <w:rPr>
                <w:b/>
                <w:spacing w:val="-6"/>
              </w:rPr>
              <w:t xml:space="preserve"> </w:t>
            </w:r>
            <w:r w:rsidRPr="00EC20A0">
              <w:rPr>
                <w:b/>
                <w:spacing w:val="-4"/>
              </w:rPr>
              <w:t>ref.</w:t>
            </w:r>
          </w:p>
        </w:tc>
      </w:tr>
      <w:tr w:rsidR="00245300" w:rsidRPr="00EC20A0" w14:paraId="24D610DF" w14:textId="77777777">
        <w:trPr>
          <w:trHeight w:val="2637"/>
        </w:trPr>
        <w:tc>
          <w:tcPr>
            <w:tcW w:w="6948" w:type="dxa"/>
            <w:tcBorders>
              <w:bottom w:val="single" w:sz="4" w:space="0" w:color="000000"/>
              <w:right w:val="single" w:sz="2" w:space="0" w:color="000000"/>
            </w:tcBorders>
          </w:tcPr>
          <w:p w14:paraId="24D610DB" w14:textId="77777777" w:rsidR="00245300" w:rsidRPr="00EC20A0" w:rsidRDefault="00F17249">
            <w:pPr>
              <w:pStyle w:val="TableParagraph"/>
              <w:numPr>
                <w:ilvl w:val="0"/>
                <w:numId w:val="149"/>
              </w:numPr>
              <w:tabs>
                <w:tab w:val="left" w:pos="567"/>
              </w:tabs>
              <w:spacing w:before="121"/>
              <w:ind w:left="567" w:hanging="438"/>
            </w:pPr>
            <w:r w:rsidRPr="00EC20A0">
              <w:t>If</w:t>
            </w:r>
            <w:r w:rsidRPr="00EC20A0">
              <w:rPr>
                <w:spacing w:val="-5"/>
              </w:rPr>
              <w:t xml:space="preserve"> </w:t>
            </w:r>
            <w:r w:rsidRPr="00EC20A0">
              <w:t>the</w:t>
            </w:r>
            <w:r w:rsidRPr="00EC20A0">
              <w:rPr>
                <w:spacing w:val="-4"/>
              </w:rPr>
              <w:t xml:space="preserve"> </w:t>
            </w:r>
            <w:r w:rsidRPr="00EC20A0">
              <w:t>amount</w:t>
            </w:r>
            <w:r w:rsidRPr="00EC20A0">
              <w:rPr>
                <w:spacing w:val="-5"/>
              </w:rPr>
              <w:t xml:space="preserve"> </w:t>
            </w:r>
            <w:r w:rsidRPr="00EC20A0">
              <w:t>selected</w:t>
            </w:r>
            <w:r w:rsidRPr="00EC20A0">
              <w:rPr>
                <w:spacing w:val="-5"/>
              </w:rPr>
              <w:t xml:space="preserve"> </w:t>
            </w:r>
            <w:r w:rsidRPr="00EC20A0">
              <w:t>is</w:t>
            </w:r>
            <w:r w:rsidRPr="00EC20A0">
              <w:rPr>
                <w:spacing w:val="-6"/>
              </w:rPr>
              <w:t xml:space="preserve"> </w:t>
            </w:r>
            <w:r w:rsidRPr="00EC20A0">
              <w:t>past</w:t>
            </w:r>
            <w:r w:rsidRPr="00EC20A0">
              <w:rPr>
                <w:spacing w:val="-4"/>
              </w:rPr>
              <w:t xml:space="preserve"> due:</w:t>
            </w:r>
          </w:p>
          <w:p w14:paraId="24D610DC" w14:textId="77777777" w:rsidR="00245300" w:rsidRPr="00EC20A0" w:rsidRDefault="00F17249">
            <w:pPr>
              <w:pStyle w:val="TableParagraph"/>
              <w:numPr>
                <w:ilvl w:val="1"/>
                <w:numId w:val="149"/>
              </w:numPr>
              <w:tabs>
                <w:tab w:val="left" w:pos="1092"/>
                <w:tab w:val="left" w:pos="1123"/>
              </w:tabs>
              <w:spacing w:before="119"/>
              <w:ind w:right="232" w:hanging="562"/>
            </w:pPr>
            <w:r w:rsidRPr="00EC20A0">
              <w:t>Calculate the number of days that interest should be accrued on the debt as of the date selected for testing. Interest</w:t>
            </w:r>
            <w:r w:rsidRPr="00EC20A0">
              <w:rPr>
                <w:spacing w:val="-4"/>
              </w:rPr>
              <w:t xml:space="preserve"> </w:t>
            </w:r>
            <w:r w:rsidRPr="00EC20A0">
              <w:t>generally</w:t>
            </w:r>
            <w:r w:rsidRPr="00EC20A0">
              <w:rPr>
                <w:spacing w:val="-4"/>
              </w:rPr>
              <w:t xml:space="preserve"> </w:t>
            </w:r>
            <w:r w:rsidRPr="00EC20A0">
              <w:t>accrues</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date</w:t>
            </w:r>
            <w:r w:rsidRPr="00EC20A0">
              <w:rPr>
                <w:spacing w:val="-4"/>
              </w:rPr>
              <w:t xml:space="preserve"> </w:t>
            </w:r>
            <w:r w:rsidRPr="00EC20A0">
              <w:t>that</w:t>
            </w:r>
            <w:r w:rsidRPr="00EC20A0">
              <w:rPr>
                <w:spacing w:val="-4"/>
              </w:rPr>
              <w:t xml:space="preserve"> </w:t>
            </w:r>
            <w:r w:rsidRPr="00EC20A0">
              <w:t>the</w:t>
            </w:r>
            <w:r w:rsidRPr="00EC20A0">
              <w:rPr>
                <w:spacing w:val="-5"/>
              </w:rPr>
              <w:t xml:space="preserve"> </w:t>
            </w:r>
            <w:r w:rsidRPr="00EC20A0">
              <w:t>notice</w:t>
            </w:r>
            <w:r w:rsidRPr="00EC20A0">
              <w:rPr>
                <w:spacing w:val="-4"/>
              </w:rPr>
              <w:t xml:space="preserve"> </w:t>
            </w:r>
            <w:r w:rsidRPr="00EC20A0">
              <w:t>of the</w:t>
            </w:r>
            <w:r w:rsidRPr="00EC20A0">
              <w:rPr>
                <w:spacing w:val="-4"/>
              </w:rPr>
              <w:t xml:space="preserve"> </w:t>
            </w:r>
            <w:r w:rsidRPr="00EC20A0">
              <w:t>amount</w:t>
            </w:r>
            <w:r w:rsidRPr="00EC20A0">
              <w:rPr>
                <w:spacing w:val="-4"/>
              </w:rPr>
              <w:t xml:space="preserve"> </w:t>
            </w:r>
            <w:r w:rsidRPr="00EC20A0">
              <w:t>due</w:t>
            </w:r>
            <w:r w:rsidRPr="00EC20A0">
              <w:rPr>
                <w:spacing w:val="-4"/>
              </w:rPr>
              <w:t xml:space="preserve"> </w:t>
            </w:r>
            <w:r w:rsidRPr="00EC20A0">
              <w:t>is</w:t>
            </w:r>
            <w:r w:rsidRPr="00EC20A0">
              <w:rPr>
                <w:spacing w:val="-4"/>
              </w:rPr>
              <w:t xml:space="preserve"> </w:t>
            </w:r>
            <w:r w:rsidRPr="00EC20A0">
              <w:t>first</w:t>
            </w:r>
            <w:r w:rsidRPr="00EC20A0">
              <w:rPr>
                <w:spacing w:val="-5"/>
              </w:rPr>
              <w:t xml:space="preserve"> </w:t>
            </w:r>
            <w:r w:rsidRPr="00EC20A0">
              <w:t>mailed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debtor.</w:t>
            </w:r>
            <w:r w:rsidRPr="00EC20A0">
              <w:rPr>
                <w:spacing w:val="-4"/>
              </w:rPr>
              <w:t xml:space="preserve"> </w:t>
            </w:r>
            <w:r w:rsidRPr="00EC20A0">
              <w:t>Compare</w:t>
            </w:r>
            <w:r w:rsidRPr="00EC20A0">
              <w:rPr>
                <w:spacing w:val="-4"/>
              </w:rPr>
              <w:t xml:space="preserve"> </w:t>
            </w:r>
            <w:r w:rsidRPr="00EC20A0">
              <w:t xml:space="preserve">the </w:t>
            </w:r>
            <w:r w:rsidRPr="00EC20A0">
              <w:t>auditor’s calculation with the entity’s calculation and obtain explanation and examine support for any differences. See FAM 805.01, Interest on Outstanding Debt Owed to the Entity.</w:t>
            </w:r>
          </w:p>
        </w:tc>
        <w:tc>
          <w:tcPr>
            <w:tcW w:w="1152" w:type="dxa"/>
            <w:tcBorders>
              <w:left w:val="single" w:sz="2" w:space="0" w:color="000000"/>
              <w:bottom w:val="single" w:sz="2" w:space="0" w:color="000000"/>
              <w:right w:val="single" w:sz="2" w:space="0" w:color="000000"/>
            </w:tcBorders>
          </w:tcPr>
          <w:p w14:paraId="24D610DD" w14:textId="77777777" w:rsidR="00245300" w:rsidRPr="00EC20A0" w:rsidRDefault="00245300">
            <w:pPr>
              <w:pStyle w:val="TableParagraph"/>
              <w:rPr>
                <w:sz w:val="20"/>
              </w:rPr>
            </w:pPr>
          </w:p>
        </w:tc>
        <w:tc>
          <w:tcPr>
            <w:tcW w:w="1261" w:type="dxa"/>
            <w:tcBorders>
              <w:left w:val="single" w:sz="2" w:space="0" w:color="000000"/>
              <w:bottom w:val="single" w:sz="4" w:space="0" w:color="000000"/>
            </w:tcBorders>
          </w:tcPr>
          <w:p w14:paraId="24D610DE" w14:textId="77777777" w:rsidR="00245300" w:rsidRPr="00EC20A0" w:rsidRDefault="00245300">
            <w:pPr>
              <w:pStyle w:val="TableParagraph"/>
              <w:rPr>
                <w:sz w:val="20"/>
              </w:rPr>
            </w:pPr>
          </w:p>
        </w:tc>
      </w:tr>
      <w:tr w:rsidR="00245300" w:rsidRPr="00EC20A0" w14:paraId="24D610E3" w14:textId="77777777">
        <w:trPr>
          <w:trHeight w:val="2769"/>
        </w:trPr>
        <w:tc>
          <w:tcPr>
            <w:tcW w:w="6948" w:type="dxa"/>
            <w:tcBorders>
              <w:top w:val="single" w:sz="4" w:space="0" w:color="000000"/>
              <w:bottom w:val="single" w:sz="2" w:space="0" w:color="000000"/>
              <w:right w:val="single" w:sz="2" w:space="0" w:color="000000"/>
            </w:tcBorders>
          </w:tcPr>
          <w:p w14:paraId="24D610E0" w14:textId="77777777" w:rsidR="00245300" w:rsidRPr="00EC20A0" w:rsidRDefault="00F17249">
            <w:pPr>
              <w:pStyle w:val="TableParagraph"/>
              <w:tabs>
                <w:tab w:val="left" w:pos="1092"/>
              </w:tabs>
              <w:spacing w:before="120"/>
              <w:ind w:left="1126" w:right="275" w:hanging="558"/>
            </w:pPr>
            <w:r w:rsidRPr="00EC20A0">
              <w:rPr>
                <w:spacing w:val="-4"/>
              </w:rPr>
              <w:t>(b)</w:t>
            </w:r>
            <w:r w:rsidRPr="00EC20A0">
              <w:tab/>
              <w:t>Determine</w:t>
            </w:r>
            <w:r w:rsidRPr="00EC20A0">
              <w:rPr>
                <w:spacing w:val="-4"/>
              </w:rPr>
              <w:t xml:space="preserve"> </w:t>
            </w:r>
            <w:r w:rsidRPr="00EC20A0">
              <w:t>the</w:t>
            </w:r>
            <w:r w:rsidRPr="00EC20A0">
              <w:rPr>
                <w:spacing w:val="-4"/>
              </w:rPr>
              <w:t xml:space="preserve"> </w:t>
            </w:r>
            <w:r w:rsidRPr="00EC20A0">
              <w:t>interest</w:t>
            </w:r>
            <w:r w:rsidRPr="00EC20A0">
              <w:rPr>
                <w:spacing w:val="-4"/>
              </w:rPr>
              <w:t xml:space="preserve"> </w:t>
            </w:r>
            <w:r w:rsidRPr="00EC20A0">
              <w:t>rate</w:t>
            </w:r>
            <w:r w:rsidRPr="00EC20A0">
              <w:rPr>
                <w:spacing w:val="-4"/>
              </w:rPr>
              <w:t xml:space="preserve"> </w:t>
            </w:r>
            <w:r w:rsidRPr="00EC20A0">
              <w:t>that</w:t>
            </w:r>
            <w:r w:rsidRPr="00EC20A0">
              <w:rPr>
                <w:spacing w:val="-4"/>
              </w:rPr>
              <w:t xml:space="preserve"> </w:t>
            </w:r>
            <w:r w:rsidRPr="00EC20A0">
              <w:t>should</w:t>
            </w:r>
            <w:r w:rsidRPr="00EC20A0">
              <w:rPr>
                <w:spacing w:val="-4"/>
              </w:rPr>
              <w:t xml:space="preserve"> </w:t>
            </w:r>
            <w:r w:rsidRPr="00EC20A0">
              <w:t>be</w:t>
            </w:r>
            <w:r w:rsidRPr="00EC20A0">
              <w:rPr>
                <w:spacing w:val="-4"/>
              </w:rPr>
              <w:t xml:space="preserve"> </w:t>
            </w:r>
            <w:r w:rsidRPr="00EC20A0">
              <w:t>used</w:t>
            </w:r>
            <w:r w:rsidRPr="00EC20A0">
              <w:rPr>
                <w:spacing w:val="-5"/>
              </w:rPr>
              <w:t xml:space="preserve"> </w:t>
            </w:r>
            <w:r w:rsidRPr="00EC20A0">
              <w:t>to</w:t>
            </w:r>
            <w:r w:rsidRPr="00EC20A0">
              <w:rPr>
                <w:spacing w:val="-4"/>
              </w:rPr>
              <w:t xml:space="preserve"> </w:t>
            </w:r>
            <w:r w:rsidRPr="00EC20A0">
              <w:t xml:space="preserve">accrue </w:t>
            </w:r>
            <w:r w:rsidRPr="00EC20A0">
              <w:t>interest on the debt. Unless otherwise established in a contract, in a repayment agreement, or by statute, the rate is the one published in the Federal Register and should be the rate that was in effect on the date that the notice of the amount due was first mailed to the debtor. Compare the auditor’s determination of the rate to the rate used by the entity, and obtain explanation and examine support for any differences. See FAM 805.01, Interest on Outstanding Debt Owed to the Entity.</w:t>
            </w:r>
          </w:p>
        </w:tc>
        <w:tc>
          <w:tcPr>
            <w:tcW w:w="1152" w:type="dxa"/>
            <w:tcBorders>
              <w:top w:val="single" w:sz="2" w:space="0" w:color="000000"/>
              <w:left w:val="single" w:sz="2" w:space="0" w:color="000000"/>
              <w:bottom w:val="single" w:sz="2" w:space="0" w:color="000000"/>
              <w:right w:val="single" w:sz="2" w:space="0" w:color="000000"/>
            </w:tcBorders>
          </w:tcPr>
          <w:p w14:paraId="24D610E1" w14:textId="77777777" w:rsidR="00245300" w:rsidRPr="00EC20A0" w:rsidRDefault="00245300">
            <w:pPr>
              <w:pStyle w:val="TableParagraph"/>
              <w:rPr>
                <w:sz w:val="20"/>
              </w:rPr>
            </w:pPr>
          </w:p>
        </w:tc>
        <w:tc>
          <w:tcPr>
            <w:tcW w:w="1261" w:type="dxa"/>
            <w:tcBorders>
              <w:top w:val="single" w:sz="4" w:space="0" w:color="000000"/>
              <w:left w:val="single" w:sz="2" w:space="0" w:color="000000"/>
              <w:bottom w:val="single" w:sz="2" w:space="0" w:color="000000"/>
            </w:tcBorders>
          </w:tcPr>
          <w:p w14:paraId="24D610E2" w14:textId="77777777" w:rsidR="00245300" w:rsidRPr="00EC20A0" w:rsidRDefault="00245300">
            <w:pPr>
              <w:pStyle w:val="TableParagraph"/>
              <w:rPr>
                <w:sz w:val="20"/>
              </w:rPr>
            </w:pPr>
          </w:p>
        </w:tc>
      </w:tr>
      <w:tr w:rsidR="00245300" w:rsidRPr="00EC20A0" w14:paraId="24D610E7" w14:textId="77777777">
        <w:trPr>
          <w:trHeight w:val="2010"/>
        </w:trPr>
        <w:tc>
          <w:tcPr>
            <w:tcW w:w="6948" w:type="dxa"/>
            <w:tcBorders>
              <w:top w:val="single" w:sz="2" w:space="0" w:color="000000"/>
              <w:bottom w:val="single" w:sz="2" w:space="0" w:color="000000"/>
              <w:right w:val="single" w:sz="2" w:space="0" w:color="000000"/>
            </w:tcBorders>
          </w:tcPr>
          <w:p w14:paraId="24D610E4" w14:textId="77777777" w:rsidR="00245300" w:rsidRPr="00EC20A0" w:rsidRDefault="00F17249">
            <w:pPr>
              <w:pStyle w:val="TableParagraph"/>
              <w:tabs>
                <w:tab w:val="left" w:pos="1092"/>
              </w:tabs>
              <w:spacing w:before="120"/>
              <w:ind w:left="1123" w:right="154" w:hanging="556"/>
            </w:pPr>
            <w:r w:rsidRPr="00EC20A0">
              <w:rPr>
                <w:spacing w:val="-4"/>
              </w:rPr>
              <w:t>(c)</w:t>
            </w:r>
            <w:r w:rsidRPr="00EC20A0">
              <w:tab/>
            </w:r>
            <w:r w:rsidRPr="00EC20A0">
              <w:t>Calculate</w:t>
            </w:r>
            <w:r w:rsidRPr="00EC20A0">
              <w:rPr>
                <w:spacing w:val="-4"/>
              </w:rPr>
              <w:t xml:space="preserve"> </w:t>
            </w:r>
            <w:r w:rsidRPr="00EC20A0">
              <w:t>the</w:t>
            </w:r>
            <w:r w:rsidRPr="00EC20A0">
              <w:rPr>
                <w:spacing w:val="-4"/>
              </w:rPr>
              <w:t xml:space="preserve"> </w:t>
            </w:r>
            <w:r w:rsidRPr="00EC20A0">
              <w:t>amount</w:t>
            </w:r>
            <w:r w:rsidRPr="00EC20A0">
              <w:rPr>
                <w:spacing w:val="-4"/>
              </w:rPr>
              <w:t xml:space="preserve"> </w:t>
            </w:r>
            <w:r w:rsidRPr="00EC20A0">
              <w:t>of</w:t>
            </w:r>
            <w:r w:rsidRPr="00EC20A0">
              <w:rPr>
                <w:spacing w:val="-4"/>
              </w:rPr>
              <w:t xml:space="preserve"> </w:t>
            </w:r>
            <w:r w:rsidRPr="00EC20A0">
              <w:t>interest</w:t>
            </w:r>
            <w:r w:rsidRPr="00EC20A0">
              <w:rPr>
                <w:spacing w:val="-4"/>
              </w:rPr>
              <w:t xml:space="preserve"> </w:t>
            </w:r>
            <w:r w:rsidRPr="00EC20A0">
              <w:t>that</w:t>
            </w:r>
            <w:r w:rsidRPr="00EC20A0">
              <w:rPr>
                <w:spacing w:val="-5"/>
              </w:rPr>
              <w:t xml:space="preserve"> </w:t>
            </w:r>
            <w:r w:rsidRPr="00EC20A0">
              <w:t>should</w:t>
            </w:r>
            <w:r w:rsidRPr="00EC20A0">
              <w:rPr>
                <w:spacing w:val="-4"/>
              </w:rPr>
              <w:t xml:space="preserve"> </w:t>
            </w:r>
            <w:r w:rsidRPr="00EC20A0">
              <w:t>be</w:t>
            </w:r>
            <w:r w:rsidRPr="00EC20A0">
              <w:rPr>
                <w:spacing w:val="-4"/>
              </w:rPr>
              <w:t xml:space="preserve"> </w:t>
            </w:r>
            <w:r w:rsidRPr="00EC20A0">
              <w:t>owed</w:t>
            </w:r>
            <w:r w:rsidRPr="00EC20A0">
              <w:rPr>
                <w:spacing w:val="-4"/>
              </w:rPr>
              <w:t xml:space="preserve"> </w:t>
            </w:r>
            <w:r w:rsidRPr="00EC20A0">
              <w:t>as</w:t>
            </w:r>
            <w:r w:rsidRPr="00EC20A0">
              <w:rPr>
                <w:spacing w:val="-4"/>
              </w:rPr>
              <w:t xml:space="preserve"> </w:t>
            </w:r>
            <w:r w:rsidRPr="00EC20A0">
              <w:t>of the date selected for testing using the number of days tested in (a) and the interest rate tested in (b). Compare the auditor’s calculation to the amount calculated by the entity, and obtain an explanation and</w:t>
            </w:r>
            <w:r w:rsidRPr="00EC20A0">
              <w:rPr>
                <w:spacing w:val="-1"/>
              </w:rPr>
              <w:t xml:space="preserve"> </w:t>
            </w:r>
            <w:r w:rsidRPr="00EC20A0">
              <w:t>examine support for any differences. See FAM 805.01, Interest on</w:t>
            </w:r>
            <w:r w:rsidRPr="00EC20A0">
              <w:rPr>
                <w:spacing w:val="40"/>
              </w:rPr>
              <w:t xml:space="preserve"> </w:t>
            </w:r>
            <w:r w:rsidRPr="00EC20A0">
              <w:t>Outstanding Debt Owed to the Entity.</w:t>
            </w:r>
          </w:p>
        </w:tc>
        <w:tc>
          <w:tcPr>
            <w:tcW w:w="1152" w:type="dxa"/>
            <w:tcBorders>
              <w:top w:val="single" w:sz="2" w:space="0" w:color="000000"/>
              <w:left w:val="single" w:sz="2" w:space="0" w:color="000000"/>
              <w:bottom w:val="single" w:sz="2" w:space="0" w:color="000000"/>
              <w:right w:val="single" w:sz="2" w:space="0" w:color="000000"/>
            </w:tcBorders>
          </w:tcPr>
          <w:p w14:paraId="24D610E5" w14:textId="77777777" w:rsidR="00245300" w:rsidRPr="00EC20A0" w:rsidRDefault="00245300">
            <w:pPr>
              <w:pStyle w:val="TableParagraph"/>
              <w:rPr>
                <w:sz w:val="20"/>
              </w:rPr>
            </w:pPr>
          </w:p>
        </w:tc>
        <w:tc>
          <w:tcPr>
            <w:tcW w:w="1261" w:type="dxa"/>
            <w:tcBorders>
              <w:top w:val="single" w:sz="2" w:space="0" w:color="000000"/>
              <w:left w:val="single" w:sz="2" w:space="0" w:color="000000"/>
              <w:bottom w:val="single" w:sz="2" w:space="0" w:color="000000"/>
            </w:tcBorders>
          </w:tcPr>
          <w:p w14:paraId="24D610E6" w14:textId="77777777" w:rsidR="00245300" w:rsidRPr="00EC20A0" w:rsidRDefault="00245300">
            <w:pPr>
              <w:pStyle w:val="TableParagraph"/>
              <w:rPr>
                <w:sz w:val="20"/>
              </w:rPr>
            </w:pPr>
          </w:p>
        </w:tc>
      </w:tr>
      <w:tr w:rsidR="00245300" w:rsidRPr="00EC20A0" w14:paraId="24D610EB" w14:textId="77777777">
        <w:trPr>
          <w:trHeight w:val="1505"/>
        </w:trPr>
        <w:tc>
          <w:tcPr>
            <w:tcW w:w="6948" w:type="dxa"/>
            <w:tcBorders>
              <w:top w:val="single" w:sz="2" w:space="0" w:color="000000"/>
              <w:bottom w:val="single" w:sz="2" w:space="0" w:color="000000"/>
              <w:right w:val="single" w:sz="2" w:space="0" w:color="000000"/>
            </w:tcBorders>
          </w:tcPr>
          <w:p w14:paraId="24D610E8" w14:textId="77777777" w:rsidR="00245300" w:rsidRPr="00EC20A0" w:rsidRDefault="00F17249">
            <w:pPr>
              <w:pStyle w:val="TableParagraph"/>
              <w:tabs>
                <w:tab w:val="left" w:pos="1092"/>
              </w:tabs>
              <w:spacing w:before="120"/>
              <w:ind w:left="1126" w:right="191" w:hanging="558"/>
            </w:pPr>
            <w:r w:rsidRPr="00EC20A0">
              <w:rPr>
                <w:spacing w:val="-4"/>
              </w:rPr>
              <w:t>(d)</w:t>
            </w:r>
            <w:r w:rsidRPr="00EC20A0">
              <w:tab/>
              <w:t>Obtain</w:t>
            </w:r>
            <w:r w:rsidRPr="00EC20A0">
              <w:rPr>
                <w:spacing w:val="-6"/>
              </w:rPr>
              <w:t xml:space="preserve"> </w:t>
            </w:r>
            <w:r w:rsidRPr="00EC20A0">
              <w:t>the</w:t>
            </w:r>
            <w:r w:rsidRPr="00EC20A0">
              <w:rPr>
                <w:spacing w:val="-6"/>
              </w:rPr>
              <w:t xml:space="preserve"> </w:t>
            </w:r>
            <w:r w:rsidRPr="00EC20A0">
              <w:t>entity’s</w:t>
            </w:r>
            <w:r w:rsidRPr="00EC20A0">
              <w:rPr>
                <w:spacing w:val="-7"/>
              </w:rPr>
              <w:t xml:space="preserve"> </w:t>
            </w:r>
            <w:r w:rsidRPr="00EC20A0">
              <w:t>schedule</w:t>
            </w:r>
            <w:r w:rsidRPr="00EC20A0">
              <w:rPr>
                <w:spacing w:val="-6"/>
              </w:rPr>
              <w:t xml:space="preserve"> </w:t>
            </w:r>
            <w:r w:rsidRPr="00EC20A0">
              <w:t>of</w:t>
            </w:r>
            <w:r w:rsidRPr="00EC20A0">
              <w:rPr>
                <w:spacing w:val="-6"/>
              </w:rPr>
              <w:t xml:space="preserve"> </w:t>
            </w:r>
            <w:r w:rsidRPr="00EC20A0">
              <w:t>administrative</w:t>
            </w:r>
            <w:r w:rsidRPr="00EC20A0">
              <w:rPr>
                <w:spacing w:val="-7"/>
              </w:rPr>
              <w:t xml:space="preserve"> </w:t>
            </w:r>
            <w:r w:rsidRPr="00EC20A0">
              <w:t>charges</w:t>
            </w:r>
            <w:r w:rsidRPr="00EC20A0">
              <w:rPr>
                <w:spacing w:val="-6"/>
              </w:rPr>
              <w:t xml:space="preserve"> </w:t>
            </w:r>
            <w:r w:rsidRPr="00EC20A0">
              <w:t xml:space="preserve">and late payment penalties and determine if the appropriate amounts were </w:t>
            </w:r>
            <w:r w:rsidRPr="00EC20A0">
              <w:t>charged to the debtor. See FAM 805.02, Additional Debt-Related Charges: Administrative Costs and Penalties.</w:t>
            </w:r>
          </w:p>
        </w:tc>
        <w:tc>
          <w:tcPr>
            <w:tcW w:w="1152" w:type="dxa"/>
            <w:tcBorders>
              <w:top w:val="single" w:sz="2" w:space="0" w:color="000000"/>
              <w:left w:val="single" w:sz="2" w:space="0" w:color="000000"/>
              <w:bottom w:val="single" w:sz="2" w:space="0" w:color="000000"/>
              <w:right w:val="single" w:sz="2" w:space="0" w:color="000000"/>
            </w:tcBorders>
          </w:tcPr>
          <w:p w14:paraId="24D610E9" w14:textId="77777777" w:rsidR="00245300" w:rsidRPr="00EC20A0" w:rsidRDefault="00245300">
            <w:pPr>
              <w:pStyle w:val="TableParagraph"/>
              <w:rPr>
                <w:sz w:val="20"/>
              </w:rPr>
            </w:pPr>
          </w:p>
        </w:tc>
        <w:tc>
          <w:tcPr>
            <w:tcW w:w="1261" w:type="dxa"/>
            <w:tcBorders>
              <w:top w:val="single" w:sz="2" w:space="0" w:color="000000"/>
              <w:left w:val="single" w:sz="2" w:space="0" w:color="000000"/>
              <w:bottom w:val="single" w:sz="2" w:space="0" w:color="000000"/>
            </w:tcBorders>
          </w:tcPr>
          <w:p w14:paraId="24D610EA" w14:textId="77777777" w:rsidR="00245300" w:rsidRPr="00EC20A0" w:rsidRDefault="00245300">
            <w:pPr>
              <w:pStyle w:val="TableParagraph"/>
              <w:rPr>
                <w:sz w:val="20"/>
              </w:rPr>
            </w:pPr>
          </w:p>
        </w:tc>
      </w:tr>
    </w:tbl>
    <w:p w14:paraId="24D610EC" w14:textId="77777777" w:rsidR="00245300" w:rsidRPr="00EC20A0" w:rsidRDefault="00245300">
      <w:pPr>
        <w:rPr>
          <w:sz w:val="20"/>
        </w:rPr>
        <w:sectPr w:rsidR="00245300" w:rsidRPr="00EC20A0">
          <w:pgSz w:w="12240" w:h="15840"/>
          <w:pgMar w:top="1560" w:right="1320" w:bottom="940" w:left="1320" w:header="865" w:footer="742" w:gutter="0"/>
          <w:cols w:space="720"/>
        </w:sectPr>
      </w:pPr>
    </w:p>
    <w:p w14:paraId="24D610ED" w14:textId="77777777" w:rsidR="00245300" w:rsidRPr="00EC20A0" w:rsidRDefault="00245300">
      <w:pPr>
        <w:pStyle w:val="BodyText"/>
        <w:spacing w:before="4" w:after="1"/>
        <w:rPr>
          <w:sz w:val="8"/>
        </w:r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245300" w:rsidRPr="00EC20A0" w14:paraId="24D610EF" w14:textId="77777777">
        <w:trPr>
          <w:trHeight w:val="1335"/>
        </w:trPr>
        <w:tc>
          <w:tcPr>
            <w:tcW w:w="9361" w:type="dxa"/>
            <w:gridSpan w:val="3"/>
          </w:tcPr>
          <w:p w14:paraId="24D610EE" w14:textId="77777777" w:rsidR="00245300" w:rsidRPr="00EC20A0" w:rsidRDefault="00F17249">
            <w:pPr>
              <w:pStyle w:val="TableParagraph"/>
              <w:tabs>
                <w:tab w:val="left" w:pos="8944"/>
              </w:tabs>
              <w:spacing w:before="7" w:line="390" w:lineRule="atLeast"/>
              <w:ind w:left="129" w:right="368"/>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80"/>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0F5" w14:textId="77777777">
        <w:trPr>
          <w:trHeight w:val="625"/>
        </w:trPr>
        <w:tc>
          <w:tcPr>
            <w:tcW w:w="6948" w:type="dxa"/>
            <w:tcBorders>
              <w:right w:val="single" w:sz="6" w:space="0" w:color="000000"/>
            </w:tcBorders>
          </w:tcPr>
          <w:p w14:paraId="24D610F0" w14:textId="77777777" w:rsidR="00245300" w:rsidRPr="00EC20A0" w:rsidRDefault="00245300">
            <w:pPr>
              <w:pStyle w:val="TableParagraph"/>
              <w:spacing w:before="60"/>
            </w:pPr>
          </w:p>
          <w:p w14:paraId="24D610F1"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0F2" w14:textId="77777777" w:rsidR="00245300" w:rsidRPr="00EC20A0" w:rsidRDefault="00F17249">
            <w:pPr>
              <w:pStyle w:val="TableParagraph"/>
              <w:spacing w:before="60"/>
              <w:ind w:left="145"/>
              <w:rPr>
                <w:b/>
              </w:rPr>
            </w:pPr>
            <w:r w:rsidRPr="00EC20A0">
              <w:rPr>
                <w:b/>
                <w:spacing w:val="-2"/>
              </w:rPr>
              <w:t xml:space="preserve">Initials/ </w:t>
            </w:r>
            <w:r w:rsidRPr="00EC20A0">
              <w:rPr>
                <w:b/>
                <w:spacing w:val="-4"/>
              </w:rPr>
              <w:t>date</w:t>
            </w:r>
          </w:p>
        </w:tc>
        <w:tc>
          <w:tcPr>
            <w:tcW w:w="1261" w:type="dxa"/>
            <w:tcBorders>
              <w:left w:val="single" w:sz="6" w:space="0" w:color="000000"/>
            </w:tcBorders>
          </w:tcPr>
          <w:p w14:paraId="24D610F3" w14:textId="77777777" w:rsidR="00245300" w:rsidRPr="00EC20A0" w:rsidRDefault="00245300">
            <w:pPr>
              <w:pStyle w:val="TableParagraph"/>
              <w:spacing w:before="60"/>
            </w:pPr>
          </w:p>
          <w:p w14:paraId="24D610F4" w14:textId="77777777" w:rsidR="00245300" w:rsidRPr="00EC20A0" w:rsidRDefault="00F17249">
            <w:pPr>
              <w:pStyle w:val="TableParagraph"/>
              <w:ind w:left="145"/>
              <w:rPr>
                <w:b/>
              </w:rPr>
            </w:pPr>
            <w:r w:rsidRPr="00EC20A0">
              <w:rPr>
                <w:b/>
              </w:rPr>
              <w:t>Doc.</w:t>
            </w:r>
            <w:r w:rsidRPr="00EC20A0">
              <w:rPr>
                <w:b/>
                <w:spacing w:val="-6"/>
              </w:rPr>
              <w:t xml:space="preserve"> </w:t>
            </w:r>
            <w:r w:rsidRPr="00EC20A0">
              <w:rPr>
                <w:b/>
                <w:spacing w:val="-4"/>
              </w:rPr>
              <w:t>ref.</w:t>
            </w:r>
          </w:p>
        </w:tc>
      </w:tr>
      <w:tr w:rsidR="00245300" w:rsidRPr="00EC20A0" w14:paraId="24D610FB" w14:textId="77777777">
        <w:trPr>
          <w:trHeight w:val="2504"/>
        </w:trPr>
        <w:tc>
          <w:tcPr>
            <w:tcW w:w="6948" w:type="dxa"/>
            <w:tcBorders>
              <w:bottom w:val="single" w:sz="4" w:space="0" w:color="000000"/>
              <w:right w:val="single" w:sz="2" w:space="0" w:color="000000"/>
            </w:tcBorders>
          </w:tcPr>
          <w:p w14:paraId="24D610F6" w14:textId="77777777" w:rsidR="00245300" w:rsidRPr="00EC20A0" w:rsidRDefault="00F17249">
            <w:pPr>
              <w:pStyle w:val="TableParagraph"/>
              <w:numPr>
                <w:ilvl w:val="0"/>
                <w:numId w:val="148"/>
              </w:numPr>
              <w:tabs>
                <w:tab w:val="left" w:pos="561"/>
              </w:tabs>
              <w:spacing w:before="120"/>
              <w:ind w:right="245"/>
            </w:pPr>
            <w:r w:rsidRPr="00EC20A0">
              <w:t>If</w:t>
            </w:r>
            <w:r w:rsidRPr="00EC20A0">
              <w:rPr>
                <w:spacing w:val="-4"/>
              </w:rPr>
              <w:t xml:space="preserve"> </w:t>
            </w:r>
            <w:r w:rsidRPr="00EC20A0">
              <w:t>the</w:t>
            </w:r>
            <w:r w:rsidRPr="00EC20A0">
              <w:rPr>
                <w:spacing w:val="-4"/>
              </w:rPr>
              <w:t xml:space="preserve"> </w:t>
            </w:r>
            <w:r w:rsidRPr="00EC20A0">
              <w:t>debt</w:t>
            </w:r>
            <w:r w:rsidRPr="00EC20A0">
              <w:rPr>
                <w:spacing w:val="-4"/>
              </w:rPr>
              <w:t xml:space="preserve"> </w:t>
            </w:r>
            <w:r w:rsidRPr="00EC20A0">
              <w:t>is</w:t>
            </w:r>
            <w:r w:rsidRPr="00EC20A0">
              <w:rPr>
                <w:spacing w:val="-5"/>
              </w:rPr>
              <w:t xml:space="preserve"> </w:t>
            </w:r>
            <w:r w:rsidRPr="00EC20A0">
              <w:t>not</w:t>
            </w:r>
            <w:r w:rsidRPr="00EC20A0">
              <w:rPr>
                <w:spacing w:val="-4"/>
              </w:rPr>
              <w:t xml:space="preserve"> </w:t>
            </w:r>
            <w:r w:rsidRPr="00EC20A0">
              <w:t>past</w:t>
            </w:r>
            <w:r w:rsidRPr="00EC20A0">
              <w:rPr>
                <w:spacing w:val="-4"/>
              </w:rPr>
              <w:t xml:space="preserve"> </w:t>
            </w:r>
            <w:r w:rsidRPr="00EC20A0">
              <w:t>due,</w:t>
            </w:r>
            <w:r w:rsidRPr="00EC20A0">
              <w:rPr>
                <w:spacing w:val="-4"/>
              </w:rPr>
              <w:t xml:space="preserve"> </w:t>
            </w:r>
            <w:r w:rsidRPr="00EC20A0">
              <w:t>then</w:t>
            </w:r>
            <w:r w:rsidRPr="00EC20A0">
              <w:rPr>
                <w:spacing w:val="-5"/>
              </w:rPr>
              <w:t xml:space="preserve"> </w:t>
            </w:r>
            <w:r w:rsidRPr="00EC20A0">
              <w:t>determine</w:t>
            </w:r>
            <w:r w:rsidRPr="00EC20A0">
              <w:rPr>
                <w:spacing w:val="-4"/>
              </w:rPr>
              <w:t xml:space="preserve"> </w:t>
            </w:r>
            <w:r w:rsidRPr="00EC20A0">
              <w:t>through</w:t>
            </w:r>
            <w:r w:rsidRPr="00EC20A0">
              <w:rPr>
                <w:spacing w:val="-4"/>
              </w:rPr>
              <w:t xml:space="preserve"> </w:t>
            </w:r>
            <w:r w:rsidRPr="00EC20A0">
              <w:t>examination of the entity’s records whether</w:t>
            </w:r>
          </w:p>
          <w:p w14:paraId="24D610F7" w14:textId="77777777" w:rsidR="00245300" w:rsidRPr="00EC20A0" w:rsidRDefault="00F17249">
            <w:pPr>
              <w:pStyle w:val="TableParagraph"/>
              <w:numPr>
                <w:ilvl w:val="1"/>
                <w:numId w:val="148"/>
              </w:numPr>
              <w:tabs>
                <w:tab w:val="left" w:pos="1092"/>
              </w:tabs>
              <w:spacing w:before="120"/>
              <w:ind w:right="179"/>
            </w:pPr>
            <w:r w:rsidRPr="00EC20A0">
              <w:t>interest,</w:t>
            </w:r>
            <w:r w:rsidRPr="00EC20A0">
              <w:rPr>
                <w:spacing w:val="-6"/>
              </w:rPr>
              <w:t xml:space="preserve"> </w:t>
            </w:r>
            <w:r w:rsidRPr="00EC20A0">
              <w:t>administrative</w:t>
            </w:r>
            <w:r w:rsidRPr="00EC20A0">
              <w:rPr>
                <w:spacing w:val="-6"/>
              </w:rPr>
              <w:t xml:space="preserve"> </w:t>
            </w:r>
            <w:r w:rsidRPr="00EC20A0">
              <w:t>charges,</w:t>
            </w:r>
            <w:r w:rsidRPr="00EC20A0">
              <w:rPr>
                <w:spacing w:val="-6"/>
              </w:rPr>
              <w:t xml:space="preserve"> </w:t>
            </w:r>
            <w:r w:rsidRPr="00EC20A0">
              <w:t>or</w:t>
            </w:r>
            <w:r w:rsidRPr="00EC20A0">
              <w:rPr>
                <w:spacing w:val="-7"/>
              </w:rPr>
              <w:t xml:space="preserve"> </w:t>
            </w:r>
            <w:r w:rsidRPr="00EC20A0">
              <w:t>penalties</w:t>
            </w:r>
            <w:r w:rsidRPr="00EC20A0">
              <w:rPr>
                <w:spacing w:val="-6"/>
              </w:rPr>
              <w:t xml:space="preserve"> </w:t>
            </w:r>
            <w:r w:rsidRPr="00EC20A0">
              <w:t>are</w:t>
            </w:r>
            <w:r w:rsidRPr="00EC20A0">
              <w:rPr>
                <w:spacing w:val="-6"/>
              </w:rPr>
              <w:t xml:space="preserve"> </w:t>
            </w:r>
            <w:r w:rsidRPr="00EC20A0">
              <w:t>not</w:t>
            </w:r>
            <w:r w:rsidRPr="00EC20A0">
              <w:rPr>
                <w:spacing w:val="-6"/>
              </w:rPr>
              <w:t xml:space="preserve"> </w:t>
            </w:r>
            <w:r w:rsidRPr="00EC20A0">
              <w:t>being charged and</w:t>
            </w:r>
          </w:p>
          <w:p w14:paraId="24D610F8" w14:textId="77777777" w:rsidR="00245300" w:rsidRPr="00EC20A0" w:rsidRDefault="00F17249">
            <w:pPr>
              <w:pStyle w:val="TableParagraph"/>
              <w:numPr>
                <w:ilvl w:val="1"/>
                <w:numId w:val="148"/>
              </w:numPr>
              <w:tabs>
                <w:tab w:val="left" w:pos="1092"/>
                <w:tab w:val="left" w:pos="1125"/>
              </w:tabs>
              <w:spacing w:before="121"/>
              <w:ind w:left="1125" w:right="243" w:hanging="558"/>
            </w:pPr>
            <w:r w:rsidRPr="00EC20A0">
              <w:t>the debtor had no outstanding nontax delinquent federal debt</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time</w:t>
            </w:r>
            <w:r w:rsidRPr="00EC20A0">
              <w:rPr>
                <w:spacing w:val="-4"/>
              </w:rPr>
              <w:t xml:space="preserve"> </w:t>
            </w:r>
            <w:r w:rsidRPr="00EC20A0">
              <w:t>the</w:t>
            </w:r>
            <w:r w:rsidRPr="00EC20A0">
              <w:rPr>
                <w:spacing w:val="-4"/>
              </w:rPr>
              <w:t xml:space="preserve"> </w:t>
            </w:r>
            <w:r w:rsidRPr="00EC20A0">
              <w:t>loan</w:t>
            </w:r>
            <w:r w:rsidRPr="00EC20A0">
              <w:rPr>
                <w:spacing w:val="-4"/>
              </w:rPr>
              <w:t xml:space="preserve"> </w:t>
            </w:r>
            <w:r w:rsidRPr="00EC20A0">
              <w:t>was</w:t>
            </w:r>
            <w:r w:rsidRPr="00EC20A0">
              <w:rPr>
                <w:spacing w:val="-4"/>
              </w:rPr>
              <w:t xml:space="preserve"> </w:t>
            </w:r>
            <w:r w:rsidRPr="00EC20A0">
              <w:t>obtained.</w:t>
            </w:r>
            <w:r w:rsidRPr="00EC20A0">
              <w:rPr>
                <w:spacing w:val="-4"/>
              </w:rPr>
              <w:t xml:space="preserve"> </w:t>
            </w:r>
            <w:r w:rsidRPr="00EC20A0">
              <w:t>See</w:t>
            </w:r>
            <w:r w:rsidRPr="00EC20A0">
              <w:rPr>
                <w:spacing w:val="-4"/>
              </w:rPr>
              <w:t xml:space="preserve"> </w:t>
            </w:r>
            <w:r w:rsidRPr="00EC20A0">
              <w:t>FAM</w:t>
            </w:r>
            <w:r w:rsidRPr="00EC20A0">
              <w:rPr>
                <w:spacing w:val="-4"/>
              </w:rPr>
              <w:t xml:space="preserve"> </w:t>
            </w:r>
            <w:r w:rsidRPr="00EC20A0">
              <w:t xml:space="preserve">805.05, Denying Federal Financial Assistance to Delinquent </w:t>
            </w:r>
            <w:r w:rsidRPr="00EC20A0">
              <w:rPr>
                <w:spacing w:val="-2"/>
              </w:rPr>
              <w:t>Debtors.</w:t>
            </w:r>
          </w:p>
        </w:tc>
        <w:tc>
          <w:tcPr>
            <w:tcW w:w="1152" w:type="dxa"/>
            <w:tcBorders>
              <w:left w:val="single" w:sz="2" w:space="0" w:color="000000"/>
              <w:bottom w:val="single" w:sz="4" w:space="0" w:color="000000"/>
              <w:right w:val="single" w:sz="2" w:space="0" w:color="000000"/>
            </w:tcBorders>
          </w:tcPr>
          <w:p w14:paraId="24D610F9" w14:textId="77777777" w:rsidR="00245300" w:rsidRPr="00EC20A0" w:rsidRDefault="00245300">
            <w:pPr>
              <w:pStyle w:val="TableParagraph"/>
              <w:rPr>
                <w:sz w:val="20"/>
              </w:rPr>
            </w:pPr>
          </w:p>
        </w:tc>
        <w:tc>
          <w:tcPr>
            <w:tcW w:w="1261" w:type="dxa"/>
            <w:tcBorders>
              <w:left w:val="single" w:sz="2" w:space="0" w:color="000000"/>
              <w:bottom w:val="single" w:sz="4" w:space="0" w:color="000000"/>
            </w:tcBorders>
          </w:tcPr>
          <w:p w14:paraId="24D610FA" w14:textId="77777777" w:rsidR="00245300" w:rsidRPr="00EC20A0" w:rsidRDefault="00245300">
            <w:pPr>
              <w:pStyle w:val="TableParagraph"/>
              <w:rPr>
                <w:sz w:val="20"/>
              </w:rPr>
            </w:pPr>
          </w:p>
        </w:tc>
      </w:tr>
      <w:tr w:rsidR="00245300" w:rsidRPr="00EC20A0" w14:paraId="24D61101" w14:textId="77777777">
        <w:trPr>
          <w:trHeight w:val="5540"/>
        </w:trPr>
        <w:tc>
          <w:tcPr>
            <w:tcW w:w="6948" w:type="dxa"/>
            <w:tcBorders>
              <w:top w:val="single" w:sz="4" w:space="0" w:color="000000"/>
              <w:bottom w:val="single" w:sz="2" w:space="0" w:color="000000"/>
              <w:right w:val="single" w:sz="2" w:space="0" w:color="000000"/>
            </w:tcBorders>
          </w:tcPr>
          <w:p w14:paraId="24D610FC" w14:textId="77777777" w:rsidR="00245300" w:rsidRPr="00EC20A0" w:rsidRDefault="00F17249">
            <w:pPr>
              <w:pStyle w:val="TableParagraph"/>
              <w:numPr>
                <w:ilvl w:val="0"/>
                <w:numId w:val="147"/>
              </w:numPr>
              <w:tabs>
                <w:tab w:val="left" w:pos="561"/>
              </w:tabs>
              <w:spacing w:before="120"/>
              <w:ind w:right="245"/>
            </w:pPr>
            <w:r w:rsidRPr="00EC20A0">
              <w:t xml:space="preserve">The objectives listed below relate to procedural-based provisions. As discussed in FAM 460.05, the auditor usually performs sufficient procedures in conjunction with tests of compliance controls for these procedural-based provisions to conclude on the entity’s compliance without performing additional procedures. The auditor should </w:t>
            </w:r>
            <w:r w:rsidRPr="00EC20A0">
              <w:rPr>
                <w:u w:val="single"/>
              </w:rPr>
              <w:t>not</w:t>
            </w:r>
            <w:r w:rsidRPr="00EC20A0">
              <w:t xml:space="preserve"> perform additional</w:t>
            </w:r>
            <w:r w:rsidRPr="00EC20A0">
              <w:rPr>
                <w:spacing w:val="-7"/>
              </w:rPr>
              <w:t xml:space="preserve"> </w:t>
            </w:r>
            <w:r w:rsidRPr="00EC20A0">
              <w:t>procedures</w:t>
            </w:r>
            <w:r w:rsidRPr="00EC20A0">
              <w:rPr>
                <w:spacing w:val="-7"/>
              </w:rPr>
              <w:t xml:space="preserve"> </w:t>
            </w:r>
            <w:r w:rsidRPr="00EC20A0">
              <w:t>to</w:t>
            </w:r>
            <w:r w:rsidRPr="00EC20A0">
              <w:rPr>
                <w:spacing w:val="-8"/>
              </w:rPr>
              <w:t xml:space="preserve"> </w:t>
            </w:r>
            <w:r w:rsidRPr="00EC20A0">
              <w:t>obtain</w:t>
            </w:r>
            <w:r w:rsidRPr="00EC20A0">
              <w:rPr>
                <w:spacing w:val="-7"/>
              </w:rPr>
              <w:t xml:space="preserve"> </w:t>
            </w:r>
            <w:r w:rsidRPr="00EC20A0">
              <w:t>evidence</w:t>
            </w:r>
            <w:r w:rsidRPr="00EC20A0">
              <w:rPr>
                <w:spacing w:val="-7"/>
              </w:rPr>
              <w:t xml:space="preserve"> </w:t>
            </w:r>
            <w:r w:rsidRPr="00EC20A0">
              <w:t>regarding</w:t>
            </w:r>
            <w:r w:rsidRPr="00EC20A0">
              <w:rPr>
                <w:spacing w:val="-7"/>
              </w:rPr>
              <w:t xml:space="preserve"> </w:t>
            </w:r>
            <w:r w:rsidRPr="00EC20A0">
              <w:t>compliance with the provisions related to the following objectives unless sufficient evidence regarding compliance was not obtained during compliance control tests documented on Form 805, Compliance Summary.</w:t>
            </w:r>
          </w:p>
          <w:p w14:paraId="24D610FD" w14:textId="77777777" w:rsidR="00245300" w:rsidRPr="00EC20A0" w:rsidRDefault="00F17249">
            <w:pPr>
              <w:pStyle w:val="TableParagraph"/>
              <w:numPr>
                <w:ilvl w:val="1"/>
                <w:numId w:val="147"/>
              </w:numPr>
              <w:tabs>
                <w:tab w:val="left" w:pos="1092"/>
              </w:tabs>
              <w:spacing w:before="120"/>
              <w:ind w:right="154"/>
            </w:pPr>
            <w:r w:rsidRPr="00EC20A0">
              <w:t xml:space="preserve">Nontax claims of more than $100,000 (excluding interest, penalties, and </w:t>
            </w:r>
            <w:r w:rsidRPr="00EC20A0">
              <w:t>administrative costs) are referred to the Department of Justice for compromise, termination, or suspension.</w:t>
            </w:r>
            <w:r w:rsidRPr="00EC20A0">
              <w:rPr>
                <w:spacing w:val="-6"/>
              </w:rPr>
              <w:t xml:space="preserve"> </w:t>
            </w:r>
            <w:r w:rsidRPr="00EC20A0">
              <w:t>See</w:t>
            </w:r>
            <w:r w:rsidRPr="00EC20A0">
              <w:rPr>
                <w:spacing w:val="-5"/>
              </w:rPr>
              <w:t xml:space="preserve"> </w:t>
            </w:r>
            <w:r w:rsidRPr="00EC20A0">
              <w:t>FAM</w:t>
            </w:r>
            <w:r w:rsidRPr="00EC20A0">
              <w:rPr>
                <w:spacing w:val="-6"/>
              </w:rPr>
              <w:t xml:space="preserve"> </w:t>
            </w:r>
            <w:r w:rsidRPr="00EC20A0">
              <w:t>805.03,</w:t>
            </w:r>
            <w:r w:rsidRPr="00EC20A0">
              <w:rPr>
                <w:spacing w:val="-5"/>
              </w:rPr>
              <w:t xml:space="preserve"> </w:t>
            </w:r>
            <w:r w:rsidRPr="00EC20A0">
              <w:t>Less</w:t>
            </w:r>
            <w:r w:rsidRPr="00EC20A0">
              <w:rPr>
                <w:spacing w:val="-6"/>
              </w:rPr>
              <w:t xml:space="preserve"> </w:t>
            </w:r>
            <w:r w:rsidRPr="00EC20A0">
              <w:t>Than</w:t>
            </w:r>
            <w:r w:rsidRPr="00EC20A0">
              <w:rPr>
                <w:spacing w:val="-5"/>
              </w:rPr>
              <w:t xml:space="preserve"> </w:t>
            </w:r>
            <w:r w:rsidRPr="00EC20A0">
              <w:t>Payment</w:t>
            </w:r>
            <w:r w:rsidRPr="00EC20A0">
              <w:rPr>
                <w:spacing w:val="-5"/>
              </w:rPr>
              <w:t xml:space="preserve"> </w:t>
            </w:r>
            <w:r w:rsidRPr="00EC20A0">
              <w:t>in</w:t>
            </w:r>
            <w:r w:rsidRPr="00EC20A0">
              <w:rPr>
                <w:spacing w:val="-5"/>
              </w:rPr>
              <w:t xml:space="preserve"> </w:t>
            </w:r>
            <w:r w:rsidRPr="00EC20A0">
              <w:t>Full: Compromise, Termination, or Suspension of Claims.</w:t>
            </w:r>
          </w:p>
          <w:p w14:paraId="24D610FE" w14:textId="77777777" w:rsidR="00245300" w:rsidRPr="00EC20A0" w:rsidRDefault="00F17249">
            <w:pPr>
              <w:pStyle w:val="TableParagraph"/>
              <w:numPr>
                <w:ilvl w:val="1"/>
                <w:numId w:val="147"/>
              </w:numPr>
              <w:tabs>
                <w:tab w:val="left" w:pos="1092"/>
              </w:tabs>
              <w:spacing w:before="119"/>
              <w:ind w:right="227"/>
            </w:pPr>
            <w:r w:rsidRPr="00EC20A0">
              <w:t>Unless</w:t>
            </w:r>
            <w:r w:rsidRPr="00EC20A0">
              <w:rPr>
                <w:spacing w:val="-6"/>
              </w:rPr>
              <w:t xml:space="preserve"> </w:t>
            </w:r>
            <w:r w:rsidRPr="00EC20A0">
              <w:t>an</w:t>
            </w:r>
            <w:r w:rsidRPr="00EC20A0">
              <w:rPr>
                <w:spacing w:val="-6"/>
              </w:rPr>
              <w:t xml:space="preserve"> </w:t>
            </w:r>
            <w:r w:rsidRPr="00EC20A0">
              <w:t>exception</w:t>
            </w:r>
            <w:r w:rsidRPr="00EC20A0">
              <w:rPr>
                <w:spacing w:val="-6"/>
              </w:rPr>
              <w:t xml:space="preserve"> </w:t>
            </w:r>
            <w:r w:rsidRPr="00EC20A0">
              <w:t>applies,</w:t>
            </w:r>
            <w:r w:rsidRPr="00EC20A0">
              <w:rPr>
                <w:spacing w:val="-6"/>
              </w:rPr>
              <w:t xml:space="preserve"> </w:t>
            </w:r>
            <w:r w:rsidRPr="00EC20A0">
              <w:t>nontax</w:t>
            </w:r>
            <w:r w:rsidRPr="00EC20A0">
              <w:rPr>
                <w:spacing w:val="-6"/>
              </w:rPr>
              <w:t xml:space="preserve"> </w:t>
            </w:r>
            <w:r w:rsidRPr="00EC20A0">
              <w:t>claims</w:t>
            </w:r>
            <w:r w:rsidRPr="00EC20A0">
              <w:rPr>
                <w:spacing w:val="-6"/>
              </w:rPr>
              <w:t xml:space="preserve"> </w:t>
            </w:r>
            <w:r w:rsidRPr="00EC20A0">
              <w:t>delinquent</w:t>
            </w:r>
            <w:r w:rsidRPr="00EC20A0">
              <w:rPr>
                <w:spacing w:val="-6"/>
              </w:rPr>
              <w:t xml:space="preserve"> </w:t>
            </w:r>
            <w:r w:rsidRPr="00EC20A0">
              <w:t>for a period of 120 days have been referred to Treasury for collection. See FAM 805.04, Administrative Offset: Treasury Notification and Referral of Claims.</w:t>
            </w:r>
          </w:p>
        </w:tc>
        <w:tc>
          <w:tcPr>
            <w:tcW w:w="1152" w:type="dxa"/>
            <w:tcBorders>
              <w:top w:val="single" w:sz="4" w:space="0" w:color="000000"/>
              <w:left w:val="single" w:sz="2" w:space="0" w:color="000000"/>
              <w:bottom w:val="single" w:sz="2" w:space="0" w:color="000000"/>
              <w:right w:val="single" w:sz="2" w:space="0" w:color="000000"/>
            </w:tcBorders>
          </w:tcPr>
          <w:p w14:paraId="24D610FF" w14:textId="77777777" w:rsidR="00245300" w:rsidRPr="00EC20A0" w:rsidRDefault="00245300">
            <w:pPr>
              <w:pStyle w:val="TableParagraph"/>
              <w:rPr>
                <w:sz w:val="20"/>
              </w:rPr>
            </w:pPr>
          </w:p>
        </w:tc>
        <w:tc>
          <w:tcPr>
            <w:tcW w:w="1261" w:type="dxa"/>
            <w:tcBorders>
              <w:top w:val="single" w:sz="4" w:space="0" w:color="000000"/>
              <w:left w:val="single" w:sz="2" w:space="0" w:color="000000"/>
              <w:bottom w:val="single" w:sz="2" w:space="0" w:color="000000"/>
            </w:tcBorders>
          </w:tcPr>
          <w:p w14:paraId="24D61100" w14:textId="77777777" w:rsidR="00245300" w:rsidRPr="00EC20A0" w:rsidRDefault="00245300">
            <w:pPr>
              <w:pStyle w:val="TableParagraph"/>
              <w:rPr>
                <w:sz w:val="20"/>
              </w:rPr>
            </w:pPr>
          </w:p>
        </w:tc>
      </w:tr>
      <w:tr w:rsidR="00245300" w:rsidRPr="00EC20A0" w14:paraId="24D61107" w14:textId="77777777">
        <w:trPr>
          <w:trHeight w:val="2651"/>
        </w:trPr>
        <w:tc>
          <w:tcPr>
            <w:tcW w:w="6948" w:type="dxa"/>
            <w:tcBorders>
              <w:top w:val="single" w:sz="2" w:space="0" w:color="000000"/>
              <w:bottom w:val="single" w:sz="2" w:space="0" w:color="000000"/>
              <w:right w:val="single" w:sz="2" w:space="0" w:color="000000"/>
            </w:tcBorders>
          </w:tcPr>
          <w:p w14:paraId="24D61102" w14:textId="77777777" w:rsidR="00245300" w:rsidRPr="00EC20A0" w:rsidRDefault="00F17249">
            <w:pPr>
              <w:pStyle w:val="TableParagraph"/>
              <w:numPr>
                <w:ilvl w:val="0"/>
                <w:numId w:val="146"/>
              </w:numPr>
              <w:tabs>
                <w:tab w:val="left" w:pos="567"/>
                <w:tab w:val="left" w:pos="600"/>
              </w:tabs>
              <w:spacing w:before="120"/>
              <w:ind w:right="337" w:hanging="471"/>
            </w:pPr>
            <w:r w:rsidRPr="00EC20A0">
              <w:t>If</w:t>
            </w:r>
            <w:r w:rsidRPr="00EC20A0">
              <w:rPr>
                <w:spacing w:val="-3"/>
              </w:rPr>
              <w:t xml:space="preserve"> </w:t>
            </w:r>
            <w:r w:rsidRPr="00EC20A0">
              <w:t>the</w:t>
            </w:r>
            <w:r w:rsidRPr="00EC20A0">
              <w:rPr>
                <w:spacing w:val="-3"/>
              </w:rPr>
              <w:t xml:space="preserve"> </w:t>
            </w:r>
            <w:r w:rsidRPr="00EC20A0">
              <w:t>entity</w:t>
            </w:r>
            <w:r w:rsidRPr="00EC20A0">
              <w:rPr>
                <w:spacing w:val="-4"/>
              </w:rPr>
              <w:t xml:space="preserve"> </w:t>
            </w:r>
            <w:r w:rsidRPr="00EC20A0">
              <w:t>does</w:t>
            </w:r>
            <w:r w:rsidRPr="00EC20A0">
              <w:rPr>
                <w:spacing w:val="-3"/>
              </w:rPr>
              <w:t xml:space="preserve"> </w:t>
            </w:r>
            <w:r w:rsidRPr="00EC20A0">
              <w:t>not</w:t>
            </w:r>
            <w:r w:rsidRPr="00EC20A0">
              <w:rPr>
                <w:spacing w:val="-3"/>
              </w:rPr>
              <w:t xml:space="preserve"> </w:t>
            </w:r>
            <w:r w:rsidRPr="00EC20A0">
              <w:t>appear</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in</w:t>
            </w:r>
            <w:r w:rsidRPr="00EC20A0">
              <w:rPr>
                <w:spacing w:val="-4"/>
              </w:rPr>
              <w:t xml:space="preserve"> </w:t>
            </w:r>
            <w:r w:rsidRPr="00EC20A0">
              <w:t>compliance</w:t>
            </w:r>
            <w:r w:rsidRPr="00EC20A0">
              <w:rPr>
                <w:spacing w:val="-4"/>
              </w:rPr>
              <w:t xml:space="preserve"> </w:t>
            </w:r>
            <w:r w:rsidRPr="00EC20A0">
              <w:t>based</w:t>
            </w:r>
            <w:r w:rsidRPr="00EC20A0">
              <w:rPr>
                <w:spacing w:val="-3"/>
              </w:rPr>
              <w:t xml:space="preserve"> </w:t>
            </w:r>
            <w:r w:rsidRPr="00EC20A0">
              <w:t>on</w:t>
            </w:r>
            <w:r w:rsidRPr="00EC20A0">
              <w:rPr>
                <w:spacing w:val="-3"/>
              </w:rPr>
              <w:t xml:space="preserve"> </w:t>
            </w:r>
            <w:r w:rsidRPr="00EC20A0">
              <w:t xml:space="preserve">the results of tests performed, then the auditor should discuss these matters with OGC and, when appropriate, the Special Investigator Unit to conclude on whether noncompliance actually has occurred and the implications of such </w:t>
            </w:r>
            <w:r w:rsidRPr="00EC20A0">
              <w:rPr>
                <w:spacing w:val="-2"/>
              </w:rPr>
              <w:t>noncompliance.</w:t>
            </w:r>
          </w:p>
          <w:p w14:paraId="24D61103" w14:textId="77777777" w:rsidR="00245300" w:rsidRPr="00EC20A0" w:rsidRDefault="00F17249">
            <w:pPr>
              <w:pStyle w:val="TableParagraph"/>
              <w:spacing w:before="120"/>
              <w:ind w:left="567"/>
            </w:pPr>
            <w:r w:rsidRPr="00EC20A0">
              <w:t>For</w:t>
            </w:r>
            <w:r w:rsidRPr="00EC20A0">
              <w:rPr>
                <w:spacing w:val="-7"/>
              </w:rPr>
              <w:t xml:space="preserve"> </w:t>
            </w:r>
            <w:r w:rsidRPr="00EC20A0">
              <w:t>any</w:t>
            </w:r>
            <w:r w:rsidRPr="00EC20A0">
              <w:rPr>
                <w:spacing w:val="-7"/>
              </w:rPr>
              <w:t xml:space="preserve"> </w:t>
            </w:r>
            <w:r w:rsidRPr="00EC20A0">
              <w:t>noncompliance</w:t>
            </w:r>
            <w:r w:rsidRPr="00EC20A0">
              <w:rPr>
                <w:spacing w:val="-8"/>
              </w:rPr>
              <w:t xml:space="preserve"> </w:t>
            </w:r>
            <w:r w:rsidRPr="00EC20A0">
              <w:t>noted,</w:t>
            </w:r>
            <w:r w:rsidRPr="00EC20A0">
              <w:rPr>
                <w:spacing w:val="-6"/>
              </w:rPr>
              <w:t xml:space="preserve"> </w:t>
            </w:r>
            <w:r w:rsidRPr="00EC20A0">
              <w:t>the</w:t>
            </w:r>
            <w:r w:rsidRPr="00EC20A0">
              <w:rPr>
                <w:spacing w:val="-7"/>
              </w:rPr>
              <w:t xml:space="preserve"> </w:t>
            </w:r>
            <w:r w:rsidRPr="00EC20A0">
              <w:t>auditor</w:t>
            </w:r>
            <w:r w:rsidRPr="00EC20A0">
              <w:rPr>
                <w:spacing w:val="-7"/>
              </w:rPr>
              <w:t xml:space="preserve"> </w:t>
            </w:r>
            <w:r w:rsidRPr="00EC20A0">
              <w:rPr>
                <w:spacing w:val="-2"/>
              </w:rPr>
              <w:t>should</w:t>
            </w:r>
          </w:p>
          <w:p w14:paraId="24D61104" w14:textId="77777777" w:rsidR="00245300" w:rsidRPr="00EC20A0" w:rsidRDefault="00F17249">
            <w:pPr>
              <w:pStyle w:val="TableParagraph"/>
              <w:numPr>
                <w:ilvl w:val="1"/>
                <w:numId w:val="146"/>
              </w:numPr>
              <w:tabs>
                <w:tab w:val="left" w:pos="965"/>
                <w:tab w:val="left" w:pos="974"/>
              </w:tabs>
              <w:spacing w:before="113" w:line="254" w:lineRule="exact"/>
              <w:ind w:right="369" w:hanging="360"/>
            </w:pPr>
            <w:r w:rsidRPr="00EC20A0">
              <w:t>identify the</w:t>
            </w:r>
            <w:r w:rsidRPr="00EC20A0">
              <w:rPr>
                <w:spacing w:val="-6"/>
              </w:rPr>
              <w:t xml:space="preserve"> </w:t>
            </w:r>
            <w:r w:rsidRPr="00EC20A0">
              <w:t>weakness</w:t>
            </w:r>
            <w:r w:rsidRPr="00EC20A0">
              <w:rPr>
                <w:spacing w:val="-5"/>
              </w:rPr>
              <w:t xml:space="preserve"> </w:t>
            </w:r>
            <w:r w:rsidRPr="00EC20A0">
              <w:t>in</w:t>
            </w:r>
            <w:r w:rsidRPr="00EC20A0">
              <w:rPr>
                <w:spacing w:val="-6"/>
              </w:rPr>
              <w:t xml:space="preserve"> </w:t>
            </w:r>
            <w:r w:rsidRPr="00EC20A0">
              <w:t>compliance</w:t>
            </w:r>
            <w:r w:rsidRPr="00EC20A0">
              <w:rPr>
                <w:spacing w:val="-6"/>
              </w:rPr>
              <w:t xml:space="preserve"> </w:t>
            </w:r>
            <w:r w:rsidRPr="00EC20A0">
              <w:t>controls</w:t>
            </w:r>
            <w:r w:rsidRPr="00EC20A0">
              <w:rPr>
                <w:spacing w:val="-5"/>
              </w:rPr>
              <w:t xml:space="preserve"> </w:t>
            </w:r>
            <w:r w:rsidRPr="00EC20A0">
              <w:t>that</w:t>
            </w:r>
            <w:r w:rsidRPr="00EC20A0">
              <w:rPr>
                <w:spacing w:val="-5"/>
              </w:rPr>
              <w:t xml:space="preserve"> </w:t>
            </w:r>
            <w:r w:rsidRPr="00EC20A0">
              <w:t>allowed the noncompliance to occur, if they were not previously</w:t>
            </w:r>
          </w:p>
        </w:tc>
        <w:tc>
          <w:tcPr>
            <w:tcW w:w="1152" w:type="dxa"/>
            <w:tcBorders>
              <w:top w:val="single" w:sz="2" w:space="0" w:color="000000"/>
              <w:left w:val="single" w:sz="2" w:space="0" w:color="000000"/>
              <w:bottom w:val="single" w:sz="2" w:space="0" w:color="000000"/>
              <w:right w:val="single" w:sz="2" w:space="0" w:color="000000"/>
            </w:tcBorders>
          </w:tcPr>
          <w:p w14:paraId="24D61105" w14:textId="77777777" w:rsidR="00245300" w:rsidRPr="00EC20A0" w:rsidRDefault="00245300">
            <w:pPr>
              <w:pStyle w:val="TableParagraph"/>
              <w:rPr>
                <w:sz w:val="20"/>
              </w:rPr>
            </w:pPr>
          </w:p>
        </w:tc>
        <w:tc>
          <w:tcPr>
            <w:tcW w:w="1261" w:type="dxa"/>
            <w:tcBorders>
              <w:top w:val="single" w:sz="2" w:space="0" w:color="000000"/>
              <w:left w:val="single" w:sz="2" w:space="0" w:color="000000"/>
              <w:bottom w:val="single" w:sz="2" w:space="0" w:color="000000"/>
            </w:tcBorders>
          </w:tcPr>
          <w:p w14:paraId="24D61106" w14:textId="77777777" w:rsidR="00245300" w:rsidRPr="00EC20A0" w:rsidRDefault="00245300">
            <w:pPr>
              <w:pStyle w:val="TableParagraph"/>
              <w:rPr>
                <w:sz w:val="20"/>
              </w:rPr>
            </w:pPr>
          </w:p>
        </w:tc>
      </w:tr>
    </w:tbl>
    <w:p w14:paraId="24D61108" w14:textId="77777777" w:rsidR="00245300" w:rsidRPr="00EC20A0" w:rsidRDefault="00245300">
      <w:pPr>
        <w:rPr>
          <w:sz w:val="20"/>
        </w:rPr>
        <w:sectPr w:rsidR="00245300" w:rsidRPr="00EC20A0">
          <w:pgSz w:w="12240" w:h="15840"/>
          <w:pgMar w:top="1560" w:right="1320" w:bottom="940" w:left="1320" w:header="865" w:footer="742" w:gutter="0"/>
          <w:cols w:space="720"/>
        </w:sectPr>
      </w:pPr>
    </w:p>
    <w:p w14:paraId="24D61109" w14:textId="77777777" w:rsidR="00245300" w:rsidRPr="00EC20A0" w:rsidRDefault="00245300">
      <w:pPr>
        <w:pStyle w:val="BodyText"/>
        <w:spacing w:before="4" w:after="1"/>
        <w:rPr>
          <w:sz w:val="8"/>
        </w:rPr>
      </w:pPr>
    </w:p>
    <w:tbl>
      <w:tblPr>
        <w:tblW w:w="0" w:type="auto"/>
        <w:tblInd w:w="14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245300" w:rsidRPr="00EC20A0" w14:paraId="24D6110B" w14:textId="77777777">
        <w:trPr>
          <w:trHeight w:val="1335"/>
        </w:trPr>
        <w:tc>
          <w:tcPr>
            <w:tcW w:w="9361" w:type="dxa"/>
            <w:gridSpan w:val="3"/>
          </w:tcPr>
          <w:p w14:paraId="24D6110A" w14:textId="77777777" w:rsidR="00245300" w:rsidRPr="00EC20A0" w:rsidRDefault="00F17249">
            <w:pPr>
              <w:pStyle w:val="TableParagraph"/>
              <w:tabs>
                <w:tab w:val="left" w:pos="8944"/>
              </w:tabs>
              <w:spacing w:before="7" w:line="390" w:lineRule="atLeast"/>
              <w:ind w:left="129" w:right="368"/>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80"/>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111" w14:textId="77777777">
        <w:trPr>
          <w:trHeight w:val="625"/>
        </w:trPr>
        <w:tc>
          <w:tcPr>
            <w:tcW w:w="6948" w:type="dxa"/>
            <w:tcBorders>
              <w:right w:val="single" w:sz="6" w:space="0" w:color="000000"/>
            </w:tcBorders>
          </w:tcPr>
          <w:p w14:paraId="24D6110C" w14:textId="77777777" w:rsidR="00245300" w:rsidRPr="00EC20A0" w:rsidRDefault="00245300">
            <w:pPr>
              <w:pStyle w:val="TableParagraph"/>
              <w:spacing w:before="60"/>
            </w:pPr>
          </w:p>
          <w:p w14:paraId="24D6110D"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10E" w14:textId="77777777" w:rsidR="00245300" w:rsidRPr="00EC20A0" w:rsidRDefault="00F17249">
            <w:pPr>
              <w:pStyle w:val="TableParagraph"/>
              <w:spacing w:before="60"/>
              <w:ind w:left="145"/>
              <w:rPr>
                <w:b/>
              </w:rPr>
            </w:pPr>
            <w:r w:rsidRPr="00EC20A0">
              <w:rPr>
                <w:b/>
                <w:spacing w:val="-2"/>
              </w:rPr>
              <w:t xml:space="preserve">Initials/ </w:t>
            </w:r>
            <w:r w:rsidRPr="00EC20A0">
              <w:rPr>
                <w:b/>
                <w:spacing w:val="-4"/>
              </w:rPr>
              <w:t>date</w:t>
            </w:r>
          </w:p>
        </w:tc>
        <w:tc>
          <w:tcPr>
            <w:tcW w:w="1261" w:type="dxa"/>
            <w:tcBorders>
              <w:left w:val="single" w:sz="6" w:space="0" w:color="000000"/>
            </w:tcBorders>
          </w:tcPr>
          <w:p w14:paraId="24D6110F" w14:textId="77777777" w:rsidR="00245300" w:rsidRPr="00EC20A0" w:rsidRDefault="00245300">
            <w:pPr>
              <w:pStyle w:val="TableParagraph"/>
              <w:spacing w:before="60"/>
            </w:pPr>
          </w:p>
          <w:p w14:paraId="24D61110" w14:textId="77777777" w:rsidR="00245300" w:rsidRPr="00EC20A0" w:rsidRDefault="00F17249">
            <w:pPr>
              <w:pStyle w:val="TableParagraph"/>
              <w:ind w:left="145"/>
              <w:rPr>
                <w:b/>
              </w:rPr>
            </w:pPr>
            <w:r w:rsidRPr="00EC20A0">
              <w:rPr>
                <w:b/>
              </w:rPr>
              <w:t>Doc.</w:t>
            </w:r>
            <w:r w:rsidRPr="00EC20A0">
              <w:rPr>
                <w:b/>
                <w:spacing w:val="-6"/>
              </w:rPr>
              <w:t xml:space="preserve"> </w:t>
            </w:r>
            <w:r w:rsidRPr="00EC20A0">
              <w:rPr>
                <w:b/>
                <w:spacing w:val="-4"/>
              </w:rPr>
              <w:t>ref.</w:t>
            </w:r>
          </w:p>
        </w:tc>
      </w:tr>
      <w:tr w:rsidR="00245300" w:rsidRPr="00EC20A0" w14:paraId="24D61118" w14:textId="77777777">
        <w:trPr>
          <w:trHeight w:val="2295"/>
        </w:trPr>
        <w:tc>
          <w:tcPr>
            <w:tcW w:w="6948" w:type="dxa"/>
            <w:tcBorders>
              <w:bottom w:val="single" w:sz="2" w:space="0" w:color="000000"/>
              <w:right w:val="single" w:sz="2" w:space="0" w:color="000000"/>
            </w:tcBorders>
          </w:tcPr>
          <w:p w14:paraId="24D61112" w14:textId="77777777" w:rsidR="00245300" w:rsidRPr="00EC20A0" w:rsidRDefault="00F17249">
            <w:pPr>
              <w:pStyle w:val="TableParagraph"/>
              <w:spacing w:before="1"/>
              <w:ind w:left="965"/>
            </w:pPr>
            <w:r w:rsidRPr="00EC20A0">
              <w:t>identified</w:t>
            </w:r>
            <w:r w:rsidRPr="00EC20A0">
              <w:rPr>
                <w:spacing w:val="-9"/>
              </w:rPr>
              <w:t xml:space="preserve"> </w:t>
            </w:r>
            <w:r w:rsidRPr="00EC20A0">
              <w:t>during</w:t>
            </w:r>
            <w:r w:rsidRPr="00EC20A0">
              <w:rPr>
                <w:spacing w:val="-9"/>
              </w:rPr>
              <w:t xml:space="preserve"> </w:t>
            </w:r>
            <w:r w:rsidRPr="00EC20A0">
              <w:t>compliance</w:t>
            </w:r>
            <w:r w:rsidRPr="00EC20A0">
              <w:rPr>
                <w:spacing w:val="-9"/>
              </w:rPr>
              <w:t xml:space="preserve"> </w:t>
            </w:r>
            <w:r w:rsidRPr="00EC20A0">
              <w:t>control</w:t>
            </w:r>
            <w:r w:rsidRPr="00EC20A0">
              <w:rPr>
                <w:spacing w:val="-9"/>
              </w:rPr>
              <w:t xml:space="preserve"> </w:t>
            </w:r>
            <w:r w:rsidRPr="00EC20A0">
              <w:rPr>
                <w:spacing w:val="-2"/>
              </w:rPr>
              <w:t>testing;</w:t>
            </w:r>
          </w:p>
          <w:p w14:paraId="24D61113" w14:textId="77777777" w:rsidR="00245300" w:rsidRPr="00EC20A0" w:rsidRDefault="00F17249">
            <w:pPr>
              <w:pStyle w:val="TableParagraph"/>
              <w:numPr>
                <w:ilvl w:val="0"/>
                <w:numId w:val="145"/>
              </w:numPr>
              <w:tabs>
                <w:tab w:val="left" w:pos="964"/>
                <w:tab w:val="left" w:pos="974"/>
              </w:tabs>
              <w:spacing w:before="119"/>
              <w:ind w:right="479" w:hanging="360"/>
            </w:pPr>
            <w:r w:rsidRPr="00EC20A0">
              <w:t>determine the</w:t>
            </w:r>
            <w:r w:rsidRPr="00EC20A0">
              <w:rPr>
                <w:spacing w:val="-4"/>
              </w:rPr>
              <w:t xml:space="preserve"> </w:t>
            </w:r>
            <w:r w:rsidRPr="00EC20A0">
              <w:t>impact</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report</w:t>
            </w:r>
            <w:r w:rsidRPr="00EC20A0">
              <w:rPr>
                <w:spacing w:val="-4"/>
              </w:rPr>
              <w:t xml:space="preserve"> </w:t>
            </w:r>
            <w:r w:rsidRPr="00EC20A0">
              <w:t>on</w:t>
            </w:r>
            <w:r w:rsidRPr="00EC20A0">
              <w:rPr>
                <w:spacing w:val="-4"/>
              </w:rPr>
              <w:t xml:space="preserve"> </w:t>
            </w:r>
            <w:r w:rsidRPr="00EC20A0">
              <w:t>internal</w:t>
            </w:r>
            <w:r w:rsidRPr="00EC20A0">
              <w:rPr>
                <w:spacing w:val="-4"/>
              </w:rPr>
              <w:t xml:space="preserve"> </w:t>
            </w:r>
            <w:r w:rsidRPr="00EC20A0">
              <w:t>control</w:t>
            </w:r>
            <w:r w:rsidRPr="00EC20A0">
              <w:rPr>
                <w:spacing w:val="-4"/>
              </w:rPr>
              <w:t xml:space="preserve"> </w:t>
            </w:r>
            <w:r w:rsidRPr="00EC20A0">
              <w:t>as appropriate (see FAM 580.56–.85);</w:t>
            </w:r>
          </w:p>
          <w:p w14:paraId="24D61114" w14:textId="77777777" w:rsidR="00245300" w:rsidRPr="00EC20A0" w:rsidRDefault="00F17249">
            <w:pPr>
              <w:pStyle w:val="TableParagraph"/>
              <w:numPr>
                <w:ilvl w:val="0"/>
                <w:numId w:val="145"/>
              </w:numPr>
              <w:tabs>
                <w:tab w:val="left" w:pos="964"/>
                <w:tab w:val="left" w:pos="974"/>
              </w:tabs>
              <w:spacing w:before="118"/>
              <w:ind w:right="1308" w:hanging="360"/>
            </w:pPr>
            <w:r w:rsidRPr="00EC20A0">
              <w:t>consider the implications of any instances of noncompliance</w:t>
            </w:r>
            <w:r w:rsidRPr="00EC20A0">
              <w:rPr>
                <w:spacing w:val="-8"/>
              </w:rPr>
              <w:t xml:space="preserve"> </w:t>
            </w:r>
            <w:r w:rsidRPr="00EC20A0">
              <w:t>on</w:t>
            </w:r>
            <w:r w:rsidRPr="00EC20A0">
              <w:rPr>
                <w:spacing w:val="-8"/>
              </w:rPr>
              <w:t xml:space="preserve"> </w:t>
            </w:r>
            <w:r w:rsidRPr="00EC20A0">
              <w:t>the</w:t>
            </w:r>
            <w:r w:rsidRPr="00EC20A0">
              <w:rPr>
                <w:spacing w:val="-8"/>
              </w:rPr>
              <w:t xml:space="preserve"> </w:t>
            </w:r>
            <w:r w:rsidRPr="00EC20A0">
              <w:t>financial</w:t>
            </w:r>
            <w:r w:rsidRPr="00EC20A0">
              <w:rPr>
                <w:spacing w:val="-8"/>
              </w:rPr>
              <w:t xml:space="preserve"> </w:t>
            </w:r>
            <w:r w:rsidRPr="00EC20A0">
              <w:t>statements;</w:t>
            </w:r>
            <w:r w:rsidRPr="00EC20A0">
              <w:rPr>
                <w:spacing w:val="-8"/>
              </w:rPr>
              <w:t xml:space="preserve"> </w:t>
            </w:r>
            <w:r w:rsidRPr="00EC20A0">
              <w:t>and</w:t>
            </w:r>
          </w:p>
          <w:p w14:paraId="24D61115" w14:textId="77777777" w:rsidR="00245300" w:rsidRPr="00EC20A0" w:rsidRDefault="00F17249">
            <w:pPr>
              <w:pStyle w:val="TableParagraph"/>
              <w:numPr>
                <w:ilvl w:val="0"/>
                <w:numId w:val="145"/>
              </w:numPr>
              <w:tabs>
                <w:tab w:val="left" w:pos="964"/>
                <w:tab w:val="left" w:pos="974"/>
              </w:tabs>
              <w:spacing w:before="118"/>
              <w:ind w:right="578" w:hanging="360"/>
            </w:pPr>
            <w:r w:rsidRPr="00EC20A0">
              <w:t>report instances</w:t>
            </w:r>
            <w:r w:rsidRPr="00EC20A0">
              <w:rPr>
                <w:spacing w:val="-6"/>
              </w:rPr>
              <w:t xml:space="preserve"> </w:t>
            </w:r>
            <w:r w:rsidRPr="00EC20A0">
              <w:t>of</w:t>
            </w:r>
            <w:r w:rsidRPr="00EC20A0">
              <w:rPr>
                <w:spacing w:val="-6"/>
              </w:rPr>
              <w:t xml:space="preserve"> </w:t>
            </w:r>
            <w:r w:rsidRPr="00EC20A0">
              <w:t>noncompliance,</w:t>
            </w:r>
            <w:r w:rsidRPr="00EC20A0">
              <w:rPr>
                <w:spacing w:val="-7"/>
              </w:rPr>
              <w:t xml:space="preserve"> </w:t>
            </w:r>
            <w:r w:rsidRPr="00EC20A0">
              <w:t>as</w:t>
            </w:r>
            <w:r w:rsidRPr="00EC20A0">
              <w:rPr>
                <w:spacing w:val="-6"/>
              </w:rPr>
              <w:t xml:space="preserve"> </w:t>
            </w:r>
            <w:r w:rsidRPr="00EC20A0">
              <w:t>appropriate</w:t>
            </w:r>
            <w:r w:rsidRPr="00EC20A0">
              <w:rPr>
                <w:spacing w:val="-6"/>
              </w:rPr>
              <w:t xml:space="preserve"> </w:t>
            </w:r>
            <w:r w:rsidRPr="00EC20A0">
              <w:t>(see FAM 580.91–.99).</w:t>
            </w:r>
          </w:p>
        </w:tc>
        <w:tc>
          <w:tcPr>
            <w:tcW w:w="1152" w:type="dxa"/>
            <w:tcBorders>
              <w:left w:val="single" w:sz="2" w:space="0" w:color="000000"/>
              <w:bottom w:val="single" w:sz="2" w:space="0" w:color="000000"/>
              <w:right w:val="single" w:sz="2" w:space="0" w:color="000000"/>
            </w:tcBorders>
          </w:tcPr>
          <w:p w14:paraId="24D61116" w14:textId="77777777" w:rsidR="00245300" w:rsidRPr="00EC20A0" w:rsidRDefault="00245300">
            <w:pPr>
              <w:pStyle w:val="TableParagraph"/>
              <w:rPr>
                <w:sz w:val="20"/>
              </w:rPr>
            </w:pPr>
          </w:p>
        </w:tc>
        <w:tc>
          <w:tcPr>
            <w:tcW w:w="1261" w:type="dxa"/>
            <w:tcBorders>
              <w:left w:val="single" w:sz="2" w:space="0" w:color="000000"/>
              <w:bottom w:val="single" w:sz="2" w:space="0" w:color="000000"/>
            </w:tcBorders>
          </w:tcPr>
          <w:p w14:paraId="24D61117" w14:textId="77777777" w:rsidR="00245300" w:rsidRPr="00EC20A0" w:rsidRDefault="00245300">
            <w:pPr>
              <w:pStyle w:val="TableParagraph"/>
              <w:rPr>
                <w:sz w:val="20"/>
              </w:rPr>
            </w:pPr>
          </w:p>
        </w:tc>
      </w:tr>
      <w:tr w:rsidR="00245300" w:rsidRPr="00EC20A0" w14:paraId="24D6111C" w14:textId="77777777">
        <w:trPr>
          <w:trHeight w:val="747"/>
        </w:trPr>
        <w:tc>
          <w:tcPr>
            <w:tcW w:w="6948" w:type="dxa"/>
            <w:tcBorders>
              <w:top w:val="single" w:sz="2" w:space="0" w:color="000000"/>
              <w:right w:val="single" w:sz="2" w:space="0" w:color="000000"/>
            </w:tcBorders>
          </w:tcPr>
          <w:p w14:paraId="24D61119" w14:textId="77777777" w:rsidR="00245300" w:rsidRPr="00EC20A0" w:rsidRDefault="00F17249">
            <w:pPr>
              <w:pStyle w:val="TableParagraph"/>
              <w:tabs>
                <w:tab w:val="left" w:pos="567"/>
              </w:tabs>
              <w:spacing w:before="120"/>
              <w:ind w:left="600" w:right="422" w:hanging="471"/>
            </w:pPr>
            <w:r w:rsidRPr="00EC20A0">
              <w:rPr>
                <w:spacing w:val="-6"/>
              </w:rPr>
              <w:t>7.</w:t>
            </w:r>
            <w:r w:rsidRPr="00EC20A0">
              <w:tab/>
              <w:t>Document</w:t>
            </w:r>
            <w:r w:rsidRPr="00EC20A0">
              <w:rPr>
                <w:spacing w:val="-6"/>
              </w:rPr>
              <w:t xml:space="preserve"> </w:t>
            </w:r>
            <w:r w:rsidRPr="00EC20A0">
              <w:t>conclusions</w:t>
            </w:r>
            <w:r w:rsidRPr="00EC20A0">
              <w:rPr>
                <w:spacing w:val="-6"/>
              </w:rPr>
              <w:t xml:space="preserve"> </w:t>
            </w:r>
            <w:r w:rsidRPr="00EC20A0">
              <w:t>on</w:t>
            </w:r>
            <w:r w:rsidRPr="00EC20A0">
              <w:rPr>
                <w:spacing w:val="-6"/>
              </w:rPr>
              <w:t xml:space="preserve"> </w:t>
            </w:r>
            <w:r w:rsidRPr="00EC20A0">
              <w:t>compliance</w:t>
            </w:r>
            <w:r w:rsidRPr="00EC20A0">
              <w:rPr>
                <w:spacing w:val="-6"/>
              </w:rPr>
              <w:t xml:space="preserve"> </w:t>
            </w:r>
            <w:r w:rsidRPr="00EC20A0">
              <w:t>with</w:t>
            </w:r>
            <w:r w:rsidRPr="00EC20A0">
              <w:rPr>
                <w:spacing w:val="-6"/>
              </w:rPr>
              <w:t xml:space="preserve"> </w:t>
            </w:r>
            <w:r w:rsidRPr="00EC20A0">
              <w:t>each</w:t>
            </w:r>
            <w:r w:rsidRPr="00EC20A0">
              <w:rPr>
                <w:spacing w:val="-7"/>
              </w:rPr>
              <w:t xml:space="preserve"> </w:t>
            </w:r>
            <w:r w:rsidRPr="00EC20A0">
              <w:t>provision</w:t>
            </w:r>
            <w:r w:rsidRPr="00EC20A0">
              <w:rPr>
                <w:spacing w:val="-6"/>
              </w:rPr>
              <w:t xml:space="preserve"> </w:t>
            </w:r>
            <w:r w:rsidRPr="00EC20A0">
              <w:t>on Form 805, Compliance Summary.</w:t>
            </w:r>
          </w:p>
        </w:tc>
        <w:tc>
          <w:tcPr>
            <w:tcW w:w="1152" w:type="dxa"/>
            <w:tcBorders>
              <w:top w:val="single" w:sz="2" w:space="0" w:color="000000"/>
              <w:left w:val="single" w:sz="2" w:space="0" w:color="000000"/>
              <w:right w:val="single" w:sz="2" w:space="0" w:color="000000"/>
            </w:tcBorders>
          </w:tcPr>
          <w:p w14:paraId="24D6111A" w14:textId="77777777" w:rsidR="00245300" w:rsidRPr="00EC20A0" w:rsidRDefault="00245300">
            <w:pPr>
              <w:pStyle w:val="TableParagraph"/>
              <w:rPr>
                <w:sz w:val="20"/>
              </w:rPr>
            </w:pPr>
          </w:p>
        </w:tc>
        <w:tc>
          <w:tcPr>
            <w:tcW w:w="1261" w:type="dxa"/>
            <w:tcBorders>
              <w:top w:val="single" w:sz="2" w:space="0" w:color="000000"/>
              <w:left w:val="single" w:sz="2" w:space="0" w:color="000000"/>
            </w:tcBorders>
          </w:tcPr>
          <w:p w14:paraId="24D6111B" w14:textId="77777777" w:rsidR="00245300" w:rsidRPr="00EC20A0" w:rsidRDefault="00245300">
            <w:pPr>
              <w:pStyle w:val="TableParagraph"/>
              <w:rPr>
                <w:sz w:val="20"/>
              </w:rPr>
            </w:pPr>
          </w:p>
        </w:tc>
      </w:tr>
    </w:tbl>
    <w:p w14:paraId="24D6111D" w14:textId="77777777" w:rsidR="00245300" w:rsidRPr="00EC20A0" w:rsidRDefault="00245300">
      <w:pPr>
        <w:rPr>
          <w:sz w:val="20"/>
        </w:rPr>
        <w:sectPr w:rsidR="00245300" w:rsidRPr="00EC20A0">
          <w:pgSz w:w="12240" w:h="15840"/>
          <w:pgMar w:top="1560" w:right="1320" w:bottom="940" w:left="1320" w:header="865" w:footer="742" w:gutter="0"/>
          <w:cols w:space="720"/>
        </w:sectPr>
      </w:pPr>
    </w:p>
    <w:p w14:paraId="24D6111E" w14:textId="77777777" w:rsidR="00245300" w:rsidRPr="00EC20A0" w:rsidRDefault="00F17249">
      <w:pPr>
        <w:pStyle w:val="Heading3"/>
        <w:spacing w:before="80"/>
        <w:rPr>
          <w:u w:val="none"/>
        </w:rPr>
      </w:pPr>
      <w:bookmarkStart w:id="224" w:name="806_–_Prompt_Payment_Act_(PPA),_as_Provi"/>
      <w:bookmarkStart w:id="225" w:name="_bookmark115"/>
      <w:bookmarkEnd w:id="224"/>
      <w:bookmarkEnd w:id="225"/>
      <w:r w:rsidRPr="00EC20A0">
        <w:t>806</w:t>
      </w:r>
      <w:r w:rsidRPr="00EC20A0">
        <w:rPr>
          <w:spacing w:val="-8"/>
        </w:rPr>
        <w:t xml:space="preserve"> </w:t>
      </w:r>
      <w:r w:rsidRPr="00EC20A0">
        <w:t>–</w:t>
      </w:r>
      <w:r w:rsidRPr="00EC20A0">
        <w:rPr>
          <w:spacing w:val="-5"/>
        </w:rPr>
        <w:t xml:space="preserve"> </w:t>
      </w:r>
      <w:r w:rsidRPr="00EC20A0">
        <w:t>Prompt</w:t>
      </w:r>
      <w:r w:rsidRPr="00EC20A0">
        <w:rPr>
          <w:spacing w:val="-6"/>
        </w:rPr>
        <w:t xml:space="preserve"> </w:t>
      </w:r>
      <w:r w:rsidRPr="00EC20A0">
        <w:t>Payment</w:t>
      </w:r>
      <w:r w:rsidRPr="00EC20A0">
        <w:rPr>
          <w:spacing w:val="-18"/>
        </w:rPr>
        <w:t xml:space="preserve"> </w:t>
      </w:r>
      <w:r w:rsidRPr="00EC20A0">
        <w:t>Act</w:t>
      </w:r>
      <w:r w:rsidRPr="00EC20A0">
        <w:rPr>
          <w:spacing w:val="-5"/>
        </w:rPr>
        <w:t xml:space="preserve"> </w:t>
      </w:r>
      <w:r w:rsidRPr="00EC20A0">
        <w:t>(PPA),</w:t>
      </w:r>
      <w:r w:rsidRPr="00EC20A0">
        <w:rPr>
          <w:spacing w:val="-6"/>
        </w:rPr>
        <w:t xml:space="preserve"> </w:t>
      </w:r>
      <w:r w:rsidRPr="00EC20A0">
        <w:t>a</w:t>
      </w:r>
      <w:bookmarkStart w:id="226" w:name="_bookmark117"/>
      <w:bookmarkEnd w:id="226"/>
      <w:r w:rsidRPr="00EC20A0">
        <w:t>s</w:t>
      </w:r>
      <w:r w:rsidRPr="00EC20A0">
        <w:rPr>
          <w:spacing w:val="-5"/>
        </w:rPr>
        <w:t xml:space="preserve"> </w:t>
      </w:r>
      <w:bookmarkStart w:id="227" w:name="_bookmark118"/>
      <w:bookmarkEnd w:id="227"/>
      <w:r w:rsidRPr="00EC20A0">
        <w:t>Provided</w:t>
      </w:r>
      <w:r w:rsidRPr="00EC20A0">
        <w:rPr>
          <w:spacing w:val="-7"/>
        </w:rPr>
        <w:t xml:space="preserve"> </w:t>
      </w:r>
      <w:r w:rsidRPr="00EC20A0">
        <w:t>in</w:t>
      </w:r>
      <w:r w:rsidRPr="00EC20A0">
        <w:rPr>
          <w:spacing w:val="-5"/>
        </w:rPr>
        <w:t xml:space="preserve"> </w:t>
      </w:r>
      <w:bookmarkStart w:id="228" w:name="_bookmark119"/>
      <w:bookmarkEnd w:id="228"/>
      <w:r w:rsidRPr="00EC20A0">
        <w:t>31</w:t>
      </w:r>
      <w:r w:rsidRPr="00EC20A0">
        <w:rPr>
          <w:spacing w:val="-6"/>
        </w:rPr>
        <w:t xml:space="preserve"> </w:t>
      </w:r>
      <w:r w:rsidRPr="00EC20A0">
        <w:t>U.</w:t>
      </w:r>
      <w:bookmarkStart w:id="229" w:name="_bookmark120"/>
      <w:bookmarkEnd w:id="229"/>
      <w:r w:rsidRPr="00EC20A0">
        <w:t>S.C</w:t>
      </w:r>
      <w:bookmarkStart w:id="230" w:name="_bookmark121"/>
      <w:bookmarkEnd w:id="230"/>
      <w:r w:rsidRPr="00EC20A0">
        <w:t>.</w:t>
      </w:r>
      <w:r w:rsidRPr="00EC20A0">
        <w:rPr>
          <w:spacing w:val="-6"/>
        </w:rPr>
        <w:t xml:space="preserve"> </w:t>
      </w:r>
      <w:r w:rsidRPr="00EC20A0">
        <w:t>Ch</w:t>
      </w:r>
      <w:bookmarkStart w:id="231" w:name="_bookmark116"/>
      <w:bookmarkEnd w:id="231"/>
      <w:r w:rsidRPr="00EC20A0">
        <w:t>apter</w:t>
      </w:r>
      <w:r w:rsidRPr="00EC20A0">
        <w:rPr>
          <w:spacing w:val="-6"/>
        </w:rPr>
        <w:t xml:space="preserve"> </w:t>
      </w:r>
      <w:r w:rsidRPr="00EC20A0">
        <w:rPr>
          <w:spacing w:val="-5"/>
        </w:rPr>
        <w:t>39</w:t>
      </w:r>
    </w:p>
    <w:p w14:paraId="24D6111F" w14:textId="77777777" w:rsidR="00245300" w:rsidRPr="00EC20A0" w:rsidRDefault="00F17249">
      <w:pPr>
        <w:pStyle w:val="BodyText"/>
        <w:spacing w:before="143"/>
        <w:ind w:left="119" w:right="83"/>
      </w:pPr>
      <w:r w:rsidRPr="00EC20A0">
        <w:t>Note: The auditor should complete this compliance summary or prepare equivalent documentation only if provisions of the Prompt Payment</w:t>
      </w:r>
      <w:r w:rsidRPr="00EC20A0">
        <w:rPr>
          <w:spacing w:val="-2"/>
        </w:rPr>
        <w:t xml:space="preserve"> </w:t>
      </w:r>
      <w:r w:rsidRPr="00EC20A0">
        <w:t>Act</w:t>
      </w:r>
      <w:r w:rsidRPr="00EC20A0">
        <w:rPr>
          <w:spacing w:val="-2"/>
        </w:rPr>
        <w:t xml:space="preserve"> </w:t>
      </w:r>
      <w:r w:rsidRPr="00EC20A0">
        <w:t>(PPA),</w:t>
      </w:r>
      <w:r w:rsidRPr="00EC20A0">
        <w:rPr>
          <w:spacing w:val="-2"/>
        </w:rPr>
        <w:t xml:space="preserve"> </w:t>
      </w:r>
      <w:r w:rsidRPr="00EC20A0">
        <w:t>as</w:t>
      </w:r>
      <w:r w:rsidRPr="00EC20A0">
        <w:rPr>
          <w:spacing w:val="-2"/>
        </w:rPr>
        <w:t xml:space="preserve"> </w:t>
      </w:r>
      <w:r w:rsidRPr="00EC20A0">
        <w:t>provided</w:t>
      </w:r>
      <w:r w:rsidRPr="00EC20A0">
        <w:rPr>
          <w:spacing w:val="-2"/>
        </w:rPr>
        <w:t xml:space="preserve"> </w:t>
      </w:r>
      <w:r w:rsidRPr="00EC20A0">
        <w:t>in</w:t>
      </w:r>
      <w:r w:rsidRPr="00EC20A0">
        <w:rPr>
          <w:spacing w:val="-3"/>
        </w:rPr>
        <w:t xml:space="preserve"> </w:t>
      </w:r>
      <w:r w:rsidRPr="00EC20A0">
        <w:t>31</w:t>
      </w:r>
      <w:r w:rsidRPr="00EC20A0">
        <w:rPr>
          <w:spacing w:val="-2"/>
        </w:rPr>
        <w:t xml:space="preserve"> </w:t>
      </w:r>
      <w:r w:rsidRPr="00EC20A0">
        <w:t>U.S.C.</w:t>
      </w:r>
      <w:r w:rsidRPr="00EC20A0">
        <w:rPr>
          <w:spacing w:val="-2"/>
        </w:rPr>
        <w:t xml:space="preserve"> </w:t>
      </w:r>
      <w:r w:rsidRPr="00EC20A0">
        <w:t>chapter</w:t>
      </w:r>
      <w:r w:rsidRPr="00EC20A0">
        <w:rPr>
          <w:spacing w:val="-2"/>
        </w:rPr>
        <w:t xml:space="preserve"> </w:t>
      </w:r>
      <w:r w:rsidRPr="00EC20A0">
        <w:t>39,</w:t>
      </w:r>
      <w:r w:rsidRPr="00EC20A0">
        <w:rPr>
          <w:spacing w:val="-2"/>
        </w:rPr>
        <w:t xml:space="preserve"> </w:t>
      </w:r>
      <w:r w:rsidRPr="00EC20A0">
        <w:t>are</w:t>
      </w:r>
      <w:r w:rsidRPr="00EC20A0">
        <w:rPr>
          <w:spacing w:val="-2"/>
        </w:rPr>
        <w:t xml:space="preserve"> </w:t>
      </w:r>
      <w:r w:rsidRPr="00EC20A0">
        <w:t>significant,</w:t>
      </w:r>
      <w:r w:rsidRPr="00EC20A0">
        <w:rPr>
          <w:spacing w:val="-2"/>
        </w:rPr>
        <w:t xml:space="preserve"> </w:t>
      </w:r>
      <w:r w:rsidRPr="00EC20A0">
        <w:t>as</w:t>
      </w:r>
      <w:r w:rsidRPr="00EC20A0">
        <w:rPr>
          <w:spacing w:val="-2"/>
        </w:rPr>
        <w:t xml:space="preserve"> </w:t>
      </w:r>
      <w:r w:rsidRPr="00EC20A0">
        <w:t>indicated</w:t>
      </w:r>
      <w:r w:rsidRPr="00EC20A0">
        <w:rPr>
          <w:spacing w:val="-2"/>
        </w:rPr>
        <w:t xml:space="preserve"> </w:t>
      </w:r>
      <w:r w:rsidRPr="00EC20A0">
        <w:t>on</w:t>
      </w:r>
      <w:r w:rsidRPr="00EC20A0">
        <w:rPr>
          <w:spacing w:val="-2"/>
        </w:rPr>
        <w:t xml:space="preserve"> </w:t>
      </w:r>
      <w:r w:rsidRPr="00EC20A0">
        <w:t>Form</w:t>
      </w:r>
      <w:r w:rsidRPr="00EC20A0">
        <w:rPr>
          <w:spacing w:val="-3"/>
        </w:rPr>
        <w:t xml:space="preserve"> </w:t>
      </w:r>
      <w:r w:rsidRPr="00EC20A0">
        <w:t>802,</w:t>
      </w:r>
      <w:r w:rsidRPr="00EC20A0">
        <w:rPr>
          <w:spacing w:val="-2"/>
        </w:rPr>
        <w:t xml:space="preserve"> </w:t>
      </w:r>
      <w:r w:rsidRPr="00EC20A0">
        <w:t>General</w:t>
      </w:r>
      <w:r w:rsidRPr="00EC20A0">
        <w:rPr>
          <w:spacing w:val="-2"/>
        </w:rPr>
        <w:t xml:space="preserve"> </w:t>
      </w:r>
      <w:r w:rsidRPr="00EC20A0">
        <w:t>Compliance</w:t>
      </w:r>
      <w:r w:rsidRPr="00EC20A0">
        <w:rPr>
          <w:spacing w:val="-2"/>
        </w:rPr>
        <w:t xml:space="preserve"> </w:t>
      </w:r>
      <w:r w:rsidRPr="00EC20A0">
        <w:t>Checklist,</w:t>
      </w:r>
      <w:r w:rsidRPr="00EC20A0">
        <w:rPr>
          <w:spacing w:val="-4"/>
        </w:rPr>
        <w:t xml:space="preserve"> </w:t>
      </w:r>
      <w:r w:rsidRPr="00EC20A0">
        <w:t>at page 802-7. Implementing regulations for the Prompt Payment Act are included in 5 C.F.R. Part 1315.</w:t>
      </w:r>
    </w:p>
    <w:p w14:paraId="24D61120" w14:textId="77777777" w:rsidR="00245300" w:rsidRPr="00EC20A0" w:rsidRDefault="00245300">
      <w:pPr>
        <w:pStyle w:val="BodyText"/>
        <w:spacing w:before="5"/>
        <w:rPr>
          <w:sz w:val="13"/>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4"/>
        <w:gridCol w:w="1980"/>
        <w:gridCol w:w="2201"/>
        <w:gridCol w:w="1517"/>
        <w:gridCol w:w="1488"/>
        <w:gridCol w:w="2534"/>
      </w:tblGrid>
      <w:tr w:rsidR="00245300" w:rsidRPr="00EC20A0" w14:paraId="24D61124" w14:textId="77777777">
        <w:trPr>
          <w:trHeight w:val="1574"/>
        </w:trPr>
        <w:tc>
          <w:tcPr>
            <w:tcW w:w="13284" w:type="dxa"/>
            <w:gridSpan w:val="6"/>
          </w:tcPr>
          <w:p w14:paraId="24D61121" w14:textId="77777777" w:rsidR="00245300" w:rsidRPr="00EC20A0" w:rsidRDefault="00F17249">
            <w:pPr>
              <w:pStyle w:val="TableParagraph"/>
              <w:tabs>
                <w:tab w:val="left" w:pos="9257"/>
              </w:tabs>
              <w:spacing w:before="144"/>
              <w:ind w:right="193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1122" w14:textId="77777777" w:rsidR="00245300" w:rsidRPr="00EC20A0" w:rsidRDefault="00F17249">
            <w:pPr>
              <w:pStyle w:val="TableParagraph"/>
              <w:spacing w:before="12"/>
              <w:ind w:left="1956" w:right="1935"/>
              <w:jc w:val="center"/>
              <w:rPr>
                <w:b/>
                <w:sz w:val="24"/>
              </w:rPr>
            </w:pPr>
            <w:r w:rsidRPr="00EC20A0">
              <w:rPr>
                <w:noProof/>
              </w:rPr>
              <mc:AlternateContent>
                <mc:Choice Requires="wpg">
                  <w:drawing>
                    <wp:anchor distT="0" distB="0" distL="0" distR="0" simplePos="0" relativeHeight="475319808" behindDoc="1" locked="0" layoutInCell="1" allowOverlap="1" wp14:anchorId="24D62BE5" wp14:editId="24D62BE6">
                      <wp:simplePos x="0" y="0"/>
                      <wp:positionH relativeFrom="column">
                        <wp:posOffset>7007352</wp:posOffset>
                      </wp:positionH>
                      <wp:positionV relativeFrom="paragraph">
                        <wp:posOffset>91895</wp:posOffset>
                      </wp:positionV>
                      <wp:extent cx="1359535" cy="635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550" name="Graphic 550"/>
                              <wps:cNvSpPr/>
                              <wps:spPr>
                                <a:xfrm>
                                  <a:off x="0" y="0"/>
                                  <a:ext cx="1359535" cy="6350"/>
                                </a:xfrm>
                                <a:custGeom>
                                  <a:avLst/>
                                  <a:gdLst/>
                                  <a:ahLst/>
                                  <a:cxnLst/>
                                  <a:rect l="l" t="t" r="r" b="b"/>
                                  <a:pathLst>
                                    <a:path w="1359535" h="6350">
                                      <a:moveTo>
                                        <a:pt x="1359407" y="0"/>
                                      </a:moveTo>
                                      <a:lnTo>
                                        <a:pt x="0" y="0"/>
                                      </a:lnTo>
                                      <a:lnTo>
                                        <a:pt x="0" y="6096"/>
                                      </a:lnTo>
                                      <a:lnTo>
                                        <a:pt x="1359407" y="6096"/>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FB012B" id="Group 549" o:spid="_x0000_s1026" style="position:absolute;margin-left:551.75pt;margin-top:7.25pt;width:107.05pt;height:.5pt;z-index:-27996672;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">
                      <v:shape id="Graphic 550"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" path="m1359407,l,,,6096r1359407,l1359407,xe" fillcolor="black" stroked="f">
                        <v:path arrowok="t"/>
                      </v:shape>
                    </v:group>
                  </w:pict>
                </mc:Fallback>
              </mc:AlternateContent>
            </w:r>
            <w:r w:rsidRPr="00EC20A0">
              <w:rPr>
                <w:noProof/>
              </w:rPr>
              <mc:AlternateContent>
                <mc:Choice Requires="wpg">
                  <w:drawing>
                    <wp:anchor distT="0" distB="0" distL="0" distR="0" simplePos="0" relativeHeight="475320832" behindDoc="1" locked="0" layoutInCell="1" allowOverlap="1" wp14:anchorId="24D62BE7" wp14:editId="24D62BE8">
                      <wp:simplePos x="0" y="0"/>
                      <wp:positionH relativeFrom="column">
                        <wp:posOffset>7007352</wp:posOffset>
                      </wp:positionH>
                      <wp:positionV relativeFrom="paragraph">
                        <wp:posOffset>441653</wp:posOffset>
                      </wp:positionV>
                      <wp:extent cx="1359535" cy="6350"/>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552" name="Graphic 552"/>
                              <wps:cNvSpPr/>
                              <wps:spPr>
                                <a:xfrm>
                                  <a:off x="0" y="0"/>
                                  <a:ext cx="1359535" cy="6350"/>
                                </a:xfrm>
                                <a:custGeom>
                                  <a:avLst/>
                                  <a:gdLst/>
                                  <a:ahLst/>
                                  <a:cxnLst/>
                                  <a:rect l="l" t="t" r="r" b="b"/>
                                  <a:pathLst>
                                    <a:path w="1359535" h="6350">
                                      <a:moveTo>
                                        <a:pt x="1359407" y="0"/>
                                      </a:moveTo>
                                      <a:lnTo>
                                        <a:pt x="0" y="0"/>
                                      </a:lnTo>
                                      <a:lnTo>
                                        <a:pt x="0" y="6096"/>
                                      </a:lnTo>
                                      <a:lnTo>
                                        <a:pt x="1359407" y="6096"/>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A66640" id="Group 551" o:spid="_x0000_s1026" style="position:absolute;margin-left:551.75pt;margin-top:34.8pt;width:107.05pt;height:.5pt;z-index:-27995648;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">
                      <v:shape id="Graphic 552"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" path="m1359407,l,,,6096r1359407,l1359407,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123" w14:textId="77777777" w:rsidR="00245300" w:rsidRPr="00EC20A0" w:rsidRDefault="00F17249">
            <w:pPr>
              <w:pStyle w:val="TableParagraph"/>
              <w:tabs>
                <w:tab w:val="left" w:pos="8951"/>
              </w:tabs>
              <w:spacing w:before="10"/>
              <w:ind w:right="1691"/>
              <w:jc w:val="center"/>
            </w:pPr>
            <w:r w:rsidRPr="00EC20A0">
              <w:rPr>
                <w:noProof/>
              </w:rPr>
              <mc:AlternateContent>
                <mc:Choice Requires="wpg">
                  <w:drawing>
                    <wp:anchor distT="0" distB="0" distL="0" distR="0" simplePos="0" relativeHeight="475319296" behindDoc="1" locked="0" layoutInCell="1" allowOverlap="1" wp14:anchorId="24D62BE9" wp14:editId="24D62BEA">
                      <wp:simplePos x="0" y="0"/>
                      <wp:positionH relativeFrom="column">
                        <wp:posOffset>1267967</wp:posOffset>
                      </wp:positionH>
                      <wp:positionV relativeFrom="paragraph">
                        <wp:posOffset>-91185</wp:posOffset>
                      </wp:positionV>
                      <wp:extent cx="1195705" cy="635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554" name="Graphic 554"/>
                              <wps:cNvSpPr/>
                              <wps:spPr>
                                <a:xfrm>
                                  <a:off x="0" y="0"/>
                                  <a:ext cx="1195705" cy="6350"/>
                                </a:xfrm>
                                <a:custGeom>
                                  <a:avLst/>
                                  <a:gdLst/>
                                  <a:ahLst/>
                                  <a:cxnLst/>
                                  <a:rect l="l" t="t" r="r" b="b"/>
                                  <a:pathLst>
                                    <a:path w="1195705" h="6350">
                                      <a:moveTo>
                                        <a:pt x="1195577" y="0"/>
                                      </a:moveTo>
                                      <a:lnTo>
                                        <a:pt x="0" y="0"/>
                                      </a:lnTo>
                                      <a:lnTo>
                                        <a:pt x="0" y="6096"/>
                                      </a:lnTo>
                                      <a:lnTo>
                                        <a:pt x="1195577" y="6096"/>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705F6C" id="Group 553" o:spid="_x0000_s1026" style="position:absolute;margin-left:99.85pt;margin-top:-7.2pt;width:94.15pt;height:.5pt;z-index:-27997184;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">
                      <v:shape id="Graphic 554"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" path="m1195577,l,,,6096r1195577,l1195577,xe" fillcolor="black" stroked="f">
                        <v:path arrowok="t"/>
                      </v:shape>
                    </v:group>
                  </w:pict>
                </mc:Fallback>
              </mc:AlternateContent>
            </w:r>
            <w:r w:rsidRPr="00EC20A0">
              <w:rPr>
                <w:noProof/>
              </w:rPr>
              <mc:AlternateContent>
                <mc:Choice Requires="wpg">
                  <w:drawing>
                    <wp:anchor distT="0" distB="0" distL="0" distR="0" simplePos="0" relativeHeight="475320320" behindDoc="1" locked="0" layoutInCell="1" allowOverlap="1" wp14:anchorId="24D62BEB" wp14:editId="24D62BEC">
                      <wp:simplePos x="0" y="0"/>
                      <wp:positionH relativeFrom="column">
                        <wp:posOffset>1267967</wp:posOffset>
                      </wp:positionH>
                      <wp:positionV relativeFrom="paragraph">
                        <wp:posOffset>258572</wp:posOffset>
                      </wp:positionV>
                      <wp:extent cx="1195705" cy="635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556" name="Graphic 556"/>
                              <wps:cNvSpPr/>
                              <wps:spPr>
                                <a:xfrm>
                                  <a:off x="0" y="0"/>
                                  <a:ext cx="1195705" cy="6350"/>
                                </a:xfrm>
                                <a:custGeom>
                                  <a:avLst/>
                                  <a:gdLst/>
                                  <a:ahLst/>
                                  <a:cxnLst/>
                                  <a:rect l="l" t="t" r="r" b="b"/>
                                  <a:pathLst>
                                    <a:path w="1195705" h="6350">
                                      <a:moveTo>
                                        <a:pt x="1195577" y="0"/>
                                      </a:moveTo>
                                      <a:lnTo>
                                        <a:pt x="0" y="0"/>
                                      </a:lnTo>
                                      <a:lnTo>
                                        <a:pt x="0" y="6096"/>
                                      </a:lnTo>
                                      <a:lnTo>
                                        <a:pt x="1195577" y="6096"/>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FAE564" id="Group 555" o:spid="_x0000_s1026" style="position:absolute;margin-left:99.85pt;margin-top:20.35pt;width:94.15pt;height:.5pt;z-index:-27996160;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">
                      <v:shape id="Graphic 556"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" path="m1195577,l,,,6096r1195577,l1195577,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12F" w14:textId="77777777">
        <w:trPr>
          <w:trHeight w:val="793"/>
        </w:trPr>
        <w:tc>
          <w:tcPr>
            <w:tcW w:w="3564" w:type="dxa"/>
            <w:tcBorders>
              <w:right w:val="single" w:sz="4" w:space="0" w:color="000000"/>
            </w:tcBorders>
          </w:tcPr>
          <w:p w14:paraId="24D61125" w14:textId="77777777" w:rsidR="00245300" w:rsidRPr="00EC20A0" w:rsidRDefault="00245300">
            <w:pPr>
              <w:pStyle w:val="TableParagraph"/>
              <w:spacing w:before="143"/>
            </w:pPr>
          </w:p>
          <w:p w14:paraId="24D61126"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980" w:type="dxa"/>
            <w:tcBorders>
              <w:left w:val="single" w:sz="4" w:space="0" w:color="000000"/>
              <w:right w:val="single" w:sz="4" w:space="0" w:color="000000"/>
            </w:tcBorders>
          </w:tcPr>
          <w:p w14:paraId="24D61127" w14:textId="77777777" w:rsidR="00245300" w:rsidRPr="00EC20A0" w:rsidRDefault="00245300">
            <w:pPr>
              <w:pStyle w:val="TableParagraph"/>
              <w:spacing w:before="143"/>
            </w:pPr>
          </w:p>
          <w:p w14:paraId="24D61128" w14:textId="77777777" w:rsidR="00245300" w:rsidRPr="00EC20A0" w:rsidRDefault="00F17249">
            <w:pPr>
              <w:pStyle w:val="TableParagraph"/>
              <w:ind w:left="107"/>
            </w:pPr>
            <w:r w:rsidRPr="00EC20A0">
              <w:rPr>
                <w:spacing w:val="-2"/>
              </w:rPr>
              <w:t>Objective</w:t>
            </w:r>
          </w:p>
        </w:tc>
        <w:tc>
          <w:tcPr>
            <w:tcW w:w="2201" w:type="dxa"/>
            <w:tcBorders>
              <w:left w:val="single" w:sz="4" w:space="0" w:color="000000"/>
              <w:right w:val="single" w:sz="4" w:space="0" w:color="000000"/>
            </w:tcBorders>
          </w:tcPr>
          <w:p w14:paraId="24D61129" w14:textId="77777777" w:rsidR="00245300" w:rsidRPr="00EC20A0" w:rsidRDefault="00245300">
            <w:pPr>
              <w:pStyle w:val="TableParagraph"/>
              <w:spacing w:before="143"/>
            </w:pPr>
          </w:p>
          <w:p w14:paraId="24D6112A"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17" w:type="dxa"/>
            <w:tcBorders>
              <w:left w:val="single" w:sz="4" w:space="0" w:color="000000"/>
              <w:right w:val="single" w:sz="4" w:space="0" w:color="000000"/>
            </w:tcBorders>
          </w:tcPr>
          <w:p w14:paraId="24D6112B" w14:textId="77777777" w:rsidR="00245300" w:rsidRPr="00EC20A0" w:rsidRDefault="00245300">
            <w:pPr>
              <w:pStyle w:val="TableParagraph"/>
              <w:spacing w:before="143"/>
            </w:pPr>
          </w:p>
          <w:p w14:paraId="24D6112C"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488" w:type="dxa"/>
            <w:tcBorders>
              <w:left w:val="single" w:sz="4" w:space="0" w:color="000000"/>
              <w:right w:val="single" w:sz="4" w:space="0" w:color="000000"/>
            </w:tcBorders>
          </w:tcPr>
          <w:p w14:paraId="24D6112D" w14:textId="77777777" w:rsidR="00245300" w:rsidRPr="00EC20A0" w:rsidRDefault="00F17249">
            <w:pPr>
              <w:pStyle w:val="TableParagraph"/>
              <w:spacing w:before="143"/>
              <w:ind w:left="107" w:right="150"/>
            </w:pPr>
            <w:r w:rsidRPr="00EC20A0">
              <w:rPr>
                <w:spacing w:val="-2"/>
              </w:rPr>
              <w:t>Effective controls?</w:t>
            </w:r>
          </w:p>
        </w:tc>
        <w:tc>
          <w:tcPr>
            <w:tcW w:w="2534" w:type="dxa"/>
            <w:tcBorders>
              <w:left w:val="single" w:sz="4" w:space="0" w:color="000000"/>
            </w:tcBorders>
          </w:tcPr>
          <w:p w14:paraId="24D6112E"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13D" w14:textId="77777777">
        <w:trPr>
          <w:trHeight w:val="4365"/>
        </w:trPr>
        <w:tc>
          <w:tcPr>
            <w:tcW w:w="3564" w:type="dxa"/>
            <w:tcBorders>
              <w:bottom w:val="single" w:sz="4" w:space="0" w:color="000000"/>
              <w:right w:val="single" w:sz="4" w:space="0" w:color="000000"/>
            </w:tcBorders>
          </w:tcPr>
          <w:p w14:paraId="24D61130" w14:textId="77777777" w:rsidR="00245300" w:rsidRPr="00EC20A0" w:rsidRDefault="00F17249">
            <w:pPr>
              <w:pStyle w:val="TableParagraph"/>
              <w:spacing w:before="143"/>
              <w:ind w:left="817" w:hanging="720"/>
              <w:rPr>
                <w:sz w:val="18"/>
              </w:rPr>
            </w:pPr>
            <w:r w:rsidRPr="00EC20A0">
              <w:rPr>
                <w:smallCaps/>
                <w:sz w:val="18"/>
              </w:rPr>
              <w:t>806.01.</w:t>
            </w:r>
            <w:r w:rsidRPr="00EC20A0">
              <w:rPr>
                <w:smallCaps/>
                <w:spacing w:val="-3"/>
                <w:sz w:val="18"/>
              </w:rPr>
              <w:t xml:space="preserve"> </w:t>
            </w:r>
            <w:r w:rsidRPr="00EC20A0">
              <w:rPr>
                <w:smallCaps/>
                <w:spacing w:val="16"/>
                <w:sz w:val="18"/>
              </w:rPr>
              <w:t xml:space="preserve"> </w:t>
            </w:r>
            <w:r w:rsidRPr="00EC20A0">
              <w:rPr>
                <w:smallCaps/>
                <w:sz w:val="18"/>
              </w:rPr>
              <w:t>Interest</w:t>
            </w:r>
            <w:r w:rsidRPr="00EC20A0">
              <w:rPr>
                <w:smallCaps/>
                <w:spacing w:val="-2"/>
                <w:sz w:val="18"/>
              </w:rPr>
              <w:t xml:space="preserve"> </w:t>
            </w:r>
            <w:r w:rsidRPr="00EC20A0">
              <w:rPr>
                <w:smallCaps/>
                <w:sz w:val="18"/>
              </w:rPr>
              <w:t>Penalties</w:t>
            </w:r>
            <w:r w:rsidRPr="00EC20A0">
              <w:rPr>
                <w:smallCaps/>
                <w:spacing w:val="-4"/>
                <w:sz w:val="18"/>
              </w:rPr>
              <w:t xml:space="preserve"> </w:t>
            </w:r>
            <w:r w:rsidRPr="00EC20A0">
              <w:rPr>
                <w:smallCaps/>
                <w:sz w:val="18"/>
              </w:rPr>
              <w:t>for</w:t>
            </w:r>
            <w:r w:rsidRPr="00EC20A0">
              <w:rPr>
                <w:smallCaps/>
                <w:spacing w:val="-3"/>
                <w:sz w:val="18"/>
              </w:rPr>
              <w:t xml:space="preserve"> </w:t>
            </w:r>
            <w:r w:rsidRPr="00EC20A0">
              <w:rPr>
                <w:smallCaps/>
                <w:sz w:val="18"/>
              </w:rPr>
              <w:t>Late</w:t>
            </w:r>
            <w:r w:rsidRPr="00EC20A0">
              <w:rPr>
                <w:smallCaps/>
                <w:spacing w:val="40"/>
                <w:sz w:val="18"/>
              </w:rPr>
              <w:t xml:space="preserve"> </w:t>
            </w:r>
            <w:r w:rsidRPr="00EC20A0">
              <w:rPr>
                <w:smallCaps/>
                <w:spacing w:val="-2"/>
                <w:sz w:val="18"/>
              </w:rPr>
              <w:t>Payments.</w:t>
            </w:r>
          </w:p>
          <w:p w14:paraId="24D61131" w14:textId="77777777" w:rsidR="00245300" w:rsidRPr="00EC20A0" w:rsidRDefault="00F17249">
            <w:pPr>
              <w:pStyle w:val="TableParagraph"/>
              <w:spacing w:before="146"/>
              <w:ind w:left="97"/>
              <w:rPr>
                <w:sz w:val="18"/>
              </w:rPr>
            </w:pPr>
            <w:r w:rsidRPr="00EC20A0">
              <w:rPr>
                <w:sz w:val="18"/>
              </w:rPr>
              <w:t>Provision</w:t>
            </w:r>
            <w:r w:rsidRPr="00EC20A0">
              <w:rPr>
                <w:spacing w:val="-10"/>
                <w:sz w:val="18"/>
              </w:rPr>
              <w:t xml:space="preserve"> </w:t>
            </w:r>
            <w:r w:rsidRPr="00EC20A0">
              <w:rPr>
                <w:sz w:val="18"/>
              </w:rPr>
              <w:t>Type:</w:t>
            </w:r>
            <w:r w:rsidRPr="00EC20A0">
              <w:rPr>
                <w:spacing w:val="-8"/>
                <w:sz w:val="18"/>
              </w:rPr>
              <w:t xml:space="preserve"> </w:t>
            </w:r>
            <w:r w:rsidRPr="00EC20A0">
              <w:rPr>
                <w:sz w:val="18"/>
              </w:rPr>
              <w:t>Transaction-</w:t>
            </w:r>
            <w:r w:rsidRPr="00EC20A0">
              <w:rPr>
                <w:spacing w:val="-2"/>
                <w:sz w:val="18"/>
              </w:rPr>
              <w:t>based.</w:t>
            </w:r>
          </w:p>
          <w:p w14:paraId="24D61132" w14:textId="77777777" w:rsidR="00245300" w:rsidRPr="00EC20A0" w:rsidRDefault="00F17249">
            <w:pPr>
              <w:pStyle w:val="TableParagraph"/>
              <w:spacing w:before="143" w:line="235" w:lineRule="auto"/>
              <w:ind w:left="97" w:right="158" w:hanging="1"/>
              <w:rPr>
                <w:sz w:val="18"/>
              </w:rPr>
            </w:pPr>
            <w:r w:rsidRPr="00EC20A0">
              <w:rPr>
                <w:sz w:val="18"/>
              </w:rPr>
              <w:t>If</w:t>
            </w:r>
            <w:r w:rsidRPr="00EC20A0">
              <w:rPr>
                <w:spacing w:val="-5"/>
                <w:sz w:val="18"/>
              </w:rPr>
              <w:t xml:space="preserve"> </w:t>
            </w:r>
            <w:r w:rsidRPr="00EC20A0">
              <w:rPr>
                <w:sz w:val="18"/>
              </w:rPr>
              <w:t>payment</w:t>
            </w:r>
            <w:r w:rsidRPr="00EC20A0">
              <w:rPr>
                <w:spacing w:val="-5"/>
                <w:sz w:val="18"/>
              </w:rPr>
              <w:t xml:space="preserve"> </w:t>
            </w:r>
            <w:r w:rsidRPr="00EC20A0">
              <w:rPr>
                <w:sz w:val="18"/>
              </w:rPr>
              <w:t>for</w:t>
            </w:r>
            <w:r w:rsidRPr="00EC20A0">
              <w:rPr>
                <w:spacing w:val="-5"/>
                <w:sz w:val="18"/>
              </w:rPr>
              <w:t xml:space="preserve"> </w:t>
            </w:r>
            <w:r w:rsidRPr="00EC20A0">
              <w:rPr>
                <w:sz w:val="18"/>
              </w:rPr>
              <w:t>property</w:t>
            </w:r>
            <w:r w:rsidRPr="00EC20A0">
              <w:rPr>
                <w:spacing w:val="-5"/>
                <w:sz w:val="18"/>
              </w:rPr>
              <w:t xml:space="preserve"> </w:t>
            </w:r>
            <w:r w:rsidRPr="00EC20A0">
              <w:rPr>
                <w:sz w:val="18"/>
              </w:rPr>
              <w:t>or</w:t>
            </w:r>
            <w:r w:rsidRPr="00EC20A0">
              <w:rPr>
                <w:spacing w:val="-5"/>
                <w:sz w:val="18"/>
              </w:rPr>
              <w:t xml:space="preserve"> </w:t>
            </w:r>
            <w:r w:rsidRPr="00EC20A0">
              <w:rPr>
                <w:sz w:val="18"/>
              </w:rPr>
              <w:t>services</w:t>
            </w:r>
            <w:hyperlink w:anchor="_bookmark116" w:history="1">
              <w:r w:rsidRPr="00EC20A0">
                <w:rPr>
                  <w:position w:val="6"/>
                  <w:sz w:val="12"/>
                </w:rPr>
                <w:t>41</w:t>
              </w:r>
            </w:hyperlink>
            <w:r w:rsidRPr="00EC20A0">
              <w:rPr>
                <w:spacing w:val="12"/>
                <w:position w:val="6"/>
                <w:sz w:val="12"/>
              </w:rPr>
              <w:t xml:space="preserve"> </w:t>
            </w:r>
            <w:r w:rsidRPr="00EC20A0">
              <w:rPr>
                <w:sz w:val="18"/>
              </w:rPr>
              <w:t>from a business concern is not made</w:t>
            </w:r>
            <w:hyperlink w:anchor="_bookmark117" w:history="1">
              <w:r w:rsidRPr="00EC20A0">
                <w:rPr>
                  <w:position w:val="6"/>
                  <w:sz w:val="12"/>
                </w:rPr>
                <w:t>42</w:t>
              </w:r>
            </w:hyperlink>
            <w:r w:rsidRPr="00EC20A0">
              <w:rPr>
                <w:spacing w:val="23"/>
                <w:position w:val="6"/>
                <w:sz w:val="12"/>
              </w:rPr>
              <w:t xml:space="preserve"> </w:t>
            </w:r>
            <w:r w:rsidRPr="00EC20A0">
              <w:rPr>
                <w:sz w:val="18"/>
              </w:rPr>
              <w:t>by the required due date,</w:t>
            </w:r>
            <w:hyperlink w:anchor="_bookmark118" w:history="1">
              <w:r w:rsidRPr="00EC20A0">
                <w:rPr>
                  <w:position w:val="6"/>
                  <w:sz w:val="12"/>
                </w:rPr>
                <w:t>43</w:t>
              </w:r>
            </w:hyperlink>
            <w:r w:rsidRPr="00EC20A0">
              <w:rPr>
                <w:spacing w:val="40"/>
                <w:position w:val="6"/>
                <w:sz w:val="12"/>
              </w:rPr>
              <w:t xml:space="preserve"> </w:t>
            </w:r>
            <w:r w:rsidRPr="00EC20A0">
              <w:rPr>
                <w:sz w:val="18"/>
              </w:rPr>
              <w:t>then an interest penalty</w:t>
            </w:r>
            <w:hyperlink w:anchor="_bookmark119" w:history="1">
              <w:r w:rsidRPr="00EC20A0">
                <w:rPr>
                  <w:position w:val="6"/>
                  <w:sz w:val="12"/>
                </w:rPr>
                <w:t>44</w:t>
              </w:r>
            </w:hyperlink>
            <w:r w:rsidRPr="00EC20A0">
              <w:rPr>
                <w:spacing w:val="22"/>
                <w:position w:val="6"/>
                <w:sz w:val="12"/>
              </w:rPr>
              <w:t xml:space="preserve"> </w:t>
            </w:r>
            <w:r w:rsidRPr="00EC20A0">
              <w:rPr>
                <w:sz w:val="18"/>
              </w:rPr>
              <w:t>shall be paid to the concern on the amount of the payment due.</w:t>
            </w:r>
            <w:hyperlink w:anchor="_bookmark120" w:history="1">
              <w:r w:rsidRPr="00EC20A0">
                <w:rPr>
                  <w:position w:val="6"/>
                  <w:sz w:val="12"/>
                </w:rPr>
                <w:t>45</w:t>
              </w:r>
            </w:hyperlink>
            <w:r w:rsidRPr="00EC20A0">
              <w:rPr>
                <w:spacing w:val="40"/>
                <w:position w:val="6"/>
                <w:sz w:val="12"/>
              </w:rPr>
              <w:t xml:space="preserve"> </w:t>
            </w:r>
            <w:r w:rsidRPr="00EC20A0">
              <w:rPr>
                <w:sz w:val="18"/>
              </w:rPr>
              <w:t>31</w:t>
            </w:r>
          </w:p>
          <w:p w14:paraId="24D61133" w14:textId="77777777" w:rsidR="00245300" w:rsidRPr="00EC20A0" w:rsidRDefault="00F17249">
            <w:pPr>
              <w:pStyle w:val="TableParagraph"/>
              <w:spacing w:before="2"/>
              <w:ind w:left="97" w:right="65"/>
              <w:rPr>
                <w:sz w:val="18"/>
              </w:rPr>
            </w:pPr>
            <w:r w:rsidRPr="00EC20A0">
              <w:rPr>
                <w:sz w:val="18"/>
              </w:rPr>
              <w:t>U.S.C. § 3902(a). The interest penalty shall be paid for the period beginning on the day after the required payment date and</w:t>
            </w:r>
            <w:r w:rsidRPr="00EC20A0">
              <w:rPr>
                <w:spacing w:val="-6"/>
                <w:sz w:val="18"/>
              </w:rPr>
              <w:t xml:space="preserve"> </w:t>
            </w:r>
            <w:r w:rsidRPr="00EC20A0">
              <w:rPr>
                <w:sz w:val="18"/>
              </w:rPr>
              <w:t>ending</w:t>
            </w:r>
            <w:r w:rsidRPr="00EC20A0">
              <w:rPr>
                <w:spacing w:val="-6"/>
                <w:sz w:val="18"/>
              </w:rPr>
              <w:t xml:space="preserve"> </w:t>
            </w:r>
            <w:r w:rsidRPr="00EC20A0">
              <w:rPr>
                <w:sz w:val="18"/>
              </w:rPr>
              <w:t>on</w:t>
            </w:r>
            <w:r w:rsidRPr="00EC20A0">
              <w:rPr>
                <w:spacing w:val="-5"/>
                <w:sz w:val="18"/>
              </w:rPr>
              <w:t xml:space="preserve"> </w:t>
            </w:r>
            <w:r w:rsidRPr="00EC20A0">
              <w:rPr>
                <w:sz w:val="18"/>
              </w:rPr>
              <w:t>the</w:t>
            </w:r>
            <w:r w:rsidRPr="00EC20A0">
              <w:rPr>
                <w:spacing w:val="-6"/>
                <w:sz w:val="18"/>
              </w:rPr>
              <w:t xml:space="preserve"> </w:t>
            </w:r>
            <w:r w:rsidRPr="00EC20A0">
              <w:rPr>
                <w:sz w:val="18"/>
              </w:rPr>
              <w:t>date</w:t>
            </w:r>
            <w:r w:rsidRPr="00EC20A0">
              <w:rPr>
                <w:spacing w:val="-6"/>
                <w:sz w:val="18"/>
              </w:rPr>
              <w:t xml:space="preserve"> </w:t>
            </w:r>
            <w:r w:rsidRPr="00EC20A0">
              <w:rPr>
                <w:sz w:val="18"/>
              </w:rPr>
              <w:t>on</w:t>
            </w:r>
            <w:r w:rsidRPr="00EC20A0">
              <w:rPr>
                <w:spacing w:val="-6"/>
                <w:sz w:val="18"/>
              </w:rPr>
              <w:t xml:space="preserve"> </w:t>
            </w:r>
            <w:r w:rsidRPr="00EC20A0">
              <w:rPr>
                <w:sz w:val="18"/>
              </w:rPr>
              <w:t>which</w:t>
            </w:r>
            <w:r w:rsidRPr="00EC20A0">
              <w:rPr>
                <w:spacing w:val="-6"/>
                <w:sz w:val="18"/>
              </w:rPr>
              <w:t xml:space="preserve"> </w:t>
            </w:r>
            <w:r w:rsidRPr="00EC20A0">
              <w:rPr>
                <w:sz w:val="18"/>
              </w:rPr>
              <w:t>payment is made.</w:t>
            </w:r>
            <w:hyperlink w:anchor="_bookmark121" w:history="1">
              <w:r w:rsidRPr="00EC20A0">
                <w:rPr>
                  <w:position w:val="6"/>
                  <w:sz w:val="12"/>
                </w:rPr>
                <w:t>46</w:t>
              </w:r>
            </w:hyperlink>
            <w:r w:rsidRPr="00EC20A0">
              <w:rPr>
                <w:spacing w:val="40"/>
                <w:position w:val="6"/>
                <w:sz w:val="12"/>
              </w:rPr>
              <w:t xml:space="preserve"> </w:t>
            </w:r>
            <w:r w:rsidRPr="00EC20A0">
              <w:rPr>
                <w:sz w:val="18"/>
              </w:rPr>
              <w:t>31 U.S.C. § 3902(b).</w:t>
            </w:r>
          </w:p>
        </w:tc>
        <w:tc>
          <w:tcPr>
            <w:tcW w:w="1980" w:type="dxa"/>
            <w:tcBorders>
              <w:left w:val="single" w:sz="4" w:space="0" w:color="000000"/>
              <w:bottom w:val="single" w:sz="4" w:space="0" w:color="000000"/>
              <w:right w:val="single" w:sz="4" w:space="0" w:color="000000"/>
            </w:tcBorders>
          </w:tcPr>
          <w:p w14:paraId="24D61134" w14:textId="77777777" w:rsidR="00245300" w:rsidRPr="00EC20A0" w:rsidRDefault="00F17249">
            <w:pPr>
              <w:pStyle w:val="TableParagraph"/>
              <w:spacing w:before="143"/>
              <w:ind w:left="466" w:right="153" w:hanging="359"/>
              <w:rPr>
                <w:sz w:val="18"/>
              </w:rPr>
            </w:pPr>
            <w:r w:rsidRPr="00EC20A0">
              <w:rPr>
                <w:sz w:val="18"/>
              </w:rPr>
              <w:t>1a.</w:t>
            </w:r>
            <w:r w:rsidRPr="00EC20A0">
              <w:rPr>
                <w:spacing w:val="40"/>
                <w:sz w:val="18"/>
              </w:rPr>
              <w:t xml:space="preserve"> </w:t>
            </w:r>
            <w:r w:rsidRPr="00EC20A0">
              <w:rPr>
                <w:sz w:val="18"/>
              </w:rPr>
              <w:t>All</w:t>
            </w:r>
            <w:r w:rsidRPr="00EC20A0">
              <w:rPr>
                <w:spacing w:val="-2"/>
                <w:sz w:val="18"/>
              </w:rPr>
              <w:t xml:space="preserve"> </w:t>
            </w:r>
            <w:r w:rsidRPr="00EC20A0">
              <w:rPr>
                <w:sz w:val="18"/>
              </w:rPr>
              <w:t>payments</w:t>
            </w:r>
            <w:r w:rsidRPr="00EC20A0">
              <w:rPr>
                <w:spacing w:val="-2"/>
                <w:sz w:val="18"/>
              </w:rPr>
              <w:t xml:space="preserve"> </w:t>
            </w:r>
            <w:r w:rsidRPr="00EC20A0">
              <w:rPr>
                <w:sz w:val="18"/>
              </w:rPr>
              <w:t>for property or services</w:t>
            </w:r>
            <w:r w:rsidRPr="00EC20A0">
              <w:rPr>
                <w:spacing w:val="-15"/>
                <w:sz w:val="18"/>
              </w:rPr>
              <w:t xml:space="preserve"> </w:t>
            </w:r>
            <w:r w:rsidRPr="00EC20A0">
              <w:rPr>
                <w:sz w:val="18"/>
              </w:rPr>
              <w:t>that</w:t>
            </w:r>
            <w:r w:rsidRPr="00EC20A0">
              <w:rPr>
                <w:spacing w:val="-12"/>
                <w:sz w:val="18"/>
              </w:rPr>
              <w:t xml:space="preserve"> </w:t>
            </w:r>
            <w:r w:rsidRPr="00EC20A0">
              <w:rPr>
                <w:sz w:val="18"/>
              </w:rPr>
              <w:t>are not</w:t>
            </w:r>
            <w:r w:rsidRPr="00EC20A0">
              <w:rPr>
                <w:spacing w:val="-3"/>
                <w:sz w:val="18"/>
              </w:rPr>
              <w:t xml:space="preserve"> </w:t>
            </w:r>
            <w:r w:rsidRPr="00EC20A0">
              <w:rPr>
                <w:sz w:val="18"/>
              </w:rPr>
              <w:t>made</w:t>
            </w:r>
            <w:r w:rsidRPr="00EC20A0">
              <w:rPr>
                <w:spacing w:val="-4"/>
                <w:sz w:val="18"/>
              </w:rPr>
              <w:t xml:space="preserve"> </w:t>
            </w:r>
            <w:r w:rsidRPr="00EC20A0">
              <w:rPr>
                <w:sz w:val="18"/>
              </w:rPr>
              <w:t>by</w:t>
            </w:r>
            <w:r w:rsidRPr="00EC20A0">
              <w:rPr>
                <w:spacing w:val="-3"/>
                <w:sz w:val="18"/>
              </w:rPr>
              <w:t xml:space="preserve"> </w:t>
            </w:r>
            <w:r w:rsidRPr="00EC20A0">
              <w:rPr>
                <w:sz w:val="18"/>
              </w:rPr>
              <w:t>the payment due date are identified. (See note 1.)</w:t>
            </w:r>
          </w:p>
          <w:p w14:paraId="24D61135" w14:textId="77777777" w:rsidR="00245300" w:rsidRPr="00EC20A0" w:rsidRDefault="00F17249">
            <w:pPr>
              <w:pStyle w:val="TableParagraph"/>
              <w:spacing w:before="145"/>
              <w:ind w:left="466" w:right="135" w:hanging="359"/>
              <w:rPr>
                <w:sz w:val="18"/>
              </w:rPr>
            </w:pPr>
            <w:r w:rsidRPr="00EC20A0">
              <w:rPr>
                <w:sz w:val="18"/>
              </w:rPr>
              <w:t>1b.</w:t>
            </w:r>
            <w:r w:rsidRPr="00EC20A0">
              <w:rPr>
                <w:spacing w:val="29"/>
                <w:sz w:val="18"/>
              </w:rPr>
              <w:t xml:space="preserve"> </w:t>
            </w:r>
            <w:r w:rsidRPr="00EC20A0">
              <w:rPr>
                <w:sz w:val="18"/>
              </w:rPr>
              <w:t>Interest</w:t>
            </w:r>
            <w:r w:rsidRPr="00EC20A0">
              <w:rPr>
                <w:spacing w:val="-13"/>
                <w:sz w:val="18"/>
              </w:rPr>
              <w:t xml:space="preserve"> </w:t>
            </w:r>
            <w:r w:rsidRPr="00EC20A0">
              <w:rPr>
                <w:sz w:val="18"/>
              </w:rPr>
              <w:t xml:space="preserve">penalties are </w:t>
            </w:r>
            <w:r w:rsidRPr="00EC20A0">
              <w:rPr>
                <w:sz w:val="18"/>
              </w:rPr>
              <w:t>calculated and paid on the past</w:t>
            </w:r>
            <w:r w:rsidRPr="00EC20A0">
              <w:rPr>
                <w:spacing w:val="-7"/>
                <w:sz w:val="18"/>
              </w:rPr>
              <w:t xml:space="preserve"> </w:t>
            </w:r>
            <w:r w:rsidRPr="00EC20A0">
              <w:rPr>
                <w:sz w:val="18"/>
              </w:rPr>
              <w:t>due</w:t>
            </w:r>
            <w:r w:rsidRPr="00EC20A0">
              <w:rPr>
                <w:spacing w:val="-6"/>
                <w:sz w:val="18"/>
              </w:rPr>
              <w:t xml:space="preserve"> </w:t>
            </w:r>
            <w:r w:rsidRPr="00EC20A0">
              <w:rPr>
                <w:sz w:val="18"/>
              </w:rPr>
              <w:t xml:space="preserve">amount using the </w:t>
            </w:r>
            <w:r w:rsidRPr="00EC20A0">
              <w:rPr>
                <w:spacing w:val="-2"/>
                <w:sz w:val="18"/>
              </w:rPr>
              <w:t xml:space="preserve">appropriate </w:t>
            </w:r>
            <w:r w:rsidRPr="00EC20A0">
              <w:rPr>
                <w:sz w:val="18"/>
              </w:rPr>
              <w:t>interest rate and period. (See footnotes 40</w:t>
            </w:r>
          </w:p>
          <w:p w14:paraId="24D61136" w14:textId="77777777" w:rsidR="00245300" w:rsidRPr="00EC20A0" w:rsidRDefault="00F17249">
            <w:pPr>
              <w:pStyle w:val="TableParagraph"/>
              <w:ind w:left="466" w:right="636"/>
              <w:rPr>
                <w:sz w:val="18"/>
              </w:rPr>
            </w:pPr>
            <w:r w:rsidRPr="00EC20A0">
              <w:rPr>
                <w:sz w:val="18"/>
              </w:rPr>
              <w:t>through</w:t>
            </w:r>
            <w:r w:rsidRPr="00EC20A0">
              <w:rPr>
                <w:spacing w:val="-13"/>
                <w:sz w:val="18"/>
              </w:rPr>
              <w:t xml:space="preserve"> </w:t>
            </w:r>
            <w:r w:rsidRPr="00EC20A0">
              <w:rPr>
                <w:sz w:val="18"/>
              </w:rPr>
              <w:t xml:space="preserve">45 </w:t>
            </w:r>
            <w:r w:rsidRPr="00EC20A0">
              <w:rPr>
                <w:spacing w:val="-2"/>
                <w:sz w:val="18"/>
              </w:rPr>
              <w:t>below.)</w:t>
            </w:r>
          </w:p>
        </w:tc>
        <w:tc>
          <w:tcPr>
            <w:tcW w:w="2201" w:type="dxa"/>
            <w:tcBorders>
              <w:left w:val="single" w:sz="4" w:space="0" w:color="000000"/>
              <w:bottom w:val="single" w:sz="4" w:space="0" w:color="000000"/>
              <w:right w:val="single" w:sz="4" w:space="0" w:color="000000"/>
            </w:tcBorders>
          </w:tcPr>
          <w:p w14:paraId="24D61137" w14:textId="77777777" w:rsidR="00245300" w:rsidRPr="00EC20A0" w:rsidRDefault="00F17249">
            <w:pPr>
              <w:pStyle w:val="TableParagraph"/>
              <w:spacing w:before="143"/>
              <w:ind w:left="107"/>
              <w:rPr>
                <w:sz w:val="18"/>
              </w:rPr>
            </w:pPr>
            <w:r w:rsidRPr="00EC20A0">
              <w:rPr>
                <w:sz w:val="18"/>
              </w:rPr>
              <w:t>[Document the control activities</w:t>
            </w:r>
            <w:r w:rsidRPr="00EC20A0">
              <w:rPr>
                <w:spacing w:val="-13"/>
                <w:sz w:val="18"/>
              </w:rPr>
              <w:t xml:space="preserve"> </w:t>
            </w:r>
            <w:r w:rsidRPr="00EC20A0">
              <w:rPr>
                <w:sz w:val="18"/>
              </w:rPr>
              <w:t>that</w:t>
            </w:r>
            <w:r w:rsidRPr="00EC20A0">
              <w:rPr>
                <w:spacing w:val="-12"/>
                <w:sz w:val="18"/>
              </w:rPr>
              <w:t xml:space="preserve"> </w:t>
            </w:r>
            <w:r w:rsidRPr="00EC20A0">
              <w:rPr>
                <w:sz w:val="18"/>
              </w:rPr>
              <w:t>the</w:t>
            </w:r>
            <w:r w:rsidRPr="00EC20A0">
              <w:rPr>
                <w:spacing w:val="-13"/>
                <w:sz w:val="18"/>
              </w:rPr>
              <w:t xml:space="preserve"> </w:t>
            </w:r>
            <w:r w:rsidRPr="00EC20A0">
              <w:rPr>
                <w:sz w:val="18"/>
              </w:rPr>
              <w:t xml:space="preserve">entity used to achieve the </w:t>
            </w:r>
            <w:r w:rsidRPr="00EC20A0">
              <w:rPr>
                <w:spacing w:val="-2"/>
                <w:sz w:val="18"/>
              </w:rPr>
              <w:t>objective.]</w:t>
            </w:r>
          </w:p>
        </w:tc>
        <w:tc>
          <w:tcPr>
            <w:tcW w:w="1517" w:type="dxa"/>
            <w:tcBorders>
              <w:left w:val="single" w:sz="4" w:space="0" w:color="000000"/>
              <w:bottom w:val="single" w:sz="4" w:space="0" w:color="000000"/>
              <w:right w:val="single" w:sz="4" w:space="0" w:color="000000"/>
            </w:tcBorders>
          </w:tcPr>
          <w:p w14:paraId="24D61138" w14:textId="77777777" w:rsidR="00245300" w:rsidRPr="00EC20A0" w:rsidRDefault="00F17249">
            <w:pPr>
              <w:pStyle w:val="TableParagraph"/>
              <w:spacing w:before="143"/>
              <w:ind w:left="107" w:right="332"/>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488" w:type="dxa"/>
            <w:tcBorders>
              <w:left w:val="single" w:sz="4" w:space="0" w:color="000000"/>
              <w:bottom w:val="single" w:sz="4" w:space="0" w:color="000000"/>
              <w:right w:val="single" w:sz="4" w:space="0" w:color="000000"/>
            </w:tcBorders>
          </w:tcPr>
          <w:p w14:paraId="24D61139" w14:textId="77777777" w:rsidR="00245300" w:rsidRPr="00EC20A0" w:rsidRDefault="00F17249">
            <w:pPr>
              <w:pStyle w:val="TableParagraph"/>
              <w:spacing w:before="143"/>
              <w:ind w:left="107" w:right="150"/>
              <w:rPr>
                <w:sz w:val="18"/>
              </w:rPr>
            </w:pPr>
            <w:r w:rsidRPr="00EC20A0">
              <w:rPr>
                <w:sz w:val="18"/>
              </w:rPr>
              <w:t>[Indicate</w:t>
            </w:r>
            <w:r w:rsidRPr="00EC20A0">
              <w:rPr>
                <w:spacing w:val="-15"/>
                <w:sz w:val="18"/>
              </w:rPr>
              <w:t xml:space="preserve"> </w:t>
            </w:r>
            <w:r w:rsidRPr="00EC20A0">
              <w:rPr>
                <w:sz w:val="18"/>
              </w:rPr>
              <w:t>yes</w:t>
            </w:r>
            <w:r w:rsidRPr="00EC20A0">
              <w:rPr>
                <w:spacing w:val="-12"/>
                <w:sz w:val="18"/>
              </w:rPr>
              <w:t xml:space="preserve"> </w:t>
            </w:r>
            <w:r w:rsidRPr="00EC20A0">
              <w:rPr>
                <w:sz w:val="18"/>
              </w:rPr>
              <w:t xml:space="preserve">or no; include reference to </w:t>
            </w:r>
            <w:r w:rsidRPr="00EC20A0">
              <w:rPr>
                <w:spacing w:val="-2"/>
                <w:sz w:val="18"/>
              </w:rPr>
              <w:t xml:space="preserve">supporting documenta- </w:t>
            </w:r>
            <w:proofErr w:type="spellStart"/>
            <w:r w:rsidRPr="00EC20A0">
              <w:rPr>
                <w:spacing w:val="-2"/>
                <w:sz w:val="18"/>
              </w:rPr>
              <w:t>tion</w:t>
            </w:r>
            <w:proofErr w:type="spellEnd"/>
            <w:r w:rsidRPr="00EC20A0">
              <w:rPr>
                <w:spacing w:val="-2"/>
                <w:sz w:val="18"/>
              </w:rPr>
              <w:t>.]</w:t>
            </w:r>
          </w:p>
        </w:tc>
        <w:tc>
          <w:tcPr>
            <w:tcW w:w="2534" w:type="dxa"/>
            <w:tcBorders>
              <w:left w:val="single" w:sz="4" w:space="0" w:color="000000"/>
              <w:bottom w:val="single" w:sz="4" w:space="0" w:color="000000"/>
            </w:tcBorders>
          </w:tcPr>
          <w:p w14:paraId="24D6113A" w14:textId="77777777" w:rsidR="00245300" w:rsidRPr="00EC20A0" w:rsidRDefault="00F17249">
            <w:pPr>
              <w:pStyle w:val="TableParagraph"/>
              <w:spacing w:before="143"/>
              <w:ind w:left="107"/>
              <w:rPr>
                <w:sz w:val="18"/>
              </w:rPr>
            </w:pPr>
            <w:r w:rsidRPr="00EC20A0">
              <w:rPr>
                <w:sz w:val="18"/>
              </w:rPr>
              <w:t>[Indicate</w:t>
            </w:r>
            <w:r w:rsidRPr="00EC20A0">
              <w:rPr>
                <w:spacing w:val="-11"/>
                <w:sz w:val="18"/>
              </w:rPr>
              <w:t xml:space="preserve"> </w:t>
            </w:r>
            <w:r w:rsidRPr="00EC20A0">
              <w:rPr>
                <w:sz w:val="18"/>
              </w:rPr>
              <w:t>yes</w:t>
            </w:r>
            <w:r w:rsidRPr="00EC20A0">
              <w:rPr>
                <w:spacing w:val="-10"/>
                <w:sz w:val="18"/>
              </w:rPr>
              <w:t xml:space="preserve"> </w:t>
            </w:r>
            <w:r w:rsidRPr="00EC20A0">
              <w:rPr>
                <w:sz w:val="18"/>
              </w:rPr>
              <w:t>or</w:t>
            </w:r>
            <w:r w:rsidRPr="00EC20A0">
              <w:rPr>
                <w:spacing w:val="-10"/>
                <w:sz w:val="18"/>
              </w:rPr>
              <w:t xml:space="preserve"> </w:t>
            </w:r>
            <w:r w:rsidRPr="00EC20A0">
              <w:rPr>
                <w:sz w:val="18"/>
              </w:rPr>
              <w:t>no;</w:t>
            </w:r>
            <w:r w:rsidRPr="00EC20A0">
              <w:rPr>
                <w:spacing w:val="-10"/>
                <w:sz w:val="18"/>
              </w:rPr>
              <w:t xml:space="preserve"> </w:t>
            </w:r>
            <w:r w:rsidRPr="00EC20A0">
              <w:rPr>
                <w:sz w:val="18"/>
              </w:rPr>
              <w:t xml:space="preserve">include reference to supporting </w:t>
            </w:r>
            <w:r w:rsidRPr="00EC20A0">
              <w:rPr>
                <w:spacing w:val="-2"/>
                <w:sz w:val="18"/>
              </w:rPr>
              <w:t>documentation.]</w:t>
            </w:r>
          </w:p>
          <w:p w14:paraId="24D6113B" w14:textId="77777777" w:rsidR="00245300" w:rsidRPr="00EC20A0" w:rsidRDefault="00F17249">
            <w:pPr>
              <w:pStyle w:val="TableParagraph"/>
              <w:spacing w:before="145"/>
              <w:ind w:left="107"/>
              <w:rPr>
                <w:sz w:val="18"/>
              </w:rPr>
            </w:pPr>
            <w:r w:rsidRPr="00EC20A0">
              <w:rPr>
                <w:sz w:val="18"/>
              </w:rPr>
              <w:t>See Compliance Audit Procedures,</w:t>
            </w:r>
            <w:r w:rsidRPr="00EC20A0">
              <w:rPr>
                <w:spacing w:val="-10"/>
                <w:sz w:val="18"/>
              </w:rPr>
              <w:t xml:space="preserve"> </w:t>
            </w:r>
            <w:r w:rsidRPr="00EC20A0">
              <w:rPr>
                <w:sz w:val="18"/>
              </w:rPr>
              <w:t>FAM</w:t>
            </w:r>
            <w:r w:rsidRPr="00EC20A0">
              <w:rPr>
                <w:spacing w:val="-10"/>
                <w:sz w:val="18"/>
              </w:rPr>
              <w:t xml:space="preserve"> </w:t>
            </w:r>
            <w:r w:rsidRPr="00EC20A0">
              <w:rPr>
                <w:sz w:val="18"/>
              </w:rPr>
              <w:t>806</w:t>
            </w:r>
            <w:r w:rsidRPr="00EC20A0">
              <w:rPr>
                <w:spacing w:val="-10"/>
                <w:sz w:val="18"/>
              </w:rPr>
              <w:t xml:space="preserve"> </w:t>
            </w:r>
            <w:r w:rsidRPr="00EC20A0">
              <w:rPr>
                <w:sz w:val="18"/>
              </w:rPr>
              <w:t>step</w:t>
            </w:r>
            <w:r w:rsidRPr="00EC20A0">
              <w:rPr>
                <w:spacing w:val="-10"/>
                <w:sz w:val="18"/>
              </w:rPr>
              <w:t xml:space="preserve"> </w:t>
            </w:r>
            <w:r w:rsidRPr="00EC20A0">
              <w:rPr>
                <w:sz w:val="18"/>
              </w:rPr>
              <w:t>4</w:t>
            </w:r>
          </w:p>
          <w:p w14:paraId="24D6113C" w14:textId="77777777" w:rsidR="00245300" w:rsidRPr="00EC20A0" w:rsidRDefault="00F17249">
            <w:pPr>
              <w:pStyle w:val="TableParagraph"/>
              <w:spacing w:before="1"/>
              <w:ind w:left="107"/>
              <w:rPr>
                <w:sz w:val="18"/>
              </w:rPr>
            </w:pPr>
            <w:r w:rsidRPr="00EC20A0">
              <w:rPr>
                <w:sz w:val="18"/>
              </w:rPr>
              <w:t>(a)</w:t>
            </w:r>
            <w:r w:rsidRPr="00EC20A0">
              <w:rPr>
                <w:spacing w:val="-3"/>
                <w:sz w:val="18"/>
              </w:rPr>
              <w:t xml:space="preserve"> </w:t>
            </w:r>
            <w:r w:rsidRPr="00EC20A0">
              <w:rPr>
                <w:sz w:val="18"/>
              </w:rPr>
              <w:t>and</w:t>
            </w:r>
            <w:r w:rsidRPr="00EC20A0">
              <w:rPr>
                <w:spacing w:val="-2"/>
                <w:sz w:val="18"/>
              </w:rPr>
              <w:t xml:space="preserve"> </w:t>
            </w:r>
            <w:r w:rsidRPr="00EC20A0">
              <w:rPr>
                <w:spacing w:val="-4"/>
                <w:sz w:val="18"/>
              </w:rPr>
              <w:t>(b).</w:t>
            </w:r>
          </w:p>
        </w:tc>
      </w:tr>
    </w:tbl>
    <w:p w14:paraId="24D6113E" w14:textId="77777777" w:rsidR="00245300" w:rsidRPr="00EC20A0" w:rsidRDefault="00245300">
      <w:pPr>
        <w:pStyle w:val="BodyText"/>
        <w:rPr>
          <w:sz w:val="20"/>
        </w:rPr>
      </w:pPr>
    </w:p>
    <w:p w14:paraId="24D6113F" w14:textId="77777777" w:rsidR="00245300" w:rsidRPr="00EC20A0" w:rsidRDefault="00F17249">
      <w:pPr>
        <w:pStyle w:val="BodyText"/>
        <w:spacing w:before="7"/>
        <w:rPr>
          <w:sz w:val="20"/>
        </w:rPr>
      </w:pPr>
      <w:r w:rsidRPr="00EC20A0">
        <w:rPr>
          <w:noProof/>
        </w:rPr>
        <mc:AlternateContent>
          <mc:Choice Requires="wps">
            <w:drawing>
              <wp:anchor distT="0" distB="0" distL="0" distR="0" simplePos="0" relativeHeight="487665664" behindDoc="1" locked="0" layoutInCell="1" allowOverlap="1" wp14:anchorId="24D62BED" wp14:editId="24D62BEE">
                <wp:simplePos x="0" y="0"/>
                <wp:positionH relativeFrom="page">
                  <wp:posOffset>685800</wp:posOffset>
                </wp:positionH>
                <wp:positionV relativeFrom="paragraph">
                  <wp:posOffset>166141</wp:posOffset>
                </wp:positionV>
                <wp:extent cx="1828800" cy="6985"/>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D6E59" id="Graphic 557" o:spid="_x0000_s1026" style="position:absolute;margin-left:54pt;margin-top:13.1pt;width:2in;height:.55pt;z-index:-156508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" path="m1828800,l,,,6858r1828800,l1828800,xe" fillcolor="black" stroked="f">
                <v:path arrowok="t"/>
                <w10:wrap type="topAndBottom" anchorx="page"/>
              </v:shape>
            </w:pict>
          </mc:Fallback>
        </mc:AlternateContent>
      </w:r>
    </w:p>
    <w:p w14:paraId="24D61140" w14:textId="77777777" w:rsidR="00245300" w:rsidRPr="00EC20A0" w:rsidRDefault="00F17249">
      <w:pPr>
        <w:spacing w:before="217"/>
        <w:ind w:left="120"/>
        <w:rPr>
          <w:sz w:val="18"/>
        </w:rPr>
      </w:pPr>
      <w:r w:rsidRPr="00EC20A0">
        <w:rPr>
          <w:position w:val="7"/>
          <w:sz w:val="14"/>
        </w:rPr>
        <w:t>41</w:t>
      </w:r>
      <w:r w:rsidRPr="00EC20A0">
        <w:rPr>
          <w:sz w:val="18"/>
        </w:rPr>
        <w:t>The</w:t>
      </w:r>
      <w:r w:rsidRPr="00EC20A0">
        <w:rPr>
          <w:spacing w:val="-6"/>
          <w:sz w:val="18"/>
        </w:rPr>
        <w:t xml:space="preserve"> </w:t>
      </w:r>
      <w:r w:rsidRPr="00EC20A0">
        <w:rPr>
          <w:sz w:val="18"/>
        </w:rPr>
        <w:t>payment</w:t>
      </w:r>
      <w:r w:rsidRPr="00EC20A0">
        <w:rPr>
          <w:spacing w:val="-2"/>
          <w:sz w:val="18"/>
        </w:rPr>
        <w:t xml:space="preserve"> </w:t>
      </w:r>
      <w:r w:rsidRPr="00EC20A0">
        <w:rPr>
          <w:sz w:val="18"/>
        </w:rPr>
        <w:t>requirement</w:t>
      </w:r>
      <w:r w:rsidRPr="00EC20A0">
        <w:rPr>
          <w:spacing w:val="-2"/>
          <w:sz w:val="18"/>
        </w:rPr>
        <w:t xml:space="preserve"> </w:t>
      </w:r>
      <w:r w:rsidRPr="00EC20A0">
        <w:rPr>
          <w:sz w:val="18"/>
        </w:rPr>
        <w:t>applies</w:t>
      </w:r>
      <w:r w:rsidRPr="00EC20A0">
        <w:rPr>
          <w:spacing w:val="-2"/>
          <w:sz w:val="18"/>
        </w:rPr>
        <w:t xml:space="preserve"> </w:t>
      </w:r>
      <w:r w:rsidRPr="00EC20A0">
        <w:rPr>
          <w:sz w:val="18"/>
        </w:rPr>
        <w:t>for</w:t>
      </w:r>
      <w:r w:rsidRPr="00EC20A0">
        <w:rPr>
          <w:spacing w:val="-3"/>
          <w:sz w:val="18"/>
        </w:rPr>
        <w:t xml:space="preserve"> </w:t>
      </w:r>
      <w:r w:rsidRPr="00EC20A0">
        <w:rPr>
          <w:sz w:val="18"/>
        </w:rPr>
        <w:t>each</w:t>
      </w:r>
      <w:r w:rsidRPr="00EC20A0">
        <w:rPr>
          <w:spacing w:val="-3"/>
          <w:sz w:val="18"/>
        </w:rPr>
        <w:t xml:space="preserve"> </w:t>
      </w:r>
      <w:r w:rsidRPr="00EC20A0">
        <w:rPr>
          <w:sz w:val="18"/>
        </w:rPr>
        <w:t>complete</w:t>
      </w:r>
      <w:r w:rsidRPr="00EC20A0">
        <w:rPr>
          <w:spacing w:val="-3"/>
          <w:sz w:val="18"/>
        </w:rPr>
        <w:t xml:space="preserve"> </w:t>
      </w:r>
      <w:r w:rsidRPr="00EC20A0">
        <w:rPr>
          <w:sz w:val="18"/>
        </w:rPr>
        <w:t>delivered</w:t>
      </w:r>
      <w:r w:rsidRPr="00EC20A0">
        <w:rPr>
          <w:spacing w:val="-3"/>
          <w:sz w:val="18"/>
        </w:rPr>
        <w:t xml:space="preserve"> </w:t>
      </w:r>
      <w:r w:rsidRPr="00EC20A0">
        <w:rPr>
          <w:sz w:val="18"/>
        </w:rPr>
        <w:t>item</w:t>
      </w:r>
      <w:r w:rsidRPr="00EC20A0">
        <w:rPr>
          <w:spacing w:val="-3"/>
          <w:sz w:val="18"/>
        </w:rPr>
        <w:t xml:space="preserve"> </w:t>
      </w:r>
      <w:r w:rsidRPr="00EC20A0">
        <w:rPr>
          <w:sz w:val="18"/>
        </w:rPr>
        <w:t>or</w:t>
      </w:r>
      <w:r w:rsidRPr="00EC20A0">
        <w:rPr>
          <w:spacing w:val="-2"/>
          <w:sz w:val="18"/>
        </w:rPr>
        <w:t xml:space="preserve"> </w:t>
      </w:r>
      <w:r w:rsidRPr="00EC20A0">
        <w:rPr>
          <w:sz w:val="18"/>
        </w:rPr>
        <w:t>each</w:t>
      </w:r>
      <w:r w:rsidRPr="00EC20A0">
        <w:rPr>
          <w:spacing w:val="-3"/>
          <w:sz w:val="18"/>
        </w:rPr>
        <w:t xml:space="preserve"> </w:t>
      </w:r>
      <w:r w:rsidRPr="00EC20A0">
        <w:rPr>
          <w:sz w:val="18"/>
        </w:rPr>
        <w:t>complete</w:t>
      </w:r>
      <w:r w:rsidRPr="00EC20A0">
        <w:rPr>
          <w:spacing w:val="-3"/>
          <w:sz w:val="18"/>
        </w:rPr>
        <w:t xml:space="preserve"> </w:t>
      </w:r>
      <w:r w:rsidRPr="00EC20A0">
        <w:rPr>
          <w:sz w:val="18"/>
        </w:rPr>
        <w:t>service</w:t>
      </w:r>
      <w:r w:rsidRPr="00EC20A0">
        <w:rPr>
          <w:spacing w:val="-4"/>
          <w:sz w:val="18"/>
        </w:rPr>
        <w:t xml:space="preserve"> </w:t>
      </w:r>
      <w:r w:rsidRPr="00EC20A0">
        <w:rPr>
          <w:sz w:val="18"/>
        </w:rPr>
        <w:t>performed.</w:t>
      </w:r>
      <w:r w:rsidRPr="00EC20A0">
        <w:rPr>
          <w:spacing w:val="-2"/>
          <w:sz w:val="18"/>
        </w:rPr>
        <w:t xml:space="preserve"> </w:t>
      </w:r>
      <w:r w:rsidRPr="00EC20A0">
        <w:rPr>
          <w:sz w:val="18"/>
        </w:rPr>
        <w:t>31</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3902(a).</w:t>
      </w:r>
    </w:p>
    <w:p w14:paraId="24D61141" w14:textId="77777777" w:rsidR="00245300" w:rsidRPr="00EC20A0" w:rsidRDefault="00245300">
      <w:pPr>
        <w:rPr>
          <w:sz w:val="18"/>
        </w:rPr>
        <w:sectPr w:rsidR="00245300" w:rsidRPr="00EC20A0">
          <w:headerReference w:type="default" r:id="rId111"/>
          <w:footerReference w:type="default" r:id="rId112"/>
          <w:pgSz w:w="15840" w:h="12240" w:orient="landscape"/>
          <w:pgMar w:top="1400" w:right="1320" w:bottom="940" w:left="960" w:header="721" w:footer="742" w:gutter="0"/>
          <w:pgNumType w:start="1"/>
          <w:cols w:space="720"/>
        </w:sectPr>
      </w:pPr>
    </w:p>
    <w:p w14:paraId="24D61142" w14:textId="77777777" w:rsidR="00245300" w:rsidRPr="00EC20A0" w:rsidRDefault="00245300">
      <w:pPr>
        <w:pStyle w:val="BodyText"/>
        <w:spacing w:before="8"/>
        <w:rPr>
          <w:sz w:val="5"/>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4"/>
        <w:gridCol w:w="1980"/>
        <w:gridCol w:w="2201"/>
        <w:gridCol w:w="1517"/>
        <w:gridCol w:w="1488"/>
        <w:gridCol w:w="2534"/>
      </w:tblGrid>
      <w:tr w:rsidR="00245300" w:rsidRPr="00EC20A0" w14:paraId="24D61146" w14:textId="77777777">
        <w:trPr>
          <w:trHeight w:val="1574"/>
        </w:trPr>
        <w:tc>
          <w:tcPr>
            <w:tcW w:w="13284" w:type="dxa"/>
            <w:gridSpan w:val="6"/>
          </w:tcPr>
          <w:p w14:paraId="24D61143" w14:textId="77777777" w:rsidR="00245300" w:rsidRPr="00EC20A0" w:rsidRDefault="00F17249">
            <w:pPr>
              <w:pStyle w:val="TableParagraph"/>
              <w:tabs>
                <w:tab w:val="left" w:pos="9257"/>
              </w:tabs>
              <w:spacing w:before="144"/>
              <w:ind w:right="193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32" w:name="_bookmark122"/>
            <w:bookmarkEnd w:id="232"/>
            <w:r w:rsidRPr="00EC20A0">
              <w:t>Prepared</w:t>
            </w:r>
            <w:r w:rsidRPr="00EC20A0">
              <w:rPr>
                <w:spacing w:val="-11"/>
              </w:rPr>
              <w:t xml:space="preserve"> </w:t>
            </w:r>
            <w:r w:rsidRPr="00EC20A0">
              <w:rPr>
                <w:spacing w:val="-5"/>
              </w:rPr>
              <w:t>by:</w:t>
            </w:r>
          </w:p>
          <w:p w14:paraId="24D61144" w14:textId="77777777" w:rsidR="00245300" w:rsidRPr="00EC20A0" w:rsidRDefault="00F17249">
            <w:pPr>
              <w:pStyle w:val="TableParagraph"/>
              <w:spacing w:before="12"/>
              <w:ind w:left="1956" w:right="1935"/>
              <w:jc w:val="center"/>
              <w:rPr>
                <w:b/>
                <w:sz w:val="24"/>
              </w:rPr>
            </w:pPr>
            <w:r w:rsidRPr="00EC20A0">
              <w:rPr>
                <w:noProof/>
              </w:rPr>
              <mc:AlternateContent>
                <mc:Choice Requires="wpg">
                  <w:drawing>
                    <wp:anchor distT="0" distB="0" distL="0" distR="0" simplePos="0" relativeHeight="475322368" behindDoc="1" locked="0" layoutInCell="1" allowOverlap="1" wp14:anchorId="24D62BEF" wp14:editId="24D62BF0">
                      <wp:simplePos x="0" y="0"/>
                      <wp:positionH relativeFrom="column">
                        <wp:posOffset>7007352</wp:posOffset>
                      </wp:positionH>
                      <wp:positionV relativeFrom="paragraph">
                        <wp:posOffset>91882</wp:posOffset>
                      </wp:positionV>
                      <wp:extent cx="1359535" cy="6350"/>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559" name="Graphic 559"/>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647416" id="Group 558" o:spid="_x0000_s1026" style="position:absolute;margin-left:551.75pt;margin-top:7.25pt;width:107.05pt;height:.5pt;z-index:-27994112;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">
                      <v:shape id="Graphic 559"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" path="m1359407,l,,,6108r1359407,l1359407,xe" fillcolor="black" stroked="f">
                        <v:path arrowok="t"/>
                      </v:shape>
                    </v:group>
                  </w:pict>
                </mc:Fallback>
              </mc:AlternateContent>
            </w:r>
            <w:r w:rsidRPr="00EC20A0">
              <w:rPr>
                <w:noProof/>
              </w:rPr>
              <mc:AlternateContent>
                <mc:Choice Requires="wpg">
                  <w:drawing>
                    <wp:anchor distT="0" distB="0" distL="0" distR="0" simplePos="0" relativeHeight="475323392" behindDoc="1" locked="0" layoutInCell="1" allowOverlap="1" wp14:anchorId="24D62BF1" wp14:editId="24D62BF2">
                      <wp:simplePos x="0" y="0"/>
                      <wp:positionH relativeFrom="column">
                        <wp:posOffset>7007352</wp:posOffset>
                      </wp:positionH>
                      <wp:positionV relativeFrom="paragraph">
                        <wp:posOffset>441640</wp:posOffset>
                      </wp:positionV>
                      <wp:extent cx="1359535" cy="635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561" name="Graphic 561"/>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C791A2" id="Group 560" o:spid="_x0000_s1026" style="position:absolute;margin-left:551.75pt;margin-top:34.75pt;width:107.05pt;height:.5pt;z-index:-27993088;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">
                      <v:shape id="Graphic 561"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" path="m1359407,l,,,6108r1359407,l1359407,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145" w14:textId="77777777" w:rsidR="00245300" w:rsidRPr="00EC20A0" w:rsidRDefault="00F17249">
            <w:pPr>
              <w:pStyle w:val="TableParagraph"/>
              <w:tabs>
                <w:tab w:val="left" w:pos="8951"/>
              </w:tabs>
              <w:spacing w:before="10"/>
              <w:ind w:right="1691"/>
              <w:jc w:val="center"/>
            </w:pPr>
            <w:r w:rsidRPr="00EC20A0">
              <w:rPr>
                <w:noProof/>
              </w:rPr>
              <mc:AlternateContent>
                <mc:Choice Requires="wpg">
                  <w:drawing>
                    <wp:anchor distT="0" distB="0" distL="0" distR="0" simplePos="0" relativeHeight="475321856" behindDoc="1" locked="0" layoutInCell="1" allowOverlap="1" wp14:anchorId="24D62BF3" wp14:editId="24D62BF4">
                      <wp:simplePos x="0" y="0"/>
                      <wp:positionH relativeFrom="column">
                        <wp:posOffset>1267967</wp:posOffset>
                      </wp:positionH>
                      <wp:positionV relativeFrom="paragraph">
                        <wp:posOffset>-91198</wp:posOffset>
                      </wp:positionV>
                      <wp:extent cx="1195705" cy="635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563" name="Graphic 563"/>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50508E" id="Group 562" o:spid="_x0000_s1026" style="position:absolute;margin-left:99.85pt;margin-top:-7.2pt;width:94.15pt;height:.5pt;z-index:-27994624;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">
                      <v:shape id="Graphic 563"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" path="m1195577,l,,,6108r1195577,l1195577,xe" fillcolor="black" stroked="f">
                        <v:path arrowok="t"/>
                      </v:shape>
                    </v:group>
                  </w:pict>
                </mc:Fallback>
              </mc:AlternateContent>
            </w:r>
            <w:r w:rsidRPr="00EC20A0">
              <w:rPr>
                <w:noProof/>
              </w:rPr>
              <mc:AlternateContent>
                <mc:Choice Requires="wpg">
                  <w:drawing>
                    <wp:anchor distT="0" distB="0" distL="0" distR="0" simplePos="0" relativeHeight="475322880" behindDoc="1" locked="0" layoutInCell="1" allowOverlap="1" wp14:anchorId="24D62BF5" wp14:editId="24D62BF6">
                      <wp:simplePos x="0" y="0"/>
                      <wp:positionH relativeFrom="column">
                        <wp:posOffset>1267967</wp:posOffset>
                      </wp:positionH>
                      <wp:positionV relativeFrom="paragraph">
                        <wp:posOffset>258559</wp:posOffset>
                      </wp:positionV>
                      <wp:extent cx="1195705" cy="635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565" name="Graphic 565"/>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A3D4E2" id="Group 564" o:spid="_x0000_s1026" style="position:absolute;margin-left:99.85pt;margin-top:20.35pt;width:94.15pt;height:.5pt;z-index:-27993600;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">
                      <v:shape id="Graphic 565"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" path="m1195577,l,,,6108r1195577,l1195577,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151" w14:textId="77777777">
        <w:trPr>
          <w:trHeight w:val="793"/>
        </w:trPr>
        <w:tc>
          <w:tcPr>
            <w:tcW w:w="3564" w:type="dxa"/>
            <w:tcBorders>
              <w:right w:val="single" w:sz="4" w:space="0" w:color="000000"/>
            </w:tcBorders>
          </w:tcPr>
          <w:p w14:paraId="24D61147" w14:textId="77777777" w:rsidR="00245300" w:rsidRPr="00EC20A0" w:rsidRDefault="00245300">
            <w:pPr>
              <w:pStyle w:val="TableParagraph"/>
              <w:spacing w:before="143"/>
            </w:pPr>
          </w:p>
          <w:p w14:paraId="24D61148"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980" w:type="dxa"/>
            <w:tcBorders>
              <w:left w:val="single" w:sz="4" w:space="0" w:color="000000"/>
              <w:right w:val="single" w:sz="4" w:space="0" w:color="000000"/>
            </w:tcBorders>
          </w:tcPr>
          <w:p w14:paraId="24D61149" w14:textId="77777777" w:rsidR="00245300" w:rsidRPr="00EC20A0" w:rsidRDefault="00245300">
            <w:pPr>
              <w:pStyle w:val="TableParagraph"/>
              <w:spacing w:before="143"/>
            </w:pPr>
          </w:p>
          <w:p w14:paraId="24D6114A" w14:textId="77777777" w:rsidR="00245300" w:rsidRPr="00EC20A0" w:rsidRDefault="00F17249">
            <w:pPr>
              <w:pStyle w:val="TableParagraph"/>
              <w:ind w:left="107"/>
            </w:pPr>
            <w:r w:rsidRPr="00EC20A0">
              <w:rPr>
                <w:spacing w:val="-2"/>
              </w:rPr>
              <w:t>Objective</w:t>
            </w:r>
          </w:p>
        </w:tc>
        <w:tc>
          <w:tcPr>
            <w:tcW w:w="2201" w:type="dxa"/>
            <w:tcBorders>
              <w:left w:val="single" w:sz="4" w:space="0" w:color="000000"/>
              <w:right w:val="single" w:sz="4" w:space="0" w:color="000000"/>
            </w:tcBorders>
          </w:tcPr>
          <w:p w14:paraId="24D6114B" w14:textId="77777777" w:rsidR="00245300" w:rsidRPr="00EC20A0" w:rsidRDefault="00245300">
            <w:pPr>
              <w:pStyle w:val="TableParagraph"/>
              <w:spacing w:before="143"/>
            </w:pPr>
          </w:p>
          <w:p w14:paraId="24D6114C"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17" w:type="dxa"/>
            <w:tcBorders>
              <w:left w:val="single" w:sz="4" w:space="0" w:color="000000"/>
              <w:right w:val="single" w:sz="4" w:space="0" w:color="000000"/>
            </w:tcBorders>
          </w:tcPr>
          <w:p w14:paraId="24D6114D" w14:textId="77777777" w:rsidR="00245300" w:rsidRPr="00EC20A0" w:rsidRDefault="00245300">
            <w:pPr>
              <w:pStyle w:val="TableParagraph"/>
              <w:spacing w:before="143"/>
            </w:pPr>
          </w:p>
          <w:p w14:paraId="24D6114E"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488" w:type="dxa"/>
            <w:tcBorders>
              <w:left w:val="single" w:sz="4" w:space="0" w:color="000000"/>
              <w:right w:val="single" w:sz="4" w:space="0" w:color="000000"/>
            </w:tcBorders>
          </w:tcPr>
          <w:p w14:paraId="24D6114F" w14:textId="77777777" w:rsidR="00245300" w:rsidRPr="00EC20A0" w:rsidRDefault="00F17249">
            <w:pPr>
              <w:pStyle w:val="TableParagraph"/>
              <w:spacing w:before="143"/>
              <w:ind w:left="107" w:right="150"/>
            </w:pPr>
            <w:r w:rsidRPr="00EC20A0">
              <w:rPr>
                <w:spacing w:val="-2"/>
              </w:rPr>
              <w:t>Effective controls?</w:t>
            </w:r>
          </w:p>
        </w:tc>
        <w:tc>
          <w:tcPr>
            <w:tcW w:w="2534" w:type="dxa"/>
            <w:tcBorders>
              <w:left w:val="single" w:sz="4" w:space="0" w:color="000000"/>
            </w:tcBorders>
          </w:tcPr>
          <w:p w14:paraId="24D61150"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15A" w14:textId="77777777">
        <w:trPr>
          <w:trHeight w:val="2026"/>
        </w:trPr>
        <w:tc>
          <w:tcPr>
            <w:tcW w:w="3564" w:type="dxa"/>
            <w:tcBorders>
              <w:bottom w:val="single" w:sz="4" w:space="0" w:color="000000"/>
              <w:right w:val="single" w:sz="4" w:space="0" w:color="000000"/>
            </w:tcBorders>
          </w:tcPr>
          <w:p w14:paraId="24D61152" w14:textId="77777777" w:rsidR="00245300" w:rsidRPr="00EC20A0" w:rsidRDefault="00F17249">
            <w:pPr>
              <w:pStyle w:val="TableParagraph"/>
              <w:spacing w:before="143"/>
              <w:ind w:left="817" w:right="65" w:hanging="720"/>
              <w:rPr>
                <w:sz w:val="18"/>
              </w:rPr>
            </w:pPr>
            <w:r w:rsidRPr="00EC20A0">
              <w:rPr>
                <w:smallCaps/>
                <w:sz w:val="18"/>
              </w:rPr>
              <w:t>806.02.  Funding Source for Late</w:t>
            </w:r>
            <w:r w:rsidRPr="00EC20A0">
              <w:rPr>
                <w:smallCaps/>
                <w:spacing w:val="40"/>
                <w:sz w:val="18"/>
              </w:rPr>
              <w:t xml:space="preserve"> </w:t>
            </w:r>
            <w:r w:rsidRPr="00EC20A0">
              <w:rPr>
                <w:smallCaps/>
                <w:sz w:val="18"/>
              </w:rPr>
              <w:t>Payment</w:t>
            </w:r>
            <w:r w:rsidRPr="00EC20A0">
              <w:rPr>
                <w:smallCaps/>
                <w:spacing w:val="-10"/>
                <w:sz w:val="18"/>
              </w:rPr>
              <w:t xml:space="preserve"> </w:t>
            </w:r>
            <w:r w:rsidRPr="00EC20A0">
              <w:rPr>
                <w:smallCaps/>
                <w:sz w:val="18"/>
              </w:rPr>
              <w:t>Interest</w:t>
            </w:r>
            <w:r w:rsidRPr="00EC20A0">
              <w:rPr>
                <w:smallCaps/>
                <w:spacing w:val="-10"/>
                <w:sz w:val="18"/>
              </w:rPr>
              <w:t xml:space="preserve"> </w:t>
            </w:r>
            <w:r w:rsidRPr="00EC20A0">
              <w:rPr>
                <w:smallCaps/>
                <w:sz w:val="18"/>
              </w:rPr>
              <w:t>Penalties.</w:t>
            </w:r>
          </w:p>
          <w:p w14:paraId="24D61153" w14:textId="77777777" w:rsidR="00245300" w:rsidRPr="00EC20A0" w:rsidRDefault="00F17249">
            <w:pPr>
              <w:pStyle w:val="TableParagraph"/>
              <w:spacing w:before="146"/>
              <w:ind w:left="97"/>
              <w:rPr>
                <w:sz w:val="18"/>
              </w:rPr>
            </w:pPr>
            <w:r w:rsidRPr="00EC20A0">
              <w:rPr>
                <w:sz w:val="18"/>
              </w:rPr>
              <w:t>Provision</w:t>
            </w:r>
            <w:r w:rsidRPr="00EC20A0">
              <w:rPr>
                <w:spacing w:val="-10"/>
                <w:sz w:val="18"/>
              </w:rPr>
              <w:t xml:space="preserve"> </w:t>
            </w:r>
            <w:r w:rsidRPr="00EC20A0">
              <w:rPr>
                <w:sz w:val="18"/>
              </w:rPr>
              <w:t>Type:</w:t>
            </w:r>
            <w:r w:rsidRPr="00EC20A0">
              <w:rPr>
                <w:spacing w:val="-8"/>
                <w:sz w:val="18"/>
              </w:rPr>
              <w:t xml:space="preserve"> </w:t>
            </w:r>
            <w:r w:rsidRPr="00EC20A0">
              <w:rPr>
                <w:sz w:val="18"/>
              </w:rPr>
              <w:t>Transaction-</w:t>
            </w:r>
            <w:r w:rsidRPr="00EC20A0">
              <w:rPr>
                <w:spacing w:val="-2"/>
                <w:sz w:val="18"/>
              </w:rPr>
              <w:t>based.</w:t>
            </w:r>
          </w:p>
          <w:p w14:paraId="24D61154" w14:textId="77777777" w:rsidR="00245300" w:rsidRPr="00EC20A0" w:rsidRDefault="00F17249">
            <w:pPr>
              <w:pStyle w:val="TableParagraph"/>
              <w:spacing w:before="145" w:line="237" w:lineRule="auto"/>
              <w:ind w:left="97"/>
              <w:rPr>
                <w:sz w:val="18"/>
              </w:rPr>
            </w:pPr>
            <w:r w:rsidRPr="00EC20A0">
              <w:rPr>
                <w:sz w:val="18"/>
              </w:rPr>
              <w:t>Interest penalties shall be paid out of amounts</w:t>
            </w:r>
            <w:r w:rsidRPr="00EC20A0">
              <w:rPr>
                <w:spacing w:val="-7"/>
                <w:sz w:val="18"/>
              </w:rPr>
              <w:t xml:space="preserve"> </w:t>
            </w:r>
            <w:r w:rsidRPr="00EC20A0">
              <w:rPr>
                <w:sz w:val="18"/>
              </w:rPr>
              <w:t>made</w:t>
            </w:r>
            <w:r w:rsidRPr="00EC20A0">
              <w:rPr>
                <w:spacing w:val="-6"/>
                <w:sz w:val="18"/>
              </w:rPr>
              <w:t xml:space="preserve"> </w:t>
            </w:r>
            <w:r w:rsidRPr="00EC20A0">
              <w:rPr>
                <w:sz w:val="18"/>
              </w:rPr>
              <w:t>available</w:t>
            </w:r>
            <w:r w:rsidRPr="00EC20A0">
              <w:rPr>
                <w:spacing w:val="-7"/>
                <w:sz w:val="18"/>
              </w:rPr>
              <w:t xml:space="preserve"> </w:t>
            </w:r>
            <w:r w:rsidRPr="00EC20A0">
              <w:rPr>
                <w:sz w:val="18"/>
              </w:rPr>
              <w:t>to</w:t>
            </w:r>
            <w:r w:rsidRPr="00EC20A0">
              <w:rPr>
                <w:spacing w:val="-7"/>
                <w:sz w:val="18"/>
              </w:rPr>
              <w:t xml:space="preserve"> </w:t>
            </w:r>
            <w:r w:rsidRPr="00EC20A0">
              <w:rPr>
                <w:sz w:val="18"/>
              </w:rPr>
              <w:t>carry</w:t>
            </w:r>
            <w:r w:rsidRPr="00EC20A0">
              <w:rPr>
                <w:spacing w:val="-7"/>
                <w:sz w:val="18"/>
              </w:rPr>
              <w:t xml:space="preserve"> </w:t>
            </w:r>
            <w:r w:rsidRPr="00EC20A0">
              <w:rPr>
                <w:sz w:val="18"/>
              </w:rPr>
              <w:t>out</w:t>
            </w:r>
            <w:r w:rsidRPr="00EC20A0">
              <w:rPr>
                <w:spacing w:val="-7"/>
                <w:sz w:val="18"/>
              </w:rPr>
              <w:t xml:space="preserve"> </w:t>
            </w:r>
            <w:r w:rsidRPr="00EC20A0">
              <w:rPr>
                <w:sz w:val="18"/>
              </w:rPr>
              <w:t>the programs for which the penalties are incurred.</w:t>
            </w:r>
            <w:hyperlink w:anchor="_bookmark122" w:history="1">
              <w:r w:rsidRPr="00EC20A0">
                <w:rPr>
                  <w:position w:val="6"/>
                  <w:sz w:val="12"/>
                </w:rPr>
                <w:t>47</w:t>
              </w:r>
            </w:hyperlink>
            <w:r w:rsidRPr="00EC20A0">
              <w:rPr>
                <w:spacing w:val="40"/>
                <w:position w:val="6"/>
                <w:sz w:val="12"/>
              </w:rPr>
              <w:t xml:space="preserve"> </w:t>
            </w:r>
            <w:r w:rsidRPr="00EC20A0">
              <w:rPr>
                <w:sz w:val="18"/>
              </w:rPr>
              <w:t>31 U.S.C. § 3902(f).</w:t>
            </w:r>
          </w:p>
        </w:tc>
        <w:tc>
          <w:tcPr>
            <w:tcW w:w="1980" w:type="dxa"/>
            <w:tcBorders>
              <w:left w:val="single" w:sz="4" w:space="0" w:color="000000"/>
              <w:bottom w:val="single" w:sz="4" w:space="0" w:color="000000"/>
              <w:right w:val="single" w:sz="4" w:space="0" w:color="000000"/>
            </w:tcBorders>
          </w:tcPr>
          <w:p w14:paraId="24D61155" w14:textId="77777777" w:rsidR="00245300" w:rsidRPr="00EC20A0" w:rsidRDefault="00F17249">
            <w:pPr>
              <w:pStyle w:val="TableParagraph"/>
              <w:tabs>
                <w:tab w:val="left" w:pos="462"/>
              </w:tabs>
              <w:spacing w:before="143"/>
              <w:ind w:left="466" w:right="135" w:hanging="359"/>
              <w:rPr>
                <w:sz w:val="18"/>
              </w:rPr>
            </w:pPr>
            <w:r w:rsidRPr="00EC20A0">
              <w:rPr>
                <w:spacing w:val="-6"/>
                <w:sz w:val="18"/>
              </w:rPr>
              <w:t>2.</w:t>
            </w:r>
            <w:r w:rsidRPr="00EC20A0">
              <w:rPr>
                <w:sz w:val="18"/>
              </w:rPr>
              <w:tab/>
              <w:t>Interest</w:t>
            </w:r>
            <w:r w:rsidRPr="00EC20A0">
              <w:rPr>
                <w:spacing w:val="-13"/>
                <w:sz w:val="18"/>
              </w:rPr>
              <w:t xml:space="preserve"> </w:t>
            </w:r>
            <w:r w:rsidRPr="00EC20A0">
              <w:rPr>
                <w:sz w:val="18"/>
              </w:rPr>
              <w:t>penalties are paid out of the</w:t>
            </w:r>
            <w:r w:rsidRPr="00EC20A0">
              <w:rPr>
                <w:spacing w:val="-13"/>
                <w:sz w:val="18"/>
              </w:rPr>
              <w:t xml:space="preserve"> </w:t>
            </w:r>
            <w:r w:rsidRPr="00EC20A0">
              <w:rPr>
                <w:sz w:val="18"/>
              </w:rPr>
              <w:t xml:space="preserve">appropriation account used to pay related </w:t>
            </w:r>
            <w:r w:rsidRPr="00EC20A0">
              <w:rPr>
                <w:spacing w:val="-2"/>
                <w:sz w:val="18"/>
              </w:rPr>
              <w:t>program expenditures.</w:t>
            </w:r>
          </w:p>
        </w:tc>
        <w:tc>
          <w:tcPr>
            <w:tcW w:w="2201" w:type="dxa"/>
            <w:tcBorders>
              <w:left w:val="single" w:sz="4" w:space="0" w:color="000000"/>
              <w:bottom w:val="single" w:sz="4" w:space="0" w:color="000000"/>
              <w:right w:val="single" w:sz="4" w:space="0" w:color="000000"/>
            </w:tcBorders>
          </w:tcPr>
          <w:p w14:paraId="24D61156" w14:textId="77777777" w:rsidR="00245300" w:rsidRPr="00EC20A0" w:rsidRDefault="00245300">
            <w:pPr>
              <w:pStyle w:val="TableParagraph"/>
              <w:rPr>
                <w:sz w:val="18"/>
              </w:rPr>
            </w:pPr>
          </w:p>
        </w:tc>
        <w:tc>
          <w:tcPr>
            <w:tcW w:w="1517" w:type="dxa"/>
            <w:tcBorders>
              <w:left w:val="single" w:sz="4" w:space="0" w:color="000000"/>
              <w:bottom w:val="single" w:sz="4" w:space="0" w:color="000000"/>
              <w:right w:val="single" w:sz="4" w:space="0" w:color="000000"/>
            </w:tcBorders>
          </w:tcPr>
          <w:p w14:paraId="24D61157" w14:textId="77777777" w:rsidR="00245300" w:rsidRPr="00EC20A0" w:rsidRDefault="00245300">
            <w:pPr>
              <w:pStyle w:val="TableParagraph"/>
              <w:rPr>
                <w:sz w:val="18"/>
              </w:rPr>
            </w:pPr>
          </w:p>
        </w:tc>
        <w:tc>
          <w:tcPr>
            <w:tcW w:w="1488" w:type="dxa"/>
            <w:tcBorders>
              <w:left w:val="single" w:sz="4" w:space="0" w:color="000000"/>
              <w:bottom w:val="single" w:sz="4" w:space="0" w:color="000000"/>
              <w:right w:val="single" w:sz="4" w:space="0" w:color="000000"/>
            </w:tcBorders>
          </w:tcPr>
          <w:p w14:paraId="24D61158" w14:textId="77777777" w:rsidR="00245300" w:rsidRPr="00EC20A0" w:rsidRDefault="00245300">
            <w:pPr>
              <w:pStyle w:val="TableParagraph"/>
              <w:rPr>
                <w:sz w:val="18"/>
              </w:rPr>
            </w:pPr>
          </w:p>
        </w:tc>
        <w:tc>
          <w:tcPr>
            <w:tcW w:w="2534" w:type="dxa"/>
            <w:tcBorders>
              <w:left w:val="single" w:sz="4" w:space="0" w:color="000000"/>
              <w:bottom w:val="single" w:sz="4" w:space="0" w:color="000000"/>
            </w:tcBorders>
          </w:tcPr>
          <w:p w14:paraId="24D61159" w14:textId="77777777" w:rsidR="00245300" w:rsidRPr="00EC20A0" w:rsidRDefault="00F17249">
            <w:pPr>
              <w:pStyle w:val="TableParagraph"/>
              <w:spacing w:before="143"/>
              <w:ind w:left="107" w:right="133"/>
              <w:rPr>
                <w:sz w:val="18"/>
              </w:rPr>
            </w:pPr>
            <w:r w:rsidRPr="00EC20A0">
              <w:rPr>
                <w:sz w:val="18"/>
              </w:rPr>
              <w:t>See Compliance Audit Procedures,</w:t>
            </w:r>
            <w:r w:rsidRPr="00EC20A0">
              <w:rPr>
                <w:spacing w:val="-13"/>
                <w:sz w:val="18"/>
              </w:rPr>
              <w:t xml:space="preserve"> </w:t>
            </w:r>
            <w:r w:rsidRPr="00EC20A0">
              <w:rPr>
                <w:sz w:val="18"/>
              </w:rPr>
              <w:t>FAM</w:t>
            </w:r>
            <w:r w:rsidRPr="00EC20A0">
              <w:rPr>
                <w:spacing w:val="-12"/>
                <w:sz w:val="18"/>
              </w:rPr>
              <w:t xml:space="preserve"> </w:t>
            </w:r>
            <w:r w:rsidRPr="00EC20A0">
              <w:rPr>
                <w:sz w:val="18"/>
              </w:rPr>
              <w:t>806</w:t>
            </w:r>
            <w:r w:rsidRPr="00EC20A0">
              <w:rPr>
                <w:spacing w:val="-13"/>
                <w:sz w:val="18"/>
              </w:rPr>
              <w:t xml:space="preserve"> </w:t>
            </w:r>
            <w:r w:rsidRPr="00EC20A0">
              <w:rPr>
                <w:sz w:val="18"/>
              </w:rPr>
              <w:t>steps 4 (c), 5 (c), and 6.</w:t>
            </w:r>
          </w:p>
        </w:tc>
      </w:tr>
    </w:tbl>
    <w:p w14:paraId="24D6115B" w14:textId="77777777" w:rsidR="00245300" w:rsidRPr="00EC20A0" w:rsidRDefault="00F17249">
      <w:pPr>
        <w:pStyle w:val="BodyText"/>
        <w:spacing w:before="6"/>
        <w:rPr>
          <w:sz w:val="20"/>
        </w:rPr>
      </w:pPr>
      <w:r w:rsidRPr="00EC20A0">
        <w:rPr>
          <w:noProof/>
        </w:rPr>
        <mc:AlternateContent>
          <mc:Choice Requires="wps">
            <w:drawing>
              <wp:anchor distT="0" distB="0" distL="0" distR="0" simplePos="0" relativeHeight="487668224" behindDoc="1" locked="0" layoutInCell="1" allowOverlap="1" wp14:anchorId="24D62BF7" wp14:editId="24D62BF8">
                <wp:simplePos x="0" y="0"/>
                <wp:positionH relativeFrom="page">
                  <wp:posOffset>685800</wp:posOffset>
                </wp:positionH>
                <wp:positionV relativeFrom="paragraph">
                  <wp:posOffset>165325</wp:posOffset>
                </wp:positionV>
                <wp:extent cx="1828800" cy="6985"/>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ADD9D" id="Graphic 566" o:spid="_x0000_s1026" style="position:absolute;margin-left:54pt;margin-top:13pt;width:2in;height:.55pt;z-index:-156482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" path="m1828800,l,,,6858r1828800,l1828800,xe" fillcolor="black" stroked="f">
                <v:path arrowok="t"/>
                <w10:wrap type="topAndBottom" anchorx="page"/>
              </v:shape>
            </w:pict>
          </mc:Fallback>
        </mc:AlternateContent>
      </w:r>
    </w:p>
    <w:p w14:paraId="24D6115C" w14:textId="77777777" w:rsidR="00245300" w:rsidRPr="00EC20A0" w:rsidRDefault="00245300">
      <w:pPr>
        <w:pStyle w:val="BodyText"/>
        <w:spacing w:before="10"/>
        <w:rPr>
          <w:sz w:val="18"/>
        </w:rPr>
      </w:pPr>
    </w:p>
    <w:p w14:paraId="24D6115D" w14:textId="77777777" w:rsidR="00245300" w:rsidRPr="00EC20A0" w:rsidRDefault="00F17249">
      <w:pPr>
        <w:ind w:left="120"/>
        <w:rPr>
          <w:sz w:val="18"/>
        </w:rPr>
      </w:pPr>
      <w:r w:rsidRPr="00EC20A0">
        <w:rPr>
          <w:position w:val="7"/>
          <w:sz w:val="14"/>
        </w:rPr>
        <w:t>42</w:t>
      </w:r>
      <w:r w:rsidRPr="00EC20A0">
        <w:rPr>
          <w:sz w:val="18"/>
        </w:rPr>
        <w:t>A</w:t>
      </w:r>
      <w:r w:rsidRPr="00EC20A0">
        <w:rPr>
          <w:spacing w:val="-4"/>
          <w:sz w:val="18"/>
        </w:rPr>
        <w:t xml:space="preserve"> </w:t>
      </w:r>
      <w:r w:rsidRPr="00EC20A0">
        <w:rPr>
          <w:sz w:val="18"/>
        </w:rPr>
        <w:t>payment</w:t>
      </w:r>
      <w:r w:rsidRPr="00EC20A0">
        <w:rPr>
          <w:spacing w:val="-2"/>
          <w:sz w:val="18"/>
        </w:rPr>
        <w:t xml:space="preserve"> </w:t>
      </w:r>
      <w:r w:rsidRPr="00EC20A0">
        <w:rPr>
          <w:sz w:val="18"/>
        </w:rPr>
        <w:t>is</w:t>
      </w:r>
      <w:r w:rsidRPr="00EC20A0">
        <w:rPr>
          <w:spacing w:val="-1"/>
          <w:sz w:val="18"/>
        </w:rPr>
        <w:t xml:space="preserve"> </w:t>
      </w:r>
      <w:r w:rsidRPr="00EC20A0">
        <w:rPr>
          <w:sz w:val="18"/>
        </w:rPr>
        <w:t>deemed</w:t>
      </w:r>
      <w:r w:rsidRPr="00EC20A0">
        <w:rPr>
          <w:spacing w:val="-3"/>
          <w:sz w:val="18"/>
        </w:rPr>
        <w:t xml:space="preserve"> </w:t>
      </w:r>
      <w:r w:rsidRPr="00EC20A0">
        <w:rPr>
          <w:sz w:val="18"/>
        </w:rPr>
        <w:t>to</w:t>
      </w:r>
      <w:r w:rsidRPr="00EC20A0">
        <w:rPr>
          <w:spacing w:val="-2"/>
          <w:sz w:val="18"/>
        </w:rPr>
        <w:t xml:space="preserve"> </w:t>
      </w:r>
      <w:r w:rsidRPr="00EC20A0">
        <w:rPr>
          <w:sz w:val="18"/>
        </w:rPr>
        <w:t>be</w:t>
      </w:r>
      <w:r w:rsidRPr="00EC20A0">
        <w:rPr>
          <w:spacing w:val="-3"/>
          <w:sz w:val="18"/>
        </w:rPr>
        <w:t xml:space="preserve"> </w:t>
      </w:r>
      <w:r w:rsidRPr="00EC20A0">
        <w:rPr>
          <w:sz w:val="18"/>
        </w:rPr>
        <w:t>made</w:t>
      </w:r>
      <w:r w:rsidRPr="00EC20A0">
        <w:rPr>
          <w:spacing w:val="-2"/>
          <w:sz w:val="18"/>
        </w:rPr>
        <w:t xml:space="preserve"> </w:t>
      </w:r>
      <w:r w:rsidRPr="00EC20A0">
        <w:rPr>
          <w:sz w:val="18"/>
        </w:rPr>
        <w:t>on</w:t>
      </w:r>
      <w:r w:rsidRPr="00EC20A0">
        <w:rPr>
          <w:spacing w:val="-3"/>
          <w:sz w:val="18"/>
        </w:rPr>
        <w:t xml:space="preserve"> </w:t>
      </w:r>
      <w:r w:rsidRPr="00EC20A0">
        <w:rPr>
          <w:sz w:val="18"/>
        </w:rPr>
        <w:t>the</w:t>
      </w:r>
      <w:r w:rsidRPr="00EC20A0">
        <w:rPr>
          <w:spacing w:val="-2"/>
          <w:sz w:val="18"/>
        </w:rPr>
        <w:t xml:space="preserve"> </w:t>
      </w:r>
      <w:r w:rsidRPr="00EC20A0">
        <w:rPr>
          <w:sz w:val="18"/>
        </w:rPr>
        <w:t>date</w:t>
      </w:r>
      <w:r w:rsidRPr="00EC20A0">
        <w:rPr>
          <w:spacing w:val="-3"/>
          <w:sz w:val="18"/>
        </w:rPr>
        <w:t xml:space="preserve"> </w:t>
      </w:r>
      <w:r w:rsidRPr="00EC20A0">
        <w:rPr>
          <w:sz w:val="18"/>
        </w:rPr>
        <w:t>that</w:t>
      </w:r>
      <w:r w:rsidRPr="00EC20A0">
        <w:rPr>
          <w:spacing w:val="-1"/>
          <w:sz w:val="18"/>
        </w:rPr>
        <w:t xml:space="preserve"> </w:t>
      </w:r>
      <w:r w:rsidRPr="00EC20A0">
        <w:rPr>
          <w:sz w:val="18"/>
        </w:rPr>
        <w:t>a</w:t>
      </w:r>
      <w:r w:rsidRPr="00EC20A0">
        <w:rPr>
          <w:spacing w:val="-3"/>
          <w:sz w:val="18"/>
        </w:rPr>
        <w:t xml:space="preserve"> </w:t>
      </w:r>
      <w:r w:rsidRPr="00EC20A0">
        <w:rPr>
          <w:sz w:val="18"/>
        </w:rPr>
        <w:t>check</w:t>
      </w:r>
      <w:r w:rsidRPr="00EC20A0">
        <w:rPr>
          <w:spacing w:val="-1"/>
          <w:sz w:val="18"/>
        </w:rPr>
        <w:t xml:space="preserve"> </w:t>
      </w:r>
      <w:r w:rsidRPr="00EC20A0">
        <w:rPr>
          <w:sz w:val="18"/>
        </w:rPr>
        <w:t>for</w:t>
      </w:r>
      <w:r w:rsidRPr="00EC20A0">
        <w:rPr>
          <w:spacing w:val="-2"/>
          <w:sz w:val="18"/>
        </w:rPr>
        <w:t xml:space="preserve"> </w:t>
      </w:r>
      <w:r w:rsidRPr="00EC20A0">
        <w:rPr>
          <w:sz w:val="18"/>
        </w:rPr>
        <w:t>payment</w:t>
      </w:r>
      <w:r w:rsidRPr="00EC20A0">
        <w:rPr>
          <w:spacing w:val="-1"/>
          <w:sz w:val="18"/>
        </w:rPr>
        <w:t xml:space="preserve"> </w:t>
      </w:r>
      <w:r w:rsidRPr="00EC20A0">
        <w:rPr>
          <w:sz w:val="18"/>
        </w:rPr>
        <w:t>is</w:t>
      </w:r>
      <w:r w:rsidRPr="00EC20A0">
        <w:rPr>
          <w:spacing w:val="-2"/>
          <w:sz w:val="18"/>
        </w:rPr>
        <w:t xml:space="preserve"> </w:t>
      </w:r>
      <w:r w:rsidRPr="00EC20A0">
        <w:rPr>
          <w:sz w:val="18"/>
        </w:rPr>
        <w:t>dated</w:t>
      </w:r>
      <w:r w:rsidRPr="00EC20A0">
        <w:rPr>
          <w:spacing w:val="-3"/>
          <w:sz w:val="18"/>
        </w:rPr>
        <w:t xml:space="preserve"> </w:t>
      </w:r>
      <w:r w:rsidRPr="00EC20A0">
        <w:rPr>
          <w:sz w:val="18"/>
        </w:rPr>
        <w:t>or</w:t>
      </w:r>
      <w:r w:rsidRPr="00EC20A0">
        <w:rPr>
          <w:spacing w:val="-1"/>
          <w:sz w:val="18"/>
        </w:rPr>
        <w:t xml:space="preserve"> </w:t>
      </w:r>
      <w:r w:rsidRPr="00EC20A0">
        <w:rPr>
          <w:sz w:val="18"/>
        </w:rPr>
        <w:t>an</w:t>
      </w:r>
      <w:r w:rsidRPr="00EC20A0">
        <w:rPr>
          <w:spacing w:val="-3"/>
          <w:sz w:val="18"/>
        </w:rPr>
        <w:t xml:space="preserve"> </w:t>
      </w:r>
      <w:r w:rsidRPr="00EC20A0">
        <w:rPr>
          <w:sz w:val="18"/>
        </w:rPr>
        <w:t>electronic</w:t>
      </w:r>
      <w:r w:rsidRPr="00EC20A0">
        <w:rPr>
          <w:spacing w:val="-1"/>
          <w:sz w:val="18"/>
        </w:rPr>
        <w:t xml:space="preserve"> </w:t>
      </w:r>
      <w:r w:rsidRPr="00EC20A0">
        <w:rPr>
          <w:sz w:val="18"/>
        </w:rPr>
        <w:t>transfer</w:t>
      </w:r>
      <w:r w:rsidRPr="00EC20A0">
        <w:rPr>
          <w:spacing w:val="-1"/>
          <w:sz w:val="18"/>
        </w:rPr>
        <w:t xml:space="preserve"> </w:t>
      </w:r>
      <w:r w:rsidRPr="00EC20A0">
        <w:rPr>
          <w:sz w:val="18"/>
        </w:rPr>
        <w:t>is</w:t>
      </w:r>
      <w:r w:rsidRPr="00EC20A0">
        <w:rPr>
          <w:spacing w:val="-1"/>
          <w:sz w:val="18"/>
        </w:rPr>
        <w:t xml:space="preserve"> </w:t>
      </w:r>
      <w:r w:rsidRPr="00EC20A0">
        <w:rPr>
          <w:sz w:val="18"/>
        </w:rPr>
        <w:t>made.</w:t>
      </w:r>
      <w:r w:rsidRPr="00EC20A0">
        <w:rPr>
          <w:spacing w:val="-2"/>
          <w:sz w:val="18"/>
        </w:rPr>
        <w:t xml:space="preserve"> </w:t>
      </w:r>
      <w:r w:rsidRPr="00EC20A0">
        <w:rPr>
          <w:sz w:val="18"/>
        </w:rPr>
        <w:t>31</w:t>
      </w:r>
      <w:r w:rsidRPr="00EC20A0">
        <w:rPr>
          <w:spacing w:val="-2"/>
          <w:sz w:val="18"/>
        </w:rPr>
        <w:t xml:space="preserve"> </w:t>
      </w:r>
      <w:r w:rsidRPr="00EC20A0">
        <w:rPr>
          <w:sz w:val="18"/>
        </w:rPr>
        <w:t>U.S.C.</w:t>
      </w:r>
      <w:r w:rsidRPr="00EC20A0">
        <w:rPr>
          <w:spacing w:val="-2"/>
          <w:sz w:val="18"/>
        </w:rPr>
        <w:t xml:space="preserve"> </w:t>
      </w:r>
      <w:r w:rsidRPr="00EC20A0">
        <w:rPr>
          <w:sz w:val="18"/>
        </w:rPr>
        <w:t xml:space="preserve">§ </w:t>
      </w:r>
      <w:r w:rsidRPr="00EC20A0">
        <w:rPr>
          <w:spacing w:val="-2"/>
          <w:sz w:val="18"/>
        </w:rPr>
        <w:t>3901(a)(5).</w:t>
      </w:r>
    </w:p>
    <w:p w14:paraId="24D6115E" w14:textId="77777777" w:rsidR="00245300" w:rsidRPr="00EC20A0" w:rsidRDefault="00F17249">
      <w:pPr>
        <w:spacing w:before="133" w:line="244" w:lineRule="auto"/>
        <w:ind w:left="119"/>
        <w:rPr>
          <w:sz w:val="18"/>
        </w:rPr>
      </w:pPr>
      <w:r w:rsidRPr="00EC20A0">
        <w:rPr>
          <w:position w:val="7"/>
          <w:sz w:val="14"/>
        </w:rPr>
        <w:t>43</w:t>
      </w:r>
      <w:r w:rsidRPr="00EC20A0">
        <w:rPr>
          <w:sz w:val="18"/>
        </w:rPr>
        <w:t>The required due date is generally the date specified in the contract or, if a date is not specified, 30 days after receipt of a proper invoice. 31 U.S.C. § 3903(a)(1). If payment</w:t>
      </w:r>
      <w:r w:rsidRPr="00EC20A0">
        <w:rPr>
          <w:spacing w:val="-2"/>
          <w:sz w:val="18"/>
        </w:rPr>
        <w:t xml:space="preserve"> </w:t>
      </w:r>
      <w:r w:rsidRPr="00EC20A0">
        <w:rPr>
          <w:sz w:val="18"/>
        </w:rPr>
        <w:t>is</w:t>
      </w:r>
      <w:r w:rsidRPr="00EC20A0">
        <w:rPr>
          <w:spacing w:val="-2"/>
          <w:sz w:val="18"/>
        </w:rPr>
        <w:t xml:space="preserve"> </w:t>
      </w:r>
      <w:r w:rsidRPr="00EC20A0">
        <w:rPr>
          <w:sz w:val="18"/>
        </w:rPr>
        <w:t>for</w:t>
      </w:r>
      <w:r w:rsidRPr="00EC20A0">
        <w:rPr>
          <w:spacing w:val="-2"/>
          <w:sz w:val="18"/>
        </w:rPr>
        <w:t xml:space="preserve"> </w:t>
      </w:r>
      <w:r w:rsidRPr="00EC20A0">
        <w:rPr>
          <w:sz w:val="18"/>
        </w:rPr>
        <w:t>meat</w:t>
      </w:r>
      <w:r w:rsidRPr="00EC20A0">
        <w:rPr>
          <w:spacing w:val="-2"/>
          <w:sz w:val="18"/>
        </w:rPr>
        <w:t xml:space="preserve"> </w:t>
      </w:r>
      <w:r w:rsidRPr="00EC20A0">
        <w:rPr>
          <w:sz w:val="18"/>
        </w:rPr>
        <w:t>or</w:t>
      </w:r>
      <w:r w:rsidRPr="00EC20A0">
        <w:rPr>
          <w:spacing w:val="-2"/>
          <w:sz w:val="18"/>
        </w:rPr>
        <w:t xml:space="preserve"> </w:t>
      </w:r>
      <w:r w:rsidRPr="00EC20A0">
        <w:rPr>
          <w:sz w:val="18"/>
        </w:rPr>
        <w:t>meat</w:t>
      </w:r>
      <w:r w:rsidRPr="00EC20A0">
        <w:rPr>
          <w:spacing w:val="-2"/>
          <w:sz w:val="18"/>
        </w:rPr>
        <w:t xml:space="preserve"> </w:t>
      </w:r>
      <w:r w:rsidRPr="00EC20A0">
        <w:rPr>
          <w:sz w:val="18"/>
        </w:rPr>
        <w:t>food</w:t>
      </w:r>
      <w:r w:rsidRPr="00EC20A0">
        <w:rPr>
          <w:spacing w:val="-3"/>
          <w:sz w:val="18"/>
        </w:rPr>
        <w:t xml:space="preserve"> </w:t>
      </w:r>
      <w:r w:rsidRPr="00EC20A0">
        <w:rPr>
          <w:sz w:val="18"/>
        </w:rPr>
        <w:t>products,</w:t>
      </w:r>
      <w:r w:rsidRPr="00EC20A0">
        <w:rPr>
          <w:spacing w:val="-2"/>
          <w:sz w:val="18"/>
        </w:rPr>
        <w:t xml:space="preserve"> </w:t>
      </w:r>
      <w:r w:rsidRPr="00EC20A0">
        <w:rPr>
          <w:sz w:val="18"/>
        </w:rPr>
        <w:t>perishable</w:t>
      </w:r>
      <w:r w:rsidRPr="00EC20A0">
        <w:rPr>
          <w:spacing w:val="-3"/>
          <w:sz w:val="18"/>
        </w:rPr>
        <w:t xml:space="preserve"> </w:t>
      </w:r>
      <w:r w:rsidRPr="00EC20A0">
        <w:rPr>
          <w:sz w:val="18"/>
        </w:rPr>
        <w:t>agricultural</w:t>
      </w:r>
      <w:r w:rsidRPr="00EC20A0">
        <w:rPr>
          <w:spacing w:val="-2"/>
          <w:sz w:val="18"/>
        </w:rPr>
        <w:t xml:space="preserve"> </w:t>
      </w:r>
      <w:r w:rsidRPr="00EC20A0">
        <w:rPr>
          <w:sz w:val="18"/>
        </w:rPr>
        <w:t>products,</w:t>
      </w:r>
      <w:r w:rsidRPr="00EC20A0">
        <w:rPr>
          <w:spacing w:val="-2"/>
          <w:sz w:val="18"/>
        </w:rPr>
        <w:t xml:space="preserve"> </w:t>
      </w:r>
      <w:r w:rsidRPr="00EC20A0">
        <w:rPr>
          <w:sz w:val="18"/>
        </w:rPr>
        <w:t>dairy</w:t>
      </w:r>
      <w:r w:rsidRPr="00EC20A0">
        <w:rPr>
          <w:spacing w:val="-2"/>
          <w:sz w:val="18"/>
        </w:rPr>
        <w:t xml:space="preserve"> </w:t>
      </w:r>
      <w:r w:rsidRPr="00EC20A0">
        <w:rPr>
          <w:sz w:val="18"/>
        </w:rPr>
        <w:t>products, or</w:t>
      </w:r>
      <w:r w:rsidRPr="00EC20A0">
        <w:rPr>
          <w:spacing w:val="-2"/>
          <w:sz w:val="18"/>
        </w:rPr>
        <w:t xml:space="preserve"> </w:t>
      </w:r>
      <w:r w:rsidRPr="00EC20A0">
        <w:rPr>
          <w:sz w:val="18"/>
        </w:rPr>
        <w:t>construction</w:t>
      </w:r>
      <w:r w:rsidRPr="00EC20A0">
        <w:rPr>
          <w:spacing w:val="-3"/>
          <w:sz w:val="18"/>
        </w:rPr>
        <w:t xml:space="preserve"> </w:t>
      </w:r>
      <w:r w:rsidRPr="00EC20A0">
        <w:rPr>
          <w:sz w:val="18"/>
        </w:rPr>
        <w:t>contracts,</w:t>
      </w:r>
      <w:r w:rsidRPr="00EC20A0">
        <w:rPr>
          <w:spacing w:val="-2"/>
          <w:sz w:val="18"/>
        </w:rPr>
        <w:t xml:space="preserve"> </w:t>
      </w:r>
      <w:r w:rsidRPr="00EC20A0">
        <w:rPr>
          <w:sz w:val="18"/>
        </w:rPr>
        <w:t>then</w:t>
      </w:r>
      <w:r w:rsidRPr="00EC20A0">
        <w:rPr>
          <w:spacing w:val="-3"/>
          <w:sz w:val="18"/>
        </w:rPr>
        <w:t xml:space="preserve"> </w:t>
      </w:r>
      <w:r w:rsidRPr="00EC20A0">
        <w:rPr>
          <w:sz w:val="18"/>
        </w:rPr>
        <w:t>consult</w:t>
      </w:r>
      <w:r w:rsidRPr="00EC20A0">
        <w:rPr>
          <w:spacing w:val="-2"/>
          <w:sz w:val="18"/>
        </w:rPr>
        <w:t xml:space="preserve"> </w:t>
      </w:r>
      <w:r w:rsidRPr="00EC20A0">
        <w:rPr>
          <w:sz w:val="18"/>
        </w:rPr>
        <w:t>with</w:t>
      </w:r>
      <w:r w:rsidRPr="00EC20A0">
        <w:rPr>
          <w:spacing w:val="-3"/>
          <w:sz w:val="18"/>
        </w:rPr>
        <w:t xml:space="preserve"> </w:t>
      </w:r>
      <w:r w:rsidRPr="00EC20A0">
        <w:rPr>
          <w:sz w:val="18"/>
        </w:rPr>
        <w:t>OGC</w:t>
      </w:r>
      <w:r w:rsidRPr="00EC20A0">
        <w:rPr>
          <w:spacing w:val="-2"/>
          <w:sz w:val="18"/>
        </w:rPr>
        <w:t xml:space="preserve"> </w:t>
      </w:r>
      <w:r w:rsidRPr="00EC20A0">
        <w:rPr>
          <w:sz w:val="18"/>
        </w:rPr>
        <w:t>to</w:t>
      </w:r>
      <w:r w:rsidRPr="00EC20A0">
        <w:rPr>
          <w:spacing w:val="-3"/>
          <w:sz w:val="18"/>
        </w:rPr>
        <w:t xml:space="preserve"> </w:t>
      </w:r>
      <w:r w:rsidRPr="00EC20A0">
        <w:rPr>
          <w:sz w:val="18"/>
        </w:rPr>
        <w:t>determine</w:t>
      </w:r>
      <w:r w:rsidRPr="00EC20A0">
        <w:rPr>
          <w:spacing w:val="-3"/>
          <w:sz w:val="18"/>
        </w:rPr>
        <w:t xml:space="preserve"> </w:t>
      </w:r>
      <w:r w:rsidRPr="00EC20A0">
        <w:rPr>
          <w:sz w:val="18"/>
        </w:rPr>
        <w:t>the</w:t>
      </w:r>
      <w:r w:rsidRPr="00EC20A0">
        <w:rPr>
          <w:spacing w:val="-2"/>
          <w:sz w:val="18"/>
        </w:rPr>
        <w:t xml:space="preserve"> </w:t>
      </w:r>
      <w:r w:rsidRPr="00EC20A0">
        <w:rPr>
          <w:sz w:val="18"/>
        </w:rPr>
        <w:t xml:space="preserve">payment due date. Specific payment due dates to </w:t>
      </w:r>
      <w:r w:rsidRPr="00EC20A0">
        <w:rPr>
          <w:sz w:val="18"/>
        </w:rPr>
        <w:t>avoid interest penalties are established by law for these items. 31 U.S.C. § 3903(a)(2), (3), (4), (6).</w:t>
      </w:r>
    </w:p>
    <w:p w14:paraId="24D6115F" w14:textId="77777777" w:rsidR="00245300" w:rsidRPr="00EC20A0" w:rsidRDefault="00F17249">
      <w:pPr>
        <w:spacing w:before="115"/>
        <w:ind w:left="119" w:right="83"/>
        <w:rPr>
          <w:sz w:val="18"/>
        </w:rPr>
      </w:pPr>
      <w:r w:rsidRPr="00EC20A0">
        <w:rPr>
          <w:sz w:val="18"/>
        </w:rPr>
        <w:t>The invoice receipt date is established as the later of (1) the date the entity’s designated representative or office actually receives a proper invoice or (2) the 7th day after the date on which, in accordance with the terms and conditions of the contract, the property is actually delivered or performance of the services is actually completed,</w:t>
      </w:r>
      <w:r w:rsidRPr="00EC20A0">
        <w:rPr>
          <w:spacing w:val="-1"/>
          <w:sz w:val="18"/>
        </w:rPr>
        <w:t xml:space="preserve"> </w:t>
      </w:r>
      <w:r w:rsidRPr="00EC20A0">
        <w:rPr>
          <w:sz w:val="18"/>
        </w:rPr>
        <w:t>unless</w:t>
      </w:r>
      <w:r w:rsidRPr="00EC20A0">
        <w:rPr>
          <w:spacing w:val="-1"/>
          <w:sz w:val="18"/>
        </w:rPr>
        <w:t xml:space="preserve"> </w:t>
      </w:r>
      <w:r w:rsidRPr="00EC20A0">
        <w:rPr>
          <w:sz w:val="18"/>
        </w:rPr>
        <w:t>the</w:t>
      </w:r>
      <w:r w:rsidRPr="00EC20A0">
        <w:rPr>
          <w:spacing w:val="-2"/>
          <w:sz w:val="18"/>
        </w:rPr>
        <w:t xml:space="preserve"> </w:t>
      </w:r>
      <w:r w:rsidRPr="00EC20A0">
        <w:rPr>
          <w:sz w:val="18"/>
        </w:rPr>
        <w:t>entity</w:t>
      </w:r>
      <w:r w:rsidRPr="00EC20A0">
        <w:rPr>
          <w:spacing w:val="-1"/>
          <w:sz w:val="18"/>
        </w:rPr>
        <w:t xml:space="preserve"> </w:t>
      </w:r>
      <w:r w:rsidRPr="00EC20A0">
        <w:rPr>
          <w:sz w:val="18"/>
        </w:rPr>
        <w:t>accepted</w:t>
      </w:r>
      <w:r w:rsidRPr="00EC20A0">
        <w:rPr>
          <w:spacing w:val="-2"/>
          <w:sz w:val="18"/>
        </w:rPr>
        <w:t xml:space="preserve"> </w:t>
      </w:r>
      <w:r w:rsidRPr="00EC20A0">
        <w:rPr>
          <w:sz w:val="18"/>
        </w:rPr>
        <w:t>the</w:t>
      </w:r>
      <w:r w:rsidRPr="00EC20A0">
        <w:rPr>
          <w:spacing w:val="-2"/>
          <w:sz w:val="18"/>
        </w:rPr>
        <w:t xml:space="preserve"> </w:t>
      </w:r>
      <w:r w:rsidRPr="00EC20A0">
        <w:rPr>
          <w:sz w:val="18"/>
        </w:rPr>
        <w:t>property</w:t>
      </w:r>
      <w:r w:rsidRPr="00EC20A0">
        <w:rPr>
          <w:spacing w:val="-1"/>
          <w:sz w:val="18"/>
        </w:rPr>
        <w:t xml:space="preserve"> </w:t>
      </w:r>
      <w:r w:rsidRPr="00EC20A0">
        <w:rPr>
          <w:sz w:val="18"/>
        </w:rPr>
        <w:t>or</w:t>
      </w:r>
      <w:r w:rsidRPr="00EC20A0">
        <w:rPr>
          <w:spacing w:val="-1"/>
          <w:sz w:val="18"/>
        </w:rPr>
        <w:t xml:space="preserve"> </w:t>
      </w:r>
      <w:r w:rsidRPr="00EC20A0">
        <w:rPr>
          <w:sz w:val="18"/>
        </w:rPr>
        <w:t>services</w:t>
      </w:r>
      <w:r w:rsidRPr="00EC20A0">
        <w:rPr>
          <w:spacing w:val="-1"/>
          <w:sz w:val="18"/>
        </w:rPr>
        <w:t xml:space="preserve"> </w:t>
      </w:r>
      <w:r w:rsidRPr="00EC20A0">
        <w:rPr>
          <w:sz w:val="18"/>
        </w:rPr>
        <w:t>before</w:t>
      </w:r>
      <w:r w:rsidRPr="00EC20A0">
        <w:rPr>
          <w:spacing w:val="-1"/>
          <w:sz w:val="18"/>
        </w:rPr>
        <w:t xml:space="preserve"> </w:t>
      </w:r>
      <w:r w:rsidRPr="00EC20A0">
        <w:rPr>
          <w:sz w:val="18"/>
        </w:rPr>
        <w:t>the</w:t>
      </w:r>
      <w:r w:rsidRPr="00EC20A0">
        <w:rPr>
          <w:spacing w:val="-2"/>
          <w:sz w:val="18"/>
        </w:rPr>
        <w:t xml:space="preserve"> </w:t>
      </w:r>
      <w:r w:rsidRPr="00EC20A0">
        <w:rPr>
          <w:sz w:val="18"/>
        </w:rPr>
        <w:t>7th</w:t>
      </w:r>
      <w:r w:rsidRPr="00EC20A0">
        <w:rPr>
          <w:spacing w:val="-2"/>
          <w:sz w:val="18"/>
        </w:rPr>
        <w:t xml:space="preserve"> </w:t>
      </w:r>
      <w:r w:rsidRPr="00EC20A0">
        <w:rPr>
          <w:sz w:val="18"/>
        </w:rPr>
        <w:t>day</w:t>
      </w:r>
      <w:r w:rsidRPr="00EC20A0">
        <w:rPr>
          <w:spacing w:val="-1"/>
          <w:sz w:val="18"/>
        </w:rPr>
        <w:t xml:space="preserve"> </w:t>
      </w:r>
      <w:r w:rsidRPr="00EC20A0">
        <w:rPr>
          <w:sz w:val="18"/>
        </w:rPr>
        <w:t>or</w:t>
      </w:r>
      <w:r w:rsidRPr="00EC20A0">
        <w:rPr>
          <w:spacing w:val="-1"/>
          <w:sz w:val="18"/>
        </w:rPr>
        <w:t xml:space="preserve"> </w:t>
      </w:r>
      <w:r w:rsidRPr="00EC20A0">
        <w:rPr>
          <w:sz w:val="18"/>
        </w:rPr>
        <w:t>a</w:t>
      </w:r>
      <w:r w:rsidRPr="00EC20A0">
        <w:rPr>
          <w:spacing w:val="-2"/>
          <w:sz w:val="18"/>
        </w:rPr>
        <w:t xml:space="preserve"> </w:t>
      </w:r>
      <w:r w:rsidRPr="00EC20A0">
        <w:rPr>
          <w:sz w:val="18"/>
        </w:rPr>
        <w:t>longer</w:t>
      </w:r>
      <w:r w:rsidRPr="00EC20A0">
        <w:rPr>
          <w:spacing w:val="-1"/>
          <w:sz w:val="18"/>
        </w:rPr>
        <w:t xml:space="preserve"> </w:t>
      </w:r>
      <w:r w:rsidRPr="00EC20A0">
        <w:rPr>
          <w:sz w:val="18"/>
        </w:rPr>
        <w:t>acceptance</w:t>
      </w:r>
      <w:r w:rsidRPr="00EC20A0">
        <w:rPr>
          <w:spacing w:val="-2"/>
          <w:sz w:val="18"/>
        </w:rPr>
        <w:t xml:space="preserve"> </w:t>
      </w:r>
      <w:r w:rsidRPr="00EC20A0">
        <w:rPr>
          <w:sz w:val="18"/>
        </w:rPr>
        <w:t>date</w:t>
      </w:r>
      <w:r w:rsidRPr="00EC20A0">
        <w:rPr>
          <w:spacing w:val="-2"/>
          <w:sz w:val="18"/>
        </w:rPr>
        <w:t xml:space="preserve"> </w:t>
      </w:r>
      <w:r w:rsidRPr="00EC20A0">
        <w:rPr>
          <w:sz w:val="18"/>
        </w:rPr>
        <w:t>is</w:t>
      </w:r>
      <w:r w:rsidRPr="00EC20A0">
        <w:rPr>
          <w:spacing w:val="-1"/>
          <w:sz w:val="18"/>
        </w:rPr>
        <w:t xml:space="preserve"> </w:t>
      </w:r>
      <w:r w:rsidRPr="00EC20A0">
        <w:rPr>
          <w:sz w:val="18"/>
        </w:rPr>
        <w:t>specified</w:t>
      </w:r>
      <w:r w:rsidRPr="00EC20A0">
        <w:rPr>
          <w:spacing w:val="-2"/>
          <w:sz w:val="18"/>
        </w:rPr>
        <w:t xml:space="preserve"> </w:t>
      </w:r>
      <w:r w:rsidRPr="00EC20A0">
        <w:rPr>
          <w:sz w:val="18"/>
        </w:rPr>
        <w:t>in</w:t>
      </w:r>
      <w:r w:rsidRPr="00EC20A0">
        <w:rPr>
          <w:spacing w:val="-2"/>
          <w:sz w:val="18"/>
        </w:rPr>
        <w:t xml:space="preserve"> </w:t>
      </w:r>
      <w:r w:rsidRPr="00EC20A0">
        <w:rPr>
          <w:sz w:val="18"/>
        </w:rPr>
        <w:t>the</w:t>
      </w:r>
      <w:r w:rsidRPr="00EC20A0">
        <w:rPr>
          <w:spacing w:val="-2"/>
          <w:sz w:val="18"/>
        </w:rPr>
        <w:t xml:space="preserve"> </w:t>
      </w:r>
      <w:r w:rsidRPr="00EC20A0">
        <w:rPr>
          <w:sz w:val="18"/>
        </w:rPr>
        <w:t>contract.</w:t>
      </w:r>
      <w:r w:rsidRPr="00EC20A0">
        <w:rPr>
          <w:spacing w:val="-1"/>
          <w:sz w:val="18"/>
        </w:rPr>
        <w:t xml:space="preserve"> </w:t>
      </w:r>
      <w:r w:rsidRPr="00EC20A0">
        <w:rPr>
          <w:sz w:val="18"/>
        </w:rPr>
        <w:t>31</w:t>
      </w:r>
      <w:r w:rsidRPr="00EC20A0">
        <w:rPr>
          <w:spacing w:val="-2"/>
          <w:sz w:val="18"/>
        </w:rPr>
        <w:t xml:space="preserve"> </w:t>
      </w:r>
      <w:r w:rsidRPr="00EC20A0">
        <w:rPr>
          <w:sz w:val="18"/>
        </w:rPr>
        <w:t>U.S.C.</w:t>
      </w:r>
      <w:r w:rsidRPr="00EC20A0">
        <w:rPr>
          <w:spacing w:val="-1"/>
          <w:sz w:val="18"/>
        </w:rPr>
        <w:t xml:space="preserve"> </w:t>
      </w:r>
      <w:r w:rsidRPr="00EC20A0">
        <w:rPr>
          <w:sz w:val="18"/>
        </w:rPr>
        <w:t>§</w:t>
      </w:r>
      <w:r w:rsidRPr="00EC20A0">
        <w:rPr>
          <w:spacing w:val="-1"/>
          <w:sz w:val="18"/>
        </w:rPr>
        <w:t xml:space="preserve"> </w:t>
      </w:r>
      <w:r w:rsidRPr="00EC20A0">
        <w:rPr>
          <w:sz w:val="18"/>
        </w:rPr>
        <w:t>3901(a)(4)(A).</w:t>
      </w:r>
      <w:r w:rsidRPr="00EC20A0">
        <w:rPr>
          <w:spacing w:val="-1"/>
          <w:sz w:val="18"/>
        </w:rPr>
        <w:t xml:space="preserve"> </w:t>
      </w:r>
      <w:r w:rsidRPr="00EC20A0">
        <w:rPr>
          <w:sz w:val="18"/>
        </w:rPr>
        <w:t>If the date of actual invoice receipt is not indicated, then the entity must use the invoice date. 31 U.S.C. § 3901(a)(4)(B).</w:t>
      </w:r>
    </w:p>
    <w:p w14:paraId="24D61160" w14:textId="77777777" w:rsidR="00245300" w:rsidRPr="00EC20A0" w:rsidRDefault="00F17249">
      <w:pPr>
        <w:spacing w:before="126" w:line="244" w:lineRule="auto"/>
        <w:ind w:left="119" w:right="237"/>
        <w:rPr>
          <w:sz w:val="18"/>
        </w:rPr>
      </w:pPr>
      <w:r w:rsidRPr="00EC20A0">
        <w:rPr>
          <w:position w:val="7"/>
          <w:sz w:val="14"/>
        </w:rPr>
        <w:t>44</w:t>
      </w:r>
      <w:r w:rsidRPr="00EC20A0">
        <w:rPr>
          <w:sz w:val="18"/>
        </w:rPr>
        <w:t>Interest</w:t>
      </w:r>
      <w:r w:rsidRPr="00EC20A0">
        <w:rPr>
          <w:spacing w:val="-2"/>
          <w:sz w:val="18"/>
        </w:rPr>
        <w:t xml:space="preserve"> </w:t>
      </w:r>
      <w:r w:rsidRPr="00EC20A0">
        <w:rPr>
          <w:sz w:val="18"/>
        </w:rPr>
        <w:t>shall</w:t>
      </w:r>
      <w:r w:rsidRPr="00EC20A0">
        <w:rPr>
          <w:spacing w:val="-2"/>
          <w:sz w:val="18"/>
        </w:rPr>
        <w:t xml:space="preserve"> </w:t>
      </w:r>
      <w:r w:rsidRPr="00EC20A0">
        <w:rPr>
          <w:sz w:val="18"/>
        </w:rPr>
        <w:t>be</w:t>
      </w:r>
      <w:r w:rsidRPr="00EC20A0">
        <w:rPr>
          <w:spacing w:val="-3"/>
          <w:sz w:val="18"/>
        </w:rPr>
        <w:t xml:space="preserve"> </w:t>
      </w:r>
      <w:r w:rsidRPr="00EC20A0">
        <w:rPr>
          <w:sz w:val="18"/>
        </w:rPr>
        <w:t>calculated</w:t>
      </w:r>
      <w:r w:rsidRPr="00EC20A0">
        <w:rPr>
          <w:spacing w:val="-3"/>
          <w:sz w:val="18"/>
        </w:rPr>
        <w:t xml:space="preserve"> </w:t>
      </w:r>
      <w:r w:rsidRPr="00EC20A0">
        <w:rPr>
          <w:sz w:val="18"/>
        </w:rPr>
        <w:t>at</w:t>
      </w:r>
      <w:r w:rsidRPr="00EC20A0">
        <w:rPr>
          <w:spacing w:val="-1"/>
          <w:sz w:val="18"/>
        </w:rPr>
        <w:t xml:space="preserve"> </w:t>
      </w:r>
      <w:r w:rsidRPr="00EC20A0">
        <w:rPr>
          <w:sz w:val="18"/>
        </w:rPr>
        <w:t>the</w:t>
      </w:r>
      <w:r w:rsidRPr="00EC20A0">
        <w:rPr>
          <w:spacing w:val="-3"/>
          <w:sz w:val="18"/>
        </w:rPr>
        <w:t xml:space="preserve"> </w:t>
      </w:r>
      <w:r w:rsidRPr="00EC20A0">
        <w:rPr>
          <w:sz w:val="18"/>
        </w:rPr>
        <w:t>rate</w:t>
      </w:r>
      <w:r w:rsidRPr="00EC20A0">
        <w:rPr>
          <w:spacing w:val="-3"/>
          <w:sz w:val="18"/>
        </w:rPr>
        <w:t xml:space="preserve"> </w:t>
      </w:r>
      <w:r w:rsidRPr="00EC20A0">
        <w:rPr>
          <w:sz w:val="18"/>
        </w:rPr>
        <w:t>set</w:t>
      </w:r>
      <w:r w:rsidRPr="00EC20A0">
        <w:rPr>
          <w:spacing w:val="-2"/>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Secretary</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Treasury</w:t>
      </w:r>
      <w:r w:rsidRPr="00EC20A0">
        <w:rPr>
          <w:spacing w:val="-2"/>
          <w:sz w:val="18"/>
        </w:rPr>
        <w:t xml:space="preserve"> </w:t>
      </w:r>
      <w:r w:rsidRPr="00EC20A0">
        <w:rPr>
          <w:sz w:val="18"/>
        </w:rPr>
        <w:t>under</w:t>
      </w:r>
      <w:r w:rsidRPr="00EC20A0">
        <w:rPr>
          <w:spacing w:val="-2"/>
          <w:sz w:val="18"/>
        </w:rPr>
        <w:t xml:space="preserve"> </w:t>
      </w:r>
      <w:r w:rsidRPr="00EC20A0">
        <w:rPr>
          <w:sz w:val="18"/>
        </w:rPr>
        <w:t>section</w:t>
      </w:r>
      <w:r w:rsidRPr="00EC20A0">
        <w:rPr>
          <w:spacing w:val="-3"/>
          <w:sz w:val="18"/>
        </w:rPr>
        <w:t xml:space="preserve"> </w:t>
      </w:r>
      <w:r w:rsidRPr="00EC20A0">
        <w:rPr>
          <w:sz w:val="18"/>
        </w:rPr>
        <w:t>12</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Contract</w:t>
      </w:r>
      <w:r w:rsidRPr="00EC20A0">
        <w:rPr>
          <w:spacing w:val="-2"/>
          <w:sz w:val="18"/>
        </w:rPr>
        <w:t xml:space="preserve"> </w:t>
      </w:r>
      <w:r w:rsidRPr="00EC20A0">
        <w:rPr>
          <w:sz w:val="18"/>
        </w:rPr>
        <w:t>Disputes</w:t>
      </w:r>
      <w:r w:rsidRPr="00EC20A0">
        <w:rPr>
          <w:spacing w:val="-2"/>
          <w:sz w:val="18"/>
        </w:rPr>
        <w:t xml:space="preserve"> </w:t>
      </w:r>
      <w:r w:rsidRPr="00EC20A0">
        <w:rPr>
          <w:sz w:val="18"/>
        </w:rPr>
        <w:t>Act</w:t>
      </w:r>
      <w:r w:rsidRPr="00EC20A0">
        <w:rPr>
          <w:spacing w:val="-2"/>
          <w:sz w:val="18"/>
        </w:rPr>
        <w:t xml:space="preserve"> </w:t>
      </w:r>
      <w:r w:rsidRPr="00EC20A0">
        <w:rPr>
          <w:sz w:val="18"/>
        </w:rPr>
        <w:t>of</w:t>
      </w:r>
      <w:r w:rsidRPr="00EC20A0">
        <w:rPr>
          <w:spacing w:val="-2"/>
          <w:sz w:val="18"/>
        </w:rPr>
        <w:t xml:space="preserve"> </w:t>
      </w:r>
      <w:r w:rsidRPr="00EC20A0">
        <w:rPr>
          <w:sz w:val="18"/>
        </w:rPr>
        <w:t>1978</w:t>
      </w:r>
      <w:r w:rsidRPr="00EC20A0">
        <w:rPr>
          <w:spacing w:val="-3"/>
          <w:sz w:val="18"/>
        </w:rPr>
        <w:t xml:space="preserve"> </w:t>
      </w:r>
      <w:r w:rsidRPr="00EC20A0">
        <w:rPr>
          <w:sz w:val="18"/>
        </w:rPr>
        <w:t>(41</w:t>
      </w:r>
      <w:r w:rsidRPr="00EC20A0">
        <w:rPr>
          <w:spacing w:val="-1"/>
          <w:sz w:val="18"/>
        </w:rPr>
        <w:t xml:space="preserve"> </w:t>
      </w:r>
      <w:r w:rsidRPr="00EC20A0">
        <w:rPr>
          <w:sz w:val="18"/>
        </w:rPr>
        <w:t>U.S.C.</w:t>
      </w:r>
      <w:r w:rsidRPr="00EC20A0">
        <w:rPr>
          <w:spacing w:val="-2"/>
          <w:sz w:val="18"/>
        </w:rPr>
        <w:t xml:space="preserve"> </w:t>
      </w:r>
      <w:r w:rsidRPr="00EC20A0">
        <w:rPr>
          <w:sz w:val="18"/>
        </w:rPr>
        <w:t>§</w:t>
      </w:r>
      <w:r w:rsidRPr="00EC20A0">
        <w:rPr>
          <w:spacing w:val="-1"/>
          <w:sz w:val="18"/>
        </w:rPr>
        <w:t xml:space="preserve"> </w:t>
      </w:r>
      <w:r w:rsidRPr="00EC20A0">
        <w:rPr>
          <w:sz w:val="18"/>
        </w:rPr>
        <w:t>7109)</w:t>
      </w:r>
      <w:r w:rsidRPr="00EC20A0">
        <w:rPr>
          <w:spacing w:val="-1"/>
          <w:sz w:val="18"/>
        </w:rPr>
        <w:t xml:space="preserve"> </w:t>
      </w:r>
      <w:r w:rsidRPr="00EC20A0">
        <w:rPr>
          <w:sz w:val="18"/>
        </w:rPr>
        <w:t>that</w:t>
      </w:r>
      <w:r w:rsidRPr="00EC20A0">
        <w:rPr>
          <w:spacing w:val="-2"/>
          <w:sz w:val="18"/>
        </w:rPr>
        <w:t xml:space="preserve"> </w:t>
      </w:r>
      <w:r w:rsidRPr="00EC20A0">
        <w:rPr>
          <w:sz w:val="18"/>
        </w:rPr>
        <w:t>is</w:t>
      </w:r>
      <w:r w:rsidRPr="00EC20A0">
        <w:rPr>
          <w:spacing w:val="-2"/>
          <w:sz w:val="18"/>
        </w:rPr>
        <w:t xml:space="preserve"> </w:t>
      </w:r>
      <w:r w:rsidRPr="00EC20A0">
        <w:rPr>
          <w:sz w:val="18"/>
        </w:rPr>
        <w:t>in</w:t>
      </w:r>
      <w:r w:rsidRPr="00EC20A0">
        <w:rPr>
          <w:spacing w:val="-3"/>
          <w:sz w:val="18"/>
        </w:rPr>
        <w:t xml:space="preserve"> </w:t>
      </w:r>
      <w:r w:rsidRPr="00EC20A0">
        <w:rPr>
          <w:sz w:val="18"/>
        </w:rPr>
        <w:t xml:space="preserve">effect at the time the entity accrues the obligation to pay a late payment interest penalty. 31 U.S.C. § 3902(a). The rates are published in the </w:t>
      </w:r>
      <w:r w:rsidRPr="00EC20A0">
        <w:rPr>
          <w:i/>
          <w:sz w:val="18"/>
        </w:rPr>
        <w:t>Federal Register</w:t>
      </w:r>
      <w:r w:rsidRPr="00EC20A0">
        <w:rPr>
          <w:sz w:val="18"/>
        </w:rPr>
        <w:t xml:space="preserve">. 31 U.S.C. § </w:t>
      </w:r>
      <w:r w:rsidRPr="00EC20A0">
        <w:rPr>
          <w:spacing w:val="-2"/>
          <w:sz w:val="18"/>
        </w:rPr>
        <w:t>3902(a).</w:t>
      </w:r>
    </w:p>
    <w:p w14:paraId="24D61161" w14:textId="77777777" w:rsidR="00245300" w:rsidRPr="00EC20A0" w:rsidRDefault="00F17249">
      <w:pPr>
        <w:spacing w:before="122" w:line="249" w:lineRule="auto"/>
        <w:ind w:left="119"/>
        <w:rPr>
          <w:sz w:val="18"/>
        </w:rPr>
      </w:pPr>
      <w:r w:rsidRPr="00EC20A0">
        <w:rPr>
          <w:position w:val="7"/>
          <w:sz w:val="14"/>
        </w:rPr>
        <w:t>45</w:t>
      </w:r>
      <w:r w:rsidRPr="00EC20A0">
        <w:rPr>
          <w:sz w:val="18"/>
        </w:rPr>
        <w:t>The</w:t>
      </w:r>
      <w:r w:rsidRPr="00EC20A0">
        <w:rPr>
          <w:spacing w:val="-3"/>
          <w:sz w:val="18"/>
        </w:rPr>
        <w:t xml:space="preserve"> </w:t>
      </w:r>
      <w:r w:rsidRPr="00EC20A0">
        <w:rPr>
          <w:sz w:val="18"/>
        </w:rPr>
        <w:t>temporary</w:t>
      </w:r>
      <w:r w:rsidRPr="00EC20A0">
        <w:rPr>
          <w:spacing w:val="-1"/>
          <w:sz w:val="18"/>
        </w:rPr>
        <w:t xml:space="preserve"> </w:t>
      </w:r>
      <w:r w:rsidRPr="00EC20A0">
        <w:rPr>
          <w:sz w:val="18"/>
        </w:rPr>
        <w:t>unavailability</w:t>
      </w:r>
      <w:r w:rsidRPr="00EC20A0">
        <w:rPr>
          <w:spacing w:val="-2"/>
          <w:sz w:val="18"/>
        </w:rPr>
        <w:t xml:space="preserve"> </w:t>
      </w:r>
      <w:r w:rsidRPr="00EC20A0">
        <w:rPr>
          <w:sz w:val="18"/>
        </w:rPr>
        <w:t>of</w:t>
      </w:r>
      <w:r w:rsidRPr="00EC20A0">
        <w:rPr>
          <w:spacing w:val="-2"/>
          <w:sz w:val="18"/>
        </w:rPr>
        <w:t xml:space="preserve"> </w:t>
      </w:r>
      <w:r w:rsidRPr="00EC20A0">
        <w:rPr>
          <w:sz w:val="18"/>
        </w:rPr>
        <w:t>funds</w:t>
      </w:r>
      <w:r w:rsidRPr="00EC20A0">
        <w:rPr>
          <w:spacing w:val="-2"/>
          <w:sz w:val="18"/>
        </w:rPr>
        <w:t xml:space="preserve"> </w:t>
      </w:r>
      <w:r w:rsidRPr="00EC20A0">
        <w:rPr>
          <w:sz w:val="18"/>
        </w:rPr>
        <w:t>to</w:t>
      </w:r>
      <w:r w:rsidRPr="00EC20A0">
        <w:rPr>
          <w:spacing w:val="-3"/>
          <w:sz w:val="18"/>
        </w:rPr>
        <w:t xml:space="preserve"> </w:t>
      </w:r>
      <w:r w:rsidRPr="00EC20A0">
        <w:rPr>
          <w:sz w:val="18"/>
        </w:rPr>
        <w:t>make</w:t>
      </w:r>
      <w:r w:rsidRPr="00EC20A0">
        <w:rPr>
          <w:spacing w:val="-3"/>
          <w:sz w:val="18"/>
        </w:rPr>
        <w:t xml:space="preserve"> </w:t>
      </w:r>
      <w:r w:rsidRPr="00EC20A0">
        <w:rPr>
          <w:sz w:val="18"/>
        </w:rPr>
        <w:t>a</w:t>
      </w:r>
      <w:r w:rsidRPr="00EC20A0">
        <w:rPr>
          <w:spacing w:val="-3"/>
          <w:sz w:val="18"/>
        </w:rPr>
        <w:t xml:space="preserve"> </w:t>
      </w:r>
      <w:r w:rsidRPr="00EC20A0">
        <w:rPr>
          <w:sz w:val="18"/>
        </w:rPr>
        <w:t>timely</w:t>
      </w:r>
      <w:r w:rsidRPr="00EC20A0">
        <w:rPr>
          <w:spacing w:val="-2"/>
          <w:sz w:val="18"/>
        </w:rPr>
        <w:t xml:space="preserve"> </w:t>
      </w:r>
      <w:r w:rsidRPr="00EC20A0">
        <w:rPr>
          <w:sz w:val="18"/>
        </w:rPr>
        <w:t>payment</w:t>
      </w:r>
      <w:r w:rsidRPr="00EC20A0">
        <w:rPr>
          <w:spacing w:val="-2"/>
          <w:sz w:val="18"/>
        </w:rPr>
        <w:t xml:space="preserve"> </w:t>
      </w:r>
      <w:r w:rsidRPr="00EC20A0">
        <w:rPr>
          <w:sz w:val="18"/>
        </w:rPr>
        <w:t>due</w:t>
      </w:r>
      <w:r w:rsidRPr="00EC20A0">
        <w:rPr>
          <w:spacing w:val="-3"/>
          <w:sz w:val="18"/>
        </w:rPr>
        <w:t xml:space="preserve"> </w:t>
      </w:r>
      <w:r w:rsidRPr="00EC20A0">
        <w:rPr>
          <w:sz w:val="18"/>
        </w:rPr>
        <w:t>for</w:t>
      </w:r>
      <w:r w:rsidRPr="00EC20A0">
        <w:rPr>
          <w:spacing w:val="-2"/>
          <w:sz w:val="18"/>
        </w:rPr>
        <w:t xml:space="preserve"> </w:t>
      </w:r>
      <w:r w:rsidRPr="00EC20A0">
        <w:rPr>
          <w:sz w:val="18"/>
        </w:rPr>
        <w:t>property</w:t>
      </w:r>
      <w:r w:rsidRPr="00EC20A0">
        <w:rPr>
          <w:spacing w:val="-2"/>
          <w:sz w:val="18"/>
        </w:rPr>
        <w:t xml:space="preserve"> </w:t>
      </w:r>
      <w:r w:rsidRPr="00EC20A0">
        <w:rPr>
          <w:sz w:val="18"/>
        </w:rPr>
        <w:t>or</w:t>
      </w:r>
      <w:r w:rsidRPr="00EC20A0">
        <w:rPr>
          <w:spacing w:val="-2"/>
          <w:sz w:val="18"/>
        </w:rPr>
        <w:t xml:space="preserve"> </w:t>
      </w:r>
      <w:r w:rsidRPr="00EC20A0">
        <w:rPr>
          <w:sz w:val="18"/>
        </w:rPr>
        <w:t>services</w:t>
      </w:r>
      <w:r w:rsidRPr="00EC20A0">
        <w:rPr>
          <w:spacing w:val="-2"/>
          <w:sz w:val="18"/>
        </w:rPr>
        <w:t xml:space="preserve"> </w:t>
      </w:r>
      <w:r w:rsidRPr="00EC20A0">
        <w:rPr>
          <w:sz w:val="18"/>
        </w:rPr>
        <w:t>does</w:t>
      </w:r>
      <w:r w:rsidRPr="00EC20A0">
        <w:rPr>
          <w:spacing w:val="-2"/>
          <w:sz w:val="18"/>
        </w:rPr>
        <w:t xml:space="preserve"> </w:t>
      </w:r>
      <w:r w:rsidRPr="00EC20A0">
        <w:rPr>
          <w:sz w:val="18"/>
        </w:rPr>
        <w:t>not</w:t>
      </w:r>
      <w:r w:rsidRPr="00EC20A0">
        <w:rPr>
          <w:spacing w:val="-2"/>
          <w:sz w:val="18"/>
        </w:rPr>
        <w:t xml:space="preserve"> </w:t>
      </w:r>
      <w:r w:rsidRPr="00EC20A0">
        <w:rPr>
          <w:sz w:val="18"/>
        </w:rPr>
        <w:t>relieve</w:t>
      </w:r>
      <w:r w:rsidRPr="00EC20A0">
        <w:rPr>
          <w:spacing w:val="-3"/>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head</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obligation</w:t>
      </w:r>
      <w:r w:rsidRPr="00EC20A0">
        <w:rPr>
          <w:spacing w:val="-3"/>
          <w:sz w:val="18"/>
        </w:rPr>
        <w:t xml:space="preserve"> </w:t>
      </w:r>
      <w:r w:rsidRPr="00EC20A0">
        <w:rPr>
          <w:sz w:val="18"/>
        </w:rPr>
        <w:t>to</w:t>
      </w:r>
      <w:r w:rsidRPr="00EC20A0">
        <w:rPr>
          <w:spacing w:val="-3"/>
          <w:sz w:val="18"/>
        </w:rPr>
        <w:t xml:space="preserve"> </w:t>
      </w:r>
      <w:r w:rsidRPr="00EC20A0">
        <w:rPr>
          <w:sz w:val="18"/>
        </w:rPr>
        <w:t>pay</w:t>
      </w:r>
      <w:r w:rsidRPr="00EC20A0">
        <w:rPr>
          <w:spacing w:val="-1"/>
          <w:sz w:val="18"/>
        </w:rPr>
        <w:t xml:space="preserve"> </w:t>
      </w:r>
      <w:r w:rsidRPr="00EC20A0">
        <w:rPr>
          <w:sz w:val="18"/>
        </w:rPr>
        <w:t>interest</w:t>
      </w:r>
      <w:r w:rsidRPr="00EC20A0">
        <w:rPr>
          <w:spacing w:val="-2"/>
          <w:sz w:val="18"/>
        </w:rPr>
        <w:t xml:space="preserve"> </w:t>
      </w:r>
      <w:r w:rsidRPr="00EC20A0">
        <w:rPr>
          <w:sz w:val="18"/>
        </w:rPr>
        <w:t xml:space="preserve">penalties under </w:t>
      </w:r>
      <w:r w:rsidRPr="00EC20A0">
        <w:rPr>
          <w:sz w:val="18"/>
        </w:rPr>
        <w:t>this law. 31 U.S.C. § 3902(d).</w:t>
      </w:r>
    </w:p>
    <w:p w14:paraId="24D61162" w14:textId="77777777" w:rsidR="00245300" w:rsidRPr="00EC20A0" w:rsidRDefault="00F17249">
      <w:pPr>
        <w:spacing w:before="116" w:line="249" w:lineRule="auto"/>
        <w:ind w:left="119"/>
        <w:rPr>
          <w:sz w:val="18"/>
        </w:rPr>
      </w:pPr>
      <w:r w:rsidRPr="00EC20A0">
        <w:rPr>
          <w:position w:val="7"/>
          <w:sz w:val="14"/>
        </w:rPr>
        <w:t>46</w:t>
      </w:r>
      <w:r w:rsidRPr="00EC20A0">
        <w:rPr>
          <w:sz w:val="18"/>
        </w:rPr>
        <w:t>An</w:t>
      </w:r>
      <w:r w:rsidRPr="00EC20A0">
        <w:rPr>
          <w:spacing w:val="-3"/>
          <w:sz w:val="18"/>
        </w:rPr>
        <w:t xml:space="preserve"> </w:t>
      </w:r>
      <w:r w:rsidRPr="00EC20A0">
        <w:rPr>
          <w:sz w:val="18"/>
        </w:rPr>
        <w:t>interest</w:t>
      </w:r>
      <w:r w:rsidRPr="00EC20A0">
        <w:rPr>
          <w:spacing w:val="-2"/>
          <w:sz w:val="18"/>
        </w:rPr>
        <w:t xml:space="preserve"> </w:t>
      </w:r>
      <w:r w:rsidRPr="00EC20A0">
        <w:rPr>
          <w:sz w:val="18"/>
        </w:rPr>
        <w:t>penalty</w:t>
      </w:r>
      <w:r w:rsidRPr="00EC20A0">
        <w:rPr>
          <w:spacing w:val="-2"/>
          <w:sz w:val="18"/>
        </w:rPr>
        <w:t xml:space="preserve"> </w:t>
      </w:r>
      <w:r w:rsidRPr="00EC20A0">
        <w:rPr>
          <w:sz w:val="18"/>
        </w:rPr>
        <w:t>not</w:t>
      </w:r>
      <w:r w:rsidRPr="00EC20A0">
        <w:rPr>
          <w:spacing w:val="-2"/>
          <w:sz w:val="18"/>
        </w:rPr>
        <w:t xml:space="preserve"> </w:t>
      </w:r>
      <w:r w:rsidRPr="00EC20A0">
        <w:rPr>
          <w:sz w:val="18"/>
        </w:rPr>
        <w:t>paid</w:t>
      </w:r>
      <w:r w:rsidRPr="00EC20A0">
        <w:rPr>
          <w:spacing w:val="-3"/>
          <w:sz w:val="18"/>
        </w:rPr>
        <w:t xml:space="preserve"> </w:t>
      </w:r>
      <w:r w:rsidRPr="00EC20A0">
        <w:rPr>
          <w:sz w:val="18"/>
        </w:rPr>
        <w:t>after</w:t>
      </w:r>
      <w:r w:rsidRPr="00EC20A0">
        <w:rPr>
          <w:spacing w:val="-2"/>
          <w:sz w:val="18"/>
        </w:rPr>
        <w:t xml:space="preserve"> </w:t>
      </w:r>
      <w:r w:rsidRPr="00EC20A0">
        <w:rPr>
          <w:sz w:val="18"/>
        </w:rPr>
        <w:t>any</w:t>
      </w:r>
      <w:r w:rsidRPr="00EC20A0">
        <w:rPr>
          <w:spacing w:val="-2"/>
          <w:sz w:val="18"/>
        </w:rPr>
        <w:t xml:space="preserve"> </w:t>
      </w:r>
      <w:r w:rsidRPr="00EC20A0">
        <w:rPr>
          <w:sz w:val="18"/>
        </w:rPr>
        <w:t>30-day</w:t>
      </w:r>
      <w:r w:rsidRPr="00EC20A0">
        <w:rPr>
          <w:spacing w:val="-1"/>
          <w:sz w:val="18"/>
        </w:rPr>
        <w:t xml:space="preserve"> </w:t>
      </w:r>
      <w:r w:rsidRPr="00EC20A0">
        <w:rPr>
          <w:sz w:val="18"/>
        </w:rPr>
        <w:t>period</w:t>
      </w:r>
      <w:r w:rsidRPr="00EC20A0">
        <w:rPr>
          <w:spacing w:val="-3"/>
          <w:sz w:val="18"/>
        </w:rPr>
        <w:t xml:space="preserve"> </w:t>
      </w:r>
      <w:r w:rsidRPr="00EC20A0">
        <w:rPr>
          <w:sz w:val="18"/>
        </w:rPr>
        <w:t>shall</w:t>
      </w:r>
      <w:r w:rsidRPr="00EC20A0">
        <w:rPr>
          <w:spacing w:val="-2"/>
          <w:sz w:val="18"/>
        </w:rPr>
        <w:t xml:space="preserve"> </w:t>
      </w:r>
      <w:r w:rsidRPr="00EC20A0">
        <w:rPr>
          <w:sz w:val="18"/>
        </w:rPr>
        <w:t>be</w:t>
      </w:r>
      <w:r w:rsidRPr="00EC20A0">
        <w:rPr>
          <w:spacing w:val="-3"/>
          <w:sz w:val="18"/>
        </w:rPr>
        <w:t xml:space="preserve"> </w:t>
      </w:r>
      <w:r w:rsidRPr="00EC20A0">
        <w:rPr>
          <w:sz w:val="18"/>
        </w:rPr>
        <w:t>added</w:t>
      </w:r>
      <w:r w:rsidRPr="00EC20A0">
        <w:rPr>
          <w:spacing w:val="-3"/>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principal</w:t>
      </w:r>
      <w:r w:rsidRPr="00EC20A0">
        <w:rPr>
          <w:spacing w:val="-2"/>
          <w:sz w:val="18"/>
        </w:rPr>
        <w:t xml:space="preserve"> </w:t>
      </w:r>
      <w:r w:rsidRPr="00EC20A0">
        <w:rPr>
          <w:sz w:val="18"/>
        </w:rPr>
        <w:t>amount</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debt,</w:t>
      </w:r>
      <w:r w:rsidRPr="00EC20A0">
        <w:rPr>
          <w:spacing w:val="-2"/>
          <w:sz w:val="18"/>
        </w:rPr>
        <w:t xml:space="preserve"> </w:t>
      </w:r>
      <w:r w:rsidRPr="00EC20A0">
        <w:rPr>
          <w:sz w:val="18"/>
        </w:rPr>
        <w:t>and</w:t>
      </w:r>
      <w:r w:rsidRPr="00EC20A0">
        <w:rPr>
          <w:spacing w:val="-3"/>
          <w:sz w:val="18"/>
        </w:rPr>
        <w:t xml:space="preserve"> </w:t>
      </w:r>
      <w:r w:rsidRPr="00EC20A0">
        <w:rPr>
          <w:sz w:val="18"/>
        </w:rPr>
        <w:t>a</w:t>
      </w:r>
      <w:r w:rsidRPr="00EC20A0">
        <w:rPr>
          <w:spacing w:val="-3"/>
          <w:sz w:val="18"/>
        </w:rPr>
        <w:t xml:space="preserve"> </w:t>
      </w:r>
      <w:r w:rsidRPr="00EC20A0">
        <w:rPr>
          <w:sz w:val="18"/>
        </w:rPr>
        <w:t>penalty</w:t>
      </w:r>
      <w:r w:rsidRPr="00EC20A0">
        <w:rPr>
          <w:spacing w:val="-2"/>
          <w:sz w:val="18"/>
        </w:rPr>
        <w:t xml:space="preserve"> </w:t>
      </w:r>
      <w:r w:rsidRPr="00EC20A0">
        <w:rPr>
          <w:sz w:val="18"/>
        </w:rPr>
        <w:t>accrues</w:t>
      </w:r>
      <w:r w:rsidRPr="00EC20A0">
        <w:rPr>
          <w:spacing w:val="-2"/>
          <w:sz w:val="18"/>
        </w:rPr>
        <w:t xml:space="preserve"> </w:t>
      </w:r>
      <w:r w:rsidRPr="00EC20A0">
        <w:rPr>
          <w:sz w:val="18"/>
        </w:rPr>
        <w:t>thereafter on</w:t>
      </w:r>
      <w:r w:rsidRPr="00EC20A0">
        <w:rPr>
          <w:spacing w:val="-3"/>
          <w:sz w:val="18"/>
        </w:rPr>
        <w:t xml:space="preserve"> </w:t>
      </w:r>
      <w:r w:rsidRPr="00EC20A0">
        <w:rPr>
          <w:sz w:val="18"/>
        </w:rPr>
        <w:t>the</w:t>
      </w:r>
      <w:r w:rsidRPr="00EC20A0">
        <w:rPr>
          <w:spacing w:val="-3"/>
          <w:sz w:val="18"/>
        </w:rPr>
        <w:t xml:space="preserve"> </w:t>
      </w:r>
      <w:r w:rsidRPr="00EC20A0">
        <w:rPr>
          <w:sz w:val="18"/>
        </w:rPr>
        <w:t>combined</w:t>
      </w:r>
      <w:r w:rsidRPr="00EC20A0">
        <w:rPr>
          <w:spacing w:val="-3"/>
          <w:sz w:val="18"/>
        </w:rPr>
        <w:t xml:space="preserve"> </w:t>
      </w:r>
      <w:r w:rsidRPr="00EC20A0">
        <w:rPr>
          <w:sz w:val="18"/>
        </w:rPr>
        <w:t>amount</w:t>
      </w:r>
      <w:r w:rsidRPr="00EC20A0">
        <w:rPr>
          <w:spacing w:val="-2"/>
          <w:sz w:val="18"/>
        </w:rPr>
        <w:t xml:space="preserve"> </w:t>
      </w:r>
      <w:r w:rsidRPr="00EC20A0">
        <w:rPr>
          <w:sz w:val="18"/>
        </w:rPr>
        <w:t>of principal and interest. 31 U.S.C. § 3902(e).</w:t>
      </w:r>
    </w:p>
    <w:p w14:paraId="24D61163" w14:textId="77777777" w:rsidR="00245300" w:rsidRPr="00EC20A0" w:rsidRDefault="00F17249">
      <w:pPr>
        <w:spacing w:before="118"/>
        <w:ind w:left="120"/>
        <w:rPr>
          <w:sz w:val="18"/>
        </w:rPr>
      </w:pPr>
      <w:r w:rsidRPr="00EC20A0">
        <w:rPr>
          <w:position w:val="7"/>
          <w:sz w:val="14"/>
        </w:rPr>
        <w:t>47</w:t>
      </w:r>
      <w:r w:rsidRPr="00EC20A0">
        <w:rPr>
          <w:sz w:val="18"/>
        </w:rPr>
        <w:t>The</w:t>
      </w:r>
      <w:r w:rsidRPr="00EC20A0">
        <w:rPr>
          <w:spacing w:val="-6"/>
          <w:sz w:val="18"/>
        </w:rPr>
        <w:t xml:space="preserve"> </w:t>
      </w:r>
      <w:r w:rsidRPr="00EC20A0">
        <w:rPr>
          <w:sz w:val="18"/>
        </w:rPr>
        <w:t>Prompt</w:t>
      </w:r>
      <w:r w:rsidRPr="00EC20A0">
        <w:rPr>
          <w:spacing w:val="-2"/>
          <w:sz w:val="18"/>
        </w:rPr>
        <w:t xml:space="preserve"> </w:t>
      </w:r>
      <w:r w:rsidRPr="00EC20A0">
        <w:rPr>
          <w:sz w:val="18"/>
        </w:rPr>
        <w:t>Payment</w:t>
      </w:r>
      <w:r w:rsidRPr="00EC20A0">
        <w:rPr>
          <w:spacing w:val="-3"/>
          <w:sz w:val="18"/>
        </w:rPr>
        <w:t xml:space="preserve"> </w:t>
      </w:r>
      <w:r w:rsidRPr="00EC20A0">
        <w:rPr>
          <w:sz w:val="18"/>
        </w:rPr>
        <w:t>Act</w:t>
      </w:r>
      <w:r w:rsidRPr="00EC20A0">
        <w:rPr>
          <w:spacing w:val="-2"/>
          <w:sz w:val="18"/>
        </w:rPr>
        <w:t xml:space="preserve"> </w:t>
      </w:r>
      <w:r w:rsidRPr="00EC20A0">
        <w:rPr>
          <w:sz w:val="18"/>
        </w:rPr>
        <w:t>does</w:t>
      </w:r>
      <w:r w:rsidRPr="00EC20A0">
        <w:rPr>
          <w:spacing w:val="-2"/>
          <w:sz w:val="18"/>
        </w:rPr>
        <w:t xml:space="preserve"> </w:t>
      </w:r>
      <w:r w:rsidRPr="00EC20A0">
        <w:rPr>
          <w:sz w:val="18"/>
        </w:rPr>
        <w:t>not</w:t>
      </w:r>
      <w:r w:rsidRPr="00EC20A0">
        <w:rPr>
          <w:spacing w:val="-3"/>
          <w:sz w:val="18"/>
        </w:rPr>
        <w:t xml:space="preserve"> </w:t>
      </w:r>
      <w:r w:rsidRPr="00EC20A0">
        <w:rPr>
          <w:sz w:val="18"/>
        </w:rPr>
        <w:t>authorize</w:t>
      </w:r>
      <w:r w:rsidRPr="00EC20A0">
        <w:rPr>
          <w:spacing w:val="-1"/>
          <w:sz w:val="18"/>
        </w:rPr>
        <w:t xml:space="preserve"> </w:t>
      </w:r>
      <w:r w:rsidRPr="00EC20A0">
        <w:rPr>
          <w:sz w:val="18"/>
        </w:rPr>
        <w:t>the</w:t>
      </w:r>
      <w:r w:rsidRPr="00EC20A0">
        <w:rPr>
          <w:spacing w:val="-3"/>
          <w:sz w:val="18"/>
        </w:rPr>
        <w:t xml:space="preserve"> </w:t>
      </w:r>
      <w:r w:rsidRPr="00EC20A0">
        <w:rPr>
          <w:sz w:val="18"/>
        </w:rPr>
        <w:t>appropriation</w:t>
      </w:r>
      <w:r w:rsidRPr="00EC20A0">
        <w:rPr>
          <w:spacing w:val="-4"/>
          <w:sz w:val="18"/>
        </w:rPr>
        <w:t xml:space="preserve"> </w:t>
      </w:r>
      <w:r w:rsidRPr="00EC20A0">
        <w:rPr>
          <w:sz w:val="18"/>
        </w:rPr>
        <w:t>of</w:t>
      </w:r>
      <w:r w:rsidRPr="00EC20A0">
        <w:rPr>
          <w:spacing w:val="-2"/>
          <w:sz w:val="18"/>
        </w:rPr>
        <w:t xml:space="preserve"> </w:t>
      </w:r>
      <w:r w:rsidRPr="00EC20A0">
        <w:rPr>
          <w:sz w:val="18"/>
        </w:rPr>
        <w:t>additional</w:t>
      </w:r>
      <w:r w:rsidRPr="00EC20A0">
        <w:rPr>
          <w:spacing w:val="-2"/>
          <w:sz w:val="18"/>
        </w:rPr>
        <w:t xml:space="preserve"> </w:t>
      </w:r>
      <w:r w:rsidRPr="00EC20A0">
        <w:rPr>
          <w:sz w:val="18"/>
        </w:rPr>
        <w:t>amounts</w:t>
      </w:r>
      <w:r w:rsidRPr="00EC20A0">
        <w:rPr>
          <w:spacing w:val="-2"/>
          <w:sz w:val="18"/>
        </w:rPr>
        <w:t xml:space="preserve"> </w:t>
      </w:r>
      <w:r w:rsidRPr="00EC20A0">
        <w:rPr>
          <w:sz w:val="18"/>
        </w:rPr>
        <w:t>to</w:t>
      </w:r>
      <w:r w:rsidRPr="00EC20A0">
        <w:rPr>
          <w:spacing w:val="-3"/>
          <w:sz w:val="18"/>
        </w:rPr>
        <w:t xml:space="preserve"> </w:t>
      </w:r>
      <w:r w:rsidRPr="00EC20A0">
        <w:rPr>
          <w:sz w:val="18"/>
        </w:rPr>
        <w:t>pay</w:t>
      </w:r>
      <w:r w:rsidRPr="00EC20A0">
        <w:rPr>
          <w:spacing w:val="-3"/>
          <w:sz w:val="18"/>
        </w:rPr>
        <w:t xml:space="preserve"> </w:t>
      </w:r>
      <w:r w:rsidRPr="00EC20A0">
        <w:rPr>
          <w:sz w:val="18"/>
        </w:rPr>
        <w:t>a</w:t>
      </w:r>
      <w:r w:rsidRPr="00EC20A0">
        <w:rPr>
          <w:spacing w:val="-3"/>
          <w:sz w:val="18"/>
        </w:rPr>
        <w:t xml:space="preserve"> </w:t>
      </w:r>
      <w:r w:rsidRPr="00EC20A0">
        <w:rPr>
          <w:sz w:val="18"/>
        </w:rPr>
        <w:t>late</w:t>
      </w:r>
      <w:r w:rsidRPr="00EC20A0">
        <w:rPr>
          <w:spacing w:val="-3"/>
          <w:sz w:val="18"/>
        </w:rPr>
        <w:t xml:space="preserve"> </w:t>
      </w:r>
      <w:r w:rsidRPr="00EC20A0">
        <w:rPr>
          <w:sz w:val="18"/>
        </w:rPr>
        <w:t>payment</w:t>
      </w:r>
      <w:r w:rsidRPr="00EC20A0">
        <w:rPr>
          <w:spacing w:val="-3"/>
          <w:sz w:val="18"/>
        </w:rPr>
        <w:t xml:space="preserve"> </w:t>
      </w:r>
      <w:r w:rsidRPr="00EC20A0">
        <w:rPr>
          <w:sz w:val="18"/>
        </w:rPr>
        <w:t>interest</w:t>
      </w:r>
      <w:r w:rsidRPr="00EC20A0">
        <w:rPr>
          <w:spacing w:val="-2"/>
          <w:sz w:val="18"/>
        </w:rPr>
        <w:t xml:space="preserve"> </w:t>
      </w:r>
      <w:r w:rsidRPr="00EC20A0">
        <w:rPr>
          <w:sz w:val="18"/>
        </w:rPr>
        <w:t>penalty.</w:t>
      </w:r>
      <w:r w:rsidRPr="00EC20A0">
        <w:rPr>
          <w:spacing w:val="-2"/>
          <w:sz w:val="18"/>
        </w:rPr>
        <w:t xml:space="preserve"> </w:t>
      </w:r>
      <w:r w:rsidRPr="00EC20A0">
        <w:rPr>
          <w:sz w:val="18"/>
        </w:rPr>
        <w:t>31</w:t>
      </w:r>
      <w:r w:rsidRPr="00EC20A0">
        <w:rPr>
          <w:spacing w:val="-4"/>
          <w:sz w:val="18"/>
        </w:rPr>
        <w:t xml:space="preserve"> </w:t>
      </w:r>
      <w:r w:rsidRPr="00EC20A0">
        <w:rPr>
          <w:sz w:val="18"/>
        </w:rPr>
        <w:t>U.S.C.</w:t>
      </w:r>
      <w:r w:rsidRPr="00EC20A0">
        <w:rPr>
          <w:spacing w:val="-2"/>
          <w:sz w:val="18"/>
        </w:rPr>
        <w:t xml:space="preserve"> </w:t>
      </w:r>
      <w:r w:rsidRPr="00EC20A0">
        <w:rPr>
          <w:sz w:val="18"/>
        </w:rPr>
        <w:t>§</w:t>
      </w:r>
      <w:r w:rsidRPr="00EC20A0">
        <w:rPr>
          <w:spacing w:val="-1"/>
          <w:sz w:val="18"/>
        </w:rPr>
        <w:t xml:space="preserve"> </w:t>
      </w:r>
      <w:r w:rsidRPr="00EC20A0">
        <w:rPr>
          <w:spacing w:val="-2"/>
          <w:sz w:val="18"/>
        </w:rPr>
        <w:t>3902(f).</w:t>
      </w:r>
    </w:p>
    <w:p w14:paraId="24D61164" w14:textId="77777777" w:rsidR="00245300" w:rsidRPr="00EC20A0" w:rsidRDefault="00245300">
      <w:pPr>
        <w:rPr>
          <w:sz w:val="18"/>
        </w:rPr>
        <w:sectPr w:rsidR="00245300" w:rsidRPr="00EC20A0">
          <w:pgSz w:w="15840" w:h="12240" w:orient="landscape"/>
          <w:pgMar w:top="1400" w:right="1320" w:bottom="940" w:left="960" w:header="721" w:footer="742" w:gutter="0"/>
          <w:cols w:space="720"/>
        </w:sectPr>
      </w:pPr>
    </w:p>
    <w:p w14:paraId="24D61165" w14:textId="77777777" w:rsidR="00245300" w:rsidRPr="00EC20A0" w:rsidRDefault="00245300">
      <w:pPr>
        <w:pStyle w:val="BodyText"/>
        <w:spacing w:before="8"/>
        <w:rPr>
          <w:sz w:val="5"/>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4"/>
        <w:gridCol w:w="1980"/>
        <w:gridCol w:w="2201"/>
        <w:gridCol w:w="1517"/>
        <w:gridCol w:w="1488"/>
        <w:gridCol w:w="2534"/>
      </w:tblGrid>
      <w:tr w:rsidR="00245300" w:rsidRPr="00EC20A0" w14:paraId="24D61169" w14:textId="77777777">
        <w:trPr>
          <w:trHeight w:val="1574"/>
        </w:trPr>
        <w:tc>
          <w:tcPr>
            <w:tcW w:w="13284" w:type="dxa"/>
            <w:gridSpan w:val="6"/>
          </w:tcPr>
          <w:p w14:paraId="24D61166" w14:textId="77777777" w:rsidR="00245300" w:rsidRPr="00EC20A0" w:rsidRDefault="00F17249">
            <w:pPr>
              <w:pStyle w:val="TableParagraph"/>
              <w:tabs>
                <w:tab w:val="left" w:pos="9257"/>
              </w:tabs>
              <w:spacing w:before="144"/>
              <w:ind w:right="193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33" w:name="_bookmark123"/>
            <w:bookmarkEnd w:id="233"/>
            <w:r w:rsidRPr="00EC20A0">
              <w:t>Prepared</w:t>
            </w:r>
            <w:r w:rsidRPr="00EC20A0">
              <w:rPr>
                <w:spacing w:val="-11"/>
              </w:rPr>
              <w:t xml:space="preserve"> </w:t>
            </w:r>
            <w:r w:rsidRPr="00EC20A0">
              <w:rPr>
                <w:spacing w:val="-5"/>
              </w:rPr>
              <w:t>by:</w:t>
            </w:r>
          </w:p>
          <w:p w14:paraId="24D61167" w14:textId="77777777" w:rsidR="00245300" w:rsidRPr="00EC20A0" w:rsidRDefault="00F17249">
            <w:pPr>
              <w:pStyle w:val="TableParagraph"/>
              <w:spacing w:before="12"/>
              <w:ind w:left="1956" w:right="1935"/>
              <w:jc w:val="center"/>
              <w:rPr>
                <w:b/>
                <w:sz w:val="24"/>
              </w:rPr>
            </w:pPr>
            <w:r w:rsidRPr="00EC20A0">
              <w:rPr>
                <w:noProof/>
              </w:rPr>
              <mc:AlternateContent>
                <mc:Choice Requires="wpg">
                  <w:drawing>
                    <wp:anchor distT="0" distB="0" distL="0" distR="0" simplePos="0" relativeHeight="475324928" behindDoc="1" locked="0" layoutInCell="1" allowOverlap="1" wp14:anchorId="24D62BF9" wp14:editId="24D62BFA">
                      <wp:simplePos x="0" y="0"/>
                      <wp:positionH relativeFrom="column">
                        <wp:posOffset>7007352</wp:posOffset>
                      </wp:positionH>
                      <wp:positionV relativeFrom="paragraph">
                        <wp:posOffset>91882</wp:posOffset>
                      </wp:positionV>
                      <wp:extent cx="1359535" cy="6350"/>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568" name="Graphic 568"/>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317D00" id="Group 567" o:spid="_x0000_s1026" style="position:absolute;margin-left:551.75pt;margin-top:7.25pt;width:107.05pt;height:.5pt;z-index:-27991552;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">
                      <v:shape id="Graphic 568"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" path="m1359407,l,,,6108r1359407,l1359407,xe" fillcolor="black" stroked="f">
                        <v:path arrowok="t"/>
                      </v:shape>
                    </v:group>
                  </w:pict>
                </mc:Fallback>
              </mc:AlternateContent>
            </w:r>
            <w:r w:rsidRPr="00EC20A0">
              <w:rPr>
                <w:noProof/>
              </w:rPr>
              <mc:AlternateContent>
                <mc:Choice Requires="wpg">
                  <w:drawing>
                    <wp:anchor distT="0" distB="0" distL="0" distR="0" simplePos="0" relativeHeight="475325952" behindDoc="1" locked="0" layoutInCell="1" allowOverlap="1" wp14:anchorId="24D62BFB" wp14:editId="24D62BFC">
                      <wp:simplePos x="0" y="0"/>
                      <wp:positionH relativeFrom="column">
                        <wp:posOffset>7007352</wp:posOffset>
                      </wp:positionH>
                      <wp:positionV relativeFrom="paragraph">
                        <wp:posOffset>441640</wp:posOffset>
                      </wp:positionV>
                      <wp:extent cx="1359535" cy="635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570" name="Graphic 570"/>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05D66B" id="Group 569" o:spid="_x0000_s1026" style="position:absolute;margin-left:551.75pt;margin-top:34.75pt;width:107.05pt;height:.5pt;z-index:-27990528;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">
                      <v:shape id="Graphic 570"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" path="m1359407,l,,,6108r1359407,l1359407,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168" w14:textId="77777777" w:rsidR="00245300" w:rsidRPr="00EC20A0" w:rsidRDefault="00F17249">
            <w:pPr>
              <w:pStyle w:val="TableParagraph"/>
              <w:tabs>
                <w:tab w:val="left" w:pos="8951"/>
              </w:tabs>
              <w:spacing w:before="10"/>
              <w:ind w:right="1691"/>
              <w:jc w:val="center"/>
            </w:pPr>
            <w:r w:rsidRPr="00EC20A0">
              <w:rPr>
                <w:noProof/>
              </w:rPr>
              <mc:AlternateContent>
                <mc:Choice Requires="wpg">
                  <w:drawing>
                    <wp:anchor distT="0" distB="0" distL="0" distR="0" simplePos="0" relativeHeight="475324416" behindDoc="1" locked="0" layoutInCell="1" allowOverlap="1" wp14:anchorId="24D62BFD" wp14:editId="24D62BFE">
                      <wp:simplePos x="0" y="0"/>
                      <wp:positionH relativeFrom="column">
                        <wp:posOffset>1267967</wp:posOffset>
                      </wp:positionH>
                      <wp:positionV relativeFrom="paragraph">
                        <wp:posOffset>-91198</wp:posOffset>
                      </wp:positionV>
                      <wp:extent cx="1195705" cy="6350"/>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572" name="Graphic 572"/>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CEC32B" id="Group 571" o:spid="_x0000_s1026" style="position:absolute;margin-left:99.85pt;margin-top:-7.2pt;width:94.15pt;height:.5pt;z-index:-27992064;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">
                      <v:shape id="Graphic 572"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" path="m1195577,l,,,6108r1195577,l1195577,xe" fillcolor="black" stroked="f">
                        <v:path arrowok="t"/>
                      </v:shape>
                    </v:group>
                  </w:pict>
                </mc:Fallback>
              </mc:AlternateContent>
            </w:r>
            <w:r w:rsidRPr="00EC20A0">
              <w:rPr>
                <w:noProof/>
              </w:rPr>
              <mc:AlternateContent>
                <mc:Choice Requires="wpg">
                  <w:drawing>
                    <wp:anchor distT="0" distB="0" distL="0" distR="0" simplePos="0" relativeHeight="475325440" behindDoc="1" locked="0" layoutInCell="1" allowOverlap="1" wp14:anchorId="24D62BFF" wp14:editId="24D62C00">
                      <wp:simplePos x="0" y="0"/>
                      <wp:positionH relativeFrom="column">
                        <wp:posOffset>1267967</wp:posOffset>
                      </wp:positionH>
                      <wp:positionV relativeFrom="paragraph">
                        <wp:posOffset>258559</wp:posOffset>
                      </wp:positionV>
                      <wp:extent cx="1195705" cy="635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574" name="Graphic 574"/>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B7BEE4" id="Group 573" o:spid="_x0000_s1026" style="position:absolute;margin-left:99.85pt;margin-top:20.35pt;width:94.15pt;height:.5pt;z-index:-27991040;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">
                      <v:shape id="Graphic 574"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" path="m1195577,l,,,6108r1195577,l1195577,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174" w14:textId="77777777">
        <w:trPr>
          <w:trHeight w:val="793"/>
        </w:trPr>
        <w:tc>
          <w:tcPr>
            <w:tcW w:w="3564" w:type="dxa"/>
            <w:tcBorders>
              <w:right w:val="single" w:sz="4" w:space="0" w:color="000000"/>
            </w:tcBorders>
          </w:tcPr>
          <w:p w14:paraId="24D6116A" w14:textId="77777777" w:rsidR="00245300" w:rsidRPr="00EC20A0" w:rsidRDefault="00245300">
            <w:pPr>
              <w:pStyle w:val="TableParagraph"/>
              <w:spacing w:before="143"/>
            </w:pPr>
          </w:p>
          <w:p w14:paraId="24D6116B"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980" w:type="dxa"/>
            <w:tcBorders>
              <w:left w:val="single" w:sz="4" w:space="0" w:color="000000"/>
              <w:right w:val="single" w:sz="4" w:space="0" w:color="000000"/>
            </w:tcBorders>
          </w:tcPr>
          <w:p w14:paraId="24D6116C" w14:textId="77777777" w:rsidR="00245300" w:rsidRPr="00EC20A0" w:rsidRDefault="00245300">
            <w:pPr>
              <w:pStyle w:val="TableParagraph"/>
              <w:spacing w:before="143"/>
            </w:pPr>
          </w:p>
          <w:p w14:paraId="24D6116D" w14:textId="77777777" w:rsidR="00245300" w:rsidRPr="00EC20A0" w:rsidRDefault="00F17249">
            <w:pPr>
              <w:pStyle w:val="TableParagraph"/>
              <w:ind w:left="107"/>
            </w:pPr>
            <w:r w:rsidRPr="00EC20A0">
              <w:rPr>
                <w:spacing w:val="-2"/>
              </w:rPr>
              <w:t>Objective</w:t>
            </w:r>
          </w:p>
        </w:tc>
        <w:tc>
          <w:tcPr>
            <w:tcW w:w="2201" w:type="dxa"/>
            <w:tcBorders>
              <w:left w:val="single" w:sz="4" w:space="0" w:color="000000"/>
              <w:right w:val="single" w:sz="4" w:space="0" w:color="000000"/>
            </w:tcBorders>
          </w:tcPr>
          <w:p w14:paraId="24D6116E" w14:textId="77777777" w:rsidR="00245300" w:rsidRPr="00EC20A0" w:rsidRDefault="00245300">
            <w:pPr>
              <w:pStyle w:val="TableParagraph"/>
              <w:spacing w:before="143"/>
            </w:pPr>
          </w:p>
          <w:p w14:paraId="24D6116F" w14:textId="77777777" w:rsidR="00245300" w:rsidRPr="00EC20A0" w:rsidRDefault="00F17249">
            <w:pPr>
              <w:pStyle w:val="TableParagraph"/>
              <w:ind w:left="108"/>
            </w:pPr>
            <w:r w:rsidRPr="00EC20A0">
              <w:t>Control</w:t>
            </w:r>
            <w:r w:rsidRPr="00EC20A0">
              <w:rPr>
                <w:spacing w:val="-9"/>
              </w:rPr>
              <w:t xml:space="preserve"> </w:t>
            </w:r>
            <w:r w:rsidRPr="00EC20A0">
              <w:rPr>
                <w:spacing w:val="-2"/>
              </w:rPr>
              <w:t>Activities</w:t>
            </w:r>
          </w:p>
        </w:tc>
        <w:tc>
          <w:tcPr>
            <w:tcW w:w="1517" w:type="dxa"/>
            <w:tcBorders>
              <w:left w:val="single" w:sz="4" w:space="0" w:color="000000"/>
              <w:right w:val="single" w:sz="4" w:space="0" w:color="000000"/>
            </w:tcBorders>
          </w:tcPr>
          <w:p w14:paraId="24D61170" w14:textId="77777777" w:rsidR="00245300" w:rsidRPr="00EC20A0" w:rsidRDefault="00245300">
            <w:pPr>
              <w:pStyle w:val="TableParagraph"/>
              <w:spacing w:before="143"/>
            </w:pPr>
          </w:p>
          <w:p w14:paraId="24D61171"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488" w:type="dxa"/>
            <w:tcBorders>
              <w:left w:val="single" w:sz="4" w:space="0" w:color="000000"/>
              <w:right w:val="single" w:sz="4" w:space="0" w:color="000000"/>
            </w:tcBorders>
          </w:tcPr>
          <w:p w14:paraId="24D61172" w14:textId="77777777" w:rsidR="00245300" w:rsidRPr="00EC20A0" w:rsidRDefault="00F17249">
            <w:pPr>
              <w:pStyle w:val="TableParagraph"/>
              <w:spacing w:before="143"/>
              <w:ind w:left="107" w:right="150"/>
            </w:pPr>
            <w:r w:rsidRPr="00EC20A0">
              <w:rPr>
                <w:spacing w:val="-2"/>
              </w:rPr>
              <w:t>Effective controls?</w:t>
            </w:r>
          </w:p>
        </w:tc>
        <w:tc>
          <w:tcPr>
            <w:tcW w:w="2534" w:type="dxa"/>
            <w:tcBorders>
              <w:left w:val="single" w:sz="4" w:space="0" w:color="000000"/>
            </w:tcBorders>
          </w:tcPr>
          <w:p w14:paraId="24D61173"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17F" w14:textId="77777777">
        <w:trPr>
          <w:trHeight w:val="3537"/>
        </w:trPr>
        <w:tc>
          <w:tcPr>
            <w:tcW w:w="3564" w:type="dxa"/>
            <w:tcBorders>
              <w:right w:val="single" w:sz="4" w:space="0" w:color="000000"/>
            </w:tcBorders>
          </w:tcPr>
          <w:p w14:paraId="24D61175" w14:textId="77777777" w:rsidR="00245300" w:rsidRPr="00EC20A0" w:rsidRDefault="00F17249">
            <w:pPr>
              <w:pStyle w:val="TableParagraph"/>
              <w:spacing w:before="143"/>
              <w:ind w:left="817" w:right="65" w:hanging="720"/>
              <w:rPr>
                <w:sz w:val="18"/>
              </w:rPr>
            </w:pPr>
            <w:r w:rsidRPr="00EC20A0">
              <w:rPr>
                <w:smallCaps/>
                <w:sz w:val="18"/>
              </w:rPr>
              <w:t>806.03.</w:t>
            </w:r>
            <w:r w:rsidRPr="00EC20A0">
              <w:rPr>
                <w:smallCaps/>
                <w:spacing w:val="-4"/>
                <w:sz w:val="18"/>
              </w:rPr>
              <w:t xml:space="preserve"> </w:t>
            </w:r>
            <w:r w:rsidRPr="00EC20A0">
              <w:rPr>
                <w:smallCaps/>
                <w:spacing w:val="15"/>
                <w:sz w:val="18"/>
              </w:rPr>
              <w:t xml:space="preserve"> </w:t>
            </w:r>
            <w:r w:rsidRPr="00EC20A0">
              <w:rPr>
                <w:smallCaps/>
                <w:sz w:val="18"/>
              </w:rPr>
              <w:t>Limitations</w:t>
            </w:r>
            <w:r w:rsidRPr="00EC20A0">
              <w:rPr>
                <w:smallCaps/>
                <w:spacing w:val="-5"/>
                <w:sz w:val="18"/>
              </w:rPr>
              <w:t xml:space="preserve"> </w:t>
            </w:r>
            <w:r w:rsidRPr="00EC20A0">
              <w:rPr>
                <w:smallCaps/>
                <w:sz w:val="18"/>
              </w:rPr>
              <w:t>on</w:t>
            </w:r>
            <w:r w:rsidRPr="00EC20A0">
              <w:rPr>
                <w:smallCaps/>
                <w:spacing w:val="-4"/>
                <w:sz w:val="18"/>
              </w:rPr>
              <w:t xml:space="preserve"> </w:t>
            </w:r>
            <w:r w:rsidRPr="00EC20A0">
              <w:rPr>
                <w:smallCaps/>
                <w:sz w:val="18"/>
              </w:rPr>
              <w:t>Discount</w:t>
            </w:r>
            <w:r w:rsidRPr="00EC20A0">
              <w:rPr>
                <w:smallCaps/>
                <w:spacing w:val="40"/>
                <w:sz w:val="18"/>
              </w:rPr>
              <w:t xml:space="preserve"> </w:t>
            </w:r>
            <w:r w:rsidRPr="00EC20A0">
              <w:rPr>
                <w:smallCaps/>
                <w:spacing w:val="-2"/>
                <w:sz w:val="18"/>
              </w:rPr>
              <w:t>Payments.</w:t>
            </w:r>
          </w:p>
          <w:p w14:paraId="24D61176" w14:textId="77777777" w:rsidR="00245300" w:rsidRPr="00EC20A0" w:rsidRDefault="00F17249">
            <w:pPr>
              <w:pStyle w:val="TableParagraph"/>
              <w:spacing w:before="146"/>
              <w:ind w:left="97"/>
              <w:rPr>
                <w:sz w:val="18"/>
              </w:rPr>
            </w:pPr>
            <w:r w:rsidRPr="00EC20A0">
              <w:rPr>
                <w:sz w:val="18"/>
              </w:rPr>
              <w:t>Provision</w:t>
            </w:r>
            <w:r w:rsidRPr="00EC20A0">
              <w:rPr>
                <w:spacing w:val="-9"/>
                <w:sz w:val="18"/>
              </w:rPr>
              <w:t xml:space="preserve"> </w:t>
            </w:r>
            <w:r w:rsidRPr="00EC20A0">
              <w:rPr>
                <w:sz w:val="18"/>
              </w:rPr>
              <w:t>Type:</w:t>
            </w:r>
            <w:r w:rsidRPr="00EC20A0">
              <w:rPr>
                <w:spacing w:val="-7"/>
                <w:sz w:val="18"/>
              </w:rPr>
              <w:t xml:space="preserve"> </w:t>
            </w:r>
            <w:r w:rsidRPr="00EC20A0">
              <w:rPr>
                <w:sz w:val="18"/>
              </w:rPr>
              <w:t>Transaction-</w:t>
            </w:r>
            <w:r w:rsidRPr="00EC20A0">
              <w:rPr>
                <w:spacing w:val="-2"/>
                <w:sz w:val="18"/>
              </w:rPr>
              <w:t>based.</w:t>
            </w:r>
          </w:p>
          <w:p w14:paraId="24D61177" w14:textId="77777777" w:rsidR="00245300" w:rsidRPr="00EC20A0" w:rsidRDefault="00F17249">
            <w:pPr>
              <w:pStyle w:val="TableParagraph"/>
              <w:spacing w:before="143"/>
              <w:ind w:left="97" w:right="65"/>
              <w:rPr>
                <w:sz w:val="18"/>
              </w:rPr>
            </w:pPr>
            <w:r w:rsidRPr="00EC20A0">
              <w:rPr>
                <w:sz w:val="18"/>
              </w:rPr>
              <w:t>Discounts</w:t>
            </w:r>
            <w:r w:rsidRPr="00EC20A0">
              <w:rPr>
                <w:spacing w:val="-1"/>
                <w:sz w:val="18"/>
              </w:rPr>
              <w:t xml:space="preserve"> </w:t>
            </w:r>
            <w:r w:rsidRPr="00EC20A0">
              <w:rPr>
                <w:sz w:val="18"/>
              </w:rPr>
              <w:t>offered</w:t>
            </w:r>
            <w:r w:rsidRPr="00EC20A0">
              <w:rPr>
                <w:spacing w:val="-2"/>
                <w:sz w:val="18"/>
              </w:rPr>
              <w:t xml:space="preserve"> </w:t>
            </w:r>
            <w:r w:rsidRPr="00EC20A0">
              <w:rPr>
                <w:sz w:val="18"/>
              </w:rPr>
              <w:t>by</w:t>
            </w:r>
            <w:r w:rsidRPr="00EC20A0">
              <w:rPr>
                <w:spacing w:val="-1"/>
                <w:sz w:val="18"/>
              </w:rPr>
              <w:t xml:space="preserve"> </w:t>
            </w:r>
            <w:r w:rsidRPr="00EC20A0">
              <w:rPr>
                <w:sz w:val="18"/>
              </w:rPr>
              <w:t>a</w:t>
            </w:r>
            <w:r w:rsidRPr="00EC20A0">
              <w:rPr>
                <w:spacing w:val="-2"/>
                <w:sz w:val="18"/>
              </w:rPr>
              <w:t xml:space="preserve"> </w:t>
            </w:r>
            <w:r w:rsidRPr="00EC20A0">
              <w:rPr>
                <w:sz w:val="18"/>
              </w:rPr>
              <w:t>business</w:t>
            </w:r>
            <w:r w:rsidRPr="00EC20A0">
              <w:rPr>
                <w:spacing w:val="-1"/>
                <w:sz w:val="18"/>
              </w:rPr>
              <w:t xml:space="preserve"> </w:t>
            </w:r>
            <w:r w:rsidRPr="00EC20A0">
              <w:rPr>
                <w:sz w:val="18"/>
              </w:rPr>
              <w:t xml:space="preserve">concern may be taken only if </w:t>
            </w:r>
            <w:r w:rsidRPr="00EC20A0">
              <w:rPr>
                <w:sz w:val="18"/>
              </w:rPr>
              <w:t>payment is made within the specified time as determined from</w:t>
            </w:r>
            <w:r w:rsidRPr="00EC20A0">
              <w:rPr>
                <w:spacing w:val="-4"/>
                <w:sz w:val="18"/>
              </w:rPr>
              <w:t xml:space="preserve"> </w:t>
            </w:r>
            <w:r w:rsidRPr="00EC20A0">
              <w:rPr>
                <w:sz w:val="18"/>
              </w:rPr>
              <w:t>the</w:t>
            </w:r>
            <w:r w:rsidRPr="00EC20A0">
              <w:rPr>
                <w:spacing w:val="-5"/>
                <w:sz w:val="18"/>
              </w:rPr>
              <w:t xml:space="preserve"> </w:t>
            </w:r>
            <w:r w:rsidRPr="00EC20A0">
              <w:rPr>
                <w:sz w:val="18"/>
              </w:rPr>
              <w:t>date</w:t>
            </w:r>
            <w:r w:rsidRPr="00EC20A0">
              <w:rPr>
                <w:spacing w:val="-5"/>
                <w:sz w:val="18"/>
              </w:rPr>
              <w:t xml:space="preserve"> </w:t>
            </w:r>
            <w:r w:rsidRPr="00EC20A0">
              <w:rPr>
                <w:sz w:val="18"/>
              </w:rPr>
              <w:t>of</w:t>
            </w:r>
            <w:r w:rsidRPr="00EC20A0">
              <w:rPr>
                <w:spacing w:val="-4"/>
                <w:sz w:val="18"/>
              </w:rPr>
              <w:t xml:space="preserve"> </w:t>
            </w:r>
            <w:r w:rsidRPr="00EC20A0">
              <w:rPr>
                <w:sz w:val="18"/>
              </w:rPr>
              <w:t>the</w:t>
            </w:r>
            <w:r w:rsidRPr="00EC20A0">
              <w:rPr>
                <w:spacing w:val="-5"/>
                <w:sz w:val="18"/>
              </w:rPr>
              <w:t xml:space="preserve"> </w:t>
            </w:r>
            <w:r w:rsidRPr="00EC20A0">
              <w:rPr>
                <w:sz w:val="18"/>
              </w:rPr>
              <w:t>invoice.</w:t>
            </w:r>
            <w:hyperlink w:anchor="_bookmark123" w:history="1">
              <w:r w:rsidRPr="00EC20A0">
                <w:rPr>
                  <w:sz w:val="18"/>
                  <w:vertAlign w:val="superscript"/>
                </w:rPr>
                <w:t>48</w:t>
              </w:r>
            </w:hyperlink>
            <w:r w:rsidRPr="00EC20A0">
              <w:rPr>
                <w:spacing w:val="-4"/>
                <w:sz w:val="18"/>
              </w:rPr>
              <w:t xml:space="preserve"> </w:t>
            </w:r>
            <w:r w:rsidRPr="00EC20A0">
              <w:rPr>
                <w:sz w:val="18"/>
              </w:rPr>
              <w:t>An</w:t>
            </w:r>
            <w:r w:rsidRPr="00EC20A0">
              <w:rPr>
                <w:spacing w:val="-5"/>
                <w:sz w:val="18"/>
              </w:rPr>
              <w:t xml:space="preserve"> </w:t>
            </w:r>
            <w:r w:rsidRPr="00EC20A0">
              <w:rPr>
                <w:sz w:val="18"/>
              </w:rPr>
              <w:t>interest penalty</w:t>
            </w:r>
            <w:r w:rsidRPr="00EC20A0">
              <w:rPr>
                <w:spacing w:val="-6"/>
                <w:sz w:val="18"/>
              </w:rPr>
              <w:t xml:space="preserve"> </w:t>
            </w:r>
            <w:r w:rsidRPr="00EC20A0">
              <w:rPr>
                <w:sz w:val="18"/>
              </w:rPr>
              <w:t>shall</w:t>
            </w:r>
            <w:r w:rsidRPr="00EC20A0">
              <w:rPr>
                <w:spacing w:val="-6"/>
                <w:sz w:val="18"/>
              </w:rPr>
              <w:t xml:space="preserve"> </w:t>
            </w:r>
            <w:r w:rsidRPr="00EC20A0">
              <w:rPr>
                <w:sz w:val="18"/>
              </w:rPr>
              <w:t>be</w:t>
            </w:r>
            <w:r w:rsidRPr="00EC20A0">
              <w:rPr>
                <w:spacing w:val="-7"/>
                <w:sz w:val="18"/>
              </w:rPr>
              <w:t xml:space="preserve"> </w:t>
            </w:r>
            <w:r w:rsidRPr="00EC20A0">
              <w:rPr>
                <w:sz w:val="18"/>
              </w:rPr>
              <w:t>paid</w:t>
            </w:r>
            <w:r w:rsidRPr="00EC20A0">
              <w:rPr>
                <w:spacing w:val="-7"/>
                <w:sz w:val="18"/>
              </w:rPr>
              <w:t xml:space="preserve"> </w:t>
            </w:r>
            <w:r w:rsidRPr="00EC20A0">
              <w:rPr>
                <w:sz w:val="18"/>
              </w:rPr>
              <w:t>on</w:t>
            </w:r>
            <w:r w:rsidRPr="00EC20A0">
              <w:rPr>
                <w:spacing w:val="-7"/>
                <w:sz w:val="18"/>
              </w:rPr>
              <w:t xml:space="preserve"> </w:t>
            </w:r>
            <w:r w:rsidRPr="00EC20A0">
              <w:rPr>
                <w:sz w:val="18"/>
              </w:rPr>
              <w:t>improperly</w:t>
            </w:r>
            <w:r w:rsidRPr="00EC20A0">
              <w:rPr>
                <w:spacing w:val="-6"/>
                <w:sz w:val="18"/>
              </w:rPr>
              <w:t xml:space="preserve"> </w:t>
            </w:r>
            <w:r w:rsidRPr="00EC20A0">
              <w:rPr>
                <w:sz w:val="18"/>
              </w:rPr>
              <w:t>taken discounts. 31 U.S.C. § 3904.</w:t>
            </w:r>
          </w:p>
        </w:tc>
        <w:tc>
          <w:tcPr>
            <w:tcW w:w="1980" w:type="dxa"/>
            <w:tcBorders>
              <w:left w:val="single" w:sz="4" w:space="0" w:color="000000"/>
              <w:right w:val="single" w:sz="4" w:space="0" w:color="000000"/>
            </w:tcBorders>
          </w:tcPr>
          <w:p w14:paraId="24D61178" w14:textId="77777777" w:rsidR="00245300" w:rsidRPr="00EC20A0" w:rsidRDefault="00F17249">
            <w:pPr>
              <w:pStyle w:val="TableParagraph"/>
              <w:spacing w:before="143"/>
              <w:ind w:left="466" w:right="153" w:hanging="359"/>
              <w:rPr>
                <w:sz w:val="18"/>
              </w:rPr>
            </w:pPr>
            <w:r w:rsidRPr="00EC20A0">
              <w:rPr>
                <w:sz w:val="18"/>
              </w:rPr>
              <w:t>3a.</w:t>
            </w:r>
            <w:r w:rsidRPr="00EC20A0">
              <w:rPr>
                <w:spacing w:val="29"/>
                <w:sz w:val="18"/>
              </w:rPr>
              <w:t xml:space="preserve"> </w:t>
            </w:r>
            <w:r w:rsidRPr="00EC20A0">
              <w:rPr>
                <w:sz w:val="18"/>
              </w:rPr>
              <w:t>Discounts</w:t>
            </w:r>
            <w:r w:rsidRPr="00EC20A0">
              <w:rPr>
                <w:spacing w:val="-12"/>
                <w:sz w:val="18"/>
              </w:rPr>
              <w:t xml:space="preserve"> </w:t>
            </w:r>
            <w:r w:rsidRPr="00EC20A0">
              <w:rPr>
                <w:sz w:val="18"/>
              </w:rPr>
              <w:t xml:space="preserve">taken after the specified time period are </w:t>
            </w:r>
            <w:r w:rsidRPr="00EC20A0">
              <w:rPr>
                <w:spacing w:val="-2"/>
                <w:sz w:val="18"/>
              </w:rPr>
              <w:t>identified.</w:t>
            </w:r>
          </w:p>
          <w:p w14:paraId="24D61179" w14:textId="77777777" w:rsidR="00245300" w:rsidRPr="00EC20A0" w:rsidRDefault="00F17249">
            <w:pPr>
              <w:pStyle w:val="TableParagraph"/>
              <w:spacing w:before="145"/>
              <w:ind w:left="466" w:right="135" w:hanging="359"/>
              <w:rPr>
                <w:sz w:val="18"/>
              </w:rPr>
            </w:pPr>
            <w:r w:rsidRPr="00EC20A0">
              <w:rPr>
                <w:sz w:val="18"/>
              </w:rPr>
              <w:t>3b.</w:t>
            </w:r>
            <w:r w:rsidRPr="00EC20A0">
              <w:rPr>
                <w:spacing w:val="29"/>
                <w:sz w:val="18"/>
              </w:rPr>
              <w:t xml:space="preserve"> </w:t>
            </w:r>
            <w:r w:rsidRPr="00EC20A0">
              <w:rPr>
                <w:sz w:val="18"/>
              </w:rPr>
              <w:t>Interest</w:t>
            </w:r>
            <w:r w:rsidRPr="00EC20A0">
              <w:rPr>
                <w:spacing w:val="-13"/>
                <w:sz w:val="18"/>
              </w:rPr>
              <w:t xml:space="preserve"> </w:t>
            </w:r>
            <w:r w:rsidRPr="00EC20A0">
              <w:rPr>
                <w:sz w:val="18"/>
              </w:rPr>
              <w:t>penalties are properly calculated and paid on the amount of any improperly</w:t>
            </w:r>
            <w:r w:rsidRPr="00EC20A0">
              <w:rPr>
                <w:spacing w:val="-2"/>
                <w:sz w:val="18"/>
              </w:rPr>
              <w:t xml:space="preserve"> </w:t>
            </w:r>
            <w:r w:rsidRPr="00EC20A0">
              <w:rPr>
                <w:sz w:val="18"/>
              </w:rPr>
              <w:t xml:space="preserve">taken discounts using the appropriate interest rate and </w:t>
            </w:r>
            <w:r w:rsidRPr="00EC20A0">
              <w:rPr>
                <w:spacing w:val="-2"/>
                <w:sz w:val="18"/>
              </w:rPr>
              <w:t>period.</w:t>
            </w:r>
          </w:p>
        </w:tc>
        <w:tc>
          <w:tcPr>
            <w:tcW w:w="2201" w:type="dxa"/>
            <w:tcBorders>
              <w:left w:val="single" w:sz="4" w:space="0" w:color="000000"/>
              <w:right w:val="single" w:sz="4" w:space="0" w:color="000000"/>
            </w:tcBorders>
          </w:tcPr>
          <w:p w14:paraId="24D6117A" w14:textId="77777777" w:rsidR="00245300" w:rsidRPr="00EC20A0" w:rsidRDefault="00245300">
            <w:pPr>
              <w:pStyle w:val="TableParagraph"/>
              <w:rPr>
                <w:sz w:val="18"/>
              </w:rPr>
            </w:pPr>
          </w:p>
        </w:tc>
        <w:tc>
          <w:tcPr>
            <w:tcW w:w="1517" w:type="dxa"/>
            <w:tcBorders>
              <w:left w:val="single" w:sz="4" w:space="0" w:color="000000"/>
              <w:right w:val="single" w:sz="4" w:space="0" w:color="000000"/>
            </w:tcBorders>
          </w:tcPr>
          <w:p w14:paraId="24D6117B" w14:textId="77777777" w:rsidR="00245300" w:rsidRPr="00EC20A0" w:rsidRDefault="00245300">
            <w:pPr>
              <w:pStyle w:val="TableParagraph"/>
              <w:rPr>
                <w:sz w:val="18"/>
              </w:rPr>
            </w:pPr>
          </w:p>
        </w:tc>
        <w:tc>
          <w:tcPr>
            <w:tcW w:w="1488" w:type="dxa"/>
            <w:tcBorders>
              <w:left w:val="single" w:sz="4" w:space="0" w:color="000000"/>
              <w:right w:val="single" w:sz="4" w:space="0" w:color="000000"/>
            </w:tcBorders>
          </w:tcPr>
          <w:p w14:paraId="24D6117C" w14:textId="77777777" w:rsidR="00245300" w:rsidRPr="00EC20A0" w:rsidRDefault="00245300">
            <w:pPr>
              <w:pStyle w:val="TableParagraph"/>
              <w:rPr>
                <w:sz w:val="18"/>
              </w:rPr>
            </w:pPr>
          </w:p>
        </w:tc>
        <w:tc>
          <w:tcPr>
            <w:tcW w:w="2534" w:type="dxa"/>
            <w:tcBorders>
              <w:left w:val="single" w:sz="4" w:space="0" w:color="000000"/>
            </w:tcBorders>
          </w:tcPr>
          <w:p w14:paraId="24D6117D" w14:textId="77777777" w:rsidR="00245300" w:rsidRPr="00EC20A0" w:rsidRDefault="00F17249">
            <w:pPr>
              <w:pStyle w:val="TableParagraph"/>
              <w:spacing w:before="143"/>
              <w:ind w:left="107"/>
              <w:rPr>
                <w:sz w:val="18"/>
              </w:rPr>
            </w:pPr>
            <w:r w:rsidRPr="00EC20A0">
              <w:rPr>
                <w:sz w:val="18"/>
              </w:rPr>
              <w:t>See Compliance Audit Procedures,</w:t>
            </w:r>
            <w:r w:rsidRPr="00EC20A0">
              <w:rPr>
                <w:spacing w:val="-10"/>
                <w:sz w:val="18"/>
              </w:rPr>
              <w:t xml:space="preserve"> </w:t>
            </w:r>
            <w:r w:rsidRPr="00EC20A0">
              <w:rPr>
                <w:sz w:val="18"/>
              </w:rPr>
              <w:t>FAM</w:t>
            </w:r>
            <w:r w:rsidRPr="00EC20A0">
              <w:rPr>
                <w:spacing w:val="-10"/>
                <w:sz w:val="18"/>
              </w:rPr>
              <w:t xml:space="preserve"> </w:t>
            </w:r>
            <w:r w:rsidRPr="00EC20A0">
              <w:rPr>
                <w:sz w:val="18"/>
              </w:rPr>
              <w:t>806</w:t>
            </w:r>
            <w:r w:rsidRPr="00EC20A0">
              <w:rPr>
                <w:spacing w:val="-10"/>
                <w:sz w:val="18"/>
              </w:rPr>
              <w:t xml:space="preserve"> </w:t>
            </w:r>
            <w:r w:rsidRPr="00EC20A0">
              <w:rPr>
                <w:sz w:val="18"/>
              </w:rPr>
              <w:t>step</w:t>
            </w:r>
            <w:r w:rsidRPr="00EC20A0">
              <w:rPr>
                <w:spacing w:val="-11"/>
                <w:sz w:val="18"/>
              </w:rPr>
              <w:t xml:space="preserve"> </w:t>
            </w:r>
            <w:r w:rsidRPr="00EC20A0">
              <w:rPr>
                <w:sz w:val="18"/>
              </w:rPr>
              <w:t>5</w:t>
            </w:r>
          </w:p>
          <w:p w14:paraId="24D6117E" w14:textId="77777777" w:rsidR="00245300" w:rsidRPr="00EC20A0" w:rsidRDefault="00F17249">
            <w:pPr>
              <w:pStyle w:val="TableParagraph"/>
              <w:spacing w:before="1"/>
              <w:ind w:left="107"/>
              <w:rPr>
                <w:sz w:val="18"/>
              </w:rPr>
            </w:pPr>
            <w:r w:rsidRPr="00EC20A0">
              <w:rPr>
                <w:sz w:val="18"/>
              </w:rPr>
              <w:t>(a)</w:t>
            </w:r>
            <w:r w:rsidRPr="00EC20A0">
              <w:rPr>
                <w:spacing w:val="-2"/>
                <w:sz w:val="18"/>
              </w:rPr>
              <w:t xml:space="preserve"> </w:t>
            </w:r>
            <w:r w:rsidRPr="00EC20A0">
              <w:rPr>
                <w:sz w:val="18"/>
              </w:rPr>
              <w:t>and</w:t>
            </w:r>
            <w:r w:rsidRPr="00EC20A0">
              <w:rPr>
                <w:spacing w:val="-2"/>
                <w:sz w:val="18"/>
              </w:rPr>
              <w:t xml:space="preserve"> </w:t>
            </w:r>
            <w:r w:rsidRPr="00EC20A0">
              <w:rPr>
                <w:spacing w:val="-4"/>
                <w:sz w:val="18"/>
              </w:rPr>
              <w:t>(b).</w:t>
            </w:r>
          </w:p>
        </w:tc>
      </w:tr>
    </w:tbl>
    <w:p w14:paraId="24D61180" w14:textId="77777777" w:rsidR="00245300" w:rsidRPr="00EC20A0" w:rsidRDefault="00245300">
      <w:pPr>
        <w:pStyle w:val="BodyText"/>
        <w:rPr>
          <w:sz w:val="20"/>
        </w:rPr>
      </w:pPr>
    </w:p>
    <w:p w14:paraId="24D61181" w14:textId="77777777" w:rsidR="00245300" w:rsidRPr="00EC20A0" w:rsidRDefault="00245300">
      <w:pPr>
        <w:pStyle w:val="BodyText"/>
        <w:rPr>
          <w:sz w:val="20"/>
        </w:rPr>
      </w:pPr>
    </w:p>
    <w:p w14:paraId="24D61182" w14:textId="77777777" w:rsidR="00245300" w:rsidRPr="00EC20A0" w:rsidRDefault="00245300">
      <w:pPr>
        <w:pStyle w:val="BodyText"/>
        <w:rPr>
          <w:sz w:val="20"/>
        </w:rPr>
      </w:pPr>
    </w:p>
    <w:p w14:paraId="24D61183" w14:textId="77777777" w:rsidR="00245300" w:rsidRPr="00EC20A0" w:rsidRDefault="00245300">
      <w:pPr>
        <w:pStyle w:val="BodyText"/>
        <w:rPr>
          <w:sz w:val="20"/>
        </w:rPr>
      </w:pPr>
    </w:p>
    <w:p w14:paraId="24D61184" w14:textId="77777777" w:rsidR="00245300" w:rsidRPr="00EC20A0" w:rsidRDefault="00245300">
      <w:pPr>
        <w:pStyle w:val="BodyText"/>
        <w:rPr>
          <w:sz w:val="20"/>
        </w:rPr>
      </w:pPr>
    </w:p>
    <w:p w14:paraId="24D61185" w14:textId="77777777" w:rsidR="00245300" w:rsidRPr="00EC20A0" w:rsidRDefault="00245300">
      <w:pPr>
        <w:pStyle w:val="BodyText"/>
        <w:rPr>
          <w:sz w:val="20"/>
        </w:rPr>
      </w:pPr>
    </w:p>
    <w:p w14:paraId="24D61186" w14:textId="77777777" w:rsidR="00245300" w:rsidRPr="00EC20A0" w:rsidRDefault="00245300">
      <w:pPr>
        <w:pStyle w:val="BodyText"/>
        <w:rPr>
          <w:sz w:val="20"/>
        </w:rPr>
      </w:pPr>
    </w:p>
    <w:p w14:paraId="24D61187" w14:textId="77777777" w:rsidR="00245300" w:rsidRPr="00EC20A0" w:rsidRDefault="00245300">
      <w:pPr>
        <w:pStyle w:val="BodyText"/>
        <w:rPr>
          <w:sz w:val="20"/>
        </w:rPr>
      </w:pPr>
    </w:p>
    <w:p w14:paraId="24D61188" w14:textId="77777777" w:rsidR="00245300" w:rsidRPr="00EC20A0" w:rsidRDefault="00245300">
      <w:pPr>
        <w:pStyle w:val="BodyText"/>
        <w:rPr>
          <w:sz w:val="20"/>
        </w:rPr>
      </w:pPr>
    </w:p>
    <w:p w14:paraId="24D61189" w14:textId="77777777" w:rsidR="00245300" w:rsidRPr="00EC20A0" w:rsidRDefault="00245300">
      <w:pPr>
        <w:pStyle w:val="BodyText"/>
        <w:rPr>
          <w:sz w:val="20"/>
        </w:rPr>
      </w:pPr>
    </w:p>
    <w:p w14:paraId="24D6118A" w14:textId="77777777" w:rsidR="00245300" w:rsidRPr="00EC20A0" w:rsidRDefault="00F17249">
      <w:pPr>
        <w:pStyle w:val="BodyText"/>
        <w:spacing w:before="98"/>
        <w:rPr>
          <w:sz w:val="20"/>
        </w:rPr>
      </w:pPr>
      <w:r w:rsidRPr="00EC20A0">
        <w:rPr>
          <w:noProof/>
        </w:rPr>
        <mc:AlternateContent>
          <mc:Choice Requires="wps">
            <w:drawing>
              <wp:anchor distT="0" distB="0" distL="0" distR="0" simplePos="0" relativeHeight="487670784" behindDoc="1" locked="0" layoutInCell="1" allowOverlap="1" wp14:anchorId="24D62C01" wp14:editId="24D62C02">
                <wp:simplePos x="0" y="0"/>
                <wp:positionH relativeFrom="page">
                  <wp:posOffset>685800</wp:posOffset>
                </wp:positionH>
                <wp:positionV relativeFrom="paragraph">
                  <wp:posOffset>223742</wp:posOffset>
                </wp:positionV>
                <wp:extent cx="1828800" cy="6985"/>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D95796" id="Graphic 575" o:spid="_x0000_s1026" style="position:absolute;margin-left:54pt;margin-top:17.6pt;width:2in;height:.55pt;z-index:-156456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" path="m1828800,l,,,6858r1828800,l1828800,xe" fillcolor="black" stroked="f">
                <v:path arrowok="t"/>
                <w10:wrap type="topAndBottom" anchorx="page"/>
              </v:shape>
            </w:pict>
          </mc:Fallback>
        </mc:AlternateContent>
      </w:r>
    </w:p>
    <w:p w14:paraId="24D6118B" w14:textId="77777777" w:rsidR="00245300" w:rsidRPr="00EC20A0" w:rsidRDefault="00245300">
      <w:pPr>
        <w:pStyle w:val="BodyText"/>
        <w:spacing w:before="9"/>
        <w:rPr>
          <w:sz w:val="18"/>
        </w:rPr>
      </w:pPr>
    </w:p>
    <w:p w14:paraId="24D6118C" w14:textId="77777777" w:rsidR="00245300" w:rsidRPr="00EC20A0" w:rsidRDefault="00F17249">
      <w:pPr>
        <w:spacing w:line="249" w:lineRule="auto"/>
        <w:ind w:left="119"/>
        <w:rPr>
          <w:sz w:val="18"/>
        </w:rPr>
      </w:pPr>
      <w:r w:rsidRPr="00EC20A0">
        <w:rPr>
          <w:position w:val="7"/>
          <w:sz w:val="14"/>
        </w:rPr>
        <w:t>48</w:t>
      </w:r>
      <w:r w:rsidRPr="00EC20A0">
        <w:rPr>
          <w:sz w:val="18"/>
        </w:rPr>
        <w:t>For</w:t>
      </w:r>
      <w:r w:rsidRPr="00EC20A0">
        <w:rPr>
          <w:spacing w:val="-2"/>
          <w:sz w:val="18"/>
        </w:rPr>
        <w:t xml:space="preserve"> </w:t>
      </w:r>
      <w:r w:rsidRPr="00EC20A0">
        <w:rPr>
          <w:sz w:val="18"/>
        </w:rPr>
        <w:t>purposes</w:t>
      </w:r>
      <w:r w:rsidRPr="00EC20A0">
        <w:rPr>
          <w:spacing w:val="-2"/>
          <w:sz w:val="18"/>
        </w:rPr>
        <w:t xml:space="preserve"> </w:t>
      </w:r>
      <w:r w:rsidRPr="00EC20A0">
        <w:rPr>
          <w:sz w:val="18"/>
        </w:rPr>
        <w:t>of</w:t>
      </w:r>
      <w:r w:rsidRPr="00EC20A0">
        <w:rPr>
          <w:spacing w:val="-2"/>
          <w:sz w:val="18"/>
        </w:rPr>
        <w:t xml:space="preserve"> </w:t>
      </w:r>
      <w:r w:rsidRPr="00EC20A0">
        <w:rPr>
          <w:sz w:val="18"/>
        </w:rPr>
        <w:t>this</w:t>
      </w:r>
      <w:r w:rsidRPr="00EC20A0">
        <w:rPr>
          <w:spacing w:val="-2"/>
          <w:sz w:val="18"/>
        </w:rPr>
        <w:t xml:space="preserve"> </w:t>
      </w:r>
      <w:r w:rsidRPr="00EC20A0">
        <w:rPr>
          <w:sz w:val="18"/>
        </w:rPr>
        <w:t>law,</w:t>
      </w:r>
      <w:r w:rsidRPr="00EC20A0">
        <w:rPr>
          <w:spacing w:val="-2"/>
          <w:sz w:val="18"/>
        </w:rPr>
        <w:t xml:space="preserve"> </w:t>
      </w:r>
      <w:r w:rsidRPr="00EC20A0">
        <w:rPr>
          <w:sz w:val="18"/>
        </w:rPr>
        <w:t>a</w:t>
      </w:r>
      <w:r w:rsidRPr="00EC20A0">
        <w:rPr>
          <w:spacing w:val="-3"/>
          <w:sz w:val="18"/>
        </w:rPr>
        <w:t xml:space="preserve"> </w:t>
      </w:r>
      <w:r w:rsidRPr="00EC20A0">
        <w:rPr>
          <w:sz w:val="18"/>
        </w:rPr>
        <w:t>proper</w:t>
      </w:r>
      <w:r w:rsidRPr="00EC20A0">
        <w:rPr>
          <w:spacing w:val="-2"/>
          <w:sz w:val="18"/>
        </w:rPr>
        <w:t xml:space="preserve"> </w:t>
      </w:r>
      <w:r w:rsidRPr="00EC20A0">
        <w:rPr>
          <w:sz w:val="18"/>
        </w:rPr>
        <w:t>invoice</w:t>
      </w:r>
      <w:r w:rsidRPr="00EC20A0">
        <w:rPr>
          <w:spacing w:val="-3"/>
          <w:sz w:val="18"/>
        </w:rPr>
        <w:t xml:space="preserve"> </w:t>
      </w:r>
      <w:r w:rsidRPr="00EC20A0">
        <w:rPr>
          <w:sz w:val="18"/>
        </w:rPr>
        <w:t>for</w:t>
      </w:r>
      <w:r w:rsidRPr="00EC20A0">
        <w:rPr>
          <w:spacing w:val="-1"/>
          <w:sz w:val="18"/>
        </w:rPr>
        <w:t xml:space="preserve"> </w:t>
      </w:r>
      <w:r w:rsidRPr="00EC20A0">
        <w:rPr>
          <w:sz w:val="18"/>
        </w:rPr>
        <w:t>the</w:t>
      </w:r>
      <w:r w:rsidRPr="00EC20A0">
        <w:rPr>
          <w:spacing w:val="-3"/>
          <w:sz w:val="18"/>
        </w:rPr>
        <w:t xml:space="preserve"> </w:t>
      </w:r>
      <w:r w:rsidRPr="00EC20A0">
        <w:rPr>
          <w:sz w:val="18"/>
        </w:rPr>
        <w:t>amount</w:t>
      </w:r>
      <w:r w:rsidRPr="00EC20A0">
        <w:rPr>
          <w:spacing w:val="-2"/>
          <w:sz w:val="18"/>
        </w:rPr>
        <w:t xml:space="preserve"> </w:t>
      </w:r>
      <w:r w:rsidRPr="00EC20A0">
        <w:rPr>
          <w:sz w:val="18"/>
        </w:rPr>
        <w:t>due</w:t>
      </w:r>
      <w:r w:rsidRPr="00EC20A0">
        <w:rPr>
          <w:spacing w:val="-3"/>
          <w:sz w:val="18"/>
        </w:rPr>
        <w:t xml:space="preserve"> </w:t>
      </w:r>
      <w:r w:rsidRPr="00EC20A0">
        <w:rPr>
          <w:sz w:val="18"/>
        </w:rPr>
        <w:t>is</w:t>
      </w:r>
      <w:r w:rsidRPr="00EC20A0">
        <w:rPr>
          <w:spacing w:val="-2"/>
          <w:sz w:val="18"/>
        </w:rPr>
        <w:t xml:space="preserve"> </w:t>
      </w:r>
      <w:r w:rsidRPr="00EC20A0">
        <w:rPr>
          <w:sz w:val="18"/>
        </w:rPr>
        <w:t>an</w:t>
      </w:r>
      <w:r w:rsidRPr="00EC20A0">
        <w:rPr>
          <w:spacing w:val="-3"/>
          <w:sz w:val="18"/>
        </w:rPr>
        <w:t xml:space="preserve"> </w:t>
      </w:r>
      <w:r w:rsidRPr="00EC20A0">
        <w:rPr>
          <w:sz w:val="18"/>
        </w:rPr>
        <w:t>invoice</w:t>
      </w:r>
      <w:r w:rsidRPr="00EC20A0">
        <w:rPr>
          <w:spacing w:val="-1"/>
          <w:sz w:val="18"/>
        </w:rPr>
        <w:t xml:space="preserve"> </w:t>
      </w:r>
      <w:r w:rsidRPr="00EC20A0">
        <w:rPr>
          <w:sz w:val="18"/>
        </w:rPr>
        <w:t>containing</w:t>
      </w:r>
      <w:r w:rsidRPr="00EC20A0">
        <w:rPr>
          <w:spacing w:val="-3"/>
          <w:sz w:val="18"/>
        </w:rPr>
        <w:t xml:space="preserve"> </w:t>
      </w:r>
      <w:r w:rsidRPr="00EC20A0">
        <w:rPr>
          <w:sz w:val="18"/>
        </w:rPr>
        <w:t>or</w:t>
      </w:r>
      <w:r w:rsidRPr="00EC20A0">
        <w:rPr>
          <w:spacing w:val="-2"/>
          <w:sz w:val="18"/>
        </w:rPr>
        <w:t xml:space="preserve"> </w:t>
      </w:r>
      <w:r w:rsidRPr="00EC20A0">
        <w:rPr>
          <w:sz w:val="18"/>
        </w:rPr>
        <w:t>accompanied</w:t>
      </w:r>
      <w:r w:rsidRPr="00EC20A0">
        <w:rPr>
          <w:spacing w:val="-2"/>
          <w:sz w:val="18"/>
        </w:rPr>
        <w:t xml:space="preserve"> </w:t>
      </w:r>
      <w:r w:rsidRPr="00EC20A0">
        <w:rPr>
          <w:sz w:val="18"/>
        </w:rPr>
        <w:t>by</w:t>
      </w:r>
      <w:r w:rsidRPr="00EC20A0">
        <w:rPr>
          <w:spacing w:val="-1"/>
          <w:sz w:val="18"/>
        </w:rPr>
        <w:t xml:space="preserve"> </w:t>
      </w:r>
      <w:r w:rsidRPr="00EC20A0">
        <w:rPr>
          <w:sz w:val="18"/>
        </w:rPr>
        <w:t>substantiating</w:t>
      </w:r>
      <w:r w:rsidRPr="00EC20A0">
        <w:rPr>
          <w:spacing w:val="-1"/>
          <w:sz w:val="18"/>
        </w:rPr>
        <w:t xml:space="preserve"> </w:t>
      </w:r>
      <w:r w:rsidRPr="00EC20A0">
        <w:rPr>
          <w:sz w:val="18"/>
        </w:rPr>
        <w:t>documentation,</w:t>
      </w:r>
      <w:r w:rsidRPr="00EC20A0">
        <w:rPr>
          <w:spacing w:val="-2"/>
          <w:sz w:val="18"/>
        </w:rPr>
        <w:t xml:space="preserve"> </w:t>
      </w:r>
      <w:r w:rsidRPr="00EC20A0">
        <w:rPr>
          <w:sz w:val="18"/>
        </w:rPr>
        <w:t>which</w:t>
      </w:r>
      <w:r w:rsidRPr="00EC20A0">
        <w:rPr>
          <w:spacing w:val="-3"/>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head</w:t>
      </w:r>
      <w:r w:rsidRPr="00EC20A0">
        <w:rPr>
          <w:spacing w:val="-3"/>
          <w:sz w:val="18"/>
        </w:rPr>
        <w:t xml:space="preserve"> </w:t>
      </w:r>
      <w:r w:rsidRPr="00EC20A0">
        <w:rPr>
          <w:sz w:val="18"/>
        </w:rPr>
        <w:t>may require by regulation or contract or OMB may require by regulation. 31 U.S.C. § 3901(a)(3).</w:t>
      </w:r>
    </w:p>
    <w:p w14:paraId="24D6118D" w14:textId="77777777" w:rsidR="00245300" w:rsidRPr="00EC20A0" w:rsidRDefault="00245300">
      <w:pPr>
        <w:spacing w:line="249" w:lineRule="auto"/>
        <w:rPr>
          <w:sz w:val="18"/>
        </w:rPr>
        <w:sectPr w:rsidR="00245300" w:rsidRPr="00EC20A0">
          <w:pgSz w:w="15840" w:h="12240" w:orient="landscape"/>
          <w:pgMar w:top="1400" w:right="1320" w:bottom="940" w:left="960" w:header="721" w:footer="742" w:gutter="0"/>
          <w:cols w:space="720"/>
        </w:sectPr>
      </w:pPr>
    </w:p>
    <w:p w14:paraId="24D6118E" w14:textId="77777777" w:rsidR="00245300" w:rsidRPr="00EC20A0" w:rsidRDefault="00F17249">
      <w:pPr>
        <w:pStyle w:val="BodyText"/>
        <w:spacing w:before="82"/>
        <w:ind w:left="120" w:right="436"/>
      </w:pPr>
      <w:r w:rsidRPr="00EC20A0">
        <w:t>Note: The auditor generally should perform these procedures or prepare equivalent documentation only if provisions of the Prompt Payment Act (PPA), as provided in 31 U.S.C. chapter 39, are significant, as indicated on Form 802, General Compliance Checklist, at page 802-7. These procedures test compliance with the provisions listed on the Compliance Summary.</w:t>
      </w:r>
      <w:r w:rsidRPr="00EC20A0">
        <w:rPr>
          <w:spacing w:val="-3"/>
        </w:rPr>
        <w:t xml:space="preserve"> </w:t>
      </w:r>
      <w:r w:rsidRPr="00EC20A0">
        <w:t>Implementing</w:t>
      </w:r>
      <w:r w:rsidRPr="00EC20A0">
        <w:rPr>
          <w:spacing w:val="-3"/>
        </w:rPr>
        <w:t xml:space="preserve"> </w:t>
      </w:r>
      <w:r w:rsidRPr="00EC20A0">
        <w:t>regulations</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Prompt</w:t>
      </w:r>
      <w:r w:rsidRPr="00EC20A0">
        <w:rPr>
          <w:spacing w:val="-3"/>
        </w:rPr>
        <w:t xml:space="preserve"> </w:t>
      </w:r>
      <w:r w:rsidRPr="00EC20A0">
        <w:t>Payment</w:t>
      </w:r>
      <w:r w:rsidRPr="00EC20A0">
        <w:rPr>
          <w:spacing w:val="-3"/>
        </w:rPr>
        <w:t xml:space="preserve"> </w:t>
      </w:r>
      <w:r w:rsidRPr="00EC20A0">
        <w:t>Act</w:t>
      </w:r>
      <w:r w:rsidRPr="00EC20A0">
        <w:rPr>
          <w:spacing w:val="-3"/>
        </w:rPr>
        <w:t xml:space="preserve"> </w:t>
      </w:r>
      <w:r w:rsidRPr="00EC20A0">
        <w:t>are</w:t>
      </w:r>
      <w:r w:rsidRPr="00EC20A0">
        <w:rPr>
          <w:spacing w:val="-3"/>
        </w:rPr>
        <w:t xml:space="preserve"> </w:t>
      </w:r>
      <w:r w:rsidRPr="00EC20A0">
        <w:t>included</w:t>
      </w:r>
      <w:r w:rsidRPr="00EC20A0">
        <w:rPr>
          <w:spacing w:val="-3"/>
        </w:rPr>
        <w:t xml:space="preserve"> </w:t>
      </w:r>
      <w:r w:rsidRPr="00EC20A0">
        <w:t>in</w:t>
      </w:r>
      <w:r w:rsidRPr="00EC20A0">
        <w:rPr>
          <w:spacing w:val="-3"/>
        </w:rPr>
        <w:t xml:space="preserve"> </w:t>
      </w:r>
      <w:r w:rsidRPr="00EC20A0">
        <w:t>5</w:t>
      </w:r>
      <w:r w:rsidRPr="00EC20A0">
        <w:rPr>
          <w:spacing w:val="-4"/>
        </w:rPr>
        <w:t xml:space="preserve"> </w:t>
      </w:r>
      <w:r w:rsidRPr="00EC20A0">
        <w:t>C.F.R.</w:t>
      </w:r>
      <w:r w:rsidRPr="00EC20A0">
        <w:rPr>
          <w:spacing w:val="-3"/>
        </w:rPr>
        <w:t xml:space="preserve"> </w:t>
      </w:r>
      <w:r w:rsidRPr="00EC20A0">
        <w:t xml:space="preserve">Part </w:t>
      </w:r>
      <w:r w:rsidRPr="00EC20A0">
        <w:rPr>
          <w:spacing w:val="-2"/>
        </w:rPr>
        <w:t>1315.</w:t>
      </w:r>
    </w:p>
    <w:p w14:paraId="24D6118F" w14:textId="77777777" w:rsidR="00245300" w:rsidRPr="00EC20A0" w:rsidRDefault="00245300">
      <w:pPr>
        <w:pStyle w:val="BodyText"/>
        <w:spacing w:before="9"/>
        <w:rPr>
          <w:sz w:val="13"/>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245300" w:rsidRPr="00EC20A0" w14:paraId="24D61191" w14:textId="77777777">
        <w:trPr>
          <w:trHeight w:val="1335"/>
        </w:trPr>
        <w:tc>
          <w:tcPr>
            <w:tcW w:w="9450" w:type="dxa"/>
            <w:gridSpan w:val="3"/>
          </w:tcPr>
          <w:p w14:paraId="24D61190" w14:textId="77777777" w:rsidR="00245300" w:rsidRPr="00EC20A0" w:rsidRDefault="00F17249">
            <w:pPr>
              <w:pStyle w:val="TableParagraph"/>
              <w:tabs>
                <w:tab w:val="left" w:pos="8944"/>
              </w:tabs>
              <w:spacing w:before="7" w:line="390" w:lineRule="atLeast"/>
              <w:ind w:left="130" w:right="458"/>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197" w14:textId="77777777">
        <w:trPr>
          <w:trHeight w:val="793"/>
        </w:trPr>
        <w:tc>
          <w:tcPr>
            <w:tcW w:w="7080" w:type="dxa"/>
            <w:tcBorders>
              <w:right w:val="single" w:sz="6" w:space="0" w:color="000000"/>
            </w:tcBorders>
          </w:tcPr>
          <w:p w14:paraId="24D61192" w14:textId="77777777" w:rsidR="00245300" w:rsidRPr="00EC20A0" w:rsidRDefault="00245300">
            <w:pPr>
              <w:pStyle w:val="TableParagraph"/>
              <w:spacing w:before="144"/>
            </w:pPr>
          </w:p>
          <w:p w14:paraId="24D61193"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194" w14:textId="77777777" w:rsidR="00245300" w:rsidRPr="00EC20A0" w:rsidRDefault="00F17249">
            <w:pPr>
              <w:pStyle w:val="TableParagraph"/>
              <w:spacing w:before="144"/>
              <w:ind w:left="144"/>
              <w:rPr>
                <w:b/>
              </w:rPr>
            </w:pPr>
            <w:r w:rsidRPr="00EC20A0">
              <w:rPr>
                <w:b/>
                <w:spacing w:val="-2"/>
              </w:rPr>
              <w:t xml:space="preserve">Initials/ </w:t>
            </w:r>
            <w:r w:rsidRPr="00EC20A0">
              <w:rPr>
                <w:b/>
                <w:spacing w:val="-4"/>
              </w:rPr>
              <w:t>date</w:t>
            </w:r>
          </w:p>
        </w:tc>
        <w:tc>
          <w:tcPr>
            <w:tcW w:w="1218" w:type="dxa"/>
            <w:tcBorders>
              <w:left w:val="single" w:sz="6" w:space="0" w:color="000000"/>
            </w:tcBorders>
          </w:tcPr>
          <w:p w14:paraId="24D61195" w14:textId="77777777" w:rsidR="00245300" w:rsidRPr="00EC20A0" w:rsidRDefault="00245300">
            <w:pPr>
              <w:pStyle w:val="TableParagraph"/>
              <w:spacing w:before="144"/>
            </w:pPr>
          </w:p>
          <w:p w14:paraId="24D61196"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119C" w14:textId="77777777">
        <w:trPr>
          <w:trHeight w:val="2853"/>
        </w:trPr>
        <w:tc>
          <w:tcPr>
            <w:tcW w:w="7080" w:type="dxa"/>
            <w:tcBorders>
              <w:bottom w:val="single" w:sz="6" w:space="0" w:color="000000"/>
              <w:right w:val="single" w:sz="6" w:space="0" w:color="000000"/>
            </w:tcBorders>
          </w:tcPr>
          <w:p w14:paraId="24D61198" w14:textId="77777777" w:rsidR="00245300" w:rsidRPr="00EC20A0" w:rsidRDefault="00F17249">
            <w:pPr>
              <w:pStyle w:val="TableParagraph"/>
              <w:tabs>
                <w:tab w:val="left" w:pos="705"/>
              </w:tabs>
              <w:spacing w:before="144"/>
              <w:ind w:left="705" w:right="179" w:hanging="577"/>
              <w:rPr>
                <w:sz w:val="14"/>
              </w:rPr>
            </w:pPr>
            <w:r w:rsidRPr="00EC20A0">
              <w:rPr>
                <w:spacing w:val="-6"/>
              </w:rPr>
              <w:t>1)</w:t>
            </w:r>
            <w:r w:rsidRPr="00EC20A0">
              <w:tab/>
              <w:t xml:space="preserve">Based on the preliminary assessment of </w:t>
            </w:r>
            <w:r w:rsidRPr="00EC20A0">
              <w:t>compliance control effectiveness (as documented on Form 806, Compliance Summary), select a statistical sample of payments from throughout</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period.</w:t>
            </w:r>
            <w:r w:rsidRPr="00EC20A0">
              <w:rPr>
                <w:spacing w:val="-4"/>
              </w:rPr>
              <w:t xml:space="preserve"> </w:t>
            </w:r>
            <w:r w:rsidRPr="00EC20A0">
              <w:t>The</w:t>
            </w:r>
            <w:r w:rsidRPr="00EC20A0">
              <w:rPr>
                <w:spacing w:val="-4"/>
              </w:rPr>
              <w:t xml:space="preserve"> </w:t>
            </w:r>
            <w:r w:rsidRPr="00EC20A0">
              <w:t>sample</w:t>
            </w:r>
            <w:r w:rsidRPr="00EC20A0">
              <w:rPr>
                <w:spacing w:val="-4"/>
              </w:rPr>
              <w:t xml:space="preserve"> </w:t>
            </w:r>
            <w:r w:rsidRPr="00EC20A0">
              <w:t>size</w:t>
            </w:r>
            <w:r w:rsidRPr="00EC20A0">
              <w:rPr>
                <w:spacing w:val="-4"/>
              </w:rPr>
              <w:t xml:space="preserve"> </w:t>
            </w:r>
            <w:r w:rsidRPr="00EC20A0">
              <w:t>will</w:t>
            </w:r>
            <w:r w:rsidRPr="00EC20A0">
              <w:rPr>
                <w:spacing w:val="-5"/>
              </w:rPr>
              <w:t xml:space="preserve"> </w:t>
            </w:r>
            <w:r w:rsidRPr="00EC20A0">
              <w:t>vary</w:t>
            </w:r>
            <w:r w:rsidRPr="00EC20A0">
              <w:rPr>
                <w:spacing w:val="-4"/>
              </w:rPr>
              <w:t xml:space="preserve"> </w:t>
            </w:r>
            <w:r w:rsidRPr="00EC20A0">
              <w:t>based</w:t>
            </w:r>
            <w:r w:rsidRPr="00EC20A0">
              <w:rPr>
                <w:spacing w:val="-5"/>
              </w:rPr>
              <w:t xml:space="preserve"> </w:t>
            </w:r>
            <w:r w:rsidRPr="00EC20A0">
              <w:t>on the expected effectiveness of compliance controls, as discussed in FAM 460.02. Document the sampling approach (see example documentation in FAM 495 D).</w:t>
            </w:r>
            <w:hyperlink w:anchor="_bookmark124" w:history="1">
              <w:r w:rsidRPr="00EC20A0">
                <w:rPr>
                  <w:position w:val="7"/>
                  <w:sz w:val="14"/>
                </w:rPr>
                <w:t>49</w:t>
              </w:r>
            </w:hyperlink>
          </w:p>
          <w:p w14:paraId="24D61199" w14:textId="77777777" w:rsidR="00245300" w:rsidRPr="00EC20A0" w:rsidRDefault="00F17249">
            <w:pPr>
              <w:pStyle w:val="TableParagraph"/>
              <w:tabs>
                <w:tab w:val="left" w:pos="6497"/>
              </w:tabs>
              <w:spacing w:before="7" w:line="390" w:lineRule="atLeast"/>
              <w:ind w:left="704" w:right="549"/>
            </w:pPr>
            <w:r w:rsidRPr="00EC20A0">
              <w:t xml:space="preserve">Sample size </w:t>
            </w:r>
            <w:r w:rsidRPr="00EC20A0">
              <w:rPr>
                <w:u w:val="single"/>
              </w:rPr>
              <w:tab/>
            </w:r>
            <w:r w:rsidRPr="00EC20A0">
              <w:t xml:space="preserve"> Sample selection method</w:t>
            </w:r>
            <w:r w:rsidRPr="00EC20A0">
              <w:rPr>
                <w:spacing w:val="82"/>
              </w:rPr>
              <w:t xml:space="preserve"> </w:t>
            </w:r>
            <w:r w:rsidRPr="00EC20A0">
              <w:rPr>
                <w:u w:val="single"/>
              </w:rPr>
              <w:tab/>
            </w:r>
          </w:p>
        </w:tc>
        <w:tc>
          <w:tcPr>
            <w:tcW w:w="1152" w:type="dxa"/>
            <w:tcBorders>
              <w:left w:val="single" w:sz="6" w:space="0" w:color="000000"/>
              <w:bottom w:val="single" w:sz="6" w:space="0" w:color="000000"/>
              <w:right w:val="single" w:sz="6" w:space="0" w:color="000000"/>
            </w:tcBorders>
          </w:tcPr>
          <w:p w14:paraId="24D6119A" w14:textId="77777777" w:rsidR="00245300" w:rsidRPr="00EC20A0" w:rsidRDefault="00245300">
            <w:pPr>
              <w:pStyle w:val="TableParagraph"/>
              <w:rPr>
                <w:sz w:val="20"/>
              </w:rPr>
            </w:pPr>
          </w:p>
        </w:tc>
        <w:tc>
          <w:tcPr>
            <w:tcW w:w="1218" w:type="dxa"/>
            <w:tcBorders>
              <w:left w:val="single" w:sz="6" w:space="0" w:color="000000"/>
              <w:bottom w:val="single" w:sz="6" w:space="0" w:color="000000"/>
            </w:tcBorders>
          </w:tcPr>
          <w:p w14:paraId="24D6119B" w14:textId="77777777" w:rsidR="00245300" w:rsidRPr="00EC20A0" w:rsidRDefault="00245300">
            <w:pPr>
              <w:pStyle w:val="TableParagraph"/>
              <w:rPr>
                <w:sz w:val="20"/>
              </w:rPr>
            </w:pPr>
          </w:p>
        </w:tc>
      </w:tr>
      <w:tr w:rsidR="00245300" w:rsidRPr="00EC20A0" w14:paraId="24D611A6" w14:textId="77777777">
        <w:trPr>
          <w:trHeight w:val="3756"/>
        </w:trPr>
        <w:tc>
          <w:tcPr>
            <w:tcW w:w="7080" w:type="dxa"/>
            <w:tcBorders>
              <w:top w:val="single" w:sz="6" w:space="0" w:color="000000"/>
              <w:bottom w:val="single" w:sz="6" w:space="0" w:color="000000"/>
              <w:right w:val="single" w:sz="6" w:space="0" w:color="000000"/>
            </w:tcBorders>
          </w:tcPr>
          <w:p w14:paraId="24D6119D" w14:textId="77777777" w:rsidR="00245300" w:rsidRPr="00EC20A0" w:rsidRDefault="00F17249">
            <w:pPr>
              <w:pStyle w:val="TableParagraph"/>
              <w:numPr>
                <w:ilvl w:val="0"/>
                <w:numId w:val="144"/>
              </w:numPr>
              <w:tabs>
                <w:tab w:val="left" w:pos="705"/>
              </w:tabs>
              <w:spacing w:before="143"/>
              <w:ind w:right="473"/>
            </w:pPr>
            <w:r w:rsidRPr="00EC20A0">
              <w:t xml:space="preserve">For each item selected in step 1, obtain the </w:t>
            </w:r>
            <w:r w:rsidRPr="00EC20A0">
              <w:t>supporting documentation</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payment,</w:t>
            </w:r>
            <w:r w:rsidRPr="00EC20A0">
              <w:rPr>
                <w:spacing w:val="-5"/>
              </w:rPr>
              <w:t xml:space="preserve"> </w:t>
            </w:r>
            <w:r w:rsidRPr="00EC20A0">
              <w:t>such</w:t>
            </w:r>
            <w:r w:rsidRPr="00EC20A0">
              <w:rPr>
                <w:spacing w:val="-5"/>
              </w:rPr>
              <w:t xml:space="preserve"> </w:t>
            </w:r>
            <w:r w:rsidRPr="00EC20A0">
              <w:t>as</w:t>
            </w:r>
            <w:r w:rsidRPr="00EC20A0">
              <w:rPr>
                <w:spacing w:val="-5"/>
              </w:rPr>
              <w:t xml:space="preserve"> </w:t>
            </w:r>
            <w:r w:rsidRPr="00EC20A0">
              <w:t>the</w:t>
            </w:r>
            <w:r w:rsidRPr="00EC20A0">
              <w:rPr>
                <w:spacing w:val="-5"/>
              </w:rPr>
              <w:t xml:space="preserve"> </w:t>
            </w:r>
            <w:r w:rsidRPr="00EC20A0">
              <w:t>invoice</w:t>
            </w:r>
            <w:r w:rsidRPr="00EC20A0">
              <w:rPr>
                <w:spacing w:val="-5"/>
              </w:rPr>
              <w:t xml:space="preserve"> </w:t>
            </w:r>
            <w:r w:rsidRPr="00EC20A0">
              <w:t xml:space="preserve">voucher </w:t>
            </w:r>
            <w:r w:rsidRPr="00EC20A0">
              <w:rPr>
                <w:spacing w:val="-2"/>
              </w:rPr>
              <w:t>package.</w:t>
            </w:r>
          </w:p>
          <w:p w14:paraId="24D6119E" w14:textId="77777777" w:rsidR="00245300" w:rsidRPr="00EC20A0" w:rsidRDefault="00F17249">
            <w:pPr>
              <w:pStyle w:val="TableParagraph"/>
              <w:numPr>
                <w:ilvl w:val="1"/>
                <w:numId w:val="144"/>
              </w:numPr>
              <w:tabs>
                <w:tab w:val="left" w:pos="1062"/>
              </w:tabs>
              <w:spacing w:before="145"/>
              <w:ind w:left="1062" w:hanging="357"/>
            </w:pPr>
            <w:r w:rsidRPr="00EC20A0">
              <w:t>Document</w:t>
            </w:r>
            <w:r w:rsidRPr="00EC20A0">
              <w:rPr>
                <w:spacing w:val="-9"/>
              </w:rPr>
              <w:t xml:space="preserve"> </w:t>
            </w:r>
            <w:r w:rsidRPr="00EC20A0">
              <w:t>the</w:t>
            </w:r>
            <w:r w:rsidRPr="00EC20A0">
              <w:rPr>
                <w:spacing w:val="-8"/>
              </w:rPr>
              <w:t xml:space="preserve"> </w:t>
            </w:r>
            <w:r w:rsidRPr="00EC20A0">
              <w:t>following</w:t>
            </w:r>
            <w:r w:rsidRPr="00EC20A0">
              <w:rPr>
                <w:spacing w:val="-9"/>
              </w:rPr>
              <w:t xml:space="preserve"> </w:t>
            </w:r>
            <w:r w:rsidRPr="00EC20A0">
              <w:rPr>
                <w:spacing w:val="-2"/>
              </w:rPr>
              <w:t>items:</w:t>
            </w:r>
          </w:p>
          <w:p w14:paraId="24D6119F" w14:textId="77777777" w:rsidR="00245300" w:rsidRPr="00EC20A0" w:rsidRDefault="00F17249">
            <w:pPr>
              <w:pStyle w:val="TableParagraph"/>
              <w:numPr>
                <w:ilvl w:val="2"/>
                <w:numId w:val="144"/>
              </w:numPr>
              <w:tabs>
                <w:tab w:val="left" w:pos="1411"/>
              </w:tabs>
              <w:spacing w:before="144"/>
            </w:pPr>
            <w:r w:rsidRPr="00EC20A0">
              <w:t>invoice</w:t>
            </w:r>
            <w:r w:rsidRPr="00EC20A0">
              <w:rPr>
                <w:spacing w:val="-7"/>
              </w:rPr>
              <w:t xml:space="preserve"> </w:t>
            </w:r>
            <w:r w:rsidRPr="00EC20A0">
              <w:rPr>
                <w:spacing w:val="-2"/>
              </w:rPr>
              <w:t>number;</w:t>
            </w:r>
          </w:p>
          <w:p w14:paraId="24D611A0" w14:textId="77777777" w:rsidR="00245300" w:rsidRPr="00EC20A0" w:rsidRDefault="00F17249">
            <w:pPr>
              <w:pStyle w:val="TableParagraph"/>
              <w:numPr>
                <w:ilvl w:val="2"/>
                <w:numId w:val="144"/>
              </w:numPr>
              <w:tabs>
                <w:tab w:val="left" w:pos="1411"/>
              </w:tabs>
              <w:spacing w:before="142"/>
            </w:pPr>
            <w:r w:rsidRPr="00EC20A0">
              <w:rPr>
                <w:spacing w:val="-2"/>
              </w:rPr>
              <w:t>payee;</w:t>
            </w:r>
          </w:p>
          <w:p w14:paraId="24D611A1" w14:textId="77777777" w:rsidR="00245300" w:rsidRPr="00EC20A0" w:rsidRDefault="00F17249">
            <w:pPr>
              <w:pStyle w:val="TableParagraph"/>
              <w:numPr>
                <w:ilvl w:val="2"/>
                <w:numId w:val="144"/>
              </w:numPr>
              <w:tabs>
                <w:tab w:val="left" w:pos="1411"/>
              </w:tabs>
              <w:spacing w:before="142"/>
            </w:pPr>
            <w:r w:rsidRPr="00EC20A0">
              <w:t>invoice</w:t>
            </w:r>
            <w:r w:rsidRPr="00EC20A0">
              <w:rPr>
                <w:spacing w:val="-7"/>
              </w:rPr>
              <w:t xml:space="preserve"> </w:t>
            </w:r>
            <w:r w:rsidRPr="00EC20A0">
              <w:rPr>
                <w:spacing w:val="-2"/>
              </w:rPr>
              <w:t>amount;</w:t>
            </w:r>
          </w:p>
          <w:p w14:paraId="24D611A2" w14:textId="77777777" w:rsidR="00245300" w:rsidRPr="00EC20A0" w:rsidRDefault="00F17249">
            <w:pPr>
              <w:pStyle w:val="TableParagraph"/>
              <w:numPr>
                <w:ilvl w:val="2"/>
                <w:numId w:val="144"/>
              </w:numPr>
              <w:tabs>
                <w:tab w:val="left" w:pos="1411"/>
              </w:tabs>
              <w:spacing w:before="142"/>
            </w:pPr>
            <w:r w:rsidRPr="00EC20A0">
              <w:t>invoice</w:t>
            </w:r>
            <w:r w:rsidRPr="00EC20A0">
              <w:rPr>
                <w:spacing w:val="-7"/>
              </w:rPr>
              <w:t xml:space="preserve"> </w:t>
            </w:r>
            <w:r w:rsidRPr="00EC20A0">
              <w:rPr>
                <w:spacing w:val="-2"/>
              </w:rPr>
              <w:t>date;</w:t>
            </w:r>
          </w:p>
          <w:p w14:paraId="24D611A3" w14:textId="77777777" w:rsidR="00245300" w:rsidRPr="00EC20A0" w:rsidRDefault="00F17249">
            <w:pPr>
              <w:pStyle w:val="TableParagraph"/>
              <w:numPr>
                <w:ilvl w:val="2"/>
                <w:numId w:val="144"/>
              </w:numPr>
              <w:tabs>
                <w:tab w:val="left" w:pos="1411"/>
              </w:tabs>
              <w:spacing w:before="142"/>
              <w:ind w:right="292"/>
            </w:pPr>
            <w:r w:rsidRPr="00EC20A0">
              <w:t>invoice</w:t>
            </w:r>
            <w:r w:rsidRPr="00EC20A0">
              <w:rPr>
                <w:spacing w:val="-5"/>
              </w:rPr>
              <w:t xml:space="preserve"> </w:t>
            </w:r>
            <w:r w:rsidRPr="00EC20A0">
              <w:t>receipt</w:t>
            </w:r>
            <w:r w:rsidRPr="00EC20A0">
              <w:rPr>
                <w:spacing w:val="-5"/>
              </w:rPr>
              <w:t xml:space="preserve"> </w:t>
            </w:r>
            <w:r w:rsidRPr="00EC20A0">
              <w:t>date</w:t>
            </w:r>
            <w:r w:rsidRPr="00EC20A0">
              <w:rPr>
                <w:spacing w:val="-5"/>
              </w:rPr>
              <w:t xml:space="preserve"> </w:t>
            </w:r>
            <w:r w:rsidRPr="00EC20A0">
              <w:t>(or</w:t>
            </w:r>
            <w:r w:rsidRPr="00EC20A0">
              <w:rPr>
                <w:spacing w:val="-5"/>
              </w:rPr>
              <w:t xml:space="preserve"> </w:t>
            </w:r>
            <w:r w:rsidRPr="00EC20A0">
              <w:t>other</w:t>
            </w:r>
            <w:r w:rsidRPr="00EC20A0">
              <w:rPr>
                <w:spacing w:val="-5"/>
              </w:rPr>
              <w:t xml:space="preserve"> </w:t>
            </w:r>
            <w:r w:rsidRPr="00EC20A0">
              <w:t>date</w:t>
            </w:r>
            <w:r w:rsidRPr="00EC20A0">
              <w:rPr>
                <w:spacing w:val="-5"/>
              </w:rPr>
              <w:t xml:space="preserve"> </w:t>
            </w:r>
            <w:r w:rsidRPr="00EC20A0">
              <w:t>used</w:t>
            </w:r>
            <w:r w:rsidRPr="00EC20A0">
              <w:rPr>
                <w:spacing w:val="-5"/>
              </w:rPr>
              <w:t xml:space="preserve"> </w:t>
            </w:r>
            <w:r w:rsidRPr="00EC20A0">
              <w:t>for</w:t>
            </w:r>
            <w:r w:rsidRPr="00EC20A0">
              <w:rPr>
                <w:spacing w:val="-5"/>
              </w:rPr>
              <w:t xml:space="preserve"> </w:t>
            </w:r>
            <w:r w:rsidRPr="00EC20A0">
              <w:t xml:space="preserve">determining compliance with this law—see step </w:t>
            </w:r>
            <w:r w:rsidRPr="00EC20A0">
              <w:t>2(b));</w:t>
            </w:r>
          </w:p>
        </w:tc>
        <w:tc>
          <w:tcPr>
            <w:tcW w:w="1152" w:type="dxa"/>
            <w:tcBorders>
              <w:top w:val="single" w:sz="6" w:space="0" w:color="000000"/>
              <w:left w:val="single" w:sz="6" w:space="0" w:color="000000"/>
              <w:bottom w:val="single" w:sz="6" w:space="0" w:color="000000"/>
              <w:right w:val="single" w:sz="6" w:space="0" w:color="000000"/>
            </w:tcBorders>
          </w:tcPr>
          <w:p w14:paraId="24D611A4" w14:textId="77777777" w:rsidR="00245300" w:rsidRPr="00EC20A0" w:rsidRDefault="00245300">
            <w:pPr>
              <w:pStyle w:val="TableParagraph"/>
              <w:rPr>
                <w:sz w:val="20"/>
              </w:rPr>
            </w:pPr>
          </w:p>
        </w:tc>
        <w:tc>
          <w:tcPr>
            <w:tcW w:w="1218" w:type="dxa"/>
            <w:tcBorders>
              <w:top w:val="single" w:sz="6" w:space="0" w:color="000000"/>
              <w:left w:val="single" w:sz="6" w:space="0" w:color="000000"/>
              <w:bottom w:val="single" w:sz="6" w:space="0" w:color="000000"/>
            </w:tcBorders>
          </w:tcPr>
          <w:p w14:paraId="24D611A5" w14:textId="77777777" w:rsidR="00245300" w:rsidRPr="00EC20A0" w:rsidRDefault="00245300">
            <w:pPr>
              <w:pStyle w:val="TableParagraph"/>
              <w:rPr>
                <w:sz w:val="20"/>
              </w:rPr>
            </w:pPr>
          </w:p>
        </w:tc>
      </w:tr>
    </w:tbl>
    <w:p w14:paraId="24D611A7" w14:textId="77777777" w:rsidR="00245300" w:rsidRPr="00EC20A0" w:rsidRDefault="00245300">
      <w:pPr>
        <w:pStyle w:val="BodyText"/>
        <w:rPr>
          <w:sz w:val="20"/>
        </w:rPr>
      </w:pPr>
    </w:p>
    <w:p w14:paraId="24D611A8" w14:textId="77777777" w:rsidR="00245300" w:rsidRPr="00EC20A0" w:rsidRDefault="00F17249">
      <w:pPr>
        <w:pStyle w:val="BodyText"/>
        <w:spacing w:before="67"/>
        <w:rPr>
          <w:sz w:val="20"/>
        </w:rPr>
      </w:pPr>
      <w:r w:rsidRPr="00EC20A0">
        <w:rPr>
          <w:noProof/>
        </w:rPr>
        <mc:AlternateContent>
          <mc:Choice Requires="wps">
            <w:drawing>
              <wp:anchor distT="0" distB="0" distL="0" distR="0" simplePos="0" relativeHeight="487673344" behindDoc="1" locked="0" layoutInCell="1" allowOverlap="1" wp14:anchorId="24D62C03" wp14:editId="24D62C04">
                <wp:simplePos x="0" y="0"/>
                <wp:positionH relativeFrom="page">
                  <wp:posOffset>914400</wp:posOffset>
                </wp:positionH>
                <wp:positionV relativeFrom="paragraph">
                  <wp:posOffset>204228</wp:posOffset>
                </wp:positionV>
                <wp:extent cx="1828800" cy="6985"/>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D1EB7A" id="Graphic 583" o:spid="_x0000_s1026" style="position:absolute;margin-left:1in;margin-top:16.1pt;width:2in;height:.55pt;z-index:-156431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" path="m1828800,l,,,6858r1828800,l1828800,xe" fillcolor="black" stroked="f">
                <v:path arrowok="t"/>
                <w10:wrap type="topAndBottom" anchorx="page"/>
              </v:shape>
            </w:pict>
          </mc:Fallback>
        </mc:AlternateContent>
      </w:r>
    </w:p>
    <w:p w14:paraId="24D611A9" w14:textId="77777777" w:rsidR="00245300" w:rsidRPr="00EC20A0" w:rsidRDefault="00F17249">
      <w:pPr>
        <w:spacing w:before="217" w:line="242" w:lineRule="auto"/>
        <w:ind w:left="119" w:right="329"/>
        <w:rPr>
          <w:sz w:val="18"/>
        </w:rPr>
      </w:pPr>
      <w:bookmarkStart w:id="234" w:name="_bookmark124"/>
      <w:bookmarkEnd w:id="234"/>
      <w:r w:rsidRPr="00EC20A0">
        <w:rPr>
          <w:position w:val="7"/>
          <w:sz w:val="14"/>
        </w:rPr>
        <w:t>49</w:t>
      </w:r>
      <w:r w:rsidRPr="00EC20A0">
        <w:rPr>
          <w:sz w:val="18"/>
        </w:rPr>
        <w:t>If</w:t>
      </w:r>
      <w:r w:rsidRPr="00EC20A0">
        <w:rPr>
          <w:spacing w:val="-3"/>
          <w:sz w:val="18"/>
        </w:rPr>
        <w:t xml:space="preserve"> </w:t>
      </w:r>
      <w:r w:rsidRPr="00EC20A0">
        <w:rPr>
          <w:sz w:val="18"/>
        </w:rPr>
        <w:t>the</w:t>
      </w:r>
      <w:r w:rsidRPr="00EC20A0">
        <w:rPr>
          <w:spacing w:val="-4"/>
          <w:sz w:val="18"/>
        </w:rPr>
        <w:t xml:space="preserve"> </w:t>
      </w:r>
      <w:r w:rsidRPr="00EC20A0">
        <w:rPr>
          <w:sz w:val="18"/>
        </w:rPr>
        <w:t>auditor</w:t>
      </w:r>
      <w:r w:rsidRPr="00EC20A0">
        <w:rPr>
          <w:spacing w:val="-3"/>
          <w:sz w:val="18"/>
        </w:rPr>
        <w:t xml:space="preserve"> </w:t>
      </w:r>
      <w:r w:rsidRPr="00EC20A0">
        <w:rPr>
          <w:sz w:val="18"/>
        </w:rPr>
        <w:t>uses</w:t>
      </w:r>
      <w:r w:rsidRPr="00EC20A0">
        <w:rPr>
          <w:spacing w:val="-3"/>
          <w:sz w:val="18"/>
        </w:rPr>
        <w:t xml:space="preserve"> </w:t>
      </w:r>
      <w:r w:rsidRPr="00EC20A0">
        <w:rPr>
          <w:sz w:val="18"/>
        </w:rPr>
        <w:t>multipurpose</w:t>
      </w:r>
      <w:r w:rsidRPr="00EC20A0">
        <w:rPr>
          <w:spacing w:val="-4"/>
          <w:sz w:val="18"/>
        </w:rPr>
        <w:t xml:space="preserve"> </w:t>
      </w:r>
      <w:r w:rsidRPr="00EC20A0">
        <w:rPr>
          <w:sz w:val="18"/>
        </w:rPr>
        <w:t>testing</w:t>
      </w:r>
      <w:r w:rsidRPr="00EC20A0">
        <w:rPr>
          <w:spacing w:val="-3"/>
          <w:sz w:val="18"/>
        </w:rPr>
        <w:t xml:space="preserve"> </w:t>
      </w:r>
      <w:r w:rsidRPr="00EC20A0">
        <w:rPr>
          <w:sz w:val="18"/>
        </w:rPr>
        <w:t>for</w:t>
      </w:r>
      <w:r w:rsidRPr="00EC20A0">
        <w:rPr>
          <w:spacing w:val="-3"/>
          <w:sz w:val="18"/>
        </w:rPr>
        <w:t xml:space="preserve"> </w:t>
      </w:r>
      <w:r w:rsidRPr="00EC20A0">
        <w:rPr>
          <w:sz w:val="18"/>
        </w:rPr>
        <w:t>the</w:t>
      </w:r>
      <w:r w:rsidRPr="00EC20A0">
        <w:rPr>
          <w:spacing w:val="-4"/>
          <w:sz w:val="18"/>
        </w:rPr>
        <w:t xml:space="preserve"> </w:t>
      </w:r>
      <w:r w:rsidRPr="00EC20A0">
        <w:rPr>
          <w:sz w:val="18"/>
        </w:rPr>
        <w:t>compliance</w:t>
      </w:r>
      <w:r w:rsidRPr="00EC20A0">
        <w:rPr>
          <w:spacing w:val="-2"/>
          <w:sz w:val="18"/>
        </w:rPr>
        <w:t xml:space="preserve"> </w:t>
      </w:r>
      <w:r w:rsidRPr="00EC20A0">
        <w:rPr>
          <w:sz w:val="18"/>
        </w:rPr>
        <w:t>test</w:t>
      </w:r>
      <w:r w:rsidRPr="00EC20A0">
        <w:rPr>
          <w:spacing w:val="-3"/>
          <w:sz w:val="18"/>
        </w:rPr>
        <w:t xml:space="preserve"> </w:t>
      </w:r>
      <w:r w:rsidRPr="00EC20A0">
        <w:rPr>
          <w:sz w:val="18"/>
        </w:rPr>
        <w:t>and/or</w:t>
      </w:r>
      <w:r w:rsidRPr="00EC20A0">
        <w:rPr>
          <w:spacing w:val="-3"/>
          <w:sz w:val="18"/>
        </w:rPr>
        <w:t xml:space="preserve"> </w:t>
      </w:r>
      <w:r w:rsidRPr="00EC20A0">
        <w:rPr>
          <w:sz w:val="18"/>
        </w:rPr>
        <w:t>compliance</w:t>
      </w:r>
      <w:r w:rsidRPr="00EC20A0">
        <w:rPr>
          <w:spacing w:val="-4"/>
          <w:sz w:val="18"/>
        </w:rPr>
        <w:t xml:space="preserve"> </w:t>
      </w:r>
      <w:r w:rsidRPr="00EC20A0">
        <w:rPr>
          <w:sz w:val="18"/>
        </w:rPr>
        <w:t>control</w:t>
      </w:r>
      <w:r w:rsidRPr="00EC20A0">
        <w:rPr>
          <w:spacing w:val="-3"/>
          <w:sz w:val="18"/>
        </w:rPr>
        <w:t xml:space="preserve"> </w:t>
      </w:r>
      <w:r w:rsidRPr="00EC20A0">
        <w:rPr>
          <w:sz w:val="18"/>
        </w:rPr>
        <w:t>test</w:t>
      </w:r>
      <w:r w:rsidRPr="00EC20A0">
        <w:rPr>
          <w:spacing w:val="-3"/>
          <w:sz w:val="18"/>
        </w:rPr>
        <w:t xml:space="preserve"> </w:t>
      </w:r>
      <w:r w:rsidRPr="00EC20A0">
        <w:rPr>
          <w:sz w:val="18"/>
        </w:rPr>
        <w:t>and/or</w:t>
      </w:r>
      <w:r w:rsidRPr="00EC20A0">
        <w:rPr>
          <w:spacing w:val="-3"/>
          <w:sz w:val="18"/>
        </w:rPr>
        <w:t xml:space="preserve"> </w:t>
      </w:r>
      <w:r w:rsidRPr="00EC20A0">
        <w:rPr>
          <w:sz w:val="18"/>
        </w:rPr>
        <w:t>a</w:t>
      </w:r>
      <w:r w:rsidRPr="00EC20A0">
        <w:rPr>
          <w:spacing w:val="-2"/>
          <w:sz w:val="18"/>
        </w:rPr>
        <w:t xml:space="preserve"> </w:t>
      </w:r>
      <w:r w:rsidRPr="00EC20A0">
        <w:rPr>
          <w:sz w:val="18"/>
        </w:rPr>
        <w:t>substantive test</w:t>
      </w:r>
      <w:r w:rsidRPr="00EC20A0">
        <w:rPr>
          <w:spacing w:val="-1"/>
          <w:sz w:val="18"/>
        </w:rPr>
        <w:t xml:space="preserve"> </w:t>
      </w:r>
      <w:r w:rsidRPr="00EC20A0">
        <w:rPr>
          <w:sz w:val="18"/>
        </w:rPr>
        <w:t>of</w:t>
      </w:r>
      <w:r w:rsidRPr="00EC20A0">
        <w:rPr>
          <w:spacing w:val="-1"/>
          <w:sz w:val="18"/>
        </w:rPr>
        <w:t xml:space="preserve"> </w:t>
      </w:r>
      <w:r w:rsidRPr="00EC20A0">
        <w:rPr>
          <w:sz w:val="18"/>
        </w:rPr>
        <w:t>payments</w:t>
      </w:r>
      <w:r w:rsidRPr="00EC20A0">
        <w:rPr>
          <w:spacing w:val="-1"/>
          <w:sz w:val="18"/>
        </w:rPr>
        <w:t xml:space="preserve"> </w:t>
      </w:r>
      <w:r w:rsidRPr="00EC20A0">
        <w:rPr>
          <w:sz w:val="18"/>
        </w:rPr>
        <w:t>details,</w:t>
      </w:r>
      <w:r w:rsidRPr="00EC20A0">
        <w:rPr>
          <w:spacing w:val="-1"/>
          <w:sz w:val="18"/>
        </w:rPr>
        <w:t xml:space="preserve"> </w:t>
      </w:r>
      <w:r w:rsidRPr="00EC20A0">
        <w:rPr>
          <w:sz w:val="18"/>
        </w:rPr>
        <w:t>the</w:t>
      </w:r>
      <w:r w:rsidRPr="00EC20A0">
        <w:rPr>
          <w:spacing w:val="-2"/>
          <w:sz w:val="18"/>
        </w:rPr>
        <w:t xml:space="preserve"> </w:t>
      </w:r>
      <w:r w:rsidRPr="00EC20A0">
        <w:rPr>
          <w:sz w:val="18"/>
        </w:rPr>
        <w:t>sample</w:t>
      </w:r>
      <w:r w:rsidRPr="00EC20A0">
        <w:rPr>
          <w:spacing w:val="-2"/>
          <w:sz w:val="18"/>
        </w:rPr>
        <w:t xml:space="preserve"> </w:t>
      </w:r>
      <w:r w:rsidRPr="00EC20A0">
        <w:rPr>
          <w:sz w:val="18"/>
        </w:rPr>
        <w:t>items</w:t>
      </w:r>
      <w:r w:rsidRPr="00EC20A0">
        <w:rPr>
          <w:spacing w:val="-1"/>
          <w:sz w:val="18"/>
        </w:rPr>
        <w:t xml:space="preserve"> </w:t>
      </w:r>
      <w:r w:rsidRPr="00EC20A0">
        <w:rPr>
          <w:sz w:val="18"/>
        </w:rPr>
        <w:t>for</w:t>
      </w:r>
      <w:r w:rsidRPr="00EC20A0">
        <w:rPr>
          <w:spacing w:val="-1"/>
          <w:sz w:val="18"/>
        </w:rPr>
        <w:t xml:space="preserve"> </w:t>
      </w:r>
      <w:r w:rsidRPr="00EC20A0">
        <w:rPr>
          <w:sz w:val="18"/>
        </w:rPr>
        <w:t>the</w:t>
      </w:r>
      <w:r w:rsidRPr="00EC20A0">
        <w:rPr>
          <w:spacing w:val="-2"/>
          <w:sz w:val="18"/>
        </w:rPr>
        <w:t xml:space="preserve"> </w:t>
      </w:r>
      <w:r w:rsidRPr="00EC20A0">
        <w:rPr>
          <w:sz w:val="18"/>
        </w:rPr>
        <w:t>compliance</w:t>
      </w:r>
      <w:r w:rsidRPr="00EC20A0">
        <w:rPr>
          <w:spacing w:val="-2"/>
          <w:sz w:val="18"/>
        </w:rPr>
        <w:t xml:space="preserve"> </w:t>
      </w:r>
      <w:r w:rsidRPr="00EC20A0">
        <w:rPr>
          <w:sz w:val="18"/>
        </w:rPr>
        <w:t>test</w:t>
      </w:r>
      <w:r w:rsidRPr="00EC20A0">
        <w:rPr>
          <w:spacing w:val="-1"/>
          <w:sz w:val="18"/>
        </w:rPr>
        <w:t xml:space="preserve"> </w:t>
      </w:r>
      <w:r w:rsidRPr="00EC20A0">
        <w:rPr>
          <w:sz w:val="18"/>
        </w:rPr>
        <w:t>and/or</w:t>
      </w:r>
      <w:r w:rsidRPr="00EC20A0">
        <w:rPr>
          <w:spacing w:val="-1"/>
          <w:sz w:val="18"/>
        </w:rPr>
        <w:t xml:space="preserve"> </w:t>
      </w:r>
      <w:r w:rsidRPr="00EC20A0">
        <w:rPr>
          <w:sz w:val="18"/>
        </w:rPr>
        <w:t>compliance</w:t>
      </w:r>
      <w:r w:rsidRPr="00EC20A0">
        <w:rPr>
          <w:spacing w:val="-2"/>
          <w:sz w:val="18"/>
        </w:rPr>
        <w:t xml:space="preserve"> </w:t>
      </w:r>
      <w:r w:rsidRPr="00EC20A0">
        <w:rPr>
          <w:sz w:val="18"/>
        </w:rPr>
        <w:t>control</w:t>
      </w:r>
      <w:r w:rsidRPr="00EC20A0">
        <w:rPr>
          <w:spacing w:val="-1"/>
          <w:sz w:val="18"/>
        </w:rPr>
        <w:t xml:space="preserve"> </w:t>
      </w:r>
      <w:r w:rsidRPr="00EC20A0">
        <w:rPr>
          <w:sz w:val="18"/>
        </w:rPr>
        <w:t>test</w:t>
      </w:r>
      <w:r w:rsidRPr="00EC20A0">
        <w:rPr>
          <w:spacing w:val="-1"/>
          <w:sz w:val="18"/>
        </w:rPr>
        <w:t xml:space="preserve"> </w:t>
      </w:r>
      <w:r w:rsidRPr="00EC20A0">
        <w:rPr>
          <w:sz w:val="18"/>
        </w:rPr>
        <w:t>should</w:t>
      </w:r>
      <w:r w:rsidRPr="00EC20A0">
        <w:rPr>
          <w:spacing w:val="-2"/>
          <w:sz w:val="18"/>
        </w:rPr>
        <w:t xml:space="preserve"> </w:t>
      </w:r>
      <w:r w:rsidRPr="00EC20A0">
        <w:rPr>
          <w:sz w:val="18"/>
        </w:rPr>
        <w:t>be</w:t>
      </w:r>
      <w:r w:rsidRPr="00EC20A0">
        <w:rPr>
          <w:spacing w:val="-2"/>
          <w:sz w:val="18"/>
        </w:rPr>
        <w:t xml:space="preserve"> </w:t>
      </w:r>
      <w:r w:rsidRPr="00EC20A0">
        <w:rPr>
          <w:sz w:val="18"/>
        </w:rPr>
        <w:t xml:space="preserve">selected </w:t>
      </w:r>
      <w:r w:rsidRPr="00EC20A0">
        <w:rPr>
          <w:sz w:val="18"/>
        </w:rPr>
        <w:t>using the sampling method used for the substantive test, as described in FAM 430, Design Tests. Otherwise, the auditor should select items using attribute sampling, as discussed in FAM 460.02.</w:t>
      </w:r>
    </w:p>
    <w:p w14:paraId="24D611AA" w14:textId="77777777" w:rsidR="00245300" w:rsidRPr="00EC20A0" w:rsidRDefault="00F17249">
      <w:pPr>
        <w:spacing w:before="119"/>
        <w:ind w:left="119" w:right="139"/>
        <w:rPr>
          <w:sz w:val="18"/>
        </w:rPr>
      </w:pPr>
      <w:r w:rsidRPr="00EC20A0">
        <w:rPr>
          <w:sz w:val="18"/>
        </w:rPr>
        <w:t>As</w:t>
      </w:r>
      <w:r w:rsidRPr="00EC20A0">
        <w:rPr>
          <w:spacing w:val="-3"/>
          <w:sz w:val="18"/>
        </w:rPr>
        <w:t xml:space="preserve"> </w:t>
      </w:r>
      <w:r w:rsidRPr="00EC20A0">
        <w:rPr>
          <w:sz w:val="18"/>
        </w:rPr>
        <w:t>with</w:t>
      </w:r>
      <w:r w:rsidRPr="00EC20A0">
        <w:rPr>
          <w:spacing w:val="-4"/>
          <w:sz w:val="18"/>
        </w:rPr>
        <w:t xml:space="preserve"> </w:t>
      </w:r>
      <w:r w:rsidRPr="00EC20A0">
        <w:rPr>
          <w:sz w:val="18"/>
        </w:rPr>
        <w:t>all</w:t>
      </w:r>
      <w:r w:rsidRPr="00EC20A0">
        <w:rPr>
          <w:spacing w:val="-3"/>
          <w:sz w:val="18"/>
        </w:rPr>
        <w:t xml:space="preserve"> </w:t>
      </w:r>
      <w:r w:rsidRPr="00EC20A0">
        <w:rPr>
          <w:sz w:val="18"/>
        </w:rPr>
        <w:t>sampling</w:t>
      </w:r>
      <w:r w:rsidRPr="00EC20A0">
        <w:rPr>
          <w:spacing w:val="-4"/>
          <w:sz w:val="18"/>
        </w:rPr>
        <w:t xml:space="preserve"> </w:t>
      </w:r>
      <w:r w:rsidRPr="00EC20A0">
        <w:rPr>
          <w:sz w:val="18"/>
        </w:rPr>
        <w:t>applications,</w:t>
      </w:r>
      <w:r w:rsidRPr="00EC20A0">
        <w:rPr>
          <w:spacing w:val="-3"/>
          <w:sz w:val="18"/>
        </w:rPr>
        <w:t xml:space="preserve"> </w:t>
      </w:r>
      <w:r w:rsidRPr="00EC20A0">
        <w:rPr>
          <w:sz w:val="18"/>
        </w:rPr>
        <w:t>the</w:t>
      </w:r>
      <w:r w:rsidRPr="00EC20A0">
        <w:rPr>
          <w:spacing w:val="-4"/>
          <w:sz w:val="18"/>
        </w:rPr>
        <w:t xml:space="preserve"> </w:t>
      </w:r>
      <w:r w:rsidRPr="00EC20A0">
        <w:rPr>
          <w:sz w:val="18"/>
        </w:rPr>
        <w:t>auditor</w:t>
      </w:r>
      <w:r w:rsidRPr="00EC20A0">
        <w:rPr>
          <w:spacing w:val="-3"/>
          <w:sz w:val="18"/>
        </w:rPr>
        <w:t xml:space="preserve"> </w:t>
      </w:r>
      <w:r w:rsidRPr="00EC20A0">
        <w:rPr>
          <w:sz w:val="18"/>
        </w:rPr>
        <w:t>should</w:t>
      </w:r>
      <w:r w:rsidRPr="00EC20A0">
        <w:rPr>
          <w:spacing w:val="-4"/>
          <w:sz w:val="18"/>
        </w:rPr>
        <w:t xml:space="preserve"> </w:t>
      </w:r>
      <w:r w:rsidRPr="00EC20A0">
        <w:rPr>
          <w:sz w:val="18"/>
        </w:rPr>
        <w:t>consider</w:t>
      </w:r>
      <w:r w:rsidRPr="00EC20A0">
        <w:rPr>
          <w:spacing w:val="-3"/>
          <w:sz w:val="18"/>
        </w:rPr>
        <w:t xml:space="preserve"> </w:t>
      </w:r>
      <w:r w:rsidRPr="00EC20A0">
        <w:rPr>
          <w:sz w:val="18"/>
        </w:rPr>
        <w:t>the</w:t>
      </w:r>
      <w:r w:rsidRPr="00EC20A0">
        <w:rPr>
          <w:spacing w:val="-4"/>
          <w:sz w:val="18"/>
        </w:rPr>
        <w:t xml:space="preserve"> </w:t>
      </w:r>
      <w:r w:rsidRPr="00EC20A0">
        <w:rPr>
          <w:sz w:val="18"/>
        </w:rPr>
        <w:t>completeness</w:t>
      </w:r>
      <w:r w:rsidRPr="00EC20A0">
        <w:rPr>
          <w:spacing w:val="-3"/>
          <w:sz w:val="18"/>
        </w:rPr>
        <w:t xml:space="preserve"> </w:t>
      </w:r>
      <w:r w:rsidRPr="00EC20A0">
        <w:rPr>
          <w:sz w:val="18"/>
        </w:rPr>
        <w:t>of</w:t>
      </w:r>
      <w:r w:rsidRPr="00EC20A0">
        <w:rPr>
          <w:spacing w:val="-3"/>
          <w:sz w:val="18"/>
        </w:rPr>
        <w:t xml:space="preserve"> </w:t>
      </w:r>
      <w:r w:rsidRPr="00EC20A0">
        <w:rPr>
          <w:sz w:val="18"/>
        </w:rPr>
        <w:t>the</w:t>
      </w:r>
      <w:r w:rsidRPr="00EC20A0">
        <w:rPr>
          <w:spacing w:val="-4"/>
          <w:sz w:val="18"/>
        </w:rPr>
        <w:t xml:space="preserve"> </w:t>
      </w:r>
      <w:r w:rsidRPr="00EC20A0">
        <w:rPr>
          <w:sz w:val="18"/>
        </w:rPr>
        <w:t>test</w:t>
      </w:r>
      <w:r w:rsidRPr="00EC20A0">
        <w:rPr>
          <w:spacing w:val="-3"/>
          <w:sz w:val="18"/>
        </w:rPr>
        <w:t xml:space="preserve"> </w:t>
      </w:r>
      <w:r w:rsidRPr="00EC20A0">
        <w:rPr>
          <w:sz w:val="18"/>
        </w:rPr>
        <w:t>population.</w:t>
      </w:r>
      <w:r w:rsidRPr="00EC20A0">
        <w:rPr>
          <w:spacing w:val="-3"/>
          <w:sz w:val="18"/>
        </w:rPr>
        <w:t xml:space="preserve"> </w:t>
      </w:r>
      <w:r w:rsidRPr="00EC20A0">
        <w:rPr>
          <w:sz w:val="18"/>
        </w:rPr>
        <w:t>For</w:t>
      </w:r>
      <w:r w:rsidRPr="00EC20A0">
        <w:rPr>
          <w:spacing w:val="-3"/>
          <w:sz w:val="18"/>
        </w:rPr>
        <w:t xml:space="preserve"> </w:t>
      </w:r>
      <w:r w:rsidRPr="00EC20A0">
        <w:rPr>
          <w:sz w:val="18"/>
        </w:rPr>
        <w:t>efficiency, the auditor should consider using records that were tested for validity, accuracy, and completeness (as well as the other assertions) in conjunction with substantive tests of the population.</w:t>
      </w:r>
    </w:p>
    <w:p w14:paraId="24D611AB" w14:textId="77777777" w:rsidR="00245300" w:rsidRPr="00EC20A0" w:rsidRDefault="00245300">
      <w:pPr>
        <w:rPr>
          <w:sz w:val="18"/>
        </w:rPr>
        <w:sectPr w:rsidR="00245300" w:rsidRPr="00EC20A0">
          <w:headerReference w:type="default" r:id="rId113"/>
          <w:footerReference w:type="default" r:id="rId114"/>
          <w:pgSz w:w="12240" w:h="15840"/>
          <w:pgMar w:top="1380" w:right="1240" w:bottom="940" w:left="1320" w:header="721" w:footer="742" w:gutter="0"/>
          <w:cols w:space="720"/>
        </w:sectPr>
      </w:pPr>
    </w:p>
    <w:p w14:paraId="24D611AC" w14:textId="77777777" w:rsidR="00245300" w:rsidRPr="00EC20A0" w:rsidRDefault="00245300">
      <w:pPr>
        <w:pStyle w:val="BodyText"/>
        <w:spacing w:before="4" w:after="1"/>
        <w:rPr>
          <w:sz w:val="8"/>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245300" w:rsidRPr="00EC20A0" w14:paraId="24D611AE" w14:textId="77777777">
        <w:trPr>
          <w:trHeight w:val="1335"/>
        </w:trPr>
        <w:tc>
          <w:tcPr>
            <w:tcW w:w="9450" w:type="dxa"/>
            <w:gridSpan w:val="3"/>
          </w:tcPr>
          <w:p w14:paraId="24D611AD" w14:textId="77777777" w:rsidR="00245300" w:rsidRPr="00EC20A0" w:rsidRDefault="00F17249">
            <w:pPr>
              <w:pStyle w:val="TableParagraph"/>
              <w:tabs>
                <w:tab w:val="left" w:pos="8943"/>
              </w:tabs>
              <w:spacing w:before="7" w:line="390" w:lineRule="atLeast"/>
              <w:ind w:left="129" w:right="459"/>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1B4" w14:textId="77777777">
        <w:trPr>
          <w:trHeight w:val="793"/>
        </w:trPr>
        <w:tc>
          <w:tcPr>
            <w:tcW w:w="7080" w:type="dxa"/>
            <w:tcBorders>
              <w:right w:val="single" w:sz="6" w:space="0" w:color="000000"/>
            </w:tcBorders>
          </w:tcPr>
          <w:p w14:paraId="24D611AF" w14:textId="77777777" w:rsidR="00245300" w:rsidRPr="00EC20A0" w:rsidRDefault="00245300">
            <w:pPr>
              <w:pStyle w:val="TableParagraph"/>
              <w:spacing w:before="144"/>
            </w:pPr>
          </w:p>
          <w:p w14:paraId="24D611B0"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1B1" w14:textId="77777777" w:rsidR="00245300" w:rsidRPr="00EC20A0" w:rsidRDefault="00F17249">
            <w:pPr>
              <w:pStyle w:val="TableParagraph"/>
              <w:spacing w:before="144"/>
              <w:ind w:left="144"/>
              <w:rPr>
                <w:b/>
              </w:rPr>
            </w:pPr>
            <w:r w:rsidRPr="00EC20A0">
              <w:rPr>
                <w:b/>
                <w:spacing w:val="-2"/>
              </w:rPr>
              <w:t xml:space="preserve">Initials/ </w:t>
            </w:r>
            <w:r w:rsidRPr="00EC20A0">
              <w:rPr>
                <w:b/>
                <w:spacing w:val="-4"/>
              </w:rPr>
              <w:t>date</w:t>
            </w:r>
          </w:p>
        </w:tc>
        <w:tc>
          <w:tcPr>
            <w:tcW w:w="1218" w:type="dxa"/>
            <w:tcBorders>
              <w:left w:val="single" w:sz="6" w:space="0" w:color="000000"/>
            </w:tcBorders>
          </w:tcPr>
          <w:p w14:paraId="24D611B2" w14:textId="77777777" w:rsidR="00245300" w:rsidRPr="00EC20A0" w:rsidRDefault="00245300">
            <w:pPr>
              <w:pStyle w:val="TableParagraph"/>
              <w:spacing w:before="144"/>
            </w:pPr>
          </w:p>
          <w:p w14:paraId="24D611B3"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11BB" w14:textId="77777777">
        <w:trPr>
          <w:trHeight w:val="1900"/>
        </w:trPr>
        <w:tc>
          <w:tcPr>
            <w:tcW w:w="7080" w:type="dxa"/>
            <w:tcBorders>
              <w:bottom w:val="single" w:sz="6" w:space="0" w:color="000000"/>
              <w:right w:val="single" w:sz="6" w:space="0" w:color="000000"/>
            </w:tcBorders>
          </w:tcPr>
          <w:p w14:paraId="24D611B5" w14:textId="77777777" w:rsidR="00245300" w:rsidRPr="00EC20A0" w:rsidRDefault="00F17249">
            <w:pPr>
              <w:pStyle w:val="TableParagraph"/>
              <w:numPr>
                <w:ilvl w:val="0"/>
                <w:numId w:val="143"/>
              </w:numPr>
              <w:tabs>
                <w:tab w:val="left" w:pos="1411"/>
              </w:tabs>
              <w:spacing w:before="1"/>
            </w:pPr>
            <w:r w:rsidRPr="00EC20A0">
              <w:t>payment</w:t>
            </w:r>
            <w:r w:rsidRPr="00EC20A0">
              <w:rPr>
                <w:spacing w:val="-10"/>
              </w:rPr>
              <w:t xml:space="preserve"> </w:t>
            </w:r>
            <w:r w:rsidRPr="00EC20A0">
              <w:rPr>
                <w:spacing w:val="-2"/>
              </w:rPr>
              <w:t>date;</w:t>
            </w:r>
          </w:p>
          <w:p w14:paraId="24D611B6" w14:textId="77777777" w:rsidR="00245300" w:rsidRPr="00EC20A0" w:rsidRDefault="00F17249">
            <w:pPr>
              <w:pStyle w:val="TableParagraph"/>
              <w:numPr>
                <w:ilvl w:val="0"/>
                <w:numId w:val="143"/>
              </w:numPr>
              <w:tabs>
                <w:tab w:val="left" w:pos="1411"/>
              </w:tabs>
              <w:spacing w:before="142"/>
            </w:pPr>
            <w:r w:rsidRPr="00EC20A0">
              <w:t>amount</w:t>
            </w:r>
            <w:r w:rsidRPr="00EC20A0">
              <w:rPr>
                <w:spacing w:val="-6"/>
              </w:rPr>
              <w:t xml:space="preserve"> </w:t>
            </w:r>
            <w:r w:rsidRPr="00EC20A0">
              <w:t>of</w:t>
            </w:r>
            <w:r w:rsidRPr="00EC20A0">
              <w:rPr>
                <w:spacing w:val="-5"/>
              </w:rPr>
              <w:t xml:space="preserve"> </w:t>
            </w:r>
            <w:r w:rsidRPr="00EC20A0">
              <w:t>interest</w:t>
            </w:r>
            <w:r w:rsidRPr="00EC20A0">
              <w:rPr>
                <w:spacing w:val="-6"/>
              </w:rPr>
              <w:t xml:space="preserve"> </w:t>
            </w:r>
            <w:r w:rsidRPr="00EC20A0">
              <w:t>penalty</w:t>
            </w:r>
            <w:r w:rsidRPr="00EC20A0">
              <w:rPr>
                <w:spacing w:val="-5"/>
              </w:rPr>
              <w:t xml:space="preserve"> </w:t>
            </w:r>
            <w:r w:rsidRPr="00EC20A0">
              <w:t>paid,</w:t>
            </w:r>
            <w:r w:rsidRPr="00EC20A0">
              <w:rPr>
                <w:spacing w:val="-5"/>
              </w:rPr>
              <w:t xml:space="preserve"> </w:t>
            </w:r>
            <w:r w:rsidRPr="00EC20A0">
              <w:t>if</w:t>
            </w:r>
            <w:r w:rsidRPr="00EC20A0">
              <w:rPr>
                <w:spacing w:val="-6"/>
              </w:rPr>
              <w:t xml:space="preserve"> </w:t>
            </w:r>
            <w:r w:rsidRPr="00EC20A0">
              <w:rPr>
                <w:spacing w:val="-4"/>
              </w:rPr>
              <w:t>any;</w:t>
            </w:r>
          </w:p>
          <w:p w14:paraId="24D611B7" w14:textId="77777777" w:rsidR="00245300" w:rsidRPr="00EC20A0" w:rsidRDefault="00F17249">
            <w:pPr>
              <w:pStyle w:val="TableParagraph"/>
              <w:numPr>
                <w:ilvl w:val="0"/>
                <w:numId w:val="143"/>
              </w:numPr>
              <w:tabs>
                <w:tab w:val="left" w:pos="1411"/>
              </w:tabs>
              <w:spacing w:before="142"/>
            </w:pPr>
            <w:r w:rsidRPr="00EC20A0">
              <w:t>amount</w:t>
            </w:r>
            <w:r w:rsidRPr="00EC20A0">
              <w:rPr>
                <w:spacing w:val="-6"/>
              </w:rPr>
              <w:t xml:space="preserve"> </w:t>
            </w:r>
            <w:r w:rsidRPr="00EC20A0">
              <w:t>of</w:t>
            </w:r>
            <w:r w:rsidRPr="00EC20A0">
              <w:rPr>
                <w:spacing w:val="-5"/>
              </w:rPr>
              <w:t xml:space="preserve"> </w:t>
            </w:r>
            <w:r w:rsidRPr="00EC20A0">
              <w:t>discount</w:t>
            </w:r>
            <w:r w:rsidRPr="00EC20A0">
              <w:rPr>
                <w:spacing w:val="-5"/>
              </w:rPr>
              <w:t xml:space="preserve"> </w:t>
            </w:r>
            <w:r w:rsidRPr="00EC20A0">
              <w:t>taken,</w:t>
            </w:r>
            <w:r w:rsidRPr="00EC20A0">
              <w:rPr>
                <w:spacing w:val="-5"/>
              </w:rPr>
              <w:t xml:space="preserve"> </w:t>
            </w:r>
            <w:r w:rsidRPr="00EC20A0">
              <w:t>if</w:t>
            </w:r>
            <w:r w:rsidRPr="00EC20A0">
              <w:rPr>
                <w:spacing w:val="-5"/>
              </w:rPr>
              <w:t xml:space="preserve"> </w:t>
            </w:r>
            <w:r w:rsidRPr="00EC20A0">
              <w:t>any;</w:t>
            </w:r>
            <w:r w:rsidRPr="00EC20A0">
              <w:rPr>
                <w:spacing w:val="-5"/>
              </w:rPr>
              <w:t xml:space="preserve"> and</w:t>
            </w:r>
          </w:p>
          <w:p w14:paraId="24D611B8" w14:textId="77777777" w:rsidR="00245300" w:rsidRPr="00EC20A0" w:rsidRDefault="00F17249">
            <w:pPr>
              <w:pStyle w:val="TableParagraph"/>
              <w:numPr>
                <w:ilvl w:val="0"/>
                <w:numId w:val="143"/>
              </w:numPr>
              <w:tabs>
                <w:tab w:val="left" w:pos="1411"/>
              </w:tabs>
              <w:spacing w:before="142"/>
              <w:ind w:right="514"/>
            </w:pPr>
            <w:r w:rsidRPr="00EC20A0">
              <w:t>appropriation</w:t>
            </w:r>
            <w:r w:rsidRPr="00EC20A0">
              <w:rPr>
                <w:spacing w:val="-8"/>
              </w:rPr>
              <w:t xml:space="preserve"> </w:t>
            </w:r>
            <w:r w:rsidRPr="00EC20A0">
              <w:t>account(s)</w:t>
            </w:r>
            <w:r w:rsidRPr="00EC20A0">
              <w:rPr>
                <w:spacing w:val="-9"/>
              </w:rPr>
              <w:t xml:space="preserve"> </w:t>
            </w:r>
            <w:r w:rsidRPr="00EC20A0">
              <w:t>charged</w:t>
            </w:r>
            <w:r w:rsidRPr="00EC20A0">
              <w:rPr>
                <w:spacing w:val="-8"/>
              </w:rPr>
              <w:t xml:space="preserve"> </w:t>
            </w:r>
            <w:r w:rsidRPr="00EC20A0">
              <w:t>for</w:t>
            </w:r>
            <w:r w:rsidRPr="00EC20A0">
              <w:rPr>
                <w:spacing w:val="-9"/>
              </w:rPr>
              <w:t xml:space="preserve"> </w:t>
            </w:r>
            <w:r w:rsidRPr="00EC20A0">
              <w:t>the</w:t>
            </w:r>
            <w:r w:rsidRPr="00EC20A0">
              <w:rPr>
                <w:spacing w:val="-8"/>
              </w:rPr>
              <w:t xml:space="preserve"> </w:t>
            </w:r>
            <w:r w:rsidRPr="00EC20A0">
              <w:t>expenditure and interest penalty, if any.</w:t>
            </w:r>
          </w:p>
        </w:tc>
        <w:tc>
          <w:tcPr>
            <w:tcW w:w="1152" w:type="dxa"/>
            <w:tcBorders>
              <w:left w:val="single" w:sz="6" w:space="0" w:color="000000"/>
              <w:bottom w:val="single" w:sz="6" w:space="0" w:color="000000"/>
              <w:right w:val="single" w:sz="6" w:space="0" w:color="000000"/>
            </w:tcBorders>
          </w:tcPr>
          <w:p w14:paraId="24D611B9" w14:textId="77777777" w:rsidR="00245300" w:rsidRPr="00EC20A0" w:rsidRDefault="00245300">
            <w:pPr>
              <w:pStyle w:val="TableParagraph"/>
              <w:rPr>
                <w:sz w:val="20"/>
              </w:rPr>
            </w:pPr>
          </w:p>
        </w:tc>
        <w:tc>
          <w:tcPr>
            <w:tcW w:w="1218" w:type="dxa"/>
            <w:tcBorders>
              <w:left w:val="single" w:sz="6" w:space="0" w:color="000000"/>
              <w:bottom w:val="single" w:sz="6" w:space="0" w:color="000000"/>
            </w:tcBorders>
          </w:tcPr>
          <w:p w14:paraId="24D611BA" w14:textId="77777777" w:rsidR="00245300" w:rsidRPr="00EC20A0" w:rsidRDefault="00245300">
            <w:pPr>
              <w:pStyle w:val="TableParagraph"/>
              <w:rPr>
                <w:sz w:val="20"/>
              </w:rPr>
            </w:pPr>
          </w:p>
        </w:tc>
      </w:tr>
      <w:tr w:rsidR="00245300" w:rsidRPr="00EC20A0" w14:paraId="24D611C3" w14:textId="77777777">
        <w:trPr>
          <w:trHeight w:val="7441"/>
        </w:trPr>
        <w:tc>
          <w:tcPr>
            <w:tcW w:w="7080" w:type="dxa"/>
            <w:tcBorders>
              <w:top w:val="single" w:sz="6" w:space="0" w:color="000000"/>
              <w:bottom w:val="single" w:sz="6" w:space="0" w:color="000000"/>
              <w:right w:val="single" w:sz="6" w:space="0" w:color="000000"/>
            </w:tcBorders>
          </w:tcPr>
          <w:p w14:paraId="24D611BC" w14:textId="77777777" w:rsidR="00245300" w:rsidRPr="00EC20A0" w:rsidRDefault="00F17249">
            <w:pPr>
              <w:pStyle w:val="TableParagraph"/>
              <w:tabs>
                <w:tab w:val="left" w:pos="1281"/>
              </w:tabs>
              <w:spacing w:before="143"/>
              <w:ind w:left="1281" w:right="302" w:hanging="577"/>
            </w:pPr>
            <w:r w:rsidRPr="00EC20A0">
              <w:rPr>
                <w:spacing w:val="-6"/>
              </w:rPr>
              <w:t>b)</w:t>
            </w:r>
            <w:r w:rsidRPr="00EC20A0">
              <w:tab/>
              <w:t xml:space="preserve">For each item selected, note whether the </w:t>
            </w:r>
            <w:r w:rsidRPr="00EC20A0">
              <w:t>payment was made by the required due date. The required due date may be the date specified in the contract or, if a date is not specified, 30 days after receipt of the invoice. If payment is for meat or meat food products, perishable agricultural products, dairy products, or construction contracts, then consult with OGC to determine the payment due date. Specific payment due dates to avoid interest</w:t>
            </w:r>
            <w:r w:rsidRPr="00EC20A0">
              <w:rPr>
                <w:spacing w:val="-5"/>
              </w:rPr>
              <w:t xml:space="preserve"> </w:t>
            </w:r>
            <w:r w:rsidRPr="00EC20A0">
              <w:t>penalties</w:t>
            </w:r>
            <w:r w:rsidRPr="00EC20A0">
              <w:rPr>
                <w:spacing w:val="-5"/>
              </w:rPr>
              <w:t xml:space="preserve"> </w:t>
            </w:r>
            <w:r w:rsidRPr="00EC20A0">
              <w:t>are</w:t>
            </w:r>
            <w:r w:rsidRPr="00EC20A0">
              <w:rPr>
                <w:spacing w:val="-5"/>
              </w:rPr>
              <w:t xml:space="preserve"> </w:t>
            </w:r>
            <w:r w:rsidRPr="00EC20A0">
              <w:t>established</w:t>
            </w:r>
            <w:r w:rsidRPr="00EC20A0">
              <w:rPr>
                <w:spacing w:val="-5"/>
              </w:rPr>
              <w:t xml:space="preserve"> </w:t>
            </w:r>
            <w:r w:rsidRPr="00EC20A0">
              <w:t>by</w:t>
            </w:r>
            <w:r w:rsidRPr="00EC20A0">
              <w:rPr>
                <w:spacing w:val="-6"/>
              </w:rPr>
              <w:t xml:space="preserve"> </w:t>
            </w:r>
            <w:r w:rsidRPr="00EC20A0">
              <w:t>law</w:t>
            </w:r>
            <w:r w:rsidRPr="00EC20A0">
              <w:rPr>
                <w:spacing w:val="-6"/>
              </w:rPr>
              <w:t xml:space="preserve"> </w:t>
            </w:r>
            <w:r w:rsidRPr="00EC20A0">
              <w:t>for</w:t>
            </w:r>
            <w:r w:rsidRPr="00EC20A0">
              <w:rPr>
                <w:spacing w:val="-5"/>
              </w:rPr>
              <w:t xml:space="preserve"> </w:t>
            </w:r>
            <w:r w:rsidRPr="00EC20A0">
              <w:t>these</w:t>
            </w:r>
            <w:r w:rsidRPr="00EC20A0">
              <w:rPr>
                <w:spacing w:val="-5"/>
              </w:rPr>
              <w:t xml:space="preserve"> </w:t>
            </w:r>
            <w:r w:rsidRPr="00EC20A0">
              <w:t>items. See FAM 806.01, Interest Penalties for Late Payments.</w:t>
            </w:r>
          </w:p>
          <w:p w14:paraId="24D611BD" w14:textId="77777777" w:rsidR="00245300" w:rsidRPr="00EC20A0" w:rsidRDefault="00F17249">
            <w:pPr>
              <w:pStyle w:val="TableParagraph"/>
              <w:spacing w:before="144"/>
              <w:ind w:left="1282" w:right="55" w:hanging="1"/>
            </w:pPr>
            <w:r w:rsidRPr="00EC20A0">
              <w:t>The invoice receipt date is the later of (1) the date the entity’s designated representative or office actually receives a proper invoice or (2) the 7th day after the date on which, in accordance with the terms and conditions of the contract, the property is actually delivered or performance</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services</w:t>
            </w:r>
            <w:r w:rsidRPr="00EC20A0">
              <w:rPr>
                <w:spacing w:val="-1"/>
              </w:rPr>
              <w:t xml:space="preserve"> </w:t>
            </w:r>
            <w:r w:rsidRPr="00EC20A0">
              <w:t>is</w:t>
            </w:r>
            <w:r w:rsidRPr="00EC20A0">
              <w:rPr>
                <w:spacing w:val="-1"/>
              </w:rPr>
              <w:t xml:space="preserve"> </w:t>
            </w:r>
            <w:r w:rsidRPr="00EC20A0">
              <w:t>actually</w:t>
            </w:r>
            <w:r w:rsidRPr="00EC20A0">
              <w:rPr>
                <w:spacing w:val="-1"/>
              </w:rPr>
              <w:t xml:space="preserve"> </w:t>
            </w:r>
            <w:r w:rsidRPr="00EC20A0">
              <w:t>completed</w:t>
            </w:r>
            <w:r w:rsidRPr="00EC20A0">
              <w:rPr>
                <w:spacing w:val="-1"/>
              </w:rPr>
              <w:t xml:space="preserve"> </w:t>
            </w:r>
            <w:r w:rsidRPr="00EC20A0">
              <w:t>(unless the</w:t>
            </w:r>
            <w:r w:rsidRPr="00EC20A0">
              <w:rPr>
                <w:spacing w:val="-5"/>
              </w:rPr>
              <w:t xml:space="preserve"> </w:t>
            </w:r>
            <w:r w:rsidRPr="00EC20A0">
              <w:t>entity</w:t>
            </w:r>
            <w:r w:rsidRPr="00EC20A0">
              <w:rPr>
                <w:spacing w:val="-5"/>
              </w:rPr>
              <w:t xml:space="preserve"> </w:t>
            </w:r>
            <w:r w:rsidRPr="00EC20A0">
              <w:t>accepted</w:t>
            </w:r>
            <w:r w:rsidRPr="00EC20A0">
              <w:rPr>
                <w:spacing w:val="-5"/>
              </w:rPr>
              <w:t xml:space="preserve"> </w:t>
            </w:r>
            <w:r w:rsidRPr="00EC20A0">
              <w:t>the</w:t>
            </w:r>
            <w:r w:rsidRPr="00EC20A0">
              <w:rPr>
                <w:spacing w:val="-5"/>
              </w:rPr>
              <w:t xml:space="preserve"> </w:t>
            </w:r>
            <w:r w:rsidRPr="00EC20A0">
              <w:t>property</w:t>
            </w:r>
            <w:r w:rsidRPr="00EC20A0">
              <w:rPr>
                <w:spacing w:val="-5"/>
              </w:rPr>
              <w:t xml:space="preserve"> </w:t>
            </w:r>
            <w:r w:rsidRPr="00EC20A0">
              <w:t>or</w:t>
            </w:r>
            <w:r w:rsidRPr="00EC20A0">
              <w:rPr>
                <w:spacing w:val="-5"/>
              </w:rPr>
              <w:t xml:space="preserve"> </w:t>
            </w:r>
            <w:r w:rsidRPr="00EC20A0">
              <w:t>services</w:t>
            </w:r>
            <w:r w:rsidRPr="00EC20A0">
              <w:rPr>
                <w:spacing w:val="-5"/>
              </w:rPr>
              <w:t xml:space="preserve"> </w:t>
            </w:r>
            <w:r w:rsidRPr="00EC20A0">
              <w:t>before</w:t>
            </w:r>
            <w:r w:rsidRPr="00EC20A0">
              <w:rPr>
                <w:spacing w:val="-5"/>
              </w:rPr>
              <w:t xml:space="preserve"> </w:t>
            </w:r>
            <w:r w:rsidRPr="00EC20A0">
              <w:t>the</w:t>
            </w:r>
            <w:r w:rsidRPr="00EC20A0">
              <w:rPr>
                <w:spacing w:val="-5"/>
              </w:rPr>
              <w:t xml:space="preserve"> </w:t>
            </w:r>
            <w:r w:rsidRPr="00EC20A0">
              <w:t xml:space="preserve">7th day or a longer acceptance period is specified in the contract). If the date of actual invoice receipt is not </w:t>
            </w:r>
            <w:r w:rsidRPr="00EC20A0">
              <w:t>indicated, then the entity must use the invoice date. See FAM 806.01, Interest Penalties for Late Payments.</w:t>
            </w:r>
          </w:p>
          <w:p w14:paraId="24D611BE" w14:textId="77777777" w:rsidR="00245300" w:rsidRPr="00EC20A0" w:rsidRDefault="00F17249">
            <w:pPr>
              <w:pStyle w:val="TableParagraph"/>
              <w:spacing w:before="144"/>
              <w:ind w:left="1282"/>
            </w:pPr>
            <w:r w:rsidRPr="00EC20A0">
              <w:t>If</w:t>
            </w:r>
            <w:r w:rsidRPr="00EC20A0">
              <w:rPr>
                <w:spacing w:val="-4"/>
              </w:rPr>
              <w:t xml:space="preserve"> </w:t>
            </w:r>
            <w:r w:rsidRPr="00EC20A0">
              <w:t>the</w:t>
            </w:r>
            <w:r w:rsidRPr="00EC20A0">
              <w:rPr>
                <w:spacing w:val="-4"/>
              </w:rPr>
              <w:t xml:space="preserve"> </w:t>
            </w:r>
            <w:r w:rsidRPr="00EC20A0">
              <w:t>payment</w:t>
            </w:r>
            <w:r w:rsidRPr="00EC20A0">
              <w:rPr>
                <w:spacing w:val="-4"/>
              </w:rPr>
              <w:t xml:space="preserve"> </w:t>
            </w:r>
            <w:r w:rsidRPr="00EC20A0">
              <w:t>was</w:t>
            </w:r>
            <w:r w:rsidRPr="00EC20A0">
              <w:rPr>
                <w:spacing w:val="-4"/>
              </w:rPr>
              <w:t xml:space="preserve"> </w:t>
            </w:r>
            <w:r w:rsidRPr="00EC20A0">
              <w:t>made</w:t>
            </w:r>
            <w:r w:rsidRPr="00EC20A0">
              <w:rPr>
                <w:spacing w:val="-4"/>
              </w:rPr>
              <w:t xml:space="preserve"> </w:t>
            </w:r>
            <w:r w:rsidRPr="00EC20A0">
              <w:t>on</w:t>
            </w:r>
            <w:r w:rsidRPr="00EC20A0">
              <w:rPr>
                <w:spacing w:val="-4"/>
              </w:rPr>
              <w:t xml:space="preserve"> </w:t>
            </w:r>
            <w:r w:rsidRPr="00EC20A0">
              <w:t>or</w:t>
            </w:r>
            <w:r w:rsidRPr="00EC20A0">
              <w:rPr>
                <w:spacing w:val="-4"/>
              </w:rPr>
              <w:t xml:space="preserve"> </w:t>
            </w:r>
            <w:r w:rsidRPr="00EC20A0">
              <w:t>prior</w:t>
            </w:r>
            <w:r w:rsidRPr="00EC20A0">
              <w:rPr>
                <w:spacing w:val="-5"/>
              </w:rPr>
              <w:t xml:space="preserve"> </w:t>
            </w:r>
            <w:r w:rsidRPr="00EC20A0">
              <w:t>to</w:t>
            </w:r>
            <w:r w:rsidRPr="00EC20A0">
              <w:rPr>
                <w:spacing w:val="-4"/>
              </w:rPr>
              <w:t xml:space="preserve"> </w:t>
            </w:r>
            <w:r w:rsidRPr="00EC20A0">
              <w:t>the</w:t>
            </w:r>
            <w:r w:rsidRPr="00EC20A0">
              <w:rPr>
                <w:spacing w:val="-4"/>
              </w:rPr>
              <w:t xml:space="preserve"> </w:t>
            </w:r>
            <w:r w:rsidRPr="00EC20A0">
              <w:t>payment</w:t>
            </w:r>
            <w:r w:rsidRPr="00EC20A0">
              <w:rPr>
                <w:spacing w:val="-4"/>
              </w:rPr>
              <w:t xml:space="preserve"> </w:t>
            </w:r>
            <w:r w:rsidRPr="00EC20A0">
              <w:t>due date, then perform step 3.</w:t>
            </w:r>
          </w:p>
          <w:p w14:paraId="24D611BF" w14:textId="77777777" w:rsidR="00245300" w:rsidRPr="00EC20A0" w:rsidRDefault="00F17249">
            <w:pPr>
              <w:pStyle w:val="TableParagraph"/>
              <w:spacing w:before="145"/>
              <w:ind w:left="1282" w:right="549"/>
            </w:pPr>
            <w:r w:rsidRPr="00EC20A0">
              <w:t>If</w:t>
            </w:r>
            <w:r w:rsidRPr="00EC20A0">
              <w:rPr>
                <w:spacing w:val="-5"/>
              </w:rPr>
              <w:t xml:space="preserve"> </w:t>
            </w:r>
            <w:r w:rsidRPr="00EC20A0">
              <w:t>the</w:t>
            </w:r>
            <w:r w:rsidRPr="00EC20A0">
              <w:rPr>
                <w:spacing w:val="-5"/>
              </w:rPr>
              <w:t xml:space="preserve"> </w:t>
            </w:r>
            <w:r w:rsidRPr="00EC20A0">
              <w:t>payment</w:t>
            </w:r>
            <w:r w:rsidRPr="00EC20A0">
              <w:rPr>
                <w:spacing w:val="-5"/>
              </w:rPr>
              <w:t xml:space="preserve"> </w:t>
            </w:r>
            <w:r w:rsidRPr="00EC20A0">
              <w:t>was</w:t>
            </w:r>
            <w:r w:rsidRPr="00EC20A0">
              <w:rPr>
                <w:spacing w:val="-5"/>
              </w:rPr>
              <w:t xml:space="preserve"> </w:t>
            </w:r>
            <w:r w:rsidRPr="00EC20A0">
              <w:t>made</w:t>
            </w:r>
            <w:r w:rsidRPr="00EC20A0">
              <w:rPr>
                <w:spacing w:val="-5"/>
              </w:rPr>
              <w:t xml:space="preserve"> </w:t>
            </w:r>
            <w:r w:rsidRPr="00EC20A0">
              <w:t>after</w:t>
            </w:r>
            <w:r w:rsidRPr="00EC20A0">
              <w:rPr>
                <w:spacing w:val="-5"/>
              </w:rPr>
              <w:t xml:space="preserve"> </w:t>
            </w:r>
            <w:r w:rsidRPr="00EC20A0">
              <w:t>the</w:t>
            </w:r>
            <w:r w:rsidRPr="00EC20A0">
              <w:rPr>
                <w:spacing w:val="-5"/>
              </w:rPr>
              <w:t xml:space="preserve"> </w:t>
            </w:r>
            <w:r w:rsidRPr="00EC20A0">
              <w:t>payment</w:t>
            </w:r>
            <w:r w:rsidRPr="00EC20A0">
              <w:rPr>
                <w:spacing w:val="-5"/>
              </w:rPr>
              <w:t xml:space="preserve"> </w:t>
            </w:r>
            <w:r w:rsidRPr="00EC20A0">
              <w:t>due</w:t>
            </w:r>
            <w:r w:rsidRPr="00EC20A0">
              <w:rPr>
                <w:spacing w:val="-5"/>
              </w:rPr>
              <w:t xml:space="preserve"> </w:t>
            </w:r>
            <w:r w:rsidRPr="00EC20A0">
              <w:t>date, then perform step 4.</w:t>
            </w:r>
          </w:p>
          <w:p w14:paraId="24D611C0" w14:textId="77777777" w:rsidR="00245300" w:rsidRPr="00EC20A0" w:rsidRDefault="00F17249">
            <w:pPr>
              <w:pStyle w:val="TableParagraph"/>
              <w:spacing w:before="144"/>
              <w:ind w:left="1282"/>
            </w:pPr>
            <w:r w:rsidRPr="00EC20A0">
              <w:t>If</w:t>
            </w:r>
            <w:r w:rsidRPr="00EC20A0">
              <w:rPr>
                <w:spacing w:val="-5"/>
              </w:rPr>
              <w:t xml:space="preserve"> </w:t>
            </w:r>
            <w:r w:rsidRPr="00EC20A0">
              <w:t>a</w:t>
            </w:r>
            <w:r w:rsidRPr="00EC20A0">
              <w:rPr>
                <w:spacing w:val="-5"/>
              </w:rPr>
              <w:t xml:space="preserve"> </w:t>
            </w:r>
            <w:r w:rsidRPr="00EC20A0">
              <w:t>discount</w:t>
            </w:r>
            <w:r w:rsidRPr="00EC20A0">
              <w:rPr>
                <w:spacing w:val="-6"/>
              </w:rPr>
              <w:t xml:space="preserve"> </w:t>
            </w:r>
            <w:r w:rsidRPr="00EC20A0">
              <w:t>was</w:t>
            </w:r>
            <w:r w:rsidRPr="00EC20A0">
              <w:rPr>
                <w:spacing w:val="-4"/>
              </w:rPr>
              <w:t xml:space="preserve"> </w:t>
            </w:r>
            <w:r w:rsidRPr="00EC20A0">
              <w:t>taken,</w:t>
            </w:r>
            <w:r w:rsidRPr="00EC20A0">
              <w:rPr>
                <w:spacing w:val="-6"/>
              </w:rPr>
              <w:t xml:space="preserve"> </w:t>
            </w:r>
            <w:r w:rsidRPr="00EC20A0">
              <w:t>then</w:t>
            </w:r>
            <w:r w:rsidRPr="00EC20A0">
              <w:rPr>
                <w:spacing w:val="-5"/>
              </w:rPr>
              <w:t xml:space="preserve"> </w:t>
            </w:r>
            <w:r w:rsidRPr="00EC20A0">
              <w:t>perform</w:t>
            </w:r>
            <w:r w:rsidRPr="00EC20A0">
              <w:rPr>
                <w:spacing w:val="-5"/>
              </w:rPr>
              <w:t xml:space="preserve"> </w:t>
            </w:r>
            <w:r w:rsidRPr="00EC20A0">
              <w:t>step</w:t>
            </w:r>
            <w:r w:rsidRPr="00EC20A0">
              <w:rPr>
                <w:spacing w:val="-5"/>
              </w:rPr>
              <w:t xml:space="preserve"> 5.</w:t>
            </w:r>
          </w:p>
        </w:tc>
        <w:tc>
          <w:tcPr>
            <w:tcW w:w="1152" w:type="dxa"/>
            <w:tcBorders>
              <w:top w:val="single" w:sz="6" w:space="0" w:color="000000"/>
              <w:left w:val="single" w:sz="6" w:space="0" w:color="000000"/>
              <w:bottom w:val="single" w:sz="6" w:space="0" w:color="000000"/>
              <w:right w:val="single" w:sz="6" w:space="0" w:color="000000"/>
            </w:tcBorders>
          </w:tcPr>
          <w:p w14:paraId="24D611C1" w14:textId="77777777" w:rsidR="00245300" w:rsidRPr="00EC20A0" w:rsidRDefault="00245300">
            <w:pPr>
              <w:pStyle w:val="TableParagraph"/>
              <w:rPr>
                <w:sz w:val="20"/>
              </w:rPr>
            </w:pPr>
          </w:p>
        </w:tc>
        <w:tc>
          <w:tcPr>
            <w:tcW w:w="1218" w:type="dxa"/>
            <w:tcBorders>
              <w:top w:val="single" w:sz="6" w:space="0" w:color="000000"/>
              <w:left w:val="single" w:sz="6" w:space="0" w:color="000000"/>
              <w:bottom w:val="single" w:sz="6" w:space="0" w:color="000000"/>
            </w:tcBorders>
          </w:tcPr>
          <w:p w14:paraId="24D611C2" w14:textId="77777777" w:rsidR="00245300" w:rsidRPr="00EC20A0" w:rsidRDefault="00245300">
            <w:pPr>
              <w:pStyle w:val="TableParagraph"/>
              <w:rPr>
                <w:sz w:val="20"/>
              </w:rPr>
            </w:pPr>
          </w:p>
        </w:tc>
      </w:tr>
    </w:tbl>
    <w:p w14:paraId="24D611C4" w14:textId="77777777" w:rsidR="00245300" w:rsidRPr="00EC20A0" w:rsidRDefault="00245300">
      <w:pPr>
        <w:rPr>
          <w:sz w:val="20"/>
        </w:rPr>
        <w:sectPr w:rsidR="00245300" w:rsidRPr="00EC20A0">
          <w:pgSz w:w="12240" w:h="15840"/>
          <w:pgMar w:top="1380" w:right="1240" w:bottom="940" w:left="1320" w:header="721" w:footer="742" w:gutter="0"/>
          <w:cols w:space="720"/>
        </w:sectPr>
      </w:pPr>
    </w:p>
    <w:p w14:paraId="24D611C5" w14:textId="77777777" w:rsidR="00245300" w:rsidRPr="00EC20A0" w:rsidRDefault="00245300">
      <w:pPr>
        <w:pStyle w:val="BodyText"/>
        <w:spacing w:before="4" w:after="1"/>
        <w:rPr>
          <w:sz w:val="8"/>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245300" w:rsidRPr="00EC20A0" w14:paraId="24D611C7" w14:textId="77777777">
        <w:trPr>
          <w:trHeight w:val="1335"/>
        </w:trPr>
        <w:tc>
          <w:tcPr>
            <w:tcW w:w="9450" w:type="dxa"/>
            <w:gridSpan w:val="3"/>
          </w:tcPr>
          <w:p w14:paraId="24D611C6" w14:textId="77777777" w:rsidR="00245300" w:rsidRPr="00EC20A0" w:rsidRDefault="00F17249">
            <w:pPr>
              <w:pStyle w:val="TableParagraph"/>
              <w:tabs>
                <w:tab w:val="left" w:pos="8943"/>
              </w:tabs>
              <w:spacing w:before="7" w:line="390" w:lineRule="atLeast"/>
              <w:ind w:left="129" w:right="459"/>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1CD" w14:textId="77777777">
        <w:trPr>
          <w:trHeight w:val="793"/>
        </w:trPr>
        <w:tc>
          <w:tcPr>
            <w:tcW w:w="7080" w:type="dxa"/>
            <w:tcBorders>
              <w:right w:val="single" w:sz="6" w:space="0" w:color="000000"/>
            </w:tcBorders>
          </w:tcPr>
          <w:p w14:paraId="24D611C8" w14:textId="77777777" w:rsidR="00245300" w:rsidRPr="00EC20A0" w:rsidRDefault="00245300">
            <w:pPr>
              <w:pStyle w:val="TableParagraph"/>
              <w:spacing w:before="144"/>
            </w:pPr>
          </w:p>
          <w:p w14:paraId="24D611C9"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1CA" w14:textId="77777777" w:rsidR="00245300" w:rsidRPr="00EC20A0" w:rsidRDefault="00F17249">
            <w:pPr>
              <w:pStyle w:val="TableParagraph"/>
              <w:spacing w:before="144"/>
              <w:ind w:left="144"/>
              <w:rPr>
                <w:b/>
              </w:rPr>
            </w:pPr>
            <w:r w:rsidRPr="00EC20A0">
              <w:rPr>
                <w:b/>
                <w:spacing w:val="-2"/>
              </w:rPr>
              <w:t xml:space="preserve">Initials/ </w:t>
            </w:r>
            <w:r w:rsidRPr="00EC20A0">
              <w:rPr>
                <w:b/>
                <w:spacing w:val="-4"/>
              </w:rPr>
              <w:t>date</w:t>
            </w:r>
          </w:p>
        </w:tc>
        <w:tc>
          <w:tcPr>
            <w:tcW w:w="1218" w:type="dxa"/>
            <w:tcBorders>
              <w:left w:val="single" w:sz="6" w:space="0" w:color="000000"/>
            </w:tcBorders>
          </w:tcPr>
          <w:p w14:paraId="24D611CB" w14:textId="77777777" w:rsidR="00245300" w:rsidRPr="00EC20A0" w:rsidRDefault="00245300">
            <w:pPr>
              <w:pStyle w:val="TableParagraph"/>
              <w:spacing w:before="144"/>
            </w:pPr>
          </w:p>
          <w:p w14:paraId="24D611CC"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11D2" w14:textId="77777777">
        <w:trPr>
          <w:trHeight w:val="2203"/>
        </w:trPr>
        <w:tc>
          <w:tcPr>
            <w:tcW w:w="7080" w:type="dxa"/>
            <w:tcBorders>
              <w:bottom w:val="single" w:sz="6" w:space="0" w:color="000000"/>
              <w:right w:val="single" w:sz="6" w:space="0" w:color="000000"/>
            </w:tcBorders>
          </w:tcPr>
          <w:p w14:paraId="24D611CE" w14:textId="77777777" w:rsidR="00245300" w:rsidRPr="00EC20A0" w:rsidRDefault="00F17249">
            <w:pPr>
              <w:pStyle w:val="TableParagraph"/>
              <w:tabs>
                <w:tab w:val="left" w:pos="705"/>
              </w:tabs>
              <w:spacing w:before="144"/>
              <w:ind w:left="705" w:right="326" w:hanging="577"/>
            </w:pPr>
            <w:r w:rsidRPr="00EC20A0">
              <w:rPr>
                <w:spacing w:val="-6"/>
              </w:rPr>
              <w:t>3)</w:t>
            </w:r>
            <w:r w:rsidRPr="00EC20A0">
              <w:tab/>
              <w:t>If</w:t>
            </w:r>
            <w:r w:rsidRPr="00EC20A0">
              <w:rPr>
                <w:spacing w:val="-4"/>
              </w:rPr>
              <w:t xml:space="preserve"> </w:t>
            </w:r>
            <w:r w:rsidRPr="00EC20A0">
              <w:t>the</w:t>
            </w:r>
            <w:r w:rsidRPr="00EC20A0">
              <w:rPr>
                <w:spacing w:val="-4"/>
              </w:rPr>
              <w:t xml:space="preserve"> </w:t>
            </w:r>
            <w:r w:rsidRPr="00EC20A0">
              <w:t>payment</w:t>
            </w:r>
            <w:r w:rsidRPr="00EC20A0">
              <w:rPr>
                <w:spacing w:val="-4"/>
              </w:rPr>
              <w:t xml:space="preserve"> </w:t>
            </w:r>
            <w:r w:rsidRPr="00EC20A0">
              <w:t>was</w:t>
            </w:r>
            <w:r w:rsidRPr="00EC20A0">
              <w:rPr>
                <w:spacing w:val="-4"/>
              </w:rPr>
              <w:t xml:space="preserve"> </w:t>
            </w:r>
            <w:r w:rsidRPr="00EC20A0">
              <w:t>made</w:t>
            </w:r>
            <w:r w:rsidRPr="00EC20A0">
              <w:rPr>
                <w:spacing w:val="-4"/>
              </w:rPr>
              <w:t xml:space="preserve"> </w:t>
            </w:r>
            <w:r w:rsidRPr="00EC20A0">
              <w:t>on</w:t>
            </w:r>
            <w:r w:rsidRPr="00EC20A0">
              <w:rPr>
                <w:spacing w:val="-4"/>
              </w:rPr>
              <w:t xml:space="preserve"> </w:t>
            </w:r>
            <w:r w:rsidRPr="00EC20A0">
              <w:t>or</w:t>
            </w:r>
            <w:r w:rsidRPr="00EC20A0">
              <w:rPr>
                <w:spacing w:val="-4"/>
              </w:rPr>
              <w:t xml:space="preserve"> </w:t>
            </w:r>
            <w:r w:rsidRPr="00EC20A0">
              <w:t>prior</w:t>
            </w:r>
            <w:r w:rsidRPr="00EC20A0">
              <w:rPr>
                <w:spacing w:val="-5"/>
              </w:rPr>
              <w:t xml:space="preserve"> </w:t>
            </w:r>
            <w:r w:rsidRPr="00EC20A0">
              <w:t>to</w:t>
            </w:r>
            <w:r w:rsidRPr="00EC20A0">
              <w:rPr>
                <w:spacing w:val="-4"/>
              </w:rPr>
              <w:t xml:space="preserve"> </w:t>
            </w:r>
            <w:r w:rsidRPr="00EC20A0">
              <w:t>the</w:t>
            </w:r>
            <w:r w:rsidRPr="00EC20A0">
              <w:rPr>
                <w:spacing w:val="-4"/>
              </w:rPr>
              <w:t xml:space="preserve"> </w:t>
            </w:r>
            <w:r w:rsidRPr="00EC20A0">
              <w:t>payment</w:t>
            </w:r>
            <w:r w:rsidRPr="00EC20A0">
              <w:rPr>
                <w:spacing w:val="-4"/>
              </w:rPr>
              <w:t xml:space="preserve"> </w:t>
            </w:r>
            <w:r w:rsidRPr="00EC20A0">
              <w:t>due</w:t>
            </w:r>
            <w:r w:rsidRPr="00EC20A0">
              <w:rPr>
                <w:spacing w:val="-4"/>
              </w:rPr>
              <w:t xml:space="preserve"> </w:t>
            </w:r>
            <w:r w:rsidRPr="00EC20A0">
              <w:t xml:space="preserve">date, and no discount was </w:t>
            </w:r>
            <w:r w:rsidRPr="00EC20A0">
              <w:t>taken, then determine that no interest penalty was paid.</w:t>
            </w:r>
          </w:p>
          <w:p w14:paraId="24D611CF" w14:textId="77777777" w:rsidR="00245300" w:rsidRPr="00EC20A0" w:rsidRDefault="00F17249">
            <w:pPr>
              <w:pStyle w:val="TableParagraph"/>
              <w:spacing w:before="145"/>
              <w:ind w:left="705" w:right="179"/>
            </w:pPr>
            <w:r w:rsidRPr="00EC20A0">
              <w:t>(Note: If the entity did not take advantage of a discount for which it was eligible or if an interest penalty was paid when it was</w:t>
            </w:r>
            <w:r w:rsidRPr="00EC20A0">
              <w:rPr>
                <w:spacing w:val="-5"/>
              </w:rPr>
              <w:t xml:space="preserve"> </w:t>
            </w:r>
            <w:r w:rsidRPr="00EC20A0">
              <w:t>not</w:t>
            </w:r>
            <w:r w:rsidRPr="00EC20A0">
              <w:rPr>
                <w:spacing w:val="-5"/>
              </w:rPr>
              <w:t xml:space="preserve"> </w:t>
            </w:r>
            <w:r w:rsidRPr="00EC20A0">
              <w:t>owed,</w:t>
            </w:r>
            <w:r w:rsidRPr="00EC20A0">
              <w:rPr>
                <w:spacing w:val="-5"/>
              </w:rPr>
              <w:t xml:space="preserve"> </w:t>
            </w:r>
            <w:r w:rsidRPr="00EC20A0">
              <w:t>then</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generally</w:t>
            </w:r>
            <w:r w:rsidRPr="00EC20A0">
              <w:rPr>
                <w:spacing w:val="-5"/>
              </w:rPr>
              <w:t xml:space="preserve"> </w:t>
            </w:r>
            <w:r w:rsidRPr="00EC20A0">
              <w:t>should</w:t>
            </w:r>
            <w:r w:rsidRPr="00EC20A0">
              <w:rPr>
                <w:spacing w:val="-5"/>
              </w:rPr>
              <w:t xml:space="preserve"> </w:t>
            </w:r>
            <w:r w:rsidRPr="00EC20A0">
              <w:t>determine</w:t>
            </w:r>
            <w:r w:rsidRPr="00EC20A0">
              <w:rPr>
                <w:spacing w:val="-5"/>
              </w:rPr>
              <w:t xml:space="preserve"> </w:t>
            </w:r>
            <w:r w:rsidRPr="00EC20A0">
              <w:t xml:space="preserve">the cause of </w:t>
            </w:r>
            <w:r w:rsidRPr="00EC20A0">
              <w:t>these items for purposes of reporting findings.)</w:t>
            </w:r>
          </w:p>
        </w:tc>
        <w:tc>
          <w:tcPr>
            <w:tcW w:w="1152" w:type="dxa"/>
            <w:tcBorders>
              <w:left w:val="single" w:sz="6" w:space="0" w:color="000000"/>
              <w:bottom w:val="single" w:sz="6" w:space="0" w:color="000000"/>
              <w:right w:val="single" w:sz="6" w:space="0" w:color="000000"/>
            </w:tcBorders>
          </w:tcPr>
          <w:p w14:paraId="24D611D0" w14:textId="77777777" w:rsidR="00245300" w:rsidRPr="00EC20A0" w:rsidRDefault="00245300">
            <w:pPr>
              <w:pStyle w:val="TableParagraph"/>
              <w:rPr>
                <w:sz w:val="20"/>
              </w:rPr>
            </w:pPr>
          </w:p>
        </w:tc>
        <w:tc>
          <w:tcPr>
            <w:tcW w:w="1218" w:type="dxa"/>
            <w:tcBorders>
              <w:left w:val="single" w:sz="6" w:space="0" w:color="000000"/>
              <w:bottom w:val="single" w:sz="6" w:space="0" w:color="000000"/>
            </w:tcBorders>
          </w:tcPr>
          <w:p w14:paraId="24D611D1" w14:textId="77777777" w:rsidR="00245300" w:rsidRPr="00EC20A0" w:rsidRDefault="00245300">
            <w:pPr>
              <w:pStyle w:val="TableParagraph"/>
              <w:rPr>
                <w:sz w:val="20"/>
              </w:rPr>
            </w:pPr>
          </w:p>
        </w:tc>
      </w:tr>
      <w:tr w:rsidR="00245300" w:rsidRPr="00EC20A0" w14:paraId="24D611DB" w14:textId="77777777">
        <w:trPr>
          <w:trHeight w:val="6574"/>
        </w:trPr>
        <w:tc>
          <w:tcPr>
            <w:tcW w:w="7080" w:type="dxa"/>
            <w:tcBorders>
              <w:top w:val="single" w:sz="6" w:space="0" w:color="000000"/>
              <w:bottom w:val="single" w:sz="6" w:space="0" w:color="000000"/>
              <w:right w:val="single" w:sz="6" w:space="0" w:color="000000"/>
            </w:tcBorders>
          </w:tcPr>
          <w:p w14:paraId="24D611D3" w14:textId="77777777" w:rsidR="00245300" w:rsidRPr="00EC20A0" w:rsidRDefault="00F17249">
            <w:pPr>
              <w:pStyle w:val="TableParagraph"/>
              <w:numPr>
                <w:ilvl w:val="0"/>
                <w:numId w:val="142"/>
              </w:numPr>
              <w:tabs>
                <w:tab w:val="left" w:pos="705"/>
              </w:tabs>
              <w:spacing w:before="145"/>
              <w:ind w:right="643"/>
            </w:pPr>
            <w:r w:rsidRPr="00EC20A0">
              <w:t>If</w:t>
            </w:r>
            <w:r w:rsidRPr="00EC20A0">
              <w:rPr>
                <w:spacing w:val="-4"/>
              </w:rPr>
              <w:t xml:space="preserve"> </w:t>
            </w:r>
            <w:r w:rsidRPr="00EC20A0">
              <w:t>the</w:t>
            </w:r>
            <w:r w:rsidRPr="00EC20A0">
              <w:rPr>
                <w:spacing w:val="-4"/>
              </w:rPr>
              <w:t xml:space="preserve"> </w:t>
            </w:r>
            <w:r w:rsidRPr="00EC20A0">
              <w:t>payment</w:t>
            </w:r>
            <w:r w:rsidRPr="00EC20A0">
              <w:rPr>
                <w:spacing w:val="-4"/>
              </w:rPr>
              <w:t xml:space="preserve"> </w:t>
            </w:r>
            <w:r w:rsidRPr="00EC20A0">
              <w:t>was</w:t>
            </w:r>
            <w:r w:rsidRPr="00EC20A0">
              <w:rPr>
                <w:spacing w:val="-4"/>
              </w:rPr>
              <w:t xml:space="preserve"> </w:t>
            </w:r>
            <w:r w:rsidRPr="00EC20A0">
              <w:t>made</w:t>
            </w:r>
            <w:r w:rsidRPr="00EC20A0">
              <w:rPr>
                <w:spacing w:val="-4"/>
              </w:rPr>
              <w:t xml:space="preserve"> </w:t>
            </w:r>
            <w:r w:rsidRPr="00EC20A0">
              <w:t>after</w:t>
            </w:r>
            <w:r w:rsidRPr="00EC20A0">
              <w:rPr>
                <w:spacing w:val="-4"/>
              </w:rPr>
              <w:t xml:space="preserve"> </w:t>
            </w:r>
            <w:r w:rsidRPr="00EC20A0">
              <w:t>the</w:t>
            </w:r>
            <w:r w:rsidRPr="00EC20A0">
              <w:rPr>
                <w:spacing w:val="-4"/>
              </w:rPr>
              <w:t xml:space="preserve"> </w:t>
            </w:r>
            <w:r w:rsidRPr="00EC20A0">
              <w:t>payment</w:t>
            </w:r>
            <w:r w:rsidRPr="00EC20A0">
              <w:rPr>
                <w:spacing w:val="-4"/>
              </w:rPr>
              <w:t xml:space="preserve"> </w:t>
            </w:r>
            <w:r w:rsidRPr="00EC20A0">
              <w:t>due</w:t>
            </w:r>
            <w:r w:rsidRPr="00EC20A0">
              <w:rPr>
                <w:spacing w:val="-4"/>
              </w:rPr>
              <w:t xml:space="preserve"> </w:t>
            </w:r>
            <w:r w:rsidRPr="00EC20A0">
              <w:t>date,</w:t>
            </w:r>
            <w:r w:rsidRPr="00EC20A0">
              <w:rPr>
                <w:spacing w:val="-4"/>
              </w:rPr>
              <w:t xml:space="preserve"> </w:t>
            </w:r>
            <w:r w:rsidRPr="00EC20A0">
              <w:t>then determine whether</w:t>
            </w:r>
          </w:p>
          <w:p w14:paraId="24D611D4" w14:textId="77777777" w:rsidR="00245300" w:rsidRPr="00EC20A0" w:rsidRDefault="00F17249">
            <w:pPr>
              <w:pStyle w:val="TableParagraph"/>
              <w:numPr>
                <w:ilvl w:val="1"/>
                <w:numId w:val="142"/>
              </w:numPr>
              <w:tabs>
                <w:tab w:val="left" w:pos="1281"/>
              </w:tabs>
              <w:spacing w:before="143"/>
              <w:ind w:hanging="576"/>
            </w:pPr>
            <w:r w:rsidRPr="00EC20A0">
              <w:t>an</w:t>
            </w:r>
            <w:r w:rsidRPr="00EC20A0">
              <w:rPr>
                <w:spacing w:val="-6"/>
              </w:rPr>
              <w:t xml:space="preserve"> </w:t>
            </w:r>
            <w:r w:rsidRPr="00EC20A0">
              <w:t>interest</w:t>
            </w:r>
            <w:r w:rsidRPr="00EC20A0">
              <w:rPr>
                <w:spacing w:val="-6"/>
              </w:rPr>
              <w:t xml:space="preserve"> </w:t>
            </w:r>
            <w:r w:rsidRPr="00EC20A0">
              <w:t>penalty</w:t>
            </w:r>
            <w:r w:rsidRPr="00EC20A0">
              <w:rPr>
                <w:spacing w:val="-5"/>
              </w:rPr>
              <w:t xml:space="preserve"> </w:t>
            </w:r>
            <w:r w:rsidRPr="00EC20A0">
              <w:t>was</w:t>
            </w:r>
            <w:r w:rsidRPr="00EC20A0">
              <w:rPr>
                <w:spacing w:val="-6"/>
              </w:rPr>
              <w:t xml:space="preserve"> </w:t>
            </w:r>
            <w:r w:rsidRPr="00EC20A0">
              <w:rPr>
                <w:spacing w:val="-2"/>
              </w:rPr>
              <w:t>paid,</w:t>
            </w:r>
          </w:p>
          <w:p w14:paraId="24D611D5" w14:textId="77777777" w:rsidR="00245300" w:rsidRPr="00EC20A0" w:rsidRDefault="00F17249">
            <w:pPr>
              <w:pStyle w:val="TableParagraph"/>
              <w:numPr>
                <w:ilvl w:val="1"/>
                <w:numId w:val="142"/>
              </w:numPr>
              <w:tabs>
                <w:tab w:val="left" w:pos="1281"/>
              </w:tabs>
              <w:spacing w:before="144"/>
              <w:ind w:right="1192" w:hanging="576"/>
            </w:pPr>
            <w:r w:rsidRPr="00EC20A0">
              <w:t>the</w:t>
            </w:r>
            <w:r w:rsidRPr="00EC20A0">
              <w:rPr>
                <w:spacing w:val="-6"/>
              </w:rPr>
              <w:t xml:space="preserve"> </w:t>
            </w:r>
            <w:r w:rsidRPr="00EC20A0">
              <w:t>amount</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interest</w:t>
            </w:r>
            <w:r w:rsidRPr="00EC20A0">
              <w:rPr>
                <w:spacing w:val="-6"/>
              </w:rPr>
              <w:t xml:space="preserve"> </w:t>
            </w:r>
            <w:r w:rsidRPr="00EC20A0">
              <w:t>penalty</w:t>
            </w:r>
            <w:r w:rsidRPr="00EC20A0">
              <w:rPr>
                <w:spacing w:val="-6"/>
              </w:rPr>
              <w:t xml:space="preserve"> </w:t>
            </w:r>
            <w:r w:rsidRPr="00EC20A0">
              <w:t>was</w:t>
            </w:r>
            <w:r w:rsidRPr="00EC20A0">
              <w:rPr>
                <w:spacing w:val="-6"/>
              </w:rPr>
              <w:t xml:space="preserve"> </w:t>
            </w:r>
            <w:r w:rsidRPr="00EC20A0">
              <w:t>properly calculated, and</w:t>
            </w:r>
          </w:p>
          <w:p w14:paraId="24D611D6" w14:textId="77777777" w:rsidR="00245300" w:rsidRPr="00EC20A0" w:rsidRDefault="00F17249">
            <w:pPr>
              <w:pStyle w:val="TableParagraph"/>
              <w:numPr>
                <w:ilvl w:val="1"/>
                <w:numId w:val="142"/>
              </w:numPr>
              <w:tabs>
                <w:tab w:val="left" w:pos="1281"/>
              </w:tabs>
              <w:spacing w:before="145"/>
              <w:ind w:right="337"/>
            </w:pPr>
            <w:r w:rsidRPr="00EC20A0">
              <w:t xml:space="preserve">the interest penalty was paid </w:t>
            </w:r>
            <w:r w:rsidRPr="00EC20A0">
              <w:t>out of the appropriation account</w:t>
            </w:r>
            <w:r w:rsidRPr="00EC20A0">
              <w:rPr>
                <w:spacing w:val="-5"/>
              </w:rPr>
              <w:t xml:space="preserve"> </w:t>
            </w:r>
            <w:r w:rsidRPr="00EC20A0">
              <w:t>used</w:t>
            </w:r>
            <w:r w:rsidRPr="00EC20A0">
              <w:rPr>
                <w:spacing w:val="-5"/>
              </w:rPr>
              <w:t xml:space="preserve"> </w:t>
            </w:r>
            <w:r w:rsidRPr="00EC20A0">
              <w:t>to</w:t>
            </w:r>
            <w:r w:rsidRPr="00EC20A0">
              <w:rPr>
                <w:spacing w:val="-5"/>
              </w:rPr>
              <w:t xml:space="preserve"> </w:t>
            </w:r>
            <w:r w:rsidRPr="00EC20A0">
              <w:t>pay</w:t>
            </w:r>
            <w:r w:rsidRPr="00EC20A0">
              <w:rPr>
                <w:spacing w:val="-5"/>
              </w:rPr>
              <w:t xml:space="preserve"> </w:t>
            </w:r>
            <w:r w:rsidRPr="00EC20A0">
              <w:t>the</w:t>
            </w:r>
            <w:r w:rsidRPr="00EC20A0">
              <w:rPr>
                <w:spacing w:val="-6"/>
              </w:rPr>
              <w:t xml:space="preserve"> </w:t>
            </w:r>
            <w:r w:rsidRPr="00EC20A0">
              <w:t>related</w:t>
            </w:r>
            <w:r w:rsidRPr="00EC20A0">
              <w:rPr>
                <w:spacing w:val="-5"/>
              </w:rPr>
              <w:t xml:space="preserve"> </w:t>
            </w:r>
            <w:r w:rsidRPr="00EC20A0">
              <w:t>expenditures.</w:t>
            </w:r>
            <w:r w:rsidRPr="00EC20A0">
              <w:rPr>
                <w:spacing w:val="-5"/>
              </w:rPr>
              <w:t xml:space="preserve"> </w:t>
            </w:r>
            <w:r w:rsidRPr="00EC20A0">
              <w:t>See</w:t>
            </w:r>
            <w:r w:rsidRPr="00EC20A0">
              <w:rPr>
                <w:spacing w:val="-5"/>
              </w:rPr>
              <w:t xml:space="preserve"> </w:t>
            </w:r>
            <w:r w:rsidRPr="00EC20A0">
              <w:t>FAM 806.01, Interest Penalties for Late Payments.</w:t>
            </w:r>
          </w:p>
          <w:p w14:paraId="24D611D7" w14:textId="77777777" w:rsidR="00245300" w:rsidRPr="00EC20A0" w:rsidRDefault="00F17249">
            <w:pPr>
              <w:pStyle w:val="TableParagraph"/>
              <w:spacing w:before="143"/>
              <w:ind w:left="705" w:right="179"/>
            </w:pPr>
            <w:r w:rsidRPr="00EC20A0">
              <w:t xml:space="preserve">Review the accounting codes indicated on the expense voucher. Determine whether the accounting codes used to record the </w:t>
            </w:r>
            <w:r w:rsidRPr="00EC20A0">
              <w:t>interest penalty are the same as those used for the related</w:t>
            </w:r>
            <w:r w:rsidRPr="00EC20A0">
              <w:rPr>
                <w:spacing w:val="-2"/>
              </w:rPr>
              <w:t xml:space="preserve"> </w:t>
            </w:r>
            <w:r w:rsidRPr="00EC20A0">
              <w:t>expenditure</w:t>
            </w:r>
            <w:r w:rsidRPr="00EC20A0">
              <w:rPr>
                <w:spacing w:val="-2"/>
              </w:rPr>
              <w:t xml:space="preserve"> </w:t>
            </w:r>
            <w:r w:rsidRPr="00EC20A0">
              <w:t>and</w:t>
            </w:r>
            <w:r w:rsidRPr="00EC20A0">
              <w:rPr>
                <w:spacing w:val="-3"/>
              </w:rPr>
              <w:t xml:space="preserve"> </w:t>
            </w:r>
            <w:r w:rsidRPr="00EC20A0">
              <w:t>whether</w:t>
            </w:r>
            <w:r w:rsidRPr="00EC20A0">
              <w:rPr>
                <w:spacing w:val="-2"/>
              </w:rPr>
              <w:t xml:space="preserve"> </w:t>
            </w:r>
            <w:r w:rsidRPr="00EC20A0">
              <w:t>the</w:t>
            </w:r>
            <w:r w:rsidRPr="00EC20A0">
              <w:rPr>
                <w:spacing w:val="-2"/>
              </w:rPr>
              <w:t xml:space="preserve"> </w:t>
            </w:r>
            <w:r w:rsidRPr="00EC20A0">
              <w:t>codes</w:t>
            </w:r>
            <w:r w:rsidRPr="00EC20A0">
              <w:rPr>
                <w:spacing w:val="-2"/>
              </w:rPr>
              <w:t xml:space="preserve"> </w:t>
            </w:r>
            <w:r w:rsidRPr="00EC20A0">
              <w:t>and</w:t>
            </w:r>
            <w:r w:rsidRPr="00EC20A0">
              <w:rPr>
                <w:spacing w:val="-1"/>
              </w:rPr>
              <w:t xml:space="preserve"> </w:t>
            </w:r>
            <w:r w:rsidRPr="00EC20A0">
              <w:t>amounts</w:t>
            </w:r>
            <w:r w:rsidRPr="00EC20A0">
              <w:rPr>
                <w:spacing w:val="-2"/>
              </w:rPr>
              <w:t xml:space="preserve"> </w:t>
            </w:r>
            <w:r w:rsidRPr="00EC20A0">
              <w:t>agree with those recorded in the budgetary accounting records. (See step 6 regarding proper summarization of amounts.) See FAM 806.01,</w:t>
            </w:r>
            <w:r w:rsidRPr="00EC20A0">
              <w:rPr>
                <w:spacing w:val="-5"/>
              </w:rPr>
              <w:t xml:space="preserve"> </w:t>
            </w:r>
            <w:r w:rsidRPr="00EC20A0">
              <w:t>Interest</w:t>
            </w:r>
            <w:r w:rsidRPr="00EC20A0">
              <w:rPr>
                <w:spacing w:val="-5"/>
              </w:rPr>
              <w:t xml:space="preserve"> </w:t>
            </w:r>
            <w:r w:rsidRPr="00EC20A0">
              <w:t>Penalties</w:t>
            </w:r>
            <w:r w:rsidRPr="00EC20A0">
              <w:rPr>
                <w:spacing w:val="-5"/>
              </w:rPr>
              <w:t xml:space="preserve"> </w:t>
            </w:r>
            <w:r w:rsidRPr="00EC20A0">
              <w:t>for</w:t>
            </w:r>
            <w:r w:rsidRPr="00EC20A0">
              <w:rPr>
                <w:spacing w:val="-5"/>
              </w:rPr>
              <w:t xml:space="preserve"> </w:t>
            </w:r>
            <w:r w:rsidRPr="00EC20A0">
              <w:t>Late</w:t>
            </w:r>
            <w:r w:rsidRPr="00EC20A0">
              <w:rPr>
                <w:spacing w:val="-5"/>
              </w:rPr>
              <w:t xml:space="preserve"> </w:t>
            </w:r>
            <w:r w:rsidRPr="00EC20A0">
              <w:t>Payments;</w:t>
            </w:r>
            <w:r w:rsidRPr="00EC20A0">
              <w:rPr>
                <w:spacing w:val="-5"/>
              </w:rPr>
              <w:t xml:space="preserve"> </w:t>
            </w:r>
            <w:r w:rsidRPr="00EC20A0">
              <w:t>and</w:t>
            </w:r>
            <w:r w:rsidRPr="00EC20A0">
              <w:rPr>
                <w:spacing w:val="-5"/>
              </w:rPr>
              <w:t xml:space="preserve"> </w:t>
            </w:r>
            <w:r w:rsidRPr="00EC20A0">
              <w:t>FAM</w:t>
            </w:r>
            <w:r w:rsidRPr="00EC20A0">
              <w:rPr>
                <w:spacing w:val="-6"/>
              </w:rPr>
              <w:t xml:space="preserve"> </w:t>
            </w:r>
            <w:r w:rsidRPr="00EC20A0">
              <w:t>806.02, Funding Source for Late Payment Interest Penalties.</w:t>
            </w:r>
          </w:p>
          <w:p w14:paraId="24D611D8" w14:textId="77777777" w:rsidR="00245300" w:rsidRPr="00EC20A0" w:rsidRDefault="00F17249">
            <w:pPr>
              <w:pStyle w:val="TableParagraph"/>
              <w:spacing w:before="145"/>
              <w:ind w:left="705" w:right="179"/>
            </w:pPr>
            <w:r w:rsidRPr="00EC20A0">
              <w:t>Investigate any differences between the amount of interest penalty calculated by the auditor and the amount paid by the entity, including any instances when an interest penalty was owed</w:t>
            </w:r>
            <w:r w:rsidRPr="00EC20A0">
              <w:rPr>
                <w:spacing w:val="-5"/>
              </w:rPr>
              <w:t xml:space="preserve"> </w:t>
            </w:r>
            <w:r w:rsidRPr="00EC20A0">
              <w:t>but</w:t>
            </w:r>
            <w:r w:rsidRPr="00EC20A0">
              <w:rPr>
                <w:spacing w:val="-5"/>
              </w:rPr>
              <w:t xml:space="preserve"> </w:t>
            </w:r>
            <w:r w:rsidRPr="00EC20A0">
              <w:t>not</w:t>
            </w:r>
            <w:r w:rsidRPr="00EC20A0">
              <w:rPr>
                <w:spacing w:val="-5"/>
              </w:rPr>
              <w:t xml:space="preserve"> </w:t>
            </w:r>
            <w:r w:rsidRPr="00EC20A0">
              <w:t>paid.</w:t>
            </w:r>
            <w:r w:rsidRPr="00EC20A0">
              <w:rPr>
                <w:spacing w:val="-5"/>
              </w:rPr>
              <w:t xml:space="preserve"> </w:t>
            </w:r>
            <w:r w:rsidRPr="00EC20A0">
              <w:t>Investigate</w:t>
            </w:r>
            <w:r w:rsidRPr="00EC20A0">
              <w:rPr>
                <w:spacing w:val="-5"/>
              </w:rPr>
              <w:t xml:space="preserve"> </w:t>
            </w:r>
            <w:r w:rsidRPr="00EC20A0">
              <w:t>any</w:t>
            </w:r>
            <w:r w:rsidRPr="00EC20A0">
              <w:rPr>
                <w:spacing w:val="-5"/>
              </w:rPr>
              <w:t xml:space="preserve"> </w:t>
            </w:r>
            <w:r w:rsidRPr="00EC20A0">
              <w:t>instances</w:t>
            </w:r>
            <w:r w:rsidRPr="00EC20A0">
              <w:rPr>
                <w:spacing w:val="-5"/>
              </w:rPr>
              <w:t xml:space="preserve"> </w:t>
            </w:r>
            <w:r w:rsidRPr="00EC20A0">
              <w:t>when</w:t>
            </w:r>
            <w:r w:rsidRPr="00EC20A0">
              <w:rPr>
                <w:spacing w:val="-5"/>
              </w:rPr>
              <w:t xml:space="preserve"> </w:t>
            </w:r>
            <w:r w:rsidRPr="00EC20A0">
              <w:t>the</w:t>
            </w:r>
            <w:r w:rsidRPr="00EC20A0">
              <w:rPr>
                <w:spacing w:val="-5"/>
              </w:rPr>
              <w:t xml:space="preserve"> </w:t>
            </w:r>
            <w:r w:rsidRPr="00EC20A0">
              <w:t>proper appropriation account was not charged. See FAM 806.01, Interest Penalties for Late Payments.</w:t>
            </w:r>
          </w:p>
        </w:tc>
        <w:tc>
          <w:tcPr>
            <w:tcW w:w="1152" w:type="dxa"/>
            <w:tcBorders>
              <w:top w:val="single" w:sz="6" w:space="0" w:color="000000"/>
              <w:left w:val="single" w:sz="6" w:space="0" w:color="000000"/>
              <w:bottom w:val="single" w:sz="6" w:space="0" w:color="000000"/>
              <w:right w:val="single" w:sz="6" w:space="0" w:color="000000"/>
            </w:tcBorders>
          </w:tcPr>
          <w:p w14:paraId="24D611D9" w14:textId="77777777" w:rsidR="00245300" w:rsidRPr="00EC20A0" w:rsidRDefault="00245300">
            <w:pPr>
              <w:pStyle w:val="TableParagraph"/>
              <w:rPr>
                <w:sz w:val="20"/>
              </w:rPr>
            </w:pPr>
          </w:p>
        </w:tc>
        <w:tc>
          <w:tcPr>
            <w:tcW w:w="1218" w:type="dxa"/>
            <w:tcBorders>
              <w:top w:val="single" w:sz="6" w:space="0" w:color="000000"/>
              <w:left w:val="single" w:sz="6" w:space="0" w:color="000000"/>
              <w:bottom w:val="single" w:sz="6" w:space="0" w:color="000000"/>
            </w:tcBorders>
          </w:tcPr>
          <w:p w14:paraId="24D611DA" w14:textId="77777777" w:rsidR="00245300" w:rsidRPr="00EC20A0" w:rsidRDefault="00245300">
            <w:pPr>
              <w:pStyle w:val="TableParagraph"/>
              <w:rPr>
                <w:sz w:val="20"/>
              </w:rPr>
            </w:pPr>
          </w:p>
        </w:tc>
      </w:tr>
    </w:tbl>
    <w:p w14:paraId="24D611DC" w14:textId="77777777" w:rsidR="00245300" w:rsidRPr="00EC20A0" w:rsidRDefault="00245300">
      <w:pPr>
        <w:rPr>
          <w:sz w:val="20"/>
        </w:rPr>
        <w:sectPr w:rsidR="00245300" w:rsidRPr="00EC20A0">
          <w:pgSz w:w="12240" w:h="15840"/>
          <w:pgMar w:top="1380" w:right="1240" w:bottom="940" w:left="1320" w:header="721" w:footer="742" w:gutter="0"/>
          <w:cols w:space="720"/>
        </w:sectPr>
      </w:pPr>
    </w:p>
    <w:p w14:paraId="24D611DD" w14:textId="77777777" w:rsidR="00245300" w:rsidRPr="00EC20A0" w:rsidRDefault="00245300">
      <w:pPr>
        <w:pStyle w:val="BodyText"/>
        <w:spacing w:before="4" w:after="1"/>
        <w:rPr>
          <w:sz w:val="8"/>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245300" w:rsidRPr="00EC20A0" w14:paraId="24D611DF" w14:textId="77777777">
        <w:trPr>
          <w:trHeight w:val="1335"/>
        </w:trPr>
        <w:tc>
          <w:tcPr>
            <w:tcW w:w="9450" w:type="dxa"/>
            <w:gridSpan w:val="3"/>
          </w:tcPr>
          <w:p w14:paraId="24D611DE" w14:textId="77777777" w:rsidR="00245300" w:rsidRPr="00EC20A0" w:rsidRDefault="00F17249">
            <w:pPr>
              <w:pStyle w:val="TableParagraph"/>
              <w:tabs>
                <w:tab w:val="left" w:pos="8943"/>
              </w:tabs>
              <w:spacing w:before="7" w:line="390" w:lineRule="atLeast"/>
              <w:ind w:left="129" w:right="459"/>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1E5" w14:textId="77777777">
        <w:trPr>
          <w:trHeight w:val="793"/>
        </w:trPr>
        <w:tc>
          <w:tcPr>
            <w:tcW w:w="7080" w:type="dxa"/>
            <w:tcBorders>
              <w:right w:val="single" w:sz="6" w:space="0" w:color="000000"/>
            </w:tcBorders>
          </w:tcPr>
          <w:p w14:paraId="24D611E0" w14:textId="77777777" w:rsidR="00245300" w:rsidRPr="00EC20A0" w:rsidRDefault="00245300">
            <w:pPr>
              <w:pStyle w:val="TableParagraph"/>
              <w:spacing w:before="144"/>
            </w:pPr>
          </w:p>
          <w:p w14:paraId="24D611E1"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1E2" w14:textId="77777777" w:rsidR="00245300" w:rsidRPr="00EC20A0" w:rsidRDefault="00F17249">
            <w:pPr>
              <w:pStyle w:val="TableParagraph"/>
              <w:spacing w:before="144"/>
              <w:ind w:left="144"/>
              <w:rPr>
                <w:b/>
              </w:rPr>
            </w:pPr>
            <w:r w:rsidRPr="00EC20A0">
              <w:rPr>
                <w:b/>
                <w:spacing w:val="-2"/>
              </w:rPr>
              <w:t xml:space="preserve">Initials/ </w:t>
            </w:r>
            <w:r w:rsidRPr="00EC20A0">
              <w:rPr>
                <w:b/>
                <w:spacing w:val="-4"/>
              </w:rPr>
              <w:t>date</w:t>
            </w:r>
          </w:p>
        </w:tc>
        <w:tc>
          <w:tcPr>
            <w:tcW w:w="1218" w:type="dxa"/>
            <w:tcBorders>
              <w:left w:val="single" w:sz="6" w:space="0" w:color="000000"/>
            </w:tcBorders>
          </w:tcPr>
          <w:p w14:paraId="24D611E3" w14:textId="77777777" w:rsidR="00245300" w:rsidRPr="00EC20A0" w:rsidRDefault="00245300">
            <w:pPr>
              <w:pStyle w:val="TableParagraph"/>
              <w:spacing w:before="144"/>
            </w:pPr>
          </w:p>
          <w:p w14:paraId="24D611E4"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11F1" w14:textId="77777777">
        <w:trPr>
          <w:trHeight w:val="8634"/>
        </w:trPr>
        <w:tc>
          <w:tcPr>
            <w:tcW w:w="7080" w:type="dxa"/>
            <w:tcBorders>
              <w:bottom w:val="single" w:sz="6" w:space="0" w:color="000000"/>
              <w:right w:val="single" w:sz="6" w:space="0" w:color="000000"/>
            </w:tcBorders>
          </w:tcPr>
          <w:p w14:paraId="24D611E6" w14:textId="77777777" w:rsidR="00245300" w:rsidRPr="00EC20A0" w:rsidRDefault="00F17249">
            <w:pPr>
              <w:pStyle w:val="TableParagraph"/>
              <w:numPr>
                <w:ilvl w:val="0"/>
                <w:numId w:val="141"/>
              </w:numPr>
              <w:tabs>
                <w:tab w:val="left" w:pos="705"/>
              </w:tabs>
              <w:spacing w:before="144"/>
              <w:ind w:right="227" w:hanging="576"/>
            </w:pPr>
            <w:r w:rsidRPr="00EC20A0">
              <w:t>If a discount was taken, then determine whether it was taken during the specified period during which the discount was available.</w:t>
            </w:r>
            <w:r w:rsidRPr="00EC20A0">
              <w:rPr>
                <w:spacing w:val="-5"/>
              </w:rPr>
              <w:t xml:space="preserve"> </w:t>
            </w:r>
            <w:r w:rsidRPr="00EC20A0">
              <w:t>If</w:t>
            </w:r>
            <w:r w:rsidRPr="00EC20A0">
              <w:rPr>
                <w:spacing w:val="-5"/>
              </w:rPr>
              <w:t xml:space="preserve"> </w:t>
            </w:r>
            <w:r w:rsidRPr="00EC20A0">
              <w:t>the</w:t>
            </w:r>
            <w:r w:rsidRPr="00EC20A0">
              <w:rPr>
                <w:spacing w:val="-4"/>
              </w:rPr>
              <w:t xml:space="preserve"> </w:t>
            </w:r>
            <w:r w:rsidRPr="00EC20A0">
              <w:t>discount</w:t>
            </w:r>
            <w:r w:rsidRPr="00EC20A0">
              <w:rPr>
                <w:spacing w:val="-5"/>
              </w:rPr>
              <w:t xml:space="preserve"> </w:t>
            </w:r>
            <w:r w:rsidRPr="00EC20A0">
              <w:t>was</w:t>
            </w:r>
            <w:r w:rsidRPr="00EC20A0">
              <w:rPr>
                <w:spacing w:val="-4"/>
              </w:rPr>
              <w:t xml:space="preserve"> </w:t>
            </w:r>
            <w:r w:rsidRPr="00EC20A0">
              <w:t>taken</w:t>
            </w:r>
            <w:r w:rsidRPr="00EC20A0">
              <w:rPr>
                <w:spacing w:val="-5"/>
              </w:rPr>
              <w:t xml:space="preserve"> </w:t>
            </w:r>
            <w:r w:rsidRPr="00EC20A0">
              <w:t>during</w:t>
            </w:r>
            <w:r w:rsidRPr="00EC20A0">
              <w:rPr>
                <w:spacing w:val="-4"/>
              </w:rPr>
              <w:t xml:space="preserve"> </w:t>
            </w:r>
            <w:r w:rsidRPr="00EC20A0">
              <w:t>the</w:t>
            </w:r>
            <w:r w:rsidRPr="00EC20A0">
              <w:rPr>
                <w:spacing w:val="-4"/>
              </w:rPr>
              <w:t xml:space="preserve"> </w:t>
            </w:r>
            <w:r w:rsidRPr="00EC20A0">
              <w:t>specified</w:t>
            </w:r>
            <w:r w:rsidRPr="00EC20A0">
              <w:rPr>
                <w:spacing w:val="-4"/>
              </w:rPr>
              <w:t xml:space="preserve"> </w:t>
            </w:r>
            <w:r w:rsidRPr="00EC20A0">
              <w:t xml:space="preserve">period, then </w:t>
            </w:r>
            <w:r w:rsidRPr="00EC20A0">
              <w:t>further consideration is not necessary.</w:t>
            </w:r>
          </w:p>
          <w:p w14:paraId="24D611E7" w14:textId="77777777" w:rsidR="00245300" w:rsidRPr="00EC20A0" w:rsidRDefault="00F17249">
            <w:pPr>
              <w:pStyle w:val="TableParagraph"/>
              <w:spacing w:before="145"/>
              <w:ind w:left="704" w:hanging="1"/>
            </w:pPr>
            <w:r w:rsidRPr="00EC20A0">
              <w:t>If</w:t>
            </w:r>
            <w:r w:rsidRPr="00EC20A0">
              <w:rPr>
                <w:spacing w:val="-5"/>
              </w:rPr>
              <w:t xml:space="preserve"> </w:t>
            </w:r>
            <w:r w:rsidRPr="00EC20A0">
              <w:t>any</w:t>
            </w:r>
            <w:r w:rsidRPr="00EC20A0">
              <w:rPr>
                <w:spacing w:val="-5"/>
              </w:rPr>
              <w:t xml:space="preserve"> </w:t>
            </w:r>
            <w:r w:rsidRPr="00EC20A0">
              <w:t>discounts</w:t>
            </w:r>
            <w:r w:rsidRPr="00EC20A0">
              <w:rPr>
                <w:spacing w:val="-5"/>
              </w:rPr>
              <w:t xml:space="preserve"> </w:t>
            </w:r>
            <w:r w:rsidRPr="00EC20A0">
              <w:t>are</w:t>
            </w:r>
            <w:r w:rsidRPr="00EC20A0">
              <w:rPr>
                <w:spacing w:val="-5"/>
              </w:rPr>
              <w:t xml:space="preserve"> </w:t>
            </w:r>
            <w:r w:rsidRPr="00EC20A0">
              <w:t>taken</w:t>
            </w:r>
            <w:r w:rsidRPr="00EC20A0">
              <w:rPr>
                <w:spacing w:val="-5"/>
              </w:rPr>
              <w:t xml:space="preserve"> </w:t>
            </w:r>
            <w:r w:rsidRPr="00EC20A0">
              <w:t>after</w:t>
            </w:r>
            <w:r w:rsidRPr="00EC20A0">
              <w:rPr>
                <w:spacing w:val="-5"/>
              </w:rPr>
              <w:t xml:space="preserve"> </w:t>
            </w:r>
            <w:r w:rsidRPr="00EC20A0">
              <w:t>the</w:t>
            </w:r>
            <w:r w:rsidRPr="00EC20A0">
              <w:rPr>
                <w:spacing w:val="-5"/>
              </w:rPr>
              <w:t xml:space="preserve"> </w:t>
            </w:r>
            <w:r w:rsidRPr="00EC20A0">
              <w:t>appropriate</w:t>
            </w:r>
            <w:r w:rsidRPr="00EC20A0">
              <w:rPr>
                <w:spacing w:val="-5"/>
              </w:rPr>
              <w:t xml:space="preserve"> </w:t>
            </w:r>
            <w:r w:rsidRPr="00EC20A0">
              <w:t>time</w:t>
            </w:r>
            <w:r w:rsidRPr="00EC20A0">
              <w:rPr>
                <w:spacing w:val="-5"/>
              </w:rPr>
              <w:t xml:space="preserve"> </w:t>
            </w:r>
            <w:r w:rsidRPr="00EC20A0">
              <w:t>period, determine whether</w:t>
            </w:r>
          </w:p>
          <w:p w14:paraId="24D611E8" w14:textId="77777777" w:rsidR="00245300" w:rsidRPr="00EC20A0" w:rsidRDefault="00F17249">
            <w:pPr>
              <w:pStyle w:val="TableParagraph"/>
              <w:numPr>
                <w:ilvl w:val="1"/>
                <w:numId w:val="141"/>
              </w:numPr>
              <w:tabs>
                <w:tab w:val="left" w:pos="1282"/>
              </w:tabs>
              <w:spacing w:before="143"/>
              <w:ind w:hanging="576"/>
            </w:pPr>
            <w:r w:rsidRPr="00EC20A0">
              <w:t>an</w:t>
            </w:r>
            <w:r w:rsidRPr="00EC20A0">
              <w:rPr>
                <w:spacing w:val="-6"/>
              </w:rPr>
              <w:t xml:space="preserve"> </w:t>
            </w:r>
            <w:r w:rsidRPr="00EC20A0">
              <w:t>interest</w:t>
            </w:r>
            <w:r w:rsidRPr="00EC20A0">
              <w:rPr>
                <w:spacing w:val="-6"/>
              </w:rPr>
              <w:t xml:space="preserve"> </w:t>
            </w:r>
            <w:r w:rsidRPr="00EC20A0">
              <w:t>penalty</w:t>
            </w:r>
            <w:r w:rsidRPr="00EC20A0">
              <w:rPr>
                <w:spacing w:val="-5"/>
              </w:rPr>
              <w:t xml:space="preserve"> </w:t>
            </w:r>
            <w:r w:rsidRPr="00EC20A0">
              <w:t>was</w:t>
            </w:r>
            <w:r w:rsidRPr="00EC20A0">
              <w:rPr>
                <w:spacing w:val="-6"/>
              </w:rPr>
              <w:t xml:space="preserve"> </w:t>
            </w:r>
            <w:r w:rsidRPr="00EC20A0">
              <w:rPr>
                <w:spacing w:val="-2"/>
              </w:rPr>
              <w:t>paid,</w:t>
            </w:r>
          </w:p>
          <w:p w14:paraId="24D611E9" w14:textId="77777777" w:rsidR="00245300" w:rsidRPr="00EC20A0" w:rsidRDefault="00F17249">
            <w:pPr>
              <w:pStyle w:val="TableParagraph"/>
              <w:numPr>
                <w:ilvl w:val="1"/>
                <w:numId w:val="141"/>
              </w:numPr>
              <w:tabs>
                <w:tab w:val="left" w:pos="1282"/>
              </w:tabs>
              <w:spacing w:before="144"/>
              <w:ind w:right="1192"/>
            </w:pPr>
            <w:r w:rsidRPr="00EC20A0">
              <w:t>the</w:t>
            </w:r>
            <w:r w:rsidRPr="00EC20A0">
              <w:rPr>
                <w:spacing w:val="-6"/>
              </w:rPr>
              <w:t xml:space="preserve"> </w:t>
            </w:r>
            <w:r w:rsidRPr="00EC20A0">
              <w:t>amount</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interest</w:t>
            </w:r>
            <w:r w:rsidRPr="00EC20A0">
              <w:rPr>
                <w:spacing w:val="-6"/>
              </w:rPr>
              <w:t xml:space="preserve"> </w:t>
            </w:r>
            <w:r w:rsidRPr="00EC20A0">
              <w:t>penalty</w:t>
            </w:r>
            <w:r w:rsidRPr="00EC20A0">
              <w:rPr>
                <w:spacing w:val="-6"/>
              </w:rPr>
              <w:t xml:space="preserve"> </w:t>
            </w:r>
            <w:r w:rsidRPr="00EC20A0">
              <w:t>was</w:t>
            </w:r>
            <w:r w:rsidRPr="00EC20A0">
              <w:rPr>
                <w:spacing w:val="-6"/>
              </w:rPr>
              <w:t xml:space="preserve"> </w:t>
            </w:r>
            <w:r w:rsidRPr="00EC20A0">
              <w:t>properly calculated, and</w:t>
            </w:r>
          </w:p>
          <w:p w14:paraId="24D611EA" w14:textId="77777777" w:rsidR="00245300" w:rsidRPr="00EC20A0" w:rsidRDefault="00F17249">
            <w:pPr>
              <w:pStyle w:val="TableParagraph"/>
              <w:numPr>
                <w:ilvl w:val="1"/>
                <w:numId w:val="141"/>
              </w:numPr>
              <w:tabs>
                <w:tab w:val="left" w:pos="1281"/>
              </w:tabs>
              <w:spacing w:before="145"/>
              <w:ind w:left="1281" w:right="311" w:hanging="576"/>
            </w:pPr>
            <w:r w:rsidRPr="00EC20A0">
              <w:t xml:space="preserve">the interest penalty was charged </w:t>
            </w:r>
            <w:r w:rsidRPr="00EC20A0">
              <w:t>against the appropriation</w:t>
            </w:r>
            <w:r w:rsidRPr="00EC20A0">
              <w:rPr>
                <w:spacing w:val="-7"/>
              </w:rPr>
              <w:t xml:space="preserve"> </w:t>
            </w:r>
            <w:r w:rsidRPr="00EC20A0">
              <w:t>account</w:t>
            </w:r>
            <w:r w:rsidRPr="00EC20A0">
              <w:rPr>
                <w:spacing w:val="-7"/>
              </w:rPr>
              <w:t xml:space="preserve"> </w:t>
            </w:r>
            <w:r w:rsidRPr="00EC20A0">
              <w:t>used</w:t>
            </w:r>
            <w:r w:rsidRPr="00EC20A0">
              <w:rPr>
                <w:spacing w:val="-7"/>
              </w:rPr>
              <w:t xml:space="preserve"> </w:t>
            </w:r>
            <w:r w:rsidRPr="00EC20A0">
              <w:t>for</w:t>
            </w:r>
            <w:r w:rsidRPr="00EC20A0">
              <w:rPr>
                <w:spacing w:val="-7"/>
              </w:rPr>
              <w:t xml:space="preserve"> </w:t>
            </w:r>
            <w:r w:rsidRPr="00EC20A0">
              <w:t>the</w:t>
            </w:r>
            <w:r w:rsidRPr="00EC20A0">
              <w:rPr>
                <w:spacing w:val="-7"/>
              </w:rPr>
              <w:t xml:space="preserve"> </w:t>
            </w:r>
            <w:r w:rsidRPr="00EC20A0">
              <w:t>related</w:t>
            </w:r>
            <w:r w:rsidRPr="00EC20A0">
              <w:rPr>
                <w:spacing w:val="-7"/>
              </w:rPr>
              <w:t xml:space="preserve"> </w:t>
            </w:r>
            <w:r w:rsidRPr="00EC20A0">
              <w:t>expenditures.</w:t>
            </w:r>
          </w:p>
          <w:p w14:paraId="24D611EB" w14:textId="77777777" w:rsidR="00245300" w:rsidRPr="00EC20A0" w:rsidRDefault="00F17249">
            <w:pPr>
              <w:pStyle w:val="TableParagraph"/>
              <w:spacing w:before="143"/>
              <w:ind w:left="704" w:right="179"/>
            </w:pPr>
            <w:r w:rsidRPr="00EC20A0">
              <w:t>Review</w:t>
            </w:r>
            <w:r w:rsidRPr="00EC20A0">
              <w:rPr>
                <w:spacing w:val="-4"/>
              </w:rPr>
              <w:t xml:space="preserve"> </w:t>
            </w:r>
            <w:r w:rsidRPr="00EC20A0">
              <w:t>the</w:t>
            </w:r>
            <w:r w:rsidRPr="00EC20A0">
              <w:rPr>
                <w:spacing w:val="-4"/>
              </w:rPr>
              <w:t xml:space="preserve"> </w:t>
            </w:r>
            <w:r w:rsidRPr="00EC20A0">
              <w:t>budget</w:t>
            </w:r>
            <w:r w:rsidRPr="00EC20A0">
              <w:rPr>
                <w:spacing w:val="-4"/>
              </w:rPr>
              <w:t xml:space="preserve"> </w:t>
            </w:r>
            <w:r w:rsidRPr="00EC20A0">
              <w:t>accounting</w:t>
            </w:r>
            <w:r w:rsidRPr="00EC20A0">
              <w:rPr>
                <w:spacing w:val="-4"/>
              </w:rPr>
              <w:t xml:space="preserve"> </w:t>
            </w:r>
            <w:r w:rsidRPr="00EC20A0">
              <w:t>codes</w:t>
            </w:r>
            <w:r w:rsidRPr="00EC20A0">
              <w:rPr>
                <w:spacing w:val="-4"/>
              </w:rPr>
              <w:t xml:space="preserve"> </w:t>
            </w:r>
            <w:r w:rsidRPr="00EC20A0">
              <w:t>indicated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expense voucher. Determine whether the budget accounting codes indicated on the voucher for the interest penalty are the same as those used for the related expenditure. Determine whether the codes and amounts on the voucher agree with those recorded in the budgetary accounting records. (See step 6 regarding</w:t>
            </w:r>
            <w:r w:rsidRPr="00EC20A0">
              <w:rPr>
                <w:spacing w:val="-6"/>
              </w:rPr>
              <w:t xml:space="preserve"> </w:t>
            </w:r>
            <w:r w:rsidRPr="00EC20A0">
              <w:t>proper</w:t>
            </w:r>
            <w:r w:rsidRPr="00EC20A0">
              <w:rPr>
                <w:spacing w:val="-6"/>
              </w:rPr>
              <w:t xml:space="preserve"> </w:t>
            </w:r>
            <w:r w:rsidRPr="00EC20A0">
              <w:t>summarization</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budgetary</w:t>
            </w:r>
            <w:r w:rsidRPr="00EC20A0">
              <w:rPr>
                <w:spacing w:val="-7"/>
              </w:rPr>
              <w:t xml:space="preserve"> </w:t>
            </w:r>
            <w:r w:rsidRPr="00EC20A0">
              <w:t>amounts.)</w:t>
            </w:r>
            <w:r w:rsidRPr="00EC20A0">
              <w:rPr>
                <w:spacing w:val="-6"/>
              </w:rPr>
              <w:t xml:space="preserve"> </w:t>
            </w:r>
            <w:r w:rsidRPr="00EC20A0">
              <w:t>31</w:t>
            </w:r>
          </w:p>
          <w:p w14:paraId="24D611EC" w14:textId="77777777" w:rsidR="00245300" w:rsidRPr="00EC20A0" w:rsidRDefault="00F17249">
            <w:pPr>
              <w:pStyle w:val="TableParagraph"/>
              <w:spacing w:before="1"/>
              <w:ind w:left="704"/>
            </w:pPr>
            <w:r w:rsidRPr="00EC20A0">
              <w:t>U.S.C.</w:t>
            </w:r>
            <w:r w:rsidRPr="00EC20A0">
              <w:rPr>
                <w:spacing w:val="-5"/>
              </w:rPr>
              <w:t xml:space="preserve"> </w:t>
            </w:r>
            <w:r w:rsidRPr="00EC20A0">
              <w:t>§</w:t>
            </w:r>
            <w:r w:rsidRPr="00EC20A0">
              <w:rPr>
                <w:spacing w:val="-4"/>
              </w:rPr>
              <w:t xml:space="preserve"> </w:t>
            </w:r>
            <w:r w:rsidRPr="00EC20A0">
              <w:t>3902</w:t>
            </w:r>
            <w:r w:rsidRPr="00EC20A0">
              <w:rPr>
                <w:spacing w:val="-4"/>
              </w:rPr>
              <w:t xml:space="preserve"> </w:t>
            </w:r>
            <w:r w:rsidRPr="00EC20A0">
              <w:t>(a),</w:t>
            </w:r>
            <w:r w:rsidRPr="00EC20A0">
              <w:rPr>
                <w:spacing w:val="-4"/>
              </w:rPr>
              <w:t xml:space="preserve"> </w:t>
            </w:r>
            <w:r w:rsidRPr="00EC20A0">
              <w:t>(b),</w:t>
            </w:r>
            <w:r w:rsidRPr="00EC20A0">
              <w:rPr>
                <w:spacing w:val="-4"/>
              </w:rPr>
              <w:t xml:space="preserve"> </w:t>
            </w:r>
            <w:r w:rsidRPr="00EC20A0">
              <w:t>(f),</w:t>
            </w:r>
            <w:r w:rsidRPr="00EC20A0">
              <w:rPr>
                <w:spacing w:val="-4"/>
              </w:rPr>
              <w:t xml:space="preserve"> </w:t>
            </w:r>
            <w:r w:rsidRPr="00EC20A0">
              <w:t>and</w:t>
            </w:r>
            <w:r w:rsidRPr="00EC20A0">
              <w:rPr>
                <w:spacing w:val="-4"/>
              </w:rPr>
              <w:t xml:space="preserve"> </w:t>
            </w:r>
            <w:r w:rsidRPr="00EC20A0">
              <w:t>31</w:t>
            </w:r>
            <w:r w:rsidRPr="00EC20A0">
              <w:rPr>
                <w:spacing w:val="-4"/>
              </w:rPr>
              <w:t xml:space="preserve"> </w:t>
            </w:r>
            <w:r w:rsidRPr="00EC20A0">
              <w:t>U.S.C.</w:t>
            </w:r>
            <w:r w:rsidRPr="00EC20A0">
              <w:rPr>
                <w:spacing w:val="-4"/>
              </w:rPr>
              <w:t xml:space="preserve"> </w:t>
            </w:r>
            <w:r w:rsidRPr="00EC20A0">
              <w:t>§</w:t>
            </w:r>
            <w:r w:rsidRPr="00EC20A0">
              <w:rPr>
                <w:spacing w:val="-4"/>
              </w:rPr>
              <w:t xml:space="preserve"> </w:t>
            </w:r>
            <w:r w:rsidRPr="00EC20A0">
              <w:rPr>
                <w:spacing w:val="-2"/>
              </w:rPr>
              <w:t>3904.</w:t>
            </w:r>
          </w:p>
          <w:p w14:paraId="24D611ED" w14:textId="77777777" w:rsidR="00245300" w:rsidRPr="00EC20A0" w:rsidRDefault="00F17249">
            <w:pPr>
              <w:pStyle w:val="TableParagraph"/>
              <w:spacing w:before="144"/>
              <w:ind w:left="704" w:right="55"/>
            </w:pPr>
            <w:r w:rsidRPr="00EC20A0">
              <w:t>Interest penalties (see FAM 806.01, Interest Penalties for Late Payments) should be calculated on the amount of the discount. The</w:t>
            </w:r>
            <w:r w:rsidRPr="00EC20A0">
              <w:rPr>
                <w:spacing w:val="-4"/>
              </w:rPr>
              <w:t xml:space="preserve"> </w:t>
            </w:r>
            <w:r w:rsidRPr="00EC20A0">
              <w:t>penalty</w:t>
            </w:r>
            <w:r w:rsidRPr="00EC20A0">
              <w:rPr>
                <w:spacing w:val="-5"/>
              </w:rPr>
              <w:t xml:space="preserve"> </w:t>
            </w:r>
            <w:r w:rsidRPr="00EC20A0">
              <w:t>accrues</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amount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discount</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 xml:space="preserve">last date specified that the discounted </w:t>
            </w:r>
            <w:r w:rsidRPr="00EC20A0">
              <w:t>amount may be paid. See FAM 806.03, Limitations on Discount Payments.</w:t>
            </w:r>
          </w:p>
          <w:p w14:paraId="24D611EE" w14:textId="77777777" w:rsidR="00245300" w:rsidRPr="00EC20A0" w:rsidRDefault="00F17249">
            <w:pPr>
              <w:pStyle w:val="TableParagraph"/>
              <w:spacing w:before="144"/>
              <w:ind w:left="704" w:right="179"/>
            </w:pPr>
            <w:r w:rsidRPr="00EC20A0">
              <w:t>Investigate any differences between the amount of interest penalty calculated by the auditor and the amount paid by the entity, including any instances when an interest penalty was owed</w:t>
            </w:r>
            <w:r w:rsidRPr="00EC20A0">
              <w:rPr>
                <w:spacing w:val="-4"/>
              </w:rPr>
              <w:t xml:space="preserve"> </w:t>
            </w:r>
            <w:r w:rsidRPr="00EC20A0">
              <w:t>but</w:t>
            </w:r>
            <w:r w:rsidRPr="00EC20A0">
              <w:rPr>
                <w:spacing w:val="-4"/>
              </w:rPr>
              <w:t xml:space="preserve"> </w:t>
            </w:r>
            <w:r w:rsidRPr="00EC20A0">
              <w:t>not</w:t>
            </w:r>
            <w:r w:rsidRPr="00EC20A0">
              <w:rPr>
                <w:spacing w:val="-4"/>
              </w:rPr>
              <w:t xml:space="preserve"> </w:t>
            </w:r>
            <w:r w:rsidRPr="00EC20A0">
              <w:t>paid.</w:t>
            </w:r>
            <w:r w:rsidRPr="00EC20A0">
              <w:rPr>
                <w:spacing w:val="-4"/>
              </w:rPr>
              <w:t xml:space="preserve"> </w:t>
            </w:r>
            <w:r w:rsidRPr="00EC20A0">
              <w:t>Investigate</w:t>
            </w:r>
            <w:r w:rsidRPr="00EC20A0">
              <w:rPr>
                <w:spacing w:val="-4"/>
              </w:rPr>
              <w:t xml:space="preserve"> </w:t>
            </w:r>
            <w:r w:rsidRPr="00EC20A0">
              <w:t>any</w:t>
            </w:r>
            <w:r w:rsidRPr="00EC20A0">
              <w:rPr>
                <w:spacing w:val="-4"/>
              </w:rPr>
              <w:t xml:space="preserve"> </w:t>
            </w:r>
            <w:r w:rsidRPr="00EC20A0">
              <w:t>instances</w:t>
            </w:r>
            <w:r w:rsidRPr="00EC20A0">
              <w:rPr>
                <w:spacing w:val="-4"/>
              </w:rPr>
              <w:t xml:space="preserve"> </w:t>
            </w:r>
            <w:r w:rsidRPr="00EC20A0">
              <w:t>when</w:t>
            </w:r>
            <w:r w:rsidRPr="00EC20A0">
              <w:rPr>
                <w:spacing w:val="-4"/>
              </w:rPr>
              <w:t xml:space="preserve"> </w:t>
            </w:r>
            <w:r w:rsidRPr="00EC20A0">
              <w:t>the</w:t>
            </w:r>
            <w:r w:rsidRPr="00EC20A0">
              <w:rPr>
                <w:spacing w:val="-4"/>
              </w:rPr>
              <w:t xml:space="preserve"> </w:t>
            </w:r>
            <w:r w:rsidRPr="00EC20A0">
              <w:t>proper appropriation account was not charged.</w:t>
            </w:r>
          </w:p>
        </w:tc>
        <w:tc>
          <w:tcPr>
            <w:tcW w:w="1152" w:type="dxa"/>
            <w:tcBorders>
              <w:left w:val="single" w:sz="6" w:space="0" w:color="000000"/>
              <w:bottom w:val="single" w:sz="6" w:space="0" w:color="000000"/>
              <w:right w:val="single" w:sz="6" w:space="0" w:color="000000"/>
            </w:tcBorders>
          </w:tcPr>
          <w:p w14:paraId="24D611EF" w14:textId="77777777" w:rsidR="00245300" w:rsidRPr="00EC20A0" w:rsidRDefault="00245300">
            <w:pPr>
              <w:pStyle w:val="TableParagraph"/>
              <w:rPr>
                <w:sz w:val="20"/>
              </w:rPr>
            </w:pPr>
          </w:p>
        </w:tc>
        <w:tc>
          <w:tcPr>
            <w:tcW w:w="1218" w:type="dxa"/>
            <w:tcBorders>
              <w:left w:val="single" w:sz="6" w:space="0" w:color="000000"/>
              <w:bottom w:val="single" w:sz="6" w:space="0" w:color="000000"/>
            </w:tcBorders>
          </w:tcPr>
          <w:p w14:paraId="24D611F0" w14:textId="77777777" w:rsidR="00245300" w:rsidRPr="00EC20A0" w:rsidRDefault="00245300">
            <w:pPr>
              <w:pStyle w:val="TableParagraph"/>
              <w:rPr>
                <w:sz w:val="20"/>
              </w:rPr>
            </w:pPr>
          </w:p>
        </w:tc>
      </w:tr>
    </w:tbl>
    <w:p w14:paraId="24D611F2" w14:textId="77777777" w:rsidR="00245300" w:rsidRPr="00EC20A0" w:rsidRDefault="00245300">
      <w:pPr>
        <w:rPr>
          <w:sz w:val="20"/>
        </w:rPr>
        <w:sectPr w:rsidR="00245300" w:rsidRPr="00EC20A0">
          <w:pgSz w:w="12240" w:h="15840"/>
          <w:pgMar w:top="1380" w:right="1240" w:bottom="940" w:left="1320" w:header="721" w:footer="742" w:gutter="0"/>
          <w:cols w:space="720"/>
        </w:sectPr>
      </w:pPr>
    </w:p>
    <w:p w14:paraId="24D611F3" w14:textId="77777777" w:rsidR="00245300" w:rsidRPr="00EC20A0" w:rsidRDefault="00245300">
      <w:pPr>
        <w:pStyle w:val="BodyText"/>
        <w:spacing w:before="4" w:after="1"/>
        <w:rPr>
          <w:sz w:val="8"/>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245300" w:rsidRPr="00EC20A0" w14:paraId="24D611F5" w14:textId="77777777">
        <w:trPr>
          <w:trHeight w:val="1335"/>
        </w:trPr>
        <w:tc>
          <w:tcPr>
            <w:tcW w:w="9450" w:type="dxa"/>
            <w:gridSpan w:val="3"/>
          </w:tcPr>
          <w:p w14:paraId="24D611F4" w14:textId="77777777" w:rsidR="00245300" w:rsidRPr="00EC20A0" w:rsidRDefault="00F17249">
            <w:pPr>
              <w:pStyle w:val="TableParagraph"/>
              <w:tabs>
                <w:tab w:val="left" w:pos="8943"/>
              </w:tabs>
              <w:spacing w:before="7" w:line="390" w:lineRule="atLeast"/>
              <w:ind w:left="129" w:right="459"/>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1FB" w14:textId="77777777">
        <w:trPr>
          <w:trHeight w:val="793"/>
        </w:trPr>
        <w:tc>
          <w:tcPr>
            <w:tcW w:w="7080" w:type="dxa"/>
            <w:tcBorders>
              <w:right w:val="single" w:sz="6" w:space="0" w:color="000000"/>
            </w:tcBorders>
          </w:tcPr>
          <w:p w14:paraId="24D611F6" w14:textId="77777777" w:rsidR="00245300" w:rsidRPr="00EC20A0" w:rsidRDefault="00245300">
            <w:pPr>
              <w:pStyle w:val="TableParagraph"/>
              <w:spacing w:before="144"/>
            </w:pPr>
          </w:p>
          <w:p w14:paraId="24D611F7"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152" w:type="dxa"/>
            <w:tcBorders>
              <w:left w:val="single" w:sz="6" w:space="0" w:color="000000"/>
              <w:right w:val="single" w:sz="6" w:space="0" w:color="000000"/>
            </w:tcBorders>
          </w:tcPr>
          <w:p w14:paraId="24D611F8" w14:textId="77777777" w:rsidR="00245300" w:rsidRPr="00EC20A0" w:rsidRDefault="00F17249">
            <w:pPr>
              <w:pStyle w:val="TableParagraph"/>
              <w:spacing w:before="144"/>
              <w:ind w:left="144"/>
              <w:rPr>
                <w:b/>
              </w:rPr>
            </w:pPr>
            <w:r w:rsidRPr="00EC20A0">
              <w:rPr>
                <w:b/>
                <w:spacing w:val="-2"/>
              </w:rPr>
              <w:t xml:space="preserve">Initials/ </w:t>
            </w:r>
            <w:r w:rsidRPr="00EC20A0">
              <w:rPr>
                <w:b/>
                <w:spacing w:val="-4"/>
              </w:rPr>
              <w:t>date</w:t>
            </w:r>
          </w:p>
        </w:tc>
        <w:tc>
          <w:tcPr>
            <w:tcW w:w="1218" w:type="dxa"/>
            <w:tcBorders>
              <w:left w:val="single" w:sz="6" w:space="0" w:color="000000"/>
            </w:tcBorders>
          </w:tcPr>
          <w:p w14:paraId="24D611F9" w14:textId="77777777" w:rsidR="00245300" w:rsidRPr="00EC20A0" w:rsidRDefault="00245300">
            <w:pPr>
              <w:pStyle w:val="TableParagraph"/>
              <w:spacing w:before="144"/>
            </w:pPr>
          </w:p>
          <w:p w14:paraId="24D611FA" w14:textId="77777777" w:rsidR="00245300" w:rsidRPr="00EC20A0" w:rsidRDefault="00F17249">
            <w:pPr>
              <w:pStyle w:val="TableParagraph"/>
              <w:ind w:left="144"/>
              <w:rPr>
                <w:b/>
              </w:rPr>
            </w:pPr>
            <w:r w:rsidRPr="00EC20A0">
              <w:rPr>
                <w:b/>
              </w:rPr>
              <w:t>Doc.</w:t>
            </w:r>
            <w:r w:rsidRPr="00EC20A0">
              <w:rPr>
                <w:b/>
                <w:spacing w:val="-6"/>
              </w:rPr>
              <w:t xml:space="preserve"> </w:t>
            </w:r>
            <w:r w:rsidRPr="00EC20A0">
              <w:rPr>
                <w:b/>
                <w:spacing w:val="-4"/>
              </w:rPr>
              <w:t>ref.</w:t>
            </w:r>
          </w:p>
        </w:tc>
      </w:tr>
      <w:tr w:rsidR="00245300" w:rsidRPr="00EC20A0" w14:paraId="24D61201" w14:textId="77777777">
        <w:trPr>
          <w:trHeight w:val="3865"/>
        </w:trPr>
        <w:tc>
          <w:tcPr>
            <w:tcW w:w="7080" w:type="dxa"/>
            <w:tcBorders>
              <w:bottom w:val="single" w:sz="6" w:space="0" w:color="000000"/>
              <w:right w:val="single" w:sz="6" w:space="0" w:color="000000"/>
            </w:tcBorders>
          </w:tcPr>
          <w:p w14:paraId="24D611FC" w14:textId="77777777" w:rsidR="00245300" w:rsidRPr="00EC20A0" w:rsidRDefault="00F17249">
            <w:pPr>
              <w:pStyle w:val="TableParagraph"/>
              <w:tabs>
                <w:tab w:val="left" w:pos="705"/>
              </w:tabs>
              <w:spacing w:before="144"/>
              <w:ind w:left="705" w:right="716" w:hanging="577"/>
            </w:pPr>
            <w:r w:rsidRPr="00EC20A0">
              <w:rPr>
                <w:spacing w:val="-6"/>
              </w:rPr>
              <w:t>6)</w:t>
            </w:r>
            <w:r w:rsidRPr="00EC20A0">
              <w:tab/>
              <w:t>Consider</w:t>
            </w:r>
            <w:r w:rsidRPr="00EC20A0">
              <w:rPr>
                <w:spacing w:val="-6"/>
              </w:rPr>
              <w:t xml:space="preserve"> </w:t>
            </w:r>
            <w:r w:rsidRPr="00EC20A0">
              <w:t>the</w:t>
            </w:r>
            <w:r w:rsidRPr="00EC20A0">
              <w:rPr>
                <w:spacing w:val="-6"/>
              </w:rPr>
              <w:t xml:space="preserve"> </w:t>
            </w:r>
            <w:r w:rsidRPr="00EC20A0">
              <w:t>procedures</w:t>
            </w:r>
            <w:r w:rsidRPr="00EC20A0">
              <w:rPr>
                <w:spacing w:val="-6"/>
              </w:rPr>
              <w:t xml:space="preserve"> </w:t>
            </w:r>
            <w:r w:rsidRPr="00EC20A0">
              <w:t>performed</w:t>
            </w:r>
            <w:r w:rsidRPr="00EC20A0">
              <w:rPr>
                <w:spacing w:val="-6"/>
              </w:rPr>
              <w:t xml:space="preserve"> </w:t>
            </w:r>
            <w:r w:rsidRPr="00EC20A0">
              <w:t>on</w:t>
            </w:r>
            <w:r w:rsidRPr="00EC20A0">
              <w:rPr>
                <w:spacing w:val="-6"/>
              </w:rPr>
              <w:t xml:space="preserve"> </w:t>
            </w:r>
            <w:r w:rsidRPr="00EC20A0">
              <w:t>the</w:t>
            </w:r>
            <w:r w:rsidRPr="00EC20A0">
              <w:rPr>
                <w:spacing w:val="-6"/>
              </w:rPr>
              <w:t xml:space="preserve"> </w:t>
            </w:r>
            <w:r w:rsidRPr="00EC20A0">
              <w:t>entity’s</w:t>
            </w:r>
            <w:r w:rsidRPr="00EC20A0">
              <w:rPr>
                <w:spacing w:val="-6"/>
              </w:rPr>
              <w:t xml:space="preserve"> </w:t>
            </w:r>
            <w:r w:rsidRPr="00EC20A0">
              <w:t>budget controls over summarization of expenditure balances as discussed in FAM 395 F, Budget Control Objectives.</w:t>
            </w:r>
          </w:p>
          <w:p w14:paraId="24D611FD" w14:textId="77777777" w:rsidR="00245300" w:rsidRPr="00EC20A0" w:rsidRDefault="00F17249">
            <w:pPr>
              <w:pStyle w:val="TableParagraph"/>
              <w:spacing w:before="145"/>
              <w:ind w:left="705"/>
            </w:pPr>
            <w:r w:rsidRPr="00EC20A0">
              <w:t>If</w:t>
            </w:r>
            <w:r w:rsidRPr="00EC20A0">
              <w:rPr>
                <w:spacing w:val="-1"/>
              </w:rPr>
              <w:t xml:space="preserve"> </w:t>
            </w:r>
            <w:r w:rsidRPr="00EC20A0">
              <w:t>the</w:t>
            </w:r>
            <w:r w:rsidRPr="00EC20A0">
              <w:rPr>
                <w:spacing w:val="-2"/>
              </w:rPr>
              <w:t xml:space="preserve"> </w:t>
            </w:r>
            <w:r w:rsidRPr="00EC20A0">
              <w:t>auditor</w:t>
            </w:r>
            <w:r w:rsidRPr="00EC20A0">
              <w:rPr>
                <w:spacing w:val="-2"/>
              </w:rPr>
              <w:t xml:space="preserve"> </w:t>
            </w:r>
            <w:r w:rsidRPr="00EC20A0">
              <w:t>has</w:t>
            </w:r>
            <w:r w:rsidRPr="00EC20A0">
              <w:rPr>
                <w:spacing w:val="-1"/>
              </w:rPr>
              <w:t xml:space="preserve"> </w:t>
            </w:r>
            <w:r w:rsidRPr="00EC20A0">
              <w:t>assessed</w:t>
            </w:r>
            <w:r w:rsidRPr="00EC20A0">
              <w:rPr>
                <w:spacing w:val="-2"/>
              </w:rPr>
              <w:t xml:space="preserve"> </w:t>
            </w:r>
            <w:r w:rsidRPr="00EC20A0">
              <w:t>the</w:t>
            </w:r>
            <w:r w:rsidRPr="00EC20A0">
              <w:rPr>
                <w:spacing w:val="-1"/>
              </w:rPr>
              <w:t xml:space="preserve"> </w:t>
            </w:r>
            <w:r w:rsidRPr="00EC20A0">
              <w:t>entity’s</w:t>
            </w:r>
            <w:r w:rsidRPr="00EC20A0">
              <w:rPr>
                <w:spacing w:val="-2"/>
              </w:rPr>
              <w:t xml:space="preserve"> </w:t>
            </w:r>
            <w:r w:rsidRPr="00EC20A0">
              <w:t>controls</w:t>
            </w:r>
            <w:r w:rsidRPr="00EC20A0">
              <w:rPr>
                <w:spacing w:val="-1"/>
              </w:rPr>
              <w:t xml:space="preserve"> </w:t>
            </w:r>
            <w:r w:rsidRPr="00EC20A0">
              <w:t>as</w:t>
            </w:r>
            <w:r w:rsidRPr="00EC20A0">
              <w:rPr>
                <w:spacing w:val="-2"/>
              </w:rPr>
              <w:t xml:space="preserve"> </w:t>
            </w:r>
            <w:r w:rsidRPr="00EC20A0">
              <w:rPr>
                <w:u w:val="single"/>
              </w:rPr>
              <w:t>effective</w:t>
            </w:r>
            <w:r w:rsidRPr="00EC20A0">
              <w:rPr>
                <w:spacing w:val="-1"/>
              </w:rPr>
              <w:t xml:space="preserve"> </w:t>
            </w:r>
            <w:r w:rsidRPr="00EC20A0">
              <w:t xml:space="preserve">in achieving the control objective of summarizing </w:t>
            </w:r>
            <w:r w:rsidRPr="00EC20A0">
              <w:t>expenditure balances,</w:t>
            </w:r>
            <w:r w:rsidRPr="00EC20A0">
              <w:rPr>
                <w:spacing w:val="-5"/>
              </w:rPr>
              <w:t xml:space="preserve"> </w:t>
            </w:r>
            <w:r w:rsidRPr="00EC20A0">
              <w:t>then</w:t>
            </w:r>
            <w:r w:rsidRPr="00EC20A0">
              <w:rPr>
                <w:spacing w:val="-5"/>
              </w:rPr>
              <w:t xml:space="preserve"> </w:t>
            </w:r>
            <w:r w:rsidRPr="00EC20A0">
              <w:t>further</w:t>
            </w:r>
            <w:r w:rsidRPr="00EC20A0">
              <w:rPr>
                <w:spacing w:val="-5"/>
              </w:rPr>
              <w:t xml:space="preserve"> </w:t>
            </w:r>
            <w:r w:rsidRPr="00EC20A0">
              <w:t>procedures</w:t>
            </w:r>
            <w:r w:rsidRPr="00EC20A0">
              <w:rPr>
                <w:spacing w:val="-5"/>
              </w:rPr>
              <w:t xml:space="preserve"> </w:t>
            </w:r>
            <w:r w:rsidRPr="00EC20A0">
              <w:t>are</w:t>
            </w:r>
            <w:r w:rsidRPr="00EC20A0">
              <w:rPr>
                <w:spacing w:val="-5"/>
              </w:rPr>
              <w:t xml:space="preserve"> </w:t>
            </w:r>
            <w:r w:rsidRPr="00EC20A0">
              <w:t>not</w:t>
            </w:r>
            <w:r w:rsidRPr="00EC20A0">
              <w:rPr>
                <w:spacing w:val="-5"/>
              </w:rPr>
              <w:t xml:space="preserve"> </w:t>
            </w:r>
            <w:r w:rsidRPr="00EC20A0">
              <w:t>necessary</w:t>
            </w:r>
            <w:r w:rsidRPr="00EC20A0">
              <w:rPr>
                <w:spacing w:val="-5"/>
              </w:rPr>
              <w:t xml:space="preserve"> </w:t>
            </w:r>
            <w:r w:rsidRPr="00EC20A0">
              <w:t>to</w:t>
            </w:r>
            <w:r w:rsidRPr="00EC20A0">
              <w:rPr>
                <w:spacing w:val="-5"/>
              </w:rPr>
              <w:t xml:space="preserve"> </w:t>
            </w:r>
            <w:r w:rsidRPr="00EC20A0">
              <w:t>obtain assurance as to whether interest penalties are paid out of the proper appropriation account.</w:t>
            </w:r>
          </w:p>
          <w:p w14:paraId="24D611FE" w14:textId="77777777" w:rsidR="00245300" w:rsidRPr="00EC20A0" w:rsidRDefault="00F17249">
            <w:pPr>
              <w:pStyle w:val="TableParagraph"/>
              <w:spacing w:before="144"/>
              <w:ind w:left="705" w:right="55"/>
            </w:pPr>
            <w:r w:rsidRPr="00EC20A0">
              <w:t xml:space="preserve">If the auditor has assessed the controls as </w:t>
            </w:r>
            <w:r w:rsidRPr="00EC20A0">
              <w:rPr>
                <w:u w:val="single"/>
              </w:rPr>
              <w:t>ineffective</w:t>
            </w:r>
            <w:r w:rsidRPr="00EC20A0">
              <w:t>, then the auditor</w:t>
            </w:r>
            <w:r w:rsidRPr="00EC20A0">
              <w:rPr>
                <w:spacing w:val="-5"/>
              </w:rPr>
              <w:t xml:space="preserve"> </w:t>
            </w:r>
            <w:r w:rsidRPr="00EC20A0">
              <w:t>should</w:t>
            </w:r>
            <w:r w:rsidRPr="00EC20A0">
              <w:rPr>
                <w:spacing w:val="-5"/>
              </w:rPr>
              <w:t xml:space="preserve"> </w:t>
            </w:r>
            <w:r w:rsidRPr="00EC20A0">
              <w:t>perform</w:t>
            </w:r>
            <w:r w:rsidRPr="00EC20A0">
              <w:rPr>
                <w:spacing w:val="-5"/>
              </w:rPr>
              <w:t xml:space="preserve"> </w:t>
            </w:r>
            <w:r w:rsidRPr="00EC20A0">
              <w:t>procedures</w:t>
            </w:r>
            <w:r w:rsidRPr="00EC20A0">
              <w:rPr>
                <w:spacing w:val="-5"/>
              </w:rPr>
              <w:t xml:space="preserve"> </w:t>
            </w:r>
            <w:r w:rsidRPr="00EC20A0">
              <w:t>to</w:t>
            </w:r>
            <w:r w:rsidRPr="00EC20A0">
              <w:rPr>
                <w:spacing w:val="-5"/>
              </w:rPr>
              <w:t xml:space="preserve"> </w:t>
            </w:r>
            <w:r w:rsidRPr="00EC20A0">
              <w:t>determine</w:t>
            </w:r>
            <w:r w:rsidRPr="00EC20A0">
              <w:rPr>
                <w:spacing w:val="-5"/>
              </w:rPr>
              <w:t xml:space="preserve"> </w:t>
            </w:r>
            <w:r w:rsidRPr="00EC20A0">
              <w:t>if</w:t>
            </w:r>
            <w:r w:rsidRPr="00EC20A0">
              <w:rPr>
                <w:spacing w:val="-5"/>
              </w:rPr>
              <w:t xml:space="preserve"> </w:t>
            </w:r>
            <w:r w:rsidRPr="00EC20A0">
              <w:t>the</w:t>
            </w:r>
            <w:r w:rsidRPr="00EC20A0">
              <w:rPr>
                <w:spacing w:val="-5"/>
              </w:rPr>
              <w:t xml:space="preserve"> </w:t>
            </w:r>
            <w:r w:rsidRPr="00EC20A0">
              <w:t>entity</w:t>
            </w:r>
            <w:r w:rsidRPr="00EC20A0">
              <w:rPr>
                <w:spacing w:val="-5"/>
              </w:rPr>
              <w:t xml:space="preserve"> </w:t>
            </w:r>
            <w:r w:rsidRPr="00EC20A0">
              <w:t>has properly</w:t>
            </w:r>
            <w:r w:rsidRPr="00EC20A0">
              <w:rPr>
                <w:spacing w:val="-4"/>
              </w:rPr>
              <w:t xml:space="preserve"> </w:t>
            </w:r>
            <w:r w:rsidRPr="00EC20A0">
              <w:t>summarized</w:t>
            </w:r>
            <w:r w:rsidRPr="00EC20A0">
              <w:rPr>
                <w:spacing w:val="-4"/>
              </w:rPr>
              <w:t xml:space="preserve"> </w:t>
            </w:r>
            <w:r w:rsidRPr="00EC20A0">
              <w:t>the</w:t>
            </w:r>
            <w:r w:rsidRPr="00EC20A0">
              <w:rPr>
                <w:spacing w:val="-4"/>
              </w:rPr>
              <w:t xml:space="preserve"> </w:t>
            </w:r>
            <w:r w:rsidRPr="00EC20A0">
              <w:t>expenditure</w:t>
            </w:r>
            <w:r w:rsidRPr="00EC20A0">
              <w:rPr>
                <w:spacing w:val="-4"/>
              </w:rPr>
              <w:t xml:space="preserve"> </w:t>
            </w:r>
            <w:r w:rsidRPr="00EC20A0">
              <w:t>balances,</w:t>
            </w:r>
            <w:r w:rsidRPr="00EC20A0">
              <w:rPr>
                <w:spacing w:val="-5"/>
              </w:rPr>
              <w:t xml:space="preserve"> </w:t>
            </w:r>
            <w:r w:rsidRPr="00EC20A0">
              <w:t>as</w:t>
            </w:r>
            <w:r w:rsidRPr="00EC20A0">
              <w:rPr>
                <w:spacing w:val="-4"/>
              </w:rPr>
              <w:t xml:space="preserve"> </w:t>
            </w:r>
            <w:r w:rsidRPr="00EC20A0">
              <w:t>described</w:t>
            </w:r>
            <w:r w:rsidRPr="00EC20A0">
              <w:rPr>
                <w:spacing w:val="-4"/>
              </w:rPr>
              <w:t xml:space="preserve"> </w:t>
            </w:r>
            <w:r w:rsidRPr="00EC20A0">
              <w:t xml:space="preserve">in FAM 495 B, Example Procedures for Tests of Budget </w:t>
            </w:r>
            <w:r w:rsidRPr="00EC20A0">
              <w:rPr>
                <w:spacing w:val="-2"/>
              </w:rPr>
              <w:t>Information.</w:t>
            </w:r>
          </w:p>
        </w:tc>
        <w:tc>
          <w:tcPr>
            <w:tcW w:w="1152" w:type="dxa"/>
            <w:tcBorders>
              <w:left w:val="single" w:sz="6" w:space="0" w:color="000000"/>
              <w:bottom w:val="single" w:sz="6" w:space="0" w:color="000000"/>
              <w:right w:val="single" w:sz="6" w:space="0" w:color="000000"/>
            </w:tcBorders>
          </w:tcPr>
          <w:p w14:paraId="24D611FF" w14:textId="77777777" w:rsidR="00245300" w:rsidRPr="00EC20A0" w:rsidRDefault="00245300">
            <w:pPr>
              <w:pStyle w:val="TableParagraph"/>
              <w:rPr>
                <w:sz w:val="20"/>
              </w:rPr>
            </w:pPr>
          </w:p>
        </w:tc>
        <w:tc>
          <w:tcPr>
            <w:tcW w:w="1218" w:type="dxa"/>
            <w:tcBorders>
              <w:left w:val="single" w:sz="6" w:space="0" w:color="000000"/>
              <w:bottom w:val="single" w:sz="6" w:space="0" w:color="000000"/>
            </w:tcBorders>
          </w:tcPr>
          <w:p w14:paraId="24D61200" w14:textId="77777777" w:rsidR="00245300" w:rsidRPr="00EC20A0" w:rsidRDefault="00245300">
            <w:pPr>
              <w:pStyle w:val="TableParagraph"/>
              <w:rPr>
                <w:sz w:val="20"/>
              </w:rPr>
            </w:pPr>
          </w:p>
        </w:tc>
      </w:tr>
      <w:tr w:rsidR="00245300" w:rsidRPr="00EC20A0" w14:paraId="24D61209" w14:textId="77777777">
        <w:trPr>
          <w:trHeight w:val="4971"/>
        </w:trPr>
        <w:tc>
          <w:tcPr>
            <w:tcW w:w="7080" w:type="dxa"/>
            <w:tcBorders>
              <w:top w:val="single" w:sz="6" w:space="0" w:color="000000"/>
              <w:bottom w:val="single" w:sz="6" w:space="0" w:color="000000"/>
              <w:right w:val="single" w:sz="6" w:space="0" w:color="000000"/>
            </w:tcBorders>
          </w:tcPr>
          <w:p w14:paraId="24D61202" w14:textId="77777777" w:rsidR="00245300" w:rsidRPr="00EC20A0" w:rsidRDefault="00F17249">
            <w:pPr>
              <w:pStyle w:val="TableParagraph"/>
              <w:numPr>
                <w:ilvl w:val="0"/>
                <w:numId w:val="140"/>
              </w:numPr>
              <w:tabs>
                <w:tab w:val="left" w:pos="705"/>
              </w:tabs>
              <w:spacing w:before="143"/>
              <w:ind w:right="325" w:hanging="576"/>
            </w:pPr>
            <w:r w:rsidRPr="00EC20A0">
              <w:t>If</w:t>
            </w:r>
            <w:r w:rsidRPr="00EC20A0">
              <w:rPr>
                <w:spacing w:val="-3"/>
              </w:rPr>
              <w:t xml:space="preserve"> </w:t>
            </w:r>
            <w:r w:rsidRPr="00EC20A0">
              <w:t>the</w:t>
            </w:r>
            <w:r w:rsidRPr="00EC20A0">
              <w:rPr>
                <w:spacing w:val="-3"/>
              </w:rPr>
              <w:t xml:space="preserve"> </w:t>
            </w:r>
            <w:r w:rsidRPr="00EC20A0">
              <w:t>entity</w:t>
            </w:r>
            <w:r w:rsidRPr="00EC20A0">
              <w:rPr>
                <w:spacing w:val="-4"/>
              </w:rPr>
              <w:t xml:space="preserve"> </w:t>
            </w:r>
            <w:r w:rsidRPr="00EC20A0">
              <w:t>does</w:t>
            </w:r>
            <w:r w:rsidRPr="00EC20A0">
              <w:rPr>
                <w:spacing w:val="-3"/>
              </w:rPr>
              <w:t xml:space="preserve"> </w:t>
            </w:r>
            <w:r w:rsidRPr="00EC20A0">
              <w:t>not</w:t>
            </w:r>
            <w:r w:rsidRPr="00EC20A0">
              <w:rPr>
                <w:spacing w:val="-3"/>
              </w:rPr>
              <w:t xml:space="preserve"> </w:t>
            </w:r>
            <w:r w:rsidRPr="00EC20A0">
              <w:t>appear</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in</w:t>
            </w:r>
            <w:r w:rsidRPr="00EC20A0">
              <w:rPr>
                <w:spacing w:val="-4"/>
              </w:rPr>
              <w:t xml:space="preserve"> </w:t>
            </w:r>
            <w:r w:rsidRPr="00EC20A0">
              <w:t>compliance</w:t>
            </w:r>
            <w:r w:rsidRPr="00EC20A0">
              <w:rPr>
                <w:spacing w:val="-4"/>
              </w:rPr>
              <w:t xml:space="preserve"> </w:t>
            </w:r>
            <w:r w:rsidRPr="00EC20A0">
              <w:t>based</w:t>
            </w:r>
            <w:r w:rsidRPr="00EC20A0">
              <w:rPr>
                <w:spacing w:val="-3"/>
              </w:rPr>
              <w:t xml:space="preserve"> </w:t>
            </w:r>
            <w:r w:rsidRPr="00EC20A0">
              <w:t>on</w:t>
            </w:r>
            <w:r w:rsidRPr="00EC20A0">
              <w:rPr>
                <w:spacing w:val="-3"/>
              </w:rPr>
              <w:t xml:space="preserve"> </w:t>
            </w:r>
            <w:r w:rsidRPr="00EC20A0">
              <w:t xml:space="preserve">the results of tests performed, then the auditor should discuss these matters with OGC and, when appropriate, the Special Investigator Unit to conclude on whether noncompliance actually has occurred and the implications of such noncompliance. For any noncompliance noted, the auditor </w:t>
            </w:r>
            <w:r w:rsidRPr="00EC20A0">
              <w:rPr>
                <w:spacing w:val="-2"/>
              </w:rPr>
              <w:t>should</w:t>
            </w:r>
          </w:p>
          <w:p w14:paraId="24D61203" w14:textId="77777777" w:rsidR="00245300" w:rsidRPr="00EC20A0" w:rsidRDefault="00F17249">
            <w:pPr>
              <w:pStyle w:val="TableParagraph"/>
              <w:numPr>
                <w:ilvl w:val="1"/>
                <w:numId w:val="140"/>
              </w:numPr>
              <w:tabs>
                <w:tab w:val="left" w:pos="1064"/>
              </w:tabs>
              <w:spacing w:before="144"/>
              <w:ind w:right="406"/>
            </w:pPr>
            <w:r w:rsidRPr="00EC20A0">
              <w:t>identify</w:t>
            </w:r>
            <w:r w:rsidRPr="00EC20A0">
              <w:rPr>
                <w:spacing w:val="-5"/>
              </w:rPr>
              <w:t xml:space="preserve"> </w:t>
            </w:r>
            <w:r w:rsidRPr="00EC20A0">
              <w:t>the</w:t>
            </w:r>
            <w:r w:rsidRPr="00EC20A0">
              <w:rPr>
                <w:spacing w:val="-6"/>
              </w:rPr>
              <w:t xml:space="preserve"> </w:t>
            </w:r>
            <w:r w:rsidRPr="00EC20A0">
              <w:t>weakness</w:t>
            </w:r>
            <w:r w:rsidRPr="00EC20A0">
              <w:rPr>
                <w:spacing w:val="-5"/>
              </w:rPr>
              <w:t xml:space="preserve"> </w:t>
            </w:r>
            <w:r w:rsidRPr="00EC20A0">
              <w:t>in</w:t>
            </w:r>
            <w:r w:rsidRPr="00EC20A0">
              <w:rPr>
                <w:spacing w:val="-6"/>
              </w:rPr>
              <w:t xml:space="preserve"> </w:t>
            </w:r>
            <w:r w:rsidRPr="00EC20A0">
              <w:t>compliance</w:t>
            </w:r>
            <w:r w:rsidRPr="00EC20A0">
              <w:rPr>
                <w:spacing w:val="-6"/>
              </w:rPr>
              <w:t xml:space="preserve"> </w:t>
            </w:r>
            <w:r w:rsidRPr="00EC20A0">
              <w:t>controls</w:t>
            </w:r>
            <w:r w:rsidRPr="00EC20A0">
              <w:rPr>
                <w:spacing w:val="-5"/>
              </w:rPr>
              <w:t xml:space="preserve"> </w:t>
            </w:r>
            <w:r w:rsidRPr="00EC20A0">
              <w:t>that</w:t>
            </w:r>
            <w:r w:rsidRPr="00EC20A0">
              <w:rPr>
                <w:spacing w:val="-5"/>
              </w:rPr>
              <w:t xml:space="preserve"> </w:t>
            </w:r>
            <w:r w:rsidRPr="00EC20A0">
              <w:t>allowed the noncompliance to occur, if it was not previously identified during compliance control testing;</w:t>
            </w:r>
          </w:p>
          <w:p w14:paraId="24D61204" w14:textId="77777777" w:rsidR="00245300" w:rsidRPr="00EC20A0" w:rsidRDefault="00F17249">
            <w:pPr>
              <w:pStyle w:val="TableParagraph"/>
              <w:numPr>
                <w:ilvl w:val="1"/>
                <w:numId w:val="140"/>
              </w:numPr>
              <w:tabs>
                <w:tab w:val="left" w:pos="1064"/>
              </w:tabs>
              <w:spacing w:before="143"/>
              <w:ind w:right="515" w:hanging="361"/>
            </w:pPr>
            <w:r w:rsidRPr="00EC20A0">
              <w:t>determine</w:t>
            </w:r>
            <w:r w:rsidRPr="00EC20A0">
              <w:rPr>
                <w:spacing w:val="-5"/>
              </w:rPr>
              <w:t xml:space="preserve"> </w:t>
            </w:r>
            <w:r w:rsidRPr="00EC20A0">
              <w:t>the</w:t>
            </w:r>
            <w:r w:rsidRPr="00EC20A0">
              <w:rPr>
                <w:spacing w:val="-5"/>
              </w:rPr>
              <w:t xml:space="preserve"> </w:t>
            </w:r>
            <w:r w:rsidRPr="00EC20A0">
              <w:t>impact</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report</w:t>
            </w:r>
            <w:r w:rsidRPr="00EC20A0">
              <w:rPr>
                <w:spacing w:val="-5"/>
              </w:rPr>
              <w:t xml:space="preserve"> </w:t>
            </w:r>
            <w:r w:rsidRPr="00EC20A0">
              <w:t>on</w:t>
            </w:r>
            <w:r w:rsidRPr="00EC20A0">
              <w:rPr>
                <w:spacing w:val="-5"/>
              </w:rPr>
              <w:t xml:space="preserve"> </w:t>
            </w:r>
            <w:r w:rsidRPr="00EC20A0">
              <w:t>internal</w:t>
            </w:r>
            <w:r w:rsidRPr="00EC20A0">
              <w:rPr>
                <w:spacing w:val="-4"/>
              </w:rPr>
              <w:t xml:space="preserve"> </w:t>
            </w:r>
            <w:r w:rsidRPr="00EC20A0">
              <w:t>control</w:t>
            </w:r>
            <w:r w:rsidRPr="00EC20A0">
              <w:rPr>
                <w:spacing w:val="-5"/>
              </w:rPr>
              <w:t xml:space="preserve"> </w:t>
            </w:r>
            <w:r w:rsidRPr="00EC20A0">
              <w:t xml:space="preserve">as </w:t>
            </w:r>
            <w:r w:rsidRPr="00EC20A0">
              <w:t>appropriate (see FAM 580.56–.85);</w:t>
            </w:r>
          </w:p>
          <w:p w14:paraId="24D61205" w14:textId="77777777" w:rsidR="00245300" w:rsidRPr="00EC20A0" w:rsidRDefault="00F17249">
            <w:pPr>
              <w:pStyle w:val="TableParagraph"/>
              <w:numPr>
                <w:ilvl w:val="1"/>
                <w:numId w:val="140"/>
              </w:numPr>
              <w:tabs>
                <w:tab w:val="left" w:pos="1064"/>
              </w:tabs>
              <w:spacing w:before="142"/>
              <w:ind w:right="136"/>
            </w:pPr>
            <w:r w:rsidRPr="00EC20A0">
              <w:t>consider</w:t>
            </w:r>
            <w:r w:rsidRPr="00EC20A0">
              <w:rPr>
                <w:spacing w:val="-5"/>
              </w:rPr>
              <w:t xml:space="preserve"> </w:t>
            </w:r>
            <w:r w:rsidRPr="00EC20A0">
              <w:t>the</w:t>
            </w:r>
            <w:r w:rsidRPr="00EC20A0">
              <w:rPr>
                <w:spacing w:val="-6"/>
              </w:rPr>
              <w:t xml:space="preserve"> </w:t>
            </w:r>
            <w:r w:rsidRPr="00EC20A0">
              <w:t>implications</w:t>
            </w:r>
            <w:r w:rsidRPr="00EC20A0">
              <w:rPr>
                <w:spacing w:val="-6"/>
              </w:rPr>
              <w:t xml:space="preserve"> </w:t>
            </w:r>
            <w:r w:rsidRPr="00EC20A0">
              <w:t>of</w:t>
            </w:r>
            <w:r w:rsidRPr="00EC20A0">
              <w:rPr>
                <w:spacing w:val="-5"/>
              </w:rPr>
              <w:t xml:space="preserve"> </w:t>
            </w:r>
            <w:r w:rsidRPr="00EC20A0">
              <w:t>any</w:t>
            </w:r>
            <w:r w:rsidRPr="00EC20A0">
              <w:rPr>
                <w:spacing w:val="-5"/>
              </w:rPr>
              <w:t xml:space="preserve"> </w:t>
            </w:r>
            <w:r w:rsidRPr="00EC20A0">
              <w:t>instances</w:t>
            </w:r>
            <w:r w:rsidRPr="00EC20A0">
              <w:rPr>
                <w:spacing w:val="-5"/>
              </w:rPr>
              <w:t xml:space="preserve"> </w:t>
            </w:r>
            <w:r w:rsidRPr="00EC20A0">
              <w:t>of</w:t>
            </w:r>
            <w:r w:rsidRPr="00EC20A0">
              <w:rPr>
                <w:spacing w:val="-5"/>
              </w:rPr>
              <w:t xml:space="preserve"> </w:t>
            </w:r>
            <w:r w:rsidRPr="00EC20A0">
              <w:t>noncompliance on the financial statements; and</w:t>
            </w:r>
          </w:p>
          <w:p w14:paraId="24D61206" w14:textId="77777777" w:rsidR="00245300" w:rsidRPr="00EC20A0" w:rsidRDefault="00F17249">
            <w:pPr>
              <w:pStyle w:val="TableParagraph"/>
              <w:numPr>
                <w:ilvl w:val="1"/>
                <w:numId w:val="140"/>
              </w:numPr>
              <w:tabs>
                <w:tab w:val="left" w:pos="1064"/>
              </w:tabs>
              <w:spacing w:before="142"/>
              <w:ind w:right="615"/>
            </w:pPr>
            <w:r w:rsidRPr="00EC20A0">
              <w:t>report</w:t>
            </w:r>
            <w:r w:rsidRPr="00EC20A0">
              <w:rPr>
                <w:spacing w:val="-7"/>
              </w:rPr>
              <w:t xml:space="preserve"> </w:t>
            </w:r>
            <w:r w:rsidRPr="00EC20A0">
              <w:t>instances</w:t>
            </w:r>
            <w:r w:rsidRPr="00EC20A0">
              <w:rPr>
                <w:spacing w:val="-7"/>
              </w:rPr>
              <w:t xml:space="preserve"> </w:t>
            </w:r>
            <w:r w:rsidRPr="00EC20A0">
              <w:t>of</w:t>
            </w:r>
            <w:r w:rsidRPr="00EC20A0">
              <w:rPr>
                <w:spacing w:val="-7"/>
              </w:rPr>
              <w:t xml:space="preserve"> </w:t>
            </w:r>
            <w:r w:rsidRPr="00EC20A0">
              <w:t>noncompliance,</w:t>
            </w:r>
            <w:r w:rsidRPr="00EC20A0">
              <w:rPr>
                <w:spacing w:val="-8"/>
              </w:rPr>
              <w:t xml:space="preserve"> </w:t>
            </w:r>
            <w:r w:rsidRPr="00EC20A0">
              <w:t>as</w:t>
            </w:r>
            <w:r w:rsidRPr="00EC20A0">
              <w:rPr>
                <w:spacing w:val="-7"/>
              </w:rPr>
              <w:t xml:space="preserve"> </w:t>
            </w:r>
            <w:r w:rsidRPr="00EC20A0">
              <w:t>appropriate</w:t>
            </w:r>
            <w:r w:rsidRPr="00EC20A0">
              <w:rPr>
                <w:spacing w:val="-7"/>
              </w:rPr>
              <w:t xml:space="preserve"> </w:t>
            </w:r>
            <w:r w:rsidRPr="00EC20A0">
              <w:t>(see FAM 580.91–.99).</w:t>
            </w:r>
          </w:p>
        </w:tc>
        <w:tc>
          <w:tcPr>
            <w:tcW w:w="1152" w:type="dxa"/>
            <w:tcBorders>
              <w:top w:val="single" w:sz="6" w:space="0" w:color="000000"/>
              <w:left w:val="single" w:sz="6" w:space="0" w:color="000000"/>
              <w:bottom w:val="single" w:sz="6" w:space="0" w:color="000000"/>
              <w:right w:val="single" w:sz="6" w:space="0" w:color="000000"/>
            </w:tcBorders>
          </w:tcPr>
          <w:p w14:paraId="24D61207" w14:textId="77777777" w:rsidR="00245300" w:rsidRPr="00EC20A0" w:rsidRDefault="00245300">
            <w:pPr>
              <w:pStyle w:val="TableParagraph"/>
              <w:rPr>
                <w:sz w:val="20"/>
              </w:rPr>
            </w:pPr>
          </w:p>
        </w:tc>
        <w:tc>
          <w:tcPr>
            <w:tcW w:w="1218" w:type="dxa"/>
            <w:tcBorders>
              <w:top w:val="single" w:sz="6" w:space="0" w:color="000000"/>
              <w:left w:val="single" w:sz="6" w:space="0" w:color="000000"/>
              <w:bottom w:val="single" w:sz="6" w:space="0" w:color="000000"/>
            </w:tcBorders>
          </w:tcPr>
          <w:p w14:paraId="24D61208" w14:textId="77777777" w:rsidR="00245300" w:rsidRPr="00EC20A0" w:rsidRDefault="00245300">
            <w:pPr>
              <w:pStyle w:val="TableParagraph"/>
              <w:rPr>
                <w:sz w:val="20"/>
              </w:rPr>
            </w:pPr>
          </w:p>
        </w:tc>
      </w:tr>
      <w:tr w:rsidR="00245300" w:rsidRPr="00EC20A0" w14:paraId="24D6120D" w14:textId="77777777">
        <w:trPr>
          <w:trHeight w:val="795"/>
        </w:trPr>
        <w:tc>
          <w:tcPr>
            <w:tcW w:w="7080" w:type="dxa"/>
            <w:tcBorders>
              <w:top w:val="single" w:sz="6" w:space="0" w:color="000000"/>
              <w:bottom w:val="single" w:sz="6" w:space="0" w:color="000000"/>
              <w:right w:val="single" w:sz="6" w:space="0" w:color="000000"/>
            </w:tcBorders>
          </w:tcPr>
          <w:p w14:paraId="24D6120A" w14:textId="77777777" w:rsidR="00245300" w:rsidRPr="00EC20A0" w:rsidRDefault="00F17249">
            <w:pPr>
              <w:pStyle w:val="TableParagraph"/>
              <w:tabs>
                <w:tab w:val="left" w:pos="705"/>
              </w:tabs>
              <w:spacing w:before="143"/>
              <w:ind w:left="705" w:right="411" w:hanging="577"/>
            </w:pPr>
            <w:r w:rsidRPr="00EC20A0">
              <w:rPr>
                <w:spacing w:val="-6"/>
              </w:rPr>
              <w:t>8)</w:t>
            </w:r>
            <w:r w:rsidRPr="00EC20A0">
              <w:tab/>
              <w:t>Document</w:t>
            </w:r>
            <w:r w:rsidRPr="00EC20A0">
              <w:rPr>
                <w:spacing w:val="-6"/>
              </w:rPr>
              <w:t xml:space="preserve"> </w:t>
            </w:r>
            <w:r w:rsidRPr="00EC20A0">
              <w:t>conclusions</w:t>
            </w:r>
            <w:r w:rsidRPr="00EC20A0">
              <w:rPr>
                <w:spacing w:val="-6"/>
              </w:rPr>
              <w:t xml:space="preserve"> </w:t>
            </w:r>
            <w:r w:rsidRPr="00EC20A0">
              <w:t>on</w:t>
            </w:r>
            <w:r w:rsidRPr="00EC20A0">
              <w:rPr>
                <w:spacing w:val="-6"/>
              </w:rPr>
              <w:t xml:space="preserve"> </w:t>
            </w:r>
            <w:r w:rsidRPr="00EC20A0">
              <w:t>compliance</w:t>
            </w:r>
            <w:r w:rsidRPr="00EC20A0">
              <w:rPr>
                <w:spacing w:val="-6"/>
              </w:rPr>
              <w:t xml:space="preserve"> </w:t>
            </w:r>
            <w:r w:rsidRPr="00EC20A0">
              <w:t>with</w:t>
            </w:r>
            <w:r w:rsidRPr="00EC20A0">
              <w:rPr>
                <w:spacing w:val="-6"/>
              </w:rPr>
              <w:t xml:space="preserve"> </w:t>
            </w:r>
            <w:r w:rsidRPr="00EC20A0">
              <w:t>each</w:t>
            </w:r>
            <w:r w:rsidRPr="00EC20A0">
              <w:rPr>
                <w:spacing w:val="-7"/>
              </w:rPr>
              <w:t xml:space="preserve"> </w:t>
            </w:r>
            <w:r w:rsidRPr="00EC20A0">
              <w:t>provision</w:t>
            </w:r>
            <w:r w:rsidRPr="00EC20A0">
              <w:rPr>
                <w:spacing w:val="-6"/>
              </w:rPr>
              <w:t xml:space="preserve"> </w:t>
            </w:r>
            <w:r w:rsidRPr="00EC20A0">
              <w:t>on Form 806, Compliance Summary.</w:t>
            </w:r>
          </w:p>
        </w:tc>
        <w:tc>
          <w:tcPr>
            <w:tcW w:w="1152" w:type="dxa"/>
            <w:tcBorders>
              <w:top w:val="single" w:sz="6" w:space="0" w:color="000000"/>
              <w:left w:val="single" w:sz="6" w:space="0" w:color="000000"/>
              <w:bottom w:val="single" w:sz="6" w:space="0" w:color="000000"/>
              <w:right w:val="single" w:sz="6" w:space="0" w:color="000000"/>
            </w:tcBorders>
          </w:tcPr>
          <w:p w14:paraId="24D6120B" w14:textId="77777777" w:rsidR="00245300" w:rsidRPr="00EC20A0" w:rsidRDefault="00245300">
            <w:pPr>
              <w:pStyle w:val="TableParagraph"/>
              <w:rPr>
                <w:sz w:val="20"/>
              </w:rPr>
            </w:pPr>
          </w:p>
        </w:tc>
        <w:tc>
          <w:tcPr>
            <w:tcW w:w="1218" w:type="dxa"/>
            <w:tcBorders>
              <w:top w:val="single" w:sz="6" w:space="0" w:color="000000"/>
              <w:left w:val="single" w:sz="6" w:space="0" w:color="000000"/>
              <w:bottom w:val="single" w:sz="6" w:space="0" w:color="000000"/>
            </w:tcBorders>
          </w:tcPr>
          <w:p w14:paraId="24D6120C" w14:textId="77777777" w:rsidR="00245300" w:rsidRPr="00EC20A0" w:rsidRDefault="00245300">
            <w:pPr>
              <w:pStyle w:val="TableParagraph"/>
              <w:rPr>
                <w:sz w:val="20"/>
              </w:rPr>
            </w:pPr>
          </w:p>
        </w:tc>
      </w:tr>
    </w:tbl>
    <w:p w14:paraId="24D6120E" w14:textId="77777777" w:rsidR="00245300" w:rsidRPr="00EC20A0" w:rsidRDefault="00245300">
      <w:pPr>
        <w:rPr>
          <w:sz w:val="20"/>
        </w:rPr>
        <w:sectPr w:rsidR="00245300" w:rsidRPr="00EC20A0">
          <w:pgSz w:w="12240" w:h="15840"/>
          <w:pgMar w:top="1380" w:right="1240" w:bottom="940" w:left="1320" w:header="721" w:footer="742" w:gutter="0"/>
          <w:cols w:space="720"/>
        </w:sectPr>
      </w:pPr>
    </w:p>
    <w:p w14:paraId="24D6120F" w14:textId="77777777" w:rsidR="00245300" w:rsidRPr="00EC20A0" w:rsidRDefault="00F17249">
      <w:pPr>
        <w:pStyle w:val="BodyText"/>
        <w:tabs>
          <w:tab w:val="left" w:pos="1091"/>
        </w:tabs>
        <w:spacing w:before="82"/>
        <w:ind w:left="1109" w:right="484" w:hanging="990"/>
      </w:pPr>
      <w:r w:rsidRPr="00EC20A0">
        <w:rPr>
          <w:b/>
          <w:spacing w:val="-2"/>
        </w:rPr>
        <w:t>Note:</w:t>
      </w:r>
      <w:r w:rsidRPr="00EC20A0">
        <w:rPr>
          <w:b/>
        </w:rPr>
        <w:tab/>
      </w:r>
      <w:r w:rsidRPr="00EC20A0">
        <w:t>If the auditor uses multipurpose testing for the compliance test and/or compliance control</w:t>
      </w:r>
      <w:r w:rsidRPr="00EC20A0">
        <w:rPr>
          <w:spacing w:val="-3"/>
        </w:rPr>
        <w:t xml:space="preserve"> </w:t>
      </w:r>
      <w:r w:rsidRPr="00EC20A0">
        <w:t>test</w:t>
      </w:r>
      <w:r w:rsidRPr="00EC20A0">
        <w:rPr>
          <w:spacing w:val="-4"/>
        </w:rPr>
        <w:t xml:space="preserve"> </w:t>
      </w:r>
      <w:r w:rsidRPr="00EC20A0">
        <w:t>and/or</w:t>
      </w:r>
      <w:r w:rsidRPr="00EC20A0">
        <w:rPr>
          <w:spacing w:val="-3"/>
        </w:rPr>
        <w:t xml:space="preserve"> </w:t>
      </w:r>
      <w:r w:rsidRPr="00EC20A0">
        <w:t>a</w:t>
      </w:r>
      <w:r w:rsidRPr="00EC20A0">
        <w:rPr>
          <w:spacing w:val="-3"/>
        </w:rPr>
        <w:t xml:space="preserve"> </w:t>
      </w:r>
      <w:r w:rsidRPr="00EC20A0">
        <w:t>substantive</w:t>
      </w:r>
      <w:r w:rsidRPr="00EC20A0">
        <w:rPr>
          <w:spacing w:val="-3"/>
        </w:rPr>
        <w:t xml:space="preserve"> </w:t>
      </w:r>
      <w:r w:rsidRPr="00EC20A0">
        <w:t>test</w:t>
      </w:r>
      <w:r w:rsidRPr="00EC20A0">
        <w:rPr>
          <w:spacing w:val="-4"/>
        </w:rPr>
        <w:t xml:space="preserve"> </w:t>
      </w:r>
      <w:r w:rsidRPr="00EC20A0">
        <w:t>of</w:t>
      </w:r>
      <w:r w:rsidRPr="00EC20A0">
        <w:rPr>
          <w:spacing w:val="-3"/>
        </w:rPr>
        <w:t xml:space="preserve"> </w:t>
      </w:r>
      <w:r w:rsidRPr="00EC20A0">
        <w:t>payments</w:t>
      </w:r>
      <w:r w:rsidRPr="00EC20A0">
        <w:rPr>
          <w:spacing w:val="-2"/>
        </w:rPr>
        <w:t xml:space="preserve"> </w:t>
      </w:r>
      <w:r w:rsidRPr="00EC20A0">
        <w:t>details,</w:t>
      </w:r>
      <w:r w:rsidRPr="00EC20A0">
        <w:rPr>
          <w:spacing w:val="-3"/>
        </w:rPr>
        <w:t xml:space="preserve"> </w:t>
      </w:r>
      <w:r w:rsidRPr="00EC20A0">
        <w:t>then</w:t>
      </w:r>
      <w:r w:rsidRPr="00EC20A0">
        <w:rPr>
          <w:spacing w:val="-3"/>
        </w:rPr>
        <w:t xml:space="preserve"> </w:t>
      </w:r>
      <w:r w:rsidRPr="00EC20A0">
        <w:t>the</w:t>
      </w:r>
      <w:r w:rsidRPr="00EC20A0">
        <w:rPr>
          <w:spacing w:val="-3"/>
        </w:rPr>
        <w:t xml:space="preserve"> </w:t>
      </w:r>
      <w:r w:rsidRPr="00EC20A0">
        <w:t>sample</w:t>
      </w:r>
      <w:r w:rsidRPr="00EC20A0">
        <w:rPr>
          <w:spacing w:val="-3"/>
        </w:rPr>
        <w:t xml:space="preserve"> </w:t>
      </w:r>
      <w:r w:rsidRPr="00EC20A0">
        <w:t>items</w:t>
      </w:r>
      <w:r w:rsidRPr="00EC20A0">
        <w:rPr>
          <w:spacing w:val="-3"/>
        </w:rPr>
        <w:t xml:space="preserve"> </w:t>
      </w:r>
      <w:r w:rsidRPr="00EC20A0">
        <w:t xml:space="preserve">for the </w:t>
      </w:r>
      <w:r w:rsidRPr="00EC20A0">
        <w:t>compliance test and/or compliance control test should be selected using the sampling method used for the substantive test, as described in FAM 430, Design Tests. Otherwise, the auditor should select items using attribute sampling, as discussed in FAM 460.02.</w:t>
      </w:r>
    </w:p>
    <w:p w14:paraId="24D61210" w14:textId="77777777" w:rsidR="00245300" w:rsidRPr="00EC20A0" w:rsidRDefault="00F17249">
      <w:pPr>
        <w:pStyle w:val="BodyText"/>
        <w:spacing w:before="144"/>
        <w:ind w:left="1098" w:right="139"/>
      </w:pPr>
      <w:r w:rsidRPr="00EC20A0">
        <w:t>As</w:t>
      </w:r>
      <w:r w:rsidRPr="00EC20A0">
        <w:rPr>
          <w:spacing w:val="-3"/>
        </w:rPr>
        <w:t xml:space="preserve"> </w:t>
      </w:r>
      <w:r w:rsidRPr="00EC20A0">
        <w:t>with</w:t>
      </w:r>
      <w:r w:rsidRPr="00EC20A0">
        <w:rPr>
          <w:spacing w:val="-3"/>
        </w:rPr>
        <w:t xml:space="preserve"> </w:t>
      </w:r>
      <w:r w:rsidRPr="00EC20A0">
        <w:t>all</w:t>
      </w:r>
      <w:r w:rsidRPr="00EC20A0">
        <w:rPr>
          <w:spacing w:val="-3"/>
        </w:rPr>
        <w:t xml:space="preserve"> </w:t>
      </w:r>
      <w:r w:rsidRPr="00EC20A0">
        <w:t>sampling</w:t>
      </w:r>
      <w:r w:rsidRPr="00EC20A0">
        <w:rPr>
          <w:spacing w:val="-3"/>
        </w:rPr>
        <w:t xml:space="preserve"> </w:t>
      </w:r>
      <w:r w:rsidRPr="00EC20A0">
        <w:t>applications,</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should</w:t>
      </w:r>
      <w:r w:rsidRPr="00EC20A0">
        <w:rPr>
          <w:spacing w:val="-3"/>
        </w:rPr>
        <w:t xml:space="preserve"> </w:t>
      </w:r>
      <w:r w:rsidRPr="00EC20A0">
        <w:t>consider</w:t>
      </w:r>
      <w:r w:rsidRPr="00EC20A0">
        <w:rPr>
          <w:spacing w:val="-3"/>
        </w:rPr>
        <w:t xml:space="preserve"> </w:t>
      </w:r>
      <w:r w:rsidRPr="00EC20A0">
        <w:t>the</w:t>
      </w:r>
      <w:r w:rsidRPr="00EC20A0">
        <w:rPr>
          <w:spacing w:val="-3"/>
        </w:rPr>
        <w:t xml:space="preserve"> </w:t>
      </w:r>
      <w:r w:rsidRPr="00EC20A0">
        <w:t>completeness</w:t>
      </w:r>
      <w:r w:rsidRPr="00EC20A0">
        <w:rPr>
          <w:spacing w:val="-3"/>
        </w:rPr>
        <w:t xml:space="preserve"> </w:t>
      </w:r>
      <w:r w:rsidRPr="00EC20A0">
        <w:t>of</w:t>
      </w:r>
      <w:r w:rsidRPr="00EC20A0">
        <w:rPr>
          <w:spacing w:val="-3"/>
        </w:rPr>
        <w:t xml:space="preserve"> </w:t>
      </w:r>
      <w:r w:rsidRPr="00EC20A0">
        <w:t xml:space="preserve">the test population. For efficiency, the auditor should consider using records that were tested for validity, accuracy, and completeness (as well as the other </w:t>
      </w:r>
      <w:r w:rsidRPr="00EC20A0">
        <w:t>assertions) in conjunction with substantive tests of the population.</w:t>
      </w:r>
    </w:p>
    <w:p w14:paraId="24D61211" w14:textId="77777777" w:rsidR="00245300" w:rsidRPr="00EC20A0" w:rsidRDefault="00245300">
      <w:pPr>
        <w:sectPr w:rsidR="00245300" w:rsidRPr="00EC20A0">
          <w:pgSz w:w="12240" w:h="15840"/>
          <w:pgMar w:top="1380" w:right="1240" w:bottom="940" w:left="1320" w:header="721" w:footer="742" w:gutter="0"/>
          <w:cols w:space="720"/>
        </w:sectPr>
      </w:pPr>
    </w:p>
    <w:p w14:paraId="24D61212" w14:textId="77777777" w:rsidR="00245300" w:rsidRPr="00EC20A0" w:rsidRDefault="00F17249">
      <w:pPr>
        <w:pStyle w:val="BodyText"/>
        <w:spacing w:before="65"/>
        <w:ind w:left="140"/>
      </w:pPr>
      <w:r w:rsidRPr="00EC20A0">
        <w:rPr>
          <w:noProof/>
        </w:rPr>
        <mc:AlternateContent>
          <mc:Choice Requires="wps">
            <w:drawing>
              <wp:anchor distT="0" distB="0" distL="0" distR="0" simplePos="0" relativeHeight="15815168" behindDoc="0" locked="0" layoutInCell="1" allowOverlap="1" wp14:anchorId="24D62C05" wp14:editId="24D62C06">
                <wp:simplePos x="0" y="0"/>
                <wp:positionH relativeFrom="page">
                  <wp:posOffset>666750</wp:posOffset>
                </wp:positionH>
                <wp:positionV relativeFrom="paragraph">
                  <wp:posOffset>761</wp:posOffset>
                </wp:positionV>
                <wp:extent cx="8496300" cy="2857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45E11D" id="Graphic 587" o:spid="_x0000_s1026" style="position:absolute;margin-left:52.5pt;margin-top:.05pt;width:669pt;height:2.25pt;z-index:15815168;visibility:visible;mso-wrap-style:square;mso-wrap-distance-left:0;mso-wrap-distance-top:0;mso-wrap-distance-right:0;mso-wrap-distance-bottom:0;mso-position-horizontal:absolute;mso-position-horizontal-relative:page;mso-position-vertical:absolute;mso-position-vertical-relative:text;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" path="m8496300,l,,,28194r8496300,l8496300,xe" fillcolor="black" stroked="f">
                <v:path arrowok="t"/>
                <w10:wrap anchorx="page"/>
              </v:shape>
            </w:pict>
          </mc:Fallback>
        </mc:AlternateContent>
      </w:r>
      <w:r w:rsidRPr="00EC20A0">
        <w:rPr>
          <w:spacing w:val="-2"/>
        </w:rPr>
        <w:t>Compliance</w:t>
      </w:r>
    </w:p>
    <w:p w14:paraId="24D61213" w14:textId="77777777" w:rsidR="00245300" w:rsidRPr="00EC20A0" w:rsidRDefault="00F17249">
      <w:pPr>
        <w:pStyle w:val="BodyText"/>
        <w:ind w:left="140"/>
      </w:pPr>
      <w:r w:rsidRPr="00EC20A0">
        <w:rPr>
          <w:noProof/>
        </w:rPr>
        <mc:AlternateContent>
          <mc:Choice Requires="wps">
            <w:drawing>
              <wp:anchor distT="0" distB="0" distL="0" distR="0" simplePos="0" relativeHeight="15815680" behindDoc="0" locked="0" layoutInCell="1" allowOverlap="1" wp14:anchorId="24D62C07" wp14:editId="24D62C08">
                <wp:simplePos x="0" y="0"/>
                <wp:positionH relativeFrom="page">
                  <wp:posOffset>666750</wp:posOffset>
                </wp:positionH>
                <wp:positionV relativeFrom="paragraph">
                  <wp:posOffset>172987</wp:posOffset>
                </wp:positionV>
                <wp:extent cx="8496300" cy="2857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FF2FA" id="Graphic 588" o:spid="_x0000_s1026" style="position:absolute;margin-left:52.5pt;margin-top:13.6pt;width:669pt;height:2.25pt;z-index:15815680;visibility:visible;mso-wrap-style:square;mso-wrap-distance-left:0;mso-wrap-distance-top:0;mso-wrap-distance-right:0;mso-wrap-distance-bottom:0;mso-position-horizontal:absolute;mso-position-horizontal-relative:page;mso-position-vertical:absolute;mso-position-vertical-relative:text;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" path="m8496300,l,,,28194r8496300,l8496300,xe" fillcolor="black" stroked="f">
                <v:path arrowok="t"/>
                <w10:wrap anchorx="page"/>
              </v:shape>
            </w:pict>
          </mc:Fallback>
        </mc:AlternateContent>
      </w:r>
      <w:r w:rsidRPr="00EC20A0">
        <w:t>807</w:t>
      </w:r>
      <w:r w:rsidRPr="00EC20A0">
        <w:rPr>
          <w:spacing w:val="-7"/>
        </w:rPr>
        <w:t xml:space="preserve"> </w:t>
      </w:r>
      <w:r w:rsidRPr="00EC20A0">
        <w:t>–</w:t>
      </w:r>
      <w:r w:rsidRPr="00EC20A0">
        <w:rPr>
          <w:spacing w:val="-7"/>
        </w:rPr>
        <w:t xml:space="preserve"> </w:t>
      </w:r>
      <w:r w:rsidRPr="00EC20A0">
        <w:t>Pay</w:t>
      </w:r>
      <w:r w:rsidRPr="00EC20A0">
        <w:rPr>
          <w:spacing w:val="-6"/>
        </w:rPr>
        <w:t xml:space="preserve"> </w:t>
      </w:r>
      <w:r w:rsidRPr="00EC20A0">
        <w:t>and</w:t>
      </w:r>
      <w:r w:rsidRPr="00EC20A0">
        <w:rPr>
          <w:spacing w:val="-7"/>
        </w:rPr>
        <w:t xml:space="preserve"> </w:t>
      </w:r>
      <w:r w:rsidRPr="00EC20A0">
        <w:t>Allowance</w:t>
      </w:r>
      <w:r w:rsidRPr="00EC20A0">
        <w:rPr>
          <w:spacing w:val="-6"/>
        </w:rPr>
        <w:t xml:space="preserve"> </w:t>
      </w:r>
      <w:r w:rsidRPr="00EC20A0">
        <w:t>System</w:t>
      </w:r>
      <w:r w:rsidRPr="00EC20A0">
        <w:rPr>
          <w:spacing w:val="-8"/>
        </w:rPr>
        <w:t xml:space="preserve"> </w:t>
      </w:r>
      <w:r w:rsidRPr="00EC20A0">
        <w:t>for</w:t>
      </w:r>
      <w:r w:rsidRPr="00EC20A0">
        <w:rPr>
          <w:spacing w:val="-6"/>
        </w:rPr>
        <w:t xml:space="preserve"> </w:t>
      </w:r>
      <w:r w:rsidRPr="00EC20A0">
        <w:t>Civilian</w:t>
      </w:r>
      <w:r w:rsidRPr="00EC20A0">
        <w:rPr>
          <w:spacing w:val="-7"/>
        </w:rPr>
        <w:t xml:space="preserve"> </w:t>
      </w:r>
      <w:r w:rsidRPr="00EC20A0">
        <w:t>Employees,</w:t>
      </w:r>
      <w:r w:rsidRPr="00EC20A0">
        <w:rPr>
          <w:spacing w:val="-6"/>
        </w:rPr>
        <w:t xml:space="preserve"> </w:t>
      </w:r>
      <w:r w:rsidRPr="00EC20A0">
        <w:t>as</w:t>
      </w:r>
      <w:r w:rsidRPr="00EC20A0">
        <w:rPr>
          <w:spacing w:val="-7"/>
        </w:rPr>
        <w:t xml:space="preserve"> </w:t>
      </w:r>
      <w:r w:rsidRPr="00EC20A0">
        <w:t>Provided</w:t>
      </w:r>
      <w:r w:rsidRPr="00EC20A0">
        <w:rPr>
          <w:spacing w:val="-8"/>
        </w:rPr>
        <w:t xml:space="preserve"> </w:t>
      </w:r>
      <w:r w:rsidRPr="00EC20A0">
        <w:t>Primarily</w:t>
      </w:r>
      <w:r w:rsidRPr="00EC20A0">
        <w:rPr>
          <w:spacing w:val="-6"/>
        </w:rPr>
        <w:t xml:space="preserve"> </w:t>
      </w:r>
      <w:r w:rsidRPr="00EC20A0">
        <w:t>in</w:t>
      </w:r>
      <w:r w:rsidRPr="00EC20A0">
        <w:rPr>
          <w:spacing w:val="-8"/>
        </w:rPr>
        <w:t xml:space="preserve"> </w:t>
      </w:r>
      <w:r w:rsidRPr="00EC20A0">
        <w:t>5</w:t>
      </w:r>
      <w:r w:rsidRPr="00EC20A0">
        <w:rPr>
          <w:spacing w:val="-6"/>
        </w:rPr>
        <w:t xml:space="preserve"> </w:t>
      </w:r>
      <w:r w:rsidRPr="00EC20A0">
        <w:t>U.S.C.</w:t>
      </w:r>
      <w:r w:rsidRPr="00EC20A0">
        <w:rPr>
          <w:spacing w:val="-7"/>
        </w:rPr>
        <w:t xml:space="preserve"> </w:t>
      </w:r>
      <w:r w:rsidRPr="00EC20A0">
        <w:t>C</w:t>
      </w:r>
      <w:bookmarkStart w:id="235" w:name="_bookmark125"/>
      <w:bookmarkEnd w:id="235"/>
      <w:r w:rsidRPr="00EC20A0">
        <w:t>hapters</w:t>
      </w:r>
      <w:r w:rsidRPr="00EC20A0">
        <w:rPr>
          <w:spacing w:val="-6"/>
        </w:rPr>
        <w:t xml:space="preserve"> </w:t>
      </w:r>
      <w:r w:rsidRPr="00EC20A0">
        <w:rPr>
          <w:spacing w:val="-2"/>
        </w:rPr>
        <w:t>51–59</w:t>
      </w:r>
    </w:p>
    <w:p w14:paraId="24D61214" w14:textId="77777777" w:rsidR="00245300" w:rsidRPr="00EC20A0" w:rsidRDefault="00F17249">
      <w:pPr>
        <w:pStyle w:val="Heading3"/>
        <w:spacing w:before="185"/>
        <w:ind w:left="140"/>
        <w:rPr>
          <w:u w:val="none"/>
        </w:rPr>
      </w:pPr>
      <w:bookmarkStart w:id="236" w:name="807_–_Pay_and_Allowance_System_for_Civil"/>
      <w:bookmarkStart w:id="237" w:name="_bookmark126"/>
      <w:bookmarkEnd w:id="236"/>
      <w:bookmarkEnd w:id="237"/>
      <w:r w:rsidRPr="00EC20A0">
        <w:t>807</w:t>
      </w:r>
      <w:r w:rsidRPr="00EC20A0">
        <w:rPr>
          <w:spacing w:val="-7"/>
        </w:rPr>
        <w:t xml:space="preserve"> </w:t>
      </w:r>
      <w:r w:rsidRPr="00EC20A0">
        <w:t>–</w:t>
      </w:r>
      <w:r w:rsidRPr="00EC20A0">
        <w:rPr>
          <w:spacing w:val="-3"/>
        </w:rPr>
        <w:t xml:space="preserve"> </w:t>
      </w:r>
      <w:r w:rsidRPr="00EC20A0">
        <w:t>Pay</w:t>
      </w:r>
      <w:r w:rsidRPr="00EC20A0">
        <w:rPr>
          <w:spacing w:val="-4"/>
        </w:rPr>
        <w:t xml:space="preserve"> </w:t>
      </w:r>
      <w:r w:rsidRPr="00EC20A0">
        <w:t>and</w:t>
      </w:r>
      <w:r w:rsidRPr="00EC20A0">
        <w:rPr>
          <w:spacing w:val="-16"/>
        </w:rPr>
        <w:t xml:space="preserve"> </w:t>
      </w:r>
      <w:r w:rsidRPr="00EC20A0">
        <w:t>Allowance</w:t>
      </w:r>
      <w:r w:rsidRPr="00EC20A0">
        <w:rPr>
          <w:spacing w:val="-3"/>
        </w:rPr>
        <w:t xml:space="preserve"> </w:t>
      </w:r>
      <w:r w:rsidRPr="00EC20A0">
        <w:t>System</w:t>
      </w:r>
      <w:r w:rsidRPr="00EC20A0">
        <w:rPr>
          <w:spacing w:val="-4"/>
        </w:rPr>
        <w:t xml:space="preserve"> </w:t>
      </w:r>
      <w:r w:rsidRPr="00EC20A0">
        <w:t>for</w:t>
      </w:r>
      <w:r w:rsidRPr="00EC20A0">
        <w:rPr>
          <w:spacing w:val="-5"/>
        </w:rPr>
        <w:t xml:space="preserve"> </w:t>
      </w:r>
      <w:r w:rsidRPr="00EC20A0">
        <w:t>Civilian</w:t>
      </w:r>
      <w:r w:rsidRPr="00EC20A0">
        <w:rPr>
          <w:spacing w:val="-5"/>
        </w:rPr>
        <w:t xml:space="preserve"> </w:t>
      </w:r>
      <w:r w:rsidRPr="00EC20A0">
        <w:t>Employees,</w:t>
      </w:r>
      <w:r w:rsidRPr="00EC20A0">
        <w:rPr>
          <w:spacing w:val="-5"/>
        </w:rPr>
        <w:t xml:space="preserve"> </w:t>
      </w:r>
      <w:r w:rsidRPr="00EC20A0">
        <w:t>as</w:t>
      </w:r>
      <w:r w:rsidRPr="00EC20A0">
        <w:rPr>
          <w:spacing w:val="-4"/>
        </w:rPr>
        <w:t xml:space="preserve"> </w:t>
      </w:r>
      <w:r w:rsidRPr="00EC20A0">
        <w:t>Provided</w:t>
      </w:r>
      <w:r w:rsidRPr="00EC20A0">
        <w:rPr>
          <w:spacing w:val="-3"/>
        </w:rPr>
        <w:t xml:space="preserve"> </w:t>
      </w:r>
      <w:r w:rsidRPr="00EC20A0">
        <w:t>Primarily</w:t>
      </w:r>
      <w:r w:rsidRPr="00EC20A0">
        <w:rPr>
          <w:spacing w:val="-3"/>
        </w:rPr>
        <w:t xml:space="preserve"> </w:t>
      </w:r>
      <w:r w:rsidRPr="00EC20A0">
        <w:t>in</w:t>
      </w:r>
      <w:r w:rsidRPr="00EC20A0">
        <w:rPr>
          <w:spacing w:val="-4"/>
        </w:rPr>
        <w:t xml:space="preserve"> </w:t>
      </w:r>
      <w:r w:rsidRPr="00EC20A0">
        <w:rPr>
          <w:spacing w:val="-10"/>
        </w:rPr>
        <w:t>5</w:t>
      </w:r>
    </w:p>
    <w:p w14:paraId="24D61215" w14:textId="77777777" w:rsidR="00245300" w:rsidRPr="00EC20A0" w:rsidRDefault="00F17249">
      <w:pPr>
        <w:ind w:left="140"/>
        <w:rPr>
          <w:b/>
          <w:sz w:val="32"/>
        </w:rPr>
      </w:pPr>
      <w:r w:rsidRPr="00EC20A0">
        <w:rPr>
          <w:b/>
          <w:sz w:val="32"/>
          <w:u w:val="single"/>
        </w:rPr>
        <w:t>U.S.C.</w:t>
      </w:r>
      <w:r w:rsidRPr="00EC20A0">
        <w:rPr>
          <w:b/>
          <w:spacing w:val="-6"/>
          <w:sz w:val="32"/>
          <w:u w:val="single"/>
        </w:rPr>
        <w:t xml:space="preserve"> </w:t>
      </w:r>
      <w:r w:rsidRPr="00EC20A0">
        <w:rPr>
          <w:b/>
          <w:sz w:val="32"/>
          <w:u w:val="single"/>
        </w:rPr>
        <w:t>Chapters</w:t>
      </w:r>
      <w:r w:rsidRPr="00EC20A0">
        <w:rPr>
          <w:b/>
          <w:spacing w:val="-4"/>
          <w:sz w:val="32"/>
          <w:u w:val="single"/>
        </w:rPr>
        <w:t xml:space="preserve"> 51–59</w:t>
      </w:r>
    </w:p>
    <w:p w14:paraId="24D61216" w14:textId="77777777" w:rsidR="00245300" w:rsidRPr="00EC20A0" w:rsidRDefault="00F17249">
      <w:pPr>
        <w:pStyle w:val="BodyText"/>
        <w:spacing w:before="143"/>
        <w:ind w:left="139"/>
      </w:pPr>
      <w:r w:rsidRPr="00EC20A0">
        <w:t xml:space="preserve">Note: The auditor should complete this compliance summary or prepare equivalent documentation only if provisions of the Pay and Allowance System for Civilian Employees, as provided </w:t>
      </w:r>
      <w:r w:rsidRPr="00EC20A0">
        <w:t>primarily in 5 U.S.C. chapters 51–59, are significant, as indicated on Form 802, General</w:t>
      </w:r>
      <w:r w:rsidRPr="00EC20A0">
        <w:rPr>
          <w:spacing w:val="-2"/>
        </w:rPr>
        <w:t xml:space="preserve"> </w:t>
      </w:r>
      <w:r w:rsidRPr="00EC20A0">
        <w:t>Compliance</w:t>
      </w:r>
      <w:r w:rsidRPr="00EC20A0">
        <w:rPr>
          <w:spacing w:val="-2"/>
        </w:rPr>
        <w:t xml:space="preserve"> </w:t>
      </w:r>
      <w:r w:rsidRPr="00EC20A0">
        <w:t>Checklist,</w:t>
      </w:r>
      <w:r w:rsidRPr="00EC20A0">
        <w:rPr>
          <w:spacing w:val="-2"/>
        </w:rPr>
        <w:t xml:space="preserve"> </w:t>
      </w:r>
      <w:r w:rsidRPr="00EC20A0">
        <w:t>at</w:t>
      </w:r>
      <w:r w:rsidRPr="00EC20A0">
        <w:rPr>
          <w:spacing w:val="-2"/>
        </w:rPr>
        <w:t xml:space="preserve"> </w:t>
      </w:r>
      <w:r w:rsidRPr="00EC20A0">
        <w:t>page</w:t>
      </w:r>
      <w:r w:rsidRPr="00EC20A0">
        <w:rPr>
          <w:spacing w:val="-2"/>
        </w:rPr>
        <w:t xml:space="preserve"> </w:t>
      </w:r>
      <w:r w:rsidRPr="00EC20A0">
        <w:t>802-8.</w:t>
      </w:r>
      <w:r w:rsidRPr="00EC20A0">
        <w:rPr>
          <w:spacing w:val="-2"/>
        </w:rPr>
        <w:t xml:space="preserve"> </w:t>
      </w:r>
      <w:r w:rsidRPr="00EC20A0">
        <w:t>Implementing</w:t>
      </w:r>
      <w:r w:rsidRPr="00EC20A0">
        <w:rPr>
          <w:spacing w:val="-2"/>
        </w:rPr>
        <w:t xml:space="preserve"> </w:t>
      </w:r>
      <w:r w:rsidRPr="00EC20A0">
        <w:t>regulations</w:t>
      </w:r>
      <w:r w:rsidRPr="00EC20A0">
        <w:rPr>
          <w:spacing w:val="-2"/>
        </w:rPr>
        <w:t xml:space="preserve"> </w:t>
      </w:r>
      <w:r w:rsidRPr="00EC20A0">
        <w:t>issued</w:t>
      </w:r>
      <w:r w:rsidRPr="00EC20A0">
        <w:rPr>
          <w:spacing w:val="-3"/>
        </w:rPr>
        <w:t xml:space="preserve"> </w:t>
      </w:r>
      <w:r w:rsidRPr="00EC20A0">
        <w:t>by</w:t>
      </w:r>
      <w:r w:rsidRPr="00EC20A0">
        <w:rPr>
          <w:spacing w:val="-2"/>
        </w:rPr>
        <w:t xml:space="preserve"> </w:t>
      </w:r>
      <w:r w:rsidRPr="00EC20A0">
        <w:t>the</w:t>
      </w:r>
      <w:r w:rsidRPr="00EC20A0">
        <w:rPr>
          <w:spacing w:val="-2"/>
        </w:rPr>
        <w:t xml:space="preserve"> </w:t>
      </w:r>
      <w:r w:rsidRPr="00EC20A0">
        <w:t>Office</w:t>
      </w:r>
      <w:r w:rsidRPr="00EC20A0">
        <w:rPr>
          <w:spacing w:val="-2"/>
        </w:rPr>
        <w:t xml:space="preserve"> </w:t>
      </w:r>
      <w:r w:rsidRPr="00EC20A0">
        <w:t>of</w:t>
      </w:r>
      <w:r w:rsidRPr="00EC20A0">
        <w:rPr>
          <w:spacing w:val="-3"/>
        </w:rPr>
        <w:t xml:space="preserve"> </w:t>
      </w:r>
      <w:r w:rsidRPr="00EC20A0">
        <w:t>Personnel</w:t>
      </w:r>
      <w:r w:rsidRPr="00EC20A0">
        <w:rPr>
          <w:spacing w:val="-3"/>
        </w:rPr>
        <w:t xml:space="preserve"> </w:t>
      </w:r>
      <w:r w:rsidRPr="00EC20A0">
        <w:t>Management</w:t>
      </w:r>
      <w:r w:rsidRPr="00EC20A0">
        <w:rPr>
          <w:spacing w:val="-2"/>
        </w:rPr>
        <w:t xml:space="preserve"> </w:t>
      </w:r>
      <w:r w:rsidRPr="00EC20A0">
        <w:t>are</w:t>
      </w:r>
      <w:r w:rsidRPr="00EC20A0">
        <w:rPr>
          <w:spacing w:val="-2"/>
        </w:rPr>
        <w:t xml:space="preserve"> </w:t>
      </w:r>
      <w:r w:rsidRPr="00EC20A0">
        <w:t>included</w:t>
      </w:r>
      <w:r w:rsidRPr="00EC20A0">
        <w:rPr>
          <w:spacing w:val="-2"/>
        </w:rPr>
        <w:t xml:space="preserve"> </w:t>
      </w:r>
      <w:r w:rsidRPr="00EC20A0">
        <w:t>in Title 5, U.S. Code of Federal Regulations.</w:t>
      </w:r>
    </w:p>
    <w:p w14:paraId="24D61217" w14:textId="77777777" w:rsidR="00245300" w:rsidRPr="00EC20A0" w:rsidRDefault="00245300">
      <w:pPr>
        <w:pStyle w:val="BodyText"/>
        <w:spacing w:before="5"/>
        <w:rPr>
          <w:sz w:val="13"/>
        </w:rPr>
      </w:pPr>
    </w:p>
    <w:tbl>
      <w:tblPr>
        <w:tblW w:w="0" w:type="auto"/>
        <w:tblInd w:w="19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245300" w:rsidRPr="00EC20A0" w14:paraId="24D6121B" w14:textId="77777777">
        <w:trPr>
          <w:trHeight w:val="1573"/>
        </w:trPr>
        <w:tc>
          <w:tcPr>
            <w:tcW w:w="13176" w:type="dxa"/>
            <w:gridSpan w:val="6"/>
          </w:tcPr>
          <w:p w14:paraId="24D61218" w14:textId="77777777" w:rsidR="00245300" w:rsidRPr="00EC20A0" w:rsidRDefault="00F17249">
            <w:pPr>
              <w:pStyle w:val="TableParagraph"/>
              <w:tabs>
                <w:tab w:val="left" w:pos="9184"/>
              </w:tabs>
              <w:spacing w:before="144"/>
              <w:ind w:right="192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1219" w14:textId="77777777" w:rsidR="00245300" w:rsidRPr="00EC20A0" w:rsidRDefault="00F17249">
            <w:pPr>
              <w:pStyle w:val="TableParagraph"/>
              <w:spacing w:before="11"/>
              <w:ind w:left="1946" w:right="1925"/>
              <w:jc w:val="center"/>
              <w:rPr>
                <w:b/>
                <w:sz w:val="24"/>
              </w:rPr>
            </w:pPr>
            <w:r w:rsidRPr="00EC20A0">
              <w:rPr>
                <w:noProof/>
              </w:rPr>
              <mc:AlternateContent>
                <mc:Choice Requires="wpg">
                  <w:drawing>
                    <wp:anchor distT="0" distB="0" distL="0" distR="0" simplePos="0" relativeHeight="475329536" behindDoc="1" locked="0" layoutInCell="1" allowOverlap="1" wp14:anchorId="24D62C09" wp14:editId="24D62C0A">
                      <wp:simplePos x="0" y="0"/>
                      <wp:positionH relativeFrom="column">
                        <wp:posOffset>6953250</wp:posOffset>
                      </wp:positionH>
                      <wp:positionV relativeFrom="paragraph">
                        <wp:posOffset>91260</wp:posOffset>
                      </wp:positionV>
                      <wp:extent cx="1344930" cy="635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90" name="Graphic 590"/>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DD02FB" id="Group 589" o:spid="_x0000_s1026" style="position:absolute;margin-left:547.5pt;margin-top:7.2pt;width:105.9pt;height:.5pt;z-index:-2798694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">
                      <v:shape id="Graphic 590"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" path="m1344929,l,,,6096r1344929,l1344929,xe" fillcolor="black" stroked="f">
                        <v:path arrowok="t"/>
                      </v:shape>
                    </v:group>
                  </w:pict>
                </mc:Fallback>
              </mc:AlternateContent>
            </w:r>
            <w:r w:rsidRPr="00EC20A0">
              <w:rPr>
                <w:noProof/>
              </w:rPr>
              <mc:AlternateContent>
                <mc:Choice Requires="wpg">
                  <w:drawing>
                    <wp:anchor distT="0" distB="0" distL="0" distR="0" simplePos="0" relativeHeight="475330560" behindDoc="1" locked="0" layoutInCell="1" allowOverlap="1" wp14:anchorId="24D62C0B" wp14:editId="24D62C0C">
                      <wp:simplePos x="0" y="0"/>
                      <wp:positionH relativeFrom="column">
                        <wp:posOffset>6953250</wp:posOffset>
                      </wp:positionH>
                      <wp:positionV relativeFrom="paragraph">
                        <wp:posOffset>441018</wp:posOffset>
                      </wp:positionV>
                      <wp:extent cx="1344930" cy="635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592" name="Graphic 592"/>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C0FCC1" id="Group 591" o:spid="_x0000_s1026" style="position:absolute;margin-left:547.5pt;margin-top:34.75pt;width:105.9pt;height:.5pt;z-index:-2798592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BpnEiwcwIAAPMFAAAOAAAA&#10;AAAAAAAAAAAAAC4CAABkcnMvZTJvRG9jLnhtbFBLAQItABQABgAIAAAAIQCvzK704QAAAAsBAAAP&#10;AAAAAAAAAAAAAAAAAM0EAABkcnMvZG93bnJldi54bWxQSwUGAAAAAAQABADzAAAA2wUAAAAA&#10;">
                      <v:shape id="Graphic 592"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" path="m1344929,l,,,6096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21A" w14:textId="77777777" w:rsidR="00245300" w:rsidRPr="00EC20A0" w:rsidRDefault="00F17249">
            <w:pPr>
              <w:pStyle w:val="TableParagraph"/>
              <w:tabs>
                <w:tab w:val="left" w:pos="8878"/>
              </w:tabs>
              <w:spacing w:before="11"/>
              <w:ind w:right="1681"/>
              <w:jc w:val="center"/>
            </w:pPr>
            <w:r w:rsidRPr="00EC20A0">
              <w:rPr>
                <w:noProof/>
              </w:rPr>
              <mc:AlternateContent>
                <mc:Choice Requires="wpg">
                  <w:drawing>
                    <wp:anchor distT="0" distB="0" distL="0" distR="0" simplePos="0" relativeHeight="475329024" behindDoc="1" locked="0" layoutInCell="1" allowOverlap="1" wp14:anchorId="24D62C0D" wp14:editId="24D62C0E">
                      <wp:simplePos x="0" y="0"/>
                      <wp:positionH relativeFrom="column">
                        <wp:posOffset>1260347</wp:posOffset>
                      </wp:positionH>
                      <wp:positionV relativeFrom="paragraph">
                        <wp:posOffset>-91312</wp:posOffset>
                      </wp:positionV>
                      <wp:extent cx="1183005" cy="6350"/>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94" name="Graphic 594"/>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D6FA1F" id="Group 593" o:spid="_x0000_s1026" style="position:absolute;margin-left:99.25pt;margin-top:-7.2pt;width:93.15pt;height:.5pt;z-index:-2798745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">
                      <v:shape id="Graphic 594"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" path="m1182611,l,,,6096r1182611,l1182611,xe" fillcolor="black" stroked="f">
                        <v:path arrowok="t"/>
                      </v:shape>
                    </v:group>
                  </w:pict>
                </mc:Fallback>
              </mc:AlternateContent>
            </w:r>
            <w:r w:rsidRPr="00EC20A0">
              <w:rPr>
                <w:noProof/>
              </w:rPr>
              <mc:AlternateContent>
                <mc:Choice Requires="wpg">
                  <w:drawing>
                    <wp:anchor distT="0" distB="0" distL="0" distR="0" simplePos="0" relativeHeight="475330048" behindDoc="1" locked="0" layoutInCell="1" allowOverlap="1" wp14:anchorId="24D62C0F" wp14:editId="24D62C10">
                      <wp:simplePos x="0" y="0"/>
                      <wp:positionH relativeFrom="column">
                        <wp:posOffset>1260347</wp:posOffset>
                      </wp:positionH>
                      <wp:positionV relativeFrom="paragraph">
                        <wp:posOffset>258445</wp:posOffset>
                      </wp:positionV>
                      <wp:extent cx="1183005" cy="635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96" name="Graphic 596"/>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EF87DD" id="Group 595" o:spid="_x0000_s1026" style="position:absolute;margin-left:99.25pt;margin-top:20.35pt;width:93.15pt;height:.5pt;z-index:-2798643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">
                      <v:shape id="Graphic 596"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" path="m1182611,l,,,6096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226" w14:textId="77777777">
        <w:trPr>
          <w:trHeight w:val="794"/>
        </w:trPr>
        <w:tc>
          <w:tcPr>
            <w:tcW w:w="3868" w:type="dxa"/>
            <w:tcBorders>
              <w:right w:val="single" w:sz="4" w:space="0" w:color="000000"/>
            </w:tcBorders>
          </w:tcPr>
          <w:p w14:paraId="24D6121C" w14:textId="77777777" w:rsidR="00245300" w:rsidRPr="00EC20A0" w:rsidRDefault="00245300">
            <w:pPr>
              <w:pStyle w:val="TableParagraph"/>
              <w:spacing w:before="144"/>
            </w:pPr>
          </w:p>
          <w:p w14:paraId="24D6121D" w14:textId="77777777" w:rsidR="00245300" w:rsidRPr="00EC20A0" w:rsidRDefault="00F17249">
            <w:pPr>
              <w:pStyle w:val="TableParagraph"/>
              <w:spacing w:before="1"/>
              <w:ind w:left="97"/>
            </w:pPr>
            <w:r w:rsidRPr="00EC20A0">
              <w:t>Provision</w:t>
            </w:r>
            <w:r w:rsidRPr="00EC20A0">
              <w:rPr>
                <w:spacing w:val="-11"/>
              </w:rPr>
              <w:t xml:space="preserve"> </w:t>
            </w:r>
            <w:r w:rsidRPr="00EC20A0">
              <w:rPr>
                <w:spacing w:val="-2"/>
              </w:rPr>
              <w:t>Description</w:t>
            </w:r>
          </w:p>
        </w:tc>
        <w:tc>
          <w:tcPr>
            <w:tcW w:w="1776" w:type="dxa"/>
            <w:tcBorders>
              <w:left w:val="single" w:sz="4" w:space="0" w:color="000000"/>
              <w:right w:val="single" w:sz="4" w:space="0" w:color="000000"/>
            </w:tcBorders>
          </w:tcPr>
          <w:p w14:paraId="24D6121E" w14:textId="77777777" w:rsidR="00245300" w:rsidRPr="00EC20A0" w:rsidRDefault="00245300">
            <w:pPr>
              <w:pStyle w:val="TableParagraph"/>
              <w:spacing w:before="144"/>
            </w:pPr>
          </w:p>
          <w:p w14:paraId="24D6121F" w14:textId="77777777" w:rsidR="00245300" w:rsidRPr="00EC20A0" w:rsidRDefault="00F17249">
            <w:pPr>
              <w:pStyle w:val="TableParagraph"/>
              <w:spacing w:before="1"/>
              <w:ind w:left="107"/>
            </w:pPr>
            <w:r w:rsidRPr="00EC20A0">
              <w:rPr>
                <w:spacing w:val="-2"/>
              </w:rPr>
              <w:t>Objective</w:t>
            </w:r>
          </w:p>
        </w:tc>
        <w:tc>
          <w:tcPr>
            <w:tcW w:w="2201" w:type="dxa"/>
            <w:tcBorders>
              <w:left w:val="single" w:sz="4" w:space="0" w:color="000000"/>
              <w:right w:val="single" w:sz="4" w:space="0" w:color="000000"/>
            </w:tcBorders>
          </w:tcPr>
          <w:p w14:paraId="24D61220" w14:textId="77777777" w:rsidR="00245300" w:rsidRPr="00EC20A0" w:rsidRDefault="00245300">
            <w:pPr>
              <w:pStyle w:val="TableParagraph"/>
              <w:spacing w:before="144"/>
            </w:pPr>
          </w:p>
          <w:p w14:paraId="24D61221" w14:textId="77777777" w:rsidR="00245300" w:rsidRPr="00EC20A0" w:rsidRDefault="00F17249">
            <w:pPr>
              <w:pStyle w:val="TableParagraph"/>
              <w:spacing w:before="1"/>
              <w:ind w:left="106"/>
            </w:pPr>
            <w:r w:rsidRPr="00EC20A0">
              <w:t>Control</w:t>
            </w:r>
            <w:r w:rsidRPr="00EC20A0">
              <w:rPr>
                <w:spacing w:val="-9"/>
              </w:rPr>
              <w:t xml:space="preserve"> </w:t>
            </w:r>
            <w:r w:rsidRPr="00EC20A0">
              <w:rPr>
                <w:spacing w:val="-2"/>
              </w:rPr>
              <w:t>Activities</w:t>
            </w:r>
          </w:p>
        </w:tc>
        <w:tc>
          <w:tcPr>
            <w:tcW w:w="1519" w:type="dxa"/>
            <w:tcBorders>
              <w:left w:val="single" w:sz="4" w:space="0" w:color="000000"/>
              <w:right w:val="single" w:sz="4" w:space="0" w:color="000000"/>
            </w:tcBorders>
          </w:tcPr>
          <w:p w14:paraId="24D61222" w14:textId="77777777" w:rsidR="00245300" w:rsidRPr="00EC20A0" w:rsidRDefault="00245300">
            <w:pPr>
              <w:pStyle w:val="TableParagraph"/>
              <w:spacing w:before="144"/>
            </w:pPr>
          </w:p>
          <w:p w14:paraId="24D61223" w14:textId="77777777" w:rsidR="00245300" w:rsidRPr="00EC20A0" w:rsidRDefault="00F17249">
            <w:pPr>
              <w:pStyle w:val="TableParagraph"/>
              <w:spacing w:before="1"/>
              <w:ind w:left="107"/>
            </w:pPr>
            <w:r w:rsidRPr="00EC20A0">
              <w:t>IS</w:t>
            </w:r>
            <w:r w:rsidRPr="00EC20A0">
              <w:rPr>
                <w:spacing w:val="-3"/>
              </w:rPr>
              <w:t xml:space="preserve"> </w:t>
            </w:r>
            <w:r w:rsidRPr="00EC20A0">
              <w:rPr>
                <w:spacing w:val="-2"/>
              </w:rPr>
              <w:t>(Y/N)</w:t>
            </w:r>
          </w:p>
        </w:tc>
        <w:tc>
          <w:tcPr>
            <w:tcW w:w="1640" w:type="dxa"/>
            <w:tcBorders>
              <w:left w:val="single" w:sz="4" w:space="0" w:color="000000"/>
              <w:right w:val="single" w:sz="4" w:space="0" w:color="000000"/>
            </w:tcBorders>
          </w:tcPr>
          <w:p w14:paraId="24D61224" w14:textId="77777777" w:rsidR="00245300" w:rsidRPr="00EC20A0" w:rsidRDefault="00F17249">
            <w:pPr>
              <w:pStyle w:val="TableParagraph"/>
              <w:spacing w:before="144"/>
              <w:ind w:left="107" w:right="99"/>
            </w:pPr>
            <w:r w:rsidRPr="00EC20A0">
              <w:rPr>
                <w:spacing w:val="-2"/>
              </w:rPr>
              <w:t>Effective controls?</w:t>
            </w:r>
          </w:p>
        </w:tc>
        <w:tc>
          <w:tcPr>
            <w:tcW w:w="2172" w:type="dxa"/>
            <w:tcBorders>
              <w:left w:val="single" w:sz="4" w:space="0" w:color="000000"/>
            </w:tcBorders>
          </w:tcPr>
          <w:p w14:paraId="24D61225" w14:textId="77777777" w:rsidR="00245300" w:rsidRPr="00EC20A0" w:rsidRDefault="00F17249">
            <w:pPr>
              <w:pStyle w:val="TableParagraph"/>
              <w:spacing w:before="144"/>
              <w:ind w:left="107"/>
            </w:pPr>
            <w:r w:rsidRPr="00EC20A0">
              <w:t xml:space="preserve">Instances of </w:t>
            </w:r>
            <w:r w:rsidRPr="00EC20A0">
              <w:rPr>
                <w:spacing w:val="-2"/>
              </w:rPr>
              <w:t>noncompliance?</w:t>
            </w:r>
          </w:p>
        </w:tc>
      </w:tr>
      <w:tr w:rsidR="00245300" w:rsidRPr="00EC20A0" w14:paraId="24D61232" w14:textId="77777777">
        <w:trPr>
          <w:trHeight w:val="3681"/>
        </w:trPr>
        <w:tc>
          <w:tcPr>
            <w:tcW w:w="3868" w:type="dxa"/>
            <w:tcBorders>
              <w:right w:val="single" w:sz="4" w:space="0" w:color="000000"/>
            </w:tcBorders>
          </w:tcPr>
          <w:p w14:paraId="24D61227" w14:textId="77777777" w:rsidR="00245300" w:rsidRPr="00EC20A0" w:rsidRDefault="00F17249">
            <w:pPr>
              <w:pStyle w:val="TableParagraph"/>
              <w:spacing w:before="143"/>
              <w:ind w:left="97"/>
              <w:rPr>
                <w:sz w:val="18"/>
              </w:rPr>
            </w:pPr>
            <w:r w:rsidRPr="00EC20A0">
              <w:rPr>
                <w:smallCaps/>
                <w:sz w:val="18"/>
              </w:rPr>
              <w:t>807.01.</w:t>
            </w:r>
            <w:r w:rsidRPr="00EC20A0">
              <w:rPr>
                <w:smallCaps/>
                <w:spacing w:val="-3"/>
                <w:sz w:val="18"/>
              </w:rPr>
              <w:t xml:space="preserve"> </w:t>
            </w:r>
            <w:r w:rsidRPr="00EC20A0">
              <w:rPr>
                <w:smallCaps/>
                <w:spacing w:val="17"/>
                <w:sz w:val="18"/>
              </w:rPr>
              <w:t xml:space="preserve"> </w:t>
            </w:r>
            <w:r w:rsidRPr="00EC20A0">
              <w:rPr>
                <w:smallCaps/>
                <w:sz w:val="18"/>
              </w:rPr>
              <w:t>Pay</w:t>
            </w:r>
            <w:r w:rsidRPr="00EC20A0">
              <w:rPr>
                <w:smallCaps/>
                <w:spacing w:val="-3"/>
                <w:sz w:val="18"/>
              </w:rPr>
              <w:t xml:space="preserve"> </w:t>
            </w:r>
            <w:r w:rsidRPr="00EC20A0">
              <w:rPr>
                <w:smallCaps/>
                <w:sz w:val="18"/>
              </w:rPr>
              <w:t>Rate</w:t>
            </w:r>
            <w:r w:rsidRPr="00EC20A0">
              <w:rPr>
                <w:smallCaps/>
                <w:spacing w:val="-3"/>
                <w:sz w:val="18"/>
              </w:rPr>
              <w:t xml:space="preserve"> </w:t>
            </w:r>
            <w:r w:rsidRPr="00EC20A0">
              <w:rPr>
                <w:smallCaps/>
                <w:sz w:val="18"/>
              </w:rPr>
              <w:t>or</w:t>
            </w:r>
            <w:r w:rsidRPr="00EC20A0">
              <w:rPr>
                <w:smallCaps/>
                <w:spacing w:val="-2"/>
                <w:sz w:val="18"/>
              </w:rPr>
              <w:t xml:space="preserve"> </w:t>
            </w:r>
            <w:r w:rsidRPr="00EC20A0">
              <w:rPr>
                <w:smallCaps/>
                <w:sz w:val="18"/>
              </w:rPr>
              <w:t>Schedule</w:t>
            </w:r>
            <w:r w:rsidRPr="00EC20A0">
              <w:rPr>
                <w:smallCaps/>
                <w:spacing w:val="-4"/>
                <w:sz w:val="18"/>
              </w:rPr>
              <w:t xml:space="preserve"> </w:t>
            </w:r>
            <w:r w:rsidRPr="00EC20A0">
              <w:rPr>
                <w:smallCaps/>
                <w:spacing w:val="-5"/>
                <w:sz w:val="18"/>
              </w:rPr>
              <w:t>for</w:t>
            </w:r>
          </w:p>
          <w:p w14:paraId="24D61228" w14:textId="77777777" w:rsidR="00245300" w:rsidRPr="00EC20A0" w:rsidRDefault="00F17249">
            <w:pPr>
              <w:pStyle w:val="TableParagraph"/>
              <w:spacing w:before="1"/>
              <w:ind w:left="817"/>
              <w:rPr>
                <w:sz w:val="18"/>
              </w:rPr>
            </w:pPr>
            <w:r w:rsidRPr="00EC20A0">
              <w:rPr>
                <w:smallCaps/>
                <w:sz w:val="18"/>
              </w:rPr>
              <w:t>Employees</w:t>
            </w:r>
            <w:r w:rsidRPr="00EC20A0">
              <w:rPr>
                <w:smallCaps/>
                <w:spacing w:val="-6"/>
                <w:sz w:val="18"/>
              </w:rPr>
              <w:t xml:space="preserve"> </w:t>
            </w:r>
            <w:r w:rsidRPr="00EC20A0">
              <w:rPr>
                <w:smallCaps/>
                <w:sz w:val="18"/>
              </w:rPr>
              <w:t>in</w:t>
            </w:r>
            <w:r w:rsidRPr="00EC20A0">
              <w:rPr>
                <w:smallCaps/>
                <w:spacing w:val="-5"/>
                <w:sz w:val="18"/>
              </w:rPr>
              <w:t xml:space="preserve"> </w:t>
            </w:r>
            <w:r w:rsidRPr="00EC20A0">
              <w:rPr>
                <w:smallCaps/>
                <w:sz w:val="18"/>
              </w:rPr>
              <w:t>Specific</w:t>
            </w:r>
            <w:r w:rsidRPr="00EC20A0">
              <w:rPr>
                <w:smallCaps/>
                <w:spacing w:val="-3"/>
                <w:sz w:val="18"/>
              </w:rPr>
              <w:t xml:space="preserve"> </w:t>
            </w:r>
            <w:r w:rsidRPr="00EC20A0">
              <w:rPr>
                <w:smallCaps/>
                <w:spacing w:val="-2"/>
                <w:sz w:val="18"/>
              </w:rPr>
              <w:t>Positions.</w:t>
            </w:r>
          </w:p>
          <w:p w14:paraId="24D61229" w14:textId="77777777" w:rsidR="00245300" w:rsidRPr="00EC20A0" w:rsidRDefault="00F17249">
            <w:pPr>
              <w:pStyle w:val="TableParagraph"/>
              <w:spacing w:before="145"/>
              <w:ind w:left="97"/>
              <w:rPr>
                <w:sz w:val="18"/>
              </w:rPr>
            </w:pPr>
            <w:r w:rsidRPr="00EC20A0">
              <w:rPr>
                <w:sz w:val="18"/>
              </w:rPr>
              <w:t>Provision</w:t>
            </w:r>
            <w:r w:rsidRPr="00EC20A0">
              <w:rPr>
                <w:spacing w:val="-7"/>
                <w:sz w:val="18"/>
              </w:rPr>
              <w:t xml:space="preserve"> </w:t>
            </w:r>
            <w:r w:rsidRPr="00EC20A0">
              <w:rPr>
                <w:sz w:val="18"/>
              </w:rPr>
              <w:t>Type:</w:t>
            </w:r>
            <w:r w:rsidRPr="00EC20A0">
              <w:rPr>
                <w:spacing w:val="-6"/>
                <w:sz w:val="18"/>
              </w:rPr>
              <w:t xml:space="preserve"> </w:t>
            </w:r>
            <w:r w:rsidRPr="00EC20A0">
              <w:rPr>
                <w:sz w:val="18"/>
              </w:rPr>
              <w:t>Transaction-</w:t>
            </w:r>
            <w:r w:rsidRPr="00EC20A0">
              <w:rPr>
                <w:spacing w:val="-2"/>
                <w:sz w:val="18"/>
              </w:rPr>
              <w:t>based.</w:t>
            </w:r>
          </w:p>
          <w:p w14:paraId="24D6122A" w14:textId="77777777" w:rsidR="00245300" w:rsidRPr="00EC20A0" w:rsidRDefault="00F17249">
            <w:pPr>
              <w:pStyle w:val="TableParagraph"/>
              <w:spacing w:before="142"/>
              <w:ind w:left="97" w:right="135"/>
              <w:rPr>
                <w:sz w:val="18"/>
              </w:rPr>
            </w:pPr>
            <w:r w:rsidRPr="00EC20A0">
              <w:rPr>
                <w:sz w:val="18"/>
              </w:rPr>
              <w:t>Pay for employees in a specific position should be based on those employees’ appropriate pay schedule or pay rate.</w:t>
            </w:r>
            <w:hyperlink w:anchor="_bookmark125" w:history="1">
              <w:r w:rsidRPr="00EC20A0">
                <w:rPr>
                  <w:position w:val="6"/>
                  <w:sz w:val="12"/>
                </w:rPr>
                <w:t>50</w:t>
              </w:r>
            </w:hyperlink>
            <w:r w:rsidRPr="00EC20A0">
              <w:rPr>
                <w:spacing w:val="40"/>
                <w:position w:val="6"/>
                <w:sz w:val="12"/>
              </w:rPr>
              <w:t xml:space="preserve"> </w:t>
            </w:r>
            <w:r w:rsidRPr="00EC20A0">
              <w:rPr>
                <w:sz w:val="18"/>
              </w:rPr>
              <w:t>These</w:t>
            </w:r>
            <w:r w:rsidRPr="00EC20A0">
              <w:rPr>
                <w:spacing w:val="-8"/>
                <w:sz w:val="18"/>
              </w:rPr>
              <w:t xml:space="preserve"> </w:t>
            </w:r>
            <w:r w:rsidRPr="00EC20A0">
              <w:rPr>
                <w:sz w:val="18"/>
              </w:rPr>
              <w:t>include</w:t>
            </w:r>
            <w:r w:rsidRPr="00EC20A0">
              <w:rPr>
                <w:spacing w:val="-7"/>
                <w:sz w:val="18"/>
              </w:rPr>
              <w:t xml:space="preserve"> </w:t>
            </w:r>
            <w:r w:rsidRPr="00EC20A0">
              <w:rPr>
                <w:sz w:val="18"/>
              </w:rPr>
              <w:t>employees</w:t>
            </w:r>
            <w:r w:rsidRPr="00EC20A0">
              <w:rPr>
                <w:spacing w:val="-8"/>
                <w:sz w:val="18"/>
              </w:rPr>
              <w:t xml:space="preserve"> </w:t>
            </w:r>
            <w:r w:rsidRPr="00EC20A0">
              <w:rPr>
                <w:sz w:val="18"/>
              </w:rPr>
              <w:t>in</w:t>
            </w:r>
            <w:r w:rsidRPr="00EC20A0">
              <w:rPr>
                <w:spacing w:val="-8"/>
                <w:sz w:val="18"/>
              </w:rPr>
              <w:t xml:space="preserve"> </w:t>
            </w:r>
            <w:r w:rsidRPr="00EC20A0">
              <w:rPr>
                <w:sz w:val="18"/>
              </w:rPr>
              <w:t>positions</w:t>
            </w:r>
            <w:r w:rsidRPr="00EC20A0">
              <w:rPr>
                <w:spacing w:val="-8"/>
                <w:sz w:val="18"/>
              </w:rPr>
              <w:t xml:space="preserve"> </w:t>
            </w:r>
            <w:r w:rsidRPr="00EC20A0">
              <w:rPr>
                <w:sz w:val="18"/>
              </w:rPr>
              <w:t>subject to the General Schedule (5 U.S.C. § 5332); prevailing rate employees (5 U.S.C. § 5343); employees in certain senior-level positions, such as specially qualified scientific and professional personnel (5 U.S.C. § 5376); employees</w:t>
            </w:r>
            <w:r w:rsidRPr="00EC20A0">
              <w:rPr>
                <w:spacing w:val="-7"/>
                <w:sz w:val="18"/>
              </w:rPr>
              <w:t xml:space="preserve"> </w:t>
            </w:r>
            <w:r w:rsidRPr="00EC20A0">
              <w:rPr>
                <w:sz w:val="18"/>
              </w:rPr>
              <w:t>appointed</w:t>
            </w:r>
            <w:r w:rsidRPr="00EC20A0">
              <w:rPr>
                <w:spacing w:val="-8"/>
                <w:sz w:val="18"/>
              </w:rPr>
              <w:t xml:space="preserve"> </w:t>
            </w:r>
            <w:r w:rsidRPr="00EC20A0">
              <w:rPr>
                <w:sz w:val="18"/>
              </w:rPr>
              <w:t>to</w:t>
            </w:r>
            <w:r w:rsidRPr="00EC20A0">
              <w:rPr>
                <w:spacing w:val="-8"/>
                <w:sz w:val="18"/>
              </w:rPr>
              <w:t xml:space="preserve"> </w:t>
            </w:r>
            <w:r w:rsidRPr="00EC20A0">
              <w:rPr>
                <w:sz w:val="18"/>
              </w:rPr>
              <w:t>the</w:t>
            </w:r>
            <w:r w:rsidRPr="00EC20A0">
              <w:rPr>
                <w:spacing w:val="-8"/>
                <w:sz w:val="18"/>
              </w:rPr>
              <w:t xml:space="preserve"> </w:t>
            </w:r>
            <w:r w:rsidRPr="00EC20A0">
              <w:rPr>
                <w:sz w:val="18"/>
              </w:rPr>
              <w:t>Senior</w:t>
            </w:r>
            <w:r w:rsidRPr="00EC20A0">
              <w:rPr>
                <w:spacing w:val="-7"/>
                <w:sz w:val="18"/>
              </w:rPr>
              <w:t xml:space="preserve"> </w:t>
            </w:r>
            <w:r w:rsidRPr="00EC20A0">
              <w:rPr>
                <w:sz w:val="18"/>
              </w:rPr>
              <w:t>Executive Service (5 U.S.C. § 5383); and employees paid the minimum wage (29 U.S.C. § 206).</w:t>
            </w:r>
          </w:p>
        </w:tc>
        <w:tc>
          <w:tcPr>
            <w:tcW w:w="1776" w:type="dxa"/>
            <w:tcBorders>
              <w:left w:val="single" w:sz="4" w:space="0" w:color="000000"/>
              <w:right w:val="single" w:sz="4" w:space="0" w:color="000000"/>
            </w:tcBorders>
          </w:tcPr>
          <w:p w14:paraId="24D6122B" w14:textId="77777777" w:rsidR="00245300" w:rsidRPr="00EC20A0" w:rsidRDefault="00F17249">
            <w:pPr>
              <w:pStyle w:val="TableParagraph"/>
              <w:spacing w:before="143"/>
              <w:ind w:left="106" w:right="139"/>
              <w:rPr>
                <w:sz w:val="18"/>
              </w:rPr>
            </w:pPr>
            <w:r w:rsidRPr="00EC20A0">
              <w:rPr>
                <w:sz w:val="18"/>
              </w:rPr>
              <w:t>Employees are paid</w:t>
            </w:r>
            <w:r w:rsidRPr="00EC20A0">
              <w:rPr>
                <w:spacing w:val="-15"/>
                <w:sz w:val="18"/>
              </w:rPr>
              <w:t xml:space="preserve"> </w:t>
            </w:r>
            <w:r w:rsidRPr="00EC20A0">
              <w:rPr>
                <w:sz w:val="18"/>
              </w:rPr>
              <w:t>at</w:t>
            </w:r>
            <w:r w:rsidRPr="00EC20A0">
              <w:rPr>
                <w:spacing w:val="-12"/>
                <w:sz w:val="18"/>
              </w:rPr>
              <w:t xml:space="preserve"> </w:t>
            </w:r>
            <w:r w:rsidRPr="00EC20A0">
              <w:rPr>
                <w:sz w:val="18"/>
              </w:rPr>
              <w:t xml:space="preserve">appropriate </w:t>
            </w:r>
            <w:r w:rsidRPr="00EC20A0">
              <w:rPr>
                <w:spacing w:val="-2"/>
                <w:sz w:val="18"/>
              </w:rPr>
              <w:t>rates.</w:t>
            </w:r>
          </w:p>
        </w:tc>
        <w:tc>
          <w:tcPr>
            <w:tcW w:w="2201" w:type="dxa"/>
            <w:tcBorders>
              <w:left w:val="single" w:sz="4" w:space="0" w:color="000000"/>
              <w:right w:val="single" w:sz="4" w:space="0" w:color="000000"/>
            </w:tcBorders>
          </w:tcPr>
          <w:p w14:paraId="24D6122C" w14:textId="77777777" w:rsidR="00245300" w:rsidRPr="00EC20A0" w:rsidRDefault="00F17249">
            <w:pPr>
              <w:pStyle w:val="TableParagraph"/>
              <w:spacing w:before="143"/>
              <w:ind w:left="105"/>
              <w:rPr>
                <w:sz w:val="18"/>
              </w:rPr>
            </w:pPr>
            <w:r w:rsidRPr="00EC20A0">
              <w:rPr>
                <w:sz w:val="18"/>
              </w:rPr>
              <w:t>[Document the control activities</w:t>
            </w:r>
            <w:r w:rsidRPr="00EC20A0">
              <w:rPr>
                <w:spacing w:val="-13"/>
                <w:sz w:val="18"/>
              </w:rPr>
              <w:t xml:space="preserve"> </w:t>
            </w:r>
            <w:r w:rsidRPr="00EC20A0">
              <w:rPr>
                <w:sz w:val="18"/>
              </w:rPr>
              <w:t>that</w:t>
            </w:r>
            <w:r w:rsidRPr="00EC20A0">
              <w:rPr>
                <w:spacing w:val="-12"/>
                <w:sz w:val="18"/>
              </w:rPr>
              <w:t xml:space="preserve"> </w:t>
            </w:r>
            <w:r w:rsidRPr="00EC20A0">
              <w:rPr>
                <w:sz w:val="18"/>
              </w:rPr>
              <w:t>the</w:t>
            </w:r>
            <w:r w:rsidRPr="00EC20A0">
              <w:rPr>
                <w:spacing w:val="-13"/>
                <w:sz w:val="18"/>
              </w:rPr>
              <w:t xml:space="preserve"> </w:t>
            </w:r>
            <w:r w:rsidRPr="00EC20A0">
              <w:rPr>
                <w:sz w:val="18"/>
              </w:rPr>
              <w:t xml:space="preserve">entity used to achieve the </w:t>
            </w:r>
            <w:r w:rsidRPr="00EC20A0">
              <w:rPr>
                <w:spacing w:val="-2"/>
                <w:sz w:val="18"/>
              </w:rPr>
              <w:t>objective.]</w:t>
            </w:r>
          </w:p>
        </w:tc>
        <w:tc>
          <w:tcPr>
            <w:tcW w:w="1519" w:type="dxa"/>
            <w:tcBorders>
              <w:left w:val="single" w:sz="4" w:space="0" w:color="000000"/>
              <w:right w:val="single" w:sz="4" w:space="0" w:color="000000"/>
            </w:tcBorders>
          </w:tcPr>
          <w:p w14:paraId="24D6122D" w14:textId="77777777" w:rsidR="00245300" w:rsidRPr="00EC20A0" w:rsidRDefault="00F17249">
            <w:pPr>
              <w:pStyle w:val="TableParagraph"/>
              <w:spacing w:before="143"/>
              <w:ind w:left="106" w:right="335"/>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640" w:type="dxa"/>
            <w:tcBorders>
              <w:left w:val="single" w:sz="4" w:space="0" w:color="000000"/>
              <w:right w:val="single" w:sz="4" w:space="0" w:color="000000"/>
            </w:tcBorders>
          </w:tcPr>
          <w:p w14:paraId="24D6122E" w14:textId="77777777" w:rsidR="00245300" w:rsidRPr="00EC20A0" w:rsidRDefault="00F17249">
            <w:pPr>
              <w:pStyle w:val="TableParagraph"/>
              <w:spacing w:before="143"/>
              <w:ind w:left="106" w:right="99"/>
              <w:rPr>
                <w:sz w:val="18"/>
              </w:rPr>
            </w:pPr>
            <w:r w:rsidRPr="00EC20A0">
              <w:rPr>
                <w:sz w:val="18"/>
              </w:rPr>
              <w:t xml:space="preserve">[Indicate yes or no; include reference to </w:t>
            </w:r>
            <w:r w:rsidRPr="00EC20A0">
              <w:rPr>
                <w:spacing w:val="-2"/>
                <w:sz w:val="18"/>
              </w:rPr>
              <w:t>supporting documentation.]</w:t>
            </w:r>
          </w:p>
        </w:tc>
        <w:tc>
          <w:tcPr>
            <w:tcW w:w="2172" w:type="dxa"/>
            <w:tcBorders>
              <w:left w:val="single" w:sz="4" w:space="0" w:color="000000"/>
            </w:tcBorders>
          </w:tcPr>
          <w:p w14:paraId="24D6122F" w14:textId="77777777" w:rsidR="00245300" w:rsidRPr="00EC20A0" w:rsidRDefault="00F17249">
            <w:pPr>
              <w:pStyle w:val="TableParagraph"/>
              <w:spacing w:before="143"/>
              <w:ind w:left="106"/>
              <w:rPr>
                <w:sz w:val="18"/>
              </w:rPr>
            </w:pPr>
            <w:r w:rsidRPr="00EC20A0">
              <w:rPr>
                <w:sz w:val="18"/>
              </w:rPr>
              <w:t>[Indicate yes or no; include</w:t>
            </w:r>
            <w:r w:rsidRPr="00EC20A0">
              <w:rPr>
                <w:spacing w:val="-15"/>
                <w:sz w:val="18"/>
              </w:rPr>
              <w:t xml:space="preserve"> </w:t>
            </w:r>
            <w:r w:rsidRPr="00EC20A0">
              <w:rPr>
                <w:sz w:val="18"/>
              </w:rPr>
              <w:t>reference</w:t>
            </w:r>
            <w:r w:rsidRPr="00EC20A0">
              <w:rPr>
                <w:spacing w:val="-12"/>
                <w:sz w:val="18"/>
              </w:rPr>
              <w:t xml:space="preserve"> </w:t>
            </w:r>
            <w:r w:rsidRPr="00EC20A0">
              <w:rPr>
                <w:sz w:val="18"/>
              </w:rPr>
              <w:t xml:space="preserve">to </w:t>
            </w:r>
            <w:r w:rsidRPr="00EC20A0">
              <w:rPr>
                <w:spacing w:val="-2"/>
                <w:sz w:val="18"/>
              </w:rPr>
              <w:t>supporting documentation.]</w:t>
            </w:r>
          </w:p>
          <w:p w14:paraId="24D61230" w14:textId="77777777" w:rsidR="00245300" w:rsidRPr="00EC20A0" w:rsidRDefault="00F17249">
            <w:pPr>
              <w:pStyle w:val="TableParagraph"/>
              <w:spacing w:before="144"/>
              <w:ind w:left="106"/>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3"/>
                <w:sz w:val="18"/>
              </w:rPr>
              <w:t xml:space="preserve"> </w:t>
            </w:r>
            <w:r w:rsidRPr="00EC20A0">
              <w:rPr>
                <w:spacing w:val="-5"/>
                <w:sz w:val="18"/>
              </w:rPr>
              <w:t>807</w:t>
            </w:r>
          </w:p>
          <w:p w14:paraId="24D61231" w14:textId="77777777" w:rsidR="00245300" w:rsidRPr="00EC20A0" w:rsidRDefault="00F17249">
            <w:pPr>
              <w:pStyle w:val="TableParagraph"/>
              <w:spacing w:before="2"/>
              <w:ind w:left="106"/>
              <w:rPr>
                <w:sz w:val="18"/>
              </w:rPr>
            </w:pPr>
            <w:r w:rsidRPr="00EC20A0">
              <w:rPr>
                <w:sz w:val="18"/>
              </w:rPr>
              <w:t>step</w:t>
            </w:r>
            <w:r w:rsidRPr="00EC20A0">
              <w:rPr>
                <w:spacing w:val="-2"/>
                <w:sz w:val="18"/>
              </w:rPr>
              <w:t xml:space="preserve"> </w:t>
            </w:r>
            <w:r w:rsidRPr="00EC20A0">
              <w:rPr>
                <w:sz w:val="18"/>
              </w:rPr>
              <w:t>4</w:t>
            </w:r>
            <w:r w:rsidRPr="00EC20A0">
              <w:rPr>
                <w:spacing w:val="-1"/>
                <w:sz w:val="18"/>
              </w:rPr>
              <w:t xml:space="preserve"> </w:t>
            </w:r>
            <w:r w:rsidRPr="00EC20A0">
              <w:rPr>
                <w:spacing w:val="-4"/>
                <w:sz w:val="18"/>
              </w:rPr>
              <w:t>(b).</w:t>
            </w:r>
          </w:p>
        </w:tc>
      </w:tr>
    </w:tbl>
    <w:p w14:paraId="24D61233" w14:textId="77777777" w:rsidR="00245300" w:rsidRPr="00EC20A0" w:rsidRDefault="00F17249">
      <w:pPr>
        <w:pStyle w:val="BodyText"/>
        <w:spacing w:before="10"/>
        <w:rPr>
          <w:sz w:val="20"/>
        </w:rPr>
      </w:pPr>
      <w:r w:rsidRPr="00EC20A0">
        <w:rPr>
          <w:noProof/>
        </w:rPr>
        <mc:AlternateContent>
          <mc:Choice Requires="wps">
            <w:drawing>
              <wp:anchor distT="0" distB="0" distL="0" distR="0" simplePos="0" relativeHeight="487673856" behindDoc="1" locked="0" layoutInCell="1" allowOverlap="1" wp14:anchorId="24D62C11" wp14:editId="24D62C12">
                <wp:simplePos x="0" y="0"/>
                <wp:positionH relativeFrom="page">
                  <wp:posOffset>685800</wp:posOffset>
                </wp:positionH>
                <wp:positionV relativeFrom="paragraph">
                  <wp:posOffset>167652</wp:posOffset>
                </wp:positionV>
                <wp:extent cx="1828800" cy="6985"/>
                <wp:effectExtent l="0" t="0" r="0" b="0"/>
                <wp:wrapTopAndBottom/>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1E919" id="Graphic 597" o:spid="_x0000_s1026" style="position:absolute;margin-left:54pt;margin-top:13.2pt;width:2in;height:.55pt;z-index:-156426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" path="m1828800,l,,,6858r1828800,l1828800,xe" fillcolor="black" stroked="f">
                <v:path arrowok="t"/>
                <w10:wrap type="topAndBottom" anchorx="page"/>
              </v:shape>
            </w:pict>
          </mc:Fallback>
        </mc:AlternateContent>
      </w:r>
    </w:p>
    <w:p w14:paraId="24D61234" w14:textId="77777777" w:rsidR="00245300" w:rsidRPr="00EC20A0" w:rsidRDefault="00F17249">
      <w:pPr>
        <w:spacing w:before="217"/>
        <w:ind w:left="140"/>
        <w:rPr>
          <w:sz w:val="18"/>
        </w:rPr>
      </w:pPr>
      <w:r w:rsidRPr="00EC20A0">
        <w:rPr>
          <w:position w:val="7"/>
          <w:sz w:val="14"/>
        </w:rPr>
        <w:t>50</w:t>
      </w:r>
      <w:r w:rsidRPr="00EC20A0">
        <w:rPr>
          <w:sz w:val="18"/>
        </w:rPr>
        <w:t>For</w:t>
      </w:r>
      <w:r w:rsidRPr="00EC20A0">
        <w:rPr>
          <w:spacing w:val="-3"/>
          <w:sz w:val="18"/>
        </w:rPr>
        <w:t xml:space="preserve"> </w:t>
      </w:r>
      <w:r w:rsidRPr="00EC20A0">
        <w:rPr>
          <w:sz w:val="18"/>
        </w:rPr>
        <w:t>employees</w:t>
      </w:r>
      <w:r w:rsidRPr="00EC20A0">
        <w:rPr>
          <w:spacing w:val="-2"/>
          <w:sz w:val="18"/>
        </w:rPr>
        <w:t xml:space="preserve"> </w:t>
      </w:r>
      <w:r w:rsidRPr="00EC20A0">
        <w:rPr>
          <w:sz w:val="18"/>
        </w:rPr>
        <w:t>receiving</w:t>
      </w:r>
      <w:r w:rsidRPr="00EC20A0">
        <w:rPr>
          <w:spacing w:val="-3"/>
          <w:sz w:val="18"/>
        </w:rPr>
        <w:t xml:space="preserve"> </w:t>
      </w:r>
      <w:r w:rsidRPr="00EC20A0">
        <w:rPr>
          <w:sz w:val="18"/>
        </w:rPr>
        <w:t>an</w:t>
      </w:r>
      <w:r w:rsidRPr="00EC20A0">
        <w:rPr>
          <w:spacing w:val="-2"/>
          <w:sz w:val="18"/>
        </w:rPr>
        <w:t xml:space="preserve"> </w:t>
      </w:r>
      <w:r w:rsidRPr="00EC20A0">
        <w:rPr>
          <w:sz w:val="18"/>
        </w:rPr>
        <w:t>annual</w:t>
      </w:r>
      <w:r w:rsidRPr="00EC20A0">
        <w:rPr>
          <w:spacing w:val="-2"/>
          <w:sz w:val="18"/>
        </w:rPr>
        <w:t xml:space="preserve"> </w:t>
      </w:r>
      <w:r w:rsidRPr="00EC20A0">
        <w:rPr>
          <w:sz w:val="18"/>
        </w:rPr>
        <w:t>rate</w:t>
      </w:r>
      <w:r w:rsidRPr="00EC20A0">
        <w:rPr>
          <w:spacing w:val="-4"/>
          <w:sz w:val="18"/>
        </w:rPr>
        <w:t xml:space="preserve"> </w:t>
      </w:r>
      <w:r w:rsidRPr="00EC20A0">
        <w:rPr>
          <w:sz w:val="18"/>
        </w:rPr>
        <w:t>of</w:t>
      </w:r>
      <w:r w:rsidRPr="00EC20A0">
        <w:rPr>
          <w:spacing w:val="-2"/>
          <w:sz w:val="18"/>
        </w:rPr>
        <w:t xml:space="preserve"> </w:t>
      </w:r>
      <w:r w:rsidRPr="00EC20A0">
        <w:rPr>
          <w:sz w:val="18"/>
        </w:rPr>
        <w:t>basic</w:t>
      </w:r>
      <w:r w:rsidRPr="00EC20A0">
        <w:rPr>
          <w:spacing w:val="-3"/>
          <w:sz w:val="18"/>
        </w:rPr>
        <w:t xml:space="preserve"> </w:t>
      </w:r>
      <w:r w:rsidRPr="00EC20A0">
        <w:rPr>
          <w:sz w:val="18"/>
        </w:rPr>
        <w:t>pay,</w:t>
      </w:r>
      <w:r w:rsidRPr="00EC20A0">
        <w:rPr>
          <w:spacing w:val="-2"/>
          <w:sz w:val="18"/>
        </w:rPr>
        <w:t xml:space="preserve"> </w:t>
      </w:r>
      <w:r w:rsidRPr="00EC20A0">
        <w:rPr>
          <w:sz w:val="18"/>
        </w:rPr>
        <w:t>calculate</w:t>
      </w:r>
      <w:r w:rsidRPr="00EC20A0">
        <w:rPr>
          <w:spacing w:val="-4"/>
          <w:sz w:val="18"/>
        </w:rPr>
        <w:t xml:space="preserve"> </w:t>
      </w:r>
      <w:r w:rsidRPr="00EC20A0">
        <w:rPr>
          <w:sz w:val="18"/>
        </w:rPr>
        <w:t>the</w:t>
      </w:r>
      <w:r w:rsidRPr="00EC20A0">
        <w:rPr>
          <w:spacing w:val="-3"/>
          <w:sz w:val="18"/>
        </w:rPr>
        <w:t xml:space="preserve"> </w:t>
      </w:r>
      <w:r w:rsidRPr="00EC20A0">
        <w:rPr>
          <w:sz w:val="18"/>
        </w:rPr>
        <w:t>corresponding</w:t>
      </w:r>
      <w:r w:rsidRPr="00EC20A0">
        <w:rPr>
          <w:spacing w:val="-2"/>
          <w:sz w:val="18"/>
        </w:rPr>
        <w:t xml:space="preserve"> </w:t>
      </w:r>
      <w:r w:rsidRPr="00EC20A0">
        <w:rPr>
          <w:sz w:val="18"/>
        </w:rPr>
        <w:t>hourly,</w:t>
      </w:r>
      <w:r w:rsidRPr="00EC20A0">
        <w:rPr>
          <w:spacing w:val="-2"/>
          <w:sz w:val="18"/>
        </w:rPr>
        <w:t xml:space="preserve"> </w:t>
      </w:r>
      <w:r w:rsidRPr="00EC20A0">
        <w:rPr>
          <w:sz w:val="18"/>
        </w:rPr>
        <w:t>daily,</w:t>
      </w:r>
      <w:r w:rsidRPr="00EC20A0">
        <w:rPr>
          <w:spacing w:val="-3"/>
          <w:sz w:val="18"/>
        </w:rPr>
        <w:t xml:space="preserve"> </w:t>
      </w:r>
      <w:r w:rsidRPr="00EC20A0">
        <w:rPr>
          <w:sz w:val="18"/>
        </w:rPr>
        <w:t>weekly,</w:t>
      </w:r>
      <w:r w:rsidRPr="00EC20A0">
        <w:rPr>
          <w:spacing w:val="-2"/>
          <w:sz w:val="18"/>
        </w:rPr>
        <w:t xml:space="preserve"> </w:t>
      </w:r>
      <w:r w:rsidRPr="00EC20A0">
        <w:rPr>
          <w:sz w:val="18"/>
        </w:rPr>
        <w:t>or</w:t>
      </w:r>
      <w:r w:rsidRPr="00EC20A0">
        <w:rPr>
          <w:spacing w:val="-3"/>
          <w:sz w:val="18"/>
        </w:rPr>
        <w:t xml:space="preserve"> </w:t>
      </w:r>
      <w:r w:rsidRPr="00EC20A0">
        <w:rPr>
          <w:sz w:val="18"/>
        </w:rPr>
        <w:t>biweekly</w:t>
      </w:r>
      <w:r w:rsidRPr="00EC20A0">
        <w:rPr>
          <w:spacing w:val="-2"/>
          <w:sz w:val="18"/>
        </w:rPr>
        <w:t xml:space="preserve"> </w:t>
      </w:r>
      <w:r w:rsidRPr="00EC20A0">
        <w:rPr>
          <w:sz w:val="18"/>
        </w:rPr>
        <w:t>rate,</w:t>
      </w:r>
      <w:r w:rsidRPr="00EC20A0">
        <w:rPr>
          <w:spacing w:val="-2"/>
          <w:sz w:val="18"/>
        </w:rPr>
        <w:t xml:space="preserve"> </w:t>
      </w:r>
      <w:r w:rsidRPr="00EC20A0">
        <w:rPr>
          <w:sz w:val="18"/>
        </w:rPr>
        <w:t>by</w:t>
      </w:r>
      <w:r w:rsidRPr="00EC20A0">
        <w:rPr>
          <w:spacing w:val="-2"/>
          <w:sz w:val="18"/>
        </w:rPr>
        <w:t xml:space="preserve"> </w:t>
      </w:r>
      <w:r w:rsidRPr="00EC20A0">
        <w:rPr>
          <w:sz w:val="18"/>
        </w:rPr>
        <w:t>applying</w:t>
      </w:r>
      <w:r w:rsidRPr="00EC20A0">
        <w:rPr>
          <w:spacing w:val="-4"/>
          <w:sz w:val="18"/>
        </w:rPr>
        <w:t xml:space="preserve"> </w:t>
      </w:r>
      <w:r w:rsidRPr="00EC20A0">
        <w:rPr>
          <w:sz w:val="18"/>
        </w:rPr>
        <w:t>the</w:t>
      </w:r>
      <w:r w:rsidRPr="00EC20A0">
        <w:rPr>
          <w:spacing w:val="-3"/>
          <w:sz w:val="18"/>
        </w:rPr>
        <w:t xml:space="preserve"> </w:t>
      </w:r>
      <w:r w:rsidRPr="00EC20A0">
        <w:rPr>
          <w:sz w:val="18"/>
        </w:rPr>
        <w:t>methodology</w:t>
      </w:r>
      <w:r w:rsidRPr="00EC20A0">
        <w:rPr>
          <w:spacing w:val="-2"/>
          <w:sz w:val="18"/>
        </w:rPr>
        <w:t xml:space="preserve"> </w:t>
      </w:r>
      <w:r w:rsidRPr="00EC20A0">
        <w:rPr>
          <w:sz w:val="18"/>
        </w:rPr>
        <w:t>set</w:t>
      </w:r>
      <w:r w:rsidRPr="00EC20A0">
        <w:rPr>
          <w:spacing w:val="-2"/>
          <w:sz w:val="18"/>
        </w:rPr>
        <w:t xml:space="preserve"> </w:t>
      </w:r>
      <w:r w:rsidRPr="00EC20A0">
        <w:rPr>
          <w:sz w:val="18"/>
        </w:rPr>
        <w:t>out</w:t>
      </w:r>
      <w:r w:rsidRPr="00EC20A0">
        <w:rPr>
          <w:spacing w:val="-3"/>
          <w:sz w:val="18"/>
        </w:rPr>
        <w:t xml:space="preserve"> </w:t>
      </w:r>
      <w:r w:rsidRPr="00EC20A0">
        <w:rPr>
          <w:sz w:val="18"/>
        </w:rPr>
        <w:t>in</w:t>
      </w:r>
      <w:r w:rsidRPr="00EC20A0">
        <w:rPr>
          <w:spacing w:val="-2"/>
          <w:sz w:val="18"/>
        </w:rPr>
        <w:t xml:space="preserve"> </w:t>
      </w:r>
      <w:r w:rsidRPr="00EC20A0">
        <w:rPr>
          <w:spacing w:val="-10"/>
          <w:sz w:val="18"/>
        </w:rPr>
        <w:t>5</w:t>
      </w:r>
    </w:p>
    <w:p w14:paraId="24D61235" w14:textId="77777777" w:rsidR="00245300" w:rsidRPr="00EC20A0" w:rsidRDefault="00F17249">
      <w:pPr>
        <w:spacing w:before="8"/>
        <w:ind w:left="140" w:right="72"/>
        <w:rPr>
          <w:sz w:val="18"/>
        </w:rPr>
      </w:pPr>
      <w:r w:rsidRPr="00EC20A0">
        <w:rPr>
          <w:noProof/>
        </w:rPr>
        <mc:AlternateContent>
          <mc:Choice Requires="wps">
            <w:drawing>
              <wp:anchor distT="0" distB="0" distL="0" distR="0" simplePos="0" relativeHeight="15816192" behindDoc="0" locked="0" layoutInCell="1" allowOverlap="1" wp14:anchorId="24D62C13" wp14:editId="24D62C14">
                <wp:simplePos x="0" y="0"/>
                <wp:positionH relativeFrom="page">
                  <wp:posOffset>666750</wp:posOffset>
                </wp:positionH>
                <wp:positionV relativeFrom="paragraph">
                  <wp:posOffset>505674</wp:posOffset>
                </wp:positionV>
                <wp:extent cx="8496300" cy="19050"/>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CD05E1" id="Graphic 598" o:spid="_x0000_s1026" style="position:absolute;margin-left:52.5pt;margin-top:39.8pt;width:669pt;height:1.5pt;z-index:15816192;visibility:visible;mso-wrap-style:square;mso-wrap-distance-left:0;mso-wrap-distance-top:0;mso-wrap-distance-right:0;mso-wrap-distance-bottom:0;mso-position-horizontal:absolute;mso-position-horizontal-relative:page;mso-position-vertical:absolute;mso-position-vertical-relative:text;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" path="m8496300,l,,,19050r8496300,l8496300,xe" fillcolor="black" stroked="f">
                <v:path arrowok="t"/>
                <w10:wrap anchorx="page"/>
              </v:shape>
            </w:pict>
          </mc:Fallback>
        </mc:AlternateContent>
      </w:r>
      <w:r w:rsidRPr="00EC20A0">
        <w:rPr>
          <w:sz w:val="18"/>
        </w:rPr>
        <w:t>U.S.C.</w:t>
      </w:r>
      <w:r w:rsidRPr="00EC20A0">
        <w:rPr>
          <w:spacing w:val="-2"/>
          <w:sz w:val="18"/>
        </w:rPr>
        <w:t xml:space="preserve"> </w:t>
      </w:r>
      <w:r w:rsidRPr="00EC20A0">
        <w:rPr>
          <w:sz w:val="18"/>
        </w:rPr>
        <w:t>§</w:t>
      </w:r>
      <w:r w:rsidRPr="00EC20A0">
        <w:rPr>
          <w:spacing w:val="-3"/>
          <w:sz w:val="18"/>
        </w:rPr>
        <w:t xml:space="preserve"> </w:t>
      </w:r>
      <w:r w:rsidRPr="00EC20A0">
        <w:rPr>
          <w:sz w:val="18"/>
        </w:rPr>
        <w:t>5504(b).</w:t>
      </w:r>
      <w:r w:rsidRPr="00EC20A0">
        <w:rPr>
          <w:spacing w:val="-2"/>
          <w:sz w:val="18"/>
        </w:rPr>
        <w:t xml:space="preserve"> </w:t>
      </w:r>
      <w:r w:rsidRPr="00EC20A0">
        <w:rPr>
          <w:sz w:val="18"/>
        </w:rPr>
        <w:t>To</w:t>
      </w:r>
      <w:r w:rsidRPr="00EC20A0">
        <w:rPr>
          <w:spacing w:val="-3"/>
          <w:sz w:val="18"/>
        </w:rPr>
        <w:t xml:space="preserve"> </w:t>
      </w:r>
      <w:r w:rsidRPr="00EC20A0">
        <w:rPr>
          <w:sz w:val="18"/>
        </w:rPr>
        <w:t>derive</w:t>
      </w:r>
      <w:r w:rsidRPr="00EC20A0">
        <w:rPr>
          <w:spacing w:val="-3"/>
          <w:sz w:val="18"/>
        </w:rPr>
        <w:t xml:space="preserve"> </w:t>
      </w:r>
      <w:r w:rsidRPr="00EC20A0">
        <w:rPr>
          <w:sz w:val="18"/>
        </w:rPr>
        <w:t>an</w:t>
      </w:r>
      <w:r w:rsidRPr="00EC20A0">
        <w:rPr>
          <w:spacing w:val="-3"/>
          <w:sz w:val="18"/>
        </w:rPr>
        <w:t xml:space="preserve"> </w:t>
      </w:r>
      <w:r w:rsidRPr="00EC20A0">
        <w:rPr>
          <w:sz w:val="18"/>
        </w:rPr>
        <w:t>hourly</w:t>
      </w:r>
      <w:r w:rsidRPr="00EC20A0">
        <w:rPr>
          <w:spacing w:val="-2"/>
          <w:sz w:val="18"/>
        </w:rPr>
        <w:t xml:space="preserve"> </w:t>
      </w:r>
      <w:r w:rsidRPr="00EC20A0">
        <w:rPr>
          <w:sz w:val="18"/>
        </w:rPr>
        <w:t>rate,</w:t>
      </w:r>
      <w:r w:rsidRPr="00EC20A0">
        <w:rPr>
          <w:spacing w:val="-2"/>
          <w:sz w:val="18"/>
        </w:rPr>
        <w:t xml:space="preserve"> </w:t>
      </w:r>
      <w:r w:rsidRPr="00EC20A0">
        <w:rPr>
          <w:sz w:val="18"/>
        </w:rPr>
        <w:t>divide</w:t>
      </w:r>
      <w:r w:rsidRPr="00EC20A0">
        <w:rPr>
          <w:spacing w:val="-3"/>
          <w:sz w:val="18"/>
        </w:rPr>
        <w:t xml:space="preserve"> </w:t>
      </w:r>
      <w:r w:rsidRPr="00EC20A0">
        <w:rPr>
          <w:sz w:val="18"/>
        </w:rPr>
        <w:t>the</w:t>
      </w:r>
      <w:r w:rsidRPr="00EC20A0">
        <w:rPr>
          <w:spacing w:val="-3"/>
          <w:sz w:val="18"/>
        </w:rPr>
        <w:t xml:space="preserve"> </w:t>
      </w:r>
      <w:r w:rsidRPr="00EC20A0">
        <w:rPr>
          <w:sz w:val="18"/>
        </w:rPr>
        <w:t>annual</w:t>
      </w:r>
      <w:r w:rsidRPr="00EC20A0">
        <w:rPr>
          <w:spacing w:val="-2"/>
          <w:sz w:val="18"/>
        </w:rPr>
        <w:t xml:space="preserve"> </w:t>
      </w:r>
      <w:r w:rsidRPr="00EC20A0">
        <w:rPr>
          <w:sz w:val="18"/>
        </w:rPr>
        <w:t>rate</w:t>
      </w:r>
      <w:r w:rsidRPr="00EC20A0">
        <w:rPr>
          <w:spacing w:val="-3"/>
          <w:sz w:val="18"/>
        </w:rPr>
        <w:t xml:space="preserve"> </w:t>
      </w:r>
      <w:r w:rsidRPr="00EC20A0">
        <w:rPr>
          <w:sz w:val="18"/>
        </w:rPr>
        <w:t>by</w:t>
      </w:r>
      <w:r w:rsidRPr="00EC20A0">
        <w:rPr>
          <w:spacing w:val="-2"/>
          <w:sz w:val="18"/>
        </w:rPr>
        <w:t xml:space="preserve"> </w:t>
      </w:r>
      <w:r w:rsidRPr="00EC20A0">
        <w:rPr>
          <w:sz w:val="18"/>
        </w:rPr>
        <w:t>2,087;</w:t>
      </w:r>
      <w:r w:rsidRPr="00EC20A0">
        <w:rPr>
          <w:spacing w:val="-2"/>
          <w:sz w:val="18"/>
        </w:rPr>
        <w:t xml:space="preserve"> </w:t>
      </w:r>
      <w:r w:rsidRPr="00EC20A0">
        <w:rPr>
          <w:sz w:val="18"/>
        </w:rPr>
        <w:t>to</w:t>
      </w:r>
      <w:r w:rsidRPr="00EC20A0">
        <w:rPr>
          <w:spacing w:val="-3"/>
          <w:sz w:val="18"/>
        </w:rPr>
        <w:t xml:space="preserve"> </w:t>
      </w:r>
      <w:r w:rsidRPr="00EC20A0">
        <w:rPr>
          <w:sz w:val="18"/>
        </w:rPr>
        <w:t>derive</w:t>
      </w:r>
      <w:r w:rsidRPr="00EC20A0">
        <w:rPr>
          <w:spacing w:val="-3"/>
          <w:sz w:val="18"/>
        </w:rPr>
        <w:t xml:space="preserve"> </w:t>
      </w:r>
      <w:r w:rsidRPr="00EC20A0">
        <w:rPr>
          <w:sz w:val="18"/>
        </w:rPr>
        <w:t>a</w:t>
      </w:r>
      <w:r w:rsidRPr="00EC20A0">
        <w:rPr>
          <w:spacing w:val="-3"/>
          <w:sz w:val="18"/>
        </w:rPr>
        <w:t xml:space="preserve"> </w:t>
      </w:r>
      <w:r w:rsidRPr="00EC20A0">
        <w:rPr>
          <w:sz w:val="18"/>
        </w:rPr>
        <w:t>daily</w:t>
      </w:r>
      <w:r w:rsidRPr="00EC20A0">
        <w:rPr>
          <w:spacing w:val="-2"/>
          <w:sz w:val="18"/>
        </w:rPr>
        <w:t xml:space="preserve"> </w:t>
      </w:r>
      <w:r w:rsidRPr="00EC20A0">
        <w:rPr>
          <w:sz w:val="18"/>
        </w:rPr>
        <w:t>rate,</w:t>
      </w:r>
      <w:r w:rsidRPr="00EC20A0">
        <w:rPr>
          <w:spacing w:val="-2"/>
          <w:sz w:val="18"/>
        </w:rPr>
        <w:t xml:space="preserve"> </w:t>
      </w:r>
      <w:r w:rsidRPr="00EC20A0">
        <w:rPr>
          <w:sz w:val="18"/>
        </w:rPr>
        <w:t>multiply</w:t>
      </w:r>
      <w:r w:rsidRPr="00EC20A0">
        <w:rPr>
          <w:spacing w:val="-1"/>
          <w:sz w:val="18"/>
        </w:rPr>
        <w:t xml:space="preserve"> </w:t>
      </w:r>
      <w:r w:rsidRPr="00EC20A0">
        <w:rPr>
          <w:sz w:val="18"/>
        </w:rPr>
        <w:t>the</w:t>
      </w:r>
      <w:r w:rsidRPr="00EC20A0">
        <w:rPr>
          <w:spacing w:val="-3"/>
          <w:sz w:val="18"/>
        </w:rPr>
        <w:t xml:space="preserve"> </w:t>
      </w:r>
      <w:r w:rsidRPr="00EC20A0">
        <w:rPr>
          <w:sz w:val="18"/>
        </w:rPr>
        <w:t>hourly</w:t>
      </w:r>
      <w:r w:rsidRPr="00EC20A0">
        <w:rPr>
          <w:spacing w:val="-2"/>
          <w:sz w:val="18"/>
        </w:rPr>
        <w:t xml:space="preserve"> </w:t>
      </w:r>
      <w:r w:rsidRPr="00EC20A0">
        <w:rPr>
          <w:sz w:val="18"/>
        </w:rPr>
        <w:t>rate</w:t>
      </w:r>
      <w:r w:rsidRPr="00EC20A0">
        <w:rPr>
          <w:spacing w:val="-1"/>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number of</w:t>
      </w:r>
      <w:r w:rsidRPr="00EC20A0">
        <w:rPr>
          <w:spacing w:val="-2"/>
          <w:sz w:val="18"/>
        </w:rPr>
        <w:t xml:space="preserve"> </w:t>
      </w:r>
      <w:r w:rsidRPr="00EC20A0">
        <w:rPr>
          <w:sz w:val="18"/>
        </w:rPr>
        <w:t>daily</w:t>
      </w:r>
      <w:r w:rsidRPr="00EC20A0">
        <w:rPr>
          <w:spacing w:val="-2"/>
          <w:sz w:val="18"/>
        </w:rPr>
        <w:t xml:space="preserve"> </w:t>
      </w:r>
      <w:r w:rsidRPr="00EC20A0">
        <w:rPr>
          <w:sz w:val="18"/>
        </w:rPr>
        <w:t>hours</w:t>
      </w:r>
      <w:r w:rsidRPr="00EC20A0">
        <w:rPr>
          <w:spacing w:val="-2"/>
          <w:sz w:val="18"/>
        </w:rPr>
        <w:t xml:space="preserve"> </w:t>
      </w:r>
      <w:r w:rsidRPr="00EC20A0">
        <w:rPr>
          <w:sz w:val="18"/>
        </w:rPr>
        <w:t>of</w:t>
      </w:r>
      <w:r w:rsidRPr="00EC20A0">
        <w:rPr>
          <w:spacing w:val="-2"/>
          <w:sz w:val="18"/>
        </w:rPr>
        <w:t xml:space="preserve"> </w:t>
      </w:r>
      <w:r w:rsidRPr="00EC20A0">
        <w:rPr>
          <w:sz w:val="18"/>
        </w:rPr>
        <w:t>service required; to derive a weekly rate, multiply the hourly rate by 40; and to derive a biweekly rate, multiply the hourly rate by 80. 5 U.S.C. § 5504(b).</w:t>
      </w:r>
    </w:p>
    <w:p w14:paraId="24D61236" w14:textId="77777777" w:rsidR="00245300" w:rsidRPr="00EC20A0" w:rsidRDefault="00245300">
      <w:pPr>
        <w:rPr>
          <w:sz w:val="18"/>
        </w:rPr>
        <w:sectPr w:rsidR="00245300" w:rsidRPr="00EC20A0">
          <w:headerReference w:type="default" r:id="rId115"/>
          <w:footerReference w:type="default" r:id="rId116"/>
          <w:pgSz w:w="15840" w:h="12240" w:orient="landscape"/>
          <w:pgMar w:top="720" w:right="1440" w:bottom="960" w:left="940" w:header="0" w:footer="766" w:gutter="0"/>
          <w:cols w:space="720"/>
        </w:sectPr>
      </w:pPr>
    </w:p>
    <w:p w14:paraId="24D61237" w14:textId="77777777" w:rsidR="00245300" w:rsidRPr="00EC20A0" w:rsidRDefault="00F17249">
      <w:pPr>
        <w:pStyle w:val="BodyText"/>
        <w:spacing w:before="82"/>
        <w:ind w:left="120" w:right="185"/>
      </w:pPr>
      <w:r w:rsidRPr="00EC20A0">
        <w:t xml:space="preserve">Note: The auditor generally should perform these procedures or prepare equivalent documentation only if provisions of the Pay and Allowance System for Civilian Employees, as provided </w:t>
      </w:r>
      <w:r w:rsidRPr="00EC20A0">
        <w:t>primarily in 5 U.S.C. chapters 51–59, are significant, as indicated on Form 802, General Compliance Checklist, at page 802-8. These procedures test compliance with the provisions</w:t>
      </w:r>
      <w:r w:rsidRPr="00EC20A0">
        <w:rPr>
          <w:spacing w:val="-3"/>
        </w:rPr>
        <w:t xml:space="preserve"> </w:t>
      </w:r>
      <w:r w:rsidRPr="00EC20A0">
        <w:t>listed</w:t>
      </w:r>
      <w:r w:rsidRPr="00EC20A0">
        <w:rPr>
          <w:spacing w:val="-3"/>
        </w:rPr>
        <w:t xml:space="preserve"> </w:t>
      </w:r>
      <w:r w:rsidRPr="00EC20A0">
        <w:t>on</w:t>
      </w:r>
      <w:r w:rsidRPr="00EC20A0">
        <w:rPr>
          <w:spacing w:val="-3"/>
        </w:rPr>
        <w:t xml:space="preserve"> </w:t>
      </w:r>
      <w:r w:rsidRPr="00EC20A0">
        <w:t>the</w:t>
      </w:r>
      <w:r w:rsidRPr="00EC20A0">
        <w:rPr>
          <w:spacing w:val="-4"/>
        </w:rPr>
        <w:t xml:space="preserve"> </w:t>
      </w:r>
      <w:r w:rsidRPr="00EC20A0">
        <w:t>Compliance</w:t>
      </w:r>
      <w:r w:rsidRPr="00EC20A0">
        <w:rPr>
          <w:spacing w:val="-3"/>
        </w:rPr>
        <w:t xml:space="preserve"> </w:t>
      </w:r>
      <w:r w:rsidRPr="00EC20A0">
        <w:t>Summary.</w:t>
      </w:r>
      <w:r w:rsidRPr="00EC20A0">
        <w:rPr>
          <w:spacing w:val="-3"/>
        </w:rPr>
        <w:t xml:space="preserve"> </w:t>
      </w:r>
      <w:r w:rsidRPr="00EC20A0">
        <w:t>Implementing</w:t>
      </w:r>
      <w:r w:rsidRPr="00EC20A0">
        <w:rPr>
          <w:spacing w:val="-3"/>
        </w:rPr>
        <w:t xml:space="preserve"> </w:t>
      </w:r>
      <w:r w:rsidRPr="00EC20A0">
        <w:t>regulations</w:t>
      </w:r>
      <w:r w:rsidRPr="00EC20A0">
        <w:rPr>
          <w:spacing w:val="-3"/>
        </w:rPr>
        <w:t xml:space="preserve"> </w:t>
      </w:r>
      <w:r w:rsidRPr="00EC20A0">
        <w:t>issued</w:t>
      </w:r>
      <w:r w:rsidRPr="00EC20A0">
        <w:rPr>
          <w:spacing w:val="-4"/>
        </w:rPr>
        <w:t xml:space="preserve"> </w:t>
      </w:r>
      <w:r w:rsidRPr="00EC20A0">
        <w:t>by</w:t>
      </w:r>
      <w:r w:rsidRPr="00EC20A0">
        <w:rPr>
          <w:spacing w:val="-3"/>
        </w:rPr>
        <w:t xml:space="preserve"> </w:t>
      </w:r>
      <w:r w:rsidRPr="00EC20A0">
        <w:t>the</w:t>
      </w:r>
      <w:r w:rsidRPr="00EC20A0">
        <w:rPr>
          <w:spacing w:val="-3"/>
        </w:rPr>
        <w:t xml:space="preserve"> </w:t>
      </w:r>
      <w:r w:rsidRPr="00EC20A0">
        <w:t>Office</w:t>
      </w:r>
      <w:r w:rsidRPr="00EC20A0">
        <w:rPr>
          <w:spacing w:val="-3"/>
        </w:rPr>
        <w:t xml:space="preserve"> </w:t>
      </w:r>
      <w:r w:rsidRPr="00EC20A0">
        <w:t>of Personnel Management are included in Title 5, U.S. Code of Federal Regulations.</w:t>
      </w:r>
    </w:p>
    <w:p w14:paraId="24D61238" w14:textId="77777777" w:rsidR="00245300" w:rsidRPr="00EC20A0" w:rsidRDefault="00245300">
      <w:pPr>
        <w:pStyle w:val="BodyText"/>
        <w:spacing w:before="7"/>
        <w:rPr>
          <w:sz w:val="13"/>
        </w:rPr>
      </w:pPr>
    </w:p>
    <w:tbl>
      <w:tblPr>
        <w:tblW w:w="0" w:type="auto"/>
        <w:tblInd w:w="13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0"/>
        <w:gridCol w:w="1062"/>
        <w:gridCol w:w="1278"/>
      </w:tblGrid>
      <w:tr w:rsidR="00245300" w:rsidRPr="00EC20A0" w14:paraId="24D6123A" w14:textId="77777777">
        <w:trPr>
          <w:trHeight w:val="1335"/>
        </w:trPr>
        <w:tc>
          <w:tcPr>
            <w:tcW w:w="9360" w:type="dxa"/>
            <w:gridSpan w:val="3"/>
            <w:tcBorders>
              <w:left w:val="double" w:sz="4" w:space="0" w:color="000000"/>
              <w:bottom w:val="single" w:sz="6" w:space="0" w:color="000000"/>
              <w:right w:val="double" w:sz="4" w:space="0" w:color="000000"/>
            </w:tcBorders>
          </w:tcPr>
          <w:p w14:paraId="24D61239" w14:textId="77777777" w:rsidR="00245300" w:rsidRPr="00EC20A0" w:rsidRDefault="00F17249">
            <w:pPr>
              <w:pStyle w:val="TableParagraph"/>
              <w:tabs>
                <w:tab w:val="left" w:pos="7971"/>
              </w:tabs>
              <w:spacing w:before="7" w:line="390" w:lineRule="atLeast"/>
              <w:ind w:left="134" w:right="1354"/>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240" w14:textId="77777777">
        <w:trPr>
          <w:trHeight w:val="793"/>
        </w:trPr>
        <w:tc>
          <w:tcPr>
            <w:tcW w:w="7020" w:type="dxa"/>
            <w:tcBorders>
              <w:top w:val="single" w:sz="6" w:space="0" w:color="000000"/>
              <w:left w:val="double" w:sz="4" w:space="0" w:color="000000"/>
              <w:bottom w:val="single" w:sz="6" w:space="0" w:color="000000"/>
              <w:right w:val="single" w:sz="6" w:space="0" w:color="000000"/>
            </w:tcBorders>
          </w:tcPr>
          <w:p w14:paraId="24D6123B" w14:textId="77777777" w:rsidR="00245300" w:rsidRPr="00EC20A0" w:rsidRDefault="00245300">
            <w:pPr>
              <w:pStyle w:val="TableParagraph"/>
              <w:spacing w:before="143"/>
            </w:pPr>
          </w:p>
          <w:p w14:paraId="24D6123C" w14:textId="77777777" w:rsidR="00245300" w:rsidRPr="00EC20A0" w:rsidRDefault="00F17249">
            <w:pPr>
              <w:pStyle w:val="TableParagraph"/>
              <w:spacing w:before="1"/>
              <w:ind w:left="135"/>
              <w:rPr>
                <w:b/>
              </w:rPr>
            </w:pPr>
            <w:r w:rsidRPr="00EC20A0">
              <w:rPr>
                <w:b/>
              </w:rPr>
              <w:t>Audit</w:t>
            </w:r>
            <w:r w:rsidRPr="00EC20A0">
              <w:rPr>
                <w:b/>
                <w:spacing w:val="-6"/>
              </w:rPr>
              <w:t xml:space="preserve"> </w:t>
            </w:r>
            <w:r w:rsidRPr="00EC20A0">
              <w:rPr>
                <w:b/>
                <w:spacing w:val="-2"/>
              </w:rPr>
              <w:t>procedures</w:t>
            </w:r>
          </w:p>
        </w:tc>
        <w:tc>
          <w:tcPr>
            <w:tcW w:w="1062" w:type="dxa"/>
            <w:tcBorders>
              <w:top w:val="single" w:sz="6" w:space="0" w:color="000000"/>
              <w:left w:val="single" w:sz="6" w:space="0" w:color="000000"/>
              <w:bottom w:val="single" w:sz="6" w:space="0" w:color="000000"/>
              <w:right w:val="single" w:sz="6" w:space="0" w:color="000000"/>
            </w:tcBorders>
          </w:tcPr>
          <w:p w14:paraId="24D6123D" w14:textId="77777777" w:rsidR="00245300" w:rsidRPr="00EC20A0" w:rsidRDefault="00F17249">
            <w:pPr>
              <w:pStyle w:val="TableParagraph"/>
              <w:spacing w:before="143"/>
              <w:ind w:left="142" w:right="131"/>
              <w:rPr>
                <w:b/>
              </w:rPr>
            </w:pPr>
            <w:r w:rsidRPr="00EC20A0">
              <w:rPr>
                <w:b/>
                <w:spacing w:val="-2"/>
              </w:rPr>
              <w:t xml:space="preserve">Initials/ </w:t>
            </w:r>
            <w:r w:rsidRPr="00EC20A0">
              <w:rPr>
                <w:b/>
                <w:spacing w:val="-4"/>
              </w:rPr>
              <w:t>date</w:t>
            </w:r>
          </w:p>
        </w:tc>
        <w:tc>
          <w:tcPr>
            <w:tcW w:w="1278" w:type="dxa"/>
            <w:tcBorders>
              <w:top w:val="single" w:sz="6" w:space="0" w:color="000000"/>
              <w:left w:val="single" w:sz="6" w:space="0" w:color="000000"/>
              <w:bottom w:val="single" w:sz="6" w:space="0" w:color="000000"/>
              <w:right w:val="double" w:sz="4" w:space="0" w:color="000000"/>
            </w:tcBorders>
          </w:tcPr>
          <w:p w14:paraId="24D6123E" w14:textId="77777777" w:rsidR="00245300" w:rsidRPr="00EC20A0" w:rsidRDefault="00245300">
            <w:pPr>
              <w:pStyle w:val="TableParagraph"/>
              <w:spacing w:before="143"/>
            </w:pPr>
          </w:p>
          <w:p w14:paraId="24D6123F" w14:textId="77777777" w:rsidR="00245300" w:rsidRPr="00EC20A0" w:rsidRDefault="00F17249">
            <w:pPr>
              <w:pStyle w:val="TableParagraph"/>
              <w:spacing w:before="1"/>
              <w:ind w:left="142"/>
              <w:rPr>
                <w:b/>
              </w:rPr>
            </w:pPr>
            <w:r w:rsidRPr="00EC20A0">
              <w:rPr>
                <w:b/>
              </w:rPr>
              <w:t>Doc.</w:t>
            </w:r>
            <w:r w:rsidRPr="00EC20A0">
              <w:rPr>
                <w:b/>
                <w:spacing w:val="-5"/>
              </w:rPr>
              <w:t xml:space="preserve"> </w:t>
            </w:r>
            <w:r w:rsidRPr="00EC20A0">
              <w:rPr>
                <w:b/>
                <w:spacing w:val="-4"/>
              </w:rPr>
              <w:t>ref.</w:t>
            </w:r>
          </w:p>
        </w:tc>
      </w:tr>
      <w:tr w:rsidR="00245300" w:rsidRPr="00EC20A0" w14:paraId="24D61242" w14:textId="77777777">
        <w:trPr>
          <w:trHeight w:val="748"/>
        </w:trPr>
        <w:tc>
          <w:tcPr>
            <w:tcW w:w="9360" w:type="dxa"/>
            <w:gridSpan w:val="3"/>
            <w:tcBorders>
              <w:top w:val="single" w:sz="6" w:space="0" w:color="000000"/>
              <w:left w:val="double" w:sz="4" w:space="0" w:color="000000"/>
              <w:bottom w:val="single" w:sz="8" w:space="0" w:color="000000"/>
              <w:right w:val="double" w:sz="4" w:space="0" w:color="000000"/>
            </w:tcBorders>
          </w:tcPr>
          <w:p w14:paraId="24D61241" w14:textId="77777777" w:rsidR="00245300" w:rsidRPr="00EC20A0" w:rsidRDefault="00F17249">
            <w:pPr>
              <w:pStyle w:val="TableParagraph"/>
              <w:spacing w:before="144"/>
              <w:ind w:left="135"/>
              <w:rPr>
                <w:sz w:val="20"/>
              </w:rPr>
            </w:pPr>
            <w:r w:rsidRPr="00EC20A0">
              <w:rPr>
                <w:sz w:val="20"/>
              </w:rPr>
              <w:t>Note:</w:t>
            </w:r>
            <w:r w:rsidRPr="00EC20A0">
              <w:rPr>
                <w:spacing w:val="-3"/>
                <w:sz w:val="20"/>
              </w:rPr>
              <w:t xml:space="preserve"> </w:t>
            </w:r>
            <w:r w:rsidRPr="00EC20A0">
              <w:rPr>
                <w:sz w:val="20"/>
              </w:rPr>
              <w:t>These</w:t>
            </w:r>
            <w:r w:rsidRPr="00EC20A0">
              <w:rPr>
                <w:spacing w:val="-3"/>
                <w:sz w:val="20"/>
              </w:rPr>
              <w:t xml:space="preserve"> </w:t>
            </w:r>
            <w:r w:rsidRPr="00EC20A0">
              <w:rPr>
                <w:sz w:val="20"/>
              </w:rPr>
              <w:t>tests</w:t>
            </w:r>
            <w:r w:rsidRPr="00EC20A0">
              <w:rPr>
                <w:spacing w:val="-3"/>
                <w:sz w:val="20"/>
              </w:rPr>
              <w:t xml:space="preserve"> </w:t>
            </w:r>
            <w:r w:rsidRPr="00EC20A0">
              <w:rPr>
                <w:sz w:val="20"/>
              </w:rPr>
              <w:t>are</w:t>
            </w:r>
            <w:r w:rsidRPr="00EC20A0">
              <w:rPr>
                <w:spacing w:val="-4"/>
                <w:sz w:val="20"/>
              </w:rPr>
              <w:t xml:space="preserve"> </w:t>
            </w:r>
            <w:r w:rsidRPr="00EC20A0">
              <w:rPr>
                <w:sz w:val="20"/>
              </w:rPr>
              <w:t>closely</w:t>
            </w:r>
            <w:r w:rsidRPr="00EC20A0">
              <w:rPr>
                <w:spacing w:val="-3"/>
                <w:sz w:val="20"/>
              </w:rPr>
              <w:t xml:space="preserve"> </w:t>
            </w:r>
            <w:r w:rsidRPr="00EC20A0">
              <w:rPr>
                <w:sz w:val="20"/>
              </w:rPr>
              <w:t>related</w:t>
            </w:r>
            <w:r w:rsidRPr="00EC20A0">
              <w:rPr>
                <w:spacing w:val="-3"/>
                <w:sz w:val="20"/>
              </w:rPr>
              <w:t xml:space="preserve"> </w:t>
            </w:r>
            <w:r w:rsidRPr="00EC20A0">
              <w:rPr>
                <w:sz w:val="20"/>
              </w:rPr>
              <w:t>to</w:t>
            </w:r>
            <w:r w:rsidRPr="00EC20A0">
              <w:rPr>
                <w:spacing w:val="-3"/>
                <w:sz w:val="20"/>
              </w:rPr>
              <w:t xml:space="preserve"> </w:t>
            </w:r>
            <w:r w:rsidRPr="00EC20A0">
              <w:rPr>
                <w:sz w:val="20"/>
              </w:rPr>
              <w:t>procedures</w:t>
            </w:r>
            <w:r w:rsidRPr="00EC20A0">
              <w:rPr>
                <w:spacing w:val="-2"/>
                <w:sz w:val="20"/>
              </w:rPr>
              <w:t xml:space="preserve"> </w:t>
            </w:r>
            <w:r w:rsidRPr="00EC20A0">
              <w:rPr>
                <w:sz w:val="20"/>
              </w:rPr>
              <w:t>performed</w:t>
            </w:r>
            <w:r w:rsidRPr="00EC20A0">
              <w:rPr>
                <w:spacing w:val="-3"/>
                <w:sz w:val="20"/>
              </w:rPr>
              <w:t xml:space="preserve"> </w:t>
            </w:r>
            <w:r w:rsidRPr="00EC20A0">
              <w:rPr>
                <w:sz w:val="20"/>
              </w:rPr>
              <w:t>for</w:t>
            </w:r>
            <w:r w:rsidRPr="00EC20A0">
              <w:rPr>
                <w:spacing w:val="-4"/>
                <w:sz w:val="20"/>
              </w:rPr>
              <w:t xml:space="preserve"> </w:t>
            </w:r>
            <w:r w:rsidRPr="00EC20A0">
              <w:rPr>
                <w:sz w:val="20"/>
              </w:rPr>
              <w:t>substantive</w:t>
            </w:r>
            <w:r w:rsidRPr="00EC20A0">
              <w:rPr>
                <w:spacing w:val="-3"/>
                <w:sz w:val="20"/>
              </w:rPr>
              <w:t xml:space="preserve"> </w:t>
            </w:r>
            <w:r w:rsidRPr="00EC20A0">
              <w:rPr>
                <w:sz w:val="20"/>
              </w:rPr>
              <w:t>tests</w:t>
            </w:r>
            <w:r w:rsidRPr="00EC20A0">
              <w:rPr>
                <w:spacing w:val="-3"/>
                <w:sz w:val="20"/>
              </w:rPr>
              <w:t xml:space="preserve"> </w:t>
            </w:r>
            <w:r w:rsidRPr="00EC20A0">
              <w:rPr>
                <w:sz w:val="20"/>
              </w:rPr>
              <w:t>of</w:t>
            </w:r>
            <w:r w:rsidRPr="00EC20A0">
              <w:rPr>
                <w:spacing w:val="-3"/>
                <w:sz w:val="20"/>
              </w:rPr>
              <w:t xml:space="preserve"> </w:t>
            </w:r>
            <w:r w:rsidRPr="00EC20A0">
              <w:rPr>
                <w:sz w:val="20"/>
              </w:rPr>
              <w:t>payroll</w:t>
            </w:r>
            <w:r w:rsidRPr="00EC20A0">
              <w:rPr>
                <w:spacing w:val="-3"/>
                <w:sz w:val="20"/>
              </w:rPr>
              <w:t xml:space="preserve"> </w:t>
            </w:r>
            <w:r w:rsidRPr="00EC20A0">
              <w:rPr>
                <w:sz w:val="20"/>
              </w:rPr>
              <w:t>expense details, and multipurpose testing in this situation is strongly encouraged.</w:t>
            </w:r>
          </w:p>
        </w:tc>
      </w:tr>
      <w:tr w:rsidR="00245300" w:rsidRPr="00EC20A0" w14:paraId="24D61248" w14:textId="77777777">
        <w:trPr>
          <w:trHeight w:val="3104"/>
        </w:trPr>
        <w:tc>
          <w:tcPr>
            <w:tcW w:w="7020" w:type="dxa"/>
            <w:tcBorders>
              <w:top w:val="single" w:sz="8" w:space="0" w:color="000000"/>
              <w:left w:val="double" w:sz="4" w:space="0" w:color="000000"/>
              <w:bottom w:val="single" w:sz="4" w:space="0" w:color="000000"/>
              <w:right w:val="single" w:sz="4" w:space="0" w:color="000000"/>
            </w:tcBorders>
          </w:tcPr>
          <w:p w14:paraId="24D61243" w14:textId="77777777" w:rsidR="00245300" w:rsidRPr="00EC20A0" w:rsidRDefault="00F17249">
            <w:pPr>
              <w:pStyle w:val="TableParagraph"/>
              <w:tabs>
                <w:tab w:val="left" w:pos="710"/>
              </w:tabs>
              <w:spacing w:before="143"/>
              <w:ind w:left="711" w:right="342" w:hanging="577"/>
            </w:pPr>
            <w:r w:rsidRPr="00EC20A0">
              <w:rPr>
                <w:spacing w:val="-6"/>
              </w:rPr>
              <w:t>1)</w:t>
            </w:r>
            <w:r w:rsidRPr="00EC20A0">
              <w:tab/>
              <w:t>Based on the preliminary assessment of compliance control effectiveness (as documented on Form 807, Compliance Summary),</w:t>
            </w:r>
            <w:r w:rsidRPr="00EC20A0">
              <w:rPr>
                <w:spacing w:val="-5"/>
              </w:rPr>
              <w:t xml:space="preserve"> </w:t>
            </w:r>
            <w:r w:rsidRPr="00EC20A0">
              <w:t>select</w:t>
            </w:r>
            <w:r w:rsidRPr="00EC20A0">
              <w:rPr>
                <w:spacing w:val="-5"/>
              </w:rPr>
              <w:t xml:space="preserve"> </w:t>
            </w:r>
            <w:r w:rsidRPr="00EC20A0">
              <w:t>a</w:t>
            </w:r>
            <w:r w:rsidRPr="00EC20A0">
              <w:rPr>
                <w:spacing w:val="-6"/>
              </w:rPr>
              <w:t xml:space="preserve"> </w:t>
            </w:r>
            <w:r w:rsidRPr="00EC20A0">
              <w:t>statistical</w:t>
            </w:r>
            <w:r w:rsidRPr="00EC20A0">
              <w:rPr>
                <w:spacing w:val="-6"/>
              </w:rPr>
              <w:t xml:space="preserve"> </w:t>
            </w:r>
            <w:r w:rsidRPr="00EC20A0">
              <w:t>sample</w:t>
            </w:r>
            <w:r w:rsidRPr="00EC20A0">
              <w:rPr>
                <w:spacing w:val="-5"/>
              </w:rPr>
              <w:t xml:space="preserve"> </w:t>
            </w:r>
            <w:r w:rsidRPr="00EC20A0">
              <w:t>of</w:t>
            </w:r>
            <w:r w:rsidRPr="00EC20A0">
              <w:rPr>
                <w:spacing w:val="-5"/>
              </w:rPr>
              <w:t xml:space="preserve"> </w:t>
            </w:r>
            <w:r w:rsidRPr="00EC20A0">
              <w:t>payroll</w:t>
            </w:r>
            <w:r w:rsidRPr="00EC20A0">
              <w:rPr>
                <w:spacing w:val="-5"/>
              </w:rPr>
              <w:t xml:space="preserve"> </w:t>
            </w:r>
            <w:r w:rsidRPr="00EC20A0">
              <w:t>records</w:t>
            </w:r>
            <w:r w:rsidRPr="00EC20A0">
              <w:rPr>
                <w:spacing w:val="-5"/>
              </w:rPr>
              <w:t xml:space="preserve"> </w:t>
            </w:r>
            <w:r w:rsidRPr="00EC20A0">
              <w:t>(e.g., each employee’s pay per pay period) throughout the audit period. The sample size will vary based on the expected effectiveness of compliance controls, as discussed in FAM</w:t>
            </w:r>
          </w:p>
          <w:p w14:paraId="24D61244" w14:textId="77777777" w:rsidR="00245300" w:rsidRPr="00EC20A0" w:rsidRDefault="00F17249">
            <w:pPr>
              <w:pStyle w:val="TableParagraph"/>
              <w:ind w:left="711"/>
              <w:rPr>
                <w:sz w:val="14"/>
              </w:rPr>
            </w:pPr>
            <w:r w:rsidRPr="00EC20A0">
              <w:t>460.02.</w:t>
            </w:r>
            <w:r w:rsidRPr="00EC20A0">
              <w:rPr>
                <w:spacing w:val="-7"/>
              </w:rPr>
              <w:t xml:space="preserve"> </w:t>
            </w:r>
            <w:r w:rsidRPr="00EC20A0">
              <w:t>Document</w:t>
            </w:r>
            <w:r w:rsidRPr="00EC20A0">
              <w:rPr>
                <w:spacing w:val="-7"/>
              </w:rPr>
              <w:t xml:space="preserve"> </w:t>
            </w:r>
            <w:r w:rsidRPr="00EC20A0">
              <w:t>the</w:t>
            </w:r>
            <w:r w:rsidRPr="00EC20A0">
              <w:rPr>
                <w:spacing w:val="-7"/>
              </w:rPr>
              <w:t xml:space="preserve"> </w:t>
            </w:r>
            <w:r w:rsidRPr="00EC20A0">
              <w:t>sampling</w:t>
            </w:r>
            <w:r w:rsidRPr="00EC20A0">
              <w:rPr>
                <w:spacing w:val="-7"/>
              </w:rPr>
              <w:t xml:space="preserve"> </w:t>
            </w:r>
            <w:r w:rsidRPr="00EC20A0">
              <w:t>approach</w:t>
            </w:r>
            <w:r w:rsidRPr="00EC20A0">
              <w:rPr>
                <w:spacing w:val="-7"/>
              </w:rPr>
              <w:t xml:space="preserve"> </w:t>
            </w:r>
            <w:r w:rsidRPr="00EC20A0">
              <w:t>(see</w:t>
            </w:r>
            <w:r w:rsidRPr="00EC20A0">
              <w:rPr>
                <w:spacing w:val="-7"/>
              </w:rPr>
              <w:t xml:space="preserve"> </w:t>
            </w:r>
            <w:r w:rsidRPr="00EC20A0">
              <w:t>example documentation in FAM 495 D</w:t>
            </w:r>
            <w:r w:rsidRPr="00EC20A0">
              <w:rPr>
                <w:i/>
              </w:rPr>
              <w:t>).</w:t>
            </w:r>
            <w:hyperlink w:anchor="_bookmark127" w:history="1">
              <w:r w:rsidRPr="00EC20A0">
                <w:rPr>
                  <w:position w:val="7"/>
                  <w:sz w:val="14"/>
                </w:rPr>
                <w:t>51</w:t>
              </w:r>
            </w:hyperlink>
          </w:p>
          <w:p w14:paraId="24D61245" w14:textId="77777777" w:rsidR="00245300" w:rsidRPr="00EC20A0" w:rsidRDefault="00F17249">
            <w:pPr>
              <w:pStyle w:val="TableParagraph"/>
              <w:tabs>
                <w:tab w:val="left" w:pos="6136"/>
              </w:tabs>
              <w:spacing w:before="8" w:line="390" w:lineRule="atLeast"/>
              <w:ind w:left="709" w:right="860"/>
            </w:pPr>
            <w:r w:rsidRPr="00EC20A0">
              <w:t xml:space="preserve">Sample size </w:t>
            </w:r>
            <w:r w:rsidRPr="00EC20A0">
              <w:rPr>
                <w:u w:val="single"/>
              </w:rPr>
              <w:tab/>
            </w:r>
            <w:r w:rsidRPr="00EC20A0">
              <w:t xml:space="preserve"> Sample</w:t>
            </w:r>
            <w:r w:rsidRPr="00EC20A0">
              <w:rPr>
                <w:spacing w:val="-10"/>
              </w:rPr>
              <w:t xml:space="preserve"> </w:t>
            </w:r>
            <w:r w:rsidRPr="00EC20A0">
              <w:t>selection</w:t>
            </w:r>
            <w:r w:rsidRPr="00EC20A0">
              <w:rPr>
                <w:spacing w:val="-7"/>
              </w:rPr>
              <w:t xml:space="preserve"> </w:t>
            </w:r>
            <w:r w:rsidRPr="00EC20A0">
              <w:t>method</w:t>
            </w:r>
            <w:r w:rsidRPr="00EC20A0">
              <w:rPr>
                <w:spacing w:val="-41"/>
              </w:rPr>
              <w:t xml:space="preserve"> </w:t>
            </w:r>
            <w:r w:rsidRPr="00EC20A0">
              <w:rPr>
                <w:u w:val="single"/>
              </w:rPr>
              <w:tab/>
            </w:r>
          </w:p>
        </w:tc>
        <w:tc>
          <w:tcPr>
            <w:tcW w:w="1062" w:type="dxa"/>
            <w:tcBorders>
              <w:top w:val="single" w:sz="8" w:space="0" w:color="000000"/>
              <w:left w:val="single" w:sz="4" w:space="0" w:color="000000"/>
              <w:bottom w:val="single" w:sz="4" w:space="0" w:color="000000"/>
              <w:right w:val="single" w:sz="4" w:space="0" w:color="000000"/>
            </w:tcBorders>
          </w:tcPr>
          <w:p w14:paraId="24D61246" w14:textId="77777777" w:rsidR="00245300" w:rsidRPr="00EC20A0" w:rsidRDefault="00245300">
            <w:pPr>
              <w:pStyle w:val="TableParagraph"/>
              <w:rPr>
                <w:sz w:val="20"/>
              </w:rPr>
            </w:pPr>
          </w:p>
        </w:tc>
        <w:tc>
          <w:tcPr>
            <w:tcW w:w="1278" w:type="dxa"/>
            <w:tcBorders>
              <w:top w:val="single" w:sz="8" w:space="0" w:color="000000"/>
              <w:left w:val="single" w:sz="4" w:space="0" w:color="000000"/>
              <w:bottom w:val="single" w:sz="4" w:space="0" w:color="000000"/>
              <w:right w:val="double" w:sz="4" w:space="0" w:color="000000"/>
            </w:tcBorders>
          </w:tcPr>
          <w:p w14:paraId="24D61247" w14:textId="77777777" w:rsidR="00245300" w:rsidRPr="00EC20A0" w:rsidRDefault="00245300">
            <w:pPr>
              <w:pStyle w:val="TableParagraph"/>
              <w:rPr>
                <w:sz w:val="20"/>
              </w:rPr>
            </w:pPr>
          </w:p>
        </w:tc>
      </w:tr>
      <w:tr w:rsidR="00245300" w:rsidRPr="00EC20A0" w14:paraId="24D61251" w14:textId="77777777">
        <w:trPr>
          <w:trHeight w:val="2601"/>
        </w:trPr>
        <w:tc>
          <w:tcPr>
            <w:tcW w:w="7020" w:type="dxa"/>
            <w:tcBorders>
              <w:top w:val="single" w:sz="4" w:space="0" w:color="000000"/>
              <w:left w:val="double" w:sz="4" w:space="0" w:color="000000"/>
              <w:bottom w:val="single" w:sz="8" w:space="0" w:color="000000"/>
              <w:right w:val="single" w:sz="8" w:space="0" w:color="000000"/>
            </w:tcBorders>
          </w:tcPr>
          <w:p w14:paraId="24D61249" w14:textId="77777777" w:rsidR="00245300" w:rsidRPr="00EC20A0" w:rsidRDefault="00F17249">
            <w:pPr>
              <w:pStyle w:val="TableParagraph"/>
              <w:numPr>
                <w:ilvl w:val="0"/>
                <w:numId w:val="139"/>
              </w:numPr>
              <w:tabs>
                <w:tab w:val="left" w:pos="711"/>
              </w:tabs>
              <w:spacing w:before="145"/>
              <w:ind w:hanging="576"/>
            </w:pPr>
            <w:r w:rsidRPr="00EC20A0">
              <w:t>For</w:t>
            </w:r>
            <w:r w:rsidRPr="00EC20A0">
              <w:rPr>
                <w:spacing w:val="-5"/>
              </w:rPr>
              <w:t xml:space="preserve"> </w:t>
            </w:r>
            <w:r w:rsidRPr="00EC20A0">
              <w:t>each</w:t>
            </w:r>
            <w:r w:rsidRPr="00EC20A0">
              <w:rPr>
                <w:spacing w:val="-5"/>
              </w:rPr>
              <w:t xml:space="preserve"> </w:t>
            </w:r>
            <w:r w:rsidRPr="00EC20A0">
              <w:t>item</w:t>
            </w:r>
            <w:r w:rsidRPr="00EC20A0">
              <w:rPr>
                <w:spacing w:val="-5"/>
              </w:rPr>
              <w:t xml:space="preserve"> </w:t>
            </w:r>
            <w:r w:rsidRPr="00EC20A0">
              <w:t>selected</w:t>
            </w:r>
            <w:r w:rsidRPr="00EC20A0">
              <w:rPr>
                <w:spacing w:val="-5"/>
              </w:rPr>
              <w:t xml:space="preserve"> </w:t>
            </w:r>
            <w:r w:rsidRPr="00EC20A0">
              <w:t>in</w:t>
            </w:r>
            <w:r w:rsidRPr="00EC20A0">
              <w:rPr>
                <w:spacing w:val="-4"/>
              </w:rPr>
              <w:t xml:space="preserve"> </w:t>
            </w:r>
            <w:r w:rsidRPr="00EC20A0">
              <w:t>1,</w:t>
            </w:r>
            <w:r w:rsidRPr="00EC20A0">
              <w:rPr>
                <w:spacing w:val="-5"/>
              </w:rPr>
              <w:t xml:space="preserve"> </w:t>
            </w:r>
            <w:r w:rsidRPr="00EC20A0">
              <w:t>note</w:t>
            </w:r>
            <w:r w:rsidRPr="00EC20A0">
              <w:rPr>
                <w:spacing w:val="-4"/>
              </w:rPr>
              <w:t xml:space="preserve"> </w:t>
            </w:r>
            <w:r w:rsidRPr="00EC20A0">
              <w:t>the</w:t>
            </w:r>
            <w:r w:rsidRPr="00EC20A0">
              <w:rPr>
                <w:spacing w:val="-6"/>
              </w:rPr>
              <w:t xml:space="preserve"> </w:t>
            </w:r>
            <w:r w:rsidRPr="00EC20A0">
              <w:t>following</w:t>
            </w:r>
            <w:r w:rsidRPr="00EC20A0">
              <w:rPr>
                <w:spacing w:val="-4"/>
              </w:rPr>
              <w:t xml:space="preserve"> </w:t>
            </w:r>
            <w:r w:rsidRPr="00EC20A0">
              <w:rPr>
                <w:spacing w:val="-2"/>
              </w:rPr>
              <w:t>information:</w:t>
            </w:r>
          </w:p>
          <w:p w14:paraId="24D6124A" w14:textId="77777777" w:rsidR="00245300" w:rsidRPr="00EC20A0" w:rsidRDefault="00F17249">
            <w:pPr>
              <w:pStyle w:val="TableParagraph"/>
              <w:numPr>
                <w:ilvl w:val="1"/>
                <w:numId w:val="139"/>
              </w:numPr>
              <w:tabs>
                <w:tab w:val="left" w:pos="1069"/>
              </w:tabs>
              <w:spacing w:before="144"/>
              <w:ind w:hanging="360"/>
            </w:pPr>
            <w:r w:rsidRPr="00EC20A0">
              <w:t>employee</w:t>
            </w:r>
            <w:r w:rsidRPr="00EC20A0">
              <w:rPr>
                <w:spacing w:val="-10"/>
              </w:rPr>
              <w:t xml:space="preserve"> </w:t>
            </w:r>
            <w:r w:rsidRPr="00EC20A0">
              <w:rPr>
                <w:spacing w:val="-2"/>
              </w:rPr>
              <w:t>name;</w:t>
            </w:r>
          </w:p>
          <w:p w14:paraId="24D6124B" w14:textId="77777777" w:rsidR="00245300" w:rsidRPr="00EC20A0" w:rsidRDefault="00F17249">
            <w:pPr>
              <w:pStyle w:val="TableParagraph"/>
              <w:numPr>
                <w:ilvl w:val="1"/>
                <w:numId w:val="139"/>
              </w:numPr>
              <w:tabs>
                <w:tab w:val="left" w:pos="1069"/>
              </w:tabs>
              <w:spacing w:before="142"/>
              <w:ind w:hanging="360"/>
            </w:pPr>
            <w:r w:rsidRPr="00EC20A0">
              <w:t>pay</w:t>
            </w:r>
            <w:r w:rsidRPr="00EC20A0">
              <w:rPr>
                <w:spacing w:val="-6"/>
              </w:rPr>
              <w:t xml:space="preserve"> </w:t>
            </w:r>
            <w:r w:rsidRPr="00EC20A0">
              <w:t>period</w:t>
            </w:r>
            <w:r w:rsidRPr="00EC20A0">
              <w:rPr>
                <w:spacing w:val="-6"/>
              </w:rPr>
              <w:t xml:space="preserve"> </w:t>
            </w:r>
            <w:r w:rsidRPr="00EC20A0">
              <w:t>(number</w:t>
            </w:r>
            <w:r w:rsidRPr="00EC20A0">
              <w:rPr>
                <w:spacing w:val="-6"/>
              </w:rPr>
              <w:t xml:space="preserve"> </w:t>
            </w:r>
            <w:r w:rsidRPr="00EC20A0">
              <w:t>and</w:t>
            </w:r>
            <w:r w:rsidRPr="00EC20A0">
              <w:rPr>
                <w:spacing w:val="-6"/>
              </w:rPr>
              <w:t xml:space="preserve"> </w:t>
            </w:r>
            <w:r w:rsidRPr="00EC20A0">
              <w:rPr>
                <w:spacing w:val="-2"/>
              </w:rPr>
              <w:t>dates);</w:t>
            </w:r>
          </w:p>
          <w:p w14:paraId="24D6124C" w14:textId="77777777" w:rsidR="00245300" w:rsidRPr="00EC20A0" w:rsidRDefault="00F17249">
            <w:pPr>
              <w:pStyle w:val="TableParagraph"/>
              <w:numPr>
                <w:ilvl w:val="1"/>
                <w:numId w:val="139"/>
              </w:numPr>
              <w:tabs>
                <w:tab w:val="left" w:pos="1069"/>
              </w:tabs>
              <w:spacing w:before="142"/>
              <w:ind w:hanging="360"/>
            </w:pPr>
            <w:r w:rsidRPr="00EC20A0">
              <w:t>amount</w:t>
            </w:r>
            <w:r w:rsidRPr="00EC20A0">
              <w:rPr>
                <w:spacing w:val="-4"/>
              </w:rPr>
              <w:t xml:space="preserve"> </w:t>
            </w:r>
            <w:r w:rsidRPr="00EC20A0">
              <w:t>of</w:t>
            </w:r>
            <w:r w:rsidRPr="00EC20A0">
              <w:rPr>
                <w:spacing w:val="-4"/>
              </w:rPr>
              <w:t xml:space="preserve"> </w:t>
            </w:r>
            <w:r w:rsidRPr="00EC20A0">
              <w:t>gross</w:t>
            </w:r>
            <w:r w:rsidRPr="00EC20A0">
              <w:rPr>
                <w:spacing w:val="-4"/>
              </w:rPr>
              <w:t xml:space="preserve"> </w:t>
            </w:r>
            <w:r w:rsidRPr="00EC20A0">
              <w:t>pay</w:t>
            </w:r>
            <w:r w:rsidRPr="00EC20A0">
              <w:rPr>
                <w:spacing w:val="-4"/>
              </w:rPr>
              <w:t xml:space="preserve"> </w:t>
            </w:r>
            <w:r w:rsidRPr="00EC20A0">
              <w:t>for</w:t>
            </w:r>
            <w:r w:rsidRPr="00EC20A0">
              <w:rPr>
                <w:spacing w:val="-5"/>
              </w:rPr>
              <w:t xml:space="preserve"> </w:t>
            </w:r>
            <w:r w:rsidRPr="00EC20A0">
              <w:t>the</w:t>
            </w:r>
            <w:r w:rsidRPr="00EC20A0">
              <w:rPr>
                <w:spacing w:val="-4"/>
              </w:rPr>
              <w:t xml:space="preserve"> </w:t>
            </w:r>
            <w:r w:rsidRPr="00EC20A0">
              <w:rPr>
                <w:spacing w:val="-2"/>
              </w:rPr>
              <w:t>period;</w:t>
            </w:r>
          </w:p>
          <w:p w14:paraId="24D6124D" w14:textId="77777777" w:rsidR="00245300" w:rsidRPr="00EC20A0" w:rsidRDefault="00F17249">
            <w:pPr>
              <w:pStyle w:val="TableParagraph"/>
              <w:numPr>
                <w:ilvl w:val="1"/>
                <w:numId w:val="139"/>
              </w:numPr>
              <w:tabs>
                <w:tab w:val="left" w:pos="1069"/>
              </w:tabs>
              <w:spacing w:before="142"/>
              <w:ind w:hanging="360"/>
            </w:pPr>
            <w:r w:rsidRPr="00EC20A0">
              <w:t>pay</w:t>
            </w:r>
            <w:r w:rsidRPr="00EC20A0">
              <w:rPr>
                <w:spacing w:val="-4"/>
              </w:rPr>
              <w:t xml:space="preserve"> </w:t>
            </w:r>
            <w:r w:rsidRPr="00EC20A0">
              <w:rPr>
                <w:spacing w:val="-2"/>
              </w:rPr>
              <w:t>rate;</w:t>
            </w:r>
          </w:p>
          <w:p w14:paraId="24D6124E" w14:textId="77777777" w:rsidR="00245300" w:rsidRPr="00EC20A0" w:rsidRDefault="00F17249">
            <w:pPr>
              <w:pStyle w:val="TableParagraph"/>
              <w:numPr>
                <w:ilvl w:val="1"/>
                <w:numId w:val="139"/>
              </w:numPr>
              <w:tabs>
                <w:tab w:val="left" w:pos="1069"/>
              </w:tabs>
              <w:spacing w:before="142"/>
              <w:ind w:hanging="360"/>
            </w:pPr>
            <w:r w:rsidRPr="00EC20A0">
              <w:t>total</w:t>
            </w:r>
            <w:r w:rsidRPr="00EC20A0">
              <w:rPr>
                <w:spacing w:val="-6"/>
              </w:rPr>
              <w:t xml:space="preserve"> </w:t>
            </w:r>
            <w:r w:rsidRPr="00EC20A0">
              <w:t>hours</w:t>
            </w:r>
            <w:r w:rsidRPr="00EC20A0">
              <w:rPr>
                <w:spacing w:val="-7"/>
              </w:rPr>
              <w:t xml:space="preserve"> </w:t>
            </w:r>
            <w:r w:rsidRPr="00EC20A0">
              <w:t>worked;</w:t>
            </w:r>
            <w:r w:rsidRPr="00EC20A0">
              <w:rPr>
                <w:spacing w:val="-6"/>
              </w:rPr>
              <w:t xml:space="preserve"> </w:t>
            </w:r>
            <w:r w:rsidRPr="00EC20A0">
              <w:rPr>
                <w:spacing w:val="-5"/>
              </w:rPr>
              <w:t>and</w:t>
            </w:r>
          </w:p>
        </w:tc>
        <w:tc>
          <w:tcPr>
            <w:tcW w:w="1062" w:type="dxa"/>
            <w:tcBorders>
              <w:top w:val="single" w:sz="4" w:space="0" w:color="000000"/>
              <w:left w:val="single" w:sz="8" w:space="0" w:color="000000"/>
              <w:bottom w:val="single" w:sz="8" w:space="0" w:color="000000"/>
              <w:right w:val="single" w:sz="8" w:space="0" w:color="000000"/>
            </w:tcBorders>
          </w:tcPr>
          <w:p w14:paraId="24D6124F" w14:textId="77777777" w:rsidR="00245300" w:rsidRPr="00EC20A0" w:rsidRDefault="00245300">
            <w:pPr>
              <w:pStyle w:val="TableParagraph"/>
              <w:rPr>
                <w:sz w:val="20"/>
              </w:rPr>
            </w:pPr>
          </w:p>
        </w:tc>
        <w:tc>
          <w:tcPr>
            <w:tcW w:w="1278" w:type="dxa"/>
            <w:tcBorders>
              <w:top w:val="single" w:sz="4" w:space="0" w:color="000000"/>
              <w:left w:val="single" w:sz="8" w:space="0" w:color="000000"/>
              <w:bottom w:val="single" w:sz="8" w:space="0" w:color="000000"/>
              <w:right w:val="double" w:sz="4" w:space="0" w:color="000000"/>
            </w:tcBorders>
          </w:tcPr>
          <w:p w14:paraId="24D61250" w14:textId="77777777" w:rsidR="00245300" w:rsidRPr="00EC20A0" w:rsidRDefault="00245300">
            <w:pPr>
              <w:pStyle w:val="TableParagraph"/>
              <w:rPr>
                <w:sz w:val="20"/>
              </w:rPr>
            </w:pPr>
          </w:p>
        </w:tc>
      </w:tr>
    </w:tbl>
    <w:p w14:paraId="24D61252" w14:textId="77777777" w:rsidR="00245300" w:rsidRPr="00EC20A0" w:rsidRDefault="00F17249">
      <w:pPr>
        <w:pStyle w:val="BodyText"/>
        <w:spacing w:before="74"/>
        <w:rPr>
          <w:sz w:val="20"/>
        </w:rPr>
      </w:pPr>
      <w:r w:rsidRPr="00EC20A0">
        <w:rPr>
          <w:noProof/>
        </w:rPr>
        <mc:AlternateContent>
          <mc:Choice Requires="wps">
            <w:drawing>
              <wp:anchor distT="0" distB="0" distL="0" distR="0" simplePos="0" relativeHeight="487677952" behindDoc="1" locked="0" layoutInCell="1" allowOverlap="1" wp14:anchorId="24D62C15" wp14:editId="24D62C16">
                <wp:simplePos x="0" y="0"/>
                <wp:positionH relativeFrom="page">
                  <wp:posOffset>914400</wp:posOffset>
                </wp:positionH>
                <wp:positionV relativeFrom="paragraph">
                  <wp:posOffset>208787</wp:posOffset>
                </wp:positionV>
                <wp:extent cx="1828800" cy="6985"/>
                <wp:effectExtent l="0" t="0" r="0" b="0"/>
                <wp:wrapTopAndBottom/>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ED237" id="Graphic 606" o:spid="_x0000_s1026" style="position:absolute;margin-left:1in;margin-top:16.45pt;width:2in;height:.55pt;z-index:-1563852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" path="m1828800,l,,,6858r1828800,l1828800,xe" fillcolor="black" stroked="f">
                <v:path arrowok="t"/>
                <w10:wrap type="topAndBottom" anchorx="page"/>
              </v:shape>
            </w:pict>
          </mc:Fallback>
        </mc:AlternateContent>
      </w:r>
    </w:p>
    <w:p w14:paraId="24D61253" w14:textId="77777777" w:rsidR="00245300" w:rsidRPr="00EC20A0" w:rsidRDefault="00F17249">
      <w:pPr>
        <w:spacing w:before="217" w:line="242" w:lineRule="auto"/>
        <w:ind w:left="119" w:right="40"/>
        <w:rPr>
          <w:sz w:val="18"/>
        </w:rPr>
      </w:pPr>
      <w:bookmarkStart w:id="238" w:name="_bookmark127"/>
      <w:bookmarkEnd w:id="238"/>
      <w:r w:rsidRPr="00EC20A0">
        <w:rPr>
          <w:position w:val="7"/>
          <w:sz w:val="14"/>
        </w:rPr>
        <w:t>51</w:t>
      </w:r>
      <w:r w:rsidRPr="00EC20A0">
        <w:rPr>
          <w:sz w:val="18"/>
        </w:rPr>
        <w:t xml:space="preserve">If the auditor uses multipurpose testing for the compliance test, compliance control test, or both and a substantive test of payroll expense details, then the auditor should </w:t>
      </w:r>
      <w:r w:rsidRPr="00EC20A0">
        <w:rPr>
          <w:sz w:val="18"/>
        </w:rPr>
        <w:t>select the sample items for the compliance test, compliance control</w:t>
      </w:r>
      <w:r w:rsidRPr="00EC20A0">
        <w:rPr>
          <w:spacing w:val="-2"/>
          <w:sz w:val="18"/>
        </w:rPr>
        <w:t xml:space="preserve"> </w:t>
      </w:r>
      <w:r w:rsidRPr="00EC20A0">
        <w:rPr>
          <w:sz w:val="18"/>
        </w:rPr>
        <w:t>test,</w:t>
      </w:r>
      <w:r w:rsidRPr="00EC20A0">
        <w:rPr>
          <w:spacing w:val="-2"/>
          <w:sz w:val="18"/>
        </w:rPr>
        <w:t xml:space="preserve"> </w:t>
      </w:r>
      <w:r w:rsidRPr="00EC20A0">
        <w:rPr>
          <w:sz w:val="18"/>
        </w:rPr>
        <w:t>or</w:t>
      </w:r>
      <w:r w:rsidRPr="00EC20A0">
        <w:rPr>
          <w:spacing w:val="-2"/>
          <w:sz w:val="18"/>
        </w:rPr>
        <w:t xml:space="preserve"> </w:t>
      </w:r>
      <w:r w:rsidRPr="00EC20A0">
        <w:rPr>
          <w:sz w:val="18"/>
        </w:rPr>
        <w:t>both</w:t>
      </w:r>
      <w:r w:rsidRPr="00EC20A0">
        <w:rPr>
          <w:spacing w:val="-2"/>
          <w:sz w:val="18"/>
        </w:rPr>
        <w:t xml:space="preserve"> </w:t>
      </w:r>
      <w:r w:rsidRPr="00EC20A0">
        <w:rPr>
          <w:sz w:val="18"/>
        </w:rPr>
        <w:t>using</w:t>
      </w:r>
      <w:r w:rsidRPr="00EC20A0">
        <w:rPr>
          <w:spacing w:val="-2"/>
          <w:sz w:val="18"/>
        </w:rPr>
        <w:t xml:space="preserve"> </w:t>
      </w:r>
      <w:r w:rsidRPr="00EC20A0">
        <w:rPr>
          <w:sz w:val="18"/>
        </w:rPr>
        <w:t>the</w:t>
      </w:r>
      <w:r w:rsidRPr="00EC20A0">
        <w:rPr>
          <w:spacing w:val="-1"/>
          <w:sz w:val="18"/>
        </w:rPr>
        <w:t xml:space="preserve"> </w:t>
      </w:r>
      <w:r w:rsidRPr="00EC20A0">
        <w:rPr>
          <w:sz w:val="18"/>
        </w:rPr>
        <w:t>sampling</w:t>
      </w:r>
      <w:r w:rsidRPr="00EC20A0">
        <w:rPr>
          <w:spacing w:val="-2"/>
          <w:sz w:val="18"/>
        </w:rPr>
        <w:t xml:space="preserve"> </w:t>
      </w:r>
      <w:r w:rsidRPr="00EC20A0">
        <w:rPr>
          <w:sz w:val="18"/>
        </w:rPr>
        <w:t>method</w:t>
      </w:r>
      <w:r w:rsidRPr="00EC20A0">
        <w:rPr>
          <w:spacing w:val="-2"/>
          <w:sz w:val="18"/>
        </w:rPr>
        <w:t xml:space="preserve"> </w:t>
      </w:r>
      <w:r w:rsidRPr="00EC20A0">
        <w:rPr>
          <w:sz w:val="18"/>
        </w:rPr>
        <w:t>used</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1"/>
          <w:sz w:val="18"/>
        </w:rPr>
        <w:t xml:space="preserve"> </w:t>
      </w:r>
      <w:r w:rsidRPr="00EC20A0">
        <w:rPr>
          <w:sz w:val="18"/>
        </w:rPr>
        <w:t>substantive</w:t>
      </w:r>
      <w:r w:rsidRPr="00EC20A0">
        <w:rPr>
          <w:spacing w:val="-2"/>
          <w:sz w:val="18"/>
        </w:rPr>
        <w:t xml:space="preserve"> </w:t>
      </w:r>
      <w:r w:rsidRPr="00EC20A0">
        <w:rPr>
          <w:sz w:val="18"/>
        </w:rPr>
        <w:t>test,</w:t>
      </w:r>
      <w:r w:rsidRPr="00EC20A0">
        <w:rPr>
          <w:spacing w:val="-2"/>
          <w:sz w:val="18"/>
        </w:rPr>
        <w:t xml:space="preserve"> </w:t>
      </w:r>
      <w:r w:rsidRPr="00EC20A0">
        <w:rPr>
          <w:sz w:val="18"/>
        </w:rPr>
        <w:t>as</w:t>
      </w:r>
      <w:r w:rsidRPr="00EC20A0">
        <w:rPr>
          <w:spacing w:val="-2"/>
          <w:sz w:val="18"/>
        </w:rPr>
        <w:t xml:space="preserve"> </w:t>
      </w:r>
      <w:r w:rsidRPr="00EC20A0">
        <w:rPr>
          <w:sz w:val="18"/>
        </w:rPr>
        <w:t>discussed</w:t>
      </w:r>
      <w:r w:rsidRPr="00EC20A0">
        <w:rPr>
          <w:spacing w:val="-2"/>
          <w:sz w:val="18"/>
        </w:rPr>
        <w:t xml:space="preserve"> </w:t>
      </w:r>
      <w:r w:rsidRPr="00EC20A0">
        <w:rPr>
          <w:sz w:val="18"/>
        </w:rPr>
        <w:t>in</w:t>
      </w:r>
      <w:r w:rsidRPr="00EC20A0">
        <w:rPr>
          <w:spacing w:val="-2"/>
          <w:sz w:val="18"/>
        </w:rPr>
        <w:t xml:space="preserve"> </w:t>
      </w:r>
      <w:r w:rsidRPr="00EC20A0">
        <w:rPr>
          <w:sz w:val="18"/>
        </w:rPr>
        <w:t>FAM</w:t>
      </w:r>
      <w:r w:rsidRPr="00EC20A0">
        <w:rPr>
          <w:spacing w:val="-2"/>
          <w:sz w:val="18"/>
        </w:rPr>
        <w:t xml:space="preserve"> </w:t>
      </w:r>
      <w:r w:rsidRPr="00EC20A0">
        <w:rPr>
          <w:sz w:val="18"/>
        </w:rPr>
        <w:t>430,</w:t>
      </w:r>
      <w:r w:rsidRPr="00EC20A0">
        <w:rPr>
          <w:spacing w:val="-2"/>
          <w:sz w:val="18"/>
        </w:rPr>
        <w:t xml:space="preserve"> </w:t>
      </w:r>
      <w:r w:rsidRPr="00EC20A0">
        <w:rPr>
          <w:sz w:val="18"/>
        </w:rPr>
        <w:t>Design</w:t>
      </w:r>
      <w:r w:rsidRPr="00EC20A0">
        <w:rPr>
          <w:spacing w:val="-3"/>
          <w:sz w:val="18"/>
        </w:rPr>
        <w:t xml:space="preserve"> </w:t>
      </w:r>
      <w:r w:rsidRPr="00EC20A0">
        <w:rPr>
          <w:sz w:val="18"/>
        </w:rPr>
        <w:t>Tests. Otherwise, the auditor should select items using attribute sampling, as discussed in FAM 460.02.</w:t>
      </w:r>
    </w:p>
    <w:p w14:paraId="24D61254" w14:textId="77777777" w:rsidR="00245300" w:rsidRPr="00EC20A0" w:rsidRDefault="00F17249">
      <w:pPr>
        <w:spacing w:before="119"/>
        <w:ind w:left="119" w:right="185"/>
        <w:rPr>
          <w:sz w:val="18"/>
        </w:rPr>
      </w:pPr>
      <w:r w:rsidRPr="00EC20A0">
        <w:rPr>
          <w:sz w:val="18"/>
        </w:rPr>
        <w:t>As with all sampling applications, the auditor should consider the completeness of the population. For efficiency, the auditor</w:t>
      </w:r>
      <w:r w:rsidRPr="00EC20A0">
        <w:rPr>
          <w:spacing w:val="-3"/>
          <w:sz w:val="18"/>
        </w:rPr>
        <w:t xml:space="preserve"> </w:t>
      </w:r>
      <w:r w:rsidRPr="00EC20A0">
        <w:rPr>
          <w:sz w:val="18"/>
        </w:rPr>
        <w:t>should</w:t>
      </w:r>
      <w:r w:rsidRPr="00EC20A0">
        <w:rPr>
          <w:spacing w:val="-2"/>
          <w:sz w:val="18"/>
        </w:rPr>
        <w:t xml:space="preserve"> </w:t>
      </w:r>
      <w:r w:rsidRPr="00EC20A0">
        <w:rPr>
          <w:sz w:val="18"/>
        </w:rPr>
        <w:t>consider</w:t>
      </w:r>
      <w:r w:rsidRPr="00EC20A0">
        <w:rPr>
          <w:spacing w:val="-3"/>
          <w:sz w:val="18"/>
        </w:rPr>
        <w:t xml:space="preserve"> </w:t>
      </w:r>
      <w:r w:rsidRPr="00EC20A0">
        <w:rPr>
          <w:sz w:val="18"/>
        </w:rPr>
        <w:t>using</w:t>
      </w:r>
      <w:r w:rsidRPr="00EC20A0">
        <w:rPr>
          <w:spacing w:val="-2"/>
          <w:sz w:val="18"/>
        </w:rPr>
        <w:t xml:space="preserve"> </w:t>
      </w:r>
      <w:r w:rsidRPr="00EC20A0">
        <w:rPr>
          <w:sz w:val="18"/>
        </w:rPr>
        <w:t>records</w:t>
      </w:r>
      <w:r w:rsidRPr="00EC20A0">
        <w:rPr>
          <w:spacing w:val="-3"/>
          <w:sz w:val="18"/>
        </w:rPr>
        <w:t xml:space="preserve"> </w:t>
      </w:r>
      <w:r w:rsidRPr="00EC20A0">
        <w:rPr>
          <w:sz w:val="18"/>
        </w:rPr>
        <w:t>that</w:t>
      </w:r>
      <w:r w:rsidRPr="00EC20A0">
        <w:rPr>
          <w:spacing w:val="-3"/>
          <w:sz w:val="18"/>
        </w:rPr>
        <w:t xml:space="preserve"> </w:t>
      </w:r>
      <w:r w:rsidRPr="00EC20A0">
        <w:rPr>
          <w:sz w:val="18"/>
        </w:rPr>
        <w:t>were</w:t>
      </w:r>
      <w:r w:rsidRPr="00EC20A0">
        <w:rPr>
          <w:spacing w:val="-3"/>
          <w:sz w:val="18"/>
        </w:rPr>
        <w:t xml:space="preserve"> </w:t>
      </w:r>
      <w:r w:rsidRPr="00EC20A0">
        <w:rPr>
          <w:sz w:val="18"/>
        </w:rPr>
        <w:t>tested</w:t>
      </w:r>
      <w:r w:rsidRPr="00EC20A0">
        <w:rPr>
          <w:spacing w:val="-3"/>
          <w:sz w:val="18"/>
        </w:rPr>
        <w:t xml:space="preserve"> </w:t>
      </w:r>
      <w:r w:rsidRPr="00EC20A0">
        <w:rPr>
          <w:sz w:val="18"/>
        </w:rPr>
        <w:t>for</w:t>
      </w:r>
      <w:r w:rsidRPr="00EC20A0">
        <w:rPr>
          <w:spacing w:val="-3"/>
          <w:sz w:val="18"/>
        </w:rPr>
        <w:t xml:space="preserve"> </w:t>
      </w:r>
      <w:r w:rsidRPr="00EC20A0">
        <w:rPr>
          <w:sz w:val="18"/>
        </w:rPr>
        <w:t>validity</w:t>
      </w:r>
      <w:r w:rsidRPr="00EC20A0">
        <w:rPr>
          <w:spacing w:val="-3"/>
          <w:sz w:val="18"/>
        </w:rPr>
        <w:t xml:space="preserve"> </w:t>
      </w:r>
      <w:r w:rsidRPr="00EC20A0">
        <w:rPr>
          <w:sz w:val="18"/>
        </w:rPr>
        <w:t>and</w:t>
      </w:r>
      <w:r w:rsidRPr="00EC20A0">
        <w:rPr>
          <w:spacing w:val="-3"/>
          <w:sz w:val="18"/>
        </w:rPr>
        <w:t xml:space="preserve"> </w:t>
      </w:r>
      <w:r w:rsidRPr="00EC20A0">
        <w:rPr>
          <w:sz w:val="18"/>
        </w:rPr>
        <w:t>completeness</w:t>
      </w:r>
      <w:r w:rsidRPr="00EC20A0">
        <w:rPr>
          <w:spacing w:val="-3"/>
          <w:sz w:val="18"/>
        </w:rPr>
        <w:t xml:space="preserve"> </w:t>
      </w:r>
      <w:r w:rsidRPr="00EC20A0">
        <w:rPr>
          <w:sz w:val="18"/>
        </w:rPr>
        <w:t>(as</w:t>
      </w:r>
      <w:r w:rsidRPr="00EC20A0">
        <w:rPr>
          <w:spacing w:val="-2"/>
          <w:sz w:val="18"/>
        </w:rPr>
        <w:t xml:space="preserve"> </w:t>
      </w:r>
      <w:r w:rsidRPr="00EC20A0">
        <w:rPr>
          <w:sz w:val="18"/>
        </w:rPr>
        <w:t>well</w:t>
      </w:r>
      <w:r w:rsidRPr="00EC20A0">
        <w:rPr>
          <w:spacing w:val="-3"/>
          <w:sz w:val="18"/>
        </w:rPr>
        <w:t xml:space="preserve"> </w:t>
      </w:r>
      <w:r w:rsidRPr="00EC20A0">
        <w:rPr>
          <w:sz w:val="18"/>
        </w:rPr>
        <w:t>as</w:t>
      </w:r>
      <w:r w:rsidRPr="00EC20A0">
        <w:rPr>
          <w:spacing w:val="-3"/>
          <w:sz w:val="18"/>
        </w:rPr>
        <w:t xml:space="preserve"> </w:t>
      </w:r>
      <w:r w:rsidRPr="00EC20A0">
        <w:rPr>
          <w:sz w:val="18"/>
        </w:rPr>
        <w:t>the</w:t>
      </w:r>
      <w:r w:rsidRPr="00EC20A0">
        <w:rPr>
          <w:spacing w:val="-3"/>
          <w:sz w:val="18"/>
        </w:rPr>
        <w:t xml:space="preserve"> </w:t>
      </w:r>
      <w:r w:rsidRPr="00EC20A0">
        <w:rPr>
          <w:sz w:val="18"/>
        </w:rPr>
        <w:t>other</w:t>
      </w:r>
      <w:r w:rsidRPr="00EC20A0">
        <w:rPr>
          <w:spacing w:val="-3"/>
          <w:sz w:val="18"/>
        </w:rPr>
        <w:t xml:space="preserve"> </w:t>
      </w:r>
      <w:r w:rsidRPr="00EC20A0">
        <w:rPr>
          <w:sz w:val="18"/>
        </w:rPr>
        <w:t>assertions) in conjunction with substantive tests of payroll or other payroll-related compliance tests.</w:t>
      </w:r>
    </w:p>
    <w:p w14:paraId="24D61255" w14:textId="77777777" w:rsidR="00245300" w:rsidRPr="00EC20A0" w:rsidRDefault="00245300">
      <w:pPr>
        <w:rPr>
          <w:sz w:val="18"/>
        </w:rPr>
        <w:sectPr w:rsidR="00245300" w:rsidRPr="00EC20A0">
          <w:headerReference w:type="default" r:id="rId117"/>
          <w:footerReference w:type="default" r:id="rId118"/>
          <w:pgSz w:w="12240" w:h="15840"/>
          <w:pgMar w:top="1800" w:right="1320" w:bottom="940" w:left="1320" w:header="865" w:footer="742" w:gutter="0"/>
          <w:pgNumType w:start="2"/>
          <w:cols w:space="720"/>
        </w:sectPr>
      </w:pPr>
    </w:p>
    <w:p w14:paraId="24D61256" w14:textId="77777777" w:rsidR="00245300" w:rsidRPr="00EC20A0" w:rsidRDefault="00245300">
      <w:pPr>
        <w:pStyle w:val="BodyText"/>
        <w:spacing w:before="4" w:after="1"/>
        <w:rPr>
          <w:sz w:val="8"/>
        </w:rPr>
      </w:pPr>
    </w:p>
    <w:tbl>
      <w:tblPr>
        <w:tblW w:w="0" w:type="auto"/>
        <w:tblInd w:w="13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0"/>
        <w:gridCol w:w="1062"/>
        <w:gridCol w:w="1278"/>
      </w:tblGrid>
      <w:tr w:rsidR="00245300" w:rsidRPr="00EC20A0" w14:paraId="24D61258" w14:textId="77777777">
        <w:trPr>
          <w:trHeight w:val="1335"/>
        </w:trPr>
        <w:tc>
          <w:tcPr>
            <w:tcW w:w="9360" w:type="dxa"/>
            <w:gridSpan w:val="3"/>
            <w:tcBorders>
              <w:left w:val="double" w:sz="4" w:space="0" w:color="000000"/>
              <w:bottom w:val="single" w:sz="6" w:space="0" w:color="000000"/>
              <w:right w:val="double" w:sz="4" w:space="0" w:color="000000"/>
            </w:tcBorders>
          </w:tcPr>
          <w:p w14:paraId="24D61257" w14:textId="77777777" w:rsidR="00245300" w:rsidRPr="00EC20A0" w:rsidRDefault="00F17249">
            <w:pPr>
              <w:pStyle w:val="TableParagraph"/>
              <w:tabs>
                <w:tab w:val="left" w:pos="7970"/>
              </w:tabs>
              <w:spacing w:before="7" w:line="390" w:lineRule="atLeast"/>
              <w:ind w:left="135" w:right="1357"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25E" w14:textId="77777777">
        <w:trPr>
          <w:trHeight w:val="793"/>
        </w:trPr>
        <w:tc>
          <w:tcPr>
            <w:tcW w:w="7020" w:type="dxa"/>
            <w:tcBorders>
              <w:top w:val="single" w:sz="6" w:space="0" w:color="000000"/>
              <w:left w:val="double" w:sz="4" w:space="0" w:color="000000"/>
              <w:bottom w:val="single" w:sz="6" w:space="0" w:color="000000"/>
              <w:right w:val="single" w:sz="6" w:space="0" w:color="000000"/>
            </w:tcBorders>
          </w:tcPr>
          <w:p w14:paraId="24D61259" w14:textId="77777777" w:rsidR="00245300" w:rsidRPr="00EC20A0" w:rsidRDefault="00245300">
            <w:pPr>
              <w:pStyle w:val="TableParagraph"/>
              <w:spacing w:before="143"/>
            </w:pPr>
          </w:p>
          <w:p w14:paraId="24D6125A" w14:textId="77777777" w:rsidR="00245300" w:rsidRPr="00EC20A0" w:rsidRDefault="00F17249">
            <w:pPr>
              <w:pStyle w:val="TableParagraph"/>
              <w:spacing w:before="1"/>
              <w:ind w:left="135"/>
              <w:rPr>
                <w:b/>
              </w:rPr>
            </w:pPr>
            <w:r w:rsidRPr="00EC20A0">
              <w:rPr>
                <w:b/>
              </w:rPr>
              <w:t>Audit</w:t>
            </w:r>
            <w:r w:rsidRPr="00EC20A0">
              <w:rPr>
                <w:b/>
                <w:spacing w:val="-7"/>
              </w:rPr>
              <w:t xml:space="preserve"> </w:t>
            </w:r>
            <w:r w:rsidRPr="00EC20A0">
              <w:rPr>
                <w:b/>
                <w:spacing w:val="-2"/>
              </w:rPr>
              <w:t>procedures</w:t>
            </w:r>
          </w:p>
        </w:tc>
        <w:tc>
          <w:tcPr>
            <w:tcW w:w="1062" w:type="dxa"/>
            <w:tcBorders>
              <w:top w:val="single" w:sz="6" w:space="0" w:color="000000"/>
              <w:left w:val="single" w:sz="6" w:space="0" w:color="000000"/>
              <w:bottom w:val="single" w:sz="6" w:space="0" w:color="000000"/>
              <w:right w:val="single" w:sz="6" w:space="0" w:color="000000"/>
            </w:tcBorders>
          </w:tcPr>
          <w:p w14:paraId="24D6125B" w14:textId="77777777" w:rsidR="00245300" w:rsidRPr="00EC20A0" w:rsidRDefault="00F17249">
            <w:pPr>
              <w:pStyle w:val="TableParagraph"/>
              <w:spacing w:before="143"/>
              <w:ind w:left="142" w:right="131"/>
              <w:rPr>
                <w:b/>
              </w:rPr>
            </w:pPr>
            <w:r w:rsidRPr="00EC20A0">
              <w:rPr>
                <w:b/>
                <w:spacing w:val="-2"/>
              </w:rPr>
              <w:t xml:space="preserve">Initials/ </w:t>
            </w:r>
            <w:r w:rsidRPr="00EC20A0">
              <w:rPr>
                <w:b/>
                <w:spacing w:val="-4"/>
              </w:rPr>
              <w:t>date</w:t>
            </w:r>
          </w:p>
        </w:tc>
        <w:tc>
          <w:tcPr>
            <w:tcW w:w="1278" w:type="dxa"/>
            <w:tcBorders>
              <w:top w:val="single" w:sz="6" w:space="0" w:color="000000"/>
              <w:left w:val="single" w:sz="6" w:space="0" w:color="000000"/>
              <w:bottom w:val="single" w:sz="6" w:space="0" w:color="000000"/>
              <w:right w:val="double" w:sz="4" w:space="0" w:color="000000"/>
            </w:tcBorders>
          </w:tcPr>
          <w:p w14:paraId="24D6125C" w14:textId="77777777" w:rsidR="00245300" w:rsidRPr="00EC20A0" w:rsidRDefault="00245300">
            <w:pPr>
              <w:pStyle w:val="TableParagraph"/>
              <w:spacing w:before="143"/>
            </w:pPr>
          </w:p>
          <w:p w14:paraId="24D6125D" w14:textId="77777777" w:rsidR="00245300" w:rsidRPr="00EC20A0" w:rsidRDefault="00F17249">
            <w:pPr>
              <w:pStyle w:val="TableParagraph"/>
              <w:spacing w:before="1"/>
              <w:ind w:left="142"/>
              <w:rPr>
                <w:b/>
              </w:rPr>
            </w:pPr>
            <w:r w:rsidRPr="00EC20A0">
              <w:rPr>
                <w:b/>
              </w:rPr>
              <w:t>Doc.</w:t>
            </w:r>
            <w:r w:rsidRPr="00EC20A0">
              <w:rPr>
                <w:b/>
                <w:spacing w:val="-6"/>
              </w:rPr>
              <w:t xml:space="preserve"> </w:t>
            </w:r>
            <w:r w:rsidRPr="00EC20A0">
              <w:rPr>
                <w:b/>
                <w:spacing w:val="-4"/>
              </w:rPr>
              <w:t>ref.</w:t>
            </w:r>
          </w:p>
        </w:tc>
      </w:tr>
      <w:tr w:rsidR="00245300" w:rsidRPr="00EC20A0" w14:paraId="24D61262" w14:textId="77777777">
        <w:trPr>
          <w:trHeight w:val="664"/>
        </w:trPr>
        <w:tc>
          <w:tcPr>
            <w:tcW w:w="7020" w:type="dxa"/>
            <w:tcBorders>
              <w:top w:val="single" w:sz="6" w:space="0" w:color="000000"/>
              <w:left w:val="double" w:sz="4" w:space="0" w:color="000000"/>
              <w:bottom w:val="single" w:sz="8" w:space="0" w:color="000000"/>
              <w:right w:val="single" w:sz="8" w:space="0" w:color="000000"/>
            </w:tcBorders>
          </w:tcPr>
          <w:p w14:paraId="24D6125F" w14:textId="77777777" w:rsidR="00245300" w:rsidRPr="00EC20A0" w:rsidRDefault="00F17249">
            <w:pPr>
              <w:pStyle w:val="TableParagraph"/>
              <w:numPr>
                <w:ilvl w:val="0"/>
                <w:numId w:val="138"/>
              </w:numPr>
              <w:tabs>
                <w:tab w:val="left" w:pos="1069"/>
              </w:tabs>
              <w:ind w:right="248"/>
            </w:pPr>
            <w:r w:rsidRPr="00EC20A0">
              <w:t>number</w:t>
            </w:r>
            <w:r w:rsidRPr="00EC20A0">
              <w:rPr>
                <w:spacing w:val="-4"/>
              </w:rPr>
              <w:t xml:space="preserve"> </w:t>
            </w:r>
            <w:r w:rsidRPr="00EC20A0">
              <w:t>of</w:t>
            </w:r>
            <w:r w:rsidRPr="00EC20A0">
              <w:rPr>
                <w:spacing w:val="-4"/>
              </w:rPr>
              <w:t xml:space="preserve"> </w:t>
            </w:r>
            <w:r w:rsidRPr="00EC20A0">
              <w:t>hours</w:t>
            </w:r>
            <w:r w:rsidRPr="00EC20A0">
              <w:rPr>
                <w:spacing w:val="-4"/>
              </w:rPr>
              <w:t xml:space="preserve"> </w:t>
            </w:r>
            <w:r w:rsidRPr="00EC20A0">
              <w:t>worked</w:t>
            </w:r>
            <w:r w:rsidRPr="00EC20A0">
              <w:rPr>
                <w:spacing w:val="-4"/>
              </w:rPr>
              <w:t xml:space="preserve"> </w:t>
            </w:r>
            <w:r w:rsidRPr="00EC20A0">
              <w:t>at</w:t>
            </w:r>
            <w:r w:rsidRPr="00EC20A0">
              <w:rPr>
                <w:spacing w:val="-4"/>
              </w:rPr>
              <w:t xml:space="preserve"> </w:t>
            </w:r>
            <w:r w:rsidRPr="00EC20A0">
              <w:t>regular</w:t>
            </w:r>
            <w:r w:rsidRPr="00EC20A0">
              <w:rPr>
                <w:spacing w:val="-4"/>
              </w:rPr>
              <w:t xml:space="preserve"> </w:t>
            </w:r>
            <w:r w:rsidRPr="00EC20A0">
              <w:t>pay</w:t>
            </w:r>
            <w:r w:rsidRPr="00EC20A0">
              <w:rPr>
                <w:spacing w:val="-3"/>
              </w:rPr>
              <w:t xml:space="preserve"> </w:t>
            </w:r>
            <w:r w:rsidRPr="00EC20A0">
              <w:t>and</w:t>
            </w:r>
            <w:r w:rsidRPr="00EC20A0">
              <w:rPr>
                <w:spacing w:val="-4"/>
              </w:rPr>
              <w:t xml:space="preserve"> </w:t>
            </w:r>
            <w:r w:rsidRPr="00EC20A0">
              <w:t>other</w:t>
            </w:r>
            <w:r w:rsidRPr="00EC20A0">
              <w:rPr>
                <w:spacing w:val="-5"/>
              </w:rPr>
              <w:t xml:space="preserve"> </w:t>
            </w:r>
            <w:r w:rsidRPr="00EC20A0">
              <w:t>pay</w:t>
            </w:r>
            <w:r w:rsidRPr="00EC20A0">
              <w:rPr>
                <w:spacing w:val="-4"/>
              </w:rPr>
              <w:t xml:space="preserve"> </w:t>
            </w:r>
            <w:r w:rsidRPr="00EC20A0">
              <w:t xml:space="preserve">(i.e., overtime, </w:t>
            </w:r>
            <w:r w:rsidRPr="00EC20A0">
              <w:t>premium pay, etc.).</w:t>
            </w:r>
          </w:p>
        </w:tc>
        <w:tc>
          <w:tcPr>
            <w:tcW w:w="1062" w:type="dxa"/>
            <w:tcBorders>
              <w:top w:val="single" w:sz="6" w:space="0" w:color="000000"/>
              <w:left w:val="single" w:sz="8" w:space="0" w:color="000000"/>
              <w:bottom w:val="single" w:sz="8" w:space="0" w:color="000000"/>
              <w:right w:val="single" w:sz="8" w:space="0" w:color="000000"/>
            </w:tcBorders>
          </w:tcPr>
          <w:p w14:paraId="24D61260" w14:textId="77777777" w:rsidR="00245300" w:rsidRPr="00EC20A0" w:rsidRDefault="00245300">
            <w:pPr>
              <w:pStyle w:val="TableParagraph"/>
              <w:rPr>
                <w:sz w:val="20"/>
              </w:rPr>
            </w:pPr>
          </w:p>
        </w:tc>
        <w:tc>
          <w:tcPr>
            <w:tcW w:w="1278" w:type="dxa"/>
            <w:tcBorders>
              <w:top w:val="single" w:sz="6" w:space="0" w:color="000000"/>
              <w:left w:val="single" w:sz="8" w:space="0" w:color="000000"/>
              <w:bottom w:val="single" w:sz="8" w:space="0" w:color="000000"/>
              <w:right w:val="double" w:sz="4" w:space="0" w:color="000000"/>
            </w:tcBorders>
          </w:tcPr>
          <w:p w14:paraId="24D61261" w14:textId="77777777" w:rsidR="00245300" w:rsidRPr="00EC20A0" w:rsidRDefault="00245300">
            <w:pPr>
              <w:pStyle w:val="TableParagraph"/>
              <w:rPr>
                <w:sz w:val="20"/>
              </w:rPr>
            </w:pPr>
          </w:p>
        </w:tc>
      </w:tr>
      <w:tr w:rsidR="00245300" w:rsidRPr="00EC20A0" w14:paraId="24D61268" w14:textId="77777777">
        <w:trPr>
          <w:trHeight w:val="1871"/>
        </w:trPr>
        <w:tc>
          <w:tcPr>
            <w:tcW w:w="7020" w:type="dxa"/>
            <w:tcBorders>
              <w:top w:val="single" w:sz="8" w:space="0" w:color="000000"/>
              <w:left w:val="double" w:sz="4" w:space="0" w:color="000000"/>
              <w:bottom w:val="single" w:sz="8" w:space="0" w:color="000000"/>
              <w:right w:val="single" w:sz="8" w:space="0" w:color="000000"/>
            </w:tcBorders>
          </w:tcPr>
          <w:p w14:paraId="24D61263" w14:textId="77777777" w:rsidR="00245300" w:rsidRPr="00EC20A0" w:rsidRDefault="00F17249">
            <w:pPr>
              <w:pStyle w:val="TableParagraph"/>
              <w:numPr>
                <w:ilvl w:val="0"/>
                <w:numId w:val="137"/>
              </w:numPr>
              <w:tabs>
                <w:tab w:val="left" w:pos="711"/>
              </w:tabs>
              <w:spacing w:before="145"/>
              <w:ind w:right="253"/>
            </w:pPr>
            <w:r w:rsidRPr="00EC20A0">
              <w:t>For each item selected in 1, obtain the employee’s personnel file</w:t>
            </w:r>
            <w:r w:rsidRPr="00EC20A0">
              <w:rPr>
                <w:spacing w:val="-4"/>
              </w:rPr>
              <w:t xml:space="preserve"> </w:t>
            </w:r>
            <w:r w:rsidRPr="00EC20A0">
              <w:t>and</w:t>
            </w:r>
            <w:r w:rsidRPr="00EC20A0">
              <w:rPr>
                <w:spacing w:val="-4"/>
              </w:rPr>
              <w:t xml:space="preserve"> </w:t>
            </w:r>
            <w:r w:rsidRPr="00EC20A0">
              <w:t>note</w:t>
            </w:r>
            <w:r w:rsidRPr="00EC20A0">
              <w:rPr>
                <w:spacing w:val="-5"/>
              </w:rPr>
              <w:t xml:space="preserve"> </w:t>
            </w:r>
            <w:r w:rsidRPr="00EC20A0">
              <w:t>the</w:t>
            </w:r>
            <w:r w:rsidRPr="00EC20A0">
              <w:rPr>
                <w:spacing w:val="-4"/>
              </w:rPr>
              <w:t xml:space="preserve"> </w:t>
            </w:r>
            <w:r w:rsidRPr="00EC20A0">
              <w:t>following</w:t>
            </w:r>
            <w:r w:rsidRPr="00EC20A0">
              <w:rPr>
                <w:spacing w:val="-4"/>
              </w:rPr>
              <w:t xml:space="preserve"> </w:t>
            </w:r>
            <w:r w:rsidRPr="00EC20A0">
              <w:t>in</w:t>
            </w:r>
            <w:r w:rsidRPr="00EC20A0">
              <w:rPr>
                <w:spacing w:val="-4"/>
              </w:rPr>
              <w:t xml:space="preserve"> </w:t>
            </w:r>
            <w:r w:rsidRPr="00EC20A0">
              <w:t>effect</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pay</w:t>
            </w:r>
            <w:r w:rsidRPr="00EC20A0">
              <w:rPr>
                <w:spacing w:val="-4"/>
              </w:rPr>
              <w:t xml:space="preserve"> </w:t>
            </w:r>
            <w:r w:rsidRPr="00EC20A0">
              <w:t>period</w:t>
            </w:r>
            <w:r w:rsidRPr="00EC20A0">
              <w:rPr>
                <w:spacing w:val="-4"/>
              </w:rPr>
              <w:t xml:space="preserve"> </w:t>
            </w:r>
            <w:r w:rsidRPr="00EC20A0">
              <w:t>selected:</w:t>
            </w:r>
          </w:p>
          <w:p w14:paraId="24D61264" w14:textId="77777777" w:rsidR="00245300" w:rsidRPr="00EC20A0" w:rsidRDefault="00F17249">
            <w:pPr>
              <w:pStyle w:val="TableParagraph"/>
              <w:numPr>
                <w:ilvl w:val="1"/>
                <w:numId w:val="137"/>
              </w:numPr>
              <w:tabs>
                <w:tab w:val="left" w:pos="1069"/>
              </w:tabs>
              <w:spacing w:before="143"/>
            </w:pPr>
            <w:r w:rsidRPr="00EC20A0">
              <w:t>the</w:t>
            </w:r>
            <w:r w:rsidRPr="00EC20A0">
              <w:rPr>
                <w:spacing w:val="-6"/>
              </w:rPr>
              <w:t xml:space="preserve"> </w:t>
            </w:r>
            <w:r w:rsidRPr="00EC20A0">
              <w:t>employee’s</w:t>
            </w:r>
            <w:r w:rsidRPr="00EC20A0">
              <w:rPr>
                <w:spacing w:val="-6"/>
              </w:rPr>
              <w:t xml:space="preserve"> </w:t>
            </w:r>
            <w:r w:rsidRPr="00EC20A0">
              <w:t>grade</w:t>
            </w:r>
            <w:r w:rsidRPr="00EC20A0">
              <w:rPr>
                <w:spacing w:val="-6"/>
              </w:rPr>
              <w:t xml:space="preserve"> </w:t>
            </w:r>
            <w:r w:rsidRPr="00EC20A0">
              <w:t>and</w:t>
            </w:r>
            <w:r w:rsidRPr="00EC20A0">
              <w:rPr>
                <w:spacing w:val="-6"/>
              </w:rPr>
              <w:t xml:space="preserve"> </w:t>
            </w:r>
            <w:r w:rsidRPr="00EC20A0">
              <w:t>step</w:t>
            </w:r>
            <w:r w:rsidRPr="00EC20A0">
              <w:rPr>
                <w:spacing w:val="-6"/>
              </w:rPr>
              <w:t xml:space="preserve"> </w:t>
            </w:r>
            <w:r w:rsidRPr="00EC20A0">
              <w:rPr>
                <w:spacing w:val="-5"/>
              </w:rPr>
              <w:t>and</w:t>
            </w:r>
          </w:p>
          <w:p w14:paraId="24D61265" w14:textId="77777777" w:rsidR="00245300" w:rsidRPr="00EC20A0" w:rsidRDefault="00F17249">
            <w:pPr>
              <w:pStyle w:val="TableParagraph"/>
              <w:numPr>
                <w:ilvl w:val="1"/>
                <w:numId w:val="137"/>
              </w:numPr>
              <w:tabs>
                <w:tab w:val="left" w:pos="1069"/>
              </w:tabs>
              <w:spacing w:before="142"/>
              <w:ind w:right="1374"/>
            </w:pPr>
            <w:r w:rsidRPr="00EC20A0">
              <w:t>the</w:t>
            </w:r>
            <w:r w:rsidRPr="00EC20A0">
              <w:rPr>
                <w:spacing w:val="-6"/>
              </w:rPr>
              <w:t xml:space="preserve"> </w:t>
            </w:r>
            <w:r w:rsidRPr="00EC20A0">
              <w:t>employee’s</w:t>
            </w:r>
            <w:r w:rsidRPr="00EC20A0">
              <w:rPr>
                <w:spacing w:val="-6"/>
              </w:rPr>
              <w:t xml:space="preserve"> </w:t>
            </w:r>
            <w:r w:rsidRPr="00EC20A0">
              <w:t>pay</w:t>
            </w:r>
            <w:r w:rsidRPr="00EC20A0">
              <w:rPr>
                <w:spacing w:val="-6"/>
              </w:rPr>
              <w:t xml:space="preserve"> </w:t>
            </w:r>
            <w:r w:rsidRPr="00EC20A0">
              <w:t>rate</w:t>
            </w:r>
            <w:r w:rsidRPr="00EC20A0">
              <w:rPr>
                <w:spacing w:val="-7"/>
              </w:rPr>
              <w:t xml:space="preserve"> </w:t>
            </w:r>
            <w:r w:rsidRPr="00EC20A0">
              <w:t>and</w:t>
            </w:r>
            <w:r w:rsidRPr="00EC20A0">
              <w:rPr>
                <w:spacing w:val="-6"/>
              </w:rPr>
              <w:t xml:space="preserve"> </w:t>
            </w:r>
            <w:r w:rsidRPr="00EC20A0">
              <w:t>pay</w:t>
            </w:r>
            <w:r w:rsidRPr="00EC20A0">
              <w:rPr>
                <w:spacing w:val="-6"/>
              </w:rPr>
              <w:t xml:space="preserve"> </w:t>
            </w:r>
            <w:r w:rsidRPr="00EC20A0">
              <w:t>plan</w:t>
            </w:r>
            <w:r w:rsidRPr="00EC20A0">
              <w:rPr>
                <w:spacing w:val="-6"/>
              </w:rPr>
              <w:t xml:space="preserve"> </w:t>
            </w:r>
            <w:r w:rsidRPr="00EC20A0">
              <w:t xml:space="preserve">(non-GS </w:t>
            </w:r>
            <w:r w:rsidRPr="00EC20A0">
              <w:rPr>
                <w:spacing w:val="-2"/>
              </w:rPr>
              <w:t>employees).</w:t>
            </w:r>
          </w:p>
        </w:tc>
        <w:tc>
          <w:tcPr>
            <w:tcW w:w="1062" w:type="dxa"/>
            <w:tcBorders>
              <w:top w:val="single" w:sz="8" w:space="0" w:color="000000"/>
              <w:left w:val="single" w:sz="8" w:space="0" w:color="000000"/>
              <w:bottom w:val="single" w:sz="8" w:space="0" w:color="000000"/>
              <w:right w:val="single" w:sz="8" w:space="0" w:color="000000"/>
            </w:tcBorders>
          </w:tcPr>
          <w:p w14:paraId="24D61266" w14:textId="77777777" w:rsidR="00245300" w:rsidRPr="00EC20A0" w:rsidRDefault="00245300">
            <w:pPr>
              <w:pStyle w:val="TableParagraph"/>
              <w:rPr>
                <w:sz w:val="20"/>
              </w:rPr>
            </w:pPr>
          </w:p>
        </w:tc>
        <w:tc>
          <w:tcPr>
            <w:tcW w:w="1278" w:type="dxa"/>
            <w:tcBorders>
              <w:top w:val="single" w:sz="8" w:space="0" w:color="000000"/>
              <w:left w:val="single" w:sz="8" w:space="0" w:color="000000"/>
              <w:bottom w:val="single" w:sz="8" w:space="0" w:color="000000"/>
              <w:right w:val="double" w:sz="4" w:space="0" w:color="000000"/>
            </w:tcBorders>
          </w:tcPr>
          <w:p w14:paraId="24D61267" w14:textId="77777777" w:rsidR="00245300" w:rsidRPr="00EC20A0" w:rsidRDefault="00245300">
            <w:pPr>
              <w:pStyle w:val="TableParagraph"/>
              <w:rPr>
                <w:sz w:val="20"/>
              </w:rPr>
            </w:pPr>
          </w:p>
        </w:tc>
      </w:tr>
      <w:tr w:rsidR="00245300" w:rsidRPr="00EC20A0" w14:paraId="24D61270" w14:textId="77777777">
        <w:trPr>
          <w:trHeight w:val="7550"/>
        </w:trPr>
        <w:tc>
          <w:tcPr>
            <w:tcW w:w="7020" w:type="dxa"/>
            <w:tcBorders>
              <w:top w:val="single" w:sz="8" w:space="0" w:color="000000"/>
              <w:left w:val="double" w:sz="4" w:space="0" w:color="000000"/>
              <w:bottom w:val="double" w:sz="4" w:space="0" w:color="000000"/>
              <w:right w:val="single" w:sz="8" w:space="0" w:color="000000"/>
            </w:tcBorders>
          </w:tcPr>
          <w:p w14:paraId="24D61269" w14:textId="77777777" w:rsidR="00245300" w:rsidRPr="00EC20A0" w:rsidRDefault="00F17249">
            <w:pPr>
              <w:pStyle w:val="TableParagraph"/>
              <w:numPr>
                <w:ilvl w:val="0"/>
                <w:numId w:val="136"/>
              </w:numPr>
              <w:tabs>
                <w:tab w:val="left" w:pos="710"/>
              </w:tabs>
              <w:spacing w:before="143"/>
              <w:ind w:left="710" w:hanging="575"/>
            </w:pPr>
            <w:r w:rsidRPr="00EC20A0">
              <w:t>For</w:t>
            </w:r>
            <w:r w:rsidRPr="00EC20A0">
              <w:rPr>
                <w:spacing w:val="-5"/>
              </w:rPr>
              <w:t xml:space="preserve"> </w:t>
            </w:r>
            <w:r w:rsidRPr="00EC20A0">
              <w:t>each</w:t>
            </w:r>
            <w:r w:rsidRPr="00EC20A0">
              <w:rPr>
                <w:spacing w:val="-5"/>
              </w:rPr>
              <w:t xml:space="preserve"> </w:t>
            </w:r>
            <w:r w:rsidRPr="00EC20A0">
              <w:t>item</w:t>
            </w:r>
            <w:r w:rsidRPr="00EC20A0">
              <w:rPr>
                <w:spacing w:val="-6"/>
              </w:rPr>
              <w:t xml:space="preserve"> </w:t>
            </w:r>
            <w:r w:rsidRPr="00EC20A0">
              <w:t>selected</w:t>
            </w:r>
            <w:r w:rsidRPr="00EC20A0">
              <w:rPr>
                <w:spacing w:val="-4"/>
              </w:rPr>
              <w:t xml:space="preserve"> </w:t>
            </w:r>
            <w:r w:rsidRPr="00EC20A0">
              <w:t>in</w:t>
            </w:r>
            <w:r w:rsidRPr="00EC20A0">
              <w:rPr>
                <w:spacing w:val="-5"/>
              </w:rPr>
              <w:t xml:space="preserve"> </w:t>
            </w:r>
            <w:r w:rsidRPr="00EC20A0">
              <w:t>1,</w:t>
            </w:r>
            <w:r w:rsidRPr="00EC20A0">
              <w:rPr>
                <w:spacing w:val="-5"/>
              </w:rPr>
              <w:t xml:space="preserve"> </w:t>
            </w:r>
            <w:r w:rsidRPr="00EC20A0">
              <w:t>take</w:t>
            </w:r>
            <w:r w:rsidRPr="00EC20A0">
              <w:rPr>
                <w:spacing w:val="-5"/>
              </w:rPr>
              <w:t xml:space="preserve"> </w:t>
            </w:r>
            <w:r w:rsidRPr="00EC20A0">
              <w:t>the</w:t>
            </w:r>
            <w:r w:rsidRPr="00EC20A0">
              <w:rPr>
                <w:spacing w:val="-5"/>
              </w:rPr>
              <w:t xml:space="preserve"> </w:t>
            </w:r>
            <w:r w:rsidRPr="00EC20A0">
              <w:t>following</w:t>
            </w:r>
            <w:r w:rsidRPr="00EC20A0">
              <w:rPr>
                <w:spacing w:val="-5"/>
              </w:rPr>
              <w:t xml:space="preserve"> </w:t>
            </w:r>
            <w:r w:rsidRPr="00EC20A0">
              <w:rPr>
                <w:spacing w:val="-2"/>
              </w:rPr>
              <w:t>actions:</w:t>
            </w:r>
          </w:p>
          <w:p w14:paraId="24D6126A" w14:textId="77777777" w:rsidR="00245300" w:rsidRPr="00EC20A0" w:rsidRDefault="00F17249">
            <w:pPr>
              <w:pStyle w:val="TableParagraph"/>
              <w:numPr>
                <w:ilvl w:val="1"/>
                <w:numId w:val="136"/>
              </w:numPr>
              <w:tabs>
                <w:tab w:val="left" w:pos="1286"/>
              </w:tabs>
              <w:spacing w:before="145"/>
              <w:ind w:right="325" w:hanging="576"/>
            </w:pPr>
            <w:r w:rsidRPr="00EC20A0">
              <w:t>Calculate the amount of gross pay using the hours worked and the employee’s pay rate indicated on the payroll records. Compare the amount of gross pay calculated by the auditor to the amount shown on the payroll records for the selected pay period, and obtain explanation and examine support for any differences. See</w:t>
            </w:r>
            <w:r w:rsidRPr="00EC20A0">
              <w:rPr>
                <w:spacing w:val="-5"/>
              </w:rPr>
              <w:t xml:space="preserve"> </w:t>
            </w:r>
            <w:r w:rsidRPr="00EC20A0">
              <w:t>FAM</w:t>
            </w:r>
            <w:r w:rsidRPr="00EC20A0">
              <w:rPr>
                <w:spacing w:val="-6"/>
              </w:rPr>
              <w:t xml:space="preserve"> </w:t>
            </w:r>
            <w:r w:rsidRPr="00EC20A0">
              <w:t>807.01,</w:t>
            </w:r>
            <w:r w:rsidRPr="00EC20A0">
              <w:rPr>
                <w:spacing w:val="-5"/>
              </w:rPr>
              <w:t xml:space="preserve"> </w:t>
            </w:r>
            <w:r w:rsidRPr="00EC20A0">
              <w:t>Pay</w:t>
            </w:r>
            <w:r w:rsidRPr="00EC20A0">
              <w:rPr>
                <w:spacing w:val="-5"/>
              </w:rPr>
              <w:t xml:space="preserve"> </w:t>
            </w:r>
            <w:r w:rsidRPr="00EC20A0">
              <w:t>Rate</w:t>
            </w:r>
            <w:r w:rsidRPr="00EC20A0">
              <w:rPr>
                <w:spacing w:val="-5"/>
              </w:rPr>
              <w:t xml:space="preserve"> </w:t>
            </w:r>
            <w:r w:rsidRPr="00EC20A0">
              <w:t>or</w:t>
            </w:r>
            <w:r w:rsidRPr="00EC20A0">
              <w:rPr>
                <w:spacing w:val="-5"/>
              </w:rPr>
              <w:t xml:space="preserve"> </w:t>
            </w:r>
            <w:r w:rsidRPr="00EC20A0">
              <w:t>Schedule</w:t>
            </w:r>
            <w:r w:rsidRPr="00EC20A0">
              <w:rPr>
                <w:spacing w:val="-5"/>
              </w:rPr>
              <w:t xml:space="preserve"> </w:t>
            </w:r>
            <w:r w:rsidRPr="00EC20A0">
              <w:t>for</w:t>
            </w:r>
            <w:r w:rsidRPr="00EC20A0">
              <w:rPr>
                <w:spacing w:val="-5"/>
              </w:rPr>
              <w:t xml:space="preserve"> </w:t>
            </w:r>
            <w:r w:rsidRPr="00EC20A0">
              <w:t>Employees in Specific Positions.</w:t>
            </w:r>
          </w:p>
          <w:p w14:paraId="24D6126B" w14:textId="77777777" w:rsidR="00245300" w:rsidRPr="00EC20A0" w:rsidRDefault="00F17249">
            <w:pPr>
              <w:pStyle w:val="TableParagraph"/>
              <w:numPr>
                <w:ilvl w:val="1"/>
                <w:numId w:val="136"/>
              </w:numPr>
              <w:tabs>
                <w:tab w:val="left" w:pos="1286"/>
              </w:tabs>
              <w:spacing w:before="144"/>
              <w:ind w:right="153" w:hanging="576"/>
            </w:pPr>
            <w:r w:rsidRPr="00EC20A0">
              <w:t xml:space="preserve">Compare the employee’s pay rate in the payroll records to the </w:t>
            </w:r>
            <w:r w:rsidRPr="00EC20A0">
              <w:t>appropriate pay rate for the employee’s approved grade and step on the pay schedules established by executive order. (Use the approved grade and step indicated in the employee’s personnel records for this test.) Obtain explanation and examine support for any differences between the actual pay rate for the period selected and the authorized amounts. See 5 U.S.C. § 5332 for employees in positions subject to the General Schedule;</w:t>
            </w:r>
            <w:r w:rsidRPr="00EC20A0">
              <w:rPr>
                <w:spacing w:val="-5"/>
              </w:rPr>
              <w:t xml:space="preserve"> </w:t>
            </w:r>
            <w:r w:rsidRPr="00EC20A0">
              <w:t>5</w:t>
            </w:r>
            <w:r w:rsidRPr="00EC20A0">
              <w:rPr>
                <w:spacing w:val="-6"/>
              </w:rPr>
              <w:t xml:space="preserve"> </w:t>
            </w:r>
            <w:r w:rsidRPr="00EC20A0">
              <w:t>U.S.C.</w:t>
            </w:r>
            <w:r w:rsidRPr="00EC20A0">
              <w:rPr>
                <w:spacing w:val="-5"/>
              </w:rPr>
              <w:t xml:space="preserve"> </w:t>
            </w:r>
            <w:r w:rsidRPr="00EC20A0">
              <w:t>§</w:t>
            </w:r>
            <w:r w:rsidRPr="00EC20A0">
              <w:rPr>
                <w:spacing w:val="-5"/>
              </w:rPr>
              <w:t xml:space="preserve"> </w:t>
            </w:r>
            <w:r w:rsidRPr="00EC20A0">
              <w:t>5343</w:t>
            </w:r>
            <w:r w:rsidRPr="00EC20A0">
              <w:rPr>
                <w:spacing w:val="-5"/>
              </w:rPr>
              <w:t xml:space="preserve"> </w:t>
            </w:r>
            <w:r w:rsidRPr="00EC20A0">
              <w:t>for</w:t>
            </w:r>
            <w:r w:rsidRPr="00EC20A0">
              <w:rPr>
                <w:spacing w:val="-5"/>
              </w:rPr>
              <w:t xml:space="preserve"> </w:t>
            </w:r>
            <w:r w:rsidRPr="00EC20A0">
              <w:t>prevailing</w:t>
            </w:r>
            <w:r w:rsidRPr="00EC20A0">
              <w:rPr>
                <w:spacing w:val="-5"/>
              </w:rPr>
              <w:t xml:space="preserve"> </w:t>
            </w:r>
            <w:r w:rsidRPr="00EC20A0">
              <w:t>rate</w:t>
            </w:r>
            <w:r w:rsidRPr="00EC20A0">
              <w:rPr>
                <w:spacing w:val="-5"/>
              </w:rPr>
              <w:t xml:space="preserve"> </w:t>
            </w:r>
            <w:r w:rsidRPr="00EC20A0">
              <w:t>employees; 5 U.S.C. § 5376 for employees in c</w:t>
            </w:r>
            <w:r w:rsidRPr="00EC20A0">
              <w:t>ertain senior-level positions, such as specially qualified scientific and professional personnel; 5 U.S.C. § 5383 for employees appointed to the Senior Executive Service; and 29</w:t>
            </w:r>
          </w:p>
          <w:p w14:paraId="24D6126C" w14:textId="77777777" w:rsidR="00245300" w:rsidRPr="00EC20A0" w:rsidRDefault="00F17249">
            <w:pPr>
              <w:pStyle w:val="TableParagraph"/>
              <w:spacing w:line="253" w:lineRule="exact"/>
              <w:ind w:left="1286"/>
            </w:pPr>
            <w:r w:rsidRPr="00EC20A0">
              <w:t>U.S.C.</w:t>
            </w:r>
            <w:r w:rsidRPr="00EC20A0">
              <w:rPr>
                <w:spacing w:val="-6"/>
              </w:rPr>
              <w:t xml:space="preserve"> </w:t>
            </w:r>
            <w:r w:rsidRPr="00EC20A0">
              <w:t>§</w:t>
            </w:r>
            <w:r w:rsidRPr="00EC20A0">
              <w:rPr>
                <w:spacing w:val="-6"/>
              </w:rPr>
              <w:t xml:space="preserve"> </w:t>
            </w:r>
            <w:r w:rsidRPr="00EC20A0">
              <w:t>206</w:t>
            </w:r>
            <w:r w:rsidRPr="00EC20A0">
              <w:rPr>
                <w:spacing w:val="-6"/>
              </w:rPr>
              <w:t xml:space="preserve"> </w:t>
            </w:r>
            <w:r w:rsidRPr="00EC20A0">
              <w:t>for</w:t>
            </w:r>
            <w:r w:rsidRPr="00EC20A0">
              <w:rPr>
                <w:spacing w:val="-5"/>
              </w:rPr>
              <w:t xml:space="preserve"> </w:t>
            </w:r>
            <w:r w:rsidRPr="00EC20A0">
              <w:t>employees</w:t>
            </w:r>
            <w:r w:rsidRPr="00EC20A0">
              <w:rPr>
                <w:spacing w:val="-6"/>
              </w:rPr>
              <w:t xml:space="preserve"> </w:t>
            </w:r>
            <w:r w:rsidRPr="00EC20A0">
              <w:t>paid</w:t>
            </w:r>
            <w:r w:rsidRPr="00EC20A0">
              <w:rPr>
                <w:spacing w:val="-6"/>
              </w:rPr>
              <w:t xml:space="preserve"> </w:t>
            </w:r>
            <w:r w:rsidRPr="00EC20A0">
              <w:t>the</w:t>
            </w:r>
            <w:r w:rsidRPr="00EC20A0">
              <w:rPr>
                <w:spacing w:val="-6"/>
              </w:rPr>
              <w:t xml:space="preserve"> </w:t>
            </w:r>
            <w:r w:rsidRPr="00EC20A0">
              <w:t>minimum</w:t>
            </w:r>
            <w:r w:rsidRPr="00EC20A0">
              <w:rPr>
                <w:spacing w:val="-6"/>
              </w:rPr>
              <w:t xml:space="preserve"> </w:t>
            </w:r>
            <w:r w:rsidRPr="00EC20A0">
              <w:rPr>
                <w:spacing w:val="-4"/>
              </w:rPr>
              <w:t>wage.</w:t>
            </w:r>
          </w:p>
          <w:p w14:paraId="24D6126D" w14:textId="77777777" w:rsidR="00245300" w:rsidRPr="00EC20A0" w:rsidRDefault="00F17249">
            <w:pPr>
              <w:pStyle w:val="TableParagraph"/>
              <w:spacing w:before="145"/>
              <w:ind w:left="1285"/>
            </w:pPr>
            <w:r w:rsidRPr="00EC20A0">
              <w:t>If</w:t>
            </w:r>
            <w:r w:rsidRPr="00EC20A0">
              <w:rPr>
                <w:spacing w:val="-4"/>
              </w:rPr>
              <w:t xml:space="preserve"> </w:t>
            </w:r>
            <w:r w:rsidRPr="00EC20A0">
              <w:t>the</w:t>
            </w:r>
            <w:r w:rsidRPr="00EC20A0">
              <w:rPr>
                <w:spacing w:val="-4"/>
              </w:rPr>
              <w:t xml:space="preserve"> </w:t>
            </w:r>
            <w:r w:rsidRPr="00EC20A0">
              <w:t>employee’s</w:t>
            </w:r>
            <w:r w:rsidRPr="00EC20A0">
              <w:rPr>
                <w:spacing w:val="-4"/>
              </w:rPr>
              <w:t xml:space="preserve"> </w:t>
            </w:r>
            <w:r w:rsidRPr="00EC20A0">
              <w:t>pay</w:t>
            </w:r>
            <w:r w:rsidRPr="00EC20A0">
              <w:rPr>
                <w:spacing w:val="-4"/>
              </w:rPr>
              <w:t xml:space="preserve"> </w:t>
            </w:r>
            <w:r w:rsidRPr="00EC20A0">
              <w:t>is</w:t>
            </w:r>
            <w:r w:rsidRPr="00EC20A0">
              <w:rPr>
                <w:spacing w:val="-5"/>
              </w:rPr>
              <w:t xml:space="preserve"> </w:t>
            </w:r>
            <w:r w:rsidRPr="00EC20A0">
              <w:t>not</w:t>
            </w:r>
            <w:r w:rsidRPr="00EC20A0">
              <w:rPr>
                <w:spacing w:val="-4"/>
              </w:rPr>
              <w:t xml:space="preserve"> </w:t>
            </w:r>
            <w:r w:rsidRPr="00EC20A0">
              <w:t>set</w:t>
            </w:r>
            <w:r w:rsidRPr="00EC20A0">
              <w:rPr>
                <w:spacing w:val="-4"/>
              </w:rPr>
              <w:t xml:space="preserve"> </w:t>
            </w:r>
            <w:r w:rsidRPr="00EC20A0">
              <w:t>by</w:t>
            </w:r>
            <w:r w:rsidRPr="00EC20A0">
              <w:rPr>
                <w:spacing w:val="-4"/>
              </w:rPr>
              <w:t xml:space="preserve"> </w:t>
            </w:r>
            <w:r w:rsidRPr="00EC20A0">
              <w:t>these</w:t>
            </w:r>
            <w:r w:rsidRPr="00EC20A0">
              <w:rPr>
                <w:spacing w:val="-4"/>
              </w:rPr>
              <w:t xml:space="preserve"> </w:t>
            </w:r>
            <w:r w:rsidRPr="00EC20A0">
              <w:t>pay</w:t>
            </w:r>
            <w:r w:rsidRPr="00EC20A0">
              <w:rPr>
                <w:spacing w:val="-4"/>
              </w:rPr>
              <w:t xml:space="preserve"> </w:t>
            </w:r>
            <w:r w:rsidRPr="00EC20A0">
              <w:t xml:space="preserve">schedules, then determine whether the amount paid is properly </w:t>
            </w:r>
            <w:r w:rsidRPr="00EC20A0">
              <w:rPr>
                <w:spacing w:val="-2"/>
              </w:rPr>
              <w:t>authorized.</w:t>
            </w:r>
          </w:p>
        </w:tc>
        <w:tc>
          <w:tcPr>
            <w:tcW w:w="1062" w:type="dxa"/>
            <w:tcBorders>
              <w:top w:val="single" w:sz="8" w:space="0" w:color="000000"/>
              <w:left w:val="single" w:sz="8" w:space="0" w:color="000000"/>
              <w:bottom w:val="double" w:sz="4" w:space="0" w:color="000000"/>
              <w:right w:val="single" w:sz="8" w:space="0" w:color="000000"/>
            </w:tcBorders>
          </w:tcPr>
          <w:p w14:paraId="24D6126E" w14:textId="77777777" w:rsidR="00245300" w:rsidRPr="00EC20A0" w:rsidRDefault="00245300">
            <w:pPr>
              <w:pStyle w:val="TableParagraph"/>
              <w:rPr>
                <w:sz w:val="20"/>
              </w:rPr>
            </w:pPr>
          </w:p>
        </w:tc>
        <w:tc>
          <w:tcPr>
            <w:tcW w:w="1278" w:type="dxa"/>
            <w:tcBorders>
              <w:top w:val="single" w:sz="8" w:space="0" w:color="000000"/>
              <w:left w:val="single" w:sz="8" w:space="0" w:color="000000"/>
              <w:bottom w:val="double" w:sz="4" w:space="0" w:color="000000"/>
              <w:right w:val="double" w:sz="4" w:space="0" w:color="000000"/>
            </w:tcBorders>
          </w:tcPr>
          <w:p w14:paraId="24D6126F" w14:textId="77777777" w:rsidR="00245300" w:rsidRPr="00EC20A0" w:rsidRDefault="00245300">
            <w:pPr>
              <w:pStyle w:val="TableParagraph"/>
              <w:rPr>
                <w:sz w:val="20"/>
              </w:rPr>
            </w:pPr>
          </w:p>
        </w:tc>
      </w:tr>
    </w:tbl>
    <w:p w14:paraId="24D61271" w14:textId="77777777" w:rsidR="00245300" w:rsidRPr="00EC20A0" w:rsidRDefault="00245300">
      <w:pPr>
        <w:rPr>
          <w:sz w:val="20"/>
        </w:rPr>
        <w:sectPr w:rsidR="00245300" w:rsidRPr="00EC20A0">
          <w:pgSz w:w="12240" w:h="15840"/>
          <w:pgMar w:top="1800" w:right="1320" w:bottom="940" w:left="1320" w:header="865" w:footer="742" w:gutter="0"/>
          <w:cols w:space="720"/>
        </w:sectPr>
      </w:pPr>
    </w:p>
    <w:p w14:paraId="24D61272" w14:textId="77777777" w:rsidR="00245300" w:rsidRPr="00EC20A0" w:rsidRDefault="00F17249">
      <w:pPr>
        <w:tabs>
          <w:tab w:val="left" w:pos="930"/>
        </w:tabs>
        <w:spacing w:before="226"/>
        <w:ind w:left="930" w:right="132" w:hanging="811"/>
      </w:pPr>
      <w:r w:rsidRPr="00EC20A0">
        <w:rPr>
          <w:b/>
          <w:spacing w:val="-2"/>
        </w:rPr>
        <w:t>Note:</w:t>
      </w:r>
      <w:r w:rsidRPr="00EC20A0">
        <w:rPr>
          <w:b/>
        </w:rPr>
        <w:tab/>
      </w:r>
      <w:r w:rsidRPr="00EC20A0">
        <w:t xml:space="preserve">If the entity outsources payroll processing, then the entity remains responsible for compliance. Dividing responsibility for payroll </w:t>
      </w:r>
      <w:r w:rsidRPr="00EC20A0">
        <w:t>processing activities between the entity and</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organization</w:t>
      </w:r>
      <w:r w:rsidRPr="00EC20A0">
        <w:rPr>
          <w:spacing w:val="-4"/>
        </w:rPr>
        <w:t xml:space="preserve"> </w:t>
      </w:r>
      <w:r w:rsidRPr="00EC20A0">
        <w:t>could</w:t>
      </w:r>
      <w:r w:rsidRPr="00EC20A0">
        <w:rPr>
          <w:spacing w:val="-4"/>
        </w:rPr>
        <w:t xml:space="preserve"> </w:t>
      </w:r>
      <w:r w:rsidRPr="00EC20A0">
        <w:t>make</w:t>
      </w:r>
      <w:r w:rsidRPr="00EC20A0">
        <w:rPr>
          <w:spacing w:val="-4"/>
        </w:rPr>
        <w:t xml:space="preserve"> </w:t>
      </w:r>
      <w:r w:rsidRPr="00EC20A0">
        <w:t>payroll</w:t>
      </w:r>
      <w:r w:rsidRPr="00EC20A0">
        <w:rPr>
          <w:spacing w:val="-5"/>
        </w:rPr>
        <w:t xml:space="preserve"> </w:t>
      </w:r>
      <w:r w:rsidRPr="00EC20A0">
        <w:t>testing</w:t>
      </w:r>
      <w:r w:rsidRPr="00EC20A0">
        <w:rPr>
          <w:spacing w:val="-4"/>
        </w:rPr>
        <w:t xml:space="preserve"> </w:t>
      </w:r>
      <w:r w:rsidRPr="00EC20A0">
        <w:t>more</w:t>
      </w:r>
      <w:r w:rsidRPr="00EC20A0">
        <w:rPr>
          <w:spacing w:val="-4"/>
        </w:rPr>
        <w:t xml:space="preserve"> </w:t>
      </w:r>
      <w:r w:rsidRPr="00EC20A0">
        <w:t>complicated;</w:t>
      </w:r>
      <w:r w:rsidRPr="00EC20A0">
        <w:rPr>
          <w:spacing w:val="-4"/>
        </w:rPr>
        <w:t xml:space="preserve"> </w:t>
      </w:r>
      <w:r w:rsidRPr="00EC20A0">
        <w:t>however,</w:t>
      </w:r>
      <w:r w:rsidRPr="00EC20A0">
        <w:rPr>
          <w:spacing w:val="-4"/>
        </w:rPr>
        <w:t xml:space="preserve"> </w:t>
      </w:r>
      <w:r w:rsidRPr="00EC20A0">
        <w:t xml:space="preserve">the auditor should perform the same testing. The auditor may accomplish this testing with the assistance of the service </w:t>
      </w:r>
      <w:r w:rsidRPr="00EC20A0">
        <w:t>auditor, which</w:t>
      </w:r>
      <w:r w:rsidRPr="00EC20A0">
        <w:rPr>
          <w:spacing w:val="40"/>
        </w:rPr>
        <w:t xml:space="preserve"> </w:t>
      </w:r>
      <w:r w:rsidRPr="00EC20A0">
        <w:t xml:space="preserve">may issue an internal control report on the service organization under AT-C 320, </w:t>
      </w:r>
      <w:r w:rsidRPr="00EC20A0">
        <w:rPr>
          <w:i/>
        </w:rPr>
        <w:t>Reporting on an Examination of Controls at a Service Organization Relevant to User Entities’ Internal Control Over Financial Reporting</w:t>
      </w:r>
      <w:r w:rsidRPr="00EC20A0">
        <w:t>. Another approach may be for the service auditor</w:t>
      </w:r>
      <w:r w:rsidRPr="00EC20A0">
        <w:rPr>
          <w:spacing w:val="-2"/>
        </w:rPr>
        <w:t xml:space="preserve"> </w:t>
      </w:r>
      <w:r w:rsidRPr="00EC20A0">
        <w:t>to assist the</w:t>
      </w:r>
      <w:r w:rsidRPr="00EC20A0">
        <w:rPr>
          <w:spacing w:val="-1"/>
        </w:rPr>
        <w:t xml:space="preserve"> </w:t>
      </w:r>
      <w:r w:rsidRPr="00EC20A0">
        <w:t>entity’s</w:t>
      </w:r>
      <w:r w:rsidRPr="00EC20A0">
        <w:rPr>
          <w:spacing w:val="-1"/>
        </w:rPr>
        <w:t xml:space="preserve"> </w:t>
      </w:r>
      <w:r w:rsidRPr="00EC20A0">
        <w:t xml:space="preserve">auditor by performing agreed-upon procedures at the service organization (e.g., substantive testing) under AT-C 215, </w:t>
      </w:r>
      <w:r w:rsidRPr="00EC20A0">
        <w:rPr>
          <w:i/>
        </w:rPr>
        <w:t xml:space="preserve">Agreed-Upon Procedures Engagements </w:t>
      </w:r>
      <w:r w:rsidRPr="00EC20A0">
        <w:t>(see FAM 710).</w:t>
      </w:r>
    </w:p>
    <w:p w14:paraId="24D61273" w14:textId="77777777" w:rsidR="00245300" w:rsidRPr="00EC20A0" w:rsidRDefault="00245300">
      <w:pPr>
        <w:sectPr w:rsidR="00245300" w:rsidRPr="00EC20A0">
          <w:pgSz w:w="12240" w:h="15840"/>
          <w:pgMar w:top="1800" w:right="1320" w:bottom="940" w:left="1320" w:header="865" w:footer="742" w:gutter="0"/>
          <w:cols w:space="720"/>
        </w:sectPr>
      </w:pPr>
    </w:p>
    <w:p w14:paraId="24D61274" w14:textId="77777777" w:rsidR="00245300" w:rsidRPr="00EC20A0" w:rsidRDefault="00F17249">
      <w:pPr>
        <w:pStyle w:val="Heading3"/>
        <w:spacing w:before="80"/>
        <w:rPr>
          <w:u w:val="none"/>
        </w:rPr>
      </w:pPr>
      <w:bookmarkStart w:id="239" w:name="808_–_Civil_Service_Retirement_Act_(CSRA"/>
      <w:bookmarkStart w:id="240" w:name="_bookmark128"/>
      <w:bookmarkEnd w:id="239"/>
      <w:bookmarkEnd w:id="240"/>
      <w:r w:rsidRPr="00EC20A0">
        <w:t>808</w:t>
      </w:r>
      <w:r w:rsidRPr="00EC20A0">
        <w:rPr>
          <w:spacing w:val="-6"/>
        </w:rPr>
        <w:t xml:space="preserve"> </w:t>
      </w:r>
      <w:r w:rsidRPr="00EC20A0">
        <w:t>–</w:t>
      </w:r>
      <w:r w:rsidRPr="00EC20A0">
        <w:rPr>
          <w:spacing w:val="-3"/>
        </w:rPr>
        <w:t xml:space="preserve"> </w:t>
      </w:r>
      <w:r w:rsidRPr="00EC20A0">
        <w:t>Civil</w:t>
      </w:r>
      <w:r w:rsidRPr="00EC20A0">
        <w:rPr>
          <w:spacing w:val="-4"/>
        </w:rPr>
        <w:t xml:space="preserve"> </w:t>
      </w:r>
      <w:r w:rsidRPr="00EC20A0">
        <w:t>Service</w:t>
      </w:r>
      <w:r w:rsidRPr="00EC20A0">
        <w:rPr>
          <w:spacing w:val="-3"/>
        </w:rPr>
        <w:t xml:space="preserve"> </w:t>
      </w:r>
      <w:r w:rsidRPr="00EC20A0">
        <w:t>Retirement</w:t>
      </w:r>
      <w:r w:rsidRPr="00EC20A0">
        <w:rPr>
          <w:spacing w:val="-15"/>
        </w:rPr>
        <w:t xml:space="preserve"> </w:t>
      </w:r>
      <w:r w:rsidRPr="00EC20A0">
        <w:t>Act</w:t>
      </w:r>
      <w:r w:rsidRPr="00EC20A0">
        <w:rPr>
          <w:spacing w:val="-3"/>
        </w:rPr>
        <w:t xml:space="preserve"> </w:t>
      </w:r>
      <w:r w:rsidRPr="00EC20A0">
        <w:t>(CSRA),</w:t>
      </w:r>
      <w:r w:rsidRPr="00EC20A0">
        <w:rPr>
          <w:spacing w:val="-5"/>
        </w:rPr>
        <w:t xml:space="preserve"> </w:t>
      </w:r>
      <w:r w:rsidRPr="00EC20A0">
        <w:t>as</w:t>
      </w:r>
      <w:r w:rsidRPr="00EC20A0">
        <w:rPr>
          <w:spacing w:val="-4"/>
        </w:rPr>
        <w:t xml:space="preserve"> </w:t>
      </w:r>
      <w:r w:rsidRPr="00EC20A0">
        <w:t>Provide</w:t>
      </w:r>
      <w:bookmarkStart w:id="241" w:name="_bookmark129"/>
      <w:bookmarkEnd w:id="241"/>
      <w:r w:rsidRPr="00EC20A0">
        <w:t>d</w:t>
      </w:r>
      <w:r w:rsidRPr="00EC20A0">
        <w:rPr>
          <w:spacing w:val="-4"/>
        </w:rPr>
        <w:t xml:space="preserve"> </w:t>
      </w:r>
      <w:r w:rsidRPr="00EC20A0">
        <w:t>i</w:t>
      </w:r>
      <w:bookmarkStart w:id="242" w:name="_bookmark130"/>
      <w:bookmarkEnd w:id="242"/>
      <w:r w:rsidRPr="00EC20A0">
        <w:t>n</w:t>
      </w:r>
      <w:r w:rsidRPr="00EC20A0">
        <w:rPr>
          <w:spacing w:val="-3"/>
        </w:rPr>
        <w:t xml:space="preserve"> </w:t>
      </w:r>
      <w:r w:rsidRPr="00EC20A0">
        <w:t>5</w:t>
      </w:r>
      <w:r w:rsidRPr="00EC20A0">
        <w:rPr>
          <w:spacing w:val="-3"/>
        </w:rPr>
        <w:t xml:space="preserve"> </w:t>
      </w:r>
      <w:bookmarkStart w:id="243" w:name="_bookmark131"/>
      <w:bookmarkEnd w:id="243"/>
      <w:r w:rsidRPr="00EC20A0">
        <w:t>U.S.C.</w:t>
      </w:r>
      <w:r w:rsidRPr="00EC20A0">
        <w:rPr>
          <w:spacing w:val="-4"/>
        </w:rPr>
        <w:t xml:space="preserve"> </w:t>
      </w:r>
      <w:r w:rsidRPr="00EC20A0">
        <w:t>Chapter</w:t>
      </w:r>
      <w:r w:rsidRPr="00EC20A0">
        <w:rPr>
          <w:spacing w:val="-4"/>
        </w:rPr>
        <w:t xml:space="preserve"> </w:t>
      </w:r>
      <w:r w:rsidRPr="00EC20A0">
        <w:rPr>
          <w:spacing w:val="-5"/>
        </w:rPr>
        <w:t>83</w:t>
      </w:r>
    </w:p>
    <w:p w14:paraId="24D61275" w14:textId="77777777" w:rsidR="00245300" w:rsidRPr="00EC20A0" w:rsidRDefault="00F17249">
      <w:pPr>
        <w:pStyle w:val="BodyText"/>
        <w:spacing w:before="143"/>
        <w:ind w:left="120"/>
      </w:pPr>
      <w:r w:rsidRPr="00EC20A0">
        <w:t>Note: The auditor should complete this compliance summary or prepare equivalent documentation only if provisions of the Civil Service Retirement</w:t>
      </w:r>
      <w:r w:rsidRPr="00EC20A0">
        <w:rPr>
          <w:spacing w:val="-1"/>
        </w:rPr>
        <w:t xml:space="preserve"> </w:t>
      </w:r>
      <w:r w:rsidRPr="00EC20A0">
        <w:t>Act</w:t>
      </w:r>
      <w:r w:rsidRPr="00EC20A0">
        <w:rPr>
          <w:spacing w:val="-2"/>
        </w:rPr>
        <w:t xml:space="preserve"> </w:t>
      </w:r>
      <w:r w:rsidRPr="00EC20A0">
        <w:t>(CSRA),</w:t>
      </w:r>
      <w:r w:rsidRPr="00EC20A0">
        <w:rPr>
          <w:spacing w:val="-1"/>
        </w:rPr>
        <w:t xml:space="preserve"> </w:t>
      </w:r>
      <w:r w:rsidRPr="00EC20A0">
        <w:t>as</w:t>
      </w:r>
      <w:r w:rsidRPr="00EC20A0">
        <w:rPr>
          <w:spacing w:val="-2"/>
        </w:rPr>
        <w:t xml:space="preserve"> </w:t>
      </w:r>
      <w:r w:rsidRPr="00EC20A0">
        <w:t>provided</w:t>
      </w:r>
      <w:r w:rsidRPr="00EC20A0">
        <w:rPr>
          <w:spacing w:val="-3"/>
        </w:rPr>
        <w:t xml:space="preserve"> </w:t>
      </w:r>
      <w:r w:rsidRPr="00EC20A0">
        <w:t>in</w:t>
      </w:r>
      <w:r w:rsidRPr="00EC20A0">
        <w:rPr>
          <w:spacing w:val="-2"/>
        </w:rPr>
        <w:t xml:space="preserve"> </w:t>
      </w:r>
      <w:r w:rsidRPr="00EC20A0">
        <w:t>5</w:t>
      </w:r>
      <w:r w:rsidRPr="00EC20A0">
        <w:rPr>
          <w:spacing w:val="-2"/>
        </w:rPr>
        <w:t xml:space="preserve"> </w:t>
      </w:r>
      <w:r w:rsidRPr="00EC20A0">
        <w:t>U.S.C.</w:t>
      </w:r>
      <w:r w:rsidRPr="00EC20A0">
        <w:rPr>
          <w:spacing w:val="-2"/>
        </w:rPr>
        <w:t xml:space="preserve"> </w:t>
      </w:r>
      <w:r w:rsidRPr="00EC20A0">
        <w:t>chapter</w:t>
      </w:r>
      <w:r w:rsidRPr="00EC20A0">
        <w:rPr>
          <w:spacing w:val="-2"/>
        </w:rPr>
        <w:t xml:space="preserve"> </w:t>
      </w:r>
      <w:r w:rsidRPr="00EC20A0">
        <w:t>83,</w:t>
      </w:r>
      <w:r w:rsidRPr="00EC20A0">
        <w:rPr>
          <w:spacing w:val="-3"/>
        </w:rPr>
        <w:t xml:space="preserve"> </w:t>
      </w:r>
      <w:r w:rsidRPr="00EC20A0">
        <w:t>are</w:t>
      </w:r>
      <w:r w:rsidRPr="00EC20A0">
        <w:rPr>
          <w:spacing w:val="-2"/>
        </w:rPr>
        <w:t xml:space="preserve"> </w:t>
      </w:r>
      <w:r w:rsidRPr="00EC20A0">
        <w:t>significant,</w:t>
      </w:r>
      <w:r w:rsidRPr="00EC20A0">
        <w:rPr>
          <w:spacing w:val="-2"/>
        </w:rPr>
        <w:t xml:space="preserve"> </w:t>
      </w:r>
      <w:r w:rsidRPr="00EC20A0">
        <w:t>as</w:t>
      </w:r>
      <w:r w:rsidRPr="00EC20A0">
        <w:rPr>
          <w:spacing w:val="-2"/>
        </w:rPr>
        <w:t xml:space="preserve"> </w:t>
      </w:r>
      <w:r w:rsidRPr="00EC20A0">
        <w:t>indicated</w:t>
      </w:r>
      <w:r w:rsidRPr="00EC20A0">
        <w:rPr>
          <w:spacing w:val="-2"/>
        </w:rPr>
        <w:t xml:space="preserve"> </w:t>
      </w:r>
      <w:r w:rsidRPr="00EC20A0">
        <w:t>on</w:t>
      </w:r>
      <w:r w:rsidRPr="00EC20A0">
        <w:rPr>
          <w:spacing w:val="-2"/>
        </w:rPr>
        <w:t xml:space="preserve"> </w:t>
      </w:r>
      <w:r w:rsidRPr="00EC20A0">
        <w:t>Form</w:t>
      </w:r>
      <w:r w:rsidRPr="00EC20A0">
        <w:rPr>
          <w:spacing w:val="-3"/>
        </w:rPr>
        <w:t xml:space="preserve"> </w:t>
      </w:r>
      <w:r w:rsidRPr="00EC20A0">
        <w:t>802,</w:t>
      </w:r>
      <w:r w:rsidRPr="00EC20A0">
        <w:rPr>
          <w:spacing w:val="-2"/>
        </w:rPr>
        <w:t xml:space="preserve"> </w:t>
      </w:r>
      <w:r w:rsidRPr="00EC20A0">
        <w:t>General</w:t>
      </w:r>
      <w:r w:rsidRPr="00EC20A0">
        <w:rPr>
          <w:spacing w:val="-2"/>
        </w:rPr>
        <w:t xml:space="preserve"> </w:t>
      </w:r>
      <w:r w:rsidRPr="00EC20A0">
        <w:t>Compliance</w:t>
      </w:r>
      <w:r w:rsidRPr="00EC20A0">
        <w:rPr>
          <w:spacing w:val="-2"/>
        </w:rPr>
        <w:t xml:space="preserve"> </w:t>
      </w:r>
      <w:r w:rsidRPr="00EC20A0">
        <w:t>Checklist,</w:t>
      </w:r>
      <w:r w:rsidRPr="00EC20A0">
        <w:rPr>
          <w:spacing w:val="-2"/>
        </w:rPr>
        <w:t xml:space="preserve"> </w:t>
      </w:r>
      <w:r w:rsidRPr="00EC20A0">
        <w:t>at page 802-9. Implementing regulations for CSRA’s general administration are included in 5 C.F.R. Part 831.</w:t>
      </w:r>
    </w:p>
    <w:p w14:paraId="24D61276" w14:textId="77777777" w:rsidR="00245300" w:rsidRPr="00EC20A0" w:rsidRDefault="00245300">
      <w:pPr>
        <w:pStyle w:val="BodyText"/>
        <w:rPr>
          <w:sz w:val="20"/>
        </w:rPr>
      </w:pPr>
    </w:p>
    <w:p w14:paraId="24D61277" w14:textId="77777777" w:rsidR="00245300" w:rsidRPr="00EC20A0" w:rsidRDefault="00245300">
      <w:pPr>
        <w:pStyle w:val="BodyText"/>
        <w:spacing w:before="91"/>
        <w:rPr>
          <w:sz w:val="20"/>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245300" w:rsidRPr="00EC20A0" w14:paraId="24D6127B" w14:textId="77777777">
        <w:trPr>
          <w:trHeight w:val="1573"/>
        </w:trPr>
        <w:tc>
          <w:tcPr>
            <w:tcW w:w="13176" w:type="dxa"/>
            <w:gridSpan w:val="6"/>
          </w:tcPr>
          <w:p w14:paraId="24D61278" w14:textId="77777777" w:rsidR="00245300" w:rsidRPr="00EC20A0" w:rsidRDefault="00F17249">
            <w:pPr>
              <w:pStyle w:val="TableParagraph"/>
              <w:tabs>
                <w:tab w:val="left" w:pos="9184"/>
              </w:tabs>
              <w:spacing w:before="144"/>
              <w:ind w:right="192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1279" w14:textId="77777777" w:rsidR="00245300" w:rsidRPr="00EC20A0" w:rsidRDefault="00F17249">
            <w:pPr>
              <w:pStyle w:val="TableParagraph"/>
              <w:spacing w:before="12"/>
              <w:ind w:left="1947" w:right="1925"/>
              <w:jc w:val="center"/>
              <w:rPr>
                <w:b/>
                <w:sz w:val="24"/>
              </w:rPr>
            </w:pPr>
            <w:r w:rsidRPr="00EC20A0">
              <w:rPr>
                <w:noProof/>
              </w:rPr>
              <mc:AlternateContent>
                <mc:Choice Requires="wpg">
                  <w:drawing>
                    <wp:anchor distT="0" distB="0" distL="0" distR="0" simplePos="0" relativeHeight="475332608" behindDoc="1" locked="0" layoutInCell="1" allowOverlap="1" wp14:anchorId="24D62C17" wp14:editId="24D62C18">
                      <wp:simplePos x="0" y="0"/>
                      <wp:positionH relativeFrom="column">
                        <wp:posOffset>6953250</wp:posOffset>
                      </wp:positionH>
                      <wp:positionV relativeFrom="paragraph">
                        <wp:posOffset>91895</wp:posOffset>
                      </wp:positionV>
                      <wp:extent cx="1344930" cy="635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15" name="Graphic 615"/>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BE6D7D" id="Group 614" o:spid="_x0000_s1026" style="position:absolute;margin-left:547.5pt;margin-top:7.25pt;width:105.9pt;height:.5pt;z-index:-2798387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">
                      <v:shape id="Graphic 615"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" path="m1344929,l,,,6096r1344929,l1344929,xe" fillcolor="black" stroked="f">
                        <v:path arrowok="t"/>
                      </v:shape>
                    </v:group>
                  </w:pict>
                </mc:Fallback>
              </mc:AlternateContent>
            </w:r>
            <w:r w:rsidRPr="00EC20A0">
              <w:rPr>
                <w:noProof/>
              </w:rPr>
              <mc:AlternateContent>
                <mc:Choice Requires="wpg">
                  <w:drawing>
                    <wp:anchor distT="0" distB="0" distL="0" distR="0" simplePos="0" relativeHeight="475333632" behindDoc="1" locked="0" layoutInCell="1" allowOverlap="1" wp14:anchorId="24D62C19" wp14:editId="24D62C1A">
                      <wp:simplePos x="0" y="0"/>
                      <wp:positionH relativeFrom="column">
                        <wp:posOffset>6953250</wp:posOffset>
                      </wp:positionH>
                      <wp:positionV relativeFrom="paragraph">
                        <wp:posOffset>441653</wp:posOffset>
                      </wp:positionV>
                      <wp:extent cx="1344930" cy="635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17" name="Graphic 617"/>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D9133E" id="Group 616" o:spid="_x0000_s1026" style="position:absolute;margin-left:547.5pt;margin-top:34.8pt;width:105.9pt;height:.5pt;z-index:-27982848;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">
                      <v:shape id="Graphic 617"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" path="m1344929,l,,,6096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27A" w14:textId="77777777" w:rsidR="00245300" w:rsidRPr="00EC20A0" w:rsidRDefault="00F17249">
            <w:pPr>
              <w:pStyle w:val="TableParagraph"/>
              <w:tabs>
                <w:tab w:val="left" w:pos="8878"/>
              </w:tabs>
              <w:spacing w:before="10"/>
              <w:ind w:right="1681"/>
              <w:jc w:val="center"/>
            </w:pPr>
            <w:r w:rsidRPr="00EC20A0">
              <w:rPr>
                <w:noProof/>
              </w:rPr>
              <mc:AlternateContent>
                <mc:Choice Requires="wpg">
                  <w:drawing>
                    <wp:anchor distT="0" distB="0" distL="0" distR="0" simplePos="0" relativeHeight="475332096" behindDoc="1" locked="0" layoutInCell="1" allowOverlap="1" wp14:anchorId="24D62C1B" wp14:editId="24D62C1C">
                      <wp:simplePos x="0" y="0"/>
                      <wp:positionH relativeFrom="column">
                        <wp:posOffset>1260347</wp:posOffset>
                      </wp:positionH>
                      <wp:positionV relativeFrom="paragraph">
                        <wp:posOffset>-91185</wp:posOffset>
                      </wp:positionV>
                      <wp:extent cx="1183005" cy="635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19" name="Graphic 619"/>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C59E43" id="Group 618" o:spid="_x0000_s1026" style="position:absolute;margin-left:99.25pt;margin-top:-7.2pt;width:93.15pt;height:.5pt;z-index:-2798438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">
                      <v:shape id="Graphic 619"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" path="m1182611,l,,,6096r1182611,l1182611,xe" fillcolor="black" stroked="f">
                        <v:path arrowok="t"/>
                      </v:shape>
                    </v:group>
                  </w:pict>
                </mc:Fallback>
              </mc:AlternateContent>
            </w:r>
            <w:r w:rsidRPr="00EC20A0">
              <w:rPr>
                <w:noProof/>
              </w:rPr>
              <mc:AlternateContent>
                <mc:Choice Requires="wpg">
                  <w:drawing>
                    <wp:anchor distT="0" distB="0" distL="0" distR="0" simplePos="0" relativeHeight="475333120" behindDoc="1" locked="0" layoutInCell="1" allowOverlap="1" wp14:anchorId="24D62C1D" wp14:editId="24D62C1E">
                      <wp:simplePos x="0" y="0"/>
                      <wp:positionH relativeFrom="column">
                        <wp:posOffset>1260347</wp:posOffset>
                      </wp:positionH>
                      <wp:positionV relativeFrom="paragraph">
                        <wp:posOffset>258572</wp:posOffset>
                      </wp:positionV>
                      <wp:extent cx="1183005" cy="635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21" name="Graphic 621"/>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B23CBF" id="Group 620" o:spid="_x0000_s1026" style="position:absolute;margin-left:99.25pt;margin-top:20.35pt;width:93.15pt;height:.5pt;z-index:-27983360;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">
                      <v:shape id="Graphic 621"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" path="m1182611,l,,,6096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286" w14:textId="77777777">
        <w:trPr>
          <w:trHeight w:val="794"/>
        </w:trPr>
        <w:tc>
          <w:tcPr>
            <w:tcW w:w="3868" w:type="dxa"/>
            <w:tcBorders>
              <w:right w:val="single" w:sz="4" w:space="0" w:color="000000"/>
            </w:tcBorders>
          </w:tcPr>
          <w:p w14:paraId="24D6127C" w14:textId="77777777" w:rsidR="00245300" w:rsidRPr="00EC20A0" w:rsidRDefault="00245300">
            <w:pPr>
              <w:pStyle w:val="TableParagraph"/>
              <w:spacing w:before="144"/>
            </w:pPr>
          </w:p>
          <w:p w14:paraId="24D6127D" w14:textId="77777777" w:rsidR="00245300" w:rsidRPr="00EC20A0" w:rsidRDefault="00F17249">
            <w:pPr>
              <w:pStyle w:val="TableParagraph"/>
              <w:spacing w:before="1"/>
              <w:ind w:left="97"/>
            </w:pPr>
            <w:r w:rsidRPr="00EC20A0">
              <w:t>Provision</w:t>
            </w:r>
            <w:r w:rsidRPr="00EC20A0">
              <w:rPr>
                <w:spacing w:val="-12"/>
              </w:rPr>
              <w:t xml:space="preserve"> </w:t>
            </w:r>
            <w:r w:rsidRPr="00EC20A0">
              <w:rPr>
                <w:spacing w:val="-2"/>
              </w:rPr>
              <w:t>Description</w:t>
            </w:r>
          </w:p>
        </w:tc>
        <w:tc>
          <w:tcPr>
            <w:tcW w:w="1776" w:type="dxa"/>
            <w:tcBorders>
              <w:left w:val="single" w:sz="4" w:space="0" w:color="000000"/>
              <w:right w:val="single" w:sz="4" w:space="0" w:color="000000"/>
            </w:tcBorders>
          </w:tcPr>
          <w:p w14:paraId="24D6127E" w14:textId="77777777" w:rsidR="00245300" w:rsidRPr="00EC20A0" w:rsidRDefault="00245300">
            <w:pPr>
              <w:pStyle w:val="TableParagraph"/>
              <w:spacing w:before="144"/>
            </w:pPr>
          </w:p>
          <w:p w14:paraId="24D6127F" w14:textId="77777777" w:rsidR="00245300" w:rsidRPr="00EC20A0" w:rsidRDefault="00F17249">
            <w:pPr>
              <w:pStyle w:val="TableParagraph"/>
              <w:spacing w:before="1"/>
              <w:ind w:left="107"/>
            </w:pPr>
            <w:r w:rsidRPr="00EC20A0">
              <w:rPr>
                <w:spacing w:val="-2"/>
              </w:rPr>
              <w:t>Objective</w:t>
            </w:r>
          </w:p>
        </w:tc>
        <w:tc>
          <w:tcPr>
            <w:tcW w:w="2201" w:type="dxa"/>
            <w:tcBorders>
              <w:left w:val="single" w:sz="4" w:space="0" w:color="000000"/>
              <w:right w:val="single" w:sz="4" w:space="0" w:color="000000"/>
            </w:tcBorders>
          </w:tcPr>
          <w:p w14:paraId="24D61280" w14:textId="77777777" w:rsidR="00245300" w:rsidRPr="00EC20A0" w:rsidRDefault="00245300">
            <w:pPr>
              <w:pStyle w:val="TableParagraph"/>
              <w:spacing w:before="144"/>
            </w:pPr>
          </w:p>
          <w:p w14:paraId="24D61281" w14:textId="77777777" w:rsidR="00245300" w:rsidRPr="00EC20A0" w:rsidRDefault="00F17249">
            <w:pPr>
              <w:pStyle w:val="TableParagraph"/>
              <w:spacing w:before="1"/>
              <w:ind w:left="106"/>
            </w:pPr>
            <w:r w:rsidRPr="00EC20A0">
              <w:t>Control</w:t>
            </w:r>
            <w:r w:rsidRPr="00EC20A0">
              <w:rPr>
                <w:spacing w:val="-9"/>
              </w:rPr>
              <w:t xml:space="preserve"> </w:t>
            </w:r>
            <w:r w:rsidRPr="00EC20A0">
              <w:rPr>
                <w:spacing w:val="-2"/>
              </w:rPr>
              <w:t>Activities</w:t>
            </w:r>
          </w:p>
        </w:tc>
        <w:tc>
          <w:tcPr>
            <w:tcW w:w="1519" w:type="dxa"/>
            <w:tcBorders>
              <w:left w:val="single" w:sz="4" w:space="0" w:color="000000"/>
              <w:right w:val="single" w:sz="4" w:space="0" w:color="000000"/>
            </w:tcBorders>
          </w:tcPr>
          <w:p w14:paraId="24D61282" w14:textId="77777777" w:rsidR="00245300" w:rsidRPr="00EC20A0" w:rsidRDefault="00245300">
            <w:pPr>
              <w:pStyle w:val="TableParagraph"/>
              <w:spacing w:before="144"/>
            </w:pPr>
          </w:p>
          <w:p w14:paraId="24D61283" w14:textId="77777777" w:rsidR="00245300" w:rsidRPr="00EC20A0" w:rsidRDefault="00F17249">
            <w:pPr>
              <w:pStyle w:val="TableParagraph"/>
              <w:spacing w:before="1"/>
              <w:ind w:left="107"/>
            </w:pPr>
            <w:r w:rsidRPr="00EC20A0">
              <w:t>IS</w:t>
            </w:r>
            <w:r w:rsidRPr="00EC20A0">
              <w:rPr>
                <w:spacing w:val="-3"/>
              </w:rPr>
              <w:t xml:space="preserve"> </w:t>
            </w:r>
            <w:r w:rsidRPr="00EC20A0">
              <w:rPr>
                <w:spacing w:val="-2"/>
              </w:rPr>
              <w:t>(Y/N)</w:t>
            </w:r>
          </w:p>
        </w:tc>
        <w:tc>
          <w:tcPr>
            <w:tcW w:w="1640" w:type="dxa"/>
            <w:tcBorders>
              <w:left w:val="single" w:sz="4" w:space="0" w:color="000000"/>
              <w:right w:val="single" w:sz="4" w:space="0" w:color="000000"/>
            </w:tcBorders>
          </w:tcPr>
          <w:p w14:paraId="24D61284" w14:textId="77777777" w:rsidR="00245300" w:rsidRPr="00EC20A0" w:rsidRDefault="00F17249">
            <w:pPr>
              <w:pStyle w:val="TableParagraph"/>
              <w:spacing w:before="144"/>
              <w:ind w:left="107" w:right="99"/>
            </w:pPr>
            <w:r w:rsidRPr="00EC20A0">
              <w:rPr>
                <w:spacing w:val="-2"/>
              </w:rPr>
              <w:t>Effective controls?</w:t>
            </w:r>
          </w:p>
        </w:tc>
        <w:tc>
          <w:tcPr>
            <w:tcW w:w="2172" w:type="dxa"/>
            <w:tcBorders>
              <w:left w:val="single" w:sz="4" w:space="0" w:color="000000"/>
            </w:tcBorders>
          </w:tcPr>
          <w:p w14:paraId="24D61285" w14:textId="77777777" w:rsidR="00245300" w:rsidRPr="00EC20A0" w:rsidRDefault="00F17249">
            <w:pPr>
              <w:pStyle w:val="TableParagraph"/>
              <w:spacing w:before="144"/>
              <w:ind w:left="107"/>
            </w:pPr>
            <w:r w:rsidRPr="00EC20A0">
              <w:t xml:space="preserve">Instances of </w:t>
            </w:r>
            <w:r w:rsidRPr="00EC20A0">
              <w:rPr>
                <w:spacing w:val="-2"/>
              </w:rPr>
              <w:t>noncompliance?</w:t>
            </w:r>
          </w:p>
        </w:tc>
      </w:tr>
      <w:tr w:rsidR="00245300" w:rsidRPr="00EC20A0" w14:paraId="24D61293" w14:textId="77777777">
        <w:trPr>
          <w:trHeight w:val="2232"/>
        </w:trPr>
        <w:tc>
          <w:tcPr>
            <w:tcW w:w="3868" w:type="dxa"/>
            <w:tcBorders>
              <w:bottom w:val="single" w:sz="4" w:space="0" w:color="000000"/>
              <w:right w:val="single" w:sz="4" w:space="0" w:color="000000"/>
            </w:tcBorders>
          </w:tcPr>
          <w:p w14:paraId="24D61287" w14:textId="77777777" w:rsidR="00245300" w:rsidRPr="00EC20A0" w:rsidRDefault="00F17249">
            <w:pPr>
              <w:pStyle w:val="TableParagraph"/>
              <w:spacing w:before="143"/>
              <w:ind w:left="817" w:right="135" w:hanging="720"/>
              <w:rPr>
                <w:sz w:val="18"/>
              </w:rPr>
            </w:pPr>
            <w:r w:rsidRPr="00EC20A0">
              <w:rPr>
                <w:smallCaps/>
                <w:sz w:val="18"/>
              </w:rPr>
              <w:t xml:space="preserve">808.01. </w:t>
            </w:r>
            <w:r w:rsidRPr="00EC20A0">
              <w:rPr>
                <w:smallCaps/>
                <w:spacing w:val="20"/>
                <w:sz w:val="18"/>
              </w:rPr>
              <w:t xml:space="preserve"> </w:t>
            </w:r>
            <w:r w:rsidRPr="00EC20A0">
              <w:rPr>
                <w:smallCaps/>
                <w:sz w:val="18"/>
              </w:rPr>
              <w:t>Entity Withholdings from</w:t>
            </w:r>
            <w:r w:rsidRPr="00EC20A0">
              <w:rPr>
                <w:smallCaps/>
                <w:spacing w:val="40"/>
                <w:sz w:val="18"/>
              </w:rPr>
              <w:t xml:space="preserve"> </w:t>
            </w:r>
            <w:r w:rsidRPr="00EC20A0">
              <w:rPr>
                <w:smallCaps/>
                <w:sz w:val="18"/>
              </w:rPr>
              <w:t>Employee</w:t>
            </w:r>
            <w:r w:rsidRPr="00EC20A0">
              <w:rPr>
                <w:smallCaps/>
                <w:spacing w:val="-10"/>
                <w:sz w:val="18"/>
              </w:rPr>
              <w:t xml:space="preserve"> </w:t>
            </w:r>
            <w:r w:rsidRPr="00EC20A0">
              <w:rPr>
                <w:smallCaps/>
                <w:sz w:val="18"/>
              </w:rPr>
              <w:t>Pay</w:t>
            </w:r>
            <w:r w:rsidRPr="00EC20A0">
              <w:rPr>
                <w:smallCaps/>
                <w:spacing w:val="-10"/>
                <w:sz w:val="18"/>
              </w:rPr>
              <w:t xml:space="preserve"> </w:t>
            </w:r>
            <w:r w:rsidRPr="00EC20A0">
              <w:rPr>
                <w:smallCaps/>
                <w:sz w:val="18"/>
              </w:rPr>
              <w:t>for</w:t>
            </w:r>
            <w:r w:rsidRPr="00EC20A0">
              <w:rPr>
                <w:smallCaps/>
                <w:spacing w:val="-10"/>
                <w:sz w:val="18"/>
              </w:rPr>
              <w:t xml:space="preserve"> </w:t>
            </w:r>
            <w:r w:rsidRPr="00EC20A0">
              <w:rPr>
                <w:smallCaps/>
                <w:sz w:val="18"/>
              </w:rPr>
              <w:t>Retirement</w:t>
            </w:r>
            <w:r w:rsidRPr="00EC20A0">
              <w:rPr>
                <w:smallCaps/>
                <w:spacing w:val="40"/>
                <w:sz w:val="18"/>
              </w:rPr>
              <w:t xml:space="preserve"> </w:t>
            </w:r>
            <w:r w:rsidRPr="00EC20A0">
              <w:rPr>
                <w:smallCaps/>
                <w:spacing w:val="-2"/>
                <w:sz w:val="18"/>
              </w:rPr>
              <w:t>Benefits.</w:t>
            </w:r>
          </w:p>
          <w:p w14:paraId="24D61288" w14:textId="77777777" w:rsidR="00245300" w:rsidRPr="00EC20A0" w:rsidRDefault="00F17249">
            <w:pPr>
              <w:pStyle w:val="TableParagraph"/>
              <w:spacing w:before="3" w:line="350" w:lineRule="atLeast"/>
              <w:ind w:left="97" w:right="629"/>
              <w:rPr>
                <w:sz w:val="18"/>
              </w:rPr>
            </w:pPr>
            <w:r w:rsidRPr="00EC20A0">
              <w:rPr>
                <w:sz w:val="18"/>
              </w:rPr>
              <w:t>Provision Type: Transaction-based.</w:t>
            </w:r>
            <w:r w:rsidRPr="00EC20A0">
              <w:rPr>
                <w:spacing w:val="40"/>
                <w:sz w:val="18"/>
              </w:rPr>
              <w:t xml:space="preserve"> </w:t>
            </w:r>
            <w:r w:rsidRPr="00EC20A0">
              <w:rPr>
                <w:sz w:val="18"/>
              </w:rPr>
              <w:t>For</w:t>
            </w:r>
            <w:r w:rsidRPr="00EC20A0">
              <w:rPr>
                <w:spacing w:val="-6"/>
                <w:sz w:val="18"/>
              </w:rPr>
              <w:t xml:space="preserve"> </w:t>
            </w:r>
            <w:r w:rsidRPr="00EC20A0">
              <w:rPr>
                <w:sz w:val="18"/>
              </w:rPr>
              <w:t>each</w:t>
            </w:r>
            <w:r w:rsidRPr="00EC20A0">
              <w:rPr>
                <w:spacing w:val="-7"/>
                <w:sz w:val="18"/>
              </w:rPr>
              <w:t xml:space="preserve"> </w:t>
            </w:r>
            <w:r w:rsidRPr="00EC20A0">
              <w:rPr>
                <w:sz w:val="18"/>
              </w:rPr>
              <w:t>employee</w:t>
            </w:r>
            <w:hyperlink w:anchor="_bookmark129" w:history="1">
              <w:r w:rsidRPr="00EC20A0">
                <w:rPr>
                  <w:position w:val="6"/>
                  <w:sz w:val="12"/>
                </w:rPr>
                <w:t>52</w:t>
              </w:r>
            </w:hyperlink>
            <w:r w:rsidRPr="00EC20A0">
              <w:rPr>
                <w:spacing w:val="11"/>
                <w:position w:val="6"/>
                <w:sz w:val="12"/>
              </w:rPr>
              <w:t xml:space="preserve"> </w:t>
            </w:r>
            <w:r w:rsidRPr="00EC20A0">
              <w:rPr>
                <w:sz w:val="18"/>
              </w:rPr>
              <w:t>employed</w:t>
            </w:r>
            <w:r w:rsidRPr="00EC20A0">
              <w:rPr>
                <w:spacing w:val="-7"/>
                <w:sz w:val="18"/>
              </w:rPr>
              <w:t xml:space="preserve"> </w:t>
            </w:r>
            <w:r w:rsidRPr="00EC20A0">
              <w:rPr>
                <w:sz w:val="18"/>
              </w:rPr>
              <w:t>prior</w:t>
            </w:r>
            <w:r w:rsidRPr="00EC20A0">
              <w:rPr>
                <w:spacing w:val="-6"/>
                <w:sz w:val="18"/>
              </w:rPr>
              <w:t xml:space="preserve"> </w:t>
            </w:r>
            <w:r w:rsidRPr="00EC20A0">
              <w:rPr>
                <w:sz w:val="18"/>
              </w:rPr>
              <w:t>to</w:t>
            </w:r>
          </w:p>
          <w:p w14:paraId="24D61289" w14:textId="77777777" w:rsidR="00245300" w:rsidRPr="00EC20A0" w:rsidRDefault="00F17249">
            <w:pPr>
              <w:pStyle w:val="TableParagraph"/>
              <w:spacing w:line="235" w:lineRule="auto"/>
              <w:ind w:left="97" w:right="128" w:hanging="1"/>
              <w:rPr>
                <w:sz w:val="18"/>
              </w:rPr>
            </w:pPr>
            <w:r w:rsidRPr="00EC20A0">
              <w:rPr>
                <w:sz w:val="18"/>
              </w:rPr>
              <w:t>January</w:t>
            </w:r>
            <w:r w:rsidRPr="00EC20A0">
              <w:rPr>
                <w:spacing w:val="-4"/>
                <w:sz w:val="18"/>
              </w:rPr>
              <w:t xml:space="preserve"> </w:t>
            </w:r>
            <w:r w:rsidRPr="00EC20A0">
              <w:rPr>
                <w:sz w:val="18"/>
              </w:rPr>
              <w:t>1,</w:t>
            </w:r>
            <w:r w:rsidRPr="00EC20A0">
              <w:rPr>
                <w:spacing w:val="-4"/>
                <w:sz w:val="18"/>
              </w:rPr>
              <w:t xml:space="preserve"> </w:t>
            </w:r>
            <w:r w:rsidRPr="00EC20A0">
              <w:rPr>
                <w:sz w:val="18"/>
              </w:rPr>
              <w:t>1984,</w:t>
            </w:r>
            <w:hyperlink w:anchor="_bookmark130" w:history="1">
              <w:r w:rsidRPr="00EC20A0">
                <w:rPr>
                  <w:position w:val="6"/>
                  <w:sz w:val="12"/>
                </w:rPr>
                <w:t>53</w:t>
              </w:r>
            </w:hyperlink>
            <w:r w:rsidRPr="00EC20A0">
              <w:rPr>
                <w:spacing w:val="13"/>
                <w:position w:val="6"/>
                <w:sz w:val="12"/>
              </w:rPr>
              <w:t xml:space="preserve"> </w:t>
            </w:r>
            <w:r w:rsidRPr="00EC20A0">
              <w:rPr>
                <w:sz w:val="18"/>
              </w:rPr>
              <w:t>the</w:t>
            </w:r>
            <w:r w:rsidRPr="00EC20A0">
              <w:rPr>
                <w:spacing w:val="-5"/>
                <w:sz w:val="18"/>
              </w:rPr>
              <w:t xml:space="preserve"> </w:t>
            </w:r>
            <w:r w:rsidRPr="00EC20A0">
              <w:rPr>
                <w:sz w:val="18"/>
              </w:rPr>
              <w:t>entity</w:t>
            </w:r>
            <w:r w:rsidRPr="00EC20A0">
              <w:rPr>
                <w:spacing w:val="-4"/>
                <w:sz w:val="18"/>
              </w:rPr>
              <w:t xml:space="preserve"> </w:t>
            </w:r>
            <w:r w:rsidRPr="00EC20A0">
              <w:rPr>
                <w:sz w:val="18"/>
              </w:rPr>
              <w:t>shall</w:t>
            </w:r>
            <w:r w:rsidRPr="00EC20A0">
              <w:rPr>
                <w:spacing w:val="-4"/>
                <w:sz w:val="18"/>
              </w:rPr>
              <w:t xml:space="preserve"> </w:t>
            </w:r>
            <w:r w:rsidRPr="00EC20A0">
              <w:rPr>
                <w:sz w:val="18"/>
              </w:rPr>
              <w:t>withhold</w:t>
            </w:r>
            <w:r w:rsidRPr="00EC20A0">
              <w:rPr>
                <w:spacing w:val="-5"/>
                <w:sz w:val="18"/>
              </w:rPr>
              <w:t xml:space="preserve"> </w:t>
            </w:r>
            <w:r w:rsidRPr="00EC20A0">
              <w:rPr>
                <w:sz w:val="18"/>
              </w:rPr>
              <w:t>a percentage</w:t>
            </w:r>
            <w:r w:rsidRPr="00EC20A0">
              <w:rPr>
                <w:spacing w:val="-4"/>
                <w:sz w:val="18"/>
              </w:rPr>
              <w:t xml:space="preserve"> </w:t>
            </w:r>
            <w:r w:rsidRPr="00EC20A0">
              <w:rPr>
                <w:sz w:val="18"/>
              </w:rPr>
              <w:t>of the</w:t>
            </w:r>
            <w:r w:rsidRPr="00EC20A0">
              <w:rPr>
                <w:spacing w:val="-2"/>
                <w:sz w:val="18"/>
              </w:rPr>
              <w:t xml:space="preserve"> </w:t>
            </w:r>
            <w:r w:rsidRPr="00EC20A0">
              <w:rPr>
                <w:sz w:val="18"/>
              </w:rPr>
              <w:t>employee’s</w:t>
            </w:r>
            <w:r w:rsidRPr="00EC20A0">
              <w:rPr>
                <w:spacing w:val="1"/>
                <w:sz w:val="18"/>
              </w:rPr>
              <w:t xml:space="preserve"> </w:t>
            </w:r>
            <w:r w:rsidRPr="00EC20A0">
              <w:rPr>
                <w:sz w:val="18"/>
              </w:rPr>
              <w:t>basic</w:t>
            </w:r>
            <w:r w:rsidRPr="00EC20A0">
              <w:rPr>
                <w:spacing w:val="-1"/>
                <w:sz w:val="18"/>
              </w:rPr>
              <w:t xml:space="preserve"> </w:t>
            </w:r>
            <w:r w:rsidRPr="00EC20A0">
              <w:rPr>
                <w:sz w:val="18"/>
              </w:rPr>
              <w:t>pay.</w:t>
            </w:r>
            <w:hyperlink w:anchor="_bookmark131" w:history="1">
              <w:r w:rsidRPr="00EC20A0">
                <w:rPr>
                  <w:position w:val="6"/>
                  <w:sz w:val="12"/>
                </w:rPr>
                <w:t>54</w:t>
              </w:r>
            </w:hyperlink>
            <w:r w:rsidRPr="00EC20A0">
              <w:rPr>
                <w:spacing w:val="17"/>
                <w:position w:val="6"/>
                <w:sz w:val="12"/>
              </w:rPr>
              <w:t xml:space="preserve"> </w:t>
            </w:r>
            <w:r w:rsidRPr="00EC20A0">
              <w:rPr>
                <w:spacing w:val="-10"/>
                <w:sz w:val="18"/>
              </w:rPr>
              <w:t>5</w:t>
            </w:r>
          </w:p>
          <w:p w14:paraId="24D6128A" w14:textId="77777777" w:rsidR="00245300" w:rsidRPr="00EC20A0" w:rsidRDefault="00F17249">
            <w:pPr>
              <w:pStyle w:val="TableParagraph"/>
              <w:spacing w:before="2"/>
              <w:ind w:left="97"/>
              <w:rPr>
                <w:sz w:val="18"/>
              </w:rPr>
            </w:pPr>
            <w:r w:rsidRPr="00EC20A0">
              <w:rPr>
                <w:sz w:val="18"/>
              </w:rPr>
              <w:t>U.S.C.</w:t>
            </w:r>
            <w:r w:rsidRPr="00EC20A0">
              <w:rPr>
                <w:spacing w:val="-2"/>
                <w:sz w:val="18"/>
              </w:rPr>
              <w:t xml:space="preserve"> </w:t>
            </w:r>
            <w:r w:rsidRPr="00EC20A0">
              <w:rPr>
                <w:sz w:val="18"/>
              </w:rPr>
              <w:t>§</w:t>
            </w:r>
            <w:r w:rsidRPr="00EC20A0">
              <w:rPr>
                <w:spacing w:val="-2"/>
                <w:sz w:val="18"/>
              </w:rPr>
              <w:t xml:space="preserve"> 8334(a)(1).</w:t>
            </w:r>
          </w:p>
        </w:tc>
        <w:tc>
          <w:tcPr>
            <w:tcW w:w="1776" w:type="dxa"/>
            <w:tcBorders>
              <w:left w:val="single" w:sz="4" w:space="0" w:color="000000"/>
              <w:bottom w:val="single" w:sz="4" w:space="0" w:color="000000"/>
              <w:right w:val="single" w:sz="4" w:space="0" w:color="000000"/>
            </w:tcBorders>
          </w:tcPr>
          <w:p w14:paraId="24D6128B" w14:textId="77777777" w:rsidR="00245300" w:rsidRPr="00EC20A0" w:rsidRDefault="00F17249">
            <w:pPr>
              <w:pStyle w:val="TableParagraph"/>
              <w:spacing w:before="143"/>
              <w:ind w:left="107" w:right="165"/>
              <w:rPr>
                <w:sz w:val="18"/>
              </w:rPr>
            </w:pPr>
            <w:r w:rsidRPr="00EC20A0">
              <w:rPr>
                <w:sz w:val="18"/>
              </w:rPr>
              <w:t>The appropriate amount</w:t>
            </w:r>
            <w:r w:rsidRPr="00EC20A0">
              <w:rPr>
                <w:spacing w:val="-15"/>
                <w:sz w:val="18"/>
              </w:rPr>
              <w:t xml:space="preserve"> </w:t>
            </w:r>
            <w:r w:rsidRPr="00EC20A0">
              <w:rPr>
                <w:sz w:val="18"/>
              </w:rPr>
              <w:t>is</w:t>
            </w:r>
            <w:r w:rsidRPr="00EC20A0">
              <w:rPr>
                <w:spacing w:val="-12"/>
                <w:sz w:val="18"/>
              </w:rPr>
              <w:t xml:space="preserve"> </w:t>
            </w:r>
            <w:r w:rsidRPr="00EC20A0">
              <w:rPr>
                <w:sz w:val="18"/>
              </w:rPr>
              <w:t xml:space="preserve">withheld from employee’s pay. </w:t>
            </w:r>
            <w:r w:rsidRPr="00EC20A0">
              <w:rPr>
                <w:sz w:val="18"/>
              </w:rPr>
              <w:t>(See footnotes 52</w:t>
            </w:r>
          </w:p>
          <w:p w14:paraId="24D6128C" w14:textId="77777777" w:rsidR="00245300" w:rsidRPr="00EC20A0" w:rsidRDefault="00F17249">
            <w:pPr>
              <w:pStyle w:val="TableParagraph"/>
              <w:spacing w:before="2"/>
              <w:ind w:left="107"/>
              <w:rPr>
                <w:sz w:val="18"/>
              </w:rPr>
            </w:pPr>
            <w:r w:rsidRPr="00EC20A0">
              <w:rPr>
                <w:sz w:val="18"/>
              </w:rPr>
              <w:t>through</w:t>
            </w:r>
            <w:r w:rsidRPr="00EC20A0">
              <w:rPr>
                <w:spacing w:val="-3"/>
                <w:sz w:val="18"/>
              </w:rPr>
              <w:t xml:space="preserve"> </w:t>
            </w:r>
            <w:r w:rsidRPr="00EC20A0">
              <w:rPr>
                <w:sz w:val="18"/>
              </w:rPr>
              <w:t>54</w:t>
            </w:r>
            <w:r w:rsidRPr="00EC20A0">
              <w:rPr>
                <w:spacing w:val="-2"/>
                <w:sz w:val="18"/>
              </w:rPr>
              <w:t xml:space="preserve"> below.)</w:t>
            </w:r>
          </w:p>
        </w:tc>
        <w:tc>
          <w:tcPr>
            <w:tcW w:w="2201" w:type="dxa"/>
            <w:tcBorders>
              <w:left w:val="single" w:sz="4" w:space="0" w:color="000000"/>
              <w:bottom w:val="single" w:sz="4" w:space="0" w:color="000000"/>
              <w:right w:val="single" w:sz="4" w:space="0" w:color="000000"/>
            </w:tcBorders>
          </w:tcPr>
          <w:p w14:paraId="24D6128D" w14:textId="77777777" w:rsidR="00245300" w:rsidRPr="00EC20A0" w:rsidRDefault="00F17249">
            <w:pPr>
              <w:pStyle w:val="TableParagraph"/>
              <w:spacing w:before="143"/>
              <w:ind w:left="106"/>
              <w:rPr>
                <w:sz w:val="18"/>
              </w:rPr>
            </w:pPr>
            <w:r w:rsidRPr="00EC20A0">
              <w:rPr>
                <w:sz w:val="18"/>
              </w:rPr>
              <w:t>[Document the control activities</w:t>
            </w:r>
            <w:r w:rsidRPr="00EC20A0">
              <w:rPr>
                <w:spacing w:val="-13"/>
                <w:sz w:val="18"/>
              </w:rPr>
              <w:t xml:space="preserve"> </w:t>
            </w:r>
            <w:r w:rsidRPr="00EC20A0">
              <w:rPr>
                <w:sz w:val="18"/>
              </w:rPr>
              <w:t>that</w:t>
            </w:r>
            <w:r w:rsidRPr="00EC20A0">
              <w:rPr>
                <w:spacing w:val="-12"/>
                <w:sz w:val="18"/>
              </w:rPr>
              <w:t xml:space="preserve"> </w:t>
            </w:r>
            <w:r w:rsidRPr="00EC20A0">
              <w:rPr>
                <w:sz w:val="18"/>
              </w:rPr>
              <w:t>the</w:t>
            </w:r>
            <w:r w:rsidRPr="00EC20A0">
              <w:rPr>
                <w:spacing w:val="-13"/>
                <w:sz w:val="18"/>
              </w:rPr>
              <w:t xml:space="preserve"> </w:t>
            </w:r>
            <w:r w:rsidRPr="00EC20A0">
              <w:rPr>
                <w:sz w:val="18"/>
              </w:rPr>
              <w:t xml:space="preserve">entity used to achieve the </w:t>
            </w:r>
            <w:r w:rsidRPr="00EC20A0">
              <w:rPr>
                <w:spacing w:val="-2"/>
                <w:sz w:val="18"/>
              </w:rPr>
              <w:t>objective.]</w:t>
            </w:r>
          </w:p>
        </w:tc>
        <w:tc>
          <w:tcPr>
            <w:tcW w:w="1519" w:type="dxa"/>
            <w:tcBorders>
              <w:left w:val="single" w:sz="4" w:space="0" w:color="000000"/>
              <w:bottom w:val="single" w:sz="4" w:space="0" w:color="000000"/>
              <w:right w:val="single" w:sz="4" w:space="0" w:color="000000"/>
            </w:tcBorders>
          </w:tcPr>
          <w:p w14:paraId="24D6128E" w14:textId="77777777" w:rsidR="00245300" w:rsidRPr="00EC20A0" w:rsidRDefault="00F17249">
            <w:pPr>
              <w:pStyle w:val="TableParagraph"/>
              <w:spacing w:before="143"/>
              <w:ind w:left="106" w:right="335"/>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640" w:type="dxa"/>
            <w:tcBorders>
              <w:left w:val="single" w:sz="4" w:space="0" w:color="000000"/>
              <w:bottom w:val="single" w:sz="4" w:space="0" w:color="000000"/>
              <w:right w:val="single" w:sz="4" w:space="0" w:color="000000"/>
            </w:tcBorders>
          </w:tcPr>
          <w:p w14:paraId="24D6128F" w14:textId="77777777" w:rsidR="00245300" w:rsidRPr="00EC20A0" w:rsidRDefault="00F17249">
            <w:pPr>
              <w:pStyle w:val="TableParagraph"/>
              <w:spacing w:before="143"/>
              <w:ind w:left="106" w:right="99"/>
              <w:rPr>
                <w:sz w:val="18"/>
              </w:rPr>
            </w:pPr>
            <w:r w:rsidRPr="00EC20A0">
              <w:rPr>
                <w:sz w:val="18"/>
              </w:rPr>
              <w:t xml:space="preserve">[Indicate yes or no; include reference to </w:t>
            </w:r>
            <w:r w:rsidRPr="00EC20A0">
              <w:rPr>
                <w:spacing w:val="-2"/>
                <w:sz w:val="18"/>
              </w:rPr>
              <w:t>supporting documentation.]</w:t>
            </w:r>
          </w:p>
        </w:tc>
        <w:tc>
          <w:tcPr>
            <w:tcW w:w="2172" w:type="dxa"/>
            <w:tcBorders>
              <w:left w:val="single" w:sz="4" w:space="0" w:color="000000"/>
              <w:bottom w:val="single" w:sz="4" w:space="0" w:color="000000"/>
            </w:tcBorders>
          </w:tcPr>
          <w:p w14:paraId="24D61290" w14:textId="77777777" w:rsidR="00245300" w:rsidRPr="00EC20A0" w:rsidRDefault="00F17249">
            <w:pPr>
              <w:pStyle w:val="TableParagraph"/>
              <w:spacing w:before="143"/>
              <w:ind w:left="107"/>
              <w:rPr>
                <w:sz w:val="18"/>
              </w:rPr>
            </w:pPr>
            <w:r w:rsidRPr="00EC20A0">
              <w:rPr>
                <w:sz w:val="18"/>
              </w:rPr>
              <w:t>[Indicate yes or no; include</w:t>
            </w:r>
            <w:r w:rsidRPr="00EC20A0">
              <w:rPr>
                <w:spacing w:val="-15"/>
                <w:sz w:val="18"/>
              </w:rPr>
              <w:t xml:space="preserve"> </w:t>
            </w:r>
            <w:r w:rsidRPr="00EC20A0">
              <w:rPr>
                <w:sz w:val="18"/>
              </w:rPr>
              <w:t>reference</w:t>
            </w:r>
            <w:r w:rsidRPr="00EC20A0">
              <w:rPr>
                <w:spacing w:val="-12"/>
                <w:sz w:val="18"/>
              </w:rPr>
              <w:t xml:space="preserve"> </w:t>
            </w:r>
            <w:r w:rsidRPr="00EC20A0">
              <w:rPr>
                <w:sz w:val="18"/>
              </w:rPr>
              <w:t xml:space="preserve">to </w:t>
            </w:r>
            <w:r w:rsidRPr="00EC20A0">
              <w:rPr>
                <w:spacing w:val="-2"/>
                <w:sz w:val="18"/>
              </w:rPr>
              <w:t>supporting documentation.]</w:t>
            </w:r>
          </w:p>
          <w:p w14:paraId="24D61291" w14:textId="77777777" w:rsidR="00245300" w:rsidRPr="00EC20A0" w:rsidRDefault="00F17249">
            <w:pPr>
              <w:pStyle w:val="TableParagraph"/>
              <w:spacing w:before="144"/>
              <w:ind w:left="107"/>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4"/>
                <w:sz w:val="18"/>
              </w:rPr>
              <w:t xml:space="preserve"> </w:t>
            </w:r>
            <w:r w:rsidRPr="00EC20A0">
              <w:rPr>
                <w:spacing w:val="-5"/>
                <w:sz w:val="18"/>
              </w:rPr>
              <w:t>808</w:t>
            </w:r>
          </w:p>
          <w:p w14:paraId="24D61292" w14:textId="77777777" w:rsidR="00245300" w:rsidRPr="00EC20A0" w:rsidRDefault="00F17249">
            <w:pPr>
              <w:pStyle w:val="TableParagraph"/>
              <w:spacing w:before="1"/>
              <w:ind w:left="107"/>
              <w:rPr>
                <w:sz w:val="18"/>
              </w:rPr>
            </w:pPr>
            <w:r w:rsidRPr="00EC20A0">
              <w:rPr>
                <w:sz w:val="18"/>
              </w:rPr>
              <w:t>step</w:t>
            </w:r>
            <w:r w:rsidRPr="00EC20A0">
              <w:rPr>
                <w:spacing w:val="-2"/>
                <w:sz w:val="18"/>
              </w:rPr>
              <w:t xml:space="preserve"> </w:t>
            </w:r>
            <w:r w:rsidRPr="00EC20A0">
              <w:rPr>
                <w:sz w:val="18"/>
              </w:rPr>
              <w:t xml:space="preserve">4 </w:t>
            </w:r>
            <w:r w:rsidRPr="00EC20A0">
              <w:rPr>
                <w:spacing w:val="-4"/>
                <w:sz w:val="18"/>
              </w:rPr>
              <w:t>(b).</w:t>
            </w:r>
          </w:p>
        </w:tc>
      </w:tr>
    </w:tbl>
    <w:p w14:paraId="24D61294" w14:textId="77777777" w:rsidR="00245300" w:rsidRPr="00EC20A0" w:rsidRDefault="00245300">
      <w:pPr>
        <w:pStyle w:val="BodyText"/>
        <w:rPr>
          <w:sz w:val="20"/>
        </w:rPr>
      </w:pPr>
    </w:p>
    <w:p w14:paraId="24D61295" w14:textId="77777777" w:rsidR="00245300" w:rsidRPr="00EC20A0" w:rsidRDefault="00245300">
      <w:pPr>
        <w:pStyle w:val="BodyText"/>
        <w:rPr>
          <w:sz w:val="20"/>
        </w:rPr>
      </w:pPr>
    </w:p>
    <w:p w14:paraId="24D61296" w14:textId="77777777" w:rsidR="00245300" w:rsidRPr="00EC20A0" w:rsidRDefault="00245300">
      <w:pPr>
        <w:pStyle w:val="BodyText"/>
        <w:rPr>
          <w:sz w:val="20"/>
        </w:rPr>
      </w:pPr>
    </w:p>
    <w:p w14:paraId="24D61297" w14:textId="77777777" w:rsidR="00245300" w:rsidRPr="00EC20A0" w:rsidRDefault="00245300">
      <w:pPr>
        <w:pStyle w:val="BodyText"/>
        <w:rPr>
          <w:sz w:val="20"/>
        </w:rPr>
      </w:pPr>
    </w:p>
    <w:p w14:paraId="24D61298" w14:textId="77777777" w:rsidR="00245300" w:rsidRPr="00EC20A0" w:rsidRDefault="00F17249">
      <w:pPr>
        <w:pStyle w:val="BodyText"/>
        <w:spacing w:before="37"/>
        <w:rPr>
          <w:sz w:val="20"/>
        </w:rPr>
      </w:pPr>
      <w:r w:rsidRPr="00EC20A0">
        <w:rPr>
          <w:noProof/>
        </w:rPr>
        <mc:AlternateContent>
          <mc:Choice Requires="wps">
            <w:drawing>
              <wp:anchor distT="0" distB="0" distL="0" distR="0" simplePos="0" relativeHeight="487678464" behindDoc="1" locked="0" layoutInCell="1" allowOverlap="1" wp14:anchorId="24D62C1F" wp14:editId="24D62C20">
                <wp:simplePos x="0" y="0"/>
                <wp:positionH relativeFrom="page">
                  <wp:posOffset>685800</wp:posOffset>
                </wp:positionH>
                <wp:positionV relativeFrom="paragraph">
                  <wp:posOffset>184840</wp:posOffset>
                </wp:positionV>
                <wp:extent cx="1828800" cy="6985"/>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92D81C" id="Graphic 622" o:spid="_x0000_s1026" style="position:absolute;margin-left:54pt;margin-top:14.55pt;width:2in;height:.55pt;z-index:-156380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" path="m1828800,l,,,6857r1828800,l1828800,xe" fillcolor="black" stroked="f">
                <v:path arrowok="t"/>
                <w10:wrap type="topAndBottom" anchorx="page"/>
              </v:shape>
            </w:pict>
          </mc:Fallback>
        </mc:AlternateContent>
      </w:r>
    </w:p>
    <w:p w14:paraId="24D61299" w14:textId="77777777" w:rsidR="00245300" w:rsidRPr="00EC20A0" w:rsidRDefault="00245300">
      <w:pPr>
        <w:pStyle w:val="BodyText"/>
        <w:spacing w:before="10"/>
        <w:rPr>
          <w:sz w:val="18"/>
        </w:rPr>
      </w:pPr>
    </w:p>
    <w:p w14:paraId="24D6129A" w14:textId="77777777" w:rsidR="00245300" w:rsidRPr="00EC20A0" w:rsidRDefault="00F17249">
      <w:pPr>
        <w:ind w:left="120"/>
        <w:rPr>
          <w:sz w:val="18"/>
        </w:rPr>
      </w:pPr>
      <w:r w:rsidRPr="00EC20A0">
        <w:rPr>
          <w:position w:val="7"/>
          <w:sz w:val="14"/>
        </w:rPr>
        <w:t>52</w:t>
      </w:r>
      <w:r w:rsidRPr="00EC20A0">
        <w:rPr>
          <w:sz w:val="18"/>
        </w:rPr>
        <w:t>For</w:t>
      </w:r>
      <w:r w:rsidRPr="00EC20A0">
        <w:rPr>
          <w:spacing w:val="-4"/>
          <w:sz w:val="18"/>
        </w:rPr>
        <w:t xml:space="preserve"> </w:t>
      </w:r>
      <w:r w:rsidRPr="00EC20A0">
        <w:rPr>
          <w:sz w:val="18"/>
        </w:rPr>
        <w:t>who</w:t>
      </w:r>
      <w:r w:rsidRPr="00EC20A0">
        <w:rPr>
          <w:spacing w:val="-3"/>
          <w:sz w:val="18"/>
        </w:rPr>
        <w:t xml:space="preserve"> </w:t>
      </w:r>
      <w:r w:rsidRPr="00EC20A0">
        <w:rPr>
          <w:sz w:val="18"/>
        </w:rPr>
        <w:t>qualifies</w:t>
      </w:r>
      <w:r w:rsidRPr="00EC20A0">
        <w:rPr>
          <w:spacing w:val="-2"/>
          <w:sz w:val="18"/>
        </w:rPr>
        <w:t xml:space="preserve"> </w:t>
      </w:r>
      <w:r w:rsidRPr="00EC20A0">
        <w:rPr>
          <w:sz w:val="18"/>
        </w:rPr>
        <w:t>as</w:t>
      </w:r>
      <w:r w:rsidRPr="00EC20A0">
        <w:rPr>
          <w:spacing w:val="-2"/>
          <w:sz w:val="18"/>
        </w:rPr>
        <w:t xml:space="preserve"> </w:t>
      </w:r>
      <w:r w:rsidRPr="00EC20A0">
        <w:rPr>
          <w:sz w:val="18"/>
        </w:rPr>
        <w:t>an</w:t>
      </w:r>
      <w:r w:rsidRPr="00EC20A0">
        <w:rPr>
          <w:spacing w:val="-3"/>
          <w:sz w:val="18"/>
        </w:rPr>
        <w:t xml:space="preserve"> </w:t>
      </w:r>
      <w:r w:rsidRPr="00EC20A0">
        <w:rPr>
          <w:sz w:val="18"/>
        </w:rPr>
        <w:t>employee</w:t>
      </w:r>
      <w:r w:rsidRPr="00EC20A0">
        <w:rPr>
          <w:spacing w:val="-3"/>
          <w:sz w:val="18"/>
        </w:rPr>
        <w:t xml:space="preserve"> </w:t>
      </w:r>
      <w:r w:rsidRPr="00EC20A0">
        <w:rPr>
          <w:sz w:val="18"/>
        </w:rPr>
        <w:t>for</w:t>
      </w:r>
      <w:r w:rsidRPr="00EC20A0">
        <w:rPr>
          <w:spacing w:val="-1"/>
          <w:sz w:val="18"/>
        </w:rPr>
        <w:t xml:space="preserve"> </w:t>
      </w:r>
      <w:r w:rsidRPr="00EC20A0">
        <w:rPr>
          <w:sz w:val="18"/>
        </w:rPr>
        <w:t>purposes</w:t>
      </w:r>
      <w:r w:rsidRPr="00EC20A0">
        <w:rPr>
          <w:spacing w:val="-2"/>
          <w:sz w:val="18"/>
        </w:rPr>
        <w:t xml:space="preserve"> </w:t>
      </w:r>
      <w:r w:rsidRPr="00EC20A0">
        <w:rPr>
          <w:sz w:val="18"/>
        </w:rPr>
        <w:t>of</w:t>
      </w:r>
      <w:r w:rsidRPr="00EC20A0">
        <w:rPr>
          <w:spacing w:val="-2"/>
          <w:sz w:val="18"/>
        </w:rPr>
        <w:t xml:space="preserve"> </w:t>
      </w:r>
      <w:r w:rsidRPr="00EC20A0">
        <w:rPr>
          <w:sz w:val="18"/>
        </w:rPr>
        <w:t>CSRA,</w:t>
      </w:r>
      <w:r w:rsidRPr="00EC20A0">
        <w:rPr>
          <w:spacing w:val="-2"/>
          <w:sz w:val="18"/>
        </w:rPr>
        <w:t xml:space="preserve"> </w:t>
      </w:r>
      <w:r w:rsidRPr="00EC20A0">
        <w:rPr>
          <w:sz w:val="18"/>
        </w:rPr>
        <w:t>see</w:t>
      </w:r>
      <w:r w:rsidRPr="00EC20A0">
        <w:rPr>
          <w:spacing w:val="-3"/>
          <w:sz w:val="18"/>
        </w:rPr>
        <w:t xml:space="preserve"> </w:t>
      </w:r>
      <w:r w:rsidRPr="00EC20A0">
        <w:rPr>
          <w:sz w:val="18"/>
        </w:rPr>
        <w:t>5</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8331(1).</w:t>
      </w:r>
    </w:p>
    <w:p w14:paraId="24D6129B" w14:textId="77777777" w:rsidR="00245300" w:rsidRPr="00EC20A0" w:rsidRDefault="00F17249">
      <w:pPr>
        <w:spacing w:before="134" w:line="249" w:lineRule="auto"/>
        <w:ind w:left="120" w:right="72" w:hanging="1"/>
        <w:rPr>
          <w:sz w:val="18"/>
        </w:rPr>
      </w:pPr>
      <w:r w:rsidRPr="00EC20A0">
        <w:rPr>
          <w:position w:val="7"/>
          <w:sz w:val="14"/>
        </w:rPr>
        <w:t>53</w:t>
      </w:r>
      <w:r w:rsidRPr="00EC20A0">
        <w:rPr>
          <w:sz w:val="18"/>
        </w:rPr>
        <w:t>Employees</w:t>
      </w:r>
      <w:r w:rsidRPr="00EC20A0">
        <w:rPr>
          <w:spacing w:val="-2"/>
          <w:sz w:val="18"/>
        </w:rPr>
        <w:t xml:space="preserve"> </w:t>
      </w:r>
      <w:r w:rsidRPr="00EC20A0">
        <w:rPr>
          <w:sz w:val="18"/>
        </w:rPr>
        <w:t>employed</w:t>
      </w:r>
      <w:r w:rsidRPr="00EC20A0">
        <w:rPr>
          <w:spacing w:val="-3"/>
          <w:sz w:val="18"/>
        </w:rPr>
        <w:t xml:space="preserve"> </w:t>
      </w:r>
      <w:r w:rsidRPr="00EC20A0">
        <w:rPr>
          <w:sz w:val="18"/>
        </w:rPr>
        <w:t>before</w:t>
      </w:r>
      <w:r w:rsidRPr="00EC20A0">
        <w:rPr>
          <w:spacing w:val="-1"/>
          <w:sz w:val="18"/>
        </w:rPr>
        <w:t xml:space="preserve"> </w:t>
      </w:r>
      <w:r w:rsidRPr="00EC20A0">
        <w:rPr>
          <w:sz w:val="18"/>
        </w:rPr>
        <w:t>January</w:t>
      </w:r>
      <w:r w:rsidRPr="00EC20A0">
        <w:rPr>
          <w:spacing w:val="-2"/>
          <w:sz w:val="18"/>
        </w:rPr>
        <w:t xml:space="preserve"> </w:t>
      </w:r>
      <w:r w:rsidRPr="00EC20A0">
        <w:rPr>
          <w:sz w:val="18"/>
        </w:rPr>
        <w:t>1,</w:t>
      </w:r>
      <w:r w:rsidRPr="00EC20A0">
        <w:rPr>
          <w:spacing w:val="-2"/>
          <w:sz w:val="18"/>
        </w:rPr>
        <w:t xml:space="preserve"> </w:t>
      </w:r>
      <w:r w:rsidRPr="00EC20A0">
        <w:rPr>
          <w:sz w:val="18"/>
        </w:rPr>
        <w:t>1984,</w:t>
      </w:r>
      <w:r w:rsidRPr="00EC20A0">
        <w:rPr>
          <w:spacing w:val="-2"/>
          <w:sz w:val="18"/>
        </w:rPr>
        <w:t xml:space="preserve"> </w:t>
      </w:r>
      <w:r w:rsidRPr="00EC20A0">
        <w:rPr>
          <w:sz w:val="18"/>
        </w:rPr>
        <w:t>are</w:t>
      </w:r>
      <w:r w:rsidRPr="00EC20A0">
        <w:rPr>
          <w:spacing w:val="-3"/>
          <w:sz w:val="18"/>
        </w:rPr>
        <w:t xml:space="preserve"> </w:t>
      </w:r>
      <w:r w:rsidRPr="00EC20A0">
        <w:rPr>
          <w:sz w:val="18"/>
        </w:rPr>
        <w:t>generally</w:t>
      </w:r>
      <w:r w:rsidRPr="00EC20A0">
        <w:rPr>
          <w:spacing w:val="-2"/>
          <w:sz w:val="18"/>
        </w:rPr>
        <w:t xml:space="preserve"> </w:t>
      </w:r>
      <w:r w:rsidRPr="00EC20A0">
        <w:rPr>
          <w:sz w:val="18"/>
        </w:rPr>
        <w:t>covered</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Civil</w:t>
      </w:r>
      <w:r w:rsidRPr="00EC20A0">
        <w:rPr>
          <w:spacing w:val="-2"/>
          <w:sz w:val="18"/>
        </w:rPr>
        <w:t xml:space="preserve"> </w:t>
      </w:r>
      <w:r w:rsidRPr="00EC20A0">
        <w:rPr>
          <w:sz w:val="18"/>
        </w:rPr>
        <w:t>Service</w:t>
      </w:r>
      <w:r w:rsidRPr="00EC20A0">
        <w:rPr>
          <w:spacing w:val="-1"/>
          <w:sz w:val="18"/>
        </w:rPr>
        <w:t xml:space="preserve"> </w:t>
      </w:r>
      <w:r w:rsidRPr="00EC20A0">
        <w:rPr>
          <w:sz w:val="18"/>
        </w:rPr>
        <w:t>Retirement</w:t>
      </w:r>
      <w:r w:rsidRPr="00EC20A0">
        <w:rPr>
          <w:spacing w:val="-2"/>
          <w:sz w:val="18"/>
        </w:rPr>
        <w:t xml:space="preserve"> </w:t>
      </w:r>
      <w:r w:rsidRPr="00EC20A0">
        <w:rPr>
          <w:sz w:val="18"/>
        </w:rPr>
        <w:t>Act</w:t>
      </w:r>
      <w:r w:rsidRPr="00EC20A0">
        <w:rPr>
          <w:spacing w:val="-2"/>
          <w:sz w:val="18"/>
        </w:rPr>
        <w:t xml:space="preserve"> </w:t>
      </w:r>
      <w:r w:rsidRPr="00EC20A0">
        <w:rPr>
          <w:sz w:val="18"/>
        </w:rPr>
        <w:t>(CSRA)</w:t>
      </w:r>
      <w:r w:rsidRPr="00EC20A0">
        <w:rPr>
          <w:spacing w:val="-2"/>
          <w:sz w:val="18"/>
        </w:rPr>
        <w:t xml:space="preserve"> </w:t>
      </w:r>
      <w:r w:rsidRPr="00EC20A0">
        <w:rPr>
          <w:sz w:val="18"/>
        </w:rPr>
        <w:t>and</w:t>
      </w:r>
      <w:r w:rsidRPr="00EC20A0">
        <w:rPr>
          <w:spacing w:val="-3"/>
          <w:sz w:val="18"/>
        </w:rPr>
        <w:t xml:space="preserve"> </w:t>
      </w:r>
      <w:r w:rsidRPr="00EC20A0">
        <w:rPr>
          <w:sz w:val="18"/>
        </w:rPr>
        <w:t>on</w:t>
      </w:r>
      <w:r w:rsidRPr="00EC20A0">
        <w:rPr>
          <w:spacing w:val="-3"/>
          <w:sz w:val="18"/>
        </w:rPr>
        <w:t xml:space="preserve"> </w:t>
      </w:r>
      <w:r w:rsidRPr="00EC20A0">
        <w:rPr>
          <w:sz w:val="18"/>
        </w:rPr>
        <w:t>and</w:t>
      </w:r>
      <w:r w:rsidRPr="00EC20A0">
        <w:rPr>
          <w:spacing w:val="-3"/>
          <w:sz w:val="18"/>
        </w:rPr>
        <w:t xml:space="preserve"> </w:t>
      </w:r>
      <w:r w:rsidRPr="00EC20A0">
        <w:rPr>
          <w:sz w:val="18"/>
        </w:rPr>
        <w:t>after</w:t>
      </w:r>
      <w:r w:rsidRPr="00EC20A0">
        <w:rPr>
          <w:spacing w:val="-2"/>
          <w:sz w:val="18"/>
        </w:rPr>
        <w:t xml:space="preserve"> </w:t>
      </w:r>
      <w:r w:rsidRPr="00EC20A0">
        <w:rPr>
          <w:sz w:val="18"/>
        </w:rPr>
        <w:t>that</w:t>
      </w:r>
      <w:r w:rsidRPr="00EC20A0">
        <w:rPr>
          <w:spacing w:val="-1"/>
          <w:sz w:val="18"/>
        </w:rPr>
        <w:t xml:space="preserve"> </w:t>
      </w:r>
      <w:r w:rsidRPr="00EC20A0">
        <w:rPr>
          <w:sz w:val="18"/>
        </w:rPr>
        <w:t>date</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Federal Employees’ Retirement System Act (FERSA), although some CSRA employees may have opted for coverage subject to FERSA.</w:t>
      </w:r>
    </w:p>
    <w:p w14:paraId="24D6129C" w14:textId="77777777" w:rsidR="00245300" w:rsidRPr="00EC20A0" w:rsidRDefault="00F17249">
      <w:pPr>
        <w:spacing w:before="117" w:line="249" w:lineRule="auto"/>
        <w:ind w:left="119"/>
        <w:rPr>
          <w:sz w:val="18"/>
        </w:rPr>
      </w:pPr>
      <w:r w:rsidRPr="00EC20A0">
        <w:rPr>
          <w:position w:val="7"/>
          <w:sz w:val="14"/>
        </w:rPr>
        <w:t>54</w:t>
      </w:r>
      <w:r w:rsidRPr="00EC20A0">
        <w:rPr>
          <w:sz w:val="18"/>
        </w:rPr>
        <w:t>The</w:t>
      </w:r>
      <w:r w:rsidRPr="00EC20A0">
        <w:rPr>
          <w:spacing w:val="-3"/>
          <w:sz w:val="18"/>
        </w:rPr>
        <w:t xml:space="preserve"> </w:t>
      </w:r>
      <w:r w:rsidRPr="00EC20A0">
        <w:rPr>
          <w:sz w:val="18"/>
        </w:rPr>
        <w:t>percentage</w:t>
      </w:r>
      <w:r w:rsidRPr="00EC20A0">
        <w:rPr>
          <w:spacing w:val="-3"/>
          <w:sz w:val="18"/>
        </w:rPr>
        <w:t xml:space="preserve"> </w:t>
      </w:r>
      <w:r w:rsidRPr="00EC20A0">
        <w:rPr>
          <w:sz w:val="18"/>
        </w:rPr>
        <w:t>to</w:t>
      </w:r>
      <w:r w:rsidRPr="00EC20A0">
        <w:rPr>
          <w:spacing w:val="-3"/>
          <w:sz w:val="18"/>
        </w:rPr>
        <w:t xml:space="preserve"> </w:t>
      </w:r>
      <w:r w:rsidRPr="00EC20A0">
        <w:rPr>
          <w:sz w:val="18"/>
        </w:rPr>
        <w:t>be</w:t>
      </w:r>
      <w:r w:rsidRPr="00EC20A0">
        <w:rPr>
          <w:spacing w:val="-3"/>
          <w:sz w:val="18"/>
        </w:rPr>
        <w:t xml:space="preserve"> </w:t>
      </w:r>
      <w:r w:rsidRPr="00EC20A0">
        <w:rPr>
          <w:sz w:val="18"/>
        </w:rPr>
        <w:t>withheld</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3"/>
          <w:sz w:val="18"/>
        </w:rPr>
        <w:t xml:space="preserve"> </w:t>
      </w:r>
      <w:r w:rsidRPr="00EC20A0">
        <w:rPr>
          <w:sz w:val="18"/>
        </w:rPr>
        <w:t>service</w:t>
      </w:r>
      <w:r w:rsidRPr="00EC20A0">
        <w:rPr>
          <w:spacing w:val="-3"/>
          <w:sz w:val="18"/>
        </w:rPr>
        <w:t xml:space="preserve"> </w:t>
      </w:r>
      <w:r w:rsidRPr="00EC20A0">
        <w:rPr>
          <w:sz w:val="18"/>
        </w:rPr>
        <w:t>period</w:t>
      </w:r>
      <w:r w:rsidRPr="00EC20A0">
        <w:rPr>
          <w:spacing w:val="-3"/>
          <w:sz w:val="18"/>
        </w:rPr>
        <w:t xml:space="preserve"> </w:t>
      </w:r>
      <w:r w:rsidRPr="00EC20A0">
        <w:rPr>
          <w:sz w:val="18"/>
        </w:rPr>
        <w:t>for</w:t>
      </w:r>
      <w:r w:rsidRPr="00EC20A0">
        <w:rPr>
          <w:spacing w:val="-2"/>
          <w:sz w:val="18"/>
        </w:rPr>
        <w:t xml:space="preserve"> </w:t>
      </w:r>
      <w:r w:rsidRPr="00EC20A0">
        <w:rPr>
          <w:sz w:val="18"/>
        </w:rPr>
        <w:t>(1)</w:t>
      </w:r>
      <w:r w:rsidRPr="00EC20A0">
        <w:rPr>
          <w:spacing w:val="-1"/>
          <w:sz w:val="18"/>
        </w:rPr>
        <w:t xml:space="preserve"> </w:t>
      </w:r>
      <w:r w:rsidRPr="00EC20A0">
        <w:rPr>
          <w:sz w:val="18"/>
        </w:rPr>
        <w:t>most</w:t>
      </w:r>
      <w:r w:rsidRPr="00EC20A0">
        <w:rPr>
          <w:spacing w:val="-2"/>
          <w:sz w:val="18"/>
        </w:rPr>
        <w:t xml:space="preserve"> </w:t>
      </w:r>
      <w:r w:rsidRPr="00EC20A0">
        <w:rPr>
          <w:sz w:val="18"/>
        </w:rPr>
        <w:t>executive</w:t>
      </w:r>
      <w:r w:rsidRPr="00EC20A0">
        <w:rPr>
          <w:spacing w:val="-3"/>
          <w:sz w:val="18"/>
        </w:rPr>
        <w:t xml:space="preserve"> </w:t>
      </w:r>
      <w:r w:rsidRPr="00EC20A0">
        <w:rPr>
          <w:sz w:val="18"/>
        </w:rPr>
        <w:t>branch</w:t>
      </w:r>
      <w:r w:rsidRPr="00EC20A0">
        <w:rPr>
          <w:spacing w:val="-3"/>
          <w:sz w:val="18"/>
        </w:rPr>
        <w:t xml:space="preserve"> </w:t>
      </w:r>
      <w:r w:rsidRPr="00EC20A0">
        <w:rPr>
          <w:sz w:val="18"/>
        </w:rPr>
        <w:t>employees</w:t>
      </w:r>
      <w:r w:rsidRPr="00EC20A0">
        <w:rPr>
          <w:spacing w:val="-2"/>
          <w:sz w:val="18"/>
        </w:rPr>
        <w:t xml:space="preserve"> </w:t>
      </w:r>
      <w:r w:rsidRPr="00EC20A0">
        <w:rPr>
          <w:sz w:val="18"/>
        </w:rPr>
        <w:t>is</w:t>
      </w:r>
      <w:r w:rsidRPr="00EC20A0">
        <w:rPr>
          <w:spacing w:val="-2"/>
          <w:sz w:val="18"/>
        </w:rPr>
        <w:t xml:space="preserve"> </w:t>
      </w:r>
      <w:r w:rsidRPr="00EC20A0">
        <w:rPr>
          <w:sz w:val="18"/>
        </w:rPr>
        <w:t>7</w:t>
      </w:r>
      <w:r w:rsidRPr="00EC20A0">
        <w:rPr>
          <w:spacing w:val="-3"/>
          <w:sz w:val="18"/>
        </w:rPr>
        <w:t xml:space="preserve"> </w:t>
      </w:r>
      <w:r w:rsidRPr="00EC20A0">
        <w:rPr>
          <w:sz w:val="18"/>
        </w:rPr>
        <w:t>percent;</w:t>
      </w:r>
      <w:r w:rsidRPr="00EC20A0">
        <w:rPr>
          <w:spacing w:val="-1"/>
          <w:sz w:val="18"/>
        </w:rPr>
        <w:t xml:space="preserve"> </w:t>
      </w:r>
      <w:r w:rsidRPr="00EC20A0">
        <w:rPr>
          <w:sz w:val="18"/>
        </w:rPr>
        <w:t>(2)</w:t>
      </w:r>
      <w:r w:rsidRPr="00EC20A0">
        <w:rPr>
          <w:spacing w:val="-2"/>
          <w:sz w:val="18"/>
        </w:rPr>
        <w:t xml:space="preserve"> </w:t>
      </w:r>
      <w:r w:rsidRPr="00EC20A0">
        <w:rPr>
          <w:sz w:val="18"/>
        </w:rPr>
        <w:t>congressional</w:t>
      </w:r>
      <w:r w:rsidRPr="00EC20A0">
        <w:rPr>
          <w:spacing w:val="-2"/>
          <w:sz w:val="18"/>
        </w:rPr>
        <w:t xml:space="preserve"> </w:t>
      </w:r>
      <w:r w:rsidRPr="00EC20A0">
        <w:rPr>
          <w:sz w:val="18"/>
        </w:rPr>
        <w:t>employees,</w:t>
      </w:r>
      <w:r w:rsidRPr="00EC20A0">
        <w:rPr>
          <w:spacing w:val="-2"/>
          <w:sz w:val="18"/>
        </w:rPr>
        <w:t xml:space="preserve"> </w:t>
      </w:r>
      <w:r w:rsidRPr="00EC20A0">
        <w:rPr>
          <w:sz w:val="18"/>
        </w:rPr>
        <w:t>firefighters,</w:t>
      </w:r>
      <w:r w:rsidRPr="00EC20A0">
        <w:rPr>
          <w:spacing w:val="-2"/>
          <w:sz w:val="18"/>
        </w:rPr>
        <w:t xml:space="preserve"> </w:t>
      </w:r>
      <w:r w:rsidRPr="00EC20A0">
        <w:rPr>
          <w:sz w:val="18"/>
        </w:rPr>
        <w:t>and</w:t>
      </w:r>
      <w:r w:rsidRPr="00EC20A0">
        <w:rPr>
          <w:spacing w:val="-3"/>
          <w:sz w:val="18"/>
        </w:rPr>
        <w:t xml:space="preserve"> </w:t>
      </w:r>
      <w:r w:rsidRPr="00EC20A0">
        <w:rPr>
          <w:sz w:val="18"/>
        </w:rPr>
        <w:t>law enforcement personnel is 7.5 percent; and (3) Members of the Congress is 8 percent. 5 U.S.C. § 8334(a)(1).</w:t>
      </w:r>
    </w:p>
    <w:p w14:paraId="24D6129D" w14:textId="77777777" w:rsidR="00245300" w:rsidRPr="00EC20A0" w:rsidRDefault="00245300">
      <w:pPr>
        <w:spacing w:line="249" w:lineRule="auto"/>
        <w:rPr>
          <w:sz w:val="18"/>
        </w:rPr>
        <w:sectPr w:rsidR="00245300" w:rsidRPr="00EC20A0">
          <w:headerReference w:type="default" r:id="rId119"/>
          <w:footerReference w:type="default" r:id="rId120"/>
          <w:pgSz w:w="15840" w:h="12240" w:orient="landscape"/>
          <w:pgMar w:top="1380" w:right="1420" w:bottom="940" w:left="960" w:header="721" w:footer="742" w:gutter="0"/>
          <w:pgNumType w:start="1"/>
          <w:cols w:space="720"/>
        </w:sectPr>
      </w:pPr>
    </w:p>
    <w:p w14:paraId="24D6129E" w14:textId="77777777" w:rsidR="00245300" w:rsidRPr="00EC20A0" w:rsidRDefault="00245300">
      <w:pPr>
        <w:pStyle w:val="BodyText"/>
        <w:spacing w:before="9"/>
        <w:rPr>
          <w:sz w:val="7"/>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245300" w:rsidRPr="00EC20A0" w14:paraId="24D612A2" w14:textId="77777777">
        <w:trPr>
          <w:trHeight w:val="1574"/>
        </w:trPr>
        <w:tc>
          <w:tcPr>
            <w:tcW w:w="13176" w:type="dxa"/>
            <w:gridSpan w:val="6"/>
          </w:tcPr>
          <w:p w14:paraId="24D6129F" w14:textId="77777777" w:rsidR="00245300" w:rsidRPr="00EC20A0" w:rsidRDefault="00F17249">
            <w:pPr>
              <w:pStyle w:val="TableParagraph"/>
              <w:tabs>
                <w:tab w:val="left" w:pos="9184"/>
              </w:tabs>
              <w:spacing w:before="144"/>
              <w:ind w:right="192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12A0" w14:textId="77777777" w:rsidR="00245300" w:rsidRPr="00EC20A0" w:rsidRDefault="00F17249">
            <w:pPr>
              <w:pStyle w:val="TableParagraph"/>
              <w:spacing w:before="12"/>
              <w:ind w:left="1947" w:right="1925"/>
              <w:jc w:val="center"/>
              <w:rPr>
                <w:b/>
                <w:sz w:val="24"/>
              </w:rPr>
            </w:pPr>
            <w:r w:rsidRPr="00EC20A0">
              <w:rPr>
                <w:noProof/>
              </w:rPr>
              <mc:AlternateContent>
                <mc:Choice Requires="wpg">
                  <w:drawing>
                    <wp:anchor distT="0" distB="0" distL="0" distR="0" simplePos="0" relativeHeight="475334656" behindDoc="1" locked="0" layoutInCell="1" allowOverlap="1" wp14:anchorId="24D62C21" wp14:editId="24D62C22">
                      <wp:simplePos x="0" y="0"/>
                      <wp:positionH relativeFrom="column">
                        <wp:posOffset>6953250</wp:posOffset>
                      </wp:positionH>
                      <wp:positionV relativeFrom="paragraph">
                        <wp:posOffset>91882</wp:posOffset>
                      </wp:positionV>
                      <wp:extent cx="1344930" cy="6350"/>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24" name="Graphic 62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CD2528" id="Group 623" o:spid="_x0000_s1026" style="position:absolute;margin-left:547.5pt;margin-top:7.25pt;width:105.9pt;height:.5pt;z-index:-2798182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">
                      <v:shape id="Graphic 62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35680" behindDoc="1" locked="0" layoutInCell="1" allowOverlap="1" wp14:anchorId="24D62C23" wp14:editId="24D62C24">
                      <wp:simplePos x="0" y="0"/>
                      <wp:positionH relativeFrom="column">
                        <wp:posOffset>6953250</wp:posOffset>
                      </wp:positionH>
                      <wp:positionV relativeFrom="paragraph">
                        <wp:posOffset>441640</wp:posOffset>
                      </wp:positionV>
                      <wp:extent cx="1344930" cy="6350"/>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26" name="Graphic 626"/>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71E6E3" id="Group 625" o:spid="_x0000_s1026" style="position:absolute;margin-left:547.5pt;margin-top:34.75pt;width:105.9pt;height:.5pt;z-index:-2798080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">
                      <v:shape id="Graphic 626"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2A1" w14:textId="77777777" w:rsidR="00245300" w:rsidRPr="00EC20A0" w:rsidRDefault="00F17249">
            <w:pPr>
              <w:pStyle w:val="TableParagraph"/>
              <w:tabs>
                <w:tab w:val="left" w:pos="8878"/>
              </w:tabs>
              <w:spacing w:before="10"/>
              <w:ind w:right="1681"/>
              <w:jc w:val="center"/>
            </w:pPr>
            <w:r w:rsidRPr="00EC20A0">
              <w:rPr>
                <w:noProof/>
              </w:rPr>
              <mc:AlternateContent>
                <mc:Choice Requires="wpg">
                  <w:drawing>
                    <wp:anchor distT="0" distB="0" distL="0" distR="0" simplePos="0" relativeHeight="475334144" behindDoc="1" locked="0" layoutInCell="1" allowOverlap="1" wp14:anchorId="24D62C25" wp14:editId="24D62C26">
                      <wp:simplePos x="0" y="0"/>
                      <wp:positionH relativeFrom="column">
                        <wp:posOffset>1260347</wp:posOffset>
                      </wp:positionH>
                      <wp:positionV relativeFrom="paragraph">
                        <wp:posOffset>-91198</wp:posOffset>
                      </wp:positionV>
                      <wp:extent cx="1183005" cy="6350"/>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28" name="Graphic 62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DD9C5E" id="Group 627" o:spid="_x0000_s1026" style="position:absolute;margin-left:99.25pt;margin-top:-7.2pt;width:93.15pt;height:.5pt;z-index:-2798233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">
                      <v:shape id="Graphic 62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35168" behindDoc="1" locked="0" layoutInCell="1" allowOverlap="1" wp14:anchorId="24D62C27" wp14:editId="24D62C28">
                      <wp:simplePos x="0" y="0"/>
                      <wp:positionH relativeFrom="column">
                        <wp:posOffset>1260347</wp:posOffset>
                      </wp:positionH>
                      <wp:positionV relativeFrom="paragraph">
                        <wp:posOffset>258559</wp:posOffset>
                      </wp:positionV>
                      <wp:extent cx="1183005" cy="635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30" name="Graphic 63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43C8F0" id="Group 629" o:spid="_x0000_s1026" style="position:absolute;margin-left:99.25pt;margin-top:20.35pt;width:93.15pt;height:.5pt;z-index:-2798131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">
                      <v:shape id="Graphic 63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" path="m1182611,l,,,6108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2AD" w14:textId="77777777">
        <w:trPr>
          <w:trHeight w:val="793"/>
        </w:trPr>
        <w:tc>
          <w:tcPr>
            <w:tcW w:w="3868" w:type="dxa"/>
            <w:tcBorders>
              <w:right w:val="single" w:sz="4" w:space="0" w:color="000000"/>
            </w:tcBorders>
          </w:tcPr>
          <w:p w14:paraId="24D612A3" w14:textId="77777777" w:rsidR="00245300" w:rsidRPr="00EC20A0" w:rsidRDefault="00245300">
            <w:pPr>
              <w:pStyle w:val="TableParagraph"/>
              <w:spacing w:before="143"/>
            </w:pPr>
          </w:p>
          <w:p w14:paraId="24D612A4" w14:textId="77777777" w:rsidR="00245300" w:rsidRPr="00EC20A0" w:rsidRDefault="00F17249">
            <w:pPr>
              <w:pStyle w:val="TableParagraph"/>
              <w:ind w:left="97"/>
            </w:pPr>
            <w:r w:rsidRPr="00EC20A0">
              <w:t>Provision</w:t>
            </w:r>
            <w:r w:rsidRPr="00EC20A0">
              <w:rPr>
                <w:spacing w:val="-12"/>
              </w:rPr>
              <w:t xml:space="preserve"> </w:t>
            </w:r>
            <w:r w:rsidRPr="00EC20A0">
              <w:rPr>
                <w:spacing w:val="-2"/>
              </w:rPr>
              <w:t>Description</w:t>
            </w:r>
          </w:p>
        </w:tc>
        <w:tc>
          <w:tcPr>
            <w:tcW w:w="1776" w:type="dxa"/>
            <w:tcBorders>
              <w:left w:val="single" w:sz="4" w:space="0" w:color="000000"/>
              <w:right w:val="single" w:sz="4" w:space="0" w:color="000000"/>
            </w:tcBorders>
          </w:tcPr>
          <w:p w14:paraId="24D612A5" w14:textId="77777777" w:rsidR="00245300" w:rsidRPr="00EC20A0" w:rsidRDefault="00245300">
            <w:pPr>
              <w:pStyle w:val="TableParagraph"/>
              <w:spacing w:before="143"/>
            </w:pPr>
          </w:p>
          <w:p w14:paraId="24D612A6" w14:textId="77777777" w:rsidR="00245300" w:rsidRPr="00EC20A0" w:rsidRDefault="00F17249">
            <w:pPr>
              <w:pStyle w:val="TableParagraph"/>
              <w:ind w:left="107"/>
            </w:pPr>
            <w:r w:rsidRPr="00EC20A0">
              <w:rPr>
                <w:spacing w:val="-2"/>
              </w:rPr>
              <w:t>Objective</w:t>
            </w:r>
          </w:p>
        </w:tc>
        <w:tc>
          <w:tcPr>
            <w:tcW w:w="2201" w:type="dxa"/>
            <w:tcBorders>
              <w:left w:val="single" w:sz="4" w:space="0" w:color="000000"/>
              <w:right w:val="single" w:sz="4" w:space="0" w:color="000000"/>
            </w:tcBorders>
          </w:tcPr>
          <w:p w14:paraId="24D612A7" w14:textId="77777777" w:rsidR="00245300" w:rsidRPr="00EC20A0" w:rsidRDefault="00245300">
            <w:pPr>
              <w:pStyle w:val="TableParagraph"/>
              <w:spacing w:before="143"/>
            </w:pPr>
          </w:p>
          <w:p w14:paraId="24D612A8" w14:textId="77777777" w:rsidR="00245300" w:rsidRPr="00EC20A0" w:rsidRDefault="00F17249">
            <w:pPr>
              <w:pStyle w:val="TableParagraph"/>
              <w:ind w:left="106"/>
            </w:pPr>
            <w:r w:rsidRPr="00EC20A0">
              <w:t>Control</w:t>
            </w:r>
            <w:r w:rsidRPr="00EC20A0">
              <w:rPr>
                <w:spacing w:val="-9"/>
              </w:rPr>
              <w:t xml:space="preserve"> </w:t>
            </w:r>
            <w:r w:rsidRPr="00EC20A0">
              <w:rPr>
                <w:spacing w:val="-2"/>
              </w:rPr>
              <w:t>Activities</w:t>
            </w:r>
          </w:p>
        </w:tc>
        <w:tc>
          <w:tcPr>
            <w:tcW w:w="1519" w:type="dxa"/>
            <w:tcBorders>
              <w:left w:val="single" w:sz="4" w:space="0" w:color="000000"/>
              <w:right w:val="single" w:sz="4" w:space="0" w:color="000000"/>
            </w:tcBorders>
          </w:tcPr>
          <w:p w14:paraId="24D612A9" w14:textId="77777777" w:rsidR="00245300" w:rsidRPr="00EC20A0" w:rsidRDefault="00245300">
            <w:pPr>
              <w:pStyle w:val="TableParagraph"/>
              <w:spacing w:before="143"/>
            </w:pPr>
          </w:p>
          <w:p w14:paraId="24D612AA"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640" w:type="dxa"/>
            <w:tcBorders>
              <w:left w:val="single" w:sz="4" w:space="0" w:color="000000"/>
              <w:right w:val="single" w:sz="4" w:space="0" w:color="000000"/>
            </w:tcBorders>
          </w:tcPr>
          <w:p w14:paraId="24D612AB" w14:textId="77777777" w:rsidR="00245300" w:rsidRPr="00EC20A0" w:rsidRDefault="00F17249">
            <w:pPr>
              <w:pStyle w:val="TableParagraph"/>
              <w:spacing w:before="143"/>
              <w:ind w:left="107" w:right="99"/>
            </w:pPr>
            <w:r w:rsidRPr="00EC20A0">
              <w:rPr>
                <w:spacing w:val="-2"/>
              </w:rPr>
              <w:t>Effective controls?</w:t>
            </w:r>
          </w:p>
        </w:tc>
        <w:tc>
          <w:tcPr>
            <w:tcW w:w="2172" w:type="dxa"/>
            <w:tcBorders>
              <w:left w:val="single" w:sz="4" w:space="0" w:color="000000"/>
            </w:tcBorders>
          </w:tcPr>
          <w:p w14:paraId="24D612AC"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2B7" w14:textId="77777777">
        <w:trPr>
          <w:trHeight w:val="2854"/>
        </w:trPr>
        <w:tc>
          <w:tcPr>
            <w:tcW w:w="3868" w:type="dxa"/>
            <w:tcBorders>
              <w:bottom w:val="single" w:sz="4" w:space="0" w:color="000000"/>
              <w:right w:val="single" w:sz="4" w:space="0" w:color="000000"/>
            </w:tcBorders>
          </w:tcPr>
          <w:p w14:paraId="24D612AE" w14:textId="77777777" w:rsidR="00245300" w:rsidRPr="00EC20A0" w:rsidRDefault="00F17249">
            <w:pPr>
              <w:pStyle w:val="TableParagraph"/>
              <w:spacing w:before="143"/>
              <w:ind w:left="817" w:hanging="720"/>
              <w:rPr>
                <w:sz w:val="18"/>
              </w:rPr>
            </w:pPr>
            <w:r w:rsidRPr="00EC20A0">
              <w:rPr>
                <w:smallCaps/>
                <w:sz w:val="18"/>
              </w:rPr>
              <w:t>808.02.</w:t>
            </w:r>
            <w:r w:rsidRPr="00EC20A0">
              <w:rPr>
                <w:smallCaps/>
                <w:spacing w:val="-2"/>
                <w:sz w:val="18"/>
              </w:rPr>
              <w:t xml:space="preserve"> </w:t>
            </w:r>
            <w:r w:rsidRPr="00EC20A0">
              <w:rPr>
                <w:smallCaps/>
                <w:spacing w:val="16"/>
                <w:sz w:val="18"/>
              </w:rPr>
              <w:t xml:space="preserve"> </w:t>
            </w:r>
            <w:r w:rsidRPr="00EC20A0">
              <w:rPr>
                <w:smallCaps/>
                <w:sz w:val="18"/>
              </w:rPr>
              <w:t>Entity</w:t>
            </w:r>
            <w:r w:rsidRPr="00EC20A0">
              <w:rPr>
                <w:smallCaps/>
                <w:spacing w:val="-3"/>
                <w:sz w:val="18"/>
              </w:rPr>
              <w:t xml:space="preserve"> </w:t>
            </w:r>
            <w:r w:rsidRPr="00EC20A0">
              <w:rPr>
                <w:smallCaps/>
                <w:sz w:val="18"/>
              </w:rPr>
              <w:t>Contributions</w:t>
            </w:r>
            <w:r w:rsidRPr="00EC20A0">
              <w:rPr>
                <w:smallCaps/>
                <w:spacing w:val="-4"/>
                <w:sz w:val="18"/>
              </w:rPr>
              <w:t xml:space="preserve"> </w:t>
            </w:r>
            <w:r w:rsidRPr="00EC20A0">
              <w:rPr>
                <w:smallCaps/>
                <w:sz w:val="18"/>
              </w:rPr>
              <w:t>for</w:t>
            </w:r>
            <w:r w:rsidRPr="00EC20A0">
              <w:rPr>
                <w:smallCaps/>
                <w:spacing w:val="-2"/>
                <w:sz w:val="18"/>
              </w:rPr>
              <w:t xml:space="preserve"> </w:t>
            </w:r>
            <w:r w:rsidRPr="00EC20A0">
              <w:rPr>
                <w:smallCaps/>
                <w:sz w:val="18"/>
              </w:rPr>
              <w:t>Employee</w:t>
            </w:r>
            <w:r w:rsidRPr="00EC20A0">
              <w:rPr>
                <w:smallCaps/>
                <w:spacing w:val="40"/>
                <w:sz w:val="18"/>
              </w:rPr>
              <w:t xml:space="preserve"> </w:t>
            </w:r>
            <w:r w:rsidRPr="00EC20A0">
              <w:rPr>
                <w:smallCaps/>
                <w:sz w:val="18"/>
              </w:rPr>
              <w:t>Retirement Benefits.</w:t>
            </w:r>
          </w:p>
          <w:p w14:paraId="24D612AF" w14:textId="77777777" w:rsidR="00245300" w:rsidRPr="00EC20A0" w:rsidRDefault="00F17249">
            <w:pPr>
              <w:pStyle w:val="TableParagraph"/>
              <w:spacing w:before="144"/>
              <w:ind w:left="97" w:right="527"/>
              <w:rPr>
                <w:sz w:val="18"/>
              </w:rPr>
            </w:pPr>
            <w:r w:rsidRPr="00EC20A0">
              <w:rPr>
                <w:sz w:val="18"/>
              </w:rPr>
              <w:t>Provision</w:t>
            </w:r>
            <w:r w:rsidRPr="00EC20A0">
              <w:rPr>
                <w:spacing w:val="-13"/>
                <w:sz w:val="18"/>
              </w:rPr>
              <w:t xml:space="preserve"> </w:t>
            </w:r>
            <w:r w:rsidRPr="00EC20A0">
              <w:rPr>
                <w:sz w:val="18"/>
              </w:rPr>
              <w:t>Types:</w:t>
            </w:r>
            <w:r w:rsidRPr="00EC20A0">
              <w:rPr>
                <w:spacing w:val="-12"/>
                <w:sz w:val="18"/>
              </w:rPr>
              <w:t xml:space="preserve"> </w:t>
            </w:r>
            <w:r w:rsidRPr="00EC20A0">
              <w:rPr>
                <w:sz w:val="18"/>
              </w:rPr>
              <w:t>Transaction-based</w:t>
            </w:r>
            <w:r w:rsidRPr="00EC20A0">
              <w:rPr>
                <w:spacing w:val="-13"/>
                <w:sz w:val="18"/>
              </w:rPr>
              <w:t xml:space="preserve"> </w:t>
            </w:r>
            <w:r w:rsidRPr="00EC20A0">
              <w:rPr>
                <w:sz w:val="18"/>
              </w:rPr>
              <w:t xml:space="preserve">and </w:t>
            </w:r>
            <w:r w:rsidRPr="00EC20A0">
              <w:rPr>
                <w:spacing w:val="-2"/>
                <w:sz w:val="18"/>
              </w:rPr>
              <w:t>quantitative-based.</w:t>
            </w:r>
          </w:p>
          <w:p w14:paraId="24D612B0" w14:textId="77777777" w:rsidR="00245300" w:rsidRPr="00EC20A0" w:rsidRDefault="00F17249">
            <w:pPr>
              <w:pStyle w:val="TableParagraph"/>
              <w:spacing w:before="145"/>
              <w:ind w:left="97" w:right="116"/>
              <w:rPr>
                <w:sz w:val="18"/>
              </w:rPr>
            </w:pPr>
            <w:r w:rsidRPr="00EC20A0">
              <w:rPr>
                <w:sz w:val="18"/>
              </w:rPr>
              <w:t>An</w:t>
            </w:r>
            <w:r w:rsidRPr="00EC20A0">
              <w:rPr>
                <w:spacing w:val="-6"/>
                <w:sz w:val="18"/>
              </w:rPr>
              <w:t xml:space="preserve"> </w:t>
            </w:r>
            <w:r w:rsidRPr="00EC20A0">
              <w:rPr>
                <w:sz w:val="18"/>
              </w:rPr>
              <w:t>amount</w:t>
            </w:r>
            <w:r w:rsidRPr="00EC20A0">
              <w:rPr>
                <w:spacing w:val="-5"/>
                <w:sz w:val="18"/>
              </w:rPr>
              <w:t xml:space="preserve"> </w:t>
            </w:r>
            <w:r w:rsidRPr="00EC20A0">
              <w:rPr>
                <w:sz w:val="18"/>
              </w:rPr>
              <w:t>equal</w:t>
            </w:r>
            <w:r w:rsidRPr="00EC20A0">
              <w:rPr>
                <w:spacing w:val="-5"/>
                <w:sz w:val="18"/>
              </w:rPr>
              <w:t xml:space="preserve"> </w:t>
            </w:r>
            <w:r w:rsidRPr="00EC20A0">
              <w:rPr>
                <w:sz w:val="18"/>
              </w:rPr>
              <w:t>to</w:t>
            </w:r>
            <w:r w:rsidRPr="00EC20A0">
              <w:rPr>
                <w:spacing w:val="-6"/>
                <w:sz w:val="18"/>
              </w:rPr>
              <w:t xml:space="preserve"> </w:t>
            </w:r>
            <w:r w:rsidRPr="00EC20A0">
              <w:rPr>
                <w:sz w:val="18"/>
              </w:rPr>
              <w:t>the</w:t>
            </w:r>
            <w:r w:rsidRPr="00EC20A0">
              <w:rPr>
                <w:spacing w:val="-6"/>
                <w:sz w:val="18"/>
              </w:rPr>
              <w:t xml:space="preserve"> </w:t>
            </w:r>
            <w:r w:rsidRPr="00EC20A0">
              <w:rPr>
                <w:sz w:val="18"/>
              </w:rPr>
              <w:t>amount</w:t>
            </w:r>
            <w:r w:rsidRPr="00EC20A0">
              <w:rPr>
                <w:spacing w:val="-5"/>
                <w:sz w:val="18"/>
              </w:rPr>
              <w:t xml:space="preserve"> </w:t>
            </w:r>
            <w:r w:rsidRPr="00EC20A0">
              <w:rPr>
                <w:sz w:val="18"/>
              </w:rPr>
              <w:t>withheld</w:t>
            </w:r>
            <w:r w:rsidRPr="00EC20A0">
              <w:rPr>
                <w:spacing w:val="-6"/>
                <w:sz w:val="18"/>
              </w:rPr>
              <w:t xml:space="preserve"> </w:t>
            </w:r>
            <w:r w:rsidRPr="00EC20A0">
              <w:rPr>
                <w:sz w:val="18"/>
              </w:rPr>
              <w:t xml:space="preserve">from the employee’s pay shall be contributed by the entity. 5 U.S.C. § 8334(a)(1). For most employees, the entity contribution shall be paid from the appropriation account or fund used to pay the employee. 5 U.S.C. § </w:t>
            </w:r>
            <w:r w:rsidRPr="00EC20A0">
              <w:rPr>
                <w:spacing w:val="-2"/>
                <w:sz w:val="18"/>
              </w:rPr>
              <w:t>8334(a)(1)(B).</w:t>
            </w:r>
          </w:p>
        </w:tc>
        <w:tc>
          <w:tcPr>
            <w:tcW w:w="1776" w:type="dxa"/>
            <w:tcBorders>
              <w:left w:val="single" w:sz="4" w:space="0" w:color="000000"/>
              <w:bottom w:val="single" w:sz="4" w:space="0" w:color="000000"/>
              <w:right w:val="single" w:sz="4" w:space="0" w:color="000000"/>
            </w:tcBorders>
          </w:tcPr>
          <w:p w14:paraId="24D612B1" w14:textId="77777777" w:rsidR="00245300" w:rsidRPr="00EC20A0" w:rsidRDefault="00F17249">
            <w:pPr>
              <w:pStyle w:val="TableParagraph"/>
              <w:spacing w:before="143"/>
              <w:ind w:left="106" w:right="207"/>
              <w:rPr>
                <w:sz w:val="18"/>
              </w:rPr>
            </w:pPr>
            <w:r w:rsidRPr="00EC20A0">
              <w:rPr>
                <w:sz w:val="18"/>
              </w:rPr>
              <w:t xml:space="preserve">The entity contribution for </w:t>
            </w:r>
            <w:r w:rsidRPr="00EC20A0">
              <w:rPr>
                <w:spacing w:val="-2"/>
                <w:sz w:val="18"/>
              </w:rPr>
              <w:t xml:space="preserve">employee </w:t>
            </w:r>
            <w:r w:rsidRPr="00EC20A0">
              <w:rPr>
                <w:sz w:val="18"/>
              </w:rPr>
              <w:t xml:space="preserve">retirement is </w:t>
            </w:r>
            <w:r w:rsidRPr="00EC20A0">
              <w:rPr>
                <w:spacing w:val="-2"/>
                <w:sz w:val="18"/>
              </w:rPr>
              <w:t xml:space="preserve">calculated properly, summarized </w:t>
            </w:r>
            <w:r w:rsidRPr="00EC20A0">
              <w:rPr>
                <w:sz w:val="18"/>
              </w:rPr>
              <w:t xml:space="preserve">properly, and charged to the </w:t>
            </w:r>
            <w:r w:rsidRPr="00EC20A0">
              <w:rPr>
                <w:spacing w:val="-2"/>
                <w:sz w:val="18"/>
              </w:rPr>
              <w:t xml:space="preserve">proper appropriation </w:t>
            </w:r>
            <w:r w:rsidRPr="00EC20A0">
              <w:rPr>
                <w:sz w:val="18"/>
              </w:rPr>
              <w:t>account</w:t>
            </w:r>
            <w:r w:rsidRPr="00EC20A0">
              <w:rPr>
                <w:spacing w:val="-15"/>
                <w:sz w:val="18"/>
              </w:rPr>
              <w:t xml:space="preserve"> </w:t>
            </w:r>
            <w:r w:rsidRPr="00EC20A0">
              <w:rPr>
                <w:sz w:val="18"/>
              </w:rPr>
              <w:t>or</w:t>
            </w:r>
            <w:r w:rsidRPr="00EC20A0">
              <w:rPr>
                <w:spacing w:val="-12"/>
                <w:sz w:val="18"/>
              </w:rPr>
              <w:t xml:space="preserve"> </w:t>
            </w:r>
            <w:r w:rsidRPr="00EC20A0">
              <w:rPr>
                <w:sz w:val="18"/>
              </w:rPr>
              <w:t>fund.</w:t>
            </w:r>
          </w:p>
        </w:tc>
        <w:tc>
          <w:tcPr>
            <w:tcW w:w="2201" w:type="dxa"/>
            <w:tcBorders>
              <w:left w:val="single" w:sz="4" w:space="0" w:color="000000"/>
              <w:bottom w:val="single" w:sz="4" w:space="0" w:color="000000"/>
              <w:right w:val="single" w:sz="4" w:space="0" w:color="000000"/>
            </w:tcBorders>
          </w:tcPr>
          <w:p w14:paraId="24D612B2" w14:textId="77777777" w:rsidR="00245300" w:rsidRPr="00EC20A0" w:rsidRDefault="00245300">
            <w:pPr>
              <w:pStyle w:val="TableParagraph"/>
              <w:rPr>
                <w:sz w:val="18"/>
              </w:rPr>
            </w:pPr>
          </w:p>
        </w:tc>
        <w:tc>
          <w:tcPr>
            <w:tcW w:w="1519" w:type="dxa"/>
            <w:tcBorders>
              <w:left w:val="single" w:sz="4" w:space="0" w:color="000000"/>
              <w:bottom w:val="single" w:sz="4" w:space="0" w:color="000000"/>
              <w:right w:val="single" w:sz="4" w:space="0" w:color="000000"/>
            </w:tcBorders>
          </w:tcPr>
          <w:p w14:paraId="24D612B3" w14:textId="77777777" w:rsidR="00245300" w:rsidRPr="00EC20A0" w:rsidRDefault="00245300">
            <w:pPr>
              <w:pStyle w:val="TableParagraph"/>
              <w:rPr>
                <w:sz w:val="18"/>
              </w:rPr>
            </w:pPr>
          </w:p>
        </w:tc>
        <w:tc>
          <w:tcPr>
            <w:tcW w:w="1640" w:type="dxa"/>
            <w:tcBorders>
              <w:left w:val="single" w:sz="4" w:space="0" w:color="000000"/>
              <w:bottom w:val="single" w:sz="4" w:space="0" w:color="000000"/>
              <w:right w:val="single" w:sz="4" w:space="0" w:color="000000"/>
            </w:tcBorders>
          </w:tcPr>
          <w:p w14:paraId="24D612B4" w14:textId="77777777" w:rsidR="00245300" w:rsidRPr="00EC20A0" w:rsidRDefault="00245300">
            <w:pPr>
              <w:pStyle w:val="TableParagraph"/>
              <w:rPr>
                <w:sz w:val="18"/>
              </w:rPr>
            </w:pPr>
          </w:p>
        </w:tc>
        <w:tc>
          <w:tcPr>
            <w:tcW w:w="2172" w:type="dxa"/>
            <w:tcBorders>
              <w:left w:val="single" w:sz="4" w:space="0" w:color="000000"/>
              <w:bottom w:val="single" w:sz="4" w:space="0" w:color="000000"/>
            </w:tcBorders>
          </w:tcPr>
          <w:p w14:paraId="24D612B5" w14:textId="77777777" w:rsidR="00245300" w:rsidRPr="00EC20A0" w:rsidRDefault="00F17249">
            <w:pPr>
              <w:pStyle w:val="TableParagraph"/>
              <w:spacing w:before="143"/>
              <w:ind w:left="107"/>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3"/>
                <w:sz w:val="18"/>
              </w:rPr>
              <w:t xml:space="preserve"> </w:t>
            </w:r>
            <w:r w:rsidRPr="00EC20A0">
              <w:rPr>
                <w:spacing w:val="-5"/>
                <w:sz w:val="18"/>
              </w:rPr>
              <w:t>808</w:t>
            </w:r>
          </w:p>
          <w:p w14:paraId="24D612B6" w14:textId="77777777" w:rsidR="00245300" w:rsidRPr="00EC20A0" w:rsidRDefault="00F17249">
            <w:pPr>
              <w:pStyle w:val="TableParagraph"/>
              <w:spacing w:before="1"/>
              <w:ind w:left="106"/>
              <w:rPr>
                <w:sz w:val="18"/>
              </w:rPr>
            </w:pPr>
            <w:r w:rsidRPr="00EC20A0">
              <w:rPr>
                <w:sz w:val="18"/>
              </w:rPr>
              <w:t>steps</w:t>
            </w:r>
            <w:r w:rsidRPr="00EC20A0">
              <w:rPr>
                <w:spacing w:val="-3"/>
                <w:sz w:val="18"/>
              </w:rPr>
              <w:t xml:space="preserve"> </w:t>
            </w:r>
            <w:r w:rsidRPr="00EC20A0">
              <w:rPr>
                <w:sz w:val="18"/>
              </w:rPr>
              <w:t>4</w:t>
            </w:r>
            <w:r w:rsidRPr="00EC20A0">
              <w:rPr>
                <w:spacing w:val="-2"/>
                <w:sz w:val="18"/>
              </w:rPr>
              <w:t xml:space="preserve"> </w:t>
            </w:r>
            <w:r w:rsidRPr="00EC20A0">
              <w:rPr>
                <w:sz w:val="18"/>
              </w:rPr>
              <w:t>(c)</w:t>
            </w:r>
            <w:r w:rsidRPr="00EC20A0">
              <w:rPr>
                <w:spacing w:val="-1"/>
                <w:sz w:val="18"/>
              </w:rPr>
              <w:t xml:space="preserve"> </w:t>
            </w:r>
            <w:r w:rsidRPr="00EC20A0">
              <w:rPr>
                <w:sz w:val="18"/>
              </w:rPr>
              <w:t xml:space="preserve">and </w:t>
            </w:r>
            <w:r w:rsidRPr="00EC20A0">
              <w:rPr>
                <w:spacing w:val="-5"/>
                <w:sz w:val="18"/>
              </w:rPr>
              <w:t>5.</w:t>
            </w:r>
          </w:p>
        </w:tc>
      </w:tr>
    </w:tbl>
    <w:p w14:paraId="24D612B8" w14:textId="77777777" w:rsidR="00245300" w:rsidRPr="00EC20A0" w:rsidRDefault="00245300">
      <w:pPr>
        <w:rPr>
          <w:sz w:val="18"/>
        </w:rPr>
        <w:sectPr w:rsidR="00245300" w:rsidRPr="00EC20A0">
          <w:pgSz w:w="15840" w:h="12240" w:orient="landscape"/>
          <w:pgMar w:top="1380" w:right="1420" w:bottom="940" w:left="960" w:header="721" w:footer="742" w:gutter="0"/>
          <w:cols w:space="720"/>
        </w:sectPr>
      </w:pPr>
    </w:p>
    <w:p w14:paraId="24D612B9" w14:textId="77777777" w:rsidR="00245300" w:rsidRPr="00EC20A0" w:rsidRDefault="00245300">
      <w:pPr>
        <w:pStyle w:val="BodyText"/>
        <w:spacing w:before="9"/>
        <w:rPr>
          <w:sz w:val="7"/>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245300" w:rsidRPr="00EC20A0" w14:paraId="24D612BD" w14:textId="77777777">
        <w:trPr>
          <w:trHeight w:val="1574"/>
        </w:trPr>
        <w:tc>
          <w:tcPr>
            <w:tcW w:w="13176" w:type="dxa"/>
            <w:gridSpan w:val="6"/>
          </w:tcPr>
          <w:p w14:paraId="24D612BA" w14:textId="77777777" w:rsidR="00245300" w:rsidRPr="00EC20A0" w:rsidRDefault="00F17249">
            <w:pPr>
              <w:pStyle w:val="TableParagraph"/>
              <w:tabs>
                <w:tab w:val="left" w:pos="9184"/>
              </w:tabs>
              <w:spacing w:before="144"/>
              <w:ind w:right="192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44" w:name="_bookmark132"/>
            <w:bookmarkEnd w:id="244"/>
            <w:r w:rsidRPr="00EC20A0">
              <w:t>Prepared</w:t>
            </w:r>
            <w:r w:rsidRPr="00EC20A0">
              <w:rPr>
                <w:spacing w:val="-11"/>
              </w:rPr>
              <w:t xml:space="preserve"> </w:t>
            </w:r>
            <w:r w:rsidRPr="00EC20A0">
              <w:rPr>
                <w:spacing w:val="-5"/>
              </w:rPr>
              <w:t>by:</w:t>
            </w:r>
          </w:p>
          <w:p w14:paraId="24D612BB" w14:textId="77777777" w:rsidR="00245300" w:rsidRPr="00EC20A0" w:rsidRDefault="00F17249">
            <w:pPr>
              <w:pStyle w:val="TableParagraph"/>
              <w:spacing w:before="12"/>
              <w:ind w:left="1947" w:right="1925"/>
              <w:jc w:val="center"/>
              <w:rPr>
                <w:b/>
                <w:sz w:val="24"/>
              </w:rPr>
            </w:pPr>
            <w:r w:rsidRPr="00EC20A0">
              <w:rPr>
                <w:noProof/>
              </w:rPr>
              <mc:AlternateContent>
                <mc:Choice Requires="wpg">
                  <w:drawing>
                    <wp:anchor distT="0" distB="0" distL="0" distR="0" simplePos="0" relativeHeight="475337216" behindDoc="1" locked="0" layoutInCell="1" allowOverlap="1" wp14:anchorId="24D62C29" wp14:editId="24D62C2A">
                      <wp:simplePos x="0" y="0"/>
                      <wp:positionH relativeFrom="column">
                        <wp:posOffset>6953250</wp:posOffset>
                      </wp:positionH>
                      <wp:positionV relativeFrom="paragraph">
                        <wp:posOffset>91882</wp:posOffset>
                      </wp:positionV>
                      <wp:extent cx="1344930" cy="6350"/>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32" name="Graphic 632"/>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B4F30" id="Group 631" o:spid="_x0000_s1026" style="position:absolute;margin-left:547.5pt;margin-top:7.25pt;width:105.9pt;height:.5pt;z-index:-2797926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">
                      <v:shape id="Graphic 632"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38240" behindDoc="1" locked="0" layoutInCell="1" allowOverlap="1" wp14:anchorId="24D62C2B" wp14:editId="24D62C2C">
                      <wp:simplePos x="0" y="0"/>
                      <wp:positionH relativeFrom="column">
                        <wp:posOffset>6953250</wp:posOffset>
                      </wp:positionH>
                      <wp:positionV relativeFrom="paragraph">
                        <wp:posOffset>441640</wp:posOffset>
                      </wp:positionV>
                      <wp:extent cx="1344930" cy="6350"/>
                      <wp:effectExtent l="0" t="0" r="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34" name="Graphic 63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378EFD" id="Group 633" o:spid="_x0000_s1026" style="position:absolute;margin-left:547.5pt;margin-top:34.75pt;width:105.9pt;height:.5pt;z-index:-2797824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">
                      <v:shape id="Graphic 63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2BC" w14:textId="77777777" w:rsidR="00245300" w:rsidRPr="00EC20A0" w:rsidRDefault="00F17249">
            <w:pPr>
              <w:pStyle w:val="TableParagraph"/>
              <w:tabs>
                <w:tab w:val="left" w:pos="8878"/>
              </w:tabs>
              <w:spacing w:before="10"/>
              <w:ind w:right="1681"/>
              <w:jc w:val="center"/>
            </w:pPr>
            <w:r w:rsidRPr="00EC20A0">
              <w:rPr>
                <w:noProof/>
              </w:rPr>
              <mc:AlternateContent>
                <mc:Choice Requires="wpg">
                  <w:drawing>
                    <wp:anchor distT="0" distB="0" distL="0" distR="0" simplePos="0" relativeHeight="475336704" behindDoc="1" locked="0" layoutInCell="1" allowOverlap="1" wp14:anchorId="24D62C2D" wp14:editId="24D62C2E">
                      <wp:simplePos x="0" y="0"/>
                      <wp:positionH relativeFrom="column">
                        <wp:posOffset>1260347</wp:posOffset>
                      </wp:positionH>
                      <wp:positionV relativeFrom="paragraph">
                        <wp:posOffset>-91198</wp:posOffset>
                      </wp:positionV>
                      <wp:extent cx="1183005" cy="635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36" name="Graphic 636"/>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CB47FE" id="Group 635" o:spid="_x0000_s1026" style="position:absolute;margin-left:99.25pt;margin-top:-7.2pt;width:93.15pt;height:.5pt;z-index:-2797977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">
                      <v:shape id="Graphic 636"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37728" behindDoc="1" locked="0" layoutInCell="1" allowOverlap="1" wp14:anchorId="24D62C2F" wp14:editId="24D62C30">
                      <wp:simplePos x="0" y="0"/>
                      <wp:positionH relativeFrom="column">
                        <wp:posOffset>1260347</wp:posOffset>
                      </wp:positionH>
                      <wp:positionV relativeFrom="paragraph">
                        <wp:posOffset>258559</wp:posOffset>
                      </wp:positionV>
                      <wp:extent cx="1183005" cy="635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38" name="Graphic 63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DACC92" id="Group 637" o:spid="_x0000_s1026" style="position:absolute;margin-left:99.25pt;margin-top:20.35pt;width:93.15pt;height:.5pt;z-index:-2797875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">
                      <v:shape id="Graphic 63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" path="m1182611,l,,,6108r1182611,l1182611,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2C8" w14:textId="77777777">
        <w:trPr>
          <w:trHeight w:val="793"/>
        </w:trPr>
        <w:tc>
          <w:tcPr>
            <w:tcW w:w="3868" w:type="dxa"/>
            <w:tcBorders>
              <w:right w:val="single" w:sz="4" w:space="0" w:color="000000"/>
            </w:tcBorders>
          </w:tcPr>
          <w:p w14:paraId="24D612BE" w14:textId="77777777" w:rsidR="00245300" w:rsidRPr="00EC20A0" w:rsidRDefault="00245300">
            <w:pPr>
              <w:pStyle w:val="TableParagraph"/>
              <w:spacing w:before="143"/>
            </w:pPr>
          </w:p>
          <w:p w14:paraId="24D612BF" w14:textId="77777777" w:rsidR="00245300" w:rsidRPr="00EC20A0" w:rsidRDefault="00F17249">
            <w:pPr>
              <w:pStyle w:val="TableParagraph"/>
              <w:ind w:left="97"/>
            </w:pPr>
            <w:r w:rsidRPr="00EC20A0">
              <w:t>Provision</w:t>
            </w:r>
            <w:r w:rsidRPr="00EC20A0">
              <w:rPr>
                <w:spacing w:val="-12"/>
              </w:rPr>
              <w:t xml:space="preserve"> </w:t>
            </w:r>
            <w:r w:rsidRPr="00EC20A0">
              <w:rPr>
                <w:spacing w:val="-2"/>
              </w:rPr>
              <w:t>Description</w:t>
            </w:r>
          </w:p>
        </w:tc>
        <w:tc>
          <w:tcPr>
            <w:tcW w:w="1776" w:type="dxa"/>
            <w:tcBorders>
              <w:left w:val="single" w:sz="4" w:space="0" w:color="000000"/>
              <w:right w:val="single" w:sz="4" w:space="0" w:color="000000"/>
            </w:tcBorders>
          </w:tcPr>
          <w:p w14:paraId="24D612C0" w14:textId="77777777" w:rsidR="00245300" w:rsidRPr="00EC20A0" w:rsidRDefault="00245300">
            <w:pPr>
              <w:pStyle w:val="TableParagraph"/>
              <w:spacing w:before="143"/>
            </w:pPr>
          </w:p>
          <w:p w14:paraId="24D612C1" w14:textId="77777777" w:rsidR="00245300" w:rsidRPr="00EC20A0" w:rsidRDefault="00F17249">
            <w:pPr>
              <w:pStyle w:val="TableParagraph"/>
              <w:ind w:left="107"/>
            </w:pPr>
            <w:r w:rsidRPr="00EC20A0">
              <w:rPr>
                <w:spacing w:val="-2"/>
              </w:rPr>
              <w:t>Objective</w:t>
            </w:r>
          </w:p>
        </w:tc>
        <w:tc>
          <w:tcPr>
            <w:tcW w:w="2201" w:type="dxa"/>
            <w:tcBorders>
              <w:left w:val="single" w:sz="4" w:space="0" w:color="000000"/>
              <w:right w:val="single" w:sz="4" w:space="0" w:color="000000"/>
            </w:tcBorders>
          </w:tcPr>
          <w:p w14:paraId="24D612C2" w14:textId="77777777" w:rsidR="00245300" w:rsidRPr="00EC20A0" w:rsidRDefault="00245300">
            <w:pPr>
              <w:pStyle w:val="TableParagraph"/>
              <w:spacing w:before="143"/>
            </w:pPr>
          </w:p>
          <w:p w14:paraId="24D612C3" w14:textId="77777777" w:rsidR="00245300" w:rsidRPr="00EC20A0" w:rsidRDefault="00F17249">
            <w:pPr>
              <w:pStyle w:val="TableParagraph"/>
              <w:ind w:left="106"/>
            </w:pPr>
            <w:r w:rsidRPr="00EC20A0">
              <w:t>Control</w:t>
            </w:r>
            <w:r w:rsidRPr="00EC20A0">
              <w:rPr>
                <w:spacing w:val="-9"/>
              </w:rPr>
              <w:t xml:space="preserve"> </w:t>
            </w:r>
            <w:r w:rsidRPr="00EC20A0">
              <w:rPr>
                <w:spacing w:val="-2"/>
              </w:rPr>
              <w:t>Activities</w:t>
            </w:r>
          </w:p>
        </w:tc>
        <w:tc>
          <w:tcPr>
            <w:tcW w:w="1519" w:type="dxa"/>
            <w:tcBorders>
              <w:left w:val="single" w:sz="4" w:space="0" w:color="000000"/>
              <w:right w:val="single" w:sz="4" w:space="0" w:color="000000"/>
            </w:tcBorders>
          </w:tcPr>
          <w:p w14:paraId="24D612C4" w14:textId="77777777" w:rsidR="00245300" w:rsidRPr="00EC20A0" w:rsidRDefault="00245300">
            <w:pPr>
              <w:pStyle w:val="TableParagraph"/>
              <w:spacing w:before="143"/>
            </w:pPr>
          </w:p>
          <w:p w14:paraId="24D612C5"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640" w:type="dxa"/>
            <w:tcBorders>
              <w:left w:val="single" w:sz="4" w:space="0" w:color="000000"/>
              <w:right w:val="single" w:sz="4" w:space="0" w:color="000000"/>
            </w:tcBorders>
          </w:tcPr>
          <w:p w14:paraId="24D612C6" w14:textId="77777777" w:rsidR="00245300" w:rsidRPr="00EC20A0" w:rsidRDefault="00F17249">
            <w:pPr>
              <w:pStyle w:val="TableParagraph"/>
              <w:spacing w:before="143"/>
              <w:ind w:left="107" w:right="99"/>
            </w:pPr>
            <w:r w:rsidRPr="00EC20A0">
              <w:rPr>
                <w:spacing w:val="-2"/>
              </w:rPr>
              <w:t>Effective controls?</w:t>
            </w:r>
          </w:p>
        </w:tc>
        <w:tc>
          <w:tcPr>
            <w:tcW w:w="2172" w:type="dxa"/>
            <w:tcBorders>
              <w:left w:val="single" w:sz="4" w:space="0" w:color="000000"/>
            </w:tcBorders>
          </w:tcPr>
          <w:p w14:paraId="24D612C7"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2D2" w14:textId="77777777">
        <w:trPr>
          <w:trHeight w:val="2980"/>
        </w:trPr>
        <w:tc>
          <w:tcPr>
            <w:tcW w:w="3868" w:type="dxa"/>
            <w:tcBorders>
              <w:right w:val="single" w:sz="4" w:space="0" w:color="000000"/>
            </w:tcBorders>
          </w:tcPr>
          <w:p w14:paraId="24D612C9" w14:textId="77777777" w:rsidR="00245300" w:rsidRPr="00EC20A0" w:rsidRDefault="00F17249">
            <w:pPr>
              <w:pStyle w:val="TableParagraph"/>
              <w:spacing w:before="143"/>
              <w:ind w:left="817" w:hanging="720"/>
              <w:rPr>
                <w:sz w:val="18"/>
              </w:rPr>
            </w:pPr>
            <w:r w:rsidRPr="00EC20A0">
              <w:rPr>
                <w:smallCaps/>
                <w:sz w:val="18"/>
              </w:rPr>
              <w:t xml:space="preserve">808.03. </w:t>
            </w:r>
            <w:r w:rsidRPr="00EC20A0">
              <w:rPr>
                <w:smallCaps/>
                <w:spacing w:val="20"/>
                <w:sz w:val="18"/>
              </w:rPr>
              <w:t xml:space="preserve"> </w:t>
            </w:r>
            <w:r w:rsidRPr="00EC20A0">
              <w:rPr>
                <w:smallCaps/>
                <w:sz w:val="18"/>
              </w:rPr>
              <w:t xml:space="preserve">Deposits Into the Civil </w:t>
            </w:r>
            <w:r w:rsidRPr="00EC20A0">
              <w:rPr>
                <w:smallCaps/>
                <w:sz w:val="18"/>
              </w:rPr>
              <w:t>Service</w:t>
            </w:r>
            <w:r w:rsidRPr="00EC20A0">
              <w:rPr>
                <w:smallCaps/>
                <w:spacing w:val="40"/>
                <w:sz w:val="18"/>
              </w:rPr>
              <w:t xml:space="preserve"> </w:t>
            </w:r>
            <w:r w:rsidRPr="00EC20A0">
              <w:rPr>
                <w:smallCaps/>
                <w:sz w:val="18"/>
              </w:rPr>
              <w:t>Retirement</w:t>
            </w:r>
            <w:r w:rsidRPr="00EC20A0">
              <w:rPr>
                <w:smallCaps/>
                <w:spacing w:val="-10"/>
                <w:sz w:val="18"/>
              </w:rPr>
              <w:t xml:space="preserve"> </w:t>
            </w:r>
            <w:r w:rsidRPr="00EC20A0">
              <w:rPr>
                <w:smallCaps/>
                <w:sz w:val="18"/>
              </w:rPr>
              <w:t>and</w:t>
            </w:r>
            <w:r w:rsidRPr="00EC20A0">
              <w:rPr>
                <w:smallCaps/>
                <w:spacing w:val="-10"/>
                <w:sz w:val="18"/>
              </w:rPr>
              <w:t xml:space="preserve"> </w:t>
            </w:r>
            <w:r w:rsidRPr="00EC20A0">
              <w:rPr>
                <w:smallCaps/>
                <w:sz w:val="18"/>
              </w:rPr>
              <w:t>Disability</w:t>
            </w:r>
            <w:r w:rsidRPr="00EC20A0">
              <w:rPr>
                <w:smallCaps/>
                <w:spacing w:val="-10"/>
                <w:sz w:val="18"/>
              </w:rPr>
              <w:t xml:space="preserve"> </w:t>
            </w:r>
            <w:r w:rsidRPr="00EC20A0">
              <w:rPr>
                <w:smallCaps/>
                <w:sz w:val="18"/>
              </w:rPr>
              <w:t>Fund.</w:t>
            </w:r>
          </w:p>
          <w:p w14:paraId="24D612CA" w14:textId="77777777" w:rsidR="00245300" w:rsidRPr="00EC20A0" w:rsidRDefault="00F17249">
            <w:pPr>
              <w:pStyle w:val="TableParagraph"/>
              <w:spacing w:before="144"/>
              <w:ind w:left="97" w:right="598"/>
              <w:rPr>
                <w:sz w:val="18"/>
              </w:rPr>
            </w:pPr>
            <w:r w:rsidRPr="00EC20A0">
              <w:rPr>
                <w:sz w:val="18"/>
              </w:rPr>
              <w:t>Provision</w:t>
            </w:r>
            <w:r w:rsidRPr="00EC20A0">
              <w:rPr>
                <w:spacing w:val="-13"/>
                <w:sz w:val="18"/>
              </w:rPr>
              <w:t xml:space="preserve"> </w:t>
            </w:r>
            <w:r w:rsidRPr="00EC20A0">
              <w:rPr>
                <w:sz w:val="18"/>
              </w:rPr>
              <w:t>Types:</w:t>
            </w:r>
            <w:r w:rsidRPr="00EC20A0">
              <w:rPr>
                <w:spacing w:val="-12"/>
                <w:sz w:val="18"/>
              </w:rPr>
              <w:t xml:space="preserve"> </w:t>
            </w:r>
            <w:r w:rsidRPr="00EC20A0">
              <w:rPr>
                <w:sz w:val="18"/>
              </w:rPr>
              <w:t>Procedural-based</w:t>
            </w:r>
            <w:r w:rsidRPr="00EC20A0">
              <w:rPr>
                <w:spacing w:val="-13"/>
                <w:sz w:val="18"/>
              </w:rPr>
              <w:t xml:space="preserve"> </w:t>
            </w:r>
            <w:r w:rsidRPr="00EC20A0">
              <w:rPr>
                <w:sz w:val="18"/>
              </w:rPr>
              <w:t xml:space="preserve">and </w:t>
            </w:r>
            <w:r w:rsidRPr="00EC20A0">
              <w:rPr>
                <w:spacing w:val="-2"/>
                <w:sz w:val="18"/>
              </w:rPr>
              <w:t>quantitative-based.</w:t>
            </w:r>
          </w:p>
          <w:p w14:paraId="24D612CB" w14:textId="77777777" w:rsidR="00245300" w:rsidRPr="00EC20A0" w:rsidRDefault="00F17249">
            <w:pPr>
              <w:pStyle w:val="TableParagraph"/>
              <w:spacing w:before="145"/>
              <w:ind w:left="97" w:right="135"/>
              <w:rPr>
                <w:sz w:val="18"/>
              </w:rPr>
            </w:pPr>
            <w:r w:rsidRPr="00EC20A0">
              <w:rPr>
                <w:sz w:val="18"/>
              </w:rPr>
              <w:t>Amounts withheld from employees and the sum contributed by the entity for retirement benefits</w:t>
            </w:r>
            <w:r w:rsidRPr="00EC20A0">
              <w:rPr>
                <w:spacing w:val="-4"/>
                <w:sz w:val="18"/>
              </w:rPr>
              <w:t xml:space="preserve"> </w:t>
            </w:r>
            <w:r w:rsidRPr="00EC20A0">
              <w:rPr>
                <w:sz w:val="18"/>
              </w:rPr>
              <w:t>shall</w:t>
            </w:r>
            <w:r w:rsidRPr="00EC20A0">
              <w:rPr>
                <w:spacing w:val="-4"/>
                <w:sz w:val="18"/>
              </w:rPr>
              <w:t xml:space="preserve"> </w:t>
            </w:r>
            <w:r w:rsidRPr="00EC20A0">
              <w:rPr>
                <w:sz w:val="18"/>
              </w:rPr>
              <w:t>be</w:t>
            </w:r>
            <w:r w:rsidRPr="00EC20A0">
              <w:rPr>
                <w:spacing w:val="-5"/>
                <w:sz w:val="18"/>
              </w:rPr>
              <w:t xml:space="preserve"> </w:t>
            </w:r>
            <w:r w:rsidRPr="00EC20A0">
              <w:rPr>
                <w:sz w:val="18"/>
              </w:rPr>
              <w:t>deposited</w:t>
            </w:r>
            <w:r w:rsidRPr="00EC20A0">
              <w:rPr>
                <w:spacing w:val="-5"/>
                <w:sz w:val="18"/>
              </w:rPr>
              <w:t xml:space="preserve"> </w:t>
            </w:r>
            <w:r w:rsidRPr="00EC20A0">
              <w:rPr>
                <w:sz w:val="18"/>
              </w:rPr>
              <w:t>into</w:t>
            </w:r>
            <w:r w:rsidRPr="00EC20A0">
              <w:rPr>
                <w:spacing w:val="-5"/>
                <w:sz w:val="18"/>
              </w:rPr>
              <w:t xml:space="preserve"> </w:t>
            </w:r>
            <w:r w:rsidRPr="00EC20A0">
              <w:rPr>
                <w:sz w:val="18"/>
              </w:rPr>
              <w:t>the</w:t>
            </w:r>
            <w:r w:rsidRPr="00EC20A0">
              <w:rPr>
                <w:spacing w:val="-5"/>
                <w:sz w:val="18"/>
              </w:rPr>
              <w:t xml:space="preserve"> </w:t>
            </w:r>
            <w:r w:rsidRPr="00EC20A0">
              <w:rPr>
                <w:sz w:val="18"/>
              </w:rPr>
              <w:t xml:space="preserve">Treasury to the credit of the </w:t>
            </w:r>
            <w:r w:rsidRPr="00EC20A0">
              <w:rPr>
                <w:sz w:val="18"/>
              </w:rPr>
              <w:t>Civil Service Retirement and</w:t>
            </w:r>
            <w:r w:rsidRPr="00EC20A0">
              <w:rPr>
                <w:spacing w:val="-6"/>
                <w:sz w:val="18"/>
              </w:rPr>
              <w:t xml:space="preserve"> </w:t>
            </w:r>
            <w:r w:rsidRPr="00EC20A0">
              <w:rPr>
                <w:sz w:val="18"/>
              </w:rPr>
              <w:t>Disability</w:t>
            </w:r>
            <w:r w:rsidRPr="00EC20A0">
              <w:rPr>
                <w:spacing w:val="-4"/>
                <w:sz w:val="18"/>
              </w:rPr>
              <w:t xml:space="preserve"> </w:t>
            </w:r>
            <w:r w:rsidRPr="00EC20A0">
              <w:rPr>
                <w:sz w:val="18"/>
              </w:rPr>
              <w:t>Fund.</w:t>
            </w:r>
            <w:hyperlink w:anchor="_bookmark132" w:history="1">
              <w:r w:rsidRPr="00EC20A0">
                <w:rPr>
                  <w:position w:val="6"/>
                  <w:sz w:val="12"/>
                </w:rPr>
                <w:t>55</w:t>
              </w:r>
            </w:hyperlink>
            <w:r w:rsidRPr="00EC20A0">
              <w:rPr>
                <w:spacing w:val="12"/>
                <w:position w:val="6"/>
                <w:sz w:val="12"/>
              </w:rPr>
              <w:t xml:space="preserve"> </w:t>
            </w:r>
            <w:r w:rsidRPr="00EC20A0">
              <w:rPr>
                <w:sz w:val="18"/>
              </w:rPr>
              <w:t>5</w:t>
            </w:r>
            <w:r w:rsidRPr="00EC20A0">
              <w:rPr>
                <w:spacing w:val="-6"/>
                <w:sz w:val="18"/>
              </w:rPr>
              <w:t xml:space="preserve"> </w:t>
            </w:r>
            <w:r w:rsidRPr="00EC20A0">
              <w:rPr>
                <w:sz w:val="18"/>
              </w:rPr>
              <w:t>U.S.C.</w:t>
            </w:r>
            <w:r w:rsidRPr="00EC20A0">
              <w:rPr>
                <w:spacing w:val="-5"/>
                <w:sz w:val="18"/>
              </w:rPr>
              <w:t xml:space="preserve"> </w:t>
            </w:r>
            <w:r w:rsidRPr="00EC20A0">
              <w:rPr>
                <w:sz w:val="18"/>
              </w:rPr>
              <w:t>§</w:t>
            </w:r>
            <w:r w:rsidRPr="00EC20A0">
              <w:rPr>
                <w:spacing w:val="-6"/>
                <w:sz w:val="18"/>
              </w:rPr>
              <w:t xml:space="preserve"> </w:t>
            </w:r>
            <w:r w:rsidRPr="00EC20A0">
              <w:rPr>
                <w:sz w:val="18"/>
              </w:rPr>
              <w:t>8334(a)(2).</w:t>
            </w:r>
          </w:p>
        </w:tc>
        <w:tc>
          <w:tcPr>
            <w:tcW w:w="1776" w:type="dxa"/>
            <w:tcBorders>
              <w:left w:val="single" w:sz="4" w:space="0" w:color="000000"/>
              <w:right w:val="single" w:sz="4" w:space="0" w:color="000000"/>
            </w:tcBorders>
          </w:tcPr>
          <w:p w14:paraId="24D612CC" w14:textId="77777777" w:rsidR="00245300" w:rsidRPr="00EC20A0" w:rsidRDefault="00F17249">
            <w:pPr>
              <w:pStyle w:val="TableParagraph"/>
              <w:spacing w:before="143"/>
              <w:ind w:left="107" w:right="128"/>
              <w:rPr>
                <w:sz w:val="18"/>
              </w:rPr>
            </w:pPr>
            <w:r w:rsidRPr="00EC20A0">
              <w:rPr>
                <w:sz w:val="18"/>
              </w:rPr>
              <w:t>Withholdings from employees and entity</w:t>
            </w:r>
            <w:r w:rsidRPr="00EC20A0">
              <w:rPr>
                <w:spacing w:val="-11"/>
                <w:sz w:val="18"/>
              </w:rPr>
              <w:t xml:space="preserve"> </w:t>
            </w:r>
            <w:r w:rsidRPr="00EC20A0">
              <w:rPr>
                <w:sz w:val="18"/>
              </w:rPr>
              <w:t xml:space="preserve">contributions for retirement benefits are </w:t>
            </w:r>
            <w:r w:rsidRPr="00EC20A0">
              <w:rPr>
                <w:spacing w:val="-2"/>
                <w:sz w:val="18"/>
              </w:rPr>
              <w:t xml:space="preserve">properly </w:t>
            </w:r>
            <w:r w:rsidRPr="00EC20A0">
              <w:rPr>
                <w:sz w:val="18"/>
              </w:rPr>
              <w:t>summarized and deposited into the Treasury to the credit of the Civil Service</w:t>
            </w:r>
            <w:r w:rsidRPr="00EC20A0">
              <w:rPr>
                <w:spacing w:val="-13"/>
                <w:sz w:val="18"/>
              </w:rPr>
              <w:t xml:space="preserve"> </w:t>
            </w:r>
            <w:r w:rsidRPr="00EC20A0">
              <w:rPr>
                <w:sz w:val="18"/>
              </w:rPr>
              <w:t>Retirement and Disability</w:t>
            </w:r>
            <w:r w:rsidRPr="00EC20A0">
              <w:rPr>
                <w:spacing w:val="40"/>
                <w:sz w:val="18"/>
              </w:rPr>
              <w:t xml:space="preserve"> </w:t>
            </w:r>
            <w:r w:rsidRPr="00EC20A0">
              <w:rPr>
                <w:spacing w:val="-2"/>
                <w:sz w:val="18"/>
              </w:rPr>
              <w:t>Fund.</w:t>
            </w:r>
          </w:p>
        </w:tc>
        <w:tc>
          <w:tcPr>
            <w:tcW w:w="2201" w:type="dxa"/>
            <w:tcBorders>
              <w:left w:val="single" w:sz="4" w:space="0" w:color="000000"/>
              <w:right w:val="single" w:sz="4" w:space="0" w:color="000000"/>
            </w:tcBorders>
          </w:tcPr>
          <w:p w14:paraId="24D612CD" w14:textId="77777777" w:rsidR="00245300" w:rsidRPr="00EC20A0" w:rsidRDefault="00245300">
            <w:pPr>
              <w:pStyle w:val="TableParagraph"/>
              <w:rPr>
                <w:sz w:val="18"/>
              </w:rPr>
            </w:pPr>
          </w:p>
        </w:tc>
        <w:tc>
          <w:tcPr>
            <w:tcW w:w="1519" w:type="dxa"/>
            <w:tcBorders>
              <w:left w:val="single" w:sz="4" w:space="0" w:color="000000"/>
              <w:right w:val="single" w:sz="4" w:space="0" w:color="000000"/>
            </w:tcBorders>
          </w:tcPr>
          <w:p w14:paraId="24D612CE" w14:textId="77777777" w:rsidR="00245300" w:rsidRPr="00EC20A0" w:rsidRDefault="00245300">
            <w:pPr>
              <w:pStyle w:val="TableParagraph"/>
              <w:rPr>
                <w:sz w:val="18"/>
              </w:rPr>
            </w:pPr>
          </w:p>
        </w:tc>
        <w:tc>
          <w:tcPr>
            <w:tcW w:w="1640" w:type="dxa"/>
            <w:tcBorders>
              <w:left w:val="single" w:sz="4" w:space="0" w:color="000000"/>
              <w:right w:val="single" w:sz="4" w:space="0" w:color="000000"/>
            </w:tcBorders>
          </w:tcPr>
          <w:p w14:paraId="24D612CF" w14:textId="77777777" w:rsidR="00245300" w:rsidRPr="00EC20A0" w:rsidRDefault="00245300">
            <w:pPr>
              <w:pStyle w:val="TableParagraph"/>
              <w:rPr>
                <w:sz w:val="18"/>
              </w:rPr>
            </w:pPr>
          </w:p>
        </w:tc>
        <w:tc>
          <w:tcPr>
            <w:tcW w:w="2172" w:type="dxa"/>
            <w:tcBorders>
              <w:left w:val="single" w:sz="4" w:space="0" w:color="000000"/>
            </w:tcBorders>
          </w:tcPr>
          <w:p w14:paraId="24D612D0" w14:textId="77777777" w:rsidR="00245300" w:rsidRPr="00EC20A0" w:rsidRDefault="00F17249">
            <w:pPr>
              <w:pStyle w:val="TableParagraph"/>
              <w:spacing w:before="143"/>
              <w:ind w:left="107"/>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4"/>
                <w:sz w:val="18"/>
              </w:rPr>
              <w:t xml:space="preserve"> </w:t>
            </w:r>
            <w:r w:rsidRPr="00EC20A0">
              <w:rPr>
                <w:spacing w:val="-5"/>
                <w:sz w:val="18"/>
              </w:rPr>
              <w:t>808</w:t>
            </w:r>
          </w:p>
          <w:p w14:paraId="24D612D1" w14:textId="77777777" w:rsidR="00245300" w:rsidRPr="00EC20A0" w:rsidRDefault="00F17249">
            <w:pPr>
              <w:pStyle w:val="TableParagraph"/>
              <w:spacing w:before="1"/>
              <w:ind w:left="107"/>
              <w:rPr>
                <w:sz w:val="18"/>
              </w:rPr>
            </w:pPr>
            <w:r w:rsidRPr="00EC20A0">
              <w:rPr>
                <w:sz w:val="18"/>
              </w:rPr>
              <w:t>steps</w:t>
            </w:r>
            <w:r w:rsidRPr="00EC20A0">
              <w:rPr>
                <w:spacing w:val="-2"/>
                <w:sz w:val="18"/>
              </w:rPr>
              <w:t xml:space="preserve"> </w:t>
            </w:r>
            <w:r w:rsidRPr="00EC20A0">
              <w:rPr>
                <w:sz w:val="18"/>
              </w:rPr>
              <w:t>6</w:t>
            </w:r>
            <w:r w:rsidRPr="00EC20A0">
              <w:rPr>
                <w:spacing w:val="-1"/>
                <w:sz w:val="18"/>
              </w:rPr>
              <w:t xml:space="preserve"> </w:t>
            </w:r>
            <w:r w:rsidRPr="00EC20A0">
              <w:rPr>
                <w:sz w:val="18"/>
              </w:rPr>
              <w:t>and</w:t>
            </w:r>
            <w:r w:rsidRPr="00EC20A0">
              <w:rPr>
                <w:spacing w:val="-2"/>
                <w:sz w:val="18"/>
              </w:rPr>
              <w:t xml:space="preserve"> </w:t>
            </w:r>
            <w:r w:rsidRPr="00EC20A0">
              <w:rPr>
                <w:spacing w:val="-5"/>
                <w:sz w:val="18"/>
              </w:rPr>
              <w:t>7.</w:t>
            </w:r>
          </w:p>
        </w:tc>
      </w:tr>
    </w:tbl>
    <w:p w14:paraId="24D612D3" w14:textId="77777777" w:rsidR="00245300" w:rsidRPr="00EC20A0" w:rsidRDefault="00245300">
      <w:pPr>
        <w:pStyle w:val="BodyText"/>
        <w:rPr>
          <w:sz w:val="20"/>
        </w:rPr>
      </w:pPr>
    </w:p>
    <w:p w14:paraId="24D612D4" w14:textId="77777777" w:rsidR="00245300" w:rsidRPr="00EC20A0" w:rsidRDefault="00245300">
      <w:pPr>
        <w:pStyle w:val="BodyText"/>
        <w:rPr>
          <w:sz w:val="20"/>
        </w:rPr>
      </w:pPr>
    </w:p>
    <w:p w14:paraId="24D612D5" w14:textId="77777777" w:rsidR="00245300" w:rsidRPr="00EC20A0" w:rsidRDefault="00245300">
      <w:pPr>
        <w:pStyle w:val="BodyText"/>
        <w:rPr>
          <w:sz w:val="20"/>
        </w:rPr>
      </w:pPr>
    </w:p>
    <w:p w14:paraId="24D612D6" w14:textId="77777777" w:rsidR="00245300" w:rsidRPr="00EC20A0" w:rsidRDefault="00245300">
      <w:pPr>
        <w:pStyle w:val="BodyText"/>
        <w:rPr>
          <w:sz w:val="20"/>
        </w:rPr>
      </w:pPr>
    </w:p>
    <w:p w14:paraId="24D612D7" w14:textId="77777777" w:rsidR="00245300" w:rsidRPr="00EC20A0" w:rsidRDefault="00245300">
      <w:pPr>
        <w:pStyle w:val="BodyText"/>
        <w:rPr>
          <w:sz w:val="20"/>
        </w:rPr>
      </w:pPr>
    </w:p>
    <w:p w14:paraId="24D612D8" w14:textId="77777777" w:rsidR="00245300" w:rsidRPr="00EC20A0" w:rsidRDefault="00245300">
      <w:pPr>
        <w:pStyle w:val="BodyText"/>
        <w:rPr>
          <w:sz w:val="20"/>
        </w:rPr>
      </w:pPr>
    </w:p>
    <w:p w14:paraId="24D612D9" w14:textId="77777777" w:rsidR="00245300" w:rsidRPr="00EC20A0" w:rsidRDefault="00245300">
      <w:pPr>
        <w:pStyle w:val="BodyText"/>
        <w:rPr>
          <w:sz w:val="20"/>
        </w:rPr>
      </w:pPr>
    </w:p>
    <w:p w14:paraId="24D612DA" w14:textId="77777777" w:rsidR="00245300" w:rsidRPr="00EC20A0" w:rsidRDefault="00245300">
      <w:pPr>
        <w:pStyle w:val="BodyText"/>
        <w:rPr>
          <w:sz w:val="20"/>
        </w:rPr>
      </w:pPr>
    </w:p>
    <w:p w14:paraId="24D612DB" w14:textId="77777777" w:rsidR="00245300" w:rsidRPr="00EC20A0" w:rsidRDefault="00245300">
      <w:pPr>
        <w:pStyle w:val="BodyText"/>
        <w:rPr>
          <w:sz w:val="20"/>
        </w:rPr>
      </w:pPr>
    </w:p>
    <w:p w14:paraId="24D612DC" w14:textId="77777777" w:rsidR="00245300" w:rsidRPr="00EC20A0" w:rsidRDefault="00245300">
      <w:pPr>
        <w:pStyle w:val="BodyText"/>
        <w:rPr>
          <w:sz w:val="20"/>
        </w:rPr>
      </w:pPr>
    </w:p>
    <w:p w14:paraId="24D612DD" w14:textId="77777777" w:rsidR="00245300" w:rsidRPr="00EC20A0" w:rsidRDefault="00245300">
      <w:pPr>
        <w:pStyle w:val="BodyText"/>
        <w:rPr>
          <w:sz w:val="20"/>
        </w:rPr>
      </w:pPr>
    </w:p>
    <w:p w14:paraId="24D612DE" w14:textId="77777777" w:rsidR="00245300" w:rsidRPr="00EC20A0" w:rsidRDefault="00F17249">
      <w:pPr>
        <w:pStyle w:val="BodyText"/>
        <w:spacing w:before="217"/>
        <w:rPr>
          <w:sz w:val="20"/>
        </w:rPr>
      </w:pPr>
      <w:r w:rsidRPr="00EC20A0">
        <w:rPr>
          <w:noProof/>
        </w:rPr>
        <mc:AlternateContent>
          <mc:Choice Requires="wps">
            <w:drawing>
              <wp:anchor distT="0" distB="0" distL="0" distR="0" simplePos="0" relativeHeight="487683072" behindDoc="1" locked="0" layoutInCell="1" allowOverlap="1" wp14:anchorId="24D62C31" wp14:editId="24D62C32">
                <wp:simplePos x="0" y="0"/>
                <wp:positionH relativeFrom="page">
                  <wp:posOffset>685800</wp:posOffset>
                </wp:positionH>
                <wp:positionV relativeFrom="paragraph">
                  <wp:posOffset>299481</wp:posOffset>
                </wp:positionV>
                <wp:extent cx="1828800" cy="6985"/>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2672F5" id="Graphic 639" o:spid="_x0000_s1026" style="position:absolute;margin-left:54pt;margin-top:23.6pt;width:2in;height:.55pt;z-index:-156334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" path="m1828800,l,,,6858r1828800,l1828800,xe" fillcolor="black" stroked="f">
                <v:path arrowok="t"/>
                <w10:wrap type="topAndBottom" anchorx="page"/>
              </v:shape>
            </w:pict>
          </mc:Fallback>
        </mc:AlternateContent>
      </w:r>
    </w:p>
    <w:p w14:paraId="24D612DF" w14:textId="77777777" w:rsidR="00245300" w:rsidRPr="00EC20A0" w:rsidRDefault="00245300">
      <w:pPr>
        <w:pStyle w:val="BodyText"/>
        <w:spacing w:before="10"/>
        <w:rPr>
          <w:sz w:val="18"/>
        </w:rPr>
      </w:pPr>
    </w:p>
    <w:p w14:paraId="24D612E0" w14:textId="77777777" w:rsidR="00245300" w:rsidRPr="00EC20A0" w:rsidRDefault="00F17249">
      <w:pPr>
        <w:spacing w:line="244" w:lineRule="auto"/>
        <w:ind w:left="119"/>
        <w:rPr>
          <w:sz w:val="18"/>
        </w:rPr>
      </w:pPr>
      <w:r w:rsidRPr="00EC20A0">
        <w:rPr>
          <w:position w:val="7"/>
          <w:sz w:val="14"/>
        </w:rPr>
        <w:t>55</w:t>
      </w:r>
      <w:r w:rsidRPr="00EC20A0">
        <w:rPr>
          <w:sz w:val="18"/>
        </w:rPr>
        <w:t xml:space="preserve">The Civil Service Retirement and Disability Fund is the fund established under 5 U.S.C. § 8348 </w:t>
      </w:r>
      <w:r w:rsidRPr="00EC20A0">
        <w:rPr>
          <w:sz w:val="18"/>
        </w:rPr>
        <w:t>that is available for the payment of employee benefits (primarily retirement)</w:t>
      </w:r>
      <w:r w:rsidRPr="00EC20A0">
        <w:rPr>
          <w:spacing w:val="-2"/>
          <w:sz w:val="18"/>
        </w:rPr>
        <w:t xml:space="preserve"> </w:t>
      </w:r>
      <w:r w:rsidRPr="00EC20A0">
        <w:rPr>
          <w:sz w:val="18"/>
        </w:rPr>
        <w:t>under</w:t>
      </w:r>
      <w:r w:rsidRPr="00EC20A0">
        <w:rPr>
          <w:spacing w:val="-2"/>
          <w:sz w:val="18"/>
        </w:rPr>
        <w:t xml:space="preserve"> </w:t>
      </w:r>
      <w:r w:rsidRPr="00EC20A0">
        <w:rPr>
          <w:sz w:val="18"/>
        </w:rPr>
        <w:t>5</w:t>
      </w:r>
      <w:r w:rsidRPr="00EC20A0">
        <w:rPr>
          <w:spacing w:val="-3"/>
          <w:sz w:val="18"/>
        </w:rPr>
        <w:t xml:space="preserve"> </w:t>
      </w:r>
      <w:r w:rsidRPr="00EC20A0">
        <w:rPr>
          <w:sz w:val="18"/>
        </w:rPr>
        <w:t>U.S.C.</w:t>
      </w:r>
      <w:r w:rsidRPr="00EC20A0">
        <w:rPr>
          <w:spacing w:val="-2"/>
          <w:sz w:val="18"/>
        </w:rPr>
        <w:t xml:space="preserve"> </w:t>
      </w:r>
      <w:r w:rsidRPr="00EC20A0">
        <w:rPr>
          <w:sz w:val="18"/>
        </w:rPr>
        <w:t>chapters</w:t>
      </w:r>
      <w:r w:rsidRPr="00EC20A0">
        <w:rPr>
          <w:spacing w:val="-2"/>
          <w:sz w:val="18"/>
        </w:rPr>
        <w:t xml:space="preserve"> </w:t>
      </w:r>
      <w:r w:rsidRPr="00EC20A0">
        <w:rPr>
          <w:sz w:val="18"/>
        </w:rPr>
        <w:t>83</w:t>
      </w:r>
      <w:r w:rsidRPr="00EC20A0">
        <w:rPr>
          <w:spacing w:val="-2"/>
          <w:sz w:val="18"/>
        </w:rPr>
        <w:t xml:space="preserve"> </w:t>
      </w:r>
      <w:r w:rsidRPr="00EC20A0">
        <w:rPr>
          <w:sz w:val="18"/>
        </w:rPr>
        <w:t>and</w:t>
      </w:r>
      <w:r w:rsidRPr="00EC20A0">
        <w:rPr>
          <w:spacing w:val="-1"/>
          <w:sz w:val="18"/>
        </w:rPr>
        <w:t xml:space="preserve"> </w:t>
      </w:r>
      <w:r w:rsidRPr="00EC20A0">
        <w:rPr>
          <w:sz w:val="18"/>
        </w:rPr>
        <w:t>84</w:t>
      </w:r>
      <w:r w:rsidRPr="00EC20A0">
        <w:rPr>
          <w:spacing w:val="-3"/>
          <w:sz w:val="18"/>
        </w:rPr>
        <w:t xml:space="preserve"> </w:t>
      </w:r>
      <w:r w:rsidRPr="00EC20A0">
        <w:rPr>
          <w:sz w:val="18"/>
        </w:rPr>
        <w:t>and</w:t>
      </w:r>
      <w:r w:rsidRPr="00EC20A0">
        <w:rPr>
          <w:spacing w:val="-3"/>
          <w:sz w:val="18"/>
        </w:rPr>
        <w:t xml:space="preserve"> </w:t>
      </w:r>
      <w:r w:rsidRPr="00EC20A0">
        <w:rPr>
          <w:sz w:val="18"/>
        </w:rPr>
        <w:t>for</w:t>
      </w:r>
      <w:r w:rsidRPr="00EC20A0">
        <w:rPr>
          <w:spacing w:val="-2"/>
          <w:sz w:val="18"/>
        </w:rPr>
        <w:t xml:space="preserve"> </w:t>
      </w:r>
      <w:r w:rsidRPr="00EC20A0">
        <w:rPr>
          <w:sz w:val="18"/>
        </w:rPr>
        <w:t>specified</w:t>
      </w:r>
      <w:r w:rsidRPr="00EC20A0">
        <w:rPr>
          <w:spacing w:val="-3"/>
          <w:sz w:val="18"/>
        </w:rPr>
        <w:t xml:space="preserve"> </w:t>
      </w:r>
      <w:r w:rsidRPr="00EC20A0">
        <w:rPr>
          <w:sz w:val="18"/>
        </w:rPr>
        <w:t>administrative</w:t>
      </w:r>
      <w:r w:rsidRPr="00EC20A0">
        <w:rPr>
          <w:spacing w:val="-3"/>
          <w:sz w:val="18"/>
        </w:rPr>
        <w:t xml:space="preserve"> </w:t>
      </w:r>
      <w:r w:rsidRPr="00EC20A0">
        <w:rPr>
          <w:sz w:val="18"/>
        </w:rPr>
        <w:t>expenses</w:t>
      </w:r>
      <w:r w:rsidRPr="00EC20A0">
        <w:rPr>
          <w:spacing w:val="-1"/>
          <w:sz w:val="18"/>
        </w:rPr>
        <w:t xml:space="preserve"> </w:t>
      </w:r>
      <w:r w:rsidRPr="00EC20A0">
        <w:rPr>
          <w:sz w:val="18"/>
        </w:rPr>
        <w:t>incurred</w:t>
      </w:r>
      <w:r w:rsidRPr="00EC20A0">
        <w:rPr>
          <w:spacing w:val="-3"/>
          <w:sz w:val="18"/>
        </w:rPr>
        <w:t xml:space="preserve"> </w:t>
      </w:r>
      <w:r w:rsidRPr="00EC20A0">
        <w:rPr>
          <w:sz w:val="18"/>
        </w:rPr>
        <w:t>by</w:t>
      </w:r>
      <w:r w:rsidRPr="00EC20A0">
        <w:rPr>
          <w:spacing w:val="-2"/>
          <w:sz w:val="18"/>
        </w:rPr>
        <w:t xml:space="preserve"> </w:t>
      </w:r>
      <w:r w:rsidRPr="00EC20A0">
        <w:rPr>
          <w:sz w:val="18"/>
        </w:rPr>
        <w:t>Office</w:t>
      </w:r>
      <w:r w:rsidRPr="00EC20A0">
        <w:rPr>
          <w:spacing w:val="-3"/>
          <w:sz w:val="18"/>
        </w:rPr>
        <w:t xml:space="preserve"> </w:t>
      </w:r>
      <w:r w:rsidRPr="00EC20A0">
        <w:rPr>
          <w:sz w:val="18"/>
        </w:rPr>
        <w:t>of</w:t>
      </w:r>
      <w:r w:rsidRPr="00EC20A0">
        <w:rPr>
          <w:spacing w:val="-2"/>
          <w:sz w:val="18"/>
        </w:rPr>
        <w:t xml:space="preserve"> </w:t>
      </w:r>
      <w:r w:rsidRPr="00EC20A0">
        <w:rPr>
          <w:sz w:val="18"/>
        </w:rPr>
        <w:t>Personnel</w:t>
      </w:r>
      <w:r w:rsidRPr="00EC20A0">
        <w:rPr>
          <w:spacing w:val="-2"/>
          <w:sz w:val="18"/>
        </w:rPr>
        <w:t xml:space="preserve"> </w:t>
      </w:r>
      <w:r w:rsidRPr="00EC20A0">
        <w:rPr>
          <w:sz w:val="18"/>
        </w:rPr>
        <w:t>Management</w:t>
      </w:r>
      <w:r w:rsidRPr="00EC20A0">
        <w:rPr>
          <w:spacing w:val="-2"/>
          <w:sz w:val="18"/>
        </w:rPr>
        <w:t xml:space="preserve"> </w:t>
      </w:r>
      <w:r w:rsidRPr="00EC20A0">
        <w:rPr>
          <w:sz w:val="18"/>
        </w:rPr>
        <w:t>(OPM)</w:t>
      </w:r>
      <w:r w:rsidRPr="00EC20A0">
        <w:rPr>
          <w:spacing w:val="-2"/>
          <w:sz w:val="18"/>
        </w:rPr>
        <w:t xml:space="preserve"> </w:t>
      </w:r>
      <w:r w:rsidRPr="00EC20A0">
        <w:rPr>
          <w:sz w:val="18"/>
        </w:rPr>
        <w:t>or</w:t>
      </w:r>
      <w:r w:rsidRPr="00EC20A0">
        <w:rPr>
          <w:spacing w:val="-3"/>
          <w:sz w:val="18"/>
        </w:rPr>
        <w:t xml:space="preserve"> </w:t>
      </w:r>
      <w:r w:rsidRPr="00EC20A0">
        <w:rPr>
          <w:sz w:val="18"/>
        </w:rPr>
        <w:t>the</w:t>
      </w:r>
      <w:r w:rsidRPr="00EC20A0">
        <w:rPr>
          <w:spacing w:val="-3"/>
          <w:sz w:val="18"/>
        </w:rPr>
        <w:t xml:space="preserve"> </w:t>
      </w:r>
      <w:r w:rsidRPr="00EC20A0">
        <w:rPr>
          <w:sz w:val="18"/>
        </w:rPr>
        <w:t>Merit</w:t>
      </w:r>
      <w:r w:rsidRPr="00EC20A0">
        <w:rPr>
          <w:spacing w:val="-1"/>
          <w:sz w:val="18"/>
        </w:rPr>
        <w:t xml:space="preserve"> </w:t>
      </w:r>
      <w:r w:rsidRPr="00EC20A0">
        <w:rPr>
          <w:sz w:val="18"/>
        </w:rPr>
        <w:t xml:space="preserve">Systems Protection Board. 5 U.S.C. § </w:t>
      </w:r>
      <w:r w:rsidRPr="00EC20A0">
        <w:rPr>
          <w:sz w:val="18"/>
        </w:rPr>
        <w:t>8331(5).</w:t>
      </w:r>
    </w:p>
    <w:p w14:paraId="24D612E1" w14:textId="77777777" w:rsidR="00245300" w:rsidRPr="00EC20A0" w:rsidRDefault="00245300">
      <w:pPr>
        <w:spacing w:line="244" w:lineRule="auto"/>
        <w:rPr>
          <w:sz w:val="18"/>
        </w:rPr>
        <w:sectPr w:rsidR="00245300" w:rsidRPr="00EC20A0">
          <w:pgSz w:w="15840" w:h="12240" w:orient="landscape"/>
          <w:pgMar w:top="1380" w:right="1420" w:bottom="940" w:left="960" w:header="721" w:footer="742" w:gutter="0"/>
          <w:cols w:space="720"/>
        </w:sectPr>
      </w:pPr>
    </w:p>
    <w:p w14:paraId="24D612E2" w14:textId="77777777" w:rsidR="00245300" w:rsidRPr="00EC20A0" w:rsidRDefault="00F17249">
      <w:pPr>
        <w:pStyle w:val="BodyText"/>
        <w:spacing w:before="82"/>
        <w:ind w:left="120" w:right="147"/>
      </w:pPr>
      <w:r w:rsidRPr="00EC20A0">
        <w:t>Note: The auditor generally should perform these procedures or prepare equivalent documentation</w:t>
      </w:r>
      <w:r w:rsidRPr="00EC20A0">
        <w:rPr>
          <w:spacing w:val="-3"/>
        </w:rPr>
        <w:t xml:space="preserve"> </w:t>
      </w:r>
      <w:r w:rsidRPr="00EC20A0">
        <w:t>only</w:t>
      </w:r>
      <w:r w:rsidRPr="00EC20A0">
        <w:rPr>
          <w:spacing w:val="-3"/>
        </w:rPr>
        <w:t xml:space="preserve"> </w:t>
      </w:r>
      <w:r w:rsidRPr="00EC20A0">
        <w:t>if</w:t>
      </w:r>
      <w:r w:rsidRPr="00EC20A0">
        <w:rPr>
          <w:spacing w:val="-3"/>
        </w:rPr>
        <w:t xml:space="preserve"> </w:t>
      </w:r>
      <w:r w:rsidRPr="00EC20A0">
        <w:t>provisions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Civil</w:t>
      </w:r>
      <w:r w:rsidRPr="00EC20A0">
        <w:rPr>
          <w:spacing w:val="-3"/>
        </w:rPr>
        <w:t xml:space="preserve"> </w:t>
      </w:r>
      <w:r w:rsidRPr="00EC20A0">
        <w:t>Service</w:t>
      </w:r>
      <w:r w:rsidRPr="00EC20A0">
        <w:rPr>
          <w:spacing w:val="-3"/>
        </w:rPr>
        <w:t xml:space="preserve"> </w:t>
      </w:r>
      <w:r w:rsidRPr="00EC20A0">
        <w:t>Retirement</w:t>
      </w:r>
      <w:r w:rsidRPr="00EC20A0">
        <w:rPr>
          <w:spacing w:val="-3"/>
        </w:rPr>
        <w:t xml:space="preserve"> </w:t>
      </w:r>
      <w:r w:rsidRPr="00EC20A0">
        <w:t>Act</w:t>
      </w:r>
      <w:r w:rsidRPr="00EC20A0">
        <w:rPr>
          <w:spacing w:val="-3"/>
        </w:rPr>
        <w:t xml:space="preserve"> </w:t>
      </w:r>
      <w:r w:rsidRPr="00EC20A0">
        <w:t>(CSRA),</w:t>
      </w:r>
      <w:r w:rsidRPr="00EC20A0">
        <w:rPr>
          <w:spacing w:val="-3"/>
        </w:rPr>
        <w:t xml:space="preserve"> </w:t>
      </w:r>
      <w:r w:rsidRPr="00EC20A0">
        <w:t>as</w:t>
      </w:r>
      <w:r w:rsidRPr="00EC20A0">
        <w:rPr>
          <w:spacing w:val="-3"/>
        </w:rPr>
        <w:t xml:space="preserve"> </w:t>
      </w:r>
      <w:r w:rsidRPr="00EC20A0">
        <w:t>provided</w:t>
      </w:r>
      <w:r w:rsidRPr="00EC20A0">
        <w:rPr>
          <w:spacing w:val="-3"/>
        </w:rPr>
        <w:t xml:space="preserve"> </w:t>
      </w:r>
      <w:r w:rsidRPr="00EC20A0">
        <w:t>in</w:t>
      </w:r>
      <w:r w:rsidRPr="00EC20A0">
        <w:rPr>
          <w:spacing w:val="-3"/>
        </w:rPr>
        <w:t xml:space="preserve"> </w:t>
      </w:r>
      <w:r w:rsidRPr="00EC20A0">
        <w:t>5</w:t>
      </w:r>
    </w:p>
    <w:p w14:paraId="24D612E3" w14:textId="77777777" w:rsidR="00245300" w:rsidRPr="00EC20A0" w:rsidRDefault="00F17249">
      <w:pPr>
        <w:pStyle w:val="BodyText"/>
        <w:ind w:left="120" w:right="38" w:hanging="1"/>
      </w:pPr>
      <w:r w:rsidRPr="00EC20A0">
        <w:t>U.S.C. chapter 83, are significant, as indicated on Form 802, General Compliance Checklist, at page 802-9. These procedures test compliance with the provisions listed on the Compliance Summary.</w:t>
      </w:r>
      <w:r w:rsidRPr="00EC20A0">
        <w:rPr>
          <w:spacing w:val="-4"/>
        </w:rPr>
        <w:t xml:space="preserve"> </w:t>
      </w:r>
      <w:r w:rsidRPr="00EC20A0">
        <w:t>Implementing</w:t>
      </w:r>
      <w:r w:rsidRPr="00EC20A0">
        <w:rPr>
          <w:spacing w:val="-4"/>
        </w:rPr>
        <w:t xml:space="preserve"> </w:t>
      </w:r>
      <w:r w:rsidRPr="00EC20A0">
        <w:t>regulations</w:t>
      </w:r>
      <w:r w:rsidRPr="00EC20A0">
        <w:rPr>
          <w:spacing w:val="-4"/>
        </w:rPr>
        <w:t xml:space="preserve"> </w:t>
      </w:r>
      <w:r w:rsidRPr="00EC20A0">
        <w:t>for</w:t>
      </w:r>
      <w:r w:rsidRPr="00EC20A0">
        <w:rPr>
          <w:spacing w:val="-4"/>
        </w:rPr>
        <w:t xml:space="preserve"> </w:t>
      </w:r>
      <w:r w:rsidRPr="00EC20A0">
        <w:t>CSRA’s</w:t>
      </w:r>
      <w:r w:rsidRPr="00EC20A0">
        <w:rPr>
          <w:spacing w:val="-4"/>
        </w:rPr>
        <w:t xml:space="preserve"> </w:t>
      </w:r>
      <w:r w:rsidRPr="00EC20A0">
        <w:t>general</w:t>
      </w:r>
      <w:r w:rsidRPr="00EC20A0">
        <w:rPr>
          <w:spacing w:val="-4"/>
        </w:rPr>
        <w:t xml:space="preserve"> </w:t>
      </w:r>
      <w:r w:rsidRPr="00EC20A0">
        <w:t>administration</w:t>
      </w:r>
      <w:r w:rsidRPr="00EC20A0">
        <w:rPr>
          <w:spacing w:val="-5"/>
        </w:rPr>
        <w:t xml:space="preserve"> </w:t>
      </w:r>
      <w:r w:rsidRPr="00EC20A0">
        <w:t>are</w:t>
      </w:r>
      <w:r w:rsidRPr="00EC20A0">
        <w:rPr>
          <w:spacing w:val="-4"/>
        </w:rPr>
        <w:t xml:space="preserve"> </w:t>
      </w:r>
      <w:r w:rsidRPr="00EC20A0">
        <w:t>included</w:t>
      </w:r>
      <w:r w:rsidRPr="00EC20A0">
        <w:rPr>
          <w:spacing w:val="-5"/>
        </w:rPr>
        <w:t xml:space="preserve"> </w:t>
      </w:r>
      <w:r w:rsidRPr="00EC20A0">
        <w:t>in</w:t>
      </w:r>
      <w:r w:rsidRPr="00EC20A0">
        <w:rPr>
          <w:spacing w:val="-4"/>
        </w:rPr>
        <w:t xml:space="preserve"> </w:t>
      </w:r>
      <w:r w:rsidRPr="00EC20A0">
        <w:t>5</w:t>
      </w:r>
      <w:r w:rsidRPr="00EC20A0">
        <w:rPr>
          <w:spacing w:val="-4"/>
        </w:rPr>
        <w:t xml:space="preserve"> </w:t>
      </w:r>
      <w:r w:rsidRPr="00EC20A0">
        <w:t>C.F.R. Part 831.</w:t>
      </w:r>
    </w:p>
    <w:p w14:paraId="24D612E4" w14:textId="77777777" w:rsidR="00245300" w:rsidRPr="00EC20A0" w:rsidRDefault="00245300">
      <w:pPr>
        <w:pStyle w:val="BodyText"/>
        <w:spacing w:before="9"/>
        <w:rPr>
          <w:sz w:val="13"/>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20"/>
      </w:tblGrid>
      <w:tr w:rsidR="00245300" w:rsidRPr="00EC20A0" w14:paraId="24D612E6" w14:textId="77777777">
        <w:trPr>
          <w:trHeight w:val="1335"/>
        </w:trPr>
        <w:tc>
          <w:tcPr>
            <w:tcW w:w="9240" w:type="dxa"/>
            <w:gridSpan w:val="3"/>
          </w:tcPr>
          <w:p w14:paraId="24D612E5" w14:textId="77777777" w:rsidR="00245300" w:rsidRPr="00EC20A0" w:rsidRDefault="00F17249">
            <w:pPr>
              <w:pStyle w:val="TableParagraph"/>
              <w:tabs>
                <w:tab w:val="left" w:pos="8944"/>
              </w:tabs>
              <w:spacing w:before="7" w:line="390" w:lineRule="atLeast"/>
              <w:ind w:left="130" w:right="248" w:hanging="1"/>
              <w:jc w:val="both"/>
            </w:pPr>
            <w:r w:rsidRPr="00EC20A0">
              <w:t xml:space="preserve">Name of </w:t>
            </w:r>
            <w:r w:rsidRPr="00EC20A0">
              <w:t>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2EC" w14:textId="77777777">
        <w:trPr>
          <w:trHeight w:val="793"/>
        </w:trPr>
        <w:tc>
          <w:tcPr>
            <w:tcW w:w="6600" w:type="dxa"/>
            <w:tcBorders>
              <w:right w:val="single" w:sz="8" w:space="0" w:color="000000"/>
            </w:tcBorders>
          </w:tcPr>
          <w:p w14:paraId="24D612E7" w14:textId="77777777" w:rsidR="00245300" w:rsidRPr="00EC20A0" w:rsidRDefault="00245300">
            <w:pPr>
              <w:pStyle w:val="TableParagraph"/>
              <w:spacing w:before="144"/>
            </w:pPr>
          </w:p>
          <w:p w14:paraId="24D612E8"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320" w:type="dxa"/>
            <w:tcBorders>
              <w:left w:val="single" w:sz="8" w:space="0" w:color="000000"/>
              <w:right w:val="single" w:sz="8" w:space="0" w:color="000000"/>
            </w:tcBorders>
          </w:tcPr>
          <w:p w14:paraId="24D612E9" w14:textId="77777777" w:rsidR="00245300" w:rsidRPr="00EC20A0" w:rsidRDefault="00F17249">
            <w:pPr>
              <w:pStyle w:val="TableParagraph"/>
              <w:spacing w:before="144"/>
              <w:ind w:left="142" w:right="1"/>
              <w:rPr>
                <w:b/>
              </w:rPr>
            </w:pPr>
            <w:r w:rsidRPr="00EC20A0">
              <w:rPr>
                <w:b/>
                <w:spacing w:val="-2"/>
              </w:rPr>
              <w:t xml:space="preserve">Initials/ </w:t>
            </w:r>
            <w:r w:rsidRPr="00EC20A0">
              <w:rPr>
                <w:b/>
                <w:spacing w:val="-4"/>
              </w:rPr>
              <w:t>date</w:t>
            </w:r>
          </w:p>
        </w:tc>
        <w:tc>
          <w:tcPr>
            <w:tcW w:w="1320" w:type="dxa"/>
            <w:tcBorders>
              <w:left w:val="single" w:sz="8" w:space="0" w:color="000000"/>
            </w:tcBorders>
          </w:tcPr>
          <w:p w14:paraId="24D612EA" w14:textId="77777777" w:rsidR="00245300" w:rsidRPr="00EC20A0" w:rsidRDefault="00245300">
            <w:pPr>
              <w:pStyle w:val="TableParagraph"/>
              <w:spacing w:before="144"/>
            </w:pPr>
          </w:p>
          <w:p w14:paraId="24D612EB" w14:textId="77777777" w:rsidR="00245300" w:rsidRPr="00EC20A0" w:rsidRDefault="00F17249">
            <w:pPr>
              <w:pStyle w:val="TableParagraph"/>
              <w:ind w:left="142"/>
              <w:rPr>
                <w:b/>
              </w:rPr>
            </w:pPr>
            <w:r w:rsidRPr="00EC20A0">
              <w:rPr>
                <w:b/>
              </w:rPr>
              <w:t>Doc.</w:t>
            </w:r>
            <w:r w:rsidRPr="00EC20A0">
              <w:rPr>
                <w:b/>
                <w:spacing w:val="-6"/>
              </w:rPr>
              <w:t xml:space="preserve"> </w:t>
            </w:r>
            <w:r w:rsidRPr="00EC20A0">
              <w:rPr>
                <w:b/>
                <w:spacing w:val="-4"/>
              </w:rPr>
              <w:t>ref.</w:t>
            </w:r>
          </w:p>
        </w:tc>
      </w:tr>
      <w:tr w:rsidR="00245300" w:rsidRPr="00EC20A0" w14:paraId="24D612F4" w14:textId="77777777">
        <w:trPr>
          <w:trHeight w:val="5418"/>
        </w:trPr>
        <w:tc>
          <w:tcPr>
            <w:tcW w:w="6600" w:type="dxa"/>
            <w:tcBorders>
              <w:bottom w:val="single" w:sz="6" w:space="0" w:color="000000"/>
              <w:right w:val="single" w:sz="8" w:space="0" w:color="000000"/>
            </w:tcBorders>
          </w:tcPr>
          <w:p w14:paraId="24D612ED" w14:textId="77777777" w:rsidR="00245300" w:rsidRPr="00EC20A0" w:rsidRDefault="00F17249">
            <w:pPr>
              <w:pStyle w:val="TableParagraph"/>
              <w:tabs>
                <w:tab w:val="left" w:pos="561"/>
              </w:tabs>
              <w:spacing w:before="144"/>
              <w:ind w:left="561" w:right="194" w:hanging="432"/>
            </w:pPr>
            <w:r w:rsidRPr="00EC20A0">
              <w:rPr>
                <w:spacing w:val="-6"/>
              </w:rPr>
              <w:t>1.</w:t>
            </w:r>
            <w:r w:rsidRPr="00EC20A0">
              <w:tab/>
              <w:t>Based</w:t>
            </w:r>
            <w:r w:rsidRPr="00EC20A0">
              <w:rPr>
                <w:spacing w:val="-6"/>
              </w:rPr>
              <w:t xml:space="preserve"> </w:t>
            </w:r>
            <w:r w:rsidRPr="00EC20A0">
              <w:t>on</w:t>
            </w:r>
            <w:r w:rsidRPr="00EC20A0">
              <w:rPr>
                <w:spacing w:val="-6"/>
              </w:rPr>
              <w:t xml:space="preserve"> </w:t>
            </w:r>
            <w:r w:rsidRPr="00EC20A0">
              <w:t>the</w:t>
            </w:r>
            <w:r w:rsidRPr="00EC20A0">
              <w:rPr>
                <w:spacing w:val="-6"/>
              </w:rPr>
              <w:t xml:space="preserve"> </w:t>
            </w:r>
            <w:r w:rsidRPr="00EC20A0">
              <w:t>preliminary</w:t>
            </w:r>
            <w:r w:rsidRPr="00EC20A0">
              <w:rPr>
                <w:spacing w:val="-6"/>
              </w:rPr>
              <w:t xml:space="preserve"> </w:t>
            </w:r>
            <w:r w:rsidRPr="00EC20A0">
              <w:t>assessment</w:t>
            </w:r>
            <w:r w:rsidRPr="00EC20A0">
              <w:rPr>
                <w:spacing w:val="-6"/>
              </w:rPr>
              <w:t xml:space="preserve"> </w:t>
            </w:r>
            <w:r w:rsidRPr="00EC20A0">
              <w:t>of</w:t>
            </w:r>
            <w:r w:rsidRPr="00EC20A0">
              <w:rPr>
                <w:spacing w:val="-6"/>
              </w:rPr>
              <w:t xml:space="preserve"> </w:t>
            </w:r>
            <w:r w:rsidRPr="00EC20A0">
              <w:t>compliance</w:t>
            </w:r>
            <w:r w:rsidRPr="00EC20A0">
              <w:rPr>
                <w:spacing w:val="-6"/>
              </w:rPr>
              <w:t xml:space="preserve"> </w:t>
            </w:r>
            <w:r w:rsidRPr="00EC20A0">
              <w:t xml:space="preserve">control effectiveness (as documented on Form 808, Compliance Summary), select a statistical sample of payroll </w:t>
            </w:r>
            <w:r w:rsidRPr="00EC20A0">
              <w:t>records (e.g., each employee’s pay per pay period) for the audit period for employees covered by the Civil Service Retirement System (CSRS). See FAM 808.01, Entity Withholdings From Employee Pay for Retirement Benefits.</w:t>
            </w:r>
          </w:p>
          <w:p w14:paraId="24D612EE" w14:textId="77777777" w:rsidR="00245300" w:rsidRPr="00EC20A0" w:rsidRDefault="00F17249">
            <w:pPr>
              <w:pStyle w:val="TableParagraph"/>
              <w:spacing w:before="145"/>
              <w:ind w:left="568" w:right="194"/>
            </w:pPr>
            <w:r w:rsidRPr="00EC20A0">
              <w:t>The sample size will vary based on the expected effectiveness</w:t>
            </w:r>
            <w:r w:rsidRPr="00EC20A0">
              <w:rPr>
                <w:spacing w:val="-6"/>
              </w:rPr>
              <w:t xml:space="preserve"> </w:t>
            </w:r>
            <w:r w:rsidRPr="00EC20A0">
              <w:t>of</w:t>
            </w:r>
            <w:r w:rsidRPr="00EC20A0">
              <w:rPr>
                <w:spacing w:val="-6"/>
              </w:rPr>
              <w:t xml:space="preserve"> </w:t>
            </w:r>
            <w:r w:rsidRPr="00EC20A0">
              <w:t>compliance</w:t>
            </w:r>
            <w:r w:rsidRPr="00EC20A0">
              <w:rPr>
                <w:spacing w:val="-6"/>
              </w:rPr>
              <w:t xml:space="preserve"> </w:t>
            </w:r>
            <w:r w:rsidRPr="00EC20A0">
              <w:t>controls,</w:t>
            </w:r>
            <w:r w:rsidRPr="00EC20A0">
              <w:rPr>
                <w:spacing w:val="-6"/>
              </w:rPr>
              <w:t xml:space="preserve"> </w:t>
            </w:r>
            <w:r w:rsidRPr="00EC20A0">
              <w:t>as</w:t>
            </w:r>
            <w:r w:rsidRPr="00EC20A0">
              <w:rPr>
                <w:spacing w:val="-6"/>
              </w:rPr>
              <w:t xml:space="preserve"> </w:t>
            </w:r>
            <w:r w:rsidRPr="00EC20A0">
              <w:t>discussed</w:t>
            </w:r>
            <w:r w:rsidRPr="00EC20A0">
              <w:rPr>
                <w:spacing w:val="-6"/>
              </w:rPr>
              <w:t xml:space="preserve"> </w:t>
            </w:r>
            <w:r w:rsidRPr="00EC20A0">
              <w:t>in</w:t>
            </w:r>
            <w:r w:rsidRPr="00EC20A0">
              <w:rPr>
                <w:spacing w:val="-6"/>
              </w:rPr>
              <w:t xml:space="preserve"> </w:t>
            </w:r>
            <w:r w:rsidRPr="00EC20A0">
              <w:t>FAM</w:t>
            </w:r>
          </w:p>
          <w:p w14:paraId="24D612EF" w14:textId="77777777" w:rsidR="00245300" w:rsidRPr="00EC20A0" w:rsidRDefault="00F17249">
            <w:pPr>
              <w:pStyle w:val="TableParagraph"/>
              <w:ind w:left="568"/>
              <w:rPr>
                <w:sz w:val="14"/>
              </w:rPr>
            </w:pPr>
            <w:r w:rsidRPr="00EC20A0">
              <w:t>460.02.</w:t>
            </w:r>
            <w:r w:rsidRPr="00EC20A0">
              <w:rPr>
                <w:spacing w:val="-7"/>
              </w:rPr>
              <w:t xml:space="preserve"> </w:t>
            </w:r>
            <w:r w:rsidRPr="00EC20A0">
              <w:t>Document</w:t>
            </w:r>
            <w:r w:rsidRPr="00EC20A0">
              <w:rPr>
                <w:spacing w:val="-7"/>
              </w:rPr>
              <w:t xml:space="preserve"> </w:t>
            </w:r>
            <w:r w:rsidRPr="00EC20A0">
              <w:t>the</w:t>
            </w:r>
            <w:r w:rsidRPr="00EC20A0">
              <w:rPr>
                <w:spacing w:val="-7"/>
              </w:rPr>
              <w:t xml:space="preserve"> </w:t>
            </w:r>
            <w:r w:rsidRPr="00EC20A0">
              <w:t>sampling</w:t>
            </w:r>
            <w:r w:rsidRPr="00EC20A0">
              <w:rPr>
                <w:spacing w:val="-7"/>
              </w:rPr>
              <w:t xml:space="preserve"> </w:t>
            </w:r>
            <w:r w:rsidRPr="00EC20A0">
              <w:t>approach</w:t>
            </w:r>
            <w:r w:rsidRPr="00EC20A0">
              <w:rPr>
                <w:spacing w:val="-7"/>
              </w:rPr>
              <w:t xml:space="preserve"> </w:t>
            </w:r>
            <w:r w:rsidRPr="00EC20A0">
              <w:t>(see</w:t>
            </w:r>
            <w:r w:rsidRPr="00EC20A0">
              <w:rPr>
                <w:spacing w:val="-7"/>
              </w:rPr>
              <w:t xml:space="preserve"> </w:t>
            </w:r>
            <w:r w:rsidRPr="00EC20A0">
              <w:t>example documentation in FAM 495 D).</w:t>
            </w:r>
            <w:hyperlink w:anchor="_bookmark133" w:history="1">
              <w:r w:rsidRPr="00EC20A0">
                <w:rPr>
                  <w:position w:val="7"/>
                  <w:sz w:val="14"/>
                </w:rPr>
                <w:t>56</w:t>
              </w:r>
            </w:hyperlink>
          </w:p>
          <w:p w14:paraId="24D612F0" w14:textId="77777777" w:rsidR="00245300" w:rsidRPr="00EC20A0" w:rsidRDefault="00F17249">
            <w:pPr>
              <w:pStyle w:val="TableParagraph"/>
              <w:spacing w:before="143"/>
              <w:ind w:left="567" w:right="226"/>
            </w:pPr>
            <w:r w:rsidRPr="00EC20A0">
              <w:t>These tests should be coordinated with other tests of payroll-related expenses and with the agreed-upon procedures that entity auditors perform for the Office of Personnel</w:t>
            </w:r>
            <w:r w:rsidRPr="00EC20A0">
              <w:rPr>
                <w:spacing w:val="-7"/>
              </w:rPr>
              <w:t xml:space="preserve"> </w:t>
            </w:r>
            <w:r w:rsidRPr="00EC20A0">
              <w:t>Management</w:t>
            </w:r>
            <w:r w:rsidRPr="00EC20A0">
              <w:rPr>
                <w:spacing w:val="-5"/>
              </w:rPr>
              <w:t xml:space="preserve"> </w:t>
            </w:r>
            <w:r w:rsidRPr="00EC20A0">
              <w:t>(OPM),</w:t>
            </w:r>
            <w:r w:rsidRPr="00EC20A0">
              <w:rPr>
                <w:spacing w:val="-6"/>
              </w:rPr>
              <w:t xml:space="preserve"> </w:t>
            </w:r>
            <w:r w:rsidRPr="00EC20A0">
              <w:t>per</w:t>
            </w:r>
            <w:r w:rsidRPr="00EC20A0">
              <w:rPr>
                <w:spacing w:val="-6"/>
              </w:rPr>
              <w:t xml:space="preserve"> </w:t>
            </w:r>
            <w:r w:rsidRPr="00EC20A0">
              <w:t>OMB</w:t>
            </w:r>
            <w:r w:rsidRPr="00EC20A0">
              <w:rPr>
                <w:spacing w:val="-6"/>
              </w:rPr>
              <w:t xml:space="preserve"> </w:t>
            </w:r>
            <w:r w:rsidRPr="00EC20A0">
              <w:t>audit</w:t>
            </w:r>
            <w:r w:rsidRPr="00EC20A0">
              <w:rPr>
                <w:spacing w:val="-6"/>
              </w:rPr>
              <w:t xml:space="preserve"> </w:t>
            </w:r>
            <w:r w:rsidRPr="00EC20A0">
              <w:t>guidance,</w:t>
            </w:r>
            <w:r w:rsidRPr="00EC20A0">
              <w:rPr>
                <w:spacing w:val="-6"/>
              </w:rPr>
              <w:t xml:space="preserve"> </w:t>
            </w:r>
            <w:r w:rsidRPr="00EC20A0">
              <w:t xml:space="preserve">if </w:t>
            </w:r>
            <w:r w:rsidRPr="00EC20A0">
              <w:rPr>
                <w:spacing w:val="-2"/>
              </w:rPr>
              <w:t>performed.</w:t>
            </w:r>
          </w:p>
          <w:p w14:paraId="24D612F1" w14:textId="77777777" w:rsidR="00245300" w:rsidRPr="00EC20A0" w:rsidRDefault="00F17249">
            <w:pPr>
              <w:pStyle w:val="TableParagraph"/>
              <w:tabs>
                <w:tab w:val="left" w:pos="6130"/>
              </w:tabs>
              <w:spacing w:before="32" w:line="398" w:lineRule="exact"/>
              <w:ind w:left="614" w:right="434"/>
            </w:pPr>
            <w:r w:rsidRPr="00EC20A0">
              <w:t>Sample size</w:t>
            </w:r>
            <w:r w:rsidRPr="00EC20A0">
              <w:rPr>
                <w:spacing w:val="-4"/>
              </w:rPr>
              <w:t xml:space="preserve"> </w:t>
            </w:r>
            <w:r w:rsidRPr="00EC20A0">
              <w:rPr>
                <w:u w:val="single"/>
              </w:rPr>
              <w:tab/>
            </w:r>
            <w:r w:rsidRPr="00EC20A0">
              <w:t xml:space="preserve"> Sample selection method</w:t>
            </w:r>
            <w:r w:rsidRPr="00EC20A0">
              <w:rPr>
                <w:spacing w:val="49"/>
              </w:rPr>
              <w:t xml:space="preserve"> </w:t>
            </w:r>
            <w:r w:rsidRPr="00EC20A0">
              <w:rPr>
                <w:u w:val="single"/>
              </w:rPr>
              <w:tab/>
            </w:r>
          </w:p>
        </w:tc>
        <w:tc>
          <w:tcPr>
            <w:tcW w:w="1320" w:type="dxa"/>
            <w:tcBorders>
              <w:left w:val="single" w:sz="8" w:space="0" w:color="000000"/>
              <w:bottom w:val="single" w:sz="6" w:space="0" w:color="000000"/>
              <w:right w:val="single" w:sz="8" w:space="0" w:color="000000"/>
            </w:tcBorders>
          </w:tcPr>
          <w:p w14:paraId="24D612F2" w14:textId="77777777" w:rsidR="00245300" w:rsidRPr="00EC20A0" w:rsidRDefault="00245300">
            <w:pPr>
              <w:pStyle w:val="TableParagraph"/>
              <w:rPr>
                <w:sz w:val="20"/>
              </w:rPr>
            </w:pPr>
          </w:p>
        </w:tc>
        <w:tc>
          <w:tcPr>
            <w:tcW w:w="1320" w:type="dxa"/>
            <w:tcBorders>
              <w:left w:val="single" w:sz="8" w:space="0" w:color="000000"/>
              <w:bottom w:val="single" w:sz="6" w:space="0" w:color="000000"/>
            </w:tcBorders>
          </w:tcPr>
          <w:p w14:paraId="24D612F3" w14:textId="77777777" w:rsidR="00245300" w:rsidRPr="00EC20A0" w:rsidRDefault="00245300">
            <w:pPr>
              <w:pStyle w:val="TableParagraph"/>
              <w:rPr>
                <w:sz w:val="20"/>
              </w:rPr>
            </w:pPr>
          </w:p>
        </w:tc>
      </w:tr>
      <w:tr w:rsidR="00245300" w:rsidRPr="00EC20A0" w14:paraId="24D612F9" w14:textId="77777777">
        <w:trPr>
          <w:trHeight w:val="1206"/>
        </w:trPr>
        <w:tc>
          <w:tcPr>
            <w:tcW w:w="6600" w:type="dxa"/>
            <w:tcBorders>
              <w:top w:val="single" w:sz="6" w:space="0" w:color="000000"/>
              <w:bottom w:val="single" w:sz="6" w:space="0" w:color="000000"/>
              <w:right w:val="single" w:sz="6" w:space="0" w:color="000000"/>
            </w:tcBorders>
          </w:tcPr>
          <w:p w14:paraId="24D612F5" w14:textId="77777777" w:rsidR="00245300" w:rsidRPr="00EC20A0" w:rsidRDefault="00F17249">
            <w:pPr>
              <w:pStyle w:val="TableParagraph"/>
              <w:numPr>
                <w:ilvl w:val="0"/>
                <w:numId w:val="135"/>
              </w:numPr>
              <w:tabs>
                <w:tab w:val="left" w:pos="561"/>
              </w:tabs>
              <w:spacing w:before="143"/>
              <w:ind w:right="490"/>
            </w:pPr>
            <w:r w:rsidRPr="00EC20A0">
              <w:t>For</w:t>
            </w:r>
            <w:r w:rsidRPr="00EC20A0">
              <w:rPr>
                <w:spacing w:val="-5"/>
              </w:rPr>
              <w:t xml:space="preserve"> </w:t>
            </w:r>
            <w:r w:rsidRPr="00EC20A0">
              <w:t>each</w:t>
            </w:r>
            <w:r w:rsidRPr="00EC20A0">
              <w:rPr>
                <w:spacing w:val="-5"/>
              </w:rPr>
              <w:t xml:space="preserve"> </w:t>
            </w:r>
            <w:r w:rsidRPr="00EC20A0">
              <w:t>selection</w:t>
            </w:r>
            <w:r w:rsidRPr="00EC20A0">
              <w:rPr>
                <w:spacing w:val="-5"/>
              </w:rPr>
              <w:t xml:space="preserve"> </w:t>
            </w:r>
            <w:r w:rsidRPr="00EC20A0">
              <w:t>made</w:t>
            </w:r>
            <w:r w:rsidRPr="00EC20A0">
              <w:rPr>
                <w:spacing w:val="-5"/>
              </w:rPr>
              <w:t xml:space="preserve"> </w:t>
            </w:r>
            <w:r w:rsidRPr="00EC20A0">
              <w:t>in</w:t>
            </w:r>
            <w:r w:rsidRPr="00EC20A0">
              <w:rPr>
                <w:spacing w:val="-5"/>
              </w:rPr>
              <w:t xml:space="preserve"> </w:t>
            </w:r>
            <w:r w:rsidRPr="00EC20A0">
              <w:t>1,</w:t>
            </w:r>
            <w:r w:rsidRPr="00EC20A0">
              <w:rPr>
                <w:spacing w:val="-5"/>
              </w:rPr>
              <w:t xml:space="preserve"> </w:t>
            </w:r>
            <w:r w:rsidRPr="00EC20A0">
              <w:t>document</w:t>
            </w:r>
            <w:r w:rsidRPr="00EC20A0">
              <w:rPr>
                <w:spacing w:val="-5"/>
              </w:rPr>
              <w:t xml:space="preserve"> </w:t>
            </w:r>
            <w:r w:rsidRPr="00EC20A0">
              <w:t>the</w:t>
            </w:r>
            <w:r w:rsidRPr="00EC20A0">
              <w:rPr>
                <w:spacing w:val="-5"/>
              </w:rPr>
              <w:t xml:space="preserve"> </w:t>
            </w:r>
            <w:r w:rsidRPr="00EC20A0">
              <w:t>following</w:t>
            </w:r>
            <w:r w:rsidRPr="00EC20A0">
              <w:rPr>
                <w:spacing w:val="-5"/>
              </w:rPr>
              <w:t xml:space="preserve"> </w:t>
            </w:r>
            <w:r w:rsidRPr="00EC20A0">
              <w:t>for the pay period selected:</w:t>
            </w:r>
          </w:p>
          <w:p w14:paraId="24D612F6" w14:textId="77777777" w:rsidR="00245300" w:rsidRPr="00EC20A0" w:rsidRDefault="00F17249">
            <w:pPr>
              <w:pStyle w:val="TableParagraph"/>
              <w:numPr>
                <w:ilvl w:val="1"/>
                <w:numId w:val="135"/>
              </w:numPr>
              <w:tabs>
                <w:tab w:val="left" w:pos="921"/>
              </w:tabs>
              <w:spacing w:before="144"/>
            </w:pPr>
            <w:r w:rsidRPr="00EC20A0">
              <w:t>the</w:t>
            </w:r>
            <w:r w:rsidRPr="00EC20A0">
              <w:rPr>
                <w:spacing w:val="-6"/>
              </w:rPr>
              <w:t xml:space="preserve"> </w:t>
            </w:r>
            <w:r w:rsidRPr="00EC20A0">
              <w:t>amount</w:t>
            </w:r>
            <w:r w:rsidRPr="00EC20A0">
              <w:rPr>
                <w:spacing w:val="-6"/>
              </w:rPr>
              <w:t xml:space="preserve"> </w:t>
            </w:r>
            <w:r w:rsidRPr="00EC20A0">
              <w:t>withheld</w:t>
            </w:r>
            <w:r w:rsidRPr="00EC20A0">
              <w:rPr>
                <w:spacing w:val="-5"/>
              </w:rPr>
              <w:t xml:space="preserve"> </w:t>
            </w:r>
            <w:r w:rsidRPr="00EC20A0">
              <w:t>for</w:t>
            </w:r>
            <w:r w:rsidRPr="00EC20A0">
              <w:rPr>
                <w:spacing w:val="-7"/>
              </w:rPr>
              <w:t xml:space="preserve"> </w:t>
            </w:r>
            <w:r w:rsidRPr="00EC20A0">
              <w:t>the</w:t>
            </w:r>
            <w:r w:rsidRPr="00EC20A0">
              <w:rPr>
                <w:spacing w:val="-5"/>
              </w:rPr>
              <w:t xml:space="preserve"> </w:t>
            </w:r>
            <w:r w:rsidRPr="00EC20A0">
              <w:t>cost</w:t>
            </w:r>
            <w:r w:rsidRPr="00EC20A0">
              <w:rPr>
                <w:spacing w:val="-6"/>
              </w:rPr>
              <w:t xml:space="preserve"> </w:t>
            </w:r>
            <w:r w:rsidRPr="00EC20A0">
              <w:t>of</w:t>
            </w:r>
            <w:r w:rsidRPr="00EC20A0">
              <w:rPr>
                <w:spacing w:val="-6"/>
              </w:rPr>
              <w:t xml:space="preserve"> </w:t>
            </w:r>
            <w:r w:rsidRPr="00EC20A0">
              <w:t>retirement</w:t>
            </w:r>
            <w:r w:rsidRPr="00EC20A0">
              <w:rPr>
                <w:spacing w:val="-5"/>
              </w:rPr>
              <w:t xml:space="preserve"> </w:t>
            </w:r>
            <w:r w:rsidRPr="00EC20A0">
              <w:rPr>
                <w:spacing w:val="-2"/>
              </w:rPr>
              <w:t>benefits;</w:t>
            </w:r>
          </w:p>
        </w:tc>
        <w:tc>
          <w:tcPr>
            <w:tcW w:w="1320" w:type="dxa"/>
            <w:tcBorders>
              <w:top w:val="single" w:sz="6" w:space="0" w:color="000000"/>
              <w:left w:val="single" w:sz="6" w:space="0" w:color="000000"/>
              <w:bottom w:val="single" w:sz="6" w:space="0" w:color="000000"/>
              <w:right w:val="single" w:sz="6" w:space="0" w:color="000000"/>
            </w:tcBorders>
          </w:tcPr>
          <w:p w14:paraId="24D612F7" w14:textId="77777777" w:rsidR="00245300" w:rsidRPr="00EC20A0" w:rsidRDefault="00245300">
            <w:pPr>
              <w:pStyle w:val="TableParagraph"/>
              <w:rPr>
                <w:sz w:val="20"/>
              </w:rPr>
            </w:pPr>
          </w:p>
        </w:tc>
        <w:tc>
          <w:tcPr>
            <w:tcW w:w="1320" w:type="dxa"/>
            <w:tcBorders>
              <w:top w:val="single" w:sz="6" w:space="0" w:color="000000"/>
              <w:left w:val="single" w:sz="6" w:space="0" w:color="000000"/>
              <w:bottom w:val="single" w:sz="6" w:space="0" w:color="000000"/>
            </w:tcBorders>
          </w:tcPr>
          <w:p w14:paraId="24D612F8" w14:textId="77777777" w:rsidR="00245300" w:rsidRPr="00EC20A0" w:rsidRDefault="00245300">
            <w:pPr>
              <w:pStyle w:val="TableParagraph"/>
              <w:rPr>
                <w:sz w:val="20"/>
              </w:rPr>
            </w:pPr>
          </w:p>
        </w:tc>
      </w:tr>
    </w:tbl>
    <w:p w14:paraId="24D612FA" w14:textId="77777777" w:rsidR="00245300" w:rsidRPr="00EC20A0" w:rsidRDefault="00245300">
      <w:pPr>
        <w:pStyle w:val="BodyText"/>
        <w:rPr>
          <w:sz w:val="20"/>
        </w:rPr>
      </w:pPr>
    </w:p>
    <w:p w14:paraId="24D612FB" w14:textId="77777777" w:rsidR="00245300" w:rsidRPr="00EC20A0" w:rsidRDefault="00F17249">
      <w:pPr>
        <w:pStyle w:val="BodyText"/>
        <w:spacing w:before="52"/>
        <w:rPr>
          <w:sz w:val="20"/>
        </w:rPr>
      </w:pPr>
      <w:r w:rsidRPr="00EC20A0">
        <w:rPr>
          <w:noProof/>
        </w:rPr>
        <mc:AlternateContent>
          <mc:Choice Requires="wps">
            <w:drawing>
              <wp:anchor distT="0" distB="0" distL="0" distR="0" simplePos="0" relativeHeight="487685632" behindDoc="1" locked="0" layoutInCell="1" allowOverlap="1" wp14:anchorId="24D62C33" wp14:editId="24D62C34">
                <wp:simplePos x="0" y="0"/>
                <wp:positionH relativeFrom="page">
                  <wp:posOffset>914400</wp:posOffset>
                </wp:positionH>
                <wp:positionV relativeFrom="paragraph">
                  <wp:posOffset>194703</wp:posOffset>
                </wp:positionV>
                <wp:extent cx="1828800" cy="6985"/>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DA960" id="Graphic 647" o:spid="_x0000_s1026" style="position:absolute;margin-left:1in;margin-top:15.35pt;width:2in;height:.55pt;z-index:-156308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" path="m1828800,l,,,6858r1828800,l1828800,xe" fillcolor="black" stroked="f">
                <v:path arrowok="t"/>
                <w10:wrap type="topAndBottom" anchorx="page"/>
              </v:shape>
            </w:pict>
          </mc:Fallback>
        </mc:AlternateContent>
      </w:r>
    </w:p>
    <w:p w14:paraId="24D612FC" w14:textId="77777777" w:rsidR="00245300" w:rsidRPr="00EC20A0" w:rsidRDefault="00F17249">
      <w:pPr>
        <w:spacing w:before="217" w:line="242" w:lineRule="auto"/>
        <w:ind w:left="119" w:right="38"/>
        <w:rPr>
          <w:sz w:val="18"/>
        </w:rPr>
      </w:pPr>
      <w:bookmarkStart w:id="245" w:name="_bookmark133"/>
      <w:bookmarkEnd w:id="245"/>
      <w:r w:rsidRPr="00EC20A0">
        <w:rPr>
          <w:position w:val="7"/>
          <w:sz w:val="14"/>
        </w:rPr>
        <w:t>56</w:t>
      </w:r>
      <w:r w:rsidRPr="00EC20A0">
        <w:rPr>
          <w:sz w:val="18"/>
        </w:rPr>
        <w:t xml:space="preserve">If the auditor uses multipurpose testing for the </w:t>
      </w:r>
      <w:r w:rsidRPr="00EC20A0">
        <w:rPr>
          <w:sz w:val="18"/>
        </w:rPr>
        <w:t>compliance test, compliance control test, or both and a substantive test of payroll expense details, then the auditor should select the sample items for the compliance test, compliance control</w:t>
      </w:r>
      <w:r w:rsidRPr="00EC20A0">
        <w:rPr>
          <w:spacing w:val="-2"/>
          <w:sz w:val="18"/>
        </w:rPr>
        <w:t xml:space="preserve"> </w:t>
      </w:r>
      <w:r w:rsidRPr="00EC20A0">
        <w:rPr>
          <w:sz w:val="18"/>
        </w:rPr>
        <w:t>test,</w:t>
      </w:r>
      <w:r w:rsidRPr="00EC20A0">
        <w:rPr>
          <w:spacing w:val="-2"/>
          <w:sz w:val="18"/>
        </w:rPr>
        <w:t xml:space="preserve"> </w:t>
      </w:r>
      <w:r w:rsidRPr="00EC20A0">
        <w:rPr>
          <w:sz w:val="18"/>
        </w:rPr>
        <w:t>or</w:t>
      </w:r>
      <w:r w:rsidRPr="00EC20A0">
        <w:rPr>
          <w:spacing w:val="-2"/>
          <w:sz w:val="18"/>
        </w:rPr>
        <w:t xml:space="preserve"> </w:t>
      </w:r>
      <w:r w:rsidRPr="00EC20A0">
        <w:rPr>
          <w:sz w:val="18"/>
        </w:rPr>
        <w:t>both</w:t>
      </w:r>
      <w:r w:rsidRPr="00EC20A0">
        <w:rPr>
          <w:spacing w:val="-3"/>
          <w:sz w:val="18"/>
        </w:rPr>
        <w:t xml:space="preserve"> </w:t>
      </w:r>
      <w:r w:rsidRPr="00EC20A0">
        <w:rPr>
          <w:sz w:val="18"/>
        </w:rPr>
        <w:t>using</w:t>
      </w:r>
      <w:r w:rsidRPr="00EC20A0">
        <w:rPr>
          <w:spacing w:val="-3"/>
          <w:sz w:val="18"/>
        </w:rPr>
        <w:t xml:space="preserve"> </w:t>
      </w:r>
      <w:r w:rsidRPr="00EC20A0">
        <w:rPr>
          <w:sz w:val="18"/>
        </w:rPr>
        <w:t>the</w:t>
      </w:r>
      <w:r w:rsidRPr="00EC20A0">
        <w:rPr>
          <w:spacing w:val="-1"/>
          <w:sz w:val="18"/>
        </w:rPr>
        <w:t xml:space="preserve"> </w:t>
      </w:r>
      <w:r w:rsidRPr="00EC20A0">
        <w:rPr>
          <w:sz w:val="18"/>
        </w:rPr>
        <w:t>sampling</w:t>
      </w:r>
      <w:r w:rsidRPr="00EC20A0">
        <w:rPr>
          <w:spacing w:val="-3"/>
          <w:sz w:val="18"/>
        </w:rPr>
        <w:t xml:space="preserve"> </w:t>
      </w:r>
      <w:r w:rsidRPr="00EC20A0">
        <w:rPr>
          <w:sz w:val="18"/>
        </w:rPr>
        <w:t>method</w:t>
      </w:r>
      <w:r w:rsidRPr="00EC20A0">
        <w:rPr>
          <w:spacing w:val="-3"/>
          <w:sz w:val="18"/>
        </w:rPr>
        <w:t xml:space="preserve"> </w:t>
      </w:r>
      <w:r w:rsidRPr="00EC20A0">
        <w:rPr>
          <w:sz w:val="18"/>
        </w:rPr>
        <w:t>used</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1"/>
          <w:sz w:val="18"/>
        </w:rPr>
        <w:t xml:space="preserve"> </w:t>
      </w:r>
      <w:r w:rsidRPr="00EC20A0">
        <w:rPr>
          <w:sz w:val="18"/>
        </w:rPr>
        <w:t>substantive</w:t>
      </w:r>
      <w:r w:rsidRPr="00EC20A0">
        <w:rPr>
          <w:spacing w:val="-3"/>
          <w:sz w:val="18"/>
        </w:rPr>
        <w:t xml:space="preserve"> </w:t>
      </w:r>
      <w:r w:rsidRPr="00EC20A0">
        <w:rPr>
          <w:sz w:val="18"/>
        </w:rPr>
        <w:t>test,</w:t>
      </w:r>
      <w:r w:rsidRPr="00EC20A0">
        <w:rPr>
          <w:spacing w:val="-2"/>
          <w:sz w:val="18"/>
        </w:rPr>
        <w:t xml:space="preserve"> </w:t>
      </w:r>
      <w:r w:rsidRPr="00EC20A0">
        <w:rPr>
          <w:sz w:val="18"/>
        </w:rPr>
        <w:t>as</w:t>
      </w:r>
      <w:r w:rsidRPr="00EC20A0">
        <w:rPr>
          <w:spacing w:val="-2"/>
          <w:sz w:val="18"/>
        </w:rPr>
        <w:t xml:space="preserve"> </w:t>
      </w:r>
      <w:r w:rsidRPr="00EC20A0">
        <w:rPr>
          <w:sz w:val="18"/>
        </w:rPr>
        <w:t>discussed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430,</w:t>
      </w:r>
      <w:r w:rsidRPr="00EC20A0">
        <w:rPr>
          <w:spacing w:val="-2"/>
          <w:sz w:val="18"/>
        </w:rPr>
        <w:t xml:space="preserve"> </w:t>
      </w:r>
      <w:r w:rsidRPr="00EC20A0">
        <w:rPr>
          <w:sz w:val="18"/>
        </w:rPr>
        <w:t>Design</w:t>
      </w:r>
      <w:r w:rsidRPr="00EC20A0">
        <w:rPr>
          <w:spacing w:val="-3"/>
          <w:sz w:val="18"/>
        </w:rPr>
        <w:t xml:space="preserve"> </w:t>
      </w:r>
      <w:r w:rsidRPr="00EC20A0">
        <w:rPr>
          <w:sz w:val="18"/>
        </w:rPr>
        <w:t>Tests. Otherwise, the auditor should select items using attribute sampling, as discussed in FAM 460.02.</w:t>
      </w:r>
    </w:p>
    <w:p w14:paraId="24D612FD" w14:textId="77777777" w:rsidR="00245300" w:rsidRPr="00EC20A0" w:rsidRDefault="00F17249">
      <w:pPr>
        <w:spacing w:before="119"/>
        <w:ind w:left="119" w:right="147"/>
        <w:rPr>
          <w:sz w:val="18"/>
        </w:rPr>
      </w:pPr>
      <w:r w:rsidRPr="00EC20A0">
        <w:rPr>
          <w:sz w:val="18"/>
        </w:rPr>
        <w:t>As with all sampling applications, the auditor should consider the completeness of the population. For efficiency, the auditor</w:t>
      </w:r>
      <w:r w:rsidRPr="00EC20A0">
        <w:rPr>
          <w:spacing w:val="-3"/>
          <w:sz w:val="18"/>
        </w:rPr>
        <w:t xml:space="preserve"> </w:t>
      </w:r>
      <w:r w:rsidRPr="00EC20A0">
        <w:rPr>
          <w:sz w:val="18"/>
        </w:rPr>
        <w:t>should</w:t>
      </w:r>
      <w:r w:rsidRPr="00EC20A0">
        <w:rPr>
          <w:spacing w:val="-2"/>
          <w:sz w:val="18"/>
        </w:rPr>
        <w:t xml:space="preserve"> </w:t>
      </w:r>
      <w:r w:rsidRPr="00EC20A0">
        <w:rPr>
          <w:sz w:val="18"/>
        </w:rPr>
        <w:t>consider</w:t>
      </w:r>
      <w:r w:rsidRPr="00EC20A0">
        <w:rPr>
          <w:spacing w:val="-3"/>
          <w:sz w:val="18"/>
        </w:rPr>
        <w:t xml:space="preserve"> </w:t>
      </w:r>
      <w:r w:rsidRPr="00EC20A0">
        <w:rPr>
          <w:sz w:val="18"/>
        </w:rPr>
        <w:t>using</w:t>
      </w:r>
      <w:r w:rsidRPr="00EC20A0">
        <w:rPr>
          <w:spacing w:val="-2"/>
          <w:sz w:val="18"/>
        </w:rPr>
        <w:t xml:space="preserve"> </w:t>
      </w:r>
      <w:r w:rsidRPr="00EC20A0">
        <w:rPr>
          <w:sz w:val="18"/>
        </w:rPr>
        <w:t>records</w:t>
      </w:r>
      <w:r w:rsidRPr="00EC20A0">
        <w:rPr>
          <w:spacing w:val="-3"/>
          <w:sz w:val="18"/>
        </w:rPr>
        <w:t xml:space="preserve"> </w:t>
      </w:r>
      <w:r w:rsidRPr="00EC20A0">
        <w:rPr>
          <w:sz w:val="18"/>
        </w:rPr>
        <w:t>that</w:t>
      </w:r>
      <w:r w:rsidRPr="00EC20A0">
        <w:rPr>
          <w:spacing w:val="-3"/>
          <w:sz w:val="18"/>
        </w:rPr>
        <w:t xml:space="preserve"> </w:t>
      </w:r>
      <w:r w:rsidRPr="00EC20A0">
        <w:rPr>
          <w:sz w:val="18"/>
        </w:rPr>
        <w:t>were</w:t>
      </w:r>
      <w:r w:rsidRPr="00EC20A0">
        <w:rPr>
          <w:spacing w:val="-4"/>
          <w:sz w:val="18"/>
        </w:rPr>
        <w:t xml:space="preserve"> </w:t>
      </w:r>
      <w:r w:rsidRPr="00EC20A0">
        <w:rPr>
          <w:sz w:val="18"/>
        </w:rPr>
        <w:t>tested</w:t>
      </w:r>
      <w:r w:rsidRPr="00EC20A0">
        <w:rPr>
          <w:spacing w:val="-4"/>
          <w:sz w:val="18"/>
        </w:rPr>
        <w:t xml:space="preserve"> </w:t>
      </w:r>
      <w:r w:rsidRPr="00EC20A0">
        <w:rPr>
          <w:sz w:val="18"/>
        </w:rPr>
        <w:t>for</w:t>
      </w:r>
      <w:r w:rsidRPr="00EC20A0">
        <w:rPr>
          <w:spacing w:val="-3"/>
          <w:sz w:val="18"/>
        </w:rPr>
        <w:t xml:space="preserve"> </w:t>
      </w:r>
      <w:r w:rsidRPr="00EC20A0">
        <w:rPr>
          <w:sz w:val="18"/>
        </w:rPr>
        <w:t>validity</w:t>
      </w:r>
      <w:r w:rsidRPr="00EC20A0">
        <w:rPr>
          <w:spacing w:val="-3"/>
          <w:sz w:val="18"/>
        </w:rPr>
        <w:t xml:space="preserve"> </w:t>
      </w:r>
      <w:r w:rsidRPr="00EC20A0">
        <w:rPr>
          <w:sz w:val="18"/>
        </w:rPr>
        <w:t>and</w:t>
      </w:r>
      <w:r w:rsidRPr="00EC20A0">
        <w:rPr>
          <w:spacing w:val="-4"/>
          <w:sz w:val="18"/>
        </w:rPr>
        <w:t xml:space="preserve"> </w:t>
      </w:r>
      <w:r w:rsidRPr="00EC20A0">
        <w:rPr>
          <w:sz w:val="18"/>
        </w:rPr>
        <w:t>completeness</w:t>
      </w:r>
      <w:r w:rsidRPr="00EC20A0">
        <w:rPr>
          <w:spacing w:val="-3"/>
          <w:sz w:val="18"/>
        </w:rPr>
        <w:t xml:space="preserve"> </w:t>
      </w:r>
      <w:r w:rsidRPr="00EC20A0">
        <w:rPr>
          <w:sz w:val="18"/>
        </w:rPr>
        <w:t>(as</w:t>
      </w:r>
      <w:r w:rsidRPr="00EC20A0">
        <w:rPr>
          <w:spacing w:val="-2"/>
          <w:sz w:val="18"/>
        </w:rPr>
        <w:t xml:space="preserve"> </w:t>
      </w:r>
      <w:r w:rsidRPr="00EC20A0">
        <w:rPr>
          <w:sz w:val="18"/>
        </w:rPr>
        <w:t>well</w:t>
      </w:r>
      <w:r w:rsidRPr="00EC20A0">
        <w:rPr>
          <w:spacing w:val="-3"/>
          <w:sz w:val="18"/>
        </w:rPr>
        <w:t xml:space="preserve"> </w:t>
      </w:r>
      <w:r w:rsidRPr="00EC20A0">
        <w:rPr>
          <w:sz w:val="18"/>
        </w:rPr>
        <w:t>as</w:t>
      </w:r>
      <w:r w:rsidRPr="00EC20A0">
        <w:rPr>
          <w:spacing w:val="-3"/>
          <w:sz w:val="18"/>
        </w:rPr>
        <w:t xml:space="preserve"> </w:t>
      </w:r>
      <w:r w:rsidRPr="00EC20A0">
        <w:rPr>
          <w:sz w:val="18"/>
        </w:rPr>
        <w:t>the</w:t>
      </w:r>
      <w:r w:rsidRPr="00EC20A0">
        <w:rPr>
          <w:spacing w:val="-4"/>
          <w:sz w:val="18"/>
        </w:rPr>
        <w:t xml:space="preserve"> </w:t>
      </w:r>
      <w:r w:rsidRPr="00EC20A0">
        <w:rPr>
          <w:sz w:val="18"/>
        </w:rPr>
        <w:t>other</w:t>
      </w:r>
      <w:r w:rsidRPr="00EC20A0">
        <w:rPr>
          <w:spacing w:val="-2"/>
          <w:sz w:val="18"/>
        </w:rPr>
        <w:t xml:space="preserve"> </w:t>
      </w:r>
      <w:r w:rsidRPr="00EC20A0">
        <w:rPr>
          <w:sz w:val="18"/>
        </w:rPr>
        <w:t>assertions) in conjunction with substantive tests of payroll or other payroll related compliance tests.</w:t>
      </w:r>
    </w:p>
    <w:p w14:paraId="24D612FE" w14:textId="77777777" w:rsidR="00245300" w:rsidRPr="00EC20A0" w:rsidRDefault="00245300">
      <w:pPr>
        <w:rPr>
          <w:sz w:val="18"/>
        </w:rPr>
        <w:sectPr w:rsidR="00245300" w:rsidRPr="00EC20A0">
          <w:headerReference w:type="default" r:id="rId121"/>
          <w:footerReference w:type="default" r:id="rId122"/>
          <w:pgSz w:w="12240" w:h="15840"/>
          <w:pgMar w:top="1380" w:right="1340" w:bottom="940" w:left="1320" w:header="721" w:footer="742" w:gutter="0"/>
          <w:cols w:space="720"/>
        </w:sectPr>
      </w:pPr>
    </w:p>
    <w:p w14:paraId="24D612FF" w14:textId="77777777" w:rsidR="00245300" w:rsidRPr="00EC20A0" w:rsidRDefault="00245300">
      <w:pPr>
        <w:pStyle w:val="BodyText"/>
        <w:spacing w:before="4" w:after="1"/>
        <w:rPr>
          <w:sz w:val="8"/>
        </w:rPr>
      </w:pPr>
    </w:p>
    <w:tbl>
      <w:tblPr>
        <w:tblW w:w="0" w:type="auto"/>
        <w:tblInd w:w="15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04"/>
      </w:tblGrid>
      <w:tr w:rsidR="00245300" w:rsidRPr="00EC20A0" w14:paraId="24D61301" w14:textId="77777777">
        <w:trPr>
          <w:trHeight w:val="1335"/>
        </w:trPr>
        <w:tc>
          <w:tcPr>
            <w:tcW w:w="9224" w:type="dxa"/>
            <w:gridSpan w:val="3"/>
          </w:tcPr>
          <w:p w14:paraId="24D61300" w14:textId="77777777" w:rsidR="00245300" w:rsidRPr="00EC20A0" w:rsidRDefault="00F17249">
            <w:pPr>
              <w:pStyle w:val="TableParagraph"/>
              <w:tabs>
                <w:tab w:val="left" w:pos="8945"/>
              </w:tabs>
              <w:spacing w:before="7" w:line="390" w:lineRule="atLeast"/>
              <w:ind w:left="131" w:right="231"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307" w14:textId="77777777">
        <w:trPr>
          <w:trHeight w:val="793"/>
        </w:trPr>
        <w:tc>
          <w:tcPr>
            <w:tcW w:w="6600" w:type="dxa"/>
            <w:tcBorders>
              <w:right w:val="single" w:sz="8" w:space="0" w:color="000000"/>
            </w:tcBorders>
          </w:tcPr>
          <w:p w14:paraId="24D61302" w14:textId="77777777" w:rsidR="00245300" w:rsidRPr="00EC20A0" w:rsidRDefault="00245300">
            <w:pPr>
              <w:pStyle w:val="TableParagraph"/>
              <w:spacing w:before="144"/>
            </w:pPr>
          </w:p>
          <w:p w14:paraId="24D61303" w14:textId="77777777" w:rsidR="00245300" w:rsidRPr="00EC20A0" w:rsidRDefault="00F17249">
            <w:pPr>
              <w:pStyle w:val="TableParagraph"/>
              <w:ind w:left="131"/>
              <w:rPr>
                <w:b/>
              </w:rPr>
            </w:pPr>
            <w:r w:rsidRPr="00EC20A0">
              <w:rPr>
                <w:b/>
              </w:rPr>
              <w:t>Audit</w:t>
            </w:r>
            <w:r w:rsidRPr="00EC20A0">
              <w:rPr>
                <w:b/>
                <w:spacing w:val="-7"/>
              </w:rPr>
              <w:t xml:space="preserve"> </w:t>
            </w:r>
            <w:r w:rsidRPr="00EC20A0">
              <w:rPr>
                <w:b/>
                <w:spacing w:val="-2"/>
              </w:rPr>
              <w:t>procedures</w:t>
            </w:r>
          </w:p>
        </w:tc>
        <w:tc>
          <w:tcPr>
            <w:tcW w:w="1320" w:type="dxa"/>
            <w:tcBorders>
              <w:left w:val="single" w:sz="8" w:space="0" w:color="000000"/>
              <w:right w:val="single" w:sz="8" w:space="0" w:color="000000"/>
            </w:tcBorders>
          </w:tcPr>
          <w:p w14:paraId="24D61304" w14:textId="77777777" w:rsidR="00245300" w:rsidRPr="00EC20A0" w:rsidRDefault="00F17249">
            <w:pPr>
              <w:pStyle w:val="TableParagraph"/>
              <w:spacing w:before="144"/>
              <w:ind w:left="143" w:right="1"/>
              <w:rPr>
                <w:b/>
              </w:rPr>
            </w:pPr>
            <w:r w:rsidRPr="00EC20A0">
              <w:rPr>
                <w:b/>
                <w:spacing w:val="-2"/>
              </w:rPr>
              <w:t xml:space="preserve">Initials/ </w:t>
            </w:r>
            <w:r w:rsidRPr="00EC20A0">
              <w:rPr>
                <w:b/>
                <w:spacing w:val="-4"/>
              </w:rPr>
              <w:t>date</w:t>
            </w:r>
          </w:p>
        </w:tc>
        <w:tc>
          <w:tcPr>
            <w:tcW w:w="1304" w:type="dxa"/>
            <w:tcBorders>
              <w:left w:val="single" w:sz="8" w:space="0" w:color="000000"/>
            </w:tcBorders>
          </w:tcPr>
          <w:p w14:paraId="24D61305" w14:textId="77777777" w:rsidR="00245300" w:rsidRPr="00EC20A0" w:rsidRDefault="00245300">
            <w:pPr>
              <w:pStyle w:val="TableParagraph"/>
              <w:spacing w:before="144"/>
            </w:pPr>
          </w:p>
          <w:p w14:paraId="24D61306" w14:textId="77777777" w:rsidR="00245300" w:rsidRPr="00EC20A0" w:rsidRDefault="00F17249">
            <w:pPr>
              <w:pStyle w:val="TableParagraph"/>
              <w:ind w:left="143"/>
              <w:rPr>
                <w:b/>
              </w:rPr>
            </w:pPr>
            <w:r w:rsidRPr="00EC20A0">
              <w:rPr>
                <w:b/>
              </w:rPr>
              <w:t>Doc.</w:t>
            </w:r>
            <w:r w:rsidRPr="00EC20A0">
              <w:rPr>
                <w:b/>
                <w:spacing w:val="-6"/>
              </w:rPr>
              <w:t xml:space="preserve"> </w:t>
            </w:r>
            <w:r w:rsidRPr="00EC20A0">
              <w:rPr>
                <w:b/>
                <w:spacing w:val="-4"/>
              </w:rPr>
              <w:t>ref.</w:t>
            </w:r>
          </w:p>
        </w:tc>
      </w:tr>
      <w:tr w:rsidR="00245300" w:rsidRPr="00EC20A0" w14:paraId="24D6130C" w14:textId="77777777">
        <w:trPr>
          <w:trHeight w:val="2089"/>
        </w:trPr>
        <w:tc>
          <w:tcPr>
            <w:tcW w:w="6600" w:type="dxa"/>
            <w:tcBorders>
              <w:bottom w:val="single" w:sz="6" w:space="0" w:color="000000"/>
              <w:right w:val="single" w:sz="6" w:space="0" w:color="000000"/>
            </w:tcBorders>
          </w:tcPr>
          <w:p w14:paraId="24D61308" w14:textId="77777777" w:rsidR="00245300" w:rsidRPr="00EC20A0" w:rsidRDefault="00F17249">
            <w:pPr>
              <w:pStyle w:val="TableParagraph"/>
              <w:numPr>
                <w:ilvl w:val="0"/>
                <w:numId w:val="134"/>
              </w:numPr>
              <w:tabs>
                <w:tab w:val="left" w:pos="923"/>
              </w:tabs>
              <w:spacing w:before="1"/>
            </w:pPr>
            <w:r w:rsidRPr="00EC20A0">
              <w:t>the</w:t>
            </w:r>
            <w:r w:rsidRPr="00EC20A0">
              <w:rPr>
                <w:spacing w:val="-5"/>
              </w:rPr>
              <w:t xml:space="preserve"> </w:t>
            </w:r>
            <w:r w:rsidRPr="00EC20A0">
              <w:t>amount</w:t>
            </w:r>
            <w:r w:rsidRPr="00EC20A0">
              <w:rPr>
                <w:spacing w:val="-5"/>
              </w:rPr>
              <w:t xml:space="preserve"> </w:t>
            </w:r>
            <w:r w:rsidRPr="00EC20A0">
              <w:t>of</w:t>
            </w:r>
            <w:r w:rsidRPr="00EC20A0">
              <w:rPr>
                <w:spacing w:val="-5"/>
              </w:rPr>
              <w:t xml:space="preserve"> </w:t>
            </w:r>
            <w:r w:rsidRPr="00EC20A0">
              <w:t>basic</w:t>
            </w:r>
            <w:r w:rsidRPr="00EC20A0">
              <w:rPr>
                <w:spacing w:val="-5"/>
              </w:rPr>
              <w:t xml:space="preserve"> </w:t>
            </w:r>
            <w:r w:rsidRPr="00EC20A0">
              <w:t>pay;</w:t>
            </w:r>
            <w:r w:rsidRPr="00EC20A0">
              <w:rPr>
                <w:spacing w:val="-5"/>
              </w:rPr>
              <w:t xml:space="preserve"> and</w:t>
            </w:r>
          </w:p>
          <w:p w14:paraId="24D61309" w14:textId="77777777" w:rsidR="00245300" w:rsidRPr="00EC20A0" w:rsidRDefault="00F17249">
            <w:pPr>
              <w:pStyle w:val="TableParagraph"/>
              <w:numPr>
                <w:ilvl w:val="0"/>
                <w:numId w:val="134"/>
              </w:numPr>
              <w:tabs>
                <w:tab w:val="left" w:pos="923"/>
              </w:tabs>
              <w:spacing w:before="142"/>
              <w:ind w:right="143"/>
            </w:pPr>
            <w:r w:rsidRPr="00EC20A0">
              <w:t>if indicated in the payroll disbursement records, the retirement</w:t>
            </w:r>
            <w:r w:rsidRPr="00EC20A0">
              <w:rPr>
                <w:spacing w:val="-6"/>
              </w:rPr>
              <w:t xml:space="preserve"> </w:t>
            </w:r>
            <w:r w:rsidRPr="00EC20A0">
              <w:t>plan</w:t>
            </w:r>
            <w:r w:rsidRPr="00EC20A0">
              <w:rPr>
                <w:spacing w:val="-6"/>
              </w:rPr>
              <w:t xml:space="preserve"> </w:t>
            </w:r>
            <w:r w:rsidRPr="00EC20A0">
              <w:t>under</w:t>
            </w:r>
            <w:r w:rsidRPr="00EC20A0">
              <w:rPr>
                <w:spacing w:val="-6"/>
              </w:rPr>
              <w:t xml:space="preserve"> </w:t>
            </w:r>
            <w:r w:rsidRPr="00EC20A0">
              <w:t>which</w:t>
            </w:r>
            <w:r w:rsidRPr="00EC20A0">
              <w:rPr>
                <w:spacing w:val="-6"/>
              </w:rPr>
              <w:t xml:space="preserve"> </w:t>
            </w:r>
            <w:r w:rsidRPr="00EC20A0">
              <w:t>the</w:t>
            </w:r>
            <w:r w:rsidRPr="00EC20A0">
              <w:rPr>
                <w:spacing w:val="-6"/>
              </w:rPr>
              <w:t xml:space="preserve"> </w:t>
            </w:r>
            <w:r w:rsidRPr="00EC20A0">
              <w:t>withholdings</w:t>
            </w:r>
            <w:r w:rsidRPr="00EC20A0">
              <w:rPr>
                <w:spacing w:val="-6"/>
              </w:rPr>
              <w:t xml:space="preserve"> </w:t>
            </w:r>
            <w:r w:rsidRPr="00EC20A0">
              <w:t>were</w:t>
            </w:r>
            <w:r w:rsidRPr="00EC20A0">
              <w:rPr>
                <w:spacing w:val="-6"/>
              </w:rPr>
              <w:t xml:space="preserve"> </w:t>
            </w:r>
            <w:r w:rsidRPr="00EC20A0">
              <w:t xml:space="preserve">made (CSRS or the Federal Employees Retirement System (FERS)). (Only employees covered by CSRS should be included in </w:t>
            </w:r>
            <w:r w:rsidRPr="00EC20A0">
              <w:t>this compliance test. See FAM 811 for the FERS compliance test.)</w:t>
            </w:r>
          </w:p>
        </w:tc>
        <w:tc>
          <w:tcPr>
            <w:tcW w:w="1320" w:type="dxa"/>
            <w:tcBorders>
              <w:left w:val="single" w:sz="6" w:space="0" w:color="000000"/>
              <w:bottom w:val="single" w:sz="6" w:space="0" w:color="000000"/>
              <w:right w:val="single" w:sz="6" w:space="0" w:color="000000"/>
            </w:tcBorders>
          </w:tcPr>
          <w:p w14:paraId="24D6130A" w14:textId="77777777" w:rsidR="00245300" w:rsidRPr="00EC20A0" w:rsidRDefault="00245300">
            <w:pPr>
              <w:pStyle w:val="TableParagraph"/>
              <w:rPr>
                <w:sz w:val="20"/>
              </w:rPr>
            </w:pPr>
          </w:p>
        </w:tc>
        <w:tc>
          <w:tcPr>
            <w:tcW w:w="1304" w:type="dxa"/>
            <w:tcBorders>
              <w:left w:val="single" w:sz="6" w:space="0" w:color="000000"/>
              <w:bottom w:val="single" w:sz="6" w:space="0" w:color="000000"/>
            </w:tcBorders>
          </w:tcPr>
          <w:p w14:paraId="24D6130B" w14:textId="77777777" w:rsidR="00245300" w:rsidRPr="00EC20A0" w:rsidRDefault="00245300">
            <w:pPr>
              <w:pStyle w:val="TableParagraph"/>
              <w:rPr>
                <w:sz w:val="20"/>
              </w:rPr>
            </w:pPr>
          </w:p>
        </w:tc>
      </w:tr>
      <w:tr w:rsidR="00245300" w:rsidRPr="00EC20A0" w14:paraId="24D61313" w14:textId="77777777">
        <w:trPr>
          <w:trHeight w:val="2281"/>
        </w:trPr>
        <w:tc>
          <w:tcPr>
            <w:tcW w:w="6600" w:type="dxa"/>
            <w:tcBorders>
              <w:top w:val="single" w:sz="6" w:space="0" w:color="000000"/>
              <w:left w:val="double" w:sz="8" w:space="0" w:color="000000"/>
              <w:bottom w:val="single" w:sz="6" w:space="0" w:color="000000"/>
              <w:right w:val="single" w:sz="8" w:space="0" w:color="000000"/>
            </w:tcBorders>
          </w:tcPr>
          <w:p w14:paraId="24D6130D" w14:textId="77777777" w:rsidR="00245300" w:rsidRPr="00EC20A0" w:rsidRDefault="00F17249">
            <w:pPr>
              <w:pStyle w:val="TableParagraph"/>
              <w:numPr>
                <w:ilvl w:val="0"/>
                <w:numId w:val="133"/>
              </w:numPr>
              <w:tabs>
                <w:tab w:val="left" w:pos="555"/>
              </w:tabs>
              <w:spacing w:before="143"/>
              <w:ind w:right="1098"/>
            </w:pPr>
            <w:r w:rsidRPr="00EC20A0">
              <w:t>For</w:t>
            </w:r>
            <w:r w:rsidRPr="00EC20A0">
              <w:rPr>
                <w:spacing w:val="-5"/>
              </w:rPr>
              <w:t xml:space="preserve"> </w:t>
            </w:r>
            <w:r w:rsidRPr="00EC20A0">
              <w:t>each</w:t>
            </w:r>
            <w:r w:rsidRPr="00EC20A0">
              <w:rPr>
                <w:spacing w:val="-5"/>
              </w:rPr>
              <w:t xml:space="preserve"> </w:t>
            </w:r>
            <w:r w:rsidRPr="00EC20A0">
              <w:t>item</w:t>
            </w:r>
            <w:r w:rsidRPr="00EC20A0">
              <w:rPr>
                <w:spacing w:val="-6"/>
              </w:rPr>
              <w:t xml:space="preserve"> </w:t>
            </w:r>
            <w:r w:rsidRPr="00EC20A0">
              <w:t>selected</w:t>
            </w:r>
            <w:r w:rsidRPr="00EC20A0">
              <w:rPr>
                <w:spacing w:val="-5"/>
              </w:rPr>
              <w:t xml:space="preserve"> </w:t>
            </w:r>
            <w:r w:rsidRPr="00EC20A0">
              <w:t>in</w:t>
            </w:r>
            <w:r w:rsidRPr="00EC20A0">
              <w:rPr>
                <w:spacing w:val="-5"/>
              </w:rPr>
              <w:t xml:space="preserve"> </w:t>
            </w:r>
            <w:r w:rsidRPr="00EC20A0">
              <w:t>1,</w:t>
            </w:r>
            <w:r w:rsidRPr="00EC20A0">
              <w:rPr>
                <w:spacing w:val="-5"/>
              </w:rPr>
              <w:t xml:space="preserve"> </w:t>
            </w:r>
            <w:r w:rsidRPr="00EC20A0">
              <w:t>obtain</w:t>
            </w:r>
            <w:r w:rsidRPr="00EC20A0">
              <w:rPr>
                <w:spacing w:val="-5"/>
              </w:rPr>
              <w:t xml:space="preserve"> </w:t>
            </w:r>
            <w:r w:rsidRPr="00EC20A0">
              <w:t>the</w:t>
            </w:r>
            <w:r w:rsidRPr="00EC20A0">
              <w:rPr>
                <w:spacing w:val="-5"/>
              </w:rPr>
              <w:t xml:space="preserve"> </w:t>
            </w:r>
            <w:r w:rsidRPr="00EC20A0">
              <w:t>employee’s personnel file and note the following:</w:t>
            </w:r>
          </w:p>
          <w:p w14:paraId="24D6130E" w14:textId="77777777" w:rsidR="00245300" w:rsidRPr="00EC20A0" w:rsidRDefault="00F17249">
            <w:pPr>
              <w:pStyle w:val="TableParagraph"/>
              <w:numPr>
                <w:ilvl w:val="1"/>
                <w:numId w:val="133"/>
              </w:numPr>
              <w:tabs>
                <w:tab w:val="left" w:pos="915"/>
              </w:tabs>
              <w:spacing w:before="144"/>
            </w:pPr>
            <w:r w:rsidRPr="00EC20A0">
              <w:t>employee</w:t>
            </w:r>
            <w:r w:rsidRPr="00EC20A0">
              <w:rPr>
                <w:spacing w:val="-8"/>
              </w:rPr>
              <w:t xml:space="preserve"> </w:t>
            </w:r>
            <w:r w:rsidRPr="00EC20A0">
              <w:t>hire</w:t>
            </w:r>
            <w:r w:rsidRPr="00EC20A0">
              <w:rPr>
                <w:spacing w:val="-7"/>
              </w:rPr>
              <w:t xml:space="preserve"> </w:t>
            </w:r>
            <w:r w:rsidRPr="00EC20A0">
              <w:rPr>
                <w:spacing w:val="-2"/>
              </w:rPr>
              <w:t>date,</w:t>
            </w:r>
          </w:p>
          <w:p w14:paraId="24D6130F" w14:textId="77777777" w:rsidR="00245300" w:rsidRPr="00EC20A0" w:rsidRDefault="00F17249">
            <w:pPr>
              <w:pStyle w:val="TableParagraph"/>
              <w:numPr>
                <w:ilvl w:val="1"/>
                <w:numId w:val="133"/>
              </w:numPr>
              <w:tabs>
                <w:tab w:val="left" w:pos="914"/>
              </w:tabs>
              <w:spacing w:before="142"/>
              <w:ind w:left="914" w:hanging="359"/>
            </w:pPr>
            <w:r w:rsidRPr="00EC20A0">
              <w:t>amount</w:t>
            </w:r>
            <w:r w:rsidRPr="00EC20A0">
              <w:rPr>
                <w:spacing w:val="-6"/>
              </w:rPr>
              <w:t xml:space="preserve"> </w:t>
            </w:r>
            <w:r w:rsidRPr="00EC20A0">
              <w:t>of</w:t>
            </w:r>
            <w:r w:rsidRPr="00EC20A0">
              <w:rPr>
                <w:spacing w:val="-5"/>
              </w:rPr>
              <w:t xml:space="preserve"> </w:t>
            </w:r>
            <w:r w:rsidRPr="00EC20A0">
              <w:t>basic</w:t>
            </w:r>
            <w:r w:rsidRPr="00EC20A0">
              <w:rPr>
                <w:spacing w:val="-5"/>
              </w:rPr>
              <w:t xml:space="preserve"> </w:t>
            </w:r>
            <w:r w:rsidRPr="00EC20A0">
              <w:t>pay,</w:t>
            </w:r>
            <w:r w:rsidRPr="00EC20A0">
              <w:rPr>
                <w:spacing w:val="-5"/>
              </w:rPr>
              <w:t xml:space="preserve"> and</w:t>
            </w:r>
          </w:p>
          <w:p w14:paraId="24D61310" w14:textId="77777777" w:rsidR="00245300" w:rsidRPr="00EC20A0" w:rsidRDefault="00F17249">
            <w:pPr>
              <w:pStyle w:val="TableParagraph"/>
              <w:numPr>
                <w:ilvl w:val="1"/>
                <w:numId w:val="133"/>
              </w:numPr>
              <w:tabs>
                <w:tab w:val="left" w:pos="915"/>
              </w:tabs>
              <w:spacing w:before="142"/>
              <w:ind w:right="961"/>
            </w:pPr>
            <w:r w:rsidRPr="00EC20A0">
              <w:t>the</w:t>
            </w:r>
            <w:r w:rsidRPr="00EC20A0">
              <w:rPr>
                <w:spacing w:val="-6"/>
              </w:rPr>
              <w:t xml:space="preserve"> </w:t>
            </w:r>
            <w:r w:rsidRPr="00EC20A0">
              <w:t>retirement</w:t>
            </w:r>
            <w:r w:rsidRPr="00EC20A0">
              <w:rPr>
                <w:spacing w:val="-6"/>
              </w:rPr>
              <w:t xml:space="preserve"> </w:t>
            </w:r>
            <w:r w:rsidRPr="00EC20A0">
              <w:t>plan</w:t>
            </w:r>
            <w:r w:rsidRPr="00EC20A0">
              <w:rPr>
                <w:spacing w:val="-6"/>
              </w:rPr>
              <w:t xml:space="preserve"> </w:t>
            </w:r>
            <w:r w:rsidRPr="00EC20A0">
              <w:t>under</w:t>
            </w:r>
            <w:r w:rsidRPr="00EC20A0">
              <w:rPr>
                <w:spacing w:val="-6"/>
              </w:rPr>
              <w:t xml:space="preserve"> </w:t>
            </w:r>
            <w:r w:rsidRPr="00EC20A0">
              <w:t>which</w:t>
            </w:r>
            <w:r w:rsidRPr="00EC20A0">
              <w:rPr>
                <w:spacing w:val="-6"/>
              </w:rPr>
              <w:t xml:space="preserve"> </w:t>
            </w:r>
            <w:r w:rsidRPr="00EC20A0">
              <w:t>the</w:t>
            </w:r>
            <w:r w:rsidRPr="00EC20A0">
              <w:rPr>
                <w:spacing w:val="-7"/>
              </w:rPr>
              <w:t xml:space="preserve"> </w:t>
            </w:r>
            <w:r w:rsidRPr="00EC20A0">
              <w:t>employee</w:t>
            </w:r>
            <w:r w:rsidRPr="00EC20A0">
              <w:rPr>
                <w:spacing w:val="-6"/>
              </w:rPr>
              <w:t xml:space="preserve"> </w:t>
            </w:r>
            <w:r w:rsidRPr="00EC20A0">
              <w:t xml:space="preserve">is </w:t>
            </w:r>
            <w:r w:rsidRPr="00EC20A0">
              <w:rPr>
                <w:spacing w:val="-2"/>
              </w:rPr>
              <w:t>covered.</w:t>
            </w:r>
          </w:p>
        </w:tc>
        <w:tc>
          <w:tcPr>
            <w:tcW w:w="1320" w:type="dxa"/>
            <w:tcBorders>
              <w:top w:val="single" w:sz="6" w:space="0" w:color="000000"/>
              <w:left w:val="single" w:sz="8" w:space="0" w:color="000000"/>
              <w:bottom w:val="single" w:sz="6" w:space="0" w:color="000000"/>
              <w:right w:val="single" w:sz="8" w:space="0" w:color="000000"/>
            </w:tcBorders>
          </w:tcPr>
          <w:p w14:paraId="24D61311" w14:textId="77777777" w:rsidR="00245300" w:rsidRPr="00EC20A0" w:rsidRDefault="00245300">
            <w:pPr>
              <w:pStyle w:val="TableParagraph"/>
              <w:rPr>
                <w:sz w:val="20"/>
              </w:rPr>
            </w:pPr>
          </w:p>
        </w:tc>
        <w:tc>
          <w:tcPr>
            <w:tcW w:w="1304" w:type="dxa"/>
            <w:tcBorders>
              <w:top w:val="single" w:sz="6" w:space="0" w:color="000000"/>
              <w:left w:val="single" w:sz="8" w:space="0" w:color="000000"/>
              <w:bottom w:val="single" w:sz="6" w:space="0" w:color="000000"/>
              <w:right w:val="double" w:sz="8" w:space="0" w:color="000000"/>
            </w:tcBorders>
          </w:tcPr>
          <w:p w14:paraId="24D61312" w14:textId="77777777" w:rsidR="00245300" w:rsidRPr="00EC20A0" w:rsidRDefault="00245300">
            <w:pPr>
              <w:pStyle w:val="TableParagraph"/>
              <w:rPr>
                <w:sz w:val="20"/>
              </w:rPr>
            </w:pPr>
          </w:p>
        </w:tc>
      </w:tr>
      <w:tr w:rsidR="00245300" w:rsidRPr="00EC20A0" w14:paraId="24D61319" w14:textId="77777777">
        <w:trPr>
          <w:trHeight w:val="4371"/>
        </w:trPr>
        <w:tc>
          <w:tcPr>
            <w:tcW w:w="6600" w:type="dxa"/>
            <w:tcBorders>
              <w:top w:val="single" w:sz="6" w:space="0" w:color="000000"/>
              <w:bottom w:val="single" w:sz="6" w:space="0" w:color="000000"/>
              <w:right w:val="single" w:sz="6" w:space="0" w:color="000000"/>
            </w:tcBorders>
          </w:tcPr>
          <w:p w14:paraId="24D61314" w14:textId="77777777" w:rsidR="00245300" w:rsidRPr="00EC20A0" w:rsidRDefault="00F17249">
            <w:pPr>
              <w:pStyle w:val="TableParagraph"/>
              <w:numPr>
                <w:ilvl w:val="0"/>
                <w:numId w:val="132"/>
              </w:numPr>
              <w:tabs>
                <w:tab w:val="left" w:pos="569"/>
              </w:tabs>
              <w:spacing w:before="145"/>
              <w:ind w:hanging="438"/>
            </w:pPr>
            <w:r w:rsidRPr="00EC20A0">
              <w:t>For</w:t>
            </w:r>
            <w:r w:rsidRPr="00EC20A0">
              <w:rPr>
                <w:spacing w:val="-6"/>
              </w:rPr>
              <w:t xml:space="preserve"> </w:t>
            </w:r>
            <w:r w:rsidRPr="00EC20A0">
              <w:t>each</w:t>
            </w:r>
            <w:r w:rsidRPr="00EC20A0">
              <w:rPr>
                <w:spacing w:val="-5"/>
              </w:rPr>
              <w:t xml:space="preserve"> </w:t>
            </w:r>
            <w:r w:rsidRPr="00EC20A0">
              <w:t>selection</w:t>
            </w:r>
            <w:r w:rsidRPr="00EC20A0">
              <w:rPr>
                <w:spacing w:val="-5"/>
              </w:rPr>
              <w:t xml:space="preserve"> </w:t>
            </w:r>
            <w:r w:rsidRPr="00EC20A0">
              <w:t>made</w:t>
            </w:r>
            <w:r w:rsidRPr="00EC20A0">
              <w:rPr>
                <w:spacing w:val="-5"/>
              </w:rPr>
              <w:t xml:space="preserve"> </w:t>
            </w:r>
            <w:r w:rsidRPr="00EC20A0">
              <w:t>in</w:t>
            </w:r>
            <w:r w:rsidRPr="00EC20A0">
              <w:rPr>
                <w:spacing w:val="-5"/>
              </w:rPr>
              <w:t xml:space="preserve"> </w:t>
            </w:r>
            <w:r w:rsidRPr="00EC20A0">
              <w:t>1,</w:t>
            </w:r>
            <w:r w:rsidRPr="00EC20A0">
              <w:rPr>
                <w:spacing w:val="-5"/>
              </w:rPr>
              <w:t xml:space="preserve"> </w:t>
            </w:r>
            <w:r w:rsidRPr="00EC20A0">
              <w:t>take</w:t>
            </w:r>
            <w:r w:rsidRPr="00EC20A0">
              <w:rPr>
                <w:spacing w:val="-5"/>
              </w:rPr>
              <w:t xml:space="preserve"> </w:t>
            </w:r>
            <w:r w:rsidRPr="00EC20A0">
              <w:t>the</w:t>
            </w:r>
            <w:r w:rsidRPr="00EC20A0">
              <w:rPr>
                <w:spacing w:val="-5"/>
              </w:rPr>
              <w:t xml:space="preserve"> </w:t>
            </w:r>
            <w:r w:rsidRPr="00EC20A0">
              <w:t>following</w:t>
            </w:r>
            <w:r w:rsidRPr="00EC20A0">
              <w:rPr>
                <w:spacing w:val="-5"/>
              </w:rPr>
              <w:t xml:space="preserve"> </w:t>
            </w:r>
            <w:r w:rsidRPr="00EC20A0">
              <w:rPr>
                <w:spacing w:val="-2"/>
              </w:rPr>
              <w:t>actions:</w:t>
            </w:r>
          </w:p>
          <w:p w14:paraId="24D61315" w14:textId="77777777" w:rsidR="00245300" w:rsidRPr="00EC20A0" w:rsidRDefault="00F17249">
            <w:pPr>
              <w:pStyle w:val="TableParagraph"/>
              <w:numPr>
                <w:ilvl w:val="1"/>
                <w:numId w:val="132"/>
              </w:numPr>
              <w:tabs>
                <w:tab w:val="left" w:pos="1065"/>
                <w:tab w:val="left" w:pos="1067"/>
              </w:tabs>
              <w:spacing w:before="144"/>
              <w:ind w:right="230" w:hanging="475"/>
            </w:pPr>
            <w:r w:rsidRPr="00EC20A0">
              <w:t>Compare the amount of basic pay indicated in the employee’s</w:t>
            </w:r>
            <w:r w:rsidRPr="00EC20A0">
              <w:rPr>
                <w:spacing w:val="-7"/>
              </w:rPr>
              <w:t xml:space="preserve"> </w:t>
            </w:r>
            <w:r w:rsidRPr="00EC20A0">
              <w:t>personnel</w:t>
            </w:r>
            <w:r w:rsidRPr="00EC20A0">
              <w:rPr>
                <w:spacing w:val="-6"/>
              </w:rPr>
              <w:t xml:space="preserve"> </w:t>
            </w:r>
            <w:r w:rsidRPr="00EC20A0">
              <w:t>file</w:t>
            </w:r>
            <w:r w:rsidRPr="00EC20A0">
              <w:rPr>
                <w:spacing w:val="-6"/>
              </w:rPr>
              <w:t xml:space="preserve"> </w:t>
            </w:r>
            <w:r w:rsidRPr="00EC20A0">
              <w:t>with</w:t>
            </w:r>
            <w:r w:rsidRPr="00EC20A0">
              <w:rPr>
                <w:spacing w:val="-6"/>
              </w:rPr>
              <w:t xml:space="preserve"> </w:t>
            </w:r>
            <w:r w:rsidRPr="00EC20A0">
              <w:t>the</w:t>
            </w:r>
            <w:r w:rsidRPr="00EC20A0">
              <w:rPr>
                <w:spacing w:val="-6"/>
              </w:rPr>
              <w:t xml:space="preserve"> </w:t>
            </w:r>
            <w:r w:rsidRPr="00EC20A0">
              <w:t>amount</w:t>
            </w:r>
            <w:r w:rsidRPr="00EC20A0">
              <w:rPr>
                <w:spacing w:val="-6"/>
              </w:rPr>
              <w:t xml:space="preserve"> </w:t>
            </w:r>
            <w:r w:rsidRPr="00EC20A0">
              <w:t>indicated</w:t>
            </w:r>
            <w:r w:rsidRPr="00EC20A0">
              <w:rPr>
                <w:spacing w:val="-6"/>
              </w:rPr>
              <w:t xml:space="preserve"> </w:t>
            </w:r>
            <w:r w:rsidRPr="00EC20A0">
              <w:t xml:space="preserve">in the payroll records, and obtain an explanation and examine support for any </w:t>
            </w:r>
            <w:r w:rsidRPr="00EC20A0">
              <w:t>differences. (This procedure would</w:t>
            </w:r>
            <w:r w:rsidRPr="00EC20A0">
              <w:rPr>
                <w:spacing w:val="-2"/>
              </w:rPr>
              <w:t xml:space="preserve"> </w:t>
            </w:r>
            <w:r w:rsidRPr="00EC20A0">
              <w:t>be</w:t>
            </w:r>
            <w:r w:rsidRPr="00EC20A0">
              <w:rPr>
                <w:spacing w:val="-2"/>
              </w:rPr>
              <w:t xml:space="preserve"> </w:t>
            </w:r>
            <w:r w:rsidRPr="00EC20A0">
              <w:t>performed</w:t>
            </w:r>
            <w:r w:rsidRPr="00EC20A0">
              <w:rPr>
                <w:spacing w:val="-2"/>
              </w:rPr>
              <w:t xml:space="preserve"> </w:t>
            </w:r>
            <w:r w:rsidRPr="00EC20A0">
              <w:t>only</w:t>
            </w:r>
            <w:r w:rsidRPr="00EC20A0">
              <w:rPr>
                <w:spacing w:val="-2"/>
              </w:rPr>
              <w:t xml:space="preserve"> </w:t>
            </w:r>
            <w:r w:rsidRPr="00EC20A0">
              <w:t>if</w:t>
            </w:r>
            <w:r w:rsidRPr="00EC20A0">
              <w:rPr>
                <w:spacing w:val="-2"/>
              </w:rPr>
              <w:t xml:space="preserve"> </w:t>
            </w:r>
            <w:r w:rsidRPr="00EC20A0">
              <w:t>not</w:t>
            </w:r>
            <w:r w:rsidRPr="00EC20A0">
              <w:rPr>
                <w:spacing w:val="-2"/>
              </w:rPr>
              <w:t xml:space="preserve"> </w:t>
            </w:r>
            <w:r w:rsidRPr="00EC20A0">
              <w:t>already</w:t>
            </w:r>
            <w:r w:rsidRPr="00EC20A0">
              <w:rPr>
                <w:spacing w:val="-2"/>
              </w:rPr>
              <w:t xml:space="preserve"> </w:t>
            </w:r>
            <w:r w:rsidRPr="00EC20A0">
              <w:t>performed</w:t>
            </w:r>
            <w:r w:rsidRPr="00EC20A0">
              <w:rPr>
                <w:spacing w:val="-2"/>
              </w:rPr>
              <w:t xml:space="preserve"> </w:t>
            </w:r>
            <w:r w:rsidRPr="00EC20A0">
              <w:t>with other testing.)</w:t>
            </w:r>
          </w:p>
          <w:p w14:paraId="24D61316" w14:textId="77777777" w:rsidR="00245300" w:rsidRPr="00EC20A0" w:rsidRDefault="00F17249">
            <w:pPr>
              <w:pStyle w:val="TableParagraph"/>
              <w:numPr>
                <w:ilvl w:val="1"/>
                <w:numId w:val="132"/>
              </w:numPr>
              <w:tabs>
                <w:tab w:val="left" w:pos="1065"/>
              </w:tabs>
              <w:spacing w:before="143"/>
              <w:ind w:left="1065" w:right="132" w:hanging="481"/>
            </w:pPr>
            <w:r w:rsidRPr="00EC20A0">
              <w:t>Calculate the amount of the withholdings for retirement costs based on 7 percent of basic pay for most executive branch employees for the selected pay period and document the amount. Compare to the actual amount withheld for the selected pay period,</w:t>
            </w:r>
            <w:r w:rsidRPr="00EC20A0">
              <w:rPr>
                <w:spacing w:val="40"/>
              </w:rPr>
              <w:t xml:space="preserve"> </w:t>
            </w:r>
            <w:r w:rsidRPr="00EC20A0">
              <w:t>and</w:t>
            </w:r>
            <w:r w:rsidRPr="00EC20A0">
              <w:rPr>
                <w:spacing w:val="-5"/>
              </w:rPr>
              <w:t xml:space="preserve"> </w:t>
            </w:r>
            <w:r w:rsidRPr="00EC20A0">
              <w:t>obtain</w:t>
            </w:r>
            <w:r w:rsidRPr="00EC20A0">
              <w:rPr>
                <w:spacing w:val="-5"/>
              </w:rPr>
              <w:t xml:space="preserve"> </w:t>
            </w:r>
            <w:r w:rsidRPr="00EC20A0">
              <w:t>an</w:t>
            </w:r>
            <w:r w:rsidRPr="00EC20A0">
              <w:rPr>
                <w:spacing w:val="-5"/>
              </w:rPr>
              <w:t xml:space="preserve"> </w:t>
            </w:r>
            <w:r w:rsidRPr="00EC20A0">
              <w:t>explanation</w:t>
            </w:r>
            <w:r w:rsidRPr="00EC20A0">
              <w:rPr>
                <w:spacing w:val="-5"/>
              </w:rPr>
              <w:t xml:space="preserve"> </w:t>
            </w:r>
            <w:r w:rsidRPr="00EC20A0">
              <w:t>and</w:t>
            </w:r>
            <w:r w:rsidRPr="00EC20A0">
              <w:rPr>
                <w:spacing w:val="-5"/>
              </w:rPr>
              <w:t xml:space="preserve"> </w:t>
            </w:r>
            <w:r w:rsidRPr="00EC20A0">
              <w:t>examine</w:t>
            </w:r>
            <w:r w:rsidRPr="00EC20A0">
              <w:rPr>
                <w:spacing w:val="-5"/>
              </w:rPr>
              <w:t xml:space="preserve"> </w:t>
            </w:r>
            <w:r w:rsidRPr="00EC20A0">
              <w:t>support</w:t>
            </w:r>
            <w:r w:rsidRPr="00EC20A0">
              <w:rPr>
                <w:spacing w:val="-5"/>
              </w:rPr>
              <w:t xml:space="preserve"> </w:t>
            </w:r>
            <w:r w:rsidRPr="00EC20A0">
              <w:t>for</w:t>
            </w:r>
            <w:r w:rsidRPr="00EC20A0">
              <w:rPr>
                <w:spacing w:val="-5"/>
              </w:rPr>
              <w:t xml:space="preserve"> </w:t>
            </w:r>
            <w:r w:rsidRPr="00EC20A0">
              <w:t>any differences. See FAM 808.01, Entity Withholdings From Employee Pay for Retirement Benefits.</w:t>
            </w:r>
          </w:p>
        </w:tc>
        <w:tc>
          <w:tcPr>
            <w:tcW w:w="1320" w:type="dxa"/>
            <w:tcBorders>
              <w:top w:val="single" w:sz="6" w:space="0" w:color="000000"/>
              <w:left w:val="single" w:sz="6" w:space="0" w:color="000000"/>
              <w:bottom w:val="single" w:sz="6" w:space="0" w:color="000000"/>
              <w:right w:val="single" w:sz="6" w:space="0" w:color="000000"/>
            </w:tcBorders>
          </w:tcPr>
          <w:p w14:paraId="24D61317" w14:textId="77777777" w:rsidR="00245300" w:rsidRPr="00EC20A0" w:rsidRDefault="00245300">
            <w:pPr>
              <w:pStyle w:val="TableParagraph"/>
              <w:rPr>
                <w:sz w:val="20"/>
              </w:rPr>
            </w:pPr>
          </w:p>
        </w:tc>
        <w:tc>
          <w:tcPr>
            <w:tcW w:w="1304" w:type="dxa"/>
            <w:tcBorders>
              <w:top w:val="single" w:sz="6" w:space="0" w:color="000000"/>
              <w:left w:val="single" w:sz="6" w:space="0" w:color="000000"/>
              <w:bottom w:val="single" w:sz="6" w:space="0" w:color="000000"/>
            </w:tcBorders>
          </w:tcPr>
          <w:p w14:paraId="24D61318" w14:textId="77777777" w:rsidR="00245300" w:rsidRPr="00EC20A0" w:rsidRDefault="00245300">
            <w:pPr>
              <w:pStyle w:val="TableParagraph"/>
              <w:rPr>
                <w:sz w:val="20"/>
              </w:rPr>
            </w:pPr>
          </w:p>
        </w:tc>
      </w:tr>
      <w:tr w:rsidR="00245300" w:rsidRPr="00EC20A0" w14:paraId="24D6131D" w14:textId="77777777">
        <w:trPr>
          <w:trHeight w:val="1806"/>
        </w:trPr>
        <w:tc>
          <w:tcPr>
            <w:tcW w:w="6600" w:type="dxa"/>
            <w:tcBorders>
              <w:top w:val="single" w:sz="6" w:space="0" w:color="000000"/>
              <w:bottom w:val="single" w:sz="6" w:space="0" w:color="000000"/>
              <w:right w:val="single" w:sz="6" w:space="0" w:color="000000"/>
            </w:tcBorders>
          </w:tcPr>
          <w:p w14:paraId="24D6131A" w14:textId="77777777" w:rsidR="00245300" w:rsidRPr="00EC20A0" w:rsidRDefault="00F17249">
            <w:pPr>
              <w:pStyle w:val="TableParagraph"/>
              <w:tabs>
                <w:tab w:val="left" w:pos="1065"/>
              </w:tabs>
              <w:spacing w:before="143"/>
              <w:ind w:left="1065" w:right="133" w:hanging="480"/>
            </w:pPr>
            <w:r w:rsidRPr="00EC20A0">
              <w:rPr>
                <w:spacing w:val="-4"/>
              </w:rPr>
              <w:t>(c)</w:t>
            </w:r>
            <w:r w:rsidRPr="00EC20A0">
              <w:tab/>
            </w:r>
            <w:r w:rsidRPr="00EC20A0">
              <w:t>Determine whether the entity contributed an equal amount for the employee’s retirement for the selected pay period. Obtain explanation and examine support for any differences between the employee and entity contributions.</w:t>
            </w:r>
            <w:r w:rsidRPr="00EC20A0">
              <w:rPr>
                <w:spacing w:val="-7"/>
              </w:rPr>
              <w:t xml:space="preserve"> </w:t>
            </w:r>
            <w:r w:rsidRPr="00EC20A0">
              <w:t>See</w:t>
            </w:r>
            <w:r w:rsidRPr="00EC20A0">
              <w:rPr>
                <w:spacing w:val="-7"/>
              </w:rPr>
              <w:t xml:space="preserve"> </w:t>
            </w:r>
            <w:r w:rsidRPr="00EC20A0">
              <w:t>FAM</w:t>
            </w:r>
            <w:r w:rsidRPr="00EC20A0">
              <w:rPr>
                <w:spacing w:val="-7"/>
              </w:rPr>
              <w:t xml:space="preserve"> </w:t>
            </w:r>
            <w:r w:rsidRPr="00EC20A0">
              <w:t>808.02,</w:t>
            </w:r>
            <w:r w:rsidRPr="00EC20A0">
              <w:rPr>
                <w:spacing w:val="-7"/>
              </w:rPr>
              <w:t xml:space="preserve"> </w:t>
            </w:r>
            <w:r w:rsidRPr="00EC20A0">
              <w:t>Entity</w:t>
            </w:r>
            <w:r w:rsidRPr="00EC20A0">
              <w:rPr>
                <w:spacing w:val="-7"/>
              </w:rPr>
              <w:t xml:space="preserve"> </w:t>
            </w:r>
            <w:r w:rsidRPr="00EC20A0">
              <w:t>Contributions</w:t>
            </w:r>
            <w:r w:rsidRPr="00EC20A0">
              <w:rPr>
                <w:spacing w:val="-7"/>
              </w:rPr>
              <w:t xml:space="preserve"> </w:t>
            </w:r>
            <w:r w:rsidRPr="00EC20A0">
              <w:t>for Retirement Benefits.</w:t>
            </w:r>
          </w:p>
        </w:tc>
        <w:tc>
          <w:tcPr>
            <w:tcW w:w="1320" w:type="dxa"/>
            <w:tcBorders>
              <w:top w:val="single" w:sz="6" w:space="0" w:color="000000"/>
              <w:left w:val="single" w:sz="6" w:space="0" w:color="000000"/>
              <w:bottom w:val="single" w:sz="6" w:space="0" w:color="000000"/>
              <w:right w:val="single" w:sz="6" w:space="0" w:color="000000"/>
            </w:tcBorders>
          </w:tcPr>
          <w:p w14:paraId="24D6131B" w14:textId="77777777" w:rsidR="00245300" w:rsidRPr="00EC20A0" w:rsidRDefault="00245300">
            <w:pPr>
              <w:pStyle w:val="TableParagraph"/>
              <w:rPr>
                <w:sz w:val="20"/>
              </w:rPr>
            </w:pPr>
          </w:p>
        </w:tc>
        <w:tc>
          <w:tcPr>
            <w:tcW w:w="1304" w:type="dxa"/>
            <w:tcBorders>
              <w:top w:val="single" w:sz="6" w:space="0" w:color="000000"/>
              <w:left w:val="single" w:sz="6" w:space="0" w:color="000000"/>
              <w:bottom w:val="single" w:sz="6" w:space="0" w:color="000000"/>
            </w:tcBorders>
          </w:tcPr>
          <w:p w14:paraId="24D6131C" w14:textId="77777777" w:rsidR="00245300" w:rsidRPr="00EC20A0" w:rsidRDefault="00245300">
            <w:pPr>
              <w:pStyle w:val="TableParagraph"/>
              <w:rPr>
                <w:sz w:val="20"/>
              </w:rPr>
            </w:pPr>
          </w:p>
        </w:tc>
      </w:tr>
    </w:tbl>
    <w:p w14:paraId="24D6131E" w14:textId="77777777" w:rsidR="00245300" w:rsidRPr="00EC20A0" w:rsidRDefault="00245300">
      <w:pPr>
        <w:rPr>
          <w:sz w:val="20"/>
        </w:rPr>
        <w:sectPr w:rsidR="00245300" w:rsidRPr="00EC20A0">
          <w:pgSz w:w="12240" w:h="15840"/>
          <w:pgMar w:top="1380" w:right="1340" w:bottom="940" w:left="1320" w:header="721" w:footer="742" w:gutter="0"/>
          <w:cols w:space="720"/>
        </w:sectPr>
      </w:pPr>
    </w:p>
    <w:p w14:paraId="24D6131F" w14:textId="77777777" w:rsidR="00245300" w:rsidRPr="00EC20A0" w:rsidRDefault="00245300">
      <w:pPr>
        <w:pStyle w:val="BodyText"/>
        <w:spacing w:before="4" w:after="1"/>
        <w:rPr>
          <w:sz w:val="8"/>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20"/>
      </w:tblGrid>
      <w:tr w:rsidR="00245300" w:rsidRPr="00EC20A0" w14:paraId="24D61321" w14:textId="77777777">
        <w:trPr>
          <w:trHeight w:val="1335"/>
        </w:trPr>
        <w:tc>
          <w:tcPr>
            <w:tcW w:w="9240" w:type="dxa"/>
            <w:gridSpan w:val="3"/>
          </w:tcPr>
          <w:p w14:paraId="24D61320" w14:textId="77777777" w:rsidR="00245300" w:rsidRPr="00EC20A0" w:rsidRDefault="00F17249">
            <w:pPr>
              <w:pStyle w:val="TableParagraph"/>
              <w:tabs>
                <w:tab w:val="left" w:pos="8943"/>
              </w:tabs>
              <w:spacing w:before="7" w:line="390" w:lineRule="atLeast"/>
              <w:ind w:left="130" w:right="248"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327" w14:textId="77777777">
        <w:trPr>
          <w:trHeight w:val="793"/>
        </w:trPr>
        <w:tc>
          <w:tcPr>
            <w:tcW w:w="6600" w:type="dxa"/>
            <w:tcBorders>
              <w:right w:val="single" w:sz="8" w:space="0" w:color="000000"/>
            </w:tcBorders>
          </w:tcPr>
          <w:p w14:paraId="24D61322" w14:textId="77777777" w:rsidR="00245300" w:rsidRPr="00EC20A0" w:rsidRDefault="00245300">
            <w:pPr>
              <w:pStyle w:val="TableParagraph"/>
              <w:spacing w:before="144"/>
            </w:pPr>
          </w:p>
          <w:p w14:paraId="24D61323" w14:textId="77777777" w:rsidR="00245300" w:rsidRPr="00EC20A0" w:rsidRDefault="00F17249">
            <w:pPr>
              <w:pStyle w:val="TableParagraph"/>
              <w:ind w:left="129"/>
              <w:rPr>
                <w:b/>
              </w:rPr>
            </w:pPr>
            <w:r w:rsidRPr="00EC20A0">
              <w:rPr>
                <w:b/>
              </w:rPr>
              <w:t>Audit</w:t>
            </w:r>
            <w:r w:rsidRPr="00EC20A0">
              <w:rPr>
                <w:b/>
                <w:spacing w:val="-8"/>
              </w:rPr>
              <w:t xml:space="preserve"> </w:t>
            </w:r>
            <w:r w:rsidRPr="00EC20A0">
              <w:rPr>
                <w:b/>
                <w:spacing w:val="-2"/>
              </w:rPr>
              <w:t>procedures</w:t>
            </w:r>
          </w:p>
        </w:tc>
        <w:tc>
          <w:tcPr>
            <w:tcW w:w="1320" w:type="dxa"/>
            <w:tcBorders>
              <w:left w:val="single" w:sz="8" w:space="0" w:color="000000"/>
              <w:right w:val="single" w:sz="8" w:space="0" w:color="000000"/>
            </w:tcBorders>
          </w:tcPr>
          <w:p w14:paraId="24D61324" w14:textId="77777777" w:rsidR="00245300" w:rsidRPr="00EC20A0" w:rsidRDefault="00F17249">
            <w:pPr>
              <w:pStyle w:val="TableParagraph"/>
              <w:spacing w:before="144"/>
              <w:ind w:left="142" w:right="1"/>
              <w:rPr>
                <w:b/>
              </w:rPr>
            </w:pPr>
            <w:r w:rsidRPr="00EC20A0">
              <w:rPr>
                <w:b/>
                <w:spacing w:val="-2"/>
              </w:rPr>
              <w:t xml:space="preserve">Initials/ </w:t>
            </w:r>
            <w:r w:rsidRPr="00EC20A0">
              <w:rPr>
                <w:b/>
                <w:spacing w:val="-4"/>
              </w:rPr>
              <w:t>date</w:t>
            </w:r>
          </w:p>
        </w:tc>
        <w:tc>
          <w:tcPr>
            <w:tcW w:w="1320" w:type="dxa"/>
            <w:tcBorders>
              <w:left w:val="single" w:sz="8" w:space="0" w:color="000000"/>
            </w:tcBorders>
          </w:tcPr>
          <w:p w14:paraId="24D61325" w14:textId="77777777" w:rsidR="00245300" w:rsidRPr="00EC20A0" w:rsidRDefault="00245300">
            <w:pPr>
              <w:pStyle w:val="TableParagraph"/>
              <w:spacing w:before="144"/>
            </w:pPr>
          </w:p>
          <w:p w14:paraId="24D61326" w14:textId="77777777" w:rsidR="00245300" w:rsidRPr="00EC20A0" w:rsidRDefault="00F17249">
            <w:pPr>
              <w:pStyle w:val="TableParagraph"/>
              <w:ind w:left="142"/>
              <w:rPr>
                <w:b/>
              </w:rPr>
            </w:pPr>
            <w:r w:rsidRPr="00EC20A0">
              <w:rPr>
                <w:b/>
              </w:rPr>
              <w:t>Doc.</w:t>
            </w:r>
            <w:r w:rsidRPr="00EC20A0">
              <w:rPr>
                <w:b/>
                <w:spacing w:val="-6"/>
              </w:rPr>
              <w:t xml:space="preserve"> </w:t>
            </w:r>
            <w:r w:rsidRPr="00EC20A0">
              <w:rPr>
                <w:b/>
                <w:spacing w:val="-4"/>
              </w:rPr>
              <w:t>ref.</w:t>
            </w:r>
          </w:p>
        </w:tc>
      </w:tr>
      <w:tr w:rsidR="00245300" w:rsidRPr="00EC20A0" w14:paraId="24D61330" w14:textId="77777777">
        <w:trPr>
          <w:trHeight w:val="8598"/>
        </w:trPr>
        <w:tc>
          <w:tcPr>
            <w:tcW w:w="6600" w:type="dxa"/>
            <w:tcBorders>
              <w:bottom w:val="single" w:sz="6" w:space="0" w:color="000000"/>
              <w:right w:val="single" w:sz="6" w:space="0" w:color="000000"/>
            </w:tcBorders>
          </w:tcPr>
          <w:p w14:paraId="24D61328" w14:textId="77777777" w:rsidR="00245300" w:rsidRPr="00EC20A0" w:rsidRDefault="00F17249">
            <w:pPr>
              <w:pStyle w:val="TableParagraph"/>
              <w:numPr>
                <w:ilvl w:val="0"/>
                <w:numId w:val="131"/>
              </w:numPr>
              <w:tabs>
                <w:tab w:val="left" w:pos="561"/>
              </w:tabs>
              <w:spacing w:before="144"/>
              <w:ind w:right="259" w:hanging="432"/>
            </w:pPr>
            <w:r w:rsidRPr="00EC20A0">
              <w:t xml:space="preserve">Determine whether amounts contributed by the entity are charged to the appropriation account or fund </w:t>
            </w:r>
            <w:r w:rsidRPr="00EC20A0">
              <w:t>used to pay the</w:t>
            </w:r>
            <w:r w:rsidRPr="00EC20A0">
              <w:rPr>
                <w:spacing w:val="-5"/>
              </w:rPr>
              <w:t xml:space="preserve"> </w:t>
            </w:r>
            <w:r w:rsidRPr="00EC20A0">
              <w:t>employee</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selected</w:t>
            </w:r>
            <w:r w:rsidRPr="00EC20A0">
              <w:rPr>
                <w:spacing w:val="-5"/>
              </w:rPr>
              <w:t xml:space="preserve"> </w:t>
            </w:r>
            <w:r w:rsidRPr="00EC20A0">
              <w:t>pay</w:t>
            </w:r>
            <w:r w:rsidRPr="00EC20A0">
              <w:rPr>
                <w:spacing w:val="-5"/>
              </w:rPr>
              <w:t xml:space="preserve"> </w:t>
            </w:r>
            <w:r w:rsidRPr="00EC20A0">
              <w:t>period</w:t>
            </w:r>
            <w:r w:rsidRPr="00EC20A0">
              <w:rPr>
                <w:spacing w:val="-5"/>
              </w:rPr>
              <w:t xml:space="preserve"> </w:t>
            </w:r>
            <w:r w:rsidRPr="00EC20A0">
              <w:t>by</w:t>
            </w:r>
            <w:r w:rsidRPr="00EC20A0">
              <w:rPr>
                <w:spacing w:val="-5"/>
              </w:rPr>
              <w:t xml:space="preserve"> </w:t>
            </w:r>
            <w:r w:rsidRPr="00EC20A0">
              <w:t>performing</w:t>
            </w:r>
            <w:r w:rsidRPr="00EC20A0">
              <w:rPr>
                <w:spacing w:val="-5"/>
              </w:rPr>
              <w:t xml:space="preserve"> </w:t>
            </w:r>
            <w:r w:rsidRPr="00EC20A0">
              <w:t>the following procedures:</w:t>
            </w:r>
          </w:p>
          <w:p w14:paraId="24D61329" w14:textId="77777777" w:rsidR="00245300" w:rsidRPr="00EC20A0" w:rsidRDefault="00F17249">
            <w:pPr>
              <w:pStyle w:val="TableParagraph"/>
              <w:numPr>
                <w:ilvl w:val="1"/>
                <w:numId w:val="131"/>
              </w:numPr>
              <w:tabs>
                <w:tab w:val="left" w:pos="1064"/>
              </w:tabs>
              <w:spacing w:before="145"/>
              <w:ind w:right="1029"/>
            </w:pPr>
            <w:r w:rsidRPr="00EC20A0">
              <w:t>Review</w:t>
            </w:r>
            <w:r w:rsidRPr="00EC20A0">
              <w:rPr>
                <w:spacing w:val="-8"/>
              </w:rPr>
              <w:t xml:space="preserve"> </w:t>
            </w:r>
            <w:r w:rsidRPr="00EC20A0">
              <w:t>the</w:t>
            </w:r>
            <w:r w:rsidRPr="00EC20A0">
              <w:rPr>
                <w:spacing w:val="-7"/>
              </w:rPr>
              <w:t xml:space="preserve"> </w:t>
            </w:r>
            <w:r w:rsidRPr="00EC20A0">
              <w:t>accounting</w:t>
            </w:r>
            <w:r w:rsidRPr="00EC20A0">
              <w:rPr>
                <w:spacing w:val="-8"/>
              </w:rPr>
              <w:t xml:space="preserve"> </w:t>
            </w:r>
            <w:r w:rsidRPr="00EC20A0">
              <w:t>codes</w:t>
            </w:r>
            <w:r w:rsidRPr="00EC20A0">
              <w:rPr>
                <w:spacing w:val="-7"/>
              </w:rPr>
              <w:t xml:space="preserve"> </w:t>
            </w:r>
            <w:r w:rsidRPr="00EC20A0">
              <w:t>indicated</w:t>
            </w:r>
            <w:r w:rsidRPr="00EC20A0">
              <w:rPr>
                <w:spacing w:val="-7"/>
              </w:rPr>
              <w:t xml:space="preserve"> </w:t>
            </w:r>
            <w:r w:rsidRPr="00EC20A0">
              <w:t>on</w:t>
            </w:r>
            <w:r w:rsidRPr="00EC20A0">
              <w:rPr>
                <w:spacing w:val="-7"/>
              </w:rPr>
              <w:t xml:space="preserve"> </w:t>
            </w:r>
            <w:r w:rsidRPr="00EC20A0">
              <w:t>the supporting documentation.</w:t>
            </w:r>
          </w:p>
          <w:p w14:paraId="24D6132A" w14:textId="77777777" w:rsidR="00245300" w:rsidRPr="00EC20A0" w:rsidRDefault="00F17249">
            <w:pPr>
              <w:pStyle w:val="TableParagraph"/>
              <w:numPr>
                <w:ilvl w:val="1"/>
                <w:numId w:val="131"/>
              </w:numPr>
              <w:tabs>
                <w:tab w:val="left" w:pos="1063"/>
              </w:tabs>
              <w:spacing w:before="143"/>
              <w:ind w:left="1063" w:right="173" w:hanging="480"/>
            </w:pPr>
            <w:r w:rsidRPr="00EC20A0">
              <w:t xml:space="preserve">Determine whether the accounting codes used to record the entity contribution are the </w:t>
            </w:r>
            <w:r w:rsidRPr="00EC20A0">
              <w:t>same as those used for the related payroll expenditure and whether the codes and amounts agree with those recorded in the</w:t>
            </w:r>
            <w:r w:rsidRPr="00EC20A0">
              <w:rPr>
                <w:spacing w:val="-1"/>
              </w:rPr>
              <w:t xml:space="preserve"> </w:t>
            </w:r>
            <w:r w:rsidRPr="00EC20A0">
              <w:t>budgetary</w:t>
            </w:r>
            <w:r w:rsidRPr="00EC20A0">
              <w:rPr>
                <w:spacing w:val="-1"/>
              </w:rPr>
              <w:t xml:space="preserve"> </w:t>
            </w:r>
            <w:r w:rsidRPr="00EC20A0">
              <w:t>accounting</w:t>
            </w:r>
            <w:r w:rsidRPr="00EC20A0">
              <w:rPr>
                <w:spacing w:val="-1"/>
              </w:rPr>
              <w:t xml:space="preserve"> </w:t>
            </w:r>
            <w:r w:rsidRPr="00EC20A0">
              <w:t>records.</w:t>
            </w:r>
            <w:r w:rsidRPr="00EC20A0">
              <w:rPr>
                <w:spacing w:val="-1"/>
              </w:rPr>
              <w:t xml:space="preserve"> </w:t>
            </w:r>
            <w:r w:rsidRPr="00EC20A0">
              <w:t>(This</w:t>
            </w:r>
            <w:r w:rsidRPr="00EC20A0">
              <w:rPr>
                <w:spacing w:val="-1"/>
              </w:rPr>
              <w:t xml:space="preserve"> </w:t>
            </w:r>
            <w:r w:rsidRPr="00EC20A0">
              <w:t>step</w:t>
            </w:r>
            <w:r w:rsidRPr="00EC20A0">
              <w:rPr>
                <w:spacing w:val="-1"/>
              </w:rPr>
              <w:t xml:space="preserve"> </w:t>
            </w:r>
            <w:r w:rsidRPr="00EC20A0">
              <w:t>assumes other</w:t>
            </w:r>
            <w:r w:rsidRPr="00EC20A0">
              <w:rPr>
                <w:spacing w:val="-6"/>
              </w:rPr>
              <w:t xml:space="preserve"> </w:t>
            </w:r>
            <w:r w:rsidRPr="00EC20A0">
              <w:t>payroll</w:t>
            </w:r>
            <w:r w:rsidRPr="00EC20A0">
              <w:rPr>
                <w:spacing w:val="-7"/>
              </w:rPr>
              <w:t xml:space="preserve"> </w:t>
            </w:r>
            <w:r w:rsidRPr="00EC20A0">
              <w:t>testing</w:t>
            </w:r>
            <w:r w:rsidRPr="00EC20A0">
              <w:rPr>
                <w:spacing w:val="-6"/>
              </w:rPr>
              <w:t xml:space="preserve"> </w:t>
            </w:r>
            <w:r w:rsidRPr="00EC20A0">
              <w:t>would</w:t>
            </w:r>
            <w:r w:rsidRPr="00EC20A0">
              <w:rPr>
                <w:spacing w:val="-6"/>
              </w:rPr>
              <w:t xml:space="preserve"> </w:t>
            </w:r>
            <w:r w:rsidRPr="00EC20A0">
              <w:t>have</w:t>
            </w:r>
            <w:r w:rsidRPr="00EC20A0">
              <w:rPr>
                <w:spacing w:val="-6"/>
              </w:rPr>
              <w:t xml:space="preserve"> </w:t>
            </w:r>
            <w:r w:rsidRPr="00EC20A0">
              <w:t>included</w:t>
            </w:r>
            <w:r w:rsidRPr="00EC20A0">
              <w:rPr>
                <w:spacing w:val="-6"/>
              </w:rPr>
              <w:t xml:space="preserve"> </w:t>
            </w:r>
            <w:r w:rsidRPr="00EC20A0">
              <w:t>checking</w:t>
            </w:r>
            <w:r w:rsidRPr="00EC20A0">
              <w:rPr>
                <w:spacing w:val="-6"/>
              </w:rPr>
              <w:t xml:space="preserve"> </w:t>
            </w:r>
            <w:r w:rsidRPr="00EC20A0">
              <w:t>that the</w:t>
            </w:r>
            <w:r w:rsidRPr="00EC20A0">
              <w:rPr>
                <w:spacing w:val="-5"/>
              </w:rPr>
              <w:t xml:space="preserve"> </w:t>
            </w:r>
            <w:r w:rsidRPr="00EC20A0">
              <w:t>codes</w:t>
            </w:r>
            <w:r w:rsidRPr="00EC20A0">
              <w:rPr>
                <w:spacing w:val="-5"/>
              </w:rPr>
              <w:t xml:space="preserve"> </w:t>
            </w:r>
            <w:r w:rsidRPr="00EC20A0">
              <w:t>represent</w:t>
            </w:r>
            <w:r w:rsidRPr="00EC20A0">
              <w:rPr>
                <w:spacing w:val="-5"/>
              </w:rPr>
              <w:t xml:space="preserve"> </w:t>
            </w:r>
            <w:r w:rsidRPr="00EC20A0">
              <w:t>the</w:t>
            </w:r>
            <w:r w:rsidRPr="00EC20A0">
              <w:rPr>
                <w:spacing w:val="-6"/>
              </w:rPr>
              <w:t xml:space="preserve"> </w:t>
            </w:r>
            <w:r w:rsidRPr="00EC20A0">
              <w:t>proper</w:t>
            </w:r>
            <w:r w:rsidRPr="00EC20A0">
              <w:rPr>
                <w:spacing w:val="-5"/>
              </w:rPr>
              <w:t xml:space="preserve"> </w:t>
            </w:r>
            <w:r w:rsidRPr="00EC20A0">
              <w:t>appropriation</w:t>
            </w:r>
            <w:r w:rsidRPr="00EC20A0">
              <w:rPr>
                <w:spacing w:val="-4"/>
              </w:rPr>
              <w:t xml:space="preserve"> </w:t>
            </w:r>
            <w:r w:rsidRPr="00EC20A0">
              <w:t>account.)</w:t>
            </w:r>
          </w:p>
          <w:p w14:paraId="24D6132B" w14:textId="77777777" w:rsidR="00245300" w:rsidRPr="00EC20A0" w:rsidRDefault="00F17249">
            <w:pPr>
              <w:pStyle w:val="TableParagraph"/>
              <w:numPr>
                <w:ilvl w:val="1"/>
                <w:numId w:val="131"/>
              </w:numPr>
              <w:tabs>
                <w:tab w:val="left" w:pos="1063"/>
              </w:tabs>
              <w:spacing w:before="145"/>
              <w:ind w:left="1063" w:right="160"/>
            </w:pPr>
            <w:r w:rsidRPr="00EC20A0">
              <w:t>Consider the procedures performed on the entity’s budget</w:t>
            </w:r>
            <w:r w:rsidRPr="00EC20A0">
              <w:rPr>
                <w:spacing w:val="-8"/>
              </w:rPr>
              <w:t xml:space="preserve"> </w:t>
            </w:r>
            <w:r w:rsidRPr="00EC20A0">
              <w:t>controls</w:t>
            </w:r>
            <w:r w:rsidRPr="00EC20A0">
              <w:rPr>
                <w:spacing w:val="-8"/>
              </w:rPr>
              <w:t xml:space="preserve"> </w:t>
            </w:r>
            <w:r w:rsidRPr="00EC20A0">
              <w:t>for</w:t>
            </w:r>
            <w:r w:rsidRPr="00EC20A0">
              <w:rPr>
                <w:spacing w:val="-8"/>
              </w:rPr>
              <w:t xml:space="preserve"> </w:t>
            </w:r>
            <w:r w:rsidRPr="00EC20A0">
              <w:t>summarizing</w:t>
            </w:r>
            <w:r w:rsidRPr="00EC20A0">
              <w:rPr>
                <w:spacing w:val="-8"/>
              </w:rPr>
              <w:t xml:space="preserve"> </w:t>
            </w:r>
            <w:r w:rsidRPr="00EC20A0">
              <w:t>expenditure</w:t>
            </w:r>
            <w:r w:rsidRPr="00EC20A0">
              <w:rPr>
                <w:spacing w:val="-8"/>
              </w:rPr>
              <w:t xml:space="preserve"> </w:t>
            </w:r>
            <w:r w:rsidRPr="00EC20A0">
              <w:t>balances, as discussed in FAM 395 F, Budget Control</w:t>
            </w:r>
            <w:r w:rsidRPr="00EC20A0">
              <w:rPr>
                <w:spacing w:val="40"/>
              </w:rPr>
              <w:t xml:space="preserve"> </w:t>
            </w:r>
            <w:r w:rsidRPr="00EC20A0">
              <w:rPr>
                <w:spacing w:val="-2"/>
              </w:rPr>
              <w:t>Objectives.</w:t>
            </w:r>
          </w:p>
          <w:p w14:paraId="24D6132C" w14:textId="77777777" w:rsidR="00245300" w:rsidRPr="00EC20A0" w:rsidRDefault="00F17249">
            <w:pPr>
              <w:pStyle w:val="TableParagraph"/>
              <w:spacing w:before="143"/>
              <w:ind w:left="1094" w:right="133"/>
            </w:pPr>
            <w:r w:rsidRPr="00EC20A0">
              <w:t xml:space="preserve">If the auditor has assessed the entity’s controls as </w:t>
            </w:r>
            <w:r w:rsidRPr="00EC20A0">
              <w:rPr>
                <w:u w:val="single"/>
              </w:rPr>
              <w:t>effective</w:t>
            </w:r>
            <w:r w:rsidRPr="00EC20A0">
              <w:t xml:space="preserve"> in achieving the control objective of summarization of expenditure balances, then further procedures are not necessary to obtain assurance as to</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contributions</w:t>
            </w:r>
            <w:r w:rsidRPr="00EC20A0">
              <w:rPr>
                <w:spacing w:val="-5"/>
              </w:rPr>
              <w:t xml:space="preserve"> </w:t>
            </w:r>
            <w:r w:rsidRPr="00EC20A0">
              <w:t>are</w:t>
            </w:r>
            <w:r w:rsidRPr="00EC20A0">
              <w:rPr>
                <w:spacing w:val="-4"/>
              </w:rPr>
              <w:t xml:space="preserve"> </w:t>
            </w:r>
            <w:r w:rsidRPr="00EC20A0">
              <w:t>paid</w:t>
            </w:r>
            <w:r w:rsidRPr="00EC20A0">
              <w:rPr>
                <w:spacing w:val="-4"/>
              </w:rPr>
              <w:t xml:space="preserve"> </w:t>
            </w:r>
            <w:r w:rsidRPr="00EC20A0">
              <w:t>out</w:t>
            </w:r>
            <w:r w:rsidRPr="00EC20A0">
              <w:rPr>
                <w:spacing w:val="-5"/>
              </w:rPr>
              <w:t xml:space="preserve"> </w:t>
            </w:r>
            <w:r w:rsidRPr="00EC20A0">
              <w:t>of</w:t>
            </w:r>
            <w:r w:rsidRPr="00EC20A0">
              <w:rPr>
                <w:spacing w:val="-4"/>
              </w:rPr>
              <w:t xml:space="preserve"> </w:t>
            </w:r>
            <w:r w:rsidRPr="00EC20A0">
              <w:t>the proper appropriation account.</w:t>
            </w:r>
          </w:p>
          <w:p w14:paraId="24D6132D" w14:textId="77777777" w:rsidR="00245300" w:rsidRPr="00EC20A0" w:rsidRDefault="00F17249">
            <w:pPr>
              <w:pStyle w:val="TableParagraph"/>
              <w:spacing w:before="144"/>
              <w:ind w:left="1064" w:right="133" w:firstLine="9"/>
            </w:pPr>
            <w:r w:rsidRPr="00EC20A0">
              <w:t xml:space="preserve">If the auditor has assessed the controls as </w:t>
            </w:r>
            <w:r w:rsidRPr="00EC20A0">
              <w:rPr>
                <w:u w:val="single"/>
              </w:rPr>
              <w:t>ineffective</w:t>
            </w:r>
            <w:r w:rsidRPr="00EC20A0">
              <w:t>, then the auditor should perform procedures to determine</w:t>
            </w:r>
            <w:r w:rsidRPr="00EC20A0">
              <w:rPr>
                <w:spacing w:val="-7"/>
              </w:rPr>
              <w:t xml:space="preserve"> </w:t>
            </w:r>
            <w:r w:rsidRPr="00EC20A0">
              <w:t>whether</w:t>
            </w:r>
            <w:r w:rsidRPr="00EC20A0">
              <w:rPr>
                <w:spacing w:val="-7"/>
              </w:rPr>
              <w:t xml:space="preserve"> </w:t>
            </w:r>
            <w:r w:rsidRPr="00EC20A0">
              <w:t>the</w:t>
            </w:r>
            <w:r w:rsidRPr="00EC20A0">
              <w:rPr>
                <w:spacing w:val="-7"/>
              </w:rPr>
              <w:t xml:space="preserve"> </w:t>
            </w:r>
            <w:r w:rsidRPr="00EC20A0">
              <w:t>entity</w:t>
            </w:r>
            <w:r w:rsidRPr="00EC20A0">
              <w:rPr>
                <w:spacing w:val="-7"/>
              </w:rPr>
              <w:t xml:space="preserve"> </w:t>
            </w:r>
            <w:r w:rsidRPr="00EC20A0">
              <w:t>has</w:t>
            </w:r>
            <w:r w:rsidRPr="00EC20A0">
              <w:rPr>
                <w:spacing w:val="-7"/>
              </w:rPr>
              <w:t xml:space="preserve"> </w:t>
            </w:r>
            <w:r w:rsidRPr="00EC20A0">
              <w:t>properly</w:t>
            </w:r>
            <w:r w:rsidRPr="00EC20A0">
              <w:rPr>
                <w:spacing w:val="-7"/>
              </w:rPr>
              <w:t xml:space="preserve"> </w:t>
            </w:r>
            <w:r w:rsidRPr="00EC20A0">
              <w:t>summarized the</w:t>
            </w:r>
            <w:r w:rsidRPr="00EC20A0">
              <w:rPr>
                <w:spacing w:val="-2"/>
              </w:rPr>
              <w:t xml:space="preserve"> </w:t>
            </w:r>
            <w:r w:rsidRPr="00EC20A0">
              <w:t>expenditure</w:t>
            </w:r>
            <w:r w:rsidRPr="00EC20A0">
              <w:rPr>
                <w:spacing w:val="-2"/>
              </w:rPr>
              <w:t xml:space="preserve"> </w:t>
            </w:r>
            <w:r w:rsidRPr="00EC20A0">
              <w:t>balances,</w:t>
            </w:r>
            <w:r w:rsidRPr="00EC20A0">
              <w:rPr>
                <w:spacing w:val="-2"/>
              </w:rPr>
              <w:t xml:space="preserve"> </w:t>
            </w:r>
            <w:r w:rsidRPr="00EC20A0">
              <w:t>as</w:t>
            </w:r>
            <w:r w:rsidRPr="00EC20A0">
              <w:rPr>
                <w:spacing w:val="-2"/>
              </w:rPr>
              <w:t xml:space="preserve"> </w:t>
            </w:r>
            <w:r w:rsidRPr="00EC20A0">
              <w:t>described</w:t>
            </w:r>
            <w:r w:rsidRPr="00EC20A0">
              <w:rPr>
                <w:spacing w:val="-2"/>
              </w:rPr>
              <w:t xml:space="preserve"> </w:t>
            </w:r>
            <w:r w:rsidRPr="00EC20A0">
              <w:t>in</w:t>
            </w:r>
            <w:r w:rsidRPr="00EC20A0">
              <w:rPr>
                <w:spacing w:val="-2"/>
              </w:rPr>
              <w:t xml:space="preserve"> </w:t>
            </w:r>
            <w:r w:rsidRPr="00EC20A0">
              <w:t>FAM</w:t>
            </w:r>
            <w:r w:rsidRPr="00EC20A0">
              <w:rPr>
                <w:spacing w:val="-3"/>
              </w:rPr>
              <w:t xml:space="preserve"> </w:t>
            </w:r>
            <w:r w:rsidRPr="00EC20A0">
              <w:t>495</w:t>
            </w:r>
            <w:r w:rsidRPr="00EC20A0">
              <w:rPr>
                <w:spacing w:val="-2"/>
              </w:rPr>
              <w:t xml:space="preserve"> </w:t>
            </w:r>
            <w:r w:rsidRPr="00EC20A0">
              <w:t xml:space="preserve">B, Example Procedures for Tests of Budget Information. See FAM 808.02, Entity Contributions for Retirement </w:t>
            </w:r>
            <w:r w:rsidRPr="00EC20A0">
              <w:rPr>
                <w:spacing w:val="-2"/>
              </w:rPr>
              <w:t>Benefits.</w:t>
            </w:r>
          </w:p>
        </w:tc>
        <w:tc>
          <w:tcPr>
            <w:tcW w:w="1320" w:type="dxa"/>
            <w:tcBorders>
              <w:left w:val="single" w:sz="6" w:space="0" w:color="000000"/>
              <w:bottom w:val="single" w:sz="6" w:space="0" w:color="000000"/>
              <w:right w:val="single" w:sz="6" w:space="0" w:color="000000"/>
            </w:tcBorders>
          </w:tcPr>
          <w:p w14:paraId="24D6132E" w14:textId="77777777" w:rsidR="00245300" w:rsidRPr="00EC20A0" w:rsidRDefault="00245300">
            <w:pPr>
              <w:pStyle w:val="TableParagraph"/>
              <w:rPr>
                <w:sz w:val="20"/>
              </w:rPr>
            </w:pPr>
          </w:p>
        </w:tc>
        <w:tc>
          <w:tcPr>
            <w:tcW w:w="1320" w:type="dxa"/>
            <w:tcBorders>
              <w:left w:val="single" w:sz="6" w:space="0" w:color="000000"/>
              <w:bottom w:val="single" w:sz="6" w:space="0" w:color="000000"/>
            </w:tcBorders>
          </w:tcPr>
          <w:p w14:paraId="24D6132F" w14:textId="77777777" w:rsidR="00245300" w:rsidRPr="00EC20A0" w:rsidRDefault="00245300">
            <w:pPr>
              <w:pStyle w:val="TableParagraph"/>
              <w:rPr>
                <w:sz w:val="20"/>
              </w:rPr>
            </w:pPr>
          </w:p>
        </w:tc>
      </w:tr>
      <w:tr w:rsidR="00245300" w:rsidRPr="00EC20A0" w14:paraId="24D61335" w14:textId="77777777">
        <w:trPr>
          <w:trHeight w:val="2059"/>
        </w:trPr>
        <w:tc>
          <w:tcPr>
            <w:tcW w:w="6600" w:type="dxa"/>
            <w:tcBorders>
              <w:top w:val="single" w:sz="6" w:space="0" w:color="000000"/>
              <w:bottom w:val="single" w:sz="6" w:space="0" w:color="000000"/>
              <w:right w:val="single" w:sz="6" w:space="0" w:color="000000"/>
            </w:tcBorders>
          </w:tcPr>
          <w:p w14:paraId="24D61331" w14:textId="77777777" w:rsidR="00245300" w:rsidRPr="00EC20A0" w:rsidRDefault="00F17249">
            <w:pPr>
              <w:pStyle w:val="TableParagraph"/>
              <w:spacing w:before="143"/>
              <w:ind w:left="590" w:right="279" w:hanging="461"/>
              <w:jc w:val="both"/>
            </w:pPr>
            <w:r w:rsidRPr="00EC20A0">
              <w:t>6.</w:t>
            </w:r>
            <w:r w:rsidRPr="00EC20A0">
              <w:rPr>
                <w:spacing w:val="80"/>
              </w:rPr>
              <w:t xml:space="preserve"> </w:t>
            </w:r>
            <w:r w:rsidRPr="00EC20A0">
              <w:t>Determine</w:t>
            </w:r>
            <w:r w:rsidRPr="00EC20A0">
              <w:rPr>
                <w:spacing w:val="-3"/>
              </w:rPr>
              <w:t xml:space="preserve"> </w:t>
            </w:r>
            <w:r w:rsidRPr="00EC20A0">
              <w:t>whether</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has</w:t>
            </w:r>
            <w:r w:rsidRPr="00EC20A0">
              <w:rPr>
                <w:spacing w:val="-3"/>
              </w:rPr>
              <w:t xml:space="preserve"> </w:t>
            </w:r>
            <w:r w:rsidRPr="00EC20A0">
              <w:t>effective</w:t>
            </w:r>
            <w:r w:rsidRPr="00EC20A0">
              <w:rPr>
                <w:spacing w:val="-3"/>
              </w:rPr>
              <w:t xml:space="preserve"> </w:t>
            </w:r>
            <w:r w:rsidRPr="00EC20A0">
              <w:t>internal</w:t>
            </w:r>
            <w:r w:rsidRPr="00EC20A0">
              <w:rPr>
                <w:spacing w:val="-3"/>
              </w:rPr>
              <w:t xml:space="preserve"> </w:t>
            </w:r>
            <w:r w:rsidRPr="00EC20A0">
              <w:t>controls over</w:t>
            </w:r>
            <w:r w:rsidRPr="00EC20A0">
              <w:rPr>
                <w:spacing w:val="-5"/>
              </w:rPr>
              <w:t xml:space="preserve"> </w:t>
            </w:r>
            <w:r w:rsidRPr="00EC20A0">
              <w:t>the</w:t>
            </w:r>
            <w:r w:rsidRPr="00EC20A0">
              <w:rPr>
                <w:spacing w:val="-5"/>
              </w:rPr>
              <w:t xml:space="preserve"> </w:t>
            </w:r>
            <w:r w:rsidRPr="00EC20A0">
              <w:t>proper</w:t>
            </w:r>
            <w:r w:rsidRPr="00EC20A0">
              <w:rPr>
                <w:spacing w:val="-5"/>
              </w:rPr>
              <w:t xml:space="preserve"> </w:t>
            </w:r>
            <w:r w:rsidRPr="00EC20A0">
              <w:t>summarization</w:t>
            </w:r>
            <w:r w:rsidRPr="00EC20A0">
              <w:rPr>
                <w:spacing w:val="-5"/>
              </w:rPr>
              <w:t xml:space="preserve"> </w:t>
            </w:r>
            <w:r w:rsidRPr="00EC20A0">
              <w:t>of</w:t>
            </w:r>
            <w:r w:rsidRPr="00EC20A0">
              <w:rPr>
                <w:spacing w:val="-5"/>
              </w:rPr>
              <w:t xml:space="preserve"> </w:t>
            </w:r>
            <w:r w:rsidRPr="00EC20A0">
              <w:t>(a)</w:t>
            </w:r>
            <w:r w:rsidRPr="00EC20A0">
              <w:rPr>
                <w:spacing w:val="-7"/>
              </w:rPr>
              <w:t xml:space="preserve"> </w:t>
            </w:r>
            <w:r w:rsidRPr="00EC20A0">
              <w:t>the</w:t>
            </w:r>
            <w:r w:rsidRPr="00EC20A0">
              <w:rPr>
                <w:spacing w:val="-5"/>
              </w:rPr>
              <w:t xml:space="preserve"> </w:t>
            </w:r>
            <w:r w:rsidRPr="00EC20A0">
              <w:t>amounts</w:t>
            </w:r>
            <w:r w:rsidRPr="00EC20A0">
              <w:rPr>
                <w:spacing w:val="-5"/>
              </w:rPr>
              <w:t xml:space="preserve"> </w:t>
            </w:r>
            <w:r w:rsidRPr="00EC20A0">
              <w:t>withheld from employees for retirement benefits under the law and</w:t>
            </w:r>
          </w:p>
          <w:p w14:paraId="24D61332" w14:textId="77777777" w:rsidR="00245300" w:rsidRPr="00EC20A0" w:rsidRDefault="00F17249">
            <w:pPr>
              <w:pStyle w:val="TableParagraph"/>
              <w:spacing w:before="1"/>
              <w:ind w:left="590" w:right="133"/>
            </w:pPr>
            <w:r w:rsidRPr="00EC20A0">
              <w:t>(b)</w:t>
            </w:r>
            <w:r w:rsidRPr="00EC20A0">
              <w:rPr>
                <w:spacing w:val="-4"/>
              </w:rPr>
              <w:t xml:space="preserve"> </w:t>
            </w:r>
            <w:r w:rsidRPr="00EC20A0">
              <w:t>the</w:t>
            </w:r>
            <w:r w:rsidRPr="00EC20A0">
              <w:rPr>
                <w:spacing w:val="-4"/>
              </w:rPr>
              <w:t xml:space="preserve"> </w:t>
            </w:r>
            <w:r w:rsidRPr="00EC20A0">
              <w:t>entity</w:t>
            </w:r>
            <w:r w:rsidRPr="00EC20A0">
              <w:rPr>
                <w:spacing w:val="-5"/>
              </w:rPr>
              <w:t xml:space="preserve"> </w:t>
            </w:r>
            <w:r w:rsidRPr="00EC20A0">
              <w:t>contributions</w:t>
            </w:r>
            <w:r w:rsidRPr="00EC20A0">
              <w:rPr>
                <w:spacing w:val="-4"/>
              </w:rPr>
              <w:t xml:space="preserve"> </w:t>
            </w:r>
            <w:r w:rsidRPr="00EC20A0">
              <w:t>for</w:t>
            </w:r>
            <w:r w:rsidRPr="00EC20A0">
              <w:rPr>
                <w:spacing w:val="-4"/>
              </w:rPr>
              <w:t xml:space="preserve"> </w:t>
            </w:r>
            <w:r w:rsidRPr="00EC20A0">
              <w:t>remittance</w:t>
            </w:r>
            <w:r w:rsidRPr="00EC20A0">
              <w:rPr>
                <w:spacing w:val="-4"/>
              </w:rPr>
              <w:t xml:space="preserve"> </w:t>
            </w:r>
            <w:r w:rsidRPr="00EC20A0">
              <w:t>to</w:t>
            </w:r>
            <w:r w:rsidRPr="00EC20A0">
              <w:rPr>
                <w:spacing w:val="-4"/>
              </w:rPr>
              <w:t xml:space="preserve"> </w:t>
            </w:r>
            <w:r w:rsidRPr="00EC20A0">
              <w:t>Treasury.</w:t>
            </w:r>
            <w:r w:rsidRPr="00EC20A0">
              <w:rPr>
                <w:spacing w:val="-4"/>
              </w:rPr>
              <w:t xml:space="preserve"> </w:t>
            </w:r>
            <w:r w:rsidRPr="00EC20A0">
              <w:t>If</w:t>
            </w:r>
            <w:r w:rsidRPr="00EC20A0">
              <w:rPr>
                <w:spacing w:val="-4"/>
              </w:rPr>
              <w:t xml:space="preserve"> </w:t>
            </w:r>
            <w:r w:rsidRPr="00EC20A0">
              <w:t>the entity does not have effective controls for summarization, then test the summarization of the totals that include the items selected for testing in step 1.</w:t>
            </w:r>
          </w:p>
        </w:tc>
        <w:tc>
          <w:tcPr>
            <w:tcW w:w="1320" w:type="dxa"/>
            <w:tcBorders>
              <w:top w:val="single" w:sz="6" w:space="0" w:color="000000"/>
              <w:left w:val="single" w:sz="6" w:space="0" w:color="000000"/>
              <w:bottom w:val="single" w:sz="6" w:space="0" w:color="000000"/>
              <w:right w:val="single" w:sz="6" w:space="0" w:color="000000"/>
            </w:tcBorders>
          </w:tcPr>
          <w:p w14:paraId="24D61333" w14:textId="77777777" w:rsidR="00245300" w:rsidRPr="00EC20A0" w:rsidRDefault="00245300">
            <w:pPr>
              <w:pStyle w:val="TableParagraph"/>
              <w:rPr>
                <w:sz w:val="20"/>
              </w:rPr>
            </w:pPr>
          </w:p>
        </w:tc>
        <w:tc>
          <w:tcPr>
            <w:tcW w:w="1320" w:type="dxa"/>
            <w:tcBorders>
              <w:top w:val="single" w:sz="6" w:space="0" w:color="000000"/>
              <w:left w:val="single" w:sz="6" w:space="0" w:color="000000"/>
              <w:bottom w:val="single" w:sz="6" w:space="0" w:color="000000"/>
            </w:tcBorders>
          </w:tcPr>
          <w:p w14:paraId="24D61334" w14:textId="77777777" w:rsidR="00245300" w:rsidRPr="00EC20A0" w:rsidRDefault="00245300">
            <w:pPr>
              <w:pStyle w:val="TableParagraph"/>
              <w:rPr>
                <w:sz w:val="20"/>
              </w:rPr>
            </w:pPr>
          </w:p>
        </w:tc>
      </w:tr>
    </w:tbl>
    <w:p w14:paraId="24D61336" w14:textId="77777777" w:rsidR="00245300" w:rsidRPr="00EC20A0" w:rsidRDefault="00245300">
      <w:pPr>
        <w:rPr>
          <w:sz w:val="20"/>
        </w:rPr>
        <w:sectPr w:rsidR="00245300" w:rsidRPr="00EC20A0">
          <w:pgSz w:w="12240" w:h="15840"/>
          <w:pgMar w:top="1380" w:right="1340" w:bottom="940" w:left="1320" w:header="721" w:footer="742" w:gutter="0"/>
          <w:cols w:space="720"/>
        </w:sectPr>
      </w:pPr>
    </w:p>
    <w:p w14:paraId="24D61337" w14:textId="77777777" w:rsidR="00245300" w:rsidRPr="00EC20A0" w:rsidRDefault="00245300">
      <w:pPr>
        <w:pStyle w:val="BodyText"/>
        <w:spacing w:before="4" w:after="1"/>
        <w:rPr>
          <w:sz w:val="8"/>
        </w:rPr>
      </w:pPr>
    </w:p>
    <w:tbl>
      <w:tblPr>
        <w:tblW w:w="0" w:type="auto"/>
        <w:tblInd w:w="14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20"/>
      </w:tblGrid>
      <w:tr w:rsidR="00245300" w:rsidRPr="00EC20A0" w14:paraId="24D61339" w14:textId="77777777">
        <w:trPr>
          <w:trHeight w:val="1335"/>
        </w:trPr>
        <w:tc>
          <w:tcPr>
            <w:tcW w:w="9240" w:type="dxa"/>
            <w:gridSpan w:val="3"/>
          </w:tcPr>
          <w:p w14:paraId="24D61338" w14:textId="77777777" w:rsidR="00245300" w:rsidRPr="00EC20A0" w:rsidRDefault="00F17249">
            <w:pPr>
              <w:pStyle w:val="TableParagraph"/>
              <w:tabs>
                <w:tab w:val="left" w:pos="8943"/>
              </w:tabs>
              <w:spacing w:before="7" w:line="390" w:lineRule="atLeast"/>
              <w:ind w:left="130" w:right="248"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33F" w14:textId="77777777">
        <w:trPr>
          <w:trHeight w:val="793"/>
        </w:trPr>
        <w:tc>
          <w:tcPr>
            <w:tcW w:w="6600" w:type="dxa"/>
            <w:tcBorders>
              <w:right w:val="single" w:sz="8" w:space="0" w:color="000000"/>
            </w:tcBorders>
          </w:tcPr>
          <w:p w14:paraId="24D6133A" w14:textId="77777777" w:rsidR="00245300" w:rsidRPr="00EC20A0" w:rsidRDefault="00245300">
            <w:pPr>
              <w:pStyle w:val="TableParagraph"/>
              <w:spacing w:before="144"/>
            </w:pPr>
          </w:p>
          <w:p w14:paraId="24D6133B"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320" w:type="dxa"/>
            <w:tcBorders>
              <w:left w:val="single" w:sz="8" w:space="0" w:color="000000"/>
              <w:right w:val="single" w:sz="8" w:space="0" w:color="000000"/>
            </w:tcBorders>
          </w:tcPr>
          <w:p w14:paraId="24D6133C" w14:textId="77777777" w:rsidR="00245300" w:rsidRPr="00EC20A0" w:rsidRDefault="00F17249">
            <w:pPr>
              <w:pStyle w:val="TableParagraph"/>
              <w:spacing w:before="144"/>
              <w:ind w:left="142" w:right="1"/>
              <w:rPr>
                <w:b/>
              </w:rPr>
            </w:pPr>
            <w:r w:rsidRPr="00EC20A0">
              <w:rPr>
                <w:b/>
                <w:spacing w:val="-2"/>
              </w:rPr>
              <w:t xml:space="preserve">Initials/ </w:t>
            </w:r>
            <w:r w:rsidRPr="00EC20A0">
              <w:rPr>
                <w:b/>
                <w:spacing w:val="-4"/>
              </w:rPr>
              <w:t>date</w:t>
            </w:r>
          </w:p>
        </w:tc>
        <w:tc>
          <w:tcPr>
            <w:tcW w:w="1320" w:type="dxa"/>
            <w:tcBorders>
              <w:left w:val="single" w:sz="8" w:space="0" w:color="000000"/>
            </w:tcBorders>
          </w:tcPr>
          <w:p w14:paraId="24D6133D" w14:textId="77777777" w:rsidR="00245300" w:rsidRPr="00EC20A0" w:rsidRDefault="00245300">
            <w:pPr>
              <w:pStyle w:val="TableParagraph"/>
              <w:spacing w:before="144"/>
            </w:pPr>
          </w:p>
          <w:p w14:paraId="24D6133E" w14:textId="77777777" w:rsidR="00245300" w:rsidRPr="00EC20A0" w:rsidRDefault="00F17249">
            <w:pPr>
              <w:pStyle w:val="TableParagraph"/>
              <w:ind w:left="142"/>
              <w:rPr>
                <w:b/>
              </w:rPr>
            </w:pPr>
            <w:r w:rsidRPr="00EC20A0">
              <w:rPr>
                <w:b/>
              </w:rPr>
              <w:t>Doc.</w:t>
            </w:r>
            <w:r w:rsidRPr="00EC20A0">
              <w:rPr>
                <w:b/>
                <w:spacing w:val="-6"/>
              </w:rPr>
              <w:t xml:space="preserve"> </w:t>
            </w:r>
            <w:r w:rsidRPr="00EC20A0">
              <w:rPr>
                <w:b/>
                <w:spacing w:val="-4"/>
              </w:rPr>
              <w:t>ref.</w:t>
            </w:r>
          </w:p>
        </w:tc>
      </w:tr>
      <w:tr w:rsidR="00245300" w:rsidRPr="00EC20A0" w14:paraId="24D61343" w14:textId="77777777">
        <w:trPr>
          <w:trHeight w:val="2312"/>
        </w:trPr>
        <w:tc>
          <w:tcPr>
            <w:tcW w:w="6600" w:type="dxa"/>
            <w:tcBorders>
              <w:bottom w:val="single" w:sz="6" w:space="0" w:color="000000"/>
              <w:right w:val="single" w:sz="6" w:space="0" w:color="000000"/>
            </w:tcBorders>
          </w:tcPr>
          <w:p w14:paraId="24D61340" w14:textId="77777777" w:rsidR="00245300" w:rsidRPr="00EC20A0" w:rsidRDefault="00F17249">
            <w:pPr>
              <w:pStyle w:val="TableParagraph"/>
              <w:tabs>
                <w:tab w:val="left" w:pos="590"/>
              </w:tabs>
              <w:spacing w:before="144"/>
              <w:ind w:left="590" w:right="142" w:hanging="461"/>
            </w:pPr>
            <w:r w:rsidRPr="00EC20A0">
              <w:rPr>
                <w:spacing w:val="-6"/>
              </w:rPr>
              <w:t>7.</w:t>
            </w:r>
            <w:r w:rsidRPr="00EC20A0">
              <w:tab/>
              <w:t>Compare</w:t>
            </w:r>
            <w:r w:rsidRPr="00EC20A0">
              <w:rPr>
                <w:spacing w:val="-6"/>
              </w:rPr>
              <w:t xml:space="preserve"> </w:t>
            </w:r>
            <w:r w:rsidRPr="00EC20A0">
              <w:t>the</w:t>
            </w:r>
            <w:r w:rsidRPr="00EC20A0">
              <w:rPr>
                <w:spacing w:val="-6"/>
              </w:rPr>
              <w:t xml:space="preserve"> </w:t>
            </w:r>
            <w:r w:rsidRPr="00EC20A0">
              <w:t>combined</w:t>
            </w:r>
            <w:r w:rsidRPr="00EC20A0">
              <w:rPr>
                <w:spacing w:val="-6"/>
              </w:rPr>
              <w:t xml:space="preserve"> </w:t>
            </w:r>
            <w:r w:rsidRPr="00EC20A0">
              <w:t>totals</w:t>
            </w:r>
            <w:r w:rsidRPr="00EC20A0">
              <w:rPr>
                <w:spacing w:val="-6"/>
              </w:rPr>
              <w:t xml:space="preserve"> </w:t>
            </w:r>
            <w:r w:rsidRPr="00EC20A0">
              <w:t>of</w:t>
            </w:r>
            <w:r w:rsidRPr="00EC20A0">
              <w:rPr>
                <w:spacing w:val="-6"/>
              </w:rPr>
              <w:t xml:space="preserve"> </w:t>
            </w:r>
            <w:r w:rsidRPr="00EC20A0">
              <w:t>employee</w:t>
            </w:r>
            <w:r w:rsidRPr="00EC20A0">
              <w:rPr>
                <w:spacing w:val="-6"/>
              </w:rPr>
              <w:t xml:space="preserve"> </w:t>
            </w:r>
            <w:r w:rsidRPr="00EC20A0">
              <w:t>withholdings</w:t>
            </w:r>
            <w:r w:rsidRPr="00EC20A0">
              <w:rPr>
                <w:spacing w:val="-6"/>
              </w:rPr>
              <w:t xml:space="preserve"> </w:t>
            </w:r>
            <w:r w:rsidRPr="00EC20A0">
              <w:t>and entity</w:t>
            </w:r>
            <w:r w:rsidRPr="00EC20A0">
              <w:rPr>
                <w:spacing w:val="-2"/>
              </w:rPr>
              <w:t xml:space="preserve"> </w:t>
            </w:r>
            <w:r w:rsidRPr="00EC20A0">
              <w:t>contributions</w:t>
            </w:r>
            <w:r w:rsidRPr="00EC20A0">
              <w:rPr>
                <w:spacing w:val="-2"/>
              </w:rPr>
              <w:t xml:space="preserve"> </w:t>
            </w:r>
            <w:r w:rsidRPr="00EC20A0">
              <w:t>that</w:t>
            </w:r>
            <w:r w:rsidRPr="00EC20A0">
              <w:rPr>
                <w:spacing w:val="-3"/>
              </w:rPr>
              <w:t xml:space="preserve"> </w:t>
            </w:r>
            <w:r w:rsidRPr="00EC20A0">
              <w:t>include</w:t>
            </w:r>
            <w:r w:rsidRPr="00EC20A0">
              <w:rPr>
                <w:spacing w:val="-2"/>
              </w:rPr>
              <w:t xml:space="preserve"> </w:t>
            </w:r>
            <w:r w:rsidRPr="00EC20A0">
              <w:t>each</w:t>
            </w:r>
            <w:r w:rsidRPr="00EC20A0">
              <w:rPr>
                <w:spacing w:val="-2"/>
              </w:rPr>
              <w:t xml:space="preserve"> </w:t>
            </w:r>
            <w:r w:rsidRPr="00EC20A0">
              <w:t>selection</w:t>
            </w:r>
            <w:r w:rsidRPr="00EC20A0">
              <w:rPr>
                <w:spacing w:val="-3"/>
              </w:rPr>
              <w:t xml:space="preserve"> </w:t>
            </w:r>
            <w:r w:rsidRPr="00EC20A0">
              <w:t>made</w:t>
            </w:r>
            <w:r w:rsidRPr="00EC20A0">
              <w:rPr>
                <w:spacing w:val="-2"/>
              </w:rPr>
              <w:t xml:space="preserve"> </w:t>
            </w:r>
            <w:r w:rsidRPr="00EC20A0">
              <w:t>in</w:t>
            </w:r>
            <w:r w:rsidRPr="00EC20A0">
              <w:rPr>
                <w:spacing w:val="-2"/>
              </w:rPr>
              <w:t xml:space="preserve"> </w:t>
            </w:r>
            <w:r w:rsidRPr="00EC20A0">
              <w:t xml:space="preserve">step 1 to the </w:t>
            </w:r>
            <w:r w:rsidRPr="00EC20A0">
              <w:t>deposit made to Treasury and the remittance sent to</w:t>
            </w:r>
            <w:r w:rsidRPr="00EC20A0">
              <w:rPr>
                <w:spacing w:val="-3"/>
              </w:rPr>
              <w:t xml:space="preserve"> </w:t>
            </w:r>
            <w:r w:rsidRPr="00EC20A0">
              <w:t>OPM,</w:t>
            </w:r>
            <w:r w:rsidRPr="00EC20A0">
              <w:rPr>
                <w:spacing w:val="-3"/>
              </w:rPr>
              <w:t xml:space="preserve"> </w:t>
            </w:r>
            <w:r w:rsidRPr="00EC20A0">
              <w:t>and</w:t>
            </w:r>
            <w:r w:rsidRPr="00EC20A0">
              <w:rPr>
                <w:spacing w:val="-3"/>
              </w:rPr>
              <w:t xml:space="preserve"> </w:t>
            </w:r>
            <w:r w:rsidRPr="00EC20A0">
              <w:t>obtain</w:t>
            </w:r>
            <w:r w:rsidRPr="00EC20A0">
              <w:rPr>
                <w:spacing w:val="-3"/>
              </w:rPr>
              <w:t xml:space="preserve"> </w:t>
            </w:r>
            <w:r w:rsidRPr="00EC20A0">
              <w:t>an</w:t>
            </w:r>
            <w:r w:rsidRPr="00EC20A0">
              <w:rPr>
                <w:spacing w:val="-4"/>
              </w:rPr>
              <w:t xml:space="preserve"> </w:t>
            </w:r>
            <w:r w:rsidRPr="00EC20A0">
              <w:t>explanation</w:t>
            </w:r>
            <w:r w:rsidRPr="00EC20A0">
              <w:rPr>
                <w:spacing w:val="-4"/>
              </w:rPr>
              <w:t xml:space="preserve"> </w:t>
            </w:r>
            <w:r w:rsidRPr="00EC20A0">
              <w:t>and</w:t>
            </w:r>
            <w:r w:rsidRPr="00EC20A0">
              <w:rPr>
                <w:spacing w:val="-3"/>
              </w:rPr>
              <w:t xml:space="preserve"> </w:t>
            </w:r>
            <w:r w:rsidRPr="00EC20A0">
              <w:t>examine</w:t>
            </w:r>
            <w:r w:rsidRPr="00EC20A0">
              <w:rPr>
                <w:spacing w:val="-2"/>
              </w:rPr>
              <w:t xml:space="preserve"> </w:t>
            </w:r>
            <w:r w:rsidRPr="00EC20A0">
              <w:t>support</w:t>
            </w:r>
            <w:r w:rsidRPr="00EC20A0">
              <w:rPr>
                <w:spacing w:val="-3"/>
              </w:rPr>
              <w:t xml:space="preserve"> </w:t>
            </w:r>
            <w:r w:rsidRPr="00EC20A0">
              <w:t>for any differences. The funds should be deposited in the Treasury to the credit of the Civil Service Retirement and Disability Fund. See FAM 808.03, Deposits into the Civil Service Retirement and Disability Fund.</w:t>
            </w:r>
          </w:p>
        </w:tc>
        <w:tc>
          <w:tcPr>
            <w:tcW w:w="1320" w:type="dxa"/>
            <w:tcBorders>
              <w:left w:val="single" w:sz="6" w:space="0" w:color="000000"/>
              <w:bottom w:val="single" w:sz="6" w:space="0" w:color="000000"/>
              <w:right w:val="single" w:sz="6" w:space="0" w:color="000000"/>
            </w:tcBorders>
          </w:tcPr>
          <w:p w14:paraId="24D61341" w14:textId="77777777" w:rsidR="00245300" w:rsidRPr="00EC20A0" w:rsidRDefault="00245300">
            <w:pPr>
              <w:pStyle w:val="TableParagraph"/>
              <w:rPr>
                <w:sz w:val="20"/>
              </w:rPr>
            </w:pPr>
          </w:p>
        </w:tc>
        <w:tc>
          <w:tcPr>
            <w:tcW w:w="1320" w:type="dxa"/>
            <w:tcBorders>
              <w:left w:val="single" w:sz="6" w:space="0" w:color="000000"/>
              <w:bottom w:val="single" w:sz="6" w:space="0" w:color="000000"/>
            </w:tcBorders>
          </w:tcPr>
          <w:p w14:paraId="24D61342" w14:textId="77777777" w:rsidR="00245300" w:rsidRPr="00EC20A0" w:rsidRDefault="00245300">
            <w:pPr>
              <w:pStyle w:val="TableParagraph"/>
              <w:rPr>
                <w:sz w:val="20"/>
              </w:rPr>
            </w:pPr>
          </w:p>
        </w:tc>
      </w:tr>
      <w:tr w:rsidR="00245300" w:rsidRPr="00EC20A0" w14:paraId="24D6134B" w14:textId="77777777">
        <w:trPr>
          <w:trHeight w:val="4971"/>
        </w:trPr>
        <w:tc>
          <w:tcPr>
            <w:tcW w:w="6600" w:type="dxa"/>
            <w:tcBorders>
              <w:top w:val="single" w:sz="6" w:space="0" w:color="000000"/>
              <w:bottom w:val="single" w:sz="6" w:space="0" w:color="000000"/>
              <w:right w:val="single" w:sz="6" w:space="0" w:color="000000"/>
            </w:tcBorders>
          </w:tcPr>
          <w:p w14:paraId="24D61344" w14:textId="77777777" w:rsidR="00245300" w:rsidRPr="00EC20A0" w:rsidRDefault="00F17249">
            <w:pPr>
              <w:pStyle w:val="TableParagraph"/>
              <w:numPr>
                <w:ilvl w:val="0"/>
                <w:numId w:val="130"/>
              </w:numPr>
              <w:tabs>
                <w:tab w:val="left" w:pos="561"/>
              </w:tabs>
              <w:spacing w:before="143"/>
              <w:ind w:right="185"/>
            </w:pPr>
            <w:r w:rsidRPr="00EC20A0">
              <w:t>If the entity does not appear to be in compliance based on the results of tests performed, then the auditor should discuss</w:t>
            </w:r>
            <w:r w:rsidRPr="00EC20A0">
              <w:rPr>
                <w:spacing w:val="-5"/>
              </w:rPr>
              <w:t xml:space="preserve"> </w:t>
            </w:r>
            <w:r w:rsidRPr="00EC20A0">
              <w:t>these</w:t>
            </w:r>
            <w:r w:rsidRPr="00EC20A0">
              <w:rPr>
                <w:spacing w:val="-5"/>
              </w:rPr>
              <w:t xml:space="preserve"> </w:t>
            </w:r>
            <w:r w:rsidRPr="00EC20A0">
              <w:t>matters</w:t>
            </w:r>
            <w:r w:rsidRPr="00EC20A0">
              <w:rPr>
                <w:spacing w:val="-5"/>
              </w:rPr>
              <w:t xml:space="preserve"> </w:t>
            </w:r>
            <w:r w:rsidRPr="00EC20A0">
              <w:t>with</w:t>
            </w:r>
            <w:r w:rsidRPr="00EC20A0">
              <w:rPr>
                <w:spacing w:val="-5"/>
              </w:rPr>
              <w:t xml:space="preserve"> </w:t>
            </w:r>
            <w:r w:rsidRPr="00EC20A0">
              <w:t>OGC</w:t>
            </w:r>
            <w:r w:rsidRPr="00EC20A0">
              <w:rPr>
                <w:spacing w:val="-6"/>
              </w:rPr>
              <w:t xml:space="preserve"> </w:t>
            </w:r>
            <w:r w:rsidRPr="00EC20A0">
              <w:t>and,</w:t>
            </w:r>
            <w:r w:rsidRPr="00EC20A0">
              <w:rPr>
                <w:spacing w:val="-5"/>
              </w:rPr>
              <w:t xml:space="preserve"> </w:t>
            </w:r>
            <w:r w:rsidRPr="00EC20A0">
              <w:t>when</w:t>
            </w:r>
            <w:r w:rsidRPr="00EC20A0">
              <w:rPr>
                <w:spacing w:val="-5"/>
              </w:rPr>
              <w:t xml:space="preserve"> </w:t>
            </w:r>
            <w:r w:rsidRPr="00EC20A0">
              <w:t>appropriate,</w:t>
            </w:r>
            <w:r w:rsidRPr="00EC20A0">
              <w:rPr>
                <w:spacing w:val="-5"/>
              </w:rPr>
              <w:t xml:space="preserve"> </w:t>
            </w:r>
            <w:r w:rsidRPr="00EC20A0">
              <w:t xml:space="preserve">the Special Investigator Unit to conclude if noncompliance actually has occurred and the implications of such noncompliance. For any noncompliance noted, the auditor </w:t>
            </w:r>
            <w:r w:rsidRPr="00EC20A0">
              <w:rPr>
                <w:spacing w:val="-2"/>
              </w:rPr>
              <w:t>should</w:t>
            </w:r>
          </w:p>
          <w:p w14:paraId="24D61345" w14:textId="77777777" w:rsidR="00245300" w:rsidRPr="00EC20A0" w:rsidRDefault="00F17249">
            <w:pPr>
              <w:pStyle w:val="TableParagraph"/>
              <w:numPr>
                <w:ilvl w:val="1"/>
                <w:numId w:val="130"/>
              </w:numPr>
              <w:tabs>
                <w:tab w:val="left" w:pos="884"/>
                <w:tab w:val="left" w:pos="921"/>
              </w:tabs>
              <w:spacing w:before="144"/>
              <w:ind w:left="921" w:right="373" w:hanging="361"/>
            </w:pPr>
            <w:r w:rsidRPr="00EC20A0">
              <w:t>identify the weakness in compliance controls that allowed the noncompliance to occur, if it was not previously</w:t>
            </w:r>
            <w:r w:rsidRPr="00EC20A0">
              <w:rPr>
                <w:spacing w:val="-7"/>
              </w:rPr>
              <w:t xml:space="preserve"> </w:t>
            </w:r>
            <w:r w:rsidRPr="00EC20A0">
              <w:t>identified</w:t>
            </w:r>
            <w:r w:rsidRPr="00EC20A0">
              <w:rPr>
                <w:spacing w:val="-7"/>
              </w:rPr>
              <w:t xml:space="preserve"> </w:t>
            </w:r>
            <w:r w:rsidRPr="00EC20A0">
              <w:t>during</w:t>
            </w:r>
            <w:r w:rsidRPr="00EC20A0">
              <w:rPr>
                <w:spacing w:val="-7"/>
              </w:rPr>
              <w:t xml:space="preserve"> </w:t>
            </w:r>
            <w:r w:rsidRPr="00EC20A0">
              <w:t>compliance</w:t>
            </w:r>
            <w:r w:rsidRPr="00EC20A0">
              <w:rPr>
                <w:spacing w:val="-7"/>
              </w:rPr>
              <w:t xml:space="preserve"> </w:t>
            </w:r>
            <w:r w:rsidRPr="00EC20A0">
              <w:t>control</w:t>
            </w:r>
            <w:r w:rsidRPr="00EC20A0">
              <w:rPr>
                <w:spacing w:val="-7"/>
              </w:rPr>
              <w:t xml:space="preserve"> </w:t>
            </w:r>
            <w:r w:rsidRPr="00EC20A0">
              <w:t>testing;</w:t>
            </w:r>
          </w:p>
          <w:p w14:paraId="24D61346" w14:textId="77777777" w:rsidR="00245300" w:rsidRPr="00EC20A0" w:rsidRDefault="00F17249">
            <w:pPr>
              <w:pStyle w:val="TableParagraph"/>
              <w:numPr>
                <w:ilvl w:val="1"/>
                <w:numId w:val="130"/>
              </w:numPr>
              <w:tabs>
                <w:tab w:val="left" w:pos="884"/>
                <w:tab w:val="left" w:pos="921"/>
              </w:tabs>
              <w:spacing w:before="143"/>
              <w:ind w:left="921" w:right="215" w:hanging="360"/>
            </w:pPr>
            <w:r w:rsidRPr="00EC20A0">
              <w:t>determine</w:t>
            </w:r>
            <w:r w:rsidRPr="00EC20A0">
              <w:rPr>
                <w:spacing w:val="-4"/>
              </w:rPr>
              <w:t xml:space="preserve"> </w:t>
            </w:r>
            <w:r w:rsidRPr="00EC20A0">
              <w:t>the</w:t>
            </w:r>
            <w:r w:rsidRPr="00EC20A0">
              <w:rPr>
                <w:spacing w:val="-4"/>
              </w:rPr>
              <w:t xml:space="preserve"> </w:t>
            </w:r>
            <w:r w:rsidRPr="00EC20A0">
              <w:t>impact</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report</w:t>
            </w:r>
            <w:r w:rsidRPr="00EC20A0">
              <w:rPr>
                <w:spacing w:val="-4"/>
              </w:rPr>
              <w:t xml:space="preserve"> </w:t>
            </w:r>
            <w:r w:rsidRPr="00EC20A0">
              <w:t>on</w:t>
            </w:r>
            <w:r w:rsidRPr="00EC20A0">
              <w:rPr>
                <w:spacing w:val="-4"/>
              </w:rPr>
              <w:t xml:space="preserve"> </w:t>
            </w:r>
            <w:r w:rsidRPr="00EC20A0">
              <w:t>internal</w:t>
            </w:r>
            <w:r w:rsidRPr="00EC20A0">
              <w:rPr>
                <w:spacing w:val="-4"/>
              </w:rPr>
              <w:t xml:space="preserve"> </w:t>
            </w:r>
            <w:r w:rsidRPr="00EC20A0">
              <w:t>control</w:t>
            </w:r>
            <w:r w:rsidRPr="00EC20A0">
              <w:rPr>
                <w:spacing w:val="-4"/>
              </w:rPr>
              <w:t xml:space="preserve"> </w:t>
            </w:r>
            <w:r w:rsidRPr="00EC20A0">
              <w:t>as appropriate (see FAM 580.56–85);</w:t>
            </w:r>
          </w:p>
          <w:p w14:paraId="24D61347" w14:textId="77777777" w:rsidR="00245300" w:rsidRPr="00EC20A0" w:rsidRDefault="00F17249">
            <w:pPr>
              <w:pStyle w:val="TableParagraph"/>
              <w:numPr>
                <w:ilvl w:val="1"/>
                <w:numId w:val="130"/>
              </w:numPr>
              <w:tabs>
                <w:tab w:val="left" w:pos="910"/>
                <w:tab w:val="left" w:pos="921"/>
              </w:tabs>
              <w:spacing w:before="142"/>
              <w:ind w:left="921" w:right="999" w:hanging="361"/>
            </w:pPr>
            <w:r w:rsidRPr="00EC20A0">
              <w:t>consider the implications of any instances of noncompliance</w:t>
            </w:r>
            <w:r w:rsidRPr="00EC20A0">
              <w:rPr>
                <w:spacing w:val="-8"/>
              </w:rPr>
              <w:t xml:space="preserve"> </w:t>
            </w:r>
            <w:r w:rsidRPr="00EC20A0">
              <w:t>on</w:t>
            </w:r>
            <w:r w:rsidRPr="00EC20A0">
              <w:rPr>
                <w:spacing w:val="-8"/>
              </w:rPr>
              <w:t xml:space="preserve"> </w:t>
            </w:r>
            <w:r w:rsidRPr="00EC20A0">
              <w:t>the</w:t>
            </w:r>
            <w:r w:rsidRPr="00EC20A0">
              <w:rPr>
                <w:spacing w:val="-8"/>
              </w:rPr>
              <w:t xml:space="preserve"> </w:t>
            </w:r>
            <w:r w:rsidRPr="00EC20A0">
              <w:t>financial</w:t>
            </w:r>
            <w:r w:rsidRPr="00EC20A0">
              <w:rPr>
                <w:spacing w:val="-8"/>
              </w:rPr>
              <w:t xml:space="preserve"> </w:t>
            </w:r>
            <w:r w:rsidRPr="00EC20A0">
              <w:t>statements;</w:t>
            </w:r>
            <w:r w:rsidRPr="00EC20A0">
              <w:rPr>
                <w:spacing w:val="-8"/>
              </w:rPr>
              <w:t xml:space="preserve"> </w:t>
            </w:r>
            <w:r w:rsidRPr="00EC20A0">
              <w:t>and</w:t>
            </w:r>
          </w:p>
          <w:p w14:paraId="24D61348" w14:textId="77777777" w:rsidR="00245300" w:rsidRPr="00EC20A0" w:rsidRDefault="00F17249">
            <w:pPr>
              <w:pStyle w:val="TableParagraph"/>
              <w:numPr>
                <w:ilvl w:val="1"/>
                <w:numId w:val="130"/>
              </w:numPr>
              <w:tabs>
                <w:tab w:val="left" w:pos="911"/>
                <w:tab w:val="left" w:pos="922"/>
              </w:tabs>
              <w:spacing w:before="142"/>
              <w:ind w:right="288" w:hanging="361"/>
            </w:pPr>
            <w:r w:rsidRPr="00EC20A0">
              <w:t>report</w:t>
            </w:r>
            <w:r w:rsidRPr="00EC20A0">
              <w:rPr>
                <w:spacing w:val="-7"/>
              </w:rPr>
              <w:t xml:space="preserve"> </w:t>
            </w:r>
            <w:r w:rsidRPr="00EC20A0">
              <w:t>instances</w:t>
            </w:r>
            <w:r w:rsidRPr="00EC20A0">
              <w:rPr>
                <w:spacing w:val="-7"/>
              </w:rPr>
              <w:t xml:space="preserve"> </w:t>
            </w:r>
            <w:r w:rsidRPr="00EC20A0">
              <w:t>of</w:t>
            </w:r>
            <w:r w:rsidRPr="00EC20A0">
              <w:rPr>
                <w:spacing w:val="-7"/>
              </w:rPr>
              <w:t xml:space="preserve"> </w:t>
            </w:r>
            <w:r w:rsidRPr="00EC20A0">
              <w:t>noncompliance,</w:t>
            </w:r>
            <w:r w:rsidRPr="00EC20A0">
              <w:rPr>
                <w:spacing w:val="-8"/>
              </w:rPr>
              <w:t xml:space="preserve"> </w:t>
            </w:r>
            <w:r w:rsidRPr="00EC20A0">
              <w:t>as</w:t>
            </w:r>
            <w:r w:rsidRPr="00EC20A0">
              <w:rPr>
                <w:spacing w:val="-7"/>
              </w:rPr>
              <w:t xml:space="preserve"> </w:t>
            </w:r>
            <w:r w:rsidRPr="00EC20A0">
              <w:t>appropriate</w:t>
            </w:r>
            <w:r w:rsidRPr="00EC20A0">
              <w:rPr>
                <w:spacing w:val="-7"/>
              </w:rPr>
              <w:t xml:space="preserve"> </w:t>
            </w:r>
            <w:r w:rsidRPr="00EC20A0">
              <w:t>(see FAM 580.91–.99).</w:t>
            </w:r>
          </w:p>
        </w:tc>
        <w:tc>
          <w:tcPr>
            <w:tcW w:w="1320" w:type="dxa"/>
            <w:tcBorders>
              <w:top w:val="single" w:sz="6" w:space="0" w:color="000000"/>
              <w:left w:val="single" w:sz="6" w:space="0" w:color="000000"/>
              <w:bottom w:val="single" w:sz="6" w:space="0" w:color="000000"/>
              <w:right w:val="single" w:sz="6" w:space="0" w:color="000000"/>
            </w:tcBorders>
          </w:tcPr>
          <w:p w14:paraId="24D61349" w14:textId="77777777" w:rsidR="00245300" w:rsidRPr="00EC20A0" w:rsidRDefault="00245300">
            <w:pPr>
              <w:pStyle w:val="TableParagraph"/>
              <w:rPr>
                <w:sz w:val="20"/>
              </w:rPr>
            </w:pPr>
          </w:p>
        </w:tc>
        <w:tc>
          <w:tcPr>
            <w:tcW w:w="1320" w:type="dxa"/>
            <w:tcBorders>
              <w:top w:val="single" w:sz="6" w:space="0" w:color="000000"/>
              <w:left w:val="single" w:sz="6" w:space="0" w:color="000000"/>
              <w:bottom w:val="single" w:sz="6" w:space="0" w:color="000000"/>
            </w:tcBorders>
          </w:tcPr>
          <w:p w14:paraId="24D6134A" w14:textId="77777777" w:rsidR="00245300" w:rsidRPr="00EC20A0" w:rsidRDefault="00245300">
            <w:pPr>
              <w:pStyle w:val="TableParagraph"/>
              <w:rPr>
                <w:sz w:val="20"/>
              </w:rPr>
            </w:pPr>
          </w:p>
        </w:tc>
      </w:tr>
      <w:tr w:rsidR="00245300" w:rsidRPr="00EC20A0" w14:paraId="24D6134F" w14:textId="77777777">
        <w:trPr>
          <w:trHeight w:val="795"/>
        </w:trPr>
        <w:tc>
          <w:tcPr>
            <w:tcW w:w="6600" w:type="dxa"/>
            <w:tcBorders>
              <w:top w:val="single" w:sz="6" w:space="0" w:color="000000"/>
              <w:right w:val="single" w:sz="6" w:space="0" w:color="000000"/>
            </w:tcBorders>
          </w:tcPr>
          <w:p w14:paraId="24D6134C" w14:textId="77777777" w:rsidR="00245300" w:rsidRPr="00EC20A0" w:rsidRDefault="00F17249">
            <w:pPr>
              <w:pStyle w:val="TableParagraph"/>
              <w:tabs>
                <w:tab w:val="left" w:pos="561"/>
              </w:tabs>
              <w:spacing w:before="143"/>
              <w:ind w:left="561" w:right="381" w:hanging="432"/>
            </w:pPr>
            <w:r w:rsidRPr="00EC20A0">
              <w:rPr>
                <w:spacing w:val="-6"/>
              </w:rPr>
              <w:t>9.</w:t>
            </w:r>
            <w:r w:rsidRPr="00EC20A0">
              <w:tab/>
              <w:t>Document</w:t>
            </w:r>
            <w:r w:rsidRPr="00EC20A0">
              <w:rPr>
                <w:spacing w:val="-7"/>
              </w:rPr>
              <w:t xml:space="preserve"> </w:t>
            </w:r>
            <w:r w:rsidRPr="00EC20A0">
              <w:t>conclusions</w:t>
            </w:r>
            <w:r w:rsidRPr="00EC20A0">
              <w:rPr>
                <w:spacing w:val="-7"/>
              </w:rPr>
              <w:t xml:space="preserve"> </w:t>
            </w:r>
            <w:r w:rsidRPr="00EC20A0">
              <w:t>on</w:t>
            </w:r>
            <w:r w:rsidRPr="00EC20A0">
              <w:rPr>
                <w:spacing w:val="-7"/>
              </w:rPr>
              <w:t xml:space="preserve"> </w:t>
            </w:r>
            <w:r w:rsidRPr="00EC20A0">
              <w:t>compliance</w:t>
            </w:r>
            <w:r w:rsidRPr="00EC20A0">
              <w:rPr>
                <w:spacing w:val="-7"/>
              </w:rPr>
              <w:t xml:space="preserve"> </w:t>
            </w:r>
            <w:r w:rsidRPr="00EC20A0">
              <w:t>with</w:t>
            </w:r>
            <w:r w:rsidRPr="00EC20A0">
              <w:rPr>
                <w:spacing w:val="-7"/>
              </w:rPr>
              <w:t xml:space="preserve"> </w:t>
            </w:r>
            <w:r w:rsidRPr="00EC20A0">
              <w:t>each</w:t>
            </w:r>
            <w:r w:rsidRPr="00EC20A0">
              <w:rPr>
                <w:spacing w:val="-7"/>
              </w:rPr>
              <w:t xml:space="preserve"> </w:t>
            </w:r>
            <w:r w:rsidRPr="00EC20A0">
              <w:t>provision on Form 808, Compliance Summary.</w:t>
            </w:r>
          </w:p>
        </w:tc>
        <w:tc>
          <w:tcPr>
            <w:tcW w:w="1320" w:type="dxa"/>
            <w:tcBorders>
              <w:top w:val="single" w:sz="6" w:space="0" w:color="000000"/>
              <w:left w:val="single" w:sz="6" w:space="0" w:color="000000"/>
              <w:right w:val="single" w:sz="6" w:space="0" w:color="000000"/>
            </w:tcBorders>
          </w:tcPr>
          <w:p w14:paraId="24D6134D" w14:textId="77777777" w:rsidR="00245300" w:rsidRPr="00EC20A0" w:rsidRDefault="00245300">
            <w:pPr>
              <w:pStyle w:val="TableParagraph"/>
              <w:rPr>
                <w:sz w:val="20"/>
              </w:rPr>
            </w:pPr>
          </w:p>
        </w:tc>
        <w:tc>
          <w:tcPr>
            <w:tcW w:w="1320" w:type="dxa"/>
            <w:tcBorders>
              <w:top w:val="single" w:sz="6" w:space="0" w:color="000000"/>
              <w:left w:val="single" w:sz="6" w:space="0" w:color="000000"/>
            </w:tcBorders>
          </w:tcPr>
          <w:p w14:paraId="24D6134E" w14:textId="77777777" w:rsidR="00245300" w:rsidRPr="00EC20A0" w:rsidRDefault="00245300">
            <w:pPr>
              <w:pStyle w:val="TableParagraph"/>
              <w:rPr>
                <w:sz w:val="20"/>
              </w:rPr>
            </w:pPr>
          </w:p>
        </w:tc>
      </w:tr>
    </w:tbl>
    <w:p w14:paraId="24D61350" w14:textId="77777777" w:rsidR="00245300" w:rsidRPr="00EC20A0" w:rsidRDefault="00F17249">
      <w:pPr>
        <w:pStyle w:val="BodyText"/>
        <w:tabs>
          <w:tab w:val="left" w:pos="1091"/>
        </w:tabs>
        <w:spacing w:before="128"/>
        <w:ind w:left="1091" w:right="147" w:hanging="972"/>
      </w:pPr>
      <w:r w:rsidRPr="00EC20A0">
        <w:rPr>
          <w:b/>
          <w:spacing w:val="-2"/>
        </w:rPr>
        <w:t>Note:</w:t>
      </w:r>
      <w:r w:rsidRPr="00EC20A0">
        <w:rPr>
          <w:b/>
        </w:rPr>
        <w:tab/>
      </w:r>
      <w:r w:rsidRPr="00EC20A0">
        <w:t xml:space="preserve">If the entity outsources payroll processing, then the </w:t>
      </w:r>
      <w:r w:rsidRPr="00EC20A0">
        <w:t>entity remains responsible for compliance. Dividing responsibility for payroll processing activities between the entity and the service organization could make payroll testing more complicated; however, the auditor should perform the same testing. The auditor may accomplish this testing with the assistance of the service auditor, which may issue an internal control report on</w:t>
      </w:r>
      <w:r w:rsidRPr="00EC20A0">
        <w:rPr>
          <w:spacing w:val="-4"/>
        </w:rPr>
        <w:t xml:space="preserve"> </w:t>
      </w:r>
      <w:r w:rsidRPr="00EC20A0">
        <w:t>the</w:t>
      </w:r>
      <w:r w:rsidRPr="00EC20A0">
        <w:rPr>
          <w:spacing w:val="-4"/>
        </w:rPr>
        <w:t xml:space="preserve"> </w:t>
      </w:r>
      <w:r w:rsidRPr="00EC20A0">
        <w:t>service</w:t>
      </w:r>
      <w:r w:rsidRPr="00EC20A0">
        <w:rPr>
          <w:spacing w:val="-4"/>
        </w:rPr>
        <w:t xml:space="preserve"> </w:t>
      </w:r>
      <w:r w:rsidRPr="00EC20A0">
        <w:t>organization</w:t>
      </w:r>
      <w:r w:rsidRPr="00EC20A0">
        <w:rPr>
          <w:spacing w:val="-4"/>
        </w:rPr>
        <w:t xml:space="preserve"> </w:t>
      </w:r>
      <w:r w:rsidRPr="00EC20A0">
        <w:t>under</w:t>
      </w:r>
      <w:r w:rsidRPr="00EC20A0">
        <w:rPr>
          <w:spacing w:val="-4"/>
        </w:rPr>
        <w:t xml:space="preserve"> </w:t>
      </w:r>
      <w:r w:rsidRPr="00EC20A0">
        <w:t>AT-C</w:t>
      </w:r>
      <w:r w:rsidRPr="00EC20A0">
        <w:rPr>
          <w:spacing w:val="-5"/>
        </w:rPr>
        <w:t xml:space="preserve"> </w:t>
      </w:r>
      <w:r w:rsidRPr="00EC20A0">
        <w:t>320,</w:t>
      </w:r>
      <w:r w:rsidRPr="00EC20A0">
        <w:rPr>
          <w:spacing w:val="-4"/>
        </w:rPr>
        <w:t xml:space="preserve"> </w:t>
      </w:r>
      <w:r w:rsidRPr="00EC20A0">
        <w:rPr>
          <w:i/>
        </w:rPr>
        <w:t>Reporting</w:t>
      </w:r>
      <w:r w:rsidRPr="00EC20A0">
        <w:rPr>
          <w:i/>
          <w:spacing w:val="-4"/>
        </w:rPr>
        <w:t xml:space="preserve"> </w:t>
      </w:r>
      <w:r w:rsidRPr="00EC20A0">
        <w:rPr>
          <w:i/>
        </w:rPr>
        <w:t>on</w:t>
      </w:r>
      <w:r w:rsidRPr="00EC20A0">
        <w:rPr>
          <w:i/>
          <w:spacing w:val="-4"/>
        </w:rPr>
        <w:t xml:space="preserve"> </w:t>
      </w:r>
      <w:r w:rsidRPr="00EC20A0">
        <w:rPr>
          <w:i/>
        </w:rPr>
        <w:t>an</w:t>
      </w:r>
      <w:r w:rsidRPr="00EC20A0">
        <w:rPr>
          <w:i/>
          <w:spacing w:val="-4"/>
        </w:rPr>
        <w:t xml:space="preserve"> </w:t>
      </w:r>
      <w:r w:rsidRPr="00EC20A0">
        <w:rPr>
          <w:i/>
        </w:rPr>
        <w:t>Examination</w:t>
      </w:r>
      <w:r w:rsidRPr="00EC20A0">
        <w:rPr>
          <w:i/>
          <w:spacing w:val="-4"/>
        </w:rPr>
        <w:t xml:space="preserve"> </w:t>
      </w:r>
      <w:r w:rsidRPr="00EC20A0">
        <w:rPr>
          <w:i/>
        </w:rPr>
        <w:t>of</w:t>
      </w:r>
      <w:r w:rsidRPr="00EC20A0">
        <w:rPr>
          <w:i/>
          <w:spacing w:val="-4"/>
        </w:rPr>
        <w:t xml:space="preserve"> </w:t>
      </w:r>
      <w:r w:rsidRPr="00EC20A0">
        <w:rPr>
          <w:i/>
        </w:rPr>
        <w:t xml:space="preserve">Controls at a Service Organization Relevant to User </w:t>
      </w:r>
      <w:r w:rsidRPr="00EC20A0">
        <w:rPr>
          <w:i/>
        </w:rPr>
        <w:t>Entities’ Internal Control Over Financial Reporting</w:t>
      </w:r>
      <w:r w:rsidRPr="00EC20A0">
        <w:t>. Another approach may be for the service auditor to assist the entity’s auditor by performing agreed-upon procedures at the service organization (e.g.,</w:t>
      </w:r>
    </w:p>
    <w:p w14:paraId="24D61351" w14:textId="77777777" w:rsidR="00245300" w:rsidRPr="00EC20A0" w:rsidRDefault="00245300">
      <w:pPr>
        <w:sectPr w:rsidR="00245300" w:rsidRPr="00EC20A0">
          <w:pgSz w:w="12240" w:h="15840"/>
          <w:pgMar w:top="1380" w:right="1340" w:bottom="940" w:left="1320" w:header="721" w:footer="742" w:gutter="0"/>
          <w:cols w:space="720"/>
        </w:sectPr>
      </w:pPr>
    </w:p>
    <w:p w14:paraId="24D61352" w14:textId="77777777" w:rsidR="00245300" w:rsidRPr="00EC20A0" w:rsidRDefault="00F17249">
      <w:pPr>
        <w:spacing w:before="82"/>
        <w:ind w:left="1092" w:right="38" w:hanging="1"/>
      </w:pPr>
      <w:r w:rsidRPr="00EC20A0">
        <w:t>substantive</w:t>
      </w:r>
      <w:r w:rsidRPr="00EC20A0">
        <w:rPr>
          <w:spacing w:val="-6"/>
        </w:rPr>
        <w:t xml:space="preserve"> </w:t>
      </w:r>
      <w:r w:rsidRPr="00EC20A0">
        <w:t>testing)</w:t>
      </w:r>
      <w:r w:rsidRPr="00EC20A0">
        <w:rPr>
          <w:spacing w:val="-5"/>
        </w:rPr>
        <w:t xml:space="preserve"> </w:t>
      </w:r>
      <w:r w:rsidRPr="00EC20A0">
        <w:t>under</w:t>
      </w:r>
      <w:r w:rsidRPr="00EC20A0">
        <w:rPr>
          <w:spacing w:val="-5"/>
        </w:rPr>
        <w:t xml:space="preserve"> </w:t>
      </w:r>
      <w:r w:rsidRPr="00EC20A0">
        <w:t>AT-C</w:t>
      </w:r>
      <w:r w:rsidRPr="00EC20A0">
        <w:rPr>
          <w:spacing w:val="-6"/>
        </w:rPr>
        <w:t xml:space="preserve"> </w:t>
      </w:r>
      <w:r w:rsidRPr="00EC20A0">
        <w:t>215,</w:t>
      </w:r>
      <w:r w:rsidRPr="00EC20A0">
        <w:rPr>
          <w:spacing w:val="-5"/>
        </w:rPr>
        <w:t xml:space="preserve"> </w:t>
      </w:r>
      <w:r w:rsidRPr="00EC20A0">
        <w:rPr>
          <w:i/>
        </w:rPr>
        <w:t>Agreed-Upon</w:t>
      </w:r>
      <w:r w:rsidRPr="00EC20A0">
        <w:rPr>
          <w:i/>
          <w:spacing w:val="-5"/>
        </w:rPr>
        <w:t xml:space="preserve"> </w:t>
      </w:r>
      <w:r w:rsidRPr="00EC20A0">
        <w:rPr>
          <w:i/>
        </w:rPr>
        <w:t>Procedures</w:t>
      </w:r>
      <w:r w:rsidRPr="00EC20A0">
        <w:rPr>
          <w:i/>
          <w:spacing w:val="-5"/>
        </w:rPr>
        <w:t xml:space="preserve"> </w:t>
      </w:r>
      <w:r w:rsidRPr="00EC20A0">
        <w:rPr>
          <w:i/>
        </w:rPr>
        <w:t>Engagements</w:t>
      </w:r>
      <w:r w:rsidRPr="00EC20A0">
        <w:rPr>
          <w:i/>
          <w:spacing w:val="-4"/>
        </w:rPr>
        <w:t xml:space="preserve"> </w:t>
      </w:r>
      <w:r w:rsidRPr="00EC20A0">
        <w:t>(see FAM 710).</w:t>
      </w:r>
    </w:p>
    <w:p w14:paraId="24D61353" w14:textId="77777777" w:rsidR="00245300" w:rsidRPr="00EC20A0" w:rsidRDefault="00245300">
      <w:pPr>
        <w:sectPr w:rsidR="00245300" w:rsidRPr="00EC20A0">
          <w:pgSz w:w="12240" w:h="15840"/>
          <w:pgMar w:top="1380" w:right="1340" w:bottom="940" w:left="1320" w:header="721" w:footer="742" w:gutter="0"/>
          <w:cols w:space="720"/>
        </w:sectPr>
      </w:pPr>
    </w:p>
    <w:p w14:paraId="24D61354" w14:textId="77777777" w:rsidR="00245300" w:rsidRPr="00EC20A0" w:rsidRDefault="00F17249">
      <w:pPr>
        <w:pStyle w:val="Heading3"/>
        <w:spacing w:before="80"/>
        <w:ind w:right="510"/>
        <w:rPr>
          <w:u w:val="none"/>
        </w:rPr>
      </w:pPr>
      <w:bookmarkStart w:id="246" w:name="809_–_Federal_Employees_Health_Benefits_"/>
      <w:bookmarkStart w:id="247" w:name="_bookmark134"/>
      <w:bookmarkEnd w:id="246"/>
      <w:bookmarkEnd w:id="247"/>
      <w:r w:rsidRPr="00EC20A0">
        <w:t>809</w:t>
      </w:r>
      <w:r w:rsidRPr="00EC20A0">
        <w:rPr>
          <w:spacing w:val="-4"/>
        </w:rPr>
        <w:t xml:space="preserve"> </w:t>
      </w:r>
      <w:r w:rsidRPr="00EC20A0">
        <w:t>–</w:t>
      </w:r>
      <w:r w:rsidRPr="00EC20A0">
        <w:rPr>
          <w:spacing w:val="-3"/>
        </w:rPr>
        <w:t xml:space="preserve"> </w:t>
      </w:r>
      <w:r w:rsidRPr="00EC20A0">
        <w:t>Federal</w:t>
      </w:r>
      <w:r w:rsidRPr="00EC20A0">
        <w:rPr>
          <w:spacing w:val="-5"/>
        </w:rPr>
        <w:t xml:space="preserve"> </w:t>
      </w:r>
      <w:r w:rsidRPr="00EC20A0">
        <w:t>Employees</w:t>
      </w:r>
      <w:r w:rsidRPr="00EC20A0">
        <w:rPr>
          <w:spacing w:val="-3"/>
        </w:rPr>
        <w:t xml:space="preserve"> </w:t>
      </w:r>
      <w:r w:rsidRPr="00EC20A0">
        <w:t>Health</w:t>
      </w:r>
      <w:r w:rsidRPr="00EC20A0">
        <w:rPr>
          <w:spacing w:val="-4"/>
        </w:rPr>
        <w:t xml:space="preserve"> </w:t>
      </w:r>
      <w:r w:rsidRPr="00EC20A0">
        <w:t>Benefits</w:t>
      </w:r>
      <w:r w:rsidRPr="00EC20A0">
        <w:rPr>
          <w:spacing w:val="-15"/>
        </w:rPr>
        <w:t xml:space="preserve"> </w:t>
      </w:r>
      <w:r w:rsidRPr="00EC20A0">
        <w:t>Act</w:t>
      </w:r>
      <w:r w:rsidRPr="00EC20A0">
        <w:rPr>
          <w:spacing w:val="-3"/>
        </w:rPr>
        <w:t xml:space="preserve"> </w:t>
      </w:r>
      <w:r w:rsidRPr="00EC20A0">
        <w:t>(FEHBA),</w:t>
      </w:r>
      <w:r w:rsidRPr="00EC20A0">
        <w:rPr>
          <w:spacing w:val="-4"/>
        </w:rPr>
        <w:t xml:space="preserve"> </w:t>
      </w:r>
      <w:r w:rsidRPr="00EC20A0">
        <w:t>as</w:t>
      </w:r>
      <w:r w:rsidRPr="00EC20A0">
        <w:rPr>
          <w:spacing w:val="-3"/>
        </w:rPr>
        <w:t xml:space="preserve"> </w:t>
      </w:r>
      <w:bookmarkStart w:id="248" w:name="_bookmark135"/>
      <w:bookmarkEnd w:id="248"/>
      <w:r w:rsidRPr="00EC20A0">
        <w:t>Pr</w:t>
      </w:r>
      <w:bookmarkStart w:id="249" w:name="_bookmark136"/>
      <w:bookmarkEnd w:id="249"/>
      <w:r w:rsidRPr="00EC20A0">
        <w:t>ovided</w:t>
      </w:r>
      <w:r w:rsidRPr="00EC20A0">
        <w:rPr>
          <w:spacing w:val="-5"/>
        </w:rPr>
        <w:t xml:space="preserve"> </w:t>
      </w:r>
      <w:r w:rsidRPr="00EC20A0">
        <w:t>in</w:t>
      </w:r>
      <w:r w:rsidRPr="00EC20A0">
        <w:rPr>
          <w:spacing w:val="-4"/>
        </w:rPr>
        <w:t xml:space="preserve"> </w:t>
      </w:r>
      <w:r w:rsidRPr="00EC20A0">
        <w:t>5</w:t>
      </w:r>
      <w:r w:rsidRPr="00EC20A0">
        <w:rPr>
          <w:spacing w:val="-3"/>
        </w:rPr>
        <w:t xml:space="preserve"> </w:t>
      </w:r>
      <w:r w:rsidRPr="00EC20A0">
        <w:t>U.S.C.</w:t>
      </w:r>
      <w:r w:rsidRPr="00EC20A0">
        <w:rPr>
          <w:u w:val="none"/>
        </w:rPr>
        <w:t xml:space="preserve"> </w:t>
      </w:r>
      <w:r w:rsidRPr="00EC20A0">
        <w:t>Chapter 89</w:t>
      </w:r>
    </w:p>
    <w:p w14:paraId="24D61355" w14:textId="77777777" w:rsidR="00245300" w:rsidRPr="00EC20A0" w:rsidRDefault="00F17249">
      <w:pPr>
        <w:pStyle w:val="BodyText"/>
        <w:spacing w:before="143"/>
        <w:ind w:left="119"/>
      </w:pPr>
      <w:r w:rsidRPr="00EC20A0">
        <w:t>Note:</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3"/>
        </w:rPr>
        <w:t xml:space="preserve"> </w:t>
      </w:r>
      <w:r w:rsidRPr="00EC20A0">
        <w:t>complete</w:t>
      </w:r>
      <w:r w:rsidRPr="00EC20A0">
        <w:rPr>
          <w:spacing w:val="-3"/>
        </w:rPr>
        <w:t xml:space="preserve"> </w:t>
      </w:r>
      <w:r w:rsidRPr="00EC20A0">
        <w:t>this</w:t>
      </w:r>
      <w:r w:rsidRPr="00EC20A0">
        <w:rPr>
          <w:spacing w:val="-3"/>
        </w:rPr>
        <w:t xml:space="preserve"> </w:t>
      </w:r>
      <w:r w:rsidRPr="00EC20A0">
        <w:t>compliance</w:t>
      </w:r>
      <w:r w:rsidRPr="00EC20A0">
        <w:rPr>
          <w:spacing w:val="-3"/>
        </w:rPr>
        <w:t xml:space="preserve"> </w:t>
      </w:r>
      <w:r w:rsidRPr="00EC20A0">
        <w:t>summary</w:t>
      </w:r>
      <w:r w:rsidRPr="00EC20A0">
        <w:rPr>
          <w:spacing w:val="-2"/>
        </w:rPr>
        <w:t xml:space="preserve"> </w:t>
      </w:r>
      <w:r w:rsidRPr="00EC20A0">
        <w:t>or</w:t>
      </w:r>
      <w:r w:rsidRPr="00EC20A0">
        <w:rPr>
          <w:spacing w:val="-3"/>
        </w:rPr>
        <w:t xml:space="preserve"> </w:t>
      </w:r>
      <w:r w:rsidRPr="00EC20A0">
        <w:t>prepare</w:t>
      </w:r>
      <w:r w:rsidRPr="00EC20A0">
        <w:rPr>
          <w:spacing w:val="-3"/>
        </w:rPr>
        <w:t xml:space="preserve"> </w:t>
      </w:r>
      <w:r w:rsidRPr="00EC20A0">
        <w:t>equivalent</w:t>
      </w:r>
      <w:r w:rsidRPr="00EC20A0">
        <w:rPr>
          <w:spacing w:val="-3"/>
        </w:rPr>
        <w:t xml:space="preserve"> </w:t>
      </w:r>
      <w:r w:rsidRPr="00EC20A0">
        <w:t>documentation</w:t>
      </w:r>
      <w:r w:rsidRPr="00EC20A0">
        <w:rPr>
          <w:spacing w:val="-3"/>
        </w:rPr>
        <w:t xml:space="preserve"> </w:t>
      </w:r>
      <w:r w:rsidRPr="00EC20A0">
        <w:t>only</w:t>
      </w:r>
      <w:r w:rsidRPr="00EC20A0">
        <w:rPr>
          <w:spacing w:val="-3"/>
        </w:rPr>
        <w:t xml:space="preserve"> </w:t>
      </w:r>
      <w:r w:rsidRPr="00EC20A0">
        <w:t>if</w:t>
      </w:r>
      <w:r w:rsidRPr="00EC20A0">
        <w:rPr>
          <w:spacing w:val="-3"/>
        </w:rPr>
        <w:t xml:space="preserve"> </w:t>
      </w:r>
      <w:r w:rsidRPr="00EC20A0">
        <w:t>provisions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Federal Employees Health Benefits Act (FEHBA), as provided in 5 U.S.C. chapter 89, are significant, as indicated on Form 802, General Compliance Checklist, at page FAM 802-10.</w:t>
      </w:r>
    </w:p>
    <w:p w14:paraId="24D61356" w14:textId="77777777" w:rsidR="00245300" w:rsidRPr="00EC20A0" w:rsidRDefault="00245300">
      <w:pPr>
        <w:pStyle w:val="BodyText"/>
        <w:spacing w:before="5"/>
        <w:rPr>
          <w:sz w:val="13"/>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00"/>
        <w:gridCol w:w="2086"/>
        <w:gridCol w:w="1803"/>
        <w:gridCol w:w="1901"/>
        <w:gridCol w:w="2303"/>
        <w:gridCol w:w="70"/>
        <w:gridCol w:w="2624"/>
      </w:tblGrid>
      <w:tr w:rsidR="00245300" w:rsidRPr="00EC20A0" w14:paraId="24D6135D" w14:textId="77777777">
        <w:trPr>
          <w:trHeight w:val="531"/>
        </w:trPr>
        <w:tc>
          <w:tcPr>
            <w:tcW w:w="2600" w:type="dxa"/>
            <w:vMerge w:val="restart"/>
            <w:tcBorders>
              <w:right w:val="nil"/>
            </w:tcBorders>
          </w:tcPr>
          <w:p w14:paraId="24D61357" w14:textId="77777777" w:rsidR="00245300" w:rsidRPr="00EC20A0" w:rsidRDefault="00F17249">
            <w:pPr>
              <w:pStyle w:val="TableParagraph"/>
              <w:spacing w:before="144" w:line="523" w:lineRule="auto"/>
              <w:ind w:left="606" w:right="740" w:hanging="245"/>
            </w:pPr>
            <w:r w:rsidRPr="00EC20A0">
              <w:rPr>
                <w:noProof/>
              </w:rPr>
              <mc:AlternateContent>
                <mc:Choice Requires="wpg">
                  <w:drawing>
                    <wp:anchor distT="0" distB="0" distL="0" distR="0" simplePos="0" relativeHeight="475339776" behindDoc="1" locked="0" layoutInCell="1" allowOverlap="1" wp14:anchorId="24D62C35" wp14:editId="24D62C36">
                      <wp:simplePos x="0" y="0"/>
                      <wp:positionH relativeFrom="column">
                        <wp:posOffset>1244346</wp:posOffset>
                      </wp:positionH>
                      <wp:positionV relativeFrom="paragraph">
                        <wp:posOffset>343649</wp:posOffset>
                      </wp:positionV>
                      <wp:extent cx="1155700" cy="6350"/>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656" name="Graphic 656"/>
                              <wps:cNvSpPr/>
                              <wps:spPr>
                                <a:xfrm>
                                  <a:off x="0" y="0"/>
                                  <a:ext cx="1155700" cy="6350"/>
                                </a:xfrm>
                                <a:custGeom>
                                  <a:avLst/>
                                  <a:gdLst/>
                                  <a:ahLst/>
                                  <a:cxnLst/>
                                  <a:rect l="l" t="t" r="r" b="b"/>
                                  <a:pathLst>
                                    <a:path w="1155700" h="6350">
                                      <a:moveTo>
                                        <a:pt x="1155179" y="0"/>
                                      </a:moveTo>
                                      <a:lnTo>
                                        <a:pt x="0" y="0"/>
                                      </a:lnTo>
                                      <a:lnTo>
                                        <a:pt x="0" y="6096"/>
                                      </a:lnTo>
                                      <a:lnTo>
                                        <a:pt x="1155179" y="6096"/>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513687" id="Group 655" o:spid="_x0000_s1026" style="position:absolute;margin-left:98pt;margin-top:27.05pt;width:91pt;height:.5pt;z-index:-27976704;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">
                      <v:shape id="Graphic 656"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" path="m1155179,l,,,6096r1155179,l1155179,xe" fillcolor="black" stroked="f">
                        <v:path arrowok="t"/>
                      </v:shape>
                    </v:group>
                  </w:pict>
                </mc:Fallback>
              </mc:AlternateContent>
            </w:r>
            <w:r w:rsidRPr="00EC20A0">
              <w:t>Name</w:t>
            </w:r>
            <w:r w:rsidRPr="00EC20A0">
              <w:rPr>
                <w:spacing w:val="-16"/>
              </w:rPr>
              <w:t xml:space="preserve"> </w:t>
            </w:r>
            <w:r w:rsidRPr="00EC20A0">
              <w:t>of</w:t>
            </w:r>
            <w:r w:rsidRPr="00EC20A0">
              <w:rPr>
                <w:spacing w:val="-15"/>
              </w:rPr>
              <w:t xml:space="preserve"> </w:t>
            </w:r>
            <w:r w:rsidRPr="00EC20A0">
              <w:t>entity: Audit</w:t>
            </w:r>
            <w:r w:rsidRPr="00EC20A0">
              <w:rPr>
                <w:spacing w:val="-7"/>
              </w:rPr>
              <w:t xml:space="preserve"> </w:t>
            </w:r>
            <w:r w:rsidRPr="00EC20A0">
              <w:rPr>
                <w:spacing w:val="-2"/>
              </w:rPr>
              <w:t>period:</w:t>
            </w:r>
          </w:p>
        </w:tc>
        <w:tc>
          <w:tcPr>
            <w:tcW w:w="2086" w:type="dxa"/>
            <w:vMerge w:val="restart"/>
            <w:tcBorders>
              <w:left w:val="nil"/>
              <w:right w:val="nil"/>
            </w:tcBorders>
          </w:tcPr>
          <w:p w14:paraId="24D61358" w14:textId="77777777" w:rsidR="00245300" w:rsidRPr="00EC20A0" w:rsidRDefault="00245300">
            <w:pPr>
              <w:pStyle w:val="TableParagraph"/>
              <w:rPr>
                <w:sz w:val="18"/>
              </w:rPr>
            </w:pPr>
          </w:p>
        </w:tc>
        <w:tc>
          <w:tcPr>
            <w:tcW w:w="3704" w:type="dxa"/>
            <w:gridSpan w:val="2"/>
            <w:vMerge w:val="restart"/>
            <w:tcBorders>
              <w:left w:val="nil"/>
              <w:right w:val="nil"/>
            </w:tcBorders>
          </w:tcPr>
          <w:p w14:paraId="24D61359" w14:textId="77777777" w:rsidR="00245300" w:rsidRPr="00EC20A0" w:rsidRDefault="00245300">
            <w:pPr>
              <w:pStyle w:val="TableParagraph"/>
              <w:spacing w:before="133"/>
              <w:rPr>
                <w:sz w:val="24"/>
              </w:rPr>
            </w:pPr>
          </w:p>
          <w:p w14:paraId="24D6135A" w14:textId="77777777" w:rsidR="00245300" w:rsidRPr="00EC20A0" w:rsidRDefault="00F17249">
            <w:pPr>
              <w:pStyle w:val="TableParagraph"/>
              <w:ind w:left="532"/>
              <w:rPr>
                <w:b/>
                <w:sz w:val="24"/>
              </w:rPr>
            </w:pPr>
            <w:r w:rsidRPr="00EC20A0">
              <w:rPr>
                <w:b/>
                <w:sz w:val="24"/>
              </w:rPr>
              <w:t>Compliance</w:t>
            </w:r>
            <w:r w:rsidRPr="00EC20A0">
              <w:rPr>
                <w:b/>
                <w:spacing w:val="-6"/>
                <w:sz w:val="24"/>
              </w:rPr>
              <w:t xml:space="preserve"> </w:t>
            </w:r>
            <w:r w:rsidRPr="00EC20A0">
              <w:rPr>
                <w:b/>
                <w:spacing w:val="-2"/>
                <w:sz w:val="24"/>
              </w:rPr>
              <w:t>Summary</w:t>
            </w:r>
          </w:p>
        </w:tc>
        <w:tc>
          <w:tcPr>
            <w:tcW w:w="2373" w:type="dxa"/>
            <w:gridSpan w:val="2"/>
            <w:vMerge w:val="restart"/>
            <w:tcBorders>
              <w:left w:val="nil"/>
              <w:right w:val="nil"/>
            </w:tcBorders>
          </w:tcPr>
          <w:p w14:paraId="24D6135B" w14:textId="77777777" w:rsidR="00245300" w:rsidRPr="00EC20A0" w:rsidRDefault="00F17249">
            <w:pPr>
              <w:pStyle w:val="TableParagraph"/>
              <w:spacing w:before="144" w:line="523" w:lineRule="auto"/>
              <w:ind w:left="953" w:right="97" w:firstLine="61"/>
            </w:pPr>
            <w:r w:rsidRPr="00EC20A0">
              <w:t>Prepared</w:t>
            </w:r>
            <w:r w:rsidRPr="00EC20A0">
              <w:rPr>
                <w:spacing w:val="-16"/>
              </w:rPr>
              <w:t xml:space="preserve"> </w:t>
            </w:r>
            <w:r w:rsidRPr="00EC20A0">
              <w:t>by: Reviewed</w:t>
            </w:r>
            <w:r w:rsidRPr="00EC20A0">
              <w:rPr>
                <w:spacing w:val="-12"/>
              </w:rPr>
              <w:t xml:space="preserve"> </w:t>
            </w:r>
            <w:r w:rsidRPr="00EC20A0">
              <w:rPr>
                <w:spacing w:val="-5"/>
              </w:rPr>
              <w:t>by:</w:t>
            </w:r>
          </w:p>
        </w:tc>
        <w:tc>
          <w:tcPr>
            <w:tcW w:w="2624" w:type="dxa"/>
            <w:tcBorders>
              <w:left w:val="nil"/>
              <w:bottom w:val="single" w:sz="4" w:space="0" w:color="000000"/>
            </w:tcBorders>
          </w:tcPr>
          <w:p w14:paraId="24D6135C" w14:textId="77777777" w:rsidR="00245300" w:rsidRPr="00EC20A0" w:rsidRDefault="00245300">
            <w:pPr>
              <w:pStyle w:val="TableParagraph"/>
              <w:rPr>
                <w:sz w:val="18"/>
              </w:rPr>
            </w:pPr>
          </w:p>
        </w:tc>
      </w:tr>
      <w:tr w:rsidR="00245300" w:rsidRPr="00EC20A0" w14:paraId="24D61363" w14:textId="77777777">
        <w:trPr>
          <w:trHeight w:val="520"/>
        </w:trPr>
        <w:tc>
          <w:tcPr>
            <w:tcW w:w="2600" w:type="dxa"/>
            <w:vMerge/>
            <w:tcBorders>
              <w:top w:val="nil"/>
              <w:right w:val="nil"/>
            </w:tcBorders>
          </w:tcPr>
          <w:p w14:paraId="24D6135E" w14:textId="77777777" w:rsidR="00245300" w:rsidRPr="00EC20A0" w:rsidRDefault="00245300">
            <w:pPr>
              <w:rPr>
                <w:sz w:val="2"/>
                <w:szCs w:val="2"/>
              </w:rPr>
            </w:pPr>
          </w:p>
        </w:tc>
        <w:tc>
          <w:tcPr>
            <w:tcW w:w="2086" w:type="dxa"/>
            <w:vMerge/>
            <w:tcBorders>
              <w:top w:val="nil"/>
              <w:left w:val="nil"/>
              <w:right w:val="nil"/>
            </w:tcBorders>
          </w:tcPr>
          <w:p w14:paraId="24D6135F" w14:textId="77777777" w:rsidR="00245300" w:rsidRPr="00EC20A0" w:rsidRDefault="00245300">
            <w:pPr>
              <w:rPr>
                <w:sz w:val="2"/>
                <w:szCs w:val="2"/>
              </w:rPr>
            </w:pPr>
          </w:p>
        </w:tc>
        <w:tc>
          <w:tcPr>
            <w:tcW w:w="3704" w:type="dxa"/>
            <w:gridSpan w:val="2"/>
            <w:vMerge/>
            <w:tcBorders>
              <w:top w:val="nil"/>
              <w:left w:val="nil"/>
              <w:right w:val="nil"/>
            </w:tcBorders>
          </w:tcPr>
          <w:p w14:paraId="24D61360" w14:textId="77777777" w:rsidR="00245300" w:rsidRPr="00EC20A0" w:rsidRDefault="00245300">
            <w:pPr>
              <w:rPr>
                <w:sz w:val="2"/>
                <w:szCs w:val="2"/>
              </w:rPr>
            </w:pPr>
          </w:p>
        </w:tc>
        <w:tc>
          <w:tcPr>
            <w:tcW w:w="2373" w:type="dxa"/>
            <w:gridSpan w:val="2"/>
            <w:vMerge/>
            <w:tcBorders>
              <w:top w:val="nil"/>
              <w:left w:val="nil"/>
              <w:right w:val="nil"/>
            </w:tcBorders>
          </w:tcPr>
          <w:p w14:paraId="24D61361" w14:textId="77777777" w:rsidR="00245300" w:rsidRPr="00EC20A0" w:rsidRDefault="00245300">
            <w:pPr>
              <w:rPr>
                <w:sz w:val="2"/>
                <w:szCs w:val="2"/>
              </w:rPr>
            </w:pPr>
          </w:p>
        </w:tc>
        <w:tc>
          <w:tcPr>
            <w:tcW w:w="2624" w:type="dxa"/>
            <w:tcBorders>
              <w:top w:val="single" w:sz="4" w:space="0" w:color="000000"/>
              <w:left w:val="nil"/>
              <w:bottom w:val="single" w:sz="4" w:space="0" w:color="000000"/>
            </w:tcBorders>
          </w:tcPr>
          <w:p w14:paraId="24D61362" w14:textId="77777777" w:rsidR="00245300" w:rsidRPr="00EC20A0" w:rsidRDefault="00245300">
            <w:pPr>
              <w:pStyle w:val="TableParagraph"/>
              <w:rPr>
                <w:sz w:val="18"/>
              </w:rPr>
            </w:pPr>
          </w:p>
        </w:tc>
      </w:tr>
      <w:tr w:rsidR="00245300" w:rsidRPr="00EC20A0" w14:paraId="24D61369" w14:textId="77777777">
        <w:trPr>
          <w:trHeight w:val="460"/>
        </w:trPr>
        <w:tc>
          <w:tcPr>
            <w:tcW w:w="2600" w:type="dxa"/>
            <w:vMerge/>
            <w:tcBorders>
              <w:top w:val="nil"/>
              <w:right w:val="nil"/>
            </w:tcBorders>
          </w:tcPr>
          <w:p w14:paraId="24D61364" w14:textId="77777777" w:rsidR="00245300" w:rsidRPr="00EC20A0" w:rsidRDefault="00245300">
            <w:pPr>
              <w:rPr>
                <w:sz w:val="2"/>
                <w:szCs w:val="2"/>
              </w:rPr>
            </w:pPr>
          </w:p>
        </w:tc>
        <w:tc>
          <w:tcPr>
            <w:tcW w:w="2086" w:type="dxa"/>
            <w:vMerge/>
            <w:tcBorders>
              <w:top w:val="nil"/>
              <w:left w:val="nil"/>
              <w:right w:val="nil"/>
            </w:tcBorders>
          </w:tcPr>
          <w:p w14:paraId="24D61365" w14:textId="77777777" w:rsidR="00245300" w:rsidRPr="00EC20A0" w:rsidRDefault="00245300">
            <w:pPr>
              <w:rPr>
                <w:sz w:val="2"/>
                <w:szCs w:val="2"/>
              </w:rPr>
            </w:pPr>
          </w:p>
        </w:tc>
        <w:tc>
          <w:tcPr>
            <w:tcW w:w="3704" w:type="dxa"/>
            <w:gridSpan w:val="2"/>
            <w:vMerge/>
            <w:tcBorders>
              <w:top w:val="nil"/>
              <w:left w:val="nil"/>
              <w:right w:val="nil"/>
            </w:tcBorders>
          </w:tcPr>
          <w:p w14:paraId="24D61366" w14:textId="77777777" w:rsidR="00245300" w:rsidRPr="00EC20A0" w:rsidRDefault="00245300">
            <w:pPr>
              <w:rPr>
                <w:sz w:val="2"/>
                <w:szCs w:val="2"/>
              </w:rPr>
            </w:pPr>
          </w:p>
        </w:tc>
        <w:tc>
          <w:tcPr>
            <w:tcW w:w="2373" w:type="dxa"/>
            <w:gridSpan w:val="2"/>
            <w:vMerge/>
            <w:tcBorders>
              <w:top w:val="nil"/>
              <w:left w:val="nil"/>
              <w:right w:val="nil"/>
            </w:tcBorders>
          </w:tcPr>
          <w:p w14:paraId="24D61367" w14:textId="77777777" w:rsidR="00245300" w:rsidRPr="00EC20A0" w:rsidRDefault="00245300">
            <w:pPr>
              <w:rPr>
                <w:sz w:val="2"/>
                <w:szCs w:val="2"/>
              </w:rPr>
            </w:pPr>
          </w:p>
        </w:tc>
        <w:tc>
          <w:tcPr>
            <w:tcW w:w="2624" w:type="dxa"/>
            <w:tcBorders>
              <w:top w:val="single" w:sz="4" w:space="0" w:color="000000"/>
              <w:left w:val="nil"/>
            </w:tcBorders>
          </w:tcPr>
          <w:p w14:paraId="24D61368" w14:textId="77777777" w:rsidR="00245300" w:rsidRPr="00EC20A0" w:rsidRDefault="00245300">
            <w:pPr>
              <w:pStyle w:val="TableParagraph"/>
              <w:rPr>
                <w:sz w:val="18"/>
              </w:rPr>
            </w:pPr>
          </w:p>
        </w:tc>
      </w:tr>
      <w:tr w:rsidR="00245300" w:rsidRPr="00EC20A0" w14:paraId="24D61373" w14:textId="77777777">
        <w:trPr>
          <w:trHeight w:val="794"/>
        </w:trPr>
        <w:tc>
          <w:tcPr>
            <w:tcW w:w="2600" w:type="dxa"/>
            <w:tcBorders>
              <w:right w:val="single" w:sz="4" w:space="0" w:color="000000"/>
            </w:tcBorders>
          </w:tcPr>
          <w:p w14:paraId="24D6136A" w14:textId="77777777" w:rsidR="00245300" w:rsidRPr="00EC20A0" w:rsidRDefault="00245300">
            <w:pPr>
              <w:pStyle w:val="TableParagraph"/>
              <w:spacing w:before="144"/>
            </w:pPr>
          </w:p>
          <w:p w14:paraId="24D6136B" w14:textId="77777777" w:rsidR="00245300" w:rsidRPr="00EC20A0" w:rsidRDefault="00F17249">
            <w:pPr>
              <w:pStyle w:val="TableParagraph"/>
              <w:spacing w:before="1"/>
              <w:ind w:left="97"/>
            </w:pPr>
            <w:r w:rsidRPr="00EC20A0">
              <w:t>Provision</w:t>
            </w:r>
            <w:r w:rsidRPr="00EC20A0">
              <w:rPr>
                <w:spacing w:val="-11"/>
              </w:rPr>
              <w:t xml:space="preserve"> </w:t>
            </w:r>
            <w:r w:rsidRPr="00EC20A0">
              <w:rPr>
                <w:spacing w:val="-2"/>
              </w:rPr>
              <w:t>Description</w:t>
            </w:r>
          </w:p>
        </w:tc>
        <w:tc>
          <w:tcPr>
            <w:tcW w:w="2086" w:type="dxa"/>
            <w:tcBorders>
              <w:left w:val="single" w:sz="4" w:space="0" w:color="000000"/>
              <w:right w:val="single" w:sz="4" w:space="0" w:color="000000"/>
            </w:tcBorders>
          </w:tcPr>
          <w:p w14:paraId="24D6136C" w14:textId="77777777" w:rsidR="00245300" w:rsidRPr="00EC20A0" w:rsidRDefault="00245300">
            <w:pPr>
              <w:pStyle w:val="TableParagraph"/>
              <w:spacing w:before="144"/>
            </w:pPr>
          </w:p>
          <w:p w14:paraId="24D6136D" w14:textId="77777777" w:rsidR="00245300" w:rsidRPr="00EC20A0" w:rsidRDefault="00F17249">
            <w:pPr>
              <w:pStyle w:val="TableParagraph"/>
              <w:spacing w:before="1"/>
              <w:ind w:left="108"/>
            </w:pPr>
            <w:r w:rsidRPr="00EC20A0">
              <w:rPr>
                <w:noProof/>
              </w:rPr>
              <mc:AlternateContent>
                <mc:Choice Requires="wpg">
                  <w:drawing>
                    <wp:anchor distT="0" distB="0" distL="0" distR="0" simplePos="0" relativeHeight="475340288" behindDoc="1" locked="0" layoutInCell="1" allowOverlap="1" wp14:anchorId="24D62C37" wp14:editId="24D62C38">
                      <wp:simplePos x="0" y="0"/>
                      <wp:positionH relativeFrom="column">
                        <wp:posOffset>-406908</wp:posOffset>
                      </wp:positionH>
                      <wp:positionV relativeFrom="paragraph">
                        <wp:posOffset>-576225</wp:posOffset>
                      </wp:positionV>
                      <wp:extent cx="1155700" cy="6350"/>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658" name="Graphic 658"/>
                              <wps:cNvSpPr/>
                              <wps:spPr>
                                <a:xfrm>
                                  <a:off x="0" y="0"/>
                                  <a:ext cx="1155700" cy="6350"/>
                                </a:xfrm>
                                <a:custGeom>
                                  <a:avLst/>
                                  <a:gdLst/>
                                  <a:ahLst/>
                                  <a:cxnLst/>
                                  <a:rect l="l" t="t" r="r" b="b"/>
                                  <a:pathLst>
                                    <a:path w="1155700" h="6350">
                                      <a:moveTo>
                                        <a:pt x="1155179" y="0"/>
                                      </a:moveTo>
                                      <a:lnTo>
                                        <a:pt x="0" y="0"/>
                                      </a:lnTo>
                                      <a:lnTo>
                                        <a:pt x="0" y="6096"/>
                                      </a:lnTo>
                                      <a:lnTo>
                                        <a:pt x="1155179" y="6096"/>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8013A5" id="Group 657" o:spid="_x0000_s1026" style="position:absolute;margin-left:-32.05pt;margin-top:-45.35pt;width:91pt;height:.5pt;z-index:-27976192;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">
                      <v:shape id="Graphic 658"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" path="m1155179,l,,,6096r1155179,l1155179,xe" fillcolor="black" stroked="f">
                        <v:path arrowok="t"/>
                      </v:shape>
                    </v:group>
                  </w:pict>
                </mc:Fallback>
              </mc:AlternateContent>
            </w:r>
            <w:r w:rsidRPr="00EC20A0">
              <w:rPr>
                <w:spacing w:val="-2"/>
              </w:rPr>
              <w:t>Objective</w:t>
            </w:r>
          </w:p>
        </w:tc>
        <w:tc>
          <w:tcPr>
            <w:tcW w:w="1803" w:type="dxa"/>
            <w:tcBorders>
              <w:left w:val="single" w:sz="4" w:space="0" w:color="000000"/>
              <w:right w:val="single" w:sz="4" w:space="0" w:color="000000"/>
            </w:tcBorders>
          </w:tcPr>
          <w:p w14:paraId="24D6136E" w14:textId="77777777" w:rsidR="00245300" w:rsidRPr="00EC20A0" w:rsidRDefault="00F17249">
            <w:pPr>
              <w:pStyle w:val="TableParagraph"/>
              <w:spacing w:before="144"/>
              <w:ind w:left="109" w:right="160"/>
            </w:pPr>
            <w:r w:rsidRPr="00EC20A0">
              <w:rPr>
                <w:spacing w:val="-2"/>
              </w:rPr>
              <w:t>Control Activities</w:t>
            </w:r>
          </w:p>
        </w:tc>
        <w:tc>
          <w:tcPr>
            <w:tcW w:w="1901" w:type="dxa"/>
            <w:tcBorders>
              <w:left w:val="single" w:sz="4" w:space="0" w:color="000000"/>
              <w:right w:val="single" w:sz="4" w:space="0" w:color="000000"/>
            </w:tcBorders>
          </w:tcPr>
          <w:p w14:paraId="24D6136F" w14:textId="77777777" w:rsidR="00245300" w:rsidRPr="00EC20A0" w:rsidRDefault="00245300">
            <w:pPr>
              <w:pStyle w:val="TableParagraph"/>
              <w:spacing w:before="144"/>
            </w:pPr>
          </w:p>
          <w:p w14:paraId="24D61370" w14:textId="77777777" w:rsidR="00245300" w:rsidRPr="00EC20A0" w:rsidRDefault="00F17249">
            <w:pPr>
              <w:pStyle w:val="TableParagraph"/>
              <w:spacing w:before="1"/>
              <w:ind w:left="109"/>
            </w:pPr>
            <w:r w:rsidRPr="00EC20A0">
              <w:t>IS</w:t>
            </w:r>
            <w:r w:rsidRPr="00EC20A0">
              <w:rPr>
                <w:spacing w:val="-3"/>
              </w:rPr>
              <w:t xml:space="preserve"> </w:t>
            </w:r>
            <w:r w:rsidRPr="00EC20A0">
              <w:rPr>
                <w:spacing w:val="-2"/>
              </w:rPr>
              <w:t>(Y/N)</w:t>
            </w:r>
          </w:p>
        </w:tc>
        <w:tc>
          <w:tcPr>
            <w:tcW w:w="2303" w:type="dxa"/>
            <w:tcBorders>
              <w:left w:val="single" w:sz="4" w:space="0" w:color="000000"/>
              <w:right w:val="single" w:sz="4" w:space="0" w:color="000000"/>
            </w:tcBorders>
          </w:tcPr>
          <w:p w14:paraId="24D61371" w14:textId="77777777" w:rsidR="00245300" w:rsidRPr="00EC20A0" w:rsidRDefault="00F17249">
            <w:pPr>
              <w:pStyle w:val="TableParagraph"/>
              <w:spacing w:before="144"/>
              <w:ind w:left="110" w:right="502"/>
            </w:pPr>
            <w:r w:rsidRPr="00EC20A0">
              <w:rPr>
                <w:spacing w:val="-2"/>
              </w:rPr>
              <w:t>Effective controls?</w:t>
            </w:r>
          </w:p>
        </w:tc>
        <w:tc>
          <w:tcPr>
            <w:tcW w:w="2694" w:type="dxa"/>
            <w:gridSpan w:val="2"/>
            <w:tcBorders>
              <w:left w:val="single" w:sz="4" w:space="0" w:color="000000"/>
            </w:tcBorders>
          </w:tcPr>
          <w:p w14:paraId="24D61372" w14:textId="77777777" w:rsidR="00245300" w:rsidRPr="00EC20A0" w:rsidRDefault="00F17249">
            <w:pPr>
              <w:pStyle w:val="TableParagraph"/>
              <w:spacing w:before="144"/>
              <w:ind w:left="111" w:right="87" w:hanging="1"/>
            </w:pPr>
            <w:r w:rsidRPr="00EC20A0">
              <w:t xml:space="preserve">Instances of </w:t>
            </w:r>
            <w:r w:rsidRPr="00EC20A0">
              <w:rPr>
                <w:spacing w:val="-2"/>
              </w:rPr>
              <w:t>noncompliance?</w:t>
            </w:r>
          </w:p>
        </w:tc>
      </w:tr>
      <w:tr w:rsidR="00245300" w:rsidRPr="00EC20A0" w14:paraId="24D6137D" w14:textId="77777777">
        <w:trPr>
          <w:trHeight w:val="1636"/>
        </w:trPr>
        <w:tc>
          <w:tcPr>
            <w:tcW w:w="2600" w:type="dxa"/>
            <w:tcBorders>
              <w:bottom w:val="nil"/>
              <w:right w:val="single" w:sz="4" w:space="0" w:color="000000"/>
            </w:tcBorders>
          </w:tcPr>
          <w:p w14:paraId="24D61374" w14:textId="77777777" w:rsidR="00245300" w:rsidRPr="00EC20A0" w:rsidRDefault="00F17249">
            <w:pPr>
              <w:pStyle w:val="TableParagraph"/>
              <w:spacing w:before="143" w:line="207" w:lineRule="exact"/>
              <w:ind w:left="97"/>
              <w:rPr>
                <w:sz w:val="14"/>
              </w:rPr>
            </w:pPr>
            <w:r w:rsidRPr="00EC20A0">
              <w:rPr>
                <w:sz w:val="18"/>
              </w:rPr>
              <w:t>809.01.</w:t>
            </w:r>
            <w:r w:rsidRPr="00EC20A0">
              <w:rPr>
                <w:spacing w:val="66"/>
                <w:sz w:val="18"/>
              </w:rPr>
              <w:t xml:space="preserve"> </w:t>
            </w:r>
            <w:r w:rsidRPr="00EC20A0">
              <w:rPr>
                <w:spacing w:val="-2"/>
                <w:sz w:val="18"/>
              </w:rPr>
              <w:t>B</w:t>
            </w:r>
            <w:r w:rsidRPr="00EC20A0">
              <w:rPr>
                <w:spacing w:val="-2"/>
                <w:sz w:val="14"/>
              </w:rPr>
              <w:t>IWEEKLY</w:t>
            </w:r>
          </w:p>
          <w:p w14:paraId="24D61375" w14:textId="77777777" w:rsidR="00245300" w:rsidRPr="00EC20A0" w:rsidRDefault="00F17249">
            <w:pPr>
              <w:pStyle w:val="TableParagraph"/>
              <w:ind w:left="817" w:right="230"/>
              <w:rPr>
                <w:sz w:val="18"/>
              </w:rPr>
            </w:pPr>
            <w:r w:rsidRPr="00EC20A0">
              <w:rPr>
                <w:smallCaps/>
                <w:sz w:val="18"/>
              </w:rPr>
              <w:t>Contributions</w:t>
            </w:r>
            <w:r w:rsidRPr="00EC20A0">
              <w:rPr>
                <w:smallCaps/>
                <w:spacing w:val="-10"/>
                <w:sz w:val="18"/>
              </w:rPr>
              <w:t xml:space="preserve"> </w:t>
            </w:r>
            <w:r w:rsidRPr="00EC20A0">
              <w:rPr>
                <w:smallCaps/>
                <w:sz w:val="18"/>
              </w:rPr>
              <w:t>for</w:t>
            </w:r>
            <w:r w:rsidRPr="00EC20A0">
              <w:rPr>
                <w:smallCaps/>
                <w:spacing w:val="40"/>
                <w:sz w:val="18"/>
              </w:rPr>
              <w:t xml:space="preserve"> </w:t>
            </w:r>
            <w:r w:rsidRPr="00EC20A0">
              <w:rPr>
                <w:smallCaps/>
                <w:sz w:val="18"/>
              </w:rPr>
              <w:t>Employee</w:t>
            </w:r>
            <w:r w:rsidRPr="00EC20A0">
              <w:rPr>
                <w:smallCaps/>
                <w:spacing w:val="-2"/>
                <w:sz w:val="18"/>
              </w:rPr>
              <w:t xml:space="preserve"> </w:t>
            </w:r>
            <w:r w:rsidRPr="00EC20A0">
              <w:rPr>
                <w:smallCaps/>
                <w:sz w:val="18"/>
              </w:rPr>
              <w:t>Health</w:t>
            </w:r>
            <w:r w:rsidRPr="00EC20A0">
              <w:rPr>
                <w:smallCaps/>
                <w:spacing w:val="40"/>
                <w:sz w:val="18"/>
              </w:rPr>
              <w:t xml:space="preserve"> </w:t>
            </w:r>
            <w:r w:rsidRPr="00EC20A0">
              <w:rPr>
                <w:smallCaps/>
                <w:spacing w:val="-2"/>
                <w:sz w:val="18"/>
              </w:rPr>
              <w:t>Insurance.</w:t>
            </w:r>
          </w:p>
          <w:p w14:paraId="24D61376" w14:textId="77777777" w:rsidR="00245300" w:rsidRPr="00EC20A0" w:rsidRDefault="00F17249">
            <w:pPr>
              <w:pStyle w:val="TableParagraph"/>
              <w:spacing w:before="145"/>
              <w:ind w:left="97"/>
              <w:rPr>
                <w:sz w:val="18"/>
              </w:rPr>
            </w:pPr>
            <w:r w:rsidRPr="00EC20A0">
              <w:rPr>
                <w:sz w:val="18"/>
              </w:rPr>
              <w:t>Provision</w:t>
            </w:r>
            <w:r w:rsidRPr="00EC20A0">
              <w:rPr>
                <w:spacing w:val="-15"/>
                <w:sz w:val="18"/>
              </w:rPr>
              <w:t xml:space="preserve"> </w:t>
            </w:r>
            <w:r w:rsidRPr="00EC20A0">
              <w:rPr>
                <w:sz w:val="18"/>
              </w:rPr>
              <w:t>Type:</w:t>
            </w:r>
            <w:r w:rsidRPr="00EC20A0">
              <w:rPr>
                <w:spacing w:val="-12"/>
                <w:sz w:val="18"/>
              </w:rPr>
              <w:t xml:space="preserve"> </w:t>
            </w:r>
            <w:r w:rsidRPr="00EC20A0">
              <w:rPr>
                <w:sz w:val="18"/>
              </w:rPr>
              <w:t xml:space="preserve">Transaction- </w:t>
            </w:r>
            <w:r w:rsidRPr="00EC20A0">
              <w:rPr>
                <w:spacing w:val="-2"/>
                <w:sz w:val="18"/>
              </w:rPr>
              <w:t>based.</w:t>
            </w:r>
          </w:p>
        </w:tc>
        <w:tc>
          <w:tcPr>
            <w:tcW w:w="2086" w:type="dxa"/>
            <w:tcBorders>
              <w:left w:val="single" w:sz="4" w:space="0" w:color="000000"/>
              <w:bottom w:val="nil"/>
              <w:right w:val="single" w:sz="4" w:space="0" w:color="000000"/>
            </w:tcBorders>
          </w:tcPr>
          <w:p w14:paraId="24D61377" w14:textId="77777777" w:rsidR="00245300" w:rsidRPr="00EC20A0" w:rsidRDefault="00F17249">
            <w:pPr>
              <w:pStyle w:val="TableParagraph"/>
              <w:spacing w:before="143"/>
              <w:ind w:left="108" w:right="96"/>
              <w:rPr>
                <w:sz w:val="18"/>
              </w:rPr>
            </w:pPr>
            <w:r w:rsidRPr="00EC20A0">
              <w:rPr>
                <w:sz w:val="18"/>
              </w:rPr>
              <w:t>The amount of the entity contribution for health insurance benefits is calculated properly</w:t>
            </w:r>
            <w:r w:rsidRPr="00EC20A0">
              <w:rPr>
                <w:spacing w:val="-15"/>
                <w:sz w:val="18"/>
              </w:rPr>
              <w:t xml:space="preserve"> </w:t>
            </w:r>
            <w:r w:rsidRPr="00EC20A0">
              <w:rPr>
                <w:sz w:val="18"/>
              </w:rPr>
              <w:t>for</w:t>
            </w:r>
            <w:r w:rsidRPr="00EC20A0">
              <w:rPr>
                <w:spacing w:val="-12"/>
                <w:sz w:val="18"/>
              </w:rPr>
              <w:t xml:space="preserve"> </w:t>
            </w:r>
            <w:r w:rsidRPr="00EC20A0">
              <w:rPr>
                <w:sz w:val="18"/>
              </w:rPr>
              <w:t>employees who</w:t>
            </w:r>
            <w:r w:rsidRPr="00EC20A0">
              <w:rPr>
                <w:spacing w:val="-1"/>
                <w:sz w:val="18"/>
              </w:rPr>
              <w:t xml:space="preserve"> </w:t>
            </w:r>
            <w:r w:rsidRPr="00EC20A0">
              <w:rPr>
                <w:sz w:val="18"/>
              </w:rPr>
              <w:t>elect to</w:t>
            </w:r>
            <w:r w:rsidRPr="00EC20A0">
              <w:rPr>
                <w:spacing w:val="-1"/>
                <w:sz w:val="18"/>
              </w:rPr>
              <w:t xml:space="preserve"> </w:t>
            </w:r>
            <w:r w:rsidRPr="00EC20A0">
              <w:rPr>
                <w:sz w:val="18"/>
              </w:rPr>
              <w:t>enroll in a health insurance plan.</w:t>
            </w:r>
          </w:p>
        </w:tc>
        <w:tc>
          <w:tcPr>
            <w:tcW w:w="1803" w:type="dxa"/>
            <w:tcBorders>
              <w:left w:val="single" w:sz="4" w:space="0" w:color="000000"/>
              <w:bottom w:val="nil"/>
              <w:right w:val="single" w:sz="4" w:space="0" w:color="000000"/>
            </w:tcBorders>
          </w:tcPr>
          <w:p w14:paraId="24D61378" w14:textId="77777777" w:rsidR="00245300" w:rsidRPr="00EC20A0" w:rsidRDefault="00F17249">
            <w:pPr>
              <w:pStyle w:val="TableParagraph"/>
              <w:spacing w:before="143"/>
              <w:ind w:left="108" w:right="160"/>
              <w:rPr>
                <w:sz w:val="18"/>
              </w:rPr>
            </w:pPr>
            <w:r w:rsidRPr="00EC20A0">
              <w:rPr>
                <w:sz w:val="18"/>
              </w:rPr>
              <w:t>[Document the control activities that</w:t>
            </w:r>
            <w:r w:rsidRPr="00EC20A0">
              <w:rPr>
                <w:spacing w:val="-13"/>
                <w:sz w:val="18"/>
              </w:rPr>
              <w:t xml:space="preserve"> </w:t>
            </w:r>
            <w:r w:rsidRPr="00EC20A0">
              <w:rPr>
                <w:sz w:val="18"/>
              </w:rPr>
              <w:t>the</w:t>
            </w:r>
            <w:r w:rsidRPr="00EC20A0">
              <w:rPr>
                <w:spacing w:val="-12"/>
                <w:sz w:val="18"/>
              </w:rPr>
              <w:t xml:space="preserve"> </w:t>
            </w:r>
            <w:r w:rsidRPr="00EC20A0">
              <w:rPr>
                <w:sz w:val="18"/>
              </w:rPr>
              <w:t>entity</w:t>
            </w:r>
            <w:r w:rsidRPr="00EC20A0">
              <w:rPr>
                <w:spacing w:val="-13"/>
                <w:sz w:val="18"/>
              </w:rPr>
              <w:t xml:space="preserve"> </w:t>
            </w:r>
            <w:r w:rsidRPr="00EC20A0">
              <w:rPr>
                <w:sz w:val="18"/>
              </w:rPr>
              <w:t xml:space="preserve">used to achieve the </w:t>
            </w:r>
            <w:r w:rsidRPr="00EC20A0">
              <w:rPr>
                <w:spacing w:val="-2"/>
                <w:sz w:val="18"/>
              </w:rPr>
              <w:t>objective.]</w:t>
            </w:r>
          </w:p>
        </w:tc>
        <w:tc>
          <w:tcPr>
            <w:tcW w:w="1901" w:type="dxa"/>
            <w:tcBorders>
              <w:left w:val="single" w:sz="4" w:space="0" w:color="000000"/>
              <w:bottom w:val="nil"/>
              <w:right w:val="single" w:sz="4" w:space="0" w:color="000000"/>
            </w:tcBorders>
          </w:tcPr>
          <w:p w14:paraId="24D61379" w14:textId="77777777" w:rsidR="00245300" w:rsidRPr="00EC20A0" w:rsidRDefault="00F17249">
            <w:pPr>
              <w:pStyle w:val="TableParagraph"/>
              <w:spacing w:before="143"/>
              <w:ind w:left="109" w:right="264"/>
              <w:rPr>
                <w:sz w:val="18"/>
              </w:rPr>
            </w:pPr>
            <w:r w:rsidRPr="00EC20A0">
              <w:rPr>
                <w:sz w:val="18"/>
              </w:rPr>
              <w:t>[Does control depend on information</w:t>
            </w:r>
            <w:r w:rsidRPr="00EC20A0">
              <w:rPr>
                <w:spacing w:val="-13"/>
                <w:sz w:val="18"/>
              </w:rPr>
              <w:t xml:space="preserve"> </w:t>
            </w:r>
            <w:r w:rsidRPr="00EC20A0">
              <w:rPr>
                <w:sz w:val="18"/>
              </w:rPr>
              <w:t xml:space="preserve">system </w:t>
            </w:r>
            <w:r w:rsidRPr="00EC20A0">
              <w:rPr>
                <w:spacing w:val="-2"/>
                <w:sz w:val="18"/>
              </w:rPr>
              <w:t>processing?]</w:t>
            </w:r>
          </w:p>
        </w:tc>
        <w:tc>
          <w:tcPr>
            <w:tcW w:w="2303" w:type="dxa"/>
            <w:tcBorders>
              <w:left w:val="single" w:sz="4" w:space="0" w:color="000000"/>
              <w:bottom w:val="nil"/>
              <w:right w:val="single" w:sz="4" w:space="0" w:color="000000"/>
            </w:tcBorders>
          </w:tcPr>
          <w:p w14:paraId="24D6137A" w14:textId="77777777" w:rsidR="00245300" w:rsidRPr="00EC20A0" w:rsidRDefault="00F17249">
            <w:pPr>
              <w:pStyle w:val="TableParagraph"/>
              <w:spacing w:before="143"/>
              <w:ind w:left="110" w:right="502"/>
              <w:rPr>
                <w:sz w:val="18"/>
              </w:rPr>
            </w:pPr>
            <w:r w:rsidRPr="00EC20A0">
              <w:rPr>
                <w:sz w:val="18"/>
              </w:rPr>
              <w:t>[Indicate yes or no; include</w:t>
            </w:r>
            <w:r w:rsidRPr="00EC20A0">
              <w:rPr>
                <w:spacing w:val="-15"/>
                <w:sz w:val="18"/>
              </w:rPr>
              <w:t xml:space="preserve"> </w:t>
            </w:r>
            <w:r w:rsidRPr="00EC20A0">
              <w:rPr>
                <w:sz w:val="18"/>
              </w:rPr>
              <w:t>reference</w:t>
            </w:r>
            <w:r w:rsidRPr="00EC20A0">
              <w:rPr>
                <w:spacing w:val="-12"/>
                <w:sz w:val="18"/>
              </w:rPr>
              <w:t xml:space="preserve"> </w:t>
            </w:r>
            <w:r w:rsidRPr="00EC20A0">
              <w:rPr>
                <w:sz w:val="18"/>
              </w:rPr>
              <w:t xml:space="preserve">to </w:t>
            </w:r>
            <w:r w:rsidRPr="00EC20A0">
              <w:rPr>
                <w:spacing w:val="-2"/>
                <w:sz w:val="18"/>
              </w:rPr>
              <w:t>supporting documentation.]</w:t>
            </w:r>
          </w:p>
        </w:tc>
        <w:tc>
          <w:tcPr>
            <w:tcW w:w="2694" w:type="dxa"/>
            <w:gridSpan w:val="2"/>
            <w:tcBorders>
              <w:left w:val="single" w:sz="4" w:space="0" w:color="000000"/>
              <w:bottom w:val="nil"/>
            </w:tcBorders>
          </w:tcPr>
          <w:p w14:paraId="24D6137B" w14:textId="77777777" w:rsidR="00245300" w:rsidRPr="00EC20A0" w:rsidRDefault="00F17249">
            <w:pPr>
              <w:pStyle w:val="TableParagraph"/>
              <w:spacing w:before="143"/>
              <w:ind w:left="111" w:right="87"/>
              <w:rPr>
                <w:sz w:val="18"/>
              </w:rPr>
            </w:pPr>
            <w:r w:rsidRPr="00EC20A0">
              <w:rPr>
                <w:sz w:val="18"/>
              </w:rPr>
              <w:t>[Indicate</w:t>
            </w:r>
            <w:r w:rsidRPr="00EC20A0">
              <w:rPr>
                <w:spacing w:val="-11"/>
                <w:sz w:val="18"/>
              </w:rPr>
              <w:t xml:space="preserve"> </w:t>
            </w:r>
            <w:r w:rsidRPr="00EC20A0">
              <w:rPr>
                <w:sz w:val="18"/>
              </w:rPr>
              <w:t>yes</w:t>
            </w:r>
            <w:r w:rsidRPr="00EC20A0">
              <w:rPr>
                <w:spacing w:val="-10"/>
                <w:sz w:val="18"/>
              </w:rPr>
              <w:t xml:space="preserve"> </w:t>
            </w:r>
            <w:r w:rsidRPr="00EC20A0">
              <w:rPr>
                <w:sz w:val="18"/>
              </w:rPr>
              <w:t>or</w:t>
            </w:r>
            <w:r w:rsidRPr="00EC20A0">
              <w:rPr>
                <w:spacing w:val="-10"/>
                <w:sz w:val="18"/>
              </w:rPr>
              <w:t xml:space="preserve"> </w:t>
            </w:r>
            <w:r w:rsidRPr="00EC20A0">
              <w:rPr>
                <w:sz w:val="18"/>
              </w:rPr>
              <w:t>no;</w:t>
            </w:r>
            <w:r w:rsidRPr="00EC20A0">
              <w:rPr>
                <w:spacing w:val="-10"/>
                <w:sz w:val="18"/>
              </w:rPr>
              <w:t xml:space="preserve"> </w:t>
            </w:r>
            <w:r w:rsidRPr="00EC20A0">
              <w:rPr>
                <w:sz w:val="18"/>
              </w:rPr>
              <w:t xml:space="preserve">include reference to supporting </w:t>
            </w:r>
            <w:r w:rsidRPr="00EC20A0">
              <w:rPr>
                <w:spacing w:val="-2"/>
                <w:sz w:val="18"/>
              </w:rPr>
              <w:t>documentation.]</w:t>
            </w:r>
          </w:p>
          <w:p w14:paraId="24D6137C" w14:textId="77777777" w:rsidR="00245300" w:rsidRPr="00EC20A0" w:rsidRDefault="00F17249">
            <w:pPr>
              <w:pStyle w:val="TableParagraph"/>
              <w:spacing w:before="144"/>
              <w:ind w:left="111" w:right="87"/>
              <w:rPr>
                <w:sz w:val="18"/>
              </w:rPr>
            </w:pPr>
            <w:r w:rsidRPr="00EC20A0">
              <w:rPr>
                <w:sz w:val="18"/>
              </w:rPr>
              <w:t>See Compliance Audit Procedures,</w:t>
            </w:r>
            <w:r w:rsidRPr="00EC20A0">
              <w:rPr>
                <w:spacing w:val="-10"/>
                <w:sz w:val="18"/>
              </w:rPr>
              <w:t xml:space="preserve"> </w:t>
            </w:r>
            <w:r w:rsidRPr="00EC20A0">
              <w:rPr>
                <w:sz w:val="18"/>
              </w:rPr>
              <w:t>FAM</w:t>
            </w:r>
            <w:r w:rsidRPr="00EC20A0">
              <w:rPr>
                <w:spacing w:val="-10"/>
                <w:sz w:val="18"/>
              </w:rPr>
              <w:t xml:space="preserve"> </w:t>
            </w:r>
            <w:r w:rsidRPr="00EC20A0">
              <w:rPr>
                <w:sz w:val="18"/>
              </w:rPr>
              <w:t>809</w:t>
            </w:r>
            <w:r w:rsidRPr="00EC20A0">
              <w:rPr>
                <w:spacing w:val="-10"/>
                <w:sz w:val="18"/>
              </w:rPr>
              <w:t xml:space="preserve"> </w:t>
            </w:r>
            <w:r w:rsidRPr="00EC20A0">
              <w:rPr>
                <w:sz w:val="18"/>
              </w:rPr>
              <w:t>step</w:t>
            </w:r>
            <w:r w:rsidRPr="00EC20A0">
              <w:rPr>
                <w:spacing w:val="-10"/>
                <w:sz w:val="18"/>
              </w:rPr>
              <w:t xml:space="preserve"> </w:t>
            </w:r>
            <w:r w:rsidRPr="00EC20A0">
              <w:rPr>
                <w:sz w:val="18"/>
              </w:rPr>
              <w:t xml:space="preserve">4 </w:t>
            </w:r>
            <w:r w:rsidRPr="00EC20A0">
              <w:rPr>
                <w:spacing w:val="-4"/>
                <w:sz w:val="18"/>
              </w:rPr>
              <w:t>(b).</w:t>
            </w:r>
          </w:p>
        </w:tc>
      </w:tr>
      <w:tr w:rsidR="00245300" w:rsidRPr="00EC20A0" w14:paraId="24D61385" w14:textId="77777777">
        <w:trPr>
          <w:trHeight w:val="1837"/>
        </w:trPr>
        <w:tc>
          <w:tcPr>
            <w:tcW w:w="2600" w:type="dxa"/>
            <w:tcBorders>
              <w:top w:val="nil"/>
              <w:bottom w:val="single" w:sz="4" w:space="0" w:color="000000"/>
              <w:right w:val="single" w:sz="4" w:space="0" w:color="000000"/>
            </w:tcBorders>
          </w:tcPr>
          <w:p w14:paraId="24D6137E" w14:textId="77777777" w:rsidR="00245300" w:rsidRPr="00EC20A0" w:rsidRDefault="00F17249">
            <w:pPr>
              <w:pStyle w:val="TableParagraph"/>
              <w:spacing w:before="38" w:line="237" w:lineRule="auto"/>
              <w:ind w:left="97"/>
              <w:rPr>
                <w:sz w:val="18"/>
              </w:rPr>
            </w:pPr>
            <w:r w:rsidRPr="00EC20A0">
              <w:rPr>
                <w:sz w:val="18"/>
              </w:rPr>
              <w:t>In general, for each full-time employee</w:t>
            </w:r>
            <w:r w:rsidRPr="00EC20A0">
              <w:rPr>
                <w:spacing w:val="-10"/>
                <w:sz w:val="18"/>
              </w:rPr>
              <w:t xml:space="preserve"> </w:t>
            </w:r>
            <w:r w:rsidRPr="00EC20A0">
              <w:rPr>
                <w:sz w:val="18"/>
              </w:rPr>
              <w:t>enrolled</w:t>
            </w:r>
            <w:r w:rsidRPr="00EC20A0">
              <w:rPr>
                <w:spacing w:val="-10"/>
                <w:sz w:val="18"/>
              </w:rPr>
              <w:t xml:space="preserve"> </w:t>
            </w:r>
            <w:r w:rsidRPr="00EC20A0">
              <w:rPr>
                <w:sz w:val="18"/>
              </w:rPr>
              <w:t>in</w:t>
            </w:r>
            <w:r w:rsidRPr="00EC20A0">
              <w:rPr>
                <w:spacing w:val="-10"/>
                <w:sz w:val="18"/>
              </w:rPr>
              <w:t xml:space="preserve"> </w:t>
            </w:r>
            <w:r w:rsidRPr="00EC20A0">
              <w:rPr>
                <w:sz w:val="18"/>
              </w:rPr>
              <w:t>a</w:t>
            </w:r>
            <w:r w:rsidRPr="00EC20A0">
              <w:rPr>
                <w:spacing w:val="-10"/>
                <w:sz w:val="18"/>
              </w:rPr>
              <w:t xml:space="preserve"> </w:t>
            </w:r>
            <w:r w:rsidRPr="00EC20A0">
              <w:rPr>
                <w:sz w:val="18"/>
              </w:rPr>
              <w:t>health insurance plan, a biweekly contribution</w:t>
            </w:r>
            <w:r w:rsidRPr="00EC20A0">
              <w:rPr>
                <w:spacing w:val="-9"/>
                <w:sz w:val="18"/>
              </w:rPr>
              <w:t xml:space="preserve"> </w:t>
            </w:r>
            <w:r w:rsidRPr="00EC20A0">
              <w:rPr>
                <w:sz w:val="18"/>
              </w:rPr>
              <w:t>shall</w:t>
            </w:r>
            <w:r w:rsidRPr="00EC20A0">
              <w:rPr>
                <w:spacing w:val="-8"/>
                <w:sz w:val="18"/>
              </w:rPr>
              <w:t xml:space="preserve"> </w:t>
            </w:r>
            <w:r w:rsidRPr="00EC20A0">
              <w:rPr>
                <w:sz w:val="18"/>
              </w:rPr>
              <w:t>be</w:t>
            </w:r>
            <w:r w:rsidRPr="00EC20A0">
              <w:rPr>
                <w:spacing w:val="-9"/>
                <w:sz w:val="18"/>
              </w:rPr>
              <w:t xml:space="preserve"> </w:t>
            </w:r>
            <w:r w:rsidRPr="00EC20A0">
              <w:rPr>
                <w:sz w:val="18"/>
              </w:rPr>
              <w:t>made</w:t>
            </w:r>
            <w:r w:rsidRPr="00EC20A0">
              <w:rPr>
                <w:spacing w:val="-7"/>
                <w:sz w:val="18"/>
              </w:rPr>
              <w:t xml:space="preserve"> </w:t>
            </w:r>
            <w:r w:rsidRPr="00EC20A0">
              <w:rPr>
                <w:sz w:val="18"/>
              </w:rPr>
              <w:t>by the entity</w:t>
            </w:r>
            <w:hyperlink w:anchor="_bookmark135" w:history="1">
              <w:r w:rsidRPr="00EC20A0">
                <w:rPr>
                  <w:position w:val="6"/>
                  <w:sz w:val="12"/>
                </w:rPr>
                <w:t>57</w:t>
              </w:r>
            </w:hyperlink>
            <w:r w:rsidRPr="00EC20A0">
              <w:rPr>
                <w:spacing w:val="40"/>
                <w:position w:val="6"/>
                <w:sz w:val="12"/>
              </w:rPr>
              <w:t xml:space="preserve"> </w:t>
            </w:r>
            <w:r w:rsidRPr="00EC20A0">
              <w:rPr>
                <w:sz w:val="18"/>
              </w:rPr>
              <w:t>in an amount determined by OPM for each type of insurance plan.</w:t>
            </w:r>
            <w:hyperlink w:anchor="_bookmark136" w:history="1">
              <w:r w:rsidRPr="00EC20A0">
                <w:rPr>
                  <w:position w:val="6"/>
                  <w:sz w:val="12"/>
                </w:rPr>
                <w:t>58</w:t>
              </w:r>
            </w:hyperlink>
            <w:r w:rsidRPr="00EC20A0">
              <w:rPr>
                <w:spacing w:val="40"/>
                <w:position w:val="6"/>
                <w:sz w:val="12"/>
              </w:rPr>
              <w:t xml:space="preserve"> </w:t>
            </w:r>
            <w:r w:rsidRPr="00EC20A0">
              <w:rPr>
                <w:sz w:val="18"/>
              </w:rPr>
              <w:t>5</w:t>
            </w:r>
          </w:p>
          <w:p w14:paraId="24D6137F" w14:textId="77777777" w:rsidR="00245300" w:rsidRPr="00EC20A0" w:rsidRDefault="00F17249">
            <w:pPr>
              <w:pStyle w:val="TableParagraph"/>
              <w:spacing w:before="6"/>
              <w:ind w:left="97"/>
              <w:rPr>
                <w:sz w:val="18"/>
              </w:rPr>
            </w:pPr>
            <w:r w:rsidRPr="00EC20A0">
              <w:rPr>
                <w:sz w:val="18"/>
              </w:rPr>
              <w:t>U.S.C.</w:t>
            </w:r>
            <w:r w:rsidRPr="00EC20A0">
              <w:rPr>
                <w:spacing w:val="-2"/>
                <w:sz w:val="18"/>
              </w:rPr>
              <w:t xml:space="preserve"> </w:t>
            </w:r>
            <w:r w:rsidRPr="00EC20A0">
              <w:rPr>
                <w:sz w:val="18"/>
              </w:rPr>
              <w:t>§</w:t>
            </w:r>
            <w:r w:rsidRPr="00EC20A0">
              <w:rPr>
                <w:spacing w:val="-2"/>
                <w:sz w:val="18"/>
              </w:rPr>
              <w:t xml:space="preserve"> 8906(b)(1).</w:t>
            </w:r>
          </w:p>
        </w:tc>
        <w:tc>
          <w:tcPr>
            <w:tcW w:w="2086" w:type="dxa"/>
            <w:tcBorders>
              <w:top w:val="nil"/>
              <w:left w:val="single" w:sz="4" w:space="0" w:color="000000"/>
              <w:bottom w:val="single" w:sz="4" w:space="0" w:color="000000"/>
              <w:right w:val="single" w:sz="4" w:space="0" w:color="000000"/>
            </w:tcBorders>
          </w:tcPr>
          <w:p w14:paraId="24D61380" w14:textId="77777777" w:rsidR="00245300" w:rsidRPr="00EC20A0" w:rsidRDefault="00245300">
            <w:pPr>
              <w:pStyle w:val="TableParagraph"/>
              <w:rPr>
                <w:sz w:val="18"/>
              </w:rPr>
            </w:pPr>
          </w:p>
        </w:tc>
        <w:tc>
          <w:tcPr>
            <w:tcW w:w="1803" w:type="dxa"/>
            <w:tcBorders>
              <w:top w:val="nil"/>
              <w:left w:val="single" w:sz="4" w:space="0" w:color="000000"/>
              <w:bottom w:val="single" w:sz="4" w:space="0" w:color="000000"/>
              <w:right w:val="single" w:sz="4" w:space="0" w:color="000000"/>
            </w:tcBorders>
          </w:tcPr>
          <w:p w14:paraId="24D61381" w14:textId="77777777" w:rsidR="00245300" w:rsidRPr="00EC20A0" w:rsidRDefault="00245300">
            <w:pPr>
              <w:pStyle w:val="TableParagraph"/>
              <w:rPr>
                <w:sz w:val="18"/>
              </w:rPr>
            </w:pPr>
          </w:p>
        </w:tc>
        <w:tc>
          <w:tcPr>
            <w:tcW w:w="1901" w:type="dxa"/>
            <w:tcBorders>
              <w:top w:val="nil"/>
              <w:left w:val="single" w:sz="4" w:space="0" w:color="000000"/>
              <w:bottom w:val="single" w:sz="4" w:space="0" w:color="000000"/>
              <w:right w:val="single" w:sz="4" w:space="0" w:color="000000"/>
            </w:tcBorders>
          </w:tcPr>
          <w:p w14:paraId="24D61382" w14:textId="77777777" w:rsidR="00245300" w:rsidRPr="00EC20A0" w:rsidRDefault="00245300">
            <w:pPr>
              <w:pStyle w:val="TableParagraph"/>
              <w:rPr>
                <w:sz w:val="18"/>
              </w:rPr>
            </w:pPr>
          </w:p>
        </w:tc>
        <w:tc>
          <w:tcPr>
            <w:tcW w:w="2303" w:type="dxa"/>
            <w:tcBorders>
              <w:top w:val="nil"/>
              <w:left w:val="single" w:sz="4" w:space="0" w:color="000000"/>
              <w:bottom w:val="single" w:sz="4" w:space="0" w:color="000000"/>
              <w:right w:val="single" w:sz="4" w:space="0" w:color="000000"/>
            </w:tcBorders>
          </w:tcPr>
          <w:p w14:paraId="24D61383" w14:textId="77777777" w:rsidR="00245300" w:rsidRPr="00EC20A0" w:rsidRDefault="00245300">
            <w:pPr>
              <w:pStyle w:val="TableParagraph"/>
              <w:rPr>
                <w:sz w:val="18"/>
              </w:rPr>
            </w:pPr>
          </w:p>
        </w:tc>
        <w:tc>
          <w:tcPr>
            <w:tcW w:w="2694" w:type="dxa"/>
            <w:gridSpan w:val="2"/>
            <w:tcBorders>
              <w:top w:val="nil"/>
              <w:left w:val="single" w:sz="4" w:space="0" w:color="000000"/>
              <w:bottom w:val="single" w:sz="4" w:space="0" w:color="000000"/>
            </w:tcBorders>
          </w:tcPr>
          <w:p w14:paraId="24D61384" w14:textId="77777777" w:rsidR="00245300" w:rsidRPr="00EC20A0" w:rsidRDefault="00245300">
            <w:pPr>
              <w:pStyle w:val="TableParagraph"/>
              <w:rPr>
                <w:sz w:val="18"/>
              </w:rPr>
            </w:pPr>
          </w:p>
        </w:tc>
      </w:tr>
    </w:tbl>
    <w:p w14:paraId="24D61386" w14:textId="77777777" w:rsidR="00245300" w:rsidRPr="00EC20A0" w:rsidRDefault="00245300">
      <w:pPr>
        <w:pStyle w:val="BodyText"/>
        <w:rPr>
          <w:sz w:val="20"/>
        </w:rPr>
      </w:pPr>
    </w:p>
    <w:p w14:paraId="24D61387" w14:textId="77777777" w:rsidR="00245300" w:rsidRPr="00EC20A0" w:rsidRDefault="00F17249">
      <w:pPr>
        <w:pStyle w:val="BodyText"/>
        <w:spacing w:before="97"/>
        <w:rPr>
          <w:sz w:val="20"/>
        </w:rPr>
      </w:pPr>
      <w:r w:rsidRPr="00EC20A0">
        <w:rPr>
          <w:noProof/>
        </w:rPr>
        <mc:AlternateContent>
          <mc:Choice Requires="wps">
            <w:drawing>
              <wp:anchor distT="0" distB="0" distL="0" distR="0" simplePos="0" relativeHeight="487686144" behindDoc="1" locked="0" layoutInCell="1" allowOverlap="1" wp14:anchorId="24D62C39" wp14:editId="24D62C3A">
                <wp:simplePos x="0" y="0"/>
                <wp:positionH relativeFrom="page">
                  <wp:posOffset>685800</wp:posOffset>
                </wp:positionH>
                <wp:positionV relativeFrom="paragraph">
                  <wp:posOffset>223284</wp:posOffset>
                </wp:positionV>
                <wp:extent cx="1828800" cy="6985"/>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258758" id="Graphic 659" o:spid="_x0000_s1026" style="position:absolute;margin-left:54pt;margin-top:17.6pt;width:2in;height:.55pt;z-index:-156303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" path="m1828800,l,,,6858r1828800,l1828800,xe" fillcolor="black" stroked="f">
                <v:path arrowok="t"/>
                <w10:wrap type="topAndBottom" anchorx="page"/>
              </v:shape>
            </w:pict>
          </mc:Fallback>
        </mc:AlternateContent>
      </w:r>
    </w:p>
    <w:p w14:paraId="24D61388" w14:textId="77777777" w:rsidR="00245300" w:rsidRPr="00EC20A0" w:rsidRDefault="00F17249">
      <w:pPr>
        <w:spacing w:before="217"/>
        <w:ind w:left="120"/>
        <w:rPr>
          <w:sz w:val="18"/>
        </w:rPr>
      </w:pPr>
      <w:r w:rsidRPr="00EC20A0">
        <w:rPr>
          <w:position w:val="7"/>
          <w:sz w:val="14"/>
        </w:rPr>
        <w:t>57</w:t>
      </w:r>
      <w:r w:rsidRPr="00EC20A0">
        <w:rPr>
          <w:sz w:val="18"/>
        </w:rPr>
        <w:t>The</w:t>
      </w:r>
      <w:r w:rsidRPr="00EC20A0">
        <w:rPr>
          <w:spacing w:val="-5"/>
          <w:sz w:val="18"/>
        </w:rPr>
        <w:t xml:space="preserve"> </w:t>
      </w:r>
      <w:r w:rsidRPr="00EC20A0">
        <w:rPr>
          <w:sz w:val="18"/>
        </w:rPr>
        <w:t>biweekly</w:t>
      </w:r>
      <w:r w:rsidRPr="00EC20A0">
        <w:rPr>
          <w:spacing w:val="-2"/>
          <w:sz w:val="18"/>
        </w:rPr>
        <w:t xml:space="preserve"> </w:t>
      </w:r>
      <w:r w:rsidRPr="00EC20A0">
        <w:rPr>
          <w:sz w:val="18"/>
        </w:rPr>
        <w:t>entity</w:t>
      </w:r>
      <w:r w:rsidRPr="00EC20A0">
        <w:rPr>
          <w:spacing w:val="-2"/>
          <w:sz w:val="18"/>
        </w:rPr>
        <w:t xml:space="preserve"> </w:t>
      </w:r>
      <w:r w:rsidRPr="00EC20A0">
        <w:rPr>
          <w:sz w:val="18"/>
        </w:rPr>
        <w:t>contribution</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3"/>
          <w:sz w:val="18"/>
        </w:rPr>
        <w:t xml:space="preserve"> </w:t>
      </w:r>
      <w:r w:rsidRPr="00EC20A0">
        <w:rPr>
          <w:sz w:val="18"/>
        </w:rPr>
        <w:t>employee</w:t>
      </w:r>
      <w:r w:rsidRPr="00EC20A0">
        <w:rPr>
          <w:spacing w:val="-3"/>
          <w:sz w:val="18"/>
        </w:rPr>
        <w:t xml:space="preserve"> </w:t>
      </w:r>
      <w:r w:rsidRPr="00EC20A0">
        <w:rPr>
          <w:sz w:val="18"/>
        </w:rPr>
        <w:t>shall</w:t>
      </w:r>
      <w:r w:rsidRPr="00EC20A0">
        <w:rPr>
          <w:spacing w:val="-2"/>
          <w:sz w:val="18"/>
        </w:rPr>
        <w:t xml:space="preserve"> </w:t>
      </w:r>
      <w:r w:rsidRPr="00EC20A0">
        <w:rPr>
          <w:sz w:val="18"/>
        </w:rPr>
        <w:t>not</w:t>
      </w:r>
      <w:r w:rsidRPr="00EC20A0">
        <w:rPr>
          <w:spacing w:val="-2"/>
          <w:sz w:val="18"/>
        </w:rPr>
        <w:t xml:space="preserve"> </w:t>
      </w:r>
      <w:r w:rsidRPr="00EC20A0">
        <w:rPr>
          <w:sz w:val="18"/>
        </w:rPr>
        <w:t>exceed</w:t>
      </w:r>
      <w:r w:rsidRPr="00EC20A0">
        <w:rPr>
          <w:spacing w:val="-3"/>
          <w:sz w:val="18"/>
        </w:rPr>
        <w:t xml:space="preserve"> </w:t>
      </w:r>
      <w:r w:rsidRPr="00EC20A0">
        <w:rPr>
          <w:sz w:val="18"/>
        </w:rPr>
        <w:t>75</w:t>
      </w:r>
      <w:r w:rsidRPr="00EC20A0">
        <w:rPr>
          <w:spacing w:val="-3"/>
          <w:sz w:val="18"/>
        </w:rPr>
        <w:t xml:space="preserve"> </w:t>
      </w:r>
      <w:r w:rsidRPr="00EC20A0">
        <w:rPr>
          <w:sz w:val="18"/>
        </w:rPr>
        <w:t>percent</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health</w:t>
      </w:r>
      <w:r w:rsidRPr="00EC20A0">
        <w:rPr>
          <w:spacing w:val="-3"/>
          <w:sz w:val="18"/>
        </w:rPr>
        <w:t xml:space="preserve"> </w:t>
      </w:r>
      <w:r w:rsidRPr="00EC20A0">
        <w:rPr>
          <w:sz w:val="18"/>
        </w:rPr>
        <w:t>insurance</w:t>
      </w:r>
      <w:r w:rsidRPr="00EC20A0">
        <w:rPr>
          <w:spacing w:val="-3"/>
          <w:sz w:val="18"/>
        </w:rPr>
        <w:t xml:space="preserve"> </w:t>
      </w:r>
      <w:r w:rsidRPr="00EC20A0">
        <w:rPr>
          <w:sz w:val="18"/>
        </w:rPr>
        <w:t>cost.</w:t>
      </w:r>
      <w:r w:rsidRPr="00EC20A0">
        <w:rPr>
          <w:spacing w:val="-2"/>
          <w:sz w:val="18"/>
        </w:rPr>
        <w:t xml:space="preserve"> </w:t>
      </w:r>
      <w:r w:rsidRPr="00EC20A0">
        <w:rPr>
          <w:sz w:val="18"/>
        </w:rPr>
        <w:t>5</w:t>
      </w:r>
      <w:r w:rsidRPr="00EC20A0">
        <w:rPr>
          <w:spacing w:val="-3"/>
          <w:sz w:val="18"/>
        </w:rPr>
        <w:t xml:space="preserve"> </w:t>
      </w:r>
      <w:r w:rsidRPr="00EC20A0">
        <w:rPr>
          <w:sz w:val="18"/>
        </w:rPr>
        <w:t>U.S.C.</w:t>
      </w:r>
      <w:r w:rsidRPr="00EC20A0">
        <w:rPr>
          <w:spacing w:val="-3"/>
          <w:sz w:val="18"/>
        </w:rPr>
        <w:t xml:space="preserve"> </w:t>
      </w:r>
      <w:r w:rsidRPr="00EC20A0">
        <w:rPr>
          <w:sz w:val="18"/>
        </w:rPr>
        <w:t>§</w:t>
      </w:r>
      <w:r w:rsidRPr="00EC20A0">
        <w:rPr>
          <w:spacing w:val="-1"/>
          <w:sz w:val="18"/>
        </w:rPr>
        <w:t xml:space="preserve"> </w:t>
      </w:r>
      <w:r w:rsidRPr="00EC20A0">
        <w:rPr>
          <w:spacing w:val="-2"/>
          <w:sz w:val="18"/>
        </w:rPr>
        <w:t>8906(b)(2).</w:t>
      </w:r>
    </w:p>
    <w:p w14:paraId="24D61389" w14:textId="77777777" w:rsidR="00245300" w:rsidRPr="00EC20A0" w:rsidRDefault="00F17249">
      <w:pPr>
        <w:spacing w:before="133" w:line="249" w:lineRule="auto"/>
        <w:ind w:left="119" w:right="294"/>
        <w:rPr>
          <w:sz w:val="18"/>
        </w:rPr>
      </w:pPr>
      <w:r w:rsidRPr="00EC20A0">
        <w:rPr>
          <w:position w:val="7"/>
          <w:sz w:val="14"/>
        </w:rPr>
        <w:t>58</w:t>
      </w:r>
      <w:r w:rsidRPr="00EC20A0">
        <w:rPr>
          <w:sz w:val="18"/>
        </w:rPr>
        <w:t>For</w:t>
      </w:r>
      <w:r w:rsidRPr="00EC20A0">
        <w:rPr>
          <w:spacing w:val="-2"/>
          <w:sz w:val="18"/>
        </w:rPr>
        <w:t xml:space="preserve"> </w:t>
      </w:r>
      <w:r w:rsidRPr="00EC20A0">
        <w:rPr>
          <w:sz w:val="18"/>
        </w:rPr>
        <w:t>part-time</w:t>
      </w:r>
      <w:r w:rsidRPr="00EC20A0">
        <w:rPr>
          <w:spacing w:val="-3"/>
          <w:sz w:val="18"/>
        </w:rPr>
        <w:t xml:space="preserve"> </w:t>
      </w:r>
      <w:r w:rsidRPr="00EC20A0">
        <w:rPr>
          <w:sz w:val="18"/>
        </w:rPr>
        <w:t>career</w:t>
      </w:r>
      <w:r w:rsidRPr="00EC20A0">
        <w:rPr>
          <w:spacing w:val="-2"/>
          <w:sz w:val="18"/>
        </w:rPr>
        <w:t xml:space="preserve"> </w:t>
      </w:r>
      <w:r w:rsidRPr="00EC20A0">
        <w:rPr>
          <w:sz w:val="18"/>
        </w:rPr>
        <w:t>employees,</w:t>
      </w:r>
      <w:r w:rsidRPr="00EC20A0">
        <w:rPr>
          <w:spacing w:val="-2"/>
          <w:sz w:val="18"/>
        </w:rPr>
        <w:t xml:space="preserve"> </w:t>
      </w:r>
      <w:r w:rsidRPr="00EC20A0">
        <w:rPr>
          <w:sz w:val="18"/>
        </w:rPr>
        <w:t>the</w:t>
      </w:r>
      <w:r w:rsidRPr="00EC20A0">
        <w:rPr>
          <w:spacing w:val="-3"/>
          <w:sz w:val="18"/>
        </w:rPr>
        <w:t xml:space="preserve"> </w:t>
      </w:r>
      <w:r w:rsidRPr="00EC20A0">
        <w:rPr>
          <w:sz w:val="18"/>
        </w:rPr>
        <w:t>biweekly</w:t>
      </w:r>
      <w:r w:rsidRPr="00EC20A0">
        <w:rPr>
          <w:spacing w:val="-2"/>
          <w:sz w:val="18"/>
        </w:rPr>
        <w:t xml:space="preserve"> </w:t>
      </w:r>
      <w:r w:rsidRPr="00EC20A0">
        <w:rPr>
          <w:sz w:val="18"/>
        </w:rPr>
        <w:t>entity</w:t>
      </w:r>
      <w:r w:rsidRPr="00EC20A0">
        <w:rPr>
          <w:spacing w:val="-2"/>
          <w:sz w:val="18"/>
        </w:rPr>
        <w:t xml:space="preserve"> </w:t>
      </w:r>
      <w:r w:rsidRPr="00EC20A0">
        <w:rPr>
          <w:sz w:val="18"/>
        </w:rPr>
        <w:t>contribution</w:t>
      </w:r>
      <w:r w:rsidRPr="00EC20A0">
        <w:rPr>
          <w:spacing w:val="-3"/>
          <w:sz w:val="18"/>
        </w:rPr>
        <w:t xml:space="preserve"> </w:t>
      </w:r>
      <w:r w:rsidRPr="00EC20A0">
        <w:rPr>
          <w:sz w:val="18"/>
        </w:rPr>
        <w:t>shall</w:t>
      </w:r>
      <w:r w:rsidRPr="00EC20A0">
        <w:rPr>
          <w:spacing w:val="-1"/>
          <w:sz w:val="18"/>
        </w:rPr>
        <w:t xml:space="preserve"> </w:t>
      </w:r>
      <w:r w:rsidRPr="00EC20A0">
        <w:rPr>
          <w:sz w:val="18"/>
        </w:rPr>
        <w:t>be</w:t>
      </w:r>
      <w:r w:rsidRPr="00EC20A0">
        <w:rPr>
          <w:spacing w:val="-3"/>
          <w:sz w:val="18"/>
        </w:rPr>
        <w:t xml:space="preserve"> </w:t>
      </w:r>
      <w:r w:rsidRPr="00EC20A0">
        <w:rPr>
          <w:sz w:val="18"/>
        </w:rPr>
        <w:t>calculated</w:t>
      </w:r>
      <w:r w:rsidRPr="00EC20A0">
        <w:rPr>
          <w:spacing w:val="-1"/>
          <w:sz w:val="18"/>
        </w:rPr>
        <w:t xml:space="preserve"> </w:t>
      </w:r>
      <w:r w:rsidRPr="00EC20A0">
        <w:rPr>
          <w:sz w:val="18"/>
        </w:rPr>
        <w:t>on</w:t>
      </w:r>
      <w:r w:rsidRPr="00EC20A0">
        <w:rPr>
          <w:spacing w:val="-3"/>
          <w:sz w:val="18"/>
        </w:rPr>
        <w:t xml:space="preserve"> </w:t>
      </w:r>
      <w:r w:rsidRPr="00EC20A0">
        <w:rPr>
          <w:sz w:val="18"/>
        </w:rPr>
        <w:t>a</w:t>
      </w:r>
      <w:r w:rsidRPr="00EC20A0">
        <w:rPr>
          <w:spacing w:val="-1"/>
          <w:sz w:val="18"/>
        </w:rPr>
        <w:t xml:space="preserve"> </w:t>
      </w:r>
      <w:r w:rsidRPr="00EC20A0">
        <w:rPr>
          <w:sz w:val="18"/>
        </w:rPr>
        <w:t>pro</w:t>
      </w:r>
      <w:r w:rsidRPr="00EC20A0">
        <w:rPr>
          <w:spacing w:val="-3"/>
          <w:sz w:val="18"/>
        </w:rPr>
        <w:t xml:space="preserve"> </w:t>
      </w:r>
      <w:r w:rsidRPr="00EC20A0">
        <w:rPr>
          <w:sz w:val="18"/>
        </w:rPr>
        <w:t>rata</w:t>
      </w:r>
      <w:r w:rsidRPr="00EC20A0">
        <w:rPr>
          <w:spacing w:val="-3"/>
          <w:sz w:val="18"/>
        </w:rPr>
        <w:t xml:space="preserve"> </w:t>
      </w:r>
      <w:r w:rsidRPr="00EC20A0">
        <w:rPr>
          <w:sz w:val="18"/>
        </w:rPr>
        <w:t>basis</w:t>
      </w:r>
      <w:r w:rsidRPr="00EC20A0">
        <w:rPr>
          <w:spacing w:val="-2"/>
          <w:sz w:val="18"/>
        </w:rPr>
        <w:t xml:space="preserve"> </w:t>
      </w:r>
      <w:r w:rsidRPr="00EC20A0">
        <w:rPr>
          <w:sz w:val="18"/>
        </w:rPr>
        <w:t>based</w:t>
      </w:r>
      <w:r w:rsidRPr="00EC20A0">
        <w:rPr>
          <w:spacing w:val="-3"/>
          <w:sz w:val="18"/>
        </w:rPr>
        <w:t xml:space="preserve"> </w:t>
      </w:r>
      <w:r w:rsidRPr="00EC20A0">
        <w:rPr>
          <w:sz w:val="18"/>
        </w:rPr>
        <w:t>on</w:t>
      </w:r>
      <w:r w:rsidRPr="00EC20A0">
        <w:rPr>
          <w:spacing w:val="-3"/>
          <w:sz w:val="18"/>
        </w:rPr>
        <w:t xml:space="preserve"> </w:t>
      </w:r>
      <w:r w:rsidRPr="00EC20A0">
        <w:rPr>
          <w:sz w:val="18"/>
        </w:rPr>
        <w:t>the</w:t>
      </w:r>
      <w:r w:rsidRPr="00EC20A0">
        <w:rPr>
          <w:spacing w:val="-3"/>
          <w:sz w:val="18"/>
        </w:rPr>
        <w:t xml:space="preserve"> </w:t>
      </w:r>
      <w:r w:rsidRPr="00EC20A0">
        <w:rPr>
          <w:sz w:val="18"/>
        </w:rPr>
        <w:t>ratio</w:t>
      </w:r>
      <w:r w:rsidRPr="00EC20A0">
        <w:rPr>
          <w:spacing w:val="-3"/>
          <w:sz w:val="18"/>
        </w:rPr>
        <w:t xml:space="preserve"> </w:t>
      </w:r>
      <w:r w:rsidRPr="00EC20A0">
        <w:rPr>
          <w:sz w:val="18"/>
        </w:rPr>
        <w:t>of</w:t>
      </w:r>
      <w:r w:rsidRPr="00EC20A0">
        <w:rPr>
          <w:spacing w:val="-2"/>
          <w:sz w:val="18"/>
        </w:rPr>
        <w:t xml:space="preserve"> </w:t>
      </w:r>
      <w:r w:rsidRPr="00EC20A0">
        <w:rPr>
          <w:sz w:val="18"/>
        </w:rPr>
        <w:t>number</w:t>
      </w:r>
      <w:r w:rsidRPr="00EC20A0">
        <w:rPr>
          <w:spacing w:val="-1"/>
          <w:sz w:val="18"/>
        </w:rPr>
        <w:t xml:space="preserve"> </w:t>
      </w:r>
      <w:r w:rsidRPr="00EC20A0">
        <w:rPr>
          <w:sz w:val="18"/>
        </w:rPr>
        <w:t>of</w:t>
      </w:r>
      <w:r w:rsidRPr="00EC20A0">
        <w:rPr>
          <w:spacing w:val="-2"/>
          <w:sz w:val="18"/>
        </w:rPr>
        <w:t xml:space="preserve"> </w:t>
      </w:r>
      <w:r w:rsidRPr="00EC20A0">
        <w:rPr>
          <w:sz w:val="18"/>
        </w:rPr>
        <w:t>scheduled</w:t>
      </w:r>
      <w:r w:rsidRPr="00EC20A0">
        <w:rPr>
          <w:spacing w:val="-3"/>
          <w:sz w:val="18"/>
        </w:rPr>
        <w:t xml:space="preserve"> </w:t>
      </w:r>
      <w:r w:rsidRPr="00EC20A0">
        <w:rPr>
          <w:sz w:val="18"/>
        </w:rPr>
        <w:t>part-time</w:t>
      </w:r>
      <w:r w:rsidRPr="00EC20A0">
        <w:rPr>
          <w:spacing w:val="-3"/>
          <w:sz w:val="18"/>
        </w:rPr>
        <w:t xml:space="preserve"> </w:t>
      </w:r>
      <w:r w:rsidRPr="00EC20A0">
        <w:rPr>
          <w:sz w:val="18"/>
        </w:rPr>
        <w:t>hours</w:t>
      </w:r>
      <w:r w:rsidRPr="00EC20A0">
        <w:rPr>
          <w:spacing w:val="-2"/>
          <w:sz w:val="18"/>
        </w:rPr>
        <w:t xml:space="preserve"> </w:t>
      </w:r>
      <w:r w:rsidRPr="00EC20A0">
        <w:rPr>
          <w:sz w:val="18"/>
        </w:rPr>
        <w:t>to the number of scheduled regular hours for an employee serving full-time in a comparable position. 5 U.S.C. § 8906(b)(3).</w:t>
      </w:r>
    </w:p>
    <w:p w14:paraId="24D6138A" w14:textId="77777777" w:rsidR="00245300" w:rsidRPr="00EC20A0" w:rsidRDefault="00245300">
      <w:pPr>
        <w:spacing w:line="249" w:lineRule="auto"/>
        <w:rPr>
          <w:sz w:val="18"/>
        </w:rPr>
        <w:sectPr w:rsidR="00245300" w:rsidRPr="00EC20A0">
          <w:headerReference w:type="default" r:id="rId123"/>
          <w:footerReference w:type="default" r:id="rId124"/>
          <w:pgSz w:w="15840" w:h="12240" w:orient="landscape"/>
          <w:pgMar w:top="1380" w:right="1220" w:bottom="940" w:left="960" w:header="721" w:footer="742" w:gutter="0"/>
          <w:pgNumType w:start="1"/>
          <w:cols w:space="720"/>
        </w:sectPr>
      </w:pPr>
    </w:p>
    <w:p w14:paraId="24D6138B" w14:textId="77777777" w:rsidR="00245300" w:rsidRPr="00EC20A0" w:rsidRDefault="00245300">
      <w:pPr>
        <w:pStyle w:val="BodyText"/>
        <w:spacing w:before="9"/>
        <w:rPr>
          <w:sz w:val="7"/>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00"/>
        <w:gridCol w:w="2086"/>
        <w:gridCol w:w="1803"/>
        <w:gridCol w:w="1901"/>
        <w:gridCol w:w="2303"/>
        <w:gridCol w:w="70"/>
        <w:gridCol w:w="2624"/>
      </w:tblGrid>
      <w:tr w:rsidR="00245300" w:rsidRPr="00EC20A0" w14:paraId="24D61390" w14:textId="77777777">
        <w:trPr>
          <w:trHeight w:val="531"/>
        </w:trPr>
        <w:tc>
          <w:tcPr>
            <w:tcW w:w="10763" w:type="dxa"/>
            <w:gridSpan w:val="6"/>
            <w:vMerge w:val="restart"/>
            <w:tcBorders>
              <w:right w:val="nil"/>
            </w:tcBorders>
          </w:tcPr>
          <w:p w14:paraId="24D6138C" w14:textId="77777777" w:rsidR="00245300" w:rsidRPr="00EC20A0" w:rsidRDefault="00F17249">
            <w:pPr>
              <w:pStyle w:val="TableParagraph"/>
              <w:tabs>
                <w:tab w:val="left" w:pos="9389"/>
              </w:tabs>
              <w:spacing w:before="144"/>
              <w:ind w:left="361"/>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0"/>
              </w:rPr>
              <w:t xml:space="preserve"> </w:t>
            </w:r>
            <w:r w:rsidRPr="00EC20A0">
              <w:rPr>
                <w:spacing w:val="-5"/>
              </w:rPr>
              <w:t>by:</w:t>
            </w:r>
          </w:p>
          <w:p w14:paraId="24D6138D" w14:textId="77777777" w:rsidR="00245300" w:rsidRPr="00EC20A0" w:rsidRDefault="00F17249">
            <w:pPr>
              <w:pStyle w:val="TableParagraph"/>
              <w:spacing w:before="12"/>
              <w:ind w:left="5203"/>
              <w:rPr>
                <w:b/>
                <w:sz w:val="24"/>
              </w:rPr>
            </w:pPr>
            <w:r w:rsidRPr="00EC20A0">
              <w:rPr>
                <w:b/>
                <w:sz w:val="24"/>
              </w:rPr>
              <w:t>Compliance</w:t>
            </w:r>
            <w:r w:rsidRPr="00EC20A0">
              <w:rPr>
                <w:b/>
                <w:spacing w:val="-6"/>
                <w:sz w:val="24"/>
              </w:rPr>
              <w:t xml:space="preserve"> </w:t>
            </w:r>
            <w:r w:rsidRPr="00EC20A0">
              <w:rPr>
                <w:b/>
                <w:spacing w:val="-2"/>
                <w:sz w:val="24"/>
              </w:rPr>
              <w:t>Summary</w:t>
            </w:r>
          </w:p>
          <w:p w14:paraId="24D6138E" w14:textId="77777777" w:rsidR="00245300" w:rsidRPr="00EC20A0" w:rsidRDefault="00F17249">
            <w:pPr>
              <w:pStyle w:val="TableParagraph"/>
              <w:tabs>
                <w:tab w:val="left" w:pos="9328"/>
              </w:tabs>
              <w:spacing w:before="10"/>
              <w:ind w:left="606"/>
            </w:pPr>
            <w:r w:rsidRPr="00EC20A0">
              <w:rPr>
                <w:noProof/>
              </w:rPr>
              <mc:AlternateContent>
                <mc:Choice Requires="wpg">
                  <w:drawing>
                    <wp:anchor distT="0" distB="0" distL="0" distR="0" simplePos="0" relativeHeight="475340800" behindDoc="1" locked="0" layoutInCell="1" allowOverlap="1" wp14:anchorId="24D62C3B" wp14:editId="24D62C3C">
                      <wp:simplePos x="0" y="0"/>
                      <wp:positionH relativeFrom="column">
                        <wp:posOffset>1244346</wp:posOffset>
                      </wp:positionH>
                      <wp:positionV relativeFrom="paragraph">
                        <wp:posOffset>-91198</wp:posOffset>
                      </wp:positionV>
                      <wp:extent cx="1155700" cy="635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661" name="Graphic 661"/>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4AE043" id="Group 660" o:spid="_x0000_s1026" style="position:absolute;margin-left:98pt;margin-top:-7.2pt;width:91pt;height:.5pt;z-index:-27975680;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">
                      <v:shape id="Graphic 661"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" path="m1155179,l,,,6108r1155179,l1155179,xe" fillcolor="black" stroked="f">
                        <v:path arrowok="t"/>
                      </v:shape>
                    </v:group>
                  </w:pict>
                </mc:Fallback>
              </mc:AlternateContent>
            </w:r>
            <w:r w:rsidRPr="00EC20A0">
              <w:rPr>
                <w:noProof/>
              </w:rPr>
              <mc:AlternateContent>
                <mc:Choice Requires="wpg">
                  <w:drawing>
                    <wp:anchor distT="0" distB="0" distL="0" distR="0" simplePos="0" relativeHeight="475341312" behindDoc="1" locked="0" layoutInCell="1" allowOverlap="1" wp14:anchorId="24D62C3D" wp14:editId="24D62C3E">
                      <wp:simplePos x="0" y="0"/>
                      <wp:positionH relativeFrom="column">
                        <wp:posOffset>1244346</wp:posOffset>
                      </wp:positionH>
                      <wp:positionV relativeFrom="paragraph">
                        <wp:posOffset>258559</wp:posOffset>
                      </wp:positionV>
                      <wp:extent cx="1155700" cy="6350"/>
                      <wp:effectExtent l="0" t="0" r="0" b="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663" name="Graphic 663"/>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914DD8" id="Group 662" o:spid="_x0000_s1026" style="position:absolute;margin-left:98pt;margin-top:20.35pt;width:91pt;height:.5pt;z-index:-27975168;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">
                      <v:shape id="Graphic 663"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" path="m1155179,l,,,6108r1155179,l1155179,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c>
          <w:tcPr>
            <w:tcW w:w="2624" w:type="dxa"/>
            <w:tcBorders>
              <w:left w:val="nil"/>
              <w:bottom w:val="single" w:sz="4" w:space="0" w:color="000000"/>
            </w:tcBorders>
          </w:tcPr>
          <w:p w14:paraId="24D6138F" w14:textId="77777777" w:rsidR="00245300" w:rsidRPr="00EC20A0" w:rsidRDefault="00245300">
            <w:pPr>
              <w:pStyle w:val="TableParagraph"/>
              <w:rPr>
                <w:sz w:val="18"/>
              </w:rPr>
            </w:pPr>
          </w:p>
        </w:tc>
      </w:tr>
      <w:tr w:rsidR="00245300" w:rsidRPr="00EC20A0" w14:paraId="24D61393" w14:textId="77777777">
        <w:trPr>
          <w:trHeight w:val="520"/>
        </w:trPr>
        <w:tc>
          <w:tcPr>
            <w:tcW w:w="10763" w:type="dxa"/>
            <w:gridSpan w:val="6"/>
            <w:vMerge/>
            <w:tcBorders>
              <w:top w:val="nil"/>
              <w:right w:val="nil"/>
            </w:tcBorders>
          </w:tcPr>
          <w:p w14:paraId="24D61391" w14:textId="77777777" w:rsidR="00245300" w:rsidRPr="00EC20A0" w:rsidRDefault="00245300">
            <w:pPr>
              <w:rPr>
                <w:sz w:val="2"/>
                <w:szCs w:val="2"/>
              </w:rPr>
            </w:pPr>
          </w:p>
        </w:tc>
        <w:tc>
          <w:tcPr>
            <w:tcW w:w="2624" w:type="dxa"/>
            <w:tcBorders>
              <w:top w:val="single" w:sz="4" w:space="0" w:color="000000"/>
              <w:left w:val="nil"/>
              <w:bottom w:val="single" w:sz="4" w:space="0" w:color="000000"/>
            </w:tcBorders>
          </w:tcPr>
          <w:p w14:paraId="24D61392" w14:textId="77777777" w:rsidR="00245300" w:rsidRPr="00EC20A0" w:rsidRDefault="00245300">
            <w:pPr>
              <w:pStyle w:val="TableParagraph"/>
              <w:rPr>
                <w:sz w:val="18"/>
              </w:rPr>
            </w:pPr>
          </w:p>
        </w:tc>
      </w:tr>
      <w:tr w:rsidR="00245300" w:rsidRPr="00EC20A0" w14:paraId="24D61396" w14:textId="77777777">
        <w:trPr>
          <w:trHeight w:val="462"/>
        </w:trPr>
        <w:tc>
          <w:tcPr>
            <w:tcW w:w="10763" w:type="dxa"/>
            <w:gridSpan w:val="6"/>
            <w:vMerge/>
            <w:tcBorders>
              <w:top w:val="nil"/>
              <w:right w:val="nil"/>
            </w:tcBorders>
          </w:tcPr>
          <w:p w14:paraId="24D61394" w14:textId="77777777" w:rsidR="00245300" w:rsidRPr="00EC20A0" w:rsidRDefault="00245300">
            <w:pPr>
              <w:rPr>
                <w:sz w:val="2"/>
                <w:szCs w:val="2"/>
              </w:rPr>
            </w:pPr>
          </w:p>
        </w:tc>
        <w:tc>
          <w:tcPr>
            <w:tcW w:w="2624" w:type="dxa"/>
            <w:tcBorders>
              <w:top w:val="single" w:sz="4" w:space="0" w:color="000000"/>
              <w:left w:val="nil"/>
            </w:tcBorders>
          </w:tcPr>
          <w:p w14:paraId="24D61395" w14:textId="77777777" w:rsidR="00245300" w:rsidRPr="00EC20A0" w:rsidRDefault="00245300">
            <w:pPr>
              <w:pStyle w:val="TableParagraph"/>
              <w:rPr>
                <w:sz w:val="18"/>
              </w:rPr>
            </w:pPr>
          </w:p>
        </w:tc>
      </w:tr>
      <w:tr w:rsidR="00245300" w:rsidRPr="00EC20A0" w14:paraId="24D613A0" w14:textId="77777777">
        <w:trPr>
          <w:trHeight w:val="793"/>
        </w:trPr>
        <w:tc>
          <w:tcPr>
            <w:tcW w:w="2600" w:type="dxa"/>
            <w:tcBorders>
              <w:right w:val="single" w:sz="4" w:space="0" w:color="000000"/>
            </w:tcBorders>
          </w:tcPr>
          <w:p w14:paraId="24D61397" w14:textId="77777777" w:rsidR="00245300" w:rsidRPr="00EC20A0" w:rsidRDefault="00245300">
            <w:pPr>
              <w:pStyle w:val="TableParagraph"/>
              <w:spacing w:before="143"/>
            </w:pPr>
          </w:p>
          <w:p w14:paraId="24D61398"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2086" w:type="dxa"/>
            <w:tcBorders>
              <w:left w:val="single" w:sz="4" w:space="0" w:color="000000"/>
              <w:right w:val="single" w:sz="4" w:space="0" w:color="000000"/>
            </w:tcBorders>
          </w:tcPr>
          <w:p w14:paraId="24D61399" w14:textId="77777777" w:rsidR="00245300" w:rsidRPr="00EC20A0" w:rsidRDefault="00245300">
            <w:pPr>
              <w:pStyle w:val="TableParagraph"/>
              <w:spacing w:before="143"/>
            </w:pPr>
          </w:p>
          <w:p w14:paraId="24D6139A" w14:textId="77777777" w:rsidR="00245300" w:rsidRPr="00EC20A0" w:rsidRDefault="00F17249">
            <w:pPr>
              <w:pStyle w:val="TableParagraph"/>
              <w:ind w:left="108"/>
            </w:pPr>
            <w:r w:rsidRPr="00EC20A0">
              <w:rPr>
                <w:spacing w:val="-2"/>
              </w:rPr>
              <w:t>Objective</w:t>
            </w:r>
          </w:p>
        </w:tc>
        <w:tc>
          <w:tcPr>
            <w:tcW w:w="1803" w:type="dxa"/>
            <w:tcBorders>
              <w:left w:val="single" w:sz="4" w:space="0" w:color="000000"/>
              <w:right w:val="single" w:sz="4" w:space="0" w:color="000000"/>
            </w:tcBorders>
          </w:tcPr>
          <w:p w14:paraId="24D6139B" w14:textId="77777777" w:rsidR="00245300" w:rsidRPr="00EC20A0" w:rsidRDefault="00F17249">
            <w:pPr>
              <w:pStyle w:val="TableParagraph"/>
              <w:spacing w:before="143"/>
              <w:ind w:left="109" w:right="160"/>
            </w:pPr>
            <w:r w:rsidRPr="00EC20A0">
              <w:rPr>
                <w:spacing w:val="-2"/>
              </w:rPr>
              <w:t>Control Activities</w:t>
            </w:r>
          </w:p>
        </w:tc>
        <w:tc>
          <w:tcPr>
            <w:tcW w:w="1901" w:type="dxa"/>
            <w:tcBorders>
              <w:left w:val="single" w:sz="4" w:space="0" w:color="000000"/>
              <w:right w:val="single" w:sz="4" w:space="0" w:color="000000"/>
            </w:tcBorders>
          </w:tcPr>
          <w:p w14:paraId="24D6139C" w14:textId="77777777" w:rsidR="00245300" w:rsidRPr="00EC20A0" w:rsidRDefault="00245300">
            <w:pPr>
              <w:pStyle w:val="TableParagraph"/>
              <w:spacing w:before="143"/>
            </w:pPr>
          </w:p>
          <w:p w14:paraId="24D6139D" w14:textId="77777777" w:rsidR="00245300" w:rsidRPr="00EC20A0" w:rsidRDefault="00F17249">
            <w:pPr>
              <w:pStyle w:val="TableParagraph"/>
              <w:ind w:left="109"/>
            </w:pPr>
            <w:r w:rsidRPr="00EC20A0">
              <w:t>IS</w:t>
            </w:r>
            <w:r w:rsidRPr="00EC20A0">
              <w:rPr>
                <w:spacing w:val="-3"/>
              </w:rPr>
              <w:t xml:space="preserve"> </w:t>
            </w:r>
            <w:r w:rsidRPr="00EC20A0">
              <w:rPr>
                <w:spacing w:val="-2"/>
              </w:rPr>
              <w:t>(Y/N)</w:t>
            </w:r>
          </w:p>
        </w:tc>
        <w:tc>
          <w:tcPr>
            <w:tcW w:w="2303" w:type="dxa"/>
            <w:tcBorders>
              <w:left w:val="single" w:sz="4" w:space="0" w:color="000000"/>
              <w:right w:val="single" w:sz="4" w:space="0" w:color="000000"/>
            </w:tcBorders>
          </w:tcPr>
          <w:p w14:paraId="24D6139E" w14:textId="77777777" w:rsidR="00245300" w:rsidRPr="00EC20A0" w:rsidRDefault="00F17249">
            <w:pPr>
              <w:pStyle w:val="TableParagraph"/>
              <w:spacing w:before="143"/>
              <w:ind w:left="110" w:right="502"/>
            </w:pPr>
            <w:r w:rsidRPr="00EC20A0">
              <w:rPr>
                <w:spacing w:val="-2"/>
              </w:rPr>
              <w:t>Effective controls?</w:t>
            </w:r>
          </w:p>
        </w:tc>
        <w:tc>
          <w:tcPr>
            <w:tcW w:w="2694" w:type="dxa"/>
            <w:gridSpan w:val="2"/>
            <w:tcBorders>
              <w:left w:val="single" w:sz="4" w:space="0" w:color="000000"/>
            </w:tcBorders>
          </w:tcPr>
          <w:p w14:paraId="24D6139F" w14:textId="77777777" w:rsidR="00245300" w:rsidRPr="00EC20A0" w:rsidRDefault="00F17249">
            <w:pPr>
              <w:pStyle w:val="TableParagraph"/>
              <w:spacing w:before="143"/>
              <w:ind w:left="111" w:right="87" w:hanging="1"/>
            </w:pPr>
            <w:r w:rsidRPr="00EC20A0">
              <w:t xml:space="preserve">Instances of </w:t>
            </w:r>
            <w:r w:rsidRPr="00EC20A0">
              <w:rPr>
                <w:spacing w:val="-2"/>
              </w:rPr>
              <w:t>noncompliance?</w:t>
            </w:r>
          </w:p>
        </w:tc>
      </w:tr>
      <w:tr w:rsidR="00245300" w:rsidRPr="00EC20A0" w14:paraId="24D613AB" w14:textId="77777777">
        <w:trPr>
          <w:trHeight w:val="3682"/>
        </w:trPr>
        <w:tc>
          <w:tcPr>
            <w:tcW w:w="2600" w:type="dxa"/>
            <w:tcBorders>
              <w:bottom w:val="single" w:sz="4" w:space="0" w:color="000000"/>
              <w:right w:val="single" w:sz="4" w:space="0" w:color="000000"/>
            </w:tcBorders>
          </w:tcPr>
          <w:p w14:paraId="24D613A1" w14:textId="77777777" w:rsidR="00245300" w:rsidRPr="00EC20A0" w:rsidRDefault="00F17249">
            <w:pPr>
              <w:pStyle w:val="TableParagraph"/>
              <w:spacing w:before="143"/>
              <w:ind w:left="97"/>
              <w:rPr>
                <w:sz w:val="18"/>
              </w:rPr>
            </w:pPr>
            <w:r w:rsidRPr="00EC20A0">
              <w:rPr>
                <w:smallCaps/>
                <w:sz w:val="18"/>
              </w:rPr>
              <w:t>809.02.</w:t>
            </w:r>
            <w:r w:rsidRPr="00EC20A0">
              <w:rPr>
                <w:smallCaps/>
                <w:spacing w:val="-5"/>
                <w:sz w:val="18"/>
              </w:rPr>
              <w:t xml:space="preserve"> </w:t>
            </w:r>
            <w:r w:rsidRPr="00EC20A0">
              <w:rPr>
                <w:smallCaps/>
                <w:spacing w:val="17"/>
                <w:sz w:val="18"/>
              </w:rPr>
              <w:t xml:space="preserve"> </w:t>
            </w:r>
            <w:r w:rsidRPr="00EC20A0">
              <w:rPr>
                <w:smallCaps/>
                <w:sz w:val="18"/>
              </w:rPr>
              <w:t>Payment</w:t>
            </w:r>
            <w:r w:rsidRPr="00EC20A0">
              <w:rPr>
                <w:smallCaps/>
                <w:spacing w:val="-1"/>
                <w:sz w:val="18"/>
              </w:rPr>
              <w:t xml:space="preserve"> </w:t>
            </w:r>
            <w:r w:rsidRPr="00EC20A0">
              <w:rPr>
                <w:smallCaps/>
                <w:spacing w:val="-2"/>
                <w:sz w:val="18"/>
              </w:rPr>
              <w:t>Source</w:t>
            </w:r>
          </w:p>
          <w:p w14:paraId="24D613A2" w14:textId="77777777" w:rsidR="00245300" w:rsidRPr="00EC20A0" w:rsidRDefault="00F17249">
            <w:pPr>
              <w:pStyle w:val="TableParagraph"/>
              <w:spacing w:before="1"/>
              <w:ind w:left="817" w:right="335"/>
              <w:rPr>
                <w:sz w:val="18"/>
              </w:rPr>
            </w:pPr>
            <w:r w:rsidRPr="00EC20A0">
              <w:rPr>
                <w:smallCaps/>
                <w:sz w:val="18"/>
              </w:rPr>
              <w:t>for Entity’s</w:t>
            </w:r>
            <w:r w:rsidRPr="00EC20A0">
              <w:rPr>
                <w:smallCaps/>
                <w:spacing w:val="40"/>
                <w:sz w:val="18"/>
              </w:rPr>
              <w:t xml:space="preserve"> </w:t>
            </w:r>
            <w:r w:rsidRPr="00EC20A0">
              <w:rPr>
                <w:smallCaps/>
                <w:sz w:val="18"/>
              </w:rPr>
              <w:t>Employee</w:t>
            </w:r>
            <w:r w:rsidRPr="00EC20A0">
              <w:rPr>
                <w:smallCaps/>
                <w:spacing w:val="-10"/>
                <w:sz w:val="18"/>
              </w:rPr>
              <w:t xml:space="preserve"> </w:t>
            </w:r>
            <w:r w:rsidRPr="00EC20A0">
              <w:rPr>
                <w:smallCaps/>
                <w:sz w:val="18"/>
              </w:rPr>
              <w:t>Health</w:t>
            </w:r>
            <w:r w:rsidRPr="00EC20A0">
              <w:rPr>
                <w:smallCaps/>
                <w:spacing w:val="40"/>
                <w:sz w:val="18"/>
              </w:rPr>
              <w:t xml:space="preserve"> </w:t>
            </w:r>
            <w:r w:rsidRPr="00EC20A0">
              <w:rPr>
                <w:smallCaps/>
                <w:spacing w:val="-2"/>
                <w:sz w:val="18"/>
              </w:rPr>
              <w:t>Insurance</w:t>
            </w:r>
            <w:r w:rsidRPr="00EC20A0">
              <w:rPr>
                <w:smallCaps/>
                <w:spacing w:val="40"/>
                <w:sz w:val="18"/>
              </w:rPr>
              <w:t xml:space="preserve"> </w:t>
            </w:r>
            <w:r w:rsidRPr="00EC20A0">
              <w:rPr>
                <w:smallCaps/>
                <w:spacing w:val="-2"/>
                <w:sz w:val="18"/>
              </w:rPr>
              <w:t>Contributions.</w:t>
            </w:r>
          </w:p>
          <w:p w14:paraId="24D613A3" w14:textId="77777777" w:rsidR="00245300" w:rsidRPr="00EC20A0" w:rsidRDefault="00F17249">
            <w:pPr>
              <w:pStyle w:val="TableParagraph"/>
              <w:spacing w:before="144"/>
              <w:ind w:left="97" w:right="100"/>
              <w:rPr>
                <w:sz w:val="18"/>
              </w:rPr>
            </w:pPr>
            <w:r w:rsidRPr="00EC20A0">
              <w:rPr>
                <w:sz w:val="18"/>
              </w:rPr>
              <w:t>Provision</w:t>
            </w:r>
            <w:r w:rsidRPr="00EC20A0">
              <w:rPr>
                <w:spacing w:val="-15"/>
                <w:sz w:val="18"/>
              </w:rPr>
              <w:t xml:space="preserve"> </w:t>
            </w:r>
            <w:r w:rsidRPr="00EC20A0">
              <w:rPr>
                <w:sz w:val="18"/>
              </w:rPr>
              <w:t>Types:</w:t>
            </w:r>
            <w:r w:rsidRPr="00EC20A0">
              <w:rPr>
                <w:spacing w:val="-12"/>
                <w:sz w:val="18"/>
              </w:rPr>
              <w:t xml:space="preserve"> </w:t>
            </w:r>
            <w:r w:rsidRPr="00EC20A0">
              <w:rPr>
                <w:sz w:val="18"/>
              </w:rPr>
              <w:t xml:space="preserve">Transaction- based and quantitative- </w:t>
            </w:r>
            <w:r w:rsidRPr="00EC20A0">
              <w:rPr>
                <w:spacing w:val="-2"/>
                <w:sz w:val="18"/>
              </w:rPr>
              <w:t>based.</w:t>
            </w:r>
          </w:p>
          <w:p w14:paraId="24D613A4" w14:textId="77777777" w:rsidR="00245300" w:rsidRPr="00EC20A0" w:rsidRDefault="00F17249">
            <w:pPr>
              <w:pStyle w:val="TableParagraph"/>
              <w:spacing w:before="144"/>
              <w:ind w:left="97" w:right="130"/>
              <w:rPr>
                <w:sz w:val="18"/>
              </w:rPr>
            </w:pPr>
            <w:r w:rsidRPr="00EC20A0">
              <w:rPr>
                <w:sz w:val="18"/>
              </w:rPr>
              <w:t>For</w:t>
            </w:r>
            <w:r w:rsidRPr="00EC20A0">
              <w:rPr>
                <w:spacing w:val="-4"/>
                <w:sz w:val="18"/>
              </w:rPr>
              <w:t xml:space="preserve"> </w:t>
            </w:r>
            <w:r w:rsidRPr="00EC20A0">
              <w:rPr>
                <w:sz w:val="18"/>
              </w:rPr>
              <w:t>employees</w:t>
            </w:r>
            <w:r w:rsidRPr="00EC20A0">
              <w:rPr>
                <w:spacing w:val="-3"/>
                <w:sz w:val="18"/>
              </w:rPr>
              <w:t xml:space="preserve"> </w:t>
            </w:r>
            <w:r w:rsidRPr="00EC20A0">
              <w:rPr>
                <w:sz w:val="18"/>
              </w:rPr>
              <w:t>generally,</w:t>
            </w:r>
            <w:r w:rsidRPr="00EC20A0">
              <w:rPr>
                <w:spacing w:val="-4"/>
                <w:sz w:val="18"/>
              </w:rPr>
              <w:t xml:space="preserve"> </w:t>
            </w:r>
            <w:r w:rsidRPr="00EC20A0">
              <w:rPr>
                <w:sz w:val="18"/>
              </w:rPr>
              <w:t>the entity</w:t>
            </w:r>
            <w:r w:rsidRPr="00EC20A0">
              <w:rPr>
                <w:spacing w:val="-10"/>
                <w:sz w:val="18"/>
              </w:rPr>
              <w:t xml:space="preserve"> </w:t>
            </w:r>
            <w:r w:rsidRPr="00EC20A0">
              <w:rPr>
                <w:sz w:val="18"/>
              </w:rPr>
              <w:t>contribution</w:t>
            </w:r>
            <w:r w:rsidRPr="00EC20A0">
              <w:rPr>
                <w:spacing w:val="-11"/>
                <w:sz w:val="18"/>
              </w:rPr>
              <w:t xml:space="preserve"> </w:t>
            </w:r>
            <w:r w:rsidRPr="00EC20A0">
              <w:rPr>
                <w:sz w:val="18"/>
              </w:rPr>
              <w:t>for</w:t>
            </w:r>
            <w:r w:rsidRPr="00EC20A0">
              <w:rPr>
                <w:spacing w:val="-10"/>
                <w:sz w:val="18"/>
              </w:rPr>
              <w:t xml:space="preserve"> </w:t>
            </w:r>
            <w:r w:rsidRPr="00EC20A0">
              <w:rPr>
                <w:sz w:val="18"/>
              </w:rPr>
              <w:t>the</w:t>
            </w:r>
            <w:r w:rsidRPr="00EC20A0">
              <w:rPr>
                <w:spacing w:val="-11"/>
                <w:sz w:val="18"/>
              </w:rPr>
              <w:t xml:space="preserve"> </w:t>
            </w:r>
            <w:r w:rsidRPr="00EC20A0">
              <w:rPr>
                <w:sz w:val="18"/>
              </w:rPr>
              <w:t xml:space="preserve">cost of </w:t>
            </w:r>
            <w:r w:rsidRPr="00EC20A0">
              <w:rPr>
                <w:sz w:val="18"/>
              </w:rPr>
              <w:t>health insurance shall be paid from the appropriation account or fund that is used to pay the employee. 5</w:t>
            </w:r>
          </w:p>
          <w:p w14:paraId="24D613A5" w14:textId="77777777" w:rsidR="00245300" w:rsidRPr="00EC20A0" w:rsidRDefault="00F17249">
            <w:pPr>
              <w:pStyle w:val="TableParagraph"/>
              <w:spacing w:before="1"/>
              <w:ind w:left="97"/>
              <w:rPr>
                <w:sz w:val="18"/>
              </w:rPr>
            </w:pPr>
            <w:r w:rsidRPr="00EC20A0">
              <w:rPr>
                <w:sz w:val="18"/>
              </w:rPr>
              <w:t>U.S.C.</w:t>
            </w:r>
            <w:r w:rsidRPr="00EC20A0">
              <w:rPr>
                <w:spacing w:val="-2"/>
                <w:sz w:val="18"/>
              </w:rPr>
              <w:t xml:space="preserve"> </w:t>
            </w:r>
            <w:r w:rsidRPr="00EC20A0">
              <w:rPr>
                <w:sz w:val="18"/>
              </w:rPr>
              <w:t>§</w:t>
            </w:r>
            <w:r w:rsidRPr="00EC20A0">
              <w:rPr>
                <w:spacing w:val="-2"/>
                <w:sz w:val="18"/>
              </w:rPr>
              <w:t xml:space="preserve"> 8906(f)(1).</w:t>
            </w:r>
          </w:p>
        </w:tc>
        <w:tc>
          <w:tcPr>
            <w:tcW w:w="2086" w:type="dxa"/>
            <w:tcBorders>
              <w:left w:val="single" w:sz="4" w:space="0" w:color="000000"/>
              <w:bottom w:val="single" w:sz="4" w:space="0" w:color="000000"/>
              <w:right w:val="single" w:sz="4" w:space="0" w:color="000000"/>
            </w:tcBorders>
          </w:tcPr>
          <w:p w14:paraId="24D613A6" w14:textId="77777777" w:rsidR="00245300" w:rsidRPr="00EC20A0" w:rsidRDefault="00F17249">
            <w:pPr>
              <w:pStyle w:val="TableParagraph"/>
              <w:spacing w:before="143"/>
              <w:ind w:left="108" w:right="96"/>
              <w:rPr>
                <w:sz w:val="18"/>
              </w:rPr>
            </w:pPr>
            <w:r w:rsidRPr="00EC20A0">
              <w:rPr>
                <w:sz w:val="18"/>
              </w:rPr>
              <w:t>Entity</w:t>
            </w:r>
            <w:r w:rsidRPr="00EC20A0">
              <w:rPr>
                <w:spacing w:val="-15"/>
                <w:sz w:val="18"/>
              </w:rPr>
              <w:t xml:space="preserve"> </w:t>
            </w:r>
            <w:r w:rsidRPr="00EC20A0">
              <w:rPr>
                <w:sz w:val="18"/>
              </w:rPr>
              <w:t>contributions</w:t>
            </w:r>
            <w:r w:rsidRPr="00EC20A0">
              <w:rPr>
                <w:spacing w:val="-12"/>
                <w:sz w:val="18"/>
              </w:rPr>
              <w:t xml:space="preserve"> </w:t>
            </w:r>
            <w:r w:rsidRPr="00EC20A0">
              <w:rPr>
                <w:sz w:val="18"/>
              </w:rPr>
              <w:t>for the cost of employee health insurance are summarized properly and charged to the proper appropriation account or fund.</w:t>
            </w:r>
          </w:p>
        </w:tc>
        <w:tc>
          <w:tcPr>
            <w:tcW w:w="1803" w:type="dxa"/>
            <w:tcBorders>
              <w:left w:val="single" w:sz="4" w:space="0" w:color="000000"/>
              <w:bottom w:val="single" w:sz="4" w:space="0" w:color="000000"/>
              <w:right w:val="single" w:sz="4" w:space="0" w:color="000000"/>
            </w:tcBorders>
          </w:tcPr>
          <w:p w14:paraId="24D613A7" w14:textId="77777777" w:rsidR="00245300" w:rsidRPr="00EC20A0" w:rsidRDefault="00245300">
            <w:pPr>
              <w:pStyle w:val="TableParagraph"/>
              <w:rPr>
                <w:sz w:val="18"/>
              </w:rPr>
            </w:pPr>
          </w:p>
        </w:tc>
        <w:tc>
          <w:tcPr>
            <w:tcW w:w="1901" w:type="dxa"/>
            <w:tcBorders>
              <w:left w:val="single" w:sz="4" w:space="0" w:color="000000"/>
              <w:bottom w:val="single" w:sz="4" w:space="0" w:color="000000"/>
              <w:right w:val="single" w:sz="4" w:space="0" w:color="000000"/>
            </w:tcBorders>
          </w:tcPr>
          <w:p w14:paraId="24D613A8" w14:textId="77777777" w:rsidR="00245300" w:rsidRPr="00EC20A0" w:rsidRDefault="00245300">
            <w:pPr>
              <w:pStyle w:val="TableParagraph"/>
              <w:rPr>
                <w:sz w:val="18"/>
              </w:rPr>
            </w:pPr>
          </w:p>
        </w:tc>
        <w:tc>
          <w:tcPr>
            <w:tcW w:w="2303" w:type="dxa"/>
            <w:tcBorders>
              <w:left w:val="single" w:sz="4" w:space="0" w:color="000000"/>
              <w:bottom w:val="single" w:sz="4" w:space="0" w:color="000000"/>
              <w:right w:val="single" w:sz="4" w:space="0" w:color="000000"/>
            </w:tcBorders>
          </w:tcPr>
          <w:p w14:paraId="24D613A9" w14:textId="77777777" w:rsidR="00245300" w:rsidRPr="00EC20A0" w:rsidRDefault="00245300">
            <w:pPr>
              <w:pStyle w:val="TableParagraph"/>
              <w:rPr>
                <w:sz w:val="18"/>
              </w:rPr>
            </w:pPr>
          </w:p>
        </w:tc>
        <w:tc>
          <w:tcPr>
            <w:tcW w:w="2694" w:type="dxa"/>
            <w:gridSpan w:val="2"/>
            <w:tcBorders>
              <w:left w:val="single" w:sz="4" w:space="0" w:color="000000"/>
              <w:bottom w:val="single" w:sz="4" w:space="0" w:color="000000"/>
            </w:tcBorders>
          </w:tcPr>
          <w:p w14:paraId="24D613AA" w14:textId="77777777" w:rsidR="00245300" w:rsidRPr="00EC20A0" w:rsidRDefault="00F17249">
            <w:pPr>
              <w:pStyle w:val="TableParagraph"/>
              <w:spacing w:before="143"/>
              <w:ind w:left="111" w:right="87"/>
              <w:rPr>
                <w:sz w:val="18"/>
              </w:rPr>
            </w:pPr>
            <w:r w:rsidRPr="00EC20A0">
              <w:rPr>
                <w:sz w:val="18"/>
              </w:rPr>
              <w:t>See Compliance Audit Procedures,</w:t>
            </w:r>
            <w:r w:rsidRPr="00EC20A0">
              <w:rPr>
                <w:spacing w:val="-10"/>
                <w:sz w:val="18"/>
              </w:rPr>
              <w:t xml:space="preserve"> </w:t>
            </w:r>
            <w:r w:rsidRPr="00EC20A0">
              <w:rPr>
                <w:sz w:val="18"/>
              </w:rPr>
              <w:t>FAM</w:t>
            </w:r>
            <w:r w:rsidRPr="00EC20A0">
              <w:rPr>
                <w:spacing w:val="-10"/>
                <w:sz w:val="18"/>
              </w:rPr>
              <w:t xml:space="preserve"> </w:t>
            </w:r>
            <w:r w:rsidRPr="00EC20A0">
              <w:rPr>
                <w:sz w:val="18"/>
              </w:rPr>
              <w:t>809</w:t>
            </w:r>
            <w:r w:rsidRPr="00EC20A0">
              <w:rPr>
                <w:spacing w:val="-10"/>
                <w:sz w:val="18"/>
              </w:rPr>
              <w:t xml:space="preserve"> </w:t>
            </w:r>
            <w:r w:rsidRPr="00EC20A0">
              <w:rPr>
                <w:sz w:val="18"/>
              </w:rPr>
              <w:t>step</w:t>
            </w:r>
            <w:r w:rsidRPr="00EC20A0">
              <w:rPr>
                <w:spacing w:val="-10"/>
                <w:sz w:val="18"/>
              </w:rPr>
              <w:t xml:space="preserve"> </w:t>
            </w:r>
            <w:r w:rsidRPr="00EC20A0">
              <w:rPr>
                <w:sz w:val="18"/>
              </w:rPr>
              <w:t xml:space="preserve">4 </w:t>
            </w:r>
            <w:r w:rsidRPr="00EC20A0">
              <w:rPr>
                <w:spacing w:val="-4"/>
                <w:sz w:val="18"/>
              </w:rPr>
              <w:t>(c).</w:t>
            </w:r>
          </w:p>
        </w:tc>
      </w:tr>
    </w:tbl>
    <w:p w14:paraId="24D613AC" w14:textId="77777777" w:rsidR="00245300" w:rsidRPr="00EC20A0" w:rsidRDefault="00245300">
      <w:pPr>
        <w:rPr>
          <w:sz w:val="18"/>
        </w:rPr>
        <w:sectPr w:rsidR="00245300" w:rsidRPr="00EC20A0">
          <w:pgSz w:w="15840" w:h="12240" w:orient="landscape"/>
          <w:pgMar w:top="1380" w:right="1220" w:bottom="940" w:left="960" w:header="721" w:footer="742" w:gutter="0"/>
          <w:cols w:space="720"/>
        </w:sectPr>
      </w:pPr>
    </w:p>
    <w:p w14:paraId="24D613AD" w14:textId="77777777" w:rsidR="00245300" w:rsidRPr="00EC20A0" w:rsidRDefault="00245300">
      <w:pPr>
        <w:pStyle w:val="BodyText"/>
        <w:spacing w:before="9"/>
        <w:rPr>
          <w:sz w:val="7"/>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00"/>
        <w:gridCol w:w="2086"/>
        <w:gridCol w:w="1803"/>
        <w:gridCol w:w="1901"/>
        <w:gridCol w:w="2303"/>
        <w:gridCol w:w="70"/>
        <w:gridCol w:w="2624"/>
      </w:tblGrid>
      <w:tr w:rsidR="00245300" w:rsidRPr="00EC20A0" w14:paraId="24D613B2" w14:textId="77777777">
        <w:trPr>
          <w:trHeight w:val="531"/>
        </w:trPr>
        <w:tc>
          <w:tcPr>
            <w:tcW w:w="10763" w:type="dxa"/>
            <w:gridSpan w:val="6"/>
            <w:vMerge w:val="restart"/>
            <w:tcBorders>
              <w:right w:val="nil"/>
            </w:tcBorders>
          </w:tcPr>
          <w:p w14:paraId="24D613AE" w14:textId="77777777" w:rsidR="00245300" w:rsidRPr="00EC20A0" w:rsidRDefault="00F17249">
            <w:pPr>
              <w:pStyle w:val="TableParagraph"/>
              <w:tabs>
                <w:tab w:val="left" w:pos="9389"/>
              </w:tabs>
              <w:spacing w:before="144"/>
              <w:ind w:left="361"/>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0"/>
              </w:rPr>
              <w:t xml:space="preserve"> </w:t>
            </w:r>
            <w:r w:rsidRPr="00EC20A0">
              <w:rPr>
                <w:spacing w:val="-5"/>
              </w:rPr>
              <w:t>by:</w:t>
            </w:r>
          </w:p>
          <w:p w14:paraId="24D613AF" w14:textId="77777777" w:rsidR="00245300" w:rsidRPr="00EC20A0" w:rsidRDefault="00F17249">
            <w:pPr>
              <w:pStyle w:val="TableParagraph"/>
              <w:spacing w:before="12"/>
              <w:ind w:left="5203"/>
              <w:rPr>
                <w:b/>
                <w:sz w:val="24"/>
              </w:rPr>
            </w:pPr>
            <w:r w:rsidRPr="00EC20A0">
              <w:rPr>
                <w:b/>
                <w:sz w:val="24"/>
              </w:rPr>
              <w:t>Compliance</w:t>
            </w:r>
            <w:r w:rsidRPr="00EC20A0">
              <w:rPr>
                <w:b/>
                <w:spacing w:val="-6"/>
                <w:sz w:val="24"/>
              </w:rPr>
              <w:t xml:space="preserve"> </w:t>
            </w:r>
            <w:r w:rsidRPr="00EC20A0">
              <w:rPr>
                <w:b/>
                <w:spacing w:val="-2"/>
                <w:sz w:val="24"/>
              </w:rPr>
              <w:t>Summary</w:t>
            </w:r>
          </w:p>
          <w:p w14:paraId="24D613B0" w14:textId="77777777" w:rsidR="00245300" w:rsidRPr="00EC20A0" w:rsidRDefault="00F17249">
            <w:pPr>
              <w:pStyle w:val="TableParagraph"/>
              <w:tabs>
                <w:tab w:val="left" w:pos="9328"/>
              </w:tabs>
              <w:spacing w:before="10"/>
              <w:ind w:left="606"/>
            </w:pPr>
            <w:r w:rsidRPr="00EC20A0">
              <w:rPr>
                <w:noProof/>
              </w:rPr>
              <mc:AlternateContent>
                <mc:Choice Requires="wpg">
                  <w:drawing>
                    <wp:anchor distT="0" distB="0" distL="0" distR="0" simplePos="0" relativeHeight="475341824" behindDoc="1" locked="0" layoutInCell="1" allowOverlap="1" wp14:anchorId="24D62C3F" wp14:editId="24D62C40">
                      <wp:simplePos x="0" y="0"/>
                      <wp:positionH relativeFrom="column">
                        <wp:posOffset>1244346</wp:posOffset>
                      </wp:positionH>
                      <wp:positionV relativeFrom="paragraph">
                        <wp:posOffset>-91198</wp:posOffset>
                      </wp:positionV>
                      <wp:extent cx="1155700" cy="6350"/>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665" name="Graphic 665"/>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CFEB8E" id="Group 664" o:spid="_x0000_s1026" style="position:absolute;margin-left:98pt;margin-top:-7.2pt;width:91pt;height:.5pt;z-index:-27974656;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">
                      <v:shape id="Graphic 665"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" path="m1155179,l,,,6108r1155179,l1155179,xe" fillcolor="black" stroked="f">
                        <v:path arrowok="t"/>
                      </v:shape>
                    </v:group>
                  </w:pict>
                </mc:Fallback>
              </mc:AlternateContent>
            </w:r>
            <w:r w:rsidRPr="00EC20A0">
              <w:rPr>
                <w:noProof/>
              </w:rPr>
              <mc:AlternateContent>
                <mc:Choice Requires="wpg">
                  <w:drawing>
                    <wp:anchor distT="0" distB="0" distL="0" distR="0" simplePos="0" relativeHeight="475342336" behindDoc="1" locked="0" layoutInCell="1" allowOverlap="1" wp14:anchorId="24D62C41" wp14:editId="24D62C42">
                      <wp:simplePos x="0" y="0"/>
                      <wp:positionH relativeFrom="column">
                        <wp:posOffset>1244346</wp:posOffset>
                      </wp:positionH>
                      <wp:positionV relativeFrom="paragraph">
                        <wp:posOffset>258559</wp:posOffset>
                      </wp:positionV>
                      <wp:extent cx="1155700" cy="6350"/>
                      <wp:effectExtent l="0" t="0" r="0" b="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667" name="Graphic 667"/>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51229A" id="Group 666" o:spid="_x0000_s1026" style="position:absolute;margin-left:98pt;margin-top:20.35pt;width:91pt;height:.5pt;z-index:-27974144;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">
                      <v:shape id="Graphic 667"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" path="m1155179,l,,,6108r1155179,l1155179,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c>
          <w:tcPr>
            <w:tcW w:w="2624" w:type="dxa"/>
            <w:tcBorders>
              <w:left w:val="nil"/>
              <w:bottom w:val="single" w:sz="4" w:space="0" w:color="000000"/>
            </w:tcBorders>
          </w:tcPr>
          <w:p w14:paraId="24D613B1" w14:textId="77777777" w:rsidR="00245300" w:rsidRPr="00EC20A0" w:rsidRDefault="00245300">
            <w:pPr>
              <w:pStyle w:val="TableParagraph"/>
              <w:rPr>
                <w:sz w:val="18"/>
              </w:rPr>
            </w:pPr>
          </w:p>
        </w:tc>
      </w:tr>
      <w:tr w:rsidR="00245300" w:rsidRPr="00EC20A0" w14:paraId="24D613B5" w14:textId="77777777">
        <w:trPr>
          <w:trHeight w:val="520"/>
        </w:trPr>
        <w:tc>
          <w:tcPr>
            <w:tcW w:w="10763" w:type="dxa"/>
            <w:gridSpan w:val="6"/>
            <w:vMerge/>
            <w:tcBorders>
              <w:top w:val="nil"/>
              <w:right w:val="nil"/>
            </w:tcBorders>
          </w:tcPr>
          <w:p w14:paraId="24D613B3" w14:textId="77777777" w:rsidR="00245300" w:rsidRPr="00EC20A0" w:rsidRDefault="00245300">
            <w:pPr>
              <w:rPr>
                <w:sz w:val="2"/>
                <w:szCs w:val="2"/>
              </w:rPr>
            </w:pPr>
          </w:p>
        </w:tc>
        <w:tc>
          <w:tcPr>
            <w:tcW w:w="2624" w:type="dxa"/>
            <w:tcBorders>
              <w:top w:val="single" w:sz="4" w:space="0" w:color="000000"/>
              <w:left w:val="nil"/>
              <w:bottom w:val="single" w:sz="4" w:space="0" w:color="000000"/>
            </w:tcBorders>
          </w:tcPr>
          <w:p w14:paraId="24D613B4" w14:textId="77777777" w:rsidR="00245300" w:rsidRPr="00EC20A0" w:rsidRDefault="00245300">
            <w:pPr>
              <w:pStyle w:val="TableParagraph"/>
              <w:rPr>
                <w:sz w:val="18"/>
              </w:rPr>
            </w:pPr>
          </w:p>
        </w:tc>
      </w:tr>
      <w:tr w:rsidR="00245300" w:rsidRPr="00EC20A0" w14:paraId="24D613B8" w14:textId="77777777">
        <w:trPr>
          <w:trHeight w:val="462"/>
        </w:trPr>
        <w:tc>
          <w:tcPr>
            <w:tcW w:w="10763" w:type="dxa"/>
            <w:gridSpan w:val="6"/>
            <w:vMerge/>
            <w:tcBorders>
              <w:top w:val="nil"/>
              <w:right w:val="nil"/>
            </w:tcBorders>
          </w:tcPr>
          <w:p w14:paraId="24D613B6" w14:textId="77777777" w:rsidR="00245300" w:rsidRPr="00EC20A0" w:rsidRDefault="00245300">
            <w:pPr>
              <w:rPr>
                <w:sz w:val="2"/>
                <w:szCs w:val="2"/>
              </w:rPr>
            </w:pPr>
          </w:p>
        </w:tc>
        <w:tc>
          <w:tcPr>
            <w:tcW w:w="2624" w:type="dxa"/>
            <w:tcBorders>
              <w:top w:val="single" w:sz="4" w:space="0" w:color="000000"/>
              <w:left w:val="nil"/>
            </w:tcBorders>
          </w:tcPr>
          <w:p w14:paraId="24D613B7" w14:textId="77777777" w:rsidR="00245300" w:rsidRPr="00EC20A0" w:rsidRDefault="00245300">
            <w:pPr>
              <w:pStyle w:val="TableParagraph"/>
              <w:rPr>
                <w:sz w:val="18"/>
              </w:rPr>
            </w:pPr>
          </w:p>
        </w:tc>
      </w:tr>
      <w:tr w:rsidR="00245300" w:rsidRPr="00EC20A0" w14:paraId="24D613C2" w14:textId="77777777">
        <w:trPr>
          <w:trHeight w:val="793"/>
        </w:trPr>
        <w:tc>
          <w:tcPr>
            <w:tcW w:w="2600" w:type="dxa"/>
            <w:tcBorders>
              <w:right w:val="single" w:sz="4" w:space="0" w:color="000000"/>
            </w:tcBorders>
          </w:tcPr>
          <w:p w14:paraId="24D613B9" w14:textId="77777777" w:rsidR="00245300" w:rsidRPr="00EC20A0" w:rsidRDefault="00245300">
            <w:pPr>
              <w:pStyle w:val="TableParagraph"/>
              <w:spacing w:before="143"/>
            </w:pPr>
          </w:p>
          <w:p w14:paraId="24D613BA"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2086" w:type="dxa"/>
            <w:tcBorders>
              <w:left w:val="single" w:sz="4" w:space="0" w:color="000000"/>
              <w:right w:val="single" w:sz="4" w:space="0" w:color="000000"/>
            </w:tcBorders>
          </w:tcPr>
          <w:p w14:paraId="24D613BB" w14:textId="77777777" w:rsidR="00245300" w:rsidRPr="00EC20A0" w:rsidRDefault="00245300">
            <w:pPr>
              <w:pStyle w:val="TableParagraph"/>
              <w:spacing w:before="143"/>
            </w:pPr>
          </w:p>
          <w:p w14:paraId="24D613BC" w14:textId="77777777" w:rsidR="00245300" w:rsidRPr="00EC20A0" w:rsidRDefault="00F17249">
            <w:pPr>
              <w:pStyle w:val="TableParagraph"/>
              <w:ind w:left="108"/>
            </w:pPr>
            <w:r w:rsidRPr="00EC20A0">
              <w:rPr>
                <w:spacing w:val="-2"/>
              </w:rPr>
              <w:t>Objective</w:t>
            </w:r>
          </w:p>
        </w:tc>
        <w:tc>
          <w:tcPr>
            <w:tcW w:w="1803" w:type="dxa"/>
            <w:tcBorders>
              <w:left w:val="single" w:sz="4" w:space="0" w:color="000000"/>
              <w:right w:val="single" w:sz="4" w:space="0" w:color="000000"/>
            </w:tcBorders>
          </w:tcPr>
          <w:p w14:paraId="24D613BD" w14:textId="77777777" w:rsidR="00245300" w:rsidRPr="00EC20A0" w:rsidRDefault="00F17249">
            <w:pPr>
              <w:pStyle w:val="TableParagraph"/>
              <w:spacing w:before="143"/>
              <w:ind w:left="109" w:right="160"/>
            </w:pPr>
            <w:r w:rsidRPr="00EC20A0">
              <w:rPr>
                <w:spacing w:val="-2"/>
              </w:rPr>
              <w:t>Control Activities</w:t>
            </w:r>
          </w:p>
        </w:tc>
        <w:tc>
          <w:tcPr>
            <w:tcW w:w="1901" w:type="dxa"/>
            <w:tcBorders>
              <w:left w:val="single" w:sz="4" w:space="0" w:color="000000"/>
              <w:right w:val="single" w:sz="4" w:space="0" w:color="000000"/>
            </w:tcBorders>
          </w:tcPr>
          <w:p w14:paraId="24D613BE" w14:textId="77777777" w:rsidR="00245300" w:rsidRPr="00EC20A0" w:rsidRDefault="00245300">
            <w:pPr>
              <w:pStyle w:val="TableParagraph"/>
              <w:spacing w:before="143"/>
            </w:pPr>
          </w:p>
          <w:p w14:paraId="24D613BF" w14:textId="77777777" w:rsidR="00245300" w:rsidRPr="00EC20A0" w:rsidRDefault="00F17249">
            <w:pPr>
              <w:pStyle w:val="TableParagraph"/>
              <w:ind w:left="109"/>
            </w:pPr>
            <w:r w:rsidRPr="00EC20A0">
              <w:t>IS</w:t>
            </w:r>
            <w:r w:rsidRPr="00EC20A0">
              <w:rPr>
                <w:spacing w:val="-3"/>
              </w:rPr>
              <w:t xml:space="preserve"> </w:t>
            </w:r>
            <w:r w:rsidRPr="00EC20A0">
              <w:rPr>
                <w:spacing w:val="-2"/>
              </w:rPr>
              <w:t>(Y/N)</w:t>
            </w:r>
          </w:p>
        </w:tc>
        <w:tc>
          <w:tcPr>
            <w:tcW w:w="2303" w:type="dxa"/>
            <w:tcBorders>
              <w:left w:val="single" w:sz="4" w:space="0" w:color="000000"/>
              <w:right w:val="single" w:sz="4" w:space="0" w:color="000000"/>
            </w:tcBorders>
          </w:tcPr>
          <w:p w14:paraId="24D613C0" w14:textId="77777777" w:rsidR="00245300" w:rsidRPr="00EC20A0" w:rsidRDefault="00F17249">
            <w:pPr>
              <w:pStyle w:val="TableParagraph"/>
              <w:spacing w:before="143"/>
              <w:ind w:left="110" w:right="502"/>
            </w:pPr>
            <w:r w:rsidRPr="00EC20A0">
              <w:rPr>
                <w:spacing w:val="-2"/>
              </w:rPr>
              <w:t>Effective controls?</w:t>
            </w:r>
          </w:p>
        </w:tc>
        <w:tc>
          <w:tcPr>
            <w:tcW w:w="2694" w:type="dxa"/>
            <w:gridSpan w:val="2"/>
            <w:tcBorders>
              <w:left w:val="single" w:sz="4" w:space="0" w:color="000000"/>
            </w:tcBorders>
          </w:tcPr>
          <w:p w14:paraId="24D613C1" w14:textId="77777777" w:rsidR="00245300" w:rsidRPr="00EC20A0" w:rsidRDefault="00F17249">
            <w:pPr>
              <w:pStyle w:val="TableParagraph"/>
              <w:spacing w:before="143"/>
              <w:ind w:left="111" w:right="87" w:hanging="1"/>
            </w:pPr>
            <w:r w:rsidRPr="00EC20A0">
              <w:t xml:space="preserve">Instances of </w:t>
            </w:r>
            <w:r w:rsidRPr="00EC20A0">
              <w:rPr>
                <w:spacing w:val="-2"/>
              </w:rPr>
              <w:t>noncompliance?</w:t>
            </w:r>
          </w:p>
        </w:tc>
      </w:tr>
      <w:tr w:rsidR="00245300" w:rsidRPr="00EC20A0" w14:paraId="24D613CE" w14:textId="77777777">
        <w:trPr>
          <w:trHeight w:val="3474"/>
        </w:trPr>
        <w:tc>
          <w:tcPr>
            <w:tcW w:w="2600" w:type="dxa"/>
            <w:tcBorders>
              <w:bottom w:val="single" w:sz="4" w:space="0" w:color="000000"/>
              <w:right w:val="single" w:sz="4" w:space="0" w:color="000000"/>
            </w:tcBorders>
          </w:tcPr>
          <w:p w14:paraId="24D613C3" w14:textId="77777777" w:rsidR="00245300" w:rsidRPr="00EC20A0" w:rsidRDefault="00F17249">
            <w:pPr>
              <w:pStyle w:val="TableParagraph"/>
              <w:spacing w:before="143"/>
              <w:ind w:left="97"/>
              <w:rPr>
                <w:sz w:val="14"/>
              </w:rPr>
            </w:pPr>
            <w:r w:rsidRPr="00EC20A0">
              <w:rPr>
                <w:sz w:val="18"/>
              </w:rPr>
              <w:t>809.03.</w:t>
            </w:r>
            <w:r w:rsidRPr="00EC20A0">
              <w:rPr>
                <w:spacing w:val="61"/>
                <w:sz w:val="18"/>
              </w:rPr>
              <w:t xml:space="preserve"> </w:t>
            </w:r>
            <w:r w:rsidRPr="00EC20A0">
              <w:rPr>
                <w:sz w:val="18"/>
              </w:rPr>
              <w:t>E</w:t>
            </w:r>
            <w:r w:rsidRPr="00EC20A0">
              <w:rPr>
                <w:sz w:val="14"/>
              </w:rPr>
              <w:t>MPLOYEE</w:t>
            </w:r>
            <w:r w:rsidRPr="00EC20A0">
              <w:rPr>
                <w:spacing w:val="-2"/>
                <w:sz w:val="14"/>
              </w:rPr>
              <w:t xml:space="preserve"> </w:t>
            </w:r>
            <w:r w:rsidRPr="00EC20A0">
              <w:rPr>
                <w:spacing w:val="-5"/>
                <w:sz w:val="18"/>
              </w:rPr>
              <w:t>P</w:t>
            </w:r>
            <w:r w:rsidRPr="00EC20A0">
              <w:rPr>
                <w:spacing w:val="-5"/>
                <w:sz w:val="14"/>
              </w:rPr>
              <w:t>AY</w:t>
            </w:r>
          </w:p>
          <w:p w14:paraId="24D613C4" w14:textId="77777777" w:rsidR="00245300" w:rsidRPr="00EC20A0" w:rsidRDefault="00F17249">
            <w:pPr>
              <w:pStyle w:val="TableParagraph"/>
              <w:spacing w:before="1"/>
              <w:ind w:left="817"/>
              <w:rPr>
                <w:sz w:val="18"/>
              </w:rPr>
            </w:pPr>
            <w:r w:rsidRPr="00EC20A0">
              <w:rPr>
                <w:smallCaps/>
                <w:sz w:val="18"/>
              </w:rPr>
              <w:t>Withholdings</w:t>
            </w:r>
            <w:r w:rsidRPr="00EC20A0">
              <w:rPr>
                <w:smallCaps/>
                <w:spacing w:val="-9"/>
                <w:sz w:val="18"/>
              </w:rPr>
              <w:t xml:space="preserve"> </w:t>
            </w:r>
            <w:r w:rsidRPr="00EC20A0">
              <w:rPr>
                <w:smallCaps/>
                <w:spacing w:val="-5"/>
                <w:sz w:val="18"/>
              </w:rPr>
              <w:t>for</w:t>
            </w:r>
          </w:p>
          <w:p w14:paraId="24D613C5" w14:textId="77777777" w:rsidR="00245300" w:rsidRPr="00EC20A0" w:rsidRDefault="00F17249">
            <w:pPr>
              <w:pStyle w:val="TableParagraph"/>
              <w:spacing w:before="1"/>
              <w:ind w:left="817"/>
              <w:rPr>
                <w:sz w:val="18"/>
              </w:rPr>
            </w:pPr>
            <w:r w:rsidRPr="00EC20A0">
              <w:rPr>
                <w:smallCaps/>
                <w:sz w:val="18"/>
              </w:rPr>
              <w:t>Health</w:t>
            </w:r>
            <w:r w:rsidRPr="00EC20A0">
              <w:rPr>
                <w:smallCaps/>
                <w:spacing w:val="-4"/>
                <w:sz w:val="18"/>
              </w:rPr>
              <w:t xml:space="preserve"> </w:t>
            </w:r>
            <w:r w:rsidRPr="00EC20A0">
              <w:rPr>
                <w:smallCaps/>
                <w:spacing w:val="-2"/>
                <w:sz w:val="18"/>
              </w:rPr>
              <w:t>Insurance.</w:t>
            </w:r>
          </w:p>
          <w:p w14:paraId="24D613C6" w14:textId="77777777" w:rsidR="00245300" w:rsidRPr="00EC20A0" w:rsidRDefault="00F17249">
            <w:pPr>
              <w:pStyle w:val="TableParagraph"/>
              <w:spacing w:before="143"/>
              <w:ind w:left="97"/>
              <w:rPr>
                <w:sz w:val="18"/>
              </w:rPr>
            </w:pPr>
            <w:r w:rsidRPr="00EC20A0">
              <w:rPr>
                <w:sz w:val="18"/>
              </w:rPr>
              <w:t>Provision</w:t>
            </w:r>
            <w:r w:rsidRPr="00EC20A0">
              <w:rPr>
                <w:spacing w:val="-15"/>
                <w:sz w:val="18"/>
              </w:rPr>
              <w:t xml:space="preserve"> </w:t>
            </w:r>
            <w:r w:rsidRPr="00EC20A0">
              <w:rPr>
                <w:sz w:val="18"/>
              </w:rPr>
              <w:t>Type:</w:t>
            </w:r>
            <w:r w:rsidRPr="00EC20A0">
              <w:rPr>
                <w:spacing w:val="-12"/>
                <w:sz w:val="18"/>
              </w:rPr>
              <w:t xml:space="preserve"> </w:t>
            </w:r>
            <w:r w:rsidRPr="00EC20A0">
              <w:rPr>
                <w:sz w:val="18"/>
              </w:rPr>
              <w:t xml:space="preserve">Transaction- </w:t>
            </w:r>
            <w:r w:rsidRPr="00EC20A0">
              <w:rPr>
                <w:spacing w:val="-2"/>
                <w:sz w:val="18"/>
              </w:rPr>
              <w:t>based.</w:t>
            </w:r>
          </w:p>
          <w:p w14:paraId="24D613C7" w14:textId="77777777" w:rsidR="00245300" w:rsidRPr="00EC20A0" w:rsidRDefault="00F17249">
            <w:pPr>
              <w:pStyle w:val="TableParagraph"/>
              <w:spacing w:before="144"/>
              <w:ind w:left="97" w:right="230"/>
              <w:rPr>
                <w:sz w:val="18"/>
              </w:rPr>
            </w:pPr>
            <w:r w:rsidRPr="00EC20A0">
              <w:rPr>
                <w:sz w:val="18"/>
              </w:rPr>
              <w:t>An</w:t>
            </w:r>
            <w:r w:rsidRPr="00EC20A0">
              <w:rPr>
                <w:spacing w:val="-11"/>
                <w:sz w:val="18"/>
              </w:rPr>
              <w:t xml:space="preserve"> </w:t>
            </w:r>
            <w:r w:rsidRPr="00EC20A0">
              <w:rPr>
                <w:sz w:val="18"/>
              </w:rPr>
              <w:t>amount</w:t>
            </w:r>
            <w:r w:rsidRPr="00EC20A0">
              <w:rPr>
                <w:spacing w:val="-10"/>
                <w:sz w:val="18"/>
              </w:rPr>
              <w:t xml:space="preserve"> </w:t>
            </w:r>
            <w:r w:rsidRPr="00EC20A0">
              <w:rPr>
                <w:sz w:val="18"/>
              </w:rPr>
              <w:t>shall</w:t>
            </w:r>
            <w:r w:rsidRPr="00EC20A0">
              <w:rPr>
                <w:spacing w:val="-10"/>
                <w:sz w:val="18"/>
              </w:rPr>
              <w:t xml:space="preserve"> </w:t>
            </w:r>
            <w:r w:rsidRPr="00EC20A0">
              <w:rPr>
                <w:sz w:val="18"/>
              </w:rPr>
              <w:t>be</w:t>
            </w:r>
            <w:r w:rsidRPr="00EC20A0">
              <w:rPr>
                <w:spacing w:val="-11"/>
                <w:sz w:val="18"/>
              </w:rPr>
              <w:t xml:space="preserve"> </w:t>
            </w:r>
            <w:r w:rsidRPr="00EC20A0">
              <w:rPr>
                <w:sz w:val="18"/>
              </w:rPr>
              <w:t xml:space="preserve">withheld from the employee’s </w:t>
            </w:r>
            <w:proofErr w:type="gramStart"/>
            <w:r w:rsidRPr="00EC20A0">
              <w:rPr>
                <w:sz w:val="18"/>
              </w:rPr>
              <w:t>pay</w:t>
            </w:r>
            <w:proofErr w:type="gramEnd"/>
            <w:r w:rsidRPr="00EC20A0">
              <w:rPr>
                <w:sz w:val="18"/>
              </w:rPr>
              <w:t xml:space="preserve"> to cover the total cost of enrollment in the health insurance plan selected by the employee after the amount of the entity contribution is subtracted. 5</w:t>
            </w:r>
          </w:p>
          <w:p w14:paraId="24D613C8" w14:textId="77777777" w:rsidR="00245300" w:rsidRPr="00EC20A0" w:rsidRDefault="00F17249">
            <w:pPr>
              <w:pStyle w:val="TableParagraph"/>
              <w:spacing w:before="2"/>
              <w:ind w:left="97"/>
              <w:rPr>
                <w:sz w:val="18"/>
              </w:rPr>
            </w:pPr>
            <w:r w:rsidRPr="00EC20A0">
              <w:rPr>
                <w:sz w:val="18"/>
              </w:rPr>
              <w:t>U.S.C.</w:t>
            </w:r>
            <w:r w:rsidRPr="00EC20A0">
              <w:rPr>
                <w:spacing w:val="-2"/>
                <w:sz w:val="18"/>
              </w:rPr>
              <w:t xml:space="preserve"> </w:t>
            </w:r>
            <w:r w:rsidRPr="00EC20A0">
              <w:rPr>
                <w:sz w:val="18"/>
              </w:rPr>
              <w:t>§</w:t>
            </w:r>
            <w:r w:rsidRPr="00EC20A0">
              <w:rPr>
                <w:spacing w:val="-1"/>
                <w:sz w:val="18"/>
              </w:rPr>
              <w:t xml:space="preserve"> </w:t>
            </w:r>
            <w:r w:rsidRPr="00EC20A0">
              <w:rPr>
                <w:spacing w:val="-2"/>
                <w:sz w:val="18"/>
              </w:rPr>
              <w:t>8906(d).</w:t>
            </w:r>
          </w:p>
        </w:tc>
        <w:tc>
          <w:tcPr>
            <w:tcW w:w="2086" w:type="dxa"/>
            <w:tcBorders>
              <w:left w:val="single" w:sz="4" w:space="0" w:color="000000"/>
              <w:bottom w:val="single" w:sz="4" w:space="0" w:color="000000"/>
              <w:right w:val="single" w:sz="4" w:space="0" w:color="000000"/>
            </w:tcBorders>
          </w:tcPr>
          <w:p w14:paraId="24D613C9" w14:textId="77777777" w:rsidR="00245300" w:rsidRPr="00EC20A0" w:rsidRDefault="00F17249">
            <w:pPr>
              <w:pStyle w:val="TableParagraph"/>
              <w:spacing w:before="144"/>
              <w:ind w:left="108" w:right="134"/>
              <w:rPr>
                <w:sz w:val="18"/>
              </w:rPr>
            </w:pPr>
            <w:r w:rsidRPr="00EC20A0">
              <w:rPr>
                <w:sz w:val="18"/>
              </w:rPr>
              <w:t>Withholdings</w:t>
            </w:r>
            <w:r w:rsidRPr="00EC20A0">
              <w:rPr>
                <w:spacing w:val="-15"/>
                <w:sz w:val="18"/>
              </w:rPr>
              <w:t xml:space="preserve"> </w:t>
            </w:r>
            <w:r w:rsidRPr="00EC20A0">
              <w:rPr>
                <w:sz w:val="18"/>
              </w:rPr>
              <w:t>are</w:t>
            </w:r>
            <w:r w:rsidRPr="00EC20A0">
              <w:rPr>
                <w:spacing w:val="-12"/>
                <w:sz w:val="18"/>
              </w:rPr>
              <w:t xml:space="preserve"> </w:t>
            </w:r>
            <w:r w:rsidRPr="00EC20A0">
              <w:rPr>
                <w:sz w:val="18"/>
              </w:rPr>
              <w:t>made for the employee’s share of the cost of health insurance and are calculated</w:t>
            </w:r>
            <w:r w:rsidRPr="00EC20A0">
              <w:rPr>
                <w:spacing w:val="40"/>
                <w:sz w:val="18"/>
              </w:rPr>
              <w:t xml:space="preserve"> </w:t>
            </w:r>
            <w:r w:rsidRPr="00EC20A0">
              <w:rPr>
                <w:spacing w:val="-2"/>
                <w:sz w:val="18"/>
              </w:rPr>
              <w:t>properly.</w:t>
            </w:r>
          </w:p>
        </w:tc>
        <w:tc>
          <w:tcPr>
            <w:tcW w:w="1803" w:type="dxa"/>
            <w:tcBorders>
              <w:left w:val="single" w:sz="4" w:space="0" w:color="000000"/>
              <w:bottom w:val="single" w:sz="4" w:space="0" w:color="000000"/>
              <w:right w:val="single" w:sz="4" w:space="0" w:color="000000"/>
            </w:tcBorders>
          </w:tcPr>
          <w:p w14:paraId="24D613CA" w14:textId="77777777" w:rsidR="00245300" w:rsidRPr="00EC20A0" w:rsidRDefault="00245300">
            <w:pPr>
              <w:pStyle w:val="TableParagraph"/>
              <w:rPr>
                <w:sz w:val="18"/>
              </w:rPr>
            </w:pPr>
          </w:p>
        </w:tc>
        <w:tc>
          <w:tcPr>
            <w:tcW w:w="1901" w:type="dxa"/>
            <w:tcBorders>
              <w:left w:val="single" w:sz="4" w:space="0" w:color="000000"/>
              <w:bottom w:val="single" w:sz="4" w:space="0" w:color="000000"/>
              <w:right w:val="single" w:sz="4" w:space="0" w:color="000000"/>
            </w:tcBorders>
          </w:tcPr>
          <w:p w14:paraId="24D613CB" w14:textId="77777777" w:rsidR="00245300" w:rsidRPr="00EC20A0" w:rsidRDefault="00245300">
            <w:pPr>
              <w:pStyle w:val="TableParagraph"/>
              <w:rPr>
                <w:sz w:val="18"/>
              </w:rPr>
            </w:pPr>
          </w:p>
        </w:tc>
        <w:tc>
          <w:tcPr>
            <w:tcW w:w="2303" w:type="dxa"/>
            <w:tcBorders>
              <w:left w:val="single" w:sz="4" w:space="0" w:color="000000"/>
              <w:bottom w:val="single" w:sz="4" w:space="0" w:color="000000"/>
              <w:right w:val="single" w:sz="4" w:space="0" w:color="000000"/>
            </w:tcBorders>
          </w:tcPr>
          <w:p w14:paraId="24D613CC" w14:textId="77777777" w:rsidR="00245300" w:rsidRPr="00EC20A0" w:rsidRDefault="00245300">
            <w:pPr>
              <w:pStyle w:val="TableParagraph"/>
              <w:rPr>
                <w:sz w:val="18"/>
              </w:rPr>
            </w:pPr>
          </w:p>
        </w:tc>
        <w:tc>
          <w:tcPr>
            <w:tcW w:w="2694" w:type="dxa"/>
            <w:gridSpan w:val="2"/>
            <w:tcBorders>
              <w:left w:val="single" w:sz="4" w:space="0" w:color="000000"/>
              <w:bottom w:val="single" w:sz="4" w:space="0" w:color="000000"/>
            </w:tcBorders>
          </w:tcPr>
          <w:p w14:paraId="24D613CD" w14:textId="77777777" w:rsidR="00245300" w:rsidRPr="00EC20A0" w:rsidRDefault="00F17249">
            <w:pPr>
              <w:pStyle w:val="TableParagraph"/>
              <w:spacing w:before="144"/>
              <w:ind w:left="111" w:right="87"/>
              <w:rPr>
                <w:sz w:val="18"/>
              </w:rPr>
            </w:pPr>
            <w:r w:rsidRPr="00EC20A0">
              <w:rPr>
                <w:sz w:val="18"/>
              </w:rPr>
              <w:t>See Compliance Audit Procedures,</w:t>
            </w:r>
            <w:r w:rsidRPr="00EC20A0">
              <w:rPr>
                <w:spacing w:val="-10"/>
                <w:sz w:val="18"/>
              </w:rPr>
              <w:t xml:space="preserve"> </w:t>
            </w:r>
            <w:r w:rsidRPr="00EC20A0">
              <w:rPr>
                <w:sz w:val="18"/>
              </w:rPr>
              <w:t>FAM</w:t>
            </w:r>
            <w:r w:rsidRPr="00EC20A0">
              <w:rPr>
                <w:spacing w:val="-10"/>
                <w:sz w:val="18"/>
              </w:rPr>
              <w:t xml:space="preserve"> </w:t>
            </w:r>
            <w:r w:rsidRPr="00EC20A0">
              <w:rPr>
                <w:sz w:val="18"/>
              </w:rPr>
              <w:t>809</w:t>
            </w:r>
            <w:r w:rsidRPr="00EC20A0">
              <w:rPr>
                <w:spacing w:val="-10"/>
                <w:sz w:val="18"/>
              </w:rPr>
              <w:t xml:space="preserve"> </w:t>
            </w:r>
            <w:r w:rsidRPr="00EC20A0">
              <w:rPr>
                <w:sz w:val="18"/>
              </w:rPr>
              <w:t>step</w:t>
            </w:r>
            <w:r w:rsidRPr="00EC20A0">
              <w:rPr>
                <w:spacing w:val="-10"/>
                <w:sz w:val="18"/>
              </w:rPr>
              <w:t xml:space="preserve"> </w:t>
            </w:r>
            <w:r w:rsidRPr="00EC20A0">
              <w:rPr>
                <w:sz w:val="18"/>
              </w:rPr>
              <w:t xml:space="preserve">4 </w:t>
            </w:r>
            <w:r w:rsidRPr="00EC20A0">
              <w:rPr>
                <w:spacing w:val="-4"/>
                <w:sz w:val="18"/>
              </w:rPr>
              <w:t>(a).</w:t>
            </w:r>
          </w:p>
        </w:tc>
      </w:tr>
      <w:tr w:rsidR="00245300" w:rsidRPr="00EC20A0" w14:paraId="24D613D9" w14:textId="77777777">
        <w:trPr>
          <w:trHeight w:val="3474"/>
        </w:trPr>
        <w:tc>
          <w:tcPr>
            <w:tcW w:w="2600" w:type="dxa"/>
            <w:tcBorders>
              <w:top w:val="single" w:sz="4" w:space="0" w:color="000000"/>
              <w:right w:val="single" w:sz="4" w:space="0" w:color="000000"/>
            </w:tcBorders>
          </w:tcPr>
          <w:p w14:paraId="24D613CF" w14:textId="77777777" w:rsidR="00245300" w:rsidRPr="00EC20A0" w:rsidRDefault="00F17249">
            <w:pPr>
              <w:pStyle w:val="TableParagraph"/>
              <w:spacing w:before="143"/>
              <w:ind w:left="97"/>
              <w:rPr>
                <w:sz w:val="18"/>
              </w:rPr>
            </w:pPr>
            <w:r w:rsidRPr="00EC20A0">
              <w:rPr>
                <w:smallCaps/>
                <w:sz w:val="18"/>
              </w:rPr>
              <w:t>809.04.</w:t>
            </w:r>
            <w:r w:rsidRPr="00EC20A0">
              <w:rPr>
                <w:smallCaps/>
                <w:spacing w:val="-2"/>
                <w:sz w:val="18"/>
              </w:rPr>
              <w:t xml:space="preserve"> </w:t>
            </w:r>
            <w:r w:rsidRPr="00EC20A0">
              <w:rPr>
                <w:smallCaps/>
                <w:spacing w:val="17"/>
                <w:sz w:val="18"/>
              </w:rPr>
              <w:t xml:space="preserve"> </w:t>
            </w:r>
            <w:r w:rsidRPr="00EC20A0">
              <w:rPr>
                <w:smallCaps/>
                <w:sz w:val="18"/>
              </w:rPr>
              <w:t>Deposits</w:t>
            </w:r>
            <w:r w:rsidRPr="00EC20A0">
              <w:rPr>
                <w:smallCaps/>
                <w:spacing w:val="-3"/>
                <w:sz w:val="18"/>
              </w:rPr>
              <w:t xml:space="preserve"> </w:t>
            </w:r>
            <w:r w:rsidRPr="00EC20A0">
              <w:rPr>
                <w:smallCaps/>
                <w:sz w:val="18"/>
              </w:rPr>
              <w:t>Into</w:t>
            </w:r>
            <w:r w:rsidRPr="00EC20A0">
              <w:rPr>
                <w:smallCaps/>
                <w:spacing w:val="-2"/>
                <w:sz w:val="18"/>
              </w:rPr>
              <w:t xml:space="preserve"> </w:t>
            </w:r>
            <w:r w:rsidRPr="00EC20A0">
              <w:rPr>
                <w:smallCaps/>
                <w:spacing w:val="-5"/>
                <w:sz w:val="18"/>
              </w:rPr>
              <w:t>the</w:t>
            </w:r>
          </w:p>
          <w:p w14:paraId="24D613D0" w14:textId="77777777" w:rsidR="00245300" w:rsidRPr="00EC20A0" w:rsidRDefault="00F17249">
            <w:pPr>
              <w:pStyle w:val="TableParagraph"/>
              <w:ind w:left="817" w:right="242"/>
              <w:rPr>
                <w:sz w:val="18"/>
              </w:rPr>
            </w:pPr>
            <w:r w:rsidRPr="00EC20A0">
              <w:rPr>
                <w:smallCaps/>
                <w:sz w:val="18"/>
              </w:rPr>
              <w:t>Employees</w:t>
            </w:r>
            <w:r w:rsidRPr="00EC20A0">
              <w:rPr>
                <w:smallCaps/>
                <w:spacing w:val="-10"/>
                <w:sz w:val="18"/>
              </w:rPr>
              <w:t xml:space="preserve"> </w:t>
            </w:r>
            <w:r w:rsidRPr="00EC20A0">
              <w:rPr>
                <w:smallCaps/>
                <w:sz w:val="18"/>
              </w:rPr>
              <w:t>Health</w:t>
            </w:r>
            <w:r w:rsidRPr="00EC20A0">
              <w:rPr>
                <w:smallCaps/>
                <w:spacing w:val="40"/>
                <w:sz w:val="18"/>
              </w:rPr>
              <w:t xml:space="preserve"> </w:t>
            </w:r>
            <w:r w:rsidRPr="00EC20A0">
              <w:rPr>
                <w:smallCaps/>
                <w:sz w:val="18"/>
              </w:rPr>
              <w:t>Benefits</w:t>
            </w:r>
            <w:r w:rsidRPr="00EC20A0">
              <w:rPr>
                <w:smallCaps/>
                <w:spacing w:val="-4"/>
                <w:sz w:val="18"/>
              </w:rPr>
              <w:t xml:space="preserve"> </w:t>
            </w:r>
            <w:r w:rsidRPr="00EC20A0">
              <w:rPr>
                <w:smallCaps/>
                <w:sz w:val="18"/>
              </w:rPr>
              <w:t>Fund.</w:t>
            </w:r>
          </w:p>
          <w:p w14:paraId="24D613D1" w14:textId="77777777" w:rsidR="00245300" w:rsidRPr="00EC20A0" w:rsidRDefault="00F17249">
            <w:pPr>
              <w:pStyle w:val="TableParagraph"/>
              <w:spacing w:before="144"/>
              <w:ind w:left="97" w:right="130"/>
              <w:rPr>
                <w:sz w:val="18"/>
              </w:rPr>
            </w:pPr>
            <w:r w:rsidRPr="00EC20A0">
              <w:rPr>
                <w:sz w:val="18"/>
              </w:rPr>
              <w:t>Provision</w:t>
            </w:r>
            <w:r w:rsidRPr="00EC20A0">
              <w:rPr>
                <w:spacing w:val="-15"/>
                <w:sz w:val="18"/>
              </w:rPr>
              <w:t xml:space="preserve"> </w:t>
            </w:r>
            <w:r w:rsidRPr="00EC20A0">
              <w:rPr>
                <w:sz w:val="18"/>
              </w:rPr>
              <w:t>Types:</w:t>
            </w:r>
            <w:r w:rsidRPr="00EC20A0">
              <w:rPr>
                <w:spacing w:val="-12"/>
                <w:sz w:val="18"/>
              </w:rPr>
              <w:t xml:space="preserve"> </w:t>
            </w:r>
            <w:r w:rsidRPr="00EC20A0">
              <w:rPr>
                <w:sz w:val="18"/>
              </w:rPr>
              <w:t xml:space="preserve">Procedural- based and quantitative- </w:t>
            </w:r>
            <w:r w:rsidRPr="00EC20A0">
              <w:rPr>
                <w:spacing w:val="-2"/>
                <w:sz w:val="18"/>
              </w:rPr>
              <w:t>based.</w:t>
            </w:r>
          </w:p>
          <w:p w14:paraId="24D613D2" w14:textId="77777777" w:rsidR="00245300" w:rsidRPr="00EC20A0" w:rsidRDefault="00F17249">
            <w:pPr>
              <w:pStyle w:val="TableParagraph"/>
              <w:spacing w:before="144"/>
              <w:ind w:left="97" w:right="130"/>
              <w:rPr>
                <w:sz w:val="18"/>
              </w:rPr>
            </w:pPr>
            <w:r w:rsidRPr="00EC20A0">
              <w:rPr>
                <w:sz w:val="18"/>
              </w:rPr>
              <w:t>Amounts withheld from employees’</w:t>
            </w:r>
            <w:r w:rsidRPr="00EC20A0">
              <w:rPr>
                <w:spacing w:val="-10"/>
                <w:sz w:val="18"/>
              </w:rPr>
              <w:t xml:space="preserve"> </w:t>
            </w:r>
            <w:r w:rsidRPr="00EC20A0">
              <w:rPr>
                <w:sz w:val="18"/>
              </w:rPr>
              <w:t>pay</w:t>
            </w:r>
            <w:r w:rsidRPr="00EC20A0">
              <w:rPr>
                <w:spacing w:val="-10"/>
                <w:sz w:val="18"/>
              </w:rPr>
              <w:t xml:space="preserve"> </w:t>
            </w:r>
            <w:r w:rsidRPr="00EC20A0">
              <w:rPr>
                <w:sz w:val="18"/>
              </w:rPr>
              <w:t>and</w:t>
            </w:r>
            <w:r w:rsidRPr="00EC20A0">
              <w:rPr>
                <w:spacing w:val="-11"/>
                <w:sz w:val="18"/>
              </w:rPr>
              <w:t xml:space="preserve"> </w:t>
            </w:r>
            <w:r w:rsidRPr="00EC20A0">
              <w:rPr>
                <w:sz w:val="18"/>
              </w:rPr>
              <w:t>the</w:t>
            </w:r>
            <w:r w:rsidRPr="00EC20A0">
              <w:rPr>
                <w:spacing w:val="-11"/>
                <w:sz w:val="18"/>
              </w:rPr>
              <w:t xml:space="preserve"> </w:t>
            </w:r>
            <w:r w:rsidRPr="00EC20A0">
              <w:rPr>
                <w:sz w:val="18"/>
              </w:rPr>
              <w:t xml:space="preserve">sum </w:t>
            </w:r>
            <w:r w:rsidRPr="00EC20A0">
              <w:rPr>
                <w:sz w:val="18"/>
              </w:rPr>
              <w:t>contributed by the entity for health insurance costs shall be deposited into the Treasury to the credit of the Employees Health Benefits Fund. 5 U.S.C. § 8909(a).</w:t>
            </w:r>
          </w:p>
        </w:tc>
        <w:tc>
          <w:tcPr>
            <w:tcW w:w="2086" w:type="dxa"/>
            <w:tcBorders>
              <w:top w:val="single" w:sz="4" w:space="0" w:color="000000"/>
              <w:left w:val="single" w:sz="4" w:space="0" w:color="000000"/>
              <w:right w:val="single" w:sz="4" w:space="0" w:color="000000"/>
            </w:tcBorders>
          </w:tcPr>
          <w:p w14:paraId="24D613D3" w14:textId="77777777" w:rsidR="00245300" w:rsidRPr="00EC20A0" w:rsidRDefault="00F17249">
            <w:pPr>
              <w:pStyle w:val="TableParagraph"/>
              <w:spacing w:before="143"/>
              <w:ind w:left="108" w:right="137"/>
              <w:rPr>
                <w:sz w:val="18"/>
              </w:rPr>
            </w:pPr>
            <w:r w:rsidRPr="00EC20A0">
              <w:rPr>
                <w:sz w:val="18"/>
              </w:rPr>
              <w:t>Withholdings from employees’ pay and entity</w:t>
            </w:r>
            <w:r w:rsidRPr="00EC20A0">
              <w:rPr>
                <w:spacing w:val="-5"/>
                <w:sz w:val="18"/>
              </w:rPr>
              <w:t xml:space="preserve"> </w:t>
            </w:r>
            <w:r w:rsidRPr="00EC20A0">
              <w:rPr>
                <w:sz w:val="18"/>
              </w:rPr>
              <w:t>contributions</w:t>
            </w:r>
            <w:r w:rsidRPr="00EC20A0">
              <w:rPr>
                <w:spacing w:val="-5"/>
                <w:sz w:val="18"/>
              </w:rPr>
              <w:t xml:space="preserve"> </w:t>
            </w:r>
            <w:r w:rsidRPr="00EC20A0">
              <w:rPr>
                <w:sz w:val="18"/>
              </w:rPr>
              <w:t>for health</w:t>
            </w:r>
            <w:r w:rsidRPr="00EC20A0">
              <w:rPr>
                <w:spacing w:val="-15"/>
                <w:sz w:val="18"/>
              </w:rPr>
              <w:t xml:space="preserve"> </w:t>
            </w:r>
            <w:r w:rsidRPr="00EC20A0">
              <w:rPr>
                <w:sz w:val="18"/>
              </w:rPr>
              <w:t>insurance</w:t>
            </w:r>
            <w:r w:rsidRPr="00EC20A0">
              <w:rPr>
                <w:spacing w:val="-12"/>
                <w:sz w:val="18"/>
              </w:rPr>
              <w:t xml:space="preserve"> </w:t>
            </w:r>
            <w:r w:rsidRPr="00EC20A0">
              <w:rPr>
                <w:sz w:val="18"/>
              </w:rPr>
              <w:t xml:space="preserve">costs are </w:t>
            </w:r>
            <w:r w:rsidRPr="00EC20A0">
              <w:rPr>
                <w:sz w:val="18"/>
              </w:rPr>
              <w:t>properly summarized and deposited into the Treasury to the credit of the Employees Health Benefits Fund.</w:t>
            </w:r>
          </w:p>
        </w:tc>
        <w:tc>
          <w:tcPr>
            <w:tcW w:w="1803" w:type="dxa"/>
            <w:tcBorders>
              <w:top w:val="single" w:sz="4" w:space="0" w:color="000000"/>
              <w:left w:val="single" w:sz="4" w:space="0" w:color="000000"/>
              <w:right w:val="single" w:sz="4" w:space="0" w:color="000000"/>
            </w:tcBorders>
          </w:tcPr>
          <w:p w14:paraId="24D613D4" w14:textId="77777777" w:rsidR="00245300" w:rsidRPr="00EC20A0" w:rsidRDefault="00245300">
            <w:pPr>
              <w:pStyle w:val="TableParagraph"/>
              <w:rPr>
                <w:sz w:val="18"/>
              </w:rPr>
            </w:pPr>
          </w:p>
        </w:tc>
        <w:tc>
          <w:tcPr>
            <w:tcW w:w="1901" w:type="dxa"/>
            <w:tcBorders>
              <w:top w:val="single" w:sz="4" w:space="0" w:color="000000"/>
              <w:left w:val="single" w:sz="4" w:space="0" w:color="000000"/>
              <w:right w:val="single" w:sz="4" w:space="0" w:color="000000"/>
            </w:tcBorders>
          </w:tcPr>
          <w:p w14:paraId="24D613D5" w14:textId="77777777" w:rsidR="00245300" w:rsidRPr="00EC20A0" w:rsidRDefault="00245300">
            <w:pPr>
              <w:pStyle w:val="TableParagraph"/>
              <w:rPr>
                <w:sz w:val="18"/>
              </w:rPr>
            </w:pPr>
          </w:p>
        </w:tc>
        <w:tc>
          <w:tcPr>
            <w:tcW w:w="2303" w:type="dxa"/>
            <w:tcBorders>
              <w:top w:val="single" w:sz="4" w:space="0" w:color="000000"/>
              <w:left w:val="single" w:sz="4" w:space="0" w:color="000000"/>
              <w:right w:val="single" w:sz="4" w:space="0" w:color="000000"/>
            </w:tcBorders>
          </w:tcPr>
          <w:p w14:paraId="24D613D6" w14:textId="77777777" w:rsidR="00245300" w:rsidRPr="00EC20A0" w:rsidRDefault="00245300">
            <w:pPr>
              <w:pStyle w:val="TableParagraph"/>
              <w:rPr>
                <w:sz w:val="18"/>
              </w:rPr>
            </w:pPr>
          </w:p>
        </w:tc>
        <w:tc>
          <w:tcPr>
            <w:tcW w:w="2694" w:type="dxa"/>
            <w:gridSpan w:val="2"/>
            <w:tcBorders>
              <w:top w:val="single" w:sz="4" w:space="0" w:color="000000"/>
              <w:left w:val="single" w:sz="4" w:space="0" w:color="000000"/>
            </w:tcBorders>
          </w:tcPr>
          <w:p w14:paraId="24D613D7" w14:textId="77777777" w:rsidR="00245300" w:rsidRPr="00EC20A0" w:rsidRDefault="00F17249">
            <w:pPr>
              <w:pStyle w:val="TableParagraph"/>
              <w:spacing w:before="143"/>
              <w:ind w:left="111" w:right="87"/>
              <w:rPr>
                <w:sz w:val="18"/>
              </w:rPr>
            </w:pPr>
            <w:r w:rsidRPr="00EC20A0">
              <w:rPr>
                <w:sz w:val="18"/>
              </w:rPr>
              <w:t>See Compliance Audit Procedures,</w:t>
            </w:r>
            <w:r w:rsidRPr="00EC20A0">
              <w:rPr>
                <w:spacing w:val="-10"/>
                <w:sz w:val="18"/>
              </w:rPr>
              <w:t xml:space="preserve"> </w:t>
            </w:r>
            <w:r w:rsidRPr="00EC20A0">
              <w:rPr>
                <w:sz w:val="18"/>
              </w:rPr>
              <w:t>FAM</w:t>
            </w:r>
            <w:r w:rsidRPr="00EC20A0">
              <w:rPr>
                <w:spacing w:val="-10"/>
                <w:sz w:val="18"/>
              </w:rPr>
              <w:t xml:space="preserve"> </w:t>
            </w:r>
            <w:r w:rsidRPr="00EC20A0">
              <w:rPr>
                <w:sz w:val="18"/>
              </w:rPr>
              <w:t>809</w:t>
            </w:r>
            <w:r w:rsidRPr="00EC20A0">
              <w:rPr>
                <w:spacing w:val="-11"/>
                <w:sz w:val="18"/>
              </w:rPr>
              <w:t xml:space="preserve"> </w:t>
            </w:r>
            <w:r w:rsidRPr="00EC20A0">
              <w:rPr>
                <w:sz w:val="18"/>
              </w:rPr>
              <w:t>steps</w:t>
            </w:r>
            <w:r w:rsidRPr="00EC20A0">
              <w:rPr>
                <w:spacing w:val="-9"/>
                <w:sz w:val="18"/>
              </w:rPr>
              <w:t xml:space="preserve"> </w:t>
            </w:r>
            <w:r w:rsidRPr="00EC20A0">
              <w:rPr>
                <w:sz w:val="18"/>
              </w:rPr>
              <w:t>5</w:t>
            </w:r>
          </w:p>
          <w:p w14:paraId="24D613D8" w14:textId="77777777" w:rsidR="00245300" w:rsidRPr="00EC20A0" w:rsidRDefault="00F17249">
            <w:pPr>
              <w:pStyle w:val="TableParagraph"/>
              <w:spacing w:before="1"/>
              <w:ind w:left="111"/>
              <w:rPr>
                <w:sz w:val="18"/>
              </w:rPr>
            </w:pPr>
            <w:r w:rsidRPr="00EC20A0">
              <w:rPr>
                <w:sz w:val="18"/>
              </w:rPr>
              <w:t>and</w:t>
            </w:r>
            <w:r w:rsidRPr="00EC20A0">
              <w:rPr>
                <w:spacing w:val="-2"/>
                <w:sz w:val="18"/>
              </w:rPr>
              <w:t xml:space="preserve"> </w:t>
            </w:r>
            <w:r w:rsidRPr="00EC20A0">
              <w:rPr>
                <w:spacing w:val="-5"/>
                <w:sz w:val="18"/>
              </w:rPr>
              <w:t>6.</w:t>
            </w:r>
          </w:p>
        </w:tc>
      </w:tr>
    </w:tbl>
    <w:p w14:paraId="24D613DA" w14:textId="77777777" w:rsidR="00245300" w:rsidRPr="00EC20A0" w:rsidRDefault="00245300">
      <w:pPr>
        <w:rPr>
          <w:sz w:val="18"/>
        </w:rPr>
        <w:sectPr w:rsidR="00245300" w:rsidRPr="00EC20A0">
          <w:pgSz w:w="15840" w:h="12240" w:orient="landscape"/>
          <w:pgMar w:top="1380" w:right="1220" w:bottom="940" w:left="960" w:header="721" w:footer="742" w:gutter="0"/>
          <w:cols w:space="720"/>
        </w:sectPr>
      </w:pPr>
    </w:p>
    <w:p w14:paraId="24D613DB" w14:textId="77777777" w:rsidR="00245300" w:rsidRPr="00EC20A0" w:rsidRDefault="00F17249">
      <w:pPr>
        <w:pStyle w:val="BodyText"/>
        <w:spacing w:before="82"/>
        <w:ind w:left="139" w:right="164"/>
      </w:pPr>
      <w:r w:rsidRPr="00EC20A0">
        <w:t xml:space="preserve">Note: The auditor generally should perform these procedures or </w:t>
      </w:r>
      <w:r w:rsidRPr="00EC20A0">
        <w:t>prepare equivalent documentation only if provisions of the Federal Employees Health Benefits Act (FEHBA), as provided</w:t>
      </w:r>
      <w:r w:rsidRPr="00EC20A0">
        <w:rPr>
          <w:spacing w:val="-3"/>
        </w:rPr>
        <w:t xml:space="preserve"> </w:t>
      </w:r>
      <w:r w:rsidRPr="00EC20A0">
        <w:t>in</w:t>
      </w:r>
      <w:r w:rsidRPr="00EC20A0">
        <w:rPr>
          <w:spacing w:val="-4"/>
        </w:rPr>
        <w:t xml:space="preserve"> </w:t>
      </w:r>
      <w:r w:rsidRPr="00EC20A0">
        <w:t>5</w:t>
      </w:r>
      <w:r w:rsidRPr="00EC20A0">
        <w:rPr>
          <w:spacing w:val="-3"/>
        </w:rPr>
        <w:t xml:space="preserve"> </w:t>
      </w:r>
      <w:r w:rsidRPr="00EC20A0">
        <w:t>U.S.C.</w:t>
      </w:r>
      <w:r w:rsidRPr="00EC20A0">
        <w:rPr>
          <w:spacing w:val="-3"/>
        </w:rPr>
        <w:t xml:space="preserve"> </w:t>
      </w:r>
      <w:r w:rsidRPr="00EC20A0">
        <w:t>chapter</w:t>
      </w:r>
      <w:r w:rsidRPr="00EC20A0">
        <w:rPr>
          <w:spacing w:val="-3"/>
        </w:rPr>
        <w:t xml:space="preserve"> </w:t>
      </w:r>
      <w:r w:rsidRPr="00EC20A0">
        <w:t>89,</w:t>
      </w:r>
      <w:r w:rsidRPr="00EC20A0">
        <w:rPr>
          <w:spacing w:val="-3"/>
        </w:rPr>
        <w:t xml:space="preserve"> </w:t>
      </w:r>
      <w:r w:rsidRPr="00EC20A0">
        <w:t>are</w:t>
      </w:r>
      <w:r w:rsidRPr="00EC20A0">
        <w:rPr>
          <w:spacing w:val="-3"/>
        </w:rPr>
        <w:t xml:space="preserve"> </w:t>
      </w:r>
      <w:r w:rsidRPr="00EC20A0">
        <w:t>significant,</w:t>
      </w:r>
      <w:r w:rsidRPr="00EC20A0">
        <w:rPr>
          <w:spacing w:val="-4"/>
        </w:rPr>
        <w:t xml:space="preserve"> </w:t>
      </w:r>
      <w:r w:rsidRPr="00EC20A0">
        <w:t>as</w:t>
      </w:r>
      <w:r w:rsidRPr="00EC20A0">
        <w:rPr>
          <w:spacing w:val="-3"/>
        </w:rPr>
        <w:t xml:space="preserve"> </w:t>
      </w:r>
      <w:r w:rsidRPr="00EC20A0">
        <w:t>indicated</w:t>
      </w:r>
      <w:r w:rsidRPr="00EC20A0">
        <w:rPr>
          <w:spacing w:val="-3"/>
        </w:rPr>
        <w:t xml:space="preserve"> </w:t>
      </w:r>
      <w:r w:rsidRPr="00EC20A0">
        <w:t>on</w:t>
      </w:r>
      <w:r w:rsidRPr="00EC20A0">
        <w:rPr>
          <w:spacing w:val="-3"/>
        </w:rPr>
        <w:t xml:space="preserve"> </w:t>
      </w:r>
      <w:r w:rsidRPr="00EC20A0">
        <w:t>Form</w:t>
      </w:r>
      <w:r w:rsidRPr="00EC20A0">
        <w:rPr>
          <w:spacing w:val="-4"/>
        </w:rPr>
        <w:t xml:space="preserve"> </w:t>
      </w:r>
      <w:r w:rsidRPr="00EC20A0">
        <w:t>802,</w:t>
      </w:r>
      <w:r w:rsidRPr="00EC20A0">
        <w:rPr>
          <w:spacing w:val="-3"/>
        </w:rPr>
        <w:t xml:space="preserve"> </w:t>
      </w:r>
      <w:r w:rsidRPr="00EC20A0">
        <w:t>General</w:t>
      </w:r>
      <w:r w:rsidRPr="00EC20A0">
        <w:rPr>
          <w:spacing w:val="-3"/>
        </w:rPr>
        <w:t xml:space="preserve"> </w:t>
      </w:r>
      <w:r w:rsidRPr="00EC20A0">
        <w:t xml:space="preserve">Compliance Checklist, at page 802-10. These </w:t>
      </w:r>
      <w:r w:rsidRPr="00EC20A0">
        <w:t>procedures test compliance with the provisions listed on the Compliance Summary.</w:t>
      </w:r>
    </w:p>
    <w:p w14:paraId="24D613DC" w14:textId="77777777" w:rsidR="00245300" w:rsidRPr="00EC20A0" w:rsidRDefault="00245300">
      <w:pPr>
        <w:pStyle w:val="BodyText"/>
        <w:spacing w:before="9"/>
        <w:rPr>
          <w:sz w:val="13"/>
        </w:rPr>
      </w:pPr>
    </w:p>
    <w:tbl>
      <w:tblPr>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08"/>
        <w:gridCol w:w="1512"/>
        <w:gridCol w:w="1440"/>
      </w:tblGrid>
      <w:tr w:rsidR="00245300" w:rsidRPr="00EC20A0" w14:paraId="24D613DF" w14:textId="77777777">
        <w:trPr>
          <w:trHeight w:val="1335"/>
        </w:trPr>
        <w:tc>
          <w:tcPr>
            <w:tcW w:w="9360" w:type="dxa"/>
            <w:gridSpan w:val="3"/>
          </w:tcPr>
          <w:p w14:paraId="24D613DD" w14:textId="77777777" w:rsidR="00245300" w:rsidRPr="00EC20A0" w:rsidRDefault="00F17249">
            <w:pPr>
              <w:pStyle w:val="TableParagraph"/>
              <w:tabs>
                <w:tab w:val="left" w:pos="1605"/>
                <w:tab w:val="left" w:pos="1849"/>
                <w:tab w:val="left" w:pos="8944"/>
              </w:tabs>
              <w:spacing w:before="145" w:line="376" w:lineRule="auto"/>
              <w:ind w:left="130" w:right="368" w:hanging="1"/>
            </w:pPr>
            <w:r w:rsidRPr="00EC20A0">
              <w:t>Name of entity:</w:t>
            </w:r>
            <w:r w:rsidRPr="00EC20A0">
              <w:tab/>
            </w:r>
            <w:r w:rsidRPr="00EC20A0">
              <w:rPr>
                <w:u w:val="single"/>
              </w:rPr>
              <w:tab/>
            </w:r>
            <w:r w:rsidRPr="00EC20A0">
              <w:t xml:space="preserve"> Audit</w:t>
            </w:r>
            <w:r w:rsidRPr="00EC20A0">
              <w:rPr>
                <w:spacing w:val="-7"/>
              </w:rPr>
              <w:t xml:space="preserve"> </w:t>
            </w:r>
            <w:r w:rsidRPr="00EC20A0">
              <w:rPr>
                <w:spacing w:val="-2"/>
              </w:rPr>
              <w:t>period:</w:t>
            </w:r>
            <w:r w:rsidRPr="00EC20A0">
              <w:tab/>
            </w:r>
            <w:r w:rsidRPr="00EC20A0">
              <w:rPr>
                <w:u w:val="single"/>
              </w:rPr>
              <w:tab/>
            </w:r>
            <w:r w:rsidRPr="00EC20A0">
              <w:rPr>
                <w:u w:val="single"/>
              </w:rPr>
              <w:tab/>
            </w:r>
          </w:p>
          <w:p w14:paraId="24D613DE" w14:textId="77777777" w:rsidR="00245300" w:rsidRPr="00EC20A0" w:rsidRDefault="00F17249">
            <w:pPr>
              <w:pStyle w:val="TableParagraph"/>
              <w:tabs>
                <w:tab w:val="left" w:pos="8944"/>
              </w:tabs>
              <w:spacing w:line="252" w:lineRule="exact"/>
              <w:ind w:left="130"/>
            </w:pPr>
            <w:r w:rsidRPr="00EC20A0">
              <w:t>Reviewed by:</w:t>
            </w:r>
            <w:r w:rsidRPr="00EC20A0">
              <w:rPr>
                <w:spacing w:val="92"/>
              </w:rPr>
              <w:t xml:space="preserve"> </w:t>
            </w:r>
            <w:r w:rsidRPr="00EC20A0">
              <w:rPr>
                <w:u w:val="single"/>
              </w:rPr>
              <w:tab/>
            </w:r>
          </w:p>
        </w:tc>
      </w:tr>
      <w:tr w:rsidR="00245300" w:rsidRPr="00EC20A0" w14:paraId="24D613E5" w14:textId="77777777">
        <w:trPr>
          <w:trHeight w:val="793"/>
        </w:trPr>
        <w:tc>
          <w:tcPr>
            <w:tcW w:w="6408" w:type="dxa"/>
            <w:tcBorders>
              <w:right w:val="single" w:sz="8" w:space="0" w:color="000000"/>
            </w:tcBorders>
          </w:tcPr>
          <w:p w14:paraId="24D613E0" w14:textId="77777777" w:rsidR="00245300" w:rsidRPr="00EC20A0" w:rsidRDefault="00245300">
            <w:pPr>
              <w:pStyle w:val="TableParagraph"/>
              <w:spacing w:before="144"/>
            </w:pPr>
          </w:p>
          <w:p w14:paraId="24D613E1"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512" w:type="dxa"/>
            <w:tcBorders>
              <w:left w:val="single" w:sz="8" w:space="0" w:color="000000"/>
              <w:right w:val="single" w:sz="8" w:space="0" w:color="000000"/>
            </w:tcBorders>
          </w:tcPr>
          <w:p w14:paraId="24D613E2" w14:textId="77777777" w:rsidR="00245300" w:rsidRPr="00EC20A0" w:rsidRDefault="00F17249">
            <w:pPr>
              <w:pStyle w:val="TableParagraph"/>
              <w:spacing w:before="144"/>
              <w:ind w:left="142" w:right="193"/>
              <w:rPr>
                <w:b/>
              </w:rPr>
            </w:pPr>
            <w:r w:rsidRPr="00EC20A0">
              <w:rPr>
                <w:b/>
                <w:spacing w:val="-2"/>
              </w:rPr>
              <w:t xml:space="preserve">Initials/ </w:t>
            </w:r>
            <w:r w:rsidRPr="00EC20A0">
              <w:rPr>
                <w:b/>
                <w:spacing w:val="-4"/>
              </w:rPr>
              <w:t>date</w:t>
            </w:r>
          </w:p>
        </w:tc>
        <w:tc>
          <w:tcPr>
            <w:tcW w:w="1440" w:type="dxa"/>
            <w:tcBorders>
              <w:left w:val="single" w:sz="8" w:space="0" w:color="000000"/>
            </w:tcBorders>
          </w:tcPr>
          <w:p w14:paraId="24D613E3" w14:textId="77777777" w:rsidR="00245300" w:rsidRPr="00EC20A0" w:rsidRDefault="00245300">
            <w:pPr>
              <w:pStyle w:val="TableParagraph"/>
              <w:spacing w:before="144"/>
            </w:pPr>
          </w:p>
          <w:p w14:paraId="24D613E4" w14:textId="77777777" w:rsidR="00245300" w:rsidRPr="00EC20A0" w:rsidRDefault="00F17249">
            <w:pPr>
              <w:pStyle w:val="TableParagraph"/>
              <w:ind w:left="142"/>
              <w:rPr>
                <w:b/>
              </w:rPr>
            </w:pPr>
            <w:r w:rsidRPr="00EC20A0">
              <w:rPr>
                <w:b/>
              </w:rPr>
              <w:t>Doc.</w:t>
            </w:r>
            <w:r w:rsidRPr="00EC20A0">
              <w:rPr>
                <w:b/>
                <w:spacing w:val="-6"/>
              </w:rPr>
              <w:t xml:space="preserve"> </w:t>
            </w:r>
            <w:r w:rsidRPr="00EC20A0">
              <w:rPr>
                <w:b/>
                <w:spacing w:val="-4"/>
              </w:rPr>
              <w:t>ref.</w:t>
            </w:r>
          </w:p>
        </w:tc>
      </w:tr>
      <w:tr w:rsidR="00245300" w:rsidRPr="00EC20A0" w14:paraId="24D613EC" w14:textId="77777777">
        <w:trPr>
          <w:trHeight w:val="4659"/>
        </w:trPr>
        <w:tc>
          <w:tcPr>
            <w:tcW w:w="6408" w:type="dxa"/>
            <w:tcBorders>
              <w:bottom w:val="single" w:sz="6" w:space="0" w:color="000000"/>
              <w:right w:val="single" w:sz="6" w:space="0" w:color="000000"/>
            </w:tcBorders>
          </w:tcPr>
          <w:p w14:paraId="24D613E6" w14:textId="77777777" w:rsidR="00245300" w:rsidRPr="00EC20A0" w:rsidRDefault="00F17249">
            <w:pPr>
              <w:pStyle w:val="TableParagraph"/>
              <w:tabs>
                <w:tab w:val="left" w:pos="584"/>
              </w:tabs>
              <w:spacing w:before="144"/>
              <w:ind w:left="584" w:right="692" w:hanging="455"/>
            </w:pPr>
            <w:r w:rsidRPr="00EC20A0">
              <w:rPr>
                <w:spacing w:val="-6"/>
              </w:rPr>
              <w:t>1.</w:t>
            </w:r>
            <w:r w:rsidRPr="00EC20A0">
              <w:tab/>
              <w:t>Based</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preliminary</w:t>
            </w:r>
            <w:r w:rsidRPr="00EC20A0">
              <w:rPr>
                <w:spacing w:val="-4"/>
              </w:rPr>
              <w:t xml:space="preserve"> </w:t>
            </w:r>
            <w:r w:rsidRPr="00EC20A0">
              <w:t>assessment</w:t>
            </w:r>
            <w:r w:rsidRPr="00EC20A0">
              <w:rPr>
                <w:spacing w:val="-5"/>
              </w:rPr>
              <w:t xml:space="preserve"> </w:t>
            </w:r>
            <w:r w:rsidRPr="00EC20A0">
              <w:t>of</w:t>
            </w:r>
            <w:r w:rsidRPr="00EC20A0">
              <w:rPr>
                <w:spacing w:val="-5"/>
              </w:rPr>
              <w:t xml:space="preserve"> </w:t>
            </w:r>
            <w:r w:rsidRPr="00EC20A0">
              <w:t xml:space="preserve">compliance control </w:t>
            </w:r>
            <w:r w:rsidRPr="00EC20A0">
              <w:t>effectiveness (as documented on Form 809, Compliance</w:t>
            </w:r>
            <w:r w:rsidRPr="00EC20A0">
              <w:rPr>
                <w:spacing w:val="-6"/>
              </w:rPr>
              <w:t xml:space="preserve"> </w:t>
            </w:r>
            <w:r w:rsidRPr="00EC20A0">
              <w:t>Summary),</w:t>
            </w:r>
            <w:r w:rsidRPr="00EC20A0">
              <w:rPr>
                <w:spacing w:val="-6"/>
              </w:rPr>
              <w:t xml:space="preserve"> </w:t>
            </w:r>
            <w:r w:rsidRPr="00EC20A0">
              <w:t>select</w:t>
            </w:r>
            <w:r w:rsidRPr="00EC20A0">
              <w:rPr>
                <w:spacing w:val="-6"/>
              </w:rPr>
              <w:t xml:space="preserve"> </w:t>
            </w:r>
            <w:r w:rsidRPr="00EC20A0">
              <w:t>a</w:t>
            </w:r>
            <w:r w:rsidRPr="00EC20A0">
              <w:rPr>
                <w:spacing w:val="-7"/>
              </w:rPr>
              <w:t xml:space="preserve"> </w:t>
            </w:r>
            <w:r w:rsidRPr="00EC20A0">
              <w:t>statistical</w:t>
            </w:r>
            <w:r w:rsidRPr="00EC20A0">
              <w:rPr>
                <w:spacing w:val="-7"/>
              </w:rPr>
              <w:t xml:space="preserve"> </w:t>
            </w:r>
            <w:r w:rsidRPr="00EC20A0">
              <w:t>sample</w:t>
            </w:r>
            <w:r w:rsidRPr="00EC20A0">
              <w:rPr>
                <w:spacing w:val="-6"/>
              </w:rPr>
              <w:t xml:space="preserve"> </w:t>
            </w:r>
            <w:r w:rsidRPr="00EC20A0">
              <w:t>of payroll records (e.g., each employee’s pay per pay period) for the audit period.</w:t>
            </w:r>
          </w:p>
          <w:p w14:paraId="24D613E7" w14:textId="77777777" w:rsidR="00245300" w:rsidRPr="00EC20A0" w:rsidRDefault="00F17249">
            <w:pPr>
              <w:pStyle w:val="TableParagraph"/>
              <w:spacing w:before="145"/>
              <w:ind w:left="567" w:right="248"/>
              <w:rPr>
                <w:sz w:val="14"/>
              </w:rPr>
            </w:pPr>
            <w:r w:rsidRPr="00EC20A0">
              <w:t>The sample size will vary based on the expected effectiveness</w:t>
            </w:r>
            <w:r w:rsidRPr="00EC20A0">
              <w:rPr>
                <w:spacing w:val="-7"/>
              </w:rPr>
              <w:t xml:space="preserve"> </w:t>
            </w:r>
            <w:r w:rsidRPr="00EC20A0">
              <w:t>of</w:t>
            </w:r>
            <w:r w:rsidRPr="00EC20A0">
              <w:rPr>
                <w:spacing w:val="-7"/>
              </w:rPr>
              <w:t xml:space="preserve"> </w:t>
            </w:r>
            <w:r w:rsidRPr="00EC20A0">
              <w:t>compliance</w:t>
            </w:r>
            <w:r w:rsidRPr="00EC20A0">
              <w:rPr>
                <w:spacing w:val="-7"/>
              </w:rPr>
              <w:t xml:space="preserve"> </w:t>
            </w:r>
            <w:r w:rsidRPr="00EC20A0">
              <w:t>controls,</w:t>
            </w:r>
            <w:r w:rsidRPr="00EC20A0">
              <w:rPr>
                <w:spacing w:val="-7"/>
              </w:rPr>
              <w:t xml:space="preserve"> </w:t>
            </w:r>
            <w:r w:rsidRPr="00EC20A0">
              <w:t>as</w:t>
            </w:r>
            <w:r w:rsidRPr="00EC20A0">
              <w:rPr>
                <w:spacing w:val="-7"/>
              </w:rPr>
              <w:t xml:space="preserve"> </w:t>
            </w:r>
            <w:r w:rsidRPr="00EC20A0">
              <w:t>discussed</w:t>
            </w:r>
            <w:r w:rsidRPr="00EC20A0">
              <w:rPr>
                <w:spacing w:val="-7"/>
              </w:rPr>
              <w:t xml:space="preserve"> </w:t>
            </w:r>
            <w:r w:rsidRPr="00EC20A0">
              <w:t>in FAM 460.02. Document the sampling approach (see example documentation in FAM 495 D)</w:t>
            </w:r>
            <w:hyperlink w:anchor="_bookmark137" w:history="1">
              <w:r w:rsidRPr="00EC20A0">
                <w:rPr>
                  <w:position w:val="7"/>
                  <w:sz w:val="14"/>
                </w:rPr>
                <w:t>59</w:t>
              </w:r>
            </w:hyperlink>
          </w:p>
          <w:p w14:paraId="24D613E8" w14:textId="77777777" w:rsidR="00245300" w:rsidRPr="00EC20A0" w:rsidRDefault="00F17249">
            <w:pPr>
              <w:pStyle w:val="TableParagraph"/>
              <w:spacing w:before="144"/>
              <w:ind w:left="567" w:right="195"/>
            </w:pPr>
            <w:r w:rsidRPr="00EC20A0">
              <w:t>The</w:t>
            </w:r>
            <w:r w:rsidRPr="00EC20A0">
              <w:rPr>
                <w:spacing w:val="-5"/>
              </w:rPr>
              <w:t xml:space="preserve"> </w:t>
            </w:r>
            <w:r w:rsidRPr="00EC20A0">
              <w:t>auditor</w:t>
            </w:r>
            <w:r w:rsidRPr="00EC20A0">
              <w:rPr>
                <w:spacing w:val="-7"/>
              </w:rPr>
              <w:t xml:space="preserve"> </w:t>
            </w:r>
            <w:r w:rsidRPr="00EC20A0">
              <w:t>should</w:t>
            </w:r>
            <w:r w:rsidRPr="00EC20A0">
              <w:rPr>
                <w:spacing w:val="-5"/>
              </w:rPr>
              <w:t xml:space="preserve"> </w:t>
            </w:r>
            <w:r w:rsidRPr="00EC20A0">
              <w:t>coordinate</w:t>
            </w:r>
            <w:r w:rsidRPr="00EC20A0">
              <w:rPr>
                <w:spacing w:val="-5"/>
              </w:rPr>
              <w:t xml:space="preserve"> </w:t>
            </w:r>
            <w:r w:rsidRPr="00EC20A0">
              <w:t>these</w:t>
            </w:r>
            <w:r w:rsidRPr="00EC20A0">
              <w:rPr>
                <w:spacing w:val="-6"/>
              </w:rPr>
              <w:t xml:space="preserve"> </w:t>
            </w:r>
            <w:r w:rsidRPr="00EC20A0">
              <w:t>tests</w:t>
            </w:r>
            <w:r w:rsidRPr="00EC20A0">
              <w:rPr>
                <w:spacing w:val="-4"/>
              </w:rPr>
              <w:t xml:space="preserve"> </w:t>
            </w:r>
            <w:r w:rsidRPr="00EC20A0">
              <w:t>with</w:t>
            </w:r>
            <w:r w:rsidRPr="00EC20A0">
              <w:rPr>
                <w:spacing w:val="-5"/>
              </w:rPr>
              <w:t xml:space="preserve"> </w:t>
            </w:r>
            <w:r w:rsidRPr="00EC20A0">
              <w:t>other</w:t>
            </w:r>
            <w:r w:rsidRPr="00EC20A0">
              <w:rPr>
                <w:spacing w:val="-5"/>
              </w:rPr>
              <w:t xml:space="preserve"> </w:t>
            </w:r>
            <w:r w:rsidRPr="00EC20A0">
              <w:t>tests of payroll-related expenses and with the agreed-upon procedures entity auditors perform for OPM, per OMB audit guidance, if performed.</w:t>
            </w:r>
          </w:p>
          <w:p w14:paraId="24D613E9" w14:textId="77777777" w:rsidR="00245300" w:rsidRPr="00EC20A0" w:rsidRDefault="00F17249">
            <w:pPr>
              <w:pStyle w:val="TableParagraph"/>
              <w:tabs>
                <w:tab w:val="left" w:pos="6130"/>
              </w:tabs>
              <w:spacing w:before="32" w:line="398" w:lineRule="exact"/>
              <w:ind w:left="614" w:right="244"/>
            </w:pPr>
            <w:r w:rsidRPr="00EC20A0">
              <w:t>Sample size</w:t>
            </w:r>
            <w:r w:rsidRPr="00EC20A0">
              <w:rPr>
                <w:spacing w:val="-4"/>
              </w:rPr>
              <w:t xml:space="preserve"> </w:t>
            </w:r>
            <w:r w:rsidRPr="00EC20A0">
              <w:rPr>
                <w:u w:val="single"/>
              </w:rPr>
              <w:tab/>
            </w:r>
            <w:r w:rsidRPr="00EC20A0">
              <w:t xml:space="preserve"> Sample selection method</w:t>
            </w:r>
            <w:r w:rsidRPr="00EC20A0">
              <w:rPr>
                <w:spacing w:val="49"/>
              </w:rPr>
              <w:t xml:space="preserve"> </w:t>
            </w:r>
            <w:r w:rsidRPr="00EC20A0">
              <w:rPr>
                <w:u w:val="single"/>
              </w:rPr>
              <w:tab/>
            </w:r>
          </w:p>
        </w:tc>
        <w:tc>
          <w:tcPr>
            <w:tcW w:w="1512" w:type="dxa"/>
            <w:tcBorders>
              <w:left w:val="single" w:sz="6" w:space="0" w:color="000000"/>
              <w:bottom w:val="single" w:sz="6" w:space="0" w:color="000000"/>
              <w:right w:val="single" w:sz="6" w:space="0" w:color="000000"/>
            </w:tcBorders>
          </w:tcPr>
          <w:p w14:paraId="24D613EA" w14:textId="77777777" w:rsidR="00245300" w:rsidRPr="00EC20A0" w:rsidRDefault="00245300">
            <w:pPr>
              <w:pStyle w:val="TableParagraph"/>
              <w:rPr>
                <w:sz w:val="20"/>
              </w:rPr>
            </w:pPr>
          </w:p>
        </w:tc>
        <w:tc>
          <w:tcPr>
            <w:tcW w:w="1440" w:type="dxa"/>
            <w:tcBorders>
              <w:left w:val="single" w:sz="6" w:space="0" w:color="000000"/>
              <w:bottom w:val="single" w:sz="6" w:space="0" w:color="000000"/>
            </w:tcBorders>
          </w:tcPr>
          <w:p w14:paraId="24D613EB" w14:textId="77777777" w:rsidR="00245300" w:rsidRPr="00EC20A0" w:rsidRDefault="00245300">
            <w:pPr>
              <w:pStyle w:val="TableParagraph"/>
              <w:rPr>
                <w:sz w:val="20"/>
              </w:rPr>
            </w:pPr>
          </w:p>
        </w:tc>
      </w:tr>
      <w:tr w:rsidR="00245300" w:rsidRPr="00EC20A0" w14:paraId="24D613F0" w14:textId="77777777">
        <w:trPr>
          <w:trHeight w:val="1553"/>
        </w:trPr>
        <w:tc>
          <w:tcPr>
            <w:tcW w:w="6408" w:type="dxa"/>
            <w:tcBorders>
              <w:top w:val="single" w:sz="6" w:space="0" w:color="000000"/>
              <w:bottom w:val="single" w:sz="6" w:space="0" w:color="000000"/>
              <w:right w:val="single" w:sz="6" w:space="0" w:color="000000"/>
            </w:tcBorders>
          </w:tcPr>
          <w:p w14:paraId="24D613ED" w14:textId="77777777" w:rsidR="00245300" w:rsidRPr="00EC20A0" w:rsidRDefault="00F17249">
            <w:pPr>
              <w:pStyle w:val="TableParagraph"/>
              <w:tabs>
                <w:tab w:val="left" w:pos="567"/>
              </w:tabs>
              <w:spacing w:before="143"/>
              <w:ind w:left="614" w:right="195" w:hanging="485"/>
            </w:pPr>
            <w:r w:rsidRPr="00EC20A0">
              <w:rPr>
                <w:spacing w:val="-6"/>
              </w:rPr>
              <w:t>2.</w:t>
            </w:r>
            <w:r w:rsidRPr="00EC20A0">
              <w:tab/>
              <w:t xml:space="preserve">For each selection made in step 1, document the employee, the pay period selected, and the </w:t>
            </w:r>
            <w:r w:rsidRPr="00EC20A0">
              <w:t>amount withheld</w:t>
            </w:r>
            <w:r w:rsidRPr="00EC20A0">
              <w:rPr>
                <w:spacing w:val="-4"/>
              </w:rPr>
              <w:t xml:space="preserve"> </w:t>
            </w:r>
            <w:r w:rsidRPr="00EC20A0">
              <w:t>for</w:t>
            </w:r>
            <w:r w:rsidRPr="00EC20A0">
              <w:rPr>
                <w:spacing w:val="-5"/>
              </w:rPr>
              <w:t xml:space="preserve"> </w:t>
            </w:r>
            <w:r w:rsidRPr="00EC20A0">
              <w:t>the</w:t>
            </w:r>
            <w:r w:rsidRPr="00EC20A0">
              <w:rPr>
                <w:spacing w:val="-4"/>
              </w:rPr>
              <w:t xml:space="preserve"> </w:t>
            </w:r>
            <w:r w:rsidRPr="00EC20A0">
              <w:t>pay</w:t>
            </w:r>
            <w:r w:rsidRPr="00EC20A0">
              <w:rPr>
                <w:spacing w:val="-3"/>
              </w:rPr>
              <w:t xml:space="preserve"> </w:t>
            </w:r>
            <w:r w:rsidRPr="00EC20A0">
              <w:t>period</w:t>
            </w:r>
            <w:r w:rsidRPr="00EC20A0">
              <w:rPr>
                <w:spacing w:val="-4"/>
              </w:rPr>
              <w:t xml:space="preserve"> </w:t>
            </w:r>
            <w:r w:rsidRPr="00EC20A0">
              <w:t>selected,</w:t>
            </w:r>
            <w:r w:rsidRPr="00EC20A0">
              <w:rPr>
                <w:spacing w:val="-4"/>
              </w:rPr>
              <w:t xml:space="preserve"> </w:t>
            </w:r>
            <w:r w:rsidRPr="00EC20A0">
              <w:t>if</w:t>
            </w:r>
            <w:r w:rsidRPr="00EC20A0">
              <w:rPr>
                <w:spacing w:val="-4"/>
              </w:rPr>
              <w:t xml:space="preserve"> </w:t>
            </w:r>
            <w:r w:rsidRPr="00EC20A0">
              <w:t>any,</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cost</w:t>
            </w:r>
            <w:r w:rsidRPr="00EC20A0">
              <w:rPr>
                <w:spacing w:val="-4"/>
              </w:rPr>
              <w:t xml:space="preserve"> </w:t>
            </w:r>
            <w:r w:rsidRPr="00EC20A0">
              <w:t>of health insurance. If available, document the health insurance plan enrollment code.</w:t>
            </w:r>
          </w:p>
        </w:tc>
        <w:tc>
          <w:tcPr>
            <w:tcW w:w="1512" w:type="dxa"/>
            <w:tcBorders>
              <w:top w:val="single" w:sz="6" w:space="0" w:color="000000"/>
              <w:left w:val="single" w:sz="6" w:space="0" w:color="000000"/>
              <w:bottom w:val="single" w:sz="6" w:space="0" w:color="000000"/>
              <w:right w:val="single" w:sz="6" w:space="0" w:color="000000"/>
            </w:tcBorders>
          </w:tcPr>
          <w:p w14:paraId="24D613EE" w14:textId="77777777" w:rsidR="00245300" w:rsidRPr="00EC20A0" w:rsidRDefault="00245300">
            <w:pPr>
              <w:pStyle w:val="TableParagraph"/>
              <w:rPr>
                <w:sz w:val="20"/>
              </w:rPr>
            </w:pPr>
          </w:p>
        </w:tc>
        <w:tc>
          <w:tcPr>
            <w:tcW w:w="1440" w:type="dxa"/>
            <w:tcBorders>
              <w:top w:val="single" w:sz="6" w:space="0" w:color="000000"/>
              <w:left w:val="single" w:sz="6" w:space="0" w:color="000000"/>
              <w:bottom w:val="single" w:sz="6" w:space="0" w:color="000000"/>
            </w:tcBorders>
          </w:tcPr>
          <w:p w14:paraId="24D613EF" w14:textId="77777777" w:rsidR="00245300" w:rsidRPr="00EC20A0" w:rsidRDefault="00245300">
            <w:pPr>
              <w:pStyle w:val="TableParagraph"/>
              <w:rPr>
                <w:sz w:val="20"/>
              </w:rPr>
            </w:pPr>
          </w:p>
        </w:tc>
      </w:tr>
    </w:tbl>
    <w:p w14:paraId="24D613F1" w14:textId="77777777" w:rsidR="00245300" w:rsidRPr="00EC20A0" w:rsidRDefault="00245300">
      <w:pPr>
        <w:pStyle w:val="BodyText"/>
        <w:rPr>
          <w:sz w:val="20"/>
        </w:rPr>
      </w:pPr>
    </w:p>
    <w:p w14:paraId="24D613F2" w14:textId="77777777" w:rsidR="00245300" w:rsidRPr="00EC20A0" w:rsidRDefault="00245300">
      <w:pPr>
        <w:pStyle w:val="BodyText"/>
        <w:rPr>
          <w:sz w:val="20"/>
        </w:rPr>
      </w:pPr>
    </w:p>
    <w:p w14:paraId="24D613F3" w14:textId="77777777" w:rsidR="00245300" w:rsidRPr="00EC20A0" w:rsidRDefault="00245300">
      <w:pPr>
        <w:pStyle w:val="BodyText"/>
        <w:rPr>
          <w:sz w:val="20"/>
        </w:rPr>
      </w:pPr>
    </w:p>
    <w:p w14:paraId="24D613F4" w14:textId="77777777" w:rsidR="00245300" w:rsidRPr="00EC20A0" w:rsidRDefault="00245300">
      <w:pPr>
        <w:pStyle w:val="BodyText"/>
        <w:rPr>
          <w:sz w:val="20"/>
        </w:rPr>
      </w:pPr>
    </w:p>
    <w:p w14:paraId="24D613F5" w14:textId="77777777" w:rsidR="00245300" w:rsidRPr="00EC20A0" w:rsidRDefault="00F17249">
      <w:pPr>
        <w:pStyle w:val="BodyText"/>
        <w:spacing w:before="27"/>
        <w:rPr>
          <w:sz w:val="20"/>
        </w:rPr>
      </w:pPr>
      <w:r w:rsidRPr="00EC20A0">
        <w:rPr>
          <w:noProof/>
        </w:rPr>
        <mc:AlternateContent>
          <mc:Choice Requires="wps">
            <w:drawing>
              <wp:anchor distT="0" distB="0" distL="0" distR="0" simplePos="0" relativeHeight="487689728" behindDoc="1" locked="0" layoutInCell="1" allowOverlap="1" wp14:anchorId="24D62C43" wp14:editId="24D62C44">
                <wp:simplePos x="0" y="0"/>
                <wp:positionH relativeFrom="page">
                  <wp:posOffset>914400</wp:posOffset>
                </wp:positionH>
                <wp:positionV relativeFrom="paragraph">
                  <wp:posOffset>178992</wp:posOffset>
                </wp:positionV>
                <wp:extent cx="1828800" cy="6985"/>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9304A" id="Graphic 675" o:spid="_x0000_s1026" style="position:absolute;margin-left:1in;margin-top:14.1pt;width:2in;height:.55pt;z-index:-156267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ommR/d4AAAAJAQAADwAAAAAAAAAAAAAAAAB3BAAAZHJzL2Rvd25yZXYueG1s&#10;UEsFBgAAAAAEAAQA8wAAAIIFAAAAAA==&#10;" path="m1828800,l,,,6858r1828800,l1828800,xe" fillcolor="black" stroked="f">
                <v:path arrowok="t"/>
                <w10:wrap type="topAndBottom" anchorx="page"/>
              </v:shape>
            </w:pict>
          </mc:Fallback>
        </mc:AlternateContent>
      </w:r>
    </w:p>
    <w:p w14:paraId="24D613F6" w14:textId="77777777" w:rsidR="00245300" w:rsidRPr="00EC20A0" w:rsidRDefault="00F17249">
      <w:pPr>
        <w:spacing w:before="217" w:line="242" w:lineRule="auto"/>
        <w:ind w:left="139" w:right="124"/>
        <w:rPr>
          <w:sz w:val="18"/>
        </w:rPr>
      </w:pPr>
      <w:bookmarkStart w:id="250" w:name="_bookmark137"/>
      <w:bookmarkEnd w:id="250"/>
      <w:r w:rsidRPr="00EC20A0">
        <w:rPr>
          <w:position w:val="7"/>
          <w:sz w:val="14"/>
        </w:rPr>
        <w:t>59</w:t>
      </w:r>
      <w:r w:rsidRPr="00EC20A0">
        <w:rPr>
          <w:sz w:val="18"/>
        </w:rPr>
        <w:t xml:space="preserve">If the auditor uses multipurpose testing for the compliance test, compliance control </w:t>
      </w:r>
      <w:r w:rsidRPr="00EC20A0">
        <w:rPr>
          <w:sz w:val="18"/>
        </w:rPr>
        <w:t>test, or both and a substantive test of payroll expense details, then the auditor should select the sample items for the compliance test, compliance control</w:t>
      </w:r>
      <w:r w:rsidRPr="00EC20A0">
        <w:rPr>
          <w:spacing w:val="-2"/>
          <w:sz w:val="18"/>
        </w:rPr>
        <w:t xml:space="preserve"> </w:t>
      </w:r>
      <w:r w:rsidRPr="00EC20A0">
        <w:rPr>
          <w:sz w:val="18"/>
        </w:rPr>
        <w:t>test,</w:t>
      </w:r>
      <w:r w:rsidRPr="00EC20A0">
        <w:rPr>
          <w:spacing w:val="-2"/>
          <w:sz w:val="18"/>
        </w:rPr>
        <w:t xml:space="preserve"> </w:t>
      </w:r>
      <w:r w:rsidRPr="00EC20A0">
        <w:rPr>
          <w:sz w:val="18"/>
        </w:rPr>
        <w:t>or</w:t>
      </w:r>
      <w:r w:rsidRPr="00EC20A0">
        <w:rPr>
          <w:spacing w:val="-2"/>
          <w:sz w:val="18"/>
        </w:rPr>
        <w:t xml:space="preserve"> </w:t>
      </w:r>
      <w:r w:rsidRPr="00EC20A0">
        <w:rPr>
          <w:sz w:val="18"/>
        </w:rPr>
        <w:t>both</w:t>
      </w:r>
      <w:r w:rsidRPr="00EC20A0">
        <w:rPr>
          <w:spacing w:val="-3"/>
          <w:sz w:val="18"/>
        </w:rPr>
        <w:t xml:space="preserve"> </w:t>
      </w:r>
      <w:r w:rsidRPr="00EC20A0">
        <w:rPr>
          <w:sz w:val="18"/>
        </w:rPr>
        <w:t>using</w:t>
      </w:r>
      <w:r w:rsidRPr="00EC20A0">
        <w:rPr>
          <w:spacing w:val="-3"/>
          <w:sz w:val="18"/>
        </w:rPr>
        <w:t xml:space="preserve"> </w:t>
      </w:r>
      <w:r w:rsidRPr="00EC20A0">
        <w:rPr>
          <w:sz w:val="18"/>
        </w:rPr>
        <w:t>the</w:t>
      </w:r>
      <w:r w:rsidRPr="00EC20A0">
        <w:rPr>
          <w:spacing w:val="-1"/>
          <w:sz w:val="18"/>
        </w:rPr>
        <w:t xml:space="preserve"> </w:t>
      </w:r>
      <w:r w:rsidRPr="00EC20A0">
        <w:rPr>
          <w:sz w:val="18"/>
        </w:rPr>
        <w:t>sampling</w:t>
      </w:r>
      <w:r w:rsidRPr="00EC20A0">
        <w:rPr>
          <w:spacing w:val="-3"/>
          <w:sz w:val="18"/>
        </w:rPr>
        <w:t xml:space="preserve"> </w:t>
      </w:r>
      <w:r w:rsidRPr="00EC20A0">
        <w:rPr>
          <w:sz w:val="18"/>
        </w:rPr>
        <w:t>method</w:t>
      </w:r>
      <w:r w:rsidRPr="00EC20A0">
        <w:rPr>
          <w:spacing w:val="-3"/>
          <w:sz w:val="18"/>
        </w:rPr>
        <w:t xml:space="preserve"> </w:t>
      </w:r>
      <w:r w:rsidRPr="00EC20A0">
        <w:rPr>
          <w:sz w:val="18"/>
        </w:rPr>
        <w:t>used</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1"/>
          <w:sz w:val="18"/>
        </w:rPr>
        <w:t xml:space="preserve"> </w:t>
      </w:r>
      <w:r w:rsidRPr="00EC20A0">
        <w:rPr>
          <w:sz w:val="18"/>
        </w:rPr>
        <w:t>substantive</w:t>
      </w:r>
      <w:r w:rsidRPr="00EC20A0">
        <w:rPr>
          <w:spacing w:val="-3"/>
          <w:sz w:val="18"/>
        </w:rPr>
        <w:t xml:space="preserve"> </w:t>
      </w:r>
      <w:r w:rsidRPr="00EC20A0">
        <w:rPr>
          <w:sz w:val="18"/>
        </w:rPr>
        <w:t>test,</w:t>
      </w:r>
      <w:r w:rsidRPr="00EC20A0">
        <w:rPr>
          <w:spacing w:val="-2"/>
          <w:sz w:val="18"/>
        </w:rPr>
        <w:t xml:space="preserve"> </w:t>
      </w:r>
      <w:r w:rsidRPr="00EC20A0">
        <w:rPr>
          <w:sz w:val="18"/>
        </w:rPr>
        <w:t>as</w:t>
      </w:r>
      <w:r w:rsidRPr="00EC20A0">
        <w:rPr>
          <w:spacing w:val="-2"/>
          <w:sz w:val="18"/>
        </w:rPr>
        <w:t xml:space="preserve"> </w:t>
      </w:r>
      <w:r w:rsidRPr="00EC20A0">
        <w:rPr>
          <w:sz w:val="18"/>
        </w:rPr>
        <w:t>discussed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430,</w:t>
      </w:r>
      <w:r w:rsidRPr="00EC20A0">
        <w:rPr>
          <w:spacing w:val="-2"/>
          <w:sz w:val="18"/>
        </w:rPr>
        <w:t xml:space="preserve"> </w:t>
      </w:r>
      <w:r w:rsidRPr="00EC20A0">
        <w:rPr>
          <w:sz w:val="18"/>
        </w:rPr>
        <w:t>Design</w:t>
      </w:r>
      <w:r w:rsidRPr="00EC20A0">
        <w:rPr>
          <w:spacing w:val="-3"/>
          <w:sz w:val="18"/>
        </w:rPr>
        <w:t xml:space="preserve"> </w:t>
      </w:r>
      <w:r w:rsidRPr="00EC20A0">
        <w:rPr>
          <w:sz w:val="18"/>
        </w:rPr>
        <w:t>Tests. Otherwise, the auditor should select items using attribute sampling, as discussed in FAM 460.02.</w:t>
      </w:r>
    </w:p>
    <w:p w14:paraId="24D613F7" w14:textId="77777777" w:rsidR="00245300" w:rsidRPr="00EC20A0" w:rsidRDefault="00F17249">
      <w:pPr>
        <w:spacing w:before="119"/>
        <w:ind w:left="139" w:right="164"/>
        <w:rPr>
          <w:sz w:val="18"/>
        </w:rPr>
      </w:pPr>
      <w:r w:rsidRPr="00EC20A0">
        <w:rPr>
          <w:sz w:val="18"/>
        </w:rPr>
        <w:t>As</w:t>
      </w:r>
      <w:r w:rsidRPr="00EC20A0">
        <w:rPr>
          <w:spacing w:val="-3"/>
          <w:sz w:val="18"/>
        </w:rPr>
        <w:t xml:space="preserve"> </w:t>
      </w:r>
      <w:r w:rsidRPr="00EC20A0">
        <w:rPr>
          <w:sz w:val="18"/>
        </w:rPr>
        <w:t>with</w:t>
      </w:r>
      <w:r w:rsidRPr="00EC20A0">
        <w:rPr>
          <w:spacing w:val="-4"/>
          <w:sz w:val="18"/>
        </w:rPr>
        <w:t xml:space="preserve"> </w:t>
      </w:r>
      <w:r w:rsidRPr="00EC20A0">
        <w:rPr>
          <w:sz w:val="18"/>
        </w:rPr>
        <w:t>all</w:t>
      </w:r>
      <w:r w:rsidRPr="00EC20A0">
        <w:rPr>
          <w:spacing w:val="-3"/>
          <w:sz w:val="18"/>
        </w:rPr>
        <w:t xml:space="preserve"> </w:t>
      </w:r>
      <w:r w:rsidRPr="00EC20A0">
        <w:rPr>
          <w:sz w:val="18"/>
        </w:rPr>
        <w:t>sampling</w:t>
      </w:r>
      <w:r w:rsidRPr="00EC20A0">
        <w:rPr>
          <w:spacing w:val="-4"/>
          <w:sz w:val="18"/>
        </w:rPr>
        <w:t xml:space="preserve"> </w:t>
      </w:r>
      <w:r w:rsidRPr="00EC20A0">
        <w:rPr>
          <w:sz w:val="18"/>
        </w:rPr>
        <w:t>applications,</w:t>
      </w:r>
      <w:r w:rsidRPr="00EC20A0">
        <w:rPr>
          <w:spacing w:val="-3"/>
          <w:sz w:val="18"/>
        </w:rPr>
        <w:t xml:space="preserve"> </w:t>
      </w:r>
      <w:r w:rsidRPr="00EC20A0">
        <w:rPr>
          <w:sz w:val="18"/>
        </w:rPr>
        <w:t>the</w:t>
      </w:r>
      <w:r w:rsidRPr="00EC20A0">
        <w:rPr>
          <w:spacing w:val="-4"/>
          <w:sz w:val="18"/>
        </w:rPr>
        <w:t xml:space="preserve"> </w:t>
      </w:r>
      <w:r w:rsidRPr="00EC20A0">
        <w:rPr>
          <w:sz w:val="18"/>
        </w:rPr>
        <w:t>auditor</w:t>
      </w:r>
      <w:r w:rsidRPr="00EC20A0">
        <w:rPr>
          <w:spacing w:val="-3"/>
          <w:sz w:val="18"/>
        </w:rPr>
        <w:t xml:space="preserve"> </w:t>
      </w:r>
      <w:r w:rsidRPr="00EC20A0">
        <w:rPr>
          <w:sz w:val="18"/>
        </w:rPr>
        <w:t>should</w:t>
      </w:r>
      <w:r w:rsidRPr="00EC20A0">
        <w:rPr>
          <w:spacing w:val="-4"/>
          <w:sz w:val="18"/>
        </w:rPr>
        <w:t xml:space="preserve"> </w:t>
      </w:r>
      <w:r w:rsidRPr="00EC20A0">
        <w:rPr>
          <w:sz w:val="18"/>
        </w:rPr>
        <w:t>consider</w:t>
      </w:r>
      <w:r w:rsidRPr="00EC20A0">
        <w:rPr>
          <w:spacing w:val="-3"/>
          <w:sz w:val="18"/>
        </w:rPr>
        <w:t xml:space="preserve"> </w:t>
      </w:r>
      <w:r w:rsidRPr="00EC20A0">
        <w:rPr>
          <w:sz w:val="18"/>
        </w:rPr>
        <w:t>the</w:t>
      </w:r>
      <w:r w:rsidRPr="00EC20A0">
        <w:rPr>
          <w:spacing w:val="-4"/>
          <w:sz w:val="18"/>
        </w:rPr>
        <w:t xml:space="preserve"> </w:t>
      </w:r>
      <w:r w:rsidRPr="00EC20A0">
        <w:rPr>
          <w:sz w:val="18"/>
        </w:rPr>
        <w:t>completeness</w:t>
      </w:r>
      <w:r w:rsidRPr="00EC20A0">
        <w:rPr>
          <w:spacing w:val="-3"/>
          <w:sz w:val="18"/>
        </w:rPr>
        <w:t xml:space="preserve"> </w:t>
      </w:r>
      <w:r w:rsidRPr="00EC20A0">
        <w:rPr>
          <w:sz w:val="18"/>
        </w:rPr>
        <w:t>of</w:t>
      </w:r>
      <w:r w:rsidRPr="00EC20A0">
        <w:rPr>
          <w:spacing w:val="-3"/>
          <w:sz w:val="18"/>
        </w:rPr>
        <w:t xml:space="preserve"> </w:t>
      </w:r>
      <w:r w:rsidRPr="00EC20A0">
        <w:rPr>
          <w:sz w:val="18"/>
        </w:rPr>
        <w:t>the</w:t>
      </w:r>
      <w:r w:rsidRPr="00EC20A0">
        <w:rPr>
          <w:spacing w:val="-4"/>
          <w:sz w:val="18"/>
        </w:rPr>
        <w:t xml:space="preserve"> </w:t>
      </w:r>
      <w:r w:rsidRPr="00EC20A0">
        <w:rPr>
          <w:sz w:val="18"/>
        </w:rPr>
        <w:t>test</w:t>
      </w:r>
      <w:r w:rsidRPr="00EC20A0">
        <w:rPr>
          <w:spacing w:val="-3"/>
          <w:sz w:val="18"/>
        </w:rPr>
        <w:t xml:space="preserve"> </w:t>
      </w:r>
      <w:r w:rsidRPr="00EC20A0">
        <w:rPr>
          <w:sz w:val="18"/>
        </w:rPr>
        <w:t>population.</w:t>
      </w:r>
      <w:r w:rsidRPr="00EC20A0">
        <w:rPr>
          <w:spacing w:val="-3"/>
          <w:sz w:val="18"/>
        </w:rPr>
        <w:t xml:space="preserve"> </w:t>
      </w:r>
      <w:r w:rsidRPr="00EC20A0">
        <w:rPr>
          <w:sz w:val="18"/>
        </w:rPr>
        <w:t>For</w:t>
      </w:r>
      <w:r w:rsidRPr="00EC20A0">
        <w:rPr>
          <w:spacing w:val="-3"/>
          <w:sz w:val="18"/>
        </w:rPr>
        <w:t xml:space="preserve"> </w:t>
      </w:r>
      <w:r w:rsidRPr="00EC20A0">
        <w:rPr>
          <w:sz w:val="18"/>
        </w:rPr>
        <w:t>efficiency, the auditor should consider using records that were tested for validity and completeness (as well as the other assertions) in conjunction with substantive tests of payroll or other payroll related compliance tests.</w:t>
      </w:r>
    </w:p>
    <w:p w14:paraId="24D613F8" w14:textId="77777777" w:rsidR="00245300" w:rsidRPr="00EC20A0" w:rsidRDefault="00245300">
      <w:pPr>
        <w:rPr>
          <w:sz w:val="18"/>
        </w:rPr>
        <w:sectPr w:rsidR="00245300" w:rsidRPr="00EC20A0">
          <w:headerReference w:type="default" r:id="rId125"/>
          <w:footerReference w:type="default" r:id="rId126"/>
          <w:pgSz w:w="12240" w:h="15840"/>
          <w:pgMar w:top="1380" w:right="1320" w:bottom="940" w:left="1300" w:header="721" w:footer="742" w:gutter="0"/>
          <w:cols w:space="720"/>
        </w:sectPr>
      </w:pPr>
    </w:p>
    <w:p w14:paraId="24D613F9" w14:textId="77777777" w:rsidR="00245300" w:rsidRPr="00EC20A0" w:rsidRDefault="00245300">
      <w:pPr>
        <w:pStyle w:val="BodyText"/>
        <w:spacing w:before="4" w:after="1"/>
        <w:rPr>
          <w:sz w:val="8"/>
        </w:rPr>
      </w:pPr>
    </w:p>
    <w:tbl>
      <w:tblPr>
        <w:tblW w:w="0" w:type="auto"/>
        <w:tblInd w:w="15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24"/>
        <w:gridCol w:w="1512"/>
        <w:gridCol w:w="1440"/>
      </w:tblGrid>
      <w:tr w:rsidR="00245300" w:rsidRPr="00EC20A0" w14:paraId="24D613FB" w14:textId="77777777">
        <w:trPr>
          <w:trHeight w:val="1335"/>
        </w:trPr>
        <w:tc>
          <w:tcPr>
            <w:tcW w:w="9376" w:type="dxa"/>
            <w:gridSpan w:val="3"/>
          </w:tcPr>
          <w:p w14:paraId="24D613FA" w14:textId="77777777" w:rsidR="00245300" w:rsidRPr="00EC20A0" w:rsidRDefault="00F17249">
            <w:pPr>
              <w:pStyle w:val="TableParagraph"/>
              <w:tabs>
                <w:tab w:val="left" w:pos="8961"/>
              </w:tabs>
              <w:spacing w:before="7" w:line="390" w:lineRule="atLeast"/>
              <w:ind w:left="147" w:right="367"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401" w14:textId="77777777">
        <w:trPr>
          <w:trHeight w:val="793"/>
        </w:trPr>
        <w:tc>
          <w:tcPr>
            <w:tcW w:w="6424" w:type="dxa"/>
            <w:tcBorders>
              <w:right w:val="single" w:sz="8" w:space="0" w:color="000000"/>
            </w:tcBorders>
          </w:tcPr>
          <w:p w14:paraId="24D613FC" w14:textId="77777777" w:rsidR="00245300" w:rsidRPr="00EC20A0" w:rsidRDefault="00245300">
            <w:pPr>
              <w:pStyle w:val="TableParagraph"/>
              <w:spacing w:before="144"/>
            </w:pPr>
          </w:p>
          <w:p w14:paraId="24D613FD" w14:textId="77777777" w:rsidR="00245300" w:rsidRPr="00EC20A0" w:rsidRDefault="00F17249">
            <w:pPr>
              <w:pStyle w:val="TableParagraph"/>
              <w:ind w:left="147"/>
              <w:rPr>
                <w:b/>
              </w:rPr>
            </w:pPr>
            <w:r w:rsidRPr="00EC20A0">
              <w:rPr>
                <w:b/>
              </w:rPr>
              <w:t>Audit</w:t>
            </w:r>
            <w:r w:rsidRPr="00EC20A0">
              <w:rPr>
                <w:b/>
                <w:spacing w:val="-7"/>
              </w:rPr>
              <w:t xml:space="preserve"> </w:t>
            </w:r>
            <w:r w:rsidRPr="00EC20A0">
              <w:rPr>
                <w:b/>
                <w:spacing w:val="-2"/>
              </w:rPr>
              <w:t>procedures</w:t>
            </w:r>
          </w:p>
        </w:tc>
        <w:tc>
          <w:tcPr>
            <w:tcW w:w="1512" w:type="dxa"/>
            <w:tcBorders>
              <w:left w:val="single" w:sz="8" w:space="0" w:color="000000"/>
              <w:right w:val="single" w:sz="8" w:space="0" w:color="000000"/>
            </w:tcBorders>
          </w:tcPr>
          <w:p w14:paraId="24D613FE" w14:textId="77777777" w:rsidR="00245300" w:rsidRPr="00EC20A0" w:rsidRDefault="00F17249">
            <w:pPr>
              <w:pStyle w:val="TableParagraph"/>
              <w:spacing w:before="144"/>
              <w:ind w:left="143" w:right="193"/>
              <w:rPr>
                <w:b/>
              </w:rPr>
            </w:pPr>
            <w:r w:rsidRPr="00EC20A0">
              <w:rPr>
                <w:b/>
                <w:spacing w:val="-2"/>
              </w:rPr>
              <w:t xml:space="preserve">Initials/ </w:t>
            </w:r>
            <w:r w:rsidRPr="00EC20A0">
              <w:rPr>
                <w:b/>
                <w:spacing w:val="-4"/>
              </w:rPr>
              <w:t>date</w:t>
            </w:r>
          </w:p>
        </w:tc>
        <w:tc>
          <w:tcPr>
            <w:tcW w:w="1440" w:type="dxa"/>
            <w:tcBorders>
              <w:left w:val="single" w:sz="8" w:space="0" w:color="000000"/>
            </w:tcBorders>
          </w:tcPr>
          <w:p w14:paraId="24D613FF" w14:textId="77777777" w:rsidR="00245300" w:rsidRPr="00EC20A0" w:rsidRDefault="00245300">
            <w:pPr>
              <w:pStyle w:val="TableParagraph"/>
              <w:spacing w:before="144"/>
            </w:pPr>
          </w:p>
          <w:p w14:paraId="24D61400" w14:textId="77777777" w:rsidR="00245300" w:rsidRPr="00EC20A0" w:rsidRDefault="00F17249">
            <w:pPr>
              <w:pStyle w:val="TableParagraph"/>
              <w:ind w:left="143"/>
              <w:rPr>
                <w:b/>
              </w:rPr>
            </w:pPr>
            <w:r w:rsidRPr="00EC20A0">
              <w:rPr>
                <w:b/>
              </w:rPr>
              <w:t>Doc.</w:t>
            </w:r>
            <w:r w:rsidRPr="00EC20A0">
              <w:rPr>
                <w:b/>
                <w:spacing w:val="-6"/>
              </w:rPr>
              <w:t xml:space="preserve"> </w:t>
            </w:r>
            <w:r w:rsidRPr="00EC20A0">
              <w:rPr>
                <w:b/>
                <w:spacing w:val="-4"/>
              </w:rPr>
              <w:t>ref.</w:t>
            </w:r>
          </w:p>
        </w:tc>
      </w:tr>
      <w:tr w:rsidR="00245300" w:rsidRPr="00EC20A0" w14:paraId="24D61406" w14:textId="77777777">
        <w:trPr>
          <w:trHeight w:val="2962"/>
        </w:trPr>
        <w:tc>
          <w:tcPr>
            <w:tcW w:w="6424" w:type="dxa"/>
            <w:tcBorders>
              <w:bottom w:val="single" w:sz="6" w:space="0" w:color="000000"/>
              <w:right w:val="single" w:sz="6" w:space="0" w:color="000000"/>
            </w:tcBorders>
          </w:tcPr>
          <w:p w14:paraId="24D61402" w14:textId="77777777" w:rsidR="00245300" w:rsidRPr="00EC20A0" w:rsidRDefault="00F17249">
            <w:pPr>
              <w:pStyle w:val="TableParagraph"/>
              <w:tabs>
                <w:tab w:val="left" w:pos="632"/>
              </w:tabs>
              <w:spacing w:before="144"/>
              <w:ind w:left="631" w:right="170" w:hanging="485"/>
            </w:pPr>
            <w:r w:rsidRPr="00EC20A0">
              <w:rPr>
                <w:spacing w:val="-6"/>
              </w:rPr>
              <w:t>3.</w:t>
            </w:r>
            <w:r w:rsidRPr="00EC20A0">
              <w:tab/>
              <w:t>For</w:t>
            </w:r>
            <w:r w:rsidRPr="00EC20A0">
              <w:rPr>
                <w:spacing w:val="-2"/>
              </w:rPr>
              <w:t xml:space="preserve"> </w:t>
            </w:r>
            <w:r w:rsidRPr="00EC20A0">
              <w:t>each</w:t>
            </w:r>
            <w:r w:rsidRPr="00EC20A0">
              <w:rPr>
                <w:spacing w:val="-2"/>
              </w:rPr>
              <w:t xml:space="preserve"> </w:t>
            </w:r>
            <w:r w:rsidRPr="00EC20A0">
              <w:t>selection</w:t>
            </w:r>
            <w:r w:rsidRPr="00EC20A0">
              <w:rPr>
                <w:spacing w:val="-2"/>
              </w:rPr>
              <w:t xml:space="preserve"> </w:t>
            </w:r>
            <w:r w:rsidRPr="00EC20A0">
              <w:t>made</w:t>
            </w:r>
            <w:r w:rsidRPr="00EC20A0">
              <w:rPr>
                <w:spacing w:val="-2"/>
              </w:rPr>
              <w:t xml:space="preserve"> </w:t>
            </w:r>
            <w:r w:rsidRPr="00EC20A0">
              <w:t>in</w:t>
            </w:r>
            <w:r w:rsidRPr="00EC20A0">
              <w:rPr>
                <w:spacing w:val="-2"/>
              </w:rPr>
              <w:t xml:space="preserve"> </w:t>
            </w:r>
            <w:r w:rsidRPr="00EC20A0">
              <w:t>step</w:t>
            </w:r>
            <w:r w:rsidRPr="00EC20A0">
              <w:rPr>
                <w:spacing w:val="-2"/>
              </w:rPr>
              <w:t xml:space="preserve"> </w:t>
            </w:r>
            <w:r w:rsidRPr="00EC20A0">
              <w:t>1,</w:t>
            </w:r>
            <w:r w:rsidRPr="00EC20A0">
              <w:rPr>
                <w:spacing w:val="-2"/>
              </w:rPr>
              <w:t xml:space="preserve"> </w:t>
            </w:r>
            <w:r w:rsidRPr="00EC20A0">
              <w:t>obtain</w:t>
            </w:r>
            <w:r w:rsidRPr="00EC20A0">
              <w:rPr>
                <w:spacing w:val="-2"/>
              </w:rPr>
              <w:t xml:space="preserve"> </w:t>
            </w:r>
            <w:r w:rsidRPr="00EC20A0">
              <w:t>the</w:t>
            </w:r>
            <w:r w:rsidRPr="00EC20A0">
              <w:rPr>
                <w:spacing w:val="-2"/>
              </w:rPr>
              <w:t xml:space="preserve"> </w:t>
            </w:r>
            <w:r w:rsidRPr="00EC20A0">
              <w:t>employee’s personnel file and note whether the employee elected health insurance coverage for the period to which payroll disbursement</w:t>
            </w:r>
            <w:r w:rsidRPr="00EC20A0">
              <w:rPr>
                <w:spacing w:val="-6"/>
              </w:rPr>
              <w:t xml:space="preserve"> </w:t>
            </w:r>
            <w:r w:rsidRPr="00EC20A0">
              <w:t>relates.</w:t>
            </w:r>
            <w:r w:rsidRPr="00EC20A0">
              <w:rPr>
                <w:spacing w:val="-6"/>
              </w:rPr>
              <w:t xml:space="preserve"> </w:t>
            </w:r>
            <w:r w:rsidRPr="00EC20A0">
              <w:t>Such</w:t>
            </w:r>
            <w:r w:rsidRPr="00EC20A0">
              <w:rPr>
                <w:spacing w:val="-6"/>
              </w:rPr>
              <w:t xml:space="preserve"> </w:t>
            </w:r>
            <w:r w:rsidRPr="00EC20A0">
              <w:t>coverage</w:t>
            </w:r>
            <w:r w:rsidRPr="00EC20A0">
              <w:rPr>
                <w:spacing w:val="-6"/>
              </w:rPr>
              <w:t xml:space="preserve"> </w:t>
            </w:r>
            <w:r w:rsidRPr="00EC20A0">
              <w:t>should</w:t>
            </w:r>
            <w:r w:rsidRPr="00EC20A0">
              <w:rPr>
                <w:spacing w:val="-6"/>
              </w:rPr>
              <w:t xml:space="preserve"> </w:t>
            </w:r>
            <w:r w:rsidRPr="00EC20A0">
              <w:t>be</w:t>
            </w:r>
            <w:r w:rsidRPr="00EC20A0">
              <w:rPr>
                <w:spacing w:val="-7"/>
              </w:rPr>
              <w:t xml:space="preserve"> </w:t>
            </w:r>
            <w:r w:rsidRPr="00EC20A0">
              <w:t xml:space="preserve">indicated on OPM form SF 2809 or other automated enrollment </w:t>
            </w:r>
            <w:r w:rsidRPr="00EC20A0">
              <w:rPr>
                <w:spacing w:val="-2"/>
              </w:rPr>
              <w:t>process.</w:t>
            </w:r>
          </w:p>
          <w:p w14:paraId="24D61403" w14:textId="77777777" w:rsidR="00245300" w:rsidRPr="00EC20A0" w:rsidRDefault="00F17249">
            <w:pPr>
              <w:pStyle w:val="TableParagraph"/>
              <w:spacing w:before="144"/>
              <w:ind w:left="579" w:right="170"/>
            </w:pPr>
            <w:r w:rsidRPr="00EC20A0">
              <w:t>If the employee did not elect health insurance coverage, then ask why amounts are being withheld for the cost of insurance</w:t>
            </w:r>
            <w:r w:rsidRPr="00EC20A0">
              <w:rPr>
                <w:spacing w:val="-7"/>
              </w:rPr>
              <w:t xml:space="preserve"> </w:t>
            </w:r>
            <w:r w:rsidRPr="00EC20A0">
              <w:t>and</w:t>
            </w:r>
            <w:r w:rsidRPr="00EC20A0">
              <w:rPr>
                <w:spacing w:val="-7"/>
              </w:rPr>
              <w:t xml:space="preserve"> </w:t>
            </w:r>
            <w:r w:rsidRPr="00EC20A0">
              <w:t>determine</w:t>
            </w:r>
            <w:r w:rsidRPr="00EC20A0">
              <w:rPr>
                <w:spacing w:val="-7"/>
              </w:rPr>
              <w:t xml:space="preserve"> </w:t>
            </w:r>
            <w:r w:rsidRPr="00EC20A0">
              <w:t>whether</w:t>
            </w:r>
            <w:r w:rsidRPr="00EC20A0">
              <w:rPr>
                <w:spacing w:val="-7"/>
              </w:rPr>
              <w:t xml:space="preserve"> </w:t>
            </w:r>
            <w:r w:rsidRPr="00EC20A0">
              <w:t>any</w:t>
            </w:r>
            <w:r w:rsidRPr="00EC20A0">
              <w:rPr>
                <w:spacing w:val="-7"/>
              </w:rPr>
              <w:t xml:space="preserve"> </w:t>
            </w:r>
            <w:r w:rsidRPr="00EC20A0">
              <w:t>entity</w:t>
            </w:r>
            <w:r w:rsidRPr="00EC20A0">
              <w:rPr>
                <w:spacing w:val="-8"/>
              </w:rPr>
              <w:t xml:space="preserve"> </w:t>
            </w:r>
            <w:r w:rsidRPr="00EC20A0">
              <w:t>contributions are being made inappropriately as well.</w:t>
            </w:r>
          </w:p>
        </w:tc>
        <w:tc>
          <w:tcPr>
            <w:tcW w:w="1512" w:type="dxa"/>
            <w:tcBorders>
              <w:left w:val="single" w:sz="6" w:space="0" w:color="000000"/>
              <w:bottom w:val="single" w:sz="6" w:space="0" w:color="000000"/>
              <w:right w:val="single" w:sz="6" w:space="0" w:color="000000"/>
            </w:tcBorders>
          </w:tcPr>
          <w:p w14:paraId="24D61404" w14:textId="77777777" w:rsidR="00245300" w:rsidRPr="00EC20A0" w:rsidRDefault="00245300">
            <w:pPr>
              <w:pStyle w:val="TableParagraph"/>
              <w:rPr>
                <w:sz w:val="20"/>
              </w:rPr>
            </w:pPr>
          </w:p>
        </w:tc>
        <w:tc>
          <w:tcPr>
            <w:tcW w:w="1440" w:type="dxa"/>
            <w:tcBorders>
              <w:left w:val="single" w:sz="6" w:space="0" w:color="000000"/>
              <w:bottom w:val="single" w:sz="6" w:space="0" w:color="000000"/>
            </w:tcBorders>
          </w:tcPr>
          <w:p w14:paraId="24D61405" w14:textId="77777777" w:rsidR="00245300" w:rsidRPr="00EC20A0" w:rsidRDefault="00245300">
            <w:pPr>
              <w:pStyle w:val="TableParagraph"/>
              <w:rPr>
                <w:sz w:val="20"/>
              </w:rPr>
            </w:pPr>
          </w:p>
        </w:tc>
      </w:tr>
      <w:tr w:rsidR="00245300" w:rsidRPr="00EC20A0" w14:paraId="24D6140B" w14:textId="77777777">
        <w:trPr>
          <w:trHeight w:val="3467"/>
        </w:trPr>
        <w:tc>
          <w:tcPr>
            <w:tcW w:w="6424" w:type="dxa"/>
            <w:tcBorders>
              <w:top w:val="single" w:sz="6" w:space="0" w:color="000000"/>
              <w:left w:val="double" w:sz="8" w:space="0" w:color="000000"/>
              <w:bottom w:val="single" w:sz="6" w:space="0" w:color="000000"/>
              <w:right w:val="single" w:sz="8" w:space="0" w:color="000000"/>
            </w:tcBorders>
          </w:tcPr>
          <w:p w14:paraId="24D61407" w14:textId="77777777" w:rsidR="00245300" w:rsidRPr="00EC20A0" w:rsidRDefault="00F17249">
            <w:pPr>
              <w:pStyle w:val="TableParagraph"/>
              <w:numPr>
                <w:ilvl w:val="0"/>
                <w:numId w:val="129"/>
              </w:numPr>
              <w:tabs>
                <w:tab w:val="left" w:pos="624"/>
              </w:tabs>
              <w:spacing w:before="143"/>
              <w:ind w:right="132"/>
            </w:pPr>
            <w:r w:rsidRPr="00EC20A0">
              <w:t>If</w:t>
            </w:r>
            <w:r w:rsidRPr="00EC20A0">
              <w:rPr>
                <w:spacing w:val="-5"/>
              </w:rPr>
              <w:t xml:space="preserve"> </w:t>
            </w:r>
            <w:r w:rsidRPr="00EC20A0">
              <w:t>the</w:t>
            </w:r>
            <w:r w:rsidRPr="00EC20A0">
              <w:rPr>
                <w:spacing w:val="-5"/>
              </w:rPr>
              <w:t xml:space="preserve"> </w:t>
            </w:r>
            <w:r w:rsidRPr="00EC20A0">
              <w:t>employee</w:t>
            </w:r>
            <w:r w:rsidRPr="00EC20A0">
              <w:rPr>
                <w:spacing w:val="-5"/>
              </w:rPr>
              <w:t xml:space="preserve"> </w:t>
            </w:r>
            <w:r w:rsidRPr="00EC20A0">
              <w:t>identified</w:t>
            </w:r>
            <w:r w:rsidRPr="00EC20A0">
              <w:rPr>
                <w:spacing w:val="-5"/>
              </w:rPr>
              <w:t xml:space="preserve"> </w:t>
            </w:r>
            <w:r w:rsidRPr="00EC20A0">
              <w:t>in</w:t>
            </w:r>
            <w:r w:rsidRPr="00EC20A0">
              <w:rPr>
                <w:spacing w:val="-5"/>
              </w:rPr>
              <w:t xml:space="preserve"> </w:t>
            </w:r>
            <w:r w:rsidRPr="00EC20A0">
              <w:t>step</w:t>
            </w:r>
            <w:r w:rsidRPr="00EC20A0">
              <w:rPr>
                <w:spacing w:val="-5"/>
              </w:rPr>
              <w:t xml:space="preserve"> </w:t>
            </w:r>
            <w:r w:rsidRPr="00EC20A0">
              <w:t>3</w:t>
            </w:r>
            <w:r w:rsidRPr="00EC20A0">
              <w:rPr>
                <w:spacing w:val="-5"/>
              </w:rPr>
              <w:t xml:space="preserve"> </w:t>
            </w:r>
            <w:r w:rsidRPr="00EC20A0">
              <w:t>elected</w:t>
            </w:r>
            <w:r w:rsidRPr="00EC20A0">
              <w:rPr>
                <w:spacing w:val="-5"/>
              </w:rPr>
              <w:t xml:space="preserve"> </w:t>
            </w:r>
            <w:r w:rsidRPr="00EC20A0">
              <w:t>coverage,</w:t>
            </w:r>
            <w:r w:rsidRPr="00EC20A0">
              <w:rPr>
                <w:spacing w:val="-5"/>
              </w:rPr>
              <w:t xml:space="preserve"> </w:t>
            </w:r>
            <w:r w:rsidRPr="00EC20A0">
              <w:t>then perform the following steps:</w:t>
            </w:r>
          </w:p>
          <w:p w14:paraId="24D61408" w14:textId="77777777" w:rsidR="00245300" w:rsidRPr="00EC20A0" w:rsidRDefault="00F17249">
            <w:pPr>
              <w:pStyle w:val="TableParagraph"/>
              <w:numPr>
                <w:ilvl w:val="1"/>
                <w:numId w:val="129"/>
              </w:numPr>
              <w:tabs>
                <w:tab w:val="left" w:pos="1164"/>
                <w:tab w:val="left" w:pos="1220"/>
              </w:tabs>
              <w:spacing w:before="145"/>
              <w:ind w:right="159" w:hanging="591"/>
            </w:pPr>
            <w:r w:rsidRPr="00EC20A0">
              <w:t>Obtain</w:t>
            </w:r>
            <w:r w:rsidRPr="00EC20A0">
              <w:rPr>
                <w:spacing w:val="-4"/>
              </w:rPr>
              <w:t xml:space="preserve"> </w:t>
            </w:r>
            <w:r w:rsidRPr="00EC20A0">
              <w:t>the</w:t>
            </w:r>
            <w:r w:rsidRPr="00EC20A0">
              <w:rPr>
                <w:spacing w:val="-4"/>
              </w:rPr>
              <w:t xml:space="preserve"> </w:t>
            </w:r>
            <w:r w:rsidRPr="00EC20A0">
              <w:t>schedule</w:t>
            </w:r>
            <w:r w:rsidRPr="00EC20A0">
              <w:rPr>
                <w:spacing w:val="-4"/>
              </w:rPr>
              <w:t xml:space="preserve"> </w:t>
            </w:r>
            <w:r w:rsidRPr="00EC20A0">
              <w:t>of</w:t>
            </w:r>
            <w:r w:rsidRPr="00EC20A0">
              <w:rPr>
                <w:spacing w:val="-4"/>
              </w:rPr>
              <w:t xml:space="preserve"> </w:t>
            </w:r>
            <w:r w:rsidRPr="00EC20A0">
              <w:t>health</w:t>
            </w:r>
            <w:r w:rsidRPr="00EC20A0">
              <w:rPr>
                <w:spacing w:val="-4"/>
              </w:rPr>
              <w:t xml:space="preserve"> </w:t>
            </w:r>
            <w:r w:rsidRPr="00EC20A0">
              <w:t>insurance</w:t>
            </w:r>
            <w:r w:rsidRPr="00EC20A0">
              <w:rPr>
                <w:spacing w:val="-4"/>
              </w:rPr>
              <w:t xml:space="preserve"> </w:t>
            </w:r>
            <w:r w:rsidRPr="00EC20A0">
              <w:t>costs</w:t>
            </w:r>
            <w:r w:rsidRPr="00EC20A0">
              <w:rPr>
                <w:spacing w:val="-4"/>
              </w:rPr>
              <w:t xml:space="preserve"> </w:t>
            </w:r>
            <w:r w:rsidRPr="00EC20A0">
              <w:t>for</w:t>
            </w:r>
            <w:r w:rsidRPr="00EC20A0">
              <w:rPr>
                <w:spacing w:val="-4"/>
              </w:rPr>
              <w:t xml:space="preserve"> </w:t>
            </w:r>
            <w:r w:rsidRPr="00EC20A0">
              <w:t xml:space="preserve">all plans published by OPM. Using the enrollment code for the plan selected by the employee on OPM form SF 2809 or other </w:t>
            </w:r>
            <w:r w:rsidRPr="00EC20A0">
              <w:t>automated enrollment process, calculate the employee’s portion of the health insurance cost and document it. Compare it to</w:t>
            </w:r>
            <w:r w:rsidRPr="00EC20A0">
              <w:rPr>
                <w:spacing w:val="-5"/>
              </w:rPr>
              <w:t xml:space="preserve"> </w:t>
            </w:r>
            <w:r w:rsidRPr="00EC20A0">
              <w:t>the</w:t>
            </w:r>
            <w:r w:rsidRPr="00EC20A0">
              <w:rPr>
                <w:spacing w:val="-5"/>
              </w:rPr>
              <w:t xml:space="preserve"> </w:t>
            </w:r>
            <w:r w:rsidRPr="00EC20A0">
              <w:t>amount</w:t>
            </w:r>
            <w:r w:rsidRPr="00EC20A0">
              <w:rPr>
                <w:spacing w:val="-5"/>
              </w:rPr>
              <w:t xml:space="preserve"> </w:t>
            </w:r>
            <w:r w:rsidRPr="00EC20A0">
              <w:t>actually</w:t>
            </w:r>
            <w:r w:rsidRPr="00EC20A0">
              <w:rPr>
                <w:spacing w:val="-4"/>
              </w:rPr>
              <w:t xml:space="preserve"> </w:t>
            </w:r>
            <w:r w:rsidRPr="00EC20A0">
              <w:t>withheld</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selected</w:t>
            </w:r>
            <w:r w:rsidRPr="00EC20A0">
              <w:rPr>
                <w:spacing w:val="-5"/>
              </w:rPr>
              <w:t xml:space="preserve"> </w:t>
            </w:r>
            <w:r w:rsidRPr="00EC20A0">
              <w:t>pay period, and obtain an explanation and examine support for any differences. See FAM 809.03, Employee Pay Withholdings for Health Insurance.</w:t>
            </w:r>
          </w:p>
        </w:tc>
        <w:tc>
          <w:tcPr>
            <w:tcW w:w="1512" w:type="dxa"/>
            <w:tcBorders>
              <w:top w:val="single" w:sz="6" w:space="0" w:color="000000"/>
              <w:left w:val="single" w:sz="8" w:space="0" w:color="000000"/>
              <w:bottom w:val="single" w:sz="6" w:space="0" w:color="000000"/>
              <w:right w:val="single" w:sz="8" w:space="0" w:color="000000"/>
            </w:tcBorders>
          </w:tcPr>
          <w:p w14:paraId="24D61409" w14:textId="77777777" w:rsidR="00245300" w:rsidRPr="00EC20A0" w:rsidRDefault="00245300">
            <w:pPr>
              <w:pStyle w:val="TableParagraph"/>
              <w:rPr>
                <w:sz w:val="20"/>
              </w:rPr>
            </w:pPr>
          </w:p>
        </w:tc>
        <w:tc>
          <w:tcPr>
            <w:tcW w:w="1440" w:type="dxa"/>
            <w:tcBorders>
              <w:top w:val="single" w:sz="6" w:space="0" w:color="000000"/>
              <w:left w:val="single" w:sz="8" w:space="0" w:color="000000"/>
              <w:bottom w:val="single" w:sz="6" w:space="0" w:color="000000"/>
            </w:tcBorders>
          </w:tcPr>
          <w:p w14:paraId="24D6140A" w14:textId="77777777" w:rsidR="00245300" w:rsidRPr="00EC20A0" w:rsidRDefault="00245300">
            <w:pPr>
              <w:pStyle w:val="TableParagraph"/>
              <w:rPr>
                <w:sz w:val="20"/>
              </w:rPr>
            </w:pPr>
          </w:p>
        </w:tc>
      </w:tr>
      <w:tr w:rsidR="00245300" w:rsidRPr="00EC20A0" w14:paraId="24D6140F" w14:textId="77777777">
        <w:trPr>
          <w:trHeight w:val="2565"/>
        </w:trPr>
        <w:tc>
          <w:tcPr>
            <w:tcW w:w="6424" w:type="dxa"/>
            <w:tcBorders>
              <w:top w:val="single" w:sz="6" w:space="0" w:color="000000"/>
              <w:bottom w:val="single" w:sz="6" w:space="0" w:color="000000"/>
              <w:right w:val="single" w:sz="6" w:space="0" w:color="000000"/>
            </w:tcBorders>
          </w:tcPr>
          <w:p w14:paraId="24D6140C" w14:textId="77777777" w:rsidR="00245300" w:rsidRPr="00EC20A0" w:rsidRDefault="00F17249">
            <w:pPr>
              <w:pStyle w:val="TableParagraph"/>
              <w:tabs>
                <w:tab w:val="left" w:pos="1171"/>
              </w:tabs>
              <w:spacing w:before="143"/>
              <w:ind w:left="1224" w:right="132" w:hanging="588"/>
            </w:pPr>
            <w:r w:rsidRPr="00EC20A0">
              <w:rPr>
                <w:spacing w:val="-4"/>
              </w:rPr>
              <w:t>(b)</w:t>
            </w:r>
            <w:r w:rsidRPr="00EC20A0">
              <w:tab/>
              <w:t>For</w:t>
            </w:r>
            <w:r w:rsidRPr="00EC20A0">
              <w:rPr>
                <w:spacing w:val="-6"/>
              </w:rPr>
              <w:t xml:space="preserve"> </w:t>
            </w:r>
            <w:r w:rsidRPr="00EC20A0">
              <w:t>each</w:t>
            </w:r>
            <w:r w:rsidRPr="00EC20A0">
              <w:rPr>
                <w:spacing w:val="-6"/>
              </w:rPr>
              <w:t xml:space="preserve"> </w:t>
            </w:r>
            <w:r w:rsidRPr="00EC20A0">
              <w:t>employee</w:t>
            </w:r>
            <w:r w:rsidRPr="00EC20A0">
              <w:rPr>
                <w:spacing w:val="-6"/>
              </w:rPr>
              <w:t xml:space="preserve"> </w:t>
            </w:r>
            <w:r w:rsidRPr="00EC20A0">
              <w:t>in</w:t>
            </w:r>
            <w:r w:rsidRPr="00EC20A0">
              <w:rPr>
                <w:spacing w:val="-6"/>
              </w:rPr>
              <w:t xml:space="preserve"> </w:t>
            </w:r>
            <w:r w:rsidRPr="00EC20A0">
              <w:t>(a),</w:t>
            </w:r>
            <w:r w:rsidRPr="00EC20A0">
              <w:rPr>
                <w:spacing w:val="-6"/>
              </w:rPr>
              <w:t xml:space="preserve"> </w:t>
            </w:r>
            <w:r w:rsidRPr="00EC20A0">
              <w:t>determine</w:t>
            </w:r>
            <w:r w:rsidRPr="00EC20A0">
              <w:rPr>
                <w:spacing w:val="-6"/>
              </w:rPr>
              <w:t xml:space="preserve"> </w:t>
            </w:r>
            <w:r w:rsidRPr="00EC20A0">
              <w:t>the</w:t>
            </w:r>
            <w:r w:rsidRPr="00EC20A0">
              <w:rPr>
                <w:spacing w:val="-6"/>
              </w:rPr>
              <w:t xml:space="preserve"> </w:t>
            </w:r>
            <w:r w:rsidRPr="00EC20A0">
              <w:t xml:space="preserve">appropriate amount of the entity’s contribution for its share of health insurance costs by using the OPM schedule of costs. Compare it to the </w:t>
            </w:r>
            <w:r w:rsidRPr="00EC20A0">
              <w:t>amount actually contributed by the entity for the employee’s health insurance</w:t>
            </w:r>
            <w:r w:rsidRPr="00EC20A0">
              <w:rPr>
                <w:spacing w:val="-1"/>
              </w:rPr>
              <w:t xml:space="preserve"> </w:t>
            </w:r>
            <w:r w:rsidRPr="00EC20A0">
              <w:t>for</w:t>
            </w:r>
            <w:r w:rsidRPr="00EC20A0">
              <w:rPr>
                <w:spacing w:val="-1"/>
              </w:rPr>
              <w:t xml:space="preserve"> </w:t>
            </w:r>
            <w:r w:rsidRPr="00EC20A0">
              <w:t>the</w:t>
            </w:r>
            <w:r w:rsidRPr="00EC20A0">
              <w:rPr>
                <w:spacing w:val="-1"/>
              </w:rPr>
              <w:t xml:space="preserve"> </w:t>
            </w:r>
            <w:r w:rsidRPr="00EC20A0">
              <w:t>selected</w:t>
            </w:r>
            <w:r w:rsidRPr="00EC20A0">
              <w:rPr>
                <w:spacing w:val="-1"/>
              </w:rPr>
              <w:t xml:space="preserve"> </w:t>
            </w:r>
            <w:r w:rsidRPr="00EC20A0">
              <w:t>pay</w:t>
            </w:r>
            <w:r w:rsidRPr="00EC20A0">
              <w:rPr>
                <w:spacing w:val="-1"/>
              </w:rPr>
              <w:t xml:space="preserve"> </w:t>
            </w:r>
            <w:r w:rsidRPr="00EC20A0">
              <w:t>period</w:t>
            </w:r>
            <w:r w:rsidRPr="00EC20A0">
              <w:rPr>
                <w:spacing w:val="-2"/>
              </w:rPr>
              <w:t xml:space="preserve"> </w:t>
            </w:r>
            <w:r w:rsidRPr="00EC20A0">
              <w:t>and</w:t>
            </w:r>
            <w:r w:rsidRPr="00EC20A0">
              <w:rPr>
                <w:spacing w:val="-1"/>
              </w:rPr>
              <w:t xml:space="preserve"> </w:t>
            </w:r>
            <w:r w:rsidRPr="00EC20A0">
              <w:t>obtain</w:t>
            </w:r>
            <w:r w:rsidRPr="00EC20A0">
              <w:rPr>
                <w:spacing w:val="-2"/>
              </w:rPr>
              <w:t xml:space="preserve"> </w:t>
            </w:r>
            <w:r w:rsidRPr="00EC20A0">
              <w:t>an explanation and examine support for any differences. See FAM 809.01, Biweekly Contributions For Employee Health Insurance.</w:t>
            </w:r>
          </w:p>
        </w:tc>
        <w:tc>
          <w:tcPr>
            <w:tcW w:w="1512" w:type="dxa"/>
            <w:tcBorders>
              <w:top w:val="single" w:sz="6" w:space="0" w:color="000000"/>
              <w:left w:val="single" w:sz="6" w:space="0" w:color="000000"/>
              <w:bottom w:val="single" w:sz="6" w:space="0" w:color="000000"/>
              <w:right w:val="single" w:sz="6" w:space="0" w:color="000000"/>
            </w:tcBorders>
          </w:tcPr>
          <w:p w14:paraId="24D6140D" w14:textId="77777777" w:rsidR="00245300" w:rsidRPr="00EC20A0" w:rsidRDefault="00245300">
            <w:pPr>
              <w:pStyle w:val="TableParagraph"/>
              <w:rPr>
                <w:sz w:val="20"/>
              </w:rPr>
            </w:pPr>
          </w:p>
        </w:tc>
        <w:tc>
          <w:tcPr>
            <w:tcW w:w="1440" w:type="dxa"/>
            <w:tcBorders>
              <w:top w:val="single" w:sz="6" w:space="0" w:color="000000"/>
              <w:left w:val="single" w:sz="6" w:space="0" w:color="000000"/>
              <w:bottom w:val="single" w:sz="6" w:space="0" w:color="000000"/>
            </w:tcBorders>
          </w:tcPr>
          <w:p w14:paraId="24D6140E" w14:textId="77777777" w:rsidR="00245300" w:rsidRPr="00EC20A0" w:rsidRDefault="00245300">
            <w:pPr>
              <w:pStyle w:val="TableParagraph"/>
              <w:rPr>
                <w:sz w:val="20"/>
              </w:rPr>
            </w:pPr>
          </w:p>
        </w:tc>
      </w:tr>
    </w:tbl>
    <w:p w14:paraId="24D61410" w14:textId="77777777" w:rsidR="00245300" w:rsidRPr="00EC20A0" w:rsidRDefault="00245300">
      <w:pPr>
        <w:rPr>
          <w:sz w:val="20"/>
        </w:rPr>
        <w:sectPr w:rsidR="00245300" w:rsidRPr="00EC20A0">
          <w:pgSz w:w="12240" w:h="15840"/>
          <w:pgMar w:top="1380" w:right="1320" w:bottom="940" w:left="1300" w:header="721" w:footer="742" w:gutter="0"/>
          <w:cols w:space="720"/>
        </w:sectPr>
      </w:pPr>
    </w:p>
    <w:p w14:paraId="24D61411" w14:textId="77777777" w:rsidR="00245300" w:rsidRPr="00EC20A0" w:rsidRDefault="00245300">
      <w:pPr>
        <w:pStyle w:val="BodyText"/>
        <w:spacing w:before="2"/>
        <w:rPr>
          <w:sz w:val="8"/>
        </w:rPr>
      </w:pPr>
    </w:p>
    <w:tbl>
      <w:tblPr>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08"/>
        <w:gridCol w:w="1512"/>
        <w:gridCol w:w="1440"/>
      </w:tblGrid>
      <w:tr w:rsidR="00245300" w:rsidRPr="00EC20A0" w14:paraId="24D61413" w14:textId="77777777">
        <w:trPr>
          <w:trHeight w:val="1335"/>
        </w:trPr>
        <w:tc>
          <w:tcPr>
            <w:tcW w:w="9360" w:type="dxa"/>
            <w:gridSpan w:val="3"/>
          </w:tcPr>
          <w:p w14:paraId="24D61412" w14:textId="77777777" w:rsidR="00245300" w:rsidRPr="00EC20A0" w:rsidRDefault="00F17249">
            <w:pPr>
              <w:pStyle w:val="TableParagraph"/>
              <w:tabs>
                <w:tab w:val="left" w:pos="8943"/>
              </w:tabs>
              <w:spacing w:before="7" w:line="390" w:lineRule="atLeast"/>
              <w:ind w:left="130" w:right="368"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419" w14:textId="77777777">
        <w:trPr>
          <w:trHeight w:val="793"/>
        </w:trPr>
        <w:tc>
          <w:tcPr>
            <w:tcW w:w="6408" w:type="dxa"/>
            <w:tcBorders>
              <w:right w:val="single" w:sz="8" w:space="0" w:color="000000"/>
            </w:tcBorders>
          </w:tcPr>
          <w:p w14:paraId="24D61414" w14:textId="77777777" w:rsidR="00245300" w:rsidRPr="00EC20A0" w:rsidRDefault="00245300">
            <w:pPr>
              <w:pStyle w:val="TableParagraph"/>
              <w:spacing w:before="144"/>
            </w:pPr>
          </w:p>
          <w:p w14:paraId="24D61415"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512" w:type="dxa"/>
            <w:tcBorders>
              <w:left w:val="single" w:sz="8" w:space="0" w:color="000000"/>
              <w:right w:val="single" w:sz="8" w:space="0" w:color="000000"/>
            </w:tcBorders>
          </w:tcPr>
          <w:p w14:paraId="24D61416" w14:textId="77777777" w:rsidR="00245300" w:rsidRPr="00EC20A0" w:rsidRDefault="00F17249">
            <w:pPr>
              <w:pStyle w:val="TableParagraph"/>
              <w:spacing w:before="144"/>
              <w:ind w:left="142" w:right="193"/>
              <w:rPr>
                <w:b/>
              </w:rPr>
            </w:pPr>
            <w:r w:rsidRPr="00EC20A0">
              <w:rPr>
                <w:b/>
                <w:spacing w:val="-2"/>
              </w:rPr>
              <w:t xml:space="preserve">Initials/ </w:t>
            </w:r>
            <w:r w:rsidRPr="00EC20A0">
              <w:rPr>
                <w:b/>
                <w:spacing w:val="-4"/>
              </w:rPr>
              <w:t>date</w:t>
            </w:r>
          </w:p>
        </w:tc>
        <w:tc>
          <w:tcPr>
            <w:tcW w:w="1440" w:type="dxa"/>
            <w:tcBorders>
              <w:left w:val="single" w:sz="8" w:space="0" w:color="000000"/>
            </w:tcBorders>
          </w:tcPr>
          <w:p w14:paraId="24D61417" w14:textId="77777777" w:rsidR="00245300" w:rsidRPr="00EC20A0" w:rsidRDefault="00245300">
            <w:pPr>
              <w:pStyle w:val="TableParagraph"/>
              <w:spacing w:before="144"/>
            </w:pPr>
          </w:p>
          <w:p w14:paraId="24D61418" w14:textId="77777777" w:rsidR="00245300" w:rsidRPr="00EC20A0" w:rsidRDefault="00F17249">
            <w:pPr>
              <w:pStyle w:val="TableParagraph"/>
              <w:ind w:left="142"/>
              <w:rPr>
                <w:b/>
              </w:rPr>
            </w:pPr>
            <w:r w:rsidRPr="00EC20A0">
              <w:rPr>
                <w:b/>
              </w:rPr>
              <w:t>Doc.</w:t>
            </w:r>
            <w:r w:rsidRPr="00EC20A0">
              <w:rPr>
                <w:b/>
                <w:spacing w:val="-6"/>
              </w:rPr>
              <w:t xml:space="preserve"> </w:t>
            </w:r>
            <w:r w:rsidRPr="00EC20A0">
              <w:rPr>
                <w:b/>
                <w:spacing w:val="-4"/>
              </w:rPr>
              <w:t>ref.</w:t>
            </w:r>
          </w:p>
        </w:tc>
      </w:tr>
      <w:tr w:rsidR="00245300" w:rsidRPr="00EC20A0" w14:paraId="24D6141F" w14:textId="77777777">
        <w:trPr>
          <w:trHeight w:val="4624"/>
        </w:trPr>
        <w:tc>
          <w:tcPr>
            <w:tcW w:w="6408" w:type="dxa"/>
            <w:tcBorders>
              <w:bottom w:val="single" w:sz="6" w:space="0" w:color="000000"/>
              <w:right w:val="single" w:sz="6" w:space="0" w:color="000000"/>
            </w:tcBorders>
          </w:tcPr>
          <w:p w14:paraId="24D6141A" w14:textId="77777777" w:rsidR="00245300" w:rsidRPr="00EC20A0" w:rsidRDefault="00F17249">
            <w:pPr>
              <w:pStyle w:val="TableParagraph"/>
              <w:numPr>
                <w:ilvl w:val="0"/>
                <w:numId w:val="128"/>
              </w:numPr>
              <w:tabs>
                <w:tab w:val="left" w:pos="1154"/>
              </w:tabs>
              <w:spacing w:before="144"/>
              <w:ind w:right="146"/>
            </w:pPr>
            <w:r w:rsidRPr="00EC20A0">
              <w:t>For each employee in (b), determine if amounts contributed by the entity are charged to the appropriation</w:t>
            </w:r>
            <w:r w:rsidRPr="00EC20A0">
              <w:rPr>
                <w:spacing w:val="-4"/>
              </w:rPr>
              <w:t xml:space="preserve"> </w:t>
            </w:r>
            <w:r w:rsidRPr="00EC20A0">
              <w:t>account</w:t>
            </w:r>
            <w:r w:rsidRPr="00EC20A0">
              <w:rPr>
                <w:spacing w:val="-4"/>
              </w:rPr>
              <w:t xml:space="preserve"> </w:t>
            </w:r>
            <w:r w:rsidRPr="00EC20A0">
              <w:t>or</w:t>
            </w:r>
            <w:r w:rsidRPr="00EC20A0">
              <w:rPr>
                <w:spacing w:val="-5"/>
              </w:rPr>
              <w:t xml:space="preserve"> </w:t>
            </w:r>
            <w:r w:rsidRPr="00EC20A0">
              <w:t>fund</w:t>
            </w:r>
            <w:r w:rsidRPr="00EC20A0">
              <w:rPr>
                <w:spacing w:val="-4"/>
              </w:rPr>
              <w:t xml:space="preserve"> </w:t>
            </w:r>
            <w:r w:rsidRPr="00EC20A0">
              <w:t>that</w:t>
            </w:r>
            <w:r w:rsidRPr="00EC20A0">
              <w:rPr>
                <w:spacing w:val="-4"/>
              </w:rPr>
              <w:t xml:space="preserve"> </w:t>
            </w:r>
            <w:r w:rsidRPr="00EC20A0">
              <w:t>is</w:t>
            </w:r>
            <w:r w:rsidRPr="00EC20A0">
              <w:rPr>
                <w:spacing w:val="-5"/>
              </w:rPr>
              <w:t xml:space="preserve"> </w:t>
            </w:r>
            <w:r w:rsidRPr="00EC20A0">
              <w:t>used</w:t>
            </w:r>
            <w:r w:rsidRPr="00EC20A0">
              <w:rPr>
                <w:spacing w:val="-4"/>
              </w:rPr>
              <w:t xml:space="preserve"> </w:t>
            </w:r>
            <w:r w:rsidRPr="00EC20A0">
              <w:t>to</w:t>
            </w:r>
            <w:r w:rsidRPr="00EC20A0">
              <w:rPr>
                <w:spacing w:val="-4"/>
              </w:rPr>
              <w:t xml:space="preserve"> </w:t>
            </w:r>
            <w:r w:rsidRPr="00EC20A0">
              <w:t>pay</w:t>
            </w:r>
            <w:r w:rsidRPr="00EC20A0">
              <w:rPr>
                <w:spacing w:val="-5"/>
              </w:rPr>
              <w:t xml:space="preserve"> </w:t>
            </w:r>
            <w:r w:rsidRPr="00EC20A0">
              <w:t>the employee for the selected pay period by performing the following procedures:</w:t>
            </w:r>
          </w:p>
          <w:p w14:paraId="24D6141B" w14:textId="77777777" w:rsidR="00245300" w:rsidRPr="00EC20A0" w:rsidRDefault="00F17249">
            <w:pPr>
              <w:pStyle w:val="TableParagraph"/>
              <w:numPr>
                <w:ilvl w:val="1"/>
                <w:numId w:val="128"/>
              </w:numPr>
              <w:tabs>
                <w:tab w:val="left" w:pos="1779"/>
              </w:tabs>
              <w:spacing w:before="144"/>
              <w:ind w:right="192"/>
            </w:pPr>
            <w:r w:rsidRPr="00EC20A0">
              <w:t>Review</w:t>
            </w:r>
            <w:r w:rsidRPr="00EC20A0">
              <w:rPr>
                <w:spacing w:val="-7"/>
              </w:rPr>
              <w:t xml:space="preserve"> </w:t>
            </w:r>
            <w:r w:rsidRPr="00EC20A0">
              <w:t>the</w:t>
            </w:r>
            <w:r w:rsidRPr="00EC20A0">
              <w:rPr>
                <w:spacing w:val="-6"/>
              </w:rPr>
              <w:t xml:space="preserve"> </w:t>
            </w:r>
            <w:r w:rsidRPr="00EC20A0">
              <w:t>accounting</w:t>
            </w:r>
            <w:r w:rsidRPr="00EC20A0">
              <w:rPr>
                <w:spacing w:val="-7"/>
              </w:rPr>
              <w:t xml:space="preserve"> </w:t>
            </w:r>
            <w:r w:rsidRPr="00EC20A0">
              <w:t>codes</w:t>
            </w:r>
            <w:r w:rsidRPr="00EC20A0">
              <w:rPr>
                <w:spacing w:val="-6"/>
              </w:rPr>
              <w:t xml:space="preserve"> </w:t>
            </w:r>
            <w:r w:rsidRPr="00EC20A0">
              <w:t>indicated</w:t>
            </w:r>
            <w:r w:rsidRPr="00EC20A0">
              <w:rPr>
                <w:spacing w:val="-6"/>
              </w:rPr>
              <w:t xml:space="preserve"> </w:t>
            </w:r>
            <w:r w:rsidRPr="00EC20A0">
              <w:t>in</w:t>
            </w:r>
            <w:r w:rsidRPr="00EC20A0">
              <w:rPr>
                <w:spacing w:val="-6"/>
              </w:rPr>
              <w:t xml:space="preserve"> </w:t>
            </w:r>
            <w:r w:rsidRPr="00EC20A0">
              <w:t>the supporting documentation.</w:t>
            </w:r>
          </w:p>
          <w:p w14:paraId="24D6141C" w14:textId="77777777" w:rsidR="00245300" w:rsidRPr="00EC20A0" w:rsidRDefault="00F17249">
            <w:pPr>
              <w:pStyle w:val="TableParagraph"/>
              <w:numPr>
                <w:ilvl w:val="1"/>
                <w:numId w:val="128"/>
              </w:numPr>
              <w:tabs>
                <w:tab w:val="left" w:pos="1779"/>
              </w:tabs>
              <w:spacing w:before="144"/>
              <w:ind w:right="132" w:hanging="519"/>
            </w:pPr>
            <w:r w:rsidRPr="00EC20A0">
              <w:t xml:space="preserve">Determine whether the accounting codes used to record the entity contribution are the same as those </w:t>
            </w:r>
            <w:r w:rsidRPr="00EC20A0">
              <w:t>used for the related payroll expenditure and whether the codes and amounts agree with those recorded in the budgetary accounting records. (This step assumes</w:t>
            </w:r>
            <w:r w:rsidRPr="00EC20A0">
              <w:rPr>
                <w:spacing w:val="-6"/>
              </w:rPr>
              <w:t xml:space="preserve"> </w:t>
            </w:r>
            <w:r w:rsidRPr="00EC20A0">
              <w:t>that</w:t>
            </w:r>
            <w:r w:rsidRPr="00EC20A0">
              <w:rPr>
                <w:spacing w:val="-6"/>
              </w:rPr>
              <w:t xml:space="preserve"> </w:t>
            </w:r>
            <w:r w:rsidRPr="00EC20A0">
              <w:t>other</w:t>
            </w:r>
            <w:r w:rsidRPr="00EC20A0">
              <w:rPr>
                <w:spacing w:val="-6"/>
              </w:rPr>
              <w:t xml:space="preserve"> </w:t>
            </w:r>
            <w:r w:rsidRPr="00EC20A0">
              <w:t>payroll</w:t>
            </w:r>
            <w:r w:rsidRPr="00EC20A0">
              <w:rPr>
                <w:spacing w:val="-6"/>
              </w:rPr>
              <w:t xml:space="preserve"> </w:t>
            </w:r>
            <w:r w:rsidRPr="00EC20A0">
              <w:t>testing</w:t>
            </w:r>
            <w:r w:rsidRPr="00EC20A0">
              <w:rPr>
                <w:spacing w:val="-7"/>
              </w:rPr>
              <w:t xml:space="preserve"> </w:t>
            </w:r>
            <w:r w:rsidRPr="00EC20A0">
              <w:t>would</w:t>
            </w:r>
            <w:r w:rsidRPr="00EC20A0">
              <w:rPr>
                <w:spacing w:val="-6"/>
              </w:rPr>
              <w:t xml:space="preserve"> </w:t>
            </w:r>
            <w:r w:rsidRPr="00EC20A0">
              <w:t>have included checking that the codes represent the proper appropriation account or fund.)</w:t>
            </w:r>
          </w:p>
        </w:tc>
        <w:tc>
          <w:tcPr>
            <w:tcW w:w="1512" w:type="dxa"/>
            <w:tcBorders>
              <w:left w:val="single" w:sz="6" w:space="0" w:color="000000"/>
              <w:bottom w:val="single" w:sz="6" w:space="0" w:color="000000"/>
              <w:right w:val="single" w:sz="6" w:space="0" w:color="000000"/>
            </w:tcBorders>
          </w:tcPr>
          <w:p w14:paraId="24D6141D" w14:textId="77777777" w:rsidR="00245300" w:rsidRPr="00EC20A0" w:rsidRDefault="00245300">
            <w:pPr>
              <w:pStyle w:val="TableParagraph"/>
              <w:rPr>
                <w:sz w:val="20"/>
              </w:rPr>
            </w:pPr>
          </w:p>
        </w:tc>
        <w:tc>
          <w:tcPr>
            <w:tcW w:w="1440" w:type="dxa"/>
            <w:tcBorders>
              <w:left w:val="single" w:sz="6" w:space="0" w:color="000000"/>
              <w:bottom w:val="single" w:sz="6" w:space="0" w:color="000000"/>
            </w:tcBorders>
          </w:tcPr>
          <w:p w14:paraId="24D6141E" w14:textId="77777777" w:rsidR="00245300" w:rsidRPr="00EC20A0" w:rsidRDefault="00245300">
            <w:pPr>
              <w:pStyle w:val="TableParagraph"/>
              <w:rPr>
                <w:sz w:val="20"/>
              </w:rPr>
            </w:pPr>
          </w:p>
        </w:tc>
      </w:tr>
      <w:tr w:rsidR="00245300" w:rsidRPr="00EC20A0" w14:paraId="24D61425" w14:textId="77777777">
        <w:trPr>
          <w:trHeight w:val="5635"/>
        </w:trPr>
        <w:tc>
          <w:tcPr>
            <w:tcW w:w="6408" w:type="dxa"/>
            <w:tcBorders>
              <w:top w:val="single" w:sz="6" w:space="0" w:color="000000"/>
              <w:bottom w:val="single" w:sz="8" w:space="0" w:color="000000"/>
              <w:right w:val="single" w:sz="8" w:space="0" w:color="000000"/>
            </w:tcBorders>
          </w:tcPr>
          <w:p w14:paraId="24D61420" w14:textId="77777777" w:rsidR="00245300" w:rsidRPr="00EC20A0" w:rsidRDefault="00F17249">
            <w:pPr>
              <w:pStyle w:val="TableParagraph"/>
              <w:tabs>
                <w:tab w:val="left" w:pos="1869"/>
              </w:tabs>
              <w:spacing w:before="143"/>
              <w:ind w:left="1869" w:right="272" w:hanging="568"/>
            </w:pPr>
            <w:r w:rsidRPr="00EC20A0">
              <w:rPr>
                <w:spacing w:val="-4"/>
              </w:rPr>
              <w:t>iii.</w:t>
            </w:r>
            <w:r w:rsidRPr="00EC20A0">
              <w:tab/>
              <w:t>Consider the procedures performed on the entity’s</w:t>
            </w:r>
            <w:r w:rsidRPr="00EC20A0">
              <w:rPr>
                <w:spacing w:val="-10"/>
              </w:rPr>
              <w:t xml:space="preserve"> </w:t>
            </w:r>
            <w:r w:rsidRPr="00EC20A0">
              <w:t>budget</w:t>
            </w:r>
            <w:r w:rsidRPr="00EC20A0">
              <w:rPr>
                <w:spacing w:val="-9"/>
              </w:rPr>
              <w:t xml:space="preserve"> </w:t>
            </w:r>
            <w:r w:rsidRPr="00EC20A0">
              <w:t>controls</w:t>
            </w:r>
            <w:r w:rsidRPr="00EC20A0">
              <w:rPr>
                <w:spacing w:val="-10"/>
              </w:rPr>
              <w:t xml:space="preserve"> </w:t>
            </w:r>
            <w:r w:rsidRPr="00EC20A0">
              <w:t>over</w:t>
            </w:r>
            <w:r w:rsidRPr="00EC20A0">
              <w:rPr>
                <w:spacing w:val="-9"/>
              </w:rPr>
              <w:t xml:space="preserve"> </w:t>
            </w:r>
            <w:r w:rsidRPr="00EC20A0">
              <w:t>summarization of expenditure balances, as discussed in FAM 395 F, Budget Control Objectives.</w:t>
            </w:r>
          </w:p>
          <w:p w14:paraId="24D61421" w14:textId="77777777" w:rsidR="00245300" w:rsidRPr="00EC20A0" w:rsidRDefault="00F17249">
            <w:pPr>
              <w:pStyle w:val="TableParagraph"/>
              <w:spacing w:before="144"/>
              <w:ind w:left="1867" w:right="16"/>
            </w:pPr>
            <w:r w:rsidRPr="00EC20A0">
              <w:t xml:space="preserve">If the auditor has assessed the entity’s controls as </w:t>
            </w:r>
            <w:r w:rsidRPr="00EC20A0">
              <w:rPr>
                <w:u w:val="single"/>
              </w:rPr>
              <w:t>effective</w:t>
            </w:r>
            <w:r w:rsidRPr="00EC20A0">
              <w:t xml:space="preserve"> in achieving the control objective of summarization of expenditure balances, then further procedures are not necessary</w:t>
            </w:r>
            <w:r w:rsidRPr="00EC20A0">
              <w:rPr>
                <w:spacing w:val="-7"/>
              </w:rPr>
              <w:t xml:space="preserve"> </w:t>
            </w:r>
            <w:r w:rsidRPr="00EC20A0">
              <w:t>to</w:t>
            </w:r>
            <w:r w:rsidRPr="00EC20A0">
              <w:rPr>
                <w:spacing w:val="-6"/>
              </w:rPr>
              <w:t xml:space="preserve"> </w:t>
            </w:r>
            <w:r w:rsidRPr="00EC20A0">
              <w:t>obtain</w:t>
            </w:r>
            <w:r w:rsidRPr="00EC20A0">
              <w:rPr>
                <w:spacing w:val="-6"/>
              </w:rPr>
              <w:t xml:space="preserve"> </w:t>
            </w:r>
            <w:r w:rsidRPr="00EC20A0">
              <w:t>assurance</w:t>
            </w:r>
            <w:r w:rsidRPr="00EC20A0">
              <w:rPr>
                <w:spacing w:val="-6"/>
              </w:rPr>
              <w:t xml:space="preserve"> </w:t>
            </w:r>
            <w:r w:rsidRPr="00EC20A0">
              <w:t>as</w:t>
            </w:r>
            <w:r w:rsidRPr="00EC20A0">
              <w:rPr>
                <w:spacing w:val="-6"/>
              </w:rPr>
              <w:t xml:space="preserve"> </w:t>
            </w:r>
            <w:r w:rsidRPr="00EC20A0">
              <w:t>to</w:t>
            </w:r>
            <w:r w:rsidRPr="00EC20A0">
              <w:rPr>
                <w:spacing w:val="-7"/>
              </w:rPr>
              <w:t xml:space="preserve"> </w:t>
            </w:r>
            <w:r w:rsidRPr="00EC20A0">
              <w:t>whether the entity’s contributions are paid out of the proper appropriation account or fund.</w:t>
            </w:r>
          </w:p>
          <w:p w14:paraId="24D61422" w14:textId="77777777" w:rsidR="00245300" w:rsidRPr="00EC20A0" w:rsidRDefault="00F17249">
            <w:pPr>
              <w:pStyle w:val="TableParagraph"/>
              <w:spacing w:before="144"/>
              <w:ind w:left="1867" w:right="272"/>
            </w:pPr>
            <w:r w:rsidRPr="00EC20A0">
              <w:t xml:space="preserve">If the auditor has assessed the controls as </w:t>
            </w:r>
            <w:r w:rsidRPr="00EC20A0">
              <w:rPr>
                <w:u w:val="single"/>
              </w:rPr>
              <w:t>ineffective</w:t>
            </w:r>
            <w:r w:rsidRPr="00EC20A0">
              <w:t>,</w:t>
            </w:r>
            <w:r w:rsidRPr="00EC20A0">
              <w:rPr>
                <w:spacing w:val="-5"/>
              </w:rPr>
              <w:t xml:space="preserve"> </w:t>
            </w:r>
            <w:r w:rsidRPr="00EC20A0">
              <w:t>then</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should</w:t>
            </w:r>
            <w:r w:rsidRPr="00EC20A0">
              <w:rPr>
                <w:spacing w:val="-5"/>
              </w:rPr>
              <w:t xml:space="preserve"> </w:t>
            </w:r>
            <w:r w:rsidRPr="00EC20A0">
              <w:rPr>
                <w:u w:val="single"/>
              </w:rPr>
              <w:t>perform</w:t>
            </w:r>
            <w:r w:rsidRPr="00EC20A0">
              <w:t xml:space="preserve"> procedures</w:t>
            </w:r>
            <w:r w:rsidRPr="00EC20A0">
              <w:rPr>
                <w:spacing w:val="-8"/>
              </w:rPr>
              <w:t xml:space="preserve"> </w:t>
            </w:r>
            <w:r w:rsidRPr="00EC20A0">
              <w:t>to</w:t>
            </w:r>
            <w:r w:rsidRPr="00EC20A0">
              <w:rPr>
                <w:spacing w:val="-8"/>
              </w:rPr>
              <w:t xml:space="preserve"> </w:t>
            </w:r>
            <w:r w:rsidRPr="00EC20A0">
              <w:t>determine</w:t>
            </w:r>
            <w:r w:rsidRPr="00EC20A0">
              <w:rPr>
                <w:spacing w:val="-8"/>
              </w:rPr>
              <w:t xml:space="preserve"> </w:t>
            </w:r>
            <w:r w:rsidRPr="00EC20A0">
              <w:t>whether</w:t>
            </w:r>
            <w:r w:rsidRPr="00EC20A0">
              <w:rPr>
                <w:spacing w:val="-8"/>
              </w:rPr>
              <w:t xml:space="preserve"> </w:t>
            </w:r>
            <w:r w:rsidRPr="00EC20A0">
              <w:t>the</w:t>
            </w:r>
            <w:r w:rsidRPr="00EC20A0">
              <w:rPr>
                <w:spacing w:val="-8"/>
              </w:rPr>
              <w:t xml:space="preserve"> </w:t>
            </w:r>
            <w:r w:rsidRPr="00EC20A0">
              <w:t>entity has properly summarized the expenditure balances, as described in FAM 495 B, Example Procedures for Tests of Budget Information. See FAM 809.02, Payment Source for Entity’s Employee Health Insurance Contributions.</w:t>
            </w:r>
          </w:p>
        </w:tc>
        <w:tc>
          <w:tcPr>
            <w:tcW w:w="1512" w:type="dxa"/>
            <w:tcBorders>
              <w:top w:val="single" w:sz="6" w:space="0" w:color="000000"/>
              <w:left w:val="single" w:sz="8" w:space="0" w:color="000000"/>
              <w:bottom w:val="single" w:sz="8" w:space="0" w:color="000000"/>
              <w:right w:val="single" w:sz="8" w:space="0" w:color="000000"/>
            </w:tcBorders>
          </w:tcPr>
          <w:p w14:paraId="24D61423" w14:textId="77777777" w:rsidR="00245300" w:rsidRPr="00EC20A0" w:rsidRDefault="00245300">
            <w:pPr>
              <w:pStyle w:val="TableParagraph"/>
              <w:rPr>
                <w:sz w:val="20"/>
              </w:rPr>
            </w:pPr>
          </w:p>
        </w:tc>
        <w:tc>
          <w:tcPr>
            <w:tcW w:w="1440" w:type="dxa"/>
            <w:tcBorders>
              <w:top w:val="single" w:sz="6" w:space="0" w:color="000000"/>
              <w:left w:val="single" w:sz="8" w:space="0" w:color="000000"/>
              <w:bottom w:val="single" w:sz="8" w:space="0" w:color="000000"/>
            </w:tcBorders>
          </w:tcPr>
          <w:p w14:paraId="24D61424" w14:textId="77777777" w:rsidR="00245300" w:rsidRPr="00EC20A0" w:rsidRDefault="00245300">
            <w:pPr>
              <w:pStyle w:val="TableParagraph"/>
              <w:rPr>
                <w:sz w:val="20"/>
              </w:rPr>
            </w:pPr>
          </w:p>
        </w:tc>
      </w:tr>
    </w:tbl>
    <w:p w14:paraId="24D61426" w14:textId="77777777" w:rsidR="00245300" w:rsidRPr="00EC20A0" w:rsidRDefault="00245300">
      <w:pPr>
        <w:rPr>
          <w:sz w:val="20"/>
        </w:rPr>
        <w:sectPr w:rsidR="00245300" w:rsidRPr="00EC20A0">
          <w:pgSz w:w="12240" w:h="15840"/>
          <w:pgMar w:top="1380" w:right="1320" w:bottom="940" w:left="1300" w:header="721" w:footer="742" w:gutter="0"/>
          <w:cols w:space="720"/>
        </w:sectPr>
      </w:pPr>
    </w:p>
    <w:p w14:paraId="24D61427" w14:textId="77777777" w:rsidR="00245300" w:rsidRPr="00EC20A0" w:rsidRDefault="00245300">
      <w:pPr>
        <w:pStyle w:val="BodyText"/>
        <w:spacing w:before="4" w:after="1"/>
        <w:rPr>
          <w:sz w:val="8"/>
        </w:rPr>
      </w:pPr>
    </w:p>
    <w:tbl>
      <w:tblPr>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08"/>
        <w:gridCol w:w="1512"/>
        <w:gridCol w:w="1440"/>
      </w:tblGrid>
      <w:tr w:rsidR="00245300" w:rsidRPr="00EC20A0" w14:paraId="24D61429" w14:textId="77777777">
        <w:trPr>
          <w:trHeight w:val="1335"/>
        </w:trPr>
        <w:tc>
          <w:tcPr>
            <w:tcW w:w="9360" w:type="dxa"/>
            <w:gridSpan w:val="3"/>
          </w:tcPr>
          <w:p w14:paraId="24D61428" w14:textId="77777777" w:rsidR="00245300" w:rsidRPr="00EC20A0" w:rsidRDefault="00F17249">
            <w:pPr>
              <w:pStyle w:val="TableParagraph"/>
              <w:tabs>
                <w:tab w:val="left" w:pos="8943"/>
              </w:tabs>
              <w:spacing w:before="7" w:line="390" w:lineRule="atLeast"/>
              <w:ind w:left="130" w:right="368" w:hanging="1"/>
              <w:jc w:val="both"/>
            </w:pPr>
            <w:r w:rsidRPr="00EC20A0">
              <w:t>Name of entity:</w:t>
            </w:r>
            <w:r w:rsidRPr="00EC20A0">
              <w:rPr>
                <w:spacing w:val="177"/>
              </w:rPr>
              <w:t xml:space="preserve"> </w:t>
            </w:r>
            <w:r w:rsidRPr="00EC20A0">
              <w:rPr>
                <w:u w:val="single"/>
              </w:rPr>
              <w:tab/>
            </w:r>
            <w:r w:rsidRPr="00EC20A0">
              <w:t xml:space="preserve"> Audit period:</w:t>
            </w:r>
            <w:r w:rsidRPr="00EC20A0">
              <w:rPr>
                <w:spacing w:val="178"/>
              </w:rPr>
              <w:t xml:space="preserve"> </w:t>
            </w:r>
            <w:r w:rsidRPr="00EC20A0">
              <w:rPr>
                <w:u w:val="single"/>
              </w:rPr>
              <w:tab/>
            </w:r>
            <w:r w:rsidRPr="00EC20A0">
              <w:t xml:space="preserve"> Reviewed by:</w:t>
            </w:r>
            <w:r w:rsidRPr="00EC20A0">
              <w:rPr>
                <w:spacing w:val="92"/>
              </w:rPr>
              <w:t xml:space="preserve"> </w:t>
            </w:r>
            <w:r w:rsidRPr="00EC20A0">
              <w:rPr>
                <w:u w:val="single"/>
              </w:rPr>
              <w:tab/>
            </w:r>
          </w:p>
        </w:tc>
      </w:tr>
      <w:tr w:rsidR="00245300" w:rsidRPr="00EC20A0" w14:paraId="24D6142F" w14:textId="77777777">
        <w:trPr>
          <w:trHeight w:val="793"/>
        </w:trPr>
        <w:tc>
          <w:tcPr>
            <w:tcW w:w="6408" w:type="dxa"/>
            <w:tcBorders>
              <w:right w:val="single" w:sz="8" w:space="0" w:color="000000"/>
            </w:tcBorders>
          </w:tcPr>
          <w:p w14:paraId="24D6142A" w14:textId="77777777" w:rsidR="00245300" w:rsidRPr="00EC20A0" w:rsidRDefault="00245300">
            <w:pPr>
              <w:pStyle w:val="TableParagraph"/>
              <w:spacing w:before="144"/>
            </w:pPr>
          </w:p>
          <w:p w14:paraId="24D6142B" w14:textId="77777777" w:rsidR="00245300" w:rsidRPr="00EC20A0" w:rsidRDefault="00F17249">
            <w:pPr>
              <w:pStyle w:val="TableParagraph"/>
              <w:ind w:left="129"/>
              <w:rPr>
                <w:b/>
              </w:rPr>
            </w:pPr>
            <w:r w:rsidRPr="00EC20A0">
              <w:rPr>
                <w:b/>
              </w:rPr>
              <w:t>Audit</w:t>
            </w:r>
            <w:r w:rsidRPr="00EC20A0">
              <w:rPr>
                <w:b/>
                <w:spacing w:val="-7"/>
              </w:rPr>
              <w:t xml:space="preserve"> </w:t>
            </w:r>
            <w:r w:rsidRPr="00EC20A0">
              <w:rPr>
                <w:b/>
                <w:spacing w:val="-2"/>
              </w:rPr>
              <w:t>procedures</w:t>
            </w:r>
          </w:p>
        </w:tc>
        <w:tc>
          <w:tcPr>
            <w:tcW w:w="1512" w:type="dxa"/>
            <w:tcBorders>
              <w:left w:val="single" w:sz="8" w:space="0" w:color="000000"/>
              <w:right w:val="single" w:sz="8" w:space="0" w:color="000000"/>
            </w:tcBorders>
          </w:tcPr>
          <w:p w14:paraId="24D6142C" w14:textId="77777777" w:rsidR="00245300" w:rsidRPr="00EC20A0" w:rsidRDefault="00F17249">
            <w:pPr>
              <w:pStyle w:val="TableParagraph"/>
              <w:spacing w:before="144"/>
              <w:ind w:left="142" w:right="193"/>
              <w:rPr>
                <w:b/>
              </w:rPr>
            </w:pPr>
            <w:r w:rsidRPr="00EC20A0">
              <w:rPr>
                <w:b/>
                <w:spacing w:val="-2"/>
              </w:rPr>
              <w:t xml:space="preserve">Initials/ </w:t>
            </w:r>
            <w:r w:rsidRPr="00EC20A0">
              <w:rPr>
                <w:b/>
                <w:spacing w:val="-4"/>
              </w:rPr>
              <w:t>date</w:t>
            </w:r>
          </w:p>
        </w:tc>
        <w:tc>
          <w:tcPr>
            <w:tcW w:w="1440" w:type="dxa"/>
            <w:tcBorders>
              <w:left w:val="single" w:sz="8" w:space="0" w:color="000000"/>
            </w:tcBorders>
          </w:tcPr>
          <w:p w14:paraId="24D6142D" w14:textId="77777777" w:rsidR="00245300" w:rsidRPr="00EC20A0" w:rsidRDefault="00245300">
            <w:pPr>
              <w:pStyle w:val="TableParagraph"/>
              <w:spacing w:before="144"/>
            </w:pPr>
          </w:p>
          <w:p w14:paraId="24D6142E" w14:textId="77777777" w:rsidR="00245300" w:rsidRPr="00EC20A0" w:rsidRDefault="00F17249">
            <w:pPr>
              <w:pStyle w:val="TableParagraph"/>
              <w:ind w:left="142"/>
              <w:rPr>
                <w:b/>
              </w:rPr>
            </w:pPr>
            <w:r w:rsidRPr="00EC20A0">
              <w:rPr>
                <w:b/>
              </w:rPr>
              <w:t>Doc.</w:t>
            </w:r>
            <w:r w:rsidRPr="00EC20A0">
              <w:rPr>
                <w:b/>
                <w:spacing w:val="-6"/>
              </w:rPr>
              <w:t xml:space="preserve"> </w:t>
            </w:r>
            <w:r w:rsidRPr="00EC20A0">
              <w:rPr>
                <w:b/>
                <w:spacing w:val="-4"/>
              </w:rPr>
              <w:t>ref.</w:t>
            </w:r>
          </w:p>
        </w:tc>
      </w:tr>
      <w:tr w:rsidR="00245300" w:rsidRPr="00EC20A0" w14:paraId="24D61433" w14:textId="77777777">
        <w:trPr>
          <w:trHeight w:val="2059"/>
        </w:trPr>
        <w:tc>
          <w:tcPr>
            <w:tcW w:w="6408" w:type="dxa"/>
            <w:tcBorders>
              <w:bottom w:val="single" w:sz="6" w:space="0" w:color="000000"/>
              <w:right w:val="single" w:sz="8" w:space="0" w:color="000000"/>
            </w:tcBorders>
          </w:tcPr>
          <w:p w14:paraId="24D61430" w14:textId="77777777" w:rsidR="00245300" w:rsidRPr="00EC20A0" w:rsidRDefault="00F17249">
            <w:pPr>
              <w:pStyle w:val="TableParagraph"/>
              <w:tabs>
                <w:tab w:val="left" w:pos="567"/>
              </w:tabs>
              <w:spacing w:before="144"/>
              <w:ind w:left="614" w:right="207" w:hanging="485"/>
            </w:pPr>
            <w:r w:rsidRPr="00EC20A0">
              <w:rPr>
                <w:spacing w:val="-6"/>
              </w:rPr>
              <w:t>5.</w:t>
            </w:r>
            <w:r w:rsidRPr="00EC20A0">
              <w:tab/>
            </w:r>
            <w:r w:rsidRPr="00EC20A0">
              <w:t>Determine whether the entity has effective controls over the proper summarization of the amounts withheld from employees for health insurance costs under this law and the entity contributions for remittance to Treasury. If the entity</w:t>
            </w:r>
            <w:r w:rsidRPr="00EC20A0">
              <w:rPr>
                <w:spacing w:val="-6"/>
              </w:rPr>
              <w:t xml:space="preserve"> </w:t>
            </w:r>
            <w:r w:rsidRPr="00EC20A0">
              <w:t>does</w:t>
            </w:r>
            <w:r w:rsidRPr="00EC20A0">
              <w:rPr>
                <w:spacing w:val="-7"/>
              </w:rPr>
              <w:t xml:space="preserve"> </w:t>
            </w:r>
            <w:r w:rsidRPr="00EC20A0">
              <w:t>not</w:t>
            </w:r>
            <w:r w:rsidRPr="00EC20A0">
              <w:rPr>
                <w:spacing w:val="-6"/>
              </w:rPr>
              <w:t xml:space="preserve"> </w:t>
            </w:r>
            <w:r w:rsidRPr="00EC20A0">
              <w:t>have</w:t>
            </w:r>
            <w:r w:rsidRPr="00EC20A0">
              <w:rPr>
                <w:spacing w:val="-6"/>
              </w:rPr>
              <w:t xml:space="preserve"> </w:t>
            </w:r>
            <w:r w:rsidRPr="00EC20A0">
              <w:t>effective</w:t>
            </w:r>
            <w:r w:rsidRPr="00EC20A0">
              <w:rPr>
                <w:spacing w:val="-6"/>
              </w:rPr>
              <w:t xml:space="preserve"> </w:t>
            </w:r>
            <w:r w:rsidRPr="00EC20A0">
              <w:t>controls</w:t>
            </w:r>
            <w:r w:rsidRPr="00EC20A0">
              <w:rPr>
                <w:spacing w:val="-6"/>
              </w:rPr>
              <w:t xml:space="preserve"> </w:t>
            </w:r>
            <w:r w:rsidRPr="00EC20A0">
              <w:t>for</w:t>
            </w:r>
            <w:r w:rsidRPr="00EC20A0">
              <w:rPr>
                <w:spacing w:val="-6"/>
              </w:rPr>
              <w:t xml:space="preserve"> </w:t>
            </w:r>
            <w:r w:rsidRPr="00EC20A0">
              <w:t>summarization, then test the summarization of the totals that include the items selected for testing in step 1.</w:t>
            </w:r>
          </w:p>
        </w:tc>
        <w:tc>
          <w:tcPr>
            <w:tcW w:w="1512" w:type="dxa"/>
            <w:tcBorders>
              <w:left w:val="single" w:sz="8" w:space="0" w:color="000000"/>
              <w:bottom w:val="single" w:sz="6" w:space="0" w:color="000000"/>
              <w:right w:val="single" w:sz="8" w:space="0" w:color="000000"/>
            </w:tcBorders>
          </w:tcPr>
          <w:p w14:paraId="24D61431" w14:textId="77777777" w:rsidR="00245300" w:rsidRPr="00EC20A0" w:rsidRDefault="00245300">
            <w:pPr>
              <w:pStyle w:val="TableParagraph"/>
              <w:rPr>
                <w:sz w:val="20"/>
              </w:rPr>
            </w:pPr>
          </w:p>
        </w:tc>
        <w:tc>
          <w:tcPr>
            <w:tcW w:w="1440" w:type="dxa"/>
            <w:tcBorders>
              <w:left w:val="single" w:sz="8" w:space="0" w:color="000000"/>
              <w:bottom w:val="single" w:sz="6" w:space="0" w:color="000000"/>
            </w:tcBorders>
          </w:tcPr>
          <w:p w14:paraId="24D61432" w14:textId="77777777" w:rsidR="00245300" w:rsidRPr="00EC20A0" w:rsidRDefault="00245300">
            <w:pPr>
              <w:pStyle w:val="TableParagraph"/>
              <w:rPr>
                <w:sz w:val="20"/>
              </w:rPr>
            </w:pPr>
          </w:p>
        </w:tc>
      </w:tr>
      <w:tr w:rsidR="00245300" w:rsidRPr="00EC20A0" w14:paraId="24D61437" w14:textId="77777777">
        <w:trPr>
          <w:trHeight w:val="2565"/>
        </w:trPr>
        <w:tc>
          <w:tcPr>
            <w:tcW w:w="6408" w:type="dxa"/>
            <w:tcBorders>
              <w:top w:val="single" w:sz="6" w:space="0" w:color="000000"/>
              <w:bottom w:val="single" w:sz="6" w:space="0" w:color="000000"/>
              <w:right w:val="single" w:sz="6" w:space="0" w:color="000000"/>
            </w:tcBorders>
          </w:tcPr>
          <w:p w14:paraId="24D61434" w14:textId="77777777" w:rsidR="00245300" w:rsidRPr="00EC20A0" w:rsidRDefault="00F17249">
            <w:pPr>
              <w:pStyle w:val="TableParagraph"/>
              <w:tabs>
                <w:tab w:val="left" w:pos="567"/>
              </w:tabs>
              <w:spacing w:before="145"/>
              <w:ind w:left="614" w:right="147" w:hanging="485"/>
            </w:pPr>
            <w:r w:rsidRPr="00EC20A0">
              <w:rPr>
                <w:spacing w:val="-6"/>
              </w:rPr>
              <w:t>6.</w:t>
            </w:r>
            <w:r w:rsidRPr="00EC20A0">
              <w:tab/>
              <w:t xml:space="preserve">Compare the total cost of health insurance on the entity’s records (employee and employer portions) for the </w:t>
            </w:r>
            <w:r w:rsidRPr="00EC20A0">
              <w:t>selected</w:t>
            </w:r>
            <w:r w:rsidRPr="00EC20A0">
              <w:rPr>
                <w:spacing w:val="-5"/>
              </w:rPr>
              <w:t xml:space="preserve"> </w:t>
            </w:r>
            <w:r w:rsidRPr="00EC20A0">
              <w:t>pay</w:t>
            </w:r>
            <w:r w:rsidRPr="00EC20A0">
              <w:rPr>
                <w:spacing w:val="-5"/>
              </w:rPr>
              <w:t xml:space="preserve"> </w:t>
            </w:r>
            <w:r w:rsidRPr="00EC20A0">
              <w:t>period</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deposit</w:t>
            </w:r>
            <w:r w:rsidRPr="00EC20A0">
              <w:rPr>
                <w:spacing w:val="-5"/>
              </w:rPr>
              <w:t xml:space="preserve"> </w:t>
            </w:r>
            <w:r w:rsidRPr="00EC20A0">
              <w:t>made</w:t>
            </w:r>
            <w:r w:rsidRPr="00EC20A0">
              <w:rPr>
                <w:spacing w:val="-4"/>
              </w:rPr>
              <w:t xml:space="preserve"> </w:t>
            </w:r>
            <w:r w:rsidRPr="00EC20A0">
              <w:t>into</w:t>
            </w:r>
            <w:r w:rsidRPr="00EC20A0">
              <w:rPr>
                <w:spacing w:val="-5"/>
              </w:rPr>
              <w:t xml:space="preserve"> </w:t>
            </w:r>
            <w:r w:rsidRPr="00EC20A0">
              <w:t>the</w:t>
            </w:r>
            <w:r w:rsidRPr="00EC20A0">
              <w:rPr>
                <w:spacing w:val="-5"/>
              </w:rPr>
              <w:t xml:space="preserve"> </w:t>
            </w:r>
            <w:r w:rsidRPr="00EC20A0">
              <w:t>Treasury and the documentation sent to OPM, and obtain an explanation</w:t>
            </w:r>
            <w:r w:rsidRPr="00EC20A0">
              <w:rPr>
                <w:spacing w:val="-7"/>
              </w:rPr>
              <w:t xml:space="preserve"> </w:t>
            </w:r>
            <w:r w:rsidRPr="00EC20A0">
              <w:t>and</w:t>
            </w:r>
            <w:r w:rsidRPr="00EC20A0">
              <w:rPr>
                <w:spacing w:val="-6"/>
              </w:rPr>
              <w:t xml:space="preserve"> </w:t>
            </w:r>
            <w:r w:rsidRPr="00EC20A0">
              <w:t>examine</w:t>
            </w:r>
            <w:r w:rsidRPr="00EC20A0">
              <w:rPr>
                <w:spacing w:val="-6"/>
              </w:rPr>
              <w:t xml:space="preserve"> </w:t>
            </w:r>
            <w:r w:rsidRPr="00EC20A0">
              <w:t>support</w:t>
            </w:r>
            <w:r w:rsidRPr="00EC20A0">
              <w:rPr>
                <w:spacing w:val="-6"/>
              </w:rPr>
              <w:t xml:space="preserve"> </w:t>
            </w:r>
            <w:r w:rsidRPr="00EC20A0">
              <w:t>for</w:t>
            </w:r>
            <w:r w:rsidRPr="00EC20A0">
              <w:rPr>
                <w:spacing w:val="-6"/>
              </w:rPr>
              <w:t xml:space="preserve"> </w:t>
            </w:r>
            <w:r w:rsidRPr="00EC20A0">
              <w:t>any</w:t>
            </w:r>
            <w:r w:rsidRPr="00EC20A0">
              <w:rPr>
                <w:spacing w:val="-6"/>
              </w:rPr>
              <w:t xml:space="preserve"> </w:t>
            </w:r>
            <w:r w:rsidRPr="00EC20A0">
              <w:t>differences.</w:t>
            </w:r>
            <w:r w:rsidRPr="00EC20A0">
              <w:rPr>
                <w:spacing w:val="-6"/>
              </w:rPr>
              <w:t xml:space="preserve"> </w:t>
            </w:r>
            <w:r w:rsidRPr="00EC20A0">
              <w:t xml:space="preserve">The funds should be deposited into the Treasury to the credit of the Employees Health </w:t>
            </w:r>
            <w:r w:rsidRPr="00EC20A0">
              <w:t>Benefits Fund. See FAM</w:t>
            </w:r>
            <w:r w:rsidRPr="00EC20A0">
              <w:rPr>
                <w:spacing w:val="40"/>
              </w:rPr>
              <w:t xml:space="preserve"> </w:t>
            </w:r>
            <w:r w:rsidRPr="00EC20A0">
              <w:t xml:space="preserve">809.04, Deposits into the Employees Health Benefits </w:t>
            </w:r>
            <w:r w:rsidRPr="00EC20A0">
              <w:rPr>
                <w:spacing w:val="-2"/>
              </w:rPr>
              <w:t>Fund.</w:t>
            </w:r>
          </w:p>
        </w:tc>
        <w:tc>
          <w:tcPr>
            <w:tcW w:w="1512" w:type="dxa"/>
            <w:tcBorders>
              <w:top w:val="single" w:sz="6" w:space="0" w:color="000000"/>
              <w:left w:val="single" w:sz="6" w:space="0" w:color="000000"/>
              <w:bottom w:val="single" w:sz="6" w:space="0" w:color="000000"/>
              <w:right w:val="single" w:sz="6" w:space="0" w:color="000000"/>
            </w:tcBorders>
          </w:tcPr>
          <w:p w14:paraId="24D61435" w14:textId="77777777" w:rsidR="00245300" w:rsidRPr="00EC20A0" w:rsidRDefault="00245300">
            <w:pPr>
              <w:pStyle w:val="TableParagraph"/>
              <w:rPr>
                <w:sz w:val="20"/>
              </w:rPr>
            </w:pPr>
          </w:p>
        </w:tc>
        <w:tc>
          <w:tcPr>
            <w:tcW w:w="1440" w:type="dxa"/>
            <w:tcBorders>
              <w:top w:val="single" w:sz="6" w:space="0" w:color="000000"/>
              <w:left w:val="single" w:sz="6" w:space="0" w:color="000000"/>
              <w:bottom w:val="single" w:sz="6" w:space="0" w:color="000000"/>
            </w:tcBorders>
          </w:tcPr>
          <w:p w14:paraId="24D61436" w14:textId="77777777" w:rsidR="00245300" w:rsidRPr="00EC20A0" w:rsidRDefault="00245300">
            <w:pPr>
              <w:pStyle w:val="TableParagraph"/>
              <w:rPr>
                <w:sz w:val="20"/>
              </w:rPr>
            </w:pPr>
          </w:p>
        </w:tc>
      </w:tr>
      <w:tr w:rsidR="00245300" w:rsidRPr="00EC20A0" w14:paraId="24D6143F" w14:textId="77777777">
        <w:trPr>
          <w:trHeight w:val="5224"/>
        </w:trPr>
        <w:tc>
          <w:tcPr>
            <w:tcW w:w="6408" w:type="dxa"/>
            <w:tcBorders>
              <w:top w:val="single" w:sz="6" w:space="0" w:color="000000"/>
              <w:bottom w:val="single" w:sz="8" w:space="0" w:color="000000"/>
              <w:right w:val="single" w:sz="8" w:space="0" w:color="000000"/>
            </w:tcBorders>
          </w:tcPr>
          <w:p w14:paraId="24D61438" w14:textId="77777777" w:rsidR="00245300" w:rsidRPr="00EC20A0" w:rsidRDefault="00F17249">
            <w:pPr>
              <w:pStyle w:val="TableParagraph"/>
              <w:numPr>
                <w:ilvl w:val="0"/>
                <w:numId w:val="127"/>
              </w:numPr>
              <w:tabs>
                <w:tab w:val="left" w:pos="567"/>
                <w:tab w:val="left" w:pos="614"/>
              </w:tabs>
              <w:spacing w:before="143"/>
              <w:ind w:right="134" w:hanging="485"/>
            </w:pPr>
            <w:r w:rsidRPr="00EC20A0">
              <w:t>If</w:t>
            </w:r>
            <w:r w:rsidRPr="00EC20A0">
              <w:rPr>
                <w:spacing w:val="-2"/>
              </w:rPr>
              <w:t xml:space="preserve"> </w:t>
            </w:r>
            <w:r w:rsidRPr="00EC20A0">
              <w:t>the</w:t>
            </w:r>
            <w:r w:rsidRPr="00EC20A0">
              <w:rPr>
                <w:spacing w:val="-2"/>
              </w:rPr>
              <w:t xml:space="preserve"> </w:t>
            </w:r>
            <w:r w:rsidRPr="00EC20A0">
              <w:t>entity</w:t>
            </w:r>
            <w:r w:rsidRPr="00EC20A0">
              <w:rPr>
                <w:spacing w:val="-3"/>
              </w:rPr>
              <w:t xml:space="preserve"> </w:t>
            </w:r>
            <w:r w:rsidRPr="00EC20A0">
              <w:t>does</w:t>
            </w:r>
            <w:r w:rsidRPr="00EC20A0">
              <w:rPr>
                <w:spacing w:val="-2"/>
              </w:rPr>
              <w:t xml:space="preserve"> </w:t>
            </w:r>
            <w:r w:rsidRPr="00EC20A0">
              <w:t>not</w:t>
            </w:r>
            <w:r w:rsidRPr="00EC20A0">
              <w:rPr>
                <w:spacing w:val="-2"/>
              </w:rPr>
              <w:t xml:space="preserve"> </w:t>
            </w:r>
            <w:r w:rsidRPr="00EC20A0">
              <w:t>appear</w:t>
            </w:r>
            <w:r w:rsidRPr="00EC20A0">
              <w:rPr>
                <w:spacing w:val="-2"/>
              </w:rPr>
              <w:t xml:space="preserve"> </w:t>
            </w:r>
            <w:r w:rsidRPr="00EC20A0">
              <w:t>to</w:t>
            </w:r>
            <w:r w:rsidRPr="00EC20A0">
              <w:rPr>
                <w:spacing w:val="-2"/>
              </w:rPr>
              <w:t xml:space="preserve"> </w:t>
            </w:r>
            <w:r w:rsidRPr="00EC20A0">
              <w:t>be</w:t>
            </w:r>
            <w:r w:rsidRPr="00EC20A0">
              <w:rPr>
                <w:spacing w:val="-2"/>
              </w:rPr>
              <w:t xml:space="preserve"> </w:t>
            </w:r>
            <w:r w:rsidRPr="00EC20A0">
              <w:t>in</w:t>
            </w:r>
            <w:r w:rsidRPr="00EC20A0">
              <w:rPr>
                <w:spacing w:val="-3"/>
              </w:rPr>
              <w:t xml:space="preserve"> </w:t>
            </w:r>
            <w:r w:rsidRPr="00EC20A0">
              <w:t>compliance</w:t>
            </w:r>
            <w:r w:rsidRPr="00EC20A0">
              <w:rPr>
                <w:spacing w:val="-3"/>
              </w:rPr>
              <w:t xml:space="preserve"> </w:t>
            </w:r>
            <w:r w:rsidRPr="00EC20A0">
              <w:t>based</w:t>
            </w:r>
            <w:r w:rsidRPr="00EC20A0">
              <w:rPr>
                <w:spacing w:val="-2"/>
              </w:rPr>
              <w:t xml:space="preserve"> </w:t>
            </w:r>
            <w:r w:rsidRPr="00EC20A0">
              <w:t xml:space="preserve">on the results of tests performed, then the auditor should discuss these matters with OGC and, when </w:t>
            </w:r>
            <w:r w:rsidRPr="00EC20A0">
              <w:t>appropriate, the Special Investigator Unit to conclude on whether noncompliance</w:t>
            </w:r>
            <w:r w:rsidRPr="00EC20A0">
              <w:rPr>
                <w:spacing w:val="-7"/>
              </w:rPr>
              <w:t xml:space="preserve"> </w:t>
            </w:r>
            <w:r w:rsidRPr="00EC20A0">
              <w:t>actually</w:t>
            </w:r>
            <w:r w:rsidRPr="00EC20A0">
              <w:rPr>
                <w:spacing w:val="-8"/>
              </w:rPr>
              <w:t xml:space="preserve"> </w:t>
            </w:r>
            <w:r w:rsidRPr="00EC20A0">
              <w:t>has</w:t>
            </w:r>
            <w:r w:rsidRPr="00EC20A0">
              <w:rPr>
                <w:spacing w:val="-7"/>
              </w:rPr>
              <w:t xml:space="preserve"> </w:t>
            </w:r>
            <w:r w:rsidRPr="00EC20A0">
              <w:t>occurred</w:t>
            </w:r>
            <w:r w:rsidRPr="00EC20A0">
              <w:rPr>
                <w:spacing w:val="-7"/>
              </w:rPr>
              <w:t xml:space="preserve"> </w:t>
            </w:r>
            <w:r w:rsidRPr="00EC20A0">
              <w:t>and</w:t>
            </w:r>
            <w:r w:rsidRPr="00EC20A0">
              <w:rPr>
                <w:spacing w:val="-7"/>
              </w:rPr>
              <w:t xml:space="preserve"> </w:t>
            </w:r>
            <w:r w:rsidRPr="00EC20A0">
              <w:t>the</w:t>
            </w:r>
            <w:r w:rsidRPr="00EC20A0">
              <w:rPr>
                <w:spacing w:val="-7"/>
              </w:rPr>
              <w:t xml:space="preserve"> </w:t>
            </w:r>
            <w:r w:rsidRPr="00EC20A0">
              <w:t>implications of such noncompliance. For any noncompliance noted, the auditor should</w:t>
            </w:r>
          </w:p>
          <w:p w14:paraId="24D61439" w14:textId="77777777" w:rsidR="00245300" w:rsidRPr="00EC20A0" w:rsidRDefault="00F17249">
            <w:pPr>
              <w:pStyle w:val="TableParagraph"/>
              <w:numPr>
                <w:ilvl w:val="1"/>
                <w:numId w:val="127"/>
              </w:numPr>
              <w:tabs>
                <w:tab w:val="left" w:pos="974"/>
                <w:tab w:val="left" w:pos="979"/>
              </w:tabs>
              <w:spacing w:before="144"/>
              <w:ind w:right="629" w:hanging="360"/>
            </w:pPr>
            <w:r w:rsidRPr="00EC20A0">
              <w:t>identify</w:t>
            </w:r>
            <w:r w:rsidRPr="00EC20A0">
              <w:rPr>
                <w:spacing w:val="-6"/>
              </w:rPr>
              <w:t xml:space="preserve"> </w:t>
            </w:r>
            <w:r w:rsidRPr="00EC20A0">
              <w:t>the</w:t>
            </w:r>
            <w:r w:rsidRPr="00EC20A0">
              <w:rPr>
                <w:spacing w:val="-7"/>
              </w:rPr>
              <w:t xml:space="preserve"> </w:t>
            </w:r>
            <w:r w:rsidRPr="00EC20A0">
              <w:t>weakness</w:t>
            </w:r>
            <w:r w:rsidRPr="00EC20A0">
              <w:rPr>
                <w:spacing w:val="-6"/>
              </w:rPr>
              <w:t xml:space="preserve"> </w:t>
            </w:r>
            <w:r w:rsidRPr="00EC20A0">
              <w:t>in</w:t>
            </w:r>
            <w:r w:rsidRPr="00EC20A0">
              <w:rPr>
                <w:spacing w:val="-7"/>
              </w:rPr>
              <w:t xml:space="preserve"> </w:t>
            </w:r>
            <w:r w:rsidRPr="00EC20A0">
              <w:t>compliance</w:t>
            </w:r>
            <w:r w:rsidRPr="00EC20A0">
              <w:rPr>
                <w:spacing w:val="-7"/>
              </w:rPr>
              <w:t xml:space="preserve"> </w:t>
            </w:r>
            <w:r w:rsidRPr="00EC20A0">
              <w:t>controls</w:t>
            </w:r>
            <w:r w:rsidRPr="00EC20A0">
              <w:rPr>
                <w:spacing w:val="-6"/>
              </w:rPr>
              <w:t xml:space="preserve"> </w:t>
            </w:r>
            <w:r w:rsidRPr="00EC20A0">
              <w:t>that allowed the</w:t>
            </w:r>
            <w:r w:rsidRPr="00EC20A0">
              <w:rPr>
                <w:spacing w:val="-1"/>
              </w:rPr>
              <w:t xml:space="preserve"> </w:t>
            </w:r>
            <w:r w:rsidRPr="00EC20A0">
              <w:t xml:space="preserve">noncompliance to occur, if it was not previously identified during compliance control </w:t>
            </w:r>
            <w:r w:rsidRPr="00EC20A0">
              <w:rPr>
                <w:spacing w:val="-2"/>
              </w:rPr>
              <w:t>testing;</w:t>
            </w:r>
          </w:p>
          <w:p w14:paraId="24D6143A" w14:textId="77777777" w:rsidR="00245300" w:rsidRPr="00EC20A0" w:rsidRDefault="00F17249">
            <w:pPr>
              <w:pStyle w:val="TableParagraph"/>
              <w:numPr>
                <w:ilvl w:val="1"/>
                <w:numId w:val="127"/>
              </w:numPr>
              <w:tabs>
                <w:tab w:val="left" w:pos="974"/>
              </w:tabs>
              <w:spacing w:before="143"/>
              <w:ind w:left="974" w:right="225" w:hanging="360"/>
            </w:pPr>
            <w:r w:rsidRPr="00EC20A0">
              <w:t>determine</w:t>
            </w:r>
            <w:r w:rsidRPr="00EC20A0">
              <w:rPr>
                <w:spacing w:val="-5"/>
              </w:rPr>
              <w:t xml:space="preserve"> </w:t>
            </w:r>
            <w:r w:rsidRPr="00EC20A0">
              <w:t>the</w:t>
            </w:r>
            <w:r w:rsidRPr="00EC20A0">
              <w:rPr>
                <w:spacing w:val="-5"/>
              </w:rPr>
              <w:t xml:space="preserve"> </w:t>
            </w:r>
            <w:r w:rsidRPr="00EC20A0">
              <w:t>impact</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report</w:t>
            </w:r>
            <w:r w:rsidRPr="00EC20A0">
              <w:rPr>
                <w:spacing w:val="-5"/>
              </w:rPr>
              <w:t xml:space="preserve"> </w:t>
            </w:r>
            <w:r w:rsidRPr="00EC20A0">
              <w:t>on</w:t>
            </w:r>
            <w:r w:rsidRPr="00EC20A0">
              <w:rPr>
                <w:spacing w:val="-5"/>
              </w:rPr>
              <w:t xml:space="preserve"> </w:t>
            </w:r>
            <w:r w:rsidRPr="00EC20A0">
              <w:t>internal</w:t>
            </w:r>
            <w:r w:rsidRPr="00EC20A0">
              <w:rPr>
                <w:spacing w:val="-5"/>
              </w:rPr>
              <w:t xml:space="preserve"> </w:t>
            </w:r>
            <w:r w:rsidRPr="00EC20A0">
              <w:t>control as appropriate (see FAM 580.56–.85);</w:t>
            </w:r>
          </w:p>
          <w:p w14:paraId="24D6143B" w14:textId="77777777" w:rsidR="00245300" w:rsidRPr="00EC20A0" w:rsidRDefault="00F17249">
            <w:pPr>
              <w:pStyle w:val="TableParagraph"/>
              <w:numPr>
                <w:ilvl w:val="1"/>
                <w:numId w:val="127"/>
              </w:numPr>
              <w:tabs>
                <w:tab w:val="left" w:pos="974"/>
              </w:tabs>
              <w:spacing w:before="142"/>
              <w:ind w:left="974" w:right="752" w:hanging="360"/>
            </w:pPr>
            <w:r w:rsidRPr="00EC20A0">
              <w:t xml:space="preserve">consider the implications of any instances of </w:t>
            </w:r>
            <w:r w:rsidRPr="00EC20A0">
              <w:t>noncompliance</w:t>
            </w:r>
            <w:r w:rsidRPr="00EC20A0">
              <w:rPr>
                <w:spacing w:val="-8"/>
              </w:rPr>
              <w:t xml:space="preserve"> </w:t>
            </w:r>
            <w:r w:rsidRPr="00EC20A0">
              <w:t>on</w:t>
            </w:r>
            <w:r w:rsidRPr="00EC20A0">
              <w:rPr>
                <w:spacing w:val="-8"/>
              </w:rPr>
              <w:t xml:space="preserve"> </w:t>
            </w:r>
            <w:r w:rsidRPr="00EC20A0">
              <w:t>the</w:t>
            </w:r>
            <w:r w:rsidRPr="00EC20A0">
              <w:rPr>
                <w:spacing w:val="-8"/>
              </w:rPr>
              <w:t xml:space="preserve"> </w:t>
            </w:r>
            <w:r w:rsidRPr="00EC20A0">
              <w:t>financial</w:t>
            </w:r>
            <w:r w:rsidRPr="00EC20A0">
              <w:rPr>
                <w:spacing w:val="-8"/>
              </w:rPr>
              <w:t xml:space="preserve"> </w:t>
            </w:r>
            <w:r w:rsidRPr="00EC20A0">
              <w:t>statements;</w:t>
            </w:r>
            <w:r w:rsidRPr="00EC20A0">
              <w:rPr>
                <w:spacing w:val="-8"/>
              </w:rPr>
              <w:t xml:space="preserve"> </w:t>
            </w:r>
            <w:r w:rsidRPr="00EC20A0">
              <w:t>and</w:t>
            </w:r>
          </w:p>
          <w:p w14:paraId="24D6143C" w14:textId="77777777" w:rsidR="00245300" w:rsidRPr="00EC20A0" w:rsidRDefault="00F17249">
            <w:pPr>
              <w:pStyle w:val="TableParagraph"/>
              <w:numPr>
                <w:ilvl w:val="1"/>
                <w:numId w:val="127"/>
              </w:numPr>
              <w:tabs>
                <w:tab w:val="left" w:pos="974"/>
              </w:tabs>
              <w:spacing w:before="143"/>
              <w:ind w:left="974" w:right="520" w:hanging="360"/>
            </w:pPr>
            <w:r w:rsidRPr="00EC20A0">
              <w:t>report</w:t>
            </w:r>
            <w:r w:rsidRPr="00EC20A0">
              <w:rPr>
                <w:spacing w:val="-8"/>
              </w:rPr>
              <w:t xml:space="preserve"> </w:t>
            </w:r>
            <w:r w:rsidRPr="00EC20A0">
              <w:t>instances</w:t>
            </w:r>
            <w:r w:rsidRPr="00EC20A0">
              <w:rPr>
                <w:spacing w:val="-8"/>
              </w:rPr>
              <w:t xml:space="preserve"> </w:t>
            </w:r>
            <w:r w:rsidRPr="00EC20A0">
              <w:t>of</w:t>
            </w:r>
            <w:r w:rsidRPr="00EC20A0">
              <w:rPr>
                <w:spacing w:val="-8"/>
              </w:rPr>
              <w:t xml:space="preserve"> </w:t>
            </w:r>
            <w:r w:rsidRPr="00EC20A0">
              <w:t>noncompliance,</w:t>
            </w:r>
            <w:r w:rsidRPr="00EC20A0">
              <w:rPr>
                <w:spacing w:val="-9"/>
              </w:rPr>
              <w:t xml:space="preserve"> </w:t>
            </w:r>
            <w:r w:rsidRPr="00EC20A0">
              <w:t>as</w:t>
            </w:r>
            <w:r w:rsidRPr="00EC20A0">
              <w:rPr>
                <w:spacing w:val="-8"/>
              </w:rPr>
              <w:t xml:space="preserve"> </w:t>
            </w:r>
            <w:r w:rsidRPr="00EC20A0">
              <w:t>appropriate (see FAM 580.91–.99).</w:t>
            </w:r>
          </w:p>
        </w:tc>
        <w:tc>
          <w:tcPr>
            <w:tcW w:w="1512" w:type="dxa"/>
            <w:tcBorders>
              <w:top w:val="single" w:sz="6" w:space="0" w:color="000000"/>
              <w:left w:val="single" w:sz="8" w:space="0" w:color="000000"/>
              <w:bottom w:val="single" w:sz="8" w:space="0" w:color="000000"/>
              <w:right w:val="single" w:sz="8" w:space="0" w:color="000000"/>
            </w:tcBorders>
          </w:tcPr>
          <w:p w14:paraId="24D6143D" w14:textId="77777777" w:rsidR="00245300" w:rsidRPr="00EC20A0" w:rsidRDefault="00245300">
            <w:pPr>
              <w:pStyle w:val="TableParagraph"/>
              <w:rPr>
                <w:sz w:val="20"/>
              </w:rPr>
            </w:pPr>
          </w:p>
        </w:tc>
        <w:tc>
          <w:tcPr>
            <w:tcW w:w="1440" w:type="dxa"/>
            <w:tcBorders>
              <w:top w:val="single" w:sz="6" w:space="0" w:color="000000"/>
              <w:left w:val="single" w:sz="8" w:space="0" w:color="000000"/>
              <w:bottom w:val="single" w:sz="8" w:space="0" w:color="000000"/>
            </w:tcBorders>
          </w:tcPr>
          <w:p w14:paraId="24D6143E" w14:textId="77777777" w:rsidR="00245300" w:rsidRPr="00EC20A0" w:rsidRDefault="00245300">
            <w:pPr>
              <w:pStyle w:val="TableParagraph"/>
              <w:rPr>
                <w:sz w:val="20"/>
              </w:rPr>
            </w:pPr>
          </w:p>
        </w:tc>
      </w:tr>
      <w:tr w:rsidR="00245300" w:rsidRPr="00EC20A0" w14:paraId="24D61443" w14:textId="77777777">
        <w:trPr>
          <w:trHeight w:val="795"/>
        </w:trPr>
        <w:tc>
          <w:tcPr>
            <w:tcW w:w="6408" w:type="dxa"/>
            <w:tcBorders>
              <w:top w:val="single" w:sz="8" w:space="0" w:color="000000"/>
              <w:right w:val="single" w:sz="8" w:space="0" w:color="000000"/>
            </w:tcBorders>
          </w:tcPr>
          <w:p w14:paraId="24D61440" w14:textId="77777777" w:rsidR="00245300" w:rsidRPr="00EC20A0" w:rsidRDefault="00F17249">
            <w:pPr>
              <w:pStyle w:val="TableParagraph"/>
              <w:tabs>
                <w:tab w:val="left" w:pos="567"/>
              </w:tabs>
              <w:spacing w:before="143"/>
              <w:ind w:left="619" w:right="180" w:hanging="490"/>
            </w:pPr>
            <w:r w:rsidRPr="00EC20A0">
              <w:rPr>
                <w:spacing w:val="-6"/>
              </w:rPr>
              <w:t>8.</w:t>
            </w:r>
            <w:r w:rsidRPr="00EC20A0">
              <w:tab/>
              <w:t>Document</w:t>
            </w:r>
            <w:r w:rsidRPr="00EC20A0">
              <w:rPr>
                <w:spacing w:val="-6"/>
              </w:rPr>
              <w:t xml:space="preserve"> </w:t>
            </w:r>
            <w:r w:rsidRPr="00EC20A0">
              <w:t>conclusions</w:t>
            </w:r>
            <w:r w:rsidRPr="00EC20A0">
              <w:rPr>
                <w:spacing w:val="-6"/>
              </w:rPr>
              <w:t xml:space="preserve"> </w:t>
            </w:r>
            <w:r w:rsidRPr="00EC20A0">
              <w:t>on</w:t>
            </w:r>
            <w:r w:rsidRPr="00EC20A0">
              <w:rPr>
                <w:spacing w:val="-6"/>
              </w:rPr>
              <w:t xml:space="preserve"> </w:t>
            </w:r>
            <w:r w:rsidRPr="00EC20A0">
              <w:t>compliance</w:t>
            </w:r>
            <w:r w:rsidRPr="00EC20A0">
              <w:rPr>
                <w:spacing w:val="-6"/>
              </w:rPr>
              <w:t xml:space="preserve"> </w:t>
            </w:r>
            <w:r w:rsidRPr="00EC20A0">
              <w:t>with</w:t>
            </w:r>
            <w:r w:rsidRPr="00EC20A0">
              <w:rPr>
                <w:spacing w:val="-6"/>
              </w:rPr>
              <w:t xml:space="preserve"> </w:t>
            </w:r>
            <w:r w:rsidRPr="00EC20A0">
              <w:t>each</w:t>
            </w:r>
            <w:r w:rsidRPr="00EC20A0">
              <w:rPr>
                <w:spacing w:val="-7"/>
              </w:rPr>
              <w:t xml:space="preserve"> </w:t>
            </w:r>
            <w:r w:rsidRPr="00EC20A0">
              <w:t>provision on Form 809, Compliance Summary.</w:t>
            </w:r>
          </w:p>
        </w:tc>
        <w:tc>
          <w:tcPr>
            <w:tcW w:w="1512" w:type="dxa"/>
            <w:tcBorders>
              <w:top w:val="single" w:sz="8" w:space="0" w:color="000000"/>
              <w:left w:val="single" w:sz="8" w:space="0" w:color="000000"/>
              <w:right w:val="single" w:sz="8" w:space="0" w:color="000000"/>
            </w:tcBorders>
          </w:tcPr>
          <w:p w14:paraId="24D61441" w14:textId="77777777" w:rsidR="00245300" w:rsidRPr="00EC20A0" w:rsidRDefault="00245300">
            <w:pPr>
              <w:pStyle w:val="TableParagraph"/>
              <w:rPr>
                <w:sz w:val="20"/>
              </w:rPr>
            </w:pPr>
          </w:p>
        </w:tc>
        <w:tc>
          <w:tcPr>
            <w:tcW w:w="1440" w:type="dxa"/>
            <w:tcBorders>
              <w:top w:val="single" w:sz="8" w:space="0" w:color="000000"/>
              <w:left w:val="single" w:sz="8" w:space="0" w:color="000000"/>
            </w:tcBorders>
          </w:tcPr>
          <w:p w14:paraId="24D61442" w14:textId="77777777" w:rsidR="00245300" w:rsidRPr="00EC20A0" w:rsidRDefault="00245300">
            <w:pPr>
              <w:pStyle w:val="TableParagraph"/>
              <w:rPr>
                <w:sz w:val="20"/>
              </w:rPr>
            </w:pPr>
          </w:p>
        </w:tc>
      </w:tr>
    </w:tbl>
    <w:p w14:paraId="24D61444" w14:textId="77777777" w:rsidR="00245300" w:rsidRPr="00EC20A0" w:rsidRDefault="00245300">
      <w:pPr>
        <w:rPr>
          <w:sz w:val="20"/>
        </w:rPr>
        <w:sectPr w:rsidR="00245300" w:rsidRPr="00EC20A0">
          <w:pgSz w:w="12240" w:h="15840"/>
          <w:pgMar w:top="1380" w:right="1320" w:bottom="940" w:left="1300" w:header="721" w:footer="742" w:gutter="0"/>
          <w:cols w:space="720"/>
        </w:sectPr>
      </w:pPr>
    </w:p>
    <w:p w14:paraId="24D61445" w14:textId="77777777" w:rsidR="00245300" w:rsidRPr="00EC20A0" w:rsidRDefault="00F17249">
      <w:pPr>
        <w:tabs>
          <w:tab w:val="left" w:pos="1111"/>
        </w:tabs>
        <w:spacing w:before="82"/>
        <w:ind w:left="1111" w:right="164" w:hanging="972"/>
      </w:pPr>
      <w:r w:rsidRPr="00EC20A0">
        <w:rPr>
          <w:b/>
          <w:spacing w:val="-2"/>
        </w:rPr>
        <w:t>Note:</w:t>
      </w:r>
      <w:r w:rsidRPr="00EC20A0">
        <w:rPr>
          <w:b/>
        </w:rPr>
        <w:tab/>
      </w:r>
      <w:r w:rsidRPr="00EC20A0">
        <w:t xml:space="preserve">If the entity </w:t>
      </w:r>
      <w:r w:rsidRPr="00EC20A0">
        <w:t>outsources payroll processing, then the entity remains responsible for compliance. Dividing responsibility for payroll processing activities between the entity and the service organization could make payroll testing more complicated; however, the auditor should perform the same testing. The auditor may accomplish this testing with the assistance of the service auditor, which may issue an internal control report on</w:t>
      </w:r>
      <w:r w:rsidRPr="00EC20A0">
        <w:rPr>
          <w:spacing w:val="-3"/>
        </w:rPr>
        <w:t xml:space="preserve"> </w:t>
      </w:r>
      <w:r w:rsidRPr="00EC20A0">
        <w:t>the</w:t>
      </w:r>
      <w:r w:rsidRPr="00EC20A0">
        <w:rPr>
          <w:spacing w:val="-3"/>
        </w:rPr>
        <w:t xml:space="preserve"> </w:t>
      </w:r>
      <w:r w:rsidRPr="00EC20A0">
        <w:t>service</w:t>
      </w:r>
      <w:r w:rsidRPr="00EC20A0">
        <w:rPr>
          <w:spacing w:val="-3"/>
        </w:rPr>
        <w:t xml:space="preserve"> </w:t>
      </w:r>
      <w:r w:rsidRPr="00EC20A0">
        <w:t>organization</w:t>
      </w:r>
      <w:r w:rsidRPr="00EC20A0">
        <w:rPr>
          <w:spacing w:val="-3"/>
        </w:rPr>
        <w:t xml:space="preserve"> </w:t>
      </w:r>
      <w:r w:rsidRPr="00EC20A0">
        <w:t>under</w:t>
      </w:r>
      <w:r w:rsidRPr="00EC20A0">
        <w:rPr>
          <w:spacing w:val="-3"/>
        </w:rPr>
        <w:t xml:space="preserve"> </w:t>
      </w:r>
      <w:r w:rsidRPr="00EC20A0">
        <w:t>AT-C</w:t>
      </w:r>
      <w:r w:rsidRPr="00EC20A0">
        <w:rPr>
          <w:spacing w:val="-4"/>
        </w:rPr>
        <w:t xml:space="preserve"> </w:t>
      </w:r>
      <w:r w:rsidRPr="00EC20A0">
        <w:t>320,</w:t>
      </w:r>
      <w:r w:rsidRPr="00EC20A0">
        <w:rPr>
          <w:spacing w:val="-3"/>
        </w:rPr>
        <w:t xml:space="preserve"> </w:t>
      </w:r>
      <w:r w:rsidRPr="00EC20A0">
        <w:rPr>
          <w:i/>
        </w:rPr>
        <w:t>Reporting</w:t>
      </w:r>
      <w:r w:rsidRPr="00EC20A0">
        <w:rPr>
          <w:i/>
          <w:spacing w:val="-3"/>
        </w:rPr>
        <w:t xml:space="preserve"> </w:t>
      </w:r>
      <w:r w:rsidRPr="00EC20A0">
        <w:rPr>
          <w:i/>
        </w:rPr>
        <w:t>on</w:t>
      </w:r>
      <w:r w:rsidRPr="00EC20A0">
        <w:rPr>
          <w:i/>
          <w:spacing w:val="-3"/>
        </w:rPr>
        <w:t xml:space="preserve"> </w:t>
      </w:r>
      <w:r w:rsidRPr="00EC20A0">
        <w:rPr>
          <w:i/>
        </w:rPr>
        <w:t>an</w:t>
      </w:r>
      <w:r w:rsidRPr="00EC20A0">
        <w:rPr>
          <w:i/>
          <w:spacing w:val="-3"/>
        </w:rPr>
        <w:t xml:space="preserve"> </w:t>
      </w:r>
      <w:r w:rsidRPr="00EC20A0">
        <w:rPr>
          <w:i/>
        </w:rPr>
        <w:t>Examination</w:t>
      </w:r>
      <w:r w:rsidRPr="00EC20A0">
        <w:rPr>
          <w:i/>
          <w:spacing w:val="-3"/>
        </w:rPr>
        <w:t xml:space="preserve"> </w:t>
      </w:r>
      <w:r w:rsidRPr="00EC20A0">
        <w:rPr>
          <w:i/>
        </w:rPr>
        <w:t>of</w:t>
      </w:r>
      <w:r w:rsidRPr="00EC20A0">
        <w:rPr>
          <w:i/>
          <w:spacing w:val="-3"/>
        </w:rPr>
        <w:t xml:space="preserve"> </w:t>
      </w:r>
      <w:r w:rsidRPr="00EC20A0">
        <w:rPr>
          <w:i/>
        </w:rPr>
        <w:t xml:space="preserve">Controls at a </w:t>
      </w:r>
      <w:r w:rsidRPr="00EC20A0">
        <w:rPr>
          <w:i/>
        </w:rPr>
        <w:t>Service Organization Relevant to User Entities’ Internal Control Over Financial Reporting</w:t>
      </w:r>
      <w:r w:rsidRPr="00EC20A0">
        <w:t xml:space="preserve">. Another approach may be for the service auditor to assist the entity’s auditor by performing agreed-upon procedures at the service organization (e.g., substantive testing) under AT-C 215, </w:t>
      </w:r>
      <w:r w:rsidRPr="00EC20A0">
        <w:rPr>
          <w:i/>
        </w:rPr>
        <w:t xml:space="preserve">Agreed-Upon Procedures Engagements </w:t>
      </w:r>
      <w:r w:rsidRPr="00EC20A0">
        <w:t>(see FAM 710).</w:t>
      </w:r>
    </w:p>
    <w:p w14:paraId="24D61446" w14:textId="77777777" w:rsidR="00245300" w:rsidRPr="00EC20A0" w:rsidRDefault="00245300">
      <w:pPr>
        <w:sectPr w:rsidR="00245300" w:rsidRPr="00EC20A0">
          <w:pgSz w:w="12240" w:h="15840"/>
          <w:pgMar w:top="1380" w:right="1320" w:bottom="940" w:left="1300" w:header="721" w:footer="742" w:gutter="0"/>
          <w:cols w:space="720"/>
        </w:sectPr>
      </w:pPr>
    </w:p>
    <w:p w14:paraId="24D61447" w14:textId="77777777" w:rsidR="00245300" w:rsidRPr="00EC20A0" w:rsidRDefault="00F17249">
      <w:pPr>
        <w:pStyle w:val="Heading3"/>
        <w:spacing w:before="80"/>
        <w:ind w:right="510"/>
        <w:rPr>
          <w:u w:val="none"/>
        </w:rPr>
      </w:pPr>
      <w:bookmarkStart w:id="251" w:name="810_–_Federal_Employees'_Compensation_Ac"/>
      <w:bookmarkStart w:id="252" w:name="_bookmark138"/>
      <w:bookmarkEnd w:id="251"/>
      <w:bookmarkEnd w:id="252"/>
      <w:r w:rsidRPr="00EC20A0">
        <w:t>810</w:t>
      </w:r>
      <w:r w:rsidRPr="00EC20A0">
        <w:rPr>
          <w:spacing w:val="-4"/>
        </w:rPr>
        <w:t xml:space="preserve"> </w:t>
      </w:r>
      <w:r w:rsidRPr="00EC20A0">
        <w:t>–</w:t>
      </w:r>
      <w:r w:rsidRPr="00EC20A0">
        <w:rPr>
          <w:spacing w:val="-3"/>
        </w:rPr>
        <w:t xml:space="preserve"> </w:t>
      </w:r>
      <w:r w:rsidRPr="00EC20A0">
        <w:t>Federal</w:t>
      </w:r>
      <w:r w:rsidRPr="00EC20A0">
        <w:rPr>
          <w:spacing w:val="-5"/>
        </w:rPr>
        <w:t xml:space="preserve"> </w:t>
      </w:r>
      <w:r w:rsidRPr="00EC20A0">
        <w:t>Employees'</w:t>
      </w:r>
      <w:r w:rsidRPr="00EC20A0">
        <w:rPr>
          <w:spacing w:val="-3"/>
        </w:rPr>
        <w:t xml:space="preserve"> </w:t>
      </w:r>
      <w:r w:rsidRPr="00EC20A0">
        <w:t>Compensation</w:t>
      </w:r>
      <w:r w:rsidRPr="00EC20A0">
        <w:rPr>
          <w:spacing w:val="-15"/>
        </w:rPr>
        <w:t xml:space="preserve"> </w:t>
      </w:r>
      <w:r w:rsidRPr="00EC20A0">
        <w:t>Act</w:t>
      </w:r>
      <w:r w:rsidRPr="00EC20A0">
        <w:rPr>
          <w:spacing w:val="-5"/>
        </w:rPr>
        <w:t xml:space="preserve"> </w:t>
      </w:r>
      <w:r w:rsidRPr="00EC20A0">
        <w:t>(FECA),</w:t>
      </w:r>
      <w:r w:rsidRPr="00EC20A0">
        <w:rPr>
          <w:spacing w:val="-4"/>
        </w:rPr>
        <w:t xml:space="preserve"> </w:t>
      </w:r>
      <w:r w:rsidRPr="00EC20A0">
        <w:t>as</w:t>
      </w:r>
      <w:r w:rsidRPr="00EC20A0">
        <w:rPr>
          <w:spacing w:val="-3"/>
        </w:rPr>
        <w:t xml:space="preserve"> </w:t>
      </w:r>
      <w:r w:rsidRPr="00EC20A0">
        <w:t>Pr</w:t>
      </w:r>
      <w:bookmarkStart w:id="253" w:name="_bookmark139"/>
      <w:bookmarkStart w:id="254" w:name="_bookmark140"/>
      <w:bookmarkEnd w:id="253"/>
      <w:bookmarkEnd w:id="254"/>
      <w:r w:rsidRPr="00EC20A0">
        <w:t>ovided</w:t>
      </w:r>
      <w:r w:rsidRPr="00EC20A0">
        <w:rPr>
          <w:spacing w:val="-4"/>
        </w:rPr>
        <w:t xml:space="preserve"> </w:t>
      </w:r>
      <w:r w:rsidRPr="00EC20A0">
        <w:t>in</w:t>
      </w:r>
      <w:r w:rsidRPr="00EC20A0">
        <w:rPr>
          <w:spacing w:val="-4"/>
        </w:rPr>
        <w:t xml:space="preserve"> </w:t>
      </w:r>
      <w:r w:rsidRPr="00EC20A0">
        <w:t>5</w:t>
      </w:r>
      <w:r w:rsidRPr="00EC20A0">
        <w:rPr>
          <w:spacing w:val="-3"/>
        </w:rPr>
        <w:t xml:space="preserve"> </w:t>
      </w:r>
      <w:r w:rsidRPr="00EC20A0">
        <w:t>U.S.C.</w:t>
      </w:r>
      <w:r w:rsidRPr="00EC20A0">
        <w:rPr>
          <w:spacing w:val="-4"/>
        </w:rPr>
        <w:t xml:space="preserve"> </w:t>
      </w:r>
      <w:r w:rsidRPr="00EC20A0">
        <w:t>Chapter</w:t>
      </w:r>
      <w:r w:rsidRPr="00EC20A0">
        <w:rPr>
          <w:u w:val="none"/>
        </w:rPr>
        <w:t xml:space="preserve"> </w:t>
      </w:r>
      <w:r w:rsidRPr="00EC20A0">
        <w:rPr>
          <w:spacing w:val="-6"/>
        </w:rPr>
        <w:t>81</w:t>
      </w:r>
    </w:p>
    <w:p w14:paraId="24D61448" w14:textId="77777777" w:rsidR="00245300" w:rsidRPr="00EC20A0" w:rsidRDefault="00F17249">
      <w:pPr>
        <w:pStyle w:val="BodyText"/>
        <w:spacing w:before="143"/>
        <w:ind w:left="120" w:right="294"/>
      </w:pPr>
      <w:r w:rsidRPr="00EC20A0">
        <w:t>Note:</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3"/>
        </w:rPr>
        <w:t xml:space="preserve"> </w:t>
      </w:r>
      <w:r w:rsidRPr="00EC20A0">
        <w:t>complete</w:t>
      </w:r>
      <w:r w:rsidRPr="00EC20A0">
        <w:rPr>
          <w:spacing w:val="-3"/>
        </w:rPr>
        <w:t xml:space="preserve"> </w:t>
      </w:r>
      <w:r w:rsidRPr="00EC20A0">
        <w:t>this</w:t>
      </w:r>
      <w:r w:rsidRPr="00EC20A0">
        <w:rPr>
          <w:spacing w:val="-3"/>
        </w:rPr>
        <w:t xml:space="preserve"> </w:t>
      </w:r>
      <w:r w:rsidRPr="00EC20A0">
        <w:t>compliance</w:t>
      </w:r>
      <w:r w:rsidRPr="00EC20A0">
        <w:rPr>
          <w:spacing w:val="-3"/>
        </w:rPr>
        <w:t xml:space="preserve"> </w:t>
      </w:r>
      <w:r w:rsidRPr="00EC20A0">
        <w:t>summary</w:t>
      </w:r>
      <w:r w:rsidRPr="00EC20A0">
        <w:rPr>
          <w:spacing w:val="-3"/>
        </w:rPr>
        <w:t xml:space="preserve"> </w:t>
      </w:r>
      <w:r w:rsidRPr="00EC20A0">
        <w:t>or</w:t>
      </w:r>
      <w:r w:rsidRPr="00EC20A0">
        <w:rPr>
          <w:spacing w:val="-3"/>
        </w:rPr>
        <w:t xml:space="preserve"> </w:t>
      </w:r>
      <w:r w:rsidRPr="00EC20A0">
        <w:t>prepare</w:t>
      </w:r>
      <w:r w:rsidRPr="00EC20A0">
        <w:rPr>
          <w:spacing w:val="-3"/>
        </w:rPr>
        <w:t xml:space="preserve"> </w:t>
      </w:r>
      <w:r w:rsidRPr="00EC20A0">
        <w:t>equivalent</w:t>
      </w:r>
      <w:r w:rsidRPr="00EC20A0">
        <w:rPr>
          <w:spacing w:val="-3"/>
        </w:rPr>
        <w:t xml:space="preserve"> </w:t>
      </w:r>
      <w:r w:rsidRPr="00EC20A0">
        <w:t>documentation</w:t>
      </w:r>
      <w:r w:rsidRPr="00EC20A0">
        <w:rPr>
          <w:spacing w:val="-3"/>
        </w:rPr>
        <w:t xml:space="preserve"> </w:t>
      </w:r>
      <w:r w:rsidRPr="00EC20A0">
        <w:t>only</w:t>
      </w:r>
      <w:r w:rsidRPr="00EC20A0">
        <w:rPr>
          <w:spacing w:val="-3"/>
        </w:rPr>
        <w:t xml:space="preserve"> </w:t>
      </w:r>
      <w:r w:rsidRPr="00EC20A0">
        <w:t>if</w:t>
      </w:r>
      <w:r w:rsidRPr="00EC20A0">
        <w:rPr>
          <w:spacing w:val="-3"/>
        </w:rPr>
        <w:t xml:space="preserve"> </w:t>
      </w:r>
      <w:r w:rsidRPr="00EC20A0">
        <w:t>provisions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Federal Employees’ Compensation Act (FECA), as provided in 5 U.S.C. chapter 81, are significant, as indicated on Form 802, General Compliance Checklist, at page 802-11.</w:t>
      </w:r>
    </w:p>
    <w:p w14:paraId="24D61449" w14:textId="77777777" w:rsidR="00245300" w:rsidRPr="00EC20A0" w:rsidRDefault="00245300">
      <w:pPr>
        <w:pStyle w:val="BodyText"/>
        <w:spacing w:before="5"/>
        <w:rPr>
          <w:sz w:val="13"/>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8"/>
        <w:gridCol w:w="2561"/>
        <w:gridCol w:w="2065"/>
        <w:gridCol w:w="1487"/>
        <w:gridCol w:w="1583"/>
        <w:gridCol w:w="2129"/>
      </w:tblGrid>
      <w:tr w:rsidR="00245300" w:rsidRPr="00EC20A0" w14:paraId="24D6144D" w14:textId="77777777">
        <w:trPr>
          <w:trHeight w:val="1573"/>
        </w:trPr>
        <w:tc>
          <w:tcPr>
            <w:tcW w:w="13393" w:type="dxa"/>
            <w:gridSpan w:val="6"/>
          </w:tcPr>
          <w:p w14:paraId="24D6144A" w14:textId="77777777" w:rsidR="00245300" w:rsidRPr="00EC20A0" w:rsidRDefault="00F17249">
            <w:pPr>
              <w:pStyle w:val="TableParagraph"/>
              <w:tabs>
                <w:tab w:val="left" w:pos="9319"/>
              </w:tabs>
              <w:spacing w:before="144"/>
              <w:ind w:right="1964"/>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2"/>
              </w:rPr>
              <w:t xml:space="preserve"> </w:t>
            </w:r>
            <w:r w:rsidRPr="00EC20A0">
              <w:rPr>
                <w:spacing w:val="-5"/>
              </w:rPr>
              <w:t>by:</w:t>
            </w:r>
          </w:p>
          <w:p w14:paraId="24D6144B" w14:textId="77777777" w:rsidR="00245300" w:rsidRPr="00EC20A0" w:rsidRDefault="00F17249">
            <w:pPr>
              <w:pStyle w:val="TableParagraph"/>
              <w:spacing w:before="12"/>
              <w:ind w:left="1973" w:right="1965"/>
              <w:jc w:val="center"/>
              <w:rPr>
                <w:b/>
                <w:sz w:val="24"/>
              </w:rPr>
            </w:pPr>
            <w:r w:rsidRPr="00EC20A0">
              <w:rPr>
                <w:noProof/>
              </w:rPr>
              <mc:AlternateContent>
                <mc:Choice Requires="wpg">
                  <w:drawing>
                    <wp:anchor distT="0" distB="0" distL="0" distR="0" simplePos="0" relativeHeight="475344384" behindDoc="1" locked="0" layoutInCell="1" allowOverlap="1" wp14:anchorId="24D62C45" wp14:editId="24D62C46">
                      <wp:simplePos x="0" y="0"/>
                      <wp:positionH relativeFrom="column">
                        <wp:posOffset>7052309</wp:posOffset>
                      </wp:positionH>
                      <wp:positionV relativeFrom="paragraph">
                        <wp:posOffset>91895</wp:posOffset>
                      </wp:positionV>
                      <wp:extent cx="1371600" cy="6350"/>
                      <wp:effectExtent l="0" t="0" r="0" b="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684" name="Graphic 684"/>
                              <wps:cNvSpPr/>
                              <wps:spPr>
                                <a:xfrm>
                                  <a:off x="0" y="0"/>
                                  <a:ext cx="1371600" cy="6350"/>
                                </a:xfrm>
                                <a:custGeom>
                                  <a:avLst/>
                                  <a:gdLst/>
                                  <a:ahLst/>
                                  <a:cxnLst/>
                                  <a:rect l="l" t="t" r="r" b="b"/>
                                  <a:pathLst>
                                    <a:path w="1371600" h="6350">
                                      <a:moveTo>
                                        <a:pt x="1371600" y="0"/>
                                      </a:moveTo>
                                      <a:lnTo>
                                        <a:pt x="0" y="0"/>
                                      </a:lnTo>
                                      <a:lnTo>
                                        <a:pt x="0" y="6096"/>
                                      </a:lnTo>
                                      <a:lnTo>
                                        <a:pt x="1371600" y="6096"/>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92604D" id="Group 683" o:spid="_x0000_s1026" style="position:absolute;margin-left:555.3pt;margin-top:7.25pt;width:108pt;height:.5pt;z-index:-27972096;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">
                      <v:shape id="Graphic 684"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" path="m1371600,l,,,6096r1371600,l1371600,xe" fillcolor="black" stroked="f">
                        <v:path arrowok="t"/>
                      </v:shape>
                    </v:group>
                  </w:pict>
                </mc:Fallback>
              </mc:AlternateContent>
            </w:r>
            <w:r w:rsidRPr="00EC20A0">
              <w:rPr>
                <w:noProof/>
              </w:rPr>
              <mc:AlternateContent>
                <mc:Choice Requires="wpg">
                  <w:drawing>
                    <wp:anchor distT="0" distB="0" distL="0" distR="0" simplePos="0" relativeHeight="475345408" behindDoc="1" locked="0" layoutInCell="1" allowOverlap="1" wp14:anchorId="24D62C47" wp14:editId="24D62C48">
                      <wp:simplePos x="0" y="0"/>
                      <wp:positionH relativeFrom="column">
                        <wp:posOffset>7052309</wp:posOffset>
                      </wp:positionH>
                      <wp:positionV relativeFrom="paragraph">
                        <wp:posOffset>441653</wp:posOffset>
                      </wp:positionV>
                      <wp:extent cx="1371600" cy="635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686" name="Graphic 686"/>
                              <wps:cNvSpPr/>
                              <wps:spPr>
                                <a:xfrm>
                                  <a:off x="0" y="0"/>
                                  <a:ext cx="1371600" cy="6350"/>
                                </a:xfrm>
                                <a:custGeom>
                                  <a:avLst/>
                                  <a:gdLst/>
                                  <a:ahLst/>
                                  <a:cxnLst/>
                                  <a:rect l="l" t="t" r="r" b="b"/>
                                  <a:pathLst>
                                    <a:path w="1371600" h="6350">
                                      <a:moveTo>
                                        <a:pt x="1371600" y="0"/>
                                      </a:moveTo>
                                      <a:lnTo>
                                        <a:pt x="0" y="0"/>
                                      </a:lnTo>
                                      <a:lnTo>
                                        <a:pt x="0" y="6096"/>
                                      </a:lnTo>
                                      <a:lnTo>
                                        <a:pt x="1371600" y="6096"/>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314CF1" id="Group 685" o:spid="_x0000_s1026" style="position:absolute;margin-left:555.3pt;margin-top:34.8pt;width:108pt;height:.5pt;z-index:-2797107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">
                      <v:shape id="Graphic 686"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" path="m1371600,l,,,6096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44C" w14:textId="77777777" w:rsidR="00245300" w:rsidRPr="00EC20A0" w:rsidRDefault="00F17249">
            <w:pPr>
              <w:pStyle w:val="TableParagraph"/>
              <w:tabs>
                <w:tab w:val="left" w:pos="9013"/>
              </w:tabs>
              <w:spacing w:before="10"/>
              <w:ind w:right="1720"/>
              <w:jc w:val="center"/>
            </w:pPr>
            <w:r w:rsidRPr="00EC20A0">
              <w:rPr>
                <w:noProof/>
              </w:rPr>
              <mc:AlternateContent>
                <mc:Choice Requires="wpg">
                  <w:drawing>
                    <wp:anchor distT="0" distB="0" distL="0" distR="0" simplePos="0" relativeHeight="475343872" behindDoc="1" locked="0" layoutInCell="1" allowOverlap="1" wp14:anchorId="24D62C49" wp14:editId="24D62C4A">
                      <wp:simplePos x="0" y="0"/>
                      <wp:positionH relativeFrom="column">
                        <wp:posOffset>1274825</wp:posOffset>
                      </wp:positionH>
                      <wp:positionV relativeFrom="paragraph">
                        <wp:posOffset>-91185</wp:posOffset>
                      </wp:positionV>
                      <wp:extent cx="1205865" cy="635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688" name="Graphic 688"/>
                              <wps:cNvSpPr/>
                              <wps:spPr>
                                <a:xfrm>
                                  <a:off x="0" y="0"/>
                                  <a:ext cx="1205865" cy="6350"/>
                                </a:xfrm>
                                <a:custGeom>
                                  <a:avLst/>
                                  <a:gdLst/>
                                  <a:ahLst/>
                                  <a:cxnLst/>
                                  <a:rect l="l" t="t" r="r" b="b"/>
                                  <a:pathLst>
                                    <a:path w="1205865" h="6350">
                                      <a:moveTo>
                                        <a:pt x="1205484" y="0"/>
                                      </a:moveTo>
                                      <a:lnTo>
                                        <a:pt x="0" y="0"/>
                                      </a:lnTo>
                                      <a:lnTo>
                                        <a:pt x="0" y="6096"/>
                                      </a:lnTo>
                                      <a:lnTo>
                                        <a:pt x="1205484" y="6096"/>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BD0ABD" id="Group 687" o:spid="_x0000_s1026" style="position:absolute;margin-left:100.4pt;margin-top:-7.2pt;width:94.95pt;height:.5pt;z-index:-27972608;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AjwiTXQCAADzBQAADgAA&#10;AAAAAAAAAAAAAAAuAgAAZHJzL2Uyb0RvYy54bWxQSwECLQAUAAYACAAAACEALa106eEAAAALAQAA&#10;DwAAAAAAAAAAAAAAAADOBAAAZHJzL2Rvd25yZXYueG1sUEsFBgAAAAAEAAQA8wAAANwFAAAAAA==&#10;">
                      <v:shape id="Graphic 688"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" path="m1205484,l,,,6096r1205484,l1205484,xe" fillcolor="black" stroked="f">
                        <v:path arrowok="t"/>
                      </v:shape>
                    </v:group>
                  </w:pict>
                </mc:Fallback>
              </mc:AlternateContent>
            </w:r>
            <w:r w:rsidRPr="00EC20A0">
              <w:rPr>
                <w:noProof/>
              </w:rPr>
              <mc:AlternateContent>
                <mc:Choice Requires="wpg">
                  <w:drawing>
                    <wp:anchor distT="0" distB="0" distL="0" distR="0" simplePos="0" relativeHeight="475344896" behindDoc="1" locked="0" layoutInCell="1" allowOverlap="1" wp14:anchorId="24D62C4B" wp14:editId="24D62C4C">
                      <wp:simplePos x="0" y="0"/>
                      <wp:positionH relativeFrom="column">
                        <wp:posOffset>1274825</wp:posOffset>
                      </wp:positionH>
                      <wp:positionV relativeFrom="paragraph">
                        <wp:posOffset>258572</wp:posOffset>
                      </wp:positionV>
                      <wp:extent cx="1205865" cy="6350"/>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690" name="Graphic 690"/>
                              <wps:cNvSpPr/>
                              <wps:spPr>
                                <a:xfrm>
                                  <a:off x="0" y="0"/>
                                  <a:ext cx="1205865" cy="6350"/>
                                </a:xfrm>
                                <a:custGeom>
                                  <a:avLst/>
                                  <a:gdLst/>
                                  <a:ahLst/>
                                  <a:cxnLst/>
                                  <a:rect l="l" t="t" r="r" b="b"/>
                                  <a:pathLst>
                                    <a:path w="1205865" h="6350">
                                      <a:moveTo>
                                        <a:pt x="1205484" y="0"/>
                                      </a:moveTo>
                                      <a:lnTo>
                                        <a:pt x="0" y="0"/>
                                      </a:lnTo>
                                      <a:lnTo>
                                        <a:pt x="0" y="6096"/>
                                      </a:lnTo>
                                      <a:lnTo>
                                        <a:pt x="1205484" y="6096"/>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70A701" id="Group 689" o:spid="_x0000_s1026" style="position:absolute;margin-left:100.4pt;margin-top:20.35pt;width:94.95pt;height:.5pt;z-index:-27971584;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">
                      <v:shape id="Graphic 690"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" path="m1205484,l,,,6096r1205484,l1205484,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458" w14:textId="77777777">
        <w:trPr>
          <w:trHeight w:val="794"/>
        </w:trPr>
        <w:tc>
          <w:tcPr>
            <w:tcW w:w="3568" w:type="dxa"/>
            <w:tcBorders>
              <w:right w:val="single" w:sz="4" w:space="0" w:color="000000"/>
            </w:tcBorders>
          </w:tcPr>
          <w:p w14:paraId="24D6144E" w14:textId="77777777" w:rsidR="00245300" w:rsidRPr="00EC20A0" w:rsidRDefault="00245300">
            <w:pPr>
              <w:pStyle w:val="TableParagraph"/>
              <w:spacing w:before="144"/>
            </w:pPr>
          </w:p>
          <w:p w14:paraId="24D6144F" w14:textId="77777777" w:rsidR="00245300" w:rsidRPr="00EC20A0" w:rsidRDefault="00F17249">
            <w:pPr>
              <w:pStyle w:val="TableParagraph"/>
              <w:spacing w:before="1"/>
              <w:ind w:left="97"/>
            </w:pPr>
            <w:r w:rsidRPr="00EC20A0">
              <w:t>Provision</w:t>
            </w:r>
            <w:r w:rsidRPr="00EC20A0">
              <w:rPr>
                <w:spacing w:val="-11"/>
              </w:rPr>
              <w:t xml:space="preserve"> </w:t>
            </w:r>
            <w:r w:rsidRPr="00EC20A0">
              <w:rPr>
                <w:spacing w:val="-2"/>
              </w:rPr>
              <w:t>Description</w:t>
            </w:r>
          </w:p>
        </w:tc>
        <w:tc>
          <w:tcPr>
            <w:tcW w:w="2561" w:type="dxa"/>
            <w:tcBorders>
              <w:left w:val="single" w:sz="4" w:space="0" w:color="000000"/>
              <w:right w:val="single" w:sz="4" w:space="0" w:color="000000"/>
            </w:tcBorders>
          </w:tcPr>
          <w:p w14:paraId="24D61450" w14:textId="77777777" w:rsidR="00245300" w:rsidRPr="00EC20A0" w:rsidRDefault="00245300">
            <w:pPr>
              <w:pStyle w:val="TableParagraph"/>
              <w:spacing w:before="144"/>
            </w:pPr>
          </w:p>
          <w:p w14:paraId="24D61451" w14:textId="77777777" w:rsidR="00245300" w:rsidRPr="00EC20A0" w:rsidRDefault="00F17249">
            <w:pPr>
              <w:pStyle w:val="TableParagraph"/>
              <w:spacing w:before="1"/>
              <w:ind w:left="106"/>
            </w:pPr>
            <w:r w:rsidRPr="00EC20A0">
              <w:rPr>
                <w:spacing w:val="-2"/>
              </w:rPr>
              <w:t>Objective</w:t>
            </w:r>
          </w:p>
        </w:tc>
        <w:tc>
          <w:tcPr>
            <w:tcW w:w="2065" w:type="dxa"/>
            <w:tcBorders>
              <w:left w:val="single" w:sz="4" w:space="0" w:color="000000"/>
              <w:right w:val="single" w:sz="4" w:space="0" w:color="000000"/>
            </w:tcBorders>
          </w:tcPr>
          <w:p w14:paraId="24D61452" w14:textId="77777777" w:rsidR="00245300" w:rsidRPr="00EC20A0" w:rsidRDefault="00245300">
            <w:pPr>
              <w:pStyle w:val="TableParagraph"/>
              <w:spacing w:before="144"/>
            </w:pPr>
          </w:p>
          <w:p w14:paraId="24D61453" w14:textId="77777777" w:rsidR="00245300" w:rsidRPr="00EC20A0" w:rsidRDefault="00F17249">
            <w:pPr>
              <w:pStyle w:val="TableParagraph"/>
              <w:spacing w:before="1"/>
              <w:ind w:left="107"/>
            </w:pPr>
            <w:r w:rsidRPr="00EC20A0">
              <w:t>Control</w:t>
            </w:r>
            <w:r w:rsidRPr="00EC20A0">
              <w:rPr>
                <w:spacing w:val="-9"/>
              </w:rPr>
              <w:t xml:space="preserve"> </w:t>
            </w:r>
            <w:r w:rsidRPr="00EC20A0">
              <w:rPr>
                <w:spacing w:val="-2"/>
              </w:rPr>
              <w:t>Activities</w:t>
            </w:r>
          </w:p>
        </w:tc>
        <w:tc>
          <w:tcPr>
            <w:tcW w:w="1487" w:type="dxa"/>
            <w:tcBorders>
              <w:left w:val="single" w:sz="4" w:space="0" w:color="000000"/>
              <w:right w:val="single" w:sz="4" w:space="0" w:color="000000"/>
            </w:tcBorders>
          </w:tcPr>
          <w:p w14:paraId="24D61454" w14:textId="77777777" w:rsidR="00245300" w:rsidRPr="00EC20A0" w:rsidRDefault="00245300">
            <w:pPr>
              <w:pStyle w:val="TableParagraph"/>
              <w:spacing w:before="144"/>
            </w:pPr>
          </w:p>
          <w:p w14:paraId="24D61455" w14:textId="77777777" w:rsidR="00245300" w:rsidRPr="00EC20A0" w:rsidRDefault="00F17249">
            <w:pPr>
              <w:pStyle w:val="TableParagraph"/>
              <w:spacing w:before="1"/>
              <w:ind w:left="107"/>
            </w:pPr>
            <w:r w:rsidRPr="00EC20A0">
              <w:t>IS</w:t>
            </w:r>
            <w:r w:rsidRPr="00EC20A0">
              <w:rPr>
                <w:spacing w:val="-3"/>
              </w:rPr>
              <w:t xml:space="preserve"> </w:t>
            </w:r>
            <w:r w:rsidRPr="00EC20A0">
              <w:rPr>
                <w:spacing w:val="-2"/>
              </w:rPr>
              <w:t>(Y/N)</w:t>
            </w:r>
          </w:p>
        </w:tc>
        <w:tc>
          <w:tcPr>
            <w:tcW w:w="1583" w:type="dxa"/>
            <w:tcBorders>
              <w:left w:val="single" w:sz="4" w:space="0" w:color="000000"/>
              <w:right w:val="single" w:sz="4" w:space="0" w:color="000000"/>
            </w:tcBorders>
          </w:tcPr>
          <w:p w14:paraId="24D61456" w14:textId="77777777" w:rsidR="00245300" w:rsidRPr="00EC20A0" w:rsidRDefault="00F17249">
            <w:pPr>
              <w:pStyle w:val="TableParagraph"/>
              <w:spacing w:before="144"/>
              <w:ind w:left="107" w:right="16"/>
            </w:pPr>
            <w:r w:rsidRPr="00EC20A0">
              <w:rPr>
                <w:spacing w:val="-2"/>
              </w:rPr>
              <w:t>Effective controls?</w:t>
            </w:r>
          </w:p>
        </w:tc>
        <w:tc>
          <w:tcPr>
            <w:tcW w:w="2129" w:type="dxa"/>
            <w:tcBorders>
              <w:left w:val="single" w:sz="4" w:space="0" w:color="000000"/>
            </w:tcBorders>
          </w:tcPr>
          <w:p w14:paraId="24D61457" w14:textId="77777777" w:rsidR="00245300" w:rsidRPr="00EC20A0" w:rsidRDefault="00F17249">
            <w:pPr>
              <w:pStyle w:val="TableParagraph"/>
              <w:spacing w:before="144"/>
              <w:ind w:left="107"/>
            </w:pPr>
            <w:r w:rsidRPr="00EC20A0">
              <w:t xml:space="preserve">Instances of </w:t>
            </w:r>
            <w:r w:rsidRPr="00EC20A0">
              <w:rPr>
                <w:spacing w:val="-2"/>
              </w:rPr>
              <w:t>noncompliance?</w:t>
            </w:r>
          </w:p>
        </w:tc>
      </w:tr>
      <w:tr w:rsidR="00245300" w:rsidRPr="00EC20A0" w14:paraId="24D61464" w14:textId="77777777">
        <w:trPr>
          <w:trHeight w:val="3268"/>
        </w:trPr>
        <w:tc>
          <w:tcPr>
            <w:tcW w:w="3568" w:type="dxa"/>
            <w:tcBorders>
              <w:bottom w:val="single" w:sz="4" w:space="0" w:color="000000"/>
              <w:right w:val="single" w:sz="4" w:space="0" w:color="000000"/>
            </w:tcBorders>
          </w:tcPr>
          <w:p w14:paraId="24D61459" w14:textId="77777777" w:rsidR="00245300" w:rsidRPr="00EC20A0" w:rsidRDefault="00F17249">
            <w:pPr>
              <w:pStyle w:val="TableParagraph"/>
              <w:spacing w:before="143"/>
              <w:ind w:left="817" w:hanging="720"/>
              <w:rPr>
                <w:sz w:val="18"/>
              </w:rPr>
            </w:pPr>
            <w:r w:rsidRPr="00EC20A0">
              <w:rPr>
                <w:smallCaps/>
                <w:sz w:val="18"/>
              </w:rPr>
              <w:t>810.01.</w:t>
            </w:r>
            <w:r w:rsidRPr="00EC20A0">
              <w:rPr>
                <w:smallCaps/>
                <w:spacing w:val="-2"/>
                <w:sz w:val="18"/>
              </w:rPr>
              <w:t xml:space="preserve"> </w:t>
            </w:r>
            <w:r w:rsidRPr="00EC20A0">
              <w:rPr>
                <w:smallCaps/>
                <w:spacing w:val="18"/>
                <w:sz w:val="18"/>
              </w:rPr>
              <w:t xml:space="preserve"> </w:t>
            </w:r>
            <w:r w:rsidRPr="00EC20A0">
              <w:rPr>
                <w:smallCaps/>
                <w:sz w:val="18"/>
              </w:rPr>
              <w:t>Employees’</w:t>
            </w:r>
            <w:r w:rsidRPr="00EC20A0">
              <w:rPr>
                <w:smallCaps/>
                <w:spacing w:val="-11"/>
                <w:sz w:val="18"/>
              </w:rPr>
              <w:t xml:space="preserve"> </w:t>
            </w:r>
            <w:r w:rsidRPr="00EC20A0">
              <w:rPr>
                <w:smallCaps/>
                <w:sz w:val="18"/>
              </w:rPr>
              <w:t>Compensation</w:t>
            </w:r>
            <w:r w:rsidRPr="00EC20A0">
              <w:rPr>
                <w:smallCaps/>
                <w:spacing w:val="-2"/>
                <w:sz w:val="18"/>
              </w:rPr>
              <w:t xml:space="preserve"> </w:t>
            </w:r>
            <w:r w:rsidRPr="00EC20A0">
              <w:rPr>
                <w:smallCaps/>
                <w:sz w:val="18"/>
              </w:rPr>
              <w:t>Fund</w:t>
            </w:r>
            <w:r w:rsidRPr="00EC20A0">
              <w:rPr>
                <w:smallCaps/>
                <w:spacing w:val="40"/>
                <w:sz w:val="18"/>
              </w:rPr>
              <w:t xml:space="preserve"> </w:t>
            </w:r>
            <w:r w:rsidRPr="00EC20A0">
              <w:rPr>
                <w:smallCaps/>
                <w:sz w:val="18"/>
              </w:rPr>
              <w:t>Costs and Annual Budget</w:t>
            </w:r>
            <w:r w:rsidRPr="00EC20A0">
              <w:rPr>
                <w:smallCaps/>
                <w:spacing w:val="40"/>
                <w:sz w:val="18"/>
              </w:rPr>
              <w:t xml:space="preserve"> </w:t>
            </w:r>
            <w:r w:rsidRPr="00EC20A0">
              <w:rPr>
                <w:smallCaps/>
                <w:spacing w:val="-2"/>
                <w:sz w:val="18"/>
              </w:rPr>
              <w:t>Request.</w:t>
            </w:r>
          </w:p>
          <w:p w14:paraId="24D6145A" w14:textId="77777777" w:rsidR="00245300" w:rsidRPr="00EC20A0" w:rsidRDefault="00F17249">
            <w:pPr>
              <w:pStyle w:val="TableParagraph"/>
              <w:spacing w:before="2" w:line="350" w:lineRule="atLeast"/>
              <w:ind w:left="97" w:right="686"/>
              <w:rPr>
                <w:sz w:val="18"/>
              </w:rPr>
            </w:pPr>
            <w:r w:rsidRPr="00EC20A0">
              <w:rPr>
                <w:sz w:val="18"/>
              </w:rPr>
              <w:t>Provision</w:t>
            </w:r>
            <w:r w:rsidRPr="00EC20A0">
              <w:rPr>
                <w:spacing w:val="-15"/>
                <w:sz w:val="18"/>
              </w:rPr>
              <w:t xml:space="preserve"> </w:t>
            </w:r>
            <w:r w:rsidRPr="00EC20A0">
              <w:rPr>
                <w:sz w:val="18"/>
              </w:rPr>
              <w:t>Type:</w:t>
            </w:r>
            <w:r w:rsidRPr="00EC20A0">
              <w:rPr>
                <w:spacing w:val="-12"/>
                <w:sz w:val="18"/>
              </w:rPr>
              <w:t xml:space="preserve"> </w:t>
            </w:r>
            <w:r w:rsidRPr="00EC20A0">
              <w:rPr>
                <w:sz w:val="18"/>
              </w:rPr>
              <w:t>Procedural-based If the entity is funded by annual</w:t>
            </w:r>
          </w:p>
          <w:p w14:paraId="24D6145B" w14:textId="77777777" w:rsidR="00245300" w:rsidRPr="00EC20A0" w:rsidRDefault="00F17249">
            <w:pPr>
              <w:pStyle w:val="TableParagraph"/>
              <w:spacing w:before="2" w:line="237" w:lineRule="auto"/>
              <w:ind w:left="97" w:right="98"/>
              <w:rPr>
                <w:sz w:val="18"/>
              </w:rPr>
            </w:pPr>
            <w:r w:rsidRPr="00EC20A0">
              <w:rPr>
                <w:sz w:val="18"/>
              </w:rPr>
              <w:t>appropriations and receives a statement showing the costs of amounts paid from the Employees’ Compensation Fund (the Fund),</w:t>
            </w:r>
            <w:hyperlink w:anchor="_bookmark139" w:history="1">
              <w:r w:rsidRPr="00EC20A0">
                <w:rPr>
                  <w:position w:val="6"/>
                  <w:sz w:val="12"/>
                </w:rPr>
                <w:t>60</w:t>
              </w:r>
            </w:hyperlink>
            <w:r w:rsidRPr="00EC20A0">
              <w:rPr>
                <w:spacing w:val="40"/>
                <w:position w:val="6"/>
                <w:sz w:val="12"/>
              </w:rPr>
              <w:t xml:space="preserve"> </w:t>
            </w:r>
            <w:r w:rsidRPr="00EC20A0">
              <w:rPr>
                <w:sz w:val="18"/>
              </w:rPr>
              <w:t>then the entity shall include a request</w:t>
            </w:r>
            <w:r w:rsidRPr="00EC20A0">
              <w:rPr>
                <w:spacing w:val="-6"/>
                <w:sz w:val="18"/>
              </w:rPr>
              <w:t xml:space="preserve"> </w:t>
            </w:r>
            <w:r w:rsidRPr="00EC20A0">
              <w:rPr>
                <w:sz w:val="18"/>
              </w:rPr>
              <w:t>for</w:t>
            </w:r>
            <w:r w:rsidRPr="00EC20A0">
              <w:rPr>
                <w:spacing w:val="-6"/>
                <w:sz w:val="18"/>
              </w:rPr>
              <w:t xml:space="preserve"> </w:t>
            </w:r>
            <w:r w:rsidRPr="00EC20A0">
              <w:rPr>
                <w:sz w:val="18"/>
              </w:rPr>
              <w:t>an</w:t>
            </w:r>
            <w:r w:rsidRPr="00EC20A0">
              <w:rPr>
                <w:spacing w:val="-7"/>
                <w:sz w:val="18"/>
              </w:rPr>
              <w:t xml:space="preserve"> </w:t>
            </w:r>
            <w:r w:rsidRPr="00EC20A0">
              <w:rPr>
                <w:sz w:val="18"/>
              </w:rPr>
              <w:t>appropriation</w:t>
            </w:r>
            <w:r w:rsidRPr="00EC20A0">
              <w:rPr>
                <w:spacing w:val="-7"/>
                <w:sz w:val="18"/>
              </w:rPr>
              <w:t xml:space="preserve"> </w:t>
            </w:r>
            <w:r w:rsidRPr="00EC20A0">
              <w:rPr>
                <w:sz w:val="18"/>
              </w:rPr>
              <w:t>to</w:t>
            </w:r>
            <w:r w:rsidRPr="00EC20A0">
              <w:rPr>
                <w:spacing w:val="-7"/>
                <w:sz w:val="18"/>
              </w:rPr>
              <w:t xml:space="preserve"> </w:t>
            </w:r>
            <w:r w:rsidRPr="00EC20A0">
              <w:rPr>
                <w:sz w:val="18"/>
              </w:rPr>
              <w:t>cover</w:t>
            </w:r>
            <w:r w:rsidRPr="00EC20A0">
              <w:rPr>
                <w:spacing w:val="-6"/>
                <w:sz w:val="18"/>
              </w:rPr>
              <w:t xml:space="preserve"> </w:t>
            </w:r>
            <w:r w:rsidRPr="00EC20A0">
              <w:rPr>
                <w:sz w:val="18"/>
              </w:rPr>
              <w:t>such amounts when submitting its budget request during the next fiscal year.</w:t>
            </w:r>
            <w:hyperlink w:anchor="_bookmark140" w:history="1">
              <w:r w:rsidRPr="00EC20A0">
                <w:rPr>
                  <w:position w:val="6"/>
                  <w:sz w:val="12"/>
                </w:rPr>
                <w:t>61</w:t>
              </w:r>
            </w:hyperlink>
            <w:r w:rsidRPr="00EC20A0">
              <w:rPr>
                <w:spacing w:val="40"/>
                <w:position w:val="6"/>
                <w:sz w:val="12"/>
              </w:rPr>
              <w:t xml:space="preserve"> </w:t>
            </w:r>
            <w:r w:rsidRPr="00EC20A0">
              <w:rPr>
                <w:sz w:val="18"/>
              </w:rPr>
              <w:t>5</w:t>
            </w:r>
          </w:p>
          <w:p w14:paraId="24D6145C" w14:textId="77777777" w:rsidR="00245300" w:rsidRPr="00EC20A0" w:rsidRDefault="00F17249">
            <w:pPr>
              <w:pStyle w:val="TableParagraph"/>
              <w:spacing w:before="7"/>
              <w:ind w:left="97"/>
              <w:rPr>
                <w:sz w:val="18"/>
              </w:rPr>
            </w:pPr>
            <w:r w:rsidRPr="00EC20A0">
              <w:rPr>
                <w:sz w:val="18"/>
              </w:rPr>
              <w:t>U.S.C.</w:t>
            </w:r>
            <w:r w:rsidRPr="00EC20A0">
              <w:rPr>
                <w:spacing w:val="-2"/>
                <w:sz w:val="18"/>
              </w:rPr>
              <w:t xml:space="preserve"> </w:t>
            </w:r>
            <w:r w:rsidRPr="00EC20A0">
              <w:rPr>
                <w:sz w:val="18"/>
              </w:rPr>
              <w:t>§</w:t>
            </w:r>
            <w:r w:rsidRPr="00EC20A0">
              <w:rPr>
                <w:spacing w:val="-2"/>
                <w:sz w:val="18"/>
              </w:rPr>
              <w:t xml:space="preserve"> 8147(b).</w:t>
            </w:r>
          </w:p>
        </w:tc>
        <w:tc>
          <w:tcPr>
            <w:tcW w:w="2561" w:type="dxa"/>
            <w:tcBorders>
              <w:left w:val="single" w:sz="4" w:space="0" w:color="000000"/>
              <w:bottom w:val="single" w:sz="4" w:space="0" w:color="000000"/>
              <w:right w:val="single" w:sz="4" w:space="0" w:color="000000"/>
            </w:tcBorders>
          </w:tcPr>
          <w:p w14:paraId="24D6145D" w14:textId="77777777" w:rsidR="00245300" w:rsidRPr="00EC20A0" w:rsidRDefault="00F17249">
            <w:pPr>
              <w:pStyle w:val="TableParagraph"/>
              <w:spacing w:before="143"/>
              <w:ind w:left="106" w:right="116"/>
              <w:rPr>
                <w:sz w:val="18"/>
              </w:rPr>
            </w:pPr>
            <w:r w:rsidRPr="00EC20A0">
              <w:rPr>
                <w:sz w:val="18"/>
              </w:rPr>
              <w:t xml:space="preserve">The entity’s budget request </w:t>
            </w:r>
            <w:r w:rsidRPr="00EC20A0">
              <w:rPr>
                <w:sz w:val="18"/>
              </w:rPr>
              <w:t>includes a request for an appropriation for any amounts</w:t>
            </w:r>
            <w:r w:rsidRPr="00EC20A0">
              <w:rPr>
                <w:spacing w:val="-8"/>
                <w:sz w:val="18"/>
              </w:rPr>
              <w:t xml:space="preserve"> </w:t>
            </w:r>
            <w:r w:rsidRPr="00EC20A0">
              <w:rPr>
                <w:sz w:val="18"/>
              </w:rPr>
              <w:t>paid</w:t>
            </w:r>
            <w:r w:rsidRPr="00EC20A0">
              <w:rPr>
                <w:spacing w:val="-9"/>
                <w:sz w:val="18"/>
              </w:rPr>
              <w:t xml:space="preserve"> </w:t>
            </w:r>
            <w:r w:rsidRPr="00EC20A0">
              <w:rPr>
                <w:sz w:val="18"/>
              </w:rPr>
              <w:t>by</w:t>
            </w:r>
            <w:r w:rsidRPr="00EC20A0">
              <w:rPr>
                <w:spacing w:val="-8"/>
                <w:sz w:val="18"/>
              </w:rPr>
              <w:t xml:space="preserve"> </w:t>
            </w:r>
            <w:r w:rsidRPr="00EC20A0">
              <w:rPr>
                <w:sz w:val="18"/>
              </w:rPr>
              <w:t>the</w:t>
            </w:r>
            <w:r w:rsidRPr="00EC20A0">
              <w:rPr>
                <w:spacing w:val="-9"/>
                <w:sz w:val="18"/>
              </w:rPr>
              <w:t xml:space="preserve"> </w:t>
            </w:r>
            <w:r w:rsidRPr="00EC20A0">
              <w:rPr>
                <w:sz w:val="18"/>
              </w:rPr>
              <w:t>Fund</w:t>
            </w:r>
            <w:r w:rsidRPr="00EC20A0">
              <w:rPr>
                <w:spacing w:val="-9"/>
                <w:sz w:val="18"/>
              </w:rPr>
              <w:t xml:space="preserve"> </w:t>
            </w:r>
            <w:r w:rsidRPr="00EC20A0">
              <w:rPr>
                <w:sz w:val="18"/>
              </w:rPr>
              <w:t>on the entity’s behalf for the</w:t>
            </w:r>
            <w:r w:rsidRPr="00EC20A0">
              <w:rPr>
                <w:spacing w:val="40"/>
                <w:sz w:val="18"/>
              </w:rPr>
              <w:t xml:space="preserve"> </w:t>
            </w:r>
            <w:r w:rsidRPr="00EC20A0">
              <w:rPr>
                <w:sz w:val="18"/>
              </w:rPr>
              <w:t>prior fiscal year.</w:t>
            </w:r>
          </w:p>
        </w:tc>
        <w:tc>
          <w:tcPr>
            <w:tcW w:w="2065" w:type="dxa"/>
            <w:tcBorders>
              <w:left w:val="single" w:sz="4" w:space="0" w:color="000000"/>
              <w:bottom w:val="single" w:sz="4" w:space="0" w:color="000000"/>
              <w:right w:val="single" w:sz="4" w:space="0" w:color="000000"/>
            </w:tcBorders>
          </w:tcPr>
          <w:p w14:paraId="24D6145E" w14:textId="77777777" w:rsidR="00245300" w:rsidRPr="00EC20A0" w:rsidRDefault="00F17249">
            <w:pPr>
              <w:pStyle w:val="TableParagraph"/>
              <w:spacing w:before="143"/>
              <w:ind w:left="106"/>
              <w:rPr>
                <w:sz w:val="18"/>
              </w:rPr>
            </w:pPr>
            <w:r w:rsidRPr="00EC20A0">
              <w:rPr>
                <w:sz w:val="18"/>
              </w:rPr>
              <w:t>[Document the control activities</w:t>
            </w:r>
            <w:r w:rsidRPr="00EC20A0">
              <w:rPr>
                <w:spacing w:val="-13"/>
                <w:sz w:val="18"/>
              </w:rPr>
              <w:t xml:space="preserve"> </w:t>
            </w:r>
            <w:r w:rsidRPr="00EC20A0">
              <w:rPr>
                <w:sz w:val="18"/>
              </w:rPr>
              <w:t>that</w:t>
            </w:r>
            <w:r w:rsidRPr="00EC20A0">
              <w:rPr>
                <w:spacing w:val="-12"/>
                <w:sz w:val="18"/>
              </w:rPr>
              <w:t xml:space="preserve"> </w:t>
            </w:r>
            <w:r w:rsidRPr="00EC20A0">
              <w:rPr>
                <w:sz w:val="18"/>
              </w:rPr>
              <w:t>the</w:t>
            </w:r>
            <w:r w:rsidRPr="00EC20A0">
              <w:rPr>
                <w:spacing w:val="-13"/>
                <w:sz w:val="18"/>
              </w:rPr>
              <w:t xml:space="preserve"> </w:t>
            </w:r>
            <w:r w:rsidRPr="00EC20A0">
              <w:rPr>
                <w:sz w:val="18"/>
              </w:rPr>
              <w:t xml:space="preserve">entity used to achieve the </w:t>
            </w:r>
            <w:r w:rsidRPr="00EC20A0">
              <w:rPr>
                <w:spacing w:val="-2"/>
                <w:sz w:val="18"/>
              </w:rPr>
              <w:t>objective.]</w:t>
            </w:r>
          </w:p>
        </w:tc>
        <w:tc>
          <w:tcPr>
            <w:tcW w:w="1487" w:type="dxa"/>
            <w:tcBorders>
              <w:left w:val="single" w:sz="4" w:space="0" w:color="000000"/>
              <w:bottom w:val="single" w:sz="4" w:space="0" w:color="000000"/>
              <w:right w:val="single" w:sz="4" w:space="0" w:color="000000"/>
            </w:tcBorders>
          </w:tcPr>
          <w:p w14:paraId="24D6145F" w14:textId="77777777" w:rsidR="00245300" w:rsidRPr="00EC20A0" w:rsidRDefault="00F17249">
            <w:pPr>
              <w:pStyle w:val="TableParagraph"/>
              <w:spacing w:before="143"/>
              <w:ind w:left="107" w:right="302"/>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583" w:type="dxa"/>
            <w:tcBorders>
              <w:left w:val="single" w:sz="4" w:space="0" w:color="000000"/>
              <w:bottom w:val="single" w:sz="4" w:space="0" w:color="000000"/>
              <w:right w:val="single" w:sz="4" w:space="0" w:color="000000"/>
            </w:tcBorders>
          </w:tcPr>
          <w:p w14:paraId="24D61460" w14:textId="77777777" w:rsidR="00245300" w:rsidRPr="00EC20A0" w:rsidRDefault="00F17249">
            <w:pPr>
              <w:pStyle w:val="TableParagraph"/>
              <w:spacing w:before="143"/>
              <w:ind w:left="106" w:right="16"/>
              <w:rPr>
                <w:sz w:val="18"/>
              </w:rPr>
            </w:pPr>
            <w:r w:rsidRPr="00EC20A0">
              <w:rPr>
                <w:sz w:val="18"/>
              </w:rPr>
              <w:t xml:space="preserve">[Indicate yes or no; include reference to </w:t>
            </w:r>
            <w:r w:rsidRPr="00EC20A0">
              <w:rPr>
                <w:spacing w:val="-2"/>
                <w:sz w:val="18"/>
              </w:rPr>
              <w:t>supporting documentation.]</w:t>
            </w:r>
          </w:p>
        </w:tc>
        <w:tc>
          <w:tcPr>
            <w:tcW w:w="2129" w:type="dxa"/>
            <w:tcBorders>
              <w:left w:val="single" w:sz="4" w:space="0" w:color="000000"/>
              <w:bottom w:val="single" w:sz="4" w:space="0" w:color="000000"/>
            </w:tcBorders>
          </w:tcPr>
          <w:p w14:paraId="24D61461" w14:textId="77777777" w:rsidR="00245300" w:rsidRPr="00EC20A0" w:rsidRDefault="00F17249">
            <w:pPr>
              <w:pStyle w:val="TableParagraph"/>
              <w:spacing w:before="143"/>
              <w:ind w:left="106"/>
              <w:rPr>
                <w:sz w:val="18"/>
              </w:rPr>
            </w:pPr>
            <w:r w:rsidRPr="00EC20A0">
              <w:rPr>
                <w:sz w:val="18"/>
              </w:rPr>
              <w:t>[Indicate yes or no; include</w:t>
            </w:r>
            <w:r w:rsidRPr="00EC20A0">
              <w:rPr>
                <w:spacing w:val="-15"/>
                <w:sz w:val="18"/>
              </w:rPr>
              <w:t xml:space="preserve"> </w:t>
            </w:r>
            <w:r w:rsidRPr="00EC20A0">
              <w:rPr>
                <w:sz w:val="18"/>
              </w:rPr>
              <w:t>reference</w:t>
            </w:r>
            <w:r w:rsidRPr="00EC20A0">
              <w:rPr>
                <w:spacing w:val="-12"/>
                <w:sz w:val="18"/>
              </w:rPr>
              <w:t xml:space="preserve"> </w:t>
            </w:r>
            <w:r w:rsidRPr="00EC20A0">
              <w:rPr>
                <w:sz w:val="18"/>
              </w:rPr>
              <w:t xml:space="preserve">to </w:t>
            </w:r>
            <w:r w:rsidRPr="00EC20A0">
              <w:rPr>
                <w:spacing w:val="-2"/>
                <w:sz w:val="18"/>
              </w:rPr>
              <w:t>supporting documentation.]</w:t>
            </w:r>
          </w:p>
          <w:p w14:paraId="24D61462" w14:textId="77777777" w:rsidR="00245300" w:rsidRPr="00EC20A0" w:rsidRDefault="00F17249">
            <w:pPr>
              <w:pStyle w:val="TableParagraph"/>
              <w:spacing w:before="144"/>
              <w:ind w:left="106"/>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3"/>
                <w:sz w:val="18"/>
              </w:rPr>
              <w:t xml:space="preserve"> </w:t>
            </w:r>
            <w:r w:rsidRPr="00EC20A0">
              <w:rPr>
                <w:spacing w:val="-5"/>
                <w:sz w:val="18"/>
              </w:rPr>
              <w:t>810</w:t>
            </w:r>
          </w:p>
          <w:p w14:paraId="24D61463" w14:textId="77777777" w:rsidR="00245300" w:rsidRPr="00EC20A0" w:rsidRDefault="00F17249">
            <w:pPr>
              <w:pStyle w:val="TableParagraph"/>
              <w:spacing w:before="2"/>
              <w:ind w:left="106"/>
              <w:rPr>
                <w:sz w:val="18"/>
              </w:rPr>
            </w:pPr>
            <w:r w:rsidRPr="00EC20A0">
              <w:rPr>
                <w:sz w:val="18"/>
              </w:rPr>
              <w:t>step</w:t>
            </w:r>
            <w:r w:rsidRPr="00EC20A0">
              <w:rPr>
                <w:spacing w:val="-2"/>
                <w:sz w:val="18"/>
              </w:rPr>
              <w:t xml:space="preserve"> </w:t>
            </w:r>
            <w:r w:rsidRPr="00EC20A0">
              <w:rPr>
                <w:spacing w:val="-5"/>
                <w:sz w:val="18"/>
              </w:rPr>
              <w:t>1.</w:t>
            </w:r>
          </w:p>
        </w:tc>
      </w:tr>
    </w:tbl>
    <w:p w14:paraId="24D61465" w14:textId="77777777" w:rsidR="00245300" w:rsidRPr="00EC20A0" w:rsidRDefault="00245300">
      <w:pPr>
        <w:pStyle w:val="BodyText"/>
        <w:rPr>
          <w:sz w:val="20"/>
        </w:rPr>
      </w:pPr>
    </w:p>
    <w:p w14:paraId="24D61466" w14:textId="77777777" w:rsidR="00245300" w:rsidRPr="00EC20A0" w:rsidRDefault="00245300">
      <w:pPr>
        <w:pStyle w:val="BodyText"/>
        <w:rPr>
          <w:sz w:val="20"/>
        </w:rPr>
      </w:pPr>
    </w:p>
    <w:p w14:paraId="24D61467" w14:textId="77777777" w:rsidR="00245300" w:rsidRPr="00EC20A0" w:rsidRDefault="00F17249">
      <w:pPr>
        <w:pStyle w:val="BodyText"/>
        <w:spacing w:before="116"/>
        <w:rPr>
          <w:sz w:val="20"/>
        </w:rPr>
      </w:pPr>
      <w:r w:rsidRPr="00EC20A0">
        <w:rPr>
          <w:noProof/>
        </w:rPr>
        <mc:AlternateContent>
          <mc:Choice Requires="wps">
            <w:drawing>
              <wp:anchor distT="0" distB="0" distL="0" distR="0" simplePos="0" relativeHeight="487690240" behindDoc="1" locked="0" layoutInCell="1" allowOverlap="1" wp14:anchorId="24D62C4D" wp14:editId="24D62C4E">
                <wp:simplePos x="0" y="0"/>
                <wp:positionH relativeFrom="page">
                  <wp:posOffset>685800</wp:posOffset>
                </wp:positionH>
                <wp:positionV relativeFrom="paragraph">
                  <wp:posOffset>235108</wp:posOffset>
                </wp:positionV>
                <wp:extent cx="1828800" cy="6985"/>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F9150" id="Graphic 691" o:spid="_x0000_s1026" style="position:absolute;margin-left:54pt;margin-top:18.5pt;width:2in;height:.55pt;z-index:-156262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" path="m1828800,l,,,6858r1828800,l1828800,xe" fillcolor="black" stroked="f">
                <v:path arrowok="t"/>
                <w10:wrap type="topAndBottom" anchorx="page"/>
              </v:shape>
            </w:pict>
          </mc:Fallback>
        </mc:AlternateContent>
      </w:r>
    </w:p>
    <w:p w14:paraId="24D61468" w14:textId="77777777" w:rsidR="00245300" w:rsidRPr="00EC20A0" w:rsidRDefault="00F17249">
      <w:pPr>
        <w:spacing w:before="217" w:line="244" w:lineRule="auto"/>
        <w:ind w:left="119" w:right="294"/>
        <w:rPr>
          <w:sz w:val="18"/>
        </w:rPr>
      </w:pPr>
      <w:r w:rsidRPr="00EC20A0">
        <w:rPr>
          <w:position w:val="7"/>
          <w:sz w:val="14"/>
        </w:rPr>
        <w:t>60</w:t>
      </w:r>
      <w:r w:rsidRPr="00EC20A0">
        <w:rPr>
          <w:sz w:val="18"/>
        </w:rPr>
        <w:t>Under</w:t>
      </w:r>
      <w:r w:rsidRPr="00EC20A0">
        <w:rPr>
          <w:spacing w:val="-2"/>
          <w:sz w:val="18"/>
        </w:rPr>
        <w:t xml:space="preserve"> </w:t>
      </w:r>
      <w:r w:rsidRPr="00EC20A0">
        <w:rPr>
          <w:sz w:val="18"/>
        </w:rPr>
        <w:t>FECA,</w:t>
      </w:r>
      <w:r w:rsidRPr="00EC20A0">
        <w:rPr>
          <w:spacing w:val="-2"/>
          <w:sz w:val="18"/>
        </w:rPr>
        <w:t xml:space="preserve"> </w:t>
      </w:r>
      <w:r w:rsidRPr="00EC20A0">
        <w:rPr>
          <w:sz w:val="18"/>
        </w:rPr>
        <w:t>the</w:t>
      </w:r>
      <w:r w:rsidRPr="00EC20A0">
        <w:rPr>
          <w:spacing w:val="-3"/>
          <w:sz w:val="18"/>
        </w:rPr>
        <w:t xml:space="preserve"> </w:t>
      </w:r>
      <w:r w:rsidRPr="00EC20A0">
        <w:rPr>
          <w:sz w:val="18"/>
        </w:rPr>
        <w:t>Employees’</w:t>
      </w:r>
      <w:r w:rsidRPr="00EC20A0">
        <w:rPr>
          <w:spacing w:val="-1"/>
          <w:sz w:val="18"/>
        </w:rPr>
        <w:t xml:space="preserve"> </w:t>
      </w:r>
      <w:r w:rsidRPr="00EC20A0">
        <w:rPr>
          <w:sz w:val="18"/>
        </w:rPr>
        <w:t>Compensation</w:t>
      </w:r>
      <w:r w:rsidRPr="00EC20A0">
        <w:rPr>
          <w:spacing w:val="-1"/>
          <w:sz w:val="18"/>
        </w:rPr>
        <w:t xml:space="preserve"> </w:t>
      </w:r>
      <w:r w:rsidRPr="00EC20A0">
        <w:rPr>
          <w:sz w:val="18"/>
        </w:rPr>
        <w:t>Fund</w:t>
      </w:r>
      <w:r w:rsidRPr="00EC20A0">
        <w:rPr>
          <w:spacing w:val="-3"/>
          <w:sz w:val="18"/>
        </w:rPr>
        <w:t xml:space="preserve"> </w:t>
      </w:r>
      <w:r w:rsidRPr="00EC20A0">
        <w:rPr>
          <w:sz w:val="18"/>
        </w:rPr>
        <w:t>is</w:t>
      </w:r>
      <w:r w:rsidRPr="00EC20A0">
        <w:rPr>
          <w:spacing w:val="-2"/>
          <w:sz w:val="18"/>
        </w:rPr>
        <w:t xml:space="preserve"> </w:t>
      </w:r>
      <w:r w:rsidRPr="00EC20A0">
        <w:rPr>
          <w:sz w:val="18"/>
        </w:rPr>
        <w:t>available</w:t>
      </w:r>
      <w:r w:rsidRPr="00EC20A0">
        <w:rPr>
          <w:spacing w:val="-3"/>
          <w:sz w:val="18"/>
        </w:rPr>
        <w:t xml:space="preserve"> </w:t>
      </w:r>
      <w:r w:rsidRPr="00EC20A0">
        <w:rPr>
          <w:sz w:val="18"/>
        </w:rPr>
        <w:t>without</w:t>
      </w:r>
      <w:r w:rsidRPr="00EC20A0">
        <w:rPr>
          <w:spacing w:val="-2"/>
          <w:sz w:val="18"/>
        </w:rPr>
        <w:t xml:space="preserve"> </w:t>
      </w:r>
      <w:r w:rsidRPr="00EC20A0">
        <w:rPr>
          <w:sz w:val="18"/>
        </w:rPr>
        <w:t>fiscal</w:t>
      </w:r>
      <w:r w:rsidRPr="00EC20A0">
        <w:rPr>
          <w:spacing w:val="-2"/>
          <w:sz w:val="18"/>
        </w:rPr>
        <w:t xml:space="preserve"> </w:t>
      </w:r>
      <w:r w:rsidRPr="00EC20A0">
        <w:rPr>
          <w:sz w:val="18"/>
        </w:rPr>
        <w:t>year</w:t>
      </w:r>
      <w:r w:rsidRPr="00EC20A0">
        <w:rPr>
          <w:spacing w:val="-2"/>
          <w:sz w:val="18"/>
        </w:rPr>
        <w:t xml:space="preserve"> </w:t>
      </w:r>
      <w:r w:rsidRPr="00EC20A0">
        <w:rPr>
          <w:sz w:val="18"/>
        </w:rPr>
        <w:t>limitation</w:t>
      </w:r>
      <w:r w:rsidRPr="00EC20A0">
        <w:rPr>
          <w:spacing w:val="-3"/>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U.S.</w:t>
      </w:r>
      <w:r w:rsidRPr="00EC20A0">
        <w:rPr>
          <w:spacing w:val="-2"/>
          <w:sz w:val="18"/>
        </w:rPr>
        <w:t xml:space="preserve"> </w:t>
      </w:r>
      <w:r w:rsidRPr="00EC20A0">
        <w:rPr>
          <w:sz w:val="18"/>
        </w:rPr>
        <w:t>government</w:t>
      </w:r>
      <w:r w:rsidRPr="00EC20A0">
        <w:rPr>
          <w:spacing w:val="-2"/>
          <w:sz w:val="18"/>
        </w:rPr>
        <w:t xml:space="preserve"> </w:t>
      </w:r>
      <w:r w:rsidRPr="00EC20A0">
        <w:rPr>
          <w:sz w:val="18"/>
        </w:rPr>
        <w:t>to</w:t>
      </w:r>
      <w:r w:rsidRPr="00EC20A0">
        <w:rPr>
          <w:spacing w:val="-3"/>
          <w:sz w:val="18"/>
        </w:rPr>
        <w:t xml:space="preserve"> </w:t>
      </w:r>
      <w:r w:rsidRPr="00EC20A0">
        <w:rPr>
          <w:sz w:val="18"/>
        </w:rPr>
        <w:t>make</w:t>
      </w:r>
      <w:r w:rsidRPr="00EC20A0">
        <w:rPr>
          <w:spacing w:val="-2"/>
          <w:sz w:val="18"/>
        </w:rPr>
        <w:t xml:space="preserve"> </w:t>
      </w:r>
      <w:r w:rsidRPr="00EC20A0">
        <w:rPr>
          <w:sz w:val="18"/>
        </w:rPr>
        <w:t>compensation</w:t>
      </w:r>
      <w:r w:rsidRPr="00EC20A0">
        <w:rPr>
          <w:spacing w:val="-3"/>
          <w:sz w:val="18"/>
        </w:rPr>
        <w:t xml:space="preserve"> </w:t>
      </w:r>
      <w:r w:rsidRPr="00EC20A0">
        <w:rPr>
          <w:sz w:val="18"/>
        </w:rPr>
        <w:t>payments</w:t>
      </w:r>
      <w:r w:rsidRPr="00EC20A0">
        <w:rPr>
          <w:spacing w:val="-2"/>
          <w:sz w:val="18"/>
        </w:rPr>
        <w:t xml:space="preserve"> </w:t>
      </w:r>
      <w:r w:rsidRPr="00EC20A0">
        <w:rPr>
          <w:sz w:val="18"/>
        </w:rPr>
        <w:t>for</w:t>
      </w:r>
      <w:r w:rsidRPr="00EC20A0">
        <w:rPr>
          <w:spacing w:val="-2"/>
          <w:sz w:val="18"/>
        </w:rPr>
        <w:t xml:space="preserve"> </w:t>
      </w:r>
      <w:r w:rsidRPr="00EC20A0">
        <w:rPr>
          <w:sz w:val="18"/>
        </w:rPr>
        <w:t>the</w:t>
      </w:r>
      <w:r w:rsidRPr="00EC20A0">
        <w:rPr>
          <w:spacing w:val="-3"/>
          <w:sz w:val="18"/>
        </w:rPr>
        <w:t xml:space="preserve"> </w:t>
      </w:r>
      <w:r w:rsidRPr="00EC20A0">
        <w:rPr>
          <w:sz w:val="18"/>
        </w:rPr>
        <w:t>disability or death of an employee resulting from personal injury sustained while in the performance of the employee’s duty, unless a statutory exception applies. 5 U.S.C. § 8102(a) and 5 U.S.C. § 8147(a).</w:t>
      </w:r>
    </w:p>
    <w:p w14:paraId="24D61469" w14:textId="77777777" w:rsidR="00245300" w:rsidRPr="00EC20A0" w:rsidRDefault="00245300">
      <w:pPr>
        <w:spacing w:line="244" w:lineRule="auto"/>
        <w:rPr>
          <w:sz w:val="18"/>
        </w:rPr>
        <w:sectPr w:rsidR="00245300" w:rsidRPr="00EC20A0">
          <w:headerReference w:type="default" r:id="rId127"/>
          <w:footerReference w:type="default" r:id="rId128"/>
          <w:pgSz w:w="15840" w:h="12240" w:orient="landscape"/>
          <w:pgMar w:top="1380" w:right="1220" w:bottom="940" w:left="960" w:header="721" w:footer="742" w:gutter="0"/>
          <w:pgNumType w:start="1"/>
          <w:cols w:space="720"/>
        </w:sectPr>
      </w:pPr>
    </w:p>
    <w:p w14:paraId="24D6146A" w14:textId="77777777" w:rsidR="00245300" w:rsidRPr="00EC20A0" w:rsidRDefault="00245300">
      <w:pPr>
        <w:pStyle w:val="BodyText"/>
        <w:spacing w:before="9"/>
        <w:rPr>
          <w:sz w:val="7"/>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8"/>
        <w:gridCol w:w="2561"/>
        <w:gridCol w:w="2065"/>
        <w:gridCol w:w="1487"/>
        <w:gridCol w:w="1583"/>
        <w:gridCol w:w="2129"/>
      </w:tblGrid>
      <w:tr w:rsidR="00245300" w:rsidRPr="00EC20A0" w14:paraId="24D6146E" w14:textId="77777777">
        <w:trPr>
          <w:trHeight w:val="1574"/>
        </w:trPr>
        <w:tc>
          <w:tcPr>
            <w:tcW w:w="13393" w:type="dxa"/>
            <w:gridSpan w:val="6"/>
          </w:tcPr>
          <w:p w14:paraId="24D6146B" w14:textId="77777777" w:rsidR="00245300" w:rsidRPr="00EC20A0" w:rsidRDefault="00F17249">
            <w:pPr>
              <w:pStyle w:val="TableParagraph"/>
              <w:tabs>
                <w:tab w:val="left" w:pos="9319"/>
              </w:tabs>
              <w:spacing w:before="144"/>
              <w:ind w:right="1964"/>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2"/>
              </w:rPr>
              <w:t xml:space="preserve"> </w:t>
            </w:r>
            <w:r w:rsidRPr="00EC20A0">
              <w:rPr>
                <w:spacing w:val="-5"/>
              </w:rPr>
              <w:t>by:</w:t>
            </w:r>
          </w:p>
          <w:p w14:paraId="24D6146C" w14:textId="77777777" w:rsidR="00245300" w:rsidRPr="00EC20A0" w:rsidRDefault="00F17249">
            <w:pPr>
              <w:pStyle w:val="TableParagraph"/>
              <w:spacing w:before="12"/>
              <w:ind w:left="1973" w:right="1965"/>
              <w:jc w:val="center"/>
              <w:rPr>
                <w:b/>
                <w:sz w:val="24"/>
              </w:rPr>
            </w:pPr>
            <w:r w:rsidRPr="00EC20A0">
              <w:rPr>
                <w:noProof/>
              </w:rPr>
              <mc:AlternateContent>
                <mc:Choice Requires="wpg">
                  <w:drawing>
                    <wp:anchor distT="0" distB="0" distL="0" distR="0" simplePos="0" relativeHeight="475346944" behindDoc="1" locked="0" layoutInCell="1" allowOverlap="1" wp14:anchorId="24D62C4F" wp14:editId="24D62C50">
                      <wp:simplePos x="0" y="0"/>
                      <wp:positionH relativeFrom="column">
                        <wp:posOffset>7052309</wp:posOffset>
                      </wp:positionH>
                      <wp:positionV relativeFrom="paragraph">
                        <wp:posOffset>91882</wp:posOffset>
                      </wp:positionV>
                      <wp:extent cx="1371600" cy="635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693" name="Graphic 693"/>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FE4A3A" id="Group 692" o:spid="_x0000_s1026" style="position:absolute;margin-left:555.3pt;margin-top:7.25pt;width:108pt;height:.5pt;z-index:-27969536;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">
                      <v:shape id="Graphic 693"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" path="m1371600,l,,,6108r1371600,l1371600,xe" fillcolor="black" stroked="f">
                        <v:path arrowok="t"/>
                      </v:shape>
                    </v:group>
                  </w:pict>
                </mc:Fallback>
              </mc:AlternateContent>
            </w:r>
            <w:r w:rsidRPr="00EC20A0">
              <w:rPr>
                <w:noProof/>
              </w:rPr>
              <mc:AlternateContent>
                <mc:Choice Requires="wpg">
                  <w:drawing>
                    <wp:anchor distT="0" distB="0" distL="0" distR="0" simplePos="0" relativeHeight="475347968" behindDoc="1" locked="0" layoutInCell="1" allowOverlap="1" wp14:anchorId="24D62C51" wp14:editId="24D62C52">
                      <wp:simplePos x="0" y="0"/>
                      <wp:positionH relativeFrom="column">
                        <wp:posOffset>7052309</wp:posOffset>
                      </wp:positionH>
                      <wp:positionV relativeFrom="paragraph">
                        <wp:posOffset>441640</wp:posOffset>
                      </wp:positionV>
                      <wp:extent cx="1371600" cy="6350"/>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695" name="Graphic 695"/>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A69E8F" id="Group 694" o:spid="_x0000_s1026" style="position:absolute;margin-left:555.3pt;margin-top:34.75pt;width:108pt;height:.5pt;z-index:-2796851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">
                      <v:shape id="Graphic 695"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" path="m1371600,l,,,6108r1371600,l1371600,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46D" w14:textId="77777777" w:rsidR="00245300" w:rsidRPr="00EC20A0" w:rsidRDefault="00F17249">
            <w:pPr>
              <w:pStyle w:val="TableParagraph"/>
              <w:tabs>
                <w:tab w:val="left" w:pos="9013"/>
              </w:tabs>
              <w:spacing w:before="10"/>
              <w:ind w:right="1720"/>
              <w:jc w:val="center"/>
            </w:pPr>
            <w:r w:rsidRPr="00EC20A0">
              <w:rPr>
                <w:noProof/>
              </w:rPr>
              <mc:AlternateContent>
                <mc:Choice Requires="wpg">
                  <w:drawing>
                    <wp:anchor distT="0" distB="0" distL="0" distR="0" simplePos="0" relativeHeight="475346432" behindDoc="1" locked="0" layoutInCell="1" allowOverlap="1" wp14:anchorId="24D62C53" wp14:editId="24D62C54">
                      <wp:simplePos x="0" y="0"/>
                      <wp:positionH relativeFrom="column">
                        <wp:posOffset>1274825</wp:posOffset>
                      </wp:positionH>
                      <wp:positionV relativeFrom="paragraph">
                        <wp:posOffset>-91198</wp:posOffset>
                      </wp:positionV>
                      <wp:extent cx="1205865" cy="6350"/>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697" name="Graphic 697"/>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37251B" id="Group 696" o:spid="_x0000_s1026" style="position:absolute;margin-left:100.4pt;margin-top:-7.2pt;width:94.95pt;height:.5pt;z-index:-27970048;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cduIVXQCAADzBQAADgAA&#10;AAAAAAAAAAAAAAAuAgAAZHJzL2Uyb0RvYy54bWxQSwECLQAUAAYACAAAACEALa106eEAAAALAQAA&#10;DwAAAAAAAAAAAAAAAADOBAAAZHJzL2Rvd25yZXYueG1sUEsFBgAAAAAEAAQA8wAAANwFAAAAAA==&#10;">
                      <v:shape id="Graphic 697"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" path="m1205484,l,,,6108r1205484,l1205484,xe" fillcolor="black" stroked="f">
                        <v:path arrowok="t"/>
                      </v:shape>
                    </v:group>
                  </w:pict>
                </mc:Fallback>
              </mc:AlternateContent>
            </w:r>
            <w:r w:rsidRPr="00EC20A0">
              <w:rPr>
                <w:noProof/>
              </w:rPr>
              <mc:AlternateContent>
                <mc:Choice Requires="wpg">
                  <w:drawing>
                    <wp:anchor distT="0" distB="0" distL="0" distR="0" simplePos="0" relativeHeight="475347456" behindDoc="1" locked="0" layoutInCell="1" allowOverlap="1" wp14:anchorId="24D62C55" wp14:editId="24D62C56">
                      <wp:simplePos x="0" y="0"/>
                      <wp:positionH relativeFrom="column">
                        <wp:posOffset>1274825</wp:posOffset>
                      </wp:positionH>
                      <wp:positionV relativeFrom="paragraph">
                        <wp:posOffset>258559</wp:posOffset>
                      </wp:positionV>
                      <wp:extent cx="1205865" cy="6350"/>
                      <wp:effectExtent l="0" t="0" r="0" b="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699" name="Graphic 699"/>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02B41FA" id="Group 698" o:spid="_x0000_s1026" style="position:absolute;margin-left:100.4pt;margin-top:20.35pt;width:94.95pt;height:.5pt;z-index:-27969024;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">
                      <v:shape id="Graphic 699"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" path="m1205484,l,,,6108r1205484,l1205484,xe" fillcolor="black" stroked="f">
                        <v:path arrowok="t"/>
                      </v:shape>
                    </v:group>
                  </w:pict>
                </mc:Fallback>
              </mc:AlternateContent>
            </w:r>
            <w:r w:rsidRPr="00EC20A0">
              <w:t>Audit</w:t>
            </w:r>
            <w:r w:rsidRPr="00EC20A0">
              <w:rPr>
                <w:spacing w:val="-7"/>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479" w14:textId="77777777">
        <w:trPr>
          <w:trHeight w:val="793"/>
        </w:trPr>
        <w:tc>
          <w:tcPr>
            <w:tcW w:w="3568" w:type="dxa"/>
            <w:tcBorders>
              <w:right w:val="single" w:sz="4" w:space="0" w:color="000000"/>
            </w:tcBorders>
          </w:tcPr>
          <w:p w14:paraId="24D6146F" w14:textId="77777777" w:rsidR="00245300" w:rsidRPr="00EC20A0" w:rsidRDefault="00245300">
            <w:pPr>
              <w:pStyle w:val="TableParagraph"/>
              <w:spacing w:before="143"/>
            </w:pPr>
          </w:p>
          <w:p w14:paraId="24D61470"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2561" w:type="dxa"/>
            <w:tcBorders>
              <w:left w:val="single" w:sz="4" w:space="0" w:color="000000"/>
              <w:right w:val="single" w:sz="4" w:space="0" w:color="000000"/>
            </w:tcBorders>
          </w:tcPr>
          <w:p w14:paraId="24D61471" w14:textId="77777777" w:rsidR="00245300" w:rsidRPr="00EC20A0" w:rsidRDefault="00245300">
            <w:pPr>
              <w:pStyle w:val="TableParagraph"/>
              <w:spacing w:before="143"/>
            </w:pPr>
          </w:p>
          <w:p w14:paraId="24D61472" w14:textId="77777777" w:rsidR="00245300" w:rsidRPr="00EC20A0" w:rsidRDefault="00F17249">
            <w:pPr>
              <w:pStyle w:val="TableParagraph"/>
              <w:ind w:left="106"/>
            </w:pPr>
            <w:r w:rsidRPr="00EC20A0">
              <w:rPr>
                <w:spacing w:val="-2"/>
              </w:rPr>
              <w:t>Objective</w:t>
            </w:r>
          </w:p>
        </w:tc>
        <w:tc>
          <w:tcPr>
            <w:tcW w:w="2065" w:type="dxa"/>
            <w:tcBorders>
              <w:left w:val="single" w:sz="4" w:space="0" w:color="000000"/>
              <w:right w:val="single" w:sz="4" w:space="0" w:color="000000"/>
            </w:tcBorders>
          </w:tcPr>
          <w:p w14:paraId="24D61473" w14:textId="77777777" w:rsidR="00245300" w:rsidRPr="00EC20A0" w:rsidRDefault="00245300">
            <w:pPr>
              <w:pStyle w:val="TableParagraph"/>
              <w:spacing w:before="143"/>
            </w:pPr>
          </w:p>
          <w:p w14:paraId="24D61474" w14:textId="77777777" w:rsidR="00245300" w:rsidRPr="00EC20A0" w:rsidRDefault="00F17249">
            <w:pPr>
              <w:pStyle w:val="TableParagraph"/>
              <w:ind w:left="107"/>
            </w:pPr>
            <w:r w:rsidRPr="00EC20A0">
              <w:t>Control</w:t>
            </w:r>
            <w:r w:rsidRPr="00EC20A0">
              <w:rPr>
                <w:spacing w:val="-9"/>
              </w:rPr>
              <w:t xml:space="preserve"> </w:t>
            </w:r>
            <w:r w:rsidRPr="00EC20A0">
              <w:rPr>
                <w:spacing w:val="-2"/>
              </w:rPr>
              <w:t>Activities</w:t>
            </w:r>
          </w:p>
        </w:tc>
        <w:tc>
          <w:tcPr>
            <w:tcW w:w="1487" w:type="dxa"/>
            <w:tcBorders>
              <w:left w:val="single" w:sz="4" w:space="0" w:color="000000"/>
              <w:right w:val="single" w:sz="4" w:space="0" w:color="000000"/>
            </w:tcBorders>
          </w:tcPr>
          <w:p w14:paraId="24D61475" w14:textId="77777777" w:rsidR="00245300" w:rsidRPr="00EC20A0" w:rsidRDefault="00245300">
            <w:pPr>
              <w:pStyle w:val="TableParagraph"/>
              <w:spacing w:before="143"/>
            </w:pPr>
          </w:p>
          <w:p w14:paraId="24D61476"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583" w:type="dxa"/>
            <w:tcBorders>
              <w:left w:val="single" w:sz="4" w:space="0" w:color="000000"/>
              <w:right w:val="single" w:sz="4" w:space="0" w:color="000000"/>
            </w:tcBorders>
          </w:tcPr>
          <w:p w14:paraId="24D61477" w14:textId="77777777" w:rsidR="00245300" w:rsidRPr="00EC20A0" w:rsidRDefault="00F17249">
            <w:pPr>
              <w:pStyle w:val="TableParagraph"/>
              <w:spacing w:before="143"/>
              <w:ind w:left="107" w:right="16"/>
            </w:pPr>
            <w:r w:rsidRPr="00EC20A0">
              <w:rPr>
                <w:spacing w:val="-2"/>
              </w:rPr>
              <w:t>Effective controls?</w:t>
            </w:r>
          </w:p>
        </w:tc>
        <w:tc>
          <w:tcPr>
            <w:tcW w:w="2129" w:type="dxa"/>
            <w:tcBorders>
              <w:left w:val="single" w:sz="4" w:space="0" w:color="000000"/>
            </w:tcBorders>
          </w:tcPr>
          <w:p w14:paraId="24D61478"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485" w14:textId="77777777">
        <w:trPr>
          <w:trHeight w:val="4509"/>
        </w:trPr>
        <w:tc>
          <w:tcPr>
            <w:tcW w:w="3568" w:type="dxa"/>
            <w:tcBorders>
              <w:right w:val="single" w:sz="4" w:space="0" w:color="000000"/>
            </w:tcBorders>
          </w:tcPr>
          <w:p w14:paraId="24D6147A" w14:textId="77777777" w:rsidR="00245300" w:rsidRPr="00EC20A0" w:rsidRDefault="00F17249">
            <w:pPr>
              <w:pStyle w:val="TableParagraph"/>
              <w:spacing w:before="143"/>
              <w:ind w:left="817" w:right="586" w:hanging="720"/>
              <w:jc w:val="both"/>
              <w:rPr>
                <w:sz w:val="18"/>
              </w:rPr>
            </w:pPr>
            <w:r w:rsidRPr="00EC20A0">
              <w:rPr>
                <w:smallCaps/>
                <w:sz w:val="18"/>
              </w:rPr>
              <w:t>810.02.</w:t>
            </w:r>
            <w:r w:rsidRPr="00EC20A0">
              <w:rPr>
                <w:smallCaps/>
                <w:spacing w:val="-2"/>
                <w:sz w:val="18"/>
              </w:rPr>
              <w:t xml:space="preserve"> </w:t>
            </w:r>
            <w:r w:rsidRPr="00EC20A0">
              <w:rPr>
                <w:smallCaps/>
                <w:spacing w:val="17"/>
                <w:sz w:val="18"/>
              </w:rPr>
              <w:t xml:space="preserve"> </w:t>
            </w:r>
            <w:r w:rsidRPr="00EC20A0">
              <w:rPr>
                <w:smallCaps/>
                <w:sz w:val="18"/>
              </w:rPr>
              <w:t>Depositing</w:t>
            </w:r>
            <w:r w:rsidRPr="00EC20A0">
              <w:rPr>
                <w:smallCaps/>
                <w:spacing w:val="-3"/>
                <w:sz w:val="18"/>
              </w:rPr>
              <w:t xml:space="preserve"> </w:t>
            </w:r>
            <w:r w:rsidRPr="00EC20A0">
              <w:rPr>
                <w:smallCaps/>
                <w:sz w:val="18"/>
              </w:rPr>
              <w:t>Funds</w:t>
            </w:r>
            <w:r w:rsidRPr="00EC20A0">
              <w:rPr>
                <w:smallCaps/>
                <w:spacing w:val="-3"/>
                <w:sz w:val="18"/>
              </w:rPr>
              <w:t xml:space="preserve"> </w:t>
            </w:r>
            <w:r w:rsidRPr="00EC20A0">
              <w:rPr>
                <w:smallCaps/>
                <w:sz w:val="18"/>
              </w:rPr>
              <w:t>Into</w:t>
            </w:r>
            <w:r w:rsidRPr="00EC20A0">
              <w:rPr>
                <w:smallCaps/>
                <w:spacing w:val="-4"/>
                <w:sz w:val="18"/>
              </w:rPr>
              <w:t xml:space="preserve"> </w:t>
            </w:r>
            <w:r w:rsidRPr="00EC20A0">
              <w:rPr>
                <w:smallCaps/>
                <w:sz w:val="18"/>
              </w:rPr>
              <w:t>the</w:t>
            </w:r>
            <w:r w:rsidRPr="00EC20A0">
              <w:rPr>
                <w:smallCaps/>
                <w:spacing w:val="40"/>
                <w:sz w:val="18"/>
              </w:rPr>
              <w:t xml:space="preserve"> </w:t>
            </w:r>
            <w:r w:rsidRPr="00EC20A0">
              <w:rPr>
                <w:smallCaps/>
                <w:sz w:val="18"/>
              </w:rPr>
              <w:t>Employees’</w:t>
            </w:r>
            <w:r w:rsidRPr="00EC20A0">
              <w:rPr>
                <w:smallCaps/>
                <w:spacing w:val="-10"/>
                <w:sz w:val="18"/>
              </w:rPr>
              <w:t xml:space="preserve"> </w:t>
            </w:r>
            <w:r w:rsidRPr="00EC20A0">
              <w:rPr>
                <w:smallCaps/>
                <w:sz w:val="18"/>
              </w:rPr>
              <w:t>Compensation</w:t>
            </w:r>
            <w:r w:rsidRPr="00EC20A0">
              <w:rPr>
                <w:smallCaps/>
                <w:spacing w:val="40"/>
                <w:sz w:val="18"/>
              </w:rPr>
              <w:t xml:space="preserve"> </w:t>
            </w:r>
            <w:r w:rsidRPr="00EC20A0">
              <w:rPr>
                <w:smallCaps/>
                <w:spacing w:val="-2"/>
                <w:sz w:val="18"/>
              </w:rPr>
              <w:t>Fund.</w:t>
            </w:r>
          </w:p>
          <w:p w14:paraId="24D6147B" w14:textId="77777777" w:rsidR="00245300" w:rsidRPr="00EC20A0" w:rsidRDefault="00F17249">
            <w:pPr>
              <w:pStyle w:val="TableParagraph"/>
              <w:spacing w:before="146"/>
              <w:ind w:left="97"/>
              <w:rPr>
                <w:sz w:val="18"/>
              </w:rPr>
            </w:pPr>
            <w:r w:rsidRPr="00EC20A0">
              <w:rPr>
                <w:sz w:val="18"/>
              </w:rPr>
              <w:t>Provision</w:t>
            </w:r>
            <w:r w:rsidRPr="00EC20A0">
              <w:rPr>
                <w:spacing w:val="-8"/>
                <w:sz w:val="18"/>
              </w:rPr>
              <w:t xml:space="preserve"> </w:t>
            </w:r>
            <w:r w:rsidRPr="00EC20A0">
              <w:rPr>
                <w:sz w:val="18"/>
              </w:rPr>
              <w:t>Type:</w:t>
            </w:r>
            <w:r w:rsidRPr="00EC20A0">
              <w:rPr>
                <w:spacing w:val="-7"/>
                <w:sz w:val="18"/>
              </w:rPr>
              <w:t xml:space="preserve"> </w:t>
            </w:r>
            <w:r w:rsidRPr="00EC20A0">
              <w:rPr>
                <w:sz w:val="18"/>
              </w:rPr>
              <w:t>Procedural-</w:t>
            </w:r>
            <w:r w:rsidRPr="00EC20A0">
              <w:rPr>
                <w:spacing w:val="-2"/>
                <w:sz w:val="18"/>
              </w:rPr>
              <w:t>based.</w:t>
            </w:r>
          </w:p>
          <w:p w14:paraId="24D6147C" w14:textId="77777777" w:rsidR="00245300" w:rsidRPr="00EC20A0" w:rsidRDefault="00F17249">
            <w:pPr>
              <w:pStyle w:val="TableParagraph"/>
              <w:spacing w:before="142"/>
              <w:ind w:left="97" w:right="98"/>
              <w:rPr>
                <w:sz w:val="18"/>
              </w:rPr>
            </w:pPr>
            <w:r w:rsidRPr="00EC20A0">
              <w:rPr>
                <w:sz w:val="18"/>
              </w:rPr>
              <w:t>Amounts appropriated pursuant to the request</w:t>
            </w:r>
            <w:r w:rsidRPr="00EC20A0">
              <w:rPr>
                <w:spacing w:val="-8"/>
                <w:sz w:val="18"/>
              </w:rPr>
              <w:t xml:space="preserve"> </w:t>
            </w:r>
            <w:r w:rsidRPr="00EC20A0">
              <w:rPr>
                <w:sz w:val="18"/>
              </w:rPr>
              <w:t>(described</w:t>
            </w:r>
            <w:r w:rsidRPr="00EC20A0">
              <w:rPr>
                <w:spacing w:val="-9"/>
                <w:sz w:val="18"/>
              </w:rPr>
              <w:t xml:space="preserve"> </w:t>
            </w:r>
            <w:r w:rsidRPr="00EC20A0">
              <w:rPr>
                <w:sz w:val="18"/>
              </w:rPr>
              <w:t>in</w:t>
            </w:r>
            <w:r w:rsidRPr="00EC20A0">
              <w:rPr>
                <w:spacing w:val="-9"/>
                <w:sz w:val="18"/>
              </w:rPr>
              <w:t xml:space="preserve"> </w:t>
            </w:r>
            <w:r w:rsidRPr="00EC20A0">
              <w:rPr>
                <w:sz w:val="18"/>
              </w:rPr>
              <w:t>810.01</w:t>
            </w:r>
            <w:r w:rsidRPr="00EC20A0">
              <w:rPr>
                <w:spacing w:val="-7"/>
                <w:sz w:val="18"/>
              </w:rPr>
              <w:t xml:space="preserve"> </w:t>
            </w:r>
            <w:r w:rsidRPr="00EC20A0">
              <w:rPr>
                <w:sz w:val="18"/>
              </w:rPr>
              <w:t>above)</w:t>
            </w:r>
            <w:r w:rsidRPr="00EC20A0">
              <w:rPr>
                <w:spacing w:val="-8"/>
                <w:sz w:val="18"/>
              </w:rPr>
              <w:t xml:space="preserve"> </w:t>
            </w:r>
            <w:r w:rsidRPr="00EC20A0">
              <w:rPr>
                <w:sz w:val="18"/>
              </w:rPr>
              <w:t>shall be deposited into the Treasury to the credit of the Fund within 30 days of their availability. 5 U.S.C. § 8147(b). If, however, the entity does not receive annual appropriations and receives a statement showing the costs of amounts paid from the Fund on the entity’s behalf, then the entity shall make the required deposit into the Treasury to the credit of the Fund from funds under its control during</w:t>
            </w:r>
            <w:r w:rsidRPr="00EC20A0">
              <w:rPr>
                <w:spacing w:val="-1"/>
                <w:sz w:val="18"/>
              </w:rPr>
              <w:t xml:space="preserve"> </w:t>
            </w:r>
            <w:r w:rsidRPr="00EC20A0">
              <w:rPr>
                <w:sz w:val="18"/>
              </w:rPr>
              <w:t>the</w:t>
            </w:r>
            <w:r w:rsidRPr="00EC20A0">
              <w:rPr>
                <w:spacing w:val="-1"/>
                <w:sz w:val="18"/>
              </w:rPr>
              <w:t xml:space="preserve"> </w:t>
            </w:r>
            <w:r w:rsidRPr="00EC20A0">
              <w:rPr>
                <w:sz w:val="18"/>
              </w:rPr>
              <w:t>first 15</w:t>
            </w:r>
            <w:r w:rsidRPr="00EC20A0">
              <w:rPr>
                <w:spacing w:val="-1"/>
                <w:sz w:val="18"/>
              </w:rPr>
              <w:t xml:space="preserve"> </w:t>
            </w:r>
            <w:r w:rsidRPr="00EC20A0">
              <w:rPr>
                <w:sz w:val="18"/>
              </w:rPr>
              <w:t>days of October after it receives the Fund cost statement. 5</w:t>
            </w:r>
          </w:p>
          <w:p w14:paraId="24D6147D" w14:textId="77777777" w:rsidR="00245300" w:rsidRPr="00EC20A0" w:rsidRDefault="00F17249">
            <w:pPr>
              <w:pStyle w:val="TableParagraph"/>
              <w:spacing w:before="2"/>
              <w:ind w:left="97"/>
              <w:rPr>
                <w:sz w:val="18"/>
              </w:rPr>
            </w:pPr>
            <w:r w:rsidRPr="00EC20A0">
              <w:rPr>
                <w:sz w:val="18"/>
              </w:rPr>
              <w:t>U.S.C.</w:t>
            </w:r>
            <w:r w:rsidRPr="00EC20A0">
              <w:rPr>
                <w:spacing w:val="-2"/>
                <w:sz w:val="18"/>
              </w:rPr>
              <w:t xml:space="preserve"> </w:t>
            </w:r>
            <w:r w:rsidRPr="00EC20A0">
              <w:rPr>
                <w:sz w:val="18"/>
              </w:rPr>
              <w:t>§</w:t>
            </w:r>
            <w:r w:rsidRPr="00EC20A0">
              <w:rPr>
                <w:spacing w:val="-2"/>
                <w:sz w:val="18"/>
              </w:rPr>
              <w:t xml:space="preserve"> 8147(b).</w:t>
            </w:r>
          </w:p>
        </w:tc>
        <w:tc>
          <w:tcPr>
            <w:tcW w:w="2561" w:type="dxa"/>
            <w:tcBorders>
              <w:left w:val="single" w:sz="4" w:space="0" w:color="000000"/>
              <w:right w:val="single" w:sz="4" w:space="0" w:color="000000"/>
            </w:tcBorders>
          </w:tcPr>
          <w:p w14:paraId="24D6147E" w14:textId="77777777" w:rsidR="00245300" w:rsidRPr="00EC20A0" w:rsidRDefault="00F17249">
            <w:pPr>
              <w:pStyle w:val="TableParagraph"/>
              <w:spacing w:before="143"/>
              <w:ind w:left="465" w:right="74" w:hanging="360"/>
              <w:rPr>
                <w:sz w:val="18"/>
              </w:rPr>
            </w:pPr>
            <w:r w:rsidRPr="00EC20A0">
              <w:rPr>
                <w:sz w:val="18"/>
              </w:rPr>
              <w:t>2a.</w:t>
            </w:r>
            <w:r w:rsidRPr="00EC20A0">
              <w:rPr>
                <w:spacing w:val="40"/>
                <w:sz w:val="18"/>
              </w:rPr>
              <w:t xml:space="preserve"> </w:t>
            </w:r>
            <w:r w:rsidRPr="00EC20A0">
              <w:rPr>
                <w:sz w:val="18"/>
              </w:rPr>
              <w:t>For an entity funded by annual appropriations, the appropriations received</w:t>
            </w:r>
            <w:r w:rsidRPr="00EC20A0">
              <w:rPr>
                <w:spacing w:val="-5"/>
                <w:sz w:val="18"/>
              </w:rPr>
              <w:t xml:space="preserve"> </w:t>
            </w:r>
            <w:r w:rsidRPr="00EC20A0">
              <w:rPr>
                <w:sz w:val="18"/>
              </w:rPr>
              <w:t>for</w:t>
            </w:r>
            <w:r w:rsidRPr="00EC20A0">
              <w:rPr>
                <w:spacing w:val="-5"/>
                <w:sz w:val="18"/>
              </w:rPr>
              <w:t xml:space="preserve"> </w:t>
            </w:r>
            <w:r w:rsidRPr="00EC20A0">
              <w:rPr>
                <w:sz w:val="18"/>
              </w:rPr>
              <w:t>the</w:t>
            </w:r>
            <w:r w:rsidRPr="00EC20A0">
              <w:rPr>
                <w:spacing w:val="-5"/>
                <w:sz w:val="18"/>
              </w:rPr>
              <w:t xml:space="preserve"> </w:t>
            </w:r>
            <w:r w:rsidRPr="00EC20A0">
              <w:rPr>
                <w:sz w:val="18"/>
              </w:rPr>
              <w:t>costs</w:t>
            </w:r>
            <w:r w:rsidRPr="00EC20A0">
              <w:rPr>
                <w:spacing w:val="-5"/>
                <w:sz w:val="18"/>
              </w:rPr>
              <w:t xml:space="preserve"> </w:t>
            </w:r>
            <w:r w:rsidRPr="00EC20A0">
              <w:rPr>
                <w:sz w:val="18"/>
              </w:rPr>
              <w:t xml:space="preserve">of amounts paid out of the Fund on behalf of </w:t>
            </w:r>
            <w:r w:rsidRPr="00EC20A0">
              <w:rPr>
                <w:sz w:val="18"/>
              </w:rPr>
              <w:t>the entity</w:t>
            </w:r>
            <w:r w:rsidRPr="00EC20A0">
              <w:rPr>
                <w:spacing w:val="-9"/>
                <w:sz w:val="18"/>
              </w:rPr>
              <w:t xml:space="preserve"> </w:t>
            </w:r>
            <w:r w:rsidRPr="00EC20A0">
              <w:rPr>
                <w:sz w:val="18"/>
              </w:rPr>
              <w:t>are</w:t>
            </w:r>
            <w:r w:rsidRPr="00EC20A0">
              <w:rPr>
                <w:spacing w:val="-10"/>
                <w:sz w:val="18"/>
              </w:rPr>
              <w:t xml:space="preserve"> </w:t>
            </w:r>
            <w:r w:rsidRPr="00EC20A0">
              <w:rPr>
                <w:sz w:val="18"/>
              </w:rPr>
              <w:t>credited</w:t>
            </w:r>
            <w:r w:rsidRPr="00EC20A0">
              <w:rPr>
                <w:spacing w:val="-10"/>
                <w:sz w:val="18"/>
              </w:rPr>
              <w:t xml:space="preserve"> </w:t>
            </w:r>
            <w:r w:rsidRPr="00EC20A0">
              <w:rPr>
                <w:sz w:val="18"/>
              </w:rPr>
              <w:t>to</w:t>
            </w:r>
            <w:r w:rsidRPr="00EC20A0">
              <w:rPr>
                <w:spacing w:val="-10"/>
                <w:sz w:val="18"/>
              </w:rPr>
              <w:t xml:space="preserve"> </w:t>
            </w:r>
            <w:r w:rsidRPr="00EC20A0">
              <w:rPr>
                <w:sz w:val="18"/>
              </w:rPr>
              <w:t>the Fund within 30 days of their availability.</w:t>
            </w:r>
          </w:p>
          <w:p w14:paraId="24D6147F" w14:textId="77777777" w:rsidR="00245300" w:rsidRPr="00EC20A0" w:rsidRDefault="00F17249">
            <w:pPr>
              <w:pStyle w:val="TableParagraph"/>
              <w:spacing w:before="145"/>
              <w:ind w:left="465" w:right="113" w:hanging="360"/>
              <w:rPr>
                <w:sz w:val="18"/>
              </w:rPr>
            </w:pPr>
            <w:r w:rsidRPr="00EC20A0">
              <w:rPr>
                <w:sz w:val="18"/>
              </w:rPr>
              <w:t>2b.</w:t>
            </w:r>
            <w:r w:rsidRPr="00EC20A0">
              <w:rPr>
                <w:spacing w:val="40"/>
                <w:sz w:val="18"/>
              </w:rPr>
              <w:t xml:space="preserve"> </w:t>
            </w:r>
            <w:r w:rsidRPr="00EC20A0">
              <w:rPr>
                <w:sz w:val="18"/>
              </w:rPr>
              <w:t>For an entity not funded by annual appropriations,</w:t>
            </w:r>
            <w:r w:rsidRPr="00EC20A0">
              <w:rPr>
                <w:spacing w:val="-15"/>
                <w:sz w:val="18"/>
              </w:rPr>
              <w:t xml:space="preserve"> </w:t>
            </w:r>
            <w:r w:rsidRPr="00EC20A0">
              <w:rPr>
                <w:sz w:val="18"/>
              </w:rPr>
              <w:t>the</w:t>
            </w:r>
            <w:r w:rsidRPr="00EC20A0">
              <w:rPr>
                <w:spacing w:val="-12"/>
                <w:sz w:val="18"/>
              </w:rPr>
              <w:t xml:space="preserve"> </w:t>
            </w:r>
            <w:r w:rsidRPr="00EC20A0">
              <w:rPr>
                <w:sz w:val="18"/>
              </w:rPr>
              <w:t>entity makes the required deposit to the credit of the Fund during the first 15</w:t>
            </w:r>
            <w:r w:rsidRPr="00EC20A0">
              <w:rPr>
                <w:spacing w:val="-1"/>
                <w:sz w:val="18"/>
              </w:rPr>
              <w:t xml:space="preserve"> </w:t>
            </w:r>
            <w:r w:rsidRPr="00EC20A0">
              <w:rPr>
                <w:sz w:val="18"/>
              </w:rPr>
              <w:t>days of October after it</w:t>
            </w:r>
            <w:r w:rsidRPr="00EC20A0">
              <w:rPr>
                <w:spacing w:val="-5"/>
                <w:sz w:val="18"/>
              </w:rPr>
              <w:t xml:space="preserve"> </w:t>
            </w:r>
            <w:r w:rsidRPr="00EC20A0">
              <w:rPr>
                <w:sz w:val="18"/>
              </w:rPr>
              <w:t>receives</w:t>
            </w:r>
            <w:r w:rsidRPr="00EC20A0">
              <w:rPr>
                <w:spacing w:val="-5"/>
                <w:sz w:val="18"/>
              </w:rPr>
              <w:t xml:space="preserve"> </w:t>
            </w:r>
            <w:r w:rsidRPr="00EC20A0">
              <w:rPr>
                <w:sz w:val="18"/>
              </w:rPr>
              <w:t>the</w:t>
            </w:r>
            <w:r w:rsidRPr="00EC20A0">
              <w:rPr>
                <w:spacing w:val="-4"/>
                <w:sz w:val="18"/>
              </w:rPr>
              <w:t xml:space="preserve"> </w:t>
            </w:r>
            <w:r w:rsidRPr="00EC20A0">
              <w:rPr>
                <w:sz w:val="18"/>
              </w:rPr>
              <w:t>Fund</w:t>
            </w:r>
            <w:r w:rsidRPr="00EC20A0">
              <w:rPr>
                <w:spacing w:val="-6"/>
                <w:sz w:val="18"/>
              </w:rPr>
              <w:t xml:space="preserve"> </w:t>
            </w:r>
            <w:r w:rsidRPr="00EC20A0">
              <w:rPr>
                <w:sz w:val="18"/>
              </w:rPr>
              <w:t xml:space="preserve">cost </w:t>
            </w:r>
            <w:r w:rsidRPr="00EC20A0">
              <w:rPr>
                <w:spacing w:val="-2"/>
                <w:sz w:val="18"/>
              </w:rPr>
              <w:t>statement.</w:t>
            </w:r>
          </w:p>
        </w:tc>
        <w:tc>
          <w:tcPr>
            <w:tcW w:w="2065" w:type="dxa"/>
            <w:tcBorders>
              <w:left w:val="single" w:sz="4" w:space="0" w:color="000000"/>
              <w:right w:val="single" w:sz="4" w:space="0" w:color="000000"/>
            </w:tcBorders>
          </w:tcPr>
          <w:p w14:paraId="24D61480" w14:textId="77777777" w:rsidR="00245300" w:rsidRPr="00EC20A0" w:rsidRDefault="00245300">
            <w:pPr>
              <w:pStyle w:val="TableParagraph"/>
              <w:rPr>
                <w:sz w:val="18"/>
              </w:rPr>
            </w:pPr>
          </w:p>
        </w:tc>
        <w:tc>
          <w:tcPr>
            <w:tcW w:w="1487" w:type="dxa"/>
            <w:tcBorders>
              <w:left w:val="single" w:sz="4" w:space="0" w:color="000000"/>
              <w:right w:val="single" w:sz="4" w:space="0" w:color="000000"/>
            </w:tcBorders>
          </w:tcPr>
          <w:p w14:paraId="24D61481" w14:textId="77777777" w:rsidR="00245300" w:rsidRPr="00EC20A0" w:rsidRDefault="00245300">
            <w:pPr>
              <w:pStyle w:val="TableParagraph"/>
              <w:rPr>
                <w:sz w:val="18"/>
              </w:rPr>
            </w:pPr>
          </w:p>
        </w:tc>
        <w:tc>
          <w:tcPr>
            <w:tcW w:w="1583" w:type="dxa"/>
            <w:tcBorders>
              <w:left w:val="single" w:sz="4" w:space="0" w:color="000000"/>
              <w:right w:val="single" w:sz="4" w:space="0" w:color="000000"/>
            </w:tcBorders>
          </w:tcPr>
          <w:p w14:paraId="24D61482" w14:textId="77777777" w:rsidR="00245300" w:rsidRPr="00EC20A0" w:rsidRDefault="00245300">
            <w:pPr>
              <w:pStyle w:val="TableParagraph"/>
              <w:rPr>
                <w:sz w:val="18"/>
              </w:rPr>
            </w:pPr>
          </w:p>
        </w:tc>
        <w:tc>
          <w:tcPr>
            <w:tcW w:w="2129" w:type="dxa"/>
            <w:tcBorders>
              <w:left w:val="single" w:sz="4" w:space="0" w:color="000000"/>
            </w:tcBorders>
          </w:tcPr>
          <w:p w14:paraId="24D61483" w14:textId="77777777" w:rsidR="00245300" w:rsidRPr="00EC20A0" w:rsidRDefault="00F17249">
            <w:pPr>
              <w:pStyle w:val="TableParagraph"/>
              <w:spacing w:before="143"/>
              <w:ind w:left="106"/>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4"/>
                <w:sz w:val="18"/>
              </w:rPr>
              <w:t xml:space="preserve"> </w:t>
            </w:r>
            <w:r w:rsidRPr="00EC20A0">
              <w:rPr>
                <w:spacing w:val="-5"/>
                <w:sz w:val="18"/>
              </w:rPr>
              <w:t>810</w:t>
            </w:r>
          </w:p>
          <w:p w14:paraId="24D61484" w14:textId="77777777" w:rsidR="00245300" w:rsidRPr="00EC20A0" w:rsidRDefault="00F17249">
            <w:pPr>
              <w:pStyle w:val="TableParagraph"/>
              <w:spacing w:before="1"/>
              <w:ind w:left="106"/>
              <w:rPr>
                <w:sz w:val="18"/>
              </w:rPr>
            </w:pPr>
            <w:r w:rsidRPr="00EC20A0">
              <w:rPr>
                <w:sz w:val="18"/>
              </w:rPr>
              <w:t>step</w:t>
            </w:r>
            <w:r w:rsidRPr="00EC20A0">
              <w:rPr>
                <w:spacing w:val="-2"/>
                <w:sz w:val="18"/>
              </w:rPr>
              <w:t xml:space="preserve"> </w:t>
            </w:r>
            <w:r w:rsidRPr="00EC20A0">
              <w:rPr>
                <w:spacing w:val="-5"/>
                <w:sz w:val="18"/>
              </w:rPr>
              <w:t>1.</w:t>
            </w:r>
          </w:p>
        </w:tc>
      </w:tr>
    </w:tbl>
    <w:p w14:paraId="24D61486" w14:textId="77777777" w:rsidR="00245300" w:rsidRPr="00EC20A0" w:rsidRDefault="00245300">
      <w:pPr>
        <w:pStyle w:val="BodyText"/>
        <w:rPr>
          <w:sz w:val="20"/>
        </w:rPr>
      </w:pPr>
    </w:p>
    <w:p w14:paraId="24D61487" w14:textId="77777777" w:rsidR="00245300" w:rsidRPr="00EC20A0" w:rsidRDefault="00245300">
      <w:pPr>
        <w:pStyle w:val="BodyText"/>
        <w:rPr>
          <w:sz w:val="20"/>
        </w:rPr>
      </w:pPr>
    </w:p>
    <w:p w14:paraId="24D61488" w14:textId="77777777" w:rsidR="00245300" w:rsidRPr="00EC20A0" w:rsidRDefault="00245300">
      <w:pPr>
        <w:pStyle w:val="BodyText"/>
        <w:rPr>
          <w:sz w:val="20"/>
        </w:rPr>
      </w:pPr>
    </w:p>
    <w:p w14:paraId="24D61489" w14:textId="77777777" w:rsidR="00245300" w:rsidRPr="00EC20A0" w:rsidRDefault="00245300">
      <w:pPr>
        <w:pStyle w:val="BodyText"/>
        <w:rPr>
          <w:sz w:val="20"/>
        </w:rPr>
      </w:pPr>
    </w:p>
    <w:p w14:paraId="24D6148A" w14:textId="77777777" w:rsidR="00245300" w:rsidRPr="00EC20A0" w:rsidRDefault="00245300">
      <w:pPr>
        <w:pStyle w:val="BodyText"/>
        <w:rPr>
          <w:sz w:val="20"/>
        </w:rPr>
      </w:pPr>
    </w:p>
    <w:p w14:paraId="24D6148B" w14:textId="77777777" w:rsidR="00245300" w:rsidRPr="00EC20A0" w:rsidRDefault="00F17249">
      <w:pPr>
        <w:pStyle w:val="BodyText"/>
        <w:spacing w:before="68"/>
        <w:rPr>
          <w:sz w:val="20"/>
        </w:rPr>
      </w:pPr>
      <w:r w:rsidRPr="00EC20A0">
        <w:rPr>
          <w:noProof/>
        </w:rPr>
        <mc:AlternateContent>
          <mc:Choice Requires="wps">
            <w:drawing>
              <wp:anchor distT="0" distB="0" distL="0" distR="0" simplePos="0" relativeHeight="487692800" behindDoc="1" locked="0" layoutInCell="1" allowOverlap="1" wp14:anchorId="24D62C57" wp14:editId="24D62C58">
                <wp:simplePos x="0" y="0"/>
                <wp:positionH relativeFrom="page">
                  <wp:posOffset>685800</wp:posOffset>
                </wp:positionH>
                <wp:positionV relativeFrom="paragraph">
                  <wp:posOffset>204792</wp:posOffset>
                </wp:positionV>
                <wp:extent cx="1828800" cy="6985"/>
                <wp:effectExtent l="0" t="0" r="0" b="0"/>
                <wp:wrapTopAndBottom/>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C4274" id="Graphic 700" o:spid="_x0000_s1026" style="position:absolute;margin-left:54pt;margin-top:16.15pt;width:2in;height:.55pt;z-index:-156236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" path="m1828800,l,,,6858r1828800,l1828800,xe" fillcolor="black" stroked="f">
                <v:path arrowok="t"/>
                <w10:wrap type="topAndBottom" anchorx="page"/>
              </v:shape>
            </w:pict>
          </mc:Fallback>
        </mc:AlternateContent>
      </w:r>
    </w:p>
    <w:p w14:paraId="24D6148C" w14:textId="77777777" w:rsidR="00245300" w:rsidRPr="00EC20A0" w:rsidRDefault="00245300">
      <w:pPr>
        <w:pStyle w:val="BodyText"/>
        <w:spacing w:before="10"/>
        <w:rPr>
          <w:sz w:val="18"/>
        </w:rPr>
      </w:pPr>
    </w:p>
    <w:p w14:paraId="24D6148D" w14:textId="77777777" w:rsidR="00245300" w:rsidRPr="00EC20A0" w:rsidRDefault="00F17249">
      <w:pPr>
        <w:spacing w:line="244" w:lineRule="auto"/>
        <w:ind w:left="119"/>
        <w:rPr>
          <w:sz w:val="18"/>
        </w:rPr>
      </w:pPr>
      <w:r w:rsidRPr="00EC20A0">
        <w:rPr>
          <w:position w:val="7"/>
          <w:sz w:val="14"/>
        </w:rPr>
        <w:t>61</w:t>
      </w:r>
      <w:r w:rsidRPr="00EC20A0">
        <w:rPr>
          <w:sz w:val="18"/>
        </w:rPr>
        <w:t>By</w:t>
      </w:r>
      <w:r w:rsidRPr="00EC20A0">
        <w:rPr>
          <w:spacing w:val="-1"/>
          <w:sz w:val="18"/>
        </w:rPr>
        <w:t xml:space="preserve"> </w:t>
      </w:r>
      <w:r w:rsidRPr="00EC20A0">
        <w:rPr>
          <w:sz w:val="18"/>
        </w:rPr>
        <w:t>August</w:t>
      </w:r>
      <w:r w:rsidRPr="00EC20A0">
        <w:rPr>
          <w:spacing w:val="-1"/>
          <w:sz w:val="18"/>
        </w:rPr>
        <w:t xml:space="preserve"> </w:t>
      </w:r>
      <w:r w:rsidRPr="00EC20A0">
        <w:rPr>
          <w:sz w:val="18"/>
        </w:rPr>
        <w:t>15</w:t>
      </w:r>
      <w:r w:rsidRPr="00EC20A0">
        <w:rPr>
          <w:spacing w:val="-2"/>
          <w:sz w:val="18"/>
        </w:rPr>
        <w:t xml:space="preserve"> </w:t>
      </w:r>
      <w:r w:rsidRPr="00EC20A0">
        <w:rPr>
          <w:sz w:val="18"/>
        </w:rPr>
        <w:t>of</w:t>
      </w:r>
      <w:r w:rsidRPr="00EC20A0">
        <w:rPr>
          <w:spacing w:val="-1"/>
          <w:sz w:val="18"/>
        </w:rPr>
        <w:t xml:space="preserve"> </w:t>
      </w:r>
      <w:r w:rsidRPr="00EC20A0">
        <w:rPr>
          <w:sz w:val="18"/>
        </w:rPr>
        <w:t>each</w:t>
      </w:r>
      <w:r w:rsidRPr="00EC20A0">
        <w:rPr>
          <w:spacing w:val="-2"/>
          <w:sz w:val="18"/>
        </w:rPr>
        <w:t xml:space="preserve"> </w:t>
      </w:r>
      <w:r w:rsidRPr="00EC20A0">
        <w:rPr>
          <w:sz w:val="18"/>
        </w:rPr>
        <w:t>year,</w:t>
      </w:r>
      <w:r w:rsidRPr="00EC20A0">
        <w:rPr>
          <w:spacing w:val="-1"/>
          <w:sz w:val="18"/>
        </w:rPr>
        <w:t xml:space="preserve"> </w:t>
      </w:r>
      <w:r w:rsidRPr="00EC20A0">
        <w:rPr>
          <w:sz w:val="18"/>
        </w:rPr>
        <w:t>the</w:t>
      </w:r>
      <w:r w:rsidRPr="00EC20A0">
        <w:rPr>
          <w:spacing w:val="-2"/>
          <w:sz w:val="18"/>
        </w:rPr>
        <w:t xml:space="preserve"> </w:t>
      </w:r>
      <w:r w:rsidRPr="00EC20A0">
        <w:rPr>
          <w:sz w:val="18"/>
        </w:rPr>
        <w:t>Secretary</w:t>
      </w:r>
      <w:r w:rsidRPr="00EC20A0">
        <w:rPr>
          <w:spacing w:val="-1"/>
          <w:sz w:val="18"/>
        </w:rPr>
        <w:t xml:space="preserve"> </w:t>
      </w:r>
      <w:r w:rsidRPr="00EC20A0">
        <w:rPr>
          <w:sz w:val="18"/>
        </w:rPr>
        <w:t>of</w:t>
      </w:r>
      <w:r w:rsidRPr="00EC20A0">
        <w:rPr>
          <w:spacing w:val="-1"/>
          <w:sz w:val="18"/>
        </w:rPr>
        <w:t xml:space="preserve"> </w:t>
      </w:r>
      <w:r w:rsidRPr="00EC20A0">
        <w:rPr>
          <w:sz w:val="18"/>
        </w:rPr>
        <w:t>Labor</w:t>
      </w:r>
      <w:r w:rsidRPr="00EC20A0">
        <w:rPr>
          <w:spacing w:val="-1"/>
          <w:sz w:val="18"/>
        </w:rPr>
        <w:t xml:space="preserve"> </w:t>
      </w:r>
      <w:r w:rsidRPr="00EC20A0">
        <w:rPr>
          <w:sz w:val="18"/>
        </w:rPr>
        <w:t>is</w:t>
      </w:r>
      <w:r w:rsidRPr="00EC20A0">
        <w:rPr>
          <w:spacing w:val="-1"/>
          <w:sz w:val="18"/>
        </w:rPr>
        <w:t xml:space="preserve"> </w:t>
      </w:r>
      <w:r w:rsidRPr="00EC20A0">
        <w:rPr>
          <w:sz w:val="18"/>
        </w:rPr>
        <w:t>required</w:t>
      </w:r>
      <w:r w:rsidRPr="00EC20A0">
        <w:rPr>
          <w:spacing w:val="-2"/>
          <w:sz w:val="18"/>
        </w:rPr>
        <w:t xml:space="preserve"> </w:t>
      </w:r>
      <w:r w:rsidRPr="00EC20A0">
        <w:rPr>
          <w:sz w:val="18"/>
        </w:rPr>
        <w:t>to</w:t>
      </w:r>
      <w:r w:rsidRPr="00EC20A0">
        <w:rPr>
          <w:spacing w:val="-2"/>
          <w:sz w:val="18"/>
        </w:rPr>
        <w:t xml:space="preserve"> </w:t>
      </w:r>
      <w:r w:rsidRPr="00EC20A0">
        <w:rPr>
          <w:sz w:val="18"/>
        </w:rPr>
        <w:t>provide</w:t>
      </w:r>
      <w:r w:rsidRPr="00EC20A0">
        <w:rPr>
          <w:spacing w:val="-2"/>
          <w:sz w:val="18"/>
        </w:rPr>
        <w:t xml:space="preserve"> </w:t>
      </w:r>
      <w:r w:rsidRPr="00EC20A0">
        <w:rPr>
          <w:sz w:val="18"/>
        </w:rPr>
        <w:t>the</w:t>
      </w:r>
      <w:r w:rsidRPr="00EC20A0">
        <w:rPr>
          <w:spacing w:val="-2"/>
          <w:sz w:val="18"/>
        </w:rPr>
        <w:t xml:space="preserve"> </w:t>
      </w:r>
      <w:r w:rsidRPr="00EC20A0">
        <w:rPr>
          <w:sz w:val="18"/>
        </w:rPr>
        <w:t>entity</w:t>
      </w:r>
      <w:r w:rsidRPr="00EC20A0">
        <w:rPr>
          <w:spacing w:val="-1"/>
          <w:sz w:val="18"/>
        </w:rPr>
        <w:t xml:space="preserve"> </w:t>
      </w:r>
      <w:r w:rsidRPr="00EC20A0">
        <w:rPr>
          <w:sz w:val="18"/>
        </w:rPr>
        <w:t>a</w:t>
      </w:r>
      <w:r w:rsidRPr="00EC20A0">
        <w:rPr>
          <w:spacing w:val="-2"/>
          <w:sz w:val="18"/>
        </w:rPr>
        <w:t xml:space="preserve"> </w:t>
      </w:r>
      <w:r w:rsidRPr="00EC20A0">
        <w:rPr>
          <w:sz w:val="18"/>
        </w:rPr>
        <w:t>statement</w:t>
      </w:r>
      <w:r w:rsidRPr="00EC20A0">
        <w:rPr>
          <w:spacing w:val="-1"/>
          <w:sz w:val="18"/>
        </w:rPr>
        <w:t xml:space="preserve"> </w:t>
      </w:r>
      <w:r w:rsidRPr="00EC20A0">
        <w:rPr>
          <w:sz w:val="18"/>
        </w:rPr>
        <w:t>showing the</w:t>
      </w:r>
      <w:r w:rsidRPr="00EC20A0">
        <w:rPr>
          <w:spacing w:val="-2"/>
          <w:sz w:val="18"/>
        </w:rPr>
        <w:t xml:space="preserve"> </w:t>
      </w:r>
      <w:r w:rsidRPr="00EC20A0">
        <w:rPr>
          <w:sz w:val="18"/>
        </w:rPr>
        <w:t>total</w:t>
      </w:r>
      <w:r w:rsidRPr="00EC20A0">
        <w:rPr>
          <w:spacing w:val="-1"/>
          <w:sz w:val="18"/>
        </w:rPr>
        <w:t xml:space="preserve"> </w:t>
      </w:r>
      <w:r w:rsidRPr="00EC20A0">
        <w:rPr>
          <w:sz w:val="18"/>
        </w:rPr>
        <w:t>cost</w:t>
      </w:r>
      <w:r w:rsidRPr="00EC20A0">
        <w:rPr>
          <w:spacing w:val="-1"/>
          <w:sz w:val="18"/>
        </w:rPr>
        <w:t xml:space="preserve"> </w:t>
      </w:r>
      <w:r w:rsidRPr="00EC20A0">
        <w:rPr>
          <w:sz w:val="18"/>
        </w:rPr>
        <w:t>of</w:t>
      </w:r>
      <w:r w:rsidRPr="00EC20A0">
        <w:rPr>
          <w:spacing w:val="-1"/>
          <w:sz w:val="18"/>
        </w:rPr>
        <w:t xml:space="preserve"> </w:t>
      </w:r>
      <w:r w:rsidRPr="00EC20A0">
        <w:rPr>
          <w:sz w:val="18"/>
        </w:rPr>
        <w:t>benefits</w:t>
      </w:r>
      <w:r w:rsidRPr="00EC20A0">
        <w:rPr>
          <w:spacing w:val="-1"/>
          <w:sz w:val="18"/>
        </w:rPr>
        <w:t xml:space="preserve"> </w:t>
      </w:r>
      <w:r w:rsidRPr="00EC20A0">
        <w:rPr>
          <w:sz w:val="18"/>
        </w:rPr>
        <w:t>and</w:t>
      </w:r>
      <w:r w:rsidRPr="00EC20A0">
        <w:rPr>
          <w:spacing w:val="-2"/>
          <w:sz w:val="18"/>
        </w:rPr>
        <w:t xml:space="preserve"> </w:t>
      </w:r>
      <w:r w:rsidRPr="00EC20A0">
        <w:rPr>
          <w:sz w:val="18"/>
        </w:rPr>
        <w:t>other</w:t>
      </w:r>
      <w:r w:rsidRPr="00EC20A0">
        <w:rPr>
          <w:spacing w:val="-1"/>
          <w:sz w:val="18"/>
        </w:rPr>
        <w:t xml:space="preserve"> </w:t>
      </w:r>
      <w:r w:rsidRPr="00EC20A0">
        <w:rPr>
          <w:sz w:val="18"/>
        </w:rPr>
        <w:t>payments</w:t>
      </w:r>
      <w:r w:rsidRPr="00EC20A0">
        <w:rPr>
          <w:spacing w:val="-1"/>
          <w:sz w:val="18"/>
        </w:rPr>
        <w:t xml:space="preserve"> </w:t>
      </w:r>
      <w:r w:rsidRPr="00EC20A0">
        <w:rPr>
          <w:sz w:val="18"/>
        </w:rPr>
        <w:t>made</w:t>
      </w:r>
      <w:r w:rsidRPr="00EC20A0">
        <w:rPr>
          <w:spacing w:val="-2"/>
          <w:sz w:val="18"/>
        </w:rPr>
        <w:t xml:space="preserve"> </w:t>
      </w:r>
      <w:r w:rsidRPr="00EC20A0">
        <w:rPr>
          <w:sz w:val="18"/>
        </w:rPr>
        <w:t>from</w:t>
      </w:r>
      <w:r w:rsidRPr="00EC20A0">
        <w:rPr>
          <w:spacing w:val="-1"/>
          <w:sz w:val="18"/>
        </w:rPr>
        <w:t xml:space="preserve"> </w:t>
      </w:r>
      <w:r w:rsidRPr="00EC20A0">
        <w:rPr>
          <w:sz w:val="18"/>
        </w:rPr>
        <w:t xml:space="preserve">the </w:t>
      </w:r>
      <w:r w:rsidRPr="00EC20A0">
        <w:rPr>
          <w:sz w:val="18"/>
        </w:rPr>
        <w:t>Employees’ Compensation Fund during the preceding July 1 through June 30 expense period on account of the injury or death of employees or individuals under the jurisdiction of the entity. 5 U.S.C. § 8147(b).</w:t>
      </w:r>
    </w:p>
    <w:p w14:paraId="24D6148E" w14:textId="77777777" w:rsidR="00245300" w:rsidRPr="00EC20A0" w:rsidRDefault="00245300">
      <w:pPr>
        <w:spacing w:line="244" w:lineRule="auto"/>
        <w:rPr>
          <w:sz w:val="18"/>
        </w:rPr>
        <w:sectPr w:rsidR="00245300" w:rsidRPr="00EC20A0">
          <w:pgSz w:w="15840" w:h="12240" w:orient="landscape"/>
          <w:pgMar w:top="1380" w:right="1220" w:bottom="940" w:left="960" w:header="721" w:footer="742" w:gutter="0"/>
          <w:cols w:space="720"/>
        </w:sectPr>
      </w:pPr>
    </w:p>
    <w:p w14:paraId="24D6148F" w14:textId="77777777" w:rsidR="00245300" w:rsidRPr="00EC20A0" w:rsidRDefault="00F17249">
      <w:pPr>
        <w:pStyle w:val="BodyText"/>
        <w:spacing w:line="44" w:lineRule="exact"/>
        <w:ind w:left="100"/>
        <w:rPr>
          <w:sz w:val="4"/>
        </w:rPr>
      </w:pPr>
      <w:r w:rsidRPr="00EC20A0">
        <w:rPr>
          <w:noProof/>
          <w:sz w:val="4"/>
        </w:rPr>
        <mc:AlternateContent>
          <mc:Choice Requires="wpg">
            <w:drawing>
              <wp:inline distT="0" distB="0" distL="0" distR="0" wp14:anchorId="24D62C59" wp14:editId="24D62C5A">
                <wp:extent cx="6038850" cy="28575"/>
                <wp:effectExtent l="0" t="0" r="0" b="0"/>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0" cy="28575"/>
                          <a:chOff x="0" y="0"/>
                          <a:chExt cx="6038850" cy="28575"/>
                        </a:xfrm>
                      </wpg:grpSpPr>
                      <wps:wsp>
                        <wps:cNvPr id="705" name="Graphic 705"/>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C88C8A" id="Group 704" o:spid="_x0000_s1026" style="width:475.5pt;height:2.25pt;mso-position-horizontal-relative:char;mso-position-vertical-relative:line" coordsize="6038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">
                <v:shape id="Graphic 705" o:spid="_x0000_s1027" style="position:absolute;width:60388;height:285;visibility:visible;mso-wrap-style:square;v-text-anchor:top" coordsize="60388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" path="m6038850,l,,,28194r6038850,l6038850,xe" fillcolor="black" stroked="f">
                  <v:path arrowok="t"/>
                </v:shape>
                <w10:anchorlock/>
              </v:group>
            </w:pict>
          </mc:Fallback>
        </mc:AlternateContent>
      </w:r>
    </w:p>
    <w:p w14:paraId="24D61490" w14:textId="77777777" w:rsidR="00245300" w:rsidRPr="00EC20A0" w:rsidRDefault="00F17249">
      <w:pPr>
        <w:pStyle w:val="BodyText"/>
        <w:spacing w:before="19"/>
        <w:ind w:left="130"/>
      </w:pPr>
      <w:r w:rsidRPr="00EC20A0">
        <w:rPr>
          <w:spacing w:val="-2"/>
        </w:rPr>
        <w:t>Compliance</w:t>
      </w:r>
    </w:p>
    <w:p w14:paraId="24D61491" w14:textId="77777777" w:rsidR="00245300" w:rsidRPr="00EC20A0" w:rsidRDefault="00F17249">
      <w:pPr>
        <w:pStyle w:val="BodyText"/>
        <w:spacing w:before="1"/>
        <w:ind w:left="130"/>
      </w:pPr>
      <w:r w:rsidRPr="00EC20A0">
        <w:rPr>
          <w:noProof/>
        </w:rPr>
        <mc:AlternateContent>
          <mc:Choice Requires="wps">
            <w:drawing>
              <wp:anchor distT="0" distB="0" distL="0" distR="0" simplePos="0" relativeHeight="487695872" behindDoc="1" locked="0" layoutInCell="1" allowOverlap="1" wp14:anchorId="24D62C5B" wp14:editId="24D62C5C">
                <wp:simplePos x="0" y="0"/>
                <wp:positionH relativeFrom="page">
                  <wp:posOffset>838200</wp:posOffset>
                </wp:positionH>
                <wp:positionV relativeFrom="paragraph">
                  <wp:posOffset>173495</wp:posOffset>
                </wp:positionV>
                <wp:extent cx="6038850" cy="28575"/>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2F26C3" id="Graphic 706" o:spid="_x0000_s1026" style="position:absolute;margin-left:66pt;margin-top:13.65pt;width:475.5pt;height:2.25pt;z-index:-15620608;visibility:visible;mso-wrap-style:square;mso-wrap-distance-left:0;mso-wrap-distance-top:0;mso-wrap-distance-right:0;mso-wrap-distance-bottom:0;mso-position-horizontal:absolute;mso-position-horizontal-relative:page;mso-position-vertical:absolute;mso-position-vertical-relative:text;v-text-anchor:top" coordsize="60388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" path="m6038850,l,,,28194r6038850,l6038850,xe" fillcolor="black" stroked="f">
                <v:path arrowok="t"/>
                <w10:wrap type="topAndBottom" anchorx="page"/>
              </v:shape>
            </w:pict>
          </mc:Fallback>
        </mc:AlternateContent>
      </w:r>
      <w:r w:rsidRPr="00EC20A0">
        <w:t>810</w:t>
      </w:r>
      <w:r w:rsidRPr="00EC20A0">
        <w:rPr>
          <w:spacing w:val="-7"/>
        </w:rPr>
        <w:t xml:space="preserve"> </w:t>
      </w:r>
      <w:r w:rsidRPr="00EC20A0">
        <w:t>–</w:t>
      </w:r>
      <w:r w:rsidRPr="00EC20A0">
        <w:rPr>
          <w:spacing w:val="-7"/>
        </w:rPr>
        <w:t xml:space="preserve"> </w:t>
      </w:r>
      <w:r w:rsidRPr="00EC20A0">
        <w:t>Federal</w:t>
      </w:r>
      <w:r w:rsidRPr="00EC20A0">
        <w:rPr>
          <w:spacing w:val="-7"/>
        </w:rPr>
        <w:t xml:space="preserve"> </w:t>
      </w:r>
      <w:r w:rsidRPr="00EC20A0">
        <w:t>Employees'</w:t>
      </w:r>
      <w:r w:rsidRPr="00EC20A0">
        <w:rPr>
          <w:spacing w:val="-7"/>
        </w:rPr>
        <w:t xml:space="preserve"> </w:t>
      </w:r>
      <w:r w:rsidRPr="00EC20A0">
        <w:t>Compensation</w:t>
      </w:r>
      <w:r w:rsidRPr="00EC20A0">
        <w:rPr>
          <w:spacing w:val="-7"/>
        </w:rPr>
        <w:t xml:space="preserve"> </w:t>
      </w:r>
      <w:r w:rsidRPr="00EC20A0">
        <w:t>Act</w:t>
      </w:r>
      <w:r w:rsidRPr="00EC20A0">
        <w:rPr>
          <w:spacing w:val="-7"/>
        </w:rPr>
        <w:t xml:space="preserve"> </w:t>
      </w:r>
      <w:r w:rsidRPr="00EC20A0">
        <w:t>(FECA),</w:t>
      </w:r>
      <w:r w:rsidRPr="00EC20A0">
        <w:rPr>
          <w:spacing w:val="-7"/>
        </w:rPr>
        <w:t xml:space="preserve"> </w:t>
      </w:r>
      <w:r w:rsidRPr="00EC20A0">
        <w:t>as</w:t>
      </w:r>
      <w:r w:rsidRPr="00EC20A0">
        <w:rPr>
          <w:spacing w:val="-6"/>
        </w:rPr>
        <w:t xml:space="preserve"> </w:t>
      </w:r>
      <w:r w:rsidRPr="00EC20A0">
        <w:t>Provided</w:t>
      </w:r>
      <w:r w:rsidRPr="00EC20A0">
        <w:rPr>
          <w:spacing w:val="-7"/>
        </w:rPr>
        <w:t xml:space="preserve"> </w:t>
      </w:r>
      <w:r w:rsidRPr="00EC20A0">
        <w:t>in</w:t>
      </w:r>
      <w:r w:rsidRPr="00EC20A0">
        <w:rPr>
          <w:spacing w:val="-7"/>
        </w:rPr>
        <w:t xml:space="preserve"> </w:t>
      </w:r>
      <w:r w:rsidRPr="00EC20A0">
        <w:t>5</w:t>
      </w:r>
      <w:r w:rsidRPr="00EC20A0">
        <w:rPr>
          <w:spacing w:val="-8"/>
        </w:rPr>
        <w:t xml:space="preserve"> </w:t>
      </w:r>
      <w:r w:rsidRPr="00EC20A0">
        <w:t>U.S.C.</w:t>
      </w:r>
      <w:r w:rsidRPr="00EC20A0">
        <w:rPr>
          <w:spacing w:val="-7"/>
        </w:rPr>
        <w:t xml:space="preserve"> </w:t>
      </w:r>
      <w:r w:rsidRPr="00EC20A0">
        <w:t>Chapter</w:t>
      </w:r>
      <w:r w:rsidRPr="00EC20A0">
        <w:rPr>
          <w:spacing w:val="-7"/>
        </w:rPr>
        <w:t xml:space="preserve"> </w:t>
      </w:r>
      <w:r w:rsidRPr="00EC20A0">
        <w:rPr>
          <w:spacing w:val="-5"/>
        </w:rPr>
        <w:t>81</w:t>
      </w:r>
    </w:p>
    <w:p w14:paraId="24D61492" w14:textId="77777777" w:rsidR="00245300" w:rsidRPr="00EC20A0" w:rsidRDefault="00F17249">
      <w:pPr>
        <w:pStyle w:val="BodyText"/>
        <w:spacing w:before="121"/>
        <w:ind w:left="219" w:right="177"/>
      </w:pPr>
      <w:r w:rsidRPr="00EC20A0">
        <w:t>Note: The auditor generally should perform these procedures or prepare equivalent documentation only if provisions of the Federal Employees’ Compensation Act (FECA), as provided</w:t>
      </w:r>
      <w:r w:rsidRPr="00EC20A0">
        <w:rPr>
          <w:spacing w:val="-3"/>
        </w:rPr>
        <w:t xml:space="preserve"> </w:t>
      </w:r>
      <w:r w:rsidRPr="00EC20A0">
        <w:t>in</w:t>
      </w:r>
      <w:r w:rsidRPr="00EC20A0">
        <w:rPr>
          <w:spacing w:val="-4"/>
        </w:rPr>
        <w:t xml:space="preserve"> </w:t>
      </w:r>
      <w:r w:rsidRPr="00EC20A0">
        <w:t>5</w:t>
      </w:r>
      <w:r w:rsidRPr="00EC20A0">
        <w:rPr>
          <w:spacing w:val="-3"/>
        </w:rPr>
        <w:t xml:space="preserve"> </w:t>
      </w:r>
      <w:r w:rsidRPr="00EC20A0">
        <w:t>U.S.C.</w:t>
      </w:r>
      <w:r w:rsidRPr="00EC20A0">
        <w:rPr>
          <w:spacing w:val="-3"/>
        </w:rPr>
        <w:t xml:space="preserve"> </w:t>
      </w:r>
      <w:r w:rsidRPr="00EC20A0">
        <w:t>chapter</w:t>
      </w:r>
      <w:r w:rsidRPr="00EC20A0">
        <w:rPr>
          <w:spacing w:val="-3"/>
        </w:rPr>
        <w:t xml:space="preserve"> </w:t>
      </w:r>
      <w:r w:rsidRPr="00EC20A0">
        <w:t>81,</w:t>
      </w:r>
      <w:r w:rsidRPr="00EC20A0">
        <w:rPr>
          <w:spacing w:val="-3"/>
        </w:rPr>
        <w:t xml:space="preserve"> </w:t>
      </w:r>
      <w:r w:rsidRPr="00EC20A0">
        <w:t>are</w:t>
      </w:r>
      <w:r w:rsidRPr="00EC20A0">
        <w:rPr>
          <w:spacing w:val="-3"/>
        </w:rPr>
        <w:t xml:space="preserve"> </w:t>
      </w:r>
      <w:r w:rsidRPr="00EC20A0">
        <w:t>significant,</w:t>
      </w:r>
      <w:r w:rsidRPr="00EC20A0">
        <w:rPr>
          <w:spacing w:val="-4"/>
        </w:rPr>
        <w:t xml:space="preserve"> </w:t>
      </w:r>
      <w:r w:rsidRPr="00EC20A0">
        <w:t>as</w:t>
      </w:r>
      <w:r w:rsidRPr="00EC20A0">
        <w:rPr>
          <w:spacing w:val="-3"/>
        </w:rPr>
        <w:t xml:space="preserve"> </w:t>
      </w:r>
      <w:r w:rsidRPr="00EC20A0">
        <w:t>indicated</w:t>
      </w:r>
      <w:r w:rsidRPr="00EC20A0">
        <w:rPr>
          <w:spacing w:val="-3"/>
        </w:rPr>
        <w:t xml:space="preserve"> </w:t>
      </w:r>
      <w:r w:rsidRPr="00EC20A0">
        <w:t>on</w:t>
      </w:r>
      <w:r w:rsidRPr="00EC20A0">
        <w:rPr>
          <w:spacing w:val="-3"/>
        </w:rPr>
        <w:t xml:space="preserve"> </w:t>
      </w:r>
      <w:r w:rsidRPr="00EC20A0">
        <w:t>Form</w:t>
      </w:r>
      <w:r w:rsidRPr="00EC20A0">
        <w:rPr>
          <w:spacing w:val="-4"/>
        </w:rPr>
        <w:t xml:space="preserve"> </w:t>
      </w:r>
      <w:r w:rsidRPr="00EC20A0">
        <w:t>802,</w:t>
      </w:r>
      <w:r w:rsidRPr="00EC20A0">
        <w:rPr>
          <w:spacing w:val="-3"/>
        </w:rPr>
        <w:t xml:space="preserve"> </w:t>
      </w:r>
      <w:r w:rsidRPr="00EC20A0">
        <w:t>General</w:t>
      </w:r>
      <w:r w:rsidRPr="00EC20A0">
        <w:rPr>
          <w:spacing w:val="-3"/>
        </w:rPr>
        <w:t xml:space="preserve"> </w:t>
      </w:r>
      <w:r w:rsidRPr="00EC20A0">
        <w:t>Compliance Checklist, at page 802-11. These procedures test compliance with the provisions listed on the Compliance Summary for this law.</w:t>
      </w:r>
    </w:p>
    <w:p w14:paraId="24D61493" w14:textId="77777777" w:rsidR="00245300" w:rsidRPr="00EC20A0" w:rsidRDefault="00245300">
      <w:pPr>
        <w:pStyle w:val="BodyText"/>
        <w:spacing w:before="7" w:after="1"/>
        <w:rPr>
          <w:sz w:val="13"/>
        </w:rPr>
      </w:pPr>
    </w:p>
    <w:tbl>
      <w:tblPr>
        <w:tblW w:w="0" w:type="auto"/>
        <w:tblInd w:w="25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438"/>
      </w:tblGrid>
      <w:tr w:rsidR="00245300" w:rsidRPr="00EC20A0" w14:paraId="24D61496" w14:textId="77777777">
        <w:trPr>
          <w:trHeight w:val="1335"/>
        </w:trPr>
        <w:tc>
          <w:tcPr>
            <w:tcW w:w="9358" w:type="dxa"/>
            <w:gridSpan w:val="3"/>
          </w:tcPr>
          <w:p w14:paraId="24D61494" w14:textId="77777777" w:rsidR="00245300" w:rsidRPr="00EC20A0" w:rsidRDefault="00F17249">
            <w:pPr>
              <w:pStyle w:val="TableParagraph"/>
              <w:tabs>
                <w:tab w:val="left" w:pos="1606"/>
                <w:tab w:val="left" w:pos="1850"/>
                <w:tab w:val="left" w:pos="8945"/>
              </w:tabs>
              <w:spacing w:before="145" w:line="376" w:lineRule="auto"/>
              <w:ind w:left="131" w:right="365" w:hanging="1"/>
            </w:pPr>
            <w:r w:rsidRPr="00EC20A0">
              <w:t>Name of entity:</w:t>
            </w:r>
            <w:r w:rsidRPr="00EC20A0">
              <w:tab/>
            </w:r>
            <w:r w:rsidRPr="00EC20A0">
              <w:rPr>
                <w:u w:val="single"/>
              </w:rPr>
              <w:tab/>
            </w:r>
            <w:r w:rsidRPr="00EC20A0">
              <w:t xml:space="preserve"> Audit</w:t>
            </w:r>
            <w:r w:rsidRPr="00EC20A0">
              <w:rPr>
                <w:spacing w:val="-7"/>
              </w:rPr>
              <w:t xml:space="preserve"> </w:t>
            </w:r>
            <w:r w:rsidRPr="00EC20A0">
              <w:rPr>
                <w:spacing w:val="-2"/>
              </w:rPr>
              <w:t>period:</w:t>
            </w:r>
            <w:r w:rsidRPr="00EC20A0">
              <w:tab/>
            </w:r>
            <w:r w:rsidRPr="00EC20A0">
              <w:rPr>
                <w:u w:val="single"/>
              </w:rPr>
              <w:tab/>
            </w:r>
            <w:r w:rsidRPr="00EC20A0">
              <w:rPr>
                <w:u w:val="single"/>
              </w:rPr>
              <w:tab/>
            </w:r>
          </w:p>
          <w:p w14:paraId="24D61495" w14:textId="77777777" w:rsidR="00245300" w:rsidRPr="00EC20A0" w:rsidRDefault="00F17249">
            <w:pPr>
              <w:pStyle w:val="TableParagraph"/>
              <w:tabs>
                <w:tab w:val="left" w:pos="8945"/>
              </w:tabs>
              <w:spacing w:line="252" w:lineRule="exact"/>
              <w:ind w:left="131"/>
            </w:pPr>
            <w:r w:rsidRPr="00EC20A0">
              <w:t>Reviewed by:</w:t>
            </w:r>
            <w:r w:rsidRPr="00EC20A0">
              <w:rPr>
                <w:spacing w:val="92"/>
              </w:rPr>
              <w:t xml:space="preserve"> </w:t>
            </w:r>
            <w:r w:rsidRPr="00EC20A0">
              <w:rPr>
                <w:u w:val="single"/>
              </w:rPr>
              <w:tab/>
            </w:r>
          </w:p>
        </w:tc>
      </w:tr>
      <w:tr w:rsidR="00245300" w:rsidRPr="00EC20A0" w14:paraId="24D6149C" w14:textId="77777777">
        <w:trPr>
          <w:trHeight w:val="793"/>
        </w:trPr>
        <w:tc>
          <w:tcPr>
            <w:tcW w:w="6600" w:type="dxa"/>
            <w:tcBorders>
              <w:right w:val="single" w:sz="8" w:space="0" w:color="000000"/>
            </w:tcBorders>
          </w:tcPr>
          <w:p w14:paraId="24D61497" w14:textId="77777777" w:rsidR="00245300" w:rsidRPr="00EC20A0" w:rsidRDefault="00245300">
            <w:pPr>
              <w:pStyle w:val="TableParagraph"/>
              <w:spacing w:before="144"/>
            </w:pPr>
          </w:p>
          <w:p w14:paraId="24D61498" w14:textId="77777777" w:rsidR="00245300" w:rsidRPr="00EC20A0" w:rsidRDefault="00F17249">
            <w:pPr>
              <w:pStyle w:val="TableParagraph"/>
              <w:ind w:left="131"/>
              <w:rPr>
                <w:b/>
              </w:rPr>
            </w:pPr>
            <w:r w:rsidRPr="00EC20A0">
              <w:rPr>
                <w:b/>
              </w:rPr>
              <w:t>Audit</w:t>
            </w:r>
            <w:r w:rsidRPr="00EC20A0">
              <w:rPr>
                <w:b/>
                <w:spacing w:val="-8"/>
              </w:rPr>
              <w:t xml:space="preserve"> </w:t>
            </w:r>
            <w:r w:rsidRPr="00EC20A0">
              <w:rPr>
                <w:b/>
                <w:spacing w:val="-2"/>
              </w:rPr>
              <w:t>procedures</w:t>
            </w:r>
          </w:p>
        </w:tc>
        <w:tc>
          <w:tcPr>
            <w:tcW w:w="1320" w:type="dxa"/>
            <w:tcBorders>
              <w:left w:val="single" w:sz="8" w:space="0" w:color="000000"/>
              <w:right w:val="single" w:sz="8" w:space="0" w:color="000000"/>
            </w:tcBorders>
          </w:tcPr>
          <w:p w14:paraId="24D61499" w14:textId="77777777" w:rsidR="00245300" w:rsidRPr="00EC20A0" w:rsidRDefault="00F17249">
            <w:pPr>
              <w:pStyle w:val="TableParagraph"/>
              <w:spacing w:before="144"/>
              <w:ind w:left="143" w:right="1"/>
              <w:rPr>
                <w:b/>
              </w:rPr>
            </w:pPr>
            <w:r w:rsidRPr="00EC20A0">
              <w:rPr>
                <w:b/>
                <w:spacing w:val="-2"/>
              </w:rPr>
              <w:t xml:space="preserve">Initials/ </w:t>
            </w:r>
            <w:r w:rsidRPr="00EC20A0">
              <w:rPr>
                <w:b/>
                <w:spacing w:val="-4"/>
              </w:rPr>
              <w:t>date</w:t>
            </w:r>
          </w:p>
        </w:tc>
        <w:tc>
          <w:tcPr>
            <w:tcW w:w="1438" w:type="dxa"/>
            <w:tcBorders>
              <w:left w:val="single" w:sz="8" w:space="0" w:color="000000"/>
            </w:tcBorders>
          </w:tcPr>
          <w:p w14:paraId="24D6149A" w14:textId="77777777" w:rsidR="00245300" w:rsidRPr="00EC20A0" w:rsidRDefault="00245300">
            <w:pPr>
              <w:pStyle w:val="TableParagraph"/>
              <w:spacing w:before="144"/>
            </w:pPr>
          </w:p>
          <w:p w14:paraId="24D6149B" w14:textId="77777777" w:rsidR="00245300" w:rsidRPr="00EC20A0" w:rsidRDefault="00F17249">
            <w:pPr>
              <w:pStyle w:val="TableParagraph"/>
              <w:ind w:left="143"/>
              <w:rPr>
                <w:b/>
              </w:rPr>
            </w:pPr>
            <w:r w:rsidRPr="00EC20A0">
              <w:rPr>
                <w:b/>
              </w:rPr>
              <w:t>Doc.</w:t>
            </w:r>
            <w:r w:rsidRPr="00EC20A0">
              <w:rPr>
                <w:b/>
                <w:spacing w:val="-6"/>
              </w:rPr>
              <w:t xml:space="preserve"> </w:t>
            </w:r>
            <w:r w:rsidRPr="00EC20A0">
              <w:rPr>
                <w:b/>
                <w:spacing w:val="-4"/>
              </w:rPr>
              <w:t>ref.</w:t>
            </w:r>
          </w:p>
        </w:tc>
      </w:tr>
      <w:tr w:rsidR="00245300" w:rsidRPr="00EC20A0" w14:paraId="24D6149F" w14:textId="77777777">
        <w:trPr>
          <w:trHeight w:val="2272"/>
        </w:trPr>
        <w:tc>
          <w:tcPr>
            <w:tcW w:w="9358" w:type="dxa"/>
            <w:gridSpan w:val="3"/>
            <w:tcBorders>
              <w:bottom w:val="single" w:sz="6" w:space="0" w:color="000000"/>
            </w:tcBorders>
          </w:tcPr>
          <w:p w14:paraId="24D6149D" w14:textId="77777777" w:rsidR="00245300" w:rsidRPr="00EC20A0" w:rsidRDefault="00F17249">
            <w:pPr>
              <w:pStyle w:val="TableParagraph"/>
              <w:tabs>
                <w:tab w:val="left" w:pos="830"/>
              </w:tabs>
              <w:spacing w:before="145"/>
              <w:ind w:left="886" w:right="499" w:hanging="755"/>
              <w:rPr>
                <w:sz w:val="20"/>
              </w:rPr>
            </w:pPr>
            <w:r w:rsidRPr="00EC20A0">
              <w:rPr>
                <w:spacing w:val="-2"/>
                <w:sz w:val="20"/>
              </w:rPr>
              <w:t>Note:</w:t>
            </w:r>
            <w:r w:rsidRPr="00EC20A0">
              <w:rPr>
                <w:sz w:val="20"/>
              </w:rPr>
              <w:tab/>
              <w:t>The</w:t>
            </w:r>
            <w:r w:rsidRPr="00EC20A0">
              <w:rPr>
                <w:spacing w:val="-4"/>
                <w:sz w:val="20"/>
              </w:rPr>
              <w:t xml:space="preserve"> </w:t>
            </w:r>
            <w:r w:rsidRPr="00EC20A0">
              <w:rPr>
                <w:sz w:val="20"/>
              </w:rPr>
              <w:t>provisions</w:t>
            </w:r>
            <w:r w:rsidRPr="00EC20A0">
              <w:rPr>
                <w:spacing w:val="-3"/>
                <w:sz w:val="20"/>
              </w:rPr>
              <w:t xml:space="preserve"> </w:t>
            </w:r>
            <w:r w:rsidRPr="00EC20A0">
              <w:rPr>
                <w:sz w:val="20"/>
              </w:rPr>
              <w:t>identified</w:t>
            </w:r>
            <w:r w:rsidRPr="00EC20A0">
              <w:rPr>
                <w:spacing w:val="-4"/>
                <w:sz w:val="20"/>
              </w:rPr>
              <w:t xml:space="preserve"> </w:t>
            </w:r>
            <w:r w:rsidRPr="00EC20A0">
              <w:rPr>
                <w:sz w:val="20"/>
              </w:rPr>
              <w:t>for</w:t>
            </w:r>
            <w:r w:rsidRPr="00EC20A0">
              <w:rPr>
                <w:spacing w:val="-3"/>
                <w:sz w:val="20"/>
              </w:rPr>
              <w:t xml:space="preserve"> </w:t>
            </w:r>
            <w:r w:rsidRPr="00EC20A0">
              <w:rPr>
                <w:sz w:val="20"/>
              </w:rPr>
              <w:t>testing</w:t>
            </w:r>
            <w:r w:rsidRPr="00EC20A0">
              <w:rPr>
                <w:spacing w:val="-4"/>
                <w:sz w:val="20"/>
              </w:rPr>
              <w:t xml:space="preserve"> </w:t>
            </w:r>
            <w:r w:rsidRPr="00EC20A0">
              <w:rPr>
                <w:sz w:val="20"/>
              </w:rPr>
              <w:t>are</w:t>
            </w:r>
            <w:r w:rsidRPr="00EC20A0">
              <w:rPr>
                <w:spacing w:val="-4"/>
                <w:sz w:val="20"/>
              </w:rPr>
              <w:t xml:space="preserve"> </w:t>
            </w:r>
            <w:r w:rsidRPr="00EC20A0">
              <w:rPr>
                <w:sz w:val="20"/>
              </w:rPr>
              <w:t>procedural-based</w:t>
            </w:r>
            <w:r w:rsidRPr="00EC20A0">
              <w:rPr>
                <w:spacing w:val="-4"/>
                <w:sz w:val="20"/>
              </w:rPr>
              <w:t xml:space="preserve"> </w:t>
            </w:r>
            <w:r w:rsidRPr="00EC20A0">
              <w:rPr>
                <w:sz w:val="20"/>
              </w:rPr>
              <w:t>provisions.</w:t>
            </w:r>
            <w:r w:rsidRPr="00EC20A0">
              <w:rPr>
                <w:spacing w:val="-4"/>
                <w:sz w:val="20"/>
              </w:rPr>
              <w:t xml:space="preserve"> </w:t>
            </w:r>
            <w:r w:rsidRPr="00EC20A0">
              <w:rPr>
                <w:sz w:val="20"/>
              </w:rPr>
              <w:t>As</w:t>
            </w:r>
            <w:r w:rsidRPr="00EC20A0">
              <w:rPr>
                <w:spacing w:val="-3"/>
                <w:sz w:val="20"/>
              </w:rPr>
              <w:t xml:space="preserve"> </w:t>
            </w:r>
            <w:r w:rsidRPr="00EC20A0">
              <w:rPr>
                <w:sz w:val="20"/>
              </w:rPr>
              <w:t>discussed</w:t>
            </w:r>
            <w:r w:rsidRPr="00EC20A0">
              <w:rPr>
                <w:spacing w:val="-4"/>
                <w:sz w:val="20"/>
              </w:rPr>
              <w:t xml:space="preserve"> </w:t>
            </w:r>
            <w:r w:rsidRPr="00EC20A0">
              <w:rPr>
                <w:sz w:val="20"/>
              </w:rPr>
              <w:t>in</w:t>
            </w:r>
            <w:r w:rsidRPr="00EC20A0">
              <w:rPr>
                <w:spacing w:val="-4"/>
                <w:sz w:val="20"/>
              </w:rPr>
              <w:t xml:space="preserve"> </w:t>
            </w:r>
            <w:r w:rsidRPr="00EC20A0">
              <w:rPr>
                <w:sz w:val="20"/>
              </w:rPr>
              <w:t xml:space="preserve">FAM 460.05, the auditor usually performs sufficient procedures in conjunction with tests of </w:t>
            </w:r>
            <w:r w:rsidRPr="00EC20A0">
              <w:rPr>
                <w:sz w:val="20"/>
              </w:rPr>
              <w:t>compliance controls for these procedural-based provisions to conclude on the entity’s compliance without performing additional procedures.</w:t>
            </w:r>
          </w:p>
          <w:p w14:paraId="24D6149E" w14:textId="77777777" w:rsidR="00245300" w:rsidRPr="00EC20A0" w:rsidRDefault="00F17249">
            <w:pPr>
              <w:pStyle w:val="TableParagraph"/>
              <w:spacing w:before="144"/>
              <w:ind w:left="885" w:hanging="56"/>
              <w:rPr>
                <w:sz w:val="20"/>
              </w:rPr>
            </w:pPr>
            <w:r w:rsidRPr="00EC20A0">
              <w:rPr>
                <w:sz w:val="20"/>
              </w:rPr>
              <w:t>The</w:t>
            </w:r>
            <w:r w:rsidRPr="00EC20A0">
              <w:rPr>
                <w:spacing w:val="-4"/>
                <w:sz w:val="20"/>
              </w:rPr>
              <w:t xml:space="preserve"> </w:t>
            </w:r>
            <w:r w:rsidRPr="00EC20A0">
              <w:rPr>
                <w:sz w:val="20"/>
              </w:rPr>
              <w:t>auditor</w:t>
            </w:r>
            <w:r w:rsidRPr="00EC20A0">
              <w:rPr>
                <w:spacing w:val="-3"/>
                <w:sz w:val="20"/>
              </w:rPr>
              <w:t xml:space="preserve"> </w:t>
            </w:r>
            <w:r w:rsidRPr="00EC20A0">
              <w:rPr>
                <w:sz w:val="20"/>
              </w:rPr>
              <w:t>should</w:t>
            </w:r>
            <w:r w:rsidRPr="00EC20A0">
              <w:rPr>
                <w:spacing w:val="-4"/>
                <w:sz w:val="20"/>
              </w:rPr>
              <w:t xml:space="preserve"> </w:t>
            </w:r>
            <w:r w:rsidRPr="00EC20A0">
              <w:rPr>
                <w:sz w:val="20"/>
                <w:u w:val="single"/>
              </w:rPr>
              <w:t>not</w:t>
            </w:r>
            <w:r w:rsidRPr="00EC20A0">
              <w:rPr>
                <w:spacing w:val="-4"/>
                <w:sz w:val="20"/>
              </w:rPr>
              <w:t xml:space="preserve"> </w:t>
            </w:r>
            <w:r w:rsidRPr="00EC20A0">
              <w:rPr>
                <w:sz w:val="20"/>
              </w:rPr>
              <w:t>perform</w:t>
            </w:r>
            <w:r w:rsidRPr="00EC20A0">
              <w:rPr>
                <w:spacing w:val="-4"/>
                <w:sz w:val="20"/>
              </w:rPr>
              <w:t xml:space="preserve"> </w:t>
            </w:r>
            <w:r w:rsidRPr="00EC20A0">
              <w:rPr>
                <w:sz w:val="20"/>
              </w:rPr>
              <w:t>additional</w:t>
            </w:r>
            <w:r w:rsidRPr="00EC20A0">
              <w:rPr>
                <w:spacing w:val="-4"/>
                <w:sz w:val="20"/>
              </w:rPr>
              <w:t xml:space="preserve"> </w:t>
            </w:r>
            <w:r w:rsidRPr="00EC20A0">
              <w:rPr>
                <w:sz w:val="20"/>
              </w:rPr>
              <w:t>procedures</w:t>
            </w:r>
            <w:r w:rsidRPr="00EC20A0">
              <w:rPr>
                <w:spacing w:val="-3"/>
                <w:sz w:val="20"/>
              </w:rPr>
              <w:t xml:space="preserve"> </w:t>
            </w:r>
            <w:r w:rsidRPr="00EC20A0">
              <w:rPr>
                <w:sz w:val="20"/>
              </w:rPr>
              <w:t>to</w:t>
            </w:r>
            <w:r w:rsidRPr="00EC20A0">
              <w:rPr>
                <w:spacing w:val="-4"/>
                <w:sz w:val="20"/>
              </w:rPr>
              <w:t xml:space="preserve"> </w:t>
            </w:r>
            <w:r w:rsidRPr="00EC20A0">
              <w:rPr>
                <w:sz w:val="20"/>
              </w:rPr>
              <w:t>obtain</w:t>
            </w:r>
            <w:r w:rsidRPr="00EC20A0">
              <w:rPr>
                <w:spacing w:val="-4"/>
                <w:sz w:val="20"/>
              </w:rPr>
              <w:t xml:space="preserve"> </w:t>
            </w:r>
            <w:r w:rsidRPr="00EC20A0">
              <w:rPr>
                <w:sz w:val="20"/>
              </w:rPr>
              <w:t>evidence</w:t>
            </w:r>
            <w:r w:rsidRPr="00EC20A0">
              <w:rPr>
                <w:spacing w:val="-4"/>
                <w:sz w:val="20"/>
              </w:rPr>
              <w:t xml:space="preserve"> </w:t>
            </w:r>
            <w:r w:rsidRPr="00EC20A0">
              <w:rPr>
                <w:sz w:val="20"/>
              </w:rPr>
              <w:t>regarding</w:t>
            </w:r>
            <w:r w:rsidRPr="00EC20A0">
              <w:rPr>
                <w:spacing w:val="-4"/>
                <w:sz w:val="20"/>
              </w:rPr>
              <w:t xml:space="preserve"> </w:t>
            </w:r>
            <w:r w:rsidRPr="00EC20A0">
              <w:rPr>
                <w:sz w:val="20"/>
              </w:rPr>
              <w:t xml:space="preserve">compliance with the </w:t>
            </w:r>
            <w:r w:rsidRPr="00EC20A0">
              <w:rPr>
                <w:sz w:val="20"/>
              </w:rPr>
              <w:t>provisions related to the following objectives unless sufficient evidence regarding compliance was not obtained during compliance control tests documented on Form 810, Compliance Summary.</w:t>
            </w:r>
          </w:p>
        </w:tc>
      </w:tr>
      <w:tr w:rsidR="00245300" w:rsidRPr="00EC20A0" w14:paraId="24D614A3" w14:textId="77777777">
        <w:trPr>
          <w:trHeight w:val="1046"/>
        </w:trPr>
        <w:tc>
          <w:tcPr>
            <w:tcW w:w="6600" w:type="dxa"/>
            <w:tcBorders>
              <w:top w:val="single" w:sz="6" w:space="0" w:color="000000"/>
              <w:bottom w:val="single" w:sz="8" w:space="0" w:color="000000"/>
              <w:right w:val="single" w:sz="6" w:space="0" w:color="000000"/>
            </w:tcBorders>
          </w:tcPr>
          <w:p w14:paraId="24D614A0" w14:textId="77777777" w:rsidR="00245300" w:rsidRPr="00EC20A0" w:rsidRDefault="00F17249">
            <w:pPr>
              <w:pStyle w:val="TableParagraph"/>
              <w:tabs>
                <w:tab w:val="left" w:pos="615"/>
              </w:tabs>
              <w:spacing w:before="143"/>
              <w:ind w:left="615" w:right="290" w:hanging="485"/>
            </w:pPr>
            <w:r w:rsidRPr="00EC20A0">
              <w:rPr>
                <w:spacing w:val="-6"/>
              </w:rPr>
              <w:t>1.</w:t>
            </w:r>
            <w:r w:rsidRPr="00EC20A0">
              <w:tab/>
              <w:t>Reference</w:t>
            </w:r>
            <w:r w:rsidRPr="00EC20A0">
              <w:rPr>
                <w:spacing w:val="-6"/>
              </w:rPr>
              <w:t xml:space="preserve"> </w:t>
            </w:r>
            <w:r w:rsidRPr="00EC20A0">
              <w:t>to</w:t>
            </w:r>
            <w:r w:rsidRPr="00EC20A0">
              <w:rPr>
                <w:spacing w:val="-6"/>
              </w:rPr>
              <w:t xml:space="preserve"> </w:t>
            </w:r>
            <w:r w:rsidRPr="00EC20A0">
              <w:t>conclusions</w:t>
            </w:r>
            <w:r w:rsidRPr="00EC20A0">
              <w:rPr>
                <w:spacing w:val="-6"/>
              </w:rPr>
              <w:t xml:space="preserve"> </w:t>
            </w:r>
            <w:r w:rsidRPr="00EC20A0">
              <w:t>on</w:t>
            </w:r>
            <w:r w:rsidRPr="00EC20A0">
              <w:rPr>
                <w:spacing w:val="-6"/>
              </w:rPr>
              <w:t xml:space="preserve"> </w:t>
            </w:r>
            <w:r w:rsidRPr="00EC20A0">
              <w:t>compliance</w:t>
            </w:r>
            <w:r w:rsidRPr="00EC20A0">
              <w:rPr>
                <w:spacing w:val="-6"/>
              </w:rPr>
              <w:t xml:space="preserve"> </w:t>
            </w:r>
            <w:r w:rsidRPr="00EC20A0">
              <w:t>controls</w:t>
            </w:r>
            <w:r w:rsidRPr="00EC20A0">
              <w:rPr>
                <w:spacing w:val="-6"/>
              </w:rPr>
              <w:t xml:space="preserve"> </w:t>
            </w:r>
            <w:r w:rsidRPr="00EC20A0">
              <w:t>on</w:t>
            </w:r>
            <w:r w:rsidRPr="00EC20A0">
              <w:rPr>
                <w:spacing w:val="-6"/>
              </w:rPr>
              <w:t xml:space="preserve"> </w:t>
            </w:r>
            <w:r w:rsidRPr="00EC20A0">
              <w:t xml:space="preserve">Form 810, </w:t>
            </w:r>
            <w:r w:rsidRPr="00EC20A0">
              <w:t>Compliance Summary, and indicate whether any additional procedures are necessary.</w:t>
            </w:r>
          </w:p>
        </w:tc>
        <w:tc>
          <w:tcPr>
            <w:tcW w:w="1320" w:type="dxa"/>
            <w:tcBorders>
              <w:top w:val="single" w:sz="6" w:space="0" w:color="000000"/>
              <w:left w:val="single" w:sz="6" w:space="0" w:color="000000"/>
              <w:bottom w:val="single" w:sz="8" w:space="0" w:color="000000"/>
              <w:right w:val="single" w:sz="6" w:space="0" w:color="000000"/>
            </w:tcBorders>
          </w:tcPr>
          <w:p w14:paraId="24D614A1" w14:textId="77777777" w:rsidR="00245300" w:rsidRPr="00EC20A0" w:rsidRDefault="00245300">
            <w:pPr>
              <w:pStyle w:val="TableParagraph"/>
              <w:rPr>
                <w:sz w:val="20"/>
              </w:rPr>
            </w:pPr>
          </w:p>
        </w:tc>
        <w:tc>
          <w:tcPr>
            <w:tcW w:w="1438" w:type="dxa"/>
            <w:tcBorders>
              <w:top w:val="single" w:sz="6" w:space="0" w:color="000000"/>
              <w:left w:val="single" w:sz="6" w:space="0" w:color="000000"/>
              <w:bottom w:val="single" w:sz="8" w:space="0" w:color="000000"/>
            </w:tcBorders>
          </w:tcPr>
          <w:p w14:paraId="24D614A2" w14:textId="77777777" w:rsidR="00245300" w:rsidRPr="00EC20A0" w:rsidRDefault="00245300">
            <w:pPr>
              <w:pStyle w:val="TableParagraph"/>
              <w:rPr>
                <w:sz w:val="20"/>
              </w:rPr>
            </w:pPr>
          </w:p>
        </w:tc>
      </w:tr>
      <w:tr w:rsidR="00245300" w:rsidRPr="00EC20A0" w14:paraId="24D614AB" w14:textId="77777777">
        <w:trPr>
          <w:trHeight w:val="4970"/>
        </w:trPr>
        <w:tc>
          <w:tcPr>
            <w:tcW w:w="6600" w:type="dxa"/>
            <w:tcBorders>
              <w:top w:val="single" w:sz="8" w:space="0" w:color="000000"/>
              <w:bottom w:val="single" w:sz="8" w:space="0" w:color="000000"/>
              <w:right w:val="single" w:sz="8" w:space="0" w:color="000000"/>
            </w:tcBorders>
          </w:tcPr>
          <w:p w14:paraId="24D614A4" w14:textId="77777777" w:rsidR="00245300" w:rsidRPr="00EC20A0" w:rsidRDefault="00F17249">
            <w:pPr>
              <w:pStyle w:val="TableParagraph"/>
              <w:numPr>
                <w:ilvl w:val="0"/>
                <w:numId w:val="126"/>
              </w:numPr>
              <w:tabs>
                <w:tab w:val="left" w:pos="615"/>
              </w:tabs>
              <w:spacing w:before="143"/>
              <w:ind w:right="128"/>
            </w:pPr>
            <w:r w:rsidRPr="00EC20A0">
              <w:t>If the entity does not appear to be in compliance based on the results of tests performed, then the auditor should discuss</w:t>
            </w:r>
            <w:r w:rsidRPr="00EC20A0">
              <w:rPr>
                <w:spacing w:val="-5"/>
              </w:rPr>
              <w:t xml:space="preserve"> </w:t>
            </w:r>
            <w:r w:rsidRPr="00EC20A0">
              <w:t>these</w:t>
            </w:r>
            <w:r w:rsidRPr="00EC20A0">
              <w:rPr>
                <w:spacing w:val="-5"/>
              </w:rPr>
              <w:t xml:space="preserve"> </w:t>
            </w:r>
            <w:r w:rsidRPr="00EC20A0">
              <w:t>matters</w:t>
            </w:r>
            <w:r w:rsidRPr="00EC20A0">
              <w:rPr>
                <w:spacing w:val="-5"/>
              </w:rPr>
              <w:t xml:space="preserve"> </w:t>
            </w:r>
            <w:r w:rsidRPr="00EC20A0">
              <w:t>with</w:t>
            </w:r>
            <w:r w:rsidRPr="00EC20A0">
              <w:rPr>
                <w:spacing w:val="-5"/>
              </w:rPr>
              <w:t xml:space="preserve"> </w:t>
            </w:r>
            <w:r w:rsidRPr="00EC20A0">
              <w:t>OGC</w:t>
            </w:r>
            <w:r w:rsidRPr="00EC20A0">
              <w:rPr>
                <w:spacing w:val="-6"/>
              </w:rPr>
              <w:t xml:space="preserve"> </w:t>
            </w:r>
            <w:r w:rsidRPr="00EC20A0">
              <w:t>and,</w:t>
            </w:r>
            <w:r w:rsidRPr="00EC20A0">
              <w:rPr>
                <w:spacing w:val="-5"/>
              </w:rPr>
              <w:t xml:space="preserve"> </w:t>
            </w:r>
            <w:r w:rsidRPr="00EC20A0">
              <w:t>when</w:t>
            </w:r>
            <w:r w:rsidRPr="00EC20A0">
              <w:rPr>
                <w:spacing w:val="-5"/>
              </w:rPr>
              <w:t xml:space="preserve"> </w:t>
            </w:r>
            <w:r w:rsidRPr="00EC20A0">
              <w:t>appropriate,</w:t>
            </w:r>
            <w:r w:rsidRPr="00EC20A0">
              <w:rPr>
                <w:spacing w:val="-5"/>
              </w:rPr>
              <w:t xml:space="preserve"> </w:t>
            </w:r>
            <w:r w:rsidRPr="00EC20A0">
              <w:t>the Special Investigator Unit to conclude on whether noncompliance actually has occurred and the implications of such noncompliance. For any noncompliance noted, the auditor should</w:t>
            </w:r>
          </w:p>
          <w:p w14:paraId="24D614A5" w14:textId="77777777" w:rsidR="00245300" w:rsidRPr="00EC20A0" w:rsidRDefault="00F17249">
            <w:pPr>
              <w:pStyle w:val="TableParagraph"/>
              <w:numPr>
                <w:ilvl w:val="1"/>
                <w:numId w:val="126"/>
              </w:numPr>
              <w:tabs>
                <w:tab w:val="left" w:pos="885"/>
                <w:tab w:val="left" w:pos="922"/>
              </w:tabs>
              <w:spacing w:before="144"/>
              <w:ind w:right="370" w:hanging="360"/>
            </w:pPr>
            <w:r w:rsidRPr="00EC20A0">
              <w:t>identify the weakness in compliance controls that allowed the noncompliance to occur, if it was not previously</w:t>
            </w:r>
            <w:r w:rsidRPr="00EC20A0">
              <w:rPr>
                <w:spacing w:val="-8"/>
              </w:rPr>
              <w:t xml:space="preserve"> </w:t>
            </w:r>
            <w:r w:rsidRPr="00EC20A0">
              <w:t>identified</w:t>
            </w:r>
            <w:r w:rsidRPr="00EC20A0">
              <w:rPr>
                <w:spacing w:val="-8"/>
              </w:rPr>
              <w:t xml:space="preserve"> </w:t>
            </w:r>
            <w:r w:rsidRPr="00EC20A0">
              <w:t>during</w:t>
            </w:r>
            <w:r w:rsidRPr="00EC20A0">
              <w:rPr>
                <w:spacing w:val="-8"/>
              </w:rPr>
              <w:t xml:space="preserve"> </w:t>
            </w:r>
            <w:r w:rsidRPr="00EC20A0">
              <w:t>compliance</w:t>
            </w:r>
            <w:r w:rsidRPr="00EC20A0">
              <w:rPr>
                <w:spacing w:val="-8"/>
              </w:rPr>
              <w:t xml:space="preserve"> </w:t>
            </w:r>
            <w:r w:rsidRPr="00EC20A0">
              <w:t>control</w:t>
            </w:r>
            <w:r w:rsidRPr="00EC20A0">
              <w:rPr>
                <w:spacing w:val="-8"/>
              </w:rPr>
              <w:t xml:space="preserve"> </w:t>
            </w:r>
            <w:r w:rsidRPr="00EC20A0">
              <w:t>testing;</w:t>
            </w:r>
          </w:p>
          <w:p w14:paraId="24D614A6" w14:textId="77777777" w:rsidR="00245300" w:rsidRPr="00EC20A0" w:rsidRDefault="00F17249">
            <w:pPr>
              <w:pStyle w:val="TableParagraph"/>
              <w:numPr>
                <w:ilvl w:val="1"/>
                <w:numId w:val="126"/>
              </w:numPr>
              <w:tabs>
                <w:tab w:val="left" w:pos="885"/>
                <w:tab w:val="left" w:pos="922"/>
              </w:tabs>
              <w:spacing w:before="143"/>
              <w:ind w:right="212" w:hanging="361"/>
            </w:pPr>
            <w:r w:rsidRPr="00EC20A0">
              <w:t>determine</w:t>
            </w:r>
            <w:r w:rsidRPr="00EC20A0">
              <w:rPr>
                <w:spacing w:val="-4"/>
              </w:rPr>
              <w:t xml:space="preserve"> </w:t>
            </w:r>
            <w:r w:rsidRPr="00EC20A0">
              <w:t>the</w:t>
            </w:r>
            <w:r w:rsidRPr="00EC20A0">
              <w:rPr>
                <w:spacing w:val="-5"/>
              </w:rPr>
              <w:t xml:space="preserve"> </w:t>
            </w:r>
            <w:r w:rsidRPr="00EC20A0">
              <w:t>impact</w:t>
            </w:r>
            <w:r w:rsidRPr="00EC20A0">
              <w:rPr>
                <w:spacing w:val="-4"/>
              </w:rPr>
              <w:t xml:space="preserve"> </w:t>
            </w:r>
            <w:r w:rsidRPr="00EC20A0">
              <w:t>on</w:t>
            </w:r>
            <w:r w:rsidRPr="00EC20A0">
              <w:rPr>
                <w:spacing w:val="-5"/>
              </w:rPr>
              <w:t xml:space="preserve"> </w:t>
            </w:r>
            <w:r w:rsidRPr="00EC20A0">
              <w:t>the</w:t>
            </w:r>
            <w:r w:rsidRPr="00EC20A0">
              <w:rPr>
                <w:spacing w:val="-4"/>
              </w:rPr>
              <w:t xml:space="preserve"> </w:t>
            </w:r>
            <w:r w:rsidRPr="00EC20A0">
              <w:t>report</w:t>
            </w:r>
            <w:r w:rsidRPr="00EC20A0">
              <w:rPr>
                <w:spacing w:val="-5"/>
              </w:rPr>
              <w:t xml:space="preserve"> </w:t>
            </w:r>
            <w:r w:rsidRPr="00EC20A0">
              <w:t>on</w:t>
            </w:r>
            <w:r w:rsidRPr="00EC20A0">
              <w:rPr>
                <w:spacing w:val="-4"/>
              </w:rPr>
              <w:t xml:space="preserve"> </w:t>
            </w:r>
            <w:r w:rsidRPr="00EC20A0">
              <w:t>internal</w:t>
            </w:r>
            <w:r w:rsidRPr="00EC20A0">
              <w:rPr>
                <w:spacing w:val="-5"/>
              </w:rPr>
              <w:t xml:space="preserve"> </w:t>
            </w:r>
            <w:r w:rsidRPr="00EC20A0">
              <w:t>control</w:t>
            </w:r>
            <w:r w:rsidRPr="00EC20A0">
              <w:rPr>
                <w:spacing w:val="-4"/>
              </w:rPr>
              <w:t xml:space="preserve"> </w:t>
            </w:r>
            <w:r w:rsidRPr="00EC20A0">
              <w:t>as appropriate (see FAM 580.56–.85);</w:t>
            </w:r>
          </w:p>
          <w:p w14:paraId="24D614A7" w14:textId="77777777" w:rsidR="00245300" w:rsidRPr="00EC20A0" w:rsidRDefault="00F17249">
            <w:pPr>
              <w:pStyle w:val="TableParagraph"/>
              <w:numPr>
                <w:ilvl w:val="1"/>
                <w:numId w:val="126"/>
              </w:numPr>
              <w:tabs>
                <w:tab w:val="left" w:pos="885"/>
                <w:tab w:val="left" w:pos="922"/>
              </w:tabs>
              <w:spacing w:before="142"/>
              <w:ind w:right="996" w:hanging="360"/>
            </w:pPr>
            <w:r w:rsidRPr="00EC20A0">
              <w:t xml:space="preserve">consider the implications of any instances of </w:t>
            </w:r>
            <w:r w:rsidRPr="00EC20A0">
              <w:t>noncompliance</w:t>
            </w:r>
            <w:r w:rsidRPr="00EC20A0">
              <w:rPr>
                <w:spacing w:val="-8"/>
              </w:rPr>
              <w:t xml:space="preserve"> </w:t>
            </w:r>
            <w:r w:rsidRPr="00EC20A0">
              <w:t>on</w:t>
            </w:r>
            <w:r w:rsidRPr="00EC20A0">
              <w:rPr>
                <w:spacing w:val="-8"/>
              </w:rPr>
              <w:t xml:space="preserve"> </w:t>
            </w:r>
            <w:r w:rsidRPr="00EC20A0">
              <w:t>the</w:t>
            </w:r>
            <w:r w:rsidRPr="00EC20A0">
              <w:rPr>
                <w:spacing w:val="-8"/>
              </w:rPr>
              <w:t xml:space="preserve"> </w:t>
            </w:r>
            <w:r w:rsidRPr="00EC20A0">
              <w:t>financial</w:t>
            </w:r>
            <w:r w:rsidRPr="00EC20A0">
              <w:rPr>
                <w:spacing w:val="-8"/>
              </w:rPr>
              <w:t xml:space="preserve"> </w:t>
            </w:r>
            <w:r w:rsidRPr="00EC20A0">
              <w:t>statements;</w:t>
            </w:r>
            <w:r w:rsidRPr="00EC20A0">
              <w:rPr>
                <w:spacing w:val="-8"/>
              </w:rPr>
              <w:t xml:space="preserve"> </w:t>
            </w:r>
            <w:r w:rsidRPr="00EC20A0">
              <w:t>and</w:t>
            </w:r>
          </w:p>
          <w:p w14:paraId="24D614A8" w14:textId="77777777" w:rsidR="00245300" w:rsidRPr="00EC20A0" w:rsidRDefault="00F17249">
            <w:pPr>
              <w:pStyle w:val="TableParagraph"/>
              <w:numPr>
                <w:ilvl w:val="1"/>
                <w:numId w:val="126"/>
              </w:numPr>
              <w:tabs>
                <w:tab w:val="left" w:pos="885"/>
                <w:tab w:val="left" w:pos="922"/>
              </w:tabs>
              <w:spacing w:before="142"/>
              <w:ind w:right="311" w:hanging="360"/>
            </w:pPr>
            <w:r w:rsidRPr="00EC20A0">
              <w:t>report</w:t>
            </w:r>
            <w:r w:rsidRPr="00EC20A0">
              <w:rPr>
                <w:spacing w:val="-7"/>
              </w:rPr>
              <w:t xml:space="preserve"> </w:t>
            </w:r>
            <w:r w:rsidRPr="00EC20A0">
              <w:t>instances</w:t>
            </w:r>
            <w:r w:rsidRPr="00EC20A0">
              <w:rPr>
                <w:spacing w:val="-7"/>
              </w:rPr>
              <w:t xml:space="preserve"> </w:t>
            </w:r>
            <w:r w:rsidRPr="00EC20A0">
              <w:t>of</w:t>
            </w:r>
            <w:r w:rsidRPr="00EC20A0">
              <w:rPr>
                <w:spacing w:val="-7"/>
              </w:rPr>
              <w:t xml:space="preserve"> </w:t>
            </w:r>
            <w:r w:rsidRPr="00EC20A0">
              <w:t>noncompliance,</w:t>
            </w:r>
            <w:r w:rsidRPr="00EC20A0">
              <w:rPr>
                <w:spacing w:val="-7"/>
              </w:rPr>
              <w:t xml:space="preserve"> </w:t>
            </w:r>
            <w:r w:rsidRPr="00EC20A0">
              <w:t>as</w:t>
            </w:r>
            <w:r w:rsidRPr="00EC20A0">
              <w:rPr>
                <w:spacing w:val="-7"/>
              </w:rPr>
              <w:t xml:space="preserve"> </w:t>
            </w:r>
            <w:r w:rsidRPr="00EC20A0">
              <w:t>appropriate</w:t>
            </w:r>
            <w:r w:rsidRPr="00EC20A0">
              <w:rPr>
                <w:spacing w:val="-7"/>
              </w:rPr>
              <w:t xml:space="preserve"> </w:t>
            </w:r>
            <w:r w:rsidRPr="00EC20A0">
              <w:t>(see FAM 580.91–.99).</w:t>
            </w:r>
          </w:p>
        </w:tc>
        <w:tc>
          <w:tcPr>
            <w:tcW w:w="1320" w:type="dxa"/>
            <w:tcBorders>
              <w:top w:val="single" w:sz="8" w:space="0" w:color="000000"/>
              <w:left w:val="single" w:sz="8" w:space="0" w:color="000000"/>
              <w:bottom w:val="single" w:sz="8" w:space="0" w:color="000000"/>
              <w:right w:val="single" w:sz="8" w:space="0" w:color="000000"/>
            </w:tcBorders>
          </w:tcPr>
          <w:p w14:paraId="24D614A9" w14:textId="77777777" w:rsidR="00245300" w:rsidRPr="00EC20A0" w:rsidRDefault="00245300">
            <w:pPr>
              <w:pStyle w:val="TableParagraph"/>
              <w:rPr>
                <w:sz w:val="20"/>
              </w:rPr>
            </w:pPr>
          </w:p>
        </w:tc>
        <w:tc>
          <w:tcPr>
            <w:tcW w:w="1438" w:type="dxa"/>
            <w:tcBorders>
              <w:top w:val="single" w:sz="8" w:space="0" w:color="000000"/>
              <w:left w:val="single" w:sz="8" w:space="0" w:color="000000"/>
              <w:bottom w:val="single" w:sz="8" w:space="0" w:color="000000"/>
            </w:tcBorders>
          </w:tcPr>
          <w:p w14:paraId="24D614AA" w14:textId="77777777" w:rsidR="00245300" w:rsidRPr="00EC20A0" w:rsidRDefault="00245300">
            <w:pPr>
              <w:pStyle w:val="TableParagraph"/>
              <w:rPr>
                <w:sz w:val="20"/>
              </w:rPr>
            </w:pPr>
          </w:p>
        </w:tc>
      </w:tr>
      <w:tr w:rsidR="00245300" w:rsidRPr="00EC20A0" w14:paraId="24D614AF" w14:textId="77777777">
        <w:trPr>
          <w:trHeight w:val="790"/>
        </w:trPr>
        <w:tc>
          <w:tcPr>
            <w:tcW w:w="6600" w:type="dxa"/>
            <w:tcBorders>
              <w:top w:val="single" w:sz="8" w:space="0" w:color="000000"/>
              <w:left w:val="double" w:sz="8" w:space="0" w:color="000000"/>
              <w:bottom w:val="double" w:sz="8" w:space="0" w:color="000000"/>
              <w:right w:val="single" w:sz="8" w:space="0" w:color="000000"/>
            </w:tcBorders>
          </w:tcPr>
          <w:p w14:paraId="24D614AC" w14:textId="77777777" w:rsidR="00245300" w:rsidRPr="00EC20A0" w:rsidRDefault="00F17249">
            <w:pPr>
              <w:pStyle w:val="TableParagraph"/>
              <w:tabs>
                <w:tab w:val="left" w:pos="561"/>
              </w:tabs>
              <w:spacing w:before="143"/>
              <w:ind w:left="608" w:right="371" w:hanging="485"/>
            </w:pPr>
            <w:r w:rsidRPr="00EC20A0">
              <w:rPr>
                <w:spacing w:val="-6"/>
              </w:rPr>
              <w:t>3.</w:t>
            </w:r>
            <w:r w:rsidRPr="00EC20A0">
              <w:tab/>
              <w:t>Document</w:t>
            </w:r>
            <w:r w:rsidRPr="00EC20A0">
              <w:rPr>
                <w:spacing w:val="-7"/>
              </w:rPr>
              <w:t xml:space="preserve"> </w:t>
            </w:r>
            <w:r w:rsidRPr="00EC20A0">
              <w:t>conclusions</w:t>
            </w:r>
            <w:r w:rsidRPr="00EC20A0">
              <w:rPr>
                <w:spacing w:val="-7"/>
              </w:rPr>
              <w:t xml:space="preserve"> </w:t>
            </w:r>
            <w:r w:rsidRPr="00EC20A0">
              <w:t>on</w:t>
            </w:r>
            <w:r w:rsidRPr="00EC20A0">
              <w:rPr>
                <w:spacing w:val="-7"/>
              </w:rPr>
              <w:t xml:space="preserve"> </w:t>
            </w:r>
            <w:r w:rsidRPr="00EC20A0">
              <w:t>compliance</w:t>
            </w:r>
            <w:r w:rsidRPr="00EC20A0">
              <w:rPr>
                <w:spacing w:val="-7"/>
              </w:rPr>
              <w:t xml:space="preserve"> </w:t>
            </w:r>
            <w:r w:rsidRPr="00EC20A0">
              <w:t>with</w:t>
            </w:r>
            <w:r w:rsidRPr="00EC20A0">
              <w:rPr>
                <w:spacing w:val="-7"/>
              </w:rPr>
              <w:t xml:space="preserve"> </w:t>
            </w:r>
            <w:r w:rsidRPr="00EC20A0">
              <w:t>each</w:t>
            </w:r>
            <w:r w:rsidRPr="00EC20A0">
              <w:rPr>
                <w:spacing w:val="-7"/>
              </w:rPr>
              <w:t xml:space="preserve"> </w:t>
            </w:r>
            <w:r w:rsidRPr="00EC20A0">
              <w:t>provision on Form 810, Compliance Summary.</w:t>
            </w:r>
          </w:p>
        </w:tc>
        <w:tc>
          <w:tcPr>
            <w:tcW w:w="1320" w:type="dxa"/>
            <w:tcBorders>
              <w:top w:val="single" w:sz="8" w:space="0" w:color="000000"/>
              <w:left w:val="single" w:sz="8" w:space="0" w:color="000000"/>
              <w:bottom w:val="double" w:sz="8" w:space="0" w:color="000000"/>
              <w:right w:val="single" w:sz="8" w:space="0" w:color="000000"/>
            </w:tcBorders>
          </w:tcPr>
          <w:p w14:paraId="24D614AD" w14:textId="77777777" w:rsidR="00245300" w:rsidRPr="00EC20A0" w:rsidRDefault="00245300">
            <w:pPr>
              <w:pStyle w:val="TableParagraph"/>
              <w:rPr>
                <w:sz w:val="20"/>
              </w:rPr>
            </w:pPr>
          </w:p>
        </w:tc>
        <w:tc>
          <w:tcPr>
            <w:tcW w:w="1438" w:type="dxa"/>
            <w:tcBorders>
              <w:top w:val="single" w:sz="8" w:space="0" w:color="000000"/>
              <w:left w:val="single" w:sz="8" w:space="0" w:color="000000"/>
              <w:bottom w:val="double" w:sz="8" w:space="0" w:color="000000"/>
              <w:right w:val="double" w:sz="8" w:space="0" w:color="000000"/>
            </w:tcBorders>
          </w:tcPr>
          <w:p w14:paraId="24D614AE" w14:textId="77777777" w:rsidR="00245300" w:rsidRPr="00EC20A0" w:rsidRDefault="00245300">
            <w:pPr>
              <w:pStyle w:val="TableParagraph"/>
              <w:rPr>
                <w:sz w:val="20"/>
              </w:rPr>
            </w:pPr>
          </w:p>
        </w:tc>
      </w:tr>
    </w:tbl>
    <w:p w14:paraId="24D614B0" w14:textId="77777777" w:rsidR="00245300" w:rsidRPr="00EC20A0" w:rsidRDefault="00F17249">
      <w:pPr>
        <w:pStyle w:val="BodyText"/>
        <w:spacing w:before="209"/>
        <w:rPr>
          <w:sz w:val="20"/>
        </w:rPr>
      </w:pPr>
      <w:r w:rsidRPr="00EC20A0">
        <w:rPr>
          <w:noProof/>
        </w:rPr>
        <mc:AlternateContent>
          <mc:Choice Requires="wps">
            <w:drawing>
              <wp:anchor distT="0" distB="0" distL="0" distR="0" simplePos="0" relativeHeight="487696384" behindDoc="1" locked="0" layoutInCell="1" allowOverlap="1" wp14:anchorId="24D62C5D" wp14:editId="24D62C5E">
                <wp:simplePos x="0" y="0"/>
                <wp:positionH relativeFrom="page">
                  <wp:posOffset>895350</wp:posOffset>
                </wp:positionH>
                <wp:positionV relativeFrom="paragraph">
                  <wp:posOffset>293992</wp:posOffset>
                </wp:positionV>
                <wp:extent cx="5981700" cy="1905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9A07C4" id="Graphic 707" o:spid="_x0000_s1026" style="position:absolute;margin-left:70.5pt;margin-top:23.15pt;width:471pt;height:1.5pt;z-index:-15620096;visibility:visible;mso-wrap-style:square;mso-wrap-distance-left:0;mso-wrap-distance-top:0;mso-wrap-distance-right:0;mso-wrap-distance-bottom:0;mso-position-horizontal:absolute;mso-position-horizontal-relative:page;mso-position-vertical:absolute;mso-position-vertical-relative:text;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" path="m5981700,l,,,19050r5981700,l5981700,xe" fillcolor="black" stroked="f">
                <v:path arrowok="t"/>
                <w10:wrap type="topAndBottom" anchorx="page"/>
              </v:shape>
            </w:pict>
          </mc:Fallback>
        </mc:AlternateContent>
      </w:r>
    </w:p>
    <w:p w14:paraId="24D614B1" w14:textId="77777777" w:rsidR="00245300" w:rsidRPr="00EC20A0" w:rsidRDefault="00245300">
      <w:pPr>
        <w:rPr>
          <w:sz w:val="20"/>
        </w:rPr>
        <w:sectPr w:rsidR="00245300" w:rsidRPr="00EC20A0">
          <w:headerReference w:type="default" r:id="rId129"/>
          <w:footerReference w:type="default" r:id="rId130"/>
          <w:pgSz w:w="12240" w:h="15840"/>
          <w:pgMar w:top="720" w:right="1320" w:bottom="960" w:left="1220" w:header="0" w:footer="766" w:gutter="0"/>
          <w:cols w:space="720"/>
        </w:sectPr>
      </w:pPr>
    </w:p>
    <w:p w14:paraId="24D614B2" w14:textId="77777777" w:rsidR="00245300" w:rsidRPr="00EC20A0" w:rsidRDefault="00F17249">
      <w:pPr>
        <w:pStyle w:val="Heading3"/>
        <w:spacing w:before="80"/>
        <w:rPr>
          <w:u w:val="none"/>
        </w:rPr>
      </w:pPr>
      <w:bookmarkStart w:id="255" w:name="811_–_Federal_Employees’_Retirement_Syst"/>
      <w:bookmarkStart w:id="256" w:name="_bookmark141"/>
      <w:bookmarkEnd w:id="255"/>
      <w:bookmarkEnd w:id="256"/>
      <w:r w:rsidRPr="00EC20A0">
        <w:t>811</w:t>
      </w:r>
      <w:r w:rsidRPr="00EC20A0">
        <w:rPr>
          <w:spacing w:val="-4"/>
        </w:rPr>
        <w:t xml:space="preserve"> </w:t>
      </w:r>
      <w:r w:rsidRPr="00EC20A0">
        <w:t>–</w:t>
      </w:r>
      <w:r w:rsidRPr="00EC20A0">
        <w:rPr>
          <w:spacing w:val="-4"/>
        </w:rPr>
        <w:t xml:space="preserve"> </w:t>
      </w:r>
      <w:r w:rsidRPr="00EC20A0">
        <w:t>Federal</w:t>
      </w:r>
      <w:r w:rsidRPr="00EC20A0">
        <w:rPr>
          <w:spacing w:val="-6"/>
        </w:rPr>
        <w:t xml:space="preserve"> </w:t>
      </w:r>
      <w:r w:rsidRPr="00EC20A0">
        <w:t>Employees’</w:t>
      </w:r>
      <w:r w:rsidRPr="00EC20A0">
        <w:rPr>
          <w:spacing w:val="-22"/>
        </w:rPr>
        <w:t xml:space="preserve"> </w:t>
      </w:r>
      <w:r w:rsidRPr="00EC20A0">
        <w:t>Retirement</w:t>
      </w:r>
      <w:r w:rsidRPr="00EC20A0">
        <w:rPr>
          <w:spacing w:val="-6"/>
        </w:rPr>
        <w:t xml:space="preserve"> </w:t>
      </w:r>
      <w:r w:rsidRPr="00EC20A0">
        <w:t>System</w:t>
      </w:r>
      <w:r w:rsidRPr="00EC20A0">
        <w:rPr>
          <w:spacing w:val="-18"/>
        </w:rPr>
        <w:t xml:space="preserve"> </w:t>
      </w:r>
      <w:r w:rsidRPr="00EC20A0">
        <w:t>Act</w:t>
      </w:r>
      <w:r w:rsidRPr="00EC20A0">
        <w:rPr>
          <w:spacing w:val="-5"/>
        </w:rPr>
        <w:t xml:space="preserve"> </w:t>
      </w:r>
      <w:r w:rsidRPr="00EC20A0">
        <w:t>(F</w:t>
      </w:r>
      <w:bookmarkStart w:id="257" w:name="_bookmark142"/>
      <w:bookmarkEnd w:id="257"/>
      <w:r w:rsidRPr="00EC20A0">
        <w:t>ER</w:t>
      </w:r>
      <w:bookmarkStart w:id="258" w:name="_bookmark143"/>
      <w:bookmarkEnd w:id="258"/>
      <w:r w:rsidRPr="00EC20A0">
        <w:t>SA)</w:t>
      </w:r>
      <w:bookmarkStart w:id="259" w:name="_bookmark144"/>
      <w:bookmarkEnd w:id="259"/>
      <w:r w:rsidRPr="00EC20A0">
        <w:t>,</w:t>
      </w:r>
      <w:r w:rsidRPr="00EC20A0">
        <w:rPr>
          <w:spacing w:val="-6"/>
        </w:rPr>
        <w:t xml:space="preserve"> </w:t>
      </w:r>
      <w:r w:rsidRPr="00EC20A0">
        <w:t>as</w:t>
      </w:r>
      <w:r w:rsidRPr="00EC20A0">
        <w:rPr>
          <w:spacing w:val="-4"/>
        </w:rPr>
        <w:t xml:space="preserve"> </w:t>
      </w:r>
      <w:r w:rsidRPr="00EC20A0">
        <w:t>Provided</w:t>
      </w:r>
      <w:r w:rsidRPr="00EC20A0">
        <w:rPr>
          <w:spacing w:val="-5"/>
        </w:rPr>
        <w:t xml:space="preserve"> </w:t>
      </w:r>
      <w:r w:rsidRPr="00EC20A0">
        <w:t>in</w:t>
      </w:r>
      <w:r w:rsidRPr="00EC20A0">
        <w:rPr>
          <w:spacing w:val="-5"/>
        </w:rPr>
        <w:t xml:space="preserve"> </w:t>
      </w:r>
      <w:r w:rsidRPr="00EC20A0">
        <w:t>5</w:t>
      </w:r>
      <w:r w:rsidRPr="00EC20A0">
        <w:rPr>
          <w:spacing w:val="-5"/>
        </w:rPr>
        <w:t xml:space="preserve"> </w:t>
      </w:r>
      <w:r w:rsidRPr="00EC20A0">
        <w:t>U.S.C.</w:t>
      </w:r>
      <w:r w:rsidRPr="00EC20A0">
        <w:rPr>
          <w:u w:val="none"/>
        </w:rPr>
        <w:t xml:space="preserve"> </w:t>
      </w:r>
      <w:r w:rsidRPr="00EC20A0">
        <w:t>Chapter 84</w:t>
      </w:r>
    </w:p>
    <w:p w14:paraId="24D614B3" w14:textId="77777777" w:rsidR="00245300" w:rsidRPr="00EC20A0" w:rsidRDefault="00F17249">
      <w:pPr>
        <w:pStyle w:val="BodyText"/>
        <w:spacing w:before="143"/>
        <w:ind w:left="119"/>
      </w:pPr>
      <w:r w:rsidRPr="00EC20A0">
        <w:t xml:space="preserve">Note: The auditor should complete this compliance summary or prepare equivalent documentation only if </w:t>
      </w:r>
      <w:r w:rsidRPr="00EC20A0">
        <w:t>provisions of the Federal Employees’ Retirement System Act (FERSA), as provided in 5 U.S.C. chapter 84, are significant, as indicated on Form 802, General Compliance</w:t>
      </w:r>
      <w:r w:rsidRPr="00EC20A0">
        <w:rPr>
          <w:spacing w:val="-3"/>
        </w:rPr>
        <w:t xml:space="preserve"> </w:t>
      </w:r>
      <w:r w:rsidRPr="00EC20A0">
        <w:t>Checklist,</w:t>
      </w:r>
      <w:r w:rsidRPr="00EC20A0">
        <w:rPr>
          <w:spacing w:val="-3"/>
        </w:rPr>
        <w:t xml:space="preserve"> </w:t>
      </w:r>
      <w:r w:rsidRPr="00EC20A0">
        <w:t>at</w:t>
      </w:r>
      <w:r w:rsidRPr="00EC20A0">
        <w:rPr>
          <w:spacing w:val="-4"/>
        </w:rPr>
        <w:t xml:space="preserve"> </w:t>
      </w:r>
      <w:r w:rsidRPr="00EC20A0">
        <w:t>page</w:t>
      </w:r>
      <w:r w:rsidRPr="00EC20A0">
        <w:rPr>
          <w:spacing w:val="-3"/>
        </w:rPr>
        <w:t xml:space="preserve"> </w:t>
      </w:r>
      <w:r w:rsidRPr="00EC20A0">
        <w:t>802-12.</w:t>
      </w:r>
      <w:r w:rsidRPr="00EC20A0">
        <w:rPr>
          <w:spacing w:val="-3"/>
        </w:rPr>
        <w:t xml:space="preserve"> </w:t>
      </w:r>
      <w:r w:rsidRPr="00EC20A0">
        <w:t>Implementing</w:t>
      </w:r>
      <w:r w:rsidRPr="00EC20A0">
        <w:rPr>
          <w:spacing w:val="-3"/>
        </w:rPr>
        <w:t xml:space="preserve"> </w:t>
      </w:r>
      <w:r w:rsidRPr="00EC20A0">
        <w:t>regulations</w:t>
      </w:r>
      <w:r w:rsidRPr="00EC20A0">
        <w:rPr>
          <w:spacing w:val="-2"/>
        </w:rPr>
        <w:t xml:space="preserve"> </w:t>
      </w:r>
      <w:r w:rsidRPr="00EC20A0">
        <w:t>for</w:t>
      </w:r>
      <w:r w:rsidRPr="00EC20A0">
        <w:rPr>
          <w:spacing w:val="-3"/>
        </w:rPr>
        <w:t xml:space="preserve"> </w:t>
      </w:r>
      <w:r w:rsidRPr="00EC20A0">
        <w:t>FERSA’s</w:t>
      </w:r>
      <w:r w:rsidRPr="00EC20A0">
        <w:rPr>
          <w:spacing w:val="-3"/>
        </w:rPr>
        <w:t xml:space="preserve"> </w:t>
      </w:r>
      <w:r w:rsidRPr="00EC20A0">
        <w:t>general</w:t>
      </w:r>
      <w:r w:rsidRPr="00EC20A0">
        <w:rPr>
          <w:spacing w:val="-3"/>
        </w:rPr>
        <w:t xml:space="preserve"> </w:t>
      </w:r>
      <w:r w:rsidRPr="00EC20A0">
        <w:t>administration</w:t>
      </w:r>
      <w:r w:rsidRPr="00EC20A0">
        <w:rPr>
          <w:spacing w:val="-3"/>
        </w:rPr>
        <w:t xml:space="preserve"> </w:t>
      </w:r>
      <w:r w:rsidRPr="00EC20A0">
        <w:t>are</w:t>
      </w:r>
      <w:r w:rsidRPr="00EC20A0">
        <w:rPr>
          <w:spacing w:val="-3"/>
        </w:rPr>
        <w:t xml:space="preserve"> </w:t>
      </w:r>
      <w:r w:rsidRPr="00EC20A0">
        <w:t>included</w:t>
      </w:r>
      <w:r w:rsidRPr="00EC20A0">
        <w:rPr>
          <w:spacing w:val="-3"/>
        </w:rPr>
        <w:t xml:space="preserve"> </w:t>
      </w:r>
      <w:r w:rsidRPr="00EC20A0">
        <w:t>in</w:t>
      </w:r>
      <w:r w:rsidRPr="00EC20A0">
        <w:rPr>
          <w:spacing w:val="-3"/>
        </w:rPr>
        <w:t xml:space="preserve"> </w:t>
      </w:r>
      <w:r w:rsidRPr="00EC20A0">
        <w:t>5</w:t>
      </w:r>
      <w:r w:rsidRPr="00EC20A0">
        <w:rPr>
          <w:spacing w:val="-3"/>
        </w:rPr>
        <w:t xml:space="preserve"> </w:t>
      </w:r>
      <w:r w:rsidRPr="00EC20A0">
        <w:t>C.F.R.</w:t>
      </w:r>
      <w:r w:rsidRPr="00EC20A0">
        <w:rPr>
          <w:spacing w:val="-3"/>
        </w:rPr>
        <w:t xml:space="preserve"> </w:t>
      </w:r>
      <w:r w:rsidRPr="00EC20A0">
        <w:t>Part</w:t>
      </w:r>
      <w:r w:rsidRPr="00EC20A0">
        <w:rPr>
          <w:spacing w:val="-3"/>
        </w:rPr>
        <w:t xml:space="preserve"> </w:t>
      </w:r>
      <w:r w:rsidRPr="00EC20A0">
        <w:t>841.</w:t>
      </w:r>
    </w:p>
    <w:p w14:paraId="24D614B4" w14:textId="77777777" w:rsidR="00245300" w:rsidRPr="00EC20A0" w:rsidRDefault="00245300">
      <w:pPr>
        <w:pStyle w:val="BodyText"/>
        <w:rPr>
          <w:sz w:val="20"/>
        </w:rPr>
      </w:pPr>
    </w:p>
    <w:p w14:paraId="24D614B5" w14:textId="77777777" w:rsidR="00245300" w:rsidRPr="00EC20A0" w:rsidRDefault="00245300">
      <w:pPr>
        <w:pStyle w:val="BodyText"/>
        <w:spacing w:before="92"/>
        <w:rPr>
          <w:sz w:val="20"/>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245300" w:rsidRPr="00EC20A0" w14:paraId="24D614B9" w14:textId="77777777">
        <w:trPr>
          <w:trHeight w:val="1573"/>
        </w:trPr>
        <w:tc>
          <w:tcPr>
            <w:tcW w:w="13176" w:type="dxa"/>
            <w:gridSpan w:val="6"/>
          </w:tcPr>
          <w:p w14:paraId="24D614B6" w14:textId="77777777" w:rsidR="00245300" w:rsidRPr="00EC20A0" w:rsidRDefault="00F17249">
            <w:pPr>
              <w:pStyle w:val="TableParagraph"/>
              <w:tabs>
                <w:tab w:val="left" w:pos="9184"/>
              </w:tabs>
              <w:spacing w:before="144"/>
              <w:ind w:right="192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t>Prepared</w:t>
            </w:r>
            <w:r w:rsidRPr="00EC20A0">
              <w:rPr>
                <w:spacing w:val="-11"/>
              </w:rPr>
              <w:t xml:space="preserve"> </w:t>
            </w:r>
            <w:r w:rsidRPr="00EC20A0">
              <w:rPr>
                <w:spacing w:val="-5"/>
              </w:rPr>
              <w:t>by:</w:t>
            </w:r>
          </w:p>
          <w:p w14:paraId="24D614B7" w14:textId="77777777" w:rsidR="00245300" w:rsidRPr="00EC20A0" w:rsidRDefault="00F17249">
            <w:pPr>
              <w:pStyle w:val="TableParagraph"/>
              <w:spacing w:before="11"/>
              <w:ind w:left="1947" w:right="1925"/>
              <w:jc w:val="center"/>
              <w:rPr>
                <w:b/>
                <w:sz w:val="24"/>
              </w:rPr>
            </w:pPr>
            <w:r w:rsidRPr="00EC20A0">
              <w:rPr>
                <w:noProof/>
              </w:rPr>
              <mc:AlternateContent>
                <mc:Choice Requires="wpg">
                  <w:drawing>
                    <wp:anchor distT="0" distB="0" distL="0" distR="0" simplePos="0" relativeHeight="475351040" behindDoc="1" locked="0" layoutInCell="1" allowOverlap="1" wp14:anchorId="24D62C5F" wp14:editId="24D62C60">
                      <wp:simplePos x="0" y="0"/>
                      <wp:positionH relativeFrom="column">
                        <wp:posOffset>6953250</wp:posOffset>
                      </wp:positionH>
                      <wp:positionV relativeFrom="paragraph">
                        <wp:posOffset>91260</wp:posOffset>
                      </wp:positionV>
                      <wp:extent cx="1344930" cy="6350"/>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16" name="Graphic 716"/>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EB1CF2" id="Group 715" o:spid="_x0000_s1026" style="position:absolute;margin-left:547.5pt;margin-top:7.2pt;width:105.9pt;height:.5pt;z-index:-2796544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">
                      <v:shape id="Graphic 716"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" path="m1344929,l,,,6096r1344929,l1344929,xe" fillcolor="black" stroked="f">
                        <v:path arrowok="t"/>
                      </v:shape>
                    </v:group>
                  </w:pict>
                </mc:Fallback>
              </mc:AlternateContent>
            </w:r>
            <w:r w:rsidRPr="00EC20A0">
              <w:rPr>
                <w:noProof/>
              </w:rPr>
              <mc:AlternateContent>
                <mc:Choice Requires="wpg">
                  <w:drawing>
                    <wp:anchor distT="0" distB="0" distL="0" distR="0" simplePos="0" relativeHeight="475352064" behindDoc="1" locked="0" layoutInCell="1" allowOverlap="1" wp14:anchorId="24D62C61" wp14:editId="24D62C62">
                      <wp:simplePos x="0" y="0"/>
                      <wp:positionH relativeFrom="column">
                        <wp:posOffset>6953250</wp:posOffset>
                      </wp:positionH>
                      <wp:positionV relativeFrom="paragraph">
                        <wp:posOffset>441018</wp:posOffset>
                      </wp:positionV>
                      <wp:extent cx="1344930" cy="6350"/>
                      <wp:effectExtent l="0" t="0" r="0" b="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18" name="Graphic 718"/>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A28674" id="Group 717" o:spid="_x0000_s1026" style="position:absolute;margin-left:547.5pt;margin-top:34.75pt;width:105.9pt;height:.5pt;z-index:-27964416;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CRe0/5cwIAAPMFAAAOAAAA&#10;AAAAAAAAAAAAAC4CAABkcnMvZTJvRG9jLnhtbFBLAQItABQABgAIAAAAIQCvzK704QAAAAsBAAAP&#10;AAAAAAAAAAAAAAAAAM0EAABkcnMvZG93bnJldi54bWxQSwUGAAAAAAQABADzAAAA2wUAAAAA&#10;">
                      <v:shape id="Graphic 718"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" path="m1344929,l,,,6096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4B8" w14:textId="77777777" w:rsidR="00245300" w:rsidRPr="00EC20A0" w:rsidRDefault="00F17249">
            <w:pPr>
              <w:pStyle w:val="TableParagraph"/>
              <w:tabs>
                <w:tab w:val="left" w:pos="8878"/>
              </w:tabs>
              <w:spacing w:before="11"/>
              <w:ind w:right="1681"/>
              <w:jc w:val="center"/>
            </w:pPr>
            <w:r w:rsidRPr="00EC20A0">
              <w:rPr>
                <w:noProof/>
              </w:rPr>
              <mc:AlternateContent>
                <mc:Choice Requires="wpg">
                  <w:drawing>
                    <wp:anchor distT="0" distB="0" distL="0" distR="0" simplePos="0" relativeHeight="475350528" behindDoc="1" locked="0" layoutInCell="1" allowOverlap="1" wp14:anchorId="24D62C63" wp14:editId="24D62C64">
                      <wp:simplePos x="0" y="0"/>
                      <wp:positionH relativeFrom="column">
                        <wp:posOffset>1260347</wp:posOffset>
                      </wp:positionH>
                      <wp:positionV relativeFrom="paragraph">
                        <wp:posOffset>-91312</wp:posOffset>
                      </wp:positionV>
                      <wp:extent cx="1183005" cy="6350"/>
                      <wp:effectExtent l="0" t="0" r="0" b="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20" name="Graphic 720"/>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4B666C" id="Group 719" o:spid="_x0000_s1026" style="position:absolute;margin-left:99.25pt;margin-top:-7.2pt;width:93.15pt;height:.5pt;z-index:-2796595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">
                      <v:shape id="Graphic 72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" path="m1182611,l,,,6096r1182611,l1182611,xe" fillcolor="black" stroked="f">
                        <v:path arrowok="t"/>
                      </v:shape>
                    </v:group>
                  </w:pict>
                </mc:Fallback>
              </mc:AlternateContent>
            </w:r>
            <w:r w:rsidRPr="00EC20A0">
              <w:rPr>
                <w:noProof/>
              </w:rPr>
              <mc:AlternateContent>
                <mc:Choice Requires="wpg">
                  <w:drawing>
                    <wp:anchor distT="0" distB="0" distL="0" distR="0" simplePos="0" relativeHeight="475351552" behindDoc="1" locked="0" layoutInCell="1" allowOverlap="1" wp14:anchorId="24D62C65" wp14:editId="24D62C66">
                      <wp:simplePos x="0" y="0"/>
                      <wp:positionH relativeFrom="column">
                        <wp:posOffset>1260347</wp:posOffset>
                      </wp:positionH>
                      <wp:positionV relativeFrom="paragraph">
                        <wp:posOffset>258445</wp:posOffset>
                      </wp:positionV>
                      <wp:extent cx="1183005" cy="6350"/>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22" name="Graphic 722"/>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C927E6" id="Group 721" o:spid="_x0000_s1026" style="position:absolute;margin-left:99.25pt;margin-top:20.35pt;width:93.15pt;height:.5pt;z-index:-27964928;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">
                      <v:shape id="Graphic 722"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" path="m1182611,l,,,6096r1182611,l1182611,xe" fillcolor="black" stroked="f">
                        <v:path arrowok="t"/>
                      </v:shape>
                    </v:group>
                  </w:pict>
                </mc:Fallback>
              </mc:AlternateContent>
            </w:r>
            <w:r w:rsidRPr="00EC20A0">
              <w:t>Audit</w:t>
            </w:r>
            <w:r w:rsidRPr="00EC20A0">
              <w:rPr>
                <w:spacing w:val="-6"/>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4C4" w14:textId="77777777">
        <w:trPr>
          <w:trHeight w:val="794"/>
        </w:trPr>
        <w:tc>
          <w:tcPr>
            <w:tcW w:w="3868" w:type="dxa"/>
            <w:tcBorders>
              <w:right w:val="single" w:sz="4" w:space="0" w:color="000000"/>
            </w:tcBorders>
          </w:tcPr>
          <w:p w14:paraId="24D614BA" w14:textId="77777777" w:rsidR="00245300" w:rsidRPr="00EC20A0" w:rsidRDefault="00245300">
            <w:pPr>
              <w:pStyle w:val="TableParagraph"/>
              <w:spacing w:before="144"/>
            </w:pPr>
          </w:p>
          <w:p w14:paraId="24D614BB" w14:textId="77777777" w:rsidR="00245300" w:rsidRPr="00EC20A0" w:rsidRDefault="00F17249">
            <w:pPr>
              <w:pStyle w:val="TableParagraph"/>
              <w:spacing w:before="1"/>
              <w:ind w:left="97"/>
            </w:pPr>
            <w:r w:rsidRPr="00EC20A0">
              <w:t>Provision</w:t>
            </w:r>
            <w:r w:rsidRPr="00EC20A0">
              <w:rPr>
                <w:spacing w:val="-11"/>
              </w:rPr>
              <w:t xml:space="preserve"> </w:t>
            </w:r>
            <w:r w:rsidRPr="00EC20A0">
              <w:rPr>
                <w:spacing w:val="-2"/>
              </w:rPr>
              <w:t>Description</w:t>
            </w:r>
          </w:p>
        </w:tc>
        <w:tc>
          <w:tcPr>
            <w:tcW w:w="1776" w:type="dxa"/>
            <w:tcBorders>
              <w:left w:val="single" w:sz="4" w:space="0" w:color="000000"/>
              <w:right w:val="single" w:sz="4" w:space="0" w:color="000000"/>
            </w:tcBorders>
          </w:tcPr>
          <w:p w14:paraId="24D614BC" w14:textId="77777777" w:rsidR="00245300" w:rsidRPr="00EC20A0" w:rsidRDefault="00245300">
            <w:pPr>
              <w:pStyle w:val="TableParagraph"/>
              <w:spacing w:before="144"/>
            </w:pPr>
          </w:p>
          <w:p w14:paraId="24D614BD" w14:textId="77777777" w:rsidR="00245300" w:rsidRPr="00EC20A0" w:rsidRDefault="00F17249">
            <w:pPr>
              <w:pStyle w:val="TableParagraph"/>
              <w:spacing w:before="1"/>
              <w:ind w:left="107"/>
            </w:pPr>
            <w:r w:rsidRPr="00EC20A0">
              <w:rPr>
                <w:spacing w:val="-2"/>
              </w:rPr>
              <w:t>Objective</w:t>
            </w:r>
          </w:p>
        </w:tc>
        <w:tc>
          <w:tcPr>
            <w:tcW w:w="2201" w:type="dxa"/>
            <w:tcBorders>
              <w:left w:val="single" w:sz="4" w:space="0" w:color="000000"/>
              <w:right w:val="single" w:sz="4" w:space="0" w:color="000000"/>
            </w:tcBorders>
          </w:tcPr>
          <w:p w14:paraId="24D614BE" w14:textId="77777777" w:rsidR="00245300" w:rsidRPr="00EC20A0" w:rsidRDefault="00245300">
            <w:pPr>
              <w:pStyle w:val="TableParagraph"/>
              <w:spacing w:before="144"/>
            </w:pPr>
          </w:p>
          <w:p w14:paraId="24D614BF" w14:textId="77777777" w:rsidR="00245300" w:rsidRPr="00EC20A0" w:rsidRDefault="00F17249">
            <w:pPr>
              <w:pStyle w:val="TableParagraph"/>
              <w:spacing w:before="1"/>
              <w:ind w:left="106"/>
            </w:pPr>
            <w:r w:rsidRPr="00EC20A0">
              <w:t>Control</w:t>
            </w:r>
            <w:r w:rsidRPr="00EC20A0">
              <w:rPr>
                <w:spacing w:val="-9"/>
              </w:rPr>
              <w:t xml:space="preserve"> </w:t>
            </w:r>
            <w:r w:rsidRPr="00EC20A0">
              <w:rPr>
                <w:spacing w:val="-2"/>
              </w:rPr>
              <w:t>Activities</w:t>
            </w:r>
          </w:p>
        </w:tc>
        <w:tc>
          <w:tcPr>
            <w:tcW w:w="1519" w:type="dxa"/>
            <w:tcBorders>
              <w:left w:val="single" w:sz="4" w:space="0" w:color="000000"/>
              <w:right w:val="single" w:sz="4" w:space="0" w:color="000000"/>
            </w:tcBorders>
          </w:tcPr>
          <w:p w14:paraId="24D614C0" w14:textId="77777777" w:rsidR="00245300" w:rsidRPr="00EC20A0" w:rsidRDefault="00245300">
            <w:pPr>
              <w:pStyle w:val="TableParagraph"/>
              <w:spacing w:before="144"/>
            </w:pPr>
          </w:p>
          <w:p w14:paraId="24D614C1" w14:textId="77777777" w:rsidR="00245300" w:rsidRPr="00EC20A0" w:rsidRDefault="00F17249">
            <w:pPr>
              <w:pStyle w:val="TableParagraph"/>
              <w:spacing w:before="1"/>
              <w:ind w:left="107"/>
            </w:pPr>
            <w:r w:rsidRPr="00EC20A0">
              <w:t>IS</w:t>
            </w:r>
            <w:r w:rsidRPr="00EC20A0">
              <w:rPr>
                <w:spacing w:val="-3"/>
              </w:rPr>
              <w:t xml:space="preserve"> </w:t>
            </w:r>
            <w:r w:rsidRPr="00EC20A0">
              <w:rPr>
                <w:spacing w:val="-2"/>
              </w:rPr>
              <w:t>(Y/N)</w:t>
            </w:r>
          </w:p>
        </w:tc>
        <w:tc>
          <w:tcPr>
            <w:tcW w:w="1640" w:type="dxa"/>
            <w:tcBorders>
              <w:left w:val="single" w:sz="4" w:space="0" w:color="000000"/>
              <w:right w:val="single" w:sz="4" w:space="0" w:color="000000"/>
            </w:tcBorders>
          </w:tcPr>
          <w:p w14:paraId="24D614C2" w14:textId="77777777" w:rsidR="00245300" w:rsidRPr="00EC20A0" w:rsidRDefault="00F17249">
            <w:pPr>
              <w:pStyle w:val="TableParagraph"/>
              <w:spacing w:before="144"/>
              <w:ind w:left="107" w:right="99"/>
            </w:pPr>
            <w:r w:rsidRPr="00EC20A0">
              <w:rPr>
                <w:spacing w:val="-2"/>
              </w:rPr>
              <w:t>Effective controls?</w:t>
            </w:r>
          </w:p>
        </w:tc>
        <w:tc>
          <w:tcPr>
            <w:tcW w:w="2172" w:type="dxa"/>
            <w:tcBorders>
              <w:left w:val="single" w:sz="4" w:space="0" w:color="000000"/>
            </w:tcBorders>
          </w:tcPr>
          <w:p w14:paraId="24D614C3" w14:textId="77777777" w:rsidR="00245300" w:rsidRPr="00EC20A0" w:rsidRDefault="00F17249">
            <w:pPr>
              <w:pStyle w:val="TableParagraph"/>
              <w:spacing w:before="144"/>
              <w:ind w:left="107"/>
            </w:pPr>
            <w:r w:rsidRPr="00EC20A0">
              <w:t xml:space="preserve">Instances of </w:t>
            </w:r>
            <w:r w:rsidRPr="00EC20A0">
              <w:rPr>
                <w:spacing w:val="-2"/>
              </w:rPr>
              <w:t>noncompliance?</w:t>
            </w:r>
          </w:p>
        </w:tc>
      </w:tr>
      <w:tr w:rsidR="00245300" w:rsidRPr="00EC20A0" w14:paraId="24D614D1" w14:textId="77777777">
        <w:trPr>
          <w:trHeight w:val="2438"/>
        </w:trPr>
        <w:tc>
          <w:tcPr>
            <w:tcW w:w="3868" w:type="dxa"/>
            <w:tcBorders>
              <w:bottom w:val="single" w:sz="4" w:space="0" w:color="000000"/>
              <w:right w:val="single" w:sz="4" w:space="0" w:color="000000"/>
            </w:tcBorders>
          </w:tcPr>
          <w:p w14:paraId="24D614C5" w14:textId="77777777" w:rsidR="00245300" w:rsidRPr="00EC20A0" w:rsidRDefault="00F17249">
            <w:pPr>
              <w:pStyle w:val="TableParagraph"/>
              <w:spacing w:before="143"/>
              <w:ind w:left="817" w:right="135" w:hanging="720"/>
              <w:rPr>
                <w:sz w:val="18"/>
              </w:rPr>
            </w:pPr>
            <w:r w:rsidRPr="00EC20A0">
              <w:rPr>
                <w:smallCaps/>
                <w:sz w:val="18"/>
              </w:rPr>
              <w:t xml:space="preserve">811.01. </w:t>
            </w:r>
            <w:r w:rsidRPr="00EC20A0">
              <w:rPr>
                <w:smallCaps/>
                <w:spacing w:val="20"/>
                <w:sz w:val="18"/>
              </w:rPr>
              <w:t xml:space="preserve"> </w:t>
            </w:r>
            <w:r w:rsidRPr="00EC20A0">
              <w:rPr>
                <w:smallCaps/>
                <w:sz w:val="18"/>
              </w:rPr>
              <w:t xml:space="preserve">Entity </w:t>
            </w:r>
            <w:r w:rsidRPr="00EC20A0">
              <w:rPr>
                <w:smallCaps/>
                <w:sz w:val="18"/>
              </w:rPr>
              <w:t>Withholdings From</w:t>
            </w:r>
            <w:r w:rsidRPr="00EC20A0">
              <w:rPr>
                <w:smallCaps/>
                <w:spacing w:val="40"/>
                <w:sz w:val="18"/>
              </w:rPr>
              <w:t xml:space="preserve"> </w:t>
            </w:r>
            <w:r w:rsidRPr="00EC20A0">
              <w:rPr>
                <w:smallCaps/>
                <w:sz w:val="18"/>
              </w:rPr>
              <w:t>Employee</w:t>
            </w:r>
            <w:r w:rsidRPr="00EC20A0">
              <w:rPr>
                <w:smallCaps/>
                <w:spacing w:val="-10"/>
                <w:sz w:val="18"/>
              </w:rPr>
              <w:t xml:space="preserve"> </w:t>
            </w:r>
            <w:r w:rsidRPr="00EC20A0">
              <w:rPr>
                <w:smallCaps/>
                <w:sz w:val="18"/>
              </w:rPr>
              <w:t>Pay</w:t>
            </w:r>
            <w:r w:rsidRPr="00EC20A0">
              <w:rPr>
                <w:smallCaps/>
                <w:spacing w:val="-10"/>
                <w:sz w:val="18"/>
              </w:rPr>
              <w:t xml:space="preserve"> </w:t>
            </w:r>
            <w:r w:rsidRPr="00EC20A0">
              <w:rPr>
                <w:smallCaps/>
                <w:sz w:val="18"/>
              </w:rPr>
              <w:t>for</w:t>
            </w:r>
            <w:r w:rsidRPr="00EC20A0">
              <w:rPr>
                <w:smallCaps/>
                <w:spacing w:val="-10"/>
                <w:sz w:val="18"/>
              </w:rPr>
              <w:t xml:space="preserve"> </w:t>
            </w:r>
            <w:r w:rsidRPr="00EC20A0">
              <w:rPr>
                <w:smallCaps/>
                <w:sz w:val="18"/>
              </w:rPr>
              <w:t>Retirement</w:t>
            </w:r>
            <w:r w:rsidRPr="00EC20A0">
              <w:rPr>
                <w:smallCaps/>
                <w:spacing w:val="40"/>
                <w:sz w:val="18"/>
              </w:rPr>
              <w:t xml:space="preserve"> </w:t>
            </w:r>
            <w:r w:rsidRPr="00EC20A0">
              <w:rPr>
                <w:smallCaps/>
                <w:spacing w:val="-2"/>
                <w:sz w:val="18"/>
              </w:rPr>
              <w:t>Benefits.</w:t>
            </w:r>
          </w:p>
          <w:p w14:paraId="24D614C6" w14:textId="77777777" w:rsidR="00245300" w:rsidRPr="00EC20A0" w:rsidRDefault="00F17249">
            <w:pPr>
              <w:pStyle w:val="TableParagraph"/>
              <w:spacing w:before="145"/>
              <w:ind w:left="97"/>
              <w:rPr>
                <w:sz w:val="18"/>
              </w:rPr>
            </w:pPr>
            <w:r w:rsidRPr="00EC20A0">
              <w:rPr>
                <w:sz w:val="18"/>
              </w:rPr>
              <w:t>Provision</w:t>
            </w:r>
            <w:r w:rsidRPr="00EC20A0">
              <w:rPr>
                <w:spacing w:val="-9"/>
                <w:sz w:val="18"/>
              </w:rPr>
              <w:t xml:space="preserve"> </w:t>
            </w:r>
            <w:r w:rsidRPr="00EC20A0">
              <w:rPr>
                <w:sz w:val="18"/>
              </w:rPr>
              <w:t>Type:</w:t>
            </w:r>
            <w:r w:rsidRPr="00EC20A0">
              <w:rPr>
                <w:spacing w:val="-7"/>
                <w:sz w:val="18"/>
              </w:rPr>
              <w:t xml:space="preserve"> </w:t>
            </w:r>
            <w:r w:rsidRPr="00EC20A0">
              <w:rPr>
                <w:sz w:val="18"/>
              </w:rPr>
              <w:t>Transaction-</w:t>
            </w:r>
            <w:r w:rsidRPr="00EC20A0">
              <w:rPr>
                <w:spacing w:val="-2"/>
                <w:sz w:val="18"/>
              </w:rPr>
              <w:t>based.</w:t>
            </w:r>
          </w:p>
          <w:p w14:paraId="24D614C7" w14:textId="77777777" w:rsidR="00245300" w:rsidRPr="00EC20A0" w:rsidRDefault="00F17249">
            <w:pPr>
              <w:pStyle w:val="TableParagraph"/>
              <w:spacing w:before="142" w:line="237" w:lineRule="auto"/>
              <w:ind w:left="97" w:right="128" w:hanging="1"/>
              <w:rPr>
                <w:sz w:val="18"/>
              </w:rPr>
            </w:pPr>
            <w:r w:rsidRPr="00EC20A0">
              <w:rPr>
                <w:sz w:val="18"/>
              </w:rPr>
              <w:t>For each employee</w:t>
            </w:r>
            <w:hyperlink w:anchor="_bookmark142" w:history="1">
              <w:r w:rsidRPr="00EC20A0">
                <w:rPr>
                  <w:position w:val="6"/>
                  <w:sz w:val="12"/>
                </w:rPr>
                <w:t>62</w:t>
              </w:r>
            </w:hyperlink>
            <w:r w:rsidRPr="00EC20A0">
              <w:rPr>
                <w:spacing w:val="40"/>
                <w:position w:val="6"/>
                <w:sz w:val="12"/>
              </w:rPr>
              <w:t xml:space="preserve"> </w:t>
            </w:r>
            <w:r w:rsidRPr="00EC20A0">
              <w:rPr>
                <w:sz w:val="18"/>
              </w:rPr>
              <w:t>employed after December 31, 1983,</w:t>
            </w:r>
            <w:hyperlink w:anchor="_bookmark143" w:history="1">
              <w:r w:rsidRPr="00EC20A0">
                <w:rPr>
                  <w:position w:val="6"/>
                  <w:sz w:val="12"/>
                </w:rPr>
                <w:t>63</w:t>
              </w:r>
            </w:hyperlink>
            <w:r w:rsidRPr="00EC20A0">
              <w:rPr>
                <w:spacing w:val="40"/>
                <w:position w:val="6"/>
                <w:sz w:val="12"/>
              </w:rPr>
              <w:t xml:space="preserve"> </w:t>
            </w:r>
            <w:r w:rsidRPr="00EC20A0">
              <w:rPr>
                <w:sz w:val="18"/>
              </w:rPr>
              <w:t>the entity shall withhold a percentage of the employee’s basic</w:t>
            </w:r>
            <w:r w:rsidRPr="00EC20A0">
              <w:rPr>
                <w:spacing w:val="-4"/>
                <w:sz w:val="18"/>
              </w:rPr>
              <w:t xml:space="preserve"> </w:t>
            </w:r>
            <w:r w:rsidRPr="00EC20A0">
              <w:rPr>
                <w:sz w:val="18"/>
              </w:rPr>
              <w:t>pay</w:t>
            </w:r>
            <w:r w:rsidRPr="00EC20A0">
              <w:rPr>
                <w:spacing w:val="-4"/>
                <w:sz w:val="18"/>
              </w:rPr>
              <w:t xml:space="preserve"> </w:t>
            </w:r>
            <w:r w:rsidRPr="00EC20A0">
              <w:rPr>
                <w:sz w:val="18"/>
              </w:rPr>
              <w:t>(typically</w:t>
            </w:r>
            <w:r w:rsidRPr="00EC20A0">
              <w:rPr>
                <w:spacing w:val="-4"/>
                <w:sz w:val="18"/>
              </w:rPr>
              <w:t xml:space="preserve"> </w:t>
            </w:r>
            <w:r w:rsidRPr="00EC20A0">
              <w:rPr>
                <w:sz w:val="18"/>
              </w:rPr>
              <w:t>0.80%</w:t>
            </w:r>
            <w:r w:rsidRPr="00EC20A0">
              <w:rPr>
                <w:spacing w:val="-5"/>
                <w:sz w:val="18"/>
              </w:rPr>
              <w:t xml:space="preserve"> </w:t>
            </w:r>
            <w:r w:rsidRPr="00EC20A0">
              <w:rPr>
                <w:sz w:val="18"/>
              </w:rPr>
              <w:t>of</w:t>
            </w:r>
            <w:r w:rsidRPr="00EC20A0">
              <w:rPr>
                <w:spacing w:val="-4"/>
                <w:sz w:val="18"/>
              </w:rPr>
              <w:t xml:space="preserve"> </w:t>
            </w:r>
            <w:r w:rsidRPr="00EC20A0">
              <w:rPr>
                <w:sz w:val="18"/>
              </w:rPr>
              <w:t>basic</w:t>
            </w:r>
            <w:r w:rsidRPr="00EC20A0">
              <w:rPr>
                <w:spacing w:val="-4"/>
                <w:sz w:val="18"/>
              </w:rPr>
              <w:t xml:space="preserve"> </w:t>
            </w:r>
            <w:r w:rsidRPr="00EC20A0">
              <w:rPr>
                <w:sz w:val="18"/>
              </w:rPr>
              <w:t>pay).</w:t>
            </w:r>
            <w:hyperlink w:anchor="_bookmark144" w:history="1">
              <w:r w:rsidRPr="00EC20A0">
                <w:rPr>
                  <w:position w:val="6"/>
                  <w:sz w:val="12"/>
                </w:rPr>
                <w:t>64</w:t>
              </w:r>
            </w:hyperlink>
            <w:r w:rsidRPr="00EC20A0">
              <w:rPr>
                <w:spacing w:val="13"/>
                <w:position w:val="6"/>
                <w:sz w:val="12"/>
              </w:rPr>
              <w:t xml:space="preserve"> </w:t>
            </w:r>
            <w:r w:rsidRPr="00EC20A0">
              <w:rPr>
                <w:sz w:val="18"/>
              </w:rPr>
              <w:t>5</w:t>
            </w:r>
          </w:p>
          <w:p w14:paraId="24D614C8" w14:textId="77777777" w:rsidR="00245300" w:rsidRPr="00EC20A0" w:rsidRDefault="00F17249">
            <w:pPr>
              <w:pStyle w:val="TableParagraph"/>
              <w:ind w:left="97"/>
              <w:rPr>
                <w:sz w:val="18"/>
              </w:rPr>
            </w:pPr>
            <w:r w:rsidRPr="00EC20A0">
              <w:rPr>
                <w:sz w:val="18"/>
              </w:rPr>
              <w:t>U.S.C.</w:t>
            </w:r>
            <w:r w:rsidRPr="00EC20A0">
              <w:rPr>
                <w:spacing w:val="-2"/>
                <w:sz w:val="18"/>
              </w:rPr>
              <w:t xml:space="preserve"> </w:t>
            </w:r>
            <w:r w:rsidRPr="00EC20A0">
              <w:rPr>
                <w:sz w:val="18"/>
              </w:rPr>
              <w:t>§</w:t>
            </w:r>
            <w:r w:rsidRPr="00EC20A0">
              <w:rPr>
                <w:spacing w:val="-2"/>
                <w:sz w:val="18"/>
              </w:rPr>
              <w:t xml:space="preserve"> 8422(a)(1).</w:t>
            </w:r>
          </w:p>
        </w:tc>
        <w:tc>
          <w:tcPr>
            <w:tcW w:w="1776" w:type="dxa"/>
            <w:tcBorders>
              <w:left w:val="single" w:sz="4" w:space="0" w:color="000000"/>
              <w:bottom w:val="single" w:sz="4" w:space="0" w:color="000000"/>
              <w:right w:val="single" w:sz="4" w:space="0" w:color="000000"/>
            </w:tcBorders>
          </w:tcPr>
          <w:p w14:paraId="24D614C9" w14:textId="77777777" w:rsidR="00245300" w:rsidRPr="00EC20A0" w:rsidRDefault="00F17249">
            <w:pPr>
              <w:pStyle w:val="TableParagraph"/>
              <w:spacing w:before="143"/>
              <w:ind w:left="107" w:right="165"/>
              <w:rPr>
                <w:sz w:val="18"/>
              </w:rPr>
            </w:pPr>
            <w:r w:rsidRPr="00EC20A0">
              <w:rPr>
                <w:sz w:val="18"/>
              </w:rPr>
              <w:t>The appropriate amount</w:t>
            </w:r>
            <w:r w:rsidRPr="00EC20A0">
              <w:rPr>
                <w:spacing w:val="-15"/>
                <w:sz w:val="18"/>
              </w:rPr>
              <w:t xml:space="preserve"> </w:t>
            </w:r>
            <w:r w:rsidRPr="00EC20A0">
              <w:rPr>
                <w:sz w:val="18"/>
              </w:rPr>
              <w:t>is</w:t>
            </w:r>
            <w:r w:rsidRPr="00EC20A0">
              <w:rPr>
                <w:spacing w:val="-12"/>
                <w:sz w:val="18"/>
              </w:rPr>
              <w:t xml:space="preserve"> </w:t>
            </w:r>
            <w:r w:rsidRPr="00EC20A0">
              <w:rPr>
                <w:sz w:val="18"/>
              </w:rPr>
              <w:t>withheld from employee’s pay. (See footnotes 61</w:t>
            </w:r>
          </w:p>
          <w:p w14:paraId="24D614CA" w14:textId="77777777" w:rsidR="00245300" w:rsidRPr="00EC20A0" w:rsidRDefault="00F17249">
            <w:pPr>
              <w:pStyle w:val="TableParagraph"/>
              <w:spacing w:before="1"/>
              <w:ind w:left="107"/>
              <w:rPr>
                <w:sz w:val="18"/>
              </w:rPr>
            </w:pPr>
            <w:r w:rsidRPr="00EC20A0">
              <w:rPr>
                <w:sz w:val="18"/>
              </w:rPr>
              <w:t>through</w:t>
            </w:r>
            <w:r w:rsidRPr="00EC20A0">
              <w:rPr>
                <w:spacing w:val="-2"/>
                <w:sz w:val="18"/>
              </w:rPr>
              <w:t xml:space="preserve"> </w:t>
            </w:r>
            <w:r w:rsidRPr="00EC20A0">
              <w:rPr>
                <w:sz w:val="18"/>
              </w:rPr>
              <w:t>63</w:t>
            </w:r>
            <w:r w:rsidRPr="00EC20A0">
              <w:rPr>
                <w:spacing w:val="-2"/>
                <w:sz w:val="18"/>
              </w:rPr>
              <w:t xml:space="preserve"> below.)</w:t>
            </w:r>
          </w:p>
        </w:tc>
        <w:tc>
          <w:tcPr>
            <w:tcW w:w="2201" w:type="dxa"/>
            <w:tcBorders>
              <w:left w:val="single" w:sz="4" w:space="0" w:color="000000"/>
              <w:bottom w:val="single" w:sz="4" w:space="0" w:color="000000"/>
              <w:right w:val="single" w:sz="4" w:space="0" w:color="000000"/>
            </w:tcBorders>
          </w:tcPr>
          <w:p w14:paraId="24D614CB" w14:textId="77777777" w:rsidR="00245300" w:rsidRPr="00EC20A0" w:rsidRDefault="00F17249">
            <w:pPr>
              <w:pStyle w:val="TableParagraph"/>
              <w:spacing w:before="143"/>
              <w:ind w:left="106" w:right="153"/>
              <w:rPr>
                <w:sz w:val="18"/>
              </w:rPr>
            </w:pPr>
            <w:r w:rsidRPr="00EC20A0">
              <w:rPr>
                <w:sz w:val="18"/>
              </w:rPr>
              <w:t>[Document</w:t>
            </w:r>
            <w:r w:rsidRPr="00EC20A0">
              <w:rPr>
                <w:spacing w:val="-15"/>
                <w:sz w:val="18"/>
              </w:rPr>
              <w:t xml:space="preserve"> </w:t>
            </w:r>
            <w:r w:rsidRPr="00EC20A0">
              <w:rPr>
                <w:sz w:val="18"/>
              </w:rPr>
              <w:t>the</w:t>
            </w:r>
            <w:r w:rsidRPr="00EC20A0">
              <w:rPr>
                <w:spacing w:val="-12"/>
                <w:sz w:val="18"/>
              </w:rPr>
              <w:t xml:space="preserve"> </w:t>
            </w:r>
            <w:r w:rsidRPr="00EC20A0">
              <w:rPr>
                <w:sz w:val="18"/>
              </w:rPr>
              <w:t>control techniques that the entity</w:t>
            </w:r>
            <w:r w:rsidRPr="00EC20A0">
              <w:rPr>
                <w:spacing w:val="-6"/>
                <w:sz w:val="18"/>
              </w:rPr>
              <w:t xml:space="preserve"> </w:t>
            </w:r>
            <w:r w:rsidRPr="00EC20A0">
              <w:rPr>
                <w:sz w:val="18"/>
              </w:rPr>
              <w:t>used</w:t>
            </w:r>
            <w:r w:rsidRPr="00EC20A0">
              <w:rPr>
                <w:spacing w:val="-7"/>
                <w:sz w:val="18"/>
              </w:rPr>
              <w:t xml:space="preserve"> </w:t>
            </w:r>
            <w:r w:rsidRPr="00EC20A0">
              <w:rPr>
                <w:sz w:val="18"/>
              </w:rPr>
              <w:t>to</w:t>
            </w:r>
            <w:r w:rsidRPr="00EC20A0">
              <w:rPr>
                <w:spacing w:val="-7"/>
                <w:sz w:val="18"/>
              </w:rPr>
              <w:t xml:space="preserve"> </w:t>
            </w:r>
            <w:r w:rsidRPr="00EC20A0">
              <w:rPr>
                <w:sz w:val="18"/>
              </w:rPr>
              <w:t>achieve the objective.]</w:t>
            </w:r>
          </w:p>
        </w:tc>
        <w:tc>
          <w:tcPr>
            <w:tcW w:w="1519" w:type="dxa"/>
            <w:tcBorders>
              <w:left w:val="single" w:sz="4" w:space="0" w:color="000000"/>
              <w:bottom w:val="single" w:sz="4" w:space="0" w:color="000000"/>
              <w:right w:val="single" w:sz="4" w:space="0" w:color="000000"/>
            </w:tcBorders>
          </w:tcPr>
          <w:p w14:paraId="24D614CC" w14:textId="77777777" w:rsidR="00245300" w:rsidRPr="00EC20A0" w:rsidRDefault="00F17249">
            <w:pPr>
              <w:pStyle w:val="TableParagraph"/>
              <w:spacing w:before="143"/>
              <w:ind w:left="107" w:right="334"/>
              <w:rPr>
                <w:sz w:val="18"/>
              </w:rPr>
            </w:pPr>
            <w:r w:rsidRPr="00EC20A0">
              <w:rPr>
                <w:sz w:val="18"/>
              </w:rPr>
              <w:t>[Does</w:t>
            </w:r>
            <w:r w:rsidRPr="00EC20A0">
              <w:rPr>
                <w:spacing w:val="-13"/>
                <w:sz w:val="18"/>
              </w:rPr>
              <w:t xml:space="preserve"> </w:t>
            </w:r>
            <w:r w:rsidRPr="00EC20A0">
              <w:rPr>
                <w:sz w:val="18"/>
              </w:rPr>
              <w:t xml:space="preserve">control depend on </w:t>
            </w:r>
            <w:r w:rsidRPr="00EC20A0">
              <w:rPr>
                <w:spacing w:val="-2"/>
                <w:sz w:val="18"/>
              </w:rPr>
              <w:t>information system processing?]</w:t>
            </w:r>
          </w:p>
        </w:tc>
        <w:tc>
          <w:tcPr>
            <w:tcW w:w="1640" w:type="dxa"/>
            <w:tcBorders>
              <w:left w:val="single" w:sz="4" w:space="0" w:color="000000"/>
              <w:bottom w:val="single" w:sz="4" w:space="0" w:color="000000"/>
              <w:right w:val="single" w:sz="4" w:space="0" w:color="000000"/>
            </w:tcBorders>
          </w:tcPr>
          <w:p w14:paraId="24D614CD" w14:textId="77777777" w:rsidR="00245300" w:rsidRPr="00EC20A0" w:rsidRDefault="00F17249">
            <w:pPr>
              <w:pStyle w:val="TableParagraph"/>
              <w:spacing w:before="143"/>
              <w:ind w:left="107" w:right="99"/>
              <w:rPr>
                <w:sz w:val="18"/>
              </w:rPr>
            </w:pPr>
            <w:r w:rsidRPr="00EC20A0">
              <w:rPr>
                <w:sz w:val="18"/>
              </w:rPr>
              <w:t>[Indicate</w:t>
            </w:r>
            <w:r w:rsidRPr="00EC20A0">
              <w:rPr>
                <w:spacing w:val="-15"/>
                <w:sz w:val="18"/>
              </w:rPr>
              <w:t xml:space="preserve"> </w:t>
            </w:r>
            <w:r w:rsidRPr="00EC20A0">
              <w:rPr>
                <w:sz w:val="18"/>
              </w:rPr>
              <w:t>yes</w:t>
            </w:r>
            <w:r w:rsidRPr="00EC20A0">
              <w:rPr>
                <w:spacing w:val="-12"/>
                <w:sz w:val="18"/>
              </w:rPr>
              <w:t xml:space="preserve"> </w:t>
            </w:r>
            <w:r w:rsidRPr="00EC20A0">
              <w:rPr>
                <w:sz w:val="18"/>
              </w:rPr>
              <w:t xml:space="preserve">or no; include reference to </w:t>
            </w:r>
            <w:r w:rsidRPr="00EC20A0">
              <w:rPr>
                <w:spacing w:val="-2"/>
                <w:sz w:val="18"/>
              </w:rPr>
              <w:t>supporting documents.]</w:t>
            </w:r>
          </w:p>
        </w:tc>
        <w:tc>
          <w:tcPr>
            <w:tcW w:w="2172" w:type="dxa"/>
            <w:tcBorders>
              <w:left w:val="single" w:sz="4" w:space="0" w:color="000000"/>
              <w:bottom w:val="single" w:sz="4" w:space="0" w:color="000000"/>
            </w:tcBorders>
          </w:tcPr>
          <w:p w14:paraId="24D614CE" w14:textId="77777777" w:rsidR="00245300" w:rsidRPr="00EC20A0" w:rsidRDefault="00F17249">
            <w:pPr>
              <w:pStyle w:val="TableParagraph"/>
              <w:spacing w:before="143"/>
              <w:ind w:left="107" w:right="166"/>
              <w:rPr>
                <w:sz w:val="18"/>
              </w:rPr>
            </w:pPr>
            <w:r w:rsidRPr="00EC20A0">
              <w:rPr>
                <w:sz w:val="18"/>
              </w:rPr>
              <w:t>[Indicate yes or no; include reference to supporting</w:t>
            </w:r>
            <w:r w:rsidRPr="00EC20A0">
              <w:rPr>
                <w:spacing w:val="-13"/>
                <w:sz w:val="18"/>
              </w:rPr>
              <w:t xml:space="preserve"> </w:t>
            </w:r>
            <w:r w:rsidRPr="00EC20A0">
              <w:rPr>
                <w:sz w:val="18"/>
              </w:rPr>
              <w:t>documents.]</w:t>
            </w:r>
          </w:p>
          <w:p w14:paraId="24D614CF" w14:textId="77777777" w:rsidR="00245300" w:rsidRPr="00EC20A0" w:rsidRDefault="00F17249">
            <w:pPr>
              <w:pStyle w:val="TableParagraph"/>
              <w:spacing w:before="144"/>
              <w:ind w:left="107"/>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3"/>
                <w:sz w:val="18"/>
              </w:rPr>
              <w:t xml:space="preserve"> </w:t>
            </w:r>
            <w:r w:rsidRPr="00EC20A0">
              <w:rPr>
                <w:spacing w:val="-5"/>
                <w:sz w:val="18"/>
              </w:rPr>
              <w:t>811</w:t>
            </w:r>
          </w:p>
          <w:p w14:paraId="24D614D0" w14:textId="77777777" w:rsidR="00245300" w:rsidRPr="00EC20A0" w:rsidRDefault="00F17249">
            <w:pPr>
              <w:pStyle w:val="TableParagraph"/>
              <w:spacing w:before="1"/>
              <w:ind w:left="107"/>
              <w:rPr>
                <w:sz w:val="18"/>
              </w:rPr>
            </w:pPr>
            <w:r w:rsidRPr="00EC20A0">
              <w:rPr>
                <w:sz w:val="18"/>
              </w:rPr>
              <w:t>step</w:t>
            </w:r>
            <w:r w:rsidRPr="00EC20A0">
              <w:rPr>
                <w:spacing w:val="-2"/>
                <w:sz w:val="18"/>
              </w:rPr>
              <w:t xml:space="preserve"> </w:t>
            </w:r>
            <w:r w:rsidRPr="00EC20A0">
              <w:rPr>
                <w:sz w:val="18"/>
              </w:rPr>
              <w:t>4</w:t>
            </w:r>
            <w:r w:rsidRPr="00EC20A0">
              <w:rPr>
                <w:spacing w:val="-1"/>
                <w:sz w:val="18"/>
              </w:rPr>
              <w:t xml:space="preserve"> </w:t>
            </w:r>
            <w:r w:rsidRPr="00EC20A0">
              <w:rPr>
                <w:spacing w:val="-4"/>
                <w:sz w:val="18"/>
              </w:rPr>
              <w:t>(b).</w:t>
            </w:r>
          </w:p>
        </w:tc>
      </w:tr>
    </w:tbl>
    <w:p w14:paraId="24D614D2" w14:textId="77777777" w:rsidR="00245300" w:rsidRPr="00EC20A0" w:rsidRDefault="00F17249">
      <w:pPr>
        <w:pStyle w:val="BodyText"/>
        <w:spacing w:before="56"/>
        <w:rPr>
          <w:sz w:val="20"/>
        </w:rPr>
      </w:pPr>
      <w:r w:rsidRPr="00EC20A0">
        <w:rPr>
          <w:noProof/>
        </w:rPr>
        <mc:AlternateContent>
          <mc:Choice Requires="wps">
            <w:drawing>
              <wp:anchor distT="0" distB="0" distL="0" distR="0" simplePos="0" relativeHeight="487696896" behindDoc="1" locked="0" layoutInCell="1" allowOverlap="1" wp14:anchorId="24D62C67" wp14:editId="24D62C68">
                <wp:simplePos x="0" y="0"/>
                <wp:positionH relativeFrom="page">
                  <wp:posOffset>685800</wp:posOffset>
                </wp:positionH>
                <wp:positionV relativeFrom="paragraph">
                  <wp:posOffset>196989</wp:posOffset>
                </wp:positionV>
                <wp:extent cx="1828800" cy="6985"/>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B29BD" id="Graphic 723" o:spid="_x0000_s1026" style="position:absolute;margin-left:54pt;margin-top:15.5pt;width:2in;height:.55pt;z-index:-156195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" path="m1828800,l,,,6857r1828800,l1828800,xe" fillcolor="black" stroked="f">
                <v:path arrowok="t"/>
                <w10:wrap type="topAndBottom" anchorx="page"/>
              </v:shape>
            </w:pict>
          </mc:Fallback>
        </mc:AlternateContent>
      </w:r>
    </w:p>
    <w:p w14:paraId="24D614D3" w14:textId="77777777" w:rsidR="00245300" w:rsidRPr="00EC20A0" w:rsidRDefault="00245300">
      <w:pPr>
        <w:pStyle w:val="BodyText"/>
        <w:spacing w:before="10"/>
        <w:rPr>
          <w:sz w:val="18"/>
        </w:rPr>
      </w:pPr>
    </w:p>
    <w:p w14:paraId="24D614D4" w14:textId="77777777" w:rsidR="00245300" w:rsidRPr="00EC20A0" w:rsidRDefault="00F17249">
      <w:pPr>
        <w:ind w:left="120"/>
        <w:rPr>
          <w:sz w:val="18"/>
        </w:rPr>
      </w:pPr>
      <w:r w:rsidRPr="00EC20A0">
        <w:rPr>
          <w:position w:val="7"/>
          <w:sz w:val="14"/>
        </w:rPr>
        <w:t>62</w:t>
      </w:r>
      <w:r w:rsidRPr="00EC20A0">
        <w:rPr>
          <w:sz w:val="18"/>
        </w:rPr>
        <w:t>For</w:t>
      </w:r>
      <w:r w:rsidRPr="00EC20A0">
        <w:rPr>
          <w:spacing w:val="-5"/>
          <w:sz w:val="18"/>
        </w:rPr>
        <w:t xml:space="preserve"> </w:t>
      </w:r>
      <w:r w:rsidRPr="00EC20A0">
        <w:rPr>
          <w:sz w:val="18"/>
        </w:rPr>
        <w:t>who</w:t>
      </w:r>
      <w:r w:rsidRPr="00EC20A0">
        <w:rPr>
          <w:spacing w:val="-2"/>
          <w:sz w:val="18"/>
        </w:rPr>
        <w:t xml:space="preserve"> </w:t>
      </w:r>
      <w:r w:rsidRPr="00EC20A0">
        <w:rPr>
          <w:sz w:val="18"/>
        </w:rPr>
        <w:t>qualifies</w:t>
      </w:r>
      <w:r w:rsidRPr="00EC20A0">
        <w:rPr>
          <w:spacing w:val="-2"/>
          <w:sz w:val="18"/>
        </w:rPr>
        <w:t xml:space="preserve"> </w:t>
      </w:r>
      <w:r w:rsidRPr="00EC20A0">
        <w:rPr>
          <w:sz w:val="18"/>
        </w:rPr>
        <w:t>as</w:t>
      </w:r>
      <w:r w:rsidRPr="00EC20A0">
        <w:rPr>
          <w:spacing w:val="-3"/>
          <w:sz w:val="18"/>
        </w:rPr>
        <w:t xml:space="preserve"> </w:t>
      </w:r>
      <w:r w:rsidRPr="00EC20A0">
        <w:rPr>
          <w:sz w:val="18"/>
        </w:rPr>
        <w:t>an</w:t>
      </w:r>
      <w:r w:rsidRPr="00EC20A0">
        <w:rPr>
          <w:spacing w:val="-2"/>
          <w:sz w:val="18"/>
        </w:rPr>
        <w:t xml:space="preserve"> </w:t>
      </w:r>
      <w:r w:rsidRPr="00EC20A0">
        <w:rPr>
          <w:sz w:val="18"/>
        </w:rPr>
        <w:t>employee</w:t>
      </w:r>
      <w:r w:rsidRPr="00EC20A0">
        <w:rPr>
          <w:spacing w:val="-3"/>
          <w:sz w:val="18"/>
        </w:rPr>
        <w:t xml:space="preserve"> </w:t>
      </w:r>
      <w:r w:rsidRPr="00EC20A0">
        <w:rPr>
          <w:sz w:val="18"/>
        </w:rPr>
        <w:t>for</w:t>
      </w:r>
      <w:r w:rsidRPr="00EC20A0">
        <w:rPr>
          <w:spacing w:val="-2"/>
          <w:sz w:val="18"/>
        </w:rPr>
        <w:t xml:space="preserve"> </w:t>
      </w:r>
      <w:r w:rsidRPr="00EC20A0">
        <w:rPr>
          <w:sz w:val="18"/>
        </w:rPr>
        <w:t>purposes</w:t>
      </w:r>
      <w:r w:rsidRPr="00EC20A0">
        <w:rPr>
          <w:spacing w:val="-2"/>
          <w:sz w:val="18"/>
        </w:rPr>
        <w:t xml:space="preserve"> </w:t>
      </w:r>
      <w:r w:rsidRPr="00EC20A0">
        <w:rPr>
          <w:sz w:val="18"/>
        </w:rPr>
        <w:t>of</w:t>
      </w:r>
      <w:r w:rsidRPr="00EC20A0">
        <w:rPr>
          <w:spacing w:val="-2"/>
          <w:sz w:val="18"/>
        </w:rPr>
        <w:t xml:space="preserve"> </w:t>
      </w:r>
      <w:r w:rsidRPr="00EC20A0">
        <w:rPr>
          <w:sz w:val="18"/>
        </w:rPr>
        <w:t>FERSA,</w:t>
      </w:r>
      <w:r w:rsidRPr="00EC20A0">
        <w:rPr>
          <w:spacing w:val="-3"/>
          <w:sz w:val="18"/>
        </w:rPr>
        <w:t xml:space="preserve"> </w:t>
      </w:r>
      <w:r w:rsidRPr="00EC20A0">
        <w:rPr>
          <w:sz w:val="18"/>
        </w:rPr>
        <w:t>see</w:t>
      </w:r>
      <w:r w:rsidRPr="00EC20A0">
        <w:rPr>
          <w:spacing w:val="-2"/>
          <w:sz w:val="18"/>
        </w:rPr>
        <w:t xml:space="preserve"> </w:t>
      </w:r>
      <w:r w:rsidRPr="00EC20A0">
        <w:rPr>
          <w:sz w:val="18"/>
        </w:rPr>
        <w:t>5</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8401(11).</w:t>
      </w:r>
    </w:p>
    <w:p w14:paraId="24D614D5" w14:textId="77777777" w:rsidR="00245300" w:rsidRPr="00EC20A0" w:rsidRDefault="00F17249">
      <w:pPr>
        <w:spacing w:before="133" w:line="249" w:lineRule="auto"/>
        <w:ind w:left="119"/>
        <w:rPr>
          <w:sz w:val="18"/>
        </w:rPr>
      </w:pPr>
      <w:r w:rsidRPr="00EC20A0">
        <w:rPr>
          <w:position w:val="7"/>
          <w:sz w:val="14"/>
        </w:rPr>
        <w:t>63</w:t>
      </w:r>
      <w:r w:rsidRPr="00EC20A0">
        <w:rPr>
          <w:sz w:val="18"/>
        </w:rPr>
        <w:t>Employees</w:t>
      </w:r>
      <w:r w:rsidRPr="00EC20A0">
        <w:rPr>
          <w:spacing w:val="-2"/>
          <w:sz w:val="18"/>
        </w:rPr>
        <w:t xml:space="preserve"> </w:t>
      </w:r>
      <w:r w:rsidRPr="00EC20A0">
        <w:rPr>
          <w:sz w:val="18"/>
        </w:rPr>
        <w:t>may</w:t>
      </w:r>
      <w:r w:rsidRPr="00EC20A0">
        <w:rPr>
          <w:spacing w:val="-2"/>
          <w:sz w:val="18"/>
        </w:rPr>
        <w:t xml:space="preserve"> </w:t>
      </w:r>
      <w:r w:rsidRPr="00EC20A0">
        <w:rPr>
          <w:sz w:val="18"/>
        </w:rPr>
        <w:t>be</w:t>
      </w:r>
      <w:r w:rsidRPr="00EC20A0">
        <w:rPr>
          <w:spacing w:val="-3"/>
          <w:sz w:val="18"/>
        </w:rPr>
        <w:t xml:space="preserve"> </w:t>
      </w:r>
      <w:r w:rsidRPr="00EC20A0">
        <w:rPr>
          <w:sz w:val="18"/>
        </w:rPr>
        <w:t>covered</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Civil</w:t>
      </w:r>
      <w:r w:rsidRPr="00EC20A0">
        <w:rPr>
          <w:spacing w:val="-2"/>
          <w:sz w:val="18"/>
        </w:rPr>
        <w:t xml:space="preserve"> </w:t>
      </w:r>
      <w:r w:rsidRPr="00EC20A0">
        <w:rPr>
          <w:sz w:val="18"/>
        </w:rPr>
        <w:t>Service</w:t>
      </w:r>
      <w:r w:rsidRPr="00EC20A0">
        <w:rPr>
          <w:spacing w:val="-3"/>
          <w:sz w:val="18"/>
        </w:rPr>
        <w:t xml:space="preserve"> </w:t>
      </w:r>
      <w:r w:rsidRPr="00EC20A0">
        <w:rPr>
          <w:sz w:val="18"/>
        </w:rPr>
        <w:t>Retirement</w:t>
      </w:r>
      <w:r w:rsidRPr="00EC20A0">
        <w:rPr>
          <w:spacing w:val="-1"/>
          <w:sz w:val="18"/>
        </w:rPr>
        <w:t xml:space="preserve"> </w:t>
      </w:r>
      <w:r w:rsidRPr="00EC20A0">
        <w:rPr>
          <w:sz w:val="18"/>
        </w:rPr>
        <w:t>Act</w:t>
      </w:r>
      <w:r w:rsidRPr="00EC20A0">
        <w:rPr>
          <w:spacing w:val="-2"/>
          <w:sz w:val="18"/>
        </w:rPr>
        <w:t xml:space="preserve"> </w:t>
      </w:r>
      <w:r w:rsidRPr="00EC20A0">
        <w:rPr>
          <w:sz w:val="18"/>
        </w:rPr>
        <w:t>(CSRA)</w:t>
      </w:r>
      <w:r w:rsidRPr="00EC20A0">
        <w:rPr>
          <w:spacing w:val="-2"/>
          <w:sz w:val="18"/>
        </w:rPr>
        <w:t xml:space="preserve"> </w:t>
      </w:r>
      <w:r w:rsidRPr="00EC20A0">
        <w:rPr>
          <w:sz w:val="18"/>
        </w:rPr>
        <w:t>or</w:t>
      </w:r>
      <w:r w:rsidRPr="00EC20A0">
        <w:rPr>
          <w:spacing w:val="-2"/>
          <w:sz w:val="18"/>
        </w:rPr>
        <w:t xml:space="preserve"> </w:t>
      </w:r>
      <w:r w:rsidRPr="00EC20A0">
        <w:rPr>
          <w:sz w:val="18"/>
        </w:rPr>
        <w:t>the</w:t>
      </w:r>
      <w:r w:rsidRPr="00EC20A0">
        <w:rPr>
          <w:spacing w:val="-3"/>
          <w:sz w:val="18"/>
        </w:rPr>
        <w:t xml:space="preserve"> </w:t>
      </w:r>
      <w:r w:rsidRPr="00EC20A0">
        <w:rPr>
          <w:sz w:val="18"/>
        </w:rPr>
        <w:t>Federal</w:t>
      </w:r>
      <w:r w:rsidRPr="00EC20A0">
        <w:rPr>
          <w:spacing w:val="-2"/>
          <w:sz w:val="18"/>
        </w:rPr>
        <w:t xml:space="preserve"> </w:t>
      </w:r>
      <w:r w:rsidRPr="00EC20A0">
        <w:rPr>
          <w:sz w:val="18"/>
        </w:rPr>
        <w:t>Employees’</w:t>
      </w:r>
      <w:r w:rsidRPr="00EC20A0">
        <w:rPr>
          <w:spacing w:val="-2"/>
          <w:sz w:val="18"/>
        </w:rPr>
        <w:t xml:space="preserve"> </w:t>
      </w:r>
      <w:r w:rsidRPr="00EC20A0">
        <w:rPr>
          <w:sz w:val="18"/>
        </w:rPr>
        <w:t>Retirement</w:t>
      </w:r>
      <w:r w:rsidRPr="00EC20A0">
        <w:rPr>
          <w:spacing w:val="-2"/>
          <w:sz w:val="18"/>
        </w:rPr>
        <w:t xml:space="preserve"> </w:t>
      </w:r>
      <w:r w:rsidRPr="00EC20A0">
        <w:rPr>
          <w:sz w:val="18"/>
        </w:rPr>
        <w:t>System</w:t>
      </w:r>
      <w:r w:rsidRPr="00EC20A0">
        <w:rPr>
          <w:spacing w:val="-1"/>
          <w:sz w:val="18"/>
        </w:rPr>
        <w:t xml:space="preserve"> </w:t>
      </w:r>
      <w:r w:rsidRPr="00EC20A0">
        <w:rPr>
          <w:sz w:val="18"/>
        </w:rPr>
        <w:t>Act</w:t>
      </w:r>
      <w:r w:rsidRPr="00EC20A0">
        <w:rPr>
          <w:spacing w:val="-2"/>
          <w:sz w:val="18"/>
        </w:rPr>
        <w:t xml:space="preserve"> </w:t>
      </w:r>
      <w:r w:rsidRPr="00EC20A0">
        <w:rPr>
          <w:sz w:val="18"/>
        </w:rPr>
        <w:t>(FERSA),</w:t>
      </w:r>
      <w:r w:rsidRPr="00EC20A0">
        <w:rPr>
          <w:spacing w:val="-4"/>
          <w:sz w:val="18"/>
        </w:rPr>
        <w:t xml:space="preserve"> </w:t>
      </w:r>
      <w:r w:rsidRPr="00EC20A0">
        <w:rPr>
          <w:sz w:val="18"/>
        </w:rPr>
        <w:t>generally</w:t>
      </w:r>
      <w:r w:rsidRPr="00EC20A0">
        <w:rPr>
          <w:spacing w:val="-2"/>
          <w:sz w:val="18"/>
        </w:rPr>
        <w:t xml:space="preserve"> </w:t>
      </w:r>
      <w:r w:rsidRPr="00EC20A0">
        <w:rPr>
          <w:sz w:val="18"/>
        </w:rPr>
        <w:t>depending</w:t>
      </w:r>
      <w:r w:rsidRPr="00EC20A0">
        <w:rPr>
          <w:spacing w:val="-3"/>
          <w:sz w:val="18"/>
        </w:rPr>
        <w:t xml:space="preserve"> </w:t>
      </w:r>
      <w:r w:rsidRPr="00EC20A0">
        <w:rPr>
          <w:sz w:val="18"/>
        </w:rPr>
        <w:t>on</w:t>
      </w:r>
      <w:r w:rsidRPr="00EC20A0">
        <w:rPr>
          <w:spacing w:val="-3"/>
          <w:sz w:val="18"/>
        </w:rPr>
        <w:t xml:space="preserve"> </w:t>
      </w:r>
      <w:r w:rsidRPr="00EC20A0">
        <w:rPr>
          <w:sz w:val="18"/>
        </w:rPr>
        <w:t xml:space="preserve">their employment dates. </w:t>
      </w:r>
      <w:r w:rsidRPr="00EC20A0">
        <w:rPr>
          <w:sz w:val="18"/>
        </w:rPr>
        <w:t>Generally, employees hired after January 1, 1984, are subject to FERSA.</w:t>
      </w:r>
    </w:p>
    <w:p w14:paraId="24D614D6" w14:textId="77777777" w:rsidR="00245300" w:rsidRPr="00EC20A0" w:rsidRDefault="00F17249">
      <w:pPr>
        <w:spacing w:before="118" w:line="244" w:lineRule="auto"/>
        <w:ind w:left="120" w:right="183" w:hanging="1"/>
        <w:jc w:val="both"/>
        <w:rPr>
          <w:sz w:val="18"/>
        </w:rPr>
      </w:pPr>
      <w:r w:rsidRPr="00EC20A0">
        <w:rPr>
          <w:position w:val="7"/>
          <w:sz w:val="14"/>
        </w:rPr>
        <w:t>64</w:t>
      </w:r>
      <w:r w:rsidRPr="00EC20A0">
        <w:rPr>
          <w:sz w:val="18"/>
        </w:rPr>
        <w:t>For</w:t>
      </w:r>
      <w:r w:rsidRPr="00EC20A0">
        <w:rPr>
          <w:spacing w:val="-1"/>
          <w:sz w:val="18"/>
        </w:rPr>
        <w:t xml:space="preserve"> </w:t>
      </w:r>
      <w:r w:rsidRPr="00EC20A0">
        <w:rPr>
          <w:sz w:val="18"/>
        </w:rPr>
        <w:t>most</w:t>
      </w:r>
      <w:r w:rsidRPr="00EC20A0">
        <w:rPr>
          <w:spacing w:val="-1"/>
          <w:sz w:val="18"/>
        </w:rPr>
        <w:t xml:space="preserve"> </w:t>
      </w:r>
      <w:r w:rsidRPr="00EC20A0">
        <w:rPr>
          <w:sz w:val="18"/>
        </w:rPr>
        <w:t>employees,</w:t>
      </w:r>
      <w:r w:rsidRPr="00EC20A0">
        <w:rPr>
          <w:spacing w:val="-1"/>
          <w:sz w:val="18"/>
        </w:rPr>
        <w:t xml:space="preserve"> </w:t>
      </w:r>
      <w:r w:rsidRPr="00EC20A0">
        <w:rPr>
          <w:sz w:val="18"/>
        </w:rPr>
        <w:t>the</w:t>
      </w:r>
      <w:r w:rsidRPr="00EC20A0">
        <w:rPr>
          <w:spacing w:val="-2"/>
          <w:sz w:val="18"/>
        </w:rPr>
        <w:t xml:space="preserve"> </w:t>
      </w:r>
      <w:r w:rsidRPr="00EC20A0">
        <w:rPr>
          <w:sz w:val="18"/>
        </w:rPr>
        <w:t>percentage</w:t>
      </w:r>
      <w:r w:rsidRPr="00EC20A0">
        <w:rPr>
          <w:spacing w:val="-2"/>
          <w:sz w:val="18"/>
        </w:rPr>
        <w:t xml:space="preserve"> </w:t>
      </w:r>
      <w:r w:rsidRPr="00EC20A0">
        <w:rPr>
          <w:sz w:val="18"/>
        </w:rPr>
        <w:t>to</w:t>
      </w:r>
      <w:r w:rsidRPr="00EC20A0">
        <w:rPr>
          <w:spacing w:val="-2"/>
          <w:sz w:val="18"/>
        </w:rPr>
        <w:t xml:space="preserve"> </w:t>
      </w:r>
      <w:r w:rsidRPr="00EC20A0">
        <w:rPr>
          <w:sz w:val="18"/>
        </w:rPr>
        <w:t>be withheld</w:t>
      </w:r>
      <w:r w:rsidRPr="00EC20A0">
        <w:rPr>
          <w:spacing w:val="-2"/>
          <w:sz w:val="18"/>
        </w:rPr>
        <w:t xml:space="preserve"> </w:t>
      </w:r>
      <w:r w:rsidRPr="00EC20A0">
        <w:rPr>
          <w:sz w:val="18"/>
        </w:rPr>
        <w:t>is</w:t>
      </w:r>
      <w:r w:rsidRPr="00EC20A0">
        <w:rPr>
          <w:spacing w:val="-1"/>
          <w:sz w:val="18"/>
        </w:rPr>
        <w:t xml:space="preserve"> </w:t>
      </w:r>
      <w:r w:rsidRPr="00EC20A0">
        <w:rPr>
          <w:sz w:val="18"/>
        </w:rPr>
        <w:t>0.8 percent</w:t>
      </w:r>
      <w:r w:rsidRPr="00EC20A0">
        <w:rPr>
          <w:spacing w:val="-1"/>
          <w:sz w:val="18"/>
        </w:rPr>
        <w:t xml:space="preserve"> </w:t>
      </w:r>
      <w:r w:rsidRPr="00EC20A0">
        <w:rPr>
          <w:sz w:val="18"/>
        </w:rPr>
        <w:t>(7</w:t>
      </w:r>
      <w:r w:rsidRPr="00EC20A0">
        <w:rPr>
          <w:spacing w:val="-2"/>
          <w:sz w:val="18"/>
        </w:rPr>
        <w:t xml:space="preserve"> </w:t>
      </w:r>
      <w:r w:rsidRPr="00EC20A0">
        <w:rPr>
          <w:sz w:val="18"/>
        </w:rPr>
        <w:t>percent</w:t>
      </w:r>
      <w:r w:rsidRPr="00EC20A0">
        <w:rPr>
          <w:spacing w:val="-1"/>
          <w:sz w:val="18"/>
        </w:rPr>
        <w:t xml:space="preserve"> </w:t>
      </w:r>
      <w:r w:rsidRPr="00EC20A0">
        <w:rPr>
          <w:sz w:val="18"/>
        </w:rPr>
        <w:t>minus</w:t>
      </w:r>
      <w:r w:rsidRPr="00EC20A0">
        <w:rPr>
          <w:spacing w:val="-1"/>
          <w:sz w:val="18"/>
        </w:rPr>
        <w:t xml:space="preserve"> </w:t>
      </w:r>
      <w:r w:rsidRPr="00EC20A0">
        <w:rPr>
          <w:sz w:val="18"/>
        </w:rPr>
        <w:t>the Social</w:t>
      </w:r>
      <w:r w:rsidRPr="00EC20A0">
        <w:rPr>
          <w:spacing w:val="-1"/>
          <w:sz w:val="18"/>
        </w:rPr>
        <w:t xml:space="preserve"> </w:t>
      </w:r>
      <w:r w:rsidRPr="00EC20A0">
        <w:rPr>
          <w:sz w:val="18"/>
        </w:rPr>
        <w:t>Security tax</w:t>
      </w:r>
      <w:r w:rsidRPr="00EC20A0">
        <w:rPr>
          <w:spacing w:val="-1"/>
          <w:sz w:val="18"/>
        </w:rPr>
        <w:t xml:space="preserve"> </w:t>
      </w:r>
      <w:r w:rsidRPr="00EC20A0">
        <w:rPr>
          <w:sz w:val="18"/>
        </w:rPr>
        <w:t>rate</w:t>
      </w:r>
      <w:r w:rsidRPr="00EC20A0">
        <w:rPr>
          <w:spacing w:val="-2"/>
          <w:sz w:val="18"/>
        </w:rPr>
        <w:t xml:space="preserve"> </w:t>
      </w:r>
      <w:r w:rsidRPr="00EC20A0">
        <w:rPr>
          <w:sz w:val="18"/>
        </w:rPr>
        <w:t>imposed</w:t>
      </w:r>
      <w:r w:rsidRPr="00EC20A0">
        <w:rPr>
          <w:spacing w:val="-1"/>
          <w:sz w:val="18"/>
        </w:rPr>
        <w:t xml:space="preserve"> </w:t>
      </w:r>
      <w:r w:rsidRPr="00EC20A0">
        <w:rPr>
          <w:sz w:val="18"/>
        </w:rPr>
        <w:t>by</w:t>
      </w:r>
      <w:r w:rsidRPr="00EC20A0">
        <w:rPr>
          <w:spacing w:val="-1"/>
          <w:sz w:val="18"/>
        </w:rPr>
        <w:t xml:space="preserve"> </w:t>
      </w:r>
      <w:r w:rsidRPr="00EC20A0">
        <w:rPr>
          <w:sz w:val="18"/>
        </w:rPr>
        <w:t>the</w:t>
      </w:r>
      <w:r w:rsidRPr="00EC20A0">
        <w:rPr>
          <w:spacing w:val="-2"/>
          <w:sz w:val="18"/>
        </w:rPr>
        <w:t xml:space="preserve"> </w:t>
      </w:r>
      <w:r w:rsidRPr="00EC20A0">
        <w:rPr>
          <w:sz w:val="18"/>
        </w:rPr>
        <w:t>Internal</w:t>
      </w:r>
      <w:r w:rsidRPr="00EC20A0">
        <w:rPr>
          <w:spacing w:val="-1"/>
          <w:sz w:val="18"/>
        </w:rPr>
        <w:t xml:space="preserve"> </w:t>
      </w:r>
      <w:r w:rsidRPr="00EC20A0">
        <w:rPr>
          <w:sz w:val="18"/>
        </w:rPr>
        <w:t>Revenue</w:t>
      </w:r>
      <w:r w:rsidRPr="00EC20A0">
        <w:rPr>
          <w:spacing w:val="-2"/>
          <w:sz w:val="18"/>
        </w:rPr>
        <w:t xml:space="preserve"> </w:t>
      </w:r>
      <w:r w:rsidRPr="00EC20A0">
        <w:rPr>
          <w:sz w:val="18"/>
        </w:rPr>
        <w:t>Code,</w:t>
      </w:r>
      <w:r w:rsidRPr="00EC20A0">
        <w:rPr>
          <w:spacing w:val="-1"/>
          <w:sz w:val="18"/>
        </w:rPr>
        <w:t xml:space="preserve"> </w:t>
      </w:r>
      <w:r w:rsidRPr="00EC20A0">
        <w:rPr>
          <w:sz w:val="18"/>
        </w:rPr>
        <w:t>26</w:t>
      </w:r>
      <w:r w:rsidRPr="00EC20A0">
        <w:rPr>
          <w:spacing w:val="-2"/>
          <w:sz w:val="18"/>
        </w:rPr>
        <w:t xml:space="preserve"> </w:t>
      </w:r>
      <w:r w:rsidRPr="00EC20A0">
        <w:rPr>
          <w:sz w:val="18"/>
        </w:rPr>
        <w:t>U.S.C. § 3101(a)).</w:t>
      </w:r>
      <w:r w:rsidRPr="00EC20A0">
        <w:rPr>
          <w:spacing w:val="-2"/>
          <w:sz w:val="18"/>
        </w:rPr>
        <w:t xml:space="preserve"> </w:t>
      </w:r>
      <w:r w:rsidRPr="00EC20A0">
        <w:rPr>
          <w:sz w:val="18"/>
        </w:rPr>
        <w:t>For</w:t>
      </w:r>
      <w:r w:rsidRPr="00EC20A0">
        <w:rPr>
          <w:spacing w:val="-2"/>
          <w:sz w:val="18"/>
        </w:rPr>
        <w:t xml:space="preserve"> </w:t>
      </w:r>
      <w:r w:rsidRPr="00EC20A0">
        <w:rPr>
          <w:sz w:val="18"/>
        </w:rPr>
        <w:t>congressional</w:t>
      </w:r>
      <w:r w:rsidRPr="00EC20A0">
        <w:rPr>
          <w:spacing w:val="-2"/>
          <w:sz w:val="18"/>
        </w:rPr>
        <w:t xml:space="preserve"> </w:t>
      </w:r>
      <w:r w:rsidRPr="00EC20A0">
        <w:rPr>
          <w:sz w:val="18"/>
        </w:rPr>
        <w:t>employees;</w:t>
      </w:r>
      <w:r w:rsidRPr="00EC20A0">
        <w:rPr>
          <w:spacing w:val="-2"/>
          <w:sz w:val="18"/>
        </w:rPr>
        <w:t xml:space="preserve"> </w:t>
      </w:r>
      <w:r w:rsidRPr="00EC20A0">
        <w:rPr>
          <w:sz w:val="18"/>
        </w:rPr>
        <w:t>Members</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Congress;</w:t>
      </w:r>
      <w:r w:rsidRPr="00EC20A0">
        <w:rPr>
          <w:spacing w:val="-2"/>
          <w:sz w:val="18"/>
        </w:rPr>
        <w:t xml:space="preserve"> </w:t>
      </w:r>
      <w:r w:rsidRPr="00EC20A0">
        <w:rPr>
          <w:sz w:val="18"/>
        </w:rPr>
        <w:t>and</w:t>
      </w:r>
      <w:r w:rsidRPr="00EC20A0">
        <w:rPr>
          <w:spacing w:val="-3"/>
          <w:sz w:val="18"/>
        </w:rPr>
        <w:t xml:space="preserve"> </w:t>
      </w:r>
      <w:r w:rsidRPr="00EC20A0">
        <w:rPr>
          <w:sz w:val="18"/>
        </w:rPr>
        <w:t>law</w:t>
      </w:r>
      <w:r w:rsidRPr="00EC20A0">
        <w:rPr>
          <w:spacing w:val="-2"/>
          <w:sz w:val="18"/>
        </w:rPr>
        <w:t xml:space="preserve"> </w:t>
      </w:r>
      <w:r w:rsidRPr="00EC20A0">
        <w:rPr>
          <w:sz w:val="18"/>
        </w:rPr>
        <w:t>enforcement</w:t>
      </w:r>
      <w:r w:rsidRPr="00EC20A0">
        <w:rPr>
          <w:spacing w:val="-2"/>
          <w:sz w:val="18"/>
        </w:rPr>
        <w:t xml:space="preserve"> </w:t>
      </w:r>
      <w:r w:rsidRPr="00EC20A0">
        <w:rPr>
          <w:sz w:val="18"/>
        </w:rPr>
        <w:t>officers,</w:t>
      </w:r>
      <w:r w:rsidRPr="00EC20A0">
        <w:rPr>
          <w:spacing w:val="-2"/>
          <w:sz w:val="18"/>
        </w:rPr>
        <w:t xml:space="preserve"> </w:t>
      </w:r>
      <w:r w:rsidRPr="00EC20A0">
        <w:rPr>
          <w:sz w:val="18"/>
        </w:rPr>
        <w:t>firefighters,</w:t>
      </w:r>
      <w:r w:rsidRPr="00EC20A0">
        <w:rPr>
          <w:spacing w:val="-2"/>
          <w:sz w:val="18"/>
        </w:rPr>
        <w:t xml:space="preserve"> </w:t>
      </w:r>
      <w:r w:rsidRPr="00EC20A0">
        <w:rPr>
          <w:sz w:val="18"/>
        </w:rPr>
        <w:t>air</w:t>
      </w:r>
      <w:r w:rsidRPr="00EC20A0">
        <w:rPr>
          <w:spacing w:val="-2"/>
          <w:sz w:val="18"/>
        </w:rPr>
        <w:t xml:space="preserve"> </w:t>
      </w:r>
      <w:r w:rsidRPr="00EC20A0">
        <w:rPr>
          <w:sz w:val="18"/>
        </w:rPr>
        <w:t>traffic</w:t>
      </w:r>
      <w:r w:rsidRPr="00EC20A0">
        <w:rPr>
          <w:spacing w:val="-2"/>
          <w:sz w:val="18"/>
        </w:rPr>
        <w:t xml:space="preserve"> </w:t>
      </w:r>
      <w:r w:rsidRPr="00EC20A0">
        <w:rPr>
          <w:sz w:val="18"/>
        </w:rPr>
        <w:t>controllers,</w:t>
      </w:r>
      <w:r w:rsidRPr="00EC20A0">
        <w:rPr>
          <w:spacing w:val="-2"/>
          <w:sz w:val="18"/>
        </w:rPr>
        <w:t xml:space="preserve"> </w:t>
      </w:r>
      <w:r w:rsidRPr="00EC20A0">
        <w:rPr>
          <w:sz w:val="18"/>
        </w:rPr>
        <w:t>and</w:t>
      </w:r>
      <w:r w:rsidRPr="00EC20A0">
        <w:rPr>
          <w:spacing w:val="-3"/>
          <w:sz w:val="18"/>
        </w:rPr>
        <w:t xml:space="preserve"> </w:t>
      </w:r>
      <w:r w:rsidRPr="00EC20A0">
        <w:rPr>
          <w:sz w:val="18"/>
        </w:rPr>
        <w:t>nuclear</w:t>
      </w:r>
      <w:r w:rsidRPr="00EC20A0">
        <w:rPr>
          <w:spacing w:val="-2"/>
          <w:sz w:val="18"/>
        </w:rPr>
        <w:t xml:space="preserve"> </w:t>
      </w:r>
      <w:r w:rsidRPr="00EC20A0">
        <w:rPr>
          <w:sz w:val="18"/>
        </w:rPr>
        <w:t>materials</w:t>
      </w:r>
      <w:r w:rsidRPr="00EC20A0">
        <w:rPr>
          <w:spacing w:val="-2"/>
          <w:sz w:val="18"/>
        </w:rPr>
        <w:t xml:space="preserve"> </w:t>
      </w:r>
      <w:r w:rsidRPr="00EC20A0">
        <w:rPr>
          <w:sz w:val="18"/>
        </w:rPr>
        <w:t>couriers,</w:t>
      </w:r>
      <w:r w:rsidRPr="00EC20A0">
        <w:rPr>
          <w:spacing w:val="-2"/>
          <w:sz w:val="18"/>
        </w:rPr>
        <w:t xml:space="preserve"> </w:t>
      </w:r>
      <w:r w:rsidRPr="00EC20A0">
        <w:rPr>
          <w:sz w:val="18"/>
        </w:rPr>
        <w:t>the withholding rates are higher. See 5 U.S.C. § 8422(a)(1).</w:t>
      </w:r>
    </w:p>
    <w:p w14:paraId="24D614D7" w14:textId="77777777" w:rsidR="00245300" w:rsidRPr="00EC20A0" w:rsidRDefault="00245300">
      <w:pPr>
        <w:spacing w:line="244" w:lineRule="auto"/>
        <w:jc w:val="both"/>
        <w:rPr>
          <w:sz w:val="18"/>
        </w:rPr>
        <w:sectPr w:rsidR="00245300" w:rsidRPr="00EC20A0">
          <w:headerReference w:type="default" r:id="rId131"/>
          <w:footerReference w:type="default" r:id="rId132"/>
          <w:pgSz w:w="15840" w:h="12240" w:orient="landscape"/>
          <w:pgMar w:top="1380" w:right="1400" w:bottom="940" w:left="960" w:header="721" w:footer="742" w:gutter="0"/>
          <w:pgNumType w:start="1"/>
          <w:cols w:space="720"/>
        </w:sectPr>
      </w:pPr>
    </w:p>
    <w:p w14:paraId="24D614D8" w14:textId="77777777" w:rsidR="00245300" w:rsidRPr="00EC20A0" w:rsidRDefault="00245300">
      <w:pPr>
        <w:pStyle w:val="BodyText"/>
        <w:spacing w:before="9"/>
        <w:rPr>
          <w:sz w:val="7"/>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245300" w:rsidRPr="00EC20A0" w14:paraId="24D614DC" w14:textId="77777777">
        <w:trPr>
          <w:trHeight w:val="1574"/>
        </w:trPr>
        <w:tc>
          <w:tcPr>
            <w:tcW w:w="13176" w:type="dxa"/>
            <w:gridSpan w:val="6"/>
          </w:tcPr>
          <w:p w14:paraId="24D614D9" w14:textId="77777777" w:rsidR="00245300" w:rsidRPr="00EC20A0" w:rsidRDefault="00F17249">
            <w:pPr>
              <w:pStyle w:val="TableParagraph"/>
              <w:tabs>
                <w:tab w:val="left" w:pos="9184"/>
              </w:tabs>
              <w:spacing w:before="144"/>
              <w:ind w:right="192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60" w:name="_bookmark145"/>
            <w:bookmarkEnd w:id="260"/>
            <w:r w:rsidRPr="00EC20A0">
              <w:t>Prepared</w:t>
            </w:r>
            <w:r w:rsidRPr="00EC20A0">
              <w:rPr>
                <w:spacing w:val="-11"/>
              </w:rPr>
              <w:t xml:space="preserve"> </w:t>
            </w:r>
            <w:r w:rsidRPr="00EC20A0">
              <w:rPr>
                <w:spacing w:val="-5"/>
              </w:rPr>
              <w:t>by:</w:t>
            </w:r>
          </w:p>
          <w:p w14:paraId="24D614DA" w14:textId="77777777" w:rsidR="00245300" w:rsidRPr="00EC20A0" w:rsidRDefault="00F17249">
            <w:pPr>
              <w:pStyle w:val="TableParagraph"/>
              <w:spacing w:before="12"/>
              <w:ind w:left="1947" w:right="1925"/>
              <w:jc w:val="center"/>
              <w:rPr>
                <w:b/>
                <w:sz w:val="24"/>
              </w:rPr>
            </w:pPr>
            <w:r w:rsidRPr="00EC20A0">
              <w:rPr>
                <w:noProof/>
              </w:rPr>
              <mc:AlternateContent>
                <mc:Choice Requires="wpg">
                  <w:drawing>
                    <wp:anchor distT="0" distB="0" distL="0" distR="0" simplePos="0" relativeHeight="475353600" behindDoc="1" locked="0" layoutInCell="1" allowOverlap="1" wp14:anchorId="24D62C69" wp14:editId="24D62C6A">
                      <wp:simplePos x="0" y="0"/>
                      <wp:positionH relativeFrom="column">
                        <wp:posOffset>6953250</wp:posOffset>
                      </wp:positionH>
                      <wp:positionV relativeFrom="paragraph">
                        <wp:posOffset>91882</wp:posOffset>
                      </wp:positionV>
                      <wp:extent cx="1344930" cy="6350"/>
                      <wp:effectExtent l="0" t="0" r="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25" name="Graphic 725"/>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2543DA" id="Group 724" o:spid="_x0000_s1026" style="position:absolute;margin-left:547.5pt;margin-top:7.25pt;width:105.9pt;height:.5pt;z-index:-2796288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BIJNL1zAgAA8wUAAA4AAAAA&#10;AAAAAAAAAAAALgIAAGRycy9lMm9Eb2MueG1sUEsBAi0AFAAGAAgAAAAhAFfXjnrgAAAACwEAAA8A&#10;AAAAAAAAAAAAAAAAzQQAAGRycy9kb3ducmV2LnhtbFBLBQYAAAAABAAEAPMAAADaBQAAAAA=&#10;">
                      <v:shape id="Graphic 725"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54624" behindDoc="1" locked="0" layoutInCell="1" allowOverlap="1" wp14:anchorId="24D62C6B" wp14:editId="24D62C6C">
                      <wp:simplePos x="0" y="0"/>
                      <wp:positionH relativeFrom="column">
                        <wp:posOffset>6953250</wp:posOffset>
                      </wp:positionH>
                      <wp:positionV relativeFrom="paragraph">
                        <wp:posOffset>441640</wp:posOffset>
                      </wp:positionV>
                      <wp:extent cx="1344930" cy="6350"/>
                      <wp:effectExtent l="0" t="0" r="0" b="0"/>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27" name="Graphic 727"/>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A52CB9" id="Group 726" o:spid="_x0000_s1026" style="position:absolute;margin-left:547.5pt;margin-top:34.75pt;width:105.9pt;height:.5pt;z-index:-27961856;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C/AXZJcwIAAPMFAAAOAAAA&#10;AAAAAAAAAAAAAC4CAABkcnMvZTJvRG9jLnhtbFBLAQItABQABgAIAAAAIQCvzK704QAAAAsBAAAP&#10;AAAAAAAAAAAAAAAAAM0EAABkcnMvZG93bnJldi54bWxQSwUGAAAAAAQABADzAAAA2wUAAAAA&#10;">
                      <v:shape id="Graphic 727"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4DB" w14:textId="77777777" w:rsidR="00245300" w:rsidRPr="00EC20A0" w:rsidRDefault="00F17249">
            <w:pPr>
              <w:pStyle w:val="TableParagraph"/>
              <w:tabs>
                <w:tab w:val="left" w:pos="8878"/>
              </w:tabs>
              <w:spacing w:before="10"/>
              <w:ind w:right="1681"/>
              <w:jc w:val="center"/>
            </w:pPr>
            <w:r w:rsidRPr="00EC20A0">
              <w:rPr>
                <w:noProof/>
              </w:rPr>
              <mc:AlternateContent>
                <mc:Choice Requires="wpg">
                  <w:drawing>
                    <wp:anchor distT="0" distB="0" distL="0" distR="0" simplePos="0" relativeHeight="475353088" behindDoc="1" locked="0" layoutInCell="1" allowOverlap="1" wp14:anchorId="24D62C6D" wp14:editId="24D62C6E">
                      <wp:simplePos x="0" y="0"/>
                      <wp:positionH relativeFrom="column">
                        <wp:posOffset>1260347</wp:posOffset>
                      </wp:positionH>
                      <wp:positionV relativeFrom="paragraph">
                        <wp:posOffset>-91198</wp:posOffset>
                      </wp:positionV>
                      <wp:extent cx="1183005" cy="635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29" name="Graphic 729"/>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3C7554" id="Group 728" o:spid="_x0000_s1026" style="position:absolute;margin-left:99.25pt;margin-top:-7.2pt;width:93.15pt;height:.5pt;z-index:-2796339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">
                      <v:shape id="Graphic 729"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54112" behindDoc="1" locked="0" layoutInCell="1" allowOverlap="1" wp14:anchorId="24D62C6F" wp14:editId="24D62C70">
                      <wp:simplePos x="0" y="0"/>
                      <wp:positionH relativeFrom="column">
                        <wp:posOffset>1260347</wp:posOffset>
                      </wp:positionH>
                      <wp:positionV relativeFrom="paragraph">
                        <wp:posOffset>258559</wp:posOffset>
                      </wp:positionV>
                      <wp:extent cx="1183005" cy="6350"/>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31" name="Graphic 731"/>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EB830F" id="Group 730" o:spid="_x0000_s1026" style="position:absolute;margin-left:99.25pt;margin-top:20.35pt;width:93.15pt;height:.5pt;z-index:-27962368;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B2k4mUdAIAAPMFAAAOAAAA&#10;AAAAAAAAAAAAAC4CAABkcnMvZTJvRG9jLnhtbFBLAQItABQABgAIAAAAIQD6/POT4AAAAAkBAAAP&#10;AAAAAAAAAAAAAAAAAM4EAABkcnMvZG93bnJldi54bWxQSwUGAAAAAAQABADzAAAA2wUAAAAA&#10;">
                      <v:shape id="Graphic 731"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" path="m1182611,l,,,6108r1182611,l1182611,xe" fillcolor="black" stroked="f">
                        <v:path arrowok="t"/>
                      </v:shape>
                    </v:group>
                  </w:pict>
                </mc:Fallback>
              </mc:AlternateContent>
            </w:r>
            <w:r w:rsidRPr="00EC20A0">
              <w:t>Audit</w:t>
            </w:r>
            <w:r w:rsidRPr="00EC20A0">
              <w:rPr>
                <w:spacing w:val="-6"/>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4E7" w14:textId="77777777">
        <w:trPr>
          <w:trHeight w:val="793"/>
        </w:trPr>
        <w:tc>
          <w:tcPr>
            <w:tcW w:w="3868" w:type="dxa"/>
            <w:tcBorders>
              <w:right w:val="single" w:sz="4" w:space="0" w:color="000000"/>
            </w:tcBorders>
          </w:tcPr>
          <w:p w14:paraId="24D614DD" w14:textId="77777777" w:rsidR="00245300" w:rsidRPr="00EC20A0" w:rsidRDefault="00245300">
            <w:pPr>
              <w:pStyle w:val="TableParagraph"/>
              <w:spacing w:before="143"/>
            </w:pPr>
          </w:p>
          <w:p w14:paraId="24D614DE"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76" w:type="dxa"/>
            <w:tcBorders>
              <w:left w:val="single" w:sz="4" w:space="0" w:color="000000"/>
              <w:right w:val="single" w:sz="4" w:space="0" w:color="000000"/>
            </w:tcBorders>
          </w:tcPr>
          <w:p w14:paraId="24D614DF" w14:textId="77777777" w:rsidR="00245300" w:rsidRPr="00EC20A0" w:rsidRDefault="00245300">
            <w:pPr>
              <w:pStyle w:val="TableParagraph"/>
              <w:spacing w:before="143"/>
            </w:pPr>
          </w:p>
          <w:p w14:paraId="24D614E0" w14:textId="77777777" w:rsidR="00245300" w:rsidRPr="00EC20A0" w:rsidRDefault="00F17249">
            <w:pPr>
              <w:pStyle w:val="TableParagraph"/>
              <w:ind w:left="107"/>
            </w:pPr>
            <w:r w:rsidRPr="00EC20A0">
              <w:rPr>
                <w:spacing w:val="-2"/>
              </w:rPr>
              <w:t>Objective</w:t>
            </w:r>
          </w:p>
        </w:tc>
        <w:tc>
          <w:tcPr>
            <w:tcW w:w="2201" w:type="dxa"/>
            <w:tcBorders>
              <w:left w:val="single" w:sz="4" w:space="0" w:color="000000"/>
              <w:right w:val="single" w:sz="4" w:space="0" w:color="000000"/>
            </w:tcBorders>
          </w:tcPr>
          <w:p w14:paraId="24D614E1" w14:textId="77777777" w:rsidR="00245300" w:rsidRPr="00EC20A0" w:rsidRDefault="00245300">
            <w:pPr>
              <w:pStyle w:val="TableParagraph"/>
              <w:spacing w:before="143"/>
            </w:pPr>
          </w:p>
          <w:p w14:paraId="24D614E2" w14:textId="77777777" w:rsidR="00245300" w:rsidRPr="00EC20A0" w:rsidRDefault="00F17249">
            <w:pPr>
              <w:pStyle w:val="TableParagraph"/>
              <w:ind w:left="106"/>
            </w:pPr>
            <w:r w:rsidRPr="00EC20A0">
              <w:t>Control</w:t>
            </w:r>
            <w:r w:rsidRPr="00EC20A0">
              <w:rPr>
                <w:spacing w:val="-9"/>
              </w:rPr>
              <w:t xml:space="preserve"> </w:t>
            </w:r>
            <w:r w:rsidRPr="00EC20A0">
              <w:rPr>
                <w:spacing w:val="-2"/>
              </w:rPr>
              <w:t>Activities</w:t>
            </w:r>
          </w:p>
        </w:tc>
        <w:tc>
          <w:tcPr>
            <w:tcW w:w="1519" w:type="dxa"/>
            <w:tcBorders>
              <w:left w:val="single" w:sz="4" w:space="0" w:color="000000"/>
              <w:right w:val="single" w:sz="4" w:space="0" w:color="000000"/>
            </w:tcBorders>
          </w:tcPr>
          <w:p w14:paraId="24D614E3" w14:textId="77777777" w:rsidR="00245300" w:rsidRPr="00EC20A0" w:rsidRDefault="00245300">
            <w:pPr>
              <w:pStyle w:val="TableParagraph"/>
              <w:spacing w:before="143"/>
            </w:pPr>
          </w:p>
          <w:p w14:paraId="24D614E4"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640" w:type="dxa"/>
            <w:tcBorders>
              <w:left w:val="single" w:sz="4" w:space="0" w:color="000000"/>
              <w:right w:val="single" w:sz="4" w:space="0" w:color="000000"/>
            </w:tcBorders>
          </w:tcPr>
          <w:p w14:paraId="24D614E5" w14:textId="77777777" w:rsidR="00245300" w:rsidRPr="00EC20A0" w:rsidRDefault="00F17249">
            <w:pPr>
              <w:pStyle w:val="TableParagraph"/>
              <w:spacing w:before="143"/>
              <w:ind w:left="107" w:right="99"/>
            </w:pPr>
            <w:r w:rsidRPr="00EC20A0">
              <w:rPr>
                <w:spacing w:val="-2"/>
              </w:rPr>
              <w:t>Effective controls?</w:t>
            </w:r>
          </w:p>
        </w:tc>
        <w:tc>
          <w:tcPr>
            <w:tcW w:w="2172" w:type="dxa"/>
            <w:tcBorders>
              <w:left w:val="single" w:sz="4" w:space="0" w:color="000000"/>
            </w:tcBorders>
          </w:tcPr>
          <w:p w14:paraId="24D614E6"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4F1" w14:textId="77777777">
        <w:trPr>
          <w:trHeight w:val="3268"/>
        </w:trPr>
        <w:tc>
          <w:tcPr>
            <w:tcW w:w="3868" w:type="dxa"/>
            <w:tcBorders>
              <w:bottom w:val="single" w:sz="4" w:space="0" w:color="000000"/>
              <w:right w:val="single" w:sz="4" w:space="0" w:color="000000"/>
            </w:tcBorders>
          </w:tcPr>
          <w:p w14:paraId="24D614E8" w14:textId="77777777" w:rsidR="00245300" w:rsidRPr="00EC20A0" w:rsidRDefault="00F17249">
            <w:pPr>
              <w:pStyle w:val="TableParagraph"/>
              <w:spacing w:before="143"/>
              <w:ind w:left="817" w:hanging="720"/>
              <w:rPr>
                <w:sz w:val="18"/>
              </w:rPr>
            </w:pPr>
            <w:r w:rsidRPr="00EC20A0">
              <w:rPr>
                <w:smallCaps/>
                <w:sz w:val="18"/>
              </w:rPr>
              <w:t>811.02.</w:t>
            </w:r>
            <w:r w:rsidRPr="00EC20A0">
              <w:rPr>
                <w:smallCaps/>
                <w:spacing w:val="-2"/>
                <w:sz w:val="18"/>
              </w:rPr>
              <w:t xml:space="preserve"> </w:t>
            </w:r>
            <w:r w:rsidRPr="00EC20A0">
              <w:rPr>
                <w:smallCaps/>
                <w:spacing w:val="16"/>
                <w:sz w:val="18"/>
              </w:rPr>
              <w:t xml:space="preserve"> </w:t>
            </w:r>
            <w:r w:rsidRPr="00EC20A0">
              <w:rPr>
                <w:smallCaps/>
                <w:sz w:val="18"/>
              </w:rPr>
              <w:t>Entity</w:t>
            </w:r>
            <w:r w:rsidRPr="00EC20A0">
              <w:rPr>
                <w:smallCaps/>
                <w:spacing w:val="-3"/>
                <w:sz w:val="18"/>
              </w:rPr>
              <w:t xml:space="preserve"> </w:t>
            </w:r>
            <w:r w:rsidRPr="00EC20A0">
              <w:rPr>
                <w:smallCaps/>
                <w:sz w:val="18"/>
              </w:rPr>
              <w:t>Contributions</w:t>
            </w:r>
            <w:r w:rsidRPr="00EC20A0">
              <w:rPr>
                <w:smallCaps/>
                <w:spacing w:val="-4"/>
                <w:sz w:val="18"/>
              </w:rPr>
              <w:t xml:space="preserve"> </w:t>
            </w:r>
            <w:r w:rsidRPr="00EC20A0">
              <w:rPr>
                <w:smallCaps/>
                <w:sz w:val="18"/>
              </w:rPr>
              <w:t>for</w:t>
            </w:r>
            <w:r w:rsidRPr="00EC20A0">
              <w:rPr>
                <w:smallCaps/>
                <w:spacing w:val="-2"/>
                <w:sz w:val="18"/>
              </w:rPr>
              <w:t xml:space="preserve"> </w:t>
            </w:r>
            <w:r w:rsidRPr="00EC20A0">
              <w:rPr>
                <w:smallCaps/>
                <w:sz w:val="18"/>
              </w:rPr>
              <w:t>Employee</w:t>
            </w:r>
            <w:r w:rsidRPr="00EC20A0">
              <w:rPr>
                <w:smallCaps/>
                <w:spacing w:val="40"/>
                <w:sz w:val="18"/>
              </w:rPr>
              <w:t xml:space="preserve"> </w:t>
            </w:r>
            <w:r w:rsidRPr="00EC20A0">
              <w:rPr>
                <w:smallCaps/>
                <w:sz w:val="18"/>
              </w:rPr>
              <w:t>Retirement Benefits.</w:t>
            </w:r>
          </w:p>
          <w:p w14:paraId="24D614E9" w14:textId="77777777" w:rsidR="00245300" w:rsidRPr="00EC20A0" w:rsidRDefault="00F17249">
            <w:pPr>
              <w:pStyle w:val="TableParagraph"/>
              <w:spacing w:before="144"/>
              <w:ind w:left="97" w:right="527"/>
              <w:rPr>
                <w:sz w:val="18"/>
              </w:rPr>
            </w:pPr>
            <w:r w:rsidRPr="00EC20A0">
              <w:rPr>
                <w:sz w:val="18"/>
              </w:rPr>
              <w:t>Provision</w:t>
            </w:r>
            <w:r w:rsidRPr="00EC20A0">
              <w:rPr>
                <w:spacing w:val="-13"/>
                <w:sz w:val="18"/>
              </w:rPr>
              <w:t xml:space="preserve"> </w:t>
            </w:r>
            <w:r w:rsidRPr="00EC20A0">
              <w:rPr>
                <w:sz w:val="18"/>
              </w:rPr>
              <w:t>Types:</w:t>
            </w:r>
            <w:r w:rsidRPr="00EC20A0">
              <w:rPr>
                <w:spacing w:val="-12"/>
                <w:sz w:val="18"/>
              </w:rPr>
              <w:t xml:space="preserve"> </w:t>
            </w:r>
            <w:r w:rsidRPr="00EC20A0">
              <w:rPr>
                <w:sz w:val="18"/>
              </w:rPr>
              <w:t>Transaction-based</w:t>
            </w:r>
            <w:r w:rsidRPr="00EC20A0">
              <w:rPr>
                <w:spacing w:val="-13"/>
                <w:sz w:val="18"/>
              </w:rPr>
              <w:t xml:space="preserve"> </w:t>
            </w:r>
            <w:r w:rsidRPr="00EC20A0">
              <w:rPr>
                <w:sz w:val="18"/>
              </w:rPr>
              <w:t xml:space="preserve">and </w:t>
            </w:r>
            <w:r w:rsidRPr="00EC20A0">
              <w:rPr>
                <w:spacing w:val="-2"/>
                <w:sz w:val="18"/>
              </w:rPr>
              <w:t>quantitative-based.</w:t>
            </w:r>
          </w:p>
          <w:p w14:paraId="24D614EA" w14:textId="77777777" w:rsidR="00245300" w:rsidRPr="00EC20A0" w:rsidRDefault="00F17249">
            <w:pPr>
              <w:pStyle w:val="TableParagraph"/>
              <w:spacing w:before="145"/>
              <w:ind w:left="97" w:right="108"/>
              <w:rPr>
                <w:sz w:val="18"/>
              </w:rPr>
            </w:pPr>
            <w:r w:rsidRPr="00EC20A0">
              <w:rPr>
                <w:sz w:val="18"/>
              </w:rPr>
              <w:t>The</w:t>
            </w:r>
            <w:r w:rsidRPr="00EC20A0">
              <w:rPr>
                <w:spacing w:val="-7"/>
                <w:sz w:val="18"/>
              </w:rPr>
              <w:t xml:space="preserve"> </w:t>
            </w:r>
            <w:r w:rsidRPr="00EC20A0">
              <w:rPr>
                <w:sz w:val="18"/>
              </w:rPr>
              <w:t>entity</w:t>
            </w:r>
            <w:r w:rsidRPr="00EC20A0">
              <w:rPr>
                <w:spacing w:val="-6"/>
                <w:sz w:val="18"/>
              </w:rPr>
              <w:t xml:space="preserve"> </w:t>
            </w:r>
            <w:r w:rsidRPr="00EC20A0">
              <w:rPr>
                <w:sz w:val="18"/>
              </w:rPr>
              <w:t>shall</w:t>
            </w:r>
            <w:r w:rsidRPr="00EC20A0">
              <w:rPr>
                <w:spacing w:val="-5"/>
                <w:sz w:val="18"/>
              </w:rPr>
              <w:t xml:space="preserve"> </w:t>
            </w:r>
            <w:r w:rsidRPr="00EC20A0">
              <w:rPr>
                <w:sz w:val="18"/>
              </w:rPr>
              <w:t>contribute</w:t>
            </w:r>
            <w:r w:rsidRPr="00EC20A0">
              <w:rPr>
                <w:spacing w:val="-7"/>
                <w:sz w:val="18"/>
              </w:rPr>
              <w:t xml:space="preserve"> </w:t>
            </w:r>
            <w:r w:rsidRPr="00EC20A0">
              <w:rPr>
                <w:sz w:val="18"/>
              </w:rPr>
              <w:t>an</w:t>
            </w:r>
            <w:r w:rsidRPr="00EC20A0">
              <w:rPr>
                <w:spacing w:val="-5"/>
                <w:sz w:val="18"/>
              </w:rPr>
              <w:t xml:space="preserve"> </w:t>
            </w:r>
            <w:r w:rsidRPr="00EC20A0">
              <w:rPr>
                <w:sz w:val="18"/>
              </w:rPr>
              <w:t>amount</w:t>
            </w:r>
            <w:r w:rsidRPr="00EC20A0">
              <w:rPr>
                <w:spacing w:val="-6"/>
                <w:sz w:val="18"/>
              </w:rPr>
              <w:t xml:space="preserve"> </w:t>
            </w:r>
            <w:r w:rsidRPr="00EC20A0">
              <w:rPr>
                <w:sz w:val="18"/>
              </w:rPr>
              <w:t>equal</w:t>
            </w:r>
            <w:r w:rsidRPr="00EC20A0">
              <w:rPr>
                <w:spacing w:val="-6"/>
                <w:sz w:val="18"/>
              </w:rPr>
              <w:t xml:space="preserve"> </w:t>
            </w:r>
            <w:r w:rsidRPr="00EC20A0">
              <w:rPr>
                <w:sz w:val="18"/>
              </w:rPr>
              <w:t>to the employing entity’s applicable normal-cost percentage</w:t>
            </w:r>
            <w:hyperlink w:anchor="_bookmark145" w:history="1">
              <w:r w:rsidRPr="00EC20A0">
                <w:rPr>
                  <w:position w:val="6"/>
                  <w:sz w:val="12"/>
                </w:rPr>
                <w:t>65</w:t>
              </w:r>
            </w:hyperlink>
            <w:r w:rsidRPr="00EC20A0">
              <w:rPr>
                <w:spacing w:val="40"/>
                <w:position w:val="6"/>
                <w:sz w:val="12"/>
              </w:rPr>
              <w:t xml:space="preserve"> </w:t>
            </w:r>
            <w:r w:rsidRPr="00EC20A0">
              <w:rPr>
                <w:sz w:val="18"/>
              </w:rPr>
              <w:t xml:space="preserve">multiplied by the employee’s aggregate amount of basic pay payable by the entity. 5 U.S.C. § 8423(a)(1). For most employees, the entity contribution shall be paid from the appropriation account or fund used to pay the employee. 5 U.S.C. § </w:t>
            </w:r>
            <w:r w:rsidRPr="00EC20A0">
              <w:rPr>
                <w:spacing w:val="-2"/>
                <w:sz w:val="18"/>
              </w:rPr>
              <w:t>8423(a)(3).</w:t>
            </w:r>
          </w:p>
        </w:tc>
        <w:tc>
          <w:tcPr>
            <w:tcW w:w="1776" w:type="dxa"/>
            <w:tcBorders>
              <w:left w:val="single" w:sz="4" w:space="0" w:color="000000"/>
              <w:bottom w:val="single" w:sz="4" w:space="0" w:color="000000"/>
              <w:right w:val="single" w:sz="4" w:space="0" w:color="000000"/>
            </w:tcBorders>
          </w:tcPr>
          <w:p w14:paraId="24D614EB" w14:textId="77777777" w:rsidR="00245300" w:rsidRPr="00EC20A0" w:rsidRDefault="00F17249">
            <w:pPr>
              <w:pStyle w:val="TableParagraph"/>
              <w:spacing w:before="143"/>
              <w:ind w:left="107" w:right="207"/>
              <w:rPr>
                <w:sz w:val="18"/>
              </w:rPr>
            </w:pPr>
            <w:r w:rsidRPr="00EC20A0">
              <w:rPr>
                <w:sz w:val="18"/>
              </w:rPr>
              <w:t xml:space="preserve">The entity contribution for </w:t>
            </w:r>
            <w:r w:rsidRPr="00EC20A0">
              <w:rPr>
                <w:spacing w:val="-2"/>
                <w:sz w:val="18"/>
              </w:rPr>
              <w:t xml:space="preserve">employee </w:t>
            </w:r>
            <w:r w:rsidRPr="00EC20A0">
              <w:rPr>
                <w:sz w:val="18"/>
              </w:rPr>
              <w:t xml:space="preserve">retirement is </w:t>
            </w:r>
            <w:r w:rsidRPr="00EC20A0">
              <w:rPr>
                <w:spacing w:val="-2"/>
                <w:sz w:val="18"/>
              </w:rPr>
              <w:t xml:space="preserve">calculated properly, summarized </w:t>
            </w:r>
            <w:r w:rsidRPr="00EC20A0">
              <w:rPr>
                <w:sz w:val="18"/>
              </w:rPr>
              <w:t xml:space="preserve">properly, and charged to the </w:t>
            </w:r>
            <w:r w:rsidRPr="00EC20A0">
              <w:rPr>
                <w:spacing w:val="-2"/>
                <w:sz w:val="18"/>
              </w:rPr>
              <w:t xml:space="preserve">proper appropriation </w:t>
            </w:r>
            <w:r w:rsidRPr="00EC20A0">
              <w:rPr>
                <w:sz w:val="18"/>
              </w:rPr>
              <w:t>account or fund. (See</w:t>
            </w:r>
            <w:r w:rsidRPr="00EC20A0">
              <w:rPr>
                <w:spacing w:val="-15"/>
                <w:sz w:val="18"/>
              </w:rPr>
              <w:t xml:space="preserve"> </w:t>
            </w:r>
            <w:r w:rsidRPr="00EC20A0">
              <w:rPr>
                <w:sz w:val="18"/>
              </w:rPr>
              <w:t>footnote</w:t>
            </w:r>
            <w:r w:rsidRPr="00EC20A0">
              <w:rPr>
                <w:spacing w:val="-12"/>
                <w:sz w:val="18"/>
              </w:rPr>
              <w:t xml:space="preserve"> </w:t>
            </w:r>
            <w:r w:rsidRPr="00EC20A0">
              <w:rPr>
                <w:sz w:val="18"/>
              </w:rPr>
              <w:t xml:space="preserve">64 </w:t>
            </w:r>
            <w:r w:rsidRPr="00EC20A0">
              <w:rPr>
                <w:spacing w:val="-2"/>
                <w:sz w:val="18"/>
              </w:rPr>
              <w:t>below.)</w:t>
            </w:r>
          </w:p>
        </w:tc>
        <w:tc>
          <w:tcPr>
            <w:tcW w:w="2201" w:type="dxa"/>
            <w:tcBorders>
              <w:left w:val="single" w:sz="4" w:space="0" w:color="000000"/>
              <w:bottom w:val="single" w:sz="4" w:space="0" w:color="000000"/>
              <w:right w:val="single" w:sz="4" w:space="0" w:color="000000"/>
            </w:tcBorders>
          </w:tcPr>
          <w:p w14:paraId="24D614EC" w14:textId="77777777" w:rsidR="00245300" w:rsidRPr="00EC20A0" w:rsidRDefault="00245300">
            <w:pPr>
              <w:pStyle w:val="TableParagraph"/>
              <w:rPr>
                <w:sz w:val="18"/>
              </w:rPr>
            </w:pPr>
          </w:p>
        </w:tc>
        <w:tc>
          <w:tcPr>
            <w:tcW w:w="1519" w:type="dxa"/>
            <w:tcBorders>
              <w:left w:val="single" w:sz="4" w:space="0" w:color="000000"/>
              <w:bottom w:val="single" w:sz="4" w:space="0" w:color="000000"/>
              <w:right w:val="single" w:sz="4" w:space="0" w:color="000000"/>
            </w:tcBorders>
          </w:tcPr>
          <w:p w14:paraId="24D614ED" w14:textId="77777777" w:rsidR="00245300" w:rsidRPr="00EC20A0" w:rsidRDefault="00245300">
            <w:pPr>
              <w:pStyle w:val="TableParagraph"/>
              <w:rPr>
                <w:sz w:val="18"/>
              </w:rPr>
            </w:pPr>
          </w:p>
        </w:tc>
        <w:tc>
          <w:tcPr>
            <w:tcW w:w="1640" w:type="dxa"/>
            <w:tcBorders>
              <w:left w:val="single" w:sz="4" w:space="0" w:color="000000"/>
              <w:bottom w:val="single" w:sz="4" w:space="0" w:color="000000"/>
              <w:right w:val="single" w:sz="4" w:space="0" w:color="000000"/>
            </w:tcBorders>
          </w:tcPr>
          <w:p w14:paraId="24D614EE" w14:textId="77777777" w:rsidR="00245300" w:rsidRPr="00EC20A0" w:rsidRDefault="00245300">
            <w:pPr>
              <w:pStyle w:val="TableParagraph"/>
              <w:rPr>
                <w:sz w:val="18"/>
              </w:rPr>
            </w:pPr>
          </w:p>
        </w:tc>
        <w:tc>
          <w:tcPr>
            <w:tcW w:w="2172" w:type="dxa"/>
            <w:tcBorders>
              <w:left w:val="single" w:sz="4" w:space="0" w:color="000000"/>
              <w:bottom w:val="single" w:sz="4" w:space="0" w:color="000000"/>
            </w:tcBorders>
          </w:tcPr>
          <w:p w14:paraId="24D614EF" w14:textId="77777777" w:rsidR="00245300" w:rsidRPr="00EC20A0" w:rsidRDefault="00F17249">
            <w:pPr>
              <w:pStyle w:val="TableParagraph"/>
              <w:spacing w:before="143"/>
              <w:ind w:left="107"/>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4"/>
                <w:sz w:val="18"/>
              </w:rPr>
              <w:t xml:space="preserve"> </w:t>
            </w:r>
            <w:r w:rsidRPr="00EC20A0">
              <w:rPr>
                <w:spacing w:val="-5"/>
                <w:sz w:val="18"/>
              </w:rPr>
              <w:t>811</w:t>
            </w:r>
          </w:p>
          <w:p w14:paraId="24D614F0" w14:textId="77777777" w:rsidR="00245300" w:rsidRPr="00EC20A0" w:rsidRDefault="00F17249">
            <w:pPr>
              <w:pStyle w:val="TableParagraph"/>
              <w:spacing w:before="1"/>
              <w:ind w:left="107"/>
              <w:rPr>
                <w:sz w:val="18"/>
              </w:rPr>
            </w:pPr>
            <w:r w:rsidRPr="00EC20A0">
              <w:rPr>
                <w:sz w:val="18"/>
              </w:rPr>
              <w:t>steps</w:t>
            </w:r>
            <w:r w:rsidRPr="00EC20A0">
              <w:rPr>
                <w:spacing w:val="-3"/>
                <w:sz w:val="18"/>
              </w:rPr>
              <w:t xml:space="preserve"> </w:t>
            </w:r>
            <w:r w:rsidRPr="00EC20A0">
              <w:rPr>
                <w:sz w:val="18"/>
              </w:rPr>
              <w:t>4</w:t>
            </w:r>
            <w:r w:rsidRPr="00EC20A0">
              <w:rPr>
                <w:spacing w:val="-2"/>
                <w:sz w:val="18"/>
              </w:rPr>
              <w:t xml:space="preserve"> </w:t>
            </w:r>
            <w:r w:rsidRPr="00EC20A0">
              <w:rPr>
                <w:sz w:val="18"/>
              </w:rPr>
              <w:t>(c)</w:t>
            </w:r>
            <w:r w:rsidRPr="00EC20A0">
              <w:rPr>
                <w:spacing w:val="-1"/>
                <w:sz w:val="18"/>
              </w:rPr>
              <w:t xml:space="preserve"> </w:t>
            </w:r>
            <w:r w:rsidRPr="00EC20A0">
              <w:rPr>
                <w:sz w:val="18"/>
              </w:rPr>
              <w:t xml:space="preserve">and </w:t>
            </w:r>
            <w:r w:rsidRPr="00EC20A0">
              <w:rPr>
                <w:spacing w:val="-5"/>
                <w:sz w:val="18"/>
              </w:rPr>
              <w:t>5.</w:t>
            </w:r>
          </w:p>
        </w:tc>
      </w:tr>
    </w:tbl>
    <w:p w14:paraId="24D614F2" w14:textId="77777777" w:rsidR="00245300" w:rsidRPr="00EC20A0" w:rsidRDefault="00245300">
      <w:pPr>
        <w:pStyle w:val="BodyText"/>
        <w:rPr>
          <w:sz w:val="20"/>
        </w:rPr>
      </w:pPr>
    </w:p>
    <w:p w14:paraId="24D614F3" w14:textId="77777777" w:rsidR="00245300" w:rsidRPr="00EC20A0" w:rsidRDefault="00245300">
      <w:pPr>
        <w:pStyle w:val="BodyText"/>
        <w:rPr>
          <w:sz w:val="20"/>
        </w:rPr>
      </w:pPr>
    </w:p>
    <w:p w14:paraId="24D614F4" w14:textId="77777777" w:rsidR="00245300" w:rsidRPr="00EC20A0" w:rsidRDefault="00245300">
      <w:pPr>
        <w:pStyle w:val="BodyText"/>
        <w:rPr>
          <w:sz w:val="20"/>
        </w:rPr>
      </w:pPr>
    </w:p>
    <w:p w14:paraId="24D614F5" w14:textId="77777777" w:rsidR="00245300" w:rsidRPr="00EC20A0" w:rsidRDefault="00245300">
      <w:pPr>
        <w:pStyle w:val="BodyText"/>
        <w:rPr>
          <w:sz w:val="20"/>
        </w:rPr>
      </w:pPr>
    </w:p>
    <w:p w14:paraId="24D614F6" w14:textId="77777777" w:rsidR="00245300" w:rsidRPr="00EC20A0" w:rsidRDefault="00245300">
      <w:pPr>
        <w:pStyle w:val="BodyText"/>
        <w:rPr>
          <w:sz w:val="20"/>
        </w:rPr>
      </w:pPr>
    </w:p>
    <w:p w14:paraId="24D614F7" w14:textId="77777777" w:rsidR="00245300" w:rsidRPr="00EC20A0" w:rsidRDefault="00245300">
      <w:pPr>
        <w:pStyle w:val="BodyText"/>
        <w:rPr>
          <w:sz w:val="20"/>
        </w:rPr>
      </w:pPr>
    </w:p>
    <w:p w14:paraId="24D614F8" w14:textId="77777777" w:rsidR="00245300" w:rsidRPr="00EC20A0" w:rsidRDefault="00245300">
      <w:pPr>
        <w:pStyle w:val="BodyText"/>
        <w:rPr>
          <w:sz w:val="20"/>
        </w:rPr>
      </w:pPr>
    </w:p>
    <w:p w14:paraId="24D614F9" w14:textId="77777777" w:rsidR="00245300" w:rsidRPr="00EC20A0" w:rsidRDefault="00245300">
      <w:pPr>
        <w:pStyle w:val="BodyText"/>
        <w:rPr>
          <w:sz w:val="20"/>
        </w:rPr>
      </w:pPr>
    </w:p>
    <w:p w14:paraId="24D614FA" w14:textId="77777777" w:rsidR="00245300" w:rsidRPr="00EC20A0" w:rsidRDefault="00245300">
      <w:pPr>
        <w:pStyle w:val="BodyText"/>
        <w:rPr>
          <w:sz w:val="20"/>
        </w:rPr>
      </w:pPr>
    </w:p>
    <w:p w14:paraId="24D614FB" w14:textId="77777777" w:rsidR="00245300" w:rsidRPr="00EC20A0" w:rsidRDefault="00F17249">
      <w:pPr>
        <w:pStyle w:val="BodyText"/>
        <w:spacing w:before="203"/>
        <w:rPr>
          <w:sz w:val="20"/>
        </w:rPr>
      </w:pPr>
      <w:r w:rsidRPr="00EC20A0">
        <w:rPr>
          <w:noProof/>
        </w:rPr>
        <mc:AlternateContent>
          <mc:Choice Requires="wps">
            <w:drawing>
              <wp:anchor distT="0" distB="0" distL="0" distR="0" simplePos="0" relativeHeight="487699456" behindDoc="1" locked="0" layoutInCell="1" allowOverlap="1" wp14:anchorId="24D62C71" wp14:editId="24D62C72">
                <wp:simplePos x="0" y="0"/>
                <wp:positionH relativeFrom="page">
                  <wp:posOffset>685800</wp:posOffset>
                </wp:positionH>
                <wp:positionV relativeFrom="paragraph">
                  <wp:posOffset>290306</wp:posOffset>
                </wp:positionV>
                <wp:extent cx="1828800" cy="6985"/>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311CD6" id="Graphic 732" o:spid="_x0000_s1026" style="position:absolute;margin-left:54pt;margin-top:22.85pt;width:2in;height:.55pt;z-index:-156170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" path="m1828800,l,,,6858r1828800,l1828800,xe" fillcolor="black" stroked="f">
                <v:path arrowok="t"/>
                <w10:wrap type="topAndBottom" anchorx="page"/>
              </v:shape>
            </w:pict>
          </mc:Fallback>
        </mc:AlternateContent>
      </w:r>
    </w:p>
    <w:p w14:paraId="24D614FC" w14:textId="77777777" w:rsidR="00245300" w:rsidRPr="00EC20A0" w:rsidRDefault="00245300">
      <w:pPr>
        <w:pStyle w:val="BodyText"/>
        <w:spacing w:before="9"/>
        <w:rPr>
          <w:sz w:val="18"/>
        </w:rPr>
      </w:pPr>
    </w:p>
    <w:p w14:paraId="24D614FD" w14:textId="77777777" w:rsidR="00245300" w:rsidRPr="00EC20A0" w:rsidRDefault="00F17249">
      <w:pPr>
        <w:spacing w:line="242" w:lineRule="auto"/>
        <w:ind w:left="119" w:right="67"/>
        <w:rPr>
          <w:sz w:val="18"/>
        </w:rPr>
      </w:pPr>
      <w:r w:rsidRPr="00EC20A0">
        <w:rPr>
          <w:position w:val="7"/>
          <w:sz w:val="14"/>
        </w:rPr>
        <w:t>65</w:t>
      </w:r>
      <w:r w:rsidRPr="00EC20A0">
        <w:rPr>
          <w:sz w:val="18"/>
        </w:rPr>
        <w:t>The</w:t>
      </w:r>
      <w:r w:rsidRPr="00EC20A0">
        <w:rPr>
          <w:spacing w:val="-3"/>
          <w:sz w:val="18"/>
        </w:rPr>
        <w:t xml:space="preserve"> </w:t>
      </w:r>
      <w:r w:rsidRPr="00EC20A0">
        <w:rPr>
          <w:sz w:val="18"/>
        </w:rPr>
        <w:t>Office</w:t>
      </w:r>
      <w:r w:rsidRPr="00EC20A0">
        <w:rPr>
          <w:spacing w:val="-3"/>
          <w:sz w:val="18"/>
        </w:rPr>
        <w:t xml:space="preserve"> </w:t>
      </w:r>
      <w:r w:rsidRPr="00EC20A0">
        <w:rPr>
          <w:sz w:val="18"/>
        </w:rPr>
        <w:t>of</w:t>
      </w:r>
      <w:r w:rsidRPr="00EC20A0">
        <w:rPr>
          <w:spacing w:val="-2"/>
          <w:sz w:val="18"/>
        </w:rPr>
        <w:t xml:space="preserve"> </w:t>
      </w:r>
      <w:r w:rsidRPr="00EC20A0">
        <w:rPr>
          <w:sz w:val="18"/>
        </w:rPr>
        <w:t>Personnel</w:t>
      </w:r>
      <w:r w:rsidRPr="00EC20A0">
        <w:rPr>
          <w:spacing w:val="-2"/>
          <w:sz w:val="18"/>
        </w:rPr>
        <w:t xml:space="preserve"> </w:t>
      </w:r>
      <w:r w:rsidRPr="00EC20A0">
        <w:rPr>
          <w:sz w:val="18"/>
        </w:rPr>
        <w:t>Management</w:t>
      </w:r>
      <w:r w:rsidRPr="00EC20A0">
        <w:rPr>
          <w:spacing w:val="-1"/>
          <w:sz w:val="18"/>
        </w:rPr>
        <w:t xml:space="preserve"> </w:t>
      </w:r>
      <w:r w:rsidRPr="00EC20A0">
        <w:rPr>
          <w:sz w:val="18"/>
        </w:rPr>
        <w:t>(OPM)</w:t>
      </w:r>
      <w:r w:rsidRPr="00EC20A0">
        <w:rPr>
          <w:spacing w:val="-2"/>
          <w:sz w:val="18"/>
        </w:rPr>
        <w:t xml:space="preserve"> </w:t>
      </w:r>
      <w:r w:rsidRPr="00EC20A0">
        <w:rPr>
          <w:sz w:val="18"/>
        </w:rPr>
        <w:t>calculates</w:t>
      </w:r>
      <w:r w:rsidRPr="00EC20A0">
        <w:rPr>
          <w:spacing w:val="-2"/>
          <w:sz w:val="18"/>
        </w:rPr>
        <w:t xml:space="preserve"> </w:t>
      </w:r>
      <w:r w:rsidRPr="00EC20A0">
        <w:rPr>
          <w:sz w:val="18"/>
        </w:rPr>
        <w:t>the</w:t>
      </w:r>
      <w:r w:rsidRPr="00EC20A0">
        <w:rPr>
          <w:spacing w:val="-1"/>
          <w:sz w:val="18"/>
        </w:rPr>
        <w:t xml:space="preserve"> </w:t>
      </w:r>
      <w:r w:rsidRPr="00EC20A0">
        <w:rPr>
          <w:sz w:val="18"/>
        </w:rPr>
        <w:t>normal-cost</w:t>
      </w:r>
      <w:r w:rsidRPr="00EC20A0">
        <w:rPr>
          <w:spacing w:val="-2"/>
          <w:sz w:val="18"/>
        </w:rPr>
        <w:t xml:space="preserve"> </w:t>
      </w:r>
      <w:r w:rsidRPr="00EC20A0">
        <w:rPr>
          <w:sz w:val="18"/>
        </w:rPr>
        <w:t>percentage,</w:t>
      </w:r>
      <w:r w:rsidRPr="00EC20A0">
        <w:rPr>
          <w:spacing w:val="-2"/>
          <w:sz w:val="18"/>
        </w:rPr>
        <w:t xml:space="preserve"> </w:t>
      </w:r>
      <w:r w:rsidRPr="00EC20A0">
        <w:rPr>
          <w:sz w:val="18"/>
        </w:rPr>
        <w:t>which</w:t>
      </w:r>
      <w:r w:rsidRPr="00EC20A0">
        <w:rPr>
          <w:spacing w:val="-3"/>
          <w:sz w:val="18"/>
        </w:rPr>
        <w:t xml:space="preserve"> </w:t>
      </w:r>
      <w:r w:rsidRPr="00EC20A0">
        <w:rPr>
          <w:sz w:val="18"/>
        </w:rPr>
        <w:t>is</w:t>
      </w:r>
      <w:r w:rsidRPr="00EC20A0">
        <w:rPr>
          <w:spacing w:val="-2"/>
          <w:sz w:val="18"/>
        </w:rPr>
        <w:t xml:space="preserve"> </w:t>
      </w:r>
      <w:r w:rsidRPr="00EC20A0">
        <w:rPr>
          <w:sz w:val="18"/>
        </w:rPr>
        <w:t>statutorily</w:t>
      </w:r>
      <w:r w:rsidRPr="00EC20A0">
        <w:rPr>
          <w:spacing w:val="-1"/>
          <w:sz w:val="18"/>
        </w:rPr>
        <w:t xml:space="preserve"> </w:t>
      </w:r>
      <w:r w:rsidRPr="00EC20A0">
        <w:rPr>
          <w:sz w:val="18"/>
        </w:rPr>
        <w:t>defined</w:t>
      </w:r>
      <w:r w:rsidRPr="00EC20A0">
        <w:rPr>
          <w:spacing w:val="-3"/>
          <w:sz w:val="18"/>
        </w:rPr>
        <w:t xml:space="preserve"> </w:t>
      </w:r>
      <w:r w:rsidRPr="00EC20A0">
        <w:rPr>
          <w:sz w:val="18"/>
        </w:rPr>
        <w:t>at</w:t>
      </w:r>
      <w:r w:rsidRPr="00EC20A0">
        <w:rPr>
          <w:spacing w:val="-2"/>
          <w:sz w:val="18"/>
        </w:rPr>
        <w:t xml:space="preserve"> </w:t>
      </w:r>
      <w:r w:rsidRPr="00EC20A0">
        <w:rPr>
          <w:sz w:val="18"/>
        </w:rPr>
        <w:t>5</w:t>
      </w:r>
      <w:r w:rsidRPr="00EC20A0">
        <w:rPr>
          <w:spacing w:val="-3"/>
          <w:sz w:val="18"/>
        </w:rPr>
        <w:t xml:space="preserve"> </w:t>
      </w:r>
      <w:r w:rsidRPr="00EC20A0">
        <w:rPr>
          <w:sz w:val="18"/>
        </w:rPr>
        <w:t>U.S.C.</w:t>
      </w:r>
      <w:r w:rsidRPr="00EC20A0">
        <w:rPr>
          <w:spacing w:val="-2"/>
          <w:sz w:val="18"/>
        </w:rPr>
        <w:t xml:space="preserve"> </w:t>
      </w:r>
      <w:r w:rsidRPr="00EC20A0">
        <w:rPr>
          <w:sz w:val="18"/>
        </w:rPr>
        <w:t>§</w:t>
      </w:r>
      <w:r w:rsidRPr="00EC20A0">
        <w:rPr>
          <w:spacing w:val="-3"/>
          <w:sz w:val="18"/>
        </w:rPr>
        <w:t xml:space="preserve"> </w:t>
      </w:r>
      <w:r w:rsidRPr="00EC20A0">
        <w:rPr>
          <w:sz w:val="18"/>
        </w:rPr>
        <w:t>8401(23).</w:t>
      </w:r>
      <w:r w:rsidRPr="00EC20A0">
        <w:rPr>
          <w:spacing w:val="-2"/>
          <w:sz w:val="18"/>
        </w:rPr>
        <w:t xml:space="preserve"> </w:t>
      </w:r>
      <w:r w:rsidRPr="00EC20A0">
        <w:rPr>
          <w:sz w:val="18"/>
        </w:rPr>
        <w:t>For</w:t>
      </w:r>
      <w:r w:rsidRPr="00EC20A0">
        <w:rPr>
          <w:spacing w:val="-2"/>
          <w:sz w:val="18"/>
        </w:rPr>
        <w:t xml:space="preserve"> </w:t>
      </w:r>
      <w:r w:rsidRPr="00EC20A0">
        <w:rPr>
          <w:sz w:val="18"/>
        </w:rPr>
        <w:t>example,</w:t>
      </w:r>
      <w:r w:rsidRPr="00EC20A0">
        <w:rPr>
          <w:spacing w:val="-1"/>
          <w:sz w:val="18"/>
        </w:rPr>
        <w:t xml:space="preserve"> </w:t>
      </w:r>
      <w:r w:rsidRPr="00EC20A0">
        <w:rPr>
          <w:sz w:val="18"/>
        </w:rPr>
        <w:t>for</w:t>
      </w:r>
      <w:r w:rsidRPr="00EC20A0">
        <w:rPr>
          <w:spacing w:val="-2"/>
          <w:sz w:val="18"/>
        </w:rPr>
        <w:t xml:space="preserve"> </w:t>
      </w:r>
      <w:r w:rsidRPr="00EC20A0">
        <w:rPr>
          <w:sz w:val="18"/>
        </w:rPr>
        <w:t>fiscal</w:t>
      </w:r>
      <w:r w:rsidRPr="00EC20A0">
        <w:rPr>
          <w:spacing w:val="-2"/>
          <w:sz w:val="18"/>
        </w:rPr>
        <w:t xml:space="preserve"> </w:t>
      </w:r>
      <w:r w:rsidRPr="00EC20A0">
        <w:rPr>
          <w:sz w:val="18"/>
        </w:rPr>
        <w:t xml:space="preserve">year 2017, it is 14.7 percent of basic pay for most employees. OPM lists the percentages in its Benefits Administration Letters related to “Cost Factors for Calculating Imputed Costs,” which is accessible on its website at </w:t>
      </w:r>
      <w:hyperlink r:id="rId133">
        <w:r w:rsidRPr="00EC20A0">
          <w:rPr>
            <w:color w:val="0000FF"/>
            <w:sz w:val="18"/>
            <w:u w:val="single" w:color="0000FF"/>
          </w:rPr>
          <w:t>https://www.opm.gov/retirement-center/publications-forms/benefits-administration-letters/</w:t>
        </w:r>
      </w:hyperlink>
      <w:r w:rsidRPr="00EC20A0">
        <w:rPr>
          <w:color w:val="0000FF"/>
          <w:sz w:val="18"/>
        </w:rPr>
        <w:t xml:space="preserve"> </w:t>
      </w:r>
      <w:r w:rsidRPr="00EC20A0">
        <w:rPr>
          <w:sz w:val="18"/>
        </w:rPr>
        <w:t xml:space="preserve">(accessed June 4, </w:t>
      </w:r>
      <w:r w:rsidRPr="00EC20A0">
        <w:rPr>
          <w:spacing w:val="-2"/>
          <w:sz w:val="18"/>
        </w:rPr>
        <w:t>2024).</w:t>
      </w:r>
    </w:p>
    <w:p w14:paraId="24D614FE" w14:textId="77777777" w:rsidR="00245300" w:rsidRPr="00EC20A0" w:rsidRDefault="00245300">
      <w:pPr>
        <w:spacing w:line="242" w:lineRule="auto"/>
        <w:rPr>
          <w:sz w:val="18"/>
        </w:rPr>
        <w:sectPr w:rsidR="00245300" w:rsidRPr="00EC20A0">
          <w:pgSz w:w="15840" w:h="12240" w:orient="landscape"/>
          <w:pgMar w:top="1380" w:right="1400" w:bottom="940" w:left="960" w:header="721" w:footer="742" w:gutter="0"/>
          <w:cols w:space="720"/>
        </w:sectPr>
      </w:pPr>
    </w:p>
    <w:p w14:paraId="24D614FF" w14:textId="77777777" w:rsidR="00245300" w:rsidRPr="00EC20A0" w:rsidRDefault="00245300">
      <w:pPr>
        <w:pStyle w:val="BodyText"/>
        <w:spacing w:before="9"/>
        <w:rPr>
          <w:sz w:val="7"/>
        </w:rPr>
      </w:pPr>
    </w:p>
    <w:tbl>
      <w:tblPr>
        <w:tblW w:w="0" w:type="auto"/>
        <w:tblInd w:w="17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245300" w:rsidRPr="00EC20A0" w14:paraId="24D61503" w14:textId="77777777">
        <w:trPr>
          <w:trHeight w:val="1574"/>
        </w:trPr>
        <w:tc>
          <w:tcPr>
            <w:tcW w:w="13176" w:type="dxa"/>
            <w:gridSpan w:val="6"/>
          </w:tcPr>
          <w:p w14:paraId="24D61500" w14:textId="77777777" w:rsidR="00245300" w:rsidRPr="00EC20A0" w:rsidRDefault="00F17249">
            <w:pPr>
              <w:pStyle w:val="TableParagraph"/>
              <w:tabs>
                <w:tab w:val="left" w:pos="9184"/>
              </w:tabs>
              <w:spacing w:before="144"/>
              <w:ind w:right="1925"/>
              <w:jc w:val="center"/>
            </w:pPr>
            <w:r w:rsidRPr="00EC20A0">
              <w:t>Name</w:t>
            </w:r>
            <w:r w:rsidRPr="00EC20A0">
              <w:rPr>
                <w:spacing w:val="-5"/>
              </w:rPr>
              <w:t xml:space="preserve"> </w:t>
            </w:r>
            <w:r w:rsidRPr="00EC20A0">
              <w:t>of</w:t>
            </w:r>
            <w:r w:rsidRPr="00EC20A0">
              <w:rPr>
                <w:spacing w:val="-5"/>
              </w:rPr>
              <w:t xml:space="preserve"> </w:t>
            </w:r>
            <w:r w:rsidRPr="00EC20A0">
              <w:rPr>
                <w:spacing w:val="-2"/>
              </w:rPr>
              <w:t>entity:</w:t>
            </w:r>
            <w:r w:rsidRPr="00EC20A0">
              <w:tab/>
            </w:r>
            <w:bookmarkStart w:id="261" w:name="_bookmark146"/>
            <w:bookmarkEnd w:id="261"/>
            <w:r w:rsidRPr="00EC20A0">
              <w:t>Prepared</w:t>
            </w:r>
            <w:r w:rsidRPr="00EC20A0">
              <w:rPr>
                <w:spacing w:val="-11"/>
              </w:rPr>
              <w:t xml:space="preserve"> </w:t>
            </w:r>
            <w:r w:rsidRPr="00EC20A0">
              <w:rPr>
                <w:spacing w:val="-5"/>
              </w:rPr>
              <w:t>by:</w:t>
            </w:r>
          </w:p>
          <w:p w14:paraId="24D61501" w14:textId="77777777" w:rsidR="00245300" w:rsidRPr="00EC20A0" w:rsidRDefault="00F17249">
            <w:pPr>
              <w:pStyle w:val="TableParagraph"/>
              <w:spacing w:before="12"/>
              <w:ind w:left="1947" w:right="1925"/>
              <w:jc w:val="center"/>
              <w:rPr>
                <w:b/>
                <w:sz w:val="24"/>
              </w:rPr>
            </w:pPr>
            <w:r w:rsidRPr="00EC20A0">
              <w:rPr>
                <w:noProof/>
              </w:rPr>
              <mc:AlternateContent>
                <mc:Choice Requires="wpg">
                  <w:drawing>
                    <wp:anchor distT="0" distB="0" distL="0" distR="0" simplePos="0" relativeHeight="475356160" behindDoc="1" locked="0" layoutInCell="1" allowOverlap="1" wp14:anchorId="24D62C73" wp14:editId="24D62C74">
                      <wp:simplePos x="0" y="0"/>
                      <wp:positionH relativeFrom="column">
                        <wp:posOffset>6953250</wp:posOffset>
                      </wp:positionH>
                      <wp:positionV relativeFrom="paragraph">
                        <wp:posOffset>91882</wp:posOffset>
                      </wp:positionV>
                      <wp:extent cx="1344930" cy="6350"/>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34" name="Graphic 73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B04F9A" id="Group 733" o:spid="_x0000_s1026" style="position:absolute;margin-left:547.5pt;margin-top:7.25pt;width:105.9pt;height:.5pt;z-index:-2796032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OrDXJNzAgAA8wUAAA4AAAAA&#10;AAAAAAAAAAAALgIAAGRycy9lMm9Eb2MueG1sUEsBAi0AFAAGAAgAAAAhAFfXjnrgAAAACwEAAA8A&#10;AAAAAAAAAAAAAAAAzQQAAGRycy9kb3ducmV2LnhtbFBLBQYAAAAABAAEAPMAAADaBQAAAAA=&#10;">
                      <v:shape id="Graphic 73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" path="m1344929,l,,,6108r1344929,l1344929,xe" fillcolor="black" stroked="f">
                        <v:path arrowok="t"/>
                      </v:shape>
                    </v:group>
                  </w:pict>
                </mc:Fallback>
              </mc:AlternateContent>
            </w:r>
            <w:r w:rsidRPr="00EC20A0">
              <w:rPr>
                <w:noProof/>
              </w:rPr>
              <mc:AlternateContent>
                <mc:Choice Requires="wpg">
                  <w:drawing>
                    <wp:anchor distT="0" distB="0" distL="0" distR="0" simplePos="0" relativeHeight="475357184" behindDoc="1" locked="0" layoutInCell="1" allowOverlap="1" wp14:anchorId="24D62C75" wp14:editId="24D62C76">
                      <wp:simplePos x="0" y="0"/>
                      <wp:positionH relativeFrom="column">
                        <wp:posOffset>6953250</wp:posOffset>
                      </wp:positionH>
                      <wp:positionV relativeFrom="paragraph">
                        <wp:posOffset>441640</wp:posOffset>
                      </wp:positionV>
                      <wp:extent cx="1344930" cy="6350"/>
                      <wp:effectExtent l="0" t="0" r="0"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36" name="Graphic 736"/>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2587AC" id="Group 735" o:spid="_x0000_s1026" style="position:absolute;margin-left:547.5pt;margin-top:34.75pt;width:105.9pt;height:.5pt;z-index:-27959296;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BHyx5ncwIAAPMFAAAOAAAA&#10;AAAAAAAAAAAAAC4CAABkcnMvZTJvRG9jLnhtbFBLAQItABQABgAIAAAAIQCvzK704QAAAAsBAAAP&#10;AAAAAAAAAAAAAAAAAM0EAABkcnMvZG93bnJldi54bWxQSwUGAAAAAAQABADzAAAA2wUAAAAA&#10;">
                      <v:shape id="Graphic 736"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" path="m1344929,l,,,6108r1344929,l1344929,xe" fillcolor="black" stroked="f">
                        <v:path arrowok="t"/>
                      </v:shape>
                    </v:group>
                  </w:pict>
                </mc:Fallback>
              </mc:AlternateContent>
            </w:r>
            <w:r w:rsidRPr="00EC20A0">
              <w:rPr>
                <w:b/>
                <w:sz w:val="24"/>
              </w:rPr>
              <w:t>Compliance</w:t>
            </w:r>
            <w:r w:rsidRPr="00EC20A0">
              <w:rPr>
                <w:b/>
                <w:spacing w:val="-6"/>
                <w:sz w:val="24"/>
              </w:rPr>
              <w:t xml:space="preserve"> </w:t>
            </w:r>
            <w:r w:rsidRPr="00EC20A0">
              <w:rPr>
                <w:b/>
                <w:spacing w:val="-2"/>
                <w:sz w:val="24"/>
              </w:rPr>
              <w:t>Summary</w:t>
            </w:r>
          </w:p>
          <w:p w14:paraId="24D61502" w14:textId="77777777" w:rsidR="00245300" w:rsidRPr="00EC20A0" w:rsidRDefault="00F17249">
            <w:pPr>
              <w:pStyle w:val="TableParagraph"/>
              <w:tabs>
                <w:tab w:val="left" w:pos="8878"/>
              </w:tabs>
              <w:spacing w:before="10"/>
              <w:ind w:right="1681"/>
              <w:jc w:val="center"/>
            </w:pPr>
            <w:r w:rsidRPr="00EC20A0">
              <w:rPr>
                <w:noProof/>
              </w:rPr>
              <mc:AlternateContent>
                <mc:Choice Requires="wpg">
                  <w:drawing>
                    <wp:anchor distT="0" distB="0" distL="0" distR="0" simplePos="0" relativeHeight="475355648" behindDoc="1" locked="0" layoutInCell="1" allowOverlap="1" wp14:anchorId="24D62C77" wp14:editId="24D62C78">
                      <wp:simplePos x="0" y="0"/>
                      <wp:positionH relativeFrom="column">
                        <wp:posOffset>1260347</wp:posOffset>
                      </wp:positionH>
                      <wp:positionV relativeFrom="paragraph">
                        <wp:posOffset>-91198</wp:posOffset>
                      </wp:positionV>
                      <wp:extent cx="1183005" cy="6350"/>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38" name="Graphic 73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2DFCAA" id="Group 737" o:spid="_x0000_s1026" style="position:absolute;margin-left:99.25pt;margin-top:-7.2pt;width:93.15pt;height:.5pt;z-index:-2796083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">
                      <v:shape id="Graphic 73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" path="m1182611,l,,,6108r1182611,l1182611,xe" fillcolor="black" stroked="f">
                        <v:path arrowok="t"/>
                      </v:shape>
                    </v:group>
                  </w:pict>
                </mc:Fallback>
              </mc:AlternateContent>
            </w:r>
            <w:r w:rsidRPr="00EC20A0">
              <w:rPr>
                <w:noProof/>
              </w:rPr>
              <mc:AlternateContent>
                <mc:Choice Requires="wpg">
                  <w:drawing>
                    <wp:anchor distT="0" distB="0" distL="0" distR="0" simplePos="0" relativeHeight="475356672" behindDoc="1" locked="0" layoutInCell="1" allowOverlap="1" wp14:anchorId="24D62C79" wp14:editId="24D62C7A">
                      <wp:simplePos x="0" y="0"/>
                      <wp:positionH relativeFrom="column">
                        <wp:posOffset>1260347</wp:posOffset>
                      </wp:positionH>
                      <wp:positionV relativeFrom="paragraph">
                        <wp:posOffset>258559</wp:posOffset>
                      </wp:positionV>
                      <wp:extent cx="1183005" cy="6350"/>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40" name="Graphic 74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218BF9" id="Group 739" o:spid="_x0000_s1026" style="position:absolute;margin-left:99.25pt;margin-top:20.35pt;width:93.15pt;height:.5pt;z-index:-27959808;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Ao+CSYdAIAAPMFAAAOAAAA&#10;AAAAAAAAAAAAAC4CAABkcnMvZTJvRG9jLnhtbFBLAQItABQABgAIAAAAIQD6/POT4AAAAAkBAAAP&#10;AAAAAAAAAAAAAAAAAM4EAABkcnMvZG93bnJldi54bWxQSwUGAAAAAAQABADzAAAA2wUAAAAA&#10;">
                      <v:shape id="Graphic 74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" path="m1182611,l,,,6108r1182611,l1182611,xe" fillcolor="black" stroked="f">
                        <v:path arrowok="t"/>
                      </v:shape>
                    </v:group>
                  </w:pict>
                </mc:Fallback>
              </mc:AlternateContent>
            </w:r>
            <w:r w:rsidRPr="00EC20A0">
              <w:t>Audit</w:t>
            </w:r>
            <w:r w:rsidRPr="00EC20A0">
              <w:rPr>
                <w:spacing w:val="-6"/>
              </w:rPr>
              <w:t xml:space="preserve"> </w:t>
            </w:r>
            <w:r w:rsidRPr="00EC20A0">
              <w:rPr>
                <w:spacing w:val="-2"/>
              </w:rPr>
              <w:t>period:</w:t>
            </w:r>
            <w:r w:rsidRPr="00EC20A0">
              <w:tab/>
              <w:t>Reviewed</w:t>
            </w:r>
            <w:r w:rsidRPr="00EC20A0">
              <w:rPr>
                <w:spacing w:val="-12"/>
              </w:rPr>
              <w:t xml:space="preserve"> </w:t>
            </w:r>
            <w:r w:rsidRPr="00EC20A0">
              <w:rPr>
                <w:spacing w:val="-5"/>
              </w:rPr>
              <w:t>by:</w:t>
            </w:r>
          </w:p>
        </w:tc>
      </w:tr>
      <w:tr w:rsidR="00245300" w:rsidRPr="00EC20A0" w14:paraId="24D6150E" w14:textId="77777777">
        <w:trPr>
          <w:trHeight w:val="793"/>
        </w:trPr>
        <w:tc>
          <w:tcPr>
            <w:tcW w:w="3868" w:type="dxa"/>
            <w:tcBorders>
              <w:right w:val="single" w:sz="4" w:space="0" w:color="000000"/>
            </w:tcBorders>
          </w:tcPr>
          <w:p w14:paraId="24D61504" w14:textId="77777777" w:rsidR="00245300" w:rsidRPr="00EC20A0" w:rsidRDefault="00245300">
            <w:pPr>
              <w:pStyle w:val="TableParagraph"/>
              <w:spacing w:before="143"/>
            </w:pPr>
          </w:p>
          <w:p w14:paraId="24D61505" w14:textId="77777777" w:rsidR="00245300" w:rsidRPr="00EC20A0" w:rsidRDefault="00F17249">
            <w:pPr>
              <w:pStyle w:val="TableParagraph"/>
              <w:ind w:left="97"/>
            </w:pPr>
            <w:r w:rsidRPr="00EC20A0">
              <w:t>Provision</w:t>
            </w:r>
            <w:r w:rsidRPr="00EC20A0">
              <w:rPr>
                <w:spacing w:val="-11"/>
              </w:rPr>
              <w:t xml:space="preserve"> </w:t>
            </w:r>
            <w:r w:rsidRPr="00EC20A0">
              <w:rPr>
                <w:spacing w:val="-2"/>
              </w:rPr>
              <w:t>Description</w:t>
            </w:r>
          </w:p>
        </w:tc>
        <w:tc>
          <w:tcPr>
            <w:tcW w:w="1776" w:type="dxa"/>
            <w:tcBorders>
              <w:left w:val="single" w:sz="4" w:space="0" w:color="000000"/>
              <w:right w:val="single" w:sz="4" w:space="0" w:color="000000"/>
            </w:tcBorders>
          </w:tcPr>
          <w:p w14:paraId="24D61506" w14:textId="77777777" w:rsidR="00245300" w:rsidRPr="00EC20A0" w:rsidRDefault="00245300">
            <w:pPr>
              <w:pStyle w:val="TableParagraph"/>
              <w:spacing w:before="143"/>
            </w:pPr>
          </w:p>
          <w:p w14:paraId="24D61507" w14:textId="77777777" w:rsidR="00245300" w:rsidRPr="00EC20A0" w:rsidRDefault="00F17249">
            <w:pPr>
              <w:pStyle w:val="TableParagraph"/>
              <w:ind w:left="107"/>
            </w:pPr>
            <w:r w:rsidRPr="00EC20A0">
              <w:rPr>
                <w:spacing w:val="-2"/>
              </w:rPr>
              <w:t>Objective</w:t>
            </w:r>
          </w:p>
        </w:tc>
        <w:tc>
          <w:tcPr>
            <w:tcW w:w="2201" w:type="dxa"/>
            <w:tcBorders>
              <w:left w:val="single" w:sz="4" w:space="0" w:color="000000"/>
              <w:right w:val="single" w:sz="4" w:space="0" w:color="000000"/>
            </w:tcBorders>
          </w:tcPr>
          <w:p w14:paraId="24D61508" w14:textId="77777777" w:rsidR="00245300" w:rsidRPr="00EC20A0" w:rsidRDefault="00245300">
            <w:pPr>
              <w:pStyle w:val="TableParagraph"/>
              <w:spacing w:before="143"/>
            </w:pPr>
          </w:p>
          <w:p w14:paraId="24D61509" w14:textId="77777777" w:rsidR="00245300" w:rsidRPr="00EC20A0" w:rsidRDefault="00F17249">
            <w:pPr>
              <w:pStyle w:val="TableParagraph"/>
              <w:ind w:left="106"/>
            </w:pPr>
            <w:r w:rsidRPr="00EC20A0">
              <w:t>Control</w:t>
            </w:r>
            <w:r w:rsidRPr="00EC20A0">
              <w:rPr>
                <w:spacing w:val="-9"/>
              </w:rPr>
              <w:t xml:space="preserve"> </w:t>
            </w:r>
            <w:r w:rsidRPr="00EC20A0">
              <w:rPr>
                <w:spacing w:val="-2"/>
              </w:rPr>
              <w:t>Activities</w:t>
            </w:r>
          </w:p>
        </w:tc>
        <w:tc>
          <w:tcPr>
            <w:tcW w:w="1519" w:type="dxa"/>
            <w:tcBorders>
              <w:left w:val="single" w:sz="4" w:space="0" w:color="000000"/>
              <w:right w:val="single" w:sz="4" w:space="0" w:color="000000"/>
            </w:tcBorders>
          </w:tcPr>
          <w:p w14:paraId="24D6150A" w14:textId="77777777" w:rsidR="00245300" w:rsidRPr="00EC20A0" w:rsidRDefault="00245300">
            <w:pPr>
              <w:pStyle w:val="TableParagraph"/>
              <w:spacing w:before="143"/>
            </w:pPr>
          </w:p>
          <w:p w14:paraId="24D6150B" w14:textId="77777777" w:rsidR="00245300" w:rsidRPr="00EC20A0" w:rsidRDefault="00F17249">
            <w:pPr>
              <w:pStyle w:val="TableParagraph"/>
              <w:ind w:left="107"/>
            </w:pPr>
            <w:r w:rsidRPr="00EC20A0">
              <w:t>IS</w:t>
            </w:r>
            <w:r w:rsidRPr="00EC20A0">
              <w:rPr>
                <w:spacing w:val="-3"/>
              </w:rPr>
              <w:t xml:space="preserve"> </w:t>
            </w:r>
            <w:r w:rsidRPr="00EC20A0">
              <w:rPr>
                <w:spacing w:val="-2"/>
              </w:rPr>
              <w:t>(Y/N)</w:t>
            </w:r>
          </w:p>
        </w:tc>
        <w:tc>
          <w:tcPr>
            <w:tcW w:w="1640" w:type="dxa"/>
            <w:tcBorders>
              <w:left w:val="single" w:sz="4" w:space="0" w:color="000000"/>
              <w:right w:val="single" w:sz="4" w:space="0" w:color="000000"/>
            </w:tcBorders>
          </w:tcPr>
          <w:p w14:paraId="24D6150C" w14:textId="77777777" w:rsidR="00245300" w:rsidRPr="00EC20A0" w:rsidRDefault="00F17249">
            <w:pPr>
              <w:pStyle w:val="TableParagraph"/>
              <w:spacing w:before="143"/>
              <w:ind w:left="107" w:right="99"/>
            </w:pPr>
            <w:r w:rsidRPr="00EC20A0">
              <w:rPr>
                <w:spacing w:val="-2"/>
              </w:rPr>
              <w:t>Effective controls?</w:t>
            </w:r>
          </w:p>
        </w:tc>
        <w:tc>
          <w:tcPr>
            <w:tcW w:w="2172" w:type="dxa"/>
            <w:tcBorders>
              <w:left w:val="single" w:sz="4" w:space="0" w:color="000000"/>
            </w:tcBorders>
          </w:tcPr>
          <w:p w14:paraId="24D6150D" w14:textId="77777777" w:rsidR="00245300" w:rsidRPr="00EC20A0" w:rsidRDefault="00F17249">
            <w:pPr>
              <w:pStyle w:val="TableParagraph"/>
              <w:spacing w:before="143"/>
              <w:ind w:left="107"/>
            </w:pPr>
            <w:r w:rsidRPr="00EC20A0">
              <w:t xml:space="preserve">Instances of </w:t>
            </w:r>
            <w:r w:rsidRPr="00EC20A0">
              <w:rPr>
                <w:spacing w:val="-2"/>
              </w:rPr>
              <w:t>noncompliance?</w:t>
            </w:r>
          </w:p>
        </w:tc>
      </w:tr>
      <w:tr w:rsidR="00245300" w:rsidRPr="00EC20A0" w14:paraId="24D61518" w14:textId="77777777">
        <w:trPr>
          <w:trHeight w:val="2980"/>
        </w:trPr>
        <w:tc>
          <w:tcPr>
            <w:tcW w:w="3868" w:type="dxa"/>
            <w:tcBorders>
              <w:right w:val="single" w:sz="4" w:space="0" w:color="000000"/>
            </w:tcBorders>
          </w:tcPr>
          <w:p w14:paraId="24D6150F" w14:textId="77777777" w:rsidR="00245300" w:rsidRPr="00EC20A0" w:rsidRDefault="00F17249">
            <w:pPr>
              <w:pStyle w:val="TableParagraph"/>
              <w:spacing w:before="143"/>
              <w:ind w:left="817" w:hanging="720"/>
              <w:rPr>
                <w:sz w:val="18"/>
              </w:rPr>
            </w:pPr>
            <w:r w:rsidRPr="00EC20A0">
              <w:rPr>
                <w:smallCaps/>
                <w:sz w:val="18"/>
              </w:rPr>
              <w:t xml:space="preserve">811.03. </w:t>
            </w:r>
            <w:r w:rsidRPr="00EC20A0">
              <w:rPr>
                <w:smallCaps/>
                <w:spacing w:val="20"/>
                <w:sz w:val="18"/>
              </w:rPr>
              <w:t xml:space="preserve"> </w:t>
            </w:r>
            <w:r w:rsidRPr="00EC20A0">
              <w:rPr>
                <w:smallCaps/>
                <w:sz w:val="18"/>
              </w:rPr>
              <w:t>Deposits Into the Civil Service</w:t>
            </w:r>
            <w:r w:rsidRPr="00EC20A0">
              <w:rPr>
                <w:smallCaps/>
                <w:spacing w:val="40"/>
                <w:sz w:val="18"/>
              </w:rPr>
              <w:t xml:space="preserve"> </w:t>
            </w:r>
            <w:r w:rsidRPr="00EC20A0">
              <w:rPr>
                <w:smallCaps/>
                <w:sz w:val="18"/>
              </w:rPr>
              <w:t>Retirement</w:t>
            </w:r>
            <w:r w:rsidRPr="00EC20A0">
              <w:rPr>
                <w:smallCaps/>
                <w:spacing w:val="-10"/>
                <w:sz w:val="18"/>
              </w:rPr>
              <w:t xml:space="preserve"> </w:t>
            </w:r>
            <w:r w:rsidRPr="00EC20A0">
              <w:rPr>
                <w:smallCaps/>
                <w:sz w:val="18"/>
              </w:rPr>
              <w:t>and</w:t>
            </w:r>
            <w:r w:rsidRPr="00EC20A0">
              <w:rPr>
                <w:smallCaps/>
                <w:spacing w:val="-10"/>
                <w:sz w:val="18"/>
              </w:rPr>
              <w:t xml:space="preserve"> </w:t>
            </w:r>
            <w:r w:rsidRPr="00EC20A0">
              <w:rPr>
                <w:smallCaps/>
                <w:sz w:val="18"/>
              </w:rPr>
              <w:t>Disability</w:t>
            </w:r>
            <w:r w:rsidRPr="00EC20A0">
              <w:rPr>
                <w:smallCaps/>
                <w:spacing w:val="-10"/>
                <w:sz w:val="18"/>
              </w:rPr>
              <w:t xml:space="preserve"> </w:t>
            </w:r>
            <w:r w:rsidRPr="00EC20A0">
              <w:rPr>
                <w:smallCaps/>
                <w:sz w:val="18"/>
              </w:rPr>
              <w:t>Fund.</w:t>
            </w:r>
          </w:p>
          <w:p w14:paraId="24D61510" w14:textId="77777777" w:rsidR="00245300" w:rsidRPr="00EC20A0" w:rsidRDefault="00F17249">
            <w:pPr>
              <w:pStyle w:val="TableParagraph"/>
              <w:spacing w:before="144"/>
              <w:ind w:left="97" w:right="598"/>
              <w:rPr>
                <w:sz w:val="18"/>
              </w:rPr>
            </w:pPr>
            <w:r w:rsidRPr="00EC20A0">
              <w:rPr>
                <w:sz w:val="18"/>
              </w:rPr>
              <w:t>Provision</w:t>
            </w:r>
            <w:r w:rsidRPr="00EC20A0">
              <w:rPr>
                <w:spacing w:val="-13"/>
                <w:sz w:val="18"/>
              </w:rPr>
              <w:t xml:space="preserve"> </w:t>
            </w:r>
            <w:r w:rsidRPr="00EC20A0">
              <w:rPr>
                <w:sz w:val="18"/>
              </w:rPr>
              <w:t>Types:</w:t>
            </w:r>
            <w:r w:rsidRPr="00EC20A0">
              <w:rPr>
                <w:spacing w:val="-12"/>
                <w:sz w:val="18"/>
              </w:rPr>
              <w:t xml:space="preserve"> </w:t>
            </w:r>
            <w:r w:rsidRPr="00EC20A0">
              <w:rPr>
                <w:sz w:val="18"/>
              </w:rPr>
              <w:t>Procedural-based</w:t>
            </w:r>
            <w:r w:rsidRPr="00EC20A0">
              <w:rPr>
                <w:spacing w:val="-13"/>
                <w:sz w:val="18"/>
              </w:rPr>
              <w:t xml:space="preserve"> </w:t>
            </w:r>
            <w:r w:rsidRPr="00EC20A0">
              <w:rPr>
                <w:sz w:val="18"/>
              </w:rPr>
              <w:t xml:space="preserve">and </w:t>
            </w:r>
            <w:r w:rsidRPr="00EC20A0">
              <w:rPr>
                <w:spacing w:val="-2"/>
                <w:sz w:val="18"/>
              </w:rPr>
              <w:t>quantitative-based.</w:t>
            </w:r>
          </w:p>
          <w:p w14:paraId="24D61511" w14:textId="77777777" w:rsidR="00245300" w:rsidRPr="00EC20A0" w:rsidRDefault="00F17249">
            <w:pPr>
              <w:pStyle w:val="TableParagraph"/>
              <w:spacing w:before="145"/>
              <w:ind w:left="97" w:right="135"/>
              <w:rPr>
                <w:sz w:val="18"/>
              </w:rPr>
            </w:pPr>
            <w:r w:rsidRPr="00EC20A0">
              <w:rPr>
                <w:sz w:val="18"/>
              </w:rPr>
              <w:t>Amounts withheld from employees and the sum contributed by the entity for retirement benefits</w:t>
            </w:r>
            <w:r w:rsidRPr="00EC20A0">
              <w:rPr>
                <w:spacing w:val="-6"/>
                <w:sz w:val="18"/>
              </w:rPr>
              <w:t xml:space="preserve"> </w:t>
            </w:r>
            <w:r w:rsidRPr="00EC20A0">
              <w:rPr>
                <w:sz w:val="18"/>
              </w:rPr>
              <w:t>shall</w:t>
            </w:r>
            <w:r w:rsidRPr="00EC20A0">
              <w:rPr>
                <w:spacing w:val="-6"/>
                <w:sz w:val="18"/>
              </w:rPr>
              <w:t xml:space="preserve"> </w:t>
            </w:r>
            <w:r w:rsidRPr="00EC20A0">
              <w:rPr>
                <w:sz w:val="18"/>
              </w:rPr>
              <w:t>be</w:t>
            </w:r>
            <w:r w:rsidRPr="00EC20A0">
              <w:rPr>
                <w:spacing w:val="-7"/>
                <w:sz w:val="18"/>
              </w:rPr>
              <w:t xml:space="preserve"> </w:t>
            </w:r>
            <w:r w:rsidRPr="00EC20A0">
              <w:rPr>
                <w:sz w:val="18"/>
              </w:rPr>
              <w:t>deposited</w:t>
            </w:r>
            <w:r w:rsidRPr="00EC20A0">
              <w:rPr>
                <w:spacing w:val="-7"/>
                <w:sz w:val="18"/>
              </w:rPr>
              <w:t xml:space="preserve"> </w:t>
            </w:r>
            <w:r w:rsidRPr="00EC20A0">
              <w:rPr>
                <w:sz w:val="18"/>
              </w:rPr>
              <w:t>into</w:t>
            </w:r>
            <w:r w:rsidRPr="00EC20A0">
              <w:rPr>
                <w:spacing w:val="-7"/>
                <w:sz w:val="18"/>
              </w:rPr>
              <w:t xml:space="preserve"> </w:t>
            </w:r>
            <w:r w:rsidRPr="00EC20A0">
              <w:rPr>
                <w:sz w:val="18"/>
              </w:rPr>
              <w:t>the</w:t>
            </w:r>
            <w:r w:rsidRPr="00EC20A0">
              <w:rPr>
                <w:spacing w:val="-7"/>
                <w:sz w:val="18"/>
              </w:rPr>
              <w:t xml:space="preserve"> </w:t>
            </w:r>
            <w:r w:rsidRPr="00EC20A0">
              <w:rPr>
                <w:sz w:val="18"/>
              </w:rPr>
              <w:t>Treasury to the credit of the Civil Service Retirement and Disability Fund.</w:t>
            </w:r>
            <w:hyperlink w:anchor="_bookmark146" w:history="1">
              <w:r w:rsidRPr="00EC20A0">
                <w:rPr>
                  <w:position w:val="6"/>
                  <w:sz w:val="12"/>
                </w:rPr>
                <w:t>66</w:t>
              </w:r>
            </w:hyperlink>
            <w:r w:rsidRPr="00EC20A0">
              <w:rPr>
                <w:spacing w:val="40"/>
                <w:position w:val="6"/>
                <w:sz w:val="12"/>
              </w:rPr>
              <w:t xml:space="preserve"> </w:t>
            </w:r>
            <w:r w:rsidRPr="00EC20A0">
              <w:rPr>
                <w:sz w:val="18"/>
              </w:rPr>
              <w:t>5 U.S.C. § 8422(c).</w:t>
            </w:r>
          </w:p>
        </w:tc>
        <w:tc>
          <w:tcPr>
            <w:tcW w:w="1776" w:type="dxa"/>
            <w:tcBorders>
              <w:left w:val="single" w:sz="4" w:space="0" w:color="000000"/>
              <w:right w:val="single" w:sz="4" w:space="0" w:color="000000"/>
            </w:tcBorders>
          </w:tcPr>
          <w:p w14:paraId="24D61512" w14:textId="77777777" w:rsidR="00245300" w:rsidRPr="00EC20A0" w:rsidRDefault="00F17249">
            <w:pPr>
              <w:pStyle w:val="TableParagraph"/>
              <w:spacing w:before="143"/>
              <w:ind w:left="107" w:right="127"/>
              <w:rPr>
                <w:sz w:val="18"/>
              </w:rPr>
            </w:pPr>
            <w:r w:rsidRPr="00EC20A0">
              <w:rPr>
                <w:sz w:val="18"/>
              </w:rPr>
              <w:t>Withholdings from employees and entity</w:t>
            </w:r>
            <w:r w:rsidRPr="00EC20A0">
              <w:rPr>
                <w:spacing w:val="-10"/>
                <w:sz w:val="18"/>
              </w:rPr>
              <w:t xml:space="preserve"> </w:t>
            </w:r>
            <w:r w:rsidRPr="00EC20A0">
              <w:rPr>
                <w:sz w:val="18"/>
              </w:rPr>
              <w:t xml:space="preserve">contributions for retirement benefits are </w:t>
            </w:r>
            <w:r w:rsidRPr="00EC20A0">
              <w:rPr>
                <w:spacing w:val="-2"/>
                <w:sz w:val="18"/>
              </w:rPr>
              <w:t xml:space="preserve">properly </w:t>
            </w:r>
            <w:r w:rsidRPr="00EC20A0">
              <w:rPr>
                <w:sz w:val="18"/>
              </w:rPr>
              <w:t>summarized and deposited into the Treasury to the credit of the Civil Service</w:t>
            </w:r>
            <w:r w:rsidRPr="00EC20A0">
              <w:rPr>
                <w:spacing w:val="-13"/>
                <w:sz w:val="18"/>
              </w:rPr>
              <w:t xml:space="preserve"> </w:t>
            </w:r>
            <w:r w:rsidRPr="00EC20A0">
              <w:rPr>
                <w:sz w:val="18"/>
              </w:rPr>
              <w:t>Retirement and Disability</w:t>
            </w:r>
            <w:r w:rsidRPr="00EC20A0">
              <w:rPr>
                <w:spacing w:val="40"/>
                <w:sz w:val="18"/>
              </w:rPr>
              <w:t xml:space="preserve"> </w:t>
            </w:r>
            <w:r w:rsidRPr="00EC20A0">
              <w:rPr>
                <w:spacing w:val="-2"/>
                <w:sz w:val="18"/>
              </w:rPr>
              <w:t>Fund.</w:t>
            </w:r>
          </w:p>
        </w:tc>
        <w:tc>
          <w:tcPr>
            <w:tcW w:w="2201" w:type="dxa"/>
            <w:tcBorders>
              <w:left w:val="single" w:sz="4" w:space="0" w:color="000000"/>
              <w:right w:val="single" w:sz="4" w:space="0" w:color="000000"/>
            </w:tcBorders>
          </w:tcPr>
          <w:p w14:paraId="24D61513" w14:textId="77777777" w:rsidR="00245300" w:rsidRPr="00EC20A0" w:rsidRDefault="00245300">
            <w:pPr>
              <w:pStyle w:val="TableParagraph"/>
              <w:rPr>
                <w:sz w:val="18"/>
              </w:rPr>
            </w:pPr>
          </w:p>
        </w:tc>
        <w:tc>
          <w:tcPr>
            <w:tcW w:w="1519" w:type="dxa"/>
            <w:tcBorders>
              <w:left w:val="single" w:sz="4" w:space="0" w:color="000000"/>
              <w:right w:val="single" w:sz="4" w:space="0" w:color="000000"/>
            </w:tcBorders>
          </w:tcPr>
          <w:p w14:paraId="24D61514" w14:textId="77777777" w:rsidR="00245300" w:rsidRPr="00EC20A0" w:rsidRDefault="00245300">
            <w:pPr>
              <w:pStyle w:val="TableParagraph"/>
              <w:rPr>
                <w:sz w:val="18"/>
              </w:rPr>
            </w:pPr>
          </w:p>
        </w:tc>
        <w:tc>
          <w:tcPr>
            <w:tcW w:w="1640" w:type="dxa"/>
            <w:tcBorders>
              <w:left w:val="single" w:sz="4" w:space="0" w:color="000000"/>
              <w:right w:val="single" w:sz="4" w:space="0" w:color="000000"/>
            </w:tcBorders>
          </w:tcPr>
          <w:p w14:paraId="24D61515" w14:textId="77777777" w:rsidR="00245300" w:rsidRPr="00EC20A0" w:rsidRDefault="00245300">
            <w:pPr>
              <w:pStyle w:val="TableParagraph"/>
              <w:rPr>
                <w:sz w:val="18"/>
              </w:rPr>
            </w:pPr>
          </w:p>
        </w:tc>
        <w:tc>
          <w:tcPr>
            <w:tcW w:w="2172" w:type="dxa"/>
            <w:tcBorders>
              <w:left w:val="single" w:sz="4" w:space="0" w:color="000000"/>
            </w:tcBorders>
          </w:tcPr>
          <w:p w14:paraId="24D61516" w14:textId="77777777" w:rsidR="00245300" w:rsidRPr="00EC20A0" w:rsidRDefault="00F17249">
            <w:pPr>
              <w:pStyle w:val="TableParagraph"/>
              <w:spacing w:before="143"/>
              <w:ind w:left="107"/>
              <w:rPr>
                <w:sz w:val="18"/>
              </w:rPr>
            </w:pPr>
            <w:r w:rsidRPr="00EC20A0">
              <w:rPr>
                <w:sz w:val="18"/>
              </w:rPr>
              <w:t>See</w:t>
            </w:r>
            <w:r w:rsidRPr="00EC20A0">
              <w:rPr>
                <w:spacing w:val="-15"/>
                <w:sz w:val="18"/>
              </w:rPr>
              <w:t xml:space="preserve"> </w:t>
            </w:r>
            <w:r w:rsidRPr="00EC20A0">
              <w:rPr>
                <w:sz w:val="18"/>
              </w:rPr>
              <w:t>Compliance</w:t>
            </w:r>
            <w:r w:rsidRPr="00EC20A0">
              <w:rPr>
                <w:spacing w:val="-12"/>
                <w:sz w:val="18"/>
              </w:rPr>
              <w:t xml:space="preserve"> </w:t>
            </w:r>
            <w:r w:rsidRPr="00EC20A0">
              <w:rPr>
                <w:sz w:val="18"/>
              </w:rPr>
              <w:t>Audit Procedures,</w:t>
            </w:r>
            <w:r w:rsidRPr="00EC20A0">
              <w:rPr>
                <w:spacing w:val="-4"/>
                <w:sz w:val="18"/>
              </w:rPr>
              <w:t xml:space="preserve"> </w:t>
            </w:r>
            <w:r w:rsidRPr="00EC20A0">
              <w:rPr>
                <w:sz w:val="18"/>
              </w:rPr>
              <w:t>FAM</w:t>
            </w:r>
            <w:r w:rsidRPr="00EC20A0">
              <w:rPr>
                <w:spacing w:val="-3"/>
                <w:sz w:val="18"/>
              </w:rPr>
              <w:t xml:space="preserve"> </w:t>
            </w:r>
            <w:r w:rsidRPr="00EC20A0">
              <w:rPr>
                <w:spacing w:val="-5"/>
                <w:sz w:val="18"/>
              </w:rPr>
              <w:t>811</w:t>
            </w:r>
          </w:p>
          <w:p w14:paraId="24D61517" w14:textId="77777777" w:rsidR="00245300" w:rsidRPr="00EC20A0" w:rsidRDefault="00F17249">
            <w:pPr>
              <w:pStyle w:val="TableParagraph"/>
              <w:spacing w:before="1"/>
              <w:ind w:left="107"/>
              <w:rPr>
                <w:sz w:val="18"/>
              </w:rPr>
            </w:pPr>
            <w:r w:rsidRPr="00EC20A0">
              <w:rPr>
                <w:sz w:val="18"/>
              </w:rPr>
              <w:t>steps</w:t>
            </w:r>
            <w:r w:rsidRPr="00EC20A0">
              <w:rPr>
                <w:spacing w:val="-2"/>
                <w:sz w:val="18"/>
              </w:rPr>
              <w:t xml:space="preserve"> </w:t>
            </w:r>
            <w:r w:rsidRPr="00EC20A0">
              <w:rPr>
                <w:sz w:val="18"/>
              </w:rPr>
              <w:t>6</w:t>
            </w:r>
            <w:r w:rsidRPr="00EC20A0">
              <w:rPr>
                <w:spacing w:val="-1"/>
                <w:sz w:val="18"/>
              </w:rPr>
              <w:t xml:space="preserve"> </w:t>
            </w:r>
            <w:r w:rsidRPr="00EC20A0">
              <w:rPr>
                <w:sz w:val="18"/>
              </w:rPr>
              <w:t>and</w:t>
            </w:r>
            <w:r w:rsidRPr="00EC20A0">
              <w:rPr>
                <w:spacing w:val="-2"/>
                <w:sz w:val="18"/>
              </w:rPr>
              <w:t xml:space="preserve"> </w:t>
            </w:r>
            <w:r w:rsidRPr="00EC20A0">
              <w:rPr>
                <w:spacing w:val="-5"/>
                <w:sz w:val="18"/>
              </w:rPr>
              <w:t>7.</w:t>
            </w:r>
          </w:p>
        </w:tc>
      </w:tr>
    </w:tbl>
    <w:p w14:paraId="24D61519" w14:textId="77777777" w:rsidR="00245300" w:rsidRPr="00EC20A0" w:rsidRDefault="00245300">
      <w:pPr>
        <w:pStyle w:val="BodyText"/>
        <w:rPr>
          <w:sz w:val="20"/>
        </w:rPr>
      </w:pPr>
    </w:p>
    <w:p w14:paraId="24D6151A" w14:textId="77777777" w:rsidR="00245300" w:rsidRPr="00EC20A0" w:rsidRDefault="00245300">
      <w:pPr>
        <w:pStyle w:val="BodyText"/>
        <w:rPr>
          <w:sz w:val="20"/>
        </w:rPr>
      </w:pPr>
    </w:p>
    <w:p w14:paraId="24D6151B" w14:textId="77777777" w:rsidR="00245300" w:rsidRPr="00EC20A0" w:rsidRDefault="00245300">
      <w:pPr>
        <w:pStyle w:val="BodyText"/>
        <w:rPr>
          <w:sz w:val="20"/>
        </w:rPr>
      </w:pPr>
    </w:p>
    <w:p w14:paraId="24D6151C" w14:textId="77777777" w:rsidR="00245300" w:rsidRPr="00EC20A0" w:rsidRDefault="00245300">
      <w:pPr>
        <w:pStyle w:val="BodyText"/>
        <w:rPr>
          <w:sz w:val="20"/>
        </w:rPr>
      </w:pPr>
    </w:p>
    <w:p w14:paraId="24D6151D" w14:textId="77777777" w:rsidR="00245300" w:rsidRPr="00EC20A0" w:rsidRDefault="00245300">
      <w:pPr>
        <w:pStyle w:val="BodyText"/>
        <w:rPr>
          <w:sz w:val="20"/>
        </w:rPr>
      </w:pPr>
    </w:p>
    <w:p w14:paraId="24D6151E" w14:textId="77777777" w:rsidR="00245300" w:rsidRPr="00EC20A0" w:rsidRDefault="00245300">
      <w:pPr>
        <w:pStyle w:val="BodyText"/>
        <w:rPr>
          <w:sz w:val="20"/>
        </w:rPr>
      </w:pPr>
    </w:p>
    <w:p w14:paraId="24D6151F" w14:textId="77777777" w:rsidR="00245300" w:rsidRPr="00EC20A0" w:rsidRDefault="00245300">
      <w:pPr>
        <w:pStyle w:val="BodyText"/>
        <w:rPr>
          <w:sz w:val="20"/>
        </w:rPr>
      </w:pPr>
    </w:p>
    <w:p w14:paraId="24D61520" w14:textId="77777777" w:rsidR="00245300" w:rsidRPr="00EC20A0" w:rsidRDefault="00245300">
      <w:pPr>
        <w:pStyle w:val="BodyText"/>
        <w:rPr>
          <w:sz w:val="20"/>
        </w:rPr>
      </w:pPr>
    </w:p>
    <w:p w14:paraId="24D61521" w14:textId="77777777" w:rsidR="00245300" w:rsidRPr="00EC20A0" w:rsidRDefault="00245300">
      <w:pPr>
        <w:pStyle w:val="BodyText"/>
        <w:rPr>
          <w:sz w:val="20"/>
        </w:rPr>
      </w:pPr>
    </w:p>
    <w:p w14:paraId="24D61522" w14:textId="77777777" w:rsidR="00245300" w:rsidRPr="00EC20A0" w:rsidRDefault="00245300">
      <w:pPr>
        <w:pStyle w:val="BodyText"/>
        <w:rPr>
          <w:sz w:val="20"/>
        </w:rPr>
      </w:pPr>
    </w:p>
    <w:p w14:paraId="24D61523" w14:textId="77777777" w:rsidR="00245300" w:rsidRPr="00EC20A0" w:rsidRDefault="00245300">
      <w:pPr>
        <w:pStyle w:val="BodyText"/>
        <w:rPr>
          <w:sz w:val="20"/>
        </w:rPr>
      </w:pPr>
    </w:p>
    <w:p w14:paraId="24D61524" w14:textId="77777777" w:rsidR="00245300" w:rsidRPr="00EC20A0" w:rsidRDefault="00245300">
      <w:pPr>
        <w:pStyle w:val="BodyText"/>
        <w:rPr>
          <w:sz w:val="20"/>
        </w:rPr>
      </w:pPr>
    </w:p>
    <w:p w14:paraId="24D61525" w14:textId="77777777" w:rsidR="00245300" w:rsidRPr="00EC20A0" w:rsidRDefault="00F17249">
      <w:pPr>
        <w:pStyle w:val="BodyText"/>
        <w:spacing w:before="195"/>
        <w:rPr>
          <w:sz w:val="20"/>
        </w:rPr>
      </w:pPr>
      <w:r w:rsidRPr="00EC20A0">
        <w:rPr>
          <w:noProof/>
        </w:rPr>
        <mc:AlternateContent>
          <mc:Choice Requires="wps">
            <w:drawing>
              <wp:anchor distT="0" distB="0" distL="0" distR="0" simplePos="0" relativeHeight="487702016" behindDoc="1" locked="0" layoutInCell="1" allowOverlap="1" wp14:anchorId="24D62C7B" wp14:editId="24D62C7C">
                <wp:simplePos x="0" y="0"/>
                <wp:positionH relativeFrom="page">
                  <wp:posOffset>685800</wp:posOffset>
                </wp:positionH>
                <wp:positionV relativeFrom="paragraph">
                  <wp:posOffset>285270</wp:posOffset>
                </wp:positionV>
                <wp:extent cx="1828800" cy="6985"/>
                <wp:effectExtent l="0" t="0" r="0" b="0"/>
                <wp:wrapTopAndBottom/>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CC44C" id="Graphic 741" o:spid="_x0000_s1026" style="position:absolute;margin-left:54pt;margin-top:22.45pt;width:2in;height:.55pt;z-index:-1561446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" path="m1828800,l,,,6858r1828800,l1828800,xe" fillcolor="black" stroked="f">
                <v:path arrowok="t"/>
                <w10:wrap type="topAndBottom" anchorx="page"/>
              </v:shape>
            </w:pict>
          </mc:Fallback>
        </mc:AlternateContent>
      </w:r>
    </w:p>
    <w:p w14:paraId="24D61526" w14:textId="77777777" w:rsidR="00245300" w:rsidRPr="00EC20A0" w:rsidRDefault="00245300">
      <w:pPr>
        <w:pStyle w:val="BodyText"/>
        <w:spacing w:before="9"/>
        <w:rPr>
          <w:sz w:val="18"/>
        </w:rPr>
      </w:pPr>
    </w:p>
    <w:p w14:paraId="24D61527" w14:textId="77777777" w:rsidR="00245300" w:rsidRPr="00EC20A0" w:rsidRDefault="00F17249">
      <w:pPr>
        <w:spacing w:line="249" w:lineRule="auto"/>
        <w:ind w:left="120" w:hanging="1"/>
        <w:rPr>
          <w:sz w:val="18"/>
        </w:rPr>
      </w:pPr>
      <w:r w:rsidRPr="00EC20A0">
        <w:rPr>
          <w:position w:val="7"/>
          <w:sz w:val="14"/>
        </w:rPr>
        <w:t>66</w:t>
      </w:r>
      <w:r w:rsidRPr="00EC20A0">
        <w:rPr>
          <w:sz w:val="18"/>
        </w:rPr>
        <w:t xml:space="preserve">The Civil Service Retirement and Disability Fund is the fund established under 5 U.S.C. § 8348 that is available for the </w:t>
      </w:r>
      <w:r w:rsidRPr="00EC20A0">
        <w:rPr>
          <w:sz w:val="18"/>
        </w:rPr>
        <w:t>payment of employee benefits (primarily retirement)</w:t>
      </w:r>
      <w:r w:rsidRPr="00EC20A0">
        <w:rPr>
          <w:spacing w:val="-2"/>
          <w:sz w:val="18"/>
        </w:rPr>
        <w:t xml:space="preserve"> </w:t>
      </w:r>
      <w:r w:rsidRPr="00EC20A0">
        <w:rPr>
          <w:sz w:val="18"/>
        </w:rPr>
        <w:t>under</w:t>
      </w:r>
      <w:r w:rsidRPr="00EC20A0">
        <w:rPr>
          <w:spacing w:val="-2"/>
          <w:sz w:val="18"/>
        </w:rPr>
        <w:t xml:space="preserve"> </w:t>
      </w:r>
      <w:r w:rsidRPr="00EC20A0">
        <w:rPr>
          <w:sz w:val="18"/>
        </w:rPr>
        <w:t>5</w:t>
      </w:r>
      <w:r w:rsidRPr="00EC20A0">
        <w:rPr>
          <w:spacing w:val="-3"/>
          <w:sz w:val="18"/>
        </w:rPr>
        <w:t xml:space="preserve"> </w:t>
      </w:r>
      <w:r w:rsidRPr="00EC20A0">
        <w:rPr>
          <w:sz w:val="18"/>
        </w:rPr>
        <w:t>U.S.C.</w:t>
      </w:r>
      <w:r w:rsidRPr="00EC20A0">
        <w:rPr>
          <w:spacing w:val="-2"/>
          <w:sz w:val="18"/>
        </w:rPr>
        <w:t xml:space="preserve"> </w:t>
      </w:r>
      <w:r w:rsidRPr="00EC20A0">
        <w:rPr>
          <w:sz w:val="18"/>
        </w:rPr>
        <w:t>chapters</w:t>
      </w:r>
      <w:r w:rsidRPr="00EC20A0">
        <w:rPr>
          <w:spacing w:val="-2"/>
          <w:sz w:val="18"/>
        </w:rPr>
        <w:t xml:space="preserve"> </w:t>
      </w:r>
      <w:r w:rsidRPr="00EC20A0">
        <w:rPr>
          <w:sz w:val="18"/>
        </w:rPr>
        <w:t>83</w:t>
      </w:r>
      <w:r w:rsidRPr="00EC20A0">
        <w:rPr>
          <w:spacing w:val="-2"/>
          <w:sz w:val="18"/>
        </w:rPr>
        <w:t xml:space="preserve"> </w:t>
      </w:r>
      <w:r w:rsidRPr="00EC20A0">
        <w:rPr>
          <w:sz w:val="18"/>
        </w:rPr>
        <w:t>and</w:t>
      </w:r>
      <w:r w:rsidRPr="00EC20A0">
        <w:rPr>
          <w:spacing w:val="-1"/>
          <w:sz w:val="18"/>
        </w:rPr>
        <w:t xml:space="preserve"> </w:t>
      </w:r>
      <w:r w:rsidRPr="00EC20A0">
        <w:rPr>
          <w:sz w:val="18"/>
        </w:rPr>
        <w:t>84,</w:t>
      </w:r>
      <w:r w:rsidRPr="00EC20A0">
        <w:rPr>
          <w:spacing w:val="-2"/>
          <w:sz w:val="18"/>
        </w:rPr>
        <w:t xml:space="preserve"> </w:t>
      </w:r>
      <w:r w:rsidRPr="00EC20A0">
        <w:rPr>
          <w:sz w:val="18"/>
        </w:rPr>
        <w:t>and</w:t>
      </w:r>
      <w:r w:rsidRPr="00EC20A0">
        <w:rPr>
          <w:spacing w:val="-3"/>
          <w:sz w:val="18"/>
        </w:rPr>
        <w:t xml:space="preserve"> </w:t>
      </w:r>
      <w:r w:rsidRPr="00EC20A0">
        <w:rPr>
          <w:sz w:val="18"/>
        </w:rPr>
        <w:t>for</w:t>
      </w:r>
      <w:r w:rsidRPr="00EC20A0">
        <w:rPr>
          <w:spacing w:val="-2"/>
          <w:sz w:val="18"/>
        </w:rPr>
        <w:t xml:space="preserve"> </w:t>
      </w:r>
      <w:r w:rsidRPr="00EC20A0">
        <w:rPr>
          <w:sz w:val="18"/>
        </w:rPr>
        <w:t>specified</w:t>
      </w:r>
      <w:r w:rsidRPr="00EC20A0">
        <w:rPr>
          <w:spacing w:val="-3"/>
          <w:sz w:val="18"/>
        </w:rPr>
        <w:t xml:space="preserve"> </w:t>
      </w:r>
      <w:r w:rsidRPr="00EC20A0">
        <w:rPr>
          <w:sz w:val="18"/>
        </w:rPr>
        <w:t>administrative</w:t>
      </w:r>
      <w:r w:rsidRPr="00EC20A0">
        <w:rPr>
          <w:spacing w:val="-3"/>
          <w:sz w:val="18"/>
        </w:rPr>
        <w:t xml:space="preserve"> </w:t>
      </w:r>
      <w:r w:rsidRPr="00EC20A0">
        <w:rPr>
          <w:sz w:val="18"/>
        </w:rPr>
        <w:t>expenses</w:t>
      </w:r>
      <w:r w:rsidRPr="00EC20A0">
        <w:rPr>
          <w:spacing w:val="-1"/>
          <w:sz w:val="18"/>
        </w:rPr>
        <w:t xml:space="preserve"> </w:t>
      </w:r>
      <w:r w:rsidRPr="00EC20A0">
        <w:rPr>
          <w:sz w:val="18"/>
        </w:rPr>
        <w:t>incurred</w:t>
      </w:r>
      <w:r w:rsidRPr="00EC20A0">
        <w:rPr>
          <w:spacing w:val="-3"/>
          <w:sz w:val="18"/>
        </w:rPr>
        <w:t xml:space="preserve"> </w:t>
      </w:r>
      <w:r w:rsidRPr="00EC20A0">
        <w:rPr>
          <w:sz w:val="18"/>
        </w:rPr>
        <w:t>by</w:t>
      </w:r>
      <w:r w:rsidRPr="00EC20A0">
        <w:rPr>
          <w:spacing w:val="-2"/>
          <w:sz w:val="18"/>
        </w:rPr>
        <w:t xml:space="preserve"> </w:t>
      </w:r>
      <w:r w:rsidRPr="00EC20A0">
        <w:rPr>
          <w:sz w:val="18"/>
        </w:rPr>
        <w:t>OPM</w:t>
      </w:r>
      <w:r w:rsidRPr="00EC20A0">
        <w:rPr>
          <w:spacing w:val="-2"/>
          <w:sz w:val="18"/>
        </w:rPr>
        <w:t xml:space="preserve"> </w:t>
      </w:r>
      <w:r w:rsidRPr="00EC20A0">
        <w:rPr>
          <w:sz w:val="18"/>
        </w:rPr>
        <w:t>or</w:t>
      </w:r>
      <w:r w:rsidRPr="00EC20A0">
        <w:rPr>
          <w:spacing w:val="-2"/>
          <w:sz w:val="18"/>
        </w:rPr>
        <w:t xml:space="preserve"> </w:t>
      </w:r>
      <w:r w:rsidRPr="00EC20A0">
        <w:rPr>
          <w:sz w:val="18"/>
        </w:rPr>
        <w:t>the</w:t>
      </w:r>
      <w:r w:rsidRPr="00EC20A0">
        <w:rPr>
          <w:spacing w:val="-3"/>
          <w:sz w:val="18"/>
        </w:rPr>
        <w:t xml:space="preserve"> </w:t>
      </w:r>
      <w:r w:rsidRPr="00EC20A0">
        <w:rPr>
          <w:sz w:val="18"/>
        </w:rPr>
        <w:t>Merit</w:t>
      </w:r>
      <w:r w:rsidRPr="00EC20A0">
        <w:rPr>
          <w:spacing w:val="-2"/>
          <w:sz w:val="18"/>
        </w:rPr>
        <w:t xml:space="preserve"> </w:t>
      </w:r>
      <w:r w:rsidRPr="00EC20A0">
        <w:rPr>
          <w:sz w:val="18"/>
        </w:rPr>
        <w:t>Systems</w:t>
      </w:r>
      <w:r w:rsidRPr="00EC20A0">
        <w:rPr>
          <w:spacing w:val="-2"/>
          <w:sz w:val="18"/>
        </w:rPr>
        <w:t xml:space="preserve"> </w:t>
      </w:r>
      <w:r w:rsidRPr="00EC20A0">
        <w:rPr>
          <w:sz w:val="18"/>
        </w:rPr>
        <w:t>Protection</w:t>
      </w:r>
      <w:r w:rsidRPr="00EC20A0">
        <w:rPr>
          <w:spacing w:val="-3"/>
          <w:sz w:val="18"/>
        </w:rPr>
        <w:t xml:space="preserve"> </w:t>
      </w:r>
      <w:r w:rsidRPr="00EC20A0">
        <w:rPr>
          <w:sz w:val="18"/>
        </w:rPr>
        <w:t>Board.</w:t>
      </w:r>
      <w:r w:rsidRPr="00EC20A0">
        <w:rPr>
          <w:spacing w:val="-2"/>
          <w:sz w:val="18"/>
        </w:rPr>
        <w:t xml:space="preserve"> </w:t>
      </w:r>
      <w:r w:rsidRPr="00EC20A0">
        <w:rPr>
          <w:sz w:val="18"/>
        </w:rPr>
        <w:t>5</w:t>
      </w:r>
      <w:r w:rsidRPr="00EC20A0">
        <w:rPr>
          <w:spacing w:val="-1"/>
          <w:sz w:val="18"/>
        </w:rPr>
        <w:t xml:space="preserve"> </w:t>
      </w:r>
      <w:r w:rsidRPr="00EC20A0">
        <w:rPr>
          <w:sz w:val="18"/>
        </w:rPr>
        <w:t>U.S.C.</w:t>
      </w:r>
      <w:r w:rsidRPr="00EC20A0">
        <w:rPr>
          <w:spacing w:val="-2"/>
          <w:sz w:val="18"/>
        </w:rPr>
        <w:t xml:space="preserve"> </w:t>
      </w:r>
      <w:r w:rsidRPr="00EC20A0">
        <w:rPr>
          <w:sz w:val="18"/>
        </w:rPr>
        <w:t>§</w:t>
      </w:r>
      <w:r w:rsidRPr="00EC20A0">
        <w:rPr>
          <w:spacing w:val="-2"/>
          <w:sz w:val="18"/>
        </w:rPr>
        <w:t xml:space="preserve"> </w:t>
      </w:r>
      <w:r w:rsidRPr="00EC20A0">
        <w:rPr>
          <w:sz w:val="18"/>
        </w:rPr>
        <w:t>8401(6).</w:t>
      </w:r>
    </w:p>
    <w:p w14:paraId="24D61528" w14:textId="77777777" w:rsidR="00245300" w:rsidRPr="00EC20A0" w:rsidRDefault="00245300">
      <w:pPr>
        <w:spacing w:line="249" w:lineRule="auto"/>
        <w:rPr>
          <w:sz w:val="18"/>
        </w:rPr>
        <w:sectPr w:rsidR="00245300" w:rsidRPr="00EC20A0">
          <w:pgSz w:w="15840" w:h="12240" w:orient="landscape"/>
          <w:pgMar w:top="1380" w:right="1400" w:bottom="940" w:left="960" w:header="721" w:footer="742" w:gutter="0"/>
          <w:cols w:space="720"/>
        </w:sectPr>
      </w:pPr>
    </w:p>
    <w:p w14:paraId="24D61529" w14:textId="77777777" w:rsidR="00245300" w:rsidRPr="00EC20A0" w:rsidRDefault="00F17249">
      <w:pPr>
        <w:pStyle w:val="BodyText"/>
        <w:spacing w:before="121"/>
        <w:ind w:left="199" w:right="345"/>
      </w:pPr>
      <w:r w:rsidRPr="00EC20A0">
        <w:t xml:space="preserve">Note: The auditor </w:t>
      </w:r>
      <w:r w:rsidRPr="00EC20A0">
        <w:t>generally should perform these procedures or prepare equivalent documentation</w:t>
      </w:r>
      <w:r w:rsidRPr="00EC20A0">
        <w:rPr>
          <w:spacing w:val="-3"/>
        </w:rPr>
        <w:t xml:space="preserve"> </w:t>
      </w:r>
      <w:r w:rsidRPr="00EC20A0">
        <w:t>only</w:t>
      </w:r>
      <w:r w:rsidRPr="00EC20A0">
        <w:rPr>
          <w:spacing w:val="-3"/>
        </w:rPr>
        <w:t xml:space="preserve"> </w:t>
      </w:r>
      <w:r w:rsidRPr="00EC20A0">
        <w:t>if</w:t>
      </w:r>
      <w:r w:rsidRPr="00EC20A0">
        <w:rPr>
          <w:spacing w:val="-3"/>
        </w:rPr>
        <w:t xml:space="preserve"> </w:t>
      </w:r>
      <w:r w:rsidRPr="00EC20A0">
        <w:t>provisions</w:t>
      </w:r>
      <w:r w:rsidRPr="00EC20A0">
        <w:rPr>
          <w:spacing w:val="-4"/>
        </w:rPr>
        <w:t xml:space="preserve"> </w:t>
      </w:r>
      <w:r w:rsidRPr="00EC20A0">
        <w:t>of</w:t>
      </w:r>
      <w:r w:rsidRPr="00EC20A0">
        <w:rPr>
          <w:spacing w:val="-3"/>
        </w:rPr>
        <w:t xml:space="preserve"> </w:t>
      </w:r>
      <w:r w:rsidRPr="00EC20A0">
        <w:t>the</w:t>
      </w:r>
      <w:r w:rsidRPr="00EC20A0">
        <w:rPr>
          <w:spacing w:val="-4"/>
        </w:rPr>
        <w:t xml:space="preserve"> </w:t>
      </w:r>
      <w:r w:rsidRPr="00EC20A0">
        <w:t>Federal</w:t>
      </w:r>
      <w:r w:rsidRPr="00EC20A0">
        <w:rPr>
          <w:spacing w:val="-4"/>
        </w:rPr>
        <w:t xml:space="preserve"> </w:t>
      </w:r>
      <w:r w:rsidRPr="00EC20A0">
        <w:t>Employees’</w:t>
      </w:r>
      <w:r w:rsidRPr="00EC20A0">
        <w:rPr>
          <w:spacing w:val="-3"/>
        </w:rPr>
        <w:t xml:space="preserve"> </w:t>
      </w:r>
      <w:r w:rsidRPr="00EC20A0">
        <w:t>Retirement</w:t>
      </w:r>
      <w:r w:rsidRPr="00EC20A0">
        <w:rPr>
          <w:spacing w:val="-3"/>
        </w:rPr>
        <w:t xml:space="preserve"> </w:t>
      </w:r>
      <w:r w:rsidRPr="00EC20A0">
        <w:t>System</w:t>
      </w:r>
      <w:r w:rsidRPr="00EC20A0">
        <w:rPr>
          <w:spacing w:val="-4"/>
        </w:rPr>
        <w:t xml:space="preserve"> </w:t>
      </w:r>
      <w:r w:rsidRPr="00EC20A0">
        <w:t>Act</w:t>
      </w:r>
      <w:r w:rsidRPr="00EC20A0">
        <w:rPr>
          <w:spacing w:val="-3"/>
        </w:rPr>
        <w:t xml:space="preserve"> </w:t>
      </w:r>
      <w:r w:rsidRPr="00EC20A0">
        <w:t>(FERSA),</w:t>
      </w:r>
      <w:r w:rsidRPr="00EC20A0">
        <w:rPr>
          <w:spacing w:val="-4"/>
        </w:rPr>
        <w:t xml:space="preserve"> </w:t>
      </w:r>
      <w:r w:rsidRPr="00EC20A0">
        <w:t>as provided in 5 U.S.C. chapter 84, are significant, as indicated on Form 802, General Compliance Checklist, at page 802-12. These procedures are designed to test compliance with the provisions listed on the Compliance Summary. Implementing regulations for FERSA’s general administration are included in 5 C.F.R. Part 841.</w:t>
      </w:r>
    </w:p>
    <w:p w14:paraId="24D6152A" w14:textId="77777777" w:rsidR="00245300" w:rsidRPr="00EC20A0" w:rsidRDefault="00245300">
      <w:pPr>
        <w:pStyle w:val="BodyText"/>
        <w:spacing w:before="9"/>
        <w:rPr>
          <w:sz w:val="13"/>
        </w:rPr>
      </w:pPr>
    </w:p>
    <w:tbl>
      <w:tblPr>
        <w:tblW w:w="0" w:type="auto"/>
        <w:tblInd w:w="2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245300" w:rsidRPr="00EC20A0" w14:paraId="24D6152C" w14:textId="77777777">
        <w:trPr>
          <w:trHeight w:val="1335"/>
        </w:trPr>
        <w:tc>
          <w:tcPr>
            <w:tcW w:w="9360" w:type="dxa"/>
            <w:gridSpan w:val="3"/>
          </w:tcPr>
          <w:p w14:paraId="24D6152B" w14:textId="77777777" w:rsidR="00245300" w:rsidRPr="00EC20A0" w:rsidRDefault="00F17249">
            <w:pPr>
              <w:pStyle w:val="TableParagraph"/>
              <w:tabs>
                <w:tab w:val="left" w:pos="9041"/>
              </w:tabs>
              <w:spacing w:before="7" w:line="390" w:lineRule="atLeast"/>
              <w:ind w:left="103" w:right="271"/>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532" w14:textId="77777777">
        <w:trPr>
          <w:trHeight w:val="793"/>
        </w:trPr>
        <w:tc>
          <w:tcPr>
            <w:tcW w:w="6480" w:type="dxa"/>
            <w:tcBorders>
              <w:right w:val="single" w:sz="4" w:space="0" w:color="000000"/>
            </w:tcBorders>
          </w:tcPr>
          <w:p w14:paraId="24D6152D" w14:textId="77777777" w:rsidR="00245300" w:rsidRPr="00EC20A0" w:rsidRDefault="00245300">
            <w:pPr>
              <w:pStyle w:val="TableParagraph"/>
              <w:spacing w:before="144"/>
            </w:pPr>
          </w:p>
          <w:p w14:paraId="24D6152E" w14:textId="77777777" w:rsidR="00245300" w:rsidRPr="00EC20A0" w:rsidRDefault="00F17249">
            <w:pPr>
              <w:pStyle w:val="TableParagraph"/>
              <w:ind w:left="104"/>
              <w:rPr>
                <w:b/>
              </w:rPr>
            </w:pPr>
            <w:r w:rsidRPr="00EC20A0">
              <w:rPr>
                <w:b/>
              </w:rPr>
              <w:t>Audit</w:t>
            </w:r>
            <w:r w:rsidRPr="00EC20A0">
              <w:rPr>
                <w:b/>
                <w:spacing w:val="-7"/>
              </w:rPr>
              <w:t xml:space="preserve"> </w:t>
            </w:r>
            <w:r w:rsidRPr="00EC20A0">
              <w:rPr>
                <w:b/>
                <w:spacing w:val="-2"/>
              </w:rPr>
              <w:t>procedures</w:t>
            </w:r>
          </w:p>
        </w:tc>
        <w:tc>
          <w:tcPr>
            <w:tcW w:w="1440" w:type="dxa"/>
            <w:tcBorders>
              <w:left w:val="single" w:sz="4" w:space="0" w:color="000000"/>
              <w:right w:val="single" w:sz="4" w:space="0" w:color="000000"/>
            </w:tcBorders>
          </w:tcPr>
          <w:p w14:paraId="24D6152F" w14:textId="77777777" w:rsidR="00245300" w:rsidRPr="00EC20A0" w:rsidRDefault="00F17249">
            <w:pPr>
              <w:pStyle w:val="TableParagraph"/>
              <w:spacing w:before="144"/>
              <w:ind w:left="122" w:right="151"/>
              <w:rPr>
                <w:b/>
              </w:rPr>
            </w:pPr>
            <w:r w:rsidRPr="00EC20A0">
              <w:rPr>
                <w:b/>
                <w:spacing w:val="-2"/>
              </w:rPr>
              <w:t xml:space="preserve">Initials/ </w:t>
            </w:r>
            <w:r w:rsidRPr="00EC20A0">
              <w:rPr>
                <w:b/>
                <w:spacing w:val="-4"/>
              </w:rPr>
              <w:t>date</w:t>
            </w:r>
          </w:p>
        </w:tc>
        <w:tc>
          <w:tcPr>
            <w:tcW w:w="1440" w:type="dxa"/>
            <w:tcBorders>
              <w:left w:val="single" w:sz="4" w:space="0" w:color="000000"/>
            </w:tcBorders>
          </w:tcPr>
          <w:p w14:paraId="24D61530" w14:textId="77777777" w:rsidR="00245300" w:rsidRPr="00EC20A0" w:rsidRDefault="00245300">
            <w:pPr>
              <w:pStyle w:val="TableParagraph"/>
              <w:spacing w:before="144"/>
            </w:pPr>
          </w:p>
          <w:p w14:paraId="24D61531" w14:textId="77777777" w:rsidR="00245300" w:rsidRPr="00EC20A0" w:rsidRDefault="00F17249">
            <w:pPr>
              <w:pStyle w:val="TableParagraph"/>
              <w:ind w:left="122"/>
              <w:rPr>
                <w:b/>
              </w:rPr>
            </w:pPr>
            <w:r w:rsidRPr="00EC20A0">
              <w:rPr>
                <w:b/>
              </w:rPr>
              <w:t>Doc.</w:t>
            </w:r>
            <w:r w:rsidRPr="00EC20A0">
              <w:rPr>
                <w:b/>
                <w:spacing w:val="-6"/>
              </w:rPr>
              <w:t xml:space="preserve"> </w:t>
            </w:r>
            <w:r w:rsidRPr="00EC20A0">
              <w:rPr>
                <w:b/>
                <w:spacing w:val="-4"/>
              </w:rPr>
              <w:t>ref.</w:t>
            </w:r>
          </w:p>
        </w:tc>
      </w:tr>
      <w:tr w:rsidR="00245300" w:rsidRPr="00EC20A0" w14:paraId="24D6153A" w14:textId="77777777">
        <w:trPr>
          <w:trHeight w:val="5419"/>
        </w:trPr>
        <w:tc>
          <w:tcPr>
            <w:tcW w:w="6480" w:type="dxa"/>
            <w:tcBorders>
              <w:bottom w:val="single" w:sz="6" w:space="0" w:color="000000"/>
              <w:right w:val="single" w:sz="6" w:space="0" w:color="000000"/>
            </w:tcBorders>
          </w:tcPr>
          <w:p w14:paraId="24D61533" w14:textId="77777777" w:rsidR="00245300" w:rsidRPr="00EC20A0" w:rsidRDefault="00F17249">
            <w:pPr>
              <w:pStyle w:val="TableParagraph"/>
              <w:spacing w:before="144"/>
              <w:ind w:left="464" w:right="125" w:hanging="360"/>
            </w:pPr>
            <w:r w:rsidRPr="00EC20A0">
              <w:t>1.</w:t>
            </w:r>
            <w:r w:rsidRPr="00EC20A0">
              <w:rPr>
                <w:spacing w:val="80"/>
              </w:rPr>
              <w:t xml:space="preserve"> </w:t>
            </w:r>
            <w:r w:rsidRPr="00EC20A0">
              <w:t xml:space="preserve">Based on the preliminary assessment of compliance control effectiveness (as documented on Form 811, Compliance Summary), select a statistical sample of payroll records (e.g., each </w:t>
            </w:r>
            <w:r w:rsidRPr="00EC20A0">
              <w:t>employee’s pay per pay period) for the audit period for employees covered by the Federal Employees Retirement</w:t>
            </w:r>
            <w:r w:rsidRPr="00EC20A0">
              <w:rPr>
                <w:spacing w:val="-6"/>
              </w:rPr>
              <w:t xml:space="preserve"> </w:t>
            </w:r>
            <w:r w:rsidRPr="00EC20A0">
              <w:t>System</w:t>
            </w:r>
            <w:r w:rsidRPr="00EC20A0">
              <w:rPr>
                <w:spacing w:val="-8"/>
              </w:rPr>
              <w:t xml:space="preserve"> </w:t>
            </w:r>
            <w:r w:rsidRPr="00EC20A0">
              <w:t>(FERS)</w:t>
            </w:r>
            <w:r w:rsidRPr="00EC20A0">
              <w:rPr>
                <w:spacing w:val="-7"/>
              </w:rPr>
              <w:t xml:space="preserve"> </w:t>
            </w:r>
            <w:r w:rsidRPr="00EC20A0">
              <w:t>established</w:t>
            </w:r>
            <w:r w:rsidRPr="00EC20A0">
              <w:rPr>
                <w:spacing w:val="-7"/>
              </w:rPr>
              <w:t xml:space="preserve"> </w:t>
            </w:r>
            <w:r w:rsidRPr="00EC20A0">
              <w:t>pursuant</w:t>
            </w:r>
            <w:r w:rsidRPr="00EC20A0">
              <w:rPr>
                <w:spacing w:val="-7"/>
              </w:rPr>
              <w:t xml:space="preserve"> </w:t>
            </w:r>
            <w:r w:rsidRPr="00EC20A0">
              <w:t>to</w:t>
            </w:r>
            <w:r w:rsidRPr="00EC20A0">
              <w:rPr>
                <w:spacing w:val="-7"/>
              </w:rPr>
              <w:t xml:space="preserve"> </w:t>
            </w:r>
            <w:r w:rsidRPr="00EC20A0">
              <w:t>FERSA. See FAM 811.01, Entity Withholdings from Employee Pay for Retirement Benefits.</w:t>
            </w:r>
          </w:p>
          <w:p w14:paraId="24D61534" w14:textId="77777777" w:rsidR="00245300" w:rsidRPr="00EC20A0" w:rsidRDefault="00F17249">
            <w:pPr>
              <w:pStyle w:val="TableParagraph"/>
              <w:spacing w:before="145"/>
              <w:ind w:left="465" w:right="125" w:hanging="29"/>
            </w:pPr>
            <w:r w:rsidRPr="00EC20A0">
              <w:t>The sample size will vary based on the expected effectiveness</w:t>
            </w:r>
            <w:r w:rsidRPr="00EC20A0">
              <w:rPr>
                <w:spacing w:val="-6"/>
              </w:rPr>
              <w:t xml:space="preserve"> </w:t>
            </w:r>
            <w:r w:rsidRPr="00EC20A0">
              <w:t>of</w:t>
            </w:r>
            <w:r w:rsidRPr="00EC20A0">
              <w:rPr>
                <w:spacing w:val="-6"/>
              </w:rPr>
              <w:t xml:space="preserve"> </w:t>
            </w:r>
            <w:r w:rsidRPr="00EC20A0">
              <w:t>compliance</w:t>
            </w:r>
            <w:r w:rsidRPr="00EC20A0">
              <w:rPr>
                <w:spacing w:val="-6"/>
              </w:rPr>
              <w:t xml:space="preserve"> </w:t>
            </w:r>
            <w:r w:rsidRPr="00EC20A0">
              <w:t>controls,</w:t>
            </w:r>
            <w:r w:rsidRPr="00EC20A0">
              <w:rPr>
                <w:spacing w:val="-6"/>
              </w:rPr>
              <w:t xml:space="preserve"> </w:t>
            </w:r>
            <w:r w:rsidRPr="00EC20A0">
              <w:t>as</w:t>
            </w:r>
            <w:r w:rsidRPr="00EC20A0">
              <w:rPr>
                <w:spacing w:val="-6"/>
              </w:rPr>
              <w:t xml:space="preserve"> </w:t>
            </w:r>
            <w:r w:rsidRPr="00EC20A0">
              <w:t>discussed</w:t>
            </w:r>
            <w:r w:rsidRPr="00EC20A0">
              <w:rPr>
                <w:spacing w:val="-6"/>
              </w:rPr>
              <w:t xml:space="preserve"> </w:t>
            </w:r>
            <w:r w:rsidRPr="00EC20A0">
              <w:t>in</w:t>
            </w:r>
            <w:r w:rsidRPr="00EC20A0">
              <w:rPr>
                <w:spacing w:val="-6"/>
              </w:rPr>
              <w:t xml:space="preserve"> </w:t>
            </w:r>
            <w:r w:rsidRPr="00EC20A0">
              <w:t>FAM</w:t>
            </w:r>
          </w:p>
          <w:p w14:paraId="24D61535" w14:textId="77777777" w:rsidR="00245300" w:rsidRPr="00EC20A0" w:rsidRDefault="00F17249">
            <w:pPr>
              <w:pStyle w:val="TableParagraph"/>
              <w:ind w:left="465" w:right="125"/>
              <w:rPr>
                <w:sz w:val="14"/>
              </w:rPr>
            </w:pPr>
            <w:r w:rsidRPr="00EC20A0">
              <w:t>460.02.</w:t>
            </w:r>
            <w:r w:rsidRPr="00EC20A0">
              <w:rPr>
                <w:spacing w:val="-7"/>
              </w:rPr>
              <w:t xml:space="preserve"> </w:t>
            </w:r>
            <w:r w:rsidRPr="00EC20A0">
              <w:t>Document</w:t>
            </w:r>
            <w:r w:rsidRPr="00EC20A0">
              <w:rPr>
                <w:spacing w:val="-7"/>
              </w:rPr>
              <w:t xml:space="preserve"> </w:t>
            </w:r>
            <w:r w:rsidRPr="00EC20A0">
              <w:t>the</w:t>
            </w:r>
            <w:r w:rsidRPr="00EC20A0">
              <w:rPr>
                <w:spacing w:val="-7"/>
              </w:rPr>
              <w:t xml:space="preserve"> </w:t>
            </w:r>
            <w:r w:rsidRPr="00EC20A0">
              <w:t>sampling</w:t>
            </w:r>
            <w:r w:rsidRPr="00EC20A0">
              <w:rPr>
                <w:spacing w:val="-7"/>
              </w:rPr>
              <w:t xml:space="preserve"> </w:t>
            </w:r>
            <w:r w:rsidRPr="00EC20A0">
              <w:t>approach</w:t>
            </w:r>
            <w:r w:rsidRPr="00EC20A0">
              <w:rPr>
                <w:spacing w:val="-7"/>
              </w:rPr>
              <w:t xml:space="preserve"> </w:t>
            </w:r>
            <w:r w:rsidRPr="00EC20A0">
              <w:t>(see</w:t>
            </w:r>
            <w:r w:rsidRPr="00EC20A0">
              <w:rPr>
                <w:spacing w:val="-7"/>
              </w:rPr>
              <w:t xml:space="preserve"> </w:t>
            </w:r>
            <w:r w:rsidRPr="00EC20A0">
              <w:t>example documentation in FAM 495 D).</w:t>
            </w:r>
            <w:hyperlink w:anchor="_bookmark147" w:history="1">
              <w:r w:rsidRPr="00EC20A0">
                <w:rPr>
                  <w:position w:val="7"/>
                  <w:sz w:val="14"/>
                </w:rPr>
                <w:t>67</w:t>
              </w:r>
            </w:hyperlink>
          </w:p>
          <w:p w14:paraId="24D61536" w14:textId="77777777" w:rsidR="00245300" w:rsidRPr="00EC20A0" w:rsidRDefault="00F17249">
            <w:pPr>
              <w:pStyle w:val="TableParagraph"/>
              <w:spacing w:before="143"/>
              <w:ind w:left="459" w:right="191" w:hanging="26"/>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coordinate</w:t>
            </w:r>
            <w:r w:rsidRPr="00EC20A0">
              <w:rPr>
                <w:spacing w:val="-4"/>
              </w:rPr>
              <w:t xml:space="preserve"> </w:t>
            </w:r>
            <w:r w:rsidRPr="00EC20A0">
              <w:t>these</w:t>
            </w:r>
            <w:r w:rsidRPr="00EC20A0">
              <w:rPr>
                <w:spacing w:val="-5"/>
              </w:rPr>
              <w:t xml:space="preserve"> </w:t>
            </w:r>
            <w:r w:rsidRPr="00EC20A0">
              <w:t>tests</w:t>
            </w:r>
            <w:r w:rsidRPr="00EC20A0">
              <w:rPr>
                <w:spacing w:val="-4"/>
              </w:rPr>
              <w:t xml:space="preserve"> </w:t>
            </w:r>
            <w:r w:rsidRPr="00EC20A0">
              <w:t>with</w:t>
            </w:r>
            <w:r w:rsidRPr="00EC20A0">
              <w:rPr>
                <w:spacing w:val="-4"/>
              </w:rPr>
              <w:t xml:space="preserve"> </w:t>
            </w:r>
            <w:r w:rsidRPr="00EC20A0">
              <w:t>other</w:t>
            </w:r>
            <w:r w:rsidRPr="00EC20A0">
              <w:rPr>
                <w:spacing w:val="-4"/>
              </w:rPr>
              <w:t xml:space="preserve"> </w:t>
            </w:r>
            <w:r w:rsidRPr="00EC20A0">
              <w:t>tests</w:t>
            </w:r>
            <w:r w:rsidRPr="00EC20A0">
              <w:rPr>
                <w:spacing w:val="-4"/>
              </w:rPr>
              <w:t xml:space="preserve"> </w:t>
            </w:r>
            <w:r w:rsidRPr="00EC20A0">
              <w:t>of payroll-related expenses and with the agreed-upon procedures</w:t>
            </w:r>
            <w:r w:rsidRPr="00EC20A0">
              <w:rPr>
                <w:spacing w:val="-3"/>
              </w:rPr>
              <w:t xml:space="preserve"> </w:t>
            </w:r>
            <w:r w:rsidRPr="00EC20A0">
              <w:t>entity</w:t>
            </w:r>
            <w:r w:rsidRPr="00EC20A0">
              <w:rPr>
                <w:spacing w:val="-2"/>
              </w:rPr>
              <w:t xml:space="preserve"> </w:t>
            </w:r>
            <w:r w:rsidRPr="00EC20A0">
              <w:t>auditors</w:t>
            </w:r>
            <w:r w:rsidRPr="00EC20A0">
              <w:rPr>
                <w:spacing w:val="-2"/>
              </w:rPr>
              <w:t xml:space="preserve"> </w:t>
            </w:r>
            <w:r w:rsidRPr="00EC20A0">
              <w:t>perform</w:t>
            </w:r>
            <w:r w:rsidRPr="00EC20A0">
              <w:rPr>
                <w:spacing w:val="-3"/>
              </w:rPr>
              <w:t xml:space="preserve"> </w:t>
            </w:r>
            <w:r w:rsidRPr="00EC20A0">
              <w:t>for</w:t>
            </w:r>
            <w:r w:rsidRPr="00EC20A0">
              <w:rPr>
                <w:spacing w:val="-2"/>
              </w:rPr>
              <w:t xml:space="preserve"> </w:t>
            </w:r>
            <w:r w:rsidRPr="00EC20A0">
              <w:t>OPM,</w:t>
            </w:r>
            <w:r w:rsidRPr="00EC20A0">
              <w:rPr>
                <w:spacing w:val="-2"/>
              </w:rPr>
              <w:t xml:space="preserve"> </w:t>
            </w:r>
            <w:r w:rsidRPr="00EC20A0">
              <w:t>per</w:t>
            </w:r>
            <w:r w:rsidRPr="00EC20A0">
              <w:rPr>
                <w:spacing w:val="-2"/>
              </w:rPr>
              <w:t xml:space="preserve"> </w:t>
            </w:r>
            <w:r w:rsidRPr="00EC20A0">
              <w:t>OMB</w:t>
            </w:r>
            <w:r w:rsidRPr="00EC20A0">
              <w:rPr>
                <w:spacing w:val="-3"/>
              </w:rPr>
              <w:t xml:space="preserve"> </w:t>
            </w:r>
            <w:r w:rsidRPr="00EC20A0">
              <w:t>audit guidance, if performed.</w:t>
            </w:r>
          </w:p>
          <w:p w14:paraId="24D61537" w14:textId="77777777" w:rsidR="00245300" w:rsidRPr="00EC20A0" w:rsidRDefault="00F17249">
            <w:pPr>
              <w:pStyle w:val="TableParagraph"/>
              <w:tabs>
                <w:tab w:val="left" w:pos="6106"/>
              </w:tabs>
              <w:spacing w:before="32" w:line="398" w:lineRule="exact"/>
              <w:ind w:left="500" w:right="340"/>
            </w:pPr>
            <w:r w:rsidRPr="00EC20A0">
              <w:t>Sample size</w:t>
            </w:r>
            <w:r w:rsidRPr="00EC20A0">
              <w:rPr>
                <w:u w:val="single"/>
              </w:rPr>
              <w:tab/>
            </w:r>
            <w:r w:rsidRPr="00EC20A0">
              <w:t xml:space="preserve"> Sample selection method </w:t>
            </w:r>
            <w:r w:rsidRPr="00EC20A0">
              <w:rPr>
                <w:u w:val="single"/>
              </w:rPr>
              <w:tab/>
            </w:r>
          </w:p>
        </w:tc>
        <w:tc>
          <w:tcPr>
            <w:tcW w:w="1440" w:type="dxa"/>
            <w:tcBorders>
              <w:left w:val="single" w:sz="6" w:space="0" w:color="000000"/>
              <w:bottom w:val="single" w:sz="6" w:space="0" w:color="000000"/>
              <w:right w:val="single" w:sz="6" w:space="0" w:color="000000"/>
            </w:tcBorders>
          </w:tcPr>
          <w:p w14:paraId="24D61538" w14:textId="77777777" w:rsidR="00245300" w:rsidRPr="00EC20A0" w:rsidRDefault="00245300">
            <w:pPr>
              <w:pStyle w:val="TableParagraph"/>
              <w:rPr>
                <w:sz w:val="20"/>
              </w:rPr>
            </w:pPr>
          </w:p>
        </w:tc>
        <w:tc>
          <w:tcPr>
            <w:tcW w:w="1440" w:type="dxa"/>
            <w:tcBorders>
              <w:left w:val="single" w:sz="6" w:space="0" w:color="000000"/>
              <w:bottom w:val="single" w:sz="6" w:space="0" w:color="000000"/>
            </w:tcBorders>
          </w:tcPr>
          <w:p w14:paraId="24D61539" w14:textId="77777777" w:rsidR="00245300" w:rsidRPr="00EC20A0" w:rsidRDefault="00245300">
            <w:pPr>
              <w:pStyle w:val="TableParagraph"/>
              <w:rPr>
                <w:sz w:val="20"/>
              </w:rPr>
            </w:pPr>
          </w:p>
        </w:tc>
      </w:tr>
    </w:tbl>
    <w:p w14:paraId="24D6153B" w14:textId="77777777" w:rsidR="00245300" w:rsidRPr="00EC20A0" w:rsidRDefault="00245300">
      <w:pPr>
        <w:pStyle w:val="BodyText"/>
        <w:rPr>
          <w:sz w:val="20"/>
        </w:rPr>
      </w:pPr>
    </w:p>
    <w:p w14:paraId="24D6153C" w14:textId="77777777" w:rsidR="00245300" w:rsidRPr="00EC20A0" w:rsidRDefault="00245300">
      <w:pPr>
        <w:pStyle w:val="BodyText"/>
        <w:rPr>
          <w:sz w:val="20"/>
        </w:rPr>
      </w:pPr>
    </w:p>
    <w:p w14:paraId="24D6153D" w14:textId="77777777" w:rsidR="00245300" w:rsidRPr="00EC20A0" w:rsidRDefault="00245300">
      <w:pPr>
        <w:pStyle w:val="BodyText"/>
        <w:rPr>
          <w:sz w:val="20"/>
        </w:rPr>
      </w:pPr>
    </w:p>
    <w:p w14:paraId="24D6153E" w14:textId="77777777" w:rsidR="00245300" w:rsidRPr="00EC20A0" w:rsidRDefault="00245300">
      <w:pPr>
        <w:pStyle w:val="BodyText"/>
        <w:rPr>
          <w:sz w:val="20"/>
        </w:rPr>
      </w:pPr>
    </w:p>
    <w:p w14:paraId="24D6153F" w14:textId="77777777" w:rsidR="00245300" w:rsidRPr="00EC20A0" w:rsidRDefault="00245300">
      <w:pPr>
        <w:pStyle w:val="BodyText"/>
        <w:rPr>
          <w:sz w:val="20"/>
        </w:rPr>
      </w:pPr>
    </w:p>
    <w:p w14:paraId="24D61540" w14:textId="77777777" w:rsidR="00245300" w:rsidRPr="00EC20A0" w:rsidRDefault="00245300">
      <w:pPr>
        <w:pStyle w:val="BodyText"/>
        <w:rPr>
          <w:sz w:val="20"/>
        </w:rPr>
      </w:pPr>
    </w:p>
    <w:p w14:paraId="24D61541" w14:textId="77777777" w:rsidR="00245300" w:rsidRPr="00EC20A0" w:rsidRDefault="00F17249">
      <w:pPr>
        <w:pStyle w:val="BodyText"/>
        <w:spacing w:before="145"/>
        <w:rPr>
          <w:sz w:val="20"/>
        </w:rPr>
      </w:pPr>
      <w:r w:rsidRPr="00EC20A0">
        <w:rPr>
          <w:noProof/>
        </w:rPr>
        <mc:AlternateContent>
          <mc:Choice Requires="wps">
            <w:drawing>
              <wp:anchor distT="0" distB="0" distL="0" distR="0" simplePos="0" relativeHeight="487704576" behindDoc="1" locked="0" layoutInCell="1" allowOverlap="1" wp14:anchorId="24D62C7D" wp14:editId="24D62C7E">
                <wp:simplePos x="0" y="0"/>
                <wp:positionH relativeFrom="page">
                  <wp:posOffset>914400</wp:posOffset>
                </wp:positionH>
                <wp:positionV relativeFrom="paragraph">
                  <wp:posOffset>253693</wp:posOffset>
                </wp:positionV>
                <wp:extent cx="1828800" cy="6985"/>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E425EA" id="Graphic 749" o:spid="_x0000_s1026" style="position:absolute;margin-left:1in;margin-top:20pt;width:2in;height:.55pt;z-index:-156119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" path="m1828800,l,,,6857r1828800,l1828800,xe" fillcolor="black" stroked="f">
                <v:path arrowok="t"/>
                <w10:wrap type="topAndBottom" anchorx="page"/>
              </v:shape>
            </w:pict>
          </mc:Fallback>
        </mc:AlternateContent>
      </w:r>
    </w:p>
    <w:p w14:paraId="24D61542" w14:textId="77777777" w:rsidR="00245300" w:rsidRPr="00EC20A0" w:rsidRDefault="00F17249">
      <w:pPr>
        <w:spacing w:before="232" w:line="242" w:lineRule="auto"/>
        <w:ind w:left="199" w:right="337"/>
        <w:rPr>
          <w:sz w:val="18"/>
        </w:rPr>
      </w:pPr>
      <w:bookmarkStart w:id="262" w:name="_bookmark147"/>
      <w:bookmarkEnd w:id="262"/>
      <w:r w:rsidRPr="00EC20A0">
        <w:rPr>
          <w:sz w:val="18"/>
          <w:vertAlign w:val="superscript"/>
        </w:rPr>
        <w:t>67</w:t>
      </w:r>
      <w:r w:rsidRPr="00EC20A0">
        <w:rPr>
          <w:sz w:val="18"/>
        </w:rPr>
        <w:t xml:space="preserve">If the auditor uses </w:t>
      </w:r>
      <w:r w:rsidRPr="00EC20A0">
        <w:rPr>
          <w:sz w:val="18"/>
        </w:rPr>
        <w:t>multipurpose testing for the compliance test, compliance control test, or both and a substantive test of payroll expense details, then the auditor should select the sample items for the compliance test, compliance control</w:t>
      </w:r>
      <w:r w:rsidRPr="00EC20A0">
        <w:rPr>
          <w:spacing w:val="-2"/>
          <w:sz w:val="18"/>
        </w:rPr>
        <w:t xml:space="preserve"> </w:t>
      </w:r>
      <w:r w:rsidRPr="00EC20A0">
        <w:rPr>
          <w:sz w:val="18"/>
        </w:rPr>
        <w:t>test,</w:t>
      </w:r>
      <w:r w:rsidRPr="00EC20A0">
        <w:rPr>
          <w:spacing w:val="-2"/>
          <w:sz w:val="18"/>
        </w:rPr>
        <w:t xml:space="preserve"> </w:t>
      </w:r>
      <w:r w:rsidRPr="00EC20A0">
        <w:rPr>
          <w:sz w:val="18"/>
        </w:rPr>
        <w:t>or</w:t>
      </w:r>
      <w:r w:rsidRPr="00EC20A0">
        <w:rPr>
          <w:spacing w:val="-2"/>
          <w:sz w:val="18"/>
        </w:rPr>
        <w:t xml:space="preserve"> </w:t>
      </w:r>
      <w:r w:rsidRPr="00EC20A0">
        <w:rPr>
          <w:sz w:val="18"/>
        </w:rPr>
        <w:t>both</w:t>
      </w:r>
      <w:r w:rsidRPr="00EC20A0">
        <w:rPr>
          <w:spacing w:val="-3"/>
          <w:sz w:val="18"/>
        </w:rPr>
        <w:t xml:space="preserve"> </w:t>
      </w:r>
      <w:r w:rsidRPr="00EC20A0">
        <w:rPr>
          <w:sz w:val="18"/>
        </w:rPr>
        <w:t>using</w:t>
      </w:r>
      <w:r w:rsidRPr="00EC20A0">
        <w:rPr>
          <w:spacing w:val="-3"/>
          <w:sz w:val="18"/>
        </w:rPr>
        <w:t xml:space="preserve"> </w:t>
      </w:r>
      <w:r w:rsidRPr="00EC20A0">
        <w:rPr>
          <w:sz w:val="18"/>
        </w:rPr>
        <w:t>the</w:t>
      </w:r>
      <w:r w:rsidRPr="00EC20A0">
        <w:rPr>
          <w:spacing w:val="-1"/>
          <w:sz w:val="18"/>
        </w:rPr>
        <w:t xml:space="preserve"> </w:t>
      </w:r>
      <w:r w:rsidRPr="00EC20A0">
        <w:rPr>
          <w:sz w:val="18"/>
        </w:rPr>
        <w:t>sampling</w:t>
      </w:r>
      <w:r w:rsidRPr="00EC20A0">
        <w:rPr>
          <w:spacing w:val="-3"/>
          <w:sz w:val="18"/>
        </w:rPr>
        <w:t xml:space="preserve"> </w:t>
      </w:r>
      <w:r w:rsidRPr="00EC20A0">
        <w:rPr>
          <w:sz w:val="18"/>
        </w:rPr>
        <w:t>method</w:t>
      </w:r>
      <w:r w:rsidRPr="00EC20A0">
        <w:rPr>
          <w:spacing w:val="-3"/>
          <w:sz w:val="18"/>
        </w:rPr>
        <w:t xml:space="preserve"> </w:t>
      </w:r>
      <w:r w:rsidRPr="00EC20A0">
        <w:rPr>
          <w:sz w:val="18"/>
        </w:rPr>
        <w:t>used</w:t>
      </w:r>
      <w:r w:rsidRPr="00EC20A0">
        <w:rPr>
          <w:spacing w:val="-3"/>
          <w:sz w:val="18"/>
        </w:rPr>
        <w:t xml:space="preserve"> </w:t>
      </w:r>
      <w:r w:rsidRPr="00EC20A0">
        <w:rPr>
          <w:sz w:val="18"/>
        </w:rPr>
        <w:t>for</w:t>
      </w:r>
      <w:r w:rsidRPr="00EC20A0">
        <w:rPr>
          <w:spacing w:val="-2"/>
          <w:sz w:val="18"/>
        </w:rPr>
        <w:t xml:space="preserve"> </w:t>
      </w:r>
      <w:r w:rsidRPr="00EC20A0">
        <w:rPr>
          <w:sz w:val="18"/>
        </w:rPr>
        <w:t>the</w:t>
      </w:r>
      <w:r w:rsidRPr="00EC20A0">
        <w:rPr>
          <w:spacing w:val="-1"/>
          <w:sz w:val="18"/>
        </w:rPr>
        <w:t xml:space="preserve"> </w:t>
      </w:r>
      <w:r w:rsidRPr="00EC20A0">
        <w:rPr>
          <w:sz w:val="18"/>
        </w:rPr>
        <w:t>substantive</w:t>
      </w:r>
      <w:r w:rsidRPr="00EC20A0">
        <w:rPr>
          <w:spacing w:val="-3"/>
          <w:sz w:val="18"/>
        </w:rPr>
        <w:t xml:space="preserve"> </w:t>
      </w:r>
      <w:r w:rsidRPr="00EC20A0">
        <w:rPr>
          <w:sz w:val="18"/>
        </w:rPr>
        <w:t>test,</w:t>
      </w:r>
      <w:r w:rsidRPr="00EC20A0">
        <w:rPr>
          <w:spacing w:val="-2"/>
          <w:sz w:val="18"/>
        </w:rPr>
        <w:t xml:space="preserve"> </w:t>
      </w:r>
      <w:r w:rsidRPr="00EC20A0">
        <w:rPr>
          <w:sz w:val="18"/>
        </w:rPr>
        <w:t>as</w:t>
      </w:r>
      <w:r w:rsidRPr="00EC20A0">
        <w:rPr>
          <w:spacing w:val="-2"/>
          <w:sz w:val="18"/>
        </w:rPr>
        <w:t xml:space="preserve"> </w:t>
      </w:r>
      <w:r w:rsidRPr="00EC20A0">
        <w:rPr>
          <w:sz w:val="18"/>
        </w:rPr>
        <w:t>discussed</w:t>
      </w:r>
      <w:r w:rsidRPr="00EC20A0">
        <w:rPr>
          <w:spacing w:val="-3"/>
          <w:sz w:val="18"/>
        </w:rPr>
        <w:t xml:space="preserve"> </w:t>
      </w:r>
      <w:r w:rsidRPr="00EC20A0">
        <w:rPr>
          <w:sz w:val="18"/>
        </w:rPr>
        <w:t>in</w:t>
      </w:r>
      <w:r w:rsidRPr="00EC20A0">
        <w:rPr>
          <w:spacing w:val="-3"/>
          <w:sz w:val="18"/>
        </w:rPr>
        <w:t xml:space="preserve"> </w:t>
      </w:r>
      <w:r w:rsidRPr="00EC20A0">
        <w:rPr>
          <w:sz w:val="18"/>
        </w:rPr>
        <w:t>FAM</w:t>
      </w:r>
      <w:r w:rsidRPr="00EC20A0">
        <w:rPr>
          <w:spacing w:val="-2"/>
          <w:sz w:val="18"/>
        </w:rPr>
        <w:t xml:space="preserve"> </w:t>
      </w:r>
      <w:r w:rsidRPr="00EC20A0">
        <w:rPr>
          <w:sz w:val="18"/>
        </w:rPr>
        <w:t>430,</w:t>
      </w:r>
      <w:r w:rsidRPr="00EC20A0">
        <w:rPr>
          <w:spacing w:val="-2"/>
          <w:sz w:val="18"/>
        </w:rPr>
        <w:t xml:space="preserve"> </w:t>
      </w:r>
      <w:r w:rsidRPr="00EC20A0">
        <w:rPr>
          <w:sz w:val="18"/>
        </w:rPr>
        <w:t>Design</w:t>
      </w:r>
      <w:r w:rsidRPr="00EC20A0">
        <w:rPr>
          <w:spacing w:val="-3"/>
          <w:sz w:val="18"/>
        </w:rPr>
        <w:t xml:space="preserve"> </w:t>
      </w:r>
      <w:r w:rsidRPr="00EC20A0">
        <w:rPr>
          <w:sz w:val="18"/>
        </w:rPr>
        <w:t>Tests. Otherwise, the auditor should select items using attribute sampling, as discussed in FAM 460.02.</w:t>
      </w:r>
    </w:p>
    <w:p w14:paraId="24D61543" w14:textId="77777777" w:rsidR="00245300" w:rsidRPr="00EC20A0" w:rsidRDefault="00F17249">
      <w:pPr>
        <w:spacing w:before="114"/>
        <w:ind w:left="199" w:right="345"/>
        <w:rPr>
          <w:sz w:val="18"/>
        </w:rPr>
      </w:pPr>
      <w:r w:rsidRPr="00EC20A0">
        <w:rPr>
          <w:sz w:val="18"/>
        </w:rPr>
        <w:t>As</w:t>
      </w:r>
      <w:r w:rsidRPr="00EC20A0">
        <w:rPr>
          <w:spacing w:val="-3"/>
          <w:sz w:val="18"/>
        </w:rPr>
        <w:t xml:space="preserve"> </w:t>
      </w:r>
      <w:r w:rsidRPr="00EC20A0">
        <w:rPr>
          <w:sz w:val="18"/>
        </w:rPr>
        <w:t>with</w:t>
      </w:r>
      <w:r w:rsidRPr="00EC20A0">
        <w:rPr>
          <w:spacing w:val="-4"/>
          <w:sz w:val="18"/>
        </w:rPr>
        <w:t xml:space="preserve"> </w:t>
      </w:r>
      <w:r w:rsidRPr="00EC20A0">
        <w:rPr>
          <w:sz w:val="18"/>
        </w:rPr>
        <w:t>all</w:t>
      </w:r>
      <w:r w:rsidRPr="00EC20A0">
        <w:rPr>
          <w:spacing w:val="-3"/>
          <w:sz w:val="18"/>
        </w:rPr>
        <w:t xml:space="preserve"> </w:t>
      </w:r>
      <w:r w:rsidRPr="00EC20A0">
        <w:rPr>
          <w:sz w:val="18"/>
        </w:rPr>
        <w:t>sampling</w:t>
      </w:r>
      <w:r w:rsidRPr="00EC20A0">
        <w:rPr>
          <w:spacing w:val="-4"/>
          <w:sz w:val="18"/>
        </w:rPr>
        <w:t xml:space="preserve"> </w:t>
      </w:r>
      <w:r w:rsidRPr="00EC20A0">
        <w:rPr>
          <w:sz w:val="18"/>
        </w:rPr>
        <w:t>applications,</w:t>
      </w:r>
      <w:r w:rsidRPr="00EC20A0">
        <w:rPr>
          <w:spacing w:val="-3"/>
          <w:sz w:val="18"/>
        </w:rPr>
        <w:t xml:space="preserve"> </w:t>
      </w:r>
      <w:r w:rsidRPr="00EC20A0">
        <w:rPr>
          <w:sz w:val="18"/>
        </w:rPr>
        <w:t>the</w:t>
      </w:r>
      <w:r w:rsidRPr="00EC20A0">
        <w:rPr>
          <w:spacing w:val="-4"/>
          <w:sz w:val="18"/>
        </w:rPr>
        <w:t xml:space="preserve"> </w:t>
      </w:r>
      <w:r w:rsidRPr="00EC20A0">
        <w:rPr>
          <w:sz w:val="18"/>
        </w:rPr>
        <w:t>auditor</w:t>
      </w:r>
      <w:r w:rsidRPr="00EC20A0">
        <w:rPr>
          <w:spacing w:val="-3"/>
          <w:sz w:val="18"/>
        </w:rPr>
        <w:t xml:space="preserve"> </w:t>
      </w:r>
      <w:r w:rsidRPr="00EC20A0">
        <w:rPr>
          <w:sz w:val="18"/>
        </w:rPr>
        <w:t>should</w:t>
      </w:r>
      <w:r w:rsidRPr="00EC20A0">
        <w:rPr>
          <w:spacing w:val="-4"/>
          <w:sz w:val="18"/>
        </w:rPr>
        <w:t xml:space="preserve"> </w:t>
      </w:r>
      <w:r w:rsidRPr="00EC20A0">
        <w:rPr>
          <w:sz w:val="18"/>
        </w:rPr>
        <w:t>consider</w:t>
      </w:r>
      <w:r w:rsidRPr="00EC20A0">
        <w:rPr>
          <w:spacing w:val="-3"/>
          <w:sz w:val="18"/>
        </w:rPr>
        <w:t xml:space="preserve"> </w:t>
      </w:r>
      <w:r w:rsidRPr="00EC20A0">
        <w:rPr>
          <w:sz w:val="18"/>
        </w:rPr>
        <w:t>the</w:t>
      </w:r>
      <w:r w:rsidRPr="00EC20A0">
        <w:rPr>
          <w:spacing w:val="-4"/>
          <w:sz w:val="18"/>
        </w:rPr>
        <w:t xml:space="preserve"> </w:t>
      </w:r>
      <w:r w:rsidRPr="00EC20A0">
        <w:rPr>
          <w:sz w:val="18"/>
        </w:rPr>
        <w:t>completeness</w:t>
      </w:r>
      <w:r w:rsidRPr="00EC20A0">
        <w:rPr>
          <w:spacing w:val="-3"/>
          <w:sz w:val="18"/>
        </w:rPr>
        <w:t xml:space="preserve"> </w:t>
      </w:r>
      <w:r w:rsidRPr="00EC20A0">
        <w:rPr>
          <w:sz w:val="18"/>
        </w:rPr>
        <w:t>of</w:t>
      </w:r>
      <w:r w:rsidRPr="00EC20A0">
        <w:rPr>
          <w:spacing w:val="-3"/>
          <w:sz w:val="18"/>
        </w:rPr>
        <w:t xml:space="preserve"> </w:t>
      </w:r>
      <w:r w:rsidRPr="00EC20A0">
        <w:rPr>
          <w:sz w:val="18"/>
        </w:rPr>
        <w:t>the</w:t>
      </w:r>
      <w:r w:rsidRPr="00EC20A0">
        <w:rPr>
          <w:spacing w:val="-4"/>
          <w:sz w:val="18"/>
        </w:rPr>
        <w:t xml:space="preserve"> </w:t>
      </w:r>
      <w:r w:rsidRPr="00EC20A0">
        <w:rPr>
          <w:sz w:val="18"/>
        </w:rPr>
        <w:t>test</w:t>
      </w:r>
      <w:r w:rsidRPr="00EC20A0">
        <w:rPr>
          <w:spacing w:val="-3"/>
          <w:sz w:val="18"/>
        </w:rPr>
        <w:t xml:space="preserve"> </w:t>
      </w:r>
      <w:r w:rsidRPr="00EC20A0">
        <w:rPr>
          <w:sz w:val="18"/>
        </w:rPr>
        <w:t>population.</w:t>
      </w:r>
      <w:r w:rsidRPr="00EC20A0">
        <w:rPr>
          <w:spacing w:val="-3"/>
          <w:sz w:val="18"/>
        </w:rPr>
        <w:t xml:space="preserve"> </w:t>
      </w:r>
      <w:r w:rsidRPr="00EC20A0">
        <w:rPr>
          <w:sz w:val="18"/>
        </w:rPr>
        <w:t>For</w:t>
      </w:r>
      <w:r w:rsidRPr="00EC20A0">
        <w:rPr>
          <w:spacing w:val="-3"/>
          <w:sz w:val="18"/>
        </w:rPr>
        <w:t xml:space="preserve"> </w:t>
      </w:r>
      <w:r w:rsidRPr="00EC20A0">
        <w:rPr>
          <w:sz w:val="18"/>
        </w:rPr>
        <w:t>efficiency, the auditor should consider using records that were tested for validity and completeness (as well as the other assertions) in conjunction with substantive tests of payroll or other payroll related compliance tests.</w:t>
      </w:r>
    </w:p>
    <w:p w14:paraId="24D61544" w14:textId="77777777" w:rsidR="00245300" w:rsidRPr="00EC20A0" w:rsidRDefault="00245300">
      <w:pPr>
        <w:rPr>
          <w:sz w:val="18"/>
        </w:rPr>
        <w:sectPr w:rsidR="00245300" w:rsidRPr="00EC20A0">
          <w:headerReference w:type="default" r:id="rId134"/>
          <w:footerReference w:type="default" r:id="rId135"/>
          <w:pgSz w:w="12240" w:h="15840"/>
          <w:pgMar w:top="1340" w:right="1100" w:bottom="940" w:left="1240" w:header="721" w:footer="742" w:gutter="0"/>
          <w:cols w:space="720"/>
        </w:sectPr>
      </w:pPr>
    </w:p>
    <w:p w14:paraId="24D61545" w14:textId="77777777" w:rsidR="00245300" w:rsidRPr="00EC20A0" w:rsidRDefault="00245300">
      <w:pPr>
        <w:pStyle w:val="BodyText"/>
        <w:spacing w:before="9"/>
        <w:rPr>
          <w:sz w:val="11"/>
        </w:rPr>
      </w:pPr>
    </w:p>
    <w:tbl>
      <w:tblPr>
        <w:tblW w:w="0" w:type="auto"/>
        <w:tblInd w:w="2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245300" w:rsidRPr="00EC20A0" w14:paraId="24D61547" w14:textId="77777777">
        <w:trPr>
          <w:trHeight w:val="1335"/>
        </w:trPr>
        <w:tc>
          <w:tcPr>
            <w:tcW w:w="9360" w:type="dxa"/>
            <w:gridSpan w:val="3"/>
          </w:tcPr>
          <w:p w14:paraId="24D61546" w14:textId="77777777" w:rsidR="00245300" w:rsidRPr="00EC20A0" w:rsidRDefault="00F17249">
            <w:pPr>
              <w:pStyle w:val="TableParagraph"/>
              <w:tabs>
                <w:tab w:val="left" w:pos="9041"/>
              </w:tabs>
              <w:spacing w:before="7" w:line="390" w:lineRule="atLeast"/>
              <w:ind w:left="104" w:right="270"/>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54D" w14:textId="77777777">
        <w:trPr>
          <w:trHeight w:val="793"/>
        </w:trPr>
        <w:tc>
          <w:tcPr>
            <w:tcW w:w="6480" w:type="dxa"/>
            <w:tcBorders>
              <w:right w:val="single" w:sz="4" w:space="0" w:color="000000"/>
            </w:tcBorders>
          </w:tcPr>
          <w:p w14:paraId="24D61548" w14:textId="77777777" w:rsidR="00245300" w:rsidRPr="00EC20A0" w:rsidRDefault="00245300">
            <w:pPr>
              <w:pStyle w:val="TableParagraph"/>
              <w:spacing w:before="144"/>
            </w:pPr>
          </w:p>
          <w:p w14:paraId="24D61549" w14:textId="77777777" w:rsidR="00245300" w:rsidRPr="00EC20A0" w:rsidRDefault="00F17249">
            <w:pPr>
              <w:pStyle w:val="TableParagraph"/>
              <w:ind w:left="104"/>
              <w:rPr>
                <w:b/>
              </w:rPr>
            </w:pPr>
            <w:r w:rsidRPr="00EC20A0">
              <w:rPr>
                <w:b/>
              </w:rPr>
              <w:t>Audit</w:t>
            </w:r>
            <w:r w:rsidRPr="00EC20A0">
              <w:rPr>
                <w:b/>
                <w:spacing w:val="-7"/>
              </w:rPr>
              <w:t xml:space="preserve"> </w:t>
            </w:r>
            <w:r w:rsidRPr="00EC20A0">
              <w:rPr>
                <w:b/>
                <w:spacing w:val="-2"/>
              </w:rPr>
              <w:t>procedures</w:t>
            </w:r>
          </w:p>
        </w:tc>
        <w:tc>
          <w:tcPr>
            <w:tcW w:w="1440" w:type="dxa"/>
            <w:tcBorders>
              <w:left w:val="single" w:sz="4" w:space="0" w:color="000000"/>
              <w:right w:val="single" w:sz="4" w:space="0" w:color="000000"/>
            </w:tcBorders>
          </w:tcPr>
          <w:p w14:paraId="24D6154A" w14:textId="77777777" w:rsidR="00245300" w:rsidRPr="00EC20A0" w:rsidRDefault="00F17249">
            <w:pPr>
              <w:pStyle w:val="TableParagraph"/>
              <w:spacing w:before="144"/>
              <w:ind w:left="122" w:right="151"/>
              <w:rPr>
                <w:b/>
              </w:rPr>
            </w:pPr>
            <w:r w:rsidRPr="00EC20A0">
              <w:rPr>
                <w:b/>
                <w:spacing w:val="-2"/>
              </w:rPr>
              <w:t xml:space="preserve">Initials/ </w:t>
            </w:r>
            <w:r w:rsidRPr="00EC20A0">
              <w:rPr>
                <w:b/>
                <w:spacing w:val="-4"/>
              </w:rPr>
              <w:t>date</w:t>
            </w:r>
          </w:p>
        </w:tc>
        <w:tc>
          <w:tcPr>
            <w:tcW w:w="1440" w:type="dxa"/>
            <w:tcBorders>
              <w:left w:val="single" w:sz="4" w:space="0" w:color="000000"/>
            </w:tcBorders>
          </w:tcPr>
          <w:p w14:paraId="24D6154B" w14:textId="77777777" w:rsidR="00245300" w:rsidRPr="00EC20A0" w:rsidRDefault="00245300">
            <w:pPr>
              <w:pStyle w:val="TableParagraph"/>
              <w:spacing w:before="144"/>
            </w:pPr>
          </w:p>
          <w:p w14:paraId="24D6154C" w14:textId="77777777" w:rsidR="00245300" w:rsidRPr="00EC20A0" w:rsidRDefault="00F17249">
            <w:pPr>
              <w:pStyle w:val="TableParagraph"/>
              <w:ind w:left="122"/>
              <w:rPr>
                <w:b/>
              </w:rPr>
            </w:pPr>
            <w:r w:rsidRPr="00EC20A0">
              <w:rPr>
                <w:b/>
              </w:rPr>
              <w:t>Doc.</w:t>
            </w:r>
            <w:r w:rsidRPr="00EC20A0">
              <w:rPr>
                <w:b/>
                <w:spacing w:val="-6"/>
              </w:rPr>
              <w:t xml:space="preserve"> </w:t>
            </w:r>
            <w:r w:rsidRPr="00EC20A0">
              <w:rPr>
                <w:b/>
                <w:spacing w:val="-4"/>
              </w:rPr>
              <w:t>ref.</w:t>
            </w:r>
          </w:p>
        </w:tc>
      </w:tr>
      <w:tr w:rsidR="00245300" w:rsidRPr="00EC20A0" w14:paraId="24D61554" w14:textId="77777777">
        <w:trPr>
          <w:trHeight w:val="3250"/>
        </w:trPr>
        <w:tc>
          <w:tcPr>
            <w:tcW w:w="6480" w:type="dxa"/>
            <w:tcBorders>
              <w:bottom w:val="single" w:sz="4" w:space="0" w:color="000000"/>
              <w:right w:val="single" w:sz="4" w:space="0" w:color="000000"/>
            </w:tcBorders>
          </w:tcPr>
          <w:p w14:paraId="24D6154E" w14:textId="77777777" w:rsidR="00245300" w:rsidRPr="00EC20A0" w:rsidRDefault="00F17249">
            <w:pPr>
              <w:pStyle w:val="TableParagraph"/>
              <w:numPr>
                <w:ilvl w:val="0"/>
                <w:numId w:val="125"/>
              </w:numPr>
              <w:tabs>
                <w:tab w:val="left" w:pos="433"/>
                <w:tab w:val="left" w:pos="435"/>
              </w:tabs>
              <w:spacing w:before="144"/>
              <w:ind w:right="133" w:hanging="360"/>
            </w:pPr>
            <w:r w:rsidRPr="00EC20A0">
              <w:t>For</w:t>
            </w:r>
            <w:r w:rsidRPr="00EC20A0">
              <w:rPr>
                <w:spacing w:val="-4"/>
              </w:rPr>
              <w:t xml:space="preserve"> </w:t>
            </w:r>
            <w:r w:rsidRPr="00EC20A0">
              <w:t>each</w:t>
            </w:r>
            <w:r w:rsidRPr="00EC20A0">
              <w:rPr>
                <w:spacing w:val="-4"/>
              </w:rPr>
              <w:t xml:space="preserve"> </w:t>
            </w:r>
            <w:r w:rsidRPr="00EC20A0">
              <w:t>selection</w:t>
            </w:r>
            <w:r w:rsidRPr="00EC20A0">
              <w:rPr>
                <w:spacing w:val="-4"/>
              </w:rPr>
              <w:t xml:space="preserve"> </w:t>
            </w:r>
            <w:r w:rsidRPr="00EC20A0">
              <w:t>made</w:t>
            </w:r>
            <w:r w:rsidRPr="00EC20A0">
              <w:rPr>
                <w:spacing w:val="-4"/>
              </w:rPr>
              <w:t xml:space="preserve"> </w:t>
            </w:r>
            <w:r w:rsidRPr="00EC20A0">
              <w:t>in</w:t>
            </w:r>
            <w:r w:rsidRPr="00EC20A0">
              <w:rPr>
                <w:spacing w:val="-4"/>
              </w:rPr>
              <w:t xml:space="preserve"> </w:t>
            </w:r>
            <w:r w:rsidRPr="00EC20A0">
              <w:t>1,</w:t>
            </w:r>
            <w:r w:rsidRPr="00EC20A0">
              <w:rPr>
                <w:spacing w:val="-4"/>
              </w:rPr>
              <w:t xml:space="preserve"> </w:t>
            </w:r>
            <w:r w:rsidRPr="00EC20A0">
              <w:t>document</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for</w:t>
            </w:r>
            <w:r w:rsidRPr="00EC20A0">
              <w:rPr>
                <w:spacing w:val="-4"/>
              </w:rPr>
              <w:t xml:space="preserve"> </w:t>
            </w:r>
            <w:r w:rsidRPr="00EC20A0">
              <w:t>the pay period selected:</w:t>
            </w:r>
          </w:p>
          <w:p w14:paraId="24D6154F" w14:textId="77777777" w:rsidR="00245300" w:rsidRPr="00EC20A0" w:rsidRDefault="00F17249">
            <w:pPr>
              <w:pStyle w:val="TableParagraph"/>
              <w:numPr>
                <w:ilvl w:val="1"/>
                <w:numId w:val="125"/>
              </w:numPr>
              <w:tabs>
                <w:tab w:val="left" w:pos="613"/>
              </w:tabs>
              <w:spacing w:before="144"/>
              <w:ind w:left="613" w:hanging="178"/>
            </w:pPr>
            <w:r w:rsidRPr="00EC20A0">
              <w:t>the</w:t>
            </w:r>
            <w:r w:rsidRPr="00EC20A0">
              <w:rPr>
                <w:spacing w:val="-6"/>
              </w:rPr>
              <w:t xml:space="preserve"> </w:t>
            </w:r>
            <w:r w:rsidRPr="00EC20A0">
              <w:t>amount</w:t>
            </w:r>
            <w:r w:rsidRPr="00EC20A0">
              <w:rPr>
                <w:spacing w:val="-6"/>
              </w:rPr>
              <w:t xml:space="preserve"> </w:t>
            </w:r>
            <w:r w:rsidRPr="00EC20A0">
              <w:t>withheld</w:t>
            </w:r>
            <w:r w:rsidRPr="00EC20A0">
              <w:rPr>
                <w:spacing w:val="-5"/>
              </w:rPr>
              <w:t xml:space="preserve"> </w:t>
            </w:r>
            <w:r w:rsidRPr="00EC20A0">
              <w:t>for</w:t>
            </w:r>
            <w:r w:rsidRPr="00EC20A0">
              <w:rPr>
                <w:spacing w:val="-7"/>
              </w:rPr>
              <w:t xml:space="preserve"> </w:t>
            </w:r>
            <w:r w:rsidRPr="00EC20A0">
              <w:t>the</w:t>
            </w:r>
            <w:r w:rsidRPr="00EC20A0">
              <w:rPr>
                <w:spacing w:val="-6"/>
              </w:rPr>
              <w:t xml:space="preserve"> </w:t>
            </w:r>
            <w:r w:rsidRPr="00EC20A0">
              <w:t>cost</w:t>
            </w:r>
            <w:r w:rsidRPr="00EC20A0">
              <w:rPr>
                <w:spacing w:val="-5"/>
              </w:rPr>
              <w:t xml:space="preserve"> </w:t>
            </w:r>
            <w:r w:rsidRPr="00EC20A0">
              <w:t>of</w:t>
            </w:r>
            <w:r w:rsidRPr="00EC20A0">
              <w:rPr>
                <w:spacing w:val="-6"/>
              </w:rPr>
              <w:t xml:space="preserve"> </w:t>
            </w:r>
            <w:r w:rsidRPr="00EC20A0">
              <w:t>retirement</w:t>
            </w:r>
            <w:r w:rsidRPr="00EC20A0">
              <w:rPr>
                <w:spacing w:val="-5"/>
              </w:rPr>
              <w:t xml:space="preserve"> </w:t>
            </w:r>
            <w:r w:rsidRPr="00EC20A0">
              <w:rPr>
                <w:spacing w:val="-2"/>
              </w:rPr>
              <w:t>benefits;</w:t>
            </w:r>
          </w:p>
          <w:p w14:paraId="24D61550" w14:textId="77777777" w:rsidR="00245300" w:rsidRPr="00EC20A0" w:rsidRDefault="00F17249">
            <w:pPr>
              <w:pStyle w:val="TableParagraph"/>
              <w:numPr>
                <w:ilvl w:val="1"/>
                <w:numId w:val="125"/>
              </w:numPr>
              <w:tabs>
                <w:tab w:val="left" w:pos="643"/>
              </w:tabs>
              <w:spacing w:before="145"/>
              <w:ind w:left="643" w:hanging="208"/>
            </w:pPr>
            <w:r w:rsidRPr="00EC20A0">
              <w:t>the</w:t>
            </w:r>
            <w:r w:rsidRPr="00EC20A0">
              <w:rPr>
                <w:spacing w:val="-5"/>
              </w:rPr>
              <w:t xml:space="preserve"> </w:t>
            </w:r>
            <w:r w:rsidRPr="00EC20A0">
              <w:t>amount</w:t>
            </w:r>
            <w:r w:rsidRPr="00EC20A0">
              <w:rPr>
                <w:spacing w:val="-5"/>
              </w:rPr>
              <w:t xml:space="preserve"> </w:t>
            </w:r>
            <w:r w:rsidRPr="00EC20A0">
              <w:t>of</w:t>
            </w:r>
            <w:r w:rsidRPr="00EC20A0">
              <w:rPr>
                <w:spacing w:val="-5"/>
              </w:rPr>
              <w:t xml:space="preserve"> </w:t>
            </w:r>
            <w:r w:rsidRPr="00EC20A0">
              <w:t>basic</w:t>
            </w:r>
            <w:r w:rsidRPr="00EC20A0">
              <w:rPr>
                <w:spacing w:val="-5"/>
              </w:rPr>
              <w:t xml:space="preserve"> </w:t>
            </w:r>
            <w:r w:rsidRPr="00EC20A0">
              <w:t>pay;</w:t>
            </w:r>
            <w:r w:rsidRPr="00EC20A0">
              <w:rPr>
                <w:spacing w:val="-5"/>
              </w:rPr>
              <w:t xml:space="preserve"> and</w:t>
            </w:r>
          </w:p>
          <w:p w14:paraId="24D61551" w14:textId="77777777" w:rsidR="00245300" w:rsidRPr="00EC20A0" w:rsidRDefault="00F17249">
            <w:pPr>
              <w:pStyle w:val="TableParagraph"/>
              <w:numPr>
                <w:ilvl w:val="1"/>
                <w:numId w:val="125"/>
              </w:numPr>
              <w:tabs>
                <w:tab w:val="left" w:pos="613"/>
                <w:tab w:val="left" w:pos="622"/>
              </w:tabs>
              <w:spacing w:before="144"/>
              <w:ind w:right="263" w:hanging="187"/>
            </w:pPr>
            <w:r w:rsidRPr="00EC20A0">
              <w:t xml:space="preserve">if indicated in the payroll </w:t>
            </w:r>
            <w:r w:rsidRPr="00EC20A0">
              <w:t>disbursement records, the retirement plan under which the withholdings were made (the Civil Service Retirement System (CSRS) or FERS). (Only</w:t>
            </w:r>
            <w:r w:rsidRPr="00EC20A0">
              <w:rPr>
                <w:spacing w:val="-5"/>
              </w:rPr>
              <w:t xml:space="preserve"> </w:t>
            </w:r>
            <w:r w:rsidRPr="00EC20A0">
              <w:t>employees</w:t>
            </w:r>
            <w:r w:rsidRPr="00EC20A0">
              <w:rPr>
                <w:spacing w:val="-4"/>
              </w:rPr>
              <w:t xml:space="preserve"> </w:t>
            </w:r>
            <w:r w:rsidRPr="00EC20A0">
              <w:t>covered</w:t>
            </w:r>
            <w:r w:rsidRPr="00EC20A0">
              <w:rPr>
                <w:spacing w:val="-5"/>
              </w:rPr>
              <w:t xml:space="preserve"> </w:t>
            </w:r>
            <w:r w:rsidRPr="00EC20A0">
              <w:t>by</w:t>
            </w:r>
            <w:r w:rsidRPr="00EC20A0">
              <w:rPr>
                <w:spacing w:val="-5"/>
              </w:rPr>
              <w:t xml:space="preserve"> </w:t>
            </w:r>
            <w:r w:rsidRPr="00EC20A0">
              <w:t>FERS</w:t>
            </w:r>
            <w:r w:rsidRPr="00EC20A0">
              <w:rPr>
                <w:spacing w:val="-5"/>
              </w:rPr>
              <w:t xml:space="preserve"> </w:t>
            </w:r>
            <w:r w:rsidRPr="00EC20A0">
              <w:t>should</w:t>
            </w:r>
            <w:r w:rsidRPr="00EC20A0">
              <w:rPr>
                <w:spacing w:val="-5"/>
              </w:rPr>
              <w:t xml:space="preserve"> </w:t>
            </w:r>
            <w:r w:rsidRPr="00EC20A0">
              <w:t>be</w:t>
            </w:r>
            <w:r w:rsidRPr="00EC20A0">
              <w:rPr>
                <w:spacing w:val="-5"/>
              </w:rPr>
              <w:t xml:space="preserve"> </w:t>
            </w:r>
            <w:r w:rsidRPr="00EC20A0">
              <w:t>included</w:t>
            </w:r>
            <w:r w:rsidRPr="00EC20A0">
              <w:rPr>
                <w:spacing w:val="-5"/>
              </w:rPr>
              <w:t xml:space="preserve"> </w:t>
            </w:r>
            <w:r w:rsidRPr="00EC20A0">
              <w:t>in this compliance test. See FAM 808 for the CSRS compliance test.)</w:t>
            </w:r>
          </w:p>
        </w:tc>
        <w:tc>
          <w:tcPr>
            <w:tcW w:w="1440" w:type="dxa"/>
            <w:tcBorders>
              <w:left w:val="single" w:sz="4" w:space="0" w:color="000000"/>
              <w:bottom w:val="single" w:sz="4" w:space="0" w:color="000000"/>
              <w:right w:val="single" w:sz="4" w:space="0" w:color="000000"/>
            </w:tcBorders>
          </w:tcPr>
          <w:p w14:paraId="24D61552" w14:textId="77777777" w:rsidR="00245300" w:rsidRPr="00EC20A0" w:rsidRDefault="00245300">
            <w:pPr>
              <w:pStyle w:val="TableParagraph"/>
              <w:rPr>
                <w:sz w:val="20"/>
              </w:rPr>
            </w:pPr>
          </w:p>
        </w:tc>
        <w:tc>
          <w:tcPr>
            <w:tcW w:w="1440" w:type="dxa"/>
            <w:tcBorders>
              <w:left w:val="single" w:sz="4" w:space="0" w:color="000000"/>
              <w:bottom w:val="single" w:sz="4" w:space="0" w:color="000000"/>
            </w:tcBorders>
          </w:tcPr>
          <w:p w14:paraId="24D61553" w14:textId="77777777" w:rsidR="00245300" w:rsidRPr="00EC20A0" w:rsidRDefault="00245300">
            <w:pPr>
              <w:pStyle w:val="TableParagraph"/>
              <w:rPr>
                <w:sz w:val="20"/>
              </w:rPr>
            </w:pPr>
          </w:p>
        </w:tc>
      </w:tr>
      <w:tr w:rsidR="00245300" w:rsidRPr="00EC20A0" w14:paraId="24D6155B" w14:textId="77777777">
        <w:trPr>
          <w:trHeight w:val="1984"/>
        </w:trPr>
        <w:tc>
          <w:tcPr>
            <w:tcW w:w="6480" w:type="dxa"/>
            <w:tcBorders>
              <w:top w:val="single" w:sz="4" w:space="0" w:color="000000"/>
              <w:bottom w:val="single" w:sz="6" w:space="0" w:color="000000"/>
              <w:right w:val="single" w:sz="4" w:space="0" w:color="000000"/>
            </w:tcBorders>
          </w:tcPr>
          <w:p w14:paraId="24D61555" w14:textId="77777777" w:rsidR="00245300" w:rsidRPr="00EC20A0" w:rsidRDefault="00F17249">
            <w:pPr>
              <w:pStyle w:val="TableParagraph"/>
              <w:numPr>
                <w:ilvl w:val="0"/>
                <w:numId w:val="124"/>
              </w:numPr>
              <w:tabs>
                <w:tab w:val="left" w:pos="433"/>
                <w:tab w:val="left" w:pos="436"/>
              </w:tabs>
              <w:spacing w:before="144"/>
              <w:ind w:right="1112" w:hanging="361"/>
            </w:pPr>
            <w:r w:rsidRPr="00EC20A0">
              <w:t>For</w:t>
            </w:r>
            <w:r w:rsidRPr="00EC20A0">
              <w:rPr>
                <w:spacing w:val="-5"/>
              </w:rPr>
              <w:t xml:space="preserve"> </w:t>
            </w:r>
            <w:r w:rsidRPr="00EC20A0">
              <w:t>each</w:t>
            </w:r>
            <w:r w:rsidRPr="00EC20A0">
              <w:rPr>
                <w:spacing w:val="-5"/>
              </w:rPr>
              <w:t xml:space="preserve"> </w:t>
            </w:r>
            <w:r w:rsidRPr="00EC20A0">
              <w:t>item</w:t>
            </w:r>
            <w:r w:rsidRPr="00EC20A0">
              <w:rPr>
                <w:spacing w:val="-6"/>
              </w:rPr>
              <w:t xml:space="preserve"> </w:t>
            </w:r>
            <w:r w:rsidRPr="00EC20A0">
              <w:t>selected</w:t>
            </w:r>
            <w:r w:rsidRPr="00EC20A0">
              <w:rPr>
                <w:spacing w:val="-5"/>
              </w:rPr>
              <w:t xml:space="preserve"> </w:t>
            </w:r>
            <w:r w:rsidRPr="00EC20A0">
              <w:t>in</w:t>
            </w:r>
            <w:r w:rsidRPr="00EC20A0">
              <w:rPr>
                <w:spacing w:val="-5"/>
              </w:rPr>
              <w:t xml:space="preserve"> </w:t>
            </w:r>
            <w:r w:rsidRPr="00EC20A0">
              <w:t>1,</w:t>
            </w:r>
            <w:r w:rsidRPr="00EC20A0">
              <w:rPr>
                <w:spacing w:val="-5"/>
              </w:rPr>
              <w:t xml:space="preserve"> </w:t>
            </w:r>
            <w:r w:rsidRPr="00EC20A0">
              <w:t>obtain</w:t>
            </w:r>
            <w:r w:rsidRPr="00EC20A0">
              <w:rPr>
                <w:spacing w:val="-5"/>
              </w:rPr>
              <w:t xml:space="preserve"> </w:t>
            </w:r>
            <w:r w:rsidRPr="00EC20A0">
              <w:t>the</w:t>
            </w:r>
            <w:r w:rsidRPr="00EC20A0">
              <w:rPr>
                <w:spacing w:val="-5"/>
              </w:rPr>
              <w:t xml:space="preserve"> </w:t>
            </w:r>
            <w:r w:rsidRPr="00EC20A0">
              <w:t>employee’s personnel file and note the</w:t>
            </w:r>
          </w:p>
          <w:p w14:paraId="24D61556" w14:textId="77777777" w:rsidR="00245300" w:rsidRPr="00EC20A0" w:rsidRDefault="00F17249">
            <w:pPr>
              <w:pStyle w:val="TableParagraph"/>
              <w:numPr>
                <w:ilvl w:val="1"/>
                <w:numId w:val="124"/>
              </w:numPr>
              <w:tabs>
                <w:tab w:val="left" w:pos="613"/>
              </w:tabs>
              <w:spacing w:before="144"/>
              <w:ind w:left="613" w:hanging="178"/>
            </w:pPr>
            <w:r w:rsidRPr="00EC20A0">
              <w:t>employee</w:t>
            </w:r>
            <w:r w:rsidRPr="00EC20A0">
              <w:rPr>
                <w:spacing w:val="-8"/>
              </w:rPr>
              <w:t xml:space="preserve"> </w:t>
            </w:r>
            <w:r w:rsidRPr="00EC20A0">
              <w:t>hire</w:t>
            </w:r>
            <w:r w:rsidRPr="00EC20A0">
              <w:rPr>
                <w:spacing w:val="-7"/>
              </w:rPr>
              <w:t xml:space="preserve"> </w:t>
            </w:r>
            <w:r w:rsidRPr="00EC20A0">
              <w:rPr>
                <w:spacing w:val="-2"/>
              </w:rPr>
              <w:t>date,</w:t>
            </w:r>
          </w:p>
          <w:p w14:paraId="24D61557" w14:textId="77777777" w:rsidR="00245300" w:rsidRPr="00EC20A0" w:rsidRDefault="00F17249">
            <w:pPr>
              <w:pStyle w:val="TableParagraph"/>
              <w:numPr>
                <w:ilvl w:val="1"/>
                <w:numId w:val="124"/>
              </w:numPr>
              <w:tabs>
                <w:tab w:val="left" w:pos="613"/>
              </w:tabs>
              <w:spacing w:before="143"/>
              <w:ind w:left="613" w:hanging="178"/>
            </w:pPr>
            <w:r w:rsidRPr="00EC20A0">
              <w:t>amount</w:t>
            </w:r>
            <w:r w:rsidRPr="00EC20A0">
              <w:rPr>
                <w:spacing w:val="-6"/>
              </w:rPr>
              <w:t xml:space="preserve"> </w:t>
            </w:r>
            <w:r w:rsidRPr="00EC20A0">
              <w:t>of</w:t>
            </w:r>
            <w:r w:rsidRPr="00EC20A0">
              <w:rPr>
                <w:spacing w:val="-5"/>
              </w:rPr>
              <w:t xml:space="preserve"> </w:t>
            </w:r>
            <w:r w:rsidRPr="00EC20A0">
              <w:t>basic</w:t>
            </w:r>
            <w:r w:rsidRPr="00EC20A0">
              <w:rPr>
                <w:spacing w:val="-5"/>
              </w:rPr>
              <w:t xml:space="preserve"> </w:t>
            </w:r>
            <w:r w:rsidRPr="00EC20A0">
              <w:t>pay,</w:t>
            </w:r>
            <w:r w:rsidRPr="00EC20A0">
              <w:rPr>
                <w:spacing w:val="-5"/>
              </w:rPr>
              <w:t xml:space="preserve"> and</w:t>
            </w:r>
          </w:p>
          <w:p w14:paraId="24D61558" w14:textId="77777777" w:rsidR="00245300" w:rsidRPr="00EC20A0" w:rsidRDefault="00F17249">
            <w:pPr>
              <w:pStyle w:val="TableParagraph"/>
              <w:numPr>
                <w:ilvl w:val="1"/>
                <w:numId w:val="124"/>
              </w:numPr>
              <w:tabs>
                <w:tab w:val="left" w:pos="613"/>
              </w:tabs>
              <w:spacing w:before="144"/>
              <w:ind w:left="613" w:hanging="178"/>
            </w:pPr>
            <w:r w:rsidRPr="00EC20A0">
              <w:t>retirement</w:t>
            </w:r>
            <w:r w:rsidRPr="00EC20A0">
              <w:rPr>
                <w:spacing w:val="-7"/>
              </w:rPr>
              <w:t xml:space="preserve"> </w:t>
            </w:r>
            <w:r w:rsidRPr="00EC20A0">
              <w:t>plan</w:t>
            </w:r>
            <w:r w:rsidRPr="00EC20A0">
              <w:rPr>
                <w:spacing w:val="-6"/>
              </w:rPr>
              <w:t xml:space="preserve"> </w:t>
            </w:r>
            <w:r w:rsidRPr="00EC20A0">
              <w:t>under</w:t>
            </w:r>
            <w:r w:rsidRPr="00EC20A0">
              <w:rPr>
                <w:spacing w:val="-6"/>
              </w:rPr>
              <w:t xml:space="preserve"> </w:t>
            </w:r>
            <w:r w:rsidRPr="00EC20A0">
              <w:t>which</w:t>
            </w:r>
            <w:r w:rsidRPr="00EC20A0">
              <w:rPr>
                <w:spacing w:val="-6"/>
              </w:rPr>
              <w:t xml:space="preserve"> </w:t>
            </w:r>
            <w:r w:rsidRPr="00EC20A0">
              <w:t>the</w:t>
            </w:r>
            <w:r w:rsidRPr="00EC20A0">
              <w:rPr>
                <w:spacing w:val="-7"/>
              </w:rPr>
              <w:t xml:space="preserve"> </w:t>
            </w:r>
            <w:r w:rsidRPr="00EC20A0">
              <w:t>employee</w:t>
            </w:r>
            <w:r w:rsidRPr="00EC20A0">
              <w:rPr>
                <w:spacing w:val="-6"/>
              </w:rPr>
              <w:t xml:space="preserve"> </w:t>
            </w:r>
            <w:r w:rsidRPr="00EC20A0">
              <w:t>is</w:t>
            </w:r>
            <w:r w:rsidRPr="00EC20A0">
              <w:rPr>
                <w:spacing w:val="-7"/>
              </w:rPr>
              <w:t xml:space="preserve"> </w:t>
            </w:r>
            <w:r w:rsidRPr="00EC20A0">
              <w:rPr>
                <w:spacing w:val="-2"/>
              </w:rPr>
              <w:t>covered.</w:t>
            </w:r>
          </w:p>
        </w:tc>
        <w:tc>
          <w:tcPr>
            <w:tcW w:w="1440" w:type="dxa"/>
            <w:tcBorders>
              <w:top w:val="single" w:sz="4" w:space="0" w:color="000000"/>
              <w:left w:val="single" w:sz="4" w:space="0" w:color="000000"/>
              <w:bottom w:val="single" w:sz="4" w:space="0" w:color="000000"/>
              <w:right w:val="single" w:sz="4" w:space="0" w:color="000000"/>
            </w:tcBorders>
          </w:tcPr>
          <w:p w14:paraId="24D61559" w14:textId="77777777" w:rsidR="00245300" w:rsidRPr="00EC20A0" w:rsidRDefault="00245300">
            <w:pPr>
              <w:pStyle w:val="TableParagraph"/>
              <w:rPr>
                <w:sz w:val="20"/>
              </w:rPr>
            </w:pPr>
          </w:p>
        </w:tc>
        <w:tc>
          <w:tcPr>
            <w:tcW w:w="1440" w:type="dxa"/>
            <w:tcBorders>
              <w:top w:val="single" w:sz="4" w:space="0" w:color="000000"/>
              <w:left w:val="single" w:sz="4" w:space="0" w:color="000000"/>
              <w:bottom w:val="single" w:sz="4" w:space="0" w:color="000000"/>
            </w:tcBorders>
          </w:tcPr>
          <w:p w14:paraId="24D6155A" w14:textId="77777777" w:rsidR="00245300" w:rsidRPr="00EC20A0" w:rsidRDefault="00245300">
            <w:pPr>
              <w:pStyle w:val="TableParagraph"/>
              <w:rPr>
                <w:sz w:val="20"/>
              </w:rPr>
            </w:pPr>
          </w:p>
        </w:tc>
      </w:tr>
      <w:tr w:rsidR="00245300" w:rsidRPr="00EC20A0" w14:paraId="24D61560" w14:textId="77777777">
        <w:trPr>
          <w:trHeight w:val="2202"/>
        </w:trPr>
        <w:tc>
          <w:tcPr>
            <w:tcW w:w="6480" w:type="dxa"/>
            <w:tcBorders>
              <w:top w:val="single" w:sz="6" w:space="0" w:color="000000"/>
              <w:bottom w:val="single" w:sz="6" w:space="0" w:color="000000"/>
              <w:right w:val="single" w:sz="4" w:space="0" w:color="000000"/>
            </w:tcBorders>
          </w:tcPr>
          <w:p w14:paraId="24D6155C" w14:textId="77777777" w:rsidR="00245300" w:rsidRPr="00EC20A0" w:rsidRDefault="00F17249">
            <w:pPr>
              <w:pStyle w:val="TableParagraph"/>
              <w:numPr>
                <w:ilvl w:val="0"/>
                <w:numId w:val="123"/>
              </w:numPr>
              <w:tabs>
                <w:tab w:val="left" w:pos="470"/>
              </w:tabs>
              <w:spacing w:before="145"/>
              <w:ind w:left="470" w:hanging="366"/>
            </w:pPr>
            <w:r w:rsidRPr="00EC20A0">
              <w:t>For</w:t>
            </w:r>
            <w:r w:rsidRPr="00EC20A0">
              <w:rPr>
                <w:spacing w:val="-6"/>
              </w:rPr>
              <w:t xml:space="preserve"> </w:t>
            </w:r>
            <w:r w:rsidRPr="00EC20A0">
              <w:t>each</w:t>
            </w:r>
            <w:r w:rsidRPr="00EC20A0">
              <w:rPr>
                <w:spacing w:val="-5"/>
              </w:rPr>
              <w:t xml:space="preserve"> </w:t>
            </w:r>
            <w:r w:rsidRPr="00EC20A0">
              <w:t>selection</w:t>
            </w:r>
            <w:r w:rsidRPr="00EC20A0">
              <w:rPr>
                <w:spacing w:val="-6"/>
              </w:rPr>
              <w:t xml:space="preserve"> </w:t>
            </w:r>
            <w:r w:rsidRPr="00EC20A0">
              <w:t>made</w:t>
            </w:r>
            <w:r w:rsidRPr="00EC20A0">
              <w:rPr>
                <w:spacing w:val="-5"/>
              </w:rPr>
              <w:t xml:space="preserve"> </w:t>
            </w:r>
            <w:r w:rsidRPr="00EC20A0">
              <w:t>in</w:t>
            </w:r>
            <w:r w:rsidRPr="00EC20A0">
              <w:rPr>
                <w:spacing w:val="-6"/>
              </w:rPr>
              <w:t xml:space="preserve"> </w:t>
            </w:r>
            <w:r w:rsidRPr="00EC20A0">
              <w:t>1,</w:t>
            </w:r>
            <w:r w:rsidRPr="00EC20A0">
              <w:rPr>
                <w:spacing w:val="-5"/>
              </w:rPr>
              <w:t xml:space="preserve"> </w:t>
            </w:r>
            <w:r w:rsidRPr="00EC20A0">
              <w:t>complete</w:t>
            </w:r>
            <w:r w:rsidRPr="00EC20A0">
              <w:rPr>
                <w:spacing w:val="-5"/>
              </w:rPr>
              <w:t xml:space="preserve"> </w:t>
            </w:r>
            <w:r w:rsidRPr="00EC20A0">
              <w:t>the</w:t>
            </w:r>
            <w:r w:rsidRPr="00EC20A0">
              <w:rPr>
                <w:spacing w:val="-5"/>
              </w:rPr>
              <w:t xml:space="preserve"> </w:t>
            </w:r>
            <w:r w:rsidRPr="00EC20A0">
              <w:rPr>
                <w:spacing w:val="-2"/>
              </w:rPr>
              <w:t>following:</w:t>
            </w:r>
          </w:p>
          <w:p w14:paraId="24D6155D" w14:textId="77777777" w:rsidR="00245300" w:rsidRPr="00EC20A0" w:rsidRDefault="00F17249">
            <w:pPr>
              <w:pStyle w:val="TableParagraph"/>
              <w:numPr>
                <w:ilvl w:val="1"/>
                <w:numId w:val="123"/>
              </w:numPr>
              <w:tabs>
                <w:tab w:val="left" w:pos="968"/>
              </w:tabs>
              <w:spacing w:before="143"/>
              <w:ind w:right="211"/>
            </w:pPr>
            <w:r w:rsidRPr="00EC20A0">
              <w:t xml:space="preserve">Compare the </w:t>
            </w:r>
            <w:r w:rsidRPr="00EC20A0">
              <w:t>amount of basic pay indicated in the employee’s</w:t>
            </w:r>
            <w:r w:rsidRPr="00EC20A0">
              <w:rPr>
                <w:spacing w:val="-7"/>
              </w:rPr>
              <w:t xml:space="preserve"> </w:t>
            </w:r>
            <w:r w:rsidRPr="00EC20A0">
              <w:t>personnel</w:t>
            </w:r>
            <w:r w:rsidRPr="00EC20A0">
              <w:rPr>
                <w:spacing w:val="-6"/>
              </w:rPr>
              <w:t xml:space="preserve"> </w:t>
            </w:r>
            <w:r w:rsidRPr="00EC20A0">
              <w:t>file</w:t>
            </w:r>
            <w:r w:rsidRPr="00EC20A0">
              <w:rPr>
                <w:spacing w:val="-6"/>
              </w:rPr>
              <w:t xml:space="preserve"> </w:t>
            </w:r>
            <w:r w:rsidRPr="00EC20A0">
              <w:t>with</w:t>
            </w:r>
            <w:r w:rsidRPr="00EC20A0">
              <w:rPr>
                <w:spacing w:val="-6"/>
              </w:rPr>
              <w:t xml:space="preserve"> </w:t>
            </w:r>
            <w:r w:rsidRPr="00EC20A0">
              <w:t>the</w:t>
            </w:r>
            <w:r w:rsidRPr="00EC20A0">
              <w:rPr>
                <w:spacing w:val="-6"/>
              </w:rPr>
              <w:t xml:space="preserve"> </w:t>
            </w:r>
            <w:r w:rsidRPr="00EC20A0">
              <w:t>amount</w:t>
            </w:r>
            <w:r w:rsidRPr="00EC20A0">
              <w:rPr>
                <w:spacing w:val="-6"/>
              </w:rPr>
              <w:t xml:space="preserve"> </w:t>
            </w:r>
            <w:r w:rsidRPr="00EC20A0">
              <w:t>indicated</w:t>
            </w:r>
            <w:r w:rsidRPr="00EC20A0">
              <w:rPr>
                <w:spacing w:val="-6"/>
              </w:rPr>
              <w:t xml:space="preserve"> </w:t>
            </w:r>
            <w:r w:rsidRPr="00EC20A0">
              <w:t>in the payroll records, and obtain an explanation and examine support for any differences. (This procedure would be performed only if it were not already performed as part of other testing.)</w:t>
            </w:r>
          </w:p>
        </w:tc>
        <w:tc>
          <w:tcPr>
            <w:tcW w:w="1440" w:type="dxa"/>
            <w:tcBorders>
              <w:top w:val="single" w:sz="4" w:space="0" w:color="000000"/>
              <w:left w:val="single" w:sz="4" w:space="0" w:color="000000"/>
              <w:bottom w:val="single" w:sz="6" w:space="0" w:color="000000"/>
              <w:right w:val="single" w:sz="6" w:space="0" w:color="000000"/>
            </w:tcBorders>
          </w:tcPr>
          <w:p w14:paraId="24D6155E" w14:textId="77777777" w:rsidR="00245300" w:rsidRPr="00EC20A0" w:rsidRDefault="00245300">
            <w:pPr>
              <w:pStyle w:val="TableParagraph"/>
              <w:rPr>
                <w:sz w:val="20"/>
              </w:rPr>
            </w:pPr>
          </w:p>
        </w:tc>
        <w:tc>
          <w:tcPr>
            <w:tcW w:w="1440" w:type="dxa"/>
            <w:tcBorders>
              <w:top w:val="single" w:sz="4" w:space="0" w:color="000000"/>
              <w:left w:val="single" w:sz="6" w:space="0" w:color="000000"/>
              <w:bottom w:val="single" w:sz="6" w:space="0" w:color="000000"/>
            </w:tcBorders>
          </w:tcPr>
          <w:p w14:paraId="24D6155F" w14:textId="77777777" w:rsidR="00245300" w:rsidRPr="00EC20A0" w:rsidRDefault="00245300">
            <w:pPr>
              <w:pStyle w:val="TableParagraph"/>
              <w:rPr>
                <w:sz w:val="20"/>
              </w:rPr>
            </w:pPr>
          </w:p>
        </w:tc>
      </w:tr>
      <w:tr w:rsidR="00245300" w:rsidRPr="00EC20A0" w14:paraId="24D61564" w14:textId="77777777">
        <w:trPr>
          <w:trHeight w:val="2313"/>
        </w:trPr>
        <w:tc>
          <w:tcPr>
            <w:tcW w:w="6480" w:type="dxa"/>
            <w:tcBorders>
              <w:top w:val="single" w:sz="6" w:space="0" w:color="000000"/>
              <w:bottom w:val="single" w:sz="6" w:space="0" w:color="000000"/>
              <w:right w:val="single" w:sz="6" w:space="0" w:color="000000"/>
            </w:tcBorders>
          </w:tcPr>
          <w:p w14:paraId="24D61561" w14:textId="77777777" w:rsidR="00245300" w:rsidRPr="00EC20A0" w:rsidRDefault="00F17249">
            <w:pPr>
              <w:pStyle w:val="TableParagraph"/>
              <w:spacing w:before="145"/>
              <w:ind w:left="974" w:right="16" w:hanging="441"/>
            </w:pPr>
            <w:r w:rsidRPr="00EC20A0">
              <w:t>(b)</w:t>
            </w:r>
            <w:r w:rsidRPr="00EC20A0">
              <w:rPr>
                <w:spacing w:val="80"/>
              </w:rPr>
              <w:t xml:space="preserve"> </w:t>
            </w:r>
            <w:r w:rsidRPr="00EC20A0">
              <w:t>Calculate the amount of the withholdings for retirement costs based on 0.8 percent of basic pay for most employees for the selected pay period and document the</w:t>
            </w:r>
            <w:r w:rsidRPr="00EC20A0">
              <w:rPr>
                <w:spacing w:val="-5"/>
              </w:rPr>
              <w:t xml:space="preserve"> </w:t>
            </w:r>
            <w:r w:rsidRPr="00EC20A0">
              <w:t>amount.</w:t>
            </w:r>
            <w:r w:rsidRPr="00EC20A0">
              <w:rPr>
                <w:spacing w:val="-5"/>
              </w:rPr>
              <w:t xml:space="preserve"> </w:t>
            </w:r>
            <w:r w:rsidRPr="00EC20A0">
              <w:t>Compare</w:t>
            </w:r>
            <w:r w:rsidRPr="00EC20A0">
              <w:rPr>
                <w:spacing w:val="-5"/>
              </w:rPr>
              <w:t xml:space="preserve"> </w:t>
            </w:r>
            <w:r w:rsidRPr="00EC20A0">
              <w:t>to</w:t>
            </w:r>
            <w:r w:rsidRPr="00EC20A0">
              <w:rPr>
                <w:spacing w:val="-4"/>
              </w:rPr>
              <w:t xml:space="preserve"> </w:t>
            </w:r>
            <w:r w:rsidRPr="00EC20A0">
              <w:t>the</w:t>
            </w:r>
            <w:r w:rsidRPr="00EC20A0">
              <w:rPr>
                <w:spacing w:val="-5"/>
              </w:rPr>
              <w:t xml:space="preserve"> </w:t>
            </w:r>
            <w:r w:rsidRPr="00EC20A0">
              <w:t>actual</w:t>
            </w:r>
            <w:r w:rsidRPr="00EC20A0">
              <w:rPr>
                <w:spacing w:val="-5"/>
              </w:rPr>
              <w:t xml:space="preserve"> </w:t>
            </w:r>
            <w:r w:rsidRPr="00EC20A0">
              <w:t>amount</w:t>
            </w:r>
            <w:r w:rsidRPr="00EC20A0">
              <w:rPr>
                <w:spacing w:val="-5"/>
              </w:rPr>
              <w:t xml:space="preserve"> </w:t>
            </w:r>
            <w:r w:rsidRPr="00EC20A0">
              <w:t>withheld</w:t>
            </w:r>
            <w:r w:rsidRPr="00EC20A0">
              <w:rPr>
                <w:spacing w:val="-5"/>
              </w:rPr>
              <w:t xml:space="preserve"> </w:t>
            </w:r>
            <w:r w:rsidRPr="00EC20A0">
              <w:t>for the</w:t>
            </w:r>
            <w:r w:rsidRPr="00EC20A0">
              <w:rPr>
                <w:spacing w:val="-2"/>
              </w:rPr>
              <w:t xml:space="preserve"> </w:t>
            </w:r>
            <w:r w:rsidRPr="00EC20A0">
              <w:t>selected</w:t>
            </w:r>
            <w:r w:rsidRPr="00EC20A0">
              <w:rPr>
                <w:spacing w:val="-3"/>
              </w:rPr>
              <w:t xml:space="preserve"> </w:t>
            </w:r>
            <w:r w:rsidRPr="00EC20A0">
              <w:t>pay</w:t>
            </w:r>
            <w:r w:rsidRPr="00EC20A0">
              <w:rPr>
                <w:spacing w:val="-2"/>
              </w:rPr>
              <w:t xml:space="preserve"> </w:t>
            </w:r>
            <w:r w:rsidRPr="00EC20A0">
              <w:t>period,</w:t>
            </w:r>
            <w:r w:rsidRPr="00EC20A0">
              <w:rPr>
                <w:spacing w:val="-3"/>
              </w:rPr>
              <w:t xml:space="preserve"> </w:t>
            </w:r>
            <w:r w:rsidRPr="00EC20A0">
              <w:t>and</w:t>
            </w:r>
            <w:r w:rsidRPr="00EC20A0">
              <w:rPr>
                <w:spacing w:val="-2"/>
              </w:rPr>
              <w:t xml:space="preserve"> </w:t>
            </w:r>
            <w:r w:rsidRPr="00EC20A0">
              <w:t>obtain</w:t>
            </w:r>
            <w:r w:rsidRPr="00EC20A0">
              <w:rPr>
                <w:spacing w:val="-2"/>
              </w:rPr>
              <w:t xml:space="preserve"> </w:t>
            </w:r>
            <w:r w:rsidRPr="00EC20A0">
              <w:t>an</w:t>
            </w:r>
            <w:r w:rsidRPr="00EC20A0">
              <w:rPr>
                <w:spacing w:val="-2"/>
              </w:rPr>
              <w:t xml:space="preserve"> </w:t>
            </w:r>
            <w:r w:rsidRPr="00EC20A0">
              <w:t>explanation</w:t>
            </w:r>
            <w:r w:rsidRPr="00EC20A0">
              <w:rPr>
                <w:spacing w:val="-2"/>
              </w:rPr>
              <w:t xml:space="preserve"> </w:t>
            </w:r>
            <w:r w:rsidRPr="00EC20A0">
              <w:t xml:space="preserve">and examine support for any differences. See FAM 811.01, Entity Withholdings from Employee Pay for Retirement </w:t>
            </w:r>
            <w:r w:rsidRPr="00EC20A0">
              <w:rPr>
                <w:spacing w:val="-2"/>
              </w:rPr>
              <w:t>Benefits.</w:t>
            </w:r>
          </w:p>
        </w:tc>
        <w:tc>
          <w:tcPr>
            <w:tcW w:w="1440" w:type="dxa"/>
            <w:tcBorders>
              <w:top w:val="single" w:sz="6" w:space="0" w:color="000000"/>
              <w:left w:val="single" w:sz="6" w:space="0" w:color="000000"/>
              <w:bottom w:val="single" w:sz="6" w:space="0" w:color="000000"/>
              <w:right w:val="single" w:sz="6" w:space="0" w:color="000000"/>
            </w:tcBorders>
          </w:tcPr>
          <w:p w14:paraId="24D61562" w14:textId="77777777" w:rsidR="00245300" w:rsidRPr="00EC20A0" w:rsidRDefault="00245300">
            <w:pPr>
              <w:pStyle w:val="TableParagraph"/>
              <w:rPr>
                <w:sz w:val="20"/>
              </w:rPr>
            </w:pPr>
          </w:p>
        </w:tc>
        <w:tc>
          <w:tcPr>
            <w:tcW w:w="1440" w:type="dxa"/>
            <w:tcBorders>
              <w:top w:val="single" w:sz="6" w:space="0" w:color="000000"/>
              <w:left w:val="single" w:sz="6" w:space="0" w:color="000000"/>
              <w:bottom w:val="single" w:sz="6" w:space="0" w:color="000000"/>
            </w:tcBorders>
          </w:tcPr>
          <w:p w14:paraId="24D61563" w14:textId="77777777" w:rsidR="00245300" w:rsidRPr="00EC20A0" w:rsidRDefault="00245300">
            <w:pPr>
              <w:pStyle w:val="TableParagraph"/>
              <w:rPr>
                <w:sz w:val="20"/>
              </w:rPr>
            </w:pPr>
          </w:p>
        </w:tc>
      </w:tr>
    </w:tbl>
    <w:p w14:paraId="24D61565" w14:textId="77777777" w:rsidR="00245300" w:rsidRPr="00EC20A0" w:rsidRDefault="00245300">
      <w:pPr>
        <w:rPr>
          <w:sz w:val="20"/>
        </w:rPr>
        <w:sectPr w:rsidR="00245300" w:rsidRPr="00EC20A0">
          <w:pgSz w:w="12240" w:h="15840"/>
          <w:pgMar w:top="1340" w:right="1100" w:bottom="940" w:left="1240" w:header="721" w:footer="742" w:gutter="0"/>
          <w:cols w:space="720"/>
        </w:sectPr>
      </w:pPr>
    </w:p>
    <w:p w14:paraId="24D61566" w14:textId="77777777" w:rsidR="00245300" w:rsidRPr="00EC20A0" w:rsidRDefault="00245300">
      <w:pPr>
        <w:pStyle w:val="BodyText"/>
        <w:spacing w:before="9"/>
        <w:rPr>
          <w:sz w:val="11"/>
        </w:rPr>
      </w:pPr>
    </w:p>
    <w:tbl>
      <w:tblPr>
        <w:tblW w:w="0" w:type="auto"/>
        <w:tblInd w:w="2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245300" w:rsidRPr="00EC20A0" w14:paraId="24D61568" w14:textId="77777777">
        <w:trPr>
          <w:trHeight w:val="1335"/>
        </w:trPr>
        <w:tc>
          <w:tcPr>
            <w:tcW w:w="9360" w:type="dxa"/>
            <w:gridSpan w:val="3"/>
          </w:tcPr>
          <w:p w14:paraId="24D61567" w14:textId="77777777" w:rsidR="00245300" w:rsidRPr="00EC20A0" w:rsidRDefault="00F17249">
            <w:pPr>
              <w:pStyle w:val="TableParagraph"/>
              <w:tabs>
                <w:tab w:val="left" w:pos="9041"/>
              </w:tabs>
              <w:spacing w:before="7" w:line="390" w:lineRule="atLeast"/>
              <w:ind w:left="104" w:right="270"/>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56E" w14:textId="77777777">
        <w:trPr>
          <w:trHeight w:val="793"/>
        </w:trPr>
        <w:tc>
          <w:tcPr>
            <w:tcW w:w="6480" w:type="dxa"/>
            <w:tcBorders>
              <w:right w:val="single" w:sz="4" w:space="0" w:color="000000"/>
            </w:tcBorders>
          </w:tcPr>
          <w:p w14:paraId="24D61569" w14:textId="77777777" w:rsidR="00245300" w:rsidRPr="00EC20A0" w:rsidRDefault="00245300">
            <w:pPr>
              <w:pStyle w:val="TableParagraph"/>
              <w:spacing w:before="144"/>
            </w:pPr>
          </w:p>
          <w:p w14:paraId="24D6156A" w14:textId="77777777" w:rsidR="00245300" w:rsidRPr="00EC20A0" w:rsidRDefault="00F17249">
            <w:pPr>
              <w:pStyle w:val="TableParagraph"/>
              <w:ind w:left="104"/>
              <w:rPr>
                <w:b/>
              </w:rPr>
            </w:pPr>
            <w:r w:rsidRPr="00EC20A0">
              <w:rPr>
                <w:b/>
              </w:rPr>
              <w:t>Audit</w:t>
            </w:r>
            <w:r w:rsidRPr="00EC20A0">
              <w:rPr>
                <w:b/>
                <w:spacing w:val="-8"/>
              </w:rPr>
              <w:t xml:space="preserve"> </w:t>
            </w:r>
            <w:r w:rsidRPr="00EC20A0">
              <w:rPr>
                <w:b/>
                <w:spacing w:val="-2"/>
              </w:rPr>
              <w:t>procedures</w:t>
            </w:r>
          </w:p>
        </w:tc>
        <w:tc>
          <w:tcPr>
            <w:tcW w:w="1440" w:type="dxa"/>
            <w:tcBorders>
              <w:left w:val="single" w:sz="4" w:space="0" w:color="000000"/>
              <w:right w:val="single" w:sz="4" w:space="0" w:color="000000"/>
            </w:tcBorders>
          </w:tcPr>
          <w:p w14:paraId="24D6156B" w14:textId="77777777" w:rsidR="00245300" w:rsidRPr="00EC20A0" w:rsidRDefault="00F17249">
            <w:pPr>
              <w:pStyle w:val="TableParagraph"/>
              <w:spacing w:before="144"/>
              <w:ind w:left="122" w:right="151"/>
              <w:rPr>
                <w:b/>
              </w:rPr>
            </w:pPr>
            <w:r w:rsidRPr="00EC20A0">
              <w:rPr>
                <w:b/>
                <w:spacing w:val="-2"/>
              </w:rPr>
              <w:t xml:space="preserve">Initials/ </w:t>
            </w:r>
            <w:r w:rsidRPr="00EC20A0">
              <w:rPr>
                <w:b/>
                <w:spacing w:val="-4"/>
              </w:rPr>
              <w:t>date</w:t>
            </w:r>
          </w:p>
        </w:tc>
        <w:tc>
          <w:tcPr>
            <w:tcW w:w="1440" w:type="dxa"/>
            <w:tcBorders>
              <w:left w:val="single" w:sz="4" w:space="0" w:color="000000"/>
            </w:tcBorders>
          </w:tcPr>
          <w:p w14:paraId="24D6156C" w14:textId="77777777" w:rsidR="00245300" w:rsidRPr="00EC20A0" w:rsidRDefault="00245300">
            <w:pPr>
              <w:pStyle w:val="TableParagraph"/>
              <w:spacing w:before="144"/>
            </w:pPr>
          </w:p>
          <w:p w14:paraId="24D6156D" w14:textId="77777777" w:rsidR="00245300" w:rsidRPr="00EC20A0" w:rsidRDefault="00F17249">
            <w:pPr>
              <w:pStyle w:val="TableParagraph"/>
              <w:ind w:left="122"/>
              <w:rPr>
                <w:b/>
              </w:rPr>
            </w:pPr>
            <w:r w:rsidRPr="00EC20A0">
              <w:rPr>
                <w:b/>
              </w:rPr>
              <w:t>Doc.</w:t>
            </w:r>
            <w:r w:rsidRPr="00EC20A0">
              <w:rPr>
                <w:b/>
                <w:spacing w:val="-6"/>
              </w:rPr>
              <w:t xml:space="preserve"> </w:t>
            </w:r>
            <w:r w:rsidRPr="00EC20A0">
              <w:rPr>
                <w:b/>
                <w:spacing w:val="-4"/>
              </w:rPr>
              <w:t>ref.</w:t>
            </w:r>
          </w:p>
        </w:tc>
      </w:tr>
      <w:tr w:rsidR="00245300" w:rsidRPr="00EC20A0" w14:paraId="24D61572" w14:textId="77777777">
        <w:trPr>
          <w:trHeight w:val="2059"/>
        </w:trPr>
        <w:tc>
          <w:tcPr>
            <w:tcW w:w="6480" w:type="dxa"/>
            <w:tcBorders>
              <w:bottom w:val="single" w:sz="6" w:space="0" w:color="000000"/>
              <w:right w:val="single" w:sz="6" w:space="0" w:color="000000"/>
            </w:tcBorders>
          </w:tcPr>
          <w:p w14:paraId="24D6156F" w14:textId="77777777" w:rsidR="00245300" w:rsidRPr="00EC20A0" w:rsidRDefault="00F17249">
            <w:pPr>
              <w:pStyle w:val="TableParagraph"/>
              <w:tabs>
                <w:tab w:val="left" w:pos="1064"/>
              </w:tabs>
              <w:spacing w:before="144"/>
              <w:ind w:left="1064" w:right="173" w:hanging="600"/>
            </w:pPr>
            <w:r w:rsidRPr="00EC20A0">
              <w:rPr>
                <w:spacing w:val="-4"/>
              </w:rPr>
              <w:t>(c)</w:t>
            </w:r>
            <w:r w:rsidRPr="00EC20A0">
              <w:tab/>
              <w:t>Determine whether the entity contributed the correct amount</w:t>
            </w:r>
            <w:r w:rsidRPr="00EC20A0">
              <w:rPr>
                <w:spacing w:val="-6"/>
              </w:rPr>
              <w:t xml:space="preserve"> </w:t>
            </w:r>
            <w:r w:rsidRPr="00EC20A0">
              <w:t>for</w:t>
            </w:r>
            <w:r w:rsidRPr="00EC20A0">
              <w:rPr>
                <w:spacing w:val="-6"/>
              </w:rPr>
              <w:t xml:space="preserve"> </w:t>
            </w:r>
            <w:r w:rsidRPr="00EC20A0">
              <w:t>the</w:t>
            </w:r>
            <w:r w:rsidRPr="00EC20A0">
              <w:rPr>
                <w:spacing w:val="-6"/>
              </w:rPr>
              <w:t xml:space="preserve"> </w:t>
            </w:r>
            <w:r w:rsidRPr="00EC20A0">
              <w:t>employee’s</w:t>
            </w:r>
            <w:r w:rsidRPr="00EC20A0">
              <w:rPr>
                <w:spacing w:val="-6"/>
              </w:rPr>
              <w:t xml:space="preserve"> </w:t>
            </w:r>
            <w:r w:rsidRPr="00EC20A0">
              <w:t>retirement</w:t>
            </w:r>
            <w:r w:rsidRPr="00EC20A0">
              <w:rPr>
                <w:spacing w:val="-6"/>
              </w:rPr>
              <w:t xml:space="preserve"> </w:t>
            </w:r>
            <w:r w:rsidRPr="00EC20A0">
              <w:t>for</w:t>
            </w:r>
            <w:r w:rsidRPr="00EC20A0">
              <w:rPr>
                <w:spacing w:val="-6"/>
              </w:rPr>
              <w:t xml:space="preserve"> </w:t>
            </w:r>
            <w:r w:rsidRPr="00EC20A0">
              <w:t>the</w:t>
            </w:r>
            <w:r w:rsidRPr="00EC20A0">
              <w:rPr>
                <w:spacing w:val="-6"/>
              </w:rPr>
              <w:t xml:space="preserve"> </w:t>
            </w:r>
            <w:r w:rsidRPr="00EC20A0">
              <w:t>selected pay period. Obtain an explanation and examine support for any differences between the entity contributions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amount</w:t>
            </w:r>
            <w:r w:rsidRPr="00EC20A0">
              <w:rPr>
                <w:spacing w:val="-4"/>
              </w:rPr>
              <w:t xml:space="preserve"> </w:t>
            </w:r>
            <w:r w:rsidRPr="00EC20A0">
              <w:t>calculated</w:t>
            </w:r>
            <w:r w:rsidRPr="00EC20A0">
              <w:rPr>
                <w:spacing w:val="-4"/>
              </w:rPr>
              <w:t xml:space="preserve"> </w:t>
            </w:r>
            <w:r w:rsidRPr="00EC20A0">
              <w:t>using</w:t>
            </w:r>
            <w:r w:rsidRPr="00EC20A0">
              <w:rPr>
                <w:spacing w:val="-5"/>
              </w:rPr>
              <w:t xml:space="preserve"> </w:t>
            </w:r>
            <w:r w:rsidRPr="00EC20A0">
              <w:t>OPM’s normal-cost percentage. See FAM 811.02, Entity Contributions for Employee Retirement Benefits.</w:t>
            </w:r>
          </w:p>
        </w:tc>
        <w:tc>
          <w:tcPr>
            <w:tcW w:w="1440" w:type="dxa"/>
            <w:tcBorders>
              <w:left w:val="single" w:sz="6" w:space="0" w:color="000000"/>
              <w:bottom w:val="single" w:sz="6" w:space="0" w:color="000000"/>
              <w:right w:val="single" w:sz="6" w:space="0" w:color="000000"/>
            </w:tcBorders>
          </w:tcPr>
          <w:p w14:paraId="24D61570" w14:textId="77777777" w:rsidR="00245300" w:rsidRPr="00EC20A0" w:rsidRDefault="00245300">
            <w:pPr>
              <w:pStyle w:val="TableParagraph"/>
              <w:rPr>
                <w:sz w:val="20"/>
              </w:rPr>
            </w:pPr>
          </w:p>
        </w:tc>
        <w:tc>
          <w:tcPr>
            <w:tcW w:w="1440" w:type="dxa"/>
            <w:tcBorders>
              <w:left w:val="single" w:sz="6" w:space="0" w:color="000000"/>
              <w:bottom w:val="single" w:sz="6" w:space="0" w:color="000000"/>
            </w:tcBorders>
          </w:tcPr>
          <w:p w14:paraId="24D61571" w14:textId="77777777" w:rsidR="00245300" w:rsidRPr="00EC20A0" w:rsidRDefault="00245300">
            <w:pPr>
              <w:pStyle w:val="TableParagraph"/>
              <w:rPr>
                <w:sz w:val="20"/>
              </w:rPr>
            </w:pPr>
          </w:p>
        </w:tc>
      </w:tr>
      <w:tr w:rsidR="00245300" w:rsidRPr="00EC20A0" w14:paraId="24D6157B" w14:textId="77777777">
        <w:trPr>
          <w:trHeight w:val="8598"/>
        </w:trPr>
        <w:tc>
          <w:tcPr>
            <w:tcW w:w="6480" w:type="dxa"/>
            <w:tcBorders>
              <w:top w:val="single" w:sz="6" w:space="0" w:color="000000"/>
              <w:bottom w:val="single" w:sz="6" w:space="0" w:color="000000"/>
              <w:right w:val="single" w:sz="6" w:space="0" w:color="000000"/>
            </w:tcBorders>
          </w:tcPr>
          <w:p w14:paraId="24D61573" w14:textId="77777777" w:rsidR="00245300" w:rsidRPr="00EC20A0" w:rsidRDefault="00F17249">
            <w:pPr>
              <w:pStyle w:val="TableParagraph"/>
              <w:numPr>
                <w:ilvl w:val="0"/>
                <w:numId w:val="122"/>
              </w:numPr>
              <w:tabs>
                <w:tab w:val="left" w:pos="409"/>
                <w:tab w:val="left" w:pos="464"/>
              </w:tabs>
              <w:spacing w:before="145"/>
              <w:ind w:right="455" w:hanging="360"/>
            </w:pPr>
            <w:r w:rsidRPr="00EC20A0">
              <w:t>To determine if amounts contributed by the entity are charged</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appropriation</w:t>
            </w:r>
            <w:r w:rsidRPr="00EC20A0">
              <w:rPr>
                <w:spacing w:val="-4"/>
              </w:rPr>
              <w:t xml:space="preserve"> </w:t>
            </w:r>
            <w:r w:rsidRPr="00EC20A0">
              <w:t>account</w:t>
            </w:r>
            <w:r w:rsidRPr="00EC20A0">
              <w:rPr>
                <w:spacing w:val="-5"/>
              </w:rPr>
              <w:t xml:space="preserve"> </w:t>
            </w:r>
            <w:r w:rsidRPr="00EC20A0">
              <w:t>or</w:t>
            </w:r>
            <w:r w:rsidRPr="00EC20A0">
              <w:rPr>
                <w:spacing w:val="-5"/>
              </w:rPr>
              <w:t xml:space="preserve"> </w:t>
            </w:r>
            <w:r w:rsidRPr="00EC20A0">
              <w:t>fund</w:t>
            </w:r>
            <w:r w:rsidRPr="00EC20A0">
              <w:rPr>
                <w:spacing w:val="-5"/>
              </w:rPr>
              <w:t xml:space="preserve"> </w:t>
            </w:r>
            <w:r w:rsidRPr="00EC20A0">
              <w:t>used</w:t>
            </w:r>
            <w:r w:rsidRPr="00EC20A0">
              <w:rPr>
                <w:spacing w:val="-5"/>
              </w:rPr>
              <w:t xml:space="preserve"> </w:t>
            </w:r>
            <w:r w:rsidRPr="00EC20A0">
              <w:t>to</w:t>
            </w:r>
            <w:r w:rsidRPr="00EC20A0">
              <w:rPr>
                <w:spacing w:val="-5"/>
              </w:rPr>
              <w:t xml:space="preserve"> </w:t>
            </w:r>
            <w:r w:rsidRPr="00EC20A0">
              <w:t xml:space="preserve">pay the employee for the selected pay period, complete the </w:t>
            </w:r>
            <w:r w:rsidRPr="00EC20A0">
              <w:rPr>
                <w:spacing w:val="-2"/>
              </w:rPr>
              <w:t>following:</w:t>
            </w:r>
          </w:p>
          <w:p w14:paraId="24D61574" w14:textId="77777777" w:rsidR="00245300" w:rsidRPr="00EC20A0" w:rsidRDefault="00F17249">
            <w:pPr>
              <w:pStyle w:val="TableParagraph"/>
              <w:numPr>
                <w:ilvl w:val="1"/>
                <w:numId w:val="122"/>
              </w:numPr>
              <w:tabs>
                <w:tab w:val="left" w:pos="969"/>
                <w:tab w:val="left" w:pos="972"/>
              </w:tabs>
              <w:spacing w:before="143"/>
              <w:ind w:right="996" w:hanging="443"/>
            </w:pPr>
            <w:r w:rsidRPr="00EC20A0">
              <w:t>Review</w:t>
            </w:r>
            <w:r w:rsidRPr="00EC20A0">
              <w:rPr>
                <w:spacing w:val="-5"/>
              </w:rPr>
              <w:t xml:space="preserve"> </w:t>
            </w:r>
            <w:r w:rsidRPr="00EC20A0">
              <w:t>the</w:t>
            </w:r>
            <w:r w:rsidRPr="00EC20A0">
              <w:rPr>
                <w:spacing w:val="-6"/>
              </w:rPr>
              <w:t xml:space="preserve"> </w:t>
            </w:r>
            <w:r w:rsidRPr="00EC20A0">
              <w:t>accounting</w:t>
            </w:r>
            <w:r w:rsidRPr="00EC20A0">
              <w:rPr>
                <w:spacing w:val="-7"/>
              </w:rPr>
              <w:t xml:space="preserve"> </w:t>
            </w:r>
            <w:r w:rsidRPr="00EC20A0">
              <w:t>codes</w:t>
            </w:r>
            <w:r w:rsidRPr="00EC20A0">
              <w:rPr>
                <w:spacing w:val="-6"/>
              </w:rPr>
              <w:t xml:space="preserve"> </w:t>
            </w:r>
            <w:r w:rsidRPr="00EC20A0">
              <w:t>indicated</w:t>
            </w:r>
            <w:r w:rsidRPr="00EC20A0">
              <w:rPr>
                <w:spacing w:val="-6"/>
              </w:rPr>
              <w:t xml:space="preserve"> </w:t>
            </w:r>
            <w:r w:rsidRPr="00EC20A0">
              <w:t>on</w:t>
            </w:r>
            <w:r w:rsidRPr="00EC20A0">
              <w:rPr>
                <w:spacing w:val="-6"/>
              </w:rPr>
              <w:t xml:space="preserve"> </w:t>
            </w:r>
            <w:r w:rsidRPr="00EC20A0">
              <w:t>the supporting documentation.</w:t>
            </w:r>
          </w:p>
          <w:p w14:paraId="24D61575" w14:textId="77777777" w:rsidR="00245300" w:rsidRPr="00EC20A0" w:rsidRDefault="00F17249">
            <w:pPr>
              <w:pStyle w:val="TableParagraph"/>
              <w:numPr>
                <w:ilvl w:val="1"/>
                <w:numId w:val="122"/>
              </w:numPr>
              <w:tabs>
                <w:tab w:val="left" w:pos="968"/>
                <w:tab w:val="left" w:pos="971"/>
              </w:tabs>
              <w:spacing w:before="144"/>
              <w:ind w:left="968" w:right="148" w:hanging="443"/>
            </w:pPr>
            <w:r w:rsidRPr="00EC20A0">
              <w:t>Determine whether the accounting codes used to record the entity contribution are the same as those used for the related payroll expenditure and whether the codes and amounts agree to those recorded in the budgetary accounting records. (This step assumes other</w:t>
            </w:r>
            <w:r w:rsidRPr="00EC20A0">
              <w:rPr>
                <w:spacing w:val="-6"/>
              </w:rPr>
              <w:t xml:space="preserve"> </w:t>
            </w:r>
            <w:r w:rsidRPr="00EC20A0">
              <w:t>payroll</w:t>
            </w:r>
            <w:r w:rsidRPr="00EC20A0">
              <w:rPr>
                <w:spacing w:val="-7"/>
              </w:rPr>
              <w:t xml:space="preserve"> </w:t>
            </w:r>
            <w:r w:rsidRPr="00EC20A0">
              <w:t>testing</w:t>
            </w:r>
            <w:r w:rsidRPr="00EC20A0">
              <w:rPr>
                <w:spacing w:val="-6"/>
              </w:rPr>
              <w:t xml:space="preserve"> </w:t>
            </w:r>
            <w:r w:rsidRPr="00EC20A0">
              <w:t>would</w:t>
            </w:r>
            <w:r w:rsidRPr="00EC20A0">
              <w:rPr>
                <w:spacing w:val="-6"/>
              </w:rPr>
              <w:t xml:space="preserve"> </w:t>
            </w:r>
            <w:r w:rsidRPr="00EC20A0">
              <w:t>have</w:t>
            </w:r>
            <w:r w:rsidRPr="00EC20A0">
              <w:rPr>
                <w:spacing w:val="-6"/>
              </w:rPr>
              <w:t xml:space="preserve"> </w:t>
            </w:r>
            <w:r w:rsidRPr="00EC20A0">
              <w:t>included</w:t>
            </w:r>
            <w:r w:rsidRPr="00EC20A0">
              <w:rPr>
                <w:spacing w:val="-6"/>
              </w:rPr>
              <w:t xml:space="preserve"> </w:t>
            </w:r>
            <w:r w:rsidRPr="00EC20A0">
              <w:t>checking</w:t>
            </w:r>
            <w:r w:rsidRPr="00EC20A0">
              <w:rPr>
                <w:spacing w:val="-6"/>
              </w:rPr>
              <w:t xml:space="preserve"> </w:t>
            </w:r>
            <w:r w:rsidRPr="00EC20A0">
              <w:t>that the</w:t>
            </w:r>
            <w:r w:rsidRPr="00EC20A0">
              <w:rPr>
                <w:spacing w:val="-7"/>
              </w:rPr>
              <w:t xml:space="preserve"> </w:t>
            </w:r>
            <w:r w:rsidRPr="00EC20A0">
              <w:t>codes</w:t>
            </w:r>
            <w:r w:rsidRPr="00EC20A0">
              <w:rPr>
                <w:spacing w:val="-7"/>
              </w:rPr>
              <w:t xml:space="preserve"> </w:t>
            </w:r>
            <w:r w:rsidRPr="00EC20A0">
              <w:t>represent</w:t>
            </w:r>
            <w:r w:rsidRPr="00EC20A0">
              <w:rPr>
                <w:spacing w:val="-7"/>
              </w:rPr>
              <w:t xml:space="preserve"> </w:t>
            </w:r>
            <w:r w:rsidRPr="00EC20A0">
              <w:t>the</w:t>
            </w:r>
            <w:r w:rsidRPr="00EC20A0">
              <w:rPr>
                <w:spacing w:val="-8"/>
              </w:rPr>
              <w:t xml:space="preserve"> </w:t>
            </w:r>
            <w:r w:rsidRPr="00EC20A0">
              <w:t>proper</w:t>
            </w:r>
            <w:r w:rsidRPr="00EC20A0">
              <w:rPr>
                <w:spacing w:val="-7"/>
              </w:rPr>
              <w:t xml:space="preserve"> </w:t>
            </w:r>
            <w:r w:rsidRPr="00EC20A0">
              <w:t>appropriation</w:t>
            </w:r>
            <w:r w:rsidRPr="00EC20A0">
              <w:rPr>
                <w:spacing w:val="-6"/>
              </w:rPr>
              <w:t xml:space="preserve"> </w:t>
            </w:r>
            <w:r w:rsidRPr="00EC20A0">
              <w:rPr>
                <w:spacing w:val="-2"/>
              </w:rPr>
              <w:t>account.)</w:t>
            </w:r>
          </w:p>
          <w:p w14:paraId="24D61576" w14:textId="77777777" w:rsidR="00245300" w:rsidRPr="00EC20A0" w:rsidRDefault="00F17249">
            <w:pPr>
              <w:pStyle w:val="TableParagraph"/>
              <w:numPr>
                <w:ilvl w:val="1"/>
                <w:numId w:val="122"/>
              </w:numPr>
              <w:tabs>
                <w:tab w:val="left" w:pos="968"/>
                <w:tab w:val="left" w:pos="972"/>
              </w:tabs>
              <w:spacing w:before="144"/>
              <w:ind w:left="968" w:right="232" w:hanging="443"/>
            </w:pPr>
            <w:r w:rsidRPr="00EC20A0">
              <w:t>Consider the procedures performed on the entity’s budget controls over summarizing expenditure balances,</w:t>
            </w:r>
            <w:r w:rsidRPr="00EC20A0">
              <w:rPr>
                <w:spacing w:val="-5"/>
              </w:rPr>
              <w:t xml:space="preserve"> </w:t>
            </w:r>
            <w:r w:rsidRPr="00EC20A0">
              <w:t>as</w:t>
            </w:r>
            <w:r w:rsidRPr="00EC20A0">
              <w:rPr>
                <w:spacing w:val="-5"/>
              </w:rPr>
              <w:t xml:space="preserve"> </w:t>
            </w:r>
            <w:r w:rsidRPr="00EC20A0">
              <w:t>discussed</w:t>
            </w:r>
            <w:r w:rsidRPr="00EC20A0">
              <w:rPr>
                <w:spacing w:val="-6"/>
              </w:rPr>
              <w:t xml:space="preserve"> </w:t>
            </w:r>
            <w:r w:rsidRPr="00EC20A0">
              <w:t>in</w:t>
            </w:r>
            <w:r w:rsidRPr="00EC20A0">
              <w:rPr>
                <w:spacing w:val="-5"/>
              </w:rPr>
              <w:t xml:space="preserve"> </w:t>
            </w:r>
            <w:r w:rsidRPr="00EC20A0">
              <w:t>FAM</w:t>
            </w:r>
            <w:r w:rsidRPr="00EC20A0">
              <w:rPr>
                <w:spacing w:val="-6"/>
              </w:rPr>
              <w:t xml:space="preserve"> </w:t>
            </w:r>
            <w:r w:rsidRPr="00EC20A0">
              <w:t>395</w:t>
            </w:r>
            <w:r w:rsidRPr="00EC20A0">
              <w:rPr>
                <w:spacing w:val="-5"/>
              </w:rPr>
              <w:t xml:space="preserve"> </w:t>
            </w:r>
            <w:r w:rsidRPr="00EC20A0">
              <w:t>F,</w:t>
            </w:r>
            <w:r w:rsidRPr="00EC20A0">
              <w:rPr>
                <w:spacing w:val="-5"/>
              </w:rPr>
              <w:t xml:space="preserve"> </w:t>
            </w:r>
            <w:r w:rsidRPr="00EC20A0">
              <w:t>Budget</w:t>
            </w:r>
            <w:r w:rsidRPr="00EC20A0">
              <w:rPr>
                <w:spacing w:val="-5"/>
              </w:rPr>
              <w:t xml:space="preserve"> </w:t>
            </w:r>
            <w:r w:rsidRPr="00EC20A0">
              <w:t xml:space="preserve">Control </w:t>
            </w:r>
            <w:r w:rsidRPr="00EC20A0">
              <w:rPr>
                <w:spacing w:val="-2"/>
              </w:rPr>
              <w:t>Objectives.</w:t>
            </w:r>
          </w:p>
          <w:p w14:paraId="24D61577" w14:textId="77777777" w:rsidR="00245300" w:rsidRPr="00EC20A0" w:rsidRDefault="00F17249">
            <w:pPr>
              <w:pStyle w:val="TableParagraph"/>
              <w:spacing w:before="144"/>
              <w:ind w:left="968" w:right="191"/>
            </w:pPr>
            <w:r w:rsidRPr="00EC20A0">
              <w:t xml:space="preserve">If the auditor has assessed the entity’s controls as </w:t>
            </w:r>
            <w:r w:rsidRPr="00EC20A0">
              <w:rPr>
                <w:u w:val="single"/>
              </w:rPr>
              <w:t>effective</w:t>
            </w:r>
            <w:r w:rsidRPr="00EC20A0">
              <w:t xml:space="preserve"> in achieving the control objective of summarizing expenditure balances, then further procedures are not necessary to obtain assurance as to</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contributions</w:t>
            </w:r>
            <w:r w:rsidRPr="00EC20A0">
              <w:rPr>
                <w:spacing w:val="-5"/>
              </w:rPr>
              <w:t xml:space="preserve"> </w:t>
            </w:r>
            <w:r w:rsidRPr="00EC20A0">
              <w:t>are</w:t>
            </w:r>
            <w:r w:rsidRPr="00EC20A0">
              <w:rPr>
                <w:spacing w:val="-4"/>
              </w:rPr>
              <w:t xml:space="preserve"> </w:t>
            </w:r>
            <w:r w:rsidRPr="00EC20A0">
              <w:t>paid</w:t>
            </w:r>
            <w:r w:rsidRPr="00EC20A0">
              <w:rPr>
                <w:spacing w:val="-4"/>
              </w:rPr>
              <w:t xml:space="preserve"> </w:t>
            </w:r>
            <w:r w:rsidRPr="00EC20A0">
              <w:t>out</w:t>
            </w:r>
            <w:r w:rsidRPr="00EC20A0">
              <w:rPr>
                <w:spacing w:val="-5"/>
              </w:rPr>
              <w:t xml:space="preserve"> </w:t>
            </w:r>
            <w:r w:rsidRPr="00EC20A0">
              <w:t>of</w:t>
            </w:r>
            <w:r w:rsidRPr="00EC20A0">
              <w:rPr>
                <w:spacing w:val="-4"/>
              </w:rPr>
              <w:t xml:space="preserve"> </w:t>
            </w:r>
            <w:r w:rsidRPr="00EC20A0">
              <w:t>the proper appropriation account.</w:t>
            </w:r>
          </w:p>
          <w:p w14:paraId="24D61578" w14:textId="77777777" w:rsidR="00245300" w:rsidRPr="00EC20A0" w:rsidRDefault="00F17249">
            <w:pPr>
              <w:pStyle w:val="TableParagraph"/>
              <w:spacing w:before="144"/>
              <w:ind w:left="968" w:right="125"/>
            </w:pPr>
            <w:r w:rsidRPr="00EC20A0">
              <w:t xml:space="preserve">If the auditor has assessed the controls as </w:t>
            </w:r>
            <w:r w:rsidRPr="00EC20A0">
              <w:rPr>
                <w:u w:val="single"/>
              </w:rPr>
              <w:t>ineffective</w:t>
            </w:r>
            <w:r w:rsidRPr="00EC20A0">
              <w:t>, then the auditor should perform procedures to determine</w:t>
            </w:r>
            <w:r w:rsidRPr="00EC20A0">
              <w:rPr>
                <w:spacing w:val="-7"/>
              </w:rPr>
              <w:t xml:space="preserve"> </w:t>
            </w:r>
            <w:r w:rsidRPr="00EC20A0">
              <w:t>whether</w:t>
            </w:r>
            <w:r w:rsidRPr="00EC20A0">
              <w:rPr>
                <w:spacing w:val="-7"/>
              </w:rPr>
              <w:t xml:space="preserve"> </w:t>
            </w:r>
            <w:r w:rsidRPr="00EC20A0">
              <w:t>the</w:t>
            </w:r>
            <w:r w:rsidRPr="00EC20A0">
              <w:rPr>
                <w:spacing w:val="-7"/>
              </w:rPr>
              <w:t xml:space="preserve"> </w:t>
            </w:r>
            <w:r w:rsidRPr="00EC20A0">
              <w:t>entity</w:t>
            </w:r>
            <w:r w:rsidRPr="00EC20A0">
              <w:rPr>
                <w:spacing w:val="-7"/>
              </w:rPr>
              <w:t xml:space="preserve"> </w:t>
            </w:r>
            <w:r w:rsidRPr="00EC20A0">
              <w:t>has</w:t>
            </w:r>
            <w:r w:rsidRPr="00EC20A0">
              <w:rPr>
                <w:spacing w:val="-7"/>
              </w:rPr>
              <w:t xml:space="preserve"> </w:t>
            </w:r>
            <w:r w:rsidRPr="00EC20A0">
              <w:t>properly</w:t>
            </w:r>
            <w:r w:rsidRPr="00EC20A0">
              <w:rPr>
                <w:spacing w:val="-7"/>
              </w:rPr>
              <w:t xml:space="preserve"> </w:t>
            </w:r>
            <w:r w:rsidRPr="00EC20A0">
              <w:t>summarized the</w:t>
            </w:r>
            <w:r w:rsidRPr="00EC20A0">
              <w:rPr>
                <w:spacing w:val="-2"/>
              </w:rPr>
              <w:t xml:space="preserve"> </w:t>
            </w:r>
            <w:r w:rsidRPr="00EC20A0">
              <w:t>expenditure</w:t>
            </w:r>
            <w:r w:rsidRPr="00EC20A0">
              <w:rPr>
                <w:spacing w:val="-2"/>
              </w:rPr>
              <w:t xml:space="preserve"> </w:t>
            </w:r>
            <w:r w:rsidRPr="00EC20A0">
              <w:t>balances,</w:t>
            </w:r>
            <w:r w:rsidRPr="00EC20A0">
              <w:rPr>
                <w:spacing w:val="-2"/>
              </w:rPr>
              <w:t xml:space="preserve"> </w:t>
            </w:r>
            <w:r w:rsidRPr="00EC20A0">
              <w:t>as</w:t>
            </w:r>
            <w:r w:rsidRPr="00EC20A0">
              <w:rPr>
                <w:spacing w:val="-2"/>
              </w:rPr>
              <w:t xml:space="preserve"> </w:t>
            </w:r>
            <w:r w:rsidRPr="00EC20A0">
              <w:t>described</w:t>
            </w:r>
            <w:r w:rsidRPr="00EC20A0">
              <w:rPr>
                <w:spacing w:val="-2"/>
              </w:rPr>
              <w:t xml:space="preserve"> </w:t>
            </w:r>
            <w:r w:rsidRPr="00EC20A0">
              <w:t>in</w:t>
            </w:r>
            <w:r w:rsidRPr="00EC20A0">
              <w:rPr>
                <w:spacing w:val="-2"/>
              </w:rPr>
              <w:t xml:space="preserve"> </w:t>
            </w:r>
            <w:r w:rsidRPr="00EC20A0">
              <w:t>FAM</w:t>
            </w:r>
            <w:r w:rsidRPr="00EC20A0">
              <w:rPr>
                <w:spacing w:val="-3"/>
              </w:rPr>
              <w:t xml:space="preserve"> </w:t>
            </w:r>
            <w:r w:rsidRPr="00EC20A0">
              <w:t>495</w:t>
            </w:r>
            <w:r w:rsidRPr="00EC20A0">
              <w:rPr>
                <w:spacing w:val="-2"/>
              </w:rPr>
              <w:t xml:space="preserve"> </w:t>
            </w:r>
            <w:r w:rsidRPr="00EC20A0">
              <w:t>B, Example Procedures for Tests of Budget Information. See FAM 811.02, Entity Contributions for Employee Retirement Benefits.</w:t>
            </w:r>
          </w:p>
        </w:tc>
        <w:tc>
          <w:tcPr>
            <w:tcW w:w="1440" w:type="dxa"/>
            <w:tcBorders>
              <w:top w:val="single" w:sz="6" w:space="0" w:color="000000"/>
              <w:left w:val="single" w:sz="6" w:space="0" w:color="000000"/>
              <w:bottom w:val="single" w:sz="6" w:space="0" w:color="000000"/>
              <w:right w:val="single" w:sz="6" w:space="0" w:color="000000"/>
            </w:tcBorders>
          </w:tcPr>
          <w:p w14:paraId="24D61579" w14:textId="77777777" w:rsidR="00245300" w:rsidRPr="00EC20A0" w:rsidRDefault="00245300">
            <w:pPr>
              <w:pStyle w:val="TableParagraph"/>
              <w:rPr>
                <w:sz w:val="20"/>
              </w:rPr>
            </w:pPr>
          </w:p>
        </w:tc>
        <w:tc>
          <w:tcPr>
            <w:tcW w:w="1440" w:type="dxa"/>
            <w:tcBorders>
              <w:top w:val="single" w:sz="6" w:space="0" w:color="000000"/>
              <w:left w:val="single" w:sz="6" w:space="0" w:color="000000"/>
              <w:bottom w:val="single" w:sz="6" w:space="0" w:color="000000"/>
            </w:tcBorders>
          </w:tcPr>
          <w:p w14:paraId="24D6157A" w14:textId="77777777" w:rsidR="00245300" w:rsidRPr="00EC20A0" w:rsidRDefault="00245300">
            <w:pPr>
              <w:pStyle w:val="TableParagraph"/>
              <w:rPr>
                <w:sz w:val="20"/>
              </w:rPr>
            </w:pPr>
          </w:p>
        </w:tc>
      </w:tr>
    </w:tbl>
    <w:p w14:paraId="24D6157C" w14:textId="77777777" w:rsidR="00245300" w:rsidRPr="00EC20A0" w:rsidRDefault="00245300">
      <w:pPr>
        <w:rPr>
          <w:sz w:val="20"/>
        </w:rPr>
        <w:sectPr w:rsidR="00245300" w:rsidRPr="00EC20A0">
          <w:pgSz w:w="12240" w:h="15840"/>
          <w:pgMar w:top="1340" w:right="1100" w:bottom="940" w:left="1240" w:header="721" w:footer="742" w:gutter="0"/>
          <w:cols w:space="720"/>
        </w:sectPr>
      </w:pPr>
    </w:p>
    <w:p w14:paraId="24D6157D" w14:textId="77777777" w:rsidR="00245300" w:rsidRPr="00EC20A0" w:rsidRDefault="00245300">
      <w:pPr>
        <w:pStyle w:val="BodyText"/>
        <w:spacing w:before="9"/>
        <w:rPr>
          <w:sz w:val="11"/>
        </w:rPr>
      </w:pPr>
    </w:p>
    <w:tbl>
      <w:tblPr>
        <w:tblW w:w="0" w:type="auto"/>
        <w:tblInd w:w="2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245300" w:rsidRPr="00EC20A0" w14:paraId="24D6157F" w14:textId="77777777">
        <w:trPr>
          <w:trHeight w:val="1335"/>
        </w:trPr>
        <w:tc>
          <w:tcPr>
            <w:tcW w:w="9360" w:type="dxa"/>
            <w:gridSpan w:val="3"/>
          </w:tcPr>
          <w:p w14:paraId="24D6157E" w14:textId="77777777" w:rsidR="00245300" w:rsidRPr="00EC20A0" w:rsidRDefault="00F17249">
            <w:pPr>
              <w:pStyle w:val="TableParagraph"/>
              <w:tabs>
                <w:tab w:val="left" w:pos="9041"/>
              </w:tabs>
              <w:spacing w:before="7" w:line="390" w:lineRule="atLeast"/>
              <w:ind w:left="104" w:right="270"/>
              <w:jc w:val="both"/>
            </w:pPr>
            <w:r w:rsidRPr="00EC20A0">
              <w:t>Name of entity:</w:t>
            </w:r>
            <w:r w:rsidRPr="00EC20A0">
              <w:rPr>
                <w:spacing w:val="178"/>
              </w:rPr>
              <w:t xml:space="preserve"> </w:t>
            </w:r>
            <w:r w:rsidRPr="00EC20A0">
              <w:rPr>
                <w:u w:val="single"/>
              </w:rPr>
              <w:tab/>
            </w:r>
            <w:r w:rsidRPr="00EC20A0">
              <w:t xml:space="preserve"> Audit period:</w:t>
            </w:r>
            <w:r w:rsidRPr="00EC20A0">
              <w:rPr>
                <w:spacing w:val="179"/>
              </w:rPr>
              <w:t xml:space="preserve"> </w:t>
            </w:r>
            <w:r w:rsidRPr="00EC20A0">
              <w:rPr>
                <w:u w:val="single"/>
              </w:rPr>
              <w:tab/>
            </w:r>
            <w:r w:rsidRPr="00EC20A0">
              <w:t xml:space="preserve"> Reviewed by:</w:t>
            </w:r>
            <w:r w:rsidRPr="00EC20A0">
              <w:rPr>
                <w:spacing w:val="93"/>
              </w:rPr>
              <w:t xml:space="preserve"> </w:t>
            </w:r>
            <w:r w:rsidRPr="00EC20A0">
              <w:rPr>
                <w:u w:val="single"/>
              </w:rPr>
              <w:tab/>
            </w:r>
          </w:p>
        </w:tc>
      </w:tr>
      <w:tr w:rsidR="00245300" w:rsidRPr="00EC20A0" w14:paraId="24D61585" w14:textId="77777777">
        <w:trPr>
          <w:trHeight w:val="793"/>
        </w:trPr>
        <w:tc>
          <w:tcPr>
            <w:tcW w:w="6480" w:type="dxa"/>
            <w:tcBorders>
              <w:right w:val="single" w:sz="4" w:space="0" w:color="000000"/>
            </w:tcBorders>
          </w:tcPr>
          <w:p w14:paraId="24D61580" w14:textId="77777777" w:rsidR="00245300" w:rsidRPr="00EC20A0" w:rsidRDefault="00245300">
            <w:pPr>
              <w:pStyle w:val="TableParagraph"/>
              <w:spacing w:before="144"/>
            </w:pPr>
          </w:p>
          <w:p w14:paraId="24D61581" w14:textId="77777777" w:rsidR="00245300" w:rsidRPr="00EC20A0" w:rsidRDefault="00F17249">
            <w:pPr>
              <w:pStyle w:val="TableParagraph"/>
              <w:ind w:left="104"/>
              <w:rPr>
                <w:b/>
              </w:rPr>
            </w:pPr>
            <w:r w:rsidRPr="00EC20A0">
              <w:rPr>
                <w:b/>
              </w:rPr>
              <w:t>Audit</w:t>
            </w:r>
            <w:r w:rsidRPr="00EC20A0">
              <w:rPr>
                <w:b/>
                <w:spacing w:val="-7"/>
              </w:rPr>
              <w:t xml:space="preserve"> </w:t>
            </w:r>
            <w:r w:rsidRPr="00EC20A0">
              <w:rPr>
                <w:b/>
                <w:spacing w:val="-2"/>
              </w:rPr>
              <w:t>procedures</w:t>
            </w:r>
          </w:p>
        </w:tc>
        <w:tc>
          <w:tcPr>
            <w:tcW w:w="1440" w:type="dxa"/>
            <w:tcBorders>
              <w:left w:val="single" w:sz="4" w:space="0" w:color="000000"/>
              <w:right w:val="single" w:sz="4" w:space="0" w:color="000000"/>
            </w:tcBorders>
          </w:tcPr>
          <w:p w14:paraId="24D61582" w14:textId="77777777" w:rsidR="00245300" w:rsidRPr="00EC20A0" w:rsidRDefault="00F17249">
            <w:pPr>
              <w:pStyle w:val="TableParagraph"/>
              <w:spacing w:before="144"/>
              <w:ind w:left="122" w:right="151"/>
              <w:rPr>
                <w:b/>
              </w:rPr>
            </w:pPr>
            <w:r w:rsidRPr="00EC20A0">
              <w:rPr>
                <w:b/>
                <w:spacing w:val="-2"/>
              </w:rPr>
              <w:t xml:space="preserve">Initials/ </w:t>
            </w:r>
            <w:r w:rsidRPr="00EC20A0">
              <w:rPr>
                <w:b/>
                <w:spacing w:val="-4"/>
              </w:rPr>
              <w:t>date</w:t>
            </w:r>
          </w:p>
        </w:tc>
        <w:tc>
          <w:tcPr>
            <w:tcW w:w="1440" w:type="dxa"/>
            <w:tcBorders>
              <w:left w:val="single" w:sz="4" w:space="0" w:color="000000"/>
            </w:tcBorders>
          </w:tcPr>
          <w:p w14:paraId="24D61583" w14:textId="77777777" w:rsidR="00245300" w:rsidRPr="00EC20A0" w:rsidRDefault="00245300">
            <w:pPr>
              <w:pStyle w:val="TableParagraph"/>
              <w:spacing w:before="144"/>
            </w:pPr>
          </w:p>
          <w:p w14:paraId="24D61584" w14:textId="77777777" w:rsidR="00245300" w:rsidRPr="00EC20A0" w:rsidRDefault="00F17249">
            <w:pPr>
              <w:pStyle w:val="TableParagraph"/>
              <w:ind w:left="122"/>
              <w:rPr>
                <w:b/>
              </w:rPr>
            </w:pPr>
            <w:r w:rsidRPr="00EC20A0">
              <w:rPr>
                <w:b/>
              </w:rPr>
              <w:t>Doc.</w:t>
            </w:r>
            <w:r w:rsidRPr="00EC20A0">
              <w:rPr>
                <w:b/>
                <w:spacing w:val="-6"/>
              </w:rPr>
              <w:t xml:space="preserve"> </w:t>
            </w:r>
            <w:r w:rsidRPr="00EC20A0">
              <w:rPr>
                <w:b/>
                <w:spacing w:val="-4"/>
              </w:rPr>
              <w:t>ref.</w:t>
            </w:r>
          </w:p>
        </w:tc>
      </w:tr>
      <w:tr w:rsidR="00245300" w:rsidRPr="00EC20A0" w14:paraId="24D61589" w14:textId="77777777">
        <w:trPr>
          <w:trHeight w:val="2059"/>
        </w:trPr>
        <w:tc>
          <w:tcPr>
            <w:tcW w:w="6480" w:type="dxa"/>
            <w:tcBorders>
              <w:bottom w:val="single" w:sz="6" w:space="0" w:color="000000"/>
              <w:right w:val="single" w:sz="6" w:space="0" w:color="000000"/>
            </w:tcBorders>
          </w:tcPr>
          <w:p w14:paraId="24D61586" w14:textId="77777777" w:rsidR="00245300" w:rsidRPr="00EC20A0" w:rsidRDefault="00F17249">
            <w:pPr>
              <w:pStyle w:val="TableParagraph"/>
              <w:spacing w:before="144"/>
              <w:ind w:left="404" w:right="119" w:hanging="300"/>
            </w:pPr>
            <w:r w:rsidRPr="00EC20A0">
              <w:t>6.</w:t>
            </w:r>
            <w:r w:rsidRPr="00EC20A0">
              <w:rPr>
                <w:spacing w:val="40"/>
              </w:rPr>
              <w:t xml:space="preserve"> </w:t>
            </w:r>
            <w:r w:rsidRPr="00EC20A0">
              <w:t xml:space="preserve">Determine whether the entity has effective controls over the </w:t>
            </w:r>
            <w:r w:rsidRPr="00EC20A0">
              <w:t>proper summarization of the amounts withheld from employees for retirement costs under this law and the entity contributions</w:t>
            </w:r>
            <w:r w:rsidRPr="00EC20A0">
              <w:rPr>
                <w:spacing w:val="-4"/>
              </w:rPr>
              <w:t xml:space="preserve"> </w:t>
            </w:r>
            <w:r w:rsidRPr="00EC20A0">
              <w:t>for</w:t>
            </w:r>
            <w:r w:rsidRPr="00EC20A0">
              <w:rPr>
                <w:spacing w:val="-4"/>
              </w:rPr>
              <w:t xml:space="preserve"> </w:t>
            </w:r>
            <w:r w:rsidRPr="00EC20A0">
              <w:t>remittance</w:t>
            </w:r>
            <w:r w:rsidRPr="00EC20A0">
              <w:rPr>
                <w:spacing w:val="-4"/>
              </w:rPr>
              <w:t xml:space="preserve"> </w:t>
            </w:r>
            <w:r w:rsidRPr="00EC20A0">
              <w:t>to</w:t>
            </w:r>
            <w:r w:rsidRPr="00EC20A0">
              <w:rPr>
                <w:spacing w:val="-4"/>
              </w:rPr>
              <w:t xml:space="preserve"> </w:t>
            </w:r>
            <w:r w:rsidRPr="00EC20A0">
              <w:t>Treasury.</w:t>
            </w:r>
            <w:r w:rsidRPr="00EC20A0">
              <w:rPr>
                <w:spacing w:val="-4"/>
              </w:rPr>
              <w:t xml:space="preserve"> </w:t>
            </w:r>
            <w:r w:rsidRPr="00EC20A0">
              <w:t>If</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does</w:t>
            </w:r>
            <w:r w:rsidRPr="00EC20A0">
              <w:rPr>
                <w:spacing w:val="-4"/>
              </w:rPr>
              <w:t xml:space="preserve"> </w:t>
            </w:r>
            <w:r w:rsidRPr="00EC20A0">
              <w:t>not have effective controls for summarization, then test the summarization of the totals that include the items selected</w:t>
            </w:r>
            <w:r w:rsidRPr="00EC20A0">
              <w:rPr>
                <w:spacing w:val="40"/>
              </w:rPr>
              <w:t xml:space="preserve"> </w:t>
            </w:r>
            <w:r w:rsidRPr="00EC20A0">
              <w:t>for testing in step 1.</w:t>
            </w:r>
          </w:p>
        </w:tc>
        <w:tc>
          <w:tcPr>
            <w:tcW w:w="1440" w:type="dxa"/>
            <w:tcBorders>
              <w:left w:val="single" w:sz="6" w:space="0" w:color="000000"/>
              <w:bottom w:val="single" w:sz="6" w:space="0" w:color="000000"/>
              <w:right w:val="single" w:sz="6" w:space="0" w:color="000000"/>
            </w:tcBorders>
          </w:tcPr>
          <w:p w14:paraId="24D61587" w14:textId="77777777" w:rsidR="00245300" w:rsidRPr="00EC20A0" w:rsidRDefault="00245300">
            <w:pPr>
              <w:pStyle w:val="TableParagraph"/>
              <w:rPr>
                <w:sz w:val="20"/>
              </w:rPr>
            </w:pPr>
          </w:p>
        </w:tc>
        <w:tc>
          <w:tcPr>
            <w:tcW w:w="1440" w:type="dxa"/>
            <w:tcBorders>
              <w:left w:val="single" w:sz="6" w:space="0" w:color="000000"/>
              <w:bottom w:val="single" w:sz="6" w:space="0" w:color="000000"/>
            </w:tcBorders>
          </w:tcPr>
          <w:p w14:paraId="24D61588" w14:textId="77777777" w:rsidR="00245300" w:rsidRPr="00EC20A0" w:rsidRDefault="00245300">
            <w:pPr>
              <w:pStyle w:val="TableParagraph"/>
              <w:rPr>
                <w:sz w:val="20"/>
              </w:rPr>
            </w:pPr>
          </w:p>
        </w:tc>
      </w:tr>
      <w:tr w:rsidR="00245300" w:rsidRPr="00EC20A0" w14:paraId="24D6158D" w14:textId="77777777">
        <w:trPr>
          <w:trHeight w:val="2311"/>
        </w:trPr>
        <w:tc>
          <w:tcPr>
            <w:tcW w:w="6480" w:type="dxa"/>
            <w:tcBorders>
              <w:top w:val="single" w:sz="6" w:space="0" w:color="000000"/>
              <w:bottom w:val="single" w:sz="6" w:space="0" w:color="000000"/>
              <w:right w:val="single" w:sz="6" w:space="0" w:color="000000"/>
            </w:tcBorders>
          </w:tcPr>
          <w:p w14:paraId="24D6158A" w14:textId="77777777" w:rsidR="00245300" w:rsidRPr="00EC20A0" w:rsidRDefault="00F17249">
            <w:pPr>
              <w:pStyle w:val="TableParagraph"/>
              <w:spacing w:before="145"/>
              <w:ind w:left="404" w:right="125" w:hanging="300"/>
            </w:pPr>
            <w:r w:rsidRPr="00EC20A0">
              <w:t>7.</w:t>
            </w:r>
            <w:r w:rsidRPr="00EC20A0">
              <w:rPr>
                <w:spacing w:val="40"/>
              </w:rPr>
              <w:t xml:space="preserve"> </w:t>
            </w:r>
            <w:r w:rsidRPr="00EC20A0">
              <w:t>Compare the combined totals of employee withholdings and entity contributions that include each selection made in step 1</w:t>
            </w:r>
            <w:r w:rsidRPr="00EC20A0">
              <w:rPr>
                <w:spacing w:val="-2"/>
              </w:rPr>
              <w:t xml:space="preserve"> </w:t>
            </w:r>
            <w:r w:rsidRPr="00EC20A0">
              <w:t>to</w:t>
            </w:r>
            <w:r w:rsidRPr="00EC20A0">
              <w:rPr>
                <w:spacing w:val="-2"/>
              </w:rPr>
              <w:t xml:space="preserve"> </w:t>
            </w:r>
            <w:r w:rsidRPr="00EC20A0">
              <w:t>the</w:t>
            </w:r>
            <w:r w:rsidRPr="00EC20A0">
              <w:rPr>
                <w:spacing w:val="-2"/>
              </w:rPr>
              <w:t xml:space="preserve"> </w:t>
            </w:r>
            <w:r w:rsidRPr="00EC20A0">
              <w:t>deposit</w:t>
            </w:r>
            <w:r w:rsidRPr="00EC20A0">
              <w:rPr>
                <w:spacing w:val="-2"/>
              </w:rPr>
              <w:t xml:space="preserve"> </w:t>
            </w:r>
            <w:r w:rsidRPr="00EC20A0">
              <w:t>made</w:t>
            </w:r>
            <w:r w:rsidRPr="00EC20A0">
              <w:rPr>
                <w:spacing w:val="-2"/>
              </w:rPr>
              <w:t xml:space="preserve"> </w:t>
            </w:r>
            <w:r w:rsidRPr="00EC20A0">
              <w:t>to</w:t>
            </w:r>
            <w:r w:rsidRPr="00EC20A0">
              <w:rPr>
                <w:spacing w:val="-2"/>
              </w:rPr>
              <w:t xml:space="preserve"> </w:t>
            </w:r>
            <w:r w:rsidRPr="00EC20A0">
              <w:t>Treasury</w:t>
            </w:r>
            <w:r w:rsidRPr="00EC20A0">
              <w:rPr>
                <w:spacing w:val="-2"/>
              </w:rPr>
              <w:t xml:space="preserve"> </w:t>
            </w:r>
            <w:r w:rsidRPr="00EC20A0">
              <w:t>and</w:t>
            </w:r>
            <w:r w:rsidRPr="00EC20A0">
              <w:rPr>
                <w:spacing w:val="-2"/>
              </w:rPr>
              <w:t xml:space="preserve"> </w:t>
            </w:r>
            <w:r w:rsidRPr="00EC20A0">
              <w:t>the</w:t>
            </w:r>
            <w:r w:rsidRPr="00EC20A0">
              <w:rPr>
                <w:spacing w:val="-2"/>
              </w:rPr>
              <w:t xml:space="preserve"> </w:t>
            </w:r>
            <w:r w:rsidRPr="00EC20A0">
              <w:t>remittance</w:t>
            </w:r>
            <w:r w:rsidRPr="00EC20A0">
              <w:rPr>
                <w:spacing w:val="-2"/>
              </w:rPr>
              <w:t xml:space="preserve"> </w:t>
            </w:r>
            <w:r w:rsidRPr="00EC20A0">
              <w:t>sent</w:t>
            </w:r>
            <w:r w:rsidRPr="00EC20A0">
              <w:rPr>
                <w:spacing w:val="-2"/>
              </w:rPr>
              <w:t xml:space="preserve"> </w:t>
            </w:r>
            <w:r w:rsidRPr="00EC20A0">
              <w:t xml:space="preserve">to OPM, </w:t>
            </w:r>
            <w:r w:rsidRPr="00EC20A0">
              <w:t>and obtain explanation and examine support for any differences.</w:t>
            </w:r>
            <w:r w:rsidRPr="00EC20A0">
              <w:rPr>
                <w:spacing w:val="-6"/>
              </w:rPr>
              <w:t xml:space="preserve"> </w:t>
            </w:r>
            <w:r w:rsidRPr="00EC20A0">
              <w:t>The</w:t>
            </w:r>
            <w:r w:rsidRPr="00EC20A0">
              <w:rPr>
                <w:spacing w:val="-5"/>
              </w:rPr>
              <w:t xml:space="preserve"> </w:t>
            </w:r>
            <w:r w:rsidRPr="00EC20A0">
              <w:t>funds</w:t>
            </w:r>
            <w:r w:rsidRPr="00EC20A0">
              <w:rPr>
                <w:spacing w:val="-5"/>
              </w:rPr>
              <w:t xml:space="preserve"> </w:t>
            </w:r>
            <w:r w:rsidRPr="00EC20A0">
              <w:t>should</w:t>
            </w:r>
            <w:r w:rsidRPr="00EC20A0">
              <w:rPr>
                <w:spacing w:val="-5"/>
              </w:rPr>
              <w:t xml:space="preserve"> </w:t>
            </w:r>
            <w:r w:rsidRPr="00EC20A0">
              <w:t>be</w:t>
            </w:r>
            <w:r w:rsidRPr="00EC20A0">
              <w:rPr>
                <w:spacing w:val="-5"/>
              </w:rPr>
              <w:t xml:space="preserve"> </w:t>
            </w:r>
            <w:r w:rsidRPr="00EC20A0">
              <w:t>deposited</w:t>
            </w:r>
            <w:r w:rsidRPr="00EC20A0">
              <w:rPr>
                <w:spacing w:val="-5"/>
              </w:rPr>
              <w:t xml:space="preserve"> </w:t>
            </w:r>
            <w:r w:rsidRPr="00EC20A0">
              <w:t>into</w:t>
            </w:r>
            <w:r w:rsidRPr="00EC20A0">
              <w:rPr>
                <w:spacing w:val="-6"/>
              </w:rPr>
              <w:t xml:space="preserve"> </w:t>
            </w:r>
            <w:r w:rsidRPr="00EC20A0">
              <w:t>the</w:t>
            </w:r>
            <w:r w:rsidRPr="00EC20A0">
              <w:rPr>
                <w:spacing w:val="-5"/>
              </w:rPr>
              <w:t xml:space="preserve"> </w:t>
            </w:r>
            <w:r w:rsidRPr="00EC20A0">
              <w:t xml:space="preserve">Treasury to the credit of the Civil Service Retirement and Disability Fund. See FAM 811.03, Deposits into the Civil Service Retirement and </w:t>
            </w:r>
            <w:r w:rsidRPr="00EC20A0">
              <w:t>Disability Fund.</w:t>
            </w:r>
          </w:p>
        </w:tc>
        <w:tc>
          <w:tcPr>
            <w:tcW w:w="1440" w:type="dxa"/>
            <w:tcBorders>
              <w:top w:val="single" w:sz="6" w:space="0" w:color="000000"/>
              <w:left w:val="single" w:sz="6" w:space="0" w:color="000000"/>
              <w:bottom w:val="single" w:sz="6" w:space="0" w:color="000000"/>
              <w:right w:val="single" w:sz="6" w:space="0" w:color="000000"/>
            </w:tcBorders>
          </w:tcPr>
          <w:p w14:paraId="24D6158B" w14:textId="77777777" w:rsidR="00245300" w:rsidRPr="00EC20A0" w:rsidRDefault="00245300">
            <w:pPr>
              <w:pStyle w:val="TableParagraph"/>
              <w:rPr>
                <w:sz w:val="20"/>
              </w:rPr>
            </w:pPr>
          </w:p>
        </w:tc>
        <w:tc>
          <w:tcPr>
            <w:tcW w:w="1440" w:type="dxa"/>
            <w:tcBorders>
              <w:top w:val="single" w:sz="6" w:space="0" w:color="000000"/>
              <w:left w:val="single" w:sz="6" w:space="0" w:color="000000"/>
              <w:bottom w:val="single" w:sz="6" w:space="0" w:color="000000"/>
            </w:tcBorders>
          </w:tcPr>
          <w:p w14:paraId="24D6158C" w14:textId="77777777" w:rsidR="00245300" w:rsidRPr="00EC20A0" w:rsidRDefault="00245300">
            <w:pPr>
              <w:pStyle w:val="TableParagraph"/>
              <w:rPr>
                <w:sz w:val="20"/>
              </w:rPr>
            </w:pPr>
          </w:p>
        </w:tc>
      </w:tr>
      <w:tr w:rsidR="00245300" w:rsidRPr="00EC20A0" w14:paraId="24D61595" w14:textId="77777777">
        <w:trPr>
          <w:trHeight w:val="4912"/>
        </w:trPr>
        <w:tc>
          <w:tcPr>
            <w:tcW w:w="6480" w:type="dxa"/>
            <w:tcBorders>
              <w:top w:val="single" w:sz="6" w:space="0" w:color="000000"/>
              <w:bottom w:val="single" w:sz="6" w:space="0" w:color="000000"/>
              <w:right w:val="single" w:sz="6" w:space="0" w:color="000000"/>
            </w:tcBorders>
          </w:tcPr>
          <w:p w14:paraId="24D6158E" w14:textId="77777777" w:rsidR="00245300" w:rsidRPr="00EC20A0" w:rsidRDefault="00F17249">
            <w:pPr>
              <w:pStyle w:val="TableParagraph"/>
              <w:numPr>
                <w:ilvl w:val="0"/>
                <w:numId w:val="121"/>
              </w:numPr>
              <w:tabs>
                <w:tab w:val="left" w:pos="404"/>
                <w:tab w:val="left" w:pos="409"/>
              </w:tabs>
              <w:spacing w:before="145"/>
              <w:ind w:right="172" w:hanging="300"/>
            </w:pPr>
            <w:r w:rsidRPr="00EC20A0">
              <w:t xml:space="preserve">If the entity does not appear to be in compliance based on the results of tests performed, then the auditor should discuss these matters with OGC and, when appropriate, the Special Investigator Unit to conclude on whether </w:t>
            </w:r>
            <w:r w:rsidRPr="00EC20A0">
              <w:t>noncompliance</w:t>
            </w:r>
            <w:r w:rsidRPr="00EC20A0">
              <w:rPr>
                <w:spacing w:val="-6"/>
              </w:rPr>
              <w:t xml:space="preserve"> </w:t>
            </w:r>
            <w:r w:rsidRPr="00EC20A0">
              <w:t>actually</w:t>
            </w:r>
            <w:r w:rsidRPr="00EC20A0">
              <w:rPr>
                <w:spacing w:val="-6"/>
              </w:rPr>
              <w:t xml:space="preserve"> </w:t>
            </w:r>
            <w:r w:rsidRPr="00EC20A0">
              <w:t>has</w:t>
            </w:r>
            <w:r w:rsidRPr="00EC20A0">
              <w:rPr>
                <w:spacing w:val="-6"/>
              </w:rPr>
              <w:t xml:space="preserve"> </w:t>
            </w:r>
            <w:r w:rsidRPr="00EC20A0">
              <w:t>occurred</w:t>
            </w:r>
            <w:r w:rsidRPr="00EC20A0">
              <w:rPr>
                <w:spacing w:val="-6"/>
              </w:rPr>
              <w:t xml:space="preserve"> </w:t>
            </w:r>
            <w:r w:rsidRPr="00EC20A0">
              <w:t>and</w:t>
            </w:r>
            <w:r w:rsidRPr="00EC20A0">
              <w:rPr>
                <w:spacing w:val="-6"/>
              </w:rPr>
              <w:t xml:space="preserve"> </w:t>
            </w:r>
            <w:r w:rsidRPr="00EC20A0">
              <w:t>the</w:t>
            </w:r>
            <w:r w:rsidRPr="00EC20A0">
              <w:rPr>
                <w:spacing w:val="-6"/>
              </w:rPr>
              <w:t xml:space="preserve"> </w:t>
            </w:r>
            <w:r w:rsidRPr="00EC20A0">
              <w:t>implications</w:t>
            </w:r>
            <w:r w:rsidRPr="00EC20A0">
              <w:rPr>
                <w:spacing w:val="-6"/>
              </w:rPr>
              <w:t xml:space="preserve"> </w:t>
            </w:r>
            <w:r w:rsidRPr="00EC20A0">
              <w:t>of such noncompliance. For any noncompliance noted, the auditor should</w:t>
            </w:r>
          </w:p>
          <w:p w14:paraId="24D6158F" w14:textId="77777777" w:rsidR="00245300" w:rsidRPr="00EC20A0" w:rsidRDefault="00F17249">
            <w:pPr>
              <w:pStyle w:val="TableParagraph"/>
              <w:numPr>
                <w:ilvl w:val="1"/>
                <w:numId w:val="121"/>
              </w:numPr>
              <w:tabs>
                <w:tab w:val="left" w:pos="704"/>
              </w:tabs>
              <w:spacing w:before="143"/>
              <w:ind w:right="166"/>
            </w:pPr>
            <w:r w:rsidRPr="00EC20A0">
              <w:t>identify</w:t>
            </w:r>
            <w:r w:rsidRPr="00EC20A0">
              <w:rPr>
                <w:spacing w:val="-5"/>
              </w:rPr>
              <w:t xml:space="preserve"> </w:t>
            </w:r>
            <w:r w:rsidRPr="00EC20A0">
              <w:t>the</w:t>
            </w:r>
            <w:r w:rsidRPr="00EC20A0">
              <w:rPr>
                <w:spacing w:val="-6"/>
              </w:rPr>
              <w:t xml:space="preserve"> </w:t>
            </w:r>
            <w:r w:rsidRPr="00EC20A0">
              <w:t>weakness</w:t>
            </w:r>
            <w:r w:rsidRPr="00EC20A0">
              <w:rPr>
                <w:spacing w:val="-5"/>
              </w:rPr>
              <w:t xml:space="preserve"> </w:t>
            </w:r>
            <w:r w:rsidRPr="00EC20A0">
              <w:t>in</w:t>
            </w:r>
            <w:r w:rsidRPr="00EC20A0">
              <w:rPr>
                <w:spacing w:val="-6"/>
              </w:rPr>
              <w:t xml:space="preserve"> </w:t>
            </w:r>
            <w:r w:rsidRPr="00EC20A0">
              <w:t>compliance</w:t>
            </w:r>
            <w:r w:rsidRPr="00EC20A0">
              <w:rPr>
                <w:spacing w:val="-6"/>
              </w:rPr>
              <w:t xml:space="preserve"> </w:t>
            </w:r>
            <w:r w:rsidRPr="00EC20A0">
              <w:t>controls</w:t>
            </w:r>
            <w:r w:rsidRPr="00EC20A0">
              <w:rPr>
                <w:spacing w:val="-5"/>
              </w:rPr>
              <w:t xml:space="preserve"> </w:t>
            </w:r>
            <w:r w:rsidRPr="00EC20A0">
              <w:t>that</w:t>
            </w:r>
            <w:r w:rsidRPr="00EC20A0">
              <w:rPr>
                <w:spacing w:val="-5"/>
              </w:rPr>
              <w:t xml:space="preserve"> </w:t>
            </w:r>
            <w:r w:rsidRPr="00EC20A0">
              <w:t>allowed the noncompliance to occur, if it was not previously identified during compliance control testing;</w:t>
            </w:r>
          </w:p>
          <w:p w14:paraId="24D61590" w14:textId="77777777" w:rsidR="00245300" w:rsidRPr="00EC20A0" w:rsidRDefault="00F17249">
            <w:pPr>
              <w:pStyle w:val="TableParagraph"/>
              <w:numPr>
                <w:ilvl w:val="1"/>
                <w:numId w:val="121"/>
              </w:numPr>
              <w:tabs>
                <w:tab w:val="left" w:pos="704"/>
              </w:tabs>
              <w:spacing w:before="144"/>
              <w:ind w:right="275"/>
            </w:pPr>
            <w:r w:rsidRPr="00EC20A0">
              <w:t>determine</w:t>
            </w:r>
            <w:r w:rsidRPr="00EC20A0">
              <w:rPr>
                <w:spacing w:val="-4"/>
              </w:rPr>
              <w:t xml:space="preserve"> </w:t>
            </w:r>
            <w:r w:rsidRPr="00EC20A0">
              <w:t>the</w:t>
            </w:r>
            <w:r w:rsidRPr="00EC20A0">
              <w:rPr>
                <w:spacing w:val="-4"/>
              </w:rPr>
              <w:t xml:space="preserve"> </w:t>
            </w:r>
            <w:r w:rsidRPr="00EC20A0">
              <w:t>impact</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report</w:t>
            </w:r>
            <w:r w:rsidRPr="00EC20A0">
              <w:rPr>
                <w:spacing w:val="-4"/>
              </w:rPr>
              <w:t xml:space="preserve"> </w:t>
            </w:r>
            <w:r w:rsidRPr="00EC20A0">
              <w:t>on</w:t>
            </w:r>
            <w:r w:rsidRPr="00EC20A0">
              <w:rPr>
                <w:spacing w:val="-4"/>
              </w:rPr>
              <w:t xml:space="preserve"> </w:t>
            </w:r>
            <w:r w:rsidRPr="00EC20A0">
              <w:t>internal</w:t>
            </w:r>
            <w:r w:rsidRPr="00EC20A0">
              <w:rPr>
                <w:spacing w:val="-4"/>
              </w:rPr>
              <w:t xml:space="preserve"> </w:t>
            </w:r>
            <w:r w:rsidRPr="00EC20A0">
              <w:t>control</w:t>
            </w:r>
            <w:r w:rsidRPr="00EC20A0">
              <w:rPr>
                <w:spacing w:val="-4"/>
              </w:rPr>
              <w:t xml:space="preserve"> </w:t>
            </w:r>
            <w:r w:rsidRPr="00EC20A0">
              <w:t>as appropriate (see FAM 580.56–.85);</w:t>
            </w:r>
          </w:p>
          <w:p w14:paraId="24D61591" w14:textId="77777777" w:rsidR="00245300" w:rsidRPr="00EC20A0" w:rsidRDefault="00F17249">
            <w:pPr>
              <w:pStyle w:val="TableParagraph"/>
              <w:numPr>
                <w:ilvl w:val="1"/>
                <w:numId w:val="121"/>
              </w:numPr>
              <w:tabs>
                <w:tab w:val="left" w:pos="703"/>
                <w:tab w:val="left" w:pos="709"/>
              </w:tabs>
              <w:spacing w:before="144"/>
              <w:ind w:left="709" w:right="1091" w:hanging="274"/>
            </w:pPr>
            <w:r w:rsidRPr="00EC20A0">
              <w:t>consider the implications of any instances of noncompliance</w:t>
            </w:r>
            <w:r w:rsidRPr="00EC20A0">
              <w:rPr>
                <w:spacing w:val="-8"/>
              </w:rPr>
              <w:t xml:space="preserve"> </w:t>
            </w:r>
            <w:r w:rsidRPr="00EC20A0">
              <w:t>on</w:t>
            </w:r>
            <w:r w:rsidRPr="00EC20A0">
              <w:rPr>
                <w:spacing w:val="-8"/>
              </w:rPr>
              <w:t xml:space="preserve"> </w:t>
            </w:r>
            <w:r w:rsidRPr="00EC20A0">
              <w:t>the</w:t>
            </w:r>
            <w:r w:rsidRPr="00EC20A0">
              <w:rPr>
                <w:spacing w:val="-8"/>
              </w:rPr>
              <w:t xml:space="preserve"> </w:t>
            </w:r>
            <w:r w:rsidRPr="00EC20A0">
              <w:t>financial</w:t>
            </w:r>
            <w:r w:rsidRPr="00EC20A0">
              <w:rPr>
                <w:spacing w:val="-8"/>
              </w:rPr>
              <w:t xml:space="preserve"> </w:t>
            </w:r>
            <w:r w:rsidRPr="00EC20A0">
              <w:t>statements;</w:t>
            </w:r>
            <w:r w:rsidRPr="00EC20A0">
              <w:rPr>
                <w:spacing w:val="-8"/>
              </w:rPr>
              <w:t xml:space="preserve"> </w:t>
            </w:r>
            <w:r w:rsidRPr="00EC20A0">
              <w:t>and</w:t>
            </w:r>
          </w:p>
          <w:p w14:paraId="24D61592" w14:textId="77777777" w:rsidR="00245300" w:rsidRPr="00EC20A0" w:rsidRDefault="00F17249">
            <w:pPr>
              <w:pStyle w:val="TableParagraph"/>
              <w:numPr>
                <w:ilvl w:val="1"/>
                <w:numId w:val="121"/>
              </w:numPr>
              <w:tabs>
                <w:tab w:val="left" w:pos="703"/>
                <w:tab w:val="left" w:pos="709"/>
              </w:tabs>
              <w:spacing w:before="144"/>
              <w:ind w:left="709" w:right="374" w:hanging="274"/>
            </w:pPr>
            <w:r w:rsidRPr="00EC20A0">
              <w:t>report</w:t>
            </w:r>
            <w:r w:rsidRPr="00EC20A0">
              <w:rPr>
                <w:spacing w:val="-6"/>
              </w:rPr>
              <w:t xml:space="preserve"> </w:t>
            </w:r>
            <w:r w:rsidRPr="00EC20A0">
              <w:t>instances</w:t>
            </w:r>
            <w:r w:rsidRPr="00EC20A0">
              <w:rPr>
                <w:spacing w:val="-6"/>
              </w:rPr>
              <w:t xml:space="preserve"> </w:t>
            </w:r>
            <w:r w:rsidRPr="00EC20A0">
              <w:t>of</w:t>
            </w:r>
            <w:r w:rsidRPr="00EC20A0">
              <w:rPr>
                <w:spacing w:val="-6"/>
              </w:rPr>
              <w:t xml:space="preserve"> </w:t>
            </w:r>
            <w:r w:rsidRPr="00EC20A0">
              <w:t>noncompliance,</w:t>
            </w:r>
            <w:r w:rsidRPr="00EC20A0">
              <w:rPr>
                <w:spacing w:val="-7"/>
              </w:rPr>
              <w:t xml:space="preserve"> </w:t>
            </w:r>
            <w:r w:rsidRPr="00EC20A0">
              <w:t>as</w:t>
            </w:r>
            <w:r w:rsidRPr="00EC20A0">
              <w:rPr>
                <w:spacing w:val="-6"/>
              </w:rPr>
              <w:t xml:space="preserve"> </w:t>
            </w:r>
            <w:r w:rsidRPr="00EC20A0">
              <w:t>appropriate</w:t>
            </w:r>
            <w:r w:rsidRPr="00EC20A0">
              <w:rPr>
                <w:spacing w:val="-6"/>
              </w:rPr>
              <w:t xml:space="preserve"> </w:t>
            </w:r>
            <w:r w:rsidRPr="00EC20A0">
              <w:t>(see FAM 580.91–.99).</w:t>
            </w:r>
          </w:p>
        </w:tc>
        <w:tc>
          <w:tcPr>
            <w:tcW w:w="1440" w:type="dxa"/>
            <w:tcBorders>
              <w:top w:val="single" w:sz="6" w:space="0" w:color="000000"/>
              <w:left w:val="single" w:sz="6" w:space="0" w:color="000000"/>
              <w:bottom w:val="single" w:sz="6" w:space="0" w:color="000000"/>
              <w:right w:val="single" w:sz="6" w:space="0" w:color="000000"/>
            </w:tcBorders>
          </w:tcPr>
          <w:p w14:paraId="24D61593" w14:textId="77777777" w:rsidR="00245300" w:rsidRPr="00EC20A0" w:rsidRDefault="00245300">
            <w:pPr>
              <w:pStyle w:val="TableParagraph"/>
              <w:rPr>
                <w:sz w:val="20"/>
              </w:rPr>
            </w:pPr>
          </w:p>
        </w:tc>
        <w:tc>
          <w:tcPr>
            <w:tcW w:w="1440" w:type="dxa"/>
            <w:tcBorders>
              <w:top w:val="single" w:sz="6" w:space="0" w:color="000000"/>
              <w:left w:val="single" w:sz="6" w:space="0" w:color="000000"/>
              <w:bottom w:val="single" w:sz="6" w:space="0" w:color="000000"/>
            </w:tcBorders>
          </w:tcPr>
          <w:p w14:paraId="24D61594" w14:textId="77777777" w:rsidR="00245300" w:rsidRPr="00EC20A0" w:rsidRDefault="00245300">
            <w:pPr>
              <w:pStyle w:val="TableParagraph"/>
              <w:rPr>
                <w:sz w:val="20"/>
              </w:rPr>
            </w:pPr>
          </w:p>
        </w:tc>
      </w:tr>
      <w:tr w:rsidR="00245300" w:rsidRPr="00EC20A0" w14:paraId="24D61599" w14:textId="77777777">
        <w:trPr>
          <w:trHeight w:val="794"/>
        </w:trPr>
        <w:tc>
          <w:tcPr>
            <w:tcW w:w="6480" w:type="dxa"/>
            <w:tcBorders>
              <w:top w:val="single" w:sz="6" w:space="0" w:color="000000"/>
              <w:right w:val="single" w:sz="6" w:space="0" w:color="000000"/>
            </w:tcBorders>
          </w:tcPr>
          <w:p w14:paraId="24D61596" w14:textId="77777777" w:rsidR="00245300" w:rsidRPr="00EC20A0" w:rsidRDefault="00F17249">
            <w:pPr>
              <w:pStyle w:val="TableParagraph"/>
              <w:spacing w:before="143"/>
              <w:ind w:left="404" w:right="125" w:hanging="301"/>
            </w:pPr>
            <w:r w:rsidRPr="00EC20A0">
              <w:t>9.</w:t>
            </w:r>
            <w:r w:rsidRPr="00EC20A0">
              <w:rPr>
                <w:spacing w:val="40"/>
              </w:rPr>
              <w:t xml:space="preserve"> </w:t>
            </w:r>
            <w:r w:rsidRPr="00EC20A0">
              <w:t>Document</w:t>
            </w:r>
            <w:r w:rsidRPr="00EC20A0">
              <w:rPr>
                <w:spacing w:val="-5"/>
              </w:rPr>
              <w:t xml:space="preserve"> </w:t>
            </w:r>
            <w:r w:rsidRPr="00EC20A0">
              <w:t>conclusions</w:t>
            </w:r>
            <w:r w:rsidRPr="00EC20A0">
              <w:rPr>
                <w:spacing w:val="-5"/>
              </w:rPr>
              <w:t xml:space="preserve"> </w:t>
            </w:r>
            <w:r w:rsidRPr="00EC20A0">
              <w:t>on</w:t>
            </w:r>
            <w:r w:rsidRPr="00EC20A0">
              <w:rPr>
                <w:spacing w:val="-5"/>
              </w:rPr>
              <w:t xml:space="preserve"> </w:t>
            </w:r>
            <w:r w:rsidRPr="00EC20A0">
              <w:t>compliance</w:t>
            </w:r>
            <w:r w:rsidRPr="00EC20A0">
              <w:rPr>
                <w:spacing w:val="-5"/>
              </w:rPr>
              <w:t xml:space="preserve"> </w:t>
            </w:r>
            <w:r w:rsidRPr="00EC20A0">
              <w:t>with</w:t>
            </w:r>
            <w:r w:rsidRPr="00EC20A0">
              <w:rPr>
                <w:spacing w:val="-5"/>
              </w:rPr>
              <w:t xml:space="preserve"> </w:t>
            </w:r>
            <w:r w:rsidRPr="00EC20A0">
              <w:t>each</w:t>
            </w:r>
            <w:r w:rsidRPr="00EC20A0">
              <w:rPr>
                <w:spacing w:val="-5"/>
              </w:rPr>
              <w:t xml:space="preserve"> </w:t>
            </w:r>
            <w:r w:rsidRPr="00EC20A0">
              <w:t>provision</w:t>
            </w:r>
            <w:r w:rsidRPr="00EC20A0">
              <w:rPr>
                <w:spacing w:val="-5"/>
              </w:rPr>
              <w:t xml:space="preserve"> </w:t>
            </w:r>
            <w:r w:rsidRPr="00EC20A0">
              <w:t>on Form 811, Compliance Summary.</w:t>
            </w:r>
          </w:p>
        </w:tc>
        <w:tc>
          <w:tcPr>
            <w:tcW w:w="1440" w:type="dxa"/>
            <w:tcBorders>
              <w:top w:val="single" w:sz="6" w:space="0" w:color="000000"/>
              <w:left w:val="single" w:sz="6" w:space="0" w:color="000000"/>
              <w:right w:val="single" w:sz="6" w:space="0" w:color="000000"/>
            </w:tcBorders>
          </w:tcPr>
          <w:p w14:paraId="24D61597" w14:textId="77777777" w:rsidR="00245300" w:rsidRPr="00EC20A0" w:rsidRDefault="00245300">
            <w:pPr>
              <w:pStyle w:val="TableParagraph"/>
              <w:rPr>
                <w:sz w:val="20"/>
              </w:rPr>
            </w:pPr>
          </w:p>
        </w:tc>
        <w:tc>
          <w:tcPr>
            <w:tcW w:w="1440" w:type="dxa"/>
            <w:tcBorders>
              <w:top w:val="single" w:sz="6" w:space="0" w:color="000000"/>
              <w:left w:val="single" w:sz="6" w:space="0" w:color="000000"/>
            </w:tcBorders>
          </w:tcPr>
          <w:p w14:paraId="24D61598" w14:textId="77777777" w:rsidR="00245300" w:rsidRPr="00EC20A0" w:rsidRDefault="00245300">
            <w:pPr>
              <w:pStyle w:val="TableParagraph"/>
              <w:rPr>
                <w:sz w:val="20"/>
              </w:rPr>
            </w:pPr>
          </w:p>
        </w:tc>
      </w:tr>
    </w:tbl>
    <w:p w14:paraId="24D6159A" w14:textId="77777777" w:rsidR="00245300" w:rsidRPr="00EC20A0" w:rsidRDefault="00245300">
      <w:pPr>
        <w:rPr>
          <w:sz w:val="20"/>
        </w:rPr>
        <w:sectPr w:rsidR="00245300" w:rsidRPr="00EC20A0">
          <w:pgSz w:w="12240" w:h="15840"/>
          <w:pgMar w:top="1340" w:right="1100" w:bottom="940" w:left="1240" w:header="721" w:footer="742" w:gutter="0"/>
          <w:cols w:space="720"/>
        </w:sectPr>
      </w:pPr>
    </w:p>
    <w:p w14:paraId="24D6159B" w14:textId="77777777" w:rsidR="00245300" w:rsidRPr="00EC20A0" w:rsidRDefault="00F17249">
      <w:pPr>
        <w:spacing w:before="121"/>
        <w:ind w:left="200" w:right="345"/>
      </w:pPr>
      <w:r w:rsidRPr="00EC20A0">
        <w:rPr>
          <w:b/>
        </w:rPr>
        <w:t>Note:</w:t>
      </w:r>
      <w:r w:rsidRPr="00EC20A0">
        <w:rPr>
          <w:b/>
          <w:spacing w:val="80"/>
        </w:rPr>
        <w:t xml:space="preserve"> </w:t>
      </w:r>
      <w:r w:rsidRPr="00EC20A0">
        <w:t xml:space="preserve">If the entity outsources payroll processing, then the entity remains </w:t>
      </w:r>
      <w:r w:rsidRPr="00EC20A0">
        <w:t>responsible for compliance. Dividing responsibility for payroll processing activities between the entity and the service organization could make payroll testing more complicated; however, the same testing should</w:t>
      </w:r>
      <w:r w:rsidRPr="00EC20A0">
        <w:rPr>
          <w:spacing w:val="-3"/>
        </w:rPr>
        <w:t xml:space="preserve"> </w:t>
      </w:r>
      <w:r w:rsidRPr="00EC20A0">
        <w:t>be</w:t>
      </w:r>
      <w:r w:rsidRPr="00EC20A0">
        <w:rPr>
          <w:spacing w:val="-3"/>
        </w:rPr>
        <w:t xml:space="preserve"> </w:t>
      </w:r>
      <w:r w:rsidRPr="00EC20A0">
        <w:t>performed.</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may</w:t>
      </w:r>
      <w:r w:rsidRPr="00EC20A0">
        <w:rPr>
          <w:spacing w:val="-3"/>
        </w:rPr>
        <w:t xml:space="preserve"> </w:t>
      </w:r>
      <w:r w:rsidRPr="00EC20A0">
        <w:t>accomplish</w:t>
      </w:r>
      <w:r w:rsidRPr="00EC20A0">
        <w:rPr>
          <w:spacing w:val="-3"/>
        </w:rPr>
        <w:t xml:space="preserve"> </w:t>
      </w:r>
      <w:r w:rsidRPr="00EC20A0">
        <w:t>that</w:t>
      </w:r>
      <w:r w:rsidRPr="00EC20A0">
        <w:rPr>
          <w:spacing w:val="-3"/>
        </w:rPr>
        <w:t xml:space="preserve"> </w:t>
      </w:r>
      <w:r w:rsidRPr="00EC20A0">
        <w:t>testing</w:t>
      </w:r>
      <w:r w:rsidRPr="00EC20A0">
        <w:rPr>
          <w:spacing w:val="-3"/>
        </w:rPr>
        <w:t xml:space="preserve"> </w:t>
      </w:r>
      <w:r w:rsidRPr="00EC20A0">
        <w:t>with</w:t>
      </w:r>
      <w:r w:rsidRPr="00EC20A0">
        <w:rPr>
          <w:spacing w:val="-3"/>
        </w:rPr>
        <w:t xml:space="preserve"> </w:t>
      </w:r>
      <w:r w:rsidRPr="00EC20A0">
        <w:t>the</w:t>
      </w:r>
      <w:r w:rsidRPr="00EC20A0">
        <w:rPr>
          <w:spacing w:val="-3"/>
        </w:rPr>
        <w:t xml:space="preserve"> </w:t>
      </w:r>
      <w:r w:rsidRPr="00EC20A0">
        <w:t>assistance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 xml:space="preserve">service auditor, which may issue an internal control report on the service organization under AT-C 320, </w:t>
      </w:r>
      <w:r w:rsidRPr="00EC20A0">
        <w:rPr>
          <w:i/>
        </w:rPr>
        <w:t xml:space="preserve">Reporting on an Examination of Controls at a Service Organization Relevant to User Entities’ Internal Control Over </w:t>
      </w:r>
      <w:r w:rsidRPr="00EC20A0">
        <w:rPr>
          <w:i/>
        </w:rPr>
        <w:t>Financial Reporting</w:t>
      </w:r>
      <w:r w:rsidRPr="00EC20A0">
        <w:t xml:space="preserve">. Another approach may be for the service auditor to assist the entity’s auditor by performing agreed-upon procedures at the service organization (e.g., substantive testing) under AT-C 215, </w:t>
      </w:r>
      <w:r w:rsidRPr="00EC20A0">
        <w:rPr>
          <w:i/>
        </w:rPr>
        <w:t xml:space="preserve">Agreed-Upon Procedures Engagements </w:t>
      </w:r>
      <w:r w:rsidRPr="00EC20A0">
        <w:t xml:space="preserve">(see FAM </w:t>
      </w:r>
      <w:r w:rsidRPr="00EC20A0">
        <w:rPr>
          <w:spacing w:val="-2"/>
        </w:rPr>
        <w:t>710).</w:t>
      </w:r>
    </w:p>
    <w:p w14:paraId="24D6159C" w14:textId="77777777" w:rsidR="00245300" w:rsidRPr="00EC20A0" w:rsidRDefault="00245300">
      <w:pPr>
        <w:sectPr w:rsidR="00245300" w:rsidRPr="00EC20A0">
          <w:pgSz w:w="12240" w:h="15840"/>
          <w:pgMar w:top="1340" w:right="1100" w:bottom="940" w:left="1240" w:header="721" w:footer="742" w:gutter="0"/>
          <w:cols w:space="720"/>
        </w:sectPr>
      </w:pPr>
    </w:p>
    <w:p w14:paraId="24D6159D" w14:textId="77777777" w:rsidR="00245300" w:rsidRPr="00EC20A0" w:rsidRDefault="00F17249">
      <w:pPr>
        <w:pStyle w:val="BodyText"/>
        <w:spacing w:line="20" w:lineRule="exact"/>
        <w:ind w:left="350"/>
        <w:rPr>
          <w:sz w:val="2"/>
        </w:rPr>
      </w:pPr>
      <w:r w:rsidRPr="00EC20A0">
        <w:rPr>
          <w:noProof/>
          <w:sz w:val="2"/>
        </w:rPr>
        <mc:AlternateContent>
          <mc:Choice Requires="wpg">
            <w:drawing>
              <wp:inline distT="0" distB="0" distL="0" distR="0" wp14:anchorId="24D62C7F" wp14:editId="24D62C80">
                <wp:extent cx="5833110" cy="9525"/>
                <wp:effectExtent l="9525" t="0" r="0" b="0"/>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3110" cy="9525"/>
                          <a:chOff x="0" y="0"/>
                          <a:chExt cx="5833110" cy="9525"/>
                        </a:xfrm>
                      </wpg:grpSpPr>
                      <wps:wsp>
                        <wps:cNvPr id="751" name="Graphic 751"/>
                        <wps:cNvSpPr/>
                        <wps:spPr>
                          <a:xfrm>
                            <a:off x="0" y="4762"/>
                            <a:ext cx="5833110" cy="1270"/>
                          </a:xfrm>
                          <a:custGeom>
                            <a:avLst/>
                            <a:gdLst/>
                            <a:ahLst/>
                            <a:cxnLst/>
                            <a:rect l="l" t="t" r="r" b="b"/>
                            <a:pathLst>
                              <a:path w="5833110">
                                <a:moveTo>
                                  <a:pt x="0" y="0"/>
                                </a:moveTo>
                                <a:lnTo>
                                  <a:pt x="583311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930A87" id="Group 750" o:spid="_x0000_s1026" style="width:459.3pt;height:.75pt;mso-position-horizontal-relative:char;mso-position-vertical-relative:line" coordsize="583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">
                <v:shape id="Graphic 751" o:spid="_x0000_s1027" style="position:absolute;top:47;width:58331;height:13;visibility:visible;mso-wrap-style:square;v-text-anchor:top" coordsize="5833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" path="m,l5833110,e" filled="f">
                  <v:path arrowok="t"/>
                </v:shape>
                <w10:anchorlock/>
              </v:group>
            </w:pict>
          </mc:Fallback>
        </mc:AlternateContent>
      </w:r>
    </w:p>
    <w:p w14:paraId="24D6159E" w14:textId="77777777" w:rsidR="00245300" w:rsidRPr="00EC20A0" w:rsidRDefault="00245300">
      <w:pPr>
        <w:pStyle w:val="BodyText"/>
        <w:spacing w:before="79"/>
        <w:rPr>
          <w:sz w:val="60"/>
        </w:rPr>
      </w:pPr>
    </w:p>
    <w:p w14:paraId="24D6159F" w14:textId="77777777" w:rsidR="00245300" w:rsidRPr="00EC20A0" w:rsidRDefault="00F17249">
      <w:pPr>
        <w:pStyle w:val="Heading1"/>
        <w:ind w:left="5726"/>
      </w:pPr>
      <w:bookmarkStart w:id="263" w:name="Section_900_-_Substantive_Testing_Implem"/>
      <w:bookmarkStart w:id="264" w:name="_bookmark148"/>
      <w:bookmarkEnd w:id="263"/>
      <w:bookmarkEnd w:id="264"/>
      <w:r w:rsidRPr="00EC20A0">
        <w:t>SECTION</w:t>
      </w:r>
      <w:r w:rsidRPr="00EC20A0">
        <w:rPr>
          <w:spacing w:val="-4"/>
        </w:rPr>
        <w:t xml:space="preserve"> </w:t>
      </w:r>
      <w:r w:rsidRPr="00EC20A0">
        <w:rPr>
          <w:spacing w:val="-5"/>
        </w:rPr>
        <w:t>900</w:t>
      </w:r>
    </w:p>
    <w:p w14:paraId="24D615A0" w14:textId="77777777" w:rsidR="00245300" w:rsidRPr="00EC20A0" w:rsidRDefault="00245300">
      <w:pPr>
        <w:pStyle w:val="BodyText"/>
        <w:rPr>
          <w:sz w:val="20"/>
        </w:rPr>
      </w:pPr>
    </w:p>
    <w:p w14:paraId="24D615A1" w14:textId="77777777" w:rsidR="00245300" w:rsidRPr="00EC20A0" w:rsidRDefault="00F17249">
      <w:pPr>
        <w:pStyle w:val="BodyText"/>
        <w:spacing w:before="129"/>
        <w:rPr>
          <w:sz w:val="20"/>
        </w:rPr>
      </w:pPr>
      <w:r w:rsidRPr="00EC20A0">
        <w:rPr>
          <w:noProof/>
        </w:rPr>
        <mc:AlternateContent>
          <mc:Choice Requires="wps">
            <w:drawing>
              <wp:anchor distT="0" distB="0" distL="0" distR="0" simplePos="0" relativeHeight="487705600" behindDoc="1" locked="0" layoutInCell="1" allowOverlap="1" wp14:anchorId="24D62C81" wp14:editId="24D62C82">
                <wp:simplePos x="0" y="0"/>
                <wp:positionH relativeFrom="page">
                  <wp:posOffset>996314</wp:posOffset>
                </wp:positionH>
                <wp:positionV relativeFrom="paragraph">
                  <wp:posOffset>243228</wp:posOffset>
                </wp:positionV>
                <wp:extent cx="5861685" cy="9144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1440"/>
                        </a:xfrm>
                        <a:custGeom>
                          <a:avLst/>
                          <a:gdLst/>
                          <a:ahLst/>
                          <a:cxnLst/>
                          <a:rect l="l" t="t" r="r" b="b"/>
                          <a:pathLst>
                            <a:path w="5861685" h="91440">
                              <a:moveTo>
                                <a:pt x="5861685" y="0"/>
                              </a:moveTo>
                              <a:lnTo>
                                <a:pt x="0" y="0"/>
                              </a:lnTo>
                              <a:lnTo>
                                <a:pt x="0" y="91440"/>
                              </a:lnTo>
                              <a:lnTo>
                                <a:pt x="5861685" y="91440"/>
                              </a:lnTo>
                              <a:lnTo>
                                <a:pt x="58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56C2B" id="Graphic 752" o:spid="_x0000_s1026" style="position:absolute;margin-left:78.45pt;margin-top:19.15pt;width:461.55pt;height:7.2pt;z-index:-15610880;visibility:visible;mso-wrap-style:square;mso-wrap-distance-left:0;mso-wrap-distance-top:0;mso-wrap-distance-right:0;mso-wrap-distance-bottom:0;mso-position-horizontal:absolute;mso-position-horizontal-relative:page;mso-position-vertical:absolute;mso-position-vertical-relative:text;v-text-anchor:top" coordsize="586168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" path="m5861685,l,,,91440r5861685,l5861685,xe" fillcolor="black" stroked="f">
                <v:path arrowok="t"/>
                <w10:wrap type="topAndBottom" anchorx="page"/>
              </v:shape>
            </w:pict>
          </mc:Fallback>
        </mc:AlternateContent>
      </w:r>
    </w:p>
    <w:p w14:paraId="24D615A2" w14:textId="77777777" w:rsidR="00245300" w:rsidRPr="00EC20A0" w:rsidRDefault="00F17249">
      <w:pPr>
        <w:pStyle w:val="Heading2"/>
        <w:spacing w:before="360"/>
        <w:ind w:right="339"/>
      </w:pPr>
      <w:r w:rsidRPr="00EC20A0">
        <w:t>Substantive</w:t>
      </w:r>
      <w:r w:rsidRPr="00EC20A0">
        <w:rPr>
          <w:spacing w:val="-6"/>
        </w:rPr>
        <w:t xml:space="preserve"> </w:t>
      </w:r>
      <w:r w:rsidRPr="00EC20A0">
        <w:t>Testing</w:t>
      </w:r>
      <w:r w:rsidRPr="00EC20A0">
        <w:rPr>
          <w:spacing w:val="-4"/>
        </w:rPr>
        <w:t xml:space="preserve"> </w:t>
      </w:r>
      <w:r w:rsidRPr="00EC20A0">
        <w:rPr>
          <w:spacing w:val="-2"/>
        </w:rPr>
        <w:t>Implementation</w:t>
      </w:r>
    </w:p>
    <w:p w14:paraId="24D615A3" w14:textId="77777777" w:rsidR="00245300" w:rsidRPr="00EC20A0" w:rsidRDefault="00F17249">
      <w:pPr>
        <w:ind w:right="338"/>
        <w:jc w:val="right"/>
        <w:rPr>
          <w:sz w:val="48"/>
        </w:rPr>
      </w:pPr>
      <w:r w:rsidRPr="00EC20A0">
        <w:rPr>
          <w:spacing w:val="-2"/>
          <w:sz w:val="48"/>
        </w:rPr>
        <w:t>Guidance</w:t>
      </w:r>
    </w:p>
    <w:p w14:paraId="24D615A4" w14:textId="77777777" w:rsidR="00245300" w:rsidRPr="00EC20A0" w:rsidRDefault="00245300">
      <w:pPr>
        <w:pStyle w:val="BodyText"/>
        <w:rPr>
          <w:sz w:val="20"/>
        </w:rPr>
      </w:pPr>
    </w:p>
    <w:p w14:paraId="24D615A5" w14:textId="77777777" w:rsidR="00245300" w:rsidRPr="00EC20A0" w:rsidRDefault="00245300">
      <w:pPr>
        <w:pStyle w:val="BodyText"/>
        <w:rPr>
          <w:sz w:val="20"/>
        </w:rPr>
      </w:pPr>
    </w:p>
    <w:p w14:paraId="24D615A6" w14:textId="77777777" w:rsidR="00245300" w:rsidRPr="00EC20A0" w:rsidRDefault="00245300">
      <w:pPr>
        <w:pStyle w:val="BodyText"/>
        <w:rPr>
          <w:sz w:val="20"/>
        </w:rPr>
      </w:pPr>
    </w:p>
    <w:p w14:paraId="24D615A7" w14:textId="77777777" w:rsidR="00245300" w:rsidRPr="00EC20A0" w:rsidRDefault="00245300">
      <w:pPr>
        <w:pStyle w:val="BodyText"/>
        <w:rPr>
          <w:sz w:val="20"/>
        </w:rPr>
      </w:pPr>
    </w:p>
    <w:p w14:paraId="24D615A8" w14:textId="77777777" w:rsidR="00245300" w:rsidRPr="00EC20A0" w:rsidRDefault="00245300">
      <w:pPr>
        <w:pStyle w:val="BodyText"/>
        <w:rPr>
          <w:sz w:val="20"/>
        </w:rPr>
      </w:pPr>
    </w:p>
    <w:p w14:paraId="24D615A9" w14:textId="77777777" w:rsidR="00245300" w:rsidRPr="00EC20A0" w:rsidRDefault="00245300">
      <w:pPr>
        <w:pStyle w:val="BodyText"/>
        <w:rPr>
          <w:sz w:val="20"/>
        </w:rPr>
      </w:pPr>
    </w:p>
    <w:p w14:paraId="24D615AA" w14:textId="77777777" w:rsidR="00245300" w:rsidRPr="00EC20A0" w:rsidRDefault="00245300">
      <w:pPr>
        <w:pStyle w:val="BodyText"/>
        <w:rPr>
          <w:sz w:val="20"/>
        </w:rPr>
      </w:pPr>
    </w:p>
    <w:p w14:paraId="24D615AB" w14:textId="77777777" w:rsidR="00245300" w:rsidRPr="00EC20A0" w:rsidRDefault="00245300">
      <w:pPr>
        <w:pStyle w:val="BodyText"/>
        <w:rPr>
          <w:sz w:val="20"/>
        </w:rPr>
      </w:pPr>
    </w:p>
    <w:p w14:paraId="24D615AC" w14:textId="77777777" w:rsidR="00245300" w:rsidRPr="00EC20A0" w:rsidRDefault="00245300">
      <w:pPr>
        <w:pStyle w:val="BodyText"/>
        <w:rPr>
          <w:sz w:val="20"/>
        </w:rPr>
      </w:pPr>
    </w:p>
    <w:p w14:paraId="24D615AD" w14:textId="77777777" w:rsidR="00245300" w:rsidRPr="00EC20A0" w:rsidRDefault="00245300">
      <w:pPr>
        <w:pStyle w:val="BodyText"/>
        <w:rPr>
          <w:sz w:val="20"/>
        </w:rPr>
      </w:pPr>
    </w:p>
    <w:p w14:paraId="24D615AE" w14:textId="77777777" w:rsidR="00245300" w:rsidRPr="00EC20A0" w:rsidRDefault="00245300">
      <w:pPr>
        <w:pStyle w:val="BodyText"/>
        <w:rPr>
          <w:sz w:val="20"/>
        </w:rPr>
      </w:pPr>
    </w:p>
    <w:p w14:paraId="24D615AF" w14:textId="77777777" w:rsidR="00245300" w:rsidRPr="00EC20A0" w:rsidRDefault="00245300">
      <w:pPr>
        <w:pStyle w:val="BodyText"/>
        <w:rPr>
          <w:sz w:val="20"/>
        </w:rPr>
      </w:pPr>
    </w:p>
    <w:p w14:paraId="24D615B0" w14:textId="77777777" w:rsidR="00245300" w:rsidRPr="00EC20A0" w:rsidRDefault="00245300">
      <w:pPr>
        <w:pStyle w:val="BodyText"/>
        <w:rPr>
          <w:sz w:val="20"/>
        </w:rPr>
      </w:pPr>
    </w:p>
    <w:p w14:paraId="24D615B1" w14:textId="77777777" w:rsidR="00245300" w:rsidRPr="00EC20A0" w:rsidRDefault="00245300">
      <w:pPr>
        <w:pStyle w:val="BodyText"/>
        <w:rPr>
          <w:sz w:val="20"/>
        </w:rPr>
      </w:pPr>
    </w:p>
    <w:p w14:paraId="24D615B2" w14:textId="77777777" w:rsidR="00245300" w:rsidRPr="00EC20A0" w:rsidRDefault="00245300">
      <w:pPr>
        <w:pStyle w:val="BodyText"/>
        <w:rPr>
          <w:sz w:val="20"/>
        </w:rPr>
      </w:pPr>
    </w:p>
    <w:p w14:paraId="24D615B3" w14:textId="77777777" w:rsidR="00245300" w:rsidRPr="00EC20A0" w:rsidRDefault="00245300">
      <w:pPr>
        <w:pStyle w:val="BodyText"/>
        <w:rPr>
          <w:sz w:val="20"/>
        </w:rPr>
      </w:pPr>
    </w:p>
    <w:p w14:paraId="24D615B4" w14:textId="77777777" w:rsidR="00245300" w:rsidRPr="00EC20A0" w:rsidRDefault="00245300">
      <w:pPr>
        <w:pStyle w:val="BodyText"/>
        <w:rPr>
          <w:sz w:val="20"/>
        </w:rPr>
      </w:pPr>
    </w:p>
    <w:p w14:paraId="24D615B5" w14:textId="77777777" w:rsidR="00245300" w:rsidRPr="00EC20A0" w:rsidRDefault="00245300">
      <w:pPr>
        <w:pStyle w:val="BodyText"/>
        <w:rPr>
          <w:sz w:val="20"/>
        </w:rPr>
      </w:pPr>
    </w:p>
    <w:p w14:paraId="24D615B6" w14:textId="77777777" w:rsidR="00245300" w:rsidRPr="00EC20A0" w:rsidRDefault="00245300">
      <w:pPr>
        <w:pStyle w:val="BodyText"/>
        <w:rPr>
          <w:sz w:val="20"/>
        </w:rPr>
      </w:pPr>
    </w:p>
    <w:p w14:paraId="24D615B7" w14:textId="77777777" w:rsidR="00245300" w:rsidRPr="00EC20A0" w:rsidRDefault="00245300">
      <w:pPr>
        <w:pStyle w:val="BodyText"/>
        <w:rPr>
          <w:sz w:val="20"/>
        </w:rPr>
      </w:pPr>
    </w:p>
    <w:p w14:paraId="24D615B8" w14:textId="77777777" w:rsidR="00245300" w:rsidRPr="00EC20A0" w:rsidRDefault="00245300">
      <w:pPr>
        <w:pStyle w:val="BodyText"/>
        <w:rPr>
          <w:sz w:val="20"/>
        </w:rPr>
      </w:pPr>
    </w:p>
    <w:p w14:paraId="24D615B9" w14:textId="77777777" w:rsidR="00245300" w:rsidRPr="00EC20A0" w:rsidRDefault="00245300">
      <w:pPr>
        <w:pStyle w:val="BodyText"/>
        <w:rPr>
          <w:sz w:val="20"/>
        </w:rPr>
      </w:pPr>
    </w:p>
    <w:p w14:paraId="24D615BA" w14:textId="77777777" w:rsidR="00245300" w:rsidRPr="00EC20A0" w:rsidRDefault="00245300">
      <w:pPr>
        <w:pStyle w:val="BodyText"/>
        <w:rPr>
          <w:sz w:val="20"/>
        </w:rPr>
      </w:pPr>
    </w:p>
    <w:p w14:paraId="24D615BB" w14:textId="77777777" w:rsidR="00245300" w:rsidRPr="00EC20A0" w:rsidRDefault="00245300">
      <w:pPr>
        <w:pStyle w:val="BodyText"/>
        <w:rPr>
          <w:sz w:val="20"/>
        </w:rPr>
      </w:pPr>
    </w:p>
    <w:p w14:paraId="24D615BC" w14:textId="77777777" w:rsidR="00245300" w:rsidRPr="00EC20A0" w:rsidRDefault="00245300">
      <w:pPr>
        <w:pStyle w:val="BodyText"/>
        <w:rPr>
          <w:sz w:val="20"/>
        </w:rPr>
      </w:pPr>
    </w:p>
    <w:p w14:paraId="24D615BD" w14:textId="77777777" w:rsidR="00245300" w:rsidRPr="00EC20A0" w:rsidRDefault="00245300">
      <w:pPr>
        <w:pStyle w:val="BodyText"/>
        <w:rPr>
          <w:sz w:val="20"/>
        </w:rPr>
      </w:pPr>
    </w:p>
    <w:p w14:paraId="24D615BE" w14:textId="77777777" w:rsidR="00245300" w:rsidRPr="00EC20A0" w:rsidRDefault="00245300">
      <w:pPr>
        <w:pStyle w:val="BodyText"/>
        <w:rPr>
          <w:sz w:val="20"/>
        </w:rPr>
      </w:pPr>
    </w:p>
    <w:p w14:paraId="24D615BF" w14:textId="77777777" w:rsidR="00245300" w:rsidRPr="00EC20A0" w:rsidRDefault="00245300">
      <w:pPr>
        <w:pStyle w:val="BodyText"/>
        <w:rPr>
          <w:sz w:val="20"/>
        </w:rPr>
      </w:pPr>
    </w:p>
    <w:p w14:paraId="24D615C0" w14:textId="77777777" w:rsidR="00245300" w:rsidRPr="00EC20A0" w:rsidRDefault="00245300">
      <w:pPr>
        <w:pStyle w:val="BodyText"/>
        <w:rPr>
          <w:sz w:val="20"/>
        </w:rPr>
      </w:pPr>
    </w:p>
    <w:p w14:paraId="24D615C1" w14:textId="77777777" w:rsidR="00245300" w:rsidRPr="00EC20A0" w:rsidRDefault="00245300">
      <w:pPr>
        <w:pStyle w:val="BodyText"/>
        <w:rPr>
          <w:sz w:val="20"/>
        </w:rPr>
      </w:pPr>
    </w:p>
    <w:p w14:paraId="24D615C2" w14:textId="77777777" w:rsidR="00245300" w:rsidRPr="00EC20A0" w:rsidRDefault="00245300">
      <w:pPr>
        <w:pStyle w:val="BodyText"/>
        <w:rPr>
          <w:sz w:val="20"/>
        </w:rPr>
      </w:pPr>
    </w:p>
    <w:p w14:paraId="24D615C3" w14:textId="77777777" w:rsidR="00245300" w:rsidRPr="00EC20A0" w:rsidRDefault="00245300">
      <w:pPr>
        <w:pStyle w:val="BodyText"/>
        <w:rPr>
          <w:sz w:val="20"/>
        </w:rPr>
      </w:pPr>
    </w:p>
    <w:p w14:paraId="24D615C4" w14:textId="77777777" w:rsidR="00245300" w:rsidRPr="00EC20A0" w:rsidRDefault="00245300">
      <w:pPr>
        <w:pStyle w:val="BodyText"/>
        <w:rPr>
          <w:sz w:val="20"/>
        </w:rPr>
      </w:pPr>
    </w:p>
    <w:p w14:paraId="24D615C5" w14:textId="77777777" w:rsidR="00245300" w:rsidRPr="00EC20A0" w:rsidRDefault="00245300">
      <w:pPr>
        <w:pStyle w:val="BodyText"/>
        <w:rPr>
          <w:sz w:val="20"/>
        </w:rPr>
      </w:pPr>
    </w:p>
    <w:p w14:paraId="24D615C6" w14:textId="77777777" w:rsidR="00245300" w:rsidRPr="00EC20A0" w:rsidRDefault="00245300">
      <w:pPr>
        <w:pStyle w:val="BodyText"/>
        <w:rPr>
          <w:sz w:val="20"/>
        </w:rPr>
      </w:pPr>
    </w:p>
    <w:p w14:paraId="24D615C7" w14:textId="77777777" w:rsidR="00245300" w:rsidRPr="00EC20A0" w:rsidRDefault="00245300">
      <w:pPr>
        <w:pStyle w:val="BodyText"/>
        <w:rPr>
          <w:sz w:val="20"/>
        </w:rPr>
      </w:pPr>
    </w:p>
    <w:p w14:paraId="24D615C8" w14:textId="77777777" w:rsidR="00245300" w:rsidRPr="00EC20A0" w:rsidRDefault="00245300">
      <w:pPr>
        <w:pStyle w:val="BodyText"/>
        <w:rPr>
          <w:sz w:val="20"/>
        </w:rPr>
      </w:pPr>
    </w:p>
    <w:p w14:paraId="24D615C9" w14:textId="77777777" w:rsidR="00245300" w:rsidRPr="00EC20A0" w:rsidRDefault="00245300">
      <w:pPr>
        <w:pStyle w:val="BodyText"/>
        <w:rPr>
          <w:sz w:val="20"/>
        </w:rPr>
      </w:pPr>
    </w:p>
    <w:p w14:paraId="24D615CA" w14:textId="77777777" w:rsidR="00245300" w:rsidRPr="00EC20A0" w:rsidRDefault="00245300">
      <w:pPr>
        <w:pStyle w:val="BodyText"/>
        <w:rPr>
          <w:sz w:val="20"/>
        </w:rPr>
      </w:pPr>
    </w:p>
    <w:p w14:paraId="24D615CB" w14:textId="77777777" w:rsidR="00245300" w:rsidRPr="00EC20A0" w:rsidRDefault="00245300">
      <w:pPr>
        <w:pStyle w:val="BodyText"/>
        <w:rPr>
          <w:sz w:val="20"/>
        </w:rPr>
      </w:pPr>
    </w:p>
    <w:p w14:paraId="24D615CC" w14:textId="77777777" w:rsidR="00245300" w:rsidRPr="00EC20A0" w:rsidRDefault="00245300">
      <w:pPr>
        <w:pStyle w:val="BodyText"/>
        <w:rPr>
          <w:sz w:val="20"/>
        </w:rPr>
      </w:pPr>
    </w:p>
    <w:p w14:paraId="24D615CD" w14:textId="77777777" w:rsidR="00245300" w:rsidRPr="00EC20A0" w:rsidRDefault="00245300">
      <w:pPr>
        <w:pStyle w:val="BodyText"/>
        <w:rPr>
          <w:sz w:val="20"/>
        </w:rPr>
      </w:pPr>
    </w:p>
    <w:p w14:paraId="24D615CE" w14:textId="77777777" w:rsidR="00245300" w:rsidRPr="00EC20A0" w:rsidRDefault="00245300">
      <w:pPr>
        <w:pStyle w:val="BodyText"/>
        <w:rPr>
          <w:sz w:val="20"/>
        </w:rPr>
      </w:pPr>
    </w:p>
    <w:p w14:paraId="24D615CF" w14:textId="77777777" w:rsidR="00245300" w:rsidRPr="00EC20A0" w:rsidRDefault="00F17249">
      <w:pPr>
        <w:pStyle w:val="BodyText"/>
        <w:spacing w:before="108"/>
        <w:rPr>
          <w:sz w:val="20"/>
        </w:rPr>
      </w:pPr>
      <w:r w:rsidRPr="00EC20A0">
        <w:rPr>
          <w:noProof/>
        </w:rPr>
        <mc:AlternateContent>
          <mc:Choice Requires="wpg">
            <w:drawing>
              <wp:anchor distT="0" distB="0" distL="0" distR="0" simplePos="0" relativeHeight="487706112" behindDoc="1" locked="0" layoutInCell="1" allowOverlap="1" wp14:anchorId="24D62C83" wp14:editId="24D62C84">
                <wp:simplePos x="0" y="0"/>
                <wp:positionH relativeFrom="page">
                  <wp:posOffset>941071</wp:posOffset>
                </wp:positionH>
                <wp:positionV relativeFrom="paragraph">
                  <wp:posOffset>230175</wp:posOffset>
                </wp:positionV>
                <wp:extent cx="5901690" cy="9525"/>
                <wp:effectExtent l="0" t="0" r="0" b="0"/>
                <wp:wrapTopAndBottom/>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1690" cy="9525"/>
                          <a:chOff x="0" y="0"/>
                          <a:chExt cx="5901690" cy="9525"/>
                        </a:xfrm>
                      </wpg:grpSpPr>
                      <wps:wsp>
                        <wps:cNvPr id="754" name="Graphic 754"/>
                        <wps:cNvSpPr/>
                        <wps:spPr>
                          <a:xfrm>
                            <a:off x="339090" y="4762"/>
                            <a:ext cx="5562600" cy="1270"/>
                          </a:xfrm>
                          <a:custGeom>
                            <a:avLst/>
                            <a:gdLst/>
                            <a:ahLst/>
                            <a:cxnLst/>
                            <a:rect l="l" t="t" r="r" b="b"/>
                            <a:pathLst>
                              <a:path w="5562600">
                                <a:moveTo>
                                  <a:pt x="0" y="0"/>
                                </a:moveTo>
                                <a:lnTo>
                                  <a:pt x="5562600" y="0"/>
                                </a:lnTo>
                              </a:path>
                            </a:pathLst>
                          </a:custGeom>
                          <a:ln w="9525">
                            <a:solidFill>
                              <a:srgbClr val="000000"/>
                            </a:solidFill>
                            <a:prstDash val="solid"/>
                          </a:ln>
                        </wps:spPr>
                        <wps:bodyPr wrap="square" lIns="0" tIns="0" rIns="0" bIns="0" rtlCol="0">
                          <a:prstTxWarp prst="textNoShape">
                            <a:avLst/>
                          </a:prstTxWarp>
                          <a:noAutofit/>
                        </wps:bodyPr>
                      </wps:wsp>
                      <wps:wsp>
                        <wps:cNvPr id="755" name="Graphic 755"/>
                        <wps:cNvSpPr/>
                        <wps:spPr>
                          <a:xfrm>
                            <a:off x="0" y="4762"/>
                            <a:ext cx="5562600" cy="1270"/>
                          </a:xfrm>
                          <a:custGeom>
                            <a:avLst/>
                            <a:gdLst/>
                            <a:ahLst/>
                            <a:cxnLst/>
                            <a:rect l="l" t="t" r="r" b="b"/>
                            <a:pathLst>
                              <a:path w="5562600">
                                <a:moveTo>
                                  <a:pt x="0" y="0"/>
                                </a:moveTo>
                                <a:lnTo>
                                  <a:pt x="5562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1831F2" id="Group 753" o:spid="_x0000_s1026" style="position:absolute;margin-left:74.1pt;margin-top:18.1pt;width:464.7pt;height:.75pt;z-index:-15610368;mso-wrap-distance-left:0;mso-wrap-distance-right:0;mso-position-horizontal-relative:page" coordsize="59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">
                <v:shape id="Graphic 754" o:spid="_x0000_s1027" style="position:absolute;left:3390;top:47;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" path="m,l5562600,e" filled="f">
                  <v:path arrowok="t"/>
                </v:shape>
                <v:shape id="Graphic 755" o:spid="_x0000_s1028" style="position:absolute;top:47;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" path="m,l5562600,e" filled="f">
                  <v:path arrowok="t"/>
                </v:shape>
                <w10:wrap type="topAndBottom" anchorx="page"/>
              </v:group>
            </w:pict>
          </mc:Fallback>
        </mc:AlternateContent>
      </w:r>
    </w:p>
    <w:p w14:paraId="24D615D0" w14:textId="77777777" w:rsidR="00245300" w:rsidRPr="00EC20A0" w:rsidRDefault="00245300">
      <w:pPr>
        <w:rPr>
          <w:sz w:val="20"/>
        </w:rPr>
        <w:sectPr w:rsidR="00245300" w:rsidRPr="00EC20A0">
          <w:headerReference w:type="default" r:id="rId136"/>
          <w:footerReference w:type="default" r:id="rId137"/>
          <w:pgSz w:w="12240" w:h="15840"/>
          <w:pgMar w:top="940" w:right="1100" w:bottom="280" w:left="1240" w:header="0" w:footer="0" w:gutter="0"/>
          <w:cols w:space="720"/>
        </w:sectPr>
      </w:pPr>
    </w:p>
    <w:p w14:paraId="24D615D1" w14:textId="77777777" w:rsidR="00245300" w:rsidRPr="00EC20A0" w:rsidRDefault="00F17249">
      <w:pPr>
        <w:pStyle w:val="Heading3"/>
        <w:ind w:left="200"/>
        <w:rPr>
          <w:u w:val="none"/>
        </w:rPr>
      </w:pPr>
      <w:bookmarkStart w:id="265" w:name="Contents_–_Substantive_Testing_Implement"/>
      <w:bookmarkEnd w:id="265"/>
      <w:r w:rsidRPr="00EC20A0">
        <w:t>Contents</w:t>
      </w:r>
      <w:r w:rsidRPr="00EC20A0">
        <w:rPr>
          <w:spacing w:val="-14"/>
        </w:rPr>
        <w:t xml:space="preserve"> </w:t>
      </w:r>
      <w:r w:rsidRPr="00EC20A0">
        <w:t>–</w:t>
      </w:r>
      <w:r w:rsidRPr="00EC20A0">
        <w:rPr>
          <w:spacing w:val="-12"/>
        </w:rPr>
        <w:t xml:space="preserve"> </w:t>
      </w:r>
      <w:r w:rsidRPr="00EC20A0">
        <w:t>Substantive</w:t>
      </w:r>
      <w:r w:rsidRPr="00EC20A0">
        <w:rPr>
          <w:spacing w:val="-12"/>
        </w:rPr>
        <w:t xml:space="preserve"> </w:t>
      </w:r>
      <w:r w:rsidRPr="00EC20A0">
        <w:t>Testing</w:t>
      </w:r>
      <w:r w:rsidRPr="00EC20A0">
        <w:rPr>
          <w:spacing w:val="-12"/>
        </w:rPr>
        <w:t xml:space="preserve"> </w:t>
      </w:r>
      <w:r w:rsidRPr="00EC20A0">
        <w:t>Implementation</w:t>
      </w:r>
      <w:r w:rsidRPr="00EC20A0">
        <w:rPr>
          <w:spacing w:val="-11"/>
        </w:rPr>
        <w:t xml:space="preserve"> </w:t>
      </w:r>
      <w:r w:rsidRPr="00EC20A0">
        <w:rPr>
          <w:spacing w:val="-2"/>
        </w:rPr>
        <w:t>Guidance</w:t>
      </w:r>
    </w:p>
    <w:p w14:paraId="24D615D2" w14:textId="77777777" w:rsidR="00245300" w:rsidRPr="00EC20A0" w:rsidRDefault="00245300">
      <w:pPr>
        <w:pStyle w:val="BodyText"/>
        <w:spacing w:before="138"/>
        <w:rPr>
          <w:b/>
          <w:sz w:val="20"/>
        </w:rPr>
      </w:pPr>
    </w:p>
    <w:tbl>
      <w:tblPr>
        <w:tblW w:w="0" w:type="auto"/>
        <w:tblInd w:w="428" w:type="dxa"/>
        <w:tblLayout w:type="fixed"/>
        <w:tblCellMar>
          <w:left w:w="0" w:type="dxa"/>
          <w:right w:w="0" w:type="dxa"/>
        </w:tblCellMar>
        <w:tblLook w:val="01E0" w:firstRow="1" w:lastRow="1" w:firstColumn="1" w:lastColumn="1" w:noHBand="0" w:noVBand="0"/>
      </w:tblPr>
      <w:tblGrid>
        <w:gridCol w:w="7861"/>
        <w:gridCol w:w="999"/>
      </w:tblGrid>
      <w:tr w:rsidR="00245300" w:rsidRPr="00EC20A0" w14:paraId="24D615D5" w14:textId="77777777">
        <w:trPr>
          <w:trHeight w:val="338"/>
        </w:trPr>
        <w:tc>
          <w:tcPr>
            <w:tcW w:w="7861" w:type="dxa"/>
          </w:tcPr>
          <w:p w14:paraId="24D615D3" w14:textId="77777777" w:rsidR="00245300" w:rsidRPr="00EC20A0" w:rsidRDefault="00245300">
            <w:pPr>
              <w:pStyle w:val="TableParagraph"/>
            </w:pPr>
          </w:p>
        </w:tc>
        <w:tc>
          <w:tcPr>
            <w:tcW w:w="999" w:type="dxa"/>
          </w:tcPr>
          <w:p w14:paraId="24D615D4" w14:textId="77777777" w:rsidR="00245300" w:rsidRPr="00EC20A0" w:rsidRDefault="00F17249">
            <w:pPr>
              <w:pStyle w:val="TableParagraph"/>
              <w:spacing w:line="245" w:lineRule="exact"/>
              <w:ind w:left="317"/>
              <w:rPr>
                <w:b/>
              </w:rPr>
            </w:pPr>
            <w:r w:rsidRPr="00EC20A0">
              <w:rPr>
                <w:b/>
                <w:spacing w:val="-5"/>
              </w:rPr>
              <w:t>FAM</w:t>
            </w:r>
          </w:p>
        </w:tc>
      </w:tr>
      <w:tr w:rsidR="00245300" w:rsidRPr="00EC20A0" w14:paraId="24D615D8" w14:textId="77777777">
        <w:trPr>
          <w:trHeight w:val="432"/>
        </w:trPr>
        <w:tc>
          <w:tcPr>
            <w:tcW w:w="7861" w:type="dxa"/>
          </w:tcPr>
          <w:p w14:paraId="24D615D6" w14:textId="77777777" w:rsidR="00245300" w:rsidRPr="00EC20A0" w:rsidRDefault="00F17249">
            <w:pPr>
              <w:pStyle w:val="TableParagraph"/>
              <w:spacing w:before="85"/>
              <w:ind w:left="50"/>
            </w:pPr>
            <w:r w:rsidRPr="00EC20A0">
              <w:t>Intragovernmental</w:t>
            </w:r>
            <w:r w:rsidRPr="00EC20A0">
              <w:rPr>
                <w:spacing w:val="-11"/>
              </w:rPr>
              <w:t xml:space="preserve"> </w:t>
            </w:r>
            <w:r w:rsidRPr="00EC20A0">
              <w:t>Activity</w:t>
            </w:r>
            <w:r w:rsidRPr="00EC20A0">
              <w:rPr>
                <w:spacing w:val="-11"/>
              </w:rPr>
              <w:t xml:space="preserve"> </w:t>
            </w:r>
            <w:r w:rsidRPr="00EC20A0">
              <w:t>and</w:t>
            </w:r>
            <w:r w:rsidRPr="00EC20A0">
              <w:rPr>
                <w:spacing w:val="-11"/>
              </w:rPr>
              <w:t xml:space="preserve"> </w:t>
            </w:r>
            <w:r w:rsidRPr="00EC20A0">
              <w:rPr>
                <w:spacing w:val="-2"/>
              </w:rPr>
              <w:t>Balances</w:t>
            </w:r>
          </w:p>
        </w:tc>
        <w:tc>
          <w:tcPr>
            <w:tcW w:w="999" w:type="dxa"/>
          </w:tcPr>
          <w:p w14:paraId="24D615D7" w14:textId="77777777" w:rsidR="00245300" w:rsidRPr="00EC20A0" w:rsidRDefault="00F17249">
            <w:pPr>
              <w:pStyle w:val="TableParagraph"/>
              <w:spacing w:before="85"/>
              <w:ind w:left="374"/>
            </w:pPr>
            <w:r w:rsidRPr="00EC20A0">
              <w:rPr>
                <w:spacing w:val="-5"/>
              </w:rPr>
              <w:t>902</w:t>
            </w:r>
          </w:p>
        </w:tc>
      </w:tr>
      <w:tr w:rsidR="00245300" w:rsidRPr="00EC20A0" w14:paraId="24D615DB" w14:textId="77777777">
        <w:trPr>
          <w:trHeight w:val="433"/>
        </w:trPr>
        <w:tc>
          <w:tcPr>
            <w:tcW w:w="7861" w:type="dxa"/>
          </w:tcPr>
          <w:p w14:paraId="24D615D9" w14:textId="77777777" w:rsidR="00245300" w:rsidRPr="00EC20A0" w:rsidRDefault="00F17249">
            <w:pPr>
              <w:pStyle w:val="TableParagraph"/>
              <w:spacing w:before="86"/>
              <w:ind w:left="50"/>
            </w:pPr>
            <w:r w:rsidRPr="00EC20A0">
              <w:t>Example</w:t>
            </w:r>
            <w:r w:rsidRPr="00EC20A0">
              <w:rPr>
                <w:spacing w:val="-10"/>
              </w:rPr>
              <w:t xml:space="preserve"> </w:t>
            </w:r>
            <w:r w:rsidRPr="00EC20A0">
              <w:t>Audit</w:t>
            </w:r>
            <w:r w:rsidRPr="00EC20A0">
              <w:rPr>
                <w:spacing w:val="-9"/>
              </w:rPr>
              <w:t xml:space="preserve"> </w:t>
            </w:r>
            <w:r w:rsidRPr="00EC20A0">
              <w:t>Procedures</w:t>
            </w:r>
            <w:r w:rsidRPr="00EC20A0">
              <w:rPr>
                <w:spacing w:val="-9"/>
              </w:rPr>
              <w:t xml:space="preserve"> </w:t>
            </w:r>
            <w:r w:rsidRPr="00EC20A0">
              <w:t>for</w:t>
            </w:r>
            <w:r w:rsidRPr="00EC20A0">
              <w:rPr>
                <w:spacing w:val="-10"/>
              </w:rPr>
              <w:t xml:space="preserve"> </w:t>
            </w:r>
            <w:r w:rsidRPr="00EC20A0">
              <w:t>Intragovernmental</w:t>
            </w:r>
            <w:r w:rsidRPr="00EC20A0">
              <w:rPr>
                <w:spacing w:val="-9"/>
              </w:rPr>
              <w:t xml:space="preserve"> </w:t>
            </w:r>
            <w:r w:rsidRPr="00EC20A0">
              <w:t>Activity</w:t>
            </w:r>
            <w:r w:rsidRPr="00EC20A0">
              <w:rPr>
                <w:spacing w:val="-10"/>
              </w:rPr>
              <w:t xml:space="preserve"> </w:t>
            </w:r>
            <w:r w:rsidRPr="00EC20A0">
              <w:t>and</w:t>
            </w:r>
            <w:r w:rsidRPr="00EC20A0">
              <w:rPr>
                <w:spacing w:val="-10"/>
              </w:rPr>
              <w:t xml:space="preserve"> </w:t>
            </w:r>
            <w:r w:rsidRPr="00EC20A0">
              <w:rPr>
                <w:spacing w:val="-2"/>
              </w:rPr>
              <w:t>Balances</w:t>
            </w:r>
          </w:p>
        </w:tc>
        <w:tc>
          <w:tcPr>
            <w:tcW w:w="999" w:type="dxa"/>
          </w:tcPr>
          <w:p w14:paraId="24D615DA" w14:textId="77777777" w:rsidR="00245300" w:rsidRPr="00EC20A0" w:rsidRDefault="00F17249">
            <w:pPr>
              <w:pStyle w:val="TableParagraph"/>
              <w:spacing w:before="86"/>
              <w:ind w:right="47"/>
              <w:jc w:val="right"/>
            </w:pPr>
            <w:r w:rsidRPr="00EC20A0">
              <w:t>902</w:t>
            </w:r>
            <w:r w:rsidRPr="00EC20A0">
              <w:rPr>
                <w:spacing w:val="-4"/>
              </w:rPr>
              <w:t xml:space="preserve"> </w:t>
            </w:r>
            <w:r w:rsidRPr="00EC20A0">
              <w:rPr>
                <w:spacing w:val="-10"/>
              </w:rPr>
              <w:t>A</w:t>
            </w:r>
          </w:p>
        </w:tc>
      </w:tr>
      <w:tr w:rsidR="00245300" w:rsidRPr="00EC20A0" w14:paraId="24D615DE" w14:textId="77777777">
        <w:trPr>
          <w:trHeight w:val="433"/>
        </w:trPr>
        <w:tc>
          <w:tcPr>
            <w:tcW w:w="7861" w:type="dxa"/>
          </w:tcPr>
          <w:p w14:paraId="24D615DC" w14:textId="77777777" w:rsidR="00245300" w:rsidRPr="00EC20A0" w:rsidRDefault="00F17249">
            <w:pPr>
              <w:pStyle w:val="TableParagraph"/>
              <w:spacing w:before="86"/>
              <w:ind w:left="50"/>
            </w:pPr>
            <w:r w:rsidRPr="00EC20A0">
              <w:t>Auditing</w:t>
            </w:r>
            <w:r w:rsidRPr="00EC20A0">
              <w:rPr>
                <w:spacing w:val="-8"/>
              </w:rPr>
              <w:t xml:space="preserve"> </w:t>
            </w:r>
            <w:r w:rsidRPr="00EC20A0">
              <w:t>Cost</w:t>
            </w:r>
            <w:r w:rsidRPr="00EC20A0">
              <w:rPr>
                <w:spacing w:val="-7"/>
              </w:rPr>
              <w:t xml:space="preserve"> </w:t>
            </w:r>
            <w:r w:rsidRPr="00EC20A0">
              <w:rPr>
                <w:spacing w:val="-2"/>
              </w:rPr>
              <w:t>Information</w:t>
            </w:r>
          </w:p>
        </w:tc>
        <w:tc>
          <w:tcPr>
            <w:tcW w:w="999" w:type="dxa"/>
          </w:tcPr>
          <w:p w14:paraId="24D615DD" w14:textId="77777777" w:rsidR="00245300" w:rsidRPr="00EC20A0" w:rsidRDefault="00F17249">
            <w:pPr>
              <w:pStyle w:val="TableParagraph"/>
              <w:spacing w:before="86"/>
              <w:ind w:left="374"/>
            </w:pPr>
            <w:r w:rsidRPr="00EC20A0">
              <w:rPr>
                <w:spacing w:val="-5"/>
              </w:rPr>
              <w:t>903</w:t>
            </w:r>
          </w:p>
        </w:tc>
      </w:tr>
      <w:tr w:rsidR="00245300" w:rsidRPr="00EC20A0" w14:paraId="24D615E1" w14:textId="77777777">
        <w:trPr>
          <w:trHeight w:val="433"/>
        </w:trPr>
        <w:tc>
          <w:tcPr>
            <w:tcW w:w="7861" w:type="dxa"/>
          </w:tcPr>
          <w:p w14:paraId="24D615DF" w14:textId="77777777" w:rsidR="00245300" w:rsidRPr="00EC20A0" w:rsidRDefault="00F17249">
            <w:pPr>
              <w:pStyle w:val="TableParagraph"/>
              <w:spacing w:before="86"/>
              <w:ind w:left="50"/>
            </w:pPr>
            <w:r w:rsidRPr="00EC20A0">
              <w:t>Disclosure</w:t>
            </w:r>
            <w:r w:rsidRPr="00EC20A0">
              <w:rPr>
                <w:spacing w:val="-11"/>
              </w:rPr>
              <w:t xml:space="preserve"> </w:t>
            </w:r>
            <w:r w:rsidRPr="00EC20A0">
              <w:t>Entities,</w:t>
            </w:r>
            <w:r w:rsidRPr="00EC20A0">
              <w:rPr>
                <w:spacing w:val="-11"/>
              </w:rPr>
              <w:t xml:space="preserve"> </w:t>
            </w:r>
            <w:r w:rsidRPr="00EC20A0">
              <w:t>Related</w:t>
            </w:r>
            <w:r w:rsidRPr="00EC20A0">
              <w:rPr>
                <w:spacing w:val="-10"/>
              </w:rPr>
              <w:t xml:space="preserve"> </w:t>
            </w:r>
            <w:r w:rsidRPr="00EC20A0">
              <w:t>Parties,</w:t>
            </w:r>
            <w:r w:rsidRPr="00EC20A0">
              <w:rPr>
                <w:spacing w:val="-10"/>
              </w:rPr>
              <w:t xml:space="preserve"> </w:t>
            </w:r>
            <w:r w:rsidRPr="00EC20A0">
              <w:t>and</w:t>
            </w:r>
            <w:r w:rsidRPr="00EC20A0">
              <w:rPr>
                <w:spacing w:val="-10"/>
              </w:rPr>
              <w:t xml:space="preserve"> </w:t>
            </w:r>
            <w:r w:rsidRPr="00EC20A0">
              <w:t>Public-Private</w:t>
            </w:r>
            <w:r w:rsidRPr="00EC20A0">
              <w:rPr>
                <w:spacing w:val="-10"/>
              </w:rPr>
              <w:t xml:space="preserve"> </w:t>
            </w:r>
            <w:r w:rsidRPr="00EC20A0">
              <w:rPr>
                <w:spacing w:val="-2"/>
              </w:rPr>
              <w:t>Partnerships</w:t>
            </w:r>
          </w:p>
        </w:tc>
        <w:tc>
          <w:tcPr>
            <w:tcW w:w="999" w:type="dxa"/>
          </w:tcPr>
          <w:p w14:paraId="24D615E0" w14:textId="77777777" w:rsidR="00245300" w:rsidRPr="00EC20A0" w:rsidRDefault="00F17249">
            <w:pPr>
              <w:pStyle w:val="TableParagraph"/>
              <w:spacing w:before="86"/>
              <w:ind w:left="374"/>
            </w:pPr>
            <w:r w:rsidRPr="00EC20A0">
              <w:rPr>
                <w:spacing w:val="-5"/>
              </w:rPr>
              <w:t>904</w:t>
            </w:r>
          </w:p>
        </w:tc>
      </w:tr>
      <w:tr w:rsidR="00245300" w:rsidRPr="00EC20A0" w14:paraId="24D615E4" w14:textId="77777777">
        <w:trPr>
          <w:trHeight w:val="432"/>
        </w:trPr>
        <w:tc>
          <w:tcPr>
            <w:tcW w:w="7861" w:type="dxa"/>
          </w:tcPr>
          <w:p w14:paraId="24D615E2" w14:textId="77777777" w:rsidR="00245300" w:rsidRPr="00EC20A0" w:rsidRDefault="00F17249">
            <w:pPr>
              <w:pStyle w:val="TableParagraph"/>
              <w:spacing w:before="86"/>
              <w:ind w:left="50"/>
            </w:pPr>
            <w:r w:rsidRPr="00EC20A0">
              <w:t>Auditing</w:t>
            </w:r>
            <w:r w:rsidRPr="00EC20A0">
              <w:rPr>
                <w:spacing w:val="-11"/>
              </w:rPr>
              <w:t xml:space="preserve"> </w:t>
            </w:r>
            <w:r w:rsidRPr="00EC20A0">
              <w:t>Accounting</w:t>
            </w:r>
            <w:r w:rsidRPr="00EC20A0">
              <w:rPr>
                <w:spacing w:val="-11"/>
              </w:rPr>
              <w:t xml:space="preserve"> </w:t>
            </w:r>
            <w:r w:rsidRPr="00EC20A0">
              <w:rPr>
                <w:spacing w:val="-2"/>
              </w:rPr>
              <w:t>Estimates</w:t>
            </w:r>
          </w:p>
        </w:tc>
        <w:tc>
          <w:tcPr>
            <w:tcW w:w="999" w:type="dxa"/>
          </w:tcPr>
          <w:p w14:paraId="24D615E3" w14:textId="77777777" w:rsidR="00245300" w:rsidRPr="00EC20A0" w:rsidRDefault="00F17249">
            <w:pPr>
              <w:pStyle w:val="TableParagraph"/>
              <w:spacing w:before="86"/>
              <w:ind w:left="374"/>
            </w:pPr>
            <w:r w:rsidRPr="00EC20A0">
              <w:rPr>
                <w:spacing w:val="-5"/>
              </w:rPr>
              <w:t>905</w:t>
            </w:r>
          </w:p>
        </w:tc>
      </w:tr>
      <w:tr w:rsidR="00245300" w:rsidRPr="00EC20A0" w14:paraId="24D615E7" w14:textId="77777777">
        <w:trPr>
          <w:trHeight w:val="432"/>
        </w:trPr>
        <w:tc>
          <w:tcPr>
            <w:tcW w:w="7861" w:type="dxa"/>
          </w:tcPr>
          <w:p w14:paraId="24D615E5" w14:textId="77777777" w:rsidR="00245300" w:rsidRPr="00EC20A0" w:rsidRDefault="00F17249">
            <w:pPr>
              <w:pStyle w:val="TableParagraph"/>
              <w:spacing w:before="85"/>
              <w:ind w:left="50"/>
            </w:pPr>
            <w:r w:rsidRPr="00EC20A0">
              <w:t>Auditing</w:t>
            </w:r>
            <w:r w:rsidRPr="00EC20A0">
              <w:rPr>
                <w:spacing w:val="-8"/>
              </w:rPr>
              <w:t xml:space="preserve"> </w:t>
            </w:r>
            <w:r w:rsidRPr="00EC20A0">
              <w:t>Fund</w:t>
            </w:r>
            <w:r w:rsidRPr="00EC20A0">
              <w:rPr>
                <w:spacing w:val="-7"/>
              </w:rPr>
              <w:t xml:space="preserve"> </w:t>
            </w:r>
            <w:r w:rsidRPr="00EC20A0">
              <w:t>Balance</w:t>
            </w:r>
            <w:r w:rsidRPr="00EC20A0">
              <w:rPr>
                <w:spacing w:val="-8"/>
              </w:rPr>
              <w:t xml:space="preserve"> </w:t>
            </w:r>
            <w:r w:rsidRPr="00EC20A0">
              <w:t>with</w:t>
            </w:r>
            <w:r w:rsidRPr="00EC20A0">
              <w:rPr>
                <w:spacing w:val="-7"/>
              </w:rPr>
              <w:t xml:space="preserve"> </w:t>
            </w:r>
            <w:r w:rsidRPr="00EC20A0">
              <w:rPr>
                <w:spacing w:val="-2"/>
              </w:rPr>
              <w:t>Treasury</w:t>
            </w:r>
          </w:p>
        </w:tc>
        <w:tc>
          <w:tcPr>
            <w:tcW w:w="999" w:type="dxa"/>
          </w:tcPr>
          <w:p w14:paraId="24D615E6" w14:textId="77777777" w:rsidR="00245300" w:rsidRPr="00EC20A0" w:rsidRDefault="00F17249">
            <w:pPr>
              <w:pStyle w:val="TableParagraph"/>
              <w:spacing w:before="85"/>
              <w:ind w:left="374"/>
            </w:pPr>
            <w:r w:rsidRPr="00EC20A0">
              <w:rPr>
                <w:spacing w:val="-5"/>
              </w:rPr>
              <w:t>921</w:t>
            </w:r>
          </w:p>
        </w:tc>
      </w:tr>
      <w:tr w:rsidR="00245300" w:rsidRPr="00EC20A0" w14:paraId="24D615EA" w14:textId="77777777">
        <w:trPr>
          <w:trHeight w:val="433"/>
        </w:trPr>
        <w:tc>
          <w:tcPr>
            <w:tcW w:w="7861" w:type="dxa"/>
          </w:tcPr>
          <w:p w14:paraId="24D615E8" w14:textId="77777777" w:rsidR="00245300" w:rsidRPr="00EC20A0" w:rsidRDefault="00F17249">
            <w:pPr>
              <w:pStyle w:val="TableParagraph"/>
              <w:spacing w:before="86"/>
              <w:ind w:left="50"/>
            </w:pPr>
            <w:r w:rsidRPr="00EC20A0">
              <w:t>Example</w:t>
            </w:r>
            <w:r w:rsidRPr="00EC20A0">
              <w:rPr>
                <w:spacing w:val="-8"/>
              </w:rPr>
              <w:t xml:space="preserve"> </w:t>
            </w:r>
            <w:r w:rsidRPr="00EC20A0">
              <w:t>Audit</w:t>
            </w:r>
            <w:r w:rsidRPr="00EC20A0">
              <w:rPr>
                <w:spacing w:val="-8"/>
              </w:rPr>
              <w:t xml:space="preserve"> </w:t>
            </w:r>
            <w:r w:rsidRPr="00EC20A0">
              <w:t>Procedures</w:t>
            </w:r>
            <w:r w:rsidRPr="00EC20A0">
              <w:rPr>
                <w:spacing w:val="-6"/>
              </w:rPr>
              <w:t xml:space="preserve"> </w:t>
            </w:r>
            <w:r w:rsidRPr="00EC20A0">
              <w:t>for</w:t>
            </w:r>
            <w:r w:rsidRPr="00EC20A0">
              <w:rPr>
                <w:spacing w:val="-8"/>
              </w:rPr>
              <w:t xml:space="preserve"> </w:t>
            </w:r>
            <w:r w:rsidRPr="00EC20A0">
              <w:t>Fund</w:t>
            </w:r>
            <w:r w:rsidRPr="00EC20A0">
              <w:rPr>
                <w:spacing w:val="-9"/>
              </w:rPr>
              <w:t xml:space="preserve"> </w:t>
            </w:r>
            <w:r w:rsidRPr="00EC20A0">
              <w:t>Balance</w:t>
            </w:r>
            <w:r w:rsidRPr="00EC20A0">
              <w:rPr>
                <w:spacing w:val="-7"/>
              </w:rPr>
              <w:t xml:space="preserve"> </w:t>
            </w:r>
            <w:r w:rsidRPr="00EC20A0">
              <w:t>with</w:t>
            </w:r>
            <w:r w:rsidRPr="00EC20A0">
              <w:rPr>
                <w:spacing w:val="-8"/>
              </w:rPr>
              <w:t xml:space="preserve"> </w:t>
            </w:r>
            <w:r w:rsidRPr="00EC20A0">
              <w:rPr>
                <w:spacing w:val="-2"/>
              </w:rPr>
              <w:t>Treasury</w:t>
            </w:r>
          </w:p>
        </w:tc>
        <w:tc>
          <w:tcPr>
            <w:tcW w:w="999" w:type="dxa"/>
          </w:tcPr>
          <w:p w14:paraId="24D615E9" w14:textId="77777777" w:rsidR="00245300" w:rsidRPr="00EC20A0" w:rsidRDefault="00F17249">
            <w:pPr>
              <w:pStyle w:val="TableParagraph"/>
              <w:spacing w:before="86"/>
              <w:ind w:right="47"/>
              <w:jc w:val="right"/>
            </w:pPr>
            <w:r w:rsidRPr="00EC20A0">
              <w:t>921</w:t>
            </w:r>
            <w:r w:rsidRPr="00EC20A0">
              <w:rPr>
                <w:spacing w:val="-4"/>
              </w:rPr>
              <w:t xml:space="preserve"> </w:t>
            </w:r>
            <w:r w:rsidRPr="00EC20A0">
              <w:rPr>
                <w:spacing w:val="-10"/>
              </w:rPr>
              <w:t>A</w:t>
            </w:r>
          </w:p>
        </w:tc>
      </w:tr>
      <w:tr w:rsidR="00245300" w:rsidRPr="00EC20A0" w14:paraId="24D615ED" w14:textId="77777777">
        <w:trPr>
          <w:trHeight w:val="433"/>
        </w:trPr>
        <w:tc>
          <w:tcPr>
            <w:tcW w:w="7861" w:type="dxa"/>
          </w:tcPr>
          <w:p w14:paraId="24D615EB" w14:textId="77777777" w:rsidR="00245300" w:rsidRPr="00EC20A0" w:rsidRDefault="00F17249">
            <w:pPr>
              <w:pStyle w:val="TableParagraph"/>
              <w:spacing w:before="86"/>
              <w:ind w:left="50"/>
            </w:pPr>
            <w:r w:rsidRPr="00EC20A0">
              <w:t>Example</w:t>
            </w:r>
            <w:r w:rsidRPr="00EC20A0">
              <w:rPr>
                <w:spacing w:val="-8"/>
              </w:rPr>
              <w:t xml:space="preserve"> </w:t>
            </w:r>
            <w:r w:rsidRPr="00EC20A0">
              <w:t>Audit</w:t>
            </w:r>
            <w:r w:rsidRPr="00EC20A0">
              <w:rPr>
                <w:spacing w:val="-7"/>
              </w:rPr>
              <w:t xml:space="preserve"> </w:t>
            </w:r>
            <w:r w:rsidRPr="00EC20A0">
              <w:t>Procedures</w:t>
            </w:r>
            <w:r w:rsidRPr="00EC20A0">
              <w:rPr>
                <w:spacing w:val="-8"/>
              </w:rPr>
              <w:t xml:space="preserve"> </w:t>
            </w:r>
            <w:r w:rsidRPr="00EC20A0">
              <w:t>for</w:t>
            </w:r>
            <w:r w:rsidRPr="00EC20A0">
              <w:rPr>
                <w:spacing w:val="-7"/>
              </w:rPr>
              <w:t xml:space="preserve"> </w:t>
            </w:r>
            <w:r w:rsidRPr="00EC20A0">
              <w:t>Auditing</w:t>
            </w:r>
            <w:r w:rsidRPr="00EC20A0">
              <w:rPr>
                <w:spacing w:val="-8"/>
              </w:rPr>
              <w:t xml:space="preserve"> </w:t>
            </w:r>
            <w:r w:rsidRPr="00EC20A0">
              <w:t>TAS</w:t>
            </w:r>
            <w:r w:rsidRPr="00EC20A0">
              <w:rPr>
                <w:spacing w:val="-7"/>
              </w:rPr>
              <w:t xml:space="preserve"> </w:t>
            </w:r>
            <w:r w:rsidRPr="00EC20A0">
              <w:t>and</w:t>
            </w:r>
            <w:r w:rsidRPr="00EC20A0">
              <w:rPr>
                <w:spacing w:val="-8"/>
              </w:rPr>
              <w:t xml:space="preserve"> </w:t>
            </w:r>
            <w:r w:rsidRPr="00EC20A0">
              <w:rPr>
                <w:spacing w:val="-4"/>
              </w:rPr>
              <w:t>BETC</w:t>
            </w:r>
          </w:p>
        </w:tc>
        <w:tc>
          <w:tcPr>
            <w:tcW w:w="999" w:type="dxa"/>
          </w:tcPr>
          <w:p w14:paraId="24D615EC" w14:textId="77777777" w:rsidR="00245300" w:rsidRPr="00EC20A0" w:rsidRDefault="00F17249">
            <w:pPr>
              <w:pStyle w:val="TableParagraph"/>
              <w:spacing w:before="86"/>
              <w:ind w:right="47"/>
              <w:jc w:val="right"/>
            </w:pPr>
            <w:r w:rsidRPr="00EC20A0">
              <w:t>921</w:t>
            </w:r>
            <w:r w:rsidRPr="00EC20A0">
              <w:rPr>
                <w:spacing w:val="-4"/>
              </w:rPr>
              <w:t xml:space="preserve"> </w:t>
            </w:r>
            <w:r w:rsidRPr="00EC20A0">
              <w:rPr>
                <w:spacing w:val="-10"/>
              </w:rPr>
              <w:t>B</w:t>
            </w:r>
          </w:p>
        </w:tc>
      </w:tr>
      <w:tr w:rsidR="00245300" w:rsidRPr="00EC20A0" w14:paraId="24D615F0" w14:textId="77777777">
        <w:trPr>
          <w:trHeight w:val="433"/>
        </w:trPr>
        <w:tc>
          <w:tcPr>
            <w:tcW w:w="7861" w:type="dxa"/>
          </w:tcPr>
          <w:p w14:paraId="24D615EE" w14:textId="77777777" w:rsidR="00245300" w:rsidRPr="00EC20A0" w:rsidRDefault="00F17249">
            <w:pPr>
              <w:pStyle w:val="TableParagraph"/>
              <w:spacing w:before="86"/>
              <w:ind w:left="50"/>
            </w:pPr>
            <w:r w:rsidRPr="00EC20A0">
              <w:t>Auditing</w:t>
            </w:r>
            <w:r w:rsidRPr="00EC20A0">
              <w:rPr>
                <w:spacing w:val="-9"/>
              </w:rPr>
              <w:t xml:space="preserve"> </w:t>
            </w:r>
            <w:r w:rsidRPr="00EC20A0">
              <w:t>Heritage</w:t>
            </w:r>
            <w:r w:rsidRPr="00EC20A0">
              <w:rPr>
                <w:spacing w:val="-9"/>
              </w:rPr>
              <w:t xml:space="preserve"> </w:t>
            </w:r>
            <w:r w:rsidRPr="00EC20A0">
              <w:t>Assets</w:t>
            </w:r>
            <w:r w:rsidRPr="00EC20A0">
              <w:rPr>
                <w:spacing w:val="-10"/>
              </w:rPr>
              <w:t xml:space="preserve"> </w:t>
            </w:r>
            <w:r w:rsidRPr="00EC20A0">
              <w:t>and</w:t>
            </w:r>
            <w:r w:rsidRPr="00EC20A0">
              <w:rPr>
                <w:spacing w:val="-8"/>
              </w:rPr>
              <w:t xml:space="preserve"> </w:t>
            </w:r>
            <w:r w:rsidRPr="00EC20A0">
              <w:t>Stewardship</w:t>
            </w:r>
            <w:r w:rsidRPr="00EC20A0">
              <w:rPr>
                <w:spacing w:val="-9"/>
              </w:rPr>
              <w:t xml:space="preserve"> </w:t>
            </w:r>
            <w:r w:rsidRPr="00EC20A0">
              <w:rPr>
                <w:spacing w:val="-4"/>
              </w:rPr>
              <w:t>Land</w:t>
            </w:r>
          </w:p>
        </w:tc>
        <w:tc>
          <w:tcPr>
            <w:tcW w:w="999" w:type="dxa"/>
          </w:tcPr>
          <w:p w14:paraId="24D615EF" w14:textId="77777777" w:rsidR="00245300" w:rsidRPr="00EC20A0" w:rsidRDefault="00F17249">
            <w:pPr>
              <w:pStyle w:val="TableParagraph"/>
              <w:spacing w:before="86"/>
              <w:ind w:left="374"/>
            </w:pPr>
            <w:r w:rsidRPr="00EC20A0">
              <w:rPr>
                <w:spacing w:val="-5"/>
              </w:rPr>
              <w:t>931</w:t>
            </w:r>
          </w:p>
        </w:tc>
      </w:tr>
      <w:tr w:rsidR="00245300" w:rsidRPr="00EC20A0" w14:paraId="24D615F3" w14:textId="77777777">
        <w:trPr>
          <w:trHeight w:val="592"/>
        </w:trPr>
        <w:tc>
          <w:tcPr>
            <w:tcW w:w="7861" w:type="dxa"/>
          </w:tcPr>
          <w:p w14:paraId="24D615F1" w14:textId="77777777" w:rsidR="00245300" w:rsidRPr="00EC20A0" w:rsidRDefault="00F17249">
            <w:pPr>
              <w:pStyle w:val="TableParagraph"/>
              <w:spacing w:before="66" w:line="250" w:lineRule="atLeast"/>
              <w:ind w:left="50"/>
            </w:pPr>
            <w:r w:rsidRPr="00EC20A0">
              <w:t>Auditing</w:t>
            </w:r>
            <w:r w:rsidRPr="00EC20A0">
              <w:rPr>
                <w:spacing w:val="-4"/>
              </w:rPr>
              <w:t xml:space="preserve"> </w:t>
            </w:r>
            <w:r w:rsidRPr="00EC20A0">
              <w:t>the</w:t>
            </w:r>
            <w:r w:rsidRPr="00EC20A0">
              <w:rPr>
                <w:spacing w:val="-5"/>
              </w:rPr>
              <w:t xml:space="preserve"> </w:t>
            </w:r>
            <w:r w:rsidRPr="00EC20A0">
              <w:t>Statement</w:t>
            </w:r>
            <w:r w:rsidRPr="00EC20A0">
              <w:rPr>
                <w:spacing w:val="-4"/>
              </w:rPr>
              <w:t xml:space="preserve"> </w:t>
            </w:r>
            <w:r w:rsidRPr="00EC20A0">
              <w:t>of</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Statement</w:t>
            </w:r>
            <w:r w:rsidRPr="00EC20A0">
              <w:rPr>
                <w:spacing w:val="-3"/>
              </w:rPr>
              <w:t xml:space="preserve"> </w:t>
            </w:r>
            <w:r w:rsidRPr="00EC20A0">
              <w:t>of</w:t>
            </w:r>
            <w:r w:rsidRPr="00EC20A0">
              <w:rPr>
                <w:spacing w:val="-4"/>
              </w:rPr>
              <w:t xml:space="preserve"> </w:t>
            </w:r>
            <w:r w:rsidRPr="00EC20A0">
              <w:t>Changes</w:t>
            </w:r>
            <w:r w:rsidRPr="00EC20A0">
              <w:rPr>
                <w:spacing w:val="-4"/>
              </w:rPr>
              <w:t xml:space="preserve"> </w:t>
            </w:r>
            <w:r w:rsidRPr="00EC20A0">
              <w:t>in Social Insurance Amounts</w:t>
            </w:r>
          </w:p>
        </w:tc>
        <w:tc>
          <w:tcPr>
            <w:tcW w:w="999" w:type="dxa"/>
          </w:tcPr>
          <w:p w14:paraId="24D615F2" w14:textId="77777777" w:rsidR="00245300" w:rsidRPr="00EC20A0" w:rsidRDefault="00F17249">
            <w:pPr>
              <w:pStyle w:val="TableParagraph"/>
              <w:spacing w:before="86"/>
              <w:ind w:left="374"/>
            </w:pPr>
            <w:r w:rsidRPr="00EC20A0">
              <w:rPr>
                <w:spacing w:val="-5"/>
              </w:rPr>
              <w:t>941</w:t>
            </w:r>
          </w:p>
        </w:tc>
      </w:tr>
    </w:tbl>
    <w:p w14:paraId="24D615F4" w14:textId="77777777" w:rsidR="00245300" w:rsidRPr="00EC20A0" w:rsidRDefault="00245300">
      <w:pPr>
        <w:sectPr w:rsidR="00245300" w:rsidRPr="00EC20A0">
          <w:headerReference w:type="default" r:id="rId138"/>
          <w:footerReference w:type="default" r:id="rId139"/>
          <w:pgSz w:w="12240" w:h="15840"/>
          <w:pgMar w:top="1340" w:right="1100" w:bottom="940" w:left="1240" w:header="721" w:footer="757" w:gutter="0"/>
          <w:cols w:space="720"/>
        </w:sectPr>
      </w:pPr>
    </w:p>
    <w:p w14:paraId="24D615F5" w14:textId="77777777" w:rsidR="00245300" w:rsidRPr="00EC20A0" w:rsidRDefault="00F17249" w:rsidP="00DE067E">
      <w:pPr>
        <w:pStyle w:val="Heading3"/>
      </w:pPr>
      <w:bookmarkStart w:id="266" w:name="902_–_Intragovernmental_Activity_and_Bal"/>
      <w:bookmarkStart w:id="267" w:name="_bookmark149"/>
      <w:bookmarkEnd w:id="266"/>
      <w:bookmarkEnd w:id="267"/>
      <w:r w:rsidRPr="00EC20A0">
        <w:t>902</w:t>
      </w:r>
      <w:r w:rsidRPr="00EC20A0">
        <w:rPr>
          <w:spacing w:val="-8"/>
        </w:rPr>
        <w:t xml:space="preserve"> </w:t>
      </w:r>
      <w:r w:rsidRPr="00EC20A0">
        <w:t>–</w:t>
      </w:r>
      <w:r w:rsidRPr="00EC20A0">
        <w:rPr>
          <w:spacing w:val="-5"/>
        </w:rPr>
        <w:t xml:space="preserve"> </w:t>
      </w:r>
      <w:r w:rsidRPr="00EC20A0">
        <w:t>Intragovernmental</w:t>
      </w:r>
      <w:r w:rsidRPr="00EC20A0">
        <w:rPr>
          <w:spacing w:val="-17"/>
        </w:rPr>
        <w:t xml:space="preserve"> </w:t>
      </w:r>
      <w:r w:rsidRPr="00EC20A0">
        <w:t>Activity</w:t>
      </w:r>
      <w:r w:rsidRPr="00EC20A0">
        <w:rPr>
          <w:spacing w:val="-5"/>
        </w:rPr>
        <w:t xml:space="preserve"> </w:t>
      </w:r>
      <w:r w:rsidRPr="00EC20A0">
        <w:t>and</w:t>
      </w:r>
      <w:r w:rsidRPr="00EC20A0">
        <w:rPr>
          <w:spacing w:val="-5"/>
        </w:rPr>
        <w:t xml:space="preserve"> </w:t>
      </w:r>
      <w:r w:rsidRPr="00EC20A0">
        <w:rPr>
          <w:spacing w:val="-2"/>
        </w:rPr>
        <w:t>Balances</w:t>
      </w:r>
    </w:p>
    <w:p w14:paraId="24D615F6" w14:textId="77777777" w:rsidR="00245300" w:rsidRPr="00EC20A0" w:rsidRDefault="00245300">
      <w:pPr>
        <w:pStyle w:val="BodyText"/>
        <w:spacing w:before="106"/>
        <w:rPr>
          <w:b/>
        </w:rPr>
      </w:pPr>
    </w:p>
    <w:p w14:paraId="24D615F7" w14:textId="77777777" w:rsidR="00245300" w:rsidRPr="00EC20A0" w:rsidRDefault="00F17249">
      <w:pPr>
        <w:pStyle w:val="ListParagraph"/>
        <w:numPr>
          <w:ilvl w:val="0"/>
          <w:numId w:val="7"/>
        </w:numPr>
        <w:tabs>
          <w:tab w:val="left" w:pos="1640"/>
        </w:tabs>
        <w:spacing w:before="0"/>
        <w:ind w:right="347"/>
      </w:pPr>
      <w:r w:rsidRPr="00EC20A0">
        <w:t>This</w:t>
      </w:r>
      <w:r w:rsidRPr="00EC20A0">
        <w:rPr>
          <w:spacing w:val="-4"/>
        </w:rPr>
        <w:t xml:space="preserve"> </w:t>
      </w:r>
      <w:r w:rsidRPr="00EC20A0">
        <w:t>section</w:t>
      </w:r>
      <w:r w:rsidRPr="00EC20A0">
        <w:rPr>
          <w:spacing w:val="-5"/>
        </w:rPr>
        <w:t xml:space="preserve"> </w:t>
      </w:r>
      <w:r w:rsidRPr="00EC20A0">
        <w:t>provides</w:t>
      </w:r>
      <w:r w:rsidRPr="00EC20A0">
        <w:rPr>
          <w:spacing w:val="-4"/>
        </w:rPr>
        <w:t xml:space="preserve"> </w:t>
      </w:r>
      <w:r w:rsidRPr="00EC20A0">
        <w:t>guidance</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procedures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5"/>
        </w:rPr>
        <w:t xml:space="preserve"> </w:t>
      </w:r>
      <w:r w:rsidRPr="00EC20A0">
        <w:t>perform with</w:t>
      </w:r>
      <w:r w:rsidRPr="00EC20A0">
        <w:rPr>
          <w:spacing w:val="-1"/>
        </w:rPr>
        <w:t xml:space="preserve"> </w:t>
      </w:r>
      <w:r w:rsidRPr="00EC20A0">
        <w:t>respect</w:t>
      </w:r>
      <w:r w:rsidRPr="00EC20A0">
        <w:rPr>
          <w:spacing w:val="-2"/>
        </w:rPr>
        <w:t xml:space="preserve"> </w:t>
      </w:r>
      <w:r w:rsidRPr="00EC20A0">
        <w:t>to</w:t>
      </w:r>
      <w:r w:rsidRPr="00EC20A0">
        <w:rPr>
          <w:spacing w:val="-1"/>
        </w:rPr>
        <w:t xml:space="preserve"> </w:t>
      </w:r>
      <w:r w:rsidRPr="00EC20A0">
        <w:t>intragovernmental</w:t>
      </w:r>
      <w:r w:rsidRPr="00EC20A0">
        <w:rPr>
          <w:spacing w:val="-1"/>
        </w:rPr>
        <w:t xml:space="preserve"> </w:t>
      </w:r>
      <w:r w:rsidRPr="00EC20A0">
        <w:t>activity</w:t>
      </w:r>
      <w:r w:rsidRPr="00EC20A0">
        <w:rPr>
          <w:spacing w:val="-1"/>
        </w:rPr>
        <w:t xml:space="preserve"> </w:t>
      </w:r>
      <w:r w:rsidRPr="00EC20A0">
        <w:t>(i.e.,</w:t>
      </w:r>
      <w:r w:rsidRPr="00EC20A0">
        <w:rPr>
          <w:spacing w:val="-1"/>
        </w:rPr>
        <w:t xml:space="preserve"> </w:t>
      </w:r>
      <w:r w:rsidRPr="00EC20A0">
        <w:t>costs</w:t>
      </w:r>
      <w:r w:rsidRPr="00EC20A0">
        <w:rPr>
          <w:spacing w:val="-1"/>
        </w:rPr>
        <w:t xml:space="preserve"> </w:t>
      </w:r>
      <w:r w:rsidRPr="00EC20A0">
        <w:t>and</w:t>
      </w:r>
      <w:r w:rsidRPr="00EC20A0">
        <w:rPr>
          <w:spacing w:val="-1"/>
        </w:rPr>
        <w:t xml:space="preserve"> </w:t>
      </w:r>
      <w:r w:rsidRPr="00EC20A0">
        <w:t>revenues)</w:t>
      </w:r>
      <w:r w:rsidRPr="00EC20A0">
        <w:rPr>
          <w:spacing w:val="-1"/>
        </w:rPr>
        <w:t xml:space="preserve"> </w:t>
      </w:r>
      <w:r w:rsidRPr="00EC20A0">
        <w:t>and</w:t>
      </w:r>
      <w:r w:rsidRPr="00EC20A0">
        <w:rPr>
          <w:spacing w:val="-1"/>
        </w:rPr>
        <w:t xml:space="preserve"> </w:t>
      </w:r>
      <w:r w:rsidRPr="00EC20A0">
        <w:t>balances (i.e., assets and liabilities). The U.S. government in its entirety is an economic entity and federal entities are components of that entity. Therefore, transactions between federal entities are considered intragovernmental. Within the U.S. government, many federal entities rely on other federal entities to help them achieve their missions and fulfil</w:t>
      </w:r>
      <w:r w:rsidRPr="00EC20A0">
        <w:t>l their operating objectives. These arrangements may be voluntary, stipulated by law, or established by mutual agreement of the entities involved. Note that activity and balances of the General Fund of the U.S. Government (General</w:t>
      </w:r>
      <w:r w:rsidRPr="00EC20A0">
        <w:rPr>
          <w:spacing w:val="-1"/>
        </w:rPr>
        <w:t xml:space="preserve"> </w:t>
      </w:r>
      <w:r w:rsidRPr="00EC20A0">
        <w:t>Fund)</w:t>
      </w:r>
      <w:hyperlink w:anchor="_bookmark150" w:history="1">
        <w:r w:rsidRPr="00EC20A0">
          <w:rPr>
            <w:position w:val="7"/>
            <w:sz w:val="14"/>
          </w:rPr>
          <w:t>1</w:t>
        </w:r>
      </w:hyperlink>
      <w:r w:rsidRPr="00EC20A0">
        <w:rPr>
          <w:spacing w:val="20"/>
          <w:position w:val="7"/>
          <w:sz w:val="14"/>
        </w:rPr>
        <w:t xml:space="preserve"> </w:t>
      </w:r>
      <w:r w:rsidRPr="00EC20A0">
        <w:t>are</w:t>
      </w:r>
      <w:r w:rsidRPr="00EC20A0">
        <w:rPr>
          <w:spacing w:val="-1"/>
        </w:rPr>
        <w:t xml:space="preserve"> </w:t>
      </w:r>
      <w:r w:rsidRPr="00EC20A0">
        <w:t>intragovernmental</w:t>
      </w:r>
      <w:r w:rsidRPr="00EC20A0">
        <w:rPr>
          <w:spacing w:val="-1"/>
        </w:rPr>
        <w:t xml:space="preserve"> </w:t>
      </w:r>
      <w:r w:rsidRPr="00EC20A0">
        <w:t>and</w:t>
      </w:r>
      <w:r w:rsidRPr="00EC20A0">
        <w:rPr>
          <w:spacing w:val="-1"/>
        </w:rPr>
        <w:t xml:space="preserve"> </w:t>
      </w:r>
      <w:r w:rsidRPr="00EC20A0">
        <w:t>are</w:t>
      </w:r>
      <w:r w:rsidRPr="00EC20A0">
        <w:rPr>
          <w:spacing w:val="-1"/>
        </w:rPr>
        <w:t xml:space="preserve"> </w:t>
      </w:r>
      <w:r w:rsidRPr="00EC20A0">
        <w:t>therefore</w:t>
      </w:r>
      <w:r w:rsidRPr="00EC20A0">
        <w:rPr>
          <w:spacing w:val="-1"/>
        </w:rPr>
        <w:t xml:space="preserve"> </w:t>
      </w:r>
      <w:r w:rsidRPr="00EC20A0">
        <w:t>addressed in FAM 902.</w:t>
      </w:r>
    </w:p>
    <w:p w14:paraId="24D615F8" w14:textId="77777777" w:rsidR="00245300" w:rsidRPr="00EC20A0" w:rsidRDefault="00F17249">
      <w:pPr>
        <w:pStyle w:val="BodyText"/>
        <w:spacing w:before="240"/>
        <w:ind w:left="1640" w:right="345"/>
      </w:pPr>
      <w:r w:rsidRPr="00EC20A0">
        <w:t xml:space="preserve">In many cases, the entity receiving goods or services reimburses the providing entity in </w:t>
      </w:r>
      <w:r w:rsidRPr="00EC20A0">
        <w:t>accordance with an agreed-upon price, which may or may not represent fair value. However, frequently one entity provides goods or services to another entity</w:t>
      </w:r>
      <w:r w:rsidRPr="00EC20A0">
        <w:rPr>
          <w:spacing w:val="-3"/>
        </w:rPr>
        <w:t xml:space="preserve"> </w:t>
      </w:r>
      <w:r w:rsidRPr="00EC20A0">
        <w:t>free</w:t>
      </w:r>
      <w:r w:rsidRPr="00EC20A0">
        <w:rPr>
          <w:spacing w:val="-3"/>
        </w:rPr>
        <w:t xml:space="preserve"> </w:t>
      </w:r>
      <w:r w:rsidRPr="00EC20A0">
        <w:t>of</w:t>
      </w:r>
      <w:r w:rsidRPr="00EC20A0">
        <w:rPr>
          <w:spacing w:val="-4"/>
        </w:rPr>
        <w:t xml:space="preserve"> </w:t>
      </w:r>
      <w:r w:rsidRPr="00EC20A0">
        <w:t>charge</w:t>
      </w:r>
      <w:r w:rsidRPr="00EC20A0">
        <w:rPr>
          <w:spacing w:val="-3"/>
        </w:rPr>
        <w:t xml:space="preserve"> </w:t>
      </w:r>
      <w:r w:rsidRPr="00EC20A0">
        <w:t>(without</w:t>
      </w:r>
      <w:r w:rsidRPr="00EC20A0">
        <w:rPr>
          <w:spacing w:val="-3"/>
        </w:rPr>
        <w:t xml:space="preserve"> </w:t>
      </w:r>
      <w:r w:rsidRPr="00EC20A0">
        <w:t>reimbursement),</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cost</w:t>
      </w:r>
      <w:r w:rsidRPr="00EC20A0">
        <w:rPr>
          <w:spacing w:val="-4"/>
        </w:rPr>
        <w:t xml:space="preserve"> </w:t>
      </w:r>
      <w:r w:rsidRPr="00EC20A0">
        <w:t>of</w:t>
      </w:r>
      <w:r w:rsidRPr="00EC20A0">
        <w:rPr>
          <w:spacing w:val="-3"/>
        </w:rPr>
        <w:t xml:space="preserve"> </w:t>
      </w:r>
      <w:r w:rsidRPr="00EC20A0">
        <w:t>such</w:t>
      </w:r>
      <w:r w:rsidRPr="00EC20A0">
        <w:rPr>
          <w:spacing w:val="-3"/>
        </w:rPr>
        <w:t xml:space="preserve"> </w:t>
      </w:r>
      <w:r w:rsidRPr="00EC20A0">
        <w:t>activity</w:t>
      </w:r>
      <w:r w:rsidRPr="00EC20A0">
        <w:rPr>
          <w:spacing w:val="-3"/>
        </w:rPr>
        <w:t xml:space="preserve"> </w:t>
      </w:r>
      <w:r w:rsidRPr="00EC20A0">
        <w:t>is</w:t>
      </w:r>
      <w:r w:rsidRPr="00EC20A0">
        <w:rPr>
          <w:spacing w:val="-3"/>
        </w:rPr>
        <w:t xml:space="preserve"> </w:t>
      </w:r>
      <w:r w:rsidRPr="00EC20A0">
        <w:t>paid with</w:t>
      </w:r>
      <w:r w:rsidRPr="00EC20A0">
        <w:rPr>
          <w:spacing w:val="-2"/>
        </w:rPr>
        <w:t xml:space="preserve"> </w:t>
      </w:r>
      <w:r w:rsidRPr="00EC20A0">
        <w:t>the</w:t>
      </w:r>
      <w:r w:rsidRPr="00EC20A0">
        <w:rPr>
          <w:spacing w:val="-2"/>
        </w:rPr>
        <w:t xml:space="preserve"> </w:t>
      </w:r>
      <w:r w:rsidRPr="00EC20A0">
        <w:t>providing</w:t>
      </w:r>
      <w:r w:rsidRPr="00EC20A0">
        <w:rPr>
          <w:spacing w:val="-2"/>
        </w:rPr>
        <w:t xml:space="preserve"> </w:t>
      </w:r>
      <w:r w:rsidRPr="00EC20A0">
        <w:t>entity’s</w:t>
      </w:r>
      <w:r w:rsidRPr="00EC20A0">
        <w:rPr>
          <w:spacing w:val="-2"/>
        </w:rPr>
        <w:t xml:space="preserve"> </w:t>
      </w:r>
      <w:r w:rsidRPr="00EC20A0">
        <w:t>appropriated</w:t>
      </w:r>
      <w:r w:rsidRPr="00EC20A0">
        <w:rPr>
          <w:spacing w:val="-2"/>
        </w:rPr>
        <w:t xml:space="preserve"> </w:t>
      </w:r>
      <w:r w:rsidRPr="00EC20A0">
        <w:t>funds.</w:t>
      </w:r>
      <w:r w:rsidRPr="00EC20A0">
        <w:rPr>
          <w:spacing w:val="-2"/>
        </w:rPr>
        <w:t xml:space="preserve"> </w:t>
      </w:r>
      <w:r w:rsidRPr="00EC20A0">
        <w:t>For</w:t>
      </w:r>
      <w:r w:rsidRPr="00EC20A0">
        <w:rPr>
          <w:spacing w:val="-2"/>
        </w:rPr>
        <w:t xml:space="preserve"> </w:t>
      </w:r>
      <w:r w:rsidRPr="00EC20A0">
        <w:t>example,</w:t>
      </w:r>
      <w:r w:rsidRPr="00EC20A0">
        <w:rPr>
          <w:spacing w:val="-2"/>
        </w:rPr>
        <w:t xml:space="preserve"> </w:t>
      </w:r>
      <w:r w:rsidRPr="00EC20A0">
        <w:t>the</w:t>
      </w:r>
      <w:r w:rsidRPr="00EC20A0">
        <w:rPr>
          <w:spacing w:val="-2"/>
        </w:rPr>
        <w:t xml:space="preserve"> </w:t>
      </w:r>
      <w:r w:rsidRPr="00EC20A0">
        <w:t>General</w:t>
      </w:r>
      <w:r w:rsidRPr="00EC20A0">
        <w:rPr>
          <w:spacing w:val="-2"/>
        </w:rPr>
        <w:t xml:space="preserve"> </w:t>
      </w:r>
      <w:r w:rsidRPr="00EC20A0">
        <w:t>Services Administration routinely provides property management services and contract award and administration services to other entities without charge.</w:t>
      </w:r>
    </w:p>
    <w:p w14:paraId="24D615F9" w14:textId="77777777" w:rsidR="00245300" w:rsidRPr="00EC20A0" w:rsidRDefault="00F17249">
      <w:pPr>
        <w:pStyle w:val="ListParagraph"/>
        <w:numPr>
          <w:ilvl w:val="0"/>
          <w:numId w:val="7"/>
        </w:numPr>
        <w:tabs>
          <w:tab w:val="left" w:pos="1640"/>
        </w:tabs>
        <w:spacing w:before="241"/>
        <w:ind w:right="383"/>
      </w:pPr>
      <w:r w:rsidRPr="00EC20A0">
        <w:t xml:space="preserve">Intragovernmental amounts represent activity and balances both </w:t>
      </w:r>
      <w:r w:rsidRPr="00EC20A0">
        <w:rPr>
          <w:i/>
        </w:rPr>
        <w:t xml:space="preserve">within </w:t>
      </w:r>
      <w:r w:rsidRPr="00EC20A0">
        <w:t xml:space="preserve">a federal entity and </w:t>
      </w:r>
      <w:r w:rsidRPr="00EC20A0">
        <w:rPr>
          <w:i/>
        </w:rPr>
        <w:t xml:space="preserve">between </w:t>
      </w:r>
      <w:r w:rsidRPr="00EC20A0">
        <w:t>federal entities. “Intra-entity” amounts are intragovernmental activity and balances within a federal entity (any federal agency, department, administration, or government corporation that is not part of a larger financial reporting</w:t>
      </w:r>
      <w:r w:rsidRPr="00EC20A0">
        <w:rPr>
          <w:spacing w:val="-4"/>
        </w:rPr>
        <w:t xml:space="preserve"> </w:t>
      </w:r>
      <w:r w:rsidRPr="00EC20A0">
        <w:t>entity</w:t>
      </w:r>
      <w:r w:rsidRPr="00EC20A0">
        <w:rPr>
          <w:spacing w:val="-4"/>
        </w:rPr>
        <w:t xml:space="preserve"> </w:t>
      </w:r>
      <w:r w:rsidRPr="00EC20A0">
        <w:t>other</w:t>
      </w:r>
      <w:r w:rsidRPr="00EC20A0">
        <w:rPr>
          <w:spacing w:val="-4"/>
        </w:rPr>
        <w:t xml:space="preserve"> </w:t>
      </w:r>
      <w:r w:rsidRPr="00EC20A0">
        <w:t>than</w:t>
      </w:r>
      <w:r w:rsidRPr="00EC20A0">
        <w:rPr>
          <w:spacing w:val="-4"/>
        </w:rPr>
        <w:t xml:space="preserve"> </w:t>
      </w:r>
      <w:r w:rsidRPr="00EC20A0">
        <w:t>the</w:t>
      </w:r>
      <w:r w:rsidRPr="00EC20A0">
        <w:rPr>
          <w:spacing w:val="-4"/>
        </w:rPr>
        <w:t xml:space="preserve"> </w:t>
      </w:r>
      <w:r w:rsidRPr="00EC20A0">
        <w:t>government</w:t>
      </w:r>
      <w:r w:rsidRPr="00EC20A0">
        <w:rPr>
          <w:spacing w:val="-4"/>
        </w:rPr>
        <w:t xml:space="preserve"> </w:t>
      </w:r>
      <w:r w:rsidRPr="00EC20A0">
        <w:t>as</w:t>
      </w:r>
      <w:r w:rsidRPr="00EC20A0">
        <w:rPr>
          <w:spacing w:val="-4"/>
        </w:rPr>
        <w:t xml:space="preserve"> </w:t>
      </w:r>
      <w:r w:rsidRPr="00EC20A0">
        <w:t>a</w:t>
      </w:r>
      <w:r w:rsidRPr="00EC20A0">
        <w:rPr>
          <w:spacing w:val="-4"/>
        </w:rPr>
        <w:t xml:space="preserve"> </w:t>
      </w:r>
      <w:r w:rsidRPr="00EC20A0">
        <w:t>whole).</w:t>
      </w:r>
      <w:r w:rsidRPr="00EC20A0">
        <w:rPr>
          <w:spacing w:val="-4"/>
        </w:rPr>
        <w:t xml:space="preserve"> </w:t>
      </w:r>
      <w:r w:rsidRPr="00EC20A0">
        <w:t>“Inter-entity”</w:t>
      </w:r>
      <w:r w:rsidRPr="00EC20A0">
        <w:rPr>
          <w:spacing w:val="-4"/>
        </w:rPr>
        <w:t xml:space="preserve"> </w:t>
      </w:r>
      <w:r w:rsidRPr="00EC20A0">
        <w:t>amounts</w:t>
      </w:r>
      <w:r w:rsidRPr="00EC20A0">
        <w:rPr>
          <w:spacing w:val="-4"/>
        </w:rPr>
        <w:t xml:space="preserve"> </w:t>
      </w:r>
      <w:r w:rsidRPr="00EC20A0">
        <w:t>are intragovernmental activity and balances between two federal entities that are trading partners. Intra-entity amounts and inter-entity amounts constitute intragovernmental</w:t>
      </w:r>
      <w:r w:rsidRPr="00EC20A0">
        <w:t xml:space="preserve"> activity and balances.</w:t>
      </w:r>
    </w:p>
    <w:p w14:paraId="24D615FA" w14:textId="77777777" w:rsidR="00245300" w:rsidRPr="00EC20A0" w:rsidRDefault="00F17249">
      <w:pPr>
        <w:pStyle w:val="BodyText"/>
        <w:spacing w:before="240"/>
        <w:ind w:left="1640" w:right="408"/>
      </w:pPr>
      <w:r w:rsidRPr="00EC20A0">
        <w:t>Although</w:t>
      </w:r>
      <w:r w:rsidRPr="00EC20A0">
        <w:rPr>
          <w:spacing w:val="-3"/>
        </w:rPr>
        <w:t xml:space="preserve"> </w:t>
      </w:r>
      <w:r w:rsidRPr="00EC20A0">
        <w:t>the</w:t>
      </w:r>
      <w:r w:rsidRPr="00EC20A0">
        <w:rPr>
          <w:spacing w:val="-3"/>
        </w:rPr>
        <w:t xml:space="preserve"> </w:t>
      </w:r>
      <w:r w:rsidRPr="00EC20A0">
        <w:t>Federal</w:t>
      </w:r>
      <w:r w:rsidRPr="00EC20A0">
        <w:rPr>
          <w:spacing w:val="-3"/>
        </w:rPr>
        <w:t xml:space="preserve"> </w:t>
      </w:r>
      <w:r w:rsidRPr="00EC20A0">
        <w:t>Accounting</w:t>
      </w:r>
      <w:r w:rsidRPr="00EC20A0">
        <w:rPr>
          <w:spacing w:val="-3"/>
        </w:rPr>
        <w:t xml:space="preserve"> </w:t>
      </w:r>
      <w:r w:rsidRPr="00EC20A0">
        <w:t>Standards</w:t>
      </w:r>
      <w:r w:rsidRPr="00EC20A0">
        <w:rPr>
          <w:spacing w:val="-3"/>
        </w:rPr>
        <w:t xml:space="preserve"> </w:t>
      </w:r>
      <w:r w:rsidRPr="00EC20A0">
        <w:t>Advisory</w:t>
      </w:r>
      <w:r w:rsidRPr="00EC20A0">
        <w:rPr>
          <w:spacing w:val="-3"/>
        </w:rPr>
        <w:t xml:space="preserve"> </w:t>
      </w:r>
      <w:r w:rsidRPr="00EC20A0">
        <w:t>Board</w:t>
      </w:r>
      <w:r w:rsidRPr="00EC20A0">
        <w:rPr>
          <w:spacing w:val="-4"/>
        </w:rPr>
        <w:t xml:space="preserve"> </w:t>
      </w:r>
      <w:r w:rsidRPr="00EC20A0">
        <w:t>(FASAB)</w:t>
      </w:r>
      <w:r w:rsidRPr="00EC20A0">
        <w:rPr>
          <w:spacing w:val="-4"/>
        </w:rPr>
        <w:t xml:space="preserve"> </w:t>
      </w:r>
      <w:r w:rsidRPr="00EC20A0">
        <w:t>has</w:t>
      </w:r>
      <w:r w:rsidRPr="00EC20A0">
        <w:rPr>
          <w:spacing w:val="-3"/>
        </w:rPr>
        <w:t xml:space="preserve"> </w:t>
      </w:r>
      <w:r w:rsidRPr="00EC20A0">
        <w:t xml:space="preserve">used various terms for intragovernmental amounts, it has predominately used “intra- entity” and “inter-entity” (as defined above), including in key </w:t>
      </w:r>
      <w:r w:rsidRPr="00EC20A0">
        <w:t>intragovernmental pronouncements.</w:t>
      </w:r>
      <w:hyperlink w:anchor="_bookmark151" w:history="1">
        <w:r w:rsidRPr="00EC20A0">
          <w:rPr>
            <w:position w:val="7"/>
            <w:sz w:val="14"/>
          </w:rPr>
          <w:t>2</w:t>
        </w:r>
      </w:hyperlink>
      <w:r w:rsidRPr="00EC20A0">
        <w:rPr>
          <w:spacing w:val="39"/>
          <w:position w:val="7"/>
          <w:sz w:val="14"/>
        </w:rPr>
        <w:t xml:space="preserve"> </w:t>
      </w:r>
      <w:r w:rsidRPr="00EC20A0">
        <w:t>In addition, Office of Management and Budget (OMB) reporting</w:t>
      </w:r>
      <w:r w:rsidRPr="00EC20A0">
        <w:rPr>
          <w:spacing w:val="-3"/>
        </w:rPr>
        <w:t xml:space="preserve"> </w:t>
      </w:r>
      <w:r w:rsidRPr="00EC20A0">
        <w:t>guidance</w:t>
      </w:r>
      <w:hyperlink w:anchor="_bookmark152" w:history="1">
        <w:r w:rsidRPr="00EC20A0">
          <w:rPr>
            <w:position w:val="7"/>
            <w:sz w:val="14"/>
          </w:rPr>
          <w:t>3</w:t>
        </w:r>
      </w:hyperlink>
      <w:r w:rsidRPr="00EC20A0">
        <w:rPr>
          <w:spacing w:val="18"/>
          <w:position w:val="7"/>
          <w:sz w:val="14"/>
        </w:rPr>
        <w:t xml:space="preserve"> </w:t>
      </w:r>
      <w:r w:rsidRPr="00EC20A0">
        <w:t>uses</w:t>
      </w:r>
      <w:r w:rsidRPr="00EC20A0">
        <w:rPr>
          <w:spacing w:val="-4"/>
        </w:rPr>
        <w:t xml:space="preserve"> </w:t>
      </w:r>
      <w:r w:rsidRPr="00EC20A0">
        <w:t>“intra-entity”</w:t>
      </w:r>
      <w:r w:rsidRPr="00EC20A0">
        <w:rPr>
          <w:spacing w:val="-4"/>
        </w:rPr>
        <w:t xml:space="preserve"> </w:t>
      </w:r>
      <w:r w:rsidRPr="00EC20A0">
        <w:t>and</w:t>
      </w:r>
      <w:r w:rsidRPr="00EC20A0">
        <w:rPr>
          <w:spacing w:val="-3"/>
        </w:rPr>
        <w:t xml:space="preserve"> </w:t>
      </w:r>
      <w:r w:rsidRPr="00EC20A0">
        <w:t>“inter-entity.”</w:t>
      </w:r>
      <w:r w:rsidRPr="00EC20A0">
        <w:rPr>
          <w:spacing w:val="-3"/>
        </w:rPr>
        <w:t xml:space="preserve"> </w:t>
      </w:r>
      <w:r w:rsidRPr="00EC20A0">
        <w:t>In</w:t>
      </w:r>
      <w:r w:rsidRPr="00EC20A0">
        <w:rPr>
          <w:spacing w:val="-3"/>
        </w:rPr>
        <w:t xml:space="preserve"> </w:t>
      </w:r>
      <w:r w:rsidRPr="00EC20A0">
        <w:t>line</w:t>
      </w:r>
      <w:r w:rsidRPr="00EC20A0">
        <w:rPr>
          <w:spacing w:val="-4"/>
        </w:rPr>
        <w:t xml:space="preserve"> </w:t>
      </w:r>
      <w:r w:rsidRPr="00EC20A0">
        <w:t>with</w:t>
      </w:r>
      <w:r w:rsidRPr="00EC20A0">
        <w:rPr>
          <w:spacing w:val="-3"/>
        </w:rPr>
        <w:t xml:space="preserve"> </w:t>
      </w:r>
      <w:r w:rsidRPr="00EC20A0">
        <w:t>FASAB</w:t>
      </w:r>
      <w:r w:rsidRPr="00EC20A0">
        <w:rPr>
          <w:spacing w:val="-3"/>
        </w:rPr>
        <w:t xml:space="preserve"> </w:t>
      </w:r>
      <w:r w:rsidRPr="00EC20A0">
        <w:t>and OMB, the FAM uses “intra-entity” and “inter-entity” to refer to the two types of intragovernmental amounts.</w:t>
      </w:r>
    </w:p>
    <w:p w14:paraId="24D615FB" w14:textId="77777777" w:rsidR="00245300" w:rsidRPr="00EC20A0" w:rsidRDefault="00245300">
      <w:pPr>
        <w:pStyle w:val="BodyText"/>
        <w:rPr>
          <w:sz w:val="20"/>
        </w:rPr>
      </w:pPr>
    </w:p>
    <w:p w14:paraId="24D615FC" w14:textId="77777777" w:rsidR="00245300" w:rsidRPr="00EC20A0" w:rsidRDefault="00F17249">
      <w:pPr>
        <w:pStyle w:val="BodyText"/>
        <w:spacing w:before="120"/>
        <w:rPr>
          <w:sz w:val="20"/>
        </w:rPr>
      </w:pPr>
      <w:r w:rsidRPr="00EC20A0">
        <w:rPr>
          <w:noProof/>
        </w:rPr>
        <mc:AlternateContent>
          <mc:Choice Requires="wps">
            <w:drawing>
              <wp:anchor distT="0" distB="0" distL="0" distR="0" simplePos="0" relativeHeight="487706624" behindDoc="1" locked="0" layoutInCell="1" allowOverlap="1" wp14:anchorId="24D62C85" wp14:editId="24D62C86">
                <wp:simplePos x="0" y="0"/>
                <wp:positionH relativeFrom="page">
                  <wp:posOffset>914400</wp:posOffset>
                </wp:positionH>
                <wp:positionV relativeFrom="paragraph">
                  <wp:posOffset>237732</wp:posOffset>
                </wp:positionV>
                <wp:extent cx="1828800" cy="5715"/>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12B38" id="Graphic 770" o:spid="_x0000_s1026" style="position:absolute;margin-left:1in;margin-top:18.7pt;width:2in;height:.45pt;z-index:-1560985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" path="m1828800,l,,,5333r1828800,l1828800,xe" fillcolor="black" stroked="f">
                <v:path arrowok="t"/>
                <w10:wrap type="topAndBottom" anchorx="page"/>
              </v:shape>
            </w:pict>
          </mc:Fallback>
        </mc:AlternateContent>
      </w:r>
    </w:p>
    <w:p w14:paraId="24D615FD" w14:textId="77777777" w:rsidR="00245300" w:rsidRPr="00EC20A0" w:rsidRDefault="00F17249">
      <w:pPr>
        <w:spacing w:before="200" w:line="244" w:lineRule="auto"/>
        <w:ind w:left="200" w:right="345" w:hanging="1"/>
        <w:rPr>
          <w:sz w:val="18"/>
        </w:rPr>
      </w:pPr>
      <w:bookmarkStart w:id="268" w:name="_bookmark150"/>
      <w:bookmarkEnd w:id="268"/>
      <w:r w:rsidRPr="00EC20A0">
        <w:rPr>
          <w:position w:val="7"/>
          <w:sz w:val="14"/>
        </w:rPr>
        <w:t>1</w:t>
      </w:r>
      <w:r w:rsidRPr="00EC20A0">
        <w:rPr>
          <w:sz w:val="18"/>
        </w:rPr>
        <w:t>The</w:t>
      </w:r>
      <w:r w:rsidRPr="00EC20A0">
        <w:rPr>
          <w:spacing w:val="-4"/>
          <w:sz w:val="18"/>
        </w:rPr>
        <w:t xml:space="preserve"> </w:t>
      </w:r>
      <w:r w:rsidRPr="00EC20A0">
        <w:rPr>
          <w:sz w:val="18"/>
        </w:rPr>
        <w:t>General</w:t>
      </w:r>
      <w:r w:rsidRPr="00EC20A0">
        <w:rPr>
          <w:spacing w:val="-3"/>
          <w:sz w:val="18"/>
        </w:rPr>
        <w:t xml:space="preserve"> </w:t>
      </w:r>
      <w:r w:rsidRPr="00EC20A0">
        <w:rPr>
          <w:sz w:val="18"/>
        </w:rPr>
        <w:t>Fund</w:t>
      </w:r>
      <w:r w:rsidRPr="00EC20A0">
        <w:rPr>
          <w:spacing w:val="-4"/>
          <w:sz w:val="18"/>
        </w:rPr>
        <w:t xml:space="preserve"> </w:t>
      </w:r>
      <w:r w:rsidRPr="00EC20A0">
        <w:rPr>
          <w:sz w:val="18"/>
        </w:rPr>
        <w:t>of</w:t>
      </w:r>
      <w:r w:rsidRPr="00EC20A0">
        <w:rPr>
          <w:spacing w:val="-3"/>
          <w:sz w:val="18"/>
        </w:rPr>
        <w:t xml:space="preserve"> </w:t>
      </w:r>
      <w:r w:rsidRPr="00EC20A0">
        <w:rPr>
          <w:sz w:val="18"/>
        </w:rPr>
        <w:t>the</w:t>
      </w:r>
      <w:r w:rsidRPr="00EC20A0">
        <w:rPr>
          <w:spacing w:val="-4"/>
          <w:sz w:val="18"/>
        </w:rPr>
        <w:t xml:space="preserve"> </w:t>
      </w:r>
      <w:r w:rsidRPr="00EC20A0">
        <w:rPr>
          <w:sz w:val="18"/>
        </w:rPr>
        <w:t>U.S.</w:t>
      </w:r>
      <w:r w:rsidRPr="00EC20A0">
        <w:rPr>
          <w:spacing w:val="-2"/>
          <w:sz w:val="18"/>
        </w:rPr>
        <w:t xml:space="preserve"> </w:t>
      </w:r>
      <w:r w:rsidRPr="00EC20A0">
        <w:rPr>
          <w:sz w:val="18"/>
        </w:rPr>
        <w:t>Government</w:t>
      </w:r>
      <w:r w:rsidRPr="00EC20A0">
        <w:rPr>
          <w:spacing w:val="-3"/>
          <w:sz w:val="18"/>
        </w:rPr>
        <w:t xml:space="preserve"> </w:t>
      </w:r>
      <w:r w:rsidRPr="00EC20A0">
        <w:rPr>
          <w:sz w:val="18"/>
        </w:rPr>
        <w:t>is</w:t>
      </w:r>
      <w:r w:rsidRPr="00EC20A0">
        <w:rPr>
          <w:spacing w:val="-2"/>
          <w:sz w:val="18"/>
        </w:rPr>
        <w:t xml:space="preserve"> </w:t>
      </w:r>
      <w:r w:rsidRPr="00EC20A0">
        <w:rPr>
          <w:sz w:val="18"/>
        </w:rPr>
        <w:t>a</w:t>
      </w:r>
      <w:r w:rsidRPr="00EC20A0">
        <w:rPr>
          <w:spacing w:val="-4"/>
          <w:sz w:val="18"/>
        </w:rPr>
        <w:t xml:space="preserve"> </w:t>
      </w:r>
      <w:r w:rsidRPr="00EC20A0">
        <w:rPr>
          <w:sz w:val="18"/>
        </w:rPr>
        <w:t>component</w:t>
      </w:r>
      <w:r w:rsidRPr="00EC20A0">
        <w:rPr>
          <w:spacing w:val="-2"/>
          <w:sz w:val="18"/>
        </w:rPr>
        <w:t xml:space="preserve"> </w:t>
      </w:r>
      <w:r w:rsidRPr="00EC20A0">
        <w:rPr>
          <w:sz w:val="18"/>
        </w:rPr>
        <w:t>of</w:t>
      </w:r>
      <w:r w:rsidRPr="00EC20A0">
        <w:rPr>
          <w:spacing w:val="-3"/>
          <w:sz w:val="18"/>
        </w:rPr>
        <w:t xml:space="preserve"> </w:t>
      </w:r>
      <w:r w:rsidRPr="00EC20A0">
        <w:rPr>
          <w:sz w:val="18"/>
        </w:rPr>
        <w:t>the</w:t>
      </w:r>
      <w:r w:rsidRPr="00EC20A0">
        <w:rPr>
          <w:spacing w:val="-4"/>
          <w:sz w:val="18"/>
        </w:rPr>
        <w:t xml:space="preserve"> </w:t>
      </w:r>
      <w:r w:rsidRPr="00EC20A0">
        <w:rPr>
          <w:sz w:val="18"/>
        </w:rPr>
        <w:t>Department</w:t>
      </w:r>
      <w:r w:rsidRPr="00EC20A0">
        <w:rPr>
          <w:spacing w:val="-3"/>
          <w:sz w:val="18"/>
        </w:rPr>
        <w:t xml:space="preserve"> </w:t>
      </w:r>
      <w:r w:rsidRPr="00EC20A0">
        <w:rPr>
          <w:sz w:val="18"/>
        </w:rPr>
        <w:t>of</w:t>
      </w:r>
      <w:r w:rsidRPr="00EC20A0">
        <w:rPr>
          <w:spacing w:val="-3"/>
          <w:sz w:val="18"/>
        </w:rPr>
        <w:t xml:space="preserve"> </w:t>
      </w:r>
      <w:r w:rsidRPr="00EC20A0">
        <w:rPr>
          <w:sz w:val="18"/>
        </w:rPr>
        <w:t>the</w:t>
      </w:r>
      <w:r w:rsidRPr="00EC20A0">
        <w:rPr>
          <w:spacing w:val="-4"/>
          <w:sz w:val="18"/>
        </w:rPr>
        <w:t xml:space="preserve"> </w:t>
      </w:r>
      <w:r w:rsidRPr="00EC20A0">
        <w:rPr>
          <w:sz w:val="18"/>
        </w:rPr>
        <w:t>Treasury’s</w:t>
      </w:r>
      <w:r w:rsidRPr="00EC20A0">
        <w:rPr>
          <w:spacing w:val="-3"/>
          <w:sz w:val="18"/>
        </w:rPr>
        <w:t xml:space="preserve"> </w:t>
      </w:r>
      <w:r w:rsidRPr="00EC20A0">
        <w:rPr>
          <w:sz w:val="18"/>
        </w:rPr>
        <w:t>central</w:t>
      </w:r>
      <w:r w:rsidRPr="00EC20A0">
        <w:rPr>
          <w:spacing w:val="-3"/>
          <w:sz w:val="18"/>
        </w:rPr>
        <w:t xml:space="preserve"> </w:t>
      </w:r>
      <w:r w:rsidRPr="00EC20A0">
        <w:rPr>
          <w:sz w:val="18"/>
        </w:rPr>
        <w:t>accounting function. It is a stand-alone reporting entity that comprises the activities fundamental to funding the federal government (e.g., issued budget authority cash activity, and debt financing activities).</w:t>
      </w:r>
    </w:p>
    <w:p w14:paraId="24D615FE" w14:textId="77777777" w:rsidR="00245300" w:rsidRPr="00EC20A0" w:rsidRDefault="00F17249">
      <w:pPr>
        <w:spacing w:before="122" w:line="249" w:lineRule="auto"/>
        <w:ind w:left="200" w:right="345" w:hanging="1"/>
        <w:rPr>
          <w:sz w:val="18"/>
        </w:rPr>
      </w:pPr>
      <w:bookmarkStart w:id="269" w:name="_bookmark151"/>
      <w:bookmarkEnd w:id="269"/>
      <w:r w:rsidRPr="00EC20A0">
        <w:rPr>
          <w:position w:val="7"/>
          <w:sz w:val="14"/>
        </w:rPr>
        <w:t>2</w:t>
      </w:r>
      <w:r w:rsidRPr="00EC20A0">
        <w:rPr>
          <w:sz w:val="18"/>
        </w:rPr>
        <w:t>See</w:t>
      </w:r>
      <w:r w:rsidRPr="00EC20A0">
        <w:rPr>
          <w:spacing w:val="-4"/>
          <w:sz w:val="18"/>
        </w:rPr>
        <w:t xml:space="preserve"> </w:t>
      </w:r>
      <w:r w:rsidRPr="00EC20A0">
        <w:rPr>
          <w:sz w:val="18"/>
        </w:rPr>
        <w:t>Statement</w:t>
      </w:r>
      <w:r w:rsidRPr="00EC20A0">
        <w:rPr>
          <w:spacing w:val="-3"/>
          <w:sz w:val="18"/>
        </w:rPr>
        <w:t xml:space="preserve"> </w:t>
      </w:r>
      <w:r w:rsidRPr="00EC20A0">
        <w:rPr>
          <w:sz w:val="18"/>
        </w:rPr>
        <w:t>of</w:t>
      </w:r>
      <w:r w:rsidRPr="00EC20A0">
        <w:rPr>
          <w:spacing w:val="-3"/>
          <w:sz w:val="18"/>
        </w:rPr>
        <w:t xml:space="preserve"> </w:t>
      </w:r>
      <w:r w:rsidRPr="00EC20A0">
        <w:rPr>
          <w:sz w:val="18"/>
        </w:rPr>
        <w:t>Federal</w:t>
      </w:r>
      <w:r w:rsidRPr="00EC20A0">
        <w:rPr>
          <w:spacing w:val="-3"/>
          <w:sz w:val="18"/>
        </w:rPr>
        <w:t xml:space="preserve"> </w:t>
      </w:r>
      <w:r w:rsidRPr="00EC20A0">
        <w:rPr>
          <w:sz w:val="18"/>
        </w:rPr>
        <w:t>Financial</w:t>
      </w:r>
      <w:r w:rsidRPr="00EC20A0">
        <w:rPr>
          <w:spacing w:val="-3"/>
          <w:sz w:val="18"/>
        </w:rPr>
        <w:t xml:space="preserve"> </w:t>
      </w:r>
      <w:r w:rsidRPr="00EC20A0">
        <w:rPr>
          <w:sz w:val="18"/>
        </w:rPr>
        <w:t>Accounting</w:t>
      </w:r>
      <w:r w:rsidRPr="00EC20A0">
        <w:rPr>
          <w:spacing w:val="-4"/>
          <w:sz w:val="18"/>
        </w:rPr>
        <w:t xml:space="preserve"> </w:t>
      </w:r>
      <w:r w:rsidRPr="00EC20A0">
        <w:rPr>
          <w:sz w:val="18"/>
        </w:rPr>
        <w:t>Standards</w:t>
      </w:r>
      <w:r w:rsidRPr="00EC20A0">
        <w:rPr>
          <w:spacing w:val="-3"/>
          <w:sz w:val="18"/>
        </w:rPr>
        <w:t xml:space="preserve"> </w:t>
      </w:r>
      <w:r w:rsidRPr="00EC20A0">
        <w:rPr>
          <w:sz w:val="18"/>
        </w:rPr>
        <w:t>(SFFAS</w:t>
      </w:r>
      <w:r w:rsidRPr="00EC20A0">
        <w:rPr>
          <w:spacing w:val="-3"/>
          <w:sz w:val="18"/>
        </w:rPr>
        <w:t xml:space="preserve"> </w:t>
      </w:r>
      <w:r w:rsidRPr="00EC20A0">
        <w:rPr>
          <w:sz w:val="18"/>
        </w:rPr>
        <w:t>4)</w:t>
      </w:r>
      <w:r w:rsidRPr="00EC20A0">
        <w:rPr>
          <w:i/>
          <w:sz w:val="18"/>
        </w:rPr>
        <w:t>,</w:t>
      </w:r>
      <w:r w:rsidRPr="00EC20A0">
        <w:rPr>
          <w:i/>
          <w:spacing w:val="-3"/>
          <w:sz w:val="18"/>
        </w:rPr>
        <w:t xml:space="preserve"> </w:t>
      </w:r>
      <w:r w:rsidRPr="00EC20A0">
        <w:rPr>
          <w:i/>
          <w:sz w:val="18"/>
        </w:rPr>
        <w:t>Managerial</w:t>
      </w:r>
      <w:r w:rsidRPr="00EC20A0">
        <w:rPr>
          <w:i/>
          <w:spacing w:val="-3"/>
          <w:sz w:val="18"/>
        </w:rPr>
        <w:t xml:space="preserve"> </w:t>
      </w:r>
      <w:r w:rsidRPr="00EC20A0">
        <w:rPr>
          <w:i/>
          <w:sz w:val="18"/>
        </w:rPr>
        <w:t>Cost</w:t>
      </w:r>
      <w:r w:rsidRPr="00EC20A0">
        <w:rPr>
          <w:i/>
          <w:spacing w:val="-3"/>
          <w:sz w:val="18"/>
        </w:rPr>
        <w:t xml:space="preserve"> </w:t>
      </w:r>
      <w:r w:rsidRPr="00EC20A0">
        <w:rPr>
          <w:i/>
          <w:sz w:val="18"/>
        </w:rPr>
        <w:t>Accounting</w:t>
      </w:r>
      <w:r w:rsidRPr="00EC20A0">
        <w:rPr>
          <w:i/>
          <w:spacing w:val="-4"/>
          <w:sz w:val="18"/>
        </w:rPr>
        <w:t xml:space="preserve"> </w:t>
      </w:r>
      <w:r w:rsidRPr="00EC20A0">
        <w:rPr>
          <w:i/>
          <w:sz w:val="18"/>
        </w:rPr>
        <w:t>Concepts</w:t>
      </w:r>
      <w:r w:rsidRPr="00EC20A0">
        <w:rPr>
          <w:i/>
          <w:spacing w:val="-3"/>
          <w:sz w:val="18"/>
        </w:rPr>
        <w:t xml:space="preserve"> </w:t>
      </w:r>
      <w:r w:rsidRPr="00EC20A0">
        <w:rPr>
          <w:i/>
          <w:sz w:val="18"/>
        </w:rPr>
        <w:t xml:space="preserve">and Standards, </w:t>
      </w:r>
      <w:r w:rsidRPr="00EC20A0">
        <w:rPr>
          <w:sz w:val="18"/>
        </w:rPr>
        <w:t xml:space="preserve">and SFFAS 55, </w:t>
      </w:r>
      <w:r w:rsidRPr="00EC20A0">
        <w:rPr>
          <w:i/>
          <w:sz w:val="18"/>
        </w:rPr>
        <w:t>Amending Inter-entity Cost Provisions</w:t>
      </w:r>
      <w:r w:rsidRPr="00EC20A0">
        <w:rPr>
          <w:sz w:val="18"/>
        </w:rPr>
        <w:t>.</w:t>
      </w:r>
    </w:p>
    <w:p w14:paraId="24D615FF" w14:textId="77777777" w:rsidR="00245300" w:rsidRPr="00EC20A0" w:rsidRDefault="00F17249">
      <w:pPr>
        <w:spacing w:before="118" w:line="242" w:lineRule="auto"/>
        <w:ind w:left="200" w:right="345"/>
        <w:rPr>
          <w:sz w:val="18"/>
        </w:rPr>
      </w:pPr>
      <w:bookmarkStart w:id="270" w:name="_bookmark152"/>
      <w:bookmarkEnd w:id="270"/>
      <w:r w:rsidRPr="00EC20A0">
        <w:rPr>
          <w:position w:val="7"/>
          <w:sz w:val="14"/>
        </w:rPr>
        <w:t>3</w:t>
      </w:r>
      <w:r w:rsidRPr="00EC20A0">
        <w:rPr>
          <w:sz w:val="18"/>
        </w:rPr>
        <w:t>The OMB reporting guidance in effect as of the publication date of this version of the FAM is OMB Circular No. A- 136,</w:t>
      </w:r>
      <w:r w:rsidRPr="00EC20A0">
        <w:rPr>
          <w:spacing w:val="-3"/>
          <w:sz w:val="18"/>
        </w:rPr>
        <w:t xml:space="preserve"> </w:t>
      </w:r>
      <w:r w:rsidRPr="00EC20A0">
        <w:rPr>
          <w:i/>
          <w:sz w:val="18"/>
        </w:rPr>
        <w:t>Financial</w:t>
      </w:r>
      <w:r w:rsidRPr="00EC20A0">
        <w:rPr>
          <w:i/>
          <w:spacing w:val="-2"/>
          <w:sz w:val="18"/>
        </w:rPr>
        <w:t xml:space="preserve"> </w:t>
      </w:r>
      <w:r w:rsidRPr="00EC20A0">
        <w:rPr>
          <w:i/>
          <w:sz w:val="18"/>
        </w:rPr>
        <w:t>Reporting</w:t>
      </w:r>
      <w:r w:rsidRPr="00EC20A0">
        <w:rPr>
          <w:i/>
          <w:spacing w:val="-4"/>
          <w:sz w:val="18"/>
        </w:rPr>
        <w:t xml:space="preserve"> </w:t>
      </w:r>
      <w:r w:rsidRPr="00EC20A0">
        <w:rPr>
          <w:i/>
          <w:sz w:val="18"/>
        </w:rPr>
        <w:t>Requirements,</w:t>
      </w:r>
      <w:r w:rsidRPr="00EC20A0">
        <w:rPr>
          <w:i/>
          <w:spacing w:val="-3"/>
          <w:sz w:val="18"/>
        </w:rPr>
        <w:t xml:space="preserve"> </w:t>
      </w:r>
      <w:r w:rsidRPr="00EC20A0">
        <w:rPr>
          <w:sz w:val="18"/>
        </w:rPr>
        <w:t>issued</w:t>
      </w:r>
      <w:r w:rsidRPr="00EC20A0">
        <w:rPr>
          <w:spacing w:val="-4"/>
          <w:sz w:val="18"/>
        </w:rPr>
        <w:t xml:space="preserve"> </w:t>
      </w:r>
      <w:r w:rsidRPr="00EC20A0">
        <w:rPr>
          <w:sz w:val="18"/>
        </w:rPr>
        <w:t>on</w:t>
      </w:r>
      <w:r w:rsidRPr="00EC20A0">
        <w:rPr>
          <w:spacing w:val="-4"/>
          <w:sz w:val="18"/>
        </w:rPr>
        <w:t xml:space="preserve"> </w:t>
      </w:r>
      <w:r w:rsidRPr="00EC20A0">
        <w:rPr>
          <w:sz w:val="18"/>
        </w:rPr>
        <w:t>May</w:t>
      </w:r>
      <w:r w:rsidRPr="00EC20A0">
        <w:rPr>
          <w:spacing w:val="-3"/>
          <w:sz w:val="18"/>
        </w:rPr>
        <w:t xml:space="preserve"> </w:t>
      </w:r>
      <w:r w:rsidRPr="00EC20A0">
        <w:rPr>
          <w:sz w:val="18"/>
        </w:rPr>
        <w:t>30,</w:t>
      </w:r>
      <w:r w:rsidRPr="00EC20A0">
        <w:rPr>
          <w:spacing w:val="-3"/>
          <w:sz w:val="18"/>
        </w:rPr>
        <w:t xml:space="preserve"> </w:t>
      </w:r>
      <w:r w:rsidRPr="00EC20A0">
        <w:rPr>
          <w:sz w:val="18"/>
        </w:rPr>
        <w:t>2024.</w:t>
      </w:r>
      <w:r w:rsidRPr="00EC20A0">
        <w:rPr>
          <w:spacing w:val="-3"/>
          <w:sz w:val="18"/>
        </w:rPr>
        <w:t xml:space="preserve"> </w:t>
      </w:r>
      <w:r w:rsidRPr="00EC20A0">
        <w:rPr>
          <w:sz w:val="18"/>
        </w:rPr>
        <w:t>OMB</w:t>
      </w:r>
      <w:r w:rsidRPr="00EC20A0">
        <w:rPr>
          <w:spacing w:val="-3"/>
          <w:sz w:val="18"/>
        </w:rPr>
        <w:t xml:space="preserve"> </w:t>
      </w:r>
      <w:r w:rsidRPr="00EC20A0">
        <w:rPr>
          <w:sz w:val="18"/>
        </w:rPr>
        <w:t>reporting</w:t>
      </w:r>
      <w:r w:rsidRPr="00EC20A0">
        <w:rPr>
          <w:spacing w:val="-4"/>
          <w:sz w:val="18"/>
        </w:rPr>
        <w:t xml:space="preserve"> </w:t>
      </w:r>
      <w:r w:rsidRPr="00EC20A0">
        <w:rPr>
          <w:sz w:val="18"/>
        </w:rPr>
        <w:t>guidance</w:t>
      </w:r>
      <w:r w:rsidRPr="00EC20A0">
        <w:rPr>
          <w:spacing w:val="-4"/>
          <w:sz w:val="18"/>
        </w:rPr>
        <w:t xml:space="preserve"> </w:t>
      </w:r>
      <w:r w:rsidRPr="00EC20A0">
        <w:rPr>
          <w:sz w:val="18"/>
        </w:rPr>
        <w:t>is</w:t>
      </w:r>
      <w:r w:rsidRPr="00EC20A0">
        <w:rPr>
          <w:spacing w:val="-3"/>
          <w:sz w:val="18"/>
        </w:rPr>
        <w:t xml:space="preserve"> </w:t>
      </w:r>
      <w:r w:rsidRPr="00EC20A0">
        <w:rPr>
          <w:sz w:val="18"/>
        </w:rPr>
        <w:t>updated</w:t>
      </w:r>
      <w:r w:rsidRPr="00EC20A0">
        <w:rPr>
          <w:spacing w:val="-4"/>
          <w:sz w:val="18"/>
        </w:rPr>
        <w:t xml:space="preserve"> </w:t>
      </w:r>
      <w:r w:rsidRPr="00EC20A0">
        <w:rPr>
          <w:sz w:val="18"/>
        </w:rPr>
        <w:t>annually,</w:t>
      </w:r>
      <w:r w:rsidRPr="00EC20A0">
        <w:rPr>
          <w:spacing w:val="-3"/>
          <w:sz w:val="18"/>
        </w:rPr>
        <w:t xml:space="preserve"> </w:t>
      </w:r>
      <w:r w:rsidRPr="00EC20A0">
        <w:rPr>
          <w:sz w:val="18"/>
        </w:rPr>
        <w:t xml:space="preserve">and the current version can be found on the OMB website at </w:t>
      </w:r>
      <w:hyperlink r:id="rId140">
        <w:r w:rsidRPr="00EC20A0">
          <w:rPr>
            <w:color w:val="0000FF"/>
            <w:sz w:val="18"/>
            <w:u w:val="single" w:color="0000FF"/>
          </w:rPr>
          <w:t>https://www.whitehouse.gov/omb/information-for-</w:t>
        </w:r>
      </w:hyperlink>
      <w:r w:rsidRPr="00EC20A0">
        <w:rPr>
          <w:color w:val="0000FF"/>
          <w:sz w:val="18"/>
        </w:rPr>
        <w:t xml:space="preserve"> </w:t>
      </w:r>
      <w:hyperlink r:id="rId141">
        <w:r w:rsidRPr="00EC20A0">
          <w:rPr>
            <w:color w:val="0000FF"/>
            <w:sz w:val="18"/>
            <w:u w:val="single" w:color="0000FF"/>
          </w:rPr>
          <w:t>agencies/circulars/</w:t>
        </w:r>
      </w:hyperlink>
      <w:r w:rsidRPr="00EC20A0">
        <w:rPr>
          <w:color w:val="0000FF"/>
          <w:sz w:val="18"/>
        </w:rPr>
        <w:t xml:space="preserve"> </w:t>
      </w:r>
      <w:r w:rsidRPr="00EC20A0">
        <w:rPr>
          <w:sz w:val="18"/>
        </w:rPr>
        <w:t>(accessed June 4, 2024).</w:t>
      </w:r>
    </w:p>
    <w:p w14:paraId="24D61600" w14:textId="77777777" w:rsidR="00245300" w:rsidRPr="00EC20A0" w:rsidRDefault="00245300">
      <w:pPr>
        <w:spacing w:line="242" w:lineRule="auto"/>
        <w:rPr>
          <w:sz w:val="18"/>
        </w:rPr>
        <w:sectPr w:rsidR="00245300" w:rsidRPr="00EC20A0">
          <w:headerReference w:type="default" r:id="rId142"/>
          <w:footerReference w:type="default" r:id="rId143"/>
          <w:pgSz w:w="12240" w:h="15840"/>
          <w:pgMar w:top="1340" w:right="1100" w:bottom="940" w:left="1240" w:header="721" w:footer="757" w:gutter="0"/>
          <w:cols w:space="720"/>
        </w:sectPr>
      </w:pPr>
    </w:p>
    <w:p w14:paraId="24D61601" w14:textId="77777777" w:rsidR="00245300" w:rsidRPr="00EC20A0" w:rsidRDefault="00F17249">
      <w:pPr>
        <w:pStyle w:val="ListParagraph"/>
        <w:numPr>
          <w:ilvl w:val="0"/>
          <w:numId w:val="7"/>
        </w:numPr>
        <w:tabs>
          <w:tab w:val="left" w:pos="1640"/>
        </w:tabs>
        <w:spacing w:before="121"/>
        <w:ind w:right="431"/>
      </w:pPr>
      <w:r w:rsidRPr="00EC20A0">
        <w:t>Inter-entity intragovernmental differences have specific terminology. These differences occur when federal trading partners do not record the same transaction in the same time period for the same amount. Differences, if unresolved, are errors in the U.S. government’s consolidated financial statements.</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entity</w:t>
      </w:r>
      <w:r w:rsidRPr="00EC20A0">
        <w:rPr>
          <w:spacing w:val="-5"/>
        </w:rPr>
        <w:t xml:space="preserve"> </w:t>
      </w:r>
      <w:r w:rsidRPr="00EC20A0">
        <w:t>level,</w:t>
      </w:r>
      <w:r w:rsidRPr="00EC20A0">
        <w:rPr>
          <w:spacing w:val="-4"/>
        </w:rPr>
        <w:t xml:space="preserve"> </w:t>
      </w:r>
      <w:r w:rsidRPr="00EC20A0">
        <w:t>intragovernmental</w:t>
      </w:r>
      <w:r w:rsidRPr="00EC20A0">
        <w:rPr>
          <w:spacing w:val="-4"/>
        </w:rPr>
        <w:t xml:space="preserve"> </w:t>
      </w:r>
      <w:r w:rsidRPr="00EC20A0">
        <w:t>amounts</w:t>
      </w:r>
      <w:r w:rsidRPr="00EC20A0">
        <w:rPr>
          <w:spacing w:val="-4"/>
        </w:rPr>
        <w:t xml:space="preserve"> </w:t>
      </w:r>
      <w:r w:rsidRPr="00EC20A0">
        <w:t>need</w:t>
      </w:r>
      <w:r w:rsidRPr="00EC20A0">
        <w:rPr>
          <w:spacing w:val="-4"/>
        </w:rPr>
        <w:t xml:space="preserve"> </w:t>
      </w:r>
      <w:r w:rsidRPr="00EC20A0">
        <w:t>to</w:t>
      </w:r>
      <w:r w:rsidRPr="00EC20A0">
        <w:rPr>
          <w:spacing w:val="-4"/>
        </w:rPr>
        <w:t xml:space="preserve"> </w:t>
      </w:r>
      <w:r w:rsidRPr="00EC20A0">
        <w:t>be</w:t>
      </w:r>
      <w:r w:rsidRPr="00EC20A0">
        <w:rPr>
          <w:spacing w:val="-4"/>
        </w:rPr>
        <w:t xml:space="preserve"> </w:t>
      </w:r>
      <w:r w:rsidRPr="00EC20A0">
        <w:rPr>
          <w:i/>
        </w:rPr>
        <w:t xml:space="preserve">reconciled </w:t>
      </w:r>
      <w:r w:rsidRPr="00EC20A0">
        <w:t xml:space="preserve">with trading partners, and then, any resulting differences need to be </w:t>
      </w:r>
      <w:r w:rsidRPr="00EC20A0">
        <w:rPr>
          <w:i/>
        </w:rPr>
        <w:t>resolved</w:t>
      </w:r>
      <w:r w:rsidRPr="00EC20A0">
        <w:t>.</w:t>
      </w:r>
    </w:p>
    <w:p w14:paraId="24D61602" w14:textId="77777777" w:rsidR="00245300" w:rsidRPr="00EC20A0" w:rsidRDefault="00F17249">
      <w:pPr>
        <w:pStyle w:val="BodyText"/>
        <w:ind w:left="1640"/>
      </w:pPr>
      <w:r w:rsidRPr="00EC20A0">
        <w:t>The</w:t>
      </w:r>
      <w:r w:rsidRPr="00EC20A0">
        <w:rPr>
          <w:spacing w:val="-7"/>
        </w:rPr>
        <w:t xml:space="preserve"> </w:t>
      </w:r>
      <w:r w:rsidRPr="00EC20A0">
        <w:t>terms</w:t>
      </w:r>
      <w:r w:rsidRPr="00EC20A0">
        <w:rPr>
          <w:spacing w:val="-7"/>
        </w:rPr>
        <w:t xml:space="preserve"> </w:t>
      </w:r>
      <w:r w:rsidRPr="00EC20A0">
        <w:t>used</w:t>
      </w:r>
      <w:r w:rsidRPr="00EC20A0">
        <w:rPr>
          <w:spacing w:val="-7"/>
        </w:rPr>
        <w:t xml:space="preserve"> </w:t>
      </w:r>
      <w:r w:rsidRPr="00EC20A0">
        <w:t>for</w:t>
      </w:r>
      <w:r w:rsidRPr="00EC20A0">
        <w:rPr>
          <w:spacing w:val="-7"/>
        </w:rPr>
        <w:t xml:space="preserve"> </w:t>
      </w:r>
      <w:r w:rsidRPr="00EC20A0">
        <w:t>intragovernmental</w:t>
      </w:r>
      <w:r w:rsidRPr="00EC20A0">
        <w:rPr>
          <w:spacing w:val="-7"/>
        </w:rPr>
        <w:t xml:space="preserve"> </w:t>
      </w:r>
      <w:r w:rsidRPr="00EC20A0">
        <w:t>differences</w:t>
      </w:r>
      <w:r w:rsidRPr="00EC20A0">
        <w:rPr>
          <w:spacing w:val="-6"/>
        </w:rPr>
        <w:t xml:space="preserve"> </w:t>
      </w:r>
      <w:r w:rsidRPr="00EC20A0">
        <w:t>are</w:t>
      </w:r>
      <w:r w:rsidRPr="00EC20A0">
        <w:rPr>
          <w:spacing w:val="-7"/>
        </w:rPr>
        <w:t xml:space="preserve"> </w:t>
      </w:r>
      <w:r w:rsidRPr="00EC20A0">
        <w:t>as</w:t>
      </w:r>
      <w:r w:rsidRPr="00EC20A0">
        <w:rPr>
          <w:spacing w:val="-7"/>
        </w:rPr>
        <w:t xml:space="preserve"> </w:t>
      </w:r>
      <w:r w:rsidRPr="00EC20A0">
        <w:rPr>
          <w:spacing w:val="-2"/>
        </w:rPr>
        <w:t>follows:</w:t>
      </w:r>
    </w:p>
    <w:p w14:paraId="24D61603" w14:textId="77777777" w:rsidR="00245300" w:rsidRPr="00EC20A0" w:rsidRDefault="00F17249">
      <w:pPr>
        <w:pStyle w:val="ListParagraph"/>
        <w:numPr>
          <w:ilvl w:val="1"/>
          <w:numId w:val="7"/>
        </w:numPr>
        <w:tabs>
          <w:tab w:val="left" w:pos="2000"/>
        </w:tabs>
      </w:pPr>
      <w:r w:rsidRPr="00EC20A0">
        <w:rPr>
          <w:spacing w:val="-2"/>
        </w:rPr>
        <w:t>Reconciliation</w:t>
      </w:r>
    </w:p>
    <w:p w14:paraId="24D61604" w14:textId="77777777" w:rsidR="00245300" w:rsidRPr="00EC20A0" w:rsidRDefault="00F17249">
      <w:pPr>
        <w:pStyle w:val="ListParagraph"/>
        <w:numPr>
          <w:ilvl w:val="2"/>
          <w:numId w:val="7"/>
        </w:numPr>
        <w:tabs>
          <w:tab w:val="left" w:pos="2360"/>
        </w:tabs>
        <w:spacing w:before="251" w:line="223" w:lineRule="auto"/>
        <w:ind w:right="1069"/>
      </w:pPr>
      <w:r w:rsidRPr="00EC20A0">
        <w:rPr>
          <w:b/>
        </w:rPr>
        <w:t>Reconciled</w:t>
      </w:r>
      <w:r w:rsidRPr="00EC20A0">
        <w:rPr>
          <w:b/>
          <w:spacing w:val="-5"/>
        </w:rPr>
        <w:t xml:space="preserve"> </w:t>
      </w:r>
      <w:r w:rsidRPr="00EC20A0">
        <w:rPr>
          <w:b/>
        </w:rPr>
        <w:t>difference</w:t>
      </w:r>
      <w:r w:rsidRPr="00EC20A0">
        <w:t>:</w:t>
      </w:r>
      <w:r w:rsidRPr="00EC20A0">
        <w:rPr>
          <w:spacing w:val="-5"/>
        </w:rPr>
        <w:t xml:space="preserve"> </w:t>
      </w:r>
      <w:r w:rsidRPr="00EC20A0">
        <w:t>the</w:t>
      </w:r>
      <w:r w:rsidRPr="00EC20A0">
        <w:rPr>
          <w:spacing w:val="-5"/>
        </w:rPr>
        <w:t xml:space="preserve"> </w:t>
      </w:r>
      <w:r w:rsidRPr="00EC20A0">
        <w:t>reason</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difference</w:t>
      </w:r>
      <w:r w:rsidRPr="00EC20A0">
        <w:rPr>
          <w:spacing w:val="-5"/>
        </w:rPr>
        <w:t xml:space="preserve"> </w:t>
      </w:r>
      <w:r w:rsidRPr="00EC20A0">
        <w:t>and</w:t>
      </w:r>
      <w:r w:rsidRPr="00EC20A0">
        <w:rPr>
          <w:spacing w:val="-5"/>
        </w:rPr>
        <w:t xml:space="preserve"> </w:t>
      </w:r>
      <w:r w:rsidRPr="00EC20A0">
        <w:t>its</w:t>
      </w:r>
      <w:r w:rsidRPr="00EC20A0">
        <w:rPr>
          <w:spacing w:val="-6"/>
        </w:rPr>
        <w:t xml:space="preserve"> </w:t>
      </w:r>
      <w:r w:rsidRPr="00EC20A0">
        <w:t>dollar amount is known and identified.</w:t>
      </w:r>
    </w:p>
    <w:p w14:paraId="24D61605" w14:textId="77777777" w:rsidR="00245300" w:rsidRPr="00EC20A0" w:rsidRDefault="00245300">
      <w:pPr>
        <w:pStyle w:val="BodyText"/>
        <w:spacing w:before="2"/>
      </w:pPr>
    </w:p>
    <w:p w14:paraId="24D61606" w14:textId="77777777" w:rsidR="00245300" w:rsidRPr="00EC20A0" w:rsidRDefault="00F17249">
      <w:pPr>
        <w:pStyle w:val="ListParagraph"/>
        <w:numPr>
          <w:ilvl w:val="2"/>
          <w:numId w:val="7"/>
        </w:numPr>
        <w:tabs>
          <w:tab w:val="left" w:pos="2360"/>
        </w:tabs>
        <w:spacing w:before="1" w:line="223" w:lineRule="auto"/>
        <w:ind w:right="850"/>
      </w:pPr>
      <w:r w:rsidRPr="00EC20A0">
        <w:rPr>
          <w:b/>
        </w:rPr>
        <w:t>Unreconciled</w:t>
      </w:r>
      <w:r w:rsidRPr="00EC20A0">
        <w:rPr>
          <w:b/>
          <w:spacing w:val="-5"/>
        </w:rPr>
        <w:t xml:space="preserve"> </w:t>
      </w:r>
      <w:r w:rsidRPr="00EC20A0">
        <w:rPr>
          <w:b/>
        </w:rPr>
        <w:t>difference</w:t>
      </w:r>
      <w:r w:rsidRPr="00EC20A0">
        <w:t>:</w:t>
      </w:r>
      <w:r w:rsidRPr="00EC20A0">
        <w:rPr>
          <w:spacing w:val="-5"/>
        </w:rPr>
        <w:t xml:space="preserve"> </w:t>
      </w:r>
      <w:r w:rsidRPr="00EC20A0">
        <w:t>the</w:t>
      </w:r>
      <w:r w:rsidRPr="00EC20A0">
        <w:rPr>
          <w:spacing w:val="-5"/>
        </w:rPr>
        <w:t xml:space="preserve"> </w:t>
      </w:r>
      <w:r w:rsidRPr="00EC20A0">
        <w:t>reason</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difference</w:t>
      </w:r>
      <w:r w:rsidRPr="00EC20A0">
        <w:rPr>
          <w:spacing w:val="-5"/>
        </w:rPr>
        <w:t xml:space="preserve"> </w:t>
      </w:r>
      <w:r w:rsidRPr="00EC20A0">
        <w:t>and</w:t>
      </w:r>
      <w:r w:rsidRPr="00EC20A0">
        <w:rPr>
          <w:spacing w:val="-6"/>
        </w:rPr>
        <w:t xml:space="preserve"> </w:t>
      </w:r>
      <w:r w:rsidRPr="00EC20A0">
        <w:t>its</w:t>
      </w:r>
      <w:r w:rsidRPr="00EC20A0">
        <w:rPr>
          <w:spacing w:val="-5"/>
        </w:rPr>
        <w:t xml:space="preserve"> </w:t>
      </w:r>
      <w:r w:rsidRPr="00EC20A0">
        <w:t>dollar amount is not known and identified.</w:t>
      </w:r>
    </w:p>
    <w:p w14:paraId="24D61607" w14:textId="77777777" w:rsidR="00245300" w:rsidRPr="00EC20A0" w:rsidRDefault="00F17249">
      <w:pPr>
        <w:pStyle w:val="ListParagraph"/>
        <w:numPr>
          <w:ilvl w:val="1"/>
          <w:numId w:val="7"/>
        </w:numPr>
        <w:tabs>
          <w:tab w:val="left" w:pos="1999"/>
        </w:tabs>
        <w:spacing w:before="242"/>
        <w:ind w:left="1999" w:hanging="359"/>
      </w:pPr>
      <w:r w:rsidRPr="00EC20A0">
        <w:rPr>
          <w:spacing w:val="-2"/>
        </w:rPr>
        <w:t>Resolution</w:t>
      </w:r>
    </w:p>
    <w:p w14:paraId="24D61608" w14:textId="77777777" w:rsidR="00245300" w:rsidRPr="00EC20A0" w:rsidRDefault="00F17249">
      <w:pPr>
        <w:pStyle w:val="ListParagraph"/>
        <w:numPr>
          <w:ilvl w:val="2"/>
          <w:numId w:val="7"/>
        </w:numPr>
        <w:tabs>
          <w:tab w:val="left" w:pos="2359"/>
        </w:tabs>
        <w:spacing w:before="252" w:line="223" w:lineRule="auto"/>
        <w:ind w:left="2359" w:right="386"/>
      </w:pPr>
      <w:r w:rsidRPr="00EC20A0">
        <w:rPr>
          <w:b/>
        </w:rPr>
        <w:t>Resolved</w:t>
      </w:r>
      <w:r w:rsidRPr="00EC20A0">
        <w:rPr>
          <w:b/>
          <w:spacing w:val="-5"/>
        </w:rPr>
        <w:t xml:space="preserve"> </w:t>
      </w:r>
      <w:r w:rsidRPr="00EC20A0">
        <w:rPr>
          <w:b/>
        </w:rPr>
        <w:t>difference</w:t>
      </w:r>
      <w:r w:rsidRPr="00EC20A0">
        <w:t>:</w:t>
      </w:r>
      <w:r w:rsidRPr="00EC20A0">
        <w:rPr>
          <w:spacing w:val="-5"/>
        </w:rPr>
        <w:t xml:space="preserve"> </w:t>
      </w:r>
      <w:r w:rsidRPr="00EC20A0">
        <w:t>the</w:t>
      </w:r>
      <w:r w:rsidRPr="00EC20A0">
        <w:rPr>
          <w:spacing w:val="-5"/>
        </w:rPr>
        <w:t xml:space="preserve"> </w:t>
      </w:r>
      <w:r w:rsidRPr="00EC20A0">
        <w:t>difference</w:t>
      </w:r>
      <w:r w:rsidRPr="00EC20A0">
        <w:rPr>
          <w:spacing w:val="-6"/>
        </w:rPr>
        <w:t xml:space="preserve"> </w:t>
      </w:r>
      <w:r w:rsidRPr="00EC20A0">
        <w:t>is</w:t>
      </w:r>
      <w:r w:rsidRPr="00EC20A0">
        <w:rPr>
          <w:spacing w:val="-5"/>
        </w:rPr>
        <w:t xml:space="preserve"> </w:t>
      </w:r>
      <w:r w:rsidRPr="00EC20A0">
        <w:t>reconciled</w:t>
      </w:r>
      <w:r w:rsidRPr="00EC20A0">
        <w:rPr>
          <w:spacing w:val="-6"/>
        </w:rPr>
        <w:t xml:space="preserve"> </w:t>
      </w:r>
      <w:r w:rsidRPr="00EC20A0">
        <w:t>and</w:t>
      </w:r>
      <w:r w:rsidRPr="00EC20A0">
        <w:rPr>
          <w:spacing w:val="-5"/>
        </w:rPr>
        <w:t xml:space="preserve"> </w:t>
      </w:r>
      <w:r w:rsidRPr="00EC20A0">
        <w:t>an</w:t>
      </w:r>
      <w:r w:rsidRPr="00EC20A0">
        <w:rPr>
          <w:spacing w:val="-5"/>
        </w:rPr>
        <w:t xml:space="preserve"> </w:t>
      </w:r>
      <w:r w:rsidRPr="00EC20A0">
        <w:t>adjustment</w:t>
      </w:r>
      <w:r w:rsidRPr="00EC20A0">
        <w:rPr>
          <w:spacing w:val="-5"/>
        </w:rPr>
        <w:t xml:space="preserve"> </w:t>
      </w:r>
      <w:r w:rsidRPr="00EC20A0">
        <w:t>was made to accounting records resulting in the difference no longer existing.</w:t>
      </w:r>
    </w:p>
    <w:p w14:paraId="24D61609" w14:textId="77777777" w:rsidR="00245300" w:rsidRPr="00EC20A0" w:rsidRDefault="00F17249">
      <w:pPr>
        <w:pStyle w:val="ListParagraph"/>
        <w:numPr>
          <w:ilvl w:val="2"/>
          <w:numId w:val="7"/>
        </w:numPr>
        <w:tabs>
          <w:tab w:val="left" w:pos="2359"/>
        </w:tabs>
        <w:spacing w:before="251" w:line="230" w:lineRule="auto"/>
        <w:ind w:left="2359" w:right="714"/>
      </w:pPr>
      <w:r w:rsidRPr="00EC20A0">
        <w:rPr>
          <w:b/>
        </w:rPr>
        <w:t>Unresolved difference</w:t>
      </w:r>
      <w:r w:rsidRPr="00EC20A0">
        <w:t>: a difference is reconciled; however, no adjustment</w:t>
      </w:r>
      <w:r w:rsidRPr="00EC20A0">
        <w:rPr>
          <w:spacing w:val="-4"/>
        </w:rPr>
        <w:t xml:space="preserve"> </w:t>
      </w:r>
      <w:r w:rsidRPr="00EC20A0">
        <w:t>was</w:t>
      </w:r>
      <w:r w:rsidRPr="00EC20A0">
        <w:rPr>
          <w:spacing w:val="-4"/>
        </w:rPr>
        <w:t xml:space="preserve"> </w:t>
      </w:r>
      <w:r w:rsidRPr="00EC20A0">
        <w:t>made</w:t>
      </w:r>
      <w:r w:rsidRPr="00EC20A0">
        <w:rPr>
          <w:spacing w:val="-4"/>
        </w:rPr>
        <w:t xml:space="preserve"> </w:t>
      </w:r>
      <w:r w:rsidRPr="00EC20A0">
        <w:t>to</w:t>
      </w:r>
      <w:r w:rsidRPr="00EC20A0">
        <w:rPr>
          <w:spacing w:val="-5"/>
        </w:rPr>
        <w:t xml:space="preserve"> </w:t>
      </w:r>
      <w:r w:rsidRPr="00EC20A0">
        <w:t>accounting</w:t>
      </w:r>
      <w:r w:rsidRPr="00EC20A0">
        <w:rPr>
          <w:spacing w:val="-4"/>
        </w:rPr>
        <w:t xml:space="preserve"> </w:t>
      </w:r>
      <w:r w:rsidRPr="00EC20A0">
        <w:t>records</w:t>
      </w:r>
      <w:r w:rsidRPr="00EC20A0">
        <w:rPr>
          <w:spacing w:val="-4"/>
        </w:rPr>
        <w:t xml:space="preserve"> </w:t>
      </w:r>
      <w:r w:rsidRPr="00EC20A0">
        <w:t>resulting</w:t>
      </w:r>
      <w:r w:rsidRPr="00EC20A0">
        <w:rPr>
          <w:spacing w:val="-4"/>
        </w:rPr>
        <w:t xml:space="preserve"> </w:t>
      </w:r>
      <w:r w:rsidRPr="00EC20A0">
        <w:t>in</w:t>
      </w:r>
      <w:r w:rsidRPr="00EC20A0">
        <w:rPr>
          <w:spacing w:val="-5"/>
        </w:rPr>
        <w:t xml:space="preserve"> </w:t>
      </w:r>
      <w:r w:rsidRPr="00EC20A0">
        <w:t>the</w:t>
      </w:r>
      <w:r w:rsidRPr="00EC20A0">
        <w:rPr>
          <w:spacing w:val="-4"/>
        </w:rPr>
        <w:t xml:space="preserve"> </w:t>
      </w:r>
      <w:r w:rsidRPr="00EC20A0">
        <w:t>difference continuing to exist.</w:t>
      </w:r>
    </w:p>
    <w:p w14:paraId="24D6160A" w14:textId="77777777" w:rsidR="00245300" w:rsidRPr="00EC20A0" w:rsidRDefault="00F17249">
      <w:pPr>
        <w:pStyle w:val="ListParagraph"/>
        <w:numPr>
          <w:ilvl w:val="0"/>
          <w:numId w:val="7"/>
        </w:numPr>
        <w:tabs>
          <w:tab w:val="left" w:pos="1639"/>
        </w:tabs>
        <w:spacing w:before="243"/>
        <w:ind w:left="1639" w:hanging="719"/>
      </w:pPr>
      <w:r w:rsidRPr="00EC20A0">
        <w:t>Common</w:t>
      </w:r>
      <w:r w:rsidRPr="00EC20A0">
        <w:rPr>
          <w:spacing w:val="-9"/>
        </w:rPr>
        <w:t xml:space="preserve"> </w:t>
      </w:r>
      <w:r w:rsidRPr="00EC20A0">
        <w:t>examples</w:t>
      </w:r>
      <w:r w:rsidRPr="00EC20A0">
        <w:rPr>
          <w:spacing w:val="-9"/>
        </w:rPr>
        <w:t xml:space="preserve"> </w:t>
      </w:r>
      <w:r w:rsidRPr="00EC20A0">
        <w:t>of</w:t>
      </w:r>
      <w:r w:rsidRPr="00EC20A0">
        <w:rPr>
          <w:spacing w:val="-8"/>
        </w:rPr>
        <w:t xml:space="preserve"> </w:t>
      </w:r>
      <w:r w:rsidRPr="00EC20A0">
        <w:t>intragovernmental</w:t>
      </w:r>
      <w:r w:rsidRPr="00EC20A0">
        <w:rPr>
          <w:spacing w:val="-9"/>
        </w:rPr>
        <w:t xml:space="preserve"> </w:t>
      </w:r>
      <w:r w:rsidRPr="00EC20A0">
        <w:t>activity</w:t>
      </w:r>
      <w:r w:rsidRPr="00EC20A0">
        <w:rPr>
          <w:spacing w:val="-10"/>
        </w:rPr>
        <w:t xml:space="preserve"> </w:t>
      </w:r>
      <w:r w:rsidRPr="00EC20A0">
        <w:t>include</w:t>
      </w:r>
      <w:r w:rsidRPr="00EC20A0">
        <w:rPr>
          <w:spacing w:val="-8"/>
        </w:rPr>
        <w:t xml:space="preserve"> </w:t>
      </w:r>
      <w:r w:rsidRPr="00EC20A0">
        <w:t>the</w:t>
      </w:r>
      <w:r w:rsidRPr="00EC20A0">
        <w:rPr>
          <w:spacing w:val="-9"/>
        </w:rPr>
        <w:t xml:space="preserve"> </w:t>
      </w:r>
      <w:r w:rsidRPr="00EC20A0">
        <w:rPr>
          <w:spacing w:val="-2"/>
        </w:rPr>
        <w:t>following:</w:t>
      </w:r>
    </w:p>
    <w:p w14:paraId="24D6160B" w14:textId="77777777" w:rsidR="00245300" w:rsidRPr="00EC20A0" w:rsidRDefault="00F17249">
      <w:pPr>
        <w:pStyle w:val="ListParagraph"/>
        <w:numPr>
          <w:ilvl w:val="0"/>
          <w:numId w:val="120"/>
        </w:numPr>
        <w:tabs>
          <w:tab w:val="left" w:pos="2000"/>
        </w:tabs>
        <w:ind w:right="1161"/>
      </w:pPr>
      <w:r w:rsidRPr="00EC20A0">
        <w:t>goods</w:t>
      </w:r>
      <w:r w:rsidRPr="00EC20A0">
        <w:rPr>
          <w:spacing w:val="-4"/>
        </w:rPr>
        <w:t xml:space="preserve"> </w:t>
      </w:r>
      <w:r w:rsidRPr="00EC20A0">
        <w:t>and</w:t>
      </w:r>
      <w:r w:rsidRPr="00EC20A0">
        <w:rPr>
          <w:spacing w:val="-4"/>
        </w:rPr>
        <w:t xml:space="preserve"> </w:t>
      </w:r>
      <w:r w:rsidRPr="00EC20A0">
        <w:t>services</w:t>
      </w:r>
      <w:r w:rsidRPr="00EC20A0">
        <w:rPr>
          <w:spacing w:val="-4"/>
        </w:rPr>
        <w:t xml:space="preserve"> </w:t>
      </w:r>
      <w:r w:rsidRPr="00EC20A0">
        <w:t>provided</w:t>
      </w:r>
      <w:r w:rsidRPr="00EC20A0">
        <w:rPr>
          <w:spacing w:val="-4"/>
        </w:rPr>
        <w:t xml:space="preserve"> </w:t>
      </w:r>
      <w:r w:rsidRPr="00EC20A0">
        <w:t>from</w:t>
      </w:r>
      <w:r w:rsidRPr="00EC20A0">
        <w:rPr>
          <w:spacing w:val="-5"/>
        </w:rPr>
        <w:t xml:space="preserve"> </w:t>
      </w:r>
      <w:r w:rsidRPr="00EC20A0">
        <w:t>one</w:t>
      </w:r>
      <w:r w:rsidRPr="00EC20A0">
        <w:rPr>
          <w:spacing w:val="-4"/>
        </w:rPr>
        <w:t xml:space="preserve"> </w:t>
      </w:r>
      <w:r w:rsidRPr="00EC20A0">
        <w:t>federal</w:t>
      </w:r>
      <w:r w:rsidRPr="00EC20A0">
        <w:rPr>
          <w:spacing w:val="-4"/>
        </w:rPr>
        <w:t xml:space="preserve"> </w:t>
      </w:r>
      <w:r w:rsidRPr="00EC20A0">
        <w:t>entity</w:t>
      </w:r>
      <w:r w:rsidRPr="00EC20A0">
        <w:rPr>
          <w:spacing w:val="-4"/>
        </w:rPr>
        <w:t xml:space="preserve"> </w:t>
      </w:r>
      <w:r w:rsidRPr="00EC20A0">
        <w:t>to</w:t>
      </w:r>
      <w:r w:rsidRPr="00EC20A0">
        <w:rPr>
          <w:spacing w:val="-4"/>
        </w:rPr>
        <w:t xml:space="preserve"> </w:t>
      </w:r>
      <w:r w:rsidRPr="00EC20A0">
        <w:t>another</w:t>
      </w:r>
      <w:r w:rsidRPr="00EC20A0">
        <w:rPr>
          <w:spacing w:val="-4"/>
        </w:rPr>
        <w:t xml:space="preserve"> </w:t>
      </w:r>
      <w:r w:rsidRPr="00EC20A0">
        <w:t xml:space="preserve">(trade </w:t>
      </w:r>
      <w:r w:rsidRPr="00EC20A0">
        <w:rPr>
          <w:spacing w:val="-2"/>
        </w:rPr>
        <w:t>transactions);</w:t>
      </w:r>
    </w:p>
    <w:p w14:paraId="24D6160C" w14:textId="77777777" w:rsidR="00245300" w:rsidRPr="00EC20A0" w:rsidRDefault="00F17249">
      <w:pPr>
        <w:pStyle w:val="ListParagraph"/>
        <w:numPr>
          <w:ilvl w:val="0"/>
          <w:numId w:val="120"/>
        </w:numPr>
        <w:tabs>
          <w:tab w:val="left" w:pos="1998"/>
          <w:tab w:val="left" w:pos="2000"/>
        </w:tabs>
        <w:ind w:right="695" w:hanging="361"/>
      </w:pPr>
      <w:r w:rsidRPr="00EC20A0">
        <w:t>transfers</w:t>
      </w:r>
      <w:r w:rsidRPr="00EC20A0">
        <w:rPr>
          <w:spacing w:val="-5"/>
        </w:rPr>
        <w:t xml:space="preserve"> </w:t>
      </w:r>
      <w:r w:rsidRPr="00EC20A0">
        <w:t>between</w:t>
      </w:r>
      <w:r w:rsidRPr="00EC20A0">
        <w:rPr>
          <w:spacing w:val="-5"/>
        </w:rPr>
        <w:t xml:space="preserve"> </w:t>
      </w:r>
      <w:r w:rsidRPr="00EC20A0">
        <w:t>entities</w:t>
      </w:r>
      <w:r w:rsidRPr="00EC20A0">
        <w:rPr>
          <w:spacing w:val="-5"/>
        </w:rPr>
        <w:t xml:space="preserve"> </w:t>
      </w:r>
      <w:r w:rsidRPr="00EC20A0">
        <w:t>based</w:t>
      </w:r>
      <w:r w:rsidRPr="00EC20A0">
        <w:rPr>
          <w:spacing w:val="-5"/>
        </w:rPr>
        <w:t xml:space="preserve"> </w:t>
      </w:r>
      <w:r w:rsidRPr="00EC20A0">
        <w:t>on</w:t>
      </w:r>
      <w:r w:rsidRPr="00EC20A0">
        <w:rPr>
          <w:spacing w:val="-6"/>
        </w:rPr>
        <w:t xml:space="preserve"> </w:t>
      </w:r>
      <w:r w:rsidRPr="00EC20A0">
        <w:t>statutory</w:t>
      </w:r>
      <w:r w:rsidRPr="00EC20A0">
        <w:rPr>
          <w:spacing w:val="-5"/>
        </w:rPr>
        <w:t xml:space="preserve"> </w:t>
      </w:r>
      <w:r w:rsidRPr="00EC20A0">
        <w:t>authority</w:t>
      </w:r>
      <w:r w:rsidRPr="00EC20A0">
        <w:rPr>
          <w:spacing w:val="-5"/>
        </w:rPr>
        <w:t xml:space="preserve"> </w:t>
      </w:r>
      <w:r w:rsidRPr="00EC20A0">
        <w:t>(including</w:t>
      </w:r>
      <w:r w:rsidRPr="00EC20A0">
        <w:rPr>
          <w:spacing w:val="-5"/>
        </w:rPr>
        <w:t xml:space="preserve"> </w:t>
      </w:r>
      <w:r w:rsidRPr="00EC20A0">
        <w:t>transfers pursuant to agreements authorized by statute), expended appropriations, taxes and fees collected, collections for others, accounts receivable from appropriations, transfers payable, and custodial revenue;</w:t>
      </w:r>
    </w:p>
    <w:p w14:paraId="24D6160D" w14:textId="77777777" w:rsidR="00245300" w:rsidRPr="00EC20A0" w:rsidRDefault="00F17249">
      <w:pPr>
        <w:pStyle w:val="ListParagraph"/>
        <w:numPr>
          <w:ilvl w:val="0"/>
          <w:numId w:val="120"/>
        </w:numPr>
        <w:tabs>
          <w:tab w:val="left" w:pos="2000"/>
        </w:tabs>
        <w:ind w:right="499"/>
      </w:pPr>
      <w:r w:rsidRPr="00EC20A0">
        <w:t>investments</w:t>
      </w:r>
      <w:r w:rsidRPr="00EC20A0">
        <w:rPr>
          <w:spacing w:val="-5"/>
        </w:rPr>
        <w:t xml:space="preserve"> </w:t>
      </w:r>
      <w:r w:rsidRPr="00EC20A0">
        <w:t>in</w:t>
      </w:r>
      <w:r w:rsidRPr="00EC20A0">
        <w:rPr>
          <w:spacing w:val="-4"/>
        </w:rPr>
        <w:t xml:space="preserve"> </w:t>
      </w:r>
      <w:r w:rsidRPr="00EC20A0">
        <w:t>federal</w:t>
      </w:r>
      <w:r w:rsidRPr="00EC20A0">
        <w:rPr>
          <w:spacing w:val="-4"/>
        </w:rPr>
        <w:t xml:space="preserve"> </w:t>
      </w:r>
      <w:r w:rsidRPr="00EC20A0">
        <w:t>securities</w:t>
      </w:r>
      <w:r w:rsidRPr="00EC20A0">
        <w:rPr>
          <w:spacing w:val="-5"/>
        </w:rPr>
        <w:t xml:space="preserve"> </w:t>
      </w:r>
      <w:r w:rsidRPr="00EC20A0">
        <w:t>issued</w:t>
      </w:r>
      <w:r w:rsidRPr="00EC20A0">
        <w:rPr>
          <w:spacing w:val="-4"/>
        </w:rPr>
        <w:t xml:space="preserve"> </w:t>
      </w:r>
      <w:r w:rsidRPr="00EC20A0">
        <w:t>by</w:t>
      </w:r>
      <w:r w:rsidRPr="00EC20A0">
        <w:rPr>
          <w:spacing w:val="-4"/>
        </w:rPr>
        <w:t xml:space="preserve"> </w:t>
      </w:r>
      <w:r w:rsidRPr="00EC20A0">
        <w:t>the</w:t>
      </w:r>
      <w:r w:rsidRPr="00EC20A0">
        <w:rPr>
          <w:spacing w:val="-5"/>
        </w:rPr>
        <w:t xml:space="preserve"> </w:t>
      </w:r>
      <w:r w:rsidRPr="00EC20A0">
        <w:t>Department</w:t>
      </w:r>
      <w:r w:rsidRPr="00EC20A0">
        <w:rPr>
          <w:spacing w:val="-3"/>
        </w:rPr>
        <w:t xml:space="preserve"> </w:t>
      </w:r>
      <w:r w:rsidRPr="00EC20A0">
        <w:t>of</w:t>
      </w:r>
      <w:r w:rsidRPr="00EC20A0">
        <w:rPr>
          <w:spacing w:val="-4"/>
        </w:rPr>
        <w:t xml:space="preserve"> </w:t>
      </w:r>
      <w:r w:rsidRPr="00EC20A0">
        <w:t>the</w:t>
      </w:r>
      <w:r w:rsidRPr="00EC20A0">
        <w:rPr>
          <w:spacing w:val="-4"/>
        </w:rPr>
        <w:t xml:space="preserve"> </w:t>
      </w:r>
      <w:r w:rsidRPr="00EC20A0">
        <w:t>Treasury’s Bureau of the Fiscal Service (Fiscal Service), including interest accruals, interest income and expense, and amortization of premiums and discounts;</w:t>
      </w:r>
    </w:p>
    <w:p w14:paraId="24D6160E" w14:textId="77777777" w:rsidR="00245300" w:rsidRPr="00EC20A0" w:rsidRDefault="00F17249">
      <w:pPr>
        <w:pStyle w:val="ListParagraph"/>
        <w:numPr>
          <w:ilvl w:val="0"/>
          <w:numId w:val="120"/>
        </w:numPr>
        <w:tabs>
          <w:tab w:val="left" w:pos="2000"/>
        </w:tabs>
        <w:ind w:right="721"/>
      </w:pPr>
      <w:r w:rsidRPr="00EC20A0">
        <w:t>borrowings</w:t>
      </w:r>
      <w:r w:rsidRPr="00EC20A0">
        <w:rPr>
          <w:spacing w:val="-5"/>
        </w:rPr>
        <w:t xml:space="preserve"> </w:t>
      </w:r>
      <w:r w:rsidRPr="00EC20A0">
        <w:t>from</w:t>
      </w:r>
      <w:r w:rsidRPr="00EC20A0">
        <w:rPr>
          <w:spacing w:val="-6"/>
        </w:rPr>
        <w:t xml:space="preserve"> </w:t>
      </w:r>
      <w:r w:rsidRPr="00EC20A0">
        <w:t>Fiscal</w:t>
      </w:r>
      <w:r w:rsidRPr="00EC20A0">
        <w:rPr>
          <w:spacing w:val="-5"/>
        </w:rPr>
        <w:t xml:space="preserve"> </w:t>
      </w:r>
      <w:r w:rsidRPr="00EC20A0">
        <w:t>Service</w:t>
      </w:r>
      <w:r w:rsidRPr="00EC20A0">
        <w:rPr>
          <w:spacing w:val="-5"/>
        </w:rPr>
        <w:t xml:space="preserve"> </w:t>
      </w:r>
      <w:r w:rsidRPr="00EC20A0">
        <w:t>and</w:t>
      </w:r>
      <w:r w:rsidRPr="00EC20A0">
        <w:rPr>
          <w:spacing w:val="-5"/>
        </w:rPr>
        <w:t xml:space="preserve"> </w:t>
      </w:r>
      <w:r w:rsidRPr="00EC20A0">
        <w:t>the</w:t>
      </w:r>
      <w:r w:rsidRPr="00EC20A0">
        <w:rPr>
          <w:spacing w:val="-5"/>
        </w:rPr>
        <w:t xml:space="preserve"> </w:t>
      </w:r>
      <w:r w:rsidRPr="00EC20A0">
        <w:t>Federal</w:t>
      </w:r>
      <w:r w:rsidRPr="00EC20A0">
        <w:rPr>
          <w:spacing w:val="-6"/>
        </w:rPr>
        <w:t xml:space="preserve"> </w:t>
      </w:r>
      <w:r w:rsidRPr="00EC20A0">
        <w:t>Financing</w:t>
      </w:r>
      <w:r w:rsidRPr="00EC20A0">
        <w:rPr>
          <w:spacing w:val="-5"/>
        </w:rPr>
        <w:t xml:space="preserve"> </w:t>
      </w:r>
      <w:r w:rsidRPr="00EC20A0">
        <w:t>Bank,</w:t>
      </w:r>
      <w:r w:rsidRPr="00EC20A0">
        <w:rPr>
          <w:spacing w:val="-5"/>
        </w:rPr>
        <w:t xml:space="preserve"> </w:t>
      </w:r>
      <w:r w:rsidRPr="00EC20A0">
        <w:t>including interest accruals, interest income, and expenses;</w:t>
      </w:r>
    </w:p>
    <w:p w14:paraId="24D6160F" w14:textId="77777777" w:rsidR="00245300" w:rsidRPr="00EC20A0" w:rsidRDefault="00F17249">
      <w:pPr>
        <w:pStyle w:val="ListParagraph"/>
        <w:numPr>
          <w:ilvl w:val="0"/>
          <w:numId w:val="120"/>
        </w:numPr>
        <w:tabs>
          <w:tab w:val="left" w:pos="1999"/>
        </w:tabs>
        <w:ind w:left="1999" w:hanging="359"/>
        <w:rPr>
          <w:sz w:val="14"/>
        </w:rPr>
      </w:pPr>
      <w:r w:rsidRPr="00EC20A0">
        <w:t>costs</w:t>
      </w:r>
      <w:r w:rsidRPr="00EC20A0">
        <w:rPr>
          <w:spacing w:val="-6"/>
        </w:rPr>
        <w:t xml:space="preserve"> </w:t>
      </w:r>
      <w:r w:rsidRPr="00EC20A0">
        <w:t>of</w:t>
      </w:r>
      <w:r w:rsidRPr="00EC20A0">
        <w:rPr>
          <w:spacing w:val="-7"/>
        </w:rPr>
        <w:t xml:space="preserve"> </w:t>
      </w:r>
      <w:r w:rsidRPr="00EC20A0">
        <w:t>litigation</w:t>
      </w:r>
      <w:r w:rsidRPr="00EC20A0">
        <w:rPr>
          <w:spacing w:val="-6"/>
        </w:rPr>
        <w:t xml:space="preserve"> </w:t>
      </w:r>
      <w:r w:rsidRPr="00EC20A0">
        <w:t>paid</w:t>
      </w:r>
      <w:r w:rsidRPr="00EC20A0">
        <w:rPr>
          <w:spacing w:val="-6"/>
        </w:rPr>
        <w:t xml:space="preserve"> </w:t>
      </w:r>
      <w:r w:rsidRPr="00EC20A0">
        <w:t>by</w:t>
      </w:r>
      <w:r w:rsidRPr="00EC20A0">
        <w:rPr>
          <w:spacing w:val="-6"/>
        </w:rPr>
        <w:t xml:space="preserve"> </w:t>
      </w:r>
      <w:r w:rsidRPr="00EC20A0">
        <w:t>the</w:t>
      </w:r>
      <w:r w:rsidRPr="00EC20A0">
        <w:rPr>
          <w:spacing w:val="-6"/>
        </w:rPr>
        <w:t xml:space="preserve"> </w:t>
      </w:r>
      <w:r w:rsidRPr="00EC20A0">
        <w:t>Treasury</w:t>
      </w:r>
      <w:r w:rsidRPr="00EC20A0">
        <w:rPr>
          <w:spacing w:val="-6"/>
        </w:rPr>
        <w:t xml:space="preserve"> </w:t>
      </w:r>
      <w:r w:rsidRPr="00EC20A0">
        <w:t>Judgment</w:t>
      </w:r>
      <w:r w:rsidRPr="00EC20A0">
        <w:rPr>
          <w:spacing w:val="-5"/>
        </w:rPr>
        <w:t xml:space="preserve"> </w:t>
      </w:r>
      <w:r w:rsidRPr="00EC20A0">
        <w:rPr>
          <w:spacing w:val="-2"/>
        </w:rPr>
        <w:t>Fund;</w:t>
      </w:r>
      <w:hyperlink w:anchor="_bookmark153" w:history="1">
        <w:r w:rsidRPr="00EC20A0">
          <w:rPr>
            <w:spacing w:val="-2"/>
            <w:position w:val="7"/>
            <w:sz w:val="14"/>
          </w:rPr>
          <w:t>4</w:t>
        </w:r>
      </w:hyperlink>
    </w:p>
    <w:p w14:paraId="24D61610" w14:textId="77777777" w:rsidR="00245300" w:rsidRPr="00EC20A0" w:rsidRDefault="00245300">
      <w:pPr>
        <w:pStyle w:val="BodyText"/>
        <w:rPr>
          <w:sz w:val="20"/>
        </w:rPr>
      </w:pPr>
    </w:p>
    <w:p w14:paraId="24D61611" w14:textId="77777777" w:rsidR="00245300" w:rsidRPr="00EC20A0" w:rsidRDefault="00F17249">
      <w:pPr>
        <w:pStyle w:val="BodyText"/>
        <w:spacing w:before="151"/>
        <w:rPr>
          <w:sz w:val="20"/>
        </w:rPr>
      </w:pPr>
      <w:r w:rsidRPr="00EC20A0">
        <w:rPr>
          <w:noProof/>
        </w:rPr>
        <mc:AlternateContent>
          <mc:Choice Requires="wps">
            <w:drawing>
              <wp:anchor distT="0" distB="0" distL="0" distR="0" simplePos="0" relativeHeight="487707136" behindDoc="1" locked="0" layoutInCell="1" allowOverlap="1" wp14:anchorId="24D62C87" wp14:editId="24D62C88">
                <wp:simplePos x="0" y="0"/>
                <wp:positionH relativeFrom="page">
                  <wp:posOffset>914400</wp:posOffset>
                </wp:positionH>
                <wp:positionV relativeFrom="paragraph">
                  <wp:posOffset>257464</wp:posOffset>
                </wp:positionV>
                <wp:extent cx="1828800" cy="5715"/>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49F60F" id="Graphic 778" o:spid="_x0000_s1026" style="position:absolute;margin-left:1in;margin-top:20.25pt;width:2in;height:.45pt;z-index:-1560934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" path="m1828800,l,,,5334r1828800,l1828800,xe" fillcolor="black" stroked="f">
                <v:path arrowok="t"/>
                <w10:wrap type="topAndBottom" anchorx="page"/>
              </v:shape>
            </w:pict>
          </mc:Fallback>
        </mc:AlternateContent>
      </w:r>
    </w:p>
    <w:p w14:paraId="24D61612" w14:textId="77777777" w:rsidR="00245300" w:rsidRPr="00EC20A0" w:rsidRDefault="00F17249">
      <w:pPr>
        <w:spacing w:before="200" w:line="242" w:lineRule="auto"/>
        <w:ind w:left="200" w:right="408" w:hanging="1"/>
        <w:rPr>
          <w:sz w:val="18"/>
        </w:rPr>
      </w:pPr>
      <w:bookmarkStart w:id="271" w:name="_bookmark153"/>
      <w:bookmarkEnd w:id="271"/>
      <w:r w:rsidRPr="00EC20A0">
        <w:rPr>
          <w:position w:val="7"/>
          <w:sz w:val="14"/>
        </w:rPr>
        <w:t>4</w:t>
      </w:r>
      <w:r w:rsidRPr="00EC20A0">
        <w:rPr>
          <w:sz w:val="18"/>
        </w:rPr>
        <w:t>A permanent, indefinite</w:t>
      </w:r>
      <w:r w:rsidRPr="00EC20A0">
        <w:rPr>
          <w:spacing w:val="-1"/>
          <w:sz w:val="18"/>
        </w:rPr>
        <w:t xml:space="preserve"> </w:t>
      </w:r>
      <w:r w:rsidRPr="00EC20A0">
        <w:rPr>
          <w:sz w:val="18"/>
        </w:rPr>
        <w:t>appropriation, commonly known as the</w:t>
      </w:r>
      <w:r w:rsidRPr="00EC20A0">
        <w:rPr>
          <w:spacing w:val="-1"/>
          <w:sz w:val="18"/>
        </w:rPr>
        <w:t xml:space="preserve"> </w:t>
      </w:r>
      <w:r w:rsidRPr="00EC20A0">
        <w:rPr>
          <w:sz w:val="18"/>
        </w:rPr>
        <w:t>Judgment Fund, is available</w:t>
      </w:r>
      <w:r w:rsidRPr="00EC20A0">
        <w:rPr>
          <w:spacing w:val="-1"/>
          <w:sz w:val="18"/>
        </w:rPr>
        <w:t xml:space="preserve"> </w:t>
      </w:r>
      <w:r w:rsidRPr="00EC20A0">
        <w:rPr>
          <w:sz w:val="18"/>
        </w:rPr>
        <w:t>to</w:t>
      </w:r>
      <w:r w:rsidRPr="00EC20A0">
        <w:rPr>
          <w:spacing w:val="-1"/>
          <w:sz w:val="18"/>
        </w:rPr>
        <w:t xml:space="preserve"> </w:t>
      </w:r>
      <w:r w:rsidRPr="00EC20A0">
        <w:rPr>
          <w:sz w:val="18"/>
        </w:rPr>
        <w:t>pay final judgments, settlement agreements, and certain</w:t>
      </w:r>
      <w:r w:rsidRPr="00EC20A0">
        <w:rPr>
          <w:spacing w:val="-1"/>
          <w:sz w:val="18"/>
        </w:rPr>
        <w:t xml:space="preserve"> </w:t>
      </w:r>
      <w:r w:rsidRPr="00EC20A0">
        <w:rPr>
          <w:sz w:val="18"/>
        </w:rPr>
        <w:t>types of administrative awards against the</w:t>
      </w:r>
      <w:r w:rsidRPr="00EC20A0">
        <w:rPr>
          <w:spacing w:val="-1"/>
          <w:sz w:val="18"/>
        </w:rPr>
        <w:t xml:space="preserve"> </w:t>
      </w:r>
      <w:r w:rsidRPr="00EC20A0">
        <w:rPr>
          <w:sz w:val="18"/>
        </w:rPr>
        <w:t>United</w:t>
      </w:r>
      <w:r w:rsidRPr="00EC20A0">
        <w:rPr>
          <w:spacing w:val="-1"/>
          <w:sz w:val="18"/>
        </w:rPr>
        <w:t xml:space="preserve"> </w:t>
      </w:r>
      <w:r w:rsidRPr="00EC20A0">
        <w:rPr>
          <w:sz w:val="18"/>
        </w:rPr>
        <w:t>States, and</w:t>
      </w:r>
      <w:r w:rsidRPr="00EC20A0">
        <w:rPr>
          <w:spacing w:val="-1"/>
          <w:sz w:val="18"/>
        </w:rPr>
        <w:t xml:space="preserve"> </w:t>
      </w:r>
      <w:r w:rsidRPr="00EC20A0">
        <w:rPr>
          <w:sz w:val="18"/>
        </w:rPr>
        <w:t>interest and</w:t>
      </w:r>
      <w:r w:rsidRPr="00EC20A0">
        <w:rPr>
          <w:spacing w:val="-1"/>
          <w:sz w:val="18"/>
        </w:rPr>
        <w:t xml:space="preserve"> </w:t>
      </w:r>
      <w:r w:rsidRPr="00EC20A0">
        <w:rPr>
          <w:sz w:val="18"/>
        </w:rPr>
        <w:t>costs specified in the judgments or otherwise authorized by law, when payment is not otherwise provided for. The Secretary of the Treasury certifies all payments from the fund. (See 31 U.S.C. § 1304, Judgments, awards, and compromise settlements.) FASAB Interpretation No. 2 clarifies how federal entities report the costs and liabilities arising</w:t>
      </w:r>
      <w:r w:rsidRPr="00EC20A0">
        <w:rPr>
          <w:spacing w:val="-3"/>
          <w:sz w:val="18"/>
        </w:rPr>
        <w:t xml:space="preserve"> </w:t>
      </w:r>
      <w:r w:rsidRPr="00EC20A0">
        <w:rPr>
          <w:sz w:val="18"/>
        </w:rPr>
        <w:t>fro</w:t>
      </w:r>
      <w:r w:rsidRPr="00EC20A0">
        <w:rPr>
          <w:sz w:val="18"/>
        </w:rPr>
        <w:t>m</w:t>
      </w:r>
      <w:r w:rsidRPr="00EC20A0">
        <w:rPr>
          <w:spacing w:val="-2"/>
          <w:sz w:val="18"/>
        </w:rPr>
        <w:t xml:space="preserve"> </w:t>
      </w:r>
      <w:r w:rsidRPr="00EC20A0">
        <w:rPr>
          <w:sz w:val="18"/>
        </w:rPr>
        <w:t>claims</w:t>
      </w:r>
      <w:r w:rsidRPr="00EC20A0">
        <w:rPr>
          <w:spacing w:val="-2"/>
          <w:sz w:val="18"/>
        </w:rPr>
        <w:t xml:space="preserve"> </w:t>
      </w:r>
      <w:r w:rsidRPr="00EC20A0">
        <w:rPr>
          <w:sz w:val="18"/>
        </w:rPr>
        <w:t>to</w:t>
      </w:r>
      <w:r w:rsidRPr="00EC20A0">
        <w:rPr>
          <w:spacing w:val="-3"/>
          <w:sz w:val="18"/>
        </w:rPr>
        <w:t xml:space="preserve"> </w:t>
      </w:r>
      <w:r w:rsidRPr="00EC20A0">
        <w:rPr>
          <w:sz w:val="18"/>
        </w:rPr>
        <w:t>be</w:t>
      </w:r>
      <w:r w:rsidRPr="00EC20A0">
        <w:rPr>
          <w:spacing w:val="-3"/>
          <w:sz w:val="18"/>
        </w:rPr>
        <w:t xml:space="preserve"> </w:t>
      </w:r>
      <w:r w:rsidRPr="00EC20A0">
        <w:rPr>
          <w:sz w:val="18"/>
        </w:rPr>
        <w:t>paid</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3"/>
          <w:sz w:val="18"/>
        </w:rPr>
        <w:t xml:space="preserve"> </w:t>
      </w:r>
      <w:r w:rsidRPr="00EC20A0">
        <w:rPr>
          <w:sz w:val="18"/>
        </w:rPr>
        <w:t>Judgment</w:t>
      </w:r>
      <w:r w:rsidRPr="00EC20A0">
        <w:rPr>
          <w:spacing w:val="-2"/>
          <w:sz w:val="18"/>
        </w:rPr>
        <w:t xml:space="preserve"> </w:t>
      </w:r>
      <w:r w:rsidRPr="00EC20A0">
        <w:rPr>
          <w:sz w:val="18"/>
        </w:rPr>
        <w:t>Fund</w:t>
      </w:r>
      <w:r w:rsidRPr="00EC20A0">
        <w:rPr>
          <w:spacing w:val="-3"/>
          <w:sz w:val="18"/>
        </w:rPr>
        <w:t xml:space="preserve"> </w:t>
      </w:r>
      <w:r w:rsidRPr="00EC20A0">
        <w:rPr>
          <w:sz w:val="18"/>
        </w:rPr>
        <w:t>and</w:t>
      </w:r>
      <w:r w:rsidRPr="00EC20A0">
        <w:rPr>
          <w:spacing w:val="-3"/>
          <w:sz w:val="18"/>
        </w:rPr>
        <w:t xml:space="preserve"> </w:t>
      </w:r>
      <w:r w:rsidRPr="00EC20A0">
        <w:rPr>
          <w:sz w:val="18"/>
        </w:rPr>
        <w:t>how</w:t>
      </w:r>
      <w:r w:rsidRPr="00EC20A0">
        <w:rPr>
          <w:spacing w:val="-2"/>
          <w:sz w:val="18"/>
        </w:rPr>
        <w:t xml:space="preserve"> </w:t>
      </w:r>
      <w:r w:rsidRPr="00EC20A0">
        <w:rPr>
          <w:sz w:val="18"/>
        </w:rPr>
        <w:t>the</w:t>
      </w:r>
      <w:r w:rsidRPr="00EC20A0">
        <w:rPr>
          <w:spacing w:val="-3"/>
          <w:sz w:val="18"/>
        </w:rPr>
        <w:t xml:space="preserve"> </w:t>
      </w:r>
      <w:r w:rsidRPr="00EC20A0">
        <w:rPr>
          <w:sz w:val="18"/>
        </w:rPr>
        <w:t>Judgment</w:t>
      </w:r>
      <w:r w:rsidRPr="00EC20A0">
        <w:rPr>
          <w:spacing w:val="-2"/>
          <w:sz w:val="18"/>
        </w:rPr>
        <w:t xml:space="preserve"> </w:t>
      </w:r>
      <w:r w:rsidRPr="00EC20A0">
        <w:rPr>
          <w:sz w:val="18"/>
        </w:rPr>
        <w:t>Fund</w:t>
      </w:r>
      <w:r w:rsidRPr="00EC20A0">
        <w:rPr>
          <w:spacing w:val="-3"/>
          <w:sz w:val="18"/>
        </w:rPr>
        <w:t xml:space="preserve"> </w:t>
      </w:r>
      <w:r w:rsidRPr="00EC20A0">
        <w:rPr>
          <w:sz w:val="18"/>
        </w:rPr>
        <w:t>accounts</w:t>
      </w:r>
      <w:r w:rsidRPr="00EC20A0">
        <w:rPr>
          <w:spacing w:val="-2"/>
          <w:sz w:val="18"/>
        </w:rPr>
        <w:t xml:space="preserve"> </w:t>
      </w:r>
      <w:r w:rsidRPr="00EC20A0">
        <w:rPr>
          <w:sz w:val="18"/>
        </w:rPr>
        <w:t>for</w:t>
      </w:r>
      <w:r w:rsidRPr="00EC20A0">
        <w:rPr>
          <w:spacing w:val="-2"/>
          <w:sz w:val="18"/>
        </w:rPr>
        <w:t xml:space="preserve"> </w:t>
      </w:r>
      <w:r w:rsidRPr="00EC20A0">
        <w:rPr>
          <w:sz w:val="18"/>
        </w:rPr>
        <w:t>the</w:t>
      </w:r>
      <w:r w:rsidRPr="00EC20A0">
        <w:rPr>
          <w:spacing w:val="-3"/>
          <w:sz w:val="18"/>
        </w:rPr>
        <w:t xml:space="preserve"> </w:t>
      </w:r>
      <w:r w:rsidRPr="00EC20A0">
        <w:rPr>
          <w:sz w:val="18"/>
        </w:rPr>
        <w:t>amounts</w:t>
      </w:r>
      <w:r w:rsidRPr="00EC20A0">
        <w:rPr>
          <w:spacing w:val="-2"/>
          <w:sz w:val="18"/>
        </w:rPr>
        <w:t xml:space="preserve"> </w:t>
      </w:r>
      <w:r w:rsidRPr="00EC20A0">
        <w:rPr>
          <w:sz w:val="18"/>
        </w:rPr>
        <w:t>that</w:t>
      </w:r>
      <w:r w:rsidRPr="00EC20A0">
        <w:rPr>
          <w:spacing w:val="-2"/>
          <w:sz w:val="18"/>
        </w:rPr>
        <w:t xml:space="preserve"> </w:t>
      </w:r>
      <w:r w:rsidRPr="00EC20A0">
        <w:rPr>
          <w:sz w:val="18"/>
        </w:rPr>
        <w:t>it</w:t>
      </w:r>
      <w:r w:rsidRPr="00EC20A0">
        <w:rPr>
          <w:spacing w:val="-2"/>
          <w:sz w:val="18"/>
        </w:rPr>
        <w:t xml:space="preserve"> </w:t>
      </w:r>
      <w:r w:rsidRPr="00EC20A0">
        <w:rPr>
          <w:sz w:val="18"/>
        </w:rPr>
        <w:t>is required to pay on behalf of federal entities.</w:t>
      </w:r>
    </w:p>
    <w:p w14:paraId="24D61613" w14:textId="77777777" w:rsidR="00245300" w:rsidRPr="00EC20A0" w:rsidRDefault="00245300">
      <w:pPr>
        <w:spacing w:line="242" w:lineRule="auto"/>
        <w:rPr>
          <w:sz w:val="18"/>
        </w:rPr>
        <w:sectPr w:rsidR="00245300" w:rsidRPr="00EC20A0">
          <w:headerReference w:type="default" r:id="rId144"/>
          <w:footerReference w:type="default" r:id="rId145"/>
          <w:pgSz w:w="12240" w:h="15840"/>
          <w:pgMar w:top="1340" w:right="1100" w:bottom="940" w:left="1240" w:header="721" w:footer="757" w:gutter="0"/>
          <w:pgNumType w:start="2"/>
          <w:cols w:space="720"/>
        </w:sectPr>
      </w:pPr>
    </w:p>
    <w:p w14:paraId="24D61614" w14:textId="77777777" w:rsidR="00245300" w:rsidRPr="00EC20A0" w:rsidRDefault="00F17249">
      <w:pPr>
        <w:pStyle w:val="ListParagraph"/>
        <w:numPr>
          <w:ilvl w:val="0"/>
          <w:numId w:val="120"/>
        </w:numPr>
        <w:tabs>
          <w:tab w:val="left" w:pos="1999"/>
        </w:tabs>
        <w:spacing w:before="121"/>
        <w:ind w:left="1999" w:right="843"/>
      </w:pPr>
      <w:r w:rsidRPr="00EC20A0">
        <w:t>transactions</w:t>
      </w:r>
      <w:r w:rsidRPr="00EC20A0">
        <w:rPr>
          <w:spacing w:val="-2"/>
        </w:rPr>
        <w:t xml:space="preserve"> </w:t>
      </w:r>
      <w:r w:rsidRPr="00EC20A0">
        <w:t>with</w:t>
      </w:r>
      <w:r w:rsidRPr="00EC20A0">
        <w:rPr>
          <w:spacing w:val="-1"/>
        </w:rPr>
        <w:t xml:space="preserve"> </w:t>
      </w:r>
      <w:r w:rsidRPr="00EC20A0">
        <w:t>the</w:t>
      </w:r>
      <w:r w:rsidRPr="00EC20A0">
        <w:rPr>
          <w:spacing w:val="-1"/>
        </w:rPr>
        <w:t xml:space="preserve"> </w:t>
      </w:r>
      <w:r w:rsidRPr="00EC20A0">
        <w:t>Office</w:t>
      </w:r>
      <w:r w:rsidRPr="00EC20A0">
        <w:rPr>
          <w:spacing w:val="-1"/>
        </w:rPr>
        <w:t xml:space="preserve"> </w:t>
      </w:r>
      <w:r w:rsidRPr="00EC20A0">
        <w:t>of</w:t>
      </w:r>
      <w:r w:rsidRPr="00EC20A0">
        <w:rPr>
          <w:spacing w:val="-1"/>
        </w:rPr>
        <w:t xml:space="preserve"> </w:t>
      </w:r>
      <w:r w:rsidRPr="00EC20A0">
        <w:t>Personnel</w:t>
      </w:r>
      <w:r w:rsidRPr="00EC20A0">
        <w:rPr>
          <w:spacing w:val="-1"/>
        </w:rPr>
        <w:t xml:space="preserve"> </w:t>
      </w:r>
      <w:r w:rsidRPr="00EC20A0">
        <w:t>Management (OPM)</w:t>
      </w:r>
      <w:r w:rsidRPr="00EC20A0">
        <w:rPr>
          <w:spacing w:val="-1"/>
        </w:rPr>
        <w:t xml:space="preserve"> </w:t>
      </w:r>
      <w:r w:rsidRPr="00EC20A0">
        <w:t>relating</w:t>
      </w:r>
      <w:r w:rsidRPr="00EC20A0">
        <w:rPr>
          <w:spacing w:val="-1"/>
        </w:rPr>
        <w:t xml:space="preserve"> </w:t>
      </w:r>
      <w:r w:rsidRPr="00EC20A0">
        <w:t>to employee</w:t>
      </w:r>
      <w:r w:rsidRPr="00EC20A0">
        <w:rPr>
          <w:spacing w:val="-5"/>
        </w:rPr>
        <w:t xml:space="preserve"> </w:t>
      </w:r>
      <w:r w:rsidRPr="00EC20A0">
        <w:t>benefit</w:t>
      </w:r>
      <w:r w:rsidRPr="00EC20A0">
        <w:rPr>
          <w:spacing w:val="-5"/>
        </w:rPr>
        <w:t xml:space="preserve"> </w:t>
      </w:r>
      <w:r w:rsidRPr="00EC20A0">
        <w:t>programs,</w:t>
      </w:r>
      <w:r w:rsidRPr="00EC20A0">
        <w:rPr>
          <w:spacing w:val="-5"/>
        </w:rPr>
        <w:t xml:space="preserve"> </w:t>
      </w:r>
      <w:r w:rsidRPr="00EC20A0">
        <w:t>such</w:t>
      </w:r>
      <w:r w:rsidRPr="00EC20A0">
        <w:rPr>
          <w:spacing w:val="-5"/>
        </w:rPr>
        <w:t xml:space="preserve"> </w:t>
      </w:r>
      <w:r w:rsidRPr="00EC20A0">
        <w:t>as</w:t>
      </w:r>
      <w:r w:rsidRPr="00EC20A0">
        <w:rPr>
          <w:spacing w:val="-5"/>
        </w:rPr>
        <w:t xml:space="preserve"> </w:t>
      </w:r>
      <w:r w:rsidRPr="00EC20A0">
        <w:t>the</w:t>
      </w:r>
      <w:r w:rsidRPr="00EC20A0">
        <w:rPr>
          <w:spacing w:val="-5"/>
        </w:rPr>
        <w:t xml:space="preserve"> </w:t>
      </w:r>
      <w:r w:rsidRPr="00EC20A0">
        <w:t>Federal</w:t>
      </w:r>
      <w:r w:rsidRPr="00EC20A0">
        <w:rPr>
          <w:spacing w:val="-5"/>
        </w:rPr>
        <w:t xml:space="preserve"> </w:t>
      </w:r>
      <w:r w:rsidRPr="00EC20A0">
        <w:t>Employees’</w:t>
      </w:r>
      <w:r w:rsidRPr="00EC20A0">
        <w:rPr>
          <w:spacing w:val="-5"/>
        </w:rPr>
        <w:t xml:space="preserve"> </w:t>
      </w:r>
      <w:r w:rsidRPr="00EC20A0">
        <w:t xml:space="preserve">Retirement System, Civil </w:t>
      </w:r>
      <w:r w:rsidRPr="00EC20A0">
        <w:t>Service Retirement System, and federal employees’ life insurance and health benefits programs, that include routine payments, imputed financing, and accruals; and</w:t>
      </w:r>
    </w:p>
    <w:p w14:paraId="24D61615" w14:textId="77777777" w:rsidR="00245300" w:rsidRPr="00EC20A0" w:rsidRDefault="00F17249">
      <w:pPr>
        <w:pStyle w:val="ListParagraph"/>
        <w:numPr>
          <w:ilvl w:val="0"/>
          <w:numId w:val="120"/>
        </w:numPr>
        <w:tabs>
          <w:tab w:val="left" w:pos="2000"/>
        </w:tabs>
        <w:spacing w:before="120"/>
        <w:ind w:right="414"/>
      </w:pPr>
      <w:r w:rsidRPr="00EC20A0">
        <w:t>transactions</w:t>
      </w:r>
      <w:r w:rsidRPr="00EC20A0">
        <w:rPr>
          <w:spacing w:val="-5"/>
        </w:rPr>
        <w:t xml:space="preserve"> </w:t>
      </w:r>
      <w:r w:rsidRPr="00EC20A0">
        <w:t>with</w:t>
      </w:r>
      <w:r w:rsidRPr="00EC20A0">
        <w:rPr>
          <w:spacing w:val="-4"/>
        </w:rPr>
        <w:t xml:space="preserve"> </w:t>
      </w:r>
      <w:r w:rsidRPr="00EC20A0">
        <w:t>the</w:t>
      </w:r>
      <w:r w:rsidRPr="00EC20A0">
        <w:rPr>
          <w:spacing w:val="-4"/>
        </w:rPr>
        <w:t xml:space="preserve"> </w:t>
      </w:r>
      <w:r w:rsidRPr="00EC20A0">
        <w:t>Department</w:t>
      </w:r>
      <w:r w:rsidRPr="00EC20A0">
        <w:rPr>
          <w:spacing w:val="-4"/>
        </w:rPr>
        <w:t xml:space="preserve"> </w:t>
      </w:r>
      <w:r w:rsidRPr="00EC20A0">
        <w:t>of</w:t>
      </w:r>
      <w:r w:rsidRPr="00EC20A0">
        <w:rPr>
          <w:spacing w:val="-4"/>
        </w:rPr>
        <w:t xml:space="preserve"> </w:t>
      </w:r>
      <w:r w:rsidRPr="00EC20A0">
        <w:t>Labor</w:t>
      </w:r>
      <w:r w:rsidRPr="00EC20A0">
        <w:rPr>
          <w:spacing w:val="-4"/>
        </w:rPr>
        <w:t xml:space="preserve"> </w:t>
      </w:r>
      <w:r w:rsidRPr="00EC20A0">
        <w:t>relating</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Federal</w:t>
      </w:r>
      <w:r w:rsidRPr="00EC20A0">
        <w:rPr>
          <w:spacing w:val="-4"/>
        </w:rPr>
        <w:t xml:space="preserve"> </w:t>
      </w:r>
      <w:r w:rsidRPr="00EC20A0">
        <w:t>Employees’ Compensation Act (FECA) that include routine payments to the department.</w:t>
      </w:r>
    </w:p>
    <w:p w14:paraId="24D61616" w14:textId="77777777" w:rsidR="00245300" w:rsidRPr="00EC20A0" w:rsidRDefault="00F17249">
      <w:pPr>
        <w:pStyle w:val="ListParagraph"/>
        <w:numPr>
          <w:ilvl w:val="0"/>
          <w:numId w:val="7"/>
        </w:numPr>
        <w:tabs>
          <w:tab w:val="left" w:pos="1640"/>
        </w:tabs>
        <w:spacing w:before="239"/>
        <w:ind w:right="371"/>
      </w:pPr>
      <w:r w:rsidRPr="00EC20A0">
        <w:t>Without proper and timely reconciliation of intragovernmental activity and balances and resolution of intragovernmental differences, differences in these account balances could</w:t>
      </w:r>
      <w:r w:rsidRPr="00EC20A0">
        <w:rPr>
          <w:spacing w:val="-1"/>
        </w:rPr>
        <w:t xml:space="preserve"> </w:t>
      </w:r>
      <w:r w:rsidRPr="00EC20A0">
        <w:t>materially affect the balances at both the entity level and government-wide level. Entities should perform timely reconciliations of intragovernmental transactions with trading partners, as annual or quarterly reconciliations may not be sufficient to detect and resolve differences promptly. When preparing its financial statements, the entity eliminates intra-entity intragovernmental</w:t>
      </w:r>
      <w:r w:rsidRPr="00EC20A0">
        <w:rPr>
          <w:spacing w:val="-6"/>
        </w:rPr>
        <w:t xml:space="preserve"> </w:t>
      </w:r>
      <w:r w:rsidRPr="00EC20A0">
        <w:t>amounts.</w:t>
      </w:r>
      <w:r w:rsidRPr="00EC20A0">
        <w:rPr>
          <w:spacing w:val="-6"/>
        </w:rPr>
        <w:t xml:space="preserve"> </w:t>
      </w:r>
      <w:r w:rsidRPr="00EC20A0">
        <w:t>When</w:t>
      </w:r>
      <w:r w:rsidRPr="00EC20A0">
        <w:rPr>
          <w:spacing w:val="-7"/>
        </w:rPr>
        <w:t xml:space="preserve"> </w:t>
      </w:r>
      <w:r w:rsidRPr="00EC20A0">
        <w:t>preparing</w:t>
      </w:r>
      <w:r w:rsidRPr="00EC20A0">
        <w:rPr>
          <w:spacing w:val="-6"/>
        </w:rPr>
        <w:t xml:space="preserve"> </w:t>
      </w:r>
      <w:r w:rsidRPr="00EC20A0">
        <w:t>the</w:t>
      </w:r>
      <w:r w:rsidRPr="00EC20A0">
        <w:rPr>
          <w:spacing w:val="-6"/>
        </w:rPr>
        <w:t xml:space="preserve"> </w:t>
      </w:r>
      <w:r w:rsidRPr="00EC20A0">
        <w:t>U.S.</w:t>
      </w:r>
      <w:r w:rsidRPr="00EC20A0">
        <w:rPr>
          <w:spacing w:val="-6"/>
        </w:rPr>
        <w:t xml:space="preserve"> </w:t>
      </w:r>
      <w:r w:rsidRPr="00EC20A0">
        <w:t>government’s</w:t>
      </w:r>
      <w:r w:rsidRPr="00EC20A0">
        <w:rPr>
          <w:spacing w:val="-6"/>
        </w:rPr>
        <w:t xml:space="preserve"> </w:t>
      </w:r>
      <w:r w:rsidRPr="00EC20A0">
        <w:t>consolidated financial statements, Treasury eliminates intra-entity and inter-e</w:t>
      </w:r>
      <w:r w:rsidRPr="00EC20A0">
        <w:t>ntity intragovernmental amounts. In cases where intragovernmental accounts are significantly out of balance, entities and Treasury may not be able to eliminate intragovernmental amounts from the entities’ and the U.S. government’s consolidated financial statements, respectively.</w:t>
      </w:r>
    </w:p>
    <w:p w14:paraId="24D61617" w14:textId="77777777" w:rsidR="00245300" w:rsidRPr="00EC20A0" w:rsidRDefault="00245300">
      <w:pPr>
        <w:pStyle w:val="BodyText"/>
        <w:spacing w:before="48"/>
      </w:pPr>
    </w:p>
    <w:p w14:paraId="24D61618" w14:textId="77777777" w:rsidR="00245300" w:rsidRPr="00EC20A0" w:rsidRDefault="00F17249">
      <w:pPr>
        <w:pStyle w:val="Heading4"/>
        <w:spacing w:before="0"/>
        <w:ind w:left="200"/>
      </w:pPr>
      <w:r w:rsidRPr="00EC20A0">
        <w:t>Accounting</w:t>
      </w:r>
      <w:r w:rsidRPr="00EC20A0">
        <w:rPr>
          <w:spacing w:val="-15"/>
        </w:rPr>
        <w:t xml:space="preserve"> </w:t>
      </w:r>
      <w:r w:rsidRPr="00EC20A0">
        <w:t>and</w:t>
      </w:r>
      <w:r w:rsidRPr="00EC20A0">
        <w:rPr>
          <w:spacing w:val="-14"/>
        </w:rPr>
        <w:t xml:space="preserve"> </w:t>
      </w:r>
      <w:r w:rsidRPr="00EC20A0">
        <w:t>Reporting</w:t>
      </w:r>
      <w:r w:rsidRPr="00EC20A0">
        <w:rPr>
          <w:spacing w:val="-13"/>
        </w:rPr>
        <w:t xml:space="preserve"> </w:t>
      </w:r>
      <w:r w:rsidRPr="00EC20A0">
        <w:rPr>
          <w:spacing w:val="-2"/>
        </w:rPr>
        <w:t>Information</w:t>
      </w:r>
    </w:p>
    <w:p w14:paraId="24D61619" w14:textId="77777777" w:rsidR="00245300" w:rsidRPr="00EC20A0" w:rsidRDefault="00F17249">
      <w:pPr>
        <w:pStyle w:val="Heading5"/>
        <w:spacing w:before="181"/>
        <w:rPr>
          <w:u w:val="none"/>
        </w:rPr>
      </w:pPr>
      <w:bookmarkStart w:id="272" w:name="FASAB_Standards"/>
      <w:bookmarkEnd w:id="272"/>
      <w:r w:rsidRPr="00EC20A0">
        <w:t>FASAB</w:t>
      </w:r>
      <w:r w:rsidRPr="00EC20A0">
        <w:rPr>
          <w:spacing w:val="-2"/>
        </w:rPr>
        <w:t xml:space="preserve"> Standards</w:t>
      </w:r>
    </w:p>
    <w:p w14:paraId="24D6161A" w14:textId="77777777" w:rsidR="00245300" w:rsidRPr="00EC20A0" w:rsidRDefault="00F17249">
      <w:pPr>
        <w:pStyle w:val="ListParagraph"/>
        <w:numPr>
          <w:ilvl w:val="0"/>
          <w:numId w:val="7"/>
        </w:numPr>
        <w:tabs>
          <w:tab w:val="left" w:pos="1640"/>
        </w:tabs>
        <w:spacing w:before="238"/>
        <w:ind w:right="701"/>
      </w:pPr>
      <w:r w:rsidRPr="00EC20A0">
        <w:t xml:space="preserve">The </w:t>
      </w:r>
      <w:r w:rsidRPr="00EC20A0">
        <w:rPr>
          <w:i/>
        </w:rPr>
        <w:t xml:space="preserve">FASAB Handbook of Federal Accounting Standards and Other Pronouncements, as Amended </w:t>
      </w:r>
      <w:r w:rsidRPr="00EC20A0">
        <w:t xml:space="preserve">(FASAB Handbook) contains the body of accounting concepts and standards for the U.S. government. Some of the </w:t>
      </w:r>
      <w:r w:rsidRPr="00EC20A0">
        <w:t>Statements of Federal Financial Accounting Standards (SFFAS) that address intragovernmental</w:t>
      </w:r>
      <w:r w:rsidRPr="00EC20A0">
        <w:rPr>
          <w:spacing w:val="-4"/>
        </w:rPr>
        <w:t xml:space="preserve"> </w:t>
      </w:r>
      <w:r w:rsidRPr="00EC20A0">
        <w:t>activity</w:t>
      </w:r>
      <w:r w:rsidRPr="00EC20A0">
        <w:rPr>
          <w:spacing w:val="-4"/>
        </w:rPr>
        <w:t xml:space="preserve"> </w:t>
      </w:r>
      <w:r w:rsidRPr="00EC20A0">
        <w:t>and</w:t>
      </w:r>
      <w:r w:rsidRPr="00EC20A0">
        <w:rPr>
          <w:spacing w:val="-4"/>
        </w:rPr>
        <w:t xml:space="preserve"> </w:t>
      </w:r>
      <w:r w:rsidRPr="00EC20A0">
        <w:t>balances</w:t>
      </w:r>
      <w:r w:rsidRPr="00EC20A0">
        <w:rPr>
          <w:spacing w:val="-3"/>
        </w:rPr>
        <w:t xml:space="preserve"> </w:t>
      </w:r>
      <w:r w:rsidRPr="00EC20A0">
        <w:t>include</w:t>
      </w:r>
      <w:r w:rsidRPr="00EC20A0">
        <w:rPr>
          <w:spacing w:val="-5"/>
        </w:rPr>
        <w:t xml:space="preserve"> </w:t>
      </w:r>
      <w:r w:rsidRPr="00EC20A0">
        <w:t>SFFAS</w:t>
      </w:r>
      <w:r w:rsidRPr="00EC20A0">
        <w:rPr>
          <w:spacing w:val="-4"/>
        </w:rPr>
        <w:t xml:space="preserve"> </w:t>
      </w:r>
      <w:r w:rsidRPr="00EC20A0">
        <w:t>4,</w:t>
      </w:r>
      <w:r w:rsidRPr="00EC20A0">
        <w:rPr>
          <w:spacing w:val="-4"/>
        </w:rPr>
        <w:t xml:space="preserve"> </w:t>
      </w:r>
      <w:r w:rsidRPr="00EC20A0">
        <w:t>5,</w:t>
      </w:r>
      <w:r w:rsidRPr="00EC20A0">
        <w:rPr>
          <w:spacing w:val="-4"/>
        </w:rPr>
        <w:t xml:space="preserve"> </w:t>
      </w:r>
      <w:r w:rsidRPr="00EC20A0">
        <w:t>and</w:t>
      </w:r>
      <w:r w:rsidRPr="00EC20A0">
        <w:rPr>
          <w:spacing w:val="-4"/>
        </w:rPr>
        <w:t xml:space="preserve"> </w:t>
      </w:r>
      <w:r w:rsidRPr="00EC20A0">
        <w:t>7,</w:t>
      </w:r>
      <w:r w:rsidRPr="00EC20A0">
        <w:rPr>
          <w:spacing w:val="-4"/>
        </w:rPr>
        <w:t xml:space="preserve"> </w:t>
      </w:r>
      <w:r w:rsidRPr="00EC20A0">
        <w:t>which</w:t>
      </w:r>
      <w:r w:rsidRPr="00EC20A0">
        <w:rPr>
          <w:spacing w:val="-4"/>
        </w:rPr>
        <w:t xml:space="preserve"> </w:t>
      </w:r>
      <w:r w:rsidRPr="00EC20A0">
        <w:t>are briefly discussed below. Auditors should refer to the FASAB Handbook for additional information related to intragovernmental activity and balances.</w:t>
      </w:r>
    </w:p>
    <w:p w14:paraId="24D6161B" w14:textId="77777777" w:rsidR="00245300" w:rsidRPr="00EC20A0" w:rsidRDefault="00F17249">
      <w:pPr>
        <w:pStyle w:val="ListParagraph"/>
        <w:numPr>
          <w:ilvl w:val="0"/>
          <w:numId w:val="7"/>
        </w:numPr>
        <w:tabs>
          <w:tab w:val="left" w:pos="1640"/>
        </w:tabs>
        <w:spacing w:before="241"/>
        <w:ind w:right="420"/>
      </w:pPr>
      <w:r w:rsidRPr="00EC20A0">
        <w:t xml:space="preserve">SFFAS 4, </w:t>
      </w:r>
      <w:r w:rsidRPr="00EC20A0">
        <w:rPr>
          <w:i/>
        </w:rPr>
        <w:t>Managerial Cost Accounting Standards and Concepts</w:t>
      </w:r>
      <w:r w:rsidRPr="00EC20A0">
        <w:t xml:space="preserve">, and related interpretations address the accounting standards for inter-entity cost activity. SFFAS 5, </w:t>
      </w:r>
      <w:r w:rsidRPr="00EC20A0">
        <w:rPr>
          <w:i/>
        </w:rPr>
        <w:t>Accounting for Liabilities of the Federal Government</w:t>
      </w:r>
      <w:r w:rsidRPr="00EC20A0">
        <w:t>, addresses inter- entity</w:t>
      </w:r>
      <w:r w:rsidRPr="00EC20A0">
        <w:rPr>
          <w:spacing w:val="-4"/>
        </w:rPr>
        <w:t xml:space="preserve"> </w:t>
      </w:r>
      <w:r w:rsidRPr="00EC20A0">
        <w:t>liabilities,</w:t>
      </w:r>
      <w:r w:rsidRPr="00EC20A0">
        <w:rPr>
          <w:spacing w:val="-5"/>
        </w:rPr>
        <w:t xml:space="preserve"> </w:t>
      </w:r>
      <w:r w:rsidRPr="00EC20A0">
        <w:t>including</w:t>
      </w:r>
      <w:r w:rsidRPr="00EC20A0">
        <w:rPr>
          <w:spacing w:val="-5"/>
        </w:rPr>
        <w:t xml:space="preserve"> </w:t>
      </w:r>
      <w:r w:rsidRPr="00EC20A0">
        <w:t>federal</w:t>
      </w:r>
      <w:r w:rsidRPr="00EC20A0">
        <w:rPr>
          <w:spacing w:val="-4"/>
        </w:rPr>
        <w:t xml:space="preserve"> </w:t>
      </w:r>
      <w:r w:rsidRPr="00EC20A0">
        <w:t>debt,</w:t>
      </w:r>
      <w:r w:rsidRPr="00EC20A0">
        <w:rPr>
          <w:spacing w:val="-5"/>
        </w:rPr>
        <w:t xml:space="preserve"> </w:t>
      </w:r>
      <w:r w:rsidRPr="00EC20A0">
        <w:t>pensions,</w:t>
      </w:r>
      <w:r w:rsidRPr="00EC20A0">
        <w:rPr>
          <w:spacing w:val="-5"/>
        </w:rPr>
        <w:t xml:space="preserve"> </w:t>
      </w:r>
      <w:r w:rsidRPr="00EC20A0">
        <w:t>and</w:t>
      </w:r>
      <w:r w:rsidRPr="00EC20A0">
        <w:rPr>
          <w:spacing w:val="-4"/>
        </w:rPr>
        <w:t xml:space="preserve"> </w:t>
      </w:r>
      <w:r w:rsidRPr="00EC20A0">
        <w:t>retirement</w:t>
      </w:r>
      <w:r w:rsidRPr="00EC20A0">
        <w:rPr>
          <w:spacing w:val="-5"/>
        </w:rPr>
        <w:t xml:space="preserve"> </w:t>
      </w:r>
      <w:r w:rsidRPr="00EC20A0">
        <w:t>benefits.</w:t>
      </w:r>
      <w:r w:rsidRPr="00EC20A0">
        <w:rPr>
          <w:spacing w:val="-5"/>
        </w:rPr>
        <w:t xml:space="preserve"> </w:t>
      </w:r>
      <w:r w:rsidRPr="00EC20A0">
        <w:t xml:space="preserve">SFFAS 7, </w:t>
      </w:r>
      <w:r w:rsidRPr="00EC20A0">
        <w:rPr>
          <w:i/>
        </w:rPr>
        <w:t>Accounting for Revenue and Other Financing Sources and Concepts for Reconciling Budgetary and Financial Accounting</w:t>
      </w:r>
      <w:r w:rsidRPr="00EC20A0">
        <w:t>, as amended, addresses inter- entity revenue and requires disclosure of the nature of</w:t>
      </w:r>
      <w:r w:rsidRPr="00EC20A0">
        <w:t xml:space="preserve"> intragovernmental exchange transactions in which an entity provides goods or services at a price less than full cost or does not charge a price at all.</w:t>
      </w:r>
    </w:p>
    <w:p w14:paraId="24D6161C" w14:textId="77777777" w:rsidR="00245300" w:rsidRPr="00EC20A0" w:rsidRDefault="00F17249">
      <w:pPr>
        <w:pStyle w:val="ListParagraph"/>
        <w:numPr>
          <w:ilvl w:val="0"/>
          <w:numId w:val="7"/>
        </w:numPr>
        <w:tabs>
          <w:tab w:val="left" w:pos="1638"/>
          <w:tab w:val="left" w:pos="1640"/>
        </w:tabs>
        <w:spacing w:before="239"/>
        <w:ind w:right="421"/>
        <w:jc w:val="both"/>
      </w:pPr>
      <w:r w:rsidRPr="00EC20A0">
        <w:t xml:space="preserve">In accordance with SFFAS 4, as amended by SFFAS 55, </w:t>
      </w:r>
      <w:r w:rsidRPr="00EC20A0">
        <w:rPr>
          <w:i/>
        </w:rPr>
        <w:t xml:space="preserve">Amending Inter-entity Cost Provisions, </w:t>
      </w:r>
      <w:r w:rsidRPr="00EC20A0">
        <w:t>reporting entities’ costs are to incorporate the full cost of goods and</w:t>
      </w:r>
      <w:r w:rsidRPr="00EC20A0">
        <w:rPr>
          <w:spacing w:val="-4"/>
        </w:rPr>
        <w:t xml:space="preserve"> </w:t>
      </w:r>
      <w:r w:rsidRPr="00EC20A0">
        <w:t>services</w:t>
      </w:r>
      <w:r w:rsidRPr="00EC20A0">
        <w:rPr>
          <w:spacing w:val="-4"/>
        </w:rPr>
        <w:t xml:space="preserve"> </w:t>
      </w:r>
      <w:r w:rsidRPr="00EC20A0">
        <w:t>received</w:t>
      </w:r>
      <w:r w:rsidRPr="00EC20A0">
        <w:rPr>
          <w:spacing w:val="-5"/>
        </w:rPr>
        <w:t xml:space="preserve"> </w:t>
      </w:r>
      <w:r w:rsidRPr="00EC20A0">
        <w:t>from</w:t>
      </w:r>
      <w:r w:rsidRPr="00EC20A0">
        <w:rPr>
          <w:spacing w:val="-5"/>
        </w:rPr>
        <w:t xml:space="preserve"> </w:t>
      </w:r>
      <w:r w:rsidRPr="00EC20A0">
        <w:t>other</w:t>
      </w:r>
      <w:r w:rsidRPr="00EC20A0">
        <w:rPr>
          <w:spacing w:val="-4"/>
        </w:rPr>
        <w:t xml:space="preserve"> </w:t>
      </w:r>
      <w:r w:rsidRPr="00EC20A0">
        <w:t>entities,</w:t>
      </w:r>
      <w:r w:rsidRPr="00EC20A0">
        <w:rPr>
          <w:spacing w:val="-4"/>
        </w:rPr>
        <w:t xml:space="preserve"> </w:t>
      </w:r>
      <w:r w:rsidRPr="00EC20A0">
        <w:t>although</w:t>
      </w:r>
      <w:r w:rsidRPr="00EC20A0">
        <w:rPr>
          <w:spacing w:val="-4"/>
        </w:rPr>
        <w:t xml:space="preserve"> </w:t>
      </w:r>
      <w:r w:rsidRPr="00EC20A0">
        <w:t>there</w:t>
      </w:r>
      <w:r w:rsidRPr="00EC20A0">
        <w:rPr>
          <w:spacing w:val="-4"/>
        </w:rPr>
        <w:t xml:space="preserve"> </w:t>
      </w:r>
      <w:r w:rsidRPr="00EC20A0">
        <w:t>is</w:t>
      </w:r>
      <w:r w:rsidRPr="00EC20A0">
        <w:rPr>
          <w:spacing w:val="-4"/>
        </w:rPr>
        <w:t xml:space="preserve"> </w:t>
      </w:r>
      <w:r w:rsidRPr="00EC20A0">
        <w:t>flexibility</w:t>
      </w:r>
      <w:r w:rsidRPr="00EC20A0">
        <w:rPr>
          <w:spacing w:val="-4"/>
        </w:rPr>
        <w:t xml:space="preserve"> </w:t>
      </w:r>
      <w:r w:rsidRPr="00EC20A0">
        <w:t>for</w:t>
      </w:r>
      <w:r w:rsidRPr="00EC20A0">
        <w:rPr>
          <w:spacing w:val="-4"/>
        </w:rPr>
        <w:t xml:space="preserve"> </w:t>
      </w:r>
      <w:r w:rsidRPr="00EC20A0">
        <w:t>reporting</w:t>
      </w:r>
    </w:p>
    <w:p w14:paraId="24D6161D" w14:textId="77777777" w:rsidR="00245300" w:rsidRPr="00EC20A0" w:rsidRDefault="00245300">
      <w:pPr>
        <w:jc w:val="both"/>
        <w:sectPr w:rsidR="00245300" w:rsidRPr="00EC20A0">
          <w:pgSz w:w="12240" w:h="15840"/>
          <w:pgMar w:top="1340" w:right="1100" w:bottom="940" w:left="1240" w:header="721" w:footer="757" w:gutter="0"/>
          <w:cols w:space="720"/>
        </w:sectPr>
      </w:pPr>
    </w:p>
    <w:p w14:paraId="24D6161E" w14:textId="77777777" w:rsidR="00245300" w:rsidRPr="00EC20A0" w:rsidRDefault="00F17249">
      <w:pPr>
        <w:pStyle w:val="BodyText"/>
        <w:spacing w:before="121"/>
        <w:ind w:left="1639" w:right="381"/>
        <w:rPr>
          <w:sz w:val="14"/>
        </w:rPr>
      </w:pPr>
      <w:r w:rsidRPr="00EC20A0">
        <w:t>imputed costs for non-business type activities.</w:t>
      </w:r>
      <w:hyperlink w:anchor="_bookmark154" w:history="1">
        <w:r w:rsidRPr="00EC20A0">
          <w:rPr>
            <w:position w:val="7"/>
            <w:sz w:val="14"/>
          </w:rPr>
          <w:t>5</w:t>
        </w:r>
      </w:hyperlink>
      <w:r w:rsidRPr="00EC20A0">
        <w:rPr>
          <w:spacing w:val="35"/>
          <w:position w:val="7"/>
          <w:sz w:val="14"/>
        </w:rPr>
        <w:t xml:space="preserve"> </w:t>
      </w:r>
      <w:r w:rsidRPr="00EC20A0">
        <w:t xml:space="preserve">With the exception of imputed inter-entity costs for personnel benefits and the Treasury Judgment Fund settlements or as </w:t>
      </w:r>
      <w:r w:rsidRPr="00EC20A0">
        <w:t>otherwise directed by OMB, imputed inter-entity costs for non- business type activities are not required to be recognized. Although not required to do so, an entity may still elect to recognize imputed cost and corresponding imputed financing for other types of inter-entity costs related to non-business type</w:t>
      </w:r>
      <w:r w:rsidRPr="00EC20A0">
        <w:rPr>
          <w:spacing w:val="-3"/>
        </w:rPr>
        <w:t xml:space="preserve"> </w:t>
      </w:r>
      <w:r w:rsidRPr="00EC20A0">
        <w:t>activities.</w:t>
      </w:r>
      <w:r w:rsidRPr="00EC20A0">
        <w:rPr>
          <w:spacing w:val="-3"/>
        </w:rPr>
        <w:t xml:space="preserve"> </w:t>
      </w:r>
      <w:r w:rsidRPr="00EC20A0">
        <w:t>The</w:t>
      </w:r>
      <w:r w:rsidRPr="00EC20A0">
        <w:rPr>
          <w:spacing w:val="-3"/>
        </w:rPr>
        <w:t xml:space="preserve"> </w:t>
      </w:r>
      <w:r w:rsidRPr="00EC20A0">
        <w:t>entity</w:t>
      </w:r>
      <w:r w:rsidRPr="00EC20A0">
        <w:rPr>
          <w:spacing w:val="-4"/>
        </w:rPr>
        <w:t xml:space="preserve"> </w:t>
      </w:r>
      <w:r w:rsidRPr="00EC20A0">
        <w:t>providing</w:t>
      </w:r>
      <w:r w:rsidRPr="00EC20A0">
        <w:rPr>
          <w:spacing w:val="-3"/>
        </w:rPr>
        <w:t xml:space="preserve"> </w:t>
      </w:r>
      <w:r w:rsidRPr="00EC20A0">
        <w:t>the</w:t>
      </w:r>
      <w:r w:rsidRPr="00EC20A0">
        <w:rPr>
          <w:spacing w:val="-3"/>
        </w:rPr>
        <w:t xml:space="preserve"> </w:t>
      </w:r>
      <w:r w:rsidRPr="00EC20A0">
        <w:t>goods</w:t>
      </w:r>
      <w:r w:rsidRPr="00EC20A0">
        <w:rPr>
          <w:spacing w:val="-3"/>
        </w:rPr>
        <w:t xml:space="preserve"> </w:t>
      </w:r>
      <w:r w:rsidRPr="00EC20A0">
        <w:t>or</w:t>
      </w:r>
      <w:r w:rsidRPr="00EC20A0">
        <w:rPr>
          <w:spacing w:val="-3"/>
        </w:rPr>
        <w:t xml:space="preserve"> </w:t>
      </w:r>
      <w:r w:rsidRPr="00EC20A0">
        <w:t>services</w:t>
      </w:r>
      <w:r w:rsidRPr="00EC20A0">
        <w:rPr>
          <w:spacing w:val="-3"/>
        </w:rPr>
        <w:t xml:space="preserve"> </w:t>
      </w:r>
      <w:r w:rsidRPr="00EC20A0">
        <w:t>has</w:t>
      </w:r>
      <w:r w:rsidRPr="00EC20A0">
        <w:rPr>
          <w:spacing w:val="-4"/>
        </w:rPr>
        <w:t xml:space="preserve"> </w:t>
      </w:r>
      <w:r w:rsidRPr="00EC20A0">
        <w:t>the</w:t>
      </w:r>
      <w:r w:rsidRPr="00EC20A0">
        <w:rPr>
          <w:spacing w:val="-3"/>
        </w:rPr>
        <w:t xml:space="preserve"> </w:t>
      </w:r>
      <w:r w:rsidRPr="00EC20A0">
        <w:t>responsibility</w:t>
      </w:r>
      <w:r w:rsidRPr="00EC20A0">
        <w:rPr>
          <w:spacing w:val="-3"/>
        </w:rPr>
        <w:t xml:space="preserve"> </w:t>
      </w:r>
      <w:r w:rsidRPr="00EC20A0">
        <w:t>to provide the receiving entity with information on the full cost of services either through billing or other means. The rep</w:t>
      </w:r>
      <w:r w:rsidRPr="00EC20A0">
        <w:t>orting entities are also to consult with the funding and administering agencies, such as OPM, for information needed to properly record inter-entity costs. See OMB reporting guidance for examples of inter-entity costs that should be recognized.</w:t>
      </w:r>
      <w:hyperlink w:anchor="_bookmark155" w:history="1">
        <w:r w:rsidRPr="00EC20A0">
          <w:rPr>
            <w:position w:val="7"/>
            <w:sz w:val="14"/>
          </w:rPr>
          <w:t>6</w:t>
        </w:r>
      </w:hyperlink>
    </w:p>
    <w:p w14:paraId="24D6161F" w14:textId="77777777" w:rsidR="00245300" w:rsidRPr="00EC20A0" w:rsidRDefault="00F17249">
      <w:pPr>
        <w:pStyle w:val="Heading5"/>
        <w:spacing w:before="121"/>
        <w:rPr>
          <w:u w:val="none"/>
        </w:rPr>
      </w:pPr>
      <w:bookmarkStart w:id="273" w:name="OMB_Reporting_Guidance"/>
      <w:bookmarkEnd w:id="273"/>
      <w:r w:rsidRPr="00EC20A0">
        <w:t>OMB</w:t>
      </w:r>
      <w:r w:rsidRPr="00EC20A0">
        <w:rPr>
          <w:spacing w:val="-3"/>
        </w:rPr>
        <w:t xml:space="preserve"> </w:t>
      </w:r>
      <w:r w:rsidRPr="00EC20A0">
        <w:t>Reporting</w:t>
      </w:r>
      <w:r w:rsidRPr="00EC20A0">
        <w:rPr>
          <w:spacing w:val="-3"/>
        </w:rPr>
        <w:t xml:space="preserve"> </w:t>
      </w:r>
      <w:r w:rsidRPr="00EC20A0">
        <w:rPr>
          <w:spacing w:val="-2"/>
        </w:rPr>
        <w:t>Guidance</w:t>
      </w:r>
    </w:p>
    <w:p w14:paraId="24D61620" w14:textId="77777777" w:rsidR="00245300" w:rsidRPr="00EC20A0" w:rsidRDefault="00F17249">
      <w:pPr>
        <w:pStyle w:val="ListParagraph"/>
        <w:numPr>
          <w:ilvl w:val="0"/>
          <w:numId w:val="7"/>
        </w:numPr>
        <w:tabs>
          <w:tab w:val="left" w:pos="1639"/>
        </w:tabs>
        <w:spacing w:before="239"/>
        <w:ind w:left="1639" w:hanging="719"/>
        <w:jc w:val="both"/>
      </w:pPr>
      <w:r w:rsidRPr="00EC20A0">
        <w:t>OMB</w:t>
      </w:r>
      <w:r w:rsidRPr="00EC20A0">
        <w:rPr>
          <w:spacing w:val="-7"/>
        </w:rPr>
        <w:t xml:space="preserve"> </w:t>
      </w:r>
      <w:r w:rsidRPr="00EC20A0">
        <w:t>reporting</w:t>
      </w:r>
      <w:r w:rsidRPr="00EC20A0">
        <w:rPr>
          <w:spacing w:val="-5"/>
        </w:rPr>
        <w:t xml:space="preserve"> </w:t>
      </w:r>
      <w:r w:rsidRPr="00EC20A0">
        <w:t>guidance</w:t>
      </w:r>
      <w:r w:rsidRPr="00EC20A0">
        <w:rPr>
          <w:spacing w:val="-6"/>
        </w:rPr>
        <w:t xml:space="preserve"> </w:t>
      </w:r>
      <w:r w:rsidRPr="00EC20A0">
        <w:t>states</w:t>
      </w:r>
      <w:r w:rsidRPr="00EC20A0">
        <w:rPr>
          <w:spacing w:val="-5"/>
        </w:rPr>
        <w:t xml:space="preserve"> </w:t>
      </w:r>
      <w:r w:rsidRPr="00EC20A0">
        <w:t>that</w:t>
      </w:r>
      <w:r w:rsidRPr="00EC20A0">
        <w:rPr>
          <w:spacing w:val="-6"/>
        </w:rPr>
        <w:t xml:space="preserve"> </w:t>
      </w:r>
      <w:r w:rsidRPr="00EC20A0">
        <w:t>federal</w:t>
      </w:r>
      <w:r w:rsidRPr="00EC20A0">
        <w:rPr>
          <w:spacing w:val="-5"/>
        </w:rPr>
        <w:t xml:space="preserve"> </w:t>
      </w:r>
      <w:r w:rsidRPr="00EC20A0">
        <w:t>entities</w:t>
      </w:r>
      <w:r w:rsidRPr="00EC20A0">
        <w:rPr>
          <w:spacing w:val="-6"/>
        </w:rPr>
        <w:t xml:space="preserve"> </w:t>
      </w:r>
      <w:r w:rsidRPr="00EC20A0">
        <w:t>are</w:t>
      </w:r>
      <w:r w:rsidRPr="00EC20A0">
        <w:rPr>
          <w:spacing w:val="-5"/>
        </w:rPr>
        <w:t xml:space="preserve"> </w:t>
      </w:r>
      <w:r w:rsidRPr="00EC20A0">
        <w:t>to</w:t>
      </w:r>
      <w:r w:rsidRPr="00EC20A0">
        <w:rPr>
          <w:spacing w:val="-6"/>
        </w:rPr>
        <w:t xml:space="preserve"> </w:t>
      </w:r>
      <w:r w:rsidRPr="00EC20A0">
        <w:t>do</w:t>
      </w:r>
      <w:r w:rsidRPr="00EC20A0">
        <w:rPr>
          <w:spacing w:val="-6"/>
        </w:rPr>
        <w:t xml:space="preserve"> </w:t>
      </w:r>
      <w:r w:rsidRPr="00EC20A0">
        <w:t>the</w:t>
      </w:r>
      <w:r w:rsidRPr="00EC20A0">
        <w:rPr>
          <w:spacing w:val="-6"/>
        </w:rPr>
        <w:t xml:space="preserve"> </w:t>
      </w:r>
      <w:r w:rsidRPr="00EC20A0">
        <w:rPr>
          <w:spacing w:val="-2"/>
        </w:rPr>
        <w:t>following:</w:t>
      </w:r>
    </w:p>
    <w:p w14:paraId="24D61621" w14:textId="77777777" w:rsidR="00245300" w:rsidRPr="00EC20A0" w:rsidRDefault="00F17249">
      <w:pPr>
        <w:pStyle w:val="ListParagraph"/>
        <w:numPr>
          <w:ilvl w:val="1"/>
          <w:numId w:val="7"/>
        </w:numPr>
        <w:tabs>
          <w:tab w:val="left" w:pos="1999"/>
        </w:tabs>
        <w:spacing w:before="120"/>
        <w:ind w:left="1999" w:right="438"/>
        <w:jc w:val="both"/>
      </w:pPr>
      <w:r w:rsidRPr="00EC20A0">
        <w:t>Reconcile</w:t>
      </w:r>
      <w:r w:rsidRPr="00EC20A0">
        <w:rPr>
          <w:spacing w:val="-6"/>
        </w:rPr>
        <w:t xml:space="preserve"> </w:t>
      </w:r>
      <w:r w:rsidRPr="00EC20A0">
        <w:t>intragovernmental</w:t>
      </w:r>
      <w:r w:rsidRPr="00EC20A0">
        <w:rPr>
          <w:spacing w:val="-6"/>
        </w:rPr>
        <w:t xml:space="preserve"> </w:t>
      </w:r>
      <w:r w:rsidRPr="00EC20A0">
        <w:t>balances</w:t>
      </w:r>
      <w:r w:rsidRPr="00EC20A0">
        <w:rPr>
          <w:spacing w:val="-6"/>
        </w:rPr>
        <w:t xml:space="preserve"> </w:t>
      </w:r>
      <w:r w:rsidRPr="00EC20A0">
        <w:t>and</w:t>
      </w:r>
      <w:r w:rsidRPr="00EC20A0">
        <w:rPr>
          <w:spacing w:val="-6"/>
        </w:rPr>
        <w:t xml:space="preserve"> </w:t>
      </w:r>
      <w:r w:rsidRPr="00EC20A0">
        <w:t>transactions</w:t>
      </w:r>
      <w:r w:rsidRPr="00EC20A0">
        <w:rPr>
          <w:spacing w:val="-6"/>
        </w:rPr>
        <w:t xml:space="preserve"> </w:t>
      </w:r>
      <w:r w:rsidRPr="00EC20A0">
        <w:t>with</w:t>
      </w:r>
      <w:r w:rsidRPr="00EC20A0">
        <w:rPr>
          <w:spacing w:val="-7"/>
        </w:rPr>
        <w:t xml:space="preserve"> </w:t>
      </w:r>
      <w:r w:rsidRPr="00EC20A0">
        <w:t>trading</w:t>
      </w:r>
      <w:r w:rsidRPr="00EC20A0">
        <w:rPr>
          <w:spacing w:val="-6"/>
        </w:rPr>
        <w:t xml:space="preserve"> </w:t>
      </w:r>
      <w:r w:rsidRPr="00EC20A0">
        <w:t>partners and</w:t>
      </w:r>
      <w:r w:rsidRPr="00EC20A0">
        <w:rPr>
          <w:spacing w:val="-4"/>
        </w:rPr>
        <w:t xml:space="preserve"> </w:t>
      </w:r>
      <w:r w:rsidRPr="00EC20A0">
        <w:t>resolve</w:t>
      </w:r>
      <w:r w:rsidRPr="00EC20A0">
        <w:rPr>
          <w:spacing w:val="-5"/>
        </w:rPr>
        <w:t xml:space="preserve"> </w:t>
      </w:r>
      <w:r w:rsidRPr="00EC20A0">
        <w:t>any</w:t>
      </w:r>
      <w:r w:rsidRPr="00EC20A0">
        <w:rPr>
          <w:spacing w:val="-4"/>
        </w:rPr>
        <w:t xml:space="preserve"> </w:t>
      </w:r>
      <w:r w:rsidRPr="00EC20A0">
        <w:t>identified</w:t>
      </w:r>
      <w:r w:rsidRPr="00EC20A0">
        <w:rPr>
          <w:spacing w:val="-4"/>
        </w:rPr>
        <w:t xml:space="preserve"> </w:t>
      </w:r>
      <w:r w:rsidRPr="00EC20A0">
        <w:t>differences,</w:t>
      </w:r>
      <w:r w:rsidRPr="00EC20A0">
        <w:rPr>
          <w:spacing w:val="-4"/>
        </w:rPr>
        <w:t xml:space="preserve"> </w:t>
      </w:r>
      <w:r w:rsidRPr="00EC20A0">
        <w:t>throughout</w:t>
      </w:r>
      <w:r w:rsidRPr="00EC20A0">
        <w:rPr>
          <w:spacing w:val="-4"/>
        </w:rPr>
        <w:t xml:space="preserve"> </w:t>
      </w:r>
      <w:r w:rsidRPr="00EC20A0">
        <w:t>the</w:t>
      </w:r>
      <w:r w:rsidRPr="00EC20A0">
        <w:rPr>
          <w:spacing w:val="-4"/>
        </w:rPr>
        <w:t xml:space="preserve"> </w:t>
      </w:r>
      <w:r w:rsidRPr="00EC20A0">
        <w:t>fiscal</w:t>
      </w:r>
      <w:r w:rsidRPr="00EC20A0">
        <w:rPr>
          <w:spacing w:val="-4"/>
        </w:rPr>
        <w:t xml:space="preserve"> </w:t>
      </w:r>
      <w:r w:rsidRPr="00EC20A0">
        <w:t>year</w:t>
      </w:r>
      <w:r w:rsidRPr="00EC20A0">
        <w:rPr>
          <w:spacing w:val="-4"/>
        </w:rPr>
        <w:t xml:space="preserve"> </w:t>
      </w:r>
      <w:r w:rsidRPr="00EC20A0">
        <w:t>and</w:t>
      </w:r>
      <w:r w:rsidRPr="00EC20A0">
        <w:rPr>
          <w:spacing w:val="-4"/>
        </w:rPr>
        <w:t xml:space="preserve"> </w:t>
      </w:r>
      <w:r w:rsidRPr="00EC20A0">
        <w:t>at</w:t>
      </w:r>
      <w:r w:rsidRPr="00EC20A0">
        <w:rPr>
          <w:spacing w:val="-4"/>
        </w:rPr>
        <w:t xml:space="preserve"> </w:t>
      </w:r>
      <w:r w:rsidRPr="00EC20A0">
        <w:t>year- end,</w:t>
      </w:r>
      <w:r w:rsidRPr="00EC20A0">
        <w:rPr>
          <w:spacing w:val="-1"/>
        </w:rPr>
        <w:t xml:space="preserve"> </w:t>
      </w:r>
      <w:r w:rsidRPr="00EC20A0">
        <w:t>with</w:t>
      </w:r>
      <w:r w:rsidRPr="00EC20A0">
        <w:rPr>
          <w:spacing w:val="-1"/>
        </w:rPr>
        <w:t xml:space="preserve"> </w:t>
      </w:r>
      <w:r w:rsidRPr="00EC20A0">
        <w:t>the</w:t>
      </w:r>
      <w:r w:rsidRPr="00EC20A0">
        <w:rPr>
          <w:spacing w:val="-1"/>
        </w:rPr>
        <w:t xml:space="preserve"> </w:t>
      </w:r>
      <w:r w:rsidRPr="00EC20A0">
        <w:t>goal</w:t>
      </w:r>
      <w:r w:rsidRPr="00EC20A0">
        <w:rPr>
          <w:spacing w:val="-1"/>
        </w:rPr>
        <w:t xml:space="preserve"> </w:t>
      </w:r>
      <w:r w:rsidRPr="00EC20A0">
        <w:t>of</w:t>
      </w:r>
      <w:r w:rsidRPr="00EC20A0">
        <w:rPr>
          <w:spacing w:val="-1"/>
        </w:rPr>
        <w:t xml:space="preserve"> </w:t>
      </w:r>
      <w:r w:rsidRPr="00EC20A0">
        <w:t>resolving</w:t>
      </w:r>
      <w:r w:rsidRPr="00EC20A0">
        <w:rPr>
          <w:spacing w:val="-1"/>
        </w:rPr>
        <w:t xml:space="preserve"> </w:t>
      </w:r>
      <w:r w:rsidRPr="00EC20A0">
        <w:t>all</w:t>
      </w:r>
      <w:r w:rsidRPr="00EC20A0">
        <w:rPr>
          <w:spacing w:val="-1"/>
        </w:rPr>
        <w:t xml:space="preserve"> </w:t>
      </w:r>
      <w:r w:rsidRPr="00EC20A0">
        <w:t>differences</w:t>
      </w:r>
      <w:r w:rsidRPr="00EC20A0">
        <w:rPr>
          <w:spacing w:val="-1"/>
        </w:rPr>
        <w:t xml:space="preserve"> </w:t>
      </w:r>
      <w:r w:rsidRPr="00EC20A0">
        <w:t>prior</w:t>
      </w:r>
      <w:r w:rsidRPr="00EC20A0">
        <w:rPr>
          <w:spacing w:val="-1"/>
        </w:rPr>
        <w:t xml:space="preserve"> </w:t>
      </w:r>
      <w:r w:rsidRPr="00EC20A0">
        <w:t>to</w:t>
      </w:r>
      <w:r w:rsidRPr="00EC20A0">
        <w:rPr>
          <w:spacing w:val="-1"/>
        </w:rPr>
        <w:t xml:space="preserve"> </w:t>
      </w:r>
      <w:r w:rsidRPr="00EC20A0">
        <w:t>final</w:t>
      </w:r>
      <w:r w:rsidRPr="00EC20A0">
        <w:rPr>
          <w:spacing w:val="-1"/>
        </w:rPr>
        <w:t xml:space="preserve"> </w:t>
      </w:r>
      <w:r w:rsidRPr="00EC20A0">
        <w:t>submission</w:t>
      </w:r>
      <w:r w:rsidRPr="00EC20A0">
        <w:rPr>
          <w:spacing w:val="-1"/>
        </w:rPr>
        <w:t xml:space="preserve"> </w:t>
      </w:r>
      <w:r w:rsidRPr="00EC20A0">
        <w:t>of</w:t>
      </w:r>
      <w:r w:rsidRPr="00EC20A0">
        <w:rPr>
          <w:spacing w:val="-1"/>
        </w:rPr>
        <w:t xml:space="preserve"> </w:t>
      </w:r>
      <w:r w:rsidRPr="00EC20A0">
        <w:t>data for the U.S. government’s consolidated financial statements.</w:t>
      </w:r>
    </w:p>
    <w:p w14:paraId="24D61622" w14:textId="77777777" w:rsidR="00245300" w:rsidRPr="00EC20A0" w:rsidRDefault="00F17249">
      <w:pPr>
        <w:pStyle w:val="ListParagraph"/>
        <w:numPr>
          <w:ilvl w:val="1"/>
          <w:numId w:val="7"/>
        </w:numPr>
        <w:tabs>
          <w:tab w:val="left" w:pos="1999"/>
        </w:tabs>
        <w:spacing w:before="118"/>
        <w:ind w:left="1999" w:right="471"/>
      </w:pPr>
      <w:r w:rsidRPr="00EC20A0">
        <w:t>Report intragovernmental assets separately from</w:t>
      </w:r>
      <w:r w:rsidRPr="00EC20A0">
        <w:rPr>
          <w:spacing w:val="-1"/>
        </w:rPr>
        <w:t xml:space="preserve"> </w:t>
      </w:r>
      <w:r w:rsidRPr="00EC20A0">
        <w:t>assets associated with the Federal</w:t>
      </w:r>
      <w:r w:rsidRPr="00EC20A0">
        <w:rPr>
          <w:spacing w:val="-4"/>
        </w:rPr>
        <w:t xml:space="preserve"> </w:t>
      </w:r>
      <w:r w:rsidRPr="00EC20A0">
        <w:t>Reserve,</w:t>
      </w:r>
      <w:r w:rsidRPr="00EC20A0">
        <w:rPr>
          <w:spacing w:val="-4"/>
        </w:rPr>
        <w:t xml:space="preserve"> </w:t>
      </w:r>
      <w:r w:rsidRPr="00EC20A0">
        <w:t>government-sponsored</w:t>
      </w:r>
      <w:r w:rsidRPr="00EC20A0">
        <w:rPr>
          <w:spacing w:val="-4"/>
        </w:rPr>
        <w:t xml:space="preserve"> </w:t>
      </w:r>
      <w:r w:rsidRPr="00EC20A0">
        <w:t>enterprises,</w:t>
      </w:r>
      <w:hyperlink w:anchor="_bookmark156" w:history="1">
        <w:r w:rsidRPr="00EC20A0">
          <w:rPr>
            <w:position w:val="7"/>
            <w:sz w:val="14"/>
          </w:rPr>
          <w:t>7</w:t>
        </w:r>
      </w:hyperlink>
      <w:r w:rsidRPr="00EC20A0">
        <w:rPr>
          <w:spacing w:val="17"/>
          <w:position w:val="7"/>
          <w:sz w:val="14"/>
        </w:rPr>
        <w:t xml:space="preserve"> </w:t>
      </w:r>
      <w:r w:rsidRPr="00EC20A0">
        <w:t>and</w:t>
      </w:r>
      <w:r w:rsidRPr="00EC20A0">
        <w:rPr>
          <w:spacing w:val="-4"/>
        </w:rPr>
        <w:t xml:space="preserve"> </w:t>
      </w:r>
      <w:r w:rsidRPr="00EC20A0">
        <w:t>other</w:t>
      </w:r>
      <w:r w:rsidRPr="00EC20A0">
        <w:rPr>
          <w:spacing w:val="-4"/>
        </w:rPr>
        <w:t xml:space="preserve"> </w:t>
      </w:r>
      <w:r w:rsidRPr="00EC20A0">
        <w:t>entities</w:t>
      </w:r>
      <w:r w:rsidRPr="00EC20A0">
        <w:rPr>
          <w:spacing w:val="-5"/>
        </w:rPr>
        <w:t xml:space="preserve"> </w:t>
      </w:r>
      <w:r w:rsidRPr="00EC20A0">
        <w:t>not considered to be consolidation entities</w:t>
      </w:r>
      <w:hyperlink w:anchor="_bookmark157" w:history="1">
        <w:r w:rsidRPr="00EC20A0">
          <w:rPr>
            <w:position w:val="7"/>
            <w:sz w:val="14"/>
          </w:rPr>
          <w:t>8</w:t>
        </w:r>
      </w:hyperlink>
      <w:r w:rsidRPr="00EC20A0">
        <w:rPr>
          <w:spacing w:val="36"/>
          <w:position w:val="7"/>
          <w:sz w:val="14"/>
        </w:rPr>
        <w:t xml:space="preserve"> </w:t>
      </w:r>
      <w:r w:rsidRPr="00EC20A0">
        <w:t>(which would include organizations and individuals considered to be part of the general public).</w:t>
      </w:r>
    </w:p>
    <w:p w14:paraId="24D61623" w14:textId="77777777" w:rsidR="00245300" w:rsidRPr="00EC20A0" w:rsidRDefault="00F17249">
      <w:pPr>
        <w:pStyle w:val="ListParagraph"/>
        <w:numPr>
          <w:ilvl w:val="1"/>
          <w:numId w:val="7"/>
        </w:numPr>
        <w:tabs>
          <w:tab w:val="left" w:pos="1999"/>
        </w:tabs>
        <w:spacing w:before="118"/>
        <w:ind w:left="1999" w:right="537"/>
      </w:pPr>
      <w:r w:rsidRPr="00EC20A0">
        <w:t>Report</w:t>
      </w:r>
      <w:r w:rsidRPr="00EC20A0">
        <w:rPr>
          <w:spacing w:val="-5"/>
        </w:rPr>
        <w:t xml:space="preserve"> </w:t>
      </w:r>
      <w:r w:rsidRPr="00EC20A0">
        <w:t>intragovernmental</w:t>
      </w:r>
      <w:r w:rsidRPr="00EC20A0">
        <w:rPr>
          <w:spacing w:val="-5"/>
        </w:rPr>
        <w:t xml:space="preserve"> </w:t>
      </w:r>
      <w:r w:rsidRPr="00EC20A0">
        <w:t>liabilities</w:t>
      </w:r>
      <w:r w:rsidRPr="00EC20A0">
        <w:rPr>
          <w:spacing w:val="-6"/>
        </w:rPr>
        <w:t xml:space="preserve"> </w:t>
      </w:r>
      <w:r w:rsidRPr="00EC20A0">
        <w:t>separately</w:t>
      </w:r>
      <w:r w:rsidRPr="00EC20A0">
        <w:rPr>
          <w:spacing w:val="-5"/>
        </w:rPr>
        <w:t xml:space="preserve"> </w:t>
      </w:r>
      <w:r w:rsidRPr="00EC20A0">
        <w:t>from</w:t>
      </w:r>
      <w:r w:rsidRPr="00EC20A0">
        <w:rPr>
          <w:spacing w:val="-6"/>
        </w:rPr>
        <w:t xml:space="preserve"> </w:t>
      </w:r>
      <w:r w:rsidRPr="00EC20A0">
        <w:t>claims</w:t>
      </w:r>
      <w:r w:rsidRPr="00EC20A0">
        <w:rPr>
          <w:spacing w:val="-5"/>
        </w:rPr>
        <w:t xml:space="preserve"> </w:t>
      </w:r>
      <w:r w:rsidRPr="00EC20A0">
        <w:t>against</w:t>
      </w:r>
      <w:r w:rsidRPr="00EC20A0">
        <w:rPr>
          <w:spacing w:val="-5"/>
        </w:rPr>
        <w:t xml:space="preserve"> </w:t>
      </w:r>
      <w:r w:rsidRPr="00EC20A0">
        <w:t>the</w:t>
      </w:r>
      <w:r w:rsidRPr="00EC20A0">
        <w:rPr>
          <w:spacing w:val="-5"/>
        </w:rPr>
        <w:t xml:space="preserve"> </w:t>
      </w:r>
      <w:r w:rsidRPr="00EC20A0">
        <w:t>entity by the Federal Reserve, government-sponsored enterprises, and other entities not considered to be consolidation entities (which would include organizations and individuals considered to be part of the general public).</w:t>
      </w:r>
    </w:p>
    <w:p w14:paraId="24D61624" w14:textId="77777777" w:rsidR="00245300" w:rsidRPr="00EC20A0" w:rsidRDefault="00F17249">
      <w:pPr>
        <w:pStyle w:val="ListParagraph"/>
        <w:numPr>
          <w:ilvl w:val="1"/>
          <w:numId w:val="7"/>
        </w:numPr>
        <w:tabs>
          <w:tab w:val="left" w:pos="1999"/>
        </w:tabs>
        <w:spacing w:before="118"/>
        <w:ind w:left="1999" w:right="462"/>
      </w:pPr>
      <w:r w:rsidRPr="00EC20A0">
        <w:t>Disclose intragovernmental amounts separately from other amounts for the following: (1) nonentity assets (held by but not available to the entity), (2) other</w:t>
      </w:r>
      <w:r w:rsidRPr="00EC20A0">
        <w:rPr>
          <w:spacing w:val="-4"/>
        </w:rPr>
        <w:t xml:space="preserve"> </w:t>
      </w:r>
      <w:r w:rsidRPr="00EC20A0">
        <w:t>assets,</w:t>
      </w:r>
      <w:r w:rsidRPr="00EC20A0">
        <w:rPr>
          <w:spacing w:val="-4"/>
        </w:rPr>
        <w:t xml:space="preserve"> </w:t>
      </w:r>
      <w:r w:rsidRPr="00EC20A0">
        <w:t>(3)</w:t>
      </w:r>
      <w:r w:rsidRPr="00EC20A0">
        <w:rPr>
          <w:spacing w:val="-4"/>
        </w:rPr>
        <w:t xml:space="preserve"> </w:t>
      </w:r>
      <w:r w:rsidRPr="00EC20A0">
        <w:t>liabilities</w:t>
      </w:r>
      <w:r w:rsidRPr="00EC20A0">
        <w:rPr>
          <w:spacing w:val="-4"/>
        </w:rPr>
        <w:t xml:space="preserve"> </w:t>
      </w:r>
      <w:r w:rsidRPr="00EC20A0">
        <w:t>not</w:t>
      </w:r>
      <w:r w:rsidRPr="00EC20A0">
        <w:rPr>
          <w:spacing w:val="-4"/>
        </w:rPr>
        <w:t xml:space="preserve"> </w:t>
      </w:r>
      <w:r w:rsidRPr="00EC20A0">
        <w:t>covered</w:t>
      </w:r>
      <w:r w:rsidRPr="00EC20A0">
        <w:rPr>
          <w:spacing w:val="-4"/>
        </w:rPr>
        <w:t xml:space="preserve"> </w:t>
      </w:r>
      <w:r w:rsidRPr="00EC20A0">
        <w:t>by</w:t>
      </w:r>
      <w:r w:rsidRPr="00EC20A0">
        <w:rPr>
          <w:spacing w:val="-4"/>
        </w:rPr>
        <w:t xml:space="preserve"> </w:t>
      </w:r>
      <w:r w:rsidRPr="00EC20A0">
        <w:t>budgetary</w:t>
      </w:r>
      <w:r w:rsidRPr="00EC20A0">
        <w:rPr>
          <w:spacing w:val="-4"/>
        </w:rPr>
        <w:t xml:space="preserve"> </w:t>
      </w:r>
      <w:r w:rsidRPr="00EC20A0">
        <w:t>resources,</w:t>
      </w:r>
      <w:r w:rsidRPr="00EC20A0">
        <w:rPr>
          <w:spacing w:val="-4"/>
        </w:rPr>
        <w:t xml:space="preserve"> </w:t>
      </w:r>
      <w:r w:rsidRPr="00EC20A0">
        <w:t>and</w:t>
      </w:r>
      <w:r w:rsidRPr="00EC20A0">
        <w:rPr>
          <w:spacing w:val="-4"/>
        </w:rPr>
        <w:t xml:space="preserve"> </w:t>
      </w:r>
      <w:r w:rsidRPr="00EC20A0">
        <w:t>(4)</w:t>
      </w:r>
      <w:r w:rsidRPr="00EC20A0">
        <w:rPr>
          <w:spacing w:val="-4"/>
        </w:rPr>
        <w:t xml:space="preserve"> </w:t>
      </w:r>
      <w:r w:rsidRPr="00EC20A0">
        <w:t xml:space="preserve">other </w:t>
      </w:r>
      <w:r w:rsidRPr="00EC20A0">
        <w:rPr>
          <w:spacing w:val="-2"/>
        </w:rPr>
        <w:t>liabilities.</w:t>
      </w:r>
    </w:p>
    <w:p w14:paraId="24D61625" w14:textId="77777777" w:rsidR="00245300" w:rsidRPr="00EC20A0" w:rsidRDefault="00245300">
      <w:pPr>
        <w:pStyle w:val="BodyText"/>
        <w:rPr>
          <w:sz w:val="20"/>
        </w:rPr>
      </w:pPr>
    </w:p>
    <w:p w14:paraId="24D61626" w14:textId="77777777" w:rsidR="00245300" w:rsidRPr="00EC20A0" w:rsidRDefault="00245300">
      <w:pPr>
        <w:pStyle w:val="BodyText"/>
        <w:rPr>
          <w:sz w:val="20"/>
        </w:rPr>
      </w:pPr>
    </w:p>
    <w:p w14:paraId="24D61627" w14:textId="77777777" w:rsidR="00245300" w:rsidRPr="00EC20A0" w:rsidRDefault="00F17249">
      <w:pPr>
        <w:pStyle w:val="BodyText"/>
        <w:spacing w:before="6"/>
        <w:rPr>
          <w:sz w:val="20"/>
        </w:rPr>
      </w:pPr>
      <w:r w:rsidRPr="00EC20A0">
        <w:rPr>
          <w:noProof/>
        </w:rPr>
        <mc:AlternateContent>
          <mc:Choice Requires="wps">
            <w:drawing>
              <wp:anchor distT="0" distB="0" distL="0" distR="0" simplePos="0" relativeHeight="487707648" behindDoc="1" locked="0" layoutInCell="1" allowOverlap="1" wp14:anchorId="24D62C89" wp14:editId="24D62C8A">
                <wp:simplePos x="0" y="0"/>
                <wp:positionH relativeFrom="page">
                  <wp:posOffset>914400</wp:posOffset>
                </wp:positionH>
                <wp:positionV relativeFrom="paragraph">
                  <wp:posOffset>165426</wp:posOffset>
                </wp:positionV>
                <wp:extent cx="1828800" cy="5715"/>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24EDA2" id="Graphic 779" o:spid="_x0000_s1026" style="position:absolute;margin-left:1in;margin-top:13.05pt;width:2in;height:.45pt;z-index:-156088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" path="m1828800,l,,,5333r1828800,l1828800,xe" fillcolor="black" stroked="f">
                <v:path arrowok="t"/>
                <w10:wrap type="topAndBottom" anchorx="page"/>
              </v:shape>
            </w:pict>
          </mc:Fallback>
        </mc:AlternateContent>
      </w:r>
    </w:p>
    <w:p w14:paraId="24D61628" w14:textId="77777777" w:rsidR="00245300" w:rsidRPr="00EC20A0" w:rsidRDefault="00F17249">
      <w:pPr>
        <w:spacing w:before="200" w:line="249" w:lineRule="auto"/>
        <w:ind w:left="199" w:right="345"/>
        <w:rPr>
          <w:sz w:val="18"/>
        </w:rPr>
      </w:pPr>
      <w:bookmarkStart w:id="274" w:name="_bookmark154"/>
      <w:bookmarkEnd w:id="274"/>
      <w:r w:rsidRPr="00EC20A0">
        <w:rPr>
          <w:position w:val="7"/>
          <w:sz w:val="14"/>
        </w:rPr>
        <w:t>5</w:t>
      </w:r>
      <w:r w:rsidRPr="00EC20A0">
        <w:rPr>
          <w:sz w:val="18"/>
        </w:rPr>
        <w:t>Business-type</w:t>
      </w:r>
      <w:r w:rsidRPr="00EC20A0">
        <w:rPr>
          <w:spacing w:val="-2"/>
          <w:sz w:val="18"/>
        </w:rPr>
        <w:t xml:space="preserve"> </w:t>
      </w:r>
      <w:r w:rsidRPr="00EC20A0">
        <w:rPr>
          <w:sz w:val="18"/>
        </w:rPr>
        <w:t>activity</w:t>
      </w:r>
      <w:r w:rsidRPr="00EC20A0">
        <w:rPr>
          <w:spacing w:val="-3"/>
          <w:sz w:val="18"/>
        </w:rPr>
        <w:t xml:space="preserve"> </w:t>
      </w:r>
      <w:r w:rsidRPr="00EC20A0">
        <w:rPr>
          <w:sz w:val="18"/>
        </w:rPr>
        <w:t>is</w:t>
      </w:r>
      <w:r w:rsidRPr="00EC20A0">
        <w:rPr>
          <w:spacing w:val="-3"/>
          <w:sz w:val="18"/>
        </w:rPr>
        <w:t xml:space="preserve"> </w:t>
      </w:r>
      <w:r w:rsidRPr="00EC20A0">
        <w:rPr>
          <w:sz w:val="18"/>
        </w:rPr>
        <w:t>defined</w:t>
      </w:r>
      <w:r w:rsidRPr="00EC20A0">
        <w:rPr>
          <w:spacing w:val="-4"/>
          <w:sz w:val="18"/>
        </w:rPr>
        <w:t xml:space="preserve"> </w:t>
      </w:r>
      <w:r w:rsidRPr="00EC20A0">
        <w:rPr>
          <w:sz w:val="18"/>
        </w:rPr>
        <w:t>as</w:t>
      </w:r>
      <w:r w:rsidRPr="00EC20A0">
        <w:rPr>
          <w:spacing w:val="-3"/>
          <w:sz w:val="18"/>
        </w:rPr>
        <w:t xml:space="preserve"> </w:t>
      </w:r>
      <w:r w:rsidRPr="00EC20A0">
        <w:rPr>
          <w:sz w:val="18"/>
        </w:rPr>
        <w:t>a</w:t>
      </w:r>
      <w:r w:rsidRPr="00EC20A0">
        <w:rPr>
          <w:spacing w:val="-4"/>
          <w:sz w:val="18"/>
        </w:rPr>
        <w:t xml:space="preserve"> </w:t>
      </w:r>
      <w:r w:rsidRPr="00EC20A0">
        <w:rPr>
          <w:sz w:val="18"/>
        </w:rPr>
        <w:t>significantly</w:t>
      </w:r>
      <w:r w:rsidRPr="00EC20A0">
        <w:rPr>
          <w:spacing w:val="-3"/>
          <w:sz w:val="18"/>
        </w:rPr>
        <w:t xml:space="preserve"> </w:t>
      </w:r>
      <w:r w:rsidRPr="00EC20A0">
        <w:rPr>
          <w:sz w:val="18"/>
        </w:rPr>
        <w:t>self-sustaining</w:t>
      </w:r>
      <w:r w:rsidRPr="00EC20A0">
        <w:rPr>
          <w:spacing w:val="-4"/>
          <w:sz w:val="18"/>
        </w:rPr>
        <w:t xml:space="preserve"> </w:t>
      </w:r>
      <w:r w:rsidRPr="00EC20A0">
        <w:rPr>
          <w:sz w:val="18"/>
        </w:rPr>
        <w:t>activity</w:t>
      </w:r>
      <w:r w:rsidRPr="00EC20A0">
        <w:rPr>
          <w:spacing w:val="-3"/>
          <w:sz w:val="18"/>
        </w:rPr>
        <w:t xml:space="preserve"> </w:t>
      </w:r>
      <w:r w:rsidRPr="00EC20A0">
        <w:rPr>
          <w:sz w:val="18"/>
        </w:rPr>
        <w:t>which</w:t>
      </w:r>
      <w:r w:rsidRPr="00EC20A0">
        <w:rPr>
          <w:spacing w:val="-4"/>
          <w:sz w:val="18"/>
        </w:rPr>
        <w:t xml:space="preserve"> </w:t>
      </w:r>
      <w:r w:rsidRPr="00EC20A0">
        <w:rPr>
          <w:sz w:val="18"/>
        </w:rPr>
        <w:t>finances</w:t>
      </w:r>
      <w:r w:rsidRPr="00EC20A0">
        <w:rPr>
          <w:spacing w:val="-3"/>
          <w:sz w:val="18"/>
        </w:rPr>
        <w:t xml:space="preserve"> </w:t>
      </w:r>
      <w:r w:rsidRPr="00EC20A0">
        <w:rPr>
          <w:sz w:val="18"/>
        </w:rPr>
        <w:t>its</w:t>
      </w:r>
      <w:r w:rsidRPr="00EC20A0">
        <w:rPr>
          <w:spacing w:val="-3"/>
          <w:sz w:val="18"/>
        </w:rPr>
        <w:t xml:space="preserve"> </w:t>
      </w:r>
      <w:r w:rsidRPr="00EC20A0">
        <w:rPr>
          <w:sz w:val="18"/>
        </w:rPr>
        <w:t>continuing</w:t>
      </w:r>
      <w:r w:rsidRPr="00EC20A0">
        <w:rPr>
          <w:spacing w:val="-4"/>
          <w:sz w:val="18"/>
        </w:rPr>
        <w:t xml:space="preserve"> </w:t>
      </w:r>
      <w:r w:rsidRPr="00EC20A0">
        <w:rPr>
          <w:sz w:val="18"/>
        </w:rPr>
        <w:t>cycle</w:t>
      </w:r>
      <w:r w:rsidRPr="00EC20A0">
        <w:rPr>
          <w:spacing w:val="-4"/>
          <w:sz w:val="18"/>
        </w:rPr>
        <w:t xml:space="preserve"> </w:t>
      </w:r>
      <w:r w:rsidRPr="00EC20A0">
        <w:rPr>
          <w:sz w:val="18"/>
        </w:rPr>
        <w:t>of operations through collection of exchange revenue as defined in SFFAS 7.</w:t>
      </w:r>
    </w:p>
    <w:p w14:paraId="24D61629" w14:textId="77777777" w:rsidR="00245300" w:rsidRPr="00EC20A0" w:rsidRDefault="00F17249">
      <w:pPr>
        <w:spacing w:before="118" w:line="242" w:lineRule="auto"/>
        <w:ind w:left="199" w:right="345"/>
        <w:rPr>
          <w:sz w:val="18"/>
        </w:rPr>
      </w:pPr>
      <w:bookmarkStart w:id="275" w:name="_bookmark155"/>
      <w:bookmarkEnd w:id="275"/>
      <w:r w:rsidRPr="00EC20A0">
        <w:rPr>
          <w:position w:val="7"/>
          <w:sz w:val="14"/>
        </w:rPr>
        <w:t>6</w:t>
      </w:r>
      <w:r w:rsidRPr="00EC20A0">
        <w:rPr>
          <w:sz w:val="18"/>
        </w:rPr>
        <w:t>In</w:t>
      </w:r>
      <w:r w:rsidRPr="00EC20A0">
        <w:rPr>
          <w:spacing w:val="-2"/>
          <w:sz w:val="18"/>
        </w:rPr>
        <w:t xml:space="preserve"> </w:t>
      </w:r>
      <w:r w:rsidRPr="00EC20A0">
        <w:rPr>
          <w:sz w:val="18"/>
        </w:rPr>
        <w:t>accordance with</w:t>
      </w:r>
      <w:r w:rsidRPr="00EC20A0">
        <w:rPr>
          <w:spacing w:val="-2"/>
          <w:sz w:val="18"/>
        </w:rPr>
        <w:t xml:space="preserve"> </w:t>
      </w:r>
      <w:r w:rsidRPr="00EC20A0">
        <w:rPr>
          <w:sz w:val="18"/>
        </w:rPr>
        <w:t>OMB</w:t>
      </w:r>
      <w:r w:rsidRPr="00EC20A0">
        <w:rPr>
          <w:spacing w:val="-1"/>
          <w:sz w:val="18"/>
        </w:rPr>
        <w:t xml:space="preserve"> </w:t>
      </w:r>
      <w:r w:rsidRPr="00EC20A0">
        <w:rPr>
          <w:sz w:val="18"/>
        </w:rPr>
        <w:t>reporting</w:t>
      </w:r>
      <w:r w:rsidRPr="00EC20A0">
        <w:rPr>
          <w:spacing w:val="-2"/>
          <w:sz w:val="18"/>
        </w:rPr>
        <w:t xml:space="preserve"> </w:t>
      </w:r>
      <w:r w:rsidRPr="00EC20A0">
        <w:rPr>
          <w:sz w:val="18"/>
        </w:rPr>
        <w:t>guidance</w:t>
      </w:r>
      <w:r w:rsidRPr="00EC20A0">
        <w:rPr>
          <w:i/>
          <w:sz w:val="18"/>
        </w:rPr>
        <w:t xml:space="preserve">, </w:t>
      </w:r>
      <w:r w:rsidRPr="00EC20A0">
        <w:rPr>
          <w:sz w:val="18"/>
        </w:rPr>
        <w:t>unreimbursed</w:t>
      </w:r>
      <w:r w:rsidRPr="00EC20A0">
        <w:rPr>
          <w:spacing w:val="-2"/>
          <w:sz w:val="18"/>
        </w:rPr>
        <w:t xml:space="preserve"> </w:t>
      </w:r>
      <w:r w:rsidRPr="00EC20A0">
        <w:rPr>
          <w:sz w:val="18"/>
        </w:rPr>
        <w:t>costs</w:t>
      </w:r>
      <w:r w:rsidRPr="00EC20A0">
        <w:rPr>
          <w:spacing w:val="-1"/>
          <w:sz w:val="18"/>
        </w:rPr>
        <w:t xml:space="preserve"> </w:t>
      </w:r>
      <w:r w:rsidRPr="00EC20A0">
        <w:rPr>
          <w:sz w:val="18"/>
        </w:rPr>
        <w:t>that</w:t>
      </w:r>
      <w:r w:rsidRPr="00EC20A0">
        <w:rPr>
          <w:spacing w:val="-1"/>
          <w:sz w:val="18"/>
        </w:rPr>
        <w:t xml:space="preserve"> </w:t>
      </w:r>
      <w:r w:rsidRPr="00EC20A0">
        <w:rPr>
          <w:sz w:val="18"/>
        </w:rPr>
        <w:t>reporting</w:t>
      </w:r>
      <w:r w:rsidRPr="00EC20A0">
        <w:rPr>
          <w:spacing w:val="-2"/>
          <w:sz w:val="18"/>
        </w:rPr>
        <w:t xml:space="preserve"> </w:t>
      </w:r>
      <w:r w:rsidRPr="00EC20A0">
        <w:rPr>
          <w:sz w:val="18"/>
        </w:rPr>
        <w:t>entities</w:t>
      </w:r>
      <w:r w:rsidRPr="00EC20A0">
        <w:rPr>
          <w:spacing w:val="-1"/>
          <w:sz w:val="18"/>
        </w:rPr>
        <w:t xml:space="preserve"> </w:t>
      </w:r>
      <w:r w:rsidRPr="00EC20A0">
        <w:rPr>
          <w:sz w:val="18"/>
        </w:rPr>
        <w:t>are</w:t>
      </w:r>
      <w:r w:rsidRPr="00EC20A0">
        <w:rPr>
          <w:spacing w:val="-2"/>
          <w:sz w:val="18"/>
        </w:rPr>
        <w:t xml:space="preserve"> </w:t>
      </w:r>
      <w:r w:rsidRPr="00EC20A0">
        <w:rPr>
          <w:sz w:val="18"/>
        </w:rPr>
        <w:t>required</w:t>
      </w:r>
      <w:r w:rsidRPr="00EC20A0">
        <w:rPr>
          <w:spacing w:val="-2"/>
          <w:sz w:val="18"/>
        </w:rPr>
        <w:t xml:space="preserve"> </w:t>
      </w:r>
      <w:r w:rsidRPr="00EC20A0">
        <w:rPr>
          <w:sz w:val="18"/>
        </w:rPr>
        <w:t>to</w:t>
      </w:r>
      <w:r w:rsidRPr="00EC20A0">
        <w:rPr>
          <w:spacing w:val="-2"/>
          <w:sz w:val="18"/>
        </w:rPr>
        <w:t xml:space="preserve"> </w:t>
      </w:r>
      <w:r w:rsidRPr="00EC20A0">
        <w:rPr>
          <w:sz w:val="18"/>
        </w:rPr>
        <w:t xml:space="preserve">recognize include (1) employees’ pension and postretirement health and life insurance benefits; (2) other postemployment benefits for retired, terminated, and inactive employees, which include unemployment and workers compensation under the Federal Employees’ Compensation Act (5 U.S.C. chapter 81); and (3) losses in litigation proceedings (addressed in FASAB Interpretation No. 2, </w:t>
      </w:r>
      <w:r w:rsidRPr="00EC20A0">
        <w:rPr>
          <w:i/>
          <w:sz w:val="18"/>
        </w:rPr>
        <w:t>Accounting for Treasury Jud</w:t>
      </w:r>
      <w:r w:rsidRPr="00EC20A0">
        <w:rPr>
          <w:i/>
          <w:sz w:val="18"/>
        </w:rPr>
        <w:t>gment Fund Transactions</w:t>
      </w:r>
      <w:r w:rsidRPr="00EC20A0">
        <w:rPr>
          <w:sz w:val="18"/>
        </w:rPr>
        <w:t>). For employee benefits,</w:t>
      </w:r>
      <w:r w:rsidRPr="00EC20A0">
        <w:rPr>
          <w:spacing w:val="-2"/>
          <w:sz w:val="18"/>
        </w:rPr>
        <w:t xml:space="preserve"> </w:t>
      </w:r>
      <w:r w:rsidRPr="00EC20A0">
        <w:rPr>
          <w:sz w:val="18"/>
        </w:rPr>
        <w:t>the</w:t>
      </w:r>
      <w:r w:rsidRPr="00EC20A0">
        <w:rPr>
          <w:spacing w:val="-3"/>
          <w:sz w:val="18"/>
        </w:rPr>
        <w:t xml:space="preserve"> </w:t>
      </w:r>
      <w:r w:rsidRPr="00EC20A0">
        <w:rPr>
          <w:sz w:val="18"/>
        </w:rPr>
        <w:t>imputed</w:t>
      </w:r>
      <w:r w:rsidRPr="00EC20A0">
        <w:rPr>
          <w:spacing w:val="-3"/>
          <w:sz w:val="18"/>
        </w:rPr>
        <w:t xml:space="preserve"> </w:t>
      </w:r>
      <w:r w:rsidRPr="00EC20A0">
        <w:rPr>
          <w:sz w:val="18"/>
        </w:rPr>
        <w:t>cost</w:t>
      </w:r>
      <w:r w:rsidRPr="00EC20A0">
        <w:rPr>
          <w:spacing w:val="-2"/>
          <w:sz w:val="18"/>
        </w:rPr>
        <w:t xml:space="preserve"> </w:t>
      </w:r>
      <w:r w:rsidRPr="00EC20A0">
        <w:rPr>
          <w:sz w:val="18"/>
        </w:rPr>
        <w:t>is</w:t>
      </w:r>
      <w:r w:rsidRPr="00EC20A0">
        <w:rPr>
          <w:spacing w:val="-2"/>
          <w:sz w:val="18"/>
        </w:rPr>
        <w:t xml:space="preserve"> </w:t>
      </w:r>
      <w:r w:rsidRPr="00EC20A0">
        <w:rPr>
          <w:sz w:val="18"/>
        </w:rPr>
        <w:t>the</w:t>
      </w:r>
      <w:r w:rsidRPr="00EC20A0">
        <w:rPr>
          <w:spacing w:val="-3"/>
          <w:sz w:val="18"/>
        </w:rPr>
        <w:t xml:space="preserve"> </w:t>
      </w:r>
      <w:r w:rsidRPr="00EC20A0">
        <w:rPr>
          <w:sz w:val="18"/>
        </w:rPr>
        <w:t>difference</w:t>
      </w:r>
      <w:r w:rsidRPr="00EC20A0">
        <w:rPr>
          <w:spacing w:val="-3"/>
          <w:sz w:val="18"/>
        </w:rPr>
        <w:t xml:space="preserve"> </w:t>
      </w:r>
      <w:r w:rsidRPr="00EC20A0">
        <w:rPr>
          <w:sz w:val="18"/>
        </w:rPr>
        <w:t>between</w:t>
      </w:r>
      <w:r w:rsidRPr="00EC20A0">
        <w:rPr>
          <w:spacing w:val="-3"/>
          <w:sz w:val="18"/>
        </w:rPr>
        <w:t xml:space="preserve"> </w:t>
      </w:r>
      <w:r w:rsidRPr="00EC20A0">
        <w:rPr>
          <w:sz w:val="18"/>
        </w:rPr>
        <w:t>employer</w:t>
      </w:r>
      <w:r w:rsidRPr="00EC20A0">
        <w:rPr>
          <w:spacing w:val="-2"/>
          <w:sz w:val="18"/>
        </w:rPr>
        <w:t xml:space="preserve"> </w:t>
      </w:r>
      <w:r w:rsidRPr="00EC20A0">
        <w:rPr>
          <w:sz w:val="18"/>
        </w:rPr>
        <w:t>and</w:t>
      </w:r>
      <w:r w:rsidRPr="00EC20A0">
        <w:rPr>
          <w:spacing w:val="-3"/>
          <w:sz w:val="18"/>
        </w:rPr>
        <w:t xml:space="preserve"> </w:t>
      </w:r>
      <w:r w:rsidRPr="00EC20A0">
        <w:rPr>
          <w:sz w:val="18"/>
        </w:rPr>
        <w:t>employee</w:t>
      </w:r>
      <w:r w:rsidRPr="00EC20A0">
        <w:rPr>
          <w:spacing w:val="-3"/>
          <w:sz w:val="18"/>
        </w:rPr>
        <w:t xml:space="preserve"> </w:t>
      </w:r>
      <w:r w:rsidRPr="00EC20A0">
        <w:rPr>
          <w:sz w:val="18"/>
        </w:rPr>
        <w:t>contributions</w:t>
      </w:r>
      <w:r w:rsidRPr="00EC20A0">
        <w:rPr>
          <w:spacing w:val="-2"/>
          <w:sz w:val="18"/>
        </w:rPr>
        <w:t xml:space="preserve"> </w:t>
      </w:r>
      <w:r w:rsidRPr="00EC20A0">
        <w:rPr>
          <w:sz w:val="18"/>
        </w:rPr>
        <w:t>and</w:t>
      </w:r>
      <w:r w:rsidRPr="00EC20A0">
        <w:rPr>
          <w:spacing w:val="-3"/>
          <w:sz w:val="18"/>
        </w:rPr>
        <w:t xml:space="preserve"> </w:t>
      </w:r>
      <w:r w:rsidRPr="00EC20A0">
        <w:rPr>
          <w:sz w:val="18"/>
        </w:rPr>
        <w:t>the</w:t>
      </w:r>
      <w:r w:rsidRPr="00EC20A0">
        <w:rPr>
          <w:spacing w:val="-3"/>
          <w:sz w:val="18"/>
        </w:rPr>
        <w:t xml:space="preserve"> </w:t>
      </w:r>
      <w:r w:rsidRPr="00EC20A0">
        <w:rPr>
          <w:sz w:val="18"/>
        </w:rPr>
        <w:t>total</w:t>
      </w:r>
      <w:r w:rsidRPr="00EC20A0">
        <w:rPr>
          <w:spacing w:val="-2"/>
          <w:sz w:val="18"/>
        </w:rPr>
        <w:t xml:space="preserve"> </w:t>
      </w:r>
      <w:r w:rsidRPr="00EC20A0">
        <w:rPr>
          <w:sz w:val="18"/>
        </w:rPr>
        <w:t>cost</w:t>
      </w:r>
      <w:r w:rsidRPr="00EC20A0">
        <w:rPr>
          <w:spacing w:val="-2"/>
          <w:sz w:val="18"/>
        </w:rPr>
        <w:t xml:space="preserve"> </w:t>
      </w:r>
      <w:r w:rsidRPr="00EC20A0">
        <w:rPr>
          <w:sz w:val="18"/>
        </w:rPr>
        <w:t>of</w:t>
      </w:r>
      <w:r w:rsidRPr="00EC20A0">
        <w:rPr>
          <w:spacing w:val="-2"/>
          <w:sz w:val="18"/>
        </w:rPr>
        <w:t xml:space="preserve"> </w:t>
      </w:r>
      <w:r w:rsidRPr="00EC20A0">
        <w:rPr>
          <w:sz w:val="18"/>
        </w:rPr>
        <w:t xml:space="preserve">the </w:t>
      </w:r>
      <w:r w:rsidRPr="00EC20A0">
        <w:rPr>
          <w:spacing w:val="-2"/>
          <w:sz w:val="18"/>
        </w:rPr>
        <w:t>benefit.</w:t>
      </w:r>
    </w:p>
    <w:p w14:paraId="24D6162A" w14:textId="77777777" w:rsidR="00245300" w:rsidRPr="00EC20A0" w:rsidRDefault="00F17249">
      <w:pPr>
        <w:spacing w:before="118" w:line="242" w:lineRule="auto"/>
        <w:ind w:left="200" w:right="817" w:hanging="1"/>
        <w:rPr>
          <w:sz w:val="18"/>
        </w:rPr>
      </w:pPr>
      <w:bookmarkStart w:id="276" w:name="_bookmark156"/>
      <w:bookmarkEnd w:id="276"/>
      <w:r w:rsidRPr="00EC20A0">
        <w:rPr>
          <w:position w:val="7"/>
          <w:sz w:val="14"/>
        </w:rPr>
        <w:t>7</w:t>
      </w:r>
      <w:r w:rsidRPr="00EC20A0">
        <w:rPr>
          <w:sz w:val="18"/>
        </w:rPr>
        <w:t>A</w:t>
      </w:r>
      <w:r w:rsidRPr="00EC20A0">
        <w:rPr>
          <w:spacing w:val="-3"/>
          <w:sz w:val="18"/>
        </w:rPr>
        <w:t xml:space="preserve"> </w:t>
      </w:r>
      <w:r w:rsidRPr="00EC20A0">
        <w:rPr>
          <w:sz w:val="18"/>
        </w:rPr>
        <w:t>government-sponsored</w:t>
      </w:r>
      <w:r w:rsidRPr="00EC20A0">
        <w:rPr>
          <w:spacing w:val="-2"/>
          <w:sz w:val="18"/>
        </w:rPr>
        <w:t xml:space="preserve"> </w:t>
      </w:r>
      <w:r w:rsidRPr="00EC20A0">
        <w:rPr>
          <w:sz w:val="18"/>
        </w:rPr>
        <w:t>enterprise</w:t>
      </w:r>
      <w:r w:rsidRPr="00EC20A0">
        <w:rPr>
          <w:spacing w:val="-4"/>
          <w:sz w:val="18"/>
        </w:rPr>
        <w:t xml:space="preserve"> </w:t>
      </w:r>
      <w:r w:rsidRPr="00EC20A0">
        <w:rPr>
          <w:sz w:val="18"/>
        </w:rPr>
        <w:t>is</w:t>
      </w:r>
      <w:r w:rsidRPr="00EC20A0">
        <w:rPr>
          <w:spacing w:val="-3"/>
          <w:sz w:val="18"/>
        </w:rPr>
        <w:t xml:space="preserve"> </w:t>
      </w:r>
      <w:r w:rsidRPr="00EC20A0">
        <w:rPr>
          <w:sz w:val="18"/>
        </w:rPr>
        <w:t>statutorily</w:t>
      </w:r>
      <w:r w:rsidRPr="00EC20A0">
        <w:rPr>
          <w:spacing w:val="-3"/>
          <w:sz w:val="18"/>
        </w:rPr>
        <w:t xml:space="preserve"> </w:t>
      </w:r>
      <w:r w:rsidRPr="00EC20A0">
        <w:rPr>
          <w:sz w:val="18"/>
        </w:rPr>
        <w:t>established</w:t>
      </w:r>
      <w:r w:rsidRPr="00EC20A0">
        <w:rPr>
          <w:spacing w:val="-4"/>
          <w:sz w:val="18"/>
        </w:rPr>
        <w:t xml:space="preserve"> </w:t>
      </w:r>
      <w:r w:rsidRPr="00EC20A0">
        <w:rPr>
          <w:sz w:val="18"/>
        </w:rPr>
        <w:t>with</w:t>
      </w:r>
      <w:r w:rsidRPr="00EC20A0">
        <w:rPr>
          <w:spacing w:val="-4"/>
          <w:sz w:val="18"/>
        </w:rPr>
        <w:t xml:space="preserve"> </w:t>
      </w:r>
      <w:r w:rsidRPr="00EC20A0">
        <w:rPr>
          <w:sz w:val="18"/>
        </w:rPr>
        <w:t>its</w:t>
      </w:r>
      <w:r w:rsidRPr="00EC20A0">
        <w:rPr>
          <w:spacing w:val="-3"/>
          <w:sz w:val="18"/>
        </w:rPr>
        <w:t xml:space="preserve"> </w:t>
      </w:r>
      <w:r w:rsidRPr="00EC20A0">
        <w:rPr>
          <w:sz w:val="18"/>
        </w:rPr>
        <w:t>particular</w:t>
      </w:r>
      <w:r w:rsidRPr="00EC20A0">
        <w:rPr>
          <w:spacing w:val="-3"/>
          <w:sz w:val="18"/>
        </w:rPr>
        <w:t xml:space="preserve"> </w:t>
      </w:r>
      <w:r w:rsidRPr="00EC20A0">
        <w:rPr>
          <w:sz w:val="18"/>
        </w:rPr>
        <w:t>attributes</w:t>
      </w:r>
      <w:r w:rsidRPr="00EC20A0">
        <w:rPr>
          <w:spacing w:val="-3"/>
          <w:sz w:val="18"/>
        </w:rPr>
        <w:t xml:space="preserve"> </w:t>
      </w:r>
      <w:r w:rsidRPr="00EC20A0">
        <w:rPr>
          <w:sz w:val="18"/>
        </w:rPr>
        <w:t>defined</w:t>
      </w:r>
      <w:r w:rsidRPr="00EC20A0">
        <w:rPr>
          <w:spacing w:val="-4"/>
          <w:sz w:val="18"/>
        </w:rPr>
        <w:t xml:space="preserve"> </w:t>
      </w:r>
      <w:r w:rsidRPr="00EC20A0">
        <w:rPr>
          <w:sz w:val="18"/>
        </w:rPr>
        <w:t>in</w:t>
      </w:r>
      <w:r w:rsidRPr="00EC20A0">
        <w:rPr>
          <w:spacing w:val="-4"/>
          <w:sz w:val="18"/>
        </w:rPr>
        <w:t xml:space="preserve"> </w:t>
      </w:r>
      <w:r w:rsidRPr="00EC20A0">
        <w:rPr>
          <w:sz w:val="18"/>
        </w:rPr>
        <w:t>its</w:t>
      </w:r>
      <w:r w:rsidRPr="00EC20A0">
        <w:rPr>
          <w:spacing w:val="-3"/>
          <w:sz w:val="18"/>
        </w:rPr>
        <w:t xml:space="preserve"> </w:t>
      </w:r>
      <w:r w:rsidRPr="00EC20A0">
        <w:rPr>
          <w:sz w:val="18"/>
        </w:rPr>
        <w:t>enabling statute and federal charter. Despite this diversity, there are at least four readily observable characteristics of government-sponsored</w:t>
      </w:r>
      <w:r w:rsidRPr="00EC20A0">
        <w:rPr>
          <w:spacing w:val="-1"/>
          <w:sz w:val="18"/>
        </w:rPr>
        <w:t xml:space="preserve"> </w:t>
      </w:r>
      <w:r w:rsidRPr="00EC20A0">
        <w:rPr>
          <w:sz w:val="18"/>
        </w:rPr>
        <w:t>enterprises: (1) private</w:t>
      </w:r>
      <w:r w:rsidRPr="00EC20A0">
        <w:rPr>
          <w:spacing w:val="-1"/>
          <w:sz w:val="18"/>
        </w:rPr>
        <w:t xml:space="preserve"> </w:t>
      </w:r>
      <w:r w:rsidRPr="00EC20A0">
        <w:rPr>
          <w:sz w:val="18"/>
        </w:rPr>
        <w:t>sector ownership, (2) limited competition, (3) activities limited</w:t>
      </w:r>
      <w:r w:rsidRPr="00EC20A0">
        <w:rPr>
          <w:spacing w:val="-1"/>
          <w:sz w:val="18"/>
        </w:rPr>
        <w:t xml:space="preserve"> </w:t>
      </w:r>
      <w:r w:rsidRPr="00EC20A0">
        <w:rPr>
          <w:sz w:val="18"/>
        </w:rPr>
        <w:t>by federal</w:t>
      </w:r>
      <w:r w:rsidRPr="00EC20A0">
        <w:rPr>
          <w:spacing w:val="-2"/>
          <w:sz w:val="18"/>
        </w:rPr>
        <w:t xml:space="preserve"> </w:t>
      </w:r>
      <w:r w:rsidRPr="00EC20A0">
        <w:rPr>
          <w:sz w:val="18"/>
        </w:rPr>
        <w:t>charter,</w:t>
      </w:r>
      <w:r w:rsidRPr="00EC20A0">
        <w:rPr>
          <w:spacing w:val="-1"/>
          <w:sz w:val="18"/>
        </w:rPr>
        <w:t xml:space="preserve"> </w:t>
      </w:r>
      <w:r w:rsidRPr="00EC20A0">
        <w:rPr>
          <w:sz w:val="18"/>
        </w:rPr>
        <w:t>and</w:t>
      </w:r>
      <w:r w:rsidRPr="00EC20A0">
        <w:rPr>
          <w:spacing w:val="-3"/>
          <w:sz w:val="18"/>
        </w:rPr>
        <w:t xml:space="preserve"> </w:t>
      </w:r>
      <w:r w:rsidRPr="00EC20A0">
        <w:rPr>
          <w:sz w:val="18"/>
        </w:rPr>
        <w:t>(4)</w:t>
      </w:r>
      <w:r w:rsidRPr="00EC20A0">
        <w:rPr>
          <w:spacing w:val="-2"/>
          <w:sz w:val="18"/>
        </w:rPr>
        <w:t xml:space="preserve"> </w:t>
      </w:r>
      <w:r w:rsidRPr="00EC20A0">
        <w:rPr>
          <w:sz w:val="18"/>
        </w:rPr>
        <w:t>chartered</w:t>
      </w:r>
      <w:r w:rsidRPr="00EC20A0">
        <w:rPr>
          <w:spacing w:val="-3"/>
          <w:sz w:val="18"/>
        </w:rPr>
        <w:t xml:space="preserve"> </w:t>
      </w:r>
      <w:r w:rsidRPr="00EC20A0">
        <w:rPr>
          <w:sz w:val="18"/>
        </w:rPr>
        <w:t>privileges</w:t>
      </w:r>
      <w:r w:rsidRPr="00EC20A0">
        <w:rPr>
          <w:spacing w:val="-2"/>
          <w:sz w:val="18"/>
        </w:rPr>
        <w:t xml:space="preserve"> </w:t>
      </w:r>
      <w:r w:rsidRPr="00EC20A0">
        <w:rPr>
          <w:sz w:val="18"/>
        </w:rPr>
        <w:t>that</w:t>
      </w:r>
      <w:r w:rsidRPr="00EC20A0">
        <w:rPr>
          <w:spacing w:val="-2"/>
          <w:sz w:val="18"/>
        </w:rPr>
        <w:t xml:space="preserve"> </w:t>
      </w:r>
      <w:r w:rsidRPr="00EC20A0">
        <w:rPr>
          <w:sz w:val="18"/>
        </w:rPr>
        <w:t>create</w:t>
      </w:r>
      <w:r w:rsidRPr="00EC20A0">
        <w:rPr>
          <w:spacing w:val="-3"/>
          <w:sz w:val="18"/>
        </w:rPr>
        <w:t xml:space="preserve"> </w:t>
      </w:r>
      <w:r w:rsidRPr="00EC20A0">
        <w:rPr>
          <w:sz w:val="18"/>
        </w:rPr>
        <w:t>an</w:t>
      </w:r>
      <w:r w:rsidRPr="00EC20A0">
        <w:rPr>
          <w:spacing w:val="-3"/>
          <w:sz w:val="18"/>
        </w:rPr>
        <w:t xml:space="preserve"> </w:t>
      </w:r>
      <w:r w:rsidRPr="00EC20A0">
        <w:rPr>
          <w:sz w:val="18"/>
        </w:rPr>
        <w:t>inferred</w:t>
      </w:r>
      <w:r w:rsidRPr="00EC20A0">
        <w:rPr>
          <w:spacing w:val="-3"/>
          <w:sz w:val="18"/>
        </w:rPr>
        <w:t xml:space="preserve"> </w:t>
      </w:r>
      <w:r w:rsidRPr="00EC20A0">
        <w:rPr>
          <w:sz w:val="18"/>
        </w:rPr>
        <w:t>federal</w:t>
      </w:r>
      <w:r w:rsidRPr="00EC20A0">
        <w:rPr>
          <w:spacing w:val="-2"/>
          <w:sz w:val="18"/>
        </w:rPr>
        <w:t xml:space="preserve"> </w:t>
      </w:r>
      <w:r w:rsidRPr="00EC20A0">
        <w:rPr>
          <w:sz w:val="18"/>
        </w:rPr>
        <w:t>guarantee</w:t>
      </w:r>
      <w:r w:rsidRPr="00EC20A0">
        <w:rPr>
          <w:spacing w:val="-3"/>
          <w:sz w:val="18"/>
        </w:rPr>
        <w:t xml:space="preserve"> </w:t>
      </w:r>
      <w:r w:rsidRPr="00EC20A0">
        <w:rPr>
          <w:sz w:val="18"/>
        </w:rPr>
        <w:t>of</w:t>
      </w:r>
      <w:r w:rsidRPr="00EC20A0">
        <w:rPr>
          <w:spacing w:val="-2"/>
          <w:sz w:val="18"/>
        </w:rPr>
        <w:t xml:space="preserve"> </w:t>
      </w:r>
      <w:r w:rsidRPr="00EC20A0">
        <w:rPr>
          <w:sz w:val="18"/>
        </w:rPr>
        <w:t>obligations</w:t>
      </w:r>
      <w:r w:rsidRPr="00EC20A0">
        <w:rPr>
          <w:spacing w:val="-2"/>
          <w:sz w:val="18"/>
        </w:rPr>
        <w:t xml:space="preserve"> </w:t>
      </w:r>
      <w:r w:rsidRPr="00EC20A0">
        <w:rPr>
          <w:sz w:val="18"/>
        </w:rPr>
        <w:t>(see</w:t>
      </w:r>
      <w:r w:rsidRPr="00EC20A0">
        <w:rPr>
          <w:spacing w:val="-1"/>
          <w:sz w:val="18"/>
        </w:rPr>
        <w:t xml:space="preserve"> </w:t>
      </w:r>
      <w:r w:rsidRPr="00EC20A0">
        <w:rPr>
          <w:sz w:val="18"/>
        </w:rPr>
        <w:t>FASAB Handbook, app. E).</w:t>
      </w:r>
    </w:p>
    <w:p w14:paraId="24D6162B" w14:textId="77777777" w:rsidR="00245300" w:rsidRPr="00EC20A0" w:rsidRDefault="00F17249">
      <w:pPr>
        <w:spacing w:before="124"/>
        <w:ind w:left="200"/>
        <w:rPr>
          <w:sz w:val="18"/>
        </w:rPr>
      </w:pPr>
      <w:bookmarkStart w:id="277" w:name="_bookmark157"/>
      <w:bookmarkEnd w:id="277"/>
      <w:r w:rsidRPr="00EC20A0">
        <w:rPr>
          <w:position w:val="7"/>
          <w:sz w:val="14"/>
        </w:rPr>
        <w:t>8</w:t>
      </w:r>
      <w:r w:rsidRPr="00EC20A0">
        <w:rPr>
          <w:sz w:val="18"/>
        </w:rPr>
        <w:t>Consolidation</w:t>
      </w:r>
      <w:r w:rsidRPr="00EC20A0">
        <w:rPr>
          <w:spacing w:val="-5"/>
          <w:sz w:val="18"/>
        </w:rPr>
        <w:t xml:space="preserve"> </w:t>
      </w:r>
      <w:r w:rsidRPr="00EC20A0">
        <w:rPr>
          <w:sz w:val="18"/>
        </w:rPr>
        <w:t>entities</w:t>
      </w:r>
      <w:r w:rsidRPr="00EC20A0">
        <w:rPr>
          <w:spacing w:val="-3"/>
          <w:sz w:val="18"/>
        </w:rPr>
        <w:t xml:space="preserve"> </w:t>
      </w:r>
      <w:r w:rsidRPr="00EC20A0">
        <w:rPr>
          <w:sz w:val="18"/>
        </w:rPr>
        <w:t>are</w:t>
      </w:r>
      <w:r w:rsidRPr="00EC20A0">
        <w:rPr>
          <w:spacing w:val="-5"/>
          <w:sz w:val="18"/>
        </w:rPr>
        <w:t xml:space="preserve"> </w:t>
      </w:r>
      <w:r w:rsidRPr="00EC20A0">
        <w:rPr>
          <w:sz w:val="18"/>
        </w:rPr>
        <w:t>entities</w:t>
      </w:r>
      <w:r w:rsidRPr="00EC20A0">
        <w:rPr>
          <w:spacing w:val="-3"/>
          <w:sz w:val="18"/>
        </w:rPr>
        <w:t xml:space="preserve"> </w:t>
      </w:r>
      <w:r w:rsidRPr="00EC20A0">
        <w:rPr>
          <w:sz w:val="18"/>
        </w:rPr>
        <w:t>that</w:t>
      </w:r>
      <w:r w:rsidRPr="00EC20A0">
        <w:rPr>
          <w:spacing w:val="-4"/>
          <w:sz w:val="18"/>
        </w:rPr>
        <w:t xml:space="preserve"> </w:t>
      </w:r>
      <w:r w:rsidRPr="00EC20A0">
        <w:rPr>
          <w:sz w:val="18"/>
        </w:rPr>
        <w:t>are</w:t>
      </w:r>
      <w:r w:rsidRPr="00EC20A0">
        <w:rPr>
          <w:spacing w:val="-4"/>
          <w:sz w:val="18"/>
        </w:rPr>
        <w:t xml:space="preserve"> </w:t>
      </w:r>
      <w:r w:rsidRPr="00EC20A0">
        <w:rPr>
          <w:sz w:val="18"/>
        </w:rPr>
        <w:t>consolidated</w:t>
      </w:r>
      <w:r w:rsidRPr="00EC20A0">
        <w:rPr>
          <w:spacing w:val="-4"/>
          <w:sz w:val="18"/>
        </w:rPr>
        <w:t xml:space="preserve"> </w:t>
      </w:r>
      <w:r w:rsidRPr="00EC20A0">
        <w:rPr>
          <w:sz w:val="18"/>
        </w:rPr>
        <w:t>in</w:t>
      </w:r>
      <w:r w:rsidRPr="00EC20A0">
        <w:rPr>
          <w:spacing w:val="-5"/>
          <w:sz w:val="18"/>
        </w:rPr>
        <w:t xml:space="preserve"> </w:t>
      </w:r>
      <w:r w:rsidRPr="00EC20A0">
        <w:rPr>
          <w:sz w:val="18"/>
        </w:rPr>
        <w:t>the</w:t>
      </w:r>
      <w:r w:rsidRPr="00EC20A0">
        <w:rPr>
          <w:spacing w:val="-4"/>
          <w:sz w:val="18"/>
        </w:rPr>
        <w:t xml:space="preserve"> </w:t>
      </w:r>
      <w:r w:rsidRPr="00EC20A0">
        <w:rPr>
          <w:sz w:val="18"/>
        </w:rPr>
        <w:t>U.S.</w:t>
      </w:r>
      <w:r w:rsidRPr="00EC20A0">
        <w:rPr>
          <w:spacing w:val="-3"/>
          <w:sz w:val="18"/>
        </w:rPr>
        <w:t xml:space="preserve"> </w:t>
      </w:r>
      <w:r w:rsidRPr="00EC20A0">
        <w:rPr>
          <w:sz w:val="18"/>
        </w:rPr>
        <w:t>government’s</w:t>
      </w:r>
      <w:r w:rsidRPr="00EC20A0">
        <w:rPr>
          <w:spacing w:val="-4"/>
          <w:sz w:val="18"/>
        </w:rPr>
        <w:t xml:space="preserve"> </w:t>
      </w:r>
      <w:r w:rsidRPr="00EC20A0">
        <w:rPr>
          <w:sz w:val="18"/>
        </w:rPr>
        <w:t>consolidated</w:t>
      </w:r>
      <w:r w:rsidRPr="00EC20A0">
        <w:rPr>
          <w:spacing w:val="-4"/>
          <w:sz w:val="18"/>
        </w:rPr>
        <w:t xml:space="preserve"> </w:t>
      </w:r>
      <w:r w:rsidRPr="00EC20A0">
        <w:rPr>
          <w:sz w:val="18"/>
        </w:rPr>
        <w:t>financial</w:t>
      </w:r>
      <w:r w:rsidRPr="00EC20A0">
        <w:rPr>
          <w:spacing w:val="-2"/>
          <w:sz w:val="18"/>
        </w:rPr>
        <w:t xml:space="preserve"> statements.</w:t>
      </w:r>
    </w:p>
    <w:p w14:paraId="24D6162C" w14:textId="77777777" w:rsidR="00245300" w:rsidRPr="00EC20A0" w:rsidRDefault="00245300">
      <w:pPr>
        <w:rPr>
          <w:sz w:val="18"/>
        </w:rPr>
        <w:sectPr w:rsidR="00245300" w:rsidRPr="00EC20A0">
          <w:pgSz w:w="12240" w:h="15840"/>
          <w:pgMar w:top="1340" w:right="1100" w:bottom="940" w:left="1240" w:header="721" w:footer="757" w:gutter="0"/>
          <w:cols w:space="720"/>
        </w:sectPr>
      </w:pPr>
    </w:p>
    <w:p w14:paraId="24D6162D" w14:textId="77777777" w:rsidR="00245300" w:rsidRPr="00EC20A0" w:rsidRDefault="00F17249">
      <w:pPr>
        <w:pStyle w:val="ListParagraph"/>
        <w:numPr>
          <w:ilvl w:val="1"/>
          <w:numId w:val="7"/>
        </w:numPr>
        <w:tabs>
          <w:tab w:val="left" w:pos="1999"/>
        </w:tabs>
        <w:spacing w:before="121"/>
        <w:ind w:left="1999" w:right="534"/>
        <w:rPr>
          <w:sz w:val="14"/>
        </w:rPr>
      </w:pPr>
      <w:r w:rsidRPr="00EC20A0">
        <w:t>Include a note disclosure in the significant entities’ audited financial statements</w:t>
      </w:r>
      <w:r w:rsidRPr="00EC20A0">
        <w:rPr>
          <w:spacing w:val="-4"/>
        </w:rPr>
        <w:t xml:space="preserve"> </w:t>
      </w:r>
      <w:r w:rsidRPr="00EC20A0">
        <w:t>showing</w:t>
      </w:r>
      <w:r w:rsidRPr="00EC20A0">
        <w:rPr>
          <w:spacing w:val="-4"/>
        </w:rPr>
        <w:t xml:space="preserve"> </w:t>
      </w:r>
      <w:r w:rsidRPr="00EC20A0">
        <w:t>how</w:t>
      </w:r>
      <w:r w:rsidRPr="00EC20A0">
        <w:rPr>
          <w:spacing w:val="-4"/>
        </w:rPr>
        <w:t xml:space="preserve"> </w:t>
      </w:r>
      <w:r w:rsidRPr="00EC20A0">
        <w:t>line</w:t>
      </w:r>
      <w:r w:rsidRPr="00EC20A0">
        <w:rPr>
          <w:spacing w:val="-4"/>
        </w:rPr>
        <w:t xml:space="preserve"> </w:t>
      </w:r>
      <w:r w:rsidRPr="00EC20A0">
        <w:t>items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relate to line items in the U.S. government’s consolidated financial statements, including intragovernmental line items that are later eliminated in compiling the U.S. government’s consolidated financial statements.</w:t>
      </w:r>
      <w:hyperlink w:anchor="_bookmark158" w:history="1">
        <w:r w:rsidRPr="00EC20A0">
          <w:rPr>
            <w:position w:val="7"/>
            <w:sz w:val="14"/>
          </w:rPr>
          <w:t>9</w:t>
        </w:r>
      </w:hyperlink>
    </w:p>
    <w:p w14:paraId="24D6162E" w14:textId="77777777" w:rsidR="00245300" w:rsidRPr="00EC20A0" w:rsidRDefault="00F17249">
      <w:pPr>
        <w:pStyle w:val="Heading5"/>
        <w:spacing w:before="118"/>
        <w:rPr>
          <w:u w:val="none"/>
        </w:rPr>
      </w:pPr>
      <w:bookmarkStart w:id="278" w:name="Treasury_Financial_Manual"/>
      <w:bookmarkEnd w:id="278"/>
      <w:r w:rsidRPr="00EC20A0">
        <w:rPr>
          <w:u w:val="thick"/>
        </w:rPr>
        <w:t>Treasury</w:t>
      </w:r>
      <w:r w:rsidRPr="00EC20A0">
        <w:rPr>
          <w:spacing w:val="-4"/>
          <w:u w:val="thick"/>
        </w:rPr>
        <w:t xml:space="preserve"> </w:t>
      </w:r>
      <w:r w:rsidRPr="00EC20A0">
        <w:rPr>
          <w:u w:val="thick"/>
        </w:rPr>
        <w:t>Financial</w:t>
      </w:r>
      <w:r w:rsidRPr="00EC20A0">
        <w:rPr>
          <w:spacing w:val="-2"/>
          <w:u w:val="thick"/>
        </w:rPr>
        <w:t xml:space="preserve"> Manual</w:t>
      </w:r>
    </w:p>
    <w:p w14:paraId="24D6162F" w14:textId="77777777" w:rsidR="00245300" w:rsidRPr="00EC20A0" w:rsidRDefault="00F17249">
      <w:pPr>
        <w:pStyle w:val="ListParagraph"/>
        <w:numPr>
          <w:ilvl w:val="0"/>
          <w:numId w:val="119"/>
        </w:numPr>
        <w:tabs>
          <w:tab w:val="left" w:pos="1639"/>
        </w:tabs>
        <w:ind w:left="1639" w:right="565"/>
      </w:pPr>
      <w:r w:rsidRPr="00EC20A0">
        <w:t xml:space="preserve">The </w:t>
      </w:r>
      <w:r w:rsidRPr="00EC20A0">
        <w:rPr>
          <w:i/>
        </w:rPr>
        <w:t xml:space="preserve">Treasury Financial Manual </w:t>
      </w:r>
      <w:r w:rsidRPr="00EC20A0">
        <w:t>(TFM), volume 1, part 2, chapter 4700 (TFM 2- 4700),</w:t>
      </w:r>
      <w:r w:rsidRPr="00EC20A0">
        <w:rPr>
          <w:spacing w:val="-13"/>
        </w:rPr>
        <w:t xml:space="preserve"> </w:t>
      </w:r>
      <w:r w:rsidRPr="00EC20A0">
        <w:rPr>
          <w:i/>
        </w:rPr>
        <w:t>Federal Entity Reporting Requirements for the Financial Report of the United</w:t>
      </w:r>
      <w:r w:rsidRPr="00EC20A0">
        <w:rPr>
          <w:i/>
          <w:spacing w:val="-5"/>
        </w:rPr>
        <w:t xml:space="preserve"> </w:t>
      </w:r>
      <w:r w:rsidRPr="00EC20A0">
        <w:rPr>
          <w:i/>
        </w:rPr>
        <w:t>States</w:t>
      </w:r>
      <w:r w:rsidRPr="00EC20A0">
        <w:rPr>
          <w:i/>
          <w:spacing w:val="-5"/>
        </w:rPr>
        <w:t xml:space="preserve"> </w:t>
      </w:r>
      <w:r w:rsidRPr="00EC20A0">
        <w:rPr>
          <w:i/>
        </w:rPr>
        <w:t>Government</w:t>
      </w:r>
      <w:r w:rsidRPr="00EC20A0">
        <w:t>,</w:t>
      </w:r>
      <w:r w:rsidRPr="00EC20A0">
        <w:rPr>
          <w:spacing w:val="-5"/>
        </w:rPr>
        <w:t xml:space="preserve"> </w:t>
      </w:r>
      <w:r w:rsidRPr="00EC20A0">
        <w:t>primarily</w:t>
      </w:r>
      <w:r w:rsidRPr="00EC20A0">
        <w:rPr>
          <w:spacing w:val="-6"/>
        </w:rPr>
        <w:t xml:space="preserve"> </w:t>
      </w:r>
      <w:r w:rsidRPr="00EC20A0">
        <w:t>section</w:t>
      </w:r>
      <w:r w:rsidRPr="00EC20A0">
        <w:rPr>
          <w:spacing w:val="-5"/>
        </w:rPr>
        <w:t xml:space="preserve"> </w:t>
      </w:r>
      <w:r w:rsidRPr="00EC20A0">
        <w:t>4750,</w:t>
      </w:r>
      <w:r w:rsidRPr="00EC20A0">
        <w:rPr>
          <w:spacing w:val="-5"/>
        </w:rPr>
        <w:t xml:space="preserve"> </w:t>
      </w:r>
      <w:r w:rsidRPr="00EC20A0">
        <w:t>provides</w:t>
      </w:r>
      <w:r w:rsidRPr="00EC20A0">
        <w:rPr>
          <w:spacing w:val="-6"/>
        </w:rPr>
        <w:t xml:space="preserve"> </w:t>
      </w:r>
      <w:r w:rsidRPr="00EC20A0">
        <w:t>extensive,</w:t>
      </w:r>
      <w:r w:rsidRPr="00EC20A0">
        <w:rPr>
          <w:spacing w:val="-5"/>
        </w:rPr>
        <w:t xml:space="preserve"> </w:t>
      </w:r>
      <w:r w:rsidRPr="00EC20A0">
        <w:t>detailed information on how federal entities are to properly account for, reconcile, and report intragovernmental activity and balances (and resolve intragovernmental differences).</w:t>
      </w:r>
      <w:hyperlink w:anchor="_bookmark159" w:history="1">
        <w:r w:rsidRPr="00EC20A0">
          <w:rPr>
            <w:position w:val="7"/>
            <w:sz w:val="14"/>
          </w:rPr>
          <w:t>10</w:t>
        </w:r>
      </w:hyperlink>
      <w:r w:rsidRPr="00EC20A0">
        <w:rPr>
          <w:spacing w:val="21"/>
          <w:position w:val="7"/>
          <w:sz w:val="14"/>
        </w:rPr>
        <w:t xml:space="preserve"> </w:t>
      </w:r>
      <w:r w:rsidRPr="00EC20A0">
        <w:t>The TFM has various requirements for federal</w:t>
      </w:r>
      <w:r w:rsidRPr="00EC20A0">
        <w:rPr>
          <w:spacing w:val="-1"/>
        </w:rPr>
        <w:t xml:space="preserve"> </w:t>
      </w:r>
      <w:r w:rsidRPr="00EC20A0">
        <w:t>entities,</w:t>
      </w:r>
      <w:r w:rsidRPr="00EC20A0">
        <w:rPr>
          <w:spacing w:val="-1"/>
        </w:rPr>
        <w:t xml:space="preserve"> </w:t>
      </w:r>
      <w:r w:rsidRPr="00EC20A0">
        <w:t>including the following:</w:t>
      </w:r>
    </w:p>
    <w:p w14:paraId="24D61630" w14:textId="77777777" w:rsidR="00245300" w:rsidRPr="00EC20A0" w:rsidRDefault="00F17249">
      <w:pPr>
        <w:pStyle w:val="ListParagraph"/>
        <w:numPr>
          <w:ilvl w:val="1"/>
          <w:numId w:val="119"/>
        </w:numPr>
        <w:tabs>
          <w:tab w:val="left" w:pos="2000"/>
        </w:tabs>
        <w:spacing w:before="120"/>
        <w:ind w:right="343"/>
      </w:pPr>
      <w:r w:rsidRPr="00EC20A0">
        <w:t xml:space="preserve">Use the </w:t>
      </w:r>
      <w:r w:rsidRPr="00EC20A0">
        <w:rPr>
          <w:i/>
        </w:rPr>
        <w:t xml:space="preserve">United States Standard General Ledger </w:t>
      </w:r>
      <w:r w:rsidRPr="00EC20A0">
        <w:t>(USSGL) account attributes and domains to indicate the nature of account balances and to identify intragovernmental transactions. For example, the federal (i.e., intragovernmental)</w:t>
      </w:r>
      <w:r w:rsidRPr="00EC20A0">
        <w:rPr>
          <w:spacing w:val="-5"/>
        </w:rPr>
        <w:t xml:space="preserve"> </w:t>
      </w:r>
      <w:r w:rsidRPr="00EC20A0">
        <w:t>“F”</w:t>
      </w:r>
      <w:r w:rsidRPr="00EC20A0">
        <w:rPr>
          <w:spacing w:val="-5"/>
        </w:rPr>
        <w:t xml:space="preserve"> </w:t>
      </w:r>
      <w:r w:rsidRPr="00EC20A0">
        <w:t>attribute</w:t>
      </w:r>
      <w:r w:rsidRPr="00EC20A0">
        <w:rPr>
          <w:spacing w:val="-5"/>
        </w:rPr>
        <w:t xml:space="preserve"> </w:t>
      </w:r>
      <w:r w:rsidRPr="00EC20A0">
        <w:t>used</w:t>
      </w:r>
      <w:r w:rsidRPr="00EC20A0">
        <w:rPr>
          <w:spacing w:val="-5"/>
        </w:rPr>
        <w:t xml:space="preserve"> </w:t>
      </w:r>
      <w:r w:rsidRPr="00EC20A0">
        <w:t>in</w:t>
      </w:r>
      <w:r w:rsidRPr="00EC20A0">
        <w:rPr>
          <w:spacing w:val="-5"/>
        </w:rPr>
        <w:t xml:space="preserve"> </w:t>
      </w:r>
      <w:r w:rsidRPr="00EC20A0">
        <w:t>conjunction</w:t>
      </w:r>
      <w:r w:rsidRPr="00EC20A0">
        <w:rPr>
          <w:spacing w:val="-5"/>
        </w:rPr>
        <w:t xml:space="preserve"> </w:t>
      </w:r>
      <w:r w:rsidRPr="00EC20A0">
        <w:t>with</w:t>
      </w:r>
      <w:r w:rsidRPr="00EC20A0">
        <w:rPr>
          <w:spacing w:val="-5"/>
        </w:rPr>
        <w:t xml:space="preserve"> </w:t>
      </w:r>
      <w:r w:rsidRPr="00EC20A0">
        <w:t>USSGL</w:t>
      </w:r>
      <w:r w:rsidRPr="00EC20A0">
        <w:rPr>
          <w:spacing w:val="-5"/>
        </w:rPr>
        <w:t xml:space="preserve"> </w:t>
      </w:r>
      <w:r w:rsidRPr="00EC20A0">
        <w:t>account</w:t>
      </w:r>
      <w:r w:rsidRPr="00EC20A0">
        <w:rPr>
          <w:spacing w:val="-5"/>
        </w:rPr>
        <w:t xml:space="preserve"> </w:t>
      </w:r>
      <w:r w:rsidRPr="00EC20A0">
        <w:t>data enables</w:t>
      </w:r>
      <w:r w:rsidRPr="00EC20A0">
        <w:rPr>
          <w:spacing w:val="-2"/>
        </w:rPr>
        <w:t xml:space="preserve"> </w:t>
      </w:r>
      <w:r w:rsidRPr="00EC20A0">
        <w:t>Fiscal</w:t>
      </w:r>
      <w:r w:rsidRPr="00EC20A0">
        <w:rPr>
          <w:spacing w:val="-2"/>
        </w:rPr>
        <w:t xml:space="preserve"> </w:t>
      </w:r>
      <w:r w:rsidRPr="00EC20A0">
        <w:t>Service</w:t>
      </w:r>
      <w:r w:rsidRPr="00EC20A0">
        <w:rPr>
          <w:spacing w:val="-3"/>
        </w:rPr>
        <w:t xml:space="preserve"> </w:t>
      </w:r>
      <w:r w:rsidRPr="00EC20A0">
        <w:t>to</w:t>
      </w:r>
      <w:r w:rsidRPr="00EC20A0">
        <w:rPr>
          <w:spacing w:val="-2"/>
        </w:rPr>
        <w:t xml:space="preserve"> </w:t>
      </w:r>
      <w:r w:rsidRPr="00EC20A0">
        <w:t>prepare</w:t>
      </w:r>
      <w:r w:rsidRPr="00EC20A0">
        <w:rPr>
          <w:spacing w:val="-2"/>
        </w:rPr>
        <w:t xml:space="preserve"> </w:t>
      </w:r>
      <w:r w:rsidRPr="00EC20A0">
        <w:t>elimination</w:t>
      </w:r>
      <w:r w:rsidRPr="00EC20A0">
        <w:rPr>
          <w:spacing w:val="-2"/>
        </w:rPr>
        <w:t xml:space="preserve"> </w:t>
      </w:r>
      <w:r w:rsidRPr="00EC20A0">
        <w:t>entries</w:t>
      </w:r>
      <w:r w:rsidRPr="00EC20A0">
        <w:rPr>
          <w:spacing w:val="-2"/>
        </w:rPr>
        <w:t xml:space="preserve"> </w:t>
      </w:r>
      <w:r w:rsidRPr="00EC20A0">
        <w:t>for</w:t>
      </w:r>
      <w:r w:rsidRPr="00EC20A0">
        <w:rPr>
          <w:spacing w:val="-2"/>
        </w:rPr>
        <w:t xml:space="preserve"> </w:t>
      </w:r>
      <w:r w:rsidRPr="00EC20A0">
        <w:t>the</w:t>
      </w:r>
      <w:r w:rsidRPr="00EC20A0">
        <w:rPr>
          <w:spacing w:val="-2"/>
        </w:rPr>
        <w:t xml:space="preserve"> </w:t>
      </w:r>
      <w:r w:rsidRPr="00EC20A0">
        <w:t>government-wide financial statements.</w:t>
      </w:r>
    </w:p>
    <w:p w14:paraId="24D61631" w14:textId="77777777" w:rsidR="00245300" w:rsidRPr="00EC20A0" w:rsidRDefault="00F17249">
      <w:pPr>
        <w:pStyle w:val="ListParagraph"/>
        <w:numPr>
          <w:ilvl w:val="1"/>
          <w:numId w:val="119"/>
        </w:numPr>
        <w:tabs>
          <w:tab w:val="left" w:pos="2000"/>
        </w:tabs>
        <w:spacing w:before="118"/>
        <w:ind w:right="791" w:hanging="360"/>
        <w:rPr>
          <w:sz w:val="14"/>
        </w:rPr>
      </w:pPr>
      <w:r w:rsidRPr="00EC20A0">
        <w:t>Add</w:t>
      </w:r>
      <w:r w:rsidRPr="00EC20A0">
        <w:rPr>
          <w:spacing w:val="-4"/>
        </w:rPr>
        <w:t xml:space="preserve"> </w:t>
      </w:r>
      <w:r w:rsidRPr="00EC20A0">
        <w:t>trading</w:t>
      </w:r>
      <w:r w:rsidRPr="00EC20A0">
        <w:rPr>
          <w:spacing w:val="-4"/>
        </w:rPr>
        <w:t xml:space="preserve"> </w:t>
      </w:r>
      <w:r w:rsidRPr="00EC20A0">
        <w:t>partner</w:t>
      </w:r>
      <w:r w:rsidRPr="00EC20A0">
        <w:rPr>
          <w:spacing w:val="-4"/>
        </w:rPr>
        <w:t xml:space="preserve"> </w:t>
      </w:r>
      <w:r w:rsidRPr="00EC20A0">
        <w:t>information</w:t>
      </w:r>
      <w:r w:rsidRPr="00EC20A0">
        <w:rPr>
          <w:spacing w:val="-4"/>
        </w:rPr>
        <w:t xml:space="preserve"> </w:t>
      </w:r>
      <w:r w:rsidRPr="00EC20A0">
        <w:t>to</w:t>
      </w:r>
      <w:r w:rsidRPr="00EC20A0">
        <w:rPr>
          <w:spacing w:val="-4"/>
        </w:rPr>
        <w:t xml:space="preserve"> </w:t>
      </w:r>
      <w:r w:rsidRPr="00EC20A0">
        <w:t>each</w:t>
      </w:r>
      <w:r w:rsidRPr="00EC20A0">
        <w:rPr>
          <w:spacing w:val="-4"/>
        </w:rPr>
        <w:t xml:space="preserve"> </w:t>
      </w:r>
      <w:r w:rsidRPr="00EC20A0">
        <w:t>USSGL</w:t>
      </w:r>
      <w:r w:rsidRPr="00EC20A0">
        <w:rPr>
          <w:spacing w:val="-4"/>
        </w:rPr>
        <w:t xml:space="preserve"> </w:t>
      </w:r>
      <w:r w:rsidRPr="00EC20A0">
        <w:t>account</w:t>
      </w:r>
      <w:r w:rsidRPr="00EC20A0">
        <w:rPr>
          <w:spacing w:val="-4"/>
        </w:rPr>
        <w:t xml:space="preserve"> </w:t>
      </w:r>
      <w:r w:rsidRPr="00EC20A0">
        <w:t>sent</w:t>
      </w:r>
      <w:r w:rsidRPr="00EC20A0">
        <w:rPr>
          <w:spacing w:val="-5"/>
        </w:rPr>
        <w:t xml:space="preserve"> </w:t>
      </w:r>
      <w:r w:rsidRPr="00EC20A0">
        <w:t>to</w:t>
      </w:r>
      <w:r w:rsidRPr="00EC20A0">
        <w:rPr>
          <w:spacing w:val="-4"/>
        </w:rPr>
        <w:t xml:space="preserve"> </w:t>
      </w:r>
      <w:r w:rsidRPr="00EC20A0">
        <w:t>Treasury when the USSGL account has the federal attribute “F.”</w:t>
      </w:r>
      <w:hyperlink w:anchor="_bookmark160" w:history="1">
        <w:r w:rsidRPr="00EC20A0">
          <w:rPr>
            <w:position w:val="7"/>
            <w:sz w:val="14"/>
          </w:rPr>
          <w:t>11</w:t>
        </w:r>
      </w:hyperlink>
    </w:p>
    <w:p w14:paraId="24D61632" w14:textId="77777777" w:rsidR="00245300" w:rsidRPr="00EC20A0" w:rsidRDefault="00F17249">
      <w:pPr>
        <w:pStyle w:val="ListParagraph"/>
        <w:numPr>
          <w:ilvl w:val="1"/>
          <w:numId w:val="119"/>
        </w:numPr>
        <w:tabs>
          <w:tab w:val="left" w:pos="1999"/>
        </w:tabs>
        <w:spacing w:before="118"/>
        <w:ind w:left="1999" w:right="672" w:hanging="360"/>
      </w:pPr>
      <w:r w:rsidRPr="00EC20A0">
        <w:t>Perform various actions throughout the year, including reporting intragovernmental</w:t>
      </w:r>
      <w:r w:rsidRPr="00EC20A0">
        <w:rPr>
          <w:spacing w:val="-5"/>
        </w:rPr>
        <w:t xml:space="preserve"> </w:t>
      </w:r>
      <w:r w:rsidRPr="00EC20A0">
        <w:t>data</w:t>
      </w:r>
      <w:r w:rsidRPr="00EC20A0">
        <w:rPr>
          <w:spacing w:val="-5"/>
        </w:rPr>
        <w:t xml:space="preserve"> </w:t>
      </w:r>
      <w:r w:rsidRPr="00EC20A0">
        <w:t>to</w:t>
      </w:r>
      <w:r w:rsidRPr="00EC20A0">
        <w:rPr>
          <w:spacing w:val="-5"/>
        </w:rPr>
        <w:t xml:space="preserve"> </w:t>
      </w:r>
      <w:r w:rsidRPr="00EC20A0">
        <w:t>Treasury,</w:t>
      </w:r>
      <w:r w:rsidRPr="00EC20A0">
        <w:rPr>
          <w:spacing w:val="-6"/>
        </w:rPr>
        <w:t xml:space="preserve"> </w:t>
      </w:r>
      <w:r w:rsidRPr="00EC20A0">
        <w:t>providing</w:t>
      </w:r>
      <w:r w:rsidRPr="00EC20A0">
        <w:rPr>
          <w:spacing w:val="-5"/>
        </w:rPr>
        <w:t xml:space="preserve"> </w:t>
      </w:r>
      <w:r w:rsidRPr="00EC20A0">
        <w:t>explanations</w:t>
      </w:r>
      <w:r w:rsidRPr="00EC20A0">
        <w:rPr>
          <w:spacing w:val="-6"/>
        </w:rPr>
        <w:t xml:space="preserve"> </w:t>
      </w:r>
      <w:r w:rsidRPr="00EC20A0">
        <w:t>to</w:t>
      </w:r>
      <w:r w:rsidRPr="00EC20A0">
        <w:rPr>
          <w:spacing w:val="-5"/>
        </w:rPr>
        <w:t xml:space="preserve"> </w:t>
      </w:r>
      <w:r w:rsidRPr="00EC20A0">
        <w:t>Treasury</w:t>
      </w:r>
      <w:r w:rsidRPr="00EC20A0">
        <w:rPr>
          <w:spacing w:val="-6"/>
        </w:rPr>
        <w:t xml:space="preserve"> </w:t>
      </w:r>
      <w:r w:rsidRPr="00EC20A0">
        <w:t>for the entities’ inter-entity intragovernmental differences, and working with trading partners to resolve differences.</w:t>
      </w:r>
    </w:p>
    <w:p w14:paraId="24D61633" w14:textId="77777777" w:rsidR="00245300" w:rsidRPr="00EC20A0" w:rsidRDefault="00F17249">
      <w:pPr>
        <w:pStyle w:val="BodyText"/>
        <w:spacing w:before="239"/>
        <w:ind w:left="1639" w:right="1556"/>
        <w:jc w:val="both"/>
      </w:pPr>
      <w:r w:rsidRPr="00EC20A0">
        <w:t>In</w:t>
      </w:r>
      <w:r w:rsidRPr="00EC20A0">
        <w:rPr>
          <w:spacing w:val="-4"/>
        </w:rPr>
        <w:t xml:space="preserve"> </w:t>
      </w:r>
      <w:r w:rsidRPr="00EC20A0">
        <w:t>addition</w:t>
      </w:r>
      <w:r w:rsidRPr="00EC20A0">
        <w:rPr>
          <w:spacing w:val="-5"/>
        </w:rPr>
        <w:t xml:space="preserve"> </w:t>
      </w:r>
      <w:r w:rsidRPr="00EC20A0">
        <w:t>to</w:t>
      </w:r>
      <w:r w:rsidRPr="00EC20A0">
        <w:rPr>
          <w:spacing w:val="-4"/>
        </w:rPr>
        <w:t xml:space="preserve"> </w:t>
      </w:r>
      <w:r w:rsidRPr="00EC20A0">
        <w:t>requirements,</w:t>
      </w:r>
      <w:r w:rsidRPr="00EC20A0">
        <w:rPr>
          <w:spacing w:val="-5"/>
        </w:rPr>
        <w:t xml:space="preserve"> </w:t>
      </w:r>
      <w:r w:rsidRPr="00EC20A0">
        <w:t>the</w:t>
      </w:r>
      <w:r w:rsidRPr="00EC20A0">
        <w:rPr>
          <w:spacing w:val="-4"/>
        </w:rPr>
        <w:t xml:space="preserve"> </w:t>
      </w:r>
      <w:r w:rsidRPr="00EC20A0">
        <w:t>TFM</w:t>
      </w:r>
      <w:r w:rsidRPr="00EC20A0">
        <w:rPr>
          <w:spacing w:val="-5"/>
        </w:rPr>
        <w:t xml:space="preserve"> </w:t>
      </w:r>
      <w:r w:rsidRPr="00EC20A0">
        <w:t>includes</w:t>
      </w:r>
      <w:r w:rsidRPr="00EC20A0">
        <w:rPr>
          <w:spacing w:val="-4"/>
        </w:rPr>
        <w:t xml:space="preserve"> </w:t>
      </w:r>
      <w:r w:rsidRPr="00EC20A0">
        <w:t>instructions</w:t>
      </w:r>
      <w:r w:rsidRPr="00EC20A0">
        <w:rPr>
          <w:spacing w:val="-5"/>
        </w:rPr>
        <w:t xml:space="preserve"> </w:t>
      </w:r>
      <w:r w:rsidRPr="00EC20A0">
        <w:t>for</w:t>
      </w:r>
      <w:r w:rsidRPr="00EC20A0">
        <w:rPr>
          <w:spacing w:val="-4"/>
        </w:rPr>
        <w:t xml:space="preserve"> </w:t>
      </w:r>
      <w:r w:rsidRPr="00EC20A0">
        <w:t>fulfilling requirements, including instructions for</w:t>
      </w:r>
    </w:p>
    <w:p w14:paraId="24D61634" w14:textId="77777777" w:rsidR="00245300" w:rsidRPr="00EC20A0" w:rsidRDefault="00F17249">
      <w:pPr>
        <w:pStyle w:val="ListParagraph"/>
        <w:numPr>
          <w:ilvl w:val="1"/>
          <w:numId w:val="119"/>
        </w:numPr>
        <w:tabs>
          <w:tab w:val="left" w:pos="1999"/>
        </w:tabs>
        <w:spacing w:before="120"/>
        <w:ind w:left="1999" w:right="389" w:hanging="360"/>
        <w:jc w:val="both"/>
      </w:pPr>
      <w:r w:rsidRPr="00EC20A0">
        <w:t>addressing</w:t>
      </w:r>
      <w:r w:rsidRPr="00EC20A0">
        <w:rPr>
          <w:spacing w:val="-6"/>
        </w:rPr>
        <w:t xml:space="preserve"> </w:t>
      </w:r>
      <w:r w:rsidRPr="00EC20A0">
        <w:t>recurring</w:t>
      </w:r>
      <w:r w:rsidRPr="00EC20A0">
        <w:rPr>
          <w:spacing w:val="-6"/>
        </w:rPr>
        <w:t xml:space="preserve"> </w:t>
      </w:r>
      <w:r w:rsidRPr="00EC20A0">
        <w:t>intragovernmental</w:t>
      </w:r>
      <w:r w:rsidRPr="00EC20A0">
        <w:rPr>
          <w:spacing w:val="-6"/>
        </w:rPr>
        <w:t xml:space="preserve"> </w:t>
      </w:r>
      <w:r w:rsidRPr="00EC20A0">
        <w:t>differences</w:t>
      </w:r>
      <w:r w:rsidRPr="00EC20A0">
        <w:rPr>
          <w:spacing w:val="-6"/>
        </w:rPr>
        <w:t xml:space="preserve"> </w:t>
      </w:r>
      <w:r w:rsidRPr="00EC20A0">
        <w:t>by</w:t>
      </w:r>
      <w:r w:rsidRPr="00EC20A0">
        <w:rPr>
          <w:spacing w:val="-6"/>
        </w:rPr>
        <w:t xml:space="preserve"> </w:t>
      </w:r>
      <w:r w:rsidRPr="00EC20A0">
        <w:t>identifying</w:t>
      </w:r>
      <w:r w:rsidRPr="00EC20A0">
        <w:rPr>
          <w:spacing w:val="-6"/>
        </w:rPr>
        <w:t xml:space="preserve"> </w:t>
      </w:r>
      <w:r w:rsidRPr="00EC20A0">
        <w:t>root</w:t>
      </w:r>
      <w:r w:rsidRPr="00EC20A0">
        <w:rPr>
          <w:spacing w:val="-6"/>
        </w:rPr>
        <w:t xml:space="preserve"> </w:t>
      </w:r>
      <w:r w:rsidRPr="00EC20A0">
        <w:t>causes and implementing corrective action plans to resolve the root causes,</w:t>
      </w:r>
    </w:p>
    <w:p w14:paraId="24D61635" w14:textId="77777777" w:rsidR="00245300" w:rsidRPr="00EC20A0" w:rsidRDefault="00F17249">
      <w:pPr>
        <w:pStyle w:val="ListParagraph"/>
        <w:numPr>
          <w:ilvl w:val="1"/>
          <w:numId w:val="119"/>
        </w:numPr>
        <w:tabs>
          <w:tab w:val="left" w:pos="1999"/>
        </w:tabs>
        <w:spacing w:before="118"/>
        <w:ind w:left="1999" w:right="820" w:hanging="360"/>
        <w:jc w:val="both"/>
      </w:pPr>
      <w:r w:rsidRPr="00EC20A0">
        <w:t>submitting</w:t>
      </w:r>
      <w:r w:rsidRPr="00EC20A0">
        <w:rPr>
          <w:spacing w:val="-7"/>
        </w:rPr>
        <w:t xml:space="preserve"> </w:t>
      </w:r>
      <w:r w:rsidRPr="00EC20A0">
        <w:t>intragovernmental</w:t>
      </w:r>
      <w:r w:rsidRPr="00EC20A0">
        <w:rPr>
          <w:spacing w:val="-7"/>
        </w:rPr>
        <w:t xml:space="preserve"> </w:t>
      </w:r>
      <w:r w:rsidRPr="00EC20A0">
        <w:t>differences</w:t>
      </w:r>
      <w:r w:rsidRPr="00EC20A0">
        <w:rPr>
          <w:spacing w:val="-7"/>
        </w:rPr>
        <w:t xml:space="preserve"> </w:t>
      </w:r>
      <w:r w:rsidRPr="00EC20A0">
        <w:t>to</w:t>
      </w:r>
      <w:r w:rsidRPr="00EC20A0">
        <w:rPr>
          <w:spacing w:val="-7"/>
        </w:rPr>
        <w:t xml:space="preserve"> </w:t>
      </w:r>
      <w:r w:rsidRPr="00EC20A0">
        <w:t>Treasury’s</w:t>
      </w:r>
      <w:r w:rsidRPr="00EC20A0">
        <w:rPr>
          <w:spacing w:val="-7"/>
        </w:rPr>
        <w:t xml:space="preserve"> </w:t>
      </w:r>
      <w:r w:rsidRPr="00EC20A0">
        <w:t>dispute</w:t>
      </w:r>
      <w:r w:rsidRPr="00EC20A0">
        <w:rPr>
          <w:spacing w:val="-7"/>
        </w:rPr>
        <w:t xml:space="preserve"> </w:t>
      </w:r>
      <w:r w:rsidRPr="00EC20A0">
        <w:t>resolution process when entities cannot resolve intragovernmental differences with trading partners, and</w:t>
      </w:r>
    </w:p>
    <w:p w14:paraId="24D61636" w14:textId="77777777" w:rsidR="00245300" w:rsidRPr="00EC20A0" w:rsidRDefault="00F17249">
      <w:pPr>
        <w:pStyle w:val="ListParagraph"/>
        <w:numPr>
          <w:ilvl w:val="1"/>
          <w:numId w:val="119"/>
        </w:numPr>
        <w:tabs>
          <w:tab w:val="left" w:pos="1999"/>
        </w:tabs>
        <w:spacing w:before="118"/>
        <w:ind w:left="1999" w:right="1321" w:hanging="360"/>
        <w:jc w:val="both"/>
      </w:pPr>
      <w:r w:rsidRPr="00EC20A0">
        <w:t>submitting</w:t>
      </w:r>
      <w:r w:rsidRPr="00EC20A0">
        <w:rPr>
          <w:spacing w:val="-5"/>
        </w:rPr>
        <w:t xml:space="preserve"> </w:t>
      </w:r>
      <w:r w:rsidRPr="00EC20A0">
        <w:t>year-end</w:t>
      </w:r>
      <w:r w:rsidRPr="00EC20A0">
        <w:rPr>
          <w:spacing w:val="-5"/>
        </w:rPr>
        <w:t xml:space="preserve"> </w:t>
      </w:r>
      <w:r w:rsidRPr="00EC20A0">
        <w:t>information</w:t>
      </w:r>
      <w:r w:rsidRPr="00EC20A0">
        <w:rPr>
          <w:spacing w:val="-5"/>
        </w:rPr>
        <w:t xml:space="preserve"> </w:t>
      </w:r>
      <w:r w:rsidRPr="00EC20A0">
        <w:t>to</w:t>
      </w:r>
      <w:r w:rsidRPr="00EC20A0">
        <w:rPr>
          <w:spacing w:val="-5"/>
        </w:rPr>
        <w:t xml:space="preserve"> </w:t>
      </w:r>
      <w:r w:rsidRPr="00EC20A0">
        <w:t>Treasury</w:t>
      </w:r>
      <w:r w:rsidRPr="00EC20A0">
        <w:rPr>
          <w:spacing w:val="-5"/>
        </w:rPr>
        <w:t xml:space="preserve"> </w:t>
      </w:r>
      <w:r w:rsidRPr="00EC20A0">
        <w:t>for</w:t>
      </w:r>
      <w:r w:rsidRPr="00EC20A0">
        <w:rPr>
          <w:spacing w:val="-5"/>
        </w:rPr>
        <w:t xml:space="preserve"> </w:t>
      </w:r>
      <w:r w:rsidRPr="00EC20A0">
        <w:t>inclusion</w:t>
      </w:r>
      <w:r w:rsidRPr="00EC20A0">
        <w:rPr>
          <w:spacing w:val="-6"/>
        </w:rPr>
        <w:t xml:space="preserve"> </w:t>
      </w:r>
      <w:r w:rsidRPr="00EC20A0">
        <w:t>in</w:t>
      </w:r>
      <w:r w:rsidRPr="00EC20A0">
        <w:rPr>
          <w:spacing w:val="-5"/>
        </w:rPr>
        <w:t xml:space="preserve"> </w:t>
      </w:r>
      <w:r w:rsidRPr="00EC20A0">
        <w:t>the</w:t>
      </w:r>
      <w:r w:rsidRPr="00EC20A0">
        <w:rPr>
          <w:spacing w:val="-5"/>
        </w:rPr>
        <w:t xml:space="preserve"> </w:t>
      </w:r>
      <w:r w:rsidRPr="00EC20A0">
        <w:t>U.S. government’s consolidated financial statements.</w:t>
      </w:r>
    </w:p>
    <w:p w14:paraId="24D61637" w14:textId="77777777" w:rsidR="00245300" w:rsidRPr="00EC20A0" w:rsidRDefault="00245300">
      <w:pPr>
        <w:pStyle w:val="BodyText"/>
        <w:rPr>
          <w:sz w:val="20"/>
        </w:rPr>
      </w:pPr>
    </w:p>
    <w:p w14:paraId="24D61638" w14:textId="77777777" w:rsidR="00245300" w:rsidRPr="00EC20A0" w:rsidRDefault="00245300">
      <w:pPr>
        <w:pStyle w:val="BodyText"/>
        <w:rPr>
          <w:sz w:val="20"/>
        </w:rPr>
      </w:pPr>
    </w:p>
    <w:p w14:paraId="24D61639" w14:textId="77777777" w:rsidR="00245300" w:rsidRPr="00EC20A0" w:rsidRDefault="00F17249">
      <w:pPr>
        <w:pStyle w:val="BodyText"/>
        <w:spacing w:before="85"/>
        <w:rPr>
          <w:sz w:val="20"/>
        </w:rPr>
      </w:pPr>
      <w:r w:rsidRPr="00EC20A0">
        <w:rPr>
          <w:noProof/>
        </w:rPr>
        <mc:AlternateContent>
          <mc:Choice Requires="wps">
            <w:drawing>
              <wp:anchor distT="0" distB="0" distL="0" distR="0" simplePos="0" relativeHeight="487708160" behindDoc="1" locked="0" layoutInCell="1" allowOverlap="1" wp14:anchorId="24D62C8B" wp14:editId="24D62C8C">
                <wp:simplePos x="0" y="0"/>
                <wp:positionH relativeFrom="page">
                  <wp:posOffset>914400</wp:posOffset>
                </wp:positionH>
                <wp:positionV relativeFrom="paragraph">
                  <wp:posOffset>215373</wp:posOffset>
                </wp:positionV>
                <wp:extent cx="1828800" cy="5715"/>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CCED4" id="Graphic 780" o:spid="_x0000_s1026" style="position:absolute;margin-left:1in;margin-top:16.95pt;width:2in;height:.45pt;z-index:-156083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" path="m1828800,l,,,5333r1828800,l1828800,xe" fillcolor="black" stroked="f">
                <v:path arrowok="t"/>
                <w10:wrap type="topAndBottom" anchorx="page"/>
              </v:shape>
            </w:pict>
          </mc:Fallback>
        </mc:AlternateContent>
      </w:r>
    </w:p>
    <w:p w14:paraId="24D6163A" w14:textId="77777777" w:rsidR="00245300" w:rsidRPr="00EC20A0" w:rsidRDefault="00F17249">
      <w:pPr>
        <w:spacing w:before="200" w:line="242" w:lineRule="auto"/>
        <w:ind w:left="199" w:right="345"/>
        <w:rPr>
          <w:sz w:val="18"/>
        </w:rPr>
      </w:pPr>
      <w:bookmarkStart w:id="279" w:name="_bookmark158"/>
      <w:bookmarkEnd w:id="279"/>
      <w:r w:rsidRPr="00EC20A0">
        <w:rPr>
          <w:position w:val="7"/>
          <w:sz w:val="14"/>
        </w:rPr>
        <w:t>9</w:t>
      </w:r>
      <w:r w:rsidRPr="00EC20A0">
        <w:rPr>
          <w:sz w:val="18"/>
        </w:rPr>
        <w:t xml:space="preserve">See TFM vol. 1, pt. 2, </w:t>
      </w:r>
      <w:proofErr w:type="spellStart"/>
      <w:r w:rsidRPr="00EC20A0">
        <w:rPr>
          <w:sz w:val="18"/>
        </w:rPr>
        <w:t>ch.</w:t>
      </w:r>
      <w:proofErr w:type="spellEnd"/>
      <w:r w:rsidRPr="00EC20A0">
        <w:rPr>
          <w:sz w:val="18"/>
        </w:rPr>
        <w:t xml:space="preserve"> 4700 (TFM 2-4700), for a listing of federal entities identified as significant to the U.S. government’s</w:t>
      </w:r>
      <w:r w:rsidRPr="00EC20A0">
        <w:rPr>
          <w:spacing w:val="-4"/>
          <w:sz w:val="18"/>
        </w:rPr>
        <w:t xml:space="preserve"> </w:t>
      </w:r>
      <w:r w:rsidRPr="00EC20A0">
        <w:rPr>
          <w:sz w:val="18"/>
        </w:rPr>
        <w:t>consolidated</w:t>
      </w:r>
      <w:r w:rsidRPr="00EC20A0">
        <w:rPr>
          <w:spacing w:val="-4"/>
          <w:sz w:val="18"/>
        </w:rPr>
        <w:t xml:space="preserve"> </w:t>
      </w:r>
      <w:r w:rsidRPr="00EC20A0">
        <w:rPr>
          <w:sz w:val="18"/>
        </w:rPr>
        <w:t>financial</w:t>
      </w:r>
      <w:r w:rsidRPr="00EC20A0">
        <w:rPr>
          <w:spacing w:val="-4"/>
          <w:sz w:val="18"/>
        </w:rPr>
        <w:t xml:space="preserve"> </w:t>
      </w:r>
      <w:r w:rsidRPr="00EC20A0">
        <w:rPr>
          <w:sz w:val="18"/>
        </w:rPr>
        <w:t>statements</w:t>
      </w:r>
      <w:r w:rsidRPr="00EC20A0">
        <w:rPr>
          <w:spacing w:val="-4"/>
          <w:sz w:val="18"/>
        </w:rPr>
        <w:t xml:space="preserve"> </w:t>
      </w:r>
      <w:r w:rsidRPr="00EC20A0">
        <w:rPr>
          <w:sz w:val="18"/>
        </w:rPr>
        <w:t>(significant</w:t>
      </w:r>
      <w:r w:rsidRPr="00EC20A0">
        <w:rPr>
          <w:spacing w:val="-4"/>
          <w:sz w:val="18"/>
        </w:rPr>
        <w:t xml:space="preserve"> </w:t>
      </w:r>
      <w:r w:rsidRPr="00EC20A0">
        <w:rPr>
          <w:sz w:val="18"/>
        </w:rPr>
        <w:t>entities).</w:t>
      </w:r>
      <w:r w:rsidRPr="00EC20A0">
        <w:rPr>
          <w:spacing w:val="-4"/>
          <w:sz w:val="18"/>
        </w:rPr>
        <w:t xml:space="preserve"> </w:t>
      </w:r>
      <w:r w:rsidRPr="00EC20A0">
        <w:rPr>
          <w:sz w:val="18"/>
        </w:rPr>
        <w:t>Significant</w:t>
      </w:r>
      <w:r w:rsidRPr="00EC20A0">
        <w:rPr>
          <w:spacing w:val="-4"/>
          <w:sz w:val="18"/>
        </w:rPr>
        <w:t xml:space="preserve"> </w:t>
      </w:r>
      <w:r w:rsidRPr="00EC20A0">
        <w:rPr>
          <w:sz w:val="18"/>
        </w:rPr>
        <w:t>entities</w:t>
      </w:r>
      <w:r w:rsidRPr="00EC20A0">
        <w:rPr>
          <w:spacing w:val="-4"/>
          <w:sz w:val="18"/>
        </w:rPr>
        <w:t xml:space="preserve"> </w:t>
      </w:r>
      <w:r w:rsidRPr="00EC20A0">
        <w:rPr>
          <w:sz w:val="18"/>
        </w:rPr>
        <w:t>that</w:t>
      </w:r>
      <w:r w:rsidRPr="00EC20A0">
        <w:rPr>
          <w:spacing w:val="-5"/>
          <w:sz w:val="18"/>
        </w:rPr>
        <w:t xml:space="preserve"> </w:t>
      </w:r>
      <w:r w:rsidRPr="00EC20A0">
        <w:rPr>
          <w:sz w:val="18"/>
        </w:rPr>
        <w:t>are</w:t>
      </w:r>
      <w:r w:rsidRPr="00EC20A0">
        <w:rPr>
          <w:spacing w:val="-4"/>
          <w:sz w:val="18"/>
        </w:rPr>
        <w:t xml:space="preserve"> </w:t>
      </w:r>
      <w:r w:rsidRPr="00EC20A0">
        <w:rPr>
          <w:sz w:val="18"/>
        </w:rPr>
        <w:t>Financial</w:t>
      </w:r>
      <w:r w:rsidRPr="00EC20A0">
        <w:rPr>
          <w:spacing w:val="-4"/>
          <w:sz w:val="18"/>
        </w:rPr>
        <w:t xml:space="preserve"> </w:t>
      </w:r>
      <w:r w:rsidRPr="00EC20A0">
        <w:rPr>
          <w:sz w:val="18"/>
        </w:rPr>
        <w:t>Accounting Standards Board reporters need to also report this note information and have it audited. Such information may be reported by the significant entity in (i) its annual financial report within a note to the financial statements, (ii) a limited use audited financial statement</w:t>
      </w:r>
      <w:r w:rsidRPr="00EC20A0">
        <w:rPr>
          <w:sz w:val="18"/>
        </w:rPr>
        <w:t>s as a note to the financial statements, or (iii) an audited note (an audit of a special element similar to a closing package).</w:t>
      </w:r>
    </w:p>
    <w:p w14:paraId="24D6163B" w14:textId="77777777" w:rsidR="00245300" w:rsidRPr="00EC20A0" w:rsidRDefault="00F17249">
      <w:pPr>
        <w:spacing w:before="121"/>
        <w:ind w:left="200"/>
        <w:rPr>
          <w:sz w:val="18"/>
        </w:rPr>
      </w:pPr>
      <w:bookmarkStart w:id="280" w:name="_bookmark159"/>
      <w:bookmarkEnd w:id="280"/>
      <w:r w:rsidRPr="00EC20A0">
        <w:rPr>
          <w:position w:val="7"/>
          <w:sz w:val="14"/>
        </w:rPr>
        <w:t>10</w:t>
      </w:r>
      <w:r w:rsidRPr="00EC20A0">
        <w:rPr>
          <w:sz w:val="18"/>
        </w:rPr>
        <w:t>The</w:t>
      </w:r>
      <w:r w:rsidRPr="00EC20A0">
        <w:rPr>
          <w:spacing w:val="-3"/>
          <w:sz w:val="18"/>
        </w:rPr>
        <w:t xml:space="preserve"> </w:t>
      </w:r>
      <w:r w:rsidRPr="00EC20A0">
        <w:rPr>
          <w:sz w:val="18"/>
        </w:rPr>
        <w:t>TFM</w:t>
      </w:r>
      <w:r w:rsidRPr="00EC20A0">
        <w:rPr>
          <w:spacing w:val="-3"/>
          <w:sz w:val="18"/>
        </w:rPr>
        <w:t xml:space="preserve"> </w:t>
      </w:r>
      <w:r w:rsidRPr="00EC20A0">
        <w:rPr>
          <w:sz w:val="18"/>
        </w:rPr>
        <w:t>is</w:t>
      </w:r>
      <w:r w:rsidRPr="00EC20A0">
        <w:rPr>
          <w:spacing w:val="-3"/>
          <w:sz w:val="18"/>
        </w:rPr>
        <w:t xml:space="preserve"> </w:t>
      </w:r>
      <w:r w:rsidRPr="00EC20A0">
        <w:rPr>
          <w:sz w:val="18"/>
        </w:rPr>
        <w:t>available</w:t>
      </w:r>
      <w:r w:rsidRPr="00EC20A0">
        <w:rPr>
          <w:spacing w:val="-2"/>
          <w:sz w:val="18"/>
        </w:rPr>
        <w:t xml:space="preserve"> </w:t>
      </w:r>
      <w:r w:rsidRPr="00EC20A0">
        <w:rPr>
          <w:sz w:val="18"/>
        </w:rPr>
        <w:t>at</w:t>
      </w:r>
      <w:r w:rsidRPr="00EC20A0">
        <w:rPr>
          <w:spacing w:val="-4"/>
          <w:sz w:val="18"/>
        </w:rPr>
        <w:t xml:space="preserve"> </w:t>
      </w:r>
      <w:hyperlink r:id="rId146">
        <w:r w:rsidRPr="00EC20A0">
          <w:rPr>
            <w:color w:val="0000FF"/>
            <w:sz w:val="18"/>
            <w:u w:val="single" w:color="0000FF"/>
          </w:rPr>
          <w:t>https://tfx.treasury.gov/tfm</w:t>
        </w:r>
      </w:hyperlink>
      <w:r w:rsidRPr="00EC20A0">
        <w:rPr>
          <w:color w:val="0000FF"/>
          <w:spacing w:val="-3"/>
          <w:sz w:val="18"/>
        </w:rPr>
        <w:t xml:space="preserve"> </w:t>
      </w:r>
      <w:r w:rsidRPr="00EC20A0">
        <w:rPr>
          <w:sz w:val="18"/>
        </w:rPr>
        <w:t>(accessed</w:t>
      </w:r>
      <w:r w:rsidRPr="00EC20A0">
        <w:rPr>
          <w:spacing w:val="-2"/>
          <w:sz w:val="18"/>
        </w:rPr>
        <w:t xml:space="preserve"> </w:t>
      </w:r>
      <w:r w:rsidRPr="00EC20A0">
        <w:rPr>
          <w:sz w:val="18"/>
        </w:rPr>
        <w:t>June</w:t>
      </w:r>
      <w:r w:rsidRPr="00EC20A0">
        <w:rPr>
          <w:spacing w:val="-4"/>
          <w:sz w:val="18"/>
        </w:rPr>
        <w:t xml:space="preserve"> </w:t>
      </w:r>
      <w:r w:rsidRPr="00EC20A0">
        <w:rPr>
          <w:sz w:val="18"/>
        </w:rPr>
        <w:t>4,</w:t>
      </w:r>
      <w:r w:rsidRPr="00EC20A0">
        <w:rPr>
          <w:spacing w:val="-2"/>
          <w:sz w:val="18"/>
        </w:rPr>
        <w:t xml:space="preserve"> 2024).</w:t>
      </w:r>
    </w:p>
    <w:p w14:paraId="24D6163C" w14:textId="77777777" w:rsidR="00245300" w:rsidRPr="00EC20A0" w:rsidRDefault="00F17249">
      <w:pPr>
        <w:spacing w:before="134"/>
        <w:ind w:left="200"/>
        <w:rPr>
          <w:sz w:val="18"/>
        </w:rPr>
      </w:pPr>
      <w:bookmarkStart w:id="281" w:name="_bookmark160"/>
      <w:bookmarkEnd w:id="281"/>
      <w:r w:rsidRPr="00EC20A0">
        <w:rPr>
          <w:position w:val="7"/>
          <w:sz w:val="14"/>
        </w:rPr>
        <w:t>11</w:t>
      </w:r>
      <w:r w:rsidRPr="00EC20A0">
        <w:rPr>
          <w:sz w:val="18"/>
        </w:rPr>
        <w:t>Trading</w:t>
      </w:r>
      <w:r w:rsidRPr="00EC20A0">
        <w:rPr>
          <w:spacing w:val="-8"/>
          <w:sz w:val="18"/>
        </w:rPr>
        <w:t xml:space="preserve"> </w:t>
      </w:r>
      <w:r w:rsidRPr="00EC20A0">
        <w:rPr>
          <w:sz w:val="18"/>
        </w:rPr>
        <w:t>partners</w:t>
      </w:r>
      <w:r w:rsidRPr="00EC20A0">
        <w:rPr>
          <w:spacing w:val="-5"/>
          <w:sz w:val="18"/>
        </w:rPr>
        <w:t xml:space="preserve"> </w:t>
      </w:r>
      <w:r w:rsidRPr="00EC20A0">
        <w:rPr>
          <w:sz w:val="18"/>
        </w:rPr>
        <w:t>are</w:t>
      </w:r>
      <w:r w:rsidRPr="00EC20A0">
        <w:rPr>
          <w:spacing w:val="-5"/>
          <w:sz w:val="18"/>
        </w:rPr>
        <w:t xml:space="preserve"> </w:t>
      </w:r>
      <w:r w:rsidRPr="00EC20A0">
        <w:rPr>
          <w:sz w:val="18"/>
        </w:rPr>
        <w:t>federal</w:t>
      </w:r>
      <w:r w:rsidRPr="00EC20A0">
        <w:rPr>
          <w:spacing w:val="-5"/>
          <w:sz w:val="18"/>
        </w:rPr>
        <w:t xml:space="preserve"> </w:t>
      </w:r>
      <w:r w:rsidRPr="00EC20A0">
        <w:rPr>
          <w:sz w:val="18"/>
        </w:rPr>
        <w:t>agencies,</w:t>
      </w:r>
      <w:r w:rsidRPr="00EC20A0">
        <w:rPr>
          <w:spacing w:val="-5"/>
          <w:sz w:val="18"/>
        </w:rPr>
        <w:t xml:space="preserve"> </w:t>
      </w:r>
      <w:r w:rsidRPr="00EC20A0">
        <w:rPr>
          <w:sz w:val="18"/>
        </w:rPr>
        <w:t>departments,</w:t>
      </w:r>
      <w:r w:rsidRPr="00EC20A0">
        <w:rPr>
          <w:spacing w:val="-5"/>
          <w:sz w:val="18"/>
        </w:rPr>
        <w:t xml:space="preserve"> </w:t>
      </w:r>
      <w:r w:rsidRPr="00EC20A0">
        <w:rPr>
          <w:sz w:val="18"/>
        </w:rPr>
        <w:t>or</w:t>
      </w:r>
      <w:r w:rsidRPr="00EC20A0">
        <w:rPr>
          <w:spacing w:val="-5"/>
          <w:sz w:val="18"/>
        </w:rPr>
        <w:t xml:space="preserve"> </w:t>
      </w:r>
      <w:r w:rsidRPr="00EC20A0">
        <w:rPr>
          <w:sz w:val="18"/>
        </w:rPr>
        <w:t>entities</w:t>
      </w:r>
      <w:r w:rsidRPr="00EC20A0">
        <w:rPr>
          <w:spacing w:val="-5"/>
          <w:sz w:val="18"/>
        </w:rPr>
        <w:t xml:space="preserve"> </w:t>
      </w:r>
      <w:r w:rsidRPr="00EC20A0">
        <w:rPr>
          <w:sz w:val="18"/>
        </w:rPr>
        <w:t>participating</w:t>
      </w:r>
      <w:r w:rsidRPr="00EC20A0">
        <w:rPr>
          <w:spacing w:val="-4"/>
          <w:sz w:val="18"/>
        </w:rPr>
        <w:t xml:space="preserve"> </w:t>
      </w:r>
      <w:r w:rsidRPr="00EC20A0">
        <w:rPr>
          <w:sz w:val="18"/>
        </w:rPr>
        <w:t>in</w:t>
      </w:r>
      <w:r w:rsidRPr="00EC20A0">
        <w:rPr>
          <w:spacing w:val="-5"/>
          <w:sz w:val="18"/>
        </w:rPr>
        <w:t xml:space="preserve"> </w:t>
      </w:r>
      <w:r w:rsidRPr="00EC20A0">
        <w:rPr>
          <w:sz w:val="18"/>
        </w:rPr>
        <w:t>transactions</w:t>
      </w:r>
      <w:r w:rsidRPr="00EC20A0">
        <w:rPr>
          <w:spacing w:val="-5"/>
          <w:sz w:val="18"/>
        </w:rPr>
        <w:t xml:space="preserve"> </w:t>
      </w:r>
      <w:r w:rsidRPr="00EC20A0">
        <w:rPr>
          <w:sz w:val="18"/>
        </w:rPr>
        <w:t>with</w:t>
      </w:r>
      <w:r w:rsidRPr="00EC20A0">
        <w:rPr>
          <w:spacing w:val="-5"/>
          <w:sz w:val="18"/>
        </w:rPr>
        <w:t xml:space="preserve"> </w:t>
      </w:r>
      <w:r w:rsidRPr="00EC20A0">
        <w:rPr>
          <w:sz w:val="18"/>
        </w:rPr>
        <w:t>each</w:t>
      </w:r>
      <w:r w:rsidRPr="00EC20A0">
        <w:rPr>
          <w:spacing w:val="-4"/>
          <w:sz w:val="18"/>
        </w:rPr>
        <w:t xml:space="preserve"> </w:t>
      </w:r>
      <w:r w:rsidRPr="00EC20A0">
        <w:rPr>
          <w:spacing w:val="-2"/>
          <w:sz w:val="18"/>
        </w:rPr>
        <w:t>other.</w:t>
      </w:r>
    </w:p>
    <w:p w14:paraId="24D6163D" w14:textId="77777777" w:rsidR="00245300" w:rsidRPr="00EC20A0" w:rsidRDefault="00245300">
      <w:pPr>
        <w:rPr>
          <w:sz w:val="18"/>
        </w:rPr>
        <w:sectPr w:rsidR="00245300" w:rsidRPr="00EC20A0">
          <w:pgSz w:w="12240" w:h="15840"/>
          <w:pgMar w:top="1340" w:right="1100" w:bottom="940" w:left="1240" w:header="721" w:footer="757" w:gutter="0"/>
          <w:cols w:space="720"/>
        </w:sectPr>
      </w:pPr>
    </w:p>
    <w:p w14:paraId="24D6163E" w14:textId="77777777" w:rsidR="00245300" w:rsidRPr="00EC20A0" w:rsidRDefault="00F17249">
      <w:pPr>
        <w:pStyle w:val="BodyText"/>
        <w:spacing w:before="121"/>
        <w:ind w:left="1640"/>
      </w:pPr>
      <w:r w:rsidRPr="00EC20A0">
        <w:t>The</w:t>
      </w:r>
      <w:r w:rsidRPr="00EC20A0">
        <w:rPr>
          <w:spacing w:val="-6"/>
        </w:rPr>
        <w:t xml:space="preserve"> </w:t>
      </w:r>
      <w:r w:rsidRPr="00EC20A0">
        <w:t>TFM</w:t>
      </w:r>
      <w:r w:rsidRPr="00EC20A0">
        <w:rPr>
          <w:spacing w:val="-7"/>
        </w:rPr>
        <w:t xml:space="preserve"> </w:t>
      </w:r>
      <w:r w:rsidRPr="00EC20A0">
        <w:t>also</w:t>
      </w:r>
      <w:r w:rsidRPr="00EC20A0">
        <w:rPr>
          <w:spacing w:val="-6"/>
        </w:rPr>
        <w:t xml:space="preserve"> </w:t>
      </w:r>
      <w:r w:rsidRPr="00EC20A0">
        <w:t>includes</w:t>
      </w:r>
      <w:r w:rsidRPr="00EC20A0">
        <w:rPr>
          <w:spacing w:val="-7"/>
        </w:rPr>
        <w:t xml:space="preserve"> </w:t>
      </w:r>
      <w:r w:rsidRPr="00EC20A0">
        <w:t>various</w:t>
      </w:r>
      <w:r w:rsidRPr="00EC20A0">
        <w:rPr>
          <w:spacing w:val="-6"/>
        </w:rPr>
        <w:t xml:space="preserve"> </w:t>
      </w:r>
      <w:r w:rsidRPr="00EC20A0">
        <w:t>aids,</w:t>
      </w:r>
      <w:r w:rsidRPr="00EC20A0">
        <w:rPr>
          <w:spacing w:val="-6"/>
        </w:rPr>
        <w:t xml:space="preserve"> </w:t>
      </w:r>
      <w:r w:rsidRPr="00EC20A0">
        <w:rPr>
          <w:spacing w:val="-2"/>
        </w:rPr>
        <w:t>including</w:t>
      </w:r>
    </w:p>
    <w:p w14:paraId="24D6163F" w14:textId="77777777" w:rsidR="00245300" w:rsidRPr="00EC20A0" w:rsidRDefault="00F17249">
      <w:pPr>
        <w:pStyle w:val="ListParagraph"/>
        <w:numPr>
          <w:ilvl w:val="1"/>
          <w:numId w:val="119"/>
        </w:numPr>
        <w:tabs>
          <w:tab w:val="left" w:pos="1999"/>
        </w:tabs>
        <w:spacing w:before="120"/>
        <w:ind w:left="1999" w:right="2101" w:hanging="360"/>
      </w:pPr>
      <w:r w:rsidRPr="00EC20A0">
        <w:t>an</w:t>
      </w:r>
      <w:r w:rsidRPr="00EC20A0">
        <w:rPr>
          <w:spacing w:val="-5"/>
        </w:rPr>
        <w:t xml:space="preserve"> </w:t>
      </w:r>
      <w:r w:rsidRPr="00EC20A0">
        <w:t>appendix</w:t>
      </w:r>
      <w:r w:rsidRPr="00EC20A0">
        <w:rPr>
          <w:spacing w:val="-6"/>
        </w:rPr>
        <w:t xml:space="preserve"> </w:t>
      </w:r>
      <w:r w:rsidRPr="00EC20A0">
        <w:t>dedicated</w:t>
      </w:r>
      <w:r w:rsidRPr="00EC20A0">
        <w:rPr>
          <w:spacing w:val="-5"/>
        </w:rPr>
        <w:t xml:space="preserve"> </w:t>
      </w:r>
      <w:r w:rsidRPr="00EC20A0">
        <w:t>to</w:t>
      </w:r>
      <w:r w:rsidRPr="00EC20A0">
        <w:rPr>
          <w:spacing w:val="-5"/>
        </w:rPr>
        <w:t xml:space="preserve"> </w:t>
      </w:r>
      <w:r w:rsidRPr="00EC20A0">
        <w:t>explaining</w:t>
      </w:r>
      <w:r w:rsidRPr="00EC20A0">
        <w:rPr>
          <w:spacing w:val="-6"/>
        </w:rPr>
        <w:t xml:space="preserve"> </w:t>
      </w:r>
      <w:r w:rsidRPr="00EC20A0">
        <w:t>the</w:t>
      </w:r>
      <w:r w:rsidRPr="00EC20A0">
        <w:rPr>
          <w:spacing w:val="-5"/>
        </w:rPr>
        <w:t xml:space="preserve"> </w:t>
      </w:r>
      <w:r w:rsidRPr="00EC20A0">
        <w:t>proper</w:t>
      </w:r>
      <w:r w:rsidRPr="00EC20A0">
        <w:rPr>
          <w:spacing w:val="-5"/>
        </w:rPr>
        <w:t xml:space="preserve"> </w:t>
      </w:r>
      <w:r w:rsidRPr="00EC20A0">
        <w:t>recording</w:t>
      </w:r>
      <w:r w:rsidRPr="00EC20A0">
        <w:rPr>
          <w:spacing w:val="-5"/>
        </w:rPr>
        <w:t xml:space="preserve"> </w:t>
      </w:r>
      <w:r w:rsidRPr="00EC20A0">
        <w:t>of intragovernmental transactions with the General Fund;</w:t>
      </w:r>
    </w:p>
    <w:p w14:paraId="24D61640" w14:textId="77777777" w:rsidR="00245300" w:rsidRPr="00EC20A0" w:rsidRDefault="00F17249">
      <w:pPr>
        <w:pStyle w:val="ListParagraph"/>
        <w:numPr>
          <w:ilvl w:val="1"/>
          <w:numId w:val="119"/>
        </w:numPr>
        <w:tabs>
          <w:tab w:val="left" w:pos="1999"/>
        </w:tabs>
        <w:spacing w:before="118"/>
        <w:ind w:left="1999" w:right="829" w:hanging="360"/>
      </w:pPr>
      <w:r w:rsidRPr="00EC20A0">
        <w:t>crosswalks indicating how the entities’ year-end information (which is submitted</w:t>
      </w:r>
      <w:r w:rsidRPr="00EC20A0">
        <w:rPr>
          <w:spacing w:val="-4"/>
        </w:rPr>
        <w:t xml:space="preserve"> </w:t>
      </w:r>
      <w:r w:rsidRPr="00EC20A0">
        <w:t>to</w:t>
      </w:r>
      <w:r w:rsidRPr="00EC20A0">
        <w:rPr>
          <w:spacing w:val="-4"/>
        </w:rPr>
        <w:t xml:space="preserve"> </w:t>
      </w:r>
      <w:r w:rsidRPr="00EC20A0">
        <w:t>Treasury)</w:t>
      </w:r>
      <w:r w:rsidRPr="00EC20A0">
        <w:rPr>
          <w:spacing w:val="-4"/>
        </w:rPr>
        <w:t xml:space="preserve"> </w:t>
      </w:r>
      <w:r w:rsidRPr="00EC20A0">
        <w:t>is</w:t>
      </w:r>
      <w:r w:rsidRPr="00EC20A0">
        <w:rPr>
          <w:spacing w:val="-5"/>
        </w:rPr>
        <w:t xml:space="preserve"> </w:t>
      </w:r>
      <w:r w:rsidRPr="00EC20A0">
        <w:t>reported</w:t>
      </w:r>
      <w:r w:rsidRPr="00EC20A0">
        <w:rPr>
          <w:spacing w:val="-4"/>
        </w:rPr>
        <w:t xml:space="preserve"> </w:t>
      </w:r>
      <w:r w:rsidRPr="00EC20A0">
        <w:t>in</w:t>
      </w:r>
      <w:r w:rsidRPr="00EC20A0">
        <w:rPr>
          <w:spacing w:val="-5"/>
        </w:rPr>
        <w:t xml:space="preserve"> </w:t>
      </w:r>
      <w:r w:rsidRPr="00EC20A0">
        <w:t>the</w:t>
      </w:r>
      <w:r w:rsidRPr="00EC20A0">
        <w:rPr>
          <w:spacing w:val="-4"/>
        </w:rPr>
        <w:t xml:space="preserve"> </w:t>
      </w:r>
      <w:r w:rsidRPr="00EC20A0">
        <w:t>U.S.</w:t>
      </w:r>
      <w:r w:rsidRPr="00EC20A0">
        <w:rPr>
          <w:spacing w:val="-4"/>
        </w:rPr>
        <w:t xml:space="preserve"> </w:t>
      </w:r>
      <w:r w:rsidRPr="00EC20A0">
        <w:t>government’s</w:t>
      </w:r>
      <w:r w:rsidRPr="00EC20A0">
        <w:rPr>
          <w:spacing w:val="-4"/>
        </w:rPr>
        <w:t xml:space="preserve"> </w:t>
      </w:r>
      <w:r w:rsidRPr="00EC20A0">
        <w:t>consolidated financial statements; and</w:t>
      </w:r>
    </w:p>
    <w:p w14:paraId="24D61641" w14:textId="77777777" w:rsidR="00245300" w:rsidRPr="00EC20A0" w:rsidRDefault="00F17249">
      <w:pPr>
        <w:pStyle w:val="ListParagraph"/>
        <w:numPr>
          <w:ilvl w:val="1"/>
          <w:numId w:val="119"/>
        </w:numPr>
        <w:tabs>
          <w:tab w:val="left" w:pos="1999"/>
        </w:tabs>
        <w:spacing w:before="119"/>
        <w:ind w:left="1999" w:right="525" w:hanging="360"/>
        <w:rPr>
          <w:sz w:val="14"/>
        </w:rPr>
      </w:pPr>
      <w:r w:rsidRPr="00EC20A0">
        <w:t>various</w:t>
      </w:r>
      <w:r w:rsidRPr="00EC20A0">
        <w:rPr>
          <w:spacing w:val="-5"/>
        </w:rPr>
        <w:t xml:space="preserve"> </w:t>
      </w:r>
      <w:r w:rsidRPr="00EC20A0">
        <w:t>tables</w:t>
      </w:r>
      <w:r w:rsidRPr="00EC20A0">
        <w:rPr>
          <w:spacing w:val="-5"/>
        </w:rPr>
        <w:t xml:space="preserve"> </w:t>
      </w:r>
      <w:r w:rsidRPr="00EC20A0">
        <w:t>listing</w:t>
      </w:r>
      <w:r w:rsidRPr="00EC20A0">
        <w:rPr>
          <w:spacing w:val="-5"/>
        </w:rPr>
        <w:t xml:space="preserve"> </w:t>
      </w:r>
      <w:r w:rsidRPr="00EC20A0">
        <w:t>federal</w:t>
      </w:r>
      <w:r w:rsidRPr="00EC20A0">
        <w:rPr>
          <w:spacing w:val="-5"/>
        </w:rPr>
        <w:t xml:space="preserve"> </w:t>
      </w:r>
      <w:r w:rsidRPr="00EC20A0">
        <w:t>entity</w:t>
      </w:r>
      <w:r w:rsidRPr="00EC20A0">
        <w:rPr>
          <w:spacing w:val="-5"/>
        </w:rPr>
        <w:t xml:space="preserve"> </w:t>
      </w:r>
      <w:r w:rsidRPr="00EC20A0">
        <w:t>identification</w:t>
      </w:r>
      <w:r w:rsidRPr="00EC20A0">
        <w:rPr>
          <w:spacing w:val="-5"/>
        </w:rPr>
        <w:t xml:space="preserve"> </w:t>
      </w:r>
      <w:r w:rsidRPr="00EC20A0">
        <w:t>codes,</w:t>
      </w:r>
      <w:r w:rsidRPr="00EC20A0">
        <w:rPr>
          <w:spacing w:val="-5"/>
        </w:rPr>
        <w:t xml:space="preserve"> </w:t>
      </w:r>
      <w:r w:rsidRPr="00EC20A0">
        <w:t>types</w:t>
      </w:r>
      <w:r w:rsidRPr="00EC20A0">
        <w:rPr>
          <w:spacing w:val="-5"/>
        </w:rPr>
        <w:t xml:space="preserve"> </w:t>
      </w:r>
      <w:r w:rsidRPr="00EC20A0">
        <w:t>of</w:t>
      </w:r>
      <w:r w:rsidRPr="00EC20A0">
        <w:rPr>
          <w:spacing w:val="-5"/>
        </w:rPr>
        <w:t xml:space="preserve"> </w:t>
      </w:r>
      <w:r w:rsidRPr="00EC20A0">
        <w:t>transactions per reciprocal category, and USSGL accounts per reciprocal category.</w:t>
      </w:r>
      <w:hyperlink w:anchor="_bookmark161" w:history="1">
        <w:r w:rsidRPr="00EC20A0">
          <w:rPr>
            <w:position w:val="7"/>
            <w:sz w:val="14"/>
          </w:rPr>
          <w:t>12</w:t>
        </w:r>
      </w:hyperlink>
    </w:p>
    <w:p w14:paraId="24D61642" w14:textId="77777777" w:rsidR="00245300" w:rsidRPr="00EC20A0" w:rsidRDefault="00F17249">
      <w:pPr>
        <w:pStyle w:val="Heading5"/>
        <w:spacing w:before="119"/>
        <w:rPr>
          <w:u w:val="none"/>
        </w:rPr>
      </w:pPr>
      <w:bookmarkStart w:id="282" w:name="Management_Representations"/>
      <w:bookmarkEnd w:id="282"/>
      <w:r w:rsidRPr="00EC20A0">
        <w:t>Management</w:t>
      </w:r>
      <w:r w:rsidRPr="00EC20A0">
        <w:rPr>
          <w:spacing w:val="-6"/>
        </w:rPr>
        <w:t xml:space="preserve"> </w:t>
      </w:r>
      <w:r w:rsidRPr="00EC20A0">
        <w:rPr>
          <w:spacing w:val="-2"/>
        </w:rPr>
        <w:t>Representations</w:t>
      </w:r>
    </w:p>
    <w:p w14:paraId="24D61643" w14:textId="77777777" w:rsidR="00245300" w:rsidRPr="00EC20A0" w:rsidRDefault="00F17249">
      <w:pPr>
        <w:pStyle w:val="ListParagraph"/>
        <w:numPr>
          <w:ilvl w:val="0"/>
          <w:numId w:val="119"/>
        </w:numPr>
        <w:tabs>
          <w:tab w:val="left" w:pos="1640"/>
        </w:tabs>
        <w:spacing w:before="238"/>
        <w:ind w:right="556" w:hanging="721"/>
      </w:pPr>
      <w:r w:rsidRPr="00EC20A0">
        <w:t>To emphasize entity management’s responsibility for identifying intragovernmental transactions and balances and resolving inter-entity differences, intragovernmental representations are included in two year-end representations:</w:t>
      </w:r>
      <w:r w:rsidRPr="00EC20A0">
        <w:rPr>
          <w:spacing w:val="-5"/>
        </w:rPr>
        <w:t xml:space="preserve"> </w:t>
      </w:r>
      <w:r w:rsidRPr="00EC20A0">
        <w:t>(i)</w:t>
      </w:r>
      <w:r w:rsidRPr="00EC20A0">
        <w:rPr>
          <w:spacing w:val="-5"/>
        </w:rPr>
        <w:t xml:space="preserve"> </w:t>
      </w:r>
      <w:r w:rsidRPr="00EC20A0">
        <w:t>the</w:t>
      </w:r>
      <w:r w:rsidRPr="00EC20A0">
        <w:rPr>
          <w:spacing w:val="-6"/>
        </w:rPr>
        <w:t xml:space="preserve"> </w:t>
      </w:r>
      <w:r w:rsidRPr="00EC20A0">
        <w:t>management</w:t>
      </w:r>
      <w:r w:rsidRPr="00EC20A0">
        <w:rPr>
          <w:spacing w:val="-5"/>
        </w:rPr>
        <w:t xml:space="preserve"> </w:t>
      </w:r>
      <w:r w:rsidRPr="00EC20A0">
        <w:t>representation</w:t>
      </w:r>
      <w:r w:rsidRPr="00EC20A0">
        <w:rPr>
          <w:spacing w:val="-5"/>
        </w:rPr>
        <w:t xml:space="preserve"> </w:t>
      </w:r>
      <w:r w:rsidRPr="00EC20A0">
        <w:t>letter</w:t>
      </w:r>
      <w:r w:rsidRPr="00EC20A0">
        <w:rPr>
          <w:spacing w:val="-5"/>
        </w:rPr>
        <w:t xml:space="preserve"> </w:t>
      </w:r>
      <w:r w:rsidRPr="00EC20A0">
        <w:t>(which</w:t>
      </w:r>
      <w:r w:rsidRPr="00EC20A0">
        <w:rPr>
          <w:spacing w:val="-5"/>
        </w:rPr>
        <w:t xml:space="preserve"> </w:t>
      </w:r>
      <w:r w:rsidRPr="00EC20A0">
        <w:t>is</w:t>
      </w:r>
      <w:r w:rsidRPr="00EC20A0">
        <w:rPr>
          <w:spacing w:val="-5"/>
        </w:rPr>
        <w:t xml:space="preserve"> </w:t>
      </w:r>
      <w:r w:rsidRPr="00EC20A0">
        <w:t>provided</w:t>
      </w:r>
      <w:r w:rsidRPr="00EC20A0">
        <w:rPr>
          <w:spacing w:val="-5"/>
        </w:rPr>
        <w:t xml:space="preserve"> </w:t>
      </w:r>
      <w:r w:rsidRPr="00EC20A0">
        <w:t>for the</w:t>
      </w:r>
      <w:r w:rsidRPr="00EC20A0">
        <w:rPr>
          <w:spacing w:val="-2"/>
        </w:rPr>
        <w:t xml:space="preserve"> </w:t>
      </w:r>
      <w:r w:rsidRPr="00EC20A0">
        <w:t>audits</w:t>
      </w:r>
      <w:r w:rsidRPr="00EC20A0">
        <w:rPr>
          <w:spacing w:val="-2"/>
        </w:rPr>
        <w:t xml:space="preserve"> </w:t>
      </w:r>
      <w:r w:rsidRPr="00EC20A0">
        <w:t>of</w:t>
      </w:r>
      <w:r w:rsidRPr="00EC20A0">
        <w:rPr>
          <w:spacing w:val="-3"/>
        </w:rPr>
        <w:t xml:space="preserve"> </w:t>
      </w:r>
      <w:r w:rsidRPr="00EC20A0">
        <w:t>the</w:t>
      </w:r>
      <w:r w:rsidRPr="00EC20A0">
        <w:rPr>
          <w:spacing w:val="-2"/>
        </w:rPr>
        <w:t xml:space="preserve"> </w:t>
      </w:r>
      <w:r w:rsidRPr="00EC20A0">
        <w:t>entity’s</w:t>
      </w:r>
      <w:r w:rsidRPr="00EC20A0">
        <w:rPr>
          <w:spacing w:val="-3"/>
        </w:rPr>
        <w:t xml:space="preserve"> </w:t>
      </w:r>
      <w:r w:rsidRPr="00EC20A0">
        <w:t>financial</w:t>
      </w:r>
      <w:r w:rsidRPr="00EC20A0">
        <w:rPr>
          <w:spacing w:val="-3"/>
        </w:rPr>
        <w:t xml:space="preserve"> </w:t>
      </w:r>
      <w:r w:rsidRPr="00EC20A0">
        <w:t>statements)</w:t>
      </w:r>
      <w:r w:rsidRPr="00EC20A0">
        <w:rPr>
          <w:spacing w:val="-2"/>
        </w:rPr>
        <w:t xml:space="preserve"> </w:t>
      </w:r>
      <w:r w:rsidRPr="00EC20A0">
        <w:t>and</w:t>
      </w:r>
      <w:r w:rsidRPr="00EC20A0">
        <w:rPr>
          <w:spacing w:val="-2"/>
        </w:rPr>
        <w:t xml:space="preserve"> </w:t>
      </w:r>
      <w:r w:rsidRPr="00EC20A0">
        <w:t>(ii)</w:t>
      </w:r>
      <w:r w:rsidRPr="00EC20A0">
        <w:rPr>
          <w:spacing w:val="-2"/>
        </w:rPr>
        <w:t xml:space="preserve"> </w:t>
      </w:r>
      <w:r w:rsidRPr="00EC20A0">
        <w:t>the</w:t>
      </w:r>
      <w:r w:rsidRPr="00EC20A0">
        <w:rPr>
          <w:spacing w:val="-2"/>
        </w:rPr>
        <w:t xml:space="preserve"> </w:t>
      </w:r>
      <w:r w:rsidRPr="00EC20A0">
        <w:rPr>
          <w:i/>
        </w:rPr>
        <w:t>CFO</w:t>
      </w:r>
      <w:r w:rsidRPr="00EC20A0">
        <w:rPr>
          <w:i/>
          <w:spacing w:val="-2"/>
        </w:rPr>
        <w:t xml:space="preserve"> </w:t>
      </w:r>
      <w:r w:rsidRPr="00EC20A0">
        <w:rPr>
          <w:i/>
        </w:rPr>
        <w:t xml:space="preserve">Representations for Intragovernmental Activity and Balances Form </w:t>
      </w:r>
      <w:r w:rsidRPr="00EC20A0">
        <w:t>(which is provided to the entity’s inspector general, Fiscal Service, and GAO).</w:t>
      </w:r>
    </w:p>
    <w:p w14:paraId="24D61644" w14:textId="77777777" w:rsidR="00245300" w:rsidRPr="00EC20A0" w:rsidRDefault="00F17249">
      <w:pPr>
        <w:pStyle w:val="BodyText"/>
        <w:spacing w:before="241"/>
        <w:ind w:left="1640" w:right="405"/>
      </w:pPr>
      <w:r w:rsidRPr="00EC20A0">
        <w:t>The</w:t>
      </w:r>
      <w:r w:rsidRPr="00EC20A0">
        <w:rPr>
          <w:spacing w:val="-5"/>
        </w:rPr>
        <w:t xml:space="preserve"> </w:t>
      </w:r>
      <w:r w:rsidRPr="00EC20A0">
        <w:t>management</w:t>
      </w:r>
      <w:r w:rsidRPr="00EC20A0">
        <w:rPr>
          <w:spacing w:val="-5"/>
        </w:rPr>
        <w:t xml:space="preserve"> </w:t>
      </w:r>
      <w:r w:rsidRPr="00EC20A0">
        <w:t>representation</w:t>
      </w:r>
      <w:r w:rsidRPr="00EC20A0">
        <w:rPr>
          <w:spacing w:val="-5"/>
        </w:rPr>
        <w:t xml:space="preserve"> </w:t>
      </w:r>
      <w:r w:rsidRPr="00EC20A0">
        <w:t>letter</w:t>
      </w:r>
      <w:r w:rsidRPr="00EC20A0">
        <w:rPr>
          <w:spacing w:val="-5"/>
        </w:rPr>
        <w:t xml:space="preserve"> </w:t>
      </w:r>
      <w:r w:rsidRPr="00EC20A0">
        <w:t>includes</w:t>
      </w:r>
      <w:r w:rsidRPr="00EC20A0">
        <w:rPr>
          <w:spacing w:val="-6"/>
        </w:rPr>
        <w:t xml:space="preserve"> </w:t>
      </w:r>
      <w:r w:rsidRPr="00EC20A0">
        <w:t>both</w:t>
      </w:r>
      <w:r w:rsidRPr="00EC20A0">
        <w:rPr>
          <w:spacing w:val="-5"/>
        </w:rPr>
        <w:t xml:space="preserve"> </w:t>
      </w:r>
      <w:r w:rsidRPr="00EC20A0">
        <w:t>intragovernmental</w:t>
      </w:r>
      <w:r w:rsidRPr="00EC20A0">
        <w:rPr>
          <w:spacing w:val="-5"/>
        </w:rPr>
        <w:t xml:space="preserve"> </w:t>
      </w:r>
      <w:r w:rsidRPr="00EC20A0">
        <w:t>and</w:t>
      </w:r>
      <w:r w:rsidRPr="00EC20A0">
        <w:rPr>
          <w:spacing w:val="-5"/>
        </w:rPr>
        <w:t xml:space="preserve"> </w:t>
      </w:r>
      <w:r w:rsidRPr="00EC20A0">
        <w:t>non- intragovernmental representations. The intragovernmental representations include those for intra-entity intragovernmental eliminations, proper accounting and disclosure of transactions, and resolution (or inability to resolve) of inter- entity intragovernmental transactions with trading partners. Note that if the auditor believes that such representation is not supported by management, the auditor should assess the effect of the inade</w:t>
      </w:r>
      <w:r w:rsidRPr="00EC20A0">
        <w:t>quate disclosure on the auditor’s opinion (see FAM 1001).</w:t>
      </w:r>
    </w:p>
    <w:p w14:paraId="24D61645" w14:textId="77777777" w:rsidR="00245300" w:rsidRPr="00EC20A0" w:rsidRDefault="00F17249">
      <w:pPr>
        <w:pStyle w:val="BodyText"/>
        <w:spacing w:before="240"/>
        <w:ind w:left="1640" w:right="408"/>
      </w:pPr>
      <w:r w:rsidRPr="00EC20A0">
        <w:t xml:space="preserve">The </w:t>
      </w:r>
      <w:r w:rsidRPr="00EC20A0">
        <w:rPr>
          <w:i/>
        </w:rPr>
        <w:t xml:space="preserve">CFO Representations for Intragovernmental Activity and Balances Form </w:t>
      </w:r>
      <w:r w:rsidRPr="00EC20A0">
        <w:t>includes intragovernmental representations regarding the consistency between the information the entity submits to Treasury for consolidation and the sources of that information, inter-entity intragovernmental activity and balances with specific trading partners, the independent auditor’s proposed adjustments, and the</w:t>
      </w:r>
      <w:r w:rsidRPr="00EC20A0">
        <w:rPr>
          <w:spacing w:val="-5"/>
        </w:rPr>
        <w:t xml:space="preserve"> </w:t>
      </w:r>
      <w:r w:rsidRPr="00EC20A0">
        <w:t>CFO’s</w:t>
      </w:r>
      <w:r w:rsidRPr="00EC20A0">
        <w:rPr>
          <w:spacing w:val="-5"/>
        </w:rPr>
        <w:t xml:space="preserve"> </w:t>
      </w:r>
      <w:r w:rsidRPr="00EC20A0">
        <w:t>monitoring</w:t>
      </w:r>
      <w:r w:rsidRPr="00EC20A0">
        <w:rPr>
          <w:spacing w:val="-5"/>
        </w:rPr>
        <w:t xml:space="preserve"> </w:t>
      </w:r>
      <w:r w:rsidRPr="00EC20A0">
        <w:t>of</w:t>
      </w:r>
      <w:r w:rsidRPr="00EC20A0">
        <w:rPr>
          <w:spacing w:val="-5"/>
        </w:rPr>
        <w:t xml:space="preserve"> </w:t>
      </w:r>
      <w:r w:rsidRPr="00EC20A0">
        <w:t>inter-entity</w:t>
      </w:r>
      <w:r w:rsidRPr="00EC20A0">
        <w:rPr>
          <w:spacing w:val="-6"/>
        </w:rPr>
        <w:t xml:space="preserve"> </w:t>
      </w:r>
      <w:r w:rsidRPr="00EC20A0">
        <w:t>intragovernmental</w:t>
      </w:r>
      <w:r w:rsidRPr="00EC20A0">
        <w:rPr>
          <w:spacing w:val="-5"/>
        </w:rPr>
        <w:t xml:space="preserve"> </w:t>
      </w:r>
      <w:r w:rsidRPr="00EC20A0">
        <w:t>differences</w:t>
      </w:r>
      <w:r w:rsidRPr="00EC20A0">
        <w:rPr>
          <w:spacing w:val="-5"/>
        </w:rPr>
        <w:t xml:space="preserve"> </w:t>
      </w:r>
      <w:r w:rsidRPr="00EC20A0">
        <w:t>throughout</w:t>
      </w:r>
      <w:r w:rsidRPr="00EC20A0">
        <w:rPr>
          <w:spacing w:val="-5"/>
        </w:rPr>
        <w:t xml:space="preserve"> </w:t>
      </w:r>
      <w:r w:rsidRPr="00EC20A0">
        <w:t xml:space="preserve">the </w:t>
      </w:r>
      <w:r w:rsidRPr="00EC20A0">
        <w:rPr>
          <w:spacing w:val="-2"/>
        </w:rPr>
        <w:t>year.</w:t>
      </w:r>
    </w:p>
    <w:p w14:paraId="24D61646" w14:textId="77777777" w:rsidR="00245300" w:rsidRPr="00EC20A0" w:rsidRDefault="00F17249">
      <w:pPr>
        <w:pStyle w:val="Heading5"/>
        <w:spacing w:before="120"/>
        <w:rPr>
          <w:u w:val="none"/>
        </w:rPr>
      </w:pPr>
      <w:bookmarkStart w:id="283" w:name="Continuing_Issues_from_Prior-Year_Audits"/>
      <w:bookmarkEnd w:id="283"/>
      <w:r w:rsidRPr="00EC20A0">
        <w:t>Continuing</w:t>
      </w:r>
      <w:r w:rsidRPr="00EC20A0">
        <w:rPr>
          <w:spacing w:val="-7"/>
        </w:rPr>
        <w:t xml:space="preserve"> </w:t>
      </w:r>
      <w:r w:rsidRPr="00EC20A0">
        <w:t>Issues</w:t>
      </w:r>
      <w:r w:rsidRPr="00EC20A0">
        <w:rPr>
          <w:spacing w:val="-4"/>
        </w:rPr>
        <w:t xml:space="preserve"> </w:t>
      </w:r>
      <w:r w:rsidRPr="00EC20A0">
        <w:t>from</w:t>
      </w:r>
      <w:r w:rsidRPr="00EC20A0">
        <w:rPr>
          <w:spacing w:val="-5"/>
        </w:rPr>
        <w:t xml:space="preserve"> </w:t>
      </w:r>
      <w:r w:rsidRPr="00EC20A0">
        <w:t>Prior-Year</w:t>
      </w:r>
      <w:r w:rsidRPr="00EC20A0">
        <w:rPr>
          <w:spacing w:val="-4"/>
        </w:rPr>
        <w:t xml:space="preserve"> </w:t>
      </w:r>
      <w:r w:rsidRPr="00EC20A0">
        <w:rPr>
          <w:spacing w:val="-2"/>
        </w:rPr>
        <w:t>Audits</w:t>
      </w:r>
    </w:p>
    <w:p w14:paraId="24D61647" w14:textId="77777777" w:rsidR="00245300" w:rsidRPr="00EC20A0" w:rsidRDefault="00F17249">
      <w:pPr>
        <w:pStyle w:val="ListParagraph"/>
        <w:numPr>
          <w:ilvl w:val="0"/>
          <w:numId w:val="119"/>
        </w:numPr>
        <w:tabs>
          <w:tab w:val="left" w:pos="1638"/>
          <w:tab w:val="left" w:pos="1640"/>
        </w:tabs>
        <w:spacing w:before="239"/>
        <w:ind w:right="369" w:hanging="721"/>
        <w:jc w:val="both"/>
      </w:pPr>
      <w:r w:rsidRPr="00EC20A0">
        <w:t>Since</w:t>
      </w:r>
      <w:r w:rsidRPr="00EC20A0">
        <w:rPr>
          <w:spacing w:val="-3"/>
        </w:rPr>
        <w:t xml:space="preserve"> </w:t>
      </w:r>
      <w:r w:rsidRPr="00EC20A0">
        <w:t>fiscal</w:t>
      </w:r>
      <w:r w:rsidRPr="00EC20A0">
        <w:rPr>
          <w:spacing w:val="-4"/>
        </w:rPr>
        <w:t xml:space="preserve"> </w:t>
      </w:r>
      <w:r w:rsidRPr="00EC20A0">
        <w:t>year</w:t>
      </w:r>
      <w:r w:rsidRPr="00EC20A0">
        <w:rPr>
          <w:spacing w:val="-3"/>
        </w:rPr>
        <w:t xml:space="preserve"> </w:t>
      </w:r>
      <w:r w:rsidRPr="00EC20A0">
        <w:t>1997,</w:t>
      </w:r>
      <w:r w:rsidRPr="00EC20A0">
        <w:rPr>
          <w:spacing w:val="-3"/>
        </w:rPr>
        <w:t xml:space="preserve"> </w:t>
      </w:r>
      <w:r w:rsidRPr="00EC20A0">
        <w:t>the</w:t>
      </w:r>
      <w:r w:rsidRPr="00EC20A0">
        <w:rPr>
          <w:spacing w:val="-3"/>
        </w:rPr>
        <w:t xml:space="preserve"> </w:t>
      </w:r>
      <w:r w:rsidRPr="00EC20A0">
        <w:t>first</w:t>
      </w:r>
      <w:r w:rsidRPr="00EC20A0">
        <w:rPr>
          <w:spacing w:val="-3"/>
        </w:rPr>
        <w:t xml:space="preserve"> </w:t>
      </w:r>
      <w:r w:rsidRPr="00EC20A0">
        <w:t>year</w:t>
      </w:r>
      <w:r w:rsidRPr="00EC20A0">
        <w:rPr>
          <w:spacing w:val="-5"/>
        </w:rPr>
        <w:t xml:space="preserve"> </w:t>
      </w:r>
      <w:r w:rsidRPr="00EC20A0">
        <w:t>the</w:t>
      </w:r>
      <w:r w:rsidRPr="00EC20A0">
        <w:rPr>
          <w:spacing w:val="-3"/>
        </w:rPr>
        <w:t xml:space="preserve"> </w:t>
      </w:r>
      <w:r w:rsidRPr="00EC20A0">
        <w:t>U.S.</w:t>
      </w:r>
      <w:r w:rsidRPr="00EC20A0">
        <w:rPr>
          <w:spacing w:val="-3"/>
        </w:rPr>
        <w:t xml:space="preserve"> </w:t>
      </w:r>
      <w:r w:rsidRPr="00EC20A0">
        <w:t>government’s</w:t>
      </w:r>
      <w:r w:rsidRPr="00EC20A0">
        <w:rPr>
          <w:spacing w:val="-3"/>
        </w:rPr>
        <w:t xml:space="preserve"> </w:t>
      </w:r>
      <w:r w:rsidRPr="00EC20A0">
        <w:t>consolidated</w:t>
      </w:r>
      <w:r w:rsidRPr="00EC20A0">
        <w:rPr>
          <w:spacing w:val="-4"/>
        </w:rPr>
        <w:t xml:space="preserve"> </w:t>
      </w:r>
      <w:r w:rsidRPr="00EC20A0">
        <w:t>financial statements</w:t>
      </w:r>
      <w:r w:rsidRPr="00EC20A0">
        <w:rPr>
          <w:spacing w:val="-1"/>
        </w:rPr>
        <w:t xml:space="preserve"> </w:t>
      </w:r>
      <w:r w:rsidRPr="00EC20A0">
        <w:t>were</w:t>
      </w:r>
      <w:r w:rsidRPr="00EC20A0">
        <w:rPr>
          <w:spacing w:val="-1"/>
        </w:rPr>
        <w:t xml:space="preserve"> </w:t>
      </w:r>
      <w:r w:rsidRPr="00EC20A0">
        <w:t>audited,</w:t>
      </w:r>
      <w:r w:rsidRPr="00EC20A0">
        <w:rPr>
          <w:spacing w:val="-1"/>
        </w:rPr>
        <w:t xml:space="preserve"> </w:t>
      </w:r>
      <w:r w:rsidRPr="00EC20A0">
        <w:t>the</w:t>
      </w:r>
      <w:r w:rsidRPr="00EC20A0">
        <w:rPr>
          <w:spacing w:val="-1"/>
        </w:rPr>
        <w:t xml:space="preserve"> </w:t>
      </w:r>
      <w:r w:rsidRPr="00EC20A0">
        <w:t>federal</w:t>
      </w:r>
      <w:r w:rsidRPr="00EC20A0">
        <w:rPr>
          <w:spacing w:val="-1"/>
        </w:rPr>
        <w:t xml:space="preserve"> </w:t>
      </w:r>
      <w:r w:rsidRPr="00EC20A0">
        <w:t>government</w:t>
      </w:r>
      <w:r w:rsidRPr="00EC20A0">
        <w:rPr>
          <w:spacing w:val="-1"/>
        </w:rPr>
        <w:t xml:space="preserve"> </w:t>
      </w:r>
      <w:r w:rsidRPr="00EC20A0">
        <w:t>has</w:t>
      </w:r>
      <w:r w:rsidRPr="00EC20A0">
        <w:rPr>
          <w:spacing w:val="-1"/>
        </w:rPr>
        <w:t xml:space="preserve"> </w:t>
      </w:r>
      <w:r w:rsidRPr="00EC20A0">
        <w:t>been</w:t>
      </w:r>
      <w:r w:rsidRPr="00EC20A0">
        <w:rPr>
          <w:spacing w:val="-2"/>
        </w:rPr>
        <w:t xml:space="preserve"> </w:t>
      </w:r>
      <w:r w:rsidRPr="00EC20A0">
        <w:t>unable</w:t>
      </w:r>
      <w:r w:rsidRPr="00EC20A0">
        <w:rPr>
          <w:spacing w:val="-1"/>
        </w:rPr>
        <w:t xml:space="preserve"> </w:t>
      </w:r>
      <w:r w:rsidRPr="00EC20A0">
        <w:t>to</w:t>
      </w:r>
      <w:r w:rsidRPr="00EC20A0">
        <w:rPr>
          <w:spacing w:val="-1"/>
        </w:rPr>
        <w:t xml:space="preserve"> </w:t>
      </w:r>
      <w:r w:rsidRPr="00EC20A0">
        <w:t xml:space="preserve">adequately account for </w:t>
      </w:r>
      <w:r w:rsidRPr="00EC20A0">
        <w:t>intragovernmental activity and balances between federal entities.</w:t>
      </w:r>
    </w:p>
    <w:p w14:paraId="24D61648" w14:textId="77777777" w:rsidR="00245300" w:rsidRPr="00EC20A0" w:rsidRDefault="00F17249">
      <w:pPr>
        <w:pStyle w:val="BodyText"/>
        <w:spacing w:before="1"/>
        <w:ind w:left="1640" w:right="639"/>
        <w:jc w:val="both"/>
      </w:pPr>
      <w:r w:rsidRPr="00EC20A0">
        <w:t>This</w:t>
      </w:r>
      <w:r w:rsidRPr="00EC20A0">
        <w:rPr>
          <w:spacing w:val="-2"/>
        </w:rPr>
        <w:t xml:space="preserve"> </w:t>
      </w:r>
      <w:r w:rsidRPr="00EC20A0">
        <w:t>has</w:t>
      </w:r>
      <w:r w:rsidRPr="00EC20A0">
        <w:rPr>
          <w:spacing w:val="-2"/>
        </w:rPr>
        <w:t xml:space="preserve"> </w:t>
      </w:r>
      <w:r w:rsidRPr="00EC20A0">
        <w:t>resulted</w:t>
      </w:r>
      <w:r w:rsidRPr="00EC20A0">
        <w:rPr>
          <w:spacing w:val="-2"/>
        </w:rPr>
        <w:t xml:space="preserve"> </w:t>
      </w:r>
      <w:r w:rsidRPr="00EC20A0">
        <w:t>in</w:t>
      </w:r>
      <w:r w:rsidRPr="00EC20A0">
        <w:rPr>
          <w:spacing w:val="-2"/>
        </w:rPr>
        <w:t xml:space="preserve"> </w:t>
      </w:r>
      <w:r w:rsidRPr="00EC20A0">
        <w:t>a</w:t>
      </w:r>
      <w:r w:rsidRPr="00EC20A0">
        <w:rPr>
          <w:spacing w:val="-2"/>
        </w:rPr>
        <w:t xml:space="preserve"> </w:t>
      </w:r>
      <w:r w:rsidRPr="00EC20A0">
        <w:t>material</w:t>
      </w:r>
      <w:r w:rsidRPr="00EC20A0">
        <w:rPr>
          <w:spacing w:val="-2"/>
        </w:rPr>
        <w:t xml:space="preserve"> </w:t>
      </w:r>
      <w:r w:rsidRPr="00EC20A0">
        <w:t>weakness</w:t>
      </w:r>
      <w:r w:rsidRPr="00EC20A0">
        <w:rPr>
          <w:spacing w:val="-2"/>
        </w:rPr>
        <w:t xml:space="preserve"> </w:t>
      </w:r>
      <w:r w:rsidRPr="00EC20A0">
        <w:t>at</w:t>
      </w:r>
      <w:r w:rsidRPr="00EC20A0">
        <w:rPr>
          <w:spacing w:val="-2"/>
        </w:rPr>
        <w:t xml:space="preserve"> </w:t>
      </w:r>
      <w:r w:rsidRPr="00EC20A0">
        <w:t>the</w:t>
      </w:r>
      <w:r w:rsidRPr="00EC20A0">
        <w:rPr>
          <w:spacing w:val="-3"/>
        </w:rPr>
        <w:t xml:space="preserve"> </w:t>
      </w:r>
      <w:r w:rsidRPr="00EC20A0">
        <w:t>U.S.</w:t>
      </w:r>
      <w:r w:rsidRPr="00EC20A0">
        <w:rPr>
          <w:spacing w:val="-2"/>
        </w:rPr>
        <w:t xml:space="preserve"> </w:t>
      </w:r>
      <w:r w:rsidRPr="00EC20A0">
        <w:t>government</w:t>
      </w:r>
      <w:r w:rsidRPr="00EC20A0">
        <w:rPr>
          <w:spacing w:val="-2"/>
        </w:rPr>
        <w:t xml:space="preserve"> </w:t>
      </w:r>
      <w:r w:rsidRPr="00EC20A0">
        <w:t>consolidated financial</w:t>
      </w:r>
      <w:r w:rsidRPr="00EC20A0">
        <w:rPr>
          <w:spacing w:val="-3"/>
        </w:rPr>
        <w:t xml:space="preserve"> </w:t>
      </w:r>
      <w:r w:rsidRPr="00EC20A0">
        <w:t>statement</w:t>
      </w:r>
      <w:r w:rsidRPr="00EC20A0">
        <w:rPr>
          <w:spacing w:val="-2"/>
        </w:rPr>
        <w:t xml:space="preserve"> </w:t>
      </w:r>
      <w:r w:rsidRPr="00EC20A0">
        <w:t>level</w:t>
      </w:r>
      <w:r w:rsidRPr="00EC20A0">
        <w:rPr>
          <w:spacing w:val="-3"/>
        </w:rPr>
        <w:t xml:space="preserve"> </w:t>
      </w:r>
      <w:r w:rsidRPr="00EC20A0">
        <w:t>and</w:t>
      </w:r>
      <w:r w:rsidRPr="00EC20A0">
        <w:rPr>
          <w:spacing w:val="-2"/>
        </w:rPr>
        <w:t xml:space="preserve"> </w:t>
      </w:r>
      <w:r w:rsidRPr="00EC20A0">
        <w:t>is</w:t>
      </w:r>
      <w:r w:rsidRPr="00EC20A0">
        <w:rPr>
          <w:spacing w:val="-2"/>
        </w:rPr>
        <w:t xml:space="preserve"> </w:t>
      </w:r>
      <w:r w:rsidRPr="00EC20A0">
        <w:t>a</w:t>
      </w:r>
      <w:r w:rsidRPr="00EC20A0">
        <w:rPr>
          <w:spacing w:val="-2"/>
        </w:rPr>
        <w:t xml:space="preserve"> </w:t>
      </w:r>
      <w:r w:rsidRPr="00EC20A0">
        <w:t>major</w:t>
      </w:r>
      <w:r w:rsidRPr="00EC20A0">
        <w:rPr>
          <w:spacing w:val="-2"/>
        </w:rPr>
        <w:t xml:space="preserve"> </w:t>
      </w:r>
      <w:r w:rsidRPr="00EC20A0">
        <w:t>impediment</w:t>
      </w:r>
      <w:r w:rsidRPr="00EC20A0">
        <w:rPr>
          <w:spacing w:val="-2"/>
        </w:rPr>
        <w:t xml:space="preserve"> </w:t>
      </w:r>
      <w:r w:rsidRPr="00EC20A0">
        <w:t>to</w:t>
      </w:r>
      <w:r w:rsidRPr="00EC20A0">
        <w:rPr>
          <w:spacing w:val="-2"/>
        </w:rPr>
        <w:t xml:space="preserve"> </w:t>
      </w:r>
      <w:r w:rsidRPr="00EC20A0">
        <w:t>rendering</w:t>
      </w:r>
      <w:r w:rsidRPr="00EC20A0">
        <w:rPr>
          <w:spacing w:val="-2"/>
        </w:rPr>
        <w:t xml:space="preserve"> </w:t>
      </w:r>
      <w:r w:rsidRPr="00EC20A0">
        <w:t>an</w:t>
      </w:r>
      <w:r w:rsidRPr="00EC20A0">
        <w:rPr>
          <w:spacing w:val="-2"/>
        </w:rPr>
        <w:t xml:space="preserve"> </w:t>
      </w:r>
      <w:r w:rsidRPr="00EC20A0">
        <w:t>opinion</w:t>
      </w:r>
      <w:r w:rsidRPr="00EC20A0">
        <w:rPr>
          <w:spacing w:val="-2"/>
        </w:rPr>
        <w:t xml:space="preserve"> </w:t>
      </w:r>
      <w:r w:rsidRPr="00EC20A0">
        <w:t>on the</w:t>
      </w:r>
      <w:r w:rsidRPr="00EC20A0">
        <w:rPr>
          <w:spacing w:val="-5"/>
        </w:rPr>
        <w:t xml:space="preserve"> </w:t>
      </w:r>
      <w:r w:rsidRPr="00EC20A0">
        <w:t>U.S.</w:t>
      </w:r>
      <w:r w:rsidRPr="00EC20A0">
        <w:rPr>
          <w:spacing w:val="-5"/>
        </w:rPr>
        <w:t xml:space="preserve"> </w:t>
      </w:r>
      <w:r w:rsidRPr="00EC20A0">
        <w:t>government’s</w:t>
      </w:r>
      <w:r w:rsidRPr="00EC20A0">
        <w:rPr>
          <w:spacing w:val="-5"/>
        </w:rPr>
        <w:t xml:space="preserve"> </w:t>
      </w:r>
      <w:r w:rsidRPr="00EC20A0">
        <w:t>accrual-based</w:t>
      </w:r>
      <w:r w:rsidRPr="00EC20A0">
        <w:rPr>
          <w:spacing w:val="-5"/>
        </w:rPr>
        <w:t xml:space="preserve"> </w:t>
      </w:r>
      <w:r w:rsidRPr="00EC20A0">
        <w:t>consolidated</w:t>
      </w:r>
      <w:r w:rsidRPr="00EC20A0">
        <w:rPr>
          <w:spacing w:val="-5"/>
        </w:rPr>
        <w:t xml:space="preserve"> </w:t>
      </w:r>
      <w:r w:rsidRPr="00EC20A0">
        <w:t>financial</w:t>
      </w:r>
      <w:r w:rsidRPr="00EC20A0">
        <w:rPr>
          <w:spacing w:val="-6"/>
        </w:rPr>
        <w:t xml:space="preserve"> </w:t>
      </w:r>
      <w:r w:rsidRPr="00EC20A0">
        <w:t>statements.</w:t>
      </w:r>
      <w:r w:rsidRPr="00EC20A0">
        <w:rPr>
          <w:spacing w:val="-5"/>
        </w:rPr>
        <w:t xml:space="preserve"> </w:t>
      </w:r>
      <w:r w:rsidRPr="00EC20A0">
        <w:t>At</w:t>
      </w:r>
      <w:r w:rsidRPr="00EC20A0">
        <w:rPr>
          <w:spacing w:val="-5"/>
        </w:rPr>
        <w:t xml:space="preserve"> </w:t>
      </w:r>
      <w:r w:rsidRPr="00EC20A0">
        <w:t>the consolidated level, intragovernmental amounts do not completely eliminate,</w:t>
      </w:r>
    </w:p>
    <w:p w14:paraId="24D61649" w14:textId="77777777" w:rsidR="00245300" w:rsidRPr="00EC20A0" w:rsidRDefault="00F17249">
      <w:pPr>
        <w:pStyle w:val="BodyText"/>
        <w:spacing w:before="30"/>
        <w:rPr>
          <w:sz w:val="20"/>
        </w:rPr>
      </w:pPr>
      <w:r w:rsidRPr="00EC20A0">
        <w:rPr>
          <w:noProof/>
        </w:rPr>
        <mc:AlternateContent>
          <mc:Choice Requires="wps">
            <w:drawing>
              <wp:anchor distT="0" distB="0" distL="0" distR="0" simplePos="0" relativeHeight="487708672" behindDoc="1" locked="0" layoutInCell="1" allowOverlap="1" wp14:anchorId="24D62C8D" wp14:editId="24D62C8E">
                <wp:simplePos x="0" y="0"/>
                <wp:positionH relativeFrom="page">
                  <wp:posOffset>914400</wp:posOffset>
                </wp:positionH>
                <wp:positionV relativeFrom="paragraph">
                  <wp:posOffset>180475</wp:posOffset>
                </wp:positionV>
                <wp:extent cx="1828800" cy="5715"/>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8BF02" id="Graphic 781" o:spid="_x0000_s1026" style="position:absolute;margin-left:1in;margin-top:14.2pt;width:2in;height:.45pt;z-index:-156078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" path="m1828800,l,,,5333r1828800,l1828800,xe" fillcolor="black" stroked="f">
                <v:path arrowok="t"/>
                <w10:wrap type="topAndBottom" anchorx="page"/>
              </v:shape>
            </w:pict>
          </mc:Fallback>
        </mc:AlternateContent>
      </w:r>
    </w:p>
    <w:p w14:paraId="24D6164A" w14:textId="77777777" w:rsidR="00245300" w:rsidRPr="00EC20A0" w:rsidRDefault="00F17249">
      <w:pPr>
        <w:spacing w:before="200" w:line="242" w:lineRule="auto"/>
        <w:ind w:left="199" w:right="447"/>
        <w:rPr>
          <w:sz w:val="18"/>
        </w:rPr>
      </w:pPr>
      <w:bookmarkStart w:id="284" w:name="_bookmark161"/>
      <w:bookmarkEnd w:id="284"/>
      <w:r w:rsidRPr="00EC20A0">
        <w:rPr>
          <w:position w:val="7"/>
          <w:sz w:val="14"/>
        </w:rPr>
        <w:t>12</w:t>
      </w:r>
      <w:r w:rsidRPr="00EC20A0">
        <w:rPr>
          <w:sz w:val="18"/>
        </w:rPr>
        <w:t xml:space="preserve">Reciprocal accounts are offsetting USSGL accounts used by inter-entity trading partners to record transactions (e.g., a </w:t>
      </w:r>
      <w:r w:rsidRPr="00EC20A0">
        <w:rPr>
          <w:sz w:val="18"/>
        </w:rPr>
        <w:t>seller’s receivable account and a buyer’s corresponding payable account). Treasury groups these USSGL accounts</w:t>
      </w:r>
      <w:r w:rsidRPr="00EC20A0">
        <w:rPr>
          <w:spacing w:val="-4"/>
          <w:sz w:val="18"/>
        </w:rPr>
        <w:t xml:space="preserve"> </w:t>
      </w:r>
      <w:r w:rsidRPr="00EC20A0">
        <w:rPr>
          <w:sz w:val="18"/>
        </w:rPr>
        <w:t>into</w:t>
      </w:r>
      <w:r w:rsidRPr="00EC20A0">
        <w:rPr>
          <w:spacing w:val="-5"/>
          <w:sz w:val="18"/>
        </w:rPr>
        <w:t xml:space="preserve"> </w:t>
      </w:r>
      <w:r w:rsidRPr="00EC20A0">
        <w:rPr>
          <w:sz w:val="18"/>
        </w:rPr>
        <w:t>“reciprocal</w:t>
      </w:r>
      <w:r w:rsidRPr="00EC20A0">
        <w:rPr>
          <w:spacing w:val="-4"/>
          <w:sz w:val="18"/>
        </w:rPr>
        <w:t xml:space="preserve"> </w:t>
      </w:r>
      <w:r w:rsidRPr="00EC20A0">
        <w:rPr>
          <w:sz w:val="18"/>
        </w:rPr>
        <w:t>categories,”</w:t>
      </w:r>
      <w:r w:rsidRPr="00EC20A0">
        <w:rPr>
          <w:spacing w:val="-4"/>
          <w:sz w:val="18"/>
        </w:rPr>
        <w:t xml:space="preserve"> </w:t>
      </w:r>
      <w:r w:rsidRPr="00EC20A0">
        <w:rPr>
          <w:sz w:val="18"/>
        </w:rPr>
        <w:t>which</w:t>
      </w:r>
      <w:r w:rsidRPr="00EC20A0">
        <w:rPr>
          <w:spacing w:val="-3"/>
          <w:sz w:val="18"/>
        </w:rPr>
        <w:t xml:space="preserve"> </w:t>
      </w:r>
      <w:r w:rsidRPr="00EC20A0">
        <w:rPr>
          <w:sz w:val="18"/>
        </w:rPr>
        <w:t>Treasury</w:t>
      </w:r>
      <w:r w:rsidRPr="00EC20A0">
        <w:rPr>
          <w:spacing w:val="-4"/>
          <w:sz w:val="18"/>
        </w:rPr>
        <w:t xml:space="preserve"> </w:t>
      </w:r>
      <w:r w:rsidRPr="00EC20A0">
        <w:rPr>
          <w:sz w:val="18"/>
        </w:rPr>
        <w:t>uses</w:t>
      </w:r>
      <w:r w:rsidRPr="00EC20A0">
        <w:rPr>
          <w:spacing w:val="-3"/>
          <w:sz w:val="18"/>
        </w:rPr>
        <w:t xml:space="preserve"> </w:t>
      </w:r>
      <w:r w:rsidRPr="00EC20A0">
        <w:rPr>
          <w:sz w:val="18"/>
        </w:rPr>
        <w:t>to</w:t>
      </w:r>
      <w:r w:rsidRPr="00EC20A0">
        <w:rPr>
          <w:spacing w:val="-5"/>
          <w:sz w:val="18"/>
        </w:rPr>
        <w:t xml:space="preserve"> </w:t>
      </w:r>
      <w:r w:rsidRPr="00EC20A0">
        <w:rPr>
          <w:sz w:val="18"/>
        </w:rPr>
        <w:t>help</w:t>
      </w:r>
      <w:r w:rsidRPr="00EC20A0">
        <w:rPr>
          <w:spacing w:val="-5"/>
          <w:sz w:val="18"/>
        </w:rPr>
        <w:t xml:space="preserve"> </w:t>
      </w:r>
      <w:r w:rsidRPr="00EC20A0">
        <w:rPr>
          <w:sz w:val="18"/>
        </w:rPr>
        <w:t>manage</w:t>
      </w:r>
      <w:r w:rsidRPr="00EC20A0">
        <w:rPr>
          <w:spacing w:val="-5"/>
          <w:sz w:val="18"/>
        </w:rPr>
        <w:t xml:space="preserve"> </w:t>
      </w:r>
      <w:r w:rsidRPr="00EC20A0">
        <w:rPr>
          <w:sz w:val="18"/>
        </w:rPr>
        <w:t>intragovernmental</w:t>
      </w:r>
      <w:r w:rsidRPr="00EC20A0">
        <w:rPr>
          <w:spacing w:val="-4"/>
          <w:sz w:val="18"/>
        </w:rPr>
        <w:t xml:space="preserve"> </w:t>
      </w:r>
      <w:r w:rsidRPr="00EC20A0">
        <w:rPr>
          <w:sz w:val="18"/>
        </w:rPr>
        <w:t>transactions,</w:t>
      </w:r>
      <w:r w:rsidRPr="00EC20A0">
        <w:rPr>
          <w:spacing w:val="-4"/>
          <w:sz w:val="18"/>
        </w:rPr>
        <w:t xml:space="preserve"> </w:t>
      </w:r>
      <w:r w:rsidRPr="00EC20A0">
        <w:rPr>
          <w:sz w:val="18"/>
        </w:rPr>
        <w:t>including calculating</w:t>
      </w:r>
      <w:r w:rsidRPr="00EC20A0">
        <w:rPr>
          <w:spacing w:val="-2"/>
          <w:sz w:val="18"/>
        </w:rPr>
        <w:t xml:space="preserve"> </w:t>
      </w:r>
      <w:r w:rsidRPr="00EC20A0">
        <w:rPr>
          <w:sz w:val="18"/>
        </w:rPr>
        <w:t>intragovernmental differences</w:t>
      </w:r>
      <w:r w:rsidRPr="00EC20A0">
        <w:rPr>
          <w:spacing w:val="-1"/>
          <w:sz w:val="18"/>
        </w:rPr>
        <w:t xml:space="preserve"> </w:t>
      </w:r>
      <w:r w:rsidRPr="00EC20A0">
        <w:rPr>
          <w:sz w:val="18"/>
        </w:rPr>
        <w:t>between</w:t>
      </w:r>
      <w:r w:rsidRPr="00EC20A0">
        <w:rPr>
          <w:spacing w:val="-2"/>
          <w:sz w:val="18"/>
        </w:rPr>
        <w:t xml:space="preserve"> </w:t>
      </w:r>
      <w:r w:rsidRPr="00EC20A0">
        <w:rPr>
          <w:sz w:val="18"/>
        </w:rPr>
        <w:t>trading</w:t>
      </w:r>
      <w:r w:rsidRPr="00EC20A0">
        <w:rPr>
          <w:spacing w:val="-2"/>
          <w:sz w:val="18"/>
        </w:rPr>
        <w:t xml:space="preserve"> </w:t>
      </w:r>
      <w:r w:rsidRPr="00EC20A0">
        <w:rPr>
          <w:sz w:val="18"/>
        </w:rPr>
        <w:t>partners,</w:t>
      </w:r>
      <w:r w:rsidRPr="00EC20A0">
        <w:rPr>
          <w:spacing w:val="-1"/>
          <w:sz w:val="18"/>
        </w:rPr>
        <w:t xml:space="preserve"> </w:t>
      </w:r>
      <w:r w:rsidRPr="00EC20A0">
        <w:rPr>
          <w:sz w:val="18"/>
        </w:rPr>
        <w:t>assisting</w:t>
      </w:r>
      <w:r w:rsidRPr="00EC20A0">
        <w:rPr>
          <w:spacing w:val="-2"/>
          <w:sz w:val="18"/>
        </w:rPr>
        <w:t xml:space="preserve"> </w:t>
      </w:r>
      <w:r w:rsidRPr="00EC20A0">
        <w:rPr>
          <w:sz w:val="18"/>
        </w:rPr>
        <w:t>entities</w:t>
      </w:r>
      <w:r w:rsidRPr="00EC20A0">
        <w:rPr>
          <w:spacing w:val="-1"/>
          <w:sz w:val="18"/>
        </w:rPr>
        <w:t xml:space="preserve"> </w:t>
      </w:r>
      <w:r w:rsidRPr="00EC20A0">
        <w:rPr>
          <w:sz w:val="18"/>
        </w:rPr>
        <w:t>in</w:t>
      </w:r>
      <w:r w:rsidRPr="00EC20A0">
        <w:rPr>
          <w:spacing w:val="-2"/>
          <w:sz w:val="18"/>
        </w:rPr>
        <w:t xml:space="preserve"> </w:t>
      </w:r>
      <w:r w:rsidRPr="00EC20A0">
        <w:rPr>
          <w:sz w:val="18"/>
        </w:rPr>
        <w:t>resolving</w:t>
      </w:r>
      <w:r w:rsidRPr="00EC20A0">
        <w:rPr>
          <w:spacing w:val="-2"/>
          <w:sz w:val="18"/>
        </w:rPr>
        <w:t xml:space="preserve"> </w:t>
      </w:r>
      <w:r w:rsidRPr="00EC20A0">
        <w:rPr>
          <w:sz w:val="18"/>
        </w:rPr>
        <w:t>differences,</w:t>
      </w:r>
      <w:r w:rsidRPr="00EC20A0">
        <w:rPr>
          <w:spacing w:val="-1"/>
          <w:sz w:val="18"/>
        </w:rPr>
        <w:t xml:space="preserve"> </w:t>
      </w:r>
      <w:r w:rsidRPr="00EC20A0">
        <w:rPr>
          <w:sz w:val="18"/>
        </w:rPr>
        <w:t>and at year-end eliminating intragovernmental amounts from the U.S. government’s consolidated financial statements.</w:t>
      </w:r>
    </w:p>
    <w:p w14:paraId="24D6164B"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64C" w14:textId="77777777" w:rsidR="00245300" w:rsidRPr="00EC20A0" w:rsidRDefault="00F17249">
      <w:pPr>
        <w:pStyle w:val="BodyText"/>
        <w:spacing w:before="121"/>
        <w:ind w:left="1640" w:right="396"/>
        <w:jc w:val="both"/>
        <w:rPr>
          <w:sz w:val="14"/>
        </w:rPr>
      </w:pPr>
      <w:r w:rsidRPr="00EC20A0">
        <w:t>resulting</w:t>
      </w:r>
      <w:r w:rsidRPr="00EC20A0">
        <w:rPr>
          <w:spacing w:val="-4"/>
        </w:rPr>
        <w:t xml:space="preserve"> </w:t>
      </w:r>
      <w:r w:rsidRPr="00EC20A0">
        <w:t>in</w:t>
      </w:r>
      <w:r w:rsidRPr="00EC20A0">
        <w:rPr>
          <w:spacing w:val="-7"/>
        </w:rPr>
        <w:t xml:space="preserve"> </w:t>
      </w:r>
      <w:r w:rsidRPr="00EC20A0">
        <w:t>an</w:t>
      </w:r>
      <w:r w:rsidRPr="00EC20A0">
        <w:rPr>
          <w:spacing w:val="-4"/>
        </w:rPr>
        <w:t xml:space="preserve"> </w:t>
      </w:r>
      <w:r w:rsidRPr="00EC20A0">
        <w:t>“unmatched</w:t>
      </w:r>
      <w:r w:rsidRPr="00EC20A0">
        <w:rPr>
          <w:spacing w:val="-4"/>
        </w:rPr>
        <w:t xml:space="preserve"> </w:t>
      </w:r>
      <w:r w:rsidRPr="00EC20A0">
        <w:t>transactions</w:t>
      </w:r>
      <w:r w:rsidRPr="00EC20A0">
        <w:rPr>
          <w:spacing w:val="-4"/>
        </w:rPr>
        <w:t xml:space="preserve"> </w:t>
      </w:r>
      <w:r w:rsidRPr="00EC20A0">
        <w:t>and</w:t>
      </w:r>
      <w:r w:rsidRPr="00EC20A0">
        <w:rPr>
          <w:spacing w:val="-4"/>
        </w:rPr>
        <w:t xml:space="preserve"> </w:t>
      </w:r>
      <w:r w:rsidRPr="00EC20A0">
        <w:t>balances”</w:t>
      </w:r>
      <w:r w:rsidRPr="00EC20A0">
        <w:rPr>
          <w:spacing w:val="-4"/>
        </w:rPr>
        <w:t xml:space="preserve"> </w:t>
      </w:r>
      <w:r w:rsidRPr="00EC20A0">
        <w:t>amount</w:t>
      </w:r>
      <w:r w:rsidRPr="00EC20A0">
        <w:rPr>
          <w:spacing w:val="-4"/>
        </w:rPr>
        <w:t xml:space="preserve"> </w:t>
      </w:r>
      <w:r w:rsidRPr="00EC20A0">
        <w:t>being</w:t>
      </w:r>
      <w:r w:rsidRPr="00EC20A0">
        <w:rPr>
          <w:spacing w:val="-4"/>
        </w:rPr>
        <w:t xml:space="preserve"> </w:t>
      </w:r>
      <w:r w:rsidRPr="00EC20A0">
        <w:t>reported</w:t>
      </w:r>
      <w:r w:rsidRPr="00EC20A0">
        <w:rPr>
          <w:spacing w:val="-4"/>
        </w:rPr>
        <w:t xml:space="preserve"> </w:t>
      </w:r>
      <w:r w:rsidRPr="00EC20A0">
        <w:t>on the</w:t>
      </w:r>
      <w:r w:rsidRPr="00EC20A0">
        <w:rPr>
          <w:spacing w:val="-3"/>
        </w:rPr>
        <w:t xml:space="preserve"> </w:t>
      </w:r>
      <w:r w:rsidRPr="00EC20A0">
        <w:t>Statement</w:t>
      </w:r>
      <w:r w:rsidRPr="00EC20A0">
        <w:rPr>
          <w:spacing w:val="-3"/>
        </w:rPr>
        <w:t xml:space="preserve"> </w:t>
      </w:r>
      <w:r w:rsidRPr="00EC20A0">
        <w:t>of</w:t>
      </w:r>
      <w:r w:rsidRPr="00EC20A0">
        <w:rPr>
          <w:spacing w:val="-3"/>
        </w:rPr>
        <w:t xml:space="preserve"> </w:t>
      </w:r>
      <w:r w:rsidRPr="00EC20A0">
        <w:t>Operations</w:t>
      </w:r>
      <w:r w:rsidRPr="00EC20A0">
        <w:rPr>
          <w:spacing w:val="-3"/>
        </w:rPr>
        <w:t xml:space="preserve"> </w:t>
      </w:r>
      <w:r w:rsidRPr="00EC20A0">
        <w:t>and</w:t>
      </w:r>
      <w:r w:rsidRPr="00EC20A0">
        <w:rPr>
          <w:spacing w:val="-3"/>
        </w:rPr>
        <w:t xml:space="preserve"> </w:t>
      </w:r>
      <w:r w:rsidRPr="00EC20A0">
        <w:t>Changes</w:t>
      </w:r>
      <w:r w:rsidRPr="00EC20A0">
        <w:rPr>
          <w:spacing w:val="-3"/>
        </w:rPr>
        <w:t xml:space="preserve"> </w:t>
      </w:r>
      <w:r w:rsidRPr="00EC20A0">
        <w:t>in</w:t>
      </w:r>
      <w:r w:rsidRPr="00EC20A0">
        <w:rPr>
          <w:spacing w:val="-3"/>
        </w:rPr>
        <w:t xml:space="preserve"> </w:t>
      </w:r>
      <w:r w:rsidRPr="00EC20A0">
        <w:t>Net</w:t>
      </w:r>
      <w:r w:rsidRPr="00EC20A0">
        <w:rPr>
          <w:spacing w:val="-3"/>
        </w:rPr>
        <w:t xml:space="preserve"> </w:t>
      </w:r>
      <w:r w:rsidRPr="00EC20A0">
        <w:t>Position</w:t>
      </w:r>
      <w:r w:rsidRPr="00EC20A0">
        <w:rPr>
          <w:spacing w:val="-3"/>
        </w:rPr>
        <w:t xml:space="preserve"> </w:t>
      </w:r>
      <w:r w:rsidRPr="00EC20A0">
        <w:t>in</w:t>
      </w:r>
      <w:r w:rsidRPr="00EC20A0">
        <w:rPr>
          <w:spacing w:val="-4"/>
        </w:rPr>
        <w:t xml:space="preserve"> </w:t>
      </w:r>
      <w:r w:rsidRPr="00EC20A0">
        <w:t>order</w:t>
      </w:r>
      <w:r w:rsidRPr="00EC20A0">
        <w:rPr>
          <w:spacing w:val="-3"/>
        </w:rPr>
        <w:t xml:space="preserve"> </w:t>
      </w:r>
      <w:r w:rsidRPr="00EC20A0">
        <w:t>to</w:t>
      </w:r>
      <w:r w:rsidRPr="00EC20A0">
        <w:rPr>
          <w:spacing w:val="-3"/>
        </w:rPr>
        <w:t xml:space="preserve"> </w:t>
      </w:r>
      <w:r w:rsidRPr="00EC20A0">
        <w:t>balance</w:t>
      </w:r>
      <w:r w:rsidRPr="00EC20A0">
        <w:rPr>
          <w:spacing w:val="-3"/>
        </w:rPr>
        <w:t xml:space="preserve"> </w:t>
      </w:r>
      <w:r w:rsidRPr="00EC20A0">
        <w:t>the accrual-based consolidated financial statements.</w:t>
      </w:r>
      <w:hyperlink w:anchor="_bookmark162" w:history="1">
        <w:r w:rsidRPr="00EC20A0">
          <w:rPr>
            <w:position w:val="7"/>
            <w:sz w:val="14"/>
          </w:rPr>
          <w:t>13</w:t>
        </w:r>
      </w:hyperlink>
    </w:p>
    <w:p w14:paraId="24D6164D" w14:textId="77777777" w:rsidR="00245300" w:rsidRPr="00EC20A0" w:rsidRDefault="00F17249">
      <w:pPr>
        <w:pStyle w:val="Heading5"/>
        <w:spacing w:before="240"/>
        <w:rPr>
          <w:u w:val="none"/>
        </w:rPr>
      </w:pPr>
      <w:bookmarkStart w:id="285" w:name="Intragovernmental_Payment_and_Collection"/>
      <w:bookmarkEnd w:id="285"/>
      <w:r w:rsidRPr="00EC20A0">
        <w:t>Intragovernmental</w:t>
      </w:r>
      <w:r w:rsidRPr="00EC20A0">
        <w:rPr>
          <w:spacing w:val="-5"/>
        </w:rPr>
        <w:t xml:space="preserve"> </w:t>
      </w:r>
      <w:r w:rsidRPr="00EC20A0">
        <w:t>Payment</w:t>
      </w:r>
      <w:r w:rsidRPr="00EC20A0">
        <w:rPr>
          <w:spacing w:val="-4"/>
        </w:rPr>
        <w:t xml:space="preserve"> </w:t>
      </w:r>
      <w:r w:rsidRPr="00EC20A0">
        <w:t>and</w:t>
      </w:r>
      <w:r w:rsidRPr="00EC20A0">
        <w:rPr>
          <w:spacing w:val="-6"/>
        </w:rPr>
        <w:t xml:space="preserve"> </w:t>
      </w:r>
      <w:r w:rsidRPr="00EC20A0">
        <w:t>Collection</w:t>
      </w:r>
      <w:r w:rsidRPr="00EC20A0">
        <w:rPr>
          <w:spacing w:val="-5"/>
        </w:rPr>
        <w:t xml:space="preserve"> </w:t>
      </w:r>
      <w:r w:rsidRPr="00EC20A0">
        <w:t>System</w:t>
      </w:r>
      <w:r w:rsidRPr="00EC20A0">
        <w:rPr>
          <w:spacing w:val="-5"/>
        </w:rPr>
        <w:t xml:space="preserve"> </w:t>
      </w:r>
      <w:r w:rsidRPr="00EC20A0">
        <w:rPr>
          <w:spacing w:val="-2"/>
        </w:rPr>
        <w:t>(IPAC)</w:t>
      </w:r>
    </w:p>
    <w:p w14:paraId="24D6164E" w14:textId="77777777" w:rsidR="00245300" w:rsidRPr="00EC20A0" w:rsidRDefault="00F17249">
      <w:pPr>
        <w:pStyle w:val="ListParagraph"/>
        <w:numPr>
          <w:ilvl w:val="0"/>
          <w:numId w:val="119"/>
        </w:numPr>
        <w:tabs>
          <w:tab w:val="left" w:pos="1640"/>
        </w:tabs>
        <w:spacing w:before="239"/>
        <w:ind w:right="457" w:hanging="721"/>
      </w:pPr>
      <w:r w:rsidRPr="00EC20A0">
        <w:t>IPAC is the primary method most federal entities use to bill and pay for</w:t>
      </w:r>
      <w:r w:rsidRPr="00EC20A0">
        <w:rPr>
          <w:spacing w:val="-1"/>
        </w:rPr>
        <w:t xml:space="preserve"> </w:t>
      </w:r>
      <w:r w:rsidRPr="00EC20A0">
        <w:t>services and supplies within the U.S. government electronically. IPAC is used to communicate to Treasury and the trading partner that the online billing or payment</w:t>
      </w:r>
      <w:r w:rsidRPr="00EC20A0">
        <w:rPr>
          <w:spacing w:val="-4"/>
        </w:rPr>
        <w:t xml:space="preserve"> </w:t>
      </w:r>
      <w:r w:rsidRPr="00EC20A0">
        <w:t>for</w:t>
      </w:r>
      <w:r w:rsidRPr="00EC20A0">
        <w:rPr>
          <w:spacing w:val="-4"/>
        </w:rPr>
        <w:t xml:space="preserve"> </w:t>
      </w:r>
      <w:r w:rsidRPr="00EC20A0">
        <w:t>services</w:t>
      </w:r>
      <w:r w:rsidRPr="00EC20A0">
        <w:rPr>
          <w:spacing w:val="-4"/>
        </w:rPr>
        <w:t xml:space="preserve"> </w:t>
      </w:r>
      <w:r w:rsidRPr="00EC20A0">
        <w:t>and</w:t>
      </w:r>
      <w:r w:rsidRPr="00EC20A0">
        <w:rPr>
          <w:spacing w:val="-4"/>
        </w:rPr>
        <w:t xml:space="preserve"> </w:t>
      </w:r>
      <w:r w:rsidRPr="00EC20A0">
        <w:t>supplies</w:t>
      </w:r>
      <w:r w:rsidRPr="00EC20A0">
        <w:rPr>
          <w:spacing w:val="-5"/>
        </w:rPr>
        <w:t xml:space="preserve"> </w:t>
      </w:r>
      <w:r w:rsidRPr="00EC20A0">
        <w:t>has</w:t>
      </w:r>
      <w:r w:rsidRPr="00EC20A0">
        <w:rPr>
          <w:spacing w:val="-4"/>
        </w:rPr>
        <w:t xml:space="preserve"> </w:t>
      </w:r>
      <w:r w:rsidRPr="00EC20A0">
        <w:t>occurred.</w:t>
      </w:r>
      <w:r w:rsidRPr="00EC20A0">
        <w:rPr>
          <w:spacing w:val="-5"/>
        </w:rPr>
        <w:t xml:space="preserve"> </w:t>
      </w:r>
      <w:r w:rsidRPr="00EC20A0">
        <w:t>IPAC,</w:t>
      </w:r>
      <w:r w:rsidRPr="00EC20A0">
        <w:rPr>
          <w:spacing w:val="-4"/>
        </w:rPr>
        <w:t xml:space="preserve"> </w:t>
      </w:r>
      <w:r w:rsidRPr="00EC20A0">
        <w:t>however,</w:t>
      </w:r>
      <w:r w:rsidRPr="00EC20A0">
        <w:rPr>
          <w:spacing w:val="-4"/>
        </w:rPr>
        <w:t xml:space="preserve"> </w:t>
      </w:r>
      <w:r w:rsidRPr="00EC20A0">
        <w:t>is</w:t>
      </w:r>
      <w:r w:rsidRPr="00EC20A0">
        <w:rPr>
          <w:spacing w:val="-4"/>
        </w:rPr>
        <w:t xml:space="preserve"> </w:t>
      </w:r>
      <w:r w:rsidRPr="00EC20A0">
        <w:t>not</w:t>
      </w:r>
      <w:r w:rsidRPr="00EC20A0">
        <w:rPr>
          <w:spacing w:val="-5"/>
        </w:rPr>
        <w:t xml:space="preserve"> </w:t>
      </w:r>
      <w:r w:rsidRPr="00EC20A0">
        <w:t>intended to be a control over the intragovernmental transactions (reciprocal accounts).</w:t>
      </w:r>
    </w:p>
    <w:p w14:paraId="24D6164F" w14:textId="77777777" w:rsidR="00245300" w:rsidRPr="00EC20A0" w:rsidRDefault="00F17249">
      <w:pPr>
        <w:pStyle w:val="BodyText"/>
        <w:ind w:left="1640" w:right="345"/>
      </w:pPr>
      <w:r w:rsidRPr="00EC20A0">
        <w:t>IPAC</w:t>
      </w:r>
      <w:r w:rsidRPr="00EC20A0">
        <w:rPr>
          <w:spacing w:val="-4"/>
        </w:rPr>
        <w:t xml:space="preserve"> </w:t>
      </w:r>
      <w:r w:rsidRPr="00EC20A0">
        <w:t>does</w:t>
      </w:r>
      <w:r w:rsidRPr="00EC20A0">
        <w:rPr>
          <w:spacing w:val="-4"/>
        </w:rPr>
        <w:t xml:space="preserve"> </w:t>
      </w:r>
      <w:r w:rsidRPr="00EC20A0">
        <w:t>not</w:t>
      </w:r>
      <w:r w:rsidRPr="00EC20A0">
        <w:rPr>
          <w:spacing w:val="-4"/>
        </w:rPr>
        <w:t xml:space="preserve"> </w:t>
      </w:r>
      <w:r w:rsidRPr="00EC20A0">
        <w:t>require</w:t>
      </w:r>
      <w:r w:rsidRPr="00EC20A0">
        <w:rPr>
          <w:spacing w:val="-4"/>
        </w:rPr>
        <w:t xml:space="preserve"> </w:t>
      </w:r>
      <w:r w:rsidRPr="00EC20A0">
        <w:t>trading</w:t>
      </w:r>
      <w:r w:rsidRPr="00EC20A0">
        <w:rPr>
          <w:spacing w:val="-4"/>
        </w:rPr>
        <w:t xml:space="preserve"> </w:t>
      </w:r>
      <w:r w:rsidRPr="00EC20A0">
        <w:t>partners</w:t>
      </w:r>
      <w:r w:rsidRPr="00EC20A0">
        <w:rPr>
          <w:spacing w:val="-4"/>
        </w:rPr>
        <w:t xml:space="preserve"> </w:t>
      </w:r>
      <w:r w:rsidRPr="00EC20A0">
        <w:t>to</w:t>
      </w:r>
      <w:r w:rsidRPr="00EC20A0">
        <w:rPr>
          <w:spacing w:val="-4"/>
        </w:rPr>
        <w:t xml:space="preserve"> </w:t>
      </w:r>
      <w:r w:rsidRPr="00EC20A0">
        <w:t>record</w:t>
      </w:r>
      <w:r w:rsidRPr="00EC20A0">
        <w:rPr>
          <w:spacing w:val="-4"/>
        </w:rPr>
        <w:t xml:space="preserve"> </w:t>
      </w:r>
      <w:r w:rsidRPr="00EC20A0">
        <w:t>transactions</w:t>
      </w:r>
      <w:r w:rsidRPr="00EC20A0">
        <w:rPr>
          <w:spacing w:val="-4"/>
        </w:rPr>
        <w:t xml:space="preserve"> </w:t>
      </w:r>
      <w:r w:rsidRPr="00EC20A0">
        <w:t>at</w:t>
      </w:r>
      <w:r w:rsidRPr="00EC20A0">
        <w:rPr>
          <w:spacing w:val="-4"/>
        </w:rPr>
        <w:t xml:space="preserve"> </w:t>
      </w:r>
      <w:r w:rsidRPr="00EC20A0">
        <w:t>the</w:t>
      </w:r>
      <w:r w:rsidRPr="00EC20A0">
        <w:rPr>
          <w:spacing w:val="-4"/>
        </w:rPr>
        <w:t xml:space="preserve"> </w:t>
      </w:r>
      <w:r w:rsidRPr="00EC20A0">
        <w:t>same</w:t>
      </w:r>
      <w:r w:rsidRPr="00EC20A0">
        <w:rPr>
          <w:spacing w:val="-4"/>
        </w:rPr>
        <w:t xml:space="preserve"> </w:t>
      </w:r>
      <w:r w:rsidRPr="00EC20A0">
        <w:t>time</w:t>
      </w:r>
      <w:r w:rsidRPr="00EC20A0">
        <w:rPr>
          <w:spacing w:val="-4"/>
        </w:rPr>
        <w:t xml:space="preserve"> </w:t>
      </w:r>
      <w:r w:rsidRPr="00EC20A0">
        <w:t xml:space="preserve">or in the </w:t>
      </w:r>
      <w:r w:rsidRPr="00EC20A0">
        <w:t>same amounts. In addition, unreconciled IPAC differences could affect the existence and completeness of intragovernmental activity and balances.</w:t>
      </w:r>
    </w:p>
    <w:p w14:paraId="24D61650" w14:textId="77777777" w:rsidR="00245300" w:rsidRPr="00EC20A0" w:rsidRDefault="00F17249">
      <w:pPr>
        <w:pStyle w:val="ListParagraph"/>
        <w:numPr>
          <w:ilvl w:val="0"/>
          <w:numId w:val="119"/>
        </w:numPr>
        <w:tabs>
          <w:tab w:val="left" w:pos="1640"/>
        </w:tabs>
        <w:spacing w:before="241"/>
        <w:ind w:right="492" w:hanging="721"/>
      </w:pPr>
      <w:r w:rsidRPr="00EC20A0">
        <w:t>A</w:t>
      </w:r>
      <w:r w:rsidRPr="00EC20A0">
        <w:rPr>
          <w:spacing w:val="-3"/>
        </w:rPr>
        <w:t xml:space="preserve"> </w:t>
      </w:r>
      <w:r w:rsidRPr="00EC20A0">
        <w:t>federal</w:t>
      </w:r>
      <w:r w:rsidRPr="00EC20A0">
        <w:rPr>
          <w:spacing w:val="-3"/>
        </w:rPr>
        <w:t xml:space="preserve"> </w:t>
      </w:r>
      <w:r w:rsidRPr="00EC20A0">
        <w:t>entity</w:t>
      </w:r>
      <w:r w:rsidRPr="00EC20A0">
        <w:rPr>
          <w:spacing w:val="-3"/>
        </w:rPr>
        <w:t xml:space="preserve"> </w:t>
      </w:r>
      <w:r w:rsidRPr="00EC20A0">
        <w:t>initiates</w:t>
      </w:r>
      <w:r w:rsidRPr="00EC20A0">
        <w:rPr>
          <w:spacing w:val="-4"/>
        </w:rPr>
        <w:t xml:space="preserve"> </w:t>
      </w:r>
      <w:r w:rsidRPr="00EC20A0">
        <w:t>an</w:t>
      </w:r>
      <w:r w:rsidRPr="00EC20A0">
        <w:rPr>
          <w:spacing w:val="-3"/>
        </w:rPr>
        <w:t xml:space="preserve"> </w:t>
      </w:r>
      <w:r w:rsidRPr="00EC20A0">
        <w:t>IPAC</w:t>
      </w:r>
      <w:r w:rsidRPr="00EC20A0">
        <w:rPr>
          <w:spacing w:val="-4"/>
        </w:rPr>
        <w:t xml:space="preserve"> </w:t>
      </w:r>
      <w:r w:rsidRPr="00EC20A0">
        <w:t>transaction</w:t>
      </w:r>
      <w:r w:rsidRPr="00EC20A0">
        <w:rPr>
          <w:spacing w:val="-3"/>
        </w:rPr>
        <w:t xml:space="preserve"> </w:t>
      </w:r>
      <w:r w:rsidRPr="00EC20A0">
        <w:t>either</w:t>
      </w:r>
      <w:r w:rsidRPr="00EC20A0">
        <w:rPr>
          <w:spacing w:val="-3"/>
        </w:rPr>
        <w:t xml:space="preserve"> </w:t>
      </w:r>
      <w:r w:rsidRPr="00EC20A0">
        <w:t>as</w:t>
      </w:r>
      <w:r w:rsidRPr="00EC20A0">
        <w:rPr>
          <w:spacing w:val="-3"/>
        </w:rPr>
        <w:t xml:space="preserve"> </w:t>
      </w:r>
      <w:r w:rsidRPr="00EC20A0">
        <w:t>a</w:t>
      </w:r>
      <w:r w:rsidRPr="00EC20A0">
        <w:rPr>
          <w:spacing w:val="-3"/>
        </w:rPr>
        <w:t xml:space="preserve"> </w:t>
      </w:r>
      <w:r w:rsidRPr="00EC20A0">
        <w:t>collection</w:t>
      </w:r>
      <w:r w:rsidRPr="00EC20A0">
        <w:rPr>
          <w:spacing w:val="-3"/>
        </w:rPr>
        <w:t xml:space="preserve"> </w:t>
      </w:r>
      <w:r w:rsidRPr="00EC20A0">
        <w:t>or</w:t>
      </w:r>
      <w:r w:rsidRPr="00EC20A0">
        <w:rPr>
          <w:spacing w:val="-3"/>
        </w:rPr>
        <w:t xml:space="preserve"> </w:t>
      </w:r>
      <w:r w:rsidRPr="00EC20A0">
        <w:t>a</w:t>
      </w:r>
      <w:r w:rsidRPr="00EC20A0">
        <w:rPr>
          <w:spacing w:val="-3"/>
        </w:rPr>
        <w:t xml:space="preserve"> </w:t>
      </w:r>
      <w:r w:rsidRPr="00EC20A0">
        <w:t>payment. An IPAC</w:t>
      </w:r>
      <w:r w:rsidRPr="00EC20A0">
        <w:rPr>
          <w:spacing w:val="-1"/>
        </w:rPr>
        <w:t xml:space="preserve"> </w:t>
      </w:r>
      <w:r w:rsidRPr="00EC20A0">
        <w:t>customer entity receives an IPAC</w:t>
      </w:r>
      <w:r w:rsidRPr="00EC20A0">
        <w:rPr>
          <w:spacing w:val="-1"/>
        </w:rPr>
        <w:t xml:space="preserve"> </w:t>
      </w:r>
      <w:r w:rsidRPr="00EC20A0">
        <w:t>transaction either as a payment or a collection. Entities should establish procedures to reconcile intragovernmental transactions recorded in IPAC with their subsidiary ledger records.</w:t>
      </w:r>
    </w:p>
    <w:p w14:paraId="24D61651" w14:textId="77777777" w:rsidR="00245300" w:rsidRPr="00EC20A0" w:rsidRDefault="00F17249">
      <w:pPr>
        <w:pStyle w:val="ListParagraph"/>
        <w:numPr>
          <w:ilvl w:val="0"/>
          <w:numId w:val="119"/>
        </w:numPr>
        <w:tabs>
          <w:tab w:val="left" w:pos="1640"/>
        </w:tabs>
        <w:ind w:right="407" w:hanging="721"/>
      </w:pPr>
      <w:r w:rsidRPr="00EC20A0">
        <w:t>As with non-intragovernmental collections and payments, federal entities should record increases and decreases to their Fund Balance with Treasury (FBWT) accounts for IPAC collections and payments, respectively. IPAC information is reported to Treasury’s Central Accounting Reporting System (CARS), which provides</w:t>
      </w:r>
      <w:r w:rsidRPr="00EC20A0">
        <w:rPr>
          <w:spacing w:val="-4"/>
        </w:rPr>
        <w:t xml:space="preserve"> </w:t>
      </w:r>
      <w:r w:rsidRPr="00EC20A0">
        <w:t>FBWT</w:t>
      </w:r>
      <w:r w:rsidRPr="00EC20A0">
        <w:rPr>
          <w:spacing w:val="-4"/>
        </w:rPr>
        <w:t xml:space="preserve"> </w:t>
      </w:r>
      <w:r w:rsidRPr="00EC20A0">
        <w:t>account</w:t>
      </w:r>
      <w:r w:rsidRPr="00EC20A0">
        <w:rPr>
          <w:spacing w:val="-5"/>
        </w:rPr>
        <w:t xml:space="preserve"> </w:t>
      </w:r>
      <w:r w:rsidRPr="00EC20A0">
        <w:t>statements</w:t>
      </w:r>
      <w:r w:rsidRPr="00EC20A0">
        <w:rPr>
          <w:spacing w:val="-4"/>
        </w:rPr>
        <w:t xml:space="preserve"> </w:t>
      </w:r>
      <w:r w:rsidRPr="00EC20A0">
        <w:t>and</w:t>
      </w:r>
      <w:r w:rsidRPr="00EC20A0">
        <w:rPr>
          <w:spacing w:val="-4"/>
        </w:rPr>
        <w:t xml:space="preserve"> </w:t>
      </w:r>
      <w:r w:rsidRPr="00EC20A0">
        <w:t>other</w:t>
      </w:r>
      <w:r w:rsidRPr="00EC20A0">
        <w:rPr>
          <w:spacing w:val="-4"/>
        </w:rPr>
        <w:t xml:space="preserve"> </w:t>
      </w:r>
      <w:r w:rsidRPr="00EC20A0">
        <w:t>reports</w:t>
      </w:r>
      <w:r w:rsidRPr="00EC20A0">
        <w:rPr>
          <w:spacing w:val="-4"/>
        </w:rPr>
        <w:t xml:space="preserve"> </w:t>
      </w:r>
      <w:r w:rsidRPr="00EC20A0">
        <w:t>to</w:t>
      </w:r>
      <w:r w:rsidRPr="00EC20A0">
        <w:rPr>
          <w:spacing w:val="-4"/>
        </w:rPr>
        <w:t xml:space="preserve"> </w:t>
      </w:r>
      <w:r w:rsidRPr="00EC20A0">
        <w:t>federal</w:t>
      </w:r>
      <w:r w:rsidRPr="00EC20A0">
        <w:rPr>
          <w:spacing w:val="-4"/>
        </w:rPr>
        <w:t xml:space="preserve"> </w:t>
      </w:r>
      <w:r w:rsidRPr="00EC20A0">
        <w:t>entities.</w:t>
      </w:r>
      <w:r w:rsidRPr="00EC20A0">
        <w:rPr>
          <w:spacing w:val="-5"/>
        </w:rPr>
        <w:t xml:space="preserve"> </w:t>
      </w:r>
      <w:r w:rsidRPr="00EC20A0">
        <w:t xml:space="preserve">Regular reconciliation of entity FBWT records with Treasury records is a control activity related to maintaining the accuracy and reliability of entity FBWT records; additional </w:t>
      </w:r>
      <w:r w:rsidRPr="00EC20A0">
        <w:t>guidance for auditing FBWT is provided in FAM 921.</w:t>
      </w:r>
    </w:p>
    <w:p w14:paraId="24D61652" w14:textId="77777777" w:rsidR="00245300" w:rsidRPr="00EC20A0" w:rsidRDefault="00245300">
      <w:pPr>
        <w:pStyle w:val="BodyText"/>
        <w:spacing w:before="47"/>
      </w:pPr>
    </w:p>
    <w:p w14:paraId="24D61653" w14:textId="77777777" w:rsidR="00245300" w:rsidRPr="00EC20A0" w:rsidRDefault="00F17249">
      <w:pPr>
        <w:pStyle w:val="Heading4"/>
        <w:spacing w:before="0"/>
        <w:ind w:left="200"/>
      </w:pPr>
      <w:r w:rsidRPr="00EC20A0">
        <w:t>Audit</w:t>
      </w:r>
      <w:r w:rsidRPr="00EC20A0">
        <w:rPr>
          <w:spacing w:val="-10"/>
        </w:rPr>
        <w:t xml:space="preserve"> </w:t>
      </w:r>
      <w:r w:rsidRPr="00EC20A0">
        <w:rPr>
          <w:spacing w:val="-2"/>
        </w:rPr>
        <w:t>Approach</w:t>
      </w:r>
    </w:p>
    <w:p w14:paraId="24D61654" w14:textId="77777777" w:rsidR="00245300" w:rsidRPr="00EC20A0" w:rsidRDefault="00F17249">
      <w:pPr>
        <w:pStyle w:val="ListParagraph"/>
        <w:numPr>
          <w:ilvl w:val="0"/>
          <w:numId w:val="119"/>
        </w:numPr>
        <w:tabs>
          <w:tab w:val="left" w:pos="1640"/>
        </w:tabs>
        <w:spacing w:before="300"/>
        <w:ind w:right="861" w:hanging="721"/>
      </w:pPr>
      <w:r w:rsidRPr="00EC20A0">
        <w:t>The</w:t>
      </w:r>
      <w:r w:rsidRPr="00EC20A0">
        <w:rPr>
          <w:spacing w:val="-5"/>
        </w:rPr>
        <w:t xml:space="preserve"> </w:t>
      </w:r>
      <w:r w:rsidRPr="00EC20A0">
        <w:t>following</w:t>
      </w:r>
      <w:r w:rsidRPr="00EC20A0">
        <w:rPr>
          <w:spacing w:val="-5"/>
        </w:rPr>
        <w:t xml:space="preserve"> </w:t>
      </w:r>
      <w:r w:rsidRPr="00EC20A0">
        <w:t>are</w:t>
      </w:r>
      <w:r w:rsidRPr="00EC20A0">
        <w:rPr>
          <w:spacing w:val="-5"/>
        </w:rPr>
        <w:t xml:space="preserve"> </w:t>
      </w:r>
      <w:r w:rsidRPr="00EC20A0">
        <w:t>summary</w:t>
      </w:r>
      <w:r w:rsidRPr="00EC20A0">
        <w:rPr>
          <w:spacing w:val="-5"/>
        </w:rPr>
        <w:t xml:space="preserve"> </w:t>
      </w:r>
      <w:r w:rsidRPr="00EC20A0">
        <w:t>narrative</w:t>
      </w:r>
      <w:r w:rsidRPr="00EC20A0">
        <w:rPr>
          <w:spacing w:val="-6"/>
        </w:rPr>
        <w:t xml:space="preserve"> </w:t>
      </w:r>
      <w:r w:rsidRPr="00EC20A0">
        <w:t>descriptions</w:t>
      </w:r>
      <w:r w:rsidRPr="00EC20A0">
        <w:rPr>
          <w:spacing w:val="-5"/>
        </w:rPr>
        <w:t xml:space="preserve"> </w:t>
      </w:r>
      <w:r w:rsidRPr="00EC20A0">
        <w:t>of</w:t>
      </w:r>
      <w:r w:rsidRPr="00EC20A0">
        <w:rPr>
          <w:spacing w:val="-5"/>
        </w:rPr>
        <w:t xml:space="preserve"> </w:t>
      </w:r>
      <w:r w:rsidRPr="00EC20A0">
        <w:t>intragovernmental</w:t>
      </w:r>
      <w:r w:rsidRPr="00EC20A0">
        <w:rPr>
          <w:spacing w:val="-5"/>
        </w:rPr>
        <w:t xml:space="preserve"> </w:t>
      </w:r>
      <w:r w:rsidRPr="00EC20A0">
        <w:t>audit procedures. For examples of intragovernmental audit procedures, see</w:t>
      </w:r>
    </w:p>
    <w:p w14:paraId="24D61655" w14:textId="77777777" w:rsidR="00245300" w:rsidRPr="00EC20A0" w:rsidRDefault="00F17249">
      <w:pPr>
        <w:pStyle w:val="BodyText"/>
        <w:ind w:left="1640"/>
      </w:pPr>
      <w:r w:rsidRPr="00EC20A0">
        <w:t>FAM</w:t>
      </w:r>
      <w:r w:rsidRPr="00EC20A0">
        <w:rPr>
          <w:spacing w:val="-6"/>
        </w:rPr>
        <w:t xml:space="preserve"> </w:t>
      </w:r>
      <w:r w:rsidRPr="00EC20A0">
        <w:t>902</w:t>
      </w:r>
      <w:r w:rsidRPr="00EC20A0">
        <w:rPr>
          <w:spacing w:val="-4"/>
        </w:rPr>
        <w:t xml:space="preserve"> </w:t>
      </w:r>
      <w:r w:rsidRPr="00EC20A0">
        <w:rPr>
          <w:spacing w:val="-5"/>
        </w:rPr>
        <w:t>A.</w:t>
      </w:r>
    </w:p>
    <w:p w14:paraId="24D61656" w14:textId="77777777" w:rsidR="00245300" w:rsidRPr="00EC20A0" w:rsidRDefault="00F17249">
      <w:pPr>
        <w:pStyle w:val="ListParagraph"/>
        <w:numPr>
          <w:ilvl w:val="0"/>
          <w:numId w:val="119"/>
        </w:numPr>
        <w:tabs>
          <w:tab w:val="left" w:pos="1640"/>
        </w:tabs>
        <w:spacing w:before="239"/>
        <w:ind w:right="382" w:hanging="721"/>
      </w:pPr>
      <w:r w:rsidRPr="00EC20A0">
        <w:t xml:space="preserve">The auditor should assess </w:t>
      </w:r>
      <w:r w:rsidRPr="00EC20A0">
        <w:t>inherent risk and control risk for risks of material misstatement</w:t>
      </w:r>
      <w:r w:rsidRPr="00EC20A0">
        <w:rPr>
          <w:spacing w:val="-3"/>
        </w:rPr>
        <w:t xml:space="preserve"> </w:t>
      </w:r>
      <w:r w:rsidRPr="00EC20A0">
        <w:t>due</w:t>
      </w:r>
      <w:r w:rsidRPr="00EC20A0">
        <w:rPr>
          <w:spacing w:val="-3"/>
        </w:rPr>
        <w:t xml:space="preserve"> </w:t>
      </w:r>
      <w:r w:rsidRPr="00EC20A0">
        <w:t>to</w:t>
      </w:r>
      <w:r w:rsidRPr="00EC20A0">
        <w:rPr>
          <w:spacing w:val="-3"/>
        </w:rPr>
        <w:t xml:space="preserve"> </w:t>
      </w:r>
      <w:r w:rsidRPr="00EC20A0">
        <w:t>fraud</w:t>
      </w:r>
      <w:r w:rsidRPr="00EC20A0">
        <w:rPr>
          <w:spacing w:val="-3"/>
        </w:rPr>
        <w:t xml:space="preserve"> </w:t>
      </w:r>
      <w:r w:rsidRPr="00EC20A0">
        <w:t>or</w:t>
      </w:r>
      <w:r w:rsidRPr="00EC20A0">
        <w:rPr>
          <w:spacing w:val="-3"/>
        </w:rPr>
        <w:t xml:space="preserve"> </w:t>
      </w:r>
      <w:r w:rsidRPr="00EC20A0">
        <w:t>error.</w:t>
      </w:r>
      <w:r w:rsidRPr="00EC20A0">
        <w:rPr>
          <w:spacing w:val="-3"/>
        </w:rPr>
        <w:t xml:space="preserve"> </w:t>
      </w:r>
      <w:r w:rsidRPr="00EC20A0">
        <w:t>For</w:t>
      </w:r>
      <w:r w:rsidRPr="00EC20A0">
        <w:rPr>
          <w:spacing w:val="-3"/>
        </w:rPr>
        <w:t xml:space="preserve"> </w:t>
      </w:r>
      <w:r w:rsidRPr="00EC20A0">
        <w:t>example,</w:t>
      </w:r>
      <w:r w:rsidRPr="00EC20A0">
        <w:rPr>
          <w:spacing w:val="-3"/>
        </w:rPr>
        <w:t xml:space="preserve"> </w:t>
      </w:r>
      <w:r w:rsidRPr="00EC20A0">
        <w:t>inherent</w:t>
      </w:r>
      <w:r w:rsidRPr="00EC20A0">
        <w:rPr>
          <w:spacing w:val="-3"/>
        </w:rPr>
        <w:t xml:space="preserve"> </w:t>
      </w:r>
      <w:r w:rsidRPr="00EC20A0">
        <w:t>risk</w:t>
      </w:r>
      <w:r w:rsidRPr="00EC20A0">
        <w:rPr>
          <w:spacing w:val="-3"/>
        </w:rPr>
        <w:t xml:space="preserve"> </w:t>
      </w:r>
      <w:r w:rsidRPr="00EC20A0">
        <w:t>may</w:t>
      </w:r>
      <w:r w:rsidRPr="00EC20A0">
        <w:rPr>
          <w:spacing w:val="-3"/>
        </w:rPr>
        <w:t xml:space="preserve"> </w:t>
      </w:r>
      <w:r w:rsidRPr="00EC20A0">
        <w:t>exist</w:t>
      </w:r>
      <w:r w:rsidRPr="00EC20A0">
        <w:rPr>
          <w:spacing w:val="-4"/>
        </w:rPr>
        <w:t xml:space="preserve"> </w:t>
      </w:r>
      <w:r w:rsidRPr="00EC20A0">
        <w:t xml:space="preserve">because of the nature of the intragovernmental activity, such as a significant volume or dollar amount of transactions, number of trading partners, or complexity of </w:t>
      </w:r>
      <w:r w:rsidRPr="00EC20A0">
        <w:rPr>
          <w:spacing w:val="-2"/>
        </w:rPr>
        <w:t>transactions.</w:t>
      </w:r>
    </w:p>
    <w:p w14:paraId="24D61657" w14:textId="77777777" w:rsidR="00245300" w:rsidRPr="00EC20A0" w:rsidRDefault="00F17249">
      <w:pPr>
        <w:pStyle w:val="ListParagraph"/>
        <w:numPr>
          <w:ilvl w:val="0"/>
          <w:numId w:val="119"/>
        </w:numPr>
        <w:tabs>
          <w:tab w:val="left" w:pos="1640"/>
        </w:tabs>
        <w:ind w:right="505" w:hanging="721"/>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3"/>
        </w:rPr>
        <w:t xml:space="preserve"> </w:t>
      </w:r>
      <w:r w:rsidRPr="00EC20A0">
        <w:t>consider</w:t>
      </w:r>
      <w:r w:rsidRPr="00EC20A0">
        <w:rPr>
          <w:spacing w:val="-4"/>
        </w:rPr>
        <w:t xml:space="preserve"> </w:t>
      </w:r>
      <w:r w:rsidRPr="00EC20A0">
        <w:t>the</w:t>
      </w:r>
      <w:r w:rsidRPr="00EC20A0">
        <w:rPr>
          <w:spacing w:val="-4"/>
        </w:rPr>
        <w:t xml:space="preserve"> </w:t>
      </w:r>
      <w:r w:rsidRPr="00EC20A0">
        <w:t>risk</w:t>
      </w:r>
      <w:r w:rsidRPr="00EC20A0">
        <w:rPr>
          <w:spacing w:val="-5"/>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in</w:t>
      </w:r>
      <w:r w:rsidRPr="00EC20A0">
        <w:rPr>
          <w:spacing w:val="-4"/>
        </w:rPr>
        <w:t xml:space="preserve"> </w:t>
      </w:r>
      <w:r w:rsidRPr="00EC20A0">
        <w:t>determining</w:t>
      </w:r>
      <w:r w:rsidRPr="00EC20A0">
        <w:rPr>
          <w:spacing w:val="-4"/>
        </w:rPr>
        <w:t xml:space="preserve"> </w:t>
      </w:r>
      <w:r w:rsidRPr="00EC20A0">
        <w:t xml:space="preserve">the nature, extent, and timing of control testing and substantive procedures for auditing intragovernmental activity and </w:t>
      </w:r>
      <w:r w:rsidRPr="00EC20A0">
        <w:t>balances and evaluating the results of these procedures. Throughout the audit, the auditor evaluates the possible existence of material intragovernmental activity and balances that could affect the financial statements. The auditor also evaluates information concerning</w:t>
      </w:r>
    </w:p>
    <w:p w14:paraId="24D61658" w14:textId="77777777" w:rsidR="00245300" w:rsidRPr="00EC20A0" w:rsidRDefault="00F17249">
      <w:pPr>
        <w:pStyle w:val="BodyText"/>
        <w:spacing w:before="170"/>
        <w:rPr>
          <w:sz w:val="20"/>
        </w:rPr>
      </w:pPr>
      <w:r w:rsidRPr="00EC20A0">
        <w:rPr>
          <w:noProof/>
        </w:rPr>
        <mc:AlternateContent>
          <mc:Choice Requires="wps">
            <w:drawing>
              <wp:anchor distT="0" distB="0" distL="0" distR="0" simplePos="0" relativeHeight="487709184" behindDoc="1" locked="0" layoutInCell="1" allowOverlap="1" wp14:anchorId="24D62C8F" wp14:editId="24D62C90">
                <wp:simplePos x="0" y="0"/>
                <wp:positionH relativeFrom="page">
                  <wp:posOffset>914400</wp:posOffset>
                </wp:positionH>
                <wp:positionV relativeFrom="paragraph">
                  <wp:posOffset>269422</wp:posOffset>
                </wp:positionV>
                <wp:extent cx="1828800" cy="5715"/>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FED3E8" id="Graphic 782" o:spid="_x0000_s1026" style="position:absolute;margin-left:1in;margin-top:21.2pt;width:2in;height:.45pt;z-index:-1560729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" path="m1828800,l,,,5321r1828800,l1828800,xe" fillcolor="black" stroked="f">
                <v:path arrowok="t"/>
                <w10:wrap type="topAndBottom" anchorx="page"/>
              </v:shape>
            </w:pict>
          </mc:Fallback>
        </mc:AlternateContent>
      </w:r>
    </w:p>
    <w:p w14:paraId="24D61659" w14:textId="77777777" w:rsidR="00245300" w:rsidRPr="00EC20A0" w:rsidRDefault="00F17249">
      <w:pPr>
        <w:spacing w:before="202" w:line="249" w:lineRule="auto"/>
        <w:ind w:left="199" w:right="337"/>
        <w:rPr>
          <w:sz w:val="18"/>
        </w:rPr>
      </w:pPr>
      <w:bookmarkStart w:id="286" w:name="_bookmark162"/>
      <w:bookmarkEnd w:id="286"/>
      <w:r w:rsidRPr="00EC20A0">
        <w:rPr>
          <w:position w:val="7"/>
          <w:sz w:val="14"/>
        </w:rPr>
        <w:t>13</w:t>
      </w:r>
      <w:r w:rsidRPr="00EC20A0">
        <w:rPr>
          <w:sz w:val="18"/>
        </w:rPr>
        <w:t>An</w:t>
      </w:r>
      <w:r w:rsidRPr="00EC20A0">
        <w:rPr>
          <w:spacing w:val="-3"/>
          <w:sz w:val="18"/>
        </w:rPr>
        <w:t xml:space="preserve"> </w:t>
      </w:r>
      <w:r w:rsidRPr="00EC20A0">
        <w:rPr>
          <w:sz w:val="18"/>
        </w:rPr>
        <w:t>unmatched</w:t>
      </w:r>
      <w:r w:rsidRPr="00EC20A0">
        <w:rPr>
          <w:spacing w:val="-1"/>
          <w:sz w:val="18"/>
        </w:rPr>
        <w:t xml:space="preserve"> </w:t>
      </w:r>
      <w:r w:rsidRPr="00EC20A0">
        <w:rPr>
          <w:sz w:val="18"/>
        </w:rPr>
        <w:t>amount</w:t>
      </w:r>
      <w:r w:rsidRPr="00EC20A0">
        <w:rPr>
          <w:spacing w:val="-2"/>
          <w:sz w:val="18"/>
        </w:rPr>
        <w:t xml:space="preserve"> </w:t>
      </w:r>
      <w:r w:rsidRPr="00EC20A0">
        <w:rPr>
          <w:sz w:val="18"/>
        </w:rPr>
        <w:t>is</w:t>
      </w:r>
      <w:r w:rsidRPr="00EC20A0">
        <w:rPr>
          <w:spacing w:val="-2"/>
          <w:sz w:val="18"/>
        </w:rPr>
        <w:t xml:space="preserve"> </w:t>
      </w:r>
      <w:r w:rsidRPr="00EC20A0">
        <w:rPr>
          <w:sz w:val="18"/>
        </w:rPr>
        <w:t>also</w:t>
      </w:r>
      <w:r w:rsidRPr="00EC20A0">
        <w:rPr>
          <w:spacing w:val="-1"/>
          <w:sz w:val="18"/>
        </w:rPr>
        <w:t xml:space="preserve"> </w:t>
      </w:r>
      <w:r w:rsidRPr="00EC20A0">
        <w:rPr>
          <w:sz w:val="18"/>
        </w:rPr>
        <w:t>reported</w:t>
      </w:r>
      <w:r w:rsidRPr="00EC20A0">
        <w:rPr>
          <w:spacing w:val="-3"/>
          <w:sz w:val="18"/>
        </w:rPr>
        <w:t xml:space="preserve"> </w:t>
      </w:r>
      <w:r w:rsidRPr="00EC20A0">
        <w:rPr>
          <w:sz w:val="18"/>
        </w:rPr>
        <w:t>in</w:t>
      </w:r>
      <w:r w:rsidRPr="00EC20A0">
        <w:rPr>
          <w:spacing w:val="-3"/>
          <w:sz w:val="18"/>
        </w:rPr>
        <w:t xml:space="preserve"> </w:t>
      </w:r>
      <w:r w:rsidRPr="00EC20A0">
        <w:rPr>
          <w:sz w:val="18"/>
        </w:rPr>
        <w:t>the</w:t>
      </w:r>
      <w:r w:rsidRPr="00EC20A0">
        <w:rPr>
          <w:spacing w:val="-1"/>
          <w:sz w:val="18"/>
        </w:rPr>
        <w:t xml:space="preserve"> </w:t>
      </w:r>
      <w:r w:rsidRPr="00EC20A0">
        <w:rPr>
          <w:sz w:val="18"/>
        </w:rPr>
        <w:t>statement</w:t>
      </w:r>
      <w:r w:rsidRPr="00EC20A0">
        <w:rPr>
          <w:spacing w:val="-2"/>
          <w:sz w:val="18"/>
        </w:rPr>
        <w:t xml:space="preserve"> </w:t>
      </w:r>
      <w:r w:rsidRPr="00EC20A0">
        <w:rPr>
          <w:sz w:val="18"/>
        </w:rPr>
        <w:t>of</w:t>
      </w:r>
      <w:r w:rsidRPr="00EC20A0">
        <w:rPr>
          <w:spacing w:val="-2"/>
          <w:sz w:val="18"/>
        </w:rPr>
        <w:t xml:space="preserve"> </w:t>
      </w:r>
      <w:r w:rsidRPr="00EC20A0">
        <w:rPr>
          <w:sz w:val="18"/>
        </w:rPr>
        <w:t>net</w:t>
      </w:r>
      <w:r w:rsidRPr="00EC20A0">
        <w:rPr>
          <w:spacing w:val="-2"/>
          <w:sz w:val="18"/>
        </w:rPr>
        <w:t xml:space="preserve"> </w:t>
      </w:r>
      <w:r w:rsidRPr="00EC20A0">
        <w:rPr>
          <w:sz w:val="18"/>
        </w:rPr>
        <w:t>cost;</w:t>
      </w:r>
      <w:r w:rsidRPr="00EC20A0">
        <w:rPr>
          <w:spacing w:val="-2"/>
          <w:sz w:val="18"/>
        </w:rPr>
        <w:t xml:space="preserve"> </w:t>
      </w:r>
      <w:r w:rsidRPr="00EC20A0">
        <w:rPr>
          <w:sz w:val="18"/>
        </w:rPr>
        <w:t>however,</w:t>
      </w:r>
      <w:r w:rsidRPr="00EC20A0">
        <w:rPr>
          <w:spacing w:val="-2"/>
          <w:sz w:val="18"/>
        </w:rPr>
        <w:t xml:space="preserve"> </w:t>
      </w:r>
      <w:r w:rsidRPr="00EC20A0">
        <w:rPr>
          <w:sz w:val="18"/>
        </w:rPr>
        <w:t>it</w:t>
      </w:r>
      <w:r w:rsidRPr="00EC20A0">
        <w:rPr>
          <w:spacing w:val="-2"/>
          <w:sz w:val="18"/>
        </w:rPr>
        <w:t xml:space="preserve"> </w:t>
      </w:r>
      <w:r w:rsidRPr="00EC20A0">
        <w:rPr>
          <w:sz w:val="18"/>
        </w:rPr>
        <w:t>is</w:t>
      </w:r>
      <w:r w:rsidRPr="00EC20A0">
        <w:rPr>
          <w:spacing w:val="-2"/>
          <w:sz w:val="18"/>
        </w:rPr>
        <w:t xml:space="preserve"> </w:t>
      </w:r>
      <w:r w:rsidRPr="00EC20A0">
        <w:rPr>
          <w:sz w:val="18"/>
        </w:rPr>
        <w:t>not</w:t>
      </w:r>
      <w:r w:rsidRPr="00EC20A0">
        <w:rPr>
          <w:spacing w:val="-2"/>
          <w:sz w:val="18"/>
        </w:rPr>
        <w:t xml:space="preserve"> </w:t>
      </w:r>
      <w:r w:rsidRPr="00EC20A0">
        <w:rPr>
          <w:sz w:val="18"/>
        </w:rPr>
        <w:t>reported</w:t>
      </w:r>
      <w:r w:rsidRPr="00EC20A0">
        <w:rPr>
          <w:spacing w:val="-3"/>
          <w:sz w:val="18"/>
        </w:rPr>
        <w:t xml:space="preserve"> </w:t>
      </w:r>
      <w:r w:rsidRPr="00EC20A0">
        <w:rPr>
          <w:sz w:val="18"/>
        </w:rPr>
        <w:t>as</w:t>
      </w:r>
      <w:r w:rsidRPr="00EC20A0">
        <w:rPr>
          <w:spacing w:val="-2"/>
          <w:sz w:val="18"/>
        </w:rPr>
        <w:t xml:space="preserve"> </w:t>
      </w:r>
      <w:r w:rsidRPr="00EC20A0">
        <w:rPr>
          <w:sz w:val="18"/>
        </w:rPr>
        <w:t>a</w:t>
      </w:r>
      <w:r w:rsidRPr="00EC20A0">
        <w:rPr>
          <w:spacing w:val="-3"/>
          <w:sz w:val="18"/>
        </w:rPr>
        <w:t xml:space="preserve"> </w:t>
      </w:r>
      <w:r w:rsidRPr="00EC20A0">
        <w:rPr>
          <w:sz w:val="18"/>
        </w:rPr>
        <w:t>separate</w:t>
      </w:r>
      <w:r w:rsidRPr="00EC20A0">
        <w:rPr>
          <w:spacing w:val="-3"/>
          <w:sz w:val="18"/>
        </w:rPr>
        <w:t xml:space="preserve"> </w:t>
      </w:r>
      <w:r w:rsidRPr="00EC20A0">
        <w:rPr>
          <w:sz w:val="18"/>
        </w:rPr>
        <w:t xml:space="preserve">line </w:t>
      </w:r>
      <w:r w:rsidRPr="00EC20A0">
        <w:rPr>
          <w:spacing w:val="-2"/>
          <w:sz w:val="18"/>
        </w:rPr>
        <w:t>item.</w:t>
      </w:r>
    </w:p>
    <w:p w14:paraId="24D6165A" w14:textId="77777777" w:rsidR="00245300" w:rsidRPr="00EC20A0" w:rsidRDefault="00245300">
      <w:pPr>
        <w:spacing w:line="249" w:lineRule="auto"/>
        <w:rPr>
          <w:sz w:val="18"/>
        </w:rPr>
        <w:sectPr w:rsidR="00245300" w:rsidRPr="00EC20A0">
          <w:pgSz w:w="12240" w:h="15840"/>
          <w:pgMar w:top="1340" w:right="1100" w:bottom="940" w:left="1240" w:header="721" w:footer="757" w:gutter="0"/>
          <w:cols w:space="720"/>
        </w:sectPr>
      </w:pPr>
    </w:p>
    <w:p w14:paraId="24D6165B" w14:textId="77777777" w:rsidR="00245300" w:rsidRPr="00EC20A0" w:rsidRDefault="00F17249">
      <w:pPr>
        <w:pStyle w:val="BodyText"/>
        <w:spacing w:before="121"/>
        <w:ind w:left="1640" w:right="345"/>
      </w:pPr>
      <w:r w:rsidRPr="00EC20A0">
        <w:t>material</w:t>
      </w:r>
      <w:r w:rsidRPr="00EC20A0">
        <w:rPr>
          <w:spacing w:val="-5"/>
        </w:rPr>
        <w:t xml:space="preserve"> </w:t>
      </w:r>
      <w:r w:rsidRPr="00EC20A0">
        <w:t>intragovernmental</w:t>
      </w:r>
      <w:r w:rsidRPr="00EC20A0">
        <w:rPr>
          <w:spacing w:val="-5"/>
        </w:rPr>
        <w:t xml:space="preserve"> </w:t>
      </w:r>
      <w:r w:rsidRPr="00EC20A0">
        <w:t>activity</w:t>
      </w:r>
      <w:r w:rsidRPr="00EC20A0">
        <w:rPr>
          <w:spacing w:val="-5"/>
        </w:rPr>
        <w:t xml:space="preserve"> </w:t>
      </w:r>
      <w:r w:rsidRPr="00EC20A0">
        <w:t>and</w:t>
      </w:r>
      <w:r w:rsidRPr="00EC20A0">
        <w:rPr>
          <w:spacing w:val="-5"/>
        </w:rPr>
        <w:t xml:space="preserve"> </w:t>
      </w:r>
      <w:r w:rsidRPr="00EC20A0">
        <w:t>balances</w:t>
      </w:r>
      <w:r w:rsidRPr="00EC20A0">
        <w:rPr>
          <w:spacing w:val="-6"/>
        </w:rPr>
        <w:t xml:space="preserve"> </w:t>
      </w:r>
      <w:r w:rsidRPr="00EC20A0">
        <w:t>to</w:t>
      </w:r>
      <w:r w:rsidRPr="00EC20A0">
        <w:rPr>
          <w:spacing w:val="-5"/>
        </w:rPr>
        <w:t xml:space="preserve"> </w:t>
      </w:r>
      <w:r w:rsidRPr="00EC20A0">
        <w:t>determine</w:t>
      </w:r>
      <w:r w:rsidRPr="00EC20A0">
        <w:rPr>
          <w:spacing w:val="-5"/>
        </w:rPr>
        <w:t xml:space="preserve"> </w:t>
      </w:r>
      <w:r w:rsidRPr="00EC20A0">
        <w:t>the</w:t>
      </w:r>
      <w:r w:rsidRPr="00EC20A0">
        <w:rPr>
          <w:spacing w:val="-5"/>
        </w:rPr>
        <w:t xml:space="preserve"> </w:t>
      </w:r>
      <w:r w:rsidRPr="00EC20A0">
        <w:t>adequacy</w:t>
      </w:r>
      <w:r w:rsidRPr="00EC20A0">
        <w:rPr>
          <w:spacing w:val="-5"/>
        </w:rPr>
        <w:t xml:space="preserve"> </w:t>
      </w:r>
      <w:r w:rsidRPr="00EC20A0">
        <w:t xml:space="preserve">and </w:t>
      </w:r>
      <w:r w:rsidRPr="00EC20A0">
        <w:t>appropriateness of note disclosures.</w:t>
      </w:r>
    </w:p>
    <w:p w14:paraId="24D6165C" w14:textId="77777777" w:rsidR="00245300" w:rsidRPr="00EC20A0" w:rsidRDefault="00F17249">
      <w:pPr>
        <w:pStyle w:val="ListParagraph"/>
        <w:numPr>
          <w:ilvl w:val="0"/>
          <w:numId w:val="119"/>
        </w:numPr>
        <w:tabs>
          <w:tab w:val="left" w:pos="1640"/>
        </w:tabs>
        <w:spacing w:before="239"/>
        <w:ind w:right="347" w:hanging="721"/>
      </w:pPr>
      <w:r w:rsidRPr="00EC20A0">
        <w:t>The auditor generally should determine an intragovernmental materiality benchmark as combining all the accounts may distort the auditor’s judgment when</w:t>
      </w:r>
      <w:r w:rsidRPr="00EC20A0">
        <w:rPr>
          <w:spacing w:val="-3"/>
        </w:rPr>
        <w:t xml:space="preserve"> </w:t>
      </w:r>
      <w:r w:rsidRPr="00EC20A0">
        <w:t>designing</w:t>
      </w:r>
      <w:r w:rsidRPr="00EC20A0">
        <w:rPr>
          <w:spacing w:val="-3"/>
        </w:rPr>
        <w:t xml:space="preserve"> </w:t>
      </w:r>
      <w:r w:rsidRPr="00EC20A0">
        <w:t>the</w:t>
      </w:r>
      <w:r w:rsidRPr="00EC20A0">
        <w:rPr>
          <w:spacing w:val="-3"/>
        </w:rPr>
        <w:t xml:space="preserve"> </w:t>
      </w:r>
      <w:r w:rsidRPr="00EC20A0">
        <w:t>nature,</w:t>
      </w:r>
      <w:r w:rsidRPr="00EC20A0">
        <w:rPr>
          <w:spacing w:val="-3"/>
        </w:rPr>
        <w:t xml:space="preserve"> </w:t>
      </w:r>
      <w:r w:rsidRPr="00EC20A0">
        <w:t>extent,</w:t>
      </w:r>
      <w:r w:rsidRPr="00EC20A0">
        <w:rPr>
          <w:spacing w:val="-4"/>
        </w:rPr>
        <w:t xml:space="preserve"> </w:t>
      </w:r>
      <w:r w:rsidRPr="00EC20A0">
        <w:t>and</w:t>
      </w:r>
      <w:r w:rsidRPr="00EC20A0">
        <w:rPr>
          <w:spacing w:val="-3"/>
        </w:rPr>
        <w:t xml:space="preserve"> </w:t>
      </w:r>
      <w:r w:rsidRPr="00EC20A0">
        <w:t>timing</w:t>
      </w:r>
      <w:r w:rsidRPr="00EC20A0">
        <w:rPr>
          <w:spacing w:val="-3"/>
        </w:rPr>
        <w:t xml:space="preserve"> </w:t>
      </w:r>
      <w:r w:rsidRPr="00EC20A0">
        <w:t>of</w:t>
      </w:r>
      <w:r w:rsidRPr="00EC20A0">
        <w:rPr>
          <w:spacing w:val="-3"/>
        </w:rPr>
        <w:t xml:space="preserve"> </w:t>
      </w:r>
      <w:r w:rsidRPr="00EC20A0">
        <w:t>audit</w:t>
      </w:r>
      <w:r w:rsidRPr="00EC20A0">
        <w:rPr>
          <w:spacing w:val="-3"/>
        </w:rPr>
        <w:t xml:space="preserve"> </w:t>
      </w:r>
      <w:r w:rsidRPr="00EC20A0">
        <w:t>procedures.</w:t>
      </w:r>
      <w:r w:rsidRPr="00EC20A0">
        <w:rPr>
          <w:spacing w:val="-3"/>
        </w:rPr>
        <w:t xml:space="preserve"> </w:t>
      </w:r>
      <w:r w:rsidRPr="00EC20A0">
        <w:t>In</w:t>
      </w:r>
      <w:r w:rsidRPr="00EC20A0">
        <w:rPr>
          <w:spacing w:val="-3"/>
        </w:rPr>
        <w:t xml:space="preserve"> </w:t>
      </w:r>
      <w:r w:rsidRPr="00EC20A0">
        <w:t>determining the materiality benchmark, the auditor should decide how to handle significant intragovernmental</w:t>
      </w:r>
      <w:r w:rsidRPr="00EC20A0">
        <w:rPr>
          <w:spacing w:val="-4"/>
        </w:rPr>
        <w:t xml:space="preserve"> </w:t>
      </w:r>
      <w:r w:rsidRPr="00EC20A0">
        <w:t>balances</w:t>
      </w:r>
      <w:r w:rsidRPr="00EC20A0">
        <w:rPr>
          <w:spacing w:val="-4"/>
        </w:rPr>
        <w:t xml:space="preserve"> </w:t>
      </w:r>
      <w:r w:rsidRPr="00EC20A0">
        <w:t>(such</w:t>
      </w:r>
      <w:r w:rsidRPr="00EC20A0">
        <w:rPr>
          <w:spacing w:val="-5"/>
        </w:rPr>
        <w:t xml:space="preserve"> </w:t>
      </w:r>
      <w:r w:rsidRPr="00EC20A0">
        <w:t>as</w:t>
      </w:r>
      <w:r w:rsidRPr="00EC20A0">
        <w:rPr>
          <w:spacing w:val="-4"/>
        </w:rPr>
        <w:t xml:space="preserve"> </w:t>
      </w:r>
      <w:r w:rsidRPr="00EC20A0">
        <w:t>funds</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U.S.</w:t>
      </w:r>
      <w:r w:rsidRPr="00EC20A0">
        <w:rPr>
          <w:spacing w:val="-4"/>
        </w:rPr>
        <w:t xml:space="preserve"> </w:t>
      </w:r>
      <w:r w:rsidRPr="00EC20A0">
        <w:t>Treasury,</w:t>
      </w:r>
      <w:r w:rsidRPr="00EC20A0">
        <w:rPr>
          <w:spacing w:val="-4"/>
        </w:rPr>
        <w:t xml:space="preserve"> </w:t>
      </w:r>
      <w:r w:rsidRPr="00EC20A0">
        <w:t>U.S.</w:t>
      </w:r>
      <w:r w:rsidRPr="00EC20A0">
        <w:rPr>
          <w:spacing w:val="-4"/>
        </w:rPr>
        <w:t xml:space="preserve"> </w:t>
      </w:r>
      <w:r w:rsidRPr="00EC20A0">
        <w:t xml:space="preserve">Treasury securities, and inter-entity balances) and offsetting balances (such as future funding sources that offset certain liabilities and collections that are offset by transfers to other government entities) due to their levels of risk (see FAM </w:t>
      </w:r>
      <w:r w:rsidRPr="00EC20A0">
        <w:rPr>
          <w:spacing w:val="-2"/>
        </w:rPr>
        <w:t>230.10).</w:t>
      </w:r>
    </w:p>
    <w:p w14:paraId="24D6165D" w14:textId="77777777" w:rsidR="00245300" w:rsidRPr="00EC20A0" w:rsidRDefault="00F17249">
      <w:pPr>
        <w:pStyle w:val="ListParagraph"/>
        <w:numPr>
          <w:ilvl w:val="0"/>
          <w:numId w:val="119"/>
        </w:numPr>
        <w:tabs>
          <w:tab w:val="left" w:pos="1640"/>
        </w:tabs>
        <w:spacing w:before="241"/>
        <w:ind w:right="369" w:hanging="721"/>
      </w:pPr>
      <w:r w:rsidRPr="00EC20A0">
        <w:t>In</w:t>
      </w:r>
      <w:r w:rsidRPr="00EC20A0">
        <w:rPr>
          <w:spacing w:val="-1"/>
        </w:rPr>
        <w:t xml:space="preserve"> </w:t>
      </w:r>
      <w:r w:rsidRPr="00EC20A0">
        <w:t>gaining</w:t>
      </w:r>
      <w:r w:rsidRPr="00EC20A0">
        <w:rPr>
          <w:spacing w:val="-1"/>
        </w:rPr>
        <w:t xml:space="preserve"> </w:t>
      </w:r>
      <w:r w:rsidRPr="00EC20A0">
        <w:t>an</w:t>
      </w:r>
      <w:r w:rsidRPr="00EC20A0">
        <w:rPr>
          <w:spacing w:val="-1"/>
        </w:rPr>
        <w:t xml:space="preserve"> </w:t>
      </w:r>
      <w:r w:rsidRPr="00EC20A0">
        <w:t>understanding of</w:t>
      </w:r>
      <w:r w:rsidRPr="00EC20A0">
        <w:rPr>
          <w:spacing w:val="-1"/>
        </w:rPr>
        <w:t xml:space="preserve"> </w:t>
      </w:r>
      <w:r w:rsidRPr="00EC20A0">
        <w:t>the</w:t>
      </w:r>
      <w:r w:rsidRPr="00EC20A0">
        <w:rPr>
          <w:spacing w:val="-1"/>
        </w:rPr>
        <w:t xml:space="preserve"> </w:t>
      </w:r>
      <w:r w:rsidRPr="00EC20A0">
        <w:t>entity,</w:t>
      </w:r>
      <w:r w:rsidRPr="00EC20A0">
        <w:rPr>
          <w:spacing w:val="-1"/>
        </w:rPr>
        <w:t xml:space="preserve"> </w:t>
      </w:r>
      <w:r w:rsidRPr="00EC20A0">
        <w:t>including</w:t>
      </w:r>
      <w:r w:rsidRPr="00EC20A0">
        <w:rPr>
          <w:spacing w:val="-1"/>
        </w:rPr>
        <w:t xml:space="preserve"> </w:t>
      </w:r>
      <w:r w:rsidRPr="00EC20A0">
        <w:t>its</w:t>
      </w:r>
      <w:r w:rsidRPr="00EC20A0">
        <w:rPr>
          <w:spacing w:val="-1"/>
        </w:rPr>
        <w:t xml:space="preserve"> </w:t>
      </w:r>
      <w:r w:rsidRPr="00EC20A0">
        <w:t>internal</w:t>
      </w:r>
      <w:r w:rsidRPr="00EC20A0">
        <w:rPr>
          <w:spacing w:val="-1"/>
        </w:rPr>
        <w:t xml:space="preserve"> </w:t>
      </w:r>
      <w:r w:rsidRPr="00EC20A0">
        <w:t>control,</w:t>
      </w:r>
      <w:r w:rsidRPr="00EC20A0">
        <w:rPr>
          <w:spacing w:val="-1"/>
        </w:rPr>
        <w:t xml:space="preserve"> </w:t>
      </w:r>
      <w:r w:rsidRPr="00EC20A0">
        <w:t>the</w:t>
      </w:r>
      <w:r w:rsidRPr="00EC20A0">
        <w:rPr>
          <w:spacing w:val="-1"/>
        </w:rPr>
        <w:t xml:space="preserve"> </w:t>
      </w:r>
      <w:r w:rsidRPr="00EC20A0">
        <w:t xml:space="preserve">auditor </w:t>
      </w:r>
      <w:r w:rsidRPr="00EC20A0">
        <w:t>should obtain an understanding of management responsibilities and the relationship</w:t>
      </w:r>
      <w:r w:rsidRPr="00EC20A0">
        <w:rPr>
          <w:spacing w:val="-4"/>
        </w:rPr>
        <w:t xml:space="preserve"> </w:t>
      </w:r>
      <w:r w:rsidRPr="00EC20A0">
        <w:t>of</w:t>
      </w:r>
      <w:r w:rsidRPr="00EC20A0">
        <w:rPr>
          <w:spacing w:val="-3"/>
        </w:rPr>
        <w:t xml:space="preserve"> </w:t>
      </w:r>
      <w:r w:rsidRPr="00EC20A0">
        <w:t>each</w:t>
      </w:r>
      <w:r w:rsidRPr="00EC20A0">
        <w:rPr>
          <w:spacing w:val="-3"/>
        </w:rPr>
        <w:t xml:space="preserve"> </w:t>
      </w:r>
      <w:r w:rsidRPr="00EC20A0">
        <w:t>component</w:t>
      </w:r>
      <w:r w:rsidRPr="00EC20A0">
        <w:rPr>
          <w:spacing w:val="-3"/>
        </w:rPr>
        <w:t xml:space="preserve"> </w:t>
      </w:r>
      <w:r w:rsidRPr="00EC20A0">
        <w:t>within</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total</w:t>
      </w:r>
      <w:r w:rsidRPr="00EC20A0">
        <w:rPr>
          <w:spacing w:val="-3"/>
        </w:rPr>
        <w:t xml:space="preserve"> </w:t>
      </w:r>
      <w:r w:rsidRPr="00EC20A0">
        <w:t>entity</w:t>
      </w:r>
      <w:r w:rsidRPr="00EC20A0">
        <w:rPr>
          <w:spacing w:val="-3"/>
        </w:rPr>
        <w:t xml:space="preserve"> </w:t>
      </w:r>
      <w:r w:rsidRPr="00EC20A0">
        <w:t>(i.e.,</w:t>
      </w:r>
      <w:r w:rsidRPr="00EC20A0">
        <w:rPr>
          <w:spacing w:val="-4"/>
        </w:rPr>
        <w:t xml:space="preserve"> </w:t>
      </w:r>
      <w:r w:rsidRPr="00EC20A0">
        <w:t>intra-entity amounts) and of the entity to other federal entities (i.e., inter-entity amounts).</w:t>
      </w:r>
    </w:p>
    <w:p w14:paraId="24D6165E" w14:textId="77777777" w:rsidR="00245300" w:rsidRPr="00EC20A0" w:rsidRDefault="00F17249">
      <w:pPr>
        <w:pStyle w:val="BodyText"/>
        <w:spacing w:line="253" w:lineRule="exact"/>
        <w:ind w:left="1640"/>
      </w:pPr>
      <w:r w:rsidRPr="00EC20A0">
        <w:t>This</w:t>
      </w:r>
      <w:r w:rsidRPr="00EC20A0">
        <w:rPr>
          <w:spacing w:val="-9"/>
        </w:rPr>
        <w:t xml:space="preserve"> </w:t>
      </w:r>
      <w:r w:rsidRPr="00EC20A0">
        <w:t>includes</w:t>
      </w:r>
      <w:r w:rsidRPr="00EC20A0">
        <w:rPr>
          <w:spacing w:val="-8"/>
        </w:rPr>
        <w:t xml:space="preserve"> </w:t>
      </w:r>
      <w:r w:rsidRPr="00EC20A0">
        <w:t>knowledge</w:t>
      </w:r>
      <w:r w:rsidRPr="00EC20A0">
        <w:rPr>
          <w:spacing w:val="-9"/>
        </w:rPr>
        <w:t xml:space="preserve"> </w:t>
      </w:r>
      <w:r w:rsidRPr="00EC20A0">
        <w:rPr>
          <w:spacing w:val="-5"/>
        </w:rPr>
        <w:t>of</w:t>
      </w:r>
    </w:p>
    <w:p w14:paraId="24D6165F" w14:textId="77777777" w:rsidR="00245300" w:rsidRPr="00EC20A0" w:rsidRDefault="00F17249">
      <w:pPr>
        <w:pStyle w:val="ListParagraph"/>
        <w:numPr>
          <w:ilvl w:val="1"/>
          <w:numId w:val="119"/>
        </w:numPr>
        <w:tabs>
          <w:tab w:val="left" w:pos="2000"/>
        </w:tabs>
        <w:ind w:hanging="360"/>
      </w:pPr>
      <w:r w:rsidRPr="00EC20A0">
        <w:t>the</w:t>
      </w:r>
      <w:r w:rsidRPr="00EC20A0">
        <w:rPr>
          <w:spacing w:val="-7"/>
        </w:rPr>
        <w:t xml:space="preserve"> </w:t>
      </w:r>
      <w:r w:rsidRPr="00EC20A0">
        <w:t>entity’s</w:t>
      </w:r>
      <w:r w:rsidRPr="00EC20A0">
        <w:rPr>
          <w:spacing w:val="-6"/>
        </w:rPr>
        <w:t xml:space="preserve"> </w:t>
      </w:r>
      <w:r w:rsidRPr="00EC20A0">
        <w:t>trading</w:t>
      </w:r>
      <w:r w:rsidRPr="00EC20A0">
        <w:rPr>
          <w:spacing w:val="-6"/>
        </w:rPr>
        <w:t xml:space="preserve"> </w:t>
      </w:r>
      <w:r w:rsidRPr="00EC20A0">
        <w:rPr>
          <w:spacing w:val="-2"/>
        </w:rPr>
        <w:t>partners;</w:t>
      </w:r>
    </w:p>
    <w:p w14:paraId="24D61660" w14:textId="77777777" w:rsidR="00245300" w:rsidRPr="00EC20A0" w:rsidRDefault="00F17249">
      <w:pPr>
        <w:pStyle w:val="ListParagraph"/>
        <w:numPr>
          <w:ilvl w:val="1"/>
          <w:numId w:val="119"/>
        </w:numPr>
        <w:tabs>
          <w:tab w:val="left" w:pos="2000"/>
        </w:tabs>
        <w:spacing w:before="238"/>
        <w:ind w:hanging="360"/>
      </w:pPr>
      <w:r w:rsidRPr="00EC20A0">
        <w:t>the</w:t>
      </w:r>
      <w:r w:rsidRPr="00EC20A0">
        <w:rPr>
          <w:spacing w:val="-8"/>
        </w:rPr>
        <w:t xml:space="preserve"> </w:t>
      </w:r>
      <w:r w:rsidRPr="00EC20A0">
        <w:t>nature</w:t>
      </w:r>
      <w:r w:rsidRPr="00EC20A0">
        <w:rPr>
          <w:spacing w:val="-8"/>
        </w:rPr>
        <w:t xml:space="preserve"> </w:t>
      </w:r>
      <w:r w:rsidRPr="00EC20A0">
        <w:t>of</w:t>
      </w:r>
      <w:r w:rsidRPr="00EC20A0">
        <w:rPr>
          <w:spacing w:val="-8"/>
        </w:rPr>
        <w:t xml:space="preserve"> </w:t>
      </w:r>
      <w:r w:rsidRPr="00EC20A0">
        <w:t>intragovernmental</w:t>
      </w:r>
      <w:r w:rsidRPr="00EC20A0">
        <w:rPr>
          <w:spacing w:val="-8"/>
        </w:rPr>
        <w:t xml:space="preserve"> </w:t>
      </w:r>
      <w:r w:rsidRPr="00EC20A0">
        <w:t>transactions</w:t>
      </w:r>
      <w:r w:rsidRPr="00EC20A0">
        <w:rPr>
          <w:spacing w:val="-8"/>
        </w:rPr>
        <w:t xml:space="preserve"> </w:t>
      </w:r>
      <w:r w:rsidRPr="00EC20A0">
        <w:t>that</w:t>
      </w:r>
      <w:r w:rsidRPr="00EC20A0">
        <w:rPr>
          <w:spacing w:val="-9"/>
        </w:rPr>
        <w:t xml:space="preserve"> </w:t>
      </w:r>
      <w:r w:rsidRPr="00EC20A0">
        <w:rPr>
          <w:spacing w:val="-2"/>
        </w:rPr>
        <w:t>occur;</w:t>
      </w:r>
    </w:p>
    <w:p w14:paraId="24D61661" w14:textId="77777777" w:rsidR="00245300" w:rsidRPr="00EC20A0" w:rsidRDefault="00F17249">
      <w:pPr>
        <w:pStyle w:val="ListParagraph"/>
        <w:numPr>
          <w:ilvl w:val="1"/>
          <w:numId w:val="119"/>
        </w:numPr>
        <w:tabs>
          <w:tab w:val="left" w:pos="2000"/>
        </w:tabs>
        <w:spacing w:before="238"/>
        <w:ind w:hanging="360"/>
      </w:pPr>
      <w:r w:rsidRPr="00EC20A0">
        <w:t>the</w:t>
      </w:r>
      <w:r w:rsidRPr="00EC20A0">
        <w:rPr>
          <w:spacing w:val="-6"/>
        </w:rPr>
        <w:t xml:space="preserve"> </w:t>
      </w:r>
      <w:r w:rsidRPr="00EC20A0">
        <w:t>volume</w:t>
      </w:r>
      <w:r w:rsidRPr="00EC20A0">
        <w:rPr>
          <w:spacing w:val="-5"/>
        </w:rPr>
        <w:t xml:space="preserve"> </w:t>
      </w:r>
      <w:r w:rsidRPr="00EC20A0">
        <w:t>and</w:t>
      </w:r>
      <w:r w:rsidRPr="00EC20A0">
        <w:rPr>
          <w:spacing w:val="-5"/>
        </w:rPr>
        <w:t xml:space="preserve"> </w:t>
      </w:r>
      <w:r w:rsidRPr="00EC20A0">
        <w:t>dollar</w:t>
      </w:r>
      <w:r w:rsidRPr="00EC20A0">
        <w:rPr>
          <w:spacing w:val="-5"/>
        </w:rPr>
        <w:t xml:space="preserve"> </w:t>
      </w:r>
      <w:r w:rsidRPr="00EC20A0">
        <w:t>amount</w:t>
      </w:r>
      <w:r w:rsidRPr="00EC20A0">
        <w:rPr>
          <w:spacing w:val="-6"/>
        </w:rPr>
        <w:t xml:space="preserve"> </w:t>
      </w:r>
      <w:r w:rsidRPr="00EC20A0">
        <w:t>of</w:t>
      </w:r>
      <w:r w:rsidRPr="00EC20A0">
        <w:rPr>
          <w:spacing w:val="-5"/>
        </w:rPr>
        <w:t xml:space="preserve"> </w:t>
      </w:r>
      <w:r w:rsidRPr="00EC20A0">
        <w:rPr>
          <w:spacing w:val="-2"/>
        </w:rPr>
        <w:t>transactions;</w:t>
      </w:r>
    </w:p>
    <w:p w14:paraId="24D61662" w14:textId="77777777" w:rsidR="00245300" w:rsidRPr="00EC20A0" w:rsidRDefault="00F17249">
      <w:pPr>
        <w:pStyle w:val="ListParagraph"/>
        <w:numPr>
          <w:ilvl w:val="1"/>
          <w:numId w:val="119"/>
        </w:numPr>
        <w:tabs>
          <w:tab w:val="left" w:pos="2000"/>
        </w:tabs>
        <w:spacing w:before="239"/>
        <w:ind w:right="1561" w:hanging="360"/>
      </w:pPr>
      <w:r w:rsidRPr="00EC20A0">
        <w:t>management’s</w:t>
      </w:r>
      <w:r w:rsidRPr="00EC20A0">
        <w:rPr>
          <w:spacing w:val="-6"/>
        </w:rPr>
        <w:t xml:space="preserve"> </w:t>
      </w:r>
      <w:r w:rsidRPr="00EC20A0">
        <w:t>attitude</w:t>
      </w:r>
      <w:r w:rsidRPr="00EC20A0">
        <w:rPr>
          <w:spacing w:val="-6"/>
        </w:rPr>
        <w:t xml:space="preserve"> </w:t>
      </w:r>
      <w:r w:rsidRPr="00EC20A0">
        <w:t>about</w:t>
      </w:r>
      <w:r w:rsidRPr="00EC20A0">
        <w:rPr>
          <w:spacing w:val="-6"/>
        </w:rPr>
        <w:t xml:space="preserve"> </w:t>
      </w:r>
      <w:r w:rsidRPr="00EC20A0">
        <w:t>and</w:t>
      </w:r>
      <w:r w:rsidRPr="00EC20A0">
        <w:rPr>
          <w:spacing w:val="-6"/>
        </w:rPr>
        <w:t xml:space="preserve"> </w:t>
      </w:r>
      <w:r w:rsidRPr="00EC20A0">
        <w:t>awareness</w:t>
      </w:r>
      <w:r w:rsidRPr="00EC20A0">
        <w:rPr>
          <w:spacing w:val="-6"/>
        </w:rPr>
        <w:t xml:space="preserve"> </w:t>
      </w:r>
      <w:r w:rsidRPr="00EC20A0">
        <w:t>of</w:t>
      </w:r>
      <w:r w:rsidRPr="00EC20A0">
        <w:rPr>
          <w:spacing w:val="-6"/>
        </w:rPr>
        <w:t xml:space="preserve"> </w:t>
      </w:r>
      <w:r w:rsidRPr="00EC20A0">
        <w:t>reconciliations</w:t>
      </w:r>
      <w:r w:rsidRPr="00EC20A0">
        <w:rPr>
          <w:spacing w:val="-6"/>
        </w:rPr>
        <w:t xml:space="preserve"> </w:t>
      </w:r>
      <w:r w:rsidRPr="00EC20A0">
        <w:t xml:space="preserve">of intragovernmental activity and </w:t>
      </w:r>
      <w:r w:rsidRPr="00EC20A0">
        <w:t>balances and the resolution of intragovernmental differences with trading partners; and</w:t>
      </w:r>
    </w:p>
    <w:p w14:paraId="24D61663" w14:textId="77777777" w:rsidR="00245300" w:rsidRPr="00EC20A0" w:rsidRDefault="00F17249">
      <w:pPr>
        <w:pStyle w:val="ListParagraph"/>
        <w:numPr>
          <w:ilvl w:val="1"/>
          <w:numId w:val="119"/>
        </w:numPr>
        <w:tabs>
          <w:tab w:val="left" w:pos="1999"/>
        </w:tabs>
        <w:spacing w:before="237"/>
        <w:ind w:left="1999" w:right="782" w:hanging="360"/>
      </w:pPr>
      <w:r w:rsidRPr="00EC20A0">
        <w:t>the</w:t>
      </w:r>
      <w:r w:rsidRPr="00EC20A0">
        <w:rPr>
          <w:spacing w:val="-4"/>
        </w:rPr>
        <w:t xml:space="preserve"> </w:t>
      </w:r>
      <w:r w:rsidRPr="00EC20A0">
        <w:t>entity’s</w:t>
      </w:r>
      <w:r w:rsidRPr="00EC20A0">
        <w:rPr>
          <w:spacing w:val="-5"/>
        </w:rPr>
        <w:t xml:space="preserve"> </w:t>
      </w:r>
      <w:r w:rsidRPr="00EC20A0">
        <w:t>operations</w:t>
      </w:r>
      <w:r w:rsidRPr="00EC20A0">
        <w:rPr>
          <w:spacing w:val="-4"/>
        </w:rPr>
        <w:t xml:space="preserve"> </w:t>
      </w:r>
      <w:r w:rsidRPr="00EC20A0">
        <w:t>to</w:t>
      </w:r>
      <w:r w:rsidRPr="00EC20A0">
        <w:rPr>
          <w:spacing w:val="-4"/>
        </w:rPr>
        <w:t xml:space="preserve"> </w:t>
      </w:r>
      <w:r w:rsidRPr="00EC20A0">
        <w:t>identify,</w:t>
      </w:r>
      <w:r w:rsidRPr="00EC20A0">
        <w:rPr>
          <w:spacing w:val="-4"/>
        </w:rPr>
        <w:t xml:space="preserve"> </w:t>
      </w:r>
      <w:r w:rsidRPr="00EC20A0">
        <w:t>respond</w:t>
      </w:r>
      <w:r w:rsidRPr="00EC20A0">
        <w:rPr>
          <w:spacing w:val="-4"/>
        </w:rPr>
        <w:t xml:space="preserve"> </w:t>
      </w:r>
      <w:proofErr w:type="spellStart"/>
      <w:r w:rsidRPr="00EC20A0">
        <w:t>to,</w:t>
      </w:r>
      <w:proofErr w:type="spellEnd"/>
      <w:r w:rsidRPr="00EC20A0">
        <w:rPr>
          <w:spacing w:val="-4"/>
        </w:rPr>
        <w:t xml:space="preserve"> </w:t>
      </w:r>
      <w:r w:rsidRPr="00EC20A0">
        <w:t>and</w:t>
      </w:r>
      <w:r w:rsidRPr="00EC20A0">
        <w:rPr>
          <w:spacing w:val="-4"/>
        </w:rPr>
        <w:t xml:space="preserve"> </w:t>
      </w:r>
      <w:r w:rsidRPr="00EC20A0">
        <w:t>resolve</w:t>
      </w:r>
      <w:r w:rsidRPr="00EC20A0">
        <w:rPr>
          <w:spacing w:val="-4"/>
        </w:rPr>
        <w:t xml:space="preserve"> </w:t>
      </w:r>
      <w:r w:rsidRPr="00EC20A0">
        <w:t>accounting</w:t>
      </w:r>
      <w:r w:rsidRPr="00EC20A0">
        <w:rPr>
          <w:spacing w:val="-4"/>
        </w:rPr>
        <w:t xml:space="preserve"> </w:t>
      </w:r>
      <w:r w:rsidRPr="00EC20A0">
        <w:t>and auditing problems.</w:t>
      </w:r>
    </w:p>
    <w:p w14:paraId="24D61664" w14:textId="77777777" w:rsidR="00245300" w:rsidRPr="00EC20A0" w:rsidRDefault="00F17249">
      <w:pPr>
        <w:pStyle w:val="ListParagraph"/>
        <w:numPr>
          <w:ilvl w:val="0"/>
          <w:numId w:val="119"/>
        </w:numPr>
        <w:tabs>
          <w:tab w:val="left" w:pos="1640"/>
        </w:tabs>
        <w:spacing w:before="239"/>
        <w:ind w:right="1593" w:hanging="721"/>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obtain</w:t>
      </w:r>
      <w:r w:rsidRPr="00EC20A0">
        <w:rPr>
          <w:spacing w:val="-4"/>
        </w:rPr>
        <w:t xml:space="preserve"> </w:t>
      </w:r>
      <w:r w:rsidRPr="00EC20A0">
        <w:t>an</w:t>
      </w:r>
      <w:r w:rsidRPr="00EC20A0">
        <w:rPr>
          <w:spacing w:val="-4"/>
        </w:rPr>
        <w:t xml:space="preserve"> </w:t>
      </w:r>
      <w:r w:rsidRPr="00EC20A0">
        <w:t>understanding</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general</w:t>
      </w:r>
      <w:r w:rsidRPr="00EC20A0">
        <w:rPr>
          <w:spacing w:val="-4"/>
        </w:rPr>
        <w:t xml:space="preserve"> </w:t>
      </w:r>
      <w:r w:rsidRPr="00EC20A0">
        <w:t>phases</w:t>
      </w:r>
      <w:r w:rsidRPr="00EC20A0">
        <w:rPr>
          <w:spacing w:val="-4"/>
        </w:rPr>
        <w:t xml:space="preserve"> </w:t>
      </w:r>
      <w:r w:rsidRPr="00EC20A0">
        <w:t>of intragovernmental accounting and reporting:</w:t>
      </w:r>
    </w:p>
    <w:p w14:paraId="24D61665" w14:textId="77777777" w:rsidR="00245300" w:rsidRPr="00EC20A0" w:rsidRDefault="00F17249">
      <w:pPr>
        <w:pStyle w:val="ListParagraph"/>
        <w:numPr>
          <w:ilvl w:val="0"/>
          <w:numId w:val="118"/>
        </w:numPr>
        <w:tabs>
          <w:tab w:val="left" w:pos="1999"/>
        </w:tabs>
        <w:ind w:hanging="359"/>
      </w:pPr>
      <w:r w:rsidRPr="00EC20A0">
        <w:rPr>
          <w:b/>
          <w:i/>
        </w:rPr>
        <w:t>Identifying</w:t>
      </w:r>
      <w:r w:rsidRPr="00EC20A0">
        <w:rPr>
          <w:b/>
          <w:i/>
          <w:spacing w:val="-12"/>
        </w:rPr>
        <w:t xml:space="preserve"> </w:t>
      </w:r>
      <w:r w:rsidRPr="00EC20A0">
        <w:t>and</w:t>
      </w:r>
      <w:r w:rsidRPr="00EC20A0">
        <w:rPr>
          <w:spacing w:val="-12"/>
        </w:rPr>
        <w:t xml:space="preserve"> </w:t>
      </w:r>
      <w:r w:rsidRPr="00EC20A0">
        <w:rPr>
          <w:b/>
          <w:i/>
        </w:rPr>
        <w:t>recording</w:t>
      </w:r>
      <w:r w:rsidRPr="00EC20A0">
        <w:rPr>
          <w:b/>
          <w:i/>
          <w:spacing w:val="-11"/>
        </w:rPr>
        <w:t xml:space="preserve"> </w:t>
      </w:r>
      <w:r w:rsidRPr="00EC20A0">
        <w:t>intragovernmental</w:t>
      </w:r>
      <w:r w:rsidRPr="00EC20A0">
        <w:rPr>
          <w:spacing w:val="-11"/>
        </w:rPr>
        <w:t xml:space="preserve"> </w:t>
      </w:r>
      <w:r w:rsidRPr="00EC20A0">
        <w:rPr>
          <w:spacing w:val="-2"/>
        </w:rPr>
        <w:t>transactions.</w:t>
      </w:r>
    </w:p>
    <w:p w14:paraId="24D61666" w14:textId="77777777" w:rsidR="00245300" w:rsidRPr="00EC20A0" w:rsidRDefault="00F17249">
      <w:pPr>
        <w:pStyle w:val="ListParagraph"/>
        <w:numPr>
          <w:ilvl w:val="0"/>
          <w:numId w:val="118"/>
        </w:numPr>
        <w:tabs>
          <w:tab w:val="left" w:pos="1999"/>
        </w:tabs>
        <w:spacing w:before="241"/>
        <w:ind w:right="391"/>
      </w:pPr>
      <w:r w:rsidRPr="00EC20A0">
        <w:rPr>
          <w:b/>
          <w:i/>
        </w:rPr>
        <w:t xml:space="preserve">Reconciling </w:t>
      </w:r>
      <w:r w:rsidRPr="00EC20A0">
        <w:t xml:space="preserve">the entity’s records of intragovernmental activity and balances and </w:t>
      </w:r>
      <w:r w:rsidRPr="00EC20A0">
        <w:rPr>
          <w:b/>
          <w:i/>
        </w:rPr>
        <w:t xml:space="preserve">resolving </w:t>
      </w:r>
      <w:r w:rsidRPr="00EC20A0">
        <w:t>intragovernmental differences (i.e., make adjustments so that the</w:t>
      </w:r>
      <w:r w:rsidRPr="00EC20A0">
        <w:rPr>
          <w:spacing w:val="-4"/>
        </w:rPr>
        <w:t xml:space="preserve"> </w:t>
      </w:r>
      <w:r w:rsidRPr="00EC20A0">
        <w:t>difference</w:t>
      </w:r>
      <w:r w:rsidRPr="00EC20A0">
        <w:rPr>
          <w:spacing w:val="-4"/>
        </w:rPr>
        <w:t xml:space="preserve"> </w:t>
      </w:r>
      <w:r w:rsidRPr="00EC20A0">
        <w:t>no</w:t>
      </w:r>
      <w:r w:rsidRPr="00EC20A0">
        <w:rPr>
          <w:spacing w:val="-4"/>
        </w:rPr>
        <w:t xml:space="preserve"> </w:t>
      </w:r>
      <w:r w:rsidRPr="00EC20A0">
        <w:t>longer</w:t>
      </w:r>
      <w:r w:rsidRPr="00EC20A0">
        <w:rPr>
          <w:spacing w:val="-6"/>
        </w:rPr>
        <w:t xml:space="preserve"> </w:t>
      </w:r>
      <w:r w:rsidRPr="00EC20A0">
        <w:t>exists)</w:t>
      </w:r>
      <w:r w:rsidRPr="00EC20A0">
        <w:rPr>
          <w:spacing w:val="-4"/>
        </w:rPr>
        <w:t xml:space="preserve"> </w:t>
      </w:r>
      <w:r w:rsidRPr="00EC20A0">
        <w:t>after</w:t>
      </w:r>
      <w:r w:rsidRPr="00EC20A0">
        <w:rPr>
          <w:spacing w:val="-6"/>
        </w:rPr>
        <w:t xml:space="preserve"> </w:t>
      </w:r>
      <w:r w:rsidRPr="00EC20A0">
        <w:t>appropriately</w:t>
      </w:r>
      <w:r w:rsidRPr="00EC20A0">
        <w:rPr>
          <w:spacing w:val="-4"/>
        </w:rPr>
        <w:t xml:space="preserve"> </w:t>
      </w:r>
      <w:r w:rsidRPr="00EC20A0">
        <w:t>researching</w:t>
      </w:r>
      <w:r w:rsidRPr="00EC20A0">
        <w:rPr>
          <w:spacing w:val="-4"/>
        </w:rPr>
        <w:t xml:space="preserve"> </w:t>
      </w:r>
      <w:r w:rsidRPr="00EC20A0">
        <w:t>the</w:t>
      </w:r>
      <w:r w:rsidRPr="00EC20A0">
        <w:rPr>
          <w:spacing w:val="-4"/>
        </w:rPr>
        <w:t xml:space="preserve"> </w:t>
      </w:r>
      <w:r w:rsidRPr="00EC20A0">
        <w:t>difference, and/or completing corrective actions that fixed the cause of the difference, or after Treasury issued a decision as part of its dispute resolution process. Entities should:</w:t>
      </w:r>
    </w:p>
    <w:p w14:paraId="24D61667" w14:textId="77777777" w:rsidR="00245300" w:rsidRPr="00EC20A0" w:rsidRDefault="00F17249">
      <w:pPr>
        <w:pStyle w:val="ListParagraph"/>
        <w:numPr>
          <w:ilvl w:val="1"/>
          <w:numId w:val="118"/>
        </w:numPr>
        <w:tabs>
          <w:tab w:val="left" w:pos="2359"/>
        </w:tabs>
        <w:spacing w:before="239"/>
        <w:ind w:right="668"/>
      </w:pPr>
      <w:r w:rsidRPr="00EC20A0">
        <w:t>Coordinate</w:t>
      </w:r>
      <w:r w:rsidRPr="00EC20A0">
        <w:rPr>
          <w:spacing w:val="-6"/>
        </w:rPr>
        <w:t xml:space="preserve"> </w:t>
      </w:r>
      <w:r w:rsidRPr="00EC20A0">
        <w:t>with</w:t>
      </w:r>
      <w:r w:rsidRPr="00EC20A0">
        <w:rPr>
          <w:spacing w:val="-6"/>
        </w:rPr>
        <w:t xml:space="preserve"> </w:t>
      </w:r>
      <w:r w:rsidRPr="00EC20A0">
        <w:t>trading</w:t>
      </w:r>
      <w:r w:rsidRPr="00EC20A0">
        <w:rPr>
          <w:spacing w:val="-7"/>
        </w:rPr>
        <w:t xml:space="preserve"> </w:t>
      </w:r>
      <w:r w:rsidRPr="00EC20A0">
        <w:t>partners</w:t>
      </w:r>
      <w:r w:rsidRPr="00EC20A0">
        <w:rPr>
          <w:spacing w:val="-6"/>
        </w:rPr>
        <w:t xml:space="preserve"> </w:t>
      </w:r>
      <w:r w:rsidRPr="00EC20A0">
        <w:t>to</w:t>
      </w:r>
      <w:r w:rsidRPr="00EC20A0">
        <w:rPr>
          <w:spacing w:val="-6"/>
        </w:rPr>
        <w:t xml:space="preserve"> </w:t>
      </w:r>
      <w:r w:rsidRPr="00EC20A0">
        <w:t>reconcile</w:t>
      </w:r>
      <w:r w:rsidRPr="00EC20A0">
        <w:rPr>
          <w:spacing w:val="-7"/>
        </w:rPr>
        <w:t xml:space="preserve"> </w:t>
      </w:r>
      <w:r w:rsidRPr="00EC20A0">
        <w:t>intragovernmental</w:t>
      </w:r>
      <w:r w:rsidRPr="00EC20A0">
        <w:rPr>
          <w:spacing w:val="-6"/>
        </w:rPr>
        <w:t xml:space="preserve"> </w:t>
      </w:r>
      <w:r w:rsidRPr="00EC20A0">
        <w:t>activity and balances.</w:t>
      </w:r>
    </w:p>
    <w:p w14:paraId="24D61668" w14:textId="77777777" w:rsidR="00245300" w:rsidRPr="00EC20A0" w:rsidRDefault="00F17249">
      <w:pPr>
        <w:pStyle w:val="ListParagraph"/>
        <w:numPr>
          <w:ilvl w:val="1"/>
          <w:numId w:val="118"/>
        </w:numPr>
        <w:tabs>
          <w:tab w:val="left" w:pos="2359"/>
        </w:tabs>
        <w:spacing w:before="239"/>
        <w:ind w:right="885"/>
        <w:jc w:val="both"/>
      </w:pPr>
      <w:r w:rsidRPr="00EC20A0">
        <w:t>Resolve differences by either recording an adjustment in the entity’s accounting</w:t>
      </w:r>
      <w:r w:rsidRPr="00EC20A0">
        <w:rPr>
          <w:spacing w:val="-4"/>
        </w:rPr>
        <w:t xml:space="preserve"> </w:t>
      </w:r>
      <w:r w:rsidRPr="00EC20A0">
        <w:t>records</w:t>
      </w:r>
      <w:r w:rsidRPr="00EC20A0">
        <w:rPr>
          <w:spacing w:val="-4"/>
        </w:rPr>
        <w:t xml:space="preserve"> </w:t>
      </w:r>
      <w:r w:rsidRPr="00EC20A0">
        <w:rPr>
          <w:b/>
        </w:rPr>
        <w:t>OR</w:t>
      </w:r>
      <w:r w:rsidRPr="00EC20A0">
        <w:rPr>
          <w:b/>
          <w:spacing w:val="-4"/>
        </w:rPr>
        <w:t xml:space="preserve"> </w:t>
      </w:r>
      <w:r w:rsidRPr="00EC20A0">
        <w:t>verifying</w:t>
      </w:r>
      <w:r w:rsidRPr="00EC20A0">
        <w:rPr>
          <w:spacing w:val="-4"/>
        </w:rPr>
        <w:t xml:space="preserve"> </w:t>
      </w:r>
      <w:r w:rsidRPr="00EC20A0">
        <w:t>that</w:t>
      </w:r>
      <w:r w:rsidRPr="00EC20A0">
        <w:rPr>
          <w:spacing w:val="-5"/>
        </w:rPr>
        <w:t xml:space="preserve"> </w:t>
      </w:r>
      <w:r w:rsidRPr="00EC20A0">
        <w:t>the</w:t>
      </w:r>
      <w:r w:rsidRPr="00EC20A0">
        <w:rPr>
          <w:spacing w:val="-4"/>
        </w:rPr>
        <w:t xml:space="preserve"> </w:t>
      </w:r>
      <w:r w:rsidRPr="00EC20A0">
        <w:t>trading</w:t>
      </w:r>
      <w:r w:rsidRPr="00EC20A0">
        <w:rPr>
          <w:spacing w:val="-4"/>
        </w:rPr>
        <w:t xml:space="preserve"> </w:t>
      </w:r>
      <w:r w:rsidRPr="00EC20A0">
        <w:t>partner</w:t>
      </w:r>
      <w:r w:rsidRPr="00EC20A0">
        <w:rPr>
          <w:spacing w:val="-4"/>
        </w:rPr>
        <w:t xml:space="preserve"> </w:t>
      </w:r>
      <w:r w:rsidRPr="00EC20A0">
        <w:t>recorded</w:t>
      </w:r>
      <w:r w:rsidRPr="00EC20A0">
        <w:rPr>
          <w:spacing w:val="-4"/>
        </w:rPr>
        <w:t xml:space="preserve"> </w:t>
      </w:r>
      <w:r w:rsidRPr="00EC20A0">
        <w:t>an adjustment in its accounting records.</w:t>
      </w:r>
    </w:p>
    <w:p w14:paraId="24D61669" w14:textId="77777777" w:rsidR="00245300" w:rsidRPr="00EC20A0" w:rsidRDefault="00245300">
      <w:pPr>
        <w:jc w:val="both"/>
        <w:sectPr w:rsidR="00245300" w:rsidRPr="00EC20A0">
          <w:pgSz w:w="12240" w:h="15840"/>
          <w:pgMar w:top="1340" w:right="1100" w:bottom="940" w:left="1240" w:header="721" w:footer="757" w:gutter="0"/>
          <w:cols w:space="720"/>
        </w:sectPr>
      </w:pPr>
    </w:p>
    <w:p w14:paraId="24D6166A" w14:textId="77777777" w:rsidR="00245300" w:rsidRPr="00EC20A0" w:rsidRDefault="00F17249">
      <w:pPr>
        <w:pStyle w:val="ListParagraph"/>
        <w:numPr>
          <w:ilvl w:val="0"/>
          <w:numId w:val="118"/>
        </w:numPr>
        <w:tabs>
          <w:tab w:val="left" w:pos="1999"/>
        </w:tabs>
        <w:spacing w:before="121"/>
        <w:ind w:right="486"/>
      </w:pPr>
      <w:r w:rsidRPr="00EC20A0">
        <w:rPr>
          <w:b/>
          <w:i/>
        </w:rPr>
        <w:t xml:space="preserve">Reporting </w:t>
      </w:r>
      <w:r w:rsidRPr="00EC20A0">
        <w:t xml:space="preserve">intragovernmental activity and balances in the entity financial statements </w:t>
      </w:r>
      <w:r w:rsidRPr="00EC20A0">
        <w:rPr>
          <w:b/>
        </w:rPr>
        <w:t xml:space="preserve">AND </w:t>
      </w:r>
      <w:r w:rsidRPr="00EC20A0">
        <w:t>to Treasury for inclusion in the U.S. government’s consolidated financial statements (the entity’s intra-entity and inter-entity intragovernmental amounts are eliminated).</w:t>
      </w:r>
      <w:hyperlink w:anchor="_bookmark163" w:history="1">
        <w:r w:rsidRPr="00EC20A0">
          <w:rPr>
            <w:position w:val="7"/>
            <w:sz w:val="14"/>
          </w:rPr>
          <w:t>14</w:t>
        </w:r>
      </w:hyperlink>
      <w:r w:rsidRPr="00EC20A0">
        <w:rPr>
          <w:spacing w:val="40"/>
          <w:position w:val="7"/>
          <w:sz w:val="14"/>
        </w:rPr>
        <w:t xml:space="preserve"> </w:t>
      </w:r>
      <w:r w:rsidRPr="00EC20A0">
        <w:t>Entities include intragovernmental activity and balances in the automated trial balance submissions to Treasury sent via the Governmentwide Treasury Account Symbol Adjusted Trial Balance System (GTAS). OMB reporting guidance also</w:t>
      </w:r>
      <w:r w:rsidRPr="00EC20A0">
        <w:rPr>
          <w:spacing w:val="-4"/>
        </w:rPr>
        <w:t xml:space="preserve"> </w:t>
      </w:r>
      <w:r w:rsidRPr="00EC20A0">
        <w:t>requires</w:t>
      </w:r>
      <w:r w:rsidRPr="00EC20A0">
        <w:rPr>
          <w:spacing w:val="-4"/>
        </w:rPr>
        <w:t xml:space="preserve"> </w:t>
      </w:r>
      <w:r w:rsidRPr="00EC20A0">
        <w:t>significant</w:t>
      </w:r>
      <w:r w:rsidRPr="00EC20A0">
        <w:rPr>
          <w:spacing w:val="-4"/>
        </w:rPr>
        <w:t xml:space="preserve"> </w:t>
      </w:r>
      <w:r w:rsidRPr="00EC20A0">
        <w:t>entities</w:t>
      </w:r>
      <w:r w:rsidRPr="00EC20A0">
        <w:rPr>
          <w:spacing w:val="-4"/>
        </w:rPr>
        <w:t xml:space="preserve"> </w:t>
      </w:r>
      <w:r w:rsidRPr="00EC20A0">
        <w:t>to</w:t>
      </w:r>
      <w:r w:rsidRPr="00EC20A0">
        <w:rPr>
          <w:spacing w:val="-4"/>
        </w:rPr>
        <w:t xml:space="preserve"> </w:t>
      </w:r>
      <w:r w:rsidRPr="00EC20A0">
        <w:t>include</w:t>
      </w:r>
      <w:r w:rsidRPr="00EC20A0">
        <w:rPr>
          <w:spacing w:val="-4"/>
        </w:rPr>
        <w:t xml:space="preserve"> </w:t>
      </w:r>
      <w:r w:rsidRPr="00EC20A0">
        <w:t>a</w:t>
      </w:r>
      <w:r w:rsidRPr="00EC20A0">
        <w:rPr>
          <w:spacing w:val="-4"/>
        </w:rPr>
        <w:t xml:space="preserve"> </w:t>
      </w:r>
      <w:r w:rsidRPr="00EC20A0">
        <w:t>note</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 xml:space="preserve">statements, titled </w:t>
      </w:r>
      <w:r w:rsidRPr="00EC20A0">
        <w:rPr>
          <w:i/>
        </w:rPr>
        <w:t>Reclassification of Financial Statement Line Items for Financial Report Compilation Process</w:t>
      </w:r>
      <w:r w:rsidRPr="00EC20A0">
        <w:t xml:space="preserve">, as </w:t>
      </w:r>
      <w:r w:rsidRPr="00EC20A0">
        <w:t>discussed in section 902.09 above.</w:t>
      </w:r>
    </w:p>
    <w:p w14:paraId="24D6166B" w14:textId="77777777" w:rsidR="00245300" w:rsidRPr="00EC20A0" w:rsidRDefault="00F17249">
      <w:pPr>
        <w:pStyle w:val="ListParagraph"/>
        <w:numPr>
          <w:ilvl w:val="0"/>
          <w:numId w:val="119"/>
        </w:numPr>
        <w:tabs>
          <w:tab w:val="left" w:pos="1640"/>
        </w:tabs>
        <w:ind w:right="506" w:hanging="721"/>
      </w:pPr>
      <w:r w:rsidRPr="00EC20A0">
        <w:t>For</w:t>
      </w:r>
      <w:r w:rsidRPr="00EC20A0">
        <w:rPr>
          <w:spacing w:val="-1"/>
        </w:rPr>
        <w:t xml:space="preserve"> </w:t>
      </w:r>
      <w:r w:rsidRPr="00EC20A0">
        <w:t>all</w:t>
      </w:r>
      <w:r w:rsidRPr="00EC20A0">
        <w:rPr>
          <w:spacing w:val="-1"/>
        </w:rPr>
        <w:t xml:space="preserve"> </w:t>
      </w:r>
      <w:r w:rsidRPr="00EC20A0">
        <w:t>three</w:t>
      </w:r>
      <w:r w:rsidRPr="00EC20A0">
        <w:rPr>
          <w:spacing w:val="-2"/>
        </w:rPr>
        <w:t xml:space="preserve"> </w:t>
      </w:r>
      <w:r w:rsidRPr="00EC20A0">
        <w:t>general</w:t>
      </w:r>
      <w:r w:rsidRPr="00EC20A0">
        <w:rPr>
          <w:spacing w:val="-1"/>
        </w:rPr>
        <w:t xml:space="preserve"> </w:t>
      </w:r>
      <w:r w:rsidRPr="00EC20A0">
        <w:t>phases of</w:t>
      </w:r>
      <w:r w:rsidRPr="00EC20A0">
        <w:rPr>
          <w:spacing w:val="-1"/>
        </w:rPr>
        <w:t xml:space="preserve"> </w:t>
      </w:r>
      <w:r w:rsidRPr="00EC20A0">
        <w:t>intragovernmental</w:t>
      </w:r>
      <w:r w:rsidRPr="00EC20A0">
        <w:rPr>
          <w:spacing w:val="-1"/>
        </w:rPr>
        <w:t xml:space="preserve"> </w:t>
      </w:r>
      <w:r w:rsidRPr="00EC20A0">
        <w:t>accounting</w:t>
      </w:r>
      <w:r w:rsidRPr="00EC20A0">
        <w:rPr>
          <w:spacing w:val="-2"/>
        </w:rPr>
        <w:t xml:space="preserve"> </w:t>
      </w:r>
      <w:r w:rsidRPr="00EC20A0">
        <w:t>and</w:t>
      </w:r>
      <w:r w:rsidRPr="00EC20A0">
        <w:rPr>
          <w:spacing w:val="-1"/>
        </w:rPr>
        <w:t xml:space="preserve"> </w:t>
      </w:r>
      <w:r w:rsidRPr="00EC20A0">
        <w:t>reporting,</w:t>
      </w:r>
      <w:r w:rsidRPr="00EC20A0">
        <w:rPr>
          <w:spacing w:val="-1"/>
        </w:rPr>
        <w:t xml:space="preserve"> </w:t>
      </w:r>
      <w:r w:rsidRPr="00EC20A0">
        <w:t xml:space="preserve">the auditor should assess the design of control activities, and for control activities that have been designed and implemented </w:t>
      </w:r>
      <w:r w:rsidRPr="00EC20A0">
        <w:t>effectively, test their operating effectiveness. This begins with the auditor identifying policies and procedures related to the entity’s ability to record, process, summarize, and report intragovernmental activity and balances by trading partner. A good design emphasizes the importance of identifying and classifying intragovernmental transactions</w:t>
      </w:r>
      <w:r w:rsidRPr="00EC20A0">
        <w:rPr>
          <w:spacing w:val="-5"/>
        </w:rPr>
        <w:t xml:space="preserve"> </w:t>
      </w:r>
      <w:r w:rsidRPr="00EC20A0">
        <w:t>by</w:t>
      </w:r>
      <w:r w:rsidRPr="00EC20A0">
        <w:rPr>
          <w:spacing w:val="-4"/>
        </w:rPr>
        <w:t xml:space="preserve"> </w:t>
      </w:r>
      <w:r w:rsidRPr="00EC20A0">
        <w:t>trading</w:t>
      </w:r>
      <w:r w:rsidRPr="00EC20A0">
        <w:rPr>
          <w:spacing w:val="-4"/>
        </w:rPr>
        <w:t xml:space="preserve"> </w:t>
      </w:r>
      <w:r w:rsidRPr="00EC20A0">
        <w:t>partner</w:t>
      </w:r>
      <w:r w:rsidRPr="00EC20A0">
        <w:rPr>
          <w:spacing w:val="-4"/>
        </w:rPr>
        <w:t xml:space="preserve"> </w:t>
      </w:r>
      <w:r w:rsidRPr="00EC20A0">
        <w:t>when</w:t>
      </w:r>
      <w:r w:rsidRPr="00EC20A0">
        <w:rPr>
          <w:spacing w:val="-4"/>
        </w:rPr>
        <w:t xml:space="preserve"> </w:t>
      </w:r>
      <w:r w:rsidRPr="00EC20A0">
        <w:t>they</w:t>
      </w:r>
      <w:r w:rsidRPr="00EC20A0">
        <w:rPr>
          <w:spacing w:val="-4"/>
        </w:rPr>
        <w:t xml:space="preserve"> </w:t>
      </w:r>
      <w:r w:rsidRPr="00EC20A0">
        <w:t>are</w:t>
      </w:r>
      <w:r w:rsidRPr="00EC20A0">
        <w:rPr>
          <w:spacing w:val="-4"/>
        </w:rPr>
        <w:t xml:space="preserve"> </w:t>
      </w:r>
      <w:r w:rsidRPr="00EC20A0">
        <w:t>initiated</w:t>
      </w:r>
      <w:r w:rsidRPr="00EC20A0">
        <w:rPr>
          <w:spacing w:val="-4"/>
        </w:rPr>
        <w:t xml:space="preserve"> </w:t>
      </w:r>
      <w:r w:rsidRPr="00EC20A0">
        <w:t>and</w:t>
      </w:r>
      <w:r w:rsidRPr="00EC20A0">
        <w:rPr>
          <w:spacing w:val="-4"/>
        </w:rPr>
        <w:t xml:space="preserve"> </w:t>
      </w:r>
      <w:r w:rsidRPr="00EC20A0">
        <w:t>on</w:t>
      </w:r>
      <w:r w:rsidRPr="00EC20A0">
        <w:rPr>
          <w:spacing w:val="-5"/>
        </w:rPr>
        <w:t xml:space="preserve"> </w:t>
      </w:r>
      <w:r w:rsidRPr="00EC20A0">
        <w:t>all</w:t>
      </w:r>
      <w:r w:rsidRPr="00EC20A0">
        <w:rPr>
          <w:spacing w:val="-4"/>
        </w:rPr>
        <w:t xml:space="preserve"> </w:t>
      </w:r>
      <w:r w:rsidRPr="00EC20A0">
        <w:t xml:space="preserve">documentation thereafter. Without this initial identification, the entity’s financial management system may </w:t>
      </w:r>
      <w:r w:rsidRPr="00EC20A0">
        <w:t xml:space="preserve">not be able to adequately track intragovernmental activity and </w:t>
      </w:r>
      <w:r w:rsidRPr="00EC20A0">
        <w:rPr>
          <w:spacing w:val="-2"/>
        </w:rPr>
        <w:t>balances.</w:t>
      </w:r>
    </w:p>
    <w:p w14:paraId="24D6166C" w14:textId="77777777" w:rsidR="00245300" w:rsidRPr="00EC20A0" w:rsidRDefault="00F17249">
      <w:pPr>
        <w:pStyle w:val="ListParagraph"/>
        <w:numPr>
          <w:ilvl w:val="0"/>
          <w:numId w:val="119"/>
        </w:numPr>
        <w:tabs>
          <w:tab w:val="left" w:pos="1640"/>
        </w:tabs>
        <w:ind w:right="356" w:hanging="721"/>
      </w:pPr>
      <w:r w:rsidRPr="00EC20A0">
        <w:t>The auditor should design audit procedures to understand whether the entity uses other collection and payment methods (e.g., electronic funds transfer, checks,</w:t>
      </w:r>
      <w:r w:rsidRPr="00EC20A0">
        <w:rPr>
          <w:spacing w:val="-5"/>
        </w:rPr>
        <w:t xml:space="preserve"> </w:t>
      </w:r>
      <w:r w:rsidRPr="00EC20A0">
        <w:t>standard</w:t>
      </w:r>
      <w:r w:rsidRPr="00EC20A0">
        <w:rPr>
          <w:spacing w:val="-4"/>
        </w:rPr>
        <w:t xml:space="preserve"> </w:t>
      </w:r>
      <w:r w:rsidRPr="00EC20A0">
        <w:t>forms</w:t>
      </w:r>
      <w:r w:rsidRPr="00EC20A0">
        <w:rPr>
          <w:spacing w:val="-4"/>
        </w:rPr>
        <w:t xml:space="preserve"> </w:t>
      </w:r>
      <w:r w:rsidRPr="00EC20A0">
        <w:t>used</w:t>
      </w:r>
      <w:r w:rsidRPr="00EC20A0">
        <w:rPr>
          <w:spacing w:val="-4"/>
        </w:rPr>
        <w:t xml:space="preserve"> </w:t>
      </w:r>
      <w:r w:rsidRPr="00EC20A0">
        <w:t>to</w:t>
      </w:r>
      <w:r w:rsidRPr="00EC20A0">
        <w:rPr>
          <w:spacing w:val="-4"/>
        </w:rPr>
        <w:t xml:space="preserve"> </w:t>
      </w:r>
      <w:r w:rsidRPr="00EC20A0">
        <w:t>transfer</w:t>
      </w:r>
      <w:r w:rsidRPr="00EC20A0">
        <w:rPr>
          <w:spacing w:val="-4"/>
        </w:rPr>
        <w:t xml:space="preserve"> </w:t>
      </w:r>
      <w:r w:rsidRPr="00EC20A0">
        <w:t>funds</w:t>
      </w:r>
      <w:r w:rsidRPr="00EC20A0">
        <w:rPr>
          <w:spacing w:val="-4"/>
        </w:rPr>
        <w:t xml:space="preserve"> </w:t>
      </w:r>
      <w:r w:rsidRPr="00EC20A0">
        <w:t>between</w:t>
      </w:r>
      <w:r w:rsidRPr="00EC20A0">
        <w:rPr>
          <w:spacing w:val="-4"/>
        </w:rPr>
        <w:t xml:space="preserve"> </w:t>
      </w:r>
      <w:r w:rsidRPr="00EC20A0">
        <w:t>appropriations,</w:t>
      </w:r>
      <w:r w:rsidRPr="00EC20A0">
        <w:rPr>
          <w:spacing w:val="-4"/>
        </w:rPr>
        <w:t xml:space="preserve"> </w:t>
      </w:r>
      <w:r w:rsidRPr="00EC20A0">
        <w:t>and</w:t>
      </w:r>
      <w:r w:rsidRPr="00EC20A0">
        <w:rPr>
          <w:spacing w:val="-3"/>
        </w:rPr>
        <w:t xml:space="preserve"> </w:t>
      </w:r>
      <w:r w:rsidRPr="00EC20A0">
        <w:t xml:space="preserve">credit cards) in addition to the IPAC system to process intragovernmental activity and balances. The auditor should determine whether these methods affect the accuracy of intragovernmental activity and </w:t>
      </w:r>
      <w:r w:rsidRPr="00EC20A0">
        <w:t>balances.</w:t>
      </w:r>
    </w:p>
    <w:p w14:paraId="24D6166D" w14:textId="77777777" w:rsidR="00245300" w:rsidRPr="00EC20A0" w:rsidRDefault="00F17249">
      <w:pPr>
        <w:pStyle w:val="ListParagraph"/>
        <w:numPr>
          <w:ilvl w:val="0"/>
          <w:numId w:val="119"/>
        </w:numPr>
        <w:tabs>
          <w:tab w:val="left" w:pos="1641"/>
        </w:tabs>
        <w:ind w:left="1641" w:right="406" w:hanging="721"/>
      </w:pPr>
      <w:r w:rsidRPr="00EC20A0">
        <w:t>If</w:t>
      </w:r>
      <w:r w:rsidRPr="00EC20A0">
        <w:rPr>
          <w:spacing w:val="-4"/>
        </w:rPr>
        <w:t xml:space="preserve"> </w:t>
      </w:r>
      <w:r w:rsidRPr="00EC20A0">
        <w:t>the</w:t>
      </w:r>
      <w:r w:rsidRPr="00EC20A0">
        <w:rPr>
          <w:spacing w:val="-4"/>
        </w:rPr>
        <w:t xml:space="preserve"> </w:t>
      </w:r>
      <w:r w:rsidRPr="00EC20A0">
        <w:t>auditor</w:t>
      </w:r>
      <w:r w:rsidRPr="00EC20A0">
        <w:rPr>
          <w:spacing w:val="-5"/>
        </w:rPr>
        <w:t xml:space="preserve"> </w:t>
      </w:r>
      <w:r w:rsidRPr="00EC20A0">
        <w:t>determines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reconciliation</w:t>
      </w:r>
      <w:r w:rsidRPr="00EC20A0">
        <w:rPr>
          <w:spacing w:val="-4"/>
        </w:rPr>
        <w:t xml:space="preserve"> </w:t>
      </w:r>
      <w:r w:rsidRPr="00EC20A0">
        <w:t>and</w:t>
      </w:r>
      <w:r w:rsidRPr="00EC20A0">
        <w:rPr>
          <w:spacing w:val="-4"/>
        </w:rPr>
        <w:t xml:space="preserve"> </w:t>
      </w:r>
      <w:r w:rsidRPr="00EC20A0">
        <w:t>resolution</w:t>
      </w:r>
      <w:r w:rsidRPr="00EC20A0">
        <w:rPr>
          <w:spacing w:val="-5"/>
        </w:rPr>
        <w:t xml:space="preserve"> </w:t>
      </w:r>
      <w:r w:rsidRPr="00EC20A0">
        <w:t>controls</w:t>
      </w:r>
      <w:r w:rsidRPr="00EC20A0">
        <w:rPr>
          <w:spacing w:val="-4"/>
        </w:rPr>
        <w:t xml:space="preserve"> </w:t>
      </w:r>
      <w:r w:rsidRPr="00EC20A0">
        <w:t>for intragovernmental transactions are not designed or implemented effectively, the auditor should consider the effect on the risk of material misstatement, the effect on substantive testing procedures, and whether to report a significant deficiency or material weakness in internal control. Where intragovernmental transactions are or could be material, significant additional work is usually necessary to express an unmodified op</w:t>
      </w:r>
      <w:r w:rsidRPr="00EC20A0">
        <w:t>inion. In cases where the auditor finds significant deficiencies or material weaknesses in the intragovernmental resolution control and no other mitigating controls exist, the auditor must disclose this in the report or opinion on internal controls (FAM 580).</w:t>
      </w:r>
    </w:p>
    <w:p w14:paraId="24D6166E" w14:textId="77777777" w:rsidR="00245300" w:rsidRPr="00EC20A0" w:rsidRDefault="00F17249">
      <w:pPr>
        <w:pStyle w:val="ListParagraph"/>
        <w:numPr>
          <w:ilvl w:val="0"/>
          <w:numId w:val="119"/>
        </w:numPr>
        <w:tabs>
          <w:tab w:val="left" w:pos="1641"/>
        </w:tabs>
        <w:ind w:left="1641" w:right="343" w:hanging="721"/>
      </w:pPr>
      <w:r w:rsidRPr="00EC20A0">
        <w:t>Since inadequate intragovernmental processes have been a long-standing material</w:t>
      </w:r>
      <w:r w:rsidRPr="00EC20A0">
        <w:rPr>
          <w:spacing w:val="-5"/>
        </w:rPr>
        <w:t xml:space="preserve"> </w:t>
      </w:r>
      <w:r w:rsidRPr="00EC20A0">
        <w:t>weakness</w:t>
      </w:r>
      <w:r w:rsidRPr="00EC20A0">
        <w:rPr>
          <w:spacing w:val="-5"/>
        </w:rPr>
        <w:t xml:space="preserve"> </w:t>
      </w:r>
      <w:r w:rsidRPr="00EC20A0">
        <w:t>at</w:t>
      </w:r>
      <w:r w:rsidRPr="00EC20A0">
        <w:rPr>
          <w:spacing w:val="-5"/>
        </w:rPr>
        <w:t xml:space="preserve"> </w:t>
      </w:r>
      <w:r w:rsidRPr="00EC20A0">
        <w:t>the</w:t>
      </w:r>
      <w:r w:rsidRPr="00EC20A0">
        <w:rPr>
          <w:spacing w:val="-5"/>
        </w:rPr>
        <w:t xml:space="preserve"> </w:t>
      </w:r>
      <w:r w:rsidRPr="00EC20A0">
        <w:t>U.S.</w:t>
      </w:r>
      <w:r w:rsidRPr="00EC20A0">
        <w:rPr>
          <w:spacing w:val="-5"/>
        </w:rPr>
        <w:t xml:space="preserve"> </w:t>
      </w:r>
      <w:r w:rsidRPr="00EC20A0">
        <w:t>government</w:t>
      </w:r>
      <w:r w:rsidRPr="00EC20A0">
        <w:rPr>
          <w:spacing w:val="-5"/>
        </w:rPr>
        <w:t xml:space="preserve"> </w:t>
      </w:r>
      <w:r w:rsidRPr="00EC20A0">
        <w:t>consolidated</w:t>
      </w:r>
      <w:r w:rsidRPr="00EC20A0">
        <w:rPr>
          <w:spacing w:val="-5"/>
        </w:rPr>
        <w:t xml:space="preserve"> </w:t>
      </w:r>
      <w:r w:rsidRPr="00EC20A0">
        <w:t>financial</w:t>
      </w:r>
      <w:r w:rsidRPr="00EC20A0">
        <w:rPr>
          <w:spacing w:val="-5"/>
        </w:rPr>
        <w:t xml:space="preserve"> </w:t>
      </w:r>
      <w:r w:rsidRPr="00EC20A0">
        <w:t>statement</w:t>
      </w:r>
      <w:r w:rsidRPr="00EC20A0">
        <w:rPr>
          <w:spacing w:val="-5"/>
        </w:rPr>
        <w:t xml:space="preserve"> </w:t>
      </w:r>
      <w:r w:rsidRPr="00EC20A0">
        <w:t>level, if there is evidence and a history of systemic or recurring problems in any of the intragovernmental phases in FAM 902.21 the auditor should consider performing additional testing procedures. These procedures should assist with identifying issues related to accounting for and eliminating intragovernmental activity and</w:t>
      </w:r>
    </w:p>
    <w:p w14:paraId="24D6166F" w14:textId="77777777" w:rsidR="00245300" w:rsidRPr="00EC20A0" w:rsidRDefault="00F17249">
      <w:pPr>
        <w:pStyle w:val="BodyText"/>
        <w:spacing w:before="122"/>
        <w:rPr>
          <w:sz w:val="20"/>
        </w:rPr>
      </w:pPr>
      <w:r w:rsidRPr="00EC20A0">
        <w:rPr>
          <w:noProof/>
        </w:rPr>
        <mc:AlternateContent>
          <mc:Choice Requires="wps">
            <w:drawing>
              <wp:anchor distT="0" distB="0" distL="0" distR="0" simplePos="0" relativeHeight="487709696" behindDoc="1" locked="0" layoutInCell="1" allowOverlap="1" wp14:anchorId="24D62C91" wp14:editId="24D62C92">
                <wp:simplePos x="0" y="0"/>
                <wp:positionH relativeFrom="page">
                  <wp:posOffset>914400</wp:posOffset>
                </wp:positionH>
                <wp:positionV relativeFrom="paragraph">
                  <wp:posOffset>239346</wp:posOffset>
                </wp:positionV>
                <wp:extent cx="1828800" cy="5715"/>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B67A15" id="Graphic 783" o:spid="_x0000_s1026" style="position:absolute;margin-left:1in;margin-top:18.85pt;width:2in;height:.45pt;z-index:-156067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" path="m1828800,l,,,5334r1828800,l1828800,xe" fillcolor="black" stroked="f">
                <v:path arrowok="t"/>
                <w10:wrap type="topAndBottom" anchorx="page"/>
              </v:shape>
            </w:pict>
          </mc:Fallback>
        </mc:AlternateContent>
      </w:r>
    </w:p>
    <w:p w14:paraId="24D61670" w14:textId="77777777" w:rsidR="00245300" w:rsidRPr="00EC20A0" w:rsidRDefault="00F17249">
      <w:pPr>
        <w:spacing w:before="200" w:line="244" w:lineRule="auto"/>
        <w:ind w:left="199" w:right="362"/>
        <w:jc w:val="both"/>
        <w:rPr>
          <w:sz w:val="18"/>
        </w:rPr>
      </w:pPr>
      <w:bookmarkStart w:id="287" w:name="_bookmark163"/>
      <w:bookmarkEnd w:id="287"/>
      <w:r w:rsidRPr="00EC20A0">
        <w:rPr>
          <w:position w:val="7"/>
          <w:sz w:val="14"/>
        </w:rPr>
        <w:t>14</w:t>
      </w:r>
      <w:r w:rsidRPr="00EC20A0">
        <w:rPr>
          <w:sz w:val="18"/>
        </w:rPr>
        <w:t>There</w:t>
      </w:r>
      <w:r w:rsidRPr="00EC20A0">
        <w:rPr>
          <w:spacing w:val="-4"/>
          <w:sz w:val="18"/>
        </w:rPr>
        <w:t xml:space="preserve"> </w:t>
      </w:r>
      <w:r w:rsidRPr="00EC20A0">
        <w:rPr>
          <w:sz w:val="18"/>
        </w:rPr>
        <w:t>may</w:t>
      </w:r>
      <w:r w:rsidRPr="00EC20A0">
        <w:rPr>
          <w:spacing w:val="-3"/>
          <w:sz w:val="18"/>
        </w:rPr>
        <w:t xml:space="preserve"> </w:t>
      </w:r>
      <w:r w:rsidRPr="00EC20A0">
        <w:rPr>
          <w:sz w:val="18"/>
        </w:rPr>
        <w:t>be</w:t>
      </w:r>
      <w:r w:rsidRPr="00EC20A0">
        <w:rPr>
          <w:spacing w:val="-2"/>
          <w:sz w:val="18"/>
        </w:rPr>
        <w:t xml:space="preserve"> </w:t>
      </w:r>
      <w:r w:rsidRPr="00EC20A0">
        <w:rPr>
          <w:sz w:val="18"/>
        </w:rPr>
        <w:t>valid</w:t>
      </w:r>
      <w:r w:rsidRPr="00EC20A0">
        <w:rPr>
          <w:spacing w:val="-4"/>
          <w:sz w:val="18"/>
        </w:rPr>
        <w:t xml:space="preserve"> </w:t>
      </w:r>
      <w:r w:rsidRPr="00EC20A0">
        <w:rPr>
          <w:sz w:val="18"/>
        </w:rPr>
        <w:t>reasons</w:t>
      </w:r>
      <w:r w:rsidRPr="00EC20A0">
        <w:rPr>
          <w:spacing w:val="-3"/>
          <w:sz w:val="18"/>
        </w:rPr>
        <w:t xml:space="preserve"> </w:t>
      </w:r>
      <w:r w:rsidRPr="00EC20A0">
        <w:rPr>
          <w:sz w:val="18"/>
        </w:rPr>
        <w:t>to</w:t>
      </w:r>
      <w:r w:rsidRPr="00EC20A0">
        <w:rPr>
          <w:spacing w:val="-4"/>
          <w:sz w:val="18"/>
        </w:rPr>
        <w:t xml:space="preserve"> </w:t>
      </w:r>
      <w:r w:rsidRPr="00EC20A0">
        <w:rPr>
          <w:sz w:val="18"/>
        </w:rPr>
        <w:t>not</w:t>
      </w:r>
      <w:r w:rsidRPr="00EC20A0">
        <w:rPr>
          <w:spacing w:val="-3"/>
          <w:sz w:val="18"/>
        </w:rPr>
        <w:t xml:space="preserve"> </w:t>
      </w:r>
      <w:r w:rsidRPr="00EC20A0">
        <w:rPr>
          <w:sz w:val="18"/>
        </w:rPr>
        <w:t>eliminate</w:t>
      </w:r>
      <w:r w:rsidRPr="00EC20A0">
        <w:rPr>
          <w:spacing w:val="-4"/>
          <w:sz w:val="18"/>
        </w:rPr>
        <w:t xml:space="preserve"> </w:t>
      </w:r>
      <w:r w:rsidRPr="00EC20A0">
        <w:rPr>
          <w:sz w:val="18"/>
        </w:rPr>
        <w:t>certain</w:t>
      </w:r>
      <w:r w:rsidRPr="00EC20A0">
        <w:rPr>
          <w:spacing w:val="-4"/>
          <w:sz w:val="18"/>
        </w:rPr>
        <w:t xml:space="preserve"> </w:t>
      </w:r>
      <w:r w:rsidRPr="00EC20A0">
        <w:rPr>
          <w:sz w:val="18"/>
        </w:rPr>
        <w:t>intra-entity</w:t>
      </w:r>
      <w:r w:rsidRPr="00EC20A0">
        <w:rPr>
          <w:spacing w:val="-3"/>
          <w:sz w:val="18"/>
        </w:rPr>
        <w:t xml:space="preserve"> </w:t>
      </w:r>
      <w:r w:rsidRPr="00EC20A0">
        <w:rPr>
          <w:sz w:val="18"/>
        </w:rPr>
        <w:t>intragovernmental</w:t>
      </w:r>
      <w:r w:rsidRPr="00EC20A0">
        <w:rPr>
          <w:spacing w:val="-3"/>
          <w:sz w:val="18"/>
        </w:rPr>
        <w:t xml:space="preserve"> </w:t>
      </w:r>
      <w:r w:rsidRPr="00EC20A0">
        <w:rPr>
          <w:sz w:val="18"/>
        </w:rPr>
        <w:t>amounts</w:t>
      </w:r>
      <w:r w:rsidRPr="00EC20A0">
        <w:rPr>
          <w:spacing w:val="-3"/>
          <w:sz w:val="18"/>
        </w:rPr>
        <w:t xml:space="preserve"> </w:t>
      </w:r>
      <w:r w:rsidRPr="00EC20A0">
        <w:rPr>
          <w:sz w:val="18"/>
        </w:rPr>
        <w:t>from</w:t>
      </w:r>
      <w:r w:rsidRPr="00EC20A0">
        <w:rPr>
          <w:spacing w:val="-3"/>
          <w:sz w:val="18"/>
        </w:rPr>
        <w:t xml:space="preserve"> </w:t>
      </w:r>
      <w:r w:rsidRPr="00EC20A0">
        <w:rPr>
          <w:sz w:val="18"/>
        </w:rPr>
        <w:t>an</w:t>
      </w:r>
      <w:r w:rsidRPr="00EC20A0">
        <w:rPr>
          <w:spacing w:val="-4"/>
          <w:sz w:val="18"/>
        </w:rPr>
        <w:t xml:space="preserve"> </w:t>
      </w:r>
      <w:r w:rsidRPr="00EC20A0">
        <w:rPr>
          <w:sz w:val="18"/>
        </w:rPr>
        <w:t>entity’s</w:t>
      </w:r>
      <w:r w:rsidRPr="00EC20A0">
        <w:rPr>
          <w:spacing w:val="-3"/>
          <w:sz w:val="18"/>
        </w:rPr>
        <w:t xml:space="preserve"> </w:t>
      </w:r>
      <w:r w:rsidRPr="00EC20A0">
        <w:rPr>
          <w:sz w:val="18"/>
        </w:rPr>
        <w:t>financial statements.</w:t>
      </w:r>
      <w:r w:rsidRPr="00EC20A0">
        <w:rPr>
          <w:spacing w:val="-2"/>
          <w:sz w:val="18"/>
        </w:rPr>
        <w:t xml:space="preserve"> </w:t>
      </w:r>
      <w:r w:rsidRPr="00EC20A0">
        <w:rPr>
          <w:sz w:val="18"/>
        </w:rPr>
        <w:t>In</w:t>
      </w:r>
      <w:r w:rsidRPr="00EC20A0">
        <w:rPr>
          <w:spacing w:val="-3"/>
          <w:sz w:val="18"/>
        </w:rPr>
        <w:t xml:space="preserve"> </w:t>
      </w:r>
      <w:r w:rsidRPr="00EC20A0">
        <w:rPr>
          <w:sz w:val="18"/>
        </w:rPr>
        <w:t>such</w:t>
      </w:r>
      <w:r w:rsidRPr="00EC20A0">
        <w:rPr>
          <w:spacing w:val="-3"/>
          <w:sz w:val="18"/>
        </w:rPr>
        <w:t xml:space="preserve"> </w:t>
      </w:r>
      <w:r w:rsidRPr="00EC20A0">
        <w:rPr>
          <w:sz w:val="18"/>
        </w:rPr>
        <w:t>instances,</w:t>
      </w:r>
      <w:r w:rsidRPr="00EC20A0">
        <w:rPr>
          <w:spacing w:val="-2"/>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should</w:t>
      </w:r>
      <w:r w:rsidRPr="00EC20A0">
        <w:rPr>
          <w:spacing w:val="-3"/>
          <w:sz w:val="18"/>
        </w:rPr>
        <w:t xml:space="preserve"> </w:t>
      </w:r>
      <w:r w:rsidRPr="00EC20A0">
        <w:rPr>
          <w:sz w:val="18"/>
        </w:rPr>
        <w:t>communicate</w:t>
      </w:r>
      <w:r w:rsidRPr="00EC20A0">
        <w:rPr>
          <w:spacing w:val="-3"/>
          <w:sz w:val="18"/>
        </w:rPr>
        <w:t xml:space="preserve"> </w:t>
      </w:r>
      <w:r w:rsidRPr="00EC20A0">
        <w:rPr>
          <w:sz w:val="18"/>
        </w:rPr>
        <w:t>with</w:t>
      </w:r>
      <w:r w:rsidRPr="00EC20A0">
        <w:rPr>
          <w:spacing w:val="-3"/>
          <w:sz w:val="18"/>
        </w:rPr>
        <w:t xml:space="preserve"> </w:t>
      </w:r>
      <w:r w:rsidRPr="00EC20A0">
        <w:rPr>
          <w:sz w:val="18"/>
        </w:rPr>
        <w:t>Treasury</w:t>
      </w:r>
      <w:r w:rsidRPr="00EC20A0">
        <w:rPr>
          <w:spacing w:val="-2"/>
          <w:sz w:val="18"/>
        </w:rPr>
        <w:t xml:space="preserve"> </w:t>
      </w:r>
      <w:r w:rsidRPr="00EC20A0">
        <w:rPr>
          <w:sz w:val="18"/>
        </w:rPr>
        <w:t>in</w:t>
      </w:r>
      <w:r w:rsidRPr="00EC20A0">
        <w:rPr>
          <w:spacing w:val="-3"/>
          <w:sz w:val="18"/>
        </w:rPr>
        <w:t xml:space="preserve"> </w:t>
      </w:r>
      <w:r w:rsidRPr="00EC20A0">
        <w:rPr>
          <w:sz w:val="18"/>
        </w:rPr>
        <w:t>order</w:t>
      </w:r>
      <w:r w:rsidRPr="00EC20A0">
        <w:rPr>
          <w:spacing w:val="-2"/>
          <w:sz w:val="18"/>
        </w:rPr>
        <w:t xml:space="preserve"> </w:t>
      </w:r>
      <w:r w:rsidRPr="00EC20A0">
        <w:rPr>
          <w:sz w:val="18"/>
        </w:rPr>
        <w:t>for</w:t>
      </w:r>
      <w:r w:rsidRPr="00EC20A0">
        <w:rPr>
          <w:spacing w:val="-2"/>
          <w:sz w:val="18"/>
        </w:rPr>
        <w:t xml:space="preserve"> </w:t>
      </w:r>
      <w:r w:rsidRPr="00EC20A0">
        <w:rPr>
          <w:sz w:val="18"/>
        </w:rPr>
        <w:t>any</w:t>
      </w:r>
      <w:r w:rsidRPr="00EC20A0">
        <w:rPr>
          <w:spacing w:val="-2"/>
          <w:sz w:val="18"/>
        </w:rPr>
        <w:t xml:space="preserve"> </w:t>
      </w:r>
      <w:r w:rsidRPr="00EC20A0">
        <w:rPr>
          <w:sz w:val="18"/>
        </w:rPr>
        <w:t>needed</w:t>
      </w:r>
      <w:r w:rsidRPr="00EC20A0">
        <w:rPr>
          <w:spacing w:val="-3"/>
          <w:sz w:val="18"/>
        </w:rPr>
        <w:t xml:space="preserve"> </w:t>
      </w:r>
      <w:r w:rsidRPr="00EC20A0">
        <w:rPr>
          <w:sz w:val="18"/>
        </w:rPr>
        <w:t>journal</w:t>
      </w:r>
      <w:r w:rsidRPr="00EC20A0">
        <w:rPr>
          <w:spacing w:val="-2"/>
          <w:sz w:val="18"/>
        </w:rPr>
        <w:t xml:space="preserve"> </w:t>
      </w:r>
      <w:r w:rsidRPr="00EC20A0">
        <w:rPr>
          <w:sz w:val="18"/>
        </w:rPr>
        <w:t>entries</w:t>
      </w:r>
      <w:r w:rsidRPr="00EC20A0">
        <w:rPr>
          <w:spacing w:val="-2"/>
          <w:sz w:val="18"/>
        </w:rPr>
        <w:t xml:space="preserve"> </w:t>
      </w:r>
      <w:r w:rsidRPr="00EC20A0">
        <w:rPr>
          <w:sz w:val="18"/>
        </w:rPr>
        <w:t xml:space="preserve">to be recorded for the U.S. </w:t>
      </w:r>
      <w:r w:rsidRPr="00EC20A0">
        <w:rPr>
          <w:sz w:val="18"/>
        </w:rPr>
        <w:t>government’s consolidated financial statements.</w:t>
      </w:r>
    </w:p>
    <w:p w14:paraId="24D61671" w14:textId="77777777" w:rsidR="00245300" w:rsidRPr="00EC20A0" w:rsidRDefault="00245300">
      <w:pPr>
        <w:spacing w:line="244" w:lineRule="auto"/>
        <w:jc w:val="both"/>
        <w:rPr>
          <w:sz w:val="18"/>
        </w:rPr>
        <w:sectPr w:rsidR="00245300" w:rsidRPr="00EC20A0">
          <w:pgSz w:w="12240" w:h="15840"/>
          <w:pgMar w:top="1340" w:right="1100" w:bottom="940" w:left="1240" w:header="721" w:footer="757" w:gutter="0"/>
          <w:cols w:space="720"/>
        </w:sectPr>
      </w:pPr>
    </w:p>
    <w:p w14:paraId="24D61672" w14:textId="77777777" w:rsidR="00245300" w:rsidRPr="00EC20A0" w:rsidRDefault="00F17249">
      <w:pPr>
        <w:pStyle w:val="BodyText"/>
        <w:spacing w:before="121"/>
        <w:ind w:left="1640" w:right="345"/>
      </w:pPr>
      <w:r w:rsidRPr="00EC20A0">
        <w:t>balances</w:t>
      </w:r>
      <w:r w:rsidRPr="00EC20A0">
        <w:rPr>
          <w:spacing w:val="-4"/>
        </w:rPr>
        <w:t xml:space="preserve"> </w:t>
      </w:r>
      <w:r w:rsidRPr="00EC20A0">
        <w:t>in</w:t>
      </w:r>
      <w:r w:rsidRPr="00EC20A0">
        <w:rPr>
          <w:spacing w:val="-5"/>
        </w:rPr>
        <w:t xml:space="preserve"> </w:t>
      </w:r>
      <w:r w:rsidRPr="00EC20A0">
        <w:t>both</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and</w:t>
      </w:r>
      <w:r w:rsidRPr="00EC20A0">
        <w:rPr>
          <w:spacing w:val="-4"/>
        </w:rPr>
        <w:t xml:space="preserve"> </w:t>
      </w:r>
      <w:r w:rsidRPr="00EC20A0">
        <w:t>the</w:t>
      </w:r>
      <w:r w:rsidRPr="00EC20A0">
        <w:rPr>
          <w:spacing w:val="-5"/>
        </w:rPr>
        <w:t xml:space="preserve"> </w:t>
      </w:r>
      <w:r w:rsidRPr="00EC20A0">
        <w:t>U.S.</w:t>
      </w:r>
      <w:r w:rsidRPr="00EC20A0">
        <w:rPr>
          <w:spacing w:val="-4"/>
        </w:rPr>
        <w:t xml:space="preserve"> </w:t>
      </w:r>
      <w:r w:rsidRPr="00EC20A0">
        <w:t>government’s</w:t>
      </w:r>
      <w:r w:rsidRPr="00EC20A0">
        <w:rPr>
          <w:spacing w:val="-4"/>
        </w:rPr>
        <w:t xml:space="preserve"> </w:t>
      </w:r>
      <w:r w:rsidRPr="00EC20A0">
        <w:t>consolidated</w:t>
      </w:r>
      <w:r w:rsidRPr="00EC20A0">
        <w:rPr>
          <w:spacing w:val="-4"/>
        </w:rPr>
        <w:t xml:space="preserve"> </w:t>
      </w:r>
      <w:r w:rsidRPr="00EC20A0">
        <w:t xml:space="preserve">financial </w:t>
      </w:r>
      <w:r w:rsidRPr="00EC20A0">
        <w:rPr>
          <w:spacing w:val="-2"/>
        </w:rPr>
        <w:t>statements.</w:t>
      </w:r>
    </w:p>
    <w:p w14:paraId="24D61673" w14:textId="77777777" w:rsidR="00245300" w:rsidRPr="00EC20A0" w:rsidRDefault="00F17249">
      <w:pPr>
        <w:pStyle w:val="ListParagraph"/>
        <w:numPr>
          <w:ilvl w:val="0"/>
          <w:numId w:val="119"/>
        </w:numPr>
        <w:tabs>
          <w:tab w:val="left" w:pos="1640"/>
        </w:tabs>
        <w:spacing w:before="239"/>
        <w:ind w:right="369" w:hanging="721"/>
      </w:pPr>
      <w:r w:rsidRPr="00EC20A0">
        <w:t xml:space="preserve">The auditor may detect misstatements during testing of intragovernmental transactions (i.e., a </w:t>
      </w:r>
      <w:r w:rsidRPr="00EC20A0">
        <w:t>transaction was recorded with an incorrect amount) and testing of the entity’s reconciliation and resolution of intragovernmental differences.</w:t>
      </w:r>
      <w:r w:rsidRPr="00EC20A0">
        <w:rPr>
          <w:spacing w:val="-5"/>
        </w:rPr>
        <w:t xml:space="preserve"> </w:t>
      </w:r>
      <w:r w:rsidRPr="00EC20A0">
        <w:t>The</w:t>
      </w:r>
      <w:r w:rsidRPr="00EC20A0">
        <w:rPr>
          <w:spacing w:val="-4"/>
        </w:rPr>
        <w:t xml:space="preserve"> </w:t>
      </w:r>
      <w:r w:rsidRPr="00EC20A0">
        <w:rPr>
          <w:i/>
        </w:rPr>
        <w:t>reconciled</w:t>
      </w:r>
      <w:r w:rsidRPr="00EC20A0">
        <w:rPr>
          <w:i/>
          <w:spacing w:val="-4"/>
        </w:rPr>
        <w:t xml:space="preserve"> </w:t>
      </w:r>
      <w:r w:rsidRPr="00EC20A0">
        <w:t>intragovernmental</w:t>
      </w:r>
      <w:r w:rsidRPr="00EC20A0">
        <w:rPr>
          <w:spacing w:val="-4"/>
        </w:rPr>
        <w:t xml:space="preserve"> </w:t>
      </w:r>
      <w:r w:rsidRPr="00EC20A0">
        <w:t>differences</w:t>
      </w:r>
      <w:r w:rsidRPr="00EC20A0">
        <w:rPr>
          <w:spacing w:val="-4"/>
        </w:rPr>
        <w:t xml:space="preserve"> </w:t>
      </w:r>
      <w:r w:rsidRPr="00EC20A0">
        <w:t>are</w:t>
      </w:r>
      <w:r w:rsidRPr="00EC20A0">
        <w:rPr>
          <w:spacing w:val="-5"/>
        </w:rPr>
        <w:t xml:space="preserve"> </w:t>
      </w:r>
      <w:r w:rsidRPr="00EC20A0">
        <w:t>those</w:t>
      </w:r>
      <w:r w:rsidRPr="00EC20A0">
        <w:rPr>
          <w:spacing w:val="-4"/>
        </w:rPr>
        <w:t xml:space="preserve"> </w:t>
      </w:r>
      <w:r w:rsidRPr="00EC20A0">
        <w:t>for</w:t>
      </w:r>
      <w:r w:rsidRPr="00EC20A0">
        <w:rPr>
          <w:spacing w:val="-4"/>
        </w:rPr>
        <w:t xml:space="preserve"> </w:t>
      </w:r>
      <w:r w:rsidRPr="00EC20A0">
        <w:t>which</w:t>
      </w:r>
      <w:r w:rsidRPr="00EC20A0">
        <w:rPr>
          <w:spacing w:val="-4"/>
        </w:rPr>
        <w:t xml:space="preserve"> </w:t>
      </w:r>
      <w:r w:rsidRPr="00EC20A0">
        <w:t xml:space="preserve">the entity determined its cause but did not yet </w:t>
      </w:r>
      <w:r w:rsidRPr="00EC20A0">
        <w:rPr>
          <w:i/>
        </w:rPr>
        <w:t xml:space="preserve">resolve </w:t>
      </w:r>
      <w:r w:rsidRPr="00EC20A0">
        <w:t>the difference; therefore, the difference still exists at year-end. The unresolved intragovernmental differences are those for which</w:t>
      </w:r>
    </w:p>
    <w:p w14:paraId="24D61674" w14:textId="77777777" w:rsidR="00245300" w:rsidRPr="00EC20A0" w:rsidRDefault="00F17249">
      <w:pPr>
        <w:pStyle w:val="ListParagraph"/>
        <w:numPr>
          <w:ilvl w:val="1"/>
          <w:numId w:val="119"/>
        </w:numPr>
        <w:tabs>
          <w:tab w:val="left" w:pos="2000"/>
        </w:tabs>
        <w:ind w:right="354"/>
      </w:pPr>
      <w:r w:rsidRPr="00EC20A0">
        <w:t>the entity appropriately researched and reconciled the difference with its trading</w:t>
      </w:r>
      <w:r w:rsidRPr="00EC20A0">
        <w:rPr>
          <w:spacing w:val="-4"/>
        </w:rPr>
        <w:t xml:space="preserve"> </w:t>
      </w:r>
      <w:r w:rsidRPr="00EC20A0">
        <w:t>partner;</w:t>
      </w:r>
      <w:r w:rsidRPr="00EC20A0">
        <w:rPr>
          <w:spacing w:val="-4"/>
        </w:rPr>
        <w:t xml:space="preserve"> </w:t>
      </w:r>
      <w:r w:rsidRPr="00EC20A0">
        <w:t>however,</w:t>
      </w:r>
      <w:r w:rsidRPr="00EC20A0">
        <w:rPr>
          <w:spacing w:val="-4"/>
        </w:rPr>
        <w:t xml:space="preserve"> </w:t>
      </w:r>
      <w:r w:rsidRPr="00EC20A0">
        <w:t>no</w:t>
      </w:r>
      <w:r w:rsidRPr="00EC20A0">
        <w:rPr>
          <w:spacing w:val="-4"/>
        </w:rPr>
        <w:t xml:space="preserve"> </w:t>
      </w:r>
      <w:r w:rsidRPr="00EC20A0">
        <w:t>adjustment</w:t>
      </w:r>
      <w:r w:rsidRPr="00EC20A0">
        <w:rPr>
          <w:spacing w:val="-4"/>
        </w:rPr>
        <w:t xml:space="preserve"> </w:t>
      </w:r>
      <w:r w:rsidRPr="00EC20A0">
        <w:t>was</w:t>
      </w:r>
      <w:r w:rsidRPr="00EC20A0">
        <w:rPr>
          <w:spacing w:val="-4"/>
        </w:rPr>
        <w:t xml:space="preserve"> </w:t>
      </w:r>
      <w:r w:rsidRPr="00EC20A0">
        <w:t>made</w:t>
      </w:r>
      <w:r w:rsidRPr="00EC20A0">
        <w:rPr>
          <w:spacing w:val="-4"/>
        </w:rPr>
        <w:t xml:space="preserve"> </w:t>
      </w:r>
      <w:r w:rsidRPr="00EC20A0">
        <w:t>to</w:t>
      </w:r>
      <w:r w:rsidRPr="00EC20A0">
        <w:rPr>
          <w:spacing w:val="-4"/>
        </w:rPr>
        <w:t xml:space="preserve"> </w:t>
      </w:r>
      <w:r w:rsidRPr="00EC20A0">
        <w:t>either</w:t>
      </w:r>
      <w:r w:rsidRPr="00EC20A0">
        <w:rPr>
          <w:spacing w:val="-5"/>
        </w:rPr>
        <w:t xml:space="preserve"> </w:t>
      </w:r>
      <w:r w:rsidRPr="00EC20A0">
        <w:t>the</w:t>
      </w:r>
      <w:r w:rsidRPr="00EC20A0">
        <w:rPr>
          <w:spacing w:val="-4"/>
        </w:rPr>
        <w:t xml:space="preserve"> </w:t>
      </w:r>
      <w:r w:rsidRPr="00EC20A0">
        <w:t>entity’s</w:t>
      </w:r>
      <w:r w:rsidRPr="00EC20A0">
        <w:rPr>
          <w:spacing w:val="-5"/>
        </w:rPr>
        <w:t xml:space="preserve"> </w:t>
      </w:r>
      <w:r w:rsidRPr="00EC20A0">
        <w:t>or</w:t>
      </w:r>
      <w:r w:rsidRPr="00EC20A0">
        <w:rPr>
          <w:spacing w:val="-4"/>
        </w:rPr>
        <w:t xml:space="preserve"> </w:t>
      </w:r>
      <w:r w:rsidRPr="00EC20A0">
        <w:t>the trading partner’s accounting records resulting in the difference continuing to exist or</w:t>
      </w:r>
    </w:p>
    <w:p w14:paraId="24D61675" w14:textId="77777777" w:rsidR="00245300" w:rsidRPr="00EC20A0" w:rsidRDefault="00F17249">
      <w:pPr>
        <w:pStyle w:val="ListParagraph"/>
        <w:numPr>
          <w:ilvl w:val="1"/>
          <w:numId w:val="119"/>
        </w:numPr>
        <w:tabs>
          <w:tab w:val="left" w:pos="2000"/>
        </w:tabs>
        <w:spacing w:before="239"/>
        <w:ind w:right="427" w:hanging="360"/>
      </w:pPr>
      <w:r w:rsidRPr="00EC20A0">
        <w:t>Fiscal</w:t>
      </w:r>
      <w:r w:rsidRPr="00EC20A0">
        <w:rPr>
          <w:spacing w:val="-4"/>
        </w:rPr>
        <w:t xml:space="preserve"> </w:t>
      </w:r>
      <w:r w:rsidRPr="00EC20A0">
        <w:t>Service,</w:t>
      </w:r>
      <w:r w:rsidRPr="00EC20A0">
        <w:rPr>
          <w:spacing w:val="-4"/>
        </w:rPr>
        <w:t xml:space="preserve"> </w:t>
      </w:r>
      <w:r w:rsidRPr="00EC20A0">
        <w:t>as</w:t>
      </w:r>
      <w:r w:rsidRPr="00EC20A0">
        <w:rPr>
          <w:spacing w:val="-4"/>
        </w:rPr>
        <w:t xml:space="preserve"> </w:t>
      </w:r>
      <w:r w:rsidRPr="00EC20A0">
        <w:t>part</w:t>
      </w:r>
      <w:r w:rsidRPr="00EC20A0">
        <w:rPr>
          <w:spacing w:val="-4"/>
        </w:rPr>
        <w:t xml:space="preserve"> </w:t>
      </w:r>
      <w:r w:rsidRPr="00EC20A0">
        <w:t>of</w:t>
      </w:r>
      <w:r w:rsidRPr="00EC20A0">
        <w:rPr>
          <w:spacing w:val="-4"/>
        </w:rPr>
        <w:t xml:space="preserve"> </w:t>
      </w:r>
      <w:r w:rsidRPr="00EC20A0">
        <w:t>its</w:t>
      </w:r>
      <w:r w:rsidRPr="00EC20A0">
        <w:rPr>
          <w:spacing w:val="-4"/>
        </w:rPr>
        <w:t xml:space="preserve"> </w:t>
      </w:r>
      <w:r w:rsidRPr="00EC20A0">
        <w:t>dispute</w:t>
      </w:r>
      <w:r w:rsidRPr="00EC20A0">
        <w:rPr>
          <w:spacing w:val="-5"/>
        </w:rPr>
        <w:t xml:space="preserve"> </w:t>
      </w:r>
      <w:r w:rsidRPr="00EC20A0">
        <w:t>resolution</w:t>
      </w:r>
      <w:r w:rsidRPr="00EC20A0">
        <w:rPr>
          <w:spacing w:val="-4"/>
        </w:rPr>
        <w:t xml:space="preserve"> </w:t>
      </w:r>
      <w:r w:rsidRPr="00EC20A0">
        <w:t>process,</w:t>
      </w:r>
      <w:r w:rsidRPr="00EC20A0">
        <w:rPr>
          <w:spacing w:val="-4"/>
        </w:rPr>
        <w:t xml:space="preserve"> </w:t>
      </w:r>
      <w:r w:rsidRPr="00EC20A0">
        <w:t>may</w:t>
      </w:r>
      <w:r w:rsidRPr="00EC20A0">
        <w:rPr>
          <w:spacing w:val="-3"/>
        </w:rPr>
        <w:t xml:space="preserve"> </w:t>
      </w:r>
      <w:r w:rsidRPr="00EC20A0">
        <w:t>issue</w:t>
      </w:r>
      <w:r w:rsidRPr="00EC20A0">
        <w:rPr>
          <w:spacing w:val="-4"/>
        </w:rPr>
        <w:t xml:space="preserve"> </w:t>
      </w:r>
      <w:r w:rsidRPr="00EC20A0">
        <w:t>a</w:t>
      </w:r>
      <w:r w:rsidRPr="00EC20A0">
        <w:rPr>
          <w:spacing w:val="-4"/>
        </w:rPr>
        <w:t xml:space="preserve"> </w:t>
      </w:r>
      <w:r w:rsidRPr="00EC20A0">
        <w:t xml:space="preserve">decision in which the entity or the trading partner is </w:t>
      </w:r>
      <w:r w:rsidRPr="00EC20A0">
        <w:t>to adjust its accounting records; however, this adjustment has not been made.</w:t>
      </w:r>
    </w:p>
    <w:p w14:paraId="24D61676" w14:textId="77777777" w:rsidR="00245300" w:rsidRPr="00EC20A0" w:rsidRDefault="00F17249">
      <w:pPr>
        <w:pStyle w:val="BodyText"/>
        <w:spacing w:before="239"/>
        <w:ind w:left="1640" w:right="345"/>
      </w:pPr>
      <w:r w:rsidRPr="00EC20A0">
        <w:t>The</w:t>
      </w:r>
      <w:r w:rsidRPr="00EC20A0">
        <w:rPr>
          <w:spacing w:val="-5"/>
        </w:rPr>
        <w:t xml:space="preserve"> </w:t>
      </w:r>
      <w:r w:rsidRPr="00EC20A0">
        <w:t>auditor</w:t>
      </w:r>
      <w:r w:rsidRPr="00EC20A0">
        <w:rPr>
          <w:spacing w:val="-7"/>
        </w:rPr>
        <w:t xml:space="preserve"> </w:t>
      </w:r>
      <w:r w:rsidRPr="00EC20A0">
        <w:t>should</w:t>
      </w:r>
      <w:r w:rsidRPr="00EC20A0">
        <w:rPr>
          <w:spacing w:val="-4"/>
        </w:rPr>
        <w:t xml:space="preserve"> </w:t>
      </w:r>
      <w:r w:rsidRPr="00EC20A0">
        <w:t>document</w:t>
      </w:r>
      <w:r w:rsidRPr="00EC20A0">
        <w:rPr>
          <w:spacing w:val="-5"/>
        </w:rPr>
        <w:t xml:space="preserve"> </w:t>
      </w:r>
      <w:r w:rsidRPr="00EC20A0">
        <w:t>misstatements</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summary</w:t>
      </w:r>
      <w:r w:rsidRPr="00EC20A0">
        <w:rPr>
          <w:spacing w:val="-4"/>
        </w:rPr>
        <w:t xml:space="preserve"> </w:t>
      </w:r>
      <w:r w:rsidRPr="00EC20A0">
        <w:t>of</w:t>
      </w:r>
      <w:r w:rsidRPr="00EC20A0">
        <w:rPr>
          <w:spacing w:val="-5"/>
        </w:rPr>
        <w:t xml:space="preserve"> </w:t>
      </w:r>
      <w:r w:rsidRPr="00EC20A0">
        <w:t>uncorrected misstatements (see FAM 540 and FAM 595 C).</w:t>
      </w:r>
    </w:p>
    <w:p w14:paraId="24D61677" w14:textId="77777777" w:rsidR="00245300" w:rsidRPr="00EC20A0" w:rsidRDefault="00F17249">
      <w:pPr>
        <w:pStyle w:val="ListParagraph"/>
        <w:numPr>
          <w:ilvl w:val="0"/>
          <w:numId w:val="119"/>
        </w:numPr>
        <w:tabs>
          <w:tab w:val="left" w:pos="1640"/>
        </w:tabs>
        <w:spacing w:before="239"/>
        <w:ind w:right="553" w:hanging="721"/>
      </w:pPr>
      <w:r w:rsidRPr="00EC20A0">
        <w:t xml:space="preserve">To avoid duplicate procedures, the auditor should </w:t>
      </w:r>
      <w:r w:rsidRPr="00EC20A0">
        <w:t>consider other intragovernmental related work (including FBWT) when designing the tests for intragovernmental activity and balances. Examples of audit procedures for the audit of intragovernmental activity and balances are in FAM 902 A. The audit procedures</w:t>
      </w:r>
      <w:r w:rsidRPr="00EC20A0">
        <w:rPr>
          <w:spacing w:val="-4"/>
        </w:rPr>
        <w:t xml:space="preserve"> </w:t>
      </w:r>
      <w:r w:rsidRPr="00EC20A0">
        <w:t>generally</w:t>
      </w:r>
      <w:r w:rsidRPr="00EC20A0">
        <w:rPr>
          <w:spacing w:val="-3"/>
        </w:rPr>
        <w:t xml:space="preserve"> </w:t>
      </w:r>
      <w:r w:rsidRPr="00EC20A0">
        <w:t>are</w:t>
      </w:r>
      <w:r w:rsidRPr="00EC20A0">
        <w:rPr>
          <w:spacing w:val="-3"/>
        </w:rPr>
        <w:t xml:space="preserve"> </w:t>
      </w:r>
      <w:r w:rsidRPr="00EC20A0">
        <w:t>customized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particular</w:t>
      </w:r>
      <w:r w:rsidRPr="00EC20A0">
        <w:rPr>
          <w:spacing w:val="-3"/>
        </w:rPr>
        <w:t xml:space="preserve"> </w:t>
      </w:r>
      <w:r w:rsidRPr="00EC20A0">
        <w:t>entity.</w:t>
      </w:r>
      <w:r w:rsidRPr="00EC20A0">
        <w:rPr>
          <w:spacing w:val="-3"/>
        </w:rPr>
        <w:t xml:space="preserve"> </w:t>
      </w:r>
      <w:r w:rsidRPr="00EC20A0">
        <w:t>For example, if the auditor determines that the intragovernmental accounts receivable</w:t>
      </w:r>
      <w:r w:rsidRPr="00EC20A0">
        <w:rPr>
          <w:spacing w:val="-5"/>
        </w:rPr>
        <w:t xml:space="preserve"> </w:t>
      </w:r>
      <w:r w:rsidRPr="00EC20A0">
        <w:t>line</w:t>
      </w:r>
      <w:r w:rsidRPr="00EC20A0">
        <w:rPr>
          <w:spacing w:val="-4"/>
        </w:rPr>
        <w:t xml:space="preserve"> </w:t>
      </w:r>
      <w:r w:rsidRPr="00EC20A0">
        <w:t>item</w:t>
      </w:r>
      <w:r w:rsidRPr="00EC20A0">
        <w:rPr>
          <w:spacing w:val="-5"/>
        </w:rPr>
        <w:t xml:space="preserve"> </w:t>
      </w:r>
      <w:r w:rsidRPr="00EC20A0">
        <w:t>is</w:t>
      </w:r>
      <w:r w:rsidRPr="00EC20A0">
        <w:rPr>
          <w:spacing w:val="-4"/>
        </w:rPr>
        <w:t xml:space="preserve"> </w:t>
      </w:r>
      <w:r w:rsidRPr="00EC20A0">
        <w:t>significant,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generally</w:t>
      </w:r>
      <w:r w:rsidRPr="00EC20A0">
        <w:rPr>
          <w:spacing w:val="-4"/>
        </w:rPr>
        <w:t xml:space="preserve"> </w:t>
      </w:r>
      <w:r w:rsidRPr="00EC20A0">
        <w:t>should</w:t>
      </w:r>
      <w:r w:rsidRPr="00EC20A0">
        <w:rPr>
          <w:spacing w:val="-4"/>
        </w:rPr>
        <w:t xml:space="preserve"> </w:t>
      </w:r>
      <w:r w:rsidRPr="00EC20A0">
        <w:t>prepare</w:t>
      </w:r>
      <w:r w:rsidRPr="00EC20A0">
        <w:rPr>
          <w:spacing w:val="-4"/>
        </w:rPr>
        <w:t xml:space="preserve"> </w:t>
      </w:r>
      <w:r w:rsidRPr="00EC20A0">
        <w:t>separate audit procedures for this lin</w:t>
      </w:r>
      <w:r w:rsidRPr="00EC20A0">
        <w:t>e item. In addition, for efficiency, the auditor may coordinate tests of intragovernmental activity and balances with tests of nonfederal activity and balances.</w:t>
      </w:r>
    </w:p>
    <w:p w14:paraId="24D61678" w14:textId="77777777" w:rsidR="00245300" w:rsidRPr="00EC20A0" w:rsidRDefault="00245300">
      <w:pPr>
        <w:sectPr w:rsidR="00245300" w:rsidRPr="00EC20A0">
          <w:pgSz w:w="12240" w:h="15840"/>
          <w:pgMar w:top="1340" w:right="1100" w:bottom="940" w:left="1240" w:header="721" w:footer="757" w:gutter="0"/>
          <w:cols w:space="720"/>
        </w:sectPr>
      </w:pPr>
    </w:p>
    <w:p w14:paraId="24D61679" w14:textId="77777777" w:rsidR="00245300" w:rsidRPr="00EC20A0" w:rsidRDefault="00F17249">
      <w:pPr>
        <w:pStyle w:val="Heading3"/>
        <w:ind w:left="200" w:right="345"/>
        <w:rPr>
          <w:u w:val="none"/>
        </w:rPr>
      </w:pPr>
      <w:bookmarkStart w:id="288" w:name="902_A_–_Example_Audit_Procedures_for_Int"/>
      <w:bookmarkStart w:id="289" w:name="_bookmark164"/>
      <w:bookmarkEnd w:id="288"/>
      <w:bookmarkEnd w:id="289"/>
      <w:r w:rsidRPr="00EC20A0">
        <w:t>902</w:t>
      </w:r>
      <w:r w:rsidRPr="00EC20A0">
        <w:rPr>
          <w:spacing w:val="-18"/>
        </w:rPr>
        <w:t xml:space="preserve"> </w:t>
      </w:r>
      <w:r w:rsidRPr="00EC20A0">
        <w:t>A</w:t>
      </w:r>
      <w:r w:rsidRPr="00EC20A0">
        <w:rPr>
          <w:spacing w:val="-18"/>
        </w:rPr>
        <w:t xml:space="preserve"> </w:t>
      </w:r>
      <w:r w:rsidRPr="00EC20A0">
        <w:t>–</w:t>
      </w:r>
      <w:r w:rsidRPr="00EC20A0">
        <w:rPr>
          <w:spacing w:val="-5"/>
        </w:rPr>
        <w:t xml:space="preserve"> </w:t>
      </w:r>
      <w:r w:rsidRPr="00EC20A0">
        <w:t>Example</w:t>
      </w:r>
      <w:r w:rsidRPr="00EC20A0">
        <w:rPr>
          <w:spacing w:val="-18"/>
        </w:rPr>
        <w:t xml:space="preserve"> </w:t>
      </w:r>
      <w:r w:rsidRPr="00EC20A0">
        <w:t>Audit</w:t>
      </w:r>
      <w:r w:rsidRPr="00EC20A0">
        <w:rPr>
          <w:spacing w:val="-6"/>
        </w:rPr>
        <w:t xml:space="preserve"> </w:t>
      </w:r>
      <w:r w:rsidRPr="00EC20A0">
        <w:t>Procedures</w:t>
      </w:r>
      <w:r w:rsidRPr="00EC20A0">
        <w:rPr>
          <w:spacing w:val="-6"/>
        </w:rPr>
        <w:t xml:space="preserve"> </w:t>
      </w:r>
      <w:r w:rsidRPr="00EC20A0">
        <w:t>for</w:t>
      </w:r>
      <w:r w:rsidRPr="00EC20A0">
        <w:rPr>
          <w:spacing w:val="-6"/>
        </w:rPr>
        <w:t xml:space="preserve"> </w:t>
      </w:r>
      <w:r w:rsidRPr="00EC20A0">
        <w:t>Intragovernmental</w:t>
      </w:r>
      <w:r w:rsidRPr="00EC20A0">
        <w:rPr>
          <w:u w:val="none"/>
        </w:rPr>
        <w:t xml:space="preserve"> </w:t>
      </w:r>
      <w:r w:rsidRPr="00EC20A0">
        <w:t>Activity and Balances</w:t>
      </w:r>
    </w:p>
    <w:p w14:paraId="24D6167A" w14:textId="77777777" w:rsidR="00245300" w:rsidRPr="00EC20A0" w:rsidRDefault="00F17249">
      <w:pPr>
        <w:pStyle w:val="BodyText"/>
        <w:spacing w:before="240"/>
        <w:ind w:left="200"/>
      </w:pPr>
      <w:r w:rsidRPr="00EC20A0">
        <w:t>Note:</w:t>
      </w:r>
      <w:r w:rsidRPr="00EC20A0">
        <w:rPr>
          <w:spacing w:val="-8"/>
        </w:rPr>
        <w:t xml:space="preserve"> </w:t>
      </w:r>
      <w:r w:rsidRPr="00EC20A0">
        <w:t>See</w:t>
      </w:r>
      <w:r w:rsidRPr="00EC20A0">
        <w:rPr>
          <w:spacing w:val="-7"/>
        </w:rPr>
        <w:t xml:space="preserve"> </w:t>
      </w:r>
      <w:r w:rsidRPr="00EC20A0">
        <w:t>FAM</w:t>
      </w:r>
      <w:r w:rsidRPr="00EC20A0">
        <w:rPr>
          <w:spacing w:val="-8"/>
        </w:rPr>
        <w:t xml:space="preserve"> </w:t>
      </w:r>
      <w:r w:rsidRPr="00EC20A0">
        <w:t>902.02</w:t>
      </w:r>
      <w:r w:rsidRPr="00EC20A0">
        <w:rPr>
          <w:spacing w:val="-7"/>
        </w:rPr>
        <w:t xml:space="preserve"> </w:t>
      </w:r>
      <w:r w:rsidRPr="00EC20A0">
        <w:t>for</w:t>
      </w:r>
      <w:r w:rsidRPr="00EC20A0">
        <w:rPr>
          <w:spacing w:val="-7"/>
        </w:rPr>
        <w:t xml:space="preserve"> </w:t>
      </w:r>
      <w:r w:rsidRPr="00EC20A0">
        <w:t>definitions</w:t>
      </w:r>
      <w:r w:rsidRPr="00EC20A0">
        <w:rPr>
          <w:spacing w:val="-8"/>
        </w:rPr>
        <w:t xml:space="preserve"> </w:t>
      </w:r>
      <w:r w:rsidRPr="00EC20A0">
        <w:t>of</w:t>
      </w:r>
      <w:r w:rsidRPr="00EC20A0">
        <w:rPr>
          <w:spacing w:val="-7"/>
        </w:rPr>
        <w:t xml:space="preserve"> </w:t>
      </w:r>
      <w:r w:rsidRPr="00EC20A0">
        <w:t>intragovernmental</w:t>
      </w:r>
      <w:r w:rsidRPr="00EC20A0">
        <w:rPr>
          <w:spacing w:val="-7"/>
        </w:rPr>
        <w:t xml:space="preserve"> </w:t>
      </w:r>
      <w:r w:rsidRPr="00EC20A0">
        <w:rPr>
          <w:spacing w:val="-2"/>
        </w:rPr>
        <w:t>terms.</w:t>
      </w:r>
    </w:p>
    <w:p w14:paraId="24D6167B" w14:textId="77777777" w:rsidR="00245300" w:rsidRPr="00EC20A0" w:rsidRDefault="00245300">
      <w:pPr>
        <w:pStyle w:val="BodyText"/>
        <w:spacing w:before="37"/>
        <w:rPr>
          <w:sz w:val="20"/>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67F" w14:textId="77777777">
        <w:trPr>
          <w:trHeight w:val="625"/>
        </w:trPr>
        <w:tc>
          <w:tcPr>
            <w:tcW w:w="6696" w:type="dxa"/>
            <w:tcBorders>
              <w:right w:val="single" w:sz="4" w:space="0" w:color="000000"/>
            </w:tcBorders>
          </w:tcPr>
          <w:p w14:paraId="24D6167C"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67D"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67E"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688" w14:textId="77777777">
        <w:trPr>
          <w:trHeight w:val="3943"/>
        </w:trPr>
        <w:tc>
          <w:tcPr>
            <w:tcW w:w="6696" w:type="dxa"/>
            <w:tcBorders>
              <w:bottom w:val="nil"/>
              <w:right w:val="single" w:sz="4" w:space="0" w:color="000000"/>
            </w:tcBorders>
          </w:tcPr>
          <w:p w14:paraId="24D61680" w14:textId="77777777" w:rsidR="00245300" w:rsidRPr="00EC20A0" w:rsidRDefault="00F17249">
            <w:pPr>
              <w:pStyle w:val="TableParagraph"/>
              <w:spacing w:before="121"/>
              <w:ind w:left="92"/>
              <w:rPr>
                <w:b/>
              </w:rPr>
            </w:pPr>
            <w:r w:rsidRPr="00EC20A0">
              <w:rPr>
                <w:b/>
                <w:u w:val="single"/>
              </w:rPr>
              <w:t>I.</w:t>
            </w:r>
            <w:r w:rsidRPr="00EC20A0">
              <w:rPr>
                <w:b/>
                <w:spacing w:val="-2"/>
                <w:u w:val="single"/>
              </w:rPr>
              <w:t xml:space="preserve"> PLANNING</w:t>
            </w:r>
          </w:p>
          <w:p w14:paraId="24D61681" w14:textId="77777777" w:rsidR="00245300" w:rsidRPr="00EC20A0" w:rsidRDefault="00F17249">
            <w:pPr>
              <w:pStyle w:val="TableParagraph"/>
              <w:spacing w:before="179"/>
              <w:ind w:left="92" w:right="143"/>
              <w:jc w:val="both"/>
            </w:pPr>
            <w:r w:rsidRPr="00EC20A0">
              <w:t>Obtain</w:t>
            </w:r>
            <w:r w:rsidRPr="00EC20A0">
              <w:rPr>
                <w:spacing w:val="-1"/>
              </w:rPr>
              <w:t xml:space="preserve"> </w:t>
            </w:r>
            <w:r w:rsidRPr="00EC20A0">
              <w:t>an</w:t>
            </w:r>
            <w:r w:rsidRPr="00EC20A0">
              <w:rPr>
                <w:spacing w:val="-1"/>
              </w:rPr>
              <w:t xml:space="preserve"> </w:t>
            </w:r>
            <w:r w:rsidRPr="00EC20A0">
              <w:t>understanding</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entity</w:t>
            </w:r>
            <w:r w:rsidRPr="00EC20A0">
              <w:rPr>
                <w:spacing w:val="-1"/>
              </w:rPr>
              <w:t xml:space="preserve"> </w:t>
            </w:r>
            <w:r w:rsidRPr="00EC20A0">
              <w:t>and</w:t>
            </w:r>
            <w:r w:rsidRPr="00EC20A0">
              <w:rPr>
                <w:spacing w:val="-1"/>
              </w:rPr>
              <w:t xml:space="preserve"> </w:t>
            </w:r>
            <w:r w:rsidRPr="00EC20A0">
              <w:t>its</w:t>
            </w:r>
            <w:r w:rsidRPr="00EC20A0">
              <w:rPr>
                <w:spacing w:val="-1"/>
              </w:rPr>
              <w:t xml:space="preserve"> </w:t>
            </w:r>
            <w:r w:rsidRPr="00EC20A0">
              <w:t>operations,</w:t>
            </w:r>
            <w:r w:rsidRPr="00EC20A0">
              <w:rPr>
                <w:spacing w:val="-1"/>
              </w:rPr>
              <w:t xml:space="preserve"> </w:t>
            </w:r>
            <w:r w:rsidRPr="00EC20A0">
              <w:t>including its</w:t>
            </w:r>
            <w:r w:rsidRPr="00EC20A0">
              <w:rPr>
                <w:spacing w:val="-5"/>
              </w:rPr>
              <w:t xml:space="preserve"> </w:t>
            </w:r>
            <w:r w:rsidRPr="00EC20A0">
              <w:t>internal</w:t>
            </w:r>
            <w:r w:rsidRPr="00EC20A0">
              <w:rPr>
                <w:spacing w:val="-6"/>
              </w:rPr>
              <w:t xml:space="preserve"> </w:t>
            </w:r>
            <w:r w:rsidRPr="00EC20A0">
              <w:t>control,</w:t>
            </w:r>
            <w:r w:rsidRPr="00EC20A0">
              <w:rPr>
                <w:spacing w:val="-5"/>
              </w:rPr>
              <w:t xml:space="preserve"> </w:t>
            </w:r>
            <w:r w:rsidRPr="00EC20A0">
              <w:t>that</w:t>
            </w:r>
            <w:r w:rsidRPr="00EC20A0">
              <w:rPr>
                <w:spacing w:val="-5"/>
              </w:rPr>
              <w:t xml:space="preserve"> </w:t>
            </w:r>
            <w:r w:rsidRPr="00EC20A0">
              <w:t>are</w:t>
            </w:r>
            <w:r w:rsidRPr="00EC20A0">
              <w:rPr>
                <w:spacing w:val="-5"/>
              </w:rPr>
              <w:t xml:space="preserve"> </w:t>
            </w:r>
            <w:r w:rsidRPr="00EC20A0">
              <w:t>significant</w:t>
            </w:r>
            <w:r w:rsidRPr="00EC20A0">
              <w:rPr>
                <w:spacing w:val="-5"/>
              </w:rPr>
              <w:t xml:space="preserve"> </w:t>
            </w:r>
            <w:r w:rsidRPr="00EC20A0">
              <w:t>to</w:t>
            </w:r>
            <w:r w:rsidRPr="00EC20A0">
              <w:rPr>
                <w:spacing w:val="-5"/>
              </w:rPr>
              <w:t xml:space="preserve"> </w:t>
            </w:r>
            <w:r w:rsidRPr="00EC20A0">
              <w:t>intragovernmental</w:t>
            </w:r>
            <w:r w:rsidRPr="00EC20A0">
              <w:rPr>
                <w:spacing w:val="-5"/>
              </w:rPr>
              <w:t xml:space="preserve"> </w:t>
            </w:r>
            <w:r w:rsidRPr="00EC20A0">
              <w:t>activity and balances (FAM 220).</w:t>
            </w:r>
          </w:p>
          <w:p w14:paraId="24D61682" w14:textId="77777777" w:rsidR="00245300" w:rsidRPr="00EC20A0" w:rsidRDefault="00F17249">
            <w:pPr>
              <w:pStyle w:val="TableParagraph"/>
              <w:numPr>
                <w:ilvl w:val="0"/>
                <w:numId w:val="117"/>
              </w:numPr>
              <w:tabs>
                <w:tab w:val="left" w:pos="810"/>
              </w:tabs>
              <w:spacing w:before="121"/>
              <w:ind w:left="810" w:hanging="502"/>
              <w:jc w:val="both"/>
            </w:pPr>
            <w:r w:rsidRPr="00EC20A0">
              <w:t>Inquire</w:t>
            </w:r>
            <w:r w:rsidRPr="00EC20A0">
              <w:rPr>
                <w:spacing w:val="-7"/>
              </w:rPr>
              <w:t xml:space="preserve"> </w:t>
            </w:r>
            <w:r w:rsidRPr="00EC20A0">
              <w:t>of</w:t>
            </w:r>
            <w:r w:rsidRPr="00EC20A0">
              <w:rPr>
                <w:spacing w:val="-6"/>
              </w:rPr>
              <w:t xml:space="preserve"> </w:t>
            </w:r>
            <w:r w:rsidRPr="00EC20A0">
              <w:t>entity</w:t>
            </w:r>
            <w:r w:rsidRPr="00EC20A0">
              <w:rPr>
                <w:spacing w:val="-7"/>
              </w:rPr>
              <w:t xml:space="preserve"> </w:t>
            </w:r>
            <w:r w:rsidRPr="00EC20A0">
              <w:t>management</w:t>
            </w:r>
            <w:r w:rsidRPr="00EC20A0">
              <w:rPr>
                <w:spacing w:val="-6"/>
              </w:rPr>
              <w:t xml:space="preserve"> </w:t>
            </w:r>
            <w:r w:rsidRPr="00EC20A0">
              <w:t>about</w:t>
            </w:r>
            <w:r w:rsidRPr="00EC20A0">
              <w:rPr>
                <w:spacing w:val="-6"/>
              </w:rPr>
              <w:t xml:space="preserve"> </w:t>
            </w:r>
            <w:r w:rsidRPr="00EC20A0">
              <w:t>the</w:t>
            </w:r>
            <w:r w:rsidRPr="00EC20A0">
              <w:rPr>
                <w:spacing w:val="-7"/>
              </w:rPr>
              <w:t xml:space="preserve"> </w:t>
            </w:r>
            <w:r w:rsidRPr="00EC20A0">
              <w:rPr>
                <w:spacing w:val="-2"/>
              </w:rPr>
              <w:t>following:</w:t>
            </w:r>
          </w:p>
          <w:p w14:paraId="24D61683" w14:textId="77777777" w:rsidR="00245300" w:rsidRPr="00EC20A0" w:rsidRDefault="00F17249">
            <w:pPr>
              <w:pStyle w:val="TableParagraph"/>
              <w:numPr>
                <w:ilvl w:val="1"/>
                <w:numId w:val="117"/>
              </w:numPr>
              <w:tabs>
                <w:tab w:val="left" w:pos="1242"/>
                <w:tab w:val="left" w:pos="1244"/>
              </w:tabs>
              <w:spacing w:before="119"/>
              <w:ind w:right="468"/>
              <w:jc w:val="both"/>
            </w:pPr>
            <w:r w:rsidRPr="00EC20A0">
              <w:t>The</w:t>
            </w:r>
            <w:r w:rsidRPr="00EC20A0">
              <w:rPr>
                <w:spacing w:val="-4"/>
              </w:rPr>
              <w:t xml:space="preserve"> </w:t>
            </w:r>
            <w:r w:rsidRPr="00EC20A0">
              <w:t>relationship</w:t>
            </w:r>
            <w:r w:rsidRPr="00EC20A0">
              <w:rPr>
                <w:spacing w:val="-4"/>
              </w:rPr>
              <w:t xml:space="preserve"> </w:t>
            </w:r>
            <w:r w:rsidRPr="00EC20A0">
              <w:t>of</w:t>
            </w:r>
            <w:r w:rsidRPr="00EC20A0">
              <w:rPr>
                <w:spacing w:val="-4"/>
              </w:rPr>
              <w:t xml:space="preserve"> </w:t>
            </w:r>
            <w:r w:rsidRPr="00EC20A0">
              <w:t>each</w:t>
            </w:r>
            <w:r w:rsidRPr="00EC20A0">
              <w:rPr>
                <w:spacing w:val="-5"/>
              </w:rPr>
              <w:t xml:space="preserve"> </w:t>
            </w:r>
            <w:r w:rsidRPr="00EC20A0">
              <w:t>unit</w:t>
            </w:r>
            <w:r w:rsidRPr="00EC20A0">
              <w:rPr>
                <w:spacing w:val="-4"/>
              </w:rPr>
              <w:t xml:space="preserve"> </w:t>
            </w:r>
            <w:r w:rsidRPr="00EC20A0">
              <w:t>within</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to</w:t>
            </w:r>
            <w:r w:rsidRPr="00EC20A0">
              <w:rPr>
                <w:spacing w:val="-4"/>
              </w:rPr>
              <w:t xml:space="preserve"> </w:t>
            </w:r>
            <w:r w:rsidRPr="00EC20A0">
              <w:t>the total entity and of the entity to other entities.</w:t>
            </w:r>
          </w:p>
          <w:p w14:paraId="24D61684" w14:textId="77777777" w:rsidR="00245300" w:rsidRPr="00EC20A0" w:rsidRDefault="00F17249">
            <w:pPr>
              <w:pStyle w:val="TableParagraph"/>
              <w:numPr>
                <w:ilvl w:val="1"/>
                <w:numId w:val="117"/>
              </w:numPr>
              <w:tabs>
                <w:tab w:val="left" w:pos="1243"/>
                <w:tab w:val="left" w:pos="1245"/>
              </w:tabs>
              <w:spacing w:before="120"/>
              <w:ind w:left="1245" w:right="810"/>
              <w:jc w:val="both"/>
            </w:pPr>
            <w:r w:rsidRPr="00EC20A0">
              <w:t>Management’s</w:t>
            </w:r>
            <w:r w:rsidRPr="00EC20A0">
              <w:rPr>
                <w:spacing w:val="-8"/>
              </w:rPr>
              <w:t xml:space="preserve"> </w:t>
            </w:r>
            <w:r w:rsidRPr="00EC20A0">
              <w:t>attitude</w:t>
            </w:r>
            <w:r w:rsidRPr="00EC20A0">
              <w:rPr>
                <w:spacing w:val="-8"/>
              </w:rPr>
              <w:t xml:space="preserve"> </w:t>
            </w:r>
            <w:r w:rsidRPr="00EC20A0">
              <w:t>and</w:t>
            </w:r>
            <w:r w:rsidRPr="00EC20A0">
              <w:rPr>
                <w:spacing w:val="-8"/>
              </w:rPr>
              <w:t xml:space="preserve"> </w:t>
            </w:r>
            <w:r w:rsidRPr="00EC20A0">
              <w:t>awareness</w:t>
            </w:r>
            <w:r w:rsidRPr="00EC20A0">
              <w:rPr>
                <w:spacing w:val="-7"/>
              </w:rPr>
              <w:t xml:space="preserve"> </w:t>
            </w:r>
            <w:r w:rsidRPr="00EC20A0">
              <w:t>of</w:t>
            </w:r>
            <w:r w:rsidRPr="00EC20A0">
              <w:rPr>
                <w:spacing w:val="-8"/>
              </w:rPr>
              <w:t xml:space="preserve"> </w:t>
            </w:r>
            <w:r w:rsidRPr="00EC20A0">
              <w:t>entity operations and internal controls with respect to intragovernmental accounting and reporting.</w:t>
            </w:r>
          </w:p>
          <w:p w14:paraId="24D61685" w14:textId="77777777" w:rsidR="00245300" w:rsidRPr="00EC20A0" w:rsidRDefault="00F17249">
            <w:pPr>
              <w:pStyle w:val="TableParagraph"/>
              <w:numPr>
                <w:ilvl w:val="1"/>
                <w:numId w:val="117"/>
              </w:numPr>
              <w:tabs>
                <w:tab w:val="left" w:pos="1243"/>
                <w:tab w:val="left" w:pos="1245"/>
              </w:tabs>
              <w:spacing w:before="120"/>
              <w:ind w:left="1245" w:right="1215" w:hanging="396"/>
              <w:jc w:val="both"/>
            </w:pPr>
            <w:r w:rsidRPr="00EC20A0">
              <w:t>Three</w:t>
            </w:r>
            <w:r w:rsidRPr="00EC20A0">
              <w:rPr>
                <w:spacing w:val="-9"/>
              </w:rPr>
              <w:t xml:space="preserve"> </w:t>
            </w:r>
            <w:r w:rsidRPr="00EC20A0">
              <w:t>general</w:t>
            </w:r>
            <w:r w:rsidRPr="00EC20A0">
              <w:rPr>
                <w:spacing w:val="-9"/>
              </w:rPr>
              <w:t xml:space="preserve"> </w:t>
            </w:r>
            <w:r w:rsidRPr="00EC20A0">
              <w:t>phases</w:t>
            </w:r>
            <w:r w:rsidRPr="00EC20A0">
              <w:rPr>
                <w:spacing w:val="-9"/>
              </w:rPr>
              <w:t xml:space="preserve"> </w:t>
            </w:r>
            <w:r w:rsidRPr="00EC20A0">
              <w:t>of</w:t>
            </w:r>
            <w:r w:rsidRPr="00EC20A0">
              <w:rPr>
                <w:spacing w:val="-10"/>
              </w:rPr>
              <w:t xml:space="preserve"> </w:t>
            </w:r>
            <w:r w:rsidRPr="00EC20A0">
              <w:t>intragovernmental accounting and reporting:</w:t>
            </w:r>
          </w:p>
        </w:tc>
        <w:tc>
          <w:tcPr>
            <w:tcW w:w="1144" w:type="dxa"/>
            <w:vMerge w:val="restart"/>
            <w:tcBorders>
              <w:left w:val="single" w:sz="4" w:space="0" w:color="000000"/>
              <w:bottom w:val="single" w:sz="4" w:space="0" w:color="000000"/>
              <w:right w:val="single" w:sz="4" w:space="0" w:color="000000"/>
            </w:tcBorders>
          </w:tcPr>
          <w:p w14:paraId="24D61686" w14:textId="77777777" w:rsidR="00245300" w:rsidRPr="00EC20A0" w:rsidRDefault="00245300">
            <w:pPr>
              <w:pStyle w:val="TableParagraph"/>
            </w:pPr>
          </w:p>
        </w:tc>
        <w:tc>
          <w:tcPr>
            <w:tcW w:w="1229" w:type="dxa"/>
            <w:vMerge w:val="restart"/>
            <w:tcBorders>
              <w:left w:val="single" w:sz="4" w:space="0" w:color="000000"/>
              <w:bottom w:val="single" w:sz="4" w:space="0" w:color="000000"/>
            </w:tcBorders>
          </w:tcPr>
          <w:p w14:paraId="24D61687" w14:textId="77777777" w:rsidR="00245300" w:rsidRPr="00EC20A0" w:rsidRDefault="00245300">
            <w:pPr>
              <w:pStyle w:val="TableParagraph"/>
            </w:pPr>
          </w:p>
        </w:tc>
      </w:tr>
      <w:tr w:rsidR="00245300" w:rsidRPr="00EC20A0" w14:paraId="24D61690" w14:textId="77777777">
        <w:trPr>
          <w:trHeight w:val="6642"/>
        </w:trPr>
        <w:tc>
          <w:tcPr>
            <w:tcW w:w="6696" w:type="dxa"/>
            <w:tcBorders>
              <w:top w:val="nil"/>
              <w:bottom w:val="single" w:sz="4" w:space="0" w:color="000000"/>
              <w:right w:val="single" w:sz="4" w:space="0" w:color="000000"/>
            </w:tcBorders>
          </w:tcPr>
          <w:p w14:paraId="24D61689" w14:textId="77777777" w:rsidR="00245300" w:rsidRPr="00EC20A0" w:rsidRDefault="00F17249">
            <w:pPr>
              <w:pStyle w:val="TableParagraph"/>
              <w:numPr>
                <w:ilvl w:val="0"/>
                <w:numId w:val="116"/>
              </w:numPr>
              <w:tabs>
                <w:tab w:val="left" w:pos="1653"/>
              </w:tabs>
              <w:spacing w:before="120"/>
              <w:ind w:right="575"/>
            </w:pPr>
            <w:r w:rsidRPr="00EC20A0">
              <w:rPr>
                <w:b/>
                <w:i/>
              </w:rPr>
              <w:t>Identifying</w:t>
            </w:r>
            <w:r w:rsidRPr="00EC20A0">
              <w:rPr>
                <w:b/>
                <w:i/>
                <w:spacing w:val="-13"/>
              </w:rPr>
              <w:t xml:space="preserve"> </w:t>
            </w:r>
            <w:r w:rsidRPr="00EC20A0">
              <w:t>and</w:t>
            </w:r>
            <w:r w:rsidRPr="00EC20A0">
              <w:rPr>
                <w:spacing w:val="-13"/>
              </w:rPr>
              <w:t xml:space="preserve"> </w:t>
            </w:r>
            <w:r w:rsidRPr="00EC20A0">
              <w:rPr>
                <w:b/>
                <w:i/>
              </w:rPr>
              <w:t>recording</w:t>
            </w:r>
            <w:r w:rsidRPr="00EC20A0">
              <w:rPr>
                <w:b/>
                <w:i/>
                <w:spacing w:val="-13"/>
              </w:rPr>
              <w:t xml:space="preserve"> </w:t>
            </w:r>
            <w:r w:rsidRPr="00EC20A0">
              <w:t>intragovernmental activity and balances;</w:t>
            </w:r>
          </w:p>
          <w:p w14:paraId="24D6168A" w14:textId="77777777" w:rsidR="00245300" w:rsidRPr="00EC20A0" w:rsidRDefault="00F17249">
            <w:pPr>
              <w:pStyle w:val="TableParagraph"/>
              <w:numPr>
                <w:ilvl w:val="0"/>
                <w:numId w:val="116"/>
              </w:numPr>
              <w:tabs>
                <w:tab w:val="left" w:pos="1653"/>
              </w:tabs>
              <w:spacing w:before="61"/>
              <w:ind w:right="158" w:hanging="424"/>
            </w:pPr>
            <w:r w:rsidRPr="00EC20A0">
              <w:rPr>
                <w:b/>
                <w:i/>
              </w:rPr>
              <w:t xml:space="preserve">Reconciling </w:t>
            </w:r>
            <w:r w:rsidRPr="00EC20A0">
              <w:t xml:space="preserve">the entity’s records of intragovernmental activity and balances to those reported by trading partners and </w:t>
            </w:r>
            <w:r w:rsidRPr="00EC20A0">
              <w:rPr>
                <w:b/>
                <w:i/>
              </w:rPr>
              <w:t xml:space="preserve">resolving </w:t>
            </w:r>
            <w:r w:rsidRPr="00EC20A0">
              <w:t>intragovernmental differences (i.e., make adjustments so that differences no longer exist) after appropriately researching the difference, and/or</w:t>
            </w:r>
            <w:r w:rsidRPr="00EC20A0">
              <w:rPr>
                <w:spacing w:val="-5"/>
              </w:rPr>
              <w:t xml:space="preserve"> </w:t>
            </w:r>
            <w:r w:rsidRPr="00EC20A0">
              <w:t>completing</w:t>
            </w:r>
            <w:r w:rsidRPr="00EC20A0">
              <w:rPr>
                <w:spacing w:val="-5"/>
              </w:rPr>
              <w:t xml:space="preserve"> </w:t>
            </w:r>
            <w:r w:rsidRPr="00EC20A0">
              <w:t>corrective</w:t>
            </w:r>
            <w:r w:rsidRPr="00EC20A0">
              <w:rPr>
                <w:spacing w:val="-5"/>
              </w:rPr>
              <w:t xml:space="preserve"> </w:t>
            </w:r>
            <w:r w:rsidRPr="00EC20A0">
              <w:t>actions</w:t>
            </w:r>
            <w:r w:rsidRPr="00EC20A0">
              <w:rPr>
                <w:spacing w:val="-5"/>
              </w:rPr>
              <w:t xml:space="preserve"> </w:t>
            </w:r>
            <w:r w:rsidRPr="00EC20A0">
              <w:t>that</w:t>
            </w:r>
            <w:r w:rsidRPr="00EC20A0">
              <w:rPr>
                <w:spacing w:val="-5"/>
              </w:rPr>
              <w:t xml:space="preserve"> </w:t>
            </w:r>
            <w:r w:rsidRPr="00EC20A0">
              <w:t>fixed</w:t>
            </w:r>
            <w:r w:rsidRPr="00EC20A0">
              <w:rPr>
                <w:spacing w:val="-5"/>
              </w:rPr>
              <w:t xml:space="preserve"> </w:t>
            </w:r>
            <w:r w:rsidRPr="00EC20A0">
              <w:t>the cause</w:t>
            </w:r>
            <w:r w:rsidRPr="00EC20A0">
              <w:rPr>
                <w:spacing w:val="-5"/>
              </w:rPr>
              <w:t xml:space="preserve"> </w:t>
            </w:r>
            <w:r w:rsidRPr="00EC20A0">
              <w:t>of</w:t>
            </w:r>
            <w:r w:rsidRPr="00EC20A0">
              <w:rPr>
                <w:spacing w:val="-5"/>
              </w:rPr>
              <w:t xml:space="preserve"> </w:t>
            </w:r>
            <w:r w:rsidRPr="00EC20A0">
              <w:t>the</w:t>
            </w:r>
            <w:r w:rsidRPr="00EC20A0">
              <w:rPr>
                <w:spacing w:val="-6"/>
              </w:rPr>
              <w:t xml:space="preserve"> </w:t>
            </w:r>
            <w:r w:rsidRPr="00EC20A0">
              <w:t>difference,</w:t>
            </w:r>
            <w:r w:rsidRPr="00EC20A0">
              <w:rPr>
                <w:spacing w:val="-6"/>
              </w:rPr>
              <w:t xml:space="preserve"> </w:t>
            </w:r>
            <w:r w:rsidRPr="00EC20A0">
              <w:t>or</w:t>
            </w:r>
            <w:r w:rsidRPr="00EC20A0">
              <w:rPr>
                <w:spacing w:val="-5"/>
              </w:rPr>
              <w:t xml:space="preserve"> </w:t>
            </w:r>
            <w:r w:rsidRPr="00EC20A0">
              <w:t>after</w:t>
            </w:r>
            <w:r w:rsidRPr="00EC20A0">
              <w:rPr>
                <w:spacing w:val="-5"/>
              </w:rPr>
              <w:t xml:space="preserve"> </w:t>
            </w:r>
            <w:r w:rsidRPr="00EC20A0">
              <w:t>Treasury</w:t>
            </w:r>
            <w:r w:rsidRPr="00EC20A0">
              <w:rPr>
                <w:spacing w:val="-5"/>
              </w:rPr>
              <w:t xml:space="preserve"> </w:t>
            </w:r>
            <w:r w:rsidRPr="00EC20A0">
              <w:t>issued</w:t>
            </w:r>
            <w:r w:rsidRPr="00EC20A0">
              <w:rPr>
                <w:spacing w:val="-7"/>
              </w:rPr>
              <w:t xml:space="preserve"> </w:t>
            </w:r>
            <w:r w:rsidRPr="00EC20A0">
              <w:t xml:space="preserve">a decision as part of its dispute resolution process </w:t>
            </w:r>
            <w:r w:rsidRPr="00EC20A0">
              <w:rPr>
                <w:spacing w:val="-4"/>
              </w:rPr>
              <w:t>by:</w:t>
            </w:r>
          </w:p>
          <w:p w14:paraId="24D6168B" w14:textId="77777777" w:rsidR="00245300" w:rsidRPr="00EC20A0" w:rsidRDefault="00F17249">
            <w:pPr>
              <w:pStyle w:val="TableParagraph"/>
              <w:numPr>
                <w:ilvl w:val="1"/>
                <w:numId w:val="116"/>
              </w:numPr>
              <w:tabs>
                <w:tab w:val="left" w:pos="2193"/>
              </w:tabs>
              <w:spacing w:before="119"/>
              <w:ind w:right="609"/>
            </w:pPr>
            <w:r w:rsidRPr="00EC20A0">
              <w:t>coordinating with trading partners to reconcile</w:t>
            </w:r>
            <w:r w:rsidRPr="00EC20A0">
              <w:rPr>
                <w:spacing w:val="-13"/>
              </w:rPr>
              <w:t xml:space="preserve"> </w:t>
            </w:r>
            <w:r w:rsidRPr="00EC20A0">
              <w:t>intragovernmental</w:t>
            </w:r>
            <w:r w:rsidRPr="00EC20A0">
              <w:rPr>
                <w:spacing w:val="-13"/>
              </w:rPr>
              <w:t xml:space="preserve"> </w:t>
            </w:r>
            <w:r w:rsidRPr="00EC20A0">
              <w:t>activity</w:t>
            </w:r>
            <w:r w:rsidRPr="00EC20A0">
              <w:rPr>
                <w:spacing w:val="-13"/>
              </w:rPr>
              <w:t xml:space="preserve"> </w:t>
            </w:r>
            <w:r w:rsidRPr="00EC20A0">
              <w:t>and balances; and</w:t>
            </w:r>
          </w:p>
          <w:p w14:paraId="24D6168C" w14:textId="77777777" w:rsidR="00245300" w:rsidRPr="00EC20A0" w:rsidRDefault="00F17249">
            <w:pPr>
              <w:pStyle w:val="TableParagraph"/>
              <w:numPr>
                <w:ilvl w:val="1"/>
                <w:numId w:val="116"/>
              </w:numPr>
              <w:tabs>
                <w:tab w:val="left" w:pos="2193"/>
              </w:tabs>
              <w:spacing w:before="119"/>
              <w:ind w:right="157"/>
            </w:pPr>
            <w:r w:rsidRPr="00EC20A0">
              <w:t xml:space="preserve">recording an adjustment in the entity's accounting records </w:t>
            </w:r>
            <w:r w:rsidRPr="00EC20A0">
              <w:rPr>
                <w:b/>
              </w:rPr>
              <w:t xml:space="preserve">OR </w:t>
            </w:r>
            <w:r w:rsidRPr="00EC20A0">
              <w:t>verifying that the trading</w:t>
            </w:r>
            <w:r w:rsidRPr="00EC20A0">
              <w:rPr>
                <w:spacing w:val="-7"/>
              </w:rPr>
              <w:t xml:space="preserve"> </w:t>
            </w:r>
            <w:r w:rsidRPr="00EC20A0">
              <w:t>partner</w:t>
            </w:r>
            <w:r w:rsidRPr="00EC20A0">
              <w:rPr>
                <w:spacing w:val="-7"/>
              </w:rPr>
              <w:t xml:space="preserve"> </w:t>
            </w:r>
            <w:r w:rsidRPr="00EC20A0">
              <w:t>recorded</w:t>
            </w:r>
            <w:r w:rsidRPr="00EC20A0">
              <w:rPr>
                <w:spacing w:val="-7"/>
              </w:rPr>
              <w:t xml:space="preserve"> </w:t>
            </w:r>
            <w:r w:rsidRPr="00EC20A0">
              <w:t>an</w:t>
            </w:r>
            <w:r w:rsidRPr="00EC20A0">
              <w:rPr>
                <w:spacing w:val="-7"/>
              </w:rPr>
              <w:t xml:space="preserve"> </w:t>
            </w:r>
            <w:r w:rsidRPr="00EC20A0">
              <w:t>adjustment</w:t>
            </w:r>
            <w:r w:rsidRPr="00EC20A0">
              <w:rPr>
                <w:spacing w:val="-7"/>
              </w:rPr>
              <w:t xml:space="preserve"> </w:t>
            </w:r>
            <w:r w:rsidRPr="00EC20A0">
              <w:t>in</w:t>
            </w:r>
            <w:r w:rsidRPr="00EC20A0">
              <w:rPr>
                <w:spacing w:val="-7"/>
              </w:rPr>
              <w:t xml:space="preserve"> </w:t>
            </w:r>
            <w:r w:rsidRPr="00EC20A0">
              <w:t>its accounting records; and</w:t>
            </w:r>
          </w:p>
          <w:p w14:paraId="24D6168D" w14:textId="77777777" w:rsidR="00245300" w:rsidRPr="00EC20A0" w:rsidRDefault="00F17249">
            <w:pPr>
              <w:pStyle w:val="TableParagraph"/>
              <w:numPr>
                <w:ilvl w:val="0"/>
                <w:numId w:val="116"/>
              </w:numPr>
              <w:tabs>
                <w:tab w:val="left" w:pos="1650"/>
                <w:tab w:val="left" w:pos="1653"/>
              </w:tabs>
              <w:spacing w:before="98" w:line="250" w:lineRule="atLeast"/>
              <w:ind w:right="108" w:hanging="389"/>
            </w:pPr>
            <w:r w:rsidRPr="00EC20A0">
              <w:rPr>
                <w:b/>
                <w:i/>
              </w:rPr>
              <w:t xml:space="preserve">Reporting </w:t>
            </w:r>
            <w:r w:rsidRPr="00EC20A0">
              <w:t>intragovernmental data in the entity financial</w:t>
            </w:r>
            <w:r w:rsidRPr="00EC20A0">
              <w:rPr>
                <w:spacing w:val="-5"/>
              </w:rPr>
              <w:t xml:space="preserve"> </w:t>
            </w:r>
            <w:r w:rsidRPr="00EC20A0">
              <w:t>statements</w:t>
            </w:r>
            <w:r w:rsidRPr="00EC20A0">
              <w:rPr>
                <w:spacing w:val="-3"/>
              </w:rPr>
              <w:t xml:space="preserve"> </w:t>
            </w:r>
            <w:r w:rsidRPr="00EC20A0">
              <w:rPr>
                <w:b/>
              </w:rPr>
              <w:t>AND</w:t>
            </w:r>
            <w:r w:rsidRPr="00EC20A0">
              <w:rPr>
                <w:b/>
                <w:spacing w:val="-5"/>
              </w:rPr>
              <w:t xml:space="preserve"> </w:t>
            </w:r>
            <w:r w:rsidRPr="00EC20A0">
              <w:t>to</w:t>
            </w:r>
            <w:r w:rsidRPr="00EC20A0">
              <w:rPr>
                <w:spacing w:val="-4"/>
              </w:rPr>
              <w:t xml:space="preserve"> </w:t>
            </w:r>
            <w:r w:rsidRPr="00EC20A0">
              <w:t>Treasury</w:t>
            </w:r>
            <w:r w:rsidRPr="00EC20A0">
              <w:rPr>
                <w:spacing w:val="-4"/>
              </w:rPr>
              <w:t xml:space="preserve"> </w:t>
            </w:r>
            <w:r w:rsidRPr="00EC20A0">
              <w:t>for</w:t>
            </w:r>
            <w:r w:rsidRPr="00EC20A0">
              <w:rPr>
                <w:spacing w:val="-4"/>
              </w:rPr>
              <w:t xml:space="preserve"> </w:t>
            </w:r>
            <w:r w:rsidRPr="00EC20A0">
              <w:t>inclusion in the U.S. government’s consolidated financial statement (the entity’s intra-entity and inter-entity intragovernmental</w:t>
            </w:r>
            <w:r w:rsidRPr="00EC20A0">
              <w:rPr>
                <w:spacing w:val="-10"/>
              </w:rPr>
              <w:t xml:space="preserve"> </w:t>
            </w:r>
            <w:r w:rsidRPr="00EC20A0">
              <w:t>amounts</w:t>
            </w:r>
            <w:r w:rsidRPr="00EC20A0">
              <w:rPr>
                <w:spacing w:val="-10"/>
              </w:rPr>
              <w:t xml:space="preserve"> </w:t>
            </w:r>
            <w:r w:rsidRPr="00EC20A0">
              <w:t>are</w:t>
            </w:r>
            <w:r w:rsidRPr="00EC20A0">
              <w:rPr>
                <w:spacing w:val="-10"/>
              </w:rPr>
              <w:t xml:space="preserve"> </w:t>
            </w:r>
            <w:r w:rsidRPr="00EC20A0">
              <w:t>eliminated).</w:t>
            </w:r>
            <w:r w:rsidRPr="00EC20A0">
              <w:rPr>
                <w:spacing w:val="-9"/>
              </w:rPr>
              <w:t xml:space="preserve"> </w:t>
            </w:r>
            <w:r w:rsidRPr="00EC20A0">
              <w:t>(Note:</w:t>
            </w:r>
          </w:p>
        </w:tc>
        <w:tc>
          <w:tcPr>
            <w:tcW w:w="1144" w:type="dxa"/>
            <w:vMerge/>
            <w:tcBorders>
              <w:top w:val="nil"/>
              <w:left w:val="single" w:sz="4" w:space="0" w:color="000000"/>
              <w:bottom w:val="single" w:sz="4" w:space="0" w:color="000000"/>
              <w:right w:val="single" w:sz="4" w:space="0" w:color="000000"/>
            </w:tcBorders>
          </w:tcPr>
          <w:p w14:paraId="24D6168E" w14:textId="77777777" w:rsidR="00245300" w:rsidRPr="00EC20A0" w:rsidRDefault="00245300">
            <w:pPr>
              <w:rPr>
                <w:sz w:val="2"/>
                <w:szCs w:val="2"/>
              </w:rPr>
            </w:pPr>
          </w:p>
        </w:tc>
        <w:tc>
          <w:tcPr>
            <w:tcW w:w="1229" w:type="dxa"/>
            <w:vMerge/>
            <w:tcBorders>
              <w:top w:val="nil"/>
              <w:left w:val="single" w:sz="4" w:space="0" w:color="000000"/>
              <w:bottom w:val="single" w:sz="4" w:space="0" w:color="000000"/>
            </w:tcBorders>
          </w:tcPr>
          <w:p w14:paraId="24D6168F" w14:textId="77777777" w:rsidR="00245300" w:rsidRPr="00EC20A0" w:rsidRDefault="00245300">
            <w:pPr>
              <w:rPr>
                <w:sz w:val="2"/>
                <w:szCs w:val="2"/>
              </w:rPr>
            </w:pPr>
          </w:p>
        </w:tc>
      </w:tr>
    </w:tbl>
    <w:p w14:paraId="24D61691" w14:textId="77777777" w:rsidR="00245300" w:rsidRPr="00EC20A0" w:rsidRDefault="00245300">
      <w:pPr>
        <w:rPr>
          <w:sz w:val="2"/>
          <w:szCs w:val="2"/>
        </w:rPr>
        <w:sectPr w:rsidR="00245300" w:rsidRPr="00EC20A0">
          <w:headerReference w:type="default" r:id="rId147"/>
          <w:footerReference w:type="default" r:id="rId148"/>
          <w:pgSz w:w="12240" w:h="15840"/>
          <w:pgMar w:top="1340" w:right="1100" w:bottom="940" w:left="1240" w:header="721" w:footer="757" w:gutter="0"/>
          <w:pgNumType w:start="1"/>
          <w:cols w:space="720"/>
        </w:sectPr>
      </w:pPr>
    </w:p>
    <w:p w14:paraId="24D61692"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696" w14:textId="77777777">
        <w:trPr>
          <w:trHeight w:val="625"/>
        </w:trPr>
        <w:tc>
          <w:tcPr>
            <w:tcW w:w="6696" w:type="dxa"/>
            <w:tcBorders>
              <w:right w:val="single" w:sz="4" w:space="0" w:color="000000"/>
            </w:tcBorders>
          </w:tcPr>
          <w:p w14:paraId="24D61693"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694"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695"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69B" w14:textId="77777777">
        <w:trPr>
          <w:trHeight w:val="3304"/>
        </w:trPr>
        <w:tc>
          <w:tcPr>
            <w:tcW w:w="6696" w:type="dxa"/>
            <w:tcBorders>
              <w:bottom w:val="single" w:sz="4" w:space="0" w:color="000000"/>
              <w:right w:val="single" w:sz="4" w:space="0" w:color="000000"/>
            </w:tcBorders>
          </w:tcPr>
          <w:p w14:paraId="24D61697" w14:textId="77777777" w:rsidR="00245300" w:rsidRPr="00EC20A0" w:rsidRDefault="00F17249">
            <w:pPr>
              <w:pStyle w:val="TableParagraph"/>
              <w:spacing w:line="209" w:lineRule="exact"/>
              <w:ind w:left="1653"/>
            </w:pPr>
            <w:r w:rsidRPr="00EC20A0">
              <w:t>Reconciliation</w:t>
            </w:r>
            <w:r w:rsidRPr="00EC20A0">
              <w:rPr>
                <w:spacing w:val="-8"/>
              </w:rPr>
              <w:t xml:space="preserve"> </w:t>
            </w:r>
            <w:r w:rsidRPr="00EC20A0">
              <w:t>and</w:t>
            </w:r>
            <w:r w:rsidRPr="00EC20A0">
              <w:rPr>
                <w:spacing w:val="-8"/>
              </w:rPr>
              <w:t xml:space="preserve"> </w:t>
            </w:r>
            <w:r w:rsidRPr="00EC20A0">
              <w:t>resolution</w:t>
            </w:r>
            <w:r w:rsidRPr="00EC20A0">
              <w:rPr>
                <w:spacing w:val="-8"/>
              </w:rPr>
              <w:t xml:space="preserve"> </w:t>
            </w:r>
            <w:r w:rsidRPr="00EC20A0">
              <w:t>should</w:t>
            </w:r>
            <w:r w:rsidRPr="00EC20A0">
              <w:rPr>
                <w:spacing w:val="-9"/>
              </w:rPr>
              <w:t xml:space="preserve"> </w:t>
            </w:r>
            <w:r w:rsidRPr="00EC20A0">
              <w:t>occur</w:t>
            </w:r>
            <w:r w:rsidRPr="00EC20A0">
              <w:rPr>
                <w:spacing w:val="-8"/>
              </w:rPr>
              <w:t xml:space="preserve"> </w:t>
            </w:r>
            <w:r w:rsidRPr="00EC20A0">
              <w:t>prior</w:t>
            </w:r>
            <w:r w:rsidRPr="00EC20A0">
              <w:rPr>
                <w:spacing w:val="-8"/>
              </w:rPr>
              <w:t xml:space="preserve"> </w:t>
            </w:r>
            <w:r w:rsidRPr="00EC20A0">
              <w:rPr>
                <w:spacing w:val="-7"/>
              </w:rPr>
              <w:t>to</w:t>
            </w:r>
          </w:p>
          <w:p w14:paraId="24D61698" w14:textId="77777777" w:rsidR="00245300" w:rsidRPr="00EC20A0" w:rsidRDefault="00F17249">
            <w:pPr>
              <w:pStyle w:val="TableParagraph"/>
              <w:ind w:left="1653" w:right="134"/>
            </w:pPr>
            <w:r w:rsidRPr="00EC20A0">
              <w:t>reporting to Treasury, see ii above. For reporting to Treasury, entities include intragovernmental activity and balances in the automated trial balance submissions sent via the Governmentwide Treasury Account Symbol Adjusted Trial Balance System (GTAS). Office of Management and Budget (OMB) reporting guidance</w:t>
            </w:r>
            <w:hyperlink w:anchor="_bookmark165" w:history="1">
              <w:r w:rsidRPr="00EC20A0">
                <w:rPr>
                  <w:position w:val="7"/>
                  <w:sz w:val="14"/>
                </w:rPr>
                <w:t>15</w:t>
              </w:r>
            </w:hyperlink>
            <w:r w:rsidRPr="00EC20A0">
              <w:rPr>
                <w:spacing w:val="40"/>
                <w:position w:val="7"/>
                <w:sz w:val="14"/>
              </w:rPr>
              <w:t xml:space="preserve"> </w:t>
            </w:r>
            <w:r w:rsidRPr="00EC20A0">
              <w:t>also requires significant entities to include</w:t>
            </w:r>
            <w:r w:rsidRPr="00EC20A0">
              <w:rPr>
                <w:spacing w:val="-6"/>
              </w:rPr>
              <w:t xml:space="preserve"> </w:t>
            </w:r>
            <w:r w:rsidRPr="00EC20A0">
              <w:t>a</w:t>
            </w:r>
            <w:r w:rsidRPr="00EC20A0">
              <w:rPr>
                <w:spacing w:val="-6"/>
              </w:rPr>
              <w:t xml:space="preserve"> </w:t>
            </w:r>
            <w:r w:rsidRPr="00EC20A0">
              <w:t>note</w:t>
            </w:r>
            <w:r w:rsidRPr="00EC20A0">
              <w:rPr>
                <w:spacing w:val="-6"/>
              </w:rPr>
              <w:t xml:space="preserve"> </w:t>
            </w:r>
            <w:r w:rsidRPr="00EC20A0">
              <w:t>in</w:t>
            </w:r>
            <w:r w:rsidRPr="00EC20A0">
              <w:rPr>
                <w:spacing w:val="-6"/>
              </w:rPr>
              <w:t xml:space="preserve"> </w:t>
            </w:r>
            <w:r w:rsidRPr="00EC20A0">
              <w:t>their</w:t>
            </w:r>
            <w:r w:rsidRPr="00EC20A0">
              <w:rPr>
                <w:spacing w:val="-6"/>
              </w:rPr>
              <w:t xml:space="preserve"> </w:t>
            </w:r>
            <w:r w:rsidRPr="00EC20A0">
              <w:t>audited</w:t>
            </w:r>
            <w:r w:rsidRPr="00EC20A0">
              <w:rPr>
                <w:spacing w:val="-6"/>
              </w:rPr>
              <w:t xml:space="preserve"> </w:t>
            </w:r>
            <w:r w:rsidRPr="00EC20A0">
              <w:t>financial</w:t>
            </w:r>
            <w:r w:rsidRPr="00EC20A0">
              <w:rPr>
                <w:spacing w:val="-6"/>
              </w:rPr>
              <w:t xml:space="preserve"> </w:t>
            </w:r>
            <w:r w:rsidRPr="00EC20A0">
              <w:t xml:space="preserve">statements titled </w:t>
            </w:r>
            <w:r w:rsidRPr="00EC20A0">
              <w:rPr>
                <w:i/>
              </w:rPr>
              <w:t xml:space="preserve">Reclassification of Financial Statement Line Items for Financial Report Compilation Process </w:t>
            </w:r>
            <w:r w:rsidRPr="00EC20A0">
              <w:t>(see FAM 902.09).)</w:t>
            </w:r>
          </w:p>
        </w:tc>
        <w:tc>
          <w:tcPr>
            <w:tcW w:w="1144" w:type="dxa"/>
            <w:tcBorders>
              <w:left w:val="single" w:sz="4" w:space="0" w:color="000000"/>
              <w:bottom w:val="single" w:sz="4" w:space="0" w:color="000000"/>
              <w:right w:val="single" w:sz="4" w:space="0" w:color="000000"/>
            </w:tcBorders>
          </w:tcPr>
          <w:p w14:paraId="24D61699" w14:textId="77777777" w:rsidR="00245300" w:rsidRPr="00EC20A0" w:rsidRDefault="00245300">
            <w:pPr>
              <w:pStyle w:val="TableParagraph"/>
              <w:rPr>
                <w:sz w:val="18"/>
              </w:rPr>
            </w:pPr>
          </w:p>
        </w:tc>
        <w:tc>
          <w:tcPr>
            <w:tcW w:w="1229" w:type="dxa"/>
            <w:tcBorders>
              <w:left w:val="single" w:sz="4" w:space="0" w:color="000000"/>
              <w:bottom w:val="single" w:sz="4" w:space="0" w:color="000000"/>
            </w:tcBorders>
          </w:tcPr>
          <w:p w14:paraId="24D6169A" w14:textId="77777777" w:rsidR="00245300" w:rsidRPr="00EC20A0" w:rsidRDefault="00245300">
            <w:pPr>
              <w:pStyle w:val="TableParagraph"/>
              <w:rPr>
                <w:sz w:val="18"/>
              </w:rPr>
            </w:pPr>
          </w:p>
        </w:tc>
      </w:tr>
      <w:tr w:rsidR="00245300" w:rsidRPr="00EC20A0" w14:paraId="24D616A2" w14:textId="77777777">
        <w:trPr>
          <w:trHeight w:val="4262"/>
        </w:trPr>
        <w:tc>
          <w:tcPr>
            <w:tcW w:w="6696" w:type="dxa"/>
            <w:tcBorders>
              <w:top w:val="single" w:sz="4" w:space="0" w:color="000000"/>
              <w:bottom w:val="single" w:sz="4" w:space="0" w:color="000000"/>
              <w:right w:val="single" w:sz="4" w:space="0" w:color="000000"/>
            </w:tcBorders>
          </w:tcPr>
          <w:p w14:paraId="24D6169C" w14:textId="77777777" w:rsidR="00245300" w:rsidRPr="00EC20A0" w:rsidRDefault="00F17249">
            <w:pPr>
              <w:pStyle w:val="TableParagraph"/>
              <w:numPr>
                <w:ilvl w:val="0"/>
                <w:numId w:val="115"/>
              </w:numPr>
              <w:tabs>
                <w:tab w:val="left" w:pos="812"/>
              </w:tabs>
              <w:spacing w:before="60"/>
              <w:ind w:right="326"/>
            </w:pPr>
            <w:r w:rsidRPr="00EC20A0">
              <w:t>Obtain an understanding of significant accounting and auditing</w:t>
            </w:r>
            <w:r w:rsidRPr="00EC20A0">
              <w:rPr>
                <w:spacing w:val="-7"/>
              </w:rPr>
              <w:t xml:space="preserve"> </w:t>
            </w:r>
            <w:r w:rsidRPr="00EC20A0">
              <w:t>issues</w:t>
            </w:r>
            <w:r w:rsidRPr="00EC20A0">
              <w:rPr>
                <w:spacing w:val="-7"/>
              </w:rPr>
              <w:t xml:space="preserve"> </w:t>
            </w:r>
            <w:r w:rsidRPr="00EC20A0">
              <w:t>relevant</w:t>
            </w:r>
            <w:r w:rsidRPr="00EC20A0">
              <w:rPr>
                <w:spacing w:val="-7"/>
              </w:rPr>
              <w:t xml:space="preserve"> </w:t>
            </w:r>
            <w:r w:rsidRPr="00EC20A0">
              <w:t>to</w:t>
            </w:r>
            <w:r w:rsidRPr="00EC20A0">
              <w:rPr>
                <w:spacing w:val="-7"/>
              </w:rPr>
              <w:t xml:space="preserve"> </w:t>
            </w:r>
            <w:r w:rsidRPr="00EC20A0">
              <w:t>intragovernmental</w:t>
            </w:r>
            <w:r w:rsidRPr="00EC20A0">
              <w:rPr>
                <w:spacing w:val="-7"/>
              </w:rPr>
              <w:t xml:space="preserve"> </w:t>
            </w:r>
            <w:r w:rsidRPr="00EC20A0">
              <w:t>activity</w:t>
            </w:r>
            <w:r w:rsidRPr="00EC20A0">
              <w:rPr>
                <w:spacing w:val="-7"/>
              </w:rPr>
              <w:t xml:space="preserve"> </w:t>
            </w:r>
            <w:r w:rsidRPr="00EC20A0">
              <w:t>and balances</w:t>
            </w:r>
            <w:r w:rsidRPr="00EC20A0">
              <w:rPr>
                <w:spacing w:val="-4"/>
              </w:rPr>
              <w:t xml:space="preserve"> </w:t>
            </w:r>
            <w:r w:rsidRPr="00EC20A0">
              <w:t>by</w:t>
            </w:r>
            <w:r w:rsidRPr="00EC20A0">
              <w:rPr>
                <w:spacing w:val="-6"/>
              </w:rPr>
              <w:t xml:space="preserve"> </w:t>
            </w:r>
            <w:r w:rsidRPr="00EC20A0">
              <w:t>reading</w:t>
            </w:r>
            <w:r w:rsidRPr="00EC20A0">
              <w:rPr>
                <w:spacing w:val="-5"/>
              </w:rPr>
              <w:t xml:space="preserve"> </w:t>
            </w:r>
            <w:r w:rsidRPr="00EC20A0">
              <w:t>the</w:t>
            </w:r>
            <w:r w:rsidRPr="00EC20A0">
              <w:rPr>
                <w:spacing w:val="-6"/>
              </w:rPr>
              <w:t xml:space="preserve"> </w:t>
            </w:r>
            <w:r w:rsidRPr="00EC20A0">
              <w:t>entity’s</w:t>
            </w:r>
            <w:r w:rsidRPr="00EC20A0">
              <w:rPr>
                <w:spacing w:val="-6"/>
              </w:rPr>
              <w:t xml:space="preserve"> </w:t>
            </w:r>
            <w:r w:rsidRPr="00EC20A0">
              <w:t>prior</w:t>
            </w:r>
            <w:r w:rsidRPr="00EC20A0">
              <w:rPr>
                <w:spacing w:val="-6"/>
              </w:rPr>
              <w:t xml:space="preserve"> </w:t>
            </w:r>
            <w:r w:rsidRPr="00EC20A0">
              <w:t>year’s</w:t>
            </w:r>
            <w:r w:rsidRPr="00EC20A0">
              <w:rPr>
                <w:spacing w:val="-5"/>
              </w:rPr>
              <w:t xml:space="preserve"> </w:t>
            </w:r>
            <w:r w:rsidRPr="00EC20A0">
              <w:t>performance and accountability report or agency financial report.</w:t>
            </w:r>
          </w:p>
          <w:p w14:paraId="24D6169D" w14:textId="77777777" w:rsidR="00245300" w:rsidRPr="00EC20A0" w:rsidRDefault="00F17249">
            <w:pPr>
              <w:pStyle w:val="TableParagraph"/>
              <w:numPr>
                <w:ilvl w:val="1"/>
                <w:numId w:val="115"/>
              </w:numPr>
              <w:tabs>
                <w:tab w:val="left" w:pos="1298"/>
              </w:tabs>
              <w:spacing w:before="59"/>
            </w:pPr>
            <w:r w:rsidRPr="00EC20A0">
              <w:t>Review</w:t>
            </w:r>
            <w:r w:rsidRPr="00EC20A0">
              <w:rPr>
                <w:spacing w:val="-7"/>
              </w:rPr>
              <w:t xml:space="preserve"> </w:t>
            </w:r>
            <w:r w:rsidRPr="00EC20A0">
              <w:t>the</w:t>
            </w:r>
            <w:r w:rsidRPr="00EC20A0">
              <w:rPr>
                <w:spacing w:val="-6"/>
              </w:rPr>
              <w:t xml:space="preserve"> </w:t>
            </w:r>
            <w:r w:rsidRPr="00EC20A0">
              <w:t>prior</w:t>
            </w:r>
            <w:r w:rsidRPr="00EC20A0">
              <w:rPr>
                <w:spacing w:val="-6"/>
              </w:rPr>
              <w:t xml:space="preserve"> </w:t>
            </w:r>
            <w:r w:rsidRPr="00EC20A0">
              <w:t>year</w:t>
            </w:r>
            <w:r w:rsidRPr="00EC20A0">
              <w:rPr>
                <w:spacing w:val="-6"/>
              </w:rPr>
              <w:t xml:space="preserve"> </w:t>
            </w:r>
            <w:r w:rsidRPr="00EC20A0">
              <w:t>auditors’</w:t>
            </w:r>
            <w:r w:rsidRPr="00EC20A0">
              <w:rPr>
                <w:spacing w:val="-6"/>
              </w:rPr>
              <w:t xml:space="preserve"> </w:t>
            </w:r>
            <w:r w:rsidRPr="00EC20A0">
              <w:rPr>
                <w:spacing w:val="-2"/>
              </w:rPr>
              <w:t>reports.</w:t>
            </w:r>
          </w:p>
          <w:p w14:paraId="24D6169E" w14:textId="77777777" w:rsidR="00245300" w:rsidRPr="00EC20A0" w:rsidRDefault="00F17249">
            <w:pPr>
              <w:pStyle w:val="TableParagraph"/>
              <w:numPr>
                <w:ilvl w:val="1"/>
                <w:numId w:val="115"/>
              </w:numPr>
              <w:tabs>
                <w:tab w:val="left" w:pos="1298"/>
              </w:tabs>
              <w:spacing w:before="241"/>
              <w:ind w:right="256"/>
              <w:rPr>
                <w:sz w:val="14"/>
              </w:rPr>
            </w:pPr>
            <w:r w:rsidRPr="00EC20A0">
              <w:t>Review</w:t>
            </w:r>
            <w:r w:rsidRPr="00EC20A0">
              <w:rPr>
                <w:spacing w:val="-10"/>
              </w:rPr>
              <w:t xml:space="preserve"> </w:t>
            </w:r>
            <w:r w:rsidRPr="00EC20A0">
              <w:t>prior</w:t>
            </w:r>
            <w:r w:rsidRPr="00EC20A0">
              <w:rPr>
                <w:spacing w:val="-10"/>
              </w:rPr>
              <w:t xml:space="preserve"> </w:t>
            </w:r>
            <w:r w:rsidRPr="00EC20A0">
              <w:t>year-end</w:t>
            </w:r>
            <w:r w:rsidRPr="00EC20A0">
              <w:rPr>
                <w:spacing w:val="-10"/>
              </w:rPr>
              <w:t xml:space="preserve"> </w:t>
            </w:r>
            <w:r w:rsidRPr="00EC20A0">
              <w:t>intragovernmental</w:t>
            </w:r>
            <w:r w:rsidRPr="00EC20A0">
              <w:rPr>
                <w:spacing w:val="-10"/>
              </w:rPr>
              <w:t xml:space="preserve"> </w:t>
            </w:r>
            <w:r w:rsidRPr="00EC20A0">
              <w:t>differences reported by Treasury.</w:t>
            </w:r>
            <w:hyperlink w:anchor="_bookmark166" w:history="1">
              <w:r w:rsidRPr="00EC20A0">
                <w:rPr>
                  <w:position w:val="7"/>
                  <w:sz w:val="14"/>
                </w:rPr>
                <w:t>16</w:t>
              </w:r>
            </w:hyperlink>
          </w:p>
          <w:p w14:paraId="24D6169F" w14:textId="77777777" w:rsidR="00245300" w:rsidRPr="00EC20A0" w:rsidRDefault="00F17249">
            <w:pPr>
              <w:pStyle w:val="TableParagraph"/>
              <w:numPr>
                <w:ilvl w:val="1"/>
                <w:numId w:val="115"/>
              </w:numPr>
              <w:tabs>
                <w:tab w:val="left" w:pos="1298"/>
              </w:tabs>
              <w:spacing w:before="240"/>
              <w:ind w:right="146"/>
              <w:rPr>
                <w:sz w:val="14"/>
              </w:rPr>
            </w:pPr>
            <w:r w:rsidRPr="00EC20A0">
              <w:t>Review</w:t>
            </w:r>
            <w:r w:rsidRPr="00EC20A0">
              <w:rPr>
                <w:spacing w:val="-7"/>
              </w:rPr>
              <w:t xml:space="preserve"> </w:t>
            </w:r>
            <w:r w:rsidRPr="00EC20A0">
              <w:t>journal</w:t>
            </w:r>
            <w:r w:rsidRPr="00EC20A0">
              <w:rPr>
                <w:spacing w:val="-7"/>
              </w:rPr>
              <w:t xml:space="preserve"> </w:t>
            </w:r>
            <w:r w:rsidRPr="00EC20A0">
              <w:t>vouchers</w:t>
            </w:r>
            <w:r w:rsidRPr="00EC20A0">
              <w:rPr>
                <w:spacing w:val="-7"/>
              </w:rPr>
              <w:t xml:space="preserve"> </w:t>
            </w:r>
            <w:r w:rsidRPr="00EC20A0">
              <w:t>recorded</w:t>
            </w:r>
            <w:r w:rsidRPr="00EC20A0">
              <w:rPr>
                <w:spacing w:val="-7"/>
              </w:rPr>
              <w:t xml:space="preserve"> </w:t>
            </w:r>
            <w:r w:rsidRPr="00EC20A0">
              <w:t>by</w:t>
            </w:r>
            <w:r w:rsidRPr="00EC20A0">
              <w:rPr>
                <w:spacing w:val="-7"/>
              </w:rPr>
              <w:t xml:space="preserve"> </w:t>
            </w:r>
            <w:r w:rsidRPr="00EC20A0">
              <w:t>Treasury</w:t>
            </w:r>
            <w:r w:rsidRPr="00EC20A0">
              <w:rPr>
                <w:spacing w:val="-7"/>
              </w:rPr>
              <w:t xml:space="preserve"> </w:t>
            </w:r>
            <w:r w:rsidRPr="00EC20A0">
              <w:t>during the prior year-end process for the U.S. government’s consolidated financial statements and determine whether (i) the underlying differences are still outstanding,</w:t>
            </w:r>
            <w:r w:rsidRPr="00EC20A0">
              <w:rPr>
                <w:spacing w:val="-2"/>
              </w:rPr>
              <w:t xml:space="preserve"> </w:t>
            </w:r>
            <w:r w:rsidRPr="00EC20A0">
              <w:t>(ii)</w:t>
            </w:r>
            <w:r w:rsidRPr="00EC20A0">
              <w:rPr>
                <w:spacing w:val="-1"/>
              </w:rPr>
              <w:t xml:space="preserve"> </w:t>
            </w:r>
            <w:r w:rsidRPr="00EC20A0">
              <w:t>authorized</w:t>
            </w:r>
            <w:r w:rsidRPr="00EC20A0">
              <w:rPr>
                <w:spacing w:val="-1"/>
              </w:rPr>
              <w:t xml:space="preserve"> </w:t>
            </w:r>
            <w:r w:rsidRPr="00EC20A0">
              <w:t>entity</w:t>
            </w:r>
            <w:r w:rsidRPr="00EC20A0">
              <w:rPr>
                <w:spacing w:val="-1"/>
              </w:rPr>
              <w:t xml:space="preserve"> </w:t>
            </w:r>
            <w:r w:rsidRPr="00EC20A0">
              <w:t>personnel</w:t>
            </w:r>
            <w:r w:rsidRPr="00EC20A0">
              <w:rPr>
                <w:spacing w:val="-1"/>
              </w:rPr>
              <w:t xml:space="preserve"> </w:t>
            </w:r>
            <w:r w:rsidRPr="00EC20A0">
              <w:t>approved the journal vouchers, and (iii) these journal vouchers will impact current year audit procedures.</w:t>
            </w:r>
            <w:hyperlink w:anchor="_bookmark167" w:history="1">
              <w:r w:rsidRPr="00EC20A0">
                <w:rPr>
                  <w:position w:val="7"/>
                  <w:sz w:val="14"/>
                </w:rPr>
                <w:t>17</w:t>
              </w:r>
            </w:hyperlink>
          </w:p>
        </w:tc>
        <w:tc>
          <w:tcPr>
            <w:tcW w:w="1144" w:type="dxa"/>
            <w:tcBorders>
              <w:top w:val="single" w:sz="4" w:space="0" w:color="000000"/>
              <w:left w:val="single" w:sz="4" w:space="0" w:color="000000"/>
              <w:bottom w:val="single" w:sz="4" w:space="0" w:color="000000"/>
              <w:right w:val="single" w:sz="4" w:space="0" w:color="000000"/>
            </w:tcBorders>
          </w:tcPr>
          <w:p w14:paraId="24D616A0" w14:textId="77777777" w:rsidR="00245300" w:rsidRPr="00EC20A0" w:rsidRDefault="00245300">
            <w:pPr>
              <w:pStyle w:val="TableParagraph"/>
              <w:rPr>
                <w:sz w:val="18"/>
              </w:rPr>
            </w:pPr>
          </w:p>
        </w:tc>
        <w:tc>
          <w:tcPr>
            <w:tcW w:w="1229" w:type="dxa"/>
            <w:tcBorders>
              <w:top w:val="single" w:sz="4" w:space="0" w:color="000000"/>
              <w:left w:val="single" w:sz="4" w:space="0" w:color="000000"/>
              <w:bottom w:val="single" w:sz="4" w:space="0" w:color="000000"/>
            </w:tcBorders>
          </w:tcPr>
          <w:p w14:paraId="24D616A1" w14:textId="77777777" w:rsidR="00245300" w:rsidRPr="00EC20A0" w:rsidRDefault="00245300">
            <w:pPr>
              <w:pStyle w:val="TableParagraph"/>
              <w:rPr>
                <w:sz w:val="18"/>
              </w:rPr>
            </w:pPr>
          </w:p>
        </w:tc>
      </w:tr>
    </w:tbl>
    <w:p w14:paraId="24D616A3" w14:textId="77777777" w:rsidR="00245300" w:rsidRPr="00EC20A0" w:rsidRDefault="00245300">
      <w:pPr>
        <w:pStyle w:val="BodyText"/>
        <w:rPr>
          <w:sz w:val="20"/>
        </w:rPr>
      </w:pPr>
    </w:p>
    <w:p w14:paraId="24D616A4" w14:textId="77777777" w:rsidR="00245300" w:rsidRPr="00EC20A0" w:rsidRDefault="00F17249">
      <w:pPr>
        <w:pStyle w:val="BodyText"/>
        <w:spacing w:before="185"/>
        <w:rPr>
          <w:sz w:val="20"/>
        </w:rPr>
      </w:pPr>
      <w:r w:rsidRPr="00EC20A0">
        <w:rPr>
          <w:noProof/>
        </w:rPr>
        <mc:AlternateContent>
          <mc:Choice Requires="wps">
            <w:drawing>
              <wp:anchor distT="0" distB="0" distL="0" distR="0" simplePos="0" relativeHeight="487710208" behindDoc="1" locked="0" layoutInCell="1" allowOverlap="1" wp14:anchorId="24D62C93" wp14:editId="24D62C94">
                <wp:simplePos x="0" y="0"/>
                <wp:positionH relativeFrom="page">
                  <wp:posOffset>914400</wp:posOffset>
                </wp:positionH>
                <wp:positionV relativeFrom="paragraph">
                  <wp:posOffset>278777</wp:posOffset>
                </wp:positionV>
                <wp:extent cx="1828800" cy="5715"/>
                <wp:effectExtent l="0" t="0" r="0" b="0"/>
                <wp:wrapTopAndBottom/>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4D4F53" id="Graphic 791" o:spid="_x0000_s1026" style="position:absolute;margin-left:1in;margin-top:21.95pt;width:2in;height:.45pt;z-index:-1560627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" path="m1828800,l,,,5334r1828800,l1828800,xe" fillcolor="black" stroked="f">
                <v:path arrowok="t"/>
                <w10:wrap type="topAndBottom" anchorx="page"/>
              </v:shape>
            </w:pict>
          </mc:Fallback>
        </mc:AlternateContent>
      </w:r>
    </w:p>
    <w:p w14:paraId="24D616A5" w14:textId="77777777" w:rsidR="00245300" w:rsidRPr="00EC20A0" w:rsidRDefault="00F17249">
      <w:pPr>
        <w:spacing w:before="202" w:line="242" w:lineRule="auto"/>
        <w:ind w:left="200" w:right="345"/>
        <w:rPr>
          <w:sz w:val="18"/>
        </w:rPr>
      </w:pPr>
      <w:bookmarkStart w:id="290" w:name="_bookmark165"/>
      <w:bookmarkEnd w:id="290"/>
      <w:r w:rsidRPr="00EC20A0">
        <w:rPr>
          <w:position w:val="7"/>
          <w:sz w:val="14"/>
        </w:rPr>
        <w:t>15</w:t>
      </w:r>
      <w:r w:rsidRPr="00EC20A0">
        <w:rPr>
          <w:sz w:val="18"/>
        </w:rPr>
        <w:t>The</w:t>
      </w:r>
      <w:r w:rsidRPr="00EC20A0">
        <w:rPr>
          <w:spacing w:val="-2"/>
          <w:sz w:val="18"/>
        </w:rPr>
        <w:t xml:space="preserve"> </w:t>
      </w:r>
      <w:r w:rsidRPr="00EC20A0">
        <w:rPr>
          <w:sz w:val="18"/>
        </w:rPr>
        <w:t>OMB</w:t>
      </w:r>
      <w:r w:rsidRPr="00EC20A0">
        <w:rPr>
          <w:spacing w:val="-1"/>
          <w:sz w:val="18"/>
        </w:rPr>
        <w:t xml:space="preserve"> </w:t>
      </w:r>
      <w:r w:rsidRPr="00EC20A0">
        <w:rPr>
          <w:sz w:val="18"/>
        </w:rPr>
        <w:t>reporting</w:t>
      </w:r>
      <w:r w:rsidRPr="00EC20A0">
        <w:rPr>
          <w:spacing w:val="-2"/>
          <w:sz w:val="18"/>
        </w:rPr>
        <w:t xml:space="preserve"> </w:t>
      </w:r>
      <w:r w:rsidRPr="00EC20A0">
        <w:rPr>
          <w:sz w:val="18"/>
        </w:rPr>
        <w:t>guidance</w:t>
      </w:r>
      <w:r w:rsidRPr="00EC20A0">
        <w:rPr>
          <w:spacing w:val="-2"/>
          <w:sz w:val="18"/>
        </w:rPr>
        <w:t xml:space="preserve"> </w:t>
      </w:r>
      <w:r w:rsidRPr="00EC20A0">
        <w:rPr>
          <w:sz w:val="18"/>
        </w:rPr>
        <w:t>in</w:t>
      </w:r>
      <w:r w:rsidRPr="00EC20A0">
        <w:rPr>
          <w:spacing w:val="-2"/>
          <w:sz w:val="18"/>
        </w:rPr>
        <w:t xml:space="preserve"> </w:t>
      </w:r>
      <w:r w:rsidRPr="00EC20A0">
        <w:rPr>
          <w:sz w:val="18"/>
        </w:rPr>
        <w:t>effect</w:t>
      </w:r>
      <w:r w:rsidRPr="00EC20A0">
        <w:rPr>
          <w:spacing w:val="-1"/>
          <w:sz w:val="18"/>
        </w:rPr>
        <w:t xml:space="preserve"> </w:t>
      </w:r>
      <w:r w:rsidRPr="00EC20A0">
        <w:rPr>
          <w:sz w:val="18"/>
        </w:rPr>
        <w:t>as</w:t>
      </w:r>
      <w:r w:rsidRPr="00EC20A0">
        <w:rPr>
          <w:spacing w:val="-1"/>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publication</w:t>
      </w:r>
      <w:r w:rsidRPr="00EC20A0">
        <w:rPr>
          <w:spacing w:val="-2"/>
          <w:sz w:val="18"/>
        </w:rPr>
        <w:t xml:space="preserve"> </w:t>
      </w:r>
      <w:r w:rsidRPr="00EC20A0">
        <w:rPr>
          <w:sz w:val="18"/>
        </w:rPr>
        <w:t>date</w:t>
      </w:r>
      <w:r w:rsidRPr="00EC20A0">
        <w:rPr>
          <w:spacing w:val="-2"/>
          <w:sz w:val="18"/>
        </w:rPr>
        <w:t xml:space="preserve"> </w:t>
      </w:r>
      <w:r w:rsidRPr="00EC20A0">
        <w:rPr>
          <w:sz w:val="18"/>
        </w:rPr>
        <w:t>of</w:t>
      </w:r>
      <w:r w:rsidRPr="00EC20A0">
        <w:rPr>
          <w:spacing w:val="-1"/>
          <w:sz w:val="18"/>
        </w:rPr>
        <w:t xml:space="preserve"> </w:t>
      </w:r>
      <w:r w:rsidRPr="00EC20A0">
        <w:rPr>
          <w:sz w:val="18"/>
        </w:rPr>
        <w:t>this</w:t>
      </w:r>
      <w:r w:rsidRPr="00EC20A0">
        <w:rPr>
          <w:spacing w:val="-1"/>
          <w:sz w:val="18"/>
        </w:rPr>
        <w:t xml:space="preserve"> </w:t>
      </w:r>
      <w:r w:rsidRPr="00EC20A0">
        <w:rPr>
          <w:sz w:val="18"/>
        </w:rPr>
        <w:t>version</w:t>
      </w:r>
      <w:r w:rsidRPr="00EC20A0">
        <w:rPr>
          <w:spacing w:val="-2"/>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FAM</w:t>
      </w:r>
      <w:r w:rsidRPr="00EC20A0">
        <w:rPr>
          <w:spacing w:val="-1"/>
          <w:sz w:val="18"/>
        </w:rPr>
        <w:t xml:space="preserve"> </w:t>
      </w:r>
      <w:r w:rsidRPr="00EC20A0">
        <w:rPr>
          <w:sz w:val="18"/>
        </w:rPr>
        <w:t>is</w:t>
      </w:r>
      <w:r w:rsidRPr="00EC20A0">
        <w:rPr>
          <w:spacing w:val="-1"/>
          <w:sz w:val="18"/>
        </w:rPr>
        <w:t xml:space="preserve"> </w:t>
      </w:r>
      <w:r w:rsidRPr="00EC20A0">
        <w:rPr>
          <w:sz w:val="18"/>
        </w:rPr>
        <w:t>OMB</w:t>
      </w:r>
      <w:r w:rsidRPr="00EC20A0">
        <w:rPr>
          <w:spacing w:val="-1"/>
          <w:sz w:val="18"/>
        </w:rPr>
        <w:t xml:space="preserve"> </w:t>
      </w:r>
      <w:r w:rsidRPr="00EC20A0">
        <w:rPr>
          <w:sz w:val="18"/>
        </w:rPr>
        <w:t>Circular</w:t>
      </w:r>
      <w:r w:rsidRPr="00EC20A0">
        <w:rPr>
          <w:spacing w:val="-1"/>
          <w:sz w:val="18"/>
        </w:rPr>
        <w:t xml:space="preserve"> </w:t>
      </w:r>
      <w:r w:rsidRPr="00EC20A0">
        <w:rPr>
          <w:sz w:val="18"/>
        </w:rPr>
        <w:t>No.</w:t>
      </w:r>
      <w:r w:rsidRPr="00EC20A0">
        <w:rPr>
          <w:spacing w:val="-1"/>
          <w:sz w:val="18"/>
        </w:rPr>
        <w:t xml:space="preserve"> </w:t>
      </w:r>
      <w:r w:rsidRPr="00EC20A0">
        <w:rPr>
          <w:sz w:val="18"/>
        </w:rPr>
        <w:t>A- 136,</w:t>
      </w:r>
      <w:r w:rsidRPr="00EC20A0">
        <w:rPr>
          <w:spacing w:val="-3"/>
          <w:sz w:val="18"/>
        </w:rPr>
        <w:t xml:space="preserve"> </w:t>
      </w:r>
      <w:r w:rsidRPr="00EC20A0">
        <w:rPr>
          <w:i/>
          <w:sz w:val="18"/>
        </w:rPr>
        <w:t>Financial</w:t>
      </w:r>
      <w:r w:rsidRPr="00EC20A0">
        <w:rPr>
          <w:i/>
          <w:spacing w:val="-2"/>
          <w:sz w:val="18"/>
        </w:rPr>
        <w:t xml:space="preserve"> </w:t>
      </w:r>
      <w:r w:rsidRPr="00EC20A0">
        <w:rPr>
          <w:i/>
          <w:sz w:val="18"/>
        </w:rPr>
        <w:t>Reporting</w:t>
      </w:r>
      <w:r w:rsidRPr="00EC20A0">
        <w:rPr>
          <w:i/>
          <w:spacing w:val="-4"/>
          <w:sz w:val="18"/>
        </w:rPr>
        <w:t xml:space="preserve"> </w:t>
      </w:r>
      <w:r w:rsidRPr="00EC20A0">
        <w:rPr>
          <w:i/>
          <w:sz w:val="18"/>
        </w:rPr>
        <w:t>Requirements,</w:t>
      </w:r>
      <w:r w:rsidRPr="00EC20A0">
        <w:rPr>
          <w:i/>
          <w:spacing w:val="-3"/>
          <w:sz w:val="18"/>
        </w:rPr>
        <w:t xml:space="preserve"> </w:t>
      </w:r>
      <w:r w:rsidRPr="00EC20A0">
        <w:rPr>
          <w:sz w:val="18"/>
        </w:rPr>
        <w:t>issued</w:t>
      </w:r>
      <w:r w:rsidRPr="00EC20A0">
        <w:rPr>
          <w:spacing w:val="-4"/>
          <w:sz w:val="18"/>
        </w:rPr>
        <w:t xml:space="preserve"> </w:t>
      </w:r>
      <w:r w:rsidRPr="00EC20A0">
        <w:rPr>
          <w:sz w:val="18"/>
        </w:rPr>
        <w:t>on</w:t>
      </w:r>
      <w:r w:rsidRPr="00EC20A0">
        <w:rPr>
          <w:spacing w:val="-4"/>
          <w:sz w:val="18"/>
        </w:rPr>
        <w:t xml:space="preserve"> </w:t>
      </w:r>
      <w:r w:rsidRPr="00EC20A0">
        <w:rPr>
          <w:sz w:val="18"/>
        </w:rPr>
        <w:t>May</w:t>
      </w:r>
      <w:r w:rsidRPr="00EC20A0">
        <w:rPr>
          <w:spacing w:val="-3"/>
          <w:sz w:val="18"/>
        </w:rPr>
        <w:t xml:space="preserve"> </w:t>
      </w:r>
      <w:r w:rsidRPr="00EC20A0">
        <w:rPr>
          <w:sz w:val="18"/>
        </w:rPr>
        <w:t>30,</w:t>
      </w:r>
      <w:r w:rsidRPr="00EC20A0">
        <w:rPr>
          <w:spacing w:val="-3"/>
          <w:sz w:val="18"/>
        </w:rPr>
        <w:t xml:space="preserve"> </w:t>
      </w:r>
      <w:r w:rsidRPr="00EC20A0">
        <w:rPr>
          <w:sz w:val="18"/>
        </w:rPr>
        <w:t>2024.</w:t>
      </w:r>
      <w:r w:rsidRPr="00EC20A0">
        <w:rPr>
          <w:spacing w:val="-3"/>
          <w:sz w:val="18"/>
        </w:rPr>
        <w:t xml:space="preserve"> </w:t>
      </w:r>
      <w:r w:rsidRPr="00EC20A0">
        <w:rPr>
          <w:sz w:val="18"/>
        </w:rPr>
        <w:t>OMB</w:t>
      </w:r>
      <w:r w:rsidRPr="00EC20A0">
        <w:rPr>
          <w:spacing w:val="-3"/>
          <w:sz w:val="18"/>
        </w:rPr>
        <w:t xml:space="preserve"> </w:t>
      </w:r>
      <w:r w:rsidRPr="00EC20A0">
        <w:rPr>
          <w:sz w:val="18"/>
        </w:rPr>
        <w:t>reporting</w:t>
      </w:r>
      <w:r w:rsidRPr="00EC20A0">
        <w:rPr>
          <w:spacing w:val="-4"/>
          <w:sz w:val="18"/>
        </w:rPr>
        <w:t xml:space="preserve"> </w:t>
      </w:r>
      <w:r w:rsidRPr="00EC20A0">
        <w:rPr>
          <w:sz w:val="18"/>
        </w:rPr>
        <w:t>guidance</w:t>
      </w:r>
      <w:r w:rsidRPr="00EC20A0">
        <w:rPr>
          <w:spacing w:val="-4"/>
          <w:sz w:val="18"/>
        </w:rPr>
        <w:t xml:space="preserve"> </w:t>
      </w:r>
      <w:r w:rsidRPr="00EC20A0">
        <w:rPr>
          <w:sz w:val="18"/>
        </w:rPr>
        <w:t>is</w:t>
      </w:r>
      <w:r w:rsidRPr="00EC20A0">
        <w:rPr>
          <w:spacing w:val="-3"/>
          <w:sz w:val="18"/>
        </w:rPr>
        <w:t xml:space="preserve"> </w:t>
      </w:r>
      <w:r w:rsidRPr="00EC20A0">
        <w:rPr>
          <w:sz w:val="18"/>
        </w:rPr>
        <w:t>updated</w:t>
      </w:r>
      <w:r w:rsidRPr="00EC20A0">
        <w:rPr>
          <w:spacing w:val="-4"/>
          <w:sz w:val="18"/>
        </w:rPr>
        <w:t xml:space="preserve"> </w:t>
      </w:r>
      <w:r w:rsidRPr="00EC20A0">
        <w:rPr>
          <w:sz w:val="18"/>
        </w:rPr>
        <w:t>annually,</w:t>
      </w:r>
      <w:r w:rsidRPr="00EC20A0">
        <w:rPr>
          <w:spacing w:val="-3"/>
          <w:sz w:val="18"/>
        </w:rPr>
        <w:t xml:space="preserve"> </w:t>
      </w:r>
      <w:r w:rsidRPr="00EC20A0">
        <w:rPr>
          <w:sz w:val="18"/>
        </w:rPr>
        <w:t xml:space="preserve">and the current version can be found on the OMB website at </w:t>
      </w:r>
      <w:hyperlink r:id="rId149">
        <w:r w:rsidRPr="00EC20A0">
          <w:rPr>
            <w:color w:val="0000FF"/>
            <w:sz w:val="18"/>
            <w:u w:val="single" w:color="0000FF"/>
          </w:rPr>
          <w:t>https://www.whitehouse.gov/omb/information-for-</w:t>
        </w:r>
      </w:hyperlink>
      <w:r w:rsidRPr="00EC20A0">
        <w:rPr>
          <w:color w:val="0000FF"/>
          <w:sz w:val="18"/>
        </w:rPr>
        <w:t xml:space="preserve"> </w:t>
      </w:r>
      <w:hyperlink r:id="rId150">
        <w:r w:rsidRPr="00EC20A0">
          <w:rPr>
            <w:color w:val="0000FF"/>
            <w:sz w:val="18"/>
            <w:u w:val="single" w:color="0000FF"/>
          </w:rPr>
          <w:t>agencies/circulars/</w:t>
        </w:r>
      </w:hyperlink>
      <w:r w:rsidRPr="00EC20A0">
        <w:rPr>
          <w:color w:val="0000FF"/>
          <w:sz w:val="18"/>
        </w:rPr>
        <w:t xml:space="preserve"> </w:t>
      </w:r>
      <w:r w:rsidRPr="00EC20A0">
        <w:rPr>
          <w:sz w:val="18"/>
        </w:rPr>
        <w:t>(accessed June 4, 2024).</w:t>
      </w:r>
    </w:p>
    <w:p w14:paraId="24D616A6" w14:textId="77777777" w:rsidR="00245300" w:rsidRPr="00EC20A0" w:rsidRDefault="00F17249">
      <w:pPr>
        <w:spacing w:before="124" w:line="242" w:lineRule="auto"/>
        <w:ind w:left="199" w:right="397"/>
        <w:rPr>
          <w:sz w:val="18"/>
        </w:rPr>
      </w:pPr>
      <w:bookmarkStart w:id="291" w:name="_bookmark166"/>
      <w:bookmarkEnd w:id="291"/>
      <w:r w:rsidRPr="00EC20A0">
        <w:rPr>
          <w:position w:val="7"/>
          <w:sz w:val="14"/>
        </w:rPr>
        <w:t>16</w:t>
      </w:r>
      <w:r w:rsidRPr="00EC20A0">
        <w:rPr>
          <w:sz w:val="18"/>
        </w:rPr>
        <w:t>Quarterly, Treasury generates and provides to entities various documents that report intragovernmental differences. Treasury provides entities with differences over established thresholds with Material Difference Reports (MDR), on which an entity provides Treasury explanations for its differences and provides significant entities with a scorecard containing metrics. Treasury also provides a concluding report that provides details (including the entities’ explanations)</w:t>
      </w:r>
      <w:r w:rsidRPr="00EC20A0">
        <w:rPr>
          <w:spacing w:val="-3"/>
          <w:sz w:val="18"/>
        </w:rPr>
        <w:t xml:space="preserve"> </w:t>
      </w:r>
      <w:r w:rsidRPr="00EC20A0">
        <w:rPr>
          <w:sz w:val="18"/>
        </w:rPr>
        <w:t>on</w:t>
      </w:r>
      <w:r w:rsidRPr="00EC20A0">
        <w:rPr>
          <w:spacing w:val="-4"/>
          <w:sz w:val="18"/>
        </w:rPr>
        <w:t xml:space="preserve"> </w:t>
      </w:r>
      <w:r w:rsidRPr="00EC20A0">
        <w:rPr>
          <w:sz w:val="18"/>
        </w:rPr>
        <w:t>all</w:t>
      </w:r>
      <w:r w:rsidRPr="00EC20A0">
        <w:rPr>
          <w:spacing w:val="-3"/>
          <w:sz w:val="18"/>
        </w:rPr>
        <w:t xml:space="preserve"> </w:t>
      </w:r>
      <w:r w:rsidRPr="00EC20A0">
        <w:rPr>
          <w:sz w:val="18"/>
        </w:rPr>
        <w:t>the</w:t>
      </w:r>
      <w:r w:rsidRPr="00EC20A0">
        <w:rPr>
          <w:spacing w:val="-4"/>
          <w:sz w:val="18"/>
        </w:rPr>
        <w:t xml:space="preserve"> </w:t>
      </w:r>
      <w:r w:rsidRPr="00EC20A0">
        <w:rPr>
          <w:sz w:val="18"/>
        </w:rPr>
        <w:t>significant</w:t>
      </w:r>
      <w:r w:rsidRPr="00EC20A0">
        <w:rPr>
          <w:spacing w:val="-3"/>
          <w:sz w:val="18"/>
        </w:rPr>
        <w:t xml:space="preserve"> </w:t>
      </w:r>
      <w:r w:rsidRPr="00EC20A0">
        <w:rPr>
          <w:sz w:val="18"/>
        </w:rPr>
        <w:t>differences</w:t>
      </w:r>
      <w:r w:rsidRPr="00EC20A0">
        <w:rPr>
          <w:spacing w:val="-3"/>
          <w:sz w:val="18"/>
        </w:rPr>
        <w:t xml:space="preserve"> </w:t>
      </w:r>
      <w:r w:rsidRPr="00EC20A0">
        <w:rPr>
          <w:sz w:val="18"/>
        </w:rPr>
        <w:t>(Com</w:t>
      </w:r>
      <w:r w:rsidRPr="00EC20A0">
        <w:rPr>
          <w:sz w:val="18"/>
        </w:rPr>
        <w:t>parative</w:t>
      </w:r>
      <w:r w:rsidRPr="00EC20A0">
        <w:rPr>
          <w:spacing w:val="-2"/>
          <w:sz w:val="18"/>
        </w:rPr>
        <w:t xml:space="preserve"> </w:t>
      </w:r>
      <w:r w:rsidRPr="00EC20A0">
        <w:rPr>
          <w:sz w:val="18"/>
        </w:rPr>
        <w:t>Status</w:t>
      </w:r>
      <w:r w:rsidRPr="00EC20A0">
        <w:rPr>
          <w:spacing w:val="-3"/>
          <w:sz w:val="18"/>
        </w:rPr>
        <w:t xml:space="preserve"> </w:t>
      </w:r>
      <w:r w:rsidRPr="00EC20A0">
        <w:rPr>
          <w:sz w:val="18"/>
        </w:rPr>
        <w:t>of</w:t>
      </w:r>
      <w:r w:rsidRPr="00EC20A0">
        <w:rPr>
          <w:spacing w:val="-3"/>
          <w:sz w:val="18"/>
        </w:rPr>
        <w:t xml:space="preserve"> </w:t>
      </w:r>
      <w:r w:rsidRPr="00EC20A0">
        <w:rPr>
          <w:sz w:val="18"/>
        </w:rPr>
        <w:t>Disposition</w:t>
      </w:r>
      <w:r w:rsidRPr="00EC20A0">
        <w:rPr>
          <w:spacing w:val="-4"/>
          <w:sz w:val="18"/>
        </w:rPr>
        <w:t xml:space="preserve"> </w:t>
      </w:r>
      <w:r w:rsidRPr="00EC20A0">
        <w:rPr>
          <w:sz w:val="18"/>
        </w:rPr>
        <w:t>Report,</w:t>
      </w:r>
      <w:r w:rsidRPr="00EC20A0">
        <w:rPr>
          <w:spacing w:val="-3"/>
          <w:sz w:val="18"/>
        </w:rPr>
        <w:t xml:space="preserve"> </w:t>
      </w:r>
      <w:r w:rsidRPr="00EC20A0">
        <w:rPr>
          <w:sz w:val="18"/>
        </w:rPr>
        <w:t>CSDR),</w:t>
      </w:r>
      <w:r w:rsidRPr="00EC20A0">
        <w:rPr>
          <w:spacing w:val="-3"/>
          <w:sz w:val="18"/>
        </w:rPr>
        <w:t xml:space="preserve"> </w:t>
      </w:r>
      <w:r w:rsidRPr="00EC20A0">
        <w:rPr>
          <w:sz w:val="18"/>
        </w:rPr>
        <w:t>and</w:t>
      </w:r>
      <w:r w:rsidRPr="00EC20A0">
        <w:rPr>
          <w:spacing w:val="-4"/>
          <w:sz w:val="18"/>
        </w:rPr>
        <w:t xml:space="preserve"> </w:t>
      </w:r>
      <w:r w:rsidRPr="00EC20A0">
        <w:rPr>
          <w:sz w:val="18"/>
        </w:rPr>
        <w:t>a</w:t>
      </w:r>
      <w:r w:rsidRPr="00EC20A0">
        <w:rPr>
          <w:spacing w:val="-4"/>
          <w:sz w:val="18"/>
        </w:rPr>
        <w:t xml:space="preserve"> </w:t>
      </w:r>
      <w:r w:rsidRPr="00EC20A0">
        <w:rPr>
          <w:sz w:val="18"/>
        </w:rPr>
        <w:t>spreadsheet that breaks down differences to the USSGL level (IGT Raw Data File). Entities work with their trading partners and use the CSDR and the IGT Raw Data File to reconcile intragovernmental amounts (research) and resolve resulting differences before the start of the next quarterly cycle.</w:t>
      </w:r>
    </w:p>
    <w:p w14:paraId="24D616A7" w14:textId="77777777" w:rsidR="00245300" w:rsidRPr="00EC20A0" w:rsidRDefault="00F17249">
      <w:pPr>
        <w:spacing w:before="117" w:line="242" w:lineRule="auto"/>
        <w:ind w:left="199" w:right="345"/>
        <w:rPr>
          <w:sz w:val="18"/>
        </w:rPr>
      </w:pPr>
      <w:bookmarkStart w:id="292" w:name="_bookmark167"/>
      <w:bookmarkEnd w:id="292"/>
      <w:r w:rsidRPr="00EC20A0">
        <w:rPr>
          <w:position w:val="7"/>
          <w:sz w:val="14"/>
        </w:rPr>
        <w:t>17</w:t>
      </w:r>
      <w:r w:rsidRPr="00EC20A0">
        <w:rPr>
          <w:sz w:val="18"/>
        </w:rPr>
        <w:t>During the year-end consolidation process for the U.S. government’s financial statements, Treasury analyzes intragovernmental</w:t>
      </w:r>
      <w:r w:rsidRPr="00EC20A0">
        <w:rPr>
          <w:spacing w:val="-3"/>
          <w:sz w:val="18"/>
        </w:rPr>
        <w:t xml:space="preserve"> </w:t>
      </w:r>
      <w:r w:rsidRPr="00EC20A0">
        <w:rPr>
          <w:sz w:val="18"/>
        </w:rPr>
        <w:t>differences</w:t>
      </w:r>
      <w:r w:rsidRPr="00EC20A0">
        <w:rPr>
          <w:spacing w:val="-2"/>
          <w:sz w:val="18"/>
        </w:rPr>
        <w:t xml:space="preserve"> </w:t>
      </w:r>
      <w:r w:rsidRPr="00EC20A0">
        <w:rPr>
          <w:sz w:val="18"/>
        </w:rPr>
        <w:t>calculated</w:t>
      </w:r>
      <w:r w:rsidRPr="00EC20A0">
        <w:rPr>
          <w:spacing w:val="-4"/>
          <w:sz w:val="18"/>
        </w:rPr>
        <w:t xml:space="preserve"> </w:t>
      </w:r>
      <w:r w:rsidRPr="00EC20A0">
        <w:rPr>
          <w:sz w:val="18"/>
        </w:rPr>
        <w:t>to</w:t>
      </w:r>
      <w:r w:rsidRPr="00EC20A0">
        <w:rPr>
          <w:spacing w:val="-4"/>
          <w:sz w:val="18"/>
        </w:rPr>
        <w:t xml:space="preserve"> </w:t>
      </w:r>
      <w:r w:rsidRPr="00EC20A0">
        <w:rPr>
          <w:sz w:val="18"/>
        </w:rPr>
        <w:t>identify</w:t>
      </w:r>
      <w:r w:rsidRPr="00EC20A0">
        <w:rPr>
          <w:spacing w:val="-3"/>
          <w:sz w:val="18"/>
        </w:rPr>
        <w:t xml:space="preserve"> </w:t>
      </w:r>
      <w:r w:rsidRPr="00EC20A0">
        <w:rPr>
          <w:sz w:val="18"/>
        </w:rPr>
        <w:t>those</w:t>
      </w:r>
      <w:r w:rsidRPr="00EC20A0">
        <w:rPr>
          <w:spacing w:val="-4"/>
          <w:sz w:val="18"/>
        </w:rPr>
        <w:t xml:space="preserve"> </w:t>
      </w:r>
      <w:r w:rsidRPr="00EC20A0">
        <w:rPr>
          <w:sz w:val="18"/>
        </w:rPr>
        <w:t>that</w:t>
      </w:r>
      <w:r w:rsidRPr="00EC20A0">
        <w:rPr>
          <w:spacing w:val="-3"/>
          <w:sz w:val="18"/>
        </w:rPr>
        <w:t xml:space="preserve"> </w:t>
      </w:r>
      <w:r w:rsidRPr="00EC20A0">
        <w:rPr>
          <w:sz w:val="18"/>
        </w:rPr>
        <w:t>it</w:t>
      </w:r>
      <w:r w:rsidRPr="00EC20A0">
        <w:rPr>
          <w:spacing w:val="-3"/>
          <w:sz w:val="18"/>
        </w:rPr>
        <w:t xml:space="preserve"> </w:t>
      </w:r>
      <w:r w:rsidRPr="00EC20A0">
        <w:rPr>
          <w:sz w:val="18"/>
        </w:rPr>
        <w:t>can</w:t>
      </w:r>
      <w:r w:rsidRPr="00EC20A0">
        <w:rPr>
          <w:spacing w:val="-4"/>
          <w:sz w:val="18"/>
        </w:rPr>
        <w:t xml:space="preserve"> </w:t>
      </w:r>
      <w:r w:rsidRPr="00EC20A0">
        <w:rPr>
          <w:sz w:val="18"/>
        </w:rPr>
        <w:t>resolve</w:t>
      </w:r>
      <w:r w:rsidRPr="00EC20A0">
        <w:rPr>
          <w:spacing w:val="-4"/>
          <w:sz w:val="18"/>
        </w:rPr>
        <w:t xml:space="preserve"> </w:t>
      </w:r>
      <w:r w:rsidRPr="00EC20A0">
        <w:rPr>
          <w:sz w:val="18"/>
        </w:rPr>
        <w:t>by</w:t>
      </w:r>
      <w:r w:rsidRPr="00EC20A0">
        <w:rPr>
          <w:spacing w:val="-3"/>
          <w:sz w:val="18"/>
        </w:rPr>
        <w:t xml:space="preserve"> </w:t>
      </w:r>
      <w:r w:rsidRPr="00EC20A0">
        <w:rPr>
          <w:sz w:val="18"/>
        </w:rPr>
        <w:t>booking</w:t>
      </w:r>
      <w:r w:rsidRPr="00EC20A0">
        <w:rPr>
          <w:spacing w:val="-4"/>
          <w:sz w:val="18"/>
        </w:rPr>
        <w:t xml:space="preserve"> </w:t>
      </w:r>
      <w:r w:rsidRPr="00EC20A0">
        <w:rPr>
          <w:sz w:val="18"/>
        </w:rPr>
        <w:t>journal</w:t>
      </w:r>
      <w:r w:rsidRPr="00EC20A0">
        <w:rPr>
          <w:spacing w:val="-3"/>
          <w:sz w:val="18"/>
        </w:rPr>
        <w:t xml:space="preserve"> </w:t>
      </w:r>
      <w:r w:rsidRPr="00EC20A0">
        <w:rPr>
          <w:sz w:val="18"/>
        </w:rPr>
        <w:t>vouchers</w:t>
      </w:r>
      <w:r w:rsidRPr="00EC20A0">
        <w:rPr>
          <w:spacing w:val="-2"/>
          <w:sz w:val="18"/>
        </w:rPr>
        <w:t xml:space="preserve"> </w:t>
      </w:r>
      <w:r w:rsidRPr="00EC20A0">
        <w:rPr>
          <w:sz w:val="18"/>
        </w:rPr>
        <w:t>(JV).</w:t>
      </w:r>
      <w:r w:rsidRPr="00EC20A0">
        <w:rPr>
          <w:spacing w:val="-3"/>
          <w:sz w:val="18"/>
        </w:rPr>
        <w:t xml:space="preserve"> </w:t>
      </w:r>
      <w:r w:rsidRPr="00EC20A0">
        <w:rPr>
          <w:sz w:val="18"/>
        </w:rPr>
        <w:t xml:space="preserve">Doing so, Treasury </w:t>
      </w:r>
      <w:r w:rsidRPr="00EC20A0">
        <w:rPr>
          <w:sz w:val="18"/>
        </w:rPr>
        <w:t>changes the audited data the entities sent to it, which lessens the total intragovernmental differences reported</w:t>
      </w:r>
      <w:r w:rsidRPr="00EC20A0">
        <w:rPr>
          <w:spacing w:val="-3"/>
          <w:sz w:val="18"/>
        </w:rPr>
        <w:t xml:space="preserve"> </w:t>
      </w:r>
      <w:r w:rsidRPr="00EC20A0">
        <w:rPr>
          <w:sz w:val="18"/>
        </w:rPr>
        <w:t>in</w:t>
      </w:r>
      <w:r w:rsidRPr="00EC20A0">
        <w:rPr>
          <w:spacing w:val="-3"/>
          <w:sz w:val="18"/>
        </w:rPr>
        <w:t xml:space="preserve"> </w:t>
      </w:r>
      <w:r w:rsidRPr="00EC20A0">
        <w:rPr>
          <w:sz w:val="18"/>
        </w:rPr>
        <w:t>the</w:t>
      </w:r>
      <w:r w:rsidRPr="00EC20A0">
        <w:rPr>
          <w:spacing w:val="-1"/>
          <w:sz w:val="18"/>
        </w:rPr>
        <w:t xml:space="preserve"> </w:t>
      </w:r>
      <w:r w:rsidRPr="00EC20A0">
        <w:rPr>
          <w:sz w:val="18"/>
        </w:rPr>
        <w:t>U.S.</w:t>
      </w:r>
      <w:r w:rsidRPr="00EC20A0">
        <w:rPr>
          <w:spacing w:val="-2"/>
          <w:sz w:val="18"/>
        </w:rPr>
        <w:t xml:space="preserve"> </w:t>
      </w:r>
      <w:r w:rsidRPr="00EC20A0">
        <w:rPr>
          <w:sz w:val="18"/>
        </w:rPr>
        <w:t>government’s</w:t>
      </w:r>
      <w:r w:rsidRPr="00EC20A0">
        <w:rPr>
          <w:spacing w:val="-2"/>
          <w:sz w:val="18"/>
        </w:rPr>
        <w:t xml:space="preserve"> </w:t>
      </w:r>
      <w:r w:rsidRPr="00EC20A0">
        <w:rPr>
          <w:sz w:val="18"/>
        </w:rPr>
        <w:t>consolidated</w:t>
      </w:r>
      <w:r w:rsidRPr="00EC20A0">
        <w:rPr>
          <w:spacing w:val="-3"/>
          <w:sz w:val="18"/>
        </w:rPr>
        <w:t xml:space="preserve"> </w:t>
      </w:r>
      <w:r w:rsidRPr="00EC20A0">
        <w:rPr>
          <w:sz w:val="18"/>
        </w:rPr>
        <w:t>financial</w:t>
      </w:r>
      <w:r w:rsidRPr="00EC20A0">
        <w:rPr>
          <w:spacing w:val="-2"/>
          <w:sz w:val="18"/>
        </w:rPr>
        <w:t xml:space="preserve"> </w:t>
      </w:r>
      <w:r w:rsidRPr="00EC20A0">
        <w:rPr>
          <w:sz w:val="18"/>
        </w:rPr>
        <w:t>statements.</w:t>
      </w:r>
      <w:r w:rsidRPr="00EC20A0">
        <w:rPr>
          <w:spacing w:val="-2"/>
          <w:sz w:val="18"/>
        </w:rPr>
        <w:t xml:space="preserve"> </w:t>
      </w:r>
      <w:r w:rsidRPr="00EC20A0">
        <w:rPr>
          <w:sz w:val="18"/>
        </w:rPr>
        <w:t>Treasury</w:t>
      </w:r>
      <w:r w:rsidRPr="00EC20A0">
        <w:rPr>
          <w:spacing w:val="-2"/>
          <w:sz w:val="18"/>
        </w:rPr>
        <w:t xml:space="preserve"> </w:t>
      </w:r>
      <w:r w:rsidRPr="00EC20A0">
        <w:rPr>
          <w:sz w:val="18"/>
        </w:rPr>
        <w:t>generally</w:t>
      </w:r>
      <w:r w:rsidRPr="00EC20A0">
        <w:rPr>
          <w:spacing w:val="-2"/>
          <w:sz w:val="18"/>
        </w:rPr>
        <w:t xml:space="preserve"> </w:t>
      </w:r>
      <w:r w:rsidRPr="00EC20A0">
        <w:rPr>
          <w:sz w:val="18"/>
        </w:rPr>
        <w:t>contacts</w:t>
      </w:r>
      <w:r w:rsidRPr="00EC20A0">
        <w:rPr>
          <w:spacing w:val="-2"/>
          <w:sz w:val="18"/>
        </w:rPr>
        <w:t xml:space="preserve"> </w:t>
      </w:r>
      <w:r w:rsidRPr="00EC20A0">
        <w:rPr>
          <w:sz w:val="18"/>
        </w:rPr>
        <w:t>the</w:t>
      </w:r>
      <w:r w:rsidRPr="00EC20A0">
        <w:rPr>
          <w:spacing w:val="-3"/>
          <w:sz w:val="18"/>
        </w:rPr>
        <w:t xml:space="preserve"> </w:t>
      </w:r>
      <w:r w:rsidRPr="00EC20A0">
        <w:rPr>
          <w:sz w:val="18"/>
        </w:rPr>
        <w:t>entities</w:t>
      </w:r>
      <w:r w:rsidRPr="00EC20A0">
        <w:rPr>
          <w:spacing w:val="-2"/>
          <w:sz w:val="18"/>
        </w:rPr>
        <w:t xml:space="preserve"> </w:t>
      </w:r>
      <w:r w:rsidRPr="00EC20A0">
        <w:rPr>
          <w:sz w:val="18"/>
        </w:rPr>
        <w:t>prior</w:t>
      </w:r>
      <w:r w:rsidRPr="00EC20A0">
        <w:rPr>
          <w:spacing w:val="-2"/>
          <w:sz w:val="18"/>
        </w:rPr>
        <w:t xml:space="preserve"> </w:t>
      </w:r>
      <w:r w:rsidRPr="00EC20A0">
        <w:rPr>
          <w:sz w:val="18"/>
        </w:rPr>
        <w:t>to making the JVs.</w:t>
      </w:r>
    </w:p>
    <w:p w14:paraId="24D616A8"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6A9"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6AD" w14:textId="77777777">
        <w:trPr>
          <w:trHeight w:val="625"/>
        </w:trPr>
        <w:tc>
          <w:tcPr>
            <w:tcW w:w="6696" w:type="dxa"/>
            <w:tcBorders>
              <w:right w:val="single" w:sz="4" w:space="0" w:color="000000"/>
            </w:tcBorders>
          </w:tcPr>
          <w:p w14:paraId="24D616AA"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6AB"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6AC"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6B2" w14:textId="77777777">
        <w:trPr>
          <w:trHeight w:val="2482"/>
        </w:trPr>
        <w:tc>
          <w:tcPr>
            <w:tcW w:w="6696" w:type="dxa"/>
            <w:tcBorders>
              <w:bottom w:val="single" w:sz="4" w:space="0" w:color="000000"/>
              <w:right w:val="single" w:sz="4" w:space="0" w:color="000000"/>
            </w:tcBorders>
          </w:tcPr>
          <w:p w14:paraId="24D616AE" w14:textId="77777777" w:rsidR="00245300" w:rsidRPr="00EC20A0" w:rsidRDefault="00F17249">
            <w:pPr>
              <w:pStyle w:val="TableParagraph"/>
              <w:numPr>
                <w:ilvl w:val="0"/>
                <w:numId w:val="114"/>
              </w:numPr>
              <w:tabs>
                <w:tab w:val="left" w:pos="812"/>
              </w:tabs>
              <w:spacing w:before="25"/>
              <w:ind w:right="206"/>
            </w:pPr>
            <w:r w:rsidRPr="00EC20A0">
              <w:t>Identify</w:t>
            </w:r>
            <w:r w:rsidRPr="00EC20A0">
              <w:rPr>
                <w:spacing w:val="-7"/>
              </w:rPr>
              <w:t xml:space="preserve"> </w:t>
            </w:r>
            <w:r w:rsidRPr="00EC20A0">
              <w:t>the</w:t>
            </w:r>
            <w:r w:rsidRPr="00EC20A0">
              <w:rPr>
                <w:spacing w:val="-8"/>
              </w:rPr>
              <w:t xml:space="preserve"> </w:t>
            </w:r>
            <w:r w:rsidRPr="00EC20A0">
              <w:t>entity’s</w:t>
            </w:r>
            <w:r w:rsidRPr="00EC20A0">
              <w:rPr>
                <w:spacing w:val="-8"/>
              </w:rPr>
              <w:t xml:space="preserve"> </w:t>
            </w:r>
            <w:r w:rsidRPr="00EC20A0">
              <w:t>accounting</w:t>
            </w:r>
            <w:r w:rsidRPr="00EC20A0">
              <w:rPr>
                <w:spacing w:val="-7"/>
              </w:rPr>
              <w:t xml:space="preserve"> </w:t>
            </w:r>
            <w:r w:rsidRPr="00EC20A0">
              <w:t>and</w:t>
            </w:r>
            <w:r w:rsidRPr="00EC20A0">
              <w:rPr>
                <w:spacing w:val="-7"/>
              </w:rPr>
              <w:t xml:space="preserve"> </w:t>
            </w:r>
            <w:r w:rsidRPr="00EC20A0">
              <w:t>reporting</w:t>
            </w:r>
            <w:r w:rsidRPr="00EC20A0">
              <w:rPr>
                <w:spacing w:val="-7"/>
              </w:rPr>
              <w:t xml:space="preserve"> </w:t>
            </w:r>
            <w:r w:rsidRPr="00EC20A0">
              <w:t>requirements for intragovernmental activity and balances such as by reading the following:</w:t>
            </w:r>
          </w:p>
          <w:p w14:paraId="24D616AF" w14:textId="77777777" w:rsidR="00245300" w:rsidRPr="00EC20A0" w:rsidRDefault="00F17249">
            <w:pPr>
              <w:pStyle w:val="TableParagraph"/>
              <w:numPr>
                <w:ilvl w:val="1"/>
                <w:numId w:val="114"/>
              </w:numPr>
              <w:tabs>
                <w:tab w:val="left" w:pos="1244"/>
              </w:tabs>
              <w:spacing w:before="121"/>
              <w:ind w:right="259" w:hanging="396"/>
            </w:pPr>
            <w:r w:rsidRPr="00EC20A0">
              <w:t xml:space="preserve">Applicable Federal Accounting Standards Advisory Board (FASAB) standards; OMB reporting guidance; and </w:t>
            </w:r>
            <w:r w:rsidRPr="00EC20A0">
              <w:rPr>
                <w:i/>
              </w:rPr>
              <w:t>Treasury Financial Manual</w:t>
            </w:r>
            <w:r w:rsidRPr="00EC20A0">
              <w:t>, volume 1, part 2, chapter</w:t>
            </w:r>
            <w:r w:rsidRPr="00EC20A0">
              <w:rPr>
                <w:spacing w:val="-11"/>
              </w:rPr>
              <w:t xml:space="preserve"> </w:t>
            </w:r>
            <w:r w:rsidRPr="00EC20A0">
              <w:t>4700</w:t>
            </w:r>
            <w:r w:rsidRPr="00EC20A0">
              <w:rPr>
                <w:spacing w:val="-7"/>
              </w:rPr>
              <w:t xml:space="preserve"> </w:t>
            </w:r>
            <w:r w:rsidRPr="00EC20A0">
              <w:t>(TFM</w:t>
            </w:r>
            <w:r w:rsidRPr="00EC20A0">
              <w:rPr>
                <w:spacing w:val="-8"/>
              </w:rPr>
              <w:t xml:space="preserve"> </w:t>
            </w:r>
            <w:r w:rsidRPr="00EC20A0">
              <w:t>2-4700),</w:t>
            </w:r>
            <w:r w:rsidRPr="00EC20A0">
              <w:rPr>
                <w:spacing w:val="-21"/>
              </w:rPr>
              <w:t xml:space="preserve"> </w:t>
            </w:r>
            <w:r w:rsidRPr="00EC20A0">
              <w:rPr>
                <w:i/>
              </w:rPr>
              <w:t>Federal</w:t>
            </w:r>
            <w:r w:rsidRPr="00EC20A0">
              <w:rPr>
                <w:i/>
                <w:spacing w:val="-8"/>
              </w:rPr>
              <w:t xml:space="preserve"> </w:t>
            </w:r>
            <w:r w:rsidRPr="00EC20A0">
              <w:rPr>
                <w:i/>
              </w:rPr>
              <w:t>Entity</w:t>
            </w:r>
            <w:r w:rsidRPr="00EC20A0">
              <w:rPr>
                <w:i/>
                <w:spacing w:val="-6"/>
              </w:rPr>
              <w:t xml:space="preserve"> </w:t>
            </w:r>
            <w:r w:rsidRPr="00EC20A0">
              <w:rPr>
                <w:i/>
              </w:rPr>
              <w:t xml:space="preserve">Reporting Requirements for the Financial Report of the United States Government </w:t>
            </w:r>
            <w:r w:rsidRPr="00EC20A0">
              <w:t>(FR).</w:t>
            </w:r>
          </w:p>
        </w:tc>
        <w:tc>
          <w:tcPr>
            <w:tcW w:w="1144" w:type="dxa"/>
            <w:tcBorders>
              <w:left w:val="single" w:sz="4" w:space="0" w:color="000000"/>
              <w:bottom w:val="single" w:sz="4" w:space="0" w:color="000000"/>
              <w:right w:val="single" w:sz="4" w:space="0" w:color="000000"/>
            </w:tcBorders>
          </w:tcPr>
          <w:p w14:paraId="24D616B0"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6B1" w14:textId="77777777" w:rsidR="00245300" w:rsidRPr="00EC20A0" w:rsidRDefault="00245300">
            <w:pPr>
              <w:pStyle w:val="TableParagraph"/>
              <w:rPr>
                <w:sz w:val="20"/>
              </w:rPr>
            </w:pPr>
          </w:p>
        </w:tc>
      </w:tr>
      <w:tr w:rsidR="00245300" w:rsidRPr="00EC20A0" w14:paraId="24D616B6" w14:textId="77777777">
        <w:trPr>
          <w:trHeight w:val="879"/>
        </w:trPr>
        <w:tc>
          <w:tcPr>
            <w:tcW w:w="6696" w:type="dxa"/>
            <w:tcBorders>
              <w:top w:val="single" w:sz="4" w:space="0" w:color="000000"/>
              <w:bottom w:val="single" w:sz="4" w:space="0" w:color="000000"/>
              <w:right w:val="single" w:sz="4" w:space="0" w:color="000000"/>
            </w:tcBorders>
          </w:tcPr>
          <w:p w14:paraId="24D616B3" w14:textId="77777777" w:rsidR="00245300" w:rsidRPr="00EC20A0" w:rsidRDefault="00F17249">
            <w:pPr>
              <w:pStyle w:val="TableParagraph"/>
              <w:spacing w:before="60"/>
              <w:ind w:left="1244" w:right="433" w:hanging="397"/>
              <w:jc w:val="both"/>
            </w:pPr>
            <w:r w:rsidRPr="00EC20A0">
              <w:t>b)</w:t>
            </w:r>
            <w:r w:rsidRPr="00EC20A0">
              <w:rPr>
                <w:spacing w:val="80"/>
              </w:rPr>
              <w:t xml:space="preserve"> </w:t>
            </w:r>
            <w:r w:rsidRPr="00EC20A0">
              <w:t>Entity</w:t>
            </w:r>
            <w:r w:rsidRPr="00EC20A0">
              <w:rPr>
                <w:spacing w:val="-4"/>
              </w:rPr>
              <w:t xml:space="preserve"> </w:t>
            </w:r>
            <w:r w:rsidRPr="00EC20A0">
              <w:t>policies</w:t>
            </w:r>
            <w:r w:rsidRPr="00EC20A0">
              <w:rPr>
                <w:spacing w:val="-4"/>
              </w:rPr>
              <w:t xml:space="preserve"> </w:t>
            </w:r>
            <w:r w:rsidRPr="00EC20A0">
              <w:t>and</w:t>
            </w:r>
            <w:r w:rsidRPr="00EC20A0">
              <w:rPr>
                <w:spacing w:val="-4"/>
              </w:rPr>
              <w:t xml:space="preserve"> </w:t>
            </w:r>
            <w:r w:rsidRPr="00EC20A0">
              <w:t>procedures</w:t>
            </w:r>
            <w:r w:rsidRPr="00EC20A0">
              <w:rPr>
                <w:spacing w:val="-4"/>
              </w:rPr>
              <w:t xml:space="preserve"> </w:t>
            </w:r>
            <w:r w:rsidRPr="00EC20A0">
              <w:t>covering</w:t>
            </w:r>
            <w:r w:rsidRPr="00EC20A0">
              <w:rPr>
                <w:spacing w:val="-4"/>
              </w:rPr>
              <w:t xml:space="preserve"> </w:t>
            </w:r>
            <w:r w:rsidRPr="00EC20A0">
              <w:t>the</w:t>
            </w:r>
            <w:r w:rsidRPr="00EC20A0">
              <w:rPr>
                <w:spacing w:val="-4"/>
              </w:rPr>
              <w:t xml:space="preserve"> </w:t>
            </w:r>
            <w:r w:rsidRPr="00EC20A0">
              <w:t>general accounting</w:t>
            </w:r>
            <w:r w:rsidRPr="00EC20A0">
              <w:rPr>
                <w:spacing w:val="-2"/>
              </w:rPr>
              <w:t xml:space="preserve"> </w:t>
            </w:r>
            <w:r w:rsidRPr="00EC20A0">
              <w:t>and</w:t>
            </w:r>
            <w:r w:rsidRPr="00EC20A0">
              <w:rPr>
                <w:spacing w:val="-1"/>
              </w:rPr>
              <w:t xml:space="preserve"> </w:t>
            </w:r>
            <w:r w:rsidRPr="00EC20A0">
              <w:t>reporting phases</w:t>
            </w:r>
            <w:r w:rsidRPr="00EC20A0">
              <w:rPr>
                <w:spacing w:val="-1"/>
              </w:rPr>
              <w:t xml:space="preserve"> </w:t>
            </w:r>
            <w:r w:rsidRPr="00EC20A0">
              <w:t>(see</w:t>
            </w:r>
            <w:r w:rsidRPr="00EC20A0">
              <w:rPr>
                <w:spacing w:val="-1"/>
              </w:rPr>
              <w:t xml:space="preserve"> </w:t>
            </w:r>
            <w:r w:rsidRPr="00EC20A0">
              <w:t>I.1.c</w:t>
            </w:r>
            <w:r w:rsidRPr="00EC20A0">
              <w:rPr>
                <w:spacing w:val="-1"/>
              </w:rPr>
              <w:t xml:space="preserve"> </w:t>
            </w:r>
            <w:r w:rsidRPr="00EC20A0">
              <w:t>above), including internal controls.</w:t>
            </w:r>
          </w:p>
        </w:tc>
        <w:tc>
          <w:tcPr>
            <w:tcW w:w="1144" w:type="dxa"/>
            <w:tcBorders>
              <w:top w:val="single" w:sz="4" w:space="0" w:color="000000"/>
              <w:left w:val="single" w:sz="4" w:space="0" w:color="000000"/>
              <w:bottom w:val="single" w:sz="4" w:space="0" w:color="000000"/>
              <w:right w:val="single" w:sz="4" w:space="0" w:color="000000"/>
            </w:tcBorders>
          </w:tcPr>
          <w:p w14:paraId="24D616B4"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B5" w14:textId="77777777" w:rsidR="00245300" w:rsidRPr="00EC20A0" w:rsidRDefault="00245300">
            <w:pPr>
              <w:pStyle w:val="TableParagraph"/>
              <w:rPr>
                <w:sz w:val="20"/>
              </w:rPr>
            </w:pPr>
          </w:p>
        </w:tc>
      </w:tr>
      <w:tr w:rsidR="00245300" w:rsidRPr="00EC20A0" w14:paraId="24D616BC" w14:textId="77777777">
        <w:trPr>
          <w:trHeight w:val="2889"/>
        </w:trPr>
        <w:tc>
          <w:tcPr>
            <w:tcW w:w="6696" w:type="dxa"/>
            <w:tcBorders>
              <w:top w:val="single" w:sz="4" w:space="0" w:color="000000"/>
              <w:bottom w:val="single" w:sz="4" w:space="0" w:color="000000"/>
              <w:right w:val="single" w:sz="4" w:space="0" w:color="000000"/>
            </w:tcBorders>
          </w:tcPr>
          <w:p w14:paraId="24D616B7" w14:textId="77777777" w:rsidR="00245300" w:rsidRPr="00EC20A0" w:rsidRDefault="00F17249">
            <w:pPr>
              <w:pStyle w:val="TableParagraph"/>
              <w:numPr>
                <w:ilvl w:val="0"/>
                <w:numId w:val="113"/>
              </w:numPr>
              <w:tabs>
                <w:tab w:val="left" w:pos="812"/>
              </w:tabs>
              <w:spacing w:before="60"/>
              <w:ind w:right="214" w:hanging="505"/>
            </w:pPr>
            <w:r w:rsidRPr="00EC20A0">
              <w:t>To</w:t>
            </w:r>
            <w:r w:rsidRPr="00EC20A0">
              <w:rPr>
                <w:spacing w:val="-3"/>
              </w:rPr>
              <w:t xml:space="preserve"> </w:t>
            </w:r>
            <w:r w:rsidRPr="00EC20A0">
              <w:t>identify</w:t>
            </w:r>
            <w:r w:rsidRPr="00EC20A0">
              <w:rPr>
                <w:spacing w:val="-4"/>
              </w:rPr>
              <w:t xml:space="preserve"> </w:t>
            </w:r>
            <w:r w:rsidRPr="00EC20A0">
              <w:t>material</w:t>
            </w:r>
            <w:r w:rsidRPr="00EC20A0">
              <w:rPr>
                <w:spacing w:val="-3"/>
              </w:rPr>
              <w:t xml:space="preserve"> </w:t>
            </w:r>
            <w:r w:rsidRPr="00EC20A0">
              <w:t>line</w:t>
            </w:r>
            <w:r w:rsidRPr="00EC20A0">
              <w:rPr>
                <w:spacing w:val="-4"/>
              </w:rPr>
              <w:t xml:space="preserve"> </w:t>
            </w:r>
            <w:r w:rsidRPr="00EC20A0">
              <w:t>items,</w:t>
            </w:r>
            <w:r w:rsidRPr="00EC20A0">
              <w:rPr>
                <w:spacing w:val="-3"/>
              </w:rPr>
              <w:t xml:space="preserve"> </w:t>
            </w:r>
            <w:r w:rsidRPr="00EC20A0">
              <w:t>accounts,</w:t>
            </w:r>
            <w:r w:rsidRPr="00EC20A0">
              <w:rPr>
                <w:spacing w:val="-3"/>
              </w:rPr>
              <w:t xml:space="preserve"> </w:t>
            </w:r>
            <w:r w:rsidRPr="00EC20A0">
              <w:t>note</w:t>
            </w:r>
            <w:r w:rsidRPr="00EC20A0">
              <w:rPr>
                <w:spacing w:val="-3"/>
              </w:rPr>
              <w:t xml:space="preserve"> </w:t>
            </w:r>
            <w:r w:rsidRPr="00EC20A0">
              <w:t>disclosures, and</w:t>
            </w:r>
            <w:r w:rsidRPr="00EC20A0">
              <w:rPr>
                <w:spacing w:val="-5"/>
              </w:rPr>
              <w:t xml:space="preserve"> </w:t>
            </w:r>
            <w:r w:rsidRPr="00EC20A0">
              <w:t>classes</w:t>
            </w:r>
            <w:r w:rsidRPr="00EC20A0">
              <w:rPr>
                <w:spacing w:val="-6"/>
              </w:rPr>
              <w:t xml:space="preserve"> </w:t>
            </w:r>
            <w:r w:rsidRPr="00EC20A0">
              <w:t>of</w:t>
            </w:r>
            <w:r w:rsidRPr="00EC20A0">
              <w:rPr>
                <w:spacing w:val="-5"/>
              </w:rPr>
              <w:t xml:space="preserve"> </w:t>
            </w:r>
            <w:r w:rsidRPr="00EC20A0">
              <w:t>transactions;</w:t>
            </w:r>
            <w:r w:rsidRPr="00EC20A0">
              <w:rPr>
                <w:spacing w:val="-5"/>
              </w:rPr>
              <w:t xml:space="preserve"> </w:t>
            </w:r>
            <w:r w:rsidRPr="00EC20A0">
              <w:t>and</w:t>
            </w:r>
            <w:r w:rsidRPr="00EC20A0">
              <w:rPr>
                <w:spacing w:val="-5"/>
              </w:rPr>
              <w:t xml:space="preserve"> </w:t>
            </w:r>
            <w:r w:rsidRPr="00EC20A0">
              <w:t>applicable</w:t>
            </w:r>
            <w:r w:rsidRPr="00EC20A0">
              <w:rPr>
                <w:spacing w:val="-5"/>
              </w:rPr>
              <w:t xml:space="preserve"> </w:t>
            </w:r>
            <w:r w:rsidRPr="00EC20A0">
              <w:t>assertions;</w:t>
            </w:r>
            <w:r w:rsidRPr="00EC20A0">
              <w:rPr>
                <w:spacing w:val="-5"/>
              </w:rPr>
              <w:t xml:space="preserve"> </w:t>
            </w:r>
            <w:r w:rsidRPr="00EC20A0">
              <w:t>for intragovernmental activity and balances, perform the following procedures:</w:t>
            </w:r>
          </w:p>
          <w:p w14:paraId="24D616B8" w14:textId="77777777" w:rsidR="00245300" w:rsidRPr="00EC20A0" w:rsidRDefault="00F17249">
            <w:pPr>
              <w:pStyle w:val="TableParagraph"/>
              <w:numPr>
                <w:ilvl w:val="1"/>
                <w:numId w:val="113"/>
              </w:numPr>
              <w:tabs>
                <w:tab w:val="left" w:pos="1244"/>
              </w:tabs>
              <w:spacing w:before="119"/>
              <w:ind w:hanging="396"/>
            </w:pPr>
            <w:r w:rsidRPr="00EC20A0">
              <w:t>Ask</w:t>
            </w:r>
            <w:r w:rsidRPr="00EC20A0">
              <w:rPr>
                <w:spacing w:val="-7"/>
              </w:rPr>
              <w:t xml:space="preserve"> </w:t>
            </w:r>
            <w:r w:rsidRPr="00EC20A0">
              <w:t>entity</w:t>
            </w:r>
            <w:r w:rsidRPr="00EC20A0">
              <w:rPr>
                <w:spacing w:val="-6"/>
              </w:rPr>
              <w:t xml:space="preserve"> </w:t>
            </w:r>
            <w:r w:rsidRPr="00EC20A0">
              <w:t>management</w:t>
            </w:r>
            <w:r w:rsidRPr="00EC20A0">
              <w:rPr>
                <w:spacing w:val="-7"/>
              </w:rPr>
              <w:t xml:space="preserve"> </w:t>
            </w:r>
            <w:r w:rsidRPr="00EC20A0">
              <w:t>to</w:t>
            </w:r>
            <w:r w:rsidRPr="00EC20A0">
              <w:rPr>
                <w:spacing w:val="-6"/>
              </w:rPr>
              <w:t xml:space="preserve"> </w:t>
            </w:r>
            <w:r w:rsidRPr="00EC20A0">
              <w:t>identify</w:t>
            </w:r>
            <w:r w:rsidRPr="00EC20A0">
              <w:rPr>
                <w:spacing w:val="-7"/>
              </w:rPr>
              <w:t xml:space="preserve"> </w:t>
            </w:r>
            <w:r w:rsidRPr="00EC20A0">
              <w:t>the</w:t>
            </w:r>
            <w:r w:rsidRPr="00EC20A0">
              <w:rPr>
                <w:spacing w:val="-6"/>
              </w:rPr>
              <w:t xml:space="preserve"> </w:t>
            </w:r>
            <w:r w:rsidRPr="00EC20A0">
              <w:rPr>
                <w:spacing w:val="-2"/>
              </w:rPr>
              <w:t>following:</w:t>
            </w:r>
          </w:p>
          <w:p w14:paraId="24D616B9" w14:textId="77777777" w:rsidR="00245300" w:rsidRPr="00EC20A0" w:rsidRDefault="00F17249">
            <w:pPr>
              <w:pStyle w:val="TableParagraph"/>
              <w:numPr>
                <w:ilvl w:val="2"/>
                <w:numId w:val="113"/>
              </w:numPr>
              <w:tabs>
                <w:tab w:val="left" w:pos="1562"/>
              </w:tabs>
              <w:spacing w:before="120"/>
              <w:ind w:right="249"/>
            </w:pPr>
            <w:r w:rsidRPr="00EC20A0">
              <w:t>The names of all intragovernmental trading partners, related contracts and agreements, and the volumes and dollar amounts of intragovernmental</w:t>
            </w:r>
            <w:r w:rsidRPr="00EC20A0">
              <w:rPr>
                <w:spacing w:val="-8"/>
              </w:rPr>
              <w:t xml:space="preserve"> </w:t>
            </w:r>
            <w:r w:rsidRPr="00EC20A0">
              <w:t>activity</w:t>
            </w:r>
            <w:r w:rsidRPr="00EC20A0">
              <w:rPr>
                <w:spacing w:val="-8"/>
              </w:rPr>
              <w:t xml:space="preserve"> </w:t>
            </w:r>
            <w:r w:rsidRPr="00EC20A0">
              <w:t>and</w:t>
            </w:r>
            <w:r w:rsidRPr="00EC20A0">
              <w:rPr>
                <w:spacing w:val="-8"/>
              </w:rPr>
              <w:t xml:space="preserve"> </w:t>
            </w:r>
            <w:r w:rsidRPr="00EC20A0">
              <w:t>balances</w:t>
            </w:r>
            <w:r w:rsidRPr="00EC20A0">
              <w:rPr>
                <w:spacing w:val="-8"/>
              </w:rPr>
              <w:t xml:space="preserve"> </w:t>
            </w:r>
            <w:r w:rsidRPr="00EC20A0">
              <w:t>with</w:t>
            </w:r>
            <w:r w:rsidRPr="00EC20A0">
              <w:rPr>
                <w:spacing w:val="-8"/>
              </w:rPr>
              <w:t xml:space="preserve"> </w:t>
            </w:r>
            <w:r w:rsidRPr="00EC20A0">
              <w:t>each trading partner.</w:t>
            </w:r>
          </w:p>
        </w:tc>
        <w:tc>
          <w:tcPr>
            <w:tcW w:w="1144" w:type="dxa"/>
            <w:tcBorders>
              <w:top w:val="single" w:sz="4" w:space="0" w:color="000000"/>
              <w:left w:val="single" w:sz="4" w:space="0" w:color="000000"/>
              <w:bottom w:val="single" w:sz="4" w:space="0" w:color="000000"/>
              <w:right w:val="single" w:sz="4" w:space="0" w:color="000000"/>
            </w:tcBorders>
          </w:tcPr>
          <w:p w14:paraId="24D616BA"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BB" w14:textId="77777777" w:rsidR="00245300" w:rsidRPr="00EC20A0" w:rsidRDefault="00245300">
            <w:pPr>
              <w:pStyle w:val="TableParagraph"/>
              <w:rPr>
                <w:sz w:val="20"/>
              </w:rPr>
            </w:pPr>
          </w:p>
        </w:tc>
      </w:tr>
      <w:tr w:rsidR="00245300" w:rsidRPr="00EC20A0" w14:paraId="24D616C0" w14:textId="77777777">
        <w:trPr>
          <w:trHeight w:val="626"/>
        </w:trPr>
        <w:tc>
          <w:tcPr>
            <w:tcW w:w="6696" w:type="dxa"/>
            <w:tcBorders>
              <w:top w:val="single" w:sz="4" w:space="0" w:color="000000"/>
              <w:bottom w:val="single" w:sz="4" w:space="0" w:color="000000"/>
              <w:right w:val="single" w:sz="4" w:space="0" w:color="000000"/>
            </w:tcBorders>
          </w:tcPr>
          <w:p w14:paraId="24D616BD" w14:textId="77777777" w:rsidR="00245300" w:rsidRPr="00EC20A0" w:rsidRDefault="00F17249">
            <w:pPr>
              <w:pStyle w:val="TableParagraph"/>
              <w:tabs>
                <w:tab w:val="left" w:pos="1562"/>
              </w:tabs>
              <w:spacing w:before="60"/>
              <w:ind w:left="1562" w:right="1178" w:hanging="381"/>
            </w:pPr>
            <w:r w:rsidRPr="00EC20A0">
              <w:rPr>
                <w:spacing w:val="-4"/>
              </w:rPr>
              <w:t>ii.</w:t>
            </w:r>
            <w:r w:rsidRPr="00EC20A0">
              <w:tab/>
              <w:t>The nature and terms of all significant intragovernmental</w:t>
            </w:r>
            <w:r w:rsidRPr="00EC20A0">
              <w:rPr>
                <w:spacing w:val="-13"/>
              </w:rPr>
              <w:t xml:space="preserve"> </w:t>
            </w:r>
            <w:r w:rsidRPr="00EC20A0">
              <w:t>activity</w:t>
            </w:r>
            <w:r w:rsidRPr="00EC20A0">
              <w:rPr>
                <w:spacing w:val="-13"/>
              </w:rPr>
              <w:t xml:space="preserve"> </w:t>
            </w:r>
            <w:r w:rsidRPr="00EC20A0">
              <w:t>and</w:t>
            </w:r>
            <w:r w:rsidRPr="00EC20A0">
              <w:rPr>
                <w:spacing w:val="-13"/>
              </w:rPr>
              <w:t xml:space="preserve"> </w:t>
            </w:r>
            <w:r w:rsidRPr="00EC20A0">
              <w:t>balances.</w:t>
            </w:r>
          </w:p>
        </w:tc>
        <w:tc>
          <w:tcPr>
            <w:tcW w:w="1144" w:type="dxa"/>
            <w:tcBorders>
              <w:top w:val="single" w:sz="4" w:space="0" w:color="000000"/>
              <w:left w:val="single" w:sz="4" w:space="0" w:color="000000"/>
              <w:bottom w:val="single" w:sz="4" w:space="0" w:color="000000"/>
              <w:right w:val="single" w:sz="4" w:space="0" w:color="000000"/>
            </w:tcBorders>
          </w:tcPr>
          <w:p w14:paraId="24D616BE"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BF" w14:textId="77777777" w:rsidR="00245300" w:rsidRPr="00EC20A0" w:rsidRDefault="00245300">
            <w:pPr>
              <w:pStyle w:val="TableParagraph"/>
              <w:rPr>
                <w:sz w:val="20"/>
              </w:rPr>
            </w:pPr>
          </w:p>
        </w:tc>
      </w:tr>
      <w:tr w:rsidR="00245300" w:rsidRPr="00EC20A0" w14:paraId="24D616C4" w14:textId="77777777">
        <w:trPr>
          <w:trHeight w:val="1132"/>
        </w:trPr>
        <w:tc>
          <w:tcPr>
            <w:tcW w:w="6696" w:type="dxa"/>
            <w:tcBorders>
              <w:top w:val="single" w:sz="4" w:space="0" w:color="000000"/>
              <w:bottom w:val="single" w:sz="4" w:space="0" w:color="000000"/>
              <w:right w:val="single" w:sz="4" w:space="0" w:color="000000"/>
            </w:tcBorders>
          </w:tcPr>
          <w:p w14:paraId="24D616C1" w14:textId="77777777" w:rsidR="00245300" w:rsidRPr="00EC20A0" w:rsidRDefault="00F17249">
            <w:pPr>
              <w:pStyle w:val="TableParagraph"/>
              <w:tabs>
                <w:tab w:val="left" w:pos="1562"/>
              </w:tabs>
              <w:spacing w:before="60"/>
              <w:ind w:left="1562" w:right="359" w:hanging="430"/>
            </w:pPr>
            <w:r w:rsidRPr="00EC20A0">
              <w:rPr>
                <w:spacing w:val="-4"/>
              </w:rPr>
              <w:t>iii.</w:t>
            </w:r>
            <w:r w:rsidRPr="00EC20A0">
              <w:tab/>
              <w:t xml:space="preserve">The intragovernmental differences that Treasury </w:t>
            </w:r>
            <w:r w:rsidRPr="00EC20A0">
              <w:t>reported to the entity, are in Treasury’s dispute resolution process, or are being addressed by corrective</w:t>
            </w:r>
            <w:r w:rsidRPr="00EC20A0">
              <w:rPr>
                <w:spacing w:val="-7"/>
              </w:rPr>
              <w:t xml:space="preserve"> </w:t>
            </w:r>
            <w:r w:rsidRPr="00EC20A0">
              <w:t>actions</w:t>
            </w:r>
            <w:r w:rsidRPr="00EC20A0">
              <w:rPr>
                <w:spacing w:val="-7"/>
              </w:rPr>
              <w:t xml:space="preserve"> </w:t>
            </w:r>
            <w:r w:rsidRPr="00EC20A0">
              <w:t>that</w:t>
            </w:r>
            <w:r w:rsidRPr="00EC20A0">
              <w:rPr>
                <w:spacing w:val="-7"/>
              </w:rPr>
              <w:t xml:space="preserve"> </w:t>
            </w:r>
            <w:r w:rsidRPr="00EC20A0">
              <w:t>the</w:t>
            </w:r>
            <w:r w:rsidRPr="00EC20A0">
              <w:rPr>
                <w:spacing w:val="-7"/>
              </w:rPr>
              <w:t xml:space="preserve"> </w:t>
            </w:r>
            <w:r w:rsidRPr="00EC20A0">
              <w:t>entity</w:t>
            </w:r>
            <w:r w:rsidRPr="00EC20A0">
              <w:rPr>
                <w:spacing w:val="-7"/>
              </w:rPr>
              <w:t xml:space="preserve"> </w:t>
            </w:r>
            <w:r w:rsidRPr="00EC20A0">
              <w:t>is</w:t>
            </w:r>
            <w:r w:rsidRPr="00EC20A0">
              <w:rPr>
                <w:spacing w:val="-7"/>
              </w:rPr>
              <w:t xml:space="preserve"> </w:t>
            </w:r>
            <w:r w:rsidRPr="00EC20A0">
              <w:t>implementing.</w:t>
            </w:r>
          </w:p>
        </w:tc>
        <w:tc>
          <w:tcPr>
            <w:tcW w:w="1144" w:type="dxa"/>
            <w:tcBorders>
              <w:top w:val="single" w:sz="4" w:space="0" w:color="000000"/>
              <w:left w:val="single" w:sz="4" w:space="0" w:color="000000"/>
              <w:bottom w:val="single" w:sz="4" w:space="0" w:color="000000"/>
              <w:right w:val="single" w:sz="4" w:space="0" w:color="000000"/>
            </w:tcBorders>
          </w:tcPr>
          <w:p w14:paraId="24D616C2"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C3" w14:textId="77777777" w:rsidR="00245300" w:rsidRPr="00EC20A0" w:rsidRDefault="00245300">
            <w:pPr>
              <w:pStyle w:val="TableParagraph"/>
              <w:rPr>
                <w:sz w:val="20"/>
              </w:rPr>
            </w:pPr>
          </w:p>
        </w:tc>
      </w:tr>
      <w:tr w:rsidR="00245300" w:rsidRPr="00EC20A0" w14:paraId="24D616C8" w14:textId="77777777">
        <w:trPr>
          <w:trHeight w:val="1890"/>
        </w:trPr>
        <w:tc>
          <w:tcPr>
            <w:tcW w:w="6696" w:type="dxa"/>
            <w:tcBorders>
              <w:top w:val="single" w:sz="4" w:space="0" w:color="000000"/>
              <w:bottom w:val="single" w:sz="4" w:space="0" w:color="000000"/>
              <w:right w:val="single" w:sz="4" w:space="0" w:color="000000"/>
            </w:tcBorders>
          </w:tcPr>
          <w:p w14:paraId="24D616C5" w14:textId="77777777" w:rsidR="00245300" w:rsidRPr="00EC20A0" w:rsidRDefault="00F17249">
            <w:pPr>
              <w:pStyle w:val="TableParagraph"/>
              <w:tabs>
                <w:tab w:val="left" w:pos="1244"/>
              </w:tabs>
              <w:spacing w:before="60"/>
              <w:ind w:left="1244" w:right="237" w:hanging="396"/>
            </w:pPr>
            <w:r w:rsidRPr="00EC20A0">
              <w:rPr>
                <w:spacing w:val="-6"/>
              </w:rPr>
              <w:t>b)</w:t>
            </w:r>
            <w:r w:rsidRPr="00EC20A0">
              <w:tab/>
              <w:t>Review vendor and customer master file listings, major</w:t>
            </w:r>
            <w:r w:rsidRPr="00EC20A0">
              <w:rPr>
                <w:spacing w:val="-8"/>
              </w:rPr>
              <w:t xml:space="preserve"> </w:t>
            </w:r>
            <w:r w:rsidRPr="00EC20A0">
              <w:t>contracts,</w:t>
            </w:r>
            <w:r w:rsidRPr="00EC20A0">
              <w:rPr>
                <w:spacing w:val="-8"/>
              </w:rPr>
              <w:t xml:space="preserve"> </w:t>
            </w:r>
            <w:r w:rsidRPr="00EC20A0">
              <w:t>and</w:t>
            </w:r>
            <w:r w:rsidRPr="00EC20A0">
              <w:rPr>
                <w:spacing w:val="-8"/>
              </w:rPr>
              <w:t xml:space="preserve"> </w:t>
            </w:r>
            <w:r w:rsidRPr="00EC20A0">
              <w:t>Intragovernmental</w:t>
            </w:r>
            <w:r w:rsidRPr="00EC20A0">
              <w:rPr>
                <w:spacing w:val="-8"/>
              </w:rPr>
              <w:t xml:space="preserve"> </w:t>
            </w:r>
            <w:r w:rsidRPr="00EC20A0">
              <w:t>Payment</w:t>
            </w:r>
            <w:r w:rsidRPr="00EC20A0">
              <w:rPr>
                <w:spacing w:val="-8"/>
              </w:rPr>
              <w:t xml:space="preserve"> </w:t>
            </w:r>
            <w:r w:rsidRPr="00EC20A0">
              <w:t>and Collection System (IPAC) activity for intragovernmental trading partners to determine whether trading partner codes and other document identifiers are used in accordance with TFM chapter 4700 appendix 5.</w:t>
            </w:r>
          </w:p>
        </w:tc>
        <w:tc>
          <w:tcPr>
            <w:tcW w:w="1144" w:type="dxa"/>
            <w:tcBorders>
              <w:top w:val="single" w:sz="4" w:space="0" w:color="000000"/>
              <w:left w:val="single" w:sz="4" w:space="0" w:color="000000"/>
              <w:bottom w:val="single" w:sz="4" w:space="0" w:color="000000"/>
              <w:right w:val="single" w:sz="4" w:space="0" w:color="000000"/>
            </w:tcBorders>
          </w:tcPr>
          <w:p w14:paraId="24D616C6"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C7" w14:textId="77777777" w:rsidR="00245300" w:rsidRPr="00EC20A0" w:rsidRDefault="00245300">
            <w:pPr>
              <w:pStyle w:val="TableParagraph"/>
              <w:rPr>
                <w:sz w:val="20"/>
              </w:rPr>
            </w:pPr>
          </w:p>
        </w:tc>
      </w:tr>
      <w:tr w:rsidR="00245300" w:rsidRPr="00EC20A0" w14:paraId="24D616CE" w14:textId="77777777">
        <w:trPr>
          <w:trHeight w:val="2457"/>
        </w:trPr>
        <w:tc>
          <w:tcPr>
            <w:tcW w:w="6696" w:type="dxa"/>
            <w:tcBorders>
              <w:top w:val="single" w:sz="4" w:space="0" w:color="000000"/>
              <w:bottom w:val="single" w:sz="4" w:space="0" w:color="000000"/>
              <w:right w:val="single" w:sz="4" w:space="0" w:color="000000"/>
            </w:tcBorders>
          </w:tcPr>
          <w:p w14:paraId="24D616C9" w14:textId="77777777" w:rsidR="00245300" w:rsidRPr="00EC20A0" w:rsidRDefault="00F17249">
            <w:pPr>
              <w:pStyle w:val="TableParagraph"/>
              <w:numPr>
                <w:ilvl w:val="0"/>
                <w:numId w:val="112"/>
              </w:numPr>
              <w:tabs>
                <w:tab w:val="left" w:pos="812"/>
              </w:tabs>
              <w:spacing w:before="60"/>
              <w:ind w:right="437"/>
            </w:pPr>
            <w:r w:rsidRPr="00EC20A0">
              <w:t xml:space="preserve">To identify the </w:t>
            </w:r>
            <w:r w:rsidRPr="00EC20A0">
              <w:t>systems or methods for processing, accounting,</w:t>
            </w:r>
            <w:r w:rsidRPr="00EC20A0">
              <w:rPr>
                <w:spacing w:val="-9"/>
              </w:rPr>
              <w:t xml:space="preserve"> </w:t>
            </w:r>
            <w:r w:rsidRPr="00EC20A0">
              <w:t>and</w:t>
            </w:r>
            <w:r w:rsidRPr="00EC20A0">
              <w:rPr>
                <w:spacing w:val="-8"/>
              </w:rPr>
              <w:t xml:space="preserve"> </w:t>
            </w:r>
            <w:r w:rsidRPr="00EC20A0">
              <w:t>financial</w:t>
            </w:r>
            <w:r w:rsidRPr="00EC20A0">
              <w:rPr>
                <w:spacing w:val="-8"/>
              </w:rPr>
              <w:t xml:space="preserve"> </w:t>
            </w:r>
            <w:r w:rsidRPr="00EC20A0">
              <w:t>reporting</w:t>
            </w:r>
            <w:r w:rsidRPr="00EC20A0">
              <w:rPr>
                <w:spacing w:val="-8"/>
              </w:rPr>
              <w:t xml:space="preserve"> </w:t>
            </w:r>
            <w:r w:rsidRPr="00EC20A0">
              <w:t>of</w:t>
            </w:r>
            <w:r w:rsidRPr="00EC20A0">
              <w:rPr>
                <w:spacing w:val="-9"/>
              </w:rPr>
              <w:t xml:space="preserve"> </w:t>
            </w:r>
            <w:r w:rsidRPr="00EC20A0">
              <w:t>intragovernmental activity and balances and the likelihood of effective information system controls (FAM 270), perform the following procedures:</w:t>
            </w:r>
          </w:p>
          <w:p w14:paraId="24D616CA" w14:textId="77777777" w:rsidR="00245300" w:rsidRPr="00EC20A0" w:rsidRDefault="00F17249">
            <w:pPr>
              <w:pStyle w:val="TableParagraph"/>
              <w:numPr>
                <w:ilvl w:val="1"/>
                <w:numId w:val="112"/>
              </w:numPr>
              <w:tabs>
                <w:tab w:val="left" w:pos="1244"/>
              </w:tabs>
              <w:spacing w:before="119"/>
              <w:ind w:right="261"/>
            </w:pPr>
            <w:r w:rsidRPr="00EC20A0">
              <w:t>Interview the entity’s key management about processes,</w:t>
            </w:r>
            <w:r w:rsidRPr="00EC20A0">
              <w:rPr>
                <w:spacing w:val="-6"/>
              </w:rPr>
              <w:t xml:space="preserve"> </w:t>
            </w:r>
            <w:r w:rsidRPr="00EC20A0">
              <w:t>for</w:t>
            </w:r>
            <w:r w:rsidRPr="00EC20A0">
              <w:rPr>
                <w:spacing w:val="-6"/>
              </w:rPr>
              <w:t xml:space="preserve"> </w:t>
            </w:r>
            <w:r w:rsidRPr="00EC20A0">
              <w:t>example,</w:t>
            </w:r>
            <w:r w:rsidRPr="00EC20A0">
              <w:rPr>
                <w:spacing w:val="-6"/>
              </w:rPr>
              <w:t xml:space="preserve"> </w:t>
            </w:r>
            <w:r w:rsidRPr="00EC20A0">
              <w:t>the</w:t>
            </w:r>
            <w:r w:rsidRPr="00EC20A0">
              <w:rPr>
                <w:spacing w:val="-6"/>
              </w:rPr>
              <w:t xml:space="preserve"> </w:t>
            </w:r>
            <w:r w:rsidRPr="00EC20A0">
              <w:t>systems</w:t>
            </w:r>
            <w:r w:rsidRPr="00EC20A0">
              <w:rPr>
                <w:spacing w:val="-7"/>
              </w:rPr>
              <w:t xml:space="preserve"> </w:t>
            </w:r>
            <w:r w:rsidRPr="00EC20A0">
              <w:t>or</w:t>
            </w:r>
            <w:r w:rsidRPr="00EC20A0">
              <w:rPr>
                <w:spacing w:val="-6"/>
              </w:rPr>
              <w:t xml:space="preserve"> </w:t>
            </w:r>
            <w:r w:rsidRPr="00EC20A0">
              <w:t>methods</w:t>
            </w:r>
            <w:r w:rsidRPr="00EC20A0">
              <w:rPr>
                <w:spacing w:val="-6"/>
              </w:rPr>
              <w:t xml:space="preserve"> </w:t>
            </w:r>
            <w:r w:rsidRPr="00EC20A0">
              <w:t>that</w:t>
            </w:r>
          </w:p>
          <w:p w14:paraId="24D616CB" w14:textId="77777777" w:rsidR="00245300" w:rsidRPr="00EC20A0" w:rsidRDefault="00F17249">
            <w:pPr>
              <w:pStyle w:val="TableParagraph"/>
              <w:spacing w:line="254" w:lineRule="exact"/>
              <w:ind w:left="1244"/>
            </w:pPr>
            <w:r w:rsidRPr="00EC20A0">
              <w:t>are used to process intragovernmental activity and balances</w:t>
            </w:r>
            <w:r w:rsidRPr="00EC20A0">
              <w:rPr>
                <w:spacing w:val="-4"/>
              </w:rPr>
              <w:t xml:space="preserve"> </w:t>
            </w:r>
            <w:r w:rsidRPr="00EC20A0">
              <w:t>for</w:t>
            </w:r>
            <w:r w:rsidRPr="00EC20A0">
              <w:rPr>
                <w:spacing w:val="-6"/>
              </w:rPr>
              <w:t xml:space="preserve"> </w:t>
            </w:r>
            <w:r w:rsidRPr="00EC20A0">
              <w:t>each</w:t>
            </w:r>
            <w:r w:rsidRPr="00EC20A0">
              <w:rPr>
                <w:spacing w:val="-5"/>
              </w:rPr>
              <w:t xml:space="preserve"> </w:t>
            </w:r>
            <w:r w:rsidRPr="00EC20A0">
              <w:t>audit</w:t>
            </w:r>
            <w:r w:rsidRPr="00EC20A0">
              <w:rPr>
                <w:spacing w:val="-6"/>
              </w:rPr>
              <w:t xml:space="preserve"> </w:t>
            </w:r>
            <w:r w:rsidRPr="00EC20A0">
              <w:t>cycle</w:t>
            </w:r>
            <w:r w:rsidRPr="00EC20A0">
              <w:rPr>
                <w:spacing w:val="-5"/>
              </w:rPr>
              <w:t xml:space="preserve"> </w:t>
            </w:r>
            <w:r w:rsidRPr="00EC20A0">
              <w:t>(e.g.,</w:t>
            </w:r>
            <w:r w:rsidRPr="00EC20A0">
              <w:rPr>
                <w:spacing w:val="-5"/>
              </w:rPr>
              <w:t xml:space="preserve"> </w:t>
            </w:r>
            <w:r w:rsidRPr="00EC20A0">
              <w:t>IPAC,</w:t>
            </w:r>
            <w:r w:rsidRPr="00EC20A0">
              <w:rPr>
                <w:spacing w:val="-5"/>
              </w:rPr>
              <w:t xml:space="preserve"> </w:t>
            </w:r>
            <w:r w:rsidRPr="00EC20A0">
              <w:t>credit</w:t>
            </w:r>
            <w:r w:rsidRPr="00EC20A0">
              <w:rPr>
                <w:spacing w:val="-5"/>
              </w:rPr>
              <w:t xml:space="preserve"> </w:t>
            </w:r>
            <w:r w:rsidRPr="00EC20A0">
              <w:t>cards,</w:t>
            </w:r>
          </w:p>
        </w:tc>
        <w:tc>
          <w:tcPr>
            <w:tcW w:w="1144" w:type="dxa"/>
            <w:tcBorders>
              <w:top w:val="single" w:sz="4" w:space="0" w:color="000000"/>
              <w:left w:val="single" w:sz="4" w:space="0" w:color="000000"/>
              <w:bottom w:val="single" w:sz="4" w:space="0" w:color="000000"/>
              <w:right w:val="single" w:sz="4" w:space="0" w:color="000000"/>
            </w:tcBorders>
          </w:tcPr>
          <w:p w14:paraId="24D616C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CD" w14:textId="77777777" w:rsidR="00245300" w:rsidRPr="00EC20A0" w:rsidRDefault="00245300">
            <w:pPr>
              <w:pStyle w:val="TableParagraph"/>
              <w:rPr>
                <w:sz w:val="20"/>
              </w:rPr>
            </w:pPr>
          </w:p>
        </w:tc>
      </w:tr>
    </w:tbl>
    <w:p w14:paraId="24D616CF"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6D0"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6D4" w14:textId="77777777">
        <w:trPr>
          <w:trHeight w:val="625"/>
        </w:trPr>
        <w:tc>
          <w:tcPr>
            <w:tcW w:w="6696" w:type="dxa"/>
            <w:tcBorders>
              <w:right w:val="single" w:sz="4" w:space="0" w:color="000000"/>
            </w:tcBorders>
          </w:tcPr>
          <w:p w14:paraId="24D616D1"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6D2"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6D3"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6D9" w14:textId="77777777">
        <w:trPr>
          <w:trHeight w:val="531"/>
        </w:trPr>
        <w:tc>
          <w:tcPr>
            <w:tcW w:w="6696" w:type="dxa"/>
            <w:tcBorders>
              <w:bottom w:val="single" w:sz="4" w:space="0" w:color="000000"/>
              <w:right w:val="single" w:sz="4" w:space="0" w:color="000000"/>
            </w:tcBorders>
          </w:tcPr>
          <w:p w14:paraId="24D616D5" w14:textId="77777777" w:rsidR="00245300" w:rsidRPr="00EC20A0" w:rsidRDefault="00F17249">
            <w:pPr>
              <w:pStyle w:val="TableParagraph"/>
              <w:spacing w:line="219" w:lineRule="exact"/>
              <w:ind w:left="1244"/>
            </w:pPr>
            <w:r w:rsidRPr="00EC20A0">
              <w:t>standard</w:t>
            </w:r>
            <w:r w:rsidRPr="00EC20A0">
              <w:rPr>
                <w:spacing w:val="-7"/>
              </w:rPr>
              <w:t xml:space="preserve"> </w:t>
            </w:r>
            <w:r w:rsidRPr="00EC20A0">
              <w:t>forms</w:t>
            </w:r>
            <w:r w:rsidRPr="00EC20A0">
              <w:rPr>
                <w:spacing w:val="-6"/>
              </w:rPr>
              <w:t xml:space="preserve"> </w:t>
            </w:r>
            <w:r w:rsidRPr="00EC20A0">
              <w:t>used</w:t>
            </w:r>
            <w:r w:rsidRPr="00EC20A0">
              <w:rPr>
                <w:spacing w:val="-6"/>
              </w:rPr>
              <w:t xml:space="preserve"> </w:t>
            </w:r>
            <w:r w:rsidRPr="00EC20A0">
              <w:t>to</w:t>
            </w:r>
            <w:r w:rsidRPr="00EC20A0">
              <w:rPr>
                <w:spacing w:val="-6"/>
              </w:rPr>
              <w:t xml:space="preserve"> </w:t>
            </w:r>
            <w:r w:rsidRPr="00EC20A0">
              <w:t>transfer</w:t>
            </w:r>
            <w:r w:rsidRPr="00EC20A0">
              <w:rPr>
                <w:spacing w:val="-7"/>
              </w:rPr>
              <w:t xml:space="preserve"> </w:t>
            </w:r>
            <w:r w:rsidRPr="00EC20A0">
              <w:t>funds</w:t>
            </w:r>
            <w:r w:rsidRPr="00EC20A0">
              <w:rPr>
                <w:spacing w:val="-6"/>
              </w:rPr>
              <w:t xml:space="preserve"> </w:t>
            </w:r>
            <w:r w:rsidRPr="00EC20A0">
              <w:rPr>
                <w:spacing w:val="-2"/>
              </w:rPr>
              <w:t>between</w:t>
            </w:r>
          </w:p>
          <w:p w14:paraId="24D616D6" w14:textId="77777777" w:rsidR="00245300" w:rsidRPr="00EC20A0" w:rsidRDefault="00F17249">
            <w:pPr>
              <w:pStyle w:val="TableParagraph"/>
              <w:ind w:left="1244"/>
            </w:pPr>
            <w:r w:rsidRPr="00EC20A0">
              <w:rPr>
                <w:spacing w:val="-2"/>
              </w:rPr>
              <w:t>appropriations,</w:t>
            </w:r>
            <w:r w:rsidRPr="00EC20A0">
              <w:rPr>
                <w:spacing w:val="14"/>
              </w:rPr>
              <w:t xml:space="preserve"> </w:t>
            </w:r>
            <w:r w:rsidRPr="00EC20A0">
              <w:rPr>
                <w:spacing w:val="-2"/>
              </w:rPr>
              <w:t>etc.).</w:t>
            </w:r>
          </w:p>
        </w:tc>
        <w:tc>
          <w:tcPr>
            <w:tcW w:w="1144" w:type="dxa"/>
            <w:tcBorders>
              <w:left w:val="single" w:sz="4" w:space="0" w:color="000000"/>
              <w:bottom w:val="single" w:sz="4" w:space="0" w:color="000000"/>
              <w:right w:val="single" w:sz="4" w:space="0" w:color="000000"/>
            </w:tcBorders>
          </w:tcPr>
          <w:p w14:paraId="24D616D7"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6D8" w14:textId="77777777" w:rsidR="00245300" w:rsidRPr="00EC20A0" w:rsidRDefault="00245300">
            <w:pPr>
              <w:pStyle w:val="TableParagraph"/>
              <w:rPr>
                <w:sz w:val="20"/>
              </w:rPr>
            </w:pPr>
          </w:p>
        </w:tc>
      </w:tr>
      <w:tr w:rsidR="00245300" w:rsidRPr="00EC20A0" w14:paraId="24D616DD" w14:textId="77777777">
        <w:trPr>
          <w:trHeight w:val="1132"/>
        </w:trPr>
        <w:tc>
          <w:tcPr>
            <w:tcW w:w="6696" w:type="dxa"/>
            <w:tcBorders>
              <w:top w:val="single" w:sz="4" w:space="0" w:color="000000"/>
              <w:bottom w:val="single" w:sz="4" w:space="0" w:color="000000"/>
              <w:right w:val="single" w:sz="4" w:space="0" w:color="000000"/>
            </w:tcBorders>
          </w:tcPr>
          <w:p w14:paraId="24D616DA" w14:textId="77777777" w:rsidR="00245300" w:rsidRPr="00EC20A0" w:rsidRDefault="00F17249">
            <w:pPr>
              <w:pStyle w:val="TableParagraph"/>
              <w:spacing w:before="60"/>
              <w:ind w:left="1244" w:right="359" w:hanging="397"/>
              <w:jc w:val="both"/>
            </w:pPr>
            <w:r w:rsidRPr="00EC20A0">
              <w:t>b)</w:t>
            </w:r>
            <w:r w:rsidRPr="00EC20A0">
              <w:rPr>
                <w:spacing w:val="80"/>
              </w:rPr>
              <w:t xml:space="preserve"> </w:t>
            </w:r>
            <w:r w:rsidRPr="00EC20A0">
              <w:t>Consider</w:t>
            </w:r>
            <w:r w:rsidRPr="00EC20A0">
              <w:rPr>
                <w:spacing w:val="-4"/>
              </w:rPr>
              <w:t xml:space="preserve"> </w:t>
            </w:r>
            <w:r w:rsidRPr="00EC20A0">
              <w:t>coordinating</w:t>
            </w:r>
            <w:r w:rsidRPr="00EC20A0">
              <w:rPr>
                <w:spacing w:val="-4"/>
              </w:rPr>
              <w:t xml:space="preserve"> </w:t>
            </w:r>
            <w:r w:rsidRPr="00EC20A0">
              <w:t>this</w:t>
            </w:r>
            <w:r w:rsidRPr="00EC20A0">
              <w:rPr>
                <w:spacing w:val="-4"/>
              </w:rPr>
              <w:t xml:space="preserve"> </w:t>
            </w:r>
            <w:r w:rsidRPr="00EC20A0">
              <w:t>work</w:t>
            </w:r>
            <w:r w:rsidRPr="00EC20A0">
              <w:rPr>
                <w:spacing w:val="-4"/>
              </w:rPr>
              <w:t xml:space="preserve"> </w:t>
            </w:r>
            <w:r w:rsidRPr="00EC20A0">
              <w:t>with</w:t>
            </w:r>
            <w:r w:rsidRPr="00EC20A0">
              <w:rPr>
                <w:spacing w:val="-5"/>
              </w:rPr>
              <w:t xml:space="preserve"> </w:t>
            </w:r>
            <w:r w:rsidRPr="00EC20A0">
              <w:t>the</w:t>
            </w:r>
            <w:r w:rsidRPr="00EC20A0">
              <w:rPr>
                <w:spacing w:val="-4"/>
              </w:rPr>
              <w:t xml:space="preserve"> </w:t>
            </w:r>
            <w:r w:rsidRPr="00EC20A0">
              <w:t>audit</w:t>
            </w:r>
            <w:r w:rsidRPr="00EC20A0">
              <w:rPr>
                <w:spacing w:val="-4"/>
              </w:rPr>
              <w:t xml:space="preserve"> </w:t>
            </w:r>
            <w:r w:rsidRPr="00EC20A0">
              <w:t>of</w:t>
            </w:r>
            <w:r w:rsidRPr="00EC20A0">
              <w:rPr>
                <w:spacing w:val="-4"/>
              </w:rPr>
              <w:t xml:space="preserve"> </w:t>
            </w:r>
            <w:r w:rsidRPr="00EC20A0">
              <w:t>like nonfederal</w:t>
            </w:r>
            <w:r w:rsidRPr="00EC20A0">
              <w:rPr>
                <w:spacing w:val="-1"/>
              </w:rPr>
              <w:t xml:space="preserve"> </w:t>
            </w:r>
            <w:r w:rsidRPr="00EC20A0">
              <w:t>(i.e.,</w:t>
            </w:r>
            <w:r w:rsidRPr="00EC20A0">
              <w:rPr>
                <w:spacing w:val="-1"/>
              </w:rPr>
              <w:t xml:space="preserve"> </w:t>
            </w:r>
            <w:r w:rsidRPr="00EC20A0">
              <w:t>non-intragovernmental)</w:t>
            </w:r>
            <w:r w:rsidRPr="00EC20A0">
              <w:rPr>
                <w:spacing w:val="-1"/>
              </w:rPr>
              <w:t xml:space="preserve"> </w:t>
            </w:r>
            <w:r w:rsidRPr="00EC20A0">
              <w:t>activity</w:t>
            </w:r>
            <w:r w:rsidRPr="00EC20A0">
              <w:rPr>
                <w:spacing w:val="-1"/>
              </w:rPr>
              <w:t xml:space="preserve"> </w:t>
            </w:r>
            <w:r w:rsidRPr="00EC20A0">
              <w:t xml:space="preserve">and balances (i.e., similar transactions by the entity with parties other than other federal </w:t>
            </w:r>
            <w:r w:rsidRPr="00EC20A0">
              <w:t>entities).</w:t>
            </w:r>
          </w:p>
        </w:tc>
        <w:tc>
          <w:tcPr>
            <w:tcW w:w="1144" w:type="dxa"/>
            <w:tcBorders>
              <w:top w:val="single" w:sz="4" w:space="0" w:color="000000"/>
              <w:left w:val="single" w:sz="4" w:space="0" w:color="000000"/>
              <w:bottom w:val="single" w:sz="4" w:space="0" w:color="000000"/>
              <w:right w:val="single" w:sz="4" w:space="0" w:color="000000"/>
            </w:tcBorders>
          </w:tcPr>
          <w:p w14:paraId="24D616DB"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DC" w14:textId="77777777" w:rsidR="00245300" w:rsidRPr="00EC20A0" w:rsidRDefault="00245300">
            <w:pPr>
              <w:pStyle w:val="TableParagraph"/>
              <w:rPr>
                <w:sz w:val="20"/>
              </w:rPr>
            </w:pPr>
          </w:p>
        </w:tc>
      </w:tr>
      <w:tr w:rsidR="00245300" w:rsidRPr="00EC20A0" w14:paraId="24D616E1" w14:textId="77777777">
        <w:trPr>
          <w:trHeight w:val="1131"/>
        </w:trPr>
        <w:tc>
          <w:tcPr>
            <w:tcW w:w="6696" w:type="dxa"/>
            <w:tcBorders>
              <w:top w:val="single" w:sz="4" w:space="0" w:color="000000"/>
              <w:bottom w:val="single" w:sz="4" w:space="0" w:color="000000"/>
              <w:right w:val="single" w:sz="4" w:space="0" w:color="000000"/>
            </w:tcBorders>
          </w:tcPr>
          <w:p w14:paraId="24D616DE" w14:textId="77777777" w:rsidR="00245300" w:rsidRPr="00EC20A0" w:rsidRDefault="00F17249">
            <w:pPr>
              <w:pStyle w:val="TableParagraph"/>
              <w:tabs>
                <w:tab w:val="left" w:pos="812"/>
              </w:tabs>
              <w:spacing w:before="60"/>
              <w:ind w:left="812" w:right="107" w:hanging="504"/>
            </w:pPr>
            <w:r w:rsidRPr="00EC20A0">
              <w:rPr>
                <w:spacing w:val="-6"/>
              </w:rPr>
              <w:t>6)</w:t>
            </w:r>
            <w:r w:rsidRPr="00EC20A0">
              <w:tab/>
              <w:t>Determine</w:t>
            </w:r>
            <w:r w:rsidRPr="00EC20A0">
              <w:rPr>
                <w:spacing w:val="-3"/>
              </w:rPr>
              <w:t xml:space="preserve"> </w:t>
            </w:r>
            <w:r w:rsidRPr="00EC20A0">
              <w:t>and</w:t>
            </w:r>
            <w:r w:rsidRPr="00EC20A0">
              <w:rPr>
                <w:spacing w:val="-3"/>
              </w:rPr>
              <w:t xml:space="preserve"> </w:t>
            </w:r>
            <w:r w:rsidRPr="00EC20A0">
              <w:t>document</w:t>
            </w:r>
            <w:r w:rsidRPr="00EC20A0">
              <w:rPr>
                <w:spacing w:val="-3"/>
              </w:rPr>
              <w:t xml:space="preserve"> </w:t>
            </w:r>
            <w:r w:rsidRPr="00EC20A0">
              <w:t>the</w:t>
            </w:r>
            <w:r w:rsidRPr="00EC20A0">
              <w:rPr>
                <w:spacing w:val="-3"/>
              </w:rPr>
              <w:t xml:space="preserve"> </w:t>
            </w:r>
            <w:r w:rsidRPr="00EC20A0">
              <w:t>intragovernmental</w:t>
            </w:r>
            <w:r w:rsidRPr="00EC20A0">
              <w:rPr>
                <w:spacing w:val="-3"/>
              </w:rPr>
              <w:t xml:space="preserve"> </w:t>
            </w:r>
            <w:r w:rsidRPr="00EC20A0">
              <w:t>materiality benchmark,</w:t>
            </w:r>
            <w:r w:rsidRPr="00EC20A0">
              <w:rPr>
                <w:spacing w:val="-8"/>
              </w:rPr>
              <w:t xml:space="preserve"> </w:t>
            </w:r>
            <w:r w:rsidRPr="00EC20A0">
              <w:t>materiality,</w:t>
            </w:r>
            <w:r w:rsidRPr="00EC20A0">
              <w:rPr>
                <w:spacing w:val="-8"/>
              </w:rPr>
              <w:t xml:space="preserve"> </w:t>
            </w:r>
            <w:r w:rsidRPr="00EC20A0">
              <w:t>and</w:t>
            </w:r>
            <w:r w:rsidRPr="00EC20A0">
              <w:rPr>
                <w:spacing w:val="-8"/>
              </w:rPr>
              <w:t xml:space="preserve"> </w:t>
            </w:r>
            <w:r w:rsidRPr="00EC20A0">
              <w:t>performance</w:t>
            </w:r>
            <w:r w:rsidRPr="00EC20A0">
              <w:rPr>
                <w:spacing w:val="-8"/>
              </w:rPr>
              <w:t xml:space="preserve"> </w:t>
            </w:r>
            <w:r w:rsidRPr="00EC20A0">
              <w:t>materiality,</w:t>
            </w:r>
            <w:r w:rsidRPr="00EC20A0">
              <w:rPr>
                <w:spacing w:val="-8"/>
              </w:rPr>
              <w:t xml:space="preserve"> </w:t>
            </w:r>
            <w:r w:rsidRPr="00EC20A0">
              <w:t>which are separate from those calculated for the financial statement audit (FAM 230.10).</w:t>
            </w:r>
          </w:p>
        </w:tc>
        <w:tc>
          <w:tcPr>
            <w:tcW w:w="1144" w:type="dxa"/>
            <w:tcBorders>
              <w:top w:val="single" w:sz="4" w:space="0" w:color="000000"/>
              <w:left w:val="single" w:sz="4" w:space="0" w:color="000000"/>
              <w:bottom w:val="single" w:sz="4" w:space="0" w:color="000000"/>
              <w:right w:val="single" w:sz="4" w:space="0" w:color="000000"/>
            </w:tcBorders>
          </w:tcPr>
          <w:p w14:paraId="24D616DF"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E0" w14:textId="77777777" w:rsidR="00245300" w:rsidRPr="00EC20A0" w:rsidRDefault="00245300">
            <w:pPr>
              <w:pStyle w:val="TableParagraph"/>
              <w:rPr>
                <w:sz w:val="20"/>
              </w:rPr>
            </w:pPr>
          </w:p>
        </w:tc>
      </w:tr>
      <w:tr w:rsidR="00245300" w:rsidRPr="00EC20A0" w14:paraId="24D616E5" w14:textId="77777777">
        <w:trPr>
          <w:trHeight w:val="1385"/>
        </w:trPr>
        <w:tc>
          <w:tcPr>
            <w:tcW w:w="6696" w:type="dxa"/>
            <w:tcBorders>
              <w:top w:val="single" w:sz="4" w:space="0" w:color="000000"/>
              <w:bottom w:val="single" w:sz="4" w:space="0" w:color="000000"/>
              <w:right w:val="single" w:sz="4" w:space="0" w:color="000000"/>
            </w:tcBorders>
          </w:tcPr>
          <w:p w14:paraId="24D616E2" w14:textId="77777777" w:rsidR="00245300" w:rsidRPr="00EC20A0" w:rsidRDefault="00F17249">
            <w:pPr>
              <w:pStyle w:val="TableParagraph"/>
              <w:tabs>
                <w:tab w:val="left" w:pos="812"/>
              </w:tabs>
              <w:spacing w:before="60"/>
              <w:ind w:left="812" w:right="390" w:hanging="504"/>
            </w:pPr>
            <w:r w:rsidRPr="00EC20A0">
              <w:rPr>
                <w:spacing w:val="-6"/>
              </w:rPr>
              <w:t>7)</w:t>
            </w:r>
            <w:r w:rsidRPr="00EC20A0">
              <w:tab/>
              <w:t xml:space="preserve">Document the material line </w:t>
            </w:r>
            <w:r w:rsidRPr="00EC20A0">
              <w:t>items, accounts, note disclosures, and classes of transactions; applicable assertions;</w:t>
            </w:r>
            <w:r w:rsidRPr="00EC20A0">
              <w:rPr>
                <w:spacing w:val="-7"/>
              </w:rPr>
              <w:t xml:space="preserve"> </w:t>
            </w:r>
            <w:r w:rsidRPr="00EC20A0">
              <w:t>identified</w:t>
            </w:r>
            <w:r w:rsidRPr="00EC20A0">
              <w:rPr>
                <w:spacing w:val="-7"/>
              </w:rPr>
              <w:t xml:space="preserve"> </w:t>
            </w:r>
            <w:r w:rsidRPr="00EC20A0">
              <w:t>risks</w:t>
            </w:r>
            <w:r w:rsidRPr="00EC20A0">
              <w:rPr>
                <w:spacing w:val="-7"/>
              </w:rPr>
              <w:t xml:space="preserve"> </w:t>
            </w:r>
            <w:r w:rsidRPr="00EC20A0">
              <w:t>of</w:t>
            </w:r>
            <w:r w:rsidRPr="00EC20A0">
              <w:rPr>
                <w:spacing w:val="-7"/>
              </w:rPr>
              <w:t xml:space="preserve"> </w:t>
            </w:r>
            <w:r w:rsidRPr="00EC20A0">
              <w:t>material</w:t>
            </w:r>
            <w:r w:rsidRPr="00EC20A0">
              <w:rPr>
                <w:spacing w:val="-7"/>
              </w:rPr>
              <w:t xml:space="preserve"> </w:t>
            </w:r>
            <w:r w:rsidRPr="00EC20A0">
              <w:t>misstatement,</w:t>
            </w:r>
            <w:r w:rsidRPr="00EC20A0">
              <w:rPr>
                <w:spacing w:val="-7"/>
              </w:rPr>
              <w:t xml:space="preserve"> </w:t>
            </w:r>
            <w:r w:rsidRPr="00EC20A0">
              <w:t>and inherent risk assessment on the line item risk analysis (LIRA) form (FAM 395 H) or equivalent.</w:t>
            </w:r>
          </w:p>
        </w:tc>
        <w:tc>
          <w:tcPr>
            <w:tcW w:w="1144" w:type="dxa"/>
            <w:tcBorders>
              <w:top w:val="single" w:sz="4" w:space="0" w:color="000000"/>
              <w:left w:val="single" w:sz="4" w:space="0" w:color="000000"/>
              <w:bottom w:val="single" w:sz="4" w:space="0" w:color="000000"/>
              <w:right w:val="single" w:sz="4" w:space="0" w:color="000000"/>
            </w:tcBorders>
          </w:tcPr>
          <w:p w14:paraId="24D616E3"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E4" w14:textId="77777777" w:rsidR="00245300" w:rsidRPr="00EC20A0" w:rsidRDefault="00245300">
            <w:pPr>
              <w:pStyle w:val="TableParagraph"/>
              <w:rPr>
                <w:sz w:val="20"/>
              </w:rPr>
            </w:pPr>
          </w:p>
        </w:tc>
      </w:tr>
      <w:tr w:rsidR="00245300" w:rsidRPr="00EC20A0" w14:paraId="24D616E7" w14:textId="77777777">
        <w:trPr>
          <w:trHeight w:val="466"/>
        </w:trPr>
        <w:tc>
          <w:tcPr>
            <w:tcW w:w="9069" w:type="dxa"/>
            <w:gridSpan w:val="3"/>
            <w:tcBorders>
              <w:top w:val="single" w:sz="4" w:space="0" w:color="000000"/>
              <w:bottom w:val="nil"/>
            </w:tcBorders>
          </w:tcPr>
          <w:p w14:paraId="24D616E6" w14:textId="77777777" w:rsidR="00245300" w:rsidRPr="00EC20A0" w:rsidRDefault="00F17249">
            <w:pPr>
              <w:pStyle w:val="TableParagraph"/>
              <w:spacing w:before="120"/>
              <w:ind w:left="92"/>
              <w:rPr>
                <w:b/>
              </w:rPr>
            </w:pPr>
            <w:r w:rsidRPr="00EC20A0">
              <w:rPr>
                <w:b/>
                <w:u w:val="single"/>
              </w:rPr>
              <w:t>II.</w:t>
            </w:r>
            <w:r w:rsidRPr="00EC20A0">
              <w:rPr>
                <w:b/>
                <w:spacing w:val="-9"/>
                <w:u w:val="single"/>
              </w:rPr>
              <w:t xml:space="preserve"> </w:t>
            </w:r>
            <w:r w:rsidRPr="00EC20A0">
              <w:rPr>
                <w:b/>
                <w:u w:val="single"/>
              </w:rPr>
              <w:t>INTERNAL</w:t>
            </w:r>
            <w:r w:rsidRPr="00EC20A0">
              <w:rPr>
                <w:b/>
                <w:spacing w:val="-8"/>
                <w:u w:val="single"/>
              </w:rPr>
              <w:t xml:space="preserve"> </w:t>
            </w:r>
            <w:r w:rsidRPr="00EC20A0">
              <w:rPr>
                <w:b/>
                <w:spacing w:val="-2"/>
                <w:u w:val="single"/>
              </w:rPr>
              <w:t>CONTROL</w:t>
            </w:r>
          </w:p>
        </w:tc>
      </w:tr>
      <w:tr w:rsidR="00245300" w:rsidRPr="00EC20A0" w14:paraId="24D616EA" w14:textId="77777777">
        <w:trPr>
          <w:trHeight w:val="3876"/>
        </w:trPr>
        <w:tc>
          <w:tcPr>
            <w:tcW w:w="9069" w:type="dxa"/>
            <w:gridSpan w:val="3"/>
            <w:tcBorders>
              <w:top w:val="nil"/>
              <w:bottom w:val="single" w:sz="4" w:space="0" w:color="000000"/>
            </w:tcBorders>
          </w:tcPr>
          <w:p w14:paraId="24D616E8" w14:textId="77777777" w:rsidR="00245300" w:rsidRPr="00EC20A0" w:rsidRDefault="00F17249">
            <w:pPr>
              <w:pStyle w:val="TableParagraph"/>
              <w:spacing w:before="86"/>
              <w:ind w:left="92" w:right="135" w:hanging="1"/>
            </w:pPr>
            <w:r w:rsidRPr="00EC20A0">
              <w:t xml:space="preserve">Identify relevant control activities and determine whether they have been implemented (see FAM 350). A relevant control activity is an effectively designed control activity the auditor plans to test, that if implemented and operating </w:t>
            </w:r>
            <w:r w:rsidRPr="00EC20A0">
              <w:t>effectively, would achieve specific control objectives that address identified risks of material misstatement at the assertion level.</w:t>
            </w:r>
            <w:r w:rsidRPr="00EC20A0">
              <w:rPr>
                <w:spacing w:val="-4"/>
              </w:rPr>
              <w:t xml:space="preserve"> </w:t>
            </w:r>
            <w:r w:rsidRPr="00EC20A0">
              <w:t>Audit</w:t>
            </w:r>
            <w:r w:rsidRPr="00EC20A0">
              <w:rPr>
                <w:spacing w:val="-5"/>
              </w:rPr>
              <w:t xml:space="preserve"> </w:t>
            </w:r>
            <w:r w:rsidRPr="00EC20A0">
              <w:t>procedures</w:t>
            </w:r>
            <w:r w:rsidRPr="00EC20A0">
              <w:rPr>
                <w:spacing w:val="-4"/>
              </w:rPr>
              <w:t xml:space="preserve"> </w:t>
            </w:r>
            <w:r w:rsidRPr="00EC20A0">
              <w:t>to</w:t>
            </w:r>
            <w:r w:rsidRPr="00EC20A0">
              <w:rPr>
                <w:spacing w:val="-4"/>
              </w:rPr>
              <w:t xml:space="preserve"> </w:t>
            </w:r>
            <w:r w:rsidRPr="00EC20A0">
              <w:t>help</w:t>
            </w:r>
            <w:r w:rsidRPr="00EC20A0">
              <w:rPr>
                <w:spacing w:val="-4"/>
              </w:rPr>
              <w:t xml:space="preserve"> </w:t>
            </w:r>
            <w:r w:rsidRPr="00EC20A0">
              <w:t>identify</w:t>
            </w:r>
            <w:r w:rsidRPr="00EC20A0">
              <w:rPr>
                <w:spacing w:val="-4"/>
              </w:rPr>
              <w:t xml:space="preserve"> </w:t>
            </w:r>
            <w:r w:rsidRPr="00EC20A0">
              <w:t>relevant</w:t>
            </w:r>
            <w:r w:rsidRPr="00EC20A0">
              <w:rPr>
                <w:spacing w:val="-4"/>
              </w:rPr>
              <w:t xml:space="preserve"> </w:t>
            </w:r>
            <w:r w:rsidRPr="00EC20A0">
              <w:t>control</w:t>
            </w:r>
            <w:r w:rsidRPr="00EC20A0">
              <w:rPr>
                <w:spacing w:val="-4"/>
              </w:rPr>
              <w:t xml:space="preserve"> </w:t>
            </w:r>
            <w:r w:rsidRPr="00EC20A0">
              <w:t>activities</w:t>
            </w:r>
            <w:r w:rsidRPr="00EC20A0">
              <w:rPr>
                <w:spacing w:val="-4"/>
              </w:rPr>
              <w:t xml:space="preserve"> </w:t>
            </w:r>
            <w:r w:rsidRPr="00EC20A0">
              <w:t>(existence,</w:t>
            </w:r>
            <w:r w:rsidRPr="00EC20A0">
              <w:rPr>
                <w:spacing w:val="-4"/>
              </w:rPr>
              <w:t xml:space="preserve"> </w:t>
            </w:r>
            <w:r w:rsidRPr="00EC20A0">
              <w:t>completeness, valuation, rights and obligations, presentation, and disclosure) are listed below per the general intragovernmental accounting and reporting phases.</w:t>
            </w:r>
          </w:p>
          <w:p w14:paraId="24D616E9" w14:textId="77777777" w:rsidR="00245300" w:rsidRPr="00EC20A0" w:rsidRDefault="00F17249">
            <w:pPr>
              <w:pStyle w:val="TableParagraph"/>
              <w:spacing w:before="120"/>
              <w:ind w:left="92" w:right="78"/>
              <w:rPr>
                <w:sz w:val="20"/>
              </w:rPr>
            </w:pPr>
            <w:r w:rsidRPr="00EC20A0">
              <w:rPr>
                <w:sz w:val="20"/>
              </w:rPr>
              <w:t>Note: Each general phase should include appropriate, effective controls (including documented policies and procedures). The federal government has been unable to adequately account for intragovernmental</w:t>
            </w:r>
            <w:r w:rsidRPr="00EC20A0">
              <w:rPr>
                <w:spacing w:val="-4"/>
                <w:sz w:val="20"/>
              </w:rPr>
              <w:t xml:space="preserve"> </w:t>
            </w:r>
            <w:r w:rsidRPr="00EC20A0">
              <w:rPr>
                <w:sz w:val="20"/>
              </w:rPr>
              <w:t>activity</w:t>
            </w:r>
            <w:r w:rsidRPr="00EC20A0">
              <w:rPr>
                <w:spacing w:val="-4"/>
                <w:sz w:val="20"/>
              </w:rPr>
              <w:t xml:space="preserve"> </w:t>
            </w:r>
            <w:r w:rsidRPr="00EC20A0">
              <w:rPr>
                <w:sz w:val="20"/>
              </w:rPr>
              <w:t>and</w:t>
            </w:r>
            <w:r w:rsidRPr="00EC20A0">
              <w:rPr>
                <w:spacing w:val="-4"/>
                <w:sz w:val="20"/>
              </w:rPr>
              <w:t xml:space="preserve"> </w:t>
            </w:r>
            <w:r w:rsidRPr="00EC20A0">
              <w:rPr>
                <w:sz w:val="20"/>
              </w:rPr>
              <w:t>balances</w:t>
            </w:r>
            <w:r w:rsidRPr="00EC20A0">
              <w:rPr>
                <w:spacing w:val="-4"/>
                <w:sz w:val="20"/>
              </w:rPr>
              <w:t xml:space="preserve"> </w:t>
            </w:r>
            <w:r w:rsidRPr="00EC20A0">
              <w:rPr>
                <w:sz w:val="20"/>
              </w:rPr>
              <w:t>(and</w:t>
            </w:r>
            <w:r w:rsidRPr="00EC20A0">
              <w:rPr>
                <w:spacing w:val="-4"/>
                <w:sz w:val="20"/>
              </w:rPr>
              <w:t xml:space="preserve"> </w:t>
            </w:r>
            <w:r w:rsidRPr="00EC20A0">
              <w:rPr>
                <w:sz w:val="20"/>
              </w:rPr>
              <w:t>resolve</w:t>
            </w:r>
            <w:r w:rsidRPr="00EC20A0">
              <w:rPr>
                <w:spacing w:val="-4"/>
                <w:sz w:val="20"/>
              </w:rPr>
              <w:t xml:space="preserve"> </w:t>
            </w:r>
            <w:r w:rsidRPr="00EC20A0">
              <w:rPr>
                <w:sz w:val="20"/>
              </w:rPr>
              <w:t>resulting</w:t>
            </w:r>
            <w:r w:rsidRPr="00EC20A0">
              <w:rPr>
                <w:spacing w:val="-4"/>
                <w:sz w:val="20"/>
              </w:rPr>
              <w:t xml:space="preserve"> </w:t>
            </w:r>
            <w:r w:rsidRPr="00EC20A0">
              <w:rPr>
                <w:sz w:val="20"/>
              </w:rPr>
              <w:t>differences)</w:t>
            </w:r>
            <w:r w:rsidRPr="00EC20A0">
              <w:rPr>
                <w:spacing w:val="-3"/>
                <w:sz w:val="20"/>
              </w:rPr>
              <w:t xml:space="preserve"> </w:t>
            </w:r>
            <w:r w:rsidRPr="00EC20A0">
              <w:rPr>
                <w:sz w:val="20"/>
              </w:rPr>
              <w:t>between</w:t>
            </w:r>
            <w:r w:rsidRPr="00EC20A0">
              <w:rPr>
                <w:spacing w:val="-4"/>
                <w:sz w:val="20"/>
              </w:rPr>
              <w:t xml:space="preserve"> </w:t>
            </w:r>
            <w:r w:rsidRPr="00EC20A0">
              <w:rPr>
                <w:sz w:val="20"/>
              </w:rPr>
              <w:t>federal</w:t>
            </w:r>
            <w:r w:rsidRPr="00EC20A0">
              <w:rPr>
                <w:spacing w:val="-4"/>
                <w:sz w:val="20"/>
              </w:rPr>
              <w:t xml:space="preserve"> </w:t>
            </w:r>
            <w:r w:rsidRPr="00EC20A0">
              <w:rPr>
                <w:sz w:val="20"/>
              </w:rPr>
              <w:t xml:space="preserve">entities. This has resulted in a long-standing material weakness at the U.S. government consolidated financial </w:t>
            </w:r>
            <w:r w:rsidRPr="00EC20A0">
              <w:rPr>
                <w:sz w:val="20"/>
              </w:rPr>
              <w:t>statement level and is a major impediment to rendering an opinion on the U.S. government’s</w:t>
            </w:r>
            <w:r w:rsidRPr="00EC20A0">
              <w:rPr>
                <w:spacing w:val="-1"/>
                <w:sz w:val="20"/>
              </w:rPr>
              <w:t xml:space="preserve"> </w:t>
            </w:r>
            <w:r w:rsidRPr="00EC20A0">
              <w:rPr>
                <w:sz w:val="20"/>
              </w:rPr>
              <w:t>accrual-based</w:t>
            </w:r>
            <w:r w:rsidRPr="00EC20A0">
              <w:rPr>
                <w:spacing w:val="-1"/>
                <w:sz w:val="20"/>
              </w:rPr>
              <w:t xml:space="preserve"> </w:t>
            </w:r>
            <w:r w:rsidRPr="00EC20A0">
              <w:rPr>
                <w:sz w:val="20"/>
              </w:rPr>
              <w:t>consolidated</w:t>
            </w:r>
            <w:r w:rsidRPr="00EC20A0">
              <w:rPr>
                <w:spacing w:val="-1"/>
                <w:sz w:val="20"/>
              </w:rPr>
              <w:t xml:space="preserve"> </w:t>
            </w:r>
            <w:r w:rsidRPr="00EC20A0">
              <w:rPr>
                <w:sz w:val="20"/>
              </w:rPr>
              <w:t>financial</w:t>
            </w:r>
            <w:r w:rsidRPr="00EC20A0">
              <w:rPr>
                <w:spacing w:val="-1"/>
                <w:sz w:val="20"/>
              </w:rPr>
              <w:t xml:space="preserve"> </w:t>
            </w:r>
            <w:r w:rsidRPr="00EC20A0">
              <w:rPr>
                <w:sz w:val="20"/>
              </w:rPr>
              <w:t>statements.</w:t>
            </w:r>
            <w:r w:rsidRPr="00EC20A0">
              <w:rPr>
                <w:spacing w:val="-1"/>
                <w:sz w:val="20"/>
              </w:rPr>
              <w:t xml:space="preserve"> </w:t>
            </w:r>
            <w:r w:rsidRPr="00EC20A0">
              <w:rPr>
                <w:sz w:val="20"/>
              </w:rPr>
              <w:t>Consequently,</w:t>
            </w:r>
            <w:r w:rsidRPr="00EC20A0">
              <w:rPr>
                <w:spacing w:val="-1"/>
                <w:sz w:val="20"/>
              </w:rPr>
              <w:t xml:space="preserve"> </w:t>
            </w:r>
            <w:r w:rsidRPr="00EC20A0">
              <w:rPr>
                <w:sz w:val="20"/>
              </w:rPr>
              <w:t>a</w:t>
            </w:r>
            <w:r w:rsidRPr="00EC20A0">
              <w:rPr>
                <w:spacing w:val="-1"/>
                <w:sz w:val="20"/>
              </w:rPr>
              <w:t xml:space="preserve"> </w:t>
            </w:r>
            <w:r w:rsidRPr="00EC20A0">
              <w:rPr>
                <w:sz w:val="20"/>
              </w:rPr>
              <w:t>control</w:t>
            </w:r>
            <w:r w:rsidRPr="00EC20A0">
              <w:rPr>
                <w:spacing w:val="-1"/>
                <w:sz w:val="20"/>
              </w:rPr>
              <w:t xml:space="preserve"> </w:t>
            </w:r>
            <w:r w:rsidRPr="00EC20A0">
              <w:rPr>
                <w:sz w:val="20"/>
              </w:rPr>
              <w:t>objective</w:t>
            </w:r>
            <w:r w:rsidRPr="00EC20A0">
              <w:rPr>
                <w:spacing w:val="-1"/>
                <w:sz w:val="20"/>
              </w:rPr>
              <w:t xml:space="preserve"> </w:t>
            </w:r>
            <w:r w:rsidRPr="00EC20A0">
              <w:rPr>
                <w:sz w:val="20"/>
              </w:rPr>
              <w:t>is the timely resolution of intragovernmental differences (control objectives are documented in the specific control evaluation (SCE) worksheet discussed later).</w:t>
            </w:r>
          </w:p>
        </w:tc>
      </w:tr>
      <w:tr w:rsidR="00245300" w:rsidRPr="00EC20A0" w14:paraId="24D616EC" w14:textId="77777777">
        <w:trPr>
          <w:trHeight w:val="372"/>
        </w:trPr>
        <w:tc>
          <w:tcPr>
            <w:tcW w:w="9069" w:type="dxa"/>
            <w:gridSpan w:val="3"/>
            <w:tcBorders>
              <w:top w:val="single" w:sz="4" w:space="0" w:color="000000"/>
              <w:bottom w:val="single" w:sz="4" w:space="0" w:color="000000"/>
            </w:tcBorders>
          </w:tcPr>
          <w:p w14:paraId="24D616EB" w14:textId="77777777" w:rsidR="00245300" w:rsidRPr="00EC20A0" w:rsidRDefault="00F17249">
            <w:pPr>
              <w:pStyle w:val="TableParagraph"/>
              <w:tabs>
                <w:tab w:val="left" w:pos="1298"/>
              </w:tabs>
              <w:spacing w:before="60"/>
              <w:ind w:left="74"/>
              <w:rPr>
                <w:b/>
                <w:i/>
              </w:rPr>
            </w:pPr>
            <w:r w:rsidRPr="00EC20A0">
              <w:rPr>
                <w:b/>
                <w:i/>
              </w:rPr>
              <w:t>Phase</w:t>
            </w:r>
            <w:r w:rsidRPr="00EC20A0">
              <w:rPr>
                <w:b/>
                <w:i/>
                <w:spacing w:val="-8"/>
              </w:rPr>
              <w:t xml:space="preserve"> </w:t>
            </w:r>
            <w:r w:rsidRPr="00EC20A0">
              <w:rPr>
                <w:b/>
                <w:i/>
                <w:spacing w:val="-5"/>
              </w:rPr>
              <w:t>I:</w:t>
            </w:r>
            <w:r w:rsidRPr="00EC20A0">
              <w:rPr>
                <w:b/>
                <w:i/>
              </w:rPr>
              <w:tab/>
              <w:t>Identifying</w:t>
            </w:r>
            <w:r w:rsidRPr="00EC20A0">
              <w:rPr>
                <w:b/>
                <w:i/>
                <w:spacing w:val="-10"/>
              </w:rPr>
              <w:t xml:space="preserve"> </w:t>
            </w:r>
            <w:r w:rsidRPr="00EC20A0">
              <w:rPr>
                <w:b/>
                <w:i/>
              </w:rPr>
              <w:t>and</w:t>
            </w:r>
            <w:r w:rsidRPr="00EC20A0">
              <w:rPr>
                <w:b/>
                <w:i/>
                <w:spacing w:val="-10"/>
              </w:rPr>
              <w:t xml:space="preserve"> </w:t>
            </w:r>
            <w:r w:rsidRPr="00EC20A0">
              <w:rPr>
                <w:b/>
                <w:i/>
              </w:rPr>
              <w:t>recording</w:t>
            </w:r>
            <w:r w:rsidRPr="00EC20A0">
              <w:rPr>
                <w:b/>
                <w:i/>
                <w:spacing w:val="-10"/>
              </w:rPr>
              <w:t xml:space="preserve"> </w:t>
            </w:r>
            <w:r w:rsidRPr="00EC20A0">
              <w:rPr>
                <w:b/>
                <w:i/>
              </w:rPr>
              <w:t>intragovernmental</w:t>
            </w:r>
            <w:r w:rsidRPr="00EC20A0">
              <w:rPr>
                <w:b/>
                <w:i/>
                <w:spacing w:val="-10"/>
              </w:rPr>
              <w:t xml:space="preserve"> </w:t>
            </w:r>
            <w:r w:rsidRPr="00EC20A0">
              <w:rPr>
                <w:b/>
                <w:i/>
              </w:rPr>
              <w:t>activity</w:t>
            </w:r>
            <w:r w:rsidRPr="00EC20A0">
              <w:rPr>
                <w:b/>
                <w:i/>
                <w:spacing w:val="-10"/>
              </w:rPr>
              <w:t xml:space="preserve"> </w:t>
            </w:r>
            <w:r w:rsidRPr="00EC20A0">
              <w:rPr>
                <w:b/>
                <w:i/>
              </w:rPr>
              <w:t>and</w:t>
            </w:r>
            <w:r w:rsidRPr="00EC20A0">
              <w:rPr>
                <w:b/>
                <w:i/>
                <w:spacing w:val="-10"/>
              </w:rPr>
              <w:t xml:space="preserve"> </w:t>
            </w:r>
            <w:r w:rsidRPr="00EC20A0">
              <w:rPr>
                <w:b/>
                <w:i/>
                <w:spacing w:val="-2"/>
              </w:rPr>
              <w:t>balances</w:t>
            </w:r>
          </w:p>
        </w:tc>
      </w:tr>
      <w:tr w:rsidR="00245300" w:rsidRPr="00EC20A0" w14:paraId="24D616F2" w14:textId="77777777">
        <w:trPr>
          <w:trHeight w:val="3275"/>
        </w:trPr>
        <w:tc>
          <w:tcPr>
            <w:tcW w:w="6696" w:type="dxa"/>
            <w:tcBorders>
              <w:top w:val="single" w:sz="4" w:space="0" w:color="000000"/>
              <w:bottom w:val="single" w:sz="4" w:space="0" w:color="000000"/>
              <w:right w:val="single" w:sz="4" w:space="0" w:color="000000"/>
            </w:tcBorders>
          </w:tcPr>
          <w:p w14:paraId="24D616ED" w14:textId="77777777" w:rsidR="00245300" w:rsidRPr="00EC20A0" w:rsidRDefault="00F17249">
            <w:pPr>
              <w:pStyle w:val="TableParagraph"/>
              <w:numPr>
                <w:ilvl w:val="0"/>
                <w:numId w:val="111"/>
              </w:numPr>
              <w:tabs>
                <w:tab w:val="left" w:pos="846"/>
                <w:tab w:val="left" w:pos="848"/>
              </w:tabs>
              <w:spacing w:before="60"/>
              <w:ind w:right="168"/>
            </w:pPr>
            <w:r w:rsidRPr="00EC20A0">
              <w:t xml:space="preserve">Determine, through inquiries of management, walk- throughs, reviews of prior years’ </w:t>
            </w:r>
            <w:r w:rsidRPr="00EC20A0">
              <w:t>documentation, and the following</w:t>
            </w:r>
            <w:r w:rsidRPr="00EC20A0">
              <w:rPr>
                <w:spacing w:val="-6"/>
              </w:rPr>
              <w:t xml:space="preserve"> </w:t>
            </w:r>
            <w:r w:rsidRPr="00EC20A0">
              <w:t>procedures,</w:t>
            </w:r>
            <w:r w:rsidRPr="00EC20A0">
              <w:rPr>
                <w:spacing w:val="-6"/>
              </w:rPr>
              <w:t xml:space="preserve"> </w:t>
            </w:r>
            <w:r w:rsidRPr="00EC20A0">
              <w:t>how</w:t>
            </w:r>
            <w:r w:rsidRPr="00EC20A0">
              <w:rPr>
                <w:spacing w:val="-7"/>
              </w:rPr>
              <w:t xml:space="preserve"> </w:t>
            </w:r>
            <w:r w:rsidRPr="00EC20A0">
              <w:t>the</w:t>
            </w:r>
            <w:r w:rsidRPr="00EC20A0">
              <w:rPr>
                <w:spacing w:val="-6"/>
              </w:rPr>
              <w:t xml:space="preserve"> </w:t>
            </w:r>
            <w:r w:rsidRPr="00EC20A0">
              <w:t>entity</w:t>
            </w:r>
            <w:r w:rsidRPr="00EC20A0">
              <w:rPr>
                <w:spacing w:val="-6"/>
              </w:rPr>
              <w:t xml:space="preserve"> </w:t>
            </w:r>
            <w:r w:rsidRPr="00EC20A0">
              <w:t>identifies</w:t>
            </w:r>
            <w:r w:rsidRPr="00EC20A0">
              <w:rPr>
                <w:spacing w:val="-6"/>
              </w:rPr>
              <w:t xml:space="preserve"> </w:t>
            </w:r>
            <w:r w:rsidRPr="00EC20A0">
              <w:t>and</w:t>
            </w:r>
            <w:r w:rsidRPr="00EC20A0">
              <w:rPr>
                <w:spacing w:val="-6"/>
              </w:rPr>
              <w:t xml:space="preserve"> </w:t>
            </w:r>
            <w:r w:rsidRPr="00EC20A0">
              <w:t>records intragovernmental amounts.</w:t>
            </w:r>
          </w:p>
          <w:p w14:paraId="24D616EE" w14:textId="77777777" w:rsidR="00245300" w:rsidRPr="00EC20A0" w:rsidRDefault="00F17249">
            <w:pPr>
              <w:pStyle w:val="TableParagraph"/>
              <w:numPr>
                <w:ilvl w:val="1"/>
                <w:numId w:val="111"/>
              </w:numPr>
              <w:tabs>
                <w:tab w:val="left" w:pos="1245"/>
              </w:tabs>
              <w:spacing w:before="119"/>
              <w:ind w:right="127"/>
            </w:pPr>
            <w:r w:rsidRPr="00EC20A0">
              <w:t>Determine whether management reviews the current OMB,</w:t>
            </w:r>
            <w:r w:rsidRPr="00EC20A0">
              <w:rPr>
                <w:spacing w:val="-6"/>
              </w:rPr>
              <w:t xml:space="preserve"> </w:t>
            </w:r>
            <w:r w:rsidRPr="00EC20A0">
              <w:t>Treasury,</w:t>
            </w:r>
            <w:r w:rsidRPr="00EC20A0">
              <w:rPr>
                <w:spacing w:val="-6"/>
              </w:rPr>
              <w:t xml:space="preserve"> </w:t>
            </w:r>
            <w:r w:rsidRPr="00EC20A0">
              <w:t>and</w:t>
            </w:r>
            <w:r w:rsidRPr="00EC20A0">
              <w:rPr>
                <w:spacing w:val="-6"/>
              </w:rPr>
              <w:t xml:space="preserve"> </w:t>
            </w:r>
            <w:r w:rsidRPr="00EC20A0">
              <w:t>other</w:t>
            </w:r>
            <w:r w:rsidRPr="00EC20A0">
              <w:rPr>
                <w:spacing w:val="-6"/>
              </w:rPr>
              <w:t xml:space="preserve"> </w:t>
            </w:r>
            <w:r w:rsidRPr="00EC20A0">
              <w:t>guidance</w:t>
            </w:r>
            <w:r w:rsidRPr="00EC20A0">
              <w:rPr>
                <w:spacing w:val="-7"/>
              </w:rPr>
              <w:t xml:space="preserve"> </w:t>
            </w:r>
            <w:r w:rsidRPr="00EC20A0">
              <w:t>for</w:t>
            </w:r>
            <w:r w:rsidRPr="00EC20A0">
              <w:rPr>
                <w:spacing w:val="-6"/>
              </w:rPr>
              <w:t xml:space="preserve"> </w:t>
            </w:r>
            <w:r w:rsidRPr="00EC20A0">
              <w:t>identifying</w:t>
            </w:r>
            <w:r w:rsidRPr="00EC20A0">
              <w:rPr>
                <w:spacing w:val="-6"/>
              </w:rPr>
              <w:t xml:space="preserve"> </w:t>
            </w:r>
            <w:r w:rsidRPr="00EC20A0">
              <w:t>and recording</w:t>
            </w:r>
            <w:r w:rsidRPr="00EC20A0">
              <w:rPr>
                <w:spacing w:val="-4"/>
              </w:rPr>
              <w:t xml:space="preserve"> </w:t>
            </w:r>
            <w:r w:rsidRPr="00EC20A0">
              <w:t>intragovernmental</w:t>
            </w:r>
            <w:r w:rsidRPr="00EC20A0">
              <w:rPr>
                <w:spacing w:val="-4"/>
              </w:rPr>
              <w:t xml:space="preserve"> </w:t>
            </w:r>
            <w:r w:rsidRPr="00EC20A0">
              <w:t>activity</w:t>
            </w:r>
            <w:r w:rsidRPr="00EC20A0">
              <w:rPr>
                <w:spacing w:val="-5"/>
              </w:rPr>
              <w:t xml:space="preserve"> </w:t>
            </w:r>
            <w:r w:rsidRPr="00EC20A0">
              <w:t>and</w:t>
            </w:r>
            <w:r w:rsidRPr="00EC20A0">
              <w:rPr>
                <w:spacing w:val="-4"/>
              </w:rPr>
              <w:t xml:space="preserve"> </w:t>
            </w:r>
            <w:r w:rsidRPr="00EC20A0">
              <w:t>balances</w:t>
            </w:r>
            <w:r w:rsidRPr="00EC20A0">
              <w:rPr>
                <w:spacing w:val="-2"/>
              </w:rPr>
              <w:t xml:space="preserve"> </w:t>
            </w:r>
            <w:r w:rsidRPr="00EC20A0">
              <w:t xml:space="preserve">and updates the entity’s policies and procedures, such as </w:t>
            </w:r>
            <w:r w:rsidRPr="00EC20A0">
              <w:rPr>
                <w:spacing w:val="-6"/>
              </w:rPr>
              <w:t>by</w:t>
            </w:r>
          </w:p>
          <w:p w14:paraId="24D616EF" w14:textId="77777777" w:rsidR="00245300" w:rsidRPr="00EC20A0" w:rsidRDefault="00F17249">
            <w:pPr>
              <w:pStyle w:val="TableParagraph"/>
              <w:numPr>
                <w:ilvl w:val="2"/>
                <w:numId w:val="111"/>
              </w:numPr>
              <w:tabs>
                <w:tab w:val="left" w:pos="1652"/>
              </w:tabs>
              <w:spacing w:before="41" w:line="250" w:lineRule="atLeast"/>
              <w:ind w:right="171"/>
            </w:pPr>
            <w:r w:rsidRPr="00EC20A0">
              <w:t>complying</w:t>
            </w:r>
            <w:r w:rsidRPr="00EC20A0">
              <w:rPr>
                <w:spacing w:val="-7"/>
              </w:rPr>
              <w:t xml:space="preserve"> </w:t>
            </w:r>
            <w:r w:rsidRPr="00EC20A0">
              <w:t>with</w:t>
            </w:r>
            <w:r w:rsidRPr="00EC20A0">
              <w:rPr>
                <w:spacing w:val="-7"/>
              </w:rPr>
              <w:t xml:space="preserve"> </w:t>
            </w:r>
            <w:r w:rsidRPr="00EC20A0">
              <w:t>the</w:t>
            </w:r>
            <w:r w:rsidRPr="00EC20A0">
              <w:rPr>
                <w:spacing w:val="-7"/>
              </w:rPr>
              <w:t xml:space="preserve"> </w:t>
            </w:r>
            <w:r w:rsidRPr="00EC20A0">
              <w:rPr>
                <w:i/>
              </w:rPr>
              <w:t>U.S.</w:t>
            </w:r>
            <w:r w:rsidRPr="00EC20A0">
              <w:rPr>
                <w:i/>
                <w:spacing w:val="-7"/>
              </w:rPr>
              <w:t xml:space="preserve"> </w:t>
            </w:r>
            <w:r w:rsidRPr="00EC20A0">
              <w:rPr>
                <w:i/>
              </w:rPr>
              <w:t>Standard</w:t>
            </w:r>
            <w:r w:rsidRPr="00EC20A0">
              <w:rPr>
                <w:i/>
                <w:spacing w:val="-7"/>
              </w:rPr>
              <w:t xml:space="preserve"> </w:t>
            </w:r>
            <w:r w:rsidRPr="00EC20A0">
              <w:rPr>
                <w:i/>
              </w:rPr>
              <w:t>General</w:t>
            </w:r>
            <w:r w:rsidRPr="00EC20A0">
              <w:rPr>
                <w:i/>
                <w:spacing w:val="-7"/>
              </w:rPr>
              <w:t xml:space="preserve"> </w:t>
            </w:r>
            <w:r w:rsidRPr="00EC20A0">
              <w:rPr>
                <w:i/>
              </w:rPr>
              <w:t xml:space="preserve">Ledger </w:t>
            </w:r>
            <w:r w:rsidRPr="00EC20A0">
              <w:t>(USSGL) at the transaction level by recording (1) the intragovernmental (i.e., federal) attribute “F,”</w:t>
            </w:r>
          </w:p>
        </w:tc>
        <w:tc>
          <w:tcPr>
            <w:tcW w:w="1144" w:type="dxa"/>
            <w:tcBorders>
              <w:top w:val="single" w:sz="4" w:space="0" w:color="000000"/>
              <w:left w:val="single" w:sz="4" w:space="0" w:color="000000"/>
              <w:bottom w:val="single" w:sz="4" w:space="0" w:color="000000"/>
              <w:right w:val="single" w:sz="4" w:space="0" w:color="000000"/>
            </w:tcBorders>
          </w:tcPr>
          <w:p w14:paraId="24D616F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6F1" w14:textId="77777777" w:rsidR="00245300" w:rsidRPr="00EC20A0" w:rsidRDefault="00245300">
            <w:pPr>
              <w:pStyle w:val="TableParagraph"/>
              <w:rPr>
                <w:sz w:val="20"/>
              </w:rPr>
            </w:pPr>
          </w:p>
        </w:tc>
      </w:tr>
    </w:tbl>
    <w:p w14:paraId="24D616F3"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6F4"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6F8" w14:textId="77777777">
        <w:trPr>
          <w:trHeight w:val="625"/>
        </w:trPr>
        <w:tc>
          <w:tcPr>
            <w:tcW w:w="6696" w:type="dxa"/>
            <w:tcBorders>
              <w:right w:val="single" w:sz="4" w:space="0" w:color="000000"/>
            </w:tcBorders>
          </w:tcPr>
          <w:p w14:paraId="24D616F5"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6F6"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6F7"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6FE" w14:textId="77777777">
        <w:trPr>
          <w:trHeight w:val="1231"/>
        </w:trPr>
        <w:tc>
          <w:tcPr>
            <w:tcW w:w="6696" w:type="dxa"/>
            <w:tcBorders>
              <w:bottom w:val="single" w:sz="4" w:space="0" w:color="000000"/>
              <w:right w:val="single" w:sz="4" w:space="0" w:color="000000"/>
            </w:tcBorders>
          </w:tcPr>
          <w:p w14:paraId="24D616F9" w14:textId="77777777" w:rsidR="00245300" w:rsidRPr="00EC20A0" w:rsidRDefault="00F17249">
            <w:pPr>
              <w:pStyle w:val="TableParagraph"/>
              <w:spacing w:line="219" w:lineRule="exact"/>
              <w:ind w:left="1652"/>
            </w:pPr>
            <w:r w:rsidRPr="00EC20A0">
              <w:t>(2)</w:t>
            </w:r>
            <w:r w:rsidRPr="00EC20A0">
              <w:rPr>
                <w:spacing w:val="-7"/>
              </w:rPr>
              <w:t xml:space="preserve"> </w:t>
            </w:r>
            <w:r w:rsidRPr="00EC20A0">
              <w:t>one</w:t>
            </w:r>
            <w:r w:rsidRPr="00EC20A0">
              <w:rPr>
                <w:spacing w:val="-7"/>
              </w:rPr>
              <w:t xml:space="preserve"> </w:t>
            </w:r>
            <w:r w:rsidRPr="00EC20A0">
              <w:t>of</w:t>
            </w:r>
            <w:r w:rsidRPr="00EC20A0">
              <w:rPr>
                <w:spacing w:val="-7"/>
              </w:rPr>
              <w:t xml:space="preserve"> </w:t>
            </w:r>
            <w:r w:rsidRPr="00EC20A0">
              <w:t>the</w:t>
            </w:r>
            <w:r w:rsidRPr="00EC20A0">
              <w:rPr>
                <w:spacing w:val="-7"/>
              </w:rPr>
              <w:t xml:space="preserve"> </w:t>
            </w:r>
            <w:r w:rsidRPr="00EC20A0">
              <w:t>intragovernmental</w:t>
            </w:r>
            <w:r w:rsidRPr="00EC20A0">
              <w:rPr>
                <w:spacing w:val="-7"/>
              </w:rPr>
              <w:t xml:space="preserve"> </w:t>
            </w:r>
            <w:r w:rsidRPr="00EC20A0">
              <w:t>domains</w:t>
            </w:r>
            <w:r w:rsidRPr="00EC20A0">
              <w:rPr>
                <w:spacing w:val="-7"/>
              </w:rPr>
              <w:t xml:space="preserve"> </w:t>
            </w:r>
            <w:r w:rsidRPr="00EC20A0">
              <w:rPr>
                <w:spacing w:val="-4"/>
              </w:rPr>
              <w:t>(“F,”</w:t>
            </w:r>
          </w:p>
          <w:p w14:paraId="24D616FA" w14:textId="77777777" w:rsidR="00245300" w:rsidRPr="00EC20A0" w:rsidRDefault="00F17249">
            <w:pPr>
              <w:pStyle w:val="TableParagraph"/>
              <w:ind w:left="1652"/>
            </w:pPr>
            <w:r w:rsidRPr="00EC20A0">
              <w:t>“G,”</w:t>
            </w:r>
            <w:r w:rsidRPr="00EC20A0">
              <w:rPr>
                <w:spacing w:val="-5"/>
              </w:rPr>
              <w:t xml:space="preserve"> </w:t>
            </w:r>
            <w:r w:rsidRPr="00EC20A0">
              <w:t>or</w:t>
            </w:r>
            <w:r w:rsidRPr="00EC20A0">
              <w:rPr>
                <w:spacing w:val="-5"/>
              </w:rPr>
              <w:t xml:space="preserve"> </w:t>
            </w:r>
            <w:r w:rsidRPr="00EC20A0">
              <w:t>“Z”),</w:t>
            </w:r>
            <w:r w:rsidRPr="00EC20A0">
              <w:rPr>
                <w:spacing w:val="-4"/>
              </w:rPr>
              <w:t xml:space="preserve"> </w:t>
            </w:r>
            <w:r w:rsidRPr="00EC20A0">
              <w:t>and</w:t>
            </w:r>
            <w:r w:rsidRPr="00EC20A0">
              <w:rPr>
                <w:spacing w:val="-5"/>
              </w:rPr>
              <w:t xml:space="preserve"> </w:t>
            </w:r>
            <w:r w:rsidRPr="00EC20A0">
              <w:t>(3)</w:t>
            </w:r>
            <w:r w:rsidRPr="00EC20A0">
              <w:rPr>
                <w:spacing w:val="-5"/>
              </w:rPr>
              <w:t xml:space="preserve"> </w:t>
            </w:r>
            <w:r w:rsidRPr="00EC20A0">
              <w:t>the</w:t>
            </w:r>
            <w:r w:rsidRPr="00EC20A0">
              <w:rPr>
                <w:spacing w:val="-5"/>
              </w:rPr>
              <w:t xml:space="preserve"> </w:t>
            </w:r>
            <w:r w:rsidRPr="00EC20A0">
              <w:t>trading</w:t>
            </w:r>
            <w:r w:rsidRPr="00EC20A0">
              <w:rPr>
                <w:spacing w:val="-5"/>
              </w:rPr>
              <w:t xml:space="preserve"> </w:t>
            </w:r>
            <w:r w:rsidRPr="00EC20A0">
              <w:t>partner</w:t>
            </w:r>
            <w:r w:rsidRPr="00EC20A0">
              <w:rPr>
                <w:spacing w:val="-5"/>
              </w:rPr>
              <w:t xml:space="preserve"> </w:t>
            </w:r>
            <w:r w:rsidRPr="00EC20A0">
              <w:t>identifier code (TFM 2-4700), and</w:t>
            </w:r>
          </w:p>
          <w:p w14:paraId="24D616FB" w14:textId="77777777" w:rsidR="00245300" w:rsidRPr="00EC20A0" w:rsidRDefault="00F17249">
            <w:pPr>
              <w:pStyle w:val="TableParagraph"/>
              <w:tabs>
                <w:tab w:val="left" w:pos="1652"/>
              </w:tabs>
              <w:spacing w:line="250" w:lineRule="atLeast"/>
              <w:ind w:left="1652" w:right="732" w:hanging="471"/>
              <w:rPr>
                <w:sz w:val="14"/>
              </w:rPr>
            </w:pPr>
            <w:r w:rsidRPr="00EC20A0">
              <w:rPr>
                <w:spacing w:val="-4"/>
              </w:rPr>
              <w:t>ii.</w:t>
            </w:r>
            <w:r w:rsidRPr="00EC20A0">
              <w:tab/>
              <w:t>using</w:t>
            </w:r>
            <w:r w:rsidRPr="00EC20A0">
              <w:rPr>
                <w:spacing w:val="-8"/>
              </w:rPr>
              <w:t xml:space="preserve"> </w:t>
            </w:r>
            <w:r w:rsidRPr="00EC20A0">
              <w:t>the</w:t>
            </w:r>
            <w:r w:rsidRPr="00EC20A0">
              <w:rPr>
                <w:spacing w:val="-8"/>
              </w:rPr>
              <w:t xml:space="preserve"> </w:t>
            </w:r>
            <w:r w:rsidRPr="00EC20A0">
              <w:t>correct</w:t>
            </w:r>
            <w:r w:rsidRPr="00EC20A0">
              <w:rPr>
                <w:spacing w:val="-8"/>
              </w:rPr>
              <w:t xml:space="preserve"> </w:t>
            </w:r>
            <w:r w:rsidRPr="00EC20A0">
              <w:t>reciprocal</w:t>
            </w:r>
            <w:r w:rsidRPr="00EC20A0">
              <w:rPr>
                <w:spacing w:val="-8"/>
              </w:rPr>
              <w:t xml:space="preserve"> </w:t>
            </w:r>
            <w:r w:rsidRPr="00EC20A0">
              <w:t>USSGL</w:t>
            </w:r>
            <w:r w:rsidRPr="00EC20A0">
              <w:rPr>
                <w:spacing w:val="-7"/>
              </w:rPr>
              <w:t xml:space="preserve"> </w:t>
            </w:r>
            <w:r w:rsidRPr="00EC20A0">
              <w:t>account categories in TFM 2-4700.</w:t>
            </w:r>
            <w:hyperlink w:anchor="_bookmark168" w:history="1">
              <w:r w:rsidRPr="00EC20A0">
                <w:rPr>
                  <w:position w:val="7"/>
                  <w:sz w:val="14"/>
                </w:rPr>
                <w:t>18</w:t>
              </w:r>
            </w:hyperlink>
          </w:p>
        </w:tc>
        <w:tc>
          <w:tcPr>
            <w:tcW w:w="1144" w:type="dxa"/>
            <w:tcBorders>
              <w:left w:val="single" w:sz="4" w:space="0" w:color="000000"/>
              <w:bottom w:val="single" w:sz="4" w:space="0" w:color="000000"/>
              <w:right w:val="single" w:sz="4" w:space="0" w:color="000000"/>
            </w:tcBorders>
          </w:tcPr>
          <w:p w14:paraId="24D616FC"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6FD" w14:textId="77777777" w:rsidR="00245300" w:rsidRPr="00EC20A0" w:rsidRDefault="00245300">
            <w:pPr>
              <w:pStyle w:val="TableParagraph"/>
              <w:rPr>
                <w:sz w:val="20"/>
              </w:rPr>
            </w:pPr>
          </w:p>
        </w:tc>
      </w:tr>
      <w:tr w:rsidR="00245300" w:rsidRPr="00EC20A0" w14:paraId="24D61702" w14:textId="77777777">
        <w:trPr>
          <w:trHeight w:val="1384"/>
        </w:trPr>
        <w:tc>
          <w:tcPr>
            <w:tcW w:w="6696" w:type="dxa"/>
            <w:tcBorders>
              <w:top w:val="single" w:sz="4" w:space="0" w:color="000000"/>
              <w:bottom w:val="single" w:sz="4" w:space="0" w:color="000000"/>
              <w:right w:val="single" w:sz="4" w:space="0" w:color="000000"/>
            </w:tcBorders>
          </w:tcPr>
          <w:p w14:paraId="24D616FF" w14:textId="77777777" w:rsidR="00245300" w:rsidRPr="00EC20A0" w:rsidRDefault="00F17249">
            <w:pPr>
              <w:pStyle w:val="TableParagraph"/>
              <w:tabs>
                <w:tab w:val="left" w:pos="1244"/>
              </w:tabs>
              <w:spacing w:before="60"/>
              <w:ind w:left="1244" w:right="470" w:hanging="397"/>
            </w:pPr>
            <w:r w:rsidRPr="00EC20A0">
              <w:rPr>
                <w:spacing w:val="-6"/>
              </w:rPr>
              <w:t>b)</w:t>
            </w:r>
            <w:r w:rsidRPr="00EC20A0">
              <w:tab/>
              <w:t>Determine whether the entity (i) identifies trading partners when transactions are initiated and on all documentation thereafter and (ii) reviews and approves</w:t>
            </w:r>
            <w:r w:rsidRPr="00EC20A0">
              <w:rPr>
                <w:spacing w:val="-6"/>
              </w:rPr>
              <w:t xml:space="preserve"> </w:t>
            </w:r>
            <w:r w:rsidRPr="00EC20A0">
              <w:t>the</w:t>
            </w:r>
            <w:r w:rsidRPr="00EC20A0">
              <w:rPr>
                <w:spacing w:val="-6"/>
              </w:rPr>
              <w:t xml:space="preserve"> </w:t>
            </w:r>
            <w:r w:rsidRPr="00EC20A0">
              <w:t>trading</w:t>
            </w:r>
            <w:r w:rsidRPr="00EC20A0">
              <w:rPr>
                <w:spacing w:val="-6"/>
              </w:rPr>
              <w:t xml:space="preserve"> </w:t>
            </w:r>
            <w:r w:rsidRPr="00EC20A0">
              <w:t>partner</w:t>
            </w:r>
            <w:r w:rsidRPr="00EC20A0">
              <w:rPr>
                <w:spacing w:val="-6"/>
              </w:rPr>
              <w:t xml:space="preserve"> </w:t>
            </w:r>
            <w:r w:rsidRPr="00EC20A0">
              <w:t>codes</w:t>
            </w:r>
            <w:r w:rsidRPr="00EC20A0">
              <w:rPr>
                <w:spacing w:val="-7"/>
              </w:rPr>
              <w:t xml:space="preserve"> </w:t>
            </w:r>
            <w:r w:rsidRPr="00EC20A0">
              <w:t>before</w:t>
            </w:r>
            <w:r w:rsidRPr="00EC20A0">
              <w:rPr>
                <w:spacing w:val="-6"/>
              </w:rPr>
              <w:t xml:space="preserve"> </w:t>
            </w:r>
            <w:r w:rsidRPr="00EC20A0">
              <w:t>they</w:t>
            </w:r>
            <w:r w:rsidRPr="00EC20A0">
              <w:rPr>
                <w:spacing w:val="-7"/>
              </w:rPr>
              <w:t xml:space="preserve"> </w:t>
            </w:r>
            <w:r w:rsidRPr="00EC20A0">
              <w:t>are entered into the system.</w:t>
            </w:r>
          </w:p>
        </w:tc>
        <w:tc>
          <w:tcPr>
            <w:tcW w:w="1144" w:type="dxa"/>
            <w:tcBorders>
              <w:top w:val="single" w:sz="4" w:space="0" w:color="000000"/>
              <w:left w:val="single" w:sz="4" w:space="0" w:color="000000"/>
              <w:bottom w:val="single" w:sz="4" w:space="0" w:color="000000"/>
              <w:right w:val="single" w:sz="4" w:space="0" w:color="000000"/>
            </w:tcBorders>
          </w:tcPr>
          <w:p w14:paraId="24D6170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01" w14:textId="77777777" w:rsidR="00245300" w:rsidRPr="00EC20A0" w:rsidRDefault="00245300">
            <w:pPr>
              <w:pStyle w:val="TableParagraph"/>
              <w:rPr>
                <w:sz w:val="20"/>
              </w:rPr>
            </w:pPr>
          </w:p>
        </w:tc>
      </w:tr>
      <w:tr w:rsidR="00245300" w:rsidRPr="00EC20A0" w14:paraId="24D61706" w14:textId="77777777">
        <w:trPr>
          <w:trHeight w:val="1637"/>
        </w:trPr>
        <w:tc>
          <w:tcPr>
            <w:tcW w:w="6696" w:type="dxa"/>
            <w:tcBorders>
              <w:top w:val="single" w:sz="4" w:space="0" w:color="000000"/>
              <w:bottom w:val="single" w:sz="4" w:space="0" w:color="000000"/>
              <w:right w:val="single" w:sz="4" w:space="0" w:color="000000"/>
            </w:tcBorders>
          </w:tcPr>
          <w:p w14:paraId="24D61703" w14:textId="77777777" w:rsidR="00245300" w:rsidRPr="00EC20A0" w:rsidRDefault="00F17249">
            <w:pPr>
              <w:pStyle w:val="TableParagraph"/>
              <w:tabs>
                <w:tab w:val="left" w:pos="1244"/>
              </w:tabs>
              <w:spacing w:before="60"/>
              <w:ind w:left="1244" w:right="248" w:hanging="396"/>
            </w:pPr>
            <w:r w:rsidRPr="00EC20A0">
              <w:rPr>
                <w:spacing w:val="-6"/>
              </w:rPr>
              <w:t>c)</w:t>
            </w:r>
            <w:r w:rsidRPr="00EC20A0">
              <w:tab/>
              <w:t xml:space="preserve">Determine </w:t>
            </w:r>
            <w:r w:rsidRPr="00EC20A0">
              <w:rPr>
                <w:i/>
              </w:rPr>
              <w:t xml:space="preserve">when </w:t>
            </w:r>
            <w:r w:rsidRPr="00EC20A0">
              <w:t>the entity recognizes intragovernmental</w:t>
            </w:r>
            <w:r w:rsidRPr="00EC20A0">
              <w:rPr>
                <w:spacing w:val="-8"/>
              </w:rPr>
              <w:t xml:space="preserve"> </w:t>
            </w:r>
            <w:r w:rsidRPr="00EC20A0">
              <w:t>transactions</w:t>
            </w:r>
            <w:r w:rsidRPr="00EC20A0">
              <w:rPr>
                <w:spacing w:val="-8"/>
              </w:rPr>
              <w:t xml:space="preserve"> </w:t>
            </w:r>
            <w:r w:rsidRPr="00EC20A0">
              <w:t>and</w:t>
            </w:r>
            <w:r w:rsidRPr="00EC20A0">
              <w:rPr>
                <w:spacing w:val="-8"/>
              </w:rPr>
              <w:t xml:space="preserve"> </w:t>
            </w:r>
            <w:r w:rsidRPr="00EC20A0">
              <w:t>what</w:t>
            </w:r>
            <w:r w:rsidRPr="00EC20A0">
              <w:rPr>
                <w:spacing w:val="-8"/>
              </w:rPr>
              <w:t xml:space="preserve"> </w:t>
            </w:r>
            <w:r w:rsidRPr="00EC20A0">
              <w:t>controls</w:t>
            </w:r>
            <w:r w:rsidRPr="00EC20A0">
              <w:rPr>
                <w:spacing w:val="-8"/>
              </w:rPr>
              <w:t xml:space="preserve"> </w:t>
            </w:r>
            <w:r w:rsidRPr="00EC20A0">
              <w:t xml:space="preserve">are designed and implemented effectively to reasonably assure that the entity recognizes the </w:t>
            </w:r>
            <w:r w:rsidRPr="00EC20A0">
              <w:t>transactions in the same period, and uses the same accounting methodology, as its trading partner.</w:t>
            </w:r>
          </w:p>
        </w:tc>
        <w:tc>
          <w:tcPr>
            <w:tcW w:w="1144" w:type="dxa"/>
            <w:tcBorders>
              <w:top w:val="single" w:sz="4" w:space="0" w:color="000000"/>
              <w:left w:val="single" w:sz="4" w:space="0" w:color="000000"/>
              <w:bottom w:val="single" w:sz="4" w:space="0" w:color="000000"/>
              <w:right w:val="single" w:sz="4" w:space="0" w:color="000000"/>
            </w:tcBorders>
          </w:tcPr>
          <w:p w14:paraId="24D61704"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05" w14:textId="77777777" w:rsidR="00245300" w:rsidRPr="00EC20A0" w:rsidRDefault="00245300">
            <w:pPr>
              <w:pStyle w:val="TableParagraph"/>
              <w:rPr>
                <w:sz w:val="20"/>
              </w:rPr>
            </w:pPr>
          </w:p>
        </w:tc>
      </w:tr>
      <w:tr w:rsidR="00245300" w:rsidRPr="00EC20A0" w14:paraId="24D6170A" w14:textId="77777777">
        <w:trPr>
          <w:trHeight w:val="3425"/>
        </w:trPr>
        <w:tc>
          <w:tcPr>
            <w:tcW w:w="9069" w:type="dxa"/>
            <w:gridSpan w:val="3"/>
            <w:tcBorders>
              <w:top w:val="single" w:sz="4" w:space="0" w:color="000000"/>
              <w:bottom w:val="single" w:sz="4" w:space="0" w:color="000000"/>
            </w:tcBorders>
          </w:tcPr>
          <w:p w14:paraId="24D61707" w14:textId="77777777" w:rsidR="00245300" w:rsidRPr="00EC20A0" w:rsidRDefault="00F17249">
            <w:pPr>
              <w:pStyle w:val="TableParagraph"/>
              <w:tabs>
                <w:tab w:val="left" w:pos="1298"/>
              </w:tabs>
              <w:spacing w:before="60"/>
              <w:ind w:left="1298" w:right="83" w:hanging="1225"/>
              <w:rPr>
                <w:b/>
                <w:i/>
              </w:rPr>
            </w:pPr>
            <w:r w:rsidRPr="00EC20A0">
              <w:rPr>
                <w:b/>
                <w:i/>
              </w:rPr>
              <w:t>Phase II:</w:t>
            </w:r>
            <w:r w:rsidRPr="00EC20A0">
              <w:rPr>
                <w:b/>
                <w:i/>
              </w:rPr>
              <w:tab/>
              <w:t xml:space="preserve">Reconciling entity’s records of intragovernmental activity and balances to those reported by trading partners and resolving </w:t>
            </w:r>
            <w:r w:rsidRPr="00EC20A0">
              <w:rPr>
                <w:b/>
                <w:i/>
              </w:rPr>
              <w:t>intragovernmental differences (i.e., making adjustments so that differences no longer exist) after appropriately researching the difference, and/or completing corrective</w:t>
            </w:r>
            <w:r w:rsidRPr="00EC20A0">
              <w:rPr>
                <w:b/>
                <w:i/>
                <w:spacing w:val="-4"/>
              </w:rPr>
              <w:t xml:space="preserve"> </w:t>
            </w:r>
            <w:r w:rsidRPr="00EC20A0">
              <w:rPr>
                <w:b/>
                <w:i/>
              </w:rPr>
              <w:t>actions</w:t>
            </w:r>
            <w:r w:rsidRPr="00EC20A0">
              <w:rPr>
                <w:b/>
                <w:i/>
                <w:spacing w:val="-4"/>
              </w:rPr>
              <w:t xml:space="preserve"> </w:t>
            </w:r>
            <w:r w:rsidRPr="00EC20A0">
              <w:rPr>
                <w:b/>
                <w:i/>
              </w:rPr>
              <w:t>that</w:t>
            </w:r>
            <w:r w:rsidRPr="00EC20A0">
              <w:rPr>
                <w:b/>
                <w:i/>
                <w:spacing w:val="-4"/>
              </w:rPr>
              <w:t xml:space="preserve"> </w:t>
            </w:r>
            <w:r w:rsidRPr="00EC20A0">
              <w:rPr>
                <w:b/>
                <w:i/>
              </w:rPr>
              <w:t>fixed</w:t>
            </w:r>
            <w:r w:rsidRPr="00EC20A0">
              <w:rPr>
                <w:b/>
                <w:i/>
                <w:spacing w:val="-4"/>
              </w:rPr>
              <w:t xml:space="preserve"> </w:t>
            </w:r>
            <w:r w:rsidRPr="00EC20A0">
              <w:rPr>
                <w:b/>
                <w:i/>
              </w:rPr>
              <w:t>the</w:t>
            </w:r>
            <w:r w:rsidRPr="00EC20A0">
              <w:rPr>
                <w:b/>
                <w:i/>
                <w:spacing w:val="-4"/>
              </w:rPr>
              <w:t xml:space="preserve"> </w:t>
            </w:r>
            <w:r w:rsidRPr="00EC20A0">
              <w:rPr>
                <w:b/>
                <w:i/>
              </w:rPr>
              <w:t>cause</w:t>
            </w:r>
            <w:r w:rsidRPr="00EC20A0">
              <w:rPr>
                <w:b/>
                <w:i/>
                <w:spacing w:val="-4"/>
              </w:rPr>
              <w:t xml:space="preserve"> </w:t>
            </w:r>
            <w:r w:rsidRPr="00EC20A0">
              <w:rPr>
                <w:b/>
                <w:i/>
              </w:rPr>
              <w:t>of</w:t>
            </w:r>
            <w:r w:rsidRPr="00EC20A0">
              <w:rPr>
                <w:b/>
                <w:i/>
                <w:spacing w:val="-4"/>
              </w:rPr>
              <w:t xml:space="preserve"> </w:t>
            </w:r>
            <w:r w:rsidRPr="00EC20A0">
              <w:rPr>
                <w:b/>
                <w:i/>
              </w:rPr>
              <w:t>the</w:t>
            </w:r>
            <w:r w:rsidRPr="00EC20A0">
              <w:rPr>
                <w:b/>
                <w:i/>
                <w:spacing w:val="-4"/>
              </w:rPr>
              <w:t xml:space="preserve"> </w:t>
            </w:r>
            <w:r w:rsidRPr="00EC20A0">
              <w:rPr>
                <w:b/>
                <w:i/>
              </w:rPr>
              <w:t>difference,</w:t>
            </w:r>
            <w:r w:rsidRPr="00EC20A0">
              <w:rPr>
                <w:b/>
                <w:i/>
                <w:spacing w:val="-4"/>
              </w:rPr>
              <w:t xml:space="preserve"> </w:t>
            </w:r>
            <w:r w:rsidRPr="00EC20A0">
              <w:rPr>
                <w:b/>
                <w:i/>
              </w:rPr>
              <w:t>or</w:t>
            </w:r>
            <w:r w:rsidRPr="00EC20A0">
              <w:rPr>
                <w:b/>
                <w:i/>
                <w:spacing w:val="-5"/>
              </w:rPr>
              <w:t xml:space="preserve"> </w:t>
            </w:r>
            <w:r w:rsidRPr="00EC20A0">
              <w:rPr>
                <w:b/>
                <w:i/>
              </w:rPr>
              <w:t>after</w:t>
            </w:r>
            <w:r w:rsidRPr="00EC20A0">
              <w:rPr>
                <w:b/>
                <w:i/>
                <w:spacing w:val="-5"/>
              </w:rPr>
              <w:t xml:space="preserve"> </w:t>
            </w:r>
            <w:r w:rsidRPr="00EC20A0">
              <w:rPr>
                <w:b/>
                <w:i/>
              </w:rPr>
              <w:t xml:space="preserve">Treasury issued a decision as part of its dispute resolution process. Entities </w:t>
            </w:r>
            <w:r w:rsidRPr="00EC20A0">
              <w:rPr>
                <w:b/>
                <w:i/>
                <w:spacing w:val="-2"/>
              </w:rPr>
              <w:t>should:</w:t>
            </w:r>
          </w:p>
          <w:p w14:paraId="24D61708" w14:textId="77777777" w:rsidR="00245300" w:rsidRPr="00EC20A0" w:rsidRDefault="00F17249">
            <w:pPr>
              <w:pStyle w:val="TableParagraph"/>
              <w:numPr>
                <w:ilvl w:val="0"/>
                <w:numId w:val="110"/>
              </w:numPr>
              <w:tabs>
                <w:tab w:val="left" w:pos="1832"/>
              </w:tabs>
              <w:spacing w:before="120"/>
              <w:ind w:right="505"/>
              <w:rPr>
                <w:b/>
                <w:i/>
              </w:rPr>
            </w:pPr>
            <w:r w:rsidRPr="00EC20A0">
              <w:rPr>
                <w:b/>
                <w:i/>
              </w:rPr>
              <w:t>Coordinate</w:t>
            </w:r>
            <w:r w:rsidRPr="00EC20A0">
              <w:rPr>
                <w:b/>
                <w:i/>
                <w:spacing w:val="-7"/>
              </w:rPr>
              <w:t xml:space="preserve"> </w:t>
            </w:r>
            <w:r w:rsidRPr="00EC20A0">
              <w:rPr>
                <w:b/>
                <w:i/>
              </w:rPr>
              <w:t>with</w:t>
            </w:r>
            <w:r w:rsidRPr="00EC20A0">
              <w:rPr>
                <w:b/>
                <w:i/>
                <w:spacing w:val="-7"/>
              </w:rPr>
              <w:t xml:space="preserve"> </w:t>
            </w:r>
            <w:r w:rsidRPr="00EC20A0">
              <w:rPr>
                <w:b/>
                <w:i/>
              </w:rPr>
              <w:t>trading</w:t>
            </w:r>
            <w:r w:rsidRPr="00EC20A0">
              <w:rPr>
                <w:b/>
                <w:i/>
                <w:spacing w:val="-7"/>
              </w:rPr>
              <w:t xml:space="preserve"> </w:t>
            </w:r>
            <w:r w:rsidRPr="00EC20A0">
              <w:rPr>
                <w:b/>
                <w:i/>
              </w:rPr>
              <w:t>partners</w:t>
            </w:r>
            <w:r w:rsidRPr="00EC20A0">
              <w:rPr>
                <w:b/>
                <w:i/>
                <w:spacing w:val="-7"/>
              </w:rPr>
              <w:t xml:space="preserve"> </w:t>
            </w:r>
            <w:r w:rsidRPr="00EC20A0">
              <w:rPr>
                <w:b/>
                <w:i/>
              </w:rPr>
              <w:t>to</w:t>
            </w:r>
            <w:r w:rsidRPr="00EC20A0">
              <w:rPr>
                <w:b/>
                <w:i/>
                <w:spacing w:val="-7"/>
              </w:rPr>
              <w:t xml:space="preserve"> </w:t>
            </w:r>
            <w:r w:rsidRPr="00EC20A0">
              <w:rPr>
                <w:b/>
                <w:i/>
              </w:rPr>
              <w:t>reconcile</w:t>
            </w:r>
            <w:r w:rsidRPr="00EC20A0">
              <w:rPr>
                <w:b/>
                <w:i/>
                <w:spacing w:val="-7"/>
              </w:rPr>
              <w:t xml:space="preserve"> </w:t>
            </w:r>
            <w:r w:rsidRPr="00EC20A0">
              <w:rPr>
                <w:b/>
                <w:i/>
              </w:rPr>
              <w:t>intragovernmental activity and balances, and</w:t>
            </w:r>
          </w:p>
          <w:p w14:paraId="24D61709" w14:textId="77777777" w:rsidR="00245300" w:rsidRPr="00EC20A0" w:rsidRDefault="00F17249">
            <w:pPr>
              <w:pStyle w:val="TableParagraph"/>
              <w:numPr>
                <w:ilvl w:val="0"/>
                <w:numId w:val="110"/>
              </w:numPr>
              <w:tabs>
                <w:tab w:val="left" w:pos="1832"/>
              </w:tabs>
              <w:spacing w:before="118"/>
              <w:ind w:right="467"/>
              <w:rPr>
                <w:b/>
                <w:i/>
              </w:rPr>
            </w:pPr>
            <w:r w:rsidRPr="00EC20A0">
              <w:rPr>
                <w:b/>
                <w:i/>
              </w:rPr>
              <w:t>Resolve differences by either recording an adjustment in the entity’s</w:t>
            </w:r>
            <w:r w:rsidRPr="00EC20A0">
              <w:rPr>
                <w:b/>
                <w:i/>
                <w:spacing w:val="-5"/>
              </w:rPr>
              <w:t xml:space="preserve"> </w:t>
            </w:r>
            <w:r w:rsidRPr="00EC20A0">
              <w:rPr>
                <w:b/>
                <w:i/>
              </w:rPr>
              <w:t>accounting</w:t>
            </w:r>
            <w:r w:rsidRPr="00EC20A0">
              <w:rPr>
                <w:b/>
                <w:i/>
                <w:spacing w:val="-5"/>
              </w:rPr>
              <w:t xml:space="preserve"> </w:t>
            </w:r>
            <w:r w:rsidRPr="00EC20A0">
              <w:rPr>
                <w:b/>
                <w:i/>
              </w:rPr>
              <w:t>records</w:t>
            </w:r>
            <w:r w:rsidRPr="00EC20A0">
              <w:rPr>
                <w:b/>
                <w:i/>
                <w:spacing w:val="-5"/>
              </w:rPr>
              <w:t xml:space="preserve"> </w:t>
            </w:r>
            <w:r w:rsidRPr="00EC20A0">
              <w:rPr>
                <w:b/>
                <w:i/>
              </w:rPr>
              <w:t>OR</w:t>
            </w:r>
            <w:r w:rsidRPr="00EC20A0">
              <w:rPr>
                <w:b/>
                <w:i/>
                <w:spacing w:val="-6"/>
              </w:rPr>
              <w:t xml:space="preserve"> </w:t>
            </w:r>
            <w:r w:rsidRPr="00EC20A0">
              <w:rPr>
                <w:b/>
                <w:i/>
              </w:rPr>
              <w:t>verifying</w:t>
            </w:r>
            <w:r w:rsidRPr="00EC20A0">
              <w:rPr>
                <w:b/>
                <w:i/>
                <w:spacing w:val="-5"/>
              </w:rPr>
              <w:t xml:space="preserve"> </w:t>
            </w:r>
            <w:r w:rsidRPr="00EC20A0">
              <w:rPr>
                <w:b/>
                <w:i/>
              </w:rPr>
              <w:t>that</w:t>
            </w:r>
            <w:r w:rsidRPr="00EC20A0">
              <w:rPr>
                <w:b/>
                <w:i/>
                <w:spacing w:val="-5"/>
              </w:rPr>
              <w:t xml:space="preserve"> </w:t>
            </w:r>
            <w:r w:rsidRPr="00EC20A0">
              <w:rPr>
                <w:b/>
                <w:i/>
              </w:rPr>
              <w:t>the</w:t>
            </w:r>
            <w:r w:rsidRPr="00EC20A0">
              <w:rPr>
                <w:b/>
                <w:i/>
                <w:spacing w:val="-5"/>
              </w:rPr>
              <w:t xml:space="preserve"> </w:t>
            </w:r>
            <w:r w:rsidRPr="00EC20A0">
              <w:rPr>
                <w:b/>
                <w:i/>
              </w:rPr>
              <w:t>trading</w:t>
            </w:r>
            <w:r w:rsidRPr="00EC20A0">
              <w:rPr>
                <w:b/>
                <w:i/>
                <w:spacing w:val="-5"/>
              </w:rPr>
              <w:t xml:space="preserve"> </w:t>
            </w:r>
            <w:r w:rsidRPr="00EC20A0">
              <w:rPr>
                <w:b/>
                <w:i/>
              </w:rPr>
              <w:t>partner recorded an adjustment in its accounting records.</w:t>
            </w:r>
          </w:p>
        </w:tc>
      </w:tr>
      <w:tr w:rsidR="00245300" w:rsidRPr="00EC20A0" w14:paraId="24D6170E" w14:textId="77777777">
        <w:trPr>
          <w:trHeight w:val="1132"/>
        </w:trPr>
        <w:tc>
          <w:tcPr>
            <w:tcW w:w="6696" w:type="dxa"/>
            <w:tcBorders>
              <w:top w:val="single" w:sz="4" w:space="0" w:color="000000"/>
              <w:bottom w:val="single" w:sz="4" w:space="0" w:color="000000"/>
              <w:right w:val="single" w:sz="4" w:space="0" w:color="000000"/>
            </w:tcBorders>
          </w:tcPr>
          <w:p w14:paraId="24D6170B" w14:textId="77777777" w:rsidR="00245300" w:rsidRPr="00EC20A0" w:rsidRDefault="00F17249">
            <w:pPr>
              <w:pStyle w:val="TableParagraph"/>
              <w:spacing w:before="60"/>
              <w:ind w:left="1172" w:right="134" w:hanging="360"/>
            </w:pPr>
            <w:r w:rsidRPr="00EC20A0">
              <w:t>2)</w:t>
            </w:r>
            <w:r w:rsidRPr="00EC20A0">
              <w:rPr>
                <w:spacing w:val="80"/>
              </w:rPr>
              <w:t xml:space="preserve"> </w:t>
            </w:r>
            <w:r w:rsidRPr="00EC20A0">
              <w:t>Determine, through inquiries of management, walk- throughs, reviews of prior years’ documentation, and the</w:t>
            </w:r>
            <w:r w:rsidRPr="00EC20A0">
              <w:rPr>
                <w:spacing w:val="-5"/>
              </w:rPr>
              <w:t xml:space="preserve"> </w:t>
            </w:r>
            <w:r w:rsidRPr="00EC20A0">
              <w:t>following</w:t>
            </w:r>
            <w:r w:rsidRPr="00EC20A0">
              <w:rPr>
                <w:spacing w:val="-6"/>
              </w:rPr>
              <w:t xml:space="preserve"> </w:t>
            </w:r>
            <w:r w:rsidRPr="00EC20A0">
              <w:t>procedures,</w:t>
            </w:r>
            <w:r w:rsidRPr="00EC20A0">
              <w:rPr>
                <w:spacing w:val="-6"/>
              </w:rPr>
              <w:t xml:space="preserve"> </w:t>
            </w:r>
            <w:r w:rsidRPr="00EC20A0">
              <w:t>how</w:t>
            </w:r>
            <w:r w:rsidRPr="00EC20A0">
              <w:rPr>
                <w:spacing w:val="-6"/>
              </w:rPr>
              <w:t xml:space="preserve"> </w:t>
            </w:r>
            <w:r w:rsidRPr="00EC20A0">
              <w:t>the</w:t>
            </w:r>
            <w:r w:rsidRPr="00EC20A0">
              <w:rPr>
                <w:spacing w:val="-5"/>
              </w:rPr>
              <w:t xml:space="preserve"> </w:t>
            </w:r>
            <w:r w:rsidRPr="00EC20A0">
              <w:t>entity</w:t>
            </w:r>
            <w:r w:rsidRPr="00EC20A0">
              <w:rPr>
                <w:spacing w:val="-5"/>
              </w:rPr>
              <w:t xml:space="preserve"> </w:t>
            </w:r>
            <w:r w:rsidRPr="00EC20A0">
              <w:rPr>
                <w:u w:val="single"/>
              </w:rPr>
              <w:t>reconciles</w:t>
            </w:r>
            <w:r w:rsidRPr="00EC20A0">
              <w:rPr>
                <w:spacing w:val="-4"/>
              </w:rPr>
              <w:t xml:space="preserve"> </w:t>
            </w:r>
            <w:r w:rsidRPr="00EC20A0">
              <w:t xml:space="preserve">its </w:t>
            </w:r>
            <w:r w:rsidRPr="00EC20A0">
              <w:t>intragovernmental amounts with its trading partners.</w:t>
            </w:r>
          </w:p>
        </w:tc>
        <w:tc>
          <w:tcPr>
            <w:tcW w:w="1144" w:type="dxa"/>
            <w:tcBorders>
              <w:top w:val="single" w:sz="4" w:space="0" w:color="000000"/>
              <w:left w:val="single" w:sz="4" w:space="0" w:color="000000"/>
              <w:bottom w:val="single" w:sz="4" w:space="0" w:color="000000"/>
              <w:right w:val="single" w:sz="4" w:space="0" w:color="000000"/>
            </w:tcBorders>
          </w:tcPr>
          <w:p w14:paraId="24D6170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0D" w14:textId="77777777" w:rsidR="00245300" w:rsidRPr="00EC20A0" w:rsidRDefault="00245300">
            <w:pPr>
              <w:pStyle w:val="TableParagraph"/>
              <w:rPr>
                <w:sz w:val="20"/>
              </w:rPr>
            </w:pPr>
          </w:p>
        </w:tc>
      </w:tr>
      <w:tr w:rsidR="00245300" w:rsidRPr="00EC20A0" w14:paraId="24D61712" w14:textId="77777777">
        <w:trPr>
          <w:trHeight w:val="1384"/>
        </w:trPr>
        <w:tc>
          <w:tcPr>
            <w:tcW w:w="6696" w:type="dxa"/>
            <w:tcBorders>
              <w:top w:val="single" w:sz="4" w:space="0" w:color="000000"/>
              <w:bottom w:val="single" w:sz="4" w:space="0" w:color="000000"/>
              <w:right w:val="single" w:sz="4" w:space="0" w:color="000000"/>
            </w:tcBorders>
          </w:tcPr>
          <w:p w14:paraId="24D6170F" w14:textId="77777777" w:rsidR="00245300" w:rsidRPr="00EC20A0" w:rsidRDefault="00F17249">
            <w:pPr>
              <w:pStyle w:val="TableParagraph"/>
              <w:spacing w:before="60"/>
              <w:ind w:left="1568" w:right="160" w:hanging="361"/>
            </w:pPr>
            <w:r w:rsidRPr="00EC20A0">
              <w:t>a)</w:t>
            </w:r>
            <w:r w:rsidRPr="00EC20A0">
              <w:rPr>
                <w:spacing w:val="80"/>
              </w:rPr>
              <w:t xml:space="preserve"> </w:t>
            </w:r>
            <w:r w:rsidRPr="00EC20A0">
              <w:t>Determine whether the entity has established processes, including routine communication and confirmations, with each trading partner to reconcile</w:t>
            </w:r>
            <w:r w:rsidRPr="00EC20A0">
              <w:rPr>
                <w:spacing w:val="-11"/>
              </w:rPr>
              <w:t xml:space="preserve"> </w:t>
            </w:r>
            <w:r w:rsidRPr="00EC20A0">
              <w:t>intragovernmental</w:t>
            </w:r>
            <w:r w:rsidRPr="00EC20A0">
              <w:rPr>
                <w:spacing w:val="-10"/>
              </w:rPr>
              <w:t xml:space="preserve"> </w:t>
            </w:r>
            <w:r w:rsidRPr="00EC20A0">
              <w:t>activity</w:t>
            </w:r>
            <w:r w:rsidRPr="00EC20A0">
              <w:rPr>
                <w:spacing w:val="-11"/>
              </w:rPr>
              <w:t xml:space="preserve"> </w:t>
            </w:r>
            <w:r w:rsidRPr="00EC20A0">
              <w:t>and</w:t>
            </w:r>
            <w:r w:rsidRPr="00EC20A0">
              <w:rPr>
                <w:spacing w:val="-10"/>
              </w:rPr>
              <w:t xml:space="preserve"> </w:t>
            </w:r>
            <w:r w:rsidRPr="00EC20A0">
              <w:t xml:space="preserve">balances </w:t>
            </w:r>
            <w:r w:rsidRPr="00EC20A0">
              <w:rPr>
                <w:spacing w:val="-2"/>
              </w:rPr>
              <w:t>timely.</w:t>
            </w:r>
          </w:p>
        </w:tc>
        <w:tc>
          <w:tcPr>
            <w:tcW w:w="1144" w:type="dxa"/>
            <w:tcBorders>
              <w:top w:val="single" w:sz="4" w:space="0" w:color="000000"/>
              <w:left w:val="single" w:sz="4" w:space="0" w:color="000000"/>
              <w:bottom w:val="single" w:sz="4" w:space="0" w:color="000000"/>
              <w:right w:val="single" w:sz="4" w:space="0" w:color="000000"/>
            </w:tcBorders>
          </w:tcPr>
          <w:p w14:paraId="24D6171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11" w14:textId="77777777" w:rsidR="00245300" w:rsidRPr="00EC20A0" w:rsidRDefault="00245300">
            <w:pPr>
              <w:pStyle w:val="TableParagraph"/>
              <w:rPr>
                <w:sz w:val="20"/>
              </w:rPr>
            </w:pPr>
          </w:p>
        </w:tc>
      </w:tr>
    </w:tbl>
    <w:p w14:paraId="24D61713" w14:textId="77777777" w:rsidR="00245300" w:rsidRPr="00EC20A0" w:rsidRDefault="00245300">
      <w:pPr>
        <w:pStyle w:val="BodyText"/>
        <w:rPr>
          <w:sz w:val="20"/>
        </w:rPr>
      </w:pPr>
    </w:p>
    <w:p w14:paraId="24D61714" w14:textId="77777777" w:rsidR="00245300" w:rsidRPr="00EC20A0" w:rsidRDefault="00245300">
      <w:pPr>
        <w:pStyle w:val="BodyText"/>
        <w:rPr>
          <w:sz w:val="20"/>
        </w:rPr>
      </w:pPr>
    </w:p>
    <w:p w14:paraId="24D61715" w14:textId="77777777" w:rsidR="00245300" w:rsidRPr="00EC20A0" w:rsidRDefault="00F17249">
      <w:pPr>
        <w:pStyle w:val="BodyText"/>
        <w:spacing w:before="16"/>
        <w:rPr>
          <w:sz w:val="20"/>
        </w:rPr>
      </w:pPr>
      <w:r w:rsidRPr="00EC20A0">
        <w:rPr>
          <w:noProof/>
        </w:rPr>
        <mc:AlternateContent>
          <mc:Choice Requires="wps">
            <w:drawing>
              <wp:anchor distT="0" distB="0" distL="0" distR="0" simplePos="0" relativeHeight="487710720" behindDoc="1" locked="0" layoutInCell="1" allowOverlap="1" wp14:anchorId="24D62C95" wp14:editId="24D62C96">
                <wp:simplePos x="0" y="0"/>
                <wp:positionH relativeFrom="page">
                  <wp:posOffset>914400</wp:posOffset>
                </wp:positionH>
                <wp:positionV relativeFrom="paragraph">
                  <wp:posOffset>171982</wp:posOffset>
                </wp:positionV>
                <wp:extent cx="1828800" cy="5715"/>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20BBA" id="Graphic 792" o:spid="_x0000_s1026" style="position:absolute;margin-left:1in;margin-top:13.55pt;width:2in;height:.45pt;z-index:-156057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" path="m1828800,l,,,5333r1828800,l1828800,xe" fillcolor="black" stroked="f">
                <v:path arrowok="t"/>
                <w10:wrap type="topAndBottom" anchorx="page"/>
              </v:shape>
            </w:pict>
          </mc:Fallback>
        </mc:AlternateContent>
      </w:r>
    </w:p>
    <w:p w14:paraId="24D61716" w14:textId="77777777" w:rsidR="00245300" w:rsidRPr="00EC20A0" w:rsidRDefault="00F17249">
      <w:pPr>
        <w:spacing w:before="202" w:line="242" w:lineRule="auto"/>
        <w:ind w:left="199" w:right="425"/>
        <w:rPr>
          <w:sz w:val="18"/>
        </w:rPr>
      </w:pPr>
      <w:bookmarkStart w:id="293" w:name="_bookmark168"/>
      <w:bookmarkEnd w:id="293"/>
      <w:r w:rsidRPr="00EC20A0">
        <w:rPr>
          <w:position w:val="7"/>
          <w:sz w:val="14"/>
        </w:rPr>
        <w:t>18</w:t>
      </w:r>
      <w:r w:rsidRPr="00EC20A0">
        <w:rPr>
          <w:sz w:val="18"/>
        </w:rPr>
        <w:t>Reciprocal accounts are offsetting USSGL accounts used by inter-entity trading partners to record transactions (e.g., a seller’s receivable account and a buyer’s corresponding payable account). Treasury groups these USSGL accounts</w:t>
      </w:r>
      <w:r w:rsidRPr="00EC20A0">
        <w:rPr>
          <w:spacing w:val="-2"/>
          <w:sz w:val="18"/>
        </w:rPr>
        <w:t xml:space="preserve"> </w:t>
      </w:r>
      <w:r w:rsidRPr="00EC20A0">
        <w:rPr>
          <w:sz w:val="18"/>
        </w:rPr>
        <w:t>into</w:t>
      </w:r>
      <w:r w:rsidRPr="00EC20A0">
        <w:rPr>
          <w:spacing w:val="-3"/>
          <w:sz w:val="18"/>
        </w:rPr>
        <w:t xml:space="preserve"> </w:t>
      </w:r>
      <w:r w:rsidRPr="00EC20A0">
        <w:rPr>
          <w:sz w:val="18"/>
        </w:rPr>
        <w:t>“reciprocal</w:t>
      </w:r>
      <w:r w:rsidRPr="00EC20A0">
        <w:rPr>
          <w:spacing w:val="-2"/>
          <w:sz w:val="18"/>
        </w:rPr>
        <w:t xml:space="preserve"> </w:t>
      </w:r>
      <w:r w:rsidRPr="00EC20A0">
        <w:rPr>
          <w:sz w:val="18"/>
        </w:rPr>
        <w:t>categories,”</w:t>
      </w:r>
      <w:r w:rsidRPr="00EC20A0">
        <w:rPr>
          <w:spacing w:val="-2"/>
          <w:sz w:val="18"/>
        </w:rPr>
        <w:t xml:space="preserve"> </w:t>
      </w:r>
      <w:r w:rsidRPr="00EC20A0">
        <w:rPr>
          <w:sz w:val="18"/>
        </w:rPr>
        <w:t>which</w:t>
      </w:r>
      <w:r w:rsidRPr="00EC20A0">
        <w:rPr>
          <w:spacing w:val="-1"/>
          <w:sz w:val="18"/>
        </w:rPr>
        <w:t xml:space="preserve"> </w:t>
      </w:r>
      <w:r w:rsidRPr="00EC20A0">
        <w:rPr>
          <w:sz w:val="18"/>
        </w:rPr>
        <w:t>Treasury</w:t>
      </w:r>
      <w:r w:rsidRPr="00EC20A0">
        <w:rPr>
          <w:spacing w:val="-2"/>
          <w:sz w:val="18"/>
        </w:rPr>
        <w:t xml:space="preserve"> </w:t>
      </w:r>
      <w:r w:rsidRPr="00EC20A0">
        <w:rPr>
          <w:sz w:val="18"/>
        </w:rPr>
        <w:t>uses</w:t>
      </w:r>
      <w:r w:rsidRPr="00EC20A0">
        <w:rPr>
          <w:spacing w:val="-1"/>
          <w:sz w:val="18"/>
        </w:rPr>
        <w:t xml:space="preserve"> </w:t>
      </w:r>
      <w:r w:rsidRPr="00EC20A0">
        <w:rPr>
          <w:sz w:val="18"/>
        </w:rPr>
        <w:t>to</w:t>
      </w:r>
      <w:r w:rsidRPr="00EC20A0">
        <w:rPr>
          <w:spacing w:val="-3"/>
          <w:sz w:val="18"/>
        </w:rPr>
        <w:t xml:space="preserve"> </w:t>
      </w:r>
      <w:r w:rsidRPr="00EC20A0">
        <w:rPr>
          <w:sz w:val="18"/>
        </w:rPr>
        <w:t>help</w:t>
      </w:r>
      <w:r w:rsidRPr="00EC20A0">
        <w:rPr>
          <w:spacing w:val="-3"/>
          <w:sz w:val="18"/>
        </w:rPr>
        <w:t xml:space="preserve"> </w:t>
      </w:r>
      <w:r w:rsidRPr="00EC20A0">
        <w:rPr>
          <w:sz w:val="18"/>
        </w:rPr>
        <w:t>manage</w:t>
      </w:r>
      <w:r w:rsidRPr="00EC20A0">
        <w:rPr>
          <w:spacing w:val="-3"/>
          <w:sz w:val="18"/>
        </w:rPr>
        <w:t xml:space="preserve"> </w:t>
      </w:r>
      <w:r w:rsidRPr="00EC20A0">
        <w:rPr>
          <w:sz w:val="18"/>
        </w:rPr>
        <w:t>intragovernmental</w:t>
      </w:r>
      <w:r w:rsidRPr="00EC20A0">
        <w:rPr>
          <w:spacing w:val="-2"/>
          <w:sz w:val="18"/>
        </w:rPr>
        <w:t xml:space="preserve"> </w:t>
      </w:r>
      <w:r w:rsidRPr="00EC20A0">
        <w:rPr>
          <w:sz w:val="18"/>
        </w:rPr>
        <w:t>transactions,</w:t>
      </w:r>
      <w:r w:rsidRPr="00EC20A0">
        <w:rPr>
          <w:spacing w:val="-2"/>
          <w:sz w:val="18"/>
        </w:rPr>
        <w:t xml:space="preserve"> </w:t>
      </w:r>
      <w:r w:rsidRPr="00EC20A0">
        <w:rPr>
          <w:sz w:val="18"/>
        </w:rPr>
        <w:t>including calculating intragovernmental differences between trading partners, assisting entities in resolving differences, and at year-end</w:t>
      </w:r>
      <w:r w:rsidRPr="00EC20A0">
        <w:rPr>
          <w:spacing w:val="-5"/>
          <w:sz w:val="18"/>
        </w:rPr>
        <w:t xml:space="preserve"> </w:t>
      </w:r>
      <w:r w:rsidRPr="00EC20A0">
        <w:rPr>
          <w:sz w:val="18"/>
        </w:rPr>
        <w:t>eliminating</w:t>
      </w:r>
      <w:r w:rsidRPr="00EC20A0">
        <w:rPr>
          <w:spacing w:val="-5"/>
          <w:sz w:val="18"/>
        </w:rPr>
        <w:t xml:space="preserve"> </w:t>
      </w:r>
      <w:r w:rsidRPr="00EC20A0">
        <w:rPr>
          <w:sz w:val="18"/>
        </w:rPr>
        <w:t>intragovernmental</w:t>
      </w:r>
      <w:r w:rsidRPr="00EC20A0">
        <w:rPr>
          <w:spacing w:val="-4"/>
          <w:sz w:val="18"/>
        </w:rPr>
        <w:t xml:space="preserve"> </w:t>
      </w:r>
      <w:r w:rsidRPr="00EC20A0">
        <w:rPr>
          <w:sz w:val="18"/>
        </w:rPr>
        <w:t>amounts</w:t>
      </w:r>
      <w:r w:rsidRPr="00EC20A0">
        <w:rPr>
          <w:spacing w:val="-4"/>
          <w:sz w:val="18"/>
        </w:rPr>
        <w:t xml:space="preserve"> </w:t>
      </w:r>
      <w:r w:rsidRPr="00EC20A0">
        <w:rPr>
          <w:sz w:val="18"/>
        </w:rPr>
        <w:t>from</w:t>
      </w:r>
      <w:r w:rsidRPr="00EC20A0">
        <w:rPr>
          <w:spacing w:val="-4"/>
          <w:sz w:val="18"/>
        </w:rPr>
        <w:t xml:space="preserve"> </w:t>
      </w:r>
      <w:r w:rsidRPr="00EC20A0">
        <w:rPr>
          <w:sz w:val="18"/>
        </w:rPr>
        <w:t>the</w:t>
      </w:r>
      <w:r w:rsidRPr="00EC20A0">
        <w:rPr>
          <w:spacing w:val="-5"/>
          <w:sz w:val="18"/>
        </w:rPr>
        <w:t xml:space="preserve"> </w:t>
      </w:r>
      <w:r w:rsidRPr="00EC20A0">
        <w:rPr>
          <w:sz w:val="18"/>
        </w:rPr>
        <w:t>U.S.</w:t>
      </w:r>
      <w:r w:rsidRPr="00EC20A0">
        <w:rPr>
          <w:spacing w:val="-4"/>
          <w:sz w:val="18"/>
        </w:rPr>
        <w:t xml:space="preserve"> </w:t>
      </w:r>
      <w:r w:rsidRPr="00EC20A0">
        <w:rPr>
          <w:sz w:val="18"/>
        </w:rPr>
        <w:t>government’s</w:t>
      </w:r>
      <w:r w:rsidRPr="00EC20A0">
        <w:rPr>
          <w:spacing w:val="-4"/>
          <w:sz w:val="18"/>
        </w:rPr>
        <w:t xml:space="preserve"> </w:t>
      </w:r>
      <w:r w:rsidRPr="00EC20A0">
        <w:rPr>
          <w:sz w:val="18"/>
        </w:rPr>
        <w:t>consolidated</w:t>
      </w:r>
      <w:r w:rsidRPr="00EC20A0">
        <w:rPr>
          <w:spacing w:val="-5"/>
          <w:sz w:val="18"/>
        </w:rPr>
        <w:t xml:space="preserve"> </w:t>
      </w:r>
      <w:r w:rsidRPr="00EC20A0">
        <w:rPr>
          <w:sz w:val="18"/>
        </w:rPr>
        <w:t>financial</w:t>
      </w:r>
      <w:r w:rsidRPr="00EC20A0">
        <w:rPr>
          <w:spacing w:val="-4"/>
          <w:sz w:val="18"/>
        </w:rPr>
        <w:t xml:space="preserve"> </w:t>
      </w:r>
      <w:r w:rsidRPr="00EC20A0">
        <w:rPr>
          <w:sz w:val="18"/>
        </w:rPr>
        <w:t>statements</w:t>
      </w:r>
      <w:r w:rsidRPr="00EC20A0">
        <w:rPr>
          <w:spacing w:val="-4"/>
          <w:sz w:val="18"/>
        </w:rPr>
        <w:t xml:space="preserve"> </w:t>
      </w:r>
      <w:r w:rsidRPr="00EC20A0">
        <w:rPr>
          <w:sz w:val="18"/>
        </w:rPr>
        <w:t>(TFM 2-4700, appendices 2 and 3).</w:t>
      </w:r>
    </w:p>
    <w:p w14:paraId="24D61717"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718"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71C" w14:textId="77777777">
        <w:trPr>
          <w:trHeight w:val="625"/>
        </w:trPr>
        <w:tc>
          <w:tcPr>
            <w:tcW w:w="6696" w:type="dxa"/>
            <w:tcBorders>
              <w:right w:val="single" w:sz="4" w:space="0" w:color="000000"/>
            </w:tcBorders>
          </w:tcPr>
          <w:p w14:paraId="24D61719"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71A"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71B"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720" w14:textId="77777777">
        <w:trPr>
          <w:trHeight w:val="1098"/>
        </w:trPr>
        <w:tc>
          <w:tcPr>
            <w:tcW w:w="6696" w:type="dxa"/>
            <w:tcBorders>
              <w:bottom w:val="single" w:sz="4" w:space="0" w:color="000000"/>
              <w:right w:val="single" w:sz="4" w:space="0" w:color="000000"/>
            </w:tcBorders>
          </w:tcPr>
          <w:p w14:paraId="24D6171D" w14:textId="77777777" w:rsidR="00245300" w:rsidRPr="00EC20A0" w:rsidRDefault="00F17249">
            <w:pPr>
              <w:pStyle w:val="TableParagraph"/>
              <w:spacing w:before="25"/>
              <w:ind w:left="1568" w:right="82" w:hanging="361"/>
            </w:pPr>
            <w:r w:rsidRPr="00EC20A0">
              <w:t>b)</w:t>
            </w:r>
            <w:r w:rsidRPr="00EC20A0">
              <w:rPr>
                <w:spacing w:val="80"/>
              </w:rPr>
              <w:t xml:space="preserve"> </w:t>
            </w:r>
            <w:r w:rsidRPr="00EC20A0">
              <w:t xml:space="preserve">Determine whether management reviews the current OMB, Treasury, and other guidance for </w:t>
            </w:r>
            <w:r w:rsidRPr="00EC20A0">
              <w:t>reconciling</w:t>
            </w:r>
            <w:r w:rsidRPr="00EC20A0">
              <w:rPr>
                <w:spacing w:val="-10"/>
              </w:rPr>
              <w:t xml:space="preserve"> </w:t>
            </w:r>
            <w:r w:rsidRPr="00EC20A0">
              <w:t>intragovernmental</w:t>
            </w:r>
            <w:r w:rsidRPr="00EC20A0">
              <w:rPr>
                <w:spacing w:val="-10"/>
              </w:rPr>
              <w:t xml:space="preserve"> </w:t>
            </w:r>
            <w:r w:rsidRPr="00EC20A0">
              <w:t>activity</w:t>
            </w:r>
            <w:r w:rsidRPr="00EC20A0">
              <w:rPr>
                <w:spacing w:val="-10"/>
              </w:rPr>
              <w:t xml:space="preserve"> </w:t>
            </w:r>
            <w:r w:rsidRPr="00EC20A0">
              <w:t>and</w:t>
            </w:r>
            <w:r w:rsidRPr="00EC20A0">
              <w:rPr>
                <w:spacing w:val="-10"/>
              </w:rPr>
              <w:t xml:space="preserve"> </w:t>
            </w:r>
            <w:r w:rsidRPr="00EC20A0">
              <w:t>balances and updates the entity’s policies and procedures.</w:t>
            </w:r>
          </w:p>
        </w:tc>
        <w:tc>
          <w:tcPr>
            <w:tcW w:w="1144" w:type="dxa"/>
            <w:tcBorders>
              <w:left w:val="single" w:sz="4" w:space="0" w:color="000000"/>
              <w:bottom w:val="single" w:sz="4" w:space="0" w:color="000000"/>
              <w:right w:val="single" w:sz="4" w:space="0" w:color="000000"/>
            </w:tcBorders>
          </w:tcPr>
          <w:p w14:paraId="24D6171E"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71F" w14:textId="77777777" w:rsidR="00245300" w:rsidRPr="00EC20A0" w:rsidRDefault="00245300">
            <w:pPr>
              <w:pStyle w:val="TableParagraph"/>
              <w:rPr>
                <w:sz w:val="20"/>
              </w:rPr>
            </w:pPr>
          </w:p>
        </w:tc>
      </w:tr>
      <w:tr w:rsidR="00245300" w:rsidRPr="00EC20A0" w14:paraId="24D61725" w14:textId="77777777">
        <w:trPr>
          <w:trHeight w:val="2769"/>
        </w:trPr>
        <w:tc>
          <w:tcPr>
            <w:tcW w:w="6696" w:type="dxa"/>
            <w:tcBorders>
              <w:top w:val="single" w:sz="4" w:space="0" w:color="000000"/>
              <w:bottom w:val="single" w:sz="4" w:space="0" w:color="000000"/>
              <w:right w:val="single" w:sz="4" w:space="0" w:color="000000"/>
            </w:tcBorders>
          </w:tcPr>
          <w:p w14:paraId="24D61721" w14:textId="77777777" w:rsidR="00245300" w:rsidRPr="00EC20A0" w:rsidRDefault="00F17249">
            <w:pPr>
              <w:pStyle w:val="TableParagraph"/>
              <w:spacing w:before="60"/>
              <w:ind w:left="1568" w:right="82" w:hanging="360"/>
            </w:pPr>
            <w:r w:rsidRPr="00EC20A0">
              <w:t>c)</w:t>
            </w:r>
            <w:r w:rsidRPr="00EC20A0">
              <w:rPr>
                <w:spacing w:val="80"/>
              </w:rPr>
              <w:t xml:space="preserve"> </w:t>
            </w:r>
            <w:r w:rsidRPr="00EC20A0">
              <w:t>Determine how often the entity reconciles its intragovernmental</w:t>
            </w:r>
            <w:r w:rsidRPr="00EC20A0">
              <w:rPr>
                <w:spacing w:val="-8"/>
              </w:rPr>
              <w:t xml:space="preserve"> </w:t>
            </w:r>
            <w:r w:rsidRPr="00EC20A0">
              <w:t>amounts</w:t>
            </w:r>
            <w:r w:rsidRPr="00EC20A0">
              <w:rPr>
                <w:spacing w:val="-8"/>
              </w:rPr>
              <w:t xml:space="preserve"> </w:t>
            </w:r>
            <w:r w:rsidRPr="00EC20A0">
              <w:t>with</w:t>
            </w:r>
            <w:r w:rsidRPr="00EC20A0">
              <w:rPr>
                <w:spacing w:val="-8"/>
              </w:rPr>
              <w:t xml:space="preserve"> </w:t>
            </w:r>
            <w:r w:rsidRPr="00EC20A0">
              <w:t>its</w:t>
            </w:r>
            <w:r w:rsidRPr="00EC20A0">
              <w:rPr>
                <w:spacing w:val="-9"/>
              </w:rPr>
              <w:t xml:space="preserve"> </w:t>
            </w:r>
            <w:r w:rsidRPr="00EC20A0">
              <w:t>trading</w:t>
            </w:r>
            <w:r w:rsidRPr="00EC20A0">
              <w:rPr>
                <w:spacing w:val="-8"/>
              </w:rPr>
              <w:t xml:space="preserve"> </w:t>
            </w:r>
            <w:r w:rsidRPr="00EC20A0">
              <w:t xml:space="preserve">partners (OMB reporting guidance requires </w:t>
            </w:r>
            <w:r w:rsidRPr="00EC20A0">
              <w:t>reconciliation throughout the year).</w:t>
            </w:r>
          </w:p>
          <w:p w14:paraId="24D61722" w14:textId="77777777" w:rsidR="00245300" w:rsidRPr="00EC20A0" w:rsidRDefault="00F17249">
            <w:pPr>
              <w:pStyle w:val="TableParagraph"/>
              <w:spacing w:before="119"/>
              <w:ind w:left="1568" w:right="160"/>
            </w:pPr>
            <w:r w:rsidRPr="00EC20A0">
              <w:t xml:space="preserve">Note: For the reasons discussed at the beginning of section II: Internal Control, in addition to differences that are significant to the entity, the entity should also work with trading partners to </w:t>
            </w:r>
            <w:r w:rsidRPr="00EC20A0">
              <w:rPr>
                <w:i/>
              </w:rPr>
              <w:t>reconcile</w:t>
            </w:r>
            <w:r w:rsidRPr="00EC20A0">
              <w:rPr>
                <w:i/>
                <w:spacing w:val="-6"/>
              </w:rPr>
              <w:t xml:space="preserve"> </w:t>
            </w:r>
            <w:r w:rsidRPr="00EC20A0">
              <w:t>differences</w:t>
            </w:r>
            <w:r w:rsidRPr="00EC20A0">
              <w:rPr>
                <w:spacing w:val="-6"/>
              </w:rPr>
              <w:t xml:space="preserve"> </w:t>
            </w:r>
            <w:r w:rsidRPr="00EC20A0">
              <w:t>that</w:t>
            </w:r>
            <w:r w:rsidRPr="00EC20A0">
              <w:rPr>
                <w:spacing w:val="-6"/>
              </w:rPr>
              <w:t xml:space="preserve"> </w:t>
            </w:r>
            <w:r w:rsidRPr="00EC20A0">
              <w:t>are</w:t>
            </w:r>
            <w:r w:rsidRPr="00EC20A0">
              <w:rPr>
                <w:spacing w:val="-6"/>
              </w:rPr>
              <w:t xml:space="preserve"> </w:t>
            </w:r>
            <w:r w:rsidRPr="00EC20A0">
              <w:rPr>
                <w:i/>
              </w:rPr>
              <w:t>only</w:t>
            </w:r>
            <w:r w:rsidRPr="00EC20A0">
              <w:rPr>
                <w:i/>
                <w:spacing w:val="-5"/>
              </w:rPr>
              <w:t xml:space="preserve"> </w:t>
            </w:r>
            <w:r w:rsidRPr="00EC20A0">
              <w:t>significant</w:t>
            </w:r>
            <w:r w:rsidRPr="00EC20A0">
              <w:rPr>
                <w:spacing w:val="-6"/>
              </w:rPr>
              <w:t xml:space="preserve"> </w:t>
            </w:r>
            <w:r w:rsidRPr="00EC20A0">
              <w:t>to</w:t>
            </w:r>
            <w:r w:rsidRPr="00EC20A0">
              <w:rPr>
                <w:spacing w:val="-6"/>
              </w:rPr>
              <w:t xml:space="preserve"> </w:t>
            </w:r>
            <w:r w:rsidRPr="00EC20A0">
              <w:t>the trading partner (i.e., not significant to the entity).</w:t>
            </w:r>
          </w:p>
        </w:tc>
        <w:tc>
          <w:tcPr>
            <w:tcW w:w="1144" w:type="dxa"/>
            <w:tcBorders>
              <w:top w:val="single" w:sz="4" w:space="0" w:color="000000"/>
              <w:left w:val="single" w:sz="4" w:space="0" w:color="000000"/>
              <w:bottom w:val="single" w:sz="4" w:space="0" w:color="000000"/>
              <w:right w:val="single" w:sz="4" w:space="0" w:color="000000"/>
            </w:tcBorders>
          </w:tcPr>
          <w:p w14:paraId="24D61723"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24" w14:textId="77777777" w:rsidR="00245300" w:rsidRPr="00EC20A0" w:rsidRDefault="00245300">
            <w:pPr>
              <w:pStyle w:val="TableParagraph"/>
              <w:rPr>
                <w:sz w:val="20"/>
              </w:rPr>
            </w:pPr>
          </w:p>
        </w:tc>
      </w:tr>
      <w:tr w:rsidR="00245300" w:rsidRPr="00EC20A0" w14:paraId="24D61729" w14:textId="77777777">
        <w:trPr>
          <w:trHeight w:val="1385"/>
        </w:trPr>
        <w:tc>
          <w:tcPr>
            <w:tcW w:w="6696" w:type="dxa"/>
            <w:tcBorders>
              <w:top w:val="single" w:sz="4" w:space="0" w:color="000000"/>
              <w:bottom w:val="single" w:sz="4" w:space="0" w:color="000000"/>
              <w:right w:val="single" w:sz="4" w:space="0" w:color="000000"/>
            </w:tcBorders>
          </w:tcPr>
          <w:p w14:paraId="24D61726" w14:textId="77777777" w:rsidR="00245300" w:rsidRPr="00EC20A0" w:rsidRDefault="00F17249">
            <w:pPr>
              <w:pStyle w:val="TableParagraph"/>
              <w:spacing w:before="60"/>
              <w:ind w:left="1568" w:right="107" w:hanging="361"/>
            </w:pPr>
            <w:r w:rsidRPr="00EC20A0">
              <w:t>d)</w:t>
            </w:r>
            <w:r w:rsidRPr="00EC20A0">
              <w:rPr>
                <w:spacing w:val="80"/>
              </w:rPr>
              <w:t xml:space="preserve"> </w:t>
            </w:r>
            <w:r w:rsidRPr="00EC20A0">
              <w:t>Determine whether the entity maintains a current listing of its trading partners and monitors its reconciliation</w:t>
            </w:r>
            <w:r w:rsidRPr="00EC20A0">
              <w:rPr>
                <w:spacing w:val="-6"/>
              </w:rPr>
              <w:t xml:space="preserve"> </w:t>
            </w:r>
            <w:r w:rsidRPr="00EC20A0">
              <w:t>with</w:t>
            </w:r>
            <w:r w:rsidRPr="00EC20A0">
              <w:rPr>
                <w:spacing w:val="-6"/>
              </w:rPr>
              <w:t xml:space="preserve"> </w:t>
            </w:r>
            <w:r w:rsidRPr="00EC20A0">
              <w:t>those</w:t>
            </w:r>
            <w:r w:rsidRPr="00EC20A0">
              <w:rPr>
                <w:spacing w:val="-7"/>
              </w:rPr>
              <w:t xml:space="preserve"> </w:t>
            </w:r>
            <w:r w:rsidRPr="00EC20A0">
              <w:t>trading</w:t>
            </w:r>
            <w:r w:rsidRPr="00EC20A0">
              <w:rPr>
                <w:spacing w:val="-6"/>
              </w:rPr>
              <w:t xml:space="preserve"> </w:t>
            </w:r>
            <w:r w:rsidRPr="00EC20A0">
              <w:t>partners</w:t>
            </w:r>
            <w:r w:rsidRPr="00EC20A0">
              <w:rPr>
                <w:spacing w:val="-6"/>
              </w:rPr>
              <w:t xml:space="preserve"> </w:t>
            </w:r>
            <w:r w:rsidRPr="00EC20A0">
              <w:t>in</w:t>
            </w:r>
            <w:r w:rsidRPr="00EC20A0">
              <w:rPr>
                <w:spacing w:val="-6"/>
              </w:rPr>
              <w:t xml:space="preserve"> </w:t>
            </w:r>
            <w:r w:rsidRPr="00EC20A0">
              <w:t>order</w:t>
            </w:r>
            <w:r w:rsidRPr="00EC20A0">
              <w:rPr>
                <w:spacing w:val="-6"/>
              </w:rPr>
              <w:t xml:space="preserve"> </w:t>
            </w:r>
            <w:r w:rsidRPr="00EC20A0">
              <w:t xml:space="preserve">to </w:t>
            </w:r>
            <w:r w:rsidRPr="00EC20A0">
              <w:t>assess the entity’s performance in timely reconciling with its trading partners.</w:t>
            </w:r>
          </w:p>
        </w:tc>
        <w:tc>
          <w:tcPr>
            <w:tcW w:w="1144" w:type="dxa"/>
            <w:tcBorders>
              <w:top w:val="single" w:sz="4" w:space="0" w:color="000000"/>
              <w:left w:val="single" w:sz="4" w:space="0" w:color="000000"/>
              <w:bottom w:val="single" w:sz="4" w:space="0" w:color="000000"/>
              <w:right w:val="single" w:sz="4" w:space="0" w:color="000000"/>
            </w:tcBorders>
          </w:tcPr>
          <w:p w14:paraId="24D61727"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28" w14:textId="77777777" w:rsidR="00245300" w:rsidRPr="00EC20A0" w:rsidRDefault="00245300">
            <w:pPr>
              <w:pStyle w:val="TableParagraph"/>
              <w:rPr>
                <w:sz w:val="20"/>
              </w:rPr>
            </w:pPr>
          </w:p>
        </w:tc>
      </w:tr>
      <w:tr w:rsidR="00245300" w:rsidRPr="00EC20A0" w14:paraId="24D6172E" w14:textId="77777777">
        <w:trPr>
          <w:trHeight w:val="2395"/>
        </w:trPr>
        <w:tc>
          <w:tcPr>
            <w:tcW w:w="6696" w:type="dxa"/>
            <w:tcBorders>
              <w:top w:val="single" w:sz="4" w:space="0" w:color="000000"/>
              <w:bottom w:val="single" w:sz="4" w:space="0" w:color="000000"/>
              <w:right w:val="single" w:sz="4" w:space="0" w:color="000000"/>
            </w:tcBorders>
          </w:tcPr>
          <w:p w14:paraId="24D6172A" w14:textId="77777777" w:rsidR="00245300" w:rsidRPr="00EC20A0" w:rsidRDefault="00F17249">
            <w:pPr>
              <w:pStyle w:val="TableParagraph"/>
              <w:spacing w:before="60"/>
              <w:ind w:left="1568" w:right="237" w:hanging="361"/>
            </w:pPr>
            <w:r w:rsidRPr="00EC20A0">
              <w:t>e)</w:t>
            </w:r>
            <w:r w:rsidRPr="00EC20A0">
              <w:rPr>
                <w:spacing w:val="80"/>
              </w:rPr>
              <w:t xml:space="preserve"> </w:t>
            </w:r>
            <w:r w:rsidRPr="00EC20A0">
              <w:t>Determine whether entity accountants and managers review journal vouchers recorded by Treasury</w:t>
            </w:r>
            <w:r w:rsidRPr="00EC20A0">
              <w:rPr>
                <w:spacing w:val="-6"/>
              </w:rPr>
              <w:t xml:space="preserve"> </w:t>
            </w:r>
            <w:r w:rsidRPr="00EC20A0">
              <w:t>during</w:t>
            </w:r>
            <w:r w:rsidRPr="00EC20A0">
              <w:rPr>
                <w:spacing w:val="-6"/>
              </w:rPr>
              <w:t xml:space="preserve"> </w:t>
            </w:r>
            <w:r w:rsidRPr="00EC20A0">
              <w:t>the</w:t>
            </w:r>
            <w:r w:rsidRPr="00EC20A0">
              <w:rPr>
                <w:spacing w:val="-6"/>
              </w:rPr>
              <w:t xml:space="preserve"> </w:t>
            </w:r>
            <w:r w:rsidRPr="00EC20A0">
              <w:t>prior</w:t>
            </w:r>
            <w:r w:rsidRPr="00EC20A0">
              <w:rPr>
                <w:spacing w:val="-6"/>
              </w:rPr>
              <w:t xml:space="preserve"> </w:t>
            </w:r>
            <w:r w:rsidRPr="00EC20A0">
              <w:t>year-end</w:t>
            </w:r>
            <w:r w:rsidRPr="00EC20A0">
              <w:rPr>
                <w:spacing w:val="-6"/>
              </w:rPr>
              <w:t xml:space="preserve"> </w:t>
            </w:r>
            <w:r w:rsidRPr="00EC20A0">
              <w:t>process</w:t>
            </w:r>
            <w:r w:rsidRPr="00EC20A0">
              <w:rPr>
                <w:spacing w:val="-6"/>
              </w:rPr>
              <w:t xml:space="preserve"> </w:t>
            </w:r>
            <w:r w:rsidRPr="00EC20A0">
              <w:t>for</w:t>
            </w:r>
            <w:r w:rsidRPr="00EC20A0">
              <w:rPr>
                <w:spacing w:val="-6"/>
              </w:rPr>
              <w:t xml:space="preserve"> </w:t>
            </w:r>
            <w:r w:rsidRPr="00EC20A0">
              <w:t>the</w:t>
            </w:r>
          </w:p>
          <w:p w14:paraId="24D6172B" w14:textId="77777777" w:rsidR="00245300" w:rsidRPr="00EC20A0" w:rsidRDefault="00F17249">
            <w:pPr>
              <w:pStyle w:val="TableParagraph"/>
              <w:ind w:left="1568" w:right="134"/>
            </w:pPr>
            <w:r w:rsidRPr="00EC20A0">
              <w:t xml:space="preserve">U.S. government’s </w:t>
            </w:r>
            <w:r w:rsidRPr="00EC20A0">
              <w:t>consolidated financial statements to determine whether (i) these differences are still outstanding and (ii) entity internal controls need to be improved so that intragovernmental</w:t>
            </w:r>
            <w:r w:rsidRPr="00EC20A0">
              <w:rPr>
                <w:spacing w:val="-10"/>
              </w:rPr>
              <w:t xml:space="preserve"> </w:t>
            </w:r>
            <w:r w:rsidRPr="00EC20A0">
              <w:t>information</w:t>
            </w:r>
            <w:r w:rsidRPr="00EC20A0">
              <w:rPr>
                <w:spacing w:val="-10"/>
              </w:rPr>
              <w:t xml:space="preserve"> </w:t>
            </w:r>
            <w:r w:rsidRPr="00EC20A0">
              <w:t>sent</w:t>
            </w:r>
            <w:r w:rsidRPr="00EC20A0">
              <w:rPr>
                <w:spacing w:val="-10"/>
              </w:rPr>
              <w:t xml:space="preserve"> </w:t>
            </w:r>
            <w:r w:rsidRPr="00EC20A0">
              <w:t>to</w:t>
            </w:r>
            <w:r w:rsidRPr="00EC20A0">
              <w:rPr>
                <w:spacing w:val="-10"/>
              </w:rPr>
              <w:t xml:space="preserve"> </w:t>
            </w:r>
            <w:r w:rsidRPr="00EC20A0">
              <w:t>Treasury eliminates in consolidation.</w:t>
            </w:r>
          </w:p>
        </w:tc>
        <w:tc>
          <w:tcPr>
            <w:tcW w:w="1144" w:type="dxa"/>
            <w:tcBorders>
              <w:top w:val="single" w:sz="4" w:space="0" w:color="000000"/>
              <w:left w:val="single" w:sz="4" w:space="0" w:color="000000"/>
              <w:bottom w:val="single" w:sz="4" w:space="0" w:color="000000"/>
              <w:right w:val="single" w:sz="4" w:space="0" w:color="000000"/>
            </w:tcBorders>
          </w:tcPr>
          <w:p w14:paraId="24D6172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2D" w14:textId="77777777" w:rsidR="00245300" w:rsidRPr="00EC20A0" w:rsidRDefault="00245300">
            <w:pPr>
              <w:pStyle w:val="TableParagraph"/>
              <w:rPr>
                <w:sz w:val="20"/>
              </w:rPr>
            </w:pPr>
          </w:p>
        </w:tc>
      </w:tr>
      <w:tr w:rsidR="00245300" w:rsidRPr="00EC20A0" w14:paraId="24D61732" w14:textId="77777777">
        <w:trPr>
          <w:trHeight w:val="1132"/>
        </w:trPr>
        <w:tc>
          <w:tcPr>
            <w:tcW w:w="6696" w:type="dxa"/>
            <w:tcBorders>
              <w:top w:val="single" w:sz="4" w:space="0" w:color="000000"/>
              <w:bottom w:val="single" w:sz="4" w:space="0" w:color="000000"/>
              <w:right w:val="single" w:sz="4" w:space="0" w:color="000000"/>
            </w:tcBorders>
          </w:tcPr>
          <w:p w14:paraId="24D6172F" w14:textId="77777777" w:rsidR="00245300" w:rsidRPr="00EC20A0" w:rsidRDefault="00F17249">
            <w:pPr>
              <w:pStyle w:val="TableParagraph"/>
              <w:tabs>
                <w:tab w:val="left" w:pos="1568"/>
              </w:tabs>
              <w:spacing w:before="60"/>
              <w:ind w:left="1568" w:right="194" w:hanging="360"/>
            </w:pPr>
            <w:r w:rsidRPr="00EC20A0">
              <w:rPr>
                <w:spacing w:val="-6"/>
              </w:rPr>
              <w:t>f)</w:t>
            </w:r>
            <w:r w:rsidRPr="00EC20A0">
              <w:tab/>
            </w:r>
            <w:r w:rsidRPr="00EC20A0">
              <w:t>Determine</w:t>
            </w:r>
            <w:r w:rsidRPr="00EC20A0">
              <w:rPr>
                <w:spacing w:val="-6"/>
              </w:rPr>
              <w:t xml:space="preserve"> </w:t>
            </w:r>
            <w:r w:rsidRPr="00EC20A0">
              <w:t>whether</w:t>
            </w:r>
            <w:r w:rsidRPr="00EC20A0">
              <w:rPr>
                <w:spacing w:val="-7"/>
              </w:rPr>
              <w:t xml:space="preserve"> </w:t>
            </w:r>
            <w:r w:rsidRPr="00EC20A0">
              <w:t>the</w:t>
            </w:r>
            <w:r w:rsidRPr="00EC20A0">
              <w:rPr>
                <w:spacing w:val="-7"/>
              </w:rPr>
              <w:t xml:space="preserve"> </w:t>
            </w:r>
            <w:r w:rsidRPr="00EC20A0">
              <w:t>entity</w:t>
            </w:r>
            <w:r w:rsidRPr="00EC20A0">
              <w:rPr>
                <w:spacing w:val="-7"/>
              </w:rPr>
              <w:t xml:space="preserve"> </w:t>
            </w:r>
            <w:r w:rsidRPr="00EC20A0">
              <w:t>reviews</w:t>
            </w:r>
            <w:r w:rsidRPr="00EC20A0">
              <w:rPr>
                <w:spacing w:val="-7"/>
              </w:rPr>
              <w:t xml:space="preserve"> </w:t>
            </w:r>
            <w:r w:rsidRPr="00EC20A0">
              <w:t>the</w:t>
            </w:r>
            <w:r w:rsidRPr="00EC20A0">
              <w:rPr>
                <w:spacing w:val="-7"/>
              </w:rPr>
              <w:t xml:space="preserve"> </w:t>
            </w:r>
            <w:r w:rsidRPr="00EC20A0">
              <w:t>quarterly intragovernmental differences reported by Treasury,</w:t>
            </w:r>
            <w:r w:rsidRPr="00EC20A0">
              <w:rPr>
                <w:spacing w:val="-4"/>
              </w:rPr>
              <w:t xml:space="preserve"> </w:t>
            </w:r>
            <w:r w:rsidRPr="00EC20A0">
              <w:t>and</w:t>
            </w:r>
            <w:r w:rsidRPr="00EC20A0">
              <w:rPr>
                <w:spacing w:val="-4"/>
              </w:rPr>
              <w:t xml:space="preserve"> </w:t>
            </w:r>
            <w:r w:rsidRPr="00EC20A0">
              <w:t>reports</w:t>
            </w:r>
            <w:r w:rsidRPr="00EC20A0">
              <w:rPr>
                <w:spacing w:val="-4"/>
              </w:rPr>
              <w:t xml:space="preserve"> </w:t>
            </w:r>
            <w:r w:rsidRPr="00EC20A0">
              <w:t>to</w:t>
            </w:r>
            <w:r w:rsidRPr="00EC20A0">
              <w:rPr>
                <w:spacing w:val="-4"/>
              </w:rPr>
              <w:t xml:space="preserve"> </w:t>
            </w:r>
            <w:r w:rsidRPr="00EC20A0">
              <w:t>Treasury</w:t>
            </w:r>
            <w:r w:rsidRPr="00EC20A0">
              <w:rPr>
                <w:spacing w:val="-5"/>
              </w:rPr>
              <w:t xml:space="preserve"> </w:t>
            </w:r>
            <w:r w:rsidRPr="00EC20A0">
              <w:t>explanations</w:t>
            </w:r>
            <w:r w:rsidRPr="00EC20A0">
              <w:rPr>
                <w:spacing w:val="-4"/>
              </w:rPr>
              <w:t xml:space="preserve"> </w:t>
            </w:r>
            <w:r w:rsidRPr="00EC20A0">
              <w:t>for its differences.</w:t>
            </w:r>
          </w:p>
        </w:tc>
        <w:tc>
          <w:tcPr>
            <w:tcW w:w="1144" w:type="dxa"/>
            <w:tcBorders>
              <w:top w:val="single" w:sz="4" w:space="0" w:color="000000"/>
              <w:left w:val="single" w:sz="4" w:space="0" w:color="000000"/>
              <w:bottom w:val="single" w:sz="4" w:space="0" w:color="000000"/>
              <w:right w:val="single" w:sz="4" w:space="0" w:color="000000"/>
            </w:tcBorders>
          </w:tcPr>
          <w:p w14:paraId="24D6173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31" w14:textId="77777777" w:rsidR="00245300" w:rsidRPr="00EC20A0" w:rsidRDefault="00245300">
            <w:pPr>
              <w:pStyle w:val="TableParagraph"/>
              <w:rPr>
                <w:sz w:val="20"/>
              </w:rPr>
            </w:pPr>
          </w:p>
        </w:tc>
      </w:tr>
      <w:tr w:rsidR="00245300" w:rsidRPr="00EC20A0" w14:paraId="24D61736" w14:textId="77777777">
        <w:trPr>
          <w:trHeight w:val="1131"/>
        </w:trPr>
        <w:tc>
          <w:tcPr>
            <w:tcW w:w="6696" w:type="dxa"/>
            <w:tcBorders>
              <w:top w:val="single" w:sz="4" w:space="0" w:color="000000"/>
              <w:bottom w:val="single" w:sz="4" w:space="0" w:color="000000"/>
              <w:right w:val="single" w:sz="4" w:space="0" w:color="000000"/>
            </w:tcBorders>
          </w:tcPr>
          <w:p w14:paraId="24D61733" w14:textId="77777777" w:rsidR="00245300" w:rsidRPr="00EC20A0" w:rsidRDefault="00F17249">
            <w:pPr>
              <w:pStyle w:val="TableParagraph"/>
              <w:spacing w:before="60"/>
              <w:ind w:left="1568" w:hanging="361"/>
            </w:pPr>
            <w:r w:rsidRPr="00EC20A0">
              <w:t>g)</w:t>
            </w:r>
            <w:r w:rsidRPr="00EC20A0">
              <w:rPr>
                <w:spacing w:val="80"/>
              </w:rPr>
              <w:t xml:space="preserve"> </w:t>
            </w:r>
            <w:r w:rsidRPr="00EC20A0">
              <w:t>Determine whether management reviewed and approved</w:t>
            </w:r>
            <w:r w:rsidRPr="00EC20A0">
              <w:rPr>
                <w:spacing w:val="-1"/>
              </w:rPr>
              <w:t xml:space="preserve"> </w:t>
            </w:r>
            <w:r w:rsidRPr="00EC20A0">
              <w:t>the</w:t>
            </w:r>
            <w:r w:rsidRPr="00EC20A0">
              <w:rPr>
                <w:spacing w:val="-1"/>
              </w:rPr>
              <w:t xml:space="preserve"> </w:t>
            </w:r>
            <w:r w:rsidRPr="00EC20A0">
              <w:t>reasons</w:t>
            </w:r>
            <w:r w:rsidRPr="00EC20A0">
              <w:rPr>
                <w:spacing w:val="-1"/>
              </w:rPr>
              <w:t xml:space="preserve"> </w:t>
            </w:r>
            <w:r w:rsidRPr="00EC20A0">
              <w:t>for</w:t>
            </w:r>
            <w:r w:rsidRPr="00EC20A0">
              <w:rPr>
                <w:spacing w:val="-1"/>
              </w:rPr>
              <w:t xml:space="preserve"> </w:t>
            </w:r>
            <w:r w:rsidRPr="00EC20A0">
              <w:t>any</w:t>
            </w:r>
            <w:r w:rsidRPr="00EC20A0">
              <w:rPr>
                <w:spacing w:val="-1"/>
              </w:rPr>
              <w:t xml:space="preserve"> </w:t>
            </w:r>
            <w:r w:rsidRPr="00EC20A0">
              <w:t>differences</w:t>
            </w:r>
            <w:r w:rsidRPr="00EC20A0">
              <w:rPr>
                <w:spacing w:val="-1"/>
              </w:rPr>
              <w:t xml:space="preserve"> </w:t>
            </w:r>
            <w:r w:rsidRPr="00EC20A0">
              <w:t>identified and</w:t>
            </w:r>
            <w:r w:rsidRPr="00EC20A0">
              <w:rPr>
                <w:spacing w:val="-7"/>
              </w:rPr>
              <w:t xml:space="preserve"> </w:t>
            </w:r>
            <w:r w:rsidRPr="00EC20A0">
              <w:t>tracked,</w:t>
            </w:r>
            <w:r w:rsidRPr="00EC20A0">
              <w:rPr>
                <w:spacing w:val="-8"/>
              </w:rPr>
              <w:t xml:space="preserve"> </w:t>
            </w:r>
            <w:r w:rsidRPr="00EC20A0">
              <w:t>including</w:t>
            </w:r>
            <w:r w:rsidRPr="00EC20A0">
              <w:rPr>
                <w:spacing w:val="-8"/>
              </w:rPr>
              <w:t xml:space="preserve"> </w:t>
            </w:r>
            <w:r w:rsidRPr="00EC20A0">
              <w:t>any</w:t>
            </w:r>
            <w:r w:rsidRPr="00EC20A0">
              <w:rPr>
                <w:spacing w:val="-7"/>
              </w:rPr>
              <w:t xml:space="preserve"> </w:t>
            </w:r>
            <w:r w:rsidRPr="00EC20A0">
              <w:t>explanations</w:t>
            </w:r>
            <w:r w:rsidRPr="00EC20A0">
              <w:rPr>
                <w:spacing w:val="-7"/>
              </w:rPr>
              <w:t xml:space="preserve"> </w:t>
            </w:r>
            <w:r w:rsidRPr="00EC20A0">
              <w:t>reported</w:t>
            </w:r>
            <w:r w:rsidRPr="00EC20A0">
              <w:rPr>
                <w:spacing w:val="-7"/>
              </w:rPr>
              <w:t xml:space="preserve"> </w:t>
            </w:r>
            <w:r w:rsidRPr="00EC20A0">
              <w:t xml:space="preserve">to </w:t>
            </w:r>
            <w:r w:rsidRPr="00EC20A0">
              <w:rPr>
                <w:spacing w:val="-2"/>
              </w:rPr>
              <w:t>Treasury.</w:t>
            </w:r>
          </w:p>
        </w:tc>
        <w:tc>
          <w:tcPr>
            <w:tcW w:w="1144" w:type="dxa"/>
            <w:tcBorders>
              <w:top w:val="single" w:sz="4" w:space="0" w:color="000000"/>
              <w:left w:val="single" w:sz="4" w:space="0" w:color="000000"/>
              <w:bottom w:val="single" w:sz="4" w:space="0" w:color="000000"/>
              <w:right w:val="single" w:sz="4" w:space="0" w:color="000000"/>
            </w:tcBorders>
          </w:tcPr>
          <w:p w14:paraId="24D61734"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35" w14:textId="77777777" w:rsidR="00245300" w:rsidRPr="00EC20A0" w:rsidRDefault="00245300">
            <w:pPr>
              <w:pStyle w:val="TableParagraph"/>
              <w:rPr>
                <w:sz w:val="20"/>
              </w:rPr>
            </w:pPr>
          </w:p>
        </w:tc>
      </w:tr>
      <w:tr w:rsidR="00245300" w:rsidRPr="00EC20A0" w14:paraId="24D6173A" w14:textId="77777777">
        <w:trPr>
          <w:trHeight w:val="1132"/>
        </w:trPr>
        <w:tc>
          <w:tcPr>
            <w:tcW w:w="6696" w:type="dxa"/>
            <w:tcBorders>
              <w:top w:val="single" w:sz="4" w:space="0" w:color="000000"/>
              <w:bottom w:val="single" w:sz="4" w:space="0" w:color="000000"/>
              <w:right w:val="single" w:sz="4" w:space="0" w:color="000000"/>
            </w:tcBorders>
          </w:tcPr>
          <w:p w14:paraId="24D61737" w14:textId="77777777" w:rsidR="00245300" w:rsidRPr="00EC20A0" w:rsidRDefault="00F17249">
            <w:pPr>
              <w:pStyle w:val="TableParagraph"/>
              <w:spacing w:before="61"/>
              <w:ind w:left="1172" w:right="359" w:hanging="360"/>
            </w:pPr>
            <w:r w:rsidRPr="00EC20A0">
              <w:t>3)</w:t>
            </w:r>
            <w:r w:rsidRPr="00EC20A0">
              <w:rPr>
                <w:spacing w:val="80"/>
              </w:rPr>
              <w:t xml:space="preserve"> </w:t>
            </w:r>
            <w:r w:rsidRPr="00EC20A0">
              <w:t>Determine, through inquiry of management, walk- throughs,</w:t>
            </w:r>
            <w:r w:rsidRPr="00EC20A0">
              <w:rPr>
                <w:spacing w:val="-7"/>
              </w:rPr>
              <w:t xml:space="preserve"> </w:t>
            </w:r>
            <w:r w:rsidRPr="00EC20A0">
              <w:t>reviews</w:t>
            </w:r>
            <w:r w:rsidRPr="00EC20A0">
              <w:rPr>
                <w:spacing w:val="-7"/>
              </w:rPr>
              <w:t xml:space="preserve"> </w:t>
            </w:r>
            <w:r w:rsidRPr="00EC20A0">
              <w:t>of</w:t>
            </w:r>
            <w:r w:rsidRPr="00EC20A0">
              <w:rPr>
                <w:spacing w:val="-7"/>
              </w:rPr>
              <w:t xml:space="preserve"> </w:t>
            </w:r>
            <w:r w:rsidRPr="00EC20A0">
              <w:t>prior</w:t>
            </w:r>
            <w:r w:rsidRPr="00EC20A0">
              <w:rPr>
                <w:spacing w:val="-7"/>
              </w:rPr>
              <w:t xml:space="preserve"> </w:t>
            </w:r>
            <w:r w:rsidRPr="00EC20A0">
              <w:t>years’</w:t>
            </w:r>
            <w:r w:rsidRPr="00EC20A0">
              <w:rPr>
                <w:spacing w:val="-7"/>
              </w:rPr>
              <w:t xml:space="preserve"> </w:t>
            </w:r>
            <w:r w:rsidRPr="00EC20A0">
              <w:t>documentation,</w:t>
            </w:r>
            <w:r w:rsidRPr="00EC20A0">
              <w:rPr>
                <w:spacing w:val="-7"/>
              </w:rPr>
              <w:t xml:space="preserve"> </w:t>
            </w:r>
            <w:r w:rsidRPr="00EC20A0">
              <w:t xml:space="preserve">and the following procedures, how the entity </w:t>
            </w:r>
            <w:r w:rsidRPr="00EC20A0">
              <w:rPr>
                <w:u w:val="single"/>
              </w:rPr>
              <w:t>resolves</w:t>
            </w:r>
            <w:r w:rsidRPr="00EC20A0">
              <w:t xml:space="preserve"> intragovernmental differences.</w:t>
            </w:r>
          </w:p>
        </w:tc>
        <w:tc>
          <w:tcPr>
            <w:tcW w:w="1144" w:type="dxa"/>
            <w:tcBorders>
              <w:top w:val="single" w:sz="4" w:space="0" w:color="000000"/>
              <w:left w:val="single" w:sz="4" w:space="0" w:color="000000"/>
              <w:bottom w:val="single" w:sz="4" w:space="0" w:color="000000"/>
              <w:right w:val="single" w:sz="4" w:space="0" w:color="000000"/>
            </w:tcBorders>
          </w:tcPr>
          <w:p w14:paraId="24D61738"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39" w14:textId="77777777" w:rsidR="00245300" w:rsidRPr="00EC20A0" w:rsidRDefault="00245300">
            <w:pPr>
              <w:pStyle w:val="TableParagraph"/>
              <w:rPr>
                <w:sz w:val="20"/>
              </w:rPr>
            </w:pPr>
          </w:p>
        </w:tc>
      </w:tr>
      <w:tr w:rsidR="00245300" w:rsidRPr="00EC20A0" w14:paraId="24D6173E" w14:textId="77777777">
        <w:trPr>
          <w:trHeight w:val="819"/>
        </w:trPr>
        <w:tc>
          <w:tcPr>
            <w:tcW w:w="6696" w:type="dxa"/>
            <w:tcBorders>
              <w:top w:val="single" w:sz="4" w:space="0" w:color="000000"/>
              <w:bottom w:val="single" w:sz="4" w:space="0" w:color="000000"/>
              <w:right w:val="single" w:sz="4" w:space="0" w:color="000000"/>
            </w:tcBorders>
          </w:tcPr>
          <w:p w14:paraId="24D6173B" w14:textId="77777777" w:rsidR="00245300" w:rsidRPr="00EC20A0" w:rsidRDefault="00F17249">
            <w:pPr>
              <w:pStyle w:val="TableParagraph"/>
              <w:spacing w:before="40" w:line="250" w:lineRule="atLeast"/>
              <w:ind w:left="1568" w:hanging="366"/>
            </w:pPr>
            <w:r w:rsidRPr="00EC20A0">
              <w:t>a)</w:t>
            </w:r>
            <w:r w:rsidRPr="00EC20A0">
              <w:rPr>
                <w:spacing w:val="80"/>
              </w:rPr>
              <w:t xml:space="preserve"> </w:t>
            </w:r>
            <w:r w:rsidRPr="00EC20A0">
              <w:t>Determine whether the entity has established processes</w:t>
            </w:r>
            <w:r w:rsidRPr="00EC20A0">
              <w:rPr>
                <w:spacing w:val="-11"/>
              </w:rPr>
              <w:t xml:space="preserve"> </w:t>
            </w:r>
            <w:r w:rsidRPr="00EC20A0">
              <w:t>to</w:t>
            </w:r>
            <w:r w:rsidRPr="00EC20A0">
              <w:rPr>
                <w:spacing w:val="-10"/>
              </w:rPr>
              <w:t xml:space="preserve"> </w:t>
            </w:r>
            <w:r w:rsidRPr="00EC20A0">
              <w:t>resolve</w:t>
            </w:r>
            <w:r w:rsidRPr="00EC20A0">
              <w:rPr>
                <w:spacing w:val="-10"/>
              </w:rPr>
              <w:t xml:space="preserve"> </w:t>
            </w:r>
            <w:r w:rsidRPr="00EC20A0">
              <w:t>intragovernmental</w:t>
            </w:r>
            <w:r w:rsidRPr="00EC20A0">
              <w:rPr>
                <w:spacing w:val="-10"/>
              </w:rPr>
              <w:t xml:space="preserve"> </w:t>
            </w:r>
            <w:r w:rsidRPr="00EC20A0">
              <w:t>differences timely</w:t>
            </w:r>
            <w:r w:rsidRPr="00EC20A0">
              <w:rPr>
                <w:spacing w:val="-9"/>
              </w:rPr>
              <w:t xml:space="preserve"> </w:t>
            </w:r>
            <w:r w:rsidRPr="00EC20A0">
              <w:t>(OMB</w:t>
            </w:r>
            <w:r w:rsidRPr="00EC20A0">
              <w:rPr>
                <w:spacing w:val="-7"/>
              </w:rPr>
              <w:t xml:space="preserve"> </w:t>
            </w:r>
            <w:r w:rsidRPr="00EC20A0">
              <w:t>reporting</w:t>
            </w:r>
            <w:r w:rsidRPr="00EC20A0">
              <w:rPr>
                <w:spacing w:val="-9"/>
              </w:rPr>
              <w:t xml:space="preserve"> </w:t>
            </w:r>
            <w:r w:rsidRPr="00EC20A0">
              <w:t>guidance</w:t>
            </w:r>
            <w:r w:rsidRPr="00EC20A0">
              <w:rPr>
                <w:spacing w:val="-8"/>
              </w:rPr>
              <w:t xml:space="preserve"> </w:t>
            </w:r>
            <w:r w:rsidRPr="00EC20A0">
              <w:t>requires</w:t>
            </w:r>
            <w:r w:rsidRPr="00EC20A0">
              <w:rPr>
                <w:spacing w:val="-9"/>
              </w:rPr>
              <w:t xml:space="preserve"> </w:t>
            </w:r>
            <w:r w:rsidRPr="00EC20A0">
              <w:rPr>
                <w:spacing w:val="-2"/>
              </w:rPr>
              <w:t>resolution</w:t>
            </w:r>
          </w:p>
        </w:tc>
        <w:tc>
          <w:tcPr>
            <w:tcW w:w="1144" w:type="dxa"/>
            <w:tcBorders>
              <w:top w:val="single" w:sz="4" w:space="0" w:color="000000"/>
              <w:left w:val="single" w:sz="4" w:space="0" w:color="000000"/>
              <w:bottom w:val="single" w:sz="4" w:space="0" w:color="000000"/>
              <w:right w:val="single" w:sz="4" w:space="0" w:color="000000"/>
            </w:tcBorders>
          </w:tcPr>
          <w:p w14:paraId="24D6173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3D" w14:textId="77777777" w:rsidR="00245300" w:rsidRPr="00EC20A0" w:rsidRDefault="00245300">
            <w:pPr>
              <w:pStyle w:val="TableParagraph"/>
              <w:rPr>
                <w:sz w:val="20"/>
              </w:rPr>
            </w:pPr>
          </w:p>
        </w:tc>
      </w:tr>
    </w:tbl>
    <w:p w14:paraId="24D6173F"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740"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744" w14:textId="77777777">
        <w:trPr>
          <w:trHeight w:val="625"/>
        </w:trPr>
        <w:tc>
          <w:tcPr>
            <w:tcW w:w="6696" w:type="dxa"/>
            <w:tcBorders>
              <w:right w:val="single" w:sz="4" w:space="0" w:color="000000"/>
            </w:tcBorders>
          </w:tcPr>
          <w:p w14:paraId="24D61741"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742"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743"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74A" w14:textId="77777777">
        <w:trPr>
          <w:trHeight w:val="1916"/>
        </w:trPr>
        <w:tc>
          <w:tcPr>
            <w:tcW w:w="6696" w:type="dxa"/>
            <w:tcBorders>
              <w:bottom w:val="single" w:sz="4" w:space="0" w:color="000000"/>
              <w:right w:val="single" w:sz="4" w:space="0" w:color="000000"/>
            </w:tcBorders>
          </w:tcPr>
          <w:p w14:paraId="24D61745" w14:textId="77777777" w:rsidR="00245300" w:rsidRPr="00EC20A0" w:rsidRDefault="00F17249">
            <w:pPr>
              <w:pStyle w:val="TableParagraph"/>
              <w:spacing w:line="219" w:lineRule="exact"/>
              <w:ind w:left="1568"/>
            </w:pPr>
            <w:r w:rsidRPr="00EC20A0">
              <w:t>of</w:t>
            </w:r>
            <w:r w:rsidRPr="00EC20A0">
              <w:rPr>
                <w:spacing w:val="-7"/>
              </w:rPr>
              <w:t xml:space="preserve"> </w:t>
            </w:r>
            <w:r w:rsidRPr="00EC20A0">
              <w:t>differences</w:t>
            </w:r>
            <w:r w:rsidRPr="00EC20A0">
              <w:rPr>
                <w:spacing w:val="-6"/>
              </w:rPr>
              <w:t xml:space="preserve"> </w:t>
            </w:r>
            <w:r w:rsidRPr="00EC20A0">
              <w:t>throughout</w:t>
            </w:r>
            <w:r w:rsidRPr="00EC20A0">
              <w:rPr>
                <w:spacing w:val="-8"/>
              </w:rPr>
              <w:t xml:space="preserve"> </w:t>
            </w:r>
            <w:r w:rsidRPr="00EC20A0">
              <w:t>the</w:t>
            </w:r>
            <w:r w:rsidRPr="00EC20A0">
              <w:rPr>
                <w:spacing w:val="-6"/>
              </w:rPr>
              <w:t xml:space="preserve"> </w:t>
            </w:r>
            <w:r w:rsidRPr="00EC20A0">
              <w:t>year</w:t>
            </w:r>
            <w:r w:rsidRPr="00EC20A0">
              <w:rPr>
                <w:spacing w:val="-6"/>
              </w:rPr>
              <w:t xml:space="preserve"> </w:t>
            </w:r>
            <w:r w:rsidRPr="00EC20A0">
              <w:t>with</w:t>
            </w:r>
            <w:r w:rsidRPr="00EC20A0">
              <w:rPr>
                <w:spacing w:val="-7"/>
              </w:rPr>
              <w:t xml:space="preserve"> </w:t>
            </w:r>
            <w:r w:rsidRPr="00EC20A0">
              <w:rPr>
                <w:spacing w:val="-2"/>
              </w:rPr>
              <w:t>differences</w:t>
            </w:r>
          </w:p>
          <w:p w14:paraId="24D61746" w14:textId="77777777" w:rsidR="00245300" w:rsidRPr="00EC20A0" w:rsidRDefault="00F17249">
            <w:pPr>
              <w:pStyle w:val="TableParagraph"/>
              <w:ind w:left="1568"/>
            </w:pPr>
            <w:r w:rsidRPr="00EC20A0">
              <w:t>resolved</w:t>
            </w:r>
            <w:r w:rsidRPr="00EC20A0">
              <w:rPr>
                <w:spacing w:val="-9"/>
              </w:rPr>
              <w:t xml:space="preserve"> </w:t>
            </w:r>
            <w:r w:rsidRPr="00EC20A0">
              <w:t>by</w:t>
            </w:r>
            <w:r w:rsidRPr="00EC20A0">
              <w:rPr>
                <w:spacing w:val="-9"/>
              </w:rPr>
              <w:t xml:space="preserve"> </w:t>
            </w:r>
            <w:r w:rsidRPr="00EC20A0">
              <w:t>year-</w:t>
            </w:r>
            <w:r w:rsidRPr="00EC20A0">
              <w:rPr>
                <w:spacing w:val="-2"/>
              </w:rPr>
              <w:t>end).</w:t>
            </w:r>
          </w:p>
          <w:p w14:paraId="24D61747" w14:textId="77777777" w:rsidR="00245300" w:rsidRPr="00EC20A0" w:rsidRDefault="00F17249">
            <w:pPr>
              <w:pStyle w:val="TableParagraph"/>
              <w:spacing w:before="120"/>
              <w:ind w:left="1568" w:right="123"/>
            </w:pPr>
            <w:r w:rsidRPr="00EC20A0">
              <w:t>Note: In addition to differences that are significant to the entity, the entity should also work with trading</w:t>
            </w:r>
            <w:r w:rsidRPr="00EC20A0">
              <w:rPr>
                <w:spacing w:val="-4"/>
              </w:rPr>
              <w:t xml:space="preserve"> </w:t>
            </w:r>
            <w:r w:rsidRPr="00EC20A0">
              <w:t>partners</w:t>
            </w:r>
            <w:r w:rsidRPr="00EC20A0">
              <w:rPr>
                <w:spacing w:val="-4"/>
              </w:rPr>
              <w:t xml:space="preserve"> </w:t>
            </w:r>
            <w:r w:rsidRPr="00EC20A0">
              <w:t>to</w:t>
            </w:r>
            <w:r w:rsidRPr="00EC20A0">
              <w:rPr>
                <w:spacing w:val="-4"/>
              </w:rPr>
              <w:t xml:space="preserve"> </w:t>
            </w:r>
            <w:r w:rsidRPr="00EC20A0">
              <w:rPr>
                <w:i/>
              </w:rPr>
              <w:t>resolve</w:t>
            </w:r>
            <w:r w:rsidRPr="00EC20A0">
              <w:rPr>
                <w:i/>
                <w:spacing w:val="-4"/>
              </w:rPr>
              <w:t xml:space="preserve"> </w:t>
            </w:r>
            <w:r w:rsidRPr="00EC20A0">
              <w:t>differences</w:t>
            </w:r>
            <w:r w:rsidRPr="00EC20A0">
              <w:rPr>
                <w:spacing w:val="-4"/>
              </w:rPr>
              <w:t xml:space="preserve"> </w:t>
            </w:r>
            <w:r w:rsidRPr="00EC20A0">
              <w:t>that</w:t>
            </w:r>
            <w:r w:rsidRPr="00EC20A0">
              <w:rPr>
                <w:spacing w:val="-4"/>
              </w:rPr>
              <w:t xml:space="preserve"> </w:t>
            </w:r>
            <w:r w:rsidRPr="00EC20A0">
              <w:t>are</w:t>
            </w:r>
            <w:r w:rsidRPr="00EC20A0">
              <w:rPr>
                <w:spacing w:val="-4"/>
              </w:rPr>
              <w:t xml:space="preserve"> </w:t>
            </w:r>
            <w:r w:rsidRPr="00EC20A0">
              <w:t>only significant</w:t>
            </w:r>
            <w:r w:rsidRPr="00EC20A0">
              <w:rPr>
                <w:spacing w:val="-6"/>
              </w:rPr>
              <w:t xml:space="preserve"> </w:t>
            </w:r>
            <w:r w:rsidRPr="00EC20A0">
              <w:t>to</w:t>
            </w:r>
            <w:r w:rsidRPr="00EC20A0">
              <w:rPr>
                <w:spacing w:val="-6"/>
              </w:rPr>
              <w:t xml:space="preserve"> </w:t>
            </w:r>
            <w:r w:rsidRPr="00EC20A0">
              <w:t>the</w:t>
            </w:r>
            <w:r w:rsidRPr="00EC20A0">
              <w:rPr>
                <w:spacing w:val="-6"/>
              </w:rPr>
              <w:t xml:space="preserve"> </w:t>
            </w:r>
            <w:r w:rsidRPr="00EC20A0">
              <w:t>trading</w:t>
            </w:r>
            <w:r w:rsidRPr="00EC20A0">
              <w:rPr>
                <w:spacing w:val="-6"/>
              </w:rPr>
              <w:t xml:space="preserve"> </w:t>
            </w:r>
            <w:r w:rsidRPr="00EC20A0">
              <w:t>partner</w:t>
            </w:r>
            <w:r w:rsidRPr="00EC20A0">
              <w:rPr>
                <w:spacing w:val="-6"/>
              </w:rPr>
              <w:t xml:space="preserve"> </w:t>
            </w:r>
            <w:r w:rsidRPr="00EC20A0">
              <w:t>(i.e.,</w:t>
            </w:r>
            <w:r w:rsidRPr="00EC20A0">
              <w:rPr>
                <w:spacing w:val="-6"/>
              </w:rPr>
              <w:t xml:space="preserve"> </w:t>
            </w:r>
            <w:r w:rsidRPr="00EC20A0">
              <w:t>not</w:t>
            </w:r>
            <w:r w:rsidRPr="00EC20A0">
              <w:rPr>
                <w:spacing w:val="-6"/>
              </w:rPr>
              <w:t xml:space="preserve"> </w:t>
            </w:r>
            <w:r w:rsidRPr="00EC20A0">
              <w:t>significant to the entity).</w:t>
            </w:r>
          </w:p>
        </w:tc>
        <w:tc>
          <w:tcPr>
            <w:tcW w:w="1144" w:type="dxa"/>
            <w:tcBorders>
              <w:left w:val="single" w:sz="4" w:space="0" w:color="000000"/>
              <w:bottom w:val="single" w:sz="4" w:space="0" w:color="000000"/>
              <w:right w:val="single" w:sz="4" w:space="0" w:color="000000"/>
            </w:tcBorders>
          </w:tcPr>
          <w:p w14:paraId="24D61748"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749" w14:textId="77777777" w:rsidR="00245300" w:rsidRPr="00EC20A0" w:rsidRDefault="00245300">
            <w:pPr>
              <w:pStyle w:val="TableParagraph"/>
              <w:rPr>
                <w:sz w:val="20"/>
              </w:rPr>
            </w:pPr>
          </w:p>
        </w:tc>
      </w:tr>
      <w:tr w:rsidR="00245300" w:rsidRPr="00EC20A0" w14:paraId="24D6174E" w14:textId="77777777">
        <w:trPr>
          <w:trHeight w:val="1132"/>
        </w:trPr>
        <w:tc>
          <w:tcPr>
            <w:tcW w:w="6696" w:type="dxa"/>
            <w:tcBorders>
              <w:top w:val="single" w:sz="4" w:space="0" w:color="000000"/>
              <w:bottom w:val="single" w:sz="4" w:space="0" w:color="000000"/>
              <w:right w:val="single" w:sz="4" w:space="0" w:color="000000"/>
            </w:tcBorders>
          </w:tcPr>
          <w:p w14:paraId="24D6174B" w14:textId="77777777" w:rsidR="00245300" w:rsidRPr="00EC20A0" w:rsidRDefault="00F17249">
            <w:pPr>
              <w:pStyle w:val="TableParagraph"/>
              <w:spacing w:before="60"/>
              <w:ind w:left="1568" w:right="237" w:hanging="367"/>
            </w:pPr>
            <w:r w:rsidRPr="00EC20A0">
              <w:t>b)</w:t>
            </w:r>
            <w:r w:rsidRPr="00EC20A0">
              <w:rPr>
                <w:spacing w:val="80"/>
              </w:rPr>
              <w:t xml:space="preserve"> </w:t>
            </w:r>
            <w:r w:rsidRPr="00EC20A0">
              <w:t>Determine whether management reviews the current OMB, Treasury, and other guidance for resolving</w:t>
            </w:r>
            <w:r w:rsidRPr="00EC20A0">
              <w:rPr>
                <w:spacing w:val="-11"/>
              </w:rPr>
              <w:t xml:space="preserve"> </w:t>
            </w:r>
            <w:r w:rsidRPr="00EC20A0">
              <w:t>intragovernmental</w:t>
            </w:r>
            <w:r w:rsidRPr="00EC20A0">
              <w:rPr>
                <w:spacing w:val="-10"/>
              </w:rPr>
              <w:t xml:space="preserve"> </w:t>
            </w:r>
            <w:r w:rsidRPr="00EC20A0">
              <w:t>activity</w:t>
            </w:r>
            <w:r w:rsidRPr="00EC20A0">
              <w:rPr>
                <w:spacing w:val="-11"/>
              </w:rPr>
              <w:t xml:space="preserve"> </w:t>
            </w:r>
            <w:r w:rsidRPr="00EC20A0">
              <w:t>and</w:t>
            </w:r>
            <w:r w:rsidRPr="00EC20A0">
              <w:rPr>
                <w:spacing w:val="-10"/>
              </w:rPr>
              <w:t xml:space="preserve"> </w:t>
            </w:r>
            <w:r w:rsidRPr="00EC20A0">
              <w:t>balances and</w:t>
            </w:r>
            <w:r w:rsidRPr="00EC20A0">
              <w:rPr>
                <w:spacing w:val="-6"/>
              </w:rPr>
              <w:t xml:space="preserve"> </w:t>
            </w:r>
            <w:r w:rsidRPr="00EC20A0">
              <w:t>updates</w:t>
            </w:r>
            <w:r w:rsidRPr="00EC20A0">
              <w:rPr>
                <w:spacing w:val="-7"/>
              </w:rPr>
              <w:t xml:space="preserve"> </w:t>
            </w:r>
            <w:r w:rsidRPr="00EC20A0">
              <w:t>the</w:t>
            </w:r>
            <w:r w:rsidRPr="00EC20A0">
              <w:rPr>
                <w:spacing w:val="-6"/>
              </w:rPr>
              <w:t xml:space="preserve"> </w:t>
            </w:r>
            <w:r w:rsidRPr="00EC20A0">
              <w:t>entity’s</w:t>
            </w:r>
            <w:r w:rsidRPr="00EC20A0">
              <w:rPr>
                <w:spacing w:val="-6"/>
              </w:rPr>
              <w:t xml:space="preserve"> </w:t>
            </w:r>
            <w:r w:rsidRPr="00EC20A0">
              <w:t>policies</w:t>
            </w:r>
            <w:r w:rsidRPr="00EC20A0">
              <w:rPr>
                <w:spacing w:val="-6"/>
              </w:rPr>
              <w:t xml:space="preserve"> </w:t>
            </w:r>
            <w:r w:rsidRPr="00EC20A0">
              <w:t>and</w:t>
            </w:r>
            <w:r w:rsidRPr="00EC20A0">
              <w:rPr>
                <w:spacing w:val="-7"/>
              </w:rPr>
              <w:t xml:space="preserve"> </w:t>
            </w:r>
            <w:r w:rsidRPr="00EC20A0">
              <w:rPr>
                <w:spacing w:val="-2"/>
              </w:rPr>
              <w:t>procedures.</w:t>
            </w:r>
          </w:p>
        </w:tc>
        <w:tc>
          <w:tcPr>
            <w:tcW w:w="1144" w:type="dxa"/>
            <w:tcBorders>
              <w:top w:val="single" w:sz="4" w:space="0" w:color="000000"/>
              <w:left w:val="single" w:sz="4" w:space="0" w:color="000000"/>
              <w:bottom w:val="single" w:sz="4" w:space="0" w:color="000000"/>
              <w:right w:val="single" w:sz="4" w:space="0" w:color="000000"/>
            </w:tcBorders>
          </w:tcPr>
          <w:p w14:paraId="24D6174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4D" w14:textId="77777777" w:rsidR="00245300" w:rsidRPr="00EC20A0" w:rsidRDefault="00245300">
            <w:pPr>
              <w:pStyle w:val="TableParagraph"/>
              <w:rPr>
                <w:sz w:val="20"/>
              </w:rPr>
            </w:pPr>
          </w:p>
        </w:tc>
      </w:tr>
      <w:tr w:rsidR="00245300" w:rsidRPr="00EC20A0" w14:paraId="24D61752" w14:textId="77777777">
        <w:trPr>
          <w:trHeight w:val="1131"/>
        </w:trPr>
        <w:tc>
          <w:tcPr>
            <w:tcW w:w="6696" w:type="dxa"/>
            <w:tcBorders>
              <w:top w:val="single" w:sz="4" w:space="0" w:color="000000"/>
              <w:bottom w:val="single" w:sz="4" w:space="0" w:color="000000"/>
              <w:right w:val="single" w:sz="4" w:space="0" w:color="000000"/>
            </w:tcBorders>
          </w:tcPr>
          <w:p w14:paraId="24D6174F" w14:textId="77777777" w:rsidR="00245300" w:rsidRPr="00EC20A0" w:rsidRDefault="00F17249">
            <w:pPr>
              <w:pStyle w:val="TableParagraph"/>
              <w:spacing w:before="60"/>
              <w:ind w:left="1568" w:right="237" w:hanging="367"/>
            </w:pPr>
            <w:r w:rsidRPr="00EC20A0">
              <w:t>c)</w:t>
            </w:r>
            <w:r w:rsidRPr="00EC20A0">
              <w:rPr>
                <w:spacing w:val="80"/>
              </w:rPr>
              <w:t xml:space="preserve"> </w:t>
            </w:r>
            <w:r w:rsidRPr="00EC20A0">
              <w:t>Determine whether the entity maintains a current listing</w:t>
            </w:r>
            <w:r w:rsidRPr="00EC20A0">
              <w:rPr>
                <w:spacing w:val="-6"/>
              </w:rPr>
              <w:t xml:space="preserve"> </w:t>
            </w:r>
            <w:r w:rsidRPr="00EC20A0">
              <w:t>of</w:t>
            </w:r>
            <w:r w:rsidRPr="00EC20A0">
              <w:rPr>
                <w:spacing w:val="-7"/>
              </w:rPr>
              <w:t xml:space="preserve"> </w:t>
            </w:r>
            <w:r w:rsidRPr="00EC20A0">
              <w:t>its</w:t>
            </w:r>
            <w:r w:rsidRPr="00EC20A0">
              <w:rPr>
                <w:spacing w:val="-7"/>
              </w:rPr>
              <w:t xml:space="preserve"> </w:t>
            </w:r>
            <w:r w:rsidRPr="00EC20A0">
              <w:t>differences</w:t>
            </w:r>
            <w:r w:rsidRPr="00EC20A0">
              <w:rPr>
                <w:spacing w:val="-7"/>
              </w:rPr>
              <w:t xml:space="preserve"> </w:t>
            </w:r>
            <w:r w:rsidRPr="00EC20A0">
              <w:t>and</w:t>
            </w:r>
            <w:r w:rsidRPr="00EC20A0">
              <w:rPr>
                <w:spacing w:val="-6"/>
              </w:rPr>
              <w:t xml:space="preserve"> </w:t>
            </w:r>
            <w:r w:rsidRPr="00EC20A0">
              <w:t>whether</w:t>
            </w:r>
            <w:r w:rsidRPr="00EC20A0">
              <w:rPr>
                <w:spacing w:val="-6"/>
              </w:rPr>
              <w:t xml:space="preserve"> </w:t>
            </w:r>
            <w:r w:rsidRPr="00EC20A0">
              <w:t>management monitors it to assess the entity’s performance in timely resolving differences.</w:t>
            </w:r>
          </w:p>
        </w:tc>
        <w:tc>
          <w:tcPr>
            <w:tcW w:w="1144" w:type="dxa"/>
            <w:tcBorders>
              <w:top w:val="single" w:sz="4" w:space="0" w:color="000000"/>
              <w:left w:val="single" w:sz="4" w:space="0" w:color="000000"/>
              <w:bottom w:val="single" w:sz="4" w:space="0" w:color="000000"/>
              <w:right w:val="single" w:sz="4" w:space="0" w:color="000000"/>
            </w:tcBorders>
          </w:tcPr>
          <w:p w14:paraId="24D6175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51" w14:textId="77777777" w:rsidR="00245300" w:rsidRPr="00EC20A0" w:rsidRDefault="00245300">
            <w:pPr>
              <w:pStyle w:val="TableParagraph"/>
              <w:rPr>
                <w:sz w:val="20"/>
              </w:rPr>
            </w:pPr>
          </w:p>
        </w:tc>
      </w:tr>
      <w:tr w:rsidR="00245300" w:rsidRPr="00EC20A0" w14:paraId="24D61756" w14:textId="77777777">
        <w:trPr>
          <w:trHeight w:val="1890"/>
        </w:trPr>
        <w:tc>
          <w:tcPr>
            <w:tcW w:w="6696" w:type="dxa"/>
            <w:tcBorders>
              <w:top w:val="single" w:sz="4" w:space="0" w:color="000000"/>
              <w:bottom w:val="single" w:sz="4" w:space="0" w:color="000000"/>
              <w:right w:val="single" w:sz="4" w:space="0" w:color="000000"/>
            </w:tcBorders>
          </w:tcPr>
          <w:p w14:paraId="24D61753" w14:textId="77777777" w:rsidR="00245300" w:rsidRPr="00EC20A0" w:rsidRDefault="00F17249">
            <w:pPr>
              <w:pStyle w:val="TableParagraph"/>
              <w:spacing w:before="60"/>
              <w:ind w:left="1568" w:right="359" w:hanging="367"/>
            </w:pPr>
            <w:r w:rsidRPr="00EC20A0">
              <w:t>d)</w:t>
            </w:r>
            <w:r w:rsidRPr="00EC20A0">
              <w:rPr>
                <w:spacing w:val="80"/>
              </w:rPr>
              <w:t xml:space="preserve"> </w:t>
            </w:r>
            <w:r w:rsidRPr="00EC20A0">
              <w:t xml:space="preserve">Determine </w:t>
            </w:r>
            <w:r w:rsidRPr="00EC20A0">
              <w:t>whether management identifies and approves adjustments before adjusting the accounting</w:t>
            </w:r>
            <w:r w:rsidRPr="00EC20A0">
              <w:rPr>
                <w:spacing w:val="-7"/>
              </w:rPr>
              <w:t xml:space="preserve"> </w:t>
            </w:r>
            <w:r w:rsidRPr="00EC20A0">
              <w:t>records.</w:t>
            </w:r>
            <w:r w:rsidRPr="00EC20A0">
              <w:rPr>
                <w:spacing w:val="-7"/>
              </w:rPr>
              <w:t xml:space="preserve"> </w:t>
            </w:r>
            <w:r w:rsidRPr="00EC20A0">
              <w:t>If</w:t>
            </w:r>
            <w:r w:rsidRPr="00EC20A0">
              <w:rPr>
                <w:spacing w:val="-7"/>
              </w:rPr>
              <w:t xml:space="preserve"> </w:t>
            </w:r>
            <w:r w:rsidRPr="00EC20A0">
              <w:t>the</w:t>
            </w:r>
            <w:r w:rsidRPr="00EC20A0">
              <w:rPr>
                <w:spacing w:val="-7"/>
              </w:rPr>
              <w:t xml:space="preserve"> </w:t>
            </w:r>
            <w:r w:rsidRPr="00EC20A0">
              <w:t>trading</w:t>
            </w:r>
            <w:r w:rsidRPr="00EC20A0">
              <w:rPr>
                <w:spacing w:val="-7"/>
              </w:rPr>
              <w:t xml:space="preserve"> </w:t>
            </w:r>
            <w:r w:rsidRPr="00EC20A0">
              <w:t>partners</w:t>
            </w:r>
            <w:r w:rsidRPr="00EC20A0">
              <w:rPr>
                <w:spacing w:val="-7"/>
              </w:rPr>
              <w:t xml:space="preserve"> </w:t>
            </w:r>
            <w:r w:rsidRPr="00EC20A0">
              <w:t>agree that an adjustment is required in the trading partner’s records, document what procedures management has to confirm that the trading partner agrees to record the adjustment.</w:t>
            </w:r>
          </w:p>
        </w:tc>
        <w:tc>
          <w:tcPr>
            <w:tcW w:w="1144" w:type="dxa"/>
            <w:tcBorders>
              <w:top w:val="single" w:sz="4" w:space="0" w:color="000000"/>
              <w:left w:val="single" w:sz="4" w:space="0" w:color="000000"/>
              <w:bottom w:val="single" w:sz="4" w:space="0" w:color="000000"/>
              <w:right w:val="single" w:sz="4" w:space="0" w:color="000000"/>
            </w:tcBorders>
          </w:tcPr>
          <w:p w14:paraId="24D61754"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55" w14:textId="77777777" w:rsidR="00245300" w:rsidRPr="00EC20A0" w:rsidRDefault="00245300">
            <w:pPr>
              <w:pStyle w:val="TableParagraph"/>
              <w:rPr>
                <w:sz w:val="20"/>
              </w:rPr>
            </w:pPr>
          </w:p>
        </w:tc>
      </w:tr>
      <w:tr w:rsidR="00245300" w:rsidRPr="00EC20A0" w14:paraId="24D61758" w14:textId="77777777">
        <w:trPr>
          <w:trHeight w:val="376"/>
        </w:trPr>
        <w:tc>
          <w:tcPr>
            <w:tcW w:w="9069" w:type="dxa"/>
            <w:gridSpan w:val="3"/>
            <w:tcBorders>
              <w:top w:val="single" w:sz="4" w:space="0" w:color="000000"/>
              <w:bottom w:val="nil"/>
            </w:tcBorders>
          </w:tcPr>
          <w:p w14:paraId="24D61757" w14:textId="77777777" w:rsidR="00245300" w:rsidRPr="00EC20A0" w:rsidRDefault="00F17249">
            <w:pPr>
              <w:pStyle w:val="TableParagraph"/>
              <w:tabs>
                <w:tab w:val="left" w:pos="1604"/>
              </w:tabs>
              <w:spacing w:before="61"/>
              <w:ind w:left="92"/>
              <w:rPr>
                <w:b/>
                <w:i/>
              </w:rPr>
            </w:pPr>
            <w:r w:rsidRPr="00EC20A0">
              <w:rPr>
                <w:b/>
                <w:i/>
              </w:rPr>
              <w:t>Phase</w:t>
            </w:r>
            <w:r w:rsidRPr="00EC20A0">
              <w:rPr>
                <w:b/>
                <w:i/>
                <w:spacing w:val="-8"/>
              </w:rPr>
              <w:t xml:space="preserve"> </w:t>
            </w:r>
            <w:r w:rsidRPr="00EC20A0">
              <w:rPr>
                <w:b/>
                <w:i/>
                <w:spacing w:val="-4"/>
              </w:rPr>
              <w:t>III:</w:t>
            </w:r>
            <w:r w:rsidRPr="00EC20A0">
              <w:rPr>
                <w:b/>
                <w:i/>
              </w:rPr>
              <w:tab/>
              <w:t>Reporting</w:t>
            </w:r>
            <w:r w:rsidRPr="00EC20A0">
              <w:rPr>
                <w:b/>
                <w:i/>
                <w:spacing w:val="-12"/>
              </w:rPr>
              <w:t xml:space="preserve"> </w:t>
            </w:r>
            <w:r w:rsidRPr="00EC20A0">
              <w:rPr>
                <w:b/>
                <w:i/>
              </w:rPr>
              <w:t>intragovernmental</w:t>
            </w:r>
            <w:r w:rsidRPr="00EC20A0">
              <w:rPr>
                <w:b/>
                <w:i/>
                <w:spacing w:val="-11"/>
              </w:rPr>
              <w:t xml:space="preserve"> </w:t>
            </w:r>
            <w:r w:rsidRPr="00EC20A0">
              <w:rPr>
                <w:b/>
                <w:i/>
              </w:rPr>
              <w:t>activity</w:t>
            </w:r>
            <w:r w:rsidRPr="00EC20A0">
              <w:rPr>
                <w:b/>
                <w:i/>
                <w:spacing w:val="-11"/>
              </w:rPr>
              <w:t xml:space="preserve"> </w:t>
            </w:r>
            <w:r w:rsidRPr="00EC20A0">
              <w:rPr>
                <w:b/>
                <w:i/>
              </w:rPr>
              <w:t>and</w:t>
            </w:r>
            <w:r w:rsidRPr="00EC20A0">
              <w:rPr>
                <w:b/>
                <w:i/>
                <w:spacing w:val="-11"/>
              </w:rPr>
              <w:t xml:space="preserve"> </w:t>
            </w:r>
            <w:r w:rsidRPr="00EC20A0">
              <w:rPr>
                <w:b/>
                <w:i/>
                <w:spacing w:val="-2"/>
              </w:rPr>
              <w:t>balances</w:t>
            </w:r>
          </w:p>
        </w:tc>
      </w:tr>
      <w:tr w:rsidR="00245300" w:rsidRPr="00EC20A0" w14:paraId="24D6175A" w14:textId="77777777">
        <w:trPr>
          <w:trHeight w:val="1956"/>
        </w:trPr>
        <w:tc>
          <w:tcPr>
            <w:tcW w:w="9069" w:type="dxa"/>
            <w:gridSpan w:val="3"/>
            <w:tcBorders>
              <w:top w:val="nil"/>
              <w:bottom w:val="single" w:sz="4" w:space="0" w:color="000000"/>
            </w:tcBorders>
          </w:tcPr>
          <w:p w14:paraId="24D61759" w14:textId="77777777" w:rsidR="00245300" w:rsidRPr="00EC20A0" w:rsidRDefault="00F17249">
            <w:pPr>
              <w:pStyle w:val="TableParagraph"/>
              <w:spacing w:before="57"/>
              <w:ind w:left="92" w:right="78"/>
              <w:rPr>
                <w:sz w:val="20"/>
              </w:rPr>
            </w:pPr>
            <w:r w:rsidRPr="00EC20A0">
              <w:rPr>
                <w:sz w:val="20"/>
              </w:rPr>
              <w:t xml:space="preserve">Note: This phase includes entity financial reporting, GTAS reporting, and reviews of GTAS generated reclassified financial statements, which are </w:t>
            </w:r>
            <w:r w:rsidRPr="00EC20A0">
              <w:rPr>
                <w:sz w:val="20"/>
              </w:rPr>
              <w:t>produced by GTAS using the automated trial balance</w:t>
            </w:r>
            <w:r w:rsidRPr="00EC20A0">
              <w:rPr>
                <w:spacing w:val="-3"/>
                <w:sz w:val="20"/>
              </w:rPr>
              <w:t xml:space="preserve"> </w:t>
            </w:r>
            <w:r w:rsidRPr="00EC20A0">
              <w:rPr>
                <w:sz w:val="20"/>
              </w:rPr>
              <w:t>information</w:t>
            </w:r>
            <w:r w:rsidRPr="00EC20A0">
              <w:rPr>
                <w:spacing w:val="-3"/>
                <w:sz w:val="20"/>
              </w:rPr>
              <w:t xml:space="preserve"> </w:t>
            </w:r>
            <w:r w:rsidRPr="00EC20A0">
              <w:rPr>
                <w:sz w:val="20"/>
              </w:rPr>
              <w:t>submitted</w:t>
            </w:r>
            <w:r w:rsidRPr="00EC20A0">
              <w:rPr>
                <w:spacing w:val="-3"/>
                <w:sz w:val="20"/>
              </w:rPr>
              <w:t xml:space="preserve"> </w:t>
            </w:r>
            <w:r w:rsidRPr="00EC20A0">
              <w:rPr>
                <w:sz w:val="20"/>
              </w:rPr>
              <w:t>by</w:t>
            </w:r>
            <w:r w:rsidRPr="00EC20A0">
              <w:rPr>
                <w:spacing w:val="-2"/>
                <w:sz w:val="20"/>
              </w:rPr>
              <w:t xml:space="preserve"> </w:t>
            </w:r>
            <w:r w:rsidRPr="00EC20A0">
              <w:rPr>
                <w:sz w:val="20"/>
              </w:rPr>
              <w:t>the</w:t>
            </w:r>
            <w:r w:rsidRPr="00EC20A0">
              <w:rPr>
                <w:spacing w:val="-3"/>
                <w:sz w:val="20"/>
              </w:rPr>
              <w:t xml:space="preserve"> </w:t>
            </w:r>
            <w:r w:rsidRPr="00EC20A0">
              <w:rPr>
                <w:sz w:val="20"/>
              </w:rPr>
              <w:t>entities.</w:t>
            </w:r>
            <w:r w:rsidRPr="00EC20A0">
              <w:rPr>
                <w:spacing w:val="-3"/>
                <w:sz w:val="20"/>
              </w:rPr>
              <w:t xml:space="preserve"> </w:t>
            </w:r>
            <w:r w:rsidRPr="00EC20A0">
              <w:rPr>
                <w:sz w:val="20"/>
              </w:rPr>
              <w:t>Significant</w:t>
            </w:r>
            <w:r w:rsidRPr="00EC20A0">
              <w:rPr>
                <w:spacing w:val="-3"/>
                <w:sz w:val="20"/>
              </w:rPr>
              <w:t xml:space="preserve"> </w:t>
            </w:r>
            <w:r w:rsidRPr="00EC20A0">
              <w:rPr>
                <w:sz w:val="20"/>
              </w:rPr>
              <w:t>entities</w:t>
            </w:r>
            <w:r w:rsidRPr="00EC20A0">
              <w:rPr>
                <w:spacing w:val="-2"/>
                <w:sz w:val="20"/>
              </w:rPr>
              <w:t xml:space="preserve"> </w:t>
            </w:r>
            <w:r w:rsidRPr="00EC20A0">
              <w:rPr>
                <w:sz w:val="20"/>
              </w:rPr>
              <w:t>should</w:t>
            </w:r>
            <w:r w:rsidRPr="00EC20A0">
              <w:rPr>
                <w:spacing w:val="-3"/>
                <w:sz w:val="20"/>
              </w:rPr>
              <w:t xml:space="preserve"> </w:t>
            </w:r>
            <w:r w:rsidRPr="00EC20A0">
              <w:rPr>
                <w:sz w:val="20"/>
              </w:rPr>
              <w:t>include</w:t>
            </w:r>
            <w:r w:rsidRPr="00EC20A0">
              <w:rPr>
                <w:spacing w:val="-5"/>
                <w:sz w:val="20"/>
              </w:rPr>
              <w:t xml:space="preserve"> </w:t>
            </w:r>
            <w:r w:rsidRPr="00EC20A0">
              <w:rPr>
                <w:sz w:val="20"/>
              </w:rPr>
              <w:t>a</w:t>
            </w:r>
            <w:r w:rsidRPr="00EC20A0">
              <w:rPr>
                <w:spacing w:val="-3"/>
                <w:sz w:val="20"/>
              </w:rPr>
              <w:t xml:space="preserve"> </w:t>
            </w:r>
            <w:r w:rsidRPr="00EC20A0">
              <w:rPr>
                <w:i/>
                <w:sz w:val="20"/>
              </w:rPr>
              <w:t>Reclassification</w:t>
            </w:r>
            <w:r w:rsidRPr="00EC20A0">
              <w:rPr>
                <w:i/>
                <w:spacing w:val="-3"/>
                <w:sz w:val="20"/>
              </w:rPr>
              <w:t xml:space="preserve"> </w:t>
            </w:r>
            <w:r w:rsidRPr="00EC20A0">
              <w:rPr>
                <w:i/>
                <w:sz w:val="20"/>
              </w:rPr>
              <w:t xml:space="preserve">of Financial Statement Line Items for Financial Report Compilation Process </w:t>
            </w:r>
            <w:r w:rsidRPr="00EC20A0">
              <w:rPr>
                <w:sz w:val="20"/>
              </w:rPr>
              <w:t>note in audited financial statements in</w:t>
            </w:r>
            <w:r w:rsidRPr="00EC20A0">
              <w:rPr>
                <w:spacing w:val="-1"/>
                <w:sz w:val="20"/>
              </w:rPr>
              <w:t xml:space="preserve"> </w:t>
            </w:r>
            <w:r w:rsidRPr="00EC20A0">
              <w:rPr>
                <w:sz w:val="20"/>
              </w:rPr>
              <w:t>accordance</w:t>
            </w:r>
            <w:r w:rsidRPr="00EC20A0">
              <w:rPr>
                <w:spacing w:val="-1"/>
                <w:sz w:val="20"/>
              </w:rPr>
              <w:t xml:space="preserve"> </w:t>
            </w:r>
            <w:r w:rsidRPr="00EC20A0">
              <w:rPr>
                <w:sz w:val="20"/>
              </w:rPr>
              <w:t>with OMB</w:t>
            </w:r>
            <w:r w:rsidRPr="00EC20A0">
              <w:rPr>
                <w:spacing w:val="-1"/>
                <w:sz w:val="20"/>
              </w:rPr>
              <w:t xml:space="preserve"> </w:t>
            </w:r>
            <w:r w:rsidRPr="00EC20A0">
              <w:rPr>
                <w:sz w:val="20"/>
              </w:rPr>
              <w:t>reporting guidance. Significant entities that are FASB reporters need to also report the note information and have it audited (see TFM 2-4705.25). Treasury uses this</w:t>
            </w:r>
            <w:r w:rsidRPr="00EC20A0">
              <w:rPr>
                <w:spacing w:val="-1"/>
                <w:sz w:val="20"/>
              </w:rPr>
              <w:t xml:space="preserve"> </w:t>
            </w:r>
            <w:r w:rsidRPr="00EC20A0">
              <w:rPr>
                <w:sz w:val="20"/>
              </w:rPr>
              <w:t>information</w:t>
            </w:r>
            <w:r w:rsidRPr="00EC20A0">
              <w:rPr>
                <w:spacing w:val="-2"/>
                <w:sz w:val="20"/>
              </w:rPr>
              <w:t xml:space="preserve"> </w:t>
            </w:r>
            <w:r w:rsidRPr="00EC20A0">
              <w:rPr>
                <w:sz w:val="20"/>
              </w:rPr>
              <w:t>to</w:t>
            </w:r>
            <w:r w:rsidRPr="00EC20A0">
              <w:rPr>
                <w:spacing w:val="-2"/>
                <w:sz w:val="20"/>
              </w:rPr>
              <w:t xml:space="preserve"> </w:t>
            </w:r>
            <w:r w:rsidRPr="00EC20A0">
              <w:rPr>
                <w:sz w:val="20"/>
              </w:rPr>
              <w:t>calculate</w:t>
            </w:r>
            <w:r w:rsidRPr="00EC20A0">
              <w:rPr>
                <w:spacing w:val="-2"/>
                <w:sz w:val="20"/>
              </w:rPr>
              <w:t xml:space="preserve"> </w:t>
            </w:r>
            <w:r w:rsidRPr="00EC20A0">
              <w:rPr>
                <w:sz w:val="20"/>
              </w:rPr>
              <w:t>the</w:t>
            </w:r>
            <w:r w:rsidRPr="00EC20A0">
              <w:rPr>
                <w:spacing w:val="-2"/>
                <w:sz w:val="20"/>
              </w:rPr>
              <w:t xml:space="preserve"> </w:t>
            </w:r>
            <w:r w:rsidRPr="00EC20A0">
              <w:rPr>
                <w:sz w:val="20"/>
              </w:rPr>
              <w:t>differences</w:t>
            </w:r>
            <w:r w:rsidRPr="00EC20A0">
              <w:rPr>
                <w:spacing w:val="-1"/>
                <w:sz w:val="20"/>
              </w:rPr>
              <w:t xml:space="preserve"> </w:t>
            </w:r>
            <w:r w:rsidRPr="00EC20A0">
              <w:rPr>
                <w:sz w:val="20"/>
              </w:rPr>
              <w:t>between</w:t>
            </w:r>
            <w:r w:rsidRPr="00EC20A0">
              <w:rPr>
                <w:spacing w:val="-3"/>
                <w:sz w:val="20"/>
              </w:rPr>
              <w:t xml:space="preserve"> </w:t>
            </w:r>
            <w:r w:rsidRPr="00EC20A0">
              <w:rPr>
                <w:sz w:val="20"/>
              </w:rPr>
              <w:t>trading</w:t>
            </w:r>
            <w:r w:rsidRPr="00EC20A0">
              <w:rPr>
                <w:spacing w:val="-2"/>
                <w:sz w:val="20"/>
              </w:rPr>
              <w:t xml:space="preserve"> </w:t>
            </w:r>
            <w:r w:rsidRPr="00EC20A0">
              <w:rPr>
                <w:sz w:val="20"/>
              </w:rPr>
              <w:t>partners</w:t>
            </w:r>
            <w:r w:rsidRPr="00EC20A0">
              <w:rPr>
                <w:spacing w:val="-1"/>
                <w:sz w:val="20"/>
              </w:rPr>
              <w:t xml:space="preserve"> </w:t>
            </w:r>
            <w:r w:rsidRPr="00EC20A0">
              <w:rPr>
                <w:sz w:val="20"/>
              </w:rPr>
              <w:t>on</w:t>
            </w:r>
            <w:r w:rsidRPr="00EC20A0">
              <w:rPr>
                <w:spacing w:val="-2"/>
                <w:sz w:val="20"/>
              </w:rPr>
              <w:t xml:space="preserve"> </w:t>
            </w:r>
            <w:r w:rsidRPr="00EC20A0">
              <w:rPr>
                <w:sz w:val="20"/>
              </w:rPr>
              <w:t>a</w:t>
            </w:r>
            <w:r w:rsidRPr="00EC20A0">
              <w:rPr>
                <w:spacing w:val="-2"/>
                <w:sz w:val="20"/>
              </w:rPr>
              <w:t xml:space="preserve"> </w:t>
            </w:r>
            <w:r w:rsidRPr="00EC20A0">
              <w:rPr>
                <w:sz w:val="20"/>
              </w:rPr>
              <w:t>quarterly</w:t>
            </w:r>
            <w:r w:rsidRPr="00EC20A0">
              <w:rPr>
                <w:spacing w:val="-1"/>
                <w:sz w:val="20"/>
              </w:rPr>
              <w:t xml:space="preserve"> </w:t>
            </w:r>
            <w:r w:rsidRPr="00EC20A0">
              <w:rPr>
                <w:sz w:val="20"/>
              </w:rPr>
              <w:t>basis</w:t>
            </w:r>
            <w:r w:rsidRPr="00EC20A0">
              <w:rPr>
                <w:spacing w:val="-1"/>
                <w:sz w:val="20"/>
              </w:rPr>
              <w:t xml:space="preserve"> </w:t>
            </w:r>
            <w:r w:rsidRPr="00EC20A0">
              <w:rPr>
                <w:sz w:val="20"/>
              </w:rPr>
              <w:t>(which</w:t>
            </w:r>
            <w:r w:rsidRPr="00EC20A0">
              <w:rPr>
                <w:spacing w:val="-2"/>
                <w:sz w:val="20"/>
              </w:rPr>
              <w:t xml:space="preserve"> </w:t>
            </w:r>
            <w:r w:rsidRPr="00EC20A0">
              <w:rPr>
                <w:sz w:val="20"/>
              </w:rPr>
              <w:t>the entities then need to resolve).</w:t>
            </w:r>
          </w:p>
        </w:tc>
      </w:tr>
      <w:tr w:rsidR="00245300" w:rsidRPr="00EC20A0" w14:paraId="24D6175E" w14:textId="77777777">
        <w:trPr>
          <w:trHeight w:val="1384"/>
        </w:trPr>
        <w:tc>
          <w:tcPr>
            <w:tcW w:w="6696" w:type="dxa"/>
            <w:tcBorders>
              <w:top w:val="single" w:sz="4" w:space="0" w:color="000000"/>
              <w:bottom w:val="single" w:sz="4" w:space="0" w:color="000000"/>
              <w:right w:val="single" w:sz="4" w:space="0" w:color="000000"/>
            </w:tcBorders>
          </w:tcPr>
          <w:p w14:paraId="24D6175B" w14:textId="77777777" w:rsidR="00245300" w:rsidRPr="00EC20A0" w:rsidRDefault="00F17249">
            <w:pPr>
              <w:pStyle w:val="TableParagraph"/>
              <w:spacing w:before="60"/>
              <w:ind w:left="1172" w:right="134" w:hanging="361"/>
            </w:pPr>
            <w:r w:rsidRPr="00EC20A0">
              <w:t>4)</w:t>
            </w:r>
            <w:r w:rsidRPr="00EC20A0">
              <w:rPr>
                <w:spacing w:val="80"/>
              </w:rPr>
              <w:t xml:space="preserve"> </w:t>
            </w:r>
            <w:r w:rsidRPr="00EC20A0">
              <w:t>For</w:t>
            </w:r>
            <w:r w:rsidRPr="00EC20A0">
              <w:rPr>
                <w:spacing w:val="-4"/>
              </w:rPr>
              <w:t xml:space="preserve"> </w:t>
            </w:r>
            <w:r w:rsidRPr="00EC20A0">
              <w:t>each</w:t>
            </w:r>
            <w:r w:rsidRPr="00EC20A0">
              <w:rPr>
                <w:spacing w:val="-4"/>
              </w:rPr>
              <w:t xml:space="preserve"> </w:t>
            </w:r>
            <w:r w:rsidRPr="00EC20A0">
              <w:t>audit</w:t>
            </w:r>
            <w:r w:rsidRPr="00EC20A0">
              <w:rPr>
                <w:spacing w:val="-4"/>
              </w:rPr>
              <w:t xml:space="preserve"> </w:t>
            </w:r>
            <w:r w:rsidRPr="00EC20A0">
              <w:t>cycle,</w:t>
            </w:r>
            <w:r w:rsidRPr="00EC20A0">
              <w:rPr>
                <w:spacing w:val="-4"/>
              </w:rPr>
              <w:t xml:space="preserve"> </w:t>
            </w:r>
            <w:r w:rsidRPr="00EC20A0">
              <w:t>determine,</w:t>
            </w:r>
            <w:r w:rsidRPr="00EC20A0">
              <w:rPr>
                <w:spacing w:val="-4"/>
              </w:rPr>
              <w:t xml:space="preserve"> </w:t>
            </w:r>
            <w:r w:rsidRPr="00EC20A0">
              <w:t>through</w:t>
            </w:r>
            <w:r w:rsidRPr="00EC20A0">
              <w:rPr>
                <w:spacing w:val="-4"/>
              </w:rPr>
              <w:t xml:space="preserve"> </w:t>
            </w:r>
            <w:r w:rsidRPr="00EC20A0">
              <w:t>inquiries</w:t>
            </w:r>
            <w:r w:rsidRPr="00EC20A0">
              <w:rPr>
                <w:spacing w:val="-4"/>
              </w:rPr>
              <w:t xml:space="preserve"> </w:t>
            </w:r>
            <w:r w:rsidRPr="00EC20A0">
              <w:t>of management,</w:t>
            </w:r>
            <w:r w:rsidRPr="00EC20A0">
              <w:rPr>
                <w:spacing w:val="-3"/>
              </w:rPr>
              <w:t xml:space="preserve"> </w:t>
            </w:r>
            <w:r w:rsidRPr="00EC20A0">
              <w:t>walk-throughs,</w:t>
            </w:r>
            <w:r w:rsidRPr="00EC20A0">
              <w:rPr>
                <w:spacing w:val="-3"/>
              </w:rPr>
              <w:t xml:space="preserve"> </w:t>
            </w:r>
            <w:r w:rsidRPr="00EC20A0">
              <w:t>reviews</w:t>
            </w:r>
            <w:r w:rsidRPr="00EC20A0">
              <w:rPr>
                <w:spacing w:val="-4"/>
              </w:rPr>
              <w:t xml:space="preserve"> </w:t>
            </w:r>
            <w:r w:rsidRPr="00EC20A0">
              <w:t>of</w:t>
            </w:r>
            <w:r w:rsidRPr="00EC20A0">
              <w:rPr>
                <w:spacing w:val="-3"/>
              </w:rPr>
              <w:t xml:space="preserve"> </w:t>
            </w:r>
            <w:r w:rsidRPr="00EC20A0">
              <w:t>prior</w:t>
            </w:r>
            <w:r w:rsidRPr="00EC20A0">
              <w:rPr>
                <w:spacing w:val="-3"/>
              </w:rPr>
              <w:t xml:space="preserve"> </w:t>
            </w:r>
            <w:r w:rsidRPr="00EC20A0">
              <w:t xml:space="preserve">years’ documentation, and the following procedures, the entity’s policies and </w:t>
            </w:r>
            <w:r w:rsidRPr="00EC20A0">
              <w:t>procedures for reporting intragovernmental activity and balances.</w:t>
            </w:r>
          </w:p>
        </w:tc>
        <w:tc>
          <w:tcPr>
            <w:tcW w:w="1144" w:type="dxa"/>
            <w:tcBorders>
              <w:top w:val="single" w:sz="4" w:space="0" w:color="000000"/>
              <w:left w:val="single" w:sz="4" w:space="0" w:color="000000"/>
              <w:bottom w:val="single" w:sz="4" w:space="0" w:color="000000"/>
              <w:right w:val="single" w:sz="4" w:space="0" w:color="000000"/>
            </w:tcBorders>
          </w:tcPr>
          <w:p w14:paraId="24D6175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5D" w14:textId="77777777" w:rsidR="00245300" w:rsidRPr="00EC20A0" w:rsidRDefault="00245300">
            <w:pPr>
              <w:pStyle w:val="TableParagraph"/>
              <w:rPr>
                <w:sz w:val="20"/>
              </w:rPr>
            </w:pPr>
          </w:p>
        </w:tc>
      </w:tr>
      <w:tr w:rsidR="00245300" w:rsidRPr="00EC20A0" w14:paraId="24D61762" w14:textId="77777777">
        <w:trPr>
          <w:trHeight w:val="1132"/>
        </w:trPr>
        <w:tc>
          <w:tcPr>
            <w:tcW w:w="6696" w:type="dxa"/>
            <w:tcBorders>
              <w:top w:val="single" w:sz="4" w:space="0" w:color="000000"/>
              <w:bottom w:val="single" w:sz="4" w:space="0" w:color="000000"/>
              <w:right w:val="single" w:sz="4" w:space="0" w:color="000000"/>
            </w:tcBorders>
          </w:tcPr>
          <w:p w14:paraId="24D6175F" w14:textId="77777777" w:rsidR="00245300" w:rsidRPr="00EC20A0" w:rsidRDefault="00F17249">
            <w:pPr>
              <w:pStyle w:val="TableParagraph"/>
              <w:tabs>
                <w:tab w:val="left" w:pos="1568"/>
              </w:tabs>
              <w:spacing w:before="60"/>
              <w:ind w:left="1568" w:right="537" w:hanging="450"/>
            </w:pPr>
            <w:r w:rsidRPr="00EC20A0">
              <w:rPr>
                <w:spacing w:val="-6"/>
              </w:rPr>
              <w:t>a)</w:t>
            </w:r>
            <w:r w:rsidRPr="00EC20A0">
              <w:tab/>
              <w:t>Determine whether the entity has established processes</w:t>
            </w:r>
            <w:r w:rsidRPr="00EC20A0">
              <w:rPr>
                <w:spacing w:val="-9"/>
              </w:rPr>
              <w:t xml:space="preserve"> </w:t>
            </w:r>
            <w:r w:rsidRPr="00EC20A0">
              <w:t>for</w:t>
            </w:r>
            <w:r w:rsidRPr="00EC20A0">
              <w:rPr>
                <w:spacing w:val="-8"/>
              </w:rPr>
              <w:t xml:space="preserve"> </w:t>
            </w:r>
            <w:r w:rsidRPr="00EC20A0">
              <w:t>ensuring</w:t>
            </w:r>
            <w:r w:rsidRPr="00EC20A0">
              <w:rPr>
                <w:spacing w:val="-9"/>
              </w:rPr>
              <w:t xml:space="preserve"> </w:t>
            </w:r>
            <w:r w:rsidRPr="00EC20A0">
              <w:t>appropriate</w:t>
            </w:r>
            <w:r w:rsidRPr="00EC20A0">
              <w:rPr>
                <w:spacing w:val="-8"/>
              </w:rPr>
              <w:t xml:space="preserve"> </w:t>
            </w:r>
            <w:r w:rsidRPr="00EC20A0">
              <w:t>inclusion</w:t>
            </w:r>
            <w:r w:rsidRPr="00EC20A0">
              <w:rPr>
                <w:spacing w:val="-8"/>
              </w:rPr>
              <w:t xml:space="preserve"> </w:t>
            </w:r>
            <w:r w:rsidRPr="00EC20A0">
              <w:t>of intragovernmental activity and balances in its financial statements.</w:t>
            </w:r>
          </w:p>
        </w:tc>
        <w:tc>
          <w:tcPr>
            <w:tcW w:w="1144" w:type="dxa"/>
            <w:tcBorders>
              <w:top w:val="single" w:sz="4" w:space="0" w:color="000000"/>
              <w:left w:val="single" w:sz="4" w:space="0" w:color="000000"/>
              <w:bottom w:val="single" w:sz="4" w:space="0" w:color="000000"/>
              <w:right w:val="single" w:sz="4" w:space="0" w:color="000000"/>
            </w:tcBorders>
          </w:tcPr>
          <w:p w14:paraId="24D6176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61" w14:textId="77777777" w:rsidR="00245300" w:rsidRPr="00EC20A0" w:rsidRDefault="00245300">
            <w:pPr>
              <w:pStyle w:val="TableParagraph"/>
              <w:rPr>
                <w:sz w:val="20"/>
              </w:rPr>
            </w:pPr>
          </w:p>
        </w:tc>
      </w:tr>
      <w:tr w:rsidR="00245300" w:rsidRPr="00EC20A0" w14:paraId="24D61766" w14:textId="77777777">
        <w:trPr>
          <w:trHeight w:val="1384"/>
        </w:trPr>
        <w:tc>
          <w:tcPr>
            <w:tcW w:w="6696" w:type="dxa"/>
            <w:tcBorders>
              <w:top w:val="single" w:sz="4" w:space="0" w:color="000000"/>
              <w:bottom w:val="single" w:sz="4" w:space="0" w:color="000000"/>
              <w:right w:val="single" w:sz="4" w:space="0" w:color="000000"/>
            </w:tcBorders>
          </w:tcPr>
          <w:p w14:paraId="24D61763" w14:textId="77777777" w:rsidR="00245300" w:rsidRPr="00EC20A0" w:rsidRDefault="00F17249">
            <w:pPr>
              <w:pStyle w:val="TableParagraph"/>
              <w:tabs>
                <w:tab w:val="left" w:pos="1568"/>
              </w:tabs>
              <w:spacing w:before="60"/>
              <w:ind w:left="1568" w:right="525" w:hanging="450"/>
            </w:pPr>
            <w:r w:rsidRPr="00EC20A0">
              <w:rPr>
                <w:spacing w:val="-6"/>
              </w:rPr>
              <w:t>b)</w:t>
            </w:r>
            <w:r w:rsidRPr="00EC20A0">
              <w:tab/>
            </w:r>
            <w:r w:rsidRPr="00EC20A0">
              <w:t>Determine whether the entity has established processes</w:t>
            </w:r>
            <w:r w:rsidRPr="00EC20A0">
              <w:rPr>
                <w:spacing w:val="-9"/>
              </w:rPr>
              <w:t xml:space="preserve"> </w:t>
            </w:r>
            <w:r w:rsidRPr="00EC20A0">
              <w:t>for</w:t>
            </w:r>
            <w:r w:rsidRPr="00EC20A0">
              <w:rPr>
                <w:spacing w:val="-8"/>
              </w:rPr>
              <w:t xml:space="preserve"> </w:t>
            </w:r>
            <w:r w:rsidRPr="00EC20A0">
              <w:t>ensuring</w:t>
            </w:r>
            <w:r w:rsidRPr="00EC20A0">
              <w:rPr>
                <w:spacing w:val="-9"/>
              </w:rPr>
              <w:t xml:space="preserve"> </w:t>
            </w:r>
            <w:r w:rsidRPr="00EC20A0">
              <w:t>appropriate</w:t>
            </w:r>
            <w:r w:rsidRPr="00EC20A0">
              <w:rPr>
                <w:spacing w:val="-9"/>
              </w:rPr>
              <w:t xml:space="preserve"> </w:t>
            </w:r>
            <w:r w:rsidRPr="00EC20A0">
              <w:t>reporting</w:t>
            </w:r>
            <w:r w:rsidRPr="00EC20A0">
              <w:rPr>
                <w:spacing w:val="-8"/>
              </w:rPr>
              <w:t xml:space="preserve"> </w:t>
            </w:r>
            <w:r w:rsidRPr="00EC20A0">
              <w:t>of intragovernmental activity and balances to Treasury</w:t>
            </w:r>
            <w:r w:rsidRPr="00EC20A0">
              <w:rPr>
                <w:spacing w:val="-6"/>
              </w:rPr>
              <w:t xml:space="preserve"> </w:t>
            </w:r>
            <w:r w:rsidRPr="00EC20A0">
              <w:t>for</w:t>
            </w:r>
            <w:r w:rsidRPr="00EC20A0">
              <w:rPr>
                <w:spacing w:val="-7"/>
              </w:rPr>
              <w:t xml:space="preserve"> </w:t>
            </w:r>
            <w:r w:rsidRPr="00EC20A0">
              <w:t>inclusion</w:t>
            </w:r>
            <w:r w:rsidRPr="00EC20A0">
              <w:rPr>
                <w:spacing w:val="-6"/>
              </w:rPr>
              <w:t xml:space="preserve"> </w:t>
            </w:r>
            <w:r w:rsidRPr="00EC20A0">
              <w:t>in</w:t>
            </w:r>
            <w:r w:rsidRPr="00EC20A0">
              <w:rPr>
                <w:spacing w:val="-7"/>
              </w:rPr>
              <w:t xml:space="preserve"> </w:t>
            </w:r>
            <w:r w:rsidRPr="00EC20A0">
              <w:t>the</w:t>
            </w:r>
            <w:r w:rsidRPr="00EC20A0">
              <w:rPr>
                <w:spacing w:val="-6"/>
              </w:rPr>
              <w:t xml:space="preserve"> </w:t>
            </w:r>
            <w:r w:rsidRPr="00EC20A0">
              <w:t>U.S.</w:t>
            </w:r>
            <w:r w:rsidRPr="00EC20A0">
              <w:rPr>
                <w:spacing w:val="-6"/>
              </w:rPr>
              <w:t xml:space="preserve"> </w:t>
            </w:r>
            <w:r w:rsidRPr="00EC20A0">
              <w:t>government’s consolidated financial statements.</w:t>
            </w:r>
          </w:p>
        </w:tc>
        <w:tc>
          <w:tcPr>
            <w:tcW w:w="1144" w:type="dxa"/>
            <w:tcBorders>
              <w:top w:val="single" w:sz="4" w:space="0" w:color="000000"/>
              <w:left w:val="single" w:sz="4" w:space="0" w:color="000000"/>
              <w:bottom w:val="single" w:sz="4" w:space="0" w:color="000000"/>
              <w:right w:val="single" w:sz="4" w:space="0" w:color="000000"/>
            </w:tcBorders>
          </w:tcPr>
          <w:p w14:paraId="24D61764"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65" w14:textId="77777777" w:rsidR="00245300" w:rsidRPr="00EC20A0" w:rsidRDefault="00245300">
            <w:pPr>
              <w:pStyle w:val="TableParagraph"/>
              <w:rPr>
                <w:sz w:val="20"/>
              </w:rPr>
            </w:pPr>
          </w:p>
        </w:tc>
      </w:tr>
    </w:tbl>
    <w:p w14:paraId="24D61767"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768"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76C" w14:textId="77777777">
        <w:trPr>
          <w:trHeight w:val="625"/>
        </w:trPr>
        <w:tc>
          <w:tcPr>
            <w:tcW w:w="6696" w:type="dxa"/>
            <w:tcBorders>
              <w:right w:val="single" w:sz="4" w:space="0" w:color="000000"/>
            </w:tcBorders>
          </w:tcPr>
          <w:p w14:paraId="24D61769"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76A"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76B"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770" w14:textId="77777777">
        <w:trPr>
          <w:trHeight w:val="1351"/>
        </w:trPr>
        <w:tc>
          <w:tcPr>
            <w:tcW w:w="6696" w:type="dxa"/>
            <w:tcBorders>
              <w:bottom w:val="single" w:sz="4" w:space="0" w:color="000000"/>
              <w:right w:val="single" w:sz="4" w:space="0" w:color="000000"/>
            </w:tcBorders>
          </w:tcPr>
          <w:p w14:paraId="24D6176D" w14:textId="77777777" w:rsidR="00245300" w:rsidRPr="00EC20A0" w:rsidRDefault="00F17249">
            <w:pPr>
              <w:pStyle w:val="TableParagraph"/>
              <w:tabs>
                <w:tab w:val="left" w:pos="1568"/>
              </w:tabs>
              <w:spacing w:before="25"/>
              <w:ind w:left="1568" w:right="181" w:hanging="450"/>
            </w:pPr>
            <w:r w:rsidRPr="00EC20A0">
              <w:rPr>
                <w:spacing w:val="-6"/>
              </w:rPr>
              <w:t>c)</w:t>
            </w:r>
            <w:r w:rsidRPr="00EC20A0">
              <w:tab/>
              <w:t>Determine whether management reviews the current FASAB, OMB, Treasury, and other guidance for reporting intragovernmental activity and</w:t>
            </w:r>
            <w:r w:rsidRPr="00EC20A0">
              <w:rPr>
                <w:spacing w:val="-6"/>
              </w:rPr>
              <w:t xml:space="preserve"> </w:t>
            </w:r>
            <w:r w:rsidRPr="00EC20A0">
              <w:t>balances</w:t>
            </w:r>
            <w:r w:rsidRPr="00EC20A0">
              <w:rPr>
                <w:spacing w:val="-6"/>
              </w:rPr>
              <w:t xml:space="preserve"> </w:t>
            </w:r>
            <w:r w:rsidRPr="00EC20A0">
              <w:t>and</w:t>
            </w:r>
            <w:r w:rsidRPr="00EC20A0">
              <w:rPr>
                <w:spacing w:val="-6"/>
              </w:rPr>
              <w:t xml:space="preserve"> </w:t>
            </w:r>
            <w:r w:rsidRPr="00EC20A0">
              <w:t>updates</w:t>
            </w:r>
            <w:r w:rsidRPr="00EC20A0">
              <w:rPr>
                <w:spacing w:val="-6"/>
              </w:rPr>
              <w:t xml:space="preserve"> </w:t>
            </w:r>
            <w:r w:rsidRPr="00EC20A0">
              <w:t>the</w:t>
            </w:r>
            <w:r w:rsidRPr="00EC20A0">
              <w:rPr>
                <w:spacing w:val="-6"/>
              </w:rPr>
              <w:t xml:space="preserve"> </w:t>
            </w:r>
            <w:r w:rsidRPr="00EC20A0">
              <w:t>entity’s</w:t>
            </w:r>
            <w:r w:rsidRPr="00EC20A0">
              <w:rPr>
                <w:spacing w:val="-6"/>
              </w:rPr>
              <w:t xml:space="preserve"> </w:t>
            </w:r>
            <w:r w:rsidRPr="00EC20A0">
              <w:t>policies</w:t>
            </w:r>
            <w:r w:rsidRPr="00EC20A0">
              <w:rPr>
                <w:spacing w:val="-6"/>
              </w:rPr>
              <w:t xml:space="preserve"> </w:t>
            </w:r>
            <w:r w:rsidRPr="00EC20A0">
              <w:t xml:space="preserve">and </w:t>
            </w:r>
            <w:r w:rsidRPr="00EC20A0">
              <w:rPr>
                <w:spacing w:val="-2"/>
              </w:rPr>
              <w:t>procedures.</w:t>
            </w:r>
          </w:p>
        </w:tc>
        <w:tc>
          <w:tcPr>
            <w:tcW w:w="1144" w:type="dxa"/>
            <w:tcBorders>
              <w:left w:val="single" w:sz="4" w:space="0" w:color="000000"/>
              <w:bottom w:val="single" w:sz="4" w:space="0" w:color="000000"/>
              <w:right w:val="single" w:sz="4" w:space="0" w:color="000000"/>
            </w:tcBorders>
          </w:tcPr>
          <w:p w14:paraId="24D6176E"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76F" w14:textId="77777777" w:rsidR="00245300" w:rsidRPr="00EC20A0" w:rsidRDefault="00245300">
            <w:pPr>
              <w:pStyle w:val="TableParagraph"/>
              <w:rPr>
                <w:sz w:val="20"/>
              </w:rPr>
            </w:pPr>
          </w:p>
        </w:tc>
      </w:tr>
      <w:tr w:rsidR="00245300" w:rsidRPr="00EC20A0" w14:paraId="24D61774" w14:textId="77777777">
        <w:trPr>
          <w:trHeight w:val="1726"/>
        </w:trPr>
        <w:tc>
          <w:tcPr>
            <w:tcW w:w="6696" w:type="dxa"/>
            <w:tcBorders>
              <w:top w:val="single" w:sz="4" w:space="0" w:color="000000"/>
              <w:bottom w:val="single" w:sz="4" w:space="0" w:color="000000"/>
              <w:right w:val="single" w:sz="4" w:space="0" w:color="000000"/>
            </w:tcBorders>
          </w:tcPr>
          <w:p w14:paraId="24D61771" w14:textId="77777777" w:rsidR="00245300" w:rsidRPr="00EC20A0" w:rsidRDefault="00F17249">
            <w:pPr>
              <w:pStyle w:val="TableParagraph"/>
              <w:tabs>
                <w:tab w:val="left" w:pos="1568"/>
              </w:tabs>
              <w:spacing w:before="60"/>
              <w:ind w:left="1568" w:right="219" w:hanging="450"/>
            </w:pPr>
            <w:r w:rsidRPr="00EC20A0">
              <w:rPr>
                <w:spacing w:val="-6"/>
              </w:rPr>
              <w:t>d)</w:t>
            </w:r>
            <w:r w:rsidRPr="00EC20A0">
              <w:tab/>
            </w:r>
            <w:r w:rsidRPr="00EC20A0">
              <w:t>Determine whether the entity has designed and implemented</w:t>
            </w:r>
            <w:r w:rsidRPr="00EC20A0">
              <w:rPr>
                <w:spacing w:val="-9"/>
              </w:rPr>
              <w:t xml:space="preserve"> </w:t>
            </w:r>
            <w:r w:rsidRPr="00EC20A0">
              <w:t>effective</w:t>
            </w:r>
            <w:r w:rsidRPr="00EC20A0">
              <w:rPr>
                <w:spacing w:val="-10"/>
              </w:rPr>
              <w:t xml:space="preserve"> </w:t>
            </w:r>
            <w:r w:rsidRPr="00EC20A0">
              <w:t>information</w:t>
            </w:r>
            <w:r w:rsidRPr="00EC20A0">
              <w:rPr>
                <w:spacing w:val="-9"/>
              </w:rPr>
              <w:t xml:space="preserve"> </w:t>
            </w:r>
            <w:r w:rsidRPr="00EC20A0">
              <w:t>system</w:t>
            </w:r>
            <w:r w:rsidRPr="00EC20A0">
              <w:rPr>
                <w:spacing w:val="-10"/>
              </w:rPr>
              <w:t xml:space="preserve"> </w:t>
            </w:r>
            <w:r w:rsidRPr="00EC20A0">
              <w:t>controls over reporting processes such as to reasonably assure that only appropriate personnel have access to financial reporting systems including GTAS and have appropriate roles assigned.</w:t>
            </w:r>
          </w:p>
        </w:tc>
        <w:tc>
          <w:tcPr>
            <w:tcW w:w="1144" w:type="dxa"/>
            <w:tcBorders>
              <w:top w:val="single" w:sz="4" w:space="0" w:color="000000"/>
              <w:left w:val="single" w:sz="4" w:space="0" w:color="000000"/>
              <w:bottom w:val="single" w:sz="4" w:space="0" w:color="000000"/>
              <w:right w:val="single" w:sz="4" w:space="0" w:color="000000"/>
            </w:tcBorders>
          </w:tcPr>
          <w:p w14:paraId="24D61772"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73" w14:textId="77777777" w:rsidR="00245300" w:rsidRPr="00EC20A0" w:rsidRDefault="00245300">
            <w:pPr>
              <w:pStyle w:val="TableParagraph"/>
              <w:rPr>
                <w:sz w:val="20"/>
              </w:rPr>
            </w:pPr>
          </w:p>
        </w:tc>
      </w:tr>
      <w:tr w:rsidR="00245300" w:rsidRPr="00EC20A0" w14:paraId="24D6177B" w14:textId="77777777">
        <w:trPr>
          <w:trHeight w:val="2397"/>
        </w:trPr>
        <w:tc>
          <w:tcPr>
            <w:tcW w:w="6696" w:type="dxa"/>
            <w:tcBorders>
              <w:top w:val="single" w:sz="4" w:space="0" w:color="000000"/>
              <w:bottom w:val="single" w:sz="4" w:space="0" w:color="000000"/>
              <w:right w:val="single" w:sz="4" w:space="0" w:color="000000"/>
            </w:tcBorders>
          </w:tcPr>
          <w:p w14:paraId="24D61775" w14:textId="77777777" w:rsidR="00245300" w:rsidRPr="00EC20A0" w:rsidRDefault="00F17249">
            <w:pPr>
              <w:pStyle w:val="TableParagraph"/>
              <w:numPr>
                <w:ilvl w:val="0"/>
                <w:numId w:val="109"/>
              </w:numPr>
              <w:tabs>
                <w:tab w:val="left" w:pos="1568"/>
              </w:tabs>
              <w:spacing w:before="60"/>
              <w:ind w:right="279"/>
            </w:pPr>
            <w:r w:rsidRPr="00EC20A0">
              <w:t>Determine how the entity eliminates intra-entity activity</w:t>
            </w:r>
            <w:r w:rsidRPr="00EC20A0">
              <w:rPr>
                <w:spacing w:val="-8"/>
              </w:rPr>
              <w:t xml:space="preserve"> </w:t>
            </w:r>
            <w:r w:rsidRPr="00EC20A0">
              <w:t>from</w:t>
            </w:r>
            <w:r w:rsidRPr="00EC20A0">
              <w:rPr>
                <w:spacing w:val="-8"/>
              </w:rPr>
              <w:t xml:space="preserve"> </w:t>
            </w:r>
            <w:r w:rsidRPr="00EC20A0">
              <w:t>its</w:t>
            </w:r>
            <w:r w:rsidRPr="00EC20A0">
              <w:rPr>
                <w:spacing w:val="-8"/>
              </w:rPr>
              <w:t xml:space="preserve"> </w:t>
            </w:r>
            <w:r w:rsidRPr="00EC20A0">
              <w:t>consolidated</w:t>
            </w:r>
            <w:r w:rsidRPr="00EC20A0">
              <w:rPr>
                <w:spacing w:val="-8"/>
              </w:rPr>
              <w:t xml:space="preserve"> </w:t>
            </w:r>
            <w:r w:rsidRPr="00EC20A0">
              <w:t>financial</w:t>
            </w:r>
            <w:r w:rsidRPr="00EC20A0">
              <w:rPr>
                <w:spacing w:val="-8"/>
              </w:rPr>
              <w:t xml:space="preserve"> </w:t>
            </w:r>
            <w:r w:rsidRPr="00EC20A0">
              <w:t>statements.</w:t>
            </w:r>
          </w:p>
          <w:p w14:paraId="24D61776" w14:textId="77777777" w:rsidR="00245300" w:rsidRPr="00EC20A0" w:rsidRDefault="00F17249">
            <w:pPr>
              <w:pStyle w:val="TableParagraph"/>
              <w:ind w:left="1568"/>
            </w:pPr>
            <w:r w:rsidRPr="00EC20A0">
              <w:t>Also,</w:t>
            </w:r>
            <w:r w:rsidRPr="00EC20A0">
              <w:rPr>
                <w:spacing w:val="-10"/>
              </w:rPr>
              <w:t xml:space="preserve"> </w:t>
            </w:r>
            <w:r w:rsidRPr="00EC20A0">
              <w:t>determine</w:t>
            </w:r>
            <w:r w:rsidRPr="00EC20A0">
              <w:rPr>
                <w:spacing w:val="-9"/>
              </w:rPr>
              <w:t xml:space="preserve"> </w:t>
            </w:r>
            <w:r w:rsidRPr="00EC20A0">
              <w:rPr>
                <w:spacing w:val="-2"/>
              </w:rPr>
              <w:t>whether</w:t>
            </w:r>
          </w:p>
          <w:p w14:paraId="24D61777" w14:textId="77777777" w:rsidR="00245300" w:rsidRPr="00EC20A0" w:rsidRDefault="00F17249">
            <w:pPr>
              <w:pStyle w:val="TableParagraph"/>
              <w:numPr>
                <w:ilvl w:val="1"/>
                <w:numId w:val="109"/>
              </w:numPr>
              <w:tabs>
                <w:tab w:val="left" w:pos="2012"/>
              </w:tabs>
              <w:spacing w:before="60"/>
              <w:ind w:right="152"/>
            </w:pPr>
            <w:r w:rsidRPr="00EC20A0">
              <w:t>the</w:t>
            </w:r>
            <w:r w:rsidRPr="00EC20A0">
              <w:rPr>
                <w:spacing w:val="-6"/>
              </w:rPr>
              <w:t xml:space="preserve"> </w:t>
            </w:r>
            <w:r w:rsidRPr="00EC20A0">
              <w:t>entity</w:t>
            </w:r>
            <w:r w:rsidRPr="00EC20A0">
              <w:rPr>
                <w:spacing w:val="-6"/>
              </w:rPr>
              <w:t xml:space="preserve"> </w:t>
            </w:r>
            <w:r w:rsidRPr="00EC20A0">
              <w:t>generates</w:t>
            </w:r>
            <w:r w:rsidRPr="00EC20A0">
              <w:rPr>
                <w:spacing w:val="-6"/>
              </w:rPr>
              <w:t xml:space="preserve"> </w:t>
            </w:r>
            <w:r w:rsidRPr="00EC20A0">
              <w:t>year-end</w:t>
            </w:r>
            <w:r w:rsidRPr="00EC20A0">
              <w:rPr>
                <w:spacing w:val="-6"/>
              </w:rPr>
              <w:t xml:space="preserve"> </w:t>
            </w:r>
            <w:r w:rsidRPr="00EC20A0">
              <w:t>reports</w:t>
            </w:r>
            <w:r w:rsidRPr="00EC20A0">
              <w:rPr>
                <w:spacing w:val="-6"/>
              </w:rPr>
              <w:t xml:space="preserve"> </w:t>
            </w:r>
            <w:r w:rsidRPr="00EC20A0">
              <w:t>of</w:t>
            </w:r>
            <w:r w:rsidRPr="00EC20A0">
              <w:rPr>
                <w:spacing w:val="-6"/>
              </w:rPr>
              <w:t xml:space="preserve"> </w:t>
            </w:r>
            <w:r w:rsidRPr="00EC20A0">
              <w:t>all</w:t>
            </w:r>
            <w:r w:rsidRPr="00EC20A0">
              <w:rPr>
                <w:spacing w:val="-6"/>
              </w:rPr>
              <w:t xml:space="preserve"> </w:t>
            </w:r>
            <w:r w:rsidRPr="00EC20A0">
              <w:t xml:space="preserve">the intra-entity intragovernmental amounts to be </w:t>
            </w:r>
            <w:r w:rsidRPr="00EC20A0">
              <w:t>eliminated from the entity’s financial statements, and</w:t>
            </w:r>
          </w:p>
          <w:p w14:paraId="24D61778" w14:textId="77777777" w:rsidR="00245300" w:rsidRPr="00EC20A0" w:rsidRDefault="00F17249">
            <w:pPr>
              <w:pStyle w:val="TableParagraph"/>
              <w:numPr>
                <w:ilvl w:val="1"/>
                <w:numId w:val="109"/>
              </w:numPr>
              <w:tabs>
                <w:tab w:val="left" w:pos="2012"/>
              </w:tabs>
              <w:spacing w:line="254" w:lineRule="exact"/>
              <w:ind w:right="802" w:hanging="429"/>
            </w:pPr>
            <w:r w:rsidRPr="00EC20A0">
              <w:t>management</w:t>
            </w:r>
            <w:r w:rsidRPr="00EC20A0">
              <w:rPr>
                <w:spacing w:val="-10"/>
              </w:rPr>
              <w:t xml:space="preserve"> </w:t>
            </w:r>
            <w:r w:rsidRPr="00EC20A0">
              <w:t>reviews</w:t>
            </w:r>
            <w:r w:rsidRPr="00EC20A0">
              <w:rPr>
                <w:spacing w:val="-10"/>
              </w:rPr>
              <w:t xml:space="preserve"> </w:t>
            </w:r>
            <w:r w:rsidRPr="00EC20A0">
              <w:t>and</w:t>
            </w:r>
            <w:r w:rsidRPr="00EC20A0">
              <w:rPr>
                <w:spacing w:val="-10"/>
              </w:rPr>
              <w:t xml:space="preserve"> </w:t>
            </w:r>
            <w:r w:rsidRPr="00EC20A0">
              <w:t>approves</w:t>
            </w:r>
            <w:r w:rsidRPr="00EC20A0">
              <w:rPr>
                <w:spacing w:val="-10"/>
              </w:rPr>
              <w:t xml:space="preserve"> </w:t>
            </w:r>
            <w:r w:rsidRPr="00EC20A0">
              <w:t>the results of the procedures.</w:t>
            </w:r>
          </w:p>
        </w:tc>
        <w:tc>
          <w:tcPr>
            <w:tcW w:w="1144" w:type="dxa"/>
            <w:tcBorders>
              <w:top w:val="single" w:sz="4" w:space="0" w:color="000000"/>
              <w:left w:val="single" w:sz="4" w:space="0" w:color="000000"/>
              <w:bottom w:val="single" w:sz="4" w:space="0" w:color="000000"/>
              <w:right w:val="single" w:sz="4" w:space="0" w:color="000000"/>
            </w:tcBorders>
          </w:tcPr>
          <w:p w14:paraId="24D61779"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7A" w14:textId="77777777" w:rsidR="00245300" w:rsidRPr="00EC20A0" w:rsidRDefault="00245300">
            <w:pPr>
              <w:pStyle w:val="TableParagraph"/>
              <w:rPr>
                <w:sz w:val="20"/>
              </w:rPr>
            </w:pPr>
          </w:p>
        </w:tc>
      </w:tr>
      <w:tr w:rsidR="00245300" w:rsidRPr="00EC20A0" w14:paraId="24D6177F" w14:textId="77777777">
        <w:trPr>
          <w:trHeight w:val="2142"/>
        </w:trPr>
        <w:tc>
          <w:tcPr>
            <w:tcW w:w="6696" w:type="dxa"/>
            <w:tcBorders>
              <w:top w:val="single" w:sz="4" w:space="0" w:color="000000"/>
              <w:bottom w:val="single" w:sz="4" w:space="0" w:color="000000"/>
              <w:right w:val="single" w:sz="4" w:space="0" w:color="000000"/>
            </w:tcBorders>
          </w:tcPr>
          <w:p w14:paraId="24D6177C" w14:textId="77777777" w:rsidR="00245300" w:rsidRPr="00EC20A0" w:rsidRDefault="00F17249">
            <w:pPr>
              <w:pStyle w:val="TableParagraph"/>
              <w:tabs>
                <w:tab w:val="left" w:pos="1568"/>
              </w:tabs>
              <w:spacing w:before="58"/>
              <w:ind w:left="1568" w:right="231" w:hanging="450"/>
            </w:pPr>
            <w:r w:rsidRPr="00EC20A0">
              <w:rPr>
                <w:spacing w:val="-6"/>
              </w:rPr>
              <w:t>f)</w:t>
            </w:r>
            <w:r w:rsidRPr="00EC20A0">
              <w:tab/>
              <w:t xml:space="preserve">Determine whether procedures, such as reconciliations (matching the data submitted to Treasury to the entity’s general ledger </w:t>
            </w:r>
            <w:r w:rsidRPr="00EC20A0">
              <w:t>and/or subsidiary ledgers), are performed to ensure that the</w:t>
            </w:r>
            <w:r w:rsidRPr="00EC20A0">
              <w:rPr>
                <w:spacing w:val="-7"/>
              </w:rPr>
              <w:t xml:space="preserve"> </w:t>
            </w:r>
            <w:r w:rsidRPr="00EC20A0">
              <w:t>intragovernmental</w:t>
            </w:r>
            <w:r w:rsidRPr="00EC20A0">
              <w:rPr>
                <w:spacing w:val="-7"/>
              </w:rPr>
              <w:t xml:space="preserve"> </w:t>
            </w:r>
            <w:r w:rsidRPr="00EC20A0">
              <w:t>data</w:t>
            </w:r>
            <w:r w:rsidRPr="00EC20A0">
              <w:rPr>
                <w:spacing w:val="-7"/>
              </w:rPr>
              <w:t xml:space="preserve"> </w:t>
            </w:r>
            <w:r w:rsidRPr="00EC20A0">
              <w:t>included</w:t>
            </w:r>
            <w:r w:rsidRPr="00EC20A0">
              <w:rPr>
                <w:spacing w:val="-8"/>
              </w:rPr>
              <w:t xml:space="preserve"> </w:t>
            </w:r>
            <w:r w:rsidRPr="00EC20A0">
              <w:t>in</w:t>
            </w:r>
            <w:r w:rsidRPr="00EC20A0">
              <w:rPr>
                <w:spacing w:val="-7"/>
              </w:rPr>
              <w:t xml:space="preserve"> </w:t>
            </w:r>
            <w:r w:rsidRPr="00EC20A0">
              <w:t>the</w:t>
            </w:r>
            <w:r w:rsidRPr="00EC20A0">
              <w:rPr>
                <w:spacing w:val="-7"/>
              </w:rPr>
              <w:t xml:space="preserve"> </w:t>
            </w:r>
            <w:r w:rsidRPr="00EC20A0">
              <w:t xml:space="preserve">agency financial report or performance and accountability report and sent to Treasury and are accurate and </w:t>
            </w:r>
            <w:r w:rsidRPr="00EC20A0">
              <w:rPr>
                <w:spacing w:val="-2"/>
              </w:rPr>
              <w:t>complete.</w:t>
            </w:r>
          </w:p>
        </w:tc>
        <w:tc>
          <w:tcPr>
            <w:tcW w:w="1144" w:type="dxa"/>
            <w:tcBorders>
              <w:top w:val="single" w:sz="4" w:space="0" w:color="000000"/>
              <w:left w:val="single" w:sz="4" w:space="0" w:color="000000"/>
              <w:bottom w:val="single" w:sz="4" w:space="0" w:color="000000"/>
              <w:right w:val="single" w:sz="4" w:space="0" w:color="000000"/>
            </w:tcBorders>
          </w:tcPr>
          <w:p w14:paraId="24D6177D"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7E" w14:textId="77777777" w:rsidR="00245300" w:rsidRPr="00EC20A0" w:rsidRDefault="00245300">
            <w:pPr>
              <w:pStyle w:val="TableParagraph"/>
              <w:rPr>
                <w:sz w:val="20"/>
              </w:rPr>
            </w:pPr>
          </w:p>
        </w:tc>
      </w:tr>
      <w:tr w:rsidR="00245300" w:rsidRPr="00EC20A0" w14:paraId="24D61784" w14:textId="77777777">
        <w:trPr>
          <w:trHeight w:val="1637"/>
        </w:trPr>
        <w:tc>
          <w:tcPr>
            <w:tcW w:w="6696" w:type="dxa"/>
            <w:tcBorders>
              <w:top w:val="single" w:sz="4" w:space="0" w:color="000000"/>
              <w:bottom w:val="single" w:sz="4" w:space="0" w:color="000000"/>
              <w:right w:val="single" w:sz="4" w:space="0" w:color="000000"/>
            </w:tcBorders>
          </w:tcPr>
          <w:p w14:paraId="24D61780" w14:textId="77777777" w:rsidR="00245300" w:rsidRPr="00EC20A0" w:rsidRDefault="00F17249">
            <w:pPr>
              <w:pStyle w:val="TableParagraph"/>
              <w:tabs>
                <w:tab w:val="left" w:pos="1568"/>
              </w:tabs>
              <w:spacing w:before="60"/>
              <w:ind w:left="1568" w:right="134" w:hanging="450"/>
            </w:pPr>
            <w:r w:rsidRPr="00EC20A0">
              <w:rPr>
                <w:spacing w:val="-6"/>
              </w:rPr>
              <w:t>g)</w:t>
            </w:r>
            <w:r w:rsidRPr="00EC20A0">
              <w:tab/>
              <w:t xml:space="preserve">Determine the entity’s </w:t>
            </w:r>
            <w:r w:rsidRPr="00EC20A0">
              <w:t>processes for reviewing its reclassified financial statement information from GTAS and preparing the note linking line items on the</w:t>
            </w:r>
            <w:r w:rsidRPr="00EC20A0">
              <w:rPr>
                <w:spacing w:val="-5"/>
              </w:rPr>
              <w:t xml:space="preserve"> </w:t>
            </w:r>
            <w:r w:rsidRPr="00EC20A0">
              <w:t>entity’s</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to</w:t>
            </w:r>
            <w:r w:rsidRPr="00EC20A0">
              <w:rPr>
                <w:spacing w:val="-5"/>
              </w:rPr>
              <w:t xml:space="preserve"> </w:t>
            </w:r>
            <w:r w:rsidRPr="00EC20A0">
              <w:t>line</w:t>
            </w:r>
            <w:r w:rsidRPr="00EC20A0">
              <w:rPr>
                <w:spacing w:val="-5"/>
              </w:rPr>
              <w:t xml:space="preserve"> </w:t>
            </w:r>
            <w:r w:rsidRPr="00EC20A0">
              <w:t>items</w:t>
            </w:r>
            <w:r w:rsidRPr="00EC20A0">
              <w:rPr>
                <w:spacing w:val="-5"/>
              </w:rPr>
              <w:t xml:space="preserve"> </w:t>
            </w:r>
            <w:r w:rsidRPr="00EC20A0">
              <w:t>on</w:t>
            </w:r>
            <w:r w:rsidRPr="00EC20A0">
              <w:rPr>
                <w:spacing w:val="-5"/>
              </w:rPr>
              <w:t xml:space="preserve"> </w:t>
            </w:r>
            <w:r w:rsidRPr="00EC20A0">
              <w:t>the</w:t>
            </w:r>
          </w:p>
          <w:p w14:paraId="24D61781" w14:textId="77777777" w:rsidR="00245300" w:rsidRPr="00EC20A0" w:rsidRDefault="00F17249">
            <w:pPr>
              <w:pStyle w:val="TableParagraph"/>
              <w:ind w:left="1568" w:right="134"/>
            </w:pPr>
            <w:r w:rsidRPr="00EC20A0">
              <w:t>U.S.</w:t>
            </w:r>
            <w:r w:rsidRPr="00EC20A0">
              <w:rPr>
                <w:spacing w:val="-13"/>
              </w:rPr>
              <w:t xml:space="preserve"> </w:t>
            </w:r>
            <w:r w:rsidRPr="00EC20A0">
              <w:t>government’s</w:t>
            </w:r>
            <w:r w:rsidRPr="00EC20A0">
              <w:rPr>
                <w:spacing w:val="-13"/>
              </w:rPr>
              <w:t xml:space="preserve"> </w:t>
            </w:r>
            <w:r w:rsidRPr="00EC20A0">
              <w:t>consolidated</w:t>
            </w:r>
            <w:r w:rsidRPr="00EC20A0">
              <w:rPr>
                <w:spacing w:val="-13"/>
              </w:rPr>
              <w:t xml:space="preserve"> </w:t>
            </w:r>
            <w:r w:rsidRPr="00EC20A0">
              <w:t xml:space="preserve">financial </w:t>
            </w:r>
            <w:r w:rsidRPr="00EC20A0">
              <w:rPr>
                <w:spacing w:val="-2"/>
              </w:rPr>
              <w:t>statements.</w:t>
            </w:r>
          </w:p>
        </w:tc>
        <w:tc>
          <w:tcPr>
            <w:tcW w:w="1144" w:type="dxa"/>
            <w:tcBorders>
              <w:top w:val="single" w:sz="4" w:space="0" w:color="000000"/>
              <w:left w:val="single" w:sz="4" w:space="0" w:color="000000"/>
              <w:bottom w:val="single" w:sz="4" w:space="0" w:color="000000"/>
              <w:right w:val="single" w:sz="4" w:space="0" w:color="000000"/>
            </w:tcBorders>
          </w:tcPr>
          <w:p w14:paraId="24D61782"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83" w14:textId="77777777" w:rsidR="00245300" w:rsidRPr="00EC20A0" w:rsidRDefault="00245300">
            <w:pPr>
              <w:pStyle w:val="TableParagraph"/>
              <w:rPr>
                <w:sz w:val="20"/>
              </w:rPr>
            </w:pPr>
          </w:p>
        </w:tc>
      </w:tr>
      <w:tr w:rsidR="00245300" w:rsidRPr="00EC20A0" w14:paraId="24D61788" w14:textId="77777777">
        <w:trPr>
          <w:trHeight w:val="1131"/>
        </w:trPr>
        <w:tc>
          <w:tcPr>
            <w:tcW w:w="6696" w:type="dxa"/>
            <w:tcBorders>
              <w:top w:val="single" w:sz="4" w:space="0" w:color="000000"/>
              <w:bottom w:val="single" w:sz="4" w:space="0" w:color="000000"/>
              <w:right w:val="single" w:sz="4" w:space="0" w:color="000000"/>
            </w:tcBorders>
          </w:tcPr>
          <w:p w14:paraId="24D61785" w14:textId="77777777" w:rsidR="00245300" w:rsidRPr="00EC20A0" w:rsidRDefault="00F17249">
            <w:pPr>
              <w:pStyle w:val="TableParagraph"/>
              <w:tabs>
                <w:tab w:val="left" w:pos="1568"/>
              </w:tabs>
              <w:spacing w:before="60"/>
              <w:ind w:left="1568" w:right="121" w:hanging="450"/>
            </w:pPr>
            <w:r w:rsidRPr="00EC20A0">
              <w:rPr>
                <w:spacing w:val="-6"/>
              </w:rPr>
              <w:t>h)</w:t>
            </w:r>
            <w:r w:rsidRPr="00EC20A0">
              <w:tab/>
            </w:r>
            <w:r w:rsidRPr="00EC20A0">
              <w:t>Determine whether management reviews and approves the results of the procedures done to assess</w:t>
            </w:r>
            <w:r w:rsidRPr="00EC20A0">
              <w:rPr>
                <w:spacing w:val="-5"/>
              </w:rPr>
              <w:t xml:space="preserve"> </w:t>
            </w:r>
            <w:r w:rsidRPr="00EC20A0">
              <w:t>the</w:t>
            </w:r>
            <w:r w:rsidRPr="00EC20A0">
              <w:rPr>
                <w:spacing w:val="-4"/>
              </w:rPr>
              <w:t xml:space="preserve"> </w:t>
            </w:r>
            <w:r w:rsidRPr="00EC20A0">
              <w:t>reports</w:t>
            </w:r>
            <w:r w:rsidRPr="00EC20A0">
              <w:rPr>
                <w:spacing w:val="-4"/>
              </w:rPr>
              <w:t xml:space="preserve"> </w:t>
            </w:r>
            <w:r w:rsidRPr="00EC20A0">
              <w:t>in</w:t>
            </w:r>
            <w:r w:rsidRPr="00EC20A0">
              <w:rPr>
                <w:spacing w:val="-4"/>
              </w:rPr>
              <w:t xml:space="preserve"> </w:t>
            </w:r>
            <w:r w:rsidRPr="00EC20A0">
              <w:t>“f”</w:t>
            </w:r>
            <w:r w:rsidRPr="00EC20A0">
              <w:rPr>
                <w:spacing w:val="-6"/>
              </w:rPr>
              <w:t xml:space="preserve"> </w:t>
            </w:r>
            <w:r w:rsidRPr="00EC20A0">
              <w:t>and</w:t>
            </w:r>
            <w:r w:rsidRPr="00EC20A0">
              <w:rPr>
                <w:spacing w:val="-4"/>
              </w:rPr>
              <w:t xml:space="preserve"> </w:t>
            </w:r>
            <w:r w:rsidRPr="00EC20A0">
              <w:t>“g”</w:t>
            </w:r>
            <w:r w:rsidRPr="00EC20A0">
              <w:rPr>
                <w:spacing w:val="-4"/>
              </w:rPr>
              <w:t xml:space="preserve"> </w:t>
            </w:r>
            <w:r w:rsidRPr="00EC20A0">
              <w:t>above</w:t>
            </w:r>
            <w:r w:rsidRPr="00EC20A0">
              <w:rPr>
                <w:spacing w:val="-4"/>
              </w:rPr>
              <w:t xml:space="preserve"> </w:t>
            </w:r>
            <w:r w:rsidRPr="00EC20A0">
              <w:t>for</w:t>
            </w:r>
            <w:r w:rsidRPr="00EC20A0">
              <w:rPr>
                <w:spacing w:val="-4"/>
              </w:rPr>
              <w:t xml:space="preserve"> </w:t>
            </w:r>
            <w:r w:rsidRPr="00EC20A0">
              <w:t>accuracy and completeness.</w:t>
            </w:r>
          </w:p>
        </w:tc>
        <w:tc>
          <w:tcPr>
            <w:tcW w:w="1144" w:type="dxa"/>
            <w:tcBorders>
              <w:top w:val="single" w:sz="4" w:space="0" w:color="000000"/>
              <w:left w:val="single" w:sz="4" w:space="0" w:color="000000"/>
              <w:bottom w:val="single" w:sz="4" w:space="0" w:color="000000"/>
              <w:right w:val="single" w:sz="4" w:space="0" w:color="000000"/>
            </w:tcBorders>
          </w:tcPr>
          <w:p w14:paraId="24D61786"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87" w14:textId="77777777" w:rsidR="00245300" w:rsidRPr="00EC20A0" w:rsidRDefault="00245300">
            <w:pPr>
              <w:pStyle w:val="TableParagraph"/>
              <w:rPr>
                <w:sz w:val="20"/>
              </w:rPr>
            </w:pPr>
          </w:p>
        </w:tc>
      </w:tr>
      <w:tr w:rsidR="00245300" w:rsidRPr="00EC20A0" w14:paraId="24D6178E" w14:textId="77777777">
        <w:trPr>
          <w:trHeight w:val="1952"/>
        </w:trPr>
        <w:tc>
          <w:tcPr>
            <w:tcW w:w="6696" w:type="dxa"/>
            <w:tcBorders>
              <w:top w:val="single" w:sz="4" w:space="0" w:color="000000"/>
              <w:bottom w:val="single" w:sz="4" w:space="0" w:color="000000"/>
              <w:right w:val="single" w:sz="4" w:space="0" w:color="000000"/>
            </w:tcBorders>
          </w:tcPr>
          <w:p w14:paraId="24D61789" w14:textId="77777777" w:rsidR="00245300" w:rsidRPr="00EC20A0" w:rsidRDefault="00F17249">
            <w:pPr>
              <w:pStyle w:val="TableParagraph"/>
              <w:tabs>
                <w:tab w:val="left" w:pos="1568"/>
              </w:tabs>
              <w:spacing w:before="61"/>
              <w:ind w:left="1568" w:right="536" w:hanging="396"/>
            </w:pPr>
            <w:r w:rsidRPr="00EC20A0">
              <w:rPr>
                <w:spacing w:val="-6"/>
              </w:rPr>
              <w:t>i)</w:t>
            </w:r>
            <w:r w:rsidRPr="00EC20A0">
              <w:tab/>
              <w:t>Determine whether the entity has developed processes</w:t>
            </w:r>
            <w:r w:rsidRPr="00EC20A0">
              <w:rPr>
                <w:spacing w:val="-8"/>
              </w:rPr>
              <w:t xml:space="preserve"> </w:t>
            </w:r>
            <w:r w:rsidRPr="00EC20A0">
              <w:t>for</w:t>
            </w:r>
            <w:r w:rsidRPr="00EC20A0">
              <w:rPr>
                <w:spacing w:val="-7"/>
              </w:rPr>
              <w:t xml:space="preserve"> </w:t>
            </w:r>
            <w:r w:rsidRPr="00EC20A0">
              <w:t>resolving</w:t>
            </w:r>
            <w:r w:rsidRPr="00EC20A0">
              <w:rPr>
                <w:spacing w:val="-8"/>
              </w:rPr>
              <w:t xml:space="preserve"> </w:t>
            </w:r>
            <w:r w:rsidRPr="00EC20A0">
              <w:t>differences</w:t>
            </w:r>
            <w:r w:rsidRPr="00EC20A0">
              <w:rPr>
                <w:spacing w:val="-8"/>
              </w:rPr>
              <w:t xml:space="preserve"> </w:t>
            </w:r>
            <w:r w:rsidRPr="00EC20A0">
              <w:t>in</w:t>
            </w:r>
            <w:r w:rsidRPr="00EC20A0">
              <w:rPr>
                <w:spacing w:val="-7"/>
              </w:rPr>
              <w:t xml:space="preserve"> </w:t>
            </w:r>
            <w:r w:rsidRPr="00EC20A0">
              <w:t>year-end activity and balances as part of its year-end reporting process.</w:t>
            </w:r>
          </w:p>
          <w:p w14:paraId="24D6178A" w14:textId="77777777" w:rsidR="00245300" w:rsidRPr="00EC20A0" w:rsidRDefault="00F17249">
            <w:pPr>
              <w:pStyle w:val="TableParagraph"/>
              <w:spacing w:before="119"/>
              <w:ind w:left="1568"/>
            </w:pPr>
            <w:r w:rsidRPr="00EC20A0">
              <w:t>Note:</w:t>
            </w:r>
            <w:r w:rsidRPr="00EC20A0">
              <w:rPr>
                <w:spacing w:val="-5"/>
              </w:rPr>
              <w:t xml:space="preserve"> </w:t>
            </w:r>
            <w:r w:rsidRPr="00EC20A0">
              <w:t>The</w:t>
            </w:r>
            <w:r w:rsidRPr="00EC20A0">
              <w:rPr>
                <w:spacing w:val="-5"/>
              </w:rPr>
              <w:t xml:space="preserve"> </w:t>
            </w:r>
            <w:r w:rsidRPr="00EC20A0">
              <w:t>status</w:t>
            </w:r>
            <w:r w:rsidRPr="00EC20A0">
              <w:rPr>
                <w:spacing w:val="-4"/>
              </w:rPr>
              <w:t xml:space="preserve"> </w:t>
            </w:r>
            <w:r w:rsidRPr="00EC20A0">
              <w:t>of</w:t>
            </w:r>
            <w:r w:rsidRPr="00EC20A0">
              <w:rPr>
                <w:spacing w:val="-5"/>
              </w:rPr>
              <w:t xml:space="preserve"> </w:t>
            </w:r>
            <w:r w:rsidRPr="00EC20A0">
              <w:t>entity</w:t>
            </w:r>
            <w:r w:rsidRPr="00EC20A0">
              <w:rPr>
                <w:spacing w:val="-4"/>
              </w:rPr>
              <w:t xml:space="preserve"> </w:t>
            </w:r>
            <w:r w:rsidRPr="00EC20A0">
              <w:t>efforts</w:t>
            </w:r>
            <w:r w:rsidRPr="00EC20A0">
              <w:rPr>
                <w:spacing w:val="-5"/>
              </w:rPr>
              <w:t xml:space="preserve"> </w:t>
            </w:r>
            <w:r w:rsidRPr="00EC20A0">
              <w:t>for</w:t>
            </w:r>
            <w:r w:rsidRPr="00EC20A0">
              <w:rPr>
                <w:spacing w:val="-6"/>
              </w:rPr>
              <w:t xml:space="preserve"> </w:t>
            </w:r>
            <w:r w:rsidRPr="00EC20A0">
              <w:t>phase</w:t>
            </w:r>
            <w:r w:rsidRPr="00EC20A0">
              <w:rPr>
                <w:spacing w:val="-5"/>
              </w:rPr>
              <w:t xml:space="preserve"> </w:t>
            </w:r>
            <w:r w:rsidRPr="00EC20A0">
              <w:t>ii</w:t>
            </w:r>
            <w:r w:rsidRPr="00EC20A0">
              <w:rPr>
                <w:spacing w:val="-4"/>
              </w:rPr>
              <w:t xml:space="preserve"> </w:t>
            </w:r>
            <w:r w:rsidRPr="00EC20A0">
              <w:rPr>
                <w:spacing w:val="-5"/>
              </w:rPr>
              <w:t>is</w:t>
            </w:r>
          </w:p>
          <w:p w14:paraId="24D6178B" w14:textId="77777777" w:rsidR="00245300" w:rsidRPr="00EC20A0" w:rsidRDefault="00F17249">
            <w:pPr>
              <w:pStyle w:val="TableParagraph"/>
              <w:spacing w:line="252" w:lineRule="exact"/>
              <w:ind w:left="1568"/>
            </w:pPr>
            <w:r w:rsidRPr="00EC20A0">
              <w:t>important to consider as part of the year-end reporting</w:t>
            </w:r>
            <w:r w:rsidRPr="00EC20A0">
              <w:rPr>
                <w:spacing w:val="-8"/>
              </w:rPr>
              <w:t xml:space="preserve"> </w:t>
            </w:r>
            <w:r w:rsidRPr="00EC20A0">
              <w:t>process.</w:t>
            </w:r>
            <w:r w:rsidRPr="00EC20A0">
              <w:rPr>
                <w:spacing w:val="-8"/>
              </w:rPr>
              <w:t xml:space="preserve"> </w:t>
            </w:r>
            <w:r w:rsidRPr="00EC20A0">
              <w:t>Differences</w:t>
            </w:r>
            <w:r w:rsidRPr="00EC20A0">
              <w:rPr>
                <w:spacing w:val="-8"/>
              </w:rPr>
              <w:t xml:space="preserve"> </w:t>
            </w:r>
            <w:r w:rsidRPr="00EC20A0">
              <w:t>in</w:t>
            </w:r>
            <w:r w:rsidRPr="00EC20A0">
              <w:rPr>
                <w:spacing w:val="-8"/>
              </w:rPr>
              <w:t xml:space="preserve"> </w:t>
            </w:r>
            <w:r w:rsidRPr="00EC20A0">
              <w:t>amounts</w:t>
            </w:r>
            <w:r w:rsidRPr="00EC20A0">
              <w:rPr>
                <w:spacing w:val="-8"/>
              </w:rPr>
              <w:t xml:space="preserve"> </w:t>
            </w:r>
            <w:r w:rsidRPr="00EC20A0">
              <w:t>reported</w:t>
            </w:r>
          </w:p>
        </w:tc>
        <w:tc>
          <w:tcPr>
            <w:tcW w:w="1144" w:type="dxa"/>
            <w:tcBorders>
              <w:top w:val="single" w:sz="4" w:space="0" w:color="000000"/>
              <w:left w:val="single" w:sz="4" w:space="0" w:color="000000"/>
              <w:bottom w:val="single" w:sz="4" w:space="0" w:color="000000"/>
              <w:right w:val="single" w:sz="4" w:space="0" w:color="000000"/>
            </w:tcBorders>
          </w:tcPr>
          <w:p w14:paraId="24D6178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8D" w14:textId="77777777" w:rsidR="00245300" w:rsidRPr="00EC20A0" w:rsidRDefault="00245300">
            <w:pPr>
              <w:pStyle w:val="TableParagraph"/>
              <w:rPr>
                <w:sz w:val="20"/>
              </w:rPr>
            </w:pPr>
          </w:p>
        </w:tc>
      </w:tr>
    </w:tbl>
    <w:p w14:paraId="24D6178F"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790"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794" w14:textId="77777777">
        <w:trPr>
          <w:trHeight w:val="625"/>
        </w:trPr>
        <w:tc>
          <w:tcPr>
            <w:tcW w:w="6696" w:type="dxa"/>
            <w:tcBorders>
              <w:right w:val="single" w:sz="4" w:space="0" w:color="000000"/>
            </w:tcBorders>
          </w:tcPr>
          <w:p w14:paraId="24D61791"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792"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793"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799" w14:textId="77777777">
        <w:trPr>
          <w:trHeight w:val="1796"/>
        </w:trPr>
        <w:tc>
          <w:tcPr>
            <w:tcW w:w="6696" w:type="dxa"/>
            <w:tcBorders>
              <w:bottom w:val="single" w:sz="4" w:space="0" w:color="000000"/>
              <w:right w:val="single" w:sz="4" w:space="0" w:color="000000"/>
            </w:tcBorders>
          </w:tcPr>
          <w:p w14:paraId="24D61795" w14:textId="77777777" w:rsidR="00245300" w:rsidRPr="00EC20A0" w:rsidRDefault="00F17249">
            <w:pPr>
              <w:pStyle w:val="TableParagraph"/>
              <w:spacing w:line="219" w:lineRule="exact"/>
              <w:ind w:left="1568"/>
            </w:pPr>
            <w:r w:rsidRPr="00EC20A0">
              <w:t>by</w:t>
            </w:r>
            <w:r w:rsidRPr="00EC20A0">
              <w:rPr>
                <w:spacing w:val="-7"/>
              </w:rPr>
              <w:t xml:space="preserve"> </w:t>
            </w:r>
            <w:r w:rsidRPr="00EC20A0">
              <w:t>trading</w:t>
            </w:r>
            <w:r w:rsidRPr="00EC20A0">
              <w:rPr>
                <w:spacing w:val="-7"/>
              </w:rPr>
              <w:t xml:space="preserve"> </w:t>
            </w:r>
            <w:r w:rsidRPr="00EC20A0">
              <w:t>partners</w:t>
            </w:r>
            <w:r w:rsidRPr="00EC20A0">
              <w:rPr>
                <w:spacing w:val="-7"/>
              </w:rPr>
              <w:t xml:space="preserve"> </w:t>
            </w:r>
            <w:r w:rsidRPr="00EC20A0">
              <w:t>through</w:t>
            </w:r>
            <w:r w:rsidRPr="00EC20A0">
              <w:rPr>
                <w:spacing w:val="-6"/>
              </w:rPr>
              <w:t xml:space="preserve"> </w:t>
            </w:r>
            <w:r w:rsidRPr="00EC20A0">
              <w:t>IPAC,</w:t>
            </w:r>
            <w:r w:rsidRPr="00EC20A0">
              <w:rPr>
                <w:spacing w:val="-6"/>
              </w:rPr>
              <w:t xml:space="preserve"> </w:t>
            </w:r>
            <w:r w:rsidRPr="00EC20A0">
              <w:t>GTAS,</w:t>
            </w:r>
            <w:r w:rsidRPr="00EC20A0">
              <w:rPr>
                <w:spacing w:val="-7"/>
              </w:rPr>
              <w:t xml:space="preserve"> </w:t>
            </w:r>
            <w:r w:rsidRPr="00EC20A0">
              <w:t>or</w:t>
            </w:r>
            <w:r w:rsidRPr="00EC20A0">
              <w:rPr>
                <w:spacing w:val="-6"/>
              </w:rPr>
              <w:t xml:space="preserve"> </w:t>
            </w:r>
            <w:r w:rsidRPr="00EC20A0">
              <w:rPr>
                <w:spacing w:val="-2"/>
              </w:rPr>
              <w:t>other</w:t>
            </w:r>
          </w:p>
          <w:p w14:paraId="24D61796" w14:textId="77777777" w:rsidR="00245300" w:rsidRPr="00EC20A0" w:rsidRDefault="00F17249">
            <w:pPr>
              <w:pStyle w:val="TableParagraph"/>
              <w:ind w:left="1568" w:right="134"/>
            </w:pPr>
            <w:r w:rsidRPr="00EC20A0">
              <w:t xml:space="preserve">system should be resolved by year-end. Information from these systems, including the GTAS raw data file, are available to entities. However, Treasury year-end </w:t>
            </w:r>
            <w:r w:rsidRPr="00EC20A0">
              <w:t>scorecards for significant</w:t>
            </w:r>
            <w:r w:rsidRPr="00EC20A0">
              <w:rPr>
                <w:spacing w:val="-6"/>
              </w:rPr>
              <w:t xml:space="preserve"> </w:t>
            </w:r>
            <w:r w:rsidRPr="00EC20A0">
              <w:t>entities</w:t>
            </w:r>
            <w:r w:rsidRPr="00EC20A0">
              <w:rPr>
                <w:spacing w:val="-6"/>
              </w:rPr>
              <w:t xml:space="preserve"> </w:t>
            </w:r>
            <w:r w:rsidRPr="00EC20A0">
              <w:t>are</w:t>
            </w:r>
            <w:r w:rsidRPr="00EC20A0">
              <w:rPr>
                <w:spacing w:val="-6"/>
              </w:rPr>
              <w:t xml:space="preserve"> </w:t>
            </w:r>
            <w:r w:rsidRPr="00EC20A0">
              <w:t>not</w:t>
            </w:r>
            <w:r w:rsidRPr="00EC20A0">
              <w:rPr>
                <w:spacing w:val="-6"/>
              </w:rPr>
              <w:t xml:space="preserve"> </w:t>
            </w:r>
            <w:r w:rsidRPr="00EC20A0">
              <w:t>available</w:t>
            </w:r>
            <w:r w:rsidRPr="00EC20A0">
              <w:rPr>
                <w:spacing w:val="-7"/>
              </w:rPr>
              <w:t xml:space="preserve"> </w:t>
            </w:r>
            <w:r w:rsidRPr="00EC20A0">
              <w:t>until</w:t>
            </w:r>
            <w:r w:rsidRPr="00EC20A0">
              <w:rPr>
                <w:spacing w:val="-6"/>
              </w:rPr>
              <w:t xml:space="preserve"> </w:t>
            </w:r>
            <w:r w:rsidRPr="00EC20A0">
              <w:t>after</w:t>
            </w:r>
            <w:r w:rsidRPr="00EC20A0">
              <w:rPr>
                <w:spacing w:val="-6"/>
              </w:rPr>
              <w:t xml:space="preserve"> </w:t>
            </w:r>
            <w:r w:rsidRPr="00EC20A0">
              <w:t>year- end reporting deadlines.</w:t>
            </w:r>
          </w:p>
        </w:tc>
        <w:tc>
          <w:tcPr>
            <w:tcW w:w="1144" w:type="dxa"/>
            <w:tcBorders>
              <w:left w:val="single" w:sz="4" w:space="0" w:color="000000"/>
              <w:bottom w:val="single" w:sz="4" w:space="0" w:color="000000"/>
              <w:right w:val="single" w:sz="4" w:space="0" w:color="000000"/>
            </w:tcBorders>
          </w:tcPr>
          <w:p w14:paraId="24D61797"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798" w14:textId="77777777" w:rsidR="00245300" w:rsidRPr="00EC20A0" w:rsidRDefault="00245300">
            <w:pPr>
              <w:pStyle w:val="TableParagraph"/>
              <w:rPr>
                <w:sz w:val="20"/>
              </w:rPr>
            </w:pPr>
          </w:p>
        </w:tc>
      </w:tr>
      <w:tr w:rsidR="00245300" w:rsidRPr="00EC20A0" w14:paraId="24D6179D" w14:textId="77777777">
        <w:trPr>
          <w:trHeight w:val="763"/>
        </w:trPr>
        <w:tc>
          <w:tcPr>
            <w:tcW w:w="6696" w:type="dxa"/>
            <w:tcBorders>
              <w:top w:val="single" w:sz="4" w:space="0" w:color="000000"/>
              <w:bottom w:val="single" w:sz="4" w:space="0" w:color="000000"/>
              <w:right w:val="single" w:sz="4" w:space="0" w:color="000000"/>
            </w:tcBorders>
          </w:tcPr>
          <w:p w14:paraId="24D6179A" w14:textId="77777777" w:rsidR="00245300" w:rsidRPr="00EC20A0" w:rsidRDefault="00F17249">
            <w:pPr>
              <w:pStyle w:val="TableParagraph"/>
              <w:tabs>
                <w:tab w:val="left" w:pos="1562"/>
              </w:tabs>
              <w:spacing w:before="60"/>
              <w:ind w:left="1562" w:right="504" w:hanging="396"/>
            </w:pPr>
            <w:r w:rsidRPr="00EC20A0">
              <w:rPr>
                <w:spacing w:val="-6"/>
              </w:rPr>
              <w:t>j)</w:t>
            </w:r>
            <w:r w:rsidRPr="00EC20A0">
              <w:tab/>
              <w:t>Determine whether management reviews and approves</w:t>
            </w:r>
            <w:r w:rsidRPr="00EC20A0">
              <w:rPr>
                <w:spacing w:val="-5"/>
              </w:rPr>
              <w:t xml:space="preserve"> </w:t>
            </w:r>
            <w:r w:rsidRPr="00EC20A0">
              <w:t>the</w:t>
            </w:r>
            <w:r w:rsidRPr="00EC20A0">
              <w:rPr>
                <w:spacing w:val="-5"/>
              </w:rPr>
              <w:t xml:space="preserve"> </w:t>
            </w:r>
            <w:r w:rsidRPr="00EC20A0">
              <w:t>results</w:t>
            </w:r>
            <w:r w:rsidRPr="00EC20A0">
              <w:rPr>
                <w:spacing w:val="-5"/>
              </w:rPr>
              <w:t xml:space="preserve"> </w:t>
            </w:r>
            <w:r w:rsidRPr="00EC20A0">
              <w:t>of</w:t>
            </w:r>
            <w:r w:rsidRPr="00EC20A0">
              <w:rPr>
                <w:spacing w:val="-6"/>
              </w:rPr>
              <w:t xml:space="preserve"> </w:t>
            </w:r>
            <w:r w:rsidRPr="00EC20A0">
              <w:t>procedures</w:t>
            </w:r>
            <w:r w:rsidRPr="00EC20A0">
              <w:rPr>
                <w:spacing w:val="-5"/>
              </w:rPr>
              <w:t xml:space="preserve"> </w:t>
            </w:r>
            <w:r w:rsidRPr="00EC20A0">
              <w:t>in</w:t>
            </w:r>
            <w:r w:rsidRPr="00EC20A0">
              <w:rPr>
                <w:spacing w:val="-5"/>
              </w:rPr>
              <w:t xml:space="preserve"> </w:t>
            </w:r>
            <w:r w:rsidRPr="00EC20A0">
              <w:t>“i”</w:t>
            </w:r>
            <w:r w:rsidRPr="00EC20A0">
              <w:rPr>
                <w:spacing w:val="-5"/>
              </w:rPr>
              <w:t xml:space="preserve"> </w:t>
            </w:r>
            <w:r w:rsidRPr="00EC20A0">
              <w:t>above.</w:t>
            </w:r>
          </w:p>
        </w:tc>
        <w:tc>
          <w:tcPr>
            <w:tcW w:w="1144" w:type="dxa"/>
            <w:tcBorders>
              <w:top w:val="single" w:sz="4" w:space="0" w:color="000000"/>
              <w:left w:val="single" w:sz="4" w:space="0" w:color="000000"/>
              <w:bottom w:val="single" w:sz="4" w:space="0" w:color="000000"/>
              <w:right w:val="single" w:sz="4" w:space="0" w:color="000000"/>
            </w:tcBorders>
          </w:tcPr>
          <w:p w14:paraId="24D6179B"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9C" w14:textId="77777777" w:rsidR="00245300" w:rsidRPr="00EC20A0" w:rsidRDefault="00245300">
            <w:pPr>
              <w:pStyle w:val="TableParagraph"/>
              <w:rPr>
                <w:sz w:val="20"/>
              </w:rPr>
            </w:pPr>
          </w:p>
        </w:tc>
      </w:tr>
      <w:tr w:rsidR="00245300" w:rsidRPr="00EC20A0" w14:paraId="24D6179F" w14:textId="77777777">
        <w:trPr>
          <w:trHeight w:val="372"/>
        </w:trPr>
        <w:tc>
          <w:tcPr>
            <w:tcW w:w="9069" w:type="dxa"/>
            <w:gridSpan w:val="3"/>
            <w:tcBorders>
              <w:top w:val="single" w:sz="4" w:space="0" w:color="000000"/>
              <w:bottom w:val="single" w:sz="4" w:space="0" w:color="000000"/>
            </w:tcBorders>
          </w:tcPr>
          <w:p w14:paraId="24D6179E" w14:textId="77777777" w:rsidR="00245300" w:rsidRPr="00EC20A0" w:rsidRDefault="00F17249">
            <w:pPr>
              <w:pStyle w:val="TableParagraph"/>
              <w:spacing w:before="60"/>
              <w:ind w:left="92"/>
              <w:rPr>
                <w:b/>
                <w:i/>
              </w:rPr>
            </w:pPr>
            <w:r w:rsidRPr="00EC20A0">
              <w:rPr>
                <w:b/>
                <w:i/>
                <w:spacing w:val="-2"/>
              </w:rPr>
              <w:t>Other</w:t>
            </w:r>
          </w:p>
        </w:tc>
      </w:tr>
      <w:tr w:rsidR="00245300" w:rsidRPr="00EC20A0" w14:paraId="24D617A3" w14:textId="77777777">
        <w:trPr>
          <w:trHeight w:val="1890"/>
        </w:trPr>
        <w:tc>
          <w:tcPr>
            <w:tcW w:w="6696" w:type="dxa"/>
            <w:tcBorders>
              <w:top w:val="single" w:sz="4" w:space="0" w:color="000000"/>
              <w:bottom w:val="single" w:sz="4" w:space="0" w:color="000000"/>
              <w:right w:val="single" w:sz="4" w:space="0" w:color="000000"/>
            </w:tcBorders>
          </w:tcPr>
          <w:p w14:paraId="24D617A0" w14:textId="77777777" w:rsidR="00245300" w:rsidRPr="00EC20A0" w:rsidRDefault="00F17249">
            <w:pPr>
              <w:pStyle w:val="TableParagraph"/>
              <w:spacing w:before="60"/>
              <w:ind w:left="1172" w:right="87" w:hanging="361"/>
            </w:pPr>
            <w:r w:rsidRPr="00EC20A0">
              <w:t>5)</w:t>
            </w:r>
            <w:r w:rsidRPr="00EC20A0">
              <w:rPr>
                <w:spacing w:val="80"/>
              </w:rPr>
              <w:t xml:space="preserve"> </w:t>
            </w:r>
            <w:r w:rsidRPr="00EC20A0">
              <w:t xml:space="preserve">Coordinate with other audit cycles to </w:t>
            </w:r>
            <w:r w:rsidRPr="00EC20A0">
              <w:t>determine if the entity has internal control deficiencies related to intragovernmental activity and balances, including intragovernmental</w:t>
            </w:r>
            <w:r w:rsidRPr="00EC20A0">
              <w:rPr>
                <w:spacing w:val="-10"/>
              </w:rPr>
              <w:t xml:space="preserve"> </w:t>
            </w:r>
            <w:r w:rsidRPr="00EC20A0">
              <w:t>differences.</w:t>
            </w:r>
            <w:r w:rsidRPr="00EC20A0">
              <w:rPr>
                <w:spacing w:val="-10"/>
              </w:rPr>
              <w:t xml:space="preserve"> </w:t>
            </w:r>
            <w:r w:rsidRPr="00EC20A0">
              <w:t>For</w:t>
            </w:r>
            <w:r w:rsidRPr="00EC20A0">
              <w:rPr>
                <w:spacing w:val="-10"/>
              </w:rPr>
              <w:t xml:space="preserve"> </w:t>
            </w:r>
            <w:r w:rsidRPr="00EC20A0">
              <w:t>example,</w:t>
            </w:r>
            <w:r w:rsidRPr="00EC20A0">
              <w:rPr>
                <w:spacing w:val="-10"/>
              </w:rPr>
              <w:t xml:space="preserve"> </w:t>
            </w:r>
            <w:r w:rsidRPr="00EC20A0">
              <w:t>coordinate with the FBWT audit to determine if the entity has issues on its FBWT/IPAC reconciliation, such as material unresolved differences.</w:t>
            </w:r>
          </w:p>
        </w:tc>
        <w:tc>
          <w:tcPr>
            <w:tcW w:w="1144" w:type="dxa"/>
            <w:tcBorders>
              <w:top w:val="single" w:sz="4" w:space="0" w:color="000000"/>
              <w:left w:val="single" w:sz="4" w:space="0" w:color="000000"/>
              <w:bottom w:val="single" w:sz="4" w:space="0" w:color="000000"/>
              <w:right w:val="single" w:sz="4" w:space="0" w:color="000000"/>
            </w:tcBorders>
          </w:tcPr>
          <w:p w14:paraId="24D617A1"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A2" w14:textId="77777777" w:rsidR="00245300" w:rsidRPr="00EC20A0" w:rsidRDefault="00245300">
            <w:pPr>
              <w:pStyle w:val="TableParagraph"/>
              <w:rPr>
                <w:sz w:val="20"/>
              </w:rPr>
            </w:pPr>
          </w:p>
        </w:tc>
      </w:tr>
      <w:tr w:rsidR="00245300" w:rsidRPr="00EC20A0" w14:paraId="24D617AC" w14:textId="77777777">
        <w:trPr>
          <w:trHeight w:val="5021"/>
        </w:trPr>
        <w:tc>
          <w:tcPr>
            <w:tcW w:w="6696" w:type="dxa"/>
            <w:tcBorders>
              <w:top w:val="single" w:sz="4" w:space="0" w:color="000000"/>
              <w:bottom w:val="single" w:sz="4" w:space="0" w:color="000000"/>
              <w:right w:val="single" w:sz="4" w:space="0" w:color="000000"/>
            </w:tcBorders>
          </w:tcPr>
          <w:p w14:paraId="24D617A4" w14:textId="77777777" w:rsidR="00245300" w:rsidRPr="00EC20A0" w:rsidRDefault="00F17249">
            <w:pPr>
              <w:pStyle w:val="TableParagraph"/>
              <w:numPr>
                <w:ilvl w:val="0"/>
                <w:numId w:val="108"/>
              </w:numPr>
              <w:tabs>
                <w:tab w:val="left" w:pos="1170"/>
                <w:tab w:val="left" w:pos="1172"/>
              </w:tabs>
              <w:spacing w:before="60"/>
              <w:ind w:right="1042"/>
            </w:pPr>
            <w:r w:rsidRPr="00EC20A0">
              <w:t>Prepare</w:t>
            </w:r>
            <w:r w:rsidRPr="00EC20A0">
              <w:rPr>
                <w:spacing w:val="-7"/>
              </w:rPr>
              <w:t xml:space="preserve"> </w:t>
            </w:r>
            <w:r w:rsidRPr="00EC20A0">
              <w:t>or</w:t>
            </w:r>
            <w:r w:rsidRPr="00EC20A0">
              <w:rPr>
                <w:spacing w:val="-7"/>
              </w:rPr>
              <w:t xml:space="preserve"> </w:t>
            </w:r>
            <w:r w:rsidRPr="00EC20A0">
              <w:t>update</w:t>
            </w:r>
            <w:r w:rsidRPr="00EC20A0">
              <w:rPr>
                <w:spacing w:val="-7"/>
              </w:rPr>
              <w:t xml:space="preserve"> </w:t>
            </w:r>
            <w:r w:rsidRPr="00EC20A0">
              <w:t>the</w:t>
            </w:r>
            <w:r w:rsidRPr="00EC20A0">
              <w:rPr>
                <w:spacing w:val="-7"/>
              </w:rPr>
              <w:t xml:space="preserve"> </w:t>
            </w:r>
            <w:r w:rsidRPr="00EC20A0">
              <w:t>following</w:t>
            </w:r>
            <w:r w:rsidRPr="00EC20A0">
              <w:rPr>
                <w:spacing w:val="-6"/>
              </w:rPr>
              <w:t xml:space="preserve"> </w:t>
            </w:r>
            <w:r w:rsidRPr="00EC20A0">
              <w:t>documents</w:t>
            </w:r>
            <w:r w:rsidRPr="00EC20A0">
              <w:rPr>
                <w:spacing w:val="-7"/>
              </w:rPr>
              <w:t xml:space="preserve"> </w:t>
            </w:r>
            <w:r w:rsidRPr="00EC20A0">
              <w:t xml:space="preserve">or </w:t>
            </w:r>
            <w:r w:rsidRPr="00EC20A0">
              <w:rPr>
                <w:spacing w:val="-2"/>
              </w:rPr>
              <w:t>equivalent:</w:t>
            </w:r>
          </w:p>
          <w:p w14:paraId="24D617A5" w14:textId="77777777" w:rsidR="00245300" w:rsidRPr="00EC20A0" w:rsidRDefault="00F17249">
            <w:pPr>
              <w:pStyle w:val="TableParagraph"/>
              <w:numPr>
                <w:ilvl w:val="1"/>
                <w:numId w:val="108"/>
              </w:numPr>
              <w:tabs>
                <w:tab w:val="left" w:pos="1568"/>
              </w:tabs>
              <w:spacing w:before="120"/>
              <w:ind w:left="1568" w:hanging="396"/>
            </w:pPr>
            <w:r w:rsidRPr="00EC20A0">
              <w:t>Cycle</w:t>
            </w:r>
            <w:r w:rsidRPr="00EC20A0">
              <w:rPr>
                <w:spacing w:val="-9"/>
              </w:rPr>
              <w:t xml:space="preserve"> </w:t>
            </w:r>
            <w:r w:rsidRPr="00EC20A0">
              <w:t>memorandum</w:t>
            </w:r>
            <w:r w:rsidRPr="00EC20A0">
              <w:rPr>
                <w:spacing w:val="-10"/>
              </w:rPr>
              <w:t xml:space="preserve"> </w:t>
            </w:r>
            <w:r w:rsidRPr="00EC20A0">
              <w:t>(FAM</w:t>
            </w:r>
            <w:r w:rsidRPr="00EC20A0">
              <w:rPr>
                <w:spacing w:val="-9"/>
              </w:rPr>
              <w:t xml:space="preserve"> </w:t>
            </w:r>
            <w:r w:rsidRPr="00EC20A0">
              <w:rPr>
                <w:spacing w:val="-2"/>
              </w:rPr>
              <w:t>390).</w:t>
            </w:r>
          </w:p>
          <w:p w14:paraId="24D617A6" w14:textId="77777777" w:rsidR="00245300" w:rsidRPr="00EC20A0" w:rsidRDefault="00F17249">
            <w:pPr>
              <w:pStyle w:val="TableParagraph"/>
              <w:numPr>
                <w:ilvl w:val="1"/>
                <w:numId w:val="108"/>
              </w:numPr>
              <w:tabs>
                <w:tab w:val="left" w:pos="1569"/>
              </w:tabs>
              <w:spacing w:before="120"/>
              <w:ind w:right="500"/>
            </w:pPr>
            <w:r w:rsidRPr="00EC20A0">
              <w:t>SCE</w:t>
            </w:r>
            <w:r w:rsidRPr="00EC20A0">
              <w:rPr>
                <w:spacing w:val="-6"/>
              </w:rPr>
              <w:t xml:space="preserve"> </w:t>
            </w:r>
            <w:r w:rsidRPr="00EC20A0">
              <w:t>worksheets</w:t>
            </w:r>
            <w:r w:rsidRPr="00EC20A0">
              <w:rPr>
                <w:spacing w:val="-6"/>
              </w:rPr>
              <w:t xml:space="preserve"> </w:t>
            </w:r>
            <w:r w:rsidRPr="00EC20A0">
              <w:t>(FAM</w:t>
            </w:r>
            <w:r w:rsidRPr="00EC20A0">
              <w:rPr>
                <w:spacing w:val="-7"/>
              </w:rPr>
              <w:t xml:space="preserve"> </w:t>
            </w:r>
            <w:r w:rsidRPr="00EC20A0">
              <w:t>395</w:t>
            </w:r>
            <w:r w:rsidRPr="00EC20A0">
              <w:rPr>
                <w:spacing w:val="-6"/>
              </w:rPr>
              <w:t xml:space="preserve"> </w:t>
            </w:r>
            <w:r w:rsidRPr="00EC20A0">
              <w:t>G)</w:t>
            </w:r>
            <w:r w:rsidRPr="00EC20A0">
              <w:rPr>
                <w:spacing w:val="-6"/>
              </w:rPr>
              <w:t xml:space="preserve"> </w:t>
            </w:r>
            <w:r w:rsidRPr="00EC20A0">
              <w:t>to</w:t>
            </w:r>
            <w:r w:rsidRPr="00EC20A0">
              <w:rPr>
                <w:spacing w:val="-6"/>
              </w:rPr>
              <w:t xml:space="preserve"> </w:t>
            </w:r>
            <w:r w:rsidRPr="00EC20A0">
              <w:t>document</w:t>
            </w:r>
            <w:r w:rsidRPr="00EC20A0">
              <w:rPr>
                <w:spacing w:val="-6"/>
              </w:rPr>
              <w:t xml:space="preserve"> </w:t>
            </w:r>
            <w:r w:rsidRPr="00EC20A0">
              <w:t xml:space="preserve">the identification of relevant control activities and whether they have </w:t>
            </w:r>
            <w:r w:rsidRPr="00EC20A0">
              <w:t>been implemented.</w:t>
            </w:r>
          </w:p>
          <w:p w14:paraId="24D617A7" w14:textId="77777777" w:rsidR="00245300" w:rsidRPr="00EC20A0" w:rsidRDefault="00F17249">
            <w:pPr>
              <w:pStyle w:val="TableParagraph"/>
              <w:spacing w:before="119"/>
              <w:ind w:left="1569" w:right="205" w:hanging="1"/>
              <w:jc w:val="both"/>
            </w:pPr>
            <w:r w:rsidRPr="00EC20A0">
              <w:t>Note: The SCE worksheets are later updated with the</w:t>
            </w:r>
            <w:r w:rsidRPr="00EC20A0">
              <w:rPr>
                <w:spacing w:val="-6"/>
              </w:rPr>
              <w:t xml:space="preserve"> </w:t>
            </w:r>
            <w:r w:rsidRPr="00EC20A0">
              <w:t>results</w:t>
            </w:r>
            <w:r w:rsidRPr="00EC20A0">
              <w:rPr>
                <w:spacing w:val="-6"/>
              </w:rPr>
              <w:t xml:space="preserve"> </w:t>
            </w:r>
            <w:r w:rsidRPr="00EC20A0">
              <w:t>of</w:t>
            </w:r>
            <w:r w:rsidRPr="00EC20A0">
              <w:rPr>
                <w:spacing w:val="-6"/>
              </w:rPr>
              <w:t xml:space="preserve"> </w:t>
            </w:r>
            <w:r w:rsidRPr="00EC20A0">
              <w:t>testing</w:t>
            </w:r>
            <w:r w:rsidRPr="00EC20A0">
              <w:rPr>
                <w:spacing w:val="-6"/>
              </w:rPr>
              <w:t xml:space="preserve"> </w:t>
            </w:r>
            <w:r w:rsidRPr="00EC20A0">
              <w:t>control</w:t>
            </w:r>
            <w:r w:rsidRPr="00EC20A0">
              <w:rPr>
                <w:spacing w:val="-6"/>
              </w:rPr>
              <w:t xml:space="preserve"> </w:t>
            </w:r>
            <w:r w:rsidRPr="00EC20A0">
              <w:t>activities</w:t>
            </w:r>
            <w:r w:rsidRPr="00EC20A0">
              <w:rPr>
                <w:spacing w:val="-7"/>
              </w:rPr>
              <w:t xml:space="preserve"> </w:t>
            </w:r>
            <w:r w:rsidRPr="00EC20A0">
              <w:t>for</w:t>
            </w:r>
            <w:r w:rsidRPr="00EC20A0">
              <w:rPr>
                <w:spacing w:val="-6"/>
              </w:rPr>
              <w:t xml:space="preserve"> </w:t>
            </w:r>
            <w:r w:rsidRPr="00EC20A0">
              <w:t xml:space="preserve">operating </w:t>
            </w:r>
            <w:r w:rsidRPr="00EC20A0">
              <w:rPr>
                <w:spacing w:val="-2"/>
              </w:rPr>
              <w:t>effectiveness.</w:t>
            </w:r>
          </w:p>
          <w:p w14:paraId="24D617A8" w14:textId="77777777" w:rsidR="00245300" w:rsidRPr="00EC20A0" w:rsidRDefault="00F17249">
            <w:pPr>
              <w:pStyle w:val="TableParagraph"/>
              <w:numPr>
                <w:ilvl w:val="1"/>
                <w:numId w:val="108"/>
              </w:numPr>
              <w:tabs>
                <w:tab w:val="left" w:pos="1569"/>
              </w:tabs>
              <w:spacing w:before="121"/>
              <w:ind w:right="634" w:hanging="396"/>
            </w:pPr>
            <w:r w:rsidRPr="00EC20A0">
              <w:t>LIRA forms (FAM 395 H) to document the assessment</w:t>
            </w:r>
            <w:r w:rsidRPr="00EC20A0">
              <w:rPr>
                <w:spacing w:val="-6"/>
              </w:rPr>
              <w:t xml:space="preserve"> </w:t>
            </w:r>
            <w:r w:rsidRPr="00EC20A0">
              <w:t>of</w:t>
            </w:r>
            <w:r w:rsidRPr="00EC20A0">
              <w:rPr>
                <w:spacing w:val="-6"/>
              </w:rPr>
              <w:t xml:space="preserve"> </w:t>
            </w:r>
            <w:r w:rsidRPr="00EC20A0">
              <w:t>control</w:t>
            </w:r>
            <w:r w:rsidRPr="00EC20A0">
              <w:rPr>
                <w:spacing w:val="-6"/>
              </w:rPr>
              <w:t xml:space="preserve"> </w:t>
            </w:r>
            <w:r w:rsidRPr="00EC20A0">
              <w:t>risk</w:t>
            </w:r>
            <w:r w:rsidRPr="00EC20A0">
              <w:rPr>
                <w:spacing w:val="-6"/>
              </w:rPr>
              <w:t xml:space="preserve"> </w:t>
            </w:r>
            <w:r w:rsidRPr="00EC20A0">
              <w:t>and</w:t>
            </w:r>
            <w:r w:rsidRPr="00EC20A0">
              <w:rPr>
                <w:spacing w:val="-6"/>
              </w:rPr>
              <w:t xml:space="preserve"> </w:t>
            </w:r>
            <w:r w:rsidRPr="00EC20A0">
              <w:t>risk</w:t>
            </w:r>
            <w:r w:rsidRPr="00EC20A0">
              <w:rPr>
                <w:spacing w:val="-6"/>
              </w:rPr>
              <w:t xml:space="preserve"> </w:t>
            </w:r>
            <w:r w:rsidRPr="00EC20A0">
              <w:t>of</w:t>
            </w:r>
            <w:r w:rsidRPr="00EC20A0">
              <w:rPr>
                <w:spacing w:val="-6"/>
              </w:rPr>
              <w:t xml:space="preserve"> </w:t>
            </w:r>
            <w:r w:rsidRPr="00EC20A0">
              <w:t xml:space="preserve">material </w:t>
            </w:r>
            <w:r w:rsidRPr="00EC20A0">
              <w:rPr>
                <w:spacing w:val="-2"/>
              </w:rPr>
              <w:t>misstatement.</w:t>
            </w:r>
          </w:p>
          <w:p w14:paraId="24D617A9" w14:textId="77777777" w:rsidR="00245300" w:rsidRPr="00EC20A0" w:rsidRDefault="00F17249">
            <w:pPr>
              <w:pStyle w:val="TableParagraph"/>
              <w:spacing w:before="119"/>
              <w:ind w:left="1245" w:right="160" w:hanging="1"/>
            </w:pPr>
            <w:r w:rsidRPr="00EC20A0">
              <w:t>Note:</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should</w:t>
            </w:r>
            <w:r w:rsidRPr="00EC20A0">
              <w:rPr>
                <w:spacing w:val="-5"/>
              </w:rPr>
              <w:t xml:space="preserve"> </w:t>
            </w:r>
            <w:r w:rsidRPr="00EC20A0">
              <w:t>assess</w:t>
            </w:r>
            <w:r w:rsidRPr="00EC20A0">
              <w:rPr>
                <w:spacing w:val="-4"/>
              </w:rPr>
              <w:t xml:space="preserve"> </w:t>
            </w:r>
            <w:r w:rsidRPr="00EC20A0">
              <w:t>the</w:t>
            </w:r>
            <w:r w:rsidRPr="00EC20A0">
              <w:rPr>
                <w:spacing w:val="-5"/>
              </w:rPr>
              <w:t xml:space="preserve"> </w:t>
            </w:r>
            <w:r w:rsidRPr="00EC20A0">
              <w:t>risks</w:t>
            </w:r>
            <w:r w:rsidRPr="00EC20A0">
              <w:rPr>
                <w:spacing w:val="-5"/>
              </w:rPr>
              <w:t xml:space="preserve"> </w:t>
            </w:r>
            <w:r w:rsidRPr="00EC20A0">
              <w:t>of</w:t>
            </w:r>
            <w:r w:rsidRPr="00EC20A0">
              <w:rPr>
                <w:spacing w:val="-5"/>
              </w:rPr>
              <w:t xml:space="preserve"> </w:t>
            </w:r>
            <w:r w:rsidRPr="00EC20A0">
              <w:t>material misstatement in determining the nature, extent, and timing of control testing and substantive procedures for auditing intragovernmental activity and balances and in evaluating the results of these procedures.</w:t>
            </w:r>
          </w:p>
        </w:tc>
        <w:tc>
          <w:tcPr>
            <w:tcW w:w="1144" w:type="dxa"/>
            <w:tcBorders>
              <w:top w:val="single" w:sz="4" w:space="0" w:color="000000"/>
              <w:left w:val="single" w:sz="4" w:space="0" w:color="000000"/>
              <w:bottom w:val="single" w:sz="4" w:space="0" w:color="000000"/>
              <w:right w:val="single" w:sz="4" w:space="0" w:color="000000"/>
            </w:tcBorders>
          </w:tcPr>
          <w:p w14:paraId="24D617AA"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AB" w14:textId="77777777" w:rsidR="00245300" w:rsidRPr="00EC20A0" w:rsidRDefault="00245300">
            <w:pPr>
              <w:pStyle w:val="TableParagraph"/>
              <w:rPr>
                <w:sz w:val="20"/>
              </w:rPr>
            </w:pPr>
          </w:p>
        </w:tc>
      </w:tr>
      <w:tr w:rsidR="00245300" w:rsidRPr="00EC20A0" w14:paraId="24D617AE" w14:textId="77777777">
        <w:trPr>
          <w:trHeight w:val="466"/>
        </w:trPr>
        <w:tc>
          <w:tcPr>
            <w:tcW w:w="9069" w:type="dxa"/>
            <w:gridSpan w:val="3"/>
            <w:tcBorders>
              <w:top w:val="single" w:sz="4" w:space="0" w:color="000000"/>
              <w:bottom w:val="nil"/>
            </w:tcBorders>
          </w:tcPr>
          <w:p w14:paraId="24D617AD" w14:textId="77777777" w:rsidR="00245300" w:rsidRPr="00EC20A0" w:rsidRDefault="00F17249">
            <w:pPr>
              <w:pStyle w:val="TableParagraph"/>
              <w:spacing w:before="120"/>
              <w:ind w:left="92"/>
              <w:rPr>
                <w:b/>
              </w:rPr>
            </w:pPr>
            <w:r w:rsidRPr="00EC20A0">
              <w:rPr>
                <w:b/>
                <w:u w:val="single"/>
              </w:rPr>
              <w:t>III.</w:t>
            </w:r>
            <w:r w:rsidRPr="00EC20A0">
              <w:rPr>
                <w:b/>
                <w:spacing w:val="-3"/>
                <w:u w:val="single"/>
              </w:rPr>
              <w:t xml:space="preserve"> </w:t>
            </w:r>
            <w:r w:rsidRPr="00EC20A0">
              <w:rPr>
                <w:b/>
                <w:spacing w:val="-2"/>
                <w:u w:val="single"/>
              </w:rPr>
              <w:t>TESTING</w:t>
            </w:r>
          </w:p>
        </w:tc>
      </w:tr>
      <w:tr w:rsidR="00245300" w:rsidRPr="00EC20A0" w14:paraId="24D617B3" w14:textId="77777777">
        <w:trPr>
          <w:trHeight w:val="1977"/>
        </w:trPr>
        <w:tc>
          <w:tcPr>
            <w:tcW w:w="9069" w:type="dxa"/>
            <w:gridSpan w:val="3"/>
            <w:tcBorders>
              <w:top w:val="nil"/>
              <w:bottom w:val="single" w:sz="4" w:space="0" w:color="000000"/>
            </w:tcBorders>
          </w:tcPr>
          <w:p w14:paraId="24D617AF" w14:textId="77777777" w:rsidR="00245300" w:rsidRPr="00EC20A0" w:rsidRDefault="00F17249">
            <w:pPr>
              <w:pStyle w:val="TableParagraph"/>
              <w:spacing w:before="85"/>
              <w:ind w:left="92"/>
            </w:pPr>
            <w:r w:rsidRPr="00EC20A0">
              <w:t xml:space="preserve">If the auditor preliminarily determines that the relevant control activities have been implemented, the auditor should test them to determine whether they are </w:t>
            </w:r>
            <w:r w:rsidRPr="00EC20A0">
              <w:rPr>
                <w:i/>
              </w:rPr>
              <w:t>operating effectively</w:t>
            </w:r>
            <w:r w:rsidRPr="00EC20A0">
              <w:t>.</w:t>
            </w:r>
            <w:r w:rsidRPr="00EC20A0">
              <w:rPr>
                <w:spacing w:val="-5"/>
              </w:rPr>
              <w:t xml:space="preserve"> </w:t>
            </w:r>
            <w:r w:rsidRPr="00EC20A0">
              <w:t>These</w:t>
            </w:r>
            <w:r w:rsidRPr="00EC20A0">
              <w:rPr>
                <w:spacing w:val="-4"/>
              </w:rPr>
              <w:t xml:space="preserve"> </w:t>
            </w:r>
            <w:r w:rsidRPr="00EC20A0">
              <w:t>procedures</w:t>
            </w:r>
            <w:r w:rsidRPr="00EC20A0">
              <w:rPr>
                <w:spacing w:val="-4"/>
              </w:rPr>
              <w:t xml:space="preserve"> </w:t>
            </w:r>
            <w:r w:rsidRPr="00EC20A0">
              <w:t>should</w:t>
            </w:r>
            <w:r w:rsidRPr="00EC20A0">
              <w:rPr>
                <w:spacing w:val="-4"/>
              </w:rPr>
              <w:t xml:space="preserve"> </w:t>
            </w:r>
            <w:r w:rsidRPr="00EC20A0">
              <w:t>be</w:t>
            </w:r>
            <w:r w:rsidRPr="00EC20A0">
              <w:rPr>
                <w:spacing w:val="-4"/>
              </w:rPr>
              <w:t xml:space="preserve"> </w:t>
            </w:r>
            <w:r w:rsidRPr="00EC20A0">
              <w:t>performed</w:t>
            </w:r>
            <w:r w:rsidRPr="00EC20A0">
              <w:rPr>
                <w:spacing w:val="-4"/>
              </w:rPr>
              <w:t xml:space="preserve"> </w:t>
            </w:r>
            <w:r w:rsidRPr="00EC20A0">
              <w:t>on</w:t>
            </w:r>
            <w:r w:rsidRPr="00EC20A0">
              <w:rPr>
                <w:spacing w:val="-4"/>
              </w:rPr>
              <w:t xml:space="preserve"> </w:t>
            </w:r>
            <w:r w:rsidRPr="00EC20A0">
              <w:t>an</w:t>
            </w:r>
            <w:r w:rsidRPr="00EC20A0">
              <w:rPr>
                <w:spacing w:val="-4"/>
              </w:rPr>
              <w:t xml:space="preserve"> </w:t>
            </w:r>
            <w:r w:rsidRPr="00EC20A0">
              <w:t>interim</w:t>
            </w:r>
            <w:r w:rsidRPr="00EC20A0">
              <w:rPr>
                <w:spacing w:val="-5"/>
              </w:rPr>
              <w:t xml:space="preserve"> </w:t>
            </w:r>
            <w:r w:rsidRPr="00EC20A0">
              <w:t>and</w:t>
            </w:r>
            <w:r w:rsidRPr="00EC20A0">
              <w:rPr>
                <w:spacing w:val="-4"/>
              </w:rPr>
              <w:t xml:space="preserve"> </w:t>
            </w:r>
            <w:r w:rsidRPr="00EC20A0">
              <w:t>year-end</w:t>
            </w:r>
            <w:r w:rsidRPr="00EC20A0">
              <w:rPr>
                <w:spacing w:val="-4"/>
              </w:rPr>
              <w:t xml:space="preserve"> </w:t>
            </w:r>
            <w:r w:rsidRPr="00EC20A0">
              <w:t>basis.</w:t>
            </w:r>
          </w:p>
          <w:p w14:paraId="24D617B0" w14:textId="77777777" w:rsidR="00245300" w:rsidRPr="00EC20A0" w:rsidRDefault="00F17249">
            <w:pPr>
              <w:pStyle w:val="TableParagraph"/>
              <w:spacing w:before="121"/>
              <w:ind w:left="92"/>
              <w:rPr>
                <w:i/>
              </w:rPr>
            </w:pPr>
            <w:r w:rsidRPr="00EC20A0">
              <w:t>However,</w:t>
            </w:r>
            <w:r w:rsidRPr="00EC20A0">
              <w:rPr>
                <w:spacing w:val="-8"/>
              </w:rPr>
              <w:t xml:space="preserve"> </w:t>
            </w:r>
            <w:r w:rsidRPr="00EC20A0">
              <w:t>if</w:t>
            </w:r>
            <w:r w:rsidRPr="00EC20A0">
              <w:rPr>
                <w:spacing w:val="-7"/>
              </w:rPr>
              <w:t xml:space="preserve"> </w:t>
            </w:r>
            <w:r w:rsidRPr="00EC20A0">
              <w:t>the</w:t>
            </w:r>
            <w:r w:rsidRPr="00EC20A0">
              <w:rPr>
                <w:spacing w:val="-8"/>
              </w:rPr>
              <w:t xml:space="preserve"> </w:t>
            </w:r>
            <w:r w:rsidRPr="00EC20A0">
              <w:t>auditor</w:t>
            </w:r>
            <w:r w:rsidRPr="00EC20A0">
              <w:rPr>
                <w:spacing w:val="-7"/>
              </w:rPr>
              <w:t xml:space="preserve"> </w:t>
            </w:r>
            <w:r w:rsidRPr="00EC20A0">
              <w:t>preliminarily</w:t>
            </w:r>
            <w:r w:rsidRPr="00EC20A0">
              <w:rPr>
                <w:spacing w:val="-9"/>
              </w:rPr>
              <w:t xml:space="preserve"> </w:t>
            </w:r>
            <w:r w:rsidRPr="00EC20A0">
              <w:t>determines</w:t>
            </w:r>
            <w:r w:rsidRPr="00EC20A0">
              <w:rPr>
                <w:spacing w:val="-7"/>
              </w:rPr>
              <w:t xml:space="preserve"> </w:t>
            </w:r>
            <w:r w:rsidRPr="00EC20A0">
              <w:t>that</w:t>
            </w:r>
            <w:r w:rsidRPr="00EC20A0">
              <w:rPr>
                <w:spacing w:val="-8"/>
              </w:rPr>
              <w:t xml:space="preserve"> </w:t>
            </w:r>
            <w:r w:rsidRPr="00EC20A0">
              <w:t>relevant</w:t>
            </w:r>
            <w:r w:rsidRPr="00EC20A0">
              <w:rPr>
                <w:spacing w:val="-7"/>
              </w:rPr>
              <w:t xml:space="preserve"> </w:t>
            </w:r>
            <w:r w:rsidRPr="00EC20A0">
              <w:t>control</w:t>
            </w:r>
            <w:r w:rsidRPr="00EC20A0">
              <w:rPr>
                <w:spacing w:val="-8"/>
              </w:rPr>
              <w:t xml:space="preserve"> </w:t>
            </w:r>
            <w:r w:rsidRPr="00EC20A0">
              <w:t>activities</w:t>
            </w:r>
            <w:r w:rsidRPr="00EC20A0">
              <w:rPr>
                <w:spacing w:val="-7"/>
              </w:rPr>
              <w:t xml:space="preserve"> </w:t>
            </w:r>
            <w:r w:rsidRPr="00EC20A0">
              <w:t>have</w:t>
            </w:r>
            <w:r w:rsidRPr="00EC20A0">
              <w:rPr>
                <w:spacing w:val="-8"/>
              </w:rPr>
              <w:t xml:space="preserve"> </w:t>
            </w:r>
            <w:r w:rsidRPr="00EC20A0">
              <w:rPr>
                <w:i/>
                <w:spacing w:val="-5"/>
              </w:rPr>
              <w:t>not</w:t>
            </w:r>
          </w:p>
          <w:p w14:paraId="24D617B1" w14:textId="77777777" w:rsidR="00245300" w:rsidRPr="00EC20A0" w:rsidRDefault="00F17249">
            <w:pPr>
              <w:pStyle w:val="TableParagraph"/>
              <w:ind w:left="92"/>
            </w:pPr>
            <w:r w:rsidRPr="00EC20A0">
              <w:t>been</w:t>
            </w:r>
            <w:r w:rsidRPr="00EC20A0">
              <w:rPr>
                <w:spacing w:val="-8"/>
              </w:rPr>
              <w:t xml:space="preserve"> </w:t>
            </w:r>
            <w:r w:rsidRPr="00EC20A0">
              <w:t>implemented,</w:t>
            </w:r>
            <w:r w:rsidRPr="00EC20A0">
              <w:rPr>
                <w:spacing w:val="-7"/>
              </w:rPr>
              <w:t xml:space="preserve"> </w:t>
            </w:r>
            <w:r w:rsidRPr="00EC20A0">
              <w:t>the</w:t>
            </w:r>
            <w:r w:rsidRPr="00EC20A0">
              <w:rPr>
                <w:spacing w:val="-7"/>
              </w:rPr>
              <w:t xml:space="preserve"> </w:t>
            </w:r>
            <w:r w:rsidRPr="00EC20A0">
              <w:t>auditor</w:t>
            </w:r>
            <w:r w:rsidRPr="00EC20A0">
              <w:rPr>
                <w:spacing w:val="-8"/>
              </w:rPr>
              <w:t xml:space="preserve"> </w:t>
            </w:r>
            <w:r w:rsidRPr="00EC20A0">
              <w:t>should</w:t>
            </w:r>
            <w:r w:rsidRPr="00EC20A0">
              <w:rPr>
                <w:spacing w:val="-7"/>
              </w:rPr>
              <w:t xml:space="preserve"> </w:t>
            </w:r>
            <w:r w:rsidRPr="00EC20A0">
              <w:t>determine</w:t>
            </w:r>
            <w:r w:rsidRPr="00EC20A0">
              <w:rPr>
                <w:spacing w:val="-7"/>
              </w:rPr>
              <w:t xml:space="preserve"> </w:t>
            </w:r>
            <w:r w:rsidRPr="00EC20A0">
              <w:t>the</w:t>
            </w:r>
            <w:r w:rsidRPr="00EC20A0">
              <w:rPr>
                <w:spacing w:val="-8"/>
              </w:rPr>
              <w:t xml:space="preserve"> </w:t>
            </w:r>
            <w:r w:rsidRPr="00EC20A0">
              <w:t>effect</w:t>
            </w:r>
            <w:r w:rsidRPr="00EC20A0">
              <w:rPr>
                <w:spacing w:val="-7"/>
              </w:rPr>
              <w:t xml:space="preserve"> </w:t>
            </w:r>
            <w:r w:rsidRPr="00EC20A0">
              <w:t>on</w:t>
            </w:r>
            <w:r w:rsidRPr="00EC20A0">
              <w:rPr>
                <w:spacing w:val="-7"/>
              </w:rPr>
              <w:t xml:space="preserve"> </w:t>
            </w:r>
            <w:r w:rsidRPr="00EC20A0">
              <w:t>substantive</w:t>
            </w:r>
            <w:r w:rsidRPr="00EC20A0">
              <w:rPr>
                <w:spacing w:val="-8"/>
              </w:rPr>
              <w:t xml:space="preserve"> </w:t>
            </w:r>
            <w:r w:rsidRPr="00EC20A0">
              <w:rPr>
                <w:spacing w:val="-2"/>
              </w:rPr>
              <w:t>testing</w:t>
            </w:r>
          </w:p>
          <w:p w14:paraId="24D617B2" w14:textId="77777777" w:rsidR="00245300" w:rsidRPr="00EC20A0" w:rsidRDefault="00F17249">
            <w:pPr>
              <w:pStyle w:val="TableParagraph"/>
              <w:spacing w:line="252" w:lineRule="exact"/>
              <w:ind w:left="92"/>
            </w:pPr>
            <w:r w:rsidRPr="00EC20A0">
              <w:t>procedures</w:t>
            </w:r>
            <w:r w:rsidRPr="00EC20A0">
              <w:rPr>
                <w:spacing w:val="-4"/>
              </w:rPr>
              <w:t xml:space="preserve"> </w:t>
            </w:r>
            <w:r w:rsidRPr="00EC20A0">
              <w:t>and</w:t>
            </w:r>
            <w:r w:rsidRPr="00EC20A0">
              <w:rPr>
                <w:spacing w:val="-3"/>
              </w:rPr>
              <w:t xml:space="preserve"> </w:t>
            </w:r>
            <w:r w:rsidRPr="00EC20A0">
              <w:t>whether</w:t>
            </w:r>
            <w:r w:rsidRPr="00EC20A0">
              <w:rPr>
                <w:spacing w:val="-3"/>
              </w:rPr>
              <w:t xml:space="preserve"> </w:t>
            </w:r>
            <w:r w:rsidRPr="00EC20A0">
              <w:t>to</w:t>
            </w:r>
            <w:r w:rsidRPr="00EC20A0">
              <w:rPr>
                <w:spacing w:val="-3"/>
              </w:rPr>
              <w:t xml:space="preserve"> </w:t>
            </w:r>
            <w:r w:rsidRPr="00EC20A0">
              <w:t>report</w:t>
            </w:r>
            <w:r w:rsidRPr="00EC20A0">
              <w:rPr>
                <w:spacing w:val="-3"/>
              </w:rPr>
              <w:t xml:space="preserve"> </w:t>
            </w:r>
            <w:r w:rsidRPr="00EC20A0">
              <w:t>a</w:t>
            </w:r>
            <w:r w:rsidRPr="00EC20A0">
              <w:rPr>
                <w:spacing w:val="-4"/>
              </w:rPr>
              <w:t xml:space="preserve"> </w:t>
            </w:r>
            <w:r w:rsidRPr="00EC20A0">
              <w:t>significant</w:t>
            </w:r>
            <w:r w:rsidRPr="00EC20A0">
              <w:rPr>
                <w:spacing w:val="-3"/>
              </w:rPr>
              <w:t xml:space="preserve"> </w:t>
            </w:r>
            <w:r w:rsidRPr="00EC20A0">
              <w:t>deficiency</w:t>
            </w:r>
            <w:r w:rsidRPr="00EC20A0">
              <w:rPr>
                <w:spacing w:val="-3"/>
              </w:rPr>
              <w:t xml:space="preserve"> </w:t>
            </w:r>
            <w:r w:rsidRPr="00EC20A0">
              <w:t>or</w:t>
            </w:r>
            <w:r w:rsidRPr="00EC20A0">
              <w:rPr>
                <w:spacing w:val="-5"/>
              </w:rPr>
              <w:t xml:space="preserve"> </w:t>
            </w:r>
            <w:r w:rsidRPr="00EC20A0">
              <w:t>material</w:t>
            </w:r>
            <w:r w:rsidRPr="00EC20A0">
              <w:rPr>
                <w:spacing w:val="-3"/>
              </w:rPr>
              <w:t xml:space="preserve"> </w:t>
            </w:r>
            <w:r w:rsidRPr="00EC20A0">
              <w:t>weakness</w:t>
            </w:r>
            <w:r w:rsidRPr="00EC20A0">
              <w:rPr>
                <w:spacing w:val="-3"/>
              </w:rPr>
              <w:t xml:space="preserve"> </w:t>
            </w:r>
            <w:r w:rsidRPr="00EC20A0">
              <w:t>in</w:t>
            </w:r>
            <w:r w:rsidRPr="00EC20A0">
              <w:rPr>
                <w:spacing w:val="-3"/>
              </w:rPr>
              <w:t xml:space="preserve"> </w:t>
            </w:r>
            <w:r w:rsidRPr="00EC20A0">
              <w:t>internal controls in the audit report. When intragovernmental activity and balances are material,</w:t>
            </w:r>
          </w:p>
        </w:tc>
      </w:tr>
    </w:tbl>
    <w:p w14:paraId="24D617B4" w14:textId="77777777" w:rsidR="00245300" w:rsidRPr="00EC20A0" w:rsidRDefault="00245300">
      <w:pPr>
        <w:spacing w:line="252" w:lineRule="exact"/>
        <w:sectPr w:rsidR="00245300" w:rsidRPr="00EC20A0">
          <w:pgSz w:w="12240" w:h="15840"/>
          <w:pgMar w:top="1340" w:right="1100" w:bottom="940" w:left="1240" w:header="721" w:footer="757" w:gutter="0"/>
          <w:cols w:space="720"/>
        </w:sectPr>
      </w:pPr>
    </w:p>
    <w:p w14:paraId="24D617B5"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7B9" w14:textId="77777777">
        <w:trPr>
          <w:trHeight w:val="625"/>
        </w:trPr>
        <w:tc>
          <w:tcPr>
            <w:tcW w:w="6696" w:type="dxa"/>
            <w:tcBorders>
              <w:right w:val="single" w:sz="4" w:space="0" w:color="000000"/>
            </w:tcBorders>
          </w:tcPr>
          <w:p w14:paraId="24D617B6"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7B7"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7B8"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7BD" w14:textId="77777777">
        <w:trPr>
          <w:trHeight w:val="1332"/>
        </w:trPr>
        <w:tc>
          <w:tcPr>
            <w:tcW w:w="9069" w:type="dxa"/>
            <w:gridSpan w:val="3"/>
            <w:tcBorders>
              <w:bottom w:val="single" w:sz="4" w:space="0" w:color="000000"/>
            </w:tcBorders>
          </w:tcPr>
          <w:p w14:paraId="24D617BA" w14:textId="77777777" w:rsidR="00245300" w:rsidRPr="00EC20A0" w:rsidRDefault="00F17249">
            <w:pPr>
              <w:pStyle w:val="TableParagraph"/>
              <w:spacing w:line="209" w:lineRule="exact"/>
              <w:ind w:left="92"/>
            </w:pPr>
            <w:r w:rsidRPr="00EC20A0">
              <w:t>significant</w:t>
            </w:r>
            <w:r w:rsidRPr="00EC20A0">
              <w:rPr>
                <w:spacing w:val="-7"/>
              </w:rPr>
              <w:t xml:space="preserve"> </w:t>
            </w:r>
            <w:r w:rsidRPr="00EC20A0">
              <w:t>additional</w:t>
            </w:r>
            <w:r w:rsidRPr="00EC20A0">
              <w:rPr>
                <w:spacing w:val="-7"/>
              </w:rPr>
              <w:t xml:space="preserve"> </w:t>
            </w:r>
            <w:r w:rsidRPr="00EC20A0">
              <w:t>work</w:t>
            </w:r>
            <w:r w:rsidRPr="00EC20A0">
              <w:rPr>
                <w:spacing w:val="-6"/>
              </w:rPr>
              <w:t xml:space="preserve"> </w:t>
            </w:r>
            <w:r w:rsidRPr="00EC20A0">
              <w:t>may</w:t>
            </w:r>
            <w:r w:rsidRPr="00EC20A0">
              <w:rPr>
                <w:spacing w:val="-7"/>
              </w:rPr>
              <w:t xml:space="preserve"> </w:t>
            </w:r>
            <w:r w:rsidRPr="00EC20A0">
              <w:t>be</w:t>
            </w:r>
            <w:r w:rsidRPr="00EC20A0">
              <w:rPr>
                <w:spacing w:val="-6"/>
              </w:rPr>
              <w:t xml:space="preserve"> </w:t>
            </w:r>
            <w:r w:rsidRPr="00EC20A0">
              <w:t>necessary</w:t>
            </w:r>
            <w:r w:rsidRPr="00EC20A0">
              <w:rPr>
                <w:spacing w:val="-8"/>
              </w:rPr>
              <w:t xml:space="preserve"> </w:t>
            </w:r>
            <w:r w:rsidRPr="00EC20A0">
              <w:t>to</w:t>
            </w:r>
            <w:r w:rsidRPr="00EC20A0">
              <w:rPr>
                <w:spacing w:val="-7"/>
              </w:rPr>
              <w:t xml:space="preserve"> </w:t>
            </w:r>
            <w:r w:rsidRPr="00EC20A0">
              <w:t>express</w:t>
            </w:r>
            <w:r w:rsidRPr="00EC20A0">
              <w:rPr>
                <w:spacing w:val="-7"/>
              </w:rPr>
              <w:t xml:space="preserve"> </w:t>
            </w:r>
            <w:r w:rsidRPr="00EC20A0">
              <w:t>an</w:t>
            </w:r>
            <w:r w:rsidRPr="00EC20A0">
              <w:rPr>
                <w:spacing w:val="-7"/>
              </w:rPr>
              <w:t xml:space="preserve"> </w:t>
            </w:r>
            <w:r w:rsidRPr="00EC20A0">
              <w:t>unmodified</w:t>
            </w:r>
            <w:r w:rsidRPr="00EC20A0">
              <w:rPr>
                <w:spacing w:val="-7"/>
              </w:rPr>
              <w:t xml:space="preserve"> </w:t>
            </w:r>
            <w:r w:rsidRPr="00EC20A0">
              <w:t>opinion</w:t>
            </w:r>
            <w:r w:rsidRPr="00EC20A0">
              <w:rPr>
                <w:spacing w:val="-7"/>
              </w:rPr>
              <w:t xml:space="preserve"> </w:t>
            </w:r>
            <w:r w:rsidRPr="00EC20A0">
              <w:t>on</w:t>
            </w:r>
            <w:r w:rsidRPr="00EC20A0">
              <w:rPr>
                <w:spacing w:val="-6"/>
              </w:rPr>
              <w:t xml:space="preserve"> </w:t>
            </w:r>
            <w:r w:rsidRPr="00EC20A0">
              <w:rPr>
                <w:spacing w:val="-5"/>
              </w:rPr>
              <w:t>the</w:t>
            </w:r>
          </w:p>
          <w:p w14:paraId="24D617BB" w14:textId="77777777" w:rsidR="00245300" w:rsidRPr="00EC20A0" w:rsidRDefault="00F17249">
            <w:pPr>
              <w:pStyle w:val="TableParagraph"/>
              <w:ind w:left="92"/>
            </w:pPr>
            <w:r w:rsidRPr="00EC20A0">
              <w:t>financial</w:t>
            </w:r>
            <w:r w:rsidRPr="00EC20A0">
              <w:rPr>
                <w:spacing w:val="-10"/>
              </w:rPr>
              <w:t xml:space="preserve"> </w:t>
            </w:r>
            <w:r w:rsidRPr="00EC20A0">
              <w:rPr>
                <w:spacing w:val="-2"/>
              </w:rPr>
              <w:t>statements.</w:t>
            </w:r>
          </w:p>
          <w:p w14:paraId="24D617BC" w14:textId="77777777" w:rsidR="00245300" w:rsidRPr="00EC20A0" w:rsidRDefault="00F17249">
            <w:pPr>
              <w:pStyle w:val="TableParagraph"/>
              <w:spacing w:before="120"/>
              <w:ind w:left="92"/>
              <w:rPr>
                <w:sz w:val="20"/>
              </w:rPr>
            </w:pPr>
            <w:r w:rsidRPr="00EC20A0">
              <w:rPr>
                <w:sz w:val="20"/>
              </w:rPr>
              <w:t>Note:</w:t>
            </w:r>
            <w:r w:rsidRPr="00EC20A0">
              <w:rPr>
                <w:spacing w:val="-3"/>
                <w:sz w:val="20"/>
              </w:rPr>
              <w:t xml:space="preserve"> </w:t>
            </w:r>
            <w:r w:rsidRPr="00EC20A0">
              <w:rPr>
                <w:sz w:val="20"/>
              </w:rPr>
              <w:t>Listed</w:t>
            </w:r>
            <w:r w:rsidRPr="00EC20A0">
              <w:rPr>
                <w:spacing w:val="-3"/>
                <w:sz w:val="20"/>
              </w:rPr>
              <w:t xml:space="preserve"> </w:t>
            </w:r>
            <w:r w:rsidRPr="00EC20A0">
              <w:rPr>
                <w:sz w:val="20"/>
              </w:rPr>
              <w:t>below</w:t>
            </w:r>
            <w:r w:rsidRPr="00EC20A0">
              <w:rPr>
                <w:spacing w:val="-2"/>
                <w:sz w:val="20"/>
              </w:rPr>
              <w:t xml:space="preserve"> </w:t>
            </w:r>
            <w:r w:rsidRPr="00EC20A0">
              <w:rPr>
                <w:sz w:val="20"/>
              </w:rPr>
              <w:t>are</w:t>
            </w:r>
            <w:r w:rsidRPr="00EC20A0">
              <w:rPr>
                <w:spacing w:val="-3"/>
                <w:sz w:val="20"/>
              </w:rPr>
              <w:t xml:space="preserve"> </w:t>
            </w:r>
            <w:r w:rsidRPr="00EC20A0">
              <w:rPr>
                <w:sz w:val="20"/>
              </w:rPr>
              <w:t>possible</w:t>
            </w:r>
            <w:r w:rsidRPr="00EC20A0">
              <w:rPr>
                <w:spacing w:val="-3"/>
                <w:sz w:val="20"/>
              </w:rPr>
              <w:t xml:space="preserve"> </w:t>
            </w:r>
            <w:r w:rsidRPr="00EC20A0">
              <w:rPr>
                <w:sz w:val="20"/>
              </w:rPr>
              <w:t>testing</w:t>
            </w:r>
            <w:r w:rsidRPr="00EC20A0">
              <w:rPr>
                <w:spacing w:val="-3"/>
                <w:sz w:val="20"/>
              </w:rPr>
              <w:t xml:space="preserve"> </w:t>
            </w:r>
            <w:r w:rsidRPr="00EC20A0">
              <w:rPr>
                <w:sz w:val="20"/>
              </w:rPr>
              <w:t>procedures.</w:t>
            </w:r>
            <w:r w:rsidRPr="00EC20A0">
              <w:rPr>
                <w:spacing w:val="-5"/>
                <w:sz w:val="20"/>
              </w:rPr>
              <w:t xml:space="preserve"> </w:t>
            </w:r>
            <w:r w:rsidRPr="00EC20A0">
              <w:rPr>
                <w:sz w:val="20"/>
              </w:rPr>
              <w:t>Select</w:t>
            </w:r>
            <w:r w:rsidRPr="00EC20A0">
              <w:rPr>
                <w:spacing w:val="-3"/>
                <w:sz w:val="20"/>
              </w:rPr>
              <w:t xml:space="preserve"> </w:t>
            </w:r>
            <w:r w:rsidRPr="00EC20A0">
              <w:rPr>
                <w:sz w:val="20"/>
              </w:rPr>
              <w:t>procedures</w:t>
            </w:r>
            <w:r w:rsidRPr="00EC20A0">
              <w:rPr>
                <w:spacing w:val="-2"/>
                <w:sz w:val="20"/>
              </w:rPr>
              <w:t xml:space="preserve"> </w:t>
            </w:r>
            <w:r w:rsidRPr="00EC20A0">
              <w:rPr>
                <w:sz w:val="20"/>
              </w:rPr>
              <w:t>that</w:t>
            </w:r>
            <w:r w:rsidRPr="00EC20A0">
              <w:rPr>
                <w:spacing w:val="-3"/>
                <w:sz w:val="20"/>
              </w:rPr>
              <w:t xml:space="preserve"> </w:t>
            </w:r>
            <w:r w:rsidRPr="00EC20A0">
              <w:rPr>
                <w:sz w:val="20"/>
              </w:rPr>
              <w:t>test</w:t>
            </w:r>
            <w:r w:rsidRPr="00EC20A0">
              <w:rPr>
                <w:spacing w:val="-3"/>
                <w:sz w:val="20"/>
              </w:rPr>
              <w:t xml:space="preserve"> </w:t>
            </w:r>
            <w:r w:rsidRPr="00EC20A0">
              <w:rPr>
                <w:sz w:val="20"/>
              </w:rPr>
              <w:t>the</w:t>
            </w:r>
            <w:r w:rsidRPr="00EC20A0">
              <w:rPr>
                <w:spacing w:val="-3"/>
                <w:sz w:val="20"/>
              </w:rPr>
              <w:t xml:space="preserve"> </w:t>
            </w:r>
            <w:r w:rsidRPr="00EC20A0">
              <w:rPr>
                <w:sz w:val="20"/>
              </w:rPr>
              <w:t>control</w:t>
            </w:r>
            <w:r w:rsidRPr="00EC20A0">
              <w:rPr>
                <w:spacing w:val="-3"/>
                <w:sz w:val="20"/>
              </w:rPr>
              <w:t xml:space="preserve"> </w:t>
            </w:r>
            <w:r w:rsidRPr="00EC20A0">
              <w:rPr>
                <w:sz w:val="20"/>
              </w:rPr>
              <w:t xml:space="preserve">activities found to be designed and implemented effectively. In addition, determine </w:t>
            </w:r>
            <w:r w:rsidRPr="00EC20A0">
              <w:rPr>
                <w:i/>
                <w:sz w:val="20"/>
              </w:rPr>
              <w:t xml:space="preserve">when </w:t>
            </w:r>
            <w:r w:rsidRPr="00EC20A0">
              <w:rPr>
                <w:sz w:val="20"/>
              </w:rPr>
              <w:t>during the year to perform the procedures.</w:t>
            </w:r>
          </w:p>
        </w:tc>
      </w:tr>
      <w:tr w:rsidR="00245300" w:rsidRPr="00EC20A0" w14:paraId="24D617BF" w14:textId="77777777">
        <w:trPr>
          <w:trHeight w:val="372"/>
        </w:trPr>
        <w:tc>
          <w:tcPr>
            <w:tcW w:w="9069" w:type="dxa"/>
            <w:gridSpan w:val="3"/>
            <w:tcBorders>
              <w:top w:val="single" w:sz="4" w:space="0" w:color="000000"/>
              <w:bottom w:val="single" w:sz="4" w:space="0" w:color="000000"/>
            </w:tcBorders>
          </w:tcPr>
          <w:p w14:paraId="24D617BE" w14:textId="77777777" w:rsidR="00245300" w:rsidRPr="00EC20A0" w:rsidRDefault="00F17249">
            <w:pPr>
              <w:pStyle w:val="TableParagraph"/>
              <w:tabs>
                <w:tab w:val="left" w:pos="1604"/>
              </w:tabs>
              <w:spacing w:before="60"/>
              <w:ind w:left="92"/>
              <w:rPr>
                <w:b/>
                <w:i/>
              </w:rPr>
            </w:pPr>
            <w:r w:rsidRPr="00EC20A0">
              <w:rPr>
                <w:b/>
                <w:i/>
              </w:rPr>
              <w:t>Phase</w:t>
            </w:r>
            <w:r w:rsidRPr="00EC20A0">
              <w:rPr>
                <w:b/>
                <w:i/>
                <w:spacing w:val="-8"/>
              </w:rPr>
              <w:t xml:space="preserve"> </w:t>
            </w:r>
            <w:r w:rsidRPr="00EC20A0">
              <w:rPr>
                <w:b/>
                <w:i/>
                <w:spacing w:val="-5"/>
              </w:rPr>
              <w:t>I:</w:t>
            </w:r>
            <w:r w:rsidRPr="00EC20A0">
              <w:rPr>
                <w:b/>
                <w:i/>
              </w:rPr>
              <w:tab/>
              <w:t>Identifying</w:t>
            </w:r>
            <w:r w:rsidRPr="00EC20A0">
              <w:rPr>
                <w:b/>
                <w:i/>
                <w:spacing w:val="-10"/>
              </w:rPr>
              <w:t xml:space="preserve"> </w:t>
            </w:r>
            <w:r w:rsidRPr="00EC20A0">
              <w:rPr>
                <w:b/>
                <w:i/>
              </w:rPr>
              <w:t>and</w:t>
            </w:r>
            <w:r w:rsidRPr="00EC20A0">
              <w:rPr>
                <w:b/>
                <w:i/>
                <w:spacing w:val="-10"/>
              </w:rPr>
              <w:t xml:space="preserve"> </w:t>
            </w:r>
            <w:r w:rsidRPr="00EC20A0">
              <w:rPr>
                <w:b/>
                <w:i/>
              </w:rPr>
              <w:t>recording</w:t>
            </w:r>
            <w:r w:rsidRPr="00EC20A0">
              <w:rPr>
                <w:b/>
                <w:i/>
                <w:spacing w:val="-10"/>
              </w:rPr>
              <w:t xml:space="preserve"> </w:t>
            </w:r>
            <w:r w:rsidRPr="00EC20A0">
              <w:rPr>
                <w:b/>
                <w:i/>
              </w:rPr>
              <w:t>intragovernmental</w:t>
            </w:r>
            <w:r w:rsidRPr="00EC20A0">
              <w:rPr>
                <w:b/>
                <w:i/>
                <w:spacing w:val="-10"/>
              </w:rPr>
              <w:t xml:space="preserve"> </w:t>
            </w:r>
            <w:r w:rsidRPr="00EC20A0">
              <w:rPr>
                <w:b/>
                <w:i/>
              </w:rPr>
              <w:t>activity</w:t>
            </w:r>
            <w:r w:rsidRPr="00EC20A0">
              <w:rPr>
                <w:b/>
                <w:i/>
                <w:spacing w:val="-10"/>
              </w:rPr>
              <w:t xml:space="preserve"> </w:t>
            </w:r>
            <w:r w:rsidRPr="00EC20A0">
              <w:rPr>
                <w:b/>
                <w:i/>
              </w:rPr>
              <w:t>and</w:t>
            </w:r>
            <w:r w:rsidRPr="00EC20A0">
              <w:rPr>
                <w:b/>
                <w:i/>
                <w:spacing w:val="-10"/>
              </w:rPr>
              <w:t xml:space="preserve"> </w:t>
            </w:r>
            <w:r w:rsidRPr="00EC20A0">
              <w:rPr>
                <w:b/>
                <w:i/>
                <w:spacing w:val="-2"/>
              </w:rPr>
              <w:t>balances</w:t>
            </w:r>
          </w:p>
        </w:tc>
      </w:tr>
      <w:tr w:rsidR="00245300" w:rsidRPr="00EC20A0" w14:paraId="24D617C3" w14:textId="77777777">
        <w:trPr>
          <w:trHeight w:val="624"/>
        </w:trPr>
        <w:tc>
          <w:tcPr>
            <w:tcW w:w="6696" w:type="dxa"/>
            <w:tcBorders>
              <w:top w:val="single" w:sz="4" w:space="0" w:color="000000"/>
              <w:bottom w:val="nil"/>
              <w:right w:val="single" w:sz="4" w:space="0" w:color="000000"/>
            </w:tcBorders>
          </w:tcPr>
          <w:p w14:paraId="24D617C0" w14:textId="77777777" w:rsidR="00245300" w:rsidRPr="00EC20A0" w:rsidRDefault="00F17249">
            <w:pPr>
              <w:pStyle w:val="TableParagraph"/>
              <w:spacing w:before="60"/>
              <w:ind w:left="759" w:hanging="361"/>
            </w:pPr>
            <w:r w:rsidRPr="00EC20A0">
              <w:t>1)</w:t>
            </w:r>
            <w:r w:rsidRPr="00EC20A0">
              <w:rPr>
                <w:spacing w:val="80"/>
              </w:rPr>
              <w:t xml:space="preserve"> </w:t>
            </w:r>
            <w:r w:rsidRPr="00EC20A0">
              <w:t>Test</w:t>
            </w:r>
            <w:r w:rsidRPr="00EC20A0">
              <w:rPr>
                <w:spacing w:val="-4"/>
              </w:rPr>
              <w:t xml:space="preserve"> </w:t>
            </w:r>
            <w:r w:rsidRPr="00EC20A0">
              <w:t>relevant</w:t>
            </w:r>
            <w:r w:rsidRPr="00EC20A0">
              <w:rPr>
                <w:spacing w:val="-4"/>
              </w:rPr>
              <w:t xml:space="preserve"> </w:t>
            </w:r>
            <w:r w:rsidRPr="00EC20A0">
              <w:t>control</w:t>
            </w:r>
            <w:r w:rsidRPr="00EC20A0">
              <w:rPr>
                <w:spacing w:val="-4"/>
              </w:rPr>
              <w:t xml:space="preserve"> </w:t>
            </w:r>
            <w:r w:rsidRPr="00EC20A0">
              <w:t>activities</w:t>
            </w:r>
            <w:r w:rsidRPr="00EC20A0">
              <w:rPr>
                <w:spacing w:val="-4"/>
              </w:rPr>
              <w:t xml:space="preserve"> </w:t>
            </w:r>
            <w:r w:rsidRPr="00EC20A0">
              <w:t>in</w:t>
            </w:r>
            <w:r w:rsidRPr="00EC20A0">
              <w:rPr>
                <w:spacing w:val="-4"/>
              </w:rPr>
              <w:t xml:space="preserve"> </w:t>
            </w:r>
            <w:r w:rsidRPr="00EC20A0">
              <w:t>Phase</w:t>
            </w:r>
            <w:r w:rsidRPr="00EC20A0">
              <w:rPr>
                <w:spacing w:val="-4"/>
              </w:rPr>
              <w:t xml:space="preserve"> </w:t>
            </w:r>
            <w:r w:rsidRPr="00EC20A0">
              <w:t>I</w:t>
            </w:r>
            <w:r w:rsidRPr="00EC20A0">
              <w:rPr>
                <w:spacing w:val="-4"/>
              </w:rPr>
              <w:t xml:space="preserve"> </w:t>
            </w:r>
            <w:r w:rsidRPr="00EC20A0">
              <w:t>that</w:t>
            </w:r>
            <w:r w:rsidRPr="00EC20A0">
              <w:rPr>
                <w:spacing w:val="-4"/>
              </w:rPr>
              <w:t xml:space="preserve"> </w:t>
            </w:r>
            <w:r w:rsidRPr="00EC20A0">
              <w:t>have</w:t>
            </w:r>
            <w:r w:rsidRPr="00EC20A0">
              <w:rPr>
                <w:spacing w:val="-4"/>
              </w:rPr>
              <w:t xml:space="preserve"> </w:t>
            </w:r>
            <w:r w:rsidRPr="00EC20A0">
              <w:t xml:space="preserve">been </w:t>
            </w:r>
            <w:r w:rsidRPr="00EC20A0">
              <w:rPr>
                <w:spacing w:val="-2"/>
              </w:rPr>
              <w:t>implemented.</w:t>
            </w:r>
          </w:p>
        </w:tc>
        <w:tc>
          <w:tcPr>
            <w:tcW w:w="1144" w:type="dxa"/>
            <w:vMerge w:val="restart"/>
            <w:tcBorders>
              <w:top w:val="single" w:sz="4" w:space="0" w:color="000000"/>
              <w:left w:val="single" w:sz="4" w:space="0" w:color="000000"/>
              <w:bottom w:val="single" w:sz="4" w:space="0" w:color="000000"/>
              <w:right w:val="single" w:sz="4" w:space="0" w:color="000000"/>
            </w:tcBorders>
          </w:tcPr>
          <w:p w14:paraId="24D617C1" w14:textId="77777777" w:rsidR="00245300" w:rsidRPr="00EC20A0" w:rsidRDefault="00245300">
            <w:pPr>
              <w:pStyle w:val="TableParagraph"/>
              <w:rPr>
                <w:sz w:val="20"/>
              </w:rPr>
            </w:pPr>
          </w:p>
        </w:tc>
        <w:tc>
          <w:tcPr>
            <w:tcW w:w="1229" w:type="dxa"/>
            <w:vMerge w:val="restart"/>
            <w:tcBorders>
              <w:top w:val="single" w:sz="4" w:space="0" w:color="000000"/>
              <w:left w:val="single" w:sz="4" w:space="0" w:color="000000"/>
              <w:bottom w:val="single" w:sz="4" w:space="0" w:color="000000"/>
            </w:tcBorders>
          </w:tcPr>
          <w:p w14:paraId="24D617C2" w14:textId="77777777" w:rsidR="00245300" w:rsidRPr="00EC20A0" w:rsidRDefault="00245300">
            <w:pPr>
              <w:pStyle w:val="TableParagraph"/>
              <w:rPr>
                <w:sz w:val="20"/>
              </w:rPr>
            </w:pPr>
          </w:p>
        </w:tc>
      </w:tr>
      <w:tr w:rsidR="00245300" w:rsidRPr="00EC20A0" w14:paraId="24D617C7" w14:textId="77777777">
        <w:trPr>
          <w:trHeight w:val="1629"/>
        </w:trPr>
        <w:tc>
          <w:tcPr>
            <w:tcW w:w="6696" w:type="dxa"/>
            <w:tcBorders>
              <w:top w:val="nil"/>
              <w:bottom w:val="single" w:sz="4" w:space="0" w:color="000000"/>
              <w:right w:val="single" w:sz="4" w:space="0" w:color="000000"/>
            </w:tcBorders>
          </w:tcPr>
          <w:p w14:paraId="24D617C4" w14:textId="77777777" w:rsidR="00245300" w:rsidRPr="00EC20A0" w:rsidRDefault="00F17249">
            <w:pPr>
              <w:pStyle w:val="TableParagraph"/>
              <w:tabs>
                <w:tab w:val="left" w:pos="1244"/>
              </w:tabs>
              <w:spacing w:before="51"/>
              <w:ind w:left="1244" w:right="188" w:hanging="396"/>
            </w:pPr>
            <w:r w:rsidRPr="00EC20A0">
              <w:rPr>
                <w:spacing w:val="-6"/>
              </w:rPr>
              <w:t>a)</w:t>
            </w:r>
            <w:r w:rsidRPr="00EC20A0">
              <w:tab/>
              <w:t>Review</w:t>
            </w:r>
            <w:r w:rsidRPr="00EC20A0">
              <w:rPr>
                <w:spacing w:val="-5"/>
              </w:rPr>
              <w:t xml:space="preserve"> </w:t>
            </w:r>
            <w:r w:rsidRPr="00EC20A0">
              <w:t>interagency</w:t>
            </w:r>
            <w:r w:rsidRPr="00EC20A0">
              <w:rPr>
                <w:spacing w:val="-5"/>
              </w:rPr>
              <w:t xml:space="preserve"> </w:t>
            </w:r>
            <w:r w:rsidRPr="00EC20A0">
              <w:t>(i.e.,</w:t>
            </w:r>
            <w:r w:rsidRPr="00EC20A0">
              <w:rPr>
                <w:spacing w:val="-5"/>
              </w:rPr>
              <w:t xml:space="preserve"> </w:t>
            </w:r>
            <w:r w:rsidRPr="00EC20A0">
              <w:t>inter-entity)</w:t>
            </w:r>
            <w:r w:rsidRPr="00EC20A0">
              <w:rPr>
                <w:spacing w:val="-6"/>
              </w:rPr>
              <w:t xml:space="preserve"> </w:t>
            </w:r>
            <w:r w:rsidRPr="00EC20A0">
              <w:t>agreements</w:t>
            </w:r>
            <w:r w:rsidRPr="00EC20A0">
              <w:rPr>
                <w:spacing w:val="-5"/>
              </w:rPr>
              <w:t xml:space="preserve"> </w:t>
            </w:r>
            <w:r w:rsidRPr="00EC20A0">
              <w:t>and test an audit sample of transactions to determine whether</w:t>
            </w:r>
            <w:r w:rsidRPr="00EC20A0">
              <w:rPr>
                <w:spacing w:val="-5"/>
              </w:rPr>
              <w:t xml:space="preserve"> </w:t>
            </w:r>
            <w:r w:rsidRPr="00EC20A0">
              <w:t>they</w:t>
            </w:r>
            <w:r w:rsidRPr="00EC20A0">
              <w:rPr>
                <w:spacing w:val="-5"/>
              </w:rPr>
              <w:t xml:space="preserve"> </w:t>
            </w:r>
            <w:r w:rsidRPr="00EC20A0">
              <w:t>are</w:t>
            </w:r>
            <w:r w:rsidRPr="00EC20A0">
              <w:rPr>
                <w:spacing w:val="-5"/>
              </w:rPr>
              <w:t xml:space="preserve"> </w:t>
            </w:r>
            <w:r w:rsidRPr="00EC20A0">
              <w:t>recorded</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general</w:t>
            </w:r>
            <w:r w:rsidRPr="00EC20A0">
              <w:rPr>
                <w:spacing w:val="-5"/>
              </w:rPr>
              <w:t xml:space="preserve"> </w:t>
            </w:r>
            <w:r w:rsidRPr="00EC20A0">
              <w:t>ledger</w:t>
            </w:r>
            <w:r w:rsidRPr="00EC20A0">
              <w:rPr>
                <w:spacing w:val="-5"/>
              </w:rPr>
              <w:t xml:space="preserve"> </w:t>
            </w:r>
            <w:r w:rsidRPr="00EC20A0">
              <w:t>in</w:t>
            </w:r>
            <w:r w:rsidRPr="00EC20A0">
              <w:rPr>
                <w:spacing w:val="-5"/>
              </w:rPr>
              <w:t xml:space="preserve"> </w:t>
            </w:r>
            <w:r w:rsidRPr="00EC20A0">
              <w:t xml:space="preserve">the proper period and with the proper dollar amount, trading partner code, domain, attribute, and USSGL </w:t>
            </w:r>
            <w:r w:rsidRPr="00EC20A0">
              <w:rPr>
                <w:spacing w:val="-2"/>
              </w:rPr>
              <w:t>account.</w:t>
            </w:r>
          </w:p>
        </w:tc>
        <w:tc>
          <w:tcPr>
            <w:tcW w:w="1144" w:type="dxa"/>
            <w:vMerge/>
            <w:tcBorders>
              <w:top w:val="nil"/>
              <w:left w:val="single" w:sz="4" w:space="0" w:color="000000"/>
              <w:bottom w:val="single" w:sz="4" w:space="0" w:color="000000"/>
              <w:right w:val="single" w:sz="4" w:space="0" w:color="000000"/>
            </w:tcBorders>
          </w:tcPr>
          <w:p w14:paraId="24D617C5" w14:textId="77777777" w:rsidR="00245300" w:rsidRPr="00EC20A0" w:rsidRDefault="00245300">
            <w:pPr>
              <w:rPr>
                <w:sz w:val="2"/>
                <w:szCs w:val="2"/>
              </w:rPr>
            </w:pPr>
          </w:p>
        </w:tc>
        <w:tc>
          <w:tcPr>
            <w:tcW w:w="1229" w:type="dxa"/>
            <w:vMerge/>
            <w:tcBorders>
              <w:top w:val="nil"/>
              <w:left w:val="single" w:sz="4" w:space="0" w:color="000000"/>
              <w:bottom w:val="single" w:sz="4" w:space="0" w:color="000000"/>
            </w:tcBorders>
          </w:tcPr>
          <w:p w14:paraId="24D617C6" w14:textId="77777777" w:rsidR="00245300" w:rsidRPr="00EC20A0" w:rsidRDefault="00245300">
            <w:pPr>
              <w:rPr>
                <w:sz w:val="2"/>
                <w:szCs w:val="2"/>
              </w:rPr>
            </w:pPr>
          </w:p>
        </w:tc>
      </w:tr>
      <w:tr w:rsidR="00245300" w:rsidRPr="00EC20A0" w14:paraId="24D617CB" w14:textId="77777777">
        <w:trPr>
          <w:trHeight w:val="2144"/>
        </w:trPr>
        <w:tc>
          <w:tcPr>
            <w:tcW w:w="6696" w:type="dxa"/>
            <w:tcBorders>
              <w:top w:val="single" w:sz="4" w:space="0" w:color="000000"/>
              <w:bottom w:val="single" w:sz="4" w:space="0" w:color="000000"/>
              <w:right w:val="single" w:sz="4" w:space="0" w:color="000000"/>
            </w:tcBorders>
          </w:tcPr>
          <w:p w14:paraId="24D617C8" w14:textId="77777777" w:rsidR="00245300" w:rsidRPr="00EC20A0" w:rsidRDefault="00F17249">
            <w:pPr>
              <w:pStyle w:val="TableParagraph"/>
              <w:tabs>
                <w:tab w:val="left" w:pos="1244"/>
              </w:tabs>
              <w:spacing w:before="60"/>
              <w:ind w:left="1244" w:right="103" w:hanging="397"/>
            </w:pPr>
            <w:r w:rsidRPr="00EC20A0">
              <w:rPr>
                <w:spacing w:val="-6"/>
              </w:rPr>
              <w:t>b)</w:t>
            </w:r>
            <w:r w:rsidRPr="00EC20A0">
              <w:tab/>
              <w:t xml:space="preserve">Test an audit sample of intragovernmental activity and balances to determine whether they are recorded in the general ledger in the </w:t>
            </w:r>
            <w:r w:rsidRPr="00EC20A0">
              <w:t>proper period and with the proper dollar amount, trading partner code, domain, attribute, and USSGL account. This includes sending confirmations</w:t>
            </w:r>
            <w:r w:rsidRPr="00EC20A0">
              <w:rPr>
                <w:spacing w:val="-6"/>
              </w:rPr>
              <w:t xml:space="preserve"> </w:t>
            </w:r>
            <w:r w:rsidRPr="00EC20A0">
              <w:t>to</w:t>
            </w:r>
            <w:r w:rsidRPr="00EC20A0">
              <w:rPr>
                <w:spacing w:val="-6"/>
              </w:rPr>
              <w:t xml:space="preserve"> </w:t>
            </w:r>
            <w:r w:rsidRPr="00EC20A0">
              <w:t>the</w:t>
            </w:r>
            <w:r w:rsidRPr="00EC20A0">
              <w:rPr>
                <w:spacing w:val="-6"/>
              </w:rPr>
              <w:t xml:space="preserve"> </w:t>
            </w:r>
            <w:r w:rsidRPr="00EC20A0">
              <w:t>trading</w:t>
            </w:r>
            <w:r w:rsidRPr="00EC20A0">
              <w:rPr>
                <w:spacing w:val="-6"/>
              </w:rPr>
              <w:t xml:space="preserve"> </w:t>
            </w:r>
            <w:r w:rsidRPr="00EC20A0">
              <w:t>partners</w:t>
            </w:r>
            <w:r w:rsidRPr="00EC20A0">
              <w:rPr>
                <w:spacing w:val="-7"/>
              </w:rPr>
              <w:t xml:space="preserve"> </w:t>
            </w:r>
            <w:r w:rsidRPr="00EC20A0">
              <w:t>to</w:t>
            </w:r>
            <w:r w:rsidRPr="00EC20A0">
              <w:rPr>
                <w:spacing w:val="-6"/>
              </w:rPr>
              <w:t xml:space="preserve"> </w:t>
            </w:r>
            <w:r w:rsidRPr="00EC20A0">
              <w:t>corroborate</w:t>
            </w:r>
            <w:r w:rsidRPr="00EC20A0">
              <w:rPr>
                <w:spacing w:val="-6"/>
              </w:rPr>
              <w:t xml:space="preserve"> </w:t>
            </w:r>
            <w:r w:rsidRPr="00EC20A0">
              <w:t>the existence, validity, and accuracy of the intragovernmental amounts.</w:t>
            </w:r>
          </w:p>
        </w:tc>
        <w:tc>
          <w:tcPr>
            <w:tcW w:w="1144" w:type="dxa"/>
            <w:tcBorders>
              <w:top w:val="single" w:sz="4" w:space="0" w:color="000000"/>
              <w:left w:val="single" w:sz="4" w:space="0" w:color="000000"/>
              <w:bottom w:val="single" w:sz="4" w:space="0" w:color="000000"/>
              <w:right w:val="single" w:sz="4" w:space="0" w:color="000000"/>
            </w:tcBorders>
          </w:tcPr>
          <w:p w14:paraId="24D617C9"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CA" w14:textId="77777777" w:rsidR="00245300" w:rsidRPr="00EC20A0" w:rsidRDefault="00245300">
            <w:pPr>
              <w:pStyle w:val="TableParagraph"/>
              <w:rPr>
                <w:sz w:val="20"/>
              </w:rPr>
            </w:pPr>
          </w:p>
        </w:tc>
      </w:tr>
      <w:tr w:rsidR="00245300" w:rsidRPr="00EC20A0" w14:paraId="24D617CF" w14:textId="77777777">
        <w:trPr>
          <w:trHeight w:val="877"/>
        </w:trPr>
        <w:tc>
          <w:tcPr>
            <w:tcW w:w="6696" w:type="dxa"/>
            <w:tcBorders>
              <w:top w:val="single" w:sz="4" w:space="0" w:color="000000"/>
              <w:bottom w:val="single" w:sz="4" w:space="0" w:color="000000"/>
              <w:right w:val="single" w:sz="4" w:space="0" w:color="000000"/>
            </w:tcBorders>
          </w:tcPr>
          <w:p w14:paraId="24D617CC" w14:textId="77777777" w:rsidR="00245300" w:rsidRPr="00EC20A0" w:rsidRDefault="00F17249">
            <w:pPr>
              <w:pStyle w:val="TableParagraph"/>
              <w:spacing w:before="60"/>
              <w:ind w:left="1244" w:right="310" w:hanging="396"/>
              <w:jc w:val="both"/>
            </w:pPr>
            <w:r w:rsidRPr="00EC20A0">
              <w:t>c)</w:t>
            </w:r>
            <w:r w:rsidRPr="00EC20A0">
              <w:rPr>
                <w:spacing w:val="80"/>
              </w:rPr>
              <w:t xml:space="preserve"> </w:t>
            </w:r>
            <w:r w:rsidRPr="00EC20A0">
              <w:t>Reconcile</w:t>
            </w:r>
            <w:r w:rsidRPr="00EC20A0">
              <w:rPr>
                <w:spacing w:val="-2"/>
              </w:rPr>
              <w:t xml:space="preserve"> </w:t>
            </w:r>
            <w:r w:rsidRPr="00EC20A0">
              <w:t>intragovernmental</w:t>
            </w:r>
            <w:r w:rsidRPr="00EC20A0">
              <w:rPr>
                <w:spacing w:val="-2"/>
              </w:rPr>
              <w:t xml:space="preserve"> </w:t>
            </w:r>
            <w:r w:rsidRPr="00EC20A0">
              <w:t>amounts</w:t>
            </w:r>
            <w:r w:rsidRPr="00EC20A0">
              <w:rPr>
                <w:spacing w:val="-2"/>
              </w:rPr>
              <w:t xml:space="preserve"> </w:t>
            </w:r>
            <w:r w:rsidRPr="00EC20A0">
              <w:t>in</w:t>
            </w:r>
            <w:r w:rsidRPr="00EC20A0">
              <w:rPr>
                <w:spacing w:val="-2"/>
              </w:rPr>
              <w:t xml:space="preserve"> </w:t>
            </w:r>
            <w:r w:rsidRPr="00EC20A0">
              <w:t>the</w:t>
            </w:r>
            <w:r w:rsidRPr="00EC20A0">
              <w:rPr>
                <w:spacing w:val="-2"/>
              </w:rPr>
              <w:t xml:space="preserve"> </w:t>
            </w:r>
            <w:r w:rsidRPr="00EC20A0">
              <w:t>general ledger,</w:t>
            </w:r>
            <w:r w:rsidRPr="00EC20A0">
              <w:rPr>
                <w:spacing w:val="-6"/>
              </w:rPr>
              <w:t xml:space="preserve"> </w:t>
            </w:r>
            <w:r w:rsidRPr="00EC20A0">
              <w:t>by</w:t>
            </w:r>
            <w:r w:rsidRPr="00EC20A0">
              <w:rPr>
                <w:spacing w:val="-6"/>
              </w:rPr>
              <w:t xml:space="preserve"> </w:t>
            </w:r>
            <w:r w:rsidRPr="00EC20A0">
              <w:t>trading</w:t>
            </w:r>
            <w:r w:rsidRPr="00EC20A0">
              <w:rPr>
                <w:spacing w:val="-6"/>
              </w:rPr>
              <w:t xml:space="preserve"> </w:t>
            </w:r>
            <w:r w:rsidRPr="00EC20A0">
              <w:t>partner</w:t>
            </w:r>
            <w:r w:rsidRPr="00EC20A0">
              <w:rPr>
                <w:spacing w:val="-6"/>
              </w:rPr>
              <w:t xml:space="preserve"> </w:t>
            </w:r>
            <w:r w:rsidRPr="00EC20A0">
              <w:t>and</w:t>
            </w:r>
            <w:r w:rsidRPr="00EC20A0">
              <w:rPr>
                <w:spacing w:val="-6"/>
              </w:rPr>
              <w:t xml:space="preserve"> </w:t>
            </w:r>
            <w:r w:rsidRPr="00EC20A0">
              <w:t>reciprocal</w:t>
            </w:r>
            <w:r w:rsidRPr="00EC20A0">
              <w:rPr>
                <w:spacing w:val="-6"/>
              </w:rPr>
              <w:t xml:space="preserve"> </w:t>
            </w:r>
            <w:r w:rsidRPr="00EC20A0">
              <w:t>category,</w:t>
            </w:r>
            <w:r w:rsidRPr="00EC20A0">
              <w:rPr>
                <w:spacing w:val="-6"/>
              </w:rPr>
              <w:t xml:space="preserve"> </w:t>
            </w:r>
            <w:r w:rsidRPr="00EC20A0">
              <w:t>to those in subsidiary ledgers.</w:t>
            </w:r>
          </w:p>
        </w:tc>
        <w:tc>
          <w:tcPr>
            <w:tcW w:w="1144" w:type="dxa"/>
            <w:tcBorders>
              <w:top w:val="single" w:sz="4" w:space="0" w:color="000000"/>
              <w:left w:val="single" w:sz="4" w:space="0" w:color="000000"/>
              <w:bottom w:val="single" w:sz="4" w:space="0" w:color="000000"/>
              <w:right w:val="single" w:sz="4" w:space="0" w:color="000000"/>
            </w:tcBorders>
          </w:tcPr>
          <w:p w14:paraId="24D617CD"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CE" w14:textId="77777777" w:rsidR="00245300" w:rsidRPr="00EC20A0" w:rsidRDefault="00245300">
            <w:pPr>
              <w:pStyle w:val="TableParagraph"/>
              <w:rPr>
                <w:sz w:val="20"/>
              </w:rPr>
            </w:pPr>
          </w:p>
        </w:tc>
      </w:tr>
      <w:tr w:rsidR="00245300" w:rsidRPr="00EC20A0" w14:paraId="24D617D3" w14:textId="77777777">
        <w:trPr>
          <w:trHeight w:val="879"/>
        </w:trPr>
        <w:tc>
          <w:tcPr>
            <w:tcW w:w="6696" w:type="dxa"/>
            <w:tcBorders>
              <w:top w:val="single" w:sz="4" w:space="0" w:color="000000"/>
              <w:bottom w:val="single" w:sz="4" w:space="0" w:color="000000"/>
              <w:right w:val="single" w:sz="4" w:space="0" w:color="000000"/>
            </w:tcBorders>
          </w:tcPr>
          <w:p w14:paraId="24D617D0" w14:textId="77777777" w:rsidR="00245300" w:rsidRPr="00EC20A0" w:rsidRDefault="00F17249">
            <w:pPr>
              <w:pStyle w:val="TableParagraph"/>
              <w:spacing w:before="60"/>
              <w:ind w:left="1244" w:right="274" w:hanging="397"/>
              <w:jc w:val="both"/>
            </w:pPr>
            <w:r w:rsidRPr="00EC20A0">
              <w:t>d)</w:t>
            </w:r>
            <w:r w:rsidRPr="00EC20A0">
              <w:rPr>
                <w:spacing w:val="80"/>
              </w:rPr>
              <w:t xml:space="preserve"> </w:t>
            </w:r>
            <w:r w:rsidRPr="00EC20A0">
              <w:t>Review</w:t>
            </w:r>
            <w:r w:rsidRPr="00EC20A0">
              <w:rPr>
                <w:spacing w:val="-5"/>
              </w:rPr>
              <w:t xml:space="preserve"> </w:t>
            </w:r>
            <w:r w:rsidRPr="00EC20A0">
              <w:t>all</w:t>
            </w:r>
            <w:r w:rsidRPr="00EC20A0">
              <w:rPr>
                <w:spacing w:val="-4"/>
              </w:rPr>
              <w:t xml:space="preserve"> </w:t>
            </w:r>
            <w:r w:rsidRPr="00EC20A0">
              <w:t>JV</w:t>
            </w:r>
            <w:r w:rsidRPr="00EC20A0">
              <w:rPr>
                <w:spacing w:val="-4"/>
              </w:rPr>
              <w:t xml:space="preserve"> </w:t>
            </w:r>
            <w:r w:rsidRPr="00EC20A0">
              <w:t>adjustments</w:t>
            </w:r>
            <w:r w:rsidRPr="00EC20A0">
              <w:rPr>
                <w:spacing w:val="-4"/>
              </w:rPr>
              <w:t xml:space="preserve"> </w:t>
            </w:r>
            <w:r w:rsidRPr="00EC20A0">
              <w:t>recorded</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point</w:t>
            </w:r>
            <w:r w:rsidRPr="00EC20A0">
              <w:rPr>
                <w:spacing w:val="-4"/>
              </w:rPr>
              <w:t xml:space="preserve"> </w:t>
            </w:r>
            <w:r w:rsidRPr="00EC20A0">
              <w:t xml:space="preserve">of the signed interagency agreement until </w:t>
            </w:r>
            <w:r w:rsidRPr="00EC20A0">
              <w:t>liquidation of the obligation or unfilled customer order.</w:t>
            </w:r>
          </w:p>
        </w:tc>
        <w:tc>
          <w:tcPr>
            <w:tcW w:w="1144" w:type="dxa"/>
            <w:tcBorders>
              <w:top w:val="single" w:sz="4" w:space="0" w:color="000000"/>
              <w:left w:val="single" w:sz="4" w:space="0" w:color="000000"/>
              <w:bottom w:val="single" w:sz="4" w:space="0" w:color="000000"/>
              <w:right w:val="single" w:sz="4" w:space="0" w:color="000000"/>
            </w:tcBorders>
          </w:tcPr>
          <w:p w14:paraId="24D617D1"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D2" w14:textId="77777777" w:rsidR="00245300" w:rsidRPr="00EC20A0" w:rsidRDefault="00245300">
            <w:pPr>
              <w:pStyle w:val="TableParagraph"/>
              <w:rPr>
                <w:sz w:val="20"/>
              </w:rPr>
            </w:pPr>
          </w:p>
        </w:tc>
      </w:tr>
      <w:tr w:rsidR="00245300" w:rsidRPr="00EC20A0" w14:paraId="24D617D7" w14:textId="77777777">
        <w:trPr>
          <w:trHeight w:val="371"/>
        </w:trPr>
        <w:tc>
          <w:tcPr>
            <w:tcW w:w="6696" w:type="dxa"/>
            <w:tcBorders>
              <w:top w:val="single" w:sz="4" w:space="0" w:color="000000"/>
              <w:bottom w:val="nil"/>
              <w:right w:val="single" w:sz="4" w:space="0" w:color="000000"/>
            </w:tcBorders>
          </w:tcPr>
          <w:p w14:paraId="24D617D4" w14:textId="77777777" w:rsidR="00245300" w:rsidRPr="00EC20A0" w:rsidRDefault="00F17249">
            <w:pPr>
              <w:pStyle w:val="TableParagraph"/>
              <w:spacing w:before="60"/>
              <w:ind w:left="452"/>
            </w:pPr>
            <w:r w:rsidRPr="00EC20A0">
              <w:rPr>
                <w:u w:val="single"/>
              </w:rPr>
              <w:t>The</w:t>
            </w:r>
            <w:r w:rsidRPr="00EC20A0">
              <w:rPr>
                <w:spacing w:val="-6"/>
                <w:u w:val="single"/>
              </w:rPr>
              <w:t xml:space="preserve"> </w:t>
            </w:r>
            <w:r w:rsidRPr="00EC20A0">
              <w:rPr>
                <w:u w:val="single"/>
              </w:rPr>
              <w:t>following</w:t>
            </w:r>
            <w:r w:rsidRPr="00EC20A0">
              <w:rPr>
                <w:spacing w:val="-6"/>
                <w:u w:val="single"/>
              </w:rPr>
              <w:t xml:space="preserve"> </w:t>
            </w:r>
            <w:r w:rsidRPr="00EC20A0">
              <w:rPr>
                <w:u w:val="single"/>
              </w:rPr>
              <w:t>phase</w:t>
            </w:r>
            <w:r w:rsidRPr="00EC20A0">
              <w:rPr>
                <w:spacing w:val="-6"/>
                <w:u w:val="single"/>
              </w:rPr>
              <w:t xml:space="preserve"> </w:t>
            </w:r>
            <w:r w:rsidRPr="00EC20A0">
              <w:rPr>
                <w:u w:val="single"/>
              </w:rPr>
              <w:t>I</w:t>
            </w:r>
            <w:r w:rsidRPr="00EC20A0">
              <w:rPr>
                <w:spacing w:val="-6"/>
                <w:u w:val="single"/>
              </w:rPr>
              <w:t xml:space="preserve"> </w:t>
            </w:r>
            <w:r w:rsidRPr="00EC20A0">
              <w:rPr>
                <w:u w:val="single"/>
              </w:rPr>
              <w:t>procedures</w:t>
            </w:r>
            <w:r w:rsidRPr="00EC20A0">
              <w:rPr>
                <w:spacing w:val="-7"/>
                <w:u w:val="single"/>
              </w:rPr>
              <w:t xml:space="preserve"> </w:t>
            </w:r>
            <w:r w:rsidRPr="00EC20A0">
              <w:rPr>
                <w:u w:val="single"/>
              </w:rPr>
              <w:t>are</w:t>
            </w:r>
            <w:r w:rsidRPr="00EC20A0">
              <w:rPr>
                <w:spacing w:val="-6"/>
                <w:u w:val="single"/>
              </w:rPr>
              <w:t xml:space="preserve"> </w:t>
            </w:r>
            <w:r w:rsidRPr="00EC20A0">
              <w:rPr>
                <w:u w:val="single"/>
              </w:rPr>
              <w:t>done</w:t>
            </w:r>
            <w:r w:rsidRPr="00EC20A0">
              <w:rPr>
                <w:spacing w:val="-6"/>
                <w:u w:val="single"/>
              </w:rPr>
              <w:t xml:space="preserve"> </w:t>
            </w:r>
            <w:r w:rsidRPr="00EC20A0">
              <w:rPr>
                <w:u w:val="single"/>
              </w:rPr>
              <w:t>only</w:t>
            </w:r>
            <w:r w:rsidRPr="00EC20A0">
              <w:rPr>
                <w:spacing w:val="-6"/>
                <w:u w:val="single"/>
              </w:rPr>
              <w:t xml:space="preserve"> </w:t>
            </w:r>
            <w:r w:rsidRPr="00EC20A0">
              <w:rPr>
                <w:u w:val="single"/>
              </w:rPr>
              <w:t>at</w:t>
            </w:r>
            <w:r w:rsidRPr="00EC20A0">
              <w:rPr>
                <w:spacing w:val="-6"/>
                <w:u w:val="single"/>
              </w:rPr>
              <w:t xml:space="preserve"> </w:t>
            </w:r>
            <w:r w:rsidRPr="00EC20A0">
              <w:rPr>
                <w:u w:val="single"/>
              </w:rPr>
              <w:t>year-</w:t>
            </w:r>
            <w:r w:rsidRPr="00EC20A0">
              <w:rPr>
                <w:spacing w:val="-5"/>
                <w:u w:val="single"/>
              </w:rPr>
              <w:t>end</w:t>
            </w:r>
          </w:p>
        </w:tc>
        <w:tc>
          <w:tcPr>
            <w:tcW w:w="1144" w:type="dxa"/>
            <w:vMerge w:val="restart"/>
            <w:tcBorders>
              <w:top w:val="single" w:sz="4" w:space="0" w:color="000000"/>
              <w:left w:val="single" w:sz="4" w:space="0" w:color="000000"/>
              <w:bottom w:val="single" w:sz="4" w:space="0" w:color="000000"/>
              <w:right w:val="single" w:sz="4" w:space="0" w:color="000000"/>
            </w:tcBorders>
          </w:tcPr>
          <w:p w14:paraId="24D617D5" w14:textId="77777777" w:rsidR="00245300" w:rsidRPr="00EC20A0" w:rsidRDefault="00245300">
            <w:pPr>
              <w:pStyle w:val="TableParagraph"/>
              <w:rPr>
                <w:sz w:val="20"/>
              </w:rPr>
            </w:pPr>
          </w:p>
        </w:tc>
        <w:tc>
          <w:tcPr>
            <w:tcW w:w="1229" w:type="dxa"/>
            <w:vMerge w:val="restart"/>
            <w:tcBorders>
              <w:top w:val="single" w:sz="4" w:space="0" w:color="000000"/>
              <w:left w:val="single" w:sz="4" w:space="0" w:color="000000"/>
              <w:bottom w:val="single" w:sz="4" w:space="0" w:color="000000"/>
            </w:tcBorders>
          </w:tcPr>
          <w:p w14:paraId="24D617D6" w14:textId="77777777" w:rsidR="00245300" w:rsidRPr="00EC20A0" w:rsidRDefault="00245300">
            <w:pPr>
              <w:pStyle w:val="TableParagraph"/>
              <w:rPr>
                <w:sz w:val="20"/>
              </w:rPr>
            </w:pPr>
          </w:p>
        </w:tc>
      </w:tr>
      <w:tr w:rsidR="00245300" w:rsidRPr="00EC20A0" w14:paraId="24D617DB" w14:textId="77777777">
        <w:trPr>
          <w:trHeight w:val="1375"/>
        </w:trPr>
        <w:tc>
          <w:tcPr>
            <w:tcW w:w="6696" w:type="dxa"/>
            <w:tcBorders>
              <w:top w:val="nil"/>
              <w:bottom w:val="single" w:sz="4" w:space="0" w:color="000000"/>
              <w:right w:val="single" w:sz="4" w:space="0" w:color="000000"/>
            </w:tcBorders>
          </w:tcPr>
          <w:p w14:paraId="24D617D8" w14:textId="77777777" w:rsidR="00245300" w:rsidRPr="00EC20A0" w:rsidRDefault="00F17249">
            <w:pPr>
              <w:pStyle w:val="TableParagraph"/>
              <w:tabs>
                <w:tab w:val="left" w:pos="1244"/>
              </w:tabs>
              <w:spacing w:before="51"/>
              <w:ind w:left="1244" w:right="406" w:hanging="397"/>
            </w:pPr>
            <w:r w:rsidRPr="00EC20A0">
              <w:rPr>
                <w:spacing w:val="-6"/>
              </w:rPr>
              <w:t>e)</w:t>
            </w:r>
            <w:r w:rsidRPr="00EC20A0">
              <w:tab/>
              <w:t>If</w:t>
            </w:r>
            <w:r w:rsidRPr="00EC20A0">
              <w:rPr>
                <w:spacing w:val="-4"/>
              </w:rPr>
              <w:t xml:space="preserve"> </w:t>
            </w:r>
            <w:r w:rsidRPr="00EC20A0">
              <w:t>misstatements</w:t>
            </w:r>
            <w:r w:rsidRPr="00EC20A0">
              <w:rPr>
                <w:spacing w:val="-4"/>
              </w:rPr>
              <w:t xml:space="preserve"> </w:t>
            </w:r>
            <w:r w:rsidRPr="00EC20A0">
              <w:t>are</w:t>
            </w:r>
            <w:r w:rsidRPr="00EC20A0">
              <w:rPr>
                <w:spacing w:val="-4"/>
              </w:rPr>
              <w:t xml:space="preserve"> </w:t>
            </w:r>
            <w:r w:rsidRPr="00EC20A0">
              <w:t>found</w:t>
            </w:r>
            <w:r w:rsidRPr="00EC20A0">
              <w:rPr>
                <w:spacing w:val="-4"/>
              </w:rPr>
              <w:t xml:space="preserve"> </w:t>
            </w:r>
            <w:r w:rsidRPr="00EC20A0">
              <w:t>(per</w:t>
            </w:r>
            <w:r w:rsidRPr="00EC20A0">
              <w:rPr>
                <w:spacing w:val="-4"/>
              </w:rPr>
              <w:t xml:space="preserve"> </w:t>
            </w:r>
            <w:r w:rsidRPr="00EC20A0">
              <w:t>above</w:t>
            </w:r>
            <w:r w:rsidRPr="00EC20A0">
              <w:rPr>
                <w:spacing w:val="-4"/>
              </w:rPr>
              <w:t xml:space="preserve"> </w:t>
            </w:r>
            <w:r w:rsidRPr="00EC20A0">
              <w:t>procedures), evaluate</w:t>
            </w:r>
            <w:r w:rsidRPr="00EC20A0">
              <w:rPr>
                <w:spacing w:val="-6"/>
              </w:rPr>
              <w:t xml:space="preserve"> </w:t>
            </w:r>
            <w:r w:rsidRPr="00EC20A0">
              <w:t>the</w:t>
            </w:r>
            <w:r w:rsidRPr="00EC20A0">
              <w:rPr>
                <w:spacing w:val="-7"/>
              </w:rPr>
              <w:t xml:space="preserve"> </w:t>
            </w:r>
            <w:r w:rsidRPr="00EC20A0">
              <w:t>effects</w:t>
            </w:r>
            <w:r w:rsidRPr="00EC20A0">
              <w:rPr>
                <w:spacing w:val="-5"/>
              </w:rPr>
              <w:t xml:space="preserve"> </w:t>
            </w:r>
            <w:r w:rsidRPr="00EC20A0">
              <w:t>on</w:t>
            </w:r>
            <w:r w:rsidRPr="00EC20A0">
              <w:rPr>
                <w:spacing w:val="-6"/>
              </w:rPr>
              <w:t xml:space="preserve"> </w:t>
            </w:r>
            <w:r w:rsidRPr="00EC20A0">
              <w:t>the</w:t>
            </w:r>
            <w:r w:rsidRPr="00EC20A0">
              <w:rPr>
                <w:spacing w:val="-6"/>
              </w:rPr>
              <w:t xml:space="preserve"> </w:t>
            </w:r>
            <w:r w:rsidRPr="00EC20A0">
              <w:t>financial</w:t>
            </w:r>
            <w:r w:rsidRPr="00EC20A0">
              <w:rPr>
                <w:spacing w:val="-7"/>
              </w:rPr>
              <w:t xml:space="preserve"> </w:t>
            </w:r>
            <w:r w:rsidRPr="00EC20A0">
              <w:t>statements</w:t>
            </w:r>
            <w:r w:rsidRPr="00EC20A0">
              <w:rPr>
                <w:spacing w:val="-5"/>
              </w:rPr>
              <w:t xml:space="preserve"> </w:t>
            </w:r>
            <w:r w:rsidRPr="00EC20A0">
              <w:t xml:space="preserve">and auditor’s reports in </w:t>
            </w:r>
            <w:r w:rsidRPr="00EC20A0">
              <w:t>accordance with FAM 540 and accumulate</w:t>
            </w:r>
            <w:r w:rsidRPr="00EC20A0">
              <w:rPr>
                <w:spacing w:val="-8"/>
              </w:rPr>
              <w:t xml:space="preserve"> </w:t>
            </w:r>
            <w:r w:rsidRPr="00EC20A0">
              <w:t>misstatements</w:t>
            </w:r>
            <w:r w:rsidRPr="00EC20A0">
              <w:rPr>
                <w:spacing w:val="-7"/>
              </w:rPr>
              <w:t xml:space="preserve"> </w:t>
            </w:r>
            <w:r w:rsidRPr="00EC20A0">
              <w:t>in</w:t>
            </w:r>
            <w:r w:rsidRPr="00EC20A0">
              <w:rPr>
                <w:spacing w:val="-7"/>
              </w:rPr>
              <w:t xml:space="preserve"> </w:t>
            </w:r>
            <w:r w:rsidRPr="00EC20A0">
              <w:t>accordance</w:t>
            </w:r>
            <w:r w:rsidRPr="00EC20A0">
              <w:rPr>
                <w:spacing w:val="-7"/>
              </w:rPr>
              <w:t xml:space="preserve"> </w:t>
            </w:r>
            <w:r w:rsidRPr="00EC20A0">
              <w:t>with</w:t>
            </w:r>
            <w:r w:rsidRPr="00EC20A0">
              <w:rPr>
                <w:spacing w:val="-8"/>
              </w:rPr>
              <w:t xml:space="preserve"> </w:t>
            </w:r>
            <w:r w:rsidRPr="00EC20A0">
              <w:t>FAM 595 C. This is also noted at the end of phase III.</w:t>
            </w:r>
          </w:p>
        </w:tc>
        <w:tc>
          <w:tcPr>
            <w:tcW w:w="1144" w:type="dxa"/>
            <w:vMerge/>
            <w:tcBorders>
              <w:top w:val="nil"/>
              <w:left w:val="single" w:sz="4" w:space="0" w:color="000000"/>
              <w:bottom w:val="single" w:sz="4" w:space="0" w:color="000000"/>
              <w:right w:val="single" w:sz="4" w:space="0" w:color="000000"/>
            </w:tcBorders>
          </w:tcPr>
          <w:p w14:paraId="24D617D9" w14:textId="77777777" w:rsidR="00245300" w:rsidRPr="00EC20A0" w:rsidRDefault="00245300">
            <w:pPr>
              <w:rPr>
                <w:sz w:val="2"/>
                <w:szCs w:val="2"/>
              </w:rPr>
            </w:pPr>
          </w:p>
        </w:tc>
        <w:tc>
          <w:tcPr>
            <w:tcW w:w="1229" w:type="dxa"/>
            <w:vMerge/>
            <w:tcBorders>
              <w:top w:val="nil"/>
              <w:left w:val="single" w:sz="4" w:space="0" w:color="000000"/>
              <w:bottom w:val="single" w:sz="4" w:space="0" w:color="000000"/>
            </w:tcBorders>
          </w:tcPr>
          <w:p w14:paraId="24D617DA" w14:textId="77777777" w:rsidR="00245300" w:rsidRPr="00EC20A0" w:rsidRDefault="00245300">
            <w:pPr>
              <w:rPr>
                <w:sz w:val="2"/>
                <w:szCs w:val="2"/>
              </w:rPr>
            </w:pPr>
          </w:p>
        </w:tc>
      </w:tr>
      <w:tr w:rsidR="00245300" w:rsidRPr="00EC20A0" w14:paraId="24D617E1" w14:textId="77777777">
        <w:trPr>
          <w:trHeight w:val="2757"/>
        </w:trPr>
        <w:tc>
          <w:tcPr>
            <w:tcW w:w="6696" w:type="dxa"/>
            <w:tcBorders>
              <w:top w:val="single" w:sz="4" w:space="0" w:color="000000"/>
              <w:bottom w:val="single" w:sz="4" w:space="0" w:color="000000"/>
              <w:right w:val="single" w:sz="4" w:space="0" w:color="000000"/>
            </w:tcBorders>
          </w:tcPr>
          <w:p w14:paraId="24D617DC" w14:textId="77777777" w:rsidR="00245300" w:rsidRPr="00EC20A0" w:rsidRDefault="00F17249">
            <w:pPr>
              <w:pStyle w:val="TableParagraph"/>
              <w:numPr>
                <w:ilvl w:val="0"/>
                <w:numId w:val="107"/>
              </w:numPr>
              <w:tabs>
                <w:tab w:val="left" w:pos="1244"/>
              </w:tabs>
              <w:spacing w:before="60"/>
              <w:ind w:right="261"/>
              <w:jc w:val="both"/>
            </w:pPr>
            <w:r w:rsidRPr="00EC20A0">
              <w:t>Determine</w:t>
            </w:r>
            <w:r w:rsidRPr="00EC20A0">
              <w:rPr>
                <w:spacing w:val="-4"/>
              </w:rPr>
              <w:t xml:space="preserve"> </w:t>
            </w:r>
            <w:r w:rsidRPr="00EC20A0">
              <w:t>if</w:t>
            </w:r>
            <w:r w:rsidRPr="00EC20A0">
              <w:rPr>
                <w:spacing w:val="-4"/>
              </w:rPr>
              <w:t xml:space="preserve"> </w:t>
            </w:r>
            <w:r w:rsidRPr="00EC20A0">
              <w:t>there</w:t>
            </w:r>
            <w:r w:rsidRPr="00EC20A0">
              <w:rPr>
                <w:spacing w:val="-4"/>
              </w:rPr>
              <w:t xml:space="preserve"> </w:t>
            </w:r>
            <w:r w:rsidRPr="00EC20A0">
              <w:t>are</w:t>
            </w:r>
            <w:r w:rsidRPr="00EC20A0">
              <w:rPr>
                <w:spacing w:val="-4"/>
              </w:rPr>
              <w:t xml:space="preserve"> </w:t>
            </w:r>
            <w:r w:rsidRPr="00EC20A0">
              <w:t>unrecorded</w:t>
            </w:r>
            <w:r w:rsidRPr="00EC20A0">
              <w:rPr>
                <w:spacing w:val="-4"/>
              </w:rPr>
              <w:t xml:space="preserve"> </w:t>
            </w:r>
            <w:r w:rsidRPr="00EC20A0">
              <w:t>transactions</w:t>
            </w:r>
            <w:r w:rsidRPr="00EC20A0">
              <w:rPr>
                <w:spacing w:val="-5"/>
              </w:rPr>
              <w:t xml:space="preserve"> </w:t>
            </w:r>
            <w:r w:rsidRPr="00EC20A0">
              <w:t>and</w:t>
            </w:r>
            <w:r w:rsidRPr="00EC20A0">
              <w:rPr>
                <w:spacing w:val="-4"/>
              </w:rPr>
              <w:t xml:space="preserve"> </w:t>
            </w:r>
            <w:r w:rsidRPr="00EC20A0">
              <w:t>if the</w:t>
            </w:r>
            <w:r w:rsidRPr="00EC20A0">
              <w:rPr>
                <w:spacing w:val="-5"/>
              </w:rPr>
              <w:t xml:space="preserve"> </w:t>
            </w:r>
            <w:r w:rsidRPr="00EC20A0">
              <w:t>transactions</w:t>
            </w:r>
            <w:r w:rsidRPr="00EC20A0">
              <w:rPr>
                <w:spacing w:val="-5"/>
              </w:rPr>
              <w:t xml:space="preserve"> </w:t>
            </w:r>
            <w:r w:rsidRPr="00EC20A0">
              <w:t>are</w:t>
            </w:r>
            <w:r w:rsidRPr="00EC20A0">
              <w:rPr>
                <w:spacing w:val="-5"/>
              </w:rPr>
              <w:t xml:space="preserve"> </w:t>
            </w:r>
            <w:r w:rsidRPr="00EC20A0">
              <w:t>recorded</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correct</w:t>
            </w:r>
            <w:r w:rsidRPr="00EC20A0">
              <w:rPr>
                <w:spacing w:val="-5"/>
              </w:rPr>
              <w:t xml:space="preserve"> </w:t>
            </w:r>
            <w:r w:rsidRPr="00EC20A0">
              <w:t>period</w:t>
            </w:r>
            <w:r w:rsidRPr="00EC20A0">
              <w:rPr>
                <w:spacing w:val="-5"/>
              </w:rPr>
              <w:t xml:space="preserve"> </w:t>
            </w:r>
            <w:r w:rsidRPr="00EC20A0">
              <w:t xml:space="preserve">by doing the </w:t>
            </w:r>
            <w:r w:rsidRPr="00EC20A0">
              <w:t>following:</w:t>
            </w:r>
          </w:p>
          <w:p w14:paraId="24D617DD" w14:textId="77777777" w:rsidR="00245300" w:rsidRPr="00EC20A0" w:rsidRDefault="00F17249">
            <w:pPr>
              <w:pStyle w:val="TableParagraph"/>
              <w:numPr>
                <w:ilvl w:val="1"/>
                <w:numId w:val="107"/>
              </w:numPr>
              <w:tabs>
                <w:tab w:val="left" w:pos="1920"/>
                <w:tab w:val="left" w:pos="1922"/>
              </w:tabs>
              <w:spacing w:before="180"/>
              <w:ind w:right="108"/>
            </w:pPr>
            <w:r w:rsidRPr="00EC20A0">
              <w:t>Coordinating</w:t>
            </w:r>
            <w:r w:rsidRPr="00EC20A0">
              <w:rPr>
                <w:spacing w:val="-5"/>
              </w:rPr>
              <w:t xml:space="preserve"> </w:t>
            </w:r>
            <w:r w:rsidRPr="00EC20A0">
              <w:t>with</w:t>
            </w:r>
            <w:r w:rsidRPr="00EC20A0">
              <w:rPr>
                <w:spacing w:val="-5"/>
              </w:rPr>
              <w:t xml:space="preserve"> </w:t>
            </w:r>
            <w:r w:rsidRPr="00EC20A0">
              <w:t>the</w:t>
            </w:r>
            <w:r w:rsidRPr="00EC20A0">
              <w:rPr>
                <w:spacing w:val="-5"/>
              </w:rPr>
              <w:t xml:space="preserve"> </w:t>
            </w:r>
            <w:r w:rsidRPr="00EC20A0">
              <w:t>FBWT</w:t>
            </w:r>
            <w:r w:rsidRPr="00EC20A0">
              <w:rPr>
                <w:spacing w:val="-5"/>
              </w:rPr>
              <w:t xml:space="preserve"> </w:t>
            </w:r>
            <w:r w:rsidRPr="00EC20A0">
              <w:t>portion</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 xml:space="preserve">audit to review results of the FBWT reconciliation </w:t>
            </w:r>
            <w:r w:rsidRPr="00EC20A0">
              <w:rPr>
                <w:spacing w:val="-2"/>
              </w:rPr>
              <w:t>tests.</w:t>
            </w:r>
          </w:p>
          <w:p w14:paraId="24D617DE" w14:textId="77777777" w:rsidR="00245300" w:rsidRPr="00EC20A0" w:rsidRDefault="00F17249">
            <w:pPr>
              <w:pStyle w:val="TableParagraph"/>
              <w:numPr>
                <w:ilvl w:val="1"/>
                <w:numId w:val="107"/>
              </w:numPr>
              <w:tabs>
                <w:tab w:val="left" w:pos="1919"/>
                <w:tab w:val="left" w:pos="1922"/>
              </w:tabs>
              <w:spacing w:before="220" w:line="250" w:lineRule="atLeast"/>
              <w:ind w:right="279" w:hanging="339"/>
            </w:pPr>
            <w:r w:rsidRPr="00EC20A0">
              <w:t>Searching for unrecorded revenue, accounts receivable,</w:t>
            </w:r>
            <w:r w:rsidRPr="00EC20A0">
              <w:rPr>
                <w:spacing w:val="-11"/>
              </w:rPr>
              <w:t xml:space="preserve"> </w:t>
            </w:r>
            <w:r w:rsidRPr="00EC20A0">
              <w:t>purchases,</w:t>
            </w:r>
            <w:r w:rsidRPr="00EC20A0">
              <w:rPr>
                <w:spacing w:val="-10"/>
              </w:rPr>
              <w:t xml:space="preserve"> </w:t>
            </w:r>
            <w:r w:rsidRPr="00EC20A0">
              <w:t>and</w:t>
            </w:r>
            <w:r w:rsidRPr="00EC20A0">
              <w:rPr>
                <w:spacing w:val="-9"/>
              </w:rPr>
              <w:t xml:space="preserve"> </w:t>
            </w:r>
            <w:r w:rsidRPr="00EC20A0">
              <w:t>accounts</w:t>
            </w:r>
            <w:r w:rsidRPr="00EC20A0">
              <w:rPr>
                <w:spacing w:val="-9"/>
              </w:rPr>
              <w:t xml:space="preserve"> </w:t>
            </w:r>
            <w:r w:rsidRPr="00EC20A0">
              <w:t>payable. For example, select invoices XX days after</w:t>
            </w:r>
          </w:p>
        </w:tc>
        <w:tc>
          <w:tcPr>
            <w:tcW w:w="1144" w:type="dxa"/>
            <w:tcBorders>
              <w:top w:val="single" w:sz="4" w:space="0" w:color="000000"/>
              <w:left w:val="single" w:sz="4" w:space="0" w:color="000000"/>
              <w:bottom w:val="single" w:sz="4" w:space="0" w:color="000000"/>
              <w:right w:val="single" w:sz="4" w:space="0" w:color="000000"/>
            </w:tcBorders>
          </w:tcPr>
          <w:p w14:paraId="24D617DF"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7E0" w14:textId="77777777" w:rsidR="00245300" w:rsidRPr="00EC20A0" w:rsidRDefault="00245300">
            <w:pPr>
              <w:pStyle w:val="TableParagraph"/>
              <w:rPr>
                <w:sz w:val="20"/>
              </w:rPr>
            </w:pPr>
          </w:p>
        </w:tc>
      </w:tr>
    </w:tbl>
    <w:p w14:paraId="24D617E2"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7E3"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7E7" w14:textId="77777777">
        <w:trPr>
          <w:trHeight w:val="625"/>
        </w:trPr>
        <w:tc>
          <w:tcPr>
            <w:tcW w:w="6696" w:type="dxa"/>
            <w:tcBorders>
              <w:right w:val="single" w:sz="4" w:space="0" w:color="000000"/>
            </w:tcBorders>
          </w:tcPr>
          <w:p w14:paraId="24D617E4"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7E5"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7E6"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7EE" w14:textId="77777777">
        <w:trPr>
          <w:trHeight w:val="3361"/>
        </w:trPr>
        <w:tc>
          <w:tcPr>
            <w:tcW w:w="6696" w:type="dxa"/>
            <w:tcBorders>
              <w:bottom w:val="single" w:sz="4" w:space="0" w:color="000000"/>
              <w:right w:val="single" w:sz="4" w:space="0" w:color="000000"/>
            </w:tcBorders>
          </w:tcPr>
          <w:p w14:paraId="24D617E8" w14:textId="77777777" w:rsidR="00245300" w:rsidRPr="00EC20A0" w:rsidRDefault="00F17249">
            <w:pPr>
              <w:pStyle w:val="TableParagraph"/>
              <w:spacing w:line="219" w:lineRule="exact"/>
              <w:ind w:left="1922"/>
              <w:jc w:val="both"/>
            </w:pPr>
            <w:r w:rsidRPr="00EC20A0">
              <w:t>year-end</w:t>
            </w:r>
            <w:r w:rsidRPr="00EC20A0">
              <w:rPr>
                <w:spacing w:val="-7"/>
              </w:rPr>
              <w:t xml:space="preserve"> </w:t>
            </w:r>
            <w:r w:rsidRPr="00EC20A0">
              <w:t>and</w:t>
            </w:r>
            <w:r w:rsidRPr="00EC20A0">
              <w:rPr>
                <w:spacing w:val="-6"/>
              </w:rPr>
              <w:t xml:space="preserve"> </w:t>
            </w:r>
            <w:r w:rsidRPr="00EC20A0">
              <w:t>trace</w:t>
            </w:r>
            <w:r w:rsidRPr="00EC20A0">
              <w:rPr>
                <w:spacing w:val="-7"/>
              </w:rPr>
              <w:t xml:space="preserve"> </w:t>
            </w:r>
            <w:r w:rsidRPr="00EC20A0">
              <w:t>to</w:t>
            </w:r>
            <w:r w:rsidRPr="00EC20A0">
              <w:rPr>
                <w:spacing w:val="-6"/>
              </w:rPr>
              <w:t xml:space="preserve"> </w:t>
            </w:r>
            <w:r w:rsidRPr="00EC20A0">
              <w:t>shipping</w:t>
            </w:r>
            <w:r w:rsidRPr="00EC20A0">
              <w:rPr>
                <w:spacing w:val="-7"/>
              </w:rPr>
              <w:t xml:space="preserve"> </w:t>
            </w:r>
            <w:r w:rsidRPr="00EC20A0">
              <w:t>records</w:t>
            </w:r>
            <w:r w:rsidRPr="00EC20A0">
              <w:rPr>
                <w:spacing w:val="-6"/>
              </w:rPr>
              <w:t xml:space="preserve"> </w:t>
            </w:r>
            <w:r w:rsidRPr="00EC20A0">
              <w:rPr>
                <w:spacing w:val="-5"/>
              </w:rPr>
              <w:t>(or</w:t>
            </w:r>
          </w:p>
          <w:p w14:paraId="24D617E9" w14:textId="77777777" w:rsidR="00245300" w:rsidRPr="00EC20A0" w:rsidRDefault="00F17249">
            <w:pPr>
              <w:pStyle w:val="TableParagraph"/>
              <w:ind w:left="1922" w:right="303"/>
              <w:jc w:val="both"/>
            </w:pPr>
            <w:r w:rsidRPr="00EC20A0">
              <w:t>evidence of service performance). Determine whether</w:t>
            </w:r>
            <w:r w:rsidRPr="00EC20A0">
              <w:rPr>
                <w:spacing w:val="-8"/>
              </w:rPr>
              <w:t xml:space="preserve"> </w:t>
            </w:r>
            <w:r w:rsidRPr="00EC20A0">
              <w:t>the</w:t>
            </w:r>
            <w:r w:rsidRPr="00EC20A0">
              <w:rPr>
                <w:spacing w:val="-8"/>
              </w:rPr>
              <w:t xml:space="preserve"> </w:t>
            </w:r>
            <w:r w:rsidRPr="00EC20A0">
              <w:t>revenue</w:t>
            </w:r>
            <w:r w:rsidRPr="00EC20A0">
              <w:rPr>
                <w:spacing w:val="-8"/>
              </w:rPr>
              <w:t xml:space="preserve"> </w:t>
            </w:r>
            <w:r w:rsidRPr="00EC20A0">
              <w:t>and</w:t>
            </w:r>
            <w:r w:rsidRPr="00EC20A0">
              <w:rPr>
                <w:spacing w:val="-8"/>
              </w:rPr>
              <w:t xml:space="preserve"> </w:t>
            </w:r>
            <w:r w:rsidRPr="00EC20A0">
              <w:t>accounts</w:t>
            </w:r>
            <w:r w:rsidRPr="00EC20A0">
              <w:rPr>
                <w:spacing w:val="-8"/>
              </w:rPr>
              <w:t xml:space="preserve"> </w:t>
            </w:r>
            <w:r w:rsidRPr="00EC20A0">
              <w:t>receivable were recorded in the correct period.</w:t>
            </w:r>
          </w:p>
          <w:p w14:paraId="24D617EA" w14:textId="77777777" w:rsidR="00245300" w:rsidRPr="00EC20A0" w:rsidRDefault="00F17249">
            <w:pPr>
              <w:pStyle w:val="TableParagraph"/>
              <w:spacing w:before="1"/>
              <w:ind w:left="1922" w:right="359"/>
            </w:pPr>
            <w:r w:rsidRPr="00EC20A0">
              <w:t xml:space="preserve">Alternatively, select </w:t>
            </w:r>
            <w:r w:rsidRPr="00EC20A0">
              <w:t>invoices from shipping records</w:t>
            </w:r>
            <w:r w:rsidRPr="00EC20A0">
              <w:rPr>
                <w:spacing w:val="-7"/>
              </w:rPr>
              <w:t xml:space="preserve"> </w:t>
            </w:r>
            <w:r w:rsidRPr="00EC20A0">
              <w:t>to</w:t>
            </w:r>
            <w:r w:rsidRPr="00EC20A0">
              <w:rPr>
                <w:spacing w:val="-7"/>
              </w:rPr>
              <w:t xml:space="preserve"> </w:t>
            </w:r>
            <w:r w:rsidRPr="00EC20A0">
              <w:t>trading</w:t>
            </w:r>
            <w:r w:rsidRPr="00EC20A0">
              <w:rPr>
                <w:spacing w:val="-7"/>
              </w:rPr>
              <w:t xml:space="preserve"> </w:t>
            </w:r>
            <w:r w:rsidRPr="00EC20A0">
              <w:t>partners</w:t>
            </w:r>
            <w:r w:rsidRPr="00EC20A0">
              <w:rPr>
                <w:spacing w:val="-7"/>
              </w:rPr>
              <w:t xml:space="preserve"> </w:t>
            </w:r>
            <w:r w:rsidRPr="00EC20A0">
              <w:t>prior</w:t>
            </w:r>
            <w:r w:rsidRPr="00EC20A0">
              <w:rPr>
                <w:spacing w:val="-7"/>
              </w:rPr>
              <w:t xml:space="preserve"> </w:t>
            </w:r>
            <w:r w:rsidRPr="00EC20A0">
              <w:t>to</w:t>
            </w:r>
            <w:r w:rsidRPr="00EC20A0">
              <w:rPr>
                <w:spacing w:val="-7"/>
              </w:rPr>
              <w:t xml:space="preserve"> </w:t>
            </w:r>
            <w:r w:rsidRPr="00EC20A0">
              <w:t>year-end and trace to invoices.</w:t>
            </w:r>
          </w:p>
          <w:p w14:paraId="24D617EB" w14:textId="77777777" w:rsidR="00245300" w:rsidRPr="00EC20A0" w:rsidRDefault="00F17249">
            <w:pPr>
              <w:pStyle w:val="TableParagraph"/>
              <w:spacing w:before="239"/>
              <w:ind w:left="1964" w:right="134"/>
            </w:pPr>
            <w:r w:rsidRPr="00EC20A0">
              <w:t>Also, to test the completeness of amounts recorded as accounts payable at the balance sheet</w:t>
            </w:r>
            <w:r w:rsidRPr="00EC20A0">
              <w:rPr>
                <w:spacing w:val="-6"/>
              </w:rPr>
              <w:t xml:space="preserve"> </w:t>
            </w:r>
            <w:r w:rsidRPr="00EC20A0">
              <w:t>date,</w:t>
            </w:r>
            <w:r w:rsidRPr="00EC20A0">
              <w:rPr>
                <w:spacing w:val="-7"/>
              </w:rPr>
              <w:t xml:space="preserve"> </w:t>
            </w:r>
            <w:r w:rsidRPr="00EC20A0">
              <w:t>select</w:t>
            </w:r>
            <w:r w:rsidRPr="00EC20A0">
              <w:rPr>
                <w:spacing w:val="-6"/>
              </w:rPr>
              <w:t xml:space="preserve"> </w:t>
            </w:r>
            <w:r w:rsidRPr="00EC20A0">
              <w:t>disbursements</w:t>
            </w:r>
            <w:r w:rsidRPr="00EC20A0">
              <w:rPr>
                <w:spacing w:val="-6"/>
              </w:rPr>
              <w:t xml:space="preserve"> </w:t>
            </w:r>
            <w:r w:rsidRPr="00EC20A0">
              <w:t>after</w:t>
            </w:r>
            <w:r w:rsidRPr="00EC20A0">
              <w:rPr>
                <w:spacing w:val="-6"/>
              </w:rPr>
              <w:t xml:space="preserve"> </w:t>
            </w:r>
            <w:r w:rsidRPr="00EC20A0">
              <w:t>the</w:t>
            </w:r>
            <w:r w:rsidRPr="00EC20A0">
              <w:rPr>
                <w:spacing w:val="-6"/>
              </w:rPr>
              <w:t xml:space="preserve"> </w:t>
            </w:r>
            <w:r w:rsidRPr="00EC20A0">
              <w:t xml:space="preserve">end of the audit period and </w:t>
            </w:r>
            <w:r w:rsidRPr="00EC20A0">
              <w:t>test whether the amounts were recorded in payables.</w:t>
            </w:r>
          </w:p>
        </w:tc>
        <w:tc>
          <w:tcPr>
            <w:tcW w:w="1144" w:type="dxa"/>
            <w:tcBorders>
              <w:left w:val="single" w:sz="4" w:space="0" w:color="000000"/>
              <w:bottom w:val="single" w:sz="4" w:space="0" w:color="000000"/>
              <w:right w:val="single" w:sz="4" w:space="0" w:color="000000"/>
            </w:tcBorders>
          </w:tcPr>
          <w:p w14:paraId="24D617EC"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7ED" w14:textId="77777777" w:rsidR="00245300" w:rsidRPr="00EC20A0" w:rsidRDefault="00245300">
            <w:pPr>
              <w:pStyle w:val="TableParagraph"/>
              <w:rPr>
                <w:sz w:val="20"/>
              </w:rPr>
            </w:pPr>
          </w:p>
        </w:tc>
      </w:tr>
      <w:tr w:rsidR="00245300" w:rsidRPr="00EC20A0" w14:paraId="24D617F3" w14:textId="77777777">
        <w:trPr>
          <w:trHeight w:val="3219"/>
        </w:trPr>
        <w:tc>
          <w:tcPr>
            <w:tcW w:w="9069" w:type="dxa"/>
            <w:gridSpan w:val="3"/>
            <w:tcBorders>
              <w:top w:val="single" w:sz="4" w:space="0" w:color="000000"/>
              <w:bottom w:val="nil"/>
            </w:tcBorders>
          </w:tcPr>
          <w:p w14:paraId="24D617EF" w14:textId="77777777" w:rsidR="00245300" w:rsidRPr="00EC20A0" w:rsidRDefault="00F17249">
            <w:pPr>
              <w:pStyle w:val="TableParagraph"/>
              <w:tabs>
                <w:tab w:val="left" w:pos="1388"/>
              </w:tabs>
              <w:spacing w:before="60"/>
              <w:ind w:left="1388" w:right="163" w:hanging="1296"/>
              <w:rPr>
                <w:b/>
                <w:i/>
              </w:rPr>
            </w:pPr>
            <w:r w:rsidRPr="00EC20A0">
              <w:rPr>
                <w:b/>
                <w:i/>
              </w:rPr>
              <w:t>Phase II:</w:t>
            </w:r>
            <w:r w:rsidRPr="00EC20A0">
              <w:rPr>
                <w:b/>
                <w:i/>
              </w:rPr>
              <w:tab/>
              <w:t>Reconciling</w:t>
            </w:r>
            <w:r w:rsidRPr="00EC20A0">
              <w:rPr>
                <w:b/>
                <w:i/>
                <w:spacing w:val="-6"/>
              </w:rPr>
              <w:t xml:space="preserve"> </w:t>
            </w:r>
            <w:r w:rsidRPr="00EC20A0">
              <w:rPr>
                <w:b/>
                <w:i/>
              </w:rPr>
              <w:t>entity’s</w:t>
            </w:r>
            <w:r w:rsidRPr="00EC20A0">
              <w:rPr>
                <w:b/>
                <w:i/>
                <w:spacing w:val="-6"/>
              </w:rPr>
              <w:t xml:space="preserve"> </w:t>
            </w:r>
            <w:r w:rsidRPr="00EC20A0">
              <w:rPr>
                <w:b/>
                <w:i/>
              </w:rPr>
              <w:t>records</w:t>
            </w:r>
            <w:r w:rsidRPr="00EC20A0">
              <w:rPr>
                <w:b/>
                <w:i/>
                <w:spacing w:val="-6"/>
              </w:rPr>
              <w:t xml:space="preserve"> </w:t>
            </w:r>
            <w:r w:rsidRPr="00EC20A0">
              <w:rPr>
                <w:b/>
                <w:i/>
              </w:rPr>
              <w:t>of</w:t>
            </w:r>
            <w:r w:rsidRPr="00EC20A0">
              <w:rPr>
                <w:b/>
                <w:i/>
                <w:spacing w:val="-6"/>
              </w:rPr>
              <w:t xml:space="preserve"> </w:t>
            </w:r>
            <w:r w:rsidRPr="00EC20A0">
              <w:rPr>
                <w:b/>
                <w:i/>
              </w:rPr>
              <w:t>intragovernmental</w:t>
            </w:r>
            <w:r w:rsidRPr="00EC20A0">
              <w:rPr>
                <w:b/>
                <w:i/>
                <w:spacing w:val="-6"/>
              </w:rPr>
              <w:t xml:space="preserve"> </w:t>
            </w:r>
            <w:r w:rsidRPr="00EC20A0">
              <w:rPr>
                <w:b/>
                <w:i/>
              </w:rPr>
              <w:t>activity</w:t>
            </w:r>
            <w:r w:rsidRPr="00EC20A0">
              <w:rPr>
                <w:b/>
                <w:i/>
                <w:spacing w:val="-6"/>
              </w:rPr>
              <w:t xml:space="preserve"> </w:t>
            </w:r>
            <w:r w:rsidRPr="00EC20A0">
              <w:rPr>
                <w:b/>
                <w:i/>
              </w:rPr>
              <w:t>and</w:t>
            </w:r>
            <w:r w:rsidRPr="00EC20A0">
              <w:rPr>
                <w:b/>
                <w:i/>
                <w:spacing w:val="-6"/>
              </w:rPr>
              <w:t xml:space="preserve"> </w:t>
            </w:r>
            <w:r w:rsidRPr="00EC20A0">
              <w:rPr>
                <w:b/>
                <w:i/>
              </w:rPr>
              <w:t xml:space="preserve">balances to those reported by trading partners and resolving intragovernmental differences (i.e., making adjustments so that </w:t>
            </w:r>
            <w:r w:rsidRPr="00EC20A0">
              <w:rPr>
                <w:b/>
                <w:i/>
              </w:rPr>
              <w:t>differences no longer exist) after appropriately researching the difference, and/or completing corrective actions that fixed the cause of the difference, or after Treasury issued a decision as part of its dispute resolution process.</w:t>
            </w:r>
          </w:p>
          <w:p w14:paraId="24D617F0" w14:textId="77777777" w:rsidR="00245300" w:rsidRPr="00EC20A0" w:rsidRDefault="00F17249">
            <w:pPr>
              <w:pStyle w:val="TableParagraph"/>
              <w:ind w:left="1388"/>
              <w:rPr>
                <w:b/>
                <w:i/>
              </w:rPr>
            </w:pPr>
            <w:r w:rsidRPr="00EC20A0">
              <w:rPr>
                <w:b/>
                <w:i/>
              </w:rPr>
              <w:t>Entities</w:t>
            </w:r>
            <w:r w:rsidRPr="00EC20A0">
              <w:rPr>
                <w:b/>
                <w:i/>
                <w:spacing w:val="-9"/>
              </w:rPr>
              <w:t xml:space="preserve"> </w:t>
            </w:r>
            <w:r w:rsidRPr="00EC20A0">
              <w:rPr>
                <w:b/>
                <w:i/>
                <w:spacing w:val="-2"/>
              </w:rPr>
              <w:t>should:</w:t>
            </w:r>
          </w:p>
          <w:p w14:paraId="24D617F1" w14:textId="77777777" w:rsidR="00245300" w:rsidRPr="00EC20A0" w:rsidRDefault="00F17249">
            <w:pPr>
              <w:pStyle w:val="TableParagraph"/>
              <w:numPr>
                <w:ilvl w:val="0"/>
                <w:numId w:val="106"/>
              </w:numPr>
              <w:tabs>
                <w:tab w:val="left" w:pos="2144"/>
              </w:tabs>
              <w:spacing w:before="60"/>
              <w:ind w:right="193"/>
              <w:rPr>
                <w:b/>
                <w:i/>
              </w:rPr>
            </w:pPr>
            <w:r w:rsidRPr="00EC20A0">
              <w:rPr>
                <w:b/>
                <w:i/>
              </w:rPr>
              <w:t>Coordinate</w:t>
            </w:r>
            <w:r w:rsidRPr="00EC20A0">
              <w:rPr>
                <w:b/>
                <w:i/>
                <w:spacing w:val="-7"/>
              </w:rPr>
              <w:t xml:space="preserve"> </w:t>
            </w:r>
            <w:r w:rsidRPr="00EC20A0">
              <w:rPr>
                <w:b/>
                <w:i/>
              </w:rPr>
              <w:t>with</w:t>
            </w:r>
            <w:r w:rsidRPr="00EC20A0">
              <w:rPr>
                <w:b/>
                <w:i/>
                <w:spacing w:val="-7"/>
              </w:rPr>
              <w:t xml:space="preserve"> </w:t>
            </w:r>
            <w:r w:rsidRPr="00EC20A0">
              <w:rPr>
                <w:b/>
                <w:i/>
              </w:rPr>
              <w:t>trading</w:t>
            </w:r>
            <w:r w:rsidRPr="00EC20A0">
              <w:rPr>
                <w:b/>
                <w:i/>
                <w:spacing w:val="-7"/>
              </w:rPr>
              <w:t xml:space="preserve"> </w:t>
            </w:r>
            <w:r w:rsidRPr="00EC20A0">
              <w:rPr>
                <w:b/>
                <w:i/>
              </w:rPr>
              <w:t>partners</w:t>
            </w:r>
            <w:r w:rsidRPr="00EC20A0">
              <w:rPr>
                <w:b/>
                <w:i/>
                <w:spacing w:val="-7"/>
              </w:rPr>
              <w:t xml:space="preserve"> </w:t>
            </w:r>
            <w:r w:rsidRPr="00EC20A0">
              <w:rPr>
                <w:b/>
                <w:i/>
              </w:rPr>
              <w:t>to</w:t>
            </w:r>
            <w:r w:rsidRPr="00EC20A0">
              <w:rPr>
                <w:b/>
                <w:i/>
                <w:spacing w:val="-7"/>
              </w:rPr>
              <w:t xml:space="preserve"> </w:t>
            </w:r>
            <w:r w:rsidRPr="00EC20A0">
              <w:rPr>
                <w:b/>
                <w:i/>
              </w:rPr>
              <w:t>reconcile</w:t>
            </w:r>
            <w:r w:rsidRPr="00EC20A0">
              <w:rPr>
                <w:b/>
                <w:i/>
                <w:spacing w:val="-7"/>
              </w:rPr>
              <w:t xml:space="preserve"> </w:t>
            </w:r>
            <w:r w:rsidRPr="00EC20A0">
              <w:rPr>
                <w:b/>
                <w:i/>
              </w:rPr>
              <w:t>intragovernmental activity and balances, and</w:t>
            </w:r>
          </w:p>
          <w:p w14:paraId="24D617F2" w14:textId="77777777" w:rsidR="00245300" w:rsidRPr="00EC20A0" w:rsidRDefault="00F17249">
            <w:pPr>
              <w:pStyle w:val="TableParagraph"/>
              <w:numPr>
                <w:ilvl w:val="0"/>
                <w:numId w:val="106"/>
              </w:numPr>
              <w:tabs>
                <w:tab w:val="left" w:pos="2144"/>
              </w:tabs>
              <w:ind w:right="155"/>
              <w:rPr>
                <w:b/>
                <w:i/>
              </w:rPr>
            </w:pPr>
            <w:r w:rsidRPr="00EC20A0">
              <w:rPr>
                <w:b/>
                <w:i/>
              </w:rPr>
              <w:t>Resolve differences by either recording an adjustment in the entity’s</w:t>
            </w:r>
            <w:r w:rsidRPr="00EC20A0">
              <w:rPr>
                <w:b/>
                <w:i/>
                <w:spacing w:val="-5"/>
              </w:rPr>
              <w:t xml:space="preserve"> </w:t>
            </w:r>
            <w:r w:rsidRPr="00EC20A0">
              <w:rPr>
                <w:b/>
                <w:i/>
              </w:rPr>
              <w:t>accounting</w:t>
            </w:r>
            <w:r w:rsidRPr="00EC20A0">
              <w:rPr>
                <w:b/>
                <w:i/>
                <w:spacing w:val="-5"/>
              </w:rPr>
              <w:t xml:space="preserve"> </w:t>
            </w:r>
            <w:r w:rsidRPr="00EC20A0">
              <w:rPr>
                <w:b/>
                <w:i/>
              </w:rPr>
              <w:t>records</w:t>
            </w:r>
            <w:r w:rsidRPr="00EC20A0">
              <w:rPr>
                <w:b/>
                <w:i/>
                <w:spacing w:val="-5"/>
              </w:rPr>
              <w:t xml:space="preserve"> </w:t>
            </w:r>
            <w:r w:rsidRPr="00EC20A0">
              <w:rPr>
                <w:b/>
                <w:i/>
              </w:rPr>
              <w:t>OR</w:t>
            </w:r>
            <w:r w:rsidRPr="00EC20A0">
              <w:rPr>
                <w:b/>
                <w:i/>
                <w:spacing w:val="-6"/>
              </w:rPr>
              <w:t xml:space="preserve"> </w:t>
            </w:r>
            <w:r w:rsidRPr="00EC20A0">
              <w:rPr>
                <w:b/>
                <w:i/>
              </w:rPr>
              <w:t>verifying</w:t>
            </w:r>
            <w:r w:rsidRPr="00EC20A0">
              <w:rPr>
                <w:b/>
                <w:i/>
                <w:spacing w:val="-5"/>
              </w:rPr>
              <w:t xml:space="preserve"> </w:t>
            </w:r>
            <w:r w:rsidRPr="00EC20A0">
              <w:rPr>
                <w:b/>
                <w:i/>
              </w:rPr>
              <w:t>that</w:t>
            </w:r>
            <w:r w:rsidRPr="00EC20A0">
              <w:rPr>
                <w:b/>
                <w:i/>
                <w:spacing w:val="-5"/>
              </w:rPr>
              <w:t xml:space="preserve"> </w:t>
            </w:r>
            <w:r w:rsidRPr="00EC20A0">
              <w:rPr>
                <w:b/>
                <w:i/>
              </w:rPr>
              <w:t>the</w:t>
            </w:r>
            <w:r w:rsidRPr="00EC20A0">
              <w:rPr>
                <w:b/>
                <w:i/>
                <w:spacing w:val="-5"/>
              </w:rPr>
              <w:t xml:space="preserve"> </w:t>
            </w:r>
            <w:r w:rsidRPr="00EC20A0">
              <w:rPr>
                <w:b/>
                <w:i/>
              </w:rPr>
              <w:t>trading</w:t>
            </w:r>
            <w:r w:rsidRPr="00EC20A0">
              <w:rPr>
                <w:b/>
                <w:i/>
                <w:spacing w:val="-5"/>
              </w:rPr>
              <w:t xml:space="preserve"> </w:t>
            </w:r>
            <w:r w:rsidRPr="00EC20A0">
              <w:rPr>
                <w:b/>
                <w:i/>
              </w:rPr>
              <w:t>partner recorded an adjustment in its accounting records.</w:t>
            </w:r>
          </w:p>
        </w:tc>
      </w:tr>
      <w:tr w:rsidR="00245300" w:rsidRPr="00EC20A0" w14:paraId="24D617F5" w14:textId="77777777">
        <w:trPr>
          <w:trHeight w:val="606"/>
        </w:trPr>
        <w:tc>
          <w:tcPr>
            <w:tcW w:w="9069" w:type="dxa"/>
            <w:gridSpan w:val="3"/>
            <w:tcBorders>
              <w:top w:val="nil"/>
              <w:bottom w:val="single" w:sz="4" w:space="0" w:color="000000"/>
            </w:tcBorders>
          </w:tcPr>
          <w:p w14:paraId="24D617F4" w14:textId="77777777" w:rsidR="00245300" w:rsidRPr="00EC20A0" w:rsidRDefault="00F17249">
            <w:pPr>
              <w:pStyle w:val="TableParagraph"/>
              <w:spacing w:before="27"/>
              <w:ind w:left="92"/>
              <w:rPr>
                <w:sz w:val="20"/>
              </w:rPr>
            </w:pPr>
            <w:r w:rsidRPr="00EC20A0">
              <w:rPr>
                <w:sz w:val="20"/>
              </w:rPr>
              <w:t>Exhibit</w:t>
            </w:r>
            <w:r w:rsidRPr="00EC20A0">
              <w:rPr>
                <w:spacing w:val="-3"/>
                <w:sz w:val="20"/>
              </w:rPr>
              <w:t xml:space="preserve"> </w:t>
            </w:r>
            <w:r w:rsidRPr="00EC20A0">
              <w:rPr>
                <w:sz w:val="20"/>
              </w:rPr>
              <w:t>I</w:t>
            </w:r>
            <w:r w:rsidRPr="00EC20A0">
              <w:rPr>
                <w:spacing w:val="-3"/>
                <w:sz w:val="20"/>
              </w:rPr>
              <w:t xml:space="preserve"> </w:t>
            </w:r>
            <w:r w:rsidRPr="00EC20A0">
              <w:rPr>
                <w:sz w:val="20"/>
              </w:rPr>
              <w:t>to</w:t>
            </w:r>
            <w:r w:rsidRPr="00EC20A0">
              <w:rPr>
                <w:spacing w:val="-3"/>
                <w:sz w:val="20"/>
              </w:rPr>
              <w:t xml:space="preserve"> </w:t>
            </w:r>
            <w:r w:rsidRPr="00EC20A0">
              <w:rPr>
                <w:sz w:val="20"/>
              </w:rPr>
              <w:t>FAM</w:t>
            </w:r>
            <w:r w:rsidRPr="00EC20A0">
              <w:rPr>
                <w:spacing w:val="-3"/>
                <w:sz w:val="20"/>
              </w:rPr>
              <w:t xml:space="preserve"> </w:t>
            </w:r>
            <w:r w:rsidRPr="00EC20A0">
              <w:rPr>
                <w:sz w:val="20"/>
              </w:rPr>
              <w:t>902</w:t>
            </w:r>
            <w:r w:rsidRPr="00EC20A0">
              <w:rPr>
                <w:spacing w:val="-3"/>
                <w:sz w:val="20"/>
              </w:rPr>
              <w:t xml:space="preserve"> </w:t>
            </w:r>
            <w:r w:rsidRPr="00EC20A0">
              <w:rPr>
                <w:sz w:val="20"/>
              </w:rPr>
              <w:t>A</w:t>
            </w:r>
            <w:r w:rsidRPr="00EC20A0">
              <w:rPr>
                <w:spacing w:val="-3"/>
                <w:sz w:val="20"/>
              </w:rPr>
              <w:t xml:space="preserve"> </w:t>
            </w:r>
            <w:r w:rsidRPr="00EC20A0">
              <w:rPr>
                <w:sz w:val="20"/>
              </w:rPr>
              <w:t>provides</w:t>
            </w:r>
            <w:r w:rsidRPr="00EC20A0">
              <w:rPr>
                <w:spacing w:val="-2"/>
                <w:sz w:val="20"/>
              </w:rPr>
              <w:t xml:space="preserve"> </w:t>
            </w:r>
            <w:r w:rsidRPr="00EC20A0">
              <w:rPr>
                <w:sz w:val="20"/>
              </w:rPr>
              <w:t>an</w:t>
            </w:r>
            <w:r w:rsidRPr="00EC20A0">
              <w:rPr>
                <w:spacing w:val="-3"/>
                <w:sz w:val="20"/>
              </w:rPr>
              <w:t xml:space="preserve"> </w:t>
            </w:r>
            <w:r w:rsidRPr="00EC20A0">
              <w:rPr>
                <w:sz w:val="20"/>
              </w:rPr>
              <w:t>illustration</w:t>
            </w:r>
            <w:r w:rsidRPr="00EC20A0">
              <w:rPr>
                <w:spacing w:val="-3"/>
                <w:sz w:val="20"/>
              </w:rPr>
              <w:t xml:space="preserve"> </w:t>
            </w:r>
            <w:r w:rsidRPr="00EC20A0">
              <w:rPr>
                <w:sz w:val="20"/>
              </w:rPr>
              <w:t>of</w:t>
            </w:r>
            <w:r w:rsidRPr="00EC20A0">
              <w:rPr>
                <w:spacing w:val="-3"/>
                <w:sz w:val="20"/>
              </w:rPr>
              <w:t xml:space="preserve"> </w:t>
            </w:r>
            <w:r w:rsidRPr="00EC20A0">
              <w:rPr>
                <w:sz w:val="20"/>
              </w:rPr>
              <w:t>a</w:t>
            </w:r>
            <w:r w:rsidRPr="00EC20A0">
              <w:rPr>
                <w:spacing w:val="-3"/>
                <w:sz w:val="20"/>
              </w:rPr>
              <w:t xml:space="preserve"> </w:t>
            </w:r>
            <w:r w:rsidRPr="00EC20A0">
              <w:rPr>
                <w:sz w:val="20"/>
              </w:rPr>
              <w:t>tool</w:t>
            </w:r>
            <w:r w:rsidRPr="00EC20A0">
              <w:rPr>
                <w:spacing w:val="-3"/>
                <w:sz w:val="20"/>
              </w:rPr>
              <w:t xml:space="preserve"> </w:t>
            </w:r>
            <w:r w:rsidRPr="00EC20A0">
              <w:rPr>
                <w:sz w:val="20"/>
              </w:rPr>
              <w:t>that</w:t>
            </w:r>
            <w:r w:rsidRPr="00EC20A0">
              <w:rPr>
                <w:spacing w:val="-3"/>
                <w:sz w:val="20"/>
              </w:rPr>
              <w:t xml:space="preserve"> </w:t>
            </w:r>
            <w:r w:rsidRPr="00EC20A0">
              <w:rPr>
                <w:sz w:val="20"/>
              </w:rPr>
              <w:t>may</w:t>
            </w:r>
            <w:r w:rsidRPr="00EC20A0">
              <w:rPr>
                <w:spacing w:val="-2"/>
                <w:sz w:val="20"/>
              </w:rPr>
              <w:t xml:space="preserve"> </w:t>
            </w:r>
            <w:r w:rsidRPr="00EC20A0">
              <w:rPr>
                <w:sz w:val="20"/>
              </w:rPr>
              <w:t>be</w:t>
            </w:r>
            <w:r w:rsidRPr="00EC20A0">
              <w:rPr>
                <w:spacing w:val="-4"/>
                <w:sz w:val="20"/>
              </w:rPr>
              <w:t xml:space="preserve"> </w:t>
            </w:r>
            <w:r w:rsidRPr="00EC20A0">
              <w:rPr>
                <w:sz w:val="20"/>
              </w:rPr>
              <w:t>used</w:t>
            </w:r>
            <w:r w:rsidRPr="00EC20A0">
              <w:rPr>
                <w:spacing w:val="-3"/>
                <w:sz w:val="20"/>
              </w:rPr>
              <w:t xml:space="preserve"> </w:t>
            </w:r>
            <w:r w:rsidRPr="00EC20A0">
              <w:rPr>
                <w:sz w:val="20"/>
              </w:rPr>
              <w:t>to</w:t>
            </w:r>
            <w:r w:rsidRPr="00EC20A0">
              <w:rPr>
                <w:spacing w:val="-3"/>
                <w:sz w:val="20"/>
              </w:rPr>
              <w:t xml:space="preserve"> </w:t>
            </w:r>
            <w:r w:rsidRPr="00EC20A0">
              <w:rPr>
                <w:sz w:val="20"/>
              </w:rPr>
              <w:t>summarize</w:t>
            </w:r>
            <w:r w:rsidRPr="00EC20A0">
              <w:rPr>
                <w:spacing w:val="-3"/>
                <w:sz w:val="20"/>
              </w:rPr>
              <w:t xml:space="preserve"> </w:t>
            </w:r>
            <w:r w:rsidRPr="00EC20A0">
              <w:rPr>
                <w:sz w:val="20"/>
              </w:rPr>
              <w:t>reconciling items and prove amounts between a buyer and a seller entity.</w:t>
            </w:r>
          </w:p>
        </w:tc>
      </w:tr>
      <w:tr w:rsidR="00245300" w:rsidRPr="00EC20A0" w14:paraId="24D617F9" w14:textId="77777777">
        <w:trPr>
          <w:trHeight w:val="624"/>
        </w:trPr>
        <w:tc>
          <w:tcPr>
            <w:tcW w:w="6696" w:type="dxa"/>
            <w:tcBorders>
              <w:top w:val="single" w:sz="4" w:space="0" w:color="000000"/>
              <w:bottom w:val="nil"/>
              <w:right w:val="single" w:sz="4" w:space="0" w:color="000000"/>
            </w:tcBorders>
          </w:tcPr>
          <w:p w14:paraId="24D617F6" w14:textId="77777777" w:rsidR="00245300" w:rsidRPr="00EC20A0" w:rsidRDefault="00F17249">
            <w:pPr>
              <w:pStyle w:val="TableParagraph"/>
              <w:spacing w:before="60"/>
              <w:ind w:left="849" w:hanging="451"/>
            </w:pPr>
            <w:r w:rsidRPr="00EC20A0">
              <w:t>2)</w:t>
            </w:r>
            <w:r w:rsidRPr="00EC20A0">
              <w:rPr>
                <w:spacing w:val="80"/>
              </w:rPr>
              <w:t xml:space="preserve"> </w:t>
            </w:r>
            <w:r w:rsidRPr="00EC20A0">
              <w:t>Test</w:t>
            </w:r>
            <w:r w:rsidRPr="00EC20A0">
              <w:rPr>
                <w:spacing w:val="-4"/>
              </w:rPr>
              <w:t xml:space="preserve"> </w:t>
            </w:r>
            <w:r w:rsidRPr="00EC20A0">
              <w:t>relevant</w:t>
            </w:r>
            <w:r w:rsidRPr="00EC20A0">
              <w:rPr>
                <w:spacing w:val="-4"/>
              </w:rPr>
              <w:t xml:space="preserve"> </w:t>
            </w:r>
            <w:r w:rsidRPr="00EC20A0">
              <w:t>control</w:t>
            </w:r>
            <w:r w:rsidRPr="00EC20A0">
              <w:rPr>
                <w:spacing w:val="-4"/>
              </w:rPr>
              <w:t xml:space="preserve"> </w:t>
            </w:r>
            <w:r w:rsidRPr="00EC20A0">
              <w:t>activities</w:t>
            </w:r>
            <w:r w:rsidRPr="00EC20A0">
              <w:rPr>
                <w:spacing w:val="-4"/>
              </w:rPr>
              <w:t xml:space="preserve"> </w:t>
            </w:r>
            <w:r w:rsidRPr="00EC20A0">
              <w:t>in</w:t>
            </w:r>
            <w:r w:rsidRPr="00EC20A0">
              <w:rPr>
                <w:spacing w:val="-4"/>
              </w:rPr>
              <w:t xml:space="preserve"> </w:t>
            </w:r>
            <w:r w:rsidRPr="00EC20A0">
              <w:t>Phase</w:t>
            </w:r>
            <w:r w:rsidRPr="00EC20A0">
              <w:rPr>
                <w:spacing w:val="-4"/>
              </w:rPr>
              <w:t xml:space="preserve"> </w:t>
            </w:r>
            <w:r w:rsidRPr="00EC20A0">
              <w:t>II</w:t>
            </w:r>
            <w:r w:rsidRPr="00EC20A0">
              <w:rPr>
                <w:spacing w:val="-4"/>
              </w:rPr>
              <w:t xml:space="preserve"> </w:t>
            </w:r>
            <w:r w:rsidRPr="00EC20A0">
              <w:t>that</w:t>
            </w:r>
            <w:r w:rsidRPr="00EC20A0">
              <w:rPr>
                <w:spacing w:val="-4"/>
              </w:rPr>
              <w:t xml:space="preserve"> </w:t>
            </w:r>
            <w:r w:rsidRPr="00EC20A0">
              <w:t>have</w:t>
            </w:r>
            <w:r w:rsidRPr="00EC20A0">
              <w:rPr>
                <w:spacing w:val="-4"/>
              </w:rPr>
              <w:t xml:space="preserve"> </w:t>
            </w:r>
            <w:r w:rsidRPr="00EC20A0">
              <w:t xml:space="preserve">been </w:t>
            </w:r>
            <w:r w:rsidRPr="00EC20A0">
              <w:rPr>
                <w:spacing w:val="-2"/>
              </w:rPr>
              <w:t>implemented.</w:t>
            </w:r>
          </w:p>
        </w:tc>
        <w:tc>
          <w:tcPr>
            <w:tcW w:w="1144" w:type="dxa"/>
            <w:vMerge w:val="restart"/>
            <w:tcBorders>
              <w:top w:val="single" w:sz="4" w:space="0" w:color="000000"/>
              <w:left w:val="single" w:sz="4" w:space="0" w:color="000000"/>
              <w:bottom w:val="single" w:sz="4" w:space="0" w:color="000000"/>
              <w:right w:val="single" w:sz="4" w:space="0" w:color="000000"/>
            </w:tcBorders>
          </w:tcPr>
          <w:p w14:paraId="24D617F7" w14:textId="77777777" w:rsidR="00245300" w:rsidRPr="00EC20A0" w:rsidRDefault="00245300">
            <w:pPr>
              <w:pStyle w:val="TableParagraph"/>
              <w:rPr>
                <w:sz w:val="20"/>
              </w:rPr>
            </w:pPr>
          </w:p>
        </w:tc>
        <w:tc>
          <w:tcPr>
            <w:tcW w:w="1229" w:type="dxa"/>
            <w:vMerge w:val="restart"/>
            <w:tcBorders>
              <w:top w:val="single" w:sz="4" w:space="0" w:color="000000"/>
              <w:left w:val="single" w:sz="4" w:space="0" w:color="000000"/>
              <w:bottom w:val="single" w:sz="4" w:space="0" w:color="000000"/>
            </w:tcBorders>
          </w:tcPr>
          <w:p w14:paraId="24D617F8" w14:textId="77777777" w:rsidR="00245300" w:rsidRPr="00EC20A0" w:rsidRDefault="00245300">
            <w:pPr>
              <w:pStyle w:val="TableParagraph"/>
              <w:rPr>
                <w:sz w:val="20"/>
              </w:rPr>
            </w:pPr>
          </w:p>
        </w:tc>
      </w:tr>
      <w:tr w:rsidR="00245300" w:rsidRPr="00EC20A0" w14:paraId="24D617FF" w14:textId="77777777">
        <w:trPr>
          <w:trHeight w:val="3193"/>
        </w:trPr>
        <w:tc>
          <w:tcPr>
            <w:tcW w:w="6696" w:type="dxa"/>
            <w:tcBorders>
              <w:top w:val="nil"/>
              <w:bottom w:val="single" w:sz="4" w:space="0" w:color="000000"/>
              <w:right w:val="single" w:sz="4" w:space="0" w:color="000000"/>
            </w:tcBorders>
          </w:tcPr>
          <w:p w14:paraId="24D617FA" w14:textId="77777777" w:rsidR="00245300" w:rsidRPr="00EC20A0" w:rsidRDefault="00F17249">
            <w:pPr>
              <w:pStyle w:val="TableParagraph"/>
              <w:numPr>
                <w:ilvl w:val="0"/>
                <w:numId w:val="105"/>
              </w:numPr>
              <w:tabs>
                <w:tab w:val="left" w:pos="1244"/>
              </w:tabs>
              <w:spacing w:before="51"/>
              <w:ind w:right="285"/>
            </w:pPr>
            <w:r w:rsidRPr="00EC20A0">
              <w:t>Review evidence that the entity identified intragovernmental</w:t>
            </w:r>
            <w:r w:rsidRPr="00EC20A0">
              <w:rPr>
                <w:spacing w:val="-8"/>
              </w:rPr>
              <w:t xml:space="preserve"> </w:t>
            </w:r>
            <w:r w:rsidRPr="00EC20A0">
              <w:t>amounts</w:t>
            </w:r>
            <w:r w:rsidRPr="00EC20A0">
              <w:rPr>
                <w:spacing w:val="-8"/>
              </w:rPr>
              <w:t xml:space="preserve"> </w:t>
            </w:r>
            <w:r w:rsidRPr="00EC20A0">
              <w:t>and</w:t>
            </w:r>
            <w:r w:rsidRPr="00EC20A0">
              <w:rPr>
                <w:spacing w:val="-8"/>
              </w:rPr>
              <w:t xml:space="preserve"> </w:t>
            </w:r>
            <w:r w:rsidRPr="00EC20A0">
              <w:t>then</w:t>
            </w:r>
            <w:r w:rsidRPr="00EC20A0">
              <w:rPr>
                <w:spacing w:val="-8"/>
              </w:rPr>
              <w:t xml:space="preserve"> </w:t>
            </w:r>
            <w:r w:rsidRPr="00EC20A0">
              <w:t>contacted</w:t>
            </w:r>
            <w:r w:rsidRPr="00EC20A0">
              <w:rPr>
                <w:spacing w:val="-9"/>
              </w:rPr>
              <w:t xml:space="preserve"> </w:t>
            </w:r>
            <w:r w:rsidRPr="00EC20A0">
              <w:t xml:space="preserve">each trading partner to reconcile intragovernmental </w:t>
            </w:r>
            <w:r w:rsidRPr="00EC20A0">
              <w:rPr>
                <w:spacing w:val="-2"/>
              </w:rPr>
              <w:t>amounts.</w:t>
            </w:r>
          </w:p>
          <w:p w14:paraId="24D617FB" w14:textId="77777777" w:rsidR="00245300" w:rsidRPr="00EC20A0" w:rsidRDefault="00F17249">
            <w:pPr>
              <w:pStyle w:val="TableParagraph"/>
              <w:numPr>
                <w:ilvl w:val="1"/>
                <w:numId w:val="105"/>
              </w:numPr>
              <w:tabs>
                <w:tab w:val="left" w:pos="2018"/>
              </w:tabs>
              <w:spacing w:before="120"/>
              <w:ind w:right="122"/>
            </w:pPr>
            <w:r w:rsidRPr="00EC20A0">
              <w:t>Determine whether each trading partner was contacted and intragovernmental amounts were</w:t>
            </w:r>
            <w:r w:rsidRPr="00EC20A0">
              <w:rPr>
                <w:spacing w:val="-6"/>
              </w:rPr>
              <w:t xml:space="preserve"> </w:t>
            </w:r>
            <w:r w:rsidRPr="00EC20A0">
              <w:t>compared</w:t>
            </w:r>
            <w:r w:rsidRPr="00EC20A0">
              <w:rPr>
                <w:spacing w:val="-6"/>
              </w:rPr>
              <w:t xml:space="preserve"> </w:t>
            </w:r>
            <w:r w:rsidRPr="00EC20A0">
              <w:t>in</w:t>
            </w:r>
            <w:r w:rsidRPr="00EC20A0">
              <w:rPr>
                <w:spacing w:val="-6"/>
              </w:rPr>
              <w:t xml:space="preserve"> </w:t>
            </w:r>
            <w:r w:rsidRPr="00EC20A0">
              <w:t>order</w:t>
            </w:r>
            <w:r w:rsidRPr="00EC20A0">
              <w:rPr>
                <w:spacing w:val="-7"/>
              </w:rPr>
              <w:t xml:space="preserve"> </w:t>
            </w:r>
            <w:r w:rsidRPr="00EC20A0">
              <w:t>to</w:t>
            </w:r>
            <w:r w:rsidRPr="00EC20A0">
              <w:rPr>
                <w:spacing w:val="-6"/>
              </w:rPr>
              <w:t xml:space="preserve"> </w:t>
            </w:r>
            <w:r w:rsidRPr="00EC20A0">
              <w:t>identify</w:t>
            </w:r>
            <w:r w:rsidRPr="00EC20A0">
              <w:rPr>
                <w:spacing w:val="-6"/>
              </w:rPr>
              <w:t xml:space="preserve"> </w:t>
            </w:r>
            <w:r w:rsidRPr="00EC20A0">
              <w:t>differences.</w:t>
            </w:r>
          </w:p>
          <w:p w14:paraId="24D617FC" w14:textId="77777777" w:rsidR="00245300" w:rsidRPr="00EC20A0" w:rsidRDefault="00F17249">
            <w:pPr>
              <w:pStyle w:val="TableParagraph"/>
              <w:numPr>
                <w:ilvl w:val="1"/>
                <w:numId w:val="105"/>
              </w:numPr>
              <w:tabs>
                <w:tab w:val="left" w:pos="2018"/>
              </w:tabs>
              <w:spacing w:before="180"/>
              <w:ind w:right="113" w:hanging="360"/>
            </w:pPr>
            <w:r w:rsidRPr="00EC20A0">
              <w:t>Consider sending confirmations to significant trading partners to corroborate the existence, validity,</w:t>
            </w:r>
            <w:r w:rsidRPr="00EC20A0">
              <w:rPr>
                <w:spacing w:val="-8"/>
              </w:rPr>
              <w:t xml:space="preserve"> </w:t>
            </w:r>
            <w:r w:rsidRPr="00EC20A0">
              <w:t>and</w:t>
            </w:r>
            <w:r w:rsidRPr="00EC20A0">
              <w:rPr>
                <w:spacing w:val="-9"/>
              </w:rPr>
              <w:t xml:space="preserve"> </w:t>
            </w:r>
            <w:r w:rsidRPr="00EC20A0">
              <w:t>accuracy</w:t>
            </w:r>
            <w:r w:rsidRPr="00EC20A0">
              <w:rPr>
                <w:spacing w:val="-9"/>
              </w:rPr>
              <w:t xml:space="preserve"> </w:t>
            </w:r>
            <w:r w:rsidRPr="00EC20A0">
              <w:t>of</w:t>
            </w:r>
            <w:r w:rsidRPr="00EC20A0">
              <w:rPr>
                <w:spacing w:val="-9"/>
              </w:rPr>
              <w:t xml:space="preserve"> </w:t>
            </w:r>
            <w:r w:rsidRPr="00EC20A0">
              <w:t>the</w:t>
            </w:r>
            <w:r w:rsidRPr="00EC20A0">
              <w:rPr>
                <w:spacing w:val="-8"/>
              </w:rPr>
              <w:t xml:space="preserve"> </w:t>
            </w:r>
            <w:r w:rsidRPr="00EC20A0">
              <w:t>intragovernmental amount recorded by the entity.</w:t>
            </w:r>
          </w:p>
        </w:tc>
        <w:tc>
          <w:tcPr>
            <w:tcW w:w="1144" w:type="dxa"/>
            <w:vMerge/>
            <w:tcBorders>
              <w:top w:val="nil"/>
              <w:left w:val="single" w:sz="4" w:space="0" w:color="000000"/>
              <w:bottom w:val="single" w:sz="4" w:space="0" w:color="000000"/>
              <w:right w:val="single" w:sz="4" w:space="0" w:color="000000"/>
            </w:tcBorders>
          </w:tcPr>
          <w:p w14:paraId="24D617FD" w14:textId="77777777" w:rsidR="00245300" w:rsidRPr="00EC20A0" w:rsidRDefault="00245300">
            <w:pPr>
              <w:rPr>
                <w:sz w:val="2"/>
                <w:szCs w:val="2"/>
              </w:rPr>
            </w:pPr>
          </w:p>
        </w:tc>
        <w:tc>
          <w:tcPr>
            <w:tcW w:w="1229" w:type="dxa"/>
            <w:vMerge/>
            <w:tcBorders>
              <w:top w:val="nil"/>
              <w:left w:val="single" w:sz="4" w:space="0" w:color="000000"/>
              <w:bottom w:val="single" w:sz="4" w:space="0" w:color="000000"/>
            </w:tcBorders>
          </w:tcPr>
          <w:p w14:paraId="24D617FE" w14:textId="77777777" w:rsidR="00245300" w:rsidRPr="00EC20A0" w:rsidRDefault="00245300">
            <w:pPr>
              <w:rPr>
                <w:sz w:val="2"/>
                <w:szCs w:val="2"/>
              </w:rPr>
            </w:pPr>
          </w:p>
        </w:tc>
      </w:tr>
      <w:tr w:rsidR="00245300" w:rsidRPr="00EC20A0" w14:paraId="24D61803" w14:textId="77777777">
        <w:trPr>
          <w:trHeight w:val="1325"/>
        </w:trPr>
        <w:tc>
          <w:tcPr>
            <w:tcW w:w="6696" w:type="dxa"/>
            <w:tcBorders>
              <w:top w:val="single" w:sz="4" w:space="0" w:color="000000"/>
              <w:bottom w:val="single" w:sz="4" w:space="0" w:color="000000"/>
              <w:right w:val="single" w:sz="4" w:space="0" w:color="000000"/>
            </w:tcBorders>
          </w:tcPr>
          <w:p w14:paraId="24D61800" w14:textId="77777777" w:rsidR="00245300" w:rsidRPr="00EC20A0" w:rsidRDefault="00F17249">
            <w:pPr>
              <w:pStyle w:val="TableParagraph"/>
              <w:tabs>
                <w:tab w:val="left" w:pos="1244"/>
              </w:tabs>
              <w:spacing w:before="40" w:line="250" w:lineRule="atLeast"/>
              <w:ind w:left="1244" w:right="188" w:hanging="396"/>
            </w:pPr>
            <w:r w:rsidRPr="00EC20A0">
              <w:rPr>
                <w:spacing w:val="-6"/>
              </w:rPr>
              <w:t>b)</w:t>
            </w:r>
            <w:r w:rsidRPr="00EC20A0">
              <w:tab/>
              <w:t xml:space="preserve">For intragovernmental differences </w:t>
            </w:r>
            <w:r w:rsidRPr="00EC20A0">
              <w:t>identified, determine whether the entity performed timely research</w:t>
            </w:r>
            <w:r w:rsidRPr="00EC20A0">
              <w:rPr>
                <w:spacing w:val="-6"/>
              </w:rPr>
              <w:t xml:space="preserve"> </w:t>
            </w:r>
            <w:r w:rsidRPr="00EC20A0">
              <w:t>to</w:t>
            </w:r>
            <w:r w:rsidRPr="00EC20A0">
              <w:rPr>
                <w:spacing w:val="-7"/>
              </w:rPr>
              <w:t xml:space="preserve"> </w:t>
            </w:r>
            <w:r w:rsidRPr="00EC20A0">
              <w:t>determine</w:t>
            </w:r>
            <w:r w:rsidRPr="00EC20A0">
              <w:rPr>
                <w:spacing w:val="-6"/>
              </w:rPr>
              <w:t xml:space="preserve"> </w:t>
            </w:r>
            <w:r w:rsidRPr="00EC20A0">
              <w:t>the</w:t>
            </w:r>
            <w:r w:rsidRPr="00EC20A0">
              <w:rPr>
                <w:spacing w:val="-6"/>
              </w:rPr>
              <w:t xml:space="preserve"> </w:t>
            </w:r>
            <w:r w:rsidRPr="00EC20A0">
              <w:t>reasons</w:t>
            </w:r>
            <w:r w:rsidRPr="00EC20A0">
              <w:rPr>
                <w:spacing w:val="-6"/>
              </w:rPr>
              <w:t xml:space="preserve"> </w:t>
            </w:r>
            <w:r w:rsidRPr="00EC20A0">
              <w:t>for</w:t>
            </w:r>
            <w:r w:rsidRPr="00EC20A0">
              <w:rPr>
                <w:spacing w:val="-6"/>
              </w:rPr>
              <w:t xml:space="preserve"> </w:t>
            </w:r>
            <w:r w:rsidRPr="00EC20A0">
              <w:t>the</w:t>
            </w:r>
            <w:r w:rsidRPr="00EC20A0">
              <w:rPr>
                <w:spacing w:val="-6"/>
              </w:rPr>
              <w:t xml:space="preserve"> </w:t>
            </w:r>
            <w:r w:rsidRPr="00EC20A0">
              <w:t>differences. When the entity is the receiver of the activity, contact trading partners for supporting documentation to</w:t>
            </w:r>
          </w:p>
        </w:tc>
        <w:tc>
          <w:tcPr>
            <w:tcW w:w="1144" w:type="dxa"/>
            <w:tcBorders>
              <w:top w:val="single" w:sz="4" w:space="0" w:color="000000"/>
              <w:left w:val="single" w:sz="4" w:space="0" w:color="000000"/>
              <w:bottom w:val="single" w:sz="4" w:space="0" w:color="000000"/>
              <w:right w:val="single" w:sz="4" w:space="0" w:color="000000"/>
            </w:tcBorders>
          </w:tcPr>
          <w:p w14:paraId="24D61801"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02" w14:textId="77777777" w:rsidR="00245300" w:rsidRPr="00EC20A0" w:rsidRDefault="00245300">
            <w:pPr>
              <w:pStyle w:val="TableParagraph"/>
              <w:rPr>
                <w:sz w:val="20"/>
              </w:rPr>
            </w:pPr>
          </w:p>
        </w:tc>
      </w:tr>
    </w:tbl>
    <w:p w14:paraId="24D61804"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805"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809" w14:textId="77777777">
        <w:trPr>
          <w:trHeight w:val="625"/>
        </w:trPr>
        <w:tc>
          <w:tcPr>
            <w:tcW w:w="6696" w:type="dxa"/>
            <w:tcBorders>
              <w:right w:val="single" w:sz="4" w:space="0" w:color="000000"/>
            </w:tcBorders>
          </w:tcPr>
          <w:p w14:paraId="24D61806"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807"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808"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80F" w14:textId="77777777">
        <w:trPr>
          <w:trHeight w:val="1531"/>
        </w:trPr>
        <w:tc>
          <w:tcPr>
            <w:tcW w:w="6696" w:type="dxa"/>
            <w:tcBorders>
              <w:bottom w:val="single" w:sz="4" w:space="0" w:color="000000"/>
              <w:right w:val="single" w:sz="4" w:space="0" w:color="000000"/>
            </w:tcBorders>
          </w:tcPr>
          <w:p w14:paraId="24D6180A" w14:textId="77777777" w:rsidR="00245300" w:rsidRPr="00EC20A0" w:rsidRDefault="00F17249">
            <w:pPr>
              <w:pStyle w:val="TableParagraph"/>
              <w:spacing w:line="219" w:lineRule="exact"/>
              <w:ind w:left="1244"/>
            </w:pPr>
            <w:r w:rsidRPr="00EC20A0">
              <w:t>confirm</w:t>
            </w:r>
            <w:r w:rsidRPr="00EC20A0">
              <w:rPr>
                <w:spacing w:val="-8"/>
              </w:rPr>
              <w:t xml:space="preserve"> </w:t>
            </w:r>
            <w:r w:rsidRPr="00EC20A0">
              <w:t>the</w:t>
            </w:r>
            <w:r w:rsidRPr="00EC20A0">
              <w:rPr>
                <w:spacing w:val="-8"/>
              </w:rPr>
              <w:t xml:space="preserve"> </w:t>
            </w:r>
            <w:r w:rsidRPr="00EC20A0">
              <w:t>balances.</w:t>
            </w:r>
            <w:r w:rsidRPr="00EC20A0">
              <w:rPr>
                <w:spacing w:val="-7"/>
              </w:rPr>
              <w:t xml:space="preserve"> </w:t>
            </w:r>
            <w:r w:rsidRPr="00EC20A0">
              <w:t>(Note:</w:t>
            </w:r>
            <w:r w:rsidRPr="00EC20A0">
              <w:rPr>
                <w:spacing w:val="-7"/>
              </w:rPr>
              <w:t xml:space="preserve"> </w:t>
            </w:r>
            <w:r w:rsidRPr="00EC20A0">
              <w:t>OMB</w:t>
            </w:r>
            <w:r w:rsidRPr="00EC20A0">
              <w:rPr>
                <w:spacing w:val="-7"/>
              </w:rPr>
              <w:t xml:space="preserve"> </w:t>
            </w:r>
            <w:r w:rsidRPr="00EC20A0">
              <w:t>reporting</w:t>
            </w:r>
            <w:r w:rsidRPr="00EC20A0">
              <w:rPr>
                <w:spacing w:val="-7"/>
              </w:rPr>
              <w:t xml:space="preserve"> </w:t>
            </w:r>
            <w:r w:rsidRPr="00EC20A0">
              <w:rPr>
                <w:spacing w:val="-2"/>
              </w:rPr>
              <w:t>guidance</w:t>
            </w:r>
          </w:p>
          <w:p w14:paraId="24D6180B" w14:textId="77777777" w:rsidR="00245300" w:rsidRPr="00EC20A0" w:rsidRDefault="00F17249">
            <w:pPr>
              <w:pStyle w:val="TableParagraph"/>
              <w:ind w:left="1244"/>
            </w:pPr>
            <w:r w:rsidRPr="00EC20A0">
              <w:t>requires</w:t>
            </w:r>
            <w:r w:rsidRPr="00EC20A0">
              <w:rPr>
                <w:spacing w:val="-7"/>
              </w:rPr>
              <w:t xml:space="preserve"> </w:t>
            </w:r>
            <w:r w:rsidRPr="00EC20A0">
              <w:t>reconciliation</w:t>
            </w:r>
            <w:r w:rsidRPr="00EC20A0">
              <w:rPr>
                <w:spacing w:val="-7"/>
              </w:rPr>
              <w:t xml:space="preserve"> </w:t>
            </w:r>
            <w:r w:rsidRPr="00EC20A0">
              <w:t>throughout</w:t>
            </w:r>
            <w:r w:rsidRPr="00EC20A0">
              <w:rPr>
                <w:spacing w:val="-7"/>
              </w:rPr>
              <w:t xml:space="preserve"> </w:t>
            </w:r>
            <w:r w:rsidRPr="00EC20A0">
              <w:t>the</w:t>
            </w:r>
            <w:r w:rsidRPr="00EC20A0">
              <w:rPr>
                <w:spacing w:val="-7"/>
              </w:rPr>
              <w:t xml:space="preserve"> </w:t>
            </w:r>
            <w:r w:rsidRPr="00EC20A0">
              <w:t>year</w:t>
            </w:r>
            <w:r w:rsidRPr="00EC20A0">
              <w:rPr>
                <w:spacing w:val="-7"/>
              </w:rPr>
              <w:t xml:space="preserve"> </w:t>
            </w:r>
            <w:r w:rsidRPr="00EC20A0">
              <w:t>with</w:t>
            </w:r>
            <w:r w:rsidRPr="00EC20A0">
              <w:rPr>
                <w:spacing w:val="-7"/>
              </w:rPr>
              <w:t xml:space="preserve"> </w:t>
            </w:r>
            <w:r w:rsidRPr="00EC20A0">
              <w:t>all differences resolved by year-end.)</w:t>
            </w:r>
          </w:p>
          <w:p w14:paraId="24D6180C" w14:textId="77777777" w:rsidR="00245300" w:rsidRPr="00EC20A0" w:rsidRDefault="00F17249">
            <w:pPr>
              <w:pStyle w:val="TableParagraph"/>
              <w:spacing w:before="180"/>
              <w:ind w:left="1244"/>
            </w:pPr>
            <w:r w:rsidRPr="00EC20A0">
              <w:t>If</w:t>
            </w:r>
            <w:r w:rsidRPr="00EC20A0">
              <w:rPr>
                <w:spacing w:val="-5"/>
              </w:rPr>
              <w:t xml:space="preserve"> </w:t>
            </w:r>
            <w:r w:rsidRPr="00EC20A0">
              <w:t>differences</w:t>
            </w:r>
            <w:r w:rsidRPr="00EC20A0">
              <w:rPr>
                <w:spacing w:val="-5"/>
              </w:rPr>
              <w:t xml:space="preserve"> </w:t>
            </w:r>
            <w:r w:rsidRPr="00EC20A0">
              <w:t>were</w:t>
            </w:r>
            <w:r w:rsidRPr="00EC20A0">
              <w:rPr>
                <w:spacing w:val="-5"/>
              </w:rPr>
              <w:t xml:space="preserve"> </w:t>
            </w:r>
            <w:r w:rsidRPr="00EC20A0">
              <w:t>not</w:t>
            </w:r>
            <w:r w:rsidRPr="00EC20A0">
              <w:rPr>
                <w:spacing w:val="-5"/>
              </w:rPr>
              <w:t xml:space="preserve"> </w:t>
            </w:r>
            <w:r w:rsidRPr="00EC20A0">
              <w:t>reconciled</w:t>
            </w:r>
            <w:r w:rsidRPr="00EC20A0">
              <w:rPr>
                <w:spacing w:val="-5"/>
              </w:rPr>
              <w:t xml:space="preserve"> </w:t>
            </w:r>
            <w:r w:rsidRPr="00EC20A0">
              <w:t>(i.e.,</w:t>
            </w:r>
            <w:r w:rsidRPr="00EC20A0">
              <w:rPr>
                <w:spacing w:val="-5"/>
              </w:rPr>
              <w:t xml:space="preserve"> </w:t>
            </w:r>
            <w:r w:rsidRPr="00EC20A0">
              <w:t>the</w:t>
            </w:r>
            <w:r w:rsidRPr="00EC20A0">
              <w:rPr>
                <w:spacing w:val="-5"/>
              </w:rPr>
              <w:t xml:space="preserve"> </w:t>
            </w:r>
            <w:r w:rsidRPr="00EC20A0">
              <w:t>reasons</w:t>
            </w:r>
            <w:r w:rsidRPr="00EC20A0">
              <w:rPr>
                <w:spacing w:val="-5"/>
              </w:rPr>
              <w:t xml:space="preserve"> </w:t>
            </w:r>
            <w:r w:rsidRPr="00EC20A0">
              <w:t xml:space="preserve">for the </w:t>
            </w:r>
            <w:r w:rsidRPr="00EC20A0">
              <w:t>differences were not identified), determine why.</w:t>
            </w:r>
          </w:p>
        </w:tc>
        <w:tc>
          <w:tcPr>
            <w:tcW w:w="1144" w:type="dxa"/>
            <w:tcBorders>
              <w:left w:val="single" w:sz="4" w:space="0" w:color="000000"/>
              <w:bottom w:val="single" w:sz="4" w:space="0" w:color="000000"/>
              <w:right w:val="single" w:sz="4" w:space="0" w:color="000000"/>
            </w:tcBorders>
          </w:tcPr>
          <w:p w14:paraId="24D6180D"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80E" w14:textId="77777777" w:rsidR="00245300" w:rsidRPr="00EC20A0" w:rsidRDefault="00245300">
            <w:pPr>
              <w:pStyle w:val="TableParagraph"/>
              <w:rPr>
                <w:sz w:val="20"/>
              </w:rPr>
            </w:pPr>
          </w:p>
        </w:tc>
      </w:tr>
      <w:tr w:rsidR="00245300" w:rsidRPr="00EC20A0" w14:paraId="24D61813" w14:textId="77777777">
        <w:trPr>
          <w:trHeight w:val="877"/>
        </w:trPr>
        <w:tc>
          <w:tcPr>
            <w:tcW w:w="6696" w:type="dxa"/>
            <w:tcBorders>
              <w:top w:val="single" w:sz="4" w:space="0" w:color="000000"/>
              <w:bottom w:val="single" w:sz="4" w:space="0" w:color="000000"/>
              <w:right w:val="single" w:sz="4" w:space="0" w:color="000000"/>
            </w:tcBorders>
          </w:tcPr>
          <w:p w14:paraId="24D61810" w14:textId="77777777" w:rsidR="00245300" w:rsidRPr="00EC20A0" w:rsidRDefault="00F17249">
            <w:pPr>
              <w:pStyle w:val="TableParagraph"/>
              <w:tabs>
                <w:tab w:val="left" w:pos="1244"/>
              </w:tabs>
              <w:spacing w:before="60"/>
              <w:ind w:left="1244" w:right="310" w:hanging="396"/>
            </w:pPr>
            <w:r w:rsidRPr="00EC20A0">
              <w:rPr>
                <w:spacing w:val="-6"/>
              </w:rPr>
              <w:t>c)</w:t>
            </w:r>
            <w:r w:rsidRPr="00EC20A0">
              <w:tab/>
              <w:t>Review</w:t>
            </w:r>
            <w:r w:rsidRPr="00EC20A0">
              <w:rPr>
                <w:spacing w:val="-7"/>
              </w:rPr>
              <w:t xml:space="preserve"> </w:t>
            </w:r>
            <w:r w:rsidRPr="00EC20A0">
              <w:t>evidence</w:t>
            </w:r>
            <w:r w:rsidRPr="00EC20A0">
              <w:rPr>
                <w:spacing w:val="-7"/>
              </w:rPr>
              <w:t xml:space="preserve"> </w:t>
            </w:r>
            <w:r w:rsidRPr="00EC20A0">
              <w:t>of</w:t>
            </w:r>
            <w:r w:rsidRPr="00EC20A0">
              <w:rPr>
                <w:spacing w:val="-7"/>
              </w:rPr>
              <w:t xml:space="preserve"> </w:t>
            </w:r>
            <w:r w:rsidRPr="00EC20A0">
              <w:t>management’s</w:t>
            </w:r>
            <w:r w:rsidRPr="00EC20A0">
              <w:rPr>
                <w:spacing w:val="-7"/>
              </w:rPr>
              <w:t xml:space="preserve"> </w:t>
            </w:r>
            <w:r w:rsidRPr="00EC20A0">
              <w:t>monitoring</w:t>
            </w:r>
            <w:r w:rsidRPr="00EC20A0">
              <w:rPr>
                <w:spacing w:val="-7"/>
              </w:rPr>
              <w:t xml:space="preserve"> </w:t>
            </w:r>
            <w:r w:rsidRPr="00EC20A0">
              <w:t>of</w:t>
            </w:r>
            <w:r w:rsidRPr="00EC20A0">
              <w:rPr>
                <w:spacing w:val="-7"/>
              </w:rPr>
              <w:t xml:space="preserve"> </w:t>
            </w:r>
            <w:r w:rsidRPr="00EC20A0">
              <w:t>the timely reconciliation of differences to determine whether management’s monitoring is effective.</w:t>
            </w:r>
          </w:p>
        </w:tc>
        <w:tc>
          <w:tcPr>
            <w:tcW w:w="1144" w:type="dxa"/>
            <w:tcBorders>
              <w:top w:val="single" w:sz="4" w:space="0" w:color="000000"/>
              <w:left w:val="single" w:sz="4" w:space="0" w:color="000000"/>
              <w:bottom w:val="single" w:sz="4" w:space="0" w:color="000000"/>
              <w:right w:val="single" w:sz="4" w:space="0" w:color="000000"/>
            </w:tcBorders>
          </w:tcPr>
          <w:p w14:paraId="24D61811"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12" w14:textId="77777777" w:rsidR="00245300" w:rsidRPr="00EC20A0" w:rsidRDefault="00245300">
            <w:pPr>
              <w:pStyle w:val="TableParagraph"/>
              <w:rPr>
                <w:sz w:val="20"/>
              </w:rPr>
            </w:pPr>
          </w:p>
        </w:tc>
      </w:tr>
      <w:tr w:rsidR="00245300" w:rsidRPr="00EC20A0" w14:paraId="24D6181C" w14:textId="77777777">
        <w:trPr>
          <w:trHeight w:val="6464"/>
        </w:trPr>
        <w:tc>
          <w:tcPr>
            <w:tcW w:w="6696" w:type="dxa"/>
            <w:tcBorders>
              <w:top w:val="single" w:sz="4" w:space="0" w:color="000000"/>
              <w:bottom w:val="single" w:sz="4" w:space="0" w:color="000000"/>
              <w:right w:val="single" w:sz="4" w:space="0" w:color="000000"/>
            </w:tcBorders>
          </w:tcPr>
          <w:p w14:paraId="24D61814" w14:textId="77777777" w:rsidR="00245300" w:rsidRPr="00EC20A0" w:rsidRDefault="00F17249">
            <w:pPr>
              <w:pStyle w:val="TableParagraph"/>
              <w:numPr>
                <w:ilvl w:val="0"/>
                <w:numId w:val="104"/>
              </w:numPr>
              <w:tabs>
                <w:tab w:val="left" w:pos="1244"/>
              </w:tabs>
              <w:spacing w:before="60"/>
              <w:ind w:right="151"/>
            </w:pPr>
            <w:r w:rsidRPr="00EC20A0">
              <w:t xml:space="preserve">For intragovernmental differences </w:t>
            </w:r>
            <w:r w:rsidRPr="00EC20A0">
              <w:t>identified in Treasury quarterly reconciliations of GTAS submissions,</w:t>
            </w:r>
            <w:r w:rsidRPr="00EC20A0">
              <w:rPr>
                <w:spacing w:val="-8"/>
              </w:rPr>
              <w:t xml:space="preserve"> </w:t>
            </w:r>
            <w:r w:rsidRPr="00EC20A0">
              <w:t>determine</w:t>
            </w:r>
            <w:r w:rsidRPr="00EC20A0">
              <w:rPr>
                <w:spacing w:val="-8"/>
              </w:rPr>
              <w:t xml:space="preserve"> </w:t>
            </w:r>
            <w:r w:rsidRPr="00EC20A0">
              <w:t>whether</w:t>
            </w:r>
            <w:r w:rsidRPr="00EC20A0">
              <w:rPr>
                <w:spacing w:val="-8"/>
              </w:rPr>
              <w:t xml:space="preserve"> </w:t>
            </w:r>
            <w:r w:rsidRPr="00EC20A0">
              <w:t>the</w:t>
            </w:r>
            <w:r w:rsidRPr="00EC20A0">
              <w:rPr>
                <w:spacing w:val="-8"/>
              </w:rPr>
              <w:t xml:space="preserve"> </w:t>
            </w:r>
            <w:r w:rsidRPr="00EC20A0">
              <w:t>entity</w:t>
            </w:r>
            <w:r w:rsidRPr="00EC20A0">
              <w:rPr>
                <w:spacing w:val="-8"/>
              </w:rPr>
              <w:t xml:space="preserve"> </w:t>
            </w:r>
            <w:r w:rsidRPr="00EC20A0">
              <w:t>researched the differences, including contacting trading partners and</w:t>
            </w:r>
            <w:r w:rsidRPr="00EC20A0">
              <w:rPr>
                <w:spacing w:val="-4"/>
              </w:rPr>
              <w:t xml:space="preserve"> </w:t>
            </w:r>
            <w:r w:rsidRPr="00EC20A0">
              <w:t>Treasury</w:t>
            </w:r>
            <w:r w:rsidRPr="00EC20A0">
              <w:rPr>
                <w:spacing w:val="-4"/>
              </w:rPr>
              <w:t xml:space="preserve"> </w:t>
            </w:r>
            <w:r w:rsidRPr="00EC20A0">
              <w:t>as</w:t>
            </w:r>
            <w:r w:rsidRPr="00EC20A0">
              <w:rPr>
                <w:spacing w:val="-4"/>
              </w:rPr>
              <w:t xml:space="preserve"> </w:t>
            </w:r>
            <w:r w:rsidRPr="00EC20A0">
              <w:t>needed,</w:t>
            </w:r>
            <w:r w:rsidRPr="00EC20A0">
              <w:rPr>
                <w:spacing w:val="-4"/>
              </w:rPr>
              <w:t xml:space="preserve"> </w:t>
            </w:r>
            <w:r w:rsidRPr="00EC20A0">
              <w:t>to</w:t>
            </w:r>
            <w:r w:rsidRPr="00EC20A0">
              <w:rPr>
                <w:spacing w:val="-4"/>
              </w:rPr>
              <w:t xml:space="preserve"> </w:t>
            </w:r>
            <w:r w:rsidRPr="00EC20A0">
              <w:t>determine</w:t>
            </w:r>
            <w:r w:rsidRPr="00EC20A0">
              <w:rPr>
                <w:spacing w:val="-4"/>
              </w:rPr>
              <w:t xml:space="preserve"> </w:t>
            </w:r>
            <w:r w:rsidRPr="00EC20A0">
              <w:t>the</w:t>
            </w:r>
            <w:r w:rsidRPr="00EC20A0">
              <w:rPr>
                <w:spacing w:val="-4"/>
              </w:rPr>
              <w:t xml:space="preserve"> </w:t>
            </w:r>
            <w:r w:rsidRPr="00EC20A0">
              <w:t>reasons</w:t>
            </w:r>
            <w:r w:rsidRPr="00EC20A0">
              <w:rPr>
                <w:spacing w:val="-4"/>
              </w:rPr>
              <w:t xml:space="preserve"> </w:t>
            </w:r>
            <w:r w:rsidRPr="00EC20A0">
              <w:t>for the differences.</w:t>
            </w:r>
          </w:p>
          <w:p w14:paraId="24D61815" w14:textId="77777777" w:rsidR="00245300" w:rsidRPr="00EC20A0" w:rsidRDefault="00F17249">
            <w:pPr>
              <w:pStyle w:val="TableParagraph"/>
              <w:numPr>
                <w:ilvl w:val="1"/>
                <w:numId w:val="104"/>
              </w:numPr>
              <w:tabs>
                <w:tab w:val="left" w:pos="2324"/>
              </w:tabs>
              <w:spacing w:before="60"/>
              <w:ind w:right="196"/>
              <w:jc w:val="left"/>
            </w:pPr>
            <w:r w:rsidRPr="00EC20A0">
              <w:t xml:space="preserve">Review and </w:t>
            </w:r>
            <w:r w:rsidRPr="00EC20A0">
              <w:t>re-perform the entity’s procedures to ensure that the intragovernmental</w:t>
            </w:r>
            <w:r w:rsidRPr="00EC20A0">
              <w:rPr>
                <w:spacing w:val="-13"/>
              </w:rPr>
              <w:t xml:space="preserve"> </w:t>
            </w:r>
            <w:r w:rsidRPr="00EC20A0">
              <w:t>differences</w:t>
            </w:r>
            <w:r w:rsidRPr="00EC20A0">
              <w:rPr>
                <w:spacing w:val="-13"/>
              </w:rPr>
              <w:t xml:space="preserve"> </w:t>
            </w:r>
            <w:r w:rsidRPr="00EC20A0">
              <w:t>reports</w:t>
            </w:r>
            <w:r w:rsidRPr="00EC20A0">
              <w:rPr>
                <w:spacing w:val="-13"/>
              </w:rPr>
              <w:t xml:space="preserve"> </w:t>
            </w:r>
            <w:r w:rsidRPr="00EC20A0">
              <w:t>from Treasury were accurate and complete.</w:t>
            </w:r>
          </w:p>
          <w:p w14:paraId="24D61816" w14:textId="77777777" w:rsidR="00245300" w:rsidRPr="00EC20A0" w:rsidRDefault="00F17249">
            <w:pPr>
              <w:pStyle w:val="TableParagraph"/>
              <w:numPr>
                <w:ilvl w:val="1"/>
                <w:numId w:val="104"/>
              </w:numPr>
              <w:tabs>
                <w:tab w:val="left" w:pos="2324"/>
              </w:tabs>
              <w:spacing w:before="1"/>
              <w:ind w:right="441" w:hanging="735"/>
              <w:jc w:val="left"/>
            </w:pPr>
            <w:r w:rsidRPr="00EC20A0">
              <w:t>Review the explanations that the entity provided</w:t>
            </w:r>
            <w:r w:rsidRPr="00EC20A0">
              <w:rPr>
                <w:spacing w:val="-10"/>
              </w:rPr>
              <w:t xml:space="preserve"> </w:t>
            </w:r>
            <w:r w:rsidRPr="00EC20A0">
              <w:t>Treasury</w:t>
            </w:r>
            <w:r w:rsidRPr="00EC20A0">
              <w:rPr>
                <w:spacing w:val="-10"/>
              </w:rPr>
              <w:t xml:space="preserve"> </w:t>
            </w:r>
            <w:r w:rsidRPr="00EC20A0">
              <w:t>to</w:t>
            </w:r>
            <w:r w:rsidRPr="00EC20A0">
              <w:rPr>
                <w:spacing w:val="-10"/>
              </w:rPr>
              <w:t xml:space="preserve"> </w:t>
            </w:r>
            <w:r w:rsidRPr="00EC20A0">
              <w:t>determine</w:t>
            </w:r>
            <w:r w:rsidRPr="00EC20A0">
              <w:rPr>
                <w:spacing w:val="-10"/>
              </w:rPr>
              <w:t xml:space="preserve"> </w:t>
            </w:r>
            <w:r w:rsidRPr="00EC20A0">
              <w:t>whether they were reasonable and supported.</w:t>
            </w:r>
          </w:p>
          <w:p w14:paraId="24D61817" w14:textId="77777777" w:rsidR="00245300" w:rsidRPr="00EC20A0" w:rsidRDefault="00F17249">
            <w:pPr>
              <w:pStyle w:val="TableParagraph"/>
              <w:numPr>
                <w:ilvl w:val="1"/>
                <w:numId w:val="104"/>
              </w:numPr>
              <w:tabs>
                <w:tab w:val="left" w:pos="2324"/>
              </w:tabs>
              <w:ind w:right="330" w:hanging="784"/>
              <w:jc w:val="left"/>
            </w:pPr>
            <w:r w:rsidRPr="00EC20A0">
              <w:t>Verify that the explanations were timely provided</w:t>
            </w:r>
            <w:r w:rsidRPr="00EC20A0">
              <w:rPr>
                <w:spacing w:val="-7"/>
              </w:rPr>
              <w:t xml:space="preserve"> </w:t>
            </w:r>
            <w:r w:rsidRPr="00EC20A0">
              <w:t>to</w:t>
            </w:r>
            <w:r w:rsidRPr="00EC20A0">
              <w:rPr>
                <w:spacing w:val="-8"/>
              </w:rPr>
              <w:t xml:space="preserve"> </w:t>
            </w:r>
            <w:r w:rsidRPr="00EC20A0">
              <w:t>Treasury</w:t>
            </w:r>
            <w:r w:rsidRPr="00EC20A0">
              <w:rPr>
                <w:spacing w:val="-6"/>
              </w:rPr>
              <w:t xml:space="preserve"> </w:t>
            </w:r>
            <w:r w:rsidRPr="00EC20A0">
              <w:t>(per</w:t>
            </w:r>
            <w:r w:rsidRPr="00EC20A0">
              <w:rPr>
                <w:spacing w:val="-7"/>
              </w:rPr>
              <w:t xml:space="preserve"> </w:t>
            </w:r>
            <w:r w:rsidRPr="00EC20A0">
              <w:t>the</w:t>
            </w:r>
            <w:r w:rsidRPr="00EC20A0">
              <w:rPr>
                <w:spacing w:val="-7"/>
              </w:rPr>
              <w:t xml:space="preserve"> </w:t>
            </w:r>
            <w:r w:rsidRPr="00EC20A0">
              <w:t>schedule</w:t>
            </w:r>
            <w:r w:rsidRPr="00EC20A0">
              <w:rPr>
                <w:spacing w:val="-7"/>
              </w:rPr>
              <w:t xml:space="preserve"> </w:t>
            </w:r>
            <w:r w:rsidRPr="00EC20A0">
              <w:t>in the TFM 2-4700).</w:t>
            </w:r>
          </w:p>
          <w:p w14:paraId="24D61818" w14:textId="77777777" w:rsidR="00245300" w:rsidRPr="00EC20A0" w:rsidRDefault="00F17249">
            <w:pPr>
              <w:pStyle w:val="TableParagraph"/>
              <w:numPr>
                <w:ilvl w:val="1"/>
                <w:numId w:val="104"/>
              </w:numPr>
              <w:tabs>
                <w:tab w:val="left" w:pos="2324"/>
              </w:tabs>
              <w:ind w:right="342" w:hanging="796"/>
              <w:jc w:val="left"/>
            </w:pPr>
            <w:r w:rsidRPr="00EC20A0">
              <w:t>Verify that management reviewed and approved</w:t>
            </w:r>
            <w:r w:rsidRPr="00EC20A0">
              <w:rPr>
                <w:spacing w:val="-7"/>
              </w:rPr>
              <w:t xml:space="preserve"> </w:t>
            </w:r>
            <w:r w:rsidRPr="00EC20A0">
              <w:t>the</w:t>
            </w:r>
            <w:r w:rsidRPr="00EC20A0">
              <w:rPr>
                <w:spacing w:val="-7"/>
              </w:rPr>
              <w:t xml:space="preserve"> </w:t>
            </w:r>
            <w:r w:rsidRPr="00EC20A0">
              <w:t>results</w:t>
            </w:r>
            <w:r w:rsidRPr="00EC20A0">
              <w:rPr>
                <w:spacing w:val="-7"/>
              </w:rPr>
              <w:t xml:space="preserve"> </w:t>
            </w:r>
            <w:r w:rsidRPr="00EC20A0">
              <w:t>of</w:t>
            </w:r>
            <w:r w:rsidRPr="00EC20A0">
              <w:rPr>
                <w:spacing w:val="-7"/>
              </w:rPr>
              <w:t xml:space="preserve"> </w:t>
            </w:r>
            <w:r w:rsidRPr="00EC20A0">
              <w:t>the</w:t>
            </w:r>
            <w:r w:rsidRPr="00EC20A0">
              <w:rPr>
                <w:spacing w:val="-7"/>
              </w:rPr>
              <w:t xml:space="preserve"> </w:t>
            </w:r>
            <w:r w:rsidRPr="00EC20A0">
              <w:t>procedures</w:t>
            </w:r>
            <w:r w:rsidRPr="00EC20A0">
              <w:rPr>
                <w:spacing w:val="-7"/>
              </w:rPr>
              <w:t xml:space="preserve"> </w:t>
            </w:r>
            <w:r w:rsidRPr="00EC20A0">
              <w:t>in “i” and “ii” above.</w:t>
            </w:r>
          </w:p>
          <w:p w14:paraId="24D61819" w14:textId="77777777" w:rsidR="00245300" w:rsidRPr="00EC20A0" w:rsidRDefault="00F17249">
            <w:pPr>
              <w:pStyle w:val="TableParagraph"/>
              <w:numPr>
                <w:ilvl w:val="1"/>
                <w:numId w:val="104"/>
              </w:numPr>
              <w:tabs>
                <w:tab w:val="left" w:pos="2324"/>
              </w:tabs>
              <w:spacing w:line="254" w:lineRule="exact"/>
              <w:ind w:right="368" w:hanging="764"/>
              <w:jc w:val="left"/>
              <w:rPr>
                <w:sz w:val="24"/>
              </w:rPr>
            </w:pPr>
            <w:r w:rsidRPr="00EC20A0">
              <w:t>Participate in the significant entity’s teleconferences</w:t>
            </w:r>
            <w:r w:rsidRPr="00EC20A0">
              <w:rPr>
                <w:spacing w:val="-10"/>
              </w:rPr>
              <w:t xml:space="preserve"> </w:t>
            </w:r>
            <w:r w:rsidRPr="00EC20A0">
              <w:t>with</w:t>
            </w:r>
            <w:r w:rsidRPr="00EC20A0">
              <w:rPr>
                <w:spacing w:val="-10"/>
              </w:rPr>
              <w:t xml:space="preserve"> </w:t>
            </w:r>
            <w:r w:rsidRPr="00EC20A0">
              <w:t>Treasury</w:t>
            </w:r>
            <w:r w:rsidRPr="00EC20A0">
              <w:rPr>
                <w:spacing w:val="-10"/>
              </w:rPr>
              <w:t xml:space="preserve"> </w:t>
            </w:r>
            <w:r w:rsidRPr="00EC20A0">
              <w:t>to</w:t>
            </w:r>
            <w:r w:rsidRPr="00EC20A0">
              <w:rPr>
                <w:spacing w:val="-10"/>
              </w:rPr>
              <w:t xml:space="preserve"> </w:t>
            </w:r>
            <w:r w:rsidRPr="00EC20A0">
              <w:t>discuss the entity’s draft scorecard, paying particular attention to matters regarding reconciliation and the identification of causes of differences.</w:t>
            </w:r>
          </w:p>
        </w:tc>
        <w:tc>
          <w:tcPr>
            <w:tcW w:w="1144" w:type="dxa"/>
            <w:tcBorders>
              <w:top w:val="single" w:sz="4" w:space="0" w:color="000000"/>
              <w:left w:val="single" w:sz="4" w:space="0" w:color="000000"/>
              <w:bottom w:val="single" w:sz="4" w:space="0" w:color="000000"/>
              <w:right w:val="single" w:sz="4" w:space="0" w:color="000000"/>
            </w:tcBorders>
          </w:tcPr>
          <w:p w14:paraId="24D6181A"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1B" w14:textId="77777777" w:rsidR="00245300" w:rsidRPr="00EC20A0" w:rsidRDefault="00245300">
            <w:pPr>
              <w:pStyle w:val="TableParagraph"/>
              <w:rPr>
                <w:sz w:val="20"/>
              </w:rPr>
            </w:pPr>
          </w:p>
        </w:tc>
      </w:tr>
      <w:tr w:rsidR="00245300" w:rsidRPr="00EC20A0" w14:paraId="24D61820" w14:textId="77777777">
        <w:trPr>
          <w:trHeight w:val="877"/>
        </w:trPr>
        <w:tc>
          <w:tcPr>
            <w:tcW w:w="6696" w:type="dxa"/>
            <w:tcBorders>
              <w:top w:val="single" w:sz="4" w:space="0" w:color="000000"/>
              <w:bottom w:val="single" w:sz="4" w:space="0" w:color="000000"/>
              <w:right w:val="single" w:sz="4" w:space="0" w:color="000000"/>
            </w:tcBorders>
          </w:tcPr>
          <w:p w14:paraId="24D6181D" w14:textId="77777777" w:rsidR="00245300" w:rsidRPr="00EC20A0" w:rsidRDefault="00F17249">
            <w:pPr>
              <w:pStyle w:val="TableParagraph"/>
              <w:tabs>
                <w:tab w:val="left" w:pos="1244"/>
              </w:tabs>
              <w:spacing w:before="60"/>
              <w:ind w:left="1244" w:right="348" w:hanging="397"/>
            </w:pPr>
            <w:r w:rsidRPr="00EC20A0">
              <w:rPr>
                <w:spacing w:val="-6"/>
              </w:rPr>
              <w:t>e)</w:t>
            </w:r>
            <w:r w:rsidRPr="00EC20A0">
              <w:tab/>
              <w:t>Use</w:t>
            </w:r>
            <w:r w:rsidRPr="00EC20A0">
              <w:rPr>
                <w:spacing w:val="-6"/>
              </w:rPr>
              <w:t xml:space="preserve"> </w:t>
            </w:r>
            <w:r w:rsidRPr="00EC20A0">
              <w:t>auditor</w:t>
            </w:r>
            <w:r w:rsidRPr="00EC20A0">
              <w:rPr>
                <w:spacing w:val="-8"/>
              </w:rPr>
              <w:t xml:space="preserve"> </w:t>
            </w:r>
            <w:r w:rsidRPr="00EC20A0">
              <w:t>judgment</w:t>
            </w:r>
            <w:r w:rsidRPr="00EC20A0">
              <w:rPr>
                <w:spacing w:val="-6"/>
              </w:rPr>
              <w:t xml:space="preserve"> </w:t>
            </w:r>
            <w:r w:rsidRPr="00EC20A0">
              <w:t>to</w:t>
            </w:r>
            <w:r w:rsidRPr="00EC20A0">
              <w:rPr>
                <w:spacing w:val="-6"/>
              </w:rPr>
              <w:t xml:space="preserve"> </w:t>
            </w:r>
            <w:r w:rsidRPr="00EC20A0">
              <w:t>conclude</w:t>
            </w:r>
            <w:r w:rsidRPr="00EC20A0">
              <w:rPr>
                <w:spacing w:val="-6"/>
              </w:rPr>
              <w:t xml:space="preserve"> </w:t>
            </w:r>
            <w:r w:rsidRPr="00EC20A0">
              <w:t>whether</w:t>
            </w:r>
            <w:r w:rsidRPr="00EC20A0">
              <w:rPr>
                <w:spacing w:val="-6"/>
              </w:rPr>
              <w:t xml:space="preserve"> </w:t>
            </w:r>
            <w:r w:rsidRPr="00EC20A0">
              <w:t>the</w:t>
            </w:r>
            <w:r w:rsidRPr="00EC20A0">
              <w:rPr>
                <w:spacing w:val="-6"/>
              </w:rPr>
              <w:t xml:space="preserve"> </w:t>
            </w:r>
            <w:r w:rsidRPr="00EC20A0">
              <w:t xml:space="preserve">entity effectively worked with trading partners to reconcile </w:t>
            </w:r>
            <w:r w:rsidRPr="00EC20A0">
              <w:rPr>
                <w:spacing w:val="-2"/>
              </w:rPr>
              <w:t>differences.</w:t>
            </w:r>
          </w:p>
        </w:tc>
        <w:tc>
          <w:tcPr>
            <w:tcW w:w="1144" w:type="dxa"/>
            <w:tcBorders>
              <w:top w:val="single" w:sz="4" w:space="0" w:color="000000"/>
              <w:left w:val="single" w:sz="4" w:space="0" w:color="000000"/>
              <w:bottom w:val="single" w:sz="4" w:space="0" w:color="000000"/>
              <w:right w:val="single" w:sz="4" w:space="0" w:color="000000"/>
            </w:tcBorders>
          </w:tcPr>
          <w:p w14:paraId="24D6181E"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1F" w14:textId="77777777" w:rsidR="00245300" w:rsidRPr="00EC20A0" w:rsidRDefault="00245300">
            <w:pPr>
              <w:pStyle w:val="TableParagraph"/>
              <w:rPr>
                <w:sz w:val="20"/>
              </w:rPr>
            </w:pPr>
          </w:p>
        </w:tc>
      </w:tr>
      <w:tr w:rsidR="00245300" w:rsidRPr="00EC20A0" w14:paraId="24D61825" w14:textId="77777777">
        <w:trPr>
          <w:trHeight w:val="2517"/>
        </w:trPr>
        <w:tc>
          <w:tcPr>
            <w:tcW w:w="6696" w:type="dxa"/>
            <w:tcBorders>
              <w:top w:val="single" w:sz="4" w:space="0" w:color="000000"/>
              <w:bottom w:val="single" w:sz="4" w:space="0" w:color="000000"/>
              <w:right w:val="single" w:sz="4" w:space="0" w:color="000000"/>
            </w:tcBorders>
          </w:tcPr>
          <w:p w14:paraId="24D61821" w14:textId="77777777" w:rsidR="00245300" w:rsidRPr="00EC20A0" w:rsidRDefault="00F17249">
            <w:pPr>
              <w:pStyle w:val="TableParagraph"/>
              <w:tabs>
                <w:tab w:val="left" w:pos="752"/>
              </w:tabs>
              <w:spacing w:before="1"/>
              <w:ind w:left="752" w:right="168" w:hanging="450"/>
            </w:pPr>
            <w:r w:rsidRPr="00EC20A0">
              <w:rPr>
                <w:spacing w:val="-6"/>
              </w:rPr>
              <w:t>3)</w:t>
            </w:r>
            <w:r w:rsidRPr="00EC20A0">
              <w:tab/>
              <w:t>For</w:t>
            </w:r>
            <w:r w:rsidRPr="00EC20A0">
              <w:rPr>
                <w:spacing w:val="-8"/>
              </w:rPr>
              <w:t xml:space="preserve"> </w:t>
            </w:r>
            <w:r w:rsidRPr="00EC20A0">
              <w:t>any</w:t>
            </w:r>
            <w:r w:rsidRPr="00EC20A0">
              <w:rPr>
                <w:spacing w:val="-8"/>
              </w:rPr>
              <w:t xml:space="preserve"> </w:t>
            </w:r>
            <w:r w:rsidRPr="00EC20A0">
              <w:t>intragovernmental</w:t>
            </w:r>
            <w:r w:rsidRPr="00EC20A0">
              <w:rPr>
                <w:spacing w:val="-8"/>
              </w:rPr>
              <w:t xml:space="preserve"> </w:t>
            </w:r>
            <w:r w:rsidRPr="00EC20A0">
              <w:t>differences</w:t>
            </w:r>
            <w:r w:rsidRPr="00EC20A0">
              <w:rPr>
                <w:spacing w:val="-8"/>
              </w:rPr>
              <w:t xml:space="preserve"> </w:t>
            </w:r>
            <w:r w:rsidRPr="00EC20A0">
              <w:t>identified,</w:t>
            </w:r>
            <w:r w:rsidRPr="00EC20A0">
              <w:rPr>
                <w:spacing w:val="-8"/>
              </w:rPr>
              <w:t xml:space="preserve"> </w:t>
            </w:r>
            <w:r w:rsidRPr="00EC20A0">
              <w:t xml:space="preserve">determine whether the differences were timely resolved by either (i) recording an adjustment in the entity’s </w:t>
            </w:r>
            <w:r w:rsidRPr="00EC20A0">
              <w:t>accounting records and/or (ii) verifying that the trading partner recorded an adjustment</w:t>
            </w:r>
            <w:r w:rsidRPr="00EC20A0">
              <w:rPr>
                <w:spacing w:val="-3"/>
              </w:rPr>
              <w:t xml:space="preserve"> </w:t>
            </w:r>
            <w:r w:rsidRPr="00EC20A0">
              <w:t>in</w:t>
            </w:r>
            <w:r w:rsidRPr="00EC20A0">
              <w:rPr>
                <w:spacing w:val="-3"/>
              </w:rPr>
              <w:t xml:space="preserve"> </w:t>
            </w:r>
            <w:r w:rsidRPr="00EC20A0">
              <w:t>its</w:t>
            </w:r>
            <w:r w:rsidRPr="00EC20A0">
              <w:rPr>
                <w:spacing w:val="-3"/>
              </w:rPr>
              <w:t xml:space="preserve"> </w:t>
            </w:r>
            <w:r w:rsidRPr="00EC20A0">
              <w:t>accounting</w:t>
            </w:r>
            <w:r w:rsidRPr="00EC20A0">
              <w:rPr>
                <w:spacing w:val="-3"/>
              </w:rPr>
              <w:t xml:space="preserve"> </w:t>
            </w:r>
            <w:r w:rsidRPr="00EC20A0">
              <w:t>records.</w:t>
            </w:r>
            <w:r w:rsidRPr="00EC20A0">
              <w:rPr>
                <w:spacing w:val="-3"/>
              </w:rPr>
              <w:t xml:space="preserve"> </w:t>
            </w:r>
            <w:r w:rsidRPr="00EC20A0">
              <w:t>(Note:</w:t>
            </w:r>
            <w:r w:rsidRPr="00EC20A0">
              <w:rPr>
                <w:spacing w:val="-3"/>
              </w:rPr>
              <w:t xml:space="preserve"> </w:t>
            </w:r>
            <w:r w:rsidRPr="00EC20A0">
              <w:t>OMB</w:t>
            </w:r>
            <w:r w:rsidRPr="00EC20A0">
              <w:rPr>
                <w:spacing w:val="-2"/>
              </w:rPr>
              <w:t xml:space="preserve"> </w:t>
            </w:r>
            <w:r w:rsidRPr="00EC20A0">
              <w:t>reporting guidance requires resolution of differences throughout the year with all differences resolved by year-end.)</w:t>
            </w:r>
          </w:p>
          <w:p w14:paraId="24D61822" w14:textId="77777777" w:rsidR="00245300" w:rsidRPr="00EC20A0" w:rsidRDefault="00F17249">
            <w:pPr>
              <w:pStyle w:val="TableParagraph"/>
              <w:spacing w:before="119"/>
              <w:ind w:left="752" w:right="359" w:hanging="1"/>
            </w:pPr>
            <w:r w:rsidRPr="00EC20A0">
              <w:t>If</w:t>
            </w:r>
            <w:r w:rsidRPr="00EC20A0">
              <w:rPr>
                <w:spacing w:val="-6"/>
              </w:rPr>
              <w:t xml:space="preserve"> </w:t>
            </w:r>
            <w:r w:rsidRPr="00EC20A0">
              <w:t>differences</w:t>
            </w:r>
            <w:r w:rsidRPr="00EC20A0">
              <w:rPr>
                <w:spacing w:val="-6"/>
              </w:rPr>
              <w:t xml:space="preserve"> </w:t>
            </w:r>
            <w:r w:rsidRPr="00EC20A0">
              <w:t>were</w:t>
            </w:r>
            <w:r w:rsidRPr="00EC20A0">
              <w:rPr>
                <w:spacing w:val="-6"/>
              </w:rPr>
              <w:t xml:space="preserve"> </w:t>
            </w:r>
            <w:r w:rsidRPr="00EC20A0">
              <w:t>not</w:t>
            </w:r>
            <w:r w:rsidRPr="00EC20A0">
              <w:rPr>
                <w:spacing w:val="-6"/>
              </w:rPr>
              <w:t xml:space="preserve"> </w:t>
            </w:r>
            <w:r w:rsidRPr="00EC20A0">
              <w:t>resolved</w:t>
            </w:r>
            <w:r w:rsidRPr="00EC20A0">
              <w:rPr>
                <w:spacing w:val="-6"/>
              </w:rPr>
              <w:t xml:space="preserve"> </w:t>
            </w:r>
            <w:r w:rsidRPr="00EC20A0">
              <w:t>by</w:t>
            </w:r>
            <w:r w:rsidRPr="00EC20A0">
              <w:rPr>
                <w:spacing w:val="-6"/>
              </w:rPr>
              <w:t xml:space="preserve"> </w:t>
            </w:r>
            <w:r w:rsidRPr="00EC20A0">
              <w:t>year-end,</w:t>
            </w:r>
            <w:r w:rsidRPr="00EC20A0">
              <w:rPr>
                <w:spacing w:val="-6"/>
              </w:rPr>
              <w:t xml:space="preserve"> </w:t>
            </w:r>
            <w:r w:rsidRPr="00EC20A0">
              <w:t xml:space="preserve">determine </w:t>
            </w:r>
            <w:r w:rsidRPr="00EC20A0">
              <w:rPr>
                <w:spacing w:val="-4"/>
              </w:rPr>
              <w:t>why.</w:t>
            </w:r>
          </w:p>
        </w:tc>
        <w:tc>
          <w:tcPr>
            <w:tcW w:w="1144" w:type="dxa"/>
            <w:tcBorders>
              <w:top w:val="single" w:sz="4" w:space="0" w:color="000000"/>
              <w:left w:val="single" w:sz="4" w:space="0" w:color="000000"/>
              <w:bottom w:val="single" w:sz="4" w:space="0" w:color="000000"/>
              <w:right w:val="single" w:sz="4" w:space="0" w:color="000000"/>
            </w:tcBorders>
          </w:tcPr>
          <w:p w14:paraId="24D61823"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24" w14:textId="77777777" w:rsidR="00245300" w:rsidRPr="00EC20A0" w:rsidRDefault="00245300">
            <w:pPr>
              <w:pStyle w:val="TableParagraph"/>
              <w:rPr>
                <w:sz w:val="20"/>
              </w:rPr>
            </w:pPr>
          </w:p>
        </w:tc>
      </w:tr>
    </w:tbl>
    <w:p w14:paraId="24D61826"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827"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82B" w14:textId="77777777">
        <w:trPr>
          <w:trHeight w:val="625"/>
        </w:trPr>
        <w:tc>
          <w:tcPr>
            <w:tcW w:w="6696" w:type="dxa"/>
            <w:tcBorders>
              <w:right w:val="single" w:sz="4" w:space="0" w:color="000000"/>
            </w:tcBorders>
          </w:tcPr>
          <w:p w14:paraId="24D61828"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829"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82A"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82F" w14:textId="77777777">
        <w:trPr>
          <w:trHeight w:val="591"/>
        </w:trPr>
        <w:tc>
          <w:tcPr>
            <w:tcW w:w="6696" w:type="dxa"/>
            <w:tcBorders>
              <w:bottom w:val="single" w:sz="4" w:space="0" w:color="000000"/>
              <w:right w:val="single" w:sz="4" w:space="0" w:color="000000"/>
            </w:tcBorders>
          </w:tcPr>
          <w:p w14:paraId="24D6182C" w14:textId="77777777" w:rsidR="00245300" w:rsidRPr="00EC20A0" w:rsidRDefault="00F17249">
            <w:pPr>
              <w:pStyle w:val="TableParagraph"/>
              <w:tabs>
                <w:tab w:val="left" w:pos="1244"/>
              </w:tabs>
              <w:spacing w:before="25"/>
              <w:ind w:left="1244" w:right="261" w:hanging="397"/>
            </w:pPr>
            <w:r w:rsidRPr="00EC20A0">
              <w:rPr>
                <w:spacing w:val="-6"/>
              </w:rPr>
              <w:t>a)</w:t>
            </w:r>
            <w:r w:rsidRPr="00EC20A0">
              <w:tab/>
              <w:t>Verify that management reviewed and approved the adjustments</w:t>
            </w:r>
            <w:r w:rsidRPr="00EC20A0">
              <w:rPr>
                <w:spacing w:val="-9"/>
              </w:rPr>
              <w:t xml:space="preserve"> </w:t>
            </w:r>
            <w:r w:rsidRPr="00EC20A0">
              <w:t>before</w:t>
            </w:r>
            <w:r w:rsidRPr="00EC20A0">
              <w:rPr>
                <w:spacing w:val="-8"/>
              </w:rPr>
              <w:t xml:space="preserve"> </w:t>
            </w:r>
            <w:r w:rsidRPr="00EC20A0">
              <w:t>adjusting</w:t>
            </w:r>
            <w:r w:rsidRPr="00EC20A0">
              <w:rPr>
                <w:spacing w:val="-8"/>
              </w:rPr>
              <w:t xml:space="preserve"> </w:t>
            </w:r>
            <w:r w:rsidRPr="00EC20A0">
              <w:t>the</w:t>
            </w:r>
            <w:r w:rsidRPr="00EC20A0">
              <w:rPr>
                <w:spacing w:val="-8"/>
              </w:rPr>
              <w:t xml:space="preserve"> </w:t>
            </w:r>
            <w:r w:rsidRPr="00EC20A0">
              <w:t>accounting</w:t>
            </w:r>
            <w:r w:rsidRPr="00EC20A0">
              <w:rPr>
                <w:spacing w:val="-8"/>
              </w:rPr>
              <w:t xml:space="preserve"> </w:t>
            </w:r>
            <w:r w:rsidRPr="00EC20A0">
              <w:t>records.</w:t>
            </w:r>
          </w:p>
        </w:tc>
        <w:tc>
          <w:tcPr>
            <w:tcW w:w="1144" w:type="dxa"/>
            <w:tcBorders>
              <w:left w:val="single" w:sz="4" w:space="0" w:color="000000"/>
              <w:bottom w:val="single" w:sz="4" w:space="0" w:color="000000"/>
              <w:right w:val="single" w:sz="4" w:space="0" w:color="000000"/>
            </w:tcBorders>
          </w:tcPr>
          <w:p w14:paraId="24D6182D"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82E" w14:textId="77777777" w:rsidR="00245300" w:rsidRPr="00EC20A0" w:rsidRDefault="00245300">
            <w:pPr>
              <w:pStyle w:val="TableParagraph"/>
              <w:rPr>
                <w:sz w:val="20"/>
              </w:rPr>
            </w:pPr>
          </w:p>
        </w:tc>
      </w:tr>
      <w:tr w:rsidR="00245300" w:rsidRPr="00EC20A0" w14:paraId="24D61833" w14:textId="77777777">
        <w:trPr>
          <w:trHeight w:val="625"/>
        </w:trPr>
        <w:tc>
          <w:tcPr>
            <w:tcW w:w="6696" w:type="dxa"/>
            <w:tcBorders>
              <w:top w:val="single" w:sz="4" w:space="0" w:color="000000"/>
              <w:bottom w:val="single" w:sz="4" w:space="0" w:color="000000"/>
              <w:right w:val="single" w:sz="4" w:space="0" w:color="000000"/>
            </w:tcBorders>
          </w:tcPr>
          <w:p w14:paraId="24D61830" w14:textId="77777777" w:rsidR="00245300" w:rsidRPr="00EC20A0" w:rsidRDefault="00F17249">
            <w:pPr>
              <w:pStyle w:val="TableParagraph"/>
              <w:tabs>
                <w:tab w:val="left" w:pos="1244"/>
              </w:tabs>
              <w:spacing w:before="60"/>
              <w:ind w:left="1244" w:right="616" w:hanging="397"/>
            </w:pPr>
            <w:r w:rsidRPr="00EC20A0">
              <w:rPr>
                <w:spacing w:val="-6"/>
              </w:rPr>
              <w:t>b)</w:t>
            </w:r>
            <w:r w:rsidRPr="00EC20A0">
              <w:tab/>
              <w:t xml:space="preserve">Trace, from the source </w:t>
            </w:r>
            <w:r w:rsidRPr="00EC20A0">
              <w:t>documents to the general ledger,</w:t>
            </w:r>
            <w:r w:rsidRPr="00EC20A0">
              <w:rPr>
                <w:spacing w:val="-8"/>
              </w:rPr>
              <w:t xml:space="preserve"> </w:t>
            </w:r>
            <w:r w:rsidRPr="00EC20A0">
              <w:t>the</w:t>
            </w:r>
            <w:r w:rsidRPr="00EC20A0">
              <w:rPr>
                <w:spacing w:val="-8"/>
              </w:rPr>
              <w:t xml:space="preserve"> </w:t>
            </w:r>
            <w:r w:rsidRPr="00EC20A0">
              <w:t>adjustments</w:t>
            </w:r>
            <w:r w:rsidRPr="00EC20A0">
              <w:rPr>
                <w:spacing w:val="-8"/>
              </w:rPr>
              <w:t xml:space="preserve"> </w:t>
            </w:r>
            <w:r w:rsidRPr="00EC20A0">
              <w:t>that</w:t>
            </w:r>
            <w:r w:rsidRPr="00EC20A0">
              <w:rPr>
                <w:spacing w:val="-8"/>
              </w:rPr>
              <w:t xml:space="preserve"> </w:t>
            </w:r>
            <w:r w:rsidRPr="00EC20A0">
              <w:t>resolved</w:t>
            </w:r>
            <w:r w:rsidRPr="00EC20A0">
              <w:rPr>
                <w:spacing w:val="-9"/>
              </w:rPr>
              <w:t xml:space="preserve"> </w:t>
            </w:r>
            <w:r w:rsidRPr="00EC20A0">
              <w:t>differences.</w:t>
            </w:r>
          </w:p>
        </w:tc>
        <w:tc>
          <w:tcPr>
            <w:tcW w:w="1144" w:type="dxa"/>
            <w:tcBorders>
              <w:top w:val="single" w:sz="4" w:space="0" w:color="000000"/>
              <w:left w:val="single" w:sz="4" w:space="0" w:color="000000"/>
              <w:bottom w:val="single" w:sz="4" w:space="0" w:color="000000"/>
              <w:right w:val="single" w:sz="4" w:space="0" w:color="000000"/>
            </w:tcBorders>
          </w:tcPr>
          <w:p w14:paraId="24D61831"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32" w14:textId="77777777" w:rsidR="00245300" w:rsidRPr="00EC20A0" w:rsidRDefault="00245300">
            <w:pPr>
              <w:pStyle w:val="TableParagraph"/>
              <w:rPr>
                <w:sz w:val="20"/>
              </w:rPr>
            </w:pPr>
          </w:p>
        </w:tc>
      </w:tr>
      <w:tr w:rsidR="00245300" w:rsidRPr="00EC20A0" w14:paraId="24D61837" w14:textId="77777777">
        <w:trPr>
          <w:trHeight w:val="879"/>
        </w:trPr>
        <w:tc>
          <w:tcPr>
            <w:tcW w:w="6696" w:type="dxa"/>
            <w:tcBorders>
              <w:top w:val="single" w:sz="4" w:space="0" w:color="000000"/>
              <w:bottom w:val="single" w:sz="4" w:space="0" w:color="000000"/>
              <w:right w:val="single" w:sz="4" w:space="0" w:color="000000"/>
            </w:tcBorders>
          </w:tcPr>
          <w:p w14:paraId="24D61834" w14:textId="77777777" w:rsidR="00245300" w:rsidRPr="00EC20A0" w:rsidRDefault="00F17249">
            <w:pPr>
              <w:pStyle w:val="TableParagraph"/>
              <w:tabs>
                <w:tab w:val="left" w:pos="1244"/>
              </w:tabs>
              <w:spacing w:before="60"/>
              <w:ind w:left="1244" w:right="310" w:hanging="396"/>
            </w:pPr>
            <w:r w:rsidRPr="00EC20A0">
              <w:rPr>
                <w:spacing w:val="-6"/>
              </w:rPr>
              <w:t>c)</w:t>
            </w:r>
            <w:r w:rsidRPr="00EC20A0">
              <w:tab/>
              <w:t>Review</w:t>
            </w:r>
            <w:r w:rsidRPr="00EC20A0">
              <w:rPr>
                <w:spacing w:val="-7"/>
              </w:rPr>
              <w:t xml:space="preserve"> </w:t>
            </w:r>
            <w:r w:rsidRPr="00EC20A0">
              <w:t>the</w:t>
            </w:r>
            <w:r w:rsidRPr="00EC20A0">
              <w:rPr>
                <w:spacing w:val="-6"/>
              </w:rPr>
              <w:t xml:space="preserve"> </w:t>
            </w:r>
            <w:r w:rsidRPr="00EC20A0">
              <w:t>evidence</w:t>
            </w:r>
            <w:r w:rsidRPr="00EC20A0">
              <w:rPr>
                <w:spacing w:val="-6"/>
              </w:rPr>
              <w:t xml:space="preserve"> </w:t>
            </w:r>
            <w:r w:rsidRPr="00EC20A0">
              <w:t>of</w:t>
            </w:r>
            <w:r w:rsidRPr="00EC20A0">
              <w:rPr>
                <w:spacing w:val="-7"/>
              </w:rPr>
              <w:t xml:space="preserve"> </w:t>
            </w:r>
            <w:r w:rsidRPr="00EC20A0">
              <w:t>management’s</w:t>
            </w:r>
            <w:r w:rsidRPr="00EC20A0">
              <w:rPr>
                <w:spacing w:val="-6"/>
              </w:rPr>
              <w:t xml:space="preserve"> </w:t>
            </w:r>
            <w:r w:rsidRPr="00EC20A0">
              <w:t>monitoring</w:t>
            </w:r>
            <w:r w:rsidRPr="00EC20A0">
              <w:rPr>
                <w:spacing w:val="-6"/>
              </w:rPr>
              <w:t xml:space="preserve"> </w:t>
            </w:r>
            <w:r w:rsidRPr="00EC20A0">
              <w:t>of the timely resolution of differences to determine whether management’s monitoring is effective.</w:t>
            </w:r>
          </w:p>
        </w:tc>
        <w:tc>
          <w:tcPr>
            <w:tcW w:w="1144" w:type="dxa"/>
            <w:tcBorders>
              <w:top w:val="single" w:sz="4" w:space="0" w:color="000000"/>
              <w:left w:val="single" w:sz="4" w:space="0" w:color="000000"/>
              <w:bottom w:val="single" w:sz="4" w:space="0" w:color="000000"/>
              <w:right w:val="single" w:sz="4" w:space="0" w:color="000000"/>
            </w:tcBorders>
          </w:tcPr>
          <w:p w14:paraId="24D61835"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36" w14:textId="77777777" w:rsidR="00245300" w:rsidRPr="00EC20A0" w:rsidRDefault="00245300">
            <w:pPr>
              <w:pStyle w:val="TableParagraph"/>
              <w:rPr>
                <w:sz w:val="20"/>
              </w:rPr>
            </w:pPr>
          </w:p>
        </w:tc>
      </w:tr>
      <w:tr w:rsidR="00245300" w:rsidRPr="00EC20A0" w14:paraId="24D6183B" w14:textId="77777777">
        <w:trPr>
          <w:trHeight w:val="952"/>
        </w:trPr>
        <w:tc>
          <w:tcPr>
            <w:tcW w:w="6696" w:type="dxa"/>
            <w:tcBorders>
              <w:top w:val="single" w:sz="4" w:space="0" w:color="000000"/>
              <w:bottom w:val="single" w:sz="4" w:space="0" w:color="000000"/>
              <w:right w:val="single" w:sz="4" w:space="0" w:color="000000"/>
            </w:tcBorders>
          </w:tcPr>
          <w:p w14:paraId="24D61838" w14:textId="77777777" w:rsidR="00245300" w:rsidRPr="00EC20A0" w:rsidRDefault="00F17249">
            <w:pPr>
              <w:pStyle w:val="TableParagraph"/>
              <w:tabs>
                <w:tab w:val="left" w:pos="1244"/>
              </w:tabs>
              <w:spacing w:before="60"/>
              <w:ind w:left="1244" w:right="348" w:hanging="397"/>
            </w:pPr>
            <w:r w:rsidRPr="00EC20A0">
              <w:rPr>
                <w:spacing w:val="-6"/>
              </w:rPr>
              <w:t>d)</w:t>
            </w:r>
            <w:r w:rsidRPr="00EC20A0">
              <w:tab/>
              <w:t>Use</w:t>
            </w:r>
            <w:r w:rsidRPr="00EC20A0">
              <w:rPr>
                <w:spacing w:val="-6"/>
              </w:rPr>
              <w:t xml:space="preserve"> </w:t>
            </w:r>
            <w:r w:rsidRPr="00EC20A0">
              <w:t>auditor</w:t>
            </w:r>
            <w:r w:rsidRPr="00EC20A0">
              <w:rPr>
                <w:spacing w:val="-8"/>
              </w:rPr>
              <w:t xml:space="preserve"> </w:t>
            </w:r>
            <w:r w:rsidRPr="00EC20A0">
              <w:t>judgment</w:t>
            </w:r>
            <w:r w:rsidRPr="00EC20A0">
              <w:rPr>
                <w:spacing w:val="-6"/>
              </w:rPr>
              <w:t xml:space="preserve"> </w:t>
            </w:r>
            <w:r w:rsidRPr="00EC20A0">
              <w:t>to</w:t>
            </w:r>
            <w:r w:rsidRPr="00EC20A0">
              <w:rPr>
                <w:spacing w:val="-6"/>
              </w:rPr>
              <w:t xml:space="preserve"> </w:t>
            </w:r>
            <w:r w:rsidRPr="00EC20A0">
              <w:t>conclude</w:t>
            </w:r>
            <w:r w:rsidRPr="00EC20A0">
              <w:rPr>
                <w:spacing w:val="-6"/>
              </w:rPr>
              <w:t xml:space="preserve"> </w:t>
            </w:r>
            <w:r w:rsidRPr="00EC20A0">
              <w:t>whether</w:t>
            </w:r>
            <w:r w:rsidRPr="00EC20A0">
              <w:rPr>
                <w:spacing w:val="-6"/>
              </w:rPr>
              <w:t xml:space="preserve"> </w:t>
            </w:r>
            <w:r w:rsidRPr="00EC20A0">
              <w:t>the</w:t>
            </w:r>
            <w:r w:rsidRPr="00EC20A0">
              <w:rPr>
                <w:spacing w:val="-6"/>
              </w:rPr>
              <w:t xml:space="preserve"> </w:t>
            </w:r>
            <w:r w:rsidRPr="00EC20A0">
              <w:t xml:space="preserve">entity effectively worked with trading partners to resolve </w:t>
            </w:r>
            <w:r w:rsidRPr="00EC20A0">
              <w:rPr>
                <w:spacing w:val="-2"/>
              </w:rPr>
              <w:t>differences.</w:t>
            </w:r>
          </w:p>
        </w:tc>
        <w:tc>
          <w:tcPr>
            <w:tcW w:w="1144" w:type="dxa"/>
            <w:tcBorders>
              <w:top w:val="single" w:sz="4" w:space="0" w:color="000000"/>
              <w:left w:val="single" w:sz="4" w:space="0" w:color="000000"/>
              <w:bottom w:val="single" w:sz="4" w:space="0" w:color="000000"/>
              <w:right w:val="single" w:sz="4" w:space="0" w:color="000000"/>
            </w:tcBorders>
          </w:tcPr>
          <w:p w14:paraId="24D61839"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3A" w14:textId="77777777" w:rsidR="00245300" w:rsidRPr="00EC20A0" w:rsidRDefault="00245300">
            <w:pPr>
              <w:pStyle w:val="TableParagraph"/>
              <w:rPr>
                <w:sz w:val="20"/>
              </w:rPr>
            </w:pPr>
          </w:p>
        </w:tc>
      </w:tr>
      <w:tr w:rsidR="00245300" w:rsidRPr="00EC20A0" w14:paraId="24D6183D" w14:textId="77777777">
        <w:trPr>
          <w:trHeight w:val="372"/>
        </w:trPr>
        <w:tc>
          <w:tcPr>
            <w:tcW w:w="9069" w:type="dxa"/>
            <w:gridSpan w:val="3"/>
            <w:tcBorders>
              <w:top w:val="single" w:sz="4" w:space="0" w:color="000000"/>
              <w:bottom w:val="single" w:sz="4" w:space="0" w:color="000000"/>
            </w:tcBorders>
          </w:tcPr>
          <w:p w14:paraId="24D6183C" w14:textId="77777777" w:rsidR="00245300" w:rsidRPr="00EC20A0" w:rsidRDefault="00F17249">
            <w:pPr>
              <w:pStyle w:val="TableParagraph"/>
              <w:tabs>
                <w:tab w:val="left" w:pos="1604"/>
              </w:tabs>
              <w:spacing w:before="61"/>
              <w:ind w:left="92"/>
              <w:rPr>
                <w:b/>
                <w:i/>
              </w:rPr>
            </w:pPr>
            <w:r w:rsidRPr="00EC20A0">
              <w:rPr>
                <w:b/>
                <w:i/>
              </w:rPr>
              <w:t>Phase</w:t>
            </w:r>
            <w:r w:rsidRPr="00EC20A0">
              <w:rPr>
                <w:b/>
                <w:i/>
                <w:spacing w:val="-8"/>
              </w:rPr>
              <w:t xml:space="preserve"> </w:t>
            </w:r>
            <w:r w:rsidRPr="00EC20A0">
              <w:rPr>
                <w:b/>
                <w:i/>
                <w:spacing w:val="-4"/>
              </w:rPr>
              <w:t>III:</w:t>
            </w:r>
            <w:r w:rsidRPr="00EC20A0">
              <w:rPr>
                <w:b/>
                <w:i/>
              </w:rPr>
              <w:tab/>
              <w:t>Reporting</w:t>
            </w:r>
            <w:r w:rsidRPr="00EC20A0">
              <w:rPr>
                <w:b/>
                <w:i/>
                <w:spacing w:val="-12"/>
              </w:rPr>
              <w:t xml:space="preserve"> </w:t>
            </w:r>
            <w:r w:rsidRPr="00EC20A0">
              <w:rPr>
                <w:b/>
                <w:i/>
              </w:rPr>
              <w:t>intragovernmental</w:t>
            </w:r>
            <w:r w:rsidRPr="00EC20A0">
              <w:rPr>
                <w:b/>
                <w:i/>
                <w:spacing w:val="-11"/>
              </w:rPr>
              <w:t xml:space="preserve"> </w:t>
            </w:r>
            <w:r w:rsidRPr="00EC20A0">
              <w:rPr>
                <w:b/>
                <w:i/>
              </w:rPr>
              <w:t>activity</w:t>
            </w:r>
            <w:r w:rsidRPr="00EC20A0">
              <w:rPr>
                <w:b/>
                <w:i/>
                <w:spacing w:val="-11"/>
              </w:rPr>
              <w:t xml:space="preserve"> </w:t>
            </w:r>
            <w:r w:rsidRPr="00EC20A0">
              <w:rPr>
                <w:b/>
                <w:i/>
              </w:rPr>
              <w:t>and</w:t>
            </w:r>
            <w:r w:rsidRPr="00EC20A0">
              <w:rPr>
                <w:b/>
                <w:i/>
                <w:spacing w:val="-11"/>
              </w:rPr>
              <w:t xml:space="preserve"> </w:t>
            </w:r>
            <w:r w:rsidRPr="00EC20A0">
              <w:rPr>
                <w:b/>
                <w:i/>
                <w:spacing w:val="-2"/>
              </w:rPr>
              <w:t>balances</w:t>
            </w:r>
          </w:p>
        </w:tc>
      </w:tr>
      <w:tr w:rsidR="00245300" w:rsidRPr="00EC20A0" w14:paraId="24D61841" w14:textId="77777777">
        <w:trPr>
          <w:trHeight w:val="625"/>
        </w:trPr>
        <w:tc>
          <w:tcPr>
            <w:tcW w:w="6696" w:type="dxa"/>
            <w:tcBorders>
              <w:top w:val="single" w:sz="4" w:space="0" w:color="000000"/>
              <w:bottom w:val="nil"/>
              <w:right w:val="single" w:sz="4" w:space="0" w:color="000000"/>
            </w:tcBorders>
          </w:tcPr>
          <w:p w14:paraId="24D6183E" w14:textId="77777777" w:rsidR="00245300" w:rsidRPr="00EC20A0" w:rsidRDefault="00F17249">
            <w:pPr>
              <w:pStyle w:val="TableParagraph"/>
              <w:tabs>
                <w:tab w:val="left" w:pos="758"/>
              </w:tabs>
              <w:spacing w:before="61"/>
              <w:ind w:left="758" w:right="331" w:hanging="450"/>
            </w:pPr>
            <w:r w:rsidRPr="00EC20A0">
              <w:rPr>
                <w:spacing w:val="-6"/>
              </w:rPr>
              <w:t>4)</w:t>
            </w:r>
            <w:r w:rsidRPr="00EC20A0">
              <w:tab/>
              <w:t>Test</w:t>
            </w:r>
            <w:r w:rsidRPr="00EC20A0">
              <w:rPr>
                <w:spacing w:val="-4"/>
              </w:rPr>
              <w:t xml:space="preserve"> </w:t>
            </w:r>
            <w:r w:rsidRPr="00EC20A0">
              <w:t>relevant</w:t>
            </w:r>
            <w:r w:rsidRPr="00EC20A0">
              <w:rPr>
                <w:spacing w:val="-4"/>
              </w:rPr>
              <w:t xml:space="preserve"> </w:t>
            </w:r>
            <w:r w:rsidRPr="00EC20A0">
              <w:t>control</w:t>
            </w:r>
            <w:r w:rsidRPr="00EC20A0">
              <w:rPr>
                <w:spacing w:val="-4"/>
              </w:rPr>
              <w:t xml:space="preserve"> </w:t>
            </w:r>
            <w:r w:rsidRPr="00EC20A0">
              <w:t>activities</w:t>
            </w:r>
            <w:r w:rsidRPr="00EC20A0">
              <w:rPr>
                <w:spacing w:val="-5"/>
              </w:rPr>
              <w:t xml:space="preserve"> </w:t>
            </w:r>
            <w:r w:rsidRPr="00EC20A0">
              <w:t>in</w:t>
            </w:r>
            <w:r w:rsidRPr="00EC20A0">
              <w:rPr>
                <w:spacing w:val="-4"/>
              </w:rPr>
              <w:t xml:space="preserve"> </w:t>
            </w:r>
            <w:r w:rsidRPr="00EC20A0">
              <w:t>Phase</w:t>
            </w:r>
            <w:r w:rsidRPr="00EC20A0">
              <w:rPr>
                <w:spacing w:val="-4"/>
              </w:rPr>
              <w:t xml:space="preserve"> </w:t>
            </w:r>
            <w:r w:rsidRPr="00EC20A0">
              <w:t>III</w:t>
            </w:r>
            <w:r w:rsidRPr="00EC20A0">
              <w:rPr>
                <w:spacing w:val="-4"/>
              </w:rPr>
              <w:t xml:space="preserve"> </w:t>
            </w:r>
            <w:r w:rsidRPr="00EC20A0">
              <w:t>that</w:t>
            </w:r>
            <w:r w:rsidRPr="00EC20A0">
              <w:rPr>
                <w:spacing w:val="-5"/>
              </w:rPr>
              <w:t xml:space="preserve"> </w:t>
            </w:r>
            <w:r w:rsidRPr="00EC20A0">
              <w:t>have</w:t>
            </w:r>
            <w:r w:rsidRPr="00EC20A0">
              <w:rPr>
                <w:spacing w:val="-4"/>
              </w:rPr>
              <w:t xml:space="preserve"> </w:t>
            </w:r>
            <w:r w:rsidRPr="00EC20A0">
              <w:t xml:space="preserve">been </w:t>
            </w:r>
            <w:r w:rsidRPr="00EC20A0">
              <w:rPr>
                <w:spacing w:val="-2"/>
              </w:rPr>
              <w:t>implemented.</w:t>
            </w:r>
          </w:p>
        </w:tc>
        <w:tc>
          <w:tcPr>
            <w:tcW w:w="1144" w:type="dxa"/>
            <w:vMerge w:val="restart"/>
            <w:tcBorders>
              <w:top w:val="single" w:sz="4" w:space="0" w:color="000000"/>
              <w:left w:val="single" w:sz="4" w:space="0" w:color="000000"/>
              <w:bottom w:val="single" w:sz="4" w:space="0" w:color="000000"/>
              <w:right w:val="single" w:sz="4" w:space="0" w:color="000000"/>
            </w:tcBorders>
          </w:tcPr>
          <w:p w14:paraId="24D6183F" w14:textId="77777777" w:rsidR="00245300" w:rsidRPr="00EC20A0" w:rsidRDefault="00245300">
            <w:pPr>
              <w:pStyle w:val="TableParagraph"/>
              <w:rPr>
                <w:sz w:val="20"/>
              </w:rPr>
            </w:pPr>
          </w:p>
        </w:tc>
        <w:tc>
          <w:tcPr>
            <w:tcW w:w="1229" w:type="dxa"/>
            <w:vMerge w:val="restart"/>
            <w:tcBorders>
              <w:top w:val="single" w:sz="4" w:space="0" w:color="000000"/>
              <w:left w:val="single" w:sz="4" w:space="0" w:color="000000"/>
              <w:bottom w:val="single" w:sz="4" w:space="0" w:color="000000"/>
            </w:tcBorders>
          </w:tcPr>
          <w:p w14:paraId="24D61840" w14:textId="77777777" w:rsidR="00245300" w:rsidRPr="00EC20A0" w:rsidRDefault="00245300">
            <w:pPr>
              <w:pStyle w:val="TableParagraph"/>
              <w:rPr>
                <w:sz w:val="20"/>
              </w:rPr>
            </w:pPr>
          </w:p>
        </w:tc>
      </w:tr>
      <w:tr w:rsidR="00245300" w:rsidRPr="00EC20A0" w14:paraId="24D61846" w14:textId="77777777">
        <w:trPr>
          <w:trHeight w:val="1123"/>
        </w:trPr>
        <w:tc>
          <w:tcPr>
            <w:tcW w:w="6696" w:type="dxa"/>
            <w:tcBorders>
              <w:top w:val="nil"/>
              <w:bottom w:val="single" w:sz="4" w:space="0" w:color="000000"/>
              <w:right w:val="single" w:sz="4" w:space="0" w:color="000000"/>
            </w:tcBorders>
          </w:tcPr>
          <w:p w14:paraId="24D61842" w14:textId="77777777" w:rsidR="00245300" w:rsidRPr="00EC20A0" w:rsidRDefault="00F17249">
            <w:pPr>
              <w:pStyle w:val="TableParagraph"/>
              <w:tabs>
                <w:tab w:val="left" w:pos="1244"/>
              </w:tabs>
              <w:spacing w:before="50"/>
              <w:ind w:left="1244" w:right="237" w:hanging="397"/>
            </w:pPr>
            <w:r w:rsidRPr="00EC20A0">
              <w:rPr>
                <w:spacing w:val="-6"/>
              </w:rPr>
              <w:t>a)</w:t>
            </w:r>
            <w:r w:rsidRPr="00EC20A0">
              <w:tab/>
              <w:t>Determine whether the entity appropriately summarized intragovernmental activity and balances in</w:t>
            </w:r>
            <w:r w:rsidRPr="00EC20A0">
              <w:rPr>
                <w:spacing w:val="-6"/>
              </w:rPr>
              <w:t xml:space="preserve"> </w:t>
            </w:r>
            <w:r w:rsidRPr="00EC20A0">
              <w:t>its</w:t>
            </w:r>
            <w:r w:rsidRPr="00EC20A0">
              <w:rPr>
                <w:spacing w:val="-6"/>
              </w:rPr>
              <w:t xml:space="preserve"> </w:t>
            </w:r>
            <w:r w:rsidRPr="00EC20A0">
              <w:t>financial</w:t>
            </w:r>
            <w:r w:rsidRPr="00EC20A0">
              <w:rPr>
                <w:spacing w:val="-6"/>
              </w:rPr>
              <w:t xml:space="preserve"> </w:t>
            </w:r>
            <w:r w:rsidRPr="00EC20A0">
              <w:t>statements</w:t>
            </w:r>
            <w:r w:rsidRPr="00EC20A0">
              <w:rPr>
                <w:spacing w:val="-6"/>
              </w:rPr>
              <w:t xml:space="preserve"> </w:t>
            </w:r>
            <w:r w:rsidRPr="00EC20A0">
              <w:t>in</w:t>
            </w:r>
            <w:r w:rsidRPr="00EC20A0">
              <w:rPr>
                <w:spacing w:val="-6"/>
              </w:rPr>
              <w:t xml:space="preserve"> </w:t>
            </w:r>
            <w:r w:rsidRPr="00EC20A0">
              <w:t>accordance</w:t>
            </w:r>
            <w:r w:rsidRPr="00EC20A0">
              <w:rPr>
                <w:spacing w:val="-6"/>
              </w:rPr>
              <w:t xml:space="preserve"> </w:t>
            </w:r>
            <w:r w:rsidRPr="00EC20A0">
              <w:t>with</w:t>
            </w:r>
            <w:r w:rsidRPr="00EC20A0">
              <w:rPr>
                <w:spacing w:val="-6"/>
              </w:rPr>
              <w:t xml:space="preserve"> </w:t>
            </w:r>
            <w:r w:rsidRPr="00EC20A0">
              <w:t>relevant</w:t>
            </w:r>
          </w:p>
          <w:p w14:paraId="24D61843" w14:textId="77777777" w:rsidR="00245300" w:rsidRPr="00EC20A0" w:rsidRDefault="00F17249">
            <w:pPr>
              <w:pStyle w:val="TableParagraph"/>
              <w:spacing w:before="1"/>
              <w:ind w:left="1244"/>
            </w:pPr>
            <w:r w:rsidRPr="00EC20A0">
              <w:t>U.S.</w:t>
            </w:r>
            <w:r w:rsidRPr="00EC20A0">
              <w:rPr>
                <w:spacing w:val="-7"/>
              </w:rPr>
              <w:t xml:space="preserve"> </w:t>
            </w:r>
            <w:r w:rsidRPr="00EC20A0">
              <w:t>GAAP,</w:t>
            </w:r>
            <w:r w:rsidRPr="00EC20A0">
              <w:rPr>
                <w:spacing w:val="-5"/>
              </w:rPr>
              <w:t xml:space="preserve"> </w:t>
            </w:r>
            <w:r w:rsidRPr="00EC20A0">
              <w:t>OMB,</w:t>
            </w:r>
            <w:r w:rsidRPr="00EC20A0">
              <w:rPr>
                <w:spacing w:val="-6"/>
              </w:rPr>
              <w:t xml:space="preserve"> </w:t>
            </w:r>
            <w:r w:rsidRPr="00EC20A0">
              <w:t>and</w:t>
            </w:r>
            <w:r w:rsidRPr="00EC20A0">
              <w:rPr>
                <w:spacing w:val="-6"/>
              </w:rPr>
              <w:t xml:space="preserve"> </w:t>
            </w:r>
            <w:r w:rsidRPr="00EC20A0">
              <w:t>Treasury</w:t>
            </w:r>
            <w:r w:rsidRPr="00EC20A0">
              <w:rPr>
                <w:spacing w:val="-6"/>
              </w:rPr>
              <w:t xml:space="preserve"> </w:t>
            </w:r>
            <w:r w:rsidRPr="00EC20A0">
              <w:rPr>
                <w:spacing w:val="-2"/>
              </w:rPr>
              <w:t>guidance.</w:t>
            </w:r>
          </w:p>
        </w:tc>
        <w:tc>
          <w:tcPr>
            <w:tcW w:w="1144" w:type="dxa"/>
            <w:vMerge/>
            <w:tcBorders>
              <w:top w:val="nil"/>
              <w:left w:val="single" w:sz="4" w:space="0" w:color="000000"/>
              <w:bottom w:val="single" w:sz="4" w:space="0" w:color="000000"/>
              <w:right w:val="single" w:sz="4" w:space="0" w:color="000000"/>
            </w:tcBorders>
          </w:tcPr>
          <w:p w14:paraId="24D61844" w14:textId="77777777" w:rsidR="00245300" w:rsidRPr="00EC20A0" w:rsidRDefault="00245300">
            <w:pPr>
              <w:rPr>
                <w:sz w:val="2"/>
                <w:szCs w:val="2"/>
              </w:rPr>
            </w:pPr>
          </w:p>
        </w:tc>
        <w:tc>
          <w:tcPr>
            <w:tcW w:w="1229" w:type="dxa"/>
            <w:vMerge/>
            <w:tcBorders>
              <w:top w:val="nil"/>
              <w:left w:val="single" w:sz="4" w:space="0" w:color="000000"/>
              <w:bottom w:val="single" w:sz="4" w:space="0" w:color="000000"/>
            </w:tcBorders>
          </w:tcPr>
          <w:p w14:paraId="24D61845" w14:textId="77777777" w:rsidR="00245300" w:rsidRPr="00EC20A0" w:rsidRDefault="00245300">
            <w:pPr>
              <w:rPr>
                <w:sz w:val="2"/>
                <w:szCs w:val="2"/>
              </w:rPr>
            </w:pPr>
          </w:p>
        </w:tc>
      </w:tr>
      <w:tr w:rsidR="00245300" w:rsidRPr="00EC20A0" w14:paraId="24D6184A" w14:textId="77777777">
        <w:trPr>
          <w:trHeight w:val="878"/>
        </w:trPr>
        <w:tc>
          <w:tcPr>
            <w:tcW w:w="6696" w:type="dxa"/>
            <w:tcBorders>
              <w:top w:val="single" w:sz="4" w:space="0" w:color="000000"/>
              <w:bottom w:val="single" w:sz="4" w:space="0" w:color="000000"/>
              <w:right w:val="single" w:sz="4" w:space="0" w:color="000000"/>
            </w:tcBorders>
          </w:tcPr>
          <w:p w14:paraId="24D61847" w14:textId="77777777" w:rsidR="00245300" w:rsidRPr="00EC20A0" w:rsidRDefault="00F17249">
            <w:pPr>
              <w:pStyle w:val="TableParagraph"/>
              <w:tabs>
                <w:tab w:val="left" w:pos="1244"/>
              </w:tabs>
              <w:spacing w:before="60"/>
              <w:ind w:left="1244" w:right="384" w:hanging="397"/>
            </w:pPr>
            <w:r w:rsidRPr="00EC20A0">
              <w:rPr>
                <w:spacing w:val="-6"/>
              </w:rPr>
              <w:t>b)</w:t>
            </w:r>
            <w:r w:rsidRPr="00EC20A0">
              <w:tab/>
            </w:r>
            <w:r w:rsidRPr="00EC20A0">
              <w:t xml:space="preserve">Obtain a list of the entity’s year-end </w:t>
            </w:r>
            <w:r w:rsidRPr="00EC20A0">
              <w:rPr>
                <w:b/>
              </w:rPr>
              <w:t xml:space="preserve">intra-entity </w:t>
            </w:r>
            <w:r w:rsidRPr="00EC20A0">
              <w:t>intragovernmental</w:t>
            </w:r>
            <w:r w:rsidRPr="00EC20A0">
              <w:rPr>
                <w:spacing w:val="-10"/>
              </w:rPr>
              <w:t xml:space="preserve"> </w:t>
            </w:r>
            <w:r w:rsidRPr="00EC20A0">
              <w:t>amounts</w:t>
            </w:r>
            <w:r w:rsidRPr="00EC20A0">
              <w:rPr>
                <w:spacing w:val="-10"/>
              </w:rPr>
              <w:t xml:space="preserve"> </w:t>
            </w:r>
            <w:r w:rsidRPr="00EC20A0">
              <w:t>identified</w:t>
            </w:r>
            <w:r w:rsidRPr="00EC20A0">
              <w:rPr>
                <w:spacing w:val="-10"/>
              </w:rPr>
              <w:t xml:space="preserve"> </w:t>
            </w:r>
            <w:r w:rsidRPr="00EC20A0">
              <w:t>for</w:t>
            </w:r>
            <w:r w:rsidRPr="00EC20A0">
              <w:rPr>
                <w:spacing w:val="-10"/>
              </w:rPr>
              <w:t xml:space="preserve"> </w:t>
            </w:r>
            <w:r w:rsidRPr="00EC20A0">
              <w:t>elimination and verify for each that</w:t>
            </w:r>
          </w:p>
        </w:tc>
        <w:tc>
          <w:tcPr>
            <w:tcW w:w="1144" w:type="dxa"/>
            <w:tcBorders>
              <w:top w:val="single" w:sz="4" w:space="0" w:color="000000"/>
              <w:left w:val="single" w:sz="4" w:space="0" w:color="000000"/>
              <w:bottom w:val="single" w:sz="4" w:space="0" w:color="000000"/>
              <w:right w:val="single" w:sz="4" w:space="0" w:color="000000"/>
            </w:tcBorders>
          </w:tcPr>
          <w:p w14:paraId="24D61848"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49" w14:textId="77777777" w:rsidR="00245300" w:rsidRPr="00EC20A0" w:rsidRDefault="00245300">
            <w:pPr>
              <w:pStyle w:val="TableParagraph"/>
              <w:rPr>
                <w:sz w:val="20"/>
              </w:rPr>
            </w:pPr>
          </w:p>
        </w:tc>
      </w:tr>
      <w:tr w:rsidR="00245300" w:rsidRPr="00EC20A0" w14:paraId="24D6184E" w14:textId="77777777">
        <w:trPr>
          <w:trHeight w:val="493"/>
        </w:trPr>
        <w:tc>
          <w:tcPr>
            <w:tcW w:w="6696" w:type="dxa"/>
            <w:tcBorders>
              <w:top w:val="single" w:sz="4" w:space="0" w:color="000000"/>
              <w:bottom w:val="single" w:sz="4" w:space="0" w:color="000000"/>
              <w:right w:val="single" w:sz="4" w:space="0" w:color="000000"/>
            </w:tcBorders>
          </w:tcPr>
          <w:p w14:paraId="24D6184B" w14:textId="77777777" w:rsidR="00245300" w:rsidRPr="00EC20A0" w:rsidRDefault="00F17249">
            <w:pPr>
              <w:pStyle w:val="TableParagraph"/>
              <w:tabs>
                <w:tab w:val="left" w:pos="1982"/>
              </w:tabs>
              <w:spacing w:before="121"/>
              <w:ind w:left="1512"/>
            </w:pPr>
            <w:r w:rsidRPr="00EC20A0">
              <w:rPr>
                <w:spacing w:val="-5"/>
              </w:rPr>
              <w:t>i.</w:t>
            </w:r>
            <w:r w:rsidRPr="00EC20A0">
              <w:tab/>
              <w:t>an</w:t>
            </w:r>
            <w:r w:rsidRPr="00EC20A0">
              <w:rPr>
                <w:spacing w:val="-7"/>
              </w:rPr>
              <w:t xml:space="preserve"> </w:t>
            </w:r>
            <w:r w:rsidRPr="00EC20A0">
              <w:t>eliminating</w:t>
            </w:r>
            <w:r w:rsidRPr="00EC20A0">
              <w:rPr>
                <w:spacing w:val="-6"/>
              </w:rPr>
              <w:t xml:space="preserve"> </w:t>
            </w:r>
            <w:r w:rsidRPr="00EC20A0">
              <w:t>journal</w:t>
            </w:r>
            <w:r w:rsidRPr="00EC20A0">
              <w:rPr>
                <w:spacing w:val="-7"/>
              </w:rPr>
              <w:t xml:space="preserve"> </w:t>
            </w:r>
            <w:r w:rsidRPr="00EC20A0">
              <w:t>entry</w:t>
            </w:r>
            <w:r w:rsidRPr="00EC20A0">
              <w:rPr>
                <w:spacing w:val="-6"/>
              </w:rPr>
              <w:t xml:space="preserve"> </w:t>
            </w:r>
            <w:r w:rsidRPr="00EC20A0">
              <w:t>was</w:t>
            </w:r>
            <w:r w:rsidRPr="00EC20A0">
              <w:rPr>
                <w:spacing w:val="-6"/>
              </w:rPr>
              <w:t xml:space="preserve"> </w:t>
            </w:r>
            <w:r w:rsidRPr="00EC20A0">
              <w:t>done</w:t>
            </w:r>
            <w:r w:rsidRPr="00EC20A0">
              <w:rPr>
                <w:spacing w:val="-7"/>
              </w:rPr>
              <w:t xml:space="preserve"> </w:t>
            </w:r>
            <w:r w:rsidRPr="00EC20A0">
              <w:rPr>
                <w:spacing w:val="-5"/>
              </w:rPr>
              <w:t>and</w:t>
            </w:r>
          </w:p>
        </w:tc>
        <w:tc>
          <w:tcPr>
            <w:tcW w:w="1144" w:type="dxa"/>
            <w:tcBorders>
              <w:top w:val="single" w:sz="4" w:space="0" w:color="000000"/>
              <w:left w:val="single" w:sz="4" w:space="0" w:color="000000"/>
              <w:bottom w:val="single" w:sz="4" w:space="0" w:color="000000"/>
              <w:right w:val="single" w:sz="4" w:space="0" w:color="000000"/>
            </w:tcBorders>
          </w:tcPr>
          <w:p w14:paraId="24D6184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4D" w14:textId="77777777" w:rsidR="00245300" w:rsidRPr="00EC20A0" w:rsidRDefault="00245300">
            <w:pPr>
              <w:pStyle w:val="TableParagraph"/>
              <w:rPr>
                <w:sz w:val="20"/>
              </w:rPr>
            </w:pPr>
          </w:p>
        </w:tc>
      </w:tr>
      <w:tr w:rsidR="00245300" w:rsidRPr="00EC20A0" w14:paraId="24D61852" w14:textId="77777777">
        <w:trPr>
          <w:trHeight w:val="746"/>
        </w:trPr>
        <w:tc>
          <w:tcPr>
            <w:tcW w:w="6696" w:type="dxa"/>
            <w:tcBorders>
              <w:top w:val="single" w:sz="4" w:space="0" w:color="000000"/>
              <w:bottom w:val="single" w:sz="4" w:space="0" w:color="000000"/>
              <w:right w:val="single" w:sz="4" w:space="0" w:color="000000"/>
            </w:tcBorders>
          </w:tcPr>
          <w:p w14:paraId="24D6184F" w14:textId="77777777" w:rsidR="00245300" w:rsidRPr="00EC20A0" w:rsidRDefault="00F17249">
            <w:pPr>
              <w:pStyle w:val="TableParagraph"/>
              <w:tabs>
                <w:tab w:val="left" w:pos="1982"/>
              </w:tabs>
              <w:spacing w:before="120"/>
              <w:ind w:left="1982" w:right="331" w:hanging="519"/>
            </w:pPr>
            <w:r w:rsidRPr="00EC20A0">
              <w:rPr>
                <w:spacing w:val="-4"/>
              </w:rPr>
              <w:t>ii.</w:t>
            </w:r>
            <w:r w:rsidRPr="00EC20A0">
              <w:tab/>
              <w:t>management reviewed and approved the journal</w:t>
            </w:r>
            <w:r w:rsidRPr="00EC20A0">
              <w:rPr>
                <w:spacing w:val="-7"/>
              </w:rPr>
              <w:t xml:space="preserve"> </w:t>
            </w:r>
            <w:r w:rsidRPr="00EC20A0">
              <w:t>entry</w:t>
            </w:r>
            <w:r w:rsidRPr="00EC20A0">
              <w:rPr>
                <w:spacing w:val="-7"/>
              </w:rPr>
              <w:t xml:space="preserve"> </w:t>
            </w:r>
            <w:r w:rsidRPr="00EC20A0">
              <w:t>prior</w:t>
            </w:r>
            <w:r w:rsidRPr="00EC20A0">
              <w:rPr>
                <w:spacing w:val="-7"/>
              </w:rPr>
              <w:t xml:space="preserve"> </w:t>
            </w:r>
            <w:r w:rsidRPr="00EC20A0">
              <w:t>to</w:t>
            </w:r>
            <w:r w:rsidRPr="00EC20A0">
              <w:rPr>
                <w:spacing w:val="-7"/>
              </w:rPr>
              <w:t xml:space="preserve"> </w:t>
            </w:r>
            <w:r w:rsidRPr="00EC20A0">
              <w:t>booking</w:t>
            </w:r>
            <w:r w:rsidRPr="00EC20A0">
              <w:rPr>
                <w:spacing w:val="-7"/>
              </w:rPr>
              <w:t xml:space="preserve"> </w:t>
            </w:r>
            <w:r w:rsidRPr="00EC20A0">
              <w:t>the</w:t>
            </w:r>
            <w:r w:rsidRPr="00EC20A0">
              <w:rPr>
                <w:spacing w:val="-7"/>
              </w:rPr>
              <w:t xml:space="preserve"> </w:t>
            </w:r>
            <w:r w:rsidRPr="00EC20A0">
              <w:t>adjustment.</w:t>
            </w:r>
          </w:p>
        </w:tc>
        <w:tc>
          <w:tcPr>
            <w:tcW w:w="1144" w:type="dxa"/>
            <w:tcBorders>
              <w:top w:val="single" w:sz="4" w:space="0" w:color="000000"/>
              <w:left w:val="single" w:sz="4" w:space="0" w:color="000000"/>
              <w:bottom w:val="single" w:sz="4" w:space="0" w:color="000000"/>
              <w:right w:val="single" w:sz="4" w:space="0" w:color="000000"/>
            </w:tcBorders>
          </w:tcPr>
          <w:p w14:paraId="24D6185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51" w14:textId="77777777" w:rsidR="00245300" w:rsidRPr="00EC20A0" w:rsidRDefault="00245300">
            <w:pPr>
              <w:pStyle w:val="TableParagraph"/>
              <w:rPr>
                <w:sz w:val="20"/>
              </w:rPr>
            </w:pPr>
          </w:p>
        </w:tc>
      </w:tr>
      <w:tr w:rsidR="00245300" w:rsidRPr="00EC20A0" w14:paraId="24D61856" w14:textId="77777777">
        <w:trPr>
          <w:trHeight w:val="1384"/>
        </w:trPr>
        <w:tc>
          <w:tcPr>
            <w:tcW w:w="6696" w:type="dxa"/>
            <w:tcBorders>
              <w:top w:val="single" w:sz="4" w:space="0" w:color="000000"/>
              <w:bottom w:val="single" w:sz="4" w:space="0" w:color="000000"/>
              <w:right w:val="single" w:sz="4" w:space="0" w:color="000000"/>
            </w:tcBorders>
          </w:tcPr>
          <w:p w14:paraId="24D61853" w14:textId="77777777" w:rsidR="00245300" w:rsidRPr="00EC20A0" w:rsidRDefault="00F17249">
            <w:pPr>
              <w:pStyle w:val="TableParagraph"/>
              <w:tabs>
                <w:tab w:val="left" w:pos="1244"/>
              </w:tabs>
              <w:spacing w:before="60"/>
              <w:ind w:left="1244" w:right="297" w:hanging="396"/>
            </w:pPr>
            <w:r w:rsidRPr="00EC20A0">
              <w:rPr>
                <w:spacing w:val="-6"/>
              </w:rPr>
              <w:t>c)</w:t>
            </w:r>
            <w:r w:rsidRPr="00EC20A0">
              <w:tab/>
              <w:t>Read FASAB and OMB reporting guidance to determine the requirements for reporting intragovernmental</w:t>
            </w:r>
            <w:r w:rsidRPr="00EC20A0">
              <w:rPr>
                <w:spacing w:val="-8"/>
              </w:rPr>
              <w:t xml:space="preserve"> </w:t>
            </w:r>
            <w:r w:rsidRPr="00EC20A0">
              <w:t>information</w:t>
            </w:r>
            <w:r w:rsidRPr="00EC20A0">
              <w:rPr>
                <w:spacing w:val="-8"/>
              </w:rPr>
              <w:t xml:space="preserve"> </w:t>
            </w:r>
            <w:r w:rsidRPr="00EC20A0">
              <w:t>in</w:t>
            </w:r>
            <w:r w:rsidRPr="00EC20A0">
              <w:rPr>
                <w:spacing w:val="-8"/>
              </w:rPr>
              <w:t xml:space="preserve"> </w:t>
            </w:r>
            <w:r w:rsidRPr="00EC20A0">
              <w:t>the</w:t>
            </w:r>
            <w:r w:rsidRPr="00EC20A0">
              <w:rPr>
                <w:spacing w:val="-8"/>
              </w:rPr>
              <w:t xml:space="preserve"> </w:t>
            </w:r>
            <w:r w:rsidRPr="00EC20A0">
              <w:t>entity’s</w:t>
            </w:r>
            <w:r w:rsidRPr="00EC20A0">
              <w:rPr>
                <w:spacing w:val="-8"/>
              </w:rPr>
              <w:t xml:space="preserve"> </w:t>
            </w:r>
            <w:r w:rsidRPr="00EC20A0">
              <w:t>financial statements. Review the information to determine whether the entity complies.</w:t>
            </w:r>
          </w:p>
        </w:tc>
        <w:tc>
          <w:tcPr>
            <w:tcW w:w="1144" w:type="dxa"/>
            <w:tcBorders>
              <w:top w:val="single" w:sz="4" w:space="0" w:color="000000"/>
              <w:left w:val="single" w:sz="4" w:space="0" w:color="000000"/>
              <w:bottom w:val="single" w:sz="4" w:space="0" w:color="000000"/>
              <w:right w:val="single" w:sz="4" w:space="0" w:color="000000"/>
            </w:tcBorders>
          </w:tcPr>
          <w:p w14:paraId="24D61854"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55" w14:textId="77777777" w:rsidR="00245300" w:rsidRPr="00EC20A0" w:rsidRDefault="00245300">
            <w:pPr>
              <w:pStyle w:val="TableParagraph"/>
              <w:rPr>
                <w:sz w:val="20"/>
              </w:rPr>
            </w:pPr>
          </w:p>
        </w:tc>
      </w:tr>
      <w:tr w:rsidR="00245300" w:rsidRPr="00EC20A0" w14:paraId="24D6185A" w14:textId="77777777">
        <w:trPr>
          <w:trHeight w:val="1384"/>
        </w:trPr>
        <w:tc>
          <w:tcPr>
            <w:tcW w:w="6696" w:type="dxa"/>
            <w:tcBorders>
              <w:top w:val="single" w:sz="4" w:space="0" w:color="000000"/>
              <w:bottom w:val="single" w:sz="4" w:space="0" w:color="000000"/>
              <w:right w:val="single" w:sz="4" w:space="0" w:color="000000"/>
            </w:tcBorders>
          </w:tcPr>
          <w:p w14:paraId="24D61857" w14:textId="77777777" w:rsidR="00245300" w:rsidRPr="00EC20A0" w:rsidRDefault="00F17249">
            <w:pPr>
              <w:pStyle w:val="TableParagraph"/>
              <w:tabs>
                <w:tab w:val="left" w:pos="1244"/>
              </w:tabs>
              <w:spacing w:before="60"/>
              <w:ind w:left="1244" w:right="213" w:hanging="397"/>
            </w:pPr>
            <w:r w:rsidRPr="00EC20A0">
              <w:rPr>
                <w:spacing w:val="-6"/>
              </w:rPr>
              <w:t>d)</w:t>
            </w:r>
            <w:r w:rsidRPr="00EC20A0">
              <w:tab/>
            </w:r>
            <w:r w:rsidRPr="00EC20A0">
              <w:t>Reconcile the intragovernmental data submitted to Treasury to the entity’s general ledger and/or review and</w:t>
            </w:r>
            <w:r w:rsidRPr="00EC20A0">
              <w:rPr>
                <w:spacing w:val="-4"/>
              </w:rPr>
              <w:t xml:space="preserve"> </w:t>
            </w:r>
            <w:r w:rsidRPr="00EC20A0">
              <w:t>re-perform</w:t>
            </w:r>
            <w:r w:rsidRPr="00EC20A0">
              <w:rPr>
                <w:spacing w:val="-5"/>
              </w:rPr>
              <w:t xml:space="preserve"> </w:t>
            </w:r>
            <w:r w:rsidRPr="00EC20A0">
              <w:t>other</w:t>
            </w:r>
            <w:r w:rsidRPr="00EC20A0">
              <w:rPr>
                <w:spacing w:val="-4"/>
              </w:rPr>
              <w:t xml:space="preserve"> </w:t>
            </w:r>
            <w:r w:rsidRPr="00EC20A0">
              <w:t>procedures</w:t>
            </w:r>
            <w:r w:rsidRPr="00EC20A0">
              <w:rPr>
                <w:spacing w:val="-4"/>
              </w:rPr>
              <w:t xml:space="preserve"> </w:t>
            </w:r>
            <w:r w:rsidRPr="00EC20A0">
              <w:t>the</w:t>
            </w:r>
            <w:r w:rsidRPr="00EC20A0">
              <w:rPr>
                <w:spacing w:val="-5"/>
              </w:rPr>
              <w:t xml:space="preserve"> </w:t>
            </w:r>
            <w:r w:rsidRPr="00EC20A0">
              <w:t>entity</w:t>
            </w:r>
            <w:r w:rsidRPr="00EC20A0">
              <w:rPr>
                <w:spacing w:val="-4"/>
              </w:rPr>
              <w:t xml:space="preserve"> </w:t>
            </w:r>
            <w:r w:rsidRPr="00EC20A0">
              <w:t>performed to</w:t>
            </w:r>
            <w:r w:rsidRPr="00EC20A0">
              <w:rPr>
                <w:spacing w:val="-5"/>
              </w:rPr>
              <w:t xml:space="preserve"> </w:t>
            </w:r>
            <w:r w:rsidRPr="00EC20A0">
              <w:t>ensure</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data</w:t>
            </w:r>
            <w:r w:rsidRPr="00EC20A0">
              <w:rPr>
                <w:spacing w:val="-5"/>
              </w:rPr>
              <w:t xml:space="preserve"> </w:t>
            </w:r>
            <w:r w:rsidRPr="00EC20A0">
              <w:t>sent</w:t>
            </w:r>
            <w:r w:rsidRPr="00EC20A0">
              <w:rPr>
                <w:spacing w:val="-5"/>
              </w:rPr>
              <w:t xml:space="preserve"> </w:t>
            </w:r>
            <w:r w:rsidRPr="00EC20A0">
              <w:t>to</w:t>
            </w:r>
            <w:r w:rsidRPr="00EC20A0">
              <w:rPr>
                <w:spacing w:val="-5"/>
              </w:rPr>
              <w:t xml:space="preserve"> </w:t>
            </w:r>
            <w:r w:rsidRPr="00EC20A0">
              <w:t>Treasury</w:t>
            </w:r>
            <w:r w:rsidRPr="00EC20A0">
              <w:rPr>
                <w:spacing w:val="-5"/>
              </w:rPr>
              <w:t xml:space="preserve"> </w:t>
            </w:r>
            <w:r w:rsidRPr="00EC20A0">
              <w:t>was</w:t>
            </w:r>
            <w:r w:rsidRPr="00EC20A0">
              <w:rPr>
                <w:spacing w:val="-5"/>
              </w:rPr>
              <w:t xml:space="preserve"> </w:t>
            </w:r>
            <w:r w:rsidRPr="00EC20A0">
              <w:t>accurate and complete.</w:t>
            </w:r>
          </w:p>
        </w:tc>
        <w:tc>
          <w:tcPr>
            <w:tcW w:w="1144" w:type="dxa"/>
            <w:tcBorders>
              <w:top w:val="single" w:sz="4" w:space="0" w:color="000000"/>
              <w:left w:val="single" w:sz="4" w:space="0" w:color="000000"/>
              <w:bottom w:val="single" w:sz="4" w:space="0" w:color="000000"/>
              <w:right w:val="single" w:sz="4" w:space="0" w:color="000000"/>
            </w:tcBorders>
          </w:tcPr>
          <w:p w14:paraId="24D61858"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59" w14:textId="77777777" w:rsidR="00245300" w:rsidRPr="00EC20A0" w:rsidRDefault="00245300">
            <w:pPr>
              <w:pStyle w:val="TableParagraph"/>
              <w:rPr>
                <w:sz w:val="20"/>
              </w:rPr>
            </w:pPr>
          </w:p>
        </w:tc>
      </w:tr>
      <w:tr w:rsidR="00245300" w:rsidRPr="00EC20A0" w14:paraId="24D6185E" w14:textId="77777777">
        <w:trPr>
          <w:trHeight w:val="625"/>
        </w:trPr>
        <w:tc>
          <w:tcPr>
            <w:tcW w:w="6696" w:type="dxa"/>
            <w:tcBorders>
              <w:top w:val="single" w:sz="4" w:space="0" w:color="000000"/>
              <w:bottom w:val="single" w:sz="4" w:space="0" w:color="000000"/>
              <w:right w:val="single" w:sz="4" w:space="0" w:color="000000"/>
            </w:tcBorders>
          </w:tcPr>
          <w:p w14:paraId="24D6185B" w14:textId="77777777" w:rsidR="00245300" w:rsidRPr="00EC20A0" w:rsidRDefault="00F17249">
            <w:pPr>
              <w:pStyle w:val="TableParagraph"/>
              <w:tabs>
                <w:tab w:val="left" w:pos="1244"/>
              </w:tabs>
              <w:spacing w:before="61"/>
              <w:ind w:left="1244" w:right="237" w:hanging="397"/>
            </w:pPr>
            <w:r w:rsidRPr="00EC20A0">
              <w:rPr>
                <w:spacing w:val="-6"/>
              </w:rPr>
              <w:t>e)</w:t>
            </w:r>
            <w:r w:rsidRPr="00EC20A0">
              <w:tab/>
              <w:t>Verify</w:t>
            </w:r>
            <w:r w:rsidRPr="00EC20A0">
              <w:rPr>
                <w:spacing w:val="-2"/>
              </w:rPr>
              <w:t xml:space="preserve"> </w:t>
            </w:r>
            <w:r w:rsidRPr="00EC20A0">
              <w:t>that</w:t>
            </w:r>
            <w:r w:rsidRPr="00EC20A0">
              <w:rPr>
                <w:spacing w:val="-2"/>
              </w:rPr>
              <w:t xml:space="preserve"> </w:t>
            </w:r>
            <w:r w:rsidRPr="00EC20A0">
              <w:t>the</w:t>
            </w:r>
            <w:r w:rsidRPr="00EC20A0">
              <w:rPr>
                <w:spacing w:val="-2"/>
              </w:rPr>
              <w:t xml:space="preserve"> </w:t>
            </w:r>
            <w:r w:rsidRPr="00EC20A0">
              <w:t>results</w:t>
            </w:r>
            <w:r w:rsidRPr="00EC20A0">
              <w:rPr>
                <w:spacing w:val="-2"/>
              </w:rPr>
              <w:t xml:space="preserve"> </w:t>
            </w:r>
            <w:r w:rsidRPr="00EC20A0">
              <w:t>of</w:t>
            </w:r>
            <w:r w:rsidRPr="00EC20A0">
              <w:rPr>
                <w:spacing w:val="-3"/>
              </w:rPr>
              <w:t xml:space="preserve"> </w:t>
            </w:r>
            <w:r w:rsidRPr="00EC20A0">
              <w:t>the</w:t>
            </w:r>
            <w:r w:rsidRPr="00EC20A0">
              <w:rPr>
                <w:spacing w:val="-2"/>
              </w:rPr>
              <w:t xml:space="preserve"> </w:t>
            </w:r>
            <w:r w:rsidRPr="00EC20A0">
              <w:t>procedures</w:t>
            </w:r>
            <w:r w:rsidRPr="00EC20A0">
              <w:rPr>
                <w:spacing w:val="-2"/>
              </w:rPr>
              <w:t xml:space="preserve"> </w:t>
            </w:r>
            <w:r w:rsidRPr="00EC20A0">
              <w:t>in</w:t>
            </w:r>
            <w:r w:rsidRPr="00EC20A0">
              <w:rPr>
                <w:spacing w:val="-2"/>
              </w:rPr>
              <w:t xml:space="preserve"> </w:t>
            </w:r>
            <w:r w:rsidRPr="00EC20A0">
              <w:t>“a”</w:t>
            </w:r>
            <w:r w:rsidRPr="00EC20A0">
              <w:rPr>
                <w:spacing w:val="-2"/>
              </w:rPr>
              <w:t xml:space="preserve"> </w:t>
            </w:r>
            <w:r w:rsidRPr="00EC20A0">
              <w:t>and</w:t>
            </w:r>
            <w:r w:rsidRPr="00EC20A0">
              <w:rPr>
                <w:spacing w:val="-2"/>
              </w:rPr>
              <w:t xml:space="preserve"> </w:t>
            </w:r>
            <w:r w:rsidRPr="00EC20A0">
              <w:t>“d” above</w:t>
            </w:r>
            <w:r w:rsidRPr="00EC20A0">
              <w:rPr>
                <w:spacing w:val="-7"/>
              </w:rPr>
              <w:t xml:space="preserve"> </w:t>
            </w:r>
            <w:r w:rsidRPr="00EC20A0">
              <w:t>were</w:t>
            </w:r>
            <w:r w:rsidRPr="00EC20A0">
              <w:rPr>
                <w:spacing w:val="-6"/>
              </w:rPr>
              <w:t xml:space="preserve"> </w:t>
            </w:r>
            <w:r w:rsidRPr="00EC20A0">
              <w:t>reviewed</w:t>
            </w:r>
            <w:r w:rsidRPr="00EC20A0">
              <w:rPr>
                <w:spacing w:val="-6"/>
              </w:rPr>
              <w:t xml:space="preserve"> </w:t>
            </w:r>
            <w:r w:rsidRPr="00EC20A0">
              <w:t>and</w:t>
            </w:r>
            <w:r w:rsidRPr="00EC20A0">
              <w:rPr>
                <w:spacing w:val="-6"/>
              </w:rPr>
              <w:t xml:space="preserve"> </w:t>
            </w:r>
            <w:r w:rsidRPr="00EC20A0">
              <w:t>approved</w:t>
            </w:r>
            <w:r w:rsidRPr="00EC20A0">
              <w:rPr>
                <w:spacing w:val="-7"/>
              </w:rPr>
              <w:t xml:space="preserve"> </w:t>
            </w:r>
            <w:r w:rsidRPr="00EC20A0">
              <w:t>by</w:t>
            </w:r>
            <w:r w:rsidRPr="00EC20A0">
              <w:rPr>
                <w:spacing w:val="-6"/>
              </w:rPr>
              <w:t xml:space="preserve"> </w:t>
            </w:r>
            <w:r w:rsidRPr="00EC20A0">
              <w:rPr>
                <w:spacing w:val="-2"/>
              </w:rPr>
              <w:t>management.</w:t>
            </w:r>
          </w:p>
        </w:tc>
        <w:tc>
          <w:tcPr>
            <w:tcW w:w="1144" w:type="dxa"/>
            <w:tcBorders>
              <w:top w:val="single" w:sz="4" w:space="0" w:color="000000"/>
              <w:left w:val="single" w:sz="4" w:space="0" w:color="000000"/>
              <w:bottom w:val="single" w:sz="4" w:space="0" w:color="000000"/>
              <w:right w:val="single" w:sz="4" w:space="0" w:color="000000"/>
            </w:tcBorders>
          </w:tcPr>
          <w:p w14:paraId="24D6185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5D" w14:textId="77777777" w:rsidR="00245300" w:rsidRPr="00EC20A0" w:rsidRDefault="00245300">
            <w:pPr>
              <w:pStyle w:val="TableParagraph"/>
              <w:rPr>
                <w:sz w:val="20"/>
              </w:rPr>
            </w:pPr>
          </w:p>
        </w:tc>
      </w:tr>
      <w:tr w:rsidR="00245300" w:rsidRPr="00EC20A0" w14:paraId="24D61862" w14:textId="77777777">
        <w:trPr>
          <w:trHeight w:val="1385"/>
        </w:trPr>
        <w:tc>
          <w:tcPr>
            <w:tcW w:w="6696" w:type="dxa"/>
            <w:tcBorders>
              <w:top w:val="single" w:sz="4" w:space="0" w:color="000000"/>
              <w:bottom w:val="single" w:sz="4" w:space="0" w:color="000000"/>
              <w:right w:val="single" w:sz="4" w:space="0" w:color="000000"/>
            </w:tcBorders>
          </w:tcPr>
          <w:p w14:paraId="24D6185F" w14:textId="77777777" w:rsidR="00245300" w:rsidRPr="00EC20A0" w:rsidRDefault="00F17249">
            <w:pPr>
              <w:pStyle w:val="TableParagraph"/>
              <w:tabs>
                <w:tab w:val="left" w:pos="1244"/>
              </w:tabs>
              <w:spacing w:before="61"/>
              <w:ind w:left="1244" w:right="528" w:hanging="396"/>
            </w:pPr>
            <w:r w:rsidRPr="00EC20A0">
              <w:rPr>
                <w:spacing w:val="-6"/>
              </w:rPr>
              <w:t>f)</w:t>
            </w:r>
            <w:r w:rsidRPr="00EC20A0">
              <w:tab/>
              <w:t>Verify</w:t>
            </w:r>
            <w:r w:rsidRPr="00EC20A0">
              <w:rPr>
                <w:spacing w:val="-6"/>
              </w:rPr>
              <w:t xml:space="preserve"> </w:t>
            </w:r>
            <w:r w:rsidRPr="00EC20A0">
              <w:t>that</w:t>
            </w:r>
            <w:r w:rsidRPr="00EC20A0">
              <w:rPr>
                <w:spacing w:val="-6"/>
              </w:rPr>
              <w:t xml:space="preserve"> </w:t>
            </w:r>
            <w:r w:rsidRPr="00EC20A0">
              <w:t>entity</w:t>
            </w:r>
            <w:r w:rsidRPr="00EC20A0">
              <w:rPr>
                <w:spacing w:val="-6"/>
              </w:rPr>
              <w:t xml:space="preserve"> </w:t>
            </w:r>
            <w:r w:rsidRPr="00EC20A0">
              <w:t>personnel</w:t>
            </w:r>
            <w:r w:rsidRPr="00EC20A0">
              <w:rPr>
                <w:spacing w:val="-6"/>
              </w:rPr>
              <w:t xml:space="preserve"> </w:t>
            </w:r>
            <w:r w:rsidRPr="00EC20A0">
              <w:t>that</w:t>
            </w:r>
            <w:r w:rsidRPr="00EC20A0">
              <w:rPr>
                <w:spacing w:val="-6"/>
              </w:rPr>
              <w:t xml:space="preserve"> </w:t>
            </w:r>
            <w:r w:rsidRPr="00EC20A0">
              <w:t>accessed</w:t>
            </w:r>
            <w:r w:rsidRPr="00EC20A0">
              <w:rPr>
                <w:spacing w:val="-6"/>
              </w:rPr>
              <w:t xml:space="preserve"> </w:t>
            </w:r>
            <w:r w:rsidRPr="00EC20A0">
              <w:t xml:space="preserve">financial reporting systems, including Treasury’s GTAS, to report the entity’s intragovernmental data were (i) </w:t>
            </w:r>
            <w:r w:rsidRPr="00EC20A0">
              <w:t>authorized by the entity to do so and (ii) have role descriptions that include this work.</w:t>
            </w:r>
          </w:p>
        </w:tc>
        <w:tc>
          <w:tcPr>
            <w:tcW w:w="1144" w:type="dxa"/>
            <w:tcBorders>
              <w:top w:val="single" w:sz="4" w:space="0" w:color="000000"/>
              <w:left w:val="single" w:sz="4" w:space="0" w:color="000000"/>
              <w:bottom w:val="single" w:sz="4" w:space="0" w:color="000000"/>
              <w:right w:val="single" w:sz="4" w:space="0" w:color="000000"/>
            </w:tcBorders>
          </w:tcPr>
          <w:p w14:paraId="24D6186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61" w14:textId="77777777" w:rsidR="00245300" w:rsidRPr="00EC20A0" w:rsidRDefault="00245300">
            <w:pPr>
              <w:pStyle w:val="TableParagraph"/>
              <w:rPr>
                <w:sz w:val="20"/>
              </w:rPr>
            </w:pPr>
          </w:p>
        </w:tc>
      </w:tr>
    </w:tbl>
    <w:p w14:paraId="24D61863"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864"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868" w14:textId="77777777">
        <w:trPr>
          <w:trHeight w:val="625"/>
        </w:trPr>
        <w:tc>
          <w:tcPr>
            <w:tcW w:w="6696" w:type="dxa"/>
            <w:tcBorders>
              <w:right w:val="single" w:sz="4" w:space="0" w:color="000000"/>
            </w:tcBorders>
          </w:tcPr>
          <w:p w14:paraId="24D61865"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866"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867"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86C" w14:textId="77777777">
        <w:trPr>
          <w:trHeight w:val="1632"/>
        </w:trPr>
        <w:tc>
          <w:tcPr>
            <w:tcW w:w="6696" w:type="dxa"/>
            <w:tcBorders>
              <w:bottom w:val="single" w:sz="4" w:space="0" w:color="000000"/>
              <w:right w:val="single" w:sz="4" w:space="0" w:color="000000"/>
            </w:tcBorders>
          </w:tcPr>
          <w:p w14:paraId="24D61869" w14:textId="77777777" w:rsidR="00245300" w:rsidRPr="00EC20A0" w:rsidRDefault="00F17249">
            <w:pPr>
              <w:pStyle w:val="TableParagraph"/>
              <w:tabs>
                <w:tab w:val="left" w:pos="1244"/>
              </w:tabs>
              <w:spacing w:before="25"/>
              <w:ind w:left="1244" w:right="616" w:hanging="397"/>
            </w:pPr>
            <w:r w:rsidRPr="00EC20A0">
              <w:rPr>
                <w:spacing w:val="-6"/>
              </w:rPr>
              <w:t>g)</w:t>
            </w:r>
            <w:r w:rsidRPr="00EC20A0">
              <w:tab/>
              <w:t>If the entity determines that it has recurring or permanent</w:t>
            </w:r>
            <w:r w:rsidRPr="00EC20A0">
              <w:rPr>
                <w:spacing w:val="-7"/>
              </w:rPr>
              <w:t xml:space="preserve"> </w:t>
            </w:r>
            <w:r w:rsidRPr="00EC20A0">
              <w:t>differences</w:t>
            </w:r>
            <w:r w:rsidRPr="00EC20A0">
              <w:rPr>
                <w:spacing w:val="-7"/>
              </w:rPr>
              <w:t xml:space="preserve"> </w:t>
            </w:r>
            <w:r w:rsidRPr="00EC20A0">
              <w:t>with</w:t>
            </w:r>
            <w:r w:rsidRPr="00EC20A0">
              <w:rPr>
                <w:spacing w:val="-7"/>
              </w:rPr>
              <w:t xml:space="preserve"> </w:t>
            </w:r>
            <w:r w:rsidRPr="00EC20A0">
              <w:t>its</w:t>
            </w:r>
            <w:r w:rsidRPr="00EC20A0">
              <w:rPr>
                <w:spacing w:val="-7"/>
              </w:rPr>
              <w:t xml:space="preserve"> </w:t>
            </w:r>
            <w:r w:rsidRPr="00EC20A0">
              <w:t>trading</w:t>
            </w:r>
            <w:r w:rsidRPr="00EC20A0">
              <w:rPr>
                <w:spacing w:val="-7"/>
              </w:rPr>
              <w:t xml:space="preserve"> </w:t>
            </w:r>
            <w:r w:rsidRPr="00EC20A0">
              <w:t>partner</w:t>
            </w:r>
            <w:r w:rsidRPr="00EC20A0">
              <w:rPr>
                <w:spacing w:val="-7"/>
              </w:rPr>
              <w:t xml:space="preserve"> </w:t>
            </w:r>
            <w:r w:rsidRPr="00EC20A0">
              <w:t xml:space="preserve">(for </w:t>
            </w:r>
            <w:r w:rsidRPr="00EC20A0">
              <w:t>example, due to a difference in accounting methodology), inquire of management how it communicates this information to Treasury.</w:t>
            </w:r>
          </w:p>
        </w:tc>
        <w:tc>
          <w:tcPr>
            <w:tcW w:w="1144" w:type="dxa"/>
            <w:tcBorders>
              <w:left w:val="single" w:sz="4" w:space="0" w:color="000000"/>
              <w:bottom w:val="single" w:sz="4" w:space="0" w:color="000000"/>
              <w:right w:val="single" w:sz="4" w:space="0" w:color="000000"/>
            </w:tcBorders>
          </w:tcPr>
          <w:p w14:paraId="24D6186A"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86B" w14:textId="77777777" w:rsidR="00245300" w:rsidRPr="00EC20A0" w:rsidRDefault="00245300">
            <w:pPr>
              <w:pStyle w:val="TableParagraph"/>
              <w:rPr>
                <w:sz w:val="20"/>
              </w:rPr>
            </w:pPr>
          </w:p>
        </w:tc>
      </w:tr>
      <w:tr w:rsidR="00245300" w:rsidRPr="00EC20A0" w14:paraId="24D6186E" w14:textId="77777777">
        <w:trPr>
          <w:trHeight w:val="372"/>
        </w:trPr>
        <w:tc>
          <w:tcPr>
            <w:tcW w:w="9069" w:type="dxa"/>
            <w:gridSpan w:val="3"/>
            <w:tcBorders>
              <w:top w:val="single" w:sz="4" w:space="0" w:color="000000"/>
              <w:bottom w:val="single" w:sz="4" w:space="0" w:color="000000"/>
            </w:tcBorders>
          </w:tcPr>
          <w:p w14:paraId="24D6186D" w14:textId="77777777" w:rsidR="00245300" w:rsidRPr="00EC20A0" w:rsidRDefault="00F17249">
            <w:pPr>
              <w:pStyle w:val="TableParagraph"/>
              <w:spacing w:before="60"/>
              <w:ind w:left="92"/>
              <w:rPr>
                <w:b/>
                <w:i/>
              </w:rPr>
            </w:pPr>
            <w:r w:rsidRPr="00EC20A0">
              <w:rPr>
                <w:b/>
                <w:i/>
                <w:spacing w:val="-2"/>
              </w:rPr>
              <w:t>Other</w:t>
            </w:r>
          </w:p>
        </w:tc>
      </w:tr>
      <w:tr w:rsidR="00245300" w:rsidRPr="00EC20A0" w14:paraId="24D61872" w14:textId="77777777">
        <w:trPr>
          <w:trHeight w:val="1637"/>
        </w:trPr>
        <w:tc>
          <w:tcPr>
            <w:tcW w:w="6696" w:type="dxa"/>
            <w:tcBorders>
              <w:top w:val="single" w:sz="4" w:space="0" w:color="000000"/>
              <w:bottom w:val="single" w:sz="4" w:space="0" w:color="000000"/>
              <w:right w:val="single" w:sz="4" w:space="0" w:color="000000"/>
            </w:tcBorders>
          </w:tcPr>
          <w:p w14:paraId="24D6186F" w14:textId="77777777" w:rsidR="00245300" w:rsidRPr="00EC20A0" w:rsidRDefault="00F17249">
            <w:pPr>
              <w:pStyle w:val="TableParagraph"/>
              <w:spacing w:before="60"/>
              <w:ind w:left="848" w:right="82" w:hanging="361"/>
            </w:pPr>
            <w:r w:rsidRPr="00EC20A0">
              <w:t>5)</w:t>
            </w:r>
            <w:r w:rsidRPr="00EC20A0">
              <w:rPr>
                <w:spacing w:val="80"/>
              </w:rPr>
              <w:t xml:space="preserve"> </w:t>
            </w:r>
            <w:r w:rsidRPr="00EC20A0">
              <w:t>At</w:t>
            </w:r>
            <w:r w:rsidRPr="00EC20A0">
              <w:rPr>
                <w:spacing w:val="-3"/>
              </w:rPr>
              <w:t xml:space="preserve"> </w:t>
            </w:r>
            <w:r w:rsidRPr="00EC20A0">
              <w:t>the</w:t>
            </w:r>
            <w:r w:rsidRPr="00EC20A0">
              <w:rPr>
                <w:spacing w:val="-3"/>
              </w:rPr>
              <w:t xml:space="preserve"> </w:t>
            </w:r>
            <w:r w:rsidRPr="00EC20A0">
              <w:t>conclusion</w:t>
            </w:r>
            <w:r w:rsidRPr="00EC20A0">
              <w:rPr>
                <w:spacing w:val="-3"/>
              </w:rPr>
              <w:t xml:space="preserve"> </w:t>
            </w:r>
            <w:r w:rsidRPr="00EC20A0">
              <w:t>of</w:t>
            </w:r>
            <w:r w:rsidRPr="00EC20A0">
              <w:rPr>
                <w:spacing w:val="-3"/>
              </w:rPr>
              <w:t xml:space="preserve"> </w:t>
            </w:r>
            <w:r w:rsidRPr="00EC20A0">
              <w:t>interim</w:t>
            </w:r>
            <w:r w:rsidRPr="00EC20A0">
              <w:rPr>
                <w:spacing w:val="-4"/>
              </w:rPr>
              <w:t xml:space="preserve"> </w:t>
            </w:r>
            <w:r w:rsidRPr="00EC20A0">
              <w:t>testing,</w:t>
            </w:r>
            <w:r w:rsidRPr="00EC20A0">
              <w:rPr>
                <w:spacing w:val="-4"/>
              </w:rPr>
              <w:t xml:space="preserve"> </w:t>
            </w:r>
            <w:r w:rsidRPr="00EC20A0">
              <w:t>based</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results</w:t>
            </w:r>
            <w:r w:rsidRPr="00EC20A0">
              <w:rPr>
                <w:spacing w:val="-3"/>
              </w:rPr>
              <w:t xml:space="preserve"> </w:t>
            </w:r>
            <w:r w:rsidRPr="00EC20A0">
              <w:t>of testing,</w:t>
            </w:r>
            <w:r w:rsidRPr="00EC20A0">
              <w:rPr>
                <w:spacing w:val="-2"/>
              </w:rPr>
              <w:t xml:space="preserve"> </w:t>
            </w:r>
            <w:r w:rsidRPr="00EC20A0">
              <w:t>reassess</w:t>
            </w:r>
            <w:r w:rsidRPr="00EC20A0">
              <w:rPr>
                <w:spacing w:val="-2"/>
              </w:rPr>
              <w:t xml:space="preserve"> </w:t>
            </w:r>
            <w:r w:rsidRPr="00EC20A0">
              <w:t>the</w:t>
            </w:r>
            <w:r w:rsidRPr="00EC20A0">
              <w:rPr>
                <w:spacing w:val="-2"/>
              </w:rPr>
              <w:t xml:space="preserve"> </w:t>
            </w:r>
            <w:r w:rsidRPr="00EC20A0">
              <w:t>risk</w:t>
            </w:r>
            <w:r w:rsidRPr="00EC20A0">
              <w:rPr>
                <w:spacing w:val="-3"/>
              </w:rPr>
              <w:t xml:space="preserve"> </w:t>
            </w:r>
            <w:r w:rsidRPr="00EC20A0">
              <w:t>of</w:t>
            </w:r>
            <w:r w:rsidRPr="00EC20A0">
              <w:rPr>
                <w:spacing w:val="-2"/>
              </w:rPr>
              <w:t xml:space="preserve"> </w:t>
            </w:r>
            <w:r w:rsidRPr="00EC20A0">
              <w:t>material</w:t>
            </w:r>
            <w:r w:rsidRPr="00EC20A0">
              <w:rPr>
                <w:spacing w:val="-2"/>
              </w:rPr>
              <w:t xml:space="preserve"> </w:t>
            </w:r>
            <w:r w:rsidRPr="00EC20A0">
              <w:t>misstatement</w:t>
            </w:r>
            <w:r w:rsidRPr="00EC20A0">
              <w:rPr>
                <w:spacing w:val="-2"/>
              </w:rPr>
              <w:t xml:space="preserve"> </w:t>
            </w:r>
            <w:r w:rsidRPr="00EC20A0">
              <w:t>and</w:t>
            </w:r>
            <w:r w:rsidRPr="00EC20A0">
              <w:rPr>
                <w:spacing w:val="-2"/>
              </w:rPr>
              <w:t xml:space="preserve"> </w:t>
            </w:r>
            <w:r w:rsidRPr="00EC20A0">
              <w:t>the overall audit assurance needed, then revise audit procedures. If material weaknesses or other significant deficiencies are identified, consider their implications on this risk assessment.</w:t>
            </w:r>
          </w:p>
        </w:tc>
        <w:tc>
          <w:tcPr>
            <w:tcW w:w="1144" w:type="dxa"/>
            <w:tcBorders>
              <w:top w:val="single" w:sz="4" w:space="0" w:color="000000"/>
              <w:left w:val="single" w:sz="4" w:space="0" w:color="000000"/>
              <w:bottom w:val="single" w:sz="4" w:space="0" w:color="000000"/>
              <w:right w:val="single" w:sz="4" w:space="0" w:color="000000"/>
            </w:tcBorders>
          </w:tcPr>
          <w:p w14:paraId="24D6187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71" w14:textId="77777777" w:rsidR="00245300" w:rsidRPr="00EC20A0" w:rsidRDefault="00245300">
            <w:pPr>
              <w:pStyle w:val="TableParagraph"/>
              <w:rPr>
                <w:sz w:val="20"/>
              </w:rPr>
            </w:pPr>
          </w:p>
        </w:tc>
      </w:tr>
      <w:tr w:rsidR="00245300" w:rsidRPr="00EC20A0" w14:paraId="24D61879" w14:textId="77777777">
        <w:trPr>
          <w:trHeight w:val="4528"/>
        </w:trPr>
        <w:tc>
          <w:tcPr>
            <w:tcW w:w="6696" w:type="dxa"/>
            <w:tcBorders>
              <w:top w:val="single" w:sz="4" w:space="0" w:color="000000"/>
              <w:bottom w:val="single" w:sz="4" w:space="0" w:color="000000"/>
              <w:right w:val="single" w:sz="4" w:space="0" w:color="000000"/>
            </w:tcBorders>
          </w:tcPr>
          <w:p w14:paraId="24D61873" w14:textId="77777777" w:rsidR="00245300" w:rsidRPr="00EC20A0" w:rsidRDefault="00F17249">
            <w:pPr>
              <w:pStyle w:val="TableParagraph"/>
              <w:numPr>
                <w:ilvl w:val="0"/>
                <w:numId w:val="103"/>
              </w:numPr>
              <w:tabs>
                <w:tab w:val="left" w:pos="848"/>
              </w:tabs>
              <w:spacing w:before="61"/>
              <w:ind w:right="106"/>
            </w:pPr>
            <w:r w:rsidRPr="00EC20A0">
              <w:t>Analytical</w:t>
            </w:r>
            <w:r w:rsidRPr="00EC20A0">
              <w:rPr>
                <w:spacing w:val="-6"/>
              </w:rPr>
              <w:t xml:space="preserve"> </w:t>
            </w:r>
            <w:r w:rsidRPr="00EC20A0">
              <w:t>procedures:</w:t>
            </w:r>
            <w:r w:rsidRPr="00EC20A0">
              <w:rPr>
                <w:spacing w:val="-5"/>
              </w:rPr>
              <w:t xml:space="preserve"> </w:t>
            </w:r>
            <w:r w:rsidRPr="00EC20A0">
              <w:t>After</w:t>
            </w:r>
            <w:r w:rsidRPr="00EC20A0">
              <w:rPr>
                <w:spacing w:val="-5"/>
              </w:rPr>
              <w:t xml:space="preserve"> </w:t>
            </w:r>
            <w:r w:rsidRPr="00EC20A0">
              <w:t>completing</w:t>
            </w:r>
            <w:r w:rsidRPr="00EC20A0">
              <w:rPr>
                <w:spacing w:val="-5"/>
              </w:rPr>
              <w:t xml:space="preserve"> </w:t>
            </w:r>
            <w:r w:rsidRPr="00EC20A0">
              <w:t>the</w:t>
            </w:r>
            <w:r w:rsidRPr="00EC20A0">
              <w:rPr>
                <w:spacing w:val="-5"/>
              </w:rPr>
              <w:t xml:space="preserve"> </w:t>
            </w:r>
            <w:r w:rsidRPr="00EC20A0">
              <w:t>tests</w:t>
            </w:r>
            <w:r w:rsidRPr="00EC20A0">
              <w:rPr>
                <w:spacing w:val="-6"/>
              </w:rPr>
              <w:t xml:space="preserve"> </w:t>
            </w:r>
            <w:r w:rsidRPr="00EC20A0">
              <w:t>of</w:t>
            </w:r>
            <w:r w:rsidRPr="00EC20A0">
              <w:rPr>
                <w:spacing w:val="-5"/>
              </w:rPr>
              <w:t xml:space="preserve"> </w:t>
            </w:r>
            <w:r w:rsidRPr="00EC20A0">
              <w:t>details, perform analytical procedures to determine whether balances are reasonable and reflect appropriate activity. For example, take the following actions:</w:t>
            </w:r>
          </w:p>
          <w:p w14:paraId="24D61874" w14:textId="77777777" w:rsidR="00245300" w:rsidRPr="00EC20A0" w:rsidRDefault="00F17249">
            <w:pPr>
              <w:pStyle w:val="TableParagraph"/>
              <w:numPr>
                <w:ilvl w:val="1"/>
                <w:numId w:val="103"/>
              </w:numPr>
              <w:tabs>
                <w:tab w:val="left" w:pos="1244"/>
              </w:tabs>
              <w:spacing w:before="119"/>
              <w:ind w:right="138"/>
            </w:pPr>
            <w:r w:rsidRPr="00EC20A0">
              <w:t>Develop expectations of the accounts payable and receivable</w:t>
            </w:r>
            <w:r w:rsidRPr="00EC20A0">
              <w:rPr>
                <w:spacing w:val="-6"/>
              </w:rPr>
              <w:t xml:space="preserve"> </w:t>
            </w:r>
            <w:r w:rsidRPr="00EC20A0">
              <w:t>balances</w:t>
            </w:r>
            <w:r w:rsidRPr="00EC20A0">
              <w:rPr>
                <w:spacing w:val="-6"/>
              </w:rPr>
              <w:t xml:space="preserve"> </w:t>
            </w:r>
            <w:r w:rsidRPr="00EC20A0">
              <w:t>overall</w:t>
            </w:r>
            <w:r w:rsidRPr="00EC20A0">
              <w:rPr>
                <w:spacing w:val="-6"/>
              </w:rPr>
              <w:t xml:space="preserve"> </w:t>
            </w:r>
            <w:r w:rsidRPr="00EC20A0">
              <w:t>or</w:t>
            </w:r>
            <w:r w:rsidRPr="00EC20A0">
              <w:rPr>
                <w:spacing w:val="-6"/>
              </w:rPr>
              <w:t xml:space="preserve"> </w:t>
            </w:r>
            <w:r w:rsidRPr="00EC20A0">
              <w:t>for</w:t>
            </w:r>
            <w:r w:rsidRPr="00EC20A0">
              <w:rPr>
                <w:spacing w:val="-6"/>
              </w:rPr>
              <w:t xml:space="preserve"> </w:t>
            </w:r>
            <w:r w:rsidRPr="00EC20A0">
              <w:t>all</w:t>
            </w:r>
            <w:r w:rsidRPr="00EC20A0">
              <w:rPr>
                <w:spacing w:val="-6"/>
              </w:rPr>
              <w:t xml:space="preserve"> </w:t>
            </w:r>
            <w:r w:rsidRPr="00EC20A0">
              <w:t>significant</w:t>
            </w:r>
            <w:r w:rsidRPr="00EC20A0">
              <w:rPr>
                <w:spacing w:val="-6"/>
              </w:rPr>
              <w:t xml:space="preserve"> </w:t>
            </w:r>
            <w:r w:rsidRPr="00EC20A0">
              <w:t>trading partners in light of the payment cycle during the year. Then compare these to the recorded balances and investigate differences in the recorded balances.</w:t>
            </w:r>
          </w:p>
          <w:p w14:paraId="24D61875" w14:textId="77777777" w:rsidR="00245300" w:rsidRPr="00EC20A0" w:rsidRDefault="00F17249">
            <w:pPr>
              <w:pStyle w:val="TableParagraph"/>
              <w:numPr>
                <w:ilvl w:val="1"/>
                <w:numId w:val="103"/>
              </w:numPr>
              <w:tabs>
                <w:tab w:val="left" w:pos="1245"/>
              </w:tabs>
              <w:spacing w:before="120"/>
              <w:ind w:left="1245" w:right="322"/>
            </w:pPr>
            <w:r w:rsidRPr="00EC20A0">
              <w:t>Develop</w:t>
            </w:r>
            <w:r w:rsidRPr="00EC20A0">
              <w:rPr>
                <w:spacing w:val="-10"/>
              </w:rPr>
              <w:t xml:space="preserve"> </w:t>
            </w:r>
            <w:r w:rsidRPr="00EC20A0">
              <w:t>expectations</w:t>
            </w:r>
            <w:r w:rsidRPr="00EC20A0">
              <w:rPr>
                <w:spacing w:val="-10"/>
              </w:rPr>
              <w:t xml:space="preserve"> </w:t>
            </w:r>
            <w:r w:rsidRPr="00EC20A0">
              <w:t>of</w:t>
            </w:r>
            <w:r w:rsidRPr="00EC20A0">
              <w:rPr>
                <w:spacing w:val="-11"/>
              </w:rPr>
              <w:t xml:space="preserve"> </w:t>
            </w:r>
            <w:r w:rsidRPr="00EC20A0">
              <w:t>recorded</w:t>
            </w:r>
            <w:r w:rsidRPr="00EC20A0">
              <w:rPr>
                <w:spacing w:val="-10"/>
              </w:rPr>
              <w:t xml:space="preserve"> </w:t>
            </w:r>
            <w:r w:rsidRPr="00EC20A0">
              <w:t>intragovernmental revenue overall or for all significant trading partners based on independent data. Then compare these to the recorded amounts and investigate differences in the recorded balance.</w:t>
            </w:r>
          </w:p>
          <w:p w14:paraId="24D61876" w14:textId="77777777" w:rsidR="00245300" w:rsidRPr="00EC20A0" w:rsidRDefault="00F17249">
            <w:pPr>
              <w:pStyle w:val="TableParagraph"/>
              <w:numPr>
                <w:ilvl w:val="1"/>
                <w:numId w:val="103"/>
              </w:numPr>
              <w:tabs>
                <w:tab w:val="left" w:pos="1245"/>
              </w:tabs>
              <w:spacing w:before="120"/>
              <w:ind w:left="1245" w:right="567" w:hanging="396"/>
            </w:pPr>
            <w:r w:rsidRPr="00EC20A0">
              <w:t>Examine</w:t>
            </w:r>
            <w:r w:rsidRPr="00EC20A0">
              <w:rPr>
                <w:spacing w:val="-7"/>
              </w:rPr>
              <w:t xml:space="preserve"> </w:t>
            </w:r>
            <w:r w:rsidRPr="00EC20A0">
              <w:t>accounting</w:t>
            </w:r>
            <w:r w:rsidRPr="00EC20A0">
              <w:rPr>
                <w:spacing w:val="-7"/>
              </w:rPr>
              <w:t xml:space="preserve"> </w:t>
            </w:r>
            <w:r w:rsidRPr="00EC20A0">
              <w:t>records</w:t>
            </w:r>
            <w:r w:rsidRPr="00EC20A0">
              <w:rPr>
                <w:spacing w:val="-7"/>
              </w:rPr>
              <w:t xml:space="preserve"> </w:t>
            </w:r>
            <w:r w:rsidRPr="00EC20A0">
              <w:t>for</w:t>
            </w:r>
            <w:r w:rsidRPr="00EC20A0">
              <w:rPr>
                <w:spacing w:val="-7"/>
              </w:rPr>
              <w:t xml:space="preserve"> </w:t>
            </w:r>
            <w:r w:rsidRPr="00EC20A0">
              <w:t>large,</w:t>
            </w:r>
            <w:r w:rsidRPr="00EC20A0">
              <w:rPr>
                <w:spacing w:val="-7"/>
              </w:rPr>
              <w:t xml:space="preserve"> </w:t>
            </w:r>
            <w:r w:rsidRPr="00EC20A0">
              <w:t>unusual,</w:t>
            </w:r>
            <w:r w:rsidRPr="00EC20A0">
              <w:rPr>
                <w:spacing w:val="-8"/>
              </w:rPr>
              <w:t xml:space="preserve"> </w:t>
            </w:r>
            <w:r w:rsidRPr="00EC20A0">
              <w:t>or nonrecurring activity or balances.</w:t>
            </w:r>
          </w:p>
        </w:tc>
        <w:tc>
          <w:tcPr>
            <w:tcW w:w="1144" w:type="dxa"/>
            <w:tcBorders>
              <w:top w:val="single" w:sz="4" w:space="0" w:color="000000"/>
              <w:left w:val="single" w:sz="4" w:space="0" w:color="000000"/>
              <w:bottom w:val="single" w:sz="4" w:space="0" w:color="000000"/>
              <w:right w:val="single" w:sz="4" w:space="0" w:color="000000"/>
            </w:tcBorders>
          </w:tcPr>
          <w:p w14:paraId="24D61877"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78" w14:textId="77777777" w:rsidR="00245300" w:rsidRPr="00EC20A0" w:rsidRDefault="00245300">
            <w:pPr>
              <w:pStyle w:val="TableParagraph"/>
              <w:rPr>
                <w:sz w:val="20"/>
              </w:rPr>
            </w:pPr>
          </w:p>
        </w:tc>
      </w:tr>
      <w:tr w:rsidR="00245300" w:rsidRPr="00EC20A0" w14:paraId="24D6187E" w14:textId="77777777">
        <w:trPr>
          <w:trHeight w:val="4049"/>
        </w:trPr>
        <w:tc>
          <w:tcPr>
            <w:tcW w:w="6696" w:type="dxa"/>
            <w:tcBorders>
              <w:top w:val="single" w:sz="4" w:space="0" w:color="000000"/>
              <w:bottom w:val="single" w:sz="4" w:space="0" w:color="000000"/>
              <w:right w:val="single" w:sz="4" w:space="0" w:color="000000"/>
            </w:tcBorders>
          </w:tcPr>
          <w:p w14:paraId="24D6187A" w14:textId="77777777" w:rsidR="00245300" w:rsidRPr="00EC20A0" w:rsidRDefault="00F17249">
            <w:pPr>
              <w:pStyle w:val="TableParagraph"/>
              <w:numPr>
                <w:ilvl w:val="0"/>
                <w:numId w:val="102"/>
              </w:numPr>
              <w:tabs>
                <w:tab w:val="left" w:pos="756"/>
                <w:tab w:val="left" w:pos="758"/>
              </w:tabs>
              <w:spacing w:before="60"/>
              <w:ind w:right="110"/>
            </w:pPr>
            <w:r w:rsidRPr="00EC20A0">
              <w:t xml:space="preserve">The auditor may detect misstatements during testing of intragovernmental activity and balances (i.e., in phase I, a transaction was recorded with an incorrect amount) and testing of the entity’s reconciliation or resolution of inter- entity intragovernmental differences. (That is, in phase II, the reconciled intragovernmental differences are those for which the entity determined cause but did not yet resolve the differences; therefore, the differences still exist at year- end. The reconciled yet unresolved </w:t>
            </w:r>
            <w:r w:rsidRPr="00EC20A0">
              <w:t>intragovernmental differences</w:t>
            </w:r>
            <w:r w:rsidRPr="00EC20A0">
              <w:rPr>
                <w:spacing w:val="-6"/>
              </w:rPr>
              <w:t xml:space="preserve"> </w:t>
            </w:r>
            <w:r w:rsidRPr="00EC20A0">
              <w:t>that</w:t>
            </w:r>
            <w:r w:rsidRPr="00EC20A0">
              <w:rPr>
                <w:spacing w:val="-6"/>
              </w:rPr>
              <w:t xml:space="preserve"> </w:t>
            </w:r>
            <w:r w:rsidRPr="00EC20A0">
              <w:t>are</w:t>
            </w:r>
            <w:r w:rsidRPr="00EC20A0">
              <w:rPr>
                <w:spacing w:val="-6"/>
              </w:rPr>
              <w:t xml:space="preserve"> </w:t>
            </w:r>
            <w:r w:rsidRPr="00EC20A0">
              <w:t>misstatements</w:t>
            </w:r>
            <w:r w:rsidRPr="00EC20A0">
              <w:rPr>
                <w:spacing w:val="-6"/>
              </w:rPr>
              <w:t xml:space="preserve"> </w:t>
            </w:r>
            <w:r w:rsidRPr="00EC20A0">
              <w:t>are</w:t>
            </w:r>
            <w:r w:rsidRPr="00EC20A0">
              <w:rPr>
                <w:spacing w:val="-6"/>
              </w:rPr>
              <w:t xml:space="preserve"> </w:t>
            </w:r>
            <w:r w:rsidRPr="00EC20A0">
              <w:t>those</w:t>
            </w:r>
            <w:r w:rsidRPr="00EC20A0">
              <w:rPr>
                <w:spacing w:val="-6"/>
              </w:rPr>
              <w:t xml:space="preserve"> </w:t>
            </w:r>
            <w:r w:rsidRPr="00EC20A0">
              <w:t>differences</w:t>
            </w:r>
            <w:r w:rsidRPr="00EC20A0">
              <w:rPr>
                <w:spacing w:val="-6"/>
              </w:rPr>
              <w:t xml:space="preserve"> </w:t>
            </w:r>
            <w:r w:rsidRPr="00EC20A0">
              <w:t xml:space="preserve">for </w:t>
            </w:r>
            <w:r w:rsidRPr="00EC20A0">
              <w:rPr>
                <w:spacing w:val="-2"/>
              </w:rPr>
              <w:t>which</w:t>
            </w:r>
          </w:p>
          <w:p w14:paraId="24D6187B" w14:textId="77777777" w:rsidR="00245300" w:rsidRPr="00EC20A0" w:rsidRDefault="00F17249">
            <w:pPr>
              <w:pStyle w:val="TableParagraph"/>
              <w:numPr>
                <w:ilvl w:val="1"/>
                <w:numId w:val="102"/>
              </w:numPr>
              <w:tabs>
                <w:tab w:val="left" w:pos="1209"/>
              </w:tabs>
              <w:spacing w:before="119"/>
              <w:ind w:right="209"/>
            </w:pPr>
            <w:r w:rsidRPr="00EC20A0">
              <w:t>the</w:t>
            </w:r>
            <w:r w:rsidRPr="00EC20A0">
              <w:rPr>
                <w:spacing w:val="-7"/>
              </w:rPr>
              <w:t xml:space="preserve"> </w:t>
            </w:r>
            <w:r w:rsidRPr="00EC20A0">
              <w:t>entity</w:t>
            </w:r>
            <w:r w:rsidRPr="00EC20A0">
              <w:rPr>
                <w:spacing w:val="-7"/>
              </w:rPr>
              <w:t xml:space="preserve"> </w:t>
            </w:r>
            <w:r w:rsidRPr="00EC20A0">
              <w:t>appropriately</w:t>
            </w:r>
            <w:r w:rsidRPr="00EC20A0">
              <w:rPr>
                <w:spacing w:val="-7"/>
              </w:rPr>
              <w:t xml:space="preserve"> </w:t>
            </w:r>
            <w:r w:rsidRPr="00EC20A0">
              <w:t>researched</w:t>
            </w:r>
            <w:r w:rsidRPr="00EC20A0">
              <w:rPr>
                <w:spacing w:val="-6"/>
              </w:rPr>
              <w:t xml:space="preserve"> </w:t>
            </w:r>
            <w:r w:rsidRPr="00EC20A0">
              <w:t>and</w:t>
            </w:r>
            <w:r w:rsidRPr="00EC20A0">
              <w:rPr>
                <w:spacing w:val="-7"/>
              </w:rPr>
              <w:t xml:space="preserve"> </w:t>
            </w:r>
            <w:r w:rsidRPr="00EC20A0">
              <w:t>reconciled</w:t>
            </w:r>
            <w:r w:rsidRPr="00EC20A0">
              <w:rPr>
                <w:spacing w:val="-7"/>
              </w:rPr>
              <w:t xml:space="preserve"> </w:t>
            </w:r>
            <w:r w:rsidRPr="00EC20A0">
              <w:t xml:space="preserve">the difference with its trading partner; </w:t>
            </w:r>
            <w:proofErr w:type="gramStart"/>
            <w:r w:rsidRPr="00EC20A0">
              <w:t>but,</w:t>
            </w:r>
            <w:proofErr w:type="gramEnd"/>
            <w:r w:rsidRPr="00EC20A0">
              <w:t xml:space="preserve"> no adjustment was made to accounting records resulting in the difference continuing to exist or</w:t>
            </w:r>
          </w:p>
        </w:tc>
        <w:tc>
          <w:tcPr>
            <w:tcW w:w="1144" w:type="dxa"/>
            <w:tcBorders>
              <w:top w:val="single" w:sz="4" w:space="0" w:color="000000"/>
              <w:left w:val="single" w:sz="4" w:space="0" w:color="000000"/>
              <w:bottom w:val="single" w:sz="4" w:space="0" w:color="000000"/>
              <w:right w:val="single" w:sz="4" w:space="0" w:color="000000"/>
            </w:tcBorders>
          </w:tcPr>
          <w:p w14:paraId="24D6187C"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7D" w14:textId="77777777" w:rsidR="00245300" w:rsidRPr="00EC20A0" w:rsidRDefault="00245300">
            <w:pPr>
              <w:pStyle w:val="TableParagraph"/>
              <w:rPr>
                <w:sz w:val="20"/>
              </w:rPr>
            </w:pPr>
          </w:p>
        </w:tc>
      </w:tr>
    </w:tbl>
    <w:p w14:paraId="24D6187F"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880" w14:textId="77777777" w:rsidR="00245300" w:rsidRPr="00EC20A0" w:rsidRDefault="00245300">
      <w:pPr>
        <w:pStyle w:val="BodyText"/>
        <w:spacing w:before="9"/>
        <w:rPr>
          <w:sz w:val="11"/>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245300" w:rsidRPr="00EC20A0" w14:paraId="24D61884" w14:textId="77777777">
        <w:trPr>
          <w:trHeight w:val="625"/>
        </w:trPr>
        <w:tc>
          <w:tcPr>
            <w:tcW w:w="6696" w:type="dxa"/>
            <w:tcBorders>
              <w:right w:val="single" w:sz="4" w:space="0" w:color="000000"/>
            </w:tcBorders>
          </w:tcPr>
          <w:p w14:paraId="24D61881" w14:textId="77777777" w:rsidR="00245300" w:rsidRPr="00EC20A0" w:rsidRDefault="00F17249">
            <w:pPr>
              <w:pStyle w:val="TableParagraph"/>
              <w:spacing w:before="120"/>
              <w:ind w:left="92"/>
              <w:rPr>
                <w:b/>
              </w:rPr>
            </w:pPr>
            <w:r w:rsidRPr="00EC20A0">
              <w:rPr>
                <w:b/>
                <w:spacing w:val="-2"/>
              </w:rPr>
              <w:t>Procedures</w:t>
            </w:r>
          </w:p>
        </w:tc>
        <w:tc>
          <w:tcPr>
            <w:tcW w:w="1144" w:type="dxa"/>
            <w:tcBorders>
              <w:left w:val="single" w:sz="4" w:space="0" w:color="000000"/>
              <w:right w:val="single" w:sz="4" w:space="0" w:color="000000"/>
            </w:tcBorders>
          </w:tcPr>
          <w:p w14:paraId="24D61882" w14:textId="77777777" w:rsidR="00245300" w:rsidRPr="00EC20A0" w:rsidRDefault="00F17249">
            <w:pPr>
              <w:pStyle w:val="TableParagraph"/>
              <w:spacing w:before="100" w:line="250" w:lineRule="atLeast"/>
              <w:ind w:left="110"/>
              <w:rPr>
                <w:b/>
              </w:rPr>
            </w:pPr>
            <w:r w:rsidRPr="00EC20A0">
              <w:rPr>
                <w:b/>
                <w:spacing w:val="-2"/>
              </w:rPr>
              <w:t xml:space="preserve">Initials/ </w:t>
            </w:r>
            <w:r w:rsidRPr="00EC20A0">
              <w:rPr>
                <w:b/>
                <w:spacing w:val="-4"/>
              </w:rPr>
              <w:t>date</w:t>
            </w:r>
          </w:p>
        </w:tc>
        <w:tc>
          <w:tcPr>
            <w:tcW w:w="1229" w:type="dxa"/>
            <w:tcBorders>
              <w:left w:val="single" w:sz="4" w:space="0" w:color="000000"/>
            </w:tcBorders>
          </w:tcPr>
          <w:p w14:paraId="24D61883" w14:textId="77777777" w:rsidR="00245300" w:rsidRPr="00EC20A0" w:rsidRDefault="00F17249">
            <w:pPr>
              <w:pStyle w:val="TableParagraph"/>
              <w:spacing w:before="120"/>
              <w:ind w:left="109"/>
              <w:rPr>
                <w:b/>
              </w:rPr>
            </w:pPr>
            <w:r w:rsidRPr="00EC20A0">
              <w:rPr>
                <w:b/>
              </w:rPr>
              <w:t>Doc.</w:t>
            </w:r>
            <w:r w:rsidRPr="00EC20A0">
              <w:rPr>
                <w:b/>
                <w:spacing w:val="-6"/>
              </w:rPr>
              <w:t xml:space="preserve"> </w:t>
            </w:r>
            <w:r w:rsidRPr="00EC20A0">
              <w:rPr>
                <w:b/>
                <w:spacing w:val="-4"/>
              </w:rPr>
              <w:t>ref.</w:t>
            </w:r>
          </w:p>
        </w:tc>
      </w:tr>
      <w:tr w:rsidR="00245300" w:rsidRPr="00EC20A0" w14:paraId="24D61889" w14:textId="77777777">
        <w:trPr>
          <w:trHeight w:val="2497"/>
        </w:trPr>
        <w:tc>
          <w:tcPr>
            <w:tcW w:w="6696" w:type="dxa"/>
            <w:tcBorders>
              <w:bottom w:val="single" w:sz="4" w:space="0" w:color="000000"/>
              <w:right w:val="single" w:sz="4" w:space="0" w:color="000000"/>
            </w:tcBorders>
          </w:tcPr>
          <w:p w14:paraId="24D61885" w14:textId="77777777" w:rsidR="00245300" w:rsidRPr="00EC20A0" w:rsidRDefault="00F17249">
            <w:pPr>
              <w:pStyle w:val="TableParagraph"/>
              <w:numPr>
                <w:ilvl w:val="0"/>
                <w:numId w:val="101"/>
              </w:numPr>
              <w:tabs>
                <w:tab w:val="left" w:pos="1208"/>
              </w:tabs>
              <w:spacing w:before="25"/>
              <w:ind w:right="259"/>
            </w:pPr>
            <w:r w:rsidRPr="00EC20A0">
              <w:t>Treasury’s</w:t>
            </w:r>
            <w:r w:rsidRPr="00EC20A0">
              <w:rPr>
                <w:spacing w:val="-1"/>
              </w:rPr>
              <w:t xml:space="preserve"> </w:t>
            </w:r>
            <w:r w:rsidRPr="00EC20A0">
              <w:t>Bureau of the Fiscal Service, as</w:t>
            </w:r>
            <w:r w:rsidRPr="00EC20A0">
              <w:rPr>
                <w:spacing w:val="-1"/>
              </w:rPr>
              <w:t xml:space="preserve"> </w:t>
            </w:r>
            <w:r w:rsidRPr="00EC20A0">
              <w:t>part</w:t>
            </w:r>
            <w:r w:rsidRPr="00EC20A0">
              <w:rPr>
                <w:spacing w:val="-1"/>
              </w:rPr>
              <w:t xml:space="preserve"> </w:t>
            </w:r>
            <w:r w:rsidRPr="00EC20A0">
              <w:t xml:space="preserve">of its dispute resolution process, may issue a </w:t>
            </w:r>
            <w:r w:rsidRPr="00EC20A0">
              <w:t>decision in which the entity or its trading partner is to adjust its accounting</w:t>
            </w:r>
            <w:r w:rsidRPr="00EC20A0">
              <w:rPr>
                <w:spacing w:val="-6"/>
              </w:rPr>
              <w:t xml:space="preserve"> </w:t>
            </w:r>
            <w:r w:rsidRPr="00EC20A0">
              <w:t>records;</w:t>
            </w:r>
            <w:r w:rsidRPr="00EC20A0">
              <w:rPr>
                <w:spacing w:val="-6"/>
              </w:rPr>
              <w:t xml:space="preserve"> </w:t>
            </w:r>
            <w:r w:rsidRPr="00EC20A0">
              <w:t>however,</w:t>
            </w:r>
            <w:r w:rsidRPr="00EC20A0">
              <w:rPr>
                <w:spacing w:val="-6"/>
              </w:rPr>
              <w:t xml:space="preserve"> </w:t>
            </w:r>
            <w:r w:rsidRPr="00EC20A0">
              <w:t>this</w:t>
            </w:r>
            <w:r w:rsidRPr="00EC20A0">
              <w:rPr>
                <w:spacing w:val="-6"/>
              </w:rPr>
              <w:t xml:space="preserve"> </w:t>
            </w:r>
            <w:r w:rsidRPr="00EC20A0">
              <w:t>adjustment</w:t>
            </w:r>
            <w:r w:rsidRPr="00EC20A0">
              <w:rPr>
                <w:spacing w:val="-6"/>
              </w:rPr>
              <w:t xml:space="preserve"> </w:t>
            </w:r>
            <w:r w:rsidRPr="00EC20A0">
              <w:t>has</w:t>
            </w:r>
            <w:r w:rsidRPr="00EC20A0">
              <w:rPr>
                <w:spacing w:val="-6"/>
              </w:rPr>
              <w:t xml:space="preserve"> </w:t>
            </w:r>
            <w:r w:rsidRPr="00EC20A0">
              <w:t>not been made.)</w:t>
            </w:r>
          </w:p>
          <w:p w14:paraId="24D61886" w14:textId="77777777" w:rsidR="00245300" w:rsidRPr="00EC20A0" w:rsidRDefault="00F17249">
            <w:pPr>
              <w:pStyle w:val="TableParagraph"/>
              <w:spacing w:before="59"/>
              <w:ind w:left="758" w:right="194"/>
            </w:pPr>
            <w:r w:rsidRPr="00EC20A0">
              <w:t>The auditor should evaluate the effects of misstatements on the financial statements and auditor’s reports in accordance</w:t>
            </w:r>
            <w:r w:rsidRPr="00EC20A0">
              <w:rPr>
                <w:spacing w:val="-7"/>
              </w:rPr>
              <w:t xml:space="preserve"> </w:t>
            </w:r>
            <w:r w:rsidRPr="00EC20A0">
              <w:t>with</w:t>
            </w:r>
            <w:r w:rsidRPr="00EC20A0">
              <w:rPr>
                <w:spacing w:val="-6"/>
              </w:rPr>
              <w:t xml:space="preserve"> </w:t>
            </w:r>
            <w:r w:rsidRPr="00EC20A0">
              <w:t>FAM</w:t>
            </w:r>
            <w:r w:rsidRPr="00EC20A0">
              <w:rPr>
                <w:spacing w:val="-7"/>
              </w:rPr>
              <w:t xml:space="preserve"> </w:t>
            </w:r>
            <w:r w:rsidRPr="00EC20A0">
              <w:t>540</w:t>
            </w:r>
            <w:r w:rsidRPr="00EC20A0">
              <w:rPr>
                <w:spacing w:val="-6"/>
              </w:rPr>
              <w:t xml:space="preserve"> </w:t>
            </w:r>
            <w:r w:rsidRPr="00EC20A0">
              <w:t>and</w:t>
            </w:r>
            <w:r w:rsidRPr="00EC20A0">
              <w:rPr>
                <w:spacing w:val="-6"/>
              </w:rPr>
              <w:t xml:space="preserve"> </w:t>
            </w:r>
            <w:r w:rsidRPr="00EC20A0">
              <w:t>accumulate</w:t>
            </w:r>
            <w:r w:rsidRPr="00EC20A0">
              <w:rPr>
                <w:spacing w:val="-6"/>
              </w:rPr>
              <w:t xml:space="preserve"> </w:t>
            </w:r>
            <w:r w:rsidRPr="00EC20A0">
              <w:t>misstatements in accordance with FAM 595 C.</w:t>
            </w:r>
          </w:p>
        </w:tc>
        <w:tc>
          <w:tcPr>
            <w:tcW w:w="1144" w:type="dxa"/>
            <w:tcBorders>
              <w:left w:val="single" w:sz="4" w:space="0" w:color="000000"/>
              <w:bottom w:val="single" w:sz="4" w:space="0" w:color="000000"/>
              <w:right w:val="single" w:sz="4" w:space="0" w:color="000000"/>
            </w:tcBorders>
          </w:tcPr>
          <w:p w14:paraId="24D61887" w14:textId="77777777" w:rsidR="00245300" w:rsidRPr="00EC20A0" w:rsidRDefault="00245300">
            <w:pPr>
              <w:pStyle w:val="TableParagraph"/>
              <w:rPr>
                <w:sz w:val="20"/>
              </w:rPr>
            </w:pPr>
          </w:p>
        </w:tc>
        <w:tc>
          <w:tcPr>
            <w:tcW w:w="1229" w:type="dxa"/>
            <w:tcBorders>
              <w:left w:val="single" w:sz="4" w:space="0" w:color="000000"/>
              <w:bottom w:val="single" w:sz="4" w:space="0" w:color="000000"/>
            </w:tcBorders>
          </w:tcPr>
          <w:p w14:paraId="24D61888" w14:textId="77777777" w:rsidR="00245300" w:rsidRPr="00EC20A0" w:rsidRDefault="00245300">
            <w:pPr>
              <w:pStyle w:val="TableParagraph"/>
              <w:rPr>
                <w:sz w:val="20"/>
              </w:rPr>
            </w:pPr>
          </w:p>
        </w:tc>
      </w:tr>
      <w:tr w:rsidR="00245300" w:rsidRPr="00EC20A0" w14:paraId="24D6188D" w14:textId="77777777">
        <w:trPr>
          <w:trHeight w:val="759"/>
        </w:trPr>
        <w:tc>
          <w:tcPr>
            <w:tcW w:w="6696" w:type="dxa"/>
            <w:tcBorders>
              <w:top w:val="single" w:sz="4" w:space="0" w:color="000000"/>
              <w:bottom w:val="single" w:sz="4" w:space="0" w:color="000000"/>
              <w:right w:val="single" w:sz="4" w:space="0" w:color="000000"/>
            </w:tcBorders>
          </w:tcPr>
          <w:p w14:paraId="24D6188A" w14:textId="77777777" w:rsidR="00245300" w:rsidRPr="00EC20A0" w:rsidRDefault="00F17249">
            <w:pPr>
              <w:pStyle w:val="TableParagraph"/>
              <w:spacing w:line="254" w:lineRule="exact"/>
              <w:ind w:left="758" w:right="807" w:hanging="360"/>
              <w:jc w:val="both"/>
            </w:pPr>
            <w:r w:rsidRPr="00EC20A0">
              <w:t>8)</w:t>
            </w:r>
            <w:r w:rsidRPr="00EC20A0">
              <w:rPr>
                <w:spacing w:val="80"/>
              </w:rPr>
              <w:t xml:space="preserve"> </w:t>
            </w:r>
            <w:r w:rsidRPr="00EC20A0">
              <w:t>Read</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and</w:t>
            </w:r>
            <w:r w:rsidRPr="00EC20A0">
              <w:rPr>
                <w:spacing w:val="-3"/>
              </w:rPr>
              <w:t xml:space="preserve"> </w:t>
            </w:r>
            <w:r w:rsidRPr="00EC20A0">
              <w:t>notes</w:t>
            </w:r>
            <w:r w:rsidRPr="00EC20A0">
              <w:rPr>
                <w:spacing w:val="-5"/>
              </w:rPr>
              <w:t xml:space="preserve"> </w:t>
            </w:r>
            <w:r w:rsidRPr="00EC20A0">
              <w:t>and compare</w:t>
            </w:r>
            <w:r w:rsidRPr="00EC20A0">
              <w:rPr>
                <w:spacing w:val="-5"/>
              </w:rPr>
              <w:t xml:space="preserve"> </w:t>
            </w:r>
            <w:r w:rsidRPr="00EC20A0">
              <w:t>the</w:t>
            </w:r>
            <w:r w:rsidRPr="00EC20A0">
              <w:rPr>
                <w:spacing w:val="-5"/>
              </w:rPr>
              <w:t xml:space="preserve"> </w:t>
            </w:r>
            <w:r w:rsidRPr="00EC20A0">
              <w:t>reported</w:t>
            </w:r>
            <w:r w:rsidRPr="00EC20A0">
              <w:rPr>
                <w:spacing w:val="-5"/>
              </w:rPr>
              <w:t xml:space="preserve"> </w:t>
            </w:r>
            <w:r w:rsidRPr="00EC20A0">
              <w:t>intragovernmental</w:t>
            </w:r>
            <w:r w:rsidRPr="00EC20A0">
              <w:rPr>
                <w:spacing w:val="-5"/>
              </w:rPr>
              <w:t xml:space="preserve"> </w:t>
            </w:r>
            <w:r w:rsidRPr="00EC20A0">
              <w:t>activity</w:t>
            </w:r>
            <w:r w:rsidRPr="00EC20A0">
              <w:rPr>
                <w:spacing w:val="-6"/>
              </w:rPr>
              <w:t xml:space="preserve"> </w:t>
            </w:r>
            <w:r w:rsidRPr="00EC20A0">
              <w:t>and balances with the test results.</w:t>
            </w:r>
          </w:p>
        </w:tc>
        <w:tc>
          <w:tcPr>
            <w:tcW w:w="1144" w:type="dxa"/>
            <w:tcBorders>
              <w:top w:val="single" w:sz="4" w:space="0" w:color="000000"/>
              <w:left w:val="single" w:sz="4" w:space="0" w:color="000000"/>
              <w:bottom w:val="single" w:sz="4" w:space="0" w:color="000000"/>
              <w:right w:val="single" w:sz="4" w:space="0" w:color="000000"/>
            </w:tcBorders>
          </w:tcPr>
          <w:p w14:paraId="24D6188B"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8C" w14:textId="77777777" w:rsidR="00245300" w:rsidRPr="00EC20A0" w:rsidRDefault="00245300">
            <w:pPr>
              <w:pStyle w:val="TableParagraph"/>
              <w:rPr>
                <w:sz w:val="20"/>
              </w:rPr>
            </w:pPr>
          </w:p>
        </w:tc>
      </w:tr>
      <w:tr w:rsidR="00245300" w:rsidRPr="00EC20A0" w14:paraId="24D61892" w14:textId="77777777">
        <w:trPr>
          <w:trHeight w:val="1008"/>
        </w:trPr>
        <w:tc>
          <w:tcPr>
            <w:tcW w:w="6696" w:type="dxa"/>
            <w:tcBorders>
              <w:top w:val="single" w:sz="4" w:space="0" w:color="000000"/>
              <w:bottom w:val="single" w:sz="4" w:space="0" w:color="000000"/>
              <w:right w:val="single" w:sz="4" w:space="0" w:color="000000"/>
            </w:tcBorders>
          </w:tcPr>
          <w:p w14:paraId="24D6188E" w14:textId="77777777" w:rsidR="00245300" w:rsidRPr="00EC20A0" w:rsidRDefault="00F17249">
            <w:pPr>
              <w:pStyle w:val="TableParagraph"/>
              <w:ind w:left="758" w:hanging="360"/>
            </w:pPr>
            <w:r w:rsidRPr="00EC20A0">
              <w:t>9)</w:t>
            </w:r>
            <w:r w:rsidRPr="00EC20A0">
              <w:rPr>
                <w:spacing w:val="80"/>
              </w:rPr>
              <w:t xml:space="preserve"> </w:t>
            </w:r>
            <w:r w:rsidRPr="00EC20A0">
              <w:t>Communicate</w:t>
            </w:r>
            <w:r w:rsidRPr="00EC20A0">
              <w:rPr>
                <w:spacing w:val="-5"/>
              </w:rPr>
              <w:t xml:space="preserve"> </w:t>
            </w:r>
            <w:r w:rsidRPr="00EC20A0">
              <w:t>with</w:t>
            </w:r>
            <w:r w:rsidRPr="00EC20A0">
              <w:rPr>
                <w:spacing w:val="-5"/>
              </w:rPr>
              <w:t xml:space="preserve"> </w:t>
            </w:r>
            <w:r w:rsidRPr="00EC20A0">
              <w:t>trading</w:t>
            </w:r>
            <w:r w:rsidRPr="00EC20A0">
              <w:rPr>
                <w:spacing w:val="-5"/>
              </w:rPr>
              <w:t xml:space="preserve"> </w:t>
            </w:r>
            <w:r w:rsidRPr="00EC20A0">
              <w:t>partner</w:t>
            </w:r>
            <w:r w:rsidRPr="00EC20A0">
              <w:rPr>
                <w:spacing w:val="-5"/>
              </w:rPr>
              <w:t xml:space="preserve"> </w:t>
            </w:r>
            <w:r w:rsidRPr="00EC20A0">
              <w:t>entities’</w:t>
            </w:r>
            <w:r w:rsidRPr="00EC20A0">
              <w:rPr>
                <w:spacing w:val="-5"/>
              </w:rPr>
              <w:t xml:space="preserve"> </w:t>
            </w:r>
            <w:r w:rsidRPr="00EC20A0">
              <w:t>auditors</w:t>
            </w:r>
            <w:r w:rsidRPr="00EC20A0">
              <w:rPr>
                <w:spacing w:val="-5"/>
              </w:rPr>
              <w:t xml:space="preserve"> </w:t>
            </w:r>
            <w:r w:rsidRPr="00EC20A0">
              <w:t>(with entity permission) to determine whether issues these</w:t>
            </w:r>
          </w:p>
          <w:p w14:paraId="24D6188F" w14:textId="77777777" w:rsidR="00245300" w:rsidRPr="00EC20A0" w:rsidRDefault="00F17249">
            <w:pPr>
              <w:pStyle w:val="TableParagraph"/>
              <w:spacing w:line="252" w:lineRule="exact"/>
              <w:ind w:left="758"/>
            </w:pPr>
            <w:r w:rsidRPr="00EC20A0">
              <w:t>auditors</w:t>
            </w:r>
            <w:r w:rsidRPr="00EC20A0">
              <w:rPr>
                <w:spacing w:val="-6"/>
              </w:rPr>
              <w:t xml:space="preserve"> </w:t>
            </w:r>
            <w:r w:rsidRPr="00EC20A0">
              <w:t>identified</w:t>
            </w:r>
            <w:r w:rsidRPr="00EC20A0">
              <w:rPr>
                <w:spacing w:val="-6"/>
              </w:rPr>
              <w:t xml:space="preserve"> </w:t>
            </w:r>
            <w:r w:rsidRPr="00EC20A0">
              <w:t>affect</w:t>
            </w:r>
            <w:r w:rsidRPr="00EC20A0">
              <w:rPr>
                <w:spacing w:val="-7"/>
              </w:rPr>
              <w:t xml:space="preserve"> </w:t>
            </w:r>
            <w:r w:rsidRPr="00EC20A0">
              <w:t>the</w:t>
            </w:r>
            <w:r w:rsidRPr="00EC20A0">
              <w:rPr>
                <w:spacing w:val="-6"/>
              </w:rPr>
              <w:t xml:space="preserve"> </w:t>
            </w:r>
            <w:r w:rsidRPr="00EC20A0">
              <w:t>auditor’s</w:t>
            </w:r>
            <w:r w:rsidRPr="00EC20A0">
              <w:rPr>
                <w:spacing w:val="-6"/>
              </w:rPr>
              <w:t xml:space="preserve"> </w:t>
            </w:r>
            <w:r w:rsidRPr="00EC20A0">
              <w:t>conclusions</w:t>
            </w:r>
            <w:r w:rsidRPr="00EC20A0">
              <w:rPr>
                <w:spacing w:val="-6"/>
              </w:rPr>
              <w:t xml:space="preserve"> </w:t>
            </w:r>
            <w:r w:rsidRPr="00EC20A0">
              <w:t>on intragovernmental transactions.</w:t>
            </w:r>
          </w:p>
        </w:tc>
        <w:tc>
          <w:tcPr>
            <w:tcW w:w="1144" w:type="dxa"/>
            <w:tcBorders>
              <w:top w:val="single" w:sz="4" w:space="0" w:color="000000"/>
              <w:left w:val="single" w:sz="4" w:space="0" w:color="000000"/>
              <w:bottom w:val="single" w:sz="4" w:space="0" w:color="000000"/>
              <w:right w:val="single" w:sz="4" w:space="0" w:color="000000"/>
            </w:tcBorders>
          </w:tcPr>
          <w:p w14:paraId="24D61890"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91" w14:textId="77777777" w:rsidR="00245300" w:rsidRPr="00EC20A0" w:rsidRDefault="00245300">
            <w:pPr>
              <w:pStyle w:val="TableParagraph"/>
              <w:rPr>
                <w:sz w:val="20"/>
              </w:rPr>
            </w:pPr>
          </w:p>
        </w:tc>
      </w:tr>
      <w:tr w:rsidR="00245300" w:rsidRPr="00EC20A0" w14:paraId="24D61896" w14:textId="77777777">
        <w:trPr>
          <w:trHeight w:val="504"/>
        </w:trPr>
        <w:tc>
          <w:tcPr>
            <w:tcW w:w="6696" w:type="dxa"/>
            <w:tcBorders>
              <w:top w:val="single" w:sz="4" w:space="0" w:color="000000"/>
              <w:bottom w:val="single" w:sz="4" w:space="0" w:color="000000"/>
              <w:right w:val="single" w:sz="4" w:space="0" w:color="000000"/>
            </w:tcBorders>
          </w:tcPr>
          <w:p w14:paraId="24D61893" w14:textId="77777777" w:rsidR="00245300" w:rsidRPr="00EC20A0" w:rsidRDefault="00F17249">
            <w:pPr>
              <w:pStyle w:val="TableParagraph"/>
              <w:spacing w:line="252" w:lineRule="exact"/>
              <w:ind w:left="758" w:hanging="360"/>
            </w:pPr>
            <w:r w:rsidRPr="00EC20A0">
              <w:t>10)</w:t>
            </w:r>
            <w:r w:rsidRPr="00EC20A0">
              <w:rPr>
                <w:spacing w:val="-19"/>
              </w:rPr>
              <w:t xml:space="preserve"> </w:t>
            </w:r>
            <w:r w:rsidRPr="00EC20A0">
              <w:t>Summarize</w:t>
            </w:r>
            <w:r w:rsidRPr="00EC20A0">
              <w:rPr>
                <w:spacing w:val="-9"/>
              </w:rPr>
              <w:t xml:space="preserve"> </w:t>
            </w:r>
            <w:r w:rsidRPr="00EC20A0">
              <w:t>the</w:t>
            </w:r>
            <w:r w:rsidRPr="00EC20A0">
              <w:rPr>
                <w:spacing w:val="-5"/>
              </w:rPr>
              <w:t xml:space="preserve"> </w:t>
            </w:r>
            <w:r w:rsidRPr="00EC20A0">
              <w:t>results</w:t>
            </w:r>
            <w:r w:rsidRPr="00EC20A0">
              <w:rPr>
                <w:spacing w:val="-5"/>
              </w:rPr>
              <w:t xml:space="preserve"> </w:t>
            </w:r>
            <w:r w:rsidRPr="00EC20A0">
              <w:t>and</w:t>
            </w:r>
            <w:r w:rsidRPr="00EC20A0">
              <w:rPr>
                <w:spacing w:val="-5"/>
              </w:rPr>
              <w:t xml:space="preserve"> </w:t>
            </w:r>
            <w:r w:rsidRPr="00EC20A0">
              <w:t>propose</w:t>
            </w:r>
            <w:r w:rsidRPr="00EC20A0">
              <w:rPr>
                <w:spacing w:val="-6"/>
              </w:rPr>
              <w:t xml:space="preserve"> </w:t>
            </w:r>
            <w:r w:rsidRPr="00EC20A0">
              <w:t>any</w:t>
            </w:r>
            <w:r w:rsidRPr="00EC20A0">
              <w:rPr>
                <w:spacing w:val="-4"/>
              </w:rPr>
              <w:t xml:space="preserve"> </w:t>
            </w:r>
            <w:r w:rsidRPr="00EC20A0">
              <w:t>adjusting</w:t>
            </w:r>
            <w:r w:rsidRPr="00EC20A0">
              <w:rPr>
                <w:spacing w:val="-5"/>
              </w:rPr>
              <w:t xml:space="preserve"> </w:t>
            </w:r>
            <w:r w:rsidRPr="00EC20A0">
              <w:t>entries (FAM 595 C).</w:t>
            </w:r>
          </w:p>
        </w:tc>
        <w:tc>
          <w:tcPr>
            <w:tcW w:w="1144" w:type="dxa"/>
            <w:tcBorders>
              <w:top w:val="single" w:sz="4" w:space="0" w:color="000000"/>
              <w:left w:val="single" w:sz="4" w:space="0" w:color="000000"/>
              <w:bottom w:val="single" w:sz="4" w:space="0" w:color="000000"/>
              <w:right w:val="single" w:sz="4" w:space="0" w:color="000000"/>
            </w:tcBorders>
          </w:tcPr>
          <w:p w14:paraId="24D61894"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95" w14:textId="77777777" w:rsidR="00245300" w:rsidRPr="00EC20A0" w:rsidRDefault="00245300">
            <w:pPr>
              <w:pStyle w:val="TableParagraph"/>
              <w:rPr>
                <w:sz w:val="20"/>
              </w:rPr>
            </w:pPr>
          </w:p>
        </w:tc>
      </w:tr>
      <w:tr w:rsidR="00245300" w:rsidRPr="00EC20A0" w14:paraId="24D6189B" w14:textId="77777777">
        <w:trPr>
          <w:trHeight w:val="759"/>
        </w:trPr>
        <w:tc>
          <w:tcPr>
            <w:tcW w:w="6696" w:type="dxa"/>
            <w:tcBorders>
              <w:top w:val="single" w:sz="4" w:space="0" w:color="000000"/>
              <w:bottom w:val="single" w:sz="4" w:space="0" w:color="000000"/>
              <w:right w:val="single" w:sz="4" w:space="0" w:color="000000"/>
            </w:tcBorders>
          </w:tcPr>
          <w:p w14:paraId="24D61897" w14:textId="77777777" w:rsidR="00245300" w:rsidRPr="00EC20A0" w:rsidRDefault="00F17249">
            <w:pPr>
              <w:pStyle w:val="TableParagraph"/>
              <w:spacing w:before="1"/>
              <w:ind w:left="758" w:hanging="360"/>
            </w:pPr>
            <w:r w:rsidRPr="00EC20A0">
              <w:t>11)</w:t>
            </w:r>
            <w:r w:rsidRPr="00EC20A0">
              <w:rPr>
                <w:spacing w:val="-2"/>
              </w:rPr>
              <w:t xml:space="preserve"> </w:t>
            </w:r>
            <w:r w:rsidRPr="00EC20A0">
              <w:t>Conclude on whether intragovernmental activity and balances</w:t>
            </w:r>
            <w:r w:rsidRPr="00EC20A0">
              <w:rPr>
                <w:spacing w:val="-6"/>
              </w:rPr>
              <w:t xml:space="preserve"> </w:t>
            </w:r>
            <w:r w:rsidRPr="00EC20A0">
              <w:t>have</w:t>
            </w:r>
            <w:r w:rsidRPr="00EC20A0">
              <w:rPr>
                <w:spacing w:val="-6"/>
              </w:rPr>
              <w:t xml:space="preserve"> </w:t>
            </w:r>
            <w:r w:rsidRPr="00EC20A0">
              <w:t>been</w:t>
            </w:r>
            <w:r w:rsidRPr="00EC20A0">
              <w:rPr>
                <w:spacing w:val="-6"/>
              </w:rPr>
              <w:t xml:space="preserve"> </w:t>
            </w:r>
            <w:r w:rsidRPr="00EC20A0">
              <w:t>adequately</w:t>
            </w:r>
            <w:r w:rsidRPr="00EC20A0">
              <w:rPr>
                <w:spacing w:val="-6"/>
              </w:rPr>
              <w:t xml:space="preserve"> </w:t>
            </w:r>
            <w:r w:rsidRPr="00EC20A0">
              <w:t>accounted</w:t>
            </w:r>
            <w:r w:rsidRPr="00EC20A0">
              <w:rPr>
                <w:spacing w:val="-6"/>
              </w:rPr>
              <w:t xml:space="preserve"> </w:t>
            </w:r>
            <w:r w:rsidRPr="00EC20A0">
              <w:t>for</w:t>
            </w:r>
            <w:r w:rsidRPr="00EC20A0">
              <w:rPr>
                <w:spacing w:val="-6"/>
              </w:rPr>
              <w:t xml:space="preserve"> </w:t>
            </w:r>
            <w:r w:rsidRPr="00EC20A0">
              <w:t>and</w:t>
            </w:r>
            <w:r w:rsidRPr="00EC20A0">
              <w:rPr>
                <w:spacing w:val="-6"/>
              </w:rPr>
              <w:t xml:space="preserve"> </w:t>
            </w:r>
            <w:r w:rsidRPr="00EC20A0">
              <w:t>properly</w:t>
            </w:r>
          </w:p>
          <w:p w14:paraId="24D61898" w14:textId="77777777" w:rsidR="00245300" w:rsidRPr="00EC20A0" w:rsidRDefault="00F17249">
            <w:pPr>
              <w:pStyle w:val="TableParagraph"/>
              <w:spacing w:line="232" w:lineRule="exact"/>
              <w:ind w:left="758"/>
            </w:pPr>
            <w:r w:rsidRPr="00EC20A0">
              <w:t>disclosed</w:t>
            </w:r>
            <w:r w:rsidRPr="00EC20A0">
              <w:rPr>
                <w:spacing w:val="-7"/>
              </w:rPr>
              <w:t xml:space="preserve"> </w:t>
            </w:r>
            <w:r w:rsidRPr="00EC20A0">
              <w:t>in</w:t>
            </w:r>
            <w:r w:rsidRPr="00EC20A0">
              <w:rPr>
                <w:spacing w:val="-6"/>
              </w:rPr>
              <w:t xml:space="preserve"> </w:t>
            </w:r>
            <w:r w:rsidRPr="00EC20A0">
              <w:t>the</w:t>
            </w:r>
            <w:r w:rsidRPr="00EC20A0">
              <w:rPr>
                <w:spacing w:val="-7"/>
              </w:rPr>
              <w:t xml:space="preserve"> </w:t>
            </w:r>
            <w:r w:rsidRPr="00EC20A0">
              <w:t>financial</w:t>
            </w:r>
            <w:r w:rsidRPr="00EC20A0">
              <w:rPr>
                <w:spacing w:val="-7"/>
              </w:rPr>
              <w:t xml:space="preserve"> </w:t>
            </w:r>
            <w:r w:rsidRPr="00EC20A0">
              <w:rPr>
                <w:spacing w:val="-2"/>
              </w:rPr>
              <w:t>statements.</w:t>
            </w:r>
          </w:p>
        </w:tc>
        <w:tc>
          <w:tcPr>
            <w:tcW w:w="1144" w:type="dxa"/>
            <w:tcBorders>
              <w:top w:val="single" w:sz="4" w:space="0" w:color="000000"/>
              <w:left w:val="single" w:sz="4" w:space="0" w:color="000000"/>
              <w:bottom w:val="single" w:sz="4" w:space="0" w:color="000000"/>
              <w:right w:val="single" w:sz="4" w:space="0" w:color="000000"/>
            </w:tcBorders>
          </w:tcPr>
          <w:p w14:paraId="24D61899" w14:textId="77777777" w:rsidR="00245300" w:rsidRPr="00EC20A0" w:rsidRDefault="00245300">
            <w:pPr>
              <w:pStyle w:val="TableParagraph"/>
              <w:rPr>
                <w:sz w:val="20"/>
              </w:rPr>
            </w:pPr>
          </w:p>
        </w:tc>
        <w:tc>
          <w:tcPr>
            <w:tcW w:w="1229" w:type="dxa"/>
            <w:tcBorders>
              <w:top w:val="single" w:sz="4" w:space="0" w:color="000000"/>
              <w:left w:val="single" w:sz="4" w:space="0" w:color="000000"/>
              <w:bottom w:val="single" w:sz="4" w:space="0" w:color="000000"/>
            </w:tcBorders>
          </w:tcPr>
          <w:p w14:paraId="24D6189A" w14:textId="77777777" w:rsidR="00245300" w:rsidRPr="00EC20A0" w:rsidRDefault="00245300">
            <w:pPr>
              <w:pStyle w:val="TableParagraph"/>
              <w:rPr>
                <w:sz w:val="20"/>
              </w:rPr>
            </w:pPr>
          </w:p>
        </w:tc>
      </w:tr>
      <w:tr w:rsidR="00245300" w:rsidRPr="00EC20A0" w14:paraId="24D618A1" w14:textId="77777777">
        <w:trPr>
          <w:trHeight w:val="4155"/>
        </w:trPr>
        <w:tc>
          <w:tcPr>
            <w:tcW w:w="6696" w:type="dxa"/>
            <w:tcBorders>
              <w:top w:val="single" w:sz="4" w:space="0" w:color="000000"/>
              <w:right w:val="single" w:sz="4" w:space="0" w:color="000000"/>
            </w:tcBorders>
          </w:tcPr>
          <w:p w14:paraId="24D6189C" w14:textId="77777777" w:rsidR="00245300" w:rsidRPr="00EC20A0" w:rsidRDefault="00F17249">
            <w:pPr>
              <w:pStyle w:val="TableParagraph"/>
              <w:ind w:left="758" w:hanging="360"/>
            </w:pPr>
            <w:r w:rsidRPr="00EC20A0">
              <w:t>12)</w:t>
            </w:r>
            <w:r w:rsidRPr="00EC20A0">
              <w:rPr>
                <w:spacing w:val="-19"/>
              </w:rPr>
              <w:t xml:space="preserve"> </w:t>
            </w:r>
            <w:r w:rsidRPr="00EC20A0">
              <w:t>For</w:t>
            </w:r>
            <w:r w:rsidRPr="00EC20A0">
              <w:rPr>
                <w:spacing w:val="-9"/>
              </w:rPr>
              <w:t xml:space="preserve"> </w:t>
            </w:r>
            <w:r w:rsidRPr="00EC20A0">
              <w:t>journal</w:t>
            </w:r>
            <w:r w:rsidRPr="00EC20A0">
              <w:rPr>
                <w:spacing w:val="-5"/>
              </w:rPr>
              <w:t xml:space="preserve"> </w:t>
            </w:r>
            <w:r w:rsidRPr="00EC20A0">
              <w:t>vouchers</w:t>
            </w:r>
            <w:r w:rsidRPr="00EC20A0">
              <w:rPr>
                <w:spacing w:val="-5"/>
              </w:rPr>
              <w:t xml:space="preserve"> </w:t>
            </w:r>
            <w:r w:rsidRPr="00EC20A0">
              <w:t>identified</w:t>
            </w:r>
            <w:r w:rsidRPr="00EC20A0">
              <w:rPr>
                <w:spacing w:val="-5"/>
              </w:rPr>
              <w:t xml:space="preserve"> </w:t>
            </w:r>
            <w:r w:rsidRPr="00EC20A0">
              <w:t>by</w:t>
            </w:r>
            <w:r w:rsidRPr="00EC20A0">
              <w:rPr>
                <w:spacing w:val="-5"/>
              </w:rPr>
              <w:t xml:space="preserve"> </w:t>
            </w:r>
            <w:r w:rsidRPr="00EC20A0">
              <w:t>Treasury,</w:t>
            </w:r>
            <w:r w:rsidRPr="00EC20A0">
              <w:rPr>
                <w:spacing w:val="-4"/>
              </w:rPr>
              <w:t xml:space="preserve"> </w:t>
            </w:r>
            <w:r w:rsidRPr="00EC20A0">
              <w:t>perform</w:t>
            </w:r>
            <w:r w:rsidRPr="00EC20A0">
              <w:rPr>
                <w:spacing w:val="-6"/>
              </w:rPr>
              <w:t xml:space="preserve"> </w:t>
            </w:r>
            <w:r w:rsidRPr="00EC20A0">
              <w:t xml:space="preserve">the </w:t>
            </w:r>
            <w:r w:rsidRPr="00EC20A0">
              <w:rPr>
                <w:spacing w:val="-2"/>
              </w:rPr>
              <w:t>following.</w:t>
            </w:r>
          </w:p>
          <w:p w14:paraId="24D6189D" w14:textId="77777777" w:rsidR="00245300" w:rsidRPr="00EC20A0" w:rsidRDefault="00F17249">
            <w:pPr>
              <w:pStyle w:val="TableParagraph"/>
              <w:numPr>
                <w:ilvl w:val="0"/>
                <w:numId w:val="100"/>
              </w:numPr>
              <w:tabs>
                <w:tab w:val="left" w:pos="1382"/>
              </w:tabs>
              <w:spacing w:before="120"/>
              <w:ind w:right="147"/>
            </w:pPr>
            <w:r w:rsidRPr="00EC20A0">
              <w:t xml:space="preserve">For journal vouchers </w:t>
            </w:r>
            <w:r w:rsidRPr="00EC20A0">
              <w:t>identified by Treasury in the prior year, verify that the entity this year (i) determined why Treasury, and not the entity, was able to resolve the differences and (ii) fixed the causes</w:t>
            </w:r>
            <w:r w:rsidRPr="00EC20A0">
              <w:rPr>
                <w:spacing w:val="-6"/>
              </w:rPr>
              <w:t xml:space="preserve"> </w:t>
            </w:r>
            <w:r w:rsidRPr="00EC20A0">
              <w:t>of</w:t>
            </w:r>
            <w:r w:rsidRPr="00EC20A0">
              <w:rPr>
                <w:spacing w:val="-6"/>
              </w:rPr>
              <w:t xml:space="preserve"> </w:t>
            </w:r>
            <w:r w:rsidRPr="00EC20A0">
              <w:t>these</w:t>
            </w:r>
            <w:r w:rsidRPr="00EC20A0">
              <w:rPr>
                <w:spacing w:val="-6"/>
              </w:rPr>
              <w:t xml:space="preserve"> </w:t>
            </w:r>
            <w:r w:rsidRPr="00EC20A0">
              <w:t>differences</w:t>
            </w:r>
            <w:r w:rsidRPr="00EC20A0">
              <w:rPr>
                <w:spacing w:val="-6"/>
              </w:rPr>
              <w:t xml:space="preserve"> </w:t>
            </w:r>
            <w:r w:rsidRPr="00EC20A0">
              <w:t>so</w:t>
            </w:r>
            <w:r w:rsidRPr="00EC20A0">
              <w:rPr>
                <w:spacing w:val="-6"/>
              </w:rPr>
              <w:t xml:space="preserve"> </w:t>
            </w:r>
            <w:r w:rsidRPr="00EC20A0">
              <w:t>that</w:t>
            </w:r>
            <w:r w:rsidRPr="00EC20A0">
              <w:rPr>
                <w:spacing w:val="-7"/>
              </w:rPr>
              <w:t xml:space="preserve"> </w:t>
            </w:r>
            <w:r w:rsidRPr="00EC20A0">
              <w:t>these</w:t>
            </w:r>
            <w:r w:rsidRPr="00EC20A0">
              <w:rPr>
                <w:spacing w:val="-6"/>
              </w:rPr>
              <w:t xml:space="preserve"> </w:t>
            </w:r>
            <w:r w:rsidRPr="00EC20A0">
              <w:t xml:space="preserve">differences will not exist at </w:t>
            </w:r>
            <w:r w:rsidRPr="00EC20A0">
              <w:t>the end of this year.</w:t>
            </w:r>
          </w:p>
          <w:p w14:paraId="24D6189E" w14:textId="77777777" w:rsidR="00245300" w:rsidRPr="00EC20A0" w:rsidRDefault="00F17249">
            <w:pPr>
              <w:pStyle w:val="TableParagraph"/>
              <w:numPr>
                <w:ilvl w:val="0"/>
                <w:numId w:val="100"/>
              </w:numPr>
              <w:tabs>
                <w:tab w:val="left" w:pos="1382"/>
              </w:tabs>
              <w:spacing w:before="180"/>
              <w:ind w:right="111"/>
            </w:pPr>
            <w:r w:rsidRPr="00EC20A0">
              <w:t>For journal vouchers that may be proposed by Treasury this year, verify that the entity has procedures to ensure that the personnel the entity identified</w:t>
            </w:r>
            <w:r w:rsidRPr="00EC20A0">
              <w:rPr>
                <w:spacing w:val="-6"/>
              </w:rPr>
              <w:t xml:space="preserve"> </w:t>
            </w:r>
            <w:r w:rsidRPr="00EC20A0">
              <w:t>to</w:t>
            </w:r>
            <w:r w:rsidRPr="00EC20A0">
              <w:rPr>
                <w:spacing w:val="-7"/>
              </w:rPr>
              <w:t xml:space="preserve"> </w:t>
            </w:r>
            <w:r w:rsidRPr="00EC20A0">
              <w:t>review</w:t>
            </w:r>
            <w:r w:rsidRPr="00EC20A0">
              <w:rPr>
                <w:spacing w:val="-7"/>
              </w:rPr>
              <w:t xml:space="preserve"> </w:t>
            </w:r>
            <w:r w:rsidRPr="00EC20A0">
              <w:t>and</w:t>
            </w:r>
            <w:r w:rsidRPr="00EC20A0">
              <w:rPr>
                <w:spacing w:val="-7"/>
              </w:rPr>
              <w:t xml:space="preserve"> </w:t>
            </w:r>
            <w:r w:rsidRPr="00EC20A0">
              <w:t>approve</w:t>
            </w:r>
            <w:r w:rsidRPr="00EC20A0">
              <w:rPr>
                <w:spacing w:val="-6"/>
              </w:rPr>
              <w:t xml:space="preserve"> </w:t>
            </w:r>
            <w:r w:rsidRPr="00EC20A0">
              <w:t>Treasury’s</w:t>
            </w:r>
            <w:r w:rsidRPr="00EC20A0">
              <w:rPr>
                <w:spacing w:val="-6"/>
              </w:rPr>
              <w:t xml:space="preserve"> </w:t>
            </w:r>
            <w:r w:rsidRPr="00EC20A0">
              <w:t>proposed journal vouchers are (i)</w:t>
            </w:r>
            <w:r w:rsidRPr="00EC20A0">
              <w:rPr>
                <w:spacing w:val="-2"/>
              </w:rPr>
              <w:t xml:space="preserve"> </w:t>
            </w:r>
            <w:r w:rsidRPr="00EC20A0">
              <w:t>authorized by the entity</w:t>
            </w:r>
            <w:r w:rsidRPr="00EC20A0">
              <w:rPr>
                <w:spacing w:val="-1"/>
              </w:rPr>
              <w:t xml:space="preserve"> </w:t>
            </w:r>
            <w:r w:rsidRPr="00EC20A0">
              <w:t>to do so and (ii) sufficiently knowledgeable and “senior” to make such a decision.</w:t>
            </w:r>
          </w:p>
        </w:tc>
        <w:tc>
          <w:tcPr>
            <w:tcW w:w="1144" w:type="dxa"/>
            <w:tcBorders>
              <w:top w:val="single" w:sz="4" w:space="0" w:color="000000"/>
              <w:left w:val="single" w:sz="4" w:space="0" w:color="000000"/>
              <w:right w:val="single" w:sz="4" w:space="0" w:color="000000"/>
            </w:tcBorders>
          </w:tcPr>
          <w:p w14:paraId="24D6189F" w14:textId="77777777" w:rsidR="00245300" w:rsidRPr="00EC20A0" w:rsidRDefault="00245300">
            <w:pPr>
              <w:pStyle w:val="TableParagraph"/>
              <w:rPr>
                <w:sz w:val="20"/>
              </w:rPr>
            </w:pPr>
          </w:p>
        </w:tc>
        <w:tc>
          <w:tcPr>
            <w:tcW w:w="1229" w:type="dxa"/>
            <w:tcBorders>
              <w:top w:val="single" w:sz="4" w:space="0" w:color="000000"/>
              <w:left w:val="single" w:sz="4" w:space="0" w:color="000000"/>
            </w:tcBorders>
          </w:tcPr>
          <w:p w14:paraId="24D618A0" w14:textId="77777777" w:rsidR="00245300" w:rsidRPr="00EC20A0" w:rsidRDefault="00245300">
            <w:pPr>
              <w:pStyle w:val="TableParagraph"/>
              <w:rPr>
                <w:sz w:val="20"/>
              </w:rPr>
            </w:pPr>
          </w:p>
        </w:tc>
      </w:tr>
    </w:tbl>
    <w:p w14:paraId="24D618A2" w14:textId="77777777" w:rsidR="00245300" w:rsidRPr="00EC20A0" w:rsidRDefault="00245300">
      <w:pPr>
        <w:rPr>
          <w:sz w:val="20"/>
        </w:rPr>
        <w:sectPr w:rsidR="00245300" w:rsidRPr="00EC20A0">
          <w:pgSz w:w="12240" w:h="15840"/>
          <w:pgMar w:top="1340" w:right="1100" w:bottom="940" w:left="1240" w:header="721" w:footer="757" w:gutter="0"/>
          <w:cols w:space="720"/>
        </w:sectPr>
      </w:pPr>
    </w:p>
    <w:tbl>
      <w:tblPr>
        <w:tblW w:w="0" w:type="auto"/>
        <w:tblInd w:w="208" w:type="dxa"/>
        <w:tblLayout w:type="fixed"/>
        <w:tblCellMar>
          <w:left w:w="0" w:type="dxa"/>
          <w:right w:w="0" w:type="dxa"/>
        </w:tblCellMar>
        <w:tblLook w:val="01E0" w:firstRow="1" w:lastRow="1" w:firstColumn="1" w:lastColumn="1" w:noHBand="0" w:noVBand="0"/>
      </w:tblPr>
      <w:tblGrid>
        <w:gridCol w:w="4797"/>
        <w:gridCol w:w="1141"/>
        <w:gridCol w:w="3422"/>
      </w:tblGrid>
      <w:tr w:rsidR="00245300" w:rsidRPr="00EC20A0" w14:paraId="24D618A5" w14:textId="77777777">
        <w:trPr>
          <w:trHeight w:hRule="exact" w:val="148"/>
        </w:trPr>
        <w:tc>
          <w:tcPr>
            <w:tcW w:w="5938" w:type="dxa"/>
            <w:gridSpan w:val="2"/>
            <w:tcBorders>
              <w:top w:val="single" w:sz="18" w:space="0" w:color="000000"/>
              <w:bottom w:val="single" w:sz="4" w:space="0" w:color="000000"/>
            </w:tcBorders>
          </w:tcPr>
          <w:p w14:paraId="24D618A3" w14:textId="77777777" w:rsidR="00245300" w:rsidRPr="00EC20A0" w:rsidRDefault="00245300">
            <w:pPr>
              <w:pStyle w:val="TableParagraph"/>
              <w:rPr>
                <w:sz w:val="6"/>
              </w:rPr>
            </w:pPr>
          </w:p>
        </w:tc>
        <w:tc>
          <w:tcPr>
            <w:tcW w:w="3422" w:type="dxa"/>
            <w:tcBorders>
              <w:top w:val="single" w:sz="18" w:space="0" w:color="000000"/>
              <w:bottom w:val="single" w:sz="4" w:space="0" w:color="000000"/>
            </w:tcBorders>
          </w:tcPr>
          <w:p w14:paraId="24D618A4" w14:textId="77777777" w:rsidR="00245300" w:rsidRPr="00EC20A0" w:rsidRDefault="00245300">
            <w:pPr>
              <w:pStyle w:val="TableParagraph"/>
              <w:rPr>
                <w:sz w:val="6"/>
              </w:rPr>
            </w:pPr>
          </w:p>
        </w:tc>
      </w:tr>
      <w:tr w:rsidR="00245300" w:rsidRPr="00EC20A0" w14:paraId="24D618A8" w14:textId="77777777">
        <w:trPr>
          <w:trHeight w:hRule="exact" w:val="708"/>
        </w:trPr>
        <w:tc>
          <w:tcPr>
            <w:tcW w:w="5938" w:type="dxa"/>
            <w:gridSpan w:val="2"/>
            <w:tcBorders>
              <w:top w:val="single" w:sz="4" w:space="0" w:color="000000"/>
              <w:left w:val="single" w:sz="4" w:space="0" w:color="000000"/>
            </w:tcBorders>
          </w:tcPr>
          <w:p w14:paraId="24D618A6" w14:textId="77777777" w:rsidR="00245300" w:rsidRPr="00EC20A0" w:rsidRDefault="00F17249">
            <w:pPr>
              <w:pStyle w:val="TableParagraph"/>
              <w:spacing w:before="120"/>
              <w:ind w:left="1422" w:right="313" w:hanging="1168"/>
              <w:rPr>
                <w:b/>
                <w:sz w:val="20"/>
              </w:rPr>
            </w:pPr>
            <w:r w:rsidRPr="00EC20A0">
              <w:rPr>
                <w:b/>
                <w:sz w:val="20"/>
              </w:rPr>
              <w:t>Reconciliation</w:t>
            </w:r>
            <w:r w:rsidRPr="00EC20A0">
              <w:rPr>
                <w:b/>
                <w:spacing w:val="-6"/>
                <w:sz w:val="20"/>
              </w:rPr>
              <w:t xml:space="preserve"> </w:t>
            </w:r>
            <w:r w:rsidRPr="00EC20A0">
              <w:rPr>
                <w:b/>
                <w:sz w:val="20"/>
              </w:rPr>
              <w:t>of</w:t>
            </w:r>
            <w:r w:rsidRPr="00EC20A0">
              <w:rPr>
                <w:b/>
                <w:spacing w:val="-6"/>
                <w:sz w:val="20"/>
              </w:rPr>
              <w:t xml:space="preserve"> </w:t>
            </w:r>
            <w:r w:rsidRPr="00EC20A0">
              <w:rPr>
                <w:b/>
                <w:sz w:val="20"/>
              </w:rPr>
              <w:t>Seller</w:t>
            </w:r>
            <w:r w:rsidRPr="00EC20A0">
              <w:rPr>
                <w:b/>
                <w:spacing w:val="-6"/>
                <w:sz w:val="20"/>
              </w:rPr>
              <w:t xml:space="preserve"> </w:t>
            </w:r>
            <w:r w:rsidRPr="00EC20A0">
              <w:rPr>
                <w:b/>
                <w:sz w:val="20"/>
              </w:rPr>
              <w:t>Entity</w:t>
            </w:r>
            <w:r w:rsidRPr="00EC20A0">
              <w:rPr>
                <w:b/>
                <w:spacing w:val="-7"/>
                <w:sz w:val="20"/>
              </w:rPr>
              <w:t xml:space="preserve"> </w:t>
            </w:r>
            <w:r w:rsidRPr="00EC20A0">
              <w:rPr>
                <w:b/>
                <w:sz w:val="20"/>
              </w:rPr>
              <w:t>Intragovernmental</w:t>
            </w:r>
            <w:r w:rsidRPr="00EC20A0">
              <w:rPr>
                <w:b/>
                <w:spacing w:val="-8"/>
                <w:sz w:val="20"/>
              </w:rPr>
              <w:t xml:space="preserve"> </w:t>
            </w:r>
            <w:r w:rsidRPr="00EC20A0">
              <w:rPr>
                <w:b/>
                <w:sz w:val="20"/>
              </w:rPr>
              <w:t>Earned Revenue with Buyer Entity Cost</w:t>
            </w:r>
          </w:p>
        </w:tc>
        <w:tc>
          <w:tcPr>
            <w:tcW w:w="3422" w:type="dxa"/>
            <w:tcBorders>
              <w:top w:val="single" w:sz="4" w:space="0" w:color="000000"/>
              <w:right w:val="single" w:sz="4" w:space="0" w:color="000000"/>
            </w:tcBorders>
          </w:tcPr>
          <w:p w14:paraId="24D618A7" w14:textId="77777777" w:rsidR="00245300" w:rsidRPr="00EC20A0" w:rsidRDefault="00F17249">
            <w:pPr>
              <w:pStyle w:val="TableParagraph"/>
              <w:spacing w:before="120"/>
              <w:ind w:right="48"/>
              <w:jc w:val="center"/>
              <w:rPr>
                <w:b/>
                <w:sz w:val="20"/>
              </w:rPr>
            </w:pPr>
            <w:r w:rsidRPr="00EC20A0">
              <w:rPr>
                <w:b/>
                <w:sz w:val="20"/>
              </w:rPr>
              <w:t>Exhibit</w:t>
            </w:r>
            <w:r w:rsidRPr="00EC20A0">
              <w:rPr>
                <w:b/>
                <w:spacing w:val="-5"/>
                <w:sz w:val="20"/>
              </w:rPr>
              <w:t xml:space="preserve"> </w:t>
            </w:r>
            <w:r w:rsidRPr="00EC20A0">
              <w:rPr>
                <w:b/>
                <w:spacing w:val="-10"/>
                <w:sz w:val="20"/>
              </w:rPr>
              <w:t>I</w:t>
            </w:r>
          </w:p>
        </w:tc>
      </w:tr>
      <w:tr w:rsidR="00245300" w:rsidRPr="00EC20A0" w14:paraId="24D618B2" w14:textId="77777777">
        <w:trPr>
          <w:trHeight w:hRule="exact" w:val="1307"/>
        </w:trPr>
        <w:tc>
          <w:tcPr>
            <w:tcW w:w="4797" w:type="dxa"/>
            <w:tcBorders>
              <w:left w:val="single" w:sz="4" w:space="0" w:color="000000"/>
            </w:tcBorders>
          </w:tcPr>
          <w:p w14:paraId="24D618A9" w14:textId="77777777" w:rsidR="00245300" w:rsidRPr="00EC20A0" w:rsidRDefault="00F17249">
            <w:pPr>
              <w:pStyle w:val="TableParagraph"/>
              <w:spacing w:before="117"/>
              <w:ind w:left="102"/>
              <w:rPr>
                <w:b/>
                <w:sz w:val="18"/>
              </w:rPr>
            </w:pPr>
            <w:r w:rsidRPr="00EC20A0">
              <w:rPr>
                <w:b/>
                <w:sz w:val="18"/>
                <w:u w:val="single"/>
              </w:rPr>
              <w:t>Seller</w:t>
            </w:r>
            <w:r w:rsidRPr="00EC20A0">
              <w:rPr>
                <w:b/>
                <w:spacing w:val="-3"/>
                <w:sz w:val="18"/>
                <w:u w:val="single"/>
              </w:rPr>
              <w:t xml:space="preserve"> </w:t>
            </w:r>
            <w:r w:rsidRPr="00EC20A0">
              <w:rPr>
                <w:b/>
                <w:sz w:val="18"/>
                <w:u w:val="single"/>
              </w:rPr>
              <w:t>Entity</w:t>
            </w:r>
            <w:r w:rsidRPr="00EC20A0">
              <w:rPr>
                <w:b/>
                <w:spacing w:val="-3"/>
                <w:sz w:val="18"/>
                <w:u w:val="single"/>
              </w:rPr>
              <w:t xml:space="preserve"> </w:t>
            </w:r>
            <w:r w:rsidRPr="00EC20A0">
              <w:rPr>
                <w:b/>
                <w:sz w:val="18"/>
                <w:u w:val="single"/>
              </w:rPr>
              <w:t>–</w:t>
            </w:r>
            <w:r w:rsidRPr="00EC20A0">
              <w:rPr>
                <w:b/>
                <w:spacing w:val="-4"/>
                <w:sz w:val="18"/>
                <w:u w:val="single"/>
              </w:rPr>
              <w:t xml:space="preserve"> </w:t>
            </w:r>
            <w:r w:rsidRPr="00EC20A0">
              <w:rPr>
                <w:b/>
                <w:sz w:val="18"/>
                <w:u w:val="single"/>
              </w:rPr>
              <w:t>Trading</w:t>
            </w:r>
            <w:r w:rsidRPr="00EC20A0">
              <w:rPr>
                <w:b/>
                <w:spacing w:val="-3"/>
                <w:sz w:val="18"/>
                <w:u w:val="single"/>
              </w:rPr>
              <w:t xml:space="preserve"> </w:t>
            </w:r>
            <w:r w:rsidRPr="00EC20A0">
              <w:rPr>
                <w:b/>
                <w:sz w:val="18"/>
                <w:u w:val="single"/>
              </w:rPr>
              <w:t>Partner</w:t>
            </w:r>
            <w:r w:rsidRPr="00EC20A0">
              <w:rPr>
                <w:b/>
                <w:spacing w:val="-2"/>
                <w:sz w:val="18"/>
                <w:u w:val="single"/>
              </w:rPr>
              <w:t xml:space="preserve"> </w:t>
            </w:r>
            <w:r w:rsidRPr="00EC20A0">
              <w:rPr>
                <w:b/>
                <w:spacing w:val="-10"/>
                <w:sz w:val="18"/>
                <w:u w:val="single"/>
              </w:rPr>
              <w:t>1</w:t>
            </w:r>
          </w:p>
          <w:p w14:paraId="24D618AA" w14:textId="77777777" w:rsidR="00245300" w:rsidRPr="00EC20A0" w:rsidRDefault="00245300">
            <w:pPr>
              <w:pStyle w:val="TableParagraph"/>
              <w:spacing w:before="31"/>
              <w:rPr>
                <w:sz w:val="18"/>
              </w:rPr>
            </w:pPr>
          </w:p>
          <w:p w14:paraId="24D618AB" w14:textId="77777777" w:rsidR="00245300" w:rsidRPr="00EC20A0" w:rsidRDefault="00F17249">
            <w:pPr>
              <w:pStyle w:val="TableParagraph"/>
              <w:ind w:left="103"/>
              <w:rPr>
                <w:sz w:val="18"/>
              </w:rPr>
            </w:pPr>
            <w:r w:rsidRPr="00EC20A0">
              <w:rPr>
                <w:sz w:val="18"/>
              </w:rPr>
              <w:t>Intragovernmental funds received for each revenue, FY 20XX, From Trading Partner 2 (General Ledger before adjustment)</w:t>
            </w:r>
            <w:r w:rsidRPr="00EC20A0">
              <w:rPr>
                <w:spacing w:val="-23"/>
                <w:sz w:val="18"/>
              </w:rPr>
              <w:t xml:space="preserve"> </w:t>
            </w:r>
            <w:r w:rsidRPr="00EC20A0">
              <w:rPr>
                <w:sz w:val="18"/>
              </w:rPr>
              <w:t>.........................................................................</w:t>
            </w:r>
          </w:p>
        </w:tc>
        <w:tc>
          <w:tcPr>
            <w:tcW w:w="1141" w:type="dxa"/>
          </w:tcPr>
          <w:p w14:paraId="24D618AC" w14:textId="77777777" w:rsidR="00245300" w:rsidRPr="00EC20A0" w:rsidRDefault="00245300">
            <w:pPr>
              <w:pStyle w:val="TableParagraph"/>
              <w:rPr>
                <w:sz w:val="18"/>
              </w:rPr>
            </w:pPr>
          </w:p>
          <w:p w14:paraId="24D618AD" w14:textId="77777777" w:rsidR="00245300" w:rsidRPr="00EC20A0" w:rsidRDefault="00245300">
            <w:pPr>
              <w:pStyle w:val="TableParagraph"/>
              <w:rPr>
                <w:sz w:val="18"/>
              </w:rPr>
            </w:pPr>
          </w:p>
          <w:p w14:paraId="24D618AE" w14:textId="77777777" w:rsidR="00245300" w:rsidRPr="00EC20A0" w:rsidRDefault="00245300">
            <w:pPr>
              <w:pStyle w:val="TableParagraph"/>
              <w:rPr>
                <w:sz w:val="18"/>
              </w:rPr>
            </w:pPr>
          </w:p>
          <w:p w14:paraId="24D618AF" w14:textId="77777777" w:rsidR="00245300" w:rsidRPr="00EC20A0" w:rsidRDefault="00245300">
            <w:pPr>
              <w:pStyle w:val="TableParagraph"/>
              <w:spacing w:before="149"/>
              <w:rPr>
                <w:sz w:val="18"/>
              </w:rPr>
            </w:pPr>
          </w:p>
          <w:p w14:paraId="24D618B0" w14:textId="77777777" w:rsidR="00245300" w:rsidRPr="00EC20A0" w:rsidRDefault="00F17249">
            <w:pPr>
              <w:pStyle w:val="TableParagraph"/>
              <w:ind w:right="161"/>
              <w:jc w:val="right"/>
              <w:rPr>
                <w:sz w:val="18"/>
              </w:rPr>
            </w:pPr>
            <w:r w:rsidRPr="00EC20A0">
              <w:rPr>
                <w:spacing w:val="-2"/>
                <w:sz w:val="18"/>
              </w:rPr>
              <w:t>$200,000</w:t>
            </w:r>
          </w:p>
        </w:tc>
        <w:tc>
          <w:tcPr>
            <w:tcW w:w="3422" w:type="dxa"/>
            <w:tcBorders>
              <w:right w:val="single" w:sz="4" w:space="0" w:color="000000"/>
            </w:tcBorders>
          </w:tcPr>
          <w:p w14:paraId="24D618B1" w14:textId="77777777" w:rsidR="00245300" w:rsidRPr="00EC20A0" w:rsidRDefault="00245300">
            <w:pPr>
              <w:pStyle w:val="TableParagraph"/>
              <w:rPr>
                <w:sz w:val="18"/>
              </w:rPr>
            </w:pPr>
          </w:p>
        </w:tc>
      </w:tr>
      <w:tr w:rsidR="00245300" w:rsidRPr="00EC20A0" w14:paraId="24D618B6" w14:textId="77777777">
        <w:trPr>
          <w:trHeight w:hRule="exact" w:val="446"/>
        </w:trPr>
        <w:tc>
          <w:tcPr>
            <w:tcW w:w="4797" w:type="dxa"/>
            <w:tcBorders>
              <w:left w:val="single" w:sz="4" w:space="0" w:color="000000"/>
            </w:tcBorders>
          </w:tcPr>
          <w:p w14:paraId="24D618B3" w14:textId="77777777" w:rsidR="00245300" w:rsidRPr="00EC20A0" w:rsidRDefault="00F17249">
            <w:pPr>
              <w:pStyle w:val="TableParagraph"/>
              <w:spacing w:before="117"/>
              <w:ind w:left="102"/>
              <w:rPr>
                <w:sz w:val="18"/>
              </w:rPr>
            </w:pPr>
            <w:r w:rsidRPr="00EC20A0">
              <w:rPr>
                <w:sz w:val="18"/>
              </w:rPr>
              <w:t>Less</w:t>
            </w:r>
            <w:r w:rsidRPr="00EC20A0">
              <w:rPr>
                <w:spacing w:val="-3"/>
                <w:sz w:val="18"/>
              </w:rPr>
              <w:t xml:space="preserve"> </w:t>
            </w:r>
            <w:r w:rsidRPr="00EC20A0">
              <w:rPr>
                <w:sz w:val="18"/>
              </w:rPr>
              <w:t>adjustment</w:t>
            </w:r>
            <w:r w:rsidRPr="00EC20A0">
              <w:rPr>
                <w:spacing w:val="-3"/>
                <w:sz w:val="18"/>
              </w:rPr>
              <w:t xml:space="preserve"> </w:t>
            </w:r>
            <w:r w:rsidRPr="00EC20A0">
              <w:rPr>
                <w:sz w:val="18"/>
              </w:rPr>
              <w:t>for</w:t>
            </w:r>
            <w:r w:rsidRPr="00EC20A0">
              <w:rPr>
                <w:spacing w:val="-2"/>
                <w:sz w:val="18"/>
              </w:rPr>
              <w:t xml:space="preserve"> </w:t>
            </w:r>
            <w:r w:rsidRPr="00EC20A0">
              <w:rPr>
                <w:sz w:val="18"/>
              </w:rPr>
              <w:t>timing</w:t>
            </w:r>
            <w:r w:rsidRPr="00EC20A0">
              <w:rPr>
                <w:spacing w:val="-3"/>
                <w:sz w:val="18"/>
              </w:rPr>
              <w:t xml:space="preserve"> </w:t>
            </w:r>
            <w:r w:rsidRPr="00EC20A0">
              <w:rPr>
                <w:spacing w:val="-2"/>
                <w:sz w:val="18"/>
              </w:rPr>
              <w:t>difference</w:t>
            </w:r>
          </w:p>
        </w:tc>
        <w:tc>
          <w:tcPr>
            <w:tcW w:w="1141" w:type="dxa"/>
          </w:tcPr>
          <w:p w14:paraId="24D618B4" w14:textId="77777777" w:rsidR="00245300" w:rsidRPr="00EC20A0" w:rsidRDefault="00245300">
            <w:pPr>
              <w:pStyle w:val="TableParagraph"/>
              <w:rPr>
                <w:sz w:val="18"/>
              </w:rPr>
            </w:pPr>
          </w:p>
        </w:tc>
        <w:tc>
          <w:tcPr>
            <w:tcW w:w="3422" w:type="dxa"/>
            <w:tcBorders>
              <w:right w:val="single" w:sz="4" w:space="0" w:color="000000"/>
            </w:tcBorders>
          </w:tcPr>
          <w:p w14:paraId="24D618B5" w14:textId="77777777" w:rsidR="00245300" w:rsidRPr="00EC20A0" w:rsidRDefault="00245300">
            <w:pPr>
              <w:pStyle w:val="TableParagraph"/>
              <w:rPr>
                <w:sz w:val="18"/>
              </w:rPr>
            </w:pPr>
          </w:p>
        </w:tc>
      </w:tr>
      <w:tr w:rsidR="00245300" w:rsidRPr="00EC20A0" w14:paraId="24D618BC" w14:textId="77777777">
        <w:trPr>
          <w:trHeight w:hRule="exact" w:val="653"/>
        </w:trPr>
        <w:tc>
          <w:tcPr>
            <w:tcW w:w="4797" w:type="dxa"/>
            <w:tcBorders>
              <w:left w:val="single" w:sz="4" w:space="0" w:color="000000"/>
            </w:tcBorders>
          </w:tcPr>
          <w:p w14:paraId="24D618B7" w14:textId="77777777" w:rsidR="00245300" w:rsidRPr="00EC20A0" w:rsidRDefault="00F17249">
            <w:pPr>
              <w:pStyle w:val="TableParagraph"/>
              <w:spacing w:before="116"/>
              <w:ind w:left="645"/>
              <w:rPr>
                <w:sz w:val="18"/>
              </w:rPr>
            </w:pPr>
            <w:r w:rsidRPr="00EC20A0">
              <w:rPr>
                <w:sz w:val="18"/>
              </w:rPr>
              <w:t>Funds</w:t>
            </w:r>
            <w:r w:rsidRPr="00EC20A0">
              <w:rPr>
                <w:spacing w:val="-3"/>
                <w:sz w:val="18"/>
              </w:rPr>
              <w:t xml:space="preserve"> </w:t>
            </w:r>
            <w:r w:rsidRPr="00EC20A0">
              <w:rPr>
                <w:sz w:val="18"/>
              </w:rPr>
              <w:t>received</w:t>
            </w:r>
            <w:r w:rsidRPr="00EC20A0">
              <w:rPr>
                <w:spacing w:val="-3"/>
                <w:sz w:val="18"/>
              </w:rPr>
              <w:t xml:space="preserve"> </w:t>
            </w:r>
            <w:r w:rsidRPr="00EC20A0">
              <w:rPr>
                <w:sz w:val="18"/>
              </w:rPr>
              <w:t>but</w:t>
            </w:r>
            <w:r w:rsidRPr="00EC20A0">
              <w:rPr>
                <w:spacing w:val="-3"/>
                <w:sz w:val="18"/>
              </w:rPr>
              <w:t xml:space="preserve"> </w:t>
            </w:r>
            <w:r w:rsidRPr="00EC20A0">
              <w:rPr>
                <w:sz w:val="18"/>
              </w:rPr>
              <w:t>revenue</w:t>
            </w:r>
            <w:r w:rsidRPr="00EC20A0">
              <w:rPr>
                <w:spacing w:val="-2"/>
                <w:sz w:val="18"/>
              </w:rPr>
              <w:t xml:space="preserve"> </w:t>
            </w:r>
            <w:r w:rsidRPr="00EC20A0">
              <w:rPr>
                <w:sz w:val="18"/>
              </w:rPr>
              <w:t>unearned</w:t>
            </w:r>
            <w:r w:rsidRPr="00EC20A0">
              <w:rPr>
                <w:spacing w:val="-3"/>
                <w:sz w:val="18"/>
              </w:rPr>
              <w:t xml:space="preserve"> </w:t>
            </w:r>
            <w:r w:rsidRPr="00EC20A0">
              <w:rPr>
                <w:sz w:val="18"/>
              </w:rPr>
              <w:t>at</w:t>
            </w:r>
            <w:r w:rsidRPr="00EC20A0">
              <w:rPr>
                <w:spacing w:val="-2"/>
                <w:sz w:val="18"/>
              </w:rPr>
              <w:t xml:space="preserve"> </w:t>
            </w:r>
            <w:r w:rsidRPr="00EC20A0">
              <w:rPr>
                <w:spacing w:val="-5"/>
                <w:sz w:val="18"/>
              </w:rPr>
              <w:t>end</w:t>
            </w:r>
          </w:p>
          <w:p w14:paraId="24D618B8" w14:textId="77777777" w:rsidR="00245300" w:rsidRPr="00EC20A0" w:rsidRDefault="00F17249">
            <w:pPr>
              <w:pStyle w:val="TableParagraph"/>
              <w:spacing w:before="2"/>
              <w:ind w:left="645"/>
              <w:rPr>
                <w:sz w:val="18"/>
              </w:rPr>
            </w:pPr>
            <w:r w:rsidRPr="00EC20A0">
              <w:rPr>
                <w:sz w:val="18"/>
              </w:rPr>
              <w:t>of</w:t>
            </w:r>
            <w:r w:rsidRPr="00EC20A0">
              <w:rPr>
                <w:spacing w:val="-5"/>
                <w:sz w:val="18"/>
              </w:rPr>
              <w:t xml:space="preserve"> </w:t>
            </w:r>
            <w:r w:rsidRPr="00EC20A0">
              <w:rPr>
                <w:sz w:val="18"/>
              </w:rPr>
              <w:t>the</w:t>
            </w:r>
            <w:r w:rsidRPr="00EC20A0">
              <w:rPr>
                <w:spacing w:val="-3"/>
                <w:sz w:val="18"/>
              </w:rPr>
              <w:t xml:space="preserve"> </w:t>
            </w:r>
            <w:r w:rsidRPr="00EC20A0">
              <w:rPr>
                <w:sz w:val="18"/>
              </w:rPr>
              <w:t>current</w:t>
            </w:r>
            <w:r w:rsidRPr="00EC20A0">
              <w:rPr>
                <w:spacing w:val="-2"/>
                <w:sz w:val="18"/>
              </w:rPr>
              <w:t xml:space="preserve"> </w:t>
            </w:r>
            <w:r w:rsidRPr="00EC20A0">
              <w:rPr>
                <w:sz w:val="18"/>
              </w:rPr>
              <w:t>year</w:t>
            </w:r>
            <w:r w:rsidRPr="00EC20A0">
              <w:rPr>
                <w:spacing w:val="-26"/>
                <w:sz w:val="18"/>
              </w:rPr>
              <w:t xml:space="preserve"> </w:t>
            </w:r>
            <w:r w:rsidRPr="00EC20A0">
              <w:rPr>
                <w:spacing w:val="-2"/>
                <w:sz w:val="18"/>
              </w:rPr>
              <w:t>....................................................</w:t>
            </w:r>
          </w:p>
        </w:tc>
        <w:tc>
          <w:tcPr>
            <w:tcW w:w="1141" w:type="dxa"/>
          </w:tcPr>
          <w:p w14:paraId="24D618B9" w14:textId="77777777" w:rsidR="00245300" w:rsidRPr="00EC20A0" w:rsidRDefault="00245300">
            <w:pPr>
              <w:pStyle w:val="TableParagraph"/>
              <w:spacing w:before="117"/>
              <w:rPr>
                <w:sz w:val="18"/>
              </w:rPr>
            </w:pPr>
          </w:p>
          <w:p w14:paraId="24D618BA" w14:textId="77777777" w:rsidR="00245300" w:rsidRPr="00EC20A0" w:rsidRDefault="00F17249">
            <w:pPr>
              <w:pStyle w:val="TableParagraph"/>
              <w:spacing w:before="1"/>
              <w:ind w:right="162"/>
              <w:jc w:val="right"/>
              <w:rPr>
                <w:sz w:val="18"/>
              </w:rPr>
            </w:pPr>
            <w:r w:rsidRPr="00EC20A0">
              <w:rPr>
                <w:noProof/>
              </w:rPr>
              <mc:AlternateContent>
                <mc:Choice Requires="wpg">
                  <w:drawing>
                    <wp:anchor distT="0" distB="0" distL="0" distR="0" simplePos="0" relativeHeight="475364352" behindDoc="1" locked="0" layoutInCell="1" allowOverlap="1" wp14:anchorId="24D62C97" wp14:editId="24D62C98">
                      <wp:simplePos x="0" y="0"/>
                      <wp:positionH relativeFrom="column">
                        <wp:posOffset>724533</wp:posOffset>
                      </wp:positionH>
                      <wp:positionV relativeFrom="paragraph">
                        <wp:posOffset>12746</wp:posOffset>
                      </wp:positionV>
                      <wp:extent cx="451484" cy="4565015"/>
                      <wp:effectExtent l="0" t="0" r="0" b="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4565015"/>
                                <a:chOff x="0" y="0"/>
                                <a:chExt cx="451484" cy="4565015"/>
                              </a:xfrm>
                            </wpg:grpSpPr>
                            <wps:wsp>
                              <wps:cNvPr id="800" name="Graphic 800"/>
                              <wps:cNvSpPr/>
                              <wps:spPr>
                                <a:xfrm>
                                  <a:off x="199237" y="4539612"/>
                                  <a:ext cx="247650" cy="1270"/>
                                </a:xfrm>
                                <a:custGeom>
                                  <a:avLst/>
                                  <a:gdLst/>
                                  <a:ahLst/>
                                  <a:cxnLst/>
                                  <a:rect l="l" t="t" r="r" b="b"/>
                                  <a:pathLst>
                                    <a:path w="247650">
                                      <a:moveTo>
                                        <a:pt x="247167"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1" name="Graphic 801"/>
                              <wps:cNvSpPr/>
                              <wps:spPr>
                                <a:xfrm>
                                  <a:off x="135742" y="4514215"/>
                                  <a:ext cx="76200" cy="50800"/>
                                </a:xfrm>
                                <a:custGeom>
                                  <a:avLst/>
                                  <a:gdLst/>
                                  <a:ahLst/>
                                  <a:cxnLst/>
                                  <a:rect l="l" t="t" r="r" b="b"/>
                                  <a:pathLst>
                                    <a:path w="76200" h="50800">
                                      <a:moveTo>
                                        <a:pt x="76200" y="0"/>
                                      </a:moveTo>
                                      <a:lnTo>
                                        <a:pt x="0" y="25399"/>
                                      </a:lnTo>
                                      <a:lnTo>
                                        <a:pt x="76200" y="50799"/>
                                      </a:lnTo>
                                      <a:lnTo>
                                        <a:pt x="76200" y="0"/>
                                      </a:lnTo>
                                      <a:close/>
                                    </a:path>
                                  </a:pathLst>
                                </a:custGeom>
                                <a:solidFill>
                                  <a:srgbClr val="000000"/>
                                </a:solidFill>
                              </wps:spPr>
                              <wps:bodyPr wrap="square" lIns="0" tIns="0" rIns="0" bIns="0" rtlCol="0">
                                <a:prstTxWarp prst="textNoShape">
                                  <a:avLst/>
                                </a:prstTxWarp>
                                <a:noAutofit/>
                              </wps:bodyPr>
                            </wps:wsp>
                            <wps:wsp>
                              <wps:cNvPr id="802" name="Graphic 802"/>
                              <wps:cNvSpPr/>
                              <wps:spPr>
                                <a:xfrm>
                                  <a:off x="173354" y="25397"/>
                                  <a:ext cx="273050" cy="1270"/>
                                </a:xfrm>
                                <a:custGeom>
                                  <a:avLst/>
                                  <a:gdLst/>
                                  <a:ahLst/>
                                  <a:cxnLst/>
                                  <a:rect l="l" t="t" r="r" b="b"/>
                                  <a:pathLst>
                                    <a:path w="273050">
                                      <a:moveTo>
                                        <a:pt x="273050"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3" name="Graphic 803"/>
                              <wps:cNvSpPr/>
                              <wps:spPr>
                                <a:xfrm>
                                  <a:off x="109853" y="0"/>
                                  <a:ext cx="76200" cy="50800"/>
                                </a:xfrm>
                                <a:custGeom>
                                  <a:avLst/>
                                  <a:gdLst/>
                                  <a:ahLst/>
                                  <a:cxnLst/>
                                  <a:rect l="l" t="t" r="r" b="b"/>
                                  <a:pathLst>
                                    <a:path w="76200" h="50800">
                                      <a:moveTo>
                                        <a:pt x="76200" y="0"/>
                                      </a:moveTo>
                                      <a:lnTo>
                                        <a:pt x="0" y="25400"/>
                                      </a:lnTo>
                                      <a:lnTo>
                                        <a:pt x="76200" y="50800"/>
                                      </a:lnTo>
                                      <a:lnTo>
                                        <a:pt x="76200" y="0"/>
                                      </a:lnTo>
                                      <a:close/>
                                    </a:path>
                                  </a:pathLst>
                                </a:custGeom>
                                <a:solidFill>
                                  <a:srgbClr val="000000"/>
                                </a:solidFill>
                              </wps:spPr>
                              <wps:bodyPr wrap="square" lIns="0" tIns="0" rIns="0" bIns="0" rtlCol="0">
                                <a:prstTxWarp prst="textNoShape">
                                  <a:avLst/>
                                </a:prstTxWarp>
                                <a:noAutofit/>
                              </wps:bodyPr>
                            </wps:wsp>
                            <wps:wsp>
                              <wps:cNvPr id="804" name="Graphic 804"/>
                              <wps:cNvSpPr/>
                              <wps:spPr>
                                <a:xfrm>
                                  <a:off x="446405" y="25397"/>
                                  <a:ext cx="1270" cy="4514215"/>
                                </a:xfrm>
                                <a:custGeom>
                                  <a:avLst/>
                                  <a:gdLst/>
                                  <a:ahLst/>
                                  <a:cxnLst/>
                                  <a:rect l="l" t="t" r="r" b="b"/>
                                  <a:pathLst>
                                    <a:path h="4514215">
                                      <a:moveTo>
                                        <a:pt x="0" y="4514214"/>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05" name="Graphic 805"/>
                              <wps:cNvSpPr/>
                              <wps:spPr>
                                <a:xfrm>
                                  <a:off x="83427" y="3868393"/>
                                  <a:ext cx="175895" cy="1270"/>
                                </a:xfrm>
                                <a:custGeom>
                                  <a:avLst/>
                                  <a:gdLst/>
                                  <a:ahLst/>
                                  <a:cxnLst/>
                                  <a:rect l="l" t="t" r="r" b="b"/>
                                  <a:pathLst>
                                    <a:path w="175895">
                                      <a:moveTo>
                                        <a:pt x="175653"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6" name="Graphic 806"/>
                              <wps:cNvSpPr/>
                              <wps:spPr>
                                <a:xfrm>
                                  <a:off x="19928" y="3842997"/>
                                  <a:ext cx="76200" cy="50800"/>
                                </a:xfrm>
                                <a:custGeom>
                                  <a:avLst/>
                                  <a:gdLst/>
                                  <a:ahLst/>
                                  <a:cxnLst/>
                                  <a:rect l="l" t="t" r="r" b="b"/>
                                  <a:pathLst>
                                    <a:path w="76200" h="50800">
                                      <a:moveTo>
                                        <a:pt x="76200" y="0"/>
                                      </a:moveTo>
                                      <a:lnTo>
                                        <a:pt x="0" y="25400"/>
                                      </a:lnTo>
                                      <a:lnTo>
                                        <a:pt x="76200" y="50800"/>
                                      </a:lnTo>
                                      <a:lnTo>
                                        <a:pt x="76200" y="0"/>
                                      </a:lnTo>
                                      <a:close/>
                                    </a:path>
                                  </a:pathLst>
                                </a:custGeom>
                                <a:solidFill>
                                  <a:srgbClr val="000000"/>
                                </a:solidFill>
                              </wps:spPr>
                              <wps:bodyPr wrap="square" lIns="0" tIns="0" rIns="0" bIns="0" rtlCol="0">
                                <a:prstTxWarp prst="textNoShape">
                                  <a:avLst/>
                                </a:prstTxWarp>
                                <a:noAutofit/>
                              </wps:bodyPr>
                            </wps:wsp>
                            <wps:wsp>
                              <wps:cNvPr id="807" name="Graphic 807"/>
                              <wps:cNvSpPr/>
                              <wps:spPr>
                                <a:xfrm>
                                  <a:off x="63501" y="769593"/>
                                  <a:ext cx="195580" cy="1270"/>
                                </a:xfrm>
                                <a:custGeom>
                                  <a:avLst/>
                                  <a:gdLst/>
                                  <a:ahLst/>
                                  <a:cxnLst/>
                                  <a:rect l="l" t="t" r="r" b="b"/>
                                  <a:pathLst>
                                    <a:path w="195580">
                                      <a:moveTo>
                                        <a:pt x="195579"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08" name="Graphic 808"/>
                              <wps:cNvSpPr/>
                              <wps:spPr>
                                <a:xfrm>
                                  <a:off x="0" y="744197"/>
                                  <a:ext cx="76200" cy="50800"/>
                                </a:xfrm>
                                <a:custGeom>
                                  <a:avLst/>
                                  <a:gdLst/>
                                  <a:ahLst/>
                                  <a:cxnLst/>
                                  <a:rect l="l" t="t" r="r" b="b"/>
                                  <a:pathLst>
                                    <a:path w="76200" h="50800">
                                      <a:moveTo>
                                        <a:pt x="76200" y="0"/>
                                      </a:moveTo>
                                      <a:lnTo>
                                        <a:pt x="0" y="25400"/>
                                      </a:lnTo>
                                      <a:lnTo>
                                        <a:pt x="76200" y="50800"/>
                                      </a:lnTo>
                                      <a:lnTo>
                                        <a:pt x="76200" y="0"/>
                                      </a:lnTo>
                                      <a:close/>
                                    </a:path>
                                  </a:pathLst>
                                </a:custGeom>
                                <a:solidFill>
                                  <a:srgbClr val="000000"/>
                                </a:solidFill>
                              </wps:spPr>
                              <wps:bodyPr wrap="square" lIns="0" tIns="0" rIns="0" bIns="0" rtlCol="0">
                                <a:prstTxWarp prst="textNoShape">
                                  <a:avLst/>
                                </a:prstTxWarp>
                                <a:noAutofit/>
                              </wps:bodyPr>
                            </wps:wsp>
                            <wps:wsp>
                              <wps:cNvPr id="809" name="Graphic 809"/>
                              <wps:cNvSpPr/>
                              <wps:spPr>
                                <a:xfrm>
                                  <a:off x="259081" y="769593"/>
                                  <a:ext cx="1270" cy="3098800"/>
                                </a:xfrm>
                                <a:custGeom>
                                  <a:avLst/>
                                  <a:gdLst/>
                                  <a:ahLst/>
                                  <a:cxnLst/>
                                  <a:rect l="l" t="t" r="r" b="b"/>
                                  <a:pathLst>
                                    <a:path h="3098800">
                                      <a:moveTo>
                                        <a:pt x="0" y="3098799"/>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E8099A" id="Group 799" o:spid="_x0000_s1026" style="position:absolute;margin-left:57.05pt;margin-top:1pt;width:35.55pt;height:359.45pt;z-index:-27952128;mso-wrap-distance-left:0;mso-wrap-distance-right:0" coordsize="4514,4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">
                      <v:shape id="Graphic 800" o:spid="_x0000_s1027" style="position:absolute;left:1992;top:45396;width:2476;height:12;visibility:visible;mso-wrap-style:square;v-text-anchor:top" coordsize="247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" path="m247167,l,e" filled="f" strokeweight=".5pt">
                        <v:path arrowok="t"/>
                      </v:shape>
                      <v:shape id="Graphic 801" o:spid="_x0000_s1028" style="position:absolute;left:1357;top:45142;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" path="m76200,l,25399,76200,50799,76200,xe" fillcolor="black" stroked="f">
                        <v:path arrowok="t"/>
                      </v:shape>
                      <v:shape id="Graphic 802" o:spid="_x0000_s1029" style="position:absolute;left:1733;top:253;width:2731;height:13;visibility:visible;mso-wrap-style:square;v-text-anchor:top" coordsize="273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" path="m273050,l,e" filled="f" strokeweight=".5pt">
                        <v:path arrowok="t"/>
                      </v:shape>
                      <v:shape id="Graphic 803" o:spid="_x0000_s1030" style="position:absolute;left:1098;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" path="m76200,l,25400,76200,50800,76200,xe" fillcolor="black" stroked="f">
                        <v:path arrowok="t"/>
                      </v:shape>
                      <v:shape id="Graphic 804" o:spid="_x0000_s1031" style="position:absolute;left:4464;top:253;width:12;height:45143;visibility:visible;mso-wrap-style:square;v-text-anchor:top" coordsize="1270,45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" path="m,4514214l,e" filled="f">
                        <v:path arrowok="t"/>
                      </v:shape>
                      <v:shape id="Graphic 805" o:spid="_x0000_s1032" style="position:absolute;left:834;top:38683;width:1759;height:13;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" path="m175653,l,e" filled="f" strokeweight=".5pt">
                        <v:path arrowok="t"/>
                      </v:shape>
                      <v:shape id="Graphic 806" o:spid="_x0000_s1033" style="position:absolute;left:199;top:38429;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" path="m76200,l,25400,76200,50800,76200,xe" fillcolor="black" stroked="f">
                        <v:path arrowok="t"/>
                      </v:shape>
                      <v:shape id="Graphic 807" o:spid="_x0000_s1034" style="position:absolute;left:635;top:7695;width:1955;height:13;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" path="m195579,l,e" filled="f" strokeweight=".5pt">
                        <v:path arrowok="t"/>
                      </v:shape>
                      <v:shape id="Graphic 808" o:spid="_x0000_s1035" style="position:absolute;top:7441;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" path="m76200,l,25400,76200,50800,76200,xe" fillcolor="black" stroked="f">
                        <v:path arrowok="t"/>
                      </v:shape>
                      <v:shape id="Graphic 809" o:spid="_x0000_s1036" style="position:absolute;left:2590;top:7695;width:13;height:30988;visibility:visible;mso-wrap-style:square;v-text-anchor:top" coordsize="127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" path="m,3098799l,e" filled="f">
                        <v:path arrowok="t"/>
                      </v:shape>
                    </v:group>
                  </w:pict>
                </mc:Fallback>
              </mc:AlternateContent>
            </w:r>
            <w:r w:rsidRPr="00EC20A0">
              <w:rPr>
                <w:spacing w:val="-2"/>
                <w:sz w:val="18"/>
              </w:rPr>
              <w:t>(20,000)</w:t>
            </w:r>
          </w:p>
        </w:tc>
        <w:tc>
          <w:tcPr>
            <w:tcW w:w="3422" w:type="dxa"/>
            <w:tcBorders>
              <w:right w:val="single" w:sz="4" w:space="0" w:color="000000"/>
            </w:tcBorders>
          </w:tcPr>
          <w:p w14:paraId="24D618BB" w14:textId="77777777" w:rsidR="00245300" w:rsidRPr="00EC20A0" w:rsidRDefault="00245300">
            <w:pPr>
              <w:pStyle w:val="TableParagraph"/>
              <w:rPr>
                <w:sz w:val="18"/>
              </w:rPr>
            </w:pPr>
          </w:p>
        </w:tc>
      </w:tr>
      <w:tr w:rsidR="00245300" w:rsidRPr="00EC20A0" w14:paraId="24D618C0" w14:textId="77777777">
        <w:trPr>
          <w:trHeight w:hRule="exact" w:val="446"/>
        </w:trPr>
        <w:tc>
          <w:tcPr>
            <w:tcW w:w="4797" w:type="dxa"/>
            <w:tcBorders>
              <w:left w:val="single" w:sz="4" w:space="0" w:color="000000"/>
            </w:tcBorders>
          </w:tcPr>
          <w:p w14:paraId="24D618BD" w14:textId="77777777" w:rsidR="00245300" w:rsidRPr="00EC20A0" w:rsidRDefault="00F17249">
            <w:pPr>
              <w:pStyle w:val="TableParagraph"/>
              <w:spacing w:before="117"/>
              <w:ind w:left="102"/>
              <w:rPr>
                <w:sz w:val="18"/>
              </w:rPr>
            </w:pPr>
            <w:r w:rsidRPr="00EC20A0">
              <w:rPr>
                <w:sz w:val="18"/>
              </w:rPr>
              <w:t>Add</w:t>
            </w:r>
            <w:r w:rsidRPr="00EC20A0">
              <w:rPr>
                <w:spacing w:val="-4"/>
                <w:sz w:val="18"/>
              </w:rPr>
              <w:t xml:space="preserve"> </w:t>
            </w:r>
            <w:r w:rsidRPr="00EC20A0">
              <w:rPr>
                <w:sz w:val="18"/>
              </w:rPr>
              <w:t>adjustment</w:t>
            </w:r>
            <w:r w:rsidRPr="00EC20A0">
              <w:rPr>
                <w:spacing w:val="-2"/>
                <w:sz w:val="18"/>
              </w:rPr>
              <w:t xml:space="preserve"> </w:t>
            </w:r>
            <w:r w:rsidRPr="00EC20A0">
              <w:rPr>
                <w:sz w:val="18"/>
              </w:rPr>
              <w:t>for</w:t>
            </w:r>
            <w:r w:rsidRPr="00EC20A0">
              <w:rPr>
                <w:spacing w:val="-2"/>
                <w:sz w:val="18"/>
              </w:rPr>
              <w:t xml:space="preserve"> </w:t>
            </w:r>
            <w:r w:rsidRPr="00EC20A0">
              <w:rPr>
                <w:sz w:val="18"/>
              </w:rPr>
              <w:t>timing</w:t>
            </w:r>
            <w:r w:rsidRPr="00EC20A0">
              <w:rPr>
                <w:spacing w:val="-3"/>
                <w:sz w:val="18"/>
              </w:rPr>
              <w:t xml:space="preserve"> </w:t>
            </w:r>
            <w:r w:rsidRPr="00EC20A0">
              <w:rPr>
                <w:spacing w:val="-2"/>
                <w:sz w:val="18"/>
              </w:rPr>
              <w:t>difference</w:t>
            </w:r>
          </w:p>
        </w:tc>
        <w:tc>
          <w:tcPr>
            <w:tcW w:w="1141" w:type="dxa"/>
            <w:vMerge w:val="restart"/>
          </w:tcPr>
          <w:p w14:paraId="24D618BE" w14:textId="77777777" w:rsidR="00245300" w:rsidRPr="00EC20A0" w:rsidRDefault="00245300">
            <w:pPr>
              <w:pStyle w:val="TableParagraph"/>
              <w:rPr>
                <w:sz w:val="18"/>
              </w:rPr>
            </w:pPr>
          </w:p>
        </w:tc>
        <w:tc>
          <w:tcPr>
            <w:tcW w:w="3422" w:type="dxa"/>
            <w:vMerge w:val="restart"/>
            <w:tcBorders>
              <w:right w:val="single" w:sz="4" w:space="0" w:color="000000"/>
            </w:tcBorders>
          </w:tcPr>
          <w:p w14:paraId="24D618BF" w14:textId="77777777" w:rsidR="00245300" w:rsidRPr="00EC20A0" w:rsidRDefault="00F17249">
            <w:pPr>
              <w:pStyle w:val="TableParagraph"/>
              <w:spacing w:before="116"/>
              <w:ind w:left="935" w:right="555"/>
              <w:jc w:val="both"/>
              <w:rPr>
                <w:i/>
                <w:sz w:val="18"/>
              </w:rPr>
            </w:pPr>
            <w:r w:rsidRPr="00EC20A0">
              <w:rPr>
                <w:i/>
                <w:sz w:val="18"/>
              </w:rPr>
              <w:t>The</w:t>
            </w:r>
            <w:r w:rsidRPr="00EC20A0">
              <w:rPr>
                <w:i/>
                <w:spacing w:val="-2"/>
                <w:sz w:val="18"/>
              </w:rPr>
              <w:t xml:space="preserve"> </w:t>
            </w:r>
            <w:r w:rsidRPr="00EC20A0">
              <w:rPr>
                <w:i/>
                <w:sz w:val="18"/>
              </w:rPr>
              <w:t>contra</w:t>
            </w:r>
            <w:r w:rsidRPr="00EC20A0">
              <w:rPr>
                <w:i/>
                <w:spacing w:val="-2"/>
                <w:sz w:val="18"/>
              </w:rPr>
              <w:t xml:space="preserve"> </w:t>
            </w:r>
            <w:r w:rsidRPr="00EC20A0">
              <w:rPr>
                <w:i/>
                <w:sz w:val="18"/>
              </w:rPr>
              <w:t>accounts</w:t>
            </w:r>
            <w:r w:rsidRPr="00EC20A0">
              <w:rPr>
                <w:i/>
                <w:spacing w:val="-1"/>
                <w:sz w:val="18"/>
              </w:rPr>
              <w:t xml:space="preserve"> </w:t>
            </w:r>
            <w:r w:rsidRPr="00EC20A0">
              <w:rPr>
                <w:i/>
                <w:sz w:val="18"/>
              </w:rPr>
              <w:t>for timing</w:t>
            </w:r>
            <w:r w:rsidRPr="00EC20A0">
              <w:rPr>
                <w:i/>
                <w:spacing w:val="-12"/>
                <w:sz w:val="18"/>
              </w:rPr>
              <w:t xml:space="preserve"> </w:t>
            </w:r>
            <w:r w:rsidRPr="00EC20A0">
              <w:rPr>
                <w:i/>
                <w:sz w:val="18"/>
              </w:rPr>
              <w:t>items</w:t>
            </w:r>
            <w:r w:rsidRPr="00EC20A0">
              <w:rPr>
                <w:i/>
                <w:spacing w:val="-11"/>
                <w:sz w:val="18"/>
              </w:rPr>
              <w:t xml:space="preserve"> </w:t>
            </w:r>
            <w:r w:rsidRPr="00EC20A0">
              <w:rPr>
                <w:i/>
                <w:sz w:val="18"/>
              </w:rPr>
              <w:t>should</w:t>
            </w:r>
            <w:r w:rsidRPr="00EC20A0">
              <w:rPr>
                <w:i/>
                <w:spacing w:val="-12"/>
                <w:sz w:val="18"/>
              </w:rPr>
              <w:t xml:space="preserve"> </w:t>
            </w:r>
            <w:r w:rsidRPr="00EC20A0">
              <w:rPr>
                <w:i/>
                <w:sz w:val="18"/>
              </w:rPr>
              <w:t xml:space="preserve">also </w:t>
            </w:r>
            <w:r w:rsidRPr="00EC20A0">
              <w:rPr>
                <w:i/>
                <w:spacing w:val="-2"/>
                <w:sz w:val="18"/>
              </w:rPr>
              <w:t>reconcile.</w:t>
            </w:r>
          </w:p>
        </w:tc>
      </w:tr>
      <w:tr w:rsidR="00245300" w:rsidRPr="00EC20A0" w14:paraId="24D618C5" w14:textId="77777777">
        <w:trPr>
          <w:trHeight w:hRule="exact" w:val="311"/>
        </w:trPr>
        <w:tc>
          <w:tcPr>
            <w:tcW w:w="4797" w:type="dxa"/>
            <w:vMerge w:val="restart"/>
            <w:tcBorders>
              <w:left w:val="single" w:sz="4" w:space="0" w:color="000000"/>
            </w:tcBorders>
          </w:tcPr>
          <w:p w14:paraId="24D618C1" w14:textId="77777777" w:rsidR="00245300" w:rsidRPr="00EC20A0" w:rsidRDefault="00F17249">
            <w:pPr>
              <w:pStyle w:val="TableParagraph"/>
              <w:spacing w:before="116"/>
              <w:ind w:left="645"/>
              <w:rPr>
                <w:sz w:val="18"/>
              </w:rPr>
            </w:pPr>
            <w:r w:rsidRPr="00EC20A0">
              <w:rPr>
                <w:sz w:val="18"/>
              </w:rPr>
              <w:t>Earned</w:t>
            </w:r>
            <w:r w:rsidRPr="00EC20A0">
              <w:rPr>
                <w:spacing w:val="-4"/>
                <w:sz w:val="18"/>
              </w:rPr>
              <w:t xml:space="preserve"> </w:t>
            </w:r>
            <w:r w:rsidRPr="00EC20A0">
              <w:rPr>
                <w:sz w:val="18"/>
              </w:rPr>
              <w:t>revenue</w:t>
            </w:r>
            <w:r w:rsidRPr="00EC20A0">
              <w:rPr>
                <w:spacing w:val="-4"/>
                <w:sz w:val="18"/>
              </w:rPr>
              <w:t xml:space="preserve"> </w:t>
            </w:r>
            <w:r w:rsidRPr="00EC20A0">
              <w:rPr>
                <w:sz w:val="18"/>
              </w:rPr>
              <w:t>recognized</w:t>
            </w:r>
            <w:r w:rsidRPr="00EC20A0">
              <w:rPr>
                <w:spacing w:val="-4"/>
                <w:sz w:val="18"/>
              </w:rPr>
              <w:t xml:space="preserve"> </w:t>
            </w:r>
            <w:r w:rsidRPr="00EC20A0">
              <w:rPr>
                <w:sz w:val="18"/>
              </w:rPr>
              <w:t>on</w:t>
            </w:r>
            <w:r w:rsidRPr="00EC20A0">
              <w:rPr>
                <w:spacing w:val="-4"/>
                <w:sz w:val="18"/>
              </w:rPr>
              <w:t xml:space="preserve"> </w:t>
            </w:r>
            <w:r w:rsidRPr="00EC20A0">
              <w:rPr>
                <w:sz w:val="18"/>
              </w:rPr>
              <w:t>unbilled</w:t>
            </w:r>
            <w:r w:rsidRPr="00EC20A0">
              <w:rPr>
                <w:spacing w:val="-3"/>
                <w:sz w:val="18"/>
              </w:rPr>
              <w:t xml:space="preserve"> </w:t>
            </w:r>
            <w:r w:rsidRPr="00EC20A0">
              <w:rPr>
                <w:spacing w:val="-4"/>
                <w:sz w:val="18"/>
              </w:rPr>
              <w:t>work</w:t>
            </w:r>
          </w:p>
          <w:p w14:paraId="24D618C2" w14:textId="77777777" w:rsidR="00245300" w:rsidRPr="00EC20A0" w:rsidRDefault="00F17249">
            <w:pPr>
              <w:pStyle w:val="TableParagraph"/>
              <w:spacing w:before="2" w:line="187" w:lineRule="exact"/>
              <w:ind w:left="645"/>
              <w:rPr>
                <w:sz w:val="18"/>
              </w:rPr>
            </w:pPr>
            <w:r w:rsidRPr="00EC20A0">
              <w:rPr>
                <w:sz w:val="18"/>
              </w:rPr>
              <w:t>at</w:t>
            </w:r>
            <w:r w:rsidRPr="00EC20A0">
              <w:rPr>
                <w:spacing w:val="-3"/>
                <w:sz w:val="18"/>
              </w:rPr>
              <w:t xml:space="preserve"> </w:t>
            </w:r>
            <w:r w:rsidRPr="00EC20A0">
              <w:rPr>
                <w:sz w:val="18"/>
              </w:rPr>
              <w:t>the</w:t>
            </w:r>
            <w:r w:rsidRPr="00EC20A0">
              <w:rPr>
                <w:spacing w:val="-2"/>
                <w:sz w:val="18"/>
              </w:rPr>
              <w:t xml:space="preserve"> </w:t>
            </w:r>
            <w:r w:rsidRPr="00EC20A0">
              <w:rPr>
                <w:sz w:val="18"/>
              </w:rPr>
              <w:t>end</w:t>
            </w:r>
            <w:r w:rsidRPr="00EC20A0">
              <w:rPr>
                <w:spacing w:val="-3"/>
                <w:sz w:val="18"/>
              </w:rPr>
              <w:t xml:space="preserve"> </w:t>
            </w:r>
            <w:r w:rsidRPr="00EC20A0">
              <w:rPr>
                <w:sz w:val="18"/>
              </w:rPr>
              <w:t>of</w:t>
            </w:r>
            <w:r w:rsidRPr="00EC20A0">
              <w:rPr>
                <w:spacing w:val="-1"/>
                <w:sz w:val="18"/>
              </w:rPr>
              <w:t xml:space="preserve"> </w:t>
            </w:r>
            <w:r w:rsidRPr="00EC20A0">
              <w:rPr>
                <w:sz w:val="18"/>
              </w:rPr>
              <w:t>the</w:t>
            </w:r>
            <w:r w:rsidRPr="00EC20A0">
              <w:rPr>
                <w:spacing w:val="-3"/>
                <w:sz w:val="18"/>
              </w:rPr>
              <w:t xml:space="preserve"> </w:t>
            </w:r>
            <w:r w:rsidRPr="00EC20A0">
              <w:rPr>
                <w:sz w:val="18"/>
              </w:rPr>
              <w:t>current</w:t>
            </w:r>
            <w:r w:rsidRPr="00EC20A0">
              <w:rPr>
                <w:spacing w:val="-1"/>
                <w:sz w:val="18"/>
              </w:rPr>
              <w:t xml:space="preserve"> </w:t>
            </w:r>
            <w:r w:rsidRPr="00EC20A0">
              <w:rPr>
                <w:sz w:val="18"/>
              </w:rPr>
              <w:t>year</w:t>
            </w:r>
            <w:r w:rsidRPr="00EC20A0">
              <w:rPr>
                <w:spacing w:val="-20"/>
                <w:sz w:val="18"/>
              </w:rPr>
              <w:t xml:space="preserve"> </w:t>
            </w:r>
            <w:r w:rsidRPr="00EC20A0">
              <w:rPr>
                <w:spacing w:val="-2"/>
                <w:sz w:val="18"/>
              </w:rPr>
              <w:t>...................................</w:t>
            </w:r>
          </w:p>
        </w:tc>
        <w:tc>
          <w:tcPr>
            <w:tcW w:w="1141" w:type="dxa"/>
            <w:vMerge/>
            <w:tcBorders>
              <w:top w:val="nil"/>
            </w:tcBorders>
          </w:tcPr>
          <w:p w14:paraId="24D618C3" w14:textId="77777777" w:rsidR="00245300" w:rsidRPr="00EC20A0" w:rsidRDefault="00245300">
            <w:pPr>
              <w:rPr>
                <w:sz w:val="2"/>
                <w:szCs w:val="2"/>
              </w:rPr>
            </w:pPr>
          </w:p>
        </w:tc>
        <w:tc>
          <w:tcPr>
            <w:tcW w:w="3422" w:type="dxa"/>
            <w:vMerge/>
            <w:tcBorders>
              <w:top w:val="nil"/>
              <w:right w:val="single" w:sz="4" w:space="0" w:color="000000"/>
            </w:tcBorders>
          </w:tcPr>
          <w:p w14:paraId="24D618C4" w14:textId="77777777" w:rsidR="00245300" w:rsidRPr="00EC20A0" w:rsidRDefault="00245300">
            <w:pPr>
              <w:rPr>
                <w:sz w:val="2"/>
                <w:szCs w:val="2"/>
              </w:rPr>
            </w:pPr>
          </w:p>
        </w:tc>
      </w:tr>
      <w:tr w:rsidR="00245300" w:rsidRPr="00EC20A0" w14:paraId="24D618C9" w14:textId="77777777">
        <w:trPr>
          <w:trHeight w:hRule="exact" w:val="220"/>
        </w:trPr>
        <w:tc>
          <w:tcPr>
            <w:tcW w:w="4797" w:type="dxa"/>
            <w:vMerge/>
            <w:tcBorders>
              <w:top w:val="nil"/>
              <w:left w:val="single" w:sz="4" w:space="0" w:color="000000"/>
            </w:tcBorders>
          </w:tcPr>
          <w:p w14:paraId="24D618C6" w14:textId="77777777" w:rsidR="00245300" w:rsidRPr="00EC20A0" w:rsidRDefault="00245300">
            <w:pPr>
              <w:rPr>
                <w:sz w:val="2"/>
                <w:szCs w:val="2"/>
              </w:rPr>
            </w:pPr>
          </w:p>
        </w:tc>
        <w:tc>
          <w:tcPr>
            <w:tcW w:w="1141" w:type="dxa"/>
          </w:tcPr>
          <w:p w14:paraId="24D618C7" w14:textId="77777777" w:rsidR="00245300" w:rsidRPr="00EC20A0" w:rsidRDefault="00F17249">
            <w:pPr>
              <w:pStyle w:val="TableParagraph"/>
              <w:spacing w:before="13" w:line="187" w:lineRule="exact"/>
              <w:ind w:right="161"/>
              <w:jc w:val="right"/>
              <w:rPr>
                <w:sz w:val="18"/>
              </w:rPr>
            </w:pPr>
            <w:r w:rsidRPr="00EC20A0">
              <w:rPr>
                <w:spacing w:val="-2"/>
                <w:sz w:val="18"/>
                <w:u w:val="single"/>
              </w:rPr>
              <w:t>50,000</w:t>
            </w:r>
          </w:p>
        </w:tc>
        <w:tc>
          <w:tcPr>
            <w:tcW w:w="3422" w:type="dxa"/>
            <w:tcBorders>
              <w:right w:val="single" w:sz="4" w:space="0" w:color="000000"/>
            </w:tcBorders>
          </w:tcPr>
          <w:p w14:paraId="24D618C8" w14:textId="77777777" w:rsidR="00245300" w:rsidRPr="00EC20A0" w:rsidRDefault="00245300">
            <w:pPr>
              <w:pStyle w:val="TableParagraph"/>
              <w:rPr>
                <w:sz w:val="8"/>
              </w:rPr>
            </w:pPr>
          </w:p>
        </w:tc>
      </w:tr>
      <w:tr w:rsidR="00245300" w:rsidRPr="00EC20A0" w14:paraId="24D618D3" w14:textId="77777777">
        <w:trPr>
          <w:trHeight w:hRule="exact" w:val="984"/>
        </w:trPr>
        <w:tc>
          <w:tcPr>
            <w:tcW w:w="4797" w:type="dxa"/>
            <w:tcBorders>
              <w:left w:val="single" w:sz="4" w:space="0" w:color="000000"/>
              <w:right w:val="single" w:sz="6" w:space="0" w:color="000000"/>
            </w:tcBorders>
          </w:tcPr>
          <w:p w14:paraId="24D618CA" w14:textId="77777777" w:rsidR="00245300" w:rsidRPr="00EC20A0" w:rsidRDefault="00245300">
            <w:pPr>
              <w:pStyle w:val="TableParagraph"/>
              <w:spacing w:before="31"/>
              <w:rPr>
                <w:sz w:val="18"/>
              </w:rPr>
            </w:pPr>
          </w:p>
          <w:p w14:paraId="24D618CB" w14:textId="77777777" w:rsidR="00245300" w:rsidRPr="00EC20A0" w:rsidRDefault="00F17249">
            <w:pPr>
              <w:pStyle w:val="TableParagraph"/>
              <w:ind w:left="102"/>
              <w:rPr>
                <w:sz w:val="18"/>
              </w:rPr>
            </w:pPr>
            <w:r w:rsidRPr="00EC20A0">
              <w:rPr>
                <w:sz w:val="18"/>
              </w:rPr>
              <w:t>Intragovernmental</w:t>
            </w:r>
            <w:r w:rsidRPr="00EC20A0">
              <w:rPr>
                <w:spacing w:val="-4"/>
                <w:sz w:val="18"/>
              </w:rPr>
              <w:t xml:space="preserve"> </w:t>
            </w:r>
            <w:r w:rsidRPr="00EC20A0">
              <w:rPr>
                <w:sz w:val="18"/>
              </w:rPr>
              <w:t>earned</w:t>
            </w:r>
            <w:r w:rsidRPr="00EC20A0">
              <w:rPr>
                <w:spacing w:val="-4"/>
                <w:sz w:val="18"/>
              </w:rPr>
              <w:t xml:space="preserve"> </w:t>
            </w:r>
            <w:r w:rsidRPr="00EC20A0">
              <w:rPr>
                <w:sz w:val="18"/>
              </w:rPr>
              <w:t>revenue</w:t>
            </w:r>
            <w:r w:rsidRPr="00EC20A0">
              <w:rPr>
                <w:spacing w:val="-4"/>
                <w:sz w:val="18"/>
              </w:rPr>
              <w:t xml:space="preserve"> </w:t>
            </w:r>
            <w:r w:rsidRPr="00EC20A0">
              <w:rPr>
                <w:sz w:val="18"/>
              </w:rPr>
              <w:t>–</w:t>
            </w:r>
            <w:r w:rsidRPr="00EC20A0">
              <w:rPr>
                <w:spacing w:val="-3"/>
                <w:sz w:val="18"/>
              </w:rPr>
              <w:t xml:space="preserve"> </w:t>
            </w:r>
            <w:r w:rsidRPr="00EC20A0">
              <w:rPr>
                <w:sz w:val="18"/>
              </w:rPr>
              <w:t>accrual</w:t>
            </w:r>
            <w:r w:rsidRPr="00EC20A0">
              <w:rPr>
                <w:spacing w:val="-2"/>
                <w:sz w:val="18"/>
              </w:rPr>
              <w:t xml:space="preserve"> basis,</w:t>
            </w:r>
          </w:p>
          <w:p w14:paraId="24D618CC" w14:textId="77777777" w:rsidR="00245300" w:rsidRPr="00EC20A0" w:rsidRDefault="00F17249">
            <w:pPr>
              <w:pStyle w:val="TableParagraph"/>
              <w:ind w:left="102"/>
              <w:rPr>
                <w:sz w:val="18"/>
              </w:rPr>
            </w:pPr>
            <w:r w:rsidRPr="00EC20A0">
              <w:rPr>
                <w:sz w:val="18"/>
              </w:rPr>
              <w:t>FY 20XX, from Trading Partner 2 (General Ledger after adjustment)</w:t>
            </w:r>
            <w:r w:rsidRPr="00EC20A0">
              <w:rPr>
                <w:spacing w:val="23"/>
                <w:sz w:val="18"/>
              </w:rPr>
              <w:t xml:space="preserve"> </w:t>
            </w:r>
            <w:r w:rsidRPr="00EC20A0">
              <w:rPr>
                <w:sz w:val="18"/>
              </w:rPr>
              <w:t>........................................................................</w:t>
            </w:r>
          </w:p>
        </w:tc>
        <w:tc>
          <w:tcPr>
            <w:tcW w:w="1141" w:type="dxa"/>
            <w:tcBorders>
              <w:left w:val="single" w:sz="6" w:space="0" w:color="000000"/>
            </w:tcBorders>
          </w:tcPr>
          <w:p w14:paraId="24D618CD" w14:textId="77777777" w:rsidR="00245300" w:rsidRPr="00EC20A0" w:rsidRDefault="00245300">
            <w:pPr>
              <w:pStyle w:val="TableParagraph"/>
              <w:rPr>
                <w:sz w:val="18"/>
              </w:rPr>
            </w:pPr>
          </w:p>
          <w:p w14:paraId="24D618CE" w14:textId="77777777" w:rsidR="00245300" w:rsidRPr="00EC20A0" w:rsidRDefault="00245300">
            <w:pPr>
              <w:pStyle w:val="TableParagraph"/>
              <w:rPr>
                <w:sz w:val="18"/>
              </w:rPr>
            </w:pPr>
          </w:p>
          <w:p w14:paraId="24D618CF" w14:textId="77777777" w:rsidR="00245300" w:rsidRPr="00EC20A0" w:rsidRDefault="00245300">
            <w:pPr>
              <w:pStyle w:val="TableParagraph"/>
              <w:spacing w:before="32"/>
              <w:rPr>
                <w:sz w:val="18"/>
              </w:rPr>
            </w:pPr>
          </w:p>
          <w:p w14:paraId="24D618D0" w14:textId="77777777" w:rsidR="00245300" w:rsidRPr="00EC20A0" w:rsidRDefault="00F17249">
            <w:pPr>
              <w:pStyle w:val="TableParagraph"/>
              <w:ind w:right="161"/>
              <w:jc w:val="right"/>
              <w:rPr>
                <w:b/>
                <w:sz w:val="18"/>
              </w:rPr>
            </w:pPr>
            <w:r w:rsidRPr="00EC20A0">
              <w:rPr>
                <w:noProof/>
              </w:rPr>
              <mc:AlternateContent>
                <mc:Choice Requires="wpg">
                  <w:drawing>
                    <wp:anchor distT="0" distB="0" distL="0" distR="0" simplePos="0" relativeHeight="475364864" behindDoc="1" locked="0" layoutInCell="1" allowOverlap="1" wp14:anchorId="24D62C99" wp14:editId="24D62C9A">
                      <wp:simplePos x="0" y="0"/>
                      <wp:positionH relativeFrom="column">
                        <wp:posOffset>0</wp:posOffset>
                      </wp:positionH>
                      <wp:positionV relativeFrom="paragraph">
                        <wp:posOffset>10232</wp:posOffset>
                      </wp:positionV>
                      <wp:extent cx="143510" cy="50800"/>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50800"/>
                                <a:chOff x="0" y="0"/>
                                <a:chExt cx="143510" cy="50800"/>
                              </a:xfrm>
                            </wpg:grpSpPr>
                            <wps:wsp>
                              <wps:cNvPr id="811" name="Graphic 811"/>
                              <wps:cNvSpPr/>
                              <wps:spPr>
                                <a:xfrm>
                                  <a:off x="0" y="25403"/>
                                  <a:ext cx="80010" cy="1270"/>
                                </a:xfrm>
                                <a:custGeom>
                                  <a:avLst/>
                                  <a:gdLst/>
                                  <a:ahLst/>
                                  <a:cxnLst/>
                                  <a:rect l="l" t="t" r="r" b="b"/>
                                  <a:pathLst>
                                    <a:path w="80010">
                                      <a:moveTo>
                                        <a:pt x="0" y="0"/>
                                      </a:moveTo>
                                      <a:lnTo>
                                        <a:pt x="79527" y="0"/>
                                      </a:lnTo>
                                    </a:path>
                                  </a:pathLst>
                                </a:custGeom>
                                <a:ln w="6350">
                                  <a:solidFill>
                                    <a:srgbClr val="000000"/>
                                  </a:solidFill>
                                  <a:prstDash val="solid"/>
                                </a:ln>
                              </wps:spPr>
                              <wps:bodyPr wrap="square" lIns="0" tIns="0" rIns="0" bIns="0" rtlCol="0">
                                <a:prstTxWarp prst="textNoShape">
                                  <a:avLst/>
                                </a:prstTxWarp>
                                <a:noAutofit/>
                              </wps:bodyPr>
                            </wps:wsp>
                            <wps:wsp>
                              <wps:cNvPr id="812" name="Graphic 812"/>
                              <wps:cNvSpPr/>
                              <wps:spPr>
                                <a:xfrm>
                                  <a:off x="66822" y="0"/>
                                  <a:ext cx="76200" cy="50800"/>
                                </a:xfrm>
                                <a:custGeom>
                                  <a:avLst/>
                                  <a:gdLst/>
                                  <a:ahLst/>
                                  <a:cxnLst/>
                                  <a:rect l="l" t="t" r="r" b="b"/>
                                  <a:pathLst>
                                    <a:path w="76200" h="50800">
                                      <a:moveTo>
                                        <a:pt x="0" y="0"/>
                                      </a:moveTo>
                                      <a:lnTo>
                                        <a:pt x="0" y="50800"/>
                                      </a:lnTo>
                                      <a:lnTo>
                                        <a:pt x="76200" y="2540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83AC7A" id="Group 810" o:spid="_x0000_s1026" style="position:absolute;margin-left:0;margin-top:.8pt;width:11.3pt;height:4pt;z-index:-27951616;mso-wrap-distance-left:0;mso-wrap-distance-right:0" coordsize="14351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">
                      <v:shape id="Graphic 811" o:spid="_x0000_s1027" style="position:absolute;top:25403;width:80010;height:1270;visibility:visible;mso-wrap-style:square;v-text-anchor:top" coordsize="8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" path="m,l79527,e" filled="f" strokeweight=".5pt">
                        <v:path arrowok="t"/>
                      </v:shape>
                      <v:shape id="Graphic 812" o:spid="_x0000_s1028" style="position:absolute;left:66822;width:76200;height:50800;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" path="m,l,50800,76200,25400,,xe" fillcolor="black" stroked="f">
                        <v:path arrowok="t"/>
                      </v:shape>
                    </v:group>
                  </w:pict>
                </mc:Fallback>
              </mc:AlternateContent>
            </w:r>
            <w:r w:rsidRPr="00EC20A0">
              <w:rPr>
                <w:b/>
                <w:spacing w:val="-2"/>
                <w:sz w:val="18"/>
                <w:u w:val="double"/>
              </w:rPr>
              <w:t>$230,000</w:t>
            </w:r>
          </w:p>
        </w:tc>
        <w:tc>
          <w:tcPr>
            <w:tcW w:w="3422" w:type="dxa"/>
            <w:vMerge w:val="restart"/>
            <w:tcBorders>
              <w:right w:val="single" w:sz="4" w:space="0" w:color="000000"/>
            </w:tcBorders>
          </w:tcPr>
          <w:p w14:paraId="24D618D1" w14:textId="77777777" w:rsidR="00245300" w:rsidRPr="00EC20A0" w:rsidRDefault="00245300">
            <w:pPr>
              <w:pStyle w:val="TableParagraph"/>
              <w:spacing w:before="107"/>
              <w:rPr>
                <w:sz w:val="18"/>
              </w:rPr>
            </w:pPr>
          </w:p>
          <w:p w14:paraId="24D618D2" w14:textId="77777777" w:rsidR="00245300" w:rsidRPr="00EC20A0" w:rsidRDefault="00F17249">
            <w:pPr>
              <w:pStyle w:val="TableParagraph"/>
              <w:ind w:left="935" w:right="90"/>
              <w:rPr>
                <w:i/>
                <w:sz w:val="18"/>
              </w:rPr>
            </w:pPr>
            <w:r w:rsidRPr="00EC20A0">
              <w:rPr>
                <w:i/>
                <w:sz w:val="18"/>
              </w:rPr>
              <w:t>The Seller’s unearned revenue</w:t>
            </w:r>
            <w:r w:rsidRPr="00EC20A0">
              <w:rPr>
                <w:i/>
                <w:spacing w:val="-15"/>
                <w:sz w:val="18"/>
              </w:rPr>
              <w:t xml:space="preserve"> </w:t>
            </w:r>
            <w:r w:rsidRPr="00EC20A0">
              <w:rPr>
                <w:i/>
                <w:sz w:val="18"/>
              </w:rPr>
              <w:t>account</w:t>
            </w:r>
            <w:r w:rsidRPr="00EC20A0">
              <w:rPr>
                <w:i/>
                <w:spacing w:val="-12"/>
                <w:sz w:val="18"/>
              </w:rPr>
              <w:t xml:space="preserve"> </w:t>
            </w:r>
            <w:r w:rsidRPr="00EC20A0">
              <w:rPr>
                <w:i/>
                <w:sz w:val="18"/>
              </w:rPr>
              <w:t xml:space="preserve">(liability) should reconcile with the Buyer’s prepaid (asset) </w:t>
            </w:r>
            <w:r w:rsidRPr="00EC20A0">
              <w:rPr>
                <w:i/>
                <w:spacing w:val="-2"/>
                <w:sz w:val="18"/>
              </w:rPr>
              <w:t>account.</w:t>
            </w:r>
          </w:p>
        </w:tc>
      </w:tr>
      <w:tr w:rsidR="00245300" w:rsidRPr="00EC20A0" w14:paraId="24D618D7" w14:textId="77777777">
        <w:trPr>
          <w:trHeight w:hRule="exact" w:val="859"/>
        </w:trPr>
        <w:tc>
          <w:tcPr>
            <w:tcW w:w="4797" w:type="dxa"/>
            <w:tcBorders>
              <w:left w:val="single" w:sz="4" w:space="0" w:color="000000"/>
              <w:right w:val="single" w:sz="6" w:space="0" w:color="000000"/>
            </w:tcBorders>
          </w:tcPr>
          <w:p w14:paraId="24D618D4" w14:textId="77777777" w:rsidR="00245300" w:rsidRPr="00EC20A0" w:rsidRDefault="00F17249">
            <w:pPr>
              <w:pStyle w:val="TableParagraph"/>
              <w:spacing w:before="115"/>
              <w:ind w:left="645" w:right="247"/>
              <w:rPr>
                <w:i/>
                <w:sz w:val="18"/>
              </w:rPr>
            </w:pPr>
            <w:r w:rsidRPr="00EC20A0">
              <w:rPr>
                <w:i/>
                <w:sz w:val="18"/>
              </w:rPr>
              <w:t>When reconciled, Seller Revenue and Buyer Cost</w:t>
            </w:r>
            <w:r w:rsidRPr="00EC20A0">
              <w:rPr>
                <w:i/>
                <w:spacing w:val="-6"/>
                <w:sz w:val="18"/>
              </w:rPr>
              <w:t xml:space="preserve"> </w:t>
            </w:r>
            <w:r w:rsidRPr="00EC20A0">
              <w:rPr>
                <w:i/>
                <w:sz w:val="18"/>
              </w:rPr>
              <w:t>must</w:t>
            </w:r>
            <w:r w:rsidRPr="00EC20A0">
              <w:rPr>
                <w:i/>
                <w:spacing w:val="-6"/>
                <w:sz w:val="18"/>
              </w:rPr>
              <w:t xml:space="preserve"> </w:t>
            </w:r>
            <w:r w:rsidRPr="00EC20A0">
              <w:rPr>
                <w:i/>
                <w:sz w:val="18"/>
              </w:rPr>
              <w:t>agree</w:t>
            </w:r>
            <w:r w:rsidRPr="00EC20A0">
              <w:rPr>
                <w:i/>
                <w:spacing w:val="-7"/>
                <w:sz w:val="18"/>
              </w:rPr>
              <w:t xml:space="preserve"> </w:t>
            </w:r>
            <w:r w:rsidRPr="00EC20A0">
              <w:rPr>
                <w:i/>
                <w:sz w:val="18"/>
              </w:rPr>
              <w:t>after</w:t>
            </w:r>
            <w:r w:rsidRPr="00EC20A0">
              <w:rPr>
                <w:i/>
                <w:spacing w:val="-6"/>
                <w:sz w:val="18"/>
              </w:rPr>
              <w:t xml:space="preserve"> </w:t>
            </w:r>
            <w:r w:rsidRPr="00EC20A0">
              <w:rPr>
                <w:i/>
                <w:sz w:val="18"/>
              </w:rPr>
              <w:t>adjustments</w:t>
            </w:r>
            <w:r w:rsidRPr="00EC20A0">
              <w:rPr>
                <w:i/>
                <w:spacing w:val="-6"/>
                <w:sz w:val="18"/>
              </w:rPr>
              <w:t xml:space="preserve"> </w:t>
            </w:r>
            <w:r w:rsidRPr="00EC20A0">
              <w:rPr>
                <w:i/>
                <w:sz w:val="18"/>
              </w:rPr>
              <w:t>are</w:t>
            </w:r>
            <w:r w:rsidRPr="00EC20A0">
              <w:rPr>
                <w:i/>
                <w:spacing w:val="-7"/>
                <w:sz w:val="18"/>
              </w:rPr>
              <w:t xml:space="preserve"> </w:t>
            </w:r>
            <w:r w:rsidRPr="00EC20A0">
              <w:rPr>
                <w:i/>
                <w:sz w:val="18"/>
              </w:rPr>
              <w:t>recorded to correct for errors.</w:t>
            </w:r>
          </w:p>
        </w:tc>
        <w:tc>
          <w:tcPr>
            <w:tcW w:w="1141" w:type="dxa"/>
            <w:tcBorders>
              <w:left w:val="single" w:sz="6" w:space="0" w:color="000000"/>
            </w:tcBorders>
          </w:tcPr>
          <w:p w14:paraId="24D618D5" w14:textId="77777777" w:rsidR="00245300" w:rsidRPr="00EC20A0" w:rsidRDefault="00245300">
            <w:pPr>
              <w:pStyle w:val="TableParagraph"/>
              <w:rPr>
                <w:sz w:val="18"/>
              </w:rPr>
            </w:pPr>
          </w:p>
        </w:tc>
        <w:tc>
          <w:tcPr>
            <w:tcW w:w="3422" w:type="dxa"/>
            <w:vMerge/>
            <w:tcBorders>
              <w:top w:val="nil"/>
              <w:right w:val="single" w:sz="4" w:space="0" w:color="000000"/>
            </w:tcBorders>
          </w:tcPr>
          <w:p w14:paraId="24D618D6" w14:textId="77777777" w:rsidR="00245300" w:rsidRPr="00EC20A0" w:rsidRDefault="00245300">
            <w:pPr>
              <w:rPr>
                <w:sz w:val="2"/>
                <w:szCs w:val="2"/>
              </w:rPr>
            </w:pPr>
          </w:p>
        </w:tc>
      </w:tr>
      <w:tr w:rsidR="00245300" w:rsidRPr="00EC20A0" w14:paraId="24D618E1" w14:textId="77777777">
        <w:trPr>
          <w:trHeight w:hRule="exact" w:val="1395"/>
        </w:trPr>
        <w:tc>
          <w:tcPr>
            <w:tcW w:w="4797" w:type="dxa"/>
            <w:tcBorders>
              <w:left w:val="single" w:sz="4" w:space="0" w:color="000000"/>
              <w:right w:val="single" w:sz="6" w:space="0" w:color="000000"/>
            </w:tcBorders>
          </w:tcPr>
          <w:p w14:paraId="24D618D8" w14:textId="77777777" w:rsidR="00245300" w:rsidRPr="00EC20A0" w:rsidRDefault="00F17249">
            <w:pPr>
              <w:pStyle w:val="TableParagraph"/>
              <w:spacing w:before="117"/>
              <w:ind w:left="102"/>
              <w:rPr>
                <w:b/>
                <w:sz w:val="18"/>
              </w:rPr>
            </w:pPr>
            <w:r w:rsidRPr="00EC20A0">
              <w:rPr>
                <w:b/>
                <w:sz w:val="18"/>
                <w:u w:val="single"/>
              </w:rPr>
              <w:t>Buyer</w:t>
            </w:r>
            <w:r w:rsidRPr="00EC20A0">
              <w:rPr>
                <w:b/>
                <w:spacing w:val="-3"/>
                <w:sz w:val="18"/>
                <w:u w:val="single"/>
              </w:rPr>
              <w:t xml:space="preserve"> </w:t>
            </w:r>
            <w:r w:rsidRPr="00EC20A0">
              <w:rPr>
                <w:b/>
                <w:sz w:val="18"/>
                <w:u w:val="single"/>
              </w:rPr>
              <w:t>Entity</w:t>
            </w:r>
            <w:r w:rsidRPr="00EC20A0">
              <w:rPr>
                <w:b/>
                <w:spacing w:val="-3"/>
                <w:sz w:val="18"/>
                <w:u w:val="single"/>
              </w:rPr>
              <w:t xml:space="preserve"> </w:t>
            </w:r>
            <w:r w:rsidRPr="00EC20A0">
              <w:rPr>
                <w:b/>
                <w:sz w:val="18"/>
                <w:u w:val="single"/>
              </w:rPr>
              <w:t>–</w:t>
            </w:r>
            <w:r w:rsidRPr="00EC20A0">
              <w:rPr>
                <w:b/>
                <w:spacing w:val="-2"/>
                <w:sz w:val="18"/>
                <w:u w:val="single"/>
              </w:rPr>
              <w:t xml:space="preserve"> </w:t>
            </w:r>
            <w:r w:rsidRPr="00EC20A0">
              <w:rPr>
                <w:b/>
                <w:sz w:val="18"/>
                <w:u w:val="single"/>
              </w:rPr>
              <w:t>Trading</w:t>
            </w:r>
            <w:r w:rsidRPr="00EC20A0">
              <w:rPr>
                <w:b/>
                <w:spacing w:val="-3"/>
                <w:sz w:val="18"/>
                <w:u w:val="single"/>
              </w:rPr>
              <w:t xml:space="preserve"> </w:t>
            </w:r>
            <w:r w:rsidRPr="00EC20A0">
              <w:rPr>
                <w:b/>
                <w:sz w:val="18"/>
                <w:u w:val="single"/>
              </w:rPr>
              <w:t>Partner</w:t>
            </w:r>
            <w:r w:rsidRPr="00EC20A0">
              <w:rPr>
                <w:b/>
                <w:spacing w:val="-2"/>
                <w:sz w:val="18"/>
                <w:u w:val="single"/>
              </w:rPr>
              <w:t xml:space="preserve"> </w:t>
            </w:r>
            <w:r w:rsidRPr="00EC20A0">
              <w:rPr>
                <w:b/>
                <w:spacing w:val="-10"/>
                <w:sz w:val="18"/>
                <w:u w:val="single"/>
              </w:rPr>
              <w:t>2</w:t>
            </w:r>
          </w:p>
          <w:p w14:paraId="24D618D9" w14:textId="77777777" w:rsidR="00245300" w:rsidRPr="00EC20A0" w:rsidRDefault="00245300">
            <w:pPr>
              <w:pStyle w:val="TableParagraph"/>
              <w:spacing w:before="32"/>
              <w:rPr>
                <w:sz w:val="18"/>
              </w:rPr>
            </w:pPr>
          </w:p>
          <w:p w14:paraId="24D618DA" w14:textId="77777777" w:rsidR="00245300" w:rsidRPr="00EC20A0" w:rsidRDefault="00F17249">
            <w:pPr>
              <w:pStyle w:val="TableParagraph"/>
              <w:ind w:left="103" w:right="28"/>
              <w:rPr>
                <w:sz w:val="18"/>
              </w:rPr>
            </w:pPr>
            <w:r w:rsidRPr="00EC20A0">
              <w:rPr>
                <w:sz w:val="18"/>
              </w:rPr>
              <w:t>Intragovernmental purchases – cash basis, FY 20XX,</w:t>
            </w:r>
            <w:r w:rsidRPr="00EC20A0">
              <w:rPr>
                <w:spacing w:val="40"/>
                <w:sz w:val="18"/>
              </w:rPr>
              <w:t xml:space="preserve"> </w:t>
            </w:r>
            <w:r w:rsidRPr="00EC20A0">
              <w:rPr>
                <w:sz w:val="18"/>
              </w:rPr>
              <w:t>from Trading Partner 1 (General Ledger before adjustment)</w:t>
            </w:r>
            <w:r w:rsidRPr="00EC20A0">
              <w:rPr>
                <w:spacing w:val="-23"/>
                <w:sz w:val="18"/>
              </w:rPr>
              <w:t xml:space="preserve"> </w:t>
            </w:r>
            <w:r w:rsidRPr="00EC20A0">
              <w:rPr>
                <w:sz w:val="18"/>
              </w:rPr>
              <w:t>.........................................................................</w:t>
            </w:r>
          </w:p>
        </w:tc>
        <w:tc>
          <w:tcPr>
            <w:tcW w:w="1141" w:type="dxa"/>
            <w:tcBorders>
              <w:left w:val="single" w:sz="6" w:space="0" w:color="000000"/>
            </w:tcBorders>
          </w:tcPr>
          <w:p w14:paraId="24D618DB" w14:textId="77777777" w:rsidR="00245300" w:rsidRPr="00EC20A0" w:rsidRDefault="00245300">
            <w:pPr>
              <w:pStyle w:val="TableParagraph"/>
              <w:rPr>
                <w:sz w:val="18"/>
              </w:rPr>
            </w:pPr>
          </w:p>
          <w:p w14:paraId="24D618DC" w14:textId="77777777" w:rsidR="00245300" w:rsidRPr="00EC20A0" w:rsidRDefault="00245300">
            <w:pPr>
              <w:pStyle w:val="TableParagraph"/>
              <w:rPr>
                <w:sz w:val="18"/>
              </w:rPr>
            </w:pPr>
          </w:p>
          <w:p w14:paraId="24D618DD" w14:textId="77777777" w:rsidR="00245300" w:rsidRPr="00EC20A0" w:rsidRDefault="00245300">
            <w:pPr>
              <w:pStyle w:val="TableParagraph"/>
              <w:rPr>
                <w:sz w:val="18"/>
              </w:rPr>
            </w:pPr>
          </w:p>
          <w:p w14:paraId="24D618DE" w14:textId="77777777" w:rsidR="00245300" w:rsidRPr="00EC20A0" w:rsidRDefault="00245300">
            <w:pPr>
              <w:pStyle w:val="TableParagraph"/>
              <w:spacing w:before="151"/>
              <w:rPr>
                <w:sz w:val="18"/>
              </w:rPr>
            </w:pPr>
          </w:p>
          <w:p w14:paraId="24D618DF" w14:textId="77777777" w:rsidR="00245300" w:rsidRPr="00EC20A0" w:rsidRDefault="00F17249">
            <w:pPr>
              <w:pStyle w:val="TableParagraph"/>
              <w:ind w:right="161"/>
              <w:jc w:val="right"/>
              <w:rPr>
                <w:sz w:val="18"/>
              </w:rPr>
            </w:pPr>
            <w:r w:rsidRPr="00EC20A0">
              <w:rPr>
                <w:spacing w:val="-2"/>
                <w:sz w:val="18"/>
              </w:rPr>
              <w:t>$190,000</w:t>
            </w:r>
          </w:p>
        </w:tc>
        <w:tc>
          <w:tcPr>
            <w:tcW w:w="3422" w:type="dxa"/>
            <w:tcBorders>
              <w:right w:val="single" w:sz="4" w:space="0" w:color="000000"/>
            </w:tcBorders>
          </w:tcPr>
          <w:p w14:paraId="24D618E0" w14:textId="77777777" w:rsidR="00245300" w:rsidRPr="00EC20A0" w:rsidRDefault="00F17249">
            <w:pPr>
              <w:pStyle w:val="TableParagraph"/>
              <w:spacing w:before="116"/>
              <w:ind w:left="935" w:right="90"/>
              <w:rPr>
                <w:i/>
                <w:sz w:val="18"/>
              </w:rPr>
            </w:pPr>
            <w:r w:rsidRPr="00EC20A0">
              <w:rPr>
                <w:i/>
                <w:sz w:val="18"/>
              </w:rPr>
              <w:t>The Seller’s earned but unbilled receivable (asset) should reconcile with the Buyer’s</w:t>
            </w:r>
            <w:r w:rsidRPr="00EC20A0">
              <w:rPr>
                <w:i/>
                <w:spacing w:val="-12"/>
                <w:sz w:val="18"/>
              </w:rPr>
              <w:t xml:space="preserve"> </w:t>
            </w:r>
            <w:r w:rsidRPr="00EC20A0">
              <w:rPr>
                <w:i/>
                <w:sz w:val="18"/>
              </w:rPr>
              <w:t>accounts</w:t>
            </w:r>
            <w:r w:rsidRPr="00EC20A0">
              <w:rPr>
                <w:i/>
                <w:spacing w:val="-12"/>
                <w:sz w:val="18"/>
              </w:rPr>
              <w:t xml:space="preserve"> </w:t>
            </w:r>
            <w:r w:rsidRPr="00EC20A0">
              <w:rPr>
                <w:i/>
                <w:sz w:val="18"/>
              </w:rPr>
              <w:t>payable</w:t>
            </w:r>
            <w:r w:rsidRPr="00EC20A0">
              <w:rPr>
                <w:i/>
                <w:spacing w:val="-12"/>
                <w:sz w:val="18"/>
              </w:rPr>
              <w:t xml:space="preserve"> </w:t>
            </w:r>
            <w:r w:rsidRPr="00EC20A0">
              <w:rPr>
                <w:i/>
                <w:sz w:val="18"/>
              </w:rPr>
              <w:t xml:space="preserve">for unbilled work (liability) </w:t>
            </w:r>
            <w:r w:rsidRPr="00EC20A0">
              <w:rPr>
                <w:i/>
                <w:spacing w:val="-2"/>
                <w:sz w:val="18"/>
              </w:rPr>
              <w:t>account.</w:t>
            </w:r>
          </w:p>
        </w:tc>
      </w:tr>
      <w:tr w:rsidR="00245300" w:rsidRPr="00EC20A0" w14:paraId="24D618E5" w14:textId="77777777">
        <w:trPr>
          <w:trHeight w:hRule="exact" w:val="359"/>
        </w:trPr>
        <w:tc>
          <w:tcPr>
            <w:tcW w:w="4797" w:type="dxa"/>
            <w:tcBorders>
              <w:left w:val="single" w:sz="4" w:space="0" w:color="000000"/>
              <w:right w:val="single" w:sz="6" w:space="0" w:color="000000"/>
            </w:tcBorders>
          </w:tcPr>
          <w:p w14:paraId="24D618E2" w14:textId="77777777" w:rsidR="00245300" w:rsidRPr="00EC20A0" w:rsidRDefault="00F17249">
            <w:pPr>
              <w:pStyle w:val="TableParagraph"/>
              <w:spacing w:before="29"/>
              <w:ind w:left="102"/>
              <w:rPr>
                <w:sz w:val="18"/>
              </w:rPr>
            </w:pPr>
            <w:r w:rsidRPr="00EC20A0">
              <w:rPr>
                <w:spacing w:val="-4"/>
                <w:sz w:val="18"/>
              </w:rPr>
              <w:t>Add:</w:t>
            </w:r>
          </w:p>
        </w:tc>
        <w:tc>
          <w:tcPr>
            <w:tcW w:w="1141" w:type="dxa"/>
            <w:tcBorders>
              <w:left w:val="single" w:sz="6" w:space="0" w:color="000000"/>
            </w:tcBorders>
          </w:tcPr>
          <w:p w14:paraId="24D618E3" w14:textId="77777777" w:rsidR="00245300" w:rsidRPr="00EC20A0" w:rsidRDefault="00245300">
            <w:pPr>
              <w:pStyle w:val="TableParagraph"/>
              <w:rPr>
                <w:sz w:val="18"/>
              </w:rPr>
            </w:pPr>
          </w:p>
        </w:tc>
        <w:tc>
          <w:tcPr>
            <w:tcW w:w="3422" w:type="dxa"/>
            <w:tcBorders>
              <w:right w:val="single" w:sz="4" w:space="0" w:color="000000"/>
            </w:tcBorders>
          </w:tcPr>
          <w:p w14:paraId="24D618E4" w14:textId="77777777" w:rsidR="00245300" w:rsidRPr="00EC20A0" w:rsidRDefault="00245300">
            <w:pPr>
              <w:pStyle w:val="TableParagraph"/>
              <w:rPr>
                <w:sz w:val="18"/>
              </w:rPr>
            </w:pPr>
          </w:p>
        </w:tc>
      </w:tr>
      <w:tr w:rsidR="00245300" w:rsidRPr="00EC20A0" w14:paraId="24D618EB" w14:textId="77777777">
        <w:trPr>
          <w:trHeight w:hRule="exact" w:val="861"/>
        </w:trPr>
        <w:tc>
          <w:tcPr>
            <w:tcW w:w="4797" w:type="dxa"/>
            <w:tcBorders>
              <w:left w:val="single" w:sz="4" w:space="0" w:color="000000"/>
              <w:right w:val="single" w:sz="6" w:space="0" w:color="000000"/>
            </w:tcBorders>
          </w:tcPr>
          <w:p w14:paraId="24D618E6" w14:textId="77777777" w:rsidR="00245300" w:rsidRPr="00EC20A0" w:rsidRDefault="00F17249">
            <w:pPr>
              <w:pStyle w:val="TableParagraph"/>
              <w:spacing w:before="116"/>
              <w:ind w:left="645" w:right="28"/>
              <w:rPr>
                <w:sz w:val="18"/>
              </w:rPr>
            </w:pPr>
            <w:r w:rsidRPr="00EC20A0">
              <w:rPr>
                <w:sz w:val="18"/>
              </w:rPr>
              <w:t>Adjustment for cutoff error identified during reconciliation process (funds sent to Trading Partner</w:t>
            </w:r>
            <w:r w:rsidRPr="00EC20A0">
              <w:rPr>
                <w:spacing w:val="-4"/>
                <w:sz w:val="18"/>
              </w:rPr>
              <w:t xml:space="preserve"> </w:t>
            </w:r>
            <w:r w:rsidRPr="00EC20A0">
              <w:rPr>
                <w:sz w:val="18"/>
              </w:rPr>
              <w:t>1</w:t>
            </w:r>
            <w:r w:rsidRPr="00EC20A0">
              <w:rPr>
                <w:spacing w:val="-5"/>
                <w:sz w:val="18"/>
              </w:rPr>
              <w:t xml:space="preserve"> </w:t>
            </w:r>
            <w:r w:rsidRPr="00EC20A0">
              <w:rPr>
                <w:sz w:val="18"/>
              </w:rPr>
              <w:t>but</w:t>
            </w:r>
            <w:r w:rsidRPr="00EC20A0">
              <w:rPr>
                <w:spacing w:val="-4"/>
                <w:sz w:val="18"/>
              </w:rPr>
              <w:t xml:space="preserve"> </w:t>
            </w:r>
            <w:r w:rsidRPr="00EC20A0">
              <w:rPr>
                <w:sz w:val="18"/>
              </w:rPr>
              <w:t>not</w:t>
            </w:r>
            <w:r w:rsidRPr="00EC20A0">
              <w:rPr>
                <w:spacing w:val="-4"/>
                <w:sz w:val="18"/>
              </w:rPr>
              <w:t xml:space="preserve"> </w:t>
            </w:r>
            <w:r w:rsidRPr="00EC20A0">
              <w:rPr>
                <w:sz w:val="18"/>
              </w:rPr>
              <w:t>recorded)</w:t>
            </w:r>
            <w:r w:rsidRPr="00EC20A0">
              <w:rPr>
                <w:spacing w:val="23"/>
                <w:sz w:val="18"/>
              </w:rPr>
              <w:t xml:space="preserve"> </w:t>
            </w:r>
            <w:r w:rsidRPr="00EC20A0">
              <w:rPr>
                <w:sz w:val="18"/>
              </w:rPr>
              <w:t>.....................................</w:t>
            </w:r>
          </w:p>
        </w:tc>
        <w:tc>
          <w:tcPr>
            <w:tcW w:w="1141" w:type="dxa"/>
            <w:tcBorders>
              <w:left w:val="single" w:sz="6" w:space="0" w:color="000000"/>
            </w:tcBorders>
          </w:tcPr>
          <w:p w14:paraId="24D618E7" w14:textId="77777777" w:rsidR="00245300" w:rsidRPr="00EC20A0" w:rsidRDefault="00245300">
            <w:pPr>
              <w:pStyle w:val="TableParagraph"/>
              <w:rPr>
                <w:sz w:val="18"/>
              </w:rPr>
            </w:pPr>
          </w:p>
          <w:p w14:paraId="24D618E8" w14:textId="77777777" w:rsidR="00245300" w:rsidRPr="00EC20A0" w:rsidRDefault="00245300">
            <w:pPr>
              <w:pStyle w:val="TableParagraph"/>
              <w:spacing w:before="118"/>
              <w:rPr>
                <w:sz w:val="18"/>
              </w:rPr>
            </w:pPr>
          </w:p>
          <w:p w14:paraId="24D618E9" w14:textId="77777777" w:rsidR="00245300" w:rsidRPr="00EC20A0" w:rsidRDefault="00F17249">
            <w:pPr>
              <w:pStyle w:val="TableParagraph"/>
              <w:ind w:right="161"/>
              <w:jc w:val="right"/>
              <w:rPr>
                <w:sz w:val="18"/>
              </w:rPr>
            </w:pPr>
            <w:r w:rsidRPr="00EC20A0">
              <w:rPr>
                <w:spacing w:val="-2"/>
                <w:sz w:val="18"/>
              </w:rPr>
              <w:t>10,000</w:t>
            </w:r>
          </w:p>
        </w:tc>
        <w:tc>
          <w:tcPr>
            <w:tcW w:w="3422" w:type="dxa"/>
            <w:tcBorders>
              <w:right w:val="single" w:sz="4" w:space="0" w:color="000000"/>
            </w:tcBorders>
          </w:tcPr>
          <w:p w14:paraId="24D618EA" w14:textId="77777777" w:rsidR="00245300" w:rsidRPr="00EC20A0" w:rsidRDefault="00245300">
            <w:pPr>
              <w:pStyle w:val="TableParagraph"/>
              <w:rPr>
                <w:sz w:val="18"/>
              </w:rPr>
            </w:pPr>
          </w:p>
        </w:tc>
      </w:tr>
      <w:tr w:rsidR="00245300" w:rsidRPr="00EC20A0" w14:paraId="24D618F1" w14:textId="77777777">
        <w:trPr>
          <w:trHeight w:hRule="exact" w:val="654"/>
        </w:trPr>
        <w:tc>
          <w:tcPr>
            <w:tcW w:w="4797" w:type="dxa"/>
            <w:tcBorders>
              <w:left w:val="single" w:sz="4" w:space="0" w:color="000000"/>
              <w:right w:val="single" w:sz="6" w:space="0" w:color="000000"/>
            </w:tcBorders>
          </w:tcPr>
          <w:p w14:paraId="24D618EC" w14:textId="77777777" w:rsidR="00245300" w:rsidRPr="00EC20A0" w:rsidRDefault="00F17249">
            <w:pPr>
              <w:pStyle w:val="TableParagraph"/>
              <w:spacing w:before="116"/>
              <w:ind w:left="645"/>
              <w:rPr>
                <w:sz w:val="18"/>
              </w:rPr>
            </w:pPr>
            <w:r w:rsidRPr="00EC20A0">
              <w:rPr>
                <w:sz w:val="18"/>
              </w:rPr>
              <w:t>Adjustment</w:t>
            </w:r>
            <w:r w:rsidRPr="00EC20A0">
              <w:rPr>
                <w:spacing w:val="-6"/>
                <w:sz w:val="18"/>
              </w:rPr>
              <w:t xml:space="preserve"> </w:t>
            </w:r>
            <w:r w:rsidRPr="00EC20A0">
              <w:rPr>
                <w:sz w:val="18"/>
              </w:rPr>
              <w:t>for</w:t>
            </w:r>
            <w:r w:rsidRPr="00EC20A0">
              <w:rPr>
                <w:spacing w:val="-3"/>
                <w:sz w:val="18"/>
              </w:rPr>
              <w:t xml:space="preserve"> </w:t>
            </w:r>
            <w:r w:rsidRPr="00EC20A0">
              <w:rPr>
                <w:sz w:val="18"/>
              </w:rPr>
              <w:t>completed</w:t>
            </w:r>
            <w:r w:rsidRPr="00EC20A0">
              <w:rPr>
                <w:spacing w:val="-4"/>
                <w:sz w:val="18"/>
              </w:rPr>
              <w:t xml:space="preserve"> </w:t>
            </w:r>
            <w:r w:rsidRPr="00EC20A0">
              <w:rPr>
                <w:sz w:val="18"/>
              </w:rPr>
              <w:t>but</w:t>
            </w:r>
            <w:r w:rsidRPr="00EC20A0">
              <w:rPr>
                <w:spacing w:val="-3"/>
                <w:sz w:val="18"/>
              </w:rPr>
              <w:t xml:space="preserve"> </w:t>
            </w:r>
            <w:r w:rsidRPr="00EC20A0">
              <w:rPr>
                <w:sz w:val="18"/>
              </w:rPr>
              <w:t>unbilled</w:t>
            </w:r>
            <w:r w:rsidRPr="00EC20A0">
              <w:rPr>
                <w:spacing w:val="-4"/>
                <w:sz w:val="18"/>
              </w:rPr>
              <w:t xml:space="preserve"> work</w:t>
            </w:r>
          </w:p>
          <w:p w14:paraId="24D618ED" w14:textId="77777777" w:rsidR="00245300" w:rsidRPr="00EC20A0" w:rsidRDefault="00F17249">
            <w:pPr>
              <w:pStyle w:val="TableParagraph"/>
              <w:spacing w:before="2"/>
              <w:ind w:left="645"/>
              <w:rPr>
                <w:sz w:val="18"/>
              </w:rPr>
            </w:pPr>
            <w:r w:rsidRPr="00EC20A0">
              <w:rPr>
                <w:sz w:val="18"/>
              </w:rPr>
              <w:t>at</w:t>
            </w:r>
            <w:r w:rsidRPr="00EC20A0">
              <w:rPr>
                <w:spacing w:val="-3"/>
                <w:sz w:val="18"/>
              </w:rPr>
              <w:t xml:space="preserve"> </w:t>
            </w:r>
            <w:r w:rsidRPr="00EC20A0">
              <w:rPr>
                <w:sz w:val="18"/>
              </w:rPr>
              <w:t>the</w:t>
            </w:r>
            <w:r w:rsidRPr="00EC20A0">
              <w:rPr>
                <w:spacing w:val="-2"/>
                <w:sz w:val="18"/>
              </w:rPr>
              <w:t xml:space="preserve"> </w:t>
            </w:r>
            <w:r w:rsidRPr="00EC20A0">
              <w:rPr>
                <w:sz w:val="18"/>
              </w:rPr>
              <w:t>end</w:t>
            </w:r>
            <w:r w:rsidRPr="00EC20A0">
              <w:rPr>
                <w:spacing w:val="-3"/>
                <w:sz w:val="18"/>
              </w:rPr>
              <w:t xml:space="preserve"> </w:t>
            </w:r>
            <w:r w:rsidRPr="00EC20A0">
              <w:rPr>
                <w:sz w:val="18"/>
              </w:rPr>
              <w:t>of</w:t>
            </w:r>
            <w:r w:rsidRPr="00EC20A0">
              <w:rPr>
                <w:spacing w:val="-1"/>
                <w:sz w:val="18"/>
              </w:rPr>
              <w:t xml:space="preserve"> </w:t>
            </w:r>
            <w:r w:rsidRPr="00EC20A0">
              <w:rPr>
                <w:sz w:val="18"/>
              </w:rPr>
              <w:t>the</w:t>
            </w:r>
            <w:r w:rsidRPr="00EC20A0">
              <w:rPr>
                <w:spacing w:val="-3"/>
                <w:sz w:val="18"/>
              </w:rPr>
              <w:t xml:space="preserve"> </w:t>
            </w:r>
            <w:r w:rsidRPr="00EC20A0">
              <w:rPr>
                <w:sz w:val="18"/>
              </w:rPr>
              <w:t>current</w:t>
            </w:r>
            <w:r w:rsidRPr="00EC20A0">
              <w:rPr>
                <w:spacing w:val="-1"/>
                <w:sz w:val="18"/>
              </w:rPr>
              <w:t xml:space="preserve"> </w:t>
            </w:r>
            <w:r w:rsidRPr="00EC20A0">
              <w:rPr>
                <w:sz w:val="18"/>
              </w:rPr>
              <w:t>year</w:t>
            </w:r>
            <w:r w:rsidRPr="00EC20A0">
              <w:rPr>
                <w:spacing w:val="-20"/>
                <w:sz w:val="18"/>
              </w:rPr>
              <w:t xml:space="preserve"> </w:t>
            </w:r>
            <w:r w:rsidRPr="00EC20A0">
              <w:rPr>
                <w:spacing w:val="-2"/>
                <w:sz w:val="18"/>
              </w:rPr>
              <w:t>...................................</w:t>
            </w:r>
          </w:p>
        </w:tc>
        <w:tc>
          <w:tcPr>
            <w:tcW w:w="1141" w:type="dxa"/>
            <w:tcBorders>
              <w:left w:val="single" w:sz="6" w:space="0" w:color="000000"/>
            </w:tcBorders>
          </w:tcPr>
          <w:p w14:paraId="24D618EE" w14:textId="77777777" w:rsidR="00245300" w:rsidRPr="00EC20A0" w:rsidRDefault="00245300">
            <w:pPr>
              <w:pStyle w:val="TableParagraph"/>
              <w:spacing w:before="117"/>
              <w:rPr>
                <w:sz w:val="18"/>
              </w:rPr>
            </w:pPr>
          </w:p>
          <w:p w14:paraId="24D618EF" w14:textId="77777777" w:rsidR="00245300" w:rsidRPr="00EC20A0" w:rsidRDefault="00F17249">
            <w:pPr>
              <w:pStyle w:val="TableParagraph"/>
              <w:spacing w:before="1"/>
              <w:ind w:right="161"/>
              <w:jc w:val="right"/>
              <w:rPr>
                <w:sz w:val="18"/>
              </w:rPr>
            </w:pPr>
            <w:r w:rsidRPr="00EC20A0">
              <w:rPr>
                <w:spacing w:val="-2"/>
                <w:sz w:val="18"/>
              </w:rPr>
              <w:t>50,000</w:t>
            </w:r>
          </w:p>
        </w:tc>
        <w:tc>
          <w:tcPr>
            <w:tcW w:w="3422" w:type="dxa"/>
            <w:tcBorders>
              <w:right w:val="single" w:sz="4" w:space="0" w:color="000000"/>
            </w:tcBorders>
          </w:tcPr>
          <w:p w14:paraId="24D618F0" w14:textId="77777777" w:rsidR="00245300" w:rsidRPr="00EC20A0" w:rsidRDefault="00245300">
            <w:pPr>
              <w:pStyle w:val="TableParagraph"/>
              <w:rPr>
                <w:sz w:val="18"/>
              </w:rPr>
            </w:pPr>
          </w:p>
        </w:tc>
      </w:tr>
      <w:tr w:rsidR="00245300" w:rsidRPr="00EC20A0" w14:paraId="24D618F5" w14:textId="77777777">
        <w:trPr>
          <w:trHeight w:hRule="exact" w:val="446"/>
        </w:trPr>
        <w:tc>
          <w:tcPr>
            <w:tcW w:w="4797" w:type="dxa"/>
            <w:tcBorders>
              <w:left w:val="single" w:sz="4" w:space="0" w:color="000000"/>
              <w:right w:val="single" w:sz="6" w:space="0" w:color="000000"/>
            </w:tcBorders>
          </w:tcPr>
          <w:p w14:paraId="24D618F2" w14:textId="77777777" w:rsidR="00245300" w:rsidRPr="00EC20A0" w:rsidRDefault="00F17249">
            <w:pPr>
              <w:pStyle w:val="TableParagraph"/>
              <w:spacing w:before="116"/>
              <w:ind w:left="102"/>
              <w:rPr>
                <w:sz w:val="18"/>
              </w:rPr>
            </w:pPr>
            <w:r w:rsidRPr="00EC20A0">
              <w:rPr>
                <w:spacing w:val="-2"/>
                <w:sz w:val="18"/>
              </w:rPr>
              <w:t>Less:</w:t>
            </w:r>
          </w:p>
        </w:tc>
        <w:tc>
          <w:tcPr>
            <w:tcW w:w="1141" w:type="dxa"/>
            <w:tcBorders>
              <w:left w:val="single" w:sz="6" w:space="0" w:color="000000"/>
            </w:tcBorders>
          </w:tcPr>
          <w:p w14:paraId="24D618F3" w14:textId="77777777" w:rsidR="00245300" w:rsidRPr="00EC20A0" w:rsidRDefault="00245300">
            <w:pPr>
              <w:pStyle w:val="TableParagraph"/>
              <w:rPr>
                <w:sz w:val="18"/>
              </w:rPr>
            </w:pPr>
          </w:p>
        </w:tc>
        <w:tc>
          <w:tcPr>
            <w:tcW w:w="3422" w:type="dxa"/>
            <w:tcBorders>
              <w:right w:val="single" w:sz="4" w:space="0" w:color="000000"/>
            </w:tcBorders>
          </w:tcPr>
          <w:p w14:paraId="24D618F4" w14:textId="77777777" w:rsidR="00245300" w:rsidRPr="00EC20A0" w:rsidRDefault="00245300">
            <w:pPr>
              <w:pStyle w:val="TableParagraph"/>
              <w:rPr>
                <w:sz w:val="18"/>
              </w:rPr>
            </w:pPr>
          </w:p>
        </w:tc>
      </w:tr>
      <w:tr w:rsidR="00245300" w:rsidRPr="00EC20A0" w14:paraId="24D618FB" w14:textId="77777777">
        <w:trPr>
          <w:trHeight w:hRule="exact" w:val="654"/>
        </w:trPr>
        <w:tc>
          <w:tcPr>
            <w:tcW w:w="4797" w:type="dxa"/>
            <w:tcBorders>
              <w:left w:val="single" w:sz="4" w:space="0" w:color="000000"/>
              <w:right w:val="single" w:sz="6" w:space="0" w:color="000000"/>
            </w:tcBorders>
          </w:tcPr>
          <w:p w14:paraId="24D618F6" w14:textId="77777777" w:rsidR="00245300" w:rsidRPr="00EC20A0" w:rsidRDefault="00F17249">
            <w:pPr>
              <w:pStyle w:val="TableParagraph"/>
              <w:spacing w:before="116"/>
              <w:ind w:left="645"/>
              <w:rPr>
                <w:sz w:val="18"/>
              </w:rPr>
            </w:pPr>
            <w:r w:rsidRPr="00EC20A0">
              <w:rPr>
                <w:sz w:val="18"/>
              </w:rPr>
              <w:t>Funds</w:t>
            </w:r>
            <w:r w:rsidRPr="00EC20A0">
              <w:rPr>
                <w:spacing w:val="-2"/>
                <w:sz w:val="18"/>
              </w:rPr>
              <w:t xml:space="preserve"> </w:t>
            </w:r>
            <w:r w:rsidRPr="00EC20A0">
              <w:rPr>
                <w:sz w:val="18"/>
              </w:rPr>
              <w:t>paid</w:t>
            </w:r>
            <w:r w:rsidRPr="00EC20A0">
              <w:rPr>
                <w:spacing w:val="-3"/>
                <w:sz w:val="18"/>
              </w:rPr>
              <w:t xml:space="preserve"> </w:t>
            </w:r>
            <w:r w:rsidRPr="00EC20A0">
              <w:rPr>
                <w:sz w:val="18"/>
              </w:rPr>
              <w:t>in</w:t>
            </w:r>
            <w:r w:rsidRPr="00EC20A0">
              <w:rPr>
                <w:spacing w:val="-2"/>
                <w:sz w:val="18"/>
              </w:rPr>
              <w:t xml:space="preserve"> </w:t>
            </w:r>
            <w:r w:rsidRPr="00EC20A0">
              <w:rPr>
                <w:sz w:val="18"/>
              </w:rPr>
              <w:t>the</w:t>
            </w:r>
            <w:r w:rsidRPr="00EC20A0">
              <w:rPr>
                <w:spacing w:val="-3"/>
                <w:sz w:val="18"/>
              </w:rPr>
              <w:t xml:space="preserve"> </w:t>
            </w:r>
            <w:r w:rsidRPr="00EC20A0">
              <w:rPr>
                <w:sz w:val="18"/>
              </w:rPr>
              <w:t>current</w:t>
            </w:r>
            <w:r w:rsidRPr="00EC20A0">
              <w:rPr>
                <w:spacing w:val="-1"/>
                <w:sz w:val="18"/>
              </w:rPr>
              <w:t xml:space="preserve"> </w:t>
            </w:r>
            <w:r w:rsidRPr="00EC20A0">
              <w:rPr>
                <w:sz w:val="18"/>
              </w:rPr>
              <w:t>year,</w:t>
            </w:r>
            <w:r w:rsidRPr="00EC20A0">
              <w:rPr>
                <w:spacing w:val="-2"/>
                <w:sz w:val="18"/>
              </w:rPr>
              <w:t xml:space="preserve"> </w:t>
            </w:r>
            <w:r w:rsidRPr="00EC20A0">
              <w:rPr>
                <w:sz w:val="18"/>
              </w:rPr>
              <w:t>but</w:t>
            </w:r>
            <w:r w:rsidRPr="00EC20A0">
              <w:rPr>
                <w:spacing w:val="-1"/>
                <w:sz w:val="18"/>
              </w:rPr>
              <w:t xml:space="preserve"> </w:t>
            </w:r>
            <w:r w:rsidRPr="00EC20A0">
              <w:rPr>
                <w:spacing w:val="-2"/>
                <w:sz w:val="18"/>
              </w:rPr>
              <w:t>amount</w:t>
            </w:r>
          </w:p>
          <w:p w14:paraId="24D618F7" w14:textId="77777777" w:rsidR="00245300" w:rsidRPr="00EC20A0" w:rsidRDefault="00F17249">
            <w:pPr>
              <w:pStyle w:val="TableParagraph"/>
              <w:spacing w:before="1"/>
              <w:ind w:left="645"/>
              <w:rPr>
                <w:sz w:val="18"/>
              </w:rPr>
            </w:pPr>
            <w:r w:rsidRPr="00EC20A0">
              <w:rPr>
                <w:sz w:val="18"/>
              </w:rPr>
              <w:t>prepaid</w:t>
            </w:r>
            <w:r w:rsidRPr="00EC20A0">
              <w:rPr>
                <w:spacing w:val="-3"/>
                <w:sz w:val="18"/>
              </w:rPr>
              <w:t xml:space="preserve"> </w:t>
            </w:r>
            <w:r w:rsidRPr="00EC20A0">
              <w:rPr>
                <w:sz w:val="18"/>
              </w:rPr>
              <w:t>at</w:t>
            </w:r>
            <w:r w:rsidRPr="00EC20A0">
              <w:rPr>
                <w:spacing w:val="-2"/>
                <w:sz w:val="18"/>
              </w:rPr>
              <w:t xml:space="preserve"> </w:t>
            </w:r>
            <w:r w:rsidRPr="00EC20A0">
              <w:rPr>
                <w:sz w:val="18"/>
              </w:rPr>
              <w:t>end</w:t>
            </w:r>
            <w:r w:rsidRPr="00EC20A0">
              <w:rPr>
                <w:spacing w:val="-1"/>
                <w:sz w:val="18"/>
              </w:rPr>
              <w:t xml:space="preserve"> </w:t>
            </w:r>
            <w:r w:rsidRPr="00EC20A0">
              <w:rPr>
                <w:sz w:val="18"/>
              </w:rPr>
              <w:t>of</w:t>
            </w:r>
            <w:r w:rsidRPr="00EC20A0">
              <w:rPr>
                <w:spacing w:val="-2"/>
                <w:sz w:val="18"/>
              </w:rPr>
              <w:t xml:space="preserve"> </w:t>
            </w:r>
            <w:r w:rsidRPr="00EC20A0">
              <w:rPr>
                <w:sz w:val="18"/>
              </w:rPr>
              <w:t>current</w:t>
            </w:r>
            <w:r w:rsidRPr="00EC20A0">
              <w:rPr>
                <w:spacing w:val="-2"/>
                <w:sz w:val="18"/>
              </w:rPr>
              <w:t xml:space="preserve"> </w:t>
            </w:r>
            <w:r w:rsidRPr="00EC20A0">
              <w:rPr>
                <w:sz w:val="18"/>
              </w:rPr>
              <w:t>year</w:t>
            </w:r>
            <w:r w:rsidRPr="00EC20A0">
              <w:rPr>
                <w:spacing w:val="28"/>
                <w:sz w:val="18"/>
              </w:rPr>
              <w:t xml:space="preserve"> </w:t>
            </w:r>
            <w:r w:rsidRPr="00EC20A0">
              <w:rPr>
                <w:spacing w:val="-2"/>
                <w:sz w:val="18"/>
              </w:rPr>
              <w:t>.................................</w:t>
            </w:r>
          </w:p>
        </w:tc>
        <w:tc>
          <w:tcPr>
            <w:tcW w:w="1141" w:type="dxa"/>
            <w:tcBorders>
              <w:left w:val="single" w:sz="6" w:space="0" w:color="000000"/>
            </w:tcBorders>
          </w:tcPr>
          <w:p w14:paraId="24D618F8" w14:textId="77777777" w:rsidR="00245300" w:rsidRPr="00EC20A0" w:rsidRDefault="00245300">
            <w:pPr>
              <w:pStyle w:val="TableParagraph"/>
              <w:spacing w:before="117"/>
              <w:rPr>
                <w:sz w:val="18"/>
              </w:rPr>
            </w:pPr>
          </w:p>
          <w:p w14:paraId="24D618F9" w14:textId="77777777" w:rsidR="00245300" w:rsidRPr="00EC20A0" w:rsidRDefault="00F17249">
            <w:pPr>
              <w:pStyle w:val="TableParagraph"/>
              <w:ind w:right="162"/>
              <w:jc w:val="right"/>
              <w:rPr>
                <w:sz w:val="18"/>
              </w:rPr>
            </w:pPr>
            <w:r w:rsidRPr="00EC20A0">
              <w:rPr>
                <w:spacing w:val="-2"/>
                <w:sz w:val="18"/>
                <w:u w:val="single"/>
              </w:rPr>
              <w:t>(20,000)</w:t>
            </w:r>
          </w:p>
        </w:tc>
        <w:tc>
          <w:tcPr>
            <w:tcW w:w="3422" w:type="dxa"/>
            <w:tcBorders>
              <w:right w:val="single" w:sz="4" w:space="0" w:color="000000"/>
            </w:tcBorders>
          </w:tcPr>
          <w:p w14:paraId="24D618FA" w14:textId="77777777" w:rsidR="00245300" w:rsidRPr="00EC20A0" w:rsidRDefault="00245300">
            <w:pPr>
              <w:pStyle w:val="TableParagraph"/>
              <w:rPr>
                <w:sz w:val="18"/>
              </w:rPr>
            </w:pPr>
          </w:p>
        </w:tc>
      </w:tr>
      <w:tr w:rsidR="00245300" w:rsidRPr="00EC20A0" w14:paraId="24D618FF" w14:textId="77777777">
        <w:trPr>
          <w:trHeight w:hRule="exact" w:val="446"/>
        </w:trPr>
        <w:tc>
          <w:tcPr>
            <w:tcW w:w="4797" w:type="dxa"/>
            <w:tcBorders>
              <w:left w:val="single" w:sz="4" w:space="0" w:color="000000"/>
              <w:right w:val="single" w:sz="6" w:space="0" w:color="000000"/>
            </w:tcBorders>
          </w:tcPr>
          <w:p w14:paraId="24D618FC" w14:textId="77777777" w:rsidR="00245300" w:rsidRPr="00EC20A0" w:rsidRDefault="00F17249">
            <w:pPr>
              <w:pStyle w:val="TableParagraph"/>
              <w:spacing w:before="117"/>
              <w:ind w:left="102"/>
              <w:rPr>
                <w:sz w:val="18"/>
              </w:rPr>
            </w:pPr>
            <w:r w:rsidRPr="00EC20A0">
              <w:rPr>
                <w:sz w:val="18"/>
              </w:rPr>
              <w:t>General</w:t>
            </w:r>
            <w:r w:rsidRPr="00EC20A0">
              <w:rPr>
                <w:spacing w:val="-4"/>
                <w:sz w:val="18"/>
              </w:rPr>
              <w:t xml:space="preserve"> </w:t>
            </w:r>
            <w:r w:rsidRPr="00EC20A0">
              <w:rPr>
                <w:sz w:val="18"/>
              </w:rPr>
              <w:t>ledger</w:t>
            </w:r>
            <w:r w:rsidRPr="00EC20A0">
              <w:rPr>
                <w:spacing w:val="-2"/>
                <w:sz w:val="18"/>
              </w:rPr>
              <w:t xml:space="preserve"> </w:t>
            </w:r>
            <w:r w:rsidRPr="00EC20A0">
              <w:rPr>
                <w:sz w:val="18"/>
              </w:rPr>
              <w:t>after</w:t>
            </w:r>
            <w:r w:rsidRPr="00EC20A0">
              <w:rPr>
                <w:spacing w:val="-3"/>
                <w:sz w:val="18"/>
              </w:rPr>
              <w:t xml:space="preserve"> </w:t>
            </w:r>
            <w:r w:rsidRPr="00EC20A0">
              <w:rPr>
                <w:sz w:val="18"/>
              </w:rPr>
              <w:t>adjustment</w:t>
            </w:r>
            <w:r w:rsidRPr="00EC20A0">
              <w:rPr>
                <w:spacing w:val="-4"/>
                <w:sz w:val="18"/>
              </w:rPr>
              <w:t xml:space="preserve"> </w:t>
            </w:r>
            <w:r w:rsidRPr="00EC20A0">
              <w:rPr>
                <w:sz w:val="18"/>
              </w:rPr>
              <w:t>for</w:t>
            </w:r>
            <w:r w:rsidRPr="00EC20A0">
              <w:rPr>
                <w:spacing w:val="-3"/>
                <w:sz w:val="18"/>
              </w:rPr>
              <w:t xml:space="preserve"> </w:t>
            </w:r>
            <w:r w:rsidRPr="00EC20A0">
              <w:rPr>
                <w:sz w:val="18"/>
              </w:rPr>
              <w:t>Trading</w:t>
            </w:r>
            <w:r w:rsidRPr="00EC20A0">
              <w:rPr>
                <w:spacing w:val="-2"/>
                <w:sz w:val="18"/>
              </w:rPr>
              <w:t xml:space="preserve"> </w:t>
            </w:r>
            <w:r w:rsidRPr="00EC20A0">
              <w:rPr>
                <w:sz w:val="18"/>
              </w:rPr>
              <w:t>Partner</w:t>
            </w:r>
            <w:r w:rsidRPr="00EC20A0">
              <w:rPr>
                <w:spacing w:val="-3"/>
                <w:sz w:val="18"/>
              </w:rPr>
              <w:t xml:space="preserve"> </w:t>
            </w:r>
            <w:r w:rsidRPr="00EC20A0">
              <w:rPr>
                <w:spacing w:val="-10"/>
                <w:sz w:val="18"/>
              </w:rPr>
              <w:t>1</w:t>
            </w:r>
          </w:p>
        </w:tc>
        <w:tc>
          <w:tcPr>
            <w:tcW w:w="1141" w:type="dxa"/>
            <w:tcBorders>
              <w:left w:val="single" w:sz="6" w:space="0" w:color="000000"/>
            </w:tcBorders>
          </w:tcPr>
          <w:p w14:paraId="24D618FD" w14:textId="77777777" w:rsidR="00245300" w:rsidRPr="00EC20A0" w:rsidRDefault="00F17249">
            <w:pPr>
              <w:pStyle w:val="TableParagraph"/>
              <w:spacing w:before="117"/>
              <w:ind w:right="161"/>
              <w:jc w:val="right"/>
              <w:rPr>
                <w:b/>
                <w:sz w:val="18"/>
              </w:rPr>
            </w:pPr>
            <w:r w:rsidRPr="00EC20A0">
              <w:rPr>
                <w:noProof/>
              </w:rPr>
              <mc:AlternateContent>
                <mc:Choice Requires="wpg">
                  <w:drawing>
                    <wp:anchor distT="0" distB="0" distL="0" distR="0" simplePos="0" relativeHeight="475365376" behindDoc="1" locked="0" layoutInCell="1" allowOverlap="1" wp14:anchorId="24D62C9B" wp14:editId="24D62C9C">
                      <wp:simplePos x="0" y="0"/>
                      <wp:positionH relativeFrom="column">
                        <wp:posOffset>0</wp:posOffset>
                      </wp:positionH>
                      <wp:positionV relativeFrom="paragraph">
                        <wp:posOffset>99424</wp:posOffset>
                      </wp:positionV>
                      <wp:extent cx="154940" cy="50800"/>
                      <wp:effectExtent l="0" t="0" r="0" b="0"/>
                      <wp:wrapNone/>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50800"/>
                                <a:chOff x="0" y="0"/>
                                <a:chExt cx="154940" cy="50800"/>
                              </a:xfrm>
                            </wpg:grpSpPr>
                            <wps:wsp>
                              <wps:cNvPr id="814" name="Graphic 814"/>
                              <wps:cNvSpPr/>
                              <wps:spPr>
                                <a:xfrm>
                                  <a:off x="0" y="25403"/>
                                  <a:ext cx="91440" cy="1270"/>
                                </a:xfrm>
                                <a:custGeom>
                                  <a:avLst/>
                                  <a:gdLst/>
                                  <a:ahLst/>
                                  <a:cxnLst/>
                                  <a:rect l="l" t="t" r="r" b="b"/>
                                  <a:pathLst>
                                    <a:path w="91440">
                                      <a:moveTo>
                                        <a:pt x="0" y="0"/>
                                      </a:moveTo>
                                      <a:lnTo>
                                        <a:pt x="91440" y="0"/>
                                      </a:lnTo>
                                    </a:path>
                                  </a:pathLst>
                                </a:custGeom>
                                <a:ln w="6350">
                                  <a:solidFill>
                                    <a:srgbClr val="000000"/>
                                  </a:solidFill>
                                  <a:prstDash val="solid"/>
                                </a:ln>
                              </wps:spPr>
                              <wps:bodyPr wrap="square" lIns="0" tIns="0" rIns="0" bIns="0" rtlCol="0">
                                <a:prstTxWarp prst="textNoShape">
                                  <a:avLst/>
                                </a:prstTxWarp>
                                <a:noAutofit/>
                              </wps:bodyPr>
                            </wps:wsp>
                            <wps:wsp>
                              <wps:cNvPr id="815" name="Graphic 815"/>
                              <wps:cNvSpPr/>
                              <wps:spPr>
                                <a:xfrm>
                                  <a:off x="78741" y="0"/>
                                  <a:ext cx="76200" cy="50800"/>
                                </a:xfrm>
                                <a:custGeom>
                                  <a:avLst/>
                                  <a:gdLst/>
                                  <a:ahLst/>
                                  <a:cxnLst/>
                                  <a:rect l="l" t="t" r="r" b="b"/>
                                  <a:pathLst>
                                    <a:path w="76200" h="50800">
                                      <a:moveTo>
                                        <a:pt x="0" y="0"/>
                                      </a:moveTo>
                                      <a:lnTo>
                                        <a:pt x="0" y="50800"/>
                                      </a:lnTo>
                                      <a:lnTo>
                                        <a:pt x="76200" y="2540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A4DA5D" id="Group 813" o:spid="_x0000_s1026" style="position:absolute;margin-left:0;margin-top:7.85pt;width:12.2pt;height:4pt;z-index:-27951104;mso-wrap-distance-left:0;mso-wrap-distance-right:0" coordsize="15494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">
                      <v:shape id="Graphic 814" o:spid="_x0000_s1027" style="position:absolute;top:25403;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" path="m,l91440,e" filled="f" strokeweight=".5pt">
                        <v:path arrowok="t"/>
                      </v:shape>
                      <v:shape id="Graphic 815" o:spid="_x0000_s1028" style="position:absolute;left:78741;width:76200;height:50800;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" path="m,l,50800,76200,25400,,xe" fillcolor="black" stroked="f">
                        <v:path arrowok="t"/>
                      </v:shape>
                    </v:group>
                  </w:pict>
                </mc:Fallback>
              </mc:AlternateContent>
            </w:r>
            <w:r w:rsidRPr="00EC20A0">
              <w:rPr>
                <w:b/>
                <w:spacing w:val="-2"/>
                <w:sz w:val="18"/>
              </w:rPr>
              <w:t>230,000</w:t>
            </w:r>
          </w:p>
        </w:tc>
        <w:tc>
          <w:tcPr>
            <w:tcW w:w="3422" w:type="dxa"/>
            <w:tcBorders>
              <w:right w:val="single" w:sz="4" w:space="0" w:color="000000"/>
            </w:tcBorders>
          </w:tcPr>
          <w:p w14:paraId="24D618FE" w14:textId="77777777" w:rsidR="00245300" w:rsidRPr="00EC20A0" w:rsidRDefault="00245300">
            <w:pPr>
              <w:pStyle w:val="TableParagraph"/>
              <w:rPr>
                <w:sz w:val="18"/>
              </w:rPr>
            </w:pPr>
          </w:p>
        </w:tc>
      </w:tr>
      <w:tr w:rsidR="00245300" w:rsidRPr="00EC20A0" w14:paraId="24D61903" w14:textId="77777777">
        <w:trPr>
          <w:trHeight w:hRule="exact" w:val="342"/>
        </w:trPr>
        <w:tc>
          <w:tcPr>
            <w:tcW w:w="4797" w:type="dxa"/>
            <w:tcBorders>
              <w:left w:val="single" w:sz="4" w:space="0" w:color="000000"/>
            </w:tcBorders>
          </w:tcPr>
          <w:p w14:paraId="24D61900" w14:textId="77777777" w:rsidR="00245300" w:rsidRPr="00EC20A0" w:rsidRDefault="00F17249">
            <w:pPr>
              <w:pStyle w:val="TableParagraph"/>
              <w:spacing w:before="116" w:line="206" w:lineRule="exact"/>
              <w:ind w:left="102"/>
              <w:rPr>
                <w:sz w:val="18"/>
              </w:rPr>
            </w:pPr>
            <w:r w:rsidRPr="00EC20A0">
              <w:rPr>
                <w:spacing w:val="-2"/>
                <w:sz w:val="18"/>
              </w:rPr>
              <w:t>Less:</w:t>
            </w:r>
          </w:p>
        </w:tc>
        <w:tc>
          <w:tcPr>
            <w:tcW w:w="1141" w:type="dxa"/>
          </w:tcPr>
          <w:p w14:paraId="24D61901" w14:textId="77777777" w:rsidR="00245300" w:rsidRPr="00EC20A0" w:rsidRDefault="00245300">
            <w:pPr>
              <w:pStyle w:val="TableParagraph"/>
              <w:rPr>
                <w:sz w:val="18"/>
              </w:rPr>
            </w:pPr>
          </w:p>
        </w:tc>
        <w:tc>
          <w:tcPr>
            <w:tcW w:w="3422" w:type="dxa"/>
            <w:tcBorders>
              <w:right w:val="single" w:sz="4" w:space="0" w:color="000000"/>
            </w:tcBorders>
          </w:tcPr>
          <w:p w14:paraId="24D61902" w14:textId="77777777" w:rsidR="00245300" w:rsidRPr="00EC20A0" w:rsidRDefault="00245300">
            <w:pPr>
              <w:pStyle w:val="TableParagraph"/>
              <w:rPr>
                <w:sz w:val="18"/>
              </w:rPr>
            </w:pPr>
          </w:p>
        </w:tc>
      </w:tr>
      <w:tr w:rsidR="00245300" w:rsidRPr="00EC20A0" w14:paraId="24D6190B" w14:textId="77777777">
        <w:trPr>
          <w:trHeight w:hRule="exact" w:val="757"/>
        </w:trPr>
        <w:tc>
          <w:tcPr>
            <w:tcW w:w="4797" w:type="dxa"/>
            <w:tcBorders>
              <w:left w:val="single" w:sz="4" w:space="0" w:color="000000"/>
            </w:tcBorders>
          </w:tcPr>
          <w:p w14:paraId="24D61904" w14:textId="77777777" w:rsidR="00245300" w:rsidRPr="00EC20A0" w:rsidRDefault="00245300">
            <w:pPr>
              <w:pStyle w:val="TableParagraph"/>
              <w:spacing w:before="13"/>
              <w:rPr>
                <w:sz w:val="18"/>
              </w:rPr>
            </w:pPr>
          </w:p>
          <w:p w14:paraId="24D61905" w14:textId="77777777" w:rsidR="00245300" w:rsidRPr="00EC20A0" w:rsidRDefault="00F17249">
            <w:pPr>
              <w:pStyle w:val="TableParagraph"/>
              <w:ind w:left="645"/>
              <w:rPr>
                <w:sz w:val="18"/>
              </w:rPr>
            </w:pPr>
            <w:r w:rsidRPr="00EC20A0">
              <w:rPr>
                <w:sz w:val="18"/>
              </w:rPr>
              <w:t>Reconciling</w:t>
            </w:r>
            <w:r w:rsidRPr="00EC20A0">
              <w:rPr>
                <w:spacing w:val="-5"/>
                <w:sz w:val="18"/>
              </w:rPr>
              <w:t xml:space="preserve"> </w:t>
            </w:r>
            <w:r w:rsidRPr="00EC20A0">
              <w:rPr>
                <w:sz w:val="18"/>
              </w:rPr>
              <w:t>item</w:t>
            </w:r>
            <w:r w:rsidRPr="00EC20A0">
              <w:rPr>
                <w:spacing w:val="-4"/>
                <w:sz w:val="18"/>
              </w:rPr>
              <w:t xml:space="preserve"> </w:t>
            </w:r>
            <w:r w:rsidRPr="00EC20A0">
              <w:rPr>
                <w:sz w:val="18"/>
              </w:rPr>
              <w:t>for</w:t>
            </w:r>
            <w:r w:rsidRPr="00EC20A0">
              <w:rPr>
                <w:spacing w:val="-3"/>
                <w:sz w:val="18"/>
              </w:rPr>
              <w:t xml:space="preserve"> </w:t>
            </w:r>
            <w:r w:rsidRPr="00EC20A0">
              <w:rPr>
                <w:sz w:val="18"/>
              </w:rPr>
              <w:t>purchases</w:t>
            </w:r>
            <w:r w:rsidRPr="00EC20A0">
              <w:rPr>
                <w:spacing w:val="-4"/>
                <w:sz w:val="18"/>
              </w:rPr>
              <w:t xml:space="preserve"> </w:t>
            </w:r>
            <w:r w:rsidRPr="00EC20A0">
              <w:rPr>
                <w:sz w:val="18"/>
              </w:rPr>
              <w:t>inventoried</w:t>
            </w:r>
            <w:r w:rsidRPr="00EC20A0">
              <w:rPr>
                <w:spacing w:val="-2"/>
                <w:sz w:val="18"/>
              </w:rPr>
              <w:t xml:space="preserve"> </w:t>
            </w:r>
            <w:r w:rsidRPr="00EC20A0">
              <w:rPr>
                <w:spacing w:val="-5"/>
                <w:sz w:val="18"/>
              </w:rPr>
              <w:t>at</w:t>
            </w:r>
          </w:p>
          <w:p w14:paraId="24D61906" w14:textId="77777777" w:rsidR="00245300" w:rsidRPr="00EC20A0" w:rsidRDefault="00F17249">
            <w:pPr>
              <w:pStyle w:val="TableParagraph"/>
              <w:spacing w:before="1"/>
              <w:ind w:left="645"/>
              <w:rPr>
                <w:sz w:val="18"/>
              </w:rPr>
            </w:pPr>
            <w:r w:rsidRPr="00EC20A0">
              <w:rPr>
                <w:sz w:val="18"/>
              </w:rPr>
              <w:t>end</w:t>
            </w:r>
            <w:r w:rsidRPr="00EC20A0">
              <w:rPr>
                <w:spacing w:val="-6"/>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current</w:t>
            </w:r>
            <w:r w:rsidRPr="00EC20A0">
              <w:rPr>
                <w:spacing w:val="-1"/>
                <w:sz w:val="18"/>
              </w:rPr>
              <w:t xml:space="preserve"> </w:t>
            </w:r>
            <w:r w:rsidRPr="00EC20A0">
              <w:rPr>
                <w:sz w:val="18"/>
              </w:rPr>
              <w:t>year</w:t>
            </w:r>
            <w:r w:rsidRPr="00EC20A0">
              <w:rPr>
                <w:spacing w:val="-24"/>
                <w:sz w:val="18"/>
              </w:rPr>
              <w:t xml:space="preserve"> </w:t>
            </w:r>
            <w:r w:rsidRPr="00EC20A0">
              <w:rPr>
                <w:spacing w:val="-2"/>
                <w:sz w:val="18"/>
              </w:rPr>
              <w:t>.............................................</w:t>
            </w:r>
          </w:p>
        </w:tc>
        <w:tc>
          <w:tcPr>
            <w:tcW w:w="1141" w:type="dxa"/>
          </w:tcPr>
          <w:p w14:paraId="24D61907" w14:textId="77777777" w:rsidR="00245300" w:rsidRPr="00EC20A0" w:rsidRDefault="00245300">
            <w:pPr>
              <w:pStyle w:val="TableParagraph"/>
              <w:rPr>
                <w:sz w:val="18"/>
              </w:rPr>
            </w:pPr>
          </w:p>
          <w:p w14:paraId="24D61908" w14:textId="77777777" w:rsidR="00245300" w:rsidRPr="00EC20A0" w:rsidRDefault="00245300">
            <w:pPr>
              <w:pStyle w:val="TableParagraph"/>
              <w:spacing w:before="14"/>
              <w:rPr>
                <w:sz w:val="18"/>
              </w:rPr>
            </w:pPr>
          </w:p>
          <w:p w14:paraId="24D61909" w14:textId="77777777" w:rsidR="00245300" w:rsidRPr="00EC20A0" w:rsidRDefault="00F17249">
            <w:pPr>
              <w:pStyle w:val="TableParagraph"/>
              <w:ind w:right="162"/>
              <w:jc w:val="right"/>
              <w:rPr>
                <w:sz w:val="18"/>
              </w:rPr>
            </w:pPr>
            <w:r w:rsidRPr="00EC20A0">
              <w:rPr>
                <w:spacing w:val="-2"/>
                <w:sz w:val="18"/>
                <w:u w:val="single"/>
              </w:rPr>
              <w:t>(50,000)</w:t>
            </w:r>
          </w:p>
        </w:tc>
        <w:tc>
          <w:tcPr>
            <w:tcW w:w="3422" w:type="dxa"/>
            <w:vMerge w:val="restart"/>
            <w:tcBorders>
              <w:right w:val="single" w:sz="4" w:space="0" w:color="000000"/>
            </w:tcBorders>
          </w:tcPr>
          <w:p w14:paraId="24D6190A" w14:textId="77777777" w:rsidR="00245300" w:rsidRPr="00EC20A0" w:rsidRDefault="00F17249">
            <w:pPr>
              <w:pStyle w:val="TableParagraph"/>
              <w:spacing w:before="13"/>
              <w:ind w:left="53" w:right="90"/>
              <w:rPr>
                <w:i/>
                <w:sz w:val="18"/>
              </w:rPr>
            </w:pPr>
            <w:r w:rsidRPr="00EC20A0">
              <w:rPr>
                <w:i/>
                <w:sz w:val="18"/>
              </w:rPr>
              <w:t>When reconciled and adjusted, Seller Revenue</w:t>
            </w:r>
            <w:r w:rsidRPr="00EC20A0">
              <w:rPr>
                <w:i/>
                <w:spacing w:val="-6"/>
                <w:sz w:val="18"/>
              </w:rPr>
              <w:t xml:space="preserve"> </w:t>
            </w:r>
            <w:r w:rsidRPr="00EC20A0">
              <w:rPr>
                <w:i/>
                <w:sz w:val="18"/>
              </w:rPr>
              <w:t>and</w:t>
            </w:r>
            <w:r w:rsidRPr="00EC20A0">
              <w:rPr>
                <w:i/>
                <w:spacing w:val="-6"/>
                <w:sz w:val="18"/>
              </w:rPr>
              <w:t xml:space="preserve"> </w:t>
            </w:r>
            <w:r w:rsidRPr="00EC20A0">
              <w:rPr>
                <w:i/>
                <w:sz w:val="18"/>
              </w:rPr>
              <w:t>Buyer</w:t>
            </w:r>
            <w:r w:rsidRPr="00EC20A0">
              <w:rPr>
                <w:i/>
                <w:spacing w:val="-7"/>
                <w:sz w:val="18"/>
              </w:rPr>
              <w:t xml:space="preserve"> </w:t>
            </w:r>
            <w:r w:rsidRPr="00EC20A0">
              <w:rPr>
                <w:i/>
                <w:sz w:val="18"/>
              </w:rPr>
              <w:t>Cost</w:t>
            </w:r>
            <w:r w:rsidRPr="00EC20A0">
              <w:rPr>
                <w:i/>
                <w:spacing w:val="-7"/>
                <w:sz w:val="18"/>
              </w:rPr>
              <w:t xml:space="preserve"> </w:t>
            </w:r>
            <w:r w:rsidRPr="00EC20A0">
              <w:rPr>
                <w:i/>
                <w:sz w:val="18"/>
              </w:rPr>
              <w:t>may</w:t>
            </w:r>
            <w:r w:rsidRPr="00EC20A0">
              <w:rPr>
                <w:i/>
                <w:spacing w:val="-7"/>
                <w:sz w:val="18"/>
              </w:rPr>
              <w:t xml:space="preserve"> </w:t>
            </w:r>
            <w:r w:rsidRPr="00EC20A0">
              <w:rPr>
                <w:i/>
                <w:sz w:val="18"/>
              </w:rPr>
              <w:t>not</w:t>
            </w:r>
            <w:r w:rsidRPr="00EC20A0">
              <w:rPr>
                <w:i/>
                <w:spacing w:val="-7"/>
                <w:sz w:val="18"/>
              </w:rPr>
              <w:t xml:space="preserve"> </w:t>
            </w:r>
            <w:r w:rsidRPr="00EC20A0">
              <w:rPr>
                <w:i/>
                <w:sz w:val="18"/>
              </w:rPr>
              <w:t xml:space="preserve">agree because of timing differences. This difference should be resolved by year- </w:t>
            </w:r>
            <w:r w:rsidRPr="00EC20A0">
              <w:rPr>
                <w:i/>
                <w:spacing w:val="-4"/>
                <w:sz w:val="18"/>
              </w:rPr>
              <w:t>end.</w:t>
            </w:r>
          </w:p>
        </w:tc>
      </w:tr>
      <w:tr w:rsidR="00245300" w:rsidRPr="00EC20A0" w14:paraId="24D6190F" w14:textId="77777777">
        <w:trPr>
          <w:trHeight w:hRule="exact" w:val="310"/>
        </w:trPr>
        <w:tc>
          <w:tcPr>
            <w:tcW w:w="4797" w:type="dxa"/>
            <w:vMerge w:val="restart"/>
            <w:tcBorders>
              <w:left w:val="single" w:sz="4" w:space="0" w:color="000000"/>
              <w:bottom w:val="single" w:sz="4" w:space="0" w:color="000000"/>
            </w:tcBorders>
          </w:tcPr>
          <w:p w14:paraId="24D6190C" w14:textId="77777777" w:rsidR="00245300" w:rsidRPr="00EC20A0" w:rsidRDefault="00F17249">
            <w:pPr>
              <w:pStyle w:val="TableParagraph"/>
              <w:spacing w:before="116"/>
              <w:ind w:left="103"/>
              <w:rPr>
                <w:sz w:val="18"/>
              </w:rPr>
            </w:pPr>
            <w:r w:rsidRPr="00EC20A0">
              <w:rPr>
                <w:sz w:val="18"/>
              </w:rPr>
              <w:t>Intragovernmental purchases included in cost – accrual basis,</w:t>
            </w:r>
            <w:r w:rsidRPr="00EC20A0">
              <w:rPr>
                <w:spacing w:val="-6"/>
                <w:sz w:val="18"/>
              </w:rPr>
              <w:t xml:space="preserve"> </w:t>
            </w:r>
            <w:r w:rsidRPr="00EC20A0">
              <w:rPr>
                <w:sz w:val="18"/>
              </w:rPr>
              <w:t>FY</w:t>
            </w:r>
            <w:r w:rsidRPr="00EC20A0">
              <w:rPr>
                <w:spacing w:val="-4"/>
                <w:sz w:val="18"/>
              </w:rPr>
              <w:t xml:space="preserve"> </w:t>
            </w:r>
            <w:r w:rsidRPr="00EC20A0">
              <w:rPr>
                <w:sz w:val="18"/>
              </w:rPr>
              <w:t>20XX,</w:t>
            </w:r>
            <w:r w:rsidRPr="00EC20A0">
              <w:rPr>
                <w:spacing w:val="-4"/>
                <w:sz w:val="18"/>
              </w:rPr>
              <w:t xml:space="preserve"> </w:t>
            </w:r>
            <w:r w:rsidRPr="00EC20A0">
              <w:rPr>
                <w:sz w:val="18"/>
              </w:rPr>
              <w:t>from</w:t>
            </w:r>
            <w:r w:rsidRPr="00EC20A0">
              <w:rPr>
                <w:spacing w:val="-4"/>
                <w:sz w:val="18"/>
              </w:rPr>
              <w:t xml:space="preserve"> </w:t>
            </w:r>
            <w:r w:rsidRPr="00EC20A0">
              <w:rPr>
                <w:sz w:val="18"/>
              </w:rPr>
              <w:t>Trading</w:t>
            </w:r>
            <w:r w:rsidRPr="00EC20A0">
              <w:rPr>
                <w:spacing w:val="-5"/>
                <w:sz w:val="18"/>
              </w:rPr>
              <w:t xml:space="preserve"> </w:t>
            </w:r>
            <w:r w:rsidRPr="00EC20A0">
              <w:rPr>
                <w:sz w:val="18"/>
              </w:rPr>
              <w:t>Partner</w:t>
            </w:r>
            <w:r w:rsidRPr="00EC20A0">
              <w:rPr>
                <w:spacing w:val="-4"/>
                <w:sz w:val="18"/>
              </w:rPr>
              <w:t xml:space="preserve"> </w:t>
            </w:r>
            <w:r w:rsidRPr="00EC20A0">
              <w:rPr>
                <w:sz w:val="18"/>
              </w:rPr>
              <w:t>1</w:t>
            </w:r>
            <w:r w:rsidRPr="00EC20A0">
              <w:rPr>
                <w:spacing w:val="-16"/>
                <w:sz w:val="18"/>
              </w:rPr>
              <w:t xml:space="preserve"> </w:t>
            </w:r>
            <w:r w:rsidRPr="00EC20A0">
              <w:rPr>
                <w:sz w:val="18"/>
              </w:rPr>
              <w:t>.............................</w:t>
            </w:r>
          </w:p>
        </w:tc>
        <w:tc>
          <w:tcPr>
            <w:tcW w:w="1141" w:type="dxa"/>
          </w:tcPr>
          <w:p w14:paraId="24D6190D" w14:textId="77777777" w:rsidR="00245300" w:rsidRPr="00EC20A0" w:rsidRDefault="00245300">
            <w:pPr>
              <w:pStyle w:val="TableParagraph"/>
              <w:rPr>
                <w:sz w:val="18"/>
              </w:rPr>
            </w:pPr>
          </w:p>
        </w:tc>
        <w:tc>
          <w:tcPr>
            <w:tcW w:w="3422" w:type="dxa"/>
            <w:vMerge/>
            <w:tcBorders>
              <w:top w:val="nil"/>
              <w:right w:val="single" w:sz="4" w:space="0" w:color="000000"/>
            </w:tcBorders>
          </w:tcPr>
          <w:p w14:paraId="24D6190E" w14:textId="77777777" w:rsidR="00245300" w:rsidRPr="00EC20A0" w:rsidRDefault="00245300">
            <w:pPr>
              <w:rPr>
                <w:sz w:val="2"/>
                <w:szCs w:val="2"/>
              </w:rPr>
            </w:pPr>
          </w:p>
        </w:tc>
      </w:tr>
      <w:tr w:rsidR="00245300" w:rsidRPr="00EC20A0" w14:paraId="24D61913" w14:textId="77777777">
        <w:trPr>
          <w:trHeight w:hRule="exact" w:val="345"/>
        </w:trPr>
        <w:tc>
          <w:tcPr>
            <w:tcW w:w="4797" w:type="dxa"/>
            <w:vMerge/>
            <w:tcBorders>
              <w:top w:val="nil"/>
              <w:left w:val="single" w:sz="4" w:space="0" w:color="000000"/>
              <w:bottom w:val="single" w:sz="4" w:space="0" w:color="000000"/>
            </w:tcBorders>
          </w:tcPr>
          <w:p w14:paraId="24D61910" w14:textId="77777777" w:rsidR="00245300" w:rsidRPr="00EC20A0" w:rsidRDefault="00245300">
            <w:pPr>
              <w:rPr>
                <w:sz w:val="2"/>
                <w:szCs w:val="2"/>
              </w:rPr>
            </w:pPr>
          </w:p>
        </w:tc>
        <w:tc>
          <w:tcPr>
            <w:tcW w:w="1141" w:type="dxa"/>
            <w:tcBorders>
              <w:bottom w:val="single" w:sz="4" w:space="0" w:color="000000"/>
            </w:tcBorders>
          </w:tcPr>
          <w:p w14:paraId="24D61911" w14:textId="77777777" w:rsidR="00245300" w:rsidRPr="00EC20A0" w:rsidRDefault="00F17249">
            <w:pPr>
              <w:pStyle w:val="TableParagraph"/>
              <w:spacing w:before="13"/>
              <w:ind w:right="161"/>
              <w:jc w:val="right"/>
              <w:rPr>
                <w:b/>
                <w:sz w:val="18"/>
              </w:rPr>
            </w:pPr>
            <w:r w:rsidRPr="00EC20A0">
              <w:rPr>
                <w:b/>
                <w:spacing w:val="-2"/>
                <w:sz w:val="18"/>
                <w:u w:val="double"/>
              </w:rPr>
              <w:t>$180,000</w:t>
            </w:r>
          </w:p>
        </w:tc>
        <w:tc>
          <w:tcPr>
            <w:tcW w:w="3422" w:type="dxa"/>
            <w:tcBorders>
              <w:bottom w:val="single" w:sz="4" w:space="0" w:color="000000"/>
              <w:right w:val="single" w:sz="4" w:space="0" w:color="000000"/>
            </w:tcBorders>
          </w:tcPr>
          <w:p w14:paraId="24D61912" w14:textId="77777777" w:rsidR="00245300" w:rsidRPr="00EC20A0" w:rsidRDefault="00245300">
            <w:pPr>
              <w:pStyle w:val="TableParagraph"/>
              <w:rPr>
                <w:sz w:val="18"/>
              </w:rPr>
            </w:pPr>
          </w:p>
        </w:tc>
      </w:tr>
    </w:tbl>
    <w:p w14:paraId="24D61914" w14:textId="77777777" w:rsidR="00245300" w:rsidRPr="00EC20A0" w:rsidRDefault="00245300">
      <w:pPr>
        <w:rPr>
          <w:sz w:val="18"/>
        </w:rPr>
        <w:sectPr w:rsidR="00245300" w:rsidRPr="00EC20A0">
          <w:headerReference w:type="default" r:id="rId151"/>
          <w:footerReference w:type="default" r:id="rId152"/>
          <w:pgSz w:w="12240" w:h="15840"/>
          <w:pgMar w:top="1300" w:right="1100" w:bottom="940" w:left="1240" w:header="721" w:footer="757" w:gutter="0"/>
          <w:cols w:space="720"/>
        </w:sectPr>
      </w:pPr>
    </w:p>
    <w:p w14:paraId="24D61915" w14:textId="77777777" w:rsidR="00245300" w:rsidRPr="00EC20A0" w:rsidRDefault="00F17249">
      <w:pPr>
        <w:pStyle w:val="Heading3"/>
        <w:ind w:left="200"/>
        <w:rPr>
          <w:u w:val="none"/>
        </w:rPr>
      </w:pPr>
      <w:bookmarkStart w:id="294" w:name="903_–_Auditing_Cost_Information"/>
      <w:bookmarkStart w:id="295" w:name="_bookmark169"/>
      <w:bookmarkEnd w:id="294"/>
      <w:bookmarkEnd w:id="295"/>
      <w:r w:rsidRPr="00EC20A0">
        <w:t>903</w:t>
      </w:r>
      <w:r w:rsidRPr="00EC20A0">
        <w:rPr>
          <w:spacing w:val="-4"/>
        </w:rPr>
        <w:t xml:space="preserve"> </w:t>
      </w:r>
      <w:r w:rsidRPr="00EC20A0">
        <w:t>–</w:t>
      </w:r>
      <w:r w:rsidRPr="00EC20A0">
        <w:rPr>
          <w:spacing w:val="-14"/>
        </w:rPr>
        <w:t xml:space="preserve"> </w:t>
      </w:r>
      <w:r w:rsidRPr="00EC20A0">
        <w:t>Auditing</w:t>
      </w:r>
      <w:r w:rsidRPr="00EC20A0">
        <w:rPr>
          <w:spacing w:val="-3"/>
        </w:rPr>
        <w:t xml:space="preserve"> </w:t>
      </w:r>
      <w:r w:rsidRPr="00EC20A0">
        <w:t>Cost</w:t>
      </w:r>
      <w:r w:rsidRPr="00EC20A0">
        <w:rPr>
          <w:spacing w:val="-3"/>
        </w:rPr>
        <w:t xml:space="preserve"> </w:t>
      </w:r>
      <w:r w:rsidRPr="00EC20A0">
        <w:rPr>
          <w:spacing w:val="-2"/>
        </w:rPr>
        <w:t>Information</w:t>
      </w:r>
    </w:p>
    <w:p w14:paraId="24D61916" w14:textId="77777777" w:rsidR="00245300" w:rsidRPr="00EC20A0" w:rsidRDefault="00245300">
      <w:pPr>
        <w:pStyle w:val="BodyText"/>
        <w:spacing w:before="106"/>
        <w:rPr>
          <w:b/>
        </w:rPr>
      </w:pPr>
    </w:p>
    <w:p w14:paraId="24D61917" w14:textId="77777777" w:rsidR="00245300" w:rsidRPr="00EC20A0" w:rsidRDefault="00F17249">
      <w:pPr>
        <w:pStyle w:val="ListParagraph"/>
        <w:numPr>
          <w:ilvl w:val="0"/>
          <w:numId w:val="6"/>
        </w:numPr>
        <w:tabs>
          <w:tab w:val="left" w:pos="1640"/>
        </w:tabs>
        <w:spacing w:before="0"/>
        <w:ind w:right="505"/>
      </w:pPr>
      <w:r w:rsidRPr="00EC20A0">
        <w:t xml:space="preserve">FAM 903 </w:t>
      </w:r>
      <w:r w:rsidRPr="00EC20A0">
        <w:t>provides general guidance for auditors on identifying cost information and</w:t>
      </w:r>
      <w:r w:rsidRPr="00EC20A0">
        <w:rPr>
          <w:spacing w:val="-5"/>
        </w:rPr>
        <w:t xml:space="preserve"> </w:t>
      </w:r>
      <w:r w:rsidRPr="00EC20A0">
        <w:t>planning</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The</w:t>
      </w:r>
      <w:r w:rsidRPr="00EC20A0">
        <w:rPr>
          <w:spacing w:val="-6"/>
        </w:rPr>
        <w:t xml:space="preserve"> </w:t>
      </w:r>
      <w:r w:rsidRPr="00EC20A0">
        <w:t>auditor</w:t>
      </w:r>
      <w:r w:rsidRPr="00EC20A0">
        <w:rPr>
          <w:spacing w:val="-5"/>
        </w:rPr>
        <w:t xml:space="preserve"> </w:t>
      </w:r>
      <w:r w:rsidRPr="00EC20A0">
        <w:t>should</w:t>
      </w:r>
      <w:r w:rsidRPr="00EC20A0">
        <w:rPr>
          <w:spacing w:val="-5"/>
        </w:rPr>
        <w:t xml:space="preserve"> </w:t>
      </w:r>
      <w:r w:rsidRPr="00EC20A0">
        <w:t>coordinate</w:t>
      </w:r>
      <w:r w:rsidRPr="00EC20A0">
        <w:rPr>
          <w:spacing w:val="-5"/>
        </w:rPr>
        <w:t xml:space="preserve"> </w:t>
      </w:r>
      <w:r w:rsidRPr="00EC20A0">
        <w:t>these</w:t>
      </w:r>
      <w:r w:rsidRPr="00EC20A0">
        <w:rPr>
          <w:spacing w:val="-5"/>
        </w:rPr>
        <w:t xml:space="preserve"> </w:t>
      </w:r>
      <w:r w:rsidRPr="00EC20A0">
        <w:t>procedures with procedures for auditing various line items and accounts. The auditor is generally concerned about cost information for the following reasons:</w:t>
      </w:r>
    </w:p>
    <w:p w14:paraId="24D61918" w14:textId="77777777" w:rsidR="00245300" w:rsidRPr="00EC20A0" w:rsidRDefault="00F17249">
      <w:pPr>
        <w:pStyle w:val="ListParagraph"/>
        <w:numPr>
          <w:ilvl w:val="1"/>
          <w:numId w:val="6"/>
        </w:numPr>
        <w:tabs>
          <w:tab w:val="left" w:pos="1999"/>
        </w:tabs>
        <w:spacing w:before="241"/>
        <w:ind w:left="1999" w:right="403"/>
      </w:pPr>
      <w:r w:rsidRPr="00EC20A0">
        <w:t>The auditor should obtain sufficient evidence to determine whether costs are presented</w:t>
      </w:r>
      <w:r w:rsidRPr="00EC20A0">
        <w:rPr>
          <w:spacing w:val="-5"/>
        </w:rPr>
        <w:t xml:space="preserve"> </w:t>
      </w:r>
      <w:r w:rsidRPr="00EC20A0">
        <w:t>fairly</w:t>
      </w:r>
      <w:r w:rsidRPr="00EC20A0">
        <w:rPr>
          <w:spacing w:val="-5"/>
        </w:rPr>
        <w:t xml:space="preserve"> </w:t>
      </w:r>
      <w:r w:rsidRPr="00EC20A0">
        <w:t>in</w:t>
      </w:r>
      <w:r w:rsidRPr="00EC20A0">
        <w:rPr>
          <w:spacing w:val="-5"/>
        </w:rPr>
        <w:t xml:space="preserve"> </w:t>
      </w:r>
      <w:r w:rsidRPr="00EC20A0">
        <w:t>entity</w:t>
      </w:r>
      <w:r w:rsidRPr="00EC20A0">
        <w:rPr>
          <w:spacing w:val="-5"/>
        </w:rPr>
        <w:t xml:space="preserve"> </w:t>
      </w:r>
      <w:r w:rsidRPr="00EC20A0">
        <w:t>financial</w:t>
      </w:r>
      <w:r w:rsidRPr="00EC20A0">
        <w:rPr>
          <w:spacing w:val="-6"/>
        </w:rPr>
        <w:t xml:space="preserve"> </w:t>
      </w:r>
      <w:r w:rsidRPr="00EC20A0">
        <w:t>statements</w:t>
      </w:r>
      <w:r w:rsidRPr="00EC20A0">
        <w:rPr>
          <w:spacing w:val="-5"/>
        </w:rPr>
        <w:t xml:space="preserve"> </w:t>
      </w:r>
      <w:r w:rsidRPr="00EC20A0">
        <w:t>and</w:t>
      </w:r>
      <w:r w:rsidRPr="00EC20A0">
        <w:rPr>
          <w:spacing w:val="-5"/>
        </w:rPr>
        <w:t xml:space="preserve"> </w:t>
      </w:r>
      <w:r w:rsidRPr="00EC20A0">
        <w:t>are</w:t>
      </w:r>
      <w:r w:rsidRPr="00EC20A0">
        <w:rPr>
          <w:spacing w:val="-5"/>
        </w:rPr>
        <w:t xml:space="preserve"> </w:t>
      </w:r>
      <w:r w:rsidRPr="00EC20A0">
        <w:t>appropriately</w:t>
      </w:r>
      <w:r w:rsidRPr="00EC20A0">
        <w:rPr>
          <w:spacing w:val="-5"/>
        </w:rPr>
        <w:t xml:space="preserve"> </w:t>
      </w:r>
      <w:r w:rsidRPr="00EC20A0">
        <w:t>classified, such as between intragovernmental and non-intragovernmental costs or by designated programs. Proper classifications of costs at the entity level also contribute to proper classification of costs in the consolidated financial statements of the U.S. government.</w:t>
      </w:r>
    </w:p>
    <w:p w14:paraId="24D61919" w14:textId="77777777" w:rsidR="00245300" w:rsidRPr="00EC20A0" w:rsidRDefault="00F17249">
      <w:pPr>
        <w:pStyle w:val="ListParagraph"/>
        <w:numPr>
          <w:ilvl w:val="1"/>
          <w:numId w:val="6"/>
        </w:numPr>
        <w:tabs>
          <w:tab w:val="left" w:pos="1999"/>
        </w:tabs>
        <w:spacing w:before="238"/>
        <w:ind w:left="1999" w:right="646"/>
      </w:pPr>
      <w:r w:rsidRPr="00EC20A0">
        <w:t>For</w:t>
      </w:r>
      <w:r w:rsidRPr="00EC20A0">
        <w:rPr>
          <w:spacing w:val="-4"/>
        </w:rPr>
        <w:t xml:space="preserve"> </w:t>
      </w:r>
      <w:r w:rsidRPr="00EC20A0">
        <w:t>CFO</w:t>
      </w:r>
      <w:r w:rsidRPr="00EC20A0">
        <w:rPr>
          <w:spacing w:val="-5"/>
        </w:rPr>
        <w:t xml:space="preserve"> </w:t>
      </w:r>
      <w:r w:rsidRPr="00EC20A0">
        <w:t>Act</w:t>
      </w:r>
      <w:r w:rsidRPr="00EC20A0">
        <w:rPr>
          <w:spacing w:val="-4"/>
        </w:rPr>
        <w:t xml:space="preserve"> </w:t>
      </w:r>
      <w:r w:rsidRPr="00EC20A0">
        <w:t>agencies,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must</w:t>
      </w:r>
      <w:r w:rsidRPr="00EC20A0">
        <w:rPr>
          <w:spacing w:val="-4"/>
        </w:rPr>
        <w:t xml:space="preserve"> </w:t>
      </w:r>
      <w:r w:rsidRPr="00EC20A0">
        <w:t>evaluate</w:t>
      </w:r>
      <w:r w:rsidRPr="00EC20A0">
        <w:rPr>
          <w:spacing w:val="-5"/>
        </w:rPr>
        <w:t xml:space="preserve"> </w:t>
      </w:r>
      <w:r w:rsidRPr="00EC20A0">
        <w:t>whether</w:t>
      </w:r>
      <w:r w:rsidRPr="00EC20A0">
        <w:rPr>
          <w:spacing w:val="-4"/>
        </w:rPr>
        <w:t xml:space="preserve"> </w:t>
      </w:r>
      <w:r w:rsidRPr="00EC20A0">
        <w:t>agency</w:t>
      </w:r>
      <w:r w:rsidRPr="00EC20A0">
        <w:rPr>
          <w:spacing w:val="-4"/>
        </w:rPr>
        <w:t xml:space="preserve"> </w:t>
      </w:r>
      <w:r w:rsidRPr="00EC20A0">
        <w:t>financial management systems comply substantially with the three requirements of FFMIA, including applicable federal accounting standards, such as cost accounting standards.</w:t>
      </w:r>
    </w:p>
    <w:p w14:paraId="24D6191A" w14:textId="77777777" w:rsidR="00245300" w:rsidRPr="00EC20A0" w:rsidRDefault="00F17249">
      <w:pPr>
        <w:pStyle w:val="ListParagraph"/>
        <w:numPr>
          <w:ilvl w:val="1"/>
          <w:numId w:val="6"/>
        </w:numPr>
        <w:tabs>
          <w:tab w:val="left" w:pos="1999"/>
        </w:tabs>
        <w:spacing w:before="238"/>
        <w:ind w:left="1999" w:right="351"/>
      </w:pPr>
      <w:r w:rsidRPr="00EC20A0">
        <w:t>Although the auditor does not opine on the MD&amp;A, cost information is important to the MD&amp;A, particularly as it relates to developing performance measures.</w:t>
      </w:r>
      <w:r w:rsidRPr="00EC20A0">
        <w:rPr>
          <w:spacing w:val="-1"/>
        </w:rPr>
        <w:t xml:space="preserve"> </w:t>
      </w:r>
      <w:r w:rsidRPr="00EC20A0">
        <w:t>The</w:t>
      </w:r>
      <w:r w:rsidRPr="00EC20A0">
        <w:rPr>
          <w:spacing w:val="-1"/>
        </w:rPr>
        <w:t xml:space="preserve"> </w:t>
      </w:r>
      <w:r w:rsidRPr="00EC20A0">
        <w:t>relevant</w:t>
      </w:r>
      <w:r w:rsidRPr="00EC20A0">
        <w:rPr>
          <w:spacing w:val="-2"/>
        </w:rPr>
        <w:t xml:space="preserve"> </w:t>
      </w:r>
      <w:r w:rsidRPr="00EC20A0">
        <w:t>accounting</w:t>
      </w:r>
      <w:r w:rsidRPr="00EC20A0">
        <w:rPr>
          <w:spacing w:val="-2"/>
        </w:rPr>
        <w:t xml:space="preserve"> </w:t>
      </w:r>
      <w:r w:rsidRPr="00EC20A0">
        <w:t>standard</w:t>
      </w:r>
      <w:r w:rsidRPr="00EC20A0">
        <w:rPr>
          <w:spacing w:val="-1"/>
        </w:rPr>
        <w:t xml:space="preserve"> </w:t>
      </w:r>
      <w:r w:rsidRPr="00EC20A0">
        <w:t>for</w:t>
      </w:r>
      <w:r w:rsidRPr="00EC20A0">
        <w:rPr>
          <w:spacing w:val="-2"/>
        </w:rPr>
        <w:t xml:space="preserve"> </w:t>
      </w:r>
      <w:r w:rsidRPr="00EC20A0">
        <w:t>cost</w:t>
      </w:r>
      <w:r w:rsidRPr="00EC20A0">
        <w:rPr>
          <w:spacing w:val="-1"/>
        </w:rPr>
        <w:t xml:space="preserve"> </w:t>
      </w:r>
      <w:r w:rsidRPr="00EC20A0">
        <w:t>information</w:t>
      </w:r>
      <w:r w:rsidRPr="00EC20A0">
        <w:rPr>
          <w:spacing w:val="-1"/>
        </w:rPr>
        <w:t xml:space="preserve"> </w:t>
      </w:r>
      <w:r w:rsidRPr="00EC20A0">
        <w:t>is</w:t>
      </w:r>
      <w:r w:rsidRPr="00EC20A0">
        <w:rPr>
          <w:spacing w:val="-1"/>
        </w:rPr>
        <w:t xml:space="preserve"> </w:t>
      </w:r>
      <w:r w:rsidRPr="00EC20A0">
        <w:t>SFFAS</w:t>
      </w:r>
      <w:r w:rsidRPr="00EC20A0">
        <w:rPr>
          <w:spacing w:val="-1"/>
        </w:rPr>
        <w:t xml:space="preserve"> </w:t>
      </w:r>
      <w:r w:rsidRPr="00EC20A0">
        <w:t xml:space="preserve">4, </w:t>
      </w:r>
      <w:r w:rsidRPr="00EC20A0">
        <w:rPr>
          <w:i/>
        </w:rPr>
        <w:t>Managerial Cost Accounting</w:t>
      </w:r>
      <w:r w:rsidRPr="00EC20A0">
        <w:t xml:space="preserve">, as amended by SFFAS 55, </w:t>
      </w:r>
      <w:r w:rsidRPr="00EC20A0">
        <w:rPr>
          <w:i/>
        </w:rPr>
        <w:t>Amending Inter- entity</w:t>
      </w:r>
      <w:r w:rsidRPr="00EC20A0">
        <w:rPr>
          <w:i/>
          <w:spacing w:val="-4"/>
        </w:rPr>
        <w:t xml:space="preserve"> </w:t>
      </w:r>
      <w:r w:rsidRPr="00EC20A0">
        <w:rPr>
          <w:i/>
        </w:rPr>
        <w:t>Cost</w:t>
      </w:r>
      <w:r w:rsidRPr="00EC20A0">
        <w:rPr>
          <w:i/>
          <w:spacing w:val="-5"/>
        </w:rPr>
        <w:t xml:space="preserve"> </w:t>
      </w:r>
      <w:r w:rsidRPr="00EC20A0">
        <w:rPr>
          <w:i/>
        </w:rPr>
        <w:t>Provisions</w:t>
      </w:r>
      <w:r w:rsidRPr="00EC20A0">
        <w:t>.</w:t>
      </w:r>
      <w:r w:rsidRPr="00EC20A0">
        <w:rPr>
          <w:spacing w:val="-5"/>
        </w:rPr>
        <w:t xml:space="preserve"> </w:t>
      </w:r>
      <w:r w:rsidRPr="00EC20A0">
        <w:t>These</w:t>
      </w:r>
      <w:r w:rsidRPr="00EC20A0">
        <w:rPr>
          <w:spacing w:val="-4"/>
        </w:rPr>
        <w:t xml:space="preserve"> </w:t>
      </w:r>
      <w:r w:rsidRPr="00EC20A0">
        <w:t>standards</w:t>
      </w:r>
      <w:r w:rsidRPr="00EC20A0">
        <w:rPr>
          <w:spacing w:val="-3"/>
        </w:rPr>
        <w:t xml:space="preserve"> </w:t>
      </w:r>
      <w:r w:rsidRPr="00EC20A0">
        <w:t>are</w:t>
      </w:r>
      <w:r w:rsidRPr="00EC20A0">
        <w:rPr>
          <w:spacing w:val="-4"/>
        </w:rPr>
        <w:t xml:space="preserve"> </w:t>
      </w:r>
      <w:r w:rsidRPr="00EC20A0">
        <w:t>relevant</w:t>
      </w:r>
      <w:r w:rsidRPr="00EC20A0">
        <w:rPr>
          <w:spacing w:val="-4"/>
        </w:rPr>
        <w:t xml:space="preserve"> </w:t>
      </w:r>
      <w:r w:rsidRPr="00EC20A0">
        <w:t>both</w:t>
      </w:r>
      <w:r w:rsidRPr="00EC20A0">
        <w:rPr>
          <w:spacing w:val="-4"/>
        </w:rPr>
        <w:t xml:space="preserve"> </w:t>
      </w:r>
      <w:r w:rsidRPr="00EC20A0">
        <w:t>to</w:t>
      </w:r>
      <w:r w:rsidRPr="00EC20A0">
        <w:rPr>
          <w:spacing w:val="-4"/>
        </w:rPr>
        <w:t xml:space="preserve"> </w:t>
      </w:r>
      <w:r w:rsidRPr="00EC20A0">
        <w:t>external</w:t>
      </w:r>
      <w:r w:rsidRPr="00EC20A0">
        <w:rPr>
          <w:spacing w:val="-4"/>
        </w:rPr>
        <w:t xml:space="preserve"> </w:t>
      </w:r>
      <w:r w:rsidRPr="00EC20A0">
        <w:t>financial reporting and to cost information for internal management reporting.</w:t>
      </w:r>
    </w:p>
    <w:p w14:paraId="24D6191B" w14:textId="77777777" w:rsidR="00245300" w:rsidRPr="00EC20A0" w:rsidRDefault="00245300">
      <w:pPr>
        <w:pStyle w:val="BodyText"/>
        <w:spacing w:before="46"/>
      </w:pPr>
    </w:p>
    <w:p w14:paraId="24D6191C" w14:textId="77777777" w:rsidR="00245300" w:rsidRPr="00EC20A0" w:rsidRDefault="00F17249">
      <w:pPr>
        <w:pStyle w:val="Heading4"/>
        <w:spacing w:before="0"/>
        <w:ind w:left="200"/>
      </w:pPr>
      <w:bookmarkStart w:id="296" w:name="The_Effect_of_SFFAS_4_and_SFFAS_55"/>
      <w:bookmarkEnd w:id="296"/>
      <w:r w:rsidRPr="00EC20A0">
        <w:t>The</w:t>
      </w:r>
      <w:r w:rsidRPr="00EC20A0">
        <w:rPr>
          <w:spacing w:val="-8"/>
        </w:rPr>
        <w:t xml:space="preserve"> </w:t>
      </w:r>
      <w:r w:rsidRPr="00EC20A0">
        <w:t>Effect</w:t>
      </w:r>
      <w:r w:rsidRPr="00EC20A0">
        <w:rPr>
          <w:spacing w:val="-7"/>
        </w:rPr>
        <w:t xml:space="preserve"> </w:t>
      </w:r>
      <w:r w:rsidRPr="00EC20A0">
        <w:t>of</w:t>
      </w:r>
      <w:r w:rsidRPr="00EC20A0">
        <w:rPr>
          <w:spacing w:val="-7"/>
        </w:rPr>
        <w:t xml:space="preserve"> </w:t>
      </w:r>
      <w:r w:rsidRPr="00EC20A0">
        <w:t>SFFAS</w:t>
      </w:r>
      <w:r w:rsidRPr="00EC20A0">
        <w:rPr>
          <w:spacing w:val="-8"/>
        </w:rPr>
        <w:t xml:space="preserve"> </w:t>
      </w:r>
      <w:r w:rsidRPr="00EC20A0">
        <w:t>4</w:t>
      </w:r>
      <w:r w:rsidRPr="00EC20A0">
        <w:rPr>
          <w:spacing w:val="-7"/>
        </w:rPr>
        <w:t xml:space="preserve"> </w:t>
      </w:r>
      <w:r w:rsidRPr="00EC20A0">
        <w:t>and</w:t>
      </w:r>
      <w:r w:rsidRPr="00EC20A0">
        <w:rPr>
          <w:spacing w:val="-7"/>
        </w:rPr>
        <w:t xml:space="preserve"> </w:t>
      </w:r>
      <w:r w:rsidRPr="00EC20A0">
        <w:t>SFFAS</w:t>
      </w:r>
      <w:r w:rsidRPr="00EC20A0">
        <w:rPr>
          <w:spacing w:val="-8"/>
        </w:rPr>
        <w:t xml:space="preserve"> </w:t>
      </w:r>
      <w:r w:rsidRPr="00EC20A0">
        <w:rPr>
          <w:spacing w:val="-7"/>
        </w:rPr>
        <w:t>55</w:t>
      </w:r>
    </w:p>
    <w:p w14:paraId="24D6191D" w14:textId="77777777" w:rsidR="00245300" w:rsidRPr="00EC20A0" w:rsidRDefault="00F17249">
      <w:pPr>
        <w:pStyle w:val="ListParagraph"/>
        <w:numPr>
          <w:ilvl w:val="0"/>
          <w:numId w:val="6"/>
        </w:numPr>
        <w:tabs>
          <w:tab w:val="left" w:pos="1640"/>
        </w:tabs>
        <w:spacing w:before="299"/>
        <w:ind w:right="357"/>
      </w:pPr>
      <w:r w:rsidRPr="00EC20A0">
        <w:t>SFFAS</w:t>
      </w:r>
      <w:r w:rsidRPr="00EC20A0">
        <w:rPr>
          <w:spacing w:val="-4"/>
        </w:rPr>
        <w:t xml:space="preserve"> </w:t>
      </w:r>
      <w:r w:rsidRPr="00EC20A0">
        <w:t>4,</w:t>
      </w:r>
      <w:r w:rsidRPr="00EC20A0">
        <w:rPr>
          <w:spacing w:val="-4"/>
        </w:rPr>
        <w:t xml:space="preserve"> </w:t>
      </w:r>
      <w:r w:rsidRPr="00EC20A0">
        <w:t>as</w:t>
      </w:r>
      <w:r w:rsidRPr="00EC20A0">
        <w:rPr>
          <w:spacing w:val="-4"/>
        </w:rPr>
        <w:t xml:space="preserve"> </w:t>
      </w:r>
      <w:r w:rsidRPr="00EC20A0">
        <w:t>amended</w:t>
      </w:r>
      <w:r w:rsidRPr="00EC20A0">
        <w:rPr>
          <w:spacing w:val="-4"/>
        </w:rPr>
        <w:t xml:space="preserve"> </w:t>
      </w:r>
      <w:r w:rsidRPr="00EC20A0">
        <w:t>by</w:t>
      </w:r>
      <w:r w:rsidRPr="00EC20A0">
        <w:rPr>
          <w:spacing w:val="-4"/>
        </w:rPr>
        <w:t xml:space="preserve"> </w:t>
      </w:r>
      <w:r w:rsidRPr="00EC20A0">
        <w:t>SFFAS</w:t>
      </w:r>
      <w:r w:rsidRPr="00EC20A0">
        <w:rPr>
          <w:spacing w:val="-4"/>
        </w:rPr>
        <w:t xml:space="preserve"> </w:t>
      </w:r>
      <w:r w:rsidRPr="00EC20A0">
        <w:t>55,</w:t>
      </w:r>
      <w:r w:rsidRPr="00EC20A0">
        <w:rPr>
          <w:spacing w:val="-4"/>
        </w:rPr>
        <w:t xml:space="preserve"> </w:t>
      </w:r>
      <w:r w:rsidRPr="00EC20A0">
        <w:t>establishes</w:t>
      </w:r>
      <w:r w:rsidRPr="00EC20A0">
        <w:rPr>
          <w:spacing w:val="-4"/>
        </w:rPr>
        <w:t xml:space="preserve"> </w:t>
      </w:r>
      <w:r w:rsidRPr="00EC20A0">
        <w:t>the</w:t>
      </w:r>
      <w:r w:rsidRPr="00EC20A0">
        <w:rPr>
          <w:spacing w:val="-4"/>
        </w:rPr>
        <w:t xml:space="preserve"> </w:t>
      </w:r>
      <w:r w:rsidRPr="00EC20A0">
        <w:t>concepts</w:t>
      </w:r>
      <w:r w:rsidRPr="00EC20A0">
        <w:rPr>
          <w:spacing w:val="-4"/>
        </w:rPr>
        <w:t xml:space="preserve"> </w:t>
      </w:r>
      <w:r w:rsidRPr="00EC20A0">
        <w:t>and</w:t>
      </w:r>
      <w:r w:rsidRPr="00EC20A0">
        <w:rPr>
          <w:spacing w:val="-4"/>
        </w:rPr>
        <w:t xml:space="preserve"> </w:t>
      </w:r>
      <w:r w:rsidRPr="00EC20A0">
        <w:t>standards</w:t>
      </w:r>
      <w:r w:rsidRPr="00EC20A0">
        <w:rPr>
          <w:spacing w:val="-4"/>
        </w:rPr>
        <w:t xml:space="preserve"> </w:t>
      </w:r>
      <w:r w:rsidRPr="00EC20A0">
        <w:t>for providing</w:t>
      </w:r>
      <w:r w:rsidRPr="00EC20A0">
        <w:rPr>
          <w:spacing w:val="-1"/>
        </w:rPr>
        <w:t xml:space="preserve"> </w:t>
      </w:r>
      <w:r w:rsidRPr="00EC20A0">
        <w:t>reliable</w:t>
      </w:r>
      <w:r w:rsidRPr="00EC20A0">
        <w:rPr>
          <w:spacing w:val="-1"/>
        </w:rPr>
        <w:t xml:space="preserve"> </w:t>
      </w:r>
      <w:r w:rsidRPr="00EC20A0">
        <w:t>and</w:t>
      </w:r>
      <w:r w:rsidRPr="00EC20A0">
        <w:rPr>
          <w:spacing w:val="-1"/>
        </w:rPr>
        <w:t xml:space="preserve"> </w:t>
      </w:r>
      <w:r w:rsidRPr="00EC20A0">
        <w:t>timely</w:t>
      </w:r>
      <w:r w:rsidRPr="00EC20A0">
        <w:rPr>
          <w:spacing w:val="-1"/>
        </w:rPr>
        <w:t xml:space="preserve"> </w:t>
      </w:r>
      <w:r w:rsidRPr="00EC20A0">
        <w:t>information</w:t>
      </w:r>
      <w:r w:rsidRPr="00EC20A0">
        <w:rPr>
          <w:spacing w:val="-1"/>
        </w:rPr>
        <w:t xml:space="preserve"> </w:t>
      </w:r>
      <w:r w:rsidRPr="00EC20A0">
        <w:t>on</w:t>
      </w:r>
      <w:r w:rsidRPr="00EC20A0">
        <w:rPr>
          <w:spacing w:val="-1"/>
        </w:rPr>
        <w:t xml:space="preserve"> </w:t>
      </w:r>
      <w:r w:rsidRPr="00EC20A0">
        <w:t>the</w:t>
      </w:r>
      <w:r w:rsidRPr="00EC20A0">
        <w:rPr>
          <w:spacing w:val="-2"/>
        </w:rPr>
        <w:t xml:space="preserve"> </w:t>
      </w:r>
      <w:r w:rsidRPr="00EC20A0">
        <w:t>full</w:t>
      </w:r>
      <w:r w:rsidRPr="00EC20A0">
        <w:rPr>
          <w:spacing w:val="-1"/>
        </w:rPr>
        <w:t xml:space="preserve"> </w:t>
      </w:r>
      <w:r w:rsidRPr="00EC20A0">
        <w:t>cost</w:t>
      </w:r>
      <w:r w:rsidRPr="00EC20A0">
        <w:rPr>
          <w:spacing w:val="-2"/>
        </w:rPr>
        <w:t xml:space="preserve"> </w:t>
      </w:r>
      <w:r w:rsidRPr="00EC20A0">
        <w:t>of</w:t>
      </w:r>
      <w:r w:rsidRPr="00EC20A0">
        <w:rPr>
          <w:spacing w:val="-1"/>
        </w:rPr>
        <w:t xml:space="preserve"> </w:t>
      </w:r>
      <w:r w:rsidRPr="00EC20A0">
        <w:t>federal</w:t>
      </w:r>
      <w:r w:rsidRPr="00EC20A0">
        <w:rPr>
          <w:spacing w:val="-1"/>
        </w:rPr>
        <w:t xml:space="preserve"> </w:t>
      </w:r>
      <w:r w:rsidRPr="00EC20A0">
        <w:t>programs,</w:t>
      </w:r>
      <w:r w:rsidRPr="00EC20A0">
        <w:rPr>
          <w:spacing w:val="-1"/>
        </w:rPr>
        <w:t xml:space="preserve"> </w:t>
      </w:r>
      <w:r w:rsidRPr="00EC20A0">
        <w:t>their activities, and outputs. The objectives of managerial cost information specified in SFFAS 4 are as follows:</w:t>
      </w:r>
    </w:p>
    <w:p w14:paraId="24D6191E" w14:textId="77777777" w:rsidR="00245300" w:rsidRPr="00EC20A0" w:rsidRDefault="00F17249">
      <w:pPr>
        <w:pStyle w:val="ListParagraph"/>
        <w:numPr>
          <w:ilvl w:val="1"/>
          <w:numId w:val="6"/>
        </w:numPr>
        <w:tabs>
          <w:tab w:val="left" w:pos="1999"/>
        </w:tabs>
        <w:spacing w:before="121"/>
        <w:ind w:left="1999" w:right="512"/>
      </w:pPr>
      <w:r w:rsidRPr="00EC20A0">
        <w:t>To</w:t>
      </w:r>
      <w:r w:rsidRPr="00EC20A0">
        <w:rPr>
          <w:spacing w:val="-4"/>
        </w:rPr>
        <w:t xml:space="preserve"> </w:t>
      </w:r>
      <w:r w:rsidRPr="00EC20A0">
        <w:t>provide</w:t>
      </w:r>
      <w:r w:rsidRPr="00EC20A0">
        <w:rPr>
          <w:spacing w:val="-4"/>
        </w:rPr>
        <w:t xml:space="preserve"> </w:t>
      </w:r>
      <w:r w:rsidRPr="00EC20A0">
        <w:t>program</w:t>
      </w:r>
      <w:r w:rsidRPr="00EC20A0">
        <w:rPr>
          <w:spacing w:val="-5"/>
        </w:rPr>
        <w:t xml:space="preserve"> </w:t>
      </w:r>
      <w:r w:rsidRPr="00EC20A0">
        <w:t>managers</w:t>
      </w:r>
      <w:r w:rsidRPr="00EC20A0">
        <w:rPr>
          <w:spacing w:val="-4"/>
        </w:rPr>
        <w:t xml:space="preserve"> </w:t>
      </w:r>
      <w:r w:rsidRPr="00EC20A0">
        <w:t>with</w:t>
      </w:r>
      <w:r w:rsidRPr="00EC20A0">
        <w:rPr>
          <w:spacing w:val="-4"/>
        </w:rPr>
        <w:t xml:space="preserve"> </w:t>
      </w:r>
      <w:r w:rsidRPr="00EC20A0">
        <w:t>relevant</w:t>
      </w:r>
      <w:r w:rsidRPr="00EC20A0">
        <w:rPr>
          <w:spacing w:val="-4"/>
        </w:rPr>
        <w:t xml:space="preserve"> </w:t>
      </w:r>
      <w:r w:rsidRPr="00EC20A0">
        <w:t>and</w:t>
      </w:r>
      <w:r w:rsidRPr="00EC20A0">
        <w:rPr>
          <w:spacing w:val="-5"/>
        </w:rPr>
        <w:t xml:space="preserve"> </w:t>
      </w:r>
      <w:r w:rsidRPr="00EC20A0">
        <w:t>reliable</w:t>
      </w:r>
      <w:r w:rsidRPr="00EC20A0">
        <w:rPr>
          <w:spacing w:val="-4"/>
        </w:rPr>
        <w:t xml:space="preserve"> </w:t>
      </w:r>
      <w:r w:rsidRPr="00EC20A0">
        <w:t>information</w:t>
      </w:r>
      <w:r w:rsidRPr="00EC20A0">
        <w:rPr>
          <w:spacing w:val="-4"/>
        </w:rPr>
        <w:t xml:space="preserve"> </w:t>
      </w:r>
      <w:r w:rsidRPr="00EC20A0">
        <w:t xml:space="preserve">relating costs to </w:t>
      </w:r>
      <w:r w:rsidRPr="00EC20A0">
        <w:t>outputs and activities. With this information, program managers should understand the costs of the activities they manage. The cost information should assist them in improving operational efficiency.</w:t>
      </w:r>
    </w:p>
    <w:p w14:paraId="24D6191F" w14:textId="77777777" w:rsidR="00245300" w:rsidRPr="00EC20A0" w:rsidRDefault="00F17249">
      <w:pPr>
        <w:pStyle w:val="ListParagraph"/>
        <w:numPr>
          <w:ilvl w:val="1"/>
          <w:numId w:val="6"/>
        </w:numPr>
        <w:tabs>
          <w:tab w:val="left" w:pos="1999"/>
        </w:tabs>
        <w:spacing w:before="118"/>
        <w:ind w:left="1999" w:right="537"/>
      </w:pPr>
      <w:r w:rsidRPr="00EC20A0">
        <w:t>To</w:t>
      </w:r>
      <w:r w:rsidRPr="00EC20A0">
        <w:rPr>
          <w:spacing w:val="-4"/>
        </w:rPr>
        <w:t xml:space="preserve"> </w:t>
      </w:r>
      <w:r w:rsidRPr="00EC20A0">
        <w:t>provide</w:t>
      </w:r>
      <w:r w:rsidRPr="00EC20A0">
        <w:rPr>
          <w:spacing w:val="-4"/>
        </w:rPr>
        <w:t xml:space="preserve"> </w:t>
      </w:r>
      <w:r w:rsidRPr="00EC20A0">
        <w:t>relevant</w:t>
      </w:r>
      <w:r w:rsidRPr="00EC20A0">
        <w:rPr>
          <w:spacing w:val="-4"/>
        </w:rPr>
        <w:t xml:space="preserve"> </w:t>
      </w:r>
      <w:r w:rsidRPr="00EC20A0">
        <w:t>and</w:t>
      </w:r>
      <w:r w:rsidRPr="00EC20A0">
        <w:rPr>
          <w:spacing w:val="-5"/>
        </w:rPr>
        <w:t xml:space="preserve"> </w:t>
      </w:r>
      <w:r w:rsidRPr="00EC20A0">
        <w:t>reliable</w:t>
      </w:r>
      <w:r w:rsidRPr="00EC20A0">
        <w:rPr>
          <w:spacing w:val="-4"/>
        </w:rPr>
        <w:t xml:space="preserve"> </w:t>
      </w:r>
      <w:r w:rsidRPr="00EC20A0">
        <w:t>cost</w:t>
      </w:r>
      <w:r w:rsidRPr="00EC20A0">
        <w:rPr>
          <w:spacing w:val="-5"/>
        </w:rPr>
        <w:t xml:space="preserve"> </w:t>
      </w:r>
      <w:r w:rsidRPr="00EC20A0">
        <w:t>information</w:t>
      </w:r>
      <w:r w:rsidRPr="00EC20A0">
        <w:rPr>
          <w:spacing w:val="-4"/>
        </w:rPr>
        <w:t xml:space="preserve"> </w:t>
      </w:r>
      <w:r w:rsidRPr="00EC20A0">
        <w:t>to</w:t>
      </w:r>
      <w:r w:rsidRPr="00EC20A0">
        <w:rPr>
          <w:spacing w:val="-4"/>
        </w:rPr>
        <w:t xml:space="preserve"> </w:t>
      </w:r>
      <w:r w:rsidRPr="00EC20A0">
        <w:t>assist</w:t>
      </w:r>
      <w:r w:rsidRPr="00EC20A0">
        <w:rPr>
          <w:spacing w:val="-4"/>
        </w:rPr>
        <w:t xml:space="preserve"> </w:t>
      </w:r>
      <w:r w:rsidRPr="00EC20A0">
        <w:t>the</w:t>
      </w:r>
      <w:r w:rsidRPr="00EC20A0">
        <w:rPr>
          <w:spacing w:val="-4"/>
        </w:rPr>
        <w:t xml:space="preserve"> </w:t>
      </w:r>
      <w:r w:rsidRPr="00EC20A0">
        <w:t>Congress</w:t>
      </w:r>
      <w:r w:rsidRPr="00EC20A0">
        <w:rPr>
          <w:spacing w:val="-4"/>
        </w:rPr>
        <w:t xml:space="preserve"> </w:t>
      </w:r>
      <w:r w:rsidRPr="00EC20A0">
        <w:t>and executives in making decisions about allocating federal resources, authorizing and modifying programs, and evaluating program performance.</w:t>
      </w:r>
    </w:p>
    <w:p w14:paraId="24D61920" w14:textId="77777777" w:rsidR="00245300" w:rsidRPr="00EC20A0" w:rsidRDefault="00F17249">
      <w:pPr>
        <w:pStyle w:val="ListParagraph"/>
        <w:numPr>
          <w:ilvl w:val="1"/>
          <w:numId w:val="6"/>
        </w:numPr>
        <w:tabs>
          <w:tab w:val="left" w:pos="1999"/>
        </w:tabs>
        <w:spacing w:before="118"/>
        <w:ind w:left="1999" w:right="390"/>
      </w:pPr>
      <w:r w:rsidRPr="00EC20A0">
        <w:t>To provide consistency between costs reported in general purpose financial reports</w:t>
      </w:r>
      <w:r w:rsidRPr="00EC20A0">
        <w:rPr>
          <w:spacing w:val="-4"/>
        </w:rPr>
        <w:t xml:space="preserve"> </w:t>
      </w:r>
      <w:r w:rsidRPr="00EC20A0">
        <w:t>and</w:t>
      </w:r>
      <w:r w:rsidRPr="00EC20A0">
        <w:rPr>
          <w:spacing w:val="-5"/>
        </w:rPr>
        <w:t xml:space="preserve"> </w:t>
      </w:r>
      <w:r w:rsidRPr="00EC20A0">
        <w:t>costs</w:t>
      </w:r>
      <w:r w:rsidRPr="00EC20A0">
        <w:rPr>
          <w:spacing w:val="-4"/>
        </w:rPr>
        <w:t xml:space="preserve"> </w:t>
      </w:r>
      <w:r w:rsidRPr="00EC20A0">
        <w:t>reported</w:t>
      </w:r>
      <w:r w:rsidRPr="00EC20A0">
        <w:rPr>
          <w:spacing w:val="-4"/>
        </w:rPr>
        <w:t xml:space="preserve"> </w:t>
      </w:r>
      <w:r w:rsidRPr="00EC20A0">
        <w:t>to</w:t>
      </w:r>
      <w:r w:rsidRPr="00EC20A0">
        <w:rPr>
          <w:spacing w:val="-4"/>
        </w:rPr>
        <w:t xml:space="preserve"> </w:t>
      </w:r>
      <w:r w:rsidRPr="00EC20A0">
        <w:t>program</w:t>
      </w:r>
      <w:r w:rsidRPr="00EC20A0">
        <w:rPr>
          <w:spacing w:val="-5"/>
        </w:rPr>
        <w:t xml:space="preserve"> </w:t>
      </w:r>
      <w:r w:rsidRPr="00EC20A0">
        <w:t>managers.</w:t>
      </w:r>
      <w:r w:rsidRPr="00EC20A0">
        <w:rPr>
          <w:spacing w:val="-4"/>
        </w:rPr>
        <w:t xml:space="preserve"> </w:t>
      </w:r>
      <w:r w:rsidRPr="00EC20A0">
        <w:t>This</w:t>
      </w:r>
      <w:r w:rsidRPr="00EC20A0">
        <w:rPr>
          <w:spacing w:val="-4"/>
        </w:rPr>
        <w:t xml:space="preserve"> </w:t>
      </w:r>
      <w:r w:rsidRPr="00EC20A0">
        <w:t>includes</w:t>
      </w:r>
      <w:r w:rsidRPr="00EC20A0">
        <w:rPr>
          <w:spacing w:val="-4"/>
        </w:rPr>
        <w:t xml:space="preserve"> </w:t>
      </w:r>
      <w:r w:rsidRPr="00EC20A0">
        <w:t>standardizing terminology to improve communication among federal organizations and users of cost information.</w:t>
      </w:r>
    </w:p>
    <w:p w14:paraId="24D61921" w14:textId="77777777" w:rsidR="00245300" w:rsidRPr="00EC20A0" w:rsidRDefault="00F17249">
      <w:pPr>
        <w:pStyle w:val="ListParagraph"/>
        <w:numPr>
          <w:ilvl w:val="0"/>
          <w:numId w:val="6"/>
        </w:numPr>
        <w:tabs>
          <w:tab w:val="left" w:pos="1639"/>
        </w:tabs>
        <w:spacing w:before="238"/>
        <w:ind w:left="1639" w:right="495"/>
      </w:pPr>
      <w:r w:rsidRPr="00EC20A0">
        <w:t>The</w:t>
      </w:r>
      <w:r w:rsidRPr="00EC20A0">
        <w:rPr>
          <w:spacing w:val="-4"/>
        </w:rPr>
        <w:t xml:space="preserve"> </w:t>
      </w:r>
      <w:r w:rsidRPr="00EC20A0">
        <w:t>first</w:t>
      </w:r>
      <w:r w:rsidRPr="00EC20A0">
        <w:rPr>
          <w:spacing w:val="-4"/>
        </w:rPr>
        <w:t xml:space="preserve"> </w:t>
      </w:r>
      <w:r w:rsidRPr="00EC20A0">
        <w:t>two</w:t>
      </w:r>
      <w:r w:rsidRPr="00EC20A0">
        <w:rPr>
          <w:spacing w:val="-5"/>
        </w:rPr>
        <w:t xml:space="preserve"> </w:t>
      </w:r>
      <w:r w:rsidRPr="00EC20A0">
        <w:t>objectives</w:t>
      </w:r>
      <w:r w:rsidRPr="00EC20A0">
        <w:rPr>
          <w:spacing w:val="-4"/>
        </w:rPr>
        <w:t xml:space="preserve"> </w:t>
      </w:r>
      <w:r w:rsidRPr="00EC20A0">
        <w:t>primarily</w:t>
      </w:r>
      <w:r w:rsidRPr="00EC20A0">
        <w:rPr>
          <w:spacing w:val="-4"/>
        </w:rPr>
        <w:t xml:space="preserve"> </w:t>
      </w:r>
      <w:r w:rsidRPr="00EC20A0">
        <w:t>address</w:t>
      </w:r>
      <w:r w:rsidRPr="00EC20A0">
        <w:rPr>
          <w:spacing w:val="-4"/>
        </w:rPr>
        <w:t xml:space="preserve"> </w:t>
      </w:r>
      <w:r w:rsidRPr="00EC20A0">
        <w:t>the</w:t>
      </w:r>
      <w:r w:rsidRPr="00EC20A0">
        <w:rPr>
          <w:spacing w:val="-4"/>
        </w:rPr>
        <w:t xml:space="preserve"> </w:t>
      </w:r>
      <w:r w:rsidRPr="00EC20A0">
        <w:t>managerial</w:t>
      </w:r>
      <w:r w:rsidRPr="00EC20A0">
        <w:rPr>
          <w:spacing w:val="-4"/>
        </w:rPr>
        <w:t xml:space="preserve"> </w:t>
      </w:r>
      <w:r w:rsidRPr="00EC20A0">
        <w:t>use</w:t>
      </w:r>
      <w:r w:rsidRPr="00EC20A0">
        <w:rPr>
          <w:spacing w:val="-5"/>
        </w:rPr>
        <w:t xml:space="preserve"> </w:t>
      </w:r>
      <w:r w:rsidRPr="00EC20A0">
        <w:t>of</w:t>
      </w:r>
      <w:r w:rsidRPr="00EC20A0">
        <w:rPr>
          <w:spacing w:val="-4"/>
        </w:rPr>
        <w:t xml:space="preserve"> </w:t>
      </w:r>
      <w:r w:rsidRPr="00EC20A0">
        <w:t>cost</w:t>
      </w:r>
      <w:r w:rsidRPr="00EC20A0">
        <w:rPr>
          <w:spacing w:val="-4"/>
        </w:rPr>
        <w:t xml:space="preserve"> </w:t>
      </w:r>
      <w:r w:rsidRPr="00EC20A0">
        <w:t>information in improving operating efficiency and cost-effectiveness, making planning and budgeting decisions, and measuring performance. The third objective primarily addresses external financial reporting, which can be achieved by reporting cost</w:t>
      </w:r>
    </w:p>
    <w:p w14:paraId="24D61922" w14:textId="77777777" w:rsidR="00245300" w:rsidRPr="00EC20A0" w:rsidRDefault="00245300">
      <w:pPr>
        <w:sectPr w:rsidR="00245300" w:rsidRPr="00EC20A0">
          <w:headerReference w:type="default" r:id="rId153"/>
          <w:footerReference w:type="default" r:id="rId154"/>
          <w:pgSz w:w="12240" w:h="15840"/>
          <w:pgMar w:top="1340" w:right="1100" w:bottom="940" w:left="1240" w:header="721" w:footer="757" w:gutter="0"/>
          <w:pgNumType w:start="1"/>
          <w:cols w:space="720"/>
        </w:sectPr>
      </w:pPr>
    </w:p>
    <w:p w14:paraId="24D61923" w14:textId="77777777" w:rsidR="00245300" w:rsidRPr="00EC20A0" w:rsidRDefault="00F17249">
      <w:pPr>
        <w:pStyle w:val="BodyText"/>
        <w:spacing w:before="121"/>
        <w:ind w:left="1640" w:right="408"/>
      </w:pPr>
      <w:r w:rsidRPr="00EC20A0">
        <w:t>information</w:t>
      </w:r>
      <w:r w:rsidRPr="00EC20A0">
        <w:rPr>
          <w:spacing w:val="-4"/>
        </w:rPr>
        <w:t xml:space="preserve"> </w:t>
      </w:r>
      <w:r w:rsidRPr="00EC20A0">
        <w:t>in</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that</w:t>
      </w:r>
      <w:r w:rsidRPr="00EC20A0">
        <w:rPr>
          <w:spacing w:val="-4"/>
        </w:rPr>
        <w:t xml:space="preserve"> </w:t>
      </w:r>
      <w:r w:rsidRPr="00EC20A0">
        <w:t>is</w:t>
      </w:r>
      <w:r w:rsidRPr="00EC20A0">
        <w:rPr>
          <w:spacing w:val="-4"/>
        </w:rPr>
        <w:t xml:space="preserve"> </w:t>
      </w:r>
      <w:r w:rsidRPr="00EC20A0">
        <w:t>consistent</w:t>
      </w:r>
      <w:r w:rsidRPr="00EC20A0">
        <w:rPr>
          <w:spacing w:val="-4"/>
        </w:rPr>
        <w:t xml:space="preserve"> </w:t>
      </w:r>
      <w:r w:rsidRPr="00EC20A0">
        <w:t>with</w:t>
      </w:r>
      <w:r w:rsidRPr="00EC20A0">
        <w:rPr>
          <w:spacing w:val="-4"/>
        </w:rPr>
        <w:t xml:space="preserve"> </w:t>
      </w:r>
      <w:r w:rsidRPr="00EC20A0">
        <w:t>costs</w:t>
      </w:r>
      <w:r w:rsidRPr="00EC20A0">
        <w:rPr>
          <w:spacing w:val="-4"/>
        </w:rPr>
        <w:t xml:space="preserve"> </w:t>
      </w:r>
      <w:r w:rsidRPr="00EC20A0">
        <w:t>generated</w:t>
      </w:r>
      <w:r w:rsidRPr="00EC20A0">
        <w:rPr>
          <w:spacing w:val="-5"/>
        </w:rPr>
        <w:t xml:space="preserve"> </w:t>
      </w:r>
      <w:r w:rsidRPr="00EC20A0">
        <w:t>by</w:t>
      </w:r>
      <w:r w:rsidRPr="00EC20A0">
        <w:rPr>
          <w:spacing w:val="-4"/>
        </w:rPr>
        <w:t xml:space="preserve"> </w:t>
      </w:r>
      <w:r w:rsidRPr="00EC20A0">
        <w:t xml:space="preserve">the </w:t>
      </w:r>
      <w:r w:rsidRPr="00EC20A0">
        <w:t>cost accounting process. Because of the differences in the three objectives, some</w:t>
      </w:r>
      <w:r w:rsidRPr="00EC20A0">
        <w:rPr>
          <w:spacing w:val="-3"/>
        </w:rPr>
        <w:t xml:space="preserve"> </w:t>
      </w:r>
      <w:r w:rsidRPr="00EC20A0">
        <w:t>requirements</w:t>
      </w:r>
      <w:r w:rsidRPr="00EC20A0">
        <w:rPr>
          <w:spacing w:val="-3"/>
        </w:rPr>
        <w:t xml:space="preserve"> </w:t>
      </w:r>
      <w:r w:rsidRPr="00EC20A0">
        <w:t>in</w:t>
      </w:r>
      <w:r w:rsidRPr="00EC20A0">
        <w:rPr>
          <w:spacing w:val="-3"/>
        </w:rPr>
        <w:t xml:space="preserve"> </w:t>
      </w:r>
      <w:r w:rsidRPr="00EC20A0">
        <w:t>SFFAS</w:t>
      </w:r>
      <w:r w:rsidRPr="00EC20A0">
        <w:rPr>
          <w:spacing w:val="-3"/>
        </w:rPr>
        <w:t xml:space="preserve"> </w:t>
      </w:r>
      <w:r w:rsidRPr="00EC20A0">
        <w:t>4</w:t>
      </w:r>
      <w:r w:rsidRPr="00EC20A0">
        <w:rPr>
          <w:spacing w:val="-3"/>
        </w:rPr>
        <w:t xml:space="preserve"> </w:t>
      </w:r>
      <w:r w:rsidRPr="00EC20A0">
        <w:t>are</w:t>
      </w:r>
      <w:r w:rsidRPr="00EC20A0">
        <w:rPr>
          <w:spacing w:val="-3"/>
        </w:rPr>
        <w:t xml:space="preserve"> </w:t>
      </w:r>
      <w:r w:rsidRPr="00EC20A0">
        <w:t>relevant</w:t>
      </w:r>
      <w:r w:rsidRPr="00EC20A0">
        <w:rPr>
          <w:spacing w:val="-3"/>
        </w:rPr>
        <w:t xml:space="preserve"> </w:t>
      </w:r>
      <w:r w:rsidRPr="00EC20A0">
        <w:t>to</w:t>
      </w:r>
      <w:r w:rsidRPr="00EC20A0">
        <w:rPr>
          <w:spacing w:val="-4"/>
        </w:rPr>
        <w:t xml:space="preserve"> </w:t>
      </w:r>
      <w:r w:rsidRPr="00EC20A0">
        <w:t>managerial</w:t>
      </w:r>
      <w:r w:rsidRPr="00EC20A0">
        <w:rPr>
          <w:spacing w:val="-3"/>
        </w:rPr>
        <w:t xml:space="preserve"> </w:t>
      </w:r>
      <w:r w:rsidRPr="00EC20A0">
        <w:t>decision</w:t>
      </w:r>
      <w:r w:rsidRPr="00EC20A0">
        <w:rPr>
          <w:spacing w:val="-3"/>
        </w:rPr>
        <w:t xml:space="preserve"> </w:t>
      </w:r>
      <w:r w:rsidRPr="00EC20A0">
        <w:t>making</w:t>
      </w:r>
      <w:r w:rsidRPr="00EC20A0">
        <w:rPr>
          <w:spacing w:val="-3"/>
        </w:rPr>
        <w:t xml:space="preserve"> </w:t>
      </w:r>
      <w:r w:rsidRPr="00EC20A0">
        <w:t>and operations improvement, while some requirements are relevant to external financial reporting.</w:t>
      </w:r>
    </w:p>
    <w:p w14:paraId="24D61924" w14:textId="77777777" w:rsidR="00245300" w:rsidRPr="00EC20A0" w:rsidRDefault="00F17249">
      <w:pPr>
        <w:pStyle w:val="ListParagraph"/>
        <w:numPr>
          <w:ilvl w:val="0"/>
          <w:numId w:val="6"/>
        </w:numPr>
        <w:tabs>
          <w:tab w:val="left" w:pos="1640"/>
        </w:tabs>
        <w:ind w:right="395"/>
      </w:pPr>
      <w:r w:rsidRPr="00EC20A0">
        <w:t>The</w:t>
      </w:r>
      <w:r w:rsidRPr="00EC20A0">
        <w:rPr>
          <w:spacing w:val="-2"/>
        </w:rPr>
        <w:t xml:space="preserve"> </w:t>
      </w:r>
      <w:r w:rsidRPr="00EC20A0">
        <w:t>cost</w:t>
      </w:r>
      <w:r w:rsidRPr="00EC20A0">
        <w:rPr>
          <w:spacing w:val="-2"/>
        </w:rPr>
        <w:t xml:space="preserve"> </w:t>
      </w:r>
      <w:r w:rsidRPr="00EC20A0">
        <w:t>accounting</w:t>
      </w:r>
      <w:r w:rsidRPr="00EC20A0">
        <w:rPr>
          <w:spacing w:val="-2"/>
        </w:rPr>
        <w:t xml:space="preserve"> </w:t>
      </w:r>
      <w:r w:rsidRPr="00EC20A0">
        <w:t>concepts</w:t>
      </w:r>
      <w:r w:rsidRPr="00EC20A0">
        <w:rPr>
          <w:spacing w:val="-2"/>
        </w:rPr>
        <w:t xml:space="preserve"> </w:t>
      </w:r>
      <w:r w:rsidRPr="00EC20A0">
        <w:t>section</w:t>
      </w:r>
      <w:r w:rsidRPr="00EC20A0">
        <w:rPr>
          <w:spacing w:val="-2"/>
        </w:rPr>
        <w:t xml:space="preserve"> </w:t>
      </w:r>
      <w:r w:rsidRPr="00EC20A0">
        <w:t>of</w:t>
      </w:r>
      <w:r w:rsidRPr="00EC20A0">
        <w:rPr>
          <w:spacing w:val="-2"/>
        </w:rPr>
        <w:t xml:space="preserve"> </w:t>
      </w:r>
      <w:r w:rsidRPr="00EC20A0">
        <w:t>SFFAS</w:t>
      </w:r>
      <w:r w:rsidRPr="00EC20A0">
        <w:rPr>
          <w:spacing w:val="-2"/>
        </w:rPr>
        <w:t xml:space="preserve"> </w:t>
      </w:r>
      <w:r w:rsidRPr="00EC20A0">
        <w:t>4</w:t>
      </w:r>
      <w:r w:rsidRPr="00EC20A0">
        <w:rPr>
          <w:spacing w:val="-2"/>
        </w:rPr>
        <w:t xml:space="preserve"> </w:t>
      </w:r>
      <w:r w:rsidRPr="00EC20A0">
        <w:t>(paras.</w:t>
      </w:r>
      <w:r w:rsidRPr="00EC20A0">
        <w:rPr>
          <w:spacing w:val="-2"/>
        </w:rPr>
        <w:t xml:space="preserve"> </w:t>
      </w:r>
      <w:r w:rsidRPr="00EC20A0">
        <w:t>41-66)</w:t>
      </w:r>
      <w:r w:rsidRPr="00EC20A0">
        <w:rPr>
          <w:spacing w:val="-2"/>
        </w:rPr>
        <w:t xml:space="preserve"> </w:t>
      </w:r>
      <w:r w:rsidRPr="00EC20A0">
        <w:t>establishes</w:t>
      </w:r>
      <w:r w:rsidRPr="00EC20A0">
        <w:rPr>
          <w:spacing w:val="-2"/>
        </w:rPr>
        <w:t xml:space="preserve"> </w:t>
      </w:r>
      <w:r w:rsidRPr="00EC20A0">
        <w:t>the overall</w:t>
      </w:r>
      <w:r w:rsidRPr="00EC20A0">
        <w:rPr>
          <w:spacing w:val="-4"/>
        </w:rPr>
        <w:t xml:space="preserve"> </w:t>
      </w:r>
      <w:r w:rsidRPr="00EC20A0">
        <w:t>goals</w:t>
      </w:r>
      <w:r w:rsidRPr="00EC20A0">
        <w:rPr>
          <w:spacing w:val="-4"/>
        </w:rPr>
        <w:t xml:space="preserve"> </w:t>
      </w:r>
      <w:r w:rsidRPr="00EC20A0">
        <w:t>of</w:t>
      </w:r>
      <w:r w:rsidRPr="00EC20A0">
        <w:rPr>
          <w:spacing w:val="-4"/>
        </w:rPr>
        <w:t xml:space="preserve"> </w:t>
      </w:r>
      <w:r w:rsidRPr="00EC20A0">
        <w:t>cost</w:t>
      </w:r>
      <w:r w:rsidRPr="00EC20A0">
        <w:rPr>
          <w:spacing w:val="-4"/>
        </w:rPr>
        <w:t xml:space="preserve"> </w:t>
      </w:r>
      <w:r w:rsidRPr="00EC20A0">
        <w:t>accounting</w:t>
      </w:r>
      <w:r w:rsidRPr="00EC20A0">
        <w:rPr>
          <w:spacing w:val="-4"/>
        </w:rPr>
        <w:t xml:space="preserve"> </w:t>
      </w:r>
      <w:r w:rsidRPr="00EC20A0">
        <w:t>for</w:t>
      </w:r>
      <w:r w:rsidRPr="00EC20A0">
        <w:rPr>
          <w:spacing w:val="-4"/>
        </w:rPr>
        <w:t xml:space="preserve"> </w:t>
      </w:r>
      <w:r w:rsidRPr="00EC20A0">
        <w:t>federal</w:t>
      </w:r>
      <w:r w:rsidRPr="00EC20A0">
        <w:rPr>
          <w:spacing w:val="-4"/>
        </w:rPr>
        <w:t xml:space="preserve"> </w:t>
      </w:r>
      <w:r w:rsidRPr="00EC20A0">
        <w:t>agencies.</w:t>
      </w:r>
      <w:r w:rsidRPr="00EC20A0">
        <w:rPr>
          <w:spacing w:val="-4"/>
        </w:rPr>
        <w:t xml:space="preserve"> </w:t>
      </w:r>
      <w:r w:rsidRPr="00EC20A0">
        <w:t>Managerial</w:t>
      </w:r>
      <w:r w:rsidRPr="00EC20A0">
        <w:rPr>
          <w:spacing w:val="-4"/>
        </w:rPr>
        <w:t xml:space="preserve"> </w:t>
      </w:r>
      <w:r w:rsidRPr="00EC20A0">
        <w:t>cost</w:t>
      </w:r>
      <w:r w:rsidRPr="00EC20A0">
        <w:rPr>
          <w:spacing w:val="-5"/>
        </w:rPr>
        <w:t xml:space="preserve"> </w:t>
      </w:r>
      <w:r w:rsidRPr="00EC20A0">
        <w:t>accounting should be a fundamental part of the financial management system and, to the extent practicable, be integrated with the other parts of the system. Managerial costing should use a basis of accounting, recognition, and measurement that is appropriate for the intended purpose. Cost information developed for various purposes should be drawn from a common da</w:t>
      </w:r>
      <w:r w:rsidRPr="00EC20A0">
        <w:t>ta source, and output reports should be reconcilable to each other.</w:t>
      </w:r>
    </w:p>
    <w:p w14:paraId="24D61925" w14:textId="77777777" w:rsidR="00245300" w:rsidRPr="00EC20A0" w:rsidRDefault="00F17249">
      <w:pPr>
        <w:pStyle w:val="ListParagraph"/>
        <w:numPr>
          <w:ilvl w:val="0"/>
          <w:numId w:val="6"/>
        </w:numPr>
        <w:tabs>
          <w:tab w:val="left" w:pos="1640"/>
        </w:tabs>
        <w:spacing w:before="239"/>
        <w:ind w:right="420"/>
      </w:pPr>
      <w:r w:rsidRPr="00EC20A0">
        <w:t>The five fundamental standards for managerial cost accounting set forth in SFFAS</w:t>
      </w:r>
      <w:r w:rsidRPr="00EC20A0">
        <w:rPr>
          <w:spacing w:val="-4"/>
        </w:rPr>
        <w:t xml:space="preserve"> </w:t>
      </w:r>
      <w:r w:rsidRPr="00EC20A0">
        <w:t>4</w:t>
      </w:r>
      <w:r w:rsidRPr="00EC20A0">
        <w:rPr>
          <w:spacing w:val="-4"/>
        </w:rPr>
        <w:t xml:space="preserve"> </w:t>
      </w:r>
      <w:r w:rsidRPr="00EC20A0">
        <w:t>(paras.</w:t>
      </w:r>
      <w:r w:rsidRPr="00EC20A0">
        <w:rPr>
          <w:spacing w:val="-4"/>
        </w:rPr>
        <w:t xml:space="preserve"> </w:t>
      </w:r>
      <w:r w:rsidRPr="00EC20A0">
        <w:t>67-162)</w:t>
      </w:r>
      <w:r w:rsidRPr="00EC20A0">
        <w:rPr>
          <w:spacing w:val="-4"/>
        </w:rPr>
        <w:t xml:space="preserve"> </w:t>
      </w:r>
      <w:r w:rsidRPr="00EC20A0">
        <w:t>are</w:t>
      </w:r>
      <w:r w:rsidRPr="00EC20A0">
        <w:rPr>
          <w:spacing w:val="-4"/>
        </w:rPr>
        <w:t xml:space="preserve"> </w:t>
      </w:r>
      <w:r w:rsidRPr="00EC20A0">
        <w:t>important</w:t>
      </w:r>
      <w:r w:rsidRPr="00EC20A0">
        <w:rPr>
          <w:spacing w:val="-4"/>
        </w:rPr>
        <w:t xml:space="preserve"> </w:t>
      </w:r>
      <w:r w:rsidRPr="00EC20A0">
        <w:t>for</w:t>
      </w:r>
      <w:r w:rsidRPr="00EC20A0">
        <w:rPr>
          <w:spacing w:val="-4"/>
        </w:rPr>
        <w:t xml:space="preserve"> </w:t>
      </w:r>
      <w:r w:rsidRPr="00EC20A0">
        <w:t>the</w:t>
      </w:r>
      <w:r w:rsidRPr="00EC20A0">
        <w:rPr>
          <w:spacing w:val="-5"/>
        </w:rPr>
        <w:t xml:space="preserve"> </w:t>
      </w:r>
      <w:r w:rsidRPr="00EC20A0">
        <w:t>auditor.</w:t>
      </w:r>
      <w:r w:rsidRPr="00EC20A0">
        <w:rPr>
          <w:spacing w:val="-4"/>
        </w:rPr>
        <w:t xml:space="preserve"> </w:t>
      </w:r>
      <w:r w:rsidRPr="00EC20A0">
        <w:t>These</w:t>
      </w:r>
      <w:r w:rsidRPr="00EC20A0">
        <w:rPr>
          <w:spacing w:val="-4"/>
        </w:rPr>
        <w:t xml:space="preserve"> </w:t>
      </w:r>
      <w:r w:rsidRPr="00EC20A0">
        <w:t>standards</w:t>
      </w:r>
      <w:r w:rsidRPr="00EC20A0">
        <w:rPr>
          <w:spacing w:val="-4"/>
        </w:rPr>
        <w:t xml:space="preserve"> </w:t>
      </w:r>
      <w:r w:rsidRPr="00EC20A0">
        <w:t>will</w:t>
      </w:r>
      <w:r w:rsidRPr="00EC20A0">
        <w:rPr>
          <w:spacing w:val="-4"/>
        </w:rPr>
        <w:t xml:space="preserve"> </w:t>
      </w:r>
      <w:r w:rsidRPr="00EC20A0">
        <w:t xml:space="preserve">lead to the development of accurate and </w:t>
      </w:r>
      <w:r w:rsidRPr="00EC20A0">
        <w:t>consistent cost information for internal and external reporting by federal agencies. The five standards are as follows:</w:t>
      </w:r>
    </w:p>
    <w:p w14:paraId="24D61926" w14:textId="77777777" w:rsidR="00245300" w:rsidRPr="00EC20A0" w:rsidRDefault="00F17249">
      <w:pPr>
        <w:pStyle w:val="BodyText"/>
        <w:spacing w:before="241"/>
        <w:ind w:left="1640" w:right="345"/>
      </w:pPr>
      <w:r w:rsidRPr="00EC20A0">
        <w:rPr>
          <w:u w:val="single"/>
        </w:rPr>
        <w:t>Requirement</w:t>
      </w:r>
      <w:r w:rsidRPr="00EC20A0">
        <w:rPr>
          <w:spacing w:val="-4"/>
          <w:u w:val="single"/>
        </w:rPr>
        <w:t xml:space="preserve"> </w:t>
      </w:r>
      <w:r w:rsidRPr="00EC20A0">
        <w:rPr>
          <w:u w:val="single"/>
        </w:rPr>
        <w:t>for</w:t>
      </w:r>
      <w:r w:rsidRPr="00EC20A0">
        <w:rPr>
          <w:spacing w:val="-4"/>
          <w:u w:val="single"/>
        </w:rPr>
        <w:t xml:space="preserve"> </w:t>
      </w:r>
      <w:r w:rsidRPr="00EC20A0">
        <w:rPr>
          <w:u w:val="single"/>
        </w:rPr>
        <w:t>cost</w:t>
      </w:r>
      <w:r w:rsidRPr="00EC20A0">
        <w:rPr>
          <w:spacing w:val="-4"/>
          <w:u w:val="single"/>
        </w:rPr>
        <w:t xml:space="preserve"> </w:t>
      </w:r>
      <w:r w:rsidRPr="00EC20A0">
        <w:rPr>
          <w:u w:val="single"/>
        </w:rPr>
        <w:t>accounting</w:t>
      </w:r>
      <w:r w:rsidRPr="00EC20A0">
        <w:t>:</w:t>
      </w:r>
      <w:r w:rsidRPr="00EC20A0">
        <w:rPr>
          <w:spacing w:val="-4"/>
        </w:rPr>
        <w:t xml:space="preserve"> </w:t>
      </w:r>
      <w:r w:rsidRPr="00EC20A0">
        <w:t>Each</w:t>
      </w:r>
      <w:r w:rsidRPr="00EC20A0">
        <w:rPr>
          <w:spacing w:val="-4"/>
        </w:rPr>
        <w:t xml:space="preserve"> </w:t>
      </w:r>
      <w:r w:rsidRPr="00EC20A0">
        <w:t>reporting</w:t>
      </w:r>
      <w:r w:rsidRPr="00EC20A0">
        <w:rPr>
          <w:spacing w:val="-5"/>
        </w:rPr>
        <w:t xml:space="preserve"> </w:t>
      </w:r>
      <w:r w:rsidRPr="00EC20A0">
        <w:t>entity</w:t>
      </w:r>
      <w:r w:rsidRPr="00EC20A0">
        <w:rPr>
          <w:spacing w:val="-4"/>
        </w:rPr>
        <w:t xml:space="preserve"> </w:t>
      </w:r>
      <w:r w:rsidRPr="00EC20A0">
        <w:t>is</w:t>
      </w:r>
      <w:r w:rsidRPr="00EC20A0">
        <w:rPr>
          <w:spacing w:val="-5"/>
        </w:rPr>
        <w:t xml:space="preserve"> </w:t>
      </w:r>
      <w:r w:rsidRPr="00EC20A0">
        <w:t>to</w:t>
      </w:r>
      <w:r w:rsidRPr="00EC20A0">
        <w:rPr>
          <w:spacing w:val="-4"/>
        </w:rPr>
        <w:t xml:space="preserve"> </w:t>
      </w:r>
      <w:r w:rsidRPr="00EC20A0">
        <w:t>accumulate</w:t>
      </w:r>
      <w:r w:rsidRPr="00EC20A0">
        <w:rPr>
          <w:spacing w:val="-4"/>
        </w:rPr>
        <w:t xml:space="preserve"> </w:t>
      </w:r>
      <w:r w:rsidRPr="00EC20A0">
        <w:t>and regularly report the cost of its activities for management information.</w:t>
      </w:r>
    </w:p>
    <w:p w14:paraId="24D61927" w14:textId="77777777" w:rsidR="00245300" w:rsidRPr="00EC20A0" w:rsidRDefault="00F17249">
      <w:pPr>
        <w:pStyle w:val="BodyText"/>
        <w:spacing w:before="239"/>
        <w:ind w:left="1640" w:right="345"/>
      </w:pPr>
      <w:r w:rsidRPr="00EC20A0">
        <w:rPr>
          <w:u w:val="single"/>
        </w:rPr>
        <w:t>Responsibility segments</w:t>
      </w:r>
      <w:r w:rsidRPr="00EC20A0">
        <w:t>: Management of each reporting entity is to define and establish</w:t>
      </w:r>
      <w:r w:rsidRPr="00EC20A0">
        <w:rPr>
          <w:spacing w:val="-5"/>
        </w:rPr>
        <w:t xml:space="preserve"> </w:t>
      </w:r>
      <w:r w:rsidRPr="00EC20A0">
        <w:t>responsibility</w:t>
      </w:r>
      <w:r w:rsidRPr="00EC20A0">
        <w:rPr>
          <w:spacing w:val="-5"/>
        </w:rPr>
        <w:t xml:space="preserve"> </w:t>
      </w:r>
      <w:r w:rsidRPr="00EC20A0">
        <w:t>segments</w:t>
      </w:r>
      <w:r w:rsidRPr="00EC20A0">
        <w:rPr>
          <w:spacing w:val="-4"/>
        </w:rPr>
        <w:t xml:space="preserve"> </w:t>
      </w:r>
      <w:r w:rsidRPr="00EC20A0">
        <w:t>and</w:t>
      </w:r>
      <w:r w:rsidRPr="00EC20A0">
        <w:rPr>
          <w:spacing w:val="-4"/>
        </w:rPr>
        <w:t xml:space="preserve"> </w:t>
      </w:r>
      <w:r w:rsidRPr="00EC20A0">
        <w:t>report</w:t>
      </w:r>
      <w:r w:rsidRPr="00EC20A0">
        <w:rPr>
          <w:spacing w:val="-4"/>
        </w:rPr>
        <w:t xml:space="preserve"> </w:t>
      </w:r>
      <w:r w:rsidRPr="00EC20A0">
        <w:t>the</w:t>
      </w:r>
      <w:r w:rsidRPr="00EC20A0">
        <w:rPr>
          <w:spacing w:val="-4"/>
        </w:rPr>
        <w:t xml:space="preserve"> </w:t>
      </w:r>
      <w:r w:rsidRPr="00EC20A0">
        <w:t>costs</w:t>
      </w:r>
      <w:r w:rsidRPr="00EC20A0">
        <w:rPr>
          <w:spacing w:val="-4"/>
        </w:rPr>
        <w:t xml:space="preserve"> </w:t>
      </w:r>
      <w:r w:rsidRPr="00EC20A0">
        <w:t>of</w:t>
      </w:r>
      <w:r w:rsidRPr="00EC20A0">
        <w:rPr>
          <w:spacing w:val="-5"/>
        </w:rPr>
        <w:t xml:space="preserve"> </w:t>
      </w:r>
      <w:r w:rsidRPr="00EC20A0">
        <w:t>each</w:t>
      </w:r>
      <w:r w:rsidRPr="00EC20A0">
        <w:rPr>
          <w:spacing w:val="-4"/>
        </w:rPr>
        <w:t xml:space="preserve"> </w:t>
      </w:r>
      <w:r w:rsidRPr="00EC20A0">
        <w:t>segment’s</w:t>
      </w:r>
      <w:r w:rsidRPr="00EC20A0">
        <w:rPr>
          <w:spacing w:val="-4"/>
        </w:rPr>
        <w:t xml:space="preserve"> </w:t>
      </w:r>
      <w:r w:rsidRPr="00EC20A0">
        <w:t>outputs.</w:t>
      </w:r>
    </w:p>
    <w:p w14:paraId="24D61928" w14:textId="77777777" w:rsidR="00245300" w:rsidRPr="00EC20A0" w:rsidRDefault="00F17249">
      <w:pPr>
        <w:pStyle w:val="BodyText"/>
        <w:spacing w:before="241"/>
        <w:ind w:left="1640" w:right="337"/>
      </w:pPr>
      <w:r w:rsidRPr="00EC20A0">
        <w:rPr>
          <w:u w:val="single"/>
        </w:rPr>
        <w:t>Full costs</w:t>
      </w:r>
      <w:r w:rsidRPr="00EC20A0">
        <w:t>: Reporting entities are to report the full costs of outputs, which is the total</w:t>
      </w:r>
      <w:r w:rsidRPr="00EC20A0">
        <w:rPr>
          <w:spacing w:val="-4"/>
        </w:rPr>
        <w:t xml:space="preserve"> </w:t>
      </w:r>
      <w:r w:rsidRPr="00EC20A0">
        <w:t>amount</w:t>
      </w:r>
      <w:r w:rsidRPr="00EC20A0">
        <w:rPr>
          <w:spacing w:val="-4"/>
        </w:rPr>
        <w:t xml:space="preserve"> </w:t>
      </w:r>
      <w:r w:rsidRPr="00EC20A0">
        <w:t>of</w:t>
      </w:r>
      <w:r w:rsidRPr="00EC20A0">
        <w:rPr>
          <w:spacing w:val="-4"/>
        </w:rPr>
        <w:t xml:space="preserve"> </w:t>
      </w:r>
      <w:r w:rsidRPr="00EC20A0">
        <w:t>resources</w:t>
      </w:r>
      <w:r w:rsidRPr="00EC20A0">
        <w:rPr>
          <w:spacing w:val="-4"/>
        </w:rPr>
        <w:t xml:space="preserve"> </w:t>
      </w:r>
      <w:r w:rsidRPr="00EC20A0">
        <w:t>used</w:t>
      </w:r>
      <w:r w:rsidRPr="00EC20A0">
        <w:rPr>
          <w:spacing w:val="-4"/>
        </w:rPr>
        <w:t xml:space="preserve"> </w:t>
      </w:r>
      <w:r w:rsidRPr="00EC20A0">
        <w:t>to</w:t>
      </w:r>
      <w:r w:rsidRPr="00EC20A0">
        <w:rPr>
          <w:spacing w:val="-4"/>
        </w:rPr>
        <w:t xml:space="preserve"> </w:t>
      </w:r>
      <w:r w:rsidRPr="00EC20A0">
        <w:t>produce</w:t>
      </w:r>
      <w:r w:rsidRPr="00EC20A0">
        <w:rPr>
          <w:spacing w:val="-4"/>
        </w:rPr>
        <w:t xml:space="preserve"> </w:t>
      </w:r>
      <w:r w:rsidRPr="00EC20A0">
        <w:t>an</w:t>
      </w:r>
      <w:r w:rsidRPr="00EC20A0">
        <w:rPr>
          <w:spacing w:val="-4"/>
        </w:rPr>
        <w:t xml:space="preserve"> </w:t>
      </w:r>
      <w:r w:rsidRPr="00EC20A0">
        <w:t>output,</w:t>
      </w:r>
      <w:r w:rsidRPr="00EC20A0">
        <w:rPr>
          <w:spacing w:val="-4"/>
        </w:rPr>
        <w:t xml:space="preserve"> </w:t>
      </w:r>
      <w:r w:rsidRPr="00EC20A0">
        <w:t>including</w:t>
      </w:r>
      <w:r w:rsidRPr="00EC20A0">
        <w:rPr>
          <w:spacing w:val="-4"/>
        </w:rPr>
        <w:t xml:space="preserve"> </w:t>
      </w:r>
      <w:r w:rsidRPr="00EC20A0">
        <w:t>direct</w:t>
      </w:r>
      <w:r w:rsidRPr="00EC20A0">
        <w:rPr>
          <w:spacing w:val="-4"/>
        </w:rPr>
        <w:t xml:space="preserve"> </w:t>
      </w:r>
      <w:r w:rsidRPr="00EC20A0">
        <w:t>and</w:t>
      </w:r>
      <w:r w:rsidRPr="00EC20A0">
        <w:rPr>
          <w:spacing w:val="-4"/>
        </w:rPr>
        <w:t xml:space="preserve"> </w:t>
      </w:r>
      <w:r w:rsidRPr="00EC20A0">
        <w:t xml:space="preserve">indirect </w:t>
      </w:r>
      <w:r w:rsidRPr="00EC20A0">
        <w:rPr>
          <w:spacing w:val="-2"/>
        </w:rPr>
        <w:t>costs.</w:t>
      </w:r>
    </w:p>
    <w:p w14:paraId="24D61929" w14:textId="77777777" w:rsidR="00245300" w:rsidRPr="00EC20A0" w:rsidRDefault="00F17249">
      <w:pPr>
        <w:pStyle w:val="BodyText"/>
        <w:spacing w:before="239"/>
        <w:ind w:left="1640" w:right="357"/>
      </w:pPr>
      <w:r w:rsidRPr="00EC20A0">
        <w:rPr>
          <w:u w:val="single"/>
        </w:rPr>
        <w:t>Inter-entity costs</w:t>
      </w:r>
      <w:r w:rsidRPr="00EC20A0">
        <w:t xml:space="preserve">: Each entity’s costs are to incorporate the full cost of goods and services received from other entities. SFFAS 55 allows flexibility for </w:t>
      </w:r>
      <w:r w:rsidRPr="00EC20A0">
        <w:t>reporting imputed costs for non-business activities. Specifically, with the exception of imputed inter-entity costs for personnel benefits and the Treasury Judgment</w:t>
      </w:r>
      <w:r w:rsidRPr="00EC20A0">
        <w:rPr>
          <w:spacing w:val="40"/>
        </w:rPr>
        <w:t xml:space="preserve"> </w:t>
      </w:r>
      <w:r w:rsidRPr="00EC20A0">
        <w:t>Fund settlements or as otherwise directed by the Office of Management and Budget, imputed inter-entity costs for non-business type activities are not required</w:t>
      </w:r>
      <w:r w:rsidRPr="00EC20A0">
        <w:rPr>
          <w:spacing w:val="-3"/>
        </w:rPr>
        <w:t xml:space="preserve"> </w:t>
      </w:r>
      <w:r w:rsidRPr="00EC20A0">
        <w:t>to</w:t>
      </w:r>
      <w:r w:rsidRPr="00EC20A0">
        <w:rPr>
          <w:spacing w:val="-4"/>
        </w:rPr>
        <w:t xml:space="preserve"> </w:t>
      </w:r>
      <w:r w:rsidRPr="00EC20A0">
        <w:t>be</w:t>
      </w:r>
      <w:r w:rsidRPr="00EC20A0">
        <w:rPr>
          <w:spacing w:val="-3"/>
        </w:rPr>
        <w:t xml:space="preserve"> </w:t>
      </w:r>
      <w:r w:rsidRPr="00EC20A0">
        <w:t>recognized.</w:t>
      </w:r>
      <w:r w:rsidRPr="00EC20A0">
        <w:rPr>
          <w:spacing w:val="-3"/>
        </w:rPr>
        <w:t xml:space="preserve"> </w:t>
      </w:r>
      <w:r w:rsidRPr="00EC20A0">
        <w:t>Although</w:t>
      </w:r>
      <w:r w:rsidRPr="00EC20A0">
        <w:rPr>
          <w:spacing w:val="-3"/>
        </w:rPr>
        <w:t xml:space="preserve"> </w:t>
      </w:r>
      <w:r w:rsidRPr="00EC20A0">
        <w:t>not</w:t>
      </w:r>
      <w:r w:rsidRPr="00EC20A0">
        <w:rPr>
          <w:spacing w:val="-3"/>
        </w:rPr>
        <w:t xml:space="preserve"> </w:t>
      </w:r>
      <w:r w:rsidRPr="00EC20A0">
        <w:t>required</w:t>
      </w:r>
      <w:r w:rsidRPr="00EC20A0">
        <w:rPr>
          <w:spacing w:val="-3"/>
        </w:rPr>
        <w:t xml:space="preserve"> </w:t>
      </w:r>
      <w:r w:rsidRPr="00EC20A0">
        <w:t>to</w:t>
      </w:r>
      <w:r w:rsidRPr="00EC20A0">
        <w:rPr>
          <w:spacing w:val="-3"/>
        </w:rPr>
        <w:t xml:space="preserve"> </w:t>
      </w:r>
      <w:r w:rsidRPr="00EC20A0">
        <w:t>do</w:t>
      </w:r>
      <w:r w:rsidRPr="00EC20A0">
        <w:rPr>
          <w:spacing w:val="-3"/>
        </w:rPr>
        <w:t xml:space="preserve"> </w:t>
      </w:r>
      <w:r w:rsidRPr="00EC20A0">
        <w:t>so,</w:t>
      </w:r>
      <w:r w:rsidRPr="00EC20A0">
        <w:rPr>
          <w:spacing w:val="-4"/>
        </w:rPr>
        <w:t xml:space="preserve"> </w:t>
      </w:r>
      <w:r w:rsidRPr="00EC20A0">
        <w:t>an</w:t>
      </w:r>
      <w:r w:rsidRPr="00EC20A0">
        <w:rPr>
          <w:spacing w:val="-3"/>
        </w:rPr>
        <w:t xml:space="preserve"> </w:t>
      </w:r>
      <w:r w:rsidRPr="00EC20A0">
        <w:t>entity</w:t>
      </w:r>
      <w:r w:rsidRPr="00EC20A0">
        <w:rPr>
          <w:spacing w:val="-3"/>
        </w:rPr>
        <w:t xml:space="preserve"> </w:t>
      </w:r>
      <w:r w:rsidRPr="00EC20A0">
        <w:t>may</w:t>
      </w:r>
      <w:r w:rsidRPr="00EC20A0">
        <w:rPr>
          <w:spacing w:val="-3"/>
        </w:rPr>
        <w:t xml:space="preserve"> </w:t>
      </w:r>
      <w:r w:rsidRPr="00EC20A0">
        <w:t>still</w:t>
      </w:r>
      <w:r w:rsidRPr="00EC20A0">
        <w:rPr>
          <w:spacing w:val="-3"/>
        </w:rPr>
        <w:t xml:space="preserve"> </w:t>
      </w:r>
      <w:r w:rsidRPr="00EC20A0">
        <w:t>elect to</w:t>
      </w:r>
      <w:r w:rsidRPr="00EC20A0">
        <w:rPr>
          <w:spacing w:val="-3"/>
        </w:rPr>
        <w:t xml:space="preserve"> </w:t>
      </w:r>
      <w:r w:rsidRPr="00EC20A0">
        <w:t>recognize</w:t>
      </w:r>
      <w:r w:rsidRPr="00EC20A0">
        <w:rPr>
          <w:spacing w:val="-4"/>
        </w:rPr>
        <w:t xml:space="preserve"> </w:t>
      </w:r>
      <w:r w:rsidRPr="00EC20A0">
        <w:t>imputed</w:t>
      </w:r>
      <w:r w:rsidRPr="00EC20A0">
        <w:rPr>
          <w:spacing w:val="-3"/>
        </w:rPr>
        <w:t xml:space="preserve"> </w:t>
      </w:r>
      <w:r w:rsidRPr="00EC20A0">
        <w:t>cost</w:t>
      </w:r>
      <w:r w:rsidRPr="00EC20A0">
        <w:rPr>
          <w:spacing w:val="-3"/>
        </w:rPr>
        <w:t xml:space="preserve"> </w:t>
      </w:r>
      <w:r w:rsidRPr="00EC20A0">
        <w:t>and</w:t>
      </w:r>
      <w:r w:rsidRPr="00EC20A0">
        <w:rPr>
          <w:spacing w:val="-3"/>
        </w:rPr>
        <w:t xml:space="preserve"> </w:t>
      </w:r>
      <w:r w:rsidRPr="00EC20A0">
        <w:t>corresponding</w:t>
      </w:r>
      <w:r w:rsidRPr="00EC20A0">
        <w:rPr>
          <w:spacing w:val="-3"/>
        </w:rPr>
        <w:t xml:space="preserve"> </w:t>
      </w:r>
      <w:r w:rsidRPr="00EC20A0">
        <w:t>imputed</w:t>
      </w:r>
      <w:r w:rsidRPr="00EC20A0">
        <w:rPr>
          <w:spacing w:val="-3"/>
        </w:rPr>
        <w:t xml:space="preserve"> </w:t>
      </w:r>
      <w:r w:rsidRPr="00EC20A0">
        <w:t>financing</w:t>
      </w:r>
      <w:r w:rsidRPr="00EC20A0">
        <w:rPr>
          <w:spacing w:val="-3"/>
        </w:rPr>
        <w:t xml:space="preserve"> </w:t>
      </w:r>
      <w:r w:rsidRPr="00EC20A0">
        <w:t>for</w:t>
      </w:r>
      <w:r w:rsidRPr="00EC20A0">
        <w:rPr>
          <w:spacing w:val="-3"/>
        </w:rPr>
        <w:t xml:space="preserve"> </w:t>
      </w:r>
      <w:r w:rsidRPr="00EC20A0">
        <w:t>other</w:t>
      </w:r>
      <w:r w:rsidRPr="00EC20A0">
        <w:rPr>
          <w:spacing w:val="-4"/>
        </w:rPr>
        <w:t xml:space="preserve"> </w:t>
      </w:r>
      <w:r w:rsidRPr="00EC20A0">
        <w:t>types</w:t>
      </w:r>
      <w:r w:rsidRPr="00EC20A0">
        <w:rPr>
          <w:spacing w:val="-3"/>
        </w:rPr>
        <w:t xml:space="preserve"> </w:t>
      </w:r>
      <w:r w:rsidRPr="00EC20A0">
        <w:t>of inter-entity costs related to n</w:t>
      </w:r>
      <w:r w:rsidRPr="00EC20A0">
        <w:t>on-business type activities.</w:t>
      </w:r>
    </w:p>
    <w:p w14:paraId="24D6192A" w14:textId="77777777" w:rsidR="00245300" w:rsidRPr="00EC20A0" w:rsidRDefault="00F17249">
      <w:pPr>
        <w:pStyle w:val="BodyText"/>
        <w:spacing w:before="241"/>
        <w:ind w:left="1640" w:right="345"/>
      </w:pPr>
      <w:r w:rsidRPr="00EC20A0">
        <w:rPr>
          <w:u w:val="single"/>
        </w:rPr>
        <w:t>Costing methodology</w:t>
      </w:r>
      <w:r w:rsidRPr="00EC20A0">
        <w:t>: The costs of resources that directly or indirectly contribute to</w:t>
      </w:r>
      <w:r w:rsidRPr="00EC20A0">
        <w:rPr>
          <w:spacing w:val="-3"/>
        </w:rPr>
        <w:t xml:space="preserve"> </w:t>
      </w:r>
      <w:r w:rsidRPr="00EC20A0">
        <w:t>the</w:t>
      </w:r>
      <w:r w:rsidRPr="00EC20A0">
        <w:rPr>
          <w:spacing w:val="-3"/>
        </w:rPr>
        <w:t xml:space="preserve"> </w:t>
      </w:r>
      <w:r w:rsidRPr="00EC20A0">
        <w:t>production</w:t>
      </w:r>
      <w:r w:rsidRPr="00EC20A0">
        <w:rPr>
          <w:spacing w:val="-3"/>
        </w:rPr>
        <w:t xml:space="preserve"> </w:t>
      </w:r>
      <w:r w:rsidRPr="00EC20A0">
        <w:t>of</w:t>
      </w:r>
      <w:r w:rsidRPr="00EC20A0">
        <w:rPr>
          <w:spacing w:val="-3"/>
        </w:rPr>
        <w:t xml:space="preserve"> </w:t>
      </w:r>
      <w:r w:rsidRPr="00EC20A0">
        <w:t>outputs</w:t>
      </w:r>
      <w:r w:rsidRPr="00EC20A0">
        <w:rPr>
          <w:spacing w:val="-3"/>
        </w:rPr>
        <w:t xml:space="preserve"> </w:t>
      </w:r>
      <w:r w:rsidRPr="00EC20A0">
        <w:t>are</w:t>
      </w:r>
      <w:r w:rsidRPr="00EC20A0">
        <w:rPr>
          <w:spacing w:val="-3"/>
        </w:rPr>
        <w:t xml:space="preserve"> </w:t>
      </w:r>
      <w:r w:rsidRPr="00EC20A0">
        <w:t>to</w:t>
      </w:r>
      <w:r w:rsidRPr="00EC20A0">
        <w:rPr>
          <w:spacing w:val="-3"/>
        </w:rPr>
        <w:t xml:space="preserve"> </w:t>
      </w:r>
      <w:r w:rsidRPr="00EC20A0">
        <w:t>be</w:t>
      </w:r>
      <w:r w:rsidRPr="00EC20A0">
        <w:rPr>
          <w:spacing w:val="-4"/>
        </w:rPr>
        <w:t xml:space="preserve"> </w:t>
      </w:r>
      <w:r w:rsidRPr="00EC20A0">
        <w:t>accumulated</w:t>
      </w:r>
      <w:r w:rsidRPr="00EC20A0">
        <w:rPr>
          <w:spacing w:val="-3"/>
        </w:rPr>
        <w:t xml:space="preserve"> </w:t>
      </w:r>
      <w:r w:rsidRPr="00EC20A0">
        <w:t>and</w:t>
      </w:r>
      <w:r w:rsidRPr="00EC20A0">
        <w:rPr>
          <w:spacing w:val="-3"/>
        </w:rPr>
        <w:t xml:space="preserve"> </w:t>
      </w:r>
      <w:r w:rsidRPr="00EC20A0">
        <w:t>assigned</w:t>
      </w:r>
      <w:r w:rsidRPr="00EC20A0">
        <w:rPr>
          <w:spacing w:val="-3"/>
        </w:rPr>
        <w:t xml:space="preserve"> </w:t>
      </w:r>
      <w:r w:rsidRPr="00EC20A0">
        <w:t>to</w:t>
      </w:r>
      <w:r w:rsidRPr="00EC20A0">
        <w:rPr>
          <w:spacing w:val="-3"/>
        </w:rPr>
        <w:t xml:space="preserve"> </w:t>
      </w:r>
      <w:r w:rsidRPr="00EC20A0">
        <w:t>outputs</w:t>
      </w:r>
      <w:r w:rsidRPr="00EC20A0">
        <w:rPr>
          <w:spacing w:val="-3"/>
        </w:rPr>
        <w:t xml:space="preserve"> </w:t>
      </w:r>
      <w:r w:rsidRPr="00EC20A0">
        <w:t>using appropriate methodologies. (FAM 903.07)</w:t>
      </w:r>
    </w:p>
    <w:p w14:paraId="24D6192B" w14:textId="77777777" w:rsidR="00245300" w:rsidRPr="00EC20A0" w:rsidRDefault="00245300">
      <w:pPr>
        <w:pStyle w:val="BodyText"/>
        <w:spacing w:before="46"/>
      </w:pPr>
    </w:p>
    <w:p w14:paraId="24D6192C" w14:textId="77777777" w:rsidR="00245300" w:rsidRPr="00EC20A0" w:rsidRDefault="00F17249">
      <w:pPr>
        <w:pStyle w:val="Heading4"/>
        <w:spacing w:before="1"/>
        <w:ind w:left="200"/>
      </w:pPr>
      <w:bookmarkStart w:id="297" w:name="Audit_Procedures_for_Financial_Statement"/>
      <w:bookmarkEnd w:id="297"/>
      <w:r w:rsidRPr="00EC20A0">
        <w:t>Audit</w:t>
      </w:r>
      <w:r w:rsidRPr="00EC20A0">
        <w:rPr>
          <w:spacing w:val="-13"/>
        </w:rPr>
        <w:t xml:space="preserve"> </w:t>
      </w:r>
      <w:r w:rsidRPr="00EC20A0">
        <w:t>Procedures</w:t>
      </w:r>
      <w:r w:rsidRPr="00EC20A0">
        <w:rPr>
          <w:spacing w:val="-13"/>
        </w:rPr>
        <w:t xml:space="preserve"> </w:t>
      </w:r>
      <w:r w:rsidRPr="00EC20A0">
        <w:t>for</w:t>
      </w:r>
      <w:r w:rsidRPr="00EC20A0">
        <w:rPr>
          <w:spacing w:val="-13"/>
        </w:rPr>
        <w:t xml:space="preserve"> </w:t>
      </w:r>
      <w:r w:rsidRPr="00EC20A0">
        <w:t>Financial</w:t>
      </w:r>
      <w:r w:rsidRPr="00EC20A0">
        <w:rPr>
          <w:spacing w:val="-13"/>
        </w:rPr>
        <w:t xml:space="preserve"> </w:t>
      </w:r>
      <w:r w:rsidRPr="00EC20A0">
        <w:t>Statement</w:t>
      </w:r>
      <w:r w:rsidRPr="00EC20A0">
        <w:rPr>
          <w:spacing w:val="-12"/>
        </w:rPr>
        <w:t xml:space="preserve"> </w:t>
      </w:r>
      <w:r w:rsidRPr="00EC20A0">
        <w:rPr>
          <w:spacing w:val="-2"/>
        </w:rPr>
        <w:t>Opinion</w:t>
      </w:r>
    </w:p>
    <w:p w14:paraId="24D6192D" w14:textId="77777777" w:rsidR="00245300" w:rsidRPr="00EC20A0" w:rsidRDefault="00F17249">
      <w:pPr>
        <w:pStyle w:val="ListParagraph"/>
        <w:numPr>
          <w:ilvl w:val="0"/>
          <w:numId w:val="6"/>
        </w:numPr>
        <w:tabs>
          <w:tab w:val="left" w:pos="1640"/>
        </w:tabs>
        <w:spacing w:before="299"/>
        <w:ind w:right="346"/>
      </w:pPr>
      <w:r w:rsidRPr="00EC20A0">
        <w:t>As part of understanding the entity’s operations, the auditor generally should obtain an overview of how the entity applies FASAB cost standards. This may be done</w:t>
      </w:r>
      <w:r w:rsidRPr="00EC20A0">
        <w:rPr>
          <w:spacing w:val="-4"/>
        </w:rPr>
        <w:t xml:space="preserve"> </w:t>
      </w:r>
      <w:r w:rsidRPr="00EC20A0">
        <w:t>by</w:t>
      </w:r>
      <w:r w:rsidRPr="00EC20A0">
        <w:rPr>
          <w:spacing w:val="-4"/>
        </w:rPr>
        <w:t xml:space="preserve"> </w:t>
      </w:r>
      <w:r w:rsidRPr="00EC20A0">
        <w:t>inquiry,</w:t>
      </w:r>
      <w:r w:rsidRPr="00EC20A0">
        <w:rPr>
          <w:spacing w:val="-4"/>
        </w:rPr>
        <w:t xml:space="preserve"> </w:t>
      </w:r>
      <w:r w:rsidRPr="00EC20A0">
        <w:t>observation,</w:t>
      </w:r>
      <w:r w:rsidRPr="00EC20A0">
        <w:rPr>
          <w:spacing w:val="-4"/>
        </w:rPr>
        <w:t xml:space="preserve"> </w:t>
      </w:r>
      <w:r w:rsidRPr="00EC20A0">
        <w:t>and</w:t>
      </w:r>
      <w:r w:rsidRPr="00EC20A0">
        <w:rPr>
          <w:spacing w:val="-4"/>
        </w:rPr>
        <w:t xml:space="preserve"> </w:t>
      </w:r>
      <w:r w:rsidRPr="00EC20A0">
        <w:t>walk-through</w:t>
      </w:r>
      <w:r w:rsidRPr="00EC20A0">
        <w:rPr>
          <w:spacing w:val="-5"/>
        </w:rPr>
        <w:t xml:space="preserve"> </w:t>
      </w:r>
      <w:r w:rsidRPr="00EC20A0">
        <w:t>procedures.</w:t>
      </w:r>
      <w:r w:rsidRPr="00EC20A0">
        <w:rPr>
          <w:spacing w:val="-5"/>
        </w:rPr>
        <w:t xml:space="preserve"> </w:t>
      </w:r>
      <w:r w:rsidRPr="00EC20A0">
        <w:t>The</w:t>
      </w:r>
      <w:r w:rsidRPr="00EC20A0">
        <w:rPr>
          <w:spacing w:val="-4"/>
        </w:rPr>
        <w:t xml:space="preserve"> </w:t>
      </w:r>
      <w:r w:rsidRPr="00EC20A0">
        <w:t>auditor</w:t>
      </w:r>
      <w:r w:rsidRPr="00EC20A0">
        <w:rPr>
          <w:spacing w:val="-6"/>
        </w:rPr>
        <w:t xml:space="preserve"> </w:t>
      </w:r>
      <w:r w:rsidRPr="00EC20A0">
        <w:t>generally should determine what substantive testing procedures are appropriate and may coordinate testing with other control and substantive procedures. Based on the</w:t>
      </w:r>
    </w:p>
    <w:p w14:paraId="24D6192E" w14:textId="77777777" w:rsidR="00245300" w:rsidRPr="00EC20A0" w:rsidRDefault="00245300">
      <w:pPr>
        <w:sectPr w:rsidR="00245300" w:rsidRPr="00EC20A0">
          <w:pgSz w:w="12240" w:h="15840"/>
          <w:pgMar w:top="1340" w:right="1100" w:bottom="940" w:left="1240" w:header="721" w:footer="757" w:gutter="0"/>
          <w:cols w:space="720"/>
        </w:sectPr>
      </w:pPr>
    </w:p>
    <w:p w14:paraId="24D6192F" w14:textId="77777777" w:rsidR="00245300" w:rsidRPr="00EC20A0" w:rsidRDefault="00F17249">
      <w:pPr>
        <w:pStyle w:val="BodyText"/>
        <w:spacing w:before="121"/>
        <w:ind w:left="1639" w:right="345"/>
      </w:pPr>
      <w:r w:rsidRPr="00EC20A0">
        <w:t>understanding of entity operations, the auditor should determine whether the statement of net cost is designed to include all costs of entity programs. Also, in testing</w:t>
      </w:r>
      <w:r w:rsidRPr="00EC20A0">
        <w:rPr>
          <w:spacing w:val="-3"/>
        </w:rPr>
        <w:t xml:space="preserve"> </w:t>
      </w:r>
      <w:r w:rsidRPr="00EC20A0">
        <w:t>the</w:t>
      </w:r>
      <w:r w:rsidRPr="00EC20A0">
        <w:rPr>
          <w:spacing w:val="-3"/>
        </w:rPr>
        <w:t xml:space="preserve"> </w:t>
      </w:r>
      <w:r w:rsidRPr="00EC20A0">
        <w:t>statement</w:t>
      </w:r>
      <w:r w:rsidRPr="00EC20A0">
        <w:rPr>
          <w:spacing w:val="-3"/>
        </w:rPr>
        <w:t xml:space="preserve"> </w:t>
      </w:r>
      <w:r w:rsidRPr="00EC20A0">
        <w:t>of</w:t>
      </w:r>
      <w:r w:rsidRPr="00EC20A0">
        <w:rPr>
          <w:spacing w:val="-3"/>
        </w:rPr>
        <w:t xml:space="preserve"> </w:t>
      </w:r>
      <w:r w:rsidRPr="00EC20A0">
        <w:t>net</w:t>
      </w:r>
      <w:r w:rsidRPr="00EC20A0">
        <w:rPr>
          <w:spacing w:val="-3"/>
        </w:rPr>
        <w:t xml:space="preserve"> </w:t>
      </w:r>
      <w:r w:rsidRPr="00EC20A0">
        <w:t>cost,</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generally</w:t>
      </w:r>
      <w:r w:rsidRPr="00EC20A0">
        <w:rPr>
          <w:spacing w:val="-3"/>
        </w:rPr>
        <w:t xml:space="preserve"> </w:t>
      </w:r>
      <w:r w:rsidRPr="00EC20A0">
        <w:t>should</w:t>
      </w:r>
      <w:r w:rsidRPr="00EC20A0">
        <w:rPr>
          <w:spacing w:val="-3"/>
        </w:rPr>
        <w:t xml:space="preserve"> </w:t>
      </w:r>
      <w:r w:rsidRPr="00EC20A0">
        <w:t>test</w:t>
      </w:r>
      <w:r w:rsidRPr="00EC20A0">
        <w:rPr>
          <w:spacing w:val="-3"/>
        </w:rPr>
        <w:t xml:space="preserve"> </w:t>
      </w:r>
      <w:r w:rsidRPr="00EC20A0">
        <w:t>the</w:t>
      </w:r>
      <w:r w:rsidRPr="00EC20A0">
        <w:rPr>
          <w:spacing w:val="-3"/>
        </w:rPr>
        <w:t xml:space="preserve"> </w:t>
      </w:r>
      <w:r w:rsidRPr="00EC20A0">
        <w:t>assertions related to costs, including whether expenses are properly classified in the statement of net cost. Based on FAM 395 B, examples of control objectives by assertion related to costs are provided below.</w:t>
      </w:r>
    </w:p>
    <w:p w14:paraId="24D61930" w14:textId="77777777" w:rsidR="00245300" w:rsidRPr="00EC20A0" w:rsidRDefault="00F17249">
      <w:pPr>
        <w:pStyle w:val="Heading6"/>
        <w:ind w:left="1640"/>
      </w:pPr>
      <w:r w:rsidRPr="00EC20A0">
        <w:t>EXISTENCE</w:t>
      </w:r>
      <w:r w:rsidRPr="00EC20A0">
        <w:rPr>
          <w:spacing w:val="-10"/>
        </w:rPr>
        <w:t xml:space="preserve"> </w:t>
      </w:r>
      <w:r w:rsidRPr="00EC20A0">
        <w:t>OR</w:t>
      </w:r>
      <w:r w:rsidRPr="00EC20A0">
        <w:rPr>
          <w:spacing w:val="-9"/>
        </w:rPr>
        <w:t xml:space="preserve"> </w:t>
      </w:r>
      <w:r w:rsidRPr="00EC20A0">
        <w:rPr>
          <w:spacing w:val="-2"/>
        </w:rPr>
        <w:t>OCCURRENCE</w:t>
      </w:r>
    </w:p>
    <w:p w14:paraId="24D61931" w14:textId="77777777" w:rsidR="00245300" w:rsidRPr="00EC20A0" w:rsidRDefault="00F17249">
      <w:pPr>
        <w:pStyle w:val="ListParagraph"/>
        <w:numPr>
          <w:ilvl w:val="1"/>
          <w:numId w:val="6"/>
        </w:numPr>
        <w:tabs>
          <w:tab w:val="left" w:pos="1999"/>
        </w:tabs>
        <w:spacing w:before="120"/>
        <w:ind w:left="1999" w:right="463"/>
      </w:pPr>
      <w:r w:rsidRPr="00EC20A0">
        <w:rPr>
          <w:b/>
        </w:rPr>
        <w:t>Occurrence/validity</w:t>
      </w:r>
      <w:r w:rsidRPr="00EC20A0">
        <w:t xml:space="preserve">—(1) Recorded costs, underlying goods and services received, and related </w:t>
      </w:r>
      <w:r w:rsidRPr="00EC20A0">
        <w:t>processing</w:t>
      </w:r>
      <w:r w:rsidRPr="00EC20A0">
        <w:rPr>
          <w:spacing w:val="-1"/>
        </w:rPr>
        <w:t xml:space="preserve"> </w:t>
      </w:r>
      <w:r w:rsidRPr="00EC20A0">
        <w:t>procedures are authorized</w:t>
      </w:r>
      <w:r w:rsidRPr="00EC20A0">
        <w:rPr>
          <w:spacing w:val="-1"/>
        </w:rPr>
        <w:t xml:space="preserve"> </w:t>
      </w:r>
      <w:r w:rsidRPr="00EC20A0">
        <w:t>by federal laws, regulations, and management policy. (2) Recorded costs are approved by appropriate</w:t>
      </w:r>
      <w:r w:rsidRPr="00EC20A0">
        <w:rPr>
          <w:spacing w:val="-5"/>
        </w:rPr>
        <w:t xml:space="preserve"> </w:t>
      </w:r>
      <w:r w:rsidRPr="00EC20A0">
        <w:t>individuals</w:t>
      </w:r>
      <w:r w:rsidRPr="00EC20A0">
        <w:rPr>
          <w:spacing w:val="-5"/>
        </w:rPr>
        <w:t xml:space="preserve"> </w:t>
      </w:r>
      <w:r w:rsidRPr="00EC20A0">
        <w:t>in</w:t>
      </w:r>
      <w:r w:rsidRPr="00EC20A0">
        <w:rPr>
          <w:spacing w:val="-6"/>
        </w:rPr>
        <w:t xml:space="preserve"> </w:t>
      </w:r>
      <w:r w:rsidRPr="00EC20A0">
        <w:t>accordance</w:t>
      </w:r>
      <w:r w:rsidRPr="00EC20A0">
        <w:rPr>
          <w:spacing w:val="-6"/>
        </w:rPr>
        <w:t xml:space="preserve"> </w:t>
      </w:r>
      <w:r w:rsidRPr="00EC20A0">
        <w:t>with</w:t>
      </w:r>
      <w:r w:rsidRPr="00EC20A0">
        <w:rPr>
          <w:spacing w:val="-5"/>
        </w:rPr>
        <w:t xml:space="preserve"> </w:t>
      </w:r>
      <w:r w:rsidRPr="00EC20A0">
        <w:t>management’s</w:t>
      </w:r>
      <w:r w:rsidRPr="00EC20A0">
        <w:rPr>
          <w:spacing w:val="-5"/>
        </w:rPr>
        <w:t xml:space="preserve"> </w:t>
      </w:r>
      <w:r w:rsidRPr="00EC20A0">
        <w:t>general</w:t>
      </w:r>
      <w:r w:rsidRPr="00EC20A0">
        <w:rPr>
          <w:spacing w:val="-5"/>
        </w:rPr>
        <w:t xml:space="preserve"> </w:t>
      </w:r>
      <w:r w:rsidRPr="00EC20A0">
        <w:t>or</w:t>
      </w:r>
      <w:r w:rsidRPr="00EC20A0">
        <w:rPr>
          <w:spacing w:val="-5"/>
        </w:rPr>
        <w:t xml:space="preserve"> </w:t>
      </w:r>
      <w:r w:rsidRPr="00EC20A0">
        <w:t xml:space="preserve">specific criteria. (3) Recorded costs exist for goods and </w:t>
      </w:r>
      <w:r w:rsidRPr="00EC20A0">
        <w:t>services received and are properly classified.</w:t>
      </w:r>
    </w:p>
    <w:p w14:paraId="24D61932" w14:textId="77777777" w:rsidR="00245300" w:rsidRPr="00EC20A0" w:rsidRDefault="00F17249">
      <w:pPr>
        <w:pStyle w:val="ListParagraph"/>
        <w:numPr>
          <w:ilvl w:val="1"/>
          <w:numId w:val="6"/>
        </w:numPr>
        <w:tabs>
          <w:tab w:val="left" w:pos="1999"/>
        </w:tabs>
        <w:spacing w:before="118"/>
        <w:ind w:left="1999" w:right="575"/>
      </w:pPr>
      <w:r w:rsidRPr="00EC20A0">
        <w:rPr>
          <w:b/>
        </w:rPr>
        <w:t>Cutoff</w:t>
      </w:r>
      <w:r w:rsidRPr="00EC20A0">
        <w:t>—Costs</w:t>
      </w:r>
      <w:r w:rsidRPr="00EC20A0">
        <w:rPr>
          <w:spacing w:val="-5"/>
        </w:rPr>
        <w:t xml:space="preserve"> </w:t>
      </w:r>
      <w:r w:rsidRPr="00EC20A0">
        <w:t>recorded</w:t>
      </w:r>
      <w:r w:rsidRPr="00EC20A0">
        <w:rPr>
          <w:spacing w:val="-6"/>
        </w:rPr>
        <w:t xml:space="preserve"> </w:t>
      </w:r>
      <w:r w:rsidRPr="00EC20A0">
        <w:t>in</w:t>
      </w:r>
      <w:r w:rsidRPr="00EC20A0">
        <w:rPr>
          <w:spacing w:val="-5"/>
        </w:rPr>
        <w:t xml:space="preserve"> </w:t>
      </w:r>
      <w:r w:rsidRPr="00EC20A0">
        <w:t>the</w:t>
      </w:r>
      <w:r w:rsidRPr="00EC20A0">
        <w:rPr>
          <w:spacing w:val="-5"/>
        </w:rPr>
        <w:t xml:space="preserve"> </w:t>
      </w:r>
      <w:r w:rsidRPr="00EC20A0">
        <w:t>current</w:t>
      </w:r>
      <w:r w:rsidRPr="00EC20A0">
        <w:rPr>
          <w:spacing w:val="-5"/>
        </w:rPr>
        <w:t xml:space="preserve"> </w:t>
      </w:r>
      <w:r w:rsidRPr="00EC20A0">
        <w:t>period</w:t>
      </w:r>
      <w:r w:rsidRPr="00EC20A0">
        <w:rPr>
          <w:spacing w:val="-5"/>
        </w:rPr>
        <w:t xml:space="preserve"> </w:t>
      </w:r>
      <w:r w:rsidRPr="00EC20A0">
        <w:t>represent</w:t>
      </w:r>
      <w:r w:rsidRPr="00EC20A0">
        <w:rPr>
          <w:spacing w:val="-5"/>
        </w:rPr>
        <w:t xml:space="preserve"> </w:t>
      </w:r>
      <w:r w:rsidRPr="00EC20A0">
        <w:t>goods</w:t>
      </w:r>
      <w:r w:rsidRPr="00EC20A0">
        <w:rPr>
          <w:spacing w:val="-5"/>
        </w:rPr>
        <w:t xml:space="preserve"> </w:t>
      </w:r>
      <w:r w:rsidRPr="00EC20A0">
        <w:t>and</w:t>
      </w:r>
      <w:r w:rsidRPr="00EC20A0">
        <w:rPr>
          <w:spacing w:val="-5"/>
        </w:rPr>
        <w:t xml:space="preserve"> </w:t>
      </w:r>
      <w:r w:rsidRPr="00EC20A0">
        <w:t>services received during the current period.</w:t>
      </w:r>
    </w:p>
    <w:p w14:paraId="24D61933" w14:textId="77777777" w:rsidR="00245300" w:rsidRPr="00EC20A0" w:rsidRDefault="00F17249">
      <w:pPr>
        <w:pStyle w:val="ListParagraph"/>
        <w:numPr>
          <w:ilvl w:val="1"/>
          <w:numId w:val="6"/>
        </w:numPr>
        <w:tabs>
          <w:tab w:val="left" w:pos="1999"/>
        </w:tabs>
        <w:spacing w:before="118" w:line="269" w:lineRule="exact"/>
        <w:ind w:left="1999"/>
      </w:pPr>
      <w:r w:rsidRPr="00EC20A0">
        <w:rPr>
          <w:b/>
        </w:rPr>
        <w:t>Summarization</w:t>
      </w:r>
      <w:r w:rsidRPr="00EC20A0">
        <w:t>—(1)</w:t>
      </w:r>
      <w:r w:rsidRPr="00EC20A0">
        <w:rPr>
          <w:spacing w:val="-9"/>
        </w:rPr>
        <w:t xml:space="preserve"> </w:t>
      </w:r>
      <w:r w:rsidRPr="00EC20A0">
        <w:t>The</w:t>
      </w:r>
      <w:r w:rsidRPr="00EC20A0">
        <w:rPr>
          <w:spacing w:val="-8"/>
        </w:rPr>
        <w:t xml:space="preserve"> </w:t>
      </w:r>
      <w:r w:rsidRPr="00EC20A0">
        <w:t>summarization</w:t>
      </w:r>
      <w:r w:rsidRPr="00EC20A0">
        <w:rPr>
          <w:spacing w:val="-8"/>
        </w:rPr>
        <w:t xml:space="preserve"> </w:t>
      </w:r>
      <w:r w:rsidRPr="00EC20A0">
        <w:t>of</w:t>
      </w:r>
      <w:r w:rsidRPr="00EC20A0">
        <w:rPr>
          <w:spacing w:val="-8"/>
        </w:rPr>
        <w:t xml:space="preserve"> </w:t>
      </w:r>
      <w:r w:rsidRPr="00EC20A0">
        <w:t>recorded</w:t>
      </w:r>
      <w:r w:rsidRPr="00EC20A0">
        <w:rPr>
          <w:spacing w:val="-8"/>
        </w:rPr>
        <w:t xml:space="preserve"> </w:t>
      </w:r>
      <w:r w:rsidRPr="00EC20A0">
        <w:t>costs</w:t>
      </w:r>
      <w:r w:rsidRPr="00EC20A0">
        <w:rPr>
          <w:spacing w:val="-9"/>
        </w:rPr>
        <w:t xml:space="preserve"> </w:t>
      </w:r>
      <w:r w:rsidRPr="00EC20A0">
        <w:t>is</w:t>
      </w:r>
      <w:r w:rsidRPr="00EC20A0">
        <w:rPr>
          <w:spacing w:val="-8"/>
        </w:rPr>
        <w:t xml:space="preserve"> </w:t>
      </w:r>
      <w:r w:rsidRPr="00EC20A0">
        <w:t>not</w:t>
      </w:r>
      <w:r w:rsidRPr="00EC20A0">
        <w:rPr>
          <w:spacing w:val="-9"/>
        </w:rPr>
        <w:t xml:space="preserve"> </w:t>
      </w:r>
      <w:r w:rsidRPr="00EC20A0">
        <w:rPr>
          <w:spacing w:val="-2"/>
        </w:rPr>
        <w:t>overstated.</w:t>
      </w:r>
    </w:p>
    <w:p w14:paraId="24D61934" w14:textId="77777777" w:rsidR="00245300" w:rsidRPr="00EC20A0" w:rsidRDefault="00F17249">
      <w:pPr>
        <w:pStyle w:val="BodyText"/>
        <w:ind w:left="1999" w:right="345"/>
      </w:pPr>
      <w:r w:rsidRPr="00EC20A0">
        <w:t>(2)</w:t>
      </w:r>
      <w:r w:rsidRPr="00EC20A0">
        <w:rPr>
          <w:spacing w:val="-4"/>
        </w:rPr>
        <w:t xml:space="preserve"> </w:t>
      </w:r>
      <w:r w:rsidRPr="00EC20A0">
        <w:t>Costs</w:t>
      </w:r>
      <w:r w:rsidRPr="00EC20A0">
        <w:rPr>
          <w:spacing w:val="-4"/>
        </w:rPr>
        <w:t xml:space="preserve"> </w:t>
      </w:r>
      <w:r w:rsidRPr="00EC20A0">
        <w:t>are</w:t>
      </w:r>
      <w:r w:rsidRPr="00EC20A0">
        <w:rPr>
          <w:spacing w:val="-4"/>
        </w:rPr>
        <w:t xml:space="preserve"> </w:t>
      </w:r>
      <w:r w:rsidRPr="00EC20A0">
        <w:t>assigned</w:t>
      </w:r>
      <w:r w:rsidRPr="00EC20A0">
        <w:rPr>
          <w:spacing w:val="-4"/>
        </w:rPr>
        <w:t xml:space="preserve"> </w:t>
      </w:r>
      <w:r w:rsidRPr="00EC20A0">
        <w:t>to</w:t>
      </w:r>
      <w:r w:rsidRPr="00EC20A0">
        <w:rPr>
          <w:spacing w:val="-5"/>
        </w:rPr>
        <w:t xml:space="preserve"> </w:t>
      </w:r>
      <w:r w:rsidRPr="00EC20A0">
        <w:t>appropriate</w:t>
      </w:r>
      <w:r w:rsidRPr="00EC20A0">
        <w:rPr>
          <w:spacing w:val="-4"/>
        </w:rPr>
        <w:t xml:space="preserve"> </w:t>
      </w:r>
      <w:r w:rsidRPr="00EC20A0">
        <w:t>classifications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 xml:space="preserve">financial </w:t>
      </w:r>
      <w:r w:rsidRPr="00EC20A0">
        <w:rPr>
          <w:spacing w:val="-2"/>
        </w:rPr>
        <w:t>statements.</w:t>
      </w:r>
    </w:p>
    <w:p w14:paraId="24D61935" w14:textId="77777777" w:rsidR="00245300" w:rsidRPr="00EC20A0" w:rsidRDefault="00F17249">
      <w:pPr>
        <w:pStyle w:val="Heading6"/>
        <w:ind w:left="1639"/>
      </w:pPr>
      <w:r w:rsidRPr="00EC20A0">
        <w:rPr>
          <w:spacing w:val="-2"/>
        </w:rPr>
        <w:t>COMPLETENESS</w:t>
      </w:r>
    </w:p>
    <w:p w14:paraId="24D61936" w14:textId="77777777" w:rsidR="00245300" w:rsidRPr="00EC20A0" w:rsidRDefault="00F17249">
      <w:pPr>
        <w:pStyle w:val="ListParagraph"/>
        <w:numPr>
          <w:ilvl w:val="1"/>
          <w:numId w:val="6"/>
        </w:numPr>
        <w:tabs>
          <w:tab w:val="left" w:pos="1999"/>
        </w:tabs>
        <w:spacing w:before="120"/>
        <w:ind w:left="1999" w:right="978"/>
      </w:pPr>
      <w:r w:rsidRPr="00EC20A0">
        <w:rPr>
          <w:b/>
        </w:rPr>
        <w:t>Transaction</w:t>
      </w:r>
      <w:r w:rsidRPr="00EC20A0">
        <w:rPr>
          <w:b/>
          <w:spacing w:val="-6"/>
        </w:rPr>
        <w:t xml:space="preserve"> </w:t>
      </w:r>
      <w:r w:rsidRPr="00EC20A0">
        <w:rPr>
          <w:b/>
        </w:rPr>
        <w:t>completeness</w:t>
      </w:r>
      <w:r w:rsidRPr="00EC20A0">
        <w:t>—All</w:t>
      </w:r>
      <w:r w:rsidRPr="00EC20A0">
        <w:rPr>
          <w:spacing w:val="-6"/>
        </w:rPr>
        <w:t xml:space="preserve"> </w:t>
      </w:r>
      <w:r w:rsidRPr="00EC20A0">
        <w:t>valid</w:t>
      </w:r>
      <w:r w:rsidRPr="00EC20A0">
        <w:rPr>
          <w:spacing w:val="-6"/>
        </w:rPr>
        <w:t xml:space="preserve"> </w:t>
      </w:r>
      <w:r w:rsidRPr="00EC20A0">
        <w:t>costs</w:t>
      </w:r>
      <w:r w:rsidRPr="00EC20A0">
        <w:rPr>
          <w:spacing w:val="-6"/>
        </w:rPr>
        <w:t xml:space="preserve"> </w:t>
      </w:r>
      <w:r w:rsidRPr="00EC20A0">
        <w:t>are</w:t>
      </w:r>
      <w:r w:rsidRPr="00EC20A0">
        <w:rPr>
          <w:spacing w:val="-6"/>
        </w:rPr>
        <w:t xml:space="preserve"> </w:t>
      </w:r>
      <w:r w:rsidRPr="00EC20A0">
        <w:t>recorded</w:t>
      </w:r>
      <w:r w:rsidRPr="00EC20A0">
        <w:rPr>
          <w:spacing w:val="-7"/>
        </w:rPr>
        <w:t xml:space="preserve"> </w:t>
      </w:r>
      <w:r w:rsidRPr="00EC20A0">
        <w:t>and</w:t>
      </w:r>
      <w:r w:rsidRPr="00EC20A0">
        <w:rPr>
          <w:spacing w:val="-6"/>
        </w:rPr>
        <w:t xml:space="preserve"> </w:t>
      </w:r>
      <w:r w:rsidRPr="00EC20A0">
        <w:t xml:space="preserve">properly </w:t>
      </w:r>
      <w:r w:rsidRPr="00EC20A0">
        <w:rPr>
          <w:spacing w:val="-2"/>
        </w:rPr>
        <w:t>classified.</w:t>
      </w:r>
    </w:p>
    <w:p w14:paraId="24D61937" w14:textId="77777777" w:rsidR="00245300" w:rsidRPr="00EC20A0" w:rsidRDefault="00F17249">
      <w:pPr>
        <w:pStyle w:val="ListParagraph"/>
        <w:numPr>
          <w:ilvl w:val="1"/>
          <w:numId w:val="6"/>
        </w:numPr>
        <w:tabs>
          <w:tab w:val="left" w:pos="1999"/>
        </w:tabs>
        <w:spacing w:before="118"/>
        <w:ind w:left="1999" w:right="380"/>
      </w:pPr>
      <w:r w:rsidRPr="00EC20A0">
        <w:rPr>
          <w:b/>
        </w:rPr>
        <w:t>Cutoff</w:t>
      </w:r>
      <w:r w:rsidRPr="00EC20A0">
        <w:t>—All</w:t>
      </w:r>
      <w:r w:rsidRPr="00EC20A0">
        <w:rPr>
          <w:spacing w:val="-3"/>
        </w:rPr>
        <w:t xml:space="preserve"> </w:t>
      </w:r>
      <w:r w:rsidRPr="00EC20A0">
        <w:t>goods</w:t>
      </w:r>
      <w:r w:rsidRPr="00EC20A0">
        <w:rPr>
          <w:spacing w:val="-4"/>
        </w:rPr>
        <w:t xml:space="preserve"> </w:t>
      </w:r>
      <w:r w:rsidRPr="00EC20A0">
        <w:t>and</w:t>
      </w:r>
      <w:r w:rsidRPr="00EC20A0">
        <w:rPr>
          <w:spacing w:val="-4"/>
        </w:rPr>
        <w:t xml:space="preserve"> </w:t>
      </w:r>
      <w:r w:rsidRPr="00EC20A0">
        <w:t>services</w:t>
      </w:r>
      <w:r w:rsidRPr="00EC20A0">
        <w:rPr>
          <w:spacing w:val="-4"/>
        </w:rPr>
        <w:t xml:space="preserve"> </w:t>
      </w:r>
      <w:r w:rsidRPr="00EC20A0">
        <w:t>received</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current</w:t>
      </w:r>
      <w:r w:rsidRPr="00EC20A0">
        <w:rPr>
          <w:spacing w:val="-4"/>
        </w:rPr>
        <w:t xml:space="preserve"> </w:t>
      </w:r>
      <w:r w:rsidRPr="00EC20A0">
        <w:t>period</w:t>
      </w:r>
      <w:r w:rsidRPr="00EC20A0">
        <w:rPr>
          <w:spacing w:val="-4"/>
        </w:rPr>
        <w:t xml:space="preserve"> </w:t>
      </w:r>
      <w:r w:rsidRPr="00EC20A0">
        <w:t>are</w:t>
      </w:r>
      <w:r w:rsidRPr="00EC20A0">
        <w:rPr>
          <w:spacing w:val="-4"/>
        </w:rPr>
        <w:t xml:space="preserve"> </w:t>
      </w:r>
      <w:r w:rsidRPr="00EC20A0">
        <w:t>recorded</w:t>
      </w:r>
      <w:r w:rsidRPr="00EC20A0">
        <w:rPr>
          <w:spacing w:val="-4"/>
        </w:rPr>
        <w:t xml:space="preserve"> </w:t>
      </w:r>
      <w:r w:rsidRPr="00EC20A0">
        <w:t>in the current period.</w:t>
      </w:r>
    </w:p>
    <w:p w14:paraId="24D61938" w14:textId="77777777" w:rsidR="00245300" w:rsidRPr="00EC20A0" w:rsidRDefault="00F17249">
      <w:pPr>
        <w:pStyle w:val="ListParagraph"/>
        <w:numPr>
          <w:ilvl w:val="1"/>
          <w:numId w:val="6"/>
        </w:numPr>
        <w:tabs>
          <w:tab w:val="left" w:pos="1999"/>
        </w:tabs>
        <w:spacing w:before="117"/>
        <w:ind w:left="1999"/>
      </w:pPr>
      <w:r w:rsidRPr="00EC20A0">
        <w:rPr>
          <w:b/>
        </w:rPr>
        <w:t>Summarization</w:t>
      </w:r>
      <w:r w:rsidRPr="00EC20A0">
        <w:t>—The</w:t>
      </w:r>
      <w:r w:rsidRPr="00EC20A0">
        <w:rPr>
          <w:spacing w:val="-9"/>
        </w:rPr>
        <w:t xml:space="preserve"> </w:t>
      </w:r>
      <w:r w:rsidRPr="00EC20A0">
        <w:t>summarization</w:t>
      </w:r>
      <w:r w:rsidRPr="00EC20A0">
        <w:rPr>
          <w:spacing w:val="-9"/>
        </w:rPr>
        <w:t xml:space="preserve"> </w:t>
      </w:r>
      <w:r w:rsidRPr="00EC20A0">
        <w:t>of</w:t>
      </w:r>
      <w:r w:rsidRPr="00EC20A0">
        <w:rPr>
          <w:spacing w:val="-9"/>
        </w:rPr>
        <w:t xml:space="preserve"> </w:t>
      </w:r>
      <w:r w:rsidRPr="00EC20A0">
        <w:t>recorded</w:t>
      </w:r>
      <w:r w:rsidRPr="00EC20A0">
        <w:rPr>
          <w:spacing w:val="-9"/>
        </w:rPr>
        <w:t xml:space="preserve"> </w:t>
      </w:r>
      <w:r w:rsidRPr="00EC20A0">
        <w:t>costs</w:t>
      </w:r>
      <w:r w:rsidRPr="00EC20A0">
        <w:rPr>
          <w:spacing w:val="-10"/>
        </w:rPr>
        <w:t xml:space="preserve"> </w:t>
      </w:r>
      <w:r w:rsidRPr="00EC20A0">
        <w:t>is</w:t>
      </w:r>
      <w:r w:rsidRPr="00EC20A0">
        <w:rPr>
          <w:spacing w:val="-9"/>
        </w:rPr>
        <w:t xml:space="preserve"> </w:t>
      </w:r>
      <w:r w:rsidRPr="00EC20A0">
        <w:t>not</w:t>
      </w:r>
      <w:r w:rsidRPr="00EC20A0">
        <w:rPr>
          <w:spacing w:val="-9"/>
        </w:rPr>
        <w:t xml:space="preserve"> </w:t>
      </w:r>
      <w:r w:rsidRPr="00EC20A0">
        <w:rPr>
          <w:spacing w:val="-2"/>
        </w:rPr>
        <w:t>understated.</w:t>
      </w:r>
    </w:p>
    <w:p w14:paraId="24D61939" w14:textId="77777777" w:rsidR="00245300" w:rsidRPr="00EC20A0" w:rsidRDefault="00F17249">
      <w:pPr>
        <w:pStyle w:val="Heading6"/>
        <w:ind w:left="1639"/>
      </w:pPr>
      <w:r w:rsidRPr="00EC20A0">
        <w:rPr>
          <w:spacing w:val="-2"/>
        </w:rPr>
        <w:t>ACCURACY/VALUATION</w:t>
      </w:r>
    </w:p>
    <w:p w14:paraId="24D6193A" w14:textId="77777777" w:rsidR="00245300" w:rsidRPr="00EC20A0" w:rsidRDefault="00F17249">
      <w:pPr>
        <w:pStyle w:val="ListParagraph"/>
        <w:numPr>
          <w:ilvl w:val="1"/>
          <w:numId w:val="6"/>
        </w:numPr>
        <w:tabs>
          <w:tab w:val="left" w:pos="1999"/>
        </w:tabs>
        <w:spacing w:before="119"/>
        <w:ind w:left="1999"/>
      </w:pPr>
      <w:r w:rsidRPr="00EC20A0">
        <w:rPr>
          <w:b/>
        </w:rPr>
        <w:t>Accuracy</w:t>
      </w:r>
      <w:r w:rsidRPr="00EC20A0">
        <w:t>—Costs</w:t>
      </w:r>
      <w:r w:rsidRPr="00EC20A0">
        <w:rPr>
          <w:spacing w:val="-9"/>
        </w:rPr>
        <w:t xml:space="preserve"> </w:t>
      </w:r>
      <w:r w:rsidRPr="00EC20A0">
        <w:t>are</w:t>
      </w:r>
      <w:r w:rsidRPr="00EC20A0">
        <w:rPr>
          <w:spacing w:val="-8"/>
        </w:rPr>
        <w:t xml:space="preserve"> </w:t>
      </w:r>
      <w:r w:rsidRPr="00EC20A0">
        <w:t>recorded</w:t>
      </w:r>
      <w:r w:rsidRPr="00EC20A0">
        <w:rPr>
          <w:spacing w:val="-9"/>
        </w:rPr>
        <w:t xml:space="preserve"> </w:t>
      </w:r>
      <w:r w:rsidRPr="00EC20A0">
        <w:t>at</w:t>
      </w:r>
      <w:r w:rsidRPr="00EC20A0">
        <w:rPr>
          <w:spacing w:val="-8"/>
        </w:rPr>
        <w:t xml:space="preserve"> </w:t>
      </w:r>
      <w:r w:rsidRPr="00EC20A0">
        <w:t>correct</w:t>
      </w:r>
      <w:r w:rsidRPr="00EC20A0">
        <w:rPr>
          <w:spacing w:val="-9"/>
        </w:rPr>
        <w:t xml:space="preserve"> </w:t>
      </w:r>
      <w:r w:rsidRPr="00EC20A0">
        <w:rPr>
          <w:spacing w:val="-2"/>
        </w:rPr>
        <w:t>amounts.</w:t>
      </w:r>
    </w:p>
    <w:p w14:paraId="24D6193B" w14:textId="77777777" w:rsidR="00245300" w:rsidRPr="00EC20A0" w:rsidRDefault="00F17249">
      <w:pPr>
        <w:pStyle w:val="ListParagraph"/>
        <w:numPr>
          <w:ilvl w:val="1"/>
          <w:numId w:val="6"/>
        </w:numPr>
        <w:tabs>
          <w:tab w:val="left" w:pos="1999"/>
        </w:tabs>
        <w:spacing w:before="119"/>
        <w:ind w:left="1999" w:right="367"/>
      </w:pPr>
      <w:r w:rsidRPr="00EC20A0">
        <w:rPr>
          <w:b/>
        </w:rPr>
        <w:t>Valuation</w:t>
      </w:r>
      <w:r w:rsidRPr="00EC20A0">
        <w:t>—Costs</w:t>
      </w:r>
      <w:r w:rsidRPr="00EC20A0">
        <w:rPr>
          <w:spacing w:val="-5"/>
        </w:rPr>
        <w:t xml:space="preserve"> </w:t>
      </w:r>
      <w:r w:rsidRPr="00EC20A0">
        <w:t>are</w:t>
      </w:r>
      <w:r w:rsidRPr="00EC20A0">
        <w:rPr>
          <w:spacing w:val="-5"/>
        </w:rPr>
        <w:t xml:space="preserve"> </w:t>
      </w:r>
      <w:r w:rsidRPr="00EC20A0">
        <w:t>valued</w:t>
      </w:r>
      <w:r w:rsidRPr="00EC20A0">
        <w:rPr>
          <w:spacing w:val="-5"/>
        </w:rPr>
        <w:t xml:space="preserve"> </w:t>
      </w:r>
      <w:r w:rsidRPr="00EC20A0">
        <w:t>in</w:t>
      </w:r>
      <w:r w:rsidRPr="00EC20A0">
        <w:rPr>
          <w:spacing w:val="-5"/>
        </w:rPr>
        <w:t xml:space="preserve"> </w:t>
      </w:r>
      <w:r w:rsidRPr="00EC20A0">
        <w:t>the</w:t>
      </w:r>
      <w:r w:rsidRPr="00EC20A0">
        <w:rPr>
          <w:spacing w:val="-6"/>
        </w:rPr>
        <w:t xml:space="preserve"> </w:t>
      </w:r>
      <w:r w:rsidRPr="00EC20A0">
        <w:t>financial</w:t>
      </w:r>
      <w:r w:rsidRPr="00EC20A0">
        <w:rPr>
          <w:spacing w:val="-6"/>
        </w:rPr>
        <w:t xml:space="preserve"> </w:t>
      </w:r>
      <w:r w:rsidRPr="00EC20A0">
        <w:t>statements</w:t>
      </w:r>
      <w:r w:rsidRPr="00EC20A0">
        <w:rPr>
          <w:spacing w:val="-5"/>
        </w:rPr>
        <w:t xml:space="preserve"> </w:t>
      </w:r>
      <w:r w:rsidRPr="00EC20A0">
        <w:t>using</w:t>
      </w:r>
      <w:r w:rsidRPr="00EC20A0">
        <w:rPr>
          <w:spacing w:val="-5"/>
        </w:rPr>
        <w:t xml:space="preserve"> </w:t>
      </w:r>
      <w:r w:rsidRPr="00EC20A0">
        <w:t>an</w:t>
      </w:r>
      <w:r w:rsidRPr="00EC20A0">
        <w:rPr>
          <w:spacing w:val="-5"/>
        </w:rPr>
        <w:t xml:space="preserve"> </w:t>
      </w:r>
      <w:r w:rsidRPr="00EC20A0">
        <w:t>appropriate valuation basis.</w:t>
      </w:r>
    </w:p>
    <w:p w14:paraId="24D6193C" w14:textId="77777777" w:rsidR="00245300" w:rsidRPr="00EC20A0" w:rsidRDefault="00F17249">
      <w:pPr>
        <w:pStyle w:val="ListParagraph"/>
        <w:numPr>
          <w:ilvl w:val="1"/>
          <w:numId w:val="6"/>
        </w:numPr>
        <w:tabs>
          <w:tab w:val="left" w:pos="1999"/>
        </w:tabs>
        <w:spacing w:before="118"/>
        <w:ind w:left="1999" w:right="976"/>
      </w:pPr>
      <w:r w:rsidRPr="00EC20A0">
        <w:rPr>
          <w:b/>
        </w:rPr>
        <w:t>Measurement</w:t>
      </w:r>
      <w:r w:rsidRPr="00EC20A0">
        <w:t>—Costs</w:t>
      </w:r>
      <w:r w:rsidRPr="00EC20A0">
        <w:rPr>
          <w:spacing w:val="-6"/>
        </w:rPr>
        <w:t xml:space="preserve"> </w:t>
      </w:r>
      <w:r w:rsidRPr="00EC20A0">
        <w:t>included</w:t>
      </w:r>
      <w:r w:rsidRPr="00EC20A0">
        <w:rPr>
          <w:spacing w:val="-6"/>
        </w:rPr>
        <w:t xml:space="preserve"> </w:t>
      </w:r>
      <w:r w:rsidRPr="00EC20A0">
        <w:t>in</w:t>
      </w:r>
      <w:r w:rsidRPr="00EC20A0">
        <w:rPr>
          <w:spacing w:val="-6"/>
        </w:rPr>
        <w:t xml:space="preserve"> </w:t>
      </w:r>
      <w:r w:rsidRPr="00EC20A0">
        <w:t>the</w:t>
      </w:r>
      <w:r w:rsidRPr="00EC20A0">
        <w:rPr>
          <w:spacing w:val="-6"/>
        </w:rPr>
        <w:t xml:space="preserve"> </w:t>
      </w:r>
      <w:r w:rsidRPr="00EC20A0">
        <w:t>financial</w:t>
      </w:r>
      <w:r w:rsidRPr="00EC20A0">
        <w:rPr>
          <w:spacing w:val="-6"/>
        </w:rPr>
        <w:t xml:space="preserve"> </w:t>
      </w:r>
      <w:r w:rsidRPr="00EC20A0">
        <w:t>statements</w:t>
      </w:r>
      <w:r w:rsidRPr="00EC20A0">
        <w:rPr>
          <w:spacing w:val="-6"/>
        </w:rPr>
        <w:t xml:space="preserve"> </w:t>
      </w:r>
      <w:r w:rsidRPr="00EC20A0">
        <w:t>are</w:t>
      </w:r>
      <w:r w:rsidRPr="00EC20A0">
        <w:rPr>
          <w:spacing w:val="-6"/>
        </w:rPr>
        <w:t xml:space="preserve"> </w:t>
      </w:r>
      <w:r w:rsidRPr="00EC20A0">
        <w:t xml:space="preserve">properly </w:t>
      </w:r>
      <w:r w:rsidRPr="00EC20A0">
        <w:rPr>
          <w:spacing w:val="-2"/>
        </w:rPr>
        <w:t>measured.</w:t>
      </w:r>
    </w:p>
    <w:p w14:paraId="24D6193D" w14:textId="77777777" w:rsidR="00245300" w:rsidRPr="00EC20A0" w:rsidRDefault="00F17249">
      <w:pPr>
        <w:pStyle w:val="Heading6"/>
        <w:spacing w:before="239"/>
        <w:ind w:left="1639"/>
      </w:pPr>
      <w:r w:rsidRPr="00EC20A0">
        <w:t>PRESENTATION</w:t>
      </w:r>
      <w:r w:rsidRPr="00EC20A0">
        <w:rPr>
          <w:spacing w:val="-17"/>
        </w:rPr>
        <w:t xml:space="preserve"> </w:t>
      </w:r>
      <w:r w:rsidRPr="00EC20A0">
        <w:t>AND</w:t>
      </w:r>
      <w:r w:rsidRPr="00EC20A0">
        <w:rPr>
          <w:spacing w:val="-13"/>
        </w:rPr>
        <w:t xml:space="preserve"> </w:t>
      </w:r>
      <w:r w:rsidRPr="00EC20A0">
        <w:rPr>
          <w:spacing w:val="-2"/>
        </w:rPr>
        <w:t>DISCLOSURE</w:t>
      </w:r>
    </w:p>
    <w:p w14:paraId="24D6193E" w14:textId="77777777" w:rsidR="00245300" w:rsidRPr="00EC20A0" w:rsidRDefault="00F17249">
      <w:pPr>
        <w:pStyle w:val="ListParagraph"/>
        <w:numPr>
          <w:ilvl w:val="1"/>
          <w:numId w:val="6"/>
        </w:numPr>
        <w:tabs>
          <w:tab w:val="left" w:pos="1999"/>
        </w:tabs>
        <w:spacing w:before="119"/>
        <w:ind w:left="1999" w:right="1321"/>
      </w:pPr>
      <w:r w:rsidRPr="00EC20A0">
        <w:rPr>
          <w:b/>
        </w:rPr>
        <w:t>Account</w:t>
      </w:r>
      <w:r w:rsidRPr="00EC20A0">
        <w:rPr>
          <w:b/>
          <w:spacing w:val="-7"/>
        </w:rPr>
        <w:t xml:space="preserve"> </w:t>
      </w:r>
      <w:r w:rsidRPr="00EC20A0">
        <w:rPr>
          <w:b/>
        </w:rPr>
        <w:t>classification</w:t>
      </w:r>
      <w:r w:rsidRPr="00EC20A0">
        <w:t>—Cost</w:t>
      </w:r>
      <w:r w:rsidRPr="00EC20A0">
        <w:rPr>
          <w:spacing w:val="-7"/>
        </w:rPr>
        <w:t xml:space="preserve"> </w:t>
      </w:r>
      <w:r w:rsidRPr="00EC20A0">
        <w:t>accounts</w:t>
      </w:r>
      <w:r w:rsidRPr="00EC20A0">
        <w:rPr>
          <w:spacing w:val="-7"/>
        </w:rPr>
        <w:t xml:space="preserve"> </w:t>
      </w:r>
      <w:r w:rsidRPr="00EC20A0">
        <w:t>are</w:t>
      </w:r>
      <w:r w:rsidRPr="00EC20A0">
        <w:rPr>
          <w:spacing w:val="-7"/>
        </w:rPr>
        <w:t xml:space="preserve"> </w:t>
      </w:r>
      <w:r w:rsidRPr="00EC20A0">
        <w:t>properly</w:t>
      </w:r>
      <w:r w:rsidRPr="00EC20A0">
        <w:rPr>
          <w:spacing w:val="-7"/>
        </w:rPr>
        <w:t xml:space="preserve"> </w:t>
      </w:r>
      <w:r w:rsidRPr="00EC20A0">
        <w:t>classified</w:t>
      </w:r>
      <w:r w:rsidRPr="00EC20A0">
        <w:rPr>
          <w:spacing w:val="-7"/>
        </w:rPr>
        <w:t xml:space="preserve"> </w:t>
      </w:r>
      <w:r w:rsidRPr="00EC20A0">
        <w:t>and described in the financial statements.</w:t>
      </w:r>
    </w:p>
    <w:p w14:paraId="24D6193F" w14:textId="77777777" w:rsidR="00245300" w:rsidRPr="00EC20A0" w:rsidRDefault="00F17249">
      <w:pPr>
        <w:pStyle w:val="ListParagraph"/>
        <w:numPr>
          <w:ilvl w:val="1"/>
          <w:numId w:val="6"/>
        </w:numPr>
        <w:tabs>
          <w:tab w:val="left" w:pos="1999"/>
        </w:tabs>
        <w:spacing w:before="118"/>
        <w:ind w:left="1999" w:right="1100"/>
      </w:pPr>
      <w:r w:rsidRPr="00EC20A0">
        <w:rPr>
          <w:b/>
        </w:rPr>
        <w:t>Consistency</w:t>
      </w:r>
      <w:r w:rsidRPr="00EC20A0">
        <w:t>—Costs</w:t>
      </w:r>
      <w:r w:rsidRPr="00EC20A0">
        <w:rPr>
          <w:spacing w:val="-6"/>
        </w:rPr>
        <w:t xml:space="preserve"> </w:t>
      </w:r>
      <w:r w:rsidRPr="00EC20A0">
        <w:t>in</w:t>
      </w:r>
      <w:r w:rsidRPr="00EC20A0">
        <w:rPr>
          <w:spacing w:val="-7"/>
        </w:rPr>
        <w:t xml:space="preserve"> </w:t>
      </w:r>
      <w:r w:rsidRPr="00EC20A0">
        <w:t>financial</w:t>
      </w:r>
      <w:r w:rsidRPr="00EC20A0">
        <w:rPr>
          <w:spacing w:val="-7"/>
        </w:rPr>
        <w:t xml:space="preserve"> </w:t>
      </w:r>
      <w:r w:rsidRPr="00EC20A0">
        <w:t>statements</w:t>
      </w:r>
      <w:r w:rsidRPr="00EC20A0">
        <w:rPr>
          <w:spacing w:val="-6"/>
        </w:rPr>
        <w:t xml:space="preserve"> </w:t>
      </w:r>
      <w:r w:rsidRPr="00EC20A0">
        <w:t>are</w:t>
      </w:r>
      <w:r w:rsidRPr="00EC20A0">
        <w:rPr>
          <w:spacing w:val="-6"/>
        </w:rPr>
        <w:t xml:space="preserve"> </w:t>
      </w:r>
      <w:r w:rsidRPr="00EC20A0">
        <w:t>based</w:t>
      </w:r>
      <w:r w:rsidRPr="00EC20A0">
        <w:rPr>
          <w:spacing w:val="-6"/>
        </w:rPr>
        <w:t xml:space="preserve"> </w:t>
      </w:r>
      <w:r w:rsidRPr="00EC20A0">
        <w:t>on</w:t>
      </w:r>
      <w:r w:rsidRPr="00EC20A0">
        <w:rPr>
          <w:spacing w:val="-6"/>
        </w:rPr>
        <w:t xml:space="preserve"> </w:t>
      </w:r>
      <w:r w:rsidRPr="00EC20A0">
        <w:t>accounting principles that are applied consistently from period to period.</w:t>
      </w:r>
    </w:p>
    <w:p w14:paraId="24D61940" w14:textId="77777777" w:rsidR="00245300" w:rsidRPr="00EC20A0" w:rsidRDefault="00F17249">
      <w:pPr>
        <w:pStyle w:val="ListParagraph"/>
        <w:numPr>
          <w:ilvl w:val="1"/>
          <w:numId w:val="6"/>
        </w:numPr>
        <w:tabs>
          <w:tab w:val="left" w:pos="1999"/>
        </w:tabs>
        <w:spacing w:before="118"/>
        <w:ind w:left="1999" w:right="440"/>
      </w:pPr>
      <w:r w:rsidRPr="00EC20A0">
        <w:rPr>
          <w:b/>
        </w:rPr>
        <w:t>Disclosure</w:t>
      </w:r>
      <w:r w:rsidRPr="00EC20A0">
        <w:t>—Financial</w:t>
      </w:r>
      <w:r w:rsidRPr="00EC20A0">
        <w:rPr>
          <w:spacing w:val="-7"/>
        </w:rPr>
        <w:t xml:space="preserve"> </w:t>
      </w:r>
      <w:r w:rsidRPr="00EC20A0">
        <w:t>statements</w:t>
      </w:r>
      <w:r w:rsidRPr="00EC20A0">
        <w:rPr>
          <w:spacing w:val="-6"/>
        </w:rPr>
        <w:t xml:space="preserve"> </w:t>
      </w:r>
      <w:r w:rsidRPr="00EC20A0">
        <w:t>and</w:t>
      </w:r>
      <w:r w:rsidRPr="00EC20A0">
        <w:rPr>
          <w:spacing w:val="-6"/>
        </w:rPr>
        <w:t xml:space="preserve"> </w:t>
      </w:r>
      <w:r w:rsidRPr="00EC20A0">
        <w:t>notes</w:t>
      </w:r>
      <w:r w:rsidRPr="00EC20A0">
        <w:rPr>
          <w:spacing w:val="-6"/>
        </w:rPr>
        <w:t xml:space="preserve"> </w:t>
      </w:r>
      <w:r w:rsidRPr="00EC20A0">
        <w:t>contain</w:t>
      </w:r>
      <w:r w:rsidRPr="00EC20A0">
        <w:rPr>
          <w:spacing w:val="-6"/>
        </w:rPr>
        <w:t xml:space="preserve"> </w:t>
      </w:r>
      <w:r w:rsidRPr="00EC20A0">
        <w:t>all</w:t>
      </w:r>
      <w:r w:rsidRPr="00EC20A0">
        <w:rPr>
          <w:spacing w:val="-6"/>
        </w:rPr>
        <w:t xml:space="preserve"> </w:t>
      </w:r>
      <w:r w:rsidRPr="00EC20A0">
        <w:t>information</w:t>
      </w:r>
      <w:r w:rsidRPr="00EC20A0">
        <w:rPr>
          <w:spacing w:val="-6"/>
        </w:rPr>
        <w:t xml:space="preserve"> </w:t>
      </w:r>
      <w:r w:rsidRPr="00EC20A0">
        <w:t>required to be disclosed.</w:t>
      </w:r>
    </w:p>
    <w:p w14:paraId="24D61941" w14:textId="77777777" w:rsidR="00245300" w:rsidRPr="00EC20A0" w:rsidRDefault="00F17249">
      <w:pPr>
        <w:pStyle w:val="ListParagraph"/>
        <w:numPr>
          <w:ilvl w:val="0"/>
          <w:numId w:val="6"/>
        </w:numPr>
        <w:tabs>
          <w:tab w:val="left" w:pos="1640"/>
        </w:tabs>
        <w:spacing w:before="239"/>
        <w:ind w:right="357"/>
      </w:pPr>
      <w:r w:rsidRPr="00EC20A0">
        <w:t>SFFAS 4 discusses three methods of assigning costs: directly tracing costs, assigning costs on a cause-and-effect basis, and allocating costs on a reasonable and consistent basis. Although the standard discusses these three methods</w:t>
      </w:r>
      <w:r w:rsidRPr="00EC20A0">
        <w:rPr>
          <w:spacing w:val="-4"/>
        </w:rPr>
        <w:t xml:space="preserve"> </w:t>
      </w:r>
      <w:r w:rsidRPr="00EC20A0">
        <w:t>in</w:t>
      </w:r>
      <w:r w:rsidRPr="00EC20A0">
        <w:rPr>
          <w:spacing w:val="-4"/>
        </w:rPr>
        <w:t xml:space="preserve"> </w:t>
      </w:r>
      <w:r w:rsidRPr="00EC20A0">
        <w:t>relation</w:t>
      </w:r>
      <w:r w:rsidRPr="00EC20A0">
        <w:rPr>
          <w:spacing w:val="-4"/>
        </w:rPr>
        <w:t xml:space="preserve"> </w:t>
      </w:r>
      <w:r w:rsidRPr="00EC20A0">
        <w:t>to</w:t>
      </w:r>
      <w:r w:rsidRPr="00EC20A0">
        <w:rPr>
          <w:spacing w:val="-4"/>
        </w:rPr>
        <w:t xml:space="preserve"> </w:t>
      </w:r>
      <w:r w:rsidRPr="00EC20A0">
        <w:t>assigning</w:t>
      </w:r>
      <w:r w:rsidRPr="00EC20A0">
        <w:rPr>
          <w:spacing w:val="-4"/>
        </w:rPr>
        <w:t xml:space="preserve"> </w:t>
      </w:r>
      <w:r w:rsidRPr="00EC20A0">
        <w:t>costs</w:t>
      </w:r>
      <w:r w:rsidRPr="00EC20A0">
        <w:rPr>
          <w:spacing w:val="-4"/>
        </w:rPr>
        <w:t xml:space="preserve"> </w:t>
      </w:r>
      <w:r w:rsidRPr="00EC20A0">
        <w:t>to</w:t>
      </w:r>
      <w:r w:rsidRPr="00EC20A0">
        <w:rPr>
          <w:spacing w:val="-4"/>
        </w:rPr>
        <w:t xml:space="preserve"> </w:t>
      </w:r>
      <w:r w:rsidRPr="00EC20A0">
        <w:t>responsibility</w:t>
      </w:r>
      <w:r w:rsidRPr="00EC20A0">
        <w:rPr>
          <w:spacing w:val="-4"/>
        </w:rPr>
        <w:t xml:space="preserve"> </w:t>
      </w:r>
      <w:r w:rsidRPr="00EC20A0">
        <w:t>segments</w:t>
      </w:r>
      <w:r w:rsidRPr="00EC20A0">
        <w:rPr>
          <w:spacing w:val="-4"/>
        </w:rPr>
        <w:t xml:space="preserve"> </w:t>
      </w:r>
      <w:r w:rsidRPr="00EC20A0">
        <w:t>and</w:t>
      </w:r>
      <w:r w:rsidRPr="00EC20A0">
        <w:rPr>
          <w:spacing w:val="-4"/>
        </w:rPr>
        <w:t xml:space="preserve"> </w:t>
      </w:r>
      <w:r w:rsidRPr="00EC20A0">
        <w:t>outputs,</w:t>
      </w:r>
      <w:r w:rsidRPr="00EC20A0">
        <w:rPr>
          <w:spacing w:val="-4"/>
        </w:rPr>
        <w:t xml:space="preserve"> </w:t>
      </w:r>
      <w:r w:rsidRPr="00EC20A0">
        <w:t>the</w:t>
      </w:r>
    </w:p>
    <w:p w14:paraId="24D61942" w14:textId="77777777" w:rsidR="00245300" w:rsidRPr="00EC20A0" w:rsidRDefault="00245300">
      <w:pPr>
        <w:sectPr w:rsidR="00245300" w:rsidRPr="00EC20A0">
          <w:pgSz w:w="12240" w:h="15840"/>
          <w:pgMar w:top="1340" w:right="1100" w:bottom="1020" w:left="1240" w:header="721" w:footer="757" w:gutter="0"/>
          <w:cols w:space="720"/>
        </w:sectPr>
      </w:pPr>
    </w:p>
    <w:p w14:paraId="24D61943" w14:textId="77777777" w:rsidR="00245300" w:rsidRPr="00EC20A0" w:rsidRDefault="00F17249">
      <w:pPr>
        <w:pStyle w:val="BodyText"/>
        <w:spacing w:before="121"/>
        <w:ind w:left="1640" w:right="364"/>
      </w:pPr>
      <w:r w:rsidRPr="00EC20A0">
        <w:t>methods</w:t>
      </w:r>
      <w:r w:rsidRPr="00EC20A0">
        <w:rPr>
          <w:spacing w:val="-4"/>
        </w:rPr>
        <w:t xml:space="preserve"> </w:t>
      </w:r>
      <w:r w:rsidRPr="00EC20A0">
        <w:t>are</w:t>
      </w:r>
      <w:r w:rsidRPr="00EC20A0">
        <w:rPr>
          <w:spacing w:val="-4"/>
        </w:rPr>
        <w:t xml:space="preserve"> </w:t>
      </w:r>
      <w:r w:rsidRPr="00EC20A0">
        <w:t>also</w:t>
      </w:r>
      <w:r w:rsidRPr="00EC20A0">
        <w:rPr>
          <w:spacing w:val="-4"/>
        </w:rPr>
        <w:t xml:space="preserve"> </w:t>
      </w:r>
      <w:r w:rsidRPr="00EC20A0">
        <w:t>applicable</w:t>
      </w:r>
      <w:r w:rsidRPr="00EC20A0">
        <w:rPr>
          <w:spacing w:val="-4"/>
        </w:rPr>
        <w:t xml:space="preserve"> </w:t>
      </w:r>
      <w:r w:rsidRPr="00EC20A0">
        <w:t>to</w:t>
      </w:r>
      <w:r w:rsidRPr="00EC20A0">
        <w:rPr>
          <w:spacing w:val="-4"/>
        </w:rPr>
        <w:t xml:space="preserve"> </w:t>
      </w:r>
      <w:r w:rsidRPr="00EC20A0">
        <w:t>assigning</w:t>
      </w:r>
      <w:r w:rsidRPr="00EC20A0">
        <w:rPr>
          <w:spacing w:val="-4"/>
        </w:rPr>
        <w:t xml:space="preserve"> </w:t>
      </w:r>
      <w:r w:rsidRPr="00EC20A0">
        <w:t>costs</w:t>
      </w:r>
      <w:r w:rsidRPr="00EC20A0">
        <w:rPr>
          <w:spacing w:val="-4"/>
        </w:rPr>
        <w:t xml:space="preserve"> </w:t>
      </w:r>
      <w:r w:rsidRPr="00EC20A0">
        <w:t>to</w:t>
      </w:r>
      <w:r w:rsidRPr="00EC20A0">
        <w:rPr>
          <w:spacing w:val="-4"/>
        </w:rPr>
        <w:t xml:space="preserve"> </w:t>
      </w:r>
      <w:r w:rsidRPr="00EC20A0">
        <w:t>financial</w:t>
      </w:r>
      <w:r w:rsidRPr="00EC20A0">
        <w:rPr>
          <w:spacing w:val="-5"/>
        </w:rPr>
        <w:t xml:space="preserve"> </w:t>
      </w:r>
      <w:r w:rsidRPr="00EC20A0">
        <w:t>statement</w:t>
      </w:r>
      <w:r w:rsidRPr="00EC20A0">
        <w:rPr>
          <w:spacing w:val="-4"/>
        </w:rPr>
        <w:t xml:space="preserve"> </w:t>
      </w:r>
      <w:r w:rsidRPr="00EC20A0">
        <w:t>line</w:t>
      </w:r>
      <w:r w:rsidRPr="00EC20A0">
        <w:rPr>
          <w:spacing w:val="-4"/>
        </w:rPr>
        <w:t xml:space="preserve"> </w:t>
      </w:r>
      <w:r w:rsidRPr="00EC20A0">
        <w:t>items</w:t>
      </w:r>
      <w:r w:rsidRPr="00EC20A0">
        <w:rPr>
          <w:spacing w:val="-4"/>
        </w:rPr>
        <w:t xml:space="preserve"> </w:t>
      </w:r>
      <w:r w:rsidRPr="00EC20A0">
        <w:t>in the statement of net cost, generally by program, and in the notes by budget functional classification. The different methods of assigning costs may require different auditing procedures for determining whether costs are properly</w:t>
      </w:r>
      <w:r w:rsidRPr="00EC20A0">
        <w:rPr>
          <w:spacing w:val="40"/>
        </w:rPr>
        <w:t xml:space="preserve"> </w:t>
      </w:r>
      <w:r w:rsidRPr="00EC20A0">
        <w:t>classified in the statement of net cost by program.</w:t>
      </w:r>
    </w:p>
    <w:p w14:paraId="24D61944" w14:textId="77777777" w:rsidR="00245300" w:rsidRPr="00EC20A0" w:rsidRDefault="00F17249">
      <w:pPr>
        <w:pStyle w:val="ListParagraph"/>
        <w:numPr>
          <w:ilvl w:val="0"/>
          <w:numId w:val="6"/>
        </w:numPr>
        <w:tabs>
          <w:tab w:val="left" w:pos="1640"/>
        </w:tabs>
        <w:ind w:right="373"/>
      </w:pPr>
      <w:r w:rsidRPr="00EC20A0">
        <w:t>For</w:t>
      </w:r>
      <w:r w:rsidRPr="00EC20A0">
        <w:rPr>
          <w:spacing w:val="-4"/>
        </w:rPr>
        <w:t xml:space="preserve"> </w:t>
      </w:r>
      <w:r w:rsidRPr="00EC20A0">
        <w:t>directly</w:t>
      </w:r>
      <w:r w:rsidRPr="00EC20A0">
        <w:rPr>
          <w:spacing w:val="-5"/>
        </w:rPr>
        <w:t xml:space="preserve"> </w:t>
      </w:r>
      <w:r w:rsidRPr="00EC20A0">
        <w:t>traced</w:t>
      </w:r>
      <w:r w:rsidRPr="00EC20A0">
        <w:rPr>
          <w:spacing w:val="-4"/>
        </w:rPr>
        <w:t xml:space="preserve"> </w:t>
      </w:r>
      <w:r w:rsidRPr="00EC20A0">
        <w:t>costs</w:t>
      </w:r>
      <w:r w:rsidRPr="00EC20A0">
        <w:rPr>
          <w:spacing w:val="-5"/>
        </w:rPr>
        <w:t xml:space="preserve"> </w:t>
      </w:r>
      <w:r w:rsidRPr="00EC20A0">
        <w:t>(such</w:t>
      </w:r>
      <w:r w:rsidRPr="00EC20A0">
        <w:rPr>
          <w:spacing w:val="-4"/>
        </w:rPr>
        <w:t xml:space="preserve"> </w:t>
      </w:r>
      <w:r w:rsidRPr="00EC20A0">
        <w:t>as</w:t>
      </w:r>
      <w:r w:rsidRPr="00EC20A0">
        <w:rPr>
          <w:spacing w:val="-4"/>
        </w:rPr>
        <w:t xml:space="preserve"> </w:t>
      </w:r>
      <w:r w:rsidRPr="00EC20A0">
        <w:t>materials</w:t>
      </w:r>
      <w:r w:rsidRPr="00EC20A0">
        <w:rPr>
          <w:spacing w:val="-4"/>
        </w:rPr>
        <w:t xml:space="preserve"> </w:t>
      </w:r>
      <w:r w:rsidRPr="00EC20A0">
        <w:t>used</w:t>
      </w:r>
      <w:r w:rsidRPr="00EC20A0">
        <w:rPr>
          <w:spacing w:val="-5"/>
        </w:rPr>
        <w:t xml:space="preserve"> </w:t>
      </w:r>
      <w:r w:rsidRPr="00EC20A0">
        <w:t>in</w:t>
      </w:r>
      <w:r w:rsidRPr="00EC20A0">
        <w:rPr>
          <w:spacing w:val="-4"/>
        </w:rPr>
        <w:t xml:space="preserve"> </w:t>
      </w:r>
      <w:r w:rsidRPr="00EC20A0">
        <w:t>production</w:t>
      </w:r>
      <w:r w:rsidRPr="00EC20A0">
        <w:rPr>
          <w:spacing w:val="-4"/>
        </w:rPr>
        <w:t xml:space="preserve"> </w:t>
      </w:r>
      <w:r w:rsidRPr="00EC20A0">
        <w:t>or</w:t>
      </w:r>
      <w:r w:rsidRPr="00EC20A0">
        <w:rPr>
          <w:spacing w:val="-4"/>
        </w:rPr>
        <w:t xml:space="preserve"> </w:t>
      </w:r>
      <w:r w:rsidRPr="00EC20A0">
        <w:t>employees</w:t>
      </w:r>
      <w:r w:rsidRPr="00EC20A0">
        <w:rPr>
          <w:spacing w:val="-4"/>
        </w:rPr>
        <w:t xml:space="preserve"> </w:t>
      </w:r>
      <w:r w:rsidRPr="00EC20A0">
        <w:t xml:space="preserve">who worked on an output), the auditor generally should test whether costs were </w:t>
      </w:r>
      <w:r w:rsidRPr="00EC20A0">
        <w:t>assigned to the appropriate program and/or budget functional classification.</w:t>
      </w:r>
    </w:p>
    <w:p w14:paraId="24D61945" w14:textId="77777777" w:rsidR="00245300" w:rsidRPr="00EC20A0" w:rsidRDefault="00F17249">
      <w:pPr>
        <w:pStyle w:val="ListParagraph"/>
        <w:numPr>
          <w:ilvl w:val="0"/>
          <w:numId w:val="6"/>
        </w:numPr>
        <w:tabs>
          <w:tab w:val="left" w:pos="1640"/>
        </w:tabs>
        <w:spacing w:before="239"/>
        <w:ind w:right="445"/>
      </w:pPr>
      <w:r w:rsidRPr="00EC20A0">
        <w:t>In</w:t>
      </w:r>
      <w:r w:rsidRPr="00EC20A0">
        <w:rPr>
          <w:spacing w:val="-4"/>
        </w:rPr>
        <w:t xml:space="preserve"> </w:t>
      </w:r>
      <w:r w:rsidRPr="00EC20A0">
        <w:t>some</w:t>
      </w:r>
      <w:r w:rsidRPr="00EC20A0">
        <w:rPr>
          <w:spacing w:val="-4"/>
        </w:rPr>
        <w:t xml:space="preserve"> </w:t>
      </w:r>
      <w:r w:rsidRPr="00EC20A0">
        <w:t>cases,</w:t>
      </w:r>
      <w:r w:rsidRPr="00EC20A0">
        <w:rPr>
          <w:spacing w:val="-4"/>
        </w:rPr>
        <w:t xml:space="preserve"> </w:t>
      </w:r>
      <w:r w:rsidRPr="00EC20A0">
        <w:t>costs</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assigned</w:t>
      </w:r>
      <w:r w:rsidRPr="00EC20A0">
        <w:rPr>
          <w:spacing w:val="-4"/>
        </w:rPr>
        <w:t xml:space="preserve"> </w:t>
      </w:r>
      <w:r w:rsidRPr="00EC20A0">
        <w:t>on</w:t>
      </w:r>
      <w:r w:rsidRPr="00EC20A0">
        <w:rPr>
          <w:spacing w:val="-4"/>
        </w:rPr>
        <w:t xml:space="preserve"> </w:t>
      </w:r>
      <w:r w:rsidRPr="00EC20A0">
        <w:t>a</w:t>
      </w:r>
      <w:r w:rsidRPr="00EC20A0">
        <w:rPr>
          <w:spacing w:val="-4"/>
        </w:rPr>
        <w:t xml:space="preserve"> </w:t>
      </w:r>
      <w:r w:rsidRPr="00EC20A0">
        <w:t>cause-and-effect</w:t>
      </w:r>
      <w:r w:rsidRPr="00EC20A0">
        <w:rPr>
          <w:spacing w:val="-4"/>
        </w:rPr>
        <w:t xml:space="preserve"> </w:t>
      </w:r>
      <w:r w:rsidRPr="00EC20A0">
        <w:t>basis,</w:t>
      </w:r>
      <w:r w:rsidRPr="00EC20A0">
        <w:rPr>
          <w:spacing w:val="-4"/>
        </w:rPr>
        <w:t xml:space="preserve"> </w:t>
      </w:r>
      <w:r w:rsidRPr="00EC20A0">
        <w:t>by</w:t>
      </w:r>
      <w:r w:rsidRPr="00EC20A0">
        <w:rPr>
          <w:spacing w:val="-5"/>
        </w:rPr>
        <w:t xml:space="preserve"> </w:t>
      </w:r>
      <w:r w:rsidRPr="00EC20A0">
        <w:t>grouping costs into cost pools where an intermediate activity may be a link between the cause and the effect. For example, an information technology department may provide support to other departments. The information technology department may assign costs to other departments on a cause-and-effect basis by first assigning costs to an intermediate activity, such as hardware installation or software design. The costs in these pools may then b</w:t>
      </w:r>
      <w:r w:rsidRPr="00EC20A0">
        <w:t>e further assigned to other departments based on their use of these technical services.</w:t>
      </w:r>
    </w:p>
    <w:p w14:paraId="24D61946" w14:textId="77777777" w:rsidR="00245300" w:rsidRPr="00EC20A0" w:rsidRDefault="00F17249">
      <w:pPr>
        <w:pStyle w:val="BodyText"/>
        <w:spacing w:before="241"/>
        <w:ind w:left="1640" w:right="345"/>
      </w:pPr>
      <w:r w:rsidRPr="00EC20A0">
        <w:t>In auditing these types of costs, the auditor generally should test whether costs are</w:t>
      </w:r>
      <w:r w:rsidRPr="00EC20A0">
        <w:rPr>
          <w:spacing w:val="-4"/>
        </w:rPr>
        <w:t xml:space="preserve"> </w:t>
      </w:r>
      <w:r w:rsidRPr="00EC20A0">
        <w:t>assigned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appropriate</w:t>
      </w:r>
      <w:r w:rsidRPr="00EC20A0">
        <w:rPr>
          <w:spacing w:val="-4"/>
        </w:rPr>
        <w:t xml:space="preserve"> </w:t>
      </w:r>
      <w:r w:rsidRPr="00EC20A0">
        <w:t>cost</w:t>
      </w:r>
      <w:r w:rsidRPr="00EC20A0">
        <w:rPr>
          <w:spacing w:val="-5"/>
        </w:rPr>
        <w:t xml:space="preserve"> </w:t>
      </w:r>
      <w:r w:rsidRPr="00EC20A0">
        <w:t>pool</w:t>
      </w:r>
      <w:r w:rsidRPr="00EC20A0">
        <w:rPr>
          <w:spacing w:val="-4"/>
        </w:rPr>
        <w:t xml:space="preserve"> </w:t>
      </w:r>
      <w:r w:rsidRPr="00EC20A0">
        <w:t>(e.g.,</w:t>
      </w:r>
      <w:r w:rsidRPr="00EC20A0">
        <w:rPr>
          <w:spacing w:val="-4"/>
        </w:rPr>
        <w:t xml:space="preserve"> </w:t>
      </w:r>
      <w:r w:rsidRPr="00EC20A0">
        <w:t>hardware</w:t>
      </w:r>
      <w:r w:rsidRPr="00EC20A0">
        <w:rPr>
          <w:spacing w:val="-4"/>
        </w:rPr>
        <w:t xml:space="preserve"> </w:t>
      </w:r>
      <w:r w:rsidRPr="00EC20A0">
        <w:t>installation</w:t>
      </w:r>
      <w:r w:rsidRPr="00EC20A0">
        <w:rPr>
          <w:spacing w:val="-4"/>
        </w:rPr>
        <w:t xml:space="preserve"> </w:t>
      </w:r>
      <w:r w:rsidRPr="00EC20A0">
        <w:t>or</w:t>
      </w:r>
      <w:r w:rsidRPr="00EC20A0">
        <w:rPr>
          <w:spacing w:val="-5"/>
        </w:rPr>
        <w:t xml:space="preserve"> </w:t>
      </w:r>
      <w:r w:rsidRPr="00EC20A0">
        <w:t>software design)</w:t>
      </w:r>
      <w:r w:rsidRPr="00EC20A0">
        <w:rPr>
          <w:spacing w:val="-4"/>
        </w:rPr>
        <w:t xml:space="preserve"> </w:t>
      </w:r>
      <w:r w:rsidRPr="00EC20A0">
        <w:t>and</w:t>
      </w:r>
      <w:r w:rsidRPr="00EC20A0">
        <w:rPr>
          <w:spacing w:val="-5"/>
        </w:rPr>
        <w:t xml:space="preserve"> </w:t>
      </w:r>
      <w:r w:rsidRPr="00EC20A0">
        <w:t>also</w:t>
      </w:r>
      <w:r w:rsidRPr="00EC20A0">
        <w:rPr>
          <w:spacing w:val="-4"/>
        </w:rPr>
        <w:t xml:space="preserve"> </w:t>
      </w:r>
      <w:r w:rsidRPr="00EC20A0">
        <w:t>whether</w:t>
      </w:r>
      <w:r w:rsidRPr="00EC20A0">
        <w:rPr>
          <w:spacing w:val="-4"/>
        </w:rPr>
        <w:t xml:space="preserve"> </w:t>
      </w:r>
      <w:r w:rsidRPr="00EC20A0">
        <w:t>costs</w:t>
      </w:r>
      <w:r w:rsidRPr="00EC20A0">
        <w:rPr>
          <w:spacing w:val="-4"/>
        </w:rPr>
        <w:t xml:space="preserve"> </w:t>
      </w:r>
      <w:r w:rsidRPr="00EC20A0">
        <w:t>are</w:t>
      </w:r>
      <w:r w:rsidRPr="00EC20A0">
        <w:rPr>
          <w:spacing w:val="-4"/>
        </w:rPr>
        <w:t xml:space="preserve"> </w:t>
      </w:r>
      <w:r w:rsidRPr="00EC20A0">
        <w:t>appropriately</w:t>
      </w:r>
      <w:r w:rsidRPr="00EC20A0">
        <w:rPr>
          <w:spacing w:val="-5"/>
        </w:rPr>
        <w:t xml:space="preserve"> </w:t>
      </w:r>
      <w:r w:rsidRPr="00EC20A0">
        <w:t>summarized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pool.</w:t>
      </w:r>
      <w:r w:rsidRPr="00EC20A0">
        <w:rPr>
          <w:spacing w:val="-5"/>
        </w:rPr>
        <w:t xml:space="preserve"> </w:t>
      </w:r>
      <w:r w:rsidRPr="00EC20A0">
        <w:t xml:space="preserve">When costs are assigned to other departments, the auditor generally should test whether costs assigned are based on appropriate usage information, cost assignments are reasonable and consistent, and they are mathematically </w:t>
      </w:r>
      <w:r w:rsidRPr="00EC20A0">
        <w:rPr>
          <w:spacing w:val="-2"/>
        </w:rPr>
        <w:t>accurate.</w:t>
      </w:r>
    </w:p>
    <w:p w14:paraId="24D61947" w14:textId="77777777" w:rsidR="00245300" w:rsidRPr="00EC20A0" w:rsidRDefault="00F17249">
      <w:pPr>
        <w:pStyle w:val="ListParagraph"/>
        <w:numPr>
          <w:ilvl w:val="0"/>
          <w:numId w:val="99"/>
        </w:numPr>
        <w:tabs>
          <w:tab w:val="left" w:pos="1640"/>
        </w:tabs>
        <w:ind w:right="482"/>
      </w:pPr>
      <w:r w:rsidRPr="00EC20A0">
        <w:t xml:space="preserve">If it is not </w:t>
      </w:r>
      <w:r w:rsidRPr="00EC20A0">
        <w:t>economically feasible to either directly trace or assign costs on a cause-and-effect basis, the entity may allocate costs. This is commonly done with costs such as general management, depreciation, rent, maintenance, security, and utilities that various segments use. These costs are generally accumulated</w:t>
      </w:r>
      <w:r w:rsidRPr="00EC20A0">
        <w:rPr>
          <w:spacing w:val="-4"/>
        </w:rPr>
        <w:t xml:space="preserve"> </w:t>
      </w:r>
      <w:r w:rsidRPr="00EC20A0">
        <w:t>in</w:t>
      </w:r>
      <w:r w:rsidRPr="00EC20A0">
        <w:rPr>
          <w:spacing w:val="-4"/>
        </w:rPr>
        <w:t xml:space="preserve"> </w:t>
      </w:r>
      <w:r w:rsidRPr="00EC20A0">
        <w:t>cost</w:t>
      </w:r>
      <w:r w:rsidRPr="00EC20A0">
        <w:rPr>
          <w:spacing w:val="-4"/>
        </w:rPr>
        <w:t xml:space="preserve"> </w:t>
      </w:r>
      <w:r w:rsidRPr="00EC20A0">
        <w:t>pools</w:t>
      </w:r>
      <w:r w:rsidRPr="00EC20A0">
        <w:rPr>
          <w:spacing w:val="-4"/>
        </w:rPr>
        <w:t xml:space="preserve"> </w:t>
      </w:r>
      <w:r w:rsidRPr="00EC20A0">
        <w:t>and</w:t>
      </w:r>
      <w:r w:rsidRPr="00EC20A0">
        <w:rPr>
          <w:spacing w:val="-4"/>
        </w:rPr>
        <w:t xml:space="preserve"> </w:t>
      </w:r>
      <w:r w:rsidRPr="00EC20A0">
        <w:t>allocated</w:t>
      </w:r>
      <w:r w:rsidRPr="00EC20A0">
        <w:rPr>
          <w:spacing w:val="-4"/>
        </w:rPr>
        <w:t xml:space="preserve"> </w:t>
      </w:r>
      <w:r w:rsidRPr="00EC20A0">
        <w:t>to</w:t>
      </w:r>
      <w:r w:rsidRPr="00EC20A0">
        <w:rPr>
          <w:spacing w:val="-4"/>
        </w:rPr>
        <w:t xml:space="preserve"> </w:t>
      </w:r>
      <w:r w:rsidRPr="00EC20A0">
        <w:t>segments</w:t>
      </w:r>
      <w:r w:rsidRPr="00EC20A0">
        <w:rPr>
          <w:spacing w:val="-4"/>
        </w:rPr>
        <w:t xml:space="preserve"> </w:t>
      </w:r>
      <w:r w:rsidRPr="00EC20A0">
        <w:t>or</w:t>
      </w:r>
      <w:r w:rsidRPr="00EC20A0">
        <w:rPr>
          <w:spacing w:val="-4"/>
        </w:rPr>
        <w:t xml:space="preserve"> </w:t>
      </w:r>
      <w:r w:rsidRPr="00EC20A0">
        <w:t>outputs</w:t>
      </w:r>
      <w:r w:rsidRPr="00EC20A0">
        <w:rPr>
          <w:spacing w:val="-4"/>
        </w:rPr>
        <w:t xml:space="preserve"> </w:t>
      </w:r>
      <w:r w:rsidRPr="00EC20A0">
        <w:t>(or</w:t>
      </w:r>
      <w:r w:rsidRPr="00EC20A0">
        <w:rPr>
          <w:spacing w:val="-4"/>
        </w:rPr>
        <w:t xml:space="preserve"> </w:t>
      </w:r>
      <w:r w:rsidRPr="00EC20A0">
        <w:t>programs</w:t>
      </w:r>
      <w:r w:rsidRPr="00EC20A0">
        <w:rPr>
          <w:spacing w:val="-4"/>
        </w:rPr>
        <w:t xml:space="preserve"> </w:t>
      </w:r>
      <w:r w:rsidRPr="00EC20A0">
        <w:t>or budget functional classifications) using a cost driver, such as number of employees,</w:t>
      </w:r>
      <w:r w:rsidRPr="00EC20A0">
        <w:rPr>
          <w:spacing w:val="-3"/>
        </w:rPr>
        <w:t xml:space="preserve"> </w:t>
      </w:r>
      <w:r w:rsidRPr="00EC20A0">
        <w:t>square</w:t>
      </w:r>
      <w:r w:rsidRPr="00EC20A0">
        <w:rPr>
          <w:spacing w:val="-2"/>
        </w:rPr>
        <w:t xml:space="preserve"> </w:t>
      </w:r>
      <w:r w:rsidRPr="00EC20A0">
        <w:t>footage</w:t>
      </w:r>
      <w:r w:rsidRPr="00EC20A0">
        <w:rPr>
          <w:spacing w:val="-2"/>
        </w:rPr>
        <w:t xml:space="preserve"> </w:t>
      </w:r>
      <w:r w:rsidRPr="00EC20A0">
        <w:t>of</w:t>
      </w:r>
      <w:r w:rsidRPr="00EC20A0">
        <w:rPr>
          <w:spacing w:val="-2"/>
        </w:rPr>
        <w:t xml:space="preserve"> </w:t>
      </w:r>
      <w:r w:rsidRPr="00EC20A0">
        <w:t>office</w:t>
      </w:r>
      <w:r w:rsidRPr="00EC20A0">
        <w:rPr>
          <w:spacing w:val="-3"/>
        </w:rPr>
        <w:t xml:space="preserve"> </w:t>
      </w:r>
      <w:r w:rsidRPr="00EC20A0">
        <w:t>space,</w:t>
      </w:r>
      <w:r w:rsidRPr="00EC20A0">
        <w:rPr>
          <w:spacing w:val="-2"/>
        </w:rPr>
        <w:t xml:space="preserve"> </w:t>
      </w:r>
      <w:r w:rsidRPr="00EC20A0">
        <w:t>or</w:t>
      </w:r>
      <w:r w:rsidRPr="00EC20A0">
        <w:rPr>
          <w:spacing w:val="-2"/>
        </w:rPr>
        <w:t xml:space="preserve"> </w:t>
      </w:r>
      <w:r w:rsidRPr="00EC20A0">
        <w:t>amount</w:t>
      </w:r>
      <w:r w:rsidRPr="00EC20A0">
        <w:rPr>
          <w:spacing w:val="-2"/>
        </w:rPr>
        <w:t xml:space="preserve"> </w:t>
      </w:r>
      <w:r w:rsidRPr="00EC20A0">
        <w:t>of</w:t>
      </w:r>
      <w:r w:rsidRPr="00EC20A0">
        <w:rPr>
          <w:spacing w:val="-2"/>
        </w:rPr>
        <w:t xml:space="preserve"> </w:t>
      </w:r>
      <w:r w:rsidRPr="00EC20A0">
        <w:t>direct</w:t>
      </w:r>
      <w:r w:rsidRPr="00EC20A0">
        <w:rPr>
          <w:spacing w:val="-2"/>
        </w:rPr>
        <w:t xml:space="preserve"> </w:t>
      </w:r>
      <w:r w:rsidRPr="00EC20A0">
        <w:t>co</w:t>
      </w:r>
      <w:r w:rsidRPr="00EC20A0">
        <w:t>sts</w:t>
      </w:r>
      <w:r w:rsidRPr="00EC20A0">
        <w:rPr>
          <w:spacing w:val="-2"/>
        </w:rPr>
        <w:t xml:space="preserve"> </w:t>
      </w:r>
      <w:r w:rsidRPr="00EC20A0">
        <w:t>incurred</w:t>
      </w:r>
      <w:r w:rsidRPr="00EC20A0">
        <w:rPr>
          <w:spacing w:val="-2"/>
        </w:rPr>
        <w:t xml:space="preserve"> </w:t>
      </w:r>
      <w:r w:rsidRPr="00EC20A0">
        <w:t xml:space="preserve">in </w:t>
      </w:r>
      <w:r w:rsidRPr="00EC20A0">
        <w:rPr>
          <w:spacing w:val="-2"/>
        </w:rPr>
        <w:t>segments.</w:t>
      </w:r>
    </w:p>
    <w:p w14:paraId="24D61948" w14:textId="77777777" w:rsidR="00245300" w:rsidRPr="00EC20A0" w:rsidRDefault="00F17249">
      <w:pPr>
        <w:pStyle w:val="BodyText"/>
        <w:spacing w:before="240"/>
        <w:ind w:left="1640" w:right="345"/>
      </w:pPr>
      <w:r w:rsidRPr="00EC20A0">
        <w:t>In auditing these allocated costs, the auditor generally should test whether the costs</w:t>
      </w:r>
      <w:r w:rsidRPr="00EC20A0">
        <w:rPr>
          <w:spacing w:val="-4"/>
        </w:rPr>
        <w:t xml:space="preserve"> </w:t>
      </w:r>
      <w:r w:rsidRPr="00EC20A0">
        <w:t>are</w:t>
      </w:r>
      <w:r w:rsidRPr="00EC20A0">
        <w:rPr>
          <w:spacing w:val="-4"/>
        </w:rPr>
        <w:t xml:space="preserve"> </w:t>
      </w:r>
      <w:r w:rsidRPr="00EC20A0">
        <w:t>assigned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appropriate</w:t>
      </w:r>
      <w:r w:rsidRPr="00EC20A0">
        <w:rPr>
          <w:spacing w:val="-4"/>
        </w:rPr>
        <w:t xml:space="preserve"> </w:t>
      </w:r>
      <w:r w:rsidRPr="00EC20A0">
        <w:t>cost</w:t>
      </w:r>
      <w:r w:rsidRPr="00EC20A0">
        <w:rPr>
          <w:spacing w:val="-4"/>
        </w:rPr>
        <w:t xml:space="preserve"> </w:t>
      </w:r>
      <w:r w:rsidRPr="00EC20A0">
        <w:t>pool</w:t>
      </w:r>
      <w:r w:rsidRPr="00EC20A0">
        <w:rPr>
          <w:spacing w:val="-5"/>
        </w:rPr>
        <w:t xml:space="preserve"> </w:t>
      </w:r>
      <w:r w:rsidRPr="00EC20A0">
        <w:t>and</w:t>
      </w:r>
      <w:r w:rsidRPr="00EC20A0">
        <w:rPr>
          <w:spacing w:val="-4"/>
        </w:rPr>
        <w:t xml:space="preserve"> </w:t>
      </w:r>
      <w:r w:rsidRPr="00EC20A0">
        <w:t>summarized</w:t>
      </w:r>
      <w:r w:rsidRPr="00EC20A0">
        <w:rPr>
          <w:spacing w:val="-4"/>
        </w:rPr>
        <w:t xml:space="preserve"> </w:t>
      </w:r>
      <w:r w:rsidRPr="00EC20A0">
        <w:t>appropriately. The auditor also generally should determine whether the allocation basis is reasonable and consistent, the mathematical allocation is correct, and an allocation is appropriate in the circumstances.</w:t>
      </w:r>
    </w:p>
    <w:p w14:paraId="24D61949" w14:textId="77777777" w:rsidR="00245300" w:rsidRPr="00EC20A0" w:rsidRDefault="00F17249">
      <w:pPr>
        <w:pStyle w:val="ListParagraph"/>
        <w:numPr>
          <w:ilvl w:val="0"/>
          <w:numId w:val="99"/>
        </w:numPr>
        <w:tabs>
          <w:tab w:val="left" w:pos="1640"/>
        </w:tabs>
        <w:ind w:right="368"/>
      </w:pPr>
      <w:r w:rsidRPr="00EC20A0">
        <w:t>The entity exercises professional judgment in determining the line item and programs to include in its statement of net cost. The auditor generally should consider</w:t>
      </w:r>
      <w:r w:rsidRPr="00EC20A0">
        <w:rPr>
          <w:spacing w:val="-4"/>
        </w:rPr>
        <w:t xml:space="preserve"> </w:t>
      </w:r>
      <w:r w:rsidRPr="00EC20A0">
        <w:t>whether</w:t>
      </w:r>
      <w:r w:rsidRPr="00EC20A0">
        <w:rPr>
          <w:spacing w:val="-4"/>
        </w:rPr>
        <w:t xml:space="preserve"> </w:t>
      </w:r>
      <w:r w:rsidRPr="00EC20A0">
        <w:t>such</w:t>
      </w:r>
      <w:r w:rsidRPr="00EC20A0">
        <w:rPr>
          <w:spacing w:val="-4"/>
        </w:rPr>
        <w:t xml:space="preserve"> </w:t>
      </w:r>
      <w:r w:rsidRPr="00EC20A0">
        <w:t>classifications</w:t>
      </w:r>
      <w:r w:rsidRPr="00EC20A0">
        <w:rPr>
          <w:spacing w:val="-4"/>
        </w:rPr>
        <w:t xml:space="preserve"> </w:t>
      </w:r>
      <w:r w:rsidRPr="00EC20A0">
        <w:t>are</w:t>
      </w:r>
      <w:r w:rsidRPr="00EC20A0">
        <w:rPr>
          <w:spacing w:val="-4"/>
        </w:rPr>
        <w:t xml:space="preserve"> </w:t>
      </w:r>
      <w:r w:rsidRPr="00EC20A0">
        <w:t>reasonable</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circumstances</w:t>
      </w:r>
      <w:r w:rsidRPr="00EC20A0">
        <w:rPr>
          <w:spacing w:val="-3"/>
        </w:rPr>
        <w:t xml:space="preserve"> </w:t>
      </w:r>
      <w:r w:rsidRPr="00EC20A0">
        <w:t>and</w:t>
      </w:r>
      <w:r w:rsidRPr="00EC20A0">
        <w:rPr>
          <w:spacing w:val="-4"/>
        </w:rPr>
        <w:t xml:space="preserve"> </w:t>
      </w:r>
      <w:r w:rsidRPr="00EC20A0">
        <w:t xml:space="preserve">to ensure that cost assignment methods and procedures are reasonable and </w:t>
      </w:r>
      <w:r w:rsidRPr="00EC20A0">
        <w:rPr>
          <w:spacing w:val="-2"/>
        </w:rPr>
        <w:t>documented.</w:t>
      </w:r>
    </w:p>
    <w:p w14:paraId="24D6194A" w14:textId="77777777" w:rsidR="00245300" w:rsidRPr="00EC20A0" w:rsidRDefault="00245300">
      <w:pPr>
        <w:sectPr w:rsidR="00245300" w:rsidRPr="00EC20A0">
          <w:pgSz w:w="12240" w:h="15840"/>
          <w:pgMar w:top="1340" w:right="1100" w:bottom="940" w:left="1240" w:header="721" w:footer="757" w:gutter="0"/>
          <w:cols w:space="720"/>
        </w:sectPr>
      </w:pPr>
    </w:p>
    <w:p w14:paraId="24D6194B" w14:textId="77777777" w:rsidR="00245300" w:rsidRPr="00EC20A0" w:rsidRDefault="00F17249">
      <w:pPr>
        <w:pStyle w:val="Heading4"/>
        <w:spacing w:before="121"/>
        <w:ind w:left="200"/>
      </w:pPr>
      <w:bookmarkStart w:id="298" w:name="Federal_Financial_Management_Improvement"/>
      <w:bookmarkEnd w:id="298"/>
      <w:r w:rsidRPr="00EC20A0">
        <w:t>Federal</w:t>
      </w:r>
      <w:r w:rsidRPr="00EC20A0">
        <w:rPr>
          <w:spacing w:val="-13"/>
        </w:rPr>
        <w:t xml:space="preserve"> </w:t>
      </w:r>
      <w:r w:rsidRPr="00EC20A0">
        <w:t>Financial</w:t>
      </w:r>
      <w:r w:rsidRPr="00EC20A0">
        <w:rPr>
          <w:spacing w:val="-12"/>
        </w:rPr>
        <w:t xml:space="preserve"> </w:t>
      </w:r>
      <w:r w:rsidRPr="00EC20A0">
        <w:t>Management</w:t>
      </w:r>
      <w:r w:rsidRPr="00EC20A0">
        <w:rPr>
          <w:spacing w:val="-12"/>
        </w:rPr>
        <w:t xml:space="preserve"> </w:t>
      </w:r>
      <w:r w:rsidRPr="00EC20A0">
        <w:t>Improvement</w:t>
      </w:r>
      <w:r w:rsidRPr="00EC20A0">
        <w:rPr>
          <w:spacing w:val="-12"/>
        </w:rPr>
        <w:t xml:space="preserve"> </w:t>
      </w:r>
      <w:r w:rsidRPr="00EC20A0">
        <w:t>Act</w:t>
      </w:r>
      <w:r w:rsidRPr="00EC20A0">
        <w:rPr>
          <w:spacing w:val="-12"/>
        </w:rPr>
        <w:t xml:space="preserve"> </w:t>
      </w:r>
      <w:r w:rsidRPr="00EC20A0">
        <w:t>of</w:t>
      </w:r>
      <w:r w:rsidRPr="00EC20A0">
        <w:rPr>
          <w:spacing w:val="-12"/>
        </w:rPr>
        <w:t xml:space="preserve"> </w:t>
      </w:r>
      <w:r w:rsidRPr="00EC20A0">
        <w:t>1996</w:t>
      </w:r>
      <w:r w:rsidRPr="00EC20A0">
        <w:rPr>
          <w:spacing w:val="-12"/>
        </w:rPr>
        <w:t xml:space="preserve"> </w:t>
      </w:r>
      <w:r w:rsidRPr="00EC20A0">
        <w:rPr>
          <w:spacing w:val="-2"/>
        </w:rPr>
        <w:t>(FFMIA)</w:t>
      </w:r>
    </w:p>
    <w:p w14:paraId="24D6194C" w14:textId="77777777" w:rsidR="00245300" w:rsidRPr="00EC20A0" w:rsidRDefault="00F17249">
      <w:pPr>
        <w:pStyle w:val="ListParagraph"/>
        <w:numPr>
          <w:ilvl w:val="0"/>
          <w:numId w:val="99"/>
        </w:numPr>
        <w:tabs>
          <w:tab w:val="left" w:pos="1640"/>
        </w:tabs>
        <w:spacing w:before="300"/>
        <w:ind w:right="417"/>
      </w:pPr>
      <w:r w:rsidRPr="00EC20A0">
        <w:t>For audits of the CFO Act agencies, the auditor must evaluate whether agency financial management systems comply substantially with the three requirements of FFMIA (see FAM 110.02 and FAM 701). To determine compliance with SFFAS</w:t>
      </w:r>
      <w:r w:rsidRPr="00EC20A0">
        <w:rPr>
          <w:spacing w:val="-4"/>
        </w:rPr>
        <w:t xml:space="preserve"> </w:t>
      </w:r>
      <w:r w:rsidRPr="00EC20A0">
        <w:t>4</w:t>
      </w:r>
      <w:r w:rsidRPr="00EC20A0">
        <w:rPr>
          <w:spacing w:val="-3"/>
        </w:rPr>
        <w:t xml:space="preserve"> </w:t>
      </w:r>
      <w:r w:rsidRPr="00EC20A0">
        <w:t>and</w:t>
      </w:r>
      <w:r w:rsidRPr="00EC20A0">
        <w:rPr>
          <w:spacing w:val="-3"/>
        </w:rPr>
        <w:t xml:space="preserve"> </w:t>
      </w:r>
      <w:r w:rsidRPr="00EC20A0">
        <w:t>SFFAS</w:t>
      </w:r>
      <w:r w:rsidRPr="00EC20A0">
        <w:rPr>
          <w:spacing w:val="-3"/>
        </w:rPr>
        <w:t xml:space="preserve"> </w:t>
      </w:r>
      <w:r w:rsidRPr="00EC20A0">
        <w:t>55</w:t>
      </w:r>
      <w:r w:rsidRPr="00EC20A0">
        <w:rPr>
          <w:spacing w:val="-2"/>
        </w:rPr>
        <w:t xml:space="preserve"> </w:t>
      </w:r>
      <w:r w:rsidRPr="00EC20A0">
        <w:t>for</w:t>
      </w:r>
      <w:r w:rsidRPr="00EC20A0">
        <w:rPr>
          <w:spacing w:val="-3"/>
        </w:rPr>
        <w:t xml:space="preserve"> </w:t>
      </w:r>
      <w:r w:rsidRPr="00EC20A0">
        <w:t>the</w:t>
      </w:r>
      <w:r w:rsidRPr="00EC20A0">
        <w:rPr>
          <w:spacing w:val="-3"/>
        </w:rPr>
        <w:t xml:space="preserve"> </w:t>
      </w:r>
      <w:r w:rsidRPr="00EC20A0">
        <w:t>purposes</w:t>
      </w:r>
      <w:r w:rsidRPr="00EC20A0">
        <w:rPr>
          <w:spacing w:val="-3"/>
        </w:rPr>
        <w:t xml:space="preserve"> </w:t>
      </w:r>
      <w:r w:rsidRPr="00EC20A0">
        <w:t>of</w:t>
      </w:r>
      <w:r w:rsidRPr="00EC20A0">
        <w:rPr>
          <w:spacing w:val="-3"/>
        </w:rPr>
        <w:t xml:space="preserve"> </w:t>
      </w:r>
      <w:r w:rsidRPr="00EC20A0">
        <w:t>FFMIA,</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generally</w:t>
      </w:r>
      <w:r w:rsidRPr="00EC20A0">
        <w:rPr>
          <w:spacing w:val="-3"/>
        </w:rPr>
        <w:t xml:space="preserve"> </w:t>
      </w:r>
      <w:r w:rsidRPr="00EC20A0">
        <w:t xml:space="preserve">should ask the following questions (which relate to the standards discussed in FAM </w:t>
      </w:r>
      <w:r w:rsidRPr="00EC20A0">
        <w:rPr>
          <w:spacing w:val="-2"/>
        </w:rPr>
        <w:t>903.05):</w:t>
      </w:r>
    </w:p>
    <w:p w14:paraId="24D6194D" w14:textId="77777777" w:rsidR="00245300" w:rsidRPr="00EC20A0" w:rsidRDefault="00F17249">
      <w:pPr>
        <w:pStyle w:val="ListParagraph"/>
        <w:numPr>
          <w:ilvl w:val="1"/>
          <w:numId w:val="99"/>
        </w:numPr>
        <w:tabs>
          <w:tab w:val="left" w:pos="1999"/>
        </w:tabs>
        <w:spacing w:before="120"/>
        <w:ind w:left="1999" w:hanging="359"/>
      </w:pPr>
      <w:r w:rsidRPr="00EC20A0">
        <w:t>Has</w:t>
      </w:r>
      <w:r w:rsidRPr="00EC20A0">
        <w:rPr>
          <w:spacing w:val="-7"/>
        </w:rPr>
        <w:t xml:space="preserve"> </w:t>
      </w:r>
      <w:r w:rsidRPr="00EC20A0">
        <w:t>the</w:t>
      </w:r>
      <w:r w:rsidRPr="00EC20A0">
        <w:rPr>
          <w:spacing w:val="-7"/>
        </w:rPr>
        <w:t xml:space="preserve"> </w:t>
      </w:r>
      <w:r w:rsidRPr="00EC20A0">
        <w:t>agency</w:t>
      </w:r>
      <w:r w:rsidRPr="00EC20A0">
        <w:rPr>
          <w:spacing w:val="-7"/>
        </w:rPr>
        <w:t xml:space="preserve"> </w:t>
      </w:r>
      <w:r w:rsidRPr="00EC20A0">
        <w:t>defined</w:t>
      </w:r>
      <w:r w:rsidRPr="00EC20A0">
        <w:rPr>
          <w:spacing w:val="-8"/>
        </w:rPr>
        <w:t xml:space="preserve"> </w:t>
      </w:r>
      <w:r w:rsidRPr="00EC20A0">
        <w:t>its</w:t>
      </w:r>
      <w:r w:rsidRPr="00EC20A0">
        <w:rPr>
          <w:spacing w:val="-7"/>
        </w:rPr>
        <w:t xml:space="preserve"> </w:t>
      </w:r>
      <w:r w:rsidRPr="00EC20A0">
        <w:t>responsibility</w:t>
      </w:r>
      <w:r w:rsidRPr="00EC20A0">
        <w:rPr>
          <w:spacing w:val="-7"/>
        </w:rPr>
        <w:t xml:space="preserve"> </w:t>
      </w:r>
      <w:r w:rsidRPr="00EC20A0">
        <w:t>segments</w:t>
      </w:r>
      <w:r w:rsidRPr="00EC20A0">
        <w:rPr>
          <w:spacing w:val="-6"/>
        </w:rPr>
        <w:t xml:space="preserve"> </w:t>
      </w:r>
      <w:r w:rsidRPr="00EC20A0">
        <w:t>to</w:t>
      </w:r>
      <w:r w:rsidRPr="00EC20A0">
        <w:rPr>
          <w:spacing w:val="-7"/>
        </w:rPr>
        <w:t xml:space="preserve"> </w:t>
      </w:r>
      <w:r w:rsidRPr="00EC20A0">
        <w:t>delineate</w:t>
      </w:r>
      <w:r w:rsidRPr="00EC20A0">
        <w:rPr>
          <w:spacing w:val="-7"/>
        </w:rPr>
        <w:t xml:space="preserve"> </w:t>
      </w:r>
      <w:r w:rsidRPr="00EC20A0">
        <w:rPr>
          <w:spacing w:val="-2"/>
        </w:rPr>
        <w:t>costs?</w:t>
      </w:r>
    </w:p>
    <w:p w14:paraId="24D6194E" w14:textId="77777777" w:rsidR="00245300" w:rsidRPr="00EC20A0" w:rsidRDefault="00F17249">
      <w:pPr>
        <w:pStyle w:val="ListParagraph"/>
        <w:numPr>
          <w:ilvl w:val="1"/>
          <w:numId w:val="99"/>
        </w:numPr>
        <w:tabs>
          <w:tab w:val="left" w:pos="1999"/>
        </w:tabs>
        <w:spacing w:before="120"/>
        <w:ind w:left="1999" w:right="1061"/>
      </w:pPr>
      <w:r w:rsidRPr="00EC20A0">
        <w:t>Does</w:t>
      </w:r>
      <w:r w:rsidRPr="00EC20A0">
        <w:rPr>
          <w:spacing w:val="-4"/>
        </w:rPr>
        <w:t xml:space="preserve"> </w:t>
      </w:r>
      <w:r w:rsidRPr="00EC20A0">
        <w:t>the</w:t>
      </w:r>
      <w:r w:rsidRPr="00EC20A0">
        <w:rPr>
          <w:spacing w:val="-4"/>
        </w:rPr>
        <w:t xml:space="preserve"> </w:t>
      </w:r>
      <w:r w:rsidRPr="00EC20A0">
        <w:t>agency</w:t>
      </w:r>
      <w:r w:rsidRPr="00EC20A0">
        <w:rPr>
          <w:spacing w:val="-4"/>
        </w:rPr>
        <w:t xml:space="preserve"> </w:t>
      </w:r>
      <w:r w:rsidRPr="00EC20A0">
        <w:t>properly</w:t>
      </w:r>
      <w:r w:rsidRPr="00EC20A0">
        <w:rPr>
          <w:spacing w:val="-4"/>
        </w:rPr>
        <w:t xml:space="preserve"> </w:t>
      </w:r>
      <w:r w:rsidRPr="00EC20A0">
        <w:t>accumulate</w:t>
      </w:r>
      <w:r w:rsidRPr="00EC20A0">
        <w:rPr>
          <w:spacing w:val="-4"/>
        </w:rPr>
        <w:t xml:space="preserve"> </w:t>
      </w:r>
      <w:r w:rsidRPr="00EC20A0">
        <w:t>full</w:t>
      </w:r>
      <w:r w:rsidRPr="00EC20A0">
        <w:rPr>
          <w:spacing w:val="-4"/>
        </w:rPr>
        <w:t xml:space="preserve"> </w:t>
      </w:r>
      <w:r w:rsidRPr="00EC20A0">
        <w:t>costs</w:t>
      </w:r>
      <w:r w:rsidRPr="00EC20A0">
        <w:rPr>
          <w:spacing w:val="-4"/>
        </w:rPr>
        <w:t xml:space="preserve"> </w:t>
      </w:r>
      <w:r w:rsidRPr="00EC20A0">
        <w:t>by</w:t>
      </w:r>
      <w:r w:rsidRPr="00EC20A0">
        <w:rPr>
          <w:spacing w:val="-4"/>
        </w:rPr>
        <w:t xml:space="preserve"> </w:t>
      </w:r>
      <w:r w:rsidRPr="00EC20A0">
        <w:t>those</w:t>
      </w:r>
      <w:r w:rsidRPr="00EC20A0">
        <w:rPr>
          <w:spacing w:val="-4"/>
        </w:rPr>
        <w:t xml:space="preserve"> </w:t>
      </w:r>
      <w:r w:rsidRPr="00EC20A0">
        <w:t xml:space="preserve">responsibility </w:t>
      </w:r>
      <w:r w:rsidRPr="00EC20A0">
        <w:rPr>
          <w:spacing w:val="-2"/>
        </w:rPr>
        <w:t>segments?</w:t>
      </w:r>
    </w:p>
    <w:p w14:paraId="24D6194F" w14:textId="77777777" w:rsidR="00245300" w:rsidRPr="00EC20A0" w:rsidRDefault="00F17249">
      <w:pPr>
        <w:pStyle w:val="ListParagraph"/>
        <w:numPr>
          <w:ilvl w:val="1"/>
          <w:numId w:val="99"/>
        </w:numPr>
        <w:tabs>
          <w:tab w:val="left" w:pos="1999"/>
        </w:tabs>
        <w:spacing w:before="119"/>
        <w:ind w:left="1999" w:right="706"/>
      </w:pPr>
      <w:r w:rsidRPr="00EC20A0">
        <w:t>Has</w:t>
      </w:r>
      <w:r w:rsidRPr="00EC20A0">
        <w:rPr>
          <w:spacing w:val="-4"/>
        </w:rPr>
        <w:t xml:space="preserve"> </w:t>
      </w:r>
      <w:r w:rsidRPr="00EC20A0">
        <w:t>the</w:t>
      </w:r>
      <w:r w:rsidRPr="00EC20A0">
        <w:rPr>
          <w:spacing w:val="-4"/>
        </w:rPr>
        <w:t xml:space="preserve"> </w:t>
      </w:r>
      <w:r w:rsidRPr="00EC20A0">
        <w:t>agency</w:t>
      </w:r>
      <w:r w:rsidRPr="00EC20A0">
        <w:rPr>
          <w:spacing w:val="-4"/>
        </w:rPr>
        <w:t xml:space="preserve"> </w:t>
      </w:r>
      <w:r w:rsidRPr="00EC20A0">
        <w:t>accounted</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full</w:t>
      </w:r>
      <w:r w:rsidRPr="00EC20A0">
        <w:rPr>
          <w:spacing w:val="-4"/>
        </w:rPr>
        <w:t xml:space="preserve"> </w:t>
      </w:r>
      <w:r w:rsidRPr="00EC20A0">
        <w:t>costs</w:t>
      </w:r>
      <w:r w:rsidRPr="00EC20A0">
        <w:rPr>
          <w:spacing w:val="-5"/>
        </w:rPr>
        <w:t xml:space="preserve"> </w:t>
      </w:r>
      <w:r w:rsidRPr="00EC20A0">
        <w:t>(including</w:t>
      </w:r>
      <w:r w:rsidRPr="00EC20A0">
        <w:rPr>
          <w:spacing w:val="-4"/>
        </w:rPr>
        <w:t xml:space="preserve"> </w:t>
      </w:r>
      <w:r w:rsidRPr="00EC20A0">
        <w:t>inter-entity</w:t>
      </w:r>
      <w:r w:rsidRPr="00EC20A0">
        <w:rPr>
          <w:spacing w:val="-4"/>
        </w:rPr>
        <w:t xml:space="preserve"> </w:t>
      </w:r>
      <w:r w:rsidRPr="00EC20A0">
        <w:t>costs)</w:t>
      </w:r>
      <w:r w:rsidRPr="00EC20A0">
        <w:rPr>
          <w:spacing w:val="-4"/>
        </w:rPr>
        <w:t xml:space="preserve"> </w:t>
      </w:r>
      <w:r w:rsidRPr="00EC20A0">
        <w:t xml:space="preserve">of products, services, or outputs to be externally reported at the entity-wide </w:t>
      </w:r>
      <w:r w:rsidRPr="00EC20A0">
        <w:rPr>
          <w:spacing w:val="-2"/>
        </w:rPr>
        <w:t>level?</w:t>
      </w:r>
    </w:p>
    <w:p w14:paraId="24D61950" w14:textId="77777777" w:rsidR="00245300" w:rsidRPr="00EC20A0" w:rsidRDefault="00F17249">
      <w:pPr>
        <w:pStyle w:val="ListParagraph"/>
        <w:numPr>
          <w:ilvl w:val="1"/>
          <w:numId w:val="99"/>
        </w:numPr>
        <w:tabs>
          <w:tab w:val="left" w:pos="1999"/>
        </w:tabs>
        <w:spacing w:before="121"/>
        <w:ind w:left="1999" w:right="463"/>
      </w:pPr>
      <w:r w:rsidRPr="00EC20A0">
        <w:t>Has</w:t>
      </w:r>
      <w:r w:rsidRPr="00EC20A0">
        <w:rPr>
          <w:spacing w:val="-3"/>
        </w:rPr>
        <w:t xml:space="preserve"> </w:t>
      </w:r>
      <w:r w:rsidRPr="00EC20A0">
        <w:t>the</w:t>
      </w:r>
      <w:r w:rsidRPr="00EC20A0">
        <w:rPr>
          <w:spacing w:val="-3"/>
        </w:rPr>
        <w:t xml:space="preserve"> </w:t>
      </w:r>
      <w:r w:rsidRPr="00EC20A0">
        <w:t>agency</w:t>
      </w:r>
      <w:r w:rsidRPr="00EC20A0">
        <w:rPr>
          <w:spacing w:val="-3"/>
        </w:rPr>
        <w:t xml:space="preserve"> </w:t>
      </w:r>
      <w:r w:rsidRPr="00EC20A0">
        <w:t>accounted</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full</w:t>
      </w:r>
      <w:r w:rsidRPr="00EC20A0">
        <w:rPr>
          <w:spacing w:val="-3"/>
        </w:rPr>
        <w:t xml:space="preserve"> </w:t>
      </w:r>
      <w:r w:rsidRPr="00EC20A0">
        <w:t>cost</w:t>
      </w:r>
      <w:r w:rsidRPr="00EC20A0">
        <w:rPr>
          <w:spacing w:val="-3"/>
        </w:rPr>
        <w:t xml:space="preserve"> </w:t>
      </w:r>
      <w:r w:rsidRPr="00EC20A0">
        <w:t>of</w:t>
      </w:r>
      <w:r w:rsidRPr="00EC20A0">
        <w:rPr>
          <w:spacing w:val="-3"/>
        </w:rPr>
        <w:t xml:space="preserve"> </w:t>
      </w:r>
      <w:r w:rsidRPr="00EC20A0">
        <w:t>resources</w:t>
      </w:r>
      <w:r w:rsidRPr="00EC20A0">
        <w:rPr>
          <w:spacing w:val="-3"/>
        </w:rPr>
        <w:t xml:space="preserve"> </w:t>
      </w:r>
      <w:r w:rsidRPr="00EC20A0">
        <w:t>that</w:t>
      </w:r>
      <w:r w:rsidRPr="00EC20A0">
        <w:rPr>
          <w:spacing w:val="-4"/>
        </w:rPr>
        <w:t xml:space="preserve"> </w:t>
      </w:r>
      <w:r w:rsidRPr="00EC20A0">
        <w:t>contribute</w:t>
      </w:r>
      <w:r w:rsidRPr="00EC20A0">
        <w:rPr>
          <w:spacing w:val="-3"/>
        </w:rPr>
        <w:t xml:space="preserve"> </w:t>
      </w:r>
      <w:r w:rsidRPr="00EC20A0">
        <w:t>to</w:t>
      </w:r>
      <w:r w:rsidRPr="00EC20A0">
        <w:rPr>
          <w:spacing w:val="-4"/>
        </w:rPr>
        <w:t xml:space="preserve"> </w:t>
      </w:r>
      <w:r w:rsidRPr="00EC20A0">
        <w:t>the production of outputs by individual responsibility segment using appropriate costing methodologies? (See FAM 903.07.)</w:t>
      </w:r>
    </w:p>
    <w:p w14:paraId="24D61951" w14:textId="77777777" w:rsidR="00245300" w:rsidRPr="00EC20A0" w:rsidRDefault="00F17249">
      <w:pPr>
        <w:pStyle w:val="ListParagraph"/>
        <w:numPr>
          <w:ilvl w:val="1"/>
          <w:numId w:val="99"/>
        </w:numPr>
        <w:tabs>
          <w:tab w:val="left" w:pos="1999"/>
        </w:tabs>
        <w:spacing w:before="119"/>
        <w:ind w:left="1999" w:right="365"/>
      </w:pPr>
      <w:r w:rsidRPr="00EC20A0">
        <w:t>Has</w:t>
      </w:r>
      <w:r w:rsidRPr="00EC20A0">
        <w:rPr>
          <w:spacing w:val="-3"/>
        </w:rPr>
        <w:t xml:space="preserve"> </w:t>
      </w:r>
      <w:r w:rsidRPr="00EC20A0">
        <w:t>the</w:t>
      </w:r>
      <w:r w:rsidRPr="00EC20A0">
        <w:rPr>
          <w:spacing w:val="-3"/>
        </w:rPr>
        <w:t xml:space="preserve"> </w:t>
      </w:r>
      <w:r w:rsidRPr="00EC20A0">
        <w:t>agency</w:t>
      </w:r>
      <w:r w:rsidRPr="00EC20A0">
        <w:rPr>
          <w:spacing w:val="-3"/>
        </w:rPr>
        <w:t xml:space="preserve"> </w:t>
      </w:r>
      <w:r w:rsidRPr="00EC20A0">
        <w:t>reported</w:t>
      </w:r>
      <w:r w:rsidRPr="00EC20A0">
        <w:rPr>
          <w:spacing w:val="-4"/>
        </w:rPr>
        <w:t xml:space="preserve"> </w:t>
      </w:r>
      <w:r w:rsidRPr="00EC20A0">
        <w:t>full</w:t>
      </w:r>
      <w:r w:rsidRPr="00EC20A0">
        <w:rPr>
          <w:spacing w:val="-3"/>
        </w:rPr>
        <w:t xml:space="preserve"> </w:t>
      </w:r>
      <w:r w:rsidRPr="00EC20A0">
        <w:t>costs</w:t>
      </w:r>
      <w:r w:rsidRPr="00EC20A0">
        <w:rPr>
          <w:spacing w:val="-3"/>
        </w:rPr>
        <w:t xml:space="preserve"> </w:t>
      </w:r>
      <w:r w:rsidRPr="00EC20A0">
        <w:t>in</w:t>
      </w:r>
      <w:r w:rsidRPr="00EC20A0">
        <w:rPr>
          <w:spacing w:val="-4"/>
        </w:rPr>
        <w:t xml:space="preserve"> </w:t>
      </w:r>
      <w:r w:rsidRPr="00EC20A0">
        <w:t>the</w:t>
      </w:r>
      <w:r w:rsidRPr="00EC20A0">
        <w:rPr>
          <w:spacing w:val="-3"/>
        </w:rPr>
        <w:t xml:space="preserve"> </w:t>
      </w:r>
      <w:r w:rsidRPr="00EC20A0">
        <w:t>year-end</w:t>
      </w:r>
      <w:r w:rsidRPr="00EC20A0">
        <w:rPr>
          <w:spacing w:val="-3"/>
        </w:rPr>
        <w:t xml:space="preserve"> </w:t>
      </w:r>
      <w:r w:rsidRPr="00EC20A0">
        <w:t>financial</w:t>
      </w:r>
      <w:r w:rsidRPr="00EC20A0">
        <w:rPr>
          <w:spacing w:val="-4"/>
        </w:rPr>
        <w:t xml:space="preserve"> </w:t>
      </w:r>
      <w:r w:rsidRPr="00EC20A0">
        <w:t>statements</w:t>
      </w:r>
      <w:r w:rsidRPr="00EC20A0">
        <w:rPr>
          <w:spacing w:val="-3"/>
        </w:rPr>
        <w:t xml:space="preserve"> </w:t>
      </w:r>
      <w:r w:rsidRPr="00EC20A0">
        <w:t>on</w:t>
      </w:r>
      <w:r w:rsidRPr="00EC20A0">
        <w:rPr>
          <w:spacing w:val="-3"/>
        </w:rPr>
        <w:t xml:space="preserve"> </w:t>
      </w:r>
      <w:r w:rsidRPr="00EC20A0">
        <w:t xml:space="preserve">the accrual basis of </w:t>
      </w:r>
      <w:r w:rsidRPr="00EC20A0">
        <w:t>accounting?</w:t>
      </w:r>
    </w:p>
    <w:p w14:paraId="24D61952" w14:textId="77777777" w:rsidR="00245300" w:rsidRPr="00EC20A0" w:rsidRDefault="00F17249">
      <w:pPr>
        <w:pStyle w:val="ListParagraph"/>
        <w:numPr>
          <w:ilvl w:val="1"/>
          <w:numId w:val="99"/>
        </w:numPr>
        <w:tabs>
          <w:tab w:val="left" w:pos="1999"/>
        </w:tabs>
        <w:spacing w:before="120"/>
        <w:ind w:left="1999" w:right="915"/>
      </w:pPr>
      <w:r w:rsidRPr="00EC20A0">
        <w:t>Are</w:t>
      </w:r>
      <w:r w:rsidRPr="00EC20A0">
        <w:rPr>
          <w:spacing w:val="-4"/>
        </w:rPr>
        <w:t xml:space="preserve"> </w:t>
      </w:r>
      <w:r w:rsidRPr="00EC20A0">
        <w:t>costs</w:t>
      </w:r>
      <w:r w:rsidRPr="00EC20A0">
        <w:rPr>
          <w:spacing w:val="-4"/>
        </w:rPr>
        <w:t xml:space="preserve"> </w:t>
      </w:r>
      <w:r w:rsidRPr="00EC20A0">
        <w:t>reported</w:t>
      </w:r>
      <w:r w:rsidRPr="00EC20A0">
        <w:rPr>
          <w:spacing w:val="-4"/>
        </w:rPr>
        <w:t xml:space="preserve"> </w:t>
      </w:r>
      <w:r w:rsidRPr="00EC20A0">
        <w:t>for</w:t>
      </w:r>
      <w:r w:rsidRPr="00EC20A0">
        <w:rPr>
          <w:spacing w:val="-4"/>
        </w:rPr>
        <w:t xml:space="preserve"> </w:t>
      </w:r>
      <w:r w:rsidRPr="00EC20A0">
        <w:t>external</w:t>
      </w:r>
      <w:r w:rsidRPr="00EC20A0">
        <w:rPr>
          <w:spacing w:val="-4"/>
        </w:rPr>
        <w:t xml:space="preserve"> </w:t>
      </w:r>
      <w:r w:rsidRPr="00EC20A0">
        <w:t>financial</w:t>
      </w:r>
      <w:r w:rsidRPr="00EC20A0">
        <w:rPr>
          <w:spacing w:val="-4"/>
        </w:rPr>
        <w:t xml:space="preserve"> </w:t>
      </w:r>
      <w:r w:rsidRPr="00EC20A0">
        <w:t>reporting</w:t>
      </w:r>
      <w:r w:rsidRPr="00EC20A0">
        <w:rPr>
          <w:spacing w:val="-4"/>
        </w:rPr>
        <w:t xml:space="preserve"> </w:t>
      </w:r>
      <w:r w:rsidRPr="00EC20A0">
        <w:t>and</w:t>
      </w:r>
      <w:r w:rsidRPr="00EC20A0">
        <w:rPr>
          <w:spacing w:val="-4"/>
        </w:rPr>
        <w:t xml:space="preserve"> </w:t>
      </w:r>
      <w:r w:rsidRPr="00EC20A0">
        <w:t>those</w:t>
      </w:r>
      <w:r w:rsidRPr="00EC20A0">
        <w:rPr>
          <w:spacing w:val="-5"/>
        </w:rPr>
        <w:t xml:space="preserve"> </w:t>
      </w:r>
      <w:r w:rsidRPr="00EC20A0">
        <w:t>reported</w:t>
      </w:r>
      <w:r w:rsidRPr="00EC20A0">
        <w:rPr>
          <w:spacing w:val="-4"/>
        </w:rPr>
        <w:t xml:space="preserve"> </w:t>
      </w:r>
      <w:r w:rsidRPr="00EC20A0">
        <w:t>for internal management reporting consistent and reconcilable?</w:t>
      </w:r>
    </w:p>
    <w:p w14:paraId="24D61953" w14:textId="77777777" w:rsidR="00245300" w:rsidRPr="00EC20A0" w:rsidRDefault="00F17249">
      <w:pPr>
        <w:pStyle w:val="ListParagraph"/>
        <w:numPr>
          <w:ilvl w:val="1"/>
          <w:numId w:val="99"/>
        </w:numPr>
        <w:tabs>
          <w:tab w:val="left" w:pos="1998"/>
        </w:tabs>
        <w:spacing w:before="121"/>
        <w:ind w:left="1998" w:hanging="359"/>
      </w:pPr>
      <w:r w:rsidRPr="00EC20A0">
        <w:t>How</w:t>
      </w:r>
      <w:r w:rsidRPr="00EC20A0">
        <w:rPr>
          <w:spacing w:val="-10"/>
        </w:rPr>
        <w:t xml:space="preserve"> </w:t>
      </w:r>
      <w:r w:rsidRPr="00EC20A0">
        <w:t>does</w:t>
      </w:r>
      <w:r w:rsidRPr="00EC20A0">
        <w:rPr>
          <w:spacing w:val="-9"/>
        </w:rPr>
        <w:t xml:space="preserve"> </w:t>
      </w:r>
      <w:r w:rsidRPr="00EC20A0">
        <w:t>management</w:t>
      </w:r>
      <w:r w:rsidRPr="00EC20A0">
        <w:rPr>
          <w:spacing w:val="-8"/>
        </w:rPr>
        <w:t xml:space="preserve"> </w:t>
      </w:r>
      <w:r w:rsidRPr="00EC20A0">
        <w:t>determine</w:t>
      </w:r>
      <w:r w:rsidRPr="00EC20A0">
        <w:rPr>
          <w:spacing w:val="-9"/>
        </w:rPr>
        <w:t xml:space="preserve"> </w:t>
      </w:r>
      <w:r w:rsidRPr="00EC20A0">
        <w:t>compliance</w:t>
      </w:r>
      <w:r w:rsidRPr="00EC20A0">
        <w:rPr>
          <w:spacing w:val="-9"/>
        </w:rPr>
        <w:t xml:space="preserve"> </w:t>
      </w:r>
      <w:r w:rsidRPr="00EC20A0">
        <w:t>with</w:t>
      </w:r>
      <w:r w:rsidRPr="00EC20A0">
        <w:rPr>
          <w:spacing w:val="-8"/>
        </w:rPr>
        <w:t xml:space="preserve"> </w:t>
      </w:r>
      <w:r w:rsidRPr="00EC20A0">
        <w:rPr>
          <w:spacing w:val="-2"/>
        </w:rPr>
        <w:t>FFMIA?</w:t>
      </w:r>
    </w:p>
    <w:p w14:paraId="24D61954" w14:textId="77777777" w:rsidR="00245300" w:rsidRPr="00EC20A0" w:rsidRDefault="00F17249">
      <w:pPr>
        <w:pStyle w:val="BodyText"/>
        <w:spacing w:before="239"/>
        <w:ind w:left="1639"/>
      </w:pPr>
      <w:r w:rsidRPr="00EC20A0">
        <w:t>The</w:t>
      </w:r>
      <w:r w:rsidRPr="00EC20A0">
        <w:rPr>
          <w:spacing w:val="-7"/>
        </w:rPr>
        <w:t xml:space="preserve"> </w:t>
      </w:r>
      <w:r w:rsidRPr="00EC20A0">
        <w:t>auditor</w:t>
      </w:r>
      <w:r w:rsidRPr="00EC20A0">
        <w:rPr>
          <w:spacing w:val="-8"/>
        </w:rPr>
        <w:t xml:space="preserve"> </w:t>
      </w:r>
      <w:r w:rsidRPr="00EC20A0">
        <w:t>generally</w:t>
      </w:r>
      <w:r w:rsidRPr="00EC20A0">
        <w:rPr>
          <w:spacing w:val="-7"/>
        </w:rPr>
        <w:t xml:space="preserve"> </w:t>
      </w:r>
      <w:r w:rsidRPr="00EC20A0">
        <w:t>should</w:t>
      </w:r>
      <w:r w:rsidRPr="00EC20A0">
        <w:rPr>
          <w:spacing w:val="-7"/>
        </w:rPr>
        <w:t xml:space="preserve"> </w:t>
      </w:r>
      <w:r w:rsidRPr="00EC20A0">
        <w:t>combine</w:t>
      </w:r>
      <w:r w:rsidRPr="00EC20A0">
        <w:rPr>
          <w:spacing w:val="-6"/>
        </w:rPr>
        <w:t xml:space="preserve"> </w:t>
      </w:r>
      <w:r w:rsidRPr="00EC20A0">
        <w:t>this</w:t>
      </w:r>
      <w:r w:rsidRPr="00EC20A0">
        <w:rPr>
          <w:spacing w:val="-7"/>
        </w:rPr>
        <w:t xml:space="preserve"> </w:t>
      </w:r>
      <w:r w:rsidRPr="00EC20A0">
        <w:t>inquiry</w:t>
      </w:r>
      <w:r w:rsidRPr="00EC20A0">
        <w:rPr>
          <w:spacing w:val="-6"/>
        </w:rPr>
        <w:t xml:space="preserve"> </w:t>
      </w:r>
      <w:r w:rsidRPr="00EC20A0">
        <w:t>with</w:t>
      </w:r>
      <w:r w:rsidRPr="00EC20A0">
        <w:rPr>
          <w:spacing w:val="-7"/>
        </w:rPr>
        <w:t xml:space="preserve"> </w:t>
      </w:r>
      <w:r w:rsidRPr="00EC20A0">
        <w:t>the</w:t>
      </w:r>
      <w:r w:rsidRPr="00EC20A0">
        <w:rPr>
          <w:spacing w:val="-6"/>
        </w:rPr>
        <w:t xml:space="preserve"> </w:t>
      </w:r>
      <w:r w:rsidRPr="00EC20A0">
        <w:t>procedures</w:t>
      </w:r>
      <w:r w:rsidRPr="00EC20A0">
        <w:rPr>
          <w:spacing w:val="-7"/>
        </w:rPr>
        <w:t xml:space="preserve"> </w:t>
      </w:r>
      <w:r w:rsidRPr="00EC20A0">
        <w:t>in</w:t>
      </w:r>
      <w:r w:rsidRPr="00EC20A0">
        <w:rPr>
          <w:spacing w:val="-7"/>
        </w:rPr>
        <w:t xml:space="preserve"> </w:t>
      </w:r>
      <w:r w:rsidRPr="00EC20A0">
        <w:rPr>
          <w:spacing w:val="-5"/>
        </w:rPr>
        <w:t>FAM</w:t>
      </w:r>
    </w:p>
    <w:p w14:paraId="24D61955" w14:textId="77777777" w:rsidR="00245300" w:rsidRPr="00EC20A0" w:rsidRDefault="00F17249">
      <w:pPr>
        <w:pStyle w:val="BodyText"/>
        <w:ind w:left="1639" w:right="405"/>
      </w:pPr>
      <w:r w:rsidRPr="00EC20A0">
        <w:t>903.06 and consider the outcome in concluding about compliance with the cost accounting</w:t>
      </w:r>
      <w:r w:rsidRPr="00EC20A0">
        <w:rPr>
          <w:spacing w:val="-5"/>
        </w:rPr>
        <w:t xml:space="preserve"> </w:t>
      </w:r>
      <w:r w:rsidRPr="00EC20A0">
        <w:t>requirements</w:t>
      </w:r>
      <w:r w:rsidRPr="00EC20A0">
        <w:rPr>
          <w:spacing w:val="-5"/>
        </w:rPr>
        <w:t xml:space="preserve"> </w:t>
      </w:r>
      <w:r w:rsidRPr="00EC20A0">
        <w:t>under</w:t>
      </w:r>
      <w:r w:rsidRPr="00EC20A0">
        <w:rPr>
          <w:spacing w:val="-5"/>
        </w:rPr>
        <w:t xml:space="preserve"> </w:t>
      </w:r>
      <w:r w:rsidRPr="00EC20A0">
        <w:t>FFMIA.</w:t>
      </w:r>
      <w:r w:rsidRPr="00EC20A0">
        <w:rPr>
          <w:spacing w:val="-5"/>
        </w:rPr>
        <w:t xml:space="preserve"> </w:t>
      </w:r>
      <w:r w:rsidRPr="00EC20A0">
        <w:t>Also,</w:t>
      </w:r>
      <w:r w:rsidRPr="00EC20A0">
        <w:rPr>
          <w:spacing w:val="-5"/>
        </w:rPr>
        <w:t xml:space="preserve"> </w:t>
      </w:r>
      <w:r w:rsidRPr="00EC20A0">
        <w:t>the</w:t>
      </w:r>
      <w:r w:rsidRPr="00EC20A0">
        <w:rPr>
          <w:spacing w:val="-6"/>
        </w:rPr>
        <w:t xml:space="preserve"> </w:t>
      </w:r>
      <w:r w:rsidRPr="00EC20A0">
        <w:t>auditor</w:t>
      </w:r>
      <w:r w:rsidRPr="00EC20A0">
        <w:rPr>
          <w:spacing w:val="-5"/>
        </w:rPr>
        <w:t xml:space="preserve"> </w:t>
      </w:r>
      <w:r w:rsidRPr="00EC20A0">
        <w:t>generally</w:t>
      </w:r>
      <w:r w:rsidRPr="00EC20A0">
        <w:rPr>
          <w:spacing w:val="-5"/>
        </w:rPr>
        <w:t xml:space="preserve"> </w:t>
      </w:r>
      <w:r w:rsidRPr="00EC20A0">
        <w:t>should</w:t>
      </w:r>
      <w:r w:rsidRPr="00EC20A0">
        <w:rPr>
          <w:spacing w:val="-6"/>
        </w:rPr>
        <w:t xml:space="preserve"> </w:t>
      </w:r>
      <w:r w:rsidRPr="00EC20A0">
        <w:t xml:space="preserve">review evidence supporting management’s assertions in response to these </w:t>
      </w:r>
      <w:r w:rsidRPr="00EC20A0">
        <w:t>questions, as further discussed in FAM 701.</w:t>
      </w:r>
    </w:p>
    <w:p w14:paraId="24D61956" w14:textId="77777777" w:rsidR="00245300" w:rsidRPr="00EC20A0" w:rsidRDefault="00245300">
      <w:pPr>
        <w:pStyle w:val="BodyText"/>
        <w:spacing w:before="48"/>
      </w:pPr>
    </w:p>
    <w:p w14:paraId="24D61957" w14:textId="77777777" w:rsidR="00245300" w:rsidRPr="00EC20A0" w:rsidRDefault="00F17249">
      <w:pPr>
        <w:pStyle w:val="Heading4"/>
        <w:spacing w:before="0"/>
        <w:ind w:left="200"/>
      </w:pPr>
      <w:bookmarkStart w:id="299" w:name="Management’s_Discussion_and_Analysis_(MD"/>
      <w:bookmarkEnd w:id="299"/>
      <w:r w:rsidRPr="00EC20A0">
        <w:t>Management’s</w:t>
      </w:r>
      <w:r w:rsidRPr="00EC20A0">
        <w:rPr>
          <w:spacing w:val="-15"/>
        </w:rPr>
        <w:t xml:space="preserve"> </w:t>
      </w:r>
      <w:r w:rsidRPr="00EC20A0">
        <w:t>Discussion</w:t>
      </w:r>
      <w:r w:rsidRPr="00EC20A0">
        <w:rPr>
          <w:spacing w:val="-16"/>
        </w:rPr>
        <w:t xml:space="preserve"> </w:t>
      </w:r>
      <w:r w:rsidRPr="00EC20A0">
        <w:t>and</w:t>
      </w:r>
      <w:r w:rsidRPr="00EC20A0">
        <w:rPr>
          <w:spacing w:val="-16"/>
        </w:rPr>
        <w:t xml:space="preserve"> </w:t>
      </w:r>
      <w:r w:rsidRPr="00EC20A0">
        <w:t>Analysis</w:t>
      </w:r>
      <w:r w:rsidRPr="00EC20A0">
        <w:rPr>
          <w:spacing w:val="-15"/>
        </w:rPr>
        <w:t xml:space="preserve"> </w:t>
      </w:r>
      <w:r w:rsidRPr="00EC20A0">
        <w:rPr>
          <w:spacing w:val="-2"/>
        </w:rPr>
        <w:t>(MD&amp;A)</w:t>
      </w:r>
    </w:p>
    <w:p w14:paraId="24D61958" w14:textId="77777777" w:rsidR="00245300" w:rsidRPr="00EC20A0" w:rsidRDefault="00F17249">
      <w:pPr>
        <w:pStyle w:val="ListParagraph"/>
        <w:numPr>
          <w:ilvl w:val="0"/>
          <w:numId w:val="99"/>
        </w:numPr>
        <w:tabs>
          <w:tab w:val="left" w:pos="1640"/>
        </w:tabs>
        <w:spacing w:before="300"/>
        <w:ind w:right="395"/>
      </w:pPr>
      <w:r w:rsidRPr="00EC20A0">
        <w:t xml:space="preserve">The auditor does not provide an opinion on the MD&amp;A and this information is unaudited. Thus, the auditor’s main concern is consistency of this information, rather than testing the reliability of the cost data in the MD&amp;A. The auditor generally should read the MD&amp;A for consistency with the financial statements and with the auditor’s knowledge of the entity. The auditor generally limits data testing to data in the financial statements, as discussed in FAM 903.06, not the data in the MD&amp;A. The auditor may use </w:t>
      </w:r>
      <w:r w:rsidRPr="00EC20A0">
        <w:t>analytical procedures to determine the reasonableness</w:t>
      </w:r>
      <w:r w:rsidRPr="00EC20A0">
        <w:rPr>
          <w:spacing w:val="-4"/>
        </w:rPr>
        <w:t xml:space="preserve"> </w:t>
      </w:r>
      <w:r w:rsidRPr="00EC20A0">
        <w:t>of</w:t>
      </w:r>
      <w:r w:rsidRPr="00EC20A0">
        <w:rPr>
          <w:spacing w:val="-4"/>
        </w:rPr>
        <w:t xml:space="preserve"> </w:t>
      </w:r>
      <w:r w:rsidRPr="00EC20A0">
        <w:t>cost</w:t>
      </w:r>
      <w:r w:rsidRPr="00EC20A0">
        <w:rPr>
          <w:spacing w:val="-4"/>
        </w:rPr>
        <w:t xml:space="preserve"> </w:t>
      </w:r>
      <w:r w:rsidRPr="00EC20A0">
        <w:t>data</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MD&amp;A.</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this</w:t>
      </w:r>
      <w:r w:rsidRPr="00EC20A0">
        <w:rPr>
          <w:spacing w:val="-4"/>
        </w:rPr>
        <w:t xml:space="preserve"> </w:t>
      </w:r>
      <w:r w:rsidRPr="00EC20A0">
        <w:t>comparison,</w:t>
      </w:r>
      <w:r w:rsidRPr="00EC20A0">
        <w:rPr>
          <w:spacing w:val="-4"/>
        </w:rPr>
        <w:t xml:space="preserve"> </w:t>
      </w:r>
      <w:r w:rsidRPr="00EC20A0">
        <w:t>the</w:t>
      </w:r>
      <w:r w:rsidRPr="00EC20A0">
        <w:rPr>
          <w:spacing w:val="-4"/>
        </w:rPr>
        <w:t xml:space="preserve"> </w:t>
      </w:r>
      <w:r w:rsidRPr="00EC20A0">
        <w:t>auditor should determine whether additional testing is needed.</w:t>
      </w:r>
    </w:p>
    <w:p w14:paraId="24D61959" w14:textId="77777777" w:rsidR="00245300" w:rsidRPr="00EC20A0" w:rsidRDefault="00245300">
      <w:pPr>
        <w:sectPr w:rsidR="00245300" w:rsidRPr="00EC20A0">
          <w:pgSz w:w="12240" w:h="15840"/>
          <w:pgMar w:top="1340" w:right="1100" w:bottom="940" w:left="1240" w:header="721" w:footer="757" w:gutter="0"/>
          <w:cols w:space="720"/>
        </w:sectPr>
      </w:pPr>
    </w:p>
    <w:p w14:paraId="24D6195A" w14:textId="77777777" w:rsidR="00245300" w:rsidRPr="00EC20A0" w:rsidRDefault="00F17249">
      <w:pPr>
        <w:pStyle w:val="Heading3"/>
        <w:ind w:left="200" w:right="345"/>
        <w:rPr>
          <w:u w:val="none"/>
        </w:rPr>
      </w:pPr>
      <w:bookmarkStart w:id="300" w:name="904_–_Disclosure_Entities,_Related_Parti"/>
      <w:bookmarkStart w:id="301" w:name="_bookmark170"/>
      <w:bookmarkEnd w:id="300"/>
      <w:bookmarkEnd w:id="301"/>
      <w:r w:rsidRPr="00EC20A0">
        <w:t>904</w:t>
      </w:r>
      <w:r w:rsidRPr="00EC20A0">
        <w:rPr>
          <w:spacing w:val="-6"/>
        </w:rPr>
        <w:t xml:space="preserve"> </w:t>
      </w:r>
      <w:r w:rsidRPr="00EC20A0">
        <w:t>–</w:t>
      </w:r>
      <w:r w:rsidRPr="00EC20A0">
        <w:rPr>
          <w:spacing w:val="-6"/>
        </w:rPr>
        <w:t xml:space="preserve"> </w:t>
      </w:r>
      <w:r w:rsidRPr="00EC20A0">
        <w:t>Disclosure</w:t>
      </w:r>
      <w:r w:rsidRPr="00EC20A0">
        <w:rPr>
          <w:spacing w:val="-6"/>
        </w:rPr>
        <w:t xml:space="preserve"> </w:t>
      </w:r>
      <w:r w:rsidRPr="00EC20A0">
        <w:t>Entities,</w:t>
      </w:r>
      <w:r w:rsidRPr="00EC20A0">
        <w:rPr>
          <w:spacing w:val="-6"/>
        </w:rPr>
        <w:t xml:space="preserve"> </w:t>
      </w:r>
      <w:r w:rsidRPr="00EC20A0">
        <w:t>Related</w:t>
      </w:r>
      <w:r w:rsidRPr="00EC20A0">
        <w:rPr>
          <w:spacing w:val="-6"/>
        </w:rPr>
        <w:t xml:space="preserve"> </w:t>
      </w:r>
      <w:r w:rsidRPr="00EC20A0">
        <w:t>Parties,</w:t>
      </w:r>
      <w:r w:rsidRPr="00EC20A0">
        <w:rPr>
          <w:spacing w:val="-6"/>
        </w:rPr>
        <w:t xml:space="preserve"> </w:t>
      </w:r>
      <w:r w:rsidRPr="00EC20A0">
        <w:t>and</w:t>
      </w:r>
      <w:r w:rsidRPr="00EC20A0">
        <w:rPr>
          <w:spacing w:val="-5"/>
        </w:rPr>
        <w:t xml:space="preserve"> </w:t>
      </w:r>
      <w:r w:rsidRPr="00EC20A0">
        <w:t>Public-Private</w:t>
      </w:r>
      <w:r w:rsidRPr="00EC20A0">
        <w:rPr>
          <w:u w:val="none"/>
        </w:rPr>
        <w:t xml:space="preserve"> </w:t>
      </w:r>
      <w:r w:rsidRPr="00EC20A0">
        <w:rPr>
          <w:spacing w:val="-2"/>
        </w:rPr>
        <w:t>Partnerships</w:t>
      </w:r>
    </w:p>
    <w:p w14:paraId="24D6195B" w14:textId="77777777" w:rsidR="00245300" w:rsidRPr="00EC20A0" w:rsidRDefault="00245300">
      <w:pPr>
        <w:pStyle w:val="BodyText"/>
        <w:spacing w:before="106"/>
        <w:rPr>
          <w:b/>
        </w:rPr>
      </w:pPr>
    </w:p>
    <w:p w14:paraId="24D6195C" w14:textId="77777777" w:rsidR="00245300" w:rsidRPr="00EC20A0" w:rsidRDefault="00F17249">
      <w:pPr>
        <w:pStyle w:val="ListParagraph"/>
        <w:numPr>
          <w:ilvl w:val="0"/>
          <w:numId w:val="5"/>
        </w:numPr>
        <w:tabs>
          <w:tab w:val="left" w:pos="1639"/>
        </w:tabs>
        <w:spacing w:before="1"/>
        <w:ind w:right="358" w:hanging="720"/>
      </w:pPr>
      <w:r w:rsidRPr="00EC20A0">
        <w:t>Under</w:t>
      </w:r>
      <w:r w:rsidRPr="00EC20A0">
        <w:rPr>
          <w:spacing w:val="-4"/>
        </w:rPr>
        <w:t xml:space="preserve"> </w:t>
      </w:r>
      <w:r w:rsidRPr="00EC20A0">
        <w:t>FASAB</w:t>
      </w:r>
      <w:r w:rsidRPr="00EC20A0">
        <w:rPr>
          <w:spacing w:val="-4"/>
        </w:rPr>
        <w:t xml:space="preserve"> </w:t>
      </w:r>
      <w:r w:rsidRPr="00EC20A0">
        <w:t>standards,</w:t>
      </w:r>
      <w:r w:rsidRPr="00EC20A0">
        <w:rPr>
          <w:spacing w:val="-4"/>
        </w:rPr>
        <w:t xml:space="preserve"> </w:t>
      </w:r>
      <w:r w:rsidRPr="00EC20A0">
        <w:t>organizations</w:t>
      </w:r>
      <w:r w:rsidRPr="00EC20A0">
        <w:rPr>
          <w:spacing w:val="-4"/>
        </w:rPr>
        <w:t xml:space="preserve"> </w:t>
      </w:r>
      <w:r w:rsidRPr="00EC20A0">
        <w:t>are</w:t>
      </w:r>
      <w:r w:rsidRPr="00EC20A0">
        <w:rPr>
          <w:spacing w:val="-4"/>
        </w:rPr>
        <w:t xml:space="preserve"> </w:t>
      </w:r>
      <w:r w:rsidRPr="00EC20A0">
        <w:t>considered</w:t>
      </w:r>
      <w:r w:rsidRPr="00EC20A0">
        <w:rPr>
          <w:spacing w:val="-4"/>
        </w:rPr>
        <w:t xml:space="preserve"> </w:t>
      </w:r>
      <w:r w:rsidRPr="00EC20A0">
        <w:t>to</w:t>
      </w:r>
      <w:r w:rsidRPr="00EC20A0">
        <w:rPr>
          <w:spacing w:val="-4"/>
        </w:rPr>
        <w:t xml:space="preserve"> </w:t>
      </w:r>
      <w:r w:rsidRPr="00EC20A0">
        <w:t>be</w:t>
      </w:r>
      <w:r w:rsidRPr="00EC20A0">
        <w:rPr>
          <w:spacing w:val="-4"/>
        </w:rPr>
        <w:t xml:space="preserve"> </w:t>
      </w:r>
      <w:r w:rsidRPr="00EC20A0">
        <w:t>related</w:t>
      </w:r>
      <w:r w:rsidRPr="00EC20A0">
        <w:rPr>
          <w:spacing w:val="-4"/>
        </w:rPr>
        <w:t xml:space="preserve"> </w:t>
      </w:r>
      <w:r w:rsidRPr="00EC20A0">
        <w:t>parties</w:t>
      </w:r>
      <w:r w:rsidRPr="00EC20A0">
        <w:rPr>
          <w:spacing w:val="-4"/>
        </w:rPr>
        <w:t xml:space="preserve"> </w:t>
      </w:r>
      <w:r w:rsidRPr="00EC20A0">
        <w:t>if</w:t>
      </w:r>
      <w:r w:rsidRPr="00EC20A0">
        <w:rPr>
          <w:spacing w:val="-4"/>
        </w:rPr>
        <w:t xml:space="preserve"> </w:t>
      </w:r>
      <w:r w:rsidRPr="00EC20A0">
        <w:t xml:space="preserve">the existing relationship or one party to the existing relationship has the </w:t>
      </w:r>
      <w:r w:rsidRPr="00EC20A0">
        <w:t>ability to exercise significant influence over the other party’s policy decisions. In the</w:t>
      </w:r>
      <w:r w:rsidRPr="00EC20A0">
        <w:rPr>
          <w:spacing w:val="40"/>
        </w:rPr>
        <w:t xml:space="preserve"> </w:t>
      </w:r>
      <w:r w:rsidRPr="00EC20A0">
        <w:t>federal</w:t>
      </w:r>
      <w:r w:rsidRPr="00EC20A0">
        <w:rPr>
          <w:spacing w:val="-2"/>
        </w:rPr>
        <w:t xml:space="preserve"> </w:t>
      </w:r>
      <w:r w:rsidRPr="00EC20A0">
        <w:t>government,</w:t>
      </w:r>
      <w:r w:rsidRPr="00EC20A0">
        <w:rPr>
          <w:spacing w:val="-2"/>
        </w:rPr>
        <w:t xml:space="preserve"> </w:t>
      </w:r>
      <w:r w:rsidRPr="00EC20A0">
        <w:t>there</w:t>
      </w:r>
      <w:r w:rsidRPr="00EC20A0">
        <w:rPr>
          <w:spacing w:val="-2"/>
        </w:rPr>
        <w:t xml:space="preserve"> </w:t>
      </w:r>
      <w:r w:rsidRPr="00EC20A0">
        <w:t>are</w:t>
      </w:r>
      <w:r w:rsidRPr="00EC20A0">
        <w:rPr>
          <w:spacing w:val="-2"/>
        </w:rPr>
        <w:t xml:space="preserve"> </w:t>
      </w:r>
      <w:r w:rsidRPr="00EC20A0">
        <w:t>additional</w:t>
      </w:r>
      <w:r w:rsidRPr="00EC20A0">
        <w:rPr>
          <w:spacing w:val="-2"/>
        </w:rPr>
        <w:t xml:space="preserve"> </w:t>
      </w:r>
      <w:r w:rsidRPr="00EC20A0">
        <w:t>relationships</w:t>
      </w:r>
      <w:r w:rsidRPr="00EC20A0">
        <w:rPr>
          <w:spacing w:val="-2"/>
        </w:rPr>
        <w:t xml:space="preserve"> </w:t>
      </w:r>
      <w:r w:rsidRPr="00EC20A0">
        <w:t>that</w:t>
      </w:r>
      <w:r w:rsidRPr="00EC20A0">
        <w:rPr>
          <w:spacing w:val="-2"/>
        </w:rPr>
        <w:t xml:space="preserve"> </w:t>
      </w:r>
      <w:r w:rsidRPr="00EC20A0">
        <w:t>present</w:t>
      </w:r>
      <w:r w:rsidRPr="00EC20A0">
        <w:rPr>
          <w:spacing w:val="-2"/>
        </w:rPr>
        <w:t xml:space="preserve"> </w:t>
      </w:r>
      <w:r w:rsidRPr="00EC20A0">
        <w:t>risks</w:t>
      </w:r>
      <w:r w:rsidRPr="00EC20A0">
        <w:rPr>
          <w:spacing w:val="-2"/>
        </w:rPr>
        <w:t xml:space="preserve"> </w:t>
      </w:r>
      <w:r w:rsidRPr="00EC20A0">
        <w:t>similar</w:t>
      </w:r>
      <w:r w:rsidRPr="00EC20A0">
        <w:rPr>
          <w:spacing w:val="-2"/>
        </w:rPr>
        <w:t xml:space="preserve"> </w:t>
      </w:r>
      <w:r w:rsidRPr="00EC20A0">
        <w:t xml:space="preserve">to related parties, as defined by FASAB. These include disclosure entities and public-private partnerships. Consequently, while AU-C 550, </w:t>
      </w:r>
      <w:r w:rsidRPr="00EC20A0">
        <w:rPr>
          <w:i/>
        </w:rPr>
        <w:t>Related Parties</w:t>
      </w:r>
      <w:r w:rsidRPr="00EC20A0">
        <w:t>, addresses only related parties, the auditor should extend the audit procedures in AU-C 550 to disclosure entities; public-private partnerships; and other relationships, transactions, an</w:t>
      </w:r>
      <w:r w:rsidRPr="00EC20A0">
        <w:t>d balances that present similar risks. The requirements for relationships and transactions with disclosure entities, related parties, and public-private partnerships are discussed in this section and in FAM 220, 265, 280, 340, and 550. Note that FASAB and the Financial Accounting Standards Board (FASB) provide different definitions for related parties.</w:t>
      </w:r>
    </w:p>
    <w:p w14:paraId="24D6195D" w14:textId="77777777" w:rsidR="00245300" w:rsidRPr="00EC20A0" w:rsidRDefault="00F17249">
      <w:pPr>
        <w:pStyle w:val="BodyText"/>
        <w:ind w:left="1640" w:right="447" w:hanging="1"/>
      </w:pPr>
      <w:r w:rsidRPr="00EC20A0">
        <w:t>Procedures</w:t>
      </w:r>
      <w:r w:rsidRPr="00EC20A0">
        <w:rPr>
          <w:spacing w:val="-6"/>
        </w:rPr>
        <w:t xml:space="preserve"> </w:t>
      </w:r>
      <w:r w:rsidRPr="00EC20A0">
        <w:t>pertaining</w:t>
      </w:r>
      <w:r w:rsidRPr="00EC20A0">
        <w:rPr>
          <w:spacing w:val="-5"/>
        </w:rPr>
        <w:t xml:space="preserve"> </w:t>
      </w:r>
      <w:r w:rsidRPr="00EC20A0">
        <w:t>to</w:t>
      </w:r>
      <w:r w:rsidRPr="00EC20A0">
        <w:rPr>
          <w:spacing w:val="-6"/>
        </w:rPr>
        <w:t xml:space="preserve"> </w:t>
      </w:r>
      <w:r w:rsidRPr="00EC20A0">
        <w:t>disclosure</w:t>
      </w:r>
      <w:r w:rsidRPr="00EC20A0">
        <w:rPr>
          <w:spacing w:val="-6"/>
        </w:rPr>
        <w:t xml:space="preserve"> </w:t>
      </w:r>
      <w:r w:rsidRPr="00EC20A0">
        <w:t>entities</w:t>
      </w:r>
      <w:r w:rsidRPr="00EC20A0">
        <w:rPr>
          <w:spacing w:val="-5"/>
        </w:rPr>
        <w:t xml:space="preserve"> </w:t>
      </w:r>
      <w:r w:rsidRPr="00EC20A0">
        <w:t>and</w:t>
      </w:r>
      <w:r w:rsidRPr="00EC20A0">
        <w:rPr>
          <w:spacing w:val="-6"/>
        </w:rPr>
        <w:t xml:space="preserve"> </w:t>
      </w:r>
      <w:r w:rsidRPr="00EC20A0">
        <w:t>public-private</w:t>
      </w:r>
      <w:r w:rsidRPr="00EC20A0">
        <w:rPr>
          <w:spacing w:val="-5"/>
        </w:rPr>
        <w:t xml:space="preserve"> </w:t>
      </w:r>
      <w:r w:rsidRPr="00EC20A0">
        <w:t>partnerships</w:t>
      </w:r>
      <w:r w:rsidRPr="00EC20A0">
        <w:rPr>
          <w:spacing w:val="-5"/>
        </w:rPr>
        <w:t xml:space="preserve"> </w:t>
      </w:r>
      <w:r w:rsidRPr="00EC20A0">
        <w:t>do not apply to entities issuing financial statements in accordance with FASB accounting standards.</w:t>
      </w:r>
    </w:p>
    <w:p w14:paraId="24D6195E" w14:textId="77777777" w:rsidR="00245300" w:rsidRPr="00EC20A0" w:rsidRDefault="00F17249">
      <w:pPr>
        <w:pStyle w:val="BodyText"/>
        <w:spacing w:before="240"/>
        <w:ind w:left="1640" w:right="345"/>
      </w:pPr>
      <w:r w:rsidRPr="00EC20A0">
        <w:t>In addition, there may be similar risks of material misstatement related to intragovernmental transactions and balances. Generally, the FAM addresses intragovernmental</w:t>
      </w:r>
      <w:r w:rsidRPr="00EC20A0">
        <w:rPr>
          <w:spacing w:val="-6"/>
        </w:rPr>
        <w:t xml:space="preserve"> </w:t>
      </w:r>
      <w:r w:rsidRPr="00EC20A0">
        <w:t>transactions</w:t>
      </w:r>
      <w:r w:rsidRPr="00EC20A0">
        <w:rPr>
          <w:spacing w:val="-6"/>
        </w:rPr>
        <w:t xml:space="preserve"> </w:t>
      </w:r>
      <w:r w:rsidRPr="00EC20A0">
        <w:t>and</w:t>
      </w:r>
      <w:r w:rsidRPr="00EC20A0">
        <w:rPr>
          <w:spacing w:val="-7"/>
        </w:rPr>
        <w:t xml:space="preserve"> </w:t>
      </w:r>
      <w:r w:rsidRPr="00EC20A0">
        <w:t>balances</w:t>
      </w:r>
      <w:r w:rsidRPr="00EC20A0">
        <w:rPr>
          <w:spacing w:val="-7"/>
        </w:rPr>
        <w:t xml:space="preserve"> </w:t>
      </w:r>
      <w:r w:rsidRPr="00EC20A0">
        <w:t>separately</w:t>
      </w:r>
      <w:r w:rsidRPr="00EC20A0">
        <w:rPr>
          <w:spacing w:val="-6"/>
        </w:rPr>
        <w:t xml:space="preserve"> </w:t>
      </w:r>
      <w:r w:rsidRPr="00EC20A0">
        <w:t>given</w:t>
      </w:r>
      <w:r w:rsidRPr="00EC20A0">
        <w:rPr>
          <w:spacing w:val="-6"/>
        </w:rPr>
        <w:t xml:space="preserve"> </w:t>
      </w:r>
      <w:r w:rsidRPr="00EC20A0">
        <w:t>their</w:t>
      </w:r>
      <w:r w:rsidRPr="00EC20A0">
        <w:rPr>
          <w:spacing w:val="-6"/>
        </w:rPr>
        <w:t xml:space="preserve"> </w:t>
      </w:r>
      <w:r w:rsidRPr="00EC20A0">
        <w:t>significance and prevalence. For example, see FAM 230, 902, 921, and 1001.</w:t>
      </w:r>
    </w:p>
    <w:p w14:paraId="24D6195F" w14:textId="77777777" w:rsidR="00245300" w:rsidRPr="00EC20A0" w:rsidRDefault="00F17249">
      <w:pPr>
        <w:pStyle w:val="ListParagraph"/>
        <w:numPr>
          <w:ilvl w:val="0"/>
          <w:numId w:val="5"/>
        </w:numPr>
        <w:tabs>
          <w:tab w:val="left" w:pos="1640"/>
        </w:tabs>
        <w:spacing w:before="239"/>
        <w:ind w:left="1640" w:right="493"/>
      </w:pPr>
      <w:r w:rsidRPr="00EC20A0">
        <w:t>As</w:t>
      </w:r>
      <w:r w:rsidRPr="00EC20A0">
        <w:rPr>
          <w:spacing w:val="-3"/>
        </w:rPr>
        <w:t xml:space="preserve"> </w:t>
      </w:r>
      <w:r w:rsidRPr="00EC20A0">
        <w:t>discussed</w:t>
      </w:r>
      <w:r w:rsidRPr="00EC20A0">
        <w:rPr>
          <w:spacing w:val="-3"/>
        </w:rPr>
        <w:t xml:space="preserve"> </w:t>
      </w:r>
      <w:r w:rsidRPr="00EC20A0">
        <w:t>in</w:t>
      </w:r>
      <w:r w:rsidRPr="00EC20A0">
        <w:rPr>
          <w:spacing w:val="-3"/>
        </w:rPr>
        <w:t xml:space="preserve"> </w:t>
      </w:r>
      <w:r w:rsidRPr="00EC20A0">
        <w:t>FAM</w:t>
      </w:r>
      <w:r w:rsidRPr="00EC20A0">
        <w:rPr>
          <w:spacing w:val="-4"/>
        </w:rPr>
        <w:t xml:space="preserve"> </w:t>
      </w:r>
      <w:r w:rsidRPr="00EC20A0">
        <w:t>420,</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is</w:t>
      </w:r>
      <w:r w:rsidRPr="00EC20A0">
        <w:rPr>
          <w:spacing w:val="-3"/>
        </w:rPr>
        <w:t xml:space="preserve"> </w:t>
      </w:r>
      <w:r w:rsidRPr="00EC20A0">
        <w:t>to</w:t>
      </w:r>
      <w:r w:rsidRPr="00EC20A0">
        <w:rPr>
          <w:spacing w:val="-3"/>
        </w:rPr>
        <w:t xml:space="preserve"> </w:t>
      </w:r>
      <w:r w:rsidRPr="00EC20A0">
        <w:t>design</w:t>
      </w:r>
      <w:r w:rsidRPr="00EC20A0">
        <w:rPr>
          <w:spacing w:val="-3"/>
        </w:rPr>
        <w:t xml:space="preserve"> </w:t>
      </w:r>
      <w:r w:rsidRPr="00EC20A0">
        <w:t>and</w:t>
      </w:r>
      <w:r w:rsidRPr="00EC20A0">
        <w:rPr>
          <w:spacing w:val="-3"/>
        </w:rPr>
        <w:t xml:space="preserve"> </w:t>
      </w:r>
      <w:r w:rsidRPr="00EC20A0">
        <w:t>perform</w:t>
      </w:r>
      <w:r w:rsidRPr="00EC20A0">
        <w:rPr>
          <w:spacing w:val="-4"/>
        </w:rPr>
        <w:t xml:space="preserve"> </w:t>
      </w:r>
      <w:r w:rsidRPr="00EC20A0">
        <w:t>audit</w:t>
      </w:r>
      <w:r w:rsidRPr="00EC20A0">
        <w:rPr>
          <w:spacing w:val="-3"/>
        </w:rPr>
        <w:t xml:space="preserve"> </w:t>
      </w:r>
      <w:r w:rsidRPr="00EC20A0">
        <w:t xml:space="preserve">procedures whose nature, timing, and extent respond to the risks of material misstatement, including risks </w:t>
      </w:r>
      <w:r w:rsidRPr="00EC20A0">
        <w:t>arising from the entity’s failure to appropriately account for or disclose relationships, transactions, or balances with disclosure entities, related parties, and public-private partnerships.</w:t>
      </w:r>
    </w:p>
    <w:p w14:paraId="24D61960" w14:textId="77777777" w:rsidR="00245300" w:rsidRPr="00EC20A0" w:rsidRDefault="00F17249">
      <w:pPr>
        <w:pStyle w:val="ListParagraph"/>
        <w:numPr>
          <w:ilvl w:val="0"/>
          <w:numId w:val="5"/>
        </w:numPr>
        <w:tabs>
          <w:tab w:val="left" w:pos="1640"/>
        </w:tabs>
        <w:ind w:left="1640" w:right="479"/>
      </w:pPr>
      <w:r w:rsidRPr="00EC20A0">
        <w:t>With respect to disclosure entities, related parties, and public-private partnerships,</w:t>
      </w:r>
      <w:r w:rsidRPr="00EC20A0">
        <w:rPr>
          <w:spacing w:val="-4"/>
        </w:rPr>
        <w:t xml:space="preserve"> </w:t>
      </w:r>
      <w:r w:rsidRPr="00EC20A0">
        <w:t>the</w:t>
      </w:r>
      <w:r w:rsidRPr="00EC20A0">
        <w:rPr>
          <w:spacing w:val="-4"/>
        </w:rPr>
        <w:t xml:space="preserve"> </w:t>
      </w:r>
      <w:r w:rsidRPr="00EC20A0">
        <w:t>objectives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are</w:t>
      </w:r>
      <w:r w:rsidRPr="00EC20A0">
        <w:rPr>
          <w:spacing w:val="-4"/>
        </w:rPr>
        <w:t xml:space="preserve"> </w:t>
      </w:r>
      <w:r w:rsidRPr="00EC20A0">
        <w:t>to</w:t>
      </w:r>
      <w:r w:rsidRPr="00EC20A0">
        <w:rPr>
          <w:spacing w:val="-5"/>
        </w:rPr>
        <w:t xml:space="preserve"> </w:t>
      </w:r>
      <w:r w:rsidRPr="00EC20A0">
        <w:t>do</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(AU-C</w:t>
      </w:r>
      <w:r w:rsidRPr="00EC20A0">
        <w:rPr>
          <w:spacing w:val="-3"/>
        </w:rPr>
        <w:t xml:space="preserve"> </w:t>
      </w:r>
      <w:r w:rsidRPr="00EC20A0">
        <w:t>550.09):</w:t>
      </w:r>
    </w:p>
    <w:p w14:paraId="24D61961" w14:textId="77777777" w:rsidR="00245300" w:rsidRPr="00EC20A0" w:rsidRDefault="00F17249">
      <w:pPr>
        <w:pStyle w:val="ListParagraph"/>
        <w:numPr>
          <w:ilvl w:val="0"/>
          <w:numId w:val="98"/>
        </w:numPr>
        <w:tabs>
          <w:tab w:val="left" w:pos="2000"/>
        </w:tabs>
        <w:spacing w:before="241"/>
        <w:ind w:right="425"/>
      </w:pPr>
      <w:r w:rsidRPr="00EC20A0">
        <w:t>Obtain</w:t>
      </w:r>
      <w:r w:rsidRPr="00EC20A0">
        <w:rPr>
          <w:spacing w:val="-4"/>
        </w:rPr>
        <w:t xml:space="preserve"> </w:t>
      </w:r>
      <w:r w:rsidRPr="00EC20A0">
        <w:t>an</w:t>
      </w:r>
      <w:r w:rsidRPr="00EC20A0">
        <w:rPr>
          <w:spacing w:val="-4"/>
        </w:rPr>
        <w:t xml:space="preserve"> </w:t>
      </w:r>
      <w:r w:rsidRPr="00EC20A0">
        <w:t>understanding</w:t>
      </w:r>
      <w:r w:rsidRPr="00EC20A0">
        <w:rPr>
          <w:spacing w:val="-4"/>
        </w:rPr>
        <w:t xml:space="preserve"> </w:t>
      </w:r>
      <w:r w:rsidRPr="00EC20A0">
        <w:t>of</w:t>
      </w:r>
      <w:r w:rsidRPr="00EC20A0">
        <w:rPr>
          <w:spacing w:val="-4"/>
        </w:rPr>
        <w:t xml:space="preserve"> </w:t>
      </w:r>
      <w:r w:rsidRPr="00EC20A0">
        <w:t>the</w:t>
      </w:r>
      <w:r w:rsidRPr="00EC20A0">
        <w:rPr>
          <w:spacing w:val="-3"/>
        </w:rPr>
        <w:t xml:space="preserve"> </w:t>
      </w:r>
      <w:r w:rsidRPr="00EC20A0">
        <w:t>relationships</w:t>
      </w:r>
      <w:r w:rsidRPr="00EC20A0">
        <w:rPr>
          <w:spacing w:val="-4"/>
        </w:rPr>
        <w:t xml:space="preserve"> </w:t>
      </w:r>
      <w:r w:rsidRPr="00EC20A0">
        <w:t>and</w:t>
      </w:r>
      <w:r w:rsidRPr="00EC20A0">
        <w:rPr>
          <w:spacing w:val="-4"/>
        </w:rPr>
        <w:t xml:space="preserve"> </w:t>
      </w:r>
      <w:r w:rsidRPr="00EC20A0">
        <w:t>transactions</w:t>
      </w:r>
      <w:r w:rsidRPr="00EC20A0">
        <w:rPr>
          <w:spacing w:val="-4"/>
        </w:rPr>
        <w:t xml:space="preserve"> </w:t>
      </w:r>
      <w:r w:rsidRPr="00EC20A0">
        <w:t>sufficient</w:t>
      </w:r>
      <w:r w:rsidRPr="00EC20A0">
        <w:rPr>
          <w:spacing w:val="-5"/>
        </w:rPr>
        <w:t xml:space="preserve"> </w:t>
      </w:r>
      <w:r w:rsidRPr="00EC20A0">
        <w:t>to</w:t>
      </w:r>
      <w:r w:rsidRPr="00EC20A0">
        <w:rPr>
          <w:spacing w:val="-4"/>
        </w:rPr>
        <w:t xml:space="preserve"> </w:t>
      </w:r>
      <w:r w:rsidRPr="00EC20A0">
        <w:t>be able to</w:t>
      </w:r>
    </w:p>
    <w:p w14:paraId="24D61962" w14:textId="77777777" w:rsidR="00245300" w:rsidRPr="00EC20A0" w:rsidRDefault="00F17249">
      <w:pPr>
        <w:pStyle w:val="ListParagraph"/>
        <w:numPr>
          <w:ilvl w:val="1"/>
          <w:numId w:val="98"/>
        </w:numPr>
        <w:tabs>
          <w:tab w:val="left" w:pos="2360"/>
        </w:tabs>
        <w:ind w:right="532"/>
      </w:pPr>
      <w:r w:rsidRPr="00EC20A0">
        <w:t>recognize fraud risk factors, if any, arising from those relationships and transactions</w:t>
      </w:r>
      <w:r w:rsidRPr="00EC20A0">
        <w:rPr>
          <w:spacing w:val="-5"/>
        </w:rPr>
        <w:t xml:space="preserve"> </w:t>
      </w:r>
      <w:r w:rsidRPr="00EC20A0">
        <w:t>that</w:t>
      </w:r>
      <w:r w:rsidRPr="00EC20A0">
        <w:rPr>
          <w:spacing w:val="-4"/>
        </w:rPr>
        <w:t xml:space="preserve"> </w:t>
      </w:r>
      <w:r w:rsidRPr="00EC20A0">
        <w:t>are</w:t>
      </w:r>
      <w:r w:rsidRPr="00EC20A0">
        <w:rPr>
          <w:spacing w:val="-4"/>
        </w:rPr>
        <w:t xml:space="preserve"> </w:t>
      </w:r>
      <w:r w:rsidRPr="00EC20A0">
        <w:t>relevant</w:t>
      </w:r>
      <w:r w:rsidRPr="00EC20A0">
        <w:rPr>
          <w:spacing w:val="-4"/>
        </w:rPr>
        <w:t xml:space="preserve"> </w:t>
      </w:r>
      <w:r w:rsidRPr="00EC20A0">
        <w:t>to</w:t>
      </w:r>
      <w:r w:rsidRPr="00EC20A0">
        <w:rPr>
          <w:spacing w:val="-4"/>
        </w:rPr>
        <w:t xml:space="preserve"> </w:t>
      </w:r>
      <w:r w:rsidRPr="00EC20A0">
        <w:t>the</w:t>
      </w:r>
      <w:r w:rsidRPr="00EC20A0">
        <w:rPr>
          <w:spacing w:val="-5"/>
        </w:rPr>
        <w:t xml:space="preserve"> </w:t>
      </w:r>
      <w:r w:rsidRPr="00EC20A0">
        <w:t>identification</w:t>
      </w:r>
      <w:r w:rsidRPr="00EC20A0">
        <w:rPr>
          <w:spacing w:val="-5"/>
        </w:rPr>
        <w:t xml:space="preserve"> </w:t>
      </w:r>
      <w:r w:rsidRPr="00EC20A0">
        <w:t>and</w:t>
      </w:r>
      <w:r w:rsidRPr="00EC20A0">
        <w:rPr>
          <w:spacing w:val="-4"/>
        </w:rPr>
        <w:t xml:space="preserve"> </w:t>
      </w:r>
      <w:r w:rsidRPr="00EC20A0">
        <w:t>assessment</w:t>
      </w:r>
      <w:r w:rsidRPr="00EC20A0">
        <w:rPr>
          <w:spacing w:val="-4"/>
        </w:rPr>
        <w:t xml:space="preserve"> </w:t>
      </w:r>
      <w:r w:rsidRPr="00EC20A0">
        <w:t>of</w:t>
      </w:r>
      <w:r w:rsidRPr="00EC20A0">
        <w:rPr>
          <w:spacing w:val="-4"/>
        </w:rPr>
        <w:t xml:space="preserve"> </w:t>
      </w:r>
      <w:r w:rsidRPr="00EC20A0">
        <w:t>the risks of material misstatement due to fraud and</w:t>
      </w:r>
    </w:p>
    <w:p w14:paraId="24D61963" w14:textId="77777777" w:rsidR="00245300" w:rsidRPr="00EC20A0" w:rsidRDefault="00F17249">
      <w:pPr>
        <w:pStyle w:val="ListParagraph"/>
        <w:numPr>
          <w:ilvl w:val="1"/>
          <w:numId w:val="98"/>
        </w:numPr>
        <w:tabs>
          <w:tab w:val="left" w:pos="2360"/>
        </w:tabs>
        <w:spacing w:before="238"/>
        <w:ind w:right="736"/>
      </w:pPr>
      <w:r w:rsidRPr="00EC20A0">
        <w:t>conclude,</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the</w:t>
      </w:r>
      <w:r w:rsidRPr="00EC20A0">
        <w:rPr>
          <w:spacing w:val="-5"/>
        </w:rPr>
        <w:t xml:space="preserve"> </w:t>
      </w:r>
      <w:r w:rsidRPr="00EC20A0">
        <w:t>audit</w:t>
      </w:r>
      <w:r w:rsidRPr="00EC20A0">
        <w:rPr>
          <w:spacing w:val="-4"/>
        </w:rPr>
        <w:t xml:space="preserve"> </w:t>
      </w:r>
      <w:r w:rsidRPr="00EC20A0">
        <w:t>evidence</w:t>
      </w:r>
      <w:r w:rsidRPr="00EC20A0">
        <w:rPr>
          <w:spacing w:val="-4"/>
        </w:rPr>
        <w:t xml:space="preserve"> </w:t>
      </w:r>
      <w:r w:rsidRPr="00EC20A0">
        <w:t>obtained,</w:t>
      </w:r>
      <w:r w:rsidRPr="00EC20A0">
        <w:rPr>
          <w:spacing w:val="-5"/>
        </w:rPr>
        <w:t xml:space="preserve"> </w:t>
      </w:r>
      <w:r w:rsidRPr="00EC20A0">
        <w:t>whether</w:t>
      </w:r>
      <w:r w:rsidRPr="00EC20A0">
        <w:rPr>
          <w:spacing w:val="-4"/>
        </w:rPr>
        <w:t xml:space="preserve"> </w:t>
      </w:r>
      <w:r w:rsidRPr="00EC20A0">
        <w:t>the</w:t>
      </w:r>
      <w:r w:rsidRPr="00EC20A0">
        <w:rPr>
          <w:spacing w:val="-4"/>
        </w:rPr>
        <w:t xml:space="preserve"> </w:t>
      </w:r>
      <w:r w:rsidRPr="00EC20A0">
        <w:t xml:space="preserve">financial statements, insofar as they are affected by those </w:t>
      </w:r>
      <w:r w:rsidRPr="00EC20A0">
        <w:t>relationships and transactions, achieve fair presentation.</w:t>
      </w:r>
    </w:p>
    <w:p w14:paraId="24D61964" w14:textId="77777777" w:rsidR="00245300" w:rsidRPr="00EC20A0" w:rsidRDefault="00F17249">
      <w:pPr>
        <w:pStyle w:val="ListParagraph"/>
        <w:numPr>
          <w:ilvl w:val="0"/>
          <w:numId w:val="98"/>
        </w:numPr>
        <w:tabs>
          <w:tab w:val="left" w:pos="2000"/>
        </w:tabs>
        <w:spacing w:before="238"/>
        <w:ind w:right="547"/>
      </w:pPr>
      <w:r w:rsidRPr="00EC20A0">
        <w:t>Obtain</w:t>
      </w:r>
      <w:r w:rsidRPr="00EC20A0">
        <w:rPr>
          <w:spacing w:val="-5"/>
        </w:rPr>
        <w:t xml:space="preserve"> </w:t>
      </w:r>
      <w:r w:rsidRPr="00EC20A0">
        <w:t>sufficient</w:t>
      </w:r>
      <w:r w:rsidRPr="00EC20A0">
        <w:rPr>
          <w:spacing w:val="-5"/>
        </w:rPr>
        <w:t xml:space="preserve"> </w:t>
      </w:r>
      <w:r w:rsidRPr="00EC20A0">
        <w:t>appropriate</w:t>
      </w:r>
      <w:r w:rsidRPr="00EC20A0">
        <w:rPr>
          <w:spacing w:val="-5"/>
        </w:rPr>
        <w:t xml:space="preserve"> </w:t>
      </w:r>
      <w:r w:rsidRPr="00EC20A0">
        <w:t>audit</w:t>
      </w:r>
      <w:r w:rsidRPr="00EC20A0">
        <w:rPr>
          <w:spacing w:val="-5"/>
        </w:rPr>
        <w:t xml:space="preserve"> </w:t>
      </w:r>
      <w:r w:rsidRPr="00EC20A0">
        <w:t>evidence</w:t>
      </w:r>
      <w:r w:rsidRPr="00EC20A0">
        <w:rPr>
          <w:spacing w:val="-5"/>
        </w:rPr>
        <w:t xml:space="preserve"> </w:t>
      </w:r>
      <w:r w:rsidRPr="00EC20A0">
        <w:t>about</w:t>
      </w:r>
      <w:r w:rsidRPr="00EC20A0">
        <w:rPr>
          <w:spacing w:val="-6"/>
        </w:rPr>
        <w:t xml:space="preserve"> </w:t>
      </w:r>
      <w:r w:rsidRPr="00EC20A0">
        <w:t>whether</w:t>
      </w:r>
      <w:r w:rsidRPr="00EC20A0">
        <w:rPr>
          <w:spacing w:val="-5"/>
        </w:rPr>
        <w:t xml:space="preserve"> </w:t>
      </w:r>
      <w:r w:rsidRPr="00EC20A0">
        <w:t>the</w:t>
      </w:r>
      <w:r w:rsidRPr="00EC20A0">
        <w:rPr>
          <w:spacing w:val="-4"/>
        </w:rPr>
        <w:t xml:space="preserve"> </w:t>
      </w:r>
      <w:r w:rsidRPr="00EC20A0">
        <w:t>relationships and transactions have been appropriately identified, accounted for, and disclosed in the financial statements.</w:t>
      </w:r>
    </w:p>
    <w:p w14:paraId="24D61965" w14:textId="77777777" w:rsidR="00245300" w:rsidRPr="00EC20A0" w:rsidRDefault="00245300">
      <w:pPr>
        <w:sectPr w:rsidR="00245300" w:rsidRPr="00EC20A0">
          <w:headerReference w:type="default" r:id="rId155"/>
          <w:footerReference w:type="default" r:id="rId156"/>
          <w:pgSz w:w="12240" w:h="15840"/>
          <w:pgMar w:top="1340" w:right="1100" w:bottom="940" w:left="1240" w:header="721" w:footer="757" w:gutter="0"/>
          <w:pgNumType w:start="1"/>
          <w:cols w:space="720"/>
        </w:sectPr>
      </w:pPr>
    </w:p>
    <w:p w14:paraId="24D61966" w14:textId="77777777" w:rsidR="00245300" w:rsidRPr="00EC20A0" w:rsidRDefault="00F17249">
      <w:pPr>
        <w:pStyle w:val="BodyText"/>
        <w:spacing w:before="121"/>
        <w:ind w:left="1640" w:right="345"/>
      </w:pPr>
      <w:r w:rsidRPr="00EC20A0">
        <w:t xml:space="preserve">Further, the nature of </w:t>
      </w:r>
      <w:r w:rsidRPr="00EC20A0">
        <w:t>relationships and transactions with disclosure entities, related</w:t>
      </w:r>
      <w:r w:rsidRPr="00EC20A0">
        <w:rPr>
          <w:spacing w:val="-5"/>
        </w:rPr>
        <w:t xml:space="preserve"> </w:t>
      </w:r>
      <w:r w:rsidRPr="00EC20A0">
        <w:t>parties,</w:t>
      </w:r>
      <w:r w:rsidRPr="00EC20A0">
        <w:rPr>
          <w:spacing w:val="-5"/>
        </w:rPr>
        <w:t xml:space="preserve"> </w:t>
      </w:r>
      <w:r w:rsidRPr="00EC20A0">
        <w:t>and</w:t>
      </w:r>
      <w:r w:rsidRPr="00EC20A0">
        <w:rPr>
          <w:spacing w:val="-5"/>
        </w:rPr>
        <w:t xml:space="preserve"> </w:t>
      </w:r>
      <w:r w:rsidRPr="00EC20A0">
        <w:t>public-private</w:t>
      </w:r>
      <w:r w:rsidRPr="00EC20A0">
        <w:rPr>
          <w:spacing w:val="-5"/>
        </w:rPr>
        <w:t xml:space="preserve"> </w:t>
      </w:r>
      <w:r w:rsidRPr="00EC20A0">
        <w:t>partnerships</w:t>
      </w:r>
      <w:r w:rsidRPr="00EC20A0">
        <w:rPr>
          <w:spacing w:val="-5"/>
        </w:rPr>
        <w:t xml:space="preserve"> </w:t>
      </w:r>
      <w:r w:rsidRPr="00EC20A0">
        <w:t>may,</w:t>
      </w:r>
      <w:r w:rsidRPr="00EC20A0">
        <w:rPr>
          <w:spacing w:val="-5"/>
        </w:rPr>
        <w:t xml:space="preserve"> </w:t>
      </w:r>
      <w:r w:rsidRPr="00EC20A0">
        <w:t>in</w:t>
      </w:r>
      <w:r w:rsidRPr="00EC20A0">
        <w:rPr>
          <w:spacing w:val="-5"/>
        </w:rPr>
        <w:t xml:space="preserve"> </w:t>
      </w:r>
      <w:r w:rsidRPr="00EC20A0">
        <w:t>some</w:t>
      </w:r>
      <w:r w:rsidRPr="00EC20A0">
        <w:rPr>
          <w:spacing w:val="-5"/>
        </w:rPr>
        <w:t xml:space="preserve"> </w:t>
      </w:r>
      <w:r w:rsidRPr="00EC20A0">
        <w:t>circumstances,</w:t>
      </w:r>
      <w:r w:rsidRPr="00EC20A0">
        <w:rPr>
          <w:spacing w:val="-5"/>
        </w:rPr>
        <w:t xml:space="preserve"> </w:t>
      </w:r>
      <w:r w:rsidRPr="00EC20A0">
        <w:t>give rise to higher risks of material misstatement of the financial statements than transactions with unrelated parties (AU-C 550.03). For example,</w:t>
      </w:r>
    </w:p>
    <w:p w14:paraId="24D61967" w14:textId="77777777" w:rsidR="00245300" w:rsidRPr="00EC20A0" w:rsidRDefault="00F17249">
      <w:pPr>
        <w:pStyle w:val="ListParagraph"/>
        <w:numPr>
          <w:ilvl w:val="0"/>
          <w:numId w:val="97"/>
        </w:numPr>
        <w:tabs>
          <w:tab w:val="left" w:pos="2000"/>
        </w:tabs>
        <w:spacing w:before="239"/>
        <w:ind w:right="1026"/>
      </w:pPr>
      <w:r w:rsidRPr="00EC20A0">
        <w:t>disclosure</w:t>
      </w:r>
      <w:r w:rsidRPr="00EC20A0">
        <w:rPr>
          <w:spacing w:val="-6"/>
        </w:rPr>
        <w:t xml:space="preserve"> </w:t>
      </w:r>
      <w:r w:rsidRPr="00EC20A0">
        <w:t>entities,</w:t>
      </w:r>
      <w:r w:rsidRPr="00EC20A0">
        <w:rPr>
          <w:spacing w:val="-6"/>
        </w:rPr>
        <w:t xml:space="preserve"> </w:t>
      </w:r>
      <w:r w:rsidRPr="00EC20A0">
        <w:t>related</w:t>
      </w:r>
      <w:r w:rsidRPr="00EC20A0">
        <w:rPr>
          <w:spacing w:val="-6"/>
        </w:rPr>
        <w:t xml:space="preserve"> </w:t>
      </w:r>
      <w:r w:rsidRPr="00EC20A0">
        <w:t>parties,</w:t>
      </w:r>
      <w:r w:rsidRPr="00EC20A0">
        <w:rPr>
          <w:spacing w:val="-6"/>
        </w:rPr>
        <w:t xml:space="preserve"> </w:t>
      </w:r>
      <w:r w:rsidRPr="00EC20A0">
        <w:t>and</w:t>
      </w:r>
      <w:r w:rsidRPr="00EC20A0">
        <w:rPr>
          <w:spacing w:val="-6"/>
        </w:rPr>
        <w:t xml:space="preserve"> </w:t>
      </w:r>
      <w:r w:rsidRPr="00EC20A0">
        <w:t>public-private</w:t>
      </w:r>
      <w:r w:rsidRPr="00EC20A0">
        <w:rPr>
          <w:spacing w:val="-6"/>
        </w:rPr>
        <w:t xml:space="preserve"> </w:t>
      </w:r>
      <w:r w:rsidRPr="00EC20A0">
        <w:t>partnerships</w:t>
      </w:r>
      <w:r w:rsidRPr="00EC20A0">
        <w:rPr>
          <w:spacing w:val="-5"/>
        </w:rPr>
        <w:t xml:space="preserve"> </w:t>
      </w:r>
      <w:r w:rsidRPr="00EC20A0">
        <w:t xml:space="preserve">may operate through an extensive and complex range of relationships and structures, with a corresponding increase in the complexity of the </w:t>
      </w:r>
      <w:r w:rsidRPr="00EC20A0">
        <w:t>transactions involved;</w:t>
      </w:r>
    </w:p>
    <w:p w14:paraId="24D61968" w14:textId="77777777" w:rsidR="00245300" w:rsidRPr="00EC20A0" w:rsidRDefault="00F17249">
      <w:pPr>
        <w:pStyle w:val="ListParagraph"/>
        <w:numPr>
          <w:ilvl w:val="0"/>
          <w:numId w:val="97"/>
        </w:numPr>
        <w:tabs>
          <w:tab w:val="left" w:pos="2000"/>
        </w:tabs>
        <w:spacing w:before="239"/>
        <w:ind w:right="596"/>
      </w:pPr>
      <w:r w:rsidRPr="00EC20A0">
        <w:t>information systems may be ineffective at identifying or summarizing transactions</w:t>
      </w:r>
      <w:r w:rsidRPr="00EC20A0">
        <w:rPr>
          <w:spacing w:val="-6"/>
        </w:rPr>
        <w:t xml:space="preserve"> </w:t>
      </w:r>
      <w:r w:rsidRPr="00EC20A0">
        <w:t>and</w:t>
      </w:r>
      <w:r w:rsidRPr="00EC20A0">
        <w:rPr>
          <w:spacing w:val="-5"/>
        </w:rPr>
        <w:t xml:space="preserve"> </w:t>
      </w:r>
      <w:r w:rsidRPr="00EC20A0">
        <w:t>outstanding</w:t>
      </w:r>
      <w:r w:rsidRPr="00EC20A0">
        <w:rPr>
          <w:spacing w:val="-5"/>
        </w:rPr>
        <w:t xml:space="preserve"> </w:t>
      </w:r>
      <w:r w:rsidRPr="00EC20A0">
        <w:t>balances</w:t>
      </w:r>
      <w:r w:rsidRPr="00EC20A0">
        <w:rPr>
          <w:spacing w:val="-5"/>
        </w:rPr>
        <w:t xml:space="preserve"> </w:t>
      </w:r>
      <w:r w:rsidRPr="00EC20A0">
        <w:t>between</w:t>
      </w:r>
      <w:r w:rsidRPr="00EC20A0">
        <w:rPr>
          <w:spacing w:val="-5"/>
        </w:rPr>
        <w:t xml:space="preserve"> </w:t>
      </w:r>
      <w:r w:rsidRPr="00EC20A0">
        <w:t>an</w:t>
      </w:r>
      <w:r w:rsidRPr="00EC20A0">
        <w:rPr>
          <w:spacing w:val="-4"/>
        </w:rPr>
        <w:t xml:space="preserve"> </w:t>
      </w:r>
      <w:r w:rsidRPr="00EC20A0">
        <w:t>entity</w:t>
      </w:r>
      <w:r w:rsidRPr="00EC20A0">
        <w:rPr>
          <w:spacing w:val="-5"/>
        </w:rPr>
        <w:t xml:space="preserve"> </w:t>
      </w:r>
      <w:r w:rsidRPr="00EC20A0">
        <w:t>and</w:t>
      </w:r>
      <w:r w:rsidRPr="00EC20A0">
        <w:rPr>
          <w:spacing w:val="-5"/>
        </w:rPr>
        <w:t xml:space="preserve"> </w:t>
      </w:r>
      <w:r w:rsidRPr="00EC20A0">
        <w:t>its</w:t>
      </w:r>
      <w:r w:rsidRPr="00EC20A0">
        <w:rPr>
          <w:spacing w:val="-5"/>
        </w:rPr>
        <w:t xml:space="preserve"> </w:t>
      </w:r>
      <w:r w:rsidRPr="00EC20A0">
        <w:t>disclosure entities, related parties, and public-private partnerships;</w:t>
      </w:r>
    </w:p>
    <w:p w14:paraId="24D61969" w14:textId="77777777" w:rsidR="00245300" w:rsidRPr="00EC20A0" w:rsidRDefault="00F17249">
      <w:pPr>
        <w:pStyle w:val="ListParagraph"/>
        <w:numPr>
          <w:ilvl w:val="0"/>
          <w:numId w:val="97"/>
        </w:numPr>
        <w:tabs>
          <w:tab w:val="left" w:pos="2000"/>
        </w:tabs>
        <w:spacing w:before="238"/>
        <w:ind w:right="1073" w:hanging="361"/>
      </w:pPr>
      <w:r w:rsidRPr="00EC20A0">
        <w:t>transactions</w:t>
      </w:r>
      <w:r w:rsidRPr="00EC20A0">
        <w:rPr>
          <w:spacing w:val="-6"/>
        </w:rPr>
        <w:t xml:space="preserve"> </w:t>
      </w:r>
      <w:r w:rsidRPr="00EC20A0">
        <w:t>with</w:t>
      </w:r>
      <w:r w:rsidRPr="00EC20A0">
        <w:rPr>
          <w:spacing w:val="-5"/>
        </w:rPr>
        <w:t xml:space="preserve"> </w:t>
      </w:r>
      <w:r w:rsidRPr="00EC20A0">
        <w:t>disclosure</w:t>
      </w:r>
      <w:r w:rsidRPr="00EC20A0">
        <w:rPr>
          <w:spacing w:val="-5"/>
        </w:rPr>
        <w:t xml:space="preserve"> </w:t>
      </w:r>
      <w:r w:rsidRPr="00EC20A0">
        <w:t>entities,</w:t>
      </w:r>
      <w:r w:rsidRPr="00EC20A0">
        <w:rPr>
          <w:spacing w:val="-6"/>
        </w:rPr>
        <w:t xml:space="preserve"> </w:t>
      </w:r>
      <w:r w:rsidRPr="00EC20A0">
        <w:t>related</w:t>
      </w:r>
      <w:r w:rsidRPr="00EC20A0">
        <w:rPr>
          <w:spacing w:val="-5"/>
        </w:rPr>
        <w:t xml:space="preserve"> </w:t>
      </w:r>
      <w:r w:rsidRPr="00EC20A0">
        <w:t>parties,</w:t>
      </w:r>
      <w:r w:rsidRPr="00EC20A0">
        <w:rPr>
          <w:spacing w:val="-5"/>
        </w:rPr>
        <w:t xml:space="preserve"> </w:t>
      </w:r>
      <w:r w:rsidRPr="00EC20A0">
        <w:t>and</w:t>
      </w:r>
      <w:r w:rsidRPr="00EC20A0">
        <w:rPr>
          <w:spacing w:val="-5"/>
        </w:rPr>
        <w:t xml:space="preserve"> </w:t>
      </w:r>
      <w:r w:rsidRPr="00EC20A0">
        <w:t>public-private partnerships may not be conducted under normal market terms and conditions</w:t>
      </w:r>
      <w:r w:rsidRPr="00EC20A0">
        <w:rPr>
          <w:spacing w:val="-3"/>
        </w:rPr>
        <w:t xml:space="preserve"> </w:t>
      </w:r>
      <w:r w:rsidRPr="00EC20A0">
        <w:t>(for</w:t>
      </w:r>
      <w:r w:rsidRPr="00EC20A0">
        <w:rPr>
          <w:spacing w:val="-2"/>
        </w:rPr>
        <w:t xml:space="preserve"> </w:t>
      </w:r>
      <w:r w:rsidRPr="00EC20A0">
        <w:t>example,</w:t>
      </w:r>
      <w:r w:rsidRPr="00EC20A0">
        <w:rPr>
          <w:spacing w:val="-2"/>
        </w:rPr>
        <w:t xml:space="preserve"> </w:t>
      </w:r>
      <w:r w:rsidRPr="00EC20A0">
        <w:t>some</w:t>
      </w:r>
      <w:r w:rsidRPr="00EC20A0">
        <w:rPr>
          <w:spacing w:val="-2"/>
        </w:rPr>
        <w:t xml:space="preserve"> </w:t>
      </w:r>
      <w:r w:rsidRPr="00EC20A0">
        <w:t>transactions</w:t>
      </w:r>
      <w:r w:rsidRPr="00EC20A0">
        <w:rPr>
          <w:spacing w:val="-2"/>
        </w:rPr>
        <w:t xml:space="preserve"> </w:t>
      </w:r>
      <w:r w:rsidRPr="00EC20A0">
        <w:t>may</w:t>
      </w:r>
      <w:r w:rsidRPr="00EC20A0">
        <w:rPr>
          <w:spacing w:val="-3"/>
        </w:rPr>
        <w:t xml:space="preserve"> </w:t>
      </w:r>
      <w:r w:rsidRPr="00EC20A0">
        <w:t>be</w:t>
      </w:r>
      <w:r w:rsidRPr="00EC20A0">
        <w:rPr>
          <w:spacing w:val="-2"/>
        </w:rPr>
        <w:t xml:space="preserve"> </w:t>
      </w:r>
      <w:r w:rsidRPr="00EC20A0">
        <w:t>conducted</w:t>
      </w:r>
      <w:r w:rsidRPr="00EC20A0">
        <w:rPr>
          <w:spacing w:val="-2"/>
        </w:rPr>
        <w:t xml:space="preserve"> </w:t>
      </w:r>
      <w:r w:rsidRPr="00EC20A0">
        <w:t>with</w:t>
      </w:r>
      <w:r w:rsidRPr="00EC20A0">
        <w:rPr>
          <w:spacing w:val="-2"/>
        </w:rPr>
        <w:t xml:space="preserve"> </w:t>
      </w:r>
      <w:r w:rsidRPr="00EC20A0">
        <w:t>no exchange of consideration); and</w:t>
      </w:r>
    </w:p>
    <w:p w14:paraId="24D6196A" w14:textId="77777777" w:rsidR="00245300" w:rsidRPr="00EC20A0" w:rsidRDefault="00F17249">
      <w:pPr>
        <w:pStyle w:val="ListParagraph"/>
        <w:numPr>
          <w:ilvl w:val="0"/>
          <w:numId w:val="97"/>
        </w:numPr>
        <w:tabs>
          <w:tab w:val="left" w:pos="1998"/>
          <w:tab w:val="left" w:pos="2000"/>
        </w:tabs>
        <w:spacing w:before="238"/>
        <w:ind w:right="1037" w:hanging="361"/>
        <w:jc w:val="both"/>
      </w:pPr>
      <w:r w:rsidRPr="00EC20A0">
        <w:t>transactions</w:t>
      </w:r>
      <w:r w:rsidRPr="00EC20A0">
        <w:rPr>
          <w:spacing w:val="-1"/>
        </w:rPr>
        <w:t xml:space="preserve"> </w:t>
      </w:r>
      <w:r w:rsidRPr="00EC20A0">
        <w:t>with disclosure entities,</w:t>
      </w:r>
      <w:r w:rsidRPr="00EC20A0">
        <w:rPr>
          <w:spacing w:val="-1"/>
        </w:rPr>
        <w:t xml:space="preserve"> </w:t>
      </w:r>
      <w:r w:rsidRPr="00EC20A0">
        <w:t>related parties, and public-private partnerships</w:t>
      </w:r>
      <w:r w:rsidRPr="00EC20A0">
        <w:rPr>
          <w:spacing w:val="-5"/>
        </w:rPr>
        <w:t xml:space="preserve"> </w:t>
      </w:r>
      <w:r w:rsidRPr="00EC20A0">
        <w:t>may</w:t>
      </w:r>
      <w:r w:rsidRPr="00EC20A0">
        <w:rPr>
          <w:spacing w:val="-4"/>
        </w:rPr>
        <w:t xml:space="preserve"> </w:t>
      </w:r>
      <w:r w:rsidRPr="00EC20A0">
        <w:t>be</w:t>
      </w:r>
      <w:r w:rsidRPr="00EC20A0">
        <w:rPr>
          <w:spacing w:val="-4"/>
        </w:rPr>
        <w:t xml:space="preserve"> </w:t>
      </w:r>
      <w:r w:rsidRPr="00EC20A0">
        <w:t>motivated</w:t>
      </w:r>
      <w:r w:rsidRPr="00EC20A0">
        <w:rPr>
          <w:spacing w:val="-4"/>
        </w:rPr>
        <w:t xml:space="preserve"> </w:t>
      </w:r>
      <w:r w:rsidRPr="00EC20A0">
        <w:t>solely</w:t>
      </w:r>
      <w:r w:rsidRPr="00EC20A0">
        <w:rPr>
          <w:spacing w:val="-5"/>
        </w:rPr>
        <w:t xml:space="preserve"> </w:t>
      </w:r>
      <w:r w:rsidRPr="00EC20A0">
        <w:t>or</w:t>
      </w:r>
      <w:r w:rsidRPr="00EC20A0">
        <w:rPr>
          <w:spacing w:val="-4"/>
        </w:rPr>
        <w:t xml:space="preserve"> </w:t>
      </w:r>
      <w:r w:rsidRPr="00EC20A0">
        <w:t>in</w:t>
      </w:r>
      <w:r w:rsidRPr="00EC20A0">
        <w:rPr>
          <w:spacing w:val="-4"/>
        </w:rPr>
        <w:t xml:space="preserve"> </w:t>
      </w:r>
      <w:r w:rsidRPr="00EC20A0">
        <w:t>large</w:t>
      </w:r>
      <w:r w:rsidRPr="00EC20A0">
        <w:rPr>
          <w:spacing w:val="-5"/>
        </w:rPr>
        <w:t xml:space="preserve"> </w:t>
      </w:r>
      <w:r w:rsidRPr="00EC20A0">
        <w:t>measure</w:t>
      </w:r>
      <w:r w:rsidRPr="00EC20A0">
        <w:rPr>
          <w:spacing w:val="-4"/>
        </w:rPr>
        <w:t xml:space="preserve"> </w:t>
      </w:r>
      <w:r w:rsidRPr="00EC20A0">
        <w:t>to</w:t>
      </w:r>
      <w:r w:rsidRPr="00EC20A0">
        <w:rPr>
          <w:spacing w:val="-4"/>
        </w:rPr>
        <w:t xml:space="preserve"> </w:t>
      </w:r>
      <w:r w:rsidRPr="00EC20A0">
        <w:t>engage</w:t>
      </w:r>
      <w:r w:rsidRPr="00EC20A0">
        <w:rPr>
          <w:spacing w:val="-4"/>
        </w:rPr>
        <w:t xml:space="preserve"> </w:t>
      </w:r>
      <w:r w:rsidRPr="00EC20A0">
        <w:t>in fraudulent financial reporting or conceal misappropriation of assets.</w:t>
      </w:r>
    </w:p>
    <w:p w14:paraId="24D6196B" w14:textId="77777777" w:rsidR="00245300" w:rsidRPr="00EC20A0" w:rsidRDefault="00F17249">
      <w:pPr>
        <w:pStyle w:val="ListParagraph"/>
        <w:numPr>
          <w:ilvl w:val="0"/>
          <w:numId w:val="5"/>
        </w:numPr>
        <w:tabs>
          <w:tab w:val="left" w:pos="1640"/>
        </w:tabs>
        <w:spacing w:before="239"/>
        <w:ind w:left="1640" w:right="539"/>
      </w:pPr>
      <w:r w:rsidRPr="00EC20A0">
        <w:t xml:space="preserve">The auditor should inspect the following for indications of the existence of </w:t>
      </w:r>
      <w:r w:rsidRPr="00EC20A0">
        <w:t>relationships</w:t>
      </w:r>
      <w:r w:rsidRPr="00EC20A0">
        <w:rPr>
          <w:spacing w:val="-4"/>
        </w:rPr>
        <w:t xml:space="preserve"> </w:t>
      </w:r>
      <w:r w:rsidRPr="00EC20A0">
        <w:t>or</w:t>
      </w:r>
      <w:r w:rsidRPr="00EC20A0">
        <w:rPr>
          <w:spacing w:val="-4"/>
        </w:rPr>
        <w:t xml:space="preserve"> </w:t>
      </w:r>
      <w:r w:rsidRPr="00EC20A0">
        <w:t>transactions</w:t>
      </w:r>
      <w:r w:rsidRPr="00EC20A0">
        <w:rPr>
          <w:spacing w:val="-4"/>
        </w:rPr>
        <w:t xml:space="preserve"> </w:t>
      </w:r>
      <w:r w:rsidRPr="00EC20A0">
        <w:t>with</w:t>
      </w:r>
      <w:r w:rsidRPr="00EC20A0">
        <w:rPr>
          <w:spacing w:val="-4"/>
        </w:rPr>
        <w:t xml:space="preserve"> </w:t>
      </w:r>
      <w:r w:rsidRPr="00EC20A0">
        <w:t>disclosure</w:t>
      </w:r>
      <w:r w:rsidRPr="00EC20A0">
        <w:rPr>
          <w:spacing w:val="-4"/>
        </w:rPr>
        <w:t xml:space="preserve"> </w:t>
      </w:r>
      <w:r w:rsidRPr="00EC20A0">
        <w:t>entities,</w:t>
      </w:r>
      <w:r w:rsidRPr="00EC20A0">
        <w:rPr>
          <w:spacing w:val="-4"/>
        </w:rPr>
        <w:t xml:space="preserve"> </w:t>
      </w:r>
      <w:r w:rsidRPr="00EC20A0">
        <w:t>related</w:t>
      </w:r>
      <w:r w:rsidRPr="00EC20A0">
        <w:rPr>
          <w:spacing w:val="-5"/>
        </w:rPr>
        <w:t xml:space="preserve"> </w:t>
      </w:r>
      <w:r w:rsidRPr="00EC20A0">
        <w:t>parties,</w:t>
      </w:r>
      <w:r w:rsidRPr="00EC20A0">
        <w:rPr>
          <w:spacing w:val="-4"/>
        </w:rPr>
        <w:t xml:space="preserve"> </w:t>
      </w:r>
      <w:r w:rsidRPr="00EC20A0">
        <w:t>and</w:t>
      </w:r>
      <w:r w:rsidRPr="00EC20A0">
        <w:rPr>
          <w:spacing w:val="-5"/>
        </w:rPr>
        <w:t xml:space="preserve"> </w:t>
      </w:r>
      <w:r w:rsidRPr="00EC20A0">
        <w:t>public- private</w:t>
      </w:r>
      <w:r w:rsidRPr="00EC20A0">
        <w:rPr>
          <w:spacing w:val="-4"/>
        </w:rPr>
        <w:t xml:space="preserve"> </w:t>
      </w:r>
      <w:r w:rsidRPr="00EC20A0">
        <w:t>partnerships</w:t>
      </w:r>
      <w:r w:rsidRPr="00EC20A0">
        <w:rPr>
          <w:spacing w:val="-4"/>
        </w:rPr>
        <w:t xml:space="preserve"> </w:t>
      </w:r>
      <w:r w:rsidRPr="00EC20A0">
        <w:t>that</w:t>
      </w:r>
      <w:r w:rsidRPr="00EC20A0">
        <w:rPr>
          <w:spacing w:val="-5"/>
        </w:rPr>
        <w:t xml:space="preserve"> </w:t>
      </w:r>
      <w:r w:rsidRPr="00EC20A0">
        <w:t>management</w:t>
      </w:r>
      <w:r w:rsidRPr="00EC20A0">
        <w:rPr>
          <w:spacing w:val="-4"/>
        </w:rPr>
        <w:t xml:space="preserve"> </w:t>
      </w:r>
      <w:r w:rsidRPr="00EC20A0">
        <w:t>has</w:t>
      </w:r>
      <w:r w:rsidRPr="00EC20A0">
        <w:rPr>
          <w:spacing w:val="-4"/>
        </w:rPr>
        <w:t xml:space="preserve"> </w:t>
      </w:r>
      <w:r w:rsidRPr="00EC20A0">
        <w:t>not</w:t>
      </w:r>
      <w:r w:rsidRPr="00EC20A0">
        <w:rPr>
          <w:spacing w:val="-4"/>
        </w:rPr>
        <w:t xml:space="preserve"> </w:t>
      </w:r>
      <w:r w:rsidRPr="00EC20A0">
        <w:t>previously</w:t>
      </w:r>
      <w:r w:rsidRPr="00EC20A0">
        <w:rPr>
          <w:spacing w:val="-4"/>
        </w:rPr>
        <w:t xml:space="preserve"> </w:t>
      </w:r>
      <w:r w:rsidRPr="00EC20A0">
        <w:t>identified</w:t>
      </w:r>
      <w:r w:rsidRPr="00EC20A0">
        <w:rPr>
          <w:spacing w:val="-4"/>
        </w:rPr>
        <w:t xml:space="preserve"> </w:t>
      </w:r>
      <w:r w:rsidRPr="00EC20A0">
        <w:t>or</w:t>
      </w:r>
      <w:r w:rsidRPr="00EC20A0">
        <w:rPr>
          <w:spacing w:val="-4"/>
        </w:rPr>
        <w:t xml:space="preserve"> </w:t>
      </w:r>
      <w:r w:rsidRPr="00EC20A0">
        <w:t>disclosed to the auditor (AU-C 550.17):</w:t>
      </w:r>
    </w:p>
    <w:p w14:paraId="24D6196C" w14:textId="77777777" w:rsidR="00245300" w:rsidRPr="00EC20A0" w:rsidRDefault="00F17249">
      <w:pPr>
        <w:pStyle w:val="ListParagraph"/>
        <w:numPr>
          <w:ilvl w:val="1"/>
          <w:numId w:val="5"/>
        </w:numPr>
        <w:tabs>
          <w:tab w:val="left" w:pos="2000"/>
        </w:tabs>
        <w:spacing w:before="239"/>
      </w:pPr>
      <w:r w:rsidRPr="00EC20A0">
        <w:t>bank</w:t>
      </w:r>
      <w:r w:rsidRPr="00EC20A0">
        <w:rPr>
          <w:spacing w:val="-6"/>
        </w:rPr>
        <w:t xml:space="preserve"> </w:t>
      </w:r>
      <w:r w:rsidRPr="00EC20A0">
        <w:t>and</w:t>
      </w:r>
      <w:r w:rsidRPr="00EC20A0">
        <w:rPr>
          <w:spacing w:val="-6"/>
        </w:rPr>
        <w:t xml:space="preserve"> </w:t>
      </w:r>
      <w:r w:rsidRPr="00EC20A0">
        <w:t>legal</w:t>
      </w:r>
      <w:r w:rsidRPr="00EC20A0">
        <w:rPr>
          <w:spacing w:val="-6"/>
        </w:rPr>
        <w:t xml:space="preserve"> </w:t>
      </w:r>
      <w:r w:rsidRPr="00EC20A0">
        <w:t>confirmations</w:t>
      </w:r>
      <w:r w:rsidRPr="00EC20A0">
        <w:rPr>
          <w:spacing w:val="-6"/>
        </w:rPr>
        <w:t xml:space="preserve"> </w:t>
      </w:r>
      <w:r w:rsidRPr="00EC20A0">
        <w:t>obtained</w:t>
      </w:r>
      <w:r w:rsidRPr="00EC20A0">
        <w:rPr>
          <w:spacing w:val="-6"/>
        </w:rPr>
        <w:t xml:space="preserve"> </w:t>
      </w:r>
      <w:r w:rsidRPr="00EC20A0">
        <w:t>as</w:t>
      </w:r>
      <w:r w:rsidRPr="00EC20A0">
        <w:rPr>
          <w:spacing w:val="-5"/>
        </w:rPr>
        <w:t xml:space="preserve"> </w:t>
      </w:r>
      <w:r w:rsidRPr="00EC20A0">
        <w:t>part</w:t>
      </w:r>
      <w:r w:rsidRPr="00EC20A0">
        <w:rPr>
          <w:spacing w:val="-6"/>
        </w:rPr>
        <w:t xml:space="preserve"> </w:t>
      </w:r>
      <w:r w:rsidRPr="00EC20A0">
        <w:t>of</w:t>
      </w:r>
      <w:r w:rsidRPr="00EC20A0">
        <w:rPr>
          <w:spacing w:val="-7"/>
        </w:rPr>
        <w:t xml:space="preserve"> </w:t>
      </w:r>
      <w:r w:rsidRPr="00EC20A0">
        <w:t>the</w:t>
      </w:r>
      <w:r w:rsidRPr="00EC20A0">
        <w:rPr>
          <w:spacing w:val="-6"/>
        </w:rPr>
        <w:t xml:space="preserve"> </w:t>
      </w:r>
      <w:r w:rsidRPr="00EC20A0">
        <w:t>auditor’s</w:t>
      </w:r>
      <w:r w:rsidRPr="00EC20A0">
        <w:rPr>
          <w:spacing w:val="-5"/>
        </w:rPr>
        <w:t xml:space="preserve"> </w:t>
      </w:r>
      <w:r w:rsidRPr="00EC20A0">
        <w:rPr>
          <w:spacing w:val="-2"/>
        </w:rPr>
        <w:t>procedures,</w:t>
      </w:r>
    </w:p>
    <w:p w14:paraId="24D6196D" w14:textId="77777777" w:rsidR="00245300" w:rsidRPr="00EC20A0" w:rsidRDefault="00F17249">
      <w:pPr>
        <w:pStyle w:val="ListParagraph"/>
        <w:numPr>
          <w:ilvl w:val="1"/>
          <w:numId w:val="5"/>
        </w:numPr>
        <w:tabs>
          <w:tab w:val="left" w:pos="2000"/>
        </w:tabs>
        <w:spacing w:before="238"/>
        <w:ind w:right="742"/>
        <w:jc w:val="both"/>
      </w:pPr>
      <w:r w:rsidRPr="00EC20A0">
        <w:t>minutes</w:t>
      </w:r>
      <w:r w:rsidRPr="00EC20A0">
        <w:rPr>
          <w:spacing w:val="-3"/>
        </w:rPr>
        <w:t xml:space="preserve"> </w:t>
      </w:r>
      <w:r w:rsidRPr="00EC20A0">
        <w:t>of</w:t>
      </w:r>
      <w:r w:rsidRPr="00EC20A0">
        <w:rPr>
          <w:spacing w:val="-3"/>
        </w:rPr>
        <w:t xml:space="preserve"> </w:t>
      </w:r>
      <w:r w:rsidRPr="00EC20A0">
        <w:t>meetings</w:t>
      </w:r>
      <w:r w:rsidRPr="00EC20A0">
        <w:rPr>
          <w:spacing w:val="-3"/>
        </w:rPr>
        <w:t xml:space="preserve"> </w:t>
      </w:r>
      <w:r w:rsidRPr="00EC20A0">
        <w:t>of</w:t>
      </w:r>
      <w:r w:rsidRPr="00EC20A0">
        <w:rPr>
          <w:spacing w:val="-3"/>
        </w:rPr>
        <w:t xml:space="preserve"> </w:t>
      </w:r>
      <w:r w:rsidRPr="00EC20A0">
        <w:t>those</w:t>
      </w:r>
      <w:r w:rsidRPr="00EC20A0">
        <w:rPr>
          <w:spacing w:val="-3"/>
        </w:rPr>
        <w:t xml:space="preserve"> </w:t>
      </w:r>
      <w:r w:rsidRPr="00EC20A0">
        <w:t>charged</w:t>
      </w:r>
      <w:r w:rsidRPr="00EC20A0">
        <w:rPr>
          <w:spacing w:val="-3"/>
        </w:rPr>
        <w:t xml:space="preserve"> </w:t>
      </w:r>
      <w:r w:rsidRPr="00EC20A0">
        <w:t>with</w:t>
      </w:r>
      <w:r w:rsidRPr="00EC20A0">
        <w:rPr>
          <w:spacing w:val="-3"/>
        </w:rPr>
        <w:t xml:space="preserve"> </w:t>
      </w:r>
      <w:r w:rsidRPr="00EC20A0">
        <w:t>governance</w:t>
      </w:r>
      <w:r w:rsidRPr="00EC20A0">
        <w:rPr>
          <w:spacing w:val="-3"/>
        </w:rPr>
        <w:t xml:space="preserve"> </w:t>
      </w:r>
      <w:r w:rsidRPr="00EC20A0">
        <w:t>and</w:t>
      </w:r>
      <w:r w:rsidRPr="00EC20A0">
        <w:rPr>
          <w:spacing w:val="-4"/>
        </w:rPr>
        <w:t xml:space="preserve"> </w:t>
      </w:r>
      <w:r w:rsidRPr="00EC20A0">
        <w:t>summaries</w:t>
      </w:r>
      <w:r w:rsidRPr="00EC20A0">
        <w:rPr>
          <w:spacing w:val="-3"/>
        </w:rPr>
        <w:t xml:space="preserve"> </w:t>
      </w:r>
      <w:r w:rsidRPr="00EC20A0">
        <w:t>of actions</w:t>
      </w:r>
      <w:r w:rsidRPr="00EC20A0">
        <w:rPr>
          <w:spacing w:val="-4"/>
        </w:rPr>
        <w:t xml:space="preserve"> </w:t>
      </w:r>
      <w:r w:rsidRPr="00EC20A0">
        <w:t>of</w:t>
      </w:r>
      <w:r w:rsidRPr="00EC20A0">
        <w:rPr>
          <w:spacing w:val="-4"/>
        </w:rPr>
        <w:t xml:space="preserve"> </w:t>
      </w:r>
      <w:r w:rsidRPr="00EC20A0">
        <w:t>recent</w:t>
      </w:r>
      <w:r w:rsidRPr="00EC20A0">
        <w:rPr>
          <w:spacing w:val="-4"/>
        </w:rPr>
        <w:t xml:space="preserve"> </w:t>
      </w:r>
      <w:r w:rsidRPr="00EC20A0">
        <w:t>meetings</w:t>
      </w:r>
      <w:r w:rsidRPr="00EC20A0">
        <w:rPr>
          <w:spacing w:val="-4"/>
        </w:rPr>
        <w:t xml:space="preserve"> </w:t>
      </w:r>
      <w:r w:rsidRPr="00EC20A0">
        <w:t>for</w:t>
      </w:r>
      <w:r w:rsidRPr="00EC20A0">
        <w:rPr>
          <w:spacing w:val="-4"/>
        </w:rPr>
        <w:t xml:space="preserve"> </w:t>
      </w:r>
      <w:r w:rsidRPr="00EC20A0">
        <w:t>which</w:t>
      </w:r>
      <w:r w:rsidRPr="00EC20A0">
        <w:rPr>
          <w:spacing w:val="-5"/>
        </w:rPr>
        <w:t xml:space="preserve"> </w:t>
      </w:r>
      <w:r w:rsidRPr="00EC20A0">
        <w:t>minutes</w:t>
      </w:r>
      <w:r w:rsidRPr="00EC20A0">
        <w:rPr>
          <w:spacing w:val="-4"/>
        </w:rPr>
        <w:t xml:space="preserve"> </w:t>
      </w:r>
      <w:r w:rsidRPr="00EC20A0">
        <w:t>have</w:t>
      </w:r>
      <w:r w:rsidRPr="00EC20A0">
        <w:rPr>
          <w:spacing w:val="-4"/>
        </w:rPr>
        <w:t xml:space="preserve"> </w:t>
      </w:r>
      <w:r w:rsidRPr="00EC20A0">
        <w:t>not</w:t>
      </w:r>
      <w:r w:rsidRPr="00EC20A0">
        <w:rPr>
          <w:spacing w:val="-4"/>
        </w:rPr>
        <w:t xml:space="preserve"> </w:t>
      </w:r>
      <w:r w:rsidRPr="00EC20A0">
        <w:t>yet</w:t>
      </w:r>
      <w:r w:rsidRPr="00EC20A0">
        <w:rPr>
          <w:spacing w:val="-4"/>
        </w:rPr>
        <w:t xml:space="preserve"> </w:t>
      </w:r>
      <w:r w:rsidRPr="00EC20A0">
        <w:t>been</w:t>
      </w:r>
      <w:r w:rsidRPr="00EC20A0">
        <w:rPr>
          <w:spacing w:val="-4"/>
        </w:rPr>
        <w:t xml:space="preserve"> </w:t>
      </w:r>
      <w:r w:rsidRPr="00EC20A0">
        <w:t xml:space="preserve">prepared, </w:t>
      </w:r>
      <w:r w:rsidRPr="00EC20A0">
        <w:rPr>
          <w:spacing w:val="-4"/>
        </w:rPr>
        <w:t>and</w:t>
      </w:r>
    </w:p>
    <w:p w14:paraId="24D6196E" w14:textId="77777777" w:rsidR="00245300" w:rsidRPr="00EC20A0" w:rsidRDefault="00F17249">
      <w:pPr>
        <w:pStyle w:val="ListParagraph"/>
        <w:numPr>
          <w:ilvl w:val="1"/>
          <w:numId w:val="5"/>
        </w:numPr>
        <w:tabs>
          <w:tab w:val="left" w:pos="2000"/>
        </w:tabs>
        <w:spacing w:before="238"/>
      </w:pPr>
      <w:r w:rsidRPr="00EC20A0">
        <w:t>other</w:t>
      </w:r>
      <w:r w:rsidRPr="00EC20A0">
        <w:rPr>
          <w:spacing w:val="-8"/>
        </w:rPr>
        <w:t xml:space="preserve"> </w:t>
      </w:r>
      <w:r w:rsidRPr="00EC20A0">
        <w:t>records</w:t>
      </w:r>
      <w:r w:rsidRPr="00EC20A0">
        <w:rPr>
          <w:spacing w:val="-7"/>
        </w:rPr>
        <w:t xml:space="preserve"> </w:t>
      </w:r>
      <w:r w:rsidRPr="00EC20A0">
        <w:t>or</w:t>
      </w:r>
      <w:r w:rsidRPr="00EC20A0">
        <w:rPr>
          <w:spacing w:val="-7"/>
        </w:rPr>
        <w:t xml:space="preserve"> </w:t>
      </w:r>
      <w:r w:rsidRPr="00EC20A0">
        <w:t>documents</w:t>
      </w:r>
      <w:r w:rsidRPr="00EC20A0">
        <w:rPr>
          <w:spacing w:val="-7"/>
        </w:rPr>
        <w:t xml:space="preserve"> </w:t>
      </w:r>
      <w:r w:rsidRPr="00EC20A0">
        <w:t>considered</w:t>
      </w:r>
      <w:r w:rsidRPr="00EC20A0">
        <w:rPr>
          <w:spacing w:val="-8"/>
        </w:rPr>
        <w:t xml:space="preserve"> </w:t>
      </w:r>
      <w:r w:rsidRPr="00EC20A0">
        <w:t>necessary</w:t>
      </w:r>
      <w:r w:rsidRPr="00EC20A0">
        <w:rPr>
          <w:spacing w:val="-7"/>
        </w:rPr>
        <w:t xml:space="preserve"> </w:t>
      </w:r>
      <w:r w:rsidRPr="00EC20A0">
        <w:t>in</w:t>
      </w:r>
      <w:r w:rsidRPr="00EC20A0">
        <w:rPr>
          <w:spacing w:val="-7"/>
        </w:rPr>
        <w:t xml:space="preserve"> </w:t>
      </w:r>
      <w:r w:rsidRPr="00EC20A0">
        <w:t>the</w:t>
      </w:r>
      <w:r w:rsidRPr="00EC20A0">
        <w:rPr>
          <w:spacing w:val="-7"/>
        </w:rPr>
        <w:t xml:space="preserve"> </w:t>
      </w:r>
      <w:r w:rsidRPr="00EC20A0">
        <w:rPr>
          <w:spacing w:val="-2"/>
        </w:rPr>
        <w:t>circumstances.</w:t>
      </w:r>
    </w:p>
    <w:p w14:paraId="24D6196F" w14:textId="77777777" w:rsidR="00245300" w:rsidRPr="00EC20A0" w:rsidRDefault="00F17249">
      <w:pPr>
        <w:pStyle w:val="ListParagraph"/>
        <w:numPr>
          <w:ilvl w:val="0"/>
          <w:numId w:val="5"/>
        </w:numPr>
        <w:tabs>
          <w:tab w:val="left" w:pos="1640"/>
        </w:tabs>
        <w:spacing w:before="239"/>
        <w:ind w:left="1640" w:right="690"/>
      </w:pPr>
      <w:r w:rsidRPr="00EC20A0">
        <w:t xml:space="preserve">If the auditor </w:t>
      </w:r>
      <w:r w:rsidRPr="00EC20A0">
        <w:t>identifies significant unusual transactions (i.e., those outside the entity’s</w:t>
      </w:r>
      <w:r w:rsidRPr="00EC20A0">
        <w:rPr>
          <w:spacing w:val="-5"/>
        </w:rPr>
        <w:t xml:space="preserve"> </w:t>
      </w:r>
      <w:r w:rsidRPr="00EC20A0">
        <w:t>normal</w:t>
      </w:r>
      <w:r w:rsidRPr="00EC20A0">
        <w:rPr>
          <w:spacing w:val="-4"/>
        </w:rPr>
        <w:t xml:space="preserve"> </w:t>
      </w:r>
      <w:r w:rsidRPr="00EC20A0">
        <w:t>course</w:t>
      </w:r>
      <w:r w:rsidRPr="00EC20A0">
        <w:rPr>
          <w:spacing w:val="-4"/>
        </w:rPr>
        <w:t xml:space="preserve"> </w:t>
      </w:r>
      <w:r w:rsidRPr="00EC20A0">
        <w:t>of</w:t>
      </w:r>
      <w:r w:rsidRPr="00EC20A0">
        <w:rPr>
          <w:spacing w:val="-4"/>
        </w:rPr>
        <w:t xml:space="preserve"> </w:t>
      </w:r>
      <w:r w:rsidRPr="00EC20A0">
        <w:t>business),</w:t>
      </w:r>
      <w:r w:rsidRPr="00EC20A0">
        <w:rPr>
          <w:spacing w:val="-4"/>
        </w:rPr>
        <w:t xml:space="preserve"> </w:t>
      </w: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inquire</w:t>
      </w:r>
      <w:r w:rsidRPr="00EC20A0">
        <w:rPr>
          <w:spacing w:val="-4"/>
        </w:rPr>
        <w:t xml:space="preserve"> </w:t>
      </w:r>
      <w:r w:rsidRPr="00EC20A0">
        <w:t>of</w:t>
      </w:r>
      <w:r w:rsidRPr="00EC20A0">
        <w:rPr>
          <w:spacing w:val="-4"/>
        </w:rPr>
        <w:t xml:space="preserve"> </w:t>
      </w:r>
      <w:r w:rsidRPr="00EC20A0">
        <w:t>management about the following (AU-C 550.18):</w:t>
      </w:r>
    </w:p>
    <w:p w14:paraId="24D61970" w14:textId="77777777" w:rsidR="00245300" w:rsidRPr="00EC20A0" w:rsidRDefault="00F17249">
      <w:pPr>
        <w:pStyle w:val="ListParagraph"/>
        <w:numPr>
          <w:ilvl w:val="1"/>
          <w:numId w:val="5"/>
        </w:numPr>
        <w:tabs>
          <w:tab w:val="left" w:pos="2000"/>
        </w:tabs>
      </w:pPr>
      <w:r w:rsidRPr="00EC20A0">
        <w:t>the</w:t>
      </w:r>
      <w:r w:rsidRPr="00EC20A0">
        <w:rPr>
          <w:spacing w:val="-7"/>
        </w:rPr>
        <w:t xml:space="preserve"> </w:t>
      </w:r>
      <w:r w:rsidRPr="00EC20A0">
        <w:t>nature</w:t>
      </w:r>
      <w:r w:rsidRPr="00EC20A0">
        <w:rPr>
          <w:spacing w:val="-6"/>
        </w:rPr>
        <w:t xml:space="preserve"> </w:t>
      </w:r>
      <w:r w:rsidRPr="00EC20A0">
        <w:t>of</w:t>
      </w:r>
      <w:r w:rsidRPr="00EC20A0">
        <w:rPr>
          <w:spacing w:val="-6"/>
        </w:rPr>
        <w:t xml:space="preserve"> </w:t>
      </w:r>
      <w:r w:rsidRPr="00EC20A0">
        <w:t>these</w:t>
      </w:r>
      <w:r w:rsidRPr="00EC20A0">
        <w:rPr>
          <w:spacing w:val="-6"/>
        </w:rPr>
        <w:t xml:space="preserve"> </w:t>
      </w:r>
      <w:r w:rsidRPr="00EC20A0">
        <w:t>transactions</w:t>
      </w:r>
      <w:r w:rsidRPr="00EC20A0">
        <w:rPr>
          <w:spacing w:val="-6"/>
        </w:rPr>
        <w:t xml:space="preserve"> </w:t>
      </w:r>
      <w:r w:rsidRPr="00EC20A0">
        <w:rPr>
          <w:spacing w:val="-5"/>
        </w:rPr>
        <w:t>and</w:t>
      </w:r>
    </w:p>
    <w:p w14:paraId="24D61971" w14:textId="77777777" w:rsidR="00245300" w:rsidRPr="00EC20A0" w:rsidRDefault="00F17249">
      <w:pPr>
        <w:pStyle w:val="ListParagraph"/>
        <w:numPr>
          <w:ilvl w:val="1"/>
          <w:numId w:val="5"/>
        </w:numPr>
        <w:tabs>
          <w:tab w:val="left" w:pos="1998"/>
          <w:tab w:val="left" w:pos="2000"/>
        </w:tabs>
        <w:spacing w:before="238"/>
        <w:ind w:right="831" w:hanging="361"/>
        <w:jc w:val="both"/>
      </w:pPr>
      <w:r w:rsidRPr="00EC20A0">
        <w:t>whether</w:t>
      </w:r>
      <w:r w:rsidRPr="00EC20A0">
        <w:rPr>
          <w:spacing w:val="-6"/>
        </w:rPr>
        <w:t xml:space="preserve"> </w:t>
      </w:r>
      <w:r w:rsidRPr="00EC20A0">
        <w:t>disclosure</w:t>
      </w:r>
      <w:r w:rsidRPr="00EC20A0">
        <w:rPr>
          <w:spacing w:val="-6"/>
        </w:rPr>
        <w:t xml:space="preserve"> </w:t>
      </w:r>
      <w:r w:rsidRPr="00EC20A0">
        <w:t>entities,</w:t>
      </w:r>
      <w:r w:rsidRPr="00EC20A0">
        <w:rPr>
          <w:spacing w:val="-6"/>
        </w:rPr>
        <w:t xml:space="preserve"> </w:t>
      </w:r>
      <w:r w:rsidRPr="00EC20A0">
        <w:t>related</w:t>
      </w:r>
      <w:r w:rsidRPr="00EC20A0">
        <w:rPr>
          <w:spacing w:val="-6"/>
        </w:rPr>
        <w:t xml:space="preserve"> </w:t>
      </w:r>
      <w:r w:rsidRPr="00EC20A0">
        <w:t>parties,</w:t>
      </w:r>
      <w:r w:rsidRPr="00EC20A0">
        <w:rPr>
          <w:spacing w:val="-6"/>
        </w:rPr>
        <w:t xml:space="preserve"> </w:t>
      </w:r>
      <w:r w:rsidRPr="00EC20A0">
        <w:t>or</w:t>
      </w:r>
      <w:r w:rsidRPr="00EC20A0">
        <w:rPr>
          <w:spacing w:val="-6"/>
        </w:rPr>
        <w:t xml:space="preserve"> </w:t>
      </w:r>
      <w:r w:rsidRPr="00EC20A0">
        <w:t>public-private</w:t>
      </w:r>
      <w:r w:rsidRPr="00EC20A0">
        <w:rPr>
          <w:spacing w:val="-6"/>
        </w:rPr>
        <w:t xml:space="preserve"> </w:t>
      </w:r>
      <w:r w:rsidRPr="00EC20A0">
        <w:t>partnerships could be involved.</w:t>
      </w:r>
    </w:p>
    <w:p w14:paraId="24D61972" w14:textId="77777777" w:rsidR="00245300" w:rsidRPr="00EC20A0" w:rsidRDefault="00F17249">
      <w:pPr>
        <w:pStyle w:val="BodyText"/>
        <w:spacing w:before="239"/>
        <w:ind w:left="1640" w:right="371"/>
      </w:pPr>
      <w:r w:rsidRPr="00EC20A0">
        <w:t>Further,</w:t>
      </w:r>
      <w:r w:rsidRPr="00EC20A0">
        <w:rPr>
          <w:spacing w:val="-4"/>
        </w:rPr>
        <w:t xml:space="preserve"> </w:t>
      </w:r>
      <w:r w:rsidRPr="00EC20A0">
        <w:t>if</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identifies</w:t>
      </w:r>
      <w:r w:rsidRPr="00EC20A0">
        <w:rPr>
          <w:spacing w:val="-4"/>
        </w:rPr>
        <w:t xml:space="preserve"> </w:t>
      </w:r>
      <w:r w:rsidRPr="00EC20A0">
        <w:t>fraud</w:t>
      </w:r>
      <w:r w:rsidRPr="00EC20A0">
        <w:rPr>
          <w:spacing w:val="-5"/>
        </w:rPr>
        <w:t xml:space="preserve"> </w:t>
      </w:r>
      <w:r w:rsidRPr="00EC20A0">
        <w:t>risk</w:t>
      </w:r>
      <w:r w:rsidRPr="00EC20A0">
        <w:rPr>
          <w:spacing w:val="-4"/>
        </w:rPr>
        <w:t xml:space="preserve"> </w:t>
      </w:r>
      <w:r w:rsidRPr="00EC20A0">
        <w:t>factors</w:t>
      </w:r>
      <w:r w:rsidRPr="00EC20A0">
        <w:rPr>
          <w:spacing w:val="-4"/>
        </w:rPr>
        <w:t xml:space="preserve"> </w:t>
      </w:r>
      <w:r w:rsidRPr="00EC20A0">
        <w:t>(including</w:t>
      </w:r>
      <w:r w:rsidRPr="00EC20A0">
        <w:rPr>
          <w:spacing w:val="-5"/>
        </w:rPr>
        <w:t xml:space="preserve"> </w:t>
      </w:r>
      <w:r w:rsidRPr="00EC20A0">
        <w:t>circumstances</w:t>
      </w:r>
      <w:r w:rsidRPr="00EC20A0">
        <w:rPr>
          <w:spacing w:val="-5"/>
        </w:rPr>
        <w:t xml:space="preserve"> </w:t>
      </w:r>
      <w:r w:rsidRPr="00EC20A0">
        <w:t>relating to the existence of a disclosure entity, related party, or public-private partnership with dominant influence) when performing the risk assessment procedures in FAM 265 and related activities in connection with such entities, the auditor</w:t>
      </w:r>
      <w:r w:rsidRPr="00EC20A0">
        <w:rPr>
          <w:spacing w:val="40"/>
        </w:rPr>
        <w:t xml:space="preserve"> </w:t>
      </w:r>
      <w:r w:rsidRPr="00EC20A0">
        <w:t>should consider such information when identifying and assessing the risks of material misstatement due to fraud (AU-C 550.21).</w:t>
      </w:r>
    </w:p>
    <w:p w14:paraId="24D61973" w14:textId="77777777" w:rsidR="00245300" w:rsidRPr="00EC20A0" w:rsidRDefault="00245300">
      <w:pPr>
        <w:sectPr w:rsidR="00245300" w:rsidRPr="00EC20A0">
          <w:pgSz w:w="12240" w:h="15840"/>
          <w:pgMar w:top="1340" w:right="1100" w:bottom="940" w:left="1240" w:header="721" w:footer="757" w:gutter="0"/>
          <w:cols w:space="720"/>
        </w:sectPr>
      </w:pPr>
    </w:p>
    <w:p w14:paraId="24D61974" w14:textId="77777777" w:rsidR="00245300" w:rsidRPr="00EC20A0" w:rsidRDefault="00F17249">
      <w:pPr>
        <w:pStyle w:val="ListParagraph"/>
        <w:numPr>
          <w:ilvl w:val="0"/>
          <w:numId w:val="5"/>
        </w:numPr>
        <w:tabs>
          <w:tab w:val="left" w:pos="1640"/>
        </w:tabs>
        <w:spacing w:before="121"/>
        <w:ind w:left="1640" w:right="345"/>
      </w:pPr>
      <w:r w:rsidRPr="00EC20A0">
        <w:t>The auditor should design and perform further audit procedures to obtain sufficient appropriate audit evidence about the risks of material misstatement associated with relationships and transactions with disclosure entities, related parties, and public-private partnerships. The auditor should evaluate whether the entity has properly identified these relationships and transactions. Evaluating whether an entity has properly identified these relationships and transactions involves more than assessing the entit</w:t>
      </w:r>
      <w:r w:rsidRPr="00EC20A0">
        <w:t>y’s process. The evaluation should include procedures to test the accuracy and completeness of the relationships and transactions</w:t>
      </w:r>
      <w:r w:rsidRPr="00EC20A0">
        <w:rPr>
          <w:spacing w:val="-5"/>
        </w:rPr>
        <w:t xml:space="preserve"> </w:t>
      </w:r>
      <w:r w:rsidRPr="00EC20A0">
        <w:t>that</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identified,</w:t>
      </w:r>
      <w:r w:rsidRPr="00EC20A0">
        <w:rPr>
          <w:spacing w:val="-5"/>
        </w:rPr>
        <w:t xml:space="preserve"> </w:t>
      </w:r>
      <w:r w:rsidRPr="00EC20A0">
        <w:t>taking</w:t>
      </w:r>
      <w:r w:rsidRPr="00EC20A0">
        <w:rPr>
          <w:spacing w:val="-4"/>
        </w:rPr>
        <w:t xml:space="preserve"> </w:t>
      </w:r>
      <w:r w:rsidRPr="00EC20A0">
        <w:t>into</w:t>
      </w:r>
      <w:r w:rsidRPr="00EC20A0">
        <w:rPr>
          <w:spacing w:val="-5"/>
        </w:rPr>
        <w:t xml:space="preserve"> </w:t>
      </w:r>
      <w:r w:rsidRPr="00EC20A0">
        <w:t>account</w:t>
      </w:r>
      <w:r w:rsidRPr="00EC20A0">
        <w:rPr>
          <w:spacing w:val="-4"/>
        </w:rPr>
        <w:t xml:space="preserve"> </w:t>
      </w:r>
      <w:r w:rsidRPr="00EC20A0">
        <w:t>the</w:t>
      </w:r>
      <w:r w:rsidRPr="00EC20A0">
        <w:rPr>
          <w:spacing w:val="-5"/>
        </w:rPr>
        <w:t xml:space="preserve"> </w:t>
      </w:r>
      <w:r w:rsidRPr="00EC20A0">
        <w:t>information</w:t>
      </w:r>
      <w:r w:rsidRPr="00EC20A0">
        <w:rPr>
          <w:spacing w:val="-4"/>
        </w:rPr>
        <w:t xml:space="preserve"> </w:t>
      </w:r>
      <w:r w:rsidRPr="00EC20A0">
        <w:t>gathered during the audit. (AU-C 550.22)</w:t>
      </w:r>
    </w:p>
    <w:p w14:paraId="24D61975" w14:textId="77777777" w:rsidR="00245300" w:rsidRPr="00EC20A0" w:rsidRDefault="00F17249">
      <w:pPr>
        <w:pStyle w:val="ListParagraph"/>
        <w:numPr>
          <w:ilvl w:val="0"/>
          <w:numId w:val="5"/>
        </w:numPr>
        <w:tabs>
          <w:tab w:val="left" w:pos="1640"/>
        </w:tabs>
        <w:ind w:left="1640" w:right="517"/>
      </w:pPr>
      <w:r w:rsidRPr="00EC20A0">
        <w:t>The auditor should perform procedures on balances with disclosure entities, related parties, and public-private partnerships as of concurrent dates, even if fiscal years of the respective entities differ. The procedures performed should address</w:t>
      </w:r>
      <w:r w:rsidRPr="00EC20A0">
        <w:rPr>
          <w:spacing w:val="-4"/>
        </w:rPr>
        <w:t xml:space="preserve"> </w:t>
      </w:r>
      <w:r w:rsidRPr="00EC20A0">
        <w:t>the</w:t>
      </w:r>
      <w:r w:rsidRPr="00EC20A0">
        <w:rPr>
          <w:spacing w:val="-5"/>
        </w:rPr>
        <w:t xml:space="preserve"> </w:t>
      </w:r>
      <w:r w:rsidRPr="00EC20A0">
        <w:t>risks</w:t>
      </w:r>
      <w:r w:rsidRPr="00EC20A0">
        <w:rPr>
          <w:spacing w:val="-4"/>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associated</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accounts with these entities. (AU-C 550.23)</w:t>
      </w:r>
    </w:p>
    <w:p w14:paraId="24D61976" w14:textId="77777777" w:rsidR="00245300" w:rsidRPr="00EC20A0" w:rsidRDefault="00F17249">
      <w:pPr>
        <w:pStyle w:val="ListParagraph"/>
        <w:numPr>
          <w:ilvl w:val="0"/>
          <w:numId w:val="5"/>
        </w:numPr>
        <w:tabs>
          <w:tab w:val="left" w:pos="1640"/>
        </w:tabs>
        <w:ind w:left="1640" w:right="397"/>
      </w:pPr>
      <w:r w:rsidRPr="00EC20A0">
        <w:t>If the auditor identifies arrangements or information that suggests the existence of relationships or transactions with disclosure entities, related parties, or public- private partnerships that management has not previously identified or disclosed to the auditor, the auditor should determine whether the underlying circumstances</w:t>
      </w:r>
      <w:r w:rsidRPr="00EC20A0">
        <w:rPr>
          <w:spacing w:val="-5"/>
        </w:rPr>
        <w:t xml:space="preserve"> </w:t>
      </w:r>
      <w:r w:rsidRPr="00EC20A0">
        <w:t>confirm</w:t>
      </w:r>
      <w:r w:rsidRPr="00EC20A0">
        <w:rPr>
          <w:spacing w:val="-6"/>
        </w:rPr>
        <w:t xml:space="preserve"> </w:t>
      </w:r>
      <w:r w:rsidRPr="00EC20A0">
        <w:t>the</w:t>
      </w:r>
      <w:r w:rsidRPr="00EC20A0">
        <w:rPr>
          <w:spacing w:val="-5"/>
        </w:rPr>
        <w:t xml:space="preserve"> </w:t>
      </w:r>
      <w:r w:rsidRPr="00EC20A0">
        <w:t>existence</w:t>
      </w:r>
      <w:r w:rsidRPr="00EC20A0">
        <w:rPr>
          <w:spacing w:val="-5"/>
        </w:rPr>
        <w:t xml:space="preserve"> </w:t>
      </w:r>
      <w:r w:rsidRPr="00EC20A0">
        <w:t>of</w:t>
      </w:r>
      <w:r w:rsidRPr="00EC20A0">
        <w:rPr>
          <w:spacing w:val="-5"/>
        </w:rPr>
        <w:t xml:space="preserve"> </w:t>
      </w:r>
      <w:r w:rsidRPr="00EC20A0">
        <w:t>those</w:t>
      </w:r>
      <w:r w:rsidRPr="00EC20A0">
        <w:rPr>
          <w:spacing w:val="-5"/>
        </w:rPr>
        <w:t xml:space="preserve"> </w:t>
      </w:r>
      <w:r w:rsidRPr="00EC20A0">
        <w:t>relationships</w:t>
      </w:r>
      <w:r w:rsidRPr="00EC20A0">
        <w:rPr>
          <w:spacing w:val="-5"/>
        </w:rPr>
        <w:t xml:space="preserve"> </w:t>
      </w:r>
      <w:r w:rsidRPr="00EC20A0">
        <w:t>or</w:t>
      </w:r>
      <w:r w:rsidRPr="00EC20A0">
        <w:rPr>
          <w:spacing w:val="-5"/>
        </w:rPr>
        <w:t xml:space="preserve"> </w:t>
      </w:r>
      <w:r w:rsidRPr="00EC20A0">
        <w:t>transactions</w:t>
      </w:r>
      <w:r w:rsidRPr="00EC20A0">
        <w:rPr>
          <w:spacing w:val="-5"/>
        </w:rPr>
        <w:t xml:space="preserve"> </w:t>
      </w:r>
      <w:r w:rsidRPr="00EC20A0">
        <w:t xml:space="preserve">(AU-C </w:t>
      </w:r>
      <w:r w:rsidRPr="00EC20A0">
        <w:rPr>
          <w:spacing w:val="-2"/>
        </w:rPr>
        <w:t>550.24).</w:t>
      </w:r>
    </w:p>
    <w:p w14:paraId="24D61977" w14:textId="77777777" w:rsidR="00245300" w:rsidRPr="00EC20A0" w:rsidRDefault="00F17249">
      <w:pPr>
        <w:pStyle w:val="ListParagraph"/>
        <w:numPr>
          <w:ilvl w:val="0"/>
          <w:numId w:val="5"/>
        </w:numPr>
        <w:tabs>
          <w:tab w:val="left" w:pos="1640"/>
        </w:tabs>
        <w:ind w:left="1640" w:right="690"/>
      </w:pPr>
      <w:r w:rsidRPr="00EC20A0">
        <w:t xml:space="preserve">If </w:t>
      </w:r>
      <w:r w:rsidRPr="00EC20A0">
        <w:t>the auditor identifies disclosure entities, related parties, or public-private partnerships or significant transactions with them that management has not previously</w:t>
      </w:r>
      <w:r w:rsidRPr="00EC20A0">
        <w:rPr>
          <w:spacing w:val="-4"/>
        </w:rPr>
        <w:t xml:space="preserve"> </w:t>
      </w:r>
      <w:r w:rsidRPr="00EC20A0">
        <w:t>identified</w:t>
      </w:r>
      <w:r w:rsidRPr="00EC20A0">
        <w:rPr>
          <w:spacing w:val="-4"/>
        </w:rPr>
        <w:t xml:space="preserve"> </w:t>
      </w:r>
      <w:r w:rsidRPr="00EC20A0">
        <w:t>or</w:t>
      </w:r>
      <w:r w:rsidRPr="00EC20A0">
        <w:rPr>
          <w:spacing w:val="-4"/>
        </w:rPr>
        <w:t xml:space="preserve"> </w:t>
      </w:r>
      <w:r w:rsidRPr="00EC20A0">
        <w:t>disclosed</w:t>
      </w:r>
      <w:r w:rsidRPr="00EC20A0">
        <w:rPr>
          <w:spacing w:val="-5"/>
        </w:rPr>
        <w:t xml:space="preserve"> </w:t>
      </w:r>
      <w:r w:rsidRPr="00EC20A0">
        <w:t>to</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perform</w:t>
      </w:r>
      <w:r w:rsidRPr="00EC20A0">
        <w:rPr>
          <w:spacing w:val="-5"/>
        </w:rPr>
        <w:t xml:space="preserve"> </w:t>
      </w:r>
      <w:r w:rsidRPr="00EC20A0">
        <w:t>the following (AU-C 550.25):</w:t>
      </w:r>
    </w:p>
    <w:p w14:paraId="24D61978" w14:textId="77777777" w:rsidR="00245300" w:rsidRPr="00EC20A0" w:rsidRDefault="00F17249">
      <w:pPr>
        <w:pStyle w:val="ListParagraph"/>
        <w:numPr>
          <w:ilvl w:val="0"/>
          <w:numId w:val="96"/>
        </w:numPr>
        <w:tabs>
          <w:tab w:val="left" w:pos="2001"/>
        </w:tabs>
        <w:ind w:right="537"/>
      </w:pPr>
      <w:r w:rsidRPr="00EC20A0">
        <w:t>Promptly</w:t>
      </w:r>
      <w:r w:rsidRPr="00EC20A0">
        <w:rPr>
          <w:spacing w:val="-4"/>
        </w:rPr>
        <w:t xml:space="preserve"> </w:t>
      </w:r>
      <w:r w:rsidRPr="00EC20A0">
        <w:t>communicate</w:t>
      </w:r>
      <w:r w:rsidRPr="00EC20A0">
        <w:rPr>
          <w:spacing w:val="-4"/>
        </w:rPr>
        <w:t xml:space="preserve"> </w:t>
      </w:r>
      <w:r w:rsidRPr="00EC20A0">
        <w:t>the</w:t>
      </w:r>
      <w:r w:rsidRPr="00EC20A0">
        <w:rPr>
          <w:spacing w:val="-4"/>
        </w:rPr>
        <w:t xml:space="preserve"> </w:t>
      </w:r>
      <w:r w:rsidRPr="00EC20A0">
        <w:t>relevant</w:t>
      </w:r>
      <w:r w:rsidRPr="00EC20A0">
        <w:rPr>
          <w:spacing w:val="-4"/>
        </w:rPr>
        <w:t xml:space="preserve"> </w:t>
      </w:r>
      <w:r w:rsidRPr="00EC20A0">
        <w:t>information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other</w:t>
      </w:r>
      <w:r w:rsidRPr="00EC20A0">
        <w:rPr>
          <w:spacing w:val="-6"/>
        </w:rPr>
        <w:t xml:space="preserve"> </w:t>
      </w:r>
      <w:r w:rsidRPr="00EC20A0">
        <w:t>members</w:t>
      </w:r>
      <w:r w:rsidRPr="00EC20A0">
        <w:rPr>
          <w:spacing w:val="-4"/>
        </w:rPr>
        <w:t xml:space="preserve"> </w:t>
      </w:r>
      <w:r w:rsidRPr="00EC20A0">
        <w:t>of</w:t>
      </w:r>
      <w:r w:rsidRPr="00EC20A0">
        <w:rPr>
          <w:spacing w:val="-3"/>
        </w:rPr>
        <w:t xml:space="preserve"> </w:t>
      </w:r>
      <w:r w:rsidRPr="00EC20A0">
        <w:t>the engagement team.</w:t>
      </w:r>
    </w:p>
    <w:p w14:paraId="24D61979" w14:textId="77777777" w:rsidR="00245300" w:rsidRPr="00EC20A0" w:rsidRDefault="00F17249">
      <w:pPr>
        <w:pStyle w:val="ListParagraph"/>
        <w:numPr>
          <w:ilvl w:val="0"/>
          <w:numId w:val="96"/>
        </w:numPr>
        <w:tabs>
          <w:tab w:val="left" w:pos="2001"/>
        </w:tabs>
        <w:ind w:right="633"/>
      </w:pPr>
      <w:r w:rsidRPr="00EC20A0">
        <w:t>Request</w:t>
      </w:r>
      <w:r w:rsidRPr="00EC20A0">
        <w:rPr>
          <w:spacing w:val="-5"/>
        </w:rPr>
        <w:t xml:space="preserve"> </w:t>
      </w:r>
      <w:r w:rsidRPr="00EC20A0">
        <w:t>that</w:t>
      </w:r>
      <w:r w:rsidRPr="00EC20A0">
        <w:rPr>
          <w:spacing w:val="-5"/>
        </w:rPr>
        <w:t xml:space="preserve"> </w:t>
      </w:r>
      <w:r w:rsidRPr="00EC20A0">
        <w:t>management</w:t>
      </w:r>
      <w:r w:rsidRPr="00EC20A0">
        <w:rPr>
          <w:spacing w:val="-5"/>
        </w:rPr>
        <w:t xml:space="preserve"> </w:t>
      </w:r>
      <w:r w:rsidRPr="00EC20A0">
        <w:t>identify</w:t>
      </w:r>
      <w:r w:rsidRPr="00EC20A0">
        <w:rPr>
          <w:spacing w:val="-5"/>
        </w:rPr>
        <w:t xml:space="preserve"> </w:t>
      </w:r>
      <w:r w:rsidRPr="00EC20A0">
        <w:t>all</w:t>
      </w:r>
      <w:r w:rsidRPr="00EC20A0">
        <w:rPr>
          <w:spacing w:val="-6"/>
        </w:rPr>
        <w:t xml:space="preserve"> </w:t>
      </w:r>
      <w:r w:rsidRPr="00EC20A0">
        <w:t>transactions</w:t>
      </w:r>
      <w:r w:rsidRPr="00EC20A0">
        <w:rPr>
          <w:spacing w:val="-5"/>
        </w:rPr>
        <w:t xml:space="preserve"> </w:t>
      </w:r>
      <w:r w:rsidRPr="00EC20A0">
        <w:t>with</w:t>
      </w:r>
      <w:r w:rsidRPr="00EC20A0">
        <w:rPr>
          <w:spacing w:val="-5"/>
        </w:rPr>
        <w:t xml:space="preserve"> </w:t>
      </w:r>
      <w:r w:rsidRPr="00EC20A0">
        <w:t>the</w:t>
      </w:r>
      <w:r w:rsidRPr="00EC20A0">
        <w:rPr>
          <w:spacing w:val="-5"/>
        </w:rPr>
        <w:t xml:space="preserve"> </w:t>
      </w:r>
      <w:r w:rsidRPr="00EC20A0">
        <w:t>newly</w:t>
      </w:r>
      <w:r w:rsidRPr="00EC20A0">
        <w:rPr>
          <w:spacing w:val="-5"/>
        </w:rPr>
        <w:t xml:space="preserve"> </w:t>
      </w:r>
      <w:r w:rsidRPr="00EC20A0">
        <w:t>identified disclosure entities, related parties, and public-private partnerships for the auditor’s further evaluation.</w:t>
      </w:r>
    </w:p>
    <w:p w14:paraId="24D6197A" w14:textId="77777777" w:rsidR="00245300" w:rsidRPr="00EC20A0" w:rsidRDefault="00F17249">
      <w:pPr>
        <w:pStyle w:val="ListParagraph"/>
        <w:numPr>
          <w:ilvl w:val="0"/>
          <w:numId w:val="96"/>
        </w:numPr>
        <w:tabs>
          <w:tab w:val="left" w:pos="2001"/>
        </w:tabs>
        <w:ind w:right="671"/>
      </w:pPr>
      <w:r w:rsidRPr="00EC20A0">
        <w:t>Inquire why the entity’s controls over relationships and transactions with disclosure</w:t>
      </w:r>
      <w:r w:rsidRPr="00EC20A0">
        <w:rPr>
          <w:spacing w:val="-5"/>
        </w:rPr>
        <w:t xml:space="preserve"> </w:t>
      </w:r>
      <w:r w:rsidRPr="00EC20A0">
        <w:t>entities,</w:t>
      </w:r>
      <w:r w:rsidRPr="00EC20A0">
        <w:rPr>
          <w:spacing w:val="-5"/>
        </w:rPr>
        <w:t xml:space="preserve"> </w:t>
      </w:r>
      <w:r w:rsidRPr="00EC20A0">
        <w:t>related</w:t>
      </w:r>
      <w:r w:rsidRPr="00EC20A0">
        <w:rPr>
          <w:spacing w:val="-5"/>
        </w:rPr>
        <w:t xml:space="preserve"> </w:t>
      </w:r>
      <w:r w:rsidRPr="00EC20A0">
        <w:t>parties,</w:t>
      </w:r>
      <w:r w:rsidRPr="00EC20A0">
        <w:rPr>
          <w:spacing w:val="-5"/>
        </w:rPr>
        <w:t xml:space="preserve"> </w:t>
      </w:r>
      <w:r w:rsidRPr="00EC20A0">
        <w:t>and</w:t>
      </w:r>
      <w:r w:rsidRPr="00EC20A0">
        <w:rPr>
          <w:spacing w:val="-5"/>
        </w:rPr>
        <w:t xml:space="preserve"> </w:t>
      </w:r>
      <w:r w:rsidRPr="00EC20A0">
        <w:t>public-private</w:t>
      </w:r>
      <w:r w:rsidRPr="00EC20A0">
        <w:rPr>
          <w:spacing w:val="-5"/>
        </w:rPr>
        <w:t xml:space="preserve"> </w:t>
      </w:r>
      <w:r w:rsidRPr="00EC20A0">
        <w:t>partnerships</w:t>
      </w:r>
      <w:r w:rsidRPr="00EC20A0">
        <w:rPr>
          <w:spacing w:val="-5"/>
        </w:rPr>
        <w:t xml:space="preserve"> </w:t>
      </w:r>
      <w:r w:rsidRPr="00EC20A0">
        <w:t>failed</w:t>
      </w:r>
      <w:r w:rsidRPr="00EC20A0">
        <w:rPr>
          <w:spacing w:val="-5"/>
        </w:rPr>
        <w:t xml:space="preserve"> </w:t>
      </w:r>
      <w:r w:rsidRPr="00EC20A0">
        <w:t>to identify or disclose those relationships or transactions.</w:t>
      </w:r>
    </w:p>
    <w:p w14:paraId="24D6197B" w14:textId="77777777" w:rsidR="00245300" w:rsidRPr="00EC20A0" w:rsidRDefault="00F17249">
      <w:pPr>
        <w:pStyle w:val="ListParagraph"/>
        <w:numPr>
          <w:ilvl w:val="0"/>
          <w:numId w:val="96"/>
        </w:numPr>
        <w:tabs>
          <w:tab w:val="left" w:pos="2001"/>
        </w:tabs>
        <w:ind w:right="560"/>
      </w:pPr>
      <w:r w:rsidRPr="00EC20A0">
        <w:t xml:space="preserve">Perform </w:t>
      </w:r>
      <w:r w:rsidRPr="00EC20A0">
        <w:t>appropriate substantive audit procedures relating to such newly identified</w:t>
      </w:r>
      <w:r w:rsidRPr="00EC20A0">
        <w:rPr>
          <w:spacing w:val="-6"/>
        </w:rPr>
        <w:t xml:space="preserve"> </w:t>
      </w:r>
      <w:r w:rsidRPr="00EC20A0">
        <w:t>disclosure</w:t>
      </w:r>
      <w:r w:rsidRPr="00EC20A0">
        <w:rPr>
          <w:spacing w:val="-6"/>
        </w:rPr>
        <w:t xml:space="preserve"> </w:t>
      </w:r>
      <w:r w:rsidRPr="00EC20A0">
        <w:t>entities,</w:t>
      </w:r>
      <w:r w:rsidRPr="00EC20A0">
        <w:rPr>
          <w:spacing w:val="-6"/>
        </w:rPr>
        <w:t xml:space="preserve"> </w:t>
      </w:r>
      <w:r w:rsidRPr="00EC20A0">
        <w:t>related</w:t>
      </w:r>
      <w:r w:rsidRPr="00EC20A0">
        <w:rPr>
          <w:spacing w:val="-7"/>
        </w:rPr>
        <w:t xml:space="preserve"> </w:t>
      </w:r>
      <w:r w:rsidRPr="00EC20A0">
        <w:t>parties,</w:t>
      </w:r>
      <w:r w:rsidRPr="00EC20A0">
        <w:rPr>
          <w:spacing w:val="-6"/>
        </w:rPr>
        <w:t xml:space="preserve"> </w:t>
      </w:r>
      <w:r w:rsidRPr="00EC20A0">
        <w:t>and</w:t>
      </w:r>
      <w:r w:rsidRPr="00EC20A0">
        <w:rPr>
          <w:spacing w:val="-7"/>
        </w:rPr>
        <w:t xml:space="preserve"> </w:t>
      </w:r>
      <w:r w:rsidRPr="00EC20A0">
        <w:t>public-private</w:t>
      </w:r>
      <w:r w:rsidRPr="00EC20A0">
        <w:rPr>
          <w:spacing w:val="-6"/>
        </w:rPr>
        <w:t xml:space="preserve"> </w:t>
      </w:r>
      <w:r w:rsidRPr="00EC20A0">
        <w:t>partnerships or significant transactions with them.</w:t>
      </w:r>
    </w:p>
    <w:p w14:paraId="24D6197C" w14:textId="77777777" w:rsidR="00245300" w:rsidRPr="00EC20A0" w:rsidRDefault="00F17249">
      <w:pPr>
        <w:pStyle w:val="ListParagraph"/>
        <w:numPr>
          <w:ilvl w:val="0"/>
          <w:numId w:val="96"/>
        </w:numPr>
        <w:tabs>
          <w:tab w:val="left" w:pos="2000"/>
        </w:tabs>
        <w:ind w:left="2000" w:right="499"/>
      </w:pPr>
      <w:r w:rsidRPr="00EC20A0">
        <w:t>Reconsider</w:t>
      </w:r>
      <w:r w:rsidRPr="00EC20A0">
        <w:rPr>
          <w:spacing w:val="-6"/>
        </w:rPr>
        <w:t xml:space="preserve"> </w:t>
      </w:r>
      <w:r w:rsidRPr="00EC20A0">
        <w:t>the</w:t>
      </w:r>
      <w:r w:rsidRPr="00EC20A0">
        <w:rPr>
          <w:spacing w:val="-4"/>
        </w:rPr>
        <w:t xml:space="preserve"> </w:t>
      </w:r>
      <w:r w:rsidRPr="00EC20A0">
        <w:t>risk</w:t>
      </w:r>
      <w:r w:rsidRPr="00EC20A0">
        <w:rPr>
          <w:spacing w:val="-4"/>
        </w:rPr>
        <w:t xml:space="preserve"> </w:t>
      </w:r>
      <w:r w:rsidRPr="00EC20A0">
        <w:t>that</w:t>
      </w:r>
      <w:r w:rsidRPr="00EC20A0">
        <w:rPr>
          <w:spacing w:val="-5"/>
        </w:rPr>
        <w:t xml:space="preserve"> </w:t>
      </w:r>
      <w:r w:rsidRPr="00EC20A0">
        <w:t>other</w:t>
      </w:r>
      <w:r w:rsidRPr="00EC20A0">
        <w:rPr>
          <w:spacing w:val="-4"/>
        </w:rPr>
        <w:t xml:space="preserve"> </w:t>
      </w:r>
      <w:r w:rsidRPr="00EC20A0">
        <w:t>disclosure</w:t>
      </w:r>
      <w:r w:rsidRPr="00EC20A0">
        <w:rPr>
          <w:spacing w:val="-4"/>
        </w:rPr>
        <w:t xml:space="preserve"> </w:t>
      </w:r>
      <w:r w:rsidRPr="00EC20A0">
        <w:t>entities,</w:t>
      </w:r>
      <w:r w:rsidRPr="00EC20A0">
        <w:rPr>
          <w:spacing w:val="-4"/>
        </w:rPr>
        <w:t xml:space="preserve"> </w:t>
      </w:r>
      <w:r w:rsidRPr="00EC20A0">
        <w:t>related</w:t>
      </w:r>
      <w:r w:rsidRPr="00EC20A0">
        <w:rPr>
          <w:spacing w:val="-4"/>
        </w:rPr>
        <w:t xml:space="preserve"> </w:t>
      </w:r>
      <w:r w:rsidRPr="00EC20A0">
        <w:t>parties,</w:t>
      </w:r>
      <w:r w:rsidRPr="00EC20A0">
        <w:rPr>
          <w:spacing w:val="-4"/>
        </w:rPr>
        <w:t xml:space="preserve"> </w:t>
      </w:r>
      <w:r w:rsidRPr="00EC20A0">
        <w:t>and</w:t>
      </w:r>
      <w:r w:rsidRPr="00EC20A0">
        <w:rPr>
          <w:spacing w:val="-4"/>
        </w:rPr>
        <w:t xml:space="preserve"> </w:t>
      </w:r>
      <w:r w:rsidRPr="00EC20A0">
        <w:t>public- private partnerships or significant transactions with them may exist that management has not previously identified or disclosed to the auditor and perform additional audit procedures as necessary.</w:t>
      </w:r>
    </w:p>
    <w:p w14:paraId="24D6197D" w14:textId="77777777" w:rsidR="00245300" w:rsidRPr="00EC20A0" w:rsidRDefault="00F17249">
      <w:pPr>
        <w:pStyle w:val="ListParagraph"/>
        <w:numPr>
          <w:ilvl w:val="0"/>
          <w:numId w:val="96"/>
        </w:numPr>
        <w:tabs>
          <w:tab w:val="left" w:pos="2000"/>
        </w:tabs>
        <w:spacing w:before="239"/>
        <w:ind w:left="2000" w:right="1147"/>
      </w:pPr>
      <w:r w:rsidRPr="00EC20A0">
        <w:t>Evaluate</w:t>
      </w:r>
      <w:r w:rsidRPr="00EC20A0">
        <w:rPr>
          <w:spacing w:val="-5"/>
        </w:rPr>
        <w:t xml:space="preserve"> </w:t>
      </w:r>
      <w:r w:rsidRPr="00EC20A0">
        <w:t>the</w:t>
      </w:r>
      <w:r w:rsidRPr="00EC20A0">
        <w:rPr>
          <w:spacing w:val="-6"/>
        </w:rPr>
        <w:t xml:space="preserve"> </w:t>
      </w:r>
      <w:r w:rsidRPr="00EC20A0">
        <w:t>implications</w:t>
      </w:r>
      <w:r w:rsidRPr="00EC20A0">
        <w:rPr>
          <w:spacing w:val="-6"/>
        </w:rPr>
        <w:t xml:space="preserve"> </w:t>
      </w:r>
      <w:r w:rsidRPr="00EC20A0">
        <w:t>for</w:t>
      </w:r>
      <w:r w:rsidRPr="00EC20A0">
        <w:rPr>
          <w:spacing w:val="-5"/>
        </w:rPr>
        <w:t xml:space="preserve"> </w:t>
      </w:r>
      <w:r w:rsidRPr="00EC20A0">
        <w:t>the</w:t>
      </w:r>
      <w:r w:rsidRPr="00EC20A0">
        <w:rPr>
          <w:spacing w:val="-5"/>
        </w:rPr>
        <w:t xml:space="preserve"> </w:t>
      </w:r>
      <w:r w:rsidRPr="00EC20A0">
        <w:t>audit</w:t>
      </w:r>
      <w:r w:rsidRPr="00EC20A0">
        <w:rPr>
          <w:spacing w:val="-6"/>
        </w:rPr>
        <w:t xml:space="preserve"> </w:t>
      </w:r>
      <w:r w:rsidRPr="00EC20A0">
        <w:t>if</w:t>
      </w:r>
      <w:r w:rsidRPr="00EC20A0">
        <w:rPr>
          <w:spacing w:val="-5"/>
        </w:rPr>
        <w:t xml:space="preserve"> </w:t>
      </w:r>
      <w:r w:rsidRPr="00EC20A0">
        <w:t>management’s</w:t>
      </w:r>
      <w:r w:rsidRPr="00EC20A0">
        <w:rPr>
          <w:spacing w:val="-5"/>
        </w:rPr>
        <w:t xml:space="preserve"> </w:t>
      </w:r>
      <w:r w:rsidRPr="00EC20A0">
        <w:t>nondisclosure appears intentional (and therefore indicative of a risk of material misstatement due to fraud).</w:t>
      </w:r>
    </w:p>
    <w:p w14:paraId="24D6197E" w14:textId="77777777" w:rsidR="00245300" w:rsidRPr="00EC20A0" w:rsidRDefault="00245300">
      <w:pPr>
        <w:sectPr w:rsidR="00245300" w:rsidRPr="00EC20A0">
          <w:pgSz w:w="12240" w:h="15840"/>
          <w:pgMar w:top="1340" w:right="1100" w:bottom="940" w:left="1240" w:header="721" w:footer="757" w:gutter="0"/>
          <w:cols w:space="720"/>
        </w:sectPr>
      </w:pPr>
    </w:p>
    <w:p w14:paraId="24D6197F" w14:textId="77777777" w:rsidR="00245300" w:rsidRPr="00EC20A0" w:rsidRDefault="00F17249">
      <w:pPr>
        <w:pStyle w:val="ListParagraph"/>
        <w:numPr>
          <w:ilvl w:val="0"/>
          <w:numId w:val="95"/>
        </w:numPr>
        <w:tabs>
          <w:tab w:val="left" w:pos="1640"/>
        </w:tabs>
        <w:spacing w:before="121"/>
        <w:ind w:right="432"/>
      </w:pPr>
      <w:r w:rsidRPr="00EC20A0">
        <w:t>For</w:t>
      </w:r>
      <w:r w:rsidRPr="00EC20A0">
        <w:rPr>
          <w:spacing w:val="-4"/>
        </w:rPr>
        <w:t xml:space="preserve"> </w:t>
      </w:r>
      <w:r w:rsidRPr="00EC20A0">
        <w:t>identified</w:t>
      </w:r>
      <w:r w:rsidRPr="00EC20A0">
        <w:rPr>
          <w:spacing w:val="-4"/>
        </w:rPr>
        <w:t xml:space="preserve"> </w:t>
      </w:r>
      <w:r w:rsidRPr="00EC20A0">
        <w:t>significant</w:t>
      </w:r>
      <w:r w:rsidRPr="00EC20A0">
        <w:rPr>
          <w:spacing w:val="-5"/>
        </w:rPr>
        <w:t xml:space="preserve"> </w:t>
      </w:r>
      <w:r w:rsidRPr="00EC20A0">
        <w:t>transactions</w:t>
      </w:r>
      <w:r w:rsidRPr="00EC20A0">
        <w:rPr>
          <w:spacing w:val="-5"/>
        </w:rPr>
        <w:t xml:space="preserve"> </w:t>
      </w:r>
      <w:r w:rsidRPr="00EC20A0">
        <w:t>with</w:t>
      </w:r>
      <w:r w:rsidRPr="00EC20A0">
        <w:rPr>
          <w:spacing w:val="-4"/>
        </w:rPr>
        <w:t xml:space="preserve"> </w:t>
      </w:r>
      <w:r w:rsidRPr="00EC20A0">
        <w:t>disclosure</w:t>
      </w:r>
      <w:r w:rsidRPr="00EC20A0">
        <w:rPr>
          <w:spacing w:val="-4"/>
        </w:rPr>
        <w:t xml:space="preserve"> </w:t>
      </w:r>
      <w:r w:rsidRPr="00EC20A0">
        <w:t>entities,</w:t>
      </w:r>
      <w:r w:rsidRPr="00EC20A0">
        <w:rPr>
          <w:spacing w:val="-5"/>
        </w:rPr>
        <w:t xml:space="preserve"> </w:t>
      </w:r>
      <w:r w:rsidRPr="00EC20A0">
        <w:t>related</w:t>
      </w:r>
      <w:r w:rsidRPr="00EC20A0">
        <w:rPr>
          <w:spacing w:val="-4"/>
        </w:rPr>
        <w:t xml:space="preserve"> </w:t>
      </w:r>
      <w:r w:rsidRPr="00EC20A0">
        <w:t>parties,</w:t>
      </w:r>
      <w:r w:rsidRPr="00EC20A0">
        <w:rPr>
          <w:spacing w:val="-4"/>
        </w:rPr>
        <w:t xml:space="preserve"> </w:t>
      </w:r>
      <w:r w:rsidRPr="00EC20A0">
        <w:t xml:space="preserve">and public-private partnerships that are </w:t>
      </w:r>
      <w:r w:rsidRPr="00EC20A0">
        <w:t>required to be disclosed in the financial statements or determined to be a significant risk, the auditor should perform the following (AU-C 550.26):</w:t>
      </w:r>
    </w:p>
    <w:p w14:paraId="24D61980" w14:textId="77777777" w:rsidR="00245300" w:rsidRPr="00EC20A0" w:rsidRDefault="00F17249">
      <w:pPr>
        <w:pStyle w:val="ListParagraph"/>
        <w:numPr>
          <w:ilvl w:val="1"/>
          <w:numId w:val="95"/>
        </w:numPr>
        <w:tabs>
          <w:tab w:val="left" w:pos="359"/>
        </w:tabs>
        <w:ind w:left="359" w:right="620" w:hanging="359"/>
        <w:jc w:val="right"/>
      </w:pPr>
      <w:r w:rsidRPr="00EC20A0">
        <w:t>Read</w:t>
      </w:r>
      <w:r w:rsidRPr="00EC20A0">
        <w:rPr>
          <w:spacing w:val="-7"/>
        </w:rPr>
        <w:t xml:space="preserve"> </w:t>
      </w:r>
      <w:r w:rsidRPr="00EC20A0">
        <w:t>the</w:t>
      </w:r>
      <w:r w:rsidRPr="00EC20A0">
        <w:rPr>
          <w:spacing w:val="-6"/>
        </w:rPr>
        <w:t xml:space="preserve"> </w:t>
      </w:r>
      <w:r w:rsidRPr="00EC20A0">
        <w:t>underlying</w:t>
      </w:r>
      <w:r w:rsidRPr="00EC20A0">
        <w:rPr>
          <w:spacing w:val="-7"/>
        </w:rPr>
        <w:t xml:space="preserve"> </w:t>
      </w:r>
      <w:r w:rsidRPr="00EC20A0">
        <w:t>contracts</w:t>
      </w:r>
      <w:r w:rsidRPr="00EC20A0">
        <w:rPr>
          <w:spacing w:val="-6"/>
        </w:rPr>
        <w:t xml:space="preserve"> </w:t>
      </w:r>
      <w:r w:rsidRPr="00EC20A0">
        <w:t>or</w:t>
      </w:r>
      <w:r w:rsidRPr="00EC20A0">
        <w:rPr>
          <w:spacing w:val="-7"/>
        </w:rPr>
        <w:t xml:space="preserve"> </w:t>
      </w:r>
      <w:r w:rsidRPr="00EC20A0">
        <w:t>agreements,</w:t>
      </w:r>
      <w:r w:rsidRPr="00EC20A0">
        <w:rPr>
          <w:spacing w:val="-6"/>
        </w:rPr>
        <w:t xml:space="preserve"> </w:t>
      </w:r>
      <w:r w:rsidRPr="00EC20A0">
        <w:t>if</w:t>
      </w:r>
      <w:r w:rsidRPr="00EC20A0">
        <w:rPr>
          <w:spacing w:val="-7"/>
        </w:rPr>
        <w:t xml:space="preserve"> </w:t>
      </w:r>
      <w:r w:rsidRPr="00EC20A0">
        <w:t>any,</w:t>
      </w:r>
      <w:r w:rsidRPr="00EC20A0">
        <w:rPr>
          <w:spacing w:val="-6"/>
        </w:rPr>
        <w:t xml:space="preserve"> </w:t>
      </w:r>
      <w:r w:rsidRPr="00EC20A0">
        <w:t>and</w:t>
      </w:r>
      <w:r w:rsidRPr="00EC20A0">
        <w:rPr>
          <w:spacing w:val="-7"/>
        </w:rPr>
        <w:t xml:space="preserve"> </w:t>
      </w:r>
      <w:r w:rsidRPr="00EC20A0">
        <w:t>evaluate</w:t>
      </w:r>
      <w:r w:rsidRPr="00EC20A0">
        <w:rPr>
          <w:spacing w:val="-6"/>
        </w:rPr>
        <w:t xml:space="preserve"> </w:t>
      </w:r>
      <w:r w:rsidRPr="00EC20A0">
        <w:rPr>
          <w:spacing w:val="-2"/>
        </w:rPr>
        <w:t>whether</w:t>
      </w:r>
    </w:p>
    <w:p w14:paraId="24D61981" w14:textId="77777777" w:rsidR="00245300" w:rsidRPr="00EC20A0" w:rsidRDefault="00F17249">
      <w:pPr>
        <w:pStyle w:val="ListParagraph"/>
        <w:numPr>
          <w:ilvl w:val="2"/>
          <w:numId w:val="95"/>
        </w:numPr>
        <w:tabs>
          <w:tab w:val="left" w:pos="2358"/>
          <w:tab w:val="left" w:pos="2360"/>
        </w:tabs>
        <w:ind w:right="614"/>
        <w:jc w:val="left"/>
      </w:pPr>
      <w:r w:rsidRPr="00EC20A0">
        <w:t>the</w:t>
      </w:r>
      <w:r w:rsidRPr="00EC20A0">
        <w:rPr>
          <w:spacing w:val="-4"/>
        </w:rPr>
        <w:t xml:space="preserve"> </w:t>
      </w:r>
      <w:r w:rsidRPr="00EC20A0">
        <w:t>business</w:t>
      </w:r>
      <w:r w:rsidRPr="00EC20A0">
        <w:rPr>
          <w:spacing w:val="-4"/>
        </w:rPr>
        <w:t xml:space="preserve"> </w:t>
      </w:r>
      <w:r w:rsidRPr="00EC20A0">
        <w:t>purpose</w:t>
      </w:r>
      <w:r w:rsidRPr="00EC20A0">
        <w:rPr>
          <w:spacing w:val="-4"/>
        </w:rPr>
        <w:t xml:space="preserve"> </w:t>
      </w:r>
      <w:r w:rsidRPr="00EC20A0">
        <w:t>(or</w:t>
      </w:r>
      <w:r w:rsidRPr="00EC20A0">
        <w:rPr>
          <w:spacing w:val="-4"/>
        </w:rPr>
        <w:t xml:space="preserve"> </w:t>
      </w:r>
      <w:r w:rsidRPr="00EC20A0">
        <w:t>lack</w:t>
      </w:r>
      <w:r w:rsidRPr="00EC20A0">
        <w:rPr>
          <w:spacing w:val="-4"/>
        </w:rPr>
        <w:t xml:space="preserve"> </w:t>
      </w:r>
      <w:r w:rsidRPr="00EC20A0">
        <w:t>thereof)</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transactions</w:t>
      </w:r>
      <w:r w:rsidRPr="00EC20A0">
        <w:rPr>
          <w:spacing w:val="-5"/>
        </w:rPr>
        <w:t xml:space="preserve"> </w:t>
      </w:r>
      <w:r w:rsidRPr="00EC20A0">
        <w:t>suggests</w:t>
      </w:r>
      <w:r w:rsidRPr="00EC20A0">
        <w:rPr>
          <w:spacing w:val="-4"/>
        </w:rPr>
        <w:t xml:space="preserve"> </w:t>
      </w:r>
      <w:r w:rsidRPr="00EC20A0">
        <w:t>that they may have been entered into to engage in fraudulent financial reporting or to conceal misappropriation of assets,</w:t>
      </w:r>
    </w:p>
    <w:p w14:paraId="24D61982" w14:textId="77777777" w:rsidR="00245300" w:rsidRPr="00EC20A0" w:rsidRDefault="00F17249">
      <w:pPr>
        <w:pStyle w:val="ListParagraph"/>
        <w:numPr>
          <w:ilvl w:val="2"/>
          <w:numId w:val="95"/>
        </w:numPr>
        <w:tabs>
          <w:tab w:val="left" w:pos="2357"/>
          <w:tab w:val="left" w:pos="2360"/>
        </w:tabs>
        <w:spacing w:before="239"/>
        <w:ind w:right="1374" w:hanging="339"/>
        <w:jc w:val="left"/>
      </w:pPr>
      <w:r w:rsidRPr="00EC20A0">
        <w:t>the</w:t>
      </w:r>
      <w:r w:rsidRPr="00EC20A0">
        <w:rPr>
          <w:spacing w:val="-5"/>
        </w:rPr>
        <w:t xml:space="preserve"> </w:t>
      </w:r>
      <w:r w:rsidRPr="00EC20A0">
        <w:t>terms</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transactions</w:t>
      </w:r>
      <w:r w:rsidRPr="00EC20A0">
        <w:rPr>
          <w:spacing w:val="-5"/>
        </w:rPr>
        <w:t xml:space="preserve"> </w:t>
      </w:r>
      <w:r w:rsidRPr="00EC20A0">
        <w:t>are</w:t>
      </w:r>
      <w:r w:rsidRPr="00EC20A0">
        <w:rPr>
          <w:spacing w:val="-5"/>
        </w:rPr>
        <w:t xml:space="preserve"> </w:t>
      </w:r>
      <w:r w:rsidRPr="00EC20A0">
        <w:t>consistent</w:t>
      </w:r>
      <w:r w:rsidRPr="00EC20A0">
        <w:rPr>
          <w:spacing w:val="-5"/>
        </w:rPr>
        <w:t xml:space="preserve"> </w:t>
      </w:r>
      <w:r w:rsidRPr="00EC20A0">
        <w:t>with</w:t>
      </w:r>
      <w:r w:rsidRPr="00EC20A0">
        <w:rPr>
          <w:spacing w:val="-6"/>
        </w:rPr>
        <w:t xml:space="preserve"> </w:t>
      </w:r>
      <w:r w:rsidRPr="00EC20A0">
        <w:t>management’s explanations, and</w:t>
      </w:r>
    </w:p>
    <w:p w14:paraId="24D61983" w14:textId="77777777" w:rsidR="00245300" w:rsidRPr="00EC20A0" w:rsidRDefault="00F17249">
      <w:pPr>
        <w:pStyle w:val="ListParagraph"/>
        <w:numPr>
          <w:ilvl w:val="2"/>
          <w:numId w:val="95"/>
        </w:numPr>
        <w:tabs>
          <w:tab w:val="left" w:pos="385"/>
        </w:tabs>
        <w:spacing w:before="241"/>
        <w:ind w:left="385" w:right="702" w:hanging="385"/>
      </w:pPr>
      <w:r w:rsidRPr="00EC20A0">
        <w:t>the</w:t>
      </w:r>
      <w:r w:rsidRPr="00EC20A0">
        <w:rPr>
          <w:spacing w:val="-8"/>
        </w:rPr>
        <w:t xml:space="preserve"> </w:t>
      </w:r>
      <w:r w:rsidRPr="00EC20A0">
        <w:t>transactions</w:t>
      </w:r>
      <w:r w:rsidRPr="00EC20A0">
        <w:rPr>
          <w:spacing w:val="-7"/>
        </w:rPr>
        <w:t xml:space="preserve"> </w:t>
      </w:r>
      <w:r w:rsidRPr="00EC20A0">
        <w:t>have</w:t>
      </w:r>
      <w:r w:rsidRPr="00EC20A0">
        <w:rPr>
          <w:spacing w:val="-8"/>
        </w:rPr>
        <w:t xml:space="preserve"> </w:t>
      </w:r>
      <w:r w:rsidRPr="00EC20A0">
        <w:t>been</w:t>
      </w:r>
      <w:r w:rsidRPr="00EC20A0">
        <w:rPr>
          <w:spacing w:val="-7"/>
        </w:rPr>
        <w:t xml:space="preserve"> </w:t>
      </w:r>
      <w:r w:rsidRPr="00EC20A0">
        <w:t>appropriately</w:t>
      </w:r>
      <w:r w:rsidRPr="00EC20A0">
        <w:rPr>
          <w:spacing w:val="-7"/>
        </w:rPr>
        <w:t xml:space="preserve"> </w:t>
      </w:r>
      <w:r w:rsidRPr="00EC20A0">
        <w:t>accounted</w:t>
      </w:r>
      <w:r w:rsidRPr="00EC20A0">
        <w:rPr>
          <w:spacing w:val="-8"/>
        </w:rPr>
        <w:t xml:space="preserve"> </w:t>
      </w:r>
      <w:r w:rsidRPr="00EC20A0">
        <w:t>for</w:t>
      </w:r>
      <w:r w:rsidRPr="00EC20A0">
        <w:rPr>
          <w:spacing w:val="-7"/>
        </w:rPr>
        <w:t xml:space="preserve"> </w:t>
      </w:r>
      <w:r w:rsidRPr="00EC20A0">
        <w:t>and</w:t>
      </w:r>
      <w:r w:rsidRPr="00EC20A0">
        <w:rPr>
          <w:spacing w:val="-8"/>
        </w:rPr>
        <w:t xml:space="preserve"> </w:t>
      </w:r>
      <w:r w:rsidRPr="00EC20A0">
        <w:rPr>
          <w:spacing w:val="-2"/>
        </w:rPr>
        <w:t>disclosed.</w:t>
      </w:r>
    </w:p>
    <w:p w14:paraId="24D61984" w14:textId="77777777" w:rsidR="00245300" w:rsidRPr="00EC20A0" w:rsidRDefault="00F17249">
      <w:pPr>
        <w:pStyle w:val="ListParagraph"/>
        <w:numPr>
          <w:ilvl w:val="1"/>
          <w:numId w:val="95"/>
        </w:numPr>
        <w:tabs>
          <w:tab w:val="left" w:pos="2000"/>
        </w:tabs>
        <w:ind w:right="1305"/>
      </w:pPr>
      <w:r w:rsidRPr="00EC20A0">
        <w:t>Obtain</w:t>
      </w:r>
      <w:r w:rsidRPr="00EC20A0">
        <w:rPr>
          <w:spacing w:val="-5"/>
        </w:rPr>
        <w:t xml:space="preserve"> </w:t>
      </w:r>
      <w:r w:rsidRPr="00EC20A0">
        <w:t>audit</w:t>
      </w:r>
      <w:r w:rsidRPr="00EC20A0">
        <w:rPr>
          <w:spacing w:val="-5"/>
        </w:rPr>
        <w:t xml:space="preserve"> </w:t>
      </w:r>
      <w:r w:rsidRPr="00EC20A0">
        <w:t>evidence</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transactions</w:t>
      </w:r>
      <w:r w:rsidRPr="00EC20A0">
        <w:rPr>
          <w:spacing w:val="-5"/>
        </w:rPr>
        <w:t xml:space="preserve"> </w:t>
      </w:r>
      <w:r w:rsidRPr="00EC20A0">
        <w:t>have</w:t>
      </w:r>
      <w:r w:rsidRPr="00EC20A0">
        <w:rPr>
          <w:spacing w:val="-6"/>
        </w:rPr>
        <w:t xml:space="preserve"> </w:t>
      </w:r>
      <w:r w:rsidRPr="00EC20A0">
        <w:t>been</w:t>
      </w:r>
      <w:r w:rsidRPr="00EC20A0">
        <w:rPr>
          <w:spacing w:val="-5"/>
        </w:rPr>
        <w:t xml:space="preserve"> </w:t>
      </w:r>
      <w:r w:rsidRPr="00EC20A0">
        <w:t>appropriately authorized and approved.</w:t>
      </w:r>
    </w:p>
    <w:p w14:paraId="24D61985" w14:textId="77777777" w:rsidR="00245300" w:rsidRPr="00EC20A0" w:rsidRDefault="00F17249">
      <w:pPr>
        <w:pStyle w:val="BodyText"/>
        <w:spacing w:before="239"/>
        <w:ind w:left="1640" w:right="345"/>
      </w:pPr>
      <w:r w:rsidRPr="00EC20A0">
        <w:t xml:space="preserve">If management has made an assertion in the financial statements to the effect that a transaction with a </w:t>
      </w:r>
      <w:r w:rsidRPr="00EC20A0">
        <w:t>disclosure entity, related party, or public-private partnership was conducted on terms equivalent to those prevailing in an arm’s length</w:t>
      </w:r>
      <w:r w:rsidRPr="00EC20A0">
        <w:rPr>
          <w:spacing w:val="-5"/>
        </w:rPr>
        <w:t xml:space="preserve"> </w:t>
      </w:r>
      <w:r w:rsidRPr="00EC20A0">
        <w:t>transaction,</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should</w:t>
      </w:r>
      <w:r w:rsidRPr="00EC20A0">
        <w:rPr>
          <w:spacing w:val="-5"/>
        </w:rPr>
        <w:t xml:space="preserve"> </w:t>
      </w:r>
      <w:r w:rsidRPr="00EC20A0">
        <w:t>obtain</w:t>
      </w:r>
      <w:r w:rsidRPr="00EC20A0">
        <w:rPr>
          <w:spacing w:val="-5"/>
        </w:rPr>
        <w:t xml:space="preserve"> </w:t>
      </w:r>
      <w:r w:rsidRPr="00EC20A0">
        <w:t>sufficient</w:t>
      </w:r>
      <w:r w:rsidRPr="00EC20A0">
        <w:rPr>
          <w:spacing w:val="-5"/>
        </w:rPr>
        <w:t xml:space="preserve"> </w:t>
      </w:r>
      <w:r w:rsidRPr="00EC20A0">
        <w:t>appropriate</w:t>
      </w:r>
      <w:r w:rsidRPr="00EC20A0">
        <w:rPr>
          <w:spacing w:val="-5"/>
        </w:rPr>
        <w:t xml:space="preserve"> </w:t>
      </w:r>
      <w:r w:rsidRPr="00EC20A0">
        <w:t>audit</w:t>
      </w:r>
      <w:r w:rsidRPr="00EC20A0">
        <w:rPr>
          <w:spacing w:val="-5"/>
        </w:rPr>
        <w:t xml:space="preserve"> </w:t>
      </w:r>
      <w:r w:rsidRPr="00EC20A0">
        <w:t>evidence about the assertion (AU-C 550.27).</w:t>
      </w:r>
    </w:p>
    <w:p w14:paraId="24D61986" w14:textId="77777777" w:rsidR="00245300" w:rsidRPr="00EC20A0" w:rsidRDefault="00245300">
      <w:pPr>
        <w:sectPr w:rsidR="00245300" w:rsidRPr="00EC20A0">
          <w:pgSz w:w="12240" w:h="15840"/>
          <w:pgMar w:top="1340" w:right="1100" w:bottom="940" w:left="1240" w:header="721" w:footer="757" w:gutter="0"/>
          <w:cols w:space="720"/>
        </w:sectPr>
      </w:pPr>
    </w:p>
    <w:p w14:paraId="24D61987" w14:textId="77777777" w:rsidR="00245300" w:rsidRPr="00EC20A0" w:rsidRDefault="00F17249">
      <w:pPr>
        <w:pStyle w:val="Heading3"/>
        <w:ind w:left="200"/>
        <w:rPr>
          <w:u w:val="none"/>
        </w:rPr>
      </w:pPr>
      <w:bookmarkStart w:id="302" w:name="905_–_Auditing_Accounting_Estimates"/>
      <w:bookmarkStart w:id="303" w:name="_bookmark171"/>
      <w:bookmarkEnd w:id="302"/>
      <w:bookmarkEnd w:id="303"/>
      <w:r w:rsidRPr="00EC20A0">
        <w:t>905</w:t>
      </w:r>
      <w:r w:rsidRPr="00EC20A0">
        <w:rPr>
          <w:spacing w:val="-7"/>
        </w:rPr>
        <w:t xml:space="preserve"> </w:t>
      </w:r>
      <w:r w:rsidRPr="00EC20A0">
        <w:t>–</w:t>
      </w:r>
      <w:r w:rsidRPr="00EC20A0">
        <w:rPr>
          <w:spacing w:val="-16"/>
        </w:rPr>
        <w:t xml:space="preserve"> </w:t>
      </w:r>
      <w:r w:rsidRPr="00EC20A0">
        <w:t>Auditing</w:t>
      </w:r>
      <w:r w:rsidRPr="00EC20A0">
        <w:rPr>
          <w:spacing w:val="-16"/>
        </w:rPr>
        <w:t xml:space="preserve"> </w:t>
      </w:r>
      <w:r w:rsidRPr="00EC20A0">
        <w:t>Accounting</w:t>
      </w:r>
      <w:r w:rsidRPr="00EC20A0">
        <w:rPr>
          <w:spacing w:val="-4"/>
        </w:rPr>
        <w:t xml:space="preserve"> </w:t>
      </w:r>
      <w:r w:rsidRPr="00EC20A0">
        <w:rPr>
          <w:spacing w:val="-2"/>
        </w:rPr>
        <w:t>Estimates</w:t>
      </w:r>
    </w:p>
    <w:p w14:paraId="24D61988" w14:textId="77777777" w:rsidR="00245300" w:rsidRPr="00EC20A0" w:rsidRDefault="00245300">
      <w:pPr>
        <w:pStyle w:val="BodyText"/>
        <w:spacing w:before="98"/>
        <w:rPr>
          <w:b/>
          <w:sz w:val="28"/>
        </w:rPr>
      </w:pPr>
    </w:p>
    <w:p w14:paraId="24D61989" w14:textId="77777777" w:rsidR="00245300" w:rsidRPr="00EC20A0" w:rsidRDefault="00F17249">
      <w:pPr>
        <w:pStyle w:val="Heading4"/>
        <w:spacing w:before="1"/>
        <w:ind w:left="200"/>
      </w:pPr>
      <w:r w:rsidRPr="00EC20A0">
        <w:rPr>
          <w:spacing w:val="-2"/>
        </w:rPr>
        <w:t>Overview</w:t>
      </w:r>
    </w:p>
    <w:p w14:paraId="24D6198A" w14:textId="77777777" w:rsidR="00245300" w:rsidRPr="00EC20A0" w:rsidRDefault="00F17249">
      <w:pPr>
        <w:pStyle w:val="ListParagraph"/>
        <w:numPr>
          <w:ilvl w:val="0"/>
          <w:numId w:val="4"/>
        </w:numPr>
        <w:tabs>
          <w:tab w:val="left" w:pos="1640"/>
        </w:tabs>
        <w:spacing w:before="299"/>
        <w:ind w:right="419"/>
      </w:pPr>
      <w:r w:rsidRPr="00EC20A0">
        <w:t>FAM 905 provides guidance for auditing accounting estimates and related note disclosures. Accounting estimates vary widely in nature and are required to be made</w:t>
      </w:r>
      <w:r w:rsidRPr="00EC20A0">
        <w:rPr>
          <w:spacing w:val="-4"/>
        </w:rPr>
        <w:t xml:space="preserve"> </w:t>
      </w:r>
      <w:r w:rsidRPr="00EC20A0">
        <w:t>by</w:t>
      </w:r>
      <w:r w:rsidRPr="00EC20A0">
        <w:rPr>
          <w:spacing w:val="-4"/>
        </w:rPr>
        <w:t xml:space="preserve"> </w:t>
      </w:r>
      <w:r w:rsidRPr="00EC20A0">
        <w:t>management</w:t>
      </w:r>
      <w:r w:rsidRPr="00EC20A0">
        <w:rPr>
          <w:spacing w:val="-4"/>
        </w:rPr>
        <w:t xml:space="preserve"> </w:t>
      </w:r>
      <w:r w:rsidRPr="00EC20A0">
        <w:t>when</w:t>
      </w:r>
      <w:r w:rsidRPr="00EC20A0">
        <w:rPr>
          <w:spacing w:val="-4"/>
        </w:rPr>
        <w:t xml:space="preserve"> </w:t>
      </w:r>
      <w:r w:rsidRPr="00EC20A0">
        <w:t>the</w:t>
      </w:r>
      <w:r w:rsidRPr="00EC20A0">
        <w:rPr>
          <w:spacing w:val="-4"/>
        </w:rPr>
        <w:t xml:space="preserve"> </w:t>
      </w:r>
      <w:r w:rsidRPr="00EC20A0">
        <w:t>monetary</w:t>
      </w:r>
      <w:r w:rsidRPr="00EC20A0">
        <w:rPr>
          <w:spacing w:val="-4"/>
        </w:rPr>
        <w:t xml:space="preserve"> </w:t>
      </w:r>
      <w:r w:rsidRPr="00EC20A0">
        <w:t>amounts</w:t>
      </w:r>
      <w:r w:rsidRPr="00EC20A0">
        <w:rPr>
          <w:spacing w:val="-4"/>
        </w:rPr>
        <w:t xml:space="preserve"> </w:t>
      </w:r>
      <w:r w:rsidRPr="00EC20A0">
        <w:t>cannot</w:t>
      </w:r>
      <w:r w:rsidRPr="00EC20A0">
        <w:rPr>
          <w:spacing w:val="-4"/>
        </w:rPr>
        <w:t xml:space="preserve"> </w:t>
      </w:r>
      <w:r w:rsidRPr="00EC20A0">
        <w:t>be</w:t>
      </w:r>
      <w:r w:rsidRPr="00EC20A0">
        <w:rPr>
          <w:spacing w:val="-5"/>
        </w:rPr>
        <w:t xml:space="preserve"> </w:t>
      </w:r>
      <w:r w:rsidRPr="00EC20A0">
        <w:t>directly</w:t>
      </w:r>
      <w:r w:rsidRPr="00EC20A0">
        <w:rPr>
          <w:spacing w:val="-4"/>
        </w:rPr>
        <w:t xml:space="preserve"> </w:t>
      </w:r>
      <w:r w:rsidRPr="00EC20A0">
        <w:t xml:space="preserve">observed. The measurement of these monetary amounts is subject to estimation uncertainty, which reflects inherent limitations in knowledge or data. These limitations give rise to inherent subjectivity and variation in the </w:t>
      </w:r>
      <w:r w:rsidRPr="00EC20A0">
        <w:t>measurement outcomes. The process of making accounting estimates involves selecting and applying a method using assumptions and data, which requires judgment by management and can give rise to complexity in measurement. (AU-C 540.02)</w:t>
      </w:r>
    </w:p>
    <w:p w14:paraId="24D6198B" w14:textId="77777777" w:rsidR="00245300" w:rsidRPr="00EC20A0" w:rsidRDefault="00F17249">
      <w:pPr>
        <w:pStyle w:val="ListParagraph"/>
        <w:numPr>
          <w:ilvl w:val="0"/>
          <w:numId w:val="4"/>
        </w:numPr>
        <w:tabs>
          <w:tab w:val="left" w:pos="1640"/>
        </w:tabs>
        <w:ind w:right="727"/>
      </w:pPr>
      <w:r w:rsidRPr="00EC20A0">
        <w:t>The</w:t>
      </w:r>
      <w:r w:rsidRPr="00EC20A0">
        <w:rPr>
          <w:spacing w:val="-4"/>
        </w:rPr>
        <w:t xml:space="preserve"> </w:t>
      </w:r>
      <w:r w:rsidRPr="00EC20A0">
        <w:t>following</w:t>
      </w:r>
      <w:r w:rsidRPr="00EC20A0">
        <w:rPr>
          <w:spacing w:val="-4"/>
        </w:rPr>
        <w:t xml:space="preserve"> </w:t>
      </w:r>
      <w:r w:rsidRPr="00EC20A0">
        <w:t>terms</w:t>
      </w:r>
      <w:r w:rsidRPr="00EC20A0">
        <w:rPr>
          <w:spacing w:val="-4"/>
        </w:rPr>
        <w:t xml:space="preserve"> </w:t>
      </w:r>
      <w:r w:rsidRPr="00EC20A0">
        <w:t>are</w:t>
      </w:r>
      <w:r w:rsidRPr="00EC20A0">
        <w:rPr>
          <w:spacing w:val="-4"/>
        </w:rPr>
        <w:t xml:space="preserve"> </w:t>
      </w:r>
      <w:r w:rsidRPr="00EC20A0">
        <w:t>used</w:t>
      </w:r>
      <w:r w:rsidRPr="00EC20A0">
        <w:rPr>
          <w:spacing w:val="-4"/>
        </w:rPr>
        <w:t xml:space="preserve"> </w:t>
      </w:r>
      <w:r w:rsidRPr="00EC20A0">
        <w:t>throughout</w:t>
      </w:r>
      <w:r w:rsidRPr="00EC20A0">
        <w:rPr>
          <w:spacing w:val="-4"/>
        </w:rPr>
        <w:t xml:space="preserve"> </w:t>
      </w:r>
      <w:r w:rsidRPr="00EC20A0">
        <w:t>FAM</w:t>
      </w:r>
      <w:r w:rsidRPr="00EC20A0">
        <w:rPr>
          <w:spacing w:val="-5"/>
        </w:rPr>
        <w:t xml:space="preserve"> </w:t>
      </w:r>
      <w:r w:rsidRPr="00EC20A0">
        <w:t>905</w:t>
      </w:r>
      <w:r w:rsidRPr="00EC20A0">
        <w:rPr>
          <w:spacing w:val="-4"/>
        </w:rPr>
        <w:t xml:space="preserve"> </w:t>
      </w:r>
      <w:r w:rsidRPr="00EC20A0">
        <w:t>to</w:t>
      </w:r>
      <w:r w:rsidRPr="00EC20A0">
        <w:rPr>
          <w:spacing w:val="-4"/>
        </w:rPr>
        <w:t xml:space="preserve"> </w:t>
      </w:r>
      <w:r w:rsidRPr="00EC20A0">
        <w:t>describe</w:t>
      </w:r>
      <w:r w:rsidRPr="00EC20A0">
        <w:rPr>
          <w:spacing w:val="-4"/>
        </w:rPr>
        <w:t xml:space="preserve"> </w:t>
      </w:r>
      <w:r w:rsidRPr="00EC20A0">
        <w:t>management’s process for making accounting estimates:</w:t>
      </w:r>
    </w:p>
    <w:p w14:paraId="24D6198C" w14:textId="77777777" w:rsidR="00245300" w:rsidRPr="00EC20A0" w:rsidRDefault="00F17249">
      <w:pPr>
        <w:pStyle w:val="ListParagraph"/>
        <w:numPr>
          <w:ilvl w:val="1"/>
          <w:numId w:val="4"/>
        </w:numPr>
        <w:tabs>
          <w:tab w:val="left" w:pos="1999"/>
        </w:tabs>
        <w:ind w:left="1999" w:right="452"/>
      </w:pPr>
      <w:r w:rsidRPr="00EC20A0">
        <w:t xml:space="preserve">A </w:t>
      </w:r>
      <w:r w:rsidRPr="00EC20A0">
        <w:rPr>
          <w:b/>
        </w:rPr>
        <w:t xml:space="preserve">method </w:t>
      </w:r>
      <w:r w:rsidRPr="00EC20A0">
        <w:t>is a measurement technique used by management to make an accounting estimate in accordance with the required measurement basis. A method</w:t>
      </w:r>
      <w:r w:rsidRPr="00EC20A0">
        <w:rPr>
          <w:spacing w:val="-4"/>
        </w:rPr>
        <w:t xml:space="preserve"> </w:t>
      </w:r>
      <w:r w:rsidRPr="00EC20A0">
        <w:t>is</w:t>
      </w:r>
      <w:r w:rsidRPr="00EC20A0">
        <w:rPr>
          <w:spacing w:val="-4"/>
        </w:rPr>
        <w:t xml:space="preserve"> </w:t>
      </w:r>
      <w:r w:rsidRPr="00EC20A0">
        <w:t>applied</w:t>
      </w:r>
      <w:r w:rsidRPr="00EC20A0">
        <w:rPr>
          <w:spacing w:val="-4"/>
        </w:rPr>
        <w:t xml:space="preserve"> </w:t>
      </w:r>
      <w:r w:rsidRPr="00EC20A0">
        <w:t>using</w:t>
      </w:r>
      <w:r w:rsidRPr="00EC20A0">
        <w:rPr>
          <w:spacing w:val="-5"/>
        </w:rPr>
        <w:t xml:space="preserve"> </w:t>
      </w:r>
      <w:r w:rsidRPr="00EC20A0">
        <w:t>a</w:t>
      </w:r>
      <w:r w:rsidRPr="00EC20A0">
        <w:rPr>
          <w:spacing w:val="-4"/>
        </w:rPr>
        <w:t xml:space="preserve"> </w:t>
      </w:r>
      <w:r w:rsidRPr="00EC20A0">
        <w:t>computational</w:t>
      </w:r>
      <w:r w:rsidRPr="00EC20A0">
        <w:rPr>
          <w:spacing w:val="-4"/>
        </w:rPr>
        <w:t xml:space="preserve"> </w:t>
      </w:r>
      <w:r w:rsidRPr="00EC20A0">
        <w:t>tool</w:t>
      </w:r>
      <w:r w:rsidRPr="00EC20A0">
        <w:rPr>
          <w:spacing w:val="-4"/>
        </w:rPr>
        <w:t xml:space="preserve"> </w:t>
      </w:r>
      <w:r w:rsidRPr="00EC20A0">
        <w:t>or</w:t>
      </w:r>
      <w:r w:rsidRPr="00EC20A0">
        <w:rPr>
          <w:spacing w:val="-6"/>
        </w:rPr>
        <w:t xml:space="preserve"> </w:t>
      </w:r>
      <w:r w:rsidRPr="00EC20A0">
        <w:t>process,</w:t>
      </w:r>
      <w:r w:rsidRPr="00EC20A0">
        <w:rPr>
          <w:spacing w:val="-5"/>
        </w:rPr>
        <w:t xml:space="preserve"> </w:t>
      </w:r>
      <w:r w:rsidRPr="00EC20A0">
        <w:t>sometimes</w:t>
      </w:r>
      <w:r w:rsidRPr="00EC20A0">
        <w:rPr>
          <w:spacing w:val="-4"/>
        </w:rPr>
        <w:t xml:space="preserve"> </w:t>
      </w:r>
      <w:r w:rsidRPr="00EC20A0">
        <w:t xml:space="preserve">referred to as a </w:t>
      </w:r>
      <w:r w:rsidRPr="00EC20A0">
        <w:rPr>
          <w:b/>
        </w:rPr>
        <w:t>model</w:t>
      </w:r>
      <w:r w:rsidRPr="00EC20A0">
        <w:t>, and involves applying assumptions and data and taking into account a set of relationships between them (AU-C 540.A2). Examples of models include</w:t>
      </w:r>
    </w:p>
    <w:p w14:paraId="24D6198D" w14:textId="77777777" w:rsidR="00245300" w:rsidRPr="00EC20A0" w:rsidRDefault="00F17249">
      <w:pPr>
        <w:pStyle w:val="ListParagraph"/>
        <w:numPr>
          <w:ilvl w:val="2"/>
          <w:numId w:val="4"/>
        </w:numPr>
        <w:tabs>
          <w:tab w:val="left" w:pos="2360"/>
        </w:tabs>
        <w:spacing w:before="246" w:line="230" w:lineRule="auto"/>
        <w:ind w:right="443"/>
      </w:pPr>
      <w:r w:rsidRPr="00EC20A0">
        <w:t>an expected credit loss model that uses a complex set of historical data and</w:t>
      </w:r>
      <w:r w:rsidRPr="00EC20A0">
        <w:rPr>
          <w:spacing w:val="-4"/>
        </w:rPr>
        <w:t xml:space="preserve"> </w:t>
      </w:r>
      <w:r w:rsidRPr="00EC20A0">
        <w:t>assumptions</w:t>
      </w:r>
      <w:r w:rsidRPr="00EC20A0">
        <w:rPr>
          <w:spacing w:val="-4"/>
        </w:rPr>
        <w:t xml:space="preserve"> </w:t>
      </w:r>
      <w:r w:rsidRPr="00EC20A0">
        <w:t>about</w:t>
      </w:r>
      <w:r w:rsidRPr="00EC20A0">
        <w:rPr>
          <w:spacing w:val="-4"/>
        </w:rPr>
        <w:t xml:space="preserve"> </w:t>
      </w:r>
      <w:r w:rsidRPr="00EC20A0">
        <w:t>future</w:t>
      </w:r>
      <w:r w:rsidRPr="00EC20A0">
        <w:rPr>
          <w:spacing w:val="-4"/>
        </w:rPr>
        <w:t xml:space="preserve"> </w:t>
      </w:r>
      <w:r w:rsidRPr="00EC20A0">
        <w:t>developments</w:t>
      </w:r>
      <w:r w:rsidRPr="00EC20A0">
        <w:rPr>
          <w:spacing w:val="-4"/>
        </w:rPr>
        <w:t xml:space="preserve"> </w:t>
      </w:r>
      <w:r w:rsidRPr="00EC20A0">
        <w:t>in</w:t>
      </w:r>
      <w:r w:rsidRPr="00EC20A0">
        <w:rPr>
          <w:spacing w:val="-4"/>
        </w:rPr>
        <w:t xml:space="preserve"> </w:t>
      </w:r>
      <w:r w:rsidRPr="00EC20A0">
        <w:t>a</w:t>
      </w:r>
      <w:r w:rsidRPr="00EC20A0">
        <w:rPr>
          <w:spacing w:val="-4"/>
        </w:rPr>
        <w:t xml:space="preserve"> </w:t>
      </w:r>
      <w:r w:rsidRPr="00EC20A0">
        <w:t>variety</w:t>
      </w:r>
      <w:r w:rsidRPr="00EC20A0">
        <w:rPr>
          <w:spacing w:val="-4"/>
        </w:rPr>
        <w:t xml:space="preserve"> </w:t>
      </w:r>
      <w:r w:rsidRPr="00EC20A0">
        <w:t>of</w:t>
      </w:r>
      <w:r w:rsidRPr="00EC20A0">
        <w:rPr>
          <w:spacing w:val="-4"/>
        </w:rPr>
        <w:t xml:space="preserve"> </w:t>
      </w:r>
      <w:r w:rsidRPr="00EC20A0">
        <w:t>entity-specific scenarios that may be difficult to predict (AU-C 540.A67) and</w:t>
      </w:r>
    </w:p>
    <w:p w14:paraId="24D6198E" w14:textId="77777777" w:rsidR="00245300" w:rsidRPr="00EC20A0" w:rsidRDefault="00245300">
      <w:pPr>
        <w:pStyle w:val="BodyText"/>
        <w:spacing w:before="2"/>
      </w:pPr>
    </w:p>
    <w:p w14:paraId="24D6198F" w14:textId="77777777" w:rsidR="00245300" w:rsidRPr="00EC20A0" w:rsidRDefault="00F17249">
      <w:pPr>
        <w:pStyle w:val="ListParagraph"/>
        <w:numPr>
          <w:ilvl w:val="2"/>
          <w:numId w:val="4"/>
        </w:numPr>
        <w:tabs>
          <w:tab w:val="left" w:pos="2360"/>
        </w:tabs>
        <w:spacing w:before="1" w:line="223" w:lineRule="auto"/>
        <w:ind w:right="774"/>
      </w:pPr>
      <w:r w:rsidRPr="00EC20A0">
        <w:t>a</w:t>
      </w:r>
      <w:r w:rsidRPr="00EC20A0">
        <w:rPr>
          <w:spacing w:val="-4"/>
        </w:rPr>
        <w:t xml:space="preserve"> </w:t>
      </w:r>
      <w:r w:rsidRPr="00EC20A0">
        <w:t>valuation</w:t>
      </w:r>
      <w:r w:rsidRPr="00EC20A0">
        <w:rPr>
          <w:spacing w:val="-5"/>
        </w:rPr>
        <w:t xml:space="preserve"> </w:t>
      </w:r>
      <w:r w:rsidRPr="00EC20A0">
        <w:t>model</w:t>
      </w:r>
      <w:r w:rsidRPr="00EC20A0">
        <w:rPr>
          <w:spacing w:val="-4"/>
        </w:rPr>
        <w:t xml:space="preserve"> </w:t>
      </w:r>
      <w:r w:rsidRPr="00EC20A0">
        <w:t>that</w:t>
      </w:r>
      <w:r w:rsidRPr="00EC20A0">
        <w:rPr>
          <w:spacing w:val="-4"/>
        </w:rPr>
        <w:t xml:space="preserve"> </w:t>
      </w:r>
      <w:r w:rsidRPr="00EC20A0">
        <w:t>calculates</w:t>
      </w:r>
      <w:r w:rsidRPr="00EC20A0">
        <w:rPr>
          <w:spacing w:val="-5"/>
        </w:rPr>
        <w:t xml:space="preserve"> </w:t>
      </w:r>
      <w:r w:rsidRPr="00EC20A0">
        <w:t>the</w:t>
      </w:r>
      <w:r w:rsidRPr="00EC20A0">
        <w:rPr>
          <w:spacing w:val="-4"/>
        </w:rPr>
        <w:t xml:space="preserve"> </w:t>
      </w:r>
      <w:r w:rsidRPr="00EC20A0">
        <w:t>present</w:t>
      </w:r>
      <w:r w:rsidRPr="00EC20A0">
        <w:rPr>
          <w:spacing w:val="-4"/>
        </w:rPr>
        <w:t xml:space="preserve"> </w:t>
      </w:r>
      <w:r w:rsidRPr="00EC20A0">
        <w:t>value</w:t>
      </w:r>
      <w:r w:rsidRPr="00EC20A0">
        <w:rPr>
          <w:spacing w:val="-4"/>
        </w:rPr>
        <w:t xml:space="preserve"> </w:t>
      </w:r>
      <w:r w:rsidRPr="00EC20A0">
        <w:t>of</w:t>
      </w:r>
      <w:r w:rsidRPr="00EC20A0">
        <w:rPr>
          <w:spacing w:val="-4"/>
        </w:rPr>
        <w:t xml:space="preserve"> </w:t>
      </w:r>
      <w:r w:rsidRPr="00EC20A0">
        <w:t>expected</w:t>
      </w:r>
      <w:r w:rsidRPr="00EC20A0">
        <w:rPr>
          <w:spacing w:val="-4"/>
        </w:rPr>
        <w:t xml:space="preserve"> </w:t>
      </w:r>
      <w:r w:rsidRPr="00EC20A0">
        <w:t xml:space="preserve">future cash </w:t>
      </w:r>
      <w:r w:rsidRPr="00EC20A0">
        <w:t>flows (AU-C 540.A39).</w:t>
      </w:r>
    </w:p>
    <w:p w14:paraId="24D61990" w14:textId="77777777" w:rsidR="00245300" w:rsidRPr="00EC20A0" w:rsidRDefault="00F17249">
      <w:pPr>
        <w:pStyle w:val="ListParagraph"/>
        <w:numPr>
          <w:ilvl w:val="1"/>
          <w:numId w:val="4"/>
        </w:numPr>
        <w:tabs>
          <w:tab w:val="left" w:pos="2000"/>
        </w:tabs>
        <w:spacing w:before="242"/>
        <w:ind w:right="380"/>
      </w:pPr>
      <w:r w:rsidRPr="00EC20A0">
        <w:rPr>
          <w:b/>
        </w:rPr>
        <w:t xml:space="preserve">Assumptions </w:t>
      </w:r>
      <w:r w:rsidRPr="00EC20A0">
        <w:t>involve judgment based on available information, such as the choice of an interest rate or a discount rate, or judgments about future conditions</w:t>
      </w:r>
      <w:r w:rsidRPr="00EC20A0">
        <w:rPr>
          <w:spacing w:val="-5"/>
        </w:rPr>
        <w:t xml:space="preserve"> </w:t>
      </w:r>
      <w:r w:rsidRPr="00EC20A0">
        <w:t>or</w:t>
      </w:r>
      <w:r w:rsidRPr="00EC20A0">
        <w:rPr>
          <w:spacing w:val="-4"/>
        </w:rPr>
        <w:t xml:space="preserve"> </w:t>
      </w:r>
      <w:r w:rsidRPr="00EC20A0">
        <w:t>events.</w:t>
      </w:r>
      <w:r w:rsidRPr="00EC20A0">
        <w:rPr>
          <w:spacing w:val="-4"/>
        </w:rPr>
        <w:t xml:space="preserve"> </w:t>
      </w:r>
      <w:r w:rsidRPr="00EC20A0">
        <w:t>An</w:t>
      </w:r>
      <w:r w:rsidRPr="00EC20A0">
        <w:rPr>
          <w:spacing w:val="-5"/>
        </w:rPr>
        <w:t xml:space="preserve"> </w:t>
      </w:r>
      <w:r w:rsidRPr="00EC20A0">
        <w:t>assumption</w:t>
      </w:r>
      <w:r w:rsidRPr="00EC20A0">
        <w:rPr>
          <w:spacing w:val="-5"/>
        </w:rPr>
        <w:t xml:space="preserve"> </w:t>
      </w:r>
      <w:r w:rsidRPr="00EC20A0">
        <w:t>may</w:t>
      </w:r>
      <w:r w:rsidRPr="00EC20A0">
        <w:rPr>
          <w:spacing w:val="-4"/>
        </w:rPr>
        <w:t xml:space="preserve"> </w:t>
      </w:r>
      <w:r w:rsidRPr="00EC20A0">
        <w:t>be</w:t>
      </w:r>
      <w:r w:rsidRPr="00EC20A0">
        <w:rPr>
          <w:spacing w:val="-4"/>
        </w:rPr>
        <w:t xml:space="preserve"> </w:t>
      </w:r>
      <w:r w:rsidRPr="00EC20A0">
        <w:t>selected</w:t>
      </w:r>
      <w:r w:rsidRPr="00EC20A0">
        <w:rPr>
          <w:spacing w:val="-4"/>
        </w:rPr>
        <w:t xml:space="preserve"> </w:t>
      </w:r>
      <w:r w:rsidRPr="00EC20A0">
        <w:t>by</w:t>
      </w:r>
      <w:r w:rsidRPr="00EC20A0">
        <w:rPr>
          <w:spacing w:val="-4"/>
        </w:rPr>
        <w:t xml:space="preserve"> </w:t>
      </w:r>
      <w:r w:rsidRPr="00EC20A0">
        <w:t>management</w:t>
      </w:r>
      <w:r w:rsidRPr="00EC20A0">
        <w:rPr>
          <w:spacing w:val="-4"/>
        </w:rPr>
        <w:t xml:space="preserve"> </w:t>
      </w:r>
      <w:r w:rsidRPr="00EC20A0">
        <w:t>from</w:t>
      </w:r>
      <w:r w:rsidRPr="00EC20A0">
        <w:rPr>
          <w:spacing w:val="-5"/>
        </w:rPr>
        <w:t xml:space="preserve"> </w:t>
      </w:r>
      <w:r w:rsidRPr="00EC20A0">
        <w:t>a range of appropriate alternatives (AU-C 540.A3). Assumptions that are made or identified by management’s specialists become management’s assumptions when used by management in making an accounting estimate (AU-C 540.A130).</w:t>
      </w:r>
    </w:p>
    <w:p w14:paraId="24D61991" w14:textId="77777777" w:rsidR="00245300" w:rsidRPr="00EC20A0" w:rsidRDefault="00F17249">
      <w:pPr>
        <w:pStyle w:val="ListParagraph"/>
        <w:numPr>
          <w:ilvl w:val="1"/>
          <w:numId w:val="4"/>
        </w:numPr>
        <w:tabs>
          <w:tab w:val="left" w:pos="1999"/>
        </w:tabs>
        <w:spacing w:before="239"/>
        <w:ind w:left="1999" w:right="403"/>
      </w:pPr>
      <w:r w:rsidRPr="00EC20A0">
        <w:rPr>
          <w:b/>
        </w:rPr>
        <w:t xml:space="preserve">Data </w:t>
      </w:r>
      <w:r w:rsidRPr="00EC20A0">
        <w:t>refers to information that can be obtained through direct observation or from an external party (AU-C 540.A4). Data can be generated within the entity</w:t>
      </w:r>
      <w:r w:rsidRPr="00EC20A0">
        <w:rPr>
          <w:spacing w:val="-1"/>
        </w:rPr>
        <w:t xml:space="preserve"> </w:t>
      </w:r>
      <w:r w:rsidRPr="00EC20A0">
        <w:t>or</w:t>
      </w:r>
      <w:r w:rsidRPr="00EC20A0">
        <w:rPr>
          <w:spacing w:val="-1"/>
        </w:rPr>
        <w:t xml:space="preserve"> </w:t>
      </w:r>
      <w:r w:rsidRPr="00EC20A0">
        <w:t>externally,</w:t>
      </w:r>
      <w:r w:rsidRPr="00EC20A0">
        <w:rPr>
          <w:spacing w:val="-1"/>
        </w:rPr>
        <w:t xml:space="preserve"> </w:t>
      </w:r>
      <w:r w:rsidRPr="00EC20A0">
        <w:t>obtained</w:t>
      </w:r>
      <w:r w:rsidRPr="00EC20A0">
        <w:rPr>
          <w:spacing w:val="-1"/>
        </w:rPr>
        <w:t xml:space="preserve"> </w:t>
      </w:r>
      <w:r w:rsidRPr="00EC20A0">
        <w:t>from</w:t>
      </w:r>
      <w:r w:rsidRPr="00EC20A0">
        <w:rPr>
          <w:spacing w:val="-2"/>
        </w:rPr>
        <w:t xml:space="preserve"> </w:t>
      </w:r>
      <w:r w:rsidRPr="00EC20A0">
        <w:t>a</w:t>
      </w:r>
      <w:r w:rsidRPr="00EC20A0">
        <w:rPr>
          <w:spacing w:val="-1"/>
        </w:rPr>
        <w:t xml:space="preserve"> </w:t>
      </w:r>
      <w:r w:rsidRPr="00EC20A0">
        <w:t>system</w:t>
      </w:r>
      <w:r w:rsidRPr="00EC20A0">
        <w:rPr>
          <w:spacing w:val="-2"/>
        </w:rPr>
        <w:t xml:space="preserve"> </w:t>
      </w:r>
      <w:r w:rsidRPr="00EC20A0">
        <w:t>that</w:t>
      </w:r>
      <w:r w:rsidRPr="00EC20A0">
        <w:rPr>
          <w:spacing w:val="-2"/>
        </w:rPr>
        <w:t xml:space="preserve"> </w:t>
      </w:r>
      <w:r w:rsidRPr="00EC20A0">
        <w:t>is</w:t>
      </w:r>
      <w:r w:rsidRPr="00EC20A0">
        <w:rPr>
          <w:spacing w:val="-1"/>
        </w:rPr>
        <w:t xml:space="preserve"> </w:t>
      </w:r>
      <w:r w:rsidRPr="00EC20A0">
        <w:t>either</w:t>
      </w:r>
      <w:r w:rsidRPr="00EC20A0">
        <w:rPr>
          <w:spacing w:val="-1"/>
        </w:rPr>
        <w:t xml:space="preserve"> </w:t>
      </w:r>
      <w:r w:rsidRPr="00EC20A0">
        <w:t>within</w:t>
      </w:r>
      <w:r w:rsidRPr="00EC20A0">
        <w:rPr>
          <w:spacing w:val="-1"/>
        </w:rPr>
        <w:t xml:space="preserve"> </w:t>
      </w:r>
      <w:r w:rsidRPr="00EC20A0">
        <w:t>or</w:t>
      </w:r>
      <w:r w:rsidRPr="00EC20A0">
        <w:rPr>
          <w:spacing w:val="-1"/>
        </w:rPr>
        <w:t xml:space="preserve"> </w:t>
      </w:r>
      <w:r w:rsidRPr="00EC20A0">
        <w:t>outside</w:t>
      </w:r>
      <w:r w:rsidRPr="00EC20A0">
        <w:rPr>
          <w:spacing w:val="-2"/>
        </w:rPr>
        <w:t xml:space="preserve"> </w:t>
      </w:r>
      <w:r w:rsidRPr="00EC20A0">
        <w:t>the general or subsidiary ledgers, observable in contracts, or observable in legislative or regulatory pronouncements (AU-C 540.A6). Examples of data include</w:t>
      </w:r>
      <w:r w:rsidRPr="00EC20A0">
        <w:rPr>
          <w:spacing w:val="-4"/>
        </w:rPr>
        <w:t xml:space="preserve"> </w:t>
      </w:r>
      <w:r w:rsidRPr="00EC20A0">
        <w:t>prices</w:t>
      </w:r>
      <w:r w:rsidRPr="00EC20A0">
        <w:rPr>
          <w:spacing w:val="-4"/>
        </w:rPr>
        <w:t xml:space="preserve"> </w:t>
      </w:r>
      <w:r w:rsidRPr="00EC20A0">
        <w:t>generated</w:t>
      </w:r>
      <w:r w:rsidRPr="00EC20A0">
        <w:rPr>
          <w:spacing w:val="-4"/>
        </w:rPr>
        <w:t xml:space="preserve"> </w:t>
      </w:r>
      <w:r w:rsidRPr="00EC20A0">
        <w:t>by</w:t>
      </w:r>
      <w:r w:rsidRPr="00EC20A0">
        <w:rPr>
          <w:spacing w:val="-4"/>
        </w:rPr>
        <w:t xml:space="preserve"> </w:t>
      </w:r>
      <w:r w:rsidRPr="00EC20A0">
        <w:t>market</w:t>
      </w:r>
      <w:r w:rsidRPr="00EC20A0">
        <w:rPr>
          <w:spacing w:val="-4"/>
        </w:rPr>
        <w:t xml:space="preserve"> </w:t>
      </w:r>
      <w:r w:rsidRPr="00EC20A0">
        <w:t>transactions</w:t>
      </w:r>
      <w:r w:rsidRPr="00EC20A0">
        <w:rPr>
          <w:spacing w:val="-5"/>
        </w:rPr>
        <w:t xml:space="preserve"> </w:t>
      </w:r>
      <w:r w:rsidRPr="00EC20A0">
        <w:t>and</w:t>
      </w:r>
      <w:r w:rsidRPr="00EC20A0">
        <w:rPr>
          <w:spacing w:val="-4"/>
        </w:rPr>
        <w:t xml:space="preserve"> </w:t>
      </w:r>
      <w:r w:rsidRPr="00EC20A0">
        <w:t>historical</w:t>
      </w:r>
      <w:r w:rsidRPr="00EC20A0">
        <w:rPr>
          <w:spacing w:val="-4"/>
        </w:rPr>
        <w:t xml:space="preserve"> </w:t>
      </w:r>
      <w:r w:rsidRPr="00EC20A0">
        <w:t>prices</w:t>
      </w:r>
      <w:r w:rsidRPr="00EC20A0">
        <w:rPr>
          <w:spacing w:val="-4"/>
        </w:rPr>
        <w:t xml:space="preserve"> </w:t>
      </w:r>
      <w:r w:rsidRPr="00EC20A0">
        <w:t>or</w:t>
      </w:r>
      <w:r w:rsidRPr="00EC20A0">
        <w:rPr>
          <w:spacing w:val="-6"/>
        </w:rPr>
        <w:t xml:space="preserve"> </w:t>
      </w:r>
      <w:r w:rsidRPr="00EC20A0">
        <w:t>other terms included in contracts, such as a contracted interest ra</w:t>
      </w:r>
      <w:r w:rsidRPr="00EC20A0">
        <w:t>te or payment schedule (AU-C 540.A5).</w:t>
      </w:r>
    </w:p>
    <w:p w14:paraId="24D61992" w14:textId="77777777" w:rsidR="00245300" w:rsidRPr="00EC20A0" w:rsidRDefault="00245300">
      <w:pPr>
        <w:sectPr w:rsidR="00245300" w:rsidRPr="00EC20A0">
          <w:headerReference w:type="default" r:id="rId157"/>
          <w:footerReference w:type="default" r:id="rId158"/>
          <w:pgSz w:w="12240" w:h="15840"/>
          <w:pgMar w:top="1340" w:right="1100" w:bottom="940" w:left="1240" w:header="721" w:footer="757" w:gutter="0"/>
          <w:pgNumType w:start="1"/>
          <w:cols w:space="720"/>
        </w:sectPr>
      </w:pPr>
    </w:p>
    <w:p w14:paraId="24D61993" w14:textId="77777777" w:rsidR="00245300" w:rsidRPr="00EC20A0" w:rsidRDefault="00F17249">
      <w:pPr>
        <w:pStyle w:val="ListParagraph"/>
        <w:numPr>
          <w:ilvl w:val="0"/>
          <w:numId w:val="4"/>
        </w:numPr>
        <w:tabs>
          <w:tab w:val="left" w:pos="1640"/>
        </w:tabs>
        <w:spacing w:before="121"/>
        <w:ind w:right="395"/>
      </w:pPr>
      <w:r w:rsidRPr="00EC20A0">
        <w:t xml:space="preserve">Although FAM 905 applies to all accounting estimates, the degree to </w:t>
      </w:r>
      <w:r w:rsidRPr="00EC20A0">
        <w:t>which an accounting estimate is subject to estimation uncertainty will vary substantially. The nature, timing, and extent of the risk assessment and further audit procedures will vary in relation to the estimation uncertainty and the assessment of the related risks of material misstatement. For certain accounting estimates, estimation uncertainty may be very low, based on their nature, and the complexity and subjectivity involved in making them may also be very low. For such accounting estimates, the risk a</w:t>
      </w:r>
      <w:r w:rsidRPr="00EC20A0">
        <w:t>ssessment procedures and further audit procedures</w:t>
      </w:r>
      <w:r w:rsidRPr="00EC20A0">
        <w:rPr>
          <w:spacing w:val="-5"/>
        </w:rPr>
        <w:t xml:space="preserve"> </w:t>
      </w:r>
      <w:r w:rsidRPr="00EC20A0">
        <w:t>would</w:t>
      </w:r>
      <w:r w:rsidRPr="00EC20A0">
        <w:rPr>
          <w:spacing w:val="-4"/>
        </w:rPr>
        <w:t xml:space="preserve"> </w:t>
      </w:r>
      <w:r w:rsidRPr="00EC20A0">
        <w:t>not</w:t>
      </w:r>
      <w:r w:rsidRPr="00EC20A0">
        <w:rPr>
          <w:spacing w:val="-4"/>
        </w:rPr>
        <w:t xml:space="preserve"> </w:t>
      </w:r>
      <w:r w:rsidRPr="00EC20A0">
        <w:t>be</w:t>
      </w:r>
      <w:r w:rsidRPr="00EC20A0">
        <w:rPr>
          <w:spacing w:val="-4"/>
        </w:rPr>
        <w:t xml:space="preserve"> </w:t>
      </w:r>
      <w:r w:rsidRPr="00EC20A0">
        <w:t>expected</w:t>
      </w:r>
      <w:r w:rsidRPr="00EC20A0">
        <w:rPr>
          <w:spacing w:val="-4"/>
        </w:rPr>
        <w:t xml:space="preserve"> </w:t>
      </w:r>
      <w:r w:rsidRPr="00EC20A0">
        <w:t>to</w:t>
      </w:r>
      <w:r w:rsidRPr="00EC20A0">
        <w:rPr>
          <w:spacing w:val="-4"/>
        </w:rPr>
        <w:t xml:space="preserve"> </w:t>
      </w:r>
      <w:r w:rsidRPr="00EC20A0">
        <w:t>be</w:t>
      </w:r>
      <w:r w:rsidRPr="00EC20A0">
        <w:rPr>
          <w:spacing w:val="-4"/>
        </w:rPr>
        <w:t xml:space="preserve"> </w:t>
      </w:r>
      <w:r w:rsidRPr="00EC20A0">
        <w:t>extensive.</w:t>
      </w:r>
      <w:r w:rsidRPr="00EC20A0">
        <w:rPr>
          <w:spacing w:val="-4"/>
        </w:rPr>
        <w:t xml:space="preserve"> </w:t>
      </w:r>
      <w:r w:rsidRPr="00EC20A0">
        <w:t>When</w:t>
      </w:r>
      <w:r w:rsidRPr="00EC20A0">
        <w:rPr>
          <w:spacing w:val="-4"/>
        </w:rPr>
        <w:t xml:space="preserve"> </w:t>
      </w:r>
      <w:r w:rsidRPr="00EC20A0">
        <w:t>estimation</w:t>
      </w:r>
      <w:r w:rsidRPr="00EC20A0">
        <w:rPr>
          <w:spacing w:val="-4"/>
        </w:rPr>
        <w:t xml:space="preserve"> </w:t>
      </w:r>
      <w:r w:rsidRPr="00EC20A0">
        <w:t>uncertainty, complexity, or subjectivity are very high, such procedures would be expected to be much more extensive. (AU-C 540.03)</w:t>
      </w:r>
    </w:p>
    <w:p w14:paraId="24D61994" w14:textId="77777777" w:rsidR="00245300" w:rsidRPr="00EC20A0" w:rsidRDefault="00F17249">
      <w:pPr>
        <w:pStyle w:val="ListParagraph"/>
        <w:numPr>
          <w:ilvl w:val="0"/>
          <w:numId w:val="4"/>
        </w:numPr>
        <w:tabs>
          <w:tab w:val="left" w:pos="1640"/>
        </w:tabs>
        <w:ind w:right="355"/>
      </w:pPr>
      <w:r w:rsidRPr="00EC20A0">
        <w:t>Examples of accounting estimates include fair value of assets or liabilities; allowance for loss on accounts receivable; depreciation of property and equipment; employee retirement benefits liabilities; outcome of pending litigation; and</w:t>
      </w:r>
      <w:r w:rsidRPr="00EC20A0">
        <w:rPr>
          <w:spacing w:val="-4"/>
        </w:rPr>
        <w:t xml:space="preserve"> </w:t>
      </w:r>
      <w:r w:rsidRPr="00EC20A0">
        <w:t>valuation</w:t>
      </w:r>
      <w:r w:rsidRPr="00EC20A0">
        <w:rPr>
          <w:spacing w:val="-4"/>
        </w:rPr>
        <w:t xml:space="preserve"> </w:t>
      </w:r>
      <w:r w:rsidRPr="00EC20A0">
        <w:t>of</w:t>
      </w:r>
      <w:r w:rsidRPr="00EC20A0">
        <w:rPr>
          <w:spacing w:val="-4"/>
        </w:rPr>
        <w:t xml:space="preserve"> </w:t>
      </w:r>
      <w:r w:rsidRPr="00EC20A0">
        <w:t>financial</w:t>
      </w:r>
      <w:r w:rsidRPr="00EC20A0">
        <w:rPr>
          <w:spacing w:val="-4"/>
        </w:rPr>
        <w:t xml:space="preserve"> </w:t>
      </w:r>
      <w:r w:rsidRPr="00EC20A0">
        <w:t>instruments</w:t>
      </w:r>
      <w:r w:rsidRPr="00EC20A0">
        <w:rPr>
          <w:spacing w:val="-4"/>
        </w:rPr>
        <w:t xml:space="preserve"> </w:t>
      </w:r>
      <w:r w:rsidRPr="00EC20A0">
        <w:t>and</w:t>
      </w:r>
      <w:r w:rsidRPr="00EC20A0">
        <w:rPr>
          <w:spacing w:val="-4"/>
        </w:rPr>
        <w:t xml:space="preserve"> </w:t>
      </w:r>
      <w:r w:rsidRPr="00EC20A0">
        <w:t>infrastructure</w:t>
      </w:r>
      <w:r w:rsidRPr="00EC20A0">
        <w:rPr>
          <w:spacing w:val="-4"/>
        </w:rPr>
        <w:t xml:space="preserve"> </w:t>
      </w:r>
      <w:r w:rsidRPr="00EC20A0">
        <w:t>assets,</w:t>
      </w:r>
      <w:r w:rsidRPr="00EC20A0">
        <w:rPr>
          <w:spacing w:val="-4"/>
        </w:rPr>
        <w:t xml:space="preserve"> </w:t>
      </w:r>
      <w:r w:rsidRPr="00EC20A0">
        <w:t>such</w:t>
      </w:r>
      <w:r w:rsidRPr="00EC20A0">
        <w:rPr>
          <w:spacing w:val="-4"/>
        </w:rPr>
        <w:t xml:space="preserve"> </w:t>
      </w:r>
      <w:r w:rsidRPr="00EC20A0">
        <w:t>as</w:t>
      </w:r>
      <w:r w:rsidRPr="00EC20A0">
        <w:rPr>
          <w:spacing w:val="-5"/>
        </w:rPr>
        <w:t xml:space="preserve"> </w:t>
      </w:r>
      <w:r w:rsidRPr="00EC20A0">
        <w:t>buildings and roadways. Depending on the nature of a particular accounting estimate, the susceptibility of an assertion to a misstatement that could be material may be subject to or affected by estimation uncertainty, complexity, subjectivity, or other inherent risk factors, and the interrelationship among them (AU-C 540.04). See AU-C 540.A152 for a detailed discussion on inherent risk factors related to accounting estimates.</w:t>
      </w:r>
    </w:p>
    <w:p w14:paraId="24D61995" w14:textId="77777777" w:rsidR="00245300" w:rsidRPr="00EC20A0" w:rsidRDefault="00F17249">
      <w:pPr>
        <w:pStyle w:val="ListParagraph"/>
        <w:numPr>
          <w:ilvl w:val="0"/>
          <w:numId w:val="4"/>
        </w:numPr>
        <w:tabs>
          <w:tab w:val="left" w:pos="1640"/>
        </w:tabs>
        <w:ind w:right="345"/>
      </w:pPr>
      <w:r w:rsidRPr="00EC20A0">
        <w:t>The exercise of professional skepticism in relation to accounting estimates is affected by the auditor’s consideration of inherent risk factors, and its importance increases when accounting estimates are subject to a greater degree of estimation uncertainty or are affected to a greater degree by complexity, subjectivity, or other inherent risk factors. Similarly, the exercise of professional skepticism is important when there is greater susceptibility to misstatement due</w:t>
      </w:r>
      <w:r w:rsidRPr="00EC20A0">
        <w:rPr>
          <w:spacing w:val="40"/>
        </w:rPr>
        <w:t xml:space="preserve"> </w:t>
      </w:r>
      <w:r w:rsidRPr="00EC20A0">
        <w:t>to</w:t>
      </w:r>
      <w:r w:rsidRPr="00EC20A0">
        <w:rPr>
          <w:spacing w:val="-3"/>
        </w:rPr>
        <w:t xml:space="preserve"> </w:t>
      </w:r>
      <w:r w:rsidRPr="00EC20A0">
        <w:t>management</w:t>
      </w:r>
      <w:r w:rsidRPr="00EC20A0">
        <w:rPr>
          <w:spacing w:val="-3"/>
        </w:rPr>
        <w:t xml:space="preserve"> </w:t>
      </w:r>
      <w:r w:rsidRPr="00EC20A0">
        <w:t>bias</w:t>
      </w:r>
      <w:r w:rsidRPr="00EC20A0">
        <w:rPr>
          <w:spacing w:val="-3"/>
        </w:rPr>
        <w:t xml:space="preserve"> </w:t>
      </w:r>
      <w:r w:rsidRPr="00EC20A0">
        <w:t>or</w:t>
      </w:r>
      <w:r w:rsidRPr="00EC20A0">
        <w:rPr>
          <w:spacing w:val="-3"/>
        </w:rPr>
        <w:t xml:space="preserve"> </w:t>
      </w:r>
      <w:r w:rsidRPr="00EC20A0">
        <w:t>other</w:t>
      </w:r>
      <w:r w:rsidRPr="00EC20A0">
        <w:rPr>
          <w:spacing w:val="-3"/>
        </w:rPr>
        <w:t xml:space="preserve"> </w:t>
      </w:r>
      <w:r w:rsidRPr="00EC20A0">
        <w:t>fraud</w:t>
      </w:r>
      <w:r w:rsidRPr="00EC20A0">
        <w:rPr>
          <w:spacing w:val="-3"/>
        </w:rPr>
        <w:t xml:space="preserve"> </w:t>
      </w:r>
      <w:r w:rsidRPr="00EC20A0">
        <w:t>risk</w:t>
      </w:r>
      <w:r w:rsidRPr="00EC20A0">
        <w:rPr>
          <w:spacing w:val="-3"/>
        </w:rPr>
        <w:t xml:space="preserve"> </w:t>
      </w:r>
      <w:r w:rsidRPr="00EC20A0">
        <w:t>factors</w:t>
      </w:r>
      <w:r w:rsidRPr="00EC20A0">
        <w:rPr>
          <w:spacing w:val="-3"/>
        </w:rPr>
        <w:t xml:space="preserve"> </w:t>
      </w:r>
      <w:r w:rsidRPr="00EC20A0">
        <w:t>insofar</w:t>
      </w:r>
      <w:r w:rsidRPr="00EC20A0">
        <w:rPr>
          <w:spacing w:val="-3"/>
        </w:rPr>
        <w:t xml:space="preserve"> </w:t>
      </w:r>
      <w:r w:rsidRPr="00EC20A0">
        <w:t>as</w:t>
      </w:r>
      <w:r w:rsidRPr="00EC20A0">
        <w:rPr>
          <w:spacing w:val="-3"/>
        </w:rPr>
        <w:t xml:space="preserve"> </w:t>
      </w:r>
      <w:r w:rsidRPr="00EC20A0">
        <w:t>they</w:t>
      </w:r>
      <w:r w:rsidRPr="00EC20A0">
        <w:rPr>
          <w:spacing w:val="-3"/>
        </w:rPr>
        <w:t xml:space="preserve"> </w:t>
      </w:r>
      <w:r w:rsidRPr="00EC20A0">
        <w:t>affect</w:t>
      </w:r>
      <w:r w:rsidRPr="00EC20A0">
        <w:rPr>
          <w:spacing w:val="-3"/>
        </w:rPr>
        <w:t xml:space="preserve"> </w:t>
      </w:r>
      <w:r w:rsidRPr="00EC20A0">
        <w:t>inherent</w:t>
      </w:r>
      <w:r w:rsidRPr="00EC20A0">
        <w:rPr>
          <w:spacing w:val="-3"/>
        </w:rPr>
        <w:t xml:space="preserve"> </w:t>
      </w:r>
      <w:r w:rsidRPr="00EC20A0">
        <w:t>risk. (AU-C 540.07)</w:t>
      </w:r>
    </w:p>
    <w:p w14:paraId="24D61996" w14:textId="77777777" w:rsidR="00245300" w:rsidRPr="00EC20A0" w:rsidRDefault="00F17249">
      <w:pPr>
        <w:pStyle w:val="BodyText"/>
        <w:spacing w:before="240"/>
        <w:ind w:left="1640" w:right="345"/>
      </w:pPr>
      <w:r w:rsidRPr="00EC20A0">
        <w:t>Although there may be no single way in which the auditor’s exercise of professional skepticism is documented, the audit documentation may nevertheless provide evidence of the auditor’s exercise of professional skepticism. For example, in relation to accounting estimates, when the audit evidence obtained includes evidence that both corroborates and contradicts management’s assertions, the documentation may include how the auditor evaluated</w:t>
      </w:r>
      <w:r w:rsidRPr="00EC20A0">
        <w:rPr>
          <w:spacing w:val="-4"/>
        </w:rPr>
        <w:t xml:space="preserve"> </w:t>
      </w:r>
      <w:r w:rsidRPr="00EC20A0">
        <w:t>that</w:t>
      </w:r>
      <w:r w:rsidRPr="00EC20A0">
        <w:rPr>
          <w:spacing w:val="-4"/>
        </w:rPr>
        <w:t xml:space="preserve"> </w:t>
      </w:r>
      <w:r w:rsidRPr="00EC20A0">
        <w:t>evidence,</w:t>
      </w:r>
      <w:r w:rsidRPr="00EC20A0">
        <w:rPr>
          <w:spacing w:val="-5"/>
        </w:rPr>
        <w:t xml:space="preserve"> </w:t>
      </w:r>
      <w:r w:rsidRPr="00EC20A0">
        <w:t>including</w:t>
      </w:r>
      <w:r w:rsidRPr="00EC20A0">
        <w:rPr>
          <w:spacing w:val="-5"/>
        </w:rPr>
        <w:t xml:space="preserve"> </w:t>
      </w:r>
      <w:r w:rsidRPr="00EC20A0">
        <w:t>professional</w:t>
      </w:r>
      <w:r w:rsidRPr="00EC20A0">
        <w:rPr>
          <w:spacing w:val="-5"/>
        </w:rPr>
        <w:t xml:space="preserve"> </w:t>
      </w:r>
      <w:r w:rsidRPr="00EC20A0">
        <w:t>judgments</w:t>
      </w:r>
      <w:r w:rsidRPr="00EC20A0">
        <w:rPr>
          <w:spacing w:val="-4"/>
        </w:rPr>
        <w:t xml:space="preserve"> </w:t>
      </w:r>
      <w:r w:rsidRPr="00EC20A0">
        <w:t>made</w:t>
      </w:r>
      <w:r w:rsidRPr="00EC20A0">
        <w:rPr>
          <w:spacing w:val="-4"/>
        </w:rPr>
        <w:t xml:space="preserve"> </w:t>
      </w:r>
      <w:r w:rsidRPr="00EC20A0">
        <w:t>in</w:t>
      </w:r>
      <w:r w:rsidRPr="00EC20A0">
        <w:rPr>
          <w:spacing w:val="-4"/>
        </w:rPr>
        <w:t xml:space="preserve"> </w:t>
      </w:r>
      <w:r w:rsidRPr="00EC20A0">
        <w:t>forming</w:t>
      </w:r>
      <w:r w:rsidRPr="00EC20A0">
        <w:rPr>
          <w:spacing w:val="-4"/>
        </w:rPr>
        <w:t xml:space="preserve"> </w:t>
      </w:r>
      <w:r w:rsidRPr="00EC20A0">
        <w:t>a conclusion about the sufficiency and appropriateness of the audit evidence obtained. (AU-C 540.A151)</w:t>
      </w:r>
    </w:p>
    <w:p w14:paraId="24D61997" w14:textId="77777777" w:rsidR="00245300" w:rsidRPr="00EC20A0" w:rsidRDefault="00245300">
      <w:pPr>
        <w:pStyle w:val="BodyText"/>
        <w:spacing w:before="47"/>
      </w:pPr>
    </w:p>
    <w:p w14:paraId="24D61998" w14:textId="77777777" w:rsidR="00245300" w:rsidRPr="00EC20A0" w:rsidRDefault="00F17249">
      <w:pPr>
        <w:pStyle w:val="Heading4"/>
        <w:spacing w:before="0"/>
        <w:ind w:left="200"/>
      </w:pPr>
      <w:r w:rsidRPr="00EC20A0">
        <w:t>Audit</w:t>
      </w:r>
      <w:r w:rsidRPr="00EC20A0">
        <w:rPr>
          <w:spacing w:val="-10"/>
        </w:rPr>
        <w:t xml:space="preserve"> </w:t>
      </w:r>
      <w:r w:rsidRPr="00EC20A0">
        <w:rPr>
          <w:spacing w:val="-2"/>
        </w:rPr>
        <w:t>Approach</w:t>
      </w:r>
    </w:p>
    <w:p w14:paraId="24D61999" w14:textId="77777777" w:rsidR="00245300" w:rsidRPr="00EC20A0" w:rsidRDefault="00F17249">
      <w:pPr>
        <w:pStyle w:val="ListParagraph"/>
        <w:numPr>
          <w:ilvl w:val="0"/>
          <w:numId w:val="4"/>
        </w:numPr>
        <w:tabs>
          <w:tab w:val="left" w:pos="1640"/>
        </w:tabs>
        <w:spacing w:before="300"/>
        <w:ind w:right="480"/>
      </w:pPr>
      <w:r w:rsidRPr="00EC20A0">
        <w:t>The objective of the auditor is to obtain sufficient appropriate audit evidence about</w:t>
      </w:r>
      <w:r w:rsidRPr="00EC20A0">
        <w:rPr>
          <w:spacing w:val="-4"/>
        </w:rPr>
        <w:t xml:space="preserve"> </w:t>
      </w:r>
      <w:r w:rsidRPr="00EC20A0">
        <w:t>whether</w:t>
      </w:r>
      <w:r w:rsidRPr="00EC20A0">
        <w:rPr>
          <w:spacing w:val="-4"/>
        </w:rPr>
        <w:t xml:space="preserve"> </w:t>
      </w:r>
      <w:r w:rsidRPr="00EC20A0">
        <w:t>accounting</w:t>
      </w:r>
      <w:r w:rsidRPr="00EC20A0">
        <w:rPr>
          <w:spacing w:val="-4"/>
        </w:rPr>
        <w:t xml:space="preserve"> </w:t>
      </w:r>
      <w:r w:rsidRPr="00EC20A0">
        <w:t>estimates</w:t>
      </w:r>
      <w:r w:rsidRPr="00EC20A0">
        <w:rPr>
          <w:spacing w:val="-5"/>
        </w:rPr>
        <w:t xml:space="preserve"> </w:t>
      </w:r>
      <w:r w:rsidRPr="00EC20A0">
        <w:t>in</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and</w:t>
      </w:r>
      <w:r w:rsidRPr="00EC20A0">
        <w:rPr>
          <w:spacing w:val="-4"/>
        </w:rPr>
        <w:t xml:space="preserve"> </w:t>
      </w:r>
      <w:r w:rsidRPr="00EC20A0">
        <w:t>related</w:t>
      </w:r>
      <w:r w:rsidRPr="00EC20A0">
        <w:rPr>
          <w:spacing w:val="-4"/>
        </w:rPr>
        <w:t xml:space="preserve"> </w:t>
      </w:r>
      <w:r w:rsidRPr="00EC20A0">
        <w:t xml:space="preserve">note disclosures are reasonable in the context of the applicable financial reporting framework (generally U.S. GAAP) (AU-C 540.10). Reasonable, in this context, means that the relevant requirements of the framework have been </w:t>
      </w:r>
      <w:r w:rsidRPr="00EC20A0">
        <w:t>applied appropriately, including those that address the following (AU-C 540.08):</w:t>
      </w:r>
    </w:p>
    <w:p w14:paraId="24D6199A" w14:textId="77777777" w:rsidR="00245300" w:rsidRPr="00EC20A0" w:rsidRDefault="00245300">
      <w:pPr>
        <w:sectPr w:rsidR="00245300" w:rsidRPr="00EC20A0">
          <w:pgSz w:w="12240" w:h="15840"/>
          <w:pgMar w:top="1340" w:right="1100" w:bottom="940" w:left="1240" w:header="721" w:footer="757" w:gutter="0"/>
          <w:cols w:space="720"/>
        </w:sectPr>
      </w:pPr>
    </w:p>
    <w:p w14:paraId="24D6199B" w14:textId="77777777" w:rsidR="00245300" w:rsidRPr="00EC20A0" w:rsidRDefault="00F17249">
      <w:pPr>
        <w:pStyle w:val="ListParagraph"/>
        <w:numPr>
          <w:ilvl w:val="1"/>
          <w:numId w:val="4"/>
        </w:numPr>
        <w:tabs>
          <w:tab w:val="left" w:pos="1999"/>
        </w:tabs>
        <w:spacing w:before="121"/>
        <w:ind w:left="1999" w:right="744"/>
      </w:pPr>
      <w:r w:rsidRPr="00EC20A0">
        <w:t>the</w:t>
      </w:r>
      <w:r w:rsidRPr="00EC20A0">
        <w:rPr>
          <w:spacing w:val="-4"/>
        </w:rPr>
        <w:t xml:space="preserve"> </w:t>
      </w:r>
      <w:r w:rsidRPr="00EC20A0">
        <w:t>development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accounting</w:t>
      </w:r>
      <w:r w:rsidRPr="00EC20A0">
        <w:rPr>
          <w:spacing w:val="-5"/>
        </w:rPr>
        <w:t xml:space="preserve"> </w:t>
      </w:r>
      <w:r w:rsidRPr="00EC20A0">
        <w:t>estimate,</w:t>
      </w:r>
      <w:r w:rsidRPr="00EC20A0">
        <w:rPr>
          <w:spacing w:val="-4"/>
        </w:rPr>
        <w:t xml:space="preserve"> </w:t>
      </w:r>
      <w:r w:rsidRPr="00EC20A0">
        <w:t>including</w:t>
      </w:r>
      <w:r w:rsidRPr="00EC20A0">
        <w:rPr>
          <w:spacing w:val="-4"/>
        </w:rPr>
        <w:t xml:space="preserve"> </w:t>
      </w:r>
      <w:r w:rsidRPr="00EC20A0">
        <w:t>the</w:t>
      </w:r>
      <w:r w:rsidRPr="00EC20A0">
        <w:rPr>
          <w:spacing w:val="-5"/>
        </w:rPr>
        <w:t xml:space="preserve"> </w:t>
      </w:r>
      <w:r w:rsidRPr="00EC20A0">
        <w:t>selection</w:t>
      </w:r>
      <w:r w:rsidRPr="00EC20A0">
        <w:rPr>
          <w:spacing w:val="-5"/>
        </w:rPr>
        <w:t xml:space="preserve"> </w:t>
      </w:r>
      <w:r w:rsidRPr="00EC20A0">
        <w:t>of</w:t>
      </w:r>
      <w:r w:rsidRPr="00EC20A0">
        <w:rPr>
          <w:spacing w:val="-5"/>
        </w:rPr>
        <w:t xml:space="preserve"> </w:t>
      </w:r>
      <w:r w:rsidRPr="00EC20A0">
        <w:t>the method, assumptions, and data in view of the nature of the accounting estimate and the facts and circumstances of the entity;</w:t>
      </w:r>
    </w:p>
    <w:p w14:paraId="24D6199C" w14:textId="77777777" w:rsidR="00245300" w:rsidRPr="00EC20A0" w:rsidRDefault="00F17249">
      <w:pPr>
        <w:pStyle w:val="ListParagraph"/>
        <w:numPr>
          <w:ilvl w:val="1"/>
          <w:numId w:val="4"/>
        </w:numPr>
        <w:tabs>
          <w:tab w:val="left" w:pos="1999"/>
        </w:tabs>
        <w:spacing w:before="238"/>
        <w:ind w:left="1999"/>
      </w:pPr>
      <w:r w:rsidRPr="00EC20A0">
        <w:t>the</w:t>
      </w:r>
      <w:r w:rsidRPr="00EC20A0">
        <w:rPr>
          <w:spacing w:val="-8"/>
        </w:rPr>
        <w:t xml:space="preserve"> </w:t>
      </w:r>
      <w:r w:rsidRPr="00EC20A0">
        <w:t>selection</w:t>
      </w:r>
      <w:r w:rsidRPr="00EC20A0">
        <w:rPr>
          <w:spacing w:val="-8"/>
        </w:rPr>
        <w:t xml:space="preserve"> </w:t>
      </w:r>
      <w:r w:rsidRPr="00EC20A0">
        <w:t>of</w:t>
      </w:r>
      <w:r w:rsidRPr="00EC20A0">
        <w:rPr>
          <w:spacing w:val="-8"/>
        </w:rPr>
        <w:t xml:space="preserve"> </w:t>
      </w:r>
      <w:r w:rsidRPr="00EC20A0">
        <w:t>management’s</w:t>
      </w:r>
      <w:r w:rsidRPr="00EC20A0">
        <w:rPr>
          <w:spacing w:val="-8"/>
        </w:rPr>
        <w:t xml:space="preserve"> </w:t>
      </w:r>
      <w:r w:rsidRPr="00EC20A0">
        <w:t>point</w:t>
      </w:r>
      <w:r w:rsidRPr="00EC20A0">
        <w:rPr>
          <w:spacing w:val="-9"/>
        </w:rPr>
        <w:t xml:space="preserve"> </w:t>
      </w:r>
      <w:r w:rsidRPr="00EC20A0">
        <w:t>estimate;</w:t>
      </w:r>
      <w:r w:rsidRPr="00EC20A0">
        <w:rPr>
          <w:spacing w:val="-8"/>
        </w:rPr>
        <w:t xml:space="preserve"> </w:t>
      </w:r>
      <w:r w:rsidRPr="00EC20A0">
        <w:rPr>
          <w:spacing w:val="-5"/>
        </w:rPr>
        <w:t>and</w:t>
      </w:r>
    </w:p>
    <w:p w14:paraId="24D6199D" w14:textId="77777777" w:rsidR="00245300" w:rsidRPr="00EC20A0" w:rsidRDefault="00F17249">
      <w:pPr>
        <w:pStyle w:val="ListParagraph"/>
        <w:numPr>
          <w:ilvl w:val="1"/>
          <w:numId w:val="4"/>
        </w:numPr>
        <w:tabs>
          <w:tab w:val="left" w:pos="1999"/>
        </w:tabs>
        <w:spacing w:before="238"/>
        <w:ind w:left="1999" w:right="746"/>
      </w:pPr>
      <w:r w:rsidRPr="00EC20A0">
        <w:t>the</w:t>
      </w:r>
      <w:r w:rsidRPr="00EC20A0">
        <w:rPr>
          <w:spacing w:val="-5"/>
        </w:rPr>
        <w:t xml:space="preserve"> </w:t>
      </w:r>
      <w:r w:rsidRPr="00EC20A0">
        <w:t>note</w:t>
      </w:r>
      <w:r w:rsidRPr="00EC20A0">
        <w:rPr>
          <w:spacing w:val="-5"/>
        </w:rPr>
        <w:t xml:space="preserve"> </w:t>
      </w:r>
      <w:r w:rsidRPr="00EC20A0">
        <w:t>disclosures</w:t>
      </w:r>
      <w:r w:rsidRPr="00EC20A0">
        <w:rPr>
          <w:spacing w:val="-5"/>
        </w:rPr>
        <w:t xml:space="preserve"> </w:t>
      </w:r>
      <w:r w:rsidRPr="00EC20A0">
        <w:t>about</w:t>
      </w:r>
      <w:r w:rsidRPr="00EC20A0">
        <w:rPr>
          <w:spacing w:val="-5"/>
        </w:rPr>
        <w:t xml:space="preserve"> </w:t>
      </w:r>
      <w:r w:rsidRPr="00EC20A0">
        <w:t>the</w:t>
      </w:r>
      <w:r w:rsidRPr="00EC20A0">
        <w:rPr>
          <w:spacing w:val="-5"/>
        </w:rPr>
        <w:t xml:space="preserve"> </w:t>
      </w:r>
      <w:r w:rsidRPr="00EC20A0">
        <w:t>accounting</w:t>
      </w:r>
      <w:r w:rsidRPr="00EC20A0">
        <w:rPr>
          <w:spacing w:val="-5"/>
        </w:rPr>
        <w:t xml:space="preserve"> </w:t>
      </w:r>
      <w:r w:rsidRPr="00EC20A0">
        <w:t>estimate,</w:t>
      </w:r>
      <w:r w:rsidRPr="00EC20A0">
        <w:rPr>
          <w:spacing w:val="-5"/>
        </w:rPr>
        <w:t xml:space="preserve"> </w:t>
      </w:r>
      <w:r w:rsidRPr="00EC20A0">
        <w:t>including</w:t>
      </w:r>
      <w:r w:rsidRPr="00EC20A0">
        <w:rPr>
          <w:spacing w:val="-5"/>
        </w:rPr>
        <w:t xml:space="preserve"> </w:t>
      </w:r>
      <w:r w:rsidRPr="00EC20A0">
        <w:t>those</w:t>
      </w:r>
      <w:r w:rsidRPr="00EC20A0">
        <w:rPr>
          <w:spacing w:val="-5"/>
        </w:rPr>
        <w:t xml:space="preserve"> </w:t>
      </w:r>
      <w:r w:rsidRPr="00EC20A0">
        <w:t xml:space="preserve">about how the accounting estimate was developed and that explain the nature, extent, and </w:t>
      </w:r>
      <w:r w:rsidRPr="00EC20A0">
        <w:t>sources of estimation uncertainty.</w:t>
      </w:r>
    </w:p>
    <w:p w14:paraId="24D6199E" w14:textId="77777777" w:rsidR="00245300" w:rsidRPr="00EC20A0" w:rsidRDefault="00F17249">
      <w:pPr>
        <w:pStyle w:val="ListParagraph"/>
        <w:numPr>
          <w:ilvl w:val="0"/>
          <w:numId w:val="4"/>
        </w:numPr>
        <w:tabs>
          <w:tab w:val="left" w:pos="1639"/>
        </w:tabs>
        <w:spacing w:before="239"/>
        <w:ind w:left="1639" w:right="371"/>
      </w:pPr>
      <w:r w:rsidRPr="00EC20A0">
        <w:t>With respect to accounting estimates, the auditor should determine whether the engagement</w:t>
      </w:r>
      <w:r w:rsidRPr="00EC20A0">
        <w:rPr>
          <w:spacing w:val="-4"/>
        </w:rPr>
        <w:t xml:space="preserve"> </w:t>
      </w:r>
      <w:r w:rsidRPr="00EC20A0">
        <w:t>team</w:t>
      </w:r>
      <w:r w:rsidRPr="00EC20A0">
        <w:rPr>
          <w:spacing w:val="-5"/>
        </w:rPr>
        <w:t xml:space="preserve"> </w:t>
      </w:r>
      <w:r w:rsidRPr="00EC20A0">
        <w:t>requires</w:t>
      </w:r>
      <w:r w:rsidRPr="00EC20A0">
        <w:rPr>
          <w:spacing w:val="-4"/>
        </w:rPr>
        <w:t xml:space="preserve"> </w:t>
      </w:r>
      <w:r w:rsidRPr="00EC20A0">
        <w:t>specialized</w:t>
      </w:r>
      <w:r w:rsidRPr="00EC20A0">
        <w:rPr>
          <w:spacing w:val="-4"/>
        </w:rPr>
        <w:t xml:space="preserve"> </w:t>
      </w:r>
      <w:r w:rsidRPr="00EC20A0">
        <w:t>skills</w:t>
      </w:r>
      <w:r w:rsidRPr="00EC20A0">
        <w:rPr>
          <w:spacing w:val="-4"/>
        </w:rPr>
        <w:t xml:space="preserve"> </w:t>
      </w:r>
      <w:r w:rsidRPr="00EC20A0">
        <w:t>or</w:t>
      </w:r>
      <w:r w:rsidRPr="00EC20A0">
        <w:rPr>
          <w:spacing w:val="-4"/>
        </w:rPr>
        <w:t xml:space="preserve"> </w:t>
      </w:r>
      <w:r w:rsidRPr="00EC20A0">
        <w:t>knowledge</w:t>
      </w:r>
      <w:r w:rsidRPr="00EC20A0">
        <w:rPr>
          <w:spacing w:val="-4"/>
        </w:rPr>
        <w:t xml:space="preserve"> </w:t>
      </w:r>
      <w:r w:rsidRPr="00EC20A0">
        <w:t>to</w:t>
      </w:r>
      <w:r w:rsidRPr="00EC20A0">
        <w:rPr>
          <w:spacing w:val="-4"/>
        </w:rPr>
        <w:t xml:space="preserve"> </w:t>
      </w:r>
      <w:r w:rsidRPr="00EC20A0">
        <w:t>design</w:t>
      </w:r>
      <w:r w:rsidRPr="00EC20A0">
        <w:rPr>
          <w:spacing w:val="-4"/>
        </w:rPr>
        <w:t xml:space="preserve"> </w:t>
      </w:r>
      <w:r w:rsidRPr="00EC20A0">
        <w:t>and</w:t>
      </w:r>
      <w:r w:rsidRPr="00EC20A0">
        <w:rPr>
          <w:spacing w:val="-5"/>
        </w:rPr>
        <w:t xml:space="preserve"> </w:t>
      </w:r>
      <w:r w:rsidRPr="00EC20A0">
        <w:t>perform audit procedures to respond to risks of material misstatement or to evaluate the audit evidence obtained (AU-C 540.14). Certain accounting estimates may require review by accounting specialists (see FAM 620). When using the work of management’s specialists, the guidance in FAM 905 may assist the auditor in evaluating the appropriateness of the specialist’s work as audit evidence for a significant assertion (AU-C 540.30). See FAM 625 for gu</w:t>
      </w:r>
      <w:r w:rsidRPr="00EC20A0">
        <w:t>idance on using the work of managements’ specialists.</w:t>
      </w:r>
    </w:p>
    <w:p w14:paraId="24D6199F" w14:textId="77777777" w:rsidR="00245300" w:rsidRPr="00EC20A0" w:rsidRDefault="00F17249">
      <w:pPr>
        <w:pStyle w:val="ListParagraph"/>
        <w:numPr>
          <w:ilvl w:val="0"/>
          <w:numId w:val="4"/>
        </w:numPr>
        <w:tabs>
          <w:tab w:val="left" w:pos="1639"/>
        </w:tabs>
        <w:ind w:left="1639" w:right="432" w:hanging="720"/>
      </w:pPr>
      <w:r w:rsidRPr="00EC20A0">
        <w:t>As discussed in FAM 420, the auditor performs risk assessment procedures in the planning and internal control phases of the audit and performs further audit procedures in the testing phase that are responsive to the risks of material misstatement at the assertion level, considering the reasons for the assessment given</w:t>
      </w:r>
      <w:r w:rsidRPr="00EC20A0">
        <w:rPr>
          <w:spacing w:val="-3"/>
        </w:rPr>
        <w:t xml:space="preserve"> </w:t>
      </w:r>
      <w:r w:rsidRPr="00EC20A0">
        <w:t>to</w:t>
      </w:r>
      <w:r w:rsidRPr="00EC20A0">
        <w:rPr>
          <w:spacing w:val="-3"/>
        </w:rPr>
        <w:t xml:space="preserve"> </w:t>
      </w:r>
      <w:r w:rsidRPr="00EC20A0">
        <w:t>those</w:t>
      </w:r>
      <w:r w:rsidRPr="00EC20A0">
        <w:rPr>
          <w:spacing w:val="-3"/>
        </w:rPr>
        <w:t xml:space="preserve"> </w:t>
      </w:r>
      <w:r w:rsidRPr="00EC20A0">
        <w:t>risks.</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further</w:t>
      </w:r>
      <w:r w:rsidRPr="00EC20A0">
        <w:rPr>
          <w:spacing w:val="-3"/>
        </w:rPr>
        <w:t xml:space="preserve"> </w:t>
      </w:r>
      <w:r w:rsidRPr="00EC20A0">
        <w:t>audit</w:t>
      </w:r>
      <w:r w:rsidRPr="00EC20A0">
        <w:rPr>
          <w:spacing w:val="-4"/>
        </w:rPr>
        <w:t xml:space="preserve"> </w:t>
      </w:r>
      <w:r w:rsidRPr="00EC20A0">
        <w:t>procedures</w:t>
      </w:r>
      <w:r w:rsidRPr="00EC20A0">
        <w:rPr>
          <w:spacing w:val="-4"/>
        </w:rPr>
        <w:t xml:space="preserve"> </w:t>
      </w:r>
      <w:r w:rsidRPr="00EC20A0">
        <w:t>should</w:t>
      </w:r>
      <w:r w:rsidRPr="00EC20A0">
        <w:rPr>
          <w:spacing w:val="-3"/>
        </w:rPr>
        <w:t xml:space="preserve"> </w:t>
      </w:r>
      <w:r w:rsidRPr="00EC20A0">
        <w:t>include</w:t>
      </w:r>
      <w:r w:rsidRPr="00EC20A0">
        <w:rPr>
          <w:spacing w:val="-3"/>
        </w:rPr>
        <w:t xml:space="preserve"> </w:t>
      </w:r>
      <w:r w:rsidRPr="00EC20A0">
        <w:t>one</w:t>
      </w:r>
      <w:r w:rsidRPr="00EC20A0">
        <w:rPr>
          <w:spacing w:val="-3"/>
        </w:rPr>
        <w:t xml:space="preserve"> </w:t>
      </w:r>
      <w:r w:rsidRPr="00EC20A0">
        <w:t>or more of the following approaches (AU-C 540.17):</w:t>
      </w:r>
    </w:p>
    <w:p w14:paraId="24D619A0" w14:textId="77777777" w:rsidR="00245300" w:rsidRPr="00EC20A0" w:rsidRDefault="00F17249">
      <w:pPr>
        <w:pStyle w:val="ListParagraph"/>
        <w:numPr>
          <w:ilvl w:val="0"/>
          <w:numId w:val="94"/>
        </w:numPr>
        <w:tabs>
          <w:tab w:val="left" w:pos="1999"/>
        </w:tabs>
        <w:ind w:right="439"/>
      </w:pPr>
      <w:r w:rsidRPr="00EC20A0">
        <w:t>obtaining</w:t>
      </w:r>
      <w:r w:rsidRPr="00EC20A0">
        <w:rPr>
          <w:spacing w:val="-3"/>
        </w:rPr>
        <w:t xml:space="preserve"> </w:t>
      </w:r>
      <w:r w:rsidRPr="00EC20A0">
        <w:t>audit</w:t>
      </w:r>
      <w:r w:rsidRPr="00EC20A0">
        <w:rPr>
          <w:spacing w:val="-3"/>
        </w:rPr>
        <w:t xml:space="preserve"> </w:t>
      </w:r>
      <w:r w:rsidRPr="00EC20A0">
        <w:t>evidence</w:t>
      </w:r>
      <w:r w:rsidRPr="00EC20A0">
        <w:rPr>
          <w:spacing w:val="-4"/>
        </w:rPr>
        <w:t xml:space="preserve"> </w:t>
      </w:r>
      <w:r w:rsidRPr="00EC20A0">
        <w:t>from</w:t>
      </w:r>
      <w:r w:rsidRPr="00EC20A0">
        <w:rPr>
          <w:spacing w:val="-4"/>
        </w:rPr>
        <w:t xml:space="preserve"> </w:t>
      </w:r>
      <w:r w:rsidRPr="00EC20A0">
        <w:t>events</w:t>
      </w:r>
      <w:r w:rsidRPr="00EC20A0">
        <w:rPr>
          <w:spacing w:val="-3"/>
        </w:rPr>
        <w:t xml:space="preserve"> </w:t>
      </w:r>
      <w:r w:rsidRPr="00EC20A0">
        <w:t>occurring</w:t>
      </w:r>
      <w:r w:rsidRPr="00EC20A0">
        <w:rPr>
          <w:spacing w:val="-3"/>
        </w:rPr>
        <w:t xml:space="preserve"> </w:t>
      </w:r>
      <w:r w:rsidRPr="00EC20A0">
        <w:t>up</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date</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auditor’s report (see FAM 905.09 and AU-C 540.A91–.A93),</w:t>
      </w:r>
    </w:p>
    <w:p w14:paraId="24D619A1" w14:textId="77777777" w:rsidR="00245300" w:rsidRPr="00EC20A0" w:rsidRDefault="00F17249">
      <w:pPr>
        <w:pStyle w:val="ListParagraph"/>
        <w:numPr>
          <w:ilvl w:val="0"/>
          <w:numId w:val="94"/>
        </w:numPr>
        <w:tabs>
          <w:tab w:val="left" w:pos="1998"/>
        </w:tabs>
        <w:spacing w:before="239"/>
        <w:ind w:left="1998" w:hanging="359"/>
      </w:pPr>
      <w:r w:rsidRPr="00EC20A0">
        <w:t>testing</w:t>
      </w:r>
      <w:r w:rsidRPr="00EC20A0">
        <w:rPr>
          <w:spacing w:val="-8"/>
        </w:rPr>
        <w:t xml:space="preserve"> </w:t>
      </w:r>
      <w:r w:rsidRPr="00EC20A0">
        <w:t>how</w:t>
      </w:r>
      <w:r w:rsidRPr="00EC20A0">
        <w:rPr>
          <w:spacing w:val="-9"/>
        </w:rPr>
        <w:t xml:space="preserve"> </w:t>
      </w:r>
      <w:r w:rsidRPr="00EC20A0">
        <w:t>management</w:t>
      </w:r>
      <w:r w:rsidRPr="00EC20A0">
        <w:rPr>
          <w:spacing w:val="-7"/>
        </w:rPr>
        <w:t xml:space="preserve"> </w:t>
      </w:r>
      <w:r w:rsidRPr="00EC20A0">
        <w:t>made</w:t>
      </w:r>
      <w:r w:rsidRPr="00EC20A0">
        <w:rPr>
          <w:spacing w:val="-7"/>
        </w:rPr>
        <w:t xml:space="preserve"> </w:t>
      </w:r>
      <w:r w:rsidRPr="00EC20A0">
        <w:t>the</w:t>
      </w:r>
      <w:r w:rsidRPr="00EC20A0">
        <w:rPr>
          <w:spacing w:val="-7"/>
        </w:rPr>
        <w:t xml:space="preserve"> </w:t>
      </w:r>
      <w:r w:rsidRPr="00EC20A0">
        <w:t>accounting</w:t>
      </w:r>
      <w:r w:rsidRPr="00EC20A0">
        <w:rPr>
          <w:spacing w:val="-8"/>
        </w:rPr>
        <w:t xml:space="preserve"> </w:t>
      </w:r>
      <w:r w:rsidRPr="00EC20A0">
        <w:t>estimate</w:t>
      </w:r>
      <w:r w:rsidRPr="00EC20A0">
        <w:rPr>
          <w:spacing w:val="-6"/>
        </w:rPr>
        <w:t xml:space="preserve"> </w:t>
      </w:r>
      <w:r w:rsidRPr="00EC20A0">
        <w:t>(see</w:t>
      </w:r>
      <w:r w:rsidRPr="00EC20A0">
        <w:rPr>
          <w:spacing w:val="-8"/>
        </w:rPr>
        <w:t xml:space="preserve"> </w:t>
      </w:r>
      <w:r w:rsidRPr="00EC20A0">
        <w:t>FAM</w:t>
      </w:r>
      <w:r w:rsidRPr="00EC20A0">
        <w:rPr>
          <w:spacing w:val="-8"/>
        </w:rPr>
        <w:t xml:space="preserve"> </w:t>
      </w:r>
      <w:r w:rsidRPr="00EC20A0">
        <w:rPr>
          <w:spacing w:val="-2"/>
        </w:rPr>
        <w:t>905.10–</w:t>
      </w:r>
    </w:p>
    <w:p w14:paraId="24D619A2" w14:textId="77777777" w:rsidR="00245300" w:rsidRPr="00EC20A0" w:rsidRDefault="00F17249">
      <w:pPr>
        <w:pStyle w:val="BodyText"/>
        <w:ind w:left="1999"/>
      </w:pPr>
      <w:r w:rsidRPr="00EC20A0">
        <w:t>.15</w:t>
      </w:r>
      <w:r w:rsidRPr="00EC20A0">
        <w:rPr>
          <w:spacing w:val="-8"/>
        </w:rPr>
        <w:t xml:space="preserve"> </w:t>
      </w:r>
      <w:r w:rsidRPr="00EC20A0">
        <w:t>and</w:t>
      </w:r>
      <w:r w:rsidRPr="00EC20A0">
        <w:rPr>
          <w:spacing w:val="-8"/>
        </w:rPr>
        <w:t xml:space="preserve"> </w:t>
      </w:r>
      <w:r w:rsidRPr="00EC20A0">
        <w:t>AU-C</w:t>
      </w:r>
      <w:r w:rsidRPr="00EC20A0">
        <w:rPr>
          <w:spacing w:val="-9"/>
        </w:rPr>
        <w:t xml:space="preserve"> </w:t>
      </w:r>
      <w:r w:rsidRPr="00EC20A0">
        <w:t>540.A94–.A117),</w:t>
      </w:r>
      <w:r w:rsidRPr="00EC20A0">
        <w:rPr>
          <w:spacing w:val="-8"/>
        </w:rPr>
        <w:t xml:space="preserve"> </w:t>
      </w:r>
      <w:r w:rsidRPr="00EC20A0">
        <w:rPr>
          <w:spacing w:val="-5"/>
        </w:rPr>
        <w:t>or</w:t>
      </w:r>
    </w:p>
    <w:p w14:paraId="24D619A3" w14:textId="77777777" w:rsidR="00245300" w:rsidRPr="00EC20A0" w:rsidRDefault="00F17249">
      <w:pPr>
        <w:pStyle w:val="ListParagraph"/>
        <w:numPr>
          <w:ilvl w:val="0"/>
          <w:numId w:val="94"/>
        </w:numPr>
        <w:tabs>
          <w:tab w:val="left" w:pos="1999"/>
        </w:tabs>
        <w:spacing w:before="241"/>
        <w:ind w:right="720"/>
      </w:pPr>
      <w:r w:rsidRPr="00EC20A0">
        <w:t>developing</w:t>
      </w:r>
      <w:r w:rsidRPr="00EC20A0">
        <w:rPr>
          <w:spacing w:val="-5"/>
        </w:rPr>
        <w:t xml:space="preserve"> </w:t>
      </w:r>
      <w:r w:rsidRPr="00EC20A0">
        <w:t>an</w:t>
      </w:r>
      <w:r w:rsidRPr="00EC20A0">
        <w:rPr>
          <w:spacing w:val="-4"/>
        </w:rPr>
        <w:t xml:space="preserve"> </w:t>
      </w:r>
      <w:r w:rsidRPr="00EC20A0">
        <w:t>auditor’s</w:t>
      </w:r>
      <w:r w:rsidRPr="00EC20A0">
        <w:rPr>
          <w:spacing w:val="-4"/>
        </w:rPr>
        <w:t xml:space="preserve"> </w:t>
      </w:r>
      <w:r w:rsidRPr="00EC20A0">
        <w:t>point</w:t>
      </w:r>
      <w:r w:rsidRPr="00EC20A0">
        <w:rPr>
          <w:spacing w:val="-4"/>
        </w:rPr>
        <w:t xml:space="preserve"> </w:t>
      </w:r>
      <w:r w:rsidRPr="00EC20A0">
        <w:t>estimate</w:t>
      </w:r>
      <w:r w:rsidRPr="00EC20A0">
        <w:rPr>
          <w:spacing w:val="-4"/>
        </w:rPr>
        <w:t xml:space="preserve"> </w:t>
      </w:r>
      <w:r w:rsidRPr="00EC20A0">
        <w:t>or</w:t>
      </w:r>
      <w:r w:rsidRPr="00EC20A0">
        <w:rPr>
          <w:spacing w:val="-4"/>
        </w:rPr>
        <w:t xml:space="preserve"> </w:t>
      </w:r>
      <w:r w:rsidRPr="00EC20A0">
        <w:t>range</w:t>
      </w:r>
      <w:r w:rsidRPr="00EC20A0">
        <w:rPr>
          <w:spacing w:val="-4"/>
        </w:rPr>
        <w:t xml:space="preserve"> </w:t>
      </w:r>
      <w:r w:rsidRPr="00EC20A0">
        <w:t>(see</w:t>
      </w:r>
      <w:r w:rsidRPr="00EC20A0">
        <w:rPr>
          <w:spacing w:val="-4"/>
        </w:rPr>
        <w:t xml:space="preserve"> </w:t>
      </w:r>
      <w:r w:rsidRPr="00EC20A0">
        <w:t>FAM</w:t>
      </w:r>
      <w:r w:rsidRPr="00EC20A0">
        <w:rPr>
          <w:spacing w:val="-5"/>
        </w:rPr>
        <w:t xml:space="preserve"> </w:t>
      </w:r>
      <w:r w:rsidRPr="00EC20A0">
        <w:t>905.16–.17</w:t>
      </w:r>
      <w:r w:rsidRPr="00EC20A0">
        <w:rPr>
          <w:spacing w:val="-4"/>
        </w:rPr>
        <w:t xml:space="preserve"> </w:t>
      </w:r>
      <w:r w:rsidRPr="00EC20A0">
        <w:t>and AU-C 540.A118–.A125).</w:t>
      </w:r>
    </w:p>
    <w:p w14:paraId="24D619A4" w14:textId="77777777" w:rsidR="00245300" w:rsidRPr="00EC20A0" w:rsidRDefault="00F17249">
      <w:pPr>
        <w:pStyle w:val="BodyText"/>
        <w:spacing w:before="240"/>
        <w:ind w:left="1639" w:right="408"/>
      </w:pPr>
      <w:r w:rsidRPr="00EC20A0">
        <w:t xml:space="preserve">The auditor’s further audit procedures should take into account that the </w:t>
      </w:r>
      <w:r w:rsidRPr="00EC20A0">
        <w:t>higher the</w:t>
      </w:r>
      <w:r w:rsidRPr="00EC20A0">
        <w:rPr>
          <w:spacing w:val="-4"/>
        </w:rPr>
        <w:t xml:space="preserve"> </w:t>
      </w:r>
      <w:r w:rsidRPr="00EC20A0">
        <w:t>risk</w:t>
      </w:r>
      <w:r w:rsidRPr="00EC20A0">
        <w:rPr>
          <w:spacing w:val="-4"/>
        </w:rPr>
        <w:t xml:space="preserve"> </w:t>
      </w:r>
      <w:r w:rsidRPr="00EC20A0">
        <w:t>of</w:t>
      </w:r>
      <w:r w:rsidRPr="00EC20A0">
        <w:rPr>
          <w:spacing w:val="-4"/>
        </w:rPr>
        <w:t xml:space="preserve"> </w:t>
      </w:r>
      <w:r w:rsidRPr="00EC20A0">
        <w:t>material</w:t>
      </w:r>
      <w:r w:rsidRPr="00EC20A0">
        <w:rPr>
          <w:spacing w:val="-4"/>
        </w:rPr>
        <w:t xml:space="preserve"> </w:t>
      </w:r>
      <w:r w:rsidRPr="00EC20A0">
        <w:t>misstatement,</w:t>
      </w:r>
      <w:r w:rsidRPr="00EC20A0">
        <w:rPr>
          <w:spacing w:val="-4"/>
        </w:rPr>
        <w:t xml:space="preserve"> </w:t>
      </w:r>
      <w:r w:rsidRPr="00EC20A0">
        <w:t>the</w:t>
      </w:r>
      <w:r w:rsidRPr="00EC20A0">
        <w:rPr>
          <w:spacing w:val="-4"/>
        </w:rPr>
        <w:t xml:space="preserve"> </w:t>
      </w:r>
      <w:r w:rsidRPr="00EC20A0">
        <w:t>more</w:t>
      </w:r>
      <w:r w:rsidRPr="00EC20A0">
        <w:rPr>
          <w:spacing w:val="-4"/>
        </w:rPr>
        <w:t xml:space="preserve"> </w:t>
      </w:r>
      <w:r w:rsidRPr="00EC20A0">
        <w:t>persuasive</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evidence</w:t>
      </w:r>
      <w:r w:rsidRPr="00EC20A0">
        <w:rPr>
          <w:spacing w:val="-5"/>
        </w:rPr>
        <w:t xml:space="preserve"> </w:t>
      </w:r>
      <w:r w:rsidRPr="00EC20A0">
        <w:t>needs to be. The auditor should design and perform further audit procedures in a manner that is not biased toward obtaining audit evidence that may be corroborative</w:t>
      </w:r>
      <w:r w:rsidRPr="00EC20A0">
        <w:rPr>
          <w:spacing w:val="-3"/>
        </w:rPr>
        <w:t xml:space="preserve"> </w:t>
      </w:r>
      <w:r w:rsidRPr="00EC20A0">
        <w:t>or</w:t>
      </w:r>
      <w:r w:rsidRPr="00EC20A0">
        <w:rPr>
          <w:spacing w:val="-3"/>
        </w:rPr>
        <w:t xml:space="preserve"> </w:t>
      </w:r>
      <w:r w:rsidRPr="00EC20A0">
        <w:t>toward</w:t>
      </w:r>
      <w:r w:rsidRPr="00EC20A0">
        <w:rPr>
          <w:spacing w:val="-3"/>
        </w:rPr>
        <w:t xml:space="preserve"> </w:t>
      </w:r>
      <w:r w:rsidRPr="00EC20A0">
        <w:t>excluding</w:t>
      </w:r>
      <w:r w:rsidRPr="00EC20A0">
        <w:rPr>
          <w:spacing w:val="-4"/>
        </w:rPr>
        <w:t xml:space="preserve"> </w:t>
      </w:r>
      <w:r w:rsidRPr="00EC20A0">
        <w:t>audit</w:t>
      </w:r>
      <w:r w:rsidRPr="00EC20A0">
        <w:rPr>
          <w:spacing w:val="-3"/>
        </w:rPr>
        <w:t xml:space="preserve"> </w:t>
      </w:r>
      <w:r w:rsidRPr="00EC20A0">
        <w:t>evidence</w:t>
      </w:r>
      <w:r w:rsidRPr="00EC20A0">
        <w:rPr>
          <w:spacing w:val="-3"/>
        </w:rPr>
        <w:t xml:space="preserve"> </w:t>
      </w:r>
      <w:r w:rsidRPr="00EC20A0">
        <w:t>that</w:t>
      </w:r>
      <w:r w:rsidRPr="00EC20A0">
        <w:rPr>
          <w:spacing w:val="-3"/>
        </w:rPr>
        <w:t xml:space="preserve"> </w:t>
      </w:r>
      <w:r w:rsidRPr="00EC20A0">
        <w:t>may</w:t>
      </w:r>
      <w:r w:rsidRPr="00EC20A0">
        <w:rPr>
          <w:spacing w:val="-3"/>
        </w:rPr>
        <w:t xml:space="preserve"> </w:t>
      </w:r>
      <w:r w:rsidRPr="00EC20A0">
        <w:t>be</w:t>
      </w:r>
      <w:r w:rsidRPr="00EC20A0">
        <w:rPr>
          <w:spacing w:val="-3"/>
        </w:rPr>
        <w:t xml:space="preserve"> </w:t>
      </w:r>
      <w:r w:rsidRPr="00EC20A0">
        <w:t>contradictory</w:t>
      </w:r>
      <w:r w:rsidRPr="00EC20A0">
        <w:rPr>
          <w:spacing w:val="-1"/>
        </w:rPr>
        <w:t xml:space="preserve"> </w:t>
      </w:r>
      <w:r w:rsidRPr="00EC20A0">
        <w:t>(AU- C 540.17).</w:t>
      </w:r>
    </w:p>
    <w:p w14:paraId="24D619A5" w14:textId="77777777" w:rsidR="00245300" w:rsidRPr="00EC20A0" w:rsidRDefault="00F17249">
      <w:pPr>
        <w:pStyle w:val="ListParagraph"/>
        <w:numPr>
          <w:ilvl w:val="0"/>
          <w:numId w:val="4"/>
        </w:numPr>
        <w:tabs>
          <w:tab w:val="left" w:pos="1639"/>
        </w:tabs>
        <w:ind w:left="1639" w:right="371"/>
      </w:pPr>
      <w:r w:rsidRPr="00EC20A0">
        <w:t>When the auditor’s further audit procedures include obtaining audit evidence</w:t>
      </w:r>
      <w:r w:rsidRPr="00EC20A0">
        <w:rPr>
          <w:spacing w:val="40"/>
        </w:rPr>
        <w:t xml:space="preserve"> </w:t>
      </w:r>
      <w:r w:rsidRPr="00EC20A0">
        <w:t>from events occurring up to the date of the auditor’s report, the auditor should evaluate</w:t>
      </w:r>
      <w:r w:rsidRPr="00EC20A0">
        <w:rPr>
          <w:spacing w:val="-4"/>
        </w:rPr>
        <w:t xml:space="preserve"> </w:t>
      </w:r>
      <w:r w:rsidRPr="00EC20A0">
        <w:t>whether</w:t>
      </w:r>
      <w:r w:rsidRPr="00EC20A0">
        <w:rPr>
          <w:spacing w:val="-4"/>
        </w:rPr>
        <w:t xml:space="preserve"> </w:t>
      </w:r>
      <w:r w:rsidRPr="00EC20A0">
        <w:t>such</w:t>
      </w:r>
      <w:r w:rsidRPr="00EC20A0">
        <w:rPr>
          <w:spacing w:val="-4"/>
        </w:rPr>
        <w:t xml:space="preserve"> </w:t>
      </w:r>
      <w:r w:rsidRPr="00EC20A0">
        <w:t>audit</w:t>
      </w:r>
      <w:r w:rsidRPr="00EC20A0">
        <w:rPr>
          <w:spacing w:val="-4"/>
        </w:rPr>
        <w:t xml:space="preserve"> </w:t>
      </w:r>
      <w:r w:rsidRPr="00EC20A0">
        <w:t>evidence</w:t>
      </w:r>
      <w:r w:rsidRPr="00EC20A0">
        <w:rPr>
          <w:spacing w:val="-4"/>
        </w:rPr>
        <w:t xml:space="preserve"> </w:t>
      </w:r>
      <w:r w:rsidRPr="00EC20A0">
        <w:t>is</w:t>
      </w:r>
      <w:r w:rsidRPr="00EC20A0">
        <w:rPr>
          <w:spacing w:val="-4"/>
        </w:rPr>
        <w:t xml:space="preserve"> </w:t>
      </w:r>
      <w:r w:rsidRPr="00EC20A0">
        <w:t>sufficient</w:t>
      </w:r>
      <w:r w:rsidRPr="00EC20A0">
        <w:rPr>
          <w:spacing w:val="-4"/>
        </w:rPr>
        <w:t xml:space="preserve"> </w:t>
      </w:r>
      <w:r w:rsidRPr="00EC20A0">
        <w:t>and</w:t>
      </w:r>
      <w:r w:rsidRPr="00EC20A0">
        <w:rPr>
          <w:spacing w:val="-4"/>
        </w:rPr>
        <w:t xml:space="preserve"> </w:t>
      </w:r>
      <w:r w:rsidRPr="00EC20A0">
        <w:t>appropriate</w:t>
      </w:r>
      <w:r w:rsidRPr="00EC20A0">
        <w:rPr>
          <w:spacing w:val="-4"/>
        </w:rPr>
        <w:t xml:space="preserve"> </w:t>
      </w:r>
      <w:r w:rsidRPr="00EC20A0">
        <w:t>to</w:t>
      </w:r>
      <w:r w:rsidRPr="00EC20A0">
        <w:rPr>
          <w:spacing w:val="-4"/>
        </w:rPr>
        <w:t xml:space="preserve"> </w:t>
      </w:r>
      <w:r w:rsidRPr="00EC20A0">
        <w:t>address</w:t>
      </w:r>
      <w:r w:rsidRPr="00EC20A0">
        <w:rPr>
          <w:spacing w:val="-4"/>
        </w:rPr>
        <w:t xml:space="preserve"> </w:t>
      </w:r>
      <w:r w:rsidRPr="00EC20A0">
        <w:t xml:space="preserve">the risks of material misstatement relating to the accounting estimate, taking into account that changes in circumstances and other relevant conditions between the event and the measurement date may </w:t>
      </w:r>
      <w:r w:rsidRPr="00EC20A0">
        <w:t>affect the relevance of such audit evidence in the context of the applicable financial reporting framework (generally U.S.</w:t>
      </w:r>
      <w:r w:rsidRPr="00EC20A0">
        <w:rPr>
          <w:spacing w:val="-3"/>
        </w:rPr>
        <w:t xml:space="preserve"> </w:t>
      </w:r>
      <w:r w:rsidRPr="00EC20A0">
        <w:t>GAAP)</w:t>
      </w:r>
      <w:r w:rsidRPr="00EC20A0">
        <w:rPr>
          <w:spacing w:val="-2"/>
        </w:rPr>
        <w:t xml:space="preserve"> </w:t>
      </w:r>
      <w:r w:rsidRPr="00EC20A0">
        <w:t>(AU-C</w:t>
      </w:r>
      <w:r w:rsidRPr="00EC20A0">
        <w:rPr>
          <w:spacing w:val="-4"/>
        </w:rPr>
        <w:t xml:space="preserve"> </w:t>
      </w:r>
      <w:r w:rsidRPr="00EC20A0">
        <w:t>540.20).</w:t>
      </w:r>
      <w:r w:rsidRPr="00EC20A0">
        <w:rPr>
          <w:spacing w:val="-3"/>
        </w:rPr>
        <w:t xml:space="preserve"> </w:t>
      </w:r>
      <w:r w:rsidRPr="00EC20A0">
        <w:t>For</w:t>
      </w:r>
      <w:r w:rsidRPr="00EC20A0">
        <w:rPr>
          <w:spacing w:val="-3"/>
        </w:rPr>
        <w:t xml:space="preserve"> </w:t>
      </w:r>
      <w:r w:rsidRPr="00EC20A0">
        <w:t>some</w:t>
      </w:r>
      <w:r w:rsidRPr="00EC20A0">
        <w:rPr>
          <w:spacing w:val="-3"/>
        </w:rPr>
        <w:t xml:space="preserve"> </w:t>
      </w:r>
      <w:r w:rsidRPr="00EC20A0">
        <w:t>accounting</w:t>
      </w:r>
      <w:r w:rsidRPr="00EC20A0">
        <w:rPr>
          <w:spacing w:val="-3"/>
        </w:rPr>
        <w:t xml:space="preserve"> </w:t>
      </w:r>
      <w:r w:rsidRPr="00EC20A0">
        <w:t>estimates,</w:t>
      </w:r>
      <w:r w:rsidRPr="00EC20A0">
        <w:rPr>
          <w:spacing w:val="-3"/>
        </w:rPr>
        <w:t xml:space="preserve"> </w:t>
      </w:r>
      <w:r w:rsidRPr="00EC20A0">
        <w:t>events</w:t>
      </w:r>
      <w:r w:rsidRPr="00EC20A0">
        <w:rPr>
          <w:spacing w:val="-3"/>
        </w:rPr>
        <w:t xml:space="preserve"> </w:t>
      </w:r>
      <w:r w:rsidRPr="00EC20A0">
        <w:t>occurring</w:t>
      </w:r>
      <w:r w:rsidRPr="00EC20A0">
        <w:rPr>
          <w:spacing w:val="-3"/>
        </w:rPr>
        <w:t xml:space="preserve"> </w:t>
      </w:r>
      <w:r w:rsidRPr="00EC20A0">
        <w:t>up to the date of the auditor’s report are unlikely to provide sufficient appropriate</w:t>
      </w:r>
    </w:p>
    <w:p w14:paraId="24D619A6" w14:textId="77777777" w:rsidR="00245300" w:rsidRPr="00EC20A0" w:rsidRDefault="00245300">
      <w:pPr>
        <w:sectPr w:rsidR="00245300" w:rsidRPr="00EC20A0">
          <w:pgSz w:w="12240" w:h="15840"/>
          <w:pgMar w:top="1340" w:right="1100" w:bottom="1020" w:left="1240" w:header="721" w:footer="757" w:gutter="0"/>
          <w:cols w:space="720"/>
        </w:sectPr>
      </w:pPr>
    </w:p>
    <w:p w14:paraId="24D619A7" w14:textId="77777777" w:rsidR="00245300" w:rsidRPr="00EC20A0" w:rsidRDefault="00F17249">
      <w:pPr>
        <w:pStyle w:val="BodyText"/>
        <w:spacing w:before="121"/>
        <w:ind w:left="1640" w:right="345"/>
      </w:pPr>
      <w:r w:rsidRPr="00EC20A0">
        <w:t>audit</w:t>
      </w:r>
      <w:r w:rsidRPr="00EC20A0">
        <w:rPr>
          <w:spacing w:val="-4"/>
        </w:rPr>
        <w:t xml:space="preserve"> </w:t>
      </w:r>
      <w:r w:rsidRPr="00EC20A0">
        <w:t>evidence</w:t>
      </w:r>
      <w:r w:rsidRPr="00EC20A0">
        <w:rPr>
          <w:spacing w:val="-4"/>
        </w:rPr>
        <w:t xml:space="preserve"> </w:t>
      </w:r>
      <w:r w:rsidRPr="00EC20A0">
        <w:t>regarding</w:t>
      </w:r>
      <w:r w:rsidRPr="00EC20A0">
        <w:rPr>
          <w:spacing w:val="-5"/>
        </w:rPr>
        <w:t xml:space="preserve"> </w:t>
      </w:r>
      <w:r w:rsidRPr="00EC20A0">
        <w:t>the</w:t>
      </w:r>
      <w:r w:rsidRPr="00EC20A0">
        <w:rPr>
          <w:spacing w:val="-4"/>
        </w:rPr>
        <w:t xml:space="preserve"> </w:t>
      </w:r>
      <w:r w:rsidRPr="00EC20A0">
        <w:t>accounting</w:t>
      </w:r>
      <w:r w:rsidRPr="00EC20A0">
        <w:rPr>
          <w:spacing w:val="-4"/>
        </w:rPr>
        <w:t xml:space="preserve"> </w:t>
      </w:r>
      <w:r w:rsidRPr="00EC20A0">
        <w:t>estimate.</w:t>
      </w:r>
      <w:r w:rsidRPr="00EC20A0">
        <w:rPr>
          <w:spacing w:val="-4"/>
        </w:rPr>
        <w:t xml:space="preserve"> </w:t>
      </w:r>
      <w:r w:rsidRPr="00EC20A0">
        <w:t>For</w:t>
      </w:r>
      <w:r w:rsidRPr="00EC20A0">
        <w:rPr>
          <w:spacing w:val="-4"/>
        </w:rPr>
        <w:t xml:space="preserve"> </w:t>
      </w:r>
      <w:r w:rsidRPr="00EC20A0">
        <w:t>example,</w:t>
      </w:r>
      <w:r w:rsidRPr="00EC20A0">
        <w:rPr>
          <w:spacing w:val="-4"/>
        </w:rPr>
        <w:t xml:space="preserve"> </w:t>
      </w:r>
      <w:r w:rsidRPr="00EC20A0">
        <w:t>the</w:t>
      </w:r>
      <w:r w:rsidRPr="00EC20A0">
        <w:rPr>
          <w:spacing w:val="-4"/>
        </w:rPr>
        <w:t xml:space="preserve"> </w:t>
      </w:r>
      <w:r w:rsidRPr="00EC20A0">
        <w:t>conditions</w:t>
      </w:r>
      <w:r w:rsidRPr="00EC20A0">
        <w:rPr>
          <w:spacing w:val="-4"/>
        </w:rPr>
        <w:t xml:space="preserve"> </w:t>
      </w:r>
      <w:r w:rsidRPr="00EC20A0">
        <w:t xml:space="preserve">or events relating to some accounting estimates develop only over an extended period. Also, because of the measurement objective of fair </w:t>
      </w:r>
      <w:r w:rsidRPr="00EC20A0">
        <w:t>value accounting estimates, information after the period-end may not reflect the events or conditions existing at the balance sheet date and, therefore, may not be relevant to the measurement of the fair value accounting estimate. (AU-C 540.A92)</w:t>
      </w:r>
    </w:p>
    <w:p w14:paraId="24D619A8" w14:textId="77777777" w:rsidR="00245300" w:rsidRPr="00EC20A0" w:rsidRDefault="00F17249">
      <w:pPr>
        <w:pStyle w:val="ListParagraph"/>
        <w:numPr>
          <w:ilvl w:val="0"/>
          <w:numId w:val="93"/>
        </w:numPr>
        <w:tabs>
          <w:tab w:val="left" w:pos="1639"/>
        </w:tabs>
        <w:ind w:left="1639" w:right="556"/>
      </w:pPr>
      <w:r w:rsidRPr="00EC20A0">
        <w:t>When testing how management made the accounting estimate, the auditor’s further</w:t>
      </w:r>
      <w:r w:rsidRPr="00EC20A0">
        <w:rPr>
          <w:spacing w:val="-5"/>
        </w:rPr>
        <w:t xml:space="preserve"> </w:t>
      </w:r>
      <w:r w:rsidRPr="00EC20A0">
        <w:t>audit</w:t>
      </w:r>
      <w:r w:rsidRPr="00EC20A0">
        <w:rPr>
          <w:spacing w:val="-6"/>
        </w:rPr>
        <w:t xml:space="preserve"> </w:t>
      </w:r>
      <w:r w:rsidRPr="00EC20A0">
        <w:t>procedures</w:t>
      </w:r>
      <w:r w:rsidRPr="00EC20A0">
        <w:rPr>
          <w:spacing w:val="-6"/>
        </w:rPr>
        <w:t xml:space="preserve"> </w:t>
      </w:r>
      <w:r w:rsidRPr="00EC20A0">
        <w:t>should</w:t>
      </w:r>
      <w:r w:rsidRPr="00EC20A0">
        <w:rPr>
          <w:spacing w:val="-5"/>
        </w:rPr>
        <w:t xml:space="preserve"> </w:t>
      </w:r>
      <w:r w:rsidRPr="00EC20A0">
        <w:t>include</w:t>
      </w:r>
      <w:r w:rsidRPr="00EC20A0">
        <w:rPr>
          <w:spacing w:val="-5"/>
        </w:rPr>
        <w:t xml:space="preserve"> </w:t>
      </w:r>
      <w:r w:rsidRPr="00EC20A0">
        <w:t>procedures,</w:t>
      </w:r>
      <w:r w:rsidRPr="00EC20A0">
        <w:rPr>
          <w:spacing w:val="-5"/>
        </w:rPr>
        <w:t xml:space="preserve"> </w:t>
      </w:r>
      <w:r w:rsidRPr="00EC20A0">
        <w:t>designed</w:t>
      </w:r>
      <w:r w:rsidRPr="00EC20A0">
        <w:rPr>
          <w:spacing w:val="-5"/>
        </w:rPr>
        <w:t xml:space="preserve"> </w:t>
      </w:r>
      <w:r w:rsidRPr="00EC20A0">
        <w:t>and</w:t>
      </w:r>
      <w:r w:rsidRPr="00EC20A0">
        <w:rPr>
          <w:spacing w:val="-5"/>
        </w:rPr>
        <w:t xml:space="preserve"> </w:t>
      </w:r>
      <w:r w:rsidRPr="00EC20A0">
        <w:t>performed</w:t>
      </w:r>
      <w:r w:rsidRPr="00EC20A0">
        <w:rPr>
          <w:spacing w:val="-5"/>
        </w:rPr>
        <w:t xml:space="preserve"> </w:t>
      </w:r>
      <w:r w:rsidRPr="00EC20A0">
        <w:t>in accordance with FAM 905.11 through .14, to obtain sufficient appropriate audit evidence regarding the risks of material misstatement relating to the following (AU-C 540.21):</w:t>
      </w:r>
    </w:p>
    <w:p w14:paraId="24D619A9" w14:textId="77777777" w:rsidR="00245300" w:rsidRPr="00EC20A0" w:rsidRDefault="00F17249">
      <w:pPr>
        <w:pStyle w:val="ListParagraph"/>
        <w:numPr>
          <w:ilvl w:val="1"/>
          <w:numId w:val="93"/>
        </w:numPr>
        <w:tabs>
          <w:tab w:val="left" w:pos="2000"/>
        </w:tabs>
        <w:ind w:right="719"/>
      </w:pPr>
      <w:r w:rsidRPr="00EC20A0">
        <w:t>the</w:t>
      </w:r>
      <w:r w:rsidRPr="00EC20A0">
        <w:rPr>
          <w:spacing w:val="-5"/>
        </w:rPr>
        <w:t xml:space="preserve"> </w:t>
      </w:r>
      <w:r w:rsidRPr="00EC20A0">
        <w:t>selection</w:t>
      </w:r>
      <w:r w:rsidRPr="00EC20A0">
        <w:rPr>
          <w:spacing w:val="-5"/>
        </w:rPr>
        <w:t xml:space="preserve"> </w:t>
      </w:r>
      <w:r w:rsidRPr="00EC20A0">
        <w:t>and</w:t>
      </w:r>
      <w:r w:rsidRPr="00EC20A0">
        <w:rPr>
          <w:spacing w:val="-5"/>
        </w:rPr>
        <w:t xml:space="preserve"> </w:t>
      </w:r>
      <w:r w:rsidRPr="00EC20A0">
        <w:t>application</w:t>
      </w:r>
      <w:r w:rsidRPr="00EC20A0">
        <w:rPr>
          <w:spacing w:val="-5"/>
        </w:rPr>
        <w:t xml:space="preserve"> </w:t>
      </w:r>
      <w:r w:rsidRPr="00EC20A0">
        <w:t>of</w:t>
      </w:r>
      <w:r w:rsidRPr="00EC20A0">
        <w:rPr>
          <w:spacing w:val="-5"/>
        </w:rPr>
        <w:t xml:space="preserve"> </w:t>
      </w:r>
      <w:r w:rsidRPr="00EC20A0">
        <w:t>the</w:t>
      </w:r>
      <w:r w:rsidRPr="00EC20A0">
        <w:rPr>
          <w:spacing w:val="-6"/>
        </w:rPr>
        <w:t xml:space="preserve"> </w:t>
      </w:r>
      <w:r w:rsidRPr="00EC20A0">
        <w:t>methods,</w:t>
      </w:r>
      <w:r w:rsidRPr="00EC20A0">
        <w:rPr>
          <w:spacing w:val="-5"/>
        </w:rPr>
        <w:t xml:space="preserve"> </w:t>
      </w:r>
      <w:r w:rsidRPr="00EC20A0">
        <w:t>significant</w:t>
      </w:r>
      <w:r w:rsidRPr="00EC20A0">
        <w:rPr>
          <w:spacing w:val="-4"/>
        </w:rPr>
        <w:t xml:space="preserve"> </w:t>
      </w:r>
      <w:r w:rsidRPr="00EC20A0">
        <w:t>assumptions,</w:t>
      </w:r>
      <w:r w:rsidRPr="00EC20A0">
        <w:rPr>
          <w:spacing w:val="-5"/>
        </w:rPr>
        <w:t xml:space="preserve"> </w:t>
      </w:r>
      <w:r w:rsidRPr="00EC20A0">
        <w:t>and data used by management in making the accounting estimate and</w:t>
      </w:r>
    </w:p>
    <w:p w14:paraId="24D619AA" w14:textId="77777777" w:rsidR="00245300" w:rsidRPr="00EC20A0" w:rsidRDefault="00F17249">
      <w:pPr>
        <w:pStyle w:val="ListParagraph"/>
        <w:numPr>
          <w:ilvl w:val="1"/>
          <w:numId w:val="93"/>
        </w:numPr>
        <w:tabs>
          <w:tab w:val="left" w:pos="2000"/>
        </w:tabs>
        <w:spacing w:before="239"/>
        <w:ind w:right="744"/>
      </w:pPr>
      <w:r w:rsidRPr="00EC20A0">
        <w:t>how</w:t>
      </w:r>
      <w:r w:rsidRPr="00EC20A0">
        <w:rPr>
          <w:spacing w:val="-5"/>
        </w:rPr>
        <w:t xml:space="preserve"> </w:t>
      </w:r>
      <w:r w:rsidRPr="00EC20A0">
        <w:t>management</w:t>
      </w:r>
      <w:r w:rsidRPr="00EC20A0">
        <w:rPr>
          <w:spacing w:val="-5"/>
        </w:rPr>
        <w:t xml:space="preserve"> </w:t>
      </w:r>
      <w:r w:rsidRPr="00EC20A0">
        <w:t>selected</w:t>
      </w:r>
      <w:r w:rsidRPr="00EC20A0">
        <w:rPr>
          <w:spacing w:val="-5"/>
        </w:rPr>
        <w:t xml:space="preserve"> </w:t>
      </w:r>
      <w:r w:rsidRPr="00EC20A0">
        <w:t>the</w:t>
      </w:r>
      <w:r w:rsidRPr="00EC20A0">
        <w:rPr>
          <w:spacing w:val="-5"/>
        </w:rPr>
        <w:t xml:space="preserve"> </w:t>
      </w:r>
      <w:r w:rsidRPr="00EC20A0">
        <w:t>point</w:t>
      </w:r>
      <w:r w:rsidRPr="00EC20A0">
        <w:rPr>
          <w:spacing w:val="-5"/>
        </w:rPr>
        <w:t xml:space="preserve"> </w:t>
      </w:r>
      <w:r w:rsidRPr="00EC20A0">
        <w:t>estimate</w:t>
      </w:r>
      <w:r w:rsidRPr="00EC20A0">
        <w:rPr>
          <w:spacing w:val="-5"/>
        </w:rPr>
        <w:t xml:space="preserve"> </w:t>
      </w:r>
      <w:r w:rsidRPr="00EC20A0">
        <w:t>and</w:t>
      </w:r>
      <w:r w:rsidRPr="00EC20A0">
        <w:rPr>
          <w:spacing w:val="-5"/>
        </w:rPr>
        <w:t xml:space="preserve"> </w:t>
      </w:r>
      <w:r w:rsidRPr="00EC20A0">
        <w:t>developed</w:t>
      </w:r>
      <w:r w:rsidRPr="00EC20A0">
        <w:rPr>
          <w:spacing w:val="-5"/>
        </w:rPr>
        <w:t xml:space="preserve"> </w:t>
      </w:r>
      <w:r w:rsidRPr="00EC20A0">
        <w:t>related</w:t>
      </w:r>
      <w:r w:rsidRPr="00EC20A0">
        <w:rPr>
          <w:spacing w:val="-5"/>
        </w:rPr>
        <w:t xml:space="preserve"> </w:t>
      </w:r>
      <w:r w:rsidRPr="00EC20A0">
        <w:t>note disclosures about estimation uncertainty.</w:t>
      </w:r>
    </w:p>
    <w:p w14:paraId="24D619AB" w14:textId="77777777" w:rsidR="00245300" w:rsidRPr="00EC20A0" w:rsidRDefault="00F17249">
      <w:pPr>
        <w:pStyle w:val="ListParagraph"/>
        <w:numPr>
          <w:ilvl w:val="0"/>
          <w:numId w:val="93"/>
        </w:numPr>
        <w:tabs>
          <w:tab w:val="left" w:pos="1640"/>
        </w:tabs>
        <w:spacing w:before="241"/>
        <w:ind w:right="651"/>
      </w:pPr>
      <w:r w:rsidRPr="00EC20A0">
        <w:t>In applying the requirements of FAM 905.10, with respect to methods, the auditor’s</w:t>
      </w:r>
      <w:r w:rsidRPr="00EC20A0">
        <w:rPr>
          <w:spacing w:val="-5"/>
        </w:rPr>
        <w:t xml:space="preserve"> </w:t>
      </w:r>
      <w:r w:rsidRPr="00EC20A0">
        <w:t>further</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should</w:t>
      </w:r>
      <w:r w:rsidRPr="00EC20A0">
        <w:rPr>
          <w:spacing w:val="-5"/>
        </w:rPr>
        <w:t xml:space="preserve"> </w:t>
      </w:r>
      <w:r w:rsidRPr="00EC20A0">
        <w:t>address</w:t>
      </w:r>
      <w:r w:rsidRPr="00EC20A0">
        <w:rPr>
          <w:spacing w:val="-5"/>
        </w:rPr>
        <w:t xml:space="preserve"> </w:t>
      </w:r>
      <w:r w:rsidRPr="00EC20A0">
        <w:t>the</w:t>
      </w:r>
      <w:r w:rsidRPr="00EC20A0">
        <w:rPr>
          <w:spacing w:val="-5"/>
        </w:rPr>
        <w:t xml:space="preserve"> </w:t>
      </w:r>
      <w:r w:rsidRPr="00EC20A0">
        <w:t>following</w:t>
      </w:r>
      <w:r w:rsidRPr="00EC20A0">
        <w:rPr>
          <w:spacing w:val="-5"/>
        </w:rPr>
        <w:t xml:space="preserve"> </w:t>
      </w:r>
      <w:r w:rsidRPr="00EC20A0">
        <w:t>(AU-C</w:t>
      </w:r>
      <w:r w:rsidRPr="00EC20A0">
        <w:rPr>
          <w:spacing w:val="-5"/>
        </w:rPr>
        <w:t xml:space="preserve"> </w:t>
      </w:r>
      <w:r w:rsidRPr="00EC20A0">
        <w:t>540.22):</w:t>
      </w:r>
    </w:p>
    <w:p w14:paraId="24D619AC" w14:textId="77777777" w:rsidR="00245300" w:rsidRPr="00EC20A0" w:rsidRDefault="00F17249">
      <w:pPr>
        <w:pStyle w:val="ListParagraph"/>
        <w:numPr>
          <w:ilvl w:val="1"/>
          <w:numId w:val="93"/>
        </w:numPr>
        <w:tabs>
          <w:tab w:val="left" w:pos="2000"/>
        </w:tabs>
        <w:ind w:right="645"/>
      </w:pPr>
      <w:r w:rsidRPr="00EC20A0">
        <w:t>whether</w:t>
      </w:r>
      <w:r w:rsidRPr="00EC20A0">
        <w:rPr>
          <w:spacing w:val="-4"/>
        </w:rPr>
        <w:t xml:space="preserve"> </w:t>
      </w:r>
      <w:r w:rsidRPr="00EC20A0">
        <w:t>the</w:t>
      </w:r>
      <w:r w:rsidRPr="00EC20A0">
        <w:rPr>
          <w:spacing w:val="-4"/>
        </w:rPr>
        <w:t xml:space="preserve"> </w:t>
      </w:r>
      <w:r w:rsidRPr="00EC20A0">
        <w:t>method</w:t>
      </w:r>
      <w:r w:rsidRPr="00EC20A0">
        <w:rPr>
          <w:spacing w:val="-4"/>
        </w:rPr>
        <w:t xml:space="preserve"> </w:t>
      </w:r>
      <w:r w:rsidRPr="00EC20A0">
        <w:t>selected</w:t>
      </w:r>
      <w:r w:rsidRPr="00EC20A0">
        <w:rPr>
          <w:spacing w:val="-4"/>
        </w:rPr>
        <w:t xml:space="preserve"> </w:t>
      </w:r>
      <w:r w:rsidRPr="00EC20A0">
        <w:t>is</w:t>
      </w:r>
      <w:r w:rsidRPr="00EC20A0">
        <w:rPr>
          <w:spacing w:val="-4"/>
        </w:rPr>
        <w:t xml:space="preserve"> </w:t>
      </w:r>
      <w:r w:rsidRPr="00EC20A0">
        <w:t>appropriate</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context</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applicable financial reporting framework (generally U.S. GAAP) and, if applicable, changes from the method used in prior periods are appropriate;</w:t>
      </w:r>
    </w:p>
    <w:p w14:paraId="24D619AD" w14:textId="77777777" w:rsidR="00245300" w:rsidRPr="00EC20A0" w:rsidRDefault="00F17249">
      <w:pPr>
        <w:pStyle w:val="ListParagraph"/>
        <w:numPr>
          <w:ilvl w:val="1"/>
          <w:numId w:val="93"/>
        </w:numPr>
        <w:tabs>
          <w:tab w:val="left" w:pos="2000"/>
        </w:tabs>
        <w:ind w:right="733"/>
      </w:pPr>
      <w:r w:rsidRPr="00EC20A0">
        <w:t>whether</w:t>
      </w:r>
      <w:r w:rsidRPr="00EC20A0">
        <w:rPr>
          <w:spacing w:val="-4"/>
        </w:rPr>
        <w:t xml:space="preserve"> </w:t>
      </w:r>
      <w:r w:rsidRPr="00EC20A0">
        <w:t>judgments</w:t>
      </w:r>
      <w:r w:rsidRPr="00EC20A0">
        <w:rPr>
          <w:spacing w:val="-4"/>
        </w:rPr>
        <w:t xml:space="preserve"> </w:t>
      </w:r>
      <w:r w:rsidRPr="00EC20A0">
        <w:t>made</w:t>
      </w:r>
      <w:r w:rsidRPr="00EC20A0">
        <w:rPr>
          <w:spacing w:val="-4"/>
        </w:rPr>
        <w:t xml:space="preserve"> </w:t>
      </w:r>
      <w:r w:rsidRPr="00EC20A0">
        <w:t>in</w:t>
      </w:r>
      <w:r w:rsidRPr="00EC20A0">
        <w:rPr>
          <w:spacing w:val="-4"/>
        </w:rPr>
        <w:t xml:space="preserve"> </w:t>
      </w:r>
      <w:r w:rsidRPr="00EC20A0">
        <w:t>selecting</w:t>
      </w:r>
      <w:r w:rsidRPr="00EC20A0">
        <w:rPr>
          <w:spacing w:val="-4"/>
        </w:rPr>
        <w:t xml:space="preserve"> </w:t>
      </w:r>
      <w:r w:rsidRPr="00EC20A0">
        <w:t>the</w:t>
      </w:r>
      <w:r w:rsidRPr="00EC20A0">
        <w:rPr>
          <w:spacing w:val="-4"/>
        </w:rPr>
        <w:t xml:space="preserve"> </w:t>
      </w:r>
      <w:r w:rsidRPr="00EC20A0">
        <w:t>method</w:t>
      </w:r>
      <w:r w:rsidRPr="00EC20A0">
        <w:rPr>
          <w:spacing w:val="-4"/>
        </w:rPr>
        <w:t xml:space="preserve"> </w:t>
      </w:r>
      <w:r w:rsidRPr="00EC20A0">
        <w:t>give</w:t>
      </w:r>
      <w:r w:rsidRPr="00EC20A0">
        <w:rPr>
          <w:spacing w:val="-4"/>
        </w:rPr>
        <w:t xml:space="preserve"> </w:t>
      </w:r>
      <w:r w:rsidRPr="00EC20A0">
        <w:t>rise</w:t>
      </w:r>
      <w:r w:rsidRPr="00EC20A0">
        <w:rPr>
          <w:spacing w:val="-5"/>
        </w:rPr>
        <w:t xml:space="preserve"> </w:t>
      </w:r>
      <w:r w:rsidRPr="00EC20A0">
        <w:t>to</w:t>
      </w:r>
      <w:r w:rsidRPr="00EC20A0">
        <w:rPr>
          <w:spacing w:val="-4"/>
        </w:rPr>
        <w:t xml:space="preserve"> </w:t>
      </w:r>
      <w:r w:rsidRPr="00EC20A0">
        <w:t>indicators</w:t>
      </w:r>
      <w:r w:rsidRPr="00EC20A0">
        <w:rPr>
          <w:spacing w:val="-5"/>
        </w:rPr>
        <w:t xml:space="preserve"> </w:t>
      </w:r>
      <w:r w:rsidRPr="00EC20A0">
        <w:t>of possible management bias;</w:t>
      </w:r>
    </w:p>
    <w:p w14:paraId="24D619AE" w14:textId="77777777" w:rsidR="00245300" w:rsidRPr="00EC20A0" w:rsidRDefault="00F17249">
      <w:pPr>
        <w:pStyle w:val="ListParagraph"/>
        <w:numPr>
          <w:ilvl w:val="1"/>
          <w:numId w:val="93"/>
        </w:numPr>
        <w:tabs>
          <w:tab w:val="left" w:pos="2000"/>
        </w:tabs>
        <w:ind w:right="537"/>
      </w:pPr>
      <w:r w:rsidRPr="00EC20A0">
        <w:t>whether</w:t>
      </w:r>
      <w:r w:rsidRPr="00EC20A0">
        <w:rPr>
          <w:spacing w:val="-4"/>
        </w:rPr>
        <w:t xml:space="preserve"> </w:t>
      </w:r>
      <w:r w:rsidRPr="00EC20A0">
        <w:t>the</w:t>
      </w:r>
      <w:r w:rsidRPr="00EC20A0">
        <w:rPr>
          <w:spacing w:val="-4"/>
        </w:rPr>
        <w:t xml:space="preserve"> </w:t>
      </w:r>
      <w:r w:rsidRPr="00EC20A0">
        <w:t>calculations</w:t>
      </w:r>
      <w:r w:rsidRPr="00EC20A0">
        <w:rPr>
          <w:spacing w:val="-5"/>
        </w:rPr>
        <w:t xml:space="preserve"> </w:t>
      </w:r>
      <w:r w:rsidRPr="00EC20A0">
        <w:t>are</w:t>
      </w:r>
      <w:r w:rsidRPr="00EC20A0">
        <w:rPr>
          <w:spacing w:val="-4"/>
        </w:rPr>
        <w:t xml:space="preserve"> </w:t>
      </w:r>
      <w:r w:rsidRPr="00EC20A0">
        <w:t>applied</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method</w:t>
      </w:r>
      <w:r w:rsidRPr="00EC20A0">
        <w:rPr>
          <w:spacing w:val="-4"/>
        </w:rPr>
        <w:t xml:space="preserve"> </w:t>
      </w:r>
      <w:r w:rsidRPr="00EC20A0">
        <w:t>and</w:t>
      </w:r>
      <w:r w:rsidRPr="00EC20A0">
        <w:rPr>
          <w:spacing w:val="-4"/>
        </w:rPr>
        <w:t xml:space="preserve"> </w:t>
      </w:r>
      <w:r w:rsidRPr="00EC20A0">
        <w:t>are mathematically accurate;</w:t>
      </w:r>
    </w:p>
    <w:p w14:paraId="24D619AF" w14:textId="77777777" w:rsidR="00245300" w:rsidRPr="00EC20A0" w:rsidRDefault="00F17249">
      <w:pPr>
        <w:pStyle w:val="ListParagraph"/>
        <w:numPr>
          <w:ilvl w:val="1"/>
          <w:numId w:val="93"/>
        </w:numPr>
        <w:tabs>
          <w:tab w:val="left" w:pos="1999"/>
        </w:tabs>
        <w:spacing w:before="239"/>
        <w:ind w:left="1999" w:right="599"/>
      </w:pPr>
      <w:r w:rsidRPr="00EC20A0">
        <w:t>when</w:t>
      </w:r>
      <w:r w:rsidRPr="00EC20A0">
        <w:rPr>
          <w:spacing w:val="-5"/>
        </w:rPr>
        <w:t xml:space="preserve"> </w:t>
      </w:r>
      <w:r w:rsidRPr="00EC20A0">
        <w:t>management’s</w:t>
      </w:r>
      <w:r w:rsidRPr="00EC20A0">
        <w:rPr>
          <w:spacing w:val="-5"/>
        </w:rPr>
        <w:t xml:space="preserve"> </w:t>
      </w:r>
      <w:r w:rsidRPr="00EC20A0">
        <w:t>application</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method</w:t>
      </w:r>
      <w:r w:rsidRPr="00EC20A0">
        <w:rPr>
          <w:spacing w:val="-5"/>
        </w:rPr>
        <w:t xml:space="preserve"> </w:t>
      </w:r>
      <w:r w:rsidRPr="00EC20A0">
        <w:t>involves</w:t>
      </w:r>
      <w:r w:rsidRPr="00EC20A0">
        <w:rPr>
          <w:spacing w:val="-6"/>
        </w:rPr>
        <w:t xml:space="preserve"> </w:t>
      </w:r>
      <w:r w:rsidRPr="00EC20A0">
        <w:t>complex</w:t>
      </w:r>
      <w:r w:rsidRPr="00EC20A0">
        <w:rPr>
          <w:spacing w:val="-5"/>
        </w:rPr>
        <w:t xml:space="preserve"> </w:t>
      </w:r>
      <w:r w:rsidRPr="00EC20A0">
        <w:t xml:space="preserve">modeling, whether judgments have been applied consistently, and whether, when </w:t>
      </w:r>
      <w:r w:rsidRPr="00EC20A0">
        <w:rPr>
          <w:spacing w:val="-2"/>
        </w:rPr>
        <w:t>applicable,</w:t>
      </w:r>
    </w:p>
    <w:p w14:paraId="24D619B0" w14:textId="77777777" w:rsidR="00245300" w:rsidRPr="00EC20A0" w:rsidRDefault="00F17249">
      <w:pPr>
        <w:pStyle w:val="ListParagraph"/>
        <w:numPr>
          <w:ilvl w:val="2"/>
          <w:numId w:val="93"/>
        </w:numPr>
        <w:tabs>
          <w:tab w:val="left" w:pos="2359"/>
        </w:tabs>
        <w:spacing w:before="241"/>
        <w:ind w:right="826"/>
      </w:pPr>
      <w:r w:rsidRPr="00EC20A0">
        <w:t>the design of the model meets the measurement objective of the applicable financial reporting framework (generally U.S. GAAP), is appropriate</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circumstances,</w:t>
      </w:r>
      <w:r w:rsidRPr="00EC20A0">
        <w:rPr>
          <w:spacing w:val="-5"/>
        </w:rPr>
        <w:t xml:space="preserve"> </w:t>
      </w:r>
      <w:r w:rsidRPr="00EC20A0">
        <w:t>and</w:t>
      </w:r>
      <w:r w:rsidRPr="00EC20A0">
        <w:rPr>
          <w:spacing w:val="-5"/>
        </w:rPr>
        <w:t xml:space="preserve"> </w:t>
      </w:r>
      <w:r w:rsidRPr="00EC20A0">
        <w:t>if</w:t>
      </w:r>
      <w:r w:rsidRPr="00EC20A0">
        <w:rPr>
          <w:spacing w:val="-5"/>
        </w:rPr>
        <w:t xml:space="preserve"> </w:t>
      </w:r>
      <w:r w:rsidRPr="00EC20A0">
        <w:t>applicable,</w:t>
      </w:r>
      <w:r w:rsidRPr="00EC20A0">
        <w:rPr>
          <w:spacing w:val="-5"/>
        </w:rPr>
        <w:t xml:space="preserve"> </w:t>
      </w:r>
      <w:r w:rsidRPr="00EC20A0">
        <w:t>changes</w:t>
      </w:r>
      <w:r w:rsidRPr="00EC20A0">
        <w:rPr>
          <w:spacing w:val="-5"/>
        </w:rPr>
        <w:t xml:space="preserve"> </w:t>
      </w:r>
      <w:r w:rsidRPr="00EC20A0">
        <w:t>from</w:t>
      </w:r>
      <w:r w:rsidRPr="00EC20A0">
        <w:rPr>
          <w:spacing w:val="-6"/>
        </w:rPr>
        <w:t xml:space="preserve"> </w:t>
      </w:r>
      <w:r w:rsidRPr="00EC20A0">
        <w:t>the prior period’s model are appropriate in the circumstances and</w:t>
      </w:r>
    </w:p>
    <w:p w14:paraId="24D619B1" w14:textId="77777777" w:rsidR="00245300" w:rsidRPr="00EC20A0" w:rsidRDefault="00F17249">
      <w:pPr>
        <w:pStyle w:val="ListParagraph"/>
        <w:numPr>
          <w:ilvl w:val="2"/>
          <w:numId w:val="93"/>
        </w:numPr>
        <w:tabs>
          <w:tab w:val="left" w:pos="2359"/>
        </w:tabs>
        <w:spacing w:before="238"/>
        <w:ind w:right="718"/>
      </w:pPr>
      <w:r w:rsidRPr="00EC20A0">
        <w:t>adjustments to the output of the model are consistent with the measurement</w:t>
      </w:r>
      <w:r w:rsidRPr="00EC20A0">
        <w:rPr>
          <w:spacing w:val="-6"/>
        </w:rPr>
        <w:t xml:space="preserve"> </w:t>
      </w:r>
      <w:r w:rsidRPr="00EC20A0">
        <w:t>objective</w:t>
      </w:r>
      <w:r w:rsidRPr="00EC20A0">
        <w:rPr>
          <w:spacing w:val="-7"/>
        </w:rPr>
        <w:t xml:space="preserve"> </w:t>
      </w:r>
      <w:r w:rsidRPr="00EC20A0">
        <w:t>of</w:t>
      </w:r>
      <w:r w:rsidRPr="00EC20A0">
        <w:rPr>
          <w:spacing w:val="-6"/>
        </w:rPr>
        <w:t xml:space="preserve"> </w:t>
      </w:r>
      <w:r w:rsidRPr="00EC20A0">
        <w:t>the</w:t>
      </w:r>
      <w:r w:rsidRPr="00EC20A0">
        <w:rPr>
          <w:spacing w:val="-6"/>
        </w:rPr>
        <w:t xml:space="preserve"> </w:t>
      </w:r>
      <w:r w:rsidRPr="00EC20A0">
        <w:t>applicable</w:t>
      </w:r>
      <w:r w:rsidRPr="00EC20A0">
        <w:rPr>
          <w:spacing w:val="-6"/>
        </w:rPr>
        <w:t xml:space="preserve"> </w:t>
      </w:r>
      <w:r w:rsidRPr="00EC20A0">
        <w:t>financial</w:t>
      </w:r>
      <w:r w:rsidRPr="00EC20A0">
        <w:rPr>
          <w:spacing w:val="-6"/>
        </w:rPr>
        <w:t xml:space="preserve"> </w:t>
      </w:r>
      <w:r w:rsidRPr="00EC20A0">
        <w:t>reporting</w:t>
      </w:r>
      <w:r w:rsidRPr="00EC20A0">
        <w:rPr>
          <w:spacing w:val="-6"/>
        </w:rPr>
        <w:t xml:space="preserve"> </w:t>
      </w:r>
      <w:r w:rsidRPr="00EC20A0">
        <w:t xml:space="preserve">framework (generally U.S. GAAP) </w:t>
      </w:r>
      <w:r w:rsidRPr="00EC20A0">
        <w:t>and are appropriate in the circumstances; and</w:t>
      </w:r>
    </w:p>
    <w:p w14:paraId="24D619B2" w14:textId="77777777" w:rsidR="00245300" w:rsidRPr="00EC20A0" w:rsidRDefault="00F17249">
      <w:pPr>
        <w:pStyle w:val="ListParagraph"/>
        <w:numPr>
          <w:ilvl w:val="1"/>
          <w:numId w:val="93"/>
        </w:numPr>
        <w:tabs>
          <w:tab w:val="left" w:pos="2089"/>
        </w:tabs>
        <w:spacing w:before="238"/>
        <w:ind w:left="2089" w:right="630"/>
      </w:pPr>
      <w:r w:rsidRPr="00EC20A0">
        <w:t>whether</w:t>
      </w:r>
      <w:r w:rsidRPr="00EC20A0">
        <w:rPr>
          <w:spacing w:val="-4"/>
        </w:rPr>
        <w:t xml:space="preserve"> </w:t>
      </w:r>
      <w:r w:rsidRPr="00EC20A0">
        <w:t>the</w:t>
      </w:r>
      <w:r w:rsidRPr="00EC20A0">
        <w:rPr>
          <w:spacing w:val="-4"/>
        </w:rPr>
        <w:t xml:space="preserve"> </w:t>
      </w:r>
      <w:r w:rsidRPr="00EC20A0">
        <w:t>integrity</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significant</w:t>
      </w:r>
      <w:r w:rsidRPr="00EC20A0">
        <w:rPr>
          <w:spacing w:val="-4"/>
        </w:rPr>
        <w:t xml:space="preserve"> </w:t>
      </w:r>
      <w:r w:rsidRPr="00EC20A0">
        <w:t>assumptions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data</w:t>
      </w:r>
      <w:r w:rsidRPr="00EC20A0">
        <w:rPr>
          <w:spacing w:val="-4"/>
        </w:rPr>
        <w:t xml:space="preserve"> </w:t>
      </w:r>
      <w:r w:rsidRPr="00EC20A0">
        <w:t>has</w:t>
      </w:r>
      <w:r w:rsidRPr="00EC20A0">
        <w:rPr>
          <w:spacing w:val="-4"/>
        </w:rPr>
        <w:t xml:space="preserve"> </w:t>
      </w:r>
      <w:r w:rsidRPr="00EC20A0">
        <w:t>been maintained in applying the method.</w:t>
      </w:r>
    </w:p>
    <w:p w14:paraId="24D619B3" w14:textId="77777777" w:rsidR="00245300" w:rsidRPr="00EC20A0" w:rsidRDefault="00F17249">
      <w:pPr>
        <w:pStyle w:val="ListParagraph"/>
        <w:numPr>
          <w:ilvl w:val="0"/>
          <w:numId w:val="93"/>
        </w:numPr>
        <w:tabs>
          <w:tab w:val="left" w:pos="1639"/>
        </w:tabs>
        <w:ind w:left="1639" w:right="469"/>
      </w:pPr>
      <w:r w:rsidRPr="00EC20A0">
        <w:t>In applying the requirements of FAM 905.10, with respect to significant assumptions,</w:t>
      </w:r>
      <w:r w:rsidRPr="00EC20A0">
        <w:rPr>
          <w:spacing w:val="-5"/>
        </w:rPr>
        <w:t xml:space="preserve"> </w:t>
      </w:r>
      <w:r w:rsidRPr="00EC20A0">
        <w:t>the</w:t>
      </w:r>
      <w:r w:rsidRPr="00EC20A0">
        <w:rPr>
          <w:spacing w:val="-5"/>
        </w:rPr>
        <w:t xml:space="preserve"> </w:t>
      </w:r>
      <w:r w:rsidRPr="00EC20A0">
        <w:t>auditor’s</w:t>
      </w:r>
      <w:r w:rsidRPr="00EC20A0">
        <w:rPr>
          <w:spacing w:val="-5"/>
        </w:rPr>
        <w:t xml:space="preserve"> </w:t>
      </w:r>
      <w:r w:rsidRPr="00EC20A0">
        <w:t>further</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should</w:t>
      </w:r>
      <w:r w:rsidRPr="00EC20A0">
        <w:rPr>
          <w:spacing w:val="-5"/>
        </w:rPr>
        <w:t xml:space="preserve"> </w:t>
      </w:r>
      <w:r w:rsidRPr="00EC20A0">
        <w:t>address</w:t>
      </w:r>
      <w:r w:rsidRPr="00EC20A0">
        <w:rPr>
          <w:spacing w:val="-5"/>
        </w:rPr>
        <w:t xml:space="preserve"> </w:t>
      </w:r>
      <w:r w:rsidRPr="00EC20A0">
        <w:t>the</w:t>
      </w:r>
      <w:r w:rsidRPr="00EC20A0">
        <w:rPr>
          <w:spacing w:val="-5"/>
        </w:rPr>
        <w:t xml:space="preserve"> </w:t>
      </w:r>
      <w:r w:rsidRPr="00EC20A0">
        <w:t>following (AU-C 540.23):</w:t>
      </w:r>
    </w:p>
    <w:p w14:paraId="24D619B4" w14:textId="77777777" w:rsidR="00245300" w:rsidRPr="00EC20A0" w:rsidRDefault="00245300">
      <w:pPr>
        <w:sectPr w:rsidR="00245300" w:rsidRPr="00EC20A0">
          <w:pgSz w:w="12240" w:h="15840"/>
          <w:pgMar w:top="1340" w:right="1100" w:bottom="940" w:left="1240" w:header="721" w:footer="757" w:gutter="0"/>
          <w:cols w:space="720"/>
        </w:sectPr>
      </w:pPr>
    </w:p>
    <w:p w14:paraId="24D619B5" w14:textId="77777777" w:rsidR="00245300" w:rsidRPr="00EC20A0" w:rsidRDefault="00F17249">
      <w:pPr>
        <w:pStyle w:val="ListParagraph"/>
        <w:numPr>
          <w:ilvl w:val="1"/>
          <w:numId w:val="93"/>
        </w:numPr>
        <w:tabs>
          <w:tab w:val="left" w:pos="1999"/>
        </w:tabs>
        <w:spacing w:before="121"/>
        <w:ind w:left="1999" w:right="877"/>
      </w:pPr>
      <w:r w:rsidRPr="00EC20A0">
        <w:t>whether</w:t>
      </w:r>
      <w:r w:rsidRPr="00EC20A0">
        <w:rPr>
          <w:spacing w:val="-4"/>
        </w:rPr>
        <w:t xml:space="preserve"> </w:t>
      </w:r>
      <w:r w:rsidRPr="00EC20A0">
        <w:t>the</w:t>
      </w:r>
      <w:r w:rsidRPr="00EC20A0">
        <w:rPr>
          <w:spacing w:val="-4"/>
        </w:rPr>
        <w:t xml:space="preserve"> </w:t>
      </w:r>
      <w:r w:rsidRPr="00EC20A0">
        <w:t>significant</w:t>
      </w:r>
      <w:r w:rsidRPr="00EC20A0">
        <w:rPr>
          <w:spacing w:val="-4"/>
        </w:rPr>
        <w:t xml:space="preserve"> </w:t>
      </w:r>
      <w:r w:rsidRPr="00EC20A0">
        <w:t>assumptions</w:t>
      </w:r>
      <w:r w:rsidRPr="00EC20A0">
        <w:rPr>
          <w:spacing w:val="-5"/>
        </w:rPr>
        <w:t xml:space="preserve"> </w:t>
      </w:r>
      <w:r w:rsidRPr="00EC20A0">
        <w:t>are</w:t>
      </w:r>
      <w:r w:rsidRPr="00EC20A0">
        <w:rPr>
          <w:spacing w:val="-4"/>
        </w:rPr>
        <w:t xml:space="preserve"> </w:t>
      </w:r>
      <w:r w:rsidRPr="00EC20A0">
        <w:t>appropriate</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context</w:t>
      </w:r>
      <w:r w:rsidRPr="00EC20A0">
        <w:rPr>
          <w:spacing w:val="-4"/>
        </w:rPr>
        <w:t xml:space="preserve"> </w:t>
      </w:r>
      <w:r w:rsidRPr="00EC20A0">
        <w:t>of</w:t>
      </w:r>
      <w:r w:rsidRPr="00EC20A0">
        <w:rPr>
          <w:spacing w:val="-4"/>
        </w:rPr>
        <w:t xml:space="preserve"> </w:t>
      </w:r>
      <w:r w:rsidRPr="00EC20A0">
        <w:t>the applicable financial reporting framework (generally U.S. GAAP) and, if applicable, changes from prior periods are appropriate;</w:t>
      </w:r>
    </w:p>
    <w:p w14:paraId="24D619B6" w14:textId="77777777" w:rsidR="00245300" w:rsidRPr="00EC20A0" w:rsidRDefault="00F17249">
      <w:pPr>
        <w:pStyle w:val="ListParagraph"/>
        <w:numPr>
          <w:ilvl w:val="1"/>
          <w:numId w:val="93"/>
        </w:numPr>
        <w:tabs>
          <w:tab w:val="left" w:pos="2000"/>
        </w:tabs>
        <w:spacing w:before="239"/>
        <w:ind w:right="438"/>
      </w:pPr>
      <w:r w:rsidRPr="00EC20A0">
        <w:t>whether</w:t>
      </w:r>
      <w:r w:rsidRPr="00EC20A0">
        <w:rPr>
          <w:spacing w:val="-4"/>
        </w:rPr>
        <w:t xml:space="preserve"> </w:t>
      </w:r>
      <w:r w:rsidRPr="00EC20A0">
        <w:t>judgments</w:t>
      </w:r>
      <w:r w:rsidRPr="00EC20A0">
        <w:rPr>
          <w:spacing w:val="-4"/>
        </w:rPr>
        <w:t xml:space="preserve"> </w:t>
      </w:r>
      <w:r w:rsidRPr="00EC20A0">
        <w:t>made</w:t>
      </w:r>
      <w:r w:rsidRPr="00EC20A0">
        <w:rPr>
          <w:spacing w:val="-4"/>
        </w:rPr>
        <w:t xml:space="preserve"> </w:t>
      </w:r>
      <w:r w:rsidRPr="00EC20A0">
        <w:t>in</w:t>
      </w:r>
      <w:r w:rsidRPr="00EC20A0">
        <w:rPr>
          <w:spacing w:val="-4"/>
        </w:rPr>
        <w:t xml:space="preserve"> </w:t>
      </w:r>
      <w:r w:rsidRPr="00EC20A0">
        <w:t>selecting</w:t>
      </w:r>
      <w:r w:rsidRPr="00EC20A0">
        <w:rPr>
          <w:spacing w:val="-4"/>
        </w:rPr>
        <w:t xml:space="preserve"> </w:t>
      </w:r>
      <w:r w:rsidRPr="00EC20A0">
        <w:t>the</w:t>
      </w:r>
      <w:r w:rsidRPr="00EC20A0">
        <w:rPr>
          <w:spacing w:val="-4"/>
        </w:rPr>
        <w:t xml:space="preserve"> </w:t>
      </w:r>
      <w:r w:rsidRPr="00EC20A0">
        <w:t>significant</w:t>
      </w:r>
      <w:r w:rsidRPr="00EC20A0">
        <w:rPr>
          <w:spacing w:val="-4"/>
        </w:rPr>
        <w:t xml:space="preserve"> </w:t>
      </w:r>
      <w:r w:rsidRPr="00EC20A0">
        <w:t>assumptions</w:t>
      </w:r>
      <w:r w:rsidRPr="00EC20A0">
        <w:rPr>
          <w:spacing w:val="-4"/>
        </w:rPr>
        <w:t xml:space="preserve"> </w:t>
      </w:r>
      <w:r w:rsidRPr="00EC20A0">
        <w:t>give</w:t>
      </w:r>
      <w:r w:rsidRPr="00EC20A0">
        <w:rPr>
          <w:spacing w:val="-5"/>
        </w:rPr>
        <w:t xml:space="preserve"> </w:t>
      </w:r>
      <w:r w:rsidRPr="00EC20A0">
        <w:t>rise</w:t>
      </w:r>
      <w:r w:rsidRPr="00EC20A0">
        <w:rPr>
          <w:spacing w:val="-4"/>
        </w:rPr>
        <w:t xml:space="preserve"> </w:t>
      </w:r>
      <w:r w:rsidRPr="00EC20A0">
        <w:t>to indicators of possible management bias;</w:t>
      </w:r>
    </w:p>
    <w:p w14:paraId="24D619B7" w14:textId="77777777" w:rsidR="00245300" w:rsidRPr="00EC20A0" w:rsidRDefault="00F17249">
      <w:pPr>
        <w:pStyle w:val="ListParagraph"/>
        <w:numPr>
          <w:ilvl w:val="1"/>
          <w:numId w:val="93"/>
        </w:numPr>
        <w:tabs>
          <w:tab w:val="left" w:pos="2000"/>
        </w:tabs>
        <w:spacing w:before="241"/>
        <w:ind w:right="549"/>
      </w:pPr>
      <w:r w:rsidRPr="00EC20A0">
        <w:t>whether</w:t>
      </w:r>
      <w:r w:rsidRPr="00EC20A0">
        <w:rPr>
          <w:spacing w:val="-4"/>
        </w:rPr>
        <w:t xml:space="preserve"> </w:t>
      </w:r>
      <w:r w:rsidRPr="00EC20A0">
        <w:t>the</w:t>
      </w:r>
      <w:r w:rsidRPr="00EC20A0">
        <w:rPr>
          <w:spacing w:val="-4"/>
        </w:rPr>
        <w:t xml:space="preserve"> </w:t>
      </w:r>
      <w:r w:rsidRPr="00EC20A0">
        <w:t>significant</w:t>
      </w:r>
      <w:r w:rsidRPr="00EC20A0">
        <w:rPr>
          <w:spacing w:val="-4"/>
        </w:rPr>
        <w:t xml:space="preserve"> </w:t>
      </w:r>
      <w:r w:rsidRPr="00EC20A0">
        <w:t>assumptions</w:t>
      </w:r>
      <w:r w:rsidRPr="00EC20A0">
        <w:rPr>
          <w:spacing w:val="-5"/>
        </w:rPr>
        <w:t xml:space="preserve"> </w:t>
      </w:r>
      <w:r w:rsidRPr="00EC20A0">
        <w:t>are</w:t>
      </w:r>
      <w:r w:rsidRPr="00EC20A0">
        <w:rPr>
          <w:spacing w:val="-4"/>
        </w:rPr>
        <w:t xml:space="preserve"> </w:t>
      </w:r>
      <w:r w:rsidRPr="00EC20A0">
        <w:t>consistent</w:t>
      </w:r>
      <w:r w:rsidRPr="00EC20A0">
        <w:rPr>
          <w:spacing w:val="-4"/>
        </w:rPr>
        <w:t xml:space="preserve"> </w:t>
      </w:r>
      <w:r w:rsidRPr="00EC20A0">
        <w:t>with</w:t>
      </w:r>
      <w:r w:rsidRPr="00EC20A0">
        <w:rPr>
          <w:spacing w:val="-4"/>
        </w:rPr>
        <w:t xml:space="preserve"> </w:t>
      </w:r>
      <w:r w:rsidRPr="00EC20A0">
        <w:t>each</w:t>
      </w:r>
      <w:r w:rsidRPr="00EC20A0">
        <w:rPr>
          <w:spacing w:val="-5"/>
        </w:rPr>
        <w:t xml:space="preserve"> </w:t>
      </w:r>
      <w:r w:rsidRPr="00EC20A0">
        <w:t>other</w:t>
      </w:r>
      <w:r w:rsidRPr="00EC20A0">
        <w:rPr>
          <w:spacing w:val="-4"/>
        </w:rPr>
        <w:t xml:space="preserve"> </w:t>
      </w:r>
      <w:r w:rsidRPr="00EC20A0">
        <w:t>and</w:t>
      </w:r>
      <w:r w:rsidRPr="00EC20A0">
        <w:rPr>
          <w:spacing w:val="-4"/>
        </w:rPr>
        <w:t xml:space="preserve"> </w:t>
      </w:r>
      <w:r w:rsidRPr="00EC20A0">
        <w:t>with those</w:t>
      </w:r>
      <w:r w:rsidRPr="00EC20A0">
        <w:rPr>
          <w:spacing w:val="-3"/>
        </w:rPr>
        <w:t xml:space="preserve"> </w:t>
      </w:r>
      <w:r w:rsidRPr="00EC20A0">
        <w:t>used</w:t>
      </w:r>
      <w:r w:rsidRPr="00EC20A0">
        <w:rPr>
          <w:spacing w:val="-3"/>
        </w:rPr>
        <w:t xml:space="preserve"> </w:t>
      </w:r>
      <w:r w:rsidRPr="00EC20A0">
        <w:t>in</w:t>
      </w:r>
      <w:r w:rsidRPr="00EC20A0">
        <w:rPr>
          <w:spacing w:val="-3"/>
        </w:rPr>
        <w:t xml:space="preserve"> </w:t>
      </w:r>
      <w:r w:rsidRPr="00EC20A0">
        <w:t>other</w:t>
      </w:r>
      <w:r w:rsidRPr="00EC20A0">
        <w:rPr>
          <w:spacing w:val="-3"/>
        </w:rPr>
        <w:t xml:space="preserve"> </w:t>
      </w:r>
      <w:r w:rsidRPr="00EC20A0">
        <w:t>accounting</w:t>
      </w:r>
      <w:r w:rsidRPr="00EC20A0">
        <w:rPr>
          <w:spacing w:val="-3"/>
        </w:rPr>
        <w:t xml:space="preserve"> </w:t>
      </w:r>
      <w:r w:rsidRPr="00EC20A0">
        <w:t>estimates,</w:t>
      </w:r>
      <w:r w:rsidRPr="00EC20A0">
        <w:rPr>
          <w:spacing w:val="-3"/>
        </w:rPr>
        <w:t xml:space="preserve"> </w:t>
      </w:r>
      <w:r w:rsidRPr="00EC20A0">
        <w:t>or</w:t>
      </w:r>
      <w:r w:rsidRPr="00EC20A0">
        <w:rPr>
          <w:spacing w:val="-3"/>
        </w:rPr>
        <w:t xml:space="preserve"> </w:t>
      </w:r>
      <w:r w:rsidRPr="00EC20A0">
        <w:t>with</w:t>
      </w:r>
      <w:r w:rsidRPr="00EC20A0">
        <w:rPr>
          <w:spacing w:val="-4"/>
        </w:rPr>
        <w:t xml:space="preserve"> </w:t>
      </w:r>
      <w:r w:rsidRPr="00EC20A0">
        <w:t>related</w:t>
      </w:r>
      <w:r w:rsidRPr="00EC20A0">
        <w:rPr>
          <w:spacing w:val="-3"/>
        </w:rPr>
        <w:t xml:space="preserve"> </w:t>
      </w:r>
      <w:r w:rsidRPr="00EC20A0">
        <w:t>assumptions</w:t>
      </w:r>
      <w:r w:rsidRPr="00EC20A0">
        <w:rPr>
          <w:spacing w:val="-3"/>
        </w:rPr>
        <w:t xml:space="preserve"> </w:t>
      </w:r>
      <w:r w:rsidRPr="00EC20A0">
        <w:t>used in other areas of the entity’s activities, based on the auditor’s knowledge obtained in the audit; and</w:t>
      </w:r>
    </w:p>
    <w:p w14:paraId="24D619B8" w14:textId="77777777" w:rsidR="00245300" w:rsidRPr="00EC20A0" w:rsidRDefault="00F17249">
      <w:pPr>
        <w:pStyle w:val="ListParagraph"/>
        <w:numPr>
          <w:ilvl w:val="1"/>
          <w:numId w:val="93"/>
        </w:numPr>
        <w:tabs>
          <w:tab w:val="left" w:pos="2000"/>
        </w:tabs>
        <w:ind w:right="731"/>
      </w:pPr>
      <w:r w:rsidRPr="00EC20A0">
        <w:t>when</w:t>
      </w:r>
      <w:r w:rsidRPr="00EC20A0">
        <w:rPr>
          <w:spacing w:val="-4"/>
        </w:rPr>
        <w:t xml:space="preserve"> </w:t>
      </w:r>
      <w:r w:rsidRPr="00EC20A0">
        <w:t>applicable,</w:t>
      </w:r>
      <w:r w:rsidRPr="00EC20A0">
        <w:rPr>
          <w:spacing w:val="-4"/>
        </w:rPr>
        <w:t xml:space="preserve"> </w:t>
      </w:r>
      <w:r w:rsidRPr="00EC20A0">
        <w:t>whether</w:t>
      </w:r>
      <w:r w:rsidRPr="00EC20A0">
        <w:rPr>
          <w:spacing w:val="-4"/>
        </w:rPr>
        <w:t xml:space="preserve"> </w:t>
      </w:r>
      <w:r w:rsidRPr="00EC20A0">
        <w:t>management</w:t>
      </w:r>
      <w:r w:rsidRPr="00EC20A0">
        <w:rPr>
          <w:spacing w:val="-4"/>
        </w:rPr>
        <w:t xml:space="preserve"> </w:t>
      </w:r>
      <w:r w:rsidRPr="00EC20A0">
        <w:t>has</w:t>
      </w:r>
      <w:r w:rsidRPr="00EC20A0">
        <w:rPr>
          <w:spacing w:val="-4"/>
        </w:rPr>
        <w:t xml:space="preserve"> </w:t>
      </w:r>
      <w:r w:rsidRPr="00EC20A0">
        <w:t>the</w:t>
      </w:r>
      <w:r w:rsidRPr="00EC20A0">
        <w:rPr>
          <w:spacing w:val="-4"/>
        </w:rPr>
        <w:t xml:space="preserve"> </w:t>
      </w:r>
      <w:r w:rsidRPr="00EC20A0">
        <w:t>intent</w:t>
      </w:r>
      <w:r w:rsidRPr="00EC20A0">
        <w:rPr>
          <w:spacing w:val="-4"/>
        </w:rPr>
        <w:t xml:space="preserve"> </w:t>
      </w:r>
      <w:r w:rsidRPr="00EC20A0">
        <w:t>to</w:t>
      </w:r>
      <w:r w:rsidRPr="00EC20A0">
        <w:rPr>
          <w:spacing w:val="-4"/>
        </w:rPr>
        <w:t xml:space="preserve"> </w:t>
      </w:r>
      <w:r w:rsidRPr="00EC20A0">
        <w:t>carry</w:t>
      </w:r>
      <w:r w:rsidRPr="00EC20A0">
        <w:rPr>
          <w:spacing w:val="-4"/>
        </w:rPr>
        <w:t xml:space="preserve"> </w:t>
      </w:r>
      <w:r w:rsidRPr="00EC20A0">
        <w:t>out</w:t>
      </w:r>
      <w:r w:rsidRPr="00EC20A0">
        <w:rPr>
          <w:spacing w:val="-4"/>
        </w:rPr>
        <w:t xml:space="preserve"> </w:t>
      </w:r>
      <w:r w:rsidRPr="00EC20A0">
        <w:t>specific courses of action and has the ability to do so.</w:t>
      </w:r>
    </w:p>
    <w:p w14:paraId="24D619B9" w14:textId="77777777" w:rsidR="00245300" w:rsidRPr="00EC20A0" w:rsidRDefault="00F17249">
      <w:pPr>
        <w:pStyle w:val="ListParagraph"/>
        <w:numPr>
          <w:ilvl w:val="0"/>
          <w:numId w:val="93"/>
        </w:numPr>
        <w:tabs>
          <w:tab w:val="left" w:pos="1640"/>
        </w:tabs>
        <w:ind w:right="626"/>
      </w:pPr>
      <w:r w:rsidRPr="00EC20A0">
        <w:t>In</w:t>
      </w:r>
      <w:r w:rsidRPr="00EC20A0">
        <w:rPr>
          <w:spacing w:val="-3"/>
        </w:rPr>
        <w:t xml:space="preserve"> </w:t>
      </w:r>
      <w:r w:rsidRPr="00EC20A0">
        <w:t>applying</w:t>
      </w:r>
      <w:r w:rsidRPr="00EC20A0">
        <w:rPr>
          <w:spacing w:val="-3"/>
        </w:rPr>
        <w:t xml:space="preserve"> </w:t>
      </w:r>
      <w:r w:rsidRPr="00EC20A0">
        <w:t>the</w:t>
      </w:r>
      <w:r w:rsidRPr="00EC20A0">
        <w:rPr>
          <w:spacing w:val="-3"/>
        </w:rPr>
        <w:t xml:space="preserve"> </w:t>
      </w:r>
      <w:r w:rsidRPr="00EC20A0">
        <w:t>requirements</w:t>
      </w:r>
      <w:r w:rsidRPr="00EC20A0">
        <w:rPr>
          <w:spacing w:val="-3"/>
        </w:rPr>
        <w:t xml:space="preserve"> </w:t>
      </w:r>
      <w:r w:rsidRPr="00EC20A0">
        <w:t>of</w:t>
      </w:r>
      <w:r w:rsidRPr="00EC20A0">
        <w:rPr>
          <w:spacing w:val="-3"/>
        </w:rPr>
        <w:t xml:space="preserve"> </w:t>
      </w:r>
      <w:r w:rsidRPr="00EC20A0">
        <w:t>FAM</w:t>
      </w:r>
      <w:r w:rsidRPr="00EC20A0">
        <w:rPr>
          <w:spacing w:val="-4"/>
        </w:rPr>
        <w:t xml:space="preserve"> </w:t>
      </w:r>
      <w:r w:rsidRPr="00EC20A0">
        <w:t>905.10,</w:t>
      </w:r>
      <w:r w:rsidRPr="00EC20A0">
        <w:rPr>
          <w:spacing w:val="-3"/>
        </w:rPr>
        <w:t xml:space="preserve"> </w:t>
      </w:r>
      <w:r w:rsidRPr="00EC20A0">
        <w:t>with</w:t>
      </w:r>
      <w:r w:rsidRPr="00EC20A0">
        <w:rPr>
          <w:spacing w:val="-3"/>
        </w:rPr>
        <w:t xml:space="preserve"> </w:t>
      </w:r>
      <w:r w:rsidRPr="00EC20A0">
        <w:t>respect</w:t>
      </w:r>
      <w:r w:rsidRPr="00EC20A0">
        <w:rPr>
          <w:spacing w:val="-3"/>
        </w:rPr>
        <w:t xml:space="preserve"> </w:t>
      </w:r>
      <w:r w:rsidRPr="00EC20A0">
        <w:t>to</w:t>
      </w:r>
      <w:r w:rsidRPr="00EC20A0">
        <w:rPr>
          <w:spacing w:val="-4"/>
        </w:rPr>
        <w:t xml:space="preserve"> </w:t>
      </w:r>
      <w:r w:rsidRPr="00EC20A0">
        <w:t>data,</w:t>
      </w:r>
      <w:r w:rsidRPr="00EC20A0">
        <w:rPr>
          <w:spacing w:val="-3"/>
        </w:rPr>
        <w:t xml:space="preserve"> </w:t>
      </w:r>
      <w:r w:rsidRPr="00EC20A0">
        <w:t>the</w:t>
      </w:r>
      <w:r w:rsidRPr="00EC20A0">
        <w:rPr>
          <w:spacing w:val="-3"/>
        </w:rPr>
        <w:t xml:space="preserve"> </w:t>
      </w:r>
      <w:r w:rsidRPr="00EC20A0">
        <w:t>auditor’s further audit procedures should address the following (AU-C 540.24):</w:t>
      </w:r>
    </w:p>
    <w:p w14:paraId="24D619BA" w14:textId="77777777" w:rsidR="00245300" w:rsidRPr="00EC20A0" w:rsidRDefault="00F17249">
      <w:pPr>
        <w:pStyle w:val="ListParagraph"/>
        <w:numPr>
          <w:ilvl w:val="1"/>
          <w:numId w:val="93"/>
        </w:numPr>
        <w:tabs>
          <w:tab w:val="left" w:pos="2000"/>
        </w:tabs>
        <w:spacing w:before="239"/>
        <w:ind w:right="513"/>
      </w:pPr>
      <w:r w:rsidRPr="00EC20A0">
        <w:t>whether the data are appropriate in the context of the applicable financial reporting</w:t>
      </w:r>
      <w:r w:rsidRPr="00EC20A0">
        <w:rPr>
          <w:spacing w:val="-5"/>
        </w:rPr>
        <w:t xml:space="preserve"> </w:t>
      </w:r>
      <w:r w:rsidRPr="00EC20A0">
        <w:t>framework</w:t>
      </w:r>
      <w:r w:rsidRPr="00EC20A0">
        <w:rPr>
          <w:spacing w:val="-5"/>
        </w:rPr>
        <w:t xml:space="preserve"> </w:t>
      </w:r>
      <w:r w:rsidRPr="00EC20A0">
        <w:t>(generally</w:t>
      </w:r>
      <w:r w:rsidRPr="00EC20A0">
        <w:rPr>
          <w:spacing w:val="-5"/>
        </w:rPr>
        <w:t xml:space="preserve"> </w:t>
      </w:r>
      <w:r w:rsidRPr="00EC20A0">
        <w:t>U.S.</w:t>
      </w:r>
      <w:r w:rsidRPr="00EC20A0">
        <w:rPr>
          <w:spacing w:val="-6"/>
        </w:rPr>
        <w:t xml:space="preserve"> </w:t>
      </w:r>
      <w:r w:rsidRPr="00EC20A0">
        <w:t>GAAP),</w:t>
      </w:r>
      <w:r w:rsidRPr="00EC20A0">
        <w:rPr>
          <w:spacing w:val="-5"/>
        </w:rPr>
        <w:t xml:space="preserve"> </w:t>
      </w:r>
      <w:r w:rsidRPr="00EC20A0">
        <w:t>and</w:t>
      </w:r>
      <w:r w:rsidRPr="00EC20A0">
        <w:rPr>
          <w:spacing w:val="-4"/>
        </w:rPr>
        <w:t xml:space="preserve"> </w:t>
      </w:r>
      <w:r w:rsidRPr="00EC20A0">
        <w:t>if</w:t>
      </w:r>
      <w:r w:rsidRPr="00EC20A0">
        <w:rPr>
          <w:spacing w:val="-5"/>
        </w:rPr>
        <w:t xml:space="preserve"> </w:t>
      </w:r>
      <w:r w:rsidRPr="00EC20A0">
        <w:t>applicable,</w:t>
      </w:r>
      <w:r w:rsidRPr="00EC20A0">
        <w:rPr>
          <w:spacing w:val="-5"/>
        </w:rPr>
        <w:t xml:space="preserve"> </w:t>
      </w:r>
      <w:r w:rsidRPr="00EC20A0">
        <w:t>changes</w:t>
      </w:r>
      <w:r w:rsidRPr="00EC20A0">
        <w:rPr>
          <w:spacing w:val="-5"/>
        </w:rPr>
        <w:t xml:space="preserve"> </w:t>
      </w:r>
      <w:r w:rsidRPr="00EC20A0">
        <w:t>from prior periods are appropriate;</w:t>
      </w:r>
    </w:p>
    <w:p w14:paraId="24D619BB" w14:textId="77777777" w:rsidR="00245300" w:rsidRPr="00EC20A0" w:rsidRDefault="00F17249">
      <w:pPr>
        <w:pStyle w:val="ListParagraph"/>
        <w:numPr>
          <w:ilvl w:val="1"/>
          <w:numId w:val="93"/>
        </w:numPr>
        <w:tabs>
          <w:tab w:val="left" w:pos="2000"/>
        </w:tabs>
        <w:spacing w:before="241"/>
        <w:ind w:right="1037"/>
      </w:pPr>
      <w:r w:rsidRPr="00EC20A0">
        <w:t>whether</w:t>
      </w:r>
      <w:r w:rsidRPr="00EC20A0">
        <w:rPr>
          <w:spacing w:val="-4"/>
        </w:rPr>
        <w:t xml:space="preserve"> </w:t>
      </w:r>
      <w:r w:rsidRPr="00EC20A0">
        <w:t>judgments</w:t>
      </w:r>
      <w:r w:rsidRPr="00EC20A0">
        <w:rPr>
          <w:spacing w:val="-4"/>
        </w:rPr>
        <w:t xml:space="preserve"> </w:t>
      </w:r>
      <w:r w:rsidRPr="00EC20A0">
        <w:t>made</w:t>
      </w:r>
      <w:r w:rsidRPr="00EC20A0">
        <w:rPr>
          <w:spacing w:val="-4"/>
        </w:rPr>
        <w:t xml:space="preserve"> </w:t>
      </w:r>
      <w:r w:rsidRPr="00EC20A0">
        <w:t>in</w:t>
      </w:r>
      <w:r w:rsidRPr="00EC20A0">
        <w:rPr>
          <w:spacing w:val="-4"/>
        </w:rPr>
        <w:t xml:space="preserve"> </w:t>
      </w:r>
      <w:r w:rsidRPr="00EC20A0">
        <w:t>selecting</w:t>
      </w:r>
      <w:r w:rsidRPr="00EC20A0">
        <w:rPr>
          <w:spacing w:val="-4"/>
        </w:rPr>
        <w:t xml:space="preserve"> </w:t>
      </w:r>
      <w:r w:rsidRPr="00EC20A0">
        <w:t>the</w:t>
      </w:r>
      <w:r w:rsidRPr="00EC20A0">
        <w:rPr>
          <w:spacing w:val="-4"/>
        </w:rPr>
        <w:t xml:space="preserve"> </w:t>
      </w:r>
      <w:r w:rsidRPr="00EC20A0">
        <w:t>data</w:t>
      </w:r>
      <w:r w:rsidRPr="00EC20A0">
        <w:rPr>
          <w:spacing w:val="-4"/>
        </w:rPr>
        <w:t xml:space="preserve"> </w:t>
      </w:r>
      <w:r w:rsidRPr="00EC20A0">
        <w:t>give</w:t>
      </w:r>
      <w:r w:rsidRPr="00EC20A0">
        <w:rPr>
          <w:spacing w:val="-4"/>
        </w:rPr>
        <w:t xml:space="preserve"> </w:t>
      </w:r>
      <w:r w:rsidRPr="00EC20A0">
        <w:t>rise</w:t>
      </w:r>
      <w:r w:rsidRPr="00EC20A0">
        <w:rPr>
          <w:spacing w:val="-4"/>
        </w:rPr>
        <w:t xml:space="preserve"> </w:t>
      </w:r>
      <w:r w:rsidRPr="00EC20A0">
        <w:t>to</w:t>
      </w:r>
      <w:r w:rsidRPr="00EC20A0">
        <w:rPr>
          <w:spacing w:val="-5"/>
        </w:rPr>
        <w:t xml:space="preserve"> </w:t>
      </w:r>
      <w:r w:rsidRPr="00EC20A0">
        <w:t>indicators</w:t>
      </w:r>
      <w:r w:rsidRPr="00EC20A0">
        <w:rPr>
          <w:spacing w:val="-4"/>
        </w:rPr>
        <w:t xml:space="preserve"> </w:t>
      </w:r>
      <w:r w:rsidRPr="00EC20A0">
        <w:t>of possible management bias;</w:t>
      </w:r>
    </w:p>
    <w:p w14:paraId="24D619BC" w14:textId="77777777" w:rsidR="00245300" w:rsidRPr="00EC20A0" w:rsidRDefault="00F17249">
      <w:pPr>
        <w:pStyle w:val="ListParagraph"/>
        <w:numPr>
          <w:ilvl w:val="1"/>
          <w:numId w:val="93"/>
        </w:numPr>
        <w:tabs>
          <w:tab w:val="left" w:pos="1999"/>
        </w:tabs>
        <w:ind w:left="1999" w:hanging="359"/>
      </w:pPr>
      <w:r w:rsidRPr="00EC20A0">
        <w:t>whether</w:t>
      </w:r>
      <w:r w:rsidRPr="00EC20A0">
        <w:rPr>
          <w:spacing w:val="-7"/>
        </w:rPr>
        <w:t xml:space="preserve"> </w:t>
      </w:r>
      <w:r w:rsidRPr="00EC20A0">
        <w:t>the</w:t>
      </w:r>
      <w:r w:rsidRPr="00EC20A0">
        <w:rPr>
          <w:spacing w:val="-6"/>
        </w:rPr>
        <w:t xml:space="preserve"> </w:t>
      </w:r>
      <w:r w:rsidRPr="00EC20A0">
        <w:t>data</w:t>
      </w:r>
      <w:r w:rsidRPr="00EC20A0">
        <w:rPr>
          <w:spacing w:val="-6"/>
        </w:rPr>
        <w:t xml:space="preserve"> </w:t>
      </w:r>
      <w:r w:rsidRPr="00EC20A0">
        <w:t>are</w:t>
      </w:r>
      <w:r w:rsidRPr="00EC20A0">
        <w:rPr>
          <w:spacing w:val="-6"/>
        </w:rPr>
        <w:t xml:space="preserve"> </w:t>
      </w:r>
      <w:r w:rsidRPr="00EC20A0">
        <w:t>relevant</w:t>
      </w:r>
      <w:r w:rsidRPr="00EC20A0">
        <w:rPr>
          <w:spacing w:val="-7"/>
        </w:rPr>
        <w:t xml:space="preserve"> </w:t>
      </w:r>
      <w:r w:rsidRPr="00EC20A0">
        <w:t>and</w:t>
      </w:r>
      <w:r w:rsidRPr="00EC20A0">
        <w:rPr>
          <w:spacing w:val="-6"/>
        </w:rPr>
        <w:t xml:space="preserve"> </w:t>
      </w:r>
      <w:r w:rsidRPr="00EC20A0">
        <w:t>reliable</w:t>
      </w:r>
      <w:r w:rsidRPr="00EC20A0">
        <w:rPr>
          <w:spacing w:val="-6"/>
        </w:rPr>
        <w:t xml:space="preserve"> </w:t>
      </w:r>
      <w:r w:rsidRPr="00EC20A0">
        <w:t>in</w:t>
      </w:r>
      <w:r w:rsidRPr="00EC20A0">
        <w:rPr>
          <w:spacing w:val="-6"/>
        </w:rPr>
        <w:t xml:space="preserve"> </w:t>
      </w:r>
      <w:r w:rsidRPr="00EC20A0">
        <w:t>the</w:t>
      </w:r>
      <w:r w:rsidRPr="00EC20A0">
        <w:rPr>
          <w:spacing w:val="-8"/>
        </w:rPr>
        <w:t xml:space="preserve"> </w:t>
      </w:r>
      <w:r w:rsidRPr="00EC20A0">
        <w:t>circumstances;</w:t>
      </w:r>
      <w:r w:rsidRPr="00EC20A0">
        <w:rPr>
          <w:spacing w:val="-6"/>
        </w:rPr>
        <w:t xml:space="preserve"> </w:t>
      </w:r>
      <w:r w:rsidRPr="00EC20A0">
        <w:rPr>
          <w:spacing w:val="-5"/>
        </w:rPr>
        <w:t>and</w:t>
      </w:r>
    </w:p>
    <w:p w14:paraId="24D619BD" w14:textId="77777777" w:rsidR="00245300" w:rsidRPr="00EC20A0" w:rsidRDefault="00F17249">
      <w:pPr>
        <w:pStyle w:val="ListParagraph"/>
        <w:numPr>
          <w:ilvl w:val="1"/>
          <w:numId w:val="93"/>
        </w:numPr>
        <w:tabs>
          <w:tab w:val="left" w:pos="2000"/>
        </w:tabs>
        <w:spacing w:before="239"/>
        <w:ind w:right="1012"/>
      </w:pPr>
      <w:r w:rsidRPr="00EC20A0">
        <w:t>whether</w:t>
      </w:r>
      <w:r w:rsidRPr="00EC20A0">
        <w:rPr>
          <w:spacing w:val="-5"/>
        </w:rPr>
        <w:t xml:space="preserve"> </w:t>
      </w:r>
      <w:r w:rsidRPr="00EC20A0">
        <w:t>the</w:t>
      </w:r>
      <w:r w:rsidRPr="00EC20A0">
        <w:rPr>
          <w:spacing w:val="-5"/>
        </w:rPr>
        <w:t xml:space="preserve"> </w:t>
      </w:r>
      <w:r w:rsidRPr="00EC20A0">
        <w:t>data</w:t>
      </w:r>
      <w:r w:rsidRPr="00EC20A0">
        <w:rPr>
          <w:spacing w:val="-5"/>
        </w:rPr>
        <w:t xml:space="preserve"> </w:t>
      </w:r>
      <w:r w:rsidRPr="00EC20A0">
        <w:t>have</w:t>
      </w:r>
      <w:r w:rsidRPr="00EC20A0">
        <w:rPr>
          <w:spacing w:val="-5"/>
        </w:rPr>
        <w:t xml:space="preserve"> </w:t>
      </w:r>
      <w:r w:rsidRPr="00EC20A0">
        <w:t>been</w:t>
      </w:r>
      <w:r w:rsidRPr="00EC20A0">
        <w:rPr>
          <w:spacing w:val="-5"/>
        </w:rPr>
        <w:t xml:space="preserve"> </w:t>
      </w:r>
      <w:r w:rsidRPr="00EC20A0">
        <w:t>appropriately</w:t>
      </w:r>
      <w:r w:rsidRPr="00EC20A0">
        <w:rPr>
          <w:spacing w:val="-5"/>
        </w:rPr>
        <w:t xml:space="preserve"> </w:t>
      </w:r>
      <w:r w:rsidRPr="00EC20A0">
        <w:t>understood</w:t>
      </w:r>
      <w:r w:rsidRPr="00EC20A0">
        <w:rPr>
          <w:spacing w:val="-5"/>
        </w:rPr>
        <w:t xml:space="preserve"> </w:t>
      </w:r>
      <w:r w:rsidRPr="00EC20A0">
        <w:t>or</w:t>
      </w:r>
      <w:r w:rsidRPr="00EC20A0">
        <w:rPr>
          <w:spacing w:val="-5"/>
        </w:rPr>
        <w:t xml:space="preserve"> </w:t>
      </w:r>
      <w:r w:rsidRPr="00EC20A0">
        <w:t>interpreted</w:t>
      </w:r>
      <w:r w:rsidRPr="00EC20A0">
        <w:rPr>
          <w:spacing w:val="-5"/>
        </w:rPr>
        <w:t xml:space="preserve"> </w:t>
      </w:r>
      <w:r w:rsidRPr="00EC20A0">
        <w:t>by management, including with respect to contractual terms.</w:t>
      </w:r>
    </w:p>
    <w:p w14:paraId="24D619BE" w14:textId="77777777" w:rsidR="00245300" w:rsidRPr="00EC20A0" w:rsidRDefault="00F17249">
      <w:pPr>
        <w:pStyle w:val="ListParagraph"/>
        <w:numPr>
          <w:ilvl w:val="0"/>
          <w:numId w:val="93"/>
        </w:numPr>
        <w:tabs>
          <w:tab w:val="left" w:pos="1640"/>
        </w:tabs>
        <w:spacing w:before="241"/>
        <w:ind w:right="445"/>
      </w:pPr>
      <w:r w:rsidRPr="00EC20A0">
        <w:t>In applying the requirements of FAM 905.10, the auditor’s further audit procedures should address whether, in the context of the applicable financial reporting</w:t>
      </w:r>
      <w:r w:rsidRPr="00EC20A0">
        <w:rPr>
          <w:spacing w:val="-5"/>
        </w:rPr>
        <w:t xml:space="preserve"> </w:t>
      </w:r>
      <w:r w:rsidRPr="00EC20A0">
        <w:t>framework</w:t>
      </w:r>
      <w:r w:rsidRPr="00EC20A0">
        <w:rPr>
          <w:spacing w:val="-5"/>
        </w:rPr>
        <w:t xml:space="preserve"> </w:t>
      </w:r>
      <w:r w:rsidRPr="00EC20A0">
        <w:t>(generally</w:t>
      </w:r>
      <w:r w:rsidRPr="00EC20A0">
        <w:rPr>
          <w:spacing w:val="-5"/>
        </w:rPr>
        <w:t xml:space="preserve"> </w:t>
      </w:r>
      <w:r w:rsidRPr="00EC20A0">
        <w:t>U.S.</w:t>
      </w:r>
      <w:r w:rsidRPr="00EC20A0">
        <w:rPr>
          <w:spacing w:val="-6"/>
        </w:rPr>
        <w:t xml:space="preserve"> </w:t>
      </w:r>
      <w:r w:rsidRPr="00EC20A0">
        <w:t>GAAP),</w:t>
      </w:r>
      <w:r w:rsidRPr="00EC20A0">
        <w:rPr>
          <w:spacing w:val="-4"/>
        </w:rPr>
        <w:t xml:space="preserve"> </w:t>
      </w:r>
      <w:r w:rsidRPr="00EC20A0">
        <w:t>management</w:t>
      </w:r>
      <w:r w:rsidRPr="00EC20A0">
        <w:rPr>
          <w:spacing w:val="-5"/>
        </w:rPr>
        <w:t xml:space="preserve"> </w:t>
      </w:r>
      <w:r w:rsidRPr="00EC20A0">
        <w:t>has</w:t>
      </w:r>
      <w:r w:rsidRPr="00EC20A0">
        <w:rPr>
          <w:spacing w:val="-5"/>
        </w:rPr>
        <w:t xml:space="preserve"> </w:t>
      </w:r>
      <w:r w:rsidRPr="00EC20A0">
        <w:t>taken</w:t>
      </w:r>
      <w:r w:rsidRPr="00EC20A0">
        <w:rPr>
          <w:spacing w:val="-5"/>
        </w:rPr>
        <w:t xml:space="preserve"> </w:t>
      </w:r>
      <w:r w:rsidRPr="00EC20A0">
        <w:t>appropriate steps to</w:t>
      </w:r>
    </w:p>
    <w:p w14:paraId="24D619BF" w14:textId="77777777" w:rsidR="00245300" w:rsidRPr="00EC20A0" w:rsidRDefault="00F17249">
      <w:pPr>
        <w:pStyle w:val="ListParagraph"/>
        <w:numPr>
          <w:ilvl w:val="1"/>
          <w:numId w:val="93"/>
        </w:numPr>
        <w:tabs>
          <w:tab w:val="left" w:pos="1999"/>
        </w:tabs>
        <w:spacing w:before="239"/>
        <w:ind w:left="1999" w:hanging="359"/>
      </w:pPr>
      <w:r w:rsidRPr="00EC20A0">
        <w:t>understand</w:t>
      </w:r>
      <w:r w:rsidRPr="00EC20A0">
        <w:rPr>
          <w:spacing w:val="-13"/>
        </w:rPr>
        <w:t xml:space="preserve"> </w:t>
      </w:r>
      <w:r w:rsidRPr="00EC20A0">
        <w:t>estimation</w:t>
      </w:r>
      <w:r w:rsidRPr="00EC20A0">
        <w:rPr>
          <w:spacing w:val="-11"/>
        </w:rPr>
        <w:t xml:space="preserve"> </w:t>
      </w:r>
      <w:r w:rsidRPr="00EC20A0">
        <w:t>uncertainty</w:t>
      </w:r>
      <w:r w:rsidRPr="00EC20A0">
        <w:rPr>
          <w:spacing w:val="-11"/>
        </w:rPr>
        <w:t xml:space="preserve"> </w:t>
      </w:r>
      <w:r w:rsidRPr="00EC20A0">
        <w:rPr>
          <w:spacing w:val="-5"/>
        </w:rPr>
        <w:t>and</w:t>
      </w:r>
    </w:p>
    <w:p w14:paraId="24D619C0" w14:textId="77777777" w:rsidR="00245300" w:rsidRPr="00EC20A0" w:rsidRDefault="00F17249">
      <w:pPr>
        <w:pStyle w:val="ListParagraph"/>
        <w:numPr>
          <w:ilvl w:val="1"/>
          <w:numId w:val="93"/>
        </w:numPr>
        <w:tabs>
          <w:tab w:val="left" w:pos="2000"/>
        </w:tabs>
        <w:spacing w:before="241"/>
        <w:ind w:right="354"/>
      </w:pPr>
      <w:r w:rsidRPr="00EC20A0">
        <w:t>address</w:t>
      </w:r>
      <w:r w:rsidRPr="00EC20A0">
        <w:rPr>
          <w:spacing w:val="-5"/>
        </w:rPr>
        <w:t xml:space="preserve"> </w:t>
      </w:r>
      <w:r w:rsidRPr="00EC20A0">
        <w:t>estimation</w:t>
      </w:r>
      <w:r w:rsidRPr="00EC20A0">
        <w:rPr>
          <w:spacing w:val="-5"/>
        </w:rPr>
        <w:t xml:space="preserve"> </w:t>
      </w:r>
      <w:r w:rsidRPr="00EC20A0">
        <w:t>uncertainty</w:t>
      </w:r>
      <w:r w:rsidRPr="00EC20A0">
        <w:rPr>
          <w:spacing w:val="-4"/>
        </w:rPr>
        <w:t xml:space="preserve"> </w:t>
      </w:r>
      <w:r w:rsidRPr="00EC20A0">
        <w:t>by</w:t>
      </w:r>
      <w:r w:rsidRPr="00EC20A0">
        <w:rPr>
          <w:spacing w:val="-6"/>
        </w:rPr>
        <w:t xml:space="preserve"> </w:t>
      </w:r>
      <w:r w:rsidRPr="00EC20A0">
        <w:t>selecting</w:t>
      </w:r>
      <w:r w:rsidRPr="00EC20A0">
        <w:rPr>
          <w:spacing w:val="-5"/>
        </w:rPr>
        <w:t xml:space="preserve"> </w:t>
      </w:r>
      <w:r w:rsidRPr="00EC20A0">
        <w:t>an</w:t>
      </w:r>
      <w:r w:rsidRPr="00EC20A0">
        <w:rPr>
          <w:spacing w:val="-5"/>
        </w:rPr>
        <w:t xml:space="preserve"> </w:t>
      </w:r>
      <w:r w:rsidRPr="00EC20A0">
        <w:t>appropriate</w:t>
      </w:r>
      <w:r w:rsidRPr="00EC20A0">
        <w:rPr>
          <w:spacing w:val="-5"/>
        </w:rPr>
        <w:t xml:space="preserve"> </w:t>
      </w:r>
      <w:r w:rsidRPr="00EC20A0">
        <w:t>point</w:t>
      </w:r>
      <w:r w:rsidRPr="00EC20A0">
        <w:rPr>
          <w:spacing w:val="-5"/>
        </w:rPr>
        <w:t xml:space="preserve"> </w:t>
      </w:r>
      <w:r w:rsidRPr="00EC20A0">
        <w:t>estimate</w:t>
      </w:r>
      <w:r w:rsidRPr="00EC20A0">
        <w:rPr>
          <w:spacing w:val="-5"/>
        </w:rPr>
        <w:t xml:space="preserve"> </w:t>
      </w:r>
      <w:r w:rsidRPr="00EC20A0">
        <w:t xml:space="preserve">and by developing related note disclosures about estimation uncertainty (AU-C </w:t>
      </w:r>
      <w:r w:rsidRPr="00EC20A0">
        <w:rPr>
          <w:spacing w:val="-2"/>
        </w:rPr>
        <w:t>540.25).</w:t>
      </w:r>
    </w:p>
    <w:p w14:paraId="24D619C1" w14:textId="77777777" w:rsidR="00245300" w:rsidRPr="00EC20A0" w:rsidRDefault="00F17249">
      <w:pPr>
        <w:pStyle w:val="BodyText"/>
        <w:spacing w:before="239"/>
        <w:ind w:left="1640" w:right="345"/>
      </w:pPr>
      <w:r w:rsidRPr="00EC20A0">
        <w:t>Relevant</w:t>
      </w:r>
      <w:r w:rsidRPr="00EC20A0">
        <w:rPr>
          <w:spacing w:val="-6"/>
        </w:rPr>
        <w:t xml:space="preserve"> </w:t>
      </w:r>
      <w:r w:rsidRPr="00EC20A0">
        <w:t>considerations</w:t>
      </w:r>
      <w:r w:rsidRPr="00EC20A0">
        <w:rPr>
          <w:spacing w:val="-7"/>
        </w:rPr>
        <w:t xml:space="preserve"> </w:t>
      </w:r>
      <w:r w:rsidRPr="00EC20A0">
        <w:t>regarding</w:t>
      </w:r>
      <w:r w:rsidRPr="00EC20A0">
        <w:rPr>
          <w:spacing w:val="-6"/>
        </w:rPr>
        <w:t xml:space="preserve"> </w:t>
      </w:r>
      <w:r w:rsidRPr="00EC20A0">
        <w:t>whether</w:t>
      </w:r>
      <w:r w:rsidRPr="00EC20A0">
        <w:rPr>
          <w:spacing w:val="-6"/>
        </w:rPr>
        <w:t xml:space="preserve"> </w:t>
      </w:r>
      <w:r w:rsidRPr="00EC20A0">
        <w:t>management</w:t>
      </w:r>
      <w:r w:rsidRPr="00EC20A0">
        <w:rPr>
          <w:spacing w:val="-6"/>
        </w:rPr>
        <w:t xml:space="preserve"> </w:t>
      </w:r>
      <w:r w:rsidRPr="00EC20A0">
        <w:t>has</w:t>
      </w:r>
      <w:r w:rsidRPr="00EC20A0">
        <w:rPr>
          <w:spacing w:val="-6"/>
        </w:rPr>
        <w:t xml:space="preserve"> </w:t>
      </w:r>
      <w:r w:rsidRPr="00EC20A0">
        <w:t>taken</w:t>
      </w:r>
      <w:r w:rsidRPr="00EC20A0">
        <w:rPr>
          <w:spacing w:val="-6"/>
        </w:rPr>
        <w:t xml:space="preserve"> </w:t>
      </w:r>
      <w:r w:rsidRPr="00EC20A0">
        <w:t>appropriate steps to understand and address estimation uncertainty may include whether management has</w:t>
      </w:r>
    </w:p>
    <w:p w14:paraId="24D619C2" w14:textId="77777777" w:rsidR="00245300" w:rsidRPr="00EC20A0" w:rsidRDefault="00F17249">
      <w:pPr>
        <w:pStyle w:val="ListParagraph"/>
        <w:numPr>
          <w:ilvl w:val="2"/>
          <w:numId w:val="93"/>
        </w:numPr>
        <w:tabs>
          <w:tab w:val="left" w:pos="2000"/>
        </w:tabs>
        <w:ind w:left="2000" w:right="463"/>
      </w:pPr>
      <w:r w:rsidRPr="00EC20A0">
        <w:t>understood the estimation uncertainty by identifying the sources and assessing the degree of inherent variability in the measurement outcomes and</w:t>
      </w:r>
      <w:r w:rsidRPr="00EC20A0">
        <w:rPr>
          <w:spacing w:val="-5"/>
        </w:rPr>
        <w:t xml:space="preserve"> </w:t>
      </w:r>
      <w:r w:rsidRPr="00EC20A0">
        <w:t>the</w:t>
      </w:r>
      <w:r w:rsidRPr="00EC20A0">
        <w:rPr>
          <w:spacing w:val="-5"/>
        </w:rPr>
        <w:t xml:space="preserve"> </w:t>
      </w:r>
      <w:r w:rsidRPr="00EC20A0">
        <w:t>resulting</w:t>
      </w:r>
      <w:r w:rsidRPr="00EC20A0">
        <w:rPr>
          <w:spacing w:val="-5"/>
        </w:rPr>
        <w:t xml:space="preserve"> </w:t>
      </w:r>
      <w:r w:rsidRPr="00EC20A0">
        <w:t>range</w:t>
      </w:r>
      <w:r w:rsidRPr="00EC20A0">
        <w:rPr>
          <w:spacing w:val="-5"/>
        </w:rPr>
        <w:t xml:space="preserve"> </w:t>
      </w:r>
      <w:r w:rsidRPr="00EC20A0">
        <w:t>of</w:t>
      </w:r>
      <w:r w:rsidRPr="00EC20A0">
        <w:rPr>
          <w:spacing w:val="-5"/>
        </w:rPr>
        <w:t xml:space="preserve"> </w:t>
      </w:r>
      <w:r w:rsidRPr="00EC20A0">
        <w:t>reasonably</w:t>
      </w:r>
      <w:r w:rsidRPr="00EC20A0">
        <w:rPr>
          <w:spacing w:val="-6"/>
        </w:rPr>
        <w:t xml:space="preserve"> </w:t>
      </w:r>
      <w:r w:rsidRPr="00EC20A0">
        <w:t>possible</w:t>
      </w:r>
      <w:r w:rsidRPr="00EC20A0">
        <w:rPr>
          <w:spacing w:val="-6"/>
        </w:rPr>
        <w:t xml:space="preserve"> </w:t>
      </w:r>
      <w:r w:rsidRPr="00EC20A0">
        <w:t>measurement</w:t>
      </w:r>
      <w:r w:rsidRPr="00EC20A0">
        <w:rPr>
          <w:spacing w:val="-5"/>
        </w:rPr>
        <w:t xml:space="preserve"> </w:t>
      </w:r>
      <w:r w:rsidRPr="00EC20A0">
        <w:t>outcomes</w:t>
      </w:r>
      <w:r w:rsidRPr="00EC20A0">
        <w:rPr>
          <w:spacing w:val="-3"/>
        </w:rPr>
        <w:t xml:space="preserve"> </w:t>
      </w:r>
      <w:r w:rsidRPr="00EC20A0">
        <w:t>(AU- C 540.A109a);</w:t>
      </w:r>
    </w:p>
    <w:p w14:paraId="24D619C3" w14:textId="77777777" w:rsidR="00245300" w:rsidRPr="00EC20A0" w:rsidRDefault="00245300">
      <w:pPr>
        <w:sectPr w:rsidR="00245300" w:rsidRPr="00EC20A0">
          <w:pgSz w:w="12240" w:h="15840"/>
          <w:pgMar w:top="1340" w:right="1100" w:bottom="940" w:left="1240" w:header="721" w:footer="757" w:gutter="0"/>
          <w:cols w:space="720"/>
        </w:sectPr>
      </w:pPr>
    </w:p>
    <w:p w14:paraId="24D619C4" w14:textId="77777777" w:rsidR="00245300" w:rsidRPr="00EC20A0" w:rsidRDefault="00F17249">
      <w:pPr>
        <w:pStyle w:val="ListParagraph"/>
        <w:numPr>
          <w:ilvl w:val="2"/>
          <w:numId w:val="93"/>
        </w:numPr>
        <w:tabs>
          <w:tab w:val="left" w:pos="1999"/>
        </w:tabs>
        <w:spacing w:before="121"/>
        <w:ind w:left="1999" w:right="720"/>
      </w:pPr>
      <w:r w:rsidRPr="00EC20A0">
        <w:t>identified</w:t>
      </w:r>
      <w:r w:rsidRPr="00EC20A0">
        <w:rPr>
          <w:spacing w:val="-4"/>
        </w:rPr>
        <w:t xml:space="preserve"> </w:t>
      </w:r>
      <w:r w:rsidRPr="00EC20A0">
        <w:t>the</w:t>
      </w:r>
      <w:r w:rsidRPr="00EC20A0">
        <w:rPr>
          <w:spacing w:val="-4"/>
        </w:rPr>
        <w:t xml:space="preserve"> </w:t>
      </w:r>
      <w:r w:rsidRPr="00EC20A0">
        <w:t>degree</w:t>
      </w:r>
      <w:r w:rsidRPr="00EC20A0">
        <w:rPr>
          <w:spacing w:val="-4"/>
        </w:rPr>
        <w:t xml:space="preserve"> </w:t>
      </w:r>
      <w:r w:rsidRPr="00EC20A0">
        <w:t>to</w:t>
      </w:r>
      <w:r w:rsidRPr="00EC20A0">
        <w:rPr>
          <w:spacing w:val="-5"/>
        </w:rPr>
        <w:t xml:space="preserve"> </w:t>
      </w:r>
      <w:r w:rsidRPr="00EC20A0">
        <w:t>which,</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measurement</w:t>
      </w:r>
      <w:r w:rsidRPr="00EC20A0">
        <w:rPr>
          <w:spacing w:val="-4"/>
        </w:rPr>
        <w:t xml:space="preserve"> </w:t>
      </w:r>
      <w:r w:rsidRPr="00EC20A0">
        <w:t>process,</w:t>
      </w:r>
      <w:r w:rsidRPr="00EC20A0">
        <w:rPr>
          <w:spacing w:val="-5"/>
        </w:rPr>
        <w:t xml:space="preserve"> </w:t>
      </w:r>
      <w:r w:rsidRPr="00EC20A0">
        <w:t>complexity</w:t>
      </w:r>
      <w:r w:rsidRPr="00EC20A0">
        <w:rPr>
          <w:spacing w:val="-4"/>
        </w:rPr>
        <w:t xml:space="preserve"> </w:t>
      </w:r>
      <w:r w:rsidRPr="00EC20A0">
        <w:t>or subjectivity affect the risk of material misstatement, and addressed the resulting potential for misstatement by applying</w:t>
      </w:r>
    </w:p>
    <w:p w14:paraId="24D619C5" w14:textId="77777777" w:rsidR="00245300" w:rsidRPr="00EC20A0" w:rsidRDefault="00F17249">
      <w:pPr>
        <w:pStyle w:val="ListParagraph"/>
        <w:numPr>
          <w:ilvl w:val="3"/>
          <w:numId w:val="93"/>
        </w:numPr>
        <w:tabs>
          <w:tab w:val="left" w:pos="2358"/>
        </w:tabs>
        <w:spacing w:before="238"/>
        <w:ind w:left="2358" w:hanging="359"/>
      </w:pPr>
      <w:r w:rsidRPr="00EC20A0">
        <w:t>appropriate</w:t>
      </w:r>
      <w:r w:rsidRPr="00EC20A0">
        <w:rPr>
          <w:spacing w:val="-10"/>
        </w:rPr>
        <w:t xml:space="preserve"> </w:t>
      </w:r>
      <w:r w:rsidRPr="00EC20A0">
        <w:t>skills</w:t>
      </w:r>
      <w:r w:rsidRPr="00EC20A0">
        <w:rPr>
          <w:spacing w:val="-8"/>
        </w:rPr>
        <w:t xml:space="preserve"> </w:t>
      </w:r>
      <w:r w:rsidRPr="00EC20A0">
        <w:t>and</w:t>
      </w:r>
      <w:r w:rsidRPr="00EC20A0">
        <w:rPr>
          <w:spacing w:val="-8"/>
        </w:rPr>
        <w:t xml:space="preserve"> </w:t>
      </w:r>
      <w:r w:rsidRPr="00EC20A0">
        <w:t>knowledge</w:t>
      </w:r>
      <w:r w:rsidRPr="00EC20A0">
        <w:rPr>
          <w:spacing w:val="-8"/>
        </w:rPr>
        <w:t xml:space="preserve"> </w:t>
      </w:r>
      <w:r w:rsidRPr="00EC20A0">
        <w:t>in</w:t>
      </w:r>
      <w:r w:rsidRPr="00EC20A0">
        <w:rPr>
          <w:spacing w:val="-9"/>
        </w:rPr>
        <w:t xml:space="preserve"> </w:t>
      </w:r>
      <w:r w:rsidRPr="00EC20A0">
        <w:t>making</w:t>
      </w:r>
      <w:r w:rsidRPr="00EC20A0">
        <w:rPr>
          <w:spacing w:val="-9"/>
        </w:rPr>
        <w:t xml:space="preserve"> </w:t>
      </w:r>
      <w:r w:rsidRPr="00EC20A0">
        <w:t>accounting</w:t>
      </w:r>
      <w:r w:rsidRPr="00EC20A0">
        <w:rPr>
          <w:spacing w:val="-8"/>
        </w:rPr>
        <w:t xml:space="preserve"> </w:t>
      </w:r>
      <w:r w:rsidRPr="00EC20A0">
        <w:t>estimates</w:t>
      </w:r>
      <w:r w:rsidRPr="00EC20A0">
        <w:rPr>
          <w:spacing w:val="-6"/>
        </w:rPr>
        <w:t xml:space="preserve"> </w:t>
      </w:r>
      <w:r w:rsidRPr="00EC20A0">
        <w:rPr>
          <w:spacing w:val="-5"/>
        </w:rPr>
        <w:t>and</w:t>
      </w:r>
    </w:p>
    <w:p w14:paraId="24D619C6" w14:textId="77777777" w:rsidR="00245300" w:rsidRPr="00EC20A0" w:rsidRDefault="00F17249">
      <w:pPr>
        <w:pStyle w:val="ListParagraph"/>
        <w:numPr>
          <w:ilvl w:val="3"/>
          <w:numId w:val="93"/>
        </w:numPr>
        <w:tabs>
          <w:tab w:val="left" w:pos="2359"/>
        </w:tabs>
        <w:spacing w:before="233" w:line="223" w:lineRule="auto"/>
        <w:ind w:right="470"/>
      </w:pPr>
      <w:r w:rsidRPr="00EC20A0">
        <w:t>professional</w:t>
      </w:r>
      <w:r w:rsidRPr="00EC20A0">
        <w:rPr>
          <w:spacing w:val="-7"/>
        </w:rPr>
        <w:t xml:space="preserve"> </w:t>
      </w:r>
      <w:r w:rsidRPr="00EC20A0">
        <w:t>judgment,</w:t>
      </w:r>
      <w:r w:rsidRPr="00EC20A0">
        <w:rPr>
          <w:spacing w:val="-6"/>
        </w:rPr>
        <w:t xml:space="preserve"> </w:t>
      </w:r>
      <w:r w:rsidRPr="00EC20A0">
        <w:t>including</w:t>
      </w:r>
      <w:r w:rsidRPr="00EC20A0">
        <w:rPr>
          <w:spacing w:val="-6"/>
        </w:rPr>
        <w:t xml:space="preserve"> </w:t>
      </w:r>
      <w:r w:rsidRPr="00EC20A0">
        <w:t>identifying</w:t>
      </w:r>
      <w:r w:rsidRPr="00EC20A0">
        <w:rPr>
          <w:spacing w:val="-6"/>
        </w:rPr>
        <w:t xml:space="preserve"> </w:t>
      </w:r>
      <w:r w:rsidRPr="00EC20A0">
        <w:t>and</w:t>
      </w:r>
      <w:r w:rsidRPr="00EC20A0">
        <w:rPr>
          <w:spacing w:val="-7"/>
        </w:rPr>
        <w:t xml:space="preserve"> </w:t>
      </w:r>
      <w:r w:rsidRPr="00EC20A0">
        <w:t>addressing</w:t>
      </w:r>
      <w:r w:rsidRPr="00EC20A0">
        <w:rPr>
          <w:spacing w:val="-7"/>
        </w:rPr>
        <w:t xml:space="preserve"> </w:t>
      </w:r>
      <w:r w:rsidRPr="00EC20A0">
        <w:t>susceptibility to management bias (AU-C 540.A109b); and</w:t>
      </w:r>
    </w:p>
    <w:p w14:paraId="24D619C7" w14:textId="77777777" w:rsidR="00245300" w:rsidRPr="00EC20A0" w:rsidRDefault="00F17249">
      <w:pPr>
        <w:pStyle w:val="ListParagraph"/>
        <w:numPr>
          <w:ilvl w:val="2"/>
          <w:numId w:val="93"/>
        </w:numPr>
        <w:tabs>
          <w:tab w:val="left" w:pos="1999"/>
        </w:tabs>
        <w:spacing w:before="243"/>
        <w:ind w:left="1999" w:right="463"/>
      </w:pPr>
      <w:r w:rsidRPr="00EC20A0">
        <w:t>developed note disclosures about estimation uncertainty that appropriately describe</w:t>
      </w:r>
      <w:r w:rsidRPr="00EC20A0">
        <w:rPr>
          <w:spacing w:val="-3"/>
        </w:rPr>
        <w:t xml:space="preserve"> </w:t>
      </w:r>
      <w:r w:rsidRPr="00EC20A0">
        <w:t>the</w:t>
      </w:r>
      <w:r w:rsidRPr="00EC20A0">
        <w:rPr>
          <w:spacing w:val="-4"/>
        </w:rPr>
        <w:t xml:space="preserve"> </w:t>
      </w:r>
      <w:r w:rsidRPr="00EC20A0">
        <w:t>amount</w:t>
      </w:r>
      <w:r w:rsidRPr="00EC20A0">
        <w:rPr>
          <w:spacing w:val="-3"/>
        </w:rPr>
        <w:t xml:space="preserve"> </w:t>
      </w:r>
      <w:r w:rsidRPr="00EC20A0">
        <w:t>as</w:t>
      </w:r>
      <w:r w:rsidRPr="00EC20A0">
        <w:rPr>
          <w:spacing w:val="-3"/>
        </w:rPr>
        <w:t xml:space="preserve"> </w:t>
      </w:r>
      <w:r w:rsidRPr="00EC20A0">
        <w:t>an</w:t>
      </w:r>
      <w:r w:rsidRPr="00EC20A0">
        <w:rPr>
          <w:spacing w:val="-3"/>
        </w:rPr>
        <w:t xml:space="preserve"> </w:t>
      </w:r>
      <w:r w:rsidRPr="00EC20A0">
        <w:t>estimate</w:t>
      </w:r>
      <w:r w:rsidRPr="00EC20A0">
        <w:rPr>
          <w:spacing w:val="-3"/>
        </w:rPr>
        <w:t xml:space="preserve"> </w:t>
      </w:r>
      <w:r w:rsidRPr="00EC20A0">
        <w:t>and</w:t>
      </w:r>
      <w:r w:rsidRPr="00EC20A0">
        <w:rPr>
          <w:spacing w:val="-3"/>
        </w:rPr>
        <w:t xml:space="preserve"> </w:t>
      </w:r>
      <w:r w:rsidRPr="00EC20A0">
        <w:t>explain</w:t>
      </w:r>
      <w:r w:rsidRPr="00EC20A0">
        <w:rPr>
          <w:spacing w:val="-4"/>
        </w:rPr>
        <w:t xml:space="preserve"> </w:t>
      </w:r>
      <w:r w:rsidRPr="00EC20A0">
        <w:t>the</w:t>
      </w:r>
      <w:r w:rsidRPr="00EC20A0">
        <w:rPr>
          <w:spacing w:val="-3"/>
        </w:rPr>
        <w:t xml:space="preserve"> </w:t>
      </w:r>
      <w:r w:rsidRPr="00EC20A0">
        <w:t>nature</w:t>
      </w:r>
      <w:r w:rsidRPr="00EC20A0">
        <w:rPr>
          <w:spacing w:val="-3"/>
        </w:rPr>
        <w:t xml:space="preserve"> </w:t>
      </w:r>
      <w:r w:rsidRPr="00EC20A0">
        <w:t>and</w:t>
      </w:r>
      <w:r w:rsidRPr="00EC20A0">
        <w:rPr>
          <w:spacing w:val="-3"/>
        </w:rPr>
        <w:t xml:space="preserve"> </w:t>
      </w:r>
      <w:r w:rsidRPr="00EC20A0">
        <w:t>limitations</w:t>
      </w:r>
      <w:r w:rsidRPr="00EC20A0">
        <w:rPr>
          <w:spacing w:val="-3"/>
        </w:rPr>
        <w:t xml:space="preserve"> </w:t>
      </w:r>
      <w:r w:rsidRPr="00EC20A0">
        <w:t>of the estimation process, including the variability of the reasonably possible measurement outcomes (AU-C 540.A110).</w:t>
      </w:r>
    </w:p>
    <w:p w14:paraId="24D619C8" w14:textId="77777777" w:rsidR="00245300" w:rsidRPr="00EC20A0" w:rsidRDefault="00F17249">
      <w:pPr>
        <w:pStyle w:val="ListParagraph"/>
        <w:numPr>
          <w:ilvl w:val="0"/>
          <w:numId w:val="93"/>
        </w:numPr>
        <w:tabs>
          <w:tab w:val="left" w:pos="1637"/>
          <w:tab w:val="left" w:pos="1639"/>
        </w:tabs>
        <w:spacing w:before="239"/>
        <w:ind w:left="1639" w:right="1325"/>
        <w:jc w:val="both"/>
      </w:pPr>
      <w:r w:rsidRPr="00EC20A0">
        <w:t>When, in the auditor’s judgment based on the audit evidence obtained, management</w:t>
      </w:r>
      <w:r w:rsidRPr="00EC20A0">
        <w:rPr>
          <w:spacing w:val="-5"/>
        </w:rPr>
        <w:t xml:space="preserve"> </w:t>
      </w:r>
      <w:r w:rsidRPr="00EC20A0">
        <w:t>has</w:t>
      </w:r>
      <w:r w:rsidRPr="00EC20A0">
        <w:rPr>
          <w:spacing w:val="-5"/>
        </w:rPr>
        <w:t xml:space="preserve"> </w:t>
      </w:r>
      <w:r w:rsidRPr="00EC20A0">
        <w:t>not</w:t>
      </w:r>
      <w:r w:rsidRPr="00EC20A0">
        <w:rPr>
          <w:spacing w:val="-5"/>
        </w:rPr>
        <w:t xml:space="preserve"> </w:t>
      </w:r>
      <w:r w:rsidRPr="00EC20A0">
        <w:t>taken</w:t>
      </w:r>
      <w:r w:rsidRPr="00EC20A0">
        <w:rPr>
          <w:spacing w:val="-5"/>
        </w:rPr>
        <w:t xml:space="preserve"> </w:t>
      </w:r>
      <w:r w:rsidRPr="00EC20A0">
        <w:t>appropriate</w:t>
      </w:r>
      <w:r w:rsidRPr="00EC20A0">
        <w:rPr>
          <w:spacing w:val="-5"/>
        </w:rPr>
        <w:t xml:space="preserve"> </w:t>
      </w:r>
      <w:r w:rsidRPr="00EC20A0">
        <w:t>steps</w:t>
      </w:r>
      <w:r w:rsidRPr="00EC20A0">
        <w:rPr>
          <w:spacing w:val="-5"/>
        </w:rPr>
        <w:t xml:space="preserve"> </w:t>
      </w:r>
      <w:r w:rsidRPr="00EC20A0">
        <w:t>to</w:t>
      </w:r>
      <w:r w:rsidRPr="00EC20A0">
        <w:rPr>
          <w:spacing w:val="-6"/>
        </w:rPr>
        <w:t xml:space="preserve"> </w:t>
      </w:r>
      <w:r w:rsidRPr="00EC20A0">
        <w:t>understand</w:t>
      </w:r>
      <w:r w:rsidRPr="00EC20A0">
        <w:rPr>
          <w:spacing w:val="-6"/>
        </w:rPr>
        <w:t xml:space="preserve"> </w:t>
      </w:r>
      <w:r w:rsidRPr="00EC20A0">
        <w:t>or</w:t>
      </w:r>
      <w:r w:rsidRPr="00EC20A0">
        <w:rPr>
          <w:spacing w:val="-5"/>
        </w:rPr>
        <w:t xml:space="preserve"> </w:t>
      </w:r>
      <w:r w:rsidRPr="00EC20A0">
        <w:t>address estimation uncertainty, the auditor should (AU-C 540.26):</w:t>
      </w:r>
    </w:p>
    <w:p w14:paraId="24D619C9" w14:textId="77777777" w:rsidR="00245300" w:rsidRPr="00EC20A0" w:rsidRDefault="00F17249">
      <w:pPr>
        <w:pStyle w:val="ListParagraph"/>
        <w:numPr>
          <w:ilvl w:val="1"/>
          <w:numId w:val="93"/>
        </w:numPr>
        <w:tabs>
          <w:tab w:val="left" w:pos="1999"/>
        </w:tabs>
        <w:ind w:left="1999" w:right="1002"/>
      </w:pPr>
      <w:r w:rsidRPr="00EC20A0">
        <w:t>request</w:t>
      </w:r>
      <w:r w:rsidRPr="00EC20A0">
        <w:rPr>
          <w:spacing w:val="-6"/>
        </w:rPr>
        <w:t xml:space="preserve"> </w:t>
      </w:r>
      <w:r w:rsidRPr="00EC20A0">
        <w:t>that</w:t>
      </w:r>
      <w:r w:rsidRPr="00EC20A0">
        <w:rPr>
          <w:spacing w:val="-7"/>
        </w:rPr>
        <w:t xml:space="preserve"> </w:t>
      </w:r>
      <w:r w:rsidRPr="00EC20A0">
        <w:t>management</w:t>
      </w:r>
      <w:r w:rsidRPr="00EC20A0">
        <w:rPr>
          <w:spacing w:val="-6"/>
        </w:rPr>
        <w:t xml:space="preserve"> </w:t>
      </w:r>
      <w:r w:rsidRPr="00EC20A0">
        <w:t>perform</w:t>
      </w:r>
      <w:r w:rsidRPr="00EC20A0">
        <w:rPr>
          <w:spacing w:val="-7"/>
        </w:rPr>
        <w:t xml:space="preserve"> </w:t>
      </w:r>
      <w:r w:rsidRPr="00EC20A0">
        <w:t>additional</w:t>
      </w:r>
      <w:r w:rsidRPr="00EC20A0">
        <w:rPr>
          <w:spacing w:val="-6"/>
        </w:rPr>
        <w:t xml:space="preserve"> </w:t>
      </w:r>
      <w:r w:rsidRPr="00EC20A0">
        <w:t>procedures</w:t>
      </w:r>
      <w:r w:rsidRPr="00EC20A0">
        <w:rPr>
          <w:spacing w:val="-6"/>
        </w:rPr>
        <w:t xml:space="preserve"> </w:t>
      </w:r>
      <w:r w:rsidRPr="00EC20A0">
        <w:t>to</w:t>
      </w:r>
      <w:r w:rsidRPr="00EC20A0">
        <w:rPr>
          <w:spacing w:val="-6"/>
        </w:rPr>
        <w:t xml:space="preserve"> </w:t>
      </w:r>
      <w:r w:rsidRPr="00EC20A0">
        <w:t>understand estimation uncertainty, or address it by reconsidering the selection of management’s point estimate or considering providing additional note disclosures relating to the estimation uncertainty, and evaluate management’s responses;</w:t>
      </w:r>
    </w:p>
    <w:p w14:paraId="24D619CA" w14:textId="77777777" w:rsidR="00245300" w:rsidRPr="00EC20A0" w:rsidRDefault="00F17249">
      <w:pPr>
        <w:pStyle w:val="ListParagraph"/>
        <w:numPr>
          <w:ilvl w:val="1"/>
          <w:numId w:val="93"/>
        </w:numPr>
        <w:tabs>
          <w:tab w:val="left" w:pos="1999"/>
        </w:tabs>
        <w:spacing w:before="239"/>
        <w:ind w:left="1999" w:right="354"/>
      </w:pPr>
      <w:r w:rsidRPr="00EC20A0">
        <w:t>to the extent practicable, develop an auditor’s point estimate or range, in accordance with FAM 905.16 and .17, if the auditor determines that management’s</w:t>
      </w:r>
      <w:r w:rsidRPr="00EC20A0">
        <w:rPr>
          <w:spacing w:val="-5"/>
        </w:rPr>
        <w:t xml:space="preserve"> </w:t>
      </w:r>
      <w:r w:rsidRPr="00EC20A0">
        <w:t>response</w:t>
      </w:r>
      <w:r w:rsidRPr="00EC20A0">
        <w:rPr>
          <w:spacing w:val="-6"/>
        </w:rPr>
        <w:t xml:space="preserve"> </w:t>
      </w:r>
      <w:r w:rsidRPr="00EC20A0">
        <w:t>to</w:t>
      </w:r>
      <w:r w:rsidRPr="00EC20A0">
        <w:rPr>
          <w:spacing w:val="-5"/>
        </w:rPr>
        <w:t xml:space="preserve"> </w:t>
      </w:r>
      <w:r w:rsidRPr="00EC20A0">
        <w:t>the</w:t>
      </w:r>
      <w:r w:rsidRPr="00EC20A0">
        <w:rPr>
          <w:spacing w:val="-5"/>
        </w:rPr>
        <w:t xml:space="preserve"> </w:t>
      </w:r>
      <w:r w:rsidRPr="00EC20A0">
        <w:t>auditor’s</w:t>
      </w:r>
      <w:r w:rsidRPr="00EC20A0">
        <w:rPr>
          <w:spacing w:val="-5"/>
        </w:rPr>
        <w:t xml:space="preserve"> </w:t>
      </w:r>
      <w:r w:rsidRPr="00EC20A0">
        <w:t>request</w:t>
      </w:r>
      <w:r w:rsidRPr="00EC20A0">
        <w:rPr>
          <w:spacing w:val="-6"/>
        </w:rPr>
        <w:t xml:space="preserve"> </w:t>
      </w:r>
      <w:r w:rsidRPr="00EC20A0">
        <w:t>does</w:t>
      </w:r>
      <w:r w:rsidRPr="00EC20A0">
        <w:rPr>
          <w:spacing w:val="-5"/>
        </w:rPr>
        <w:t xml:space="preserve"> </w:t>
      </w:r>
      <w:r w:rsidRPr="00EC20A0">
        <w:t>not</w:t>
      </w:r>
      <w:r w:rsidRPr="00EC20A0">
        <w:rPr>
          <w:spacing w:val="-5"/>
        </w:rPr>
        <w:t xml:space="preserve"> </w:t>
      </w:r>
      <w:r w:rsidRPr="00EC20A0">
        <w:t>sufficiently</w:t>
      </w:r>
      <w:r w:rsidRPr="00EC20A0">
        <w:rPr>
          <w:spacing w:val="-5"/>
        </w:rPr>
        <w:t xml:space="preserve"> </w:t>
      </w:r>
      <w:r w:rsidRPr="00EC20A0">
        <w:t>address estimation uncertainty; and</w:t>
      </w:r>
    </w:p>
    <w:p w14:paraId="24D619CB" w14:textId="77777777" w:rsidR="00245300" w:rsidRPr="00EC20A0" w:rsidRDefault="00F17249">
      <w:pPr>
        <w:pStyle w:val="ListParagraph"/>
        <w:numPr>
          <w:ilvl w:val="1"/>
          <w:numId w:val="93"/>
        </w:numPr>
        <w:tabs>
          <w:tab w:val="left" w:pos="1999"/>
        </w:tabs>
        <w:ind w:left="1999" w:right="415"/>
      </w:pPr>
      <w:r w:rsidRPr="00EC20A0">
        <w:t>evaluate whether a deficiency in internal control exists and, if so, communicate the matter in accordance with the Communicate with Those Charged</w:t>
      </w:r>
      <w:r w:rsidRPr="00EC20A0">
        <w:rPr>
          <w:spacing w:val="-4"/>
        </w:rPr>
        <w:t xml:space="preserve"> </w:t>
      </w:r>
      <w:r w:rsidRPr="00EC20A0">
        <w:t>with</w:t>
      </w:r>
      <w:r w:rsidRPr="00EC20A0">
        <w:rPr>
          <w:spacing w:val="-4"/>
        </w:rPr>
        <w:t xml:space="preserve"> </w:t>
      </w:r>
      <w:r w:rsidRPr="00EC20A0">
        <w:t>Governance</w:t>
      </w:r>
      <w:r w:rsidRPr="00EC20A0">
        <w:rPr>
          <w:spacing w:val="-4"/>
        </w:rPr>
        <w:t xml:space="preserve"> </w:t>
      </w:r>
      <w:r w:rsidRPr="00EC20A0">
        <w:t>section</w:t>
      </w:r>
      <w:r w:rsidRPr="00EC20A0">
        <w:rPr>
          <w:spacing w:val="-4"/>
        </w:rPr>
        <w:t xml:space="preserve"> </w:t>
      </w:r>
      <w:r w:rsidRPr="00EC20A0">
        <w:t>in</w:t>
      </w:r>
      <w:r w:rsidRPr="00EC20A0">
        <w:rPr>
          <w:spacing w:val="-5"/>
        </w:rPr>
        <w:t xml:space="preserve"> </w:t>
      </w:r>
      <w:r w:rsidRPr="00EC20A0">
        <w:t>FAM</w:t>
      </w:r>
      <w:r w:rsidRPr="00EC20A0">
        <w:rPr>
          <w:spacing w:val="-5"/>
        </w:rPr>
        <w:t xml:space="preserve"> </w:t>
      </w:r>
      <w:r w:rsidRPr="00EC20A0">
        <w:t>550</w:t>
      </w:r>
      <w:r w:rsidRPr="00EC20A0">
        <w:rPr>
          <w:spacing w:val="-4"/>
        </w:rPr>
        <w:t xml:space="preserve"> </w:t>
      </w:r>
      <w:r w:rsidRPr="00EC20A0">
        <w:t>and</w:t>
      </w:r>
      <w:r w:rsidRPr="00EC20A0">
        <w:rPr>
          <w:spacing w:val="-4"/>
        </w:rPr>
        <w:t xml:space="preserve"> </w:t>
      </w:r>
      <w:r w:rsidRPr="00EC20A0">
        <w:t>Internal</w:t>
      </w:r>
      <w:r w:rsidRPr="00EC20A0">
        <w:rPr>
          <w:spacing w:val="-5"/>
        </w:rPr>
        <w:t xml:space="preserve"> </w:t>
      </w:r>
      <w:r w:rsidRPr="00EC20A0">
        <w:t>Control</w:t>
      </w:r>
      <w:r w:rsidRPr="00EC20A0">
        <w:rPr>
          <w:spacing w:val="-4"/>
        </w:rPr>
        <w:t xml:space="preserve"> </w:t>
      </w:r>
      <w:r w:rsidRPr="00EC20A0">
        <w:t>section</w:t>
      </w:r>
      <w:r w:rsidRPr="00EC20A0">
        <w:rPr>
          <w:spacing w:val="-4"/>
        </w:rPr>
        <w:t xml:space="preserve"> </w:t>
      </w:r>
      <w:r w:rsidRPr="00EC20A0">
        <w:t>in FAM 580.</w:t>
      </w:r>
    </w:p>
    <w:p w14:paraId="24D619CC" w14:textId="77777777" w:rsidR="00245300" w:rsidRPr="00EC20A0" w:rsidRDefault="00F17249">
      <w:pPr>
        <w:pStyle w:val="ListParagraph"/>
        <w:numPr>
          <w:ilvl w:val="0"/>
          <w:numId w:val="93"/>
        </w:numPr>
        <w:tabs>
          <w:tab w:val="left" w:pos="1639"/>
        </w:tabs>
        <w:spacing w:before="241"/>
        <w:ind w:left="1639" w:right="369" w:hanging="720"/>
      </w:pPr>
      <w:r w:rsidRPr="00EC20A0">
        <w:t>When the auditor develops a point estimate or range to evaluate management’s point estimate and related note disclosures about estimation uncertainty, including when determined necessary in FAM</w:t>
      </w:r>
      <w:r w:rsidRPr="00EC20A0">
        <w:rPr>
          <w:spacing w:val="-1"/>
        </w:rPr>
        <w:t xml:space="preserve"> </w:t>
      </w:r>
      <w:r w:rsidRPr="00EC20A0">
        <w:t>905.15b, the auditor’s further audit procedures should include procedures to evaluate whether the methods, assumptions, or data used are appropriate in the context of the applicable financial reporting framework (generally U.S. GAAP). Regardless of whether the auditor uses management’s or the auditor’s own methods, assumptions, or data, these further audit procedures should be designed and performed to address the matters</w:t>
      </w:r>
      <w:r w:rsidRPr="00EC20A0">
        <w:rPr>
          <w:spacing w:val="-3"/>
        </w:rPr>
        <w:t xml:space="preserve"> </w:t>
      </w:r>
      <w:r w:rsidRPr="00EC20A0">
        <w:t>in</w:t>
      </w:r>
      <w:r w:rsidRPr="00EC20A0">
        <w:rPr>
          <w:spacing w:val="-3"/>
        </w:rPr>
        <w:t xml:space="preserve"> </w:t>
      </w:r>
      <w:r w:rsidRPr="00EC20A0">
        <w:t>FAM</w:t>
      </w:r>
      <w:r w:rsidRPr="00EC20A0">
        <w:rPr>
          <w:spacing w:val="-4"/>
        </w:rPr>
        <w:t xml:space="preserve"> </w:t>
      </w:r>
      <w:r w:rsidRPr="00EC20A0">
        <w:t>905.11</w:t>
      </w:r>
      <w:r w:rsidRPr="00EC20A0">
        <w:rPr>
          <w:spacing w:val="-3"/>
        </w:rPr>
        <w:t xml:space="preserve"> </w:t>
      </w:r>
      <w:r w:rsidRPr="00EC20A0">
        <w:t>through</w:t>
      </w:r>
      <w:r w:rsidRPr="00EC20A0">
        <w:rPr>
          <w:spacing w:val="-3"/>
        </w:rPr>
        <w:t xml:space="preserve"> </w:t>
      </w:r>
      <w:r w:rsidRPr="00EC20A0">
        <w:t>.13</w:t>
      </w:r>
      <w:r w:rsidRPr="00EC20A0">
        <w:rPr>
          <w:spacing w:val="-3"/>
        </w:rPr>
        <w:t xml:space="preserve"> </w:t>
      </w:r>
      <w:r w:rsidRPr="00EC20A0">
        <w:t>(AU-C</w:t>
      </w:r>
      <w:r w:rsidRPr="00EC20A0">
        <w:rPr>
          <w:spacing w:val="-4"/>
        </w:rPr>
        <w:t xml:space="preserve"> </w:t>
      </w:r>
      <w:r w:rsidRPr="00EC20A0">
        <w:t>540.27).</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may</w:t>
      </w:r>
      <w:r w:rsidRPr="00EC20A0">
        <w:rPr>
          <w:spacing w:val="-3"/>
        </w:rPr>
        <w:t xml:space="preserve"> </w:t>
      </w:r>
      <w:r w:rsidRPr="00EC20A0">
        <w:t>also</w:t>
      </w:r>
      <w:r w:rsidRPr="00EC20A0">
        <w:rPr>
          <w:spacing w:val="-4"/>
        </w:rPr>
        <w:t xml:space="preserve"> </w:t>
      </w:r>
      <w:r w:rsidRPr="00EC20A0">
        <w:t>develop a point estimate or range for only part of the accounting estimate (e.g., for a particular assumption or when only a certain part of the accounting estimate is giving rise to the risk of material misstatement) (AU-C 540.A122).</w:t>
      </w:r>
    </w:p>
    <w:p w14:paraId="24D619CD" w14:textId="77777777" w:rsidR="00245300" w:rsidRPr="00EC20A0" w:rsidRDefault="00F17249">
      <w:pPr>
        <w:pStyle w:val="ListParagraph"/>
        <w:numPr>
          <w:ilvl w:val="0"/>
          <w:numId w:val="93"/>
        </w:numPr>
        <w:tabs>
          <w:tab w:val="left" w:pos="1640"/>
        </w:tabs>
        <w:ind w:hanging="720"/>
      </w:pPr>
      <w:r w:rsidRPr="00EC20A0">
        <w:t>If</w:t>
      </w:r>
      <w:r w:rsidRPr="00EC20A0">
        <w:rPr>
          <w:spacing w:val="-6"/>
        </w:rPr>
        <w:t xml:space="preserve"> </w:t>
      </w:r>
      <w:r w:rsidRPr="00EC20A0">
        <w:t>the</w:t>
      </w:r>
      <w:r w:rsidRPr="00EC20A0">
        <w:rPr>
          <w:spacing w:val="-6"/>
        </w:rPr>
        <w:t xml:space="preserve"> </w:t>
      </w:r>
      <w:r w:rsidRPr="00EC20A0">
        <w:t>auditor</w:t>
      </w:r>
      <w:r w:rsidRPr="00EC20A0">
        <w:rPr>
          <w:spacing w:val="-6"/>
        </w:rPr>
        <w:t xml:space="preserve"> </w:t>
      </w:r>
      <w:r w:rsidRPr="00EC20A0">
        <w:t>develops</w:t>
      </w:r>
      <w:r w:rsidRPr="00EC20A0">
        <w:rPr>
          <w:spacing w:val="-6"/>
        </w:rPr>
        <w:t xml:space="preserve"> </w:t>
      </w:r>
      <w:r w:rsidRPr="00EC20A0">
        <w:t>an</w:t>
      </w:r>
      <w:r w:rsidRPr="00EC20A0">
        <w:rPr>
          <w:spacing w:val="-6"/>
        </w:rPr>
        <w:t xml:space="preserve"> </w:t>
      </w:r>
      <w:r w:rsidRPr="00EC20A0">
        <w:t>auditor’s</w:t>
      </w:r>
      <w:r w:rsidRPr="00EC20A0">
        <w:rPr>
          <w:spacing w:val="-5"/>
        </w:rPr>
        <w:t xml:space="preserve"> </w:t>
      </w:r>
      <w:r w:rsidRPr="00EC20A0">
        <w:t>range,</w:t>
      </w:r>
      <w:r w:rsidRPr="00EC20A0">
        <w:rPr>
          <w:spacing w:val="-6"/>
        </w:rPr>
        <w:t xml:space="preserve"> </w:t>
      </w:r>
      <w:r w:rsidRPr="00EC20A0">
        <w:t>the</w:t>
      </w:r>
      <w:r w:rsidRPr="00EC20A0">
        <w:rPr>
          <w:spacing w:val="-5"/>
        </w:rPr>
        <w:t xml:space="preserve"> </w:t>
      </w:r>
      <w:r w:rsidRPr="00EC20A0">
        <w:t>auditor</w:t>
      </w:r>
      <w:r w:rsidRPr="00EC20A0">
        <w:rPr>
          <w:spacing w:val="-6"/>
        </w:rPr>
        <w:t xml:space="preserve"> </w:t>
      </w:r>
      <w:r w:rsidRPr="00EC20A0">
        <w:rPr>
          <w:spacing w:val="-2"/>
        </w:rPr>
        <w:t>should</w:t>
      </w:r>
    </w:p>
    <w:p w14:paraId="24D619CE" w14:textId="77777777" w:rsidR="00245300" w:rsidRPr="00EC20A0" w:rsidRDefault="00F17249">
      <w:pPr>
        <w:pStyle w:val="ListParagraph"/>
        <w:numPr>
          <w:ilvl w:val="1"/>
          <w:numId w:val="93"/>
        </w:numPr>
        <w:tabs>
          <w:tab w:val="left" w:pos="2000"/>
        </w:tabs>
        <w:spacing w:before="239"/>
        <w:ind w:right="452"/>
      </w:pPr>
      <w:r w:rsidRPr="00EC20A0">
        <w:t>determine that the range includes only amounts that are supported by sufficient</w:t>
      </w:r>
      <w:r w:rsidRPr="00EC20A0">
        <w:rPr>
          <w:spacing w:val="-4"/>
        </w:rPr>
        <w:t xml:space="preserve"> </w:t>
      </w:r>
      <w:r w:rsidRPr="00EC20A0">
        <w:t>appropriate</w:t>
      </w:r>
      <w:r w:rsidRPr="00EC20A0">
        <w:rPr>
          <w:spacing w:val="-4"/>
        </w:rPr>
        <w:t xml:space="preserve"> </w:t>
      </w:r>
      <w:r w:rsidRPr="00EC20A0">
        <w:t>audit</w:t>
      </w:r>
      <w:r w:rsidRPr="00EC20A0">
        <w:rPr>
          <w:spacing w:val="-4"/>
        </w:rPr>
        <w:t xml:space="preserve"> </w:t>
      </w:r>
      <w:r w:rsidRPr="00EC20A0">
        <w:t>evidence</w:t>
      </w:r>
      <w:r w:rsidRPr="00EC20A0">
        <w:rPr>
          <w:spacing w:val="-5"/>
        </w:rPr>
        <w:t xml:space="preserve"> </w:t>
      </w:r>
      <w:r w:rsidRPr="00EC20A0">
        <w:t>and</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evaluated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auditor to be reasonable in the context of the measurement objectives and other</w:t>
      </w:r>
    </w:p>
    <w:p w14:paraId="24D619CF" w14:textId="77777777" w:rsidR="00245300" w:rsidRPr="00EC20A0" w:rsidRDefault="00245300">
      <w:pPr>
        <w:sectPr w:rsidR="00245300" w:rsidRPr="00EC20A0">
          <w:pgSz w:w="12240" w:h="15840"/>
          <w:pgMar w:top="1340" w:right="1100" w:bottom="940" w:left="1240" w:header="721" w:footer="757" w:gutter="0"/>
          <w:cols w:space="720"/>
        </w:sectPr>
      </w:pPr>
    </w:p>
    <w:p w14:paraId="24D619D0" w14:textId="77777777" w:rsidR="00245300" w:rsidRPr="00EC20A0" w:rsidRDefault="00F17249">
      <w:pPr>
        <w:pStyle w:val="BodyText"/>
        <w:spacing w:before="121"/>
        <w:ind w:left="2000"/>
      </w:pPr>
      <w:r w:rsidRPr="00EC20A0">
        <w:t>requirements</w:t>
      </w:r>
      <w:r w:rsidRPr="00EC20A0">
        <w:rPr>
          <w:spacing w:val="-9"/>
        </w:rPr>
        <w:t xml:space="preserve"> </w:t>
      </w:r>
      <w:r w:rsidRPr="00EC20A0">
        <w:t>of</w:t>
      </w:r>
      <w:r w:rsidRPr="00EC20A0">
        <w:rPr>
          <w:spacing w:val="-9"/>
        </w:rPr>
        <w:t xml:space="preserve"> </w:t>
      </w:r>
      <w:r w:rsidRPr="00EC20A0">
        <w:t>the</w:t>
      </w:r>
      <w:r w:rsidRPr="00EC20A0">
        <w:rPr>
          <w:spacing w:val="-8"/>
        </w:rPr>
        <w:t xml:space="preserve"> </w:t>
      </w:r>
      <w:r w:rsidRPr="00EC20A0">
        <w:t>applicable</w:t>
      </w:r>
      <w:r w:rsidRPr="00EC20A0">
        <w:rPr>
          <w:spacing w:val="-9"/>
        </w:rPr>
        <w:t xml:space="preserve"> </w:t>
      </w:r>
      <w:r w:rsidRPr="00EC20A0">
        <w:t>financial</w:t>
      </w:r>
      <w:r w:rsidRPr="00EC20A0">
        <w:rPr>
          <w:spacing w:val="-8"/>
        </w:rPr>
        <w:t xml:space="preserve"> </w:t>
      </w:r>
      <w:r w:rsidRPr="00EC20A0">
        <w:t>reporting</w:t>
      </w:r>
      <w:r w:rsidRPr="00EC20A0">
        <w:rPr>
          <w:spacing w:val="-10"/>
        </w:rPr>
        <w:t xml:space="preserve"> </w:t>
      </w:r>
      <w:r w:rsidRPr="00EC20A0">
        <w:t>framework</w:t>
      </w:r>
      <w:r w:rsidRPr="00EC20A0">
        <w:rPr>
          <w:spacing w:val="-8"/>
        </w:rPr>
        <w:t xml:space="preserve"> </w:t>
      </w:r>
      <w:r w:rsidRPr="00EC20A0">
        <w:t>(generally</w:t>
      </w:r>
      <w:r w:rsidRPr="00EC20A0">
        <w:rPr>
          <w:spacing w:val="-8"/>
        </w:rPr>
        <w:t xml:space="preserve"> </w:t>
      </w:r>
      <w:r w:rsidRPr="00EC20A0">
        <w:rPr>
          <w:spacing w:val="-4"/>
        </w:rPr>
        <w:t>U.S.</w:t>
      </w:r>
    </w:p>
    <w:p w14:paraId="24D619D1" w14:textId="77777777" w:rsidR="00245300" w:rsidRPr="00EC20A0" w:rsidRDefault="00F17249">
      <w:pPr>
        <w:pStyle w:val="BodyText"/>
        <w:ind w:left="2000"/>
      </w:pPr>
      <w:r w:rsidRPr="00EC20A0">
        <w:t>GAAP)</w:t>
      </w:r>
      <w:r w:rsidRPr="00EC20A0">
        <w:rPr>
          <w:spacing w:val="-8"/>
        </w:rPr>
        <w:t xml:space="preserve"> </w:t>
      </w:r>
      <w:r w:rsidRPr="00EC20A0">
        <w:rPr>
          <w:spacing w:val="-5"/>
        </w:rPr>
        <w:t>and</w:t>
      </w:r>
    </w:p>
    <w:p w14:paraId="24D619D2" w14:textId="77777777" w:rsidR="00245300" w:rsidRPr="00EC20A0" w:rsidRDefault="00F17249">
      <w:pPr>
        <w:pStyle w:val="ListParagraph"/>
        <w:numPr>
          <w:ilvl w:val="1"/>
          <w:numId w:val="93"/>
        </w:numPr>
        <w:tabs>
          <w:tab w:val="left" w:pos="2000"/>
        </w:tabs>
        <w:spacing w:before="239"/>
        <w:ind w:right="600"/>
      </w:pPr>
      <w:r w:rsidRPr="00EC20A0">
        <w:t>design</w:t>
      </w:r>
      <w:r w:rsidRPr="00EC20A0">
        <w:rPr>
          <w:spacing w:val="-5"/>
        </w:rPr>
        <w:t xml:space="preserve"> </w:t>
      </w:r>
      <w:r w:rsidRPr="00EC20A0">
        <w:t>and</w:t>
      </w:r>
      <w:r w:rsidRPr="00EC20A0">
        <w:rPr>
          <w:spacing w:val="-6"/>
        </w:rPr>
        <w:t xml:space="preserve"> </w:t>
      </w:r>
      <w:r w:rsidRPr="00EC20A0">
        <w:t>perform</w:t>
      </w:r>
      <w:r w:rsidRPr="00EC20A0">
        <w:rPr>
          <w:spacing w:val="-6"/>
        </w:rPr>
        <w:t xml:space="preserve"> </w:t>
      </w:r>
      <w:r w:rsidRPr="00EC20A0">
        <w:t>further</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to</w:t>
      </w:r>
      <w:r w:rsidRPr="00EC20A0">
        <w:rPr>
          <w:spacing w:val="-6"/>
        </w:rPr>
        <w:t xml:space="preserve"> </w:t>
      </w:r>
      <w:r w:rsidRPr="00EC20A0">
        <w:t>obtain</w:t>
      </w:r>
      <w:r w:rsidRPr="00EC20A0">
        <w:rPr>
          <w:spacing w:val="-5"/>
        </w:rPr>
        <w:t xml:space="preserve"> </w:t>
      </w:r>
      <w:r w:rsidRPr="00EC20A0">
        <w:t>sufficient</w:t>
      </w:r>
      <w:r w:rsidRPr="00EC20A0">
        <w:rPr>
          <w:spacing w:val="-5"/>
        </w:rPr>
        <w:t xml:space="preserve"> </w:t>
      </w:r>
      <w:r w:rsidRPr="00EC20A0">
        <w:t xml:space="preserve">appropriate audit evidence regarding the risks of material misstatement </w:t>
      </w:r>
      <w:r w:rsidRPr="00EC20A0">
        <w:t>relating to the note disclosures in the financial statements that describe the estimation uncertainty (AU-C 540.28).</w:t>
      </w:r>
    </w:p>
    <w:p w14:paraId="24D619D3" w14:textId="77777777" w:rsidR="00245300" w:rsidRPr="00EC20A0" w:rsidRDefault="00F17249">
      <w:pPr>
        <w:pStyle w:val="BodyText"/>
        <w:spacing w:before="241"/>
        <w:ind w:left="1639" w:right="447"/>
      </w:pPr>
      <w:r w:rsidRPr="00EC20A0">
        <w:t>With respect to item a, the auditor is not expected to obtain audit evidence to support</w:t>
      </w:r>
      <w:r w:rsidRPr="00EC20A0">
        <w:rPr>
          <w:spacing w:val="-4"/>
        </w:rPr>
        <w:t xml:space="preserve"> </w:t>
      </w:r>
      <w:r w:rsidRPr="00EC20A0">
        <w:t>each</w:t>
      </w:r>
      <w:r w:rsidRPr="00EC20A0">
        <w:rPr>
          <w:spacing w:val="-4"/>
        </w:rPr>
        <w:t xml:space="preserve"> </w:t>
      </w:r>
      <w:r w:rsidRPr="00EC20A0">
        <w:t>possible</w:t>
      </w:r>
      <w:r w:rsidRPr="00EC20A0">
        <w:rPr>
          <w:spacing w:val="-5"/>
        </w:rPr>
        <w:t xml:space="preserve"> </w:t>
      </w:r>
      <w:r w:rsidRPr="00EC20A0">
        <w:t>outcome</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range</w:t>
      </w:r>
      <w:r w:rsidRPr="00EC20A0">
        <w:rPr>
          <w:spacing w:val="-4"/>
        </w:rPr>
        <w:t xml:space="preserve"> </w:t>
      </w:r>
      <w:r w:rsidRPr="00EC20A0">
        <w:t>individually.</w:t>
      </w:r>
      <w:r w:rsidRPr="00EC20A0">
        <w:rPr>
          <w:spacing w:val="-4"/>
        </w:rPr>
        <w:t xml:space="preserve"> </w:t>
      </w:r>
      <w:r w:rsidRPr="00EC20A0">
        <w:t>Rather,</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is likely</w:t>
      </w:r>
      <w:r w:rsidRPr="00EC20A0">
        <w:rPr>
          <w:spacing w:val="-3"/>
        </w:rPr>
        <w:t xml:space="preserve"> </w:t>
      </w:r>
      <w:r w:rsidRPr="00EC20A0">
        <w:t>to</w:t>
      </w:r>
      <w:r w:rsidRPr="00EC20A0">
        <w:rPr>
          <w:spacing w:val="-3"/>
        </w:rPr>
        <w:t xml:space="preserve"> </w:t>
      </w:r>
      <w:r w:rsidRPr="00EC20A0">
        <w:t>obtain</w:t>
      </w:r>
      <w:r w:rsidRPr="00EC20A0">
        <w:rPr>
          <w:spacing w:val="-3"/>
        </w:rPr>
        <w:t xml:space="preserve"> </w:t>
      </w:r>
      <w:r w:rsidRPr="00EC20A0">
        <w:t>evidence</w:t>
      </w:r>
      <w:r w:rsidRPr="00EC20A0">
        <w:rPr>
          <w:spacing w:val="-4"/>
        </w:rPr>
        <w:t xml:space="preserve"> </w:t>
      </w:r>
      <w:r w:rsidRPr="00EC20A0">
        <w:t>to</w:t>
      </w:r>
      <w:r w:rsidRPr="00EC20A0">
        <w:rPr>
          <w:spacing w:val="-3"/>
        </w:rPr>
        <w:t xml:space="preserve"> </w:t>
      </w:r>
      <w:r w:rsidRPr="00EC20A0">
        <w:t>determine</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points</w:t>
      </w:r>
      <w:r w:rsidRPr="00EC20A0">
        <w:rPr>
          <w:spacing w:val="-3"/>
        </w:rPr>
        <w:t xml:space="preserve"> </w:t>
      </w:r>
      <w:r w:rsidRPr="00EC20A0">
        <w:t>at</w:t>
      </w:r>
      <w:r w:rsidRPr="00EC20A0">
        <w:rPr>
          <w:spacing w:val="-3"/>
        </w:rPr>
        <w:t xml:space="preserve"> </w:t>
      </w:r>
      <w:r w:rsidRPr="00EC20A0">
        <w:t>both</w:t>
      </w:r>
      <w:r w:rsidRPr="00EC20A0">
        <w:rPr>
          <w:spacing w:val="-3"/>
        </w:rPr>
        <w:t xml:space="preserve"> </w:t>
      </w:r>
      <w:r w:rsidRPr="00EC20A0">
        <w:t>ends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range are reasonable in the circumstances, thereby supporting that amounts falling between those two points also are reasonable (AU-C 540.A124).</w:t>
      </w:r>
    </w:p>
    <w:p w14:paraId="24D619D4" w14:textId="77777777" w:rsidR="00245300" w:rsidRPr="00EC20A0" w:rsidRDefault="00F17249">
      <w:pPr>
        <w:pStyle w:val="BodyText"/>
        <w:spacing w:before="240"/>
        <w:ind w:left="1639" w:right="345"/>
      </w:pPr>
      <w:r w:rsidRPr="00EC20A0">
        <w:t xml:space="preserve">The </w:t>
      </w:r>
      <w:r w:rsidRPr="00EC20A0">
        <w:t>auditor may conclude that a range that is multiples of materiality is, in the auditor’s judgment, appropriate in the circumstances. When this is the case, the auditor’s evaluation of the reasonableness of the note disclosures about estimation</w:t>
      </w:r>
      <w:r w:rsidRPr="00EC20A0">
        <w:rPr>
          <w:spacing w:val="-6"/>
        </w:rPr>
        <w:t xml:space="preserve"> </w:t>
      </w:r>
      <w:r w:rsidRPr="00EC20A0">
        <w:t>uncertainty</w:t>
      </w:r>
      <w:r w:rsidRPr="00EC20A0">
        <w:rPr>
          <w:spacing w:val="-6"/>
        </w:rPr>
        <w:t xml:space="preserve"> </w:t>
      </w:r>
      <w:r w:rsidRPr="00EC20A0">
        <w:t>becomes</w:t>
      </w:r>
      <w:r w:rsidRPr="00EC20A0">
        <w:rPr>
          <w:spacing w:val="-6"/>
        </w:rPr>
        <w:t xml:space="preserve"> </w:t>
      </w:r>
      <w:r w:rsidRPr="00EC20A0">
        <w:t>increasingly</w:t>
      </w:r>
      <w:r w:rsidRPr="00EC20A0">
        <w:rPr>
          <w:spacing w:val="-7"/>
        </w:rPr>
        <w:t xml:space="preserve"> </w:t>
      </w:r>
      <w:r w:rsidRPr="00EC20A0">
        <w:t>important,</w:t>
      </w:r>
      <w:r w:rsidRPr="00EC20A0">
        <w:rPr>
          <w:spacing w:val="-5"/>
        </w:rPr>
        <w:t xml:space="preserve"> </w:t>
      </w:r>
      <w:r w:rsidRPr="00EC20A0">
        <w:t>particularly</w:t>
      </w:r>
      <w:r w:rsidRPr="00EC20A0">
        <w:rPr>
          <w:spacing w:val="-6"/>
        </w:rPr>
        <w:t xml:space="preserve"> </w:t>
      </w:r>
      <w:r w:rsidRPr="00EC20A0">
        <w:t>whether</w:t>
      </w:r>
      <w:r w:rsidRPr="00EC20A0">
        <w:rPr>
          <w:spacing w:val="-6"/>
        </w:rPr>
        <w:t xml:space="preserve"> </w:t>
      </w:r>
      <w:r w:rsidRPr="00EC20A0">
        <w:t>such note disclosures appropriately convey the high degree of estimation uncertainty and the range of possible outcomes. (AU-C 540.A125)</w:t>
      </w:r>
    </w:p>
    <w:p w14:paraId="24D619D5" w14:textId="77777777" w:rsidR="00245300" w:rsidRPr="00EC20A0" w:rsidRDefault="00F17249">
      <w:pPr>
        <w:pStyle w:val="ListParagraph"/>
        <w:numPr>
          <w:ilvl w:val="0"/>
          <w:numId w:val="93"/>
        </w:numPr>
        <w:tabs>
          <w:tab w:val="left" w:pos="1640"/>
        </w:tabs>
        <w:ind w:right="444"/>
      </w:pPr>
      <w:r w:rsidRPr="00EC20A0">
        <w:t>The auditor should evaluate whether judgments and decisions made by management in making accounting estimates included in the financial statements, even if they are individually reasonable, are indicators of possible management bias. When indicators of possible management bias are identified, 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evaluate</w:t>
      </w:r>
      <w:r w:rsidRPr="00EC20A0">
        <w:rPr>
          <w:spacing w:val="-4"/>
        </w:rPr>
        <w:t xml:space="preserve"> </w:t>
      </w:r>
      <w:r w:rsidRPr="00EC20A0">
        <w:t>the</w:t>
      </w:r>
      <w:r w:rsidRPr="00EC20A0">
        <w:rPr>
          <w:spacing w:val="-4"/>
        </w:rPr>
        <w:t xml:space="preserve"> </w:t>
      </w:r>
      <w:r w:rsidRPr="00EC20A0">
        <w:t>implications</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When</w:t>
      </w:r>
      <w:r w:rsidRPr="00EC20A0">
        <w:rPr>
          <w:spacing w:val="-4"/>
        </w:rPr>
        <w:t xml:space="preserve"> </w:t>
      </w:r>
      <w:r w:rsidRPr="00EC20A0">
        <w:t>there</w:t>
      </w:r>
      <w:r w:rsidRPr="00EC20A0">
        <w:rPr>
          <w:spacing w:val="-4"/>
        </w:rPr>
        <w:t xml:space="preserve"> </w:t>
      </w:r>
      <w:r w:rsidRPr="00EC20A0">
        <w:t>is</w:t>
      </w:r>
      <w:r w:rsidRPr="00EC20A0">
        <w:rPr>
          <w:spacing w:val="-5"/>
        </w:rPr>
        <w:t xml:space="preserve"> </w:t>
      </w:r>
      <w:r w:rsidRPr="00EC20A0">
        <w:t>intention to mislead, management bias is fraudulent in nature. (AU-C 540.32)</w:t>
      </w:r>
    </w:p>
    <w:p w14:paraId="24D619D6" w14:textId="77777777" w:rsidR="00245300" w:rsidRPr="00EC20A0" w:rsidRDefault="00F17249">
      <w:pPr>
        <w:pStyle w:val="BodyText"/>
        <w:spacing w:before="241"/>
        <w:ind w:left="1639" w:right="345"/>
      </w:pPr>
      <w:r w:rsidRPr="00EC20A0">
        <w:t>Examples</w:t>
      </w:r>
      <w:r w:rsidRPr="00EC20A0">
        <w:rPr>
          <w:spacing w:val="-4"/>
        </w:rPr>
        <w:t xml:space="preserve"> </w:t>
      </w:r>
      <w:r w:rsidRPr="00EC20A0">
        <w:t>of</w:t>
      </w:r>
      <w:r w:rsidRPr="00EC20A0">
        <w:rPr>
          <w:spacing w:val="-4"/>
        </w:rPr>
        <w:t xml:space="preserve"> </w:t>
      </w:r>
      <w:r w:rsidRPr="00EC20A0">
        <w:t>indicators</w:t>
      </w:r>
      <w:r w:rsidRPr="00EC20A0">
        <w:rPr>
          <w:spacing w:val="-5"/>
        </w:rPr>
        <w:t xml:space="preserve"> </w:t>
      </w:r>
      <w:r w:rsidRPr="00EC20A0">
        <w:t>of</w:t>
      </w:r>
      <w:r w:rsidRPr="00EC20A0">
        <w:rPr>
          <w:spacing w:val="-4"/>
        </w:rPr>
        <w:t xml:space="preserve"> </w:t>
      </w:r>
      <w:r w:rsidRPr="00EC20A0">
        <w:t>possible</w:t>
      </w:r>
      <w:r w:rsidRPr="00EC20A0">
        <w:rPr>
          <w:spacing w:val="-4"/>
        </w:rPr>
        <w:t xml:space="preserve"> </w:t>
      </w:r>
      <w:r w:rsidRPr="00EC20A0">
        <w:t>management</w:t>
      </w:r>
      <w:r w:rsidRPr="00EC20A0">
        <w:rPr>
          <w:spacing w:val="-4"/>
        </w:rPr>
        <w:t xml:space="preserve"> </w:t>
      </w:r>
      <w:r w:rsidRPr="00EC20A0">
        <w:t>bias</w:t>
      </w:r>
      <w:r w:rsidRPr="00EC20A0">
        <w:rPr>
          <w:spacing w:val="-4"/>
        </w:rPr>
        <w:t xml:space="preserve"> </w:t>
      </w:r>
      <w:r w:rsidRPr="00EC20A0">
        <w:t>with</w:t>
      </w:r>
      <w:r w:rsidRPr="00EC20A0">
        <w:rPr>
          <w:spacing w:val="-4"/>
        </w:rPr>
        <w:t xml:space="preserve"> </w:t>
      </w:r>
      <w:r w:rsidRPr="00EC20A0">
        <w:t>respect</w:t>
      </w:r>
      <w:r w:rsidRPr="00EC20A0">
        <w:rPr>
          <w:spacing w:val="-4"/>
        </w:rPr>
        <w:t xml:space="preserve"> </w:t>
      </w:r>
      <w:r w:rsidRPr="00EC20A0">
        <w:t>to</w:t>
      </w:r>
      <w:r w:rsidRPr="00EC20A0">
        <w:rPr>
          <w:spacing w:val="-4"/>
        </w:rPr>
        <w:t xml:space="preserve"> </w:t>
      </w:r>
      <w:r w:rsidRPr="00EC20A0">
        <w:t>accounting estimates include</w:t>
      </w:r>
    </w:p>
    <w:p w14:paraId="24D619D7" w14:textId="77777777" w:rsidR="00245300" w:rsidRPr="00EC20A0" w:rsidRDefault="00F17249">
      <w:pPr>
        <w:pStyle w:val="ListParagraph"/>
        <w:numPr>
          <w:ilvl w:val="0"/>
          <w:numId w:val="92"/>
        </w:numPr>
        <w:tabs>
          <w:tab w:val="left" w:pos="1999"/>
        </w:tabs>
        <w:spacing w:before="238"/>
        <w:ind w:right="989"/>
      </w:pPr>
      <w:r w:rsidRPr="00EC20A0">
        <w:t>changes in an accounting estimate, or method for making it, when management</w:t>
      </w:r>
      <w:r w:rsidRPr="00EC20A0">
        <w:rPr>
          <w:spacing w:val="-4"/>
        </w:rPr>
        <w:t xml:space="preserve"> </w:t>
      </w:r>
      <w:r w:rsidRPr="00EC20A0">
        <w:t>has</w:t>
      </w:r>
      <w:r w:rsidRPr="00EC20A0">
        <w:rPr>
          <w:spacing w:val="-4"/>
        </w:rPr>
        <w:t xml:space="preserve"> </w:t>
      </w:r>
      <w:r w:rsidRPr="00EC20A0">
        <w:t>made</w:t>
      </w:r>
      <w:r w:rsidRPr="00EC20A0">
        <w:rPr>
          <w:spacing w:val="-4"/>
        </w:rPr>
        <w:t xml:space="preserve"> </w:t>
      </w:r>
      <w:r w:rsidRPr="00EC20A0">
        <w:t>a</w:t>
      </w:r>
      <w:r w:rsidRPr="00EC20A0">
        <w:rPr>
          <w:spacing w:val="-4"/>
        </w:rPr>
        <w:t xml:space="preserve"> </w:t>
      </w:r>
      <w:r w:rsidRPr="00EC20A0">
        <w:t>subjective</w:t>
      </w:r>
      <w:r w:rsidRPr="00EC20A0">
        <w:rPr>
          <w:spacing w:val="-5"/>
        </w:rPr>
        <w:t xml:space="preserve"> </w:t>
      </w:r>
      <w:r w:rsidRPr="00EC20A0">
        <w:t>assessment</w:t>
      </w:r>
      <w:r w:rsidRPr="00EC20A0">
        <w:rPr>
          <w:spacing w:val="-5"/>
        </w:rPr>
        <w:t xml:space="preserve"> </w:t>
      </w:r>
      <w:r w:rsidRPr="00EC20A0">
        <w:t>that</w:t>
      </w:r>
      <w:r w:rsidRPr="00EC20A0">
        <w:rPr>
          <w:spacing w:val="-4"/>
        </w:rPr>
        <w:t xml:space="preserve"> </w:t>
      </w:r>
      <w:r w:rsidRPr="00EC20A0">
        <w:t>there</w:t>
      </w:r>
      <w:r w:rsidRPr="00EC20A0">
        <w:rPr>
          <w:spacing w:val="-4"/>
        </w:rPr>
        <w:t xml:space="preserve"> </w:t>
      </w:r>
      <w:r w:rsidRPr="00EC20A0">
        <w:t>has</w:t>
      </w:r>
      <w:r w:rsidRPr="00EC20A0">
        <w:rPr>
          <w:spacing w:val="-4"/>
        </w:rPr>
        <w:t xml:space="preserve"> </w:t>
      </w:r>
      <w:r w:rsidRPr="00EC20A0">
        <w:t>been</w:t>
      </w:r>
      <w:r w:rsidRPr="00EC20A0">
        <w:rPr>
          <w:spacing w:val="-4"/>
        </w:rPr>
        <w:t xml:space="preserve"> </w:t>
      </w:r>
      <w:r w:rsidRPr="00EC20A0">
        <w:t>a change in circumstances;</w:t>
      </w:r>
    </w:p>
    <w:p w14:paraId="24D619D8" w14:textId="77777777" w:rsidR="00245300" w:rsidRPr="00EC20A0" w:rsidRDefault="00F17249">
      <w:pPr>
        <w:pStyle w:val="ListParagraph"/>
        <w:numPr>
          <w:ilvl w:val="0"/>
          <w:numId w:val="92"/>
        </w:numPr>
        <w:tabs>
          <w:tab w:val="left" w:pos="1999"/>
        </w:tabs>
        <w:spacing w:before="239"/>
        <w:ind w:right="635"/>
      </w:pPr>
      <w:r w:rsidRPr="00EC20A0">
        <w:t>selection</w:t>
      </w:r>
      <w:r w:rsidRPr="00EC20A0">
        <w:rPr>
          <w:spacing w:val="-5"/>
        </w:rPr>
        <w:t xml:space="preserve"> </w:t>
      </w:r>
      <w:r w:rsidRPr="00EC20A0">
        <w:t>or</w:t>
      </w:r>
      <w:r w:rsidRPr="00EC20A0">
        <w:rPr>
          <w:spacing w:val="-6"/>
        </w:rPr>
        <w:t xml:space="preserve"> </w:t>
      </w:r>
      <w:r w:rsidRPr="00EC20A0">
        <w:t>development</w:t>
      </w:r>
      <w:r w:rsidRPr="00EC20A0">
        <w:rPr>
          <w:spacing w:val="-4"/>
        </w:rPr>
        <w:t xml:space="preserve"> </w:t>
      </w:r>
      <w:r w:rsidRPr="00EC20A0">
        <w:t>of</w:t>
      </w:r>
      <w:r w:rsidRPr="00EC20A0">
        <w:rPr>
          <w:spacing w:val="-4"/>
        </w:rPr>
        <w:t xml:space="preserve"> </w:t>
      </w:r>
      <w:r w:rsidRPr="00EC20A0">
        <w:t>significant</w:t>
      </w:r>
      <w:r w:rsidRPr="00EC20A0">
        <w:rPr>
          <w:spacing w:val="-4"/>
        </w:rPr>
        <w:t xml:space="preserve"> </w:t>
      </w:r>
      <w:r w:rsidRPr="00EC20A0">
        <w:t>assumptions</w:t>
      </w:r>
      <w:r w:rsidRPr="00EC20A0">
        <w:rPr>
          <w:spacing w:val="-4"/>
        </w:rPr>
        <w:t xml:space="preserve"> </w:t>
      </w:r>
      <w:r w:rsidRPr="00EC20A0">
        <w:t>or</w:t>
      </w:r>
      <w:r w:rsidRPr="00EC20A0">
        <w:rPr>
          <w:spacing w:val="-4"/>
        </w:rPr>
        <w:t xml:space="preserve"> </w:t>
      </w:r>
      <w:r w:rsidRPr="00EC20A0">
        <w:t>the</w:t>
      </w:r>
      <w:r w:rsidRPr="00EC20A0">
        <w:rPr>
          <w:spacing w:val="-4"/>
        </w:rPr>
        <w:t xml:space="preserve"> </w:t>
      </w:r>
      <w:r w:rsidRPr="00EC20A0">
        <w:t>data</w:t>
      </w:r>
      <w:r w:rsidRPr="00EC20A0">
        <w:rPr>
          <w:spacing w:val="-4"/>
        </w:rPr>
        <w:t xml:space="preserve"> </w:t>
      </w:r>
      <w:r w:rsidRPr="00EC20A0">
        <w:t>that</w:t>
      </w:r>
      <w:r w:rsidRPr="00EC20A0">
        <w:rPr>
          <w:spacing w:val="-4"/>
        </w:rPr>
        <w:t xml:space="preserve"> </w:t>
      </w:r>
      <w:r w:rsidRPr="00EC20A0">
        <w:t>yield</w:t>
      </w:r>
      <w:r w:rsidRPr="00EC20A0">
        <w:rPr>
          <w:spacing w:val="-4"/>
        </w:rPr>
        <w:t xml:space="preserve"> </w:t>
      </w:r>
      <w:r w:rsidRPr="00EC20A0">
        <w:t xml:space="preserve">a point estimate favorable for management </w:t>
      </w:r>
      <w:r w:rsidRPr="00EC20A0">
        <w:t>objectives; and</w:t>
      </w:r>
    </w:p>
    <w:p w14:paraId="24D619D9" w14:textId="77777777" w:rsidR="00245300" w:rsidRPr="00EC20A0" w:rsidRDefault="00F17249">
      <w:pPr>
        <w:pStyle w:val="ListParagraph"/>
        <w:numPr>
          <w:ilvl w:val="0"/>
          <w:numId w:val="92"/>
        </w:numPr>
        <w:tabs>
          <w:tab w:val="left" w:pos="2000"/>
        </w:tabs>
        <w:spacing w:before="238"/>
        <w:ind w:left="2000" w:right="1076"/>
      </w:pPr>
      <w:r w:rsidRPr="00EC20A0">
        <w:t>selection</w:t>
      </w:r>
      <w:r w:rsidRPr="00EC20A0">
        <w:rPr>
          <w:spacing w:val="-4"/>
        </w:rPr>
        <w:t xml:space="preserve"> </w:t>
      </w:r>
      <w:r w:rsidRPr="00EC20A0">
        <w:t>of</w:t>
      </w:r>
      <w:r w:rsidRPr="00EC20A0">
        <w:rPr>
          <w:spacing w:val="-4"/>
        </w:rPr>
        <w:t xml:space="preserve"> </w:t>
      </w:r>
      <w:r w:rsidRPr="00EC20A0">
        <w:t>a</w:t>
      </w:r>
      <w:r w:rsidRPr="00EC20A0">
        <w:rPr>
          <w:spacing w:val="-3"/>
        </w:rPr>
        <w:t xml:space="preserve"> </w:t>
      </w:r>
      <w:r w:rsidRPr="00EC20A0">
        <w:t>point</w:t>
      </w:r>
      <w:r w:rsidRPr="00EC20A0">
        <w:rPr>
          <w:spacing w:val="-3"/>
        </w:rPr>
        <w:t xml:space="preserve"> </w:t>
      </w:r>
      <w:r w:rsidRPr="00EC20A0">
        <w:t>estimate</w:t>
      </w:r>
      <w:r w:rsidRPr="00EC20A0">
        <w:rPr>
          <w:spacing w:val="-3"/>
        </w:rPr>
        <w:t xml:space="preserve"> </w:t>
      </w:r>
      <w:r w:rsidRPr="00EC20A0">
        <w:t>that</w:t>
      </w:r>
      <w:r w:rsidRPr="00EC20A0">
        <w:rPr>
          <w:spacing w:val="-3"/>
        </w:rPr>
        <w:t xml:space="preserve"> </w:t>
      </w:r>
      <w:r w:rsidRPr="00EC20A0">
        <w:t>may</w:t>
      </w:r>
      <w:r w:rsidRPr="00EC20A0">
        <w:rPr>
          <w:spacing w:val="-3"/>
        </w:rPr>
        <w:t xml:space="preserve"> </w:t>
      </w:r>
      <w:r w:rsidRPr="00EC20A0">
        <w:t>indicate</w:t>
      </w:r>
      <w:r w:rsidRPr="00EC20A0">
        <w:rPr>
          <w:spacing w:val="-4"/>
        </w:rPr>
        <w:t xml:space="preserve"> </w:t>
      </w:r>
      <w:r w:rsidRPr="00EC20A0">
        <w:t>a</w:t>
      </w:r>
      <w:r w:rsidRPr="00EC20A0">
        <w:rPr>
          <w:spacing w:val="-3"/>
        </w:rPr>
        <w:t xml:space="preserve"> </w:t>
      </w:r>
      <w:r w:rsidRPr="00EC20A0">
        <w:t>pattern</w:t>
      </w:r>
      <w:r w:rsidRPr="00EC20A0">
        <w:rPr>
          <w:spacing w:val="-3"/>
        </w:rPr>
        <w:t xml:space="preserve"> </w:t>
      </w:r>
      <w:r w:rsidRPr="00EC20A0">
        <w:t>of</w:t>
      </w:r>
      <w:r w:rsidRPr="00EC20A0">
        <w:rPr>
          <w:spacing w:val="-4"/>
        </w:rPr>
        <w:t xml:space="preserve"> </w:t>
      </w:r>
      <w:r w:rsidRPr="00EC20A0">
        <w:t>optimism</w:t>
      </w:r>
      <w:r w:rsidRPr="00EC20A0">
        <w:rPr>
          <w:spacing w:val="-4"/>
        </w:rPr>
        <w:t xml:space="preserve"> </w:t>
      </w:r>
      <w:r w:rsidRPr="00EC20A0">
        <w:t>or pessimism (AU-C 540.A134).</w:t>
      </w:r>
    </w:p>
    <w:p w14:paraId="24D619DA" w14:textId="77777777" w:rsidR="00245300" w:rsidRPr="00EC20A0" w:rsidRDefault="00F17249">
      <w:pPr>
        <w:pStyle w:val="BodyText"/>
        <w:spacing w:before="239"/>
        <w:ind w:left="1639" w:right="347"/>
      </w:pPr>
      <w:r w:rsidRPr="00EC20A0">
        <w:t>When such indicators are identified,</w:t>
      </w:r>
      <w:r w:rsidRPr="00EC20A0">
        <w:rPr>
          <w:spacing w:val="-1"/>
        </w:rPr>
        <w:t xml:space="preserve"> </w:t>
      </w:r>
      <w:r w:rsidRPr="00EC20A0">
        <w:t>there may be a risk of material misstatement either at the assertion or financial statement level. Indicators of possible management bias themselves do not constitute misstatements for the purposes of drawing conclusions about the reasonableness of individual accounting estimates (see FAM 540.03). However, in some cases, the audit evidence may point</w:t>
      </w:r>
      <w:r w:rsidRPr="00EC20A0">
        <w:rPr>
          <w:spacing w:val="-4"/>
        </w:rPr>
        <w:t xml:space="preserve"> </w:t>
      </w:r>
      <w:r w:rsidRPr="00EC20A0">
        <w:t>to</w:t>
      </w:r>
      <w:r w:rsidRPr="00EC20A0">
        <w:rPr>
          <w:spacing w:val="-4"/>
        </w:rPr>
        <w:t xml:space="preserve"> </w:t>
      </w:r>
      <w:r w:rsidRPr="00EC20A0">
        <w:t>a</w:t>
      </w:r>
      <w:r w:rsidRPr="00EC20A0">
        <w:rPr>
          <w:spacing w:val="-4"/>
        </w:rPr>
        <w:t xml:space="preserve"> </w:t>
      </w:r>
      <w:r w:rsidRPr="00EC20A0">
        <w:t>misstatement</w:t>
      </w:r>
      <w:r w:rsidRPr="00EC20A0">
        <w:rPr>
          <w:spacing w:val="-4"/>
        </w:rPr>
        <w:t xml:space="preserve"> </w:t>
      </w:r>
      <w:r w:rsidRPr="00EC20A0">
        <w:t>rather</w:t>
      </w:r>
      <w:r w:rsidRPr="00EC20A0">
        <w:rPr>
          <w:spacing w:val="-4"/>
        </w:rPr>
        <w:t xml:space="preserve"> </w:t>
      </w:r>
      <w:r w:rsidRPr="00EC20A0">
        <w:t>than</w:t>
      </w:r>
      <w:r w:rsidRPr="00EC20A0">
        <w:rPr>
          <w:spacing w:val="-4"/>
        </w:rPr>
        <w:t xml:space="preserve"> </w:t>
      </w:r>
      <w:r w:rsidRPr="00EC20A0">
        <w:t>simply</w:t>
      </w:r>
      <w:r w:rsidRPr="00EC20A0">
        <w:rPr>
          <w:spacing w:val="-4"/>
        </w:rPr>
        <w:t xml:space="preserve"> </w:t>
      </w:r>
      <w:r w:rsidRPr="00EC20A0">
        <w:t>an</w:t>
      </w:r>
      <w:r w:rsidRPr="00EC20A0">
        <w:rPr>
          <w:spacing w:val="-4"/>
        </w:rPr>
        <w:t xml:space="preserve"> </w:t>
      </w:r>
      <w:r w:rsidRPr="00EC20A0">
        <w:t>indicator</w:t>
      </w:r>
      <w:r w:rsidRPr="00EC20A0">
        <w:rPr>
          <w:spacing w:val="-4"/>
        </w:rPr>
        <w:t xml:space="preserve"> </w:t>
      </w:r>
      <w:r w:rsidRPr="00EC20A0">
        <w:t>of</w:t>
      </w:r>
      <w:r w:rsidRPr="00EC20A0">
        <w:rPr>
          <w:spacing w:val="-4"/>
        </w:rPr>
        <w:t xml:space="preserve"> </w:t>
      </w:r>
      <w:r w:rsidRPr="00EC20A0">
        <w:t>management</w:t>
      </w:r>
      <w:r w:rsidRPr="00EC20A0">
        <w:rPr>
          <w:spacing w:val="-4"/>
        </w:rPr>
        <w:t xml:space="preserve"> </w:t>
      </w:r>
      <w:r w:rsidRPr="00EC20A0">
        <w:t>bias.</w:t>
      </w:r>
      <w:r w:rsidRPr="00EC20A0">
        <w:rPr>
          <w:spacing w:val="-4"/>
        </w:rPr>
        <w:t xml:space="preserve"> </w:t>
      </w:r>
      <w:r w:rsidRPr="00EC20A0">
        <w:t>(AU- C 540.A134)</w:t>
      </w:r>
    </w:p>
    <w:p w14:paraId="24D619DB" w14:textId="77777777" w:rsidR="00245300" w:rsidRPr="00EC20A0" w:rsidRDefault="00F17249">
      <w:pPr>
        <w:pStyle w:val="ListParagraph"/>
        <w:numPr>
          <w:ilvl w:val="0"/>
          <w:numId w:val="93"/>
        </w:numPr>
        <w:tabs>
          <w:tab w:val="left" w:pos="1640"/>
        </w:tabs>
        <w:ind w:right="699"/>
      </w:pPr>
      <w:r w:rsidRPr="00EC20A0">
        <w:t>As discussed in FAM 350, for those control activities that have been suitably designed</w:t>
      </w:r>
      <w:r w:rsidRPr="00EC20A0">
        <w:rPr>
          <w:spacing w:val="-4"/>
        </w:rPr>
        <w:t xml:space="preserve"> </w:t>
      </w:r>
      <w:r w:rsidRPr="00EC20A0">
        <w:t>and</w:t>
      </w:r>
      <w:r w:rsidRPr="00EC20A0">
        <w:rPr>
          <w:spacing w:val="-4"/>
        </w:rPr>
        <w:t xml:space="preserve"> </w:t>
      </w:r>
      <w:r w:rsidRPr="00EC20A0">
        <w:t>implemented,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perform</w:t>
      </w:r>
      <w:r w:rsidRPr="00EC20A0">
        <w:rPr>
          <w:spacing w:val="-5"/>
        </w:rPr>
        <w:t xml:space="preserve"> </w:t>
      </w:r>
      <w:r w:rsidRPr="00EC20A0">
        <w:t>sufficient</w:t>
      </w:r>
      <w:r w:rsidRPr="00EC20A0">
        <w:rPr>
          <w:spacing w:val="-4"/>
        </w:rPr>
        <w:t xml:space="preserve"> </w:t>
      </w:r>
      <w:r w:rsidRPr="00EC20A0">
        <w:t>tests</w:t>
      </w:r>
      <w:r w:rsidRPr="00EC20A0">
        <w:rPr>
          <w:spacing w:val="-4"/>
        </w:rPr>
        <w:t xml:space="preserve"> </w:t>
      </w:r>
      <w:r w:rsidRPr="00EC20A0">
        <w:t>of</w:t>
      </w:r>
      <w:r w:rsidRPr="00EC20A0">
        <w:rPr>
          <w:spacing w:val="-5"/>
        </w:rPr>
        <w:t xml:space="preserve"> </w:t>
      </w:r>
      <w:r w:rsidRPr="00EC20A0">
        <w:t xml:space="preserve">such control </w:t>
      </w:r>
      <w:r w:rsidRPr="00EC20A0">
        <w:t>activities to conclude whether the control activities are operating</w:t>
      </w:r>
    </w:p>
    <w:p w14:paraId="24D619DC" w14:textId="77777777" w:rsidR="00245300" w:rsidRPr="00EC20A0" w:rsidRDefault="00245300">
      <w:pPr>
        <w:sectPr w:rsidR="00245300" w:rsidRPr="00EC20A0">
          <w:pgSz w:w="12240" w:h="15840"/>
          <w:pgMar w:top="1340" w:right="1100" w:bottom="1020" w:left="1240" w:header="721" w:footer="757" w:gutter="0"/>
          <w:cols w:space="720"/>
        </w:sectPr>
      </w:pPr>
    </w:p>
    <w:p w14:paraId="24D619DD" w14:textId="77777777" w:rsidR="00245300" w:rsidRPr="00EC20A0" w:rsidRDefault="00F17249">
      <w:pPr>
        <w:pStyle w:val="BodyText"/>
        <w:spacing w:before="121"/>
        <w:ind w:left="1639" w:right="337"/>
      </w:pPr>
      <w:r w:rsidRPr="00EC20A0">
        <w:t>effectively (i.e., sufficient tests of control activities to support a low level of assessed control risk). In relation to accounting estimates, the auditor’s tests of such controls should be responsive to the reasons for the assessment given to the risks of material misstatement. In designing and performing tests of controls, the</w:t>
      </w:r>
      <w:r w:rsidRPr="00EC20A0">
        <w:rPr>
          <w:spacing w:val="-2"/>
        </w:rPr>
        <w:t xml:space="preserve"> </w:t>
      </w:r>
      <w:r w:rsidRPr="00EC20A0">
        <w:t>auditor</w:t>
      </w:r>
      <w:r w:rsidRPr="00EC20A0">
        <w:rPr>
          <w:spacing w:val="-2"/>
        </w:rPr>
        <w:t xml:space="preserve"> </w:t>
      </w:r>
      <w:r w:rsidRPr="00EC20A0">
        <w:t>should</w:t>
      </w:r>
      <w:r w:rsidRPr="00EC20A0">
        <w:rPr>
          <w:spacing w:val="-2"/>
        </w:rPr>
        <w:t xml:space="preserve"> </w:t>
      </w:r>
      <w:r w:rsidRPr="00EC20A0">
        <w:t>obtain</w:t>
      </w:r>
      <w:r w:rsidRPr="00EC20A0">
        <w:rPr>
          <w:spacing w:val="-3"/>
        </w:rPr>
        <w:t xml:space="preserve"> </w:t>
      </w:r>
      <w:r w:rsidRPr="00EC20A0">
        <w:t>more</w:t>
      </w:r>
      <w:r w:rsidRPr="00EC20A0">
        <w:rPr>
          <w:spacing w:val="-2"/>
        </w:rPr>
        <w:t xml:space="preserve"> </w:t>
      </w:r>
      <w:r w:rsidRPr="00EC20A0">
        <w:t>persuasive</w:t>
      </w:r>
      <w:r w:rsidRPr="00EC20A0">
        <w:rPr>
          <w:spacing w:val="-2"/>
        </w:rPr>
        <w:t xml:space="preserve"> </w:t>
      </w:r>
      <w:r w:rsidRPr="00EC20A0">
        <w:t>audit</w:t>
      </w:r>
      <w:r w:rsidRPr="00EC20A0">
        <w:rPr>
          <w:spacing w:val="-3"/>
        </w:rPr>
        <w:t xml:space="preserve"> </w:t>
      </w:r>
      <w:r w:rsidRPr="00EC20A0">
        <w:t>evidence</w:t>
      </w:r>
      <w:r w:rsidRPr="00EC20A0">
        <w:rPr>
          <w:spacing w:val="-2"/>
        </w:rPr>
        <w:t xml:space="preserve"> </w:t>
      </w:r>
      <w:r w:rsidRPr="00EC20A0">
        <w:t>the</w:t>
      </w:r>
      <w:r w:rsidRPr="00EC20A0">
        <w:rPr>
          <w:spacing w:val="-2"/>
        </w:rPr>
        <w:t xml:space="preserve"> </w:t>
      </w:r>
      <w:r w:rsidRPr="00EC20A0">
        <w:t>greater</w:t>
      </w:r>
      <w:r w:rsidRPr="00EC20A0">
        <w:rPr>
          <w:spacing w:val="-2"/>
        </w:rPr>
        <w:t xml:space="preserve"> </w:t>
      </w:r>
      <w:r w:rsidRPr="00EC20A0">
        <w:t>the</w:t>
      </w:r>
      <w:r w:rsidRPr="00EC20A0">
        <w:rPr>
          <w:spacing w:val="-2"/>
        </w:rPr>
        <w:t xml:space="preserve"> </w:t>
      </w:r>
      <w:r w:rsidRPr="00EC20A0">
        <w:t>reliance the auditor places on the effectiveness of a control. (AU-C 540.18) See AU-C 540.A86 through .A89 for auditor considerations when testing controls related to accounting</w:t>
      </w:r>
      <w:r w:rsidRPr="00EC20A0">
        <w:rPr>
          <w:spacing w:val="-5"/>
        </w:rPr>
        <w:t xml:space="preserve"> </w:t>
      </w:r>
      <w:r w:rsidRPr="00EC20A0">
        <w:t>estimates.</w:t>
      </w:r>
      <w:r w:rsidRPr="00EC20A0">
        <w:rPr>
          <w:spacing w:val="-3"/>
        </w:rPr>
        <w:t xml:space="preserve"> </w:t>
      </w:r>
      <w:r w:rsidRPr="00EC20A0">
        <w:t>Based</w:t>
      </w:r>
      <w:r w:rsidRPr="00EC20A0">
        <w:rPr>
          <w:spacing w:val="-4"/>
        </w:rPr>
        <w:t xml:space="preserve"> </w:t>
      </w:r>
      <w:r w:rsidRPr="00EC20A0">
        <w:t>on</w:t>
      </w:r>
      <w:r w:rsidRPr="00EC20A0">
        <w:rPr>
          <w:spacing w:val="-4"/>
        </w:rPr>
        <w:t xml:space="preserve"> </w:t>
      </w:r>
      <w:r w:rsidRPr="00EC20A0">
        <w:t>AU-C</w:t>
      </w:r>
      <w:r w:rsidRPr="00EC20A0">
        <w:rPr>
          <w:spacing w:val="-5"/>
        </w:rPr>
        <w:t xml:space="preserve"> </w:t>
      </w:r>
      <w:r w:rsidRPr="00EC20A0">
        <w:t>540.19,</w:t>
      </w:r>
      <w:r w:rsidRPr="00EC20A0">
        <w:rPr>
          <w:spacing w:val="-4"/>
        </w:rPr>
        <w:t xml:space="preserve"> </w:t>
      </w:r>
      <w:r w:rsidRPr="00EC20A0">
        <w:t>when</w:t>
      </w:r>
      <w:r w:rsidRPr="00EC20A0">
        <w:rPr>
          <w:spacing w:val="-4"/>
        </w:rPr>
        <w:t xml:space="preserve"> </w:t>
      </w:r>
      <w:r w:rsidRPr="00EC20A0">
        <w:t>the</w:t>
      </w:r>
      <w:r w:rsidRPr="00EC20A0">
        <w:rPr>
          <w:spacing w:val="-4"/>
        </w:rPr>
        <w:t xml:space="preserve"> </w:t>
      </w:r>
      <w:r w:rsidRPr="00EC20A0">
        <w:t>approach</w:t>
      </w:r>
      <w:r w:rsidRPr="00EC20A0">
        <w:rPr>
          <w:spacing w:val="-4"/>
        </w:rPr>
        <w:t xml:space="preserve"> </w:t>
      </w:r>
      <w:r w:rsidRPr="00EC20A0">
        <w:t>to</w:t>
      </w:r>
      <w:r w:rsidRPr="00EC20A0">
        <w:rPr>
          <w:spacing w:val="-4"/>
        </w:rPr>
        <w:t xml:space="preserve"> </w:t>
      </w:r>
      <w:r w:rsidRPr="00EC20A0">
        <w:t>a</w:t>
      </w:r>
      <w:r w:rsidRPr="00EC20A0">
        <w:rPr>
          <w:spacing w:val="-4"/>
        </w:rPr>
        <w:t xml:space="preserve"> </w:t>
      </w:r>
      <w:r w:rsidRPr="00EC20A0">
        <w:t>significant risk relating to an accounting estimate consists only of substantive procedures (i.e., controls are not suitably designed and implemented), the auditor’s procedures should include tests of details</w:t>
      </w:r>
      <w:r w:rsidRPr="00EC20A0">
        <w:t>.</w:t>
      </w:r>
    </w:p>
    <w:p w14:paraId="24D619DE" w14:textId="77777777" w:rsidR="00245300" w:rsidRPr="00EC20A0" w:rsidRDefault="00F17249">
      <w:pPr>
        <w:pStyle w:val="ListParagraph"/>
        <w:numPr>
          <w:ilvl w:val="0"/>
          <w:numId w:val="93"/>
        </w:numPr>
        <w:tabs>
          <w:tab w:val="left" w:pos="1640"/>
        </w:tabs>
        <w:ind w:right="372"/>
      </w:pPr>
      <w:r w:rsidRPr="00EC20A0">
        <w:t>Based on the results of risk assessment procedures performed in the planning and internal control phases, the auditor should design and perform further audit procedures to obtain sufficient appropriate audit evidence regarding the risks of material misstatement at the assertion level for note disclosures related to an accounting</w:t>
      </w:r>
      <w:r w:rsidRPr="00EC20A0">
        <w:rPr>
          <w:spacing w:val="-6"/>
        </w:rPr>
        <w:t xml:space="preserve"> </w:t>
      </w:r>
      <w:r w:rsidRPr="00EC20A0">
        <w:t>estimate,</w:t>
      </w:r>
      <w:r w:rsidRPr="00EC20A0">
        <w:rPr>
          <w:spacing w:val="-5"/>
        </w:rPr>
        <w:t xml:space="preserve"> </w:t>
      </w:r>
      <w:r w:rsidRPr="00EC20A0">
        <w:t>including</w:t>
      </w:r>
      <w:r w:rsidRPr="00EC20A0">
        <w:rPr>
          <w:spacing w:val="-5"/>
        </w:rPr>
        <w:t xml:space="preserve"> </w:t>
      </w:r>
      <w:r w:rsidRPr="00EC20A0">
        <w:t>those</w:t>
      </w:r>
      <w:r w:rsidRPr="00EC20A0">
        <w:rPr>
          <w:spacing w:val="-5"/>
        </w:rPr>
        <w:t xml:space="preserve"> </w:t>
      </w:r>
      <w:r w:rsidRPr="00EC20A0">
        <w:t>procedures</w:t>
      </w:r>
      <w:r w:rsidRPr="00EC20A0">
        <w:rPr>
          <w:spacing w:val="-5"/>
        </w:rPr>
        <w:t xml:space="preserve"> </w:t>
      </w:r>
      <w:r w:rsidRPr="00EC20A0">
        <w:t>related</w:t>
      </w:r>
      <w:r w:rsidRPr="00EC20A0">
        <w:rPr>
          <w:spacing w:val="-5"/>
        </w:rPr>
        <w:t xml:space="preserve"> </w:t>
      </w:r>
      <w:r w:rsidRPr="00EC20A0">
        <w:t>to</w:t>
      </w:r>
      <w:r w:rsidRPr="00EC20A0">
        <w:rPr>
          <w:spacing w:val="-6"/>
        </w:rPr>
        <w:t xml:space="preserve"> </w:t>
      </w:r>
      <w:r w:rsidRPr="00EC20A0">
        <w:t>estimation</w:t>
      </w:r>
      <w:r w:rsidRPr="00EC20A0">
        <w:rPr>
          <w:spacing w:val="-5"/>
        </w:rPr>
        <w:t xml:space="preserve"> </w:t>
      </w:r>
      <w:r w:rsidRPr="00EC20A0">
        <w:t>uncertainty as discussed in FAM 905.14b and .17b (AU-C 540.31).</w:t>
      </w:r>
    </w:p>
    <w:p w14:paraId="24D619DF" w14:textId="77777777" w:rsidR="00245300" w:rsidRPr="00EC20A0" w:rsidRDefault="00F17249">
      <w:pPr>
        <w:pStyle w:val="ListParagraph"/>
        <w:numPr>
          <w:ilvl w:val="0"/>
          <w:numId w:val="93"/>
        </w:numPr>
        <w:tabs>
          <w:tab w:val="left" w:pos="1640"/>
        </w:tabs>
        <w:ind w:right="421"/>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evaluate,</w:t>
      </w:r>
      <w:r w:rsidRPr="00EC20A0">
        <w:rPr>
          <w:spacing w:val="-4"/>
        </w:rPr>
        <w:t xml:space="preserve"> </w:t>
      </w:r>
      <w:r w:rsidRPr="00EC20A0">
        <w:t>based</w:t>
      </w:r>
      <w:r w:rsidRPr="00EC20A0">
        <w:rPr>
          <w:spacing w:val="-5"/>
        </w:rPr>
        <w:t xml:space="preserve"> </w:t>
      </w:r>
      <w:r w:rsidRPr="00EC20A0">
        <w:t>on</w:t>
      </w:r>
      <w:r w:rsidRPr="00EC20A0">
        <w:rPr>
          <w:spacing w:val="-4"/>
        </w:rPr>
        <w:t xml:space="preserve"> </w:t>
      </w:r>
      <w:r w:rsidRPr="00EC20A0">
        <w:t>the</w:t>
      </w:r>
      <w:r w:rsidRPr="00EC20A0">
        <w:rPr>
          <w:spacing w:val="-4"/>
        </w:rPr>
        <w:t xml:space="preserve"> </w:t>
      </w:r>
      <w:r w:rsidRPr="00EC20A0">
        <w:t>audit</w:t>
      </w:r>
      <w:r w:rsidRPr="00EC20A0">
        <w:rPr>
          <w:spacing w:val="-5"/>
        </w:rPr>
        <w:t xml:space="preserve"> </w:t>
      </w:r>
      <w:r w:rsidRPr="00EC20A0">
        <w:t>procedures</w:t>
      </w:r>
      <w:r w:rsidRPr="00EC20A0">
        <w:rPr>
          <w:spacing w:val="-5"/>
        </w:rPr>
        <w:t xml:space="preserve"> </w:t>
      </w:r>
      <w:r w:rsidRPr="00EC20A0">
        <w:t>performed</w:t>
      </w:r>
      <w:r w:rsidRPr="00EC20A0">
        <w:rPr>
          <w:spacing w:val="-4"/>
        </w:rPr>
        <w:t xml:space="preserve"> </w:t>
      </w:r>
      <w:r w:rsidRPr="00EC20A0">
        <w:t>and</w:t>
      </w:r>
      <w:r w:rsidRPr="00EC20A0">
        <w:rPr>
          <w:spacing w:val="-4"/>
        </w:rPr>
        <w:t xml:space="preserve"> </w:t>
      </w:r>
      <w:r w:rsidRPr="00EC20A0">
        <w:t>audit evidence obtained, whether (AU-C 540.33):</w:t>
      </w:r>
    </w:p>
    <w:p w14:paraId="24D619E0" w14:textId="77777777" w:rsidR="00245300" w:rsidRPr="00EC20A0" w:rsidRDefault="00F17249">
      <w:pPr>
        <w:pStyle w:val="ListParagraph"/>
        <w:numPr>
          <w:ilvl w:val="1"/>
          <w:numId w:val="93"/>
        </w:numPr>
        <w:tabs>
          <w:tab w:val="left" w:pos="2000"/>
        </w:tabs>
        <w:ind w:right="550"/>
        <w:jc w:val="both"/>
      </w:pPr>
      <w:r w:rsidRPr="00EC20A0">
        <w:t>the</w:t>
      </w:r>
      <w:r w:rsidRPr="00EC20A0">
        <w:rPr>
          <w:spacing w:val="-1"/>
        </w:rPr>
        <w:t xml:space="preserve"> </w:t>
      </w:r>
      <w:r w:rsidRPr="00EC20A0">
        <w:t>assessments</w:t>
      </w:r>
      <w:r w:rsidRPr="00EC20A0">
        <w:rPr>
          <w:spacing w:val="-1"/>
        </w:rPr>
        <w:t xml:space="preserve"> </w:t>
      </w:r>
      <w:r w:rsidRPr="00EC20A0">
        <w:t>of</w:t>
      </w:r>
      <w:r w:rsidRPr="00EC20A0">
        <w:rPr>
          <w:spacing w:val="-1"/>
        </w:rPr>
        <w:t xml:space="preserve"> </w:t>
      </w:r>
      <w:r w:rsidRPr="00EC20A0">
        <w:t>the</w:t>
      </w:r>
      <w:r w:rsidRPr="00EC20A0">
        <w:rPr>
          <w:spacing w:val="-1"/>
        </w:rPr>
        <w:t xml:space="preserve"> </w:t>
      </w:r>
      <w:r w:rsidRPr="00EC20A0">
        <w:t>risks</w:t>
      </w:r>
      <w:r w:rsidRPr="00EC20A0">
        <w:rPr>
          <w:spacing w:val="-1"/>
        </w:rPr>
        <w:t xml:space="preserve"> </w:t>
      </w:r>
      <w:r w:rsidRPr="00EC20A0">
        <w:t>of</w:t>
      </w:r>
      <w:r w:rsidRPr="00EC20A0">
        <w:rPr>
          <w:spacing w:val="-2"/>
        </w:rPr>
        <w:t xml:space="preserve"> </w:t>
      </w:r>
      <w:r w:rsidRPr="00EC20A0">
        <w:t>material</w:t>
      </w:r>
      <w:r w:rsidRPr="00EC20A0">
        <w:rPr>
          <w:spacing w:val="-1"/>
        </w:rPr>
        <w:t xml:space="preserve"> </w:t>
      </w:r>
      <w:r w:rsidRPr="00EC20A0">
        <w:t>misstatement</w:t>
      </w:r>
      <w:r w:rsidRPr="00EC20A0">
        <w:rPr>
          <w:spacing w:val="-1"/>
        </w:rPr>
        <w:t xml:space="preserve"> </w:t>
      </w:r>
      <w:r w:rsidRPr="00EC20A0">
        <w:t>at</w:t>
      </w:r>
      <w:r w:rsidRPr="00EC20A0">
        <w:rPr>
          <w:spacing w:val="-1"/>
        </w:rPr>
        <w:t xml:space="preserve"> </w:t>
      </w:r>
      <w:r w:rsidRPr="00EC20A0">
        <w:t>the</w:t>
      </w:r>
      <w:r w:rsidRPr="00EC20A0">
        <w:rPr>
          <w:spacing w:val="-1"/>
        </w:rPr>
        <w:t xml:space="preserve"> </w:t>
      </w:r>
      <w:r w:rsidRPr="00EC20A0">
        <w:t>assertion</w:t>
      </w:r>
      <w:r w:rsidRPr="00EC20A0">
        <w:rPr>
          <w:spacing w:val="-2"/>
        </w:rPr>
        <w:t xml:space="preserve"> </w:t>
      </w:r>
      <w:r w:rsidRPr="00EC20A0">
        <w:t>level remain</w:t>
      </w:r>
      <w:r w:rsidRPr="00EC20A0">
        <w:rPr>
          <w:spacing w:val="-5"/>
        </w:rPr>
        <w:t xml:space="preserve"> </w:t>
      </w:r>
      <w:r w:rsidRPr="00EC20A0">
        <w:t>appropriate,</w:t>
      </w:r>
      <w:r w:rsidRPr="00EC20A0">
        <w:rPr>
          <w:spacing w:val="-5"/>
        </w:rPr>
        <w:t xml:space="preserve"> </w:t>
      </w:r>
      <w:r w:rsidRPr="00EC20A0">
        <w:t>including</w:t>
      </w:r>
      <w:r w:rsidRPr="00EC20A0">
        <w:rPr>
          <w:spacing w:val="-5"/>
        </w:rPr>
        <w:t xml:space="preserve"> </w:t>
      </w:r>
      <w:r w:rsidRPr="00EC20A0">
        <w:t>when</w:t>
      </w:r>
      <w:r w:rsidRPr="00EC20A0">
        <w:rPr>
          <w:spacing w:val="-5"/>
        </w:rPr>
        <w:t xml:space="preserve"> </w:t>
      </w:r>
      <w:r w:rsidRPr="00EC20A0">
        <w:t>indicators</w:t>
      </w:r>
      <w:r w:rsidRPr="00EC20A0">
        <w:rPr>
          <w:spacing w:val="-6"/>
        </w:rPr>
        <w:t xml:space="preserve"> </w:t>
      </w:r>
      <w:r w:rsidRPr="00EC20A0">
        <w:t>of</w:t>
      </w:r>
      <w:r w:rsidRPr="00EC20A0">
        <w:rPr>
          <w:spacing w:val="-6"/>
        </w:rPr>
        <w:t xml:space="preserve"> </w:t>
      </w:r>
      <w:r w:rsidRPr="00EC20A0">
        <w:t>possible</w:t>
      </w:r>
      <w:r w:rsidRPr="00EC20A0">
        <w:rPr>
          <w:spacing w:val="-6"/>
        </w:rPr>
        <w:t xml:space="preserve"> </w:t>
      </w:r>
      <w:r w:rsidRPr="00EC20A0">
        <w:t>management</w:t>
      </w:r>
      <w:r w:rsidRPr="00EC20A0">
        <w:rPr>
          <w:spacing w:val="-5"/>
        </w:rPr>
        <w:t xml:space="preserve"> </w:t>
      </w:r>
      <w:r w:rsidRPr="00EC20A0">
        <w:t>bias have been identified;</w:t>
      </w:r>
    </w:p>
    <w:p w14:paraId="24D619E1" w14:textId="77777777" w:rsidR="00245300" w:rsidRPr="00EC20A0" w:rsidRDefault="00F17249">
      <w:pPr>
        <w:pStyle w:val="ListParagraph"/>
        <w:numPr>
          <w:ilvl w:val="1"/>
          <w:numId w:val="93"/>
        </w:numPr>
        <w:tabs>
          <w:tab w:val="left" w:pos="2000"/>
        </w:tabs>
        <w:ind w:right="707"/>
      </w:pPr>
      <w:r w:rsidRPr="00EC20A0">
        <w:t>management’s decisions relating to the recognition, measurement, presentation,</w:t>
      </w:r>
      <w:r w:rsidRPr="00EC20A0">
        <w:rPr>
          <w:spacing w:val="-4"/>
        </w:rPr>
        <w:t xml:space="preserve"> </w:t>
      </w:r>
      <w:r w:rsidRPr="00EC20A0">
        <w:t>and</w:t>
      </w:r>
      <w:r w:rsidRPr="00EC20A0">
        <w:rPr>
          <w:spacing w:val="-4"/>
        </w:rPr>
        <w:t xml:space="preserve"> </w:t>
      </w:r>
      <w:r w:rsidRPr="00EC20A0">
        <w:t>disclosure</w:t>
      </w:r>
      <w:r w:rsidRPr="00EC20A0">
        <w:rPr>
          <w:spacing w:val="-4"/>
        </w:rPr>
        <w:t xml:space="preserve"> </w:t>
      </w:r>
      <w:r w:rsidRPr="00EC20A0">
        <w:t>of</w:t>
      </w:r>
      <w:r w:rsidRPr="00EC20A0">
        <w:rPr>
          <w:spacing w:val="-4"/>
        </w:rPr>
        <w:t xml:space="preserve"> </w:t>
      </w:r>
      <w:r w:rsidRPr="00EC20A0">
        <w:t>these</w:t>
      </w:r>
      <w:r w:rsidRPr="00EC20A0">
        <w:rPr>
          <w:spacing w:val="-5"/>
        </w:rPr>
        <w:t xml:space="preserve"> </w:t>
      </w:r>
      <w:r w:rsidRPr="00EC20A0">
        <w:t>accounting</w:t>
      </w:r>
      <w:r w:rsidRPr="00EC20A0">
        <w:rPr>
          <w:spacing w:val="-5"/>
        </w:rPr>
        <w:t xml:space="preserve"> </w:t>
      </w:r>
      <w:r w:rsidRPr="00EC20A0">
        <w:t>estimates</w:t>
      </w:r>
      <w:r w:rsidRPr="00EC20A0">
        <w:rPr>
          <w:spacing w:val="-4"/>
        </w:rPr>
        <w:t xml:space="preserve"> </w:t>
      </w:r>
      <w:r w:rsidRPr="00EC20A0">
        <w:t>in</w:t>
      </w:r>
      <w:r w:rsidRPr="00EC20A0">
        <w:rPr>
          <w:spacing w:val="-5"/>
        </w:rPr>
        <w:t xml:space="preserve"> </w:t>
      </w:r>
      <w:r w:rsidRPr="00EC20A0">
        <w:t>the</w:t>
      </w:r>
      <w:r w:rsidRPr="00EC20A0">
        <w:rPr>
          <w:spacing w:val="-4"/>
        </w:rPr>
        <w:t xml:space="preserve"> </w:t>
      </w:r>
      <w:r w:rsidRPr="00EC20A0">
        <w:t>financial statements are in accordance with the applicable financial reporting framework (generally U.S. GAAP); and</w:t>
      </w:r>
    </w:p>
    <w:p w14:paraId="24D619E2" w14:textId="77777777" w:rsidR="00245300" w:rsidRPr="00EC20A0" w:rsidRDefault="00F17249">
      <w:pPr>
        <w:pStyle w:val="ListParagraph"/>
        <w:numPr>
          <w:ilvl w:val="1"/>
          <w:numId w:val="93"/>
        </w:numPr>
        <w:tabs>
          <w:tab w:val="left" w:pos="1999"/>
        </w:tabs>
        <w:ind w:left="1999" w:hanging="359"/>
      </w:pPr>
      <w:r w:rsidRPr="00EC20A0">
        <w:t>sufficient</w:t>
      </w:r>
      <w:r w:rsidRPr="00EC20A0">
        <w:rPr>
          <w:spacing w:val="-8"/>
        </w:rPr>
        <w:t xml:space="preserve"> </w:t>
      </w:r>
      <w:r w:rsidRPr="00EC20A0">
        <w:t>appropriate</w:t>
      </w:r>
      <w:r w:rsidRPr="00EC20A0">
        <w:rPr>
          <w:spacing w:val="-8"/>
        </w:rPr>
        <w:t xml:space="preserve"> </w:t>
      </w:r>
      <w:r w:rsidRPr="00EC20A0">
        <w:t>audit</w:t>
      </w:r>
      <w:r w:rsidRPr="00EC20A0">
        <w:rPr>
          <w:spacing w:val="-7"/>
        </w:rPr>
        <w:t xml:space="preserve"> </w:t>
      </w:r>
      <w:r w:rsidRPr="00EC20A0">
        <w:t>evidence</w:t>
      </w:r>
      <w:r w:rsidRPr="00EC20A0">
        <w:rPr>
          <w:spacing w:val="-9"/>
        </w:rPr>
        <w:t xml:space="preserve"> </w:t>
      </w:r>
      <w:r w:rsidRPr="00EC20A0">
        <w:t>has</w:t>
      </w:r>
      <w:r w:rsidRPr="00EC20A0">
        <w:rPr>
          <w:spacing w:val="-8"/>
        </w:rPr>
        <w:t xml:space="preserve"> </w:t>
      </w:r>
      <w:r w:rsidRPr="00EC20A0">
        <w:t>been</w:t>
      </w:r>
      <w:r w:rsidRPr="00EC20A0">
        <w:rPr>
          <w:spacing w:val="-7"/>
        </w:rPr>
        <w:t xml:space="preserve"> </w:t>
      </w:r>
      <w:r w:rsidRPr="00EC20A0">
        <w:rPr>
          <w:spacing w:val="-2"/>
        </w:rPr>
        <w:t>obtained.</w:t>
      </w:r>
    </w:p>
    <w:p w14:paraId="24D619E3" w14:textId="77777777" w:rsidR="00245300" w:rsidRPr="00EC20A0" w:rsidRDefault="00F17249">
      <w:pPr>
        <w:pStyle w:val="BodyText"/>
        <w:spacing w:before="240"/>
        <w:ind w:left="1640" w:right="345"/>
      </w:pPr>
      <w:r w:rsidRPr="00EC20A0">
        <w:t xml:space="preserve">In making this evaluation, the auditor should take into </w:t>
      </w:r>
      <w:r w:rsidRPr="00EC20A0">
        <w:t>account all relevant audit evidence</w:t>
      </w:r>
      <w:r w:rsidRPr="00EC20A0">
        <w:rPr>
          <w:spacing w:val="-4"/>
        </w:rPr>
        <w:t xml:space="preserve"> </w:t>
      </w:r>
      <w:r w:rsidRPr="00EC20A0">
        <w:t>obtained,</w:t>
      </w:r>
      <w:r w:rsidRPr="00EC20A0">
        <w:rPr>
          <w:spacing w:val="-4"/>
        </w:rPr>
        <w:t xml:space="preserve"> </w:t>
      </w:r>
      <w:r w:rsidRPr="00EC20A0">
        <w:t>whether</w:t>
      </w:r>
      <w:r w:rsidRPr="00EC20A0">
        <w:rPr>
          <w:spacing w:val="-4"/>
        </w:rPr>
        <w:t xml:space="preserve"> </w:t>
      </w:r>
      <w:r w:rsidRPr="00EC20A0">
        <w:t>corroborative</w:t>
      </w:r>
      <w:r w:rsidRPr="00EC20A0">
        <w:rPr>
          <w:spacing w:val="-4"/>
        </w:rPr>
        <w:t xml:space="preserve"> </w:t>
      </w:r>
      <w:r w:rsidRPr="00EC20A0">
        <w:t>or</w:t>
      </w:r>
      <w:r w:rsidRPr="00EC20A0">
        <w:rPr>
          <w:spacing w:val="-4"/>
        </w:rPr>
        <w:t xml:space="preserve"> </w:t>
      </w:r>
      <w:r w:rsidRPr="00EC20A0">
        <w:t>contradictory.</w:t>
      </w:r>
      <w:r w:rsidRPr="00EC20A0">
        <w:rPr>
          <w:spacing w:val="-4"/>
        </w:rPr>
        <w:t xml:space="preserve"> </w:t>
      </w:r>
      <w:r w:rsidRPr="00EC20A0">
        <w:t>If</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is</w:t>
      </w:r>
      <w:r w:rsidRPr="00EC20A0">
        <w:rPr>
          <w:spacing w:val="-4"/>
        </w:rPr>
        <w:t xml:space="preserve"> </w:t>
      </w:r>
      <w:r w:rsidRPr="00EC20A0">
        <w:t>unable to obtain sufficient appropriate audit evidence, the auditor should evaluate the implications for the audit or the auditor’s opinion on the financial statements in accordance with FAM 580.43 (AU-C 540.34). With respect to accounting estimates that have not been recognized, a particular focus of the auditor’s evaluation may be whether the recognition criteria of the applicable financial reporting fr</w:t>
      </w:r>
      <w:r w:rsidRPr="00EC20A0">
        <w:t xml:space="preserve">amework (generally U.S. GAAP) have, in fact, been met (AU-C </w:t>
      </w:r>
      <w:r w:rsidRPr="00EC20A0">
        <w:rPr>
          <w:spacing w:val="-2"/>
        </w:rPr>
        <w:t>540.A138).</w:t>
      </w:r>
    </w:p>
    <w:p w14:paraId="24D619E4" w14:textId="77777777" w:rsidR="00245300" w:rsidRPr="00EC20A0" w:rsidRDefault="00F17249">
      <w:pPr>
        <w:pStyle w:val="ListParagraph"/>
        <w:numPr>
          <w:ilvl w:val="0"/>
          <w:numId w:val="93"/>
        </w:numPr>
        <w:tabs>
          <w:tab w:val="left" w:pos="1640"/>
        </w:tabs>
        <w:ind w:right="381"/>
      </w:pPr>
      <w:r w:rsidRPr="00EC20A0">
        <w:t>The</w:t>
      </w:r>
      <w:r w:rsidRPr="00EC20A0">
        <w:rPr>
          <w:spacing w:val="-2"/>
        </w:rPr>
        <w:t xml:space="preserve"> </w:t>
      </w:r>
      <w:r w:rsidRPr="00EC20A0">
        <w:t>auditor</w:t>
      </w:r>
      <w:r w:rsidRPr="00EC20A0">
        <w:rPr>
          <w:spacing w:val="-3"/>
        </w:rPr>
        <w:t xml:space="preserve"> </w:t>
      </w:r>
      <w:r w:rsidRPr="00EC20A0">
        <w:t>should</w:t>
      </w:r>
      <w:r w:rsidRPr="00EC20A0">
        <w:rPr>
          <w:spacing w:val="-2"/>
        </w:rPr>
        <w:t xml:space="preserve"> </w:t>
      </w:r>
      <w:r w:rsidRPr="00EC20A0">
        <w:t>determine</w:t>
      </w:r>
      <w:r w:rsidRPr="00EC20A0">
        <w:rPr>
          <w:spacing w:val="-2"/>
        </w:rPr>
        <w:t xml:space="preserve"> </w:t>
      </w:r>
      <w:r w:rsidRPr="00EC20A0">
        <w:t>whether</w:t>
      </w:r>
      <w:r w:rsidRPr="00EC20A0">
        <w:rPr>
          <w:spacing w:val="-2"/>
        </w:rPr>
        <w:t xml:space="preserve"> </w:t>
      </w:r>
      <w:r w:rsidRPr="00EC20A0">
        <w:t>the</w:t>
      </w:r>
      <w:r w:rsidRPr="00EC20A0">
        <w:rPr>
          <w:spacing w:val="-2"/>
        </w:rPr>
        <w:t xml:space="preserve"> </w:t>
      </w:r>
      <w:r w:rsidRPr="00EC20A0">
        <w:t>accounting</w:t>
      </w:r>
      <w:r w:rsidRPr="00EC20A0">
        <w:rPr>
          <w:spacing w:val="-2"/>
        </w:rPr>
        <w:t xml:space="preserve"> </w:t>
      </w:r>
      <w:r w:rsidRPr="00EC20A0">
        <w:t>estimates</w:t>
      </w:r>
      <w:r w:rsidRPr="00EC20A0">
        <w:rPr>
          <w:spacing w:val="-2"/>
        </w:rPr>
        <w:t xml:space="preserve"> </w:t>
      </w:r>
      <w:r w:rsidRPr="00EC20A0">
        <w:t>and</w:t>
      </w:r>
      <w:r w:rsidRPr="00EC20A0">
        <w:rPr>
          <w:spacing w:val="-2"/>
        </w:rPr>
        <w:t xml:space="preserve"> </w:t>
      </w:r>
      <w:r w:rsidRPr="00EC20A0">
        <w:t>related</w:t>
      </w:r>
      <w:r w:rsidRPr="00EC20A0">
        <w:rPr>
          <w:spacing w:val="-2"/>
        </w:rPr>
        <w:t xml:space="preserve"> </w:t>
      </w:r>
      <w:r w:rsidRPr="00EC20A0">
        <w:t>note disclosures are either reasonable in the context of the financial reporting framework (generally U.S. GAAP) or are misstated (AU-C 540.35). The greater the degree to which an accounting estimate is subject to estimation uncertainty, the</w:t>
      </w:r>
      <w:r w:rsidRPr="00EC20A0">
        <w:rPr>
          <w:spacing w:val="-3"/>
        </w:rPr>
        <w:t xml:space="preserve"> </w:t>
      </w:r>
      <w:r w:rsidRPr="00EC20A0">
        <w:t>more</w:t>
      </w:r>
      <w:r w:rsidRPr="00EC20A0">
        <w:rPr>
          <w:spacing w:val="-3"/>
        </w:rPr>
        <w:t xml:space="preserve"> </w:t>
      </w:r>
      <w:r w:rsidRPr="00EC20A0">
        <w:t>likely</w:t>
      </w:r>
      <w:r w:rsidRPr="00EC20A0">
        <w:rPr>
          <w:spacing w:val="-3"/>
        </w:rPr>
        <w:t xml:space="preserve"> </w:t>
      </w:r>
      <w:r w:rsidRPr="00EC20A0">
        <w:t>the</w:t>
      </w:r>
      <w:r w:rsidRPr="00EC20A0">
        <w:rPr>
          <w:spacing w:val="-3"/>
        </w:rPr>
        <w:t xml:space="preserve"> </w:t>
      </w:r>
      <w:r w:rsidRPr="00EC20A0">
        <w:t>risks</w:t>
      </w:r>
      <w:r w:rsidRPr="00EC20A0">
        <w:rPr>
          <w:spacing w:val="-4"/>
        </w:rPr>
        <w:t xml:space="preserve"> </w:t>
      </w:r>
      <w:r w:rsidRPr="00EC20A0">
        <w:t>of</w:t>
      </w:r>
      <w:r w:rsidRPr="00EC20A0">
        <w:rPr>
          <w:spacing w:val="-3"/>
        </w:rPr>
        <w:t xml:space="preserve"> </w:t>
      </w:r>
      <w:r w:rsidRPr="00EC20A0">
        <w:t>material</w:t>
      </w:r>
      <w:r w:rsidRPr="00EC20A0">
        <w:rPr>
          <w:spacing w:val="-3"/>
        </w:rPr>
        <w:t xml:space="preserve"> </w:t>
      </w:r>
      <w:r w:rsidRPr="00EC20A0">
        <w:t>misstatement</w:t>
      </w:r>
      <w:r w:rsidRPr="00EC20A0">
        <w:rPr>
          <w:spacing w:val="-3"/>
        </w:rPr>
        <w:t xml:space="preserve"> </w:t>
      </w:r>
      <w:r w:rsidRPr="00EC20A0">
        <w:t>will</w:t>
      </w:r>
      <w:r w:rsidRPr="00EC20A0">
        <w:rPr>
          <w:spacing w:val="-3"/>
        </w:rPr>
        <w:t xml:space="preserve"> </w:t>
      </w:r>
      <w:r w:rsidRPr="00EC20A0">
        <w:t>be</w:t>
      </w:r>
      <w:r w:rsidRPr="00EC20A0">
        <w:rPr>
          <w:spacing w:val="-3"/>
        </w:rPr>
        <w:t xml:space="preserve"> </w:t>
      </w:r>
      <w:r w:rsidRPr="00EC20A0">
        <w:t>assessed</w:t>
      </w:r>
      <w:r w:rsidRPr="00EC20A0">
        <w:rPr>
          <w:spacing w:val="-3"/>
        </w:rPr>
        <w:t xml:space="preserve"> </w:t>
      </w:r>
      <w:r w:rsidRPr="00EC20A0">
        <w:t>as</w:t>
      </w:r>
      <w:r w:rsidRPr="00EC20A0">
        <w:rPr>
          <w:spacing w:val="-3"/>
        </w:rPr>
        <w:t xml:space="preserve"> </w:t>
      </w:r>
      <w:r w:rsidRPr="00EC20A0">
        <w:t>higher</w:t>
      </w:r>
      <w:r w:rsidRPr="00EC20A0">
        <w:rPr>
          <w:spacing w:val="-3"/>
        </w:rPr>
        <w:t xml:space="preserve"> </w:t>
      </w:r>
      <w:r w:rsidRPr="00EC20A0">
        <w:t>and, therefore, the more persuasive the audit evidence needs to be to determine whether management’s point estimate and relat</w:t>
      </w:r>
      <w:r w:rsidRPr="00EC20A0">
        <w:t>ed disclosures about estimation uncertainty are reasonable in the context of the applicable financial reporting framework (generally U.S. GAAP), or are misstated (AU-C 540.A113).</w:t>
      </w:r>
    </w:p>
    <w:p w14:paraId="24D619E5" w14:textId="77777777" w:rsidR="00245300" w:rsidRPr="00EC20A0" w:rsidRDefault="00245300">
      <w:pPr>
        <w:sectPr w:rsidR="00245300" w:rsidRPr="00EC20A0">
          <w:pgSz w:w="12240" w:h="15840"/>
          <w:pgMar w:top="1340" w:right="1100" w:bottom="940" w:left="1240" w:header="721" w:footer="757" w:gutter="0"/>
          <w:cols w:space="720"/>
        </w:sectPr>
      </w:pPr>
    </w:p>
    <w:p w14:paraId="24D619E6" w14:textId="77777777" w:rsidR="00245300" w:rsidRPr="00EC20A0" w:rsidRDefault="00F17249">
      <w:pPr>
        <w:pStyle w:val="ListParagraph"/>
        <w:numPr>
          <w:ilvl w:val="0"/>
          <w:numId w:val="93"/>
        </w:numPr>
        <w:tabs>
          <w:tab w:val="left" w:pos="1640"/>
        </w:tabs>
        <w:spacing w:before="121"/>
        <w:ind w:right="358"/>
      </w:pPr>
      <w:r w:rsidRPr="00EC20A0">
        <w:t>In relation to the accounting estimates, the auditor should also evaluate whether management</w:t>
      </w:r>
      <w:r w:rsidRPr="00EC20A0">
        <w:rPr>
          <w:spacing w:val="-5"/>
        </w:rPr>
        <w:t xml:space="preserve"> </w:t>
      </w:r>
      <w:r w:rsidRPr="00EC20A0">
        <w:t>has</w:t>
      </w:r>
      <w:r w:rsidRPr="00EC20A0">
        <w:rPr>
          <w:spacing w:val="-5"/>
        </w:rPr>
        <w:t xml:space="preserve"> </w:t>
      </w:r>
      <w:r w:rsidRPr="00EC20A0">
        <w:t>included</w:t>
      </w:r>
      <w:r w:rsidRPr="00EC20A0">
        <w:rPr>
          <w:spacing w:val="-5"/>
        </w:rPr>
        <w:t xml:space="preserve"> </w:t>
      </w:r>
      <w:r w:rsidRPr="00EC20A0">
        <w:t>note</w:t>
      </w:r>
      <w:r w:rsidRPr="00EC20A0">
        <w:rPr>
          <w:spacing w:val="-5"/>
        </w:rPr>
        <w:t xml:space="preserve"> </w:t>
      </w:r>
      <w:r w:rsidRPr="00EC20A0">
        <w:t>disclosures</w:t>
      </w:r>
      <w:r w:rsidRPr="00EC20A0">
        <w:rPr>
          <w:spacing w:val="-5"/>
        </w:rPr>
        <w:t xml:space="preserve"> </w:t>
      </w:r>
      <w:r w:rsidRPr="00EC20A0">
        <w:t>beyond</w:t>
      </w:r>
      <w:r w:rsidRPr="00EC20A0">
        <w:rPr>
          <w:spacing w:val="-5"/>
        </w:rPr>
        <w:t xml:space="preserve"> </w:t>
      </w:r>
      <w:r w:rsidRPr="00EC20A0">
        <w:t>those</w:t>
      </w:r>
      <w:r w:rsidRPr="00EC20A0">
        <w:rPr>
          <w:spacing w:val="-5"/>
        </w:rPr>
        <w:t xml:space="preserve"> </w:t>
      </w:r>
      <w:r w:rsidRPr="00EC20A0">
        <w:t>specifically</w:t>
      </w:r>
      <w:r w:rsidRPr="00EC20A0">
        <w:rPr>
          <w:spacing w:val="-5"/>
        </w:rPr>
        <w:t xml:space="preserve"> </w:t>
      </w:r>
      <w:r w:rsidRPr="00EC20A0">
        <w:t>required</w:t>
      </w:r>
      <w:r w:rsidRPr="00EC20A0">
        <w:rPr>
          <w:spacing w:val="-5"/>
        </w:rPr>
        <w:t xml:space="preserve"> </w:t>
      </w:r>
      <w:r w:rsidRPr="00EC20A0">
        <w:t xml:space="preserve">by the framework that are necessary to achieve the fair presentation of the </w:t>
      </w:r>
      <w:r w:rsidRPr="00EC20A0">
        <w:t>financial statements as a whole (AU-C 540.36).</w:t>
      </w:r>
    </w:p>
    <w:p w14:paraId="24D619E7" w14:textId="77777777" w:rsidR="00245300" w:rsidRPr="00EC20A0" w:rsidRDefault="00F17249">
      <w:pPr>
        <w:pStyle w:val="BodyText"/>
        <w:spacing w:before="240"/>
        <w:ind w:left="1640" w:right="345"/>
      </w:pPr>
      <w:r w:rsidRPr="00EC20A0">
        <w:t>Additionally, the auditor should evaluate whether accounting estimates, while individually reasonable, consistently overstate or understate components of the financial</w:t>
      </w:r>
      <w:r w:rsidRPr="00EC20A0">
        <w:rPr>
          <w:spacing w:val="-5"/>
        </w:rPr>
        <w:t xml:space="preserve"> </w:t>
      </w:r>
      <w:r w:rsidRPr="00EC20A0">
        <w:t>statements,</w:t>
      </w:r>
      <w:r w:rsidRPr="00EC20A0">
        <w:rPr>
          <w:spacing w:val="-4"/>
        </w:rPr>
        <w:t xml:space="preserve"> </w:t>
      </w:r>
      <w:r w:rsidRPr="00EC20A0">
        <w:t>such</w:t>
      </w:r>
      <w:r w:rsidRPr="00EC20A0">
        <w:rPr>
          <w:spacing w:val="-4"/>
        </w:rPr>
        <w:t xml:space="preserve"> </w:t>
      </w:r>
      <w:r w:rsidRPr="00EC20A0">
        <w:t>as</w:t>
      </w:r>
      <w:r w:rsidRPr="00EC20A0">
        <w:rPr>
          <w:spacing w:val="-4"/>
        </w:rPr>
        <w:t xml:space="preserve"> </w:t>
      </w:r>
      <w:r w:rsidRPr="00EC20A0">
        <w:t>total</w:t>
      </w:r>
      <w:r w:rsidRPr="00EC20A0">
        <w:rPr>
          <w:spacing w:val="-4"/>
        </w:rPr>
        <w:t xml:space="preserve"> </w:t>
      </w:r>
      <w:r w:rsidRPr="00EC20A0">
        <w:t>assets</w:t>
      </w:r>
      <w:r w:rsidRPr="00EC20A0">
        <w:rPr>
          <w:spacing w:val="-4"/>
        </w:rPr>
        <w:t xml:space="preserve"> </w:t>
      </w:r>
      <w:r w:rsidRPr="00EC20A0">
        <w:t>or</w:t>
      </w:r>
      <w:r w:rsidRPr="00EC20A0">
        <w:rPr>
          <w:spacing w:val="-4"/>
        </w:rPr>
        <w:t xml:space="preserve"> </w:t>
      </w:r>
      <w:r w:rsidRPr="00EC20A0">
        <w:t>total</w:t>
      </w:r>
      <w:r w:rsidRPr="00EC20A0">
        <w:rPr>
          <w:spacing w:val="-5"/>
        </w:rPr>
        <w:t xml:space="preserve"> </w:t>
      </w:r>
      <w:r w:rsidRPr="00EC20A0">
        <w:t>expenditures,</w:t>
      </w:r>
      <w:r w:rsidRPr="00EC20A0">
        <w:rPr>
          <w:spacing w:val="-4"/>
        </w:rPr>
        <w:t xml:space="preserve"> </w:t>
      </w:r>
      <w:r w:rsidRPr="00EC20A0">
        <w:t>and</w:t>
      </w:r>
      <w:r w:rsidRPr="00EC20A0">
        <w:rPr>
          <w:spacing w:val="-4"/>
        </w:rPr>
        <w:t xml:space="preserve"> </w:t>
      </w:r>
      <w:r w:rsidRPr="00EC20A0">
        <w:t>indicate</w:t>
      </w:r>
      <w:r w:rsidRPr="00EC20A0">
        <w:rPr>
          <w:spacing w:val="-4"/>
        </w:rPr>
        <w:t xml:space="preserve"> </w:t>
      </w:r>
      <w:r w:rsidRPr="00EC20A0">
        <w:t>that possible management bias exists in the accounting estimates. If so, the auditor should evaluate the effects on the financial statements in addition to any uncorrected misstatements when determining the appropriate type of opinion.</w:t>
      </w:r>
    </w:p>
    <w:p w14:paraId="24D619E8" w14:textId="77777777" w:rsidR="00245300" w:rsidRPr="00EC20A0" w:rsidRDefault="00F17249">
      <w:pPr>
        <w:pStyle w:val="BodyText"/>
        <w:ind w:left="1640"/>
      </w:pPr>
      <w:r w:rsidRPr="00EC20A0">
        <w:t>See</w:t>
      </w:r>
      <w:r w:rsidRPr="00EC20A0">
        <w:rPr>
          <w:spacing w:val="-6"/>
        </w:rPr>
        <w:t xml:space="preserve"> </w:t>
      </w:r>
      <w:r w:rsidRPr="00EC20A0">
        <w:t>FAM</w:t>
      </w:r>
      <w:r w:rsidRPr="00EC20A0">
        <w:rPr>
          <w:spacing w:val="-7"/>
        </w:rPr>
        <w:t xml:space="preserve"> </w:t>
      </w:r>
      <w:r w:rsidRPr="00EC20A0">
        <w:t>540</w:t>
      </w:r>
      <w:r w:rsidRPr="00EC20A0">
        <w:rPr>
          <w:spacing w:val="-5"/>
        </w:rPr>
        <w:t xml:space="preserve"> </w:t>
      </w:r>
      <w:r w:rsidRPr="00EC20A0">
        <w:t>for</w:t>
      </w:r>
      <w:r w:rsidRPr="00EC20A0">
        <w:rPr>
          <w:spacing w:val="-6"/>
        </w:rPr>
        <w:t xml:space="preserve"> </w:t>
      </w:r>
      <w:r w:rsidRPr="00EC20A0">
        <w:t>further</w:t>
      </w:r>
      <w:r w:rsidRPr="00EC20A0">
        <w:rPr>
          <w:spacing w:val="-6"/>
        </w:rPr>
        <w:t xml:space="preserve"> </w:t>
      </w:r>
      <w:r w:rsidRPr="00EC20A0">
        <w:t>guidance</w:t>
      </w:r>
      <w:r w:rsidRPr="00EC20A0">
        <w:rPr>
          <w:spacing w:val="-5"/>
        </w:rPr>
        <w:t xml:space="preserve"> </w:t>
      </w:r>
      <w:r w:rsidRPr="00EC20A0">
        <w:t>on</w:t>
      </w:r>
      <w:r w:rsidRPr="00EC20A0">
        <w:rPr>
          <w:spacing w:val="-7"/>
        </w:rPr>
        <w:t xml:space="preserve"> </w:t>
      </w:r>
      <w:r w:rsidRPr="00EC20A0">
        <w:t>uncorrected</w:t>
      </w:r>
      <w:r w:rsidRPr="00EC20A0">
        <w:rPr>
          <w:spacing w:val="-7"/>
        </w:rPr>
        <w:t xml:space="preserve"> </w:t>
      </w:r>
      <w:r w:rsidRPr="00EC20A0">
        <w:rPr>
          <w:spacing w:val="-2"/>
        </w:rPr>
        <w:t>misstatements.</w:t>
      </w:r>
    </w:p>
    <w:p w14:paraId="24D619E9" w14:textId="77777777" w:rsidR="00245300" w:rsidRPr="00EC20A0" w:rsidRDefault="00F17249">
      <w:pPr>
        <w:pStyle w:val="ListParagraph"/>
        <w:numPr>
          <w:ilvl w:val="0"/>
          <w:numId w:val="93"/>
        </w:numPr>
        <w:tabs>
          <w:tab w:val="left" w:pos="1640"/>
        </w:tabs>
        <w:ind w:hanging="720"/>
      </w:pPr>
      <w:r w:rsidRPr="00EC20A0">
        <w:t>For</w:t>
      </w:r>
      <w:r w:rsidRPr="00EC20A0">
        <w:rPr>
          <w:spacing w:val="-9"/>
        </w:rPr>
        <w:t xml:space="preserve"> </w:t>
      </w:r>
      <w:r w:rsidRPr="00EC20A0">
        <w:t>documentation</w:t>
      </w:r>
      <w:r w:rsidRPr="00EC20A0">
        <w:rPr>
          <w:spacing w:val="-9"/>
        </w:rPr>
        <w:t xml:space="preserve"> </w:t>
      </w:r>
      <w:r w:rsidRPr="00EC20A0">
        <w:t>requirements</w:t>
      </w:r>
      <w:r w:rsidRPr="00EC20A0">
        <w:rPr>
          <w:spacing w:val="-8"/>
        </w:rPr>
        <w:t xml:space="preserve"> </w:t>
      </w:r>
      <w:r w:rsidRPr="00EC20A0">
        <w:t>related</w:t>
      </w:r>
      <w:r w:rsidRPr="00EC20A0">
        <w:rPr>
          <w:spacing w:val="-9"/>
        </w:rPr>
        <w:t xml:space="preserve"> </w:t>
      </w:r>
      <w:r w:rsidRPr="00EC20A0">
        <w:t>to</w:t>
      </w:r>
      <w:r w:rsidRPr="00EC20A0">
        <w:rPr>
          <w:spacing w:val="-9"/>
        </w:rPr>
        <w:t xml:space="preserve"> </w:t>
      </w:r>
      <w:r w:rsidRPr="00EC20A0">
        <w:t>accounting</w:t>
      </w:r>
      <w:r w:rsidRPr="00EC20A0">
        <w:rPr>
          <w:spacing w:val="-9"/>
        </w:rPr>
        <w:t xml:space="preserve"> </w:t>
      </w:r>
      <w:r w:rsidRPr="00EC20A0">
        <w:t>estimates,</w:t>
      </w:r>
      <w:r w:rsidRPr="00EC20A0">
        <w:rPr>
          <w:spacing w:val="-8"/>
        </w:rPr>
        <w:t xml:space="preserve"> </w:t>
      </w:r>
      <w:r w:rsidRPr="00EC20A0">
        <w:t>see</w:t>
      </w:r>
      <w:r w:rsidRPr="00EC20A0">
        <w:rPr>
          <w:spacing w:val="-9"/>
        </w:rPr>
        <w:t xml:space="preserve"> </w:t>
      </w:r>
      <w:r w:rsidRPr="00EC20A0">
        <w:rPr>
          <w:spacing w:val="-5"/>
        </w:rPr>
        <w:t>FAM</w:t>
      </w:r>
    </w:p>
    <w:p w14:paraId="24D619EA" w14:textId="77777777" w:rsidR="00245300" w:rsidRPr="00EC20A0" w:rsidRDefault="00F17249">
      <w:pPr>
        <w:pStyle w:val="BodyText"/>
        <w:ind w:left="1640" w:right="345"/>
      </w:pPr>
      <w:r w:rsidRPr="00EC20A0">
        <w:t>290.04</w:t>
      </w:r>
      <w:r w:rsidRPr="00EC20A0">
        <w:rPr>
          <w:spacing w:val="-5"/>
        </w:rPr>
        <w:t xml:space="preserve"> </w:t>
      </w:r>
      <w:r w:rsidRPr="00EC20A0">
        <w:t>(entity</w:t>
      </w:r>
      <w:r w:rsidRPr="00EC20A0">
        <w:rPr>
          <w:spacing w:val="-5"/>
        </w:rPr>
        <w:t xml:space="preserve"> </w:t>
      </w:r>
      <w:r w:rsidRPr="00EC20A0">
        <w:t>profile),</w:t>
      </w:r>
      <w:r w:rsidRPr="00EC20A0">
        <w:rPr>
          <w:spacing w:val="-5"/>
        </w:rPr>
        <w:t xml:space="preserve"> </w:t>
      </w:r>
      <w:r w:rsidRPr="00EC20A0">
        <w:t>390.06</w:t>
      </w:r>
      <w:r w:rsidRPr="00EC20A0">
        <w:rPr>
          <w:spacing w:val="-4"/>
        </w:rPr>
        <w:t xml:space="preserve"> </w:t>
      </w:r>
      <w:r w:rsidRPr="00EC20A0">
        <w:t>(cycle</w:t>
      </w:r>
      <w:r w:rsidRPr="00EC20A0">
        <w:rPr>
          <w:spacing w:val="-6"/>
        </w:rPr>
        <w:t xml:space="preserve"> </w:t>
      </w:r>
      <w:r w:rsidRPr="00EC20A0">
        <w:t>memorandums),</w:t>
      </w:r>
      <w:r w:rsidRPr="00EC20A0">
        <w:rPr>
          <w:spacing w:val="-5"/>
        </w:rPr>
        <w:t xml:space="preserve"> </w:t>
      </w:r>
      <w:r w:rsidRPr="00EC20A0">
        <w:t>and</w:t>
      </w:r>
      <w:r w:rsidRPr="00EC20A0">
        <w:rPr>
          <w:spacing w:val="-5"/>
        </w:rPr>
        <w:t xml:space="preserve"> </w:t>
      </w:r>
      <w:r w:rsidRPr="00EC20A0">
        <w:t>490.06f</w:t>
      </w:r>
      <w:r w:rsidRPr="00EC20A0">
        <w:rPr>
          <w:spacing w:val="-5"/>
        </w:rPr>
        <w:t xml:space="preserve"> </w:t>
      </w:r>
      <w:r w:rsidRPr="00EC20A0">
        <w:t>(testing</w:t>
      </w:r>
      <w:r w:rsidRPr="00EC20A0">
        <w:rPr>
          <w:spacing w:val="-5"/>
        </w:rPr>
        <w:t xml:space="preserve"> </w:t>
      </w:r>
      <w:r w:rsidRPr="00EC20A0">
        <w:t xml:space="preserve">phase </w:t>
      </w:r>
      <w:r w:rsidRPr="00EC20A0">
        <w:rPr>
          <w:spacing w:val="-2"/>
        </w:rPr>
        <w:t>documentation).</w:t>
      </w:r>
    </w:p>
    <w:p w14:paraId="24D619EB" w14:textId="77777777" w:rsidR="00245300" w:rsidRPr="00EC20A0" w:rsidRDefault="00245300">
      <w:pPr>
        <w:sectPr w:rsidR="00245300" w:rsidRPr="00EC20A0">
          <w:pgSz w:w="12240" w:h="15840"/>
          <w:pgMar w:top="1340" w:right="1100" w:bottom="940" w:left="1240" w:header="721" w:footer="757" w:gutter="0"/>
          <w:cols w:space="720"/>
        </w:sectPr>
      </w:pPr>
    </w:p>
    <w:p w14:paraId="24D619EC" w14:textId="77777777" w:rsidR="00245300" w:rsidRPr="00EC20A0" w:rsidRDefault="00F17249">
      <w:pPr>
        <w:pStyle w:val="Heading3"/>
        <w:ind w:left="200"/>
        <w:rPr>
          <w:u w:val="none"/>
        </w:rPr>
      </w:pPr>
      <w:bookmarkStart w:id="304" w:name="921_–_Auditing_Fund_Balance_with_Treasur"/>
      <w:bookmarkStart w:id="305" w:name="_bookmark172"/>
      <w:bookmarkEnd w:id="304"/>
      <w:bookmarkEnd w:id="305"/>
      <w:r w:rsidRPr="00EC20A0">
        <w:t>921</w:t>
      </w:r>
      <w:r w:rsidRPr="00EC20A0">
        <w:rPr>
          <w:spacing w:val="-6"/>
        </w:rPr>
        <w:t xml:space="preserve"> </w:t>
      </w:r>
      <w:r w:rsidRPr="00EC20A0">
        <w:t>–</w:t>
      </w:r>
      <w:r w:rsidRPr="00EC20A0">
        <w:rPr>
          <w:spacing w:val="-16"/>
        </w:rPr>
        <w:t xml:space="preserve"> </w:t>
      </w:r>
      <w:r w:rsidRPr="00EC20A0">
        <w:t>Auditing</w:t>
      </w:r>
      <w:r w:rsidRPr="00EC20A0">
        <w:rPr>
          <w:spacing w:val="-3"/>
        </w:rPr>
        <w:t xml:space="preserve"> </w:t>
      </w:r>
      <w:r w:rsidRPr="00EC20A0">
        <w:t>Fund</w:t>
      </w:r>
      <w:r w:rsidRPr="00EC20A0">
        <w:rPr>
          <w:spacing w:val="-4"/>
        </w:rPr>
        <w:t xml:space="preserve"> </w:t>
      </w:r>
      <w:r w:rsidRPr="00EC20A0">
        <w:t>Balance</w:t>
      </w:r>
      <w:r w:rsidRPr="00EC20A0">
        <w:rPr>
          <w:spacing w:val="-3"/>
        </w:rPr>
        <w:t xml:space="preserve"> </w:t>
      </w:r>
      <w:r w:rsidRPr="00EC20A0">
        <w:t>with</w:t>
      </w:r>
      <w:r w:rsidRPr="00EC20A0">
        <w:rPr>
          <w:spacing w:val="-3"/>
        </w:rPr>
        <w:t xml:space="preserve"> </w:t>
      </w:r>
      <w:r w:rsidRPr="00EC20A0">
        <w:rPr>
          <w:spacing w:val="-2"/>
        </w:rPr>
        <w:t>Treasury</w:t>
      </w:r>
    </w:p>
    <w:p w14:paraId="24D619ED" w14:textId="77777777" w:rsidR="00245300" w:rsidRPr="00EC20A0" w:rsidRDefault="00245300">
      <w:pPr>
        <w:pStyle w:val="BodyText"/>
        <w:spacing w:before="98"/>
        <w:rPr>
          <w:b/>
          <w:sz w:val="28"/>
        </w:rPr>
      </w:pPr>
    </w:p>
    <w:p w14:paraId="24D619EE" w14:textId="77777777" w:rsidR="00245300" w:rsidRPr="00EC20A0" w:rsidRDefault="00F17249">
      <w:pPr>
        <w:pStyle w:val="Heading4"/>
        <w:spacing w:before="1"/>
        <w:ind w:left="200"/>
      </w:pPr>
      <w:bookmarkStart w:id="306" w:name="Overview"/>
      <w:bookmarkEnd w:id="306"/>
      <w:r w:rsidRPr="00EC20A0">
        <w:rPr>
          <w:spacing w:val="-2"/>
        </w:rPr>
        <w:t>Overview</w:t>
      </w:r>
    </w:p>
    <w:p w14:paraId="24D619EF" w14:textId="77777777" w:rsidR="00245300" w:rsidRPr="00EC20A0" w:rsidRDefault="00F17249">
      <w:pPr>
        <w:pStyle w:val="ListParagraph"/>
        <w:numPr>
          <w:ilvl w:val="0"/>
          <w:numId w:val="3"/>
        </w:numPr>
        <w:tabs>
          <w:tab w:val="left" w:pos="1640"/>
        </w:tabs>
        <w:spacing w:before="299"/>
        <w:ind w:right="432"/>
      </w:pPr>
      <w:r w:rsidRPr="00EC20A0">
        <w:t>FAM 921 provides guidance on auditing fund balance with Treasury (FBWT) accounts. A federal entity’s FBWT account (USSGL account 1010) is an intragovernmental asset account, unique to the U.S. government, representing the</w:t>
      </w:r>
      <w:r w:rsidRPr="00EC20A0">
        <w:rPr>
          <w:spacing w:val="-3"/>
        </w:rPr>
        <w:t xml:space="preserve"> </w:t>
      </w:r>
      <w:r w:rsidRPr="00EC20A0">
        <w:t>aggregate</w:t>
      </w:r>
      <w:r w:rsidRPr="00EC20A0">
        <w:rPr>
          <w:spacing w:val="-3"/>
        </w:rPr>
        <w:t xml:space="preserve"> </w:t>
      </w:r>
      <w:r w:rsidRPr="00EC20A0">
        <w:t>amount</w:t>
      </w:r>
      <w:r w:rsidRPr="00EC20A0">
        <w:rPr>
          <w:spacing w:val="-3"/>
        </w:rPr>
        <w:t xml:space="preserve"> </w:t>
      </w:r>
      <w:r w:rsidRPr="00EC20A0">
        <w:t>of</w:t>
      </w:r>
      <w:r w:rsidRPr="00EC20A0">
        <w:rPr>
          <w:spacing w:val="-3"/>
        </w:rPr>
        <w:t xml:space="preserve"> </w:t>
      </w:r>
      <w:r w:rsidRPr="00EC20A0">
        <w:t>funds</w:t>
      </w:r>
      <w:r w:rsidRPr="00EC20A0">
        <w:rPr>
          <w:spacing w:val="-3"/>
        </w:rPr>
        <w:t xml:space="preserve"> </w:t>
      </w:r>
      <w:r w:rsidRPr="00EC20A0">
        <w:t>with</w:t>
      </w:r>
      <w:r w:rsidRPr="00EC20A0">
        <w:rPr>
          <w:spacing w:val="-4"/>
        </w:rPr>
        <w:t xml:space="preserve"> </w:t>
      </w:r>
      <w:r w:rsidRPr="00EC20A0">
        <w:t>Treasury</w:t>
      </w:r>
      <w:r w:rsidRPr="00EC20A0">
        <w:rPr>
          <w:spacing w:val="-3"/>
        </w:rPr>
        <w:t xml:space="preserve"> </w:t>
      </w:r>
      <w:r w:rsidRPr="00EC20A0">
        <w:t>for</w:t>
      </w:r>
      <w:r w:rsidRPr="00EC20A0">
        <w:rPr>
          <w:spacing w:val="-4"/>
        </w:rPr>
        <w:t xml:space="preserve"> </w:t>
      </w:r>
      <w:r w:rsidRPr="00EC20A0">
        <w:t>which</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is</w:t>
      </w:r>
      <w:r w:rsidRPr="00EC20A0">
        <w:rPr>
          <w:spacing w:val="-4"/>
        </w:rPr>
        <w:t xml:space="preserve"> </w:t>
      </w:r>
      <w:r w:rsidRPr="00EC20A0">
        <w:t>authorized</w:t>
      </w:r>
      <w:r w:rsidRPr="00EC20A0">
        <w:rPr>
          <w:spacing w:val="-3"/>
        </w:rPr>
        <w:t xml:space="preserve"> </w:t>
      </w:r>
      <w:r w:rsidRPr="00EC20A0">
        <w:t>to make</w:t>
      </w:r>
      <w:r w:rsidRPr="00EC20A0">
        <w:rPr>
          <w:spacing w:val="-1"/>
        </w:rPr>
        <w:t xml:space="preserve"> </w:t>
      </w:r>
      <w:r w:rsidRPr="00EC20A0">
        <w:t>expenditures</w:t>
      </w:r>
      <w:r w:rsidRPr="00EC20A0">
        <w:rPr>
          <w:spacing w:val="-1"/>
        </w:rPr>
        <w:t xml:space="preserve"> </w:t>
      </w:r>
      <w:r w:rsidRPr="00EC20A0">
        <w:t>and</w:t>
      </w:r>
      <w:r w:rsidRPr="00EC20A0">
        <w:rPr>
          <w:spacing w:val="-2"/>
        </w:rPr>
        <w:t xml:space="preserve"> </w:t>
      </w:r>
      <w:r w:rsidRPr="00EC20A0">
        <w:t>pay</w:t>
      </w:r>
      <w:r w:rsidRPr="00EC20A0">
        <w:rPr>
          <w:spacing w:val="-1"/>
        </w:rPr>
        <w:t xml:space="preserve"> </w:t>
      </w:r>
      <w:r w:rsidRPr="00EC20A0">
        <w:t>liabilities.</w:t>
      </w:r>
      <w:r w:rsidRPr="00EC20A0">
        <w:rPr>
          <w:spacing w:val="-1"/>
        </w:rPr>
        <w:t xml:space="preserve"> </w:t>
      </w:r>
      <w:r w:rsidRPr="00EC20A0">
        <w:t>From</w:t>
      </w:r>
      <w:r w:rsidRPr="00EC20A0">
        <w:rPr>
          <w:spacing w:val="-2"/>
        </w:rPr>
        <w:t xml:space="preserve"> </w:t>
      </w:r>
      <w:r w:rsidRPr="00EC20A0">
        <w:t>the</w:t>
      </w:r>
      <w:r w:rsidRPr="00EC20A0">
        <w:rPr>
          <w:spacing w:val="-1"/>
        </w:rPr>
        <w:t xml:space="preserve"> </w:t>
      </w:r>
      <w:r w:rsidRPr="00EC20A0">
        <w:t>entity’s</w:t>
      </w:r>
      <w:r w:rsidRPr="00EC20A0">
        <w:rPr>
          <w:spacing w:val="-2"/>
        </w:rPr>
        <w:t xml:space="preserve"> </w:t>
      </w:r>
      <w:r w:rsidRPr="00EC20A0">
        <w:t>perspective,</w:t>
      </w:r>
      <w:r w:rsidRPr="00EC20A0">
        <w:rPr>
          <w:spacing w:val="-1"/>
        </w:rPr>
        <w:t xml:space="preserve"> </w:t>
      </w:r>
      <w:r w:rsidRPr="00EC20A0">
        <w:t>FBWT</w:t>
      </w:r>
      <w:r w:rsidRPr="00EC20A0">
        <w:rPr>
          <w:spacing w:val="-1"/>
        </w:rPr>
        <w:t xml:space="preserve"> </w:t>
      </w:r>
      <w:r w:rsidRPr="00EC20A0">
        <w:t>is</w:t>
      </w:r>
      <w:r w:rsidRPr="00EC20A0">
        <w:rPr>
          <w:spacing w:val="-1"/>
        </w:rPr>
        <w:t xml:space="preserve"> </w:t>
      </w:r>
      <w:r w:rsidRPr="00EC20A0">
        <w:t xml:space="preserve">an asset because it represents the entity’s claim to the federal government’s </w:t>
      </w:r>
      <w:r w:rsidRPr="00EC20A0">
        <w:rPr>
          <w:spacing w:val="-2"/>
        </w:rPr>
        <w:t>resources.</w:t>
      </w:r>
    </w:p>
    <w:p w14:paraId="24D619F0" w14:textId="77777777" w:rsidR="00245300" w:rsidRPr="00EC20A0" w:rsidRDefault="00F17249">
      <w:pPr>
        <w:pStyle w:val="ListParagraph"/>
        <w:numPr>
          <w:ilvl w:val="0"/>
          <w:numId w:val="3"/>
        </w:numPr>
        <w:tabs>
          <w:tab w:val="left" w:pos="1639"/>
        </w:tabs>
        <w:spacing w:before="239"/>
        <w:ind w:left="1639" w:right="360" w:hanging="720"/>
      </w:pPr>
      <w:r w:rsidRPr="00EC20A0">
        <w:t>Entities</w:t>
      </w:r>
      <w:r w:rsidRPr="00EC20A0">
        <w:rPr>
          <w:spacing w:val="-4"/>
        </w:rPr>
        <w:t xml:space="preserve"> </w:t>
      </w:r>
      <w:r w:rsidRPr="00EC20A0">
        <w:t>record</w:t>
      </w:r>
      <w:r w:rsidRPr="00EC20A0">
        <w:rPr>
          <w:spacing w:val="-4"/>
        </w:rPr>
        <w:t xml:space="preserve"> </w:t>
      </w:r>
      <w:r w:rsidRPr="00EC20A0">
        <w:t>their</w:t>
      </w:r>
      <w:r w:rsidRPr="00EC20A0">
        <w:rPr>
          <w:spacing w:val="-4"/>
        </w:rPr>
        <w:t xml:space="preserve"> </w:t>
      </w:r>
      <w:r w:rsidRPr="00EC20A0">
        <w:t>budget</w:t>
      </w:r>
      <w:r w:rsidRPr="00EC20A0">
        <w:rPr>
          <w:spacing w:val="-4"/>
        </w:rPr>
        <w:t xml:space="preserve"> </w:t>
      </w:r>
      <w:r w:rsidRPr="00EC20A0">
        <w:t>authority</w:t>
      </w:r>
      <w:r w:rsidRPr="00EC20A0">
        <w:rPr>
          <w:spacing w:val="-5"/>
        </w:rPr>
        <w:t xml:space="preserve"> </w:t>
      </w:r>
      <w:r w:rsidRPr="00EC20A0">
        <w:t>in</w:t>
      </w:r>
      <w:r w:rsidRPr="00EC20A0">
        <w:rPr>
          <w:spacing w:val="-4"/>
        </w:rPr>
        <w:t xml:space="preserve"> </w:t>
      </w:r>
      <w:r w:rsidRPr="00EC20A0">
        <w:t>FBWT</w:t>
      </w:r>
      <w:r w:rsidRPr="00EC20A0">
        <w:rPr>
          <w:spacing w:val="-4"/>
        </w:rPr>
        <w:t xml:space="preserve"> </w:t>
      </w:r>
      <w:r w:rsidRPr="00EC20A0">
        <w:t>accounts</w:t>
      </w:r>
      <w:r w:rsidRPr="00EC20A0">
        <w:rPr>
          <w:spacing w:val="-4"/>
        </w:rPr>
        <w:t xml:space="preserve"> </w:t>
      </w:r>
      <w:r w:rsidRPr="00EC20A0">
        <w:t>with</w:t>
      </w:r>
      <w:r w:rsidRPr="00EC20A0">
        <w:rPr>
          <w:spacing w:val="-5"/>
        </w:rPr>
        <w:t xml:space="preserve"> </w:t>
      </w:r>
      <w:r w:rsidRPr="00EC20A0">
        <w:t>an</w:t>
      </w:r>
      <w:r w:rsidRPr="00EC20A0">
        <w:rPr>
          <w:spacing w:val="-4"/>
        </w:rPr>
        <w:t xml:space="preserve"> </w:t>
      </w:r>
      <w:r w:rsidRPr="00EC20A0">
        <w:t>offsetting</w:t>
      </w:r>
      <w:r w:rsidRPr="00EC20A0">
        <w:rPr>
          <w:spacing w:val="-5"/>
        </w:rPr>
        <w:t xml:space="preserve"> </w:t>
      </w:r>
      <w:r w:rsidRPr="00EC20A0">
        <w:t>amount to unexpended appropriations (USSGL account series 3100). FBWT increases</w:t>
      </w:r>
      <w:r w:rsidRPr="00EC20A0">
        <w:rPr>
          <w:spacing w:val="40"/>
        </w:rPr>
        <w:t xml:space="preserve"> </w:t>
      </w:r>
      <w:r w:rsidRPr="00EC20A0">
        <w:t xml:space="preserve">as funding is obtained (for example, through appropriations, </w:t>
      </w:r>
      <w:proofErr w:type="spellStart"/>
      <w:r w:rsidRPr="00EC20A0">
        <w:t>nonexpenditure</w:t>
      </w:r>
      <w:proofErr w:type="spellEnd"/>
      <w:r w:rsidRPr="00EC20A0">
        <w:t xml:space="preserve"> transfers, amounts borrowed, or offsetting collections</w:t>
      </w:r>
      <w:hyperlink w:anchor="_bookmark173" w:history="1">
        <w:r w:rsidRPr="00EC20A0">
          <w:rPr>
            <w:position w:val="7"/>
            <w:sz w:val="14"/>
          </w:rPr>
          <w:t>19</w:t>
        </w:r>
      </w:hyperlink>
      <w:r w:rsidRPr="00EC20A0">
        <w:t>) and decreases as amounts are disbursed (for example, through cash or intragovernmental payments).</w:t>
      </w:r>
      <w:hyperlink w:anchor="_bookmark174" w:history="1">
        <w:r w:rsidRPr="00EC20A0">
          <w:rPr>
            <w:position w:val="7"/>
            <w:sz w:val="14"/>
          </w:rPr>
          <w:t>20</w:t>
        </w:r>
      </w:hyperlink>
      <w:r w:rsidRPr="00EC20A0">
        <w:rPr>
          <w:spacing w:val="37"/>
          <w:position w:val="7"/>
          <w:sz w:val="14"/>
        </w:rPr>
        <w:t xml:space="preserve"> </w:t>
      </w:r>
      <w:r w:rsidRPr="00EC20A0">
        <w:t>Most entities have multiple FBWT accounts funded by different appropriations that are included in the financial statement FBWT line item.</w:t>
      </w:r>
      <w:hyperlink w:anchor="_bookmark175" w:history="1">
        <w:r w:rsidRPr="00EC20A0">
          <w:rPr>
            <w:position w:val="7"/>
            <w:sz w:val="14"/>
          </w:rPr>
          <w:t>21</w:t>
        </w:r>
      </w:hyperlink>
      <w:r w:rsidRPr="00EC20A0">
        <w:rPr>
          <w:spacing w:val="40"/>
          <w:position w:val="7"/>
          <w:sz w:val="14"/>
        </w:rPr>
        <w:t xml:space="preserve"> </w:t>
      </w:r>
      <w:r w:rsidRPr="00EC20A0">
        <w:t>These accounts are identified by specific Treasury account symbols (TAS).</w:t>
      </w:r>
    </w:p>
    <w:p w14:paraId="24D619F1" w14:textId="77777777" w:rsidR="00245300" w:rsidRPr="00EC20A0" w:rsidRDefault="00F17249">
      <w:pPr>
        <w:spacing w:before="1"/>
        <w:ind w:left="1640" w:right="345"/>
      </w:pPr>
      <w:r w:rsidRPr="00EC20A0">
        <w:t xml:space="preserve">Treasury maintains the </w:t>
      </w:r>
      <w:r w:rsidRPr="00EC20A0">
        <w:rPr>
          <w:i/>
        </w:rPr>
        <w:t>Federal Accounting Symbols and Titles (FAST) Book</w:t>
      </w:r>
      <w:r w:rsidRPr="00EC20A0">
        <w:t>, which</w:t>
      </w:r>
      <w:r w:rsidRPr="00EC20A0">
        <w:rPr>
          <w:spacing w:val="-4"/>
        </w:rPr>
        <w:t xml:space="preserve"> </w:t>
      </w:r>
      <w:r w:rsidRPr="00EC20A0">
        <w:t>lists</w:t>
      </w:r>
      <w:r w:rsidRPr="00EC20A0">
        <w:rPr>
          <w:spacing w:val="-4"/>
        </w:rPr>
        <w:t xml:space="preserve"> </w:t>
      </w:r>
      <w:r w:rsidRPr="00EC20A0">
        <w:t>receipt,</w:t>
      </w:r>
      <w:r w:rsidRPr="00EC20A0">
        <w:rPr>
          <w:spacing w:val="-4"/>
        </w:rPr>
        <w:t xml:space="preserve"> </w:t>
      </w:r>
      <w:r w:rsidRPr="00EC20A0">
        <w:t>appropriation,</w:t>
      </w:r>
      <w:r w:rsidRPr="00EC20A0">
        <w:rPr>
          <w:spacing w:val="-4"/>
        </w:rPr>
        <w:t xml:space="preserve"> </w:t>
      </w:r>
      <w:r w:rsidRPr="00EC20A0">
        <w:t>and</w:t>
      </w:r>
      <w:r w:rsidRPr="00EC20A0">
        <w:rPr>
          <w:spacing w:val="-4"/>
        </w:rPr>
        <w:t xml:space="preserve"> </w:t>
      </w:r>
      <w:r w:rsidRPr="00EC20A0">
        <w:t>other</w:t>
      </w:r>
      <w:r w:rsidRPr="00EC20A0">
        <w:rPr>
          <w:spacing w:val="-4"/>
        </w:rPr>
        <w:t xml:space="preserve"> </w:t>
      </w:r>
      <w:r w:rsidRPr="00EC20A0">
        <w:t>fund</w:t>
      </w:r>
      <w:r w:rsidRPr="00EC20A0">
        <w:rPr>
          <w:spacing w:val="-5"/>
        </w:rPr>
        <w:t xml:space="preserve"> </w:t>
      </w:r>
      <w:r w:rsidRPr="00EC20A0">
        <w:t>account</w:t>
      </w:r>
      <w:r w:rsidRPr="00EC20A0">
        <w:rPr>
          <w:spacing w:val="-4"/>
        </w:rPr>
        <w:t xml:space="preserve"> </w:t>
      </w:r>
      <w:r w:rsidRPr="00EC20A0">
        <w:t>symbols</w:t>
      </w:r>
      <w:r w:rsidRPr="00EC20A0">
        <w:rPr>
          <w:spacing w:val="-3"/>
        </w:rPr>
        <w:t xml:space="preserve"> </w:t>
      </w:r>
      <w:r w:rsidRPr="00EC20A0">
        <w:t>and</w:t>
      </w:r>
      <w:r w:rsidRPr="00EC20A0">
        <w:rPr>
          <w:spacing w:val="-4"/>
        </w:rPr>
        <w:t xml:space="preserve"> </w:t>
      </w:r>
      <w:r w:rsidRPr="00EC20A0">
        <w:t>titles</w:t>
      </w:r>
      <w:r w:rsidRPr="00EC20A0">
        <w:rPr>
          <w:spacing w:val="-4"/>
        </w:rPr>
        <w:t xml:space="preserve"> </w:t>
      </w:r>
      <w:r w:rsidRPr="00EC20A0">
        <w:t>that Treasury assigns.</w:t>
      </w:r>
    </w:p>
    <w:p w14:paraId="24D619F2" w14:textId="77777777" w:rsidR="00245300" w:rsidRPr="00EC20A0" w:rsidRDefault="00F17249">
      <w:pPr>
        <w:pStyle w:val="ListParagraph"/>
        <w:numPr>
          <w:ilvl w:val="0"/>
          <w:numId w:val="3"/>
        </w:numPr>
        <w:tabs>
          <w:tab w:val="left" w:pos="1640"/>
        </w:tabs>
        <w:spacing w:before="239"/>
        <w:ind w:right="395"/>
      </w:pPr>
      <w:r w:rsidRPr="00EC20A0">
        <w:t>FAM 921 also provides guidance to the auditor when auditing TASs and business event type codes (BETC) associated with FBWT transactions. Determining</w:t>
      </w:r>
      <w:r w:rsidRPr="00EC20A0">
        <w:rPr>
          <w:spacing w:val="-4"/>
        </w:rPr>
        <w:t xml:space="preserve"> </w:t>
      </w:r>
      <w:r w:rsidRPr="00EC20A0">
        <w:t>the</w:t>
      </w:r>
      <w:r w:rsidRPr="00EC20A0">
        <w:rPr>
          <w:spacing w:val="-4"/>
        </w:rPr>
        <w:t xml:space="preserve"> </w:t>
      </w:r>
      <w:r w:rsidRPr="00EC20A0">
        <w:t>accuracy</w:t>
      </w:r>
      <w:r w:rsidRPr="00EC20A0">
        <w:rPr>
          <w:spacing w:val="-4"/>
        </w:rPr>
        <w:t xml:space="preserve"> </w:t>
      </w:r>
      <w:r w:rsidRPr="00EC20A0">
        <w:t>of</w:t>
      </w:r>
      <w:r w:rsidRPr="00EC20A0">
        <w:rPr>
          <w:spacing w:val="-4"/>
        </w:rPr>
        <w:t xml:space="preserve"> </w:t>
      </w:r>
      <w:r w:rsidRPr="00EC20A0">
        <w:t>TASs</w:t>
      </w:r>
      <w:r w:rsidRPr="00EC20A0">
        <w:rPr>
          <w:spacing w:val="-4"/>
        </w:rPr>
        <w:t xml:space="preserve"> </w:t>
      </w:r>
      <w:r w:rsidRPr="00EC20A0">
        <w:t>and</w:t>
      </w:r>
      <w:r w:rsidRPr="00EC20A0">
        <w:rPr>
          <w:spacing w:val="-4"/>
        </w:rPr>
        <w:t xml:space="preserve"> </w:t>
      </w:r>
      <w:r w:rsidRPr="00EC20A0">
        <w:t>BETCs</w:t>
      </w:r>
      <w:r w:rsidRPr="00EC20A0">
        <w:rPr>
          <w:spacing w:val="-4"/>
        </w:rPr>
        <w:t xml:space="preserve"> </w:t>
      </w:r>
      <w:r w:rsidRPr="00EC20A0">
        <w:t>assigned</w:t>
      </w:r>
      <w:r w:rsidRPr="00EC20A0">
        <w:rPr>
          <w:spacing w:val="-4"/>
        </w:rPr>
        <w:t xml:space="preserve"> </w:t>
      </w:r>
      <w:r w:rsidRPr="00EC20A0">
        <w:t>to</w:t>
      </w:r>
      <w:r w:rsidRPr="00EC20A0">
        <w:rPr>
          <w:spacing w:val="-4"/>
        </w:rPr>
        <w:t xml:space="preserve"> </w:t>
      </w:r>
      <w:r w:rsidRPr="00EC20A0">
        <w:t>FBWT</w:t>
      </w:r>
      <w:r w:rsidRPr="00EC20A0">
        <w:rPr>
          <w:spacing w:val="-4"/>
        </w:rPr>
        <w:t xml:space="preserve"> </w:t>
      </w:r>
      <w:r w:rsidRPr="00EC20A0">
        <w:t>transactions</w:t>
      </w:r>
      <w:r w:rsidRPr="00EC20A0">
        <w:rPr>
          <w:spacing w:val="-4"/>
        </w:rPr>
        <w:t xml:space="preserve"> </w:t>
      </w:r>
      <w:r w:rsidRPr="00EC20A0">
        <w:t>is essential to determining whether the entities’ financial statements are consistent with the U.S. government’s consolidated financial statements.</w:t>
      </w:r>
    </w:p>
    <w:p w14:paraId="24D619F3" w14:textId="77777777" w:rsidR="00245300" w:rsidRPr="00EC20A0" w:rsidRDefault="00F17249">
      <w:pPr>
        <w:pStyle w:val="ListParagraph"/>
        <w:numPr>
          <w:ilvl w:val="1"/>
          <w:numId w:val="3"/>
        </w:numPr>
        <w:tabs>
          <w:tab w:val="left" w:pos="1999"/>
        </w:tabs>
        <w:ind w:right="391"/>
      </w:pPr>
      <w:r w:rsidRPr="00EC20A0">
        <w:t>A TAS is used to represent the federal entity’s individual receipt, appropriation, outlay, and other fund account symbols as assigned by Treasury.</w:t>
      </w:r>
      <w:r w:rsidRPr="00EC20A0">
        <w:rPr>
          <w:spacing w:val="-4"/>
        </w:rPr>
        <w:t xml:space="preserve"> </w:t>
      </w:r>
      <w:r w:rsidRPr="00EC20A0">
        <w:t>It</w:t>
      </w:r>
      <w:r w:rsidRPr="00EC20A0">
        <w:rPr>
          <w:spacing w:val="-4"/>
        </w:rPr>
        <w:t xml:space="preserve"> </w:t>
      </w:r>
      <w:r w:rsidRPr="00EC20A0">
        <w:t>is</w:t>
      </w:r>
      <w:r w:rsidRPr="00EC20A0">
        <w:rPr>
          <w:spacing w:val="-4"/>
        </w:rPr>
        <w:t xml:space="preserve"> </w:t>
      </w:r>
      <w:r w:rsidRPr="00EC20A0">
        <w:t>composed</w:t>
      </w:r>
      <w:r w:rsidRPr="00EC20A0">
        <w:rPr>
          <w:spacing w:val="-5"/>
        </w:rPr>
        <w:t xml:space="preserve"> </w:t>
      </w:r>
      <w:r w:rsidRPr="00EC20A0">
        <w:t>of</w:t>
      </w:r>
      <w:r w:rsidRPr="00EC20A0">
        <w:rPr>
          <w:spacing w:val="-4"/>
        </w:rPr>
        <w:t xml:space="preserve"> </w:t>
      </w:r>
      <w:r w:rsidRPr="00EC20A0">
        <w:t>various</w:t>
      </w:r>
      <w:r w:rsidRPr="00EC20A0">
        <w:rPr>
          <w:spacing w:val="-5"/>
        </w:rPr>
        <w:t xml:space="preserve"> </w:t>
      </w:r>
      <w:r w:rsidRPr="00EC20A0">
        <w:t>components</w:t>
      </w:r>
      <w:r w:rsidRPr="00EC20A0">
        <w:rPr>
          <w:spacing w:val="-4"/>
        </w:rPr>
        <w:t xml:space="preserve"> </w:t>
      </w:r>
      <w:r w:rsidRPr="00EC20A0">
        <w:t>(e.g.,</w:t>
      </w:r>
      <w:r w:rsidRPr="00EC20A0">
        <w:rPr>
          <w:spacing w:val="-4"/>
        </w:rPr>
        <w:t xml:space="preserve"> </w:t>
      </w:r>
      <w:r w:rsidRPr="00EC20A0">
        <w:t>agency</w:t>
      </w:r>
      <w:r w:rsidRPr="00EC20A0">
        <w:rPr>
          <w:spacing w:val="-5"/>
        </w:rPr>
        <w:t xml:space="preserve"> </w:t>
      </w:r>
      <w:r w:rsidRPr="00EC20A0">
        <w:t>identifier</w:t>
      </w:r>
      <w:r w:rsidRPr="00EC20A0">
        <w:rPr>
          <w:spacing w:val="-6"/>
        </w:rPr>
        <w:t xml:space="preserve"> </w:t>
      </w:r>
      <w:r w:rsidRPr="00EC20A0">
        <w:t>code, beginning period of availability, ending period of availability, and main</w:t>
      </w:r>
    </w:p>
    <w:p w14:paraId="24D619F4" w14:textId="77777777" w:rsidR="00245300" w:rsidRPr="00EC20A0" w:rsidRDefault="00F17249">
      <w:pPr>
        <w:pStyle w:val="BodyText"/>
        <w:spacing w:before="152"/>
        <w:rPr>
          <w:sz w:val="20"/>
        </w:rPr>
      </w:pPr>
      <w:r w:rsidRPr="00EC20A0">
        <w:rPr>
          <w:noProof/>
        </w:rPr>
        <mc:AlternateContent>
          <mc:Choice Requires="wps">
            <w:drawing>
              <wp:anchor distT="0" distB="0" distL="0" distR="0" simplePos="0" relativeHeight="487712768" behindDoc="1" locked="0" layoutInCell="1" allowOverlap="1" wp14:anchorId="24D62C9D" wp14:editId="24D62C9E">
                <wp:simplePos x="0" y="0"/>
                <wp:positionH relativeFrom="page">
                  <wp:posOffset>914400</wp:posOffset>
                </wp:positionH>
                <wp:positionV relativeFrom="paragraph">
                  <wp:posOffset>258372</wp:posOffset>
                </wp:positionV>
                <wp:extent cx="1828800" cy="5715"/>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A2754" id="Graphic 844" o:spid="_x0000_s1026" style="position:absolute;margin-left:1in;margin-top:20.35pt;width:2in;height:.45pt;z-index:-1560371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" path="m1828800,l,,,5321r1828800,l1828800,xe" fillcolor="black" stroked="f">
                <v:path arrowok="t"/>
                <w10:wrap type="topAndBottom" anchorx="page"/>
              </v:shape>
            </w:pict>
          </mc:Fallback>
        </mc:AlternateContent>
      </w:r>
    </w:p>
    <w:p w14:paraId="24D619F5" w14:textId="77777777" w:rsidR="00245300" w:rsidRPr="00EC20A0" w:rsidRDefault="00F17249">
      <w:pPr>
        <w:spacing w:before="200" w:line="242" w:lineRule="auto"/>
        <w:ind w:left="199" w:right="371"/>
        <w:rPr>
          <w:sz w:val="18"/>
        </w:rPr>
      </w:pPr>
      <w:bookmarkStart w:id="307" w:name="_bookmark173"/>
      <w:bookmarkEnd w:id="307"/>
      <w:r w:rsidRPr="00EC20A0">
        <w:rPr>
          <w:position w:val="7"/>
          <w:sz w:val="14"/>
        </w:rPr>
        <w:t>19</w:t>
      </w:r>
      <w:r w:rsidRPr="00EC20A0">
        <w:rPr>
          <w:sz w:val="18"/>
        </w:rPr>
        <w:t xml:space="preserve">Offsetting collections are those authorized by law to be </w:t>
      </w:r>
      <w:r w:rsidRPr="00EC20A0">
        <w:rPr>
          <w:sz w:val="18"/>
        </w:rPr>
        <w:t>credited to appropriation or expenditure accounts. Governmental receipts,</w:t>
      </w:r>
      <w:r w:rsidRPr="00EC20A0">
        <w:rPr>
          <w:spacing w:val="-1"/>
          <w:sz w:val="18"/>
        </w:rPr>
        <w:t xml:space="preserve"> </w:t>
      </w:r>
      <w:r w:rsidRPr="00EC20A0">
        <w:rPr>
          <w:sz w:val="18"/>
        </w:rPr>
        <w:t>such</w:t>
      </w:r>
      <w:r w:rsidRPr="00EC20A0">
        <w:rPr>
          <w:spacing w:val="-2"/>
          <w:sz w:val="18"/>
        </w:rPr>
        <w:t xml:space="preserve"> </w:t>
      </w:r>
      <w:r w:rsidRPr="00EC20A0">
        <w:rPr>
          <w:sz w:val="18"/>
        </w:rPr>
        <w:t>as</w:t>
      </w:r>
      <w:r w:rsidRPr="00EC20A0">
        <w:rPr>
          <w:spacing w:val="-1"/>
          <w:sz w:val="18"/>
        </w:rPr>
        <w:t xml:space="preserve"> </w:t>
      </w:r>
      <w:r w:rsidRPr="00EC20A0">
        <w:rPr>
          <w:sz w:val="18"/>
        </w:rPr>
        <w:t>income</w:t>
      </w:r>
      <w:r w:rsidRPr="00EC20A0">
        <w:rPr>
          <w:spacing w:val="-2"/>
          <w:sz w:val="18"/>
        </w:rPr>
        <w:t xml:space="preserve"> </w:t>
      </w:r>
      <w:r w:rsidRPr="00EC20A0">
        <w:rPr>
          <w:sz w:val="18"/>
        </w:rPr>
        <w:t>tax</w:t>
      </w:r>
      <w:r w:rsidRPr="00EC20A0">
        <w:rPr>
          <w:spacing w:val="-1"/>
          <w:sz w:val="18"/>
        </w:rPr>
        <w:t xml:space="preserve"> </w:t>
      </w:r>
      <w:r w:rsidRPr="00EC20A0">
        <w:rPr>
          <w:sz w:val="18"/>
        </w:rPr>
        <w:t>collections,</w:t>
      </w:r>
      <w:r w:rsidRPr="00EC20A0">
        <w:rPr>
          <w:spacing w:val="-1"/>
          <w:sz w:val="18"/>
        </w:rPr>
        <w:t xml:space="preserve"> </w:t>
      </w:r>
      <w:r w:rsidRPr="00EC20A0">
        <w:rPr>
          <w:sz w:val="18"/>
        </w:rPr>
        <w:t>are generally</w:t>
      </w:r>
      <w:r w:rsidRPr="00EC20A0">
        <w:rPr>
          <w:spacing w:val="-1"/>
          <w:sz w:val="18"/>
        </w:rPr>
        <w:t xml:space="preserve"> </w:t>
      </w:r>
      <w:r w:rsidRPr="00EC20A0">
        <w:rPr>
          <w:sz w:val="18"/>
        </w:rPr>
        <w:t>not</w:t>
      </w:r>
      <w:r w:rsidRPr="00EC20A0">
        <w:rPr>
          <w:spacing w:val="-1"/>
          <w:sz w:val="18"/>
        </w:rPr>
        <w:t xml:space="preserve"> </w:t>
      </w:r>
      <w:r w:rsidRPr="00EC20A0">
        <w:rPr>
          <w:sz w:val="18"/>
        </w:rPr>
        <w:t>available</w:t>
      </w:r>
      <w:r w:rsidRPr="00EC20A0">
        <w:rPr>
          <w:spacing w:val="-2"/>
          <w:sz w:val="18"/>
        </w:rPr>
        <w:t xml:space="preserve"> </w:t>
      </w:r>
      <w:r w:rsidRPr="00EC20A0">
        <w:rPr>
          <w:sz w:val="18"/>
        </w:rPr>
        <w:t>for</w:t>
      </w:r>
      <w:r w:rsidRPr="00EC20A0">
        <w:rPr>
          <w:spacing w:val="-1"/>
          <w:sz w:val="18"/>
        </w:rPr>
        <w:t xml:space="preserve"> </w:t>
      </w:r>
      <w:r w:rsidRPr="00EC20A0">
        <w:rPr>
          <w:sz w:val="18"/>
        </w:rPr>
        <w:t>expenditure by</w:t>
      </w:r>
      <w:r w:rsidRPr="00EC20A0">
        <w:rPr>
          <w:spacing w:val="-1"/>
          <w:sz w:val="18"/>
        </w:rPr>
        <w:t xml:space="preserve"> </w:t>
      </w:r>
      <w:r w:rsidRPr="00EC20A0">
        <w:rPr>
          <w:sz w:val="18"/>
        </w:rPr>
        <w:t>federal</w:t>
      </w:r>
      <w:r w:rsidRPr="00EC20A0">
        <w:rPr>
          <w:spacing w:val="-1"/>
          <w:sz w:val="18"/>
        </w:rPr>
        <w:t xml:space="preserve"> </w:t>
      </w:r>
      <w:r w:rsidRPr="00EC20A0">
        <w:rPr>
          <w:sz w:val="18"/>
        </w:rPr>
        <w:t>entities; spending authority must be granted through appropriations acts or other statutes. All receipts that are not earmarked by law for specific purposes are recorded in receipt accounts of the General Fund of the U.S. Government (General Fund).</w:t>
      </w:r>
      <w:r w:rsidRPr="00EC20A0">
        <w:rPr>
          <w:spacing w:val="-3"/>
          <w:sz w:val="18"/>
        </w:rPr>
        <w:t xml:space="preserve"> </w:t>
      </w:r>
      <w:r w:rsidRPr="00EC20A0">
        <w:rPr>
          <w:sz w:val="18"/>
        </w:rPr>
        <w:t>The</w:t>
      </w:r>
      <w:r w:rsidRPr="00EC20A0">
        <w:rPr>
          <w:spacing w:val="-4"/>
          <w:sz w:val="18"/>
        </w:rPr>
        <w:t xml:space="preserve"> </w:t>
      </w:r>
      <w:r w:rsidRPr="00EC20A0">
        <w:rPr>
          <w:sz w:val="18"/>
        </w:rPr>
        <w:t>General</w:t>
      </w:r>
      <w:r w:rsidRPr="00EC20A0">
        <w:rPr>
          <w:spacing w:val="-3"/>
          <w:sz w:val="18"/>
        </w:rPr>
        <w:t xml:space="preserve"> </w:t>
      </w:r>
      <w:r w:rsidRPr="00EC20A0">
        <w:rPr>
          <w:sz w:val="18"/>
        </w:rPr>
        <w:t>Fund</w:t>
      </w:r>
      <w:r w:rsidRPr="00EC20A0">
        <w:rPr>
          <w:spacing w:val="-4"/>
          <w:sz w:val="18"/>
        </w:rPr>
        <w:t xml:space="preserve"> </w:t>
      </w:r>
      <w:r w:rsidRPr="00EC20A0">
        <w:rPr>
          <w:sz w:val="18"/>
        </w:rPr>
        <w:t>is</w:t>
      </w:r>
      <w:r w:rsidRPr="00EC20A0">
        <w:rPr>
          <w:spacing w:val="-3"/>
          <w:sz w:val="18"/>
        </w:rPr>
        <w:t xml:space="preserve"> </w:t>
      </w:r>
      <w:r w:rsidRPr="00EC20A0">
        <w:rPr>
          <w:sz w:val="18"/>
        </w:rPr>
        <w:t>a</w:t>
      </w:r>
      <w:r w:rsidRPr="00EC20A0">
        <w:rPr>
          <w:spacing w:val="-2"/>
          <w:sz w:val="18"/>
        </w:rPr>
        <w:t xml:space="preserve"> </w:t>
      </w:r>
      <w:r w:rsidRPr="00EC20A0">
        <w:rPr>
          <w:sz w:val="18"/>
        </w:rPr>
        <w:t>component</w:t>
      </w:r>
      <w:r w:rsidRPr="00EC20A0">
        <w:rPr>
          <w:spacing w:val="-3"/>
          <w:sz w:val="18"/>
        </w:rPr>
        <w:t xml:space="preserve"> </w:t>
      </w:r>
      <w:r w:rsidRPr="00EC20A0">
        <w:rPr>
          <w:sz w:val="18"/>
        </w:rPr>
        <w:t>of</w:t>
      </w:r>
      <w:r w:rsidRPr="00EC20A0">
        <w:rPr>
          <w:spacing w:val="-3"/>
          <w:sz w:val="18"/>
        </w:rPr>
        <w:t xml:space="preserve"> </w:t>
      </w:r>
      <w:r w:rsidRPr="00EC20A0">
        <w:rPr>
          <w:sz w:val="18"/>
        </w:rPr>
        <w:t>Treasury’s</w:t>
      </w:r>
      <w:r w:rsidRPr="00EC20A0">
        <w:rPr>
          <w:spacing w:val="-3"/>
          <w:sz w:val="18"/>
        </w:rPr>
        <w:t xml:space="preserve"> </w:t>
      </w:r>
      <w:r w:rsidRPr="00EC20A0">
        <w:rPr>
          <w:sz w:val="18"/>
        </w:rPr>
        <w:t>central</w:t>
      </w:r>
      <w:r w:rsidRPr="00EC20A0">
        <w:rPr>
          <w:spacing w:val="-3"/>
          <w:sz w:val="18"/>
        </w:rPr>
        <w:t xml:space="preserve"> </w:t>
      </w:r>
      <w:r w:rsidRPr="00EC20A0">
        <w:rPr>
          <w:sz w:val="18"/>
        </w:rPr>
        <w:t>accounting</w:t>
      </w:r>
      <w:r w:rsidRPr="00EC20A0">
        <w:rPr>
          <w:spacing w:val="-4"/>
          <w:sz w:val="18"/>
        </w:rPr>
        <w:t xml:space="preserve"> </w:t>
      </w:r>
      <w:r w:rsidRPr="00EC20A0">
        <w:rPr>
          <w:sz w:val="18"/>
        </w:rPr>
        <w:t>function.</w:t>
      </w:r>
      <w:r w:rsidRPr="00EC20A0">
        <w:rPr>
          <w:spacing w:val="-3"/>
          <w:sz w:val="18"/>
        </w:rPr>
        <w:t xml:space="preserve"> </w:t>
      </w:r>
      <w:r w:rsidRPr="00EC20A0">
        <w:rPr>
          <w:sz w:val="18"/>
        </w:rPr>
        <w:t>It</w:t>
      </w:r>
      <w:r w:rsidRPr="00EC20A0">
        <w:rPr>
          <w:spacing w:val="-3"/>
          <w:sz w:val="18"/>
        </w:rPr>
        <w:t xml:space="preserve"> </w:t>
      </w:r>
      <w:r w:rsidRPr="00EC20A0">
        <w:rPr>
          <w:sz w:val="18"/>
        </w:rPr>
        <w:t>is</w:t>
      </w:r>
      <w:r w:rsidRPr="00EC20A0">
        <w:rPr>
          <w:spacing w:val="-3"/>
          <w:sz w:val="18"/>
        </w:rPr>
        <w:t xml:space="preserve"> </w:t>
      </w:r>
      <w:r w:rsidRPr="00EC20A0">
        <w:rPr>
          <w:sz w:val="18"/>
        </w:rPr>
        <w:t>a</w:t>
      </w:r>
      <w:r w:rsidRPr="00EC20A0">
        <w:rPr>
          <w:spacing w:val="-4"/>
          <w:sz w:val="18"/>
        </w:rPr>
        <w:t xml:space="preserve"> </w:t>
      </w:r>
      <w:r w:rsidRPr="00EC20A0">
        <w:rPr>
          <w:sz w:val="18"/>
        </w:rPr>
        <w:t>stand-alone</w:t>
      </w:r>
      <w:r w:rsidRPr="00EC20A0">
        <w:rPr>
          <w:spacing w:val="-4"/>
          <w:sz w:val="18"/>
        </w:rPr>
        <w:t xml:space="preserve"> </w:t>
      </w:r>
      <w:r w:rsidRPr="00EC20A0">
        <w:rPr>
          <w:sz w:val="18"/>
        </w:rPr>
        <w:t>reporti</w:t>
      </w:r>
      <w:r w:rsidRPr="00EC20A0">
        <w:rPr>
          <w:sz w:val="18"/>
        </w:rPr>
        <w:t>ng</w:t>
      </w:r>
      <w:r w:rsidRPr="00EC20A0">
        <w:rPr>
          <w:spacing w:val="-4"/>
          <w:sz w:val="18"/>
        </w:rPr>
        <w:t xml:space="preserve"> </w:t>
      </w:r>
      <w:r w:rsidRPr="00EC20A0">
        <w:rPr>
          <w:sz w:val="18"/>
        </w:rPr>
        <w:t>entity that comprises the activities fundamental to funding the federal government (e.g., issued budget authority cash activity and debt financing activities). Entities record General Fund receipts as FBWT and a custodial liability with the General Fund throughout the fiscal year. At fiscal year-end, entities transfer these receipts to the General Fund,</w:t>
      </w:r>
      <w:r w:rsidRPr="00EC20A0">
        <w:rPr>
          <w:spacing w:val="40"/>
          <w:sz w:val="18"/>
        </w:rPr>
        <w:t xml:space="preserve"> </w:t>
      </w:r>
      <w:r w:rsidRPr="00EC20A0">
        <w:rPr>
          <w:sz w:val="18"/>
        </w:rPr>
        <w:t>which decreases FBWT.</w:t>
      </w:r>
    </w:p>
    <w:p w14:paraId="24D619F6" w14:textId="77777777" w:rsidR="00245300" w:rsidRPr="00EC20A0" w:rsidRDefault="00F17249">
      <w:pPr>
        <w:spacing w:before="116" w:line="244" w:lineRule="auto"/>
        <w:ind w:left="199" w:right="345"/>
        <w:rPr>
          <w:sz w:val="18"/>
        </w:rPr>
      </w:pPr>
      <w:bookmarkStart w:id="308" w:name="_bookmark174"/>
      <w:bookmarkEnd w:id="308"/>
      <w:r w:rsidRPr="00EC20A0">
        <w:rPr>
          <w:position w:val="7"/>
          <w:sz w:val="14"/>
        </w:rPr>
        <w:t>20</w:t>
      </w:r>
      <w:r w:rsidRPr="00EC20A0">
        <w:rPr>
          <w:sz w:val="18"/>
        </w:rPr>
        <w:t>An entity’s FBWT is reduced by (1) disbursements made to pay liabilities or to purchase assets, goods, and services; (2) investments in U.S. securities (securities issued by Treasury or other federal government entities); (3) cancellation</w:t>
      </w:r>
      <w:r w:rsidRPr="00EC20A0">
        <w:rPr>
          <w:spacing w:val="-4"/>
          <w:sz w:val="18"/>
        </w:rPr>
        <w:t xml:space="preserve"> </w:t>
      </w:r>
      <w:r w:rsidRPr="00EC20A0">
        <w:rPr>
          <w:sz w:val="18"/>
        </w:rPr>
        <w:t>of</w:t>
      </w:r>
      <w:r w:rsidRPr="00EC20A0">
        <w:rPr>
          <w:spacing w:val="-2"/>
          <w:sz w:val="18"/>
        </w:rPr>
        <w:t xml:space="preserve"> </w:t>
      </w:r>
      <w:r w:rsidRPr="00EC20A0">
        <w:rPr>
          <w:sz w:val="18"/>
        </w:rPr>
        <w:t>expired</w:t>
      </w:r>
      <w:r w:rsidRPr="00EC20A0">
        <w:rPr>
          <w:spacing w:val="-4"/>
          <w:sz w:val="18"/>
        </w:rPr>
        <w:t xml:space="preserve"> </w:t>
      </w:r>
      <w:r w:rsidRPr="00EC20A0">
        <w:rPr>
          <w:sz w:val="18"/>
        </w:rPr>
        <w:t>appropriations;</w:t>
      </w:r>
      <w:r w:rsidRPr="00EC20A0">
        <w:rPr>
          <w:spacing w:val="-3"/>
          <w:sz w:val="18"/>
        </w:rPr>
        <w:t xml:space="preserve"> </w:t>
      </w:r>
      <w:r w:rsidRPr="00EC20A0">
        <w:rPr>
          <w:sz w:val="18"/>
        </w:rPr>
        <w:t>(4)</w:t>
      </w:r>
      <w:r w:rsidRPr="00EC20A0">
        <w:rPr>
          <w:spacing w:val="-3"/>
          <w:sz w:val="18"/>
        </w:rPr>
        <w:t xml:space="preserve"> </w:t>
      </w:r>
      <w:r w:rsidRPr="00EC20A0">
        <w:rPr>
          <w:sz w:val="18"/>
        </w:rPr>
        <w:t>transfers</w:t>
      </w:r>
      <w:r w:rsidRPr="00EC20A0">
        <w:rPr>
          <w:spacing w:val="-3"/>
          <w:sz w:val="18"/>
        </w:rPr>
        <w:t xml:space="preserve"> </w:t>
      </w:r>
      <w:r w:rsidRPr="00EC20A0">
        <w:rPr>
          <w:sz w:val="18"/>
        </w:rPr>
        <w:t>and</w:t>
      </w:r>
      <w:r w:rsidRPr="00EC20A0">
        <w:rPr>
          <w:spacing w:val="-4"/>
          <w:sz w:val="18"/>
        </w:rPr>
        <w:t xml:space="preserve"> </w:t>
      </w:r>
      <w:r w:rsidRPr="00EC20A0">
        <w:rPr>
          <w:sz w:val="18"/>
        </w:rPr>
        <w:t>reimbursements</w:t>
      </w:r>
      <w:r w:rsidRPr="00EC20A0">
        <w:rPr>
          <w:spacing w:val="-3"/>
          <w:sz w:val="18"/>
        </w:rPr>
        <w:t xml:space="preserve"> </w:t>
      </w:r>
      <w:r w:rsidRPr="00EC20A0">
        <w:rPr>
          <w:sz w:val="18"/>
        </w:rPr>
        <w:t>to</w:t>
      </w:r>
      <w:r w:rsidRPr="00EC20A0">
        <w:rPr>
          <w:spacing w:val="-4"/>
          <w:sz w:val="18"/>
        </w:rPr>
        <w:t xml:space="preserve"> </w:t>
      </w:r>
      <w:r w:rsidRPr="00EC20A0">
        <w:rPr>
          <w:sz w:val="18"/>
        </w:rPr>
        <w:t>other</w:t>
      </w:r>
      <w:r w:rsidRPr="00EC20A0">
        <w:rPr>
          <w:spacing w:val="-3"/>
          <w:sz w:val="18"/>
        </w:rPr>
        <w:t xml:space="preserve"> </w:t>
      </w:r>
      <w:r w:rsidRPr="00EC20A0">
        <w:rPr>
          <w:sz w:val="18"/>
        </w:rPr>
        <w:t>entities</w:t>
      </w:r>
      <w:r w:rsidRPr="00EC20A0">
        <w:rPr>
          <w:spacing w:val="-2"/>
          <w:sz w:val="18"/>
        </w:rPr>
        <w:t xml:space="preserve"> </w:t>
      </w:r>
      <w:r w:rsidRPr="00EC20A0">
        <w:rPr>
          <w:sz w:val="18"/>
        </w:rPr>
        <w:t>or</w:t>
      </w:r>
      <w:r w:rsidRPr="00EC20A0">
        <w:rPr>
          <w:spacing w:val="-3"/>
          <w:sz w:val="18"/>
        </w:rPr>
        <w:t xml:space="preserve"> </w:t>
      </w:r>
      <w:r w:rsidRPr="00EC20A0">
        <w:rPr>
          <w:sz w:val="18"/>
        </w:rPr>
        <w:t>to</w:t>
      </w:r>
      <w:r w:rsidRPr="00EC20A0">
        <w:rPr>
          <w:spacing w:val="-4"/>
          <w:sz w:val="18"/>
        </w:rPr>
        <w:t xml:space="preserve"> </w:t>
      </w:r>
      <w:r w:rsidRPr="00EC20A0">
        <w:rPr>
          <w:sz w:val="18"/>
        </w:rPr>
        <w:t>the</w:t>
      </w:r>
      <w:r w:rsidRPr="00EC20A0">
        <w:rPr>
          <w:spacing w:val="-3"/>
          <w:sz w:val="18"/>
        </w:rPr>
        <w:t xml:space="preserve"> </w:t>
      </w:r>
      <w:r w:rsidRPr="00EC20A0">
        <w:rPr>
          <w:sz w:val="18"/>
        </w:rPr>
        <w:t>General</w:t>
      </w:r>
      <w:r w:rsidRPr="00EC20A0">
        <w:rPr>
          <w:spacing w:val="-3"/>
          <w:sz w:val="18"/>
        </w:rPr>
        <w:t xml:space="preserve"> </w:t>
      </w:r>
      <w:r w:rsidRPr="00EC20A0">
        <w:rPr>
          <w:sz w:val="18"/>
        </w:rPr>
        <w:t>Fund;</w:t>
      </w:r>
      <w:r w:rsidRPr="00EC20A0">
        <w:rPr>
          <w:spacing w:val="-2"/>
          <w:sz w:val="18"/>
        </w:rPr>
        <w:t xml:space="preserve"> </w:t>
      </w:r>
      <w:r w:rsidRPr="00EC20A0">
        <w:rPr>
          <w:sz w:val="18"/>
        </w:rPr>
        <w:t>and</w:t>
      </w:r>
    </w:p>
    <w:p w14:paraId="24D619F7" w14:textId="77777777" w:rsidR="00245300" w:rsidRPr="00EC20A0" w:rsidRDefault="00F17249">
      <w:pPr>
        <w:spacing w:line="204" w:lineRule="exact"/>
        <w:ind w:left="199"/>
        <w:rPr>
          <w:sz w:val="18"/>
        </w:rPr>
      </w:pPr>
      <w:r w:rsidRPr="00EC20A0">
        <w:rPr>
          <w:sz w:val="18"/>
        </w:rPr>
        <w:t>(5)</w:t>
      </w:r>
      <w:r w:rsidRPr="00EC20A0">
        <w:rPr>
          <w:spacing w:val="-3"/>
          <w:sz w:val="18"/>
        </w:rPr>
        <w:t xml:space="preserve"> </w:t>
      </w:r>
      <w:r w:rsidRPr="00EC20A0">
        <w:rPr>
          <w:sz w:val="18"/>
        </w:rPr>
        <w:t>sequestration</w:t>
      </w:r>
      <w:r w:rsidRPr="00EC20A0">
        <w:rPr>
          <w:spacing w:val="-3"/>
          <w:sz w:val="18"/>
        </w:rPr>
        <w:t xml:space="preserve"> </w:t>
      </w:r>
      <w:r w:rsidRPr="00EC20A0">
        <w:rPr>
          <w:sz w:val="18"/>
        </w:rPr>
        <w:t>or</w:t>
      </w:r>
      <w:r w:rsidRPr="00EC20A0">
        <w:rPr>
          <w:spacing w:val="-2"/>
          <w:sz w:val="18"/>
        </w:rPr>
        <w:t xml:space="preserve"> </w:t>
      </w:r>
      <w:r w:rsidRPr="00EC20A0">
        <w:rPr>
          <w:sz w:val="18"/>
        </w:rPr>
        <w:t>rescission</w:t>
      </w:r>
      <w:r w:rsidRPr="00EC20A0">
        <w:rPr>
          <w:spacing w:val="-3"/>
          <w:sz w:val="18"/>
        </w:rPr>
        <w:t xml:space="preserve"> </w:t>
      </w:r>
      <w:r w:rsidRPr="00EC20A0">
        <w:rPr>
          <w:sz w:val="18"/>
        </w:rPr>
        <w:t>of</w:t>
      </w:r>
      <w:r w:rsidRPr="00EC20A0">
        <w:rPr>
          <w:spacing w:val="-2"/>
          <w:sz w:val="18"/>
        </w:rPr>
        <w:t xml:space="preserve"> appropriations.</w:t>
      </w:r>
    </w:p>
    <w:p w14:paraId="24D619F8" w14:textId="77777777" w:rsidR="00245300" w:rsidRPr="00EC20A0" w:rsidRDefault="00F17249">
      <w:pPr>
        <w:spacing w:before="124"/>
        <w:ind w:left="200"/>
        <w:rPr>
          <w:sz w:val="18"/>
        </w:rPr>
      </w:pPr>
      <w:bookmarkStart w:id="309" w:name="_bookmark175"/>
      <w:bookmarkEnd w:id="309"/>
      <w:r w:rsidRPr="00EC20A0">
        <w:rPr>
          <w:position w:val="7"/>
          <w:sz w:val="14"/>
        </w:rPr>
        <w:t>21</w:t>
      </w:r>
      <w:r w:rsidRPr="00EC20A0">
        <w:rPr>
          <w:sz w:val="18"/>
        </w:rPr>
        <w:t>Appropriations</w:t>
      </w:r>
      <w:r w:rsidRPr="00EC20A0">
        <w:rPr>
          <w:spacing w:val="-5"/>
          <w:sz w:val="18"/>
        </w:rPr>
        <w:t xml:space="preserve"> </w:t>
      </w:r>
      <w:r w:rsidRPr="00EC20A0">
        <w:rPr>
          <w:sz w:val="18"/>
        </w:rPr>
        <w:t>may</w:t>
      </w:r>
      <w:r w:rsidRPr="00EC20A0">
        <w:rPr>
          <w:spacing w:val="-3"/>
          <w:sz w:val="18"/>
        </w:rPr>
        <w:t xml:space="preserve"> </w:t>
      </w:r>
      <w:r w:rsidRPr="00EC20A0">
        <w:rPr>
          <w:sz w:val="18"/>
        </w:rPr>
        <w:t>be</w:t>
      </w:r>
      <w:r w:rsidRPr="00EC20A0">
        <w:rPr>
          <w:spacing w:val="-4"/>
          <w:sz w:val="18"/>
        </w:rPr>
        <w:t xml:space="preserve"> </w:t>
      </w:r>
      <w:r w:rsidRPr="00EC20A0">
        <w:rPr>
          <w:sz w:val="18"/>
        </w:rPr>
        <w:t>annual,</w:t>
      </w:r>
      <w:r w:rsidRPr="00EC20A0">
        <w:rPr>
          <w:spacing w:val="-3"/>
          <w:sz w:val="18"/>
        </w:rPr>
        <w:t xml:space="preserve"> </w:t>
      </w:r>
      <w:r w:rsidRPr="00EC20A0">
        <w:rPr>
          <w:sz w:val="18"/>
        </w:rPr>
        <w:t>multiyear,</w:t>
      </w:r>
      <w:r w:rsidRPr="00EC20A0">
        <w:rPr>
          <w:spacing w:val="-3"/>
          <w:sz w:val="18"/>
        </w:rPr>
        <w:t xml:space="preserve"> </w:t>
      </w:r>
      <w:r w:rsidRPr="00EC20A0">
        <w:rPr>
          <w:sz w:val="18"/>
        </w:rPr>
        <w:t>or</w:t>
      </w:r>
      <w:r w:rsidRPr="00EC20A0">
        <w:rPr>
          <w:spacing w:val="-3"/>
          <w:sz w:val="18"/>
        </w:rPr>
        <w:t xml:space="preserve"> </w:t>
      </w:r>
      <w:r w:rsidRPr="00EC20A0">
        <w:rPr>
          <w:sz w:val="18"/>
        </w:rPr>
        <w:t>no</w:t>
      </w:r>
      <w:r w:rsidRPr="00EC20A0">
        <w:rPr>
          <w:spacing w:val="-4"/>
          <w:sz w:val="18"/>
        </w:rPr>
        <w:t xml:space="preserve"> year.</w:t>
      </w:r>
    </w:p>
    <w:p w14:paraId="24D619F9" w14:textId="77777777" w:rsidR="00245300" w:rsidRPr="00EC20A0" w:rsidRDefault="00245300">
      <w:pPr>
        <w:rPr>
          <w:sz w:val="18"/>
        </w:rPr>
        <w:sectPr w:rsidR="00245300" w:rsidRPr="00EC20A0">
          <w:headerReference w:type="default" r:id="rId159"/>
          <w:footerReference w:type="default" r:id="rId160"/>
          <w:pgSz w:w="12240" w:h="15840"/>
          <w:pgMar w:top="1340" w:right="1100" w:bottom="940" w:left="1240" w:header="721" w:footer="757" w:gutter="0"/>
          <w:pgNumType w:start="1"/>
          <w:cols w:space="720"/>
        </w:sectPr>
      </w:pPr>
    </w:p>
    <w:p w14:paraId="24D619FA" w14:textId="77777777" w:rsidR="00245300" w:rsidRPr="00EC20A0" w:rsidRDefault="00F17249">
      <w:pPr>
        <w:pStyle w:val="BodyText"/>
        <w:spacing w:before="121"/>
        <w:ind w:left="2000" w:right="345"/>
      </w:pPr>
      <w:r w:rsidRPr="00EC20A0">
        <w:t>account).</w:t>
      </w:r>
      <w:r w:rsidRPr="00EC20A0">
        <w:rPr>
          <w:spacing w:val="-2"/>
        </w:rPr>
        <w:t xml:space="preserve"> </w:t>
      </w:r>
      <w:r w:rsidRPr="00EC20A0">
        <w:t>For</w:t>
      </w:r>
      <w:r w:rsidRPr="00EC20A0">
        <w:rPr>
          <w:spacing w:val="-2"/>
        </w:rPr>
        <w:t xml:space="preserve"> </w:t>
      </w:r>
      <w:r w:rsidRPr="00EC20A0">
        <w:t>a</w:t>
      </w:r>
      <w:r w:rsidRPr="00EC20A0">
        <w:rPr>
          <w:spacing w:val="-2"/>
        </w:rPr>
        <w:t xml:space="preserve"> </w:t>
      </w:r>
      <w:r w:rsidRPr="00EC20A0">
        <w:t>list</w:t>
      </w:r>
      <w:r w:rsidRPr="00EC20A0">
        <w:rPr>
          <w:spacing w:val="-2"/>
        </w:rPr>
        <w:t xml:space="preserve"> </w:t>
      </w:r>
      <w:r w:rsidRPr="00EC20A0">
        <w:t>of</w:t>
      </w:r>
      <w:r w:rsidRPr="00EC20A0">
        <w:rPr>
          <w:spacing w:val="-2"/>
        </w:rPr>
        <w:t xml:space="preserve"> </w:t>
      </w:r>
      <w:r w:rsidRPr="00EC20A0">
        <w:t>all</w:t>
      </w:r>
      <w:r w:rsidRPr="00EC20A0">
        <w:rPr>
          <w:spacing w:val="-3"/>
        </w:rPr>
        <w:t xml:space="preserve"> </w:t>
      </w:r>
      <w:r w:rsidRPr="00EC20A0">
        <w:t>components</w:t>
      </w:r>
      <w:r w:rsidRPr="00EC20A0">
        <w:rPr>
          <w:spacing w:val="-2"/>
        </w:rPr>
        <w:t xml:space="preserve"> </w:t>
      </w:r>
      <w:r w:rsidRPr="00EC20A0">
        <w:t>and</w:t>
      </w:r>
      <w:r w:rsidRPr="00EC20A0">
        <w:rPr>
          <w:spacing w:val="-2"/>
        </w:rPr>
        <w:t xml:space="preserve"> </w:t>
      </w:r>
      <w:r w:rsidRPr="00EC20A0">
        <w:t>the</w:t>
      </w:r>
      <w:r w:rsidRPr="00EC20A0">
        <w:rPr>
          <w:spacing w:val="-2"/>
        </w:rPr>
        <w:t xml:space="preserve"> </w:t>
      </w:r>
      <w:r w:rsidRPr="00EC20A0">
        <w:t>definition</w:t>
      </w:r>
      <w:r w:rsidRPr="00EC20A0">
        <w:rPr>
          <w:spacing w:val="-2"/>
        </w:rPr>
        <w:t xml:space="preserve"> </w:t>
      </w:r>
      <w:r w:rsidRPr="00EC20A0">
        <w:t>of</w:t>
      </w:r>
      <w:r w:rsidRPr="00EC20A0">
        <w:rPr>
          <w:spacing w:val="-2"/>
        </w:rPr>
        <w:t xml:space="preserve"> </w:t>
      </w:r>
      <w:r w:rsidRPr="00EC20A0">
        <w:t>each</w:t>
      </w:r>
      <w:r w:rsidRPr="00EC20A0">
        <w:rPr>
          <w:spacing w:val="-2"/>
        </w:rPr>
        <w:t xml:space="preserve"> </w:t>
      </w:r>
      <w:r w:rsidRPr="00EC20A0">
        <w:t>component, see</w:t>
      </w:r>
      <w:r w:rsidRPr="00EC20A0">
        <w:rPr>
          <w:spacing w:val="-16"/>
        </w:rPr>
        <w:t xml:space="preserve"> </w:t>
      </w:r>
      <w:hyperlink r:id="rId161">
        <w:r w:rsidRPr="00EC20A0">
          <w:rPr>
            <w:color w:val="0000FF"/>
            <w:u w:val="single" w:color="0000FF"/>
          </w:rPr>
          <w:t>https://www.fiscal.treasury.gov/cars/faqs.html</w:t>
        </w:r>
      </w:hyperlink>
      <w:r w:rsidRPr="00EC20A0">
        <w:rPr>
          <w:color w:val="0000FF"/>
          <w:spacing w:val="-15"/>
        </w:rPr>
        <w:t xml:space="preserve"> </w:t>
      </w:r>
      <w:r w:rsidRPr="00EC20A0">
        <w:t>(accessed</w:t>
      </w:r>
      <w:r w:rsidRPr="00EC20A0">
        <w:rPr>
          <w:spacing w:val="-15"/>
        </w:rPr>
        <w:t xml:space="preserve"> </w:t>
      </w:r>
      <w:r w:rsidRPr="00EC20A0">
        <w:t>June</w:t>
      </w:r>
      <w:r w:rsidRPr="00EC20A0">
        <w:rPr>
          <w:spacing w:val="-15"/>
        </w:rPr>
        <w:t xml:space="preserve"> </w:t>
      </w:r>
      <w:r w:rsidRPr="00EC20A0">
        <w:t>3,</w:t>
      </w:r>
      <w:r w:rsidRPr="00EC20A0">
        <w:rPr>
          <w:spacing w:val="-15"/>
        </w:rPr>
        <w:t xml:space="preserve"> </w:t>
      </w:r>
      <w:r w:rsidRPr="00EC20A0">
        <w:rPr>
          <w:spacing w:val="-2"/>
        </w:rPr>
        <w:t>2024).</w:t>
      </w:r>
    </w:p>
    <w:p w14:paraId="24D619FB" w14:textId="77777777" w:rsidR="00245300" w:rsidRPr="00EC20A0" w:rsidRDefault="00F17249">
      <w:pPr>
        <w:pStyle w:val="ListParagraph"/>
        <w:numPr>
          <w:ilvl w:val="1"/>
          <w:numId w:val="3"/>
        </w:numPr>
        <w:tabs>
          <w:tab w:val="left" w:pos="1999"/>
        </w:tabs>
        <w:spacing w:before="239"/>
        <w:ind w:right="500"/>
        <w:rPr>
          <w:sz w:val="14"/>
        </w:rPr>
      </w:pPr>
      <w:r w:rsidRPr="00EC20A0">
        <w:t xml:space="preserve">A BETC is a code that indicates the type of activity being reported, such as payments, collections, and investments, and the effect that </w:t>
      </w:r>
      <w:r w:rsidRPr="00EC20A0">
        <w:t>activity has against the TAS balance. Fiscal Service periodically develops new BETCs and</w:t>
      </w:r>
      <w:r w:rsidRPr="00EC20A0">
        <w:rPr>
          <w:spacing w:val="-4"/>
        </w:rPr>
        <w:t xml:space="preserve"> </w:t>
      </w:r>
      <w:r w:rsidRPr="00EC20A0">
        <w:t>provides</w:t>
      </w:r>
      <w:r w:rsidRPr="00EC20A0">
        <w:rPr>
          <w:spacing w:val="-4"/>
        </w:rPr>
        <w:t xml:space="preserve"> </w:t>
      </w:r>
      <w:r w:rsidRPr="00EC20A0">
        <w:t>guidance</w:t>
      </w:r>
      <w:r w:rsidRPr="00EC20A0">
        <w:rPr>
          <w:spacing w:val="-5"/>
        </w:rPr>
        <w:t xml:space="preserve"> </w:t>
      </w:r>
      <w:r w:rsidRPr="00EC20A0">
        <w:t>on</w:t>
      </w:r>
      <w:r w:rsidRPr="00EC20A0">
        <w:rPr>
          <w:spacing w:val="-4"/>
        </w:rPr>
        <w:t xml:space="preserve"> </w:t>
      </w:r>
      <w:r w:rsidRPr="00EC20A0">
        <w:t>its</w:t>
      </w:r>
      <w:r w:rsidRPr="00EC20A0">
        <w:rPr>
          <w:spacing w:val="-4"/>
        </w:rPr>
        <w:t xml:space="preserve"> </w:t>
      </w:r>
      <w:r w:rsidRPr="00EC20A0">
        <w:t>website</w:t>
      </w:r>
      <w:r w:rsidRPr="00EC20A0">
        <w:rPr>
          <w:spacing w:val="-4"/>
        </w:rPr>
        <w:t xml:space="preserve"> </w:t>
      </w:r>
      <w:r w:rsidRPr="00EC20A0">
        <w:t>to</w:t>
      </w:r>
      <w:r w:rsidRPr="00EC20A0">
        <w:rPr>
          <w:spacing w:val="-4"/>
        </w:rPr>
        <w:t xml:space="preserve"> </w:t>
      </w:r>
      <w:r w:rsidRPr="00EC20A0">
        <w:t>help</w:t>
      </w:r>
      <w:r w:rsidRPr="00EC20A0">
        <w:rPr>
          <w:spacing w:val="-4"/>
        </w:rPr>
        <w:t xml:space="preserve"> </w:t>
      </w:r>
      <w:r w:rsidRPr="00EC20A0">
        <w:t>entities</w:t>
      </w:r>
      <w:r w:rsidRPr="00EC20A0">
        <w:rPr>
          <w:spacing w:val="-4"/>
        </w:rPr>
        <w:t xml:space="preserve"> </w:t>
      </w:r>
      <w:r w:rsidRPr="00EC20A0">
        <w:t>properly</w:t>
      </w:r>
      <w:r w:rsidRPr="00EC20A0">
        <w:rPr>
          <w:spacing w:val="-4"/>
        </w:rPr>
        <w:t xml:space="preserve"> </w:t>
      </w:r>
      <w:r w:rsidRPr="00EC20A0">
        <w:t>assign</w:t>
      </w:r>
      <w:r w:rsidRPr="00EC20A0">
        <w:rPr>
          <w:spacing w:val="-5"/>
        </w:rPr>
        <w:t xml:space="preserve"> </w:t>
      </w:r>
      <w:r w:rsidRPr="00EC20A0">
        <w:t>BETCs or FBWT transactions.</w:t>
      </w:r>
      <w:hyperlink w:anchor="_bookmark176" w:history="1">
        <w:r w:rsidRPr="00EC20A0">
          <w:rPr>
            <w:position w:val="7"/>
            <w:sz w:val="14"/>
          </w:rPr>
          <w:t>22</w:t>
        </w:r>
      </w:hyperlink>
    </w:p>
    <w:p w14:paraId="24D619FC" w14:textId="77777777" w:rsidR="00245300" w:rsidRPr="00EC20A0" w:rsidRDefault="00F17249">
      <w:pPr>
        <w:pStyle w:val="ListParagraph"/>
        <w:numPr>
          <w:ilvl w:val="0"/>
          <w:numId w:val="3"/>
        </w:numPr>
        <w:tabs>
          <w:tab w:val="left" w:pos="1640"/>
        </w:tabs>
        <w:ind w:right="393"/>
      </w:pPr>
      <w:r w:rsidRPr="00EC20A0">
        <w:t>Entities may also maintain specific types of FBWT accounts, such as those for collections pending litigation; amounts awaiting determination of the proper accounting disposition; or moneys that the entity is holding in the capacity of a banker or agent for others, such as nonentity, trust, or escrow accounts. Certain funds</w:t>
      </w:r>
      <w:r w:rsidRPr="00EC20A0">
        <w:rPr>
          <w:spacing w:val="-4"/>
        </w:rPr>
        <w:t xml:space="preserve"> </w:t>
      </w:r>
      <w:r w:rsidRPr="00EC20A0">
        <w:t>from</w:t>
      </w:r>
      <w:r w:rsidRPr="00EC20A0">
        <w:rPr>
          <w:spacing w:val="-5"/>
        </w:rPr>
        <w:t xml:space="preserve"> </w:t>
      </w:r>
      <w:r w:rsidRPr="00EC20A0">
        <w:t>dedicated</w:t>
      </w:r>
      <w:r w:rsidRPr="00EC20A0">
        <w:rPr>
          <w:spacing w:val="-4"/>
        </w:rPr>
        <w:t xml:space="preserve"> </w:t>
      </w:r>
      <w:r w:rsidRPr="00EC20A0">
        <w:t>collections</w:t>
      </w:r>
      <w:r w:rsidRPr="00EC20A0">
        <w:rPr>
          <w:spacing w:val="-3"/>
        </w:rPr>
        <w:t xml:space="preserve"> </w:t>
      </w:r>
      <w:r w:rsidRPr="00EC20A0">
        <w:t>may</w:t>
      </w:r>
      <w:r w:rsidRPr="00EC20A0">
        <w:rPr>
          <w:spacing w:val="-5"/>
        </w:rPr>
        <w:t xml:space="preserve"> </w:t>
      </w:r>
      <w:r w:rsidRPr="00EC20A0">
        <w:t>also</w:t>
      </w:r>
      <w:r w:rsidRPr="00EC20A0">
        <w:rPr>
          <w:spacing w:val="-4"/>
        </w:rPr>
        <w:t xml:space="preserve"> </w:t>
      </w:r>
      <w:r w:rsidRPr="00EC20A0">
        <w:t>be</w:t>
      </w:r>
      <w:r w:rsidRPr="00EC20A0">
        <w:rPr>
          <w:spacing w:val="-4"/>
        </w:rPr>
        <w:t xml:space="preserve"> </w:t>
      </w:r>
      <w:r w:rsidRPr="00EC20A0">
        <w:t>designated</w:t>
      </w:r>
      <w:r w:rsidRPr="00EC20A0">
        <w:rPr>
          <w:spacing w:val="-3"/>
        </w:rPr>
        <w:t xml:space="preserve"> </w:t>
      </w:r>
      <w:r w:rsidRPr="00EC20A0">
        <w:t>for</w:t>
      </w:r>
      <w:r w:rsidRPr="00EC20A0">
        <w:rPr>
          <w:spacing w:val="-4"/>
        </w:rPr>
        <w:t xml:space="preserve"> </w:t>
      </w:r>
      <w:r w:rsidRPr="00EC20A0">
        <w:t>specific</w:t>
      </w:r>
      <w:r w:rsidRPr="00EC20A0">
        <w:rPr>
          <w:spacing w:val="-4"/>
        </w:rPr>
        <w:t xml:space="preserve"> </w:t>
      </w:r>
      <w:r w:rsidRPr="00EC20A0">
        <w:t>purposes</w:t>
      </w:r>
      <w:r w:rsidRPr="00EC20A0">
        <w:rPr>
          <w:spacing w:val="-4"/>
        </w:rPr>
        <w:t xml:space="preserve"> </w:t>
      </w:r>
      <w:r w:rsidRPr="00EC20A0">
        <w:t>or restricted use.</w:t>
      </w:r>
    </w:p>
    <w:p w14:paraId="24D619FD" w14:textId="77777777" w:rsidR="00245300" w:rsidRPr="00EC20A0" w:rsidRDefault="00F17249">
      <w:pPr>
        <w:pStyle w:val="ListParagraph"/>
        <w:numPr>
          <w:ilvl w:val="0"/>
          <w:numId w:val="3"/>
        </w:numPr>
        <w:tabs>
          <w:tab w:val="left" w:pos="1640"/>
        </w:tabs>
        <w:ind w:right="368"/>
        <w:rPr>
          <w:sz w:val="14"/>
        </w:rPr>
      </w:pPr>
      <w:r w:rsidRPr="00EC20A0">
        <w:t>Entities may have FBWT balances in clearing accounts due to unidentified and unclassified transactions. Clearing accounts include both suspense and default accounts and are identified by specific TASs. Clearing accounts are used to temporarily record transactions prior to recording them in the proper FBWT account.</w:t>
      </w:r>
      <w:r w:rsidRPr="00EC20A0">
        <w:rPr>
          <w:spacing w:val="-3"/>
        </w:rPr>
        <w:t xml:space="preserve"> </w:t>
      </w:r>
      <w:r w:rsidRPr="00EC20A0">
        <w:t>A</w:t>
      </w:r>
      <w:r w:rsidRPr="00EC20A0">
        <w:rPr>
          <w:spacing w:val="-3"/>
        </w:rPr>
        <w:t xml:space="preserve"> </w:t>
      </w:r>
      <w:r w:rsidRPr="00EC20A0">
        <w:t>clearing</w:t>
      </w:r>
      <w:r w:rsidRPr="00EC20A0">
        <w:rPr>
          <w:spacing w:val="-3"/>
        </w:rPr>
        <w:t xml:space="preserve"> </w:t>
      </w:r>
      <w:r w:rsidRPr="00EC20A0">
        <w:t>account</w:t>
      </w:r>
      <w:r w:rsidRPr="00EC20A0">
        <w:rPr>
          <w:spacing w:val="-3"/>
        </w:rPr>
        <w:t xml:space="preserve"> </w:t>
      </w:r>
      <w:r w:rsidRPr="00EC20A0">
        <w:t>is</w:t>
      </w:r>
      <w:r w:rsidRPr="00EC20A0">
        <w:rPr>
          <w:spacing w:val="-3"/>
        </w:rPr>
        <w:t xml:space="preserve"> </w:t>
      </w:r>
      <w:r w:rsidRPr="00EC20A0">
        <w:t>used</w:t>
      </w:r>
      <w:r w:rsidRPr="00EC20A0">
        <w:rPr>
          <w:spacing w:val="-4"/>
        </w:rPr>
        <w:t xml:space="preserve"> </w:t>
      </w:r>
      <w:r w:rsidRPr="00EC20A0">
        <w:t>because</w:t>
      </w:r>
      <w:r w:rsidRPr="00EC20A0">
        <w:rPr>
          <w:spacing w:val="-3"/>
        </w:rPr>
        <w:t xml:space="preserve"> </w:t>
      </w:r>
      <w:r w:rsidRPr="00EC20A0">
        <w:t>the</w:t>
      </w:r>
      <w:r w:rsidRPr="00EC20A0">
        <w:rPr>
          <w:spacing w:val="-4"/>
        </w:rPr>
        <w:t xml:space="preserve"> </w:t>
      </w:r>
      <w:r w:rsidRPr="00EC20A0">
        <w:t>proper</w:t>
      </w:r>
      <w:r w:rsidRPr="00EC20A0">
        <w:rPr>
          <w:spacing w:val="-3"/>
        </w:rPr>
        <w:t xml:space="preserve"> </w:t>
      </w:r>
      <w:r w:rsidRPr="00EC20A0">
        <w:t>FBWT</w:t>
      </w:r>
      <w:r w:rsidRPr="00EC20A0">
        <w:rPr>
          <w:spacing w:val="-3"/>
        </w:rPr>
        <w:t xml:space="preserve"> </w:t>
      </w:r>
      <w:r w:rsidRPr="00EC20A0">
        <w:t>account</w:t>
      </w:r>
      <w:r w:rsidRPr="00EC20A0">
        <w:rPr>
          <w:spacing w:val="-4"/>
        </w:rPr>
        <w:t xml:space="preserve"> </w:t>
      </w:r>
      <w:r w:rsidRPr="00EC20A0">
        <w:t>could</w:t>
      </w:r>
      <w:r w:rsidRPr="00EC20A0">
        <w:rPr>
          <w:spacing w:val="-3"/>
        </w:rPr>
        <w:t xml:space="preserve"> </w:t>
      </w:r>
      <w:r w:rsidRPr="00EC20A0">
        <w:t xml:space="preserve">not be determined at the time the transaction was recorded. When the proper account is determined, the </w:t>
      </w:r>
      <w:r w:rsidRPr="00EC20A0">
        <w:rPr>
          <w:i/>
        </w:rPr>
        <w:t xml:space="preserve">Treasury Financial Manual </w:t>
      </w:r>
      <w:r w:rsidRPr="00EC20A0">
        <w:t>(TFM) requires that the entity</w:t>
      </w:r>
      <w:r w:rsidRPr="00EC20A0">
        <w:rPr>
          <w:spacing w:val="-3"/>
        </w:rPr>
        <w:t xml:space="preserve"> </w:t>
      </w:r>
      <w:r w:rsidRPr="00EC20A0">
        <w:t>move</w:t>
      </w:r>
      <w:r w:rsidRPr="00EC20A0">
        <w:rPr>
          <w:spacing w:val="-4"/>
        </w:rPr>
        <w:t xml:space="preserve"> </w:t>
      </w:r>
      <w:r w:rsidRPr="00EC20A0">
        <w:t>the</w:t>
      </w:r>
      <w:r w:rsidRPr="00EC20A0">
        <w:rPr>
          <w:spacing w:val="-3"/>
        </w:rPr>
        <w:t xml:space="preserve"> </w:t>
      </w:r>
      <w:r w:rsidRPr="00EC20A0">
        <w:t>amount</w:t>
      </w:r>
      <w:r w:rsidRPr="00EC20A0">
        <w:rPr>
          <w:spacing w:val="-3"/>
        </w:rPr>
        <w:t xml:space="preserve"> </w:t>
      </w:r>
      <w:r w:rsidRPr="00EC20A0">
        <w:t>from</w:t>
      </w:r>
      <w:r w:rsidRPr="00EC20A0">
        <w:rPr>
          <w:spacing w:val="-4"/>
        </w:rPr>
        <w:t xml:space="preserve"> </w:t>
      </w:r>
      <w:r w:rsidRPr="00EC20A0">
        <w:t>the</w:t>
      </w:r>
      <w:r w:rsidRPr="00EC20A0">
        <w:rPr>
          <w:spacing w:val="-3"/>
        </w:rPr>
        <w:t xml:space="preserve"> </w:t>
      </w:r>
      <w:r w:rsidRPr="00EC20A0">
        <w:t>clearing</w:t>
      </w:r>
      <w:r w:rsidRPr="00EC20A0">
        <w:rPr>
          <w:spacing w:val="-3"/>
        </w:rPr>
        <w:t xml:space="preserve"> </w:t>
      </w:r>
      <w:r w:rsidRPr="00EC20A0">
        <w:t>account</w:t>
      </w:r>
      <w:r w:rsidRPr="00EC20A0">
        <w:rPr>
          <w:spacing w:val="-4"/>
        </w:rPr>
        <w:t xml:space="preserve"> </w:t>
      </w:r>
      <w:r w:rsidRPr="00EC20A0">
        <w:t>to</w:t>
      </w:r>
      <w:r w:rsidRPr="00EC20A0">
        <w:rPr>
          <w:spacing w:val="-3"/>
        </w:rPr>
        <w:t xml:space="preserve"> </w:t>
      </w:r>
      <w:r w:rsidRPr="00EC20A0">
        <w:t>the</w:t>
      </w:r>
      <w:r w:rsidRPr="00EC20A0">
        <w:rPr>
          <w:spacing w:val="-3"/>
        </w:rPr>
        <w:t xml:space="preserve"> </w:t>
      </w:r>
      <w:r w:rsidRPr="00EC20A0">
        <w:t>proper</w:t>
      </w:r>
      <w:r w:rsidRPr="00EC20A0">
        <w:rPr>
          <w:spacing w:val="-3"/>
        </w:rPr>
        <w:t xml:space="preserve"> </w:t>
      </w:r>
      <w:r w:rsidRPr="00EC20A0">
        <w:t>account</w:t>
      </w:r>
      <w:r w:rsidRPr="00EC20A0">
        <w:rPr>
          <w:spacing w:val="-4"/>
        </w:rPr>
        <w:t xml:space="preserve"> </w:t>
      </w:r>
      <w:r w:rsidRPr="00EC20A0">
        <w:t>within</w:t>
      </w:r>
      <w:r w:rsidRPr="00EC20A0">
        <w:rPr>
          <w:spacing w:val="-3"/>
        </w:rPr>
        <w:t xml:space="preserve"> </w:t>
      </w:r>
      <w:r w:rsidRPr="00EC20A0">
        <w:t>60 business days. The TFM also requires CFOs or their designees to certify suspense account balances to Fiscal Service annually, at year-end. Also, Fiscal Service measures entities’ usage of default and suspense accounts and scores entities accordingly.</w:t>
      </w:r>
      <w:hyperlink w:anchor="_bookmark177" w:history="1">
        <w:r w:rsidRPr="00EC20A0">
          <w:rPr>
            <w:position w:val="7"/>
            <w:sz w:val="14"/>
          </w:rPr>
          <w:t>23</w:t>
        </w:r>
      </w:hyperlink>
    </w:p>
    <w:p w14:paraId="24D619FE" w14:textId="77777777" w:rsidR="00245300" w:rsidRPr="00EC20A0" w:rsidRDefault="00245300">
      <w:pPr>
        <w:pStyle w:val="BodyText"/>
        <w:spacing w:before="47"/>
      </w:pPr>
    </w:p>
    <w:p w14:paraId="24D619FF" w14:textId="77777777" w:rsidR="00245300" w:rsidRPr="00EC20A0" w:rsidRDefault="00F17249">
      <w:pPr>
        <w:pStyle w:val="Heading4"/>
        <w:spacing w:before="1"/>
        <w:ind w:left="200"/>
      </w:pPr>
      <w:bookmarkStart w:id="310" w:name="TAS_and_BETC"/>
      <w:bookmarkEnd w:id="310"/>
      <w:r w:rsidRPr="00EC20A0">
        <w:t>TAS</w:t>
      </w:r>
      <w:r w:rsidRPr="00EC20A0">
        <w:rPr>
          <w:spacing w:val="-8"/>
        </w:rPr>
        <w:t xml:space="preserve"> </w:t>
      </w:r>
      <w:r w:rsidRPr="00EC20A0">
        <w:t>and</w:t>
      </w:r>
      <w:r w:rsidRPr="00EC20A0">
        <w:rPr>
          <w:spacing w:val="-5"/>
        </w:rPr>
        <w:t xml:space="preserve"> </w:t>
      </w:r>
      <w:r w:rsidRPr="00EC20A0">
        <w:rPr>
          <w:spacing w:val="-4"/>
        </w:rPr>
        <w:t>BETC</w:t>
      </w:r>
    </w:p>
    <w:p w14:paraId="24D61A00" w14:textId="77777777" w:rsidR="00245300" w:rsidRPr="00EC20A0" w:rsidRDefault="00F17249">
      <w:pPr>
        <w:pStyle w:val="ListParagraph"/>
        <w:numPr>
          <w:ilvl w:val="0"/>
          <w:numId w:val="3"/>
        </w:numPr>
        <w:tabs>
          <w:tab w:val="left" w:pos="1640"/>
        </w:tabs>
        <w:spacing w:before="299"/>
        <w:ind w:right="395"/>
        <w:rPr>
          <w:sz w:val="14"/>
        </w:rPr>
      </w:pPr>
      <w:r w:rsidRPr="00EC20A0">
        <w:t>Determining</w:t>
      </w:r>
      <w:r w:rsidRPr="00EC20A0">
        <w:rPr>
          <w:spacing w:val="-4"/>
        </w:rPr>
        <w:t xml:space="preserve"> </w:t>
      </w:r>
      <w:r w:rsidRPr="00EC20A0">
        <w:t>the</w:t>
      </w:r>
      <w:r w:rsidRPr="00EC20A0">
        <w:rPr>
          <w:spacing w:val="-4"/>
        </w:rPr>
        <w:t xml:space="preserve"> </w:t>
      </w:r>
      <w:r w:rsidRPr="00EC20A0">
        <w:t>accuracy</w:t>
      </w:r>
      <w:r w:rsidRPr="00EC20A0">
        <w:rPr>
          <w:spacing w:val="-4"/>
        </w:rPr>
        <w:t xml:space="preserve"> </w:t>
      </w:r>
      <w:r w:rsidRPr="00EC20A0">
        <w:t>of</w:t>
      </w:r>
      <w:r w:rsidRPr="00EC20A0">
        <w:rPr>
          <w:spacing w:val="-4"/>
        </w:rPr>
        <w:t xml:space="preserve"> </w:t>
      </w:r>
      <w:r w:rsidRPr="00EC20A0">
        <w:t>TASs</w:t>
      </w:r>
      <w:r w:rsidRPr="00EC20A0">
        <w:rPr>
          <w:spacing w:val="-4"/>
        </w:rPr>
        <w:t xml:space="preserve"> </w:t>
      </w:r>
      <w:r w:rsidRPr="00EC20A0">
        <w:t>and</w:t>
      </w:r>
      <w:r w:rsidRPr="00EC20A0">
        <w:rPr>
          <w:spacing w:val="-4"/>
        </w:rPr>
        <w:t xml:space="preserve"> </w:t>
      </w:r>
      <w:r w:rsidRPr="00EC20A0">
        <w:t>BETCs</w:t>
      </w:r>
      <w:r w:rsidRPr="00EC20A0">
        <w:rPr>
          <w:spacing w:val="-4"/>
        </w:rPr>
        <w:t xml:space="preserve"> </w:t>
      </w:r>
      <w:r w:rsidRPr="00EC20A0">
        <w:t>assigned</w:t>
      </w:r>
      <w:r w:rsidRPr="00EC20A0">
        <w:rPr>
          <w:spacing w:val="-4"/>
        </w:rPr>
        <w:t xml:space="preserve"> </w:t>
      </w:r>
      <w:r w:rsidRPr="00EC20A0">
        <w:t>to</w:t>
      </w:r>
      <w:r w:rsidRPr="00EC20A0">
        <w:rPr>
          <w:spacing w:val="-4"/>
        </w:rPr>
        <w:t xml:space="preserve"> </w:t>
      </w:r>
      <w:r w:rsidRPr="00EC20A0">
        <w:t>FBWT</w:t>
      </w:r>
      <w:r w:rsidRPr="00EC20A0">
        <w:rPr>
          <w:spacing w:val="-4"/>
        </w:rPr>
        <w:t xml:space="preserve"> </w:t>
      </w:r>
      <w:r w:rsidRPr="00EC20A0">
        <w:t>transactions</w:t>
      </w:r>
      <w:r w:rsidRPr="00EC20A0">
        <w:rPr>
          <w:spacing w:val="-4"/>
        </w:rPr>
        <w:t xml:space="preserve"> </w:t>
      </w:r>
      <w:r w:rsidRPr="00EC20A0">
        <w:t xml:space="preserve">is essential to determining whether the entities’ financial statements are consistent with the U.S. </w:t>
      </w:r>
      <w:r w:rsidRPr="00EC20A0">
        <w:t>government’s consolidated financial statements, including the Statements</w:t>
      </w:r>
      <w:r w:rsidRPr="00EC20A0">
        <w:rPr>
          <w:spacing w:val="-2"/>
        </w:rPr>
        <w:t xml:space="preserve"> </w:t>
      </w:r>
      <w:r w:rsidRPr="00EC20A0">
        <w:t>of</w:t>
      </w:r>
      <w:r w:rsidRPr="00EC20A0">
        <w:rPr>
          <w:spacing w:val="-2"/>
        </w:rPr>
        <w:t xml:space="preserve"> </w:t>
      </w:r>
      <w:r w:rsidRPr="00EC20A0">
        <w:t>Changes</w:t>
      </w:r>
      <w:r w:rsidRPr="00EC20A0">
        <w:rPr>
          <w:spacing w:val="-2"/>
        </w:rPr>
        <w:t xml:space="preserve"> </w:t>
      </w:r>
      <w:r w:rsidRPr="00EC20A0">
        <w:t>in</w:t>
      </w:r>
      <w:r w:rsidRPr="00EC20A0">
        <w:rPr>
          <w:spacing w:val="-2"/>
        </w:rPr>
        <w:t xml:space="preserve"> </w:t>
      </w:r>
      <w:r w:rsidRPr="00EC20A0">
        <w:t>Cash</w:t>
      </w:r>
      <w:r w:rsidRPr="00EC20A0">
        <w:rPr>
          <w:spacing w:val="-2"/>
        </w:rPr>
        <w:t xml:space="preserve"> </w:t>
      </w:r>
      <w:r w:rsidRPr="00EC20A0">
        <w:t>Balance</w:t>
      </w:r>
      <w:r w:rsidRPr="00EC20A0">
        <w:rPr>
          <w:spacing w:val="-2"/>
        </w:rPr>
        <w:t xml:space="preserve"> </w:t>
      </w:r>
      <w:r w:rsidRPr="00EC20A0">
        <w:t>from</w:t>
      </w:r>
      <w:r w:rsidRPr="00EC20A0">
        <w:rPr>
          <w:spacing w:val="-3"/>
        </w:rPr>
        <w:t xml:space="preserve"> </w:t>
      </w:r>
      <w:r w:rsidRPr="00EC20A0">
        <w:t>Budget</w:t>
      </w:r>
      <w:r w:rsidRPr="00EC20A0">
        <w:rPr>
          <w:spacing w:val="-2"/>
        </w:rPr>
        <w:t xml:space="preserve"> </w:t>
      </w:r>
      <w:r w:rsidRPr="00EC20A0">
        <w:t>and</w:t>
      </w:r>
      <w:r w:rsidRPr="00EC20A0">
        <w:rPr>
          <w:spacing w:val="-2"/>
        </w:rPr>
        <w:t xml:space="preserve"> </w:t>
      </w:r>
      <w:r w:rsidRPr="00EC20A0">
        <w:t>Other</w:t>
      </w:r>
      <w:r w:rsidRPr="00EC20A0">
        <w:rPr>
          <w:spacing w:val="-2"/>
        </w:rPr>
        <w:t xml:space="preserve"> </w:t>
      </w:r>
      <w:r w:rsidRPr="00EC20A0">
        <w:t>Activities</w:t>
      </w:r>
      <w:r w:rsidRPr="00EC20A0">
        <w:rPr>
          <w:spacing w:val="-1"/>
        </w:rPr>
        <w:t xml:space="preserve"> </w:t>
      </w:r>
      <w:r w:rsidRPr="00EC20A0">
        <w:t>(Cash Statement) and the budget receipts and outlays included therein.</w:t>
      </w:r>
      <w:hyperlink w:anchor="_bookmark178" w:history="1">
        <w:r w:rsidRPr="00EC20A0">
          <w:rPr>
            <w:position w:val="7"/>
            <w:sz w:val="14"/>
          </w:rPr>
          <w:t>24</w:t>
        </w:r>
      </w:hyperlink>
    </w:p>
    <w:p w14:paraId="24D61A01" w14:textId="77777777" w:rsidR="00245300" w:rsidRPr="00EC20A0" w:rsidRDefault="00F17249">
      <w:pPr>
        <w:pStyle w:val="ListParagraph"/>
        <w:numPr>
          <w:ilvl w:val="0"/>
          <w:numId w:val="3"/>
        </w:numPr>
        <w:tabs>
          <w:tab w:val="left" w:pos="1640"/>
        </w:tabs>
        <w:spacing w:before="241"/>
        <w:ind w:right="410"/>
      </w:pPr>
      <w:r w:rsidRPr="00EC20A0">
        <w:t>Entities are responsible for assigning the appropriate TAS and BETC to each FBWT</w:t>
      </w:r>
      <w:r w:rsidRPr="00EC20A0">
        <w:rPr>
          <w:spacing w:val="-5"/>
        </w:rPr>
        <w:t xml:space="preserve"> </w:t>
      </w:r>
      <w:r w:rsidRPr="00EC20A0">
        <w:t>transaction</w:t>
      </w:r>
      <w:r w:rsidRPr="00EC20A0">
        <w:rPr>
          <w:spacing w:val="-5"/>
        </w:rPr>
        <w:t xml:space="preserve"> </w:t>
      </w:r>
      <w:r w:rsidRPr="00EC20A0">
        <w:t>reported</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Central</w:t>
      </w:r>
      <w:r w:rsidRPr="00EC20A0">
        <w:rPr>
          <w:spacing w:val="-5"/>
        </w:rPr>
        <w:t xml:space="preserve"> </w:t>
      </w:r>
      <w:r w:rsidRPr="00EC20A0">
        <w:t>Accounting</w:t>
      </w:r>
      <w:r w:rsidRPr="00EC20A0">
        <w:rPr>
          <w:spacing w:val="-5"/>
        </w:rPr>
        <w:t xml:space="preserve"> </w:t>
      </w:r>
      <w:r w:rsidRPr="00EC20A0">
        <w:t>Reporting</w:t>
      </w:r>
      <w:r w:rsidRPr="00EC20A0">
        <w:rPr>
          <w:spacing w:val="-5"/>
        </w:rPr>
        <w:t xml:space="preserve"> </w:t>
      </w:r>
      <w:r w:rsidRPr="00EC20A0">
        <w:t>System</w:t>
      </w:r>
      <w:r w:rsidRPr="00EC20A0">
        <w:rPr>
          <w:spacing w:val="-5"/>
        </w:rPr>
        <w:t xml:space="preserve"> </w:t>
      </w:r>
      <w:r w:rsidRPr="00EC20A0">
        <w:t>(CARS). Fiscal Service uses TASs and BETCs to produce the Cash Statement. The primary purpose of the Cash Statement is to report how the annual budget surplus or deficit relates to the change in the U.S. government’s cash balance and</w:t>
      </w:r>
      <w:r w:rsidRPr="00EC20A0">
        <w:rPr>
          <w:spacing w:val="-3"/>
        </w:rPr>
        <w:t xml:space="preserve"> </w:t>
      </w:r>
      <w:r w:rsidRPr="00EC20A0">
        <w:t>federal</w:t>
      </w:r>
      <w:r w:rsidRPr="00EC20A0">
        <w:rPr>
          <w:spacing w:val="-4"/>
        </w:rPr>
        <w:t xml:space="preserve"> </w:t>
      </w:r>
      <w:r w:rsidRPr="00EC20A0">
        <w:t>debt.</w:t>
      </w:r>
      <w:r w:rsidRPr="00EC20A0">
        <w:rPr>
          <w:spacing w:val="-3"/>
        </w:rPr>
        <w:t xml:space="preserve"> </w:t>
      </w:r>
      <w:r w:rsidRPr="00EC20A0">
        <w:t>Fiscal</w:t>
      </w:r>
      <w:r w:rsidRPr="00EC20A0">
        <w:rPr>
          <w:spacing w:val="-4"/>
        </w:rPr>
        <w:t xml:space="preserve"> </w:t>
      </w:r>
      <w:r w:rsidRPr="00EC20A0">
        <w:t>Service</w:t>
      </w:r>
      <w:r w:rsidRPr="00EC20A0">
        <w:rPr>
          <w:spacing w:val="-3"/>
        </w:rPr>
        <w:t xml:space="preserve"> </w:t>
      </w:r>
      <w:r w:rsidRPr="00EC20A0">
        <w:t>uses</w:t>
      </w:r>
      <w:r w:rsidRPr="00EC20A0">
        <w:rPr>
          <w:spacing w:val="-2"/>
        </w:rPr>
        <w:t xml:space="preserve"> </w:t>
      </w:r>
      <w:r w:rsidRPr="00EC20A0">
        <w:t>automated</w:t>
      </w:r>
      <w:r w:rsidRPr="00EC20A0">
        <w:rPr>
          <w:spacing w:val="-3"/>
        </w:rPr>
        <w:t xml:space="preserve"> </w:t>
      </w:r>
      <w:r w:rsidRPr="00EC20A0">
        <w:t>logic</w:t>
      </w:r>
      <w:r w:rsidRPr="00EC20A0">
        <w:rPr>
          <w:spacing w:val="-3"/>
        </w:rPr>
        <w:t xml:space="preserve"> </w:t>
      </w:r>
      <w:r w:rsidRPr="00EC20A0">
        <w:t>(a</w:t>
      </w:r>
      <w:r w:rsidRPr="00EC20A0">
        <w:rPr>
          <w:spacing w:val="-3"/>
        </w:rPr>
        <w:t xml:space="preserve"> </w:t>
      </w:r>
      <w:r w:rsidRPr="00EC20A0">
        <w:t>set</w:t>
      </w:r>
      <w:r w:rsidRPr="00EC20A0">
        <w:rPr>
          <w:spacing w:val="-4"/>
        </w:rPr>
        <w:t xml:space="preserve"> </w:t>
      </w:r>
      <w:r w:rsidRPr="00EC20A0">
        <w:t>of</w:t>
      </w:r>
      <w:r w:rsidRPr="00EC20A0">
        <w:rPr>
          <w:spacing w:val="-3"/>
        </w:rPr>
        <w:t xml:space="preserve"> </w:t>
      </w:r>
      <w:r w:rsidRPr="00EC20A0">
        <w:t>mapping</w:t>
      </w:r>
      <w:r w:rsidRPr="00EC20A0">
        <w:rPr>
          <w:spacing w:val="-3"/>
        </w:rPr>
        <w:t xml:space="preserve"> </w:t>
      </w:r>
      <w:r w:rsidRPr="00EC20A0">
        <w:t>rules)</w:t>
      </w:r>
      <w:r w:rsidRPr="00EC20A0">
        <w:rPr>
          <w:spacing w:val="-3"/>
        </w:rPr>
        <w:t xml:space="preserve"> </w:t>
      </w:r>
      <w:r w:rsidRPr="00EC20A0">
        <w:t>to</w:t>
      </w:r>
    </w:p>
    <w:p w14:paraId="24D61A02" w14:textId="77777777" w:rsidR="00245300" w:rsidRPr="00EC20A0" w:rsidRDefault="00F17249">
      <w:pPr>
        <w:pStyle w:val="BodyText"/>
        <w:spacing w:before="19"/>
        <w:rPr>
          <w:sz w:val="20"/>
        </w:rPr>
      </w:pPr>
      <w:r w:rsidRPr="00EC20A0">
        <w:rPr>
          <w:noProof/>
        </w:rPr>
        <mc:AlternateContent>
          <mc:Choice Requires="wps">
            <w:drawing>
              <wp:anchor distT="0" distB="0" distL="0" distR="0" simplePos="0" relativeHeight="487713280" behindDoc="1" locked="0" layoutInCell="1" allowOverlap="1" wp14:anchorId="24D62C9F" wp14:editId="24D62CA0">
                <wp:simplePos x="0" y="0"/>
                <wp:positionH relativeFrom="page">
                  <wp:posOffset>914400</wp:posOffset>
                </wp:positionH>
                <wp:positionV relativeFrom="paragraph">
                  <wp:posOffset>173381</wp:posOffset>
                </wp:positionV>
                <wp:extent cx="1828800" cy="5715"/>
                <wp:effectExtent l="0" t="0" r="0" b="0"/>
                <wp:wrapTopAndBottom/>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921D8" id="Graphic 845" o:spid="_x0000_s1026" style="position:absolute;margin-left:1in;margin-top:13.65pt;width:2in;height:.45pt;z-index:-1560320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" path="m1828800,l,,,5321r1828800,l1828800,xe" fillcolor="black" stroked="f">
                <v:path arrowok="t"/>
                <w10:wrap type="topAndBottom" anchorx="page"/>
              </v:shape>
            </w:pict>
          </mc:Fallback>
        </mc:AlternateContent>
      </w:r>
    </w:p>
    <w:p w14:paraId="24D61A03" w14:textId="77777777" w:rsidR="00245300" w:rsidRPr="00EC20A0" w:rsidRDefault="00F17249">
      <w:pPr>
        <w:spacing w:before="200" w:line="249" w:lineRule="auto"/>
        <w:ind w:left="200" w:right="959"/>
        <w:jc w:val="both"/>
        <w:rPr>
          <w:sz w:val="18"/>
        </w:rPr>
      </w:pPr>
      <w:bookmarkStart w:id="311" w:name="_bookmark176"/>
      <w:bookmarkEnd w:id="311"/>
      <w:r w:rsidRPr="00EC20A0">
        <w:rPr>
          <w:position w:val="7"/>
          <w:sz w:val="14"/>
        </w:rPr>
        <w:t>22</w:t>
      </w:r>
      <w:r w:rsidRPr="00EC20A0">
        <w:rPr>
          <w:sz w:val="18"/>
        </w:rPr>
        <w:t>Fiscal</w:t>
      </w:r>
      <w:r w:rsidRPr="00EC20A0">
        <w:rPr>
          <w:spacing w:val="-4"/>
          <w:sz w:val="18"/>
        </w:rPr>
        <w:t xml:space="preserve"> </w:t>
      </w:r>
      <w:r w:rsidRPr="00EC20A0">
        <w:rPr>
          <w:sz w:val="18"/>
        </w:rPr>
        <w:t>Service</w:t>
      </w:r>
      <w:r w:rsidRPr="00EC20A0">
        <w:rPr>
          <w:spacing w:val="-5"/>
          <w:sz w:val="18"/>
        </w:rPr>
        <w:t xml:space="preserve"> </w:t>
      </w:r>
      <w:r w:rsidRPr="00EC20A0">
        <w:rPr>
          <w:sz w:val="18"/>
        </w:rPr>
        <w:t>provides</w:t>
      </w:r>
      <w:r w:rsidRPr="00EC20A0">
        <w:rPr>
          <w:spacing w:val="-4"/>
          <w:sz w:val="18"/>
        </w:rPr>
        <w:t xml:space="preserve"> </w:t>
      </w:r>
      <w:r w:rsidRPr="00EC20A0">
        <w:rPr>
          <w:sz w:val="18"/>
        </w:rPr>
        <w:t>a</w:t>
      </w:r>
      <w:r w:rsidRPr="00EC20A0">
        <w:rPr>
          <w:spacing w:val="-5"/>
          <w:sz w:val="18"/>
        </w:rPr>
        <w:t xml:space="preserve"> </w:t>
      </w:r>
      <w:r w:rsidRPr="00EC20A0">
        <w:rPr>
          <w:sz w:val="18"/>
        </w:rPr>
        <w:t>listing</w:t>
      </w:r>
      <w:r w:rsidRPr="00EC20A0">
        <w:rPr>
          <w:spacing w:val="-5"/>
          <w:sz w:val="18"/>
        </w:rPr>
        <w:t xml:space="preserve"> </w:t>
      </w:r>
      <w:r w:rsidRPr="00EC20A0">
        <w:rPr>
          <w:sz w:val="18"/>
        </w:rPr>
        <w:t>of</w:t>
      </w:r>
      <w:r w:rsidRPr="00EC20A0">
        <w:rPr>
          <w:spacing w:val="-4"/>
          <w:sz w:val="18"/>
        </w:rPr>
        <w:t xml:space="preserve"> </w:t>
      </w:r>
      <w:r w:rsidRPr="00EC20A0">
        <w:rPr>
          <w:sz w:val="18"/>
        </w:rPr>
        <w:t>BETCs</w:t>
      </w:r>
      <w:r w:rsidRPr="00EC20A0">
        <w:rPr>
          <w:spacing w:val="-4"/>
          <w:sz w:val="18"/>
        </w:rPr>
        <w:t xml:space="preserve"> </w:t>
      </w:r>
      <w:r w:rsidRPr="00EC20A0">
        <w:rPr>
          <w:sz w:val="18"/>
        </w:rPr>
        <w:t>on</w:t>
      </w:r>
      <w:r w:rsidRPr="00EC20A0">
        <w:rPr>
          <w:spacing w:val="-5"/>
          <w:sz w:val="18"/>
        </w:rPr>
        <w:t xml:space="preserve"> </w:t>
      </w:r>
      <w:r w:rsidRPr="00EC20A0">
        <w:rPr>
          <w:sz w:val="18"/>
        </w:rPr>
        <w:t>its</w:t>
      </w:r>
      <w:r w:rsidRPr="00EC20A0">
        <w:rPr>
          <w:spacing w:val="-4"/>
          <w:sz w:val="18"/>
        </w:rPr>
        <w:t xml:space="preserve"> </w:t>
      </w:r>
      <w:r w:rsidRPr="00EC20A0">
        <w:rPr>
          <w:sz w:val="18"/>
        </w:rPr>
        <w:t>website.</w:t>
      </w:r>
      <w:r w:rsidRPr="00EC20A0">
        <w:rPr>
          <w:spacing w:val="-4"/>
          <w:sz w:val="18"/>
        </w:rPr>
        <w:t xml:space="preserve"> </w:t>
      </w:r>
      <w:r w:rsidRPr="00EC20A0">
        <w:rPr>
          <w:sz w:val="18"/>
        </w:rPr>
        <w:t>See</w:t>
      </w:r>
      <w:r w:rsidRPr="00EC20A0">
        <w:rPr>
          <w:spacing w:val="-4"/>
          <w:sz w:val="18"/>
        </w:rPr>
        <w:t xml:space="preserve"> </w:t>
      </w:r>
      <w:hyperlink r:id="rId162">
        <w:r w:rsidRPr="00EC20A0">
          <w:rPr>
            <w:color w:val="0000FF"/>
            <w:sz w:val="18"/>
            <w:u w:val="single" w:color="0000FF"/>
          </w:rPr>
          <w:t>https://www.fiscal.treasury.gov/files/cars/betc-</w:t>
        </w:r>
      </w:hyperlink>
      <w:r w:rsidRPr="00EC20A0">
        <w:rPr>
          <w:color w:val="0000FF"/>
          <w:sz w:val="18"/>
        </w:rPr>
        <w:t xml:space="preserve"> </w:t>
      </w:r>
      <w:hyperlink r:id="rId163">
        <w:r w:rsidRPr="00EC20A0">
          <w:rPr>
            <w:color w:val="0000FF"/>
            <w:sz w:val="18"/>
            <w:u w:val="single" w:color="0000FF"/>
          </w:rPr>
          <w:t>guidance.xlsx</w:t>
        </w:r>
      </w:hyperlink>
      <w:r w:rsidRPr="00EC20A0">
        <w:rPr>
          <w:color w:val="0000FF"/>
          <w:sz w:val="18"/>
        </w:rPr>
        <w:t xml:space="preserve"> </w:t>
      </w:r>
      <w:r w:rsidRPr="00EC20A0">
        <w:rPr>
          <w:sz w:val="18"/>
        </w:rPr>
        <w:t>(accessed June 4, 2024).</w:t>
      </w:r>
    </w:p>
    <w:p w14:paraId="24D61A04" w14:textId="77777777" w:rsidR="00245300" w:rsidRPr="00EC20A0" w:rsidRDefault="00F17249">
      <w:pPr>
        <w:spacing w:before="177"/>
        <w:ind w:left="200"/>
        <w:jc w:val="both"/>
        <w:rPr>
          <w:sz w:val="18"/>
        </w:rPr>
      </w:pPr>
      <w:bookmarkStart w:id="312" w:name="_bookmark177"/>
      <w:bookmarkEnd w:id="312"/>
      <w:r w:rsidRPr="00EC20A0">
        <w:rPr>
          <w:position w:val="7"/>
          <w:sz w:val="14"/>
        </w:rPr>
        <w:t>23</w:t>
      </w:r>
      <w:r w:rsidRPr="00EC20A0">
        <w:rPr>
          <w:sz w:val="18"/>
        </w:rPr>
        <w:t>See</w:t>
      </w:r>
      <w:r w:rsidRPr="00EC20A0">
        <w:rPr>
          <w:spacing w:val="-6"/>
          <w:sz w:val="18"/>
        </w:rPr>
        <w:t xml:space="preserve"> </w:t>
      </w:r>
      <w:r w:rsidRPr="00EC20A0">
        <w:rPr>
          <w:i/>
          <w:sz w:val="18"/>
        </w:rPr>
        <w:t>Treasury</w:t>
      </w:r>
      <w:r w:rsidRPr="00EC20A0">
        <w:rPr>
          <w:i/>
          <w:spacing w:val="-2"/>
          <w:sz w:val="18"/>
        </w:rPr>
        <w:t xml:space="preserve"> </w:t>
      </w:r>
      <w:r w:rsidRPr="00EC20A0">
        <w:rPr>
          <w:i/>
          <w:sz w:val="18"/>
        </w:rPr>
        <w:t>Financial</w:t>
      </w:r>
      <w:r w:rsidRPr="00EC20A0">
        <w:rPr>
          <w:i/>
          <w:spacing w:val="-3"/>
          <w:sz w:val="18"/>
        </w:rPr>
        <w:t xml:space="preserve"> </w:t>
      </w:r>
      <w:r w:rsidRPr="00EC20A0">
        <w:rPr>
          <w:i/>
          <w:sz w:val="18"/>
        </w:rPr>
        <w:t>Manual</w:t>
      </w:r>
      <w:r w:rsidRPr="00EC20A0">
        <w:rPr>
          <w:sz w:val="18"/>
        </w:rPr>
        <w:t>,</w:t>
      </w:r>
      <w:r w:rsidRPr="00EC20A0">
        <w:rPr>
          <w:spacing w:val="-3"/>
          <w:sz w:val="18"/>
        </w:rPr>
        <w:t xml:space="preserve"> </w:t>
      </w:r>
      <w:r w:rsidRPr="00EC20A0">
        <w:rPr>
          <w:sz w:val="18"/>
        </w:rPr>
        <w:t>vol.</w:t>
      </w:r>
      <w:r w:rsidRPr="00EC20A0">
        <w:rPr>
          <w:spacing w:val="-3"/>
          <w:sz w:val="18"/>
        </w:rPr>
        <w:t xml:space="preserve"> </w:t>
      </w:r>
      <w:r w:rsidRPr="00EC20A0">
        <w:rPr>
          <w:sz w:val="18"/>
        </w:rPr>
        <w:t>1,</w:t>
      </w:r>
      <w:r w:rsidRPr="00EC20A0">
        <w:rPr>
          <w:spacing w:val="-3"/>
          <w:sz w:val="18"/>
        </w:rPr>
        <w:t xml:space="preserve"> </w:t>
      </w:r>
      <w:r w:rsidRPr="00EC20A0">
        <w:rPr>
          <w:sz w:val="18"/>
        </w:rPr>
        <w:t>pt.</w:t>
      </w:r>
      <w:r w:rsidRPr="00EC20A0">
        <w:rPr>
          <w:spacing w:val="-3"/>
          <w:sz w:val="18"/>
        </w:rPr>
        <w:t xml:space="preserve"> </w:t>
      </w:r>
      <w:r w:rsidRPr="00EC20A0">
        <w:rPr>
          <w:sz w:val="18"/>
        </w:rPr>
        <w:t>2,</w:t>
      </w:r>
      <w:r w:rsidRPr="00EC20A0">
        <w:rPr>
          <w:spacing w:val="-3"/>
          <w:sz w:val="18"/>
        </w:rPr>
        <w:t xml:space="preserve"> </w:t>
      </w:r>
      <w:proofErr w:type="spellStart"/>
      <w:r w:rsidRPr="00EC20A0">
        <w:rPr>
          <w:sz w:val="18"/>
        </w:rPr>
        <w:t>ch.</w:t>
      </w:r>
      <w:proofErr w:type="spellEnd"/>
      <w:r w:rsidRPr="00EC20A0">
        <w:rPr>
          <w:spacing w:val="-3"/>
          <w:sz w:val="18"/>
        </w:rPr>
        <w:t xml:space="preserve"> </w:t>
      </w:r>
      <w:r w:rsidRPr="00EC20A0">
        <w:rPr>
          <w:sz w:val="18"/>
        </w:rPr>
        <w:t>5100,</w:t>
      </w:r>
      <w:r w:rsidRPr="00EC20A0">
        <w:rPr>
          <w:spacing w:val="-3"/>
          <w:sz w:val="18"/>
        </w:rPr>
        <w:t xml:space="preserve"> </w:t>
      </w:r>
      <w:r w:rsidRPr="00EC20A0">
        <w:rPr>
          <w:i/>
          <w:sz w:val="18"/>
        </w:rPr>
        <w:t>Section</w:t>
      </w:r>
      <w:r w:rsidRPr="00EC20A0">
        <w:rPr>
          <w:i/>
          <w:spacing w:val="-4"/>
          <w:sz w:val="18"/>
        </w:rPr>
        <w:t xml:space="preserve"> </w:t>
      </w:r>
      <w:r w:rsidRPr="00EC20A0">
        <w:rPr>
          <w:i/>
          <w:sz w:val="18"/>
        </w:rPr>
        <w:t>5135—Budget</w:t>
      </w:r>
      <w:r w:rsidRPr="00EC20A0">
        <w:rPr>
          <w:i/>
          <w:spacing w:val="-3"/>
          <w:sz w:val="18"/>
        </w:rPr>
        <w:t xml:space="preserve"> </w:t>
      </w:r>
      <w:r w:rsidRPr="00EC20A0">
        <w:rPr>
          <w:i/>
          <w:sz w:val="18"/>
        </w:rPr>
        <w:t>Clearing</w:t>
      </w:r>
      <w:r w:rsidRPr="00EC20A0">
        <w:rPr>
          <w:i/>
          <w:spacing w:val="-3"/>
          <w:sz w:val="18"/>
        </w:rPr>
        <w:t xml:space="preserve"> </w:t>
      </w:r>
      <w:r w:rsidRPr="00EC20A0">
        <w:rPr>
          <w:i/>
          <w:spacing w:val="-2"/>
          <w:sz w:val="18"/>
        </w:rPr>
        <w:t>Accounts</w:t>
      </w:r>
      <w:r w:rsidRPr="00EC20A0">
        <w:rPr>
          <w:spacing w:val="-2"/>
          <w:sz w:val="18"/>
        </w:rPr>
        <w:t>.</w:t>
      </w:r>
    </w:p>
    <w:p w14:paraId="24D61A05" w14:textId="77777777" w:rsidR="00245300" w:rsidRPr="00EC20A0" w:rsidRDefault="00F17249">
      <w:pPr>
        <w:spacing w:before="134" w:line="244" w:lineRule="auto"/>
        <w:ind w:left="199" w:right="950"/>
        <w:jc w:val="both"/>
        <w:rPr>
          <w:sz w:val="18"/>
        </w:rPr>
      </w:pPr>
      <w:bookmarkStart w:id="313" w:name="_bookmark178"/>
      <w:bookmarkEnd w:id="313"/>
      <w:r w:rsidRPr="00EC20A0">
        <w:rPr>
          <w:position w:val="7"/>
          <w:sz w:val="14"/>
        </w:rPr>
        <w:t>24</w:t>
      </w:r>
      <w:r w:rsidRPr="00EC20A0">
        <w:rPr>
          <w:sz w:val="18"/>
        </w:rPr>
        <w:t>Statement</w:t>
      </w:r>
      <w:r w:rsidRPr="00EC20A0">
        <w:rPr>
          <w:spacing w:val="-4"/>
          <w:sz w:val="18"/>
        </w:rPr>
        <w:t xml:space="preserve"> </w:t>
      </w:r>
      <w:r w:rsidRPr="00EC20A0">
        <w:rPr>
          <w:sz w:val="18"/>
        </w:rPr>
        <w:t>of</w:t>
      </w:r>
      <w:r w:rsidRPr="00EC20A0">
        <w:rPr>
          <w:spacing w:val="-4"/>
          <w:sz w:val="18"/>
        </w:rPr>
        <w:t xml:space="preserve"> </w:t>
      </w:r>
      <w:r w:rsidRPr="00EC20A0">
        <w:rPr>
          <w:sz w:val="18"/>
        </w:rPr>
        <w:t>Federal</w:t>
      </w:r>
      <w:r w:rsidRPr="00EC20A0">
        <w:rPr>
          <w:spacing w:val="-4"/>
          <w:sz w:val="18"/>
        </w:rPr>
        <w:t xml:space="preserve"> </w:t>
      </w:r>
      <w:r w:rsidRPr="00EC20A0">
        <w:rPr>
          <w:sz w:val="18"/>
        </w:rPr>
        <w:t>Financial</w:t>
      </w:r>
      <w:r w:rsidRPr="00EC20A0">
        <w:rPr>
          <w:spacing w:val="-4"/>
          <w:sz w:val="18"/>
        </w:rPr>
        <w:t xml:space="preserve"> </w:t>
      </w:r>
      <w:r w:rsidRPr="00EC20A0">
        <w:rPr>
          <w:sz w:val="18"/>
        </w:rPr>
        <w:t>Accounting</w:t>
      </w:r>
      <w:r w:rsidRPr="00EC20A0">
        <w:rPr>
          <w:spacing w:val="-4"/>
          <w:sz w:val="18"/>
        </w:rPr>
        <w:t xml:space="preserve"> </w:t>
      </w:r>
      <w:r w:rsidRPr="00EC20A0">
        <w:rPr>
          <w:sz w:val="18"/>
        </w:rPr>
        <w:t>Standards</w:t>
      </w:r>
      <w:r w:rsidRPr="00EC20A0">
        <w:rPr>
          <w:spacing w:val="-4"/>
          <w:sz w:val="18"/>
        </w:rPr>
        <w:t xml:space="preserve"> </w:t>
      </w:r>
      <w:r w:rsidRPr="00EC20A0">
        <w:rPr>
          <w:sz w:val="18"/>
        </w:rPr>
        <w:t>(SFFAS)</w:t>
      </w:r>
      <w:r w:rsidRPr="00EC20A0">
        <w:rPr>
          <w:spacing w:val="-4"/>
          <w:sz w:val="18"/>
        </w:rPr>
        <w:t xml:space="preserve"> </w:t>
      </w:r>
      <w:r w:rsidRPr="00EC20A0">
        <w:rPr>
          <w:sz w:val="18"/>
        </w:rPr>
        <w:t>24,</w:t>
      </w:r>
      <w:r w:rsidRPr="00EC20A0">
        <w:rPr>
          <w:spacing w:val="-4"/>
          <w:sz w:val="18"/>
        </w:rPr>
        <w:t xml:space="preserve"> </w:t>
      </w:r>
      <w:r w:rsidRPr="00EC20A0">
        <w:rPr>
          <w:i/>
          <w:sz w:val="18"/>
        </w:rPr>
        <w:t>Selected</w:t>
      </w:r>
      <w:r w:rsidRPr="00EC20A0">
        <w:rPr>
          <w:i/>
          <w:spacing w:val="-4"/>
          <w:sz w:val="18"/>
        </w:rPr>
        <w:t xml:space="preserve"> </w:t>
      </w:r>
      <w:r w:rsidRPr="00EC20A0">
        <w:rPr>
          <w:i/>
          <w:sz w:val="18"/>
        </w:rPr>
        <w:t>Standards</w:t>
      </w:r>
      <w:r w:rsidRPr="00EC20A0">
        <w:rPr>
          <w:i/>
          <w:spacing w:val="-4"/>
          <w:sz w:val="18"/>
        </w:rPr>
        <w:t xml:space="preserve"> </w:t>
      </w:r>
      <w:r w:rsidRPr="00EC20A0">
        <w:rPr>
          <w:i/>
          <w:sz w:val="18"/>
        </w:rPr>
        <w:t>for</w:t>
      </w:r>
      <w:r w:rsidRPr="00EC20A0">
        <w:rPr>
          <w:i/>
          <w:spacing w:val="-4"/>
          <w:sz w:val="18"/>
        </w:rPr>
        <w:t xml:space="preserve"> </w:t>
      </w:r>
      <w:r w:rsidRPr="00EC20A0">
        <w:rPr>
          <w:i/>
          <w:sz w:val="18"/>
        </w:rPr>
        <w:t>the</w:t>
      </w:r>
      <w:r w:rsidRPr="00EC20A0">
        <w:rPr>
          <w:i/>
          <w:spacing w:val="-4"/>
          <w:sz w:val="18"/>
        </w:rPr>
        <w:t xml:space="preserve"> </w:t>
      </w:r>
      <w:r w:rsidRPr="00EC20A0">
        <w:rPr>
          <w:i/>
          <w:sz w:val="18"/>
        </w:rPr>
        <w:t>Consolidated Financial</w:t>
      </w:r>
      <w:r w:rsidRPr="00EC20A0">
        <w:rPr>
          <w:i/>
          <w:spacing w:val="-1"/>
          <w:sz w:val="18"/>
        </w:rPr>
        <w:t xml:space="preserve"> </w:t>
      </w:r>
      <w:r w:rsidRPr="00EC20A0">
        <w:rPr>
          <w:i/>
          <w:sz w:val="18"/>
        </w:rPr>
        <w:t>Report</w:t>
      </w:r>
      <w:r w:rsidRPr="00EC20A0">
        <w:rPr>
          <w:i/>
          <w:spacing w:val="-1"/>
          <w:sz w:val="18"/>
        </w:rPr>
        <w:t xml:space="preserve"> </w:t>
      </w:r>
      <w:r w:rsidRPr="00EC20A0">
        <w:rPr>
          <w:i/>
          <w:sz w:val="18"/>
        </w:rPr>
        <w:t>of</w:t>
      </w:r>
      <w:r w:rsidRPr="00EC20A0">
        <w:rPr>
          <w:i/>
          <w:spacing w:val="-1"/>
          <w:sz w:val="18"/>
        </w:rPr>
        <w:t xml:space="preserve"> </w:t>
      </w:r>
      <w:r w:rsidRPr="00EC20A0">
        <w:rPr>
          <w:i/>
          <w:sz w:val="18"/>
        </w:rPr>
        <w:t>the</w:t>
      </w:r>
      <w:r w:rsidRPr="00EC20A0">
        <w:rPr>
          <w:i/>
          <w:spacing w:val="-2"/>
          <w:sz w:val="18"/>
        </w:rPr>
        <w:t xml:space="preserve"> </w:t>
      </w:r>
      <w:r w:rsidRPr="00EC20A0">
        <w:rPr>
          <w:i/>
          <w:sz w:val="18"/>
        </w:rPr>
        <w:t>United States</w:t>
      </w:r>
      <w:r w:rsidRPr="00EC20A0">
        <w:rPr>
          <w:i/>
          <w:spacing w:val="-1"/>
          <w:sz w:val="18"/>
        </w:rPr>
        <w:t xml:space="preserve"> </w:t>
      </w:r>
      <w:r w:rsidRPr="00EC20A0">
        <w:rPr>
          <w:i/>
          <w:sz w:val="18"/>
        </w:rPr>
        <w:t>Government</w:t>
      </w:r>
      <w:r w:rsidRPr="00EC20A0">
        <w:rPr>
          <w:sz w:val="18"/>
        </w:rPr>
        <w:t>,</w:t>
      </w:r>
      <w:r w:rsidRPr="00EC20A0">
        <w:rPr>
          <w:spacing w:val="-1"/>
          <w:sz w:val="18"/>
        </w:rPr>
        <w:t xml:space="preserve"> </w:t>
      </w:r>
      <w:r w:rsidRPr="00EC20A0">
        <w:rPr>
          <w:sz w:val="18"/>
        </w:rPr>
        <w:t>requires</w:t>
      </w:r>
      <w:r w:rsidRPr="00EC20A0">
        <w:rPr>
          <w:spacing w:val="-1"/>
          <w:sz w:val="18"/>
        </w:rPr>
        <w:t xml:space="preserve"> </w:t>
      </w:r>
      <w:r w:rsidRPr="00EC20A0">
        <w:rPr>
          <w:sz w:val="18"/>
        </w:rPr>
        <w:t>that</w:t>
      </w:r>
      <w:r w:rsidRPr="00EC20A0">
        <w:rPr>
          <w:spacing w:val="-1"/>
          <w:sz w:val="18"/>
        </w:rPr>
        <w:t xml:space="preserve"> </w:t>
      </w:r>
      <w:r w:rsidRPr="00EC20A0">
        <w:rPr>
          <w:sz w:val="18"/>
        </w:rPr>
        <w:t>the</w:t>
      </w:r>
      <w:r w:rsidRPr="00EC20A0">
        <w:rPr>
          <w:spacing w:val="-2"/>
          <w:sz w:val="18"/>
        </w:rPr>
        <w:t xml:space="preserve"> </w:t>
      </w:r>
      <w:r w:rsidRPr="00EC20A0">
        <w:rPr>
          <w:sz w:val="18"/>
        </w:rPr>
        <w:t>Cash Statement</w:t>
      </w:r>
      <w:r w:rsidRPr="00EC20A0">
        <w:rPr>
          <w:spacing w:val="-1"/>
          <w:sz w:val="18"/>
        </w:rPr>
        <w:t xml:space="preserve"> </w:t>
      </w:r>
      <w:r w:rsidRPr="00EC20A0">
        <w:rPr>
          <w:sz w:val="18"/>
        </w:rPr>
        <w:t>be</w:t>
      </w:r>
      <w:r w:rsidRPr="00EC20A0">
        <w:rPr>
          <w:spacing w:val="-2"/>
          <w:sz w:val="18"/>
        </w:rPr>
        <w:t xml:space="preserve"> </w:t>
      </w:r>
      <w:r w:rsidRPr="00EC20A0">
        <w:rPr>
          <w:sz w:val="18"/>
        </w:rPr>
        <w:t>presented</w:t>
      </w:r>
      <w:r w:rsidRPr="00EC20A0">
        <w:rPr>
          <w:spacing w:val="-2"/>
          <w:sz w:val="18"/>
        </w:rPr>
        <w:t xml:space="preserve"> </w:t>
      </w:r>
      <w:r w:rsidRPr="00EC20A0">
        <w:rPr>
          <w:sz w:val="18"/>
        </w:rPr>
        <w:t>in</w:t>
      </w:r>
      <w:r w:rsidRPr="00EC20A0">
        <w:rPr>
          <w:spacing w:val="-2"/>
          <w:sz w:val="18"/>
        </w:rPr>
        <w:t xml:space="preserve"> </w:t>
      </w:r>
      <w:r w:rsidRPr="00EC20A0">
        <w:rPr>
          <w:sz w:val="18"/>
        </w:rPr>
        <w:t>the U.S. government’s consolidated financial statements.</w:t>
      </w:r>
    </w:p>
    <w:p w14:paraId="24D61A06" w14:textId="77777777" w:rsidR="00245300" w:rsidRPr="00EC20A0" w:rsidRDefault="00245300">
      <w:pPr>
        <w:spacing w:line="244" w:lineRule="auto"/>
        <w:jc w:val="both"/>
        <w:rPr>
          <w:sz w:val="18"/>
        </w:rPr>
        <w:sectPr w:rsidR="00245300" w:rsidRPr="00EC20A0">
          <w:pgSz w:w="12240" w:h="15840"/>
          <w:pgMar w:top="1340" w:right="1100" w:bottom="940" w:left="1240" w:header="721" w:footer="757" w:gutter="0"/>
          <w:cols w:space="720"/>
        </w:sectPr>
      </w:pPr>
    </w:p>
    <w:p w14:paraId="24D61A07" w14:textId="77777777" w:rsidR="00245300" w:rsidRPr="00EC20A0" w:rsidRDefault="00F17249">
      <w:pPr>
        <w:pStyle w:val="BodyText"/>
        <w:spacing w:before="121"/>
        <w:ind w:left="1640" w:right="345"/>
      </w:pPr>
      <w:r w:rsidRPr="00EC20A0">
        <w:t>assign</w:t>
      </w:r>
      <w:r w:rsidRPr="00EC20A0">
        <w:rPr>
          <w:spacing w:val="-3"/>
        </w:rPr>
        <w:t xml:space="preserve"> </w:t>
      </w:r>
      <w:r w:rsidRPr="00EC20A0">
        <w:t>each</w:t>
      </w:r>
      <w:r w:rsidRPr="00EC20A0">
        <w:rPr>
          <w:spacing w:val="-4"/>
        </w:rPr>
        <w:t xml:space="preserve"> </w:t>
      </w:r>
      <w:r w:rsidRPr="00EC20A0">
        <w:t>transaction</w:t>
      </w:r>
      <w:r w:rsidRPr="00EC20A0">
        <w:rPr>
          <w:spacing w:val="-4"/>
        </w:rPr>
        <w:t xml:space="preserve"> </w:t>
      </w:r>
      <w:r w:rsidRPr="00EC20A0">
        <w:t>in</w:t>
      </w:r>
      <w:r w:rsidRPr="00EC20A0">
        <w:rPr>
          <w:spacing w:val="-3"/>
        </w:rPr>
        <w:t xml:space="preserve"> </w:t>
      </w:r>
      <w:r w:rsidRPr="00EC20A0">
        <w:t>CARS</w:t>
      </w:r>
      <w:r w:rsidRPr="00EC20A0">
        <w:rPr>
          <w:spacing w:val="-3"/>
        </w:rPr>
        <w:t xml:space="preserve"> </w:t>
      </w:r>
      <w:r w:rsidRPr="00EC20A0">
        <w:t>to</w:t>
      </w:r>
      <w:r w:rsidRPr="00EC20A0">
        <w:rPr>
          <w:spacing w:val="-2"/>
        </w:rPr>
        <w:t xml:space="preserve"> </w:t>
      </w:r>
      <w:r w:rsidRPr="00EC20A0">
        <w:t>a</w:t>
      </w:r>
      <w:r w:rsidRPr="00EC20A0">
        <w:rPr>
          <w:spacing w:val="-3"/>
        </w:rPr>
        <w:t xml:space="preserve"> </w:t>
      </w:r>
      <w:r w:rsidRPr="00EC20A0">
        <w:t>line</w:t>
      </w:r>
      <w:r w:rsidRPr="00EC20A0">
        <w:rPr>
          <w:spacing w:val="-3"/>
        </w:rPr>
        <w:t xml:space="preserve"> </w:t>
      </w:r>
      <w:r w:rsidRPr="00EC20A0">
        <w:t>item</w:t>
      </w:r>
      <w:r w:rsidRPr="00EC20A0">
        <w:rPr>
          <w:spacing w:val="-4"/>
        </w:rPr>
        <w:t xml:space="preserve"> </w:t>
      </w:r>
      <w:r w:rsidRPr="00EC20A0">
        <w:t>on</w:t>
      </w:r>
      <w:r w:rsidRPr="00EC20A0">
        <w:rPr>
          <w:spacing w:val="-3"/>
        </w:rPr>
        <w:t xml:space="preserve"> </w:t>
      </w:r>
      <w:r w:rsidRPr="00EC20A0">
        <w:t>the</w:t>
      </w:r>
      <w:r w:rsidRPr="00EC20A0">
        <w:rPr>
          <w:spacing w:val="-3"/>
        </w:rPr>
        <w:t xml:space="preserve"> </w:t>
      </w:r>
      <w:r w:rsidRPr="00EC20A0">
        <w:t>Cash</w:t>
      </w:r>
      <w:r w:rsidRPr="00EC20A0">
        <w:rPr>
          <w:spacing w:val="-3"/>
        </w:rPr>
        <w:t xml:space="preserve"> </w:t>
      </w:r>
      <w:r w:rsidRPr="00EC20A0">
        <w:t>Statement</w:t>
      </w:r>
      <w:r w:rsidRPr="00EC20A0">
        <w:rPr>
          <w:spacing w:val="-3"/>
        </w:rPr>
        <w:t xml:space="preserve"> </w:t>
      </w:r>
      <w:r w:rsidRPr="00EC20A0">
        <w:t>based</w:t>
      </w:r>
      <w:r w:rsidRPr="00EC20A0">
        <w:rPr>
          <w:spacing w:val="-3"/>
        </w:rPr>
        <w:t xml:space="preserve"> </w:t>
      </w:r>
      <w:r w:rsidRPr="00EC20A0">
        <w:t>on its TAS and BETC.</w:t>
      </w:r>
    </w:p>
    <w:p w14:paraId="24D61A08" w14:textId="77777777" w:rsidR="00245300" w:rsidRPr="00EC20A0" w:rsidRDefault="00F17249">
      <w:pPr>
        <w:pStyle w:val="ListParagraph"/>
        <w:numPr>
          <w:ilvl w:val="0"/>
          <w:numId w:val="3"/>
        </w:numPr>
        <w:tabs>
          <w:tab w:val="left" w:pos="1640"/>
        </w:tabs>
        <w:spacing w:before="239"/>
        <w:ind w:right="787"/>
      </w:pPr>
      <w:r w:rsidRPr="00EC20A0">
        <w:t>Since</w:t>
      </w:r>
      <w:r w:rsidRPr="00EC20A0">
        <w:rPr>
          <w:spacing w:val="-4"/>
        </w:rPr>
        <w:t xml:space="preserve"> </w:t>
      </w:r>
      <w:r w:rsidRPr="00EC20A0">
        <w:t>entities</w:t>
      </w:r>
      <w:r w:rsidRPr="00EC20A0">
        <w:rPr>
          <w:spacing w:val="-4"/>
        </w:rPr>
        <w:t xml:space="preserve"> </w:t>
      </w:r>
      <w:r w:rsidRPr="00EC20A0">
        <w:t>assign</w:t>
      </w:r>
      <w:r w:rsidRPr="00EC20A0">
        <w:rPr>
          <w:spacing w:val="-5"/>
        </w:rPr>
        <w:t xml:space="preserve"> </w:t>
      </w:r>
      <w:r w:rsidRPr="00EC20A0">
        <w:t>the</w:t>
      </w:r>
      <w:r w:rsidRPr="00EC20A0">
        <w:rPr>
          <w:spacing w:val="-5"/>
        </w:rPr>
        <w:t xml:space="preserve"> </w:t>
      </w:r>
      <w:r w:rsidRPr="00EC20A0">
        <w:t>TAS</w:t>
      </w:r>
      <w:r w:rsidRPr="00EC20A0">
        <w:rPr>
          <w:spacing w:val="-4"/>
        </w:rPr>
        <w:t xml:space="preserve"> </w:t>
      </w:r>
      <w:r w:rsidRPr="00EC20A0">
        <w:t>and</w:t>
      </w:r>
      <w:r w:rsidRPr="00EC20A0">
        <w:rPr>
          <w:spacing w:val="-4"/>
        </w:rPr>
        <w:t xml:space="preserve"> </w:t>
      </w:r>
      <w:r w:rsidRPr="00EC20A0">
        <w:t>BETC</w:t>
      </w:r>
      <w:r w:rsidRPr="00EC20A0">
        <w:rPr>
          <w:spacing w:val="-5"/>
        </w:rPr>
        <w:t xml:space="preserve"> </w:t>
      </w:r>
      <w:r w:rsidRPr="00EC20A0">
        <w:t>data</w:t>
      </w:r>
      <w:r w:rsidRPr="00EC20A0">
        <w:rPr>
          <w:spacing w:val="-4"/>
        </w:rPr>
        <w:t xml:space="preserve"> </w:t>
      </w:r>
      <w:r w:rsidRPr="00EC20A0">
        <w:t>elements</w:t>
      </w:r>
      <w:r w:rsidRPr="00EC20A0">
        <w:rPr>
          <w:spacing w:val="-4"/>
        </w:rPr>
        <w:t xml:space="preserve"> </w:t>
      </w:r>
      <w:r w:rsidRPr="00EC20A0">
        <w:t>to</w:t>
      </w:r>
      <w:r w:rsidRPr="00EC20A0">
        <w:rPr>
          <w:spacing w:val="-4"/>
        </w:rPr>
        <w:t xml:space="preserve"> </w:t>
      </w:r>
      <w:r w:rsidRPr="00EC20A0">
        <w:t>most</w:t>
      </w:r>
      <w:r w:rsidRPr="00EC20A0">
        <w:rPr>
          <w:spacing w:val="-3"/>
        </w:rPr>
        <w:t xml:space="preserve"> </w:t>
      </w:r>
      <w:r w:rsidRPr="00EC20A0">
        <w:t>transactions, entities are responsible for classifying these transactions appropriately.</w:t>
      </w:r>
      <w:hyperlink w:anchor="_bookmark179" w:history="1">
        <w:r w:rsidRPr="00EC20A0">
          <w:rPr>
            <w:position w:val="7"/>
            <w:sz w:val="14"/>
          </w:rPr>
          <w:t>25</w:t>
        </w:r>
      </w:hyperlink>
      <w:r w:rsidRPr="00EC20A0">
        <w:rPr>
          <w:spacing w:val="29"/>
          <w:position w:val="7"/>
          <w:sz w:val="14"/>
        </w:rPr>
        <w:t xml:space="preserve"> </w:t>
      </w:r>
      <w:r w:rsidRPr="00EC20A0">
        <w:t>As such, entities maintain all the detailed information supporting assignment of these data elements and are responsible for the related internal controls.</w:t>
      </w:r>
    </w:p>
    <w:p w14:paraId="24D61A09" w14:textId="77777777" w:rsidR="00245300" w:rsidRPr="00EC20A0" w:rsidRDefault="00F17249">
      <w:pPr>
        <w:pStyle w:val="ListParagraph"/>
        <w:numPr>
          <w:ilvl w:val="0"/>
          <w:numId w:val="3"/>
        </w:numPr>
        <w:tabs>
          <w:tab w:val="left" w:pos="1640"/>
        </w:tabs>
        <w:spacing w:before="241"/>
        <w:ind w:right="506" w:hanging="720"/>
      </w:pPr>
      <w:r w:rsidRPr="00EC20A0">
        <w:t>Entities classify collections and Intragovernmental Payment and Collection System (IPAC) transactions with a TAS and BETC through CARS’s Shared Accounting Module (SAM).</w:t>
      </w:r>
      <w:hyperlink w:anchor="_bookmark180" w:history="1">
        <w:r w:rsidRPr="00EC20A0">
          <w:rPr>
            <w:position w:val="7"/>
            <w:sz w:val="14"/>
          </w:rPr>
          <w:t>26</w:t>
        </w:r>
      </w:hyperlink>
      <w:r w:rsidRPr="00EC20A0">
        <w:rPr>
          <w:spacing w:val="39"/>
          <w:position w:val="7"/>
          <w:sz w:val="14"/>
        </w:rPr>
        <w:t xml:space="preserve"> </w:t>
      </w:r>
      <w:r w:rsidRPr="00EC20A0">
        <w:t xml:space="preserve">Collection reporting systems (e.g., Pay.gov and </w:t>
      </w:r>
      <w:proofErr w:type="spellStart"/>
      <w:r w:rsidRPr="00EC20A0">
        <w:t>OTCnet</w:t>
      </w:r>
      <w:proofErr w:type="spellEnd"/>
      <w:r w:rsidRPr="00EC20A0">
        <w:t>) process collections received and automatically code each with a TAS and BETC or a Classification Key (C-Key) based on the Cash Flow Profiles (CFP) that the entity set up in SAM.</w:t>
      </w:r>
      <w:hyperlink w:anchor="_bookmark181" w:history="1">
        <w:r w:rsidRPr="00EC20A0">
          <w:rPr>
            <w:position w:val="7"/>
            <w:sz w:val="14"/>
          </w:rPr>
          <w:t>27</w:t>
        </w:r>
      </w:hyperlink>
      <w:r w:rsidRPr="00EC20A0">
        <w:rPr>
          <w:spacing w:val="33"/>
          <w:position w:val="7"/>
          <w:sz w:val="14"/>
        </w:rPr>
        <w:t xml:space="preserve"> </w:t>
      </w:r>
      <w:r w:rsidRPr="00EC20A0">
        <w:t>For transactions that cannot be automatically coded with the correct TASs and BETCs, entities use clearing TASs and BETCs or set up default rules in CFPs to temporarily record the transactions</w:t>
      </w:r>
      <w:r w:rsidRPr="00EC20A0">
        <w:rPr>
          <w:spacing w:val="-5"/>
        </w:rPr>
        <w:t xml:space="preserve"> </w:t>
      </w:r>
      <w:r w:rsidRPr="00EC20A0">
        <w:t>and</w:t>
      </w:r>
      <w:r w:rsidRPr="00EC20A0">
        <w:rPr>
          <w:spacing w:val="-4"/>
        </w:rPr>
        <w:t xml:space="preserve"> </w:t>
      </w:r>
      <w:r w:rsidRPr="00EC20A0">
        <w:t>subsequently</w:t>
      </w:r>
      <w:r w:rsidRPr="00EC20A0">
        <w:rPr>
          <w:spacing w:val="-4"/>
        </w:rPr>
        <w:t xml:space="preserve"> </w:t>
      </w:r>
      <w:r w:rsidRPr="00EC20A0">
        <w:t>research</w:t>
      </w:r>
      <w:r w:rsidRPr="00EC20A0">
        <w:rPr>
          <w:spacing w:val="-4"/>
        </w:rPr>
        <w:t xml:space="preserve"> </w:t>
      </w:r>
      <w:r w:rsidRPr="00EC20A0">
        <w:t>and</w:t>
      </w:r>
      <w:r w:rsidRPr="00EC20A0">
        <w:rPr>
          <w:spacing w:val="-4"/>
        </w:rPr>
        <w:t xml:space="preserve"> </w:t>
      </w:r>
      <w:r w:rsidRPr="00EC20A0">
        <w:t>reclassify</w:t>
      </w:r>
      <w:r w:rsidRPr="00EC20A0">
        <w:rPr>
          <w:spacing w:val="-5"/>
        </w:rPr>
        <w:t xml:space="preserve"> </w:t>
      </w:r>
      <w:r w:rsidRPr="00EC20A0">
        <w:t>these</w:t>
      </w:r>
      <w:r w:rsidRPr="00EC20A0">
        <w:rPr>
          <w:spacing w:val="-5"/>
        </w:rPr>
        <w:t xml:space="preserve"> </w:t>
      </w:r>
      <w:r w:rsidRPr="00EC20A0">
        <w:t>transactions</w:t>
      </w:r>
      <w:r w:rsidRPr="00EC20A0">
        <w:rPr>
          <w:spacing w:val="-5"/>
        </w:rPr>
        <w:t xml:space="preserve"> </w:t>
      </w:r>
      <w:r w:rsidRPr="00EC20A0">
        <w:t>to</w:t>
      </w:r>
      <w:r w:rsidRPr="00EC20A0">
        <w:rPr>
          <w:spacing w:val="-4"/>
        </w:rPr>
        <w:t xml:space="preserve"> </w:t>
      </w:r>
      <w:r w:rsidRPr="00EC20A0">
        <w:t>the appropriate TASs and BETCs.</w:t>
      </w:r>
    </w:p>
    <w:p w14:paraId="24D61A0A" w14:textId="77777777" w:rsidR="00245300" w:rsidRPr="00EC20A0" w:rsidRDefault="00F17249">
      <w:pPr>
        <w:pStyle w:val="ListParagraph"/>
        <w:numPr>
          <w:ilvl w:val="0"/>
          <w:numId w:val="91"/>
        </w:numPr>
        <w:tabs>
          <w:tab w:val="left" w:pos="1640"/>
        </w:tabs>
        <w:ind w:right="542"/>
      </w:pPr>
      <w:r w:rsidRPr="00EC20A0">
        <w:t>C-Keys are necessary if the collection reporting system does not permit the selection of the TAS and BETC. Fiscal Service requires entities to map the C- Key value to the TAS and BETC combination in their CFPs and uploading the CFPs in SAM. Entities are also responsible for mapping the C-Key in the collection</w:t>
      </w:r>
      <w:r w:rsidRPr="00EC20A0">
        <w:rPr>
          <w:spacing w:val="-4"/>
        </w:rPr>
        <w:t xml:space="preserve"> </w:t>
      </w:r>
      <w:r w:rsidRPr="00EC20A0">
        <w:t>reporting</w:t>
      </w:r>
      <w:r w:rsidRPr="00EC20A0">
        <w:rPr>
          <w:spacing w:val="-4"/>
        </w:rPr>
        <w:t xml:space="preserve"> </w:t>
      </w:r>
      <w:r w:rsidRPr="00EC20A0">
        <w:t>system.</w:t>
      </w:r>
      <w:r w:rsidRPr="00EC20A0">
        <w:rPr>
          <w:spacing w:val="-4"/>
        </w:rPr>
        <w:t xml:space="preserve"> </w:t>
      </w:r>
      <w:r w:rsidRPr="00EC20A0">
        <w:t>If</w:t>
      </w:r>
      <w:r w:rsidRPr="00EC20A0">
        <w:rPr>
          <w:spacing w:val="-4"/>
        </w:rPr>
        <w:t xml:space="preserve"> </w:t>
      </w:r>
      <w:r w:rsidRPr="00EC20A0">
        <w:t>a</w:t>
      </w:r>
      <w:r w:rsidRPr="00EC20A0">
        <w:rPr>
          <w:spacing w:val="-4"/>
        </w:rPr>
        <w:t xml:space="preserve"> </w:t>
      </w:r>
      <w:r w:rsidRPr="00EC20A0">
        <w:t>C-Key</w:t>
      </w:r>
      <w:r w:rsidRPr="00EC20A0">
        <w:rPr>
          <w:spacing w:val="-4"/>
        </w:rPr>
        <w:t xml:space="preserve"> </w:t>
      </w:r>
      <w:r w:rsidRPr="00EC20A0">
        <w:t>sent</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collection</w:t>
      </w:r>
      <w:r w:rsidRPr="00EC20A0">
        <w:rPr>
          <w:spacing w:val="-4"/>
        </w:rPr>
        <w:t xml:space="preserve"> </w:t>
      </w:r>
      <w:r w:rsidRPr="00EC20A0">
        <w:t>reporting</w:t>
      </w:r>
      <w:r w:rsidRPr="00EC20A0">
        <w:rPr>
          <w:spacing w:val="-4"/>
        </w:rPr>
        <w:t xml:space="preserve"> </w:t>
      </w:r>
      <w:r w:rsidRPr="00EC20A0">
        <w:t>system did</w:t>
      </w:r>
      <w:r w:rsidRPr="00EC20A0">
        <w:rPr>
          <w:spacing w:val="-2"/>
        </w:rPr>
        <w:t xml:space="preserve"> </w:t>
      </w:r>
      <w:r w:rsidRPr="00EC20A0">
        <w:t>not</w:t>
      </w:r>
      <w:r w:rsidRPr="00EC20A0">
        <w:rPr>
          <w:spacing w:val="-2"/>
        </w:rPr>
        <w:t xml:space="preserve"> </w:t>
      </w:r>
      <w:r w:rsidRPr="00EC20A0">
        <w:t>match</w:t>
      </w:r>
      <w:r w:rsidRPr="00EC20A0">
        <w:rPr>
          <w:spacing w:val="-2"/>
        </w:rPr>
        <w:t xml:space="preserve"> </w:t>
      </w:r>
      <w:r w:rsidRPr="00EC20A0">
        <w:t>a</w:t>
      </w:r>
      <w:r w:rsidRPr="00EC20A0">
        <w:rPr>
          <w:spacing w:val="-2"/>
        </w:rPr>
        <w:t xml:space="preserve"> </w:t>
      </w:r>
      <w:r w:rsidRPr="00EC20A0">
        <w:t>C-Key</w:t>
      </w:r>
      <w:r w:rsidRPr="00EC20A0">
        <w:rPr>
          <w:spacing w:val="-2"/>
        </w:rPr>
        <w:t xml:space="preserve"> </w:t>
      </w:r>
      <w:r w:rsidRPr="00EC20A0">
        <w:t>set</w:t>
      </w:r>
      <w:r w:rsidRPr="00EC20A0">
        <w:rPr>
          <w:spacing w:val="-2"/>
        </w:rPr>
        <w:t xml:space="preserve"> </w:t>
      </w:r>
      <w:r w:rsidRPr="00EC20A0">
        <w:t>up</w:t>
      </w:r>
      <w:r w:rsidRPr="00EC20A0">
        <w:rPr>
          <w:spacing w:val="-2"/>
        </w:rPr>
        <w:t xml:space="preserve"> </w:t>
      </w:r>
      <w:r w:rsidRPr="00EC20A0">
        <w:t>in</w:t>
      </w:r>
      <w:r w:rsidRPr="00EC20A0">
        <w:rPr>
          <w:spacing w:val="-2"/>
        </w:rPr>
        <w:t xml:space="preserve"> </w:t>
      </w:r>
      <w:r w:rsidRPr="00EC20A0">
        <w:t>the</w:t>
      </w:r>
      <w:r w:rsidRPr="00EC20A0">
        <w:rPr>
          <w:spacing w:val="-3"/>
        </w:rPr>
        <w:t xml:space="preserve"> </w:t>
      </w:r>
      <w:r w:rsidRPr="00EC20A0">
        <w:t>entity’s</w:t>
      </w:r>
      <w:r w:rsidRPr="00EC20A0">
        <w:rPr>
          <w:spacing w:val="-2"/>
        </w:rPr>
        <w:t xml:space="preserve"> </w:t>
      </w:r>
      <w:r w:rsidRPr="00EC20A0">
        <w:t>CFP,</w:t>
      </w:r>
      <w:r w:rsidRPr="00EC20A0">
        <w:rPr>
          <w:spacing w:val="-2"/>
        </w:rPr>
        <w:t xml:space="preserve"> </w:t>
      </w:r>
      <w:r w:rsidRPr="00EC20A0">
        <w:t>then</w:t>
      </w:r>
      <w:r w:rsidRPr="00EC20A0">
        <w:rPr>
          <w:spacing w:val="-2"/>
        </w:rPr>
        <w:t xml:space="preserve"> </w:t>
      </w:r>
      <w:r w:rsidRPr="00EC20A0">
        <w:t>a</w:t>
      </w:r>
      <w:r w:rsidRPr="00EC20A0">
        <w:rPr>
          <w:spacing w:val="-2"/>
        </w:rPr>
        <w:t xml:space="preserve"> </w:t>
      </w:r>
      <w:r w:rsidRPr="00EC20A0">
        <w:t>default</w:t>
      </w:r>
      <w:r w:rsidRPr="00EC20A0">
        <w:rPr>
          <w:spacing w:val="-2"/>
        </w:rPr>
        <w:t xml:space="preserve"> </w:t>
      </w:r>
      <w:r w:rsidRPr="00EC20A0">
        <w:t>TAS</w:t>
      </w:r>
      <w:r w:rsidRPr="00EC20A0">
        <w:rPr>
          <w:spacing w:val="-2"/>
        </w:rPr>
        <w:t xml:space="preserve"> </w:t>
      </w:r>
      <w:r w:rsidRPr="00EC20A0">
        <w:t>and</w:t>
      </w:r>
      <w:r w:rsidRPr="00EC20A0">
        <w:rPr>
          <w:spacing w:val="-2"/>
        </w:rPr>
        <w:t xml:space="preserve"> </w:t>
      </w:r>
      <w:r w:rsidRPr="00EC20A0">
        <w:t xml:space="preserve">BETC will be assigned automatically, and the entity will </w:t>
      </w:r>
      <w:r w:rsidRPr="00EC20A0">
        <w:t>need to reclassify the default TAS and BETC subsequently. Entities are responsible for maintaining the consistency between the C-Keys set up in the collection reporting systems and the C-Keys set up in the CFPs.</w:t>
      </w:r>
    </w:p>
    <w:p w14:paraId="24D61A0B" w14:textId="77777777" w:rsidR="00245300" w:rsidRPr="00EC20A0" w:rsidRDefault="00F17249">
      <w:pPr>
        <w:pStyle w:val="ListParagraph"/>
        <w:numPr>
          <w:ilvl w:val="0"/>
          <w:numId w:val="91"/>
        </w:numPr>
        <w:tabs>
          <w:tab w:val="left" w:pos="1640"/>
        </w:tabs>
        <w:ind w:right="395"/>
      </w:pPr>
      <w:r w:rsidRPr="00EC20A0">
        <w:t>Entities with disbursements (payments) processed through Treasury Disbursing Offices are responsible for submitting accurate payment schedules to Fiscal Service,</w:t>
      </w:r>
      <w:r w:rsidRPr="00EC20A0">
        <w:rPr>
          <w:spacing w:val="-4"/>
        </w:rPr>
        <w:t xml:space="preserve"> </w:t>
      </w:r>
      <w:r w:rsidRPr="00EC20A0">
        <w:t>including</w:t>
      </w:r>
      <w:r w:rsidRPr="00EC20A0">
        <w:rPr>
          <w:spacing w:val="-4"/>
        </w:rPr>
        <w:t xml:space="preserve"> </w:t>
      </w:r>
      <w:r w:rsidRPr="00EC20A0">
        <w:t>classifying</w:t>
      </w:r>
      <w:r w:rsidRPr="00EC20A0">
        <w:rPr>
          <w:spacing w:val="-4"/>
        </w:rPr>
        <w:t xml:space="preserve"> </w:t>
      </w:r>
      <w:r w:rsidRPr="00EC20A0">
        <w:t>each</w:t>
      </w:r>
      <w:r w:rsidRPr="00EC20A0">
        <w:rPr>
          <w:spacing w:val="-4"/>
        </w:rPr>
        <w:t xml:space="preserve"> </w:t>
      </w:r>
      <w:r w:rsidRPr="00EC20A0">
        <w:t>payment</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appropriate</w:t>
      </w:r>
      <w:r w:rsidRPr="00EC20A0">
        <w:rPr>
          <w:spacing w:val="-4"/>
        </w:rPr>
        <w:t xml:space="preserve"> </w:t>
      </w:r>
      <w:r w:rsidRPr="00EC20A0">
        <w:t>TAS</w:t>
      </w:r>
      <w:r w:rsidRPr="00EC20A0">
        <w:rPr>
          <w:spacing w:val="-4"/>
        </w:rPr>
        <w:t xml:space="preserve"> </w:t>
      </w:r>
      <w:r w:rsidRPr="00EC20A0">
        <w:t>and</w:t>
      </w:r>
      <w:r w:rsidRPr="00EC20A0">
        <w:rPr>
          <w:spacing w:val="-4"/>
        </w:rPr>
        <w:t xml:space="preserve"> </w:t>
      </w:r>
      <w:r w:rsidRPr="00EC20A0">
        <w:t>BETC. Entities submit payment requests via the Secure Payment System (SPS) and must include a TAS and BETC for each payment. An entity’s invoice processing system may automatically assign TASs and BETCs to the payment schedule based on invoice attributes such as fund code, line of accounting, organization code, program code, or object class code. After a payment is processed, if SAM determines that the assigned TAS and BETC are invalid, it ass</w:t>
      </w:r>
      <w:r w:rsidRPr="00EC20A0">
        <w:t>igns the affected payment a default TAS and BETC selected by the entity.</w:t>
      </w:r>
    </w:p>
    <w:p w14:paraId="24D61A0C" w14:textId="77777777" w:rsidR="00245300" w:rsidRPr="00EC20A0" w:rsidRDefault="00F17249">
      <w:pPr>
        <w:pStyle w:val="ListParagraph"/>
        <w:numPr>
          <w:ilvl w:val="0"/>
          <w:numId w:val="91"/>
        </w:numPr>
        <w:tabs>
          <w:tab w:val="left" w:pos="1640"/>
        </w:tabs>
        <w:ind w:right="480"/>
      </w:pPr>
      <w:r w:rsidRPr="00EC20A0">
        <w:t>Entities</w:t>
      </w:r>
      <w:r w:rsidRPr="00EC20A0">
        <w:rPr>
          <w:spacing w:val="-3"/>
        </w:rPr>
        <w:t xml:space="preserve"> </w:t>
      </w:r>
      <w:r w:rsidRPr="00EC20A0">
        <w:t>report</w:t>
      </w:r>
      <w:r w:rsidRPr="00EC20A0">
        <w:rPr>
          <w:spacing w:val="-3"/>
        </w:rPr>
        <w:t xml:space="preserve"> </w:t>
      </w:r>
      <w:r w:rsidRPr="00EC20A0">
        <w:t>two</w:t>
      </w:r>
      <w:r w:rsidRPr="00EC20A0">
        <w:rPr>
          <w:spacing w:val="-3"/>
        </w:rPr>
        <w:t xml:space="preserve"> </w:t>
      </w:r>
      <w:r w:rsidRPr="00EC20A0">
        <w:t>types</w:t>
      </w:r>
      <w:r w:rsidRPr="00EC20A0">
        <w:rPr>
          <w:spacing w:val="-4"/>
        </w:rPr>
        <w:t xml:space="preserve"> </w:t>
      </w:r>
      <w:r w:rsidRPr="00EC20A0">
        <w:t>of</w:t>
      </w:r>
      <w:r w:rsidRPr="00EC20A0">
        <w:rPr>
          <w:spacing w:val="-3"/>
        </w:rPr>
        <w:t xml:space="preserve"> </w:t>
      </w:r>
      <w:r w:rsidRPr="00EC20A0">
        <w:t>transactions</w:t>
      </w:r>
      <w:r w:rsidRPr="00EC20A0">
        <w:rPr>
          <w:spacing w:val="-3"/>
        </w:rPr>
        <w:t xml:space="preserve"> </w:t>
      </w:r>
      <w:r w:rsidRPr="00EC20A0">
        <w:t>related</w:t>
      </w:r>
      <w:r w:rsidRPr="00EC20A0">
        <w:rPr>
          <w:spacing w:val="-3"/>
        </w:rPr>
        <w:t xml:space="preserve"> </w:t>
      </w:r>
      <w:r w:rsidRPr="00EC20A0">
        <w:t>to</w:t>
      </w:r>
      <w:r w:rsidRPr="00EC20A0">
        <w:rPr>
          <w:spacing w:val="-4"/>
        </w:rPr>
        <w:t xml:space="preserve"> </w:t>
      </w:r>
      <w:r w:rsidRPr="00EC20A0">
        <w:t>TASs</w:t>
      </w:r>
      <w:r w:rsidRPr="00EC20A0">
        <w:rPr>
          <w:spacing w:val="-3"/>
        </w:rPr>
        <w:t xml:space="preserve"> </w:t>
      </w:r>
      <w:r w:rsidRPr="00EC20A0">
        <w:t>and</w:t>
      </w:r>
      <w:r w:rsidRPr="00EC20A0">
        <w:rPr>
          <w:spacing w:val="-3"/>
        </w:rPr>
        <w:t xml:space="preserve"> </w:t>
      </w:r>
      <w:r w:rsidRPr="00EC20A0">
        <w:t>BETCs</w:t>
      </w:r>
      <w:r w:rsidRPr="00EC20A0">
        <w:rPr>
          <w:spacing w:val="-3"/>
        </w:rPr>
        <w:t xml:space="preserve"> </w:t>
      </w:r>
      <w:r w:rsidRPr="00EC20A0">
        <w:t>through</w:t>
      </w:r>
      <w:r w:rsidRPr="00EC20A0">
        <w:rPr>
          <w:spacing w:val="-3"/>
        </w:rPr>
        <w:t xml:space="preserve"> </w:t>
      </w:r>
      <w:r w:rsidRPr="00EC20A0">
        <w:t>the reclassification process via the CARS Classification Transactions and Accountability (CTA) module:</w:t>
      </w:r>
    </w:p>
    <w:p w14:paraId="24D61A0D" w14:textId="77777777" w:rsidR="00245300" w:rsidRPr="00EC20A0" w:rsidRDefault="00F17249">
      <w:pPr>
        <w:pStyle w:val="BodyText"/>
        <w:spacing w:before="148"/>
        <w:rPr>
          <w:sz w:val="20"/>
        </w:rPr>
      </w:pPr>
      <w:r w:rsidRPr="00EC20A0">
        <w:rPr>
          <w:noProof/>
        </w:rPr>
        <mc:AlternateContent>
          <mc:Choice Requires="wps">
            <w:drawing>
              <wp:anchor distT="0" distB="0" distL="0" distR="0" simplePos="0" relativeHeight="487713792" behindDoc="1" locked="0" layoutInCell="1" allowOverlap="1" wp14:anchorId="24D62CA1" wp14:editId="24D62CA2">
                <wp:simplePos x="0" y="0"/>
                <wp:positionH relativeFrom="page">
                  <wp:posOffset>914400</wp:posOffset>
                </wp:positionH>
                <wp:positionV relativeFrom="paragraph">
                  <wp:posOffset>255548</wp:posOffset>
                </wp:positionV>
                <wp:extent cx="1828800" cy="5715"/>
                <wp:effectExtent l="0" t="0" r="0" b="0"/>
                <wp:wrapTopAndBottom/>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BC4643" id="Graphic 846" o:spid="_x0000_s1026" style="position:absolute;margin-left:1in;margin-top:20.1pt;width:2in;height:.45pt;z-index:-156026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" path="m1828800,l,,,5333r1828800,l1828800,xe" fillcolor="black" stroked="f">
                <v:path arrowok="t"/>
                <w10:wrap type="topAndBottom" anchorx="page"/>
              </v:shape>
            </w:pict>
          </mc:Fallback>
        </mc:AlternateContent>
      </w:r>
    </w:p>
    <w:p w14:paraId="24D61A0E" w14:textId="77777777" w:rsidR="00245300" w:rsidRPr="00EC20A0" w:rsidRDefault="00245300">
      <w:pPr>
        <w:pStyle w:val="BodyText"/>
        <w:spacing w:before="53"/>
        <w:rPr>
          <w:sz w:val="18"/>
        </w:rPr>
      </w:pPr>
    </w:p>
    <w:p w14:paraId="24D61A0F" w14:textId="77777777" w:rsidR="00245300" w:rsidRPr="00EC20A0" w:rsidRDefault="00F17249">
      <w:pPr>
        <w:spacing w:line="249" w:lineRule="auto"/>
        <w:ind w:left="199" w:right="345"/>
        <w:rPr>
          <w:sz w:val="18"/>
        </w:rPr>
      </w:pPr>
      <w:bookmarkStart w:id="314" w:name="_bookmark179"/>
      <w:bookmarkEnd w:id="314"/>
      <w:r w:rsidRPr="00EC20A0">
        <w:rPr>
          <w:position w:val="7"/>
          <w:sz w:val="14"/>
        </w:rPr>
        <w:t>25</w:t>
      </w:r>
      <w:r w:rsidRPr="00EC20A0">
        <w:rPr>
          <w:sz w:val="18"/>
        </w:rPr>
        <w:t>Fiscal</w:t>
      </w:r>
      <w:r w:rsidRPr="00EC20A0">
        <w:rPr>
          <w:spacing w:val="-3"/>
          <w:sz w:val="18"/>
        </w:rPr>
        <w:t xml:space="preserve"> </w:t>
      </w:r>
      <w:r w:rsidRPr="00EC20A0">
        <w:rPr>
          <w:sz w:val="18"/>
        </w:rPr>
        <w:t>Service</w:t>
      </w:r>
      <w:r w:rsidRPr="00EC20A0">
        <w:rPr>
          <w:spacing w:val="-4"/>
          <w:sz w:val="18"/>
        </w:rPr>
        <w:t xml:space="preserve"> </w:t>
      </w:r>
      <w:r w:rsidRPr="00EC20A0">
        <w:rPr>
          <w:sz w:val="18"/>
        </w:rPr>
        <w:t>assigns</w:t>
      </w:r>
      <w:r w:rsidRPr="00EC20A0">
        <w:rPr>
          <w:spacing w:val="-3"/>
          <w:sz w:val="18"/>
        </w:rPr>
        <w:t xml:space="preserve"> </w:t>
      </w:r>
      <w:r w:rsidRPr="00EC20A0">
        <w:rPr>
          <w:sz w:val="18"/>
        </w:rPr>
        <w:t>TASs</w:t>
      </w:r>
      <w:r w:rsidRPr="00EC20A0">
        <w:rPr>
          <w:spacing w:val="-3"/>
          <w:sz w:val="18"/>
        </w:rPr>
        <w:t xml:space="preserve"> </w:t>
      </w:r>
      <w:r w:rsidRPr="00EC20A0">
        <w:rPr>
          <w:sz w:val="18"/>
        </w:rPr>
        <w:t>and</w:t>
      </w:r>
      <w:r w:rsidRPr="00EC20A0">
        <w:rPr>
          <w:spacing w:val="-4"/>
          <w:sz w:val="18"/>
        </w:rPr>
        <w:t xml:space="preserve"> </w:t>
      </w:r>
      <w:r w:rsidRPr="00EC20A0">
        <w:rPr>
          <w:sz w:val="18"/>
        </w:rPr>
        <w:t>BETCs</w:t>
      </w:r>
      <w:r w:rsidRPr="00EC20A0">
        <w:rPr>
          <w:spacing w:val="-3"/>
          <w:sz w:val="18"/>
        </w:rPr>
        <w:t xml:space="preserve"> </w:t>
      </w:r>
      <w:r w:rsidRPr="00EC20A0">
        <w:rPr>
          <w:sz w:val="18"/>
        </w:rPr>
        <w:t>to</w:t>
      </w:r>
      <w:r w:rsidRPr="00EC20A0">
        <w:rPr>
          <w:spacing w:val="-4"/>
          <w:sz w:val="18"/>
        </w:rPr>
        <w:t xml:space="preserve"> </w:t>
      </w:r>
      <w:r w:rsidRPr="00EC20A0">
        <w:rPr>
          <w:sz w:val="18"/>
        </w:rPr>
        <w:t>certain</w:t>
      </w:r>
      <w:r w:rsidRPr="00EC20A0">
        <w:rPr>
          <w:spacing w:val="-4"/>
          <w:sz w:val="18"/>
        </w:rPr>
        <w:t xml:space="preserve"> </w:t>
      </w:r>
      <w:r w:rsidRPr="00EC20A0">
        <w:rPr>
          <w:sz w:val="18"/>
        </w:rPr>
        <w:t>transactions,</w:t>
      </w:r>
      <w:r w:rsidRPr="00EC20A0">
        <w:rPr>
          <w:spacing w:val="-3"/>
          <w:sz w:val="18"/>
        </w:rPr>
        <w:t xml:space="preserve"> </w:t>
      </w:r>
      <w:r w:rsidRPr="00EC20A0">
        <w:rPr>
          <w:sz w:val="18"/>
        </w:rPr>
        <w:t>such</w:t>
      </w:r>
      <w:r w:rsidRPr="00EC20A0">
        <w:rPr>
          <w:spacing w:val="-4"/>
          <w:sz w:val="18"/>
        </w:rPr>
        <w:t xml:space="preserve"> </w:t>
      </w:r>
      <w:r w:rsidRPr="00EC20A0">
        <w:rPr>
          <w:sz w:val="18"/>
        </w:rPr>
        <w:t>as</w:t>
      </w:r>
      <w:r w:rsidRPr="00EC20A0">
        <w:rPr>
          <w:spacing w:val="-2"/>
          <w:sz w:val="18"/>
        </w:rPr>
        <w:t xml:space="preserve"> </w:t>
      </w:r>
      <w:r w:rsidRPr="00EC20A0">
        <w:rPr>
          <w:sz w:val="18"/>
        </w:rPr>
        <w:t>appropriation</w:t>
      </w:r>
      <w:r w:rsidRPr="00EC20A0">
        <w:rPr>
          <w:spacing w:val="-4"/>
          <w:sz w:val="18"/>
        </w:rPr>
        <w:t xml:space="preserve"> </w:t>
      </w:r>
      <w:r w:rsidRPr="00EC20A0">
        <w:rPr>
          <w:sz w:val="18"/>
        </w:rPr>
        <w:t>warrants,</w:t>
      </w:r>
      <w:r w:rsidRPr="00EC20A0">
        <w:rPr>
          <w:spacing w:val="-3"/>
          <w:sz w:val="18"/>
        </w:rPr>
        <w:t xml:space="preserve"> </w:t>
      </w:r>
      <w:r w:rsidRPr="00EC20A0">
        <w:rPr>
          <w:sz w:val="18"/>
        </w:rPr>
        <w:t>that</w:t>
      </w:r>
      <w:r w:rsidRPr="00EC20A0">
        <w:rPr>
          <w:spacing w:val="-3"/>
          <w:sz w:val="18"/>
        </w:rPr>
        <w:t xml:space="preserve"> </w:t>
      </w:r>
      <w:r w:rsidRPr="00EC20A0">
        <w:rPr>
          <w:sz w:val="18"/>
        </w:rPr>
        <w:t>it</w:t>
      </w:r>
      <w:r w:rsidRPr="00EC20A0">
        <w:rPr>
          <w:spacing w:val="-3"/>
          <w:sz w:val="18"/>
        </w:rPr>
        <w:t xml:space="preserve"> </w:t>
      </w:r>
      <w:r w:rsidRPr="00EC20A0">
        <w:rPr>
          <w:sz w:val="18"/>
        </w:rPr>
        <w:t>initiates</w:t>
      </w:r>
      <w:r w:rsidRPr="00EC20A0">
        <w:rPr>
          <w:spacing w:val="-3"/>
          <w:sz w:val="18"/>
        </w:rPr>
        <w:t xml:space="preserve"> </w:t>
      </w:r>
      <w:r w:rsidRPr="00EC20A0">
        <w:rPr>
          <w:sz w:val="18"/>
        </w:rPr>
        <w:t xml:space="preserve">on behalf of </w:t>
      </w:r>
      <w:r w:rsidRPr="00EC20A0">
        <w:rPr>
          <w:sz w:val="18"/>
        </w:rPr>
        <w:t>entities.</w:t>
      </w:r>
    </w:p>
    <w:p w14:paraId="24D61A10" w14:textId="77777777" w:rsidR="00245300" w:rsidRPr="00EC20A0" w:rsidRDefault="00F17249">
      <w:pPr>
        <w:spacing w:before="118"/>
        <w:ind w:left="200"/>
        <w:rPr>
          <w:sz w:val="18"/>
        </w:rPr>
      </w:pPr>
      <w:bookmarkStart w:id="315" w:name="_bookmark180"/>
      <w:bookmarkEnd w:id="315"/>
      <w:r w:rsidRPr="00EC20A0">
        <w:rPr>
          <w:position w:val="7"/>
          <w:sz w:val="14"/>
        </w:rPr>
        <w:t>26</w:t>
      </w:r>
      <w:r w:rsidRPr="00EC20A0">
        <w:rPr>
          <w:sz w:val="18"/>
        </w:rPr>
        <w:t>See</w:t>
      </w:r>
      <w:r w:rsidRPr="00EC20A0">
        <w:rPr>
          <w:spacing w:val="-4"/>
          <w:sz w:val="18"/>
        </w:rPr>
        <w:t xml:space="preserve"> </w:t>
      </w:r>
      <w:r w:rsidRPr="00EC20A0">
        <w:rPr>
          <w:sz w:val="18"/>
        </w:rPr>
        <w:t>FAM</w:t>
      </w:r>
      <w:r w:rsidRPr="00EC20A0">
        <w:rPr>
          <w:spacing w:val="-3"/>
          <w:sz w:val="18"/>
        </w:rPr>
        <w:t xml:space="preserve"> </w:t>
      </w:r>
      <w:r w:rsidRPr="00EC20A0">
        <w:rPr>
          <w:sz w:val="18"/>
        </w:rPr>
        <w:t>902.13-.15</w:t>
      </w:r>
      <w:r w:rsidRPr="00EC20A0">
        <w:rPr>
          <w:spacing w:val="-3"/>
          <w:sz w:val="18"/>
        </w:rPr>
        <w:t xml:space="preserve"> </w:t>
      </w:r>
      <w:r w:rsidRPr="00EC20A0">
        <w:rPr>
          <w:sz w:val="18"/>
        </w:rPr>
        <w:t>for</w:t>
      </w:r>
      <w:r w:rsidRPr="00EC20A0">
        <w:rPr>
          <w:spacing w:val="-3"/>
          <w:sz w:val="18"/>
        </w:rPr>
        <w:t xml:space="preserve"> </w:t>
      </w:r>
      <w:r w:rsidRPr="00EC20A0">
        <w:rPr>
          <w:sz w:val="18"/>
        </w:rPr>
        <w:t>information</w:t>
      </w:r>
      <w:r w:rsidRPr="00EC20A0">
        <w:rPr>
          <w:spacing w:val="-4"/>
          <w:sz w:val="18"/>
        </w:rPr>
        <w:t xml:space="preserve"> </w:t>
      </w:r>
      <w:r w:rsidRPr="00EC20A0">
        <w:rPr>
          <w:sz w:val="18"/>
        </w:rPr>
        <w:t>on</w:t>
      </w:r>
      <w:r w:rsidRPr="00EC20A0">
        <w:rPr>
          <w:spacing w:val="-3"/>
          <w:sz w:val="18"/>
        </w:rPr>
        <w:t xml:space="preserve"> </w:t>
      </w:r>
      <w:r w:rsidRPr="00EC20A0">
        <w:rPr>
          <w:spacing w:val="-4"/>
          <w:sz w:val="18"/>
        </w:rPr>
        <w:t>IPAC.</w:t>
      </w:r>
    </w:p>
    <w:p w14:paraId="24D61A11" w14:textId="77777777" w:rsidR="00245300" w:rsidRPr="00EC20A0" w:rsidRDefault="00F17249">
      <w:pPr>
        <w:spacing w:before="134" w:line="249" w:lineRule="auto"/>
        <w:ind w:left="200" w:right="345" w:hanging="1"/>
        <w:rPr>
          <w:sz w:val="18"/>
        </w:rPr>
      </w:pPr>
      <w:bookmarkStart w:id="316" w:name="_bookmark181"/>
      <w:bookmarkEnd w:id="316"/>
      <w:r w:rsidRPr="00EC20A0">
        <w:rPr>
          <w:position w:val="7"/>
          <w:sz w:val="14"/>
        </w:rPr>
        <w:t>27</w:t>
      </w:r>
      <w:r w:rsidRPr="00EC20A0">
        <w:rPr>
          <w:sz w:val="18"/>
        </w:rPr>
        <w:t>A</w:t>
      </w:r>
      <w:r w:rsidRPr="00EC20A0">
        <w:rPr>
          <w:spacing w:val="-2"/>
          <w:sz w:val="18"/>
        </w:rPr>
        <w:t xml:space="preserve"> </w:t>
      </w:r>
      <w:r w:rsidRPr="00EC20A0">
        <w:rPr>
          <w:sz w:val="18"/>
        </w:rPr>
        <w:t>C-Key</w:t>
      </w:r>
      <w:r w:rsidRPr="00EC20A0">
        <w:rPr>
          <w:spacing w:val="-2"/>
          <w:sz w:val="18"/>
        </w:rPr>
        <w:t xml:space="preserve"> </w:t>
      </w:r>
      <w:r w:rsidRPr="00EC20A0">
        <w:rPr>
          <w:sz w:val="18"/>
        </w:rPr>
        <w:t>is</w:t>
      </w:r>
      <w:r w:rsidRPr="00EC20A0">
        <w:rPr>
          <w:spacing w:val="-2"/>
          <w:sz w:val="18"/>
        </w:rPr>
        <w:t xml:space="preserve"> </w:t>
      </w:r>
      <w:r w:rsidRPr="00EC20A0">
        <w:rPr>
          <w:sz w:val="18"/>
        </w:rPr>
        <w:t>a</w:t>
      </w:r>
      <w:r w:rsidRPr="00EC20A0">
        <w:rPr>
          <w:spacing w:val="-3"/>
          <w:sz w:val="18"/>
        </w:rPr>
        <w:t xml:space="preserve"> </w:t>
      </w:r>
      <w:r w:rsidRPr="00EC20A0">
        <w:rPr>
          <w:sz w:val="18"/>
        </w:rPr>
        <w:t>unique</w:t>
      </w:r>
      <w:r w:rsidRPr="00EC20A0">
        <w:rPr>
          <w:spacing w:val="-3"/>
          <w:sz w:val="18"/>
        </w:rPr>
        <w:t xml:space="preserve"> </w:t>
      </w:r>
      <w:r w:rsidRPr="00EC20A0">
        <w:rPr>
          <w:sz w:val="18"/>
        </w:rPr>
        <w:t>agency</w:t>
      </w:r>
      <w:r w:rsidRPr="00EC20A0">
        <w:rPr>
          <w:spacing w:val="-2"/>
          <w:sz w:val="18"/>
        </w:rPr>
        <w:t xml:space="preserve"> </w:t>
      </w:r>
      <w:r w:rsidRPr="00EC20A0">
        <w:rPr>
          <w:sz w:val="18"/>
        </w:rPr>
        <w:t>account</w:t>
      </w:r>
      <w:r w:rsidRPr="00EC20A0">
        <w:rPr>
          <w:spacing w:val="-2"/>
          <w:sz w:val="18"/>
        </w:rPr>
        <w:t xml:space="preserve"> </w:t>
      </w:r>
      <w:r w:rsidRPr="00EC20A0">
        <w:rPr>
          <w:sz w:val="18"/>
        </w:rPr>
        <w:t>code</w:t>
      </w:r>
      <w:r w:rsidRPr="00EC20A0">
        <w:rPr>
          <w:spacing w:val="-3"/>
          <w:sz w:val="18"/>
        </w:rPr>
        <w:t xml:space="preserve"> </w:t>
      </w:r>
      <w:r w:rsidRPr="00EC20A0">
        <w:rPr>
          <w:sz w:val="18"/>
        </w:rPr>
        <w:t>that</w:t>
      </w:r>
      <w:r w:rsidRPr="00EC20A0">
        <w:rPr>
          <w:spacing w:val="-2"/>
          <w:sz w:val="18"/>
        </w:rPr>
        <w:t xml:space="preserve"> </w:t>
      </w:r>
      <w:r w:rsidRPr="00EC20A0">
        <w:rPr>
          <w:sz w:val="18"/>
        </w:rPr>
        <w:t>maps</w:t>
      </w:r>
      <w:r w:rsidRPr="00EC20A0">
        <w:rPr>
          <w:spacing w:val="-2"/>
          <w:sz w:val="18"/>
        </w:rPr>
        <w:t xml:space="preserve"> </w:t>
      </w:r>
      <w:r w:rsidRPr="00EC20A0">
        <w:rPr>
          <w:sz w:val="18"/>
        </w:rPr>
        <w:t>to</w:t>
      </w:r>
      <w:r w:rsidRPr="00EC20A0">
        <w:rPr>
          <w:spacing w:val="-3"/>
          <w:sz w:val="18"/>
        </w:rPr>
        <w:t xml:space="preserve"> </w:t>
      </w:r>
      <w:r w:rsidRPr="00EC20A0">
        <w:rPr>
          <w:sz w:val="18"/>
        </w:rPr>
        <w:t>valid</w:t>
      </w:r>
      <w:r w:rsidRPr="00EC20A0">
        <w:rPr>
          <w:spacing w:val="-3"/>
          <w:sz w:val="18"/>
        </w:rPr>
        <w:t xml:space="preserve"> </w:t>
      </w:r>
      <w:r w:rsidRPr="00EC20A0">
        <w:rPr>
          <w:sz w:val="18"/>
        </w:rPr>
        <w:t>TAS</w:t>
      </w:r>
      <w:r w:rsidRPr="00EC20A0">
        <w:rPr>
          <w:spacing w:val="-2"/>
          <w:sz w:val="18"/>
        </w:rPr>
        <w:t xml:space="preserve"> </w:t>
      </w:r>
      <w:r w:rsidRPr="00EC20A0">
        <w:rPr>
          <w:sz w:val="18"/>
        </w:rPr>
        <w:t>and</w:t>
      </w:r>
      <w:r w:rsidRPr="00EC20A0">
        <w:rPr>
          <w:spacing w:val="-3"/>
          <w:sz w:val="18"/>
        </w:rPr>
        <w:t xml:space="preserve"> </w:t>
      </w:r>
      <w:r w:rsidRPr="00EC20A0">
        <w:rPr>
          <w:sz w:val="18"/>
        </w:rPr>
        <w:t>BETC</w:t>
      </w:r>
      <w:r w:rsidRPr="00EC20A0">
        <w:rPr>
          <w:spacing w:val="-2"/>
          <w:sz w:val="18"/>
        </w:rPr>
        <w:t xml:space="preserve"> </w:t>
      </w:r>
      <w:r w:rsidRPr="00EC20A0">
        <w:rPr>
          <w:sz w:val="18"/>
        </w:rPr>
        <w:t>classification</w:t>
      </w:r>
      <w:r w:rsidRPr="00EC20A0">
        <w:rPr>
          <w:spacing w:val="-2"/>
          <w:sz w:val="18"/>
        </w:rPr>
        <w:t xml:space="preserve"> </w:t>
      </w:r>
      <w:r w:rsidRPr="00EC20A0">
        <w:rPr>
          <w:sz w:val="18"/>
        </w:rPr>
        <w:t>for</w:t>
      </w:r>
      <w:r w:rsidRPr="00EC20A0">
        <w:rPr>
          <w:spacing w:val="-2"/>
          <w:sz w:val="18"/>
        </w:rPr>
        <w:t xml:space="preserve"> </w:t>
      </w:r>
      <w:r w:rsidRPr="00EC20A0">
        <w:rPr>
          <w:sz w:val="18"/>
        </w:rPr>
        <w:t>collections</w:t>
      </w:r>
      <w:r w:rsidRPr="00EC20A0">
        <w:rPr>
          <w:spacing w:val="-2"/>
          <w:sz w:val="18"/>
        </w:rPr>
        <w:t xml:space="preserve"> </w:t>
      </w:r>
      <w:r w:rsidRPr="00EC20A0">
        <w:rPr>
          <w:sz w:val="18"/>
        </w:rPr>
        <w:t>processed through that account in Fiscal Service’s SAM.</w:t>
      </w:r>
    </w:p>
    <w:p w14:paraId="24D61A12" w14:textId="77777777" w:rsidR="00245300" w:rsidRPr="00EC20A0" w:rsidRDefault="00245300">
      <w:pPr>
        <w:spacing w:line="249" w:lineRule="auto"/>
        <w:rPr>
          <w:sz w:val="18"/>
        </w:rPr>
        <w:sectPr w:rsidR="00245300" w:rsidRPr="00EC20A0">
          <w:pgSz w:w="12240" w:h="15840"/>
          <w:pgMar w:top="1340" w:right="1100" w:bottom="940" w:left="1240" w:header="721" w:footer="757" w:gutter="0"/>
          <w:cols w:space="720"/>
        </w:sectPr>
      </w:pPr>
    </w:p>
    <w:p w14:paraId="24D61A13" w14:textId="77777777" w:rsidR="00245300" w:rsidRPr="00EC20A0" w:rsidRDefault="00F17249">
      <w:pPr>
        <w:pStyle w:val="ListParagraph"/>
        <w:numPr>
          <w:ilvl w:val="1"/>
          <w:numId w:val="91"/>
        </w:numPr>
        <w:tabs>
          <w:tab w:val="left" w:pos="1999"/>
        </w:tabs>
        <w:spacing w:before="121"/>
        <w:ind w:right="402"/>
      </w:pPr>
      <w:r w:rsidRPr="00EC20A0">
        <w:t xml:space="preserve">The first type of </w:t>
      </w:r>
      <w:r w:rsidRPr="00EC20A0">
        <w:t>transaction is the submission of noncash transactions, such as accruals and amortization. Entities typically record accruals and amortization</w:t>
      </w:r>
      <w:r w:rsidRPr="00EC20A0">
        <w:rPr>
          <w:spacing w:val="-5"/>
        </w:rPr>
        <w:t xml:space="preserve"> </w:t>
      </w:r>
      <w:r w:rsidRPr="00EC20A0">
        <w:t>in</w:t>
      </w:r>
      <w:r w:rsidRPr="00EC20A0">
        <w:rPr>
          <w:spacing w:val="-5"/>
        </w:rPr>
        <w:t xml:space="preserve"> </w:t>
      </w:r>
      <w:r w:rsidRPr="00EC20A0">
        <w:t>their</w:t>
      </w:r>
      <w:r w:rsidRPr="00EC20A0">
        <w:rPr>
          <w:spacing w:val="-5"/>
        </w:rPr>
        <w:t xml:space="preserve"> </w:t>
      </w:r>
      <w:r w:rsidRPr="00EC20A0">
        <w:t>financial</w:t>
      </w:r>
      <w:r w:rsidRPr="00EC20A0">
        <w:rPr>
          <w:spacing w:val="-5"/>
        </w:rPr>
        <w:t xml:space="preserve"> </w:t>
      </w:r>
      <w:r w:rsidRPr="00EC20A0">
        <w:t>management</w:t>
      </w:r>
      <w:r w:rsidRPr="00EC20A0">
        <w:rPr>
          <w:spacing w:val="-5"/>
        </w:rPr>
        <w:t xml:space="preserve"> </w:t>
      </w:r>
      <w:r w:rsidRPr="00EC20A0">
        <w:t>systems</w:t>
      </w:r>
      <w:r w:rsidRPr="00EC20A0">
        <w:rPr>
          <w:spacing w:val="-5"/>
        </w:rPr>
        <w:t xml:space="preserve"> </w:t>
      </w:r>
      <w:r w:rsidRPr="00EC20A0">
        <w:t>and</w:t>
      </w:r>
      <w:r w:rsidRPr="00EC20A0">
        <w:rPr>
          <w:spacing w:val="-5"/>
        </w:rPr>
        <w:t xml:space="preserve"> </w:t>
      </w:r>
      <w:r w:rsidRPr="00EC20A0">
        <w:t>subsequently</w:t>
      </w:r>
      <w:r w:rsidRPr="00EC20A0">
        <w:rPr>
          <w:spacing w:val="-6"/>
        </w:rPr>
        <w:t xml:space="preserve"> </w:t>
      </w:r>
      <w:r w:rsidRPr="00EC20A0">
        <w:t>submit reclassification entries via the CTA module for CARS reporting. TAS and BETC information must be included in such an entry.</w:t>
      </w:r>
    </w:p>
    <w:p w14:paraId="24D61A14" w14:textId="77777777" w:rsidR="00245300" w:rsidRPr="00EC20A0" w:rsidRDefault="00F17249">
      <w:pPr>
        <w:pStyle w:val="Heading5"/>
        <w:spacing w:before="238"/>
        <w:rPr>
          <w:u w:val="none"/>
        </w:rPr>
      </w:pPr>
      <w:bookmarkStart w:id="317" w:name="Central_Accounting_Reporting_System"/>
      <w:bookmarkEnd w:id="317"/>
      <w:r w:rsidRPr="00EC20A0">
        <w:t>Central</w:t>
      </w:r>
      <w:r w:rsidRPr="00EC20A0">
        <w:rPr>
          <w:spacing w:val="-5"/>
        </w:rPr>
        <w:t xml:space="preserve"> </w:t>
      </w:r>
      <w:r w:rsidRPr="00EC20A0">
        <w:t>Accounting</w:t>
      </w:r>
      <w:r w:rsidRPr="00EC20A0">
        <w:rPr>
          <w:spacing w:val="-5"/>
        </w:rPr>
        <w:t xml:space="preserve"> </w:t>
      </w:r>
      <w:r w:rsidRPr="00EC20A0">
        <w:t>Reporting</w:t>
      </w:r>
      <w:r w:rsidRPr="00EC20A0">
        <w:rPr>
          <w:spacing w:val="-5"/>
        </w:rPr>
        <w:t xml:space="preserve"> </w:t>
      </w:r>
      <w:r w:rsidRPr="00EC20A0">
        <w:rPr>
          <w:spacing w:val="-2"/>
        </w:rPr>
        <w:t>System</w:t>
      </w:r>
    </w:p>
    <w:p w14:paraId="24D61A15" w14:textId="77777777" w:rsidR="00245300" w:rsidRPr="00EC20A0" w:rsidRDefault="00F17249">
      <w:pPr>
        <w:pStyle w:val="ListParagraph"/>
        <w:numPr>
          <w:ilvl w:val="0"/>
          <w:numId w:val="91"/>
        </w:numPr>
        <w:tabs>
          <w:tab w:val="left" w:pos="1639"/>
        </w:tabs>
        <w:ind w:left="1639" w:hanging="719"/>
      </w:pPr>
      <w:r w:rsidRPr="00EC20A0">
        <w:t>Fiscal</w:t>
      </w:r>
      <w:r w:rsidRPr="00EC20A0">
        <w:rPr>
          <w:spacing w:val="-6"/>
        </w:rPr>
        <w:t xml:space="preserve"> </w:t>
      </w:r>
      <w:r w:rsidRPr="00EC20A0">
        <w:t>Service</w:t>
      </w:r>
      <w:r w:rsidRPr="00EC20A0">
        <w:rPr>
          <w:spacing w:val="-6"/>
        </w:rPr>
        <w:t xml:space="preserve"> </w:t>
      </w:r>
      <w:r w:rsidRPr="00EC20A0">
        <w:t>is</w:t>
      </w:r>
      <w:r w:rsidRPr="00EC20A0">
        <w:rPr>
          <w:spacing w:val="-6"/>
        </w:rPr>
        <w:t xml:space="preserve"> </w:t>
      </w:r>
      <w:r w:rsidRPr="00EC20A0">
        <w:t>the</w:t>
      </w:r>
      <w:r w:rsidRPr="00EC20A0">
        <w:rPr>
          <w:spacing w:val="-6"/>
        </w:rPr>
        <w:t xml:space="preserve"> </w:t>
      </w:r>
      <w:r w:rsidRPr="00EC20A0">
        <w:t>entity</w:t>
      </w:r>
      <w:r w:rsidRPr="00EC20A0">
        <w:rPr>
          <w:spacing w:val="-6"/>
        </w:rPr>
        <w:t xml:space="preserve"> </w:t>
      </w:r>
      <w:r w:rsidRPr="00EC20A0">
        <w:t>responsible</w:t>
      </w:r>
      <w:r w:rsidRPr="00EC20A0">
        <w:rPr>
          <w:spacing w:val="-6"/>
        </w:rPr>
        <w:t xml:space="preserve"> </w:t>
      </w:r>
      <w:r w:rsidRPr="00EC20A0">
        <w:t>for</w:t>
      </w:r>
      <w:r w:rsidRPr="00EC20A0">
        <w:rPr>
          <w:spacing w:val="-6"/>
        </w:rPr>
        <w:t xml:space="preserve"> </w:t>
      </w:r>
      <w:r w:rsidRPr="00EC20A0">
        <w:t>accounting</w:t>
      </w:r>
      <w:r w:rsidRPr="00EC20A0">
        <w:rPr>
          <w:spacing w:val="-5"/>
        </w:rPr>
        <w:t xml:space="preserve"> </w:t>
      </w:r>
      <w:r w:rsidRPr="00EC20A0">
        <w:t>for</w:t>
      </w:r>
      <w:r w:rsidRPr="00EC20A0">
        <w:rPr>
          <w:spacing w:val="-6"/>
        </w:rPr>
        <w:t xml:space="preserve"> </w:t>
      </w:r>
      <w:r w:rsidRPr="00EC20A0">
        <w:t>the</w:t>
      </w:r>
      <w:r w:rsidRPr="00EC20A0">
        <w:rPr>
          <w:spacing w:val="-6"/>
        </w:rPr>
        <w:t xml:space="preserve"> </w:t>
      </w:r>
      <w:r w:rsidRPr="00EC20A0">
        <w:t>cash</w:t>
      </w:r>
      <w:r w:rsidRPr="00EC20A0">
        <w:rPr>
          <w:spacing w:val="-6"/>
        </w:rPr>
        <w:t xml:space="preserve"> </w:t>
      </w:r>
      <w:r w:rsidRPr="00EC20A0">
        <w:t>activity</w:t>
      </w:r>
      <w:r w:rsidRPr="00EC20A0">
        <w:rPr>
          <w:spacing w:val="-6"/>
        </w:rPr>
        <w:t xml:space="preserve"> </w:t>
      </w:r>
      <w:r w:rsidRPr="00EC20A0">
        <w:t>of</w:t>
      </w:r>
      <w:r w:rsidRPr="00EC20A0">
        <w:rPr>
          <w:spacing w:val="-6"/>
        </w:rPr>
        <w:t xml:space="preserve"> </w:t>
      </w:r>
      <w:r w:rsidRPr="00EC20A0">
        <w:rPr>
          <w:spacing w:val="-5"/>
        </w:rPr>
        <w:t>the</w:t>
      </w:r>
    </w:p>
    <w:p w14:paraId="24D61A16" w14:textId="77777777" w:rsidR="00245300" w:rsidRPr="00EC20A0" w:rsidRDefault="00F17249">
      <w:pPr>
        <w:pStyle w:val="BodyText"/>
        <w:ind w:left="1640" w:right="337" w:hanging="1"/>
      </w:pPr>
      <w:r w:rsidRPr="00EC20A0">
        <w:t>U.S.</w:t>
      </w:r>
      <w:r w:rsidRPr="00EC20A0">
        <w:rPr>
          <w:spacing w:val="-4"/>
        </w:rPr>
        <w:t xml:space="preserve"> </w:t>
      </w:r>
      <w:r w:rsidRPr="00EC20A0">
        <w:t>government,</w:t>
      </w:r>
      <w:r w:rsidRPr="00EC20A0">
        <w:rPr>
          <w:spacing w:val="-4"/>
        </w:rPr>
        <w:t xml:space="preserve"> </w:t>
      </w:r>
      <w:r w:rsidRPr="00EC20A0">
        <w:t>which</w:t>
      </w:r>
      <w:r w:rsidRPr="00EC20A0">
        <w:rPr>
          <w:spacing w:val="-4"/>
        </w:rPr>
        <w:t xml:space="preserve"> </w:t>
      </w:r>
      <w:r w:rsidRPr="00EC20A0">
        <w:t>is</w:t>
      </w:r>
      <w:r w:rsidRPr="00EC20A0">
        <w:rPr>
          <w:spacing w:val="-4"/>
        </w:rPr>
        <w:t xml:space="preserve"> </w:t>
      </w:r>
      <w:r w:rsidRPr="00EC20A0">
        <w:t>affected</w:t>
      </w:r>
      <w:r w:rsidRPr="00EC20A0">
        <w:rPr>
          <w:spacing w:val="-7"/>
        </w:rPr>
        <w:t xml:space="preserve"> </w:t>
      </w:r>
      <w:r w:rsidRPr="00EC20A0">
        <w:t>by</w:t>
      </w:r>
      <w:r w:rsidRPr="00EC20A0">
        <w:rPr>
          <w:spacing w:val="-4"/>
        </w:rPr>
        <w:t xml:space="preserve"> </w:t>
      </w:r>
      <w:r w:rsidRPr="00EC20A0">
        <w:t>FBWT</w:t>
      </w:r>
      <w:r w:rsidRPr="00EC20A0">
        <w:rPr>
          <w:spacing w:val="-4"/>
        </w:rPr>
        <w:t xml:space="preserve"> </w:t>
      </w:r>
      <w:r w:rsidRPr="00EC20A0">
        <w:t>activity</w:t>
      </w:r>
      <w:r w:rsidRPr="00EC20A0">
        <w:rPr>
          <w:spacing w:val="-4"/>
        </w:rPr>
        <w:t xml:space="preserve"> </w:t>
      </w:r>
      <w:r w:rsidRPr="00EC20A0">
        <w:t>reported</w:t>
      </w:r>
      <w:r w:rsidRPr="00EC20A0">
        <w:rPr>
          <w:spacing w:val="-4"/>
        </w:rPr>
        <w:t xml:space="preserve"> </w:t>
      </w:r>
      <w:r w:rsidRPr="00EC20A0">
        <w:t>by</w:t>
      </w:r>
      <w:r w:rsidRPr="00EC20A0">
        <w:rPr>
          <w:spacing w:val="-4"/>
        </w:rPr>
        <w:t xml:space="preserve"> </w:t>
      </w:r>
      <w:r w:rsidRPr="00EC20A0">
        <w:t>entities.</w:t>
      </w:r>
      <w:r w:rsidRPr="00EC20A0">
        <w:rPr>
          <w:spacing w:val="-4"/>
        </w:rPr>
        <w:t xml:space="preserve"> </w:t>
      </w:r>
      <w:r w:rsidRPr="00EC20A0">
        <w:t>Fiscal Service maintains CARS for government-wide accounting and reporting purposes.</w:t>
      </w:r>
      <w:hyperlink w:anchor="_bookmark182" w:history="1">
        <w:r w:rsidRPr="00EC20A0">
          <w:rPr>
            <w:position w:val="7"/>
            <w:sz w:val="14"/>
          </w:rPr>
          <w:t>28</w:t>
        </w:r>
      </w:hyperlink>
      <w:r w:rsidRPr="00EC20A0">
        <w:rPr>
          <w:spacing w:val="30"/>
          <w:position w:val="7"/>
          <w:sz w:val="14"/>
        </w:rPr>
        <w:t xml:space="preserve"> </w:t>
      </w:r>
      <w:r w:rsidRPr="00EC20A0">
        <w:t>CARS enables entities to classify and transmit FBWT transactions with TASs and BETCs on a transactional level upon initiation (i.e., full-CARS reporting).</w:t>
      </w:r>
      <w:hyperlink w:anchor="_bookmark183" w:history="1">
        <w:r w:rsidRPr="00EC20A0">
          <w:rPr>
            <w:position w:val="7"/>
            <w:sz w:val="14"/>
          </w:rPr>
          <w:t>29</w:t>
        </w:r>
      </w:hyperlink>
      <w:r w:rsidRPr="00EC20A0">
        <w:rPr>
          <w:spacing w:val="37"/>
          <w:position w:val="7"/>
          <w:sz w:val="14"/>
        </w:rPr>
        <w:t xml:space="preserve"> </w:t>
      </w:r>
      <w:r w:rsidRPr="00EC20A0">
        <w:t>CARS provides the following functions relevant to the FBWT reporting process:</w:t>
      </w:r>
    </w:p>
    <w:p w14:paraId="24D61A17" w14:textId="77777777" w:rsidR="00245300" w:rsidRPr="00EC20A0" w:rsidRDefault="00F17249">
      <w:pPr>
        <w:pStyle w:val="ListParagraph"/>
        <w:numPr>
          <w:ilvl w:val="1"/>
          <w:numId w:val="91"/>
        </w:numPr>
        <w:tabs>
          <w:tab w:val="left" w:pos="2000"/>
        </w:tabs>
        <w:ind w:left="2000" w:right="818" w:hanging="361"/>
        <w:rPr>
          <w:sz w:val="14"/>
        </w:rPr>
      </w:pPr>
      <w:r w:rsidRPr="00EC20A0">
        <w:t>Captures appropriation,</w:t>
      </w:r>
      <w:hyperlink w:anchor="_bookmark184" w:history="1">
        <w:r w:rsidRPr="00EC20A0">
          <w:rPr>
            <w:position w:val="7"/>
            <w:sz w:val="14"/>
          </w:rPr>
          <w:t>30</w:t>
        </w:r>
      </w:hyperlink>
      <w:r w:rsidRPr="00EC20A0">
        <w:rPr>
          <w:spacing w:val="40"/>
          <w:position w:val="7"/>
          <w:sz w:val="14"/>
        </w:rPr>
        <w:t xml:space="preserve"> </w:t>
      </w:r>
      <w:r w:rsidRPr="00EC20A0">
        <w:t>collection and disbursement (including intragovernmental),</w:t>
      </w:r>
      <w:r w:rsidRPr="00EC20A0">
        <w:rPr>
          <w:spacing w:val="-5"/>
        </w:rPr>
        <w:t xml:space="preserve"> </w:t>
      </w:r>
      <w:r w:rsidRPr="00EC20A0">
        <w:t>and</w:t>
      </w:r>
      <w:r w:rsidRPr="00EC20A0">
        <w:rPr>
          <w:spacing w:val="-5"/>
        </w:rPr>
        <w:t xml:space="preserve"> </w:t>
      </w:r>
      <w:r w:rsidRPr="00EC20A0">
        <w:t>other</w:t>
      </w:r>
      <w:r w:rsidRPr="00EC20A0">
        <w:rPr>
          <w:spacing w:val="-5"/>
        </w:rPr>
        <w:t xml:space="preserve"> </w:t>
      </w:r>
      <w:r w:rsidRPr="00EC20A0">
        <w:t>FBWT</w:t>
      </w:r>
      <w:r w:rsidRPr="00EC20A0">
        <w:rPr>
          <w:spacing w:val="-5"/>
        </w:rPr>
        <w:t xml:space="preserve"> </w:t>
      </w:r>
      <w:r w:rsidRPr="00EC20A0">
        <w:t>activity</w:t>
      </w:r>
      <w:r w:rsidRPr="00EC20A0">
        <w:rPr>
          <w:spacing w:val="-5"/>
        </w:rPr>
        <w:t xml:space="preserve"> </w:t>
      </w:r>
      <w:r w:rsidRPr="00EC20A0">
        <w:t>by</w:t>
      </w:r>
      <w:r w:rsidRPr="00EC20A0">
        <w:rPr>
          <w:spacing w:val="-6"/>
        </w:rPr>
        <w:t xml:space="preserve"> </w:t>
      </w:r>
      <w:r w:rsidRPr="00EC20A0">
        <w:t>TAS,</w:t>
      </w:r>
      <w:r w:rsidRPr="00EC20A0">
        <w:rPr>
          <w:spacing w:val="-5"/>
        </w:rPr>
        <w:t xml:space="preserve"> </w:t>
      </w:r>
      <w:r w:rsidRPr="00EC20A0">
        <w:t>BETC,</w:t>
      </w:r>
      <w:r w:rsidRPr="00EC20A0">
        <w:rPr>
          <w:spacing w:val="-4"/>
        </w:rPr>
        <w:t xml:space="preserve"> </w:t>
      </w:r>
      <w:r w:rsidRPr="00EC20A0">
        <w:t>and</w:t>
      </w:r>
      <w:r w:rsidRPr="00EC20A0">
        <w:rPr>
          <w:spacing w:val="-5"/>
        </w:rPr>
        <w:t xml:space="preserve"> </w:t>
      </w:r>
      <w:r w:rsidRPr="00EC20A0">
        <w:t>Agency Location Code.</w:t>
      </w:r>
      <w:hyperlink w:anchor="_bookmark185" w:history="1">
        <w:r w:rsidRPr="00EC20A0">
          <w:rPr>
            <w:position w:val="7"/>
            <w:sz w:val="14"/>
          </w:rPr>
          <w:t>31</w:t>
        </w:r>
      </w:hyperlink>
    </w:p>
    <w:p w14:paraId="24D61A18" w14:textId="77777777" w:rsidR="00245300" w:rsidRPr="00EC20A0" w:rsidRDefault="00F17249">
      <w:pPr>
        <w:pStyle w:val="ListParagraph"/>
        <w:numPr>
          <w:ilvl w:val="1"/>
          <w:numId w:val="91"/>
        </w:numPr>
        <w:tabs>
          <w:tab w:val="left" w:pos="1999"/>
        </w:tabs>
        <w:spacing w:before="238"/>
        <w:ind w:right="352"/>
      </w:pPr>
      <w:r w:rsidRPr="00EC20A0">
        <w:t>Allows entities access to transaction information reported through Fiscal Service</w:t>
      </w:r>
      <w:r w:rsidRPr="00EC20A0">
        <w:rPr>
          <w:spacing w:val="-5"/>
        </w:rPr>
        <w:t xml:space="preserve"> </w:t>
      </w:r>
      <w:r w:rsidRPr="00EC20A0">
        <w:t>collection</w:t>
      </w:r>
      <w:r w:rsidRPr="00EC20A0">
        <w:rPr>
          <w:spacing w:val="-5"/>
        </w:rPr>
        <w:t xml:space="preserve"> </w:t>
      </w:r>
      <w:r w:rsidRPr="00EC20A0">
        <w:t>reporting</w:t>
      </w:r>
      <w:r w:rsidRPr="00EC20A0">
        <w:rPr>
          <w:spacing w:val="-5"/>
        </w:rPr>
        <w:t xml:space="preserve"> </w:t>
      </w:r>
      <w:r w:rsidRPr="00EC20A0">
        <w:t>systems,</w:t>
      </w:r>
      <w:r w:rsidRPr="00EC20A0">
        <w:rPr>
          <w:spacing w:val="-5"/>
        </w:rPr>
        <w:t xml:space="preserve"> </w:t>
      </w:r>
      <w:r w:rsidRPr="00EC20A0">
        <w:t>payment</w:t>
      </w:r>
      <w:r w:rsidRPr="00EC20A0">
        <w:rPr>
          <w:spacing w:val="-5"/>
        </w:rPr>
        <w:t xml:space="preserve"> </w:t>
      </w:r>
      <w:r w:rsidRPr="00EC20A0">
        <w:t>information</w:t>
      </w:r>
      <w:r w:rsidRPr="00EC20A0">
        <w:rPr>
          <w:spacing w:val="-5"/>
        </w:rPr>
        <w:t xml:space="preserve"> </w:t>
      </w:r>
      <w:r w:rsidRPr="00EC20A0">
        <w:t>systems,</w:t>
      </w:r>
      <w:r w:rsidRPr="00EC20A0">
        <w:rPr>
          <w:spacing w:val="-5"/>
        </w:rPr>
        <w:t xml:space="preserve"> </w:t>
      </w:r>
      <w:r w:rsidRPr="00EC20A0">
        <w:t>and</w:t>
      </w:r>
      <w:r w:rsidRPr="00EC20A0">
        <w:rPr>
          <w:spacing w:val="-5"/>
        </w:rPr>
        <w:t xml:space="preserve"> </w:t>
      </w:r>
      <w:r w:rsidRPr="00EC20A0">
        <w:t xml:space="preserve">other sources to support research and reconciliation of Fiscal Service and entity FBWT records. Allows entities to process </w:t>
      </w:r>
      <w:proofErr w:type="spellStart"/>
      <w:r w:rsidRPr="00EC20A0">
        <w:t>nonexpenditure</w:t>
      </w:r>
      <w:proofErr w:type="spellEnd"/>
      <w:r w:rsidRPr="00EC20A0">
        <w:t xml:space="preserve"> transfers in the CARS Agency Transaction Module.</w:t>
      </w:r>
    </w:p>
    <w:p w14:paraId="24D61A19" w14:textId="77777777" w:rsidR="00245300" w:rsidRPr="00EC20A0" w:rsidRDefault="00F17249">
      <w:pPr>
        <w:pStyle w:val="ListParagraph"/>
        <w:numPr>
          <w:ilvl w:val="1"/>
          <w:numId w:val="91"/>
        </w:numPr>
        <w:tabs>
          <w:tab w:val="left" w:pos="2000"/>
        </w:tabs>
        <w:spacing w:before="238"/>
        <w:ind w:left="2000" w:right="597"/>
      </w:pPr>
      <w:r w:rsidRPr="00EC20A0">
        <w:t>Allows entities to report some information, such as adjustments or other supplementary</w:t>
      </w:r>
      <w:r w:rsidRPr="00EC20A0">
        <w:rPr>
          <w:spacing w:val="-5"/>
        </w:rPr>
        <w:t xml:space="preserve"> </w:t>
      </w:r>
      <w:r w:rsidRPr="00EC20A0">
        <w:t>information,</w:t>
      </w:r>
      <w:r w:rsidRPr="00EC20A0">
        <w:rPr>
          <w:spacing w:val="-5"/>
        </w:rPr>
        <w:t xml:space="preserve"> </w:t>
      </w:r>
      <w:r w:rsidRPr="00EC20A0">
        <w:t>directly</w:t>
      </w:r>
      <w:r w:rsidRPr="00EC20A0">
        <w:rPr>
          <w:spacing w:val="-5"/>
        </w:rPr>
        <w:t xml:space="preserve"> </w:t>
      </w:r>
      <w:r w:rsidRPr="00EC20A0">
        <w:t>to</w:t>
      </w:r>
      <w:r w:rsidRPr="00EC20A0">
        <w:rPr>
          <w:spacing w:val="-5"/>
        </w:rPr>
        <w:t xml:space="preserve"> </w:t>
      </w:r>
      <w:r w:rsidRPr="00EC20A0">
        <w:t>CARS</w:t>
      </w:r>
      <w:r w:rsidRPr="00EC20A0">
        <w:rPr>
          <w:spacing w:val="-5"/>
        </w:rPr>
        <w:t xml:space="preserve"> </w:t>
      </w:r>
      <w:r w:rsidRPr="00EC20A0">
        <w:t>using</w:t>
      </w:r>
      <w:r w:rsidRPr="00EC20A0">
        <w:rPr>
          <w:spacing w:val="-5"/>
        </w:rPr>
        <w:t xml:space="preserve"> </w:t>
      </w:r>
      <w:r w:rsidRPr="00EC20A0">
        <w:t>the</w:t>
      </w:r>
      <w:r w:rsidRPr="00EC20A0">
        <w:rPr>
          <w:spacing w:val="-5"/>
        </w:rPr>
        <w:t xml:space="preserve"> </w:t>
      </w:r>
      <w:r w:rsidRPr="00EC20A0">
        <w:t>CARS</w:t>
      </w:r>
      <w:r w:rsidRPr="00EC20A0">
        <w:rPr>
          <w:spacing w:val="-5"/>
        </w:rPr>
        <w:t xml:space="preserve"> </w:t>
      </w:r>
      <w:r w:rsidRPr="00EC20A0">
        <w:t>CTA</w:t>
      </w:r>
      <w:r w:rsidRPr="00EC20A0">
        <w:rPr>
          <w:spacing w:val="-4"/>
        </w:rPr>
        <w:t xml:space="preserve"> </w:t>
      </w:r>
      <w:r w:rsidRPr="00EC20A0">
        <w:t>module.</w:t>
      </w:r>
    </w:p>
    <w:p w14:paraId="24D61A1A" w14:textId="77777777" w:rsidR="00245300" w:rsidRPr="00EC20A0" w:rsidRDefault="00F17249">
      <w:pPr>
        <w:pStyle w:val="ListParagraph"/>
        <w:numPr>
          <w:ilvl w:val="1"/>
          <w:numId w:val="91"/>
        </w:numPr>
        <w:tabs>
          <w:tab w:val="left" w:pos="2000"/>
        </w:tabs>
        <w:spacing w:before="238"/>
        <w:ind w:left="2000" w:right="622" w:hanging="361"/>
      </w:pPr>
      <w:r w:rsidRPr="00EC20A0">
        <w:t>Provides</w:t>
      </w:r>
      <w:r w:rsidRPr="00EC20A0">
        <w:rPr>
          <w:spacing w:val="-4"/>
        </w:rPr>
        <w:t xml:space="preserve"> </w:t>
      </w:r>
      <w:r w:rsidRPr="00EC20A0">
        <w:t>Statements</w:t>
      </w:r>
      <w:r w:rsidRPr="00EC20A0">
        <w:rPr>
          <w:spacing w:val="-5"/>
        </w:rPr>
        <w:t xml:space="preserve"> </w:t>
      </w:r>
      <w:r w:rsidRPr="00EC20A0">
        <w:t>of</w:t>
      </w:r>
      <w:r w:rsidRPr="00EC20A0">
        <w:rPr>
          <w:spacing w:val="-5"/>
        </w:rPr>
        <w:t xml:space="preserve"> </w:t>
      </w:r>
      <w:r w:rsidRPr="00EC20A0">
        <w:t>Differences</w:t>
      </w:r>
      <w:r w:rsidRPr="00EC20A0">
        <w:rPr>
          <w:spacing w:val="-6"/>
        </w:rPr>
        <w:t xml:space="preserve"> </w:t>
      </w:r>
      <w:r w:rsidRPr="00EC20A0">
        <w:t>for</w:t>
      </w:r>
      <w:r w:rsidRPr="00EC20A0">
        <w:rPr>
          <w:spacing w:val="-5"/>
        </w:rPr>
        <w:t xml:space="preserve"> </w:t>
      </w:r>
      <w:r w:rsidRPr="00EC20A0">
        <w:t>differences</w:t>
      </w:r>
      <w:r w:rsidRPr="00EC20A0">
        <w:rPr>
          <w:spacing w:val="-5"/>
        </w:rPr>
        <w:t xml:space="preserve"> </w:t>
      </w:r>
      <w:r w:rsidRPr="00EC20A0">
        <w:t>between</w:t>
      </w:r>
      <w:r w:rsidRPr="00EC20A0">
        <w:rPr>
          <w:spacing w:val="-5"/>
        </w:rPr>
        <w:t xml:space="preserve"> </w:t>
      </w:r>
      <w:r w:rsidRPr="00EC20A0">
        <w:t>(1)</w:t>
      </w:r>
      <w:r w:rsidRPr="00EC20A0">
        <w:rPr>
          <w:spacing w:val="-5"/>
        </w:rPr>
        <w:t xml:space="preserve"> </w:t>
      </w:r>
      <w:r w:rsidRPr="00EC20A0">
        <w:t>information reported by entities into CARS via the CTA module and (2) information reported to CARS by Fiscal Service collection reporting systems and payment information systems.</w:t>
      </w:r>
    </w:p>
    <w:p w14:paraId="24D61A1B" w14:textId="77777777" w:rsidR="00245300" w:rsidRPr="00EC20A0" w:rsidRDefault="00F17249">
      <w:pPr>
        <w:pStyle w:val="ListParagraph"/>
        <w:numPr>
          <w:ilvl w:val="1"/>
          <w:numId w:val="91"/>
        </w:numPr>
        <w:tabs>
          <w:tab w:val="left" w:pos="2000"/>
        </w:tabs>
        <w:spacing w:before="239"/>
        <w:ind w:left="2000" w:right="400" w:hanging="361"/>
      </w:pPr>
      <w:r w:rsidRPr="00EC20A0">
        <w:t>Provides entities with FBWT Account Statements. Treasury provides these statements</w:t>
      </w:r>
      <w:r w:rsidRPr="00EC20A0">
        <w:rPr>
          <w:spacing w:val="-4"/>
        </w:rPr>
        <w:t xml:space="preserve"> </w:t>
      </w:r>
      <w:r w:rsidRPr="00EC20A0">
        <w:t>by</w:t>
      </w:r>
      <w:r w:rsidRPr="00EC20A0">
        <w:rPr>
          <w:spacing w:val="-4"/>
        </w:rPr>
        <w:t xml:space="preserve"> </w:t>
      </w:r>
      <w:r w:rsidRPr="00EC20A0">
        <w:t>TAS</w:t>
      </w:r>
      <w:r w:rsidRPr="00EC20A0">
        <w:rPr>
          <w:spacing w:val="-5"/>
        </w:rPr>
        <w:t xml:space="preserve"> </w:t>
      </w:r>
      <w:r w:rsidRPr="00EC20A0">
        <w:t>and</w:t>
      </w:r>
      <w:r w:rsidRPr="00EC20A0">
        <w:rPr>
          <w:spacing w:val="-4"/>
        </w:rPr>
        <w:t xml:space="preserve"> </w:t>
      </w:r>
      <w:r w:rsidRPr="00EC20A0">
        <w:t>Agency</w:t>
      </w:r>
      <w:r w:rsidRPr="00EC20A0">
        <w:rPr>
          <w:spacing w:val="-4"/>
        </w:rPr>
        <w:t xml:space="preserve"> </w:t>
      </w:r>
      <w:r w:rsidRPr="00EC20A0">
        <w:t>Location</w:t>
      </w:r>
      <w:r w:rsidRPr="00EC20A0">
        <w:rPr>
          <w:spacing w:val="-4"/>
        </w:rPr>
        <w:t xml:space="preserve"> </w:t>
      </w:r>
      <w:r w:rsidRPr="00EC20A0">
        <w:t>Code,</w:t>
      </w:r>
      <w:r w:rsidRPr="00EC20A0">
        <w:rPr>
          <w:spacing w:val="-3"/>
        </w:rPr>
        <w:t xml:space="preserve"> </w:t>
      </w:r>
      <w:r w:rsidRPr="00EC20A0">
        <w:t>and</w:t>
      </w:r>
      <w:r w:rsidRPr="00EC20A0">
        <w:rPr>
          <w:spacing w:val="-4"/>
        </w:rPr>
        <w:t xml:space="preserve"> </w:t>
      </w:r>
      <w:r w:rsidRPr="00EC20A0">
        <w:t>the</w:t>
      </w:r>
      <w:r w:rsidRPr="00EC20A0">
        <w:rPr>
          <w:spacing w:val="-4"/>
        </w:rPr>
        <w:t xml:space="preserve"> </w:t>
      </w:r>
      <w:r w:rsidRPr="00EC20A0">
        <w:t>statements</w:t>
      </w:r>
      <w:r w:rsidRPr="00EC20A0">
        <w:rPr>
          <w:spacing w:val="-4"/>
        </w:rPr>
        <w:t xml:space="preserve"> </w:t>
      </w:r>
      <w:r w:rsidRPr="00EC20A0">
        <w:t>include</w:t>
      </w:r>
      <w:r w:rsidRPr="00EC20A0">
        <w:rPr>
          <w:spacing w:val="-4"/>
        </w:rPr>
        <w:t xml:space="preserve"> </w:t>
      </w:r>
      <w:r w:rsidRPr="00EC20A0">
        <w:t>a roll</w:t>
      </w:r>
      <w:r w:rsidRPr="00EC20A0">
        <w:rPr>
          <w:spacing w:val="-3"/>
        </w:rPr>
        <w:t xml:space="preserve"> </w:t>
      </w:r>
      <w:r w:rsidRPr="00EC20A0">
        <w:t>forward</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previous</w:t>
      </w:r>
      <w:r w:rsidRPr="00EC20A0">
        <w:rPr>
          <w:spacing w:val="-3"/>
        </w:rPr>
        <w:t xml:space="preserve"> </w:t>
      </w:r>
      <w:r w:rsidRPr="00EC20A0">
        <w:t>month’s</w:t>
      </w:r>
      <w:r w:rsidRPr="00EC20A0">
        <w:rPr>
          <w:spacing w:val="-4"/>
        </w:rPr>
        <w:t xml:space="preserve"> </w:t>
      </w:r>
      <w:r w:rsidRPr="00EC20A0">
        <w:t>balance;</w:t>
      </w:r>
      <w:r w:rsidRPr="00EC20A0">
        <w:rPr>
          <w:spacing w:val="-2"/>
        </w:rPr>
        <w:t xml:space="preserve"> </w:t>
      </w:r>
      <w:r w:rsidRPr="00EC20A0">
        <w:t>the</w:t>
      </w:r>
      <w:r w:rsidRPr="00EC20A0">
        <w:rPr>
          <w:spacing w:val="-4"/>
        </w:rPr>
        <w:t xml:space="preserve"> </w:t>
      </w:r>
      <w:r w:rsidRPr="00EC20A0">
        <w:t>current</w:t>
      </w:r>
      <w:r w:rsidRPr="00EC20A0">
        <w:rPr>
          <w:spacing w:val="-3"/>
        </w:rPr>
        <w:t xml:space="preserve"> </w:t>
      </w:r>
      <w:r w:rsidRPr="00EC20A0">
        <w:t>month’s</w:t>
      </w:r>
      <w:r w:rsidRPr="00EC20A0">
        <w:rPr>
          <w:spacing w:val="-3"/>
        </w:rPr>
        <w:t xml:space="preserve"> </w:t>
      </w:r>
      <w:r w:rsidRPr="00EC20A0">
        <w:t>activity;</w:t>
      </w:r>
      <w:r w:rsidRPr="00EC20A0">
        <w:rPr>
          <w:spacing w:val="-3"/>
        </w:rPr>
        <w:t xml:space="preserve"> </w:t>
      </w:r>
      <w:r w:rsidRPr="00EC20A0">
        <w:t>and</w:t>
      </w:r>
    </w:p>
    <w:p w14:paraId="24D61A1C" w14:textId="77777777" w:rsidR="00245300" w:rsidRPr="00EC20A0" w:rsidRDefault="00F17249">
      <w:pPr>
        <w:pStyle w:val="BodyText"/>
        <w:spacing w:before="216"/>
        <w:rPr>
          <w:sz w:val="20"/>
        </w:rPr>
      </w:pPr>
      <w:r w:rsidRPr="00EC20A0">
        <w:rPr>
          <w:noProof/>
        </w:rPr>
        <mc:AlternateContent>
          <mc:Choice Requires="wps">
            <w:drawing>
              <wp:anchor distT="0" distB="0" distL="0" distR="0" simplePos="0" relativeHeight="487714304" behindDoc="1" locked="0" layoutInCell="1" allowOverlap="1" wp14:anchorId="24D62CA3" wp14:editId="24D62CA4">
                <wp:simplePos x="0" y="0"/>
                <wp:positionH relativeFrom="page">
                  <wp:posOffset>914400</wp:posOffset>
                </wp:positionH>
                <wp:positionV relativeFrom="paragraph">
                  <wp:posOffset>298950</wp:posOffset>
                </wp:positionV>
                <wp:extent cx="1828800" cy="5715"/>
                <wp:effectExtent l="0" t="0" r="0" b="0"/>
                <wp:wrapTopAndBottom/>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919B3" id="Graphic 847" o:spid="_x0000_s1026" style="position:absolute;margin-left:1in;margin-top:23.55pt;width:2in;height:.45pt;z-index:-156021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" path="m1828800,l,,,5333r1828800,l1828800,xe" fillcolor="black" stroked="f">
                <v:path arrowok="t"/>
                <w10:wrap type="topAndBottom" anchorx="page"/>
              </v:shape>
            </w:pict>
          </mc:Fallback>
        </mc:AlternateContent>
      </w:r>
    </w:p>
    <w:p w14:paraId="24D61A1D" w14:textId="77777777" w:rsidR="00245300" w:rsidRPr="00EC20A0" w:rsidRDefault="00245300">
      <w:pPr>
        <w:pStyle w:val="BodyText"/>
        <w:spacing w:before="54"/>
        <w:rPr>
          <w:sz w:val="18"/>
        </w:rPr>
      </w:pPr>
    </w:p>
    <w:p w14:paraId="24D61A1E" w14:textId="77777777" w:rsidR="00245300" w:rsidRPr="00EC20A0" w:rsidRDefault="00F17249">
      <w:pPr>
        <w:spacing w:before="1" w:line="249" w:lineRule="auto"/>
        <w:ind w:left="199" w:right="337"/>
        <w:rPr>
          <w:sz w:val="18"/>
        </w:rPr>
      </w:pPr>
      <w:bookmarkStart w:id="318" w:name="_bookmark182"/>
      <w:bookmarkEnd w:id="318"/>
      <w:r w:rsidRPr="00EC20A0">
        <w:rPr>
          <w:position w:val="7"/>
          <w:sz w:val="14"/>
        </w:rPr>
        <w:t>28</w:t>
      </w:r>
      <w:r w:rsidRPr="00EC20A0">
        <w:rPr>
          <w:sz w:val="18"/>
        </w:rPr>
        <w:t>CARS</w:t>
      </w:r>
      <w:r w:rsidRPr="00EC20A0">
        <w:rPr>
          <w:spacing w:val="-3"/>
          <w:sz w:val="18"/>
        </w:rPr>
        <w:t xml:space="preserve"> </w:t>
      </w:r>
      <w:r w:rsidRPr="00EC20A0">
        <w:rPr>
          <w:sz w:val="18"/>
        </w:rPr>
        <w:t>provides</w:t>
      </w:r>
      <w:r w:rsidRPr="00EC20A0">
        <w:rPr>
          <w:spacing w:val="-3"/>
          <w:sz w:val="18"/>
        </w:rPr>
        <w:t xml:space="preserve"> </w:t>
      </w:r>
      <w:r w:rsidRPr="00EC20A0">
        <w:rPr>
          <w:sz w:val="18"/>
        </w:rPr>
        <w:t>accounting</w:t>
      </w:r>
      <w:r w:rsidRPr="00EC20A0">
        <w:rPr>
          <w:spacing w:val="-4"/>
          <w:sz w:val="18"/>
        </w:rPr>
        <w:t xml:space="preserve"> </w:t>
      </w:r>
      <w:r w:rsidRPr="00EC20A0">
        <w:rPr>
          <w:sz w:val="18"/>
        </w:rPr>
        <w:t>for</w:t>
      </w:r>
      <w:r w:rsidRPr="00EC20A0">
        <w:rPr>
          <w:spacing w:val="-3"/>
          <w:sz w:val="18"/>
        </w:rPr>
        <w:t xml:space="preserve"> </w:t>
      </w:r>
      <w:r w:rsidRPr="00EC20A0">
        <w:rPr>
          <w:sz w:val="18"/>
        </w:rPr>
        <w:t>each</w:t>
      </w:r>
      <w:r w:rsidRPr="00EC20A0">
        <w:rPr>
          <w:spacing w:val="-4"/>
          <w:sz w:val="18"/>
        </w:rPr>
        <w:t xml:space="preserve"> </w:t>
      </w:r>
      <w:r w:rsidRPr="00EC20A0">
        <w:rPr>
          <w:sz w:val="18"/>
        </w:rPr>
        <w:t>appropriation,</w:t>
      </w:r>
      <w:r w:rsidRPr="00EC20A0">
        <w:rPr>
          <w:spacing w:val="-3"/>
          <w:sz w:val="18"/>
        </w:rPr>
        <w:t xml:space="preserve"> </w:t>
      </w:r>
      <w:r w:rsidRPr="00EC20A0">
        <w:rPr>
          <w:sz w:val="18"/>
        </w:rPr>
        <w:t>fund,</w:t>
      </w:r>
      <w:r w:rsidRPr="00EC20A0">
        <w:rPr>
          <w:spacing w:val="-3"/>
          <w:sz w:val="18"/>
        </w:rPr>
        <w:t xml:space="preserve"> </w:t>
      </w:r>
      <w:r w:rsidRPr="00EC20A0">
        <w:rPr>
          <w:sz w:val="18"/>
        </w:rPr>
        <w:t>and</w:t>
      </w:r>
      <w:r w:rsidRPr="00EC20A0">
        <w:rPr>
          <w:spacing w:val="-4"/>
          <w:sz w:val="18"/>
        </w:rPr>
        <w:t xml:space="preserve"> </w:t>
      </w:r>
      <w:r w:rsidRPr="00EC20A0">
        <w:rPr>
          <w:sz w:val="18"/>
        </w:rPr>
        <w:t>receipt</w:t>
      </w:r>
      <w:r w:rsidRPr="00EC20A0">
        <w:rPr>
          <w:spacing w:val="-3"/>
          <w:sz w:val="18"/>
        </w:rPr>
        <w:t xml:space="preserve"> </w:t>
      </w:r>
      <w:r w:rsidRPr="00EC20A0">
        <w:rPr>
          <w:sz w:val="18"/>
        </w:rPr>
        <w:t>account’s</w:t>
      </w:r>
      <w:r w:rsidRPr="00EC20A0">
        <w:rPr>
          <w:spacing w:val="-3"/>
          <w:sz w:val="18"/>
        </w:rPr>
        <w:t xml:space="preserve"> </w:t>
      </w:r>
      <w:r w:rsidRPr="00EC20A0">
        <w:rPr>
          <w:sz w:val="18"/>
        </w:rPr>
        <w:t>FBWT,</w:t>
      </w:r>
      <w:r w:rsidRPr="00EC20A0">
        <w:rPr>
          <w:spacing w:val="-3"/>
          <w:sz w:val="18"/>
        </w:rPr>
        <w:t xml:space="preserve"> </w:t>
      </w:r>
      <w:r w:rsidRPr="00EC20A0">
        <w:rPr>
          <w:sz w:val="18"/>
        </w:rPr>
        <w:t>as</w:t>
      </w:r>
      <w:r w:rsidRPr="00EC20A0">
        <w:rPr>
          <w:spacing w:val="-4"/>
          <w:sz w:val="18"/>
        </w:rPr>
        <w:t xml:space="preserve"> </w:t>
      </w:r>
      <w:r w:rsidRPr="00EC20A0">
        <w:rPr>
          <w:sz w:val="18"/>
        </w:rPr>
        <w:t>well</w:t>
      </w:r>
      <w:r w:rsidRPr="00EC20A0">
        <w:rPr>
          <w:spacing w:val="-3"/>
          <w:sz w:val="18"/>
        </w:rPr>
        <w:t xml:space="preserve"> </w:t>
      </w:r>
      <w:r w:rsidRPr="00EC20A0">
        <w:rPr>
          <w:sz w:val="18"/>
        </w:rPr>
        <w:t>as</w:t>
      </w:r>
      <w:r w:rsidRPr="00EC20A0">
        <w:rPr>
          <w:spacing w:val="-2"/>
          <w:sz w:val="18"/>
        </w:rPr>
        <w:t xml:space="preserve"> </w:t>
      </w:r>
      <w:r w:rsidRPr="00EC20A0">
        <w:rPr>
          <w:sz w:val="18"/>
        </w:rPr>
        <w:t>accounting</w:t>
      </w:r>
      <w:r w:rsidRPr="00EC20A0">
        <w:rPr>
          <w:spacing w:val="-4"/>
          <w:sz w:val="18"/>
        </w:rPr>
        <w:t xml:space="preserve"> </w:t>
      </w:r>
      <w:r w:rsidRPr="00EC20A0">
        <w:rPr>
          <w:sz w:val="18"/>
        </w:rPr>
        <w:t>for government cash and monetary assets.</w:t>
      </w:r>
    </w:p>
    <w:p w14:paraId="24D61A1F" w14:textId="77777777" w:rsidR="00245300" w:rsidRPr="00EC20A0" w:rsidRDefault="00F17249">
      <w:pPr>
        <w:spacing w:before="116" w:line="242" w:lineRule="auto"/>
        <w:ind w:left="200" w:right="405" w:hanging="1"/>
        <w:rPr>
          <w:sz w:val="18"/>
        </w:rPr>
      </w:pPr>
      <w:bookmarkStart w:id="319" w:name="_bookmark183"/>
      <w:bookmarkEnd w:id="319"/>
      <w:r w:rsidRPr="00EC20A0">
        <w:rPr>
          <w:position w:val="7"/>
          <w:sz w:val="14"/>
        </w:rPr>
        <w:t>29</w:t>
      </w:r>
      <w:r w:rsidRPr="00EC20A0">
        <w:rPr>
          <w:sz w:val="18"/>
        </w:rPr>
        <w:t xml:space="preserve">Not all entities have implemented such capability and instead report summarized transactions each month to Treasury’s CARS (i.e., </w:t>
      </w:r>
      <w:r w:rsidRPr="00EC20A0">
        <w:rPr>
          <w:sz w:val="18"/>
        </w:rPr>
        <w:t>non-CARS reporting). Treasury hopes to transition the remaining entities to full-CARS reporting</w:t>
      </w:r>
      <w:r w:rsidRPr="00EC20A0">
        <w:rPr>
          <w:spacing w:val="-4"/>
          <w:sz w:val="18"/>
        </w:rPr>
        <w:t xml:space="preserve"> </w:t>
      </w:r>
      <w:r w:rsidRPr="00EC20A0">
        <w:rPr>
          <w:sz w:val="18"/>
        </w:rPr>
        <w:t>in</w:t>
      </w:r>
      <w:r w:rsidRPr="00EC20A0">
        <w:rPr>
          <w:spacing w:val="-4"/>
          <w:sz w:val="18"/>
        </w:rPr>
        <w:t xml:space="preserve"> </w:t>
      </w:r>
      <w:r w:rsidRPr="00EC20A0">
        <w:rPr>
          <w:sz w:val="18"/>
        </w:rPr>
        <w:t>the</w:t>
      </w:r>
      <w:r w:rsidRPr="00EC20A0">
        <w:rPr>
          <w:spacing w:val="-2"/>
          <w:sz w:val="18"/>
        </w:rPr>
        <w:t xml:space="preserve"> </w:t>
      </w:r>
      <w:r w:rsidRPr="00EC20A0">
        <w:rPr>
          <w:sz w:val="18"/>
        </w:rPr>
        <w:t>coming</w:t>
      </w:r>
      <w:r w:rsidRPr="00EC20A0">
        <w:rPr>
          <w:spacing w:val="-4"/>
          <w:sz w:val="18"/>
        </w:rPr>
        <w:t xml:space="preserve"> </w:t>
      </w:r>
      <w:r w:rsidRPr="00EC20A0">
        <w:rPr>
          <w:sz w:val="18"/>
        </w:rPr>
        <w:t>years.</w:t>
      </w:r>
      <w:r w:rsidRPr="00EC20A0">
        <w:rPr>
          <w:spacing w:val="-3"/>
          <w:sz w:val="18"/>
        </w:rPr>
        <w:t xml:space="preserve"> </w:t>
      </w:r>
      <w:r w:rsidRPr="00EC20A0">
        <w:rPr>
          <w:sz w:val="18"/>
        </w:rPr>
        <w:t>Therefore,</w:t>
      </w:r>
      <w:r w:rsidRPr="00EC20A0">
        <w:rPr>
          <w:spacing w:val="-3"/>
          <w:sz w:val="18"/>
        </w:rPr>
        <w:t xml:space="preserve"> </w:t>
      </w:r>
      <w:r w:rsidRPr="00EC20A0">
        <w:rPr>
          <w:sz w:val="18"/>
        </w:rPr>
        <w:t>the</w:t>
      </w:r>
      <w:r w:rsidRPr="00EC20A0">
        <w:rPr>
          <w:spacing w:val="-1"/>
          <w:sz w:val="18"/>
        </w:rPr>
        <w:t xml:space="preserve"> </w:t>
      </w:r>
      <w:r w:rsidRPr="00EC20A0">
        <w:rPr>
          <w:sz w:val="18"/>
        </w:rPr>
        <w:t>guidance</w:t>
      </w:r>
      <w:r w:rsidRPr="00EC20A0">
        <w:rPr>
          <w:spacing w:val="-4"/>
          <w:sz w:val="18"/>
        </w:rPr>
        <w:t xml:space="preserve"> </w:t>
      </w:r>
      <w:r w:rsidRPr="00EC20A0">
        <w:rPr>
          <w:sz w:val="18"/>
        </w:rPr>
        <w:t>in</w:t>
      </w:r>
      <w:r w:rsidRPr="00EC20A0">
        <w:rPr>
          <w:spacing w:val="-4"/>
          <w:sz w:val="18"/>
        </w:rPr>
        <w:t xml:space="preserve"> </w:t>
      </w:r>
      <w:r w:rsidRPr="00EC20A0">
        <w:rPr>
          <w:sz w:val="18"/>
        </w:rPr>
        <w:t>FAM</w:t>
      </w:r>
      <w:r w:rsidRPr="00EC20A0">
        <w:rPr>
          <w:spacing w:val="-3"/>
          <w:sz w:val="18"/>
        </w:rPr>
        <w:t xml:space="preserve"> </w:t>
      </w:r>
      <w:r w:rsidRPr="00EC20A0">
        <w:rPr>
          <w:sz w:val="18"/>
        </w:rPr>
        <w:t>921</w:t>
      </w:r>
      <w:r w:rsidRPr="00EC20A0">
        <w:rPr>
          <w:spacing w:val="-4"/>
          <w:sz w:val="18"/>
        </w:rPr>
        <w:t xml:space="preserve"> </w:t>
      </w:r>
      <w:r w:rsidRPr="00EC20A0">
        <w:rPr>
          <w:sz w:val="18"/>
        </w:rPr>
        <w:t>focuses</w:t>
      </w:r>
      <w:r w:rsidRPr="00EC20A0">
        <w:rPr>
          <w:spacing w:val="-2"/>
          <w:sz w:val="18"/>
        </w:rPr>
        <w:t xml:space="preserve"> </w:t>
      </w:r>
      <w:r w:rsidRPr="00EC20A0">
        <w:rPr>
          <w:sz w:val="18"/>
        </w:rPr>
        <w:t>on</w:t>
      </w:r>
      <w:r w:rsidRPr="00EC20A0">
        <w:rPr>
          <w:spacing w:val="-4"/>
          <w:sz w:val="18"/>
        </w:rPr>
        <w:t xml:space="preserve"> </w:t>
      </w:r>
      <w:r w:rsidRPr="00EC20A0">
        <w:rPr>
          <w:sz w:val="18"/>
        </w:rPr>
        <w:t>processes</w:t>
      </w:r>
      <w:r w:rsidRPr="00EC20A0">
        <w:rPr>
          <w:spacing w:val="-3"/>
          <w:sz w:val="18"/>
        </w:rPr>
        <w:t xml:space="preserve"> </w:t>
      </w:r>
      <w:r w:rsidRPr="00EC20A0">
        <w:rPr>
          <w:sz w:val="18"/>
        </w:rPr>
        <w:t>associated</w:t>
      </w:r>
      <w:r w:rsidRPr="00EC20A0">
        <w:rPr>
          <w:spacing w:val="-4"/>
          <w:sz w:val="18"/>
        </w:rPr>
        <w:t xml:space="preserve"> </w:t>
      </w:r>
      <w:r w:rsidRPr="00EC20A0">
        <w:rPr>
          <w:sz w:val="18"/>
        </w:rPr>
        <w:t>with</w:t>
      </w:r>
      <w:r w:rsidRPr="00EC20A0">
        <w:rPr>
          <w:spacing w:val="-2"/>
          <w:sz w:val="18"/>
        </w:rPr>
        <w:t xml:space="preserve"> </w:t>
      </w:r>
      <w:r w:rsidRPr="00EC20A0">
        <w:rPr>
          <w:sz w:val="18"/>
        </w:rPr>
        <w:t xml:space="preserve">full-CARS </w:t>
      </w:r>
      <w:r w:rsidRPr="00EC20A0">
        <w:rPr>
          <w:spacing w:val="-2"/>
          <w:sz w:val="18"/>
        </w:rPr>
        <w:t>reporting.</w:t>
      </w:r>
    </w:p>
    <w:p w14:paraId="24D61A20" w14:textId="77777777" w:rsidR="00245300" w:rsidRPr="00EC20A0" w:rsidRDefault="00F17249">
      <w:pPr>
        <w:spacing w:before="65" w:line="249" w:lineRule="auto"/>
        <w:ind w:left="199" w:right="817"/>
        <w:rPr>
          <w:sz w:val="18"/>
        </w:rPr>
      </w:pPr>
      <w:bookmarkStart w:id="320" w:name="_bookmark184"/>
      <w:bookmarkEnd w:id="320"/>
      <w:r w:rsidRPr="00EC20A0">
        <w:rPr>
          <w:position w:val="7"/>
          <w:sz w:val="14"/>
        </w:rPr>
        <w:t>30</w:t>
      </w:r>
      <w:r w:rsidRPr="00EC20A0">
        <w:rPr>
          <w:sz w:val="18"/>
        </w:rPr>
        <w:t>Fiscal</w:t>
      </w:r>
      <w:r w:rsidRPr="00EC20A0">
        <w:rPr>
          <w:spacing w:val="-3"/>
          <w:sz w:val="18"/>
        </w:rPr>
        <w:t xml:space="preserve"> </w:t>
      </w:r>
      <w:r w:rsidRPr="00EC20A0">
        <w:rPr>
          <w:sz w:val="18"/>
        </w:rPr>
        <w:t>Service</w:t>
      </w:r>
      <w:r w:rsidRPr="00EC20A0">
        <w:rPr>
          <w:spacing w:val="-4"/>
          <w:sz w:val="18"/>
        </w:rPr>
        <w:t xml:space="preserve"> </w:t>
      </w:r>
      <w:r w:rsidRPr="00EC20A0">
        <w:rPr>
          <w:sz w:val="18"/>
        </w:rPr>
        <w:t>records</w:t>
      </w:r>
      <w:r w:rsidRPr="00EC20A0">
        <w:rPr>
          <w:spacing w:val="-3"/>
          <w:sz w:val="18"/>
        </w:rPr>
        <w:t xml:space="preserve"> </w:t>
      </w:r>
      <w:r w:rsidRPr="00EC20A0">
        <w:rPr>
          <w:sz w:val="18"/>
        </w:rPr>
        <w:t>appropriation</w:t>
      </w:r>
      <w:r w:rsidRPr="00EC20A0">
        <w:rPr>
          <w:spacing w:val="-4"/>
          <w:sz w:val="18"/>
        </w:rPr>
        <w:t xml:space="preserve"> </w:t>
      </w:r>
      <w:r w:rsidRPr="00EC20A0">
        <w:rPr>
          <w:sz w:val="18"/>
        </w:rPr>
        <w:t>authority</w:t>
      </w:r>
      <w:r w:rsidRPr="00EC20A0">
        <w:rPr>
          <w:spacing w:val="-3"/>
          <w:sz w:val="18"/>
        </w:rPr>
        <w:t xml:space="preserve"> </w:t>
      </w:r>
      <w:r w:rsidRPr="00EC20A0">
        <w:rPr>
          <w:sz w:val="18"/>
        </w:rPr>
        <w:t>in</w:t>
      </w:r>
      <w:r w:rsidRPr="00EC20A0">
        <w:rPr>
          <w:spacing w:val="-4"/>
          <w:sz w:val="18"/>
        </w:rPr>
        <w:t xml:space="preserve"> </w:t>
      </w:r>
      <w:r w:rsidRPr="00EC20A0">
        <w:rPr>
          <w:sz w:val="18"/>
        </w:rPr>
        <w:t>CARS</w:t>
      </w:r>
      <w:r w:rsidRPr="00EC20A0">
        <w:rPr>
          <w:spacing w:val="-3"/>
          <w:sz w:val="18"/>
        </w:rPr>
        <w:t xml:space="preserve"> </w:t>
      </w:r>
      <w:r w:rsidRPr="00EC20A0">
        <w:rPr>
          <w:sz w:val="18"/>
        </w:rPr>
        <w:t>using</w:t>
      </w:r>
      <w:r w:rsidRPr="00EC20A0">
        <w:rPr>
          <w:spacing w:val="-4"/>
          <w:sz w:val="18"/>
        </w:rPr>
        <w:t xml:space="preserve"> </w:t>
      </w:r>
      <w:r w:rsidRPr="00EC20A0">
        <w:rPr>
          <w:sz w:val="18"/>
        </w:rPr>
        <w:t>annual</w:t>
      </w:r>
      <w:r w:rsidRPr="00EC20A0">
        <w:rPr>
          <w:spacing w:val="-3"/>
          <w:sz w:val="18"/>
        </w:rPr>
        <w:t xml:space="preserve"> </w:t>
      </w:r>
      <w:r w:rsidRPr="00EC20A0">
        <w:rPr>
          <w:sz w:val="18"/>
        </w:rPr>
        <w:t>appropriations</w:t>
      </w:r>
      <w:r w:rsidRPr="00EC20A0">
        <w:rPr>
          <w:spacing w:val="-3"/>
          <w:sz w:val="18"/>
        </w:rPr>
        <w:t xml:space="preserve"> </w:t>
      </w:r>
      <w:r w:rsidRPr="00EC20A0">
        <w:rPr>
          <w:sz w:val="18"/>
        </w:rPr>
        <w:t>acts</w:t>
      </w:r>
      <w:r w:rsidRPr="00EC20A0">
        <w:rPr>
          <w:spacing w:val="-3"/>
          <w:sz w:val="18"/>
        </w:rPr>
        <w:t xml:space="preserve"> </w:t>
      </w:r>
      <w:r w:rsidRPr="00EC20A0">
        <w:rPr>
          <w:sz w:val="18"/>
        </w:rPr>
        <w:t>and</w:t>
      </w:r>
      <w:r w:rsidRPr="00EC20A0">
        <w:rPr>
          <w:spacing w:val="-4"/>
          <w:sz w:val="18"/>
        </w:rPr>
        <w:t xml:space="preserve"> </w:t>
      </w:r>
      <w:r w:rsidRPr="00EC20A0">
        <w:rPr>
          <w:sz w:val="18"/>
        </w:rPr>
        <w:t>other</w:t>
      </w:r>
      <w:r w:rsidRPr="00EC20A0">
        <w:rPr>
          <w:spacing w:val="-3"/>
          <w:sz w:val="18"/>
        </w:rPr>
        <w:t xml:space="preserve"> </w:t>
      </w:r>
      <w:r w:rsidRPr="00EC20A0">
        <w:rPr>
          <w:sz w:val="18"/>
        </w:rPr>
        <w:t xml:space="preserve">relevant </w:t>
      </w:r>
      <w:r w:rsidRPr="00EC20A0">
        <w:rPr>
          <w:spacing w:val="-2"/>
          <w:sz w:val="18"/>
        </w:rPr>
        <w:t>statutes.</w:t>
      </w:r>
    </w:p>
    <w:p w14:paraId="24D61A21" w14:textId="77777777" w:rsidR="00245300" w:rsidRPr="00EC20A0" w:rsidRDefault="00F17249">
      <w:pPr>
        <w:spacing w:before="118" w:line="242" w:lineRule="auto"/>
        <w:ind w:left="199" w:right="345"/>
        <w:rPr>
          <w:sz w:val="18"/>
        </w:rPr>
      </w:pPr>
      <w:bookmarkStart w:id="321" w:name="_bookmark185"/>
      <w:bookmarkEnd w:id="321"/>
      <w:r w:rsidRPr="00EC20A0">
        <w:rPr>
          <w:position w:val="7"/>
          <w:sz w:val="14"/>
        </w:rPr>
        <w:t>31</w:t>
      </w:r>
      <w:r w:rsidRPr="00EC20A0">
        <w:rPr>
          <w:sz w:val="18"/>
        </w:rPr>
        <w:t>The Agency Location Code is a unique four-digit or eight-digit numerical identifier assigned to entity accounting offices</w:t>
      </w:r>
      <w:r w:rsidRPr="00EC20A0">
        <w:rPr>
          <w:spacing w:val="-3"/>
          <w:sz w:val="18"/>
        </w:rPr>
        <w:t xml:space="preserve"> </w:t>
      </w:r>
      <w:r w:rsidRPr="00EC20A0">
        <w:rPr>
          <w:sz w:val="18"/>
        </w:rPr>
        <w:t>for</w:t>
      </w:r>
      <w:r w:rsidRPr="00EC20A0">
        <w:rPr>
          <w:spacing w:val="-3"/>
          <w:sz w:val="18"/>
        </w:rPr>
        <w:t xml:space="preserve"> </w:t>
      </w:r>
      <w:r w:rsidRPr="00EC20A0">
        <w:rPr>
          <w:sz w:val="18"/>
        </w:rPr>
        <w:t>reporting</w:t>
      </w:r>
      <w:r w:rsidRPr="00EC20A0">
        <w:rPr>
          <w:spacing w:val="-4"/>
          <w:sz w:val="18"/>
        </w:rPr>
        <w:t xml:space="preserve"> </w:t>
      </w:r>
      <w:r w:rsidRPr="00EC20A0">
        <w:rPr>
          <w:sz w:val="18"/>
        </w:rPr>
        <w:t>collection</w:t>
      </w:r>
      <w:r w:rsidRPr="00EC20A0">
        <w:rPr>
          <w:spacing w:val="-4"/>
          <w:sz w:val="18"/>
        </w:rPr>
        <w:t xml:space="preserve"> </w:t>
      </w:r>
      <w:r w:rsidRPr="00EC20A0">
        <w:rPr>
          <w:sz w:val="18"/>
        </w:rPr>
        <w:t>and</w:t>
      </w:r>
      <w:r w:rsidRPr="00EC20A0">
        <w:rPr>
          <w:spacing w:val="-4"/>
          <w:sz w:val="18"/>
        </w:rPr>
        <w:t xml:space="preserve"> </w:t>
      </w:r>
      <w:r w:rsidRPr="00EC20A0">
        <w:rPr>
          <w:sz w:val="18"/>
        </w:rPr>
        <w:t>disbursement</w:t>
      </w:r>
      <w:r w:rsidRPr="00EC20A0">
        <w:rPr>
          <w:spacing w:val="-3"/>
          <w:sz w:val="18"/>
        </w:rPr>
        <w:t xml:space="preserve"> </w:t>
      </w:r>
      <w:r w:rsidRPr="00EC20A0">
        <w:rPr>
          <w:sz w:val="18"/>
        </w:rPr>
        <w:t>activity.</w:t>
      </w:r>
      <w:r w:rsidRPr="00EC20A0">
        <w:rPr>
          <w:spacing w:val="-3"/>
          <w:sz w:val="18"/>
        </w:rPr>
        <w:t xml:space="preserve"> </w:t>
      </w:r>
      <w:r w:rsidRPr="00EC20A0">
        <w:rPr>
          <w:sz w:val="18"/>
        </w:rPr>
        <w:t>Entities</w:t>
      </w:r>
      <w:r w:rsidRPr="00EC20A0">
        <w:rPr>
          <w:spacing w:val="-3"/>
          <w:sz w:val="18"/>
        </w:rPr>
        <w:t xml:space="preserve"> </w:t>
      </w:r>
      <w:r w:rsidRPr="00EC20A0">
        <w:rPr>
          <w:sz w:val="18"/>
        </w:rPr>
        <w:t>that</w:t>
      </w:r>
      <w:r w:rsidRPr="00EC20A0">
        <w:rPr>
          <w:spacing w:val="-3"/>
          <w:sz w:val="18"/>
        </w:rPr>
        <w:t xml:space="preserve"> </w:t>
      </w:r>
      <w:r w:rsidRPr="00EC20A0">
        <w:rPr>
          <w:sz w:val="18"/>
        </w:rPr>
        <w:t>use</w:t>
      </w:r>
      <w:r w:rsidRPr="00EC20A0">
        <w:rPr>
          <w:spacing w:val="-4"/>
          <w:sz w:val="18"/>
        </w:rPr>
        <w:t xml:space="preserve"> </w:t>
      </w:r>
      <w:r w:rsidRPr="00EC20A0">
        <w:rPr>
          <w:sz w:val="18"/>
        </w:rPr>
        <w:t>Treasury</w:t>
      </w:r>
      <w:r w:rsidRPr="00EC20A0">
        <w:rPr>
          <w:spacing w:val="-3"/>
          <w:sz w:val="18"/>
        </w:rPr>
        <w:t xml:space="preserve"> </w:t>
      </w:r>
      <w:r w:rsidRPr="00EC20A0">
        <w:rPr>
          <w:sz w:val="18"/>
        </w:rPr>
        <w:t>Disbursing</w:t>
      </w:r>
      <w:r w:rsidRPr="00EC20A0">
        <w:rPr>
          <w:spacing w:val="-4"/>
          <w:sz w:val="18"/>
        </w:rPr>
        <w:t xml:space="preserve"> </w:t>
      </w:r>
      <w:r w:rsidRPr="00EC20A0">
        <w:rPr>
          <w:sz w:val="18"/>
        </w:rPr>
        <w:t>Offices</w:t>
      </w:r>
      <w:r w:rsidRPr="00EC20A0">
        <w:rPr>
          <w:spacing w:val="-2"/>
          <w:sz w:val="18"/>
        </w:rPr>
        <w:t xml:space="preserve"> </w:t>
      </w:r>
      <w:r w:rsidRPr="00EC20A0">
        <w:rPr>
          <w:sz w:val="18"/>
        </w:rPr>
        <w:t>have</w:t>
      </w:r>
      <w:r w:rsidRPr="00EC20A0">
        <w:rPr>
          <w:spacing w:val="-4"/>
          <w:sz w:val="18"/>
        </w:rPr>
        <w:t xml:space="preserve"> </w:t>
      </w:r>
      <w:r w:rsidRPr="00EC20A0">
        <w:rPr>
          <w:sz w:val="18"/>
        </w:rPr>
        <w:t>an</w:t>
      </w:r>
      <w:r w:rsidRPr="00EC20A0">
        <w:rPr>
          <w:spacing w:val="-4"/>
          <w:sz w:val="18"/>
        </w:rPr>
        <w:t xml:space="preserve"> </w:t>
      </w:r>
      <w:r w:rsidRPr="00EC20A0">
        <w:rPr>
          <w:sz w:val="18"/>
        </w:rPr>
        <w:t>eight- digit identifier, while entities that have their own disbursing authority have a four-digit identifier. Entities must have valid Agency Location Codes to process transactions for authorized TASs.</w:t>
      </w:r>
    </w:p>
    <w:p w14:paraId="24D61A22"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A23" w14:textId="77777777" w:rsidR="00245300" w:rsidRPr="00EC20A0" w:rsidRDefault="00F17249">
      <w:pPr>
        <w:pStyle w:val="BodyText"/>
        <w:spacing w:before="121"/>
        <w:ind w:left="2000" w:right="345"/>
      </w:pPr>
      <w:r w:rsidRPr="00EC20A0">
        <w:t xml:space="preserve">other account activity, such as supplemental appropriations, rescissions, </w:t>
      </w:r>
      <w:proofErr w:type="spellStart"/>
      <w:r w:rsidRPr="00EC20A0">
        <w:t>nonexpenditure</w:t>
      </w:r>
      <w:proofErr w:type="spellEnd"/>
      <w:r w:rsidRPr="00EC20A0">
        <w:rPr>
          <w:spacing w:val="-5"/>
        </w:rPr>
        <w:t xml:space="preserve"> </w:t>
      </w:r>
      <w:r w:rsidRPr="00EC20A0">
        <w:t>transfers,</w:t>
      </w:r>
      <w:r w:rsidRPr="00EC20A0">
        <w:rPr>
          <w:spacing w:val="-5"/>
        </w:rPr>
        <w:t xml:space="preserve"> </w:t>
      </w:r>
      <w:r w:rsidRPr="00EC20A0">
        <w:t>and</w:t>
      </w:r>
      <w:r w:rsidRPr="00EC20A0">
        <w:rPr>
          <w:spacing w:val="-5"/>
        </w:rPr>
        <w:t xml:space="preserve"> </w:t>
      </w:r>
      <w:r w:rsidRPr="00EC20A0">
        <w:t>activity</w:t>
      </w:r>
      <w:r w:rsidRPr="00EC20A0">
        <w:rPr>
          <w:spacing w:val="-5"/>
        </w:rPr>
        <w:t xml:space="preserve"> </w:t>
      </w:r>
      <w:r w:rsidRPr="00EC20A0">
        <w:t>reported</w:t>
      </w:r>
      <w:r w:rsidRPr="00EC20A0">
        <w:rPr>
          <w:spacing w:val="-5"/>
        </w:rPr>
        <w:t xml:space="preserve"> </w:t>
      </w:r>
      <w:r w:rsidRPr="00EC20A0">
        <w:t>by</w:t>
      </w:r>
      <w:r w:rsidRPr="00EC20A0">
        <w:rPr>
          <w:spacing w:val="-5"/>
        </w:rPr>
        <w:t xml:space="preserve"> </w:t>
      </w:r>
      <w:r w:rsidRPr="00EC20A0">
        <w:t>other</w:t>
      </w:r>
      <w:r w:rsidRPr="00EC20A0">
        <w:rPr>
          <w:spacing w:val="-5"/>
        </w:rPr>
        <w:t xml:space="preserve"> </w:t>
      </w:r>
      <w:r w:rsidRPr="00EC20A0">
        <w:t>entities.</w:t>
      </w:r>
      <w:r w:rsidRPr="00EC20A0">
        <w:rPr>
          <w:spacing w:val="-5"/>
        </w:rPr>
        <w:t xml:space="preserve"> </w:t>
      </w:r>
      <w:r w:rsidRPr="00EC20A0">
        <w:t>Entities</w:t>
      </w:r>
      <w:r w:rsidRPr="00EC20A0">
        <w:rPr>
          <w:spacing w:val="-6"/>
        </w:rPr>
        <w:t xml:space="preserve"> </w:t>
      </w:r>
      <w:r w:rsidRPr="00EC20A0">
        <w:t>can use these reports to reconcile FBWT.</w:t>
      </w:r>
    </w:p>
    <w:p w14:paraId="24D61A24" w14:textId="77777777" w:rsidR="00245300" w:rsidRPr="00EC20A0" w:rsidRDefault="00F17249">
      <w:pPr>
        <w:pStyle w:val="Heading5"/>
        <w:spacing w:before="240"/>
        <w:rPr>
          <w:u w:val="none"/>
        </w:rPr>
      </w:pPr>
      <w:bookmarkStart w:id="322" w:name="Reconciliations"/>
      <w:bookmarkEnd w:id="322"/>
      <w:r w:rsidRPr="00EC20A0">
        <w:rPr>
          <w:spacing w:val="-2"/>
        </w:rPr>
        <w:t>Reconciliations</w:t>
      </w:r>
    </w:p>
    <w:p w14:paraId="24D61A25" w14:textId="77777777" w:rsidR="00245300" w:rsidRPr="00EC20A0" w:rsidRDefault="00F17249">
      <w:pPr>
        <w:pStyle w:val="ListParagraph"/>
        <w:numPr>
          <w:ilvl w:val="0"/>
          <w:numId w:val="91"/>
        </w:numPr>
        <w:tabs>
          <w:tab w:val="left" w:pos="1640"/>
        </w:tabs>
        <w:spacing w:before="239"/>
        <w:ind w:right="394"/>
        <w:rPr>
          <w:sz w:val="14"/>
        </w:rPr>
      </w:pPr>
      <w:r w:rsidRPr="00EC20A0">
        <w:t>An entity’s regular reconciliation of its internal FBWT records with FBWT activity reported to CARS via other sources (e.g., collection reporting systems and payment information systems) is a control activity in maintaining the accuracy and reliability of entity FBWT records. Effective reconciliations serve as a detection control for identifying unauthorized and unrecorded transactions at the entities and at Treasury. Reconciliations are also important in providing an accurate measurement of the status of a</w:t>
      </w:r>
      <w:r w:rsidRPr="00EC20A0">
        <w:t>vailable resources, which is helpful in preventing</w:t>
      </w:r>
      <w:r w:rsidRPr="00EC20A0">
        <w:rPr>
          <w:spacing w:val="-6"/>
        </w:rPr>
        <w:t xml:space="preserve"> </w:t>
      </w:r>
      <w:r w:rsidRPr="00EC20A0">
        <w:t>entity</w:t>
      </w:r>
      <w:r w:rsidRPr="00EC20A0">
        <w:rPr>
          <w:spacing w:val="-6"/>
        </w:rPr>
        <w:t xml:space="preserve"> </w:t>
      </w:r>
      <w:r w:rsidRPr="00EC20A0">
        <w:t>disbursements</w:t>
      </w:r>
      <w:r w:rsidRPr="00EC20A0">
        <w:rPr>
          <w:spacing w:val="-6"/>
        </w:rPr>
        <w:t xml:space="preserve"> </w:t>
      </w:r>
      <w:r w:rsidRPr="00EC20A0">
        <w:t>from</w:t>
      </w:r>
      <w:r w:rsidRPr="00EC20A0">
        <w:rPr>
          <w:spacing w:val="-6"/>
        </w:rPr>
        <w:t xml:space="preserve"> </w:t>
      </w:r>
      <w:r w:rsidRPr="00EC20A0">
        <w:t>exceeding</w:t>
      </w:r>
      <w:r w:rsidRPr="00EC20A0">
        <w:rPr>
          <w:spacing w:val="-7"/>
        </w:rPr>
        <w:t xml:space="preserve"> </w:t>
      </w:r>
      <w:r w:rsidRPr="00EC20A0">
        <w:t>appropriated</w:t>
      </w:r>
      <w:r w:rsidRPr="00EC20A0">
        <w:rPr>
          <w:spacing w:val="-6"/>
        </w:rPr>
        <w:t xml:space="preserve"> </w:t>
      </w:r>
      <w:r w:rsidRPr="00EC20A0">
        <w:t>amounts.</w:t>
      </w:r>
      <w:r w:rsidRPr="00EC20A0">
        <w:rPr>
          <w:spacing w:val="-6"/>
        </w:rPr>
        <w:t xml:space="preserve"> </w:t>
      </w:r>
      <w:r w:rsidRPr="00EC20A0">
        <w:t>Treasury provides the following examples of reconciliations that entities can perform.</w:t>
      </w:r>
      <w:hyperlink w:anchor="_bookmark186" w:history="1">
        <w:r w:rsidRPr="00EC20A0">
          <w:rPr>
            <w:position w:val="7"/>
            <w:sz w:val="14"/>
          </w:rPr>
          <w:t>32</w:t>
        </w:r>
      </w:hyperlink>
    </w:p>
    <w:p w14:paraId="24D61A26" w14:textId="77777777" w:rsidR="00245300" w:rsidRPr="00EC20A0" w:rsidRDefault="00F17249">
      <w:pPr>
        <w:pStyle w:val="ListParagraph"/>
        <w:numPr>
          <w:ilvl w:val="0"/>
          <w:numId w:val="90"/>
        </w:numPr>
        <w:tabs>
          <w:tab w:val="left" w:pos="2000"/>
        </w:tabs>
        <w:spacing w:before="241"/>
        <w:ind w:right="611"/>
      </w:pPr>
      <w:r w:rsidRPr="00EC20A0">
        <w:rPr>
          <w:b/>
        </w:rPr>
        <w:t>FBWT</w:t>
      </w:r>
      <w:r w:rsidRPr="00EC20A0">
        <w:rPr>
          <w:b/>
          <w:spacing w:val="-4"/>
        </w:rPr>
        <w:t xml:space="preserve"> </w:t>
      </w:r>
      <w:r w:rsidRPr="00EC20A0">
        <w:rPr>
          <w:b/>
        </w:rPr>
        <w:t>reconciliation</w:t>
      </w:r>
      <w:r w:rsidRPr="00EC20A0">
        <w:rPr>
          <w:b/>
          <w:spacing w:val="-5"/>
        </w:rPr>
        <w:t xml:space="preserve"> </w:t>
      </w:r>
      <w:r w:rsidRPr="00EC20A0">
        <w:rPr>
          <w:b/>
        </w:rPr>
        <w:t>by</w:t>
      </w:r>
      <w:r w:rsidRPr="00EC20A0">
        <w:rPr>
          <w:b/>
          <w:spacing w:val="-5"/>
        </w:rPr>
        <w:t xml:space="preserve"> </w:t>
      </w:r>
      <w:r w:rsidRPr="00EC20A0">
        <w:rPr>
          <w:b/>
        </w:rPr>
        <w:t>TAS:</w:t>
      </w:r>
      <w:r w:rsidRPr="00EC20A0">
        <w:rPr>
          <w:b/>
          <w:spacing w:val="-5"/>
        </w:rPr>
        <w:t xml:space="preserve"> </w:t>
      </w:r>
      <w:r w:rsidRPr="00EC20A0">
        <w:t>Entails</w:t>
      </w:r>
      <w:r w:rsidRPr="00EC20A0">
        <w:rPr>
          <w:spacing w:val="-5"/>
        </w:rPr>
        <w:t xml:space="preserve"> </w:t>
      </w:r>
      <w:r w:rsidRPr="00EC20A0">
        <w:t>matching</w:t>
      </w:r>
      <w:r w:rsidRPr="00EC20A0">
        <w:rPr>
          <w:spacing w:val="-6"/>
        </w:rPr>
        <w:t xml:space="preserve"> </w:t>
      </w:r>
      <w:r w:rsidRPr="00EC20A0">
        <w:t>the</w:t>
      </w:r>
      <w:r w:rsidRPr="00EC20A0">
        <w:rPr>
          <w:spacing w:val="-5"/>
        </w:rPr>
        <w:t xml:space="preserve"> </w:t>
      </w:r>
      <w:r w:rsidRPr="00EC20A0">
        <w:t>balance</w:t>
      </w:r>
      <w:r w:rsidRPr="00EC20A0">
        <w:rPr>
          <w:spacing w:val="-6"/>
        </w:rPr>
        <w:t xml:space="preserve"> </w:t>
      </w:r>
      <w:r w:rsidRPr="00EC20A0">
        <w:t>on</w:t>
      </w:r>
      <w:r w:rsidRPr="00EC20A0">
        <w:rPr>
          <w:spacing w:val="-5"/>
        </w:rPr>
        <w:t xml:space="preserve"> </w:t>
      </w:r>
      <w:r w:rsidRPr="00EC20A0">
        <w:t>Treasury’s CARS account statement by TAS with the corresponding balance in the entity’s accounting records.</w:t>
      </w:r>
    </w:p>
    <w:p w14:paraId="24D61A27" w14:textId="77777777" w:rsidR="00245300" w:rsidRPr="00EC20A0" w:rsidRDefault="00F17249">
      <w:pPr>
        <w:pStyle w:val="ListParagraph"/>
        <w:numPr>
          <w:ilvl w:val="0"/>
          <w:numId w:val="90"/>
        </w:numPr>
        <w:tabs>
          <w:tab w:val="left" w:pos="1999"/>
        </w:tabs>
        <w:ind w:left="1999" w:right="502"/>
      </w:pPr>
      <w:r w:rsidRPr="00EC20A0">
        <w:rPr>
          <w:b/>
        </w:rPr>
        <w:t xml:space="preserve">Cash activity reconciliation by Agency Location Code and by source/sending trading partner: </w:t>
      </w:r>
      <w:r w:rsidRPr="00EC20A0">
        <w:t>Entails matching transaction amounts reported</w:t>
      </w:r>
      <w:r w:rsidRPr="00EC20A0">
        <w:rPr>
          <w:spacing w:val="-5"/>
        </w:rPr>
        <w:t xml:space="preserve"> </w:t>
      </w:r>
      <w:r w:rsidRPr="00EC20A0">
        <w:t>in</w:t>
      </w:r>
      <w:r w:rsidRPr="00EC20A0">
        <w:rPr>
          <w:spacing w:val="-6"/>
        </w:rPr>
        <w:t xml:space="preserve"> </w:t>
      </w:r>
      <w:r w:rsidRPr="00EC20A0">
        <w:t>Treasury’s</w:t>
      </w:r>
      <w:r w:rsidRPr="00EC20A0">
        <w:rPr>
          <w:spacing w:val="-6"/>
        </w:rPr>
        <w:t xml:space="preserve"> </w:t>
      </w:r>
      <w:r w:rsidRPr="00EC20A0">
        <w:t>CARS</w:t>
      </w:r>
      <w:r w:rsidRPr="00EC20A0">
        <w:rPr>
          <w:spacing w:val="-4"/>
        </w:rPr>
        <w:t xml:space="preserve"> </w:t>
      </w:r>
      <w:r w:rsidRPr="00EC20A0">
        <w:t>Agency</w:t>
      </w:r>
      <w:r w:rsidRPr="00EC20A0">
        <w:rPr>
          <w:spacing w:val="-5"/>
        </w:rPr>
        <w:t xml:space="preserve"> </w:t>
      </w:r>
      <w:r w:rsidRPr="00EC20A0">
        <w:t>Location</w:t>
      </w:r>
      <w:r w:rsidRPr="00EC20A0">
        <w:rPr>
          <w:spacing w:val="-6"/>
        </w:rPr>
        <w:t xml:space="preserve"> </w:t>
      </w:r>
      <w:r w:rsidRPr="00EC20A0">
        <w:t>Code</w:t>
      </w:r>
      <w:r w:rsidRPr="00EC20A0">
        <w:rPr>
          <w:spacing w:val="-5"/>
        </w:rPr>
        <w:t xml:space="preserve"> </w:t>
      </w:r>
      <w:r w:rsidRPr="00EC20A0">
        <w:t>account</w:t>
      </w:r>
      <w:r w:rsidRPr="00EC20A0">
        <w:rPr>
          <w:spacing w:val="-5"/>
        </w:rPr>
        <w:t xml:space="preserve"> </w:t>
      </w:r>
      <w:r w:rsidRPr="00EC20A0">
        <w:t>statement</w:t>
      </w:r>
      <w:r w:rsidRPr="00EC20A0">
        <w:rPr>
          <w:spacing w:val="-5"/>
        </w:rPr>
        <w:t xml:space="preserve"> </w:t>
      </w:r>
      <w:r w:rsidRPr="00EC20A0">
        <w:t>with those recorded in the entity’s accounting records.</w:t>
      </w:r>
    </w:p>
    <w:p w14:paraId="24D61A28" w14:textId="77777777" w:rsidR="00245300" w:rsidRPr="00EC20A0" w:rsidRDefault="00F17249">
      <w:pPr>
        <w:pStyle w:val="ListParagraph"/>
        <w:numPr>
          <w:ilvl w:val="0"/>
          <w:numId w:val="90"/>
        </w:numPr>
        <w:tabs>
          <w:tab w:val="left" w:pos="1999"/>
        </w:tabs>
        <w:spacing w:before="239"/>
        <w:ind w:left="1999" w:right="587"/>
      </w:pPr>
      <w:r w:rsidRPr="00EC20A0">
        <w:rPr>
          <w:b/>
        </w:rPr>
        <w:t>TAS</w:t>
      </w:r>
      <w:r w:rsidRPr="00EC20A0">
        <w:rPr>
          <w:b/>
          <w:spacing w:val="-5"/>
        </w:rPr>
        <w:t xml:space="preserve"> </w:t>
      </w:r>
      <w:r w:rsidRPr="00EC20A0">
        <w:rPr>
          <w:b/>
        </w:rPr>
        <w:t>and</w:t>
      </w:r>
      <w:r w:rsidRPr="00EC20A0">
        <w:rPr>
          <w:b/>
          <w:spacing w:val="-5"/>
        </w:rPr>
        <w:t xml:space="preserve"> </w:t>
      </w:r>
      <w:r w:rsidRPr="00EC20A0">
        <w:rPr>
          <w:b/>
        </w:rPr>
        <w:t>BETC</w:t>
      </w:r>
      <w:r w:rsidRPr="00EC20A0">
        <w:rPr>
          <w:b/>
          <w:spacing w:val="-6"/>
        </w:rPr>
        <w:t xml:space="preserve"> </w:t>
      </w:r>
      <w:r w:rsidRPr="00EC20A0">
        <w:rPr>
          <w:b/>
        </w:rPr>
        <w:t>reconciliation:</w:t>
      </w:r>
      <w:r w:rsidRPr="00EC20A0">
        <w:rPr>
          <w:b/>
          <w:spacing w:val="-5"/>
        </w:rPr>
        <w:t xml:space="preserve"> </w:t>
      </w:r>
      <w:r w:rsidRPr="00EC20A0">
        <w:t>Entails</w:t>
      </w:r>
      <w:r w:rsidRPr="00EC20A0">
        <w:rPr>
          <w:spacing w:val="-5"/>
        </w:rPr>
        <w:t xml:space="preserve"> </w:t>
      </w:r>
      <w:r w:rsidRPr="00EC20A0">
        <w:t>incorporating</w:t>
      </w:r>
      <w:r w:rsidRPr="00EC20A0">
        <w:rPr>
          <w:spacing w:val="-5"/>
        </w:rPr>
        <w:t xml:space="preserve"> </w:t>
      </w:r>
      <w:r w:rsidRPr="00EC20A0">
        <w:t>a</w:t>
      </w:r>
      <w:r w:rsidRPr="00EC20A0">
        <w:rPr>
          <w:spacing w:val="-5"/>
        </w:rPr>
        <w:t xml:space="preserve"> </w:t>
      </w:r>
      <w:r w:rsidRPr="00EC20A0">
        <w:t>reconciliation</w:t>
      </w:r>
      <w:r w:rsidRPr="00EC20A0">
        <w:rPr>
          <w:spacing w:val="-5"/>
        </w:rPr>
        <w:t xml:space="preserve"> </w:t>
      </w:r>
      <w:r w:rsidRPr="00EC20A0">
        <w:t>at</w:t>
      </w:r>
      <w:r w:rsidRPr="00EC20A0">
        <w:rPr>
          <w:spacing w:val="-5"/>
        </w:rPr>
        <w:t xml:space="preserve"> </w:t>
      </w:r>
      <w:r w:rsidRPr="00EC20A0">
        <w:t xml:space="preserve">the TAS and BETC </w:t>
      </w:r>
      <w:r w:rsidRPr="00EC20A0">
        <w:t>level as part of the cash activity reconciliation by Agency Location Code and by source/sending trading partner.</w:t>
      </w:r>
    </w:p>
    <w:p w14:paraId="24D61A29" w14:textId="77777777" w:rsidR="00245300" w:rsidRPr="00EC20A0" w:rsidRDefault="00F17249">
      <w:pPr>
        <w:pStyle w:val="ListParagraph"/>
        <w:numPr>
          <w:ilvl w:val="0"/>
          <w:numId w:val="91"/>
        </w:numPr>
        <w:tabs>
          <w:tab w:val="left" w:pos="1639"/>
        </w:tabs>
        <w:spacing w:before="241"/>
        <w:ind w:left="1639" w:right="592"/>
        <w:rPr>
          <w:sz w:val="14"/>
        </w:rPr>
      </w:pPr>
      <w:r w:rsidRPr="00EC20A0">
        <w:t>Most</w:t>
      </w:r>
      <w:r w:rsidRPr="00EC20A0">
        <w:rPr>
          <w:spacing w:val="-3"/>
        </w:rPr>
        <w:t xml:space="preserve"> </w:t>
      </w:r>
      <w:r w:rsidRPr="00EC20A0">
        <w:t>entities</w:t>
      </w:r>
      <w:r w:rsidRPr="00EC20A0">
        <w:rPr>
          <w:spacing w:val="-3"/>
        </w:rPr>
        <w:t xml:space="preserve"> </w:t>
      </w:r>
      <w:r w:rsidRPr="00EC20A0">
        <w:t>process</w:t>
      </w:r>
      <w:r w:rsidRPr="00EC20A0">
        <w:rPr>
          <w:spacing w:val="-4"/>
        </w:rPr>
        <w:t xml:space="preserve"> </w:t>
      </w:r>
      <w:r w:rsidRPr="00EC20A0">
        <w:t>their</w:t>
      </w:r>
      <w:r w:rsidRPr="00EC20A0">
        <w:rPr>
          <w:spacing w:val="-3"/>
        </w:rPr>
        <w:t xml:space="preserve"> </w:t>
      </w:r>
      <w:r w:rsidRPr="00EC20A0">
        <w:t>collections</w:t>
      </w:r>
      <w:r w:rsidRPr="00EC20A0">
        <w:rPr>
          <w:spacing w:val="-3"/>
        </w:rPr>
        <w:t xml:space="preserve"> </w:t>
      </w:r>
      <w:r w:rsidRPr="00EC20A0">
        <w:t>through</w:t>
      </w:r>
      <w:r w:rsidRPr="00EC20A0">
        <w:rPr>
          <w:spacing w:val="-3"/>
        </w:rPr>
        <w:t xml:space="preserve"> </w:t>
      </w:r>
      <w:r w:rsidRPr="00EC20A0">
        <w:t>collection</w:t>
      </w:r>
      <w:r w:rsidRPr="00EC20A0">
        <w:rPr>
          <w:spacing w:val="-3"/>
        </w:rPr>
        <w:t xml:space="preserve"> </w:t>
      </w:r>
      <w:r w:rsidRPr="00EC20A0">
        <w:t>reporting</w:t>
      </w:r>
      <w:r w:rsidRPr="00EC20A0">
        <w:rPr>
          <w:spacing w:val="-3"/>
        </w:rPr>
        <w:t xml:space="preserve"> </w:t>
      </w:r>
      <w:r w:rsidRPr="00EC20A0">
        <w:t>systems</w:t>
      </w:r>
      <w:r w:rsidRPr="00EC20A0">
        <w:rPr>
          <w:spacing w:val="-3"/>
        </w:rPr>
        <w:t xml:space="preserve"> </w:t>
      </w:r>
      <w:r w:rsidRPr="00EC20A0">
        <w:t>and disbursements</w:t>
      </w:r>
      <w:r w:rsidRPr="00EC20A0">
        <w:rPr>
          <w:spacing w:val="-5"/>
        </w:rPr>
        <w:t xml:space="preserve"> </w:t>
      </w:r>
      <w:r w:rsidRPr="00EC20A0">
        <w:t>(payments)</w:t>
      </w:r>
      <w:r w:rsidRPr="00EC20A0">
        <w:rPr>
          <w:spacing w:val="-5"/>
        </w:rPr>
        <w:t xml:space="preserve"> </w:t>
      </w:r>
      <w:r w:rsidRPr="00EC20A0">
        <w:t>through</w:t>
      </w:r>
      <w:r w:rsidRPr="00EC20A0">
        <w:rPr>
          <w:spacing w:val="-6"/>
        </w:rPr>
        <w:t xml:space="preserve"> </w:t>
      </w:r>
      <w:r w:rsidRPr="00EC20A0">
        <w:t>Treasury</w:t>
      </w:r>
      <w:r w:rsidRPr="00EC20A0">
        <w:rPr>
          <w:spacing w:val="-5"/>
        </w:rPr>
        <w:t xml:space="preserve"> </w:t>
      </w:r>
      <w:r w:rsidRPr="00EC20A0">
        <w:t>Disbursing</w:t>
      </w:r>
      <w:r w:rsidRPr="00EC20A0">
        <w:rPr>
          <w:spacing w:val="-5"/>
        </w:rPr>
        <w:t xml:space="preserve"> </w:t>
      </w:r>
      <w:r w:rsidRPr="00EC20A0">
        <w:t>Offices.</w:t>
      </w:r>
      <w:r w:rsidRPr="00EC20A0">
        <w:rPr>
          <w:spacing w:val="-5"/>
        </w:rPr>
        <w:t xml:space="preserve"> </w:t>
      </w:r>
      <w:r w:rsidRPr="00EC20A0">
        <w:t>Other</w:t>
      </w:r>
      <w:r w:rsidRPr="00EC20A0">
        <w:rPr>
          <w:spacing w:val="-7"/>
        </w:rPr>
        <w:t xml:space="preserve"> </w:t>
      </w:r>
      <w:r w:rsidRPr="00EC20A0">
        <w:t>entities, which have authority to collect or disburse funds on their own behalf, may reconcile collection and disbursement activity recorded in their general ledger directly with collections and disbursements reports from the Federal Reserve Bank systems.</w:t>
      </w:r>
      <w:hyperlink w:anchor="_bookmark187" w:history="1">
        <w:r w:rsidRPr="00EC20A0">
          <w:rPr>
            <w:position w:val="7"/>
            <w:sz w:val="14"/>
          </w:rPr>
          <w:t>33</w:t>
        </w:r>
      </w:hyperlink>
    </w:p>
    <w:p w14:paraId="24D61A2A" w14:textId="77777777" w:rsidR="00245300" w:rsidRPr="00EC20A0" w:rsidRDefault="00245300">
      <w:pPr>
        <w:pStyle w:val="BodyText"/>
        <w:spacing w:before="47"/>
      </w:pPr>
    </w:p>
    <w:p w14:paraId="24D61A2B" w14:textId="77777777" w:rsidR="00245300" w:rsidRPr="00EC20A0" w:rsidRDefault="00F17249">
      <w:pPr>
        <w:pStyle w:val="Heading4"/>
        <w:spacing w:before="0"/>
        <w:ind w:left="200"/>
      </w:pPr>
      <w:bookmarkStart w:id="323" w:name="Additional_Resources_for_Accounting_and_"/>
      <w:bookmarkEnd w:id="323"/>
      <w:r w:rsidRPr="00EC20A0">
        <w:t>Additional</w:t>
      </w:r>
      <w:r w:rsidRPr="00EC20A0">
        <w:rPr>
          <w:spacing w:val="-14"/>
        </w:rPr>
        <w:t xml:space="preserve"> </w:t>
      </w:r>
      <w:r w:rsidRPr="00EC20A0">
        <w:t>Resources</w:t>
      </w:r>
      <w:r w:rsidRPr="00EC20A0">
        <w:rPr>
          <w:spacing w:val="-13"/>
        </w:rPr>
        <w:t xml:space="preserve"> </w:t>
      </w:r>
      <w:r w:rsidRPr="00EC20A0">
        <w:t>for</w:t>
      </w:r>
      <w:r w:rsidRPr="00EC20A0">
        <w:rPr>
          <w:spacing w:val="-14"/>
        </w:rPr>
        <w:t xml:space="preserve"> </w:t>
      </w:r>
      <w:r w:rsidRPr="00EC20A0">
        <w:t>Accounting</w:t>
      </w:r>
      <w:r w:rsidRPr="00EC20A0">
        <w:rPr>
          <w:spacing w:val="-14"/>
        </w:rPr>
        <w:t xml:space="preserve"> </w:t>
      </w:r>
      <w:r w:rsidRPr="00EC20A0">
        <w:t>and</w:t>
      </w:r>
      <w:r w:rsidRPr="00EC20A0">
        <w:rPr>
          <w:spacing w:val="-14"/>
        </w:rPr>
        <w:t xml:space="preserve"> </w:t>
      </w:r>
      <w:r w:rsidRPr="00EC20A0">
        <w:t>Reporting</w:t>
      </w:r>
      <w:r w:rsidRPr="00EC20A0">
        <w:rPr>
          <w:spacing w:val="-13"/>
        </w:rPr>
        <w:t xml:space="preserve"> </w:t>
      </w:r>
      <w:r w:rsidRPr="00EC20A0">
        <w:rPr>
          <w:spacing w:val="-2"/>
        </w:rPr>
        <w:t>Information</w:t>
      </w:r>
    </w:p>
    <w:p w14:paraId="24D61A2C" w14:textId="77777777" w:rsidR="00245300" w:rsidRPr="00EC20A0" w:rsidRDefault="00F17249">
      <w:pPr>
        <w:pStyle w:val="ListParagraph"/>
        <w:numPr>
          <w:ilvl w:val="0"/>
          <w:numId w:val="91"/>
        </w:numPr>
        <w:tabs>
          <w:tab w:val="left" w:pos="1640"/>
        </w:tabs>
        <w:spacing w:before="300"/>
        <w:ind w:right="470"/>
      </w:pPr>
      <w:r w:rsidRPr="00EC20A0">
        <w:t>To</w:t>
      </w:r>
      <w:r w:rsidRPr="00EC20A0">
        <w:rPr>
          <w:spacing w:val="-4"/>
        </w:rPr>
        <w:t xml:space="preserve"> </w:t>
      </w:r>
      <w:r w:rsidRPr="00EC20A0">
        <w:t>obtain</w:t>
      </w:r>
      <w:r w:rsidRPr="00EC20A0">
        <w:rPr>
          <w:spacing w:val="-4"/>
        </w:rPr>
        <w:t xml:space="preserve"> </w:t>
      </w:r>
      <w:r w:rsidRPr="00EC20A0">
        <w:t>a</w:t>
      </w:r>
      <w:r w:rsidRPr="00EC20A0">
        <w:rPr>
          <w:spacing w:val="-4"/>
        </w:rPr>
        <w:t xml:space="preserve"> </w:t>
      </w:r>
      <w:r w:rsidRPr="00EC20A0">
        <w:t>further</w:t>
      </w:r>
      <w:r w:rsidRPr="00EC20A0">
        <w:rPr>
          <w:spacing w:val="-4"/>
        </w:rPr>
        <w:t xml:space="preserve"> </w:t>
      </w:r>
      <w:r w:rsidRPr="00EC20A0">
        <w:t>understanding</w:t>
      </w:r>
      <w:r w:rsidRPr="00EC20A0">
        <w:rPr>
          <w:spacing w:val="-4"/>
        </w:rPr>
        <w:t xml:space="preserve"> </w:t>
      </w:r>
      <w:r w:rsidRPr="00EC20A0">
        <w:t>of</w:t>
      </w:r>
      <w:r w:rsidRPr="00EC20A0">
        <w:rPr>
          <w:spacing w:val="-5"/>
        </w:rPr>
        <w:t xml:space="preserve"> </w:t>
      </w:r>
      <w:r w:rsidRPr="00EC20A0">
        <w:t>entity’s</w:t>
      </w:r>
      <w:r w:rsidRPr="00EC20A0">
        <w:rPr>
          <w:spacing w:val="-5"/>
        </w:rPr>
        <w:t xml:space="preserve"> </w:t>
      </w:r>
      <w:r w:rsidRPr="00EC20A0">
        <w:t>accounting</w:t>
      </w:r>
      <w:r w:rsidRPr="00EC20A0">
        <w:rPr>
          <w:spacing w:val="-4"/>
        </w:rPr>
        <w:t xml:space="preserve"> </w:t>
      </w:r>
      <w:r w:rsidRPr="00EC20A0">
        <w:t>and</w:t>
      </w:r>
      <w:r w:rsidRPr="00EC20A0">
        <w:rPr>
          <w:spacing w:val="-4"/>
        </w:rPr>
        <w:t xml:space="preserve"> </w:t>
      </w:r>
      <w:r w:rsidRPr="00EC20A0">
        <w:t>reporting</w:t>
      </w:r>
      <w:r w:rsidRPr="00EC20A0">
        <w:rPr>
          <w:spacing w:val="-4"/>
        </w:rPr>
        <w:t xml:space="preserve"> </w:t>
      </w:r>
      <w:r w:rsidRPr="00EC20A0">
        <w:t>for</w:t>
      </w:r>
      <w:r w:rsidRPr="00EC20A0">
        <w:rPr>
          <w:spacing w:val="-6"/>
        </w:rPr>
        <w:t xml:space="preserve"> </w:t>
      </w:r>
      <w:r w:rsidRPr="00EC20A0">
        <w:t>FBWT, the auditor may refer to</w:t>
      </w:r>
    </w:p>
    <w:p w14:paraId="24D61A2D" w14:textId="77777777" w:rsidR="00245300" w:rsidRPr="00EC20A0" w:rsidRDefault="00F17249">
      <w:pPr>
        <w:pStyle w:val="ListParagraph"/>
        <w:numPr>
          <w:ilvl w:val="1"/>
          <w:numId w:val="91"/>
        </w:numPr>
        <w:tabs>
          <w:tab w:val="left" w:pos="2000"/>
        </w:tabs>
        <w:ind w:left="2000" w:right="1076"/>
      </w:pPr>
      <w:r w:rsidRPr="00EC20A0">
        <w:t>Fiscal</w:t>
      </w:r>
      <w:r w:rsidRPr="00EC20A0">
        <w:rPr>
          <w:spacing w:val="-8"/>
        </w:rPr>
        <w:t xml:space="preserve"> </w:t>
      </w:r>
      <w:r w:rsidRPr="00EC20A0">
        <w:t>Service’s</w:t>
      </w:r>
      <w:r w:rsidRPr="00EC20A0">
        <w:rPr>
          <w:spacing w:val="-8"/>
        </w:rPr>
        <w:t xml:space="preserve"> </w:t>
      </w:r>
      <w:r w:rsidRPr="00EC20A0">
        <w:t>CARS</w:t>
      </w:r>
      <w:r w:rsidRPr="00EC20A0">
        <w:rPr>
          <w:spacing w:val="-8"/>
        </w:rPr>
        <w:t xml:space="preserve"> </w:t>
      </w:r>
      <w:r w:rsidRPr="00EC20A0">
        <w:t>website</w:t>
      </w:r>
      <w:r w:rsidRPr="00EC20A0">
        <w:rPr>
          <w:spacing w:val="-8"/>
        </w:rPr>
        <w:t xml:space="preserve"> </w:t>
      </w:r>
      <w:r w:rsidRPr="00EC20A0">
        <w:t>at</w:t>
      </w:r>
      <w:r w:rsidRPr="00EC20A0">
        <w:rPr>
          <w:spacing w:val="-8"/>
        </w:rPr>
        <w:t xml:space="preserve"> </w:t>
      </w:r>
      <w:hyperlink r:id="rId164">
        <w:r w:rsidRPr="00EC20A0">
          <w:rPr>
            <w:color w:val="0000FF"/>
            <w:u w:val="single" w:color="0000FF"/>
          </w:rPr>
          <w:t>https://www.fiscal.treasury.gov/cars/</w:t>
        </w:r>
      </w:hyperlink>
      <w:r w:rsidRPr="00EC20A0">
        <w:rPr>
          <w:color w:val="0000FF"/>
        </w:rPr>
        <w:t xml:space="preserve"> </w:t>
      </w:r>
      <w:r w:rsidRPr="00EC20A0">
        <w:t>(accessed June 3, 2024);</w:t>
      </w:r>
    </w:p>
    <w:p w14:paraId="24D61A2E" w14:textId="77777777" w:rsidR="00245300" w:rsidRPr="00EC20A0" w:rsidRDefault="00F17249">
      <w:pPr>
        <w:pStyle w:val="BodyText"/>
        <w:spacing w:before="184"/>
        <w:rPr>
          <w:sz w:val="20"/>
        </w:rPr>
      </w:pPr>
      <w:r w:rsidRPr="00EC20A0">
        <w:rPr>
          <w:noProof/>
        </w:rPr>
        <mc:AlternateContent>
          <mc:Choice Requires="wps">
            <w:drawing>
              <wp:anchor distT="0" distB="0" distL="0" distR="0" simplePos="0" relativeHeight="487714816" behindDoc="1" locked="0" layoutInCell="1" allowOverlap="1" wp14:anchorId="24D62CA5" wp14:editId="24D62CA6">
                <wp:simplePos x="0" y="0"/>
                <wp:positionH relativeFrom="page">
                  <wp:posOffset>914400</wp:posOffset>
                </wp:positionH>
                <wp:positionV relativeFrom="paragraph">
                  <wp:posOffset>278153</wp:posOffset>
                </wp:positionV>
                <wp:extent cx="1828800" cy="5715"/>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CFC9B" id="Graphic 848" o:spid="_x0000_s1026" style="position:absolute;margin-left:1in;margin-top:21.9pt;width:2in;height:.45pt;z-index:-156016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" path="m1828800,l,,,5321r1828800,l1828800,xe" fillcolor="black" stroked="f">
                <v:path arrowok="t"/>
                <w10:wrap type="topAndBottom" anchorx="page"/>
              </v:shape>
            </w:pict>
          </mc:Fallback>
        </mc:AlternateContent>
      </w:r>
    </w:p>
    <w:p w14:paraId="24D61A2F" w14:textId="77777777" w:rsidR="00245300" w:rsidRPr="00EC20A0" w:rsidRDefault="00245300">
      <w:pPr>
        <w:pStyle w:val="BodyText"/>
        <w:spacing w:before="53"/>
        <w:rPr>
          <w:sz w:val="18"/>
        </w:rPr>
      </w:pPr>
    </w:p>
    <w:p w14:paraId="24D61A30" w14:textId="77777777" w:rsidR="00245300" w:rsidRPr="00EC20A0" w:rsidRDefault="00F17249">
      <w:pPr>
        <w:spacing w:line="249" w:lineRule="auto"/>
        <w:ind w:left="200" w:right="337"/>
        <w:rPr>
          <w:sz w:val="18"/>
        </w:rPr>
      </w:pPr>
      <w:bookmarkStart w:id="324" w:name="_bookmark186"/>
      <w:bookmarkEnd w:id="324"/>
      <w:r w:rsidRPr="00EC20A0">
        <w:rPr>
          <w:position w:val="7"/>
          <w:sz w:val="14"/>
        </w:rPr>
        <w:t>32</w:t>
      </w:r>
      <w:r w:rsidRPr="00EC20A0">
        <w:rPr>
          <w:sz w:val="18"/>
        </w:rPr>
        <w:t>Detailed</w:t>
      </w:r>
      <w:r w:rsidRPr="00EC20A0">
        <w:rPr>
          <w:spacing w:val="-8"/>
          <w:sz w:val="18"/>
        </w:rPr>
        <w:t xml:space="preserve"> </w:t>
      </w:r>
      <w:r w:rsidRPr="00EC20A0">
        <w:rPr>
          <w:sz w:val="18"/>
        </w:rPr>
        <w:t>requirements</w:t>
      </w:r>
      <w:r w:rsidRPr="00EC20A0">
        <w:rPr>
          <w:spacing w:val="-7"/>
          <w:sz w:val="18"/>
        </w:rPr>
        <w:t xml:space="preserve"> </w:t>
      </w:r>
      <w:r w:rsidRPr="00EC20A0">
        <w:rPr>
          <w:sz w:val="18"/>
        </w:rPr>
        <w:t>can</w:t>
      </w:r>
      <w:r w:rsidRPr="00EC20A0">
        <w:rPr>
          <w:spacing w:val="-8"/>
          <w:sz w:val="18"/>
        </w:rPr>
        <w:t xml:space="preserve"> </w:t>
      </w:r>
      <w:r w:rsidRPr="00EC20A0">
        <w:rPr>
          <w:sz w:val="18"/>
        </w:rPr>
        <w:t>be</w:t>
      </w:r>
      <w:r w:rsidRPr="00EC20A0">
        <w:rPr>
          <w:spacing w:val="-6"/>
          <w:sz w:val="18"/>
        </w:rPr>
        <w:t xml:space="preserve"> </w:t>
      </w:r>
      <w:r w:rsidRPr="00EC20A0">
        <w:rPr>
          <w:sz w:val="18"/>
        </w:rPr>
        <w:t>found</w:t>
      </w:r>
      <w:r w:rsidRPr="00EC20A0">
        <w:rPr>
          <w:spacing w:val="-8"/>
          <w:sz w:val="18"/>
        </w:rPr>
        <w:t xml:space="preserve"> </w:t>
      </w:r>
      <w:r w:rsidRPr="00EC20A0">
        <w:rPr>
          <w:sz w:val="18"/>
        </w:rPr>
        <w:t>at</w:t>
      </w:r>
      <w:r w:rsidRPr="00EC20A0">
        <w:rPr>
          <w:spacing w:val="-7"/>
          <w:sz w:val="18"/>
        </w:rPr>
        <w:t xml:space="preserve"> </w:t>
      </w:r>
      <w:hyperlink r:id="rId165">
        <w:r w:rsidRPr="00EC20A0">
          <w:rPr>
            <w:color w:val="0000FF"/>
            <w:sz w:val="18"/>
            <w:u w:val="single" w:color="0000FF"/>
          </w:rPr>
          <w:t>https://www.fiscal.treasury.gov/cars/types-of-reconciliations-agencies.htm</w:t>
        </w:r>
        <w:r w:rsidRPr="00EC20A0">
          <w:rPr>
            <w:color w:val="0000FF"/>
            <w:sz w:val="18"/>
          </w:rPr>
          <w:t>l</w:t>
        </w:r>
      </w:hyperlink>
      <w:r w:rsidRPr="00EC20A0">
        <w:rPr>
          <w:color w:val="0000FF"/>
          <w:sz w:val="18"/>
        </w:rPr>
        <w:t xml:space="preserve"> </w:t>
      </w:r>
      <w:r w:rsidRPr="00EC20A0">
        <w:rPr>
          <w:sz w:val="18"/>
        </w:rPr>
        <w:t>(accessed June 4, 2024).</w:t>
      </w:r>
    </w:p>
    <w:p w14:paraId="24D61A31" w14:textId="77777777" w:rsidR="00245300" w:rsidRPr="00EC20A0" w:rsidRDefault="00F17249">
      <w:pPr>
        <w:spacing w:before="118"/>
        <w:ind w:left="200"/>
        <w:rPr>
          <w:sz w:val="18"/>
        </w:rPr>
      </w:pPr>
      <w:bookmarkStart w:id="325" w:name="_bookmark187"/>
      <w:bookmarkEnd w:id="325"/>
      <w:r w:rsidRPr="00EC20A0">
        <w:rPr>
          <w:position w:val="7"/>
          <w:sz w:val="14"/>
        </w:rPr>
        <w:t>33</w:t>
      </w:r>
      <w:r w:rsidRPr="00EC20A0">
        <w:rPr>
          <w:sz w:val="18"/>
        </w:rPr>
        <w:t>A</w:t>
      </w:r>
      <w:r w:rsidRPr="00EC20A0">
        <w:rPr>
          <w:spacing w:val="-5"/>
          <w:sz w:val="18"/>
        </w:rPr>
        <w:t xml:space="preserve"> </w:t>
      </w:r>
      <w:r w:rsidRPr="00EC20A0">
        <w:rPr>
          <w:sz w:val="18"/>
        </w:rPr>
        <w:t>non-Treasury</w:t>
      </w:r>
      <w:r w:rsidRPr="00EC20A0">
        <w:rPr>
          <w:spacing w:val="-2"/>
          <w:sz w:val="18"/>
        </w:rPr>
        <w:t xml:space="preserve"> </w:t>
      </w:r>
      <w:r w:rsidRPr="00EC20A0">
        <w:rPr>
          <w:sz w:val="18"/>
        </w:rPr>
        <w:t>Disbursing</w:t>
      </w:r>
      <w:r w:rsidRPr="00EC20A0">
        <w:rPr>
          <w:spacing w:val="-3"/>
          <w:sz w:val="18"/>
        </w:rPr>
        <w:t xml:space="preserve"> </w:t>
      </w:r>
      <w:r w:rsidRPr="00EC20A0">
        <w:rPr>
          <w:sz w:val="18"/>
        </w:rPr>
        <w:t>Office</w:t>
      </w:r>
      <w:r w:rsidRPr="00EC20A0">
        <w:rPr>
          <w:spacing w:val="-3"/>
          <w:sz w:val="18"/>
        </w:rPr>
        <w:t xml:space="preserve"> </w:t>
      </w:r>
      <w:r w:rsidRPr="00EC20A0">
        <w:rPr>
          <w:sz w:val="18"/>
        </w:rPr>
        <w:t>is</w:t>
      </w:r>
      <w:r w:rsidRPr="00EC20A0">
        <w:rPr>
          <w:spacing w:val="-3"/>
          <w:sz w:val="18"/>
        </w:rPr>
        <w:t xml:space="preserve"> </w:t>
      </w:r>
      <w:r w:rsidRPr="00EC20A0">
        <w:rPr>
          <w:sz w:val="18"/>
        </w:rPr>
        <w:t>a</w:t>
      </w:r>
      <w:r w:rsidRPr="00EC20A0">
        <w:rPr>
          <w:spacing w:val="-3"/>
          <w:sz w:val="18"/>
        </w:rPr>
        <w:t xml:space="preserve"> </w:t>
      </w:r>
      <w:r w:rsidRPr="00EC20A0">
        <w:rPr>
          <w:sz w:val="18"/>
        </w:rPr>
        <w:t>U.S.</w:t>
      </w:r>
      <w:r w:rsidRPr="00EC20A0">
        <w:rPr>
          <w:spacing w:val="-2"/>
          <w:sz w:val="18"/>
        </w:rPr>
        <w:t xml:space="preserve"> </w:t>
      </w:r>
      <w:r w:rsidRPr="00EC20A0">
        <w:rPr>
          <w:sz w:val="18"/>
        </w:rPr>
        <w:t>government</w:t>
      </w:r>
      <w:r w:rsidRPr="00EC20A0">
        <w:rPr>
          <w:spacing w:val="-2"/>
          <w:sz w:val="18"/>
        </w:rPr>
        <w:t xml:space="preserve"> </w:t>
      </w:r>
      <w:r w:rsidRPr="00EC20A0">
        <w:rPr>
          <w:sz w:val="18"/>
        </w:rPr>
        <w:t>entity</w:t>
      </w:r>
      <w:r w:rsidRPr="00EC20A0">
        <w:rPr>
          <w:spacing w:val="-2"/>
          <w:sz w:val="18"/>
        </w:rPr>
        <w:t xml:space="preserve"> </w:t>
      </w:r>
      <w:r w:rsidRPr="00EC20A0">
        <w:rPr>
          <w:sz w:val="18"/>
        </w:rPr>
        <w:t>other</w:t>
      </w:r>
      <w:r w:rsidRPr="00EC20A0">
        <w:rPr>
          <w:spacing w:val="-2"/>
          <w:sz w:val="18"/>
        </w:rPr>
        <w:t xml:space="preserve"> </w:t>
      </w:r>
      <w:r w:rsidRPr="00EC20A0">
        <w:rPr>
          <w:sz w:val="18"/>
        </w:rPr>
        <w:t>than</w:t>
      </w:r>
      <w:r w:rsidRPr="00EC20A0">
        <w:rPr>
          <w:spacing w:val="-3"/>
          <w:sz w:val="18"/>
        </w:rPr>
        <w:t xml:space="preserve"> </w:t>
      </w:r>
      <w:r w:rsidRPr="00EC20A0">
        <w:rPr>
          <w:sz w:val="18"/>
        </w:rPr>
        <w:t>Fiscal</w:t>
      </w:r>
      <w:r w:rsidRPr="00EC20A0">
        <w:rPr>
          <w:spacing w:val="-2"/>
          <w:sz w:val="18"/>
        </w:rPr>
        <w:t xml:space="preserve"> </w:t>
      </w:r>
      <w:r w:rsidRPr="00EC20A0">
        <w:rPr>
          <w:sz w:val="18"/>
        </w:rPr>
        <w:t>Service</w:t>
      </w:r>
      <w:r w:rsidRPr="00EC20A0">
        <w:rPr>
          <w:spacing w:val="-3"/>
          <w:sz w:val="18"/>
        </w:rPr>
        <w:t xml:space="preserve"> </w:t>
      </w:r>
      <w:r w:rsidRPr="00EC20A0">
        <w:rPr>
          <w:sz w:val="18"/>
        </w:rPr>
        <w:t>that</w:t>
      </w:r>
      <w:r w:rsidRPr="00EC20A0">
        <w:rPr>
          <w:spacing w:val="-2"/>
          <w:sz w:val="18"/>
        </w:rPr>
        <w:t xml:space="preserve"> </w:t>
      </w:r>
      <w:r w:rsidRPr="00EC20A0">
        <w:rPr>
          <w:sz w:val="18"/>
        </w:rPr>
        <w:t>is</w:t>
      </w:r>
      <w:r w:rsidRPr="00EC20A0">
        <w:rPr>
          <w:spacing w:val="-2"/>
          <w:sz w:val="18"/>
        </w:rPr>
        <w:t xml:space="preserve"> </w:t>
      </w:r>
      <w:r w:rsidRPr="00EC20A0">
        <w:rPr>
          <w:sz w:val="18"/>
        </w:rPr>
        <w:t>authorized</w:t>
      </w:r>
      <w:r w:rsidRPr="00EC20A0">
        <w:rPr>
          <w:spacing w:val="-1"/>
          <w:sz w:val="18"/>
        </w:rPr>
        <w:t xml:space="preserve"> </w:t>
      </w:r>
      <w:r w:rsidRPr="00EC20A0">
        <w:rPr>
          <w:sz w:val="18"/>
        </w:rPr>
        <w:t>to</w:t>
      </w:r>
      <w:r w:rsidRPr="00EC20A0">
        <w:rPr>
          <w:spacing w:val="-3"/>
          <w:sz w:val="18"/>
        </w:rPr>
        <w:t xml:space="preserve"> </w:t>
      </w:r>
      <w:r w:rsidRPr="00EC20A0">
        <w:rPr>
          <w:spacing w:val="-2"/>
          <w:sz w:val="18"/>
        </w:rPr>
        <w:t>issue</w:t>
      </w:r>
    </w:p>
    <w:p w14:paraId="24D61A32" w14:textId="77777777" w:rsidR="00245300" w:rsidRPr="00EC20A0" w:rsidRDefault="00F17249">
      <w:pPr>
        <w:spacing w:before="8"/>
        <w:ind w:left="200" w:right="408"/>
        <w:rPr>
          <w:sz w:val="18"/>
        </w:rPr>
      </w:pPr>
      <w:r w:rsidRPr="00EC20A0">
        <w:rPr>
          <w:sz w:val="18"/>
        </w:rPr>
        <w:t>U.S. government payments. The Federal Reserve Bank systems that process the collections and disbursements (e.g.,</w:t>
      </w:r>
      <w:r w:rsidRPr="00EC20A0">
        <w:rPr>
          <w:spacing w:val="-3"/>
          <w:sz w:val="18"/>
        </w:rPr>
        <w:t xml:space="preserve"> </w:t>
      </w:r>
      <w:r w:rsidRPr="00EC20A0">
        <w:rPr>
          <w:sz w:val="18"/>
        </w:rPr>
        <w:t>Direct</w:t>
      </w:r>
      <w:r w:rsidRPr="00EC20A0">
        <w:rPr>
          <w:spacing w:val="-3"/>
          <w:sz w:val="18"/>
        </w:rPr>
        <w:t xml:space="preserve"> </w:t>
      </w:r>
      <w:r w:rsidRPr="00EC20A0">
        <w:rPr>
          <w:sz w:val="18"/>
        </w:rPr>
        <w:t>Voucher</w:t>
      </w:r>
      <w:r w:rsidRPr="00EC20A0">
        <w:rPr>
          <w:spacing w:val="-3"/>
          <w:sz w:val="18"/>
        </w:rPr>
        <w:t xml:space="preserve"> </w:t>
      </w:r>
      <w:r w:rsidRPr="00EC20A0">
        <w:rPr>
          <w:sz w:val="18"/>
        </w:rPr>
        <w:t>System,</w:t>
      </w:r>
      <w:r w:rsidRPr="00EC20A0">
        <w:rPr>
          <w:spacing w:val="-3"/>
          <w:sz w:val="18"/>
        </w:rPr>
        <w:t xml:space="preserve"> </w:t>
      </w:r>
      <w:r w:rsidRPr="00EC20A0">
        <w:rPr>
          <w:sz w:val="18"/>
        </w:rPr>
        <w:t>Enterprise</w:t>
      </w:r>
      <w:r w:rsidRPr="00EC20A0">
        <w:rPr>
          <w:spacing w:val="-4"/>
          <w:sz w:val="18"/>
        </w:rPr>
        <w:t xml:space="preserve"> </w:t>
      </w:r>
      <w:r w:rsidRPr="00EC20A0">
        <w:rPr>
          <w:sz w:val="18"/>
        </w:rPr>
        <w:t>Accounting</w:t>
      </w:r>
      <w:r w:rsidRPr="00EC20A0">
        <w:rPr>
          <w:spacing w:val="-4"/>
          <w:sz w:val="18"/>
        </w:rPr>
        <w:t xml:space="preserve"> </w:t>
      </w:r>
      <w:r w:rsidRPr="00EC20A0">
        <w:rPr>
          <w:sz w:val="18"/>
        </w:rPr>
        <w:t>System,</w:t>
      </w:r>
      <w:r w:rsidRPr="00EC20A0">
        <w:rPr>
          <w:spacing w:val="-3"/>
          <w:sz w:val="18"/>
        </w:rPr>
        <w:t xml:space="preserve"> </w:t>
      </w:r>
      <w:r w:rsidRPr="00EC20A0">
        <w:rPr>
          <w:sz w:val="18"/>
        </w:rPr>
        <w:t>etc.)</w:t>
      </w:r>
      <w:r w:rsidRPr="00EC20A0">
        <w:rPr>
          <w:spacing w:val="-3"/>
          <w:sz w:val="18"/>
        </w:rPr>
        <w:t xml:space="preserve"> </w:t>
      </w:r>
      <w:r w:rsidRPr="00EC20A0">
        <w:rPr>
          <w:sz w:val="18"/>
        </w:rPr>
        <w:t>provide</w:t>
      </w:r>
      <w:r w:rsidRPr="00EC20A0">
        <w:rPr>
          <w:spacing w:val="-4"/>
          <w:sz w:val="18"/>
        </w:rPr>
        <w:t xml:space="preserve"> </w:t>
      </w:r>
      <w:r w:rsidRPr="00EC20A0">
        <w:rPr>
          <w:sz w:val="18"/>
        </w:rPr>
        <w:t>unique</w:t>
      </w:r>
      <w:r w:rsidRPr="00EC20A0">
        <w:rPr>
          <w:spacing w:val="-4"/>
          <w:sz w:val="18"/>
        </w:rPr>
        <w:t xml:space="preserve"> </w:t>
      </w:r>
      <w:r w:rsidRPr="00EC20A0">
        <w:rPr>
          <w:sz w:val="18"/>
        </w:rPr>
        <w:t>identifying</w:t>
      </w:r>
      <w:r w:rsidRPr="00EC20A0">
        <w:rPr>
          <w:spacing w:val="-4"/>
          <w:sz w:val="18"/>
        </w:rPr>
        <w:t xml:space="preserve"> </w:t>
      </w:r>
      <w:r w:rsidRPr="00EC20A0">
        <w:rPr>
          <w:sz w:val="18"/>
        </w:rPr>
        <w:t>information</w:t>
      </w:r>
      <w:r w:rsidRPr="00EC20A0">
        <w:rPr>
          <w:spacing w:val="-4"/>
          <w:sz w:val="18"/>
        </w:rPr>
        <w:t xml:space="preserve"> </w:t>
      </w:r>
      <w:r w:rsidRPr="00EC20A0">
        <w:rPr>
          <w:sz w:val="18"/>
        </w:rPr>
        <w:t>that</w:t>
      </w:r>
      <w:r w:rsidRPr="00EC20A0">
        <w:rPr>
          <w:spacing w:val="-3"/>
          <w:sz w:val="18"/>
        </w:rPr>
        <w:t xml:space="preserve"> </w:t>
      </w:r>
      <w:r w:rsidRPr="00EC20A0">
        <w:rPr>
          <w:sz w:val="18"/>
        </w:rPr>
        <w:t>can</w:t>
      </w:r>
      <w:r w:rsidRPr="00EC20A0">
        <w:rPr>
          <w:spacing w:val="-4"/>
          <w:sz w:val="18"/>
        </w:rPr>
        <w:t xml:space="preserve"> </w:t>
      </w:r>
      <w:r w:rsidRPr="00EC20A0">
        <w:rPr>
          <w:sz w:val="18"/>
        </w:rPr>
        <w:t>be used to reconcile the activity.</w:t>
      </w:r>
    </w:p>
    <w:p w14:paraId="24D61A33" w14:textId="77777777" w:rsidR="00245300" w:rsidRPr="00EC20A0" w:rsidRDefault="00245300">
      <w:pPr>
        <w:rPr>
          <w:sz w:val="18"/>
        </w:rPr>
        <w:sectPr w:rsidR="00245300" w:rsidRPr="00EC20A0">
          <w:pgSz w:w="12240" w:h="15840"/>
          <w:pgMar w:top="1340" w:right="1100" w:bottom="940" w:left="1240" w:header="721" w:footer="757" w:gutter="0"/>
          <w:cols w:space="720"/>
        </w:sectPr>
      </w:pPr>
    </w:p>
    <w:p w14:paraId="24D61A34" w14:textId="77777777" w:rsidR="00245300" w:rsidRPr="00EC20A0" w:rsidRDefault="00F17249">
      <w:pPr>
        <w:pStyle w:val="ListParagraph"/>
        <w:numPr>
          <w:ilvl w:val="0"/>
          <w:numId w:val="89"/>
        </w:numPr>
        <w:tabs>
          <w:tab w:val="left" w:pos="2000"/>
        </w:tabs>
        <w:spacing w:before="121"/>
        <w:ind w:right="783"/>
      </w:pPr>
      <w:r w:rsidRPr="00EC20A0">
        <w:t>Fiscal</w:t>
      </w:r>
      <w:r w:rsidRPr="00EC20A0">
        <w:rPr>
          <w:spacing w:val="-8"/>
        </w:rPr>
        <w:t xml:space="preserve"> </w:t>
      </w:r>
      <w:r w:rsidRPr="00EC20A0">
        <w:t>Service’s</w:t>
      </w:r>
      <w:r w:rsidRPr="00EC20A0">
        <w:rPr>
          <w:spacing w:val="-8"/>
        </w:rPr>
        <w:t xml:space="preserve"> </w:t>
      </w:r>
      <w:r w:rsidRPr="00EC20A0">
        <w:t>FBWT</w:t>
      </w:r>
      <w:r w:rsidRPr="00EC20A0">
        <w:rPr>
          <w:spacing w:val="-9"/>
        </w:rPr>
        <w:t xml:space="preserve"> </w:t>
      </w:r>
      <w:r w:rsidRPr="00EC20A0">
        <w:t>website</w:t>
      </w:r>
      <w:r w:rsidRPr="00EC20A0">
        <w:rPr>
          <w:spacing w:val="-8"/>
        </w:rPr>
        <w:t xml:space="preserve"> </w:t>
      </w:r>
      <w:r w:rsidRPr="00EC20A0">
        <w:t>at</w:t>
      </w:r>
      <w:r w:rsidRPr="00EC20A0">
        <w:rPr>
          <w:spacing w:val="-8"/>
        </w:rPr>
        <w:t xml:space="preserve"> </w:t>
      </w:r>
      <w:hyperlink r:id="rId166">
        <w:r w:rsidRPr="00EC20A0">
          <w:rPr>
            <w:color w:val="0000FF"/>
            <w:u w:val="single" w:color="0000FF"/>
          </w:rPr>
          <w:t>https://www.fiscal.treasury.gov/reports-</w:t>
        </w:r>
      </w:hyperlink>
      <w:r w:rsidRPr="00EC20A0">
        <w:rPr>
          <w:color w:val="0000FF"/>
        </w:rPr>
        <w:t xml:space="preserve"> </w:t>
      </w:r>
      <w:hyperlink r:id="rId167">
        <w:r w:rsidRPr="00EC20A0">
          <w:rPr>
            <w:color w:val="0000FF"/>
            <w:u w:val="single" w:color="0000FF"/>
          </w:rPr>
          <w:t>statements/</w:t>
        </w:r>
        <w:proofErr w:type="spellStart"/>
        <w:r w:rsidRPr="00EC20A0">
          <w:rPr>
            <w:color w:val="0000FF"/>
            <w:u w:val="single" w:color="0000FF"/>
          </w:rPr>
          <w:t>fbwt</w:t>
        </w:r>
        <w:proofErr w:type="spellEnd"/>
        <w:r w:rsidRPr="00EC20A0">
          <w:rPr>
            <w:color w:val="0000FF"/>
            <w:u w:val="single" w:color="0000FF"/>
          </w:rPr>
          <w:t>/</w:t>
        </w:r>
      </w:hyperlink>
      <w:r w:rsidRPr="00EC20A0">
        <w:rPr>
          <w:color w:val="0000FF"/>
        </w:rPr>
        <w:t xml:space="preserve"> </w:t>
      </w:r>
      <w:r w:rsidRPr="00EC20A0">
        <w:t>(accessed June 4, 2024);</w:t>
      </w:r>
    </w:p>
    <w:p w14:paraId="24D61A35" w14:textId="77777777" w:rsidR="00245300" w:rsidRPr="00EC20A0" w:rsidRDefault="00F17249">
      <w:pPr>
        <w:pStyle w:val="ListParagraph"/>
        <w:numPr>
          <w:ilvl w:val="0"/>
          <w:numId w:val="89"/>
        </w:numPr>
        <w:tabs>
          <w:tab w:val="left" w:pos="1999"/>
        </w:tabs>
        <w:spacing w:before="238"/>
        <w:ind w:left="1999" w:right="671"/>
      </w:pPr>
      <w:r w:rsidRPr="00EC20A0">
        <w:t>Treasury</w:t>
      </w:r>
      <w:r w:rsidRPr="00EC20A0">
        <w:rPr>
          <w:spacing w:val="-4"/>
        </w:rPr>
        <w:t xml:space="preserve"> </w:t>
      </w:r>
      <w:r w:rsidRPr="00EC20A0">
        <w:t>Financial</w:t>
      </w:r>
      <w:r w:rsidRPr="00EC20A0">
        <w:rPr>
          <w:spacing w:val="-4"/>
        </w:rPr>
        <w:t xml:space="preserve"> </w:t>
      </w:r>
      <w:r w:rsidRPr="00EC20A0">
        <w:t>Manual,</w:t>
      </w:r>
      <w:r w:rsidRPr="00EC20A0">
        <w:rPr>
          <w:spacing w:val="-4"/>
        </w:rPr>
        <w:t xml:space="preserve"> </w:t>
      </w:r>
      <w:r w:rsidRPr="00EC20A0">
        <w:t>Volume</w:t>
      </w:r>
      <w:r w:rsidRPr="00EC20A0">
        <w:rPr>
          <w:spacing w:val="-4"/>
        </w:rPr>
        <w:t xml:space="preserve"> </w:t>
      </w:r>
      <w:r w:rsidRPr="00EC20A0">
        <w:t>I,</w:t>
      </w:r>
      <w:r w:rsidRPr="00EC20A0">
        <w:rPr>
          <w:spacing w:val="-4"/>
        </w:rPr>
        <w:t xml:space="preserve"> </w:t>
      </w:r>
      <w:r w:rsidRPr="00EC20A0">
        <w:t>Part</w:t>
      </w:r>
      <w:r w:rsidRPr="00EC20A0">
        <w:rPr>
          <w:spacing w:val="-4"/>
        </w:rPr>
        <w:t xml:space="preserve"> </w:t>
      </w:r>
      <w:r w:rsidRPr="00EC20A0">
        <w:t>II,</w:t>
      </w:r>
      <w:r w:rsidRPr="00EC20A0">
        <w:rPr>
          <w:spacing w:val="-4"/>
        </w:rPr>
        <w:t xml:space="preserve"> </w:t>
      </w:r>
      <w:r w:rsidRPr="00EC20A0">
        <w:t>Chapter</w:t>
      </w:r>
      <w:r w:rsidRPr="00EC20A0">
        <w:rPr>
          <w:spacing w:val="-4"/>
        </w:rPr>
        <w:t xml:space="preserve"> </w:t>
      </w:r>
      <w:r w:rsidRPr="00EC20A0">
        <w:t>5100,</w:t>
      </w:r>
      <w:r w:rsidRPr="00EC20A0">
        <w:rPr>
          <w:spacing w:val="-5"/>
        </w:rPr>
        <w:t xml:space="preserve"> </w:t>
      </w:r>
      <w:r w:rsidRPr="00EC20A0">
        <w:rPr>
          <w:i/>
        </w:rPr>
        <w:t>Fund</w:t>
      </w:r>
      <w:r w:rsidRPr="00EC20A0">
        <w:rPr>
          <w:i/>
          <w:spacing w:val="-4"/>
        </w:rPr>
        <w:t xml:space="preserve"> </w:t>
      </w:r>
      <w:r w:rsidRPr="00EC20A0">
        <w:rPr>
          <w:i/>
        </w:rPr>
        <w:t>Balance with Treasury Accounts</w:t>
      </w:r>
      <w:r w:rsidRPr="00EC20A0">
        <w:t xml:space="preserve">, at </w:t>
      </w:r>
      <w:hyperlink r:id="rId168">
        <w:r w:rsidRPr="00EC20A0">
          <w:rPr>
            <w:color w:val="0000FF"/>
            <w:u w:val="single" w:color="0000FF"/>
          </w:rPr>
          <w:t>https://tfx.treasury.gov/volume1/part2/chapter-</w:t>
        </w:r>
      </w:hyperlink>
      <w:r w:rsidRPr="00EC20A0">
        <w:rPr>
          <w:color w:val="0000FF"/>
        </w:rPr>
        <w:t xml:space="preserve"> </w:t>
      </w:r>
      <w:hyperlink r:id="rId169">
        <w:r w:rsidRPr="00EC20A0">
          <w:rPr>
            <w:color w:val="0000FF"/>
            <w:u w:val="single" w:color="0000FF"/>
          </w:rPr>
          <w:t>5100-fund-balance-treasury-accounts</w:t>
        </w:r>
      </w:hyperlink>
      <w:r w:rsidRPr="00EC20A0">
        <w:rPr>
          <w:color w:val="0000FF"/>
        </w:rPr>
        <w:t xml:space="preserve"> </w:t>
      </w:r>
      <w:r w:rsidRPr="00EC20A0">
        <w:t>(accessed June 4, 2024);</w:t>
      </w:r>
    </w:p>
    <w:p w14:paraId="24D61A36" w14:textId="77777777" w:rsidR="00245300" w:rsidRPr="00EC20A0" w:rsidRDefault="00F17249">
      <w:pPr>
        <w:pStyle w:val="ListParagraph"/>
        <w:numPr>
          <w:ilvl w:val="0"/>
          <w:numId w:val="89"/>
        </w:numPr>
        <w:tabs>
          <w:tab w:val="left" w:pos="2000"/>
        </w:tabs>
        <w:spacing w:before="238"/>
        <w:ind w:right="513"/>
      </w:pPr>
      <w:r w:rsidRPr="00EC20A0">
        <w:rPr>
          <w:i/>
        </w:rPr>
        <w:t>FAST</w:t>
      </w:r>
      <w:r w:rsidRPr="00EC20A0">
        <w:rPr>
          <w:i/>
          <w:spacing w:val="-13"/>
        </w:rPr>
        <w:t xml:space="preserve"> </w:t>
      </w:r>
      <w:r w:rsidRPr="00EC20A0">
        <w:rPr>
          <w:i/>
        </w:rPr>
        <w:t>Book</w:t>
      </w:r>
      <w:r w:rsidRPr="00EC20A0">
        <w:rPr>
          <w:i/>
          <w:spacing w:val="-13"/>
        </w:rPr>
        <w:t xml:space="preserve"> </w:t>
      </w:r>
      <w:r w:rsidRPr="00EC20A0">
        <w:t>at</w:t>
      </w:r>
      <w:r w:rsidRPr="00EC20A0">
        <w:rPr>
          <w:spacing w:val="-13"/>
        </w:rPr>
        <w:t xml:space="preserve"> </w:t>
      </w:r>
      <w:hyperlink r:id="rId170">
        <w:r w:rsidRPr="00EC20A0">
          <w:rPr>
            <w:color w:val="0000FF"/>
            <w:u w:val="single" w:color="0000FF"/>
          </w:rPr>
          <w:t>https://www.fiscal.treasury.gov/reference-guidance/fast-book/</w:t>
        </w:r>
      </w:hyperlink>
      <w:r w:rsidRPr="00EC20A0">
        <w:rPr>
          <w:color w:val="0000FF"/>
        </w:rPr>
        <w:t xml:space="preserve"> </w:t>
      </w:r>
      <w:r w:rsidRPr="00EC20A0">
        <w:t>(accessed June 4, 2024);</w:t>
      </w:r>
    </w:p>
    <w:p w14:paraId="24D61A37" w14:textId="77777777" w:rsidR="00245300" w:rsidRPr="00EC20A0" w:rsidRDefault="00F17249">
      <w:pPr>
        <w:pStyle w:val="ListParagraph"/>
        <w:numPr>
          <w:ilvl w:val="0"/>
          <w:numId w:val="89"/>
        </w:numPr>
        <w:tabs>
          <w:tab w:val="left" w:pos="1999"/>
        </w:tabs>
        <w:spacing w:before="239"/>
        <w:ind w:left="1999" w:right="513"/>
      </w:pPr>
      <w:r w:rsidRPr="00EC20A0">
        <w:t xml:space="preserve">Fiscal Service’s BETC listing and guidance at </w:t>
      </w:r>
      <w:hyperlink r:id="rId171">
        <w:r w:rsidRPr="00EC20A0">
          <w:rPr>
            <w:color w:val="0000FF"/>
            <w:u w:val="single" w:color="0000FF"/>
          </w:rPr>
          <w:t>https://www.fiscal.treasury.gov/files/cars/betc-guidance.xlsx</w:t>
        </w:r>
      </w:hyperlink>
      <w:r w:rsidRPr="00EC20A0">
        <w:rPr>
          <w:color w:val="0000FF"/>
          <w:spacing w:val="-16"/>
        </w:rPr>
        <w:t xml:space="preserve"> </w:t>
      </w:r>
      <w:r w:rsidRPr="00EC20A0">
        <w:t>(accessed</w:t>
      </w:r>
      <w:r w:rsidRPr="00EC20A0">
        <w:rPr>
          <w:spacing w:val="-15"/>
        </w:rPr>
        <w:t xml:space="preserve"> </w:t>
      </w:r>
      <w:r w:rsidRPr="00EC20A0">
        <w:t>June 4, 2024)</w:t>
      </w:r>
    </w:p>
    <w:p w14:paraId="24D61A38" w14:textId="77777777" w:rsidR="00245300" w:rsidRPr="00EC20A0" w:rsidRDefault="00F17249">
      <w:pPr>
        <w:pStyle w:val="ListParagraph"/>
        <w:numPr>
          <w:ilvl w:val="0"/>
          <w:numId w:val="89"/>
        </w:numPr>
        <w:tabs>
          <w:tab w:val="left" w:pos="1999"/>
        </w:tabs>
        <w:spacing w:before="238"/>
        <w:ind w:left="1999" w:hanging="359"/>
      </w:pPr>
      <w:r w:rsidRPr="00EC20A0">
        <w:t>OMB</w:t>
      </w:r>
      <w:r w:rsidRPr="00EC20A0">
        <w:rPr>
          <w:spacing w:val="-8"/>
        </w:rPr>
        <w:t xml:space="preserve"> </w:t>
      </w:r>
      <w:r w:rsidRPr="00EC20A0">
        <w:t>Circular</w:t>
      </w:r>
      <w:r w:rsidRPr="00EC20A0">
        <w:rPr>
          <w:spacing w:val="-8"/>
        </w:rPr>
        <w:t xml:space="preserve"> </w:t>
      </w:r>
      <w:r w:rsidRPr="00EC20A0">
        <w:t>No.</w:t>
      </w:r>
      <w:r w:rsidRPr="00EC20A0">
        <w:rPr>
          <w:spacing w:val="-8"/>
        </w:rPr>
        <w:t xml:space="preserve"> </w:t>
      </w:r>
      <w:r w:rsidRPr="00EC20A0">
        <w:t>A-136,</w:t>
      </w:r>
      <w:r w:rsidRPr="00EC20A0">
        <w:rPr>
          <w:spacing w:val="-8"/>
        </w:rPr>
        <w:t xml:space="preserve"> </w:t>
      </w:r>
      <w:r w:rsidRPr="00EC20A0">
        <w:rPr>
          <w:i/>
        </w:rPr>
        <w:t>Financial</w:t>
      </w:r>
      <w:r w:rsidRPr="00EC20A0">
        <w:rPr>
          <w:i/>
          <w:spacing w:val="-9"/>
        </w:rPr>
        <w:t xml:space="preserve"> </w:t>
      </w:r>
      <w:r w:rsidRPr="00EC20A0">
        <w:rPr>
          <w:i/>
        </w:rPr>
        <w:t>Reporting</w:t>
      </w:r>
      <w:r w:rsidRPr="00EC20A0">
        <w:rPr>
          <w:i/>
          <w:spacing w:val="-7"/>
        </w:rPr>
        <w:t xml:space="preserve"> </w:t>
      </w:r>
      <w:r w:rsidRPr="00EC20A0">
        <w:rPr>
          <w:i/>
          <w:spacing w:val="-2"/>
        </w:rPr>
        <w:t>Requirements</w:t>
      </w:r>
      <w:r w:rsidRPr="00EC20A0">
        <w:rPr>
          <w:spacing w:val="-2"/>
        </w:rPr>
        <w:t>;</w:t>
      </w:r>
    </w:p>
    <w:p w14:paraId="24D61A39" w14:textId="77777777" w:rsidR="00245300" w:rsidRPr="00EC20A0" w:rsidRDefault="00F17249">
      <w:pPr>
        <w:pStyle w:val="ListParagraph"/>
        <w:numPr>
          <w:ilvl w:val="0"/>
          <w:numId w:val="89"/>
        </w:numPr>
        <w:tabs>
          <w:tab w:val="left" w:pos="1999"/>
        </w:tabs>
        <w:spacing w:before="238"/>
        <w:ind w:left="1999" w:hanging="359"/>
      </w:pPr>
      <w:r w:rsidRPr="00EC20A0">
        <w:t>SFFAS</w:t>
      </w:r>
      <w:r w:rsidRPr="00EC20A0">
        <w:rPr>
          <w:spacing w:val="-7"/>
        </w:rPr>
        <w:t xml:space="preserve"> </w:t>
      </w:r>
      <w:r w:rsidRPr="00EC20A0">
        <w:t>1,</w:t>
      </w:r>
      <w:r w:rsidRPr="00EC20A0">
        <w:rPr>
          <w:spacing w:val="-6"/>
        </w:rPr>
        <w:t xml:space="preserve"> </w:t>
      </w:r>
      <w:r w:rsidRPr="00EC20A0">
        <w:rPr>
          <w:i/>
        </w:rPr>
        <w:t>Accounting</w:t>
      </w:r>
      <w:r w:rsidRPr="00EC20A0">
        <w:rPr>
          <w:i/>
          <w:spacing w:val="-7"/>
        </w:rPr>
        <w:t xml:space="preserve"> </w:t>
      </w:r>
      <w:r w:rsidRPr="00EC20A0">
        <w:rPr>
          <w:i/>
        </w:rPr>
        <w:t>for</w:t>
      </w:r>
      <w:r w:rsidRPr="00EC20A0">
        <w:rPr>
          <w:i/>
          <w:spacing w:val="-6"/>
        </w:rPr>
        <w:t xml:space="preserve"> </w:t>
      </w:r>
      <w:r w:rsidRPr="00EC20A0">
        <w:rPr>
          <w:i/>
        </w:rPr>
        <w:t>Selected</w:t>
      </w:r>
      <w:r w:rsidRPr="00EC20A0">
        <w:rPr>
          <w:i/>
          <w:spacing w:val="-7"/>
        </w:rPr>
        <w:t xml:space="preserve"> </w:t>
      </w:r>
      <w:r w:rsidRPr="00EC20A0">
        <w:rPr>
          <w:i/>
        </w:rPr>
        <w:t>Assets</w:t>
      </w:r>
      <w:r w:rsidRPr="00EC20A0">
        <w:rPr>
          <w:i/>
          <w:spacing w:val="-6"/>
        </w:rPr>
        <w:t xml:space="preserve"> </w:t>
      </w:r>
      <w:r w:rsidRPr="00EC20A0">
        <w:rPr>
          <w:i/>
        </w:rPr>
        <w:t>and</w:t>
      </w:r>
      <w:r w:rsidRPr="00EC20A0">
        <w:rPr>
          <w:i/>
          <w:spacing w:val="-7"/>
        </w:rPr>
        <w:t xml:space="preserve"> </w:t>
      </w:r>
      <w:r w:rsidRPr="00EC20A0">
        <w:rPr>
          <w:i/>
          <w:spacing w:val="-2"/>
        </w:rPr>
        <w:t>Liabilities</w:t>
      </w:r>
      <w:r w:rsidRPr="00EC20A0">
        <w:rPr>
          <w:spacing w:val="-2"/>
        </w:rPr>
        <w:t>;</w:t>
      </w:r>
    </w:p>
    <w:p w14:paraId="24D61A3A" w14:textId="77777777" w:rsidR="00245300" w:rsidRPr="00EC20A0" w:rsidRDefault="00F17249">
      <w:pPr>
        <w:pStyle w:val="ListParagraph"/>
        <w:numPr>
          <w:ilvl w:val="0"/>
          <w:numId w:val="89"/>
        </w:numPr>
        <w:tabs>
          <w:tab w:val="left" w:pos="1999"/>
        </w:tabs>
        <w:spacing w:before="238"/>
        <w:ind w:left="1999" w:right="536"/>
      </w:pPr>
      <w:r w:rsidRPr="00EC20A0">
        <w:t>SFFAS</w:t>
      </w:r>
      <w:r w:rsidRPr="00EC20A0">
        <w:rPr>
          <w:spacing w:val="-4"/>
        </w:rPr>
        <w:t xml:space="preserve"> </w:t>
      </w:r>
      <w:r w:rsidRPr="00EC20A0">
        <w:t>24,</w:t>
      </w:r>
      <w:r w:rsidRPr="00EC20A0">
        <w:rPr>
          <w:spacing w:val="-3"/>
        </w:rPr>
        <w:t xml:space="preserve"> </w:t>
      </w:r>
      <w:r w:rsidRPr="00EC20A0">
        <w:rPr>
          <w:i/>
        </w:rPr>
        <w:t>Selected</w:t>
      </w:r>
      <w:r w:rsidRPr="00EC20A0">
        <w:rPr>
          <w:i/>
          <w:spacing w:val="-4"/>
        </w:rPr>
        <w:t xml:space="preserve"> </w:t>
      </w:r>
      <w:r w:rsidRPr="00EC20A0">
        <w:rPr>
          <w:i/>
        </w:rPr>
        <w:t>Standards</w:t>
      </w:r>
      <w:r w:rsidRPr="00EC20A0">
        <w:rPr>
          <w:i/>
          <w:spacing w:val="-4"/>
        </w:rPr>
        <w:t xml:space="preserve"> </w:t>
      </w:r>
      <w:r w:rsidRPr="00EC20A0">
        <w:rPr>
          <w:i/>
        </w:rPr>
        <w:t>for</w:t>
      </w:r>
      <w:r w:rsidRPr="00EC20A0">
        <w:rPr>
          <w:i/>
          <w:spacing w:val="-6"/>
        </w:rPr>
        <w:t xml:space="preserve"> </w:t>
      </w:r>
      <w:r w:rsidRPr="00EC20A0">
        <w:rPr>
          <w:i/>
        </w:rPr>
        <w:t>the</w:t>
      </w:r>
      <w:r w:rsidRPr="00EC20A0">
        <w:rPr>
          <w:i/>
          <w:spacing w:val="-4"/>
        </w:rPr>
        <w:t xml:space="preserve"> </w:t>
      </w:r>
      <w:r w:rsidRPr="00EC20A0">
        <w:rPr>
          <w:i/>
        </w:rPr>
        <w:t>Consolidated</w:t>
      </w:r>
      <w:r w:rsidRPr="00EC20A0">
        <w:rPr>
          <w:i/>
          <w:spacing w:val="-4"/>
        </w:rPr>
        <w:t xml:space="preserve"> </w:t>
      </w:r>
      <w:r w:rsidRPr="00EC20A0">
        <w:rPr>
          <w:i/>
        </w:rPr>
        <w:t>Financial</w:t>
      </w:r>
      <w:r w:rsidRPr="00EC20A0">
        <w:rPr>
          <w:i/>
          <w:spacing w:val="-4"/>
        </w:rPr>
        <w:t xml:space="preserve"> </w:t>
      </w:r>
      <w:r w:rsidRPr="00EC20A0">
        <w:rPr>
          <w:i/>
        </w:rPr>
        <w:t>Report</w:t>
      </w:r>
      <w:r w:rsidRPr="00EC20A0">
        <w:rPr>
          <w:i/>
          <w:spacing w:val="-4"/>
        </w:rPr>
        <w:t xml:space="preserve"> </w:t>
      </w:r>
      <w:r w:rsidRPr="00EC20A0">
        <w:rPr>
          <w:i/>
        </w:rPr>
        <w:t>of</w:t>
      </w:r>
      <w:r w:rsidRPr="00EC20A0">
        <w:rPr>
          <w:i/>
          <w:spacing w:val="-4"/>
        </w:rPr>
        <w:t xml:space="preserve"> </w:t>
      </w:r>
      <w:r w:rsidRPr="00EC20A0">
        <w:rPr>
          <w:i/>
        </w:rPr>
        <w:t xml:space="preserve">the United States Government, </w:t>
      </w:r>
      <w:r w:rsidRPr="00EC20A0">
        <w:t>and</w:t>
      </w:r>
    </w:p>
    <w:p w14:paraId="24D61A3B" w14:textId="77777777" w:rsidR="00245300" w:rsidRPr="00EC20A0" w:rsidRDefault="00F17249">
      <w:pPr>
        <w:pStyle w:val="ListParagraph"/>
        <w:numPr>
          <w:ilvl w:val="0"/>
          <w:numId w:val="89"/>
        </w:numPr>
        <w:tabs>
          <w:tab w:val="left" w:pos="1999"/>
        </w:tabs>
        <w:spacing w:before="238"/>
        <w:ind w:left="1999"/>
      </w:pPr>
      <w:r w:rsidRPr="00EC20A0">
        <w:t>entity</w:t>
      </w:r>
      <w:r w:rsidRPr="00EC20A0">
        <w:rPr>
          <w:spacing w:val="-8"/>
        </w:rPr>
        <w:t xml:space="preserve"> </w:t>
      </w:r>
      <w:r w:rsidRPr="00EC20A0">
        <w:t>accounting</w:t>
      </w:r>
      <w:r w:rsidRPr="00EC20A0">
        <w:rPr>
          <w:spacing w:val="-8"/>
        </w:rPr>
        <w:t xml:space="preserve"> </w:t>
      </w:r>
      <w:r w:rsidRPr="00EC20A0">
        <w:t>policies</w:t>
      </w:r>
      <w:r w:rsidRPr="00EC20A0">
        <w:rPr>
          <w:spacing w:val="-7"/>
        </w:rPr>
        <w:t xml:space="preserve"> </w:t>
      </w:r>
      <w:r w:rsidRPr="00EC20A0">
        <w:t>and</w:t>
      </w:r>
      <w:r w:rsidRPr="00EC20A0">
        <w:rPr>
          <w:spacing w:val="-8"/>
        </w:rPr>
        <w:t xml:space="preserve"> </w:t>
      </w:r>
      <w:r w:rsidRPr="00EC20A0">
        <w:t>procedures</w:t>
      </w:r>
      <w:r w:rsidRPr="00EC20A0">
        <w:rPr>
          <w:spacing w:val="-7"/>
        </w:rPr>
        <w:t xml:space="preserve"> </w:t>
      </w:r>
      <w:r w:rsidRPr="00EC20A0">
        <w:t>for</w:t>
      </w:r>
      <w:r w:rsidRPr="00EC20A0">
        <w:rPr>
          <w:spacing w:val="-8"/>
        </w:rPr>
        <w:t xml:space="preserve"> </w:t>
      </w:r>
      <w:r w:rsidRPr="00EC20A0">
        <w:t>FBWT</w:t>
      </w:r>
      <w:r w:rsidRPr="00EC20A0">
        <w:rPr>
          <w:spacing w:val="-7"/>
        </w:rPr>
        <w:t xml:space="preserve"> </w:t>
      </w:r>
      <w:r w:rsidRPr="00EC20A0">
        <w:rPr>
          <w:spacing w:val="-2"/>
        </w:rPr>
        <w:t>accounts.</w:t>
      </w:r>
    </w:p>
    <w:p w14:paraId="24D61A3C" w14:textId="77777777" w:rsidR="00245300" w:rsidRPr="00EC20A0" w:rsidRDefault="00245300">
      <w:pPr>
        <w:pStyle w:val="BodyText"/>
        <w:spacing w:before="46"/>
      </w:pPr>
    </w:p>
    <w:p w14:paraId="24D61A3D" w14:textId="77777777" w:rsidR="00245300" w:rsidRPr="00EC20A0" w:rsidRDefault="00F17249">
      <w:pPr>
        <w:pStyle w:val="Heading4"/>
        <w:spacing w:before="0"/>
        <w:ind w:left="200"/>
      </w:pPr>
      <w:bookmarkStart w:id="326" w:name="Audit_Issues"/>
      <w:bookmarkEnd w:id="326"/>
      <w:r w:rsidRPr="00EC20A0">
        <w:t>Audit</w:t>
      </w:r>
      <w:r w:rsidRPr="00EC20A0">
        <w:rPr>
          <w:spacing w:val="-10"/>
        </w:rPr>
        <w:t xml:space="preserve"> </w:t>
      </w:r>
      <w:r w:rsidRPr="00EC20A0">
        <w:rPr>
          <w:spacing w:val="-2"/>
        </w:rPr>
        <w:t>Issues</w:t>
      </w:r>
    </w:p>
    <w:p w14:paraId="24D61A3E" w14:textId="77777777" w:rsidR="00245300" w:rsidRPr="00EC20A0" w:rsidRDefault="00F17249">
      <w:pPr>
        <w:pStyle w:val="ListParagraph"/>
        <w:numPr>
          <w:ilvl w:val="0"/>
          <w:numId w:val="91"/>
        </w:numPr>
        <w:tabs>
          <w:tab w:val="left" w:pos="1639"/>
        </w:tabs>
        <w:spacing w:before="300"/>
        <w:ind w:left="1639" w:right="455" w:hanging="720"/>
      </w:pPr>
      <w:r w:rsidRPr="00EC20A0">
        <w:t>Ineffective processes and controls over FBWT accounts may result in material misstatements in the amount of funds available for expenditure from each appropriation or may result in an entity’s disbursements exceeding appropriated amounts.</w:t>
      </w:r>
      <w:hyperlink w:anchor="_bookmark188" w:history="1">
        <w:r w:rsidRPr="00EC20A0">
          <w:rPr>
            <w:position w:val="7"/>
            <w:sz w:val="14"/>
          </w:rPr>
          <w:t>34</w:t>
        </w:r>
      </w:hyperlink>
      <w:r w:rsidRPr="00EC20A0">
        <w:rPr>
          <w:spacing w:val="35"/>
          <w:position w:val="7"/>
          <w:sz w:val="14"/>
        </w:rPr>
        <w:t xml:space="preserve"> </w:t>
      </w:r>
      <w:r w:rsidRPr="00EC20A0">
        <w:t>For example, entities may not have effective processes to properly record</w:t>
      </w:r>
      <w:r w:rsidRPr="00EC20A0">
        <w:rPr>
          <w:spacing w:val="-4"/>
        </w:rPr>
        <w:t xml:space="preserve"> </w:t>
      </w:r>
      <w:r w:rsidRPr="00EC20A0">
        <w:t>and</w:t>
      </w:r>
      <w:r w:rsidRPr="00EC20A0">
        <w:rPr>
          <w:spacing w:val="-4"/>
        </w:rPr>
        <w:t xml:space="preserve"> </w:t>
      </w:r>
      <w:r w:rsidRPr="00EC20A0">
        <w:t>reconcile</w:t>
      </w:r>
      <w:r w:rsidRPr="00EC20A0">
        <w:rPr>
          <w:spacing w:val="-5"/>
        </w:rPr>
        <w:t xml:space="preserve"> </w:t>
      </w:r>
      <w:r w:rsidRPr="00EC20A0">
        <w:t>collection</w:t>
      </w:r>
      <w:r w:rsidRPr="00EC20A0">
        <w:rPr>
          <w:spacing w:val="-4"/>
        </w:rPr>
        <w:t xml:space="preserve"> </w:t>
      </w:r>
      <w:r w:rsidRPr="00EC20A0">
        <w:t>and</w:t>
      </w:r>
      <w:r w:rsidRPr="00EC20A0">
        <w:rPr>
          <w:spacing w:val="-4"/>
        </w:rPr>
        <w:t xml:space="preserve"> </w:t>
      </w:r>
      <w:r w:rsidRPr="00EC20A0">
        <w:t>disbursement</w:t>
      </w:r>
      <w:r w:rsidRPr="00EC20A0">
        <w:rPr>
          <w:spacing w:val="-4"/>
        </w:rPr>
        <w:t xml:space="preserve"> </w:t>
      </w:r>
      <w:r w:rsidRPr="00EC20A0">
        <w:t>activity</w:t>
      </w:r>
      <w:r w:rsidRPr="00EC20A0">
        <w:rPr>
          <w:spacing w:val="-3"/>
        </w:rPr>
        <w:t xml:space="preserve"> </w:t>
      </w:r>
      <w:r w:rsidRPr="00EC20A0">
        <w:t>by</w:t>
      </w:r>
      <w:r w:rsidRPr="00EC20A0">
        <w:rPr>
          <w:spacing w:val="-4"/>
        </w:rPr>
        <w:t xml:space="preserve"> </w:t>
      </w:r>
      <w:r w:rsidRPr="00EC20A0">
        <w:t>TAS,</w:t>
      </w:r>
      <w:r w:rsidRPr="00EC20A0">
        <w:rPr>
          <w:spacing w:val="-4"/>
        </w:rPr>
        <w:t xml:space="preserve"> </w:t>
      </w:r>
      <w:r w:rsidRPr="00EC20A0">
        <w:t>may</w:t>
      </w:r>
      <w:r w:rsidRPr="00EC20A0">
        <w:rPr>
          <w:spacing w:val="-4"/>
        </w:rPr>
        <w:t xml:space="preserve"> </w:t>
      </w:r>
      <w:r w:rsidRPr="00EC20A0">
        <w:t>arbitrarily adjust accounts to the amounts reported by Treasury, or may</w:t>
      </w:r>
      <w:r w:rsidRPr="00EC20A0">
        <w:rPr>
          <w:spacing w:val="-1"/>
        </w:rPr>
        <w:t xml:space="preserve"> </w:t>
      </w:r>
      <w:r w:rsidRPr="00EC20A0">
        <w:t>record differences in clearing accounts without adequately researching their causes. Unreconciled differences recorded in clearing accounts represent transactions that the entity has not properly recorded to the appropriate accounts. Additionally, an entity’s failure to reconcile its FBWT accounts tim</w:t>
      </w:r>
      <w:r w:rsidRPr="00EC20A0">
        <w:t xml:space="preserve">ely makes it more difficult to identify and resolve intragovernmental differences as time passes and to identify erroneous or fraudulent transactions in time for the entity to take appropriate </w:t>
      </w:r>
      <w:r w:rsidRPr="00EC20A0">
        <w:rPr>
          <w:spacing w:val="-2"/>
        </w:rPr>
        <w:t>actions.</w:t>
      </w:r>
    </w:p>
    <w:p w14:paraId="24D61A3F" w14:textId="77777777" w:rsidR="00245300" w:rsidRPr="00EC20A0" w:rsidRDefault="00F17249">
      <w:pPr>
        <w:pStyle w:val="ListParagraph"/>
        <w:numPr>
          <w:ilvl w:val="0"/>
          <w:numId w:val="91"/>
        </w:numPr>
        <w:tabs>
          <w:tab w:val="left" w:pos="1639"/>
        </w:tabs>
        <w:ind w:left="1639" w:right="616" w:hanging="720"/>
      </w:pPr>
      <w:r w:rsidRPr="00EC20A0">
        <w:t xml:space="preserve">Entities’ </w:t>
      </w:r>
      <w:r w:rsidRPr="00EC20A0">
        <w:t>implementation of CARS reporting has varied. Most entities have transitioned to full-CARS reporting for their daily collection and disbursement activities. However, for entities that continue to report transactions to CARS monthly,</w:t>
      </w:r>
      <w:r w:rsidRPr="00EC20A0">
        <w:rPr>
          <w:spacing w:val="-4"/>
        </w:rPr>
        <w:t xml:space="preserve"> </w:t>
      </w:r>
      <w:r w:rsidRPr="00EC20A0">
        <w:t>there</w:t>
      </w:r>
      <w:r w:rsidRPr="00EC20A0">
        <w:rPr>
          <w:spacing w:val="-4"/>
        </w:rPr>
        <w:t xml:space="preserve"> </w:t>
      </w:r>
      <w:r w:rsidRPr="00EC20A0">
        <w:t>is</w:t>
      </w:r>
      <w:r w:rsidRPr="00EC20A0">
        <w:rPr>
          <w:spacing w:val="-4"/>
        </w:rPr>
        <w:t xml:space="preserve"> </w:t>
      </w:r>
      <w:r w:rsidRPr="00EC20A0">
        <w:t>increased</w:t>
      </w:r>
      <w:r w:rsidRPr="00EC20A0">
        <w:rPr>
          <w:spacing w:val="-4"/>
        </w:rPr>
        <w:t xml:space="preserve"> </w:t>
      </w:r>
      <w:r w:rsidRPr="00EC20A0">
        <w:t>audit</w:t>
      </w:r>
      <w:r w:rsidRPr="00EC20A0">
        <w:rPr>
          <w:spacing w:val="-4"/>
        </w:rPr>
        <w:t xml:space="preserve"> </w:t>
      </w:r>
      <w:r w:rsidRPr="00EC20A0">
        <w:t>risk</w:t>
      </w:r>
      <w:r w:rsidRPr="00EC20A0">
        <w:rPr>
          <w:spacing w:val="-5"/>
        </w:rPr>
        <w:t xml:space="preserve"> </w:t>
      </w:r>
      <w:r w:rsidRPr="00EC20A0">
        <w:t>associated</w:t>
      </w:r>
      <w:r w:rsidRPr="00EC20A0">
        <w:rPr>
          <w:spacing w:val="-5"/>
        </w:rPr>
        <w:t xml:space="preserve"> </w:t>
      </w:r>
      <w:r w:rsidRPr="00EC20A0">
        <w:t>with</w:t>
      </w:r>
      <w:r w:rsidRPr="00EC20A0">
        <w:rPr>
          <w:spacing w:val="-4"/>
        </w:rPr>
        <w:t xml:space="preserve"> </w:t>
      </w:r>
      <w:r w:rsidRPr="00EC20A0">
        <w:t>FBWT</w:t>
      </w:r>
      <w:r w:rsidRPr="00EC20A0">
        <w:rPr>
          <w:spacing w:val="-4"/>
        </w:rPr>
        <w:t xml:space="preserve"> </w:t>
      </w:r>
      <w:r w:rsidRPr="00EC20A0">
        <w:t>as</w:t>
      </w:r>
      <w:r w:rsidRPr="00EC20A0">
        <w:rPr>
          <w:spacing w:val="-4"/>
        </w:rPr>
        <w:t xml:space="preserve"> </w:t>
      </w:r>
      <w:r w:rsidRPr="00EC20A0">
        <w:t>entities</w:t>
      </w:r>
      <w:r w:rsidRPr="00EC20A0">
        <w:rPr>
          <w:spacing w:val="-3"/>
        </w:rPr>
        <w:t xml:space="preserve"> </w:t>
      </w:r>
      <w:r w:rsidRPr="00EC20A0">
        <w:t>resolve outstanding Statements of Differences, which result from differences between amounts reported by the (1) source systems (e.g., Collection Information Repository</w:t>
      </w:r>
      <w:r w:rsidRPr="00EC20A0">
        <w:rPr>
          <w:spacing w:val="-2"/>
        </w:rPr>
        <w:t xml:space="preserve"> </w:t>
      </w:r>
      <w:r w:rsidRPr="00EC20A0">
        <w:t>(CIR),</w:t>
      </w:r>
      <w:r w:rsidRPr="00EC20A0">
        <w:rPr>
          <w:spacing w:val="-2"/>
        </w:rPr>
        <w:t xml:space="preserve"> </w:t>
      </w:r>
      <w:r w:rsidRPr="00EC20A0">
        <w:t>Payment</w:t>
      </w:r>
      <w:r w:rsidRPr="00EC20A0">
        <w:rPr>
          <w:spacing w:val="-2"/>
        </w:rPr>
        <w:t xml:space="preserve"> </w:t>
      </w:r>
      <w:r w:rsidRPr="00EC20A0">
        <w:t>Information</w:t>
      </w:r>
      <w:r w:rsidRPr="00EC20A0">
        <w:rPr>
          <w:spacing w:val="-2"/>
        </w:rPr>
        <w:t xml:space="preserve"> </w:t>
      </w:r>
      <w:r w:rsidRPr="00EC20A0">
        <w:t>Repository</w:t>
      </w:r>
      <w:r w:rsidRPr="00EC20A0">
        <w:rPr>
          <w:spacing w:val="-2"/>
        </w:rPr>
        <w:t xml:space="preserve"> </w:t>
      </w:r>
      <w:r w:rsidRPr="00EC20A0">
        <w:t>(PIR),</w:t>
      </w:r>
      <w:r w:rsidRPr="00EC20A0">
        <w:rPr>
          <w:spacing w:val="-2"/>
        </w:rPr>
        <w:t xml:space="preserve"> </w:t>
      </w:r>
      <w:r w:rsidRPr="00EC20A0">
        <w:t>etc</w:t>
      </w:r>
      <w:r w:rsidRPr="00EC20A0">
        <w:t>.)</w:t>
      </w:r>
      <w:r w:rsidRPr="00EC20A0">
        <w:rPr>
          <w:spacing w:val="-2"/>
        </w:rPr>
        <w:t xml:space="preserve"> </w:t>
      </w:r>
      <w:r w:rsidRPr="00EC20A0">
        <w:t>and</w:t>
      </w:r>
      <w:r w:rsidRPr="00EC20A0">
        <w:rPr>
          <w:spacing w:val="-2"/>
        </w:rPr>
        <w:t xml:space="preserve"> </w:t>
      </w:r>
      <w:r w:rsidRPr="00EC20A0">
        <w:t>(2)</w:t>
      </w:r>
      <w:r w:rsidRPr="00EC20A0">
        <w:rPr>
          <w:spacing w:val="-2"/>
        </w:rPr>
        <w:t xml:space="preserve"> </w:t>
      </w:r>
      <w:r w:rsidRPr="00EC20A0">
        <w:t>monthly submissions by entities.</w:t>
      </w:r>
    </w:p>
    <w:p w14:paraId="24D61A40" w14:textId="77777777" w:rsidR="00245300" w:rsidRPr="00EC20A0" w:rsidRDefault="00245300">
      <w:pPr>
        <w:pStyle w:val="BodyText"/>
        <w:rPr>
          <w:sz w:val="20"/>
        </w:rPr>
      </w:pPr>
    </w:p>
    <w:p w14:paraId="24D61A41" w14:textId="77777777" w:rsidR="00245300" w:rsidRPr="00EC20A0" w:rsidRDefault="00F17249">
      <w:pPr>
        <w:pStyle w:val="BodyText"/>
        <w:spacing w:before="77"/>
        <w:rPr>
          <w:sz w:val="20"/>
        </w:rPr>
      </w:pPr>
      <w:r w:rsidRPr="00EC20A0">
        <w:rPr>
          <w:noProof/>
        </w:rPr>
        <mc:AlternateContent>
          <mc:Choice Requires="wps">
            <w:drawing>
              <wp:anchor distT="0" distB="0" distL="0" distR="0" simplePos="0" relativeHeight="487715328" behindDoc="1" locked="0" layoutInCell="1" allowOverlap="1" wp14:anchorId="24D62CA7" wp14:editId="24D62CA8">
                <wp:simplePos x="0" y="0"/>
                <wp:positionH relativeFrom="page">
                  <wp:posOffset>914400</wp:posOffset>
                </wp:positionH>
                <wp:positionV relativeFrom="paragraph">
                  <wp:posOffset>210501</wp:posOffset>
                </wp:positionV>
                <wp:extent cx="1828800" cy="5715"/>
                <wp:effectExtent l="0" t="0" r="0" b="0"/>
                <wp:wrapTopAndBottom/>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38A3D" id="Graphic 849" o:spid="_x0000_s1026" style="position:absolute;margin-left:1in;margin-top:16.55pt;width:2in;height:.45pt;z-index:-156011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" path="m1828800,l,,,5333r1828800,l1828800,xe" fillcolor="black" stroked="f">
                <v:path arrowok="t"/>
                <w10:wrap type="topAndBottom" anchorx="page"/>
              </v:shape>
            </w:pict>
          </mc:Fallback>
        </mc:AlternateContent>
      </w:r>
    </w:p>
    <w:p w14:paraId="24D61A42" w14:textId="77777777" w:rsidR="00245300" w:rsidRPr="00EC20A0" w:rsidRDefault="00245300">
      <w:pPr>
        <w:pStyle w:val="BodyText"/>
        <w:spacing w:before="53"/>
        <w:rPr>
          <w:sz w:val="18"/>
        </w:rPr>
      </w:pPr>
    </w:p>
    <w:p w14:paraId="24D61A43" w14:textId="77777777" w:rsidR="00245300" w:rsidRPr="00EC20A0" w:rsidRDefault="00F17249">
      <w:pPr>
        <w:ind w:left="200"/>
        <w:rPr>
          <w:sz w:val="18"/>
        </w:rPr>
      </w:pPr>
      <w:bookmarkStart w:id="327" w:name="_bookmark188"/>
      <w:bookmarkEnd w:id="327"/>
      <w:r w:rsidRPr="00EC20A0">
        <w:rPr>
          <w:position w:val="7"/>
          <w:sz w:val="14"/>
        </w:rPr>
        <w:t>34</w:t>
      </w:r>
      <w:r w:rsidRPr="00EC20A0">
        <w:rPr>
          <w:sz w:val="18"/>
        </w:rPr>
        <w:t>See</w:t>
      </w:r>
      <w:r w:rsidRPr="00EC20A0">
        <w:rPr>
          <w:spacing w:val="-6"/>
          <w:sz w:val="18"/>
        </w:rPr>
        <w:t xml:space="preserve"> </w:t>
      </w:r>
      <w:r w:rsidRPr="00EC20A0">
        <w:rPr>
          <w:sz w:val="18"/>
        </w:rPr>
        <w:t>also</w:t>
      </w:r>
      <w:r w:rsidRPr="00EC20A0">
        <w:rPr>
          <w:spacing w:val="-3"/>
          <w:sz w:val="18"/>
        </w:rPr>
        <w:t xml:space="preserve"> </w:t>
      </w:r>
      <w:r w:rsidRPr="00EC20A0">
        <w:rPr>
          <w:sz w:val="18"/>
        </w:rPr>
        <w:t>FAM</w:t>
      </w:r>
      <w:r w:rsidRPr="00EC20A0">
        <w:rPr>
          <w:spacing w:val="-2"/>
          <w:sz w:val="18"/>
        </w:rPr>
        <w:t xml:space="preserve"> </w:t>
      </w:r>
      <w:r w:rsidRPr="00EC20A0">
        <w:rPr>
          <w:sz w:val="18"/>
        </w:rPr>
        <w:t>803</w:t>
      </w:r>
      <w:r w:rsidRPr="00EC20A0">
        <w:rPr>
          <w:spacing w:val="-4"/>
          <w:sz w:val="18"/>
        </w:rPr>
        <w:t xml:space="preserve"> </w:t>
      </w:r>
      <w:r w:rsidRPr="00EC20A0">
        <w:rPr>
          <w:sz w:val="18"/>
        </w:rPr>
        <w:t>for</w:t>
      </w:r>
      <w:r w:rsidRPr="00EC20A0">
        <w:rPr>
          <w:spacing w:val="-2"/>
          <w:sz w:val="18"/>
        </w:rPr>
        <w:t xml:space="preserve"> </w:t>
      </w:r>
      <w:r w:rsidRPr="00EC20A0">
        <w:rPr>
          <w:sz w:val="18"/>
        </w:rPr>
        <w:t>testing</w:t>
      </w:r>
      <w:r w:rsidRPr="00EC20A0">
        <w:rPr>
          <w:spacing w:val="-3"/>
          <w:sz w:val="18"/>
        </w:rPr>
        <w:t xml:space="preserve"> </w:t>
      </w:r>
      <w:r w:rsidRPr="00EC20A0">
        <w:rPr>
          <w:sz w:val="18"/>
        </w:rPr>
        <w:t>an</w:t>
      </w:r>
      <w:r w:rsidRPr="00EC20A0">
        <w:rPr>
          <w:spacing w:val="-4"/>
          <w:sz w:val="18"/>
        </w:rPr>
        <w:t xml:space="preserve"> </w:t>
      </w:r>
      <w:r w:rsidRPr="00EC20A0">
        <w:rPr>
          <w:sz w:val="18"/>
        </w:rPr>
        <w:t>entity’s</w:t>
      </w:r>
      <w:r w:rsidRPr="00EC20A0">
        <w:rPr>
          <w:spacing w:val="-2"/>
          <w:sz w:val="18"/>
        </w:rPr>
        <w:t xml:space="preserve"> </w:t>
      </w:r>
      <w:r w:rsidRPr="00EC20A0">
        <w:rPr>
          <w:sz w:val="18"/>
        </w:rPr>
        <w:t>compliance</w:t>
      </w:r>
      <w:r w:rsidRPr="00EC20A0">
        <w:rPr>
          <w:spacing w:val="-3"/>
          <w:sz w:val="18"/>
        </w:rPr>
        <w:t xml:space="preserve"> </w:t>
      </w:r>
      <w:r w:rsidRPr="00EC20A0">
        <w:rPr>
          <w:sz w:val="18"/>
        </w:rPr>
        <w:t>with</w:t>
      </w:r>
      <w:r w:rsidRPr="00EC20A0">
        <w:rPr>
          <w:spacing w:val="-4"/>
          <w:sz w:val="18"/>
        </w:rPr>
        <w:t xml:space="preserve"> </w:t>
      </w:r>
      <w:r w:rsidRPr="00EC20A0">
        <w:rPr>
          <w:sz w:val="18"/>
        </w:rPr>
        <w:t>the</w:t>
      </w:r>
      <w:r w:rsidRPr="00EC20A0">
        <w:rPr>
          <w:spacing w:val="-3"/>
          <w:sz w:val="18"/>
        </w:rPr>
        <w:t xml:space="preserve"> </w:t>
      </w:r>
      <w:proofErr w:type="spellStart"/>
      <w:r w:rsidRPr="00EC20A0">
        <w:rPr>
          <w:sz w:val="18"/>
        </w:rPr>
        <w:t>Antideficiency</w:t>
      </w:r>
      <w:proofErr w:type="spellEnd"/>
      <w:r w:rsidRPr="00EC20A0">
        <w:rPr>
          <w:spacing w:val="-2"/>
          <w:sz w:val="18"/>
        </w:rPr>
        <w:t xml:space="preserve"> </w:t>
      </w:r>
      <w:r w:rsidRPr="00EC20A0">
        <w:rPr>
          <w:spacing w:val="-4"/>
          <w:sz w:val="18"/>
        </w:rPr>
        <w:t>Act.</w:t>
      </w:r>
    </w:p>
    <w:p w14:paraId="24D61A44" w14:textId="77777777" w:rsidR="00245300" w:rsidRPr="00EC20A0" w:rsidRDefault="00245300">
      <w:pPr>
        <w:rPr>
          <w:sz w:val="18"/>
        </w:rPr>
        <w:sectPr w:rsidR="00245300" w:rsidRPr="00EC20A0">
          <w:pgSz w:w="12240" w:h="15840"/>
          <w:pgMar w:top="1340" w:right="1100" w:bottom="940" w:left="1240" w:header="721" w:footer="757" w:gutter="0"/>
          <w:cols w:space="720"/>
        </w:sectPr>
      </w:pPr>
    </w:p>
    <w:p w14:paraId="24D61A45" w14:textId="77777777" w:rsidR="00245300" w:rsidRPr="00EC20A0" w:rsidRDefault="00F17249">
      <w:pPr>
        <w:pStyle w:val="ListParagraph"/>
        <w:numPr>
          <w:ilvl w:val="0"/>
          <w:numId w:val="91"/>
        </w:numPr>
        <w:tabs>
          <w:tab w:val="left" w:pos="1640"/>
        </w:tabs>
        <w:spacing w:before="121"/>
        <w:ind w:right="641"/>
        <w:rPr>
          <w:sz w:val="14"/>
        </w:rPr>
      </w:pPr>
      <w:r w:rsidRPr="00EC20A0">
        <w:t xml:space="preserve">Most of the transaction data reported to CARS from the source systems (e.g., CIR, PIR, etc.) include TAS and </w:t>
      </w:r>
      <w:r w:rsidRPr="00EC20A0">
        <w:t>BETC classification information necessary to populate</w:t>
      </w:r>
      <w:r w:rsidRPr="00EC20A0">
        <w:rPr>
          <w:spacing w:val="-4"/>
        </w:rPr>
        <w:t xml:space="preserve"> </w:t>
      </w:r>
      <w:r w:rsidRPr="00EC20A0">
        <w:t>the</w:t>
      </w:r>
      <w:r w:rsidRPr="00EC20A0">
        <w:rPr>
          <w:spacing w:val="-5"/>
        </w:rPr>
        <w:t xml:space="preserve"> </w:t>
      </w:r>
      <w:r w:rsidRPr="00EC20A0">
        <w:t>line</w:t>
      </w:r>
      <w:r w:rsidRPr="00EC20A0">
        <w:rPr>
          <w:spacing w:val="-4"/>
        </w:rPr>
        <w:t xml:space="preserve"> </w:t>
      </w:r>
      <w:r w:rsidRPr="00EC20A0">
        <w:t>items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Cash</w:t>
      </w:r>
      <w:r w:rsidRPr="00EC20A0">
        <w:rPr>
          <w:spacing w:val="-4"/>
        </w:rPr>
        <w:t xml:space="preserve"> </w:t>
      </w:r>
      <w:r w:rsidRPr="00EC20A0">
        <w:t>Statement.</w:t>
      </w:r>
      <w:r w:rsidRPr="00EC20A0">
        <w:rPr>
          <w:spacing w:val="-4"/>
        </w:rPr>
        <w:t xml:space="preserve"> </w:t>
      </w:r>
      <w:r w:rsidRPr="00EC20A0">
        <w:t>However,</w:t>
      </w:r>
      <w:r w:rsidRPr="00EC20A0">
        <w:rPr>
          <w:spacing w:val="-4"/>
        </w:rPr>
        <w:t xml:space="preserve"> </w:t>
      </w:r>
      <w:r w:rsidRPr="00EC20A0">
        <w:t>certain</w:t>
      </w:r>
      <w:r w:rsidRPr="00EC20A0">
        <w:rPr>
          <w:spacing w:val="-4"/>
        </w:rPr>
        <w:t xml:space="preserve"> </w:t>
      </w:r>
      <w:r w:rsidRPr="00EC20A0">
        <w:t>entities</w:t>
      </w:r>
      <w:r w:rsidRPr="00EC20A0">
        <w:rPr>
          <w:spacing w:val="-4"/>
        </w:rPr>
        <w:t xml:space="preserve"> </w:t>
      </w:r>
      <w:r w:rsidRPr="00EC20A0">
        <w:t>report TAS and BETC classification information to CARS for their transaction data separate from the information reported from the source systems. In addition, entities may submit reclassifications to transaction data previously reported to CARS at a summary level.</w:t>
      </w:r>
      <w:hyperlink w:anchor="_bookmark189" w:history="1">
        <w:r w:rsidRPr="00EC20A0">
          <w:rPr>
            <w:position w:val="7"/>
            <w:sz w:val="14"/>
          </w:rPr>
          <w:t>35</w:t>
        </w:r>
      </w:hyperlink>
    </w:p>
    <w:p w14:paraId="24D61A46" w14:textId="77777777" w:rsidR="00245300" w:rsidRPr="00EC20A0" w:rsidRDefault="00245300">
      <w:pPr>
        <w:pStyle w:val="BodyText"/>
        <w:spacing w:before="47"/>
      </w:pPr>
    </w:p>
    <w:p w14:paraId="24D61A47" w14:textId="77777777" w:rsidR="00245300" w:rsidRPr="00EC20A0" w:rsidRDefault="00F17249">
      <w:pPr>
        <w:pStyle w:val="Heading4"/>
        <w:spacing w:before="0"/>
        <w:ind w:left="200"/>
      </w:pPr>
      <w:r w:rsidRPr="00EC20A0">
        <w:t>Audit</w:t>
      </w:r>
      <w:r w:rsidRPr="00EC20A0">
        <w:rPr>
          <w:spacing w:val="-10"/>
        </w:rPr>
        <w:t xml:space="preserve"> </w:t>
      </w:r>
      <w:r w:rsidRPr="00EC20A0">
        <w:rPr>
          <w:spacing w:val="-2"/>
        </w:rPr>
        <w:t>Approach</w:t>
      </w:r>
    </w:p>
    <w:p w14:paraId="24D61A48" w14:textId="77777777" w:rsidR="00245300" w:rsidRPr="00EC20A0" w:rsidRDefault="00F17249">
      <w:pPr>
        <w:pStyle w:val="ListParagraph"/>
        <w:numPr>
          <w:ilvl w:val="0"/>
          <w:numId w:val="91"/>
        </w:numPr>
        <w:tabs>
          <w:tab w:val="left" w:pos="1640"/>
        </w:tabs>
        <w:spacing w:before="300"/>
        <w:ind w:right="1069"/>
      </w:pPr>
      <w:r w:rsidRPr="00EC20A0">
        <w:t xml:space="preserve">Since FBWT is an </w:t>
      </w:r>
      <w:r w:rsidRPr="00EC20A0">
        <w:t>intragovernmental item, except for fiduciary or other nonfederal</w:t>
      </w:r>
      <w:r w:rsidRPr="00EC20A0">
        <w:rPr>
          <w:spacing w:val="-5"/>
        </w:rPr>
        <w:t xml:space="preserve"> </w:t>
      </w:r>
      <w:r w:rsidRPr="00EC20A0">
        <w:t>non-entity</w:t>
      </w:r>
      <w:r w:rsidRPr="00EC20A0">
        <w:rPr>
          <w:spacing w:val="-5"/>
        </w:rPr>
        <w:t xml:space="preserve"> </w:t>
      </w:r>
      <w:r w:rsidRPr="00EC20A0">
        <w:t>FBWT,</w:t>
      </w:r>
      <w:r w:rsidRPr="00EC20A0">
        <w:rPr>
          <w:spacing w:val="-5"/>
        </w:rPr>
        <w:t xml:space="preserve"> </w:t>
      </w:r>
      <w:r w:rsidRPr="00EC20A0">
        <w:t>auditors</w:t>
      </w:r>
      <w:r w:rsidRPr="00EC20A0">
        <w:rPr>
          <w:spacing w:val="-5"/>
        </w:rPr>
        <w:t xml:space="preserve"> </w:t>
      </w:r>
      <w:r w:rsidRPr="00EC20A0">
        <w:t>should</w:t>
      </w:r>
      <w:r w:rsidRPr="00EC20A0">
        <w:rPr>
          <w:spacing w:val="-6"/>
        </w:rPr>
        <w:t xml:space="preserve"> </w:t>
      </w:r>
      <w:r w:rsidRPr="00EC20A0">
        <w:t>incorporate</w:t>
      </w:r>
      <w:r w:rsidRPr="00EC20A0">
        <w:rPr>
          <w:spacing w:val="-5"/>
        </w:rPr>
        <w:t xml:space="preserve"> </w:t>
      </w:r>
      <w:r w:rsidRPr="00EC20A0">
        <w:t>FBWT</w:t>
      </w:r>
      <w:r w:rsidRPr="00EC20A0">
        <w:rPr>
          <w:spacing w:val="-5"/>
        </w:rPr>
        <w:t xml:space="preserve"> </w:t>
      </w:r>
      <w:r w:rsidRPr="00EC20A0">
        <w:t>as</w:t>
      </w:r>
      <w:r w:rsidRPr="00EC20A0">
        <w:rPr>
          <w:spacing w:val="-5"/>
        </w:rPr>
        <w:t xml:space="preserve"> </w:t>
      </w:r>
      <w:r w:rsidRPr="00EC20A0">
        <w:t>part</w:t>
      </w:r>
      <w:r w:rsidRPr="00EC20A0">
        <w:rPr>
          <w:spacing w:val="-6"/>
        </w:rPr>
        <w:t xml:space="preserve"> </w:t>
      </w:r>
      <w:r w:rsidRPr="00EC20A0">
        <w:t>of procedures</w:t>
      </w:r>
      <w:r w:rsidRPr="00EC20A0">
        <w:rPr>
          <w:spacing w:val="-5"/>
        </w:rPr>
        <w:t xml:space="preserve"> </w:t>
      </w:r>
      <w:r w:rsidRPr="00EC20A0">
        <w:t>for</w:t>
      </w:r>
      <w:r w:rsidRPr="00EC20A0">
        <w:rPr>
          <w:spacing w:val="-5"/>
        </w:rPr>
        <w:t xml:space="preserve"> </w:t>
      </w:r>
      <w:r w:rsidRPr="00EC20A0">
        <w:t>auditing</w:t>
      </w:r>
      <w:r w:rsidRPr="00EC20A0">
        <w:rPr>
          <w:spacing w:val="-5"/>
        </w:rPr>
        <w:t xml:space="preserve"> </w:t>
      </w:r>
      <w:r w:rsidRPr="00EC20A0">
        <w:t>intragovernmental</w:t>
      </w:r>
      <w:r w:rsidRPr="00EC20A0">
        <w:rPr>
          <w:spacing w:val="-5"/>
        </w:rPr>
        <w:t xml:space="preserve"> </w:t>
      </w:r>
      <w:r w:rsidRPr="00EC20A0">
        <w:t>activity</w:t>
      </w:r>
      <w:r w:rsidRPr="00EC20A0">
        <w:rPr>
          <w:spacing w:val="-5"/>
        </w:rPr>
        <w:t xml:space="preserve"> </w:t>
      </w:r>
      <w:r w:rsidRPr="00EC20A0">
        <w:t>and</w:t>
      </w:r>
      <w:r w:rsidRPr="00EC20A0">
        <w:rPr>
          <w:spacing w:val="-5"/>
        </w:rPr>
        <w:t xml:space="preserve"> </w:t>
      </w:r>
      <w:r w:rsidRPr="00EC20A0">
        <w:t>balances</w:t>
      </w:r>
      <w:r w:rsidRPr="00EC20A0">
        <w:rPr>
          <w:spacing w:val="-5"/>
        </w:rPr>
        <w:t xml:space="preserve"> </w:t>
      </w:r>
      <w:r w:rsidRPr="00EC20A0">
        <w:t>(see</w:t>
      </w:r>
      <w:r w:rsidRPr="00EC20A0">
        <w:rPr>
          <w:spacing w:val="-5"/>
        </w:rPr>
        <w:t xml:space="preserve"> </w:t>
      </w:r>
      <w:r w:rsidRPr="00EC20A0">
        <w:t>FAM section 902). For examples of FBWT audit procedures, see FAM 921 A.</w:t>
      </w:r>
    </w:p>
    <w:p w14:paraId="24D61A49" w14:textId="77777777" w:rsidR="00245300" w:rsidRPr="00EC20A0" w:rsidRDefault="00F17249">
      <w:pPr>
        <w:pStyle w:val="ListParagraph"/>
        <w:numPr>
          <w:ilvl w:val="0"/>
          <w:numId w:val="91"/>
        </w:numPr>
        <w:tabs>
          <w:tab w:val="left" w:pos="1639"/>
        </w:tabs>
        <w:ind w:left="1639" w:right="491" w:hanging="720"/>
      </w:pPr>
      <w:r w:rsidRPr="00EC20A0">
        <w:t>As discussed in FAM 921.06, determining the appropriateness of TASs and BETCs assigned to FBWT transactions is essential to determining whether entities’ financial statements are consistent with the U.S. government’s consolidated</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including</w:t>
      </w:r>
      <w:r w:rsidRPr="00EC20A0">
        <w:rPr>
          <w:spacing w:val="-4"/>
        </w:rPr>
        <w:t xml:space="preserve"> </w:t>
      </w:r>
      <w:r w:rsidRPr="00EC20A0">
        <w:t>the</w:t>
      </w:r>
      <w:r w:rsidRPr="00EC20A0">
        <w:rPr>
          <w:spacing w:val="-5"/>
        </w:rPr>
        <w:t xml:space="preserve"> </w:t>
      </w:r>
      <w:r w:rsidRPr="00EC20A0">
        <w:t>Cash</w:t>
      </w:r>
      <w:r w:rsidRPr="00EC20A0">
        <w:rPr>
          <w:spacing w:val="-4"/>
        </w:rPr>
        <w:t xml:space="preserve"> </w:t>
      </w:r>
      <w:r w:rsidRPr="00EC20A0">
        <w:t>Statement</w:t>
      </w:r>
      <w:r w:rsidRPr="00EC20A0">
        <w:rPr>
          <w:spacing w:val="-3"/>
        </w:rPr>
        <w:t xml:space="preserve"> </w:t>
      </w:r>
      <w:r w:rsidRPr="00EC20A0">
        <w:t>and</w:t>
      </w:r>
      <w:r w:rsidRPr="00EC20A0">
        <w:rPr>
          <w:spacing w:val="-4"/>
        </w:rPr>
        <w:t xml:space="preserve"> </w:t>
      </w:r>
      <w:r w:rsidRPr="00EC20A0">
        <w:t>the</w:t>
      </w:r>
      <w:r w:rsidRPr="00EC20A0">
        <w:rPr>
          <w:spacing w:val="-4"/>
        </w:rPr>
        <w:t xml:space="preserve"> </w:t>
      </w:r>
      <w:r w:rsidRPr="00EC20A0">
        <w:t>budget receipts</w:t>
      </w:r>
      <w:r w:rsidRPr="00EC20A0">
        <w:rPr>
          <w:spacing w:val="-4"/>
        </w:rPr>
        <w:t xml:space="preserve"> </w:t>
      </w:r>
      <w:r w:rsidRPr="00EC20A0">
        <w:t>and</w:t>
      </w:r>
      <w:r w:rsidRPr="00EC20A0">
        <w:rPr>
          <w:spacing w:val="-5"/>
        </w:rPr>
        <w:t xml:space="preserve"> </w:t>
      </w:r>
      <w:r w:rsidRPr="00EC20A0">
        <w:t>outlays</w:t>
      </w:r>
      <w:r w:rsidRPr="00EC20A0">
        <w:rPr>
          <w:spacing w:val="-5"/>
        </w:rPr>
        <w:t xml:space="preserve"> </w:t>
      </w:r>
      <w:r w:rsidRPr="00EC20A0">
        <w:t>included</w:t>
      </w:r>
      <w:r w:rsidRPr="00EC20A0">
        <w:rPr>
          <w:spacing w:val="-4"/>
        </w:rPr>
        <w:t xml:space="preserve"> </w:t>
      </w:r>
      <w:r w:rsidRPr="00EC20A0">
        <w:t>therein.</w:t>
      </w:r>
      <w:r w:rsidRPr="00EC20A0">
        <w:rPr>
          <w:spacing w:val="-4"/>
        </w:rPr>
        <w:t xml:space="preserve"> </w:t>
      </w:r>
      <w:r w:rsidRPr="00EC20A0">
        <w:t>For</w:t>
      </w:r>
      <w:r w:rsidRPr="00EC20A0">
        <w:rPr>
          <w:spacing w:val="-4"/>
        </w:rPr>
        <w:t xml:space="preserve"> </w:t>
      </w:r>
      <w:r w:rsidRPr="00EC20A0">
        <w:t>examples</w:t>
      </w:r>
      <w:r w:rsidRPr="00EC20A0">
        <w:rPr>
          <w:spacing w:val="-4"/>
        </w:rPr>
        <w:t xml:space="preserve"> </w:t>
      </w:r>
      <w:r w:rsidRPr="00EC20A0">
        <w:t>of</w:t>
      </w:r>
      <w:r w:rsidRPr="00EC20A0">
        <w:rPr>
          <w:spacing w:val="-4"/>
        </w:rPr>
        <w:t xml:space="preserve"> </w:t>
      </w:r>
      <w:r w:rsidRPr="00EC20A0">
        <w:t>audit</w:t>
      </w:r>
      <w:r w:rsidRPr="00EC20A0">
        <w:rPr>
          <w:spacing w:val="-4"/>
        </w:rPr>
        <w:t xml:space="preserve"> </w:t>
      </w:r>
      <w:r w:rsidRPr="00EC20A0">
        <w:t>procedures</w:t>
      </w:r>
      <w:r w:rsidRPr="00EC20A0">
        <w:rPr>
          <w:spacing w:val="-4"/>
        </w:rPr>
        <w:t xml:space="preserve"> </w:t>
      </w:r>
      <w:r w:rsidRPr="00EC20A0">
        <w:t>that</w:t>
      </w:r>
      <w:r w:rsidRPr="00EC20A0">
        <w:rPr>
          <w:spacing w:val="-4"/>
        </w:rPr>
        <w:t xml:space="preserve"> </w:t>
      </w:r>
      <w:r w:rsidRPr="00EC20A0">
        <w:t>the auditor</w:t>
      </w:r>
      <w:r w:rsidRPr="00EC20A0">
        <w:rPr>
          <w:spacing w:val="-4"/>
        </w:rPr>
        <w:t xml:space="preserve"> </w:t>
      </w:r>
      <w:r w:rsidRPr="00EC20A0">
        <w:t>may</w:t>
      </w:r>
      <w:r w:rsidRPr="00EC20A0">
        <w:rPr>
          <w:spacing w:val="-4"/>
        </w:rPr>
        <w:t xml:space="preserve"> </w:t>
      </w:r>
      <w:r w:rsidRPr="00EC20A0">
        <w:t>perform</w:t>
      </w:r>
      <w:r w:rsidRPr="00EC20A0">
        <w:rPr>
          <w:spacing w:val="-5"/>
        </w:rPr>
        <w:t xml:space="preserve"> </w:t>
      </w:r>
      <w:r w:rsidRPr="00EC20A0">
        <w:t>to</w:t>
      </w:r>
      <w:r w:rsidRPr="00EC20A0">
        <w:rPr>
          <w:spacing w:val="-4"/>
        </w:rPr>
        <w:t xml:space="preserve"> </w:t>
      </w:r>
      <w:r w:rsidRPr="00EC20A0">
        <w:t>determine</w:t>
      </w:r>
      <w:r w:rsidRPr="00EC20A0">
        <w:rPr>
          <w:spacing w:val="-4"/>
        </w:rPr>
        <w:t xml:space="preserve"> </w:t>
      </w:r>
      <w:r w:rsidRPr="00EC20A0">
        <w:t>the</w:t>
      </w:r>
      <w:r w:rsidRPr="00EC20A0">
        <w:rPr>
          <w:spacing w:val="-4"/>
        </w:rPr>
        <w:t xml:space="preserve"> </w:t>
      </w:r>
      <w:r w:rsidRPr="00EC20A0">
        <w:t>appropriateness</w:t>
      </w:r>
      <w:r w:rsidRPr="00EC20A0">
        <w:rPr>
          <w:spacing w:val="-4"/>
        </w:rPr>
        <w:t xml:space="preserve"> </w:t>
      </w:r>
      <w:r w:rsidRPr="00EC20A0">
        <w:t>of</w:t>
      </w:r>
      <w:r w:rsidRPr="00EC20A0">
        <w:rPr>
          <w:spacing w:val="-4"/>
        </w:rPr>
        <w:t xml:space="preserve"> </w:t>
      </w:r>
      <w:r w:rsidRPr="00EC20A0">
        <w:t>TASs</w:t>
      </w:r>
      <w:r w:rsidRPr="00EC20A0">
        <w:rPr>
          <w:spacing w:val="-4"/>
        </w:rPr>
        <w:t xml:space="preserve"> </w:t>
      </w:r>
      <w:r w:rsidRPr="00EC20A0">
        <w:t>and</w:t>
      </w:r>
      <w:r w:rsidRPr="00EC20A0">
        <w:rPr>
          <w:spacing w:val="-4"/>
        </w:rPr>
        <w:t xml:space="preserve"> </w:t>
      </w:r>
      <w:r w:rsidRPr="00EC20A0">
        <w:t>BETCs,</w:t>
      </w:r>
      <w:r w:rsidRPr="00EC20A0">
        <w:rPr>
          <w:spacing w:val="-4"/>
        </w:rPr>
        <w:t xml:space="preserve"> </w:t>
      </w:r>
      <w:r w:rsidRPr="00EC20A0">
        <w:t>see FAM 921 B.</w:t>
      </w:r>
    </w:p>
    <w:p w14:paraId="24D61A4A" w14:textId="77777777" w:rsidR="00245300" w:rsidRPr="00EC20A0" w:rsidRDefault="00245300">
      <w:pPr>
        <w:pStyle w:val="BodyText"/>
        <w:rPr>
          <w:sz w:val="20"/>
        </w:rPr>
      </w:pPr>
    </w:p>
    <w:p w14:paraId="24D61A4B" w14:textId="77777777" w:rsidR="00245300" w:rsidRPr="00EC20A0" w:rsidRDefault="00245300">
      <w:pPr>
        <w:pStyle w:val="BodyText"/>
        <w:rPr>
          <w:sz w:val="20"/>
        </w:rPr>
      </w:pPr>
    </w:p>
    <w:p w14:paraId="24D61A4C" w14:textId="77777777" w:rsidR="00245300" w:rsidRPr="00EC20A0" w:rsidRDefault="00245300">
      <w:pPr>
        <w:pStyle w:val="BodyText"/>
        <w:rPr>
          <w:sz w:val="20"/>
        </w:rPr>
      </w:pPr>
    </w:p>
    <w:p w14:paraId="24D61A4D" w14:textId="77777777" w:rsidR="00245300" w:rsidRPr="00EC20A0" w:rsidRDefault="00245300">
      <w:pPr>
        <w:pStyle w:val="BodyText"/>
        <w:rPr>
          <w:sz w:val="20"/>
        </w:rPr>
      </w:pPr>
    </w:p>
    <w:p w14:paraId="24D61A4E" w14:textId="77777777" w:rsidR="00245300" w:rsidRPr="00EC20A0" w:rsidRDefault="00245300">
      <w:pPr>
        <w:pStyle w:val="BodyText"/>
        <w:rPr>
          <w:sz w:val="20"/>
        </w:rPr>
      </w:pPr>
    </w:p>
    <w:p w14:paraId="24D61A4F" w14:textId="77777777" w:rsidR="00245300" w:rsidRPr="00EC20A0" w:rsidRDefault="00245300">
      <w:pPr>
        <w:pStyle w:val="BodyText"/>
        <w:rPr>
          <w:sz w:val="20"/>
        </w:rPr>
      </w:pPr>
    </w:p>
    <w:p w14:paraId="24D61A50" w14:textId="77777777" w:rsidR="00245300" w:rsidRPr="00EC20A0" w:rsidRDefault="00245300">
      <w:pPr>
        <w:pStyle w:val="BodyText"/>
        <w:rPr>
          <w:sz w:val="20"/>
        </w:rPr>
      </w:pPr>
    </w:p>
    <w:p w14:paraId="24D61A51" w14:textId="77777777" w:rsidR="00245300" w:rsidRPr="00EC20A0" w:rsidRDefault="00245300">
      <w:pPr>
        <w:pStyle w:val="BodyText"/>
        <w:rPr>
          <w:sz w:val="20"/>
        </w:rPr>
      </w:pPr>
    </w:p>
    <w:p w14:paraId="24D61A52" w14:textId="77777777" w:rsidR="00245300" w:rsidRPr="00EC20A0" w:rsidRDefault="00245300">
      <w:pPr>
        <w:pStyle w:val="BodyText"/>
        <w:rPr>
          <w:sz w:val="20"/>
        </w:rPr>
      </w:pPr>
    </w:p>
    <w:p w14:paraId="24D61A53" w14:textId="77777777" w:rsidR="00245300" w:rsidRPr="00EC20A0" w:rsidRDefault="00245300">
      <w:pPr>
        <w:pStyle w:val="BodyText"/>
        <w:rPr>
          <w:sz w:val="20"/>
        </w:rPr>
      </w:pPr>
    </w:p>
    <w:p w14:paraId="24D61A54" w14:textId="77777777" w:rsidR="00245300" w:rsidRPr="00EC20A0" w:rsidRDefault="00245300">
      <w:pPr>
        <w:pStyle w:val="BodyText"/>
        <w:rPr>
          <w:sz w:val="20"/>
        </w:rPr>
      </w:pPr>
    </w:p>
    <w:p w14:paraId="24D61A55" w14:textId="77777777" w:rsidR="00245300" w:rsidRPr="00EC20A0" w:rsidRDefault="00245300">
      <w:pPr>
        <w:pStyle w:val="BodyText"/>
        <w:rPr>
          <w:sz w:val="20"/>
        </w:rPr>
      </w:pPr>
    </w:p>
    <w:p w14:paraId="24D61A56" w14:textId="77777777" w:rsidR="00245300" w:rsidRPr="00EC20A0" w:rsidRDefault="00245300">
      <w:pPr>
        <w:pStyle w:val="BodyText"/>
        <w:rPr>
          <w:sz w:val="20"/>
        </w:rPr>
      </w:pPr>
    </w:p>
    <w:p w14:paraId="24D61A57" w14:textId="77777777" w:rsidR="00245300" w:rsidRPr="00EC20A0" w:rsidRDefault="00245300">
      <w:pPr>
        <w:pStyle w:val="BodyText"/>
        <w:rPr>
          <w:sz w:val="20"/>
        </w:rPr>
      </w:pPr>
    </w:p>
    <w:p w14:paraId="24D61A58" w14:textId="77777777" w:rsidR="00245300" w:rsidRPr="00EC20A0" w:rsidRDefault="00245300">
      <w:pPr>
        <w:pStyle w:val="BodyText"/>
        <w:rPr>
          <w:sz w:val="20"/>
        </w:rPr>
      </w:pPr>
    </w:p>
    <w:p w14:paraId="24D61A59" w14:textId="77777777" w:rsidR="00245300" w:rsidRPr="00EC20A0" w:rsidRDefault="00245300">
      <w:pPr>
        <w:pStyle w:val="BodyText"/>
        <w:rPr>
          <w:sz w:val="20"/>
        </w:rPr>
      </w:pPr>
    </w:p>
    <w:p w14:paraId="24D61A5A" w14:textId="77777777" w:rsidR="00245300" w:rsidRPr="00EC20A0" w:rsidRDefault="00245300">
      <w:pPr>
        <w:pStyle w:val="BodyText"/>
        <w:rPr>
          <w:sz w:val="20"/>
        </w:rPr>
      </w:pPr>
    </w:p>
    <w:p w14:paraId="24D61A5B" w14:textId="77777777" w:rsidR="00245300" w:rsidRPr="00EC20A0" w:rsidRDefault="00245300">
      <w:pPr>
        <w:pStyle w:val="BodyText"/>
        <w:rPr>
          <w:sz w:val="20"/>
        </w:rPr>
      </w:pPr>
    </w:p>
    <w:p w14:paraId="24D61A5C" w14:textId="77777777" w:rsidR="00245300" w:rsidRPr="00EC20A0" w:rsidRDefault="00245300">
      <w:pPr>
        <w:pStyle w:val="BodyText"/>
        <w:rPr>
          <w:sz w:val="20"/>
        </w:rPr>
      </w:pPr>
    </w:p>
    <w:p w14:paraId="24D61A5D" w14:textId="77777777" w:rsidR="00245300" w:rsidRPr="00EC20A0" w:rsidRDefault="00245300">
      <w:pPr>
        <w:pStyle w:val="BodyText"/>
        <w:rPr>
          <w:sz w:val="20"/>
        </w:rPr>
      </w:pPr>
    </w:p>
    <w:p w14:paraId="24D61A5E" w14:textId="77777777" w:rsidR="00245300" w:rsidRPr="00EC20A0" w:rsidRDefault="00245300">
      <w:pPr>
        <w:pStyle w:val="BodyText"/>
        <w:rPr>
          <w:sz w:val="20"/>
        </w:rPr>
      </w:pPr>
    </w:p>
    <w:p w14:paraId="24D61A5F" w14:textId="77777777" w:rsidR="00245300" w:rsidRPr="00EC20A0" w:rsidRDefault="00245300">
      <w:pPr>
        <w:pStyle w:val="BodyText"/>
        <w:rPr>
          <w:sz w:val="20"/>
        </w:rPr>
      </w:pPr>
    </w:p>
    <w:p w14:paraId="24D61A60" w14:textId="77777777" w:rsidR="00245300" w:rsidRPr="00EC20A0" w:rsidRDefault="00245300">
      <w:pPr>
        <w:pStyle w:val="BodyText"/>
        <w:rPr>
          <w:sz w:val="20"/>
        </w:rPr>
      </w:pPr>
    </w:p>
    <w:p w14:paraId="24D61A61" w14:textId="77777777" w:rsidR="00245300" w:rsidRPr="00EC20A0" w:rsidRDefault="00245300">
      <w:pPr>
        <w:pStyle w:val="BodyText"/>
        <w:rPr>
          <w:sz w:val="20"/>
        </w:rPr>
      </w:pPr>
    </w:p>
    <w:p w14:paraId="24D61A62" w14:textId="77777777" w:rsidR="00245300" w:rsidRPr="00EC20A0" w:rsidRDefault="00245300">
      <w:pPr>
        <w:pStyle w:val="BodyText"/>
        <w:rPr>
          <w:sz w:val="20"/>
        </w:rPr>
      </w:pPr>
    </w:p>
    <w:p w14:paraId="24D61A63" w14:textId="77777777" w:rsidR="00245300" w:rsidRPr="00EC20A0" w:rsidRDefault="00F17249">
      <w:pPr>
        <w:pStyle w:val="BodyText"/>
        <w:spacing w:before="81"/>
        <w:rPr>
          <w:sz w:val="20"/>
        </w:rPr>
      </w:pPr>
      <w:r w:rsidRPr="00EC20A0">
        <w:rPr>
          <w:noProof/>
        </w:rPr>
        <mc:AlternateContent>
          <mc:Choice Requires="wps">
            <w:drawing>
              <wp:anchor distT="0" distB="0" distL="0" distR="0" simplePos="0" relativeHeight="487715840" behindDoc="1" locked="0" layoutInCell="1" allowOverlap="1" wp14:anchorId="24D62CA9" wp14:editId="24D62CAA">
                <wp:simplePos x="0" y="0"/>
                <wp:positionH relativeFrom="page">
                  <wp:posOffset>914400</wp:posOffset>
                </wp:positionH>
                <wp:positionV relativeFrom="paragraph">
                  <wp:posOffset>213311</wp:posOffset>
                </wp:positionV>
                <wp:extent cx="1828800" cy="5715"/>
                <wp:effectExtent l="0" t="0" r="0" b="0"/>
                <wp:wrapTopAndBottom/>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06C8E" id="Graphic 850" o:spid="_x0000_s1026" style="position:absolute;margin-left:1in;margin-top:16.8pt;width:2in;height:.45pt;z-index:-156006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" path="m1828800,l,,,5333r1828800,l1828800,xe" fillcolor="black" stroked="f">
                <v:path arrowok="t"/>
                <w10:wrap type="topAndBottom" anchorx="page"/>
              </v:shape>
            </w:pict>
          </mc:Fallback>
        </mc:AlternateContent>
      </w:r>
    </w:p>
    <w:p w14:paraId="24D61A64" w14:textId="77777777" w:rsidR="00245300" w:rsidRPr="00EC20A0" w:rsidRDefault="00245300">
      <w:pPr>
        <w:pStyle w:val="BodyText"/>
        <w:spacing w:before="53"/>
        <w:rPr>
          <w:sz w:val="18"/>
        </w:rPr>
      </w:pPr>
    </w:p>
    <w:p w14:paraId="24D61A65" w14:textId="77777777" w:rsidR="00245300" w:rsidRPr="00EC20A0" w:rsidRDefault="00F17249">
      <w:pPr>
        <w:spacing w:line="242" w:lineRule="auto"/>
        <w:ind w:left="199" w:right="408"/>
        <w:rPr>
          <w:sz w:val="18"/>
        </w:rPr>
      </w:pPr>
      <w:bookmarkStart w:id="328" w:name="_bookmark189"/>
      <w:bookmarkEnd w:id="328"/>
      <w:r w:rsidRPr="00EC20A0">
        <w:rPr>
          <w:position w:val="7"/>
          <w:sz w:val="14"/>
        </w:rPr>
        <w:t>35</w:t>
      </w:r>
      <w:r w:rsidRPr="00EC20A0">
        <w:rPr>
          <w:sz w:val="18"/>
        </w:rPr>
        <w:t>Fiscal Service developed a remediation plan to address its inability to readily trace the final TAS and BETC classification to the original transaction reported by a source system. Fiscal Service also met with entities to gain an understanding of their ability to provide reclassification information at the proper level of detail to achieve traceability to</w:t>
      </w:r>
      <w:r w:rsidRPr="00EC20A0">
        <w:rPr>
          <w:spacing w:val="-4"/>
          <w:sz w:val="18"/>
        </w:rPr>
        <w:t xml:space="preserve"> </w:t>
      </w:r>
      <w:r w:rsidRPr="00EC20A0">
        <w:rPr>
          <w:sz w:val="18"/>
        </w:rPr>
        <w:t>the</w:t>
      </w:r>
      <w:r w:rsidRPr="00EC20A0">
        <w:rPr>
          <w:spacing w:val="-4"/>
          <w:sz w:val="18"/>
        </w:rPr>
        <w:t xml:space="preserve"> </w:t>
      </w:r>
      <w:r w:rsidRPr="00EC20A0">
        <w:rPr>
          <w:sz w:val="18"/>
        </w:rPr>
        <w:t>original</w:t>
      </w:r>
      <w:r w:rsidRPr="00EC20A0">
        <w:rPr>
          <w:spacing w:val="-3"/>
          <w:sz w:val="18"/>
        </w:rPr>
        <w:t xml:space="preserve"> </w:t>
      </w:r>
      <w:r w:rsidRPr="00EC20A0">
        <w:rPr>
          <w:sz w:val="18"/>
        </w:rPr>
        <w:t>transactions.</w:t>
      </w:r>
      <w:r w:rsidRPr="00EC20A0">
        <w:rPr>
          <w:spacing w:val="-3"/>
          <w:sz w:val="18"/>
        </w:rPr>
        <w:t xml:space="preserve"> </w:t>
      </w:r>
      <w:r w:rsidRPr="00EC20A0">
        <w:rPr>
          <w:sz w:val="18"/>
        </w:rPr>
        <w:t>Fiscal</w:t>
      </w:r>
      <w:r w:rsidRPr="00EC20A0">
        <w:rPr>
          <w:spacing w:val="-3"/>
          <w:sz w:val="18"/>
        </w:rPr>
        <w:t xml:space="preserve"> </w:t>
      </w:r>
      <w:r w:rsidRPr="00EC20A0">
        <w:rPr>
          <w:sz w:val="18"/>
        </w:rPr>
        <w:t>Service</w:t>
      </w:r>
      <w:r w:rsidRPr="00EC20A0">
        <w:rPr>
          <w:spacing w:val="-4"/>
          <w:sz w:val="18"/>
        </w:rPr>
        <w:t xml:space="preserve"> </w:t>
      </w:r>
      <w:r w:rsidRPr="00EC20A0">
        <w:rPr>
          <w:sz w:val="18"/>
        </w:rPr>
        <w:t>also</w:t>
      </w:r>
      <w:r w:rsidRPr="00EC20A0">
        <w:rPr>
          <w:spacing w:val="-4"/>
          <w:sz w:val="18"/>
        </w:rPr>
        <w:t xml:space="preserve"> </w:t>
      </w:r>
      <w:r w:rsidRPr="00EC20A0">
        <w:rPr>
          <w:sz w:val="18"/>
        </w:rPr>
        <w:t>plans</w:t>
      </w:r>
      <w:r w:rsidRPr="00EC20A0">
        <w:rPr>
          <w:spacing w:val="-3"/>
          <w:sz w:val="18"/>
        </w:rPr>
        <w:t xml:space="preserve"> </w:t>
      </w:r>
      <w:r w:rsidRPr="00EC20A0">
        <w:rPr>
          <w:sz w:val="18"/>
        </w:rPr>
        <w:t>to</w:t>
      </w:r>
      <w:r w:rsidRPr="00EC20A0">
        <w:rPr>
          <w:spacing w:val="-4"/>
          <w:sz w:val="18"/>
        </w:rPr>
        <w:t xml:space="preserve"> </w:t>
      </w:r>
      <w:r w:rsidRPr="00EC20A0">
        <w:rPr>
          <w:sz w:val="18"/>
        </w:rPr>
        <w:t>improve</w:t>
      </w:r>
      <w:r w:rsidRPr="00EC20A0">
        <w:rPr>
          <w:spacing w:val="-4"/>
          <w:sz w:val="18"/>
        </w:rPr>
        <w:t xml:space="preserve"> </w:t>
      </w:r>
      <w:r w:rsidRPr="00EC20A0">
        <w:rPr>
          <w:sz w:val="18"/>
        </w:rPr>
        <w:t>the</w:t>
      </w:r>
      <w:r w:rsidRPr="00EC20A0">
        <w:rPr>
          <w:spacing w:val="-4"/>
          <w:sz w:val="18"/>
        </w:rPr>
        <w:t xml:space="preserve"> </w:t>
      </w:r>
      <w:r w:rsidRPr="00EC20A0">
        <w:rPr>
          <w:sz w:val="18"/>
        </w:rPr>
        <w:t>reclassification</w:t>
      </w:r>
      <w:r w:rsidRPr="00EC20A0">
        <w:rPr>
          <w:spacing w:val="-4"/>
          <w:sz w:val="18"/>
        </w:rPr>
        <w:t xml:space="preserve"> </w:t>
      </w:r>
      <w:r w:rsidRPr="00EC20A0">
        <w:rPr>
          <w:sz w:val="18"/>
        </w:rPr>
        <w:t>submission</w:t>
      </w:r>
      <w:r w:rsidRPr="00EC20A0">
        <w:rPr>
          <w:spacing w:val="-2"/>
          <w:sz w:val="18"/>
        </w:rPr>
        <w:t xml:space="preserve"> </w:t>
      </w:r>
      <w:r w:rsidRPr="00EC20A0">
        <w:rPr>
          <w:sz w:val="18"/>
        </w:rPr>
        <w:t>process</w:t>
      </w:r>
      <w:r w:rsidRPr="00EC20A0">
        <w:rPr>
          <w:spacing w:val="-2"/>
          <w:sz w:val="18"/>
        </w:rPr>
        <w:t xml:space="preserve"> </w:t>
      </w:r>
      <w:r w:rsidRPr="00EC20A0">
        <w:rPr>
          <w:sz w:val="18"/>
        </w:rPr>
        <w:t>within</w:t>
      </w:r>
      <w:r w:rsidRPr="00EC20A0">
        <w:rPr>
          <w:spacing w:val="-4"/>
          <w:sz w:val="18"/>
        </w:rPr>
        <w:t xml:space="preserve"> </w:t>
      </w:r>
      <w:r w:rsidRPr="00EC20A0">
        <w:rPr>
          <w:sz w:val="18"/>
        </w:rPr>
        <w:t>CARS to reasonably assure that entities rep</w:t>
      </w:r>
      <w:r w:rsidRPr="00EC20A0">
        <w:rPr>
          <w:sz w:val="18"/>
        </w:rPr>
        <w:t>ort reclassification data at the appropriate detailed level.</w:t>
      </w:r>
    </w:p>
    <w:p w14:paraId="24D61A66"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A67" w14:textId="77777777" w:rsidR="00245300" w:rsidRPr="00EC20A0" w:rsidRDefault="00F17249">
      <w:pPr>
        <w:pStyle w:val="Heading3"/>
        <w:ind w:left="200" w:right="345"/>
        <w:rPr>
          <w:u w:val="none"/>
        </w:rPr>
      </w:pPr>
      <w:bookmarkStart w:id="329" w:name="921_A_–_Example_Audit_Procedures_for_Fun"/>
      <w:bookmarkStart w:id="330" w:name="_bookmark190"/>
      <w:bookmarkEnd w:id="329"/>
      <w:bookmarkEnd w:id="330"/>
      <w:r w:rsidRPr="00EC20A0">
        <w:t>921</w:t>
      </w:r>
      <w:r w:rsidRPr="00EC20A0">
        <w:rPr>
          <w:spacing w:val="-17"/>
        </w:rPr>
        <w:t xml:space="preserve"> </w:t>
      </w:r>
      <w:r w:rsidRPr="00EC20A0">
        <w:t>A</w:t>
      </w:r>
      <w:r w:rsidRPr="00EC20A0">
        <w:rPr>
          <w:spacing w:val="-17"/>
        </w:rPr>
        <w:t xml:space="preserve"> </w:t>
      </w:r>
      <w:r w:rsidRPr="00EC20A0">
        <w:t>–</w:t>
      </w:r>
      <w:r w:rsidRPr="00EC20A0">
        <w:rPr>
          <w:spacing w:val="-4"/>
        </w:rPr>
        <w:t xml:space="preserve"> </w:t>
      </w:r>
      <w:r w:rsidRPr="00EC20A0">
        <w:t>Example</w:t>
      </w:r>
      <w:r w:rsidRPr="00EC20A0">
        <w:rPr>
          <w:spacing w:val="-17"/>
        </w:rPr>
        <w:t xml:space="preserve"> </w:t>
      </w:r>
      <w:r w:rsidRPr="00EC20A0">
        <w:t>Audit</w:t>
      </w:r>
      <w:r w:rsidRPr="00EC20A0">
        <w:rPr>
          <w:spacing w:val="-5"/>
        </w:rPr>
        <w:t xml:space="preserve"> </w:t>
      </w:r>
      <w:r w:rsidRPr="00EC20A0">
        <w:t>Procedures</w:t>
      </w:r>
      <w:r w:rsidRPr="00EC20A0">
        <w:rPr>
          <w:spacing w:val="-5"/>
        </w:rPr>
        <w:t xml:space="preserve"> </w:t>
      </w:r>
      <w:r w:rsidRPr="00EC20A0">
        <w:t>for</w:t>
      </w:r>
      <w:r w:rsidRPr="00EC20A0">
        <w:rPr>
          <w:spacing w:val="-5"/>
        </w:rPr>
        <w:t xml:space="preserve"> </w:t>
      </w:r>
      <w:r w:rsidRPr="00EC20A0">
        <w:t>Fund</w:t>
      </w:r>
      <w:r w:rsidRPr="00EC20A0">
        <w:rPr>
          <w:spacing w:val="-5"/>
        </w:rPr>
        <w:t xml:space="preserve"> </w:t>
      </w:r>
      <w:r w:rsidRPr="00EC20A0">
        <w:t>Balance</w:t>
      </w:r>
      <w:r w:rsidRPr="00EC20A0">
        <w:rPr>
          <w:spacing w:val="-4"/>
        </w:rPr>
        <w:t xml:space="preserve"> </w:t>
      </w:r>
      <w:r w:rsidRPr="00EC20A0">
        <w:t>with</w:t>
      </w:r>
      <w:r w:rsidRPr="00EC20A0">
        <w:rPr>
          <w:u w:val="none"/>
        </w:rPr>
        <w:t xml:space="preserve"> </w:t>
      </w:r>
      <w:r w:rsidRPr="00EC20A0">
        <w:rPr>
          <w:spacing w:val="-2"/>
        </w:rPr>
        <w:t>Treasury</w:t>
      </w:r>
    </w:p>
    <w:p w14:paraId="24D61A68" w14:textId="77777777" w:rsidR="00245300" w:rsidRPr="00EC20A0" w:rsidRDefault="00245300">
      <w:pPr>
        <w:pStyle w:val="BodyText"/>
        <w:rPr>
          <w:b/>
          <w:sz w:val="20"/>
        </w:rPr>
      </w:pPr>
    </w:p>
    <w:p w14:paraId="24D61A69" w14:textId="77777777" w:rsidR="00245300" w:rsidRPr="00EC20A0" w:rsidRDefault="00245300">
      <w:pPr>
        <w:pStyle w:val="BodyText"/>
        <w:spacing w:before="70"/>
        <w:rPr>
          <w:b/>
          <w:sz w:val="20"/>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245300" w:rsidRPr="00EC20A0" w14:paraId="24D61A6D" w14:textId="77777777">
        <w:trPr>
          <w:trHeight w:val="505"/>
        </w:trPr>
        <w:tc>
          <w:tcPr>
            <w:tcW w:w="6719" w:type="dxa"/>
            <w:tcBorders>
              <w:right w:val="single" w:sz="4" w:space="0" w:color="000000"/>
            </w:tcBorders>
          </w:tcPr>
          <w:p w14:paraId="24D61A6A" w14:textId="77777777" w:rsidR="00245300" w:rsidRPr="00EC20A0" w:rsidRDefault="00F17249">
            <w:pPr>
              <w:pStyle w:val="TableParagraph"/>
              <w:spacing w:before="1"/>
              <w:ind w:left="92"/>
              <w:rPr>
                <w:b/>
              </w:rPr>
            </w:pPr>
            <w:r w:rsidRPr="00EC20A0">
              <w:rPr>
                <w:b/>
                <w:spacing w:val="-2"/>
              </w:rPr>
              <w:t>Procedures</w:t>
            </w:r>
          </w:p>
        </w:tc>
        <w:tc>
          <w:tcPr>
            <w:tcW w:w="1427" w:type="dxa"/>
            <w:tcBorders>
              <w:left w:val="single" w:sz="4" w:space="0" w:color="000000"/>
              <w:right w:val="single" w:sz="4" w:space="0" w:color="000000"/>
            </w:tcBorders>
          </w:tcPr>
          <w:p w14:paraId="24D61A6B" w14:textId="77777777" w:rsidR="00245300" w:rsidRPr="00EC20A0" w:rsidRDefault="00F17249">
            <w:pPr>
              <w:pStyle w:val="TableParagraph"/>
              <w:spacing w:before="1"/>
              <w:ind w:left="108"/>
              <w:rPr>
                <w:b/>
              </w:rPr>
            </w:pPr>
            <w:r w:rsidRPr="00EC20A0">
              <w:rPr>
                <w:b/>
                <w:spacing w:val="-2"/>
              </w:rPr>
              <w:t>Initials/date</w:t>
            </w:r>
          </w:p>
        </w:tc>
        <w:tc>
          <w:tcPr>
            <w:tcW w:w="1061" w:type="dxa"/>
            <w:tcBorders>
              <w:left w:val="single" w:sz="4" w:space="0" w:color="000000"/>
            </w:tcBorders>
          </w:tcPr>
          <w:p w14:paraId="24D61A6C" w14:textId="77777777" w:rsidR="00245300" w:rsidRPr="00EC20A0" w:rsidRDefault="00F17249">
            <w:pPr>
              <w:pStyle w:val="TableParagraph"/>
              <w:spacing w:line="252" w:lineRule="exact"/>
              <w:ind w:left="109" w:right="443"/>
              <w:rPr>
                <w:b/>
              </w:rPr>
            </w:pPr>
            <w:r w:rsidRPr="00EC20A0">
              <w:rPr>
                <w:b/>
                <w:spacing w:val="-4"/>
              </w:rPr>
              <w:t>Doc. ref.</w:t>
            </w:r>
          </w:p>
        </w:tc>
      </w:tr>
      <w:tr w:rsidR="00245300" w:rsidRPr="00EC20A0" w14:paraId="24D61A6F" w14:textId="77777777">
        <w:trPr>
          <w:trHeight w:val="494"/>
        </w:trPr>
        <w:tc>
          <w:tcPr>
            <w:tcW w:w="9207" w:type="dxa"/>
            <w:gridSpan w:val="3"/>
            <w:tcBorders>
              <w:bottom w:val="single" w:sz="4" w:space="0" w:color="000000"/>
            </w:tcBorders>
          </w:tcPr>
          <w:p w14:paraId="24D61A6E" w14:textId="77777777" w:rsidR="00245300" w:rsidRPr="00EC20A0" w:rsidRDefault="00F17249">
            <w:pPr>
              <w:pStyle w:val="TableParagraph"/>
              <w:spacing w:before="121"/>
              <w:ind w:left="92"/>
              <w:rPr>
                <w:b/>
              </w:rPr>
            </w:pPr>
            <w:r w:rsidRPr="00EC20A0">
              <w:rPr>
                <w:b/>
              </w:rPr>
              <w:t>I.</w:t>
            </w:r>
            <w:r w:rsidRPr="00EC20A0">
              <w:rPr>
                <w:b/>
                <w:spacing w:val="-7"/>
              </w:rPr>
              <w:t xml:space="preserve"> </w:t>
            </w:r>
            <w:r w:rsidRPr="00EC20A0">
              <w:rPr>
                <w:b/>
              </w:rPr>
              <w:t>Planning</w:t>
            </w:r>
            <w:r w:rsidRPr="00EC20A0">
              <w:rPr>
                <w:b/>
                <w:spacing w:val="-7"/>
              </w:rPr>
              <w:t xml:space="preserve"> </w:t>
            </w:r>
            <w:r w:rsidRPr="00EC20A0">
              <w:rPr>
                <w:b/>
              </w:rPr>
              <w:t>and</w:t>
            </w:r>
            <w:r w:rsidRPr="00EC20A0">
              <w:rPr>
                <w:b/>
                <w:spacing w:val="-7"/>
              </w:rPr>
              <w:t xml:space="preserve"> </w:t>
            </w:r>
            <w:r w:rsidRPr="00EC20A0">
              <w:rPr>
                <w:b/>
              </w:rPr>
              <w:t>Internal</w:t>
            </w:r>
            <w:r w:rsidRPr="00EC20A0">
              <w:rPr>
                <w:b/>
                <w:spacing w:val="-7"/>
              </w:rPr>
              <w:t xml:space="preserve"> </w:t>
            </w:r>
            <w:r w:rsidRPr="00EC20A0">
              <w:rPr>
                <w:b/>
              </w:rPr>
              <w:t>Control</w:t>
            </w:r>
            <w:r w:rsidRPr="00EC20A0">
              <w:rPr>
                <w:b/>
                <w:spacing w:val="-7"/>
              </w:rPr>
              <w:t xml:space="preserve"> </w:t>
            </w:r>
            <w:r w:rsidRPr="00EC20A0">
              <w:rPr>
                <w:b/>
                <w:spacing w:val="-2"/>
              </w:rPr>
              <w:t>Phase</w:t>
            </w:r>
          </w:p>
        </w:tc>
      </w:tr>
      <w:tr w:rsidR="00245300" w:rsidRPr="00EC20A0" w14:paraId="24D61A73" w14:textId="77777777">
        <w:trPr>
          <w:trHeight w:val="1250"/>
        </w:trPr>
        <w:tc>
          <w:tcPr>
            <w:tcW w:w="6719" w:type="dxa"/>
            <w:tcBorders>
              <w:top w:val="single" w:sz="4" w:space="0" w:color="000000"/>
              <w:bottom w:val="nil"/>
              <w:right w:val="single" w:sz="4" w:space="0" w:color="000000"/>
            </w:tcBorders>
          </w:tcPr>
          <w:p w14:paraId="24D61A70" w14:textId="77777777" w:rsidR="00245300" w:rsidRPr="00EC20A0" w:rsidRDefault="00F17249">
            <w:pPr>
              <w:pStyle w:val="TableParagraph"/>
              <w:tabs>
                <w:tab w:val="left" w:pos="711"/>
              </w:tabs>
              <w:spacing w:before="120"/>
              <w:ind w:left="711" w:right="326" w:hanging="577"/>
            </w:pPr>
            <w:r w:rsidRPr="00EC20A0">
              <w:rPr>
                <w:spacing w:val="-6"/>
              </w:rPr>
              <w:t>1)</w:t>
            </w:r>
            <w:r w:rsidRPr="00EC20A0">
              <w:tab/>
              <w:t xml:space="preserve">To obtain an </w:t>
            </w:r>
            <w:r w:rsidRPr="00EC20A0">
              <w:t>understanding of the entity’s environment, internal control over fund balance with Treasury (FBWT) accounting,</w:t>
            </w:r>
            <w:r w:rsidRPr="00EC20A0">
              <w:rPr>
                <w:spacing w:val="-6"/>
              </w:rPr>
              <w:t xml:space="preserve"> </w:t>
            </w:r>
            <w:r w:rsidRPr="00EC20A0">
              <w:t>and</w:t>
            </w:r>
            <w:r w:rsidRPr="00EC20A0">
              <w:rPr>
                <w:spacing w:val="-6"/>
              </w:rPr>
              <w:t xml:space="preserve"> </w:t>
            </w:r>
            <w:r w:rsidRPr="00EC20A0">
              <w:t>reconciliation</w:t>
            </w:r>
            <w:r w:rsidRPr="00EC20A0">
              <w:rPr>
                <w:spacing w:val="-6"/>
              </w:rPr>
              <w:t xml:space="preserve"> </w:t>
            </w:r>
            <w:r w:rsidRPr="00EC20A0">
              <w:t>process</w:t>
            </w:r>
            <w:r w:rsidRPr="00EC20A0">
              <w:rPr>
                <w:spacing w:val="-6"/>
              </w:rPr>
              <w:t xml:space="preserve"> </w:t>
            </w:r>
            <w:r w:rsidRPr="00EC20A0">
              <w:t>in</w:t>
            </w:r>
            <w:r w:rsidRPr="00EC20A0">
              <w:rPr>
                <w:spacing w:val="-6"/>
              </w:rPr>
              <w:t xml:space="preserve"> </w:t>
            </w:r>
            <w:r w:rsidRPr="00EC20A0">
              <w:t>the</w:t>
            </w:r>
            <w:r w:rsidRPr="00EC20A0">
              <w:rPr>
                <w:spacing w:val="-6"/>
              </w:rPr>
              <w:t xml:space="preserve"> </w:t>
            </w:r>
            <w:r w:rsidRPr="00EC20A0">
              <w:t>planning</w:t>
            </w:r>
            <w:r w:rsidRPr="00EC20A0">
              <w:rPr>
                <w:spacing w:val="-6"/>
              </w:rPr>
              <w:t xml:space="preserve"> </w:t>
            </w:r>
            <w:r w:rsidRPr="00EC20A0">
              <w:t>and internal control phase of the audit:</w:t>
            </w:r>
          </w:p>
        </w:tc>
        <w:tc>
          <w:tcPr>
            <w:tcW w:w="1427" w:type="dxa"/>
            <w:vMerge w:val="restart"/>
            <w:tcBorders>
              <w:top w:val="single" w:sz="4" w:space="0" w:color="000000"/>
              <w:left w:val="single" w:sz="4" w:space="0" w:color="000000"/>
              <w:bottom w:val="single" w:sz="4" w:space="0" w:color="000000"/>
              <w:right w:val="single" w:sz="4" w:space="0" w:color="000000"/>
            </w:tcBorders>
          </w:tcPr>
          <w:p w14:paraId="24D61A71" w14:textId="77777777" w:rsidR="00245300" w:rsidRPr="00EC20A0" w:rsidRDefault="00245300">
            <w:pPr>
              <w:pStyle w:val="TableParagraph"/>
            </w:pPr>
          </w:p>
        </w:tc>
        <w:tc>
          <w:tcPr>
            <w:tcW w:w="1061" w:type="dxa"/>
            <w:vMerge w:val="restart"/>
            <w:tcBorders>
              <w:top w:val="single" w:sz="4" w:space="0" w:color="000000"/>
              <w:left w:val="single" w:sz="4" w:space="0" w:color="000000"/>
              <w:bottom w:val="single" w:sz="4" w:space="0" w:color="000000"/>
            </w:tcBorders>
          </w:tcPr>
          <w:p w14:paraId="24D61A72" w14:textId="77777777" w:rsidR="00245300" w:rsidRPr="00EC20A0" w:rsidRDefault="00245300">
            <w:pPr>
              <w:pStyle w:val="TableParagraph"/>
            </w:pPr>
          </w:p>
        </w:tc>
      </w:tr>
      <w:tr w:rsidR="00245300" w:rsidRPr="00EC20A0" w14:paraId="24D61A77" w14:textId="77777777">
        <w:trPr>
          <w:trHeight w:val="990"/>
        </w:trPr>
        <w:tc>
          <w:tcPr>
            <w:tcW w:w="6719" w:type="dxa"/>
            <w:tcBorders>
              <w:top w:val="nil"/>
              <w:bottom w:val="single" w:sz="4" w:space="0" w:color="000000"/>
              <w:right w:val="single" w:sz="4" w:space="0" w:color="000000"/>
            </w:tcBorders>
          </w:tcPr>
          <w:p w14:paraId="24D61A74" w14:textId="77777777" w:rsidR="00245300" w:rsidRPr="00EC20A0" w:rsidRDefault="00F17249">
            <w:pPr>
              <w:pStyle w:val="TableParagraph"/>
              <w:spacing w:before="111"/>
              <w:ind w:left="1244" w:right="455" w:hanging="576"/>
              <w:jc w:val="both"/>
            </w:pPr>
            <w:r w:rsidRPr="00EC20A0">
              <w:t>a)</w:t>
            </w:r>
            <w:r w:rsidRPr="00EC20A0">
              <w:rPr>
                <w:spacing w:val="80"/>
                <w:w w:val="150"/>
              </w:rPr>
              <w:t xml:space="preserve"> </w:t>
            </w:r>
            <w:r w:rsidRPr="00EC20A0">
              <w:t>Identify</w:t>
            </w:r>
            <w:r w:rsidRPr="00EC20A0">
              <w:rPr>
                <w:spacing w:val="-3"/>
              </w:rPr>
              <w:t xml:space="preserve"> </w:t>
            </w:r>
            <w:r w:rsidRPr="00EC20A0">
              <w:t>the</w:t>
            </w:r>
            <w:r w:rsidRPr="00EC20A0">
              <w:rPr>
                <w:spacing w:val="-4"/>
              </w:rPr>
              <w:t xml:space="preserve"> </w:t>
            </w:r>
            <w:r w:rsidRPr="00EC20A0">
              <w:t>entity’s</w:t>
            </w:r>
            <w:r w:rsidRPr="00EC20A0">
              <w:rPr>
                <w:spacing w:val="-4"/>
              </w:rPr>
              <w:t xml:space="preserve"> </w:t>
            </w:r>
            <w:r w:rsidRPr="00EC20A0">
              <w:t>FBWT</w:t>
            </w:r>
            <w:r w:rsidRPr="00EC20A0">
              <w:rPr>
                <w:spacing w:val="-3"/>
              </w:rPr>
              <w:t xml:space="preserve"> </w:t>
            </w:r>
            <w:r w:rsidRPr="00EC20A0">
              <w:t>accounting</w:t>
            </w:r>
            <w:r w:rsidRPr="00EC20A0">
              <w:rPr>
                <w:spacing w:val="-3"/>
              </w:rPr>
              <w:t xml:space="preserve"> </w:t>
            </w:r>
            <w:r w:rsidRPr="00EC20A0">
              <w:t>and</w:t>
            </w:r>
            <w:r w:rsidRPr="00EC20A0">
              <w:rPr>
                <w:spacing w:val="-3"/>
              </w:rPr>
              <w:t xml:space="preserve"> </w:t>
            </w:r>
            <w:r w:rsidRPr="00EC20A0">
              <w:t xml:space="preserve">reporting policies and procedures and applicable accounting </w:t>
            </w:r>
            <w:r w:rsidRPr="00EC20A0">
              <w:rPr>
                <w:spacing w:val="-2"/>
              </w:rPr>
              <w:t>guidance.</w:t>
            </w:r>
          </w:p>
        </w:tc>
        <w:tc>
          <w:tcPr>
            <w:tcW w:w="1427" w:type="dxa"/>
            <w:vMerge/>
            <w:tcBorders>
              <w:top w:val="nil"/>
              <w:left w:val="single" w:sz="4" w:space="0" w:color="000000"/>
              <w:bottom w:val="single" w:sz="4" w:space="0" w:color="000000"/>
              <w:right w:val="single" w:sz="4" w:space="0" w:color="000000"/>
            </w:tcBorders>
          </w:tcPr>
          <w:p w14:paraId="24D61A75" w14:textId="77777777" w:rsidR="00245300" w:rsidRPr="00EC20A0" w:rsidRDefault="00245300">
            <w:pPr>
              <w:rPr>
                <w:sz w:val="2"/>
                <w:szCs w:val="2"/>
              </w:rPr>
            </w:pPr>
          </w:p>
        </w:tc>
        <w:tc>
          <w:tcPr>
            <w:tcW w:w="1061" w:type="dxa"/>
            <w:vMerge/>
            <w:tcBorders>
              <w:top w:val="nil"/>
              <w:left w:val="single" w:sz="4" w:space="0" w:color="000000"/>
              <w:bottom w:val="single" w:sz="4" w:space="0" w:color="000000"/>
            </w:tcBorders>
          </w:tcPr>
          <w:p w14:paraId="24D61A76" w14:textId="77777777" w:rsidR="00245300" w:rsidRPr="00EC20A0" w:rsidRDefault="00245300">
            <w:pPr>
              <w:rPr>
                <w:sz w:val="2"/>
                <w:szCs w:val="2"/>
              </w:rPr>
            </w:pPr>
          </w:p>
        </w:tc>
      </w:tr>
      <w:tr w:rsidR="00245300" w:rsidRPr="00EC20A0" w14:paraId="24D61A7B" w14:textId="77777777">
        <w:trPr>
          <w:trHeight w:val="1504"/>
        </w:trPr>
        <w:tc>
          <w:tcPr>
            <w:tcW w:w="6719" w:type="dxa"/>
            <w:tcBorders>
              <w:top w:val="single" w:sz="4" w:space="0" w:color="000000"/>
              <w:bottom w:val="single" w:sz="4" w:space="0" w:color="000000"/>
              <w:right w:val="single" w:sz="4" w:space="0" w:color="000000"/>
            </w:tcBorders>
          </w:tcPr>
          <w:p w14:paraId="24D61A78" w14:textId="77777777" w:rsidR="00245300" w:rsidRPr="00EC20A0" w:rsidRDefault="00F17249">
            <w:pPr>
              <w:pStyle w:val="TableParagraph"/>
              <w:tabs>
                <w:tab w:val="left" w:pos="1244"/>
              </w:tabs>
              <w:spacing w:before="120"/>
              <w:ind w:left="1244" w:right="407" w:hanging="576"/>
            </w:pPr>
            <w:r w:rsidRPr="00EC20A0">
              <w:rPr>
                <w:spacing w:val="-6"/>
              </w:rPr>
              <w:t>b)</w:t>
            </w:r>
            <w:r w:rsidRPr="00EC20A0">
              <w:tab/>
              <w:t>Read prior-year audit documentation, financial statements,</w:t>
            </w:r>
            <w:r w:rsidRPr="00EC20A0">
              <w:rPr>
                <w:spacing w:val="-6"/>
              </w:rPr>
              <w:t xml:space="preserve"> </w:t>
            </w:r>
            <w:r w:rsidRPr="00EC20A0">
              <w:t>and</w:t>
            </w:r>
            <w:r w:rsidRPr="00EC20A0">
              <w:rPr>
                <w:spacing w:val="-6"/>
              </w:rPr>
              <w:t xml:space="preserve"> </w:t>
            </w:r>
            <w:r w:rsidRPr="00EC20A0">
              <w:t>related</w:t>
            </w:r>
            <w:r w:rsidRPr="00EC20A0">
              <w:rPr>
                <w:spacing w:val="-7"/>
              </w:rPr>
              <w:t xml:space="preserve"> </w:t>
            </w:r>
            <w:r w:rsidRPr="00EC20A0">
              <w:t>audit</w:t>
            </w:r>
            <w:r w:rsidRPr="00EC20A0">
              <w:rPr>
                <w:spacing w:val="-6"/>
              </w:rPr>
              <w:t xml:space="preserve"> </w:t>
            </w:r>
            <w:r w:rsidRPr="00EC20A0">
              <w:t>reports</w:t>
            </w:r>
            <w:r w:rsidRPr="00EC20A0">
              <w:rPr>
                <w:spacing w:val="-7"/>
              </w:rPr>
              <w:t xml:space="preserve"> </w:t>
            </w:r>
            <w:r w:rsidRPr="00EC20A0">
              <w:t>to</w:t>
            </w:r>
            <w:r w:rsidRPr="00EC20A0">
              <w:rPr>
                <w:spacing w:val="-6"/>
              </w:rPr>
              <w:t xml:space="preserve"> </w:t>
            </w:r>
            <w:r w:rsidRPr="00EC20A0">
              <w:t>determine</w:t>
            </w:r>
            <w:r w:rsidRPr="00EC20A0">
              <w:rPr>
                <w:spacing w:val="-6"/>
              </w:rPr>
              <w:t xml:space="preserve"> </w:t>
            </w:r>
            <w:r w:rsidRPr="00EC20A0">
              <w:t xml:space="preserve">if there were any audit issues, matters for further consideration, </w:t>
            </w:r>
            <w:r w:rsidRPr="00EC20A0">
              <w:t>significant deficiencies, or material weaknesses related to FBWT.</w:t>
            </w:r>
          </w:p>
        </w:tc>
        <w:tc>
          <w:tcPr>
            <w:tcW w:w="1427" w:type="dxa"/>
            <w:tcBorders>
              <w:top w:val="single" w:sz="4" w:space="0" w:color="000000"/>
              <w:left w:val="single" w:sz="4" w:space="0" w:color="000000"/>
              <w:bottom w:val="single" w:sz="4" w:space="0" w:color="000000"/>
              <w:right w:val="single" w:sz="4" w:space="0" w:color="000000"/>
            </w:tcBorders>
          </w:tcPr>
          <w:p w14:paraId="24D61A79" w14:textId="77777777" w:rsidR="00245300" w:rsidRPr="00EC20A0" w:rsidRDefault="00245300">
            <w:pPr>
              <w:pStyle w:val="TableParagraph"/>
            </w:pPr>
          </w:p>
        </w:tc>
        <w:tc>
          <w:tcPr>
            <w:tcW w:w="1061" w:type="dxa"/>
            <w:tcBorders>
              <w:top w:val="single" w:sz="4" w:space="0" w:color="000000"/>
              <w:left w:val="single" w:sz="4" w:space="0" w:color="000000"/>
              <w:bottom w:val="single" w:sz="4" w:space="0" w:color="000000"/>
            </w:tcBorders>
          </w:tcPr>
          <w:p w14:paraId="24D61A7A" w14:textId="77777777" w:rsidR="00245300" w:rsidRPr="00EC20A0" w:rsidRDefault="00245300">
            <w:pPr>
              <w:pStyle w:val="TableParagraph"/>
            </w:pPr>
          </w:p>
        </w:tc>
      </w:tr>
      <w:tr w:rsidR="00245300" w:rsidRPr="00EC20A0" w14:paraId="24D61A7F" w14:textId="77777777">
        <w:trPr>
          <w:trHeight w:val="745"/>
        </w:trPr>
        <w:tc>
          <w:tcPr>
            <w:tcW w:w="6719" w:type="dxa"/>
            <w:tcBorders>
              <w:top w:val="single" w:sz="4" w:space="0" w:color="000000"/>
              <w:bottom w:val="single" w:sz="4" w:space="0" w:color="000000"/>
              <w:right w:val="single" w:sz="4" w:space="0" w:color="000000"/>
            </w:tcBorders>
          </w:tcPr>
          <w:p w14:paraId="24D61A7C" w14:textId="77777777" w:rsidR="00245300" w:rsidRPr="00EC20A0" w:rsidRDefault="00F17249">
            <w:pPr>
              <w:pStyle w:val="TableParagraph"/>
              <w:tabs>
                <w:tab w:val="left" w:pos="1244"/>
              </w:tabs>
              <w:spacing w:before="120"/>
              <w:ind w:left="1244" w:right="1213" w:hanging="577"/>
            </w:pPr>
            <w:r w:rsidRPr="00EC20A0">
              <w:rPr>
                <w:spacing w:val="-6"/>
              </w:rPr>
              <w:t>c)</w:t>
            </w:r>
            <w:r w:rsidRPr="00EC20A0">
              <w:tab/>
              <w:t>Identify</w:t>
            </w:r>
            <w:r w:rsidRPr="00EC20A0">
              <w:rPr>
                <w:spacing w:val="-8"/>
              </w:rPr>
              <w:t xml:space="preserve"> </w:t>
            </w:r>
            <w:r w:rsidRPr="00EC20A0">
              <w:t>FBWT</w:t>
            </w:r>
            <w:r w:rsidRPr="00EC20A0">
              <w:rPr>
                <w:spacing w:val="-8"/>
              </w:rPr>
              <w:t xml:space="preserve"> </w:t>
            </w:r>
            <w:r w:rsidRPr="00EC20A0">
              <w:t>general</w:t>
            </w:r>
            <w:r w:rsidRPr="00EC20A0">
              <w:rPr>
                <w:spacing w:val="-9"/>
              </w:rPr>
              <w:t xml:space="preserve"> </w:t>
            </w:r>
            <w:r w:rsidRPr="00EC20A0">
              <w:t>ledger</w:t>
            </w:r>
            <w:r w:rsidRPr="00EC20A0">
              <w:rPr>
                <w:spacing w:val="-8"/>
              </w:rPr>
              <w:t xml:space="preserve"> </w:t>
            </w:r>
            <w:r w:rsidRPr="00EC20A0">
              <w:t>accounts</w:t>
            </w:r>
            <w:r w:rsidRPr="00EC20A0">
              <w:rPr>
                <w:spacing w:val="-7"/>
              </w:rPr>
              <w:t xml:space="preserve"> </w:t>
            </w:r>
            <w:r w:rsidRPr="00EC20A0">
              <w:t>and analytically review with prior-year data.</w:t>
            </w:r>
          </w:p>
        </w:tc>
        <w:tc>
          <w:tcPr>
            <w:tcW w:w="1427" w:type="dxa"/>
            <w:tcBorders>
              <w:top w:val="single" w:sz="4" w:space="0" w:color="000000"/>
              <w:left w:val="single" w:sz="4" w:space="0" w:color="000000"/>
              <w:bottom w:val="single" w:sz="4" w:space="0" w:color="000000"/>
              <w:right w:val="single" w:sz="4" w:space="0" w:color="000000"/>
            </w:tcBorders>
          </w:tcPr>
          <w:p w14:paraId="24D61A7D" w14:textId="77777777" w:rsidR="00245300" w:rsidRPr="00EC20A0" w:rsidRDefault="00245300">
            <w:pPr>
              <w:pStyle w:val="TableParagraph"/>
            </w:pPr>
          </w:p>
        </w:tc>
        <w:tc>
          <w:tcPr>
            <w:tcW w:w="1061" w:type="dxa"/>
            <w:tcBorders>
              <w:top w:val="single" w:sz="4" w:space="0" w:color="000000"/>
              <w:left w:val="single" w:sz="4" w:space="0" w:color="000000"/>
              <w:bottom w:val="single" w:sz="4" w:space="0" w:color="000000"/>
            </w:tcBorders>
          </w:tcPr>
          <w:p w14:paraId="24D61A7E" w14:textId="77777777" w:rsidR="00245300" w:rsidRPr="00EC20A0" w:rsidRDefault="00245300">
            <w:pPr>
              <w:pStyle w:val="TableParagraph"/>
            </w:pPr>
          </w:p>
        </w:tc>
      </w:tr>
      <w:tr w:rsidR="00245300" w:rsidRPr="00EC20A0" w14:paraId="24D61A83" w14:textId="77777777">
        <w:trPr>
          <w:trHeight w:val="746"/>
        </w:trPr>
        <w:tc>
          <w:tcPr>
            <w:tcW w:w="6719" w:type="dxa"/>
            <w:tcBorders>
              <w:top w:val="single" w:sz="4" w:space="0" w:color="000000"/>
              <w:bottom w:val="single" w:sz="4" w:space="0" w:color="000000"/>
              <w:right w:val="single" w:sz="4" w:space="0" w:color="000000"/>
            </w:tcBorders>
          </w:tcPr>
          <w:p w14:paraId="24D61A80" w14:textId="77777777" w:rsidR="00245300" w:rsidRPr="00EC20A0" w:rsidRDefault="00F17249">
            <w:pPr>
              <w:pStyle w:val="TableParagraph"/>
              <w:tabs>
                <w:tab w:val="left" w:pos="1244"/>
              </w:tabs>
              <w:spacing w:before="120"/>
              <w:ind w:left="1244" w:right="151" w:hanging="577"/>
            </w:pPr>
            <w:r w:rsidRPr="00EC20A0">
              <w:rPr>
                <w:spacing w:val="-6"/>
              </w:rPr>
              <w:t>d)</w:t>
            </w:r>
            <w:r w:rsidRPr="00EC20A0">
              <w:tab/>
              <w:t>Interview</w:t>
            </w:r>
            <w:r w:rsidRPr="00EC20A0">
              <w:rPr>
                <w:spacing w:val="-6"/>
              </w:rPr>
              <w:t xml:space="preserve"> </w:t>
            </w:r>
            <w:r w:rsidRPr="00EC20A0">
              <w:t>key</w:t>
            </w:r>
            <w:r w:rsidRPr="00EC20A0">
              <w:rPr>
                <w:spacing w:val="-6"/>
              </w:rPr>
              <w:t xml:space="preserve"> </w:t>
            </w:r>
            <w:r w:rsidRPr="00EC20A0">
              <w:t>entity</w:t>
            </w:r>
            <w:r w:rsidRPr="00EC20A0">
              <w:rPr>
                <w:spacing w:val="-6"/>
              </w:rPr>
              <w:t xml:space="preserve"> </w:t>
            </w:r>
            <w:r w:rsidRPr="00EC20A0">
              <w:t>staff</w:t>
            </w:r>
            <w:r w:rsidRPr="00EC20A0">
              <w:rPr>
                <w:spacing w:val="-6"/>
              </w:rPr>
              <w:t xml:space="preserve"> </w:t>
            </w:r>
            <w:r w:rsidRPr="00EC20A0">
              <w:t>about</w:t>
            </w:r>
            <w:r w:rsidRPr="00EC20A0">
              <w:rPr>
                <w:spacing w:val="-6"/>
              </w:rPr>
              <w:t xml:space="preserve"> </w:t>
            </w:r>
            <w:r w:rsidRPr="00EC20A0">
              <w:t>their</w:t>
            </w:r>
            <w:r w:rsidRPr="00EC20A0">
              <w:rPr>
                <w:spacing w:val="-6"/>
              </w:rPr>
              <w:t xml:space="preserve"> </w:t>
            </w:r>
            <w:r w:rsidRPr="00EC20A0">
              <w:t>FBWT</w:t>
            </w:r>
            <w:r w:rsidRPr="00EC20A0">
              <w:rPr>
                <w:spacing w:val="-6"/>
              </w:rPr>
              <w:t xml:space="preserve"> </w:t>
            </w:r>
            <w:r w:rsidRPr="00EC20A0">
              <w:t>procedures and controls.</w:t>
            </w:r>
          </w:p>
        </w:tc>
        <w:tc>
          <w:tcPr>
            <w:tcW w:w="1427" w:type="dxa"/>
            <w:tcBorders>
              <w:top w:val="single" w:sz="4" w:space="0" w:color="000000"/>
              <w:left w:val="single" w:sz="4" w:space="0" w:color="000000"/>
              <w:bottom w:val="single" w:sz="4" w:space="0" w:color="000000"/>
              <w:right w:val="single" w:sz="4" w:space="0" w:color="000000"/>
            </w:tcBorders>
          </w:tcPr>
          <w:p w14:paraId="24D61A81" w14:textId="77777777" w:rsidR="00245300" w:rsidRPr="00EC20A0" w:rsidRDefault="00245300">
            <w:pPr>
              <w:pStyle w:val="TableParagraph"/>
            </w:pPr>
          </w:p>
        </w:tc>
        <w:tc>
          <w:tcPr>
            <w:tcW w:w="1061" w:type="dxa"/>
            <w:tcBorders>
              <w:top w:val="single" w:sz="4" w:space="0" w:color="000000"/>
              <w:left w:val="single" w:sz="4" w:space="0" w:color="000000"/>
              <w:bottom w:val="single" w:sz="4" w:space="0" w:color="000000"/>
            </w:tcBorders>
          </w:tcPr>
          <w:p w14:paraId="24D61A82" w14:textId="77777777" w:rsidR="00245300" w:rsidRPr="00EC20A0" w:rsidRDefault="00245300">
            <w:pPr>
              <w:pStyle w:val="TableParagraph"/>
            </w:pPr>
          </w:p>
        </w:tc>
      </w:tr>
      <w:tr w:rsidR="00245300" w:rsidRPr="00EC20A0" w14:paraId="24D61A87" w14:textId="77777777">
        <w:trPr>
          <w:trHeight w:val="1757"/>
        </w:trPr>
        <w:tc>
          <w:tcPr>
            <w:tcW w:w="6719" w:type="dxa"/>
            <w:tcBorders>
              <w:top w:val="single" w:sz="4" w:space="0" w:color="000000"/>
              <w:bottom w:val="single" w:sz="4" w:space="0" w:color="000000"/>
              <w:right w:val="single" w:sz="4" w:space="0" w:color="000000"/>
            </w:tcBorders>
          </w:tcPr>
          <w:p w14:paraId="24D61A84" w14:textId="77777777" w:rsidR="00245300" w:rsidRPr="00EC20A0" w:rsidRDefault="00F17249">
            <w:pPr>
              <w:pStyle w:val="TableParagraph"/>
              <w:tabs>
                <w:tab w:val="left" w:pos="1244"/>
              </w:tabs>
              <w:spacing w:before="120"/>
              <w:ind w:left="1244" w:right="151" w:hanging="577"/>
            </w:pPr>
            <w:r w:rsidRPr="00EC20A0">
              <w:rPr>
                <w:spacing w:val="-6"/>
              </w:rPr>
              <w:t>e)</w:t>
            </w:r>
            <w:r w:rsidRPr="00EC20A0">
              <w:tab/>
              <w:t>Determine</w:t>
            </w:r>
            <w:r w:rsidRPr="00EC20A0">
              <w:rPr>
                <w:spacing w:val="-6"/>
              </w:rPr>
              <w:t xml:space="preserve"> </w:t>
            </w:r>
            <w:r w:rsidRPr="00EC20A0">
              <w:t>how,</w:t>
            </w:r>
            <w:r w:rsidRPr="00EC20A0">
              <w:rPr>
                <w:spacing w:val="-6"/>
              </w:rPr>
              <w:t xml:space="preserve"> </w:t>
            </w:r>
            <w:r w:rsidRPr="00EC20A0">
              <w:t>in</w:t>
            </w:r>
            <w:r w:rsidRPr="00EC20A0">
              <w:rPr>
                <w:spacing w:val="-6"/>
              </w:rPr>
              <w:t xml:space="preserve"> </w:t>
            </w:r>
            <w:r w:rsidRPr="00EC20A0">
              <w:t>conjunction</w:t>
            </w:r>
            <w:r w:rsidRPr="00EC20A0">
              <w:rPr>
                <w:spacing w:val="-6"/>
              </w:rPr>
              <w:t xml:space="preserve"> </w:t>
            </w:r>
            <w:r w:rsidRPr="00EC20A0">
              <w:t>with</w:t>
            </w:r>
            <w:r w:rsidRPr="00EC20A0">
              <w:rPr>
                <w:spacing w:val="-7"/>
              </w:rPr>
              <w:t xml:space="preserve"> </w:t>
            </w:r>
            <w:r w:rsidRPr="00EC20A0">
              <w:t>work</w:t>
            </w:r>
            <w:r w:rsidRPr="00EC20A0">
              <w:rPr>
                <w:spacing w:val="-6"/>
              </w:rPr>
              <w:t xml:space="preserve"> </w:t>
            </w:r>
            <w:r w:rsidRPr="00EC20A0">
              <w:t>performed</w:t>
            </w:r>
            <w:r w:rsidRPr="00EC20A0">
              <w:rPr>
                <w:spacing w:val="-6"/>
              </w:rPr>
              <w:t xml:space="preserve"> </w:t>
            </w:r>
            <w:r w:rsidRPr="00EC20A0">
              <w:t>on other audit cycles, the entity processes FBWT collections and disbursements, either through Treasury</w:t>
            </w:r>
            <w:r w:rsidRPr="00EC20A0">
              <w:rPr>
                <w:spacing w:val="-3"/>
              </w:rPr>
              <w:t xml:space="preserve"> </w:t>
            </w:r>
            <w:r w:rsidRPr="00EC20A0">
              <w:t>Disbursing</w:t>
            </w:r>
            <w:r w:rsidRPr="00EC20A0">
              <w:rPr>
                <w:spacing w:val="-3"/>
              </w:rPr>
              <w:t xml:space="preserve"> </w:t>
            </w:r>
            <w:r w:rsidRPr="00EC20A0">
              <w:t>Offices,</w:t>
            </w:r>
            <w:r w:rsidRPr="00EC20A0">
              <w:rPr>
                <w:spacing w:val="-3"/>
              </w:rPr>
              <w:t xml:space="preserve"> </w:t>
            </w:r>
            <w:r w:rsidRPr="00EC20A0">
              <w:t>entity</w:t>
            </w:r>
            <w:r w:rsidRPr="00EC20A0">
              <w:rPr>
                <w:spacing w:val="-3"/>
              </w:rPr>
              <w:t xml:space="preserve"> </w:t>
            </w:r>
            <w:r w:rsidRPr="00EC20A0">
              <w:t>disbursing</w:t>
            </w:r>
            <w:r w:rsidRPr="00EC20A0">
              <w:rPr>
                <w:spacing w:val="-4"/>
              </w:rPr>
              <w:t xml:space="preserve"> </w:t>
            </w:r>
            <w:r w:rsidRPr="00EC20A0">
              <w:t xml:space="preserve">centers, Federal Reserve Bank systems, or a combination of </w:t>
            </w:r>
            <w:r w:rsidRPr="00EC20A0">
              <w:rPr>
                <w:spacing w:val="-2"/>
              </w:rPr>
              <w:t>these.</w:t>
            </w:r>
          </w:p>
        </w:tc>
        <w:tc>
          <w:tcPr>
            <w:tcW w:w="1427" w:type="dxa"/>
            <w:tcBorders>
              <w:top w:val="single" w:sz="4" w:space="0" w:color="000000"/>
              <w:left w:val="single" w:sz="4" w:space="0" w:color="000000"/>
              <w:bottom w:val="single" w:sz="4" w:space="0" w:color="000000"/>
              <w:right w:val="single" w:sz="4" w:space="0" w:color="000000"/>
            </w:tcBorders>
          </w:tcPr>
          <w:p w14:paraId="24D61A85" w14:textId="77777777" w:rsidR="00245300" w:rsidRPr="00EC20A0" w:rsidRDefault="00245300">
            <w:pPr>
              <w:pStyle w:val="TableParagraph"/>
            </w:pPr>
          </w:p>
        </w:tc>
        <w:tc>
          <w:tcPr>
            <w:tcW w:w="1061" w:type="dxa"/>
            <w:tcBorders>
              <w:top w:val="single" w:sz="4" w:space="0" w:color="000000"/>
              <w:left w:val="single" w:sz="4" w:space="0" w:color="000000"/>
              <w:bottom w:val="single" w:sz="4" w:space="0" w:color="000000"/>
            </w:tcBorders>
          </w:tcPr>
          <w:p w14:paraId="24D61A86" w14:textId="77777777" w:rsidR="00245300" w:rsidRPr="00EC20A0" w:rsidRDefault="00245300">
            <w:pPr>
              <w:pStyle w:val="TableParagraph"/>
            </w:pPr>
          </w:p>
        </w:tc>
      </w:tr>
      <w:tr w:rsidR="00245300" w:rsidRPr="00EC20A0" w14:paraId="24D61A8B" w14:textId="77777777">
        <w:trPr>
          <w:trHeight w:val="1505"/>
        </w:trPr>
        <w:tc>
          <w:tcPr>
            <w:tcW w:w="6719" w:type="dxa"/>
            <w:tcBorders>
              <w:top w:val="single" w:sz="4" w:space="0" w:color="000000"/>
              <w:bottom w:val="single" w:sz="4" w:space="0" w:color="000000"/>
              <w:right w:val="single" w:sz="4" w:space="0" w:color="000000"/>
            </w:tcBorders>
          </w:tcPr>
          <w:p w14:paraId="24D61A88" w14:textId="77777777" w:rsidR="00245300" w:rsidRPr="00EC20A0" w:rsidRDefault="00F17249">
            <w:pPr>
              <w:pStyle w:val="TableParagraph"/>
              <w:tabs>
                <w:tab w:val="left" w:pos="1244"/>
              </w:tabs>
              <w:spacing w:before="120"/>
              <w:ind w:left="1244" w:right="344" w:hanging="577"/>
            </w:pPr>
            <w:r w:rsidRPr="00EC20A0">
              <w:rPr>
                <w:spacing w:val="-6"/>
              </w:rPr>
              <w:t>f)</w:t>
            </w:r>
            <w:r w:rsidRPr="00EC20A0">
              <w:tab/>
              <w:t>Obtain an understanding of the significant financial management</w:t>
            </w:r>
            <w:r w:rsidRPr="00EC20A0">
              <w:rPr>
                <w:spacing w:val="-8"/>
              </w:rPr>
              <w:t xml:space="preserve"> </w:t>
            </w:r>
            <w:r w:rsidRPr="00EC20A0">
              <w:t>systems</w:t>
            </w:r>
            <w:r w:rsidRPr="00EC20A0">
              <w:rPr>
                <w:spacing w:val="-8"/>
              </w:rPr>
              <w:t xml:space="preserve"> </w:t>
            </w:r>
            <w:r w:rsidRPr="00EC20A0">
              <w:t>and</w:t>
            </w:r>
            <w:r w:rsidRPr="00EC20A0">
              <w:rPr>
                <w:spacing w:val="-8"/>
              </w:rPr>
              <w:t xml:space="preserve"> </w:t>
            </w:r>
            <w:r w:rsidRPr="00EC20A0">
              <w:t>relevant</w:t>
            </w:r>
            <w:r w:rsidRPr="00EC20A0">
              <w:rPr>
                <w:spacing w:val="-8"/>
              </w:rPr>
              <w:t xml:space="preserve"> </w:t>
            </w:r>
            <w:r w:rsidRPr="00EC20A0">
              <w:t>internal</w:t>
            </w:r>
            <w:r w:rsidRPr="00EC20A0">
              <w:rPr>
                <w:spacing w:val="-8"/>
              </w:rPr>
              <w:t xml:space="preserve"> </w:t>
            </w:r>
            <w:r w:rsidRPr="00EC20A0">
              <w:t xml:space="preserve">controls, including information system controls, used in reporting and accounting for FBWT activity and </w:t>
            </w:r>
            <w:r w:rsidRPr="00EC20A0">
              <w:rPr>
                <w:spacing w:val="-2"/>
              </w:rPr>
              <w:t>balances.</w:t>
            </w:r>
          </w:p>
        </w:tc>
        <w:tc>
          <w:tcPr>
            <w:tcW w:w="1427" w:type="dxa"/>
            <w:tcBorders>
              <w:top w:val="single" w:sz="4" w:space="0" w:color="000000"/>
              <w:left w:val="single" w:sz="4" w:space="0" w:color="000000"/>
              <w:bottom w:val="single" w:sz="4" w:space="0" w:color="000000"/>
              <w:right w:val="single" w:sz="4" w:space="0" w:color="000000"/>
            </w:tcBorders>
          </w:tcPr>
          <w:p w14:paraId="24D61A89" w14:textId="77777777" w:rsidR="00245300" w:rsidRPr="00EC20A0" w:rsidRDefault="00245300">
            <w:pPr>
              <w:pStyle w:val="TableParagraph"/>
            </w:pPr>
          </w:p>
        </w:tc>
        <w:tc>
          <w:tcPr>
            <w:tcW w:w="1061" w:type="dxa"/>
            <w:tcBorders>
              <w:top w:val="single" w:sz="4" w:space="0" w:color="000000"/>
              <w:left w:val="single" w:sz="4" w:space="0" w:color="000000"/>
              <w:bottom w:val="single" w:sz="4" w:space="0" w:color="000000"/>
            </w:tcBorders>
          </w:tcPr>
          <w:p w14:paraId="24D61A8A" w14:textId="77777777" w:rsidR="00245300" w:rsidRPr="00EC20A0" w:rsidRDefault="00245300">
            <w:pPr>
              <w:pStyle w:val="TableParagraph"/>
            </w:pPr>
          </w:p>
        </w:tc>
      </w:tr>
      <w:tr w:rsidR="00245300" w:rsidRPr="00EC20A0" w14:paraId="24D61A8F" w14:textId="77777777">
        <w:trPr>
          <w:trHeight w:val="1252"/>
        </w:trPr>
        <w:tc>
          <w:tcPr>
            <w:tcW w:w="6719" w:type="dxa"/>
            <w:tcBorders>
              <w:top w:val="single" w:sz="4" w:space="0" w:color="000000"/>
              <w:right w:val="single" w:sz="4" w:space="0" w:color="000000"/>
            </w:tcBorders>
          </w:tcPr>
          <w:p w14:paraId="24D61A8C" w14:textId="77777777" w:rsidR="00245300" w:rsidRPr="00EC20A0" w:rsidRDefault="00F17249">
            <w:pPr>
              <w:pStyle w:val="TableParagraph"/>
              <w:tabs>
                <w:tab w:val="left" w:pos="1244"/>
              </w:tabs>
              <w:spacing w:before="120"/>
              <w:ind w:left="1244" w:right="430" w:hanging="577"/>
            </w:pPr>
            <w:r w:rsidRPr="00EC20A0">
              <w:rPr>
                <w:spacing w:val="-6"/>
              </w:rPr>
              <w:t>g)</w:t>
            </w:r>
            <w:r w:rsidRPr="00EC20A0">
              <w:tab/>
              <w:t>Identify and document relevant control activities related to FBWT and determine whether they have been</w:t>
            </w:r>
            <w:r w:rsidRPr="00EC20A0">
              <w:rPr>
                <w:spacing w:val="-6"/>
              </w:rPr>
              <w:t xml:space="preserve"> </w:t>
            </w:r>
            <w:r w:rsidRPr="00EC20A0">
              <w:t>implemented</w:t>
            </w:r>
            <w:r w:rsidRPr="00EC20A0">
              <w:rPr>
                <w:spacing w:val="-6"/>
              </w:rPr>
              <w:t xml:space="preserve"> </w:t>
            </w:r>
            <w:r w:rsidRPr="00EC20A0">
              <w:t>(see</w:t>
            </w:r>
            <w:r w:rsidRPr="00EC20A0">
              <w:rPr>
                <w:spacing w:val="-6"/>
              </w:rPr>
              <w:t xml:space="preserve"> </w:t>
            </w:r>
            <w:r w:rsidRPr="00EC20A0">
              <w:t>FAM</w:t>
            </w:r>
            <w:r w:rsidRPr="00EC20A0">
              <w:rPr>
                <w:spacing w:val="-7"/>
              </w:rPr>
              <w:t xml:space="preserve"> </w:t>
            </w:r>
            <w:r w:rsidRPr="00EC20A0">
              <w:t>350),</w:t>
            </w:r>
            <w:r w:rsidRPr="00EC20A0">
              <w:rPr>
                <w:spacing w:val="-5"/>
              </w:rPr>
              <w:t xml:space="preserve"> </w:t>
            </w:r>
            <w:r w:rsidRPr="00EC20A0">
              <w:t>such</w:t>
            </w:r>
            <w:r w:rsidRPr="00EC20A0">
              <w:rPr>
                <w:spacing w:val="-6"/>
              </w:rPr>
              <w:t xml:space="preserve"> </w:t>
            </w:r>
            <w:r w:rsidRPr="00EC20A0">
              <w:t>as</w:t>
            </w:r>
            <w:r w:rsidRPr="00EC20A0">
              <w:rPr>
                <w:spacing w:val="-6"/>
              </w:rPr>
              <w:t xml:space="preserve"> </w:t>
            </w:r>
            <w:r w:rsidRPr="00EC20A0">
              <w:t>through the following audit procedures.</w:t>
            </w:r>
          </w:p>
        </w:tc>
        <w:tc>
          <w:tcPr>
            <w:tcW w:w="1427" w:type="dxa"/>
            <w:tcBorders>
              <w:top w:val="single" w:sz="4" w:space="0" w:color="000000"/>
              <w:left w:val="single" w:sz="4" w:space="0" w:color="000000"/>
              <w:right w:val="single" w:sz="4" w:space="0" w:color="000000"/>
            </w:tcBorders>
          </w:tcPr>
          <w:p w14:paraId="24D61A8D" w14:textId="77777777" w:rsidR="00245300" w:rsidRPr="00EC20A0" w:rsidRDefault="00245300">
            <w:pPr>
              <w:pStyle w:val="TableParagraph"/>
            </w:pPr>
          </w:p>
        </w:tc>
        <w:tc>
          <w:tcPr>
            <w:tcW w:w="1061" w:type="dxa"/>
            <w:tcBorders>
              <w:top w:val="single" w:sz="4" w:space="0" w:color="000000"/>
              <w:left w:val="single" w:sz="4" w:space="0" w:color="000000"/>
            </w:tcBorders>
          </w:tcPr>
          <w:p w14:paraId="24D61A8E" w14:textId="77777777" w:rsidR="00245300" w:rsidRPr="00EC20A0" w:rsidRDefault="00245300">
            <w:pPr>
              <w:pStyle w:val="TableParagraph"/>
            </w:pPr>
          </w:p>
        </w:tc>
      </w:tr>
    </w:tbl>
    <w:p w14:paraId="24D61A90" w14:textId="77777777" w:rsidR="00245300" w:rsidRPr="00EC20A0" w:rsidRDefault="00245300">
      <w:pPr>
        <w:sectPr w:rsidR="00245300" w:rsidRPr="00EC20A0">
          <w:headerReference w:type="default" r:id="rId172"/>
          <w:footerReference w:type="default" r:id="rId173"/>
          <w:pgSz w:w="12240" w:h="15840"/>
          <w:pgMar w:top="1340" w:right="1100" w:bottom="940" w:left="1240" w:header="721" w:footer="757" w:gutter="0"/>
          <w:pgNumType w:start="1"/>
          <w:cols w:space="720"/>
        </w:sectPr>
      </w:pPr>
    </w:p>
    <w:p w14:paraId="24D61A91" w14:textId="77777777" w:rsidR="00245300" w:rsidRPr="00EC20A0" w:rsidRDefault="00245300">
      <w:pPr>
        <w:pStyle w:val="BodyText"/>
        <w:spacing w:before="9"/>
        <w:rPr>
          <w:b/>
          <w:sz w:val="11"/>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245300" w:rsidRPr="00EC20A0" w14:paraId="24D61A95" w14:textId="77777777">
        <w:trPr>
          <w:trHeight w:val="505"/>
        </w:trPr>
        <w:tc>
          <w:tcPr>
            <w:tcW w:w="6719" w:type="dxa"/>
            <w:tcBorders>
              <w:right w:val="single" w:sz="4" w:space="0" w:color="000000"/>
            </w:tcBorders>
          </w:tcPr>
          <w:p w14:paraId="24D61A92" w14:textId="77777777" w:rsidR="00245300" w:rsidRPr="00EC20A0" w:rsidRDefault="00F17249">
            <w:pPr>
              <w:pStyle w:val="TableParagraph"/>
              <w:ind w:left="92"/>
              <w:rPr>
                <w:b/>
              </w:rPr>
            </w:pPr>
            <w:r w:rsidRPr="00EC20A0">
              <w:rPr>
                <w:b/>
                <w:spacing w:val="-2"/>
              </w:rPr>
              <w:t>Procedures</w:t>
            </w:r>
          </w:p>
        </w:tc>
        <w:tc>
          <w:tcPr>
            <w:tcW w:w="1427" w:type="dxa"/>
            <w:tcBorders>
              <w:left w:val="single" w:sz="4" w:space="0" w:color="000000"/>
              <w:right w:val="single" w:sz="4" w:space="0" w:color="000000"/>
            </w:tcBorders>
          </w:tcPr>
          <w:p w14:paraId="24D61A93" w14:textId="77777777" w:rsidR="00245300" w:rsidRPr="00EC20A0" w:rsidRDefault="00F17249">
            <w:pPr>
              <w:pStyle w:val="TableParagraph"/>
              <w:ind w:left="108"/>
              <w:rPr>
                <w:b/>
              </w:rPr>
            </w:pPr>
            <w:r w:rsidRPr="00EC20A0">
              <w:rPr>
                <w:b/>
                <w:spacing w:val="-2"/>
              </w:rPr>
              <w:t>Initials/date</w:t>
            </w:r>
          </w:p>
        </w:tc>
        <w:tc>
          <w:tcPr>
            <w:tcW w:w="1061" w:type="dxa"/>
            <w:tcBorders>
              <w:left w:val="single" w:sz="4" w:space="0" w:color="000000"/>
            </w:tcBorders>
          </w:tcPr>
          <w:p w14:paraId="24D61A94" w14:textId="77777777" w:rsidR="00245300" w:rsidRPr="00EC20A0" w:rsidRDefault="00F17249">
            <w:pPr>
              <w:pStyle w:val="TableParagraph"/>
              <w:spacing w:line="250" w:lineRule="atLeast"/>
              <w:ind w:left="109" w:right="443"/>
              <w:rPr>
                <w:b/>
              </w:rPr>
            </w:pPr>
            <w:r w:rsidRPr="00EC20A0">
              <w:rPr>
                <w:b/>
                <w:spacing w:val="-4"/>
              </w:rPr>
              <w:t>Doc. ref.</w:t>
            </w:r>
          </w:p>
        </w:tc>
      </w:tr>
      <w:tr w:rsidR="00245300" w:rsidRPr="00EC20A0" w14:paraId="24D61A9B" w14:textId="77777777">
        <w:trPr>
          <w:trHeight w:val="1483"/>
        </w:trPr>
        <w:tc>
          <w:tcPr>
            <w:tcW w:w="6719" w:type="dxa"/>
            <w:tcBorders>
              <w:bottom w:val="single" w:sz="4" w:space="0" w:color="000000"/>
              <w:right w:val="single" w:sz="4" w:space="0" w:color="000000"/>
            </w:tcBorders>
          </w:tcPr>
          <w:p w14:paraId="24D61A96" w14:textId="77777777" w:rsidR="00245300" w:rsidRPr="00EC20A0" w:rsidRDefault="00F17249">
            <w:pPr>
              <w:pStyle w:val="TableParagraph"/>
              <w:tabs>
                <w:tab w:val="left" w:pos="2324"/>
              </w:tabs>
              <w:spacing w:line="218" w:lineRule="exact"/>
              <w:ind w:left="1638"/>
            </w:pPr>
            <w:r w:rsidRPr="00EC20A0">
              <w:rPr>
                <w:spacing w:val="-5"/>
              </w:rPr>
              <w:t>i.</w:t>
            </w:r>
            <w:r w:rsidRPr="00EC20A0">
              <w:tab/>
              <w:t>Obtain</w:t>
            </w:r>
            <w:r w:rsidRPr="00EC20A0">
              <w:rPr>
                <w:spacing w:val="-6"/>
              </w:rPr>
              <w:t xml:space="preserve"> </w:t>
            </w:r>
            <w:r w:rsidRPr="00EC20A0">
              <w:t>an</w:t>
            </w:r>
            <w:r w:rsidRPr="00EC20A0">
              <w:rPr>
                <w:spacing w:val="-6"/>
              </w:rPr>
              <w:t xml:space="preserve"> </w:t>
            </w:r>
            <w:r w:rsidRPr="00EC20A0">
              <w:t>understanding</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rPr>
                <w:spacing w:val="-4"/>
              </w:rPr>
              <w:t>CARS</w:t>
            </w:r>
          </w:p>
          <w:p w14:paraId="24D61A97" w14:textId="77777777" w:rsidR="00245300" w:rsidRPr="00EC20A0" w:rsidRDefault="00F17249">
            <w:pPr>
              <w:pStyle w:val="TableParagraph"/>
              <w:ind w:left="2324" w:hanging="1"/>
            </w:pPr>
            <w:r w:rsidRPr="00EC20A0">
              <w:t>reporting processes and procedures, including</w:t>
            </w:r>
            <w:r w:rsidRPr="00EC20A0">
              <w:rPr>
                <w:spacing w:val="-8"/>
              </w:rPr>
              <w:t xml:space="preserve"> </w:t>
            </w:r>
            <w:r w:rsidRPr="00EC20A0">
              <w:t>how</w:t>
            </w:r>
            <w:r w:rsidRPr="00EC20A0">
              <w:rPr>
                <w:spacing w:val="-9"/>
              </w:rPr>
              <w:t xml:space="preserve"> </w:t>
            </w:r>
            <w:r w:rsidRPr="00EC20A0">
              <w:t>the</w:t>
            </w:r>
            <w:r w:rsidRPr="00EC20A0">
              <w:rPr>
                <w:spacing w:val="-8"/>
              </w:rPr>
              <w:t xml:space="preserve"> </w:t>
            </w:r>
            <w:r w:rsidRPr="00EC20A0">
              <w:t>entity</w:t>
            </w:r>
            <w:r w:rsidRPr="00EC20A0">
              <w:rPr>
                <w:spacing w:val="-9"/>
              </w:rPr>
              <w:t xml:space="preserve"> </w:t>
            </w:r>
            <w:r w:rsidRPr="00EC20A0">
              <w:t>reports</w:t>
            </w:r>
            <w:r w:rsidRPr="00EC20A0">
              <w:rPr>
                <w:spacing w:val="-8"/>
              </w:rPr>
              <w:t xml:space="preserve"> </w:t>
            </w:r>
            <w:r w:rsidRPr="00EC20A0">
              <w:t>increases (such as receipts and collections) and</w:t>
            </w:r>
          </w:p>
          <w:p w14:paraId="24D61A98" w14:textId="77777777" w:rsidR="00245300" w:rsidRPr="00EC20A0" w:rsidRDefault="00F17249">
            <w:pPr>
              <w:pStyle w:val="TableParagraph"/>
              <w:spacing w:line="252" w:lineRule="exact"/>
              <w:ind w:left="2324"/>
            </w:pPr>
            <w:r w:rsidRPr="00EC20A0">
              <w:t>decreases</w:t>
            </w:r>
            <w:r w:rsidRPr="00EC20A0">
              <w:rPr>
                <w:spacing w:val="-10"/>
              </w:rPr>
              <w:t xml:space="preserve"> </w:t>
            </w:r>
            <w:r w:rsidRPr="00EC20A0">
              <w:t>(such</w:t>
            </w:r>
            <w:r w:rsidRPr="00EC20A0">
              <w:rPr>
                <w:spacing w:val="-10"/>
              </w:rPr>
              <w:t xml:space="preserve"> </w:t>
            </w:r>
            <w:r w:rsidRPr="00EC20A0">
              <w:t>as</w:t>
            </w:r>
            <w:r w:rsidRPr="00EC20A0">
              <w:rPr>
                <w:spacing w:val="-10"/>
              </w:rPr>
              <w:t xml:space="preserve"> </w:t>
            </w:r>
            <w:r w:rsidRPr="00EC20A0">
              <w:t>disbursements</w:t>
            </w:r>
            <w:r w:rsidRPr="00EC20A0">
              <w:rPr>
                <w:spacing w:val="-10"/>
              </w:rPr>
              <w:t xml:space="preserve"> </w:t>
            </w:r>
            <w:r w:rsidRPr="00EC20A0">
              <w:t>and investments) to CARS.</w:t>
            </w:r>
          </w:p>
        </w:tc>
        <w:tc>
          <w:tcPr>
            <w:tcW w:w="1427" w:type="dxa"/>
            <w:tcBorders>
              <w:left w:val="single" w:sz="4" w:space="0" w:color="000000"/>
              <w:bottom w:val="single" w:sz="4" w:space="0" w:color="000000"/>
              <w:right w:val="single" w:sz="4" w:space="0" w:color="000000"/>
            </w:tcBorders>
          </w:tcPr>
          <w:p w14:paraId="24D61A99" w14:textId="77777777" w:rsidR="00245300" w:rsidRPr="00EC20A0" w:rsidRDefault="00245300">
            <w:pPr>
              <w:pStyle w:val="TableParagraph"/>
              <w:rPr>
                <w:sz w:val="20"/>
              </w:rPr>
            </w:pPr>
          </w:p>
        </w:tc>
        <w:tc>
          <w:tcPr>
            <w:tcW w:w="1061" w:type="dxa"/>
            <w:tcBorders>
              <w:left w:val="single" w:sz="4" w:space="0" w:color="000000"/>
              <w:bottom w:val="single" w:sz="4" w:space="0" w:color="000000"/>
            </w:tcBorders>
          </w:tcPr>
          <w:p w14:paraId="24D61A9A" w14:textId="77777777" w:rsidR="00245300" w:rsidRPr="00EC20A0" w:rsidRDefault="00245300">
            <w:pPr>
              <w:pStyle w:val="TableParagraph"/>
              <w:rPr>
                <w:sz w:val="20"/>
              </w:rPr>
            </w:pPr>
          </w:p>
        </w:tc>
      </w:tr>
      <w:tr w:rsidR="00245300" w:rsidRPr="00EC20A0" w14:paraId="24D61AA0" w14:textId="77777777">
        <w:trPr>
          <w:trHeight w:val="2023"/>
        </w:trPr>
        <w:tc>
          <w:tcPr>
            <w:tcW w:w="6719" w:type="dxa"/>
            <w:tcBorders>
              <w:top w:val="single" w:sz="4" w:space="0" w:color="000000"/>
              <w:bottom w:val="single" w:sz="4" w:space="0" w:color="000000"/>
              <w:right w:val="single" w:sz="4" w:space="0" w:color="000000"/>
            </w:tcBorders>
          </w:tcPr>
          <w:p w14:paraId="24D61A9C" w14:textId="77777777" w:rsidR="00245300" w:rsidRPr="00EC20A0" w:rsidRDefault="00F17249">
            <w:pPr>
              <w:pStyle w:val="TableParagraph"/>
              <w:tabs>
                <w:tab w:val="left" w:pos="2324"/>
              </w:tabs>
              <w:ind w:left="2324" w:right="109" w:hanging="735"/>
            </w:pPr>
            <w:r w:rsidRPr="00EC20A0">
              <w:rPr>
                <w:spacing w:val="-4"/>
              </w:rPr>
              <w:t>ii.</w:t>
            </w:r>
            <w:r w:rsidRPr="00EC20A0">
              <w:tab/>
              <w:t>Obtain an understanding and walk through entity internal controls over its FBWT reconciliation process for FBWT balances and</w:t>
            </w:r>
            <w:r w:rsidRPr="00EC20A0">
              <w:rPr>
                <w:spacing w:val="-8"/>
              </w:rPr>
              <w:t xml:space="preserve"> </w:t>
            </w:r>
            <w:r w:rsidRPr="00EC20A0">
              <w:t>FBWT</w:t>
            </w:r>
            <w:r w:rsidRPr="00EC20A0">
              <w:rPr>
                <w:spacing w:val="-8"/>
              </w:rPr>
              <w:t xml:space="preserve"> </w:t>
            </w:r>
            <w:r w:rsidRPr="00EC20A0">
              <w:t>activity,</w:t>
            </w:r>
            <w:r w:rsidRPr="00EC20A0">
              <w:rPr>
                <w:spacing w:val="-8"/>
              </w:rPr>
              <w:t xml:space="preserve"> </w:t>
            </w:r>
            <w:r w:rsidRPr="00EC20A0">
              <w:t>including</w:t>
            </w:r>
            <w:r w:rsidRPr="00EC20A0">
              <w:rPr>
                <w:spacing w:val="-8"/>
              </w:rPr>
              <w:t xml:space="preserve"> </w:t>
            </w:r>
            <w:r w:rsidRPr="00EC20A0">
              <w:t>procedures</w:t>
            </w:r>
            <w:r w:rsidRPr="00EC20A0">
              <w:rPr>
                <w:spacing w:val="-8"/>
              </w:rPr>
              <w:t xml:space="preserve"> </w:t>
            </w:r>
            <w:r w:rsidRPr="00EC20A0">
              <w:t xml:space="preserve">for aging and timely resolving </w:t>
            </w:r>
            <w:r w:rsidRPr="00EC20A0">
              <w:t>unreconciled differences, and determine whether</w:t>
            </w:r>
          </w:p>
          <w:p w14:paraId="24D61A9D" w14:textId="77777777" w:rsidR="00245300" w:rsidRPr="00EC20A0" w:rsidRDefault="00F17249">
            <w:pPr>
              <w:pStyle w:val="TableParagraph"/>
              <w:spacing w:line="250" w:lineRule="atLeast"/>
              <w:ind w:left="2324"/>
            </w:pPr>
            <w:r w:rsidRPr="00EC20A0">
              <w:t>reconciliation</w:t>
            </w:r>
            <w:r w:rsidRPr="00EC20A0">
              <w:rPr>
                <w:spacing w:val="-13"/>
              </w:rPr>
              <w:t xml:space="preserve"> </w:t>
            </w:r>
            <w:r w:rsidRPr="00EC20A0">
              <w:t>controls</w:t>
            </w:r>
            <w:r w:rsidRPr="00EC20A0">
              <w:rPr>
                <w:spacing w:val="-13"/>
              </w:rPr>
              <w:t xml:space="preserve"> </w:t>
            </w:r>
            <w:r w:rsidRPr="00EC20A0">
              <w:t>have</w:t>
            </w:r>
            <w:r w:rsidRPr="00EC20A0">
              <w:rPr>
                <w:spacing w:val="-13"/>
              </w:rPr>
              <w:t xml:space="preserve"> </w:t>
            </w:r>
            <w:r w:rsidRPr="00EC20A0">
              <w:t>been implemented effectively.</w:t>
            </w:r>
          </w:p>
        </w:tc>
        <w:tc>
          <w:tcPr>
            <w:tcW w:w="1427" w:type="dxa"/>
            <w:tcBorders>
              <w:top w:val="single" w:sz="4" w:space="0" w:color="000000"/>
              <w:left w:val="single" w:sz="4" w:space="0" w:color="000000"/>
              <w:bottom w:val="single" w:sz="4" w:space="0" w:color="000000"/>
              <w:right w:val="single" w:sz="4" w:space="0" w:color="000000"/>
            </w:tcBorders>
          </w:tcPr>
          <w:p w14:paraId="24D61A9E"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9F" w14:textId="77777777" w:rsidR="00245300" w:rsidRPr="00EC20A0" w:rsidRDefault="00245300">
            <w:pPr>
              <w:pStyle w:val="TableParagraph"/>
              <w:rPr>
                <w:sz w:val="20"/>
              </w:rPr>
            </w:pPr>
          </w:p>
        </w:tc>
      </w:tr>
      <w:tr w:rsidR="00245300" w:rsidRPr="00EC20A0" w14:paraId="24D61AA4" w14:textId="77777777">
        <w:trPr>
          <w:trHeight w:val="1012"/>
        </w:trPr>
        <w:tc>
          <w:tcPr>
            <w:tcW w:w="6719" w:type="dxa"/>
            <w:tcBorders>
              <w:top w:val="single" w:sz="4" w:space="0" w:color="000000"/>
              <w:bottom w:val="single" w:sz="4" w:space="0" w:color="000000"/>
              <w:right w:val="single" w:sz="4" w:space="0" w:color="000000"/>
            </w:tcBorders>
          </w:tcPr>
          <w:p w14:paraId="24D61AA1" w14:textId="77777777" w:rsidR="00245300" w:rsidRPr="00EC20A0" w:rsidRDefault="00F17249">
            <w:pPr>
              <w:pStyle w:val="TableParagraph"/>
              <w:tabs>
                <w:tab w:val="left" w:pos="2324"/>
              </w:tabs>
              <w:spacing w:line="254" w:lineRule="exact"/>
              <w:ind w:left="2324" w:right="145" w:hanging="784"/>
            </w:pPr>
            <w:r w:rsidRPr="00EC20A0">
              <w:rPr>
                <w:spacing w:val="-4"/>
              </w:rPr>
              <w:t>iii.</w:t>
            </w:r>
            <w:r w:rsidRPr="00EC20A0">
              <w:tab/>
              <w:t>Identify clearing accounts that the entity uses</w:t>
            </w:r>
            <w:r w:rsidRPr="00EC20A0">
              <w:rPr>
                <w:spacing w:val="-8"/>
              </w:rPr>
              <w:t xml:space="preserve"> </w:t>
            </w:r>
            <w:r w:rsidRPr="00EC20A0">
              <w:t>to</w:t>
            </w:r>
            <w:r w:rsidRPr="00EC20A0">
              <w:rPr>
                <w:spacing w:val="-8"/>
              </w:rPr>
              <w:t xml:space="preserve"> </w:t>
            </w:r>
            <w:r w:rsidRPr="00EC20A0">
              <w:t>report</w:t>
            </w:r>
            <w:r w:rsidRPr="00EC20A0">
              <w:rPr>
                <w:spacing w:val="-8"/>
              </w:rPr>
              <w:t xml:space="preserve"> </w:t>
            </w:r>
            <w:r w:rsidRPr="00EC20A0">
              <w:t>unreconciled</w:t>
            </w:r>
            <w:r w:rsidRPr="00EC20A0">
              <w:rPr>
                <w:spacing w:val="-8"/>
              </w:rPr>
              <w:t xml:space="preserve"> </w:t>
            </w:r>
            <w:r w:rsidRPr="00EC20A0">
              <w:t>differences</w:t>
            </w:r>
            <w:r w:rsidRPr="00EC20A0">
              <w:rPr>
                <w:spacing w:val="-8"/>
              </w:rPr>
              <w:t xml:space="preserve"> </w:t>
            </w:r>
            <w:r w:rsidRPr="00EC20A0">
              <w:t>and determine if transactions are classified to the proper accounts in a timely manner.</w:t>
            </w:r>
          </w:p>
        </w:tc>
        <w:tc>
          <w:tcPr>
            <w:tcW w:w="1427" w:type="dxa"/>
            <w:tcBorders>
              <w:top w:val="single" w:sz="4" w:space="0" w:color="000000"/>
              <w:left w:val="single" w:sz="4" w:space="0" w:color="000000"/>
              <w:bottom w:val="single" w:sz="4" w:space="0" w:color="000000"/>
              <w:right w:val="single" w:sz="4" w:space="0" w:color="000000"/>
            </w:tcBorders>
          </w:tcPr>
          <w:p w14:paraId="24D61AA2"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A3" w14:textId="77777777" w:rsidR="00245300" w:rsidRPr="00EC20A0" w:rsidRDefault="00245300">
            <w:pPr>
              <w:pStyle w:val="TableParagraph"/>
              <w:rPr>
                <w:sz w:val="20"/>
              </w:rPr>
            </w:pPr>
          </w:p>
        </w:tc>
      </w:tr>
      <w:tr w:rsidR="00245300" w:rsidRPr="00EC20A0" w14:paraId="24D61AA9" w14:textId="77777777">
        <w:trPr>
          <w:trHeight w:val="1513"/>
        </w:trPr>
        <w:tc>
          <w:tcPr>
            <w:tcW w:w="6719" w:type="dxa"/>
            <w:tcBorders>
              <w:top w:val="single" w:sz="4" w:space="0" w:color="000000"/>
              <w:bottom w:val="single" w:sz="4" w:space="0" w:color="000000"/>
              <w:right w:val="single" w:sz="4" w:space="0" w:color="000000"/>
            </w:tcBorders>
          </w:tcPr>
          <w:p w14:paraId="24D61AA5" w14:textId="77777777" w:rsidR="00245300" w:rsidRPr="00EC20A0" w:rsidRDefault="00F17249">
            <w:pPr>
              <w:pStyle w:val="TableParagraph"/>
              <w:tabs>
                <w:tab w:val="left" w:pos="2324"/>
              </w:tabs>
              <w:ind w:left="2324" w:right="574" w:hanging="796"/>
            </w:pPr>
            <w:r w:rsidRPr="00EC20A0">
              <w:rPr>
                <w:spacing w:val="-4"/>
              </w:rPr>
              <w:t>iv.</w:t>
            </w:r>
            <w:r w:rsidRPr="00EC20A0">
              <w:tab/>
              <w:t>Obtain</w:t>
            </w:r>
            <w:r w:rsidRPr="00EC20A0">
              <w:rPr>
                <w:spacing w:val="-3"/>
              </w:rPr>
              <w:t xml:space="preserve"> </w:t>
            </w:r>
            <w:r w:rsidRPr="00EC20A0">
              <w:t>an</w:t>
            </w:r>
            <w:r w:rsidRPr="00EC20A0">
              <w:rPr>
                <w:spacing w:val="-3"/>
              </w:rPr>
              <w:t xml:space="preserve"> </w:t>
            </w:r>
            <w:r w:rsidRPr="00EC20A0">
              <w:t>understanding</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entity’s procedures for recording and tracking adjustments to clearing accounts and assess the effect of clearing account</w:t>
            </w:r>
          </w:p>
          <w:p w14:paraId="24D61AA6" w14:textId="77777777" w:rsidR="00245300" w:rsidRPr="00EC20A0" w:rsidRDefault="00F17249">
            <w:pPr>
              <w:pStyle w:val="TableParagraph"/>
              <w:spacing w:line="254" w:lineRule="exact"/>
              <w:ind w:left="2324" w:right="574"/>
            </w:pPr>
            <w:r w:rsidRPr="00EC20A0">
              <w:t>balances</w:t>
            </w:r>
            <w:r w:rsidRPr="00EC20A0">
              <w:rPr>
                <w:spacing w:val="-6"/>
              </w:rPr>
              <w:t xml:space="preserve"> </w:t>
            </w:r>
            <w:r w:rsidRPr="00EC20A0">
              <w:t>on</w:t>
            </w:r>
            <w:r w:rsidRPr="00EC20A0">
              <w:rPr>
                <w:spacing w:val="-7"/>
              </w:rPr>
              <w:t xml:space="preserve"> </w:t>
            </w:r>
            <w:r w:rsidRPr="00EC20A0">
              <w:t>the</w:t>
            </w:r>
            <w:r w:rsidRPr="00EC20A0">
              <w:rPr>
                <w:spacing w:val="-6"/>
              </w:rPr>
              <w:t xml:space="preserve"> </w:t>
            </w:r>
            <w:r w:rsidRPr="00EC20A0">
              <w:t>entity’s</w:t>
            </w:r>
            <w:r w:rsidRPr="00EC20A0">
              <w:rPr>
                <w:spacing w:val="-7"/>
              </w:rPr>
              <w:t xml:space="preserve"> </w:t>
            </w:r>
            <w:r w:rsidRPr="00EC20A0">
              <w:t>FBWT</w:t>
            </w:r>
            <w:r w:rsidRPr="00EC20A0">
              <w:rPr>
                <w:spacing w:val="-6"/>
              </w:rPr>
              <w:t xml:space="preserve"> </w:t>
            </w:r>
            <w:r w:rsidRPr="00EC20A0">
              <w:t>at</w:t>
            </w:r>
            <w:r w:rsidRPr="00EC20A0">
              <w:rPr>
                <w:spacing w:val="-6"/>
              </w:rPr>
              <w:t xml:space="preserve"> </w:t>
            </w:r>
            <w:r w:rsidRPr="00EC20A0">
              <w:t xml:space="preserve">fiscal </w:t>
            </w:r>
            <w:r w:rsidRPr="00EC20A0">
              <w:rPr>
                <w:spacing w:val="-2"/>
              </w:rPr>
              <w:t>year-end.</w:t>
            </w:r>
          </w:p>
        </w:tc>
        <w:tc>
          <w:tcPr>
            <w:tcW w:w="1427" w:type="dxa"/>
            <w:tcBorders>
              <w:top w:val="single" w:sz="4" w:space="0" w:color="000000"/>
              <w:left w:val="single" w:sz="4" w:space="0" w:color="000000"/>
              <w:bottom w:val="single" w:sz="4" w:space="0" w:color="000000"/>
              <w:right w:val="single" w:sz="4" w:space="0" w:color="000000"/>
            </w:tcBorders>
          </w:tcPr>
          <w:p w14:paraId="24D61AA7"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A8" w14:textId="77777777" w:rsidR="00245300" w:rsidRPr="00EC20A0" w:rsidRDefault="00245300">
            <w:pPr>
              <w:pStyle w:val="TableParagraph"/>
              <w:rPr>
                <w:sz w:val="20"/>
              </w:rPr>
            </w:pPr>
          </w:p>
        </w:tc>
      </w:tr>
      <w:tr w:rsidR="00245300" w:rsidRPr="00EC20A0" w14:paraId="24D61AAE" w14:textId="77777777">
        <w:trPr>
          <w:trHeight w:val="1258"/>
        </w:trPr>
        <w:tc>
          <w:tcPr>
            <w:tcW w:w="6719" w:type="dxa"/>
            <w:tcBorders>
              <w:top w:val="single" w:sz="4" w:space="0" w:color="000000"/>
              <w:bottom w:val="single" w:sz="4" w:space="0" w:color="000000"/>
              <w:right w:val="single" w:sz="4" w:space="0" w:color="000000"/>
            </w:tcBorders>
          </w:tcPr>
          <w:p w14:paraId="24D61AAA" w14:textId="77777777" w:rsidR="00245300" w:rsidRPr="00EC20A0" w:rsidRDefault="00F17249">
            <w:pPr>
              <w:pStyle w:val="TableParagraph"/>
              <w:tabs>
                <w:tab w:val="left" w:pos="2324"/>
              </w:tabs>
              <w:ind w:left="2324" w:right="476" w:hanging="748"/>
            </w:pPr>
            <w:r w:rsidRPr="00EC20A0">
              <w:rPr>
                <w:spacing w:val="-6"/>
              </w:rPr>
              <w:t>v.</w:t>
            </w:r>
            <w:r w:rsidRPr="00EC20A0">
              <w:tab/>
            </w:r>
            <w:r w:rsidRPr="00EC20A0">
              <w:t>Determine</w:t>
            </w:r>
            <w:r w:rsidRPr="00EC20A0">
              <w:rPr>
                <w:spacing w:val="-7"/>
              </w:rPr>
              <w:t xml:space="preserve"> </w:t>
            </w:r>
            <w:r w:rsidRPr="00EC20A0">
              <w:t>whether</w:t>
            </w:r>
            <w:r w:rsidRPr="00EC20A0">
              <w:rPr>
                <w:spacing w:val="-8"/>
              </w:rPr>
              <w:t xml:space="preserve"> </w:t>
            </w:r>
            <w:r w:rsidRPr="00EC20A0">
              <w:t>the</w:t>
            </w:r>
            <w:r w:rsidRPr="00EC20A0">
              <w:rPr>
                <w:spacing w:val="-8"/>
              </w:rPr>
              <w:t xml:space="preserve"> </w:t>
            </w:r>
            <w:r w:rsidRPr="00EC20A0">
              <w:t>entity</w:t>
            </w:r>
            <w:r w:rsidRPr="00EC20A0">
              <w:rPr>
                <w:spacing w:val="-8"/>
              </w:rPr>
              <w:t xml:space="preserve"> </w:t>
            </w:r>
            <w:r w:rsidRPr="00EC20A0">
              <w:t>is</w:t>
            </w:r>
            <w:r w:rsidRPr="00EC20A0">
              <w:rPr>
                <w:spacing w:val="-9"/>
              </w:rPr>
              <w:t xml:space="preserve"> </w:t>
            </w:r>
            <w:r w:rsidRPr="00EC20A0">
              <w:t>properly accounting for the FBWT line item in accordance with U.S. GAAP (see FAM</w:t>
            </w:r>
          </w:p>
          <w:p w14:paraId="24D61AAB" w14:textId="77777777" w:rsidR="00245300" w:rsidRPr="00EC20A0" w:rsidRDefault="00F17249">
            <w:pPr>
              <w:pStyle w:val="TableParagraph"/>
              <w:spacing w:line="252" w:lineRule="exact"/>
              <w:ind w:left="2324" w:right="326"/>
            </w:pPr>
            <w:r w:rsidRPr="00EC20A0">
              <w:t>2010,</w:t>
            </w:r>
            <w:r w:rsidRPr="00EC20A0">
              <w:rPr>
                <w:spacing w:val="-13"/>
              </w:rPr>
              <w:t xml:space="preserve"> </w:t>
            </w:r>
            <w:r w:rsidRPr="00EC20A0">
              <w:rPr>
                <w:i/>
              </w:rPr>
              <w:t>Federal</w:t>
            </w:r>
            <w:r w:rsidRPr="00EC20A0">
              <w:rPr>
                <w:i/>
                <w:spacing w:val="-13"/>
              </w:rPr>
              <w:t xml:space="preserve"> </w:t>
            </w:r>
            <w:r w:rsidRPr="00EC20A0">
              <w:rPr>
                <w:i/>
              </w:rPr>
              <w:t>Financial</w:t>
            </w:r>
            <w:r w:rsidRPr="00EC20A0">
              <w:rPr>
                <w:i/>
                <w:spacing w:val="-14"/>
              </w:rPr>
              <w:t xml:space="preserve"> </w:t>
            </w:r>
            <w:r w:rsidRPr="00EC20A0">
              <w:rPr>
                <w:i/>
              </w:rPr>
              <w:t xml:space="preserve">Reporting </w:t>
            </w:r>
            <w:r w:rsidRPr="00EC20A0">
              <w:rPr>
                <w:i/>
                <w:spacing w:val="-2"/>
              </w:rPr>
              <w:t>Checklist</w:t>
            </w:r>
            <w:r w:rsidRPr="00EC20A0">
              <w:rPr>
                <w:spacing w:val="-2"/>
              </w:rPr>
              <w:t>.)</w:t>
            </w:r>
          </w:p>
        </w:tc>
        <w:tc>
          <w:tcPr>
            <w:tcW w:w="1427" w:type="dxa"/>
            <w:tcBorders>
              <w:top w:val="single" w:sz="4" w:space="0" w:color="000000"/>
              <w:left w:val="single" w:sz="4" w:space="0" w:color="000000"/>
              <w:bottom w:val="single" w:sz="4" w:space="0" w:color="000000"/>
              <w:right w:val="single" w:sz="4" w:space="0" w:color="000000"/>
            </w:tcBorders>
          </w:tcPr>
          <w:p w14:paraId="24D61AAC"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AD" w14:textId="77777777" w:rsidR="00245300" w:rsidRPr="00EC20A0" w:rsidRDefault="00245300">
            <w:pPr>
              <w:pStyle w:val="TableParagraph"/>
              <w:rPr>
                <w:sz w:val="20"/>
              </w:rPr>
            </w:pPr>
          </w:p>
        </w:tc>
      </w:tr>
      <w:tr w:rsidR="00245300" w:rsidRPr="00EC20A0" w14:paraId="24D61AB2" w14:textId="77777777">
        <w:trPr>
          <w:trHeight w:val="1248"/>
        </w:trPr>
        <w:tc>
          <w:tcPr>
            <w:tcW w:w="6719" w:type="dxa"/>
            <w:tcBorders>
              <w:top w:val="single" w:sz="4" w:space="0" w:color="000000"/>
              <w:bottom w:val="single" w:sz="4" w:space="0" w:color="000000"/>
              <w:right w:val="single" w:sz="4" w:space="0" w:color="000000"/>
            </w:tcBorders>
          </w:tcPr>
          <w:p w14:paraId="24D61AAF" w14:textId="77777777" w:rsidR="00245300" w:rsidRPr="00EC20A0" w:rsidRDefault="00F17249">
            <w:pPr>
              <w:pStyle w:val="TableParagraph"/>
              <w:tabs>
                <w:tab w:val="left" w:pos="1244"/>
              </w:tabs>
              <w:spacing w:before="116"/>
              <w:ind w:left="1244" w:right="261" w:hanging="577"/>
            </w:pPr>
            <w:r w:rsidRPr="00EC20A0">
              <w:rPr>
                <w:spacing w:val="-6"/>
              </w:rPr>
              <w:t>h)</w:t>
            </w:r>
            <w:r w:rsidRPr="00EC20A0">
              <w:tab/>
              <w:t>Document results in a cycle memo, walk-through, specific</w:t>
            </w:r>
            <w:r w:rsidRPr="00EC20A0">
              <w:rPr>
                <w:spacing w:val="-7"/>
              </w:rPr>
              <w:t xml:space="preserve"> </w:t>
            </w:r>
            <w:r w:rsidRPr="00EC20A0">
              <w:t>control</w:t>
            </w:r>
            <w:r w:rsidRPr="00EC20A0">
              <w:rPr>
                <w:spacing w:val="-7"/>
              </w:rPr>
              <w:t xml:space="preserve"> </w:t>
            </w:r>
            <w:r w:rsidRPr="00EC20A0">
              <w:t>evaluation</w:t>
            </w:r>
            <w:r w:rsidRPr="00EC20A0">
              <w:rPr>
                <w:spacing w:val="-7"/>
              </w:rPr>
              <w:t xml:space="preserve"> </w:t>
            </w:r>
            <w:r w:rsidRPr="00EC20A0">
              <w:t>(SCE)</w:t>
            </w:r>
            <w:r w:rsidRPr="00EC20A0">
              <w:rPr>
                <w:spacing w:val="-7"/>
              </w:rPr>
              <w:t xml:space="preserve"> </w:t>
            </w:r>
            <w:r w:rsidRPr="00EC20A0">
              <w:t>worksheet,</w:t>
            </w:r>
            <w:r w:rsidRPr="00EC20A0">
              <w:rPr>
                <w:spacing w:val="-7"/>
              </w:rPr>
              <w:t xml:space="preserve"> </w:t>
            </w:r>
            <w:r w:rsidRPr="00EC20A0">
              <w:t>line</w:t>
            </w:r>
            <w:r w:rsidRPr="00EC20A0">
              <w:rPr>
                <w:spacing w:val="-7"/>
              </w:rPr>
              <w:t xml:space="preserve"> </w:t>
            </w:r>
            <w:r w:rsidRPr="00EC20A0">
              <w:t>item risk analysis (LIRA) form, matter for further consideration, or other documents as appropriate.</w:t>
            </w:r>
          </w:p>
        </w:tc>
        <w:tc>
          <w:tcPr>
            <w:tcW w:w="1427" w:type="dxa"/>
            <w:tcBorders>
              <w:top w:val="single" w:sz="4" w:space="0" w:color="000000"/>
              <w:left w:val="single" w:sz="4" w:space="0" w:color="000000"/>
              <w:bottom w:val="single" w:sz="4" w:space="0" w:color="000000"/>
              <w:right w:val="single" w:sz="4" w:space="0" w:color="000000"/>
            </w:tcBorders>
          </w:tcPr>
          <w:p w14:paraId="24D61AB0"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B1" w14:textId="77777777" w:rsidR="00245300" w:rsidRPr="00EC20A0" w:rsidRDefault="00245300">
            <w:pPr>
              <w:pStyle w:val="TableParagraph"/>
              <w:rPr>
                <w:sz w:val="20"/>
              </w:rPr>
            </w:pPr>
          </w:p>
        </w:tc>
      </w:tr>
      <w:tr w:rsidR="00245300" w:rsidRPr="00EC20A0" w14:paraId="24D61AB4" w14:textId="77777777">
        <w:trPr>
          <w:trHeight w:val="492"/>
        </w:trPr>
        <w:tc>
          <w:tcPr>
            <w:tcW w:w="9207" w:type="dxa"/>
            <w:gridSpan w:val="3"/>
            <w:tcBorders>
              <w:top w:val="single" w:sz="4" w:space="0" w:color="000000"/>
              <w:bottom w:val="single" w:sz="4" w:space="0" w:color="000000"/>
            </w:tcBorders>
          </w:tcPr>
          <w:p w14:paraId="24D61AB3" w14:textId="77777777" w:rsidR="00245300" w:rsidRPr="00EC20A0" w:rsidRDefault="00F17249">
            <w:pPr>
              <w:pStyle w:val="TableParagraph"/>
              <w:spacing w:before="120"/>
              <w:ind w:left="92"/>
              <w:rPr>
                <w:b/>
              </w:rPr>
            </w:pPr>
            <w:r w:rsidRPr="00EC20A0">
              <w:rPr>
                <w:b/>
              </w:rPr>
              <w:t>II.</w:t>
            </w:r>
            <w:r w:rsidRPr="00EC20A0">
              <w:rPr>
                <w:b/>
                <w:spacing w:val="-5"/>
              </w:rPr>
              <w:t xml:space="preserve"> </w:t>
            </w:r>
            <w:r w:rsidRPr="00EC20A0">
              <w:rPr>
                <w:b/>
              </w:rPr>
              <w:t>Testing</w:t>
            </w:r>
            <w:r w:rsidRPr="00EC20A0">
              <w:rPr>
                <w:b/>
                <w:spacing w:val="-5"/>
              </w:rPr>
              <w:t xml:space="preserve"> </w:t>
            </w:r>
            <w:r w:rsidRPr="00EC20A0">
              <w:rPr>
                <w:b/>
                <w:spacing w:val="-2"/>
              </w:rPr>
              <w:t>Phase</w:t>
            </w:r>
          </w:p>
        </w:tc>
      </w:tr>
      <w:tr w:rsidR="00245300" w:rsidRPr="00EC20A0" w14:paraId="24D61AB8" w14:textId="77777777">
        <w:trPr>
          <w:trHeight w:val="1757"/>
        </w:trPr>
        <w:tc>
          <w:tcPr>
            <w:tcW w:w="6719" w:type="dxa"/>
            <w:tcBorders>
              <w:top w:val="single" w:sz="4" w:space="0" w:color="000000"/>
              <w:bottom w:val="nil"/>
              <w:right w:val="single" w:sz="4" w:space="0" w:color="000000"/>
            </w:tcBorders>
          </w:tcPr>
          <w:p w14:paraId="24D61AB5" w14:textId="77777777" w:rsidR="00245300" w:rsidRPr="00EC20A0" w:rsidRDefault="00F17249">
            <w:pPr>
              <w:pStyle w:val="TableParagraph"/>
              <w:tabs>
                <w:tab w:val="left" w:pos="708"/>
              </w:tabs>
              <w:spacing w:before="120"/>
              <w:ind w:left="708" w:right="233" w:hanging="616"/>
            </w:pPr>
            <w:r w:rsidRPr="00EC20A0">
              <w:rPr>
                <w:spacing w:val="-6"/>
              </w:rPr>
              <w:t>1)</w:t>
            </w:r>
            <w:r w:rsidRPr="00EC20A0">
              <w:tab/>
              <w:t xml:space="preserve">In the testing phase of the audit, perform control tests to assess the operating effectiveness of relevant </w:t>
            </w:r>
            <w:r w:rsidRPr="00EC20A0">
              <w:t>control activities related to FBWT that have been implemented (including</w:t>
            </w:r>
            <w:r w:rsidRPr="00EC20A0">
              <w:rPr>
                <w:spacing w:val="-4"/>
              </w:rPr>
              <w:t xml:space="preserve"> </w:t>
            </w:r>
            <w:r w:rsidRPr="00EC20A0">
              <w:t>the</w:t>
            </w:r>
            <w:r w:rsidRPr="00EC20A0">
              <w:rPr>
                <w:spacing w:val="-4"/>
              </w:rPr>
              <w:t xml:space="preserve"> </w:t>
            </w:r>
            <w:r w:rsidRPr="00EC20A0">
              <w:t>controls</w:t>
            </w:r>
            <w:r w:rsidRPr="00EC20A0">
              <w:rPr>
                <w:spacing w:val="-4"/>
              </w:rPr>
              <w:t xml:space="preserve"> </w:t>
            </w:r>
            <w:r w:rsidRPr="00EC20A0">
              <w:t>over</w:t>
            </w:r>
            <w:r w:rsidRPr="00EC20A0">
              <w:rPr>
                <w:spacing w:val="-4"/>
              </w:rPr>
              <w:t xml:space="preserve"> </w:t>
            </w:r>
            <w:r w:rsidRPr="00EC20A0">
              <w:t>the</w:t>
            </w:r>
            <w:r w:rsidRPr="00EC20A0">
              <w:rPr>
                <w:spacing w:val="-4"/>
              </w:rPr>
              <w:t xml:space="preserve"> </w:t>
            </w:r>
            <w:r w:rsidRPr="00EC20A0">
              <w:t>areas</w:t>
            </w:r>
            <w:r w:rsidRPr="00EC20A0">
              <w:rPr>
                <w:spacing w:val="-4"/>
              </w:rPr>
              <w:t xml:space="preserve"> </w:t>
            </w:r>
            <w:r w:rsidRPr="00EC20A0">
              <w:t>in</w:t>
            </w:r>
            <w:r w:rsidRPr="00EC20A0">
              <w:rPr>
                <w:spacing w:val="-4"/>
              </w:rPr>
              <w:t xml:space="preserve"> </w:t>
            </w:r>
            <w:r w:rsidRPr="00EC20A0">
              <w:t>steps</w:t>
            </w:r>
            <w:r w:rsidRPr="00EC20A0">
              <w:rPr>
                <w:spacing w:val="-4"/>
              </w:rPr>
              <w:t xml:space="preserve"> </w:t>
            </w:r>
            <w:r w:rsidRPr="00EC20A0">
              <w:t>1</w:t>
            </w:r>
            <w:r w:rsidRPr="00EC20A0">
              <w:rPr>
                <w:spacing w:val="-5"/>
              </w:rPr>
              <w:t xml:space="preserve"> </w:t>
            </w:r>
            <w:r w:rsidRPr="00EC20A0">
              <w:t>a–e</w:t>
            </w:r>
            <w:r w:rsidRPr="00EC20A0">
              <w:rPr>
                <w:spacing w:val="-4"/>
              </w:rPr>
              <w:t xml:space="preserve"> </w:t>
            </w:r>
            <w:r w:rsidRPr="00EC20A0">
              <w:t>below) and perform substantive procedures to gather sufficient, appropriate</w:t>
            </w:r>
            <w:r w:rsidRPr="00EC20A0">
              <w:rPr>
                <w:spacing w:val="-5"/>
              </w:rPr>
              <w:t xml:space="preserve"> </w:t>
            </w:r>
            <w:r w:rsidRPr="00EC20A0">
              <w:t>audit</w:t>
            </w:r>
            <w:r w:rsidRPr="00EC20A0">
              <w:rPr>
                <w:spacing w:val="-4"/>
              </w:rPr>
              <w:t xml:space="preserve"> </w:t>
            </w:r>
            <w:r w:rsidRPr="00EC20A0">
              <w:t>evidence</w:t>
            </w:r>
            <w:r w:rsidRPr="00EC20A0">
              <w:rPr>
                <w:spacing w:val="-4"/>
              </w:rPr>
              <w:t xml:space="preserve"> </w:t>
            </w:r>
            <w:r w:rsidRPr="00EC20A0">
              <w:t>to</w:t>
            </w:r>
            <w:r w:rsidRPr="00EC20A0">
              <w:rPr>
                <w:spacing w:val="-4"/>
              </w:rPr>
              <w:t xml:space="preserve"> </w:t>
            </w:r>
            <w:r w:rsidRPr="00EC20A0">
              <w:t>determine</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entity:</w:t>
            </w:r>
          </w:p>
        </w:tc>
        <w:tc>
          <w:tcPr>
            <w:tcW w:w="1427" w:type="dxa"/>
            <w:vMerge w:val="restart"/>
            <w:tcBorders>
              <w:top w:val="single" w:sz="4" w:space="0" w:color="000000"/>
              <w:left w:val="single" w:sz="4" w:space="0" w:color="000000"/>
              <w:bottom w:val="single" w:sz="4" w:space="0" w:color="000000"/>
              <w:right w:val="single" w:sz="4" w:space="0" w:color="000000"/>
            </w:tcBorders>
          </w:tcPr>
          <w:p w14:paraId="24D61AB6" w14:textId="77777777" w:rsidR="00245300" w:rsidRPr="00EC20A0" w:rsidRDefault="00245300">
            <w:pPr>
              <w:pStyle w:val="TableParagraph"/>
              <w:rPr>
                <w:sz w:val="20"/>
              </w:rPr>
            </w:pPr>
          </w:p>
        </w:tc>
        <w:tc>
          <w:tcPr>
            <w:tcW w:w="1061" w:type="dxa"/>
            <w:vMerge w:val="restart"/>
            <w:tcBorders>
              <w:top w:val="single" w:sz="4" w:space="0" w:color="000000"/>
              <w:left w:val="single" w:sz="4" w:space="0" w:color="000000"/>
              <w:bottom w:val="single" w:sz="4" w:space="0" w:color="000000"/>
            </w:tcBorders>
          </w:tcPr>
          <w:p w14:paraId="24D61AB7" w14:textId="77777777" w:rsidR="00245300" w:rsidRPr="00EC20A0" w:rsidRDefault="00245300">
            <w:pPr>
              <w:pStyle w:val="TableParagraph"/>
              <w:rPr>
                <w:sz w:val="20"/>
              </w:rPr>
            </w:pPr>
          </w:p>
        </w:tc>
      </w:tr>
      <w:tr w:rsidR="00245300" w:rsidRPr="00EC20A0" w14:paraId="24D61ABE" w14:textId="77777777">
        <w:trPr>
          <w:trHeight w:val="1616"/>
        </w:trPr>
        <w:tc>
          <w:tcPr>
            <w:tcW w:w="6719" w:type="dxa"/>
            <w:tcBorders>
              <w:top w:val="nil"/>
              <w:bottom w:val="single" w:sz="4" w:space="0" w:color="000000"/>
              <w:right w:val="single" w:sz="4" w:space="0" w:color="000000"/>
            </w:tcBorders>
          </w:tcPr>
          <w:p w14:paraId="24D61AB9" w14:textId="77777777" w:rsidR="00245300" w:rsidRPr="00EC20A0" w:rsidRDefault="00F17249">
            <w:pPr>
              <w:pStyle w:val="TableParagraph"/>
              <w:numPr>
                <w:ilvl w:val="0"/>
                <w:numId w:val="88"/>
              </w:numPr>
              <w:tabs>
                <w:tab w:val="left" w:pos="1244"/>
              </w:tabs>
              <w:spacing w:before="110"/>
              <w:ind w:right="188"/>
            </w:pPr>
            <w:r w:rsidRPr="00EC20A0">
              <w:t>Properly</w:t>
            </w:r>
            <w:r w:rsidRPr="00EC20A0">
              <w:rPr>
                <w:spacing w:val="-6"/>
              </w:rPr>
              <w:t xml:space="preserve"> </w:t>
            </w:r>
            <w:r w:rsidRPr="00EC20A0">
              <w:t>and</w:t>
            </w:r>
            <w:r w:rsidRPr="00EC20A0">
              <w:rPr>
                <w:spacing w:val="-6"/>
              </w:rPr>
              <w:t xml:space="preserve"> </w:t>
            </w:r>
            <w:r w:rsidRPr="00EC20A0">
              <w:t>timely</w:t>
            </w:r>
            <w:r w:rsidRPr="00EC20A0">
              <w:rPr>
                <w:spacing w:val="-6"/>
              </w:rPr>
              <w:t xml:space="preserve"> </w:t>
            </w:r>
            <w:r w:rsidRPr="00EC20A0">
              <w:t>records</w:t>
            </w:r>
            <w:r w:rsidRPr="00EC20A0">
              <w:rPr>
                <w:spacing w:val="-6"/>
              </w:rPr>
              <w:t xml:space="preserve"> </w:t>
            </w:r>
            <w:r w:rsidRPr="00EC20A0">
              <w:t>and</w:t>
            </w:r>
            <w:r w:rsidRPr="00EC20A0">
              <w:rPr>
                <w:spacing w:val="-6"/>
              </w:rPr>
              <w:t xml:space="preserve"> </w:t>
            </w:r>
            <w:r w:rsidRPr="00EC20A0">
              <w:t>reports</w:t>
            </w:r>
            <w:r w:rsidRPr="00EC20A0">
              <w:rPr>
                <w:spacing w:val="-6"/>
              </w:rPr>
              <w:t xml:space="preserve"> </w:t>
            </w:r>
            <w:r w:rsidRPr="00EC20A0">
              <w:t>collection</w:t>
            </w:r>
            <w:r w:rsidRPr="00EC20A0">
              <w:rPr>
                <w:spacing w:val="-6"/>
              </w:rPr>
              <w:t xml:space="preserve"> </w:t>
            </w:r>
            <w:r w:rsidRPr="00EC20A0">
              <w:t>and disbursement</w:t>
            </w:r>
            <w:r w:rsidRPr="00EC20A0">
              <w:rPr>
                <w:spacing w:val="-5"/>
              </w:rPr>
              <w:t xml:space="preserve"> </w:t>
            </w:r>
            <w:r w:rsidRPr="00EC20A0">
              <w:t>activity</w:t>
            </w:r>
            <w:r w:rsidRPr="00EC20A0">
              <w:rPr>
                <w:spacing w:val="-5"/>
              </w:rPr>
              <w:t xml:space="preserve"> </w:t>
            </w:r>
            <w:r w:rsidRPr="00EC20A0">
              <w:t>in</w:t>
            </w:r>
            <w:r w:rsidRPr="00EC20A0">
              <w:rPr>
                <w:spacing w:val="-6"/>
              </w:rPr>
              <w:t xml:space="preserve"> </w:t>
            </w:r>
            <w:r w:rsidRPr="00EC20A0">
              <w:t>its</w:t>
            </w:r>
            <w:r w:rsidRPr="00EC20A0">
              <w:rPr>
                <w:spacing w:val="-5"/>
              </w:rPr>
              <w:t xml:space="preserve"> </w:t>
            </w:r>
            <w:r w:rsidRPr="00EC20A0">
              <w:t>FBWT</w:t>
            </w:r>
            <w:r w:rsidRPr="00EC20A0">
              <w:rPr>
                <w:spacing w:val="-5"/>
              </w:rPr>
              <w:t xml:space="preserve"> </w:t>
            </w:r>
            <w:r w:rsidRPr="00EC20A0">
              <w:t>accounts,</w:t>
            </w:r>
            <w:r w:rsidRPr="00EC20A0">
              <w:rPr>
                <w:spacing w:val="-5"/>
              </w:rPr>
              <w:t xml:space="preserve"> </w:t>
            </w:r>
            <w:r w:rsidRPr="00EC20A0">
              <w:t>including:</w:t>
            </w:r>
          </w:p>
          <w:p w14:paraId="24D61ABA" w14:textId="77777777" w:rsidR="00245300" w:rsidRPr="00EC20A0" w:rsidRDefault="00F17249">
            <w:pPr>
              <w:pStyle w:val="TableParagraph"/>
              <w:numPr>
                <w:ilvl w:val="1"/>
                <w:numId w:val="88"/>
              </w:numPr>
              <w:tabs>
                <w:tab w:val="left" w:pos="1791"/>
              </w:tabs>
              <w:spacing w:before="241"/>
              <w:ind w:hanging="470"/>
            </w:pPr>
            <w:r w:rsidRPr="00EC20A0">
              <w:t>Whether</w:t>
            </w:r>
            <w:r w:rsidRPr="00EC20A0">
              <w:rPr>
                <w:spacing w:val="-8"/>
              </w:rPr>
              <w:t xml:space="preserve"> </w:t>
            </w:r>
            <w:r w:rsidRPr="00EC20A0">
              <w:t>the</w:t>
            </w:r>
            <w:r w:rsidRPr="00EC20A0">
              <w:rPr>
                <w:spacing w:val="-7"/>
              </w:rPr>
              <w:t xml:space="preserve"> </w:t>
            </w:r>
            <w:r w:rsidRPr="00EC20A0">
              <w:t>entity</w:t>
            </w:r>
            <w:r w:rsidRPr="00EC20A0">
              <w:rPr>
                <w:spacing w:val="-7"/>
              </w:rPr>
              <w:t xml:space="preserve"> </w:t>
            </w:r>
            <w:r w:rsidRPr="00EC20A0">
              <w:t>records</w:t>
            </w:r>
            <w:r w:rsidRPr="00EC20A0">
              <w:rPr>
                <w:spacing w:val="-6"/>
              </w:rPr>
              <w:t xml:space="preserve"> </w:t>
            </w:r>
            <w:r w:rsidRPr="00EC20A0">
              <w:t>FBWT</w:t>
            </w:r>
            <w:r w:rsidRPr="00EC20A0">
              <w:rPr>
                <w:spacing w:val="-8"/>
              </w:rPr>
              <w:t xml:space="preserve"> </w:t>
            </w:r>
            <w:r w:rsidRPr="00EC20A0">
              <w:t>collection</w:t>
            </w:r>
            <w:r w:rsidRPr="00EC20A0">
              <w:rPr>
                <w:spacing w:val="-7"/>
              </w:rPr>
              <w:t xml:space="preserve"> </w:t>
            </w:r>
            <w:r w:rsidRPr="00EC20A0">
              <w:rPr>
                <w:spacing w:val="-5"/>
              </w:rPr>
              <w:t>and</w:t>
            </w:r>
          </w:p>
          <w:p w14:paraId="24D61ABB" w14:textId="77777777" w:rsidR="00245300" w:rsidRPr="00EC20A0" w:rsidRDefault="00F17249">
            <w:pPr>
              <w:pStyle w:val="TableParagraph"/>
              <w:spacing w:line="252" w:lineRule="exact"/>
              <w:ind w:left="1791" w:hanging="1"/>
            </w:pPr>
            <w:r w:rsidRPr="00EC20A0">
              <w:t>disbursement transactions in the appropriate FBWT</w:t>
            </w:r>
            <w:r w:rsidRPr="00EC20A0">
              <w:rPr>
                <w:spacing w:val="-7"/>
              </w:rPr>
              <w:t xml:space="preserve"> </w:t>
            </w:r>
            <w:r w:rsidRPr="00EC20A0">
              <w:t>accounts</w:t>
            </w:r>
            <w:r w:rsidRPr="00EC20A0">
              <w:rPr>
                <w:spacing w:val="-7"/>
              </w:rPr>
              <w:t xml:space="preserve"> </w:t>
            </w:r>
            <w:r w:rsidRPr="00EC20A0">
              <w:t>in</w:t>
            </w:r>
            <w:r w:rsidRPr="00EC20A0">
              <w:rPr>
                <w:spacing w:val="-7"/>
              </w:rPr>
              <w:t xml:space="preserve"> </w:t>
            </w:r>
            <w:r w:rsidRPr="00EC20A0">
              <w:t>the</w:t>
            </w:r>
            <w:r w:rsidRPr="00EC20A0">
              <w:rPr>
                <w:spacing w:val="-7"/>
              </w:rPr>
              <w:t xml:space="preserve"> </w:t>
            </w:r>
            <w:r w:rsidRPr="00EC20A0">
              <w:t>entity’s</w:t>
            </w:r>
            <w:r w:rsidRPr="00EC20A0">
              <w:rPr>
                <w:spacing w:val="-7"/>
              </w:rPr>
              <w:t xml:space="preserve"> </w:t>
            </w:r>
            <w:r w:rsidRPr="00EC20A0">
              <w:t>general</w:t>
            </w:r>
            <w:r w:rsidRPr="00EC20A0">
              <w:rPr>
                <w:spacing w:val="-7"/>
              </w:rPr>
              <w:t xml:space="preserve"> </w:t>
            </w:r>
            <w:r w:rsidRPr="00EC20A0">
              <w:t>ledger.</w:t>
            </w:r>
          </w:p>
        </w:tc>
        <w:tc>
          <w:tcPr>
            <w:tcW w:w="1427" w:type="dxa"/>
            <w:vMerge/>
            <w:tcBorders>
              <w:top w:val="nil"/>
              <w:left w:val="single" w:sz="4" w:space="0" w:color="000000"/>
              <w:bottom w:val="single" w:sz="4" w:space="0" w:color="000000"/>
              <w:right w:val="single" w:sz="4" w:space="0" w:color="000000"/>
            </w:tcBorders>
          </w:tcPr>
          <w:p w14:paraId="24D61ABC" w14:textId="77777777" w:rsidR="00245300" w:rsidRPr="00EC20A0" w:rsidRDefault="00245300">
            <w:pPr>
              <w:rPr>
                <w:sz w:val="2"/>
                <w:szCs w:val="2"/>
              </w:rPr>
            </w:pPr>
          </w:p>
        </w:tc>
        <w:tc>
          <w:tcPr>
            <w:tcW w:w="1061" w:type="dxa"/>
            <w:vMerge/>
            <w:tcBorders>
              <w:top w:val="nil"/>
              <w:left w:val="single" w:sz="4" w:space="0" w:color="000000"/>
              <w:bottom w:val="single" w:sz="4" w:space="0" w:color="000000"/>
            </w:tcBorders>
          </w:tcPr>
          <w:p w14:paraId="24D61ABD" w14:textId="77777777" w:rsidR="00245300" w:rsidRPr="00EC20A0" w:rsidRDefault="00245300">
            <w:pPr>
              <w:rPr>
                <w:sz w:val="2"/>
                <w:szCs w:val="2"/>
              </w:rPr>
            </w:pPr>
          </w:p>
        </w:tc>
      </w:tr>
    </w:tbl>
    <w:p w14:paraId="24D61ABF" w14:textId="77777777" w:rsidR="00245300" w:rsidRPr="00EC20A0" w:rsidRDefault="00245300">
      <w:pPr>
        <w:rPr>
          <w:sz w:val="2"/>
          <w:szCs w:val="2"/>
        </w:rPr>
        <w:sectPr w:rsidR="00245300" w:rsidRPr="00EC20A0">
          <w:pgSz w:w="12240" w:h="15840"/>
          <w:pgMar w:top="1340" w:right="1100" w:bottom="940" w:left="1240" w:header="721" w:footer="757" w:gutter="0"/>
          <w:cols w:space="720"/>
        </w:sectPr>
      </w:pPr>
    </w:p>
    <w:p w14:paraId="24D61AC0" w14:textId="77777777" w:rsidR="00245300" w:rsidRPr="00EC20A0" w:rsidRDefault="00245300">
      <w:pPr>
        <w:pStyle w:val="BodyText"/>
        <w:spacing w:before="9"/>
        <w:rPr>
          <w:b/>
          <w:sz w:val="11"/>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245300" w:rsidRPr="00EC20A0" w14:paraId="24D61AC4" w14:textId="77777777">
        <w:trPr>
          <w:trHeight w:val="505"/>
        </w:trPr>
        <w:tc>
          <w:tcPr>
            <w:tcW w:w="6719" w:type="dxa"/>
            <w:tcBorders>
              <w:right w:val="single" w:sz="4" w:space="0" w:color="000000"/>
            </w:tcBorders>
          </w:tcPr>
          <w:p w14:paraId="24D61AC1" w14:textId="77777777" w:rsidR="00245300" w:rsidRPr="00EC20A0" w:rsidRDefault="00F17249">
            <w:pPr>
              <w:pStyle w:val="TableParagraph"/>
              <w:ind w:left="92"/>
              <w:rPr>
                <w:b/>
              </w:rPr>
            </w:pPr>
            <w:r w:rsidRPr="00EC20A0">
              <w:rPr>
                <w:b/>
                <w:spacing w:val="-2"/>
              </w:rPr>
              <w:t>Procedures</w:t>
            </w:r>
          </w:p>
        </w:tc>
        <w:tc>
          <w:tcPr>
            <w:tcW w:w="1427" w:type="dxa"/>
            <w:tcBorders>
              <w:left w:val="single" w:sz="4" w:space="0" w:color="000000"/>
              <w:right w:val="single" w:sz="4" w:space="0" w:color="000000"/>
            </w:tcBorders>
          </w:tcPr>
          <w:p w14:paraId="24D61AC2" w14:textId="77777777" w:rsidR="00245300" w:rsidRPr="00EC20A0" w:rsidRDefault="00F17249">
            <w:pPr>
              <w:pStyle w:val="TableParagraph"/>
              <w:ind w:left="108"/>
              <w:rPr>
                <w:b/>
              </w:rPr>
            </w:pPr>
            <w:r w:rsidRPr="00EC20A0">
              <w:rPr>
                <w:b/>
                <w:spacing w:val="-2"/>
              </w:rPr>
              <w:t>Initials/date</w:t>
            </w:r>
          </w:p>
        </w:tc>
        <w:tc>
          <w:tcPr>
            <w:tcW w:w="1061" w:type="dxa"/>
            <w:tcBorders>
              <w:left w:val="single" w:sz="4" w:space="0" w:color="000000"/>
            </w:tcBorders>
          </w:tcPr>
          <w:p w14:paraId="24D61AC3" w14:textId="77777777" w:rsidR="00245300" w:rsidRPr="00EC20A0" w:rsidRDefault="00F17249">
            <w:pPr>
              <w:pStyle w:val="TableParagraph"/>
              <w:spacing w:line="250" w:lineRule="atLeast"/>
              <w:ind w:left="109" w:right="443"/>
              <w:rPr>
                <w:b/>
              </w:rPr>
            </w:pPr>
            <w:r w:rsidRPr="00EC20A0">
              <w:rPr>
                <w:b/>
                <w:spacing w:val="-4"/>
              </w:rPr>
              <w:t>Doc. ref.</w:t>
            </w:r>
          </w:p>
        </w:tc>
      </w:tr>
      <w:tr w:rsidR="00245300" w:rsidRPr="00EC20A0" w14:paraId="24D61ACA" w14:textId="77777777">
        <w:trPr>
          <w:trHeight w:val="4110"/>
        </w:trPr>
        <w:tc>
          <w:tcPr>
            <w:tcW w:w="6719" w:type="dxa"/>
            <w:tcBorders>
              <w:bottom w:val="single" w:sz="4" w:space="0" w:color="000000"/>
              <w:right w:val="single" w:sz="4" w:space="0" w:color="000000"/>
            </w:tcBorders>
          </w:tcPr>
          <w:p w14:paraId="24D61AC5" w14:textId="77777777" w:rsidR="00245300" w:rsidRPr="00EC20A0" w:rsidRDefault="00F17249">
            <w:pPr>
              <w:pStyle w:val="TableParagraph"/>
              <w:spacing w:line="209" w:lineRule="exact"/>
              <w:ind w:left="1791"/>
            </w:pPr>
            <w:r w:rsidRPr="00EC20A0">
              <w:t>(This</w:t>
            </w:r>
            <w:r w:rsidRPr="00EC20A0">
              <w:rPr>
                <w:spacing w:val="-6"/>
              </w:rPr>
              <w:t xml:space="preserve"> </w:t>
            </w:r>
            <w:r w:rsidRPr="00EC20A0">
              <w:t>step</w:t>
            </w:r>
            <w:r w:rsidRPr="00EC20A0">
              <w:rPr>
                <w:spacing w:val="-6"/>
              </w:rPr>
              <w:t xml:space="preserve"> </w:t>
            </w:r>
            <w:r w:rsidRPr="00EC20A0">
              <w:t>may</w:t>
            </w:r>
            <w:r w:rsidRPr="00EC20A0">
              <w:rPr>
                <w:spacing w:val="-5"/>
              </w:rPr>
              <w:t xml:space="preserve"> </w:t>
            </w:r>
            <w:r w:rsidRPr="00EC20A0">
              <w:t>be</w:t>
            </w:r>
            <w:r w:rsidRPr="00EC20A0">
              <w:rPr>
                <w:spacing w:val="-6"/>
              </w:rPr>
              <w:t xml:space="preserve"> </w:t>
            </w:r>
            <w:r w:rsidRPr="00EC20A0">
              <w:t>done</w:t>
            </w:r>
            <w:r w:rsidRPr="00EC20A0">
              <w:rPr>
                <w:spacing w:val="-5"/>
              </w:rPr>
              <w:t xml:space="preserve"> </w:t>
            </w:r>
            <w:r w:rsidRPr="00EC20A0">
              <w:t>in</w:t>
            </w:r>
            <w:r w:rsidRPr="00EC20A0">
              <w:rPr>
                <w:spacing w:val="-6"/>
              </w:rPr>
              <w:t xml:space="preserve"> </w:t>
            </w:r>
            <w:r w:rsidRPr="00EC20A0">
              <w:t>conjunction</w:t>
            </w:r>
            <w:r w:rsidRPr="00EC20A0">
              <w:rPr>
                <w:spacing w:val="-5"/>
              </w:rPr>
              <w:t xml:space="preserve"> </w:t>
            </w:r>
            <w:r w:rsidRPr="00EC20A0">
              <w:t>with</w:t>
            </w:r>
            <w:r w:rsidRPr="00EC20A0">
              <w:rPr>
                <w:spacing w:val="-6"/>
              </w:rPr>
              <w:t xml:space="preserve"> </w:t>
            </w:r>
            <w:r w:rsidRPr="00EC20A0">
              <w:rPr>
                <w:spacing w:val="-4"/>
              </w:rPr>
              <w:t>work</w:t>
            </w:r>
          </w:p>
          <w:p w14:paraId="24D61AC6" w14:textId="77777777" w:rsidR="00245300" w:rsidRPr="00EC20A0" w:rsidRDefault="00F17249">
            <w:pPr>
              <w:pStyle w:val="TableParagraph"/>
              <w:ind w:left="1791" w:right="123"/>
            </w:pPr>
            <w:r w:rsidRPr="00EC20A0">
              <w:t>performed on other cycles. Review entity FBWT general ledger account records for all entity</w:t>
            </w:r>
            <w:r w:rsidRPr="00EC20A0">
              <w:rPr>
                <w:spacing w:val="40"/>
              </w:rPr>
              <w:t xml:space="preserve"> </w:t>
            </w:r>
            <w:r w:rsidRPr="00EC20A0">
              <w:t>TASs</w:t>
            </w:r>
            <w:r w:rsidRPr="00EC20A0">
              <w:rPr>
                <w:spacing w:val="-4"/>
              </w:rPr>
              <w:t xml:space="preserve"> </w:t>
            </w:r>
            <w:r w:rsidRPr="00EC20A0">
              <w:t>and</w:t>
            </w:r>
            <w:r w:rsidRPr="00EC20A0">
              <w:rPr>
                <w:spacing w:val="-4"/>
              </w:rPr>
              <w:t xml:space="preserve"> </w:t>
            </w:r>
            <w:r w:rsidRPr="00EC20A0">
              <w:t>Agency</w:t>
            </w:r>
            <w:r w:rsidRPr="00EC20A0">
              <w:rPr>
                <w:spacing w:val="-4"/>
              </w:rPr>
              <w:t xml:space="preserve"> </w:t>
            </w:r>
            <w:r w:rsidRPr="00EC20A0">
              <w:t>Location</w:t>
            </w:r>
            <w:r w:rsidRPr="00EC20A0">
              <w:rPr>
                <w:spacing w:val="-4"/>
              </w:rPr>
              <w:t xml:space="preserve"> </w:t>
            </w:r>
            <w:r w:rsidRPr="00EC20A0">
              <w:t>Codes</w:t>
            </w:r>
            <w:r w:rsidRPr="00EC20A0">
              <w:rPr>
                <w:spacing w:val="-4"/>
              </w:rPr>
              <w:t xml:space="preserve"> </w:t>
            </w:r>
            <w:r w:rsidRPr="00EC20A0">
              <w:t>to</w:t>
            </w:r>
            <w:r w:rsidRPr="00EC20A0">
              <w:rPr>
                <w:spacing w:val="-4"/>
              </w:rPr>
              <w:t xml:space="preserve"> </w:t>
            </w:r>
            <w:r w:rsidRPr="00EC20A0">
              <w:t>identify</w:t>
            </w:r>
            <w:r w:rsidRPr="00EC20A0">
              <w:rPr>
                <w:spacing w:val="-4"/>
              </w:rPr>
              <w:t xml:space="preserve"> </w:t>
            </w:r>
            <w:r w:rsidRPr="00EC20A0">
              <w:t xml:space="preserve">any recorded transactions that </w:t>
            </w:r>
            <w:r w:rsidRPr="00EC20A0">
              <w:t>were not included in testing in conjunction with other cycles and, if transactions were not included, determine whether</w:t>
            </w:r>
            <w:r w:rsidRPr="00EC20A0">
              <w:rPr>
                <w:spacing w:val="-8"/>
              </w:rPr>
              <w:t xml:space="preserve"> </w:t>
            </w:r>
            <w:r w:rsidRPr="00EC20A0">
              <w:t>additional</w:t>
            </w:r>
            <w:r w:rsidRPr="00EC20A0">
              <w:rPr>
                <w:spacing w:val="-8"/>
              </w:rPr>
              <w:t xml:space="preserve"> </w:t>
            </w:r>
            <w:r w:rsidRPr="00EC20A0">
              <w:t>transaction</w:t>
            </w:r>
            <w:r w:rsidRPr="00EC20A0">
              <w:rPr>
                <w:spacing w:val="-8"/>
              </w:rPr>
              <w:t xml:space="preserve"> </w:t>
            </w:r>
            <w:r w:rsidRPr="00EC20A0">
              <w:t>testing</w:t>
            </w:r>
            <w:r w:rsidRPr="00EC20A0">
              <w:rPr>
                <w:spacing w:val="-8"/>
              </w:rPr>
              <w:t xml:space="preserve"> </w:t>
            </w:r>
            <w:r w:rsidRPr="00EC20A0">
              <w:t>is</w:t>
            </w:r>
            <w:r w:rsidRPr="00EC20A0">
              <w:rPr>
                <w:spacing w:val="-8"/>
              </w:rPr>
              <w:t xml:space="preserve"> </w:t>
            </w:r>
            <w:r w:rsidRPr="00EC20A0">
              <w:t>needed.)</w:t>
            </w:r>
          </w:p>
          <w:p w14:paraId="24D61AC7" w14:textId="77777777" w:rsidR="00245300" w:rsidRPr="00EC20A0" w:rsidRDefault="00F17249">
            <w:pPr>
              <w:pStyle w:val="TableParagraph"/>
              <w:tabs>
                <w:tab w:val="left" w:pos="1791"/>
              </w:tabs>
              <w:spacing w:before="239"/>
              <w:ind w:left="1791" w:right="176" w:hanging="430"/>
            </w:pPr>
            <w:r w:rsidRPr="00EC20A0">
              <w:rPr>
                <w:spacing w:val="-4"/>
              </w:rPr>
              <w:t>ii.</w:t>
            </w:r>
            <w:r w:rsidRPr="00EC20A0">
              <w:tab/>
              <w:t xml:space="preserve">Whether the entity recorded </w:t>
            </w:r>
            <w:proofErr w:type="spellStart"/>
            <w:r w:rsidRPr="00EC20A0">
              <w:t>nonexpenditure</w:t>
            </w:r>
            <w:proofErr w:type="spellEnd"/>
            <w:r w:rsidRPr="00EC20A0">
              <w:t xml:space="preserve"> transactions that affect FBWT (e.g., appropriation warrants, transfers, rescissions, and credit reform) in the appropriate FBWT accounts</w:t>
            </w:r>
            <w:r w:rsidRPr="00EC20A0">
              <w:rPr>
                <w:spacing w:val="-10"/>
              </w:rPr>
              <w:t xml:space="preserve"> </w:t>
            </w:r>
            <w:r w:rsidRPr="00EC20A0">
              <w:t>and</w:t>
            </w:r>
            <w:r w:rsidRPr="00EC20A0">
              <w:rPr>
                <w:spacing w:val="-10"/>
              </w:rPr>
              <w:t xml:space="preserve"> </w:t>
            </w:r>
            <w:r w:rsidRPr="00EC20A0">
              <w:t>investigated</w:t>
            </w:r>
            <w:r w:rsidRPr="00EC20A0">
              <w:rPr>
                <w:spacing w:val="-10"/>
              </w:rPr>
              <w:t xml:space="preserve"> </w:t>
            </w:r>
            <w:r w:rsidRPr="00EC20A0">
              <w:t>significant</w:t>
            </w:r>
            <w:r w:rsidRPr="00EC20A0">
              <w:rPr>
                <w:spacing w:val="-10"/>
              </w:rPr>
              <w:t xml:space="preserve"> </w:t>
            </w:r>
            <w:r w:rsidRPr="00EC20A0">
              <w:t>differences found. (This step may be done in conjunction with work performed on other cycles.)</w:t>
            </w:r>
          </w:p>
        </w:tc>
        <w:tc>
          <w:tcPr>
            <w:tcW w:w="1427" w:type="dxa"/>
            <w:tcBorders>
              <w:left w:val="single" w:sz="4" w:space="0" w:color="000000"/>
              <w:bottom w:val="single" w:sz="4" w:space="0" w:color="000000"/>
              <w:right w:val="single" w:sz="4" w:space="0" w:color="000000"/>
            </w:tcBorders>
          </w:tcPr>
          <w:p w14:paraId="24D61AC8" w14:textId="77777777" w:rsidR="00245300" w:rsidRPr="00EC20A0" w:rsidRDefault="00245300">
            <w:pPr>
              <w:pStyle w:val="TableParagraph"/>
              <w:rPr>
                <w:sz w:val="20"/>
              </w:rPr>
            </w:pPr>
          </w:p>
        </w:tc>
        <w:tc>
          <w:tcPr>
            <w:tcW w:w="1061" w:type="dxa"/>
            <w:tcBorders>
              <w:left w:val="single" w:sz="4" w:space="0" w:color="000000"/>
              <w:bottom w:val="single" w:sz="4" w:space="0" w:color="000000"/>
            </w:tcBorders>
          </w:tcPr>
          <w:p w14:paraId="24D61AC9" w14:textId="77777777" w:rsidR="00245300" w:rsidRPr="00EC20A0" w:rsidRDefault="00245300">
            <w:pPr>
              <w:pStyle w:val="TableParagraph"/>
              <w:rPr>
                <w:sz w:val="20"/>
              </w:rPr>
            </w:pPr>
          </w:p>
        </w:tc>
      </w:tr>
      <w:tr w:rsidR="00245300" w:rsidRPr="00EC20A0" w14:paraId="24D61ACE" w14:textId="77777777">
        <w:trPr>
          <w:trHeight w:val="999"/>
        </w:trPr>
        <w:tc>
          <w:tcPr>
            <w:tcW w:w="6719" w:type="dxa"/>
            <w:tcBorders>
              <w:top w:val="single" w:sz="4" w:space="0" w:color="000000"/>
              <w:bottom w:val="single" w:sz="4" w:space="0" w:color="000000"/>
              <w:right w:val="single" w:sz="4" w:space="0" w:color="000000"/>
            </w:tcBorders>
          </w:tcPr>
          <w:p w14:paraId="24D61ACB" w14:textId="77777777" w:rsidR="00245300" w:rsidRPr="00EC20A0" w:rsidRDefault="00F17249">
            <w:pPr>
              <w:pStyle w:val="TableParagraph"/>
              <w:tabs>
                <w:tab w:val="left" w:pos="1244"/>
              </w:tabs>
              <w:spacing w:before="120"/>
              <w:ind w:left="1244" w:right="237" w:hanging="577"/>
            </w:pPr>
            <w:r w:rsidRPr="00EC20A0">
              <w:rPr>
                <w:spacing w:val="-6"/>
              </w:rPr>
              <w:t>b)</w:t>
            </w:r>
            <w:r w:rsidRPr="00EC20A0">
              <w:tab/>
              <w:t>Timely investigates FBWT balances recorded to clearing TASs and classifies the balances to the proper</w:t>
            </w:r>
            <w:r w:rsidRPr="00EC20A0">
              <w:rPr>
                <w:spacing w:val="-5"/>
              </w:rPr>
              <w:t xml:space="preserve"> </w:t>
            </w:r>
            <w:r w:rsidRPr="00EC20A0">
              <w:t>TASs</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entity’s</w:t>
            </w:r>
            <w:r w:rsidRPr="00EC20A0">
              <w:rPr>
                <w:spacing w:val="-5"/>
              </w:rPr>
              <w:t xml:space="preserve"> </w:t>
            </w:r>
            <w:r w:rsidRPr="00EC20A0">
              <w:t>general</w:t>
            </w:r>
            <w:r w:rsidRPr="00EC20A0">
              <w:rPr>
                <w:spacing w:val="-6"/>
              </w:rPr>
              <w:t xml:space="preserve"> </w:t>
            </w:r>
            <w:r w:rsidRPr="00EC20A0">
              <w:t>ledger</w:t>
            </w:r>
            <w:r w:rsidRPr="00EC20A0">
              <w:rPr>
                <w:spacing w:val="-5"/>
              </w:rPr>
              <w:t xml:space="preserve"> </w:t>
            </w:r>
            <w:r w:rsidRPr="00EC20A0">
              <w:t>and</w:t>
            </w:r>
            <w:r w:rsidRPr="00EC20A0">
              <w:rPr>
                <w:spacing w:val="-5"/>
              </w:rPr>
              <w:t xml:space="preserve"> </w:t>
            </w:r>
            <w:r w:rsidRPr="00EC20A0">
              <w:t>CARS.</w:t>
            </w:r>
          </w:p>
        </w:tc>
        <w:tc>
          <w:tcPr>
            <w:tcW w:w="1427" w:type="dxa"/>
            <w:tcBorders>
              <w:top w:val="single" w:sz="4" w:space="0" w:color="000000"/>
              <w:left w:val="single" w:sz="4" w:space="0" w:color="000000"/>
              <w:bottom w:val="single" w:sz="4" w:space="0" w:color="000000"/>
              <w:right w:val="single" w:sz="4" w:space="0" w:color="000000"/>
            </w:tcBorders>
          </w:tcPr>
          <w:p w14:paraId="24D61ACC"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CD" w14:textId="77777777" w:rsidR="00245300" w:rsidRPr="00EC20A0" w:rsidRDefault="00245300">
            <w:pPr>
              <w:pStyle w:val="TableParagraph"/>
              <w:rPr>
                <w:sz w:val="20"/>
              </w:rPr>
            </w:pPr>
          </w:p>
        </w:tc>
      </w:tr>
      <w:tr w:rsidR="00245300" w:rsidRPr="00EC20A0" w14:paraId="24D61AD7" w14:textId="77777777">
        <w:trPr>
          <w:trHeight w:val="5300"/>
        </w:trPr>
        <w:tc>
          <w:tcPr>
            <w:tcW w:w="6719" w:type="dxa"/>
            <w:tcBorders>
              <w:top w:val="single" w:sz="4" w:space="0" w:color="000000"/>
              <w:bottom w:val="single" w:sz="4" w:space="0" w:color="000000"/>
              <w:right w:val="single" w:sz="4" w:space="0" w:color="000000"/>
            </w:tcBorders>
          </w:tcPr>
          <w:p w14:paraId="24D61ACF" w14:textId="77777777" w:rsidR="00245300" w:rsidRPr="00EC20A0" w:rsidRDefault="00F17249">
            <w:pPr>
              <w:pStyle w:val="TableParagraph"/>
              <w:numPr>
                <w:ilvl w:val="0"/>
                <w:numId w:val="87"/>
              </w:numPr>
              <w:tabs>
                <w:tab w:val="left" w:pos="1244"/>
              </w:tabs>
              <w:spacing w:before="120"/>
              <w:ind w:right="640"/>
            </w:pPr>
            <w:r w:rsidRPr="00EC20A0">
              <w:t>Periodically</w:t>
            </w:r>
            <w:r w:rsidRPr="00EC20A0">
              <w:rPr>
                <w:spacing w:val="-8"/>
              </w:rPr>
              <w:t xml:space="preserve"> </w:t>
            </w:r>
            <w:r w:rsidRPr="00EC20A0">
              <w:t>and</w:t>
            </w:r>
            <w:r w:rsidRPr="00EC20A0">
              <w:rPr>
                <w:spacing w:val="-7"/>
              </w:rPr>
              <w:t xml:space="preserve"> </w:t>
            </w:r>
            <w:r w:rsidRPr="00EC20A0">
              <w:t>at</w:t>
            </w:r>
            <w:r w:rsidRPr="00EC20A0">
              <w:rPr>
                <w:spacing w:val="-7"/>
              </w:rPr>
              <w:t xml:space="preserve"> </w:t>
            </w:r>
            <w:r w:rsidRPr="00EC20A0">
              <w:t>year-end,</w:t>
            </w:r>
            <w:r w:rsidRPr="00EC20A0">
              <w:rPr>
                <w:spacing w:val="-7"/>
              </w:rPr>
              <w:t xml:space="preserve"> </w:t>
            </w:r>
            <w:r w:rsidRPr="00EC20A0">
              <w:t>reconciles</w:t>
            </w:r>
            <w:r w:rsidRPr="00EC20A0">
              <w:rPr>
                <w:spacing w:val="-7"/>
              </w:rPr>
              <w:t xml:space="preserve"> </w:t>
            </w:r>
            <w:r w:rsidRPr="00EC20A0">
              <w:t>its</w:t>
            </w:r>
            <w:r w:rsidRPr="00EC20A0">
              <w:rPr>
                <w:spacing w:val="-7"/>
              </w:rPr>
              <w:t xml:space="preserve"> </w:t>
            </w:r>
            <w:r w:rsidRPr="00EC20A0">
              <w:t xml:space="preserve">FBWT account balance and activity, </w:t>
            </w:r>
            <w:r w:rsidRPr="00EC20A0">
              <w:t>including:</w:t>
            </w:r>
          </w:p>
          <w:p w14:paraId="24D61AD0" w14:textId="77777777" w:rsidR="00245300" w:rsidRPr="00EC20A0" w:rsidRDefault="00F17249">
            <w:pPr>
              <w:pStyle w:val="TableParagraph"/>
              <w:numPr>
                <w:ilvl w:val="1"/>
                <w:numId w:val="87"/>
              </w:numPr>
              <w:tabs>
                <w:tab w:val="left" w:pos="1606"/>
                <w:tab w:val="left" w:pos="1608"/>
              </w:tabs>
              <w:spacing w:before="120"/>
              <w:ind w:right="116"/>
              <w:jc w:val="left"/>
            </w:pPr>
            <w:r w:rsidRPr="00EC20A0">
              <w:t>Reconciling FBWT collection and disbursement activity with CARS, collection systems, Treasury Disbursing</w:t>
            </w:r>
            <w:r w:rsidRPr="00EC20A0">
              <w:rPr>
                <w:spacing w:val="-7"/>
              </w:rPr>
              <w:t xml:space="preserve"> </w:t>
            </w:r>
            <w:r w:rsidRPr="00EC20A0">
              <w:t>Offices,</w:t>
            </w:r>
            <w:r w:rsidRPr="00EC20A0">
              <w:rPr>
                <w:spacing w:val="-6"/>
              </w:rPr>
              <w:t xml:space="preserve"> </w:t>
            </w:r>
            <w:r w:rsidRPr="00EC20A0">
              <w:t>the</w:t>
            </w:r>
            <w:r w:rsidRPr="00EC20A0">
              <w:rPr>
                <w:spacing w:val="-7"/>
              </w:rPr>
              <w:t xml:space="preserve"> </w:t>
            </w:r>
            <w:r w:rsidRPr="00EC20A0">
              <w:t>entity</w:t>
            </w:r>
            <w:r w:rsidRPr="00EC20A0">
              <w:rPr>
                <w:spacing w:val="-6"/>
              </w:rPr>
              <w:t xml:space="preserve"> </w:t>
            </w:r>
            <w:r w:rsidRPr="00EC20A0">
              <w:t>disbursing</w:t>
            </w:r>
            <w:r w:rsidRPr="00EC20A0">
              <w:rPr>
                <w:spacing w:val="-6"/>
              </w:rPr>
              <w:t xml:space="preserve"> </w:t>
            </w:r>
            <w:r w:rsidRPr="00EC20A0">
              <w:t>center,</w:t>
            </w:r>
            <w:r w:rsidRPr="00EC20A0">
              <w:rPr>
                <w:spacing w:val="-7"/>
              </w:rPr>
              <w:t xml:space="preserve"> </w:t>
            </w:r>
            <w:r w:rsidRPr="00EC20A0">
              <w:t>the Federal Reserve Bank system, or other reporting sources, depending on the entity’s processes. (This step may be done in conjunction with work performed on other cycles.)</w:t>
            </w:r>
          </w:p>
          <w:p w14:paraId="24D61AD1" w14:textId="77777777" w:rsidR="00245300" w:rsidRPr="00EC20A0" w:rsidRDefault="00F17249">
            <w:pPr>
              <w:pStyle w:val="TableParagraph"/>
              <w:numPr>
                <w:ilvl w:val="1"/>
                <w:numId w:val="87"/>
              </w:numPr>
              <w:tabs>
                <w:tab w:val="left" w:pos="1606"/>
              </w:tabs>
              <w:spacing w:before="252"/>
              <w:ind w:left="1606" w:hanging="337"/>
              <w:jc w:val="left"/>
            </w:pPr>
            <w:r w:rsidRPr="00EC20A0">
              <w:t>Reconciling</w:t>
            </w:r>
            <w:r w:rsidRPr="00EC20A0">
              <w:rPr>
                <w:spacing w:val="-9"/>
              </w:rPr>
              <w:t xml:space="preserve"> </w:t>
            </w:r>
            <w:r w:rsidRPr="00EC20A0">
              <w:t>FBWT</w:t>
            </w:r>
            <w:r w:rsidRPr="00EC20A0">
              <w:rPr>
                <w:spacing w:val="-9"/>
              </w:rPr>
              <w:t xml:space="preserve"> </w:t>
            </w:r>
            <w:r w:rsidRPr="00EC20A0">
              <w:t>balance</w:t>
            </w:r>
            <w:r w:rsidRPr="00EC20A0">
              <w:rPr>
                <w:spacing w:val="-8"/>
              </w:rPr>
              <w:t xml:space="preserve"> </w:t>
            </w:r>
            <w:r w:rsidRPr="00EC20A0">
              <w:t>with</w:t>
            </w:r>
            <w:r w:rsidRPr="00EC20A0">
              <w:rPr>
                <w:spacing w:val="-8"/>
              </w:rPr>
              <w:t xml:space="preserve"> </w:t>
            </w:r>
            <w:r w:rsidRPr="00EC20A0">
              <w:rPr>
                <w:spacing w:val="-4"/>
              </w:rPr>
              <w:t>CARS.</w:t>
            </w:r>
          </w:p>
          <w:p w14:paraId="24D61AD2" w14:textId="77777777" w:rsidR="00245300" w:rsidRPr="00EC20A0" w:rsidRDefault="00245300">
            <w:pPr>
              <w:pStyle w:val="TableParagraph"/>
              <w:spacing w:before="1"/>
              <w:rPr>
                <w:b/>
              </w:rPr>
            </w:pPr>
          </w:p>
          <w:p w14:paraId="24D61AD3" w14:textId="77777777" w:rsidR="00245300" w:rsidRPr="00EC20A0" w:rsidRDefault="00F17249">
            <w:pPr>
              <w:pStyle w:val="TableParagraph"/>
              <w:numPr>
                <w:ilvl w:val="1"/>
                <w:numId w:val="87"/>
              </w:numPr>
              <w:tabs>
                <w:tab w:val="left" w:pos="1605"/>
                <w:tab w:val="left" w:pos="1608"/>
              </w:tabs>
              <w:ind w:right="277" w:hanging="389"/>
              <w:jc w:val="left"/>
            </w:pPr>
            <w:r w:rsidRPr="00EC20A0">
              <w:t>Researching</w:t>
            </w:r>
            <w:r w:rsidRPr="00EC20A0">
              <w:rPr>
                <w:spacing w:val="-8"/>
              </w:rPr>
              <w:t xml:space="preserve"> </w:t>
            </w:r>
            <w:r w:rsidRPr="00EC20A0">
              <w:t>and</w:t>
            </w:r>
            <w:r w:rsidRPr="00EC20A0">
              <w:rPr>
                <w:spacing w:val="-8"/>
              </w:rPr>
              <w:t xml:space="preserve"> </w:t>
            </w:r>
            <w:r w:rsidRPr="00EC20A0">
              <w:t>resolving</w:t>
            </w:r>
            <w:r w:rsidRPr="00EC20A0">
              <w:rPr>
                <w:spacing w:val="-8"/>
              </w:rPr>
              <w:t xml:space="preserve"> </w:t>
            </w:r>
            <w:r w:rsidRPr="00EC20A0">
              <w:t>the</w:t>
            </w:r>
            <w:r w:rsidRPr="00EC20A0">
              <w:rPr>
                <w:spacing w:val="-8"/>
              </w:rPr>
              <w:t xml:space="preserve"> </w:t>
            </w:r>
            <w:r w:rsidRPr="00EC20A0">
              <w:t>underlying</w:t>
            </w:r>
            <w:r w:rsidRPr="00EC20A0">
              <w:rPr>
                <w:spacing w:val="-8"/>
              </w:rPr>
              <w:t xml:space="preserve"> </w:t>
            </w:r>
            <w:r w:rsidRPr="00EC20A0">
              <w:t xml:space="preserve">causes of differences between Treasury FBWT reports (such as CARS FBWT Account Statements) and </w:t>
            </w:r>
            <w:r w:rsidRPr="00EC20A0">
              <w:t>entity records (including the collection and disbursement activity flowing through the FBWT accounts and the account balances each month)</w:t>
            </w:r>
          </w:p>
          <w:p w14:paraId="24D61AD4" w14:textId="77777777" w:rsidR="00245300" w:rsidRPr="00EC20A0" w:rsidRDefault="00F17249">
            <w:pPr>
              <w:pStyle w:val="TableParagraph"/>
              <w:spacing w:line="250" w:lineRule="atLeast"/>
              <w:ind w:left="1608" w:right="407" w:hanging="1"/>
            </w:pPr>
            <w:r w:rsidRPr="00EC20A0">
              <w:t>and</w:t>
            </w:r>
            <w:r w:rsidRPr="00EC20A0">
              <w:rPr>
                <w:spacing w:val="-8"/>
              </w:rPr>
              <w:t xml:space="preserve"> </w:t>
            </w:r>
            <w:r w:rsidRPr="00EC20A0">
              <w:t>reviewing</w:t>
            </w:r>
            <w:r w:rsidRPr="00EC20A0">
              <w:rPr>
                <w:spacing w:val="-8"/>
              </w:rPr>
              <w:t xml:space="preserve"> </w:t>
            </w:r>
            <w:r w:rsidRPr="00EC20A0">
              <w:t>and</w:t>
            </w:r>
            <w:r w:rsidRPr="00EC20A0">
              <w:rPr>
                <w:spacing w:val="-8"/>
              </w:rPr>
              <w:t xml:space="preserve"> </w:t>
            </w:r>
            <w:r w:rsidRPr="00EC20A0">
              <w:t>making</w:t>
            </w:r>
            <w:r w:rsidRPr="00EC20A0">
              <w:rPr>
                <w:spacing w:val="-8"/>
              </w:rPr>
              <w:t xml:space="preserve"> </w:t>
            </w:r>
            <w:r w:rsidRPr="00EC20A0">
              <w:t>any</w:t>
            </w:r>
            <w:r w:rsidRPr="00EC20A0">
              <w:rPr>
                <w:spacing w:val="-8"/>
              </w:rPr>
              <w:t xml:space="preserve"> </w:t>
            </w:r>
            <w:r w:rsidRPr="00EC20A0">
              <w:t>needed adjustments timely.</w:t>
            </w:r>
          </w:p>
        </w:tc>
        <w:tc>
          <w:tcPr>
            <w:tcW w:w="1427" w:type="dxa"/>
            <w:tcBorders>
              <w:top w:val="single" w:sz="4" w:space="0" w:color="000000"/>
              <w:left w:val="single" w:sz="4" w:space="0" w:color="000000"/>
              <w:bottom w:val="single" w:sz="4" w:space="0" w:color="000000"/>
              <w:right w:val="single" w:sz="4" w:space="0" w:color="000000"/>
            </w:tcBorders>
          </w:tcPr>
          <w:p w14:paraId="24D61AD5"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D6" w14:textId="77777777" w:rsidR="00245300" w:rsidRPr="00EC20A0" w:rsidRDefault="00245300">
            <w:pPr>
              <w:pStyle w:val="TableParagraph"/>
              <w:rPr>
                <w:sz w:val="20"/>
              </w:rPr>
            </w:pPr>
          </w:p>
        </w:tc>
      </w:tr>
      <w:tr w:rsidR="00245300" w:rsidRPr="00EC20A0" w14:paraId="24D61ADB" w14:textId="77777777">
        <w:trPr>
          <w:trHeight w:val="746"/>
        </w:trPr>
        <w:tc>
          <w:tcPr>
            <w:tcW w:w="6719" w:type="dxa"/>
            <w:tcBorders>
              <w:top w:val="single" w:sz="4" w:space="0" w:color="000000"/>
              <w:right w:val="single" w:sz="4" w:space="0" w:color="000000"/>
            </w:tcBorders>
          </w:tcPr>
          <w:p w14:paraId="24D61AD8" w14:textId="77777777" w:rsidR="00245300" w:rsidRPr="00EC20A0" w:rsidRDefault="00F17249">
            <w:pPr>
              <w:pStyle w:val="TableParagraph"/>
              <w:tabs>
                <w:tab w:val="left" w:pos="1244"/>
              </w:tabs>
              <w:spacing w:before="120"/>
              <w:ind w:left="1244" w:right="760" w:hanging="577"/>
            </w:pPr>
            <w:r w:rsidRPr="00EC20A0">
              <w:rPr>
                <w:spacing w:val="-6"/>
              </w:rPr>
              <w:t>d)</w:t>
            </w:r>
            <w:r w:rsidRPr="00EC20A0">
              <w:tab/>
              <w:t>Appropriately</w:t>
            </w:r>
            <w:r w:rsidRPr="00EC20A0">
              <w:rPr>
                <w:spacing w:val="-8"/>
              </w:rPr>
              <w:t xml:space="preserve"> </w:t>
            </w:r>
            <w:r w:rsidRPr="00EC20A0">
              <w:t>records</w:t>
            </w:r>
            <w:r w:rsidRPr="00EC20A0">
              <w:rPr>
                <w:spacing w:val="-8"/>
              </w:rPr>
              <w:t xml:space="preserve"> </w:t>
            </w:r>
            <w:r w:rsidRPr="00EC20A0">
              <w:t>and</w:t>
            </w:r>
            <w:r w:rsidRPr="00EC20A0">
              <w:rPr>
                <w:spacing w:val="-8"/>
              </w:rPr>
              <w:t xml:space="preserve"> </w:t>
            </w:r>
            <w:r w:rsidRPr="00EC20A0">
              <w:t>reviews</w:t>
            </w:r>
            <w:r w:rsidRPr="00EC20A0">
              <w:rPr>
                <w:spacing w:val="-8"/>
              </w:rPr>
              <w:t xml:space="preserve"> </w:t>
            </w:r>
            <w:r w:rsidRPr="00EC20A0">
              <w:t>any</w:t>
            </w:r>
            <w:r w:rsidRPr="00EC20A0">
              <w:rPr>
                <w:spacing w:val="-8"/>
              </w:rPr>
              <w:t xml:space="preserve"> </w:t>
            </w:r>
            <w:r w:rsidRPr="00EC20A0">
              <w:t xml:space="preserve">adjusting </w:t>
            </w:r>
            <w:r w:rsidRPr="00EC20A0">
              <w:t>journal vouchers recorded to FBWT accounts.</w:t>
            </w:r>
          </w:p>
        </w:tc>
        <w:tc>
          <w:tcPr>
            <w:tcW w:w="1427" w:type="dxa"/>
            <w:tcBorders>
              <w:top w:val="single" w:sz="4" w:space="0" w:color="000000"/>
              <w:left w:val="single" w:sz="4" w:space="0" w:color="000000"/>
              <w:right w:val="single" w:sz="4" w:space="0" w:color="000000"/>
            </w:tcBorders>
          </w:tcPr>
          <w:p w14:paraId="24D61AD9" w14:textId="77777777" w:rsidR="00245300" w:rsidRPr="00EC20A0" w:rsidRDefault="00245300">
            <w:pPr>
              <w:pStyle w:val="TableParagraph"/>
              <w:rPr>
                <w:sz w:val="20"/>
              </w:rPr>
            </w:pPr>
          </w:p>
        </w:tc>
        <w:tc>
          <w:tcPr>
            <w:tcW w:w="1061" w:type="dxa"/>
            <w:tcBorders>
              <w:top w:val="single" w:sz="4" w:space="0" w:color="000000"/>
              <w:left w:val="single" w:sz="4" w:space="0" w:color="000000"/>
            </w:tcBorders>
          </w:tcPr>
          <w:p w14:paraId="24D61ADA" w14:textId="77777777" w:rsidR="00245300" w:rsidRPr="00EC20A0" w:rsidRDefault="00245300">
            <w:pPr>
              <w:pStyle w:val="TableParagraph"/>
              <w:rPr>
                <w:sz w:val="20"/>
              </w:rPr>
            </w:pPr>
          </w:p>
        </w:tc>
      </w:tr>
    </w:tbl>
    <w:p w14:paraId="24D61ADC"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ADD" w14:textId="77777777" w:rsidR="00245300" w:rsidRPr="00EC20A0" w:rsidRDefault="00245300">
      <w:pPr>
        <w:pStyle w:val="BodyText"/>
        <w:spacing w:before="9"/>
        <w:rPr>
          <w:b/>
          <w:sz w:val="11"/>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245300" w:rsidRPr="00EC20A0" w14:paraId="24D61AE1" w14:textId="77777777">
        <w:trPr>
          <w:trHeight w:val="505"/>
        </w:trPr>
        <w:tc>
          <w:tcPr>
            <w:tcW w:w="6719" w:type="dxa"/>
            <w:tcBorders>
              <w:right w:val="single" w:sz="4" w:space="0" w:color="000000"/>
            </w:tcBorders>
          </w:tcPr>
          <w:p w14:paraId="24D61ADE" w14:textId="77777777" w:rsidR="00245300" w:rsidRPr="00EC20A0" w:rsidRDefault="00F17249">
            <w:pPr>
              <w:pStyle w:val="TableParagraph"/>
              <w:ind w:left="92"/>
              <w:rPr>
                <w:b/>
              </w:rPr>
            </w:pPr>
            <w:r w:rsidRPr="00EC20A0">
              <w:rPr>
                <w:b/>
                <w:spacing w:val="-2"/>
              </w:rPr>
              <w:t>Procedures</w:t>
            </w:r>
          </w:p>
        </w:tc>
        <w:tc>
          <w:tcPr>
            <w:tcW w:w="1427" w:type="dxa"/>
            <w:tcBorders>
              <w:left w:val="single" w:sz="4" w:space="0" w:color="000000"/>
              <w:right w:val="single" w:sz="4" w:space="0" w:color="000000"/>
            </w:tcBorders>
          </w:tcPr>
          <w:p w14:paraId="24D61ADF" w14:textId="77777777" w:rsidR="00245300" w:rsidRPr="00EC20A0" w:rsidRDefault="00F17249">
            <w:pPr>
              <w:pStyle w:val="TableParagraph"/>
              <w:ind w:left="108"/>
              <w:rPr>
                <w:b/>
              </w:rPr>
            </w:pPr>
            <w:r w:rsidRPr="00EC20A0">
              <w:rPr>
                <w:b/>
                <w:spacing w:val="-2"/>
              </w:rPr>
              <w:t>Initials/date</w:t>
            </w:r>
          </w:p>
        </w:tc>
        <w:tc>
          <w:tcPr>
            <w:tcW w:w="1061" w:type="dxa"/>
            <w:tcBorders>
              <w:left w:val="single" w:sz="4" w:space="0" w:color="000000"/>
            </w:tcBorders>
          </w:tcPr>
          <w:p w14:paraId="24D61AE0" w14:textId="77777777" w:rsidR="00245300" w:rsidRPr="00EC20A0" w:rsidRDefault="00F17249">
            <w:pPr>
              <w:pStyle w:val="TableParagraph"/>
              <w:spacing w:line="250" w:lineRule="atLeast"/>
              <w:ind w:left="109" w:right="443"/>
              <w:rPr>
                <w:b/>
              </w:rPr>
            </w:pPr>
            <w:r w:rsidRPr="00EC20A0">
              <w:rPr>
                <w:b/>
                <w:spacing w:val="-4"/>
              </w:rPr>
              <w:t>Doc. ref.</w:t>
            </w:r>
          </w:p>
        </w:tc>
      </w:tr>
      <w:tr w:rsidR="00245300" w:rsidRPr="00EC20A0" w14:paraId="24D61AE5" w14:textId="77777777">
        <w:trPr>
          <w:trHeight w:val="964"/>
        </w:trPr>
        <w:tc>
          <w:tcPr>
            <w:tcW w:w="6719" w:type="dxa"/>
            <w:tcBorders>
              <w:bottom w:val="single" w:sz="4" w:space="0" w:color="000000"/>
              <w:right w:val="single" w:sz="4" w:space="0" w:color="000000"/>
            </w:tcBorders>
          </w:tcPr>
          <w:p w14:paraId="24D61AE2" w14:textId="77777777" w:rsidR="00245300" w:rsidRPr="00EC20A0" w:rsidRDefault="00F17249">
            <w:pPr>
              <w:pStyle w:val="TableParagraph"/>
              <w:tabs>
                <w:tab w:val="left" w:pos="1244"/>
              </w:tabs>
              <w:spacing w:before="85"/>
              <w:ind w:left="1244" w:right="540" w:hanging="577"/>
              <w:rPr>
                <w:sz w:val="14"/>
              </w:rPr>
            </w:pPr>
            <w:r w:rsidRPr="00EC20A0">
              <w:rPr>
                <w:spacing w:val="-6"/>
              </w:rPr>
              <w:t>e)</w:t>
            </w:r>
            <w:r w:rsidRPr="00EC20A0">
              <w:tab/>
              <w:t>Discloses the status of accounts, such as open, expired,</w:t>
            </w:r>
            <w:r w:rsidRPr="00EC20A0">
              <w:rPr>
                <w:spacing w:val="-6"/>
              </w:rPr>
              <w:t xml:space="preserve"> </w:t>
            </w:r>
            <w:r w:rsidRPr="00EC20A0">
              <w:t>or</w:t>
            </w:r>
            <w:r w:rsidRPr="00EC20A0">
              <w:rPr>
                <w:spacing w:val="-6"/>
              </w:rPr>
              <w:t xml:space="preserve"> </w:t>
            </w:r>
            <w:r w:rsidRPr="00EC20A0">
              <w:t>canceled,</w:t>
            </w:r>
            <w:r w:rsidRPr="00EC20A0">
              <w:rPr>
                <w:spacing w:val="-6"/>
              </w:rPr>
              <w:t xml:space="preserve"> </w:t>
            </w:r>
            <w:r w:rsidRPr="00EC20A0">
              <w:t>and</w:t>
            </w:r>
            <w:r w:rsidRPr="00EC20A0">
              <w:rPr>
                <w:spacing w:val="-6"/>
              </w:rPr>
              <w:t xml:space="preserve"> </w:t>
            </w:r>
            <w:r w:rsidRPr="00EC20A0">
              <w:t>whether</w:t>
            </w:r>
            <w:r w:rsidRPr="00EC20A0">
              <w:rPr>
                <w:spacing w:val="-6"/>
              </w:rPr>
              <w:t xml:space="preserve"> </w:t>
            </w:r>
            <w:r w:rsidRPr="00EC20A0">
              <w:t>each</w:t>
            </w:r>
            <w:r w:rsidRPr="00EC20A0">
              <w:rPr>
                <w:spacing w:val="-6"/>
              </w:rPr>
              <w:t xml:space="preserve"> </w:t>
            </w:r>
            <w:r w:rsidRPr="00EC20A0">
              <w:t>account</w:t>
            </w:r>
            <w:r w:rsidRPr="00EC20A0">
              <w:rPr>
                <w:spacing w:val="-7"/>
              </w:rPr>
              <w:t xml:space="preserve"> </w:t>
            </w:r>
            <w:r w:rsidRPr="00EC20A0">
              <w:t>is appropriately included in the FBWT line item.</w:t>
            </w:r>
            <w:hyperlink w:anchor="_bookmark191" w:history="1">
              <w:r w:rsidRPr="00EC20A0">
                <w:rPr>
                  <w:position w:val="7"/>
                  <w:sz w:val="14"/>
                </w:rPr>
                <w:t>36</w:t>
              </w:r>
            </w:hyperlink>
          </w:p>
        </w:tc>
        <w:tc>
          <w:tcPr>
            <w:tcW w:w="1427" w:type="dxa"/>
            <w:tcBorders>
              <w:left w:val="single" w:sz="4" w:space="0" w:color="000000"/>
              <w:bottom w:val="single" w:sz="4" w:space="0" w:color="000000"/>
              <w:right w:val="single" w:sz="4" w:space="0" w:color="000000"/>
            </w:tcBorders>
          </w:tcPr>
          <w:p w14:paraId="24D61AE3" w14:textId="77777777" w:rsidR="00245300" w:rsidRPr="00EC20A0" w:rsidRDefault="00245300">
            <w:pPr>
              <w:pStyle w:val="TableParagraph"/>
              <w:rPr>
                <w:sz w:val="20"/>
              </w:rPr>
            </w:pPr>
          </w:p>
        </w:tc>
        <w:tc>
          <w:tcPr>
            <w:tcW w:w="1061" w:type="dxa"/>
            <w:tcBorders>
              <w:left w:val="single" w:sz="4" w:space="0" w:color="000000"/>
              <w:bottom w:val="single" w:sz="4" w:space="0" w:color="000000"/>
            </w:tcBorders>
          </w:tcPr>
          <w:p w14:paraId="24D61AE4" w14:textId="77777777" w:rsidR="00245300" w:rsidRPr="00EC20A0" w:rsidRDefault="00245300">
            <w:pPr>
              <w:pStyle w:val="TableParagraph"/>
              <w:rPr>
                <w:sz w:val="20"/>
              </w:rPr>
            </w:pPr>
          </w:p>
        </w:tc>
      </w:tr>
      <w:tr w:rsidR="00245300" w:rsidRPr="00EC20A0" w14:paraId="24D61AEA" w14:textId="77777777">
        <w:trPr>
          <w:trHeight w:val="2801"/>
        </w:trPr>
        <w:tc>
          <w:tcPr>
            <w:tcW w:w="6719" w:type="dxa"/>
            <w:tcBorders>
              <w:top w:val="single" w:sz="4" w:space="0" w:color="000000"/>
              <w:bottom w:val="single" w:sz="4" w:space="0" w:color="000000"/>
              <w:right w:val="single" w:sz="4" w:space="0" w:color="000000"/>
            </w:tcBorders>
          </w:tcPr>
          <w:p w14:paraId="24D61AE6" w14:textId="77777777" w:rsidR="00245300" w:rsidRPr="00EC20A0" w:rsidRDefault="00F17249">
            <w:pPr>
              <w:pStyle w:val="TableParagraph"/>
              <w:tabs>
                <w:tab w:val="left" w:pos="708"/>
              </w:tabs>
              <w:ind w:left="708" w:right="122" w:hanging="632"/>
            </w:pPr>
            <w:r w:rsidRPr="00EC20A0">
              <w:rPr>
                <w:spacing w:val="-6"/>
                <w:sz w:val="24"/>
              </w:rPr>
              <w:t>2)</w:t>
            </w:r>
            <w:r w:rsidRPr="00EC20A0">
              <w:rPr>
                <w:sz w:val="24"/>
              </w:rPr>
              <w:tab/>
            </w:r>
            <w:r w:rsidRPr="00EC20A0">
              <w:t>Perform procedures to determine the materiality of gross unreconciled differences and clearing account balances by analyzing</w:t>
            </w:r>
            <w:r w:rsidRPr="00EC20A0">
              <w:rPr>
                <w:spacing w:val="-7"/>
              </w:rPr>
              <w:t xml:space="preserve"> </w:t>
            </w:r>
            <w:r w:rsidRPr="00EC20A0">
              <w:t>the</w:t>
            </w:r>
            <w:r w:rsidRPr="00EC20A0">
              <w:rPr>
                <w:spacing w:val="-6"/>
              </w:rPr>
              <w:t xml:space="preserve"> </w:t>
            </w:r>
            <w:r w:rsidRPr="00EC20A0">
              <w:t>aggregate</w:t>
            </w:r>
            <w:r w:rsidRPr="00EC20A0">
              <w:rPr>
                <w:spacing w:val="-6"/>
              </w:rPr>
              <w:t xml:space="preserve"> </w:t>
            </w:r>
            <w:r w:rsidRPr="00EC20A0">
              <w:t>absolute</w:t>
            </w:r>
            <w:r w:rsidRPr="00EC20A0">
              <w:rPr>
                <w:spacing w:val="-6"/>
              </w:rPr>
              <w:t xml:space="preserve"> </w:t>
            </w:r>
            <w:r w:rsidRPr="00EC20A0">
              <w:t>values</w:t>
            </w:r>
            <w:r w:rsidRPr="00EC20A0">
              <w:rPr>
                <w:spacing w:val="-6"/>
              </w:rPr>
              <w:t xml:space="preserve"> </w:t>
            </w:r>
            <w:r w:rsidRPr="00EC20A0">
              <w:t>and</w:t>
            </w:r>
            <w:r w:rsidRPr="00EC20A0">
              <w:rPr>
                <w:spacing w:val="-6"/>
              </w:rPr>
              <w:t xml:space="preserve"> </w:t>
            </w:r>
            <w:r w:rsidRPr="00EC20A0">
              <w:t>resulting</w:t>
            </w:r>
            <w:r w:rsidRPr="00EC20A0">
              <w:rPr>
                <w:spacing w:val="-6"/>
              </w:rPr>
              <w:t xml:space="preserve"> </w:t>
            </w:r>
            <w:r w:rsidRPr="00EC20A0">
              <w:t xml:space="preserve">effect on </w:t>
            </w:r>
            <w:r w:rsidRPr="00EC20A0">
              <w:t>the financial statements. (As each difference represents a potential misstatement, the roll-up and netting of debits and</w:t>
            </w:r>
            <w:r w:rsidRPr="00EC20A0">
              <w:rPr>
                <w:spacing w:val="-2"/>
              </w:rPr>
              <w:t xml:space="preserve"> </w:t>
            </w:r>
            <w:r w:rsidRPr="00EC20A0">
              <w:t>credits</w:t>
            </w:r>
            <w:r w:rsidRPr="00EC20A0">
              <w:rPr>
                <w:spacing w:val="-3"/>
              </w:rPr>
              <w:t xml:space="preserve"> </w:t>
            </w:r>
            <w:r w:rsidRPr="00EC20A0">
              <w:t>can</w:t>
            </w:r>
            <w:r w:rsidRPr="00EC20A0">
              <w:rPr>
                <w:spacing w:val="-2"/>
              </w:rPr>
              <w:t xml:space="preserve"> </w:t>
            </w:r>
            <w:r w:rsidRPr="00EC20A0">
              <w:t>significantly</w:t>
            </w:r>
            <w:r w:rsidRPr="00EC20A0">
              <w:rPr>
                <w:spacing w:val="-2"/>
              </w:rPr>
              <w:t xml:space="preserve"> </w:t>
            </w:r>
            <w:r w:rsidRPr="00EC20A0">
              <w:t>understate</w:t>
            </w:r>
            <w:r w:rsidRPr="00EC20A0">
              <w:rPr>
                <w:spacing w:val="-2"/>
              </w:rPr>
              <w:t xml:space="preserve"> </w:t>
            </w:r>
            <w:r w:rsidRPr="00EC20A0">
              <w:t>the</w:t>
            </w:r>
            <w:r w:rsidRPr="00EC20A0">
              <w:rPr>
                <w:spacing w:val="-2"/>
              </w:rPr>
              <w:t xml:space="preserve"> </w:t>
            </w:r>
            <w:r w:rsidRPr="00EC20A0">
              <w:t>total</w:t>
            </w:r>
            <w:r w:rsidRPr="00EC20A0">
              <w:rPr>
                <w:spacing w:val="-3"/>
              </w:rPr>
              <w:t xml:space="preserve"> </w:t>
            </w:r>
            <w:r w:rsidRPr="00EC20A0">
              <w:t>outstanding differences.)</w:t>
            </w:r>
            <w:r w:rsidRPr="00EC20A0">
              <w:rPr>
                <w:spacing w:val="-7"/>
              </w:rPr>
              <w:t xml:space="preserve"> </w:t>
            </w:r>
            <w:r w:rsidRPr="00EC20A0">
              <w:t>Evaluate</w:t>
            </w:r>
            <w:r w:rsidRPr="00EC20A0">
              <w:rPr>
                <w:spacing w:val="-6"/>
              </w:rPr>
              <w:t xml:space="preserve"> </w:t>
            </w:r>
            <w:r w:rsidRPr="00EC20A0">
              <w:t>the</w:t>
            </w:r>
            <w:r w:rsidRPr="00EC20A0">
              <w:rPr>
                <w:spacing w:val="-6"/>
              </w:rPr>
              <w:t xml:space="preserve"> </w:t>
            </w:r>
            <w:r w:rsidRPr="00EC20A0">
              <w:t>significance</w:t>
            </w:r>
            <w:r w:rsidRPr="00EC20A0">
              <w:rPr>
                <w:spacing w:val="-6"/>
              </w:rPr>
              <w:t xml:space="preserve"> </w:t>
            </w:r>
            <w:r w:rsidRPr="00EC20A0">
              <w:t>of</w:t>
            </w:r>
            <w:r w:rsidRPr="00EC20A0">
              <w:rPr>
                <w:spacing w:val="-6"/>
              </w:rPr>
              <w:t xml:space="preserve"> </w:t>
            </w:r>
            <w:r w:rsidRPr="00EC20A0">
              <w:t>these</w:t>
            </w:r>
            <w:r w:rsidRPr="00EC20A0">
              <w:rPr>
                <w:spacing w:val="-6"/>
              </w:rPr>
              <w:t xml:space="preserve"> </w:t>
            </w:r>
            <w:r w:rsidRPr="00EC20A0">
              <w:t>unreconciled differences, clearing, suspense, and default account balances to the entity’s financial statements and consider</w:t>
            </w:r>
          </w:p>
          <w:p w14:paraId="24D61AE7" w14:textId="77777777" w:rsidR="00245300" w:rsidRPr="00EC20A0" w:rsidRDefault="00F17249">
            <w:pPr>
              <w:pStyle w:val="TableParagraph"/>
              <w:spacing w:line="254" w:lineRule="exact"/>
              <w:ind w:left="708" w:right="326"/>
            </w:pPr>
            <w:r w:rsidRPr="00EC20A0">
              <w:t>additional</w:t>
            </w:r>
            <w:r w:rsidRPr="00EC20A0">
              <w:rPr>
                <w:spacing w:val="-7"/>
              </w:rPr>
              <w:t xml:space="preserve"> </w:t>
            </w:r>
            <w:r w:rsidRPr="00EC20A0">
              <w:t>follow-up,</w:t>
            </w:r>
            <w:r w:rsidRPr="00EC20A0">
              <w:rPr>
                <w:spacing w:val="-8"/>
              </w:rPr>
              <w:t xml:space="preserve"> </w:t>
            </w:r>
            <w:r w:rsidRPr="00EC20A0">
              <w:t>testing,</w:t>
            </w:r>
            <w:r w:rsidRPr="00EC20A0">
              <w:rPr>
                <w:spacing w:val="-8"/>
              </w:rPr>
              <w:t xml:space="preserve"> </w:t>
            </w:r>
            <w:r w:rsidRPr="00EC20A0">
              <w:t>and</w:t>
            </w:r>
            <w:r w:rsidRPr="00EC20A0">
              <w:rPr>
                <w:spacing w:val="-8"/>
              </w:rPr>
              <w:t xml:space="preserve"> </w:t>
            </w:r>
            <w:r w:rsidRPr="00EC20A0">
              <w:t>appropriate</w:t>
            </w:r>
            <w:r w:rsidRPr="00EC20A0">
              <w:rPr>
                <w:spacing w:val="-8"/>
              </w:rPr>
              <w:t xml:space="preserve"> </w:t>
            </w:r>
            <w:r w:rsidRPr="00EC20A0">
              <w:t>note disclosures, as necessary.</w:t>
            </w:r>
          </w:p>
        </w:tc>
        <w:tc>
          <w:tcPr>
            <w:tcW w:w="1427" w:type="dxa"/>
            <w:tcBorders>
              <w:top w:val="single" w:sz="4" w:space="0" w:color="000000"/>
              <w:left w:val="single" w:sz="4" w:space="0" w:color="000000"/>
              <w:bottom w:val="single" w:sz="4" w:space="0" w:color="000000"/>
              <w:right w:val="single" w:sz="4" w:space="0" w:color="000000"/>
            </w:tcBorders>
          </w:tcPr>
          <w:p w14:paraId="24D61AE8"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E9" w14:textId="77777777" w:rsidR="00245300" w:rsidRPr="00EC20A0" w:rsidRDefault="00245300">
            <w:pPr>
              <w:pStyle w:val="TableParagraph"/>
              <w:rPr>
                <w:sz w:val="20"/>
              </w:rPr>
            </w:pPr>
          </w:p>
        </w:tc>
      </w:tr>
      <w:tr w:rsidR="00245300" w:rsidRPr="00EC20A0" w14:paraId="24D61AEC" w14:textId="77777777">
        <w:trPr>
          <w:trHeight w:val="486"/>
        </w:trPr>
        <w:tc>
          <w:tcPr>
            <w:tcW w:w="9207" w:type="dxa"/>
            <w:gridSpan w:val="3"/>
            <w:tcBorders>
              <w:top w:val="single" w:sz="4" w:space="0" w:color="000000"/>
              <w:bottom w:val="single" w:sz="4" w:space="0" w:color="000000"/>
            </w:tcBorders>
          </w:tcPr>
          <w:p w14:paraId="24D61AEB" w14:textId="77777777" w:rsidR="00245300" w:rsidRPr="00EC20A0" w:rsidRDefault="00F17249">
            <w:pPr>
              <w:pStyle w:val="TableParagraph"/>
              <w:spacing w:before="113"/>
              <w:ind w:left="92"/>
              <w:rPr>
                <w:b/>
              </w:rPr>
            </w:pPr>
            <w:r w:rsidRPr="00EC20A0">
              <w:rPr>
                <w:b/>
              </w:rPr>
              <w:t>III.</w:t>
            </w:r>
            <w:r w:rsidRPr="00EC20A0">
              <w:rPr>
                <w:b/>
                <w:spacing w:val="-8"/>
              </w:rPr>
              <w:t xml:space="preserve"> </w:t>
            </w:r>
            <w:r w:rsidRPr="00EC20A0">
              <w:rPr>
                <w:b/>
              </w:rPr>
              <w:t>Reporting</w:t>
            </w:r>
            <w:r w:rsidRPr="00EC20A0">
              <w:rPr>
                <w:b/>
                <w:spacing w:val="-7"/>
              </w:rPr>
              <w:t xml:space="preserve"> </w:t>
            </w:r>
            <w:r w:rsidRPr="00EC20A0">
              <w:rPr>
                <w:b/>
                <w:spacing w:val="-2"/>
              </w:rPr>
              <w:t>Phase</w:t>
            </w:r>
          </w:p>
        </w:tc>
      </w:tr>
      <w:tr w:rsidR="00245300" w:rsidRPr="00EC20A0" w14:paraId="24D61AF0" w14:textId="77777777">
        <w:trPr>
          <w:trHeight w:val="746"/>
        </w:trPr>
        <w:tc>
          <w:tcPr>
            <w:tcW w:w="6719" w:type="dxa"/>
            <w:tcBorders>
              <w:top w:val="single" w:sz="4" w:space="0" w:color="000000"/>
              <w:bottom w:val="single" w:sz="4" w:space="0" w:color="000000"/>
              <w:right w:val="single" w:sz="4" w:space="0" w:color="000000"/>
            </w:tcBorders>
          </w:tcPr>
          <w:p w14:paraId="24D61AED" w14:textId="77777777" w:rsidR="00245300" w:rsidRPr="00EC20A0" w:rsidRDefault="00F17249">
            <w:pPr>
              <w:pStyle w:val="TableParagraph"/>
              <w:tabs>
                <w:tab w:val="left" w:pos="708"/>
              </w:tabs>
              <w:spacing w:before="120"/>
              <w:ind w:left="708" w:right="697" w:hanging="578"/>
            </w:pPr>
            <w:r w:rsidRPr="00EC20A0">
              <w:rPr>
                <w:spacing w:val="-6"/>
              </w:rPr>
              <w:t>1)</w:t>
            </w:r>
            <w:r w:rsidRPr="00EC20A0">
              <w:tab/>
              <w:t>Prepare</w:t>
            </w:r>
            <w:r w:rsidRPr="00EC20A0">
              <w:rPr>
                <w:spacing w:val="-6"/>
              </w:rPr>
              <w:t xml:space="preserve"> </w:t>
            </w:r>
            <w:r w:rsidRPr="00EC20A0">
              <w:t>lead</w:t>
            </w:r>
            <w:r w:rsidRPr="00EC20A0">
              <w:rPr>
                <w:spacing w:val="-6"/>
              </w:rPr>
              <w:t xml:space="preserve"> </w:t>
            </w:r>
            <w:r w:rsidRPr="00EC20A0">
              <w:t>schedule</w:t>
            </w:r>
            <w:r w:rsidRPr="00EC20A0">
              <w:rPr>
                <w:spacing w:val="-7"/>
              </w:rPr>
              <w:t xml:space="preserve"> </w:t>
            </w:r>
            <w:r w:rsidRPr="00EC20A0">
              <w:t>of</w:t>
            </w:r>
            <w:r w:rsidRPr="00EC20A0">
              <w:rPr>
                <w:spacing w:val="-6"/>
              </w:rPr>
              <w:t xml:space="preserve"> </w:t>
            </w:r>
            <w:r w:rsidRPr="00EC20A0">
              <w:t>general</w:t>
            </w:r>
            <w:r w:rsidRPr="00EC20A0">
              <w:rPr>
                <w:spacing w:val="-6"/>
              </w:rPr>
              <w:t xml:space="preserve"> </w:t>
            </w:r>
            <w:r w:rsidRPr="00EC20A0">
              <w:t>ledger</w:t>
            </w:r>
            <w:r w:rsidRPr="00EC20A0">
              <w:rPr>
                <w:spacing w:val="-6"/>
              </w:rPr>
              <w:t xml:space="preserve"> </w:t>
            </w:r>
            <w:r w:rsidRPr="00EC20A0">
              <w:t>accounts</w:t>
            </w:r>
            <w:r w:rsidRPr="00EC20A0">
              <w:rPr>
                <w:spacing w:val="-6"/>
              </w:rPr>
              <w:t xml:space="preserve"> </w:t>
            </w:r>
            <w:r w:rsidRPr="00EC20A0">
              <w:t>that constitute FBWT.</w:t>
            </w:r>
          </w:p>
        </w:tc>
        <w:tc>
          <w:tcPr>
            <w:tcW w:w="1427" w:type="dxa"/>
            <w:tcBorders>
              <w:top w:val="single" w:sz="4" w:space="0" w:color="000000"/>
              <w:left w:val="single" w:sz="4" w:space="0" w:color="000000"/>
              <w:bottom w:val="single" w:sz="4" w:space="0" w:color="000000"/>
              <w:right w:val="single" w:sz="4" w:space="0" w:color="000000"/>
            </w:tcBorders>
          </w:tcPr>
          <w:p w14:paraId="24D61AEE"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EF" w14:textId="77777777" w:rsidR="00245300" w:rsidRPr="00EC20A0" w:rsidRDefault="00245300">
            <w:pPr>
              <w:pStyle w:val="TableParagraph"/>
              <w:rPr>
                <w:sz w:val="20"/>
              </w:rPr>
            </w:pPr>
          </w:p>
        </w:tc>
      </w:tr>
      <w:tr w:rsidR="00245300" w:rsidRPr="00EC20A0" w14:paraId="24D61AF4" w14:textId="77777777">
        <w:trPr>
          <w:trHeight w:val="1252"/>
        </w:trPr>
        <w:tc>
          <w:tcPr>
            <w:tcW w:w="6719" w:type="dxa"/>
            <w:tcBorders>
              <w:top w:val="single" w:sz="4" w:space="0" w:color="000000"/>
              <w:bottom w:val="single" w:sz="4" w:space="0" w:color="000000"/>
              <w:right w:val="single" w:sz="4" w:space="0" w:color="000000"/>
            </w:tcBorders>
          </w:tcPr>
          <w:p w14:paraId="24D61AF1" w14:textId="77777777" w:rsidR="00245300" w:rsidRPr="00EC20A0" w:rsidRDefault="00F17249">
            <w:pPr>
              <w:pStyle w:val="TableParagraph"/>
              <w:tabs>
                <w:tab w:val="left" w:pos="711"/>
              </w:tabs>
              <w:spacing w:before="120"/>
              <w:ind w:left="711" w:right="95" w:hanging="577"/>
            </w:pPr>
            <w:r w:rsidRPr="00EC20A0">
              <w:rPr>
                <w:spacing w:val="-6"/>
              </w:rPr>
              <w:t>2)</w:t>
            </w:r>
            <w:r w:rsidRPr="00EC20A0">
              <w:tab/>
              <w:t>To assess whether the presentation of the financial statements and note disclosures for the FBWT line item are in</w:t>
            </w:r>
            <w:r w:rsidRPr="00EC20A0">
              <w:rPr>
                <w:spacing w:val="-5"/>
              </w:rPr>
              <w:t xml:space="preserve"> </w:t>
            </w:r>
            <w:r w:rsidRPr="00EC20A0">
              <w:t>accordance</w:t>
            </w:r>
            <w:r w:rsidRPr="00EC20A0">
              <w:rPr>
                <w:spacing w:val="-5"/>
              </w:rPr>
              <w:t xml:space="preserve"> </w:t>
            </w:r>
            <w:r w:rsidRPr="00EC20A0">
              <w:t>with</w:t>
            </w:r>
            <w:r w:rsidRPr="00EC20A0">
              <w:rPr>
                <w:spacing w:val="-5"/>
              </w:rPr>
              <w:t xml:space="preserve"> </w:t>
            </w:r>
            <w:r w:rsidRPr="00EC20A0">
              <w:t>U.S.</w:t>
            </w:r>
            <w:r w:rsidRPr="00EC20A0">
              <w:rPr>
                <w:spacing w:val="-5"/>
              </w:rPr>
              <w:t xml:space="preserve"> </w:t>
            </w:r>
            <w:r w:rsidRPr="00EC20A0">
              <w:t>GAAP,</w:t>
            </w:r>
            <w:r w:rsidRPr="00EC20A0">
              <w:rPr>
                <w:spacing w:val="-5"/>
              </w:rPr>
              <w:t xml:space="preserve"> </w:t>
            </w:r>
            <w:r w:rsidRPr="00EC20A0">
              <w:t>determine</w:t>
            </w:r>
            <w:r w:rsidRPr="00EC20A0">
              <w:rPr>
                <w:spacing w:val="-5"/>
              </w:rPr>
              <w:t xml:space="preserve"> </w:t>
            </w:r>
            <w:r w:rsidRPr="00EC20A0">
              <w:t>whether</w:t>
            </w:r>
            <w:r w:rsidRPr="00EC20A0">
              <w:rPr>
                <w:spacing w:val="-5"/>
              </w:rPr>
              <w:t xml:space="preserve"> </w:t>
            </w:r>
            <w:r w:rsidRPr="00EC20A0">
              <w:t>the</w:t>
            </w:r>
            <w:r w:rsidRPr="00EC20A0">
              <w:rPr>
                <w:spacing w:val="-5"/>
              </w:rPr>
              <w:t xml:space="preserve"> </w:t>
            </w:r>
            <w:r w:rsidRPr="00EC20A0">
              <w:t>entity has done the following:</w:t>
            </w:r>
          </w:p>
        </w:tc>
        <w:tc>
          <w:tcPr>
            <w:tcW w:w="1427" w:type="dxa"/>
            <w:tcBorders>
              <w:top w:val="single" w:sz="4" w:space="0" w:color="000000"/>
              <w:left w:val="single" w:sz="4" w:space="0" w:color="000000"/>
              <w:bottom w:val="single" w:sz="4" w:space="0" w:color="000000"/>
              <w:right w:val="single" w:sz="4" w:space="0" w:color="000000"/>
            </w:tcBorders>
          </w:tcPr>
          <w:p w14:paraId="24D61AF2"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F3" w14:textId="77777777" w:rsidR="00245300" w:rsidRPr="00EC20A0" w:rsidRDefault="00245300">
            <w:pPr>
              <w:pStyle w:val="TableParagraph"/>
              <w:rPr>
                <w:sz w:val="20"/>
              </w:rPr>
            </w:pPr>
          </w:p>
        </w:tc>
      </w:tr>
      <w:tr w:rsidR="00245300" w:rsidRPr="00EC20A0" w14:paraId="24D61AF8" w14:textId="77777777">
        <w:trPr>
          <w:trHeight w:val="744"/>
        </w:trPr>
        <w:tc>
          <w:tcPr>
            <w:tcW w:w="6719" w:type="dxa"/>
            <w:tcBorders>
              <w:top w:val="single" w:sz="4" w:space="0" w:color="000000"/>
              <w:bottom w:val="single" w:sz="4" w:space="0" w:color="000000"/>
              <w:right w:val="single" w:sz="4" w:space="0" w:color="000000"/>
            </w:tcBorders>
          </w:tcPr>
          <w:p w14:paraId="24D61AF5" w14:textId="77777777" w:rsidR="00245300" w:rsidRPr="00EC20A0" w:rsidRDefault="00F17249">
            <w:pPr>
              <w:pStyle w:val="TableParagraph"/>
              <w:tabs>
                <w:tab w:val="left" w:pos="1244"/>
              </w:tabs>
              <w:spacing w:before="120"/>
              <w:ind w:left="1244" w:right="491" w:hanging="577"/>
            </w:pPr>
            <w:r w:rsidRPr="00EC20A0">
              <w:rPr>
                <w:spacing w:val="-6"/>
              </w:rPr>
              <w:t>a)</w:t>
            </w:r>
            <w:r w:rsidRPr="00EC20A0">
              <w:tab/>
              <w:t xml:space="preserve">Disclosed and </w:t>
            </w:r>
            <w:r w:rsidRPr="00EC20A0">
              <w:t>explained material unreconciled differences</w:t>
            </w:r>
            <w:r w:rsidRPr="00EC20A0">
              <w:rPr>
                <w:spacing w:val="-7"/>
              </w:rPr>
              <w:t xml:space="preserve"> </w:t>
            </w:r>
            <w:r w:rsidRPr="00EC20A0">
              <w:t>in</w:t>
            </w:r>
            <w:r w:rsidRPr="00EC20A0">
              <w:rPr>
                <w:spacing w:val="-6"/>
              </w:rPr>
              <w:t xml:space="preserve"> </w:t>
            </w:r>
            <w:r w:rsidRPr="00EC20A0">
              <w:t>the</w:t>
            </w:r>
            <w:r w:rsidRPr="00EC20A0">
              <w:rPr>
                <w:spacing w:val="-6"/>
              </w:rPr>
              <w:t xml:space="preserve"> </w:t>
            </w:r>
            <w:r w:rsidRPr="00EC20A0">
              <w:t>notes</w:t>
            </w:r>
            <w:r w:rsidRPr="00EC20A0">
              <w:rPr>
                <w:spacing w:val="-5"/>
              </w:rPr>
              <w:t xml:space="preserve"> </w:t>
            </w:r>
            <w:r w:rsidRPr="00EC20A0">
              <w:t>to</w:t>
            </w:r>
            <w:r w:rsidRPr="00EC20A0">
              <w:rPr>
                <w:spacing w:val="-6"/>
              </w:rPr>
              <w:t xml:space="preserve"> </w:t>
            </w:r>
            <w:r w:rsidRPr="00EC20A0">
              <w:t>the</w:t>
            </w:r>
            <w:r w:rsidRPr="00EC20A0">
              <w:rPr>
                <w:spacing w:val="-6"/>
              </w:rPr>
              <w:t xml:space="preserve"> </w:t>
            </w:r>
            <w:r w:rsidRPr="00EC20A0">
              <w:t>financial</w:t>
            </w:r>
            <w:r w:rsidRPr="00EC20A0">
              <w:rPr>
                <w:spacing w:val="-6"/>
              </w:rPr>
              <w:t xml:space="preserve"> </w:t>
            </w:r>
            <w:r w:rsidRPr="00EC20A0">
              <w:t>statements.</w:t>
            </w:r>
          </w:p>
        </w:tc>
        <w:tc>
          <w:tcPr>
            <w:tcW w:w="1427" w:type="dxa"/>
            <w:tcBorders>
              <w:top w:val="single" w:sz="4" w:space="0" w:color="000000"/>
              <w:left w:val="single" w:sz="4" w:space="0" w:color="000000"/>
              <w:bottom w:val="single" w:sz="4" w:space="0" w:color="000000"/>
              <w:right w:val="single" w:sz="4" w:space="0" w:color="000000"/>
            </w:tcBorders>
          </w:tcPr>
          <w:p w14:paraId="24D61AF6"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F7" w14:textId="77777777" w:rsidR="00245300" w:rsidRPr="00EC20A0" w:rsidRDefault="00245300">
            <w:pPr>
              <w:pStyle w:val="TableParagraph"/>
              <w:rPr>
                <w:sz w:val="20"/>
              </w:rPr>
            </w:pPr>
          </w:p>
        </w:tc>
      </w:tr>
      <w:tr w:rsidR="00245300" w:rsidRPr="00EC20A0" w14:paraId="24D61AFC" w14:textId="77777777">
        <w:trPr>
          <w:trHeight w:val="999"/>
        </w:trPr>
        <w:tc>
          <w:tcPr>
            <w:tcW w:w="6719" w:type="dxa"/>
            <w:tcBorders>
              <w:top w:val="single" w:sz="4" w:space="0" w:color="000000"/>
              <w:bottom w:val="single" w:sz="4" w:space="0" w:color="000000"/>
              <w:right w:val="single" w:sz="4" w:space="0" w:color="000000"/>
            </w:tcBorders>
          </w:tcPr>
          <w:p w14:paraId="24D61AF9" w14:textId="77777777" w:rsidR="00245300" w:rsidRPr="00EC20A0" w:rsidRDefault="00F17249">
            <w:pPr>
              <w:pStyle w:val="TableParagraph"/>
              <w:tabs>
                <w:tab w:val="left" w:pos="1244"/>
              </w:tabs>
              <w:spacing w:before="121"/>
              <w:ind w:left="1244" w:right="237" w:hanging="577"/>
            </w:pPr>
            <w:r w:rsidRPr="00EC20A0">
              <w:rPr>
                <w:spacing w:val="-6"/>
              </w:rPr>
              <w:t>b)</w:t>
            </w:r>
            <w:r w:rsidRPr="00EC20A0">
              <w:tab/>
              <w:t>Disclosed</w:t>
            </w:r>
            <w:r w:rsidRPr="00EC20A0">
              <w:rPr>
                <w:spacing w:val="-8"/>
              </w:rPr>
              <w:t xml:space="preserve"> </w:t>
            </w:r>
            <w:r w:rsidRPr="00EC20A0">
              <w:t>material</w:t>
            </w:r>
            <w:r w:rsidRPr="00EC20A0">
              <w:rPr>
                <w:spacing w:val="-8"/>
              </w:rPr>
              <w:t xml:space="preserve"> </w:t>
            </w:r>
            <w:r w:rsidRPr="00EC20A0">
              <w:t>unreconciled</w:t>
            </w:r>
            <w:r w:rsidRPr="00EC20A0">
              <w:rPr>
                <w:spacing w:val="-8"/>
              </w:rPr>
              <w:t xml:space="preserve"> </w:t>
            </w:r>
            <w:r w:rsidRPr="00EC20A0">
              <w:t>differences</w:t>
            </w:r>
            <w:r w:rsidRPr="00EC20A0">
              <w:rPr>
                <w:spacing w:val="-8"/>
              </w:rPr>
              <w:t xml:space="preserve"> </w:t>
            </w:r>
            <w:r w:rsidRPr="00EC20A0">
              <w:t>that</w:t>
            </w:r>
            <w:r w:rsidRPr="00EC20A0">
              <w:rPr>
                <w:spacing w:val="-9"/>
              </w:rPr>
              <w:t xml:space="preserve"> </w:t>
            </w:r>
            <w:r w:rsidRPr="00EC20A0">
              <w:t>were written off by the entity during the fiscal year in the notes to the financial statements.</w:t>
            </w:r>
          </w:p>
        </w:tc>
        <w:tc>
          <w:tcPr>
            <w:tcW w:w="1427" w:type="dxa"/>
            <w:tcBorders>
              <w:top w:val="single" w:sz="4" w:space="0" w:color="000000"/>
              <w:left w:val="single" w:sz="4" w:space="0" w:color="000000"/>
              <w:bottom w:val="single" w:sz="4" w:space="0" w:color="000000"/>
              <w:right w:val="single" w:sz="4" w:space="0" w:color="000000"/>
            </w:tcBorders>
          </w:tcPr>
          <w:p w14:paraId="24D61AFA"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FB" w14:textId="77777777" w:rsidR="00245300" w:rsidRPr="00EC20A0" w:rsidRDefault="00245300">
            <w:pPr>
              <w:pStyle w:val="TableParagraph"/>
              <w:rPr>
                <w:sz w:val="20"/>
              </w:rPr>
            </w:pPr>
          </w:p>
        </w:tc>
      </w:tr>
      <w:tr w:rsidR="00245300" w:rsidRPr="00EC20A0" w14:paraId="24D61B00" w14:textId="77777777">
        <w:trPr>
          <w:trHeight w:val="492"/>
        </w:trPr>
        <w:tc>
          <w:tcPr>
            <w:tcW w:w="6719" w:type="dxa"/>
            <w:tcBorders>
              <w:top w:val="single" w:sz="4" w:space="0" w:color="000000"/>
              <w:bottom w:val="single" w:sz="4" w:space="0" w:color="000000"/>
              <w:right w:val="single" w:sz="4" w:space="0" w:color="000000"/>
            </w:tcBorders>
          </w:tcPr>
          <w:p w14:paraId="24D61AFD" w14:textId="77777777" w:rsidR="00245300" w:rsidRPr="00EC20A0" w:rsidRDefault="00F17249">
            <w:pPr>
              <w:pStyle w:val="TableParagraph"/>
              <w:tabs>
                <w:tab w:val="left" w:pos="1244"/>
              </w:tabs>
              <w:spacing w:before="121"/>
              <w:ind w:left="668"/>
            </w:pPr>
            <w:r w:rsidRPr="00EC20A0">
              <w:rPr>
                <w:spacing w:val="-5"/>
              </w:rPr>
              <w:t>c)</w:t>
            </w:r>
            <w:r w:rsidRPr="00EC20A0">
              <w:tab/>
            </w:r>
            <w:r w:rsidRPr="00EC20A0">
              <w:t>Disclosed</w:t>
            </w:r>
            <w:r w:rsidRPr="00EC20A0">
              <w:rPr>
                <w:spacing w:val="-11"/>
              </w:rPr>
              <w:t xml:space="preserve"> </w:t>
            </w:r>
            <w:r w:rsidRPr="00EC20A0">
              <w:t>material</w:t>
            </w:r>
            <w:r w:rsidRPr="00EC20A0">
              <w:rPr>
                <w:spacing w:val="-10"/>
              </w:rPr>
              <w:t xml:space="preserve"> </w:t>
            </w:r>
            <w:r w:rsidRPr="00EC20A0">
              <w:rPr>
                <w:spacing w:val="-2"/>
              </w:rPr>
              <w:t>restrictions.</w:t>
            </w:r>
          </w:p>
        </w:tc>
        <w:tc>
          <w:tcPr>
            <w:tcW w:w="1427" w:type="dxa"/>
            <w:tcBorders>
              <w:top w:val="single" w:sz="4" w:space="0" w:color="000000"/>
              <w:left w:val="single" w:sz="4" w:space="0" w:color="000000"/>
              <w:bottom w:val="single" w:sz="4" w:space="0" w:color="000000"/>
              <w:right w:val="single" w:sz="4" w:space="0" w:color="000000"/>
            </w:tcBorders>
          </w:tcPr>
          <w:p w14:paraId="24D61AFE"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AFF" w14:textId="77777777" w:rsidR="00245300" w:rsidRPr="00EC20A0" w:rsidRDefault="00245300">
            <w:pPr>
              <w:pStyle w:val="TableParagraph"/>
              <w:rPr>
                <w:sz w:val="20"/>
              </w:rPr>
            </w:pPr>
          </w:p>
        </w:tc>
      </w:tr>
      <w:tr w:rsidR="00245300" w:rsidRPr="00EC20A0" w14:paraId="24D61B04" w14:textId="77777777">
        <w:trPr>
          <w:trHeight w:val="1505"/>
        </w:trPr>
        <w:tc>
          <w:tcPr>
            <w:tcW w:w="6719" w:type="dxa"/>
            <w:tcBorders>
              <w:top w:val="single" w:sz="4" w:space="0" w:color="000000"/>
              <w:bottom w:val="single" w:sz="4" w:space="0" w:color="000000"/>
              <w:right w:val="single" w:sz="4" w:space="0" w:color="000000"/>
            </w:tcBorders>
          </w:tcPr>
          <w:p w14:paraId="24D61B01" w14:textId="77777777" w:rsidR="00245300" w:rsidRPr="00EC20A0" w:rsidRDefault="00F17249">
            <w:pPr>
              <w:pStyle w:val="TableParagraph"/>
              <w:tabs>
                <w:tab w:val="left" w:pos="1244"/>
              </w:tabs>
              <w:spacing w:before="121"/>
              <w:ind w:left="1244" w:right="151" w:hanging="577"/>
            </w:pPr>
            <w:r w:rsidRPr="00EC20A0">
              <w:rPr>
                <w:spacing w:val="-6"/>
              </w:rPr>
              <w:t>d)</w:t>
            </w:r>
            <w:r w:rsidRPr="00EC20A0">
              <w:tab/>
              <w:t>Recorded</w:t>
            </w:r>
            <w:r w:rsidRPr="00EC20A0">
              <w:rPr>
                <w:spacing w:val="-7"/>
              </w:rPr>
              <w:t xml:space="preserve"> </w:t>
            </w:r>
            <w:r w:rsidRPr="00EC20A0">
              <w:t>the</w:t>
            </w:r>
            <w:r w:rsidRPr="00EC20A0">
              <w:rPr>
                <w:spacing w:val="-7"/>
              </w:rPr>
              <w:t xml:space="preserve"> </w:t>
            </w:r>
            <w:r w:rsidRPr="00EC20A0">
              <w:t>auditor’s</w:t>
            </w:r>
            <w:r w:rsidRPr="00EC20A0">
              <w:rPr>
                <w:spacing w:val="-7"/>
              </w:rPr>
              <w:t xml:space="preserve"> </w:t>
            </w:r>
            <w:r w:rsidRPr="00EC20A0">
              <w:t>proposed</w:t>
            </w:r>
            <w:r w:rsidRPr="00EC20A0">
              <w:rPr>
                <w:spacing w:val="-7"/>
              </w:rPr>
              <w:t xml:space="preserve"> </w:t>
            </w:r>
            <w:r w:rsidRPr="00EC20A0">
              <w:t>audit</w:t>
            </w:r>
            <w:r w:rsidRPr="00EC20A0">
              <w:rPr>
                <w:spacing w:val="-7"/>
              </w:rPr>
              <w:t xml:space="preserve"> </w:t>
            </w:r>
            <w:r w:rsidRPr="00EC20A0">
              <w:t>adjustments</w:t>
            </w:r>
            <w:r w:rsidRPr="00EC20A0">
              <w:rPr>
                <w:spacing w:val="-7"/>
              </w:rPr>
              <w:t xml:space="preserve"> </w:t>
            </w:r>
            <w:r w:rsidRPr="00EC20A0">
              <w:t xml:space="preserve">or, if the adjustments are immaterial, included the amounts in the summary of uncorrected misstatements attached to the management representation letter (see FAM </w:t>
            </w:r>
            <w:r w:rsidRPr="00EC20A0">
              <w:t>1001).</w:t>
            </w:r>
          </w:p>
        </w:tc>
        <w:tc>
          <w:tcPr>
            <w:tcW w:w="1427" w:type="dxa"/>
            <w:tcBorders>
              <w:top w:val="single" w:sz="4" w:space="0" w:color="000000"/>
              <w:left w:val="single" w:sz="4" w:space="0" w:color="000000"/>
              <w:bottom w:val="single" w:sz="4" w:space="0" w:color="000000"/>
              <w:right w:val="single" w:sz="4" w:space="0" w:color="000000"/>
            </w:tcBorders>
          </w:tcPr>
          <w:p w14:paraId="24D61B02"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B03" w14:textId="77777777" w:rsidR="00245300" w:rsidRPr="00EC20A0" w:rsidRDefault="00245300">
            <w:pPr>
              <w:pStyle w:val="TableParagraph"/>
              <w:rPr>
                <w:sz w:val="20"/>
              </w:rPr>
            </w:pPr>
          </w:p>
        </w:tc>
      </w:tr>
      <w:tr w:rsidR="00245300" w:rsidRPr="00EC20A0" w14:paraId="24D61B08" w14:textId="77777777">
        <w:trPr>
          <w:trHeight w:val="746"/>
        </w:trPr>
        <w:tc>
          <w:tcPr>
            <w:tcW w:w="6719" w:type="dxa"/>
            <w:tcBorders>
              <w:top w:val="single" w:sz="4" w:space="0" w:color="000000"/>
              <w:right w:val="single" w:sz="4" w:space="0" w:color="000000"/>
            </w:tcBorders>
          </w:tcPr>
          <w:p w14:paraId="24D61B05" w14:textId="77777777" w:rsidR="00245300" w:rsidRPr="00EC20A0" w:rsidRDefault="00F17249">
            <w:pPr>
              <w:pStyle w:val="TableParagraph"/>
              <w:tabs>
                <w:tab w:val="left" w:pos="1244"/>
              </w:tabs>
              <w:spacing w:before="120"/>
              <w:ind w:left="1244" w:right="724" w:hanging="577"/>
            </w:pPr>
            <w:r w:rsidRPr="00EC20A0">
              <w:rPr>
                <w:spacing w:val="-6"/>
              </w:rPr>
              <w:t>e)</w:t>
            </w:r>
            <w:r w:rsidRPr="00EC20A0">
              <w:tab/>
              <w:t>Completed</w:t>
            </w:r>
            <w:r w:rsidRPr="00EC20A0">
              <w:rPr>
                <w:spacing w:val="-6"/>
              </w:rPr>
              <w:t xml:space="preserve"> </w:t>
            </w:r>
            <w:r w:rsidRPr="00EC20A0">
              <w:t>the</w:t>
            </w:r>
            <w:r w:rsidRPr="00EC20A0">
              <w:rPr>
                <w:spacing w:val="-6"/>
              </w:rPr>
              <w:t xml:space="preserve"> </w:t>
            </w:r>
            <w:r w:rsidRPr="00EC20A0">
              <w:t>portion</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FAM</w:t>
            </w:r>
            <w:r w:rsidRPr="00EC20A0">
              <w:rPr>
                <w:spacing w:val="-6"/>
              </w:rPr>
              <w:t xml:space="preserve"> </w:t>
            </w:r>
            <w:r w:rsidRPr="00EC20A0">
              <w:t>2010,</w:t>
            </w:r>
            <w:r w:rsidRPr="00EC20A0">
              <w:rPr>
                <w:spacing w:val="-6"/>
              </w:rPr>
              <w:t xml:space="preserve"> </w:t>
            </w:r>
            <w:r w:rsidRPr="00EC20A0">
              <w:rPr>
                <w:i/>
              </w:rPr>
              <w:t>Federal Financial Reporting Checklist</w:t>
            </w:r>
            <w:r w:rsidRPr="00EC20A0">
              <w:t>, related to FBWT.</w:t>
            </w:r>
          </w:p>
        </w:tc>
        <w:tc>
          <w:tcPr>
            <w:tcW w:w="1427" w:type="dxa"/>
            <w:tcBorders>
              <w:top w:val="single" w:sz="4" w:space="0" w:color="000000"/>
              <w:left w:val="single" w:sz="4" w:space="0" w:color="000000"/>
              <w:right w:val="single" w:sz="4" w:space="0" w:color="000000"/>
            </w:tcBorders>
          </w:tcPr>
          <w:p w14:paraId="24D61B06" w14:textId="77777777" w:rsidR="00245300" w:rsidRPr="00EC20A0" w:rsidRDefault="00245300">
            <w:pPr>
              <w:pStyle w:val="TableParagraph"/>
              <w:rPr>
                <w:sz w:val="20"/>
              </w:rPr>
            </w:pPr>
          </w:p>
        </w:tc>
        <w:tc>
          <w:tcPr>
            <w:tcW w:w="1061" w:type="dxa"/>
            <w:tcBorders>
              <w:top w:val="single" w:sz="4" w:space="0" w:color="000000"/>
              <w:left w:val="single" w:sz="4" w:space="0" w:color="000000"/>
            </w:tcBorders>
          </w:tcPr>
          <w:p w14:paraId="24D61B07" w14:textId="77777777" w:rsidR="00245300" w:rsidRPr="00EC20A0" w:rsidRDefault="00245300">
            <w:pPr>
              <w:pStyle w:val="TableParagraph"/>
              <w:rPr>
                <w:sz w:val="20"/>
              </w:rPr>
            </w:pPr>
          </w:p>
        </w:tc>
      </w:tr>
    </w:tbl>
    <w:p w14:paraId="24D61B09" w14:textId="77777777" w:rsidR="00245300" w:rsidRPr="00EC20A0" w:rsidRDefault="00F17249">
      <w:pPr>
        <w:pStyle w:val="BodyText"/>
        <w:spacing w:before="145"/>
        <w:rPr>
          <w:b/>
          <w:sz w:val="20"/>
        </w:rPr>
      </w:pPr>
      <w:r w:rsidRPr="00EC20A0">
        <w:rPr>
          <w:noProof/>
        </w:rPr>
        <mc:AlternateContent>
          <mc:Choice Requires="wps">
            <w:drawing>
              <wp:anchor distT="0" distB="0" distL="0" distR="0" simplePos="0" relativeHeight="487716352" behindDoc="1" locked="0" layoutInCell="1" allowOverlap="1" wp14:anchorId="24D62CAB" wp14:editId="24D62CAC">
                <wp:simplePos x="0" y="0"/>
                <wp:positionH relativeFrom="page">
                  <wp:posOffset>914400</wp:posOffset>
                </wp:positionH>
                <wp:positionV relativeFrom="paragraph">
                  <wp:posOffset>253631</wp:posOffset>
                </wp:positionV>
                <wp:extent cx="1828800" cy="5715"/>
                <wp:effectExtent l="0" t="0" r="0" b="0"/>
                <wp:wrapTopAndBottom/>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BA6DC" id="Graphic 858" o:spid="_x0000_s1026" style="position:absolute;margin-left:1in;margin-top:19.95pt;width:2in;height:.45pt;z-index:-1560012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" path="m1828800,l,,,5321r1828800,l1828800,xe" fillcolor="black" stroked="f">
                <v:path arrowok="t"/>
                <w10:wrap type="topAndBottom" anchorx="page"/>
              </v:shape>
            </w:pict>
          </mc:Fallback>
        </mc:AlternateContent>
      </w:r>
    </w:p>
    <w:p w14:paraId="24D61B0A" w14:textId="77777777" w:rsidR="00245300" w:rsidRPr="00EC20A0" w:rsidRDefault="00F17249">
      <w:pPr>
        <w:spacing w:before="196"/>
        <w:ind w:left="200" w:right="408" w:hanging="1"/>
        <w:rPr>
          <w:sz w:val="18"/>
        </w:rPr>
      </w:pPr>
      <w:bookmarkStart w:id="331" w:name="_bookmark191"/>
      <w:bookmarkEnd w:id="331"/>
      <w:r w:rsidRPr="00EC20A0">
        <w:rPr>
          <w:position w:val="7"/>
          <w:sz w:val="14"/>
        </w:rPr>
        <w:t>36</w:t>
      </w:r>
      <w:r w:rsidRPr="00EC20A0">
        <w:rPr>
          <w:sz w:val="18"/>
        </w:rPr>
        <w:t>The</w:t>
      </w:r>
      <w:r w:rsidRPr="00EC20A0">
        <w:rPr>
          <w:spacing w:val="-5"/>
          <w:sz w:val="18"/>
        </w:rPr>
        <w:t xml:space="preserve"> </w:t>
      </w:r>
      <w:r w:rsidRPr="00EC20A0">
        <w:rPr>
          <w:sz w:val="18"/>
        </w:rPr>
        <w:t>cancellation</w:t>
      </w:r>
      <w:r w:rsidRPr="00EC20A0">
        <w:rPr>
          <w:spacing w:val="-4"/>
          <w:sz w:val="18"/>
        </w:rPr>
        <w:t xml:space="preserve"> </w:t>
      </w:r>
      <w:r w:rsidRPr="00EC20A0">
        <w:rPr>
          <w:sz w:val="18"/>
        </w:rPr>
        <w:t>of</w:t>
      </w:r>
      <w:r w:rsidRPr="00EC20A0">
        <w:rPr>
          <w:spacing w:val="-3"/>
          <w:sz w:val="18"/>
        </w:rPr>
        <w:t xml:space="preserve"> </w:t>
      </w:r>
      <w:r w:rsidRPr="00EC20A0">
        <w:rPr>
          <w:sz w:val="18"/>
        </w:rPr>
        <w:t>expired</w:t>
      </w:r>
      <w:r w:rsidRPr="00EC20A0">
        <w:rPr>
          <w:spacing w:val="-4"/>
          <w:sz w:val="18"/>
        </w:rPr>
        <w:t xml:space="preserve"> </w:t>
      </w:r>
      <w:r w:rsidRPr="00EC20A0">
        <w:rPr>
          <w:sz w:val="18"/>
        </w:rPr>
        <w:t>appropriations</w:t>
      </w:r>
      <w:r w:rsidRPr="00EC20A0">
        <w:rPr>
          <w:spacing w:val="-3"/>
          <w:sz w:val="18"/>
        </w:rPr>
        <w:t xml:space="preserve"> </w:t>
      </w:r>
      <w:r w:rsidRPr="00EC20A0">
        <w:rPr>
          <w:sz w:val="18"/>
        </w:rPr>
        <w:t>reduces</w:t>
      </w:r>
      <w:r w:rsidRPr="00EC20A0">
        <w:rPr>
          <w:spacing w:val="-3"/>
          <w:sz w:val="18"/>
        </w:rPr>
        <w:t xml:space="preserve"> </w:t>
      </w:r>
      <w:r w:rsidRPr="00EC20A0">
        <w:rPr>
          <w:sz w:val="18"/>
        </w:rPr>
        <w:t>an</w:t>
      </w:r>
      <w:r w:rsidRPr="00EC20A0">
        <w:rPr>
          <w:spacing w:val="-4"/>
          <w:sz w:val="18"/>
        </w:rPr>
        <w:t xml:space="preserve"> </w:t>
      </w:r>
      <w:r w:rsidRPr="00EC20A0">
        <w:rPr>
          <w:sz w:val="18"/>
        </w:rPr>
        <w:t>entity’s</w:t>
      </w:r>
      <w:r w:rsidRPr="00EC20A0">
        <w:rPr>
          <w:spacing w:val="-3"/>
          <w:sz w:val="18"/>
        </w:rPr>
        <w:t xml:space="preserve"> </w:t>
      </w:r>
      <w:r w:rsidRPr="00EC20A0">
        <w:rPr>
          <w:sz w:val="18"/>
        </w:rPr>
        <w:t>FBWT</w:t>
      </w:r>
      <w:r w:rsidRPr="00EC20A0">
        <w:rPr>
          <w:sz w:val="24"/>
        </w:rPr>
        <w:t>.</w:t>
      </w:r>
      <w:r w:rsidRPr="00EC20A0">
        <w:rPr>
          <w:spacing w:val="-17"/>
          <w:sz w:val="24"/>
        </w:rPr>
        <w:t xml:space="preserve"> </w:t>
      </w:r>
      <w:r w:rsidRPr="00EC20A0">
        <w:rPr>
          <w:sz w:val="18"/>
        </w:rPr>
        <w:t>An</w:t>
      </w:r>
      <w:r w:rsidRPr="00EC20A0">
        <w:rPr>
          <w:spacing w:val="-3"/>
          <w:sz w:val="18"/>
        </w:rPr>
        <w:t xml:space="preserve"> </w:t>
      </w:r>
      <w:r w:rsidRPr="00EC20A0">
        <w:rPr>
          <w:sz w:val="18"/>
        </w:rPr>
        <w:t>expired</w:t>
      </w:r>
      <w:r w:rsidRPr="00EC20A0">
        <w:rPr>
          <w:spacing w:val="-4"/>
          <w:sz w:val="18"/>
        </w:rPr>
        <w:t xml:space="preserve"> </w:t>
      </w:r>
      <w:r w:rsidRPr="00EC20A0">
        <w:rPr>
          <w:sz w:val="18"/>
        </w:rPr>
        <w:t>account</w:t>
      </w:r>
      <w:r w:rsidRPr="00EC20A0">
        <w:rPr>
          <w:spacing w:val="-3"/>
          <w:sz w:val="18"/>
        </w:rPr>
        <w:t xml:space="preserve"> </w:t>
      </w:r>
      <w:r w:rsidRPr="00EC20A0">
        <w:rPr>
          <w:sz w:val="18"/>
        </w:rPr>
        <w:t>holds</w:t>
      </w:r>
      <w:r w:rsidRPr="00EC20A0">
        <w:rPr>
          <w:spacing w:val="-3"/>
          <w:sz w:val="18"/>
        </w:rPr>
        <w:t xml:space="preserve"> </w:t>
      </w:r>
      <w:r w:rsidRPr="00EC20A0">
        <w:rPr>
          <w:sz w:val="18"/>
        </w:rPr>
        <w:t>expired</w:t>
      </w:r>
      <w:r w:rsidRPr="00EC20A0">
        <w:rPr>
          <w:spacing w:val="-4"/>
          <w:sz w:val="18"/>
        </w:rPr>
        <w:t xml:space="preserve"> </w:t>
      </w:r>
      <w:r w:rsidRPr="00EC20A0">
        <w:rPr>
          <w:sz w:val="18"/>
        </w:rPr>
        <w:t>budget authority.</w:t>
      </w:r>
      <w:r w:rsidRPr="00EC20A0">
        <w:rPr>
          <w:spacing w:val="-2"/>
          <w:sz w:val="18"/>
        </w:rPr>
        <w:t xml:space="preserve"> </w:t>
      </w:r>
      <w:r w:rsidRPr="00EC20A0">
        <w:rPr>
          <w:sz w:val="18"/>
        </w:rPr>
        <w:t>The</w:t>
      </w:r>
      <w:r w:rsidRPr="00EC20A0">
        <w:rPr>
          <w:spacing w:val="-3"/>
          <w:sz w:val="18"/>
        </w:rPr>
        <w:t xml:space="preserve"> </w:t>
      </w:r>
      <w:r w:rsidRPr="00EC20A0">
        <w:rPr>
          <w:sz w:val="18"/>
        </w:rPr>
        <w:t>expired</w:t>
      </w:r>
      <w:r w:rsidRPr="00EC20A0">
        <w:rPr>
          <w:spacing w:val="-3"/>
          <w:sz w:val="18"/>
        </w:rPr>
        <w:t xml:space="preserve"> </w:t>
      </w:r>
      <w:r w:rsidRPr="00EC20A0">
        <w:rPr>
          <w:sz w:val="18"/>
        </w:rPr>
        <w:t>budget</w:t>
      </w:r>
      <w:r w:rsidRPr="00EC20A0">
        <w:rPr>
          <w:spacing w:val="-2"/>
          <w:sz w:val="18"/>
        </w:rPr>
        <w:t xml:space="preserve"> </w:t>
      </w:r>
      <w:r w:rsidRPr="00EC20A0">
        <w:rPr>
          <w:sz w:val="18"/>
        </w:rPr>
        <w:t>authority</w:t>
      </w:r>
      <w:r w:rsidRPr="00EC20A0">
        <w:rPr>
          <w:spacing w:val="-2"/>
          <w:sz w:val="18"/>
        </w:rPr>
        <w:t xml:space="preserve"> </w:t>
      </w:r>
      <w:r w:rsidRPr="00EC20A0">
        <w:rPr>
          <w:sz w:val="18"/>
        </w:rPr>
        <w:t>retains</w:t>
      </w:r>
      <w:r w:rsidRPr="00EC20A0">
        <w:rPr>
          <w:spacing w:val="-2"/>
          <w:sz w:val="18"/>
        </w:rPr>
        <w:t xml:space="preserve"> </w:t>
      </w:r>
      <w:r w:rsidRPr="00EC20A0">
        <w:rPr>
          <w:sz w:val="18"/>
        </w:rPr>
        <w:t>its</w:t>
      </w:r>
      <w:r w:rsidRPr="00EC20A0">
        <w:rPr>
          <w:spacing w:val="-2"/>
          <w:sz w:val="18"/>
        </w:rPr>
        <w:t xml:space="preserve"> </w:t>
      </w:r>
      <w:r w:rsidRPr="00EC20A0">
        <w:rPr>
          <w:sz w:val="18"/>
        </w:rPr>
        <w:t>fiscal</w:t>
      </w:r>
      <w:r w:rsidRPr="00EC20A0">
        <w:rPr>
          <w:spacing w:val="-2"/>
          <w:sz w:val="18"/>
        </w:rPr>
        <w:t xml:space="preserve"> </w:t>
      </w:r>
      <w:r w:rsidRPr="00EC20A0">
        <w:rPr>
          <w:sz w:val="18"/>
        </w:rPr>
        <w:t>year</w:t>
      </w:r>
      <w:r w:rsidRPr="00EC20A0">
        <w:rPr>
          <w:spacing w:val="-2"/>
          <w:sz w:val="18"/>
        </w:rPr>
        <w:t xml:space="preserve"> </w:t>
      </w:r>
      <w:r w:rsidRPr="00EC20A0">
        <w:rPr>
          <w:sz w:val="18"/>
        </w:rPr>
        <w:t>(or</w:t>
      </w:r>
      <w:r w:rsidRPr="00EC20A0">
        <w:rPr>
          <w:spacing w:val="-2"/>
          <w:sz w:val="18"/>
        </w:rPr>
        <w:t xml:space="preserve"> </w:t>
      </w:r>
      <w:r w:rsidRPr="00EC20A0">
        <w:rPr>
          <w:sz w:val="18"/>
        </w:rPr>
        <w:t>multiyear)</w:t>
      </w:r>
      <w:r w:rsidRPr="00EC20A0">
        <w:rPr>
          <w:spacing w:val="-1"/>
          <w:sz w:val="18"/>
        </w:rPr>
        <w:t xml:space="preserve"> </w:t>
      </w:r>
      <w:r w:rsidRPr="00EC20A0">
        <w:rPr>
          <w:sz w:val="18"/>
        </w:rPr>
        <w:t>identity</w:t>
      </w:r>
      <w:r w:rsidRPr="00EC20A0">
        <w:rPr>
          <w:spacing w:val="-2"/>
          <w:sz w:val="18"/>
        </w:rPr>
        <w:t xml:space="preserve"> </w:t>
      </w:r>
      <w:r w:rsidRPr="00EC20A0">
        <w:rPr>
          <w:sz w:val="18"/>
        </w:rPr>
        <w:t>for</w:t>
      </w:r>
      <w:r w:rsidRPr="00EC20A0">
        <w:rPr>
          <w:spacing w:val="-2"/>
          <w:sz w:val="18"/>
        </w:rPr>
        <w:t xml:space="preserve"> </w:t>
      </w:r>
      <w:r w:rsidRPr="00EC20A0">
        <w:rPr>
          <w:sz w:val="18"/>
        </w:rPr>
        <w:t>an</w:t>
      </w:r>
      <w:r w:rsidRPr="00EC20A0">
        <w:rPr>
          <w:spacing w:val="-3"/>
          <w:sz w:val="18"/>
        </w:rPr>
        <w:t xml:space="preserve"> </w:t>
      </w:r>
      <w:r w:rsidRPr="00EC20A0">
        <w:rPr>
          <w:sz w:val="18"/>
        </w:rPr>
        <w:t>additional</w:t>
      </w:r>
      <w:r w:rsidRPr="00EC20A0">
        <w:rPr>
          <w:spacing w:val="-2"/>
          <w:sz w:val="18"/>
        </w:rPr>
        <w:t xml:space="preserve"> </w:t>
      </w:r>
      <w:r w:rsidRPr="00EC20A0">
        <w:rPr>
          <w:sz w:val="18"/>
        </w:rPr>
        <w:t>5</w:t>
      </w:r>
      <w:r w:rsidRPr="00EC20A0">
        <w:rPr>
          <w:spacing w:val="-3"/>
          <w:sz w:val="18"/>
        </w:rPr>
        <w:t xml:space="preserve"> </w:t>
      </w:r>
      <w:r w:rsidRPr="00EC20A0">
        <w:rPr>
          <w:sz w:val="18"/>
        </w:rPr>
        <w:t>fiscal</w:t>
      </w:r>
      <w:r w:rsidRPr="00EC20A0">
        <w:rPr>
          <w:spacing w:val="-2"/>
          <w:sz w:val="18"/>
        </w:rPr>
        <w:t xml:space="preserve"> </w:t>
      </w:r>
      <w:r w:rsidRPr="00EC20A0">
        <w:rPr>
          <w:sz w:val="18"/>
        </w:rPr>
        <w:t xml:space="preserve">years. After the 5-year period has elapsed, all obligated and unobligated balances are canceled, the expired account is closed, and all remaining funds are returned to the General Fund and are thereafter no longer available for any </w:t>
      </w:r>
      <w:r w:rsidRPr="00EC20A0">
        <w:rPr>
          <w:spacing w:val="-2"/>
          <w:sz w:val="18"/>
        </w:rPr>
        <w:t>purpose.</w:t>
      </w:r>
    </w:p>
    <w:p w14:paraId="24D61B0B" w14:textId="77777777" w:rsidR="00245300" w:rsidRPr="00EC20A0" w:rsidRDefault="00245300">
      <w:pPr>
        <w:rPr>
          <w:sz w:val="18"/>
        </w:rPr>
        <w:sectPr w:rsidR="00245300" w:rsidRPr="00EC20A0">
          <w:pgSz w:w="12240" w:h="15840"/>
          <w:pgMar w:top="1340" w:right="1100" w:bottom="940" w:left="1240" w:header="721" w:footer="757" w:gutter="0"/>
          <w:cols w:space="720"/>
        </w:sectPr>
      </w:pPr>
    </w:p>
    <w:p w14:paraId="24D61B0C" w14:textId="77777777" w:rsidR="00245300" w:rsidRPr="00EC20A0" w:rsidRDefault="00245300">
      <w:pPr>
        <w:pStyle w:val="BodyText"/>
        <w:spacing w:before="9"/>
        <w:rPr>
          <w:sz w:val="11"/>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245300" w:rsidRPr="00EC20A0" w14:paraId="24D61B10" w14:textId="77777777">
        <w:trPr>
          <w:trHeight w:val="505"/>
        </w:trPr>
        <w:tc>
          <w:tcPr>
            <w:tcW w:w="6719" w:type="dxa"/>
            <w:tcBorders>
              <w:right w:val="single" w:sz="4" w:space="0" w:color="000000"/>
            </w:tcBorders>
          </w:tcPr>
          <w:p w14:paraId="24D61B0D" w14:textId="77777777" w:rsidR="00245300" w:rsidRPr="00EC20A0" w:rsidRDefault="00F17249">
            <w:pPr>
              <w:pStyle w:val="TableParagraph"/>
              <w:ind w:left="92"/>
              <w:rPr>
                <w:b/>
              </w:rPr>
            </w:pPr>
            <w:r w:rsidRPr="00EC20A0">
              <w:rPr>
                <w:b/>
                <w:spacing w:val="-2"/>
              </w:rPr>
              <w:t>Procedures</w:t>
            </w:r>
          </w:p>
        </w:tc>
        <w:tc>
          <w:tcPr>
            <w:tcW w:w="1427" w:type="dxa"/>
            <w:tcBorders>
              <w:left w:val="single" w:sz="4" w:space="0" w:color="000000"/>
              <w:right w:val="single" w:sz="4" w:space="0" w:color="000000"/>
            </w:tcBorders>
          </w:tcPr>
          <w:p w14:paraId="24D61B0E" w14:textId="77777777" w:rsidR="00245300" w:rsidRPr="00EC20A0" w:rsidRDefault="00F17249">
            <w:pPr>
              <w:pStyle w:val="TableParagraph"/>
              <w:ind w:left="108"/>
              <w:rPr>
                <w:b/>
              </w:rPr>
            </w:pPr>
            <w:r w:rsidRPr="00EC20A0">
              <w:rPr>
                <w:b/>
                <w:spacing w:val="-2"/>
              </w:rPr>
              <w:t>Initials/date</w:t>
            </w:r>
          </w:p>
        </w:tc>
        <w:tc>
          <w:tcPr>
            <w:tcW w:w="1061" w:type="dxa"/>
            <w:tcBorders>
              <w:left w:val="single" w:sz="4" w:space="0" w:color="000000"/>
            </w:tcBorders>
          </w:tcPr>
          <w:p w14:paraId="24D61B0F" w14:textId="77777777" w:rsidR="00245300" w:rsidRPr="00EC20A0" w:rsidRDefault="00F17249">
            <w:pPr>
              <w:pStyle w:val="TableParagraph"/>
              <w:spacing w:line="250" w:lineRule="atLeast"/>
              <w:ind w:left="109" w:right="443"/>
              <w:rPr>
                <w:b/>
              </w:rPr>
            </w:pPr>
            <w:r w:rsidRPr="00EC20A0">
              <w:rPr>
                <w:b/>
                <w:spacing w:val="-4"/>
              </w:rPr>
              <w:t>Doc. ref.</w:t>
            </w:r>
          </w:p>
        </w:tc>
      </w:tr>
      <w:tr w:rsidR="00245300" w:rsidRPr="00EC20A0" w14:paraId="24D61B14" w14:textId="77777777">
        <w:trPr>
          <w:trHeight w:val="711"/>
        </w:trPr>
        <w:tc>
          <w:tcPr>
            <w:tcW w:w="6719" w:type="dxa"/>
            <w:tcBorders>
              <w:bottom w:val="single" w:sz="4" w:space="0" w:color="000000"/>
              <w:right w:val="single" w:sz="4" w:space="0" w:color="000000"/>
            </w:tcBorders>
          </w:tcPr>
          <w:p w14:paraId="24D61B11" w14:textId="77777777" w:rsidR="00245300" w:rsidRPr="00EC20A0" w:rsidRDefault="00F17249">
            <w:pPr>
              <w:pStyle w:val="TableParagraph"/>
              <w:tabs>
                <w:tab w:val="left" w:pos="621"/>
              </w:tabs>
              <w:spacing w:before="85"/>
              <w:ind w:left="711" w:right="1117" w:hanging="577"/>
            </w:pPr>
            <w:r w:rsidRPr="00EC20A0">
              <w:rPr>
                <w:spacing w:val="-6"/>
              </w:rPr>
              <w:t>3)</w:t>
            </w:r>
            <w:r w:rsidRPr="00EC20A0">
              <w:tab/>
              <w:t>Document</w:t>
            </w:r>
            <w:r w:rsidRPr="00EC20A0">
              <w:rPr>
                <w:spacing w:val="-5"/>
              </w:rPr>
              <w:t xml:space="preserve"> </w:t>
            </w:r>
            <w:r w:rsidRPr="00EC20A0">
              <w:t>the</w:t>
            </w:r>
            <w:r w:rsidRPr="00EC20A0">
              <w:rPr>
                <w:spacing w:val="-5"/>
              </w:rPr>
              <w:t xml:space="preserve"> </w:t>
            </w:r>
            <w:r w:rsidRPr="00EC20A0">
              <w:t>results</w:t>
            </w:r>
            <w:r w:rsidRPr="00EC20A0">
              <w:rPr>
                <w:spacing w:val="-6"/>
              </w:rPr>
              <w:t xml:space="preserve"> </w:t>
            </w:r>
            <w:r w:rsidRPr="00EC20A0">
              <w:t>in</w:t>
            </w:r>
            <w:r w:rsidRPr="00EC20A0">
              <w:rPr>
                <w:spacing w:val="-6"/>
              </w:rPr>
              <w:t xml:space="preserve"> </w:t>
            </w:r>
            <w:r w:rsidRPr="00EC20A0">
              <w:t>a</w:t>
            </w:r>
            <w:r w:rsidRPr="00EC20A0">
              <w:rPr>
                <w:spacing w:val="-5"/>
              </w:rPr>
              <w:t xml:space="preserve"> </w:t>
            </w:r>
            <w:r w:rsidRPr="00EC20A0">
              <w:t>summary</w:t>
            </w:r>
            <w:r w:rsidRPr="00EC20A0">
              <w:rPr>
                <w:spacing w:val="-5"/>
              </w:rPr>
              <w:t xml:space="preserve"> </w:t>
            </w:r>
            <w:r w:rsidRPr="00EC20A0">
              <w:t>memo</w:t>
            </w:r>
            <w:r w:rsidRPr="00EC20A0">
              <w:rPr>
                <w:spacing w:val="-5"/>
              </w:rPr>
              <w:t xml:space="preserve"> </w:t>
            </w:r>
            <w:r w:rsidRPr="00EC20A0">
              <w:t>or</w:t>
            </w:r>
            <w:r w:rsidRPr="00EC20A0">
              <w:rPr>
                <w:spacing w:val="-5"/>
              </w:rPr>
              <w:t xml:space="preserve"> </w:t>
            </w:r>
            <w:r w:rsidRPr="00EC20A0">
              <w:t>other document as appropriate.</w:t>
            </w:r>
          </w:p>
        </w:tc>
        <w:tc>
          <w:tcPr>
            <w:tcW w:w="1427" w:type="dxa"/>
            <w:tcBorders>
              <w:left w:val="single" w:sz="4" w:space="0" w:color="000000"/>
              <w:bottom w:val="single" w:sz="4" w:space="0" w:color="000000"/>
              <w:right w:val="single" w:sz="4" w:space="0" w:color="000000"/>
            </w:tcBorders>
          </w:tcPr>
          <w:p w14:paraId="24D61B12" w14:textId="77777777" w:rsidR="00245300" w:rsidRPr="00EC20A0" w:rsidRDefault="00245300">
            <w:pPr>
              <w:pStyle w:val="TableParagraph"/>
              <w:rPr>
                <w:sz w:val="20"/>
              </w:rPr>
            </w:pPr>
          </w:p>
        </w:tc>
        <w:tc>
          <w:tcPr>
            <w:tcW w:w="1061" w:type="dxa"/>
            <w:tcBorders>
              <w:left w:val="single" w:sz="4" w:space="0" w:color="000000"/>
              <w:bottom w:val="single" w:sz="4" w:space="0" w:color="000000"/>
            </w:tcBorders>
          </w:tcPr>
          <w:p w14:paraId="24D61B13" w14:textId="77777777" w:rsidR="00245300" w:rsidRPr="00EC20A0" w:rsidRDefault="00245300">
            <w:pPr>
              <w:pStyle w:val="TableParagraph"/>
              <w:rPr>
                <w:sz w:val="20"/>
              </w:rPr>
            </w:pPr>
          </w:p>
        </w:tc>
      </w:tr>
      <w:tr w:rsidR="00245300" w:rsidRPr="00EC20A0" w14:paraId="24D61B1D" w14:textId="77777777">
        <w:trPr>
          <w:trHeight w:val="4296"/>
        </w:trPr>
        <w:tc>
          <w:tcPr>
            <w:tcW w:w="6719" w:type="dxa"/>
            <w:tcBorders>
              <w:top w:val="single" w:sz="4" w:space="0" w:color="000000"/>
              <w:bottom w:val="single" w:sz="4" w:space="0" w:color="000000"/>
              <w:right w:val="single" w:sz="4" w:space="0" w:color="000000"/>
            </w:tcBorders>
          </w:tcPr>
          <w:p w14:paraId="24D61B15" w14:textId="77777777" w:rsidR="00245300" w:rsidRPr="00EC20A0" w:rsidRDefault="00F17249">
            <w:pPr>
              <w:pStyle w:val="TableParagraph"/>
              <w:numPr>
                <w:ilvl w:val="0"/>
                <w:numId w:val="86"/>
              </w:numPr>
              <w:tabs>
                <w:tab w:val="left" w:pos="621"/>
                <w:tab w:val="left" w:pos="711"/>
              </w:tabs>
              <w:spacing w:before="120"/>
              <w:ind w:right="408" w:hanging="577"/>
            </w:pPr>
            <w:r w:rsidRPr="00EC20A0">
              <w:t>As</w:t>
            </w:r>
            <w:r w:rsidRPr="00EC20A0">
              <w:rPr>
                <w:spacing w:val="-6"/>
              </w:rPr>
              <w:t xml:space="preserve"> </w:t>
            </w:r>
            <w:r w:rsidRPr="00EC20A0">
              <w:t>necessary,</w:t>
            </w:r>
            <w:r w:rsidRPr="00EC20A0">
              <w:rPr>
                <w:spacing w:val="-6"/>
              </w:rPr>
              <w:t xml:space="preserve"> </w:t>
            </w:r>
            <w:r w:rsidRPr="00EC20A0">
              <w:t>complete</w:t>
            </w:r>
            <w:r w:rsidRPr="00EC20A0">
              <w:rPr>
                <w:spacing w:val="-7"/>
              </w:rPr>
              <w:t xml:space="preserve"> </w:t>
            </w:r>
            <w:r w:rsidRPr="00EC20A0">
              <w:t>other</w:t>
            </w:r>
            <w:r w:rsidRPr="00EC20A0">
              <w:rPr>
                <w:spacing w:val="-6"/>
              </w:rPr>
              <w:t xml:space="preserve"> </w:t>
            </w:r>
            <w:r w:rsidRPr="00EC20A0">
              <w:t>audit</w:t>
            </w:r>
            <w:r w:rsidRPr="00EC20A0">
              <w:rPr>
                <w:spacing w:val="-6"/>
              </w:rPr>
              <w:t xml:space="preserve"> </w:t>
            </w:r>
            <w:r w:rsidRPr="00EC20A0">
              <w:t>procedures</w:t>
            </w:r>
            <w:r w:rsidRPr="00EC20A0">
              <w:rPr>
                <w:spacing w:val="-6"/>
              </w:rPr>
              <w:t xml:space="preserve"> </w:t>
            </w:r>
            <w:r w:rsidRPr="00EC20A0">
              <w:t>for</w:t>
            </w:r>
            <w:r w:rsidRPr="00EC20A0">
              <w:rPr>
                <w:spacing w:val="-6"/>
              </w:rPr>
              <w:t xml:space="preserve"> </w:t>
            </w:r>
            <w:r w:rsidRPr="00EC20A0">
              <w:t>FBWT, including tests of entity</w:t>
            </w:r>
          </w:p>
          <w:p w14:paraId="24D61B16" w14:textId="77777777" w:rsidR="00245300" w:rsidRPr="00EC20A0" w:rsidRDefault="00F17249">
            <w:pPr>
              <w:pStyle w:val="TableParagraph"/>
              <w:numPr>
                <w:ilvl w:val="1"/>
                <w:numId w:val="86"/>
              </w:numPr>
              <w:tabs>
                <w:tab w:val="left" w:pos="1172"/>
              </w:tabs>
              <w:spacing w:before="239"/>
            </w:pPr>
            <w:r w:rsidRPr="00EC20A0">
              <w:t>fund</w:t>
            </w:r>
            <w:r w:rsidRPr="00EC20A0">
              <w:rPr>
                <w:spacing w:val="-5"/>
              </w:rPr>
              <w:t xml:space="preserve"> </w:t>
            </w:r>
            <w:r w:rsidRPr="00EC20A0">
              <w:rPr>
                <w:spacing w:val="-2"/>
              </w:rPr>
              <w:t>controls,</w:t>
            </w:r>
          </w:p>
          <w:p w14:paraId="24D61B17" w14:textId="77777777" w:rsidR="00245300" w:rsidRPr="00EC20A0" w:rsidRDefault="00F17249">
            <w:pPr>
              <w:pStyle w:val="TableParagraph"/>
              <w:numPr>
                <w:ilvl w:val="1"/>
                <w:numId w:val="86"/>
              </w:numPr>
              <w:tabs>
                <w:tab w:val="left" w:pos="1172"/>
              </w:tabs>
              <w:spacing w:before="238"/>
              <w:ind w:right="1003"/>
            </w:pPr>
            <w:r w:rsidRPr="00EC20A0">
              <w:t>cash</w:t>
            </w:r>
            <w:r w:rsidRPr="00EC20A0">
              <w:rPr>
                <w:spacing w:val="-6"/>
              </w:rPr>
              <w:t xml:space="preserve"> </w:t>
            </w:r>
            <w:r w:rsidRPr="00EC20A0">
              <w:t>on</w:t>
            </w:r>
            <w:r w:rsidRPr="00EC20A0">
              <w:rPr>
                <w:spacing w:val="-6"/>
              </w:rPr>
              <w:t xml:space="preserve"> </w:t>
            </w:r>
            <w:r w:rsidRPr="00EC20A0">
              <w:t>deposit</w:t>
            </w:r>
            <w:r w:rsidRPr="00EC20A0">
              <w:rPr>
                <w:spacing w:val="-6"/>
              </w:rPr>
              <w:t xml:space="preserve"> </w:t>
            </w:r>
            <w:r w:rsidRPr="00EC20A0">
              <w:t>bank</w:t>
            </w:r>
            <w:r w:rsidRPr="00EC20A0">
              <w:rPr>
                <w:spacing w:val="-6"/>
              </w:rPr>
              <w:t xml:space="preserve"> </w:t>
            </w:r>
            <w:r w:rsidRPr="00EC20A0">
              <w:t>accounts</w:t>
            </w:r>
            <w:r w:rsidRPr="00EC20A0">
              <w:rPr>
                <w:spacing w:val="-6"/>
              </w:rPr>
              <w:t xml:space="preserve"> </w:t>
            </w:r>
            <w:r w:rsidRPr="00EC20A0">
              <w:t>and</w:t>
            </w:r>
            <w:r w:rsidRPr="00EC20A0">
              <w:rPr>
                <w:spacing w:val="-7"/>
              </w:rPr>
              <w:t xml:space="preserve"> </w:t>
            </w:r>
            <w:r w:rsidRPr="00EC20A0">
              <w:t>petty</w:t>
            </w:r>
            <w:r w:rsidRPr="00EC20A0">
              <w:rPr>
                <w:spacing w:val="-6"/>
              </w:rPr>
              <w:t xml:space="preserve"> </w:t>
            </w:r>
            <w:r w:rsidRPr="00EC20A0">
              <w:t>cash (</w:t>
            </w:r>
            <w:proofErr w:type="spellStart"/>
            <w:r w:rsidRPr="00EC20A0">
              <w:t>imprest</w:t>
            </w:r>
            <w:proofErr w:type="spellEnd"/>
            <w:r w:rsidRPr="00EC20A0">
              <w:t>) funds,</w:t>
            </w:r>
          </w:p>
          <w:p w14:paraId="24D61B18" w14:textId="77777777" w:rsidR="00245300" w:rsidRPr="00EC20A0" w:rsidRDefault="00F17249">
            <w:pPr>
              <w:pStyle w:val="TableParagraph"/>
              <w:numPr>
                <w:ilvl w:val="1"/>
                <w:numId w:val="86"/>
              </w:numPr>
              <w:tabs>
                <w:tab w:val="left" w:pos="1172"/>
              </w:tabs>
              <w:spacing w:before="239"/>
              <w:ind w:right="222"/>
            </w:pPr>
            <w:r w:rsidRPr="00EC20A0">
              <w:t>steps to test the specific requirements or compliance with selected provisions of applicable laws and regulations</w:t>
            </w:r>
            <w:r w:rsidRPr="00EC20A0">
              <w:rPr>
                <w:spacing w:val="-6"/>
              </w:rPr>
              <w:t xml:space="preserve"> </w:t>
            </w:r>
            <w:r w:rsidRPr="00EC20A0">
              <w:t>related</w:t>
            </w:r>
            <w:r w:rsidRPr="00EC20A0">
              <w:rPr>
                <w:spacing w:val="-6"/>
              </w:rPr>
              <w:t xml:space="preserve"> </w:t>
            </w:r>
            <w:r w:rsidRPr="00EC20A0">
              <w:t>to</w:t>
            </w:r>
            <w:r w:rsidRPr="00EC20A0">
              <w:rPr>
                <w:spacing w:val="-6"/>
              </w:rPr>
              <w:t xml:space="preserve"> </w:t>
            </w:r>
            <w:r w:rsidRPr="00EC20A0">
              <w:t>certain</w:t>
            </w:r>
            <w:r w:rsidRPr="00EC20A0">
              <w:rPr>
                <w:spacing w:val="-6"/>
              </w:rPr>
              <w:t xml:space="preserve"> </w:t>
            </w:r>
            <w:r w:rsidRPr="00EC20A0">
              <w:t>types</w:t>
            </w:r>
            <w:r w:rsidRPr="00EC20A0">
              <w:rPr>
                <w:spacing w:val="-6"/>
              </w:rPr>
              <w:t xml:space="preserve"> </w:t>
            </w:r>
            <w:r w:rsidRPr="00EC20A0">
              <w:t>of</w:t>
            </w:r>
            <w:r w:rsidRPr="00EC20A0">
              <w:rPr>
                <w:spacing w:val="-7"/>
              </w:rPr>
              <w:t xml:space="preserve"> </w:t>
            </w:r>
            <w:r w:rsidRPr="00EC20A0">
              <w:t>FBWT</w:t>
            </w:r>
            <w:r w:rsidRPr="00EC20A0">
              <w:rPr>
                <w:spacing w:val="-6"/>
              </w:rPr>
              <w:t xml:space="preserve"> </w:t>
            </w:r>
            <w:r w:rsidRPr="00EC20A0">
              <w:t>accounts,</w:t>
            </w:r>
          </w:p>
          <w:p w14:paraId="24D61B19" w14:textId="77777777" w:rsidR="00245300" w:rsidRPr="00EC20A0" w:rsidRDefault="00F17249">
            <w:pPr>
              <w:pStyle w:val="TableParagraph"/>
              <w:numPr>
                <w:ilvl w:val="1"/>
                <w:numId w:val="86"/>
              </w:numPr>
              <w:tabs>
                <w:tab w:val="left" w:pos="1172"/>
              </w:tabs>
              <w:spacing w:before="238"/>
              <w:ind w:right="332"/>
            </w:pPr>
            <w:r w:rsidRPr="00EC20A0">
              <w:t>reconciliations</w:t>
            </w:r>
            <w:r w:rsidRPr="00EC20A0">
              <w:rPr>
                <w:spacing w:val="-8"/>
              </w:rPr>
              <w:t xml:space="preserve"> </w:t>
            </w:r>
            <w:r w:rsidRPr="00EC20A0">
              <w:t>of</w:t>
            </w:r>
            <w:r w:rsidRPr="00EC20A0">
              <w:rPr>
                <w:spacing w:val="-8"/>
              </w:rPr>
              <w:t xml:space="preserve"> </w:t>
            </w:r>
            <w:r w:rsidRPr="00EC20A0">
              <w:t>proprietary</w:t>
            </w:r>
            <w:r w:rsidRPr="00EC20A0">
              <w:rPr>
                <w:spacing w:val="-8"/>
              </w:rPr>
              <w:t xml:space="preserve"> </w:t>
            </w:r>
            <w:r w:rsidRPr="00EC20A0">
              <w:t>and</w:t>
            </w:r>
            <w:r w:rsidRPr="00EC20A0">
              <w:rPr>
                <w:spacing w:val="-8"/>
              </w:rPr>
              <w:t xml:space="preserve"> </w:t>
            </w:r>
            <w:r w:rsidRPr="00EC20A0">
              <w:t>budgetary</w:t>
            </w:r>
            <w:r w:rsidRPr="00EC20A0">
              <w:rPr>
                <w:spacing w:val="-7"/>
              </w:rPr>
              <w:t xml:space="preserve"> </w:t>
            </w:r>
            <w:r w:rsidRPr="00EC20A0">
              <w:t xml:space="preserve">amounts, </w:t>
            </w:r>
            <w:r w:rsidRPr="00EC20A0">
              <w:rPr>
                <w:spacing w:val="-4"/>
              </w:rPr>
              <w:t>and</w:t>
            </w:r>
          </w:p>
          <w:p w14:paraId="24D61B1A" w14:textId="77777777" w:rsidR="00245300" w:rsidRPr="00EC20A0" w:rsidRDefault="00F17249">
            <w:pPr>
              <w:pStyle w:val="TableParagraph"/>
              <w:numPr>
                <w:ilvl w:val="1"/>
                <w:numId w:val="86"/>
              </w:numPr>
              <w:tabs>
                <w:tab w:val="left" w:pos="1172"/>
              </w:tabs>
              <w:spacing w:before="238"/>
            </w:pPr>
            <w:r w:rsidRPr="00EC20A0">
              <w:t>year-end</w:t>
            </w:r>
            <w:r w:rsidRPr="00EC20A0">
              <w:rPr>
                <w:spacing w:val="-7"/>
              </w:rPr>
              <w:t xml:space="preserve"> </w:t>
            </w:r>
            <w:r w:rsidRPr="00EC20A0">
              <w:t>reporting</w:t>
            </w:r>
            <w:r w:rsidRPr="00EC20A0">
              <w:rPr>
                <w:spacing w:val="-7"/>
              </w:rPr>
              <w:t xml:space="preserve"> </w:t>
            </w:r>
            <w:r w:rsidRPr="00EC20A0">
              <w:t>to</w:t>
            </w:r>
            <w:r w:rsidRPr="00EC20A0">
              <w:rPr>
                <w:spacing w:val="-7"/>
              </w:rPr>
              <w:t xml:space="preserve"> </w:t>
            </w:r>
            <w:r w:rsidRPr="00EC20A0">
              <w:t>Treasury</w:t>
            </w:r>
            <w:r w:rsidRPr="00EC20A0">
              <w:rPr>
                <w:spacing w:val="-7"/>
              </w:rPr>
              <w:t xml:space="preserve"> </w:t>
            </w:r>
            <w:r w:rsidRPr="00EC20A0">
              <w:t>and</w:t>
            </w:r>
            <w:r w:rsidRPr="00EC20A0">
              <w:rPr>
                <w:spacing w:val="-8"/>
              </w:rPr>
              <w:t xml:space="preserve"> </w:t>
            </w:r>
            <w:r w:rsidRPr="00EC20A0">
              <w:rPr>
                <w:spacing w:val="-4"/>
              </w:rPr>
              <w:t>OMB.</w:t>
            </w:r>
          </w:p>
        </w:tc>
        <w:tc>
          <w:tcPr>
            <w:tcW w:w="1427" w:type="dxa"/>
            <w:tcBorders>
              <w:top w:val="single" w:sz="4" w:space="0" w:color="000000"/>
              <w:left w:val="single" w:sz="4" w:space="0" w:color="000000"/>
              <w:bottom w:val="single" w:sz="4" w:space="0" w:color="000000"/>
              <w:right w:val="single" w:sz="4" w:space="0" w:color="000000"/>
            </w:tcBorders>
          </w:tcPr>
          <w:p w14:paraId="24D61B1B" w14:textId="77777777" w:rsidR="00245300" w:rsidRPr="00EC20A0" w:rsidRDefault="00245300">
            <w:pPr>
              <w:pStyle w:val="TableParagraph"/>
              <w:rPr>
                <w:sz w:val="20"/>
              </w:rPr>
            </w:pPr>
          </w:p>
        </w:tc>
        <w:tc>
          <w:tcPr>
            <w:tcW w:w="1061" w:type="dxa"/>
            <w:tcBorders>
              <w:top w:val="single" w:sz="4" w:space="0" w:color="000000"/>
              <w:left w:val="single" w:sz="4" w:space="0" w:color="000000"/>
              <w:bottom w:val="single" w:sz="4" w:space="0" w:color="000000"/>
            </w:tcBorders>
          </w:tcPr>
          <w:p w14:paraId="24D61B1C" w14:textId="77777777" w:rsidR="00245300" w:rsidRPr="00EC20A0" w:rsidRDefault="00245300">
            <w:pPr>
              <w:pStyle w:val="TableParagraph"/>
              <w:rPr>
                <w:sz w:val="20"/>
              </w:rPr>
            </w:pPr>
          </w:p>
        </w:tc>
      </w:tr>
      <w:tr w:rsidR="00245300" w:rsidRPr="00EC20A0" w14:paraId="24D61B1F" w14:textId="77777777">
        <w:trPr>
          <w:trHeight w:val="494"/>
        </w:trPr>
        <w:tc>
          <w:tcPr>
            <w:tcW w:w="9207" w:type="dxa"/>
            <w:gridSpan w:val="3"/>
            <w:tcBorders>
              <w:top w:val="single" w:sz="4" w:space="0" w:color="000000"/>
            </w:tcBorders>
          </w:tcPr>
          <w:p w14:paraId="24D61B1E" w14:textId="77777777" w:rsidR="00245300" w:rsidRPr="00EC20A0" w:rsidRDefault="00F17249">
            <w:pPr>
              <w:pStyle w:val="TableParagraph"/>
              <w:spacing w:before="120"/>
              <w:ind w:left="92"/>
            </w:pPr>
            <w:r w:rsidRPr="00EC20A0">
              <w:t>Note:</w:t>
            </w:r>
            <w:r w:rsidRPr="00EC20A0">
              <w:rPr>
                <w:spacing w:val="-6"/>
              </w:rPr>
              <w:t xml:space="preserve"> </w:t>
            </w:r>
            <w:r w:rsidRPr="00EC20A0">
              <w:t>These</w:t>
            </w:r>
            <w:r w:rsidRPr="00EC20A0">
              <w:rPr>
                <w:spacing w:val="-5"/>
              </w:rPr>
              <w:t xml:space="preserve"> </w:t>
            </w:r>
            <w:r w:rsidRPr="00EC20A0">
              <w:t>audit</w:t>
            </w:r>
            <w:r w:rsidRPr="00EC20A0">
              <w:rPr>
                <w:spacing w:val="-5"/>
              </w:rPr>
              <w:t xml:space="preserve"> </w:t>
            </w:r>
            <w:r w:rsidRPr="00EC20A0">
              <w:t>procedures</w:t>
            </w:r>
            <w:r w:rsidRPr="00EC20A0">
              <w:rPr>
                <w:spacing w:val="-6"/>
              </w:rPr>
              <w:t xml:space="preserve"> </w:t>
            </w:r>
            <w:r w:rsidRPr="00EC20A0">
              <w:t>are</w:t>
            </w:r>
            <w:r w:rsidRPr="00EC20A0">
              <w:rPr>
                <w:spacing w:val="-5"/>
              </w:rPr>
              <w:t xml:space="preserve"> </w:t>
            </w:r>
            <w:r w:rsidRPr="00EC20A0">
              <w:t>not</w:t>
            </w:r>
            <w:r w:rsidRPr="00EC20A0">
              <w:rPr>
                <w:spacing w:val="-5"/>
              </w:rPr>
              <w:t xml:space="preserve"> </w:t>
            </w:r>
            <w:r w:rsidRPr="00EC20A0">
              <w:t>intended</w:t>
            </w:r>
            <w:r w:rsidRPr="00EC20A0">
              <w:rPr>
                <w:spacing w:val="-6"/>
              </w:rPr>
              <w:t xml:space="preserve"> </w:t>
            </w:r>
            <w:r w:rsidRPr="00EC20A0">
              <w:t>to</w:t>
            </w:r>
            <w:r w:rsidRPr="00EC20A0">
              <w:rPr>
                <w:spacing w:val="-5"/>
              </w:rPr>
              <w:t xml:space="preserve"> </w:t>
            </w:r>
            <w:r w:rsidRPr="00EC20A0">
              <w:t>be</w:t>
            </w:r>
            <w:r w:rsidRPr="00EC20A0">
              <w:rPr>
                <w:spacing w:val="-5"/>
              </w:rPr>
              <w:t xml:space="preserve"> </w:t>
            </w:r>
            <w:r w:rsidRPr="00EC20A0">
              <w:t>all</w:t>
            </w:r>
            <w:r w:rsidRPr="00EC20A0">
              <w:rPr>
                <w:spacing w:val="-6"/>
              </w:rPr>
              <w:t xml:space="preserve"> </w:t>
            </w:r>
            <w:r w:rsidRPr="00EC20A0">
              <w:rPr>
                <w:spacing w:val="-2"/>
              </w:rPr>
              <w:t>inclusive.</w:t>
            </w:r>
          </w:p>
        </w:tc>
      </w:tr>
    </w:tbl>
    <w:p w14:paraId="24D61B20" w14:textId="77777777" w:rsidR="00245300" w:rsidRPr="00EC20A0" w:rsidRDefault="00245300">
      <w:pPr>
        <w:sectPr w:rsidR="00245300" w:rsidRPr="00EC20A0">
          <w:pgSz w:w="12240" w:h="15840"/>
          <w:pgMar w:top="1340" w:right="1100" w:bottom="940" w:left="1240" w:header="721" w:footer="757" w:gutter="0"/>
          <w:cols w:space="720"/>
        </w:sectPr>
      </w:pPr>
    </w:p>
    <w:p w14:paraId="24D61B21" w14:textId="77777777" w:rsidR="00245300" w:rsidRPr="00EC20A0" w:rsidRDefault="00F17249">
      <w:pPr>
        <w:pStyle w:val="Heading3"/>
        <w:ind w:left="200" w:right="408"/>
        <w:rPr>
          <w:u w:val="none"/>
        </w:rPr>
      </w:pPr>
      <w:bookmarkStart w:id="332" w:name="921_B_–_Example_Audit_Procedures_for_Aud"/>
      <w:bookmarkStart w:id="333" w:name="_bookmark192"/>
      <w:bookmarkEnd w:id="332"/>
      <w:bookmarkEnd w:id="333"/>
      <w:r w:rsidRPr="00EC20A0">
        <w:rPr>
          <w:u w:val="thick"/>
        </w:rPr>
        <w:t>921</w:t>
      </w:r>
      <w:r w:rsidRPr="00EC20A0">
        <w:rPr>
          <w:spacing w:val="-7"/>
          <w:u w:val="thick"/>
        </w:rPr>
        <w:t xml:space="preserve"> </w:t>
      </w:r>
      <w:r w:rsidRPr="00EC20A0">
        <w:rPr>
          <w:u w:val="thick"/>
        </w:rPr>
        <w:t>B</w:t>
      </w:r>
      <w:r w:rsidRPr="00EC20A0">
        <w:rPr>
          <w:spacing w:val="-7"/>
          <w:u w:val="thick"/>
        </w:rPr>
        <w:t xml:space="preserve"> </w:t>
      </w:r>
      <w:r w:rsidRPr="00EC20A0">
        <w:rPr>
          <w:u w:val="thick"/>
        </w:rPr>
        <w:t>–</w:t>
      </w:r>
      <w:r w:rsidRPr="00EC20A0">
        <w:rPr>
          <w:spacing w:val="-7"/>
          <w:u w:val="thick"/>
        </w:rPr>
        <w:t xml:space="preserve"> </w:t>
      </w:r>
      <w:r w:rsidRPr="00EC20A0">
        <w:rPr>
          <w:u w:val="thick"/>
        </w:rPr>
        <w:t>Example</w:t>
      </w:r>
      <w:r w:rsidRPr="00EC20A0">
        <w:rPr>
          <w:spacing w:val="-19"/>
          <w:u w:val="thick"/>
        </w:rPr>
        <w:t xml:space="preserve"> </w:t>
      </w:r>
      <w:r w:rsidRPr="00EC20A0">
        <w:rPr>
          <w:u w:val="thick"/>
        </w:rPr>
        <w:t>Audit</w:t>
      </w:r>
      <w:r w:rsidRPr="00EC20A0">
        <w:rPr>
          <w:spacing w:val="-7"/>
          <w:u w:val="thick"/>
        </w:rPr>
        <w:t xml:space="preserve"> </w:t>
      </w:r>
      <w:r w:rsidRPr="00EC20A0">
        <w:rPr>
          <w:u w:val="thick"/>
        </w:rPr>
        <w:t>Procedures</w:t>
      </w:r>
      <w:r w:rsidRPr="00EC20A0">
        <w:rPr>
          <w:spacing w:val="-7"/>
          <w:u w:val="thick"/>
        </w:rPr>
        <w:t xml:space="preserve"> </w:t>
      </w:r>
      <w:r w:rsidRPr="00EC20A0">
        <w:rPr>
          <w:u w:val="thick"/>
        </w:rPr>
        <w:t>for</w:t>
      </w:r>
      <w:r w:rsidRPr="00EC20A0">
        <w:rPr>
          <w:spacing w:val="-19"/>
          <w:u w:val="thick"/>
        </w:rPr>
        <w:t xml:space="preserve"> </w:t>
      </w:r>
      <w:r w:rsidRPr="00EC20A0">
        <w:rPr>
          <w:u w:val="thick"/>
        </w:rPr>
        <w:t>Auditing</w:t>
      </w:r>
      <w:r w:rsidRPr="00EC20A0">
        <w:rPr>
          <w:spacing w:val="-7"/>
          <w:u w:val="thick"/>
        </w:rPr>
        <w:t xml:space="preserve"> </w:t>
      </w:r>
      <w:r w:rsidRPr="00EC20A0">
        <w:rPr>
          <w:u w:val="thick"/>
        </w:rPr>
        <w:t>TAS</w:t>
      </w:r>
      <w:r w:rsidRPr="00EC20A0">
        <w:rPr>
          <w:spacing w:val="-7"/>
          <w:u w:val="thick"/>
        </w:rPr>
        <w:t xml:space="preserve"> </w:t>
      </w:r>
      <w:r w:rsidRPr="00EC20A0">
        <w:rPr>
          <w:u w:val="thick"/>
        </w:rPr>
        <w:t>and</w:t>
      </w:r>
      <w:r w:rsidRPr="00EC20A0">
        <w:rPr>
          <w:u w:val="none"/>
        </w:rPr>
        <w:t xml:space="preserve"> </w:t>
      </w:r>
      <w:r w:rsidRPr="00EC20A0">
        <w:rPr>
          <w:spacing w:val="-4"/>
          <w:u w:val="thick"/>
        </w:rPr>
        <w:t>BETC</w:t>
      </w:r>
    </w:p>
    <w:p w14:paraId="24D61B22" w14:textId="77777777" w:rsidR="00245300" w:rsidRPr="00EC20A0" w:rsidRDefault="00245300">
      <w:pPr>
        <w:pStyle w:val="BodyText"/>
        <w:rPr>
          <w:b/>
          <w:sz w:val="20"/>
        </w:rPr>
      </w:pPr>
    </w:p>
    <w:p w14:paraId="24D61B23" w14:textId="77777777" w:rsidR="00245300" w:rsidRPr="00EC20A0" w:rsidRDefault="00245300">
      <w:pPr>
        <w:pStyle w:val="BodyText"/>
        <w:spacing w:before="47"/>
        <w:rPr>
          <w:b/>
          <w:sz w:val="20"/>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287"/>
        <w:gridCol w:w="973"/>
        <w:gridCol w:w="1949"/>
      </w:tblGrid>
      <w:tr w:rsidR="00245300" w:rsidRPr="00EC20A0" w14:paraId="24D61B27" w14:textId="77777777">
        <w:trPr>
          <w:trHeight w:val="745"/>
        </w:trPr>
        <w:tc>
          <w:tcPr>
            <w:tcW w:w="6287" w:type="dxa"/>
            <w:tcBorders>
              <w:right w:val="single" w:sz="4" w:space="0" w:color="000000"/>
            </w:tcBorders>
          </w:tcPr>
          <w:p w14:paraId="24D61B24" w14:textId="77777777" w:rsidR="00245300" w:rsidRPr="00EC20A0" w:rsidRDefault="00F17249">
            <w:pPr>
              <w:pStyle w:val="TableParagraph"/>
              <w:spacing w:before="121"/>
              <w:ind w:left="92"/>
              <w:rPr>
                <w:b/>
              </w:rPr>
            </w:pPr>
            <w:r w:rsidRPr="00EC20A0">
              <w:rPr>
                <w:b/>
                <w:spacing w:val="-2"/>
              </w:rPr>
              <w:t>Procedures</w:t>
            </w:r>
          </w:p>
        </w:tc>
        <w:tc>
          <w:tcPr>
            <w:tcW w:w="973" w:type="dxa"/>
            <w:tcBorders>
              <w:left w:val="single" w:sz="4" w:space="0" w:color="000000"/>
              <w:right w:val="single" w:sz="4" w:space="0" w:color="000000"/>
            </w:tcBorders>
          </w:tcPr>
          <w:p w14:paraId="24D61B25" w14:textId="77777777" w:rsidR="00245300" w:rsidRPr="00EC20A0" w:rsidRDefault="00F17249">
            <w:pPr>
              <w:pStyle w:val="TableParagraph"/>
              <w:spacing w:before="120"/>
              <w:ind w:left="110"/>
              <w:rPr>
                <w:b/>
              </w:rPr>
            </w:pPr>
            <w:r w:rsidRPr="00EC20A0">
              <w:rPr>
                <w:b/>
                <w:spacing w:val="-2"/>
              </w:rPr>
              <w:t xml:space="preserve">Initials/ </w:t>
            </w:r>
            <w:r w:rsidRPr="00EC20A0">
              <w:rPr>
                <w:b/>
                <w:spacing w:val="-4"/>
              </w:rPr>
              <w:t>date</w:t>
            </w:r>
          </w:p>
        </w:tc>
        <w:tc>
          <w:tcPr>
            <w:tcW w:w="1949" w:type="dxa"/>
            <w:tcBorders>
              <w:left w:val="single" w:sz="4" w:space="0" w:color="000000"/>
            </w:tcBorders>
          </w:tcPr>
          <w:p w14:paraId="24D61B26" w14:textId="77777777" w:rsidR="00245300" w:rsidRPr="00EC20A0" w:rsidRDefault="00F17249">
            <w:pPr>
              <w:pStyle w:val="TableParagraph"/>
              <w:spacing w:before="121"/>
              <w:ind w:left="110"/>
              <w:rPr>
                <w:b/>
              </w:rPr>
            </w:pPr>
            <w:r w:rsidRPr="00EC20A0">
              <w:rPr>
                <w:b/>
              </w:rPr>
              <w:t>Doc.</w:t>
            </w:r>
            <w:r w:rsidRPr="00EC20A0">
              <w:rPr>
                <w:b/>
                <w:spacing w:val="-5"/>
              </w:rPr>
              <w:t xml:space="preserve"> </w:t>
            </w:r>
            <w:r w:rsidRPr="00EC20A0">
              <w:rPr>
                <w:b/>
                <w:spacing w:val="-4"/>
              </w:rPr>
              <w:t>ref.</w:t>
            </w:r>
          </w:p>
        </w:tc>
      </w:tr>
      <w:tr w:rsidR="00245300" w:rsidRPr="00EC20A0" w14:paraId="24D61B29" w14:textId="77777777">
        <w:trPr>
          <w:trHeight w:val="494"/>
        </w:trPr>
        <w:tc>
          <w:tcPr>
            <w:tcW w:w="9209" w:type="dxa"/>
            <w:gridSpan w:val="3"/>
            <w:tcBorders>
              <w:bottom w:val="single" w:sz="4" w:space="0" w:color="000000"/>
            </w:tcBorders>
          </w:tcPr>
          <w:p w14:paraId="24D61B28" w14:textId="77777777" w:rsidR="00245300" w:rsidRPr="00EC20A0" w:rsidRDefault="00F17249">
            <w:pPr>
              <w:pStyle w:val="TableParagraph"/>
              <w:spacing w:before="121"/>
              <w:ind w:left="127"/>
              <w:rPr>
                <w:b/>
              </w:rPr>
            </w:pPr>
            <w:r w:rsidRPr="00EC20A0">
              <w:rPr>
                <w:b/>
              </w:rPr>
              <w:t>I.</w:t>
            </w:r>
            <w:r w:rsidRPr="00EC20A0">
              <w:rPr>
                <w:b/>
                <w:spacing w:val="-7"/>
              </w:rPr>
              <w:t xml:space="preserve"> </w:t>
            </w:r>
            <w:r w:rsidRPr="00EC20A0">
              <w:rPr>
                <w:b/>
              </w:rPr>
              <w:t>Planning</w:t>
            </w:r>
            <w:r w:rsidRPr="00EC20A0">
              <w:rPr>
                <w:b/>
                <w:spacing w:val="-6"/>
              </w:rPr>
              <w:t xml:space="preserve"> </w:t>
            </w:r>
            <w:r w:rsidRPr="00EC20A0">
              <w:rPr>
                <w:b/>
              </w:rPr>
              <w:t>and</w:t>
            </w:r>
            <w:r w:rsidRPr="00EC20A0">
              <w:rPr>
                <w:b/>
                <w:spacing w:val="-6"/>
              </w:rPr>
              <w:t xml:space="preserve"> </w:t>
            </w:r>
            <w:r w:rsidRPr="00EC20A0">
              <w:rPr>
                <w:b/>
              </w:rPr>
              <w:t>Internal</w:t>
            </w:r>
            <w:r w:rsidRPr="00EC20A0">
              <w:rPr>
                <w:b/>
                <w:spacing w:val="-6"/>
              </w:rPr>
              <w:t xml:space="preserve"> </w:t>
            </w:r>
            <w:r w:rsidRPr="00EC20A0">
              <w:rPr>
                <w:b/>
              </w:rPr>
              <w:t>Control</w:t>
            </w:r>
            <w:r w:rsidRPr="00EC20A0">
              <w:rPr>
                <w:b/>
                <w:spacing w:val="-6"/>
              </w:rPr>
              <w:t xml:space="preserve"> </w:t>
            </w:r>
            <w:r w:rsidRPr="00EC20A0">
              <w:rPr>
                <w:b/>
                <w:spacing w:val="-2"/>
              </w:rPr>
              <w:t>Phase</w:t>
            </w:r>
          </w:p>
        </w:tc>
      </w:tr>
      <w:tr w:rsidR="00245300" w:rsidRPr="00EC20A0" w14:paraId="24D61B2E" w14:textId="77777777">
        <w:trPr>
          <w:trHeight w:val="1997"/>
        </w:trPr>
        <w:tc>
          <w:tcPr>
            <w:tcW w:w="6287" w:type="dxa"/>
            <w:tcBorders>
              <w:top w:val="single" w:sz="4" w:space="0" w:color="000000"/>
              <w:bottom w:val="single" w:sz="4" w:space="0" w:color="000000"/>
              <w:right w:val="single" w:sz="4" w:space="0" w:color="000000"/>
            </w:tcBorders>
          </w:tcPr>
          <w:p w14:paraId="24D61B2A" w14:textId="77777777" w:rsidR="00245300" w:rsidRPr="00EC20A0" w:rsidRDefault="00F17249">
            <w:pPr>
              <w:pStyle w:val="TableParagraph"/>
              <w:tabs>
                <w:tab w:val="left" w:pos="1158"/>
              </w:tabs>
              <w:spacing w:before="120"/>
              <w:ind w:left="1158" w:right="391" w:hanging="540"/>
            </w:pPr>
            <w:r w:rsidRPr="00EC20A0">
              <w:rPr>
                <w:spacing w:val="-6"/>
              </w:rPr>
              <w:t>1)</w:t>
            </w:r>
            <w:r w:rsidRPr="00EC20A0">
              <w:tab/>
              <w:t>To</w:t>
            </w:r>
            <w:r w:rsidRPr="00EC20A0">
              <w:rPr>
                <w:spacing w:val="-6"/>
              </w:rPr>
              <w:t xml:space="preserve"> </w:t>
            </w:r>
            <w:r w:rsidRPr="00EC20A0">
              <w:t>obtain</w:t>
            </w:r>
            <w:r w:rsidRPr="00EC20A0">
              <w:rPr>
                <w:spacing w:val="-6"/>
              </w:rPr>
              <w:t xml:space="preserve"> </w:t>
            </w:r>
            <w:r w:rsidRPr="00EC20A0">
              <w:t>an</w:t>
            </w:r>
            <w:r w:rsidRPr="00EC20A0">
              <w:rPr>
                <w:spacing w:val="-7"/>
              </w:rPr>
              <w:t xml:space="preserve"> </w:t>
            </w:r>
            <w:r w:rsidRPr="00EC20A0">
              <w:t>understanding</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entity’s</w:t>
            </w:r>
            <w:r w:rsidRPr="00EC20A0">
              <w:rPr>
                <w:spacing w:val="-6"/>
              </w:rPr>
              <w:t xml:space="preserve"> </w:t>
            </w:r>
            <w:r w:rsidRPr="00EC20A0">
              <w:t>CARS reporting processes and procedures:</w:t>
            </w:r>
          </w:p>
          <w:p w14:paraId="24D61B2B" w14:textId="77777777" w:rsidR="00245300" w:rsidRPr="00EC20A0" w:rsidRDefault="00F17249">
            <w:pPr>
              <w:pStyle w:val="TableParagraph"/>
              <w:spacing w:before="239"/>
              <w:ind w:left="1509" w:hanging="360"/>
            </w:pPr>
            <w:r w:rsidRPr="00EC20A0">
              <w:t>a)</w:t>
            </w:r>
            <w:r w:rsidRPr="00EC20A0">
              <w:rPr>
                <w:spacing w:val="80"/>
              </w:rPr>
              <w:t xml:space="preserve"> </w:t>
            </w:r>
            <w:r w:rsidRPr="00EC20A0">
              <w:t xml:space="preserve">Determine how, in conjunction with work performed on other </w:t>
            </w:r>
            <w:r w:rsidRPr="00EC20A0">
              <w:t>audit cycles, the entity assigns</w:t>
            </w:r>
            <w:r w:rsidRPr="00EC20A0">
              <w:rPr>
                <w:spacing w:val="-6"/>
              </w:rPr>
              <w:t xml:space="preserve"> </w:t>
            </w:r>
            <w:r w:rsidRPr="00EC20A0">
              <w:t>TASs</w:t>
            </w:r>
            <w:r w:rsidRPr="00EC20A0">
              <w:rPr>
                <w:spacing w:val="-6"/>
              </w:rPr>
              <w:t xml:space="preserve"> </w:t>
            </w:r>
            <w:r w:rsidRPr="00EC20A0">
              <w:t>and</w:t>
            </w:r>
            <w:r w:rsidRPr="00EC20A0">
              <w:rPr>
                <w:spacing w:val="-6"/>
              </w:rPr>
              <w:t xml:space="preserve"> </w:t>
            </w:r>
            <w:r w:rsidRPr="00EC20A0">
              <w:t>BETCs</w:t>
            </w:r>
            <w:r w:rsidRPr="00EC20A0">
              <w:rPr>
                <w:spacing w:val="-6"/>
              </w:rPr>
              <w:t xml:space="preserve"> </w:t>
            </w:r>
            <w:r w:rsidRPr="00EC20A0">
              <w:t>to</w:t>
            </w:r>
            <w:r w:rsidRPr="00EC20A0">
              <w:rPr>
                <w:spacing w:val="-6"/>
              </w:rPr>
              <w:t xml:space="preserve"> </w:t>
            </w:r>
            <w:r w:rsidRPr="00EC20A0">
              <w:t>FBWT</w:t>
            </w:r>
            <w:r w:rsidRPr="00EC20A0">
              <w:rPr>
                <w:spacing w:val="-6"/>
              </w:rPr>
              <w:t xml:space="preserve"> </w:t>
            </w:r>
            <w:r w:rsidRPr="00EC20A0">
              <w:t>activity</w:t>
            </w:r>
            <w:r w:rsidRPr="00EC20A0">
              <w:rPr>
                <w:spacing w:val="-6"/>
              </w:rPr>
              <w:t xml:space="preserve"> </w:t>
            </w:r>
            <w:r w:rsidRPr="00EC20A0">
              <w:t>in CARS, including</w:t>
            </w:r>
          </w:p>
        </w:tc>
        <w:tc>
          <w:tcPr>
            <w:tcW w:w="973" w:type="dxa"/>
            <w:tcBorders>
              <w:top w:val="single" w:sz="4" w:space="0" w:color="000000"/>
              <w:left w:val="single" w:sz="4" w:space="0" w:color="000000"/>
              <w:bottom w:val="single" w:sz="4" w:space="0" w:color="000000"/>
              <w:right w:val="single" w:sz="4" w:space="0" w:color="000000"/>
            </w:tcBorders>
          </w:tcPr>
          <w:p w14:paraId="24D61B2C" w14:textId="77777777" w:rsidR="00245300" w:rsidRPr="00EC20A0" w:rsidRDefault="00245300">
            <w:pPr>
              <w:pStyle w:val="TableParagraph"/>
            </w:pPr>
          </w:p>
        </w:tc>
        <w:tc>
          <w:tcPr>
            <w:tcW w:w="1949" w:type="dxa"/>
            <w:tcBorders>
              <w:top w:val="single" w:sz="4" w:space="0" w:color="000000"/>
              <w:left w:val="single" w:sz="4" w:space="0" w:color="000000"/>
              <w:bottom w:val="single" w:sz="4" w:space="0" w:color="000000"/>
            </w:tcBorders>
          </w:tcPr>
          <w:p w14:paraId="24D61B2D" w14:textId="77777777" w:rsidR="00245300" w:rsidRPr="00EC20A0" w:rsidRDefault="00245300">
            <w:pPr>
              <w:pStyle w:val="TableParagraph"/>
            </w:pPr>
          </w:p>
        </w:tc>
      </w:tr>
      <w:tr w:rsidR="00245300" w:rsidRPr="00EC20A0" w14:paraId="24D61B32" w14:textId="77777777">
        <w:trPr>
          <w:trHeight w:val="1251"/>
        </w:trPr>
        <w:tc>
          <w:tcPr>
            <w:tcW w:w="6287" w:type="dxa"/>
            <w:tcBorders>
              <w:top w:val="single" w:sz="4" w:space="0" w:color="000000"/>
              <w:bottom w:val="single" w:sz="4" w:space="0" w:color="000000"/>
              <w:right w:val="single" w:sz="4" w:space="0" w:color="000000"/>
            </w:tcBorders>
          </w:tcPr>
          <w:p w14:paraId="24D61B2F" w14:textId="77777777" w:rsidR="00245300" w:rsidRPr="00EC20A0" w:rsidRDefault="00F17249">
            <w:pPr>
              <w:pStyle w:val="TableParagraph"/>
              <w:tabs>
                <w:tab w:val="left" w:pos="1869"/>
              </w:tabs>
              <w:spacing w:before="120"/>
              <w:ind w:left="1869" w:right="350" w:hanging="381"/>
            </w:pPr>
            <w:r w:rsidRPr="00EC20A0">
              <w:rPr>
                <w:spacing w:val="-6"/>
              </w:rPr>
              <w:t>i.</w:t>
            </w:r>
            <w:r w:rsidRPr="00EC20A0">
              <w:tab/>
              <w:t>how</w:t>
            </w:r>
            <w:r w:rsidRPr="00EC20A0">
              <w:rPr>
                <w:spacing w:val="-6"/>
              </w:rPr>
              <w:t xml:space="preserve"> </w:t>
            </w:r>
            <w:r w:rsidRPr="00EC20A0">
              <w:t>the</w:t>
            </w:r>
            <w:r w:rsidRPr="00EC20A0">
              <w:rPr>
                <w:spacing w:val="-6"/>
              </w:rPr>
              <w:t xml:space="preserve"> </w:t>
            </w:r>
            <w:r w:rsidRPr="00EC20A0">
              <w:t>entity</w:t>
            </w:r>
            <w:r w:rsidRPr="00EC20A0">
              <w:rPr>
                <w:spacing w:val="-6"/>
              </w:rPr>
              <w:t xml:space="preserve"> </w:t>
            </w:r>
            <w:r w:rsidRPr="00EC20A0">
              <w:t>uses</w:t>
            </w:r>
            <w:r w:rsidRPr="00EC20A0">
              <w:rPr>
                <w:spacing w:val="-7"/>
              </w:rPr>
              <w:t xml:space="preserve"> </w:t>
            </w:r>
            <w:r w:rsidRPr="00EC20A0">
              <w:t>its</w:t>
            </w:r>
            <w:r w:rsidRPr="00EC20A0">
              <w:rPr>
                <w:spacing w:val="-6"/>
              </w:rPr>
              <w:t xml:space="preserve"> </w:t>
            </w:r>
            <w:r w:rsidRPr="00EC20A0">
              <w:t>invoice</w:t>
            </w:r>
            <w:r w:rsidRPr="00EC20A0">
              <w:rPr>
                <w:spacing w:val="-6"/>
              </w:rPr>
              <w:t xml:space="preserve"> </w:t>
            </w:r>
            <w:r w:rsidRPr="00EC20A0">
              <w:t>processing systems, Treasury collection reporting systems, and the IPAC system to assign TASs and BETCs to FBWT activity;</w:t>
            </w:r>
          </w:p>
        </w:tc>
        <w:tc>
          <w:tcPr>
            <w:tcW w:w="973" w:type="dxa"/>
            <w:tcBorders>
              <w:top w:val="single" w:sz="4" w:space="0" w:color="000000"/>
              <w:left w:val="single" w:sz="4" w:space="0" w:color="000000"/>
              <w:bottom w:val="single" w:sz="4" w:space="0" w:color="000000"/>
              <w:right w:val="single" w:sz="4" w:space="0" w:color="000000"/>
            </w:tcBorders>
          </w:tcPr>
          <w:p w14:paraId="24D61B30" w14:textId="77777777" w:rsidR="00245300" w:rsidRPr="00EC20A0" w:rsidRDefault="00245300">
            <w:pPr>
              <w:pStyle w:val="TableParagraph"/>
            </w:pPr>
          </w:p>
        </w:tc>
        <w:tc>
          <w:tcPr>
            <w:tcW w:w="1949" w:type="dxa"/>
            <w:tcBorders>
              <w:top w:val="single" w:sz="4" w:space="0" w:color="000000"/>
              <w:left w:val="single" w:sz="4" w:space="0" w:color="000000"/>
              <w:bottom w:val="single" w:sz="4" w:space="0" w:color="000000"/>
            </w:tcBorders>
          </w:tcPr>
          <w:p w14:paraId="24D61B31" w14:textId="77777777" w:rsidR="00245300" w:rsidRPr="00EC20A0" w:rsidRDefault="00245300">
            <w:pPr>
              <w:pStyle w:val="TableParagraph"/>
            </w:pPr>
          </w:p>
        </w:tc>
      </w:tr>
      <w:tr w:rsidR="00245300" w:rsidRPr="00EC20A0" w14:paraId="24D61B36" w14:textId="77777777">
        <w:trPr>
          <w:trHeight w:val="999"/>
        </w:trPr>
        <w:tc>
          <w:tcPr>
            <w:tcW w:w="6287" w:type="dxa"/>
            <w:tcBorders>
              <w:top w:val="single" w:sz="4" w:space="0" w:color="000000"/>
              <w:bottom w:val="single" w:sz="4" w:space="0" w:color="000000"/>
              <w:right w:val="single" w:sz="4" w:space="0" w:color="000000"/>
            </w:tcBorders>
          </w:tcPr>
          <w:p w14:paraId="24D61B33" w14:textId="77777777" w:rsidR="00245300" w:rsidRPr="00EC20A0" w:rsidRDefault="00F17249">
            <w:pPr>
              <w:pStyle w:val="TableParagraph"/>
              <w:tabs>
                <w:tab w:val="left" w:pos="1869"/>
              </w:tabs>
              <w:spacing w:before="120"/>
              <w:ind w:left="1869" w:right="303" w:hanging="430"/>
            </w:pPr>
            <w:r w:rsidRPr="00EC20A0">
              <w:rPr>
                <w:spacing w:val="-4"/>
              </w:rPr>
              <w:t>ii.</w:t>
            </w:r>
            <w:r w:rsidRPr="00EC20A0">
              <w:tab/>
            </w:r>
            <w:r w:rsidRPr="00EC20A0">
              <w:t>whether the entity relies on IS controls to assign</w:t>
            </w:r>
            <w:r w:rsidRPr="00EC20A0">
              <w:rPr>
                <w:spacing w:val="-6"/>
              </w:rPr>
              <w:t xml:space="preserve"> </w:t>
            </w:r>
            <w:r w:rsidRPr="00EC20A0">
              <w:t>TASs</w:t>
            </w:r>
            <w:r w:rsidRPr="00EC20A0">
              <w:rPr>
                <w:spacing w:val="-6"/>
              </w:rPr>
              <w:t xml:space="preserve"> </w:t>
            </w:r>
            <w:r w:rsidRPr="00EC20A0">
              <w:t>and</w:t>
            </w:r>
            <w:r w:rsidRPr="00EC20A0">
              <w:rPr>
                <w:spacing w:val="-7"/>
              </w:rPr>
              <w:t xml:space="preserve"> </w:t>
            </w:r>
            <w:r w:rsidRPr="00EC20A0">
              <w:t>BETCs</w:t>
            </w:r>
            <w:r w:rsidRPr="00EC20A0">
              <w:rPr>
                <w:spacing w:val="-6"/>
              </w:rPr>
              <w:t xml:space="preserve"> </w:t>
            </w:r>
            <w:r w:rsidRPr="00EC20A0">
              <w:t>to</w:t>
            </w:r>
            <w:r w:rsidRPr="00EC20A0">
              <w:rPr>
                <w:spacing w:val="-6"/>
              </w:rPr>
              <w:t xml:space="preserve"> </w:t>
            </w:r>
            <w:r w:rsidRPr="00EC20A0">
              <w:t>FBWT</w:t>
            </w:r>
            <w:r w:rsidRPr="00EC20A0">
              <w:rPr>
                <w:spacing w:val="-7"/>
              </w:rPr>
              <w:t xml:space="preserve"> </w:t>
            </w:r>
            <w:r w:rsidRPr="00EC20A0">
              <w:t>activity in its general ledger or CARS; and</w:t>
            </w:r>
          </w:p>
        </w:tc>
        <w:tc>
          <w:tcPr>
            <w:tcW w:w="973" w:type="dxa"/>
            <w:tcBorders>
              <w:top w:val="single" w:sz="4" w:space="0" w:color="000000"/>
              <w:left w:val="single" w:sz="4" w:space="0" w:color="000000"/>
              <w:bottom w:val="single" w:sz="4" w:space="0" w:color="000000"/>
              <w:right w:val="single" w:sz="4" w:space="0" w:color="000000"/>
            </w:tcBorders>
          </w:tcPr>
          <w:p w14:paraId="24D61B34" w14:textId="77777777" w:rsidR="00245300" w:rsidRPr="00EC20A0" w:rsidRDefault="00245300">
            <w:pPr>
              <w:pStyle w:val="TableParagraph"/>
            </w:pPr>
          </w:p>
        </w:tc>
        <w:tc>
          <w:tcPr>
            <w:tcW w:w="1949" w:type="dxa"/>
            <w:tcBorders>
              <w:top w:val="single" w:sz="4" w:space="0" w:color="000000"/>
              <w:left w:val="single" w:sz="4" w:space="0" w:color="000000"/>
              <w:bottom w:val="single" w:sz="4" w:space="0" w:color="000000"/>
            </w:tcBorders>
          </w:tcPr>
          <w:p w14:paraId="24D61B35" w14:textId="77777777" w:rsidR="00245300" w:rsidRPr="00EC20A0" w:rsidRDefault="00245300">
            <w:pPr>
              <w:pStyle w:val="TableParagraph"/>
            </w:pPr>
          </w:p>
        </w:tc>
      </w:tr>
      <w:tr w:rsidR="00245300" w:rsidRPr="00EC20A0" w14:paraId="24D61B3A" w14:textId="77777777">
        <w:trPr>
          <w:trHeight w:val="1757"/>
        </w:trPr>
        <w:tc>
          <w:tcPr>
            <w:tcW w:w="6287" w:type="dxa"/>
            <w:tcBorders>
              <w:top w:val="single" w:sz="4" w:space="0" w:color="000000"/>
              <w:bottom w:val="single" w:sz="4" w:space="0" w:color="000000"/>
              <w:right w:val="single" w:sz="4" w:space="0" w:color="000000"/>
            </w:tcBorders>
          </w:tcPr>
          <w:p w14:paraId="24D61B37" w14:textId="77777777" w:rsidR="00245300" w:rsidRPr="00EC20A0" w:rsidRDefault="00F17249">
            <w:pPr>
              <w:pStyle w:val="TableParagraph"/>
              <w:tabs>
                <w:tab w:val="left" w:pos="1869"/>
              </w:tabs>
              <w:spacing w:before="120"/>
              <w:ind w:left="1869" w:right="108" w:hanging="478"/>
            </w:pPr>
            <w:r w:rsidRPr="00EC20A0">
              <w:rPr>
                <w:spacing w:val="-4"/>
              </w:rPr>
              <w:t>iii.</w:t>
            </w:r>
            <w:r w:rsidRPr="00EC20A0">
              <w:tab/>
              <w:t>to what extent the entity relies on service organizations</w:t>
            </w:r>
            <w:r w:rsidRPr="00EC20A0">
              <w:rPr>
                <w:spacing w:val="-7"/>
              </w:rPr>
              <w:t xml:space="preserve"> </w:t>
            </w:r>
            <w:r w:rsidRPr="00EC20A0">
              <w:t>to</w:t>
            </w:r>
            <w:r w:rsidRPr="00EC20A0">
              <w:rPr>
                <w:spacing w:val="-7"/>
              </w:rPr>
              <w:t xml:space="preserve"> </w:t>
            </w:r>
            <w:r w:rsidRPr="00EC20A0">
              <w:t>assign</w:t>
            </w:r>
            <w:r w:rsidRPr="00EC20A0">
              <w:rPr>
                <w:spacing w:val="-8"/>
              </w:rPr>
              <w:t xml:space="preserve"> </w:t>
            </w:r>
            <w:r w:rsidRPr="00EC20A0">
              <w:t>TASs</w:t>
            </w:r>
            <w:r w:rsidRPr="00EC20A0">
              <w:rPr>
                <w:spacing w:val="-7"/>
              </w:rPr>
              <w:t xml:space="preserve"> </w:t>
            </w:r>
            <w:r w:rsidRPr="00EC20A0">
              <w:t>and</w:t>
            </w:r>
            <w:r w:rsidRPr="00EC20A0">
              <w:rPr>
                <w:spacing w:val="-7"/>
              </w:rPr>
              <w:t xml:space="preserve"> </w:t>
            </w:r>
            <w:r w:rsidRPr="00EC20A0">
              <w:t>BETCs</w:t>
            </w:r>
            <w:r w:rsidRPr="00EC20A0">
              <w:rPr>
                <w:spacing w:val="-7"/>
              </w:rPr>
              <w:t xml:space="preserve"> </w:t>
            </w:r>
            <w:r w:rsidRPr="00EC20A0">
              <w:t xml:space="preserve">to FBWT activity in the entity’s general </w:t>
            </w:r>
            <w:r w:rsidRPr="00EC20A0">
              <w:t>ledger or in CARS via initiating transactions or reclassifying existing TASs and BETCs on behalf of the entity.</w:t>
            </w:r>
          </w:p>
        </w:tc>
        <w:tc>
          <w:tcPr>
            <w:tcW w:w="973" w:type="dxa"/>
            <w:tcBorders>
              <w:top w:val="single" w:sz="4" w:space="0" w:color="000000"/>
              <w:left w:val="single" w:sz="4" w:space="0" w:color="000000"/>
              <w:bottom w:val="single" w:sz="4" w:space="0" w:color="000000"/>
              <w:right w:val="single" w:sz="4" w:space="0" w:color="000000"/>
            </w:tcBorders>
          </w:tcPr>
          <w:p w14:paraId="24D61B38" w14:textId="77777777" w:rsidR="00245300" w:rsidRPr="00EC20A0" w:rsidRDefault="00245300">
            <w:pPr>
              <w:pStyle w:val="TableParagraph"/>
            </w:pPr>
          </w:p>
        </w:tc>
        <w:tc>
          <w:tcPr>
            <w:tcW w:w="1949" w:type="dxa"/>
            <w:tcBorders>
              <w:top w:val="single" w:sz="4" w:space="0" w:color="000000"/>
              <w:left w:val="single" w:sz="4" w:space="0" w:color="000000"/>
              <w:bottom w:val="single" w:sz="4" w:space="0" w:color="000000"/>
            </w:tcBorders>
          </w:tcPr>
          <w:p w14:paraId="24D61B39" w14:textId="77777777" w:rsidR="00245300" w:rsidRPr="00EC20A0" w:rsidRDefault="00245300">
            <w:pPr>
              <w:pStyle w:val="TableParagraph"/>
            </w:pPr>
          </w:p>
        </w:tc>
      </w:tr>
      <w:tr w:rsidR="00245300" w:rsidRPr="00EC20A0" w14:paraId="24D61B3E" w14:textId="77777777">
        <w:trPr>
          <w:trHeight w:val="2010"/>
        </w:trPr>
        <w:tc>
          <w:tcPr>
            <w:tcW w:w="6287" w:type="dxa"/>
            <w:tcBorders>
              <w:top w:val="single" w:sz="4" w:space="0" w:color="000000"/>
              <w:bottom w:val="single" w:sz="4" w:space="0" w:color="000000"/>
              <w:right w:val="single" w:sz="4" w:space="0" w:color="000000"/>
            </w:tcBorders>
          </w:tcPr>
          <w:p w14:paraId="24D61B3B" w14:textId="77777777" w:rsidR="00245300" w:rsidRPr="00EC20A0" w:rsidRDefault="00F17249">
            <w:pPr>
              <w:pStyle w:val="TableParagraph"/>
              <w:spacing w:before="120"/>
              <w:ind w:left="1509" w:hanging="360"/>
            </w:pPr>
            <w:r w:rsidRPr="00EC20A0">
              <w:t>b)</w:t>
            </w:r>
            <w:r w:rsidRPr="00EC20A0">
              <w:rPr>
                <w:spacing w:val="80"/>
              </w:rPr>
              <w:t xml:space="preserve"> </w:t>
            </w:r>
            <w:r w:rsidRPr="00EC20A0">
              <w:t>Identify</w:t>
            </w:r>
            <w:r w:rsidRPr="00EC20A0">
              <w:rPr>
                <w:spacing w:val="-5"/>
              </w:rPr>
              <w:t xml:space="preserve"> </w:t>
            </w:r>
            <w:r w:rsidRPr="00EC20A0">
              <w:t>and</w:t>
            </w:r>
            <w:r w:rsidRPr="00EC20A0">
              <w:rPr>
                <w:spacing w:val="-6"/>
              </w:rPr>
              <w:t xml:space="preserve"> </w:t>
            </w:r>
            <w:r w:rsidRPr="00EC20A0">
              <w:t>document</w:t>
            </w:r>
            <w:r w:rsidRPr="00EC20A0">
              <w:rPr>
                <w:spacing w:val="-5"/>
              </w:rPr>
              <w:t xml:space="preserve"> </w:t>
            </w:r>
            <w:r w:rsidRPr="00EC20A0">
              <w:t>relevant</w:t>
            </w:r>
            <w:r w:rsidRPr="00EC20A0">
              <w:rPr>
                <w:spacing w:val="-5"/>
              </w:rPr>
              <w:t xml:space="preserve"> </w:t>
            </w:r>
            <w:r w:rsidRPr="00EC20A0">
              <w:t>control</w:t>
            </w:r>
            <w:r w:rsidRPr="00EC20A0">
              <w:rPr>
                <w:spacing w:val="-5"/>
              </w:rPr>
              <w:t xml:space="preserve"> </w:t>
            </w:r>
            <w:r w:rsidRPr="00EC20A0">
              <w:t xml:space="preserve">activities related to assigning appropriate TASs and BETCs and determine whether they have been </w:t>
            </w:r>
            <w:r w:rsidRPr="00EC20A0">
              <w:t>implemented (see FAM 350). Procedures for identifying relevant control activities related to accuracy and determining whether they have been implemented may include the following.</w:t>
            </w:r>
          </w:p>
        </w:tc>
        <w:tc>
          <w:tcPr>
            <w:tcW w:w="973" w:type="dxa"/>
            <w:tcBorders>
              <w:top w:val="single" w:sz="4" w:space="0" w:color="000000"/>
              <w:left w:val="single" w:sz="4" w:space="0" w:color="000000"/>
              <w:bottom w:val="single" w:sz="4" w:space="0" w:color="000000"/>
              <w:right w:val="single" w:sz="4" w:space="0" w:color="000000"/>
            </w:tcBorders>
          </w:tcPr>
          <w:p w14:paraId="24D61B3C" w14:textId="77777777" w:rsidR="00245300" w:rsidRPr="00EC20A0" w:rsidRDefault="00245300">
            <w:pPr>
              <w:pStyle w:val="TableParagraph"/>
            </w:pPr>
          </w:p>
        </w:tc>
        <w:tc>
          <w:tcPr>
            <w:tcW w:w="1949" w:type="dxa"/>
            <w:tcBorders>
              <w:top w:val="single" w:sz="4" w:space="0" w:color="000000"/>
              <w:left w:val="single" w:sz="4" w:space="0" w:color="000000"/>
              <w:bottom w:val="single" w:sz="4" w:space="0" w:color="000000"/>
            </w:tcBorders>
          </w:tcPr>
          <w:p w14:paraId="24D61B3D" w14:textId="77777777" w:rsidR="00245300" w:rsidRPr="00EC20A0" w:rsidRDefault="00245300">
            <w:pPr>
              <w:pStyle w:val="TableParagraph"/>
            </w:pPr>
          </w:p>
        </w:tc>
      </w:tr>
      <w:tr w:rsidR="00245300" w:rsidRPr="00EC20A0" w14:paraId="24D61B42" w14:textId="77777777">
        <w:trPr>
          <w:trHeight w:val="745"/>
        </w:trPr>
        <w:tc>
          <w:tcPr>
            <w:tcW w:w="6287" w:type="dxa"/>
            <w:tcBorders>
              <w:top w:val="single" w:sz="4" w:space="0" w:color="000000"/>
              <w:bottom w:val="single" w:sz="4" w:space="0" w:color="000000"/>
              <w:right w:val="single" w:sz="4" w:space="0" w:color="000000"/>
            </w:tcBorders>
          </w:tcPr>
          <w:p w14:paraId="24D61B3F" w14:textId="77777777" w:rsidR="00245300" w:rsidRPr="00EC20A0" w:rsidRDefault="00F17249">
            <w:pPr>
              <w:pStyle w:val="TableParagraph"/>
              <w:tabs>
                <w:tab w:val="left" w:pos="1832"/>
              </w:tabs>
              <w:spacing w:before="121"/>
              <w:ind w:left="1832" w:right="96" w:hanging="381"/>
            </w:pPr>
            <w:r w:rsidRPr="00EC20A0">
              <w:rPr>
                <w:spacing w:val="-6"/>
              </w:rPr>
              <w:t>i.</w:t>
            </w:r>
            <w:r w:rsidRPr="00EC20A0">
              <w:tab/>
              <w:t>Perform</w:t>
            </w:r>
            <w:r w:rsidRPr="00EC20A0">
              <w:rPr>
                <w:spacing w:val="-6"/>
              </w:rPr>
              <w:t xml:space="preserve"> </w:t>
            </w:r>
            <w:r w:rsidRPr="00EC20A0">
              <w:t>a</w:t>
            </w:r>
            <w:r w:rsidRPr="00EC20A0">
              <w:rPr>
                <w:spacing w:val="-6"/>
              </w:rPr>
              <w:t xml:space="preserve"> </w:t>
            </w:r>
            <w:r w:rsidRPr="00EC20A0">
              <w:t>walk-through</w:t>
            </w:r>
            <w:r w:rsidRPr="00EC20A0">
              <w:rPr>
                <w:spacing w:val="-7"/>
              </w:rPr>
              <w:t xml:space="preserve"> </w:t>
            </w:r>
            <w:r w:rsidRPr="00EC20A0">
              <w:t>of</w:t>
            </w:r>
            <w:r w:rsidRPr="00EC20A0">
              <w:rPr>
                <w:spacing w:val="-6"/>
              </w:rPr>
              <w:t xml:space="preserve"> </w:t>
            </w:r>
            <w:r w:rsidRPr="00EC20A0">
              <w:t>the</w:t>
            </w:r>
            <w:r w:rsidRPr="00EC20A0">
              <w:rPr>
                <w:spacing w:val="-6"/>
              </w:rPr>
              <w:t xml:space="preserve"> </w:t>
            </w:r>
            <w:r w:rsidRPr="00EC20A0">
              <w:t>entity’s</w:t>
            </w:r>
            <w:r w:rsidRPr="00EC20A0">
              <w:rPr>
                <w:spacing w:val="-6"/>
              </w:rPr>
              <w:t xml:space="preserve"> </w:t>
            </w:r>
            <w:r w:rsidRPr="00EC20A0">
              <w:t xml:space="preserve">FBWT </w:t>
            </w:r>
            <w:r w:rsidRPr="00EC20A0">
              <w:t>reconciliation by TAS and BETC.</w:t>
            </w:r>
          </w:p>
        </w:tc>
        <w:tc>
          <w:tcPr>
            <w:tcW w:w="973" w:type="dxa"/>
            <w:tcBorders>
              <w:top w:val="single" w:sz="4" w:space="0" w:color="000000"/>
              <w:left w:val="single" w:sz="4" w:space="0" w:color="000000"/>
              <w:bottom w:val="single" w:sz="4" w:space="0" w:color="000000"/>
              <w:right w:val="single" w:sz="4" w:space="0" w:color="000000"/>
            </w:tcBorders>
          </w:tcPr>
          <w:p w14:paraId="24D61B40" w14:textId="77777777" w:rsidR="00245300" w:rsidRPr="00EC20A0" w:rsidRDefault="00245300">
            <w:pPr>
              <w:pStyle w:val="TableParagraph"/>
            </w:pPr>
          </w:p>
        </w:tc>
        <w:tc>
          <w:tcPr>
            <w:tcW w:w="1949" w:type="dxa"/>
            <w:tcBorders>
              <w:top w:val="single" w:sz="4" w:space="0" w:color="000000"/>
              <w:left w:val="single" w:sz="4" w:space="0" w:color="000000"/>
              <w:bottom w:val="single" w:sz="4" w:space="0" w:color="000000"/>
            </w:tcBorders>
          </w:tcPr>
          <w:p w14:paraId="24D61B41" w14:textId="77777777" w:rsidR="00245300" w:rsidRPr="00EC20A0" w:rsidRDefault="00245300">
            <w:pPr>
              <w:pStyle w:val="TableParagraph"/>
            </w:pPr>
          </w:p>
        </w:tc>
      </w:tr>
      <w:tr w:rsidR="00245300" w:rsidRPr="00EC20A0" w14:paraId="24D61B46" w14:textId="77777777">
        <w:trPr>
          <w:trHeight w:val="1386"/>
        </w:trPr>
        <w:tc>
          <w:tcPr>
            <w:tcW w:w="6287" w:type="dxa"/>
            <w:tcBorders>
              <w:top w:val="single" w:sz="4" w:space="0" w:color="000000"/>
              <w:right w:val="single" w:sz="4" w:space="0" w:color="000000"/>
            </w:tcBorders>
          </w:tcPr>
          <w:p w14:paraId="24D61B43" w14:textId="77777777" w:rsidR="00245300" w:rsidRPr="00EC20A0" w:rsidRDefault="00F17249">
            <w:pPr>
              <w:pStyle w:val="TableParagraph"/>
              <w:tabs>
                <w:tab w:val="left" w:pos="1832"/>
              </w:tabs>
              <w:spacing w:before="101" w:line="250" w:lineRule="atLeast"/>
              <w:ind w:left="1832" w:right="228" w:hanging="429"/>
            </w:pPr>
            <w:r w:rsidRPr="00EC20A0">
              <w:rPr>
                <w:spacing w:val="-4"/>
              </w:rPr>
              <w:t>ii.</w:t>
            </w:r>
            <w:r w:rsidRPr="00EC20A0">
              <w:tab/>
              <w:t>Review entity policies and procedures relevant to assigning TASs and BETCs to FBWT</w:t>
            </w:r>
            <w:r w:rsidRPr="00EC20A0">
              <w:rPr>
                <w:spacing w:val="-7"/>
              </w:rPr>
              <w:t xml:space="preserve"> </w:t>
            </w:r>
            <w:r w:rsidRPr="00EC20A0">
              <w:t>activity</w:t>
            </w:r>
            <w:r w:rsidRPr="00EC20A0">
              <w:rPr>
                <w:spacing w:val="-7"/>
              </w:rPr>
              <w:t xml:space="preserve"> </w:t>
            </w:r>
            <w:r w:rsidRPr="00EC20A0">
              <w:t>and,</w:t>
            </w:r>
            <w:r w:rsidRPr="00EC20A0">
              <w:rPr>
                <w:spacing w:val="-7"/>
              </w:rPr>
              <w:t xml:space="preserve"> </w:t>
            </w:r>
            <w:r w:rsidRPr="00EC20A0">
              <w:t>if</w:t>
            </w:r>
            <w:r w:rsidRPr="00EC20A0">
              <w:rPr>
                <w:spacing w:val="-7"/>
              </w:rPr>
              <w:t xml:space="preserve"> </w:t>
            </w:r>
            <w:r w:rsidRPr="00EC20A0">
              <w:t>relevant,</w:t>
            </w:r>
            <w:r w:rsidRPr="00EC20A0">
              <w:rPr>
                <w:spacing w:val="-7"/>
              </w:rPr>
              <w:t xml:space="preserve"> </w:t>
            </w:r>
            <w:r w:rsidRPr="00EC20A0">
              <w:t>reclassifying FBWT activity with appropriate TASs and BETCs in CARS. For example, the entity</w:t>
            </w:r>
          </w:p>
        </w:tc>
        <w:tc>
          <w:tcPr>
            <w:tcW w:w="973" w:type="dxa"/>
            <w:tcBorders>
              <w:top w:val="single" w:sz="4" w:space="0" w:color="000000"/>
              <w:left w:val="single" w:sz="4" w:space="0" w:color="000000"/>
              <w:right w:val="single" w:sz="4" w:space="0" w:color="000000"/>
            </w:tcBorders>
          </w:tcPr>
          <w:p w14:paraId="24D61B44" w14:textId="77777777" w:rsidR="00245300" w:rsidRPr="00EC20A0" w:rsidRDefault="00245300">
            <w:pPr>
              <w:pStyle w:val="TableParagraph"/>
            </w:pPr>
          </w:p>
        </w:tc>
        <w:tc>
          <w:tcPr>
            <w:tcW w:w="1949" w:type="dxa"/>
            <w:tcBorders>
              <w:top w:val="single" w:sz="4" w:space="0" w:color="000000"/>
              <w:left w:val="single" w:sz="4" w:space="0" w:color="000000"/>
            </w:tcBorders>
          </w:tcPr>
          <w:p w14:paraId="24D61B45" w14:textId="77777777" w:rsidR="00245300" w:rsidRPr="00EC20A0" w:rsidRDefault="00245300">
            <w:pPr>
              <w:pStyle w:val="TableParagraph"/>
            </w:pPr>
          </w:p>
        </w:tc>
      </w:tr>
    </w:tbl>
    <w:p w14:paraId="24D61B47" w14:textId="77777777" w:rsidR="00245300" w:rsidRPr="00EC20A0" w:rsidRDefault="00245300">
      <w:pPr>
        <w:sectPr w:rsidR="00245300" w:rsidRPr="00EC20A0">
          <w:headerReference w:type="default" r:id="rId174"/>
          <w:footerReference w:type="default" r:id="rId175"/>
          <w:pgSz w:w="12240" w:h="15840"/>
          <w:pgMar w:top="1340" w:right="1100" w:bottom="940" w:left="1240" w:header="721" w:footer="757" w:gutter="0"/>
          <w:pgNumType w:start="1"/>
          <w:cols w:space="720"/>
        </w:sectPr>
      </w:pPr>
    </w:p>
    <w:p w14:paraId="24D61B48" w14:textId="77777777" w:rsidR="00245300" w:rsidRPr="00EC20A0" w:rsidRDefault="00245300">
      <w:pPr>
        <w:pStyle w:val="BodyText"/>
        <w:spacing w:before="9"/>
        <w:rPr>
          <w:b/>
          <w:sz w:val="11"/>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287"/>
        <w:gridCol w:w="973"/>
        <w:gridCol w:w="1949"/>
      </w:tblGrid>
      <w:tr w:rsidR="00245300" w:rsidRPr="00EC20A0" w14:paraId="24D61B4C" w14:textId="77777777">
        <w:trPr>
          <w:trHeight w:val="745"/>
        </w:trPr>
        <w:tc>
          <w:tcPr>
            <w:tcW w:w="6287" w:type="dxa"/>
            <w:tcBorders>
              <w:right w:val="single" w:sz="4" w:space="0" w:color="000000"/>
            </w:tcBorders>
          </w:tcPr>
          <w:p w14:paraId="24D61B49" w14:textId="77777777" w:rsidR="00245300" w:rsidRPr="00EC20A0" w:rsidRDefault="00F17249">
            <w:pPr>
              <w:pStyle w:val="TableParagraph"/>
              <w:spacing w:before="120"/>
              <w:ind w:left="92"/>
              <w:rPr>
                <w:b/>
              </w:rPr>
            </w:pPr>
            <w:r w:rsidRPr="00EC20A0">
              <w:rPr>
                <w:b/>
                <w:spacing w:val="-2"/>
              </w:rPr>
              <w:t>Procedures</w:t>
            </w:r>
          </w:p>
        </w:tc>
        <w:tc>
          <w:tcPr>
            <w:tcW w:w="973" w:type="dxa"/>
            <w:tcBorders>
              <w:left w:val="single" w:sz="4" w:space="0" w:color="000000"/>
              <w:right w:val="single" w:sz="4" w:space="0" w:color="000000"/>
            </w:tcBorders>
          </w:tcPr>
          <w:p w14:paraId="24D61B4A" w14:textId="77777777" w:rsidR="00245300" w:rsidRPr="00EC20A0" w:rsidRDefault="00F17249">
            <w:pPr>
              <w:pStyle w:val="TableParagraph"/>
              <w:spacing w:before="120"/>
              <w:ind w:left="110"/>
              <w:rPr>
                <w:b/>
              </w:rPr>
            </w:pPr>
            <w:r w:rsidRPr="00EC20A0">
              <w:rPr>
                <w:b/>
                <w:spacing w:val="-2"/>
              </w:rPr>
              <w:t xml:space="preserve">Initials/ </w:t>
            </w:r>
            <w:r w:rsidRPr="00EC20A0">
              <w:rPr>
                <w:b/>
                <w:spacing w:val="-4"/>
              </w:rPr>
              <w:t>date</w:t>
            </w:r>
          </w:p>
        </w:tc>
        <w:tc>
          <w:tcPr>
            <w:tcW w:w="1949" w:type="dxa"/>
            <w:tcBorders>
              <w:left w:val="single" w:sz="4" w:space="0" w:color="000000"/>
            </w:tcBorders>
          </w:tcPr>
          <w:p w14:paraId="24D61B4B" w14:textId="77777777" w:rsidR="00245300" w:rsidRPr="00EC20A0" w:rsidRDefault="00F17249">
            <w:pPr>
              <w:pStyle w:val="TableParagraph"/>
              <w:spacing w:before="120"/>
              <w:ind w:left="110"/>
              <w:rPr>
                <w:b/>
              </w:rPr>
            </w:pPr>
            <w:r w:rsidRPr="00EC20A0">
              <w:rPr>
                <w:b/>
              </w:rPr>
              <w:t>Doc.</w:t>
            </w:r>
            <w:r w:rsidRPr="00EC20A0">
              <w:rPr>
                <w:b/>
                <w:spacing w:val="-5"/>
              </w:rPr>
              <w:t xml:space="preserve"> </w:t>
            </w:r>
            <w:r w:rsidRPr="00EC20A0">
              <w:rPr>
                <w:b/>
                <w:spacing w:val="-4"/>
              </w:rPr>
              <w:t>ref.</w:t>
            </w:r>
          </w:p>
        </w:tc>
      </w:tr>
      <w:tr w:rsidR="00245300" w:rsidRPr="00EC20A0" w14:paraId="24D61B50" w14:textId="77777777">
        <w:trPr>
          <w:trHeight w:val="1386"/>
        </w:trPr>
        <w:tc>
          <w:tcPr>
            <w:tcW w:w="6287" w:type="dxa"/>
            <w:tcBorders>
              <w:bottom w:val="single" w:sz="4" w:space="0" w:color="000000"/>
              <w:right w:val="single" w:sz="4" w:space="0" w:color="000000"/>
            </w:tcBorders>
          </w:tcPr>
          <w:p w14:paraId="24D61B4D" w14:textId="77777777" w:rsidR="00245300" w:rsidRPr="00EC20A0" w:rsidRDefault="00F17249">
            <w:pPr>
              <w:pStyle w:val="TableParagraph"/>
              <w:ind w:left="1832"/>
            </w:pPr>
            <w:r w:rsidRPr="00EC20A0">
              <w:t xml:space="preserve">may use a </w:t>
            </w:r>
            <w:r w:rsidRPr="00EC20A0">
              <w:t>default TAS and BETC for all disbursement</w:t>
            </w:r>
            <w:r w:rsidRPr="00EC20A0">
              <w:rPr>
                <w:spacing w:val="-8"/>
              </w:rPr>
              <w:t xml:space="preserve"> </w:t>
            </w:r>
            <w:r w:rsidRPr="00EC20A0">
              <w:t>transactions</w:t>
            </w:r>
            <w:r w:rsidRPr="00EC20A0">
              <w:rPr>
                <w:spacing w:val="-8"/>
              </w:rPr>
              <w:t xml:space="preserve"> </w:t>
            </w:r>
            <w:r w:rsidRPr="00EC20A0">
              <w:t>and</w:t>
            </w:r>
            <w:r w:rsidRPr="00EC20A0">
              <w:rPr>
                <w:spacing w:val="-8"/>
              </w:rPr>
              <w:t xml:space="preserve"> </w:t>
            </w:r>
            <w:r w:rsidRPr="00EC20A0">
              <w:t>may</w:t>
            </w:r>
            <w:r w:rsidRPr="00EC20A0">
              <w:rPr>
                <w:spacing w:val="-8"/>
              </w:rPr>
              <w:t xml:space="preserve"> </w:t>
            </w:r>
            <w:r w:rsidRPr="00EC20A0">
              <w:t>need</w:t>
            </w:r>
            <w:r w:rsidRPr="00EC20A0">
              <w:rPr>
                <w:spacing w:val="-8"/>
              </w:rPr>
              <w:t xml:space="preserve"> </w:t>
            </w:r>
            <w:r w:rsidRPr="00EC20A0">
              <w:t>to review the activity to determine if some transactions need to be reclassified to different TAS or BETC.</w:t>
            </w:r>
          </w:p>
        </w:tc>
        <w:tc>
          <w:tcPr>
            <w:tcW w:w="973" w:type="dxa"/>
            <w:tcBorders>
              <w:left w:val="single" w:sz="4" w:space="0" w:color="000000"/>
              <w:bottom w:val="single" w:sz="4" w:space="0" w:color="000000"/>
              <w:right w:val="single" w:sz="4" w:space="0" w:color="000000"/>
            </w:tcBorders>
          </w:tcPr>
          <w:p w14:paraId="24D61B4E" w14:textId="77777777" w:rsidR="00245300" w:rsidRPr="00EC20A0" w:rsidRDefault="00245300">
            <w:pPr>
              <w:pStyle w:val="TableParagraph"/>
              <w:rPr>
                <w:sz w:val="20"/>
              </w:rPr>
            </w:pPr>
          </w:p>
        </w:tc>
        <w:tc>
          <w:tcPr>
            <w:tcW w:w="1949" w:type="dxa"/>
            <w:tcBorders>
              <w:left w:val="single" w:sz="4" w:space="0" w:color="000000"/>
              <w:bottom w:val="single" w:sz="4" w:space="0" w:color="000000"/>
            </w:tcBorders>
          </w:tcPr>
          <w:p w14:paraId="24D61B4F" w14:textId="77777777" w:rsidR="00245300" w:rsidRPr="00EC20A0" w:rsidRDefault="00245300">
            <w:pPr>
              <w:pStyle w:val="TableParagraph"/>
              <w:rPr>
                <w:sz w:val="20"/>
              </w:rPr>
            </w:pPr>
          </w:p>
        </w:tc>
      </w:tr>
      <w:tr w:rsidR="00245300" w:rsidRPr="00EC20A0" w14:paraId="24D61B54" w14:textId="77777777">
        <w:trPr>
          <w:trHeight w:val="998"/>
        </w:trPr>
        <w:tc>
          <w:tcPr>
            <w:tcW w:w="6287" w:type="dxa"/>
            <w:tcBorders>
              <w:top w:val="single" w:sz="4" w:space="0" w:color="000000"/>
              <w:bottom w:val="single" w:sz="4" w:space="0" w:color="000000"/>
              <w:right w:val="single" w:sz="4" w:space="0" w:color="000000"/>
            </w:tcBorders>
          </w:tcPr>
          <w:p w14:paraId="24D61B51" w14:textId="77777777" w:rsidR="00245300" w:rsidRPr="00EC20A0" w:rsidRDefault="00F17249">
            <w:pPr>
              <w:pStyle w:val="TableParagraph"/>
              <w:tabs>
                <w:tab w:val="left" w:pos="1832"/>
              </w:tabs>
              <w:spacing w:before="120"/>
              <w:ind w:left="1832" w:right="291" w:hanging="478"/>
            </w:pPr>
            <w:r w:rsidRPr="00EC20A0">
              <w:rPr>
                <w:spacing w:val="-4"/>
              </w:rPr>
              <w:t>iii.</w:t>
            </w:r>
            <w:r w:rsidRPr="00EC20A0">
              <w:tab/>
              <w:t>Interview key entity staff about their TAS and</w:t>
            </w:r>
            <w:r w:rsidRPr="00EC20A0">
              <w:rPr>
                <w:spacing w:val="-10"/>
              </w:rPr>
              <w:t xml:space="preserve"> </w:t>
            </w:r>
            <w:r w:rsidRPr="00EC20A0">
              <w:t>BETC</w:t>
            </w:r>
            <w:r w:rsidRPr="00EC20A0">
              <w:rPr>
                <w:spacing w:val="-10"/>
              </w:rPr>
              <w:t xml:space="preserve"> </w:t>
            </w:r>
            <w:r w:rsidRPr="00EC20A0">
              <w:t>assignment</w:t>
            </w:r>
            <w:r w:rsidRPr="00EC20A0">
              <w:rPr>
                <w:spacing w:val="-10"/>
              </w:rPr>
              <w:t xml:space="preserve"> </w:t>
            </w:r>
            <w:r w:rsidRPr="00EC20A0">
              <w:t>and</w:t>
            </w:r>
            <w:r w:rsidRPr="00EC20A0">
              <w:rPr>
                <w:spacing w:val="-10"/>
              </w:rPr>
              <w:t xml:space="preserve"> </w:t>
            </w:r>
            <w:r w:rsidRPr="00EC20A0">
              <w:t>reclassification procedures and controls.</w:t>
            </w:r>
          </w:p>
        </w:tc>
        <w:tc>
          <w:tcPr>
            <w:tcW w:w="973" w:type="dxa"/>
            <w:tcBorders>
              <w:top w:val="single" w:sz="4" w:space="0" w:color="000000"/>
              <w:left w:val="single" w:sz="4" w:space="0" w:color="000000"/>
              <w:bottom w:val="single" w:sz="4" w:space="0" w:color="000000"/>
              <w:right w:val="single" w:sz="4" w:space="0" w:color="000000"/>
            </w:tcBorders>
          </w:tcPr>
          <w:p w14:paraId="24D61B52" w14:textId="77777777" w:rsidR="00245300" w:rsidRPr="00EC20A0" w:rsidRDefault="00245300">
            <w:pPr>
              <w:pStyle w:val="TableParagraph"/>
              <w:rPr>
                <w:sz w:val="20"/>
              </w:rPr>
            </w:pPr>
          </w:p>
        </w:tc>
        <w:tc>
          <w:tcPr>
            <w:tcW w:w="1949" w:type="dxa"/>
            <w:tcBorders>
              <w:top w:val="single" w:sz="4" w:space="0" w:color="000000"/>
              <w:left w:val="single" w:sz="4" w:space="0" w:color="000000"/>
              <w:bottom w:val="single" w:sz="4" w:space="0" w:color="000000"/>
            </w:tcBorders>
          </w:tcPr>
          <w:p w14:paraId="24D61B53" w14:textId="77777777" w:rsidR="00245300" w:rsidRPr="00EC20A0" w:rsidRDefault="00245300">
            <w:pPr>
              <w:pStyle w:val="TableParagraph"/>
              <w:rPr>
                <w:sz w:val="20"/>
              </w:rPr>
            </w:pPr>
          </w:p>
        </w:tc>
      </w:tr>
      <w:tr w:rsidR="00245300" w:rsidRPr="00EC20A0" w14:paraId="24D61B58" w14:textId="77777777">
        <w:trPr>
          <w:trHeight w:val="999"/>
        </w:trPr>
        <w:tc>
          <w:tcPr>
            <w:tcW w:w="6287" w:type="dxa"/>
            <w:tcBorders>
              <w:top w:val="single" w:sz="4" w:space="0" w:color="000000"/>
              <w:bottom w:val="single" w:sz="4" w:space="0" w:color="000000"/>
              <w:right w:val="single" w:sz="4" w:space="0" w:color="000000"/>
            </w:tcBorders>
          </w:tcPr>
          <w:p w14:paraId="24D61B55" w14:textId="77777777" w:rsidR="00245300" w:rsidRPr="00EC20A0" w:rsidRDefault="00F17249">
            <w:pPr>
              <w:pStyle w:val="TableParagraph"/>
              <w:spacing w:before="121"/>
              <w:ind w:left="1509" w:right="391" w:hanging="360"/>
            </w:pPr>
            <w:r w:rsidRPr="00EC20A0">
              <w:t>c)</w:t>
            </w:r>
            <w:r w:rsidRPr="00EC20A0">
              <w:rPr>
                <w:spacing w:val="80"/>
              </w:rPr>
              <w:t xml:space="preserve"> </w:t>
            </w:r>
            <w:r w:rsidRPr="00EC20A0">
              <w:t>Document results in a cycle memo, walk- through,</w:t>
            </w:r>
            <w:r w:rsidRPr="00EC20A0">
              <w:rPr>
                <w:spacing w:val="-8"/>
              </w:rPr>
              <w:t xml:space="preserve"> </w:t>
            </w:r>
            <w:r w:rsidRPr="00EC20A0">
              <w:t>matter</w:t>
            </w:r>
            <w:r w:rsidRPr="00EC20A0">
              <w:rPr>
                <w:spacing w:val="-8"/>
              </w:rPr>
              <w:t xml:space="preserve"> </w:t>
            </w:r>
            <w:r w:rsidRPr="00EC20A0">
              <w:t>for</w:t>
            </w:r>
            <w:r w:rsidRPr="00EC20A0">
              <w:rPr>
                <w:spacing w:val="-8"/>
              </w:rPr>
              <w:t xml:space="preserve"> </w:t>
            </w:r>
            <w:r w:rsidRPr="00EC20A0">
              <w:t>further</w:t>
            </w:r>
            <w:r w:rsidRPr="00EC20A0">
              <w:rPr>
                <w:spacing w:val="-8"/>
              </w:rPr>
              <w:t xml:space="preserve"> </w:t>
            </w:r>
            <w:r w:rsidRPr="00EC20A0">
              <w:t>consideration,</w:t>
            </w:r>
            <w:r w:rsidRPr="00EC20A0">
              <w:rPr>
                <w:spacing w:val="-8"/>
              </w:rPr>
              <w:t xml:space="preserve"> </w:t>
            </w:r>
            <w:r w:rsidRPr="00EC20A0">
              <w:t>or other documents as appropriate.</w:t>
            </w:r>
          </w:p>
        </w:tc>
        <w:tc>
          <w:tcPr>
            <w:tcW w:w="973" w:type="dxa"/>
            <w:tcBorders>
              <w:top w:val="single" w:sz="4" w:space="0" w:color="000000"/>
              <w:left w:val="single" w:sz="4" w:space="0" w:color="000000"/>
              <w:bottom w:val="single" w:sz="4" w:space="0" w:color="000000"/>
              <w:right w:val="single" w:sz="4" w:space="0" w:color="000000"/>
            </w:tcBorders>
          </w:tcPr>
          <w:p w14:paraId="24D61B56" w14:textId="77777777" w:rsidR="00245300" w:rsidRPr="00EC20A0" w:rsidRDefault="00245300">
            <w:pPr>
              <w:pStyle w:val="TableParagraph"/>
              <w:rPr>
                <w:sz w:val="20"/>
              </w:rPr>
            </w:pPr>
          </w:p>
        </w:tc>
        <w:tc>
          <w:tcPr>
            <w:tcW w:w="1949" w:type="dxa"/>
            <w:tcBorders>
              <w:top w:val="single" w:sz="4" w:space="0" w:color="000000"/>
              <w:left w:val="single" w:sz="4" w:space="0" w:color="000000"/>
              <w:bottom w:val="single" w:sz="4" w:space="0" w:color="000000"/>
            </w:tcBorders>
          </w:tcPr>
          <w:p w14:paraId="24D61B57" w14:textId="77777777" w:rsidR="00245300" w:rsidRPr="00EC20A0" w:rsidRDefault="00245300">
            <w:pPr>
              <w:pStyle w:val="TableParagraph"/>
              <w:rPr>
                <w:sz w:val="20"/>
              </w:rPr>
            </w:pPr>
          </w:p>
        </w:tc>
      </w:tr>
      <w:tr w:rsidR="00245300" w:rsidRPr="00EC20A0" w14:paraId="24D61B5C" w14:textId="77777777">
        <w:trPr>
          <w:trHeight w:val="521"/>
        </w:trPr>
        <w:tc>
          <w:tcPr>
            <w:tcW w:w="6287" w:type="dxa"/>
            <w:tcBorders>
              <w:top w:val="single" w:sz="4" w:space="0" w:color="000000"/>
              <w:bottom w:val="single" w:sz="4" w:space="0" w:color="000000"/>
              <w:right w:val="single" w:sz="4" w:space="0" w:color="000000"/>
            </w:tcBorders>
          </w:tcPr>
          <w:p w14:paraId="24D61B59" w14:textId="77777777" w:rsidR="00245300" w:rsidRPr="00EC20A0" w:rsidRDefault="00F17249">
            <w:pPr>
              <w:pStyle w:val="TableParagraph"/>
              <w:spacing w:before="121"/>
              <w:ind w:left="127"/>
              <w:rPr>
                <w:b/>
              </w:rPr>
            </w:pPr>
            <w:r w:rsidRPr="00EC20A0">
              <w:rPr>
                <w:b/>
              </w:rPr>
              <w:t>II.</w:t>
            </w:r>
            <w:r w:rsidRPr="00EC20A0">
              <w:rPr>
                <w:b/>
                <w:spacing w:val="-5"/>
              </w:rPr>
              <w:t xml:space="preserve"> </w:t>
            </w:r>
            <w:r w:rsidRPr="00EC20A0">
              <w:rPr>
                <w:b/>
              </w:rPr>
              <w:t>Testing</w:t>
            </w:r>
            <w:r w:rsidRPr="00EC20A0">
              <w:rPr>
                <w:b/>
                <w:spacing w:val="-5"/>
              </w:rPr>
              <w:t xml:space="preserve"> </w:t>
            </w:r>
            <w:r w:rsidRPr="00EC20A0">
              <w:rPr>
                <w:b/>
                <w:spacing w:val="-2"/>
              </w:rPr>
              <w:t>Phase</w:t>
            </w:r>
          </w:p>
        </w:tc>
        <w:tc>
          <w:tcPr>
            <w:tcW w:w="973" w:type="dxa"/>
            <w:tcBorders>
              <w:top w:val="single" w:sz="4" w:space="0" w:color="000000"/>
              <w:left w:val="single" w:sz="4" w:space="0" w:color="000000"/>
              <w:bottom w:val="single" w:sz="4" w:space="0" w:color="000000"/>
              <w:right w:val="single" w:sz="4" w:space="0" w:color="000000"/>
            </w:tcBorders>
          </w:tcPr>
          <w:p w14:paraId="24D61B5A" w14:textId="77777777" w:rsidR="00245300" w:rsidRPr="00EC20A0" w:rsidRDefault="00245300">
            <w:pPr>
              <w:pStyle w:val="TableParagraph"/>
              <w:rPr>
                <w:sz w:val="20"/>
              </w:rPr>
            </w:pPr>
          </w:p>
        </w:tc>
        <w:tc>
          <w:tcPr>
            <w:tcW w:w="1949" w:type="dxa"/>
            <w:tcBorders>
              <w:top w:val="single" w:sz="4" w:space="0" w:color="000000"/>
              <w:left w:val="single" w:sz="4" w:space="0" w:color="000000"/>
              <w:bottom w:val="single" w:sz="4" w:space="0" w:color="000000"/>
            </w:tcBorders>
          </w:tcPr>
          <w:p w14:paraId="24D61B5B" w14:textId="77777777" w:rsidR="00245300" w:rsidRPr="00EC20A0" w:rsidRDefault="00245300">
            <w:pPr>
              <w:pStyle w:val="TableParagraph"/>
              <w:rPr>
                <w:sz w:val="20"/>
              </w:rPr>
            </w:pPr>
          </w:p>
        </w:tc>
      </w:tr>
      <w:tr w:rsidR="00245300" w:rsidRPr="00EC20A0" w14:paraId="24D61B65" w14:textId="77777777">
        <w:trPr>
          <w:trHeight w:val="8164"/>
        </w:trPr>
        <w:tc>
          <w:tcPr>
            <w:tcW w:w="6287" w:type="dxa"/>
            <w:tcBorders>
              <w:top w:val="single" w:sz="4" w:space="0" w:color="000000"/>
              <w:right w:val="single" w:sz="4" w:space="0" w:color="000000"/>
            </w:tcBorders>
          </w:tcPr>
          <w:p w14:paraId="24D61B5D" w14:textId="77777777" w:rsidR="00245300" w:rsidRPr="00EC20A0" w:rsidRDefault="00F17249">
            <w:pPr>
              <w:pStyle w:val="TableParagraph"/>
              <w:numPr>
                <w:ilvl w:val="0"/>
                <w:numId w:val="85"/>
              </w:numPr>
              <w:tabs>
                <w:tab w:val="left" w:pos="1172"/>
              </w:tabs>
              <w:spacing w:before="120"/>
              <w:ind w:right="156" w:hanging="576"/>
            </w:pPr>
            <w:r w:rsidRPr="00EC20A0">
              <w:t xml:space="preserve">In the testing phase of the audit, perform control testing to </w:t>
            </w:r>
            <w:r w:rsidRPr="00EC20A0">
              <w:t>assess the operating effectiveness of relevant control activities that have been implemented</w:t>
            </w:r>
            <w:r w:rsidRPr="00EC20A0">
              <w:rPr>
                <w:spacing w:val="-6"/>
              </w:rPr>
              <w:t xml:space="preserve"> </w:t>
            </w:r>
            <w:r w:rsidRPr="00EC20A0">
              <w:t>(including</w:t>
            </w:r>
            <w:r w:rsidRPr="00EC20A0">
              <w:rPr>
                <w:spacing w:val="-7"/>
              </w:rPr>
              <w:t xml:space="preserve"> </w:t>
            </w:r>
            <w:r w:rsidRPr="00EC20A0">
              <w:t>the</w:t>
            </w:r>
            <w:r w:rsidRPr="00EC20A0">
              <w:rPr>
                <w:spacing w:val="-6"/>
              </w:rPr>
              <w:t xml:space="preserve"> </w:t>
            </w:r>
            <w:r w:rsidRPr="00EC20A0">
              <w:t>controls</w:t>
            </w:r>
            <w:r w:rsidRPr="00EC20A0">
              <w:rPr>
                <w:spacing w:val="-7"/>
              </w:rPr>
              <w:t xml:space="preserve"> </w:t>
            </w:r>
            <w:r w:rsidRPr="00EC20A0">
              <w:t>over</w:t>
            </w:r>
            <w:r w:rsidRPr="00EC20A0">
              <w:rPr>
                <w:spacing w:val="-6"/>
              </w:rPr>
              <w:t xml:space="preserve"> </w:t>
            </w:r>
            <w:r w:rsidRPr="00EC20A0">
              <w:t>the</w:t>
            </w:r>
            <w:r w:rsidRPr="00EC20A0">
              <w:rPr>
                <w:spacing w:val="-6"/>
              </w:rPr>
              <w:t xml:space="preserve"> </w:t>
            </w:r>
            <w:r w:rsidRPr="00EC20A0">
              <w:t xml:space="preserve">areas in steps 1 a–b below), and perform substantive procedures to gather sufficient appropriate audit evidence to determine whether the entity does the </w:t>
            </w:r>
            <w:r w:rsidRPr="00EC20A0">
              <w:rPr>
                <w:spacing w:val="-2"/>
              </w:rPr>
              <w:t>following:</w:t>
            </w:r>
          </w:p>
          <w:p w14:paraId="24D61B5E" w14:textId="77777777" w:rsidR="00245300" w:rsidRPr="00EC20A0" w:rsidRDefault="00F17249">
            <w:pPr>
              <w:pStyle w:val="TableParagraph"/>
              <w:numPr>
                <w:ilvl w:val="1"/>
                <w:numId w:val="85"/>
              </w:numPr>
              <w:tabs>
                <w:tab w:val="left" w:pos="1509"/>
              </w:tabs>
              <w:spacing w:before="240"/>
              <w:ind w:right="127" w:hanging="360"/>
            </w:pPr>
            <w:r w:rsidRPr="00EC20A0">
              <w:t>Properly and timely assigns appropriate TASs and BETCs to its collection and disbursement activity</w:t>
            </w:r>
            <w:r w:rsidRPr="00EC20A0">
              <w:rPr>
                <w:spacing w:val="-7"/>
              </w:rPr>
              <w:t xml:space="preserve"> </w:t>
            </w:r>
            <w:r w:rsidRPr="00EC20A0">
              <w:t>in</w:t>
            </w:r>
            <w:r w:rsidRPr="00EC20A0">
              <w:rPr>
                <w:spacing w:val="-7"/>
              </w:rPr>
              <w:t xml:space="preserve"> </w:t>
            </w:r>
            <w:r w:rsidRPr="00EC20A0">
              <w:t>CARS.</w:t>
            </w:r>
            <w:r w:rsidRPr="00EC20A0">
              <w:rPr>
                <w:spacing w:val="-7"/>
              </w:rPr>
              <w:t xml:space="preserve"> </w:t>
            </w:r>
            <w:r w:rsidRPr="00EC20A0">
              <w:t>Assigning</w:t>
            </w:r>
            <w:r w:rsidRPr="00EC20A0">
              <w:rPr>
                <w:spacing w:val="-7"/>
              </w:rPr>
              <w:t xml:space="preserve"> </w:t>
            </w:r>
            <w:r w:rsidRPr="00EC20A0">
              <w:t>an</w:t>
            </w:r>
            <w:r w:rsidRPr="00EC20A0">
              <w:rPr>
                <w:spacing w:val="-7"/>
              </w:rPr>
              <w:t xml:space="preserve"> </w:t>
            </w:r>
            <w:r w:rsidRPr="00EC20A0">
              <w:t>appropriate</w:t>
            </w:r>
            <w:r w:rsidRPr="00EC20A0">
              <w:rPr>
                <w:spacing w:val="-7"/>
              </w:rPr>
              <w:t xml:space="preserve"> </w:t>
            </w:r>
            <w:r w:rsidRPr="00EC20A0">
              <w:t>TAS includes the TAS components, including the agency identifier, period of availability, and main account code. (This step may be done in conjunction with work performed on other cycles.) The auditor may:</w:t>
            </w:r>
          </w:p>
          <w:p w14:paraId="24D61B5F" w14:textId="77777777" w:rsidR="00245300" w:rsidRPr="00EC20A0" w:rsidRDefault="00F17249">
            <w:pPr>
              <w:pStyle w:val="TableParagraph"/>
              <w:numPr>
                <w:ilvl w:val="2"/>
                <w:numId w:val="85"/>
              </w:numPr>
              <w:tabs>
                <w:tab w:val="left" w:pos="1869"/>
              </w:tabs>
              <w:spacing w:before="239"/>
              <w:ind w:right="193"/>
              <w:jc w:val="left"/>
            </w:pPr>
            <w:r w:rsidRPr="00EC20A0">
              <w:t>Review the entity’s cash flow profiles, C- Keys, and TAS and BETC combinations to determine whether they are appropriate based</w:t>
            </w:r>
            <w:r w:rsidRPr="00EC20A0">
              <w:rPr>
                <w:spacing w:val="-7"/>
              </w:rPr>
              <w:t xml:space="preserve"> </w:t>
            </w:r>
            <w:r w:rsidRPr="00EC20A0">
              <w:t>on</w:t>
            </w:r>
            <w:r w:rsidRPr="00EC20A0">
              <w:rPr>
                <w:spacing w:val="-7"/>
              </w:rPr>
              <w:t xml:space="preserve"> </w:t>
            </w:r>
            <w:r w:rsidRPr="00EC20A0">
              <w:t>transaction</w:t>
            </w:r>
            <w:r w:rsidRPr="00EC20A0">
              <w:rPr>
                <w:spacing w:val="-7"/>
              </w:rPr>
              <w:t xml:space="preserve"> </w:t>
            </w:r>
            <w:r w:rsidRPr="00EC20A0">
              <w:t>type,</w:t>
            </w:r>
            <w:r w:rsidRPr="00EC20A0">
              <w:rPr>
                <w:spacing w:val="-7"/>
              </w:rPr>
              <w:t xml:space="preserve"> </w:t>
            </w:r>
            <w:r w:rsidRPr="00EC20A0">
              <w:t>the</w:t>
            </w:r>
            <w:r w:rsidRPr="00EC20A0">
              <w:rPr>
                <w:spacing w:val="-6"/>
              </w:rPr>
              <w:t xml:space="preserve"> </w:t>
            </w:r>
            <w:r w:rsidRPr="00EC20A0">
              <w:rPr>
                <w:i/>
              </w:rPr>
              <w:t>FAST</w:t>
            </w:r>
            <w:r w:rsidRPr="00EC20A0">
              <w:rPr>
                <w:i/>
                <w:spacing w:val="-7"/>
              </w:rPr>
              <w:t xml:space="preserve"> </w:t>
            </w:r>
            <w:r w:rsidRPr="00EC20A0">
              <w:rPr>
                <w:i/>
              </w:rPr>
              <w:t>Book</w:t>
            </w:r>
            <w:r w:rsidRPr="00EC20A0">
              <w:t>, and Treasury’s BETC guidance.</w:t>
            </w:r>
          </w:p>
          <w:p w14:paraId="24D61B60" w14:textId="77777777" w:rsidR="00245300" w:rsidRPr="00EC20A0" w:rsidRDefault="00F17249">
            <w:pPr>
              <w:pStyle w:val="TableParagraph"/>
              <w:numPr>
                <w:ilvl w:val="2"/>
                <w:numId w:val="85"/>
              </w:numPr>
              <w:tabs>
                <w:tab w:val="left" w:pos="1869"/>
              </w:tabs>
              <w:spacing w:before="240"/>
              <w:ind w:right="120" w:hanging="430"/>
              <w:jc w:val="left"/>
            </w:pPr>
            <w:r w:rsidRPr="00EC20A0">
              <w:t>Test controls over assigning appropriate TASs</w:t>
            </w:r>
            <w:r w:rsidRPr="00EC20A0">
              <w:rPr>
                <w:spacing w:val="-8"/>
              </w:rPr>
              <w:t xml:space="preserve"> </w:t>
            </w:r>
            <w:r w:rsidRPr="00EC20A0">
              <w:t>and</w:t>
            </w:r>
            <w:r w:rsidRPr="00EC20A0">
              <w:rPr>
                <w:spacing w:val="-8"/>
              </w:rPr>
              <w:t xml:space="preserve"> </w:t>
            </w:r>
            <w:r w:rsidRPr="00EC20A0">
              <w:t>BETCs</w:t>
            </w:r>
            <w:r w:rsidRPr="00EC20A0">
              <w:rPr>
                <w:spacing w:val="-8"/>
              </w:rPr>
              <w:t xml:space="preserve"> </w:t>
            </w:r>
            <w:r w:rsidRPr="00EC20A0">
              <w:t>to</w:t>
            </w:r>
            <w:r w:rsidRPr="00EC20A0">
              <w:rPr>
                <w:spacing w:val="-8"/>
              </w:rPr>
              <w:t xml:space="preserve"> </w:t>
            </w:r>
            <w:r w:rsidRPr="00EC20A0">
              <w:t>disbursements</w:t>
            </w:r>
            <w:r w:rsidRPr="00EC20A0">
              <w:rPr>
                <w:spacing w:val="-8"/>
              </w:rPr>
              <w:t xml:space="preserve"> </w:t>
            </w:r>
            <w:r w:rsidRPr="00EC20A0">
              <w:t>through the entity’s invoice processing systems.</w:t>
            </w:r>
          </w:p>
          <w:p w14:paraId="24D61B61" w14:textId="77777777" w:rsidR="00245300" w:rsidRPr="00EC20A0" w:rsidRDefault="00F17249">
            <w:pPr>
              <w:pStyle w:val="TableParagraph"/>
              <w:numPr>
                <w:ilvl w:val="2"/>
                <w:numId w:val="85"/>
              </w:numPr>
              <w:tabs>
                <w:tab w:val="left" w:pos="1869"/>
              </w:tabs>
              <w:spacing w:before="241"/>
              <w:ind w:right="156" w:hanging="478"/>
              <w:jc w:val="left"/>
            </w:pPr>
            <w:r w:rsidRPr="00EC20A0">
              <w:t xml:space="preserve">Assess the appropriateness of TASs and BETCs assigned to FBWT </w:t>
            </w:r>
            <w:r w:rsidRPr="00EC20A0">
              <w:t>transactions (including</w:t>
            </w:r>
            <w:r w:rsidRPr="00EC20A0">
              <w:rPr>
                <w:spacing w:val="-10"/>
              </w:rPr>
              <w:t xml:space="preserve"> </w:t>
            </w:r>
            <w:r w:rsidRPr="00EC20A0">
              <w:t>collections,</w:t>
            </w:r>
            <w:r w:rsidRPr="00EC20A0">
              <w:rPr>
                <w:spacing w:val="-10"/>
              </w:rPr>
              <w:t xml:space="preserve"> </w:t>
            </w:r>
            <w:r w:rsidRPr="00EC20A0">
              <w:t>nonpayroll</w:t>
            </w:r>
            <w:r w:rsidRPr="00EC20A0">
              <w:rPr>
                <w:spacing w:val="-10"/>
              </w:rPr>
              <w:t xml:space="preserve"> </w:t>
            </w:r>
            <w:r w:rsidRPr="00EC20A0">
              <w:t>costs,</w:t>
            </w:r>
            <w:r w:rsidRPr="00EC20A0">
              <w:rPr>
                <w:spacing w:val="-10"/>
              </w:rPr>
              <w:t xml:space="preserve"> </w:t>
            </w:r>
            <w:r w:rsidRPr="00EC20A0">
              <w:t>and</w:t>
            </w:r>
          </w:p>
          <w:p w14:paraId="24D61B62" w14:textId="77777777" w:rsidR="00245300" w:rsidRPr="00EC20A0" w:rsidRDefault="00F17249">
            <w:pPr>
              <w:pStyle w:val="TableParagraph"/>
              <w:spacing w:line="234" w:lineRule="exact"/>
              <w:ind w:left="1869"/>
            </w:pPr>
            <w:r w:rsidRPr="00EC20A0">
              <w:t>payroll</w:t>
            </w:r>
            <w:r w:rsidRPr="00EC20A0">
              <w:rPr>
                <w:spacing w:val="-6"/>
              </w:rPr>
              <w:t xml:space="preserve"> </w:t>
            </w:r>
            <w:r w:rsidRPr="00EC20A0">
              <w:t>costs)</w:t>
            </w:r>
            <w:r w:rsidRPr="00EC20A0">
              <w:rPr>
                <w:spacing w:val="-6"/>
              </w:rPr>
              <w:t xml:space="preserve"> </w:t>
            </w:r>
            <w:r w:rsidRPr="00EC20A0">
              <w:t>in</w:t>
            </w:r>
            <w:r w:rsidRPr="00EC20A0">
              <w:rPr>
                <w:spacing w:val="-5"/>
              </w:rPr>
              <w:t xml:space="preserve"> </w:t>
            </w:r>
            <w:r w:rsidRPr="00EC20A0">
              <w:t>CARS</w:t>
            </w:r>
            <w:r w:rsidRPr="00EC20A0">
              <w:rPr>
                <w:spacing w:val="-6"/>
              </w:rPr>
              <w:t xml:space="preserve"> </w:t>
            </w:r>
            <w:r w:rsidRPr="00EC20A0">
              <w:t>through</w:t>
            </w:r>
            <w:r w:rsidRPr="00EC20A0">
              <w:rPr>
                <w:spacing w:val="-5"/>
              </w:rPr>
              <w:t xml:space="preserve"> </w:t>
            </w:r>
            <w:r w:rsidRPr="00EC20A0">
              <w:rPr>
                <w:spacing w:val="-2"/>
              </w:rPr>
              <w:t>substantive</w:t>
            </w:r>
          </w:p>
        </w:tc>
        <w:tc>
          <w:tcPr>
            <w:tcW w:w="973" w:type="dxa"/>
            <w:tcBorders>
              <w:top w:val="single" w:sz="4" w:space="0" w:color="000000"/>
              <w:left w:val="single" w:sz="4" w:space="0" w:color="000000"/>
              <w:right w:val="single" w:sz="4" w:space="0" w:color="000000"/>
            </w:tcBorders>
          </w:tcPr>
          <w:p w14:paraId="24D61B63" w14:textId="77777777" w:rsidR="00245300" w:rsidRPr="00EC20A0" w:rsidRDefault="00245300">
            <w:pPr>
              <w:pStyle w:val="TableParagraph"/>
              <w:rPr>
                <w:sz w:val="20"/>
              </w:rPr>
            </w:pPr>
          </w:p>
        </w:tc>
        <w:tc>
          <w:tcPr>
            <w:tcW w:w="1949" w:type="dxa"/>
            <w:tcBorders>
              <w:top w:val="single" w:sz="4" w:space="0" w:color="000000"/>
              <w:left w:val="single" w:sz="4" w:space="0" w:color="000000"/>
            </w:tcBorders>
          </w:tcPr>
          <w:p w14:paraId="24D61B64" w14:textId="77777777" w:rsidR="00245300" w:rsidRPr="00EC20A0" w:rsidRDefault="00245300">
            <w:pPr>
              <w:pStyle w:val="TableParagraph"/>
              <w:rPr>
                <w:sz w:val="20"/>
              </w:rPr>
            </w:pPr>
          </w:p>
        </w:tc>
      </w:tr>
    </w:tbl>
    <w:p w14:paraId="24D61B66"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B67" w14:textId="77777777" w:rsidR="00245300" w:rsidRPr="00EC20A0" w:rsidRDefault="00245300">
      <w:pPr>
        <w:pStyle w:val="BodyText"/>
        <w:spacing w:before="9"/>
        <w:rPr>
          <w:b/>
          <w:sz w:val="11"/>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287"/>
        <w:gridCol w:w="973"/>
        <w:gridCol w:w="1949"/>
      </w:tblGrid>
      <w:tr w:rsidR="00245300" w:rsidRPr="00EC20A0" w14:paraId="24D61B6B" w14:textId="77777777">
        <w:trPr>
          <w:trHeight w:val="745"/>
        </w:trPr>
        <w:tc>
          <w:tcPr>
            <w:tcW w:w="6287" w:type="dxa"/>
            <w:tcBorders>
              <w:right w:val="single" w:sz="4" w:space="0" w:color="000000"/>
            </w:tcBorders>
          </w:tcPr>
          <w:p w14:paraId="24D61B68" w14:textId="77777777" w:rsidR="00245300" w:rsidRPr="00EC20A0" w:rsidRDefault="00F17249">
            <w:pPr>
              <w:pStyle w:val="TableParagraph"/>
              <w:spacing w:before="120"/>
              <w:ind w:left="92"/>
              <w:rPr>
                <w:b/>
              </w:rPr>
            </w:pPr>
            <w:r w:rsidRPr="00EC20A0">
              <w:rPr>
                <w:b/>
                <w:spacing w:val="-2"/>
              </w:rPr>
              <w:t>Procedures</w:t>
            </w:r>
          </w:p>
        </w:tc>
        <w:tc>
          <w:tcPr>
            <w:tcW w:w="973" w:type="dxa"/>
            <w:tcBorders>
              <w:left w:val="single" w:sz="4" w:space="0" w:color="000000"/>
              <w:right w:val="single" w:sz="4" w:space="0" w:color="000000"/>
            </w:tcBorders>
          </w:tcPr>
          <w:p w14:paraId="24D61B69" w14:textId="77777777" w:rsidR="00245300" w:rsidRPr="00EC20A0" w:rsidRDefault="00F17249">
            <w:pPr>
              <w:pStyle w:val="TableParagraph"/>
              <w:spacing w:before="120"/>
              <w:ind w:left="110"/>
              <w:rPr>
                <w:b/>
              </w:rPr>
            </w:pPr>
            <w:r w:rsidRPr="00EC20A0">
              <w:rPr>
                <w:b/>
                <w:spacing w:val="-2"/>
              </w:rPr>
              <w:t xml:space="preserve">Initials/ </w:t>
            </w:r>
            <w:r w:rsidRPr="00EC20A0">
              <w:rPr>
                <w:b/>
                <w:spacing w:val="-4"/>
              </w:rPr>
              <w:t>date</w:t>
            </w:r>
          </w:p>
        </w:tc>
        <w:tc>
          <w:tcPr>
            <w:tcW w:w="1949" w:type="dxa"/>
            <w:tcBorders>
              <w:left w:val="single" w:sz="4" w:space="0" w:color="000000"/>
            </w:tcBorders>
          </w:tcPr>
          <w:p w14:paraId="24D61B6A" w14:textId="77777777" w:rsidR="00245300" w:rsidRPr="00EC20A0" w:rsidRDefault="00F17249">
            <w:pPr>
              <w:pStyle w:val="TableParagraph"/>
              <w:spacing w:before="120"/>
              <w:ind w:left="110"/>
              <w:rPr>
                <w:b/>
              </w:rPr>
            </w:pPr>
            <w:r w:rsidRPr="00EC20A0">
              <w:rPr>
                <w:b/>
              </w:rPr>
              <w:t>Doc.</w:t>
            </w:r>
            <w:r w:rsidRPr="00EC20A0">
              <w:rPr>
                <w:b/>
                <w:spacing w:val="-5"/>
              </w:rPr>
              <w:t xml:space="preserve"> </w:t>
            </w:r>
            <w:r w:rsidRPr="00EC20A0">
              <w:rPr>
                <w:b/>
                <w:spacing w:val="-4"/>
              </w:rPr>
              <w:t>ref.</w:t>
            </w:r>
          </w:p>
        </w:tc>
      </w:tr>
      <w:tr w:rsidR="00245300" w:rsidRPr="00EC20A0" w14:paraId="24D61B76" w14:textId="77777777">
        <w:trPr>
          <w:trHeight w:val="10699"/>
        </w:trPr>
        <w:tc>
          <w:tcPr>
            <w:tcW w:w="6287" w:type="dxa"/>
            <w:tcBorders>
              <w:bottom w:val="single" w:sz="4" w:space="0" w:color="000000"/>
              <w:right w:val="single" w:sz="4" w:space="0" w:color="000000"/>
            </w:tcBorders>
          </w:tcPr>
          <w:p w14:paraId="24D61B6C" w14:textId="77777777" w:rsidR="00245300" w:rsidRPr="00EC20A0" w:rsidRDefault="00F17249">
            <w:pPr>
              <w:pStyle w:val="TableParagraph"/>
              <w:ind w:left="1869" w:right="143"/>
            </w:pPr>
            <w:r w:rsidRPr="00EC20A0">
              <w:t xml:space="preserve">testing of a nonstatistical selection of transactions or by using samples selected for </w:t>
            </w:r>
            <w:r w:rsidRPr="00EC20A0">
              <w:t>testing by other cycles. Determining whether FBWT is recorded to the appropriate</w:t>
            </w:r>
            <w:r w:rsidRPr="00EC20A0">
              <w:rPr>
                <w:spacing w:val="-6"/>
              </w:rPr>
              <w:t xml:space="preserve"> </w:t>
            </w:r>
            <w:r w:rsidRPr="00EC20A0">
              <w:t>TAS</w:t>
            </w:r>
            <w:r w:rsidRPr="00EC20A0">
              <w:rPr>
                <w:spacing w:val="-6"/>
              </w:rPr>
              <w:t xml:space="preserve"> </w:t>
            </w:r>
            <w:r w:rsidRPr="00EC20A0">
              <w:t>may</w:t>
            </w:r>
            <w:r w:rsidRPr="00EC20A0">
              <w:rPr>
                <w:spacing w:val="-6"/>
              </w:rPr>
              <w:t xml:space="preserve"> </w:t>
            </w:r>
            <w:r w:rsidRPr="00EC20A0">
              <w:t>also</w:t>
            </w:r>
            <w:r w:rsidRPr="00EC20A0">
              <w:rPr>
                <w:spacing w:val="-6"/>
              </w:rPr>
              <w:t xml:space="preserve"> </w:t>
            </w:r>
            <w:r w:rsidRPr="00EC20A0">
              <w:t>be</w:t>
            </w:r>
            <w:r w:rsidRPr="00EC20A0">
              <w:rPr>
                <w:spacing w:val="-6"/>
              </w:rPr>
              <w:t xml:space="preserve"> </w:t>
            </w:r>
            <w:r w:rsidRPr="00EC20A0">
              <w:t>tested</w:t>
            </w:r>
            <w:r w:rsidRPr="00EC20A0">
              <w:rPr>
                <w:spacing w:val="-6"/>
              </w:rPr>
              <w:t xml:space="preserve"> </w:t>
            </w:r>
            <w:r w:rsidRPr="00EC20A0">
              <w:t>as</w:t>
            </w:r>
            <w:r w:rsidRPr="00EC20A0">
              <w:rPr>
                <w:spacing w:val="-6"/>
              </w:rPr>
              <w:t xml:space="preserve"> </w:t>
            </w:r>
            <w:r w:rsidRPr="00EC20A0">
              <w:t xml:space="preserve">part of budget information (FAM 495 B) or compliance with the </w:t>
            </w:r>
            <w:proofErr w:type="spellStart"/>
            <w:r w:rsidRPr="00EC20A0">
              <w:t>Antideficiency</w:t>
            </w:r>
            <w:proofErr w:type="spellEnd"/>
            <w:r w:rsidRPr="00EC20A0">
              <w:t xml:space="preserve"> Act (FAM 803).</w:t>
            </w:r>
          </w:p>
          <w:p w14:paraId="24D61B6D" w14:textId="77777777" w:rsidR="00245300" w:rsidRPr="00EC20A0" w:rsidRDefault="00F17249">
            <w:pPr>
              <w:pStyle w:val="TableParagraph"/>
              <w:spacing w:before="241"/>
              <w:ind w:left="1869"/>
            </w:pPr>
            <w:r w:rsidRPr="00EC20A0">
              <w:t>Note: Consider the need to remove FBWT transactions reported that do not originate from source systems (e.g., CIR, PIR, etc.), including</w:t>
            </w:r>
            <w:r w:rsidRPr="00EC20A0">
              <w:rPr>
                <w:spacing w:val="-10"/>
              </w:rPr>
              <w:t xml:space="preserve"> </w:t>
            </w:r>
            <w:r w:rsidRPr="00EC20A0">
              <w:t>reclassifications,</w:t>
            </w:r>
            <w:r w:rsidRPr="00EC20A0">
              <w:rPr>
                <w:spacing w:val="-10"/>
              </w:rPr>
              <w:t xml:space="preserve"> </w:t>
            </w:r>
            <w:r w:rsidRPr="00EC20A0">
              <w:t>from</w:t>
            </w:r>
            <w:r w:rsidRPr="00EC20A0">
              <w:rPr>
                <w:spacing w:val="-10"/>
              </w:rPr>
              <w:t xml:space="preserve"> </w:t>
            </w:r>
            <w:r w:rsidRPr="00EC20A0">
              <w:t>this</w:t>
            </w:r>
            <w:r w:rsidRPr="00EC20A0">
              <w:rPr>
                <w:spacing w:val="-10"/>
              </w:rPr>
              <w:t xml:space="preserve"> </w:t>
            </w:r>
            <w:r w:rsidRPr="00EC20A0">
              <w:t>testing, as discussed in FAM 921.12.</w:t>
            </w:r>
          </w:p>
          <w:p w14:paraId="24D61B6E" w14:textId="77777777" w:rsidR="00245300" w:rsidRPr="00EC20A0" w:rsidRDefault="00F17249">
            <w:pPr>
              <w:pStyle w:val="TableParagraph"/>
              <w:numPr>
                <w:ilvl w:val="0"/>
                <w:numId w:val="84"/>
              </w:numPr>
              <w:tabs>
                <w:tab w:val="left" w:pos="2282"/>
              </w:tabs>
              <w:spacing w:before="239"/>
              <w:ind w:right="306" w:hanging="360"/>
            </w:pPr>
            <w:r w:rsidRPr="00EC20A0">
              <w:t>To</w:t>
            </w:r>
            <w:r w:rsidRPr="00EC20A0">
              <w:rPr>
                <w:spacing w:val="-7"/>
              </w:rPr>
              <w:t xml:space="preserve"> </w:t>
            </w:r>
            <w:r w:rsidRPr="00EC20A0">
              <w:t>determine</w:t>
            </w:r>
            <w:r w:rsidRPr="00EC20A0">
              <w:rPr>
                <w:spacing w:val="-7"/>
              </w:rPr>
              <w:t xml:space="preserve"> </w:t>
            </w:r>
            <w:r w:rsidRPr="00EC20A0">
              <w:t>the</w:t>
            </w:r>
            <w:r w:rsidRPr="00EC20A0">
              <w:rPr>
                <w:spacing w:val="-7"/>
              </w:rPr>
              <w:t xml:space="preserve"> </w:t>
            </w:r>
            <w:r w:rsidRPr="00EC20A0">
              <w:t>nature</w:t>
            </w:r>
            <w:r w:rsidRPr="00EC20A0">
              <w:rPr>
                <w:spacing w:val="-7"/>
              </w:rPr>
              <w:t xml:space="preserve"> </w:t>
            </w:r>
            <w:r w:rsidRPr="00EC20A0">
              <w:t>and</w:t>
            </w:r>
            <w:r w:rsidRPr="00EC20A0">
              <w:rPr>
                <w:spacing w:val="-7"/>
              </w:rPr>
              <w:t xml:space="preserve"> </w:t>
            </w:r>
            <w:r w:rsidRPr="00EC20A0">
              <w:t>timing</w:t>
            </w:r>
            <w:r w:rsidRPr="00EC20A0">
              <w:rPr>
                <w:spacing w:val="-7"/>
              </w:rPr>
              <w:t xml:space="preserve"> </w:t>
            </w:r>
            <w:r w:rsidRPr="00EC20A0">
              <w:t xml:space="preserve">of the transaction, supporting documentation may include the </w:t>
            </w:r>
            <w:r w:rsidRPr="00EC20A0">
              <w:rPr>
                <w:spacing w:val="-2"/>
              </w:rPr>
              <w:t>following:</w:t>
            </w:r>
          </w:p>
          <w:p w14:paraId="24D61B6F" w14:textId="77777777" w:rsidR="00245300" w:rsidRPr="00EC20A0" w:rsidRDefault="00F17249">
            <w:pPr>
              <w:pStyle w:val="TableParagraph"/>
              <w:numPr>
                <w:ilvl w:val="1"/>
                <w:numId w:val="84"/>
              </w:numPr>
              <w:tabs>
                <w:tab w:val="left" w:pos="2642"/>
              </w:tabs>
              <w:spacing w:before="240"/>
              <w:ind w:right="215" w:hanging="318"/>
            </w:pPr>
            <w:r w:rsidRPr="00EC20A0">
              <w:t>For</w:t>
            </w:r>
            <w:r w:rsidRPr="00EC20A0">
              <w:rPr>
                <w:spacing w:val="-8"/>
              </w:rPr>
              <w:t xml:space="preserve"> </w:t>
            </w:r>
            <w:r w:rsidRPr="00EC20A0">
              <w:t>collections:</w:t>
            </w:r>
            <w:r w:rsidRPr="00EC20A0">
              <w:rPr>
                <w:spacing w:val="-8"/>
              </w:rPr>
              <w:t xml:space="preserve"> </w:t>
            </w:r>
            <w:r w:rsidRPr="00EC20A0">
              <w:t>check,</w:t>
            </w:r>
            <w:r w:rsidRPr="00EC20A0">
              <w:rPr>
                <w:spacing w:val="-8"/>
              </w:rPr>
              <w:t xml:space="preserve"> </w:t>
            </w:r>
            <w:r w:rsidRPr="00EC20A0">
              <w:t>wire,</w:t>
            </w:r>
            <w:r w:rsidRPr="00EC20A0">
              <w:rPr>
                <w:spacing w:val="-8"/>
              </w:rPr>
              <w:t xml:space="preserve"> </w:t>
            </w:r>
            <w:r w:rsidRPr="00EC20A0">
              <w:t>or</w:t>
            </w:r>
            <w:r w:rsidRPr="00EC20A0">
              <w:rPr>
                <w:spacing w:val="-8"/>
              </w:rPr>
              <w:t xml:space="preserve"> </w:t>
            </w:r>
            <w:r w:rsidRPr="00EC20A0">
              <w:t xml:space="preserve">CIR </w:t>
            </w:r>
            <w:r w:rsidRPr="00EC20A0">
              <w:rPr>
                <w:spacing w:val="-2"/>
              </w:rPr>
              <w:t>report</w:t>
            </w:r>
          </w:p>
          <w:p w14:paraId="24D61B70" w14:textId="77777777" w:rsidR="00245300" w:rsidRPr="00EC20A0" w:rsidRDefault="00F17249">
            <w:pPr>
              <w:pStyle w:val="TableParagraph"/>
              <w:numPr>
                <w:ilvl w:val="1"/>
                <w:numId w:val="84"/>
              </w:numPr>
              <w:tabs>
                <w:tab w:val="left" w:pos="2642"/>
              </w:tabs>
              <w:spacing w:before="238"/>
              <w:ind w:right="274" w:hanging="360"/>
            </w:pPr>
            <w:r w:rsidRPr="00EC20A0">
              <w:t>For nonpayroll transactions: obligating document, invoice, purchase</w:t>
            </w:r>
            <w:r w:rsidRPr="00EC20A0">
              <w:rPr>
                <w:spacing w:val="-9"/>
              </w:rPr>
              <w:t xml:space="preserve"> </w:t>
            </w:r>
            <w:r w:rsidRPr="00EC20A0">
              <w:t>card</w:t>
            </w:r>
            <w:r w:rsidRPr="00EC20A0">
              <w:rPr>
                <w:spacing w:val="-9"/>
              </w:rPr>
              <w:t xml:space="preserve"> </w:t>
            </w:r>
            <w:r w:rsidRPr="00EC20A0">
              <w:t>statement,</w:t>
            </w:r>
            <w:r w:rsidRPr="00EC20A0">
              <w:rPr>
                <w:spacing w:val="-9"/>
              </w:rPr>
              <w:t xml:space="preserve"> </w:t>
            </w:r>
            <w:r w:rsidRPr="00EC20A0">
              <w:t>or</w:t>
            </w:r>
            <w:r w:rsidRPr="00EC20A0">
              <w:rPr>
                <w:spacing w:val="-9"/>
              </w:rPr>
              <w:t xml:space="preserve"> </w:t>
            </w:r>
            <w:r w:rsidRPr="00EC20A0">
              <w:t xml:space="preserve">travel </w:t>
            </w:r>
            <w:r w:rsidRPr="00EC20A0">
              <w:rPr>
                <w:spacing w:val="-2"/>
              </w:rPr>
              <w:t>voucher</w:t>
            </w:r>
          </w:p>
          <w:p w14:paraId="24D61B71" w14:textId="77777777" w:rsidR="00245300" w:rsidRPr="00EC20A0" w:rsidRDefault="00F17249">
            <w:pPr>
              <w:pStyle w:val="TableParagraph"/>
              <w:numPr>
                <w:ilvl w:val="1"/>
                <w:numId w:val="84"/>
              </w:numPr>
              <w:tabs>
                <w:tab w:val="left" w:pos="2642"/>
              </w:tabs>
              <w:spacing w:before="239"/>
              <w:ind w:right="262" w:hanging="360"/>
            </w:pPr>
            <w:r w:rsidRPr="00EC20A0">
              <w:t>For payroll transactions: time and attendance sheet, Notification of Personnel Action (SF-50), and Request</w:t>
            </w:r>
            <w:r w:rsidRPr="00EC20A0">
              <w:rPr>
                <w:spacing w:val="-9"/>
              </w:rPr>
              <w:t xml:space="preserve"> </w:t>
            </w:r>
            <w:r w:rsidRPr="00EC20A0">
              <w:t>for</w:t>
            </w:r>
            <w:r w:rsidRPr="00EC20A0">
              <w:rPr>
                <w:spacing w:val="-9"/>
              </w:rPr>
              <w:t xml:space="preserve"> </w:t>
            </w:r>
            <w:r w:rsidRPr="00EC20A0">
              <w:t>Personnel</w:t>
            </w:r>
            <w:r w:rsidRPr="00EC20A0">
              <w:rPr>
                <w:spacing w:val="-9"/>
              </w:rPr>
              <w:t xml:space="preserve"> </w:t>
            </w:r>
            <w:r w:rsidRPr="00EC20A0">
              <w:t>Action</w:t>
            </w:r>
            <w:r w:rsidRPr="00EC20A0">
              <w:rPr>
                <w:spacing w:val="-9"/>
              </w:rPr>
              <w:t xml:space="preserve"> </w:t>
            </w:r>
            <w:r w:rsidRPr="00EC20A0">
              <w:t xml:space="preserve">(SF- </w:t>
            </w:r>
            <w:r w:rsidRPr="00EC20A0">
              <w:rPr>
                <w:spacing w:val="-4"/>
              </w:rPr>
              <w:t>52)</w:t>
            </w:r>
          </w:p>
          <w:p w14:paraId="24D61B72" w14:textId="77777777" w:rsidR="00245300" w:rsidRPr="00EC20A0" w:rsidRDefault="00F17249">
            <w:pPr>
              <w:pStyle w:val="TableParagraph"/>
              <w:numPr>
                <w:ilvl w:val="0"/>
                <w:numId w:val="84"/>
              </w:numPr>
              <w:tabs>
                <w:tab w:val="left" w:pos="2282"/>
              </w:tabs>
              <w:spacing w:before="238"/>
              <w:ind w:right="208" w:hanging="360"/>
            </w:pPr>
            <w:r w:rsidRPr="00EC20A0">
              <w:t>To determine the appropriate TAS, supporting</w:t>
            </w:r>
            <w:r w:rsidRPr="00EC20A0">
              <w:rPr>
                <w:spacing w:val="-13"/>
              </w:rPr>
              <w:t xml:space="preserve"> </w:t>
            </w:r>
            <w:r w:rsidRPr="00EC20A0">
              <w:t>documentation</w:t>
            </w:r>
            <w:r w:rsidRPr="00EC20A0">
              <w:rPr>
                <w:spacing w:val="-13"/>
              </w:rPr>
              <w:t xml:space="preserve"> </w:t>
            </w:r>
            <w:r w:rsidRPr="00EC20A0">
              <w:t>may</w:t>
            </w:r>
            <w:r w:rsidRPr="00EC20A0">
              <w:rPr>
                <w:spacing w:val="-13"/>
              </w:rPr>
              <w:t xml:space="preserve"> </w:t>
            </w:r>
            <w:r w:rsidRPr="00EC20A0">
              <w:t xml:space="preserve">include the </w:t>
            </w:r>
            <w:r w:rsidRPr="00EC20A0">
              <w:rPr>
                <w:i/>
              </w:rPr>
              <w:t xml:space="preserve">FAST Book </w:t>
            </w:r>
            <w:r w:rsidRPr="00EC20A0">
              <w:t xml:space="preserve">and the appropriation </w:t>
            </w:r>
            <w:r w:rsidRPr="00EC20A0">
              <w:rPr>
                <w:spacing w:val="-4"/>
              </w:rPr>
              <w:t>law.</w:t>
            </w:r>
          </w:p>
          <w:p w14:paraId="24D61B73" w14:textId="77777777" w:rsidR="00245300" w:rsidRPr="00EC20A0" w:rsidRDefault="00F17249">
            <w:pPr>
              <w:pStyle w:val="TableParagraph"/>
              <w:numPr>
                <w:ilvl w:val="0"/>
                <w:numId w:val="84"/>
              </w:numPr>
              <w:tabs>
                <w:tab w:val="left" w:pos="2282"/>
              </w:tabs>
              <w:spacing w:before="241"/>
              <w:ind w:right="208" w:hanging="360"/>
            </w:pPr>
            <w:r w:rsidRPr="00EC20A0">
              <w:t>To determine the appropriate BETC, supporting</w:t>
            </w:r>
            <w:r w:rsidRPr="00EC20A0">
              <w:rPr>
                <w:spacing w:val="-13"/>
              </w:rPr>
              <w:t xml:space="preserve"> </w:t>
            </w:r>
            <w:r w:rsidRPr="00EC20A0">
              <w:t>documentation</w:t>
            </w:r>
            <w:r w:rsidRPr="00EC20A0">
              <w:rPr>
                <w:spacing w:val="-13"/>
              </w:rPr>
              <w:t xml:space="preserve"> </w:t>
            </w:r>
            <w:r w:rsidRPr="00EC20A0">
              <w:t>may</w:t>
            </w:r>
            <w:r w:rsidRPr="00EC20A0">
              <w:rPr>
                <w:spacing w:val="-13"/>
              </w:rPr>
              <w:t xml:space="preserve"> </w:t>
            </w:r>
            <w:r w:rsidRPr="00EC20A0">
              <w:t>include Treasury’s BETC guidance.</w:t>
            </w:r>
          </w:p>
        </w:tc>
        <w:tc>
          <w:tcPr>
            <w:tcW w:w="973" w:type="dxa"/>
            <w:tcBorders>
              <w:left w:val="single" w:sz="4" w:space="0" w:color="000000"/>
              <w:bottom w:val="single" w:sz="4" w:space="0" w:color="000000"/>
              <w:right w:val="single" w:sz="4" w:space="0" w:color="000000"/>
            </w:tcBorders>
          </w:tcPr>
          <w:p w14:paraId="24D61B74" w14:textId="77777777" w:rsidR="00245300" w:rsidRPr="00EC20A0" w:rsidRDefault="00245300">
            <w:pPr>
              <w:pStyle w:val="TableParagraph"/>
              <w:rPr>
                <w:sz w:val="20"/>
              </w:rPr>
            </w:pPr>
          </w:p>
        </w:tc>
        <w:tc>
          <w:tcPr>
            <w:tcW w:w="1949" w:type="dxa"/>
            <w:tcBorders>
              <w:left w:val="single" w:sz="4" w:space="0" w:color="000000"/>
              <w:bottom w:val="single" w:sz="4" w:space="0" w:color="000000"/>
            </w:tcBorders>
          </w:tcPr>
          <w:p w14:paraId="24D61B75" w14:textId="77777777" w:rsidR="00245300" w:rsidRPr="00EC20A0" w:rsidRDefault="00245300">
            <w:pPr>
              <w:pStyle w:val="TableParagraph"/>
              <w:rPr>
                <w:sz w:val="20"/>
              </w:rPr>
            </w:pPr>
          </w:p>
        </w:tc>
      </w:tr>
      <w:tr w:rsidR="00245300" w:rsidRPr="00EC20A0" w14:paraId="24D61B7A" w14:textId="77777777">
        <w:trPr>
          <w:trHeight w:val="1386"/>
        </w:trPr>
        <w:tc>
          <w:tcPr>
            <w:tcW w:w="6287" w:type="dxa"/>
            <w:tcBorders>
              <w:top w:val="single" w:sz="4" w:space="0" w:color="000000"/>
              <w:right w:val="single" w:sz="4" w:space="0" w:color="000000"/>
            </w:tcBorders>
          </w:tcPr>
          <w:p w14:paraId="24D61B77" w14:textId="77777777" w:rsidR="00245300" w:rsidRPr="00EC20A0" w:rsidRDefault="00F17249">
            <w:pPr>
              <w:pStyle w:val="TableParagraph"/>
              <w:spacing w:before="101" w:line="250" w:lineRule="atLeast"/>
              <w:ind w:left="1509" w:right="108" w:hanging="360"/>
            </w:pPr>
            <w:r w:rsidRPr="00EC20A0">
              <w:t>b)</w:t>
            </w:r>
            <w:r w:rsidRPr="00EC20A0">
              <w:rPr>
                <w:spacing w:val="80"/>
              </w:rPr>
              <w:t xml:space="preserve"> </w:t>
            </w:r>
            <w:r w:rsidRPr="00EC20A0">
              <w:t>Periodically and at year-end, reconciles its FBWT account activity with CARS, including activity by TAS and BETC. Researches and resolves the underlying causes of differences between</w:t>
            </w:r>
            <w:r w:rsidRPr="00EC20A0">
              <w:rPr>
                <w:spacing w:val="-6"/>
              </w:rPr>
              <w:t xml:space="preserve"> </w:t>
            </w:r>
            <w:r w:rsidRPr="00EC20A0">
              <w:t>CARS</w:t>
            </w:r>
            <w:r w:rsidRPr="00EC20A0">
              <w:rPr>
                <w:spacing w:val="-6"/>
              </w:rPr>
              <w:t xml:space="preserve"> </w:t>
            </w:r>
            <w:r w:rsidRPr="00EC20A0">
              <w:t>and</w:t>
            </w:r>
            <w:r w:rsidRPr="00EC20A0">
              <w:rPr>
                <w:spacing w:val="-6"/>
              </w:rPr>
              <w:t xml:space="preserve"> </w:t>
            </w:r>
            <w:r w:rsidRPr="00EC20A0">
              <w:t>entity</w:t>
            </w:r>
            <w:r w:rsidRPr="00EC20A0">
              <w:rPr>
                <w:spacing w:val="-6"/>
              </w:rPr>
              <w:t xml:space="preserve"> </w:t>
            </w:r>
            <w:r w:rsidRPr="00EC20A0">
              <w:t>records,</w:t>
            </w:r>
            <w:r w:rsidRPr="00EC20A0">
              <w:rPr>
                <w:spacing w:val="-6"/>
              </w:rPr>
              <w:t xml:space="preserve"> </w:t>
            </w:r>
            <w:r w:rsidRPr="00EC20A0">
              <w:t>and</w:t>
            </w:r>
            <w:r w:rsidRPr="00EC20A0">
              <w:rPr>
                <w:spacing w:val="-6"/>
              </w:rPr>
              <w:t xml:space="preserve"> </w:t>
            </w:r>
            <w:r w:rsidRPr="00EC20A0">
              <w:t>reviews</w:t>
            </w:r>
          </w:p>
        </w:tc>
        <w:tc>
          <w:tcPr>
            <w:tcW w:w="973" w:type="dxa"/>
            <w:tcBorders>
              <w:top w:val="single" w:sz="4" w:space="0" w:color="000000"/>
              <w:left w:val="single" w:sz="4" w:space="0" w:color="000000"/>
              <w:right w:val="single" w:sz="4" w:space="0" w:color="000000"/>
            </w:tcBorders>
          </w:tcPr>
          <w:p w14:paraId="24D61B78" w14:textId="77777777" w:rsidR="00245300" w:rsidRPr="00EC20A0" w:rsidRDefault="00245300">
            <w:pPr>
              <w:pStyle w:val="TableParagraph"/>
              <w:rPr>
                <w:sz w:val="20"/>
              </w:rPr>
            </w:pPr>
          </w:p>
        </w:tc>
        <w:tc>
          <w:tcPr>
            <w:tcW w:w="1949" w:type="dxa"/>
            <w:tcBorders>
              <w:top w:val="single" w:sz="4" w:space="0" w:color="000000"/>
              <w:left w:val="single" w:sz="4" w:space="0" w:color="000000"/>
            </w:tcBorders>
          </w:tcPr>
          <w:p w14:paraId="24D61B79" w14:textId="77777777" w:rsidR="00245300" w:rsidRPr="00EC20A0" w:rsidRDefault="00245300">
            <w:pPr>
              <w:pStyle w:val="TableParagraph"/>
              <w:rPr>
                <w:sz w:val="20"/>
              </w:rPr>
            </w:pPr>
          </w:p>
        </w:tc>
      </w:tr>
    </w:tbl>
    <w:p w14:paraId="24D61B7B"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B7C" w14:textId="77777777" w:rsidR="00245300" w:rsidRPr="00EC20A0" w:rsidRDefault="00245300">
      <w:pPr>
        <w:pStyle w:val="BodyText"/>
        <w:spacing w:before="9"/>
        <w:rPr>
          <w:b/>
          <w:sz w:val="11"/>
        </w:rPr>
      </w:pPr>
    </w:p>
    <w:tbl>
      <w:tblPr>
        <w:tblW w:w="0" w:type="auto"/>
        <w:tblInd w:w="35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287"/>
        <w:gridCol w:w="973"/>
        <w:gridCol w:w="1949"/>
      </w:tblGrid>
      <w:tr w:rsidR="00245300" w:rsidRPr="00EC20A0" w14:paraId="24D61B80" w14:textId="77777777">
        <w:trPr>
          <w:trHeight w:val="745"/>
        </w:trPr>
        <w:tc>
          <w:tcPr>
            <w:tcW w:w="6287" w:type="dxa"/>
            <w:tcBorders>
              <w:right w:val="single" w:sz="4" w:space="0" w:color="000000"/>
            </w:tcBorders>
          </w:tcPr>
          <w:p w14:paraId="24D61B7D" w14:textId="77777777" w:rsidR="00245300" w:rsidRPr="00EC20A0" w:rsidRDefault="00F17249">
            <w:pPr>
              <w:pStyle w:val="TableParagraph"/>
              <w:spacing w:before="120"/>
              <w:ind w:left="92"/>
              <w:rPr>
                <w:b/>
              </w:rPr>
            </w:pPr>
            <w:r w:rsidRPr="00EC20A0">
              <w:rPr>
                <w:b/>
                <w:spacing w:val="-2"/>
              </w:rPr>
              <w:t>Procedures</w:t>
            </w:r>
          </w:p>
        </w:tc>
        <w:tc>
          <w:tcPr>
            <w:tcW w:w="973" w:type="dxa"/>
            <w:tcBorders>
              <w:left w:val="single" w:sz="4" w:space="0" w:color="000000"/>
              <w:right w:val="single" w:sz="4" w:space="0" w:color="000000"/>
            </w:tcBorders>
          </w:tcPr>
          <w:p w14:paraId="24D61B7E" w14:textId="77777777" w:rsidR="00245300" w:rsidRPr="00EC20A0" w:rsidRDefault="00F17249">
            <w:pPr>
              <w:pStyle w:val="TableParagraph"/>
              <w:spacing w:before="120"/>
              <w:ind w:left="110"/>
              <w:rPr>
                <w:b/>
              </w:rPr>
            </w:pPr>
            <w:r w:rsidRPr="00EC20A0">
              <w:rPr>
                <w:b/>
                <w:spacing w:val="-2"/>
              </w:rPr>
              <w:t xml:space="preserve">Initials/ </w:t>
            </w:r>
            <w:r w:rsidRPr="00EC20A0">
              <w:rPr>
                <w:b/>
                <w:spacing w:val="-4"/>
              </w:rPr>
              <w:t>date</w:t>
            </w:r>
          </w:p>
        </w:tc>
        <w:tc>
          <w:tcPr>
            <w:tcW w:w="1949" w:type="dxa"/>
            <w:tcBorders>
              <w:left w:val="single" w:sz="4" w:space="0" w:color="000000"/>
            </w:tcBorders>
          </w:tcPr>
          <w:p w14:paraId="24D61B7F" w14:textId="77777777" w:rsidR="00245300" w:rsidRPr="00EC20A0" w:rsidRDefault="00F17249">
            <w:pPr>
              <w:pStyle w:val="TableParagraph"/>
              <w:spacing w:before="120"/>
              <w:ind w:left="110"/>
              <w:rPr>
                <w:b/>
              </w:rPr>
            </w:pPr>
            <w:r w:rsidRPr="00EC20A0">
              <w:rPr>
                <w:b/>
              </w:rPr>
              <w:t>Doc.</w:t>
            </w:r>
            <w:r w:rsidRPr="00EC20A0">
              <w:rPr>
                <w:b/>
                <w:spacing w:val="-5"/>
              </w:rPr>
              <w:t xml:space="preserve"> </w:t>
            </w:r>
            <w:r w:rsidRPr="00EC20A0">
              <w:rPr>
                <w:b/>
                <w:spacing w:val="-4"/>
              </w:rPr>
              <w:t>ref.</w:t>
            </w:r>
          </w:p>
        </w:tc>
      </w:tr>
      <w:tr w:rsidR="00245300" w:rsidRPr="00EC20A0" w14:paraId="24D61B84" w14:textId="77777777">
        <w:trPr>
          <w:trHeight w:val="626"/>
        </w:trPr>
        <w:tc>
          <w:tcPr>
            <w:tcW w:w="6287" w:type="dxa"/>
            <w:tcBorders>
              <w:bottom w:val="single" w:sz="4" w:space="0" w:color="000000"/>
              <w:right w:val="single" w:sz="4" w:space="0" w:color="000000"/>
            </w:tcBorders>
          </w:tcPr>
          <w:p w14:paraId="24D61B81" w14:textId="77777777" w:rsidR="00245300" w:rsidRPr="00EC20A0" w:rsidRDefault="00F17249">
            <w:pPr>
              <w:pStyle w:val="TableParagraph"/>
              <w:ind w:left="1509"/>
            </w:pPr>
            <w:r w:rsidRPr="00EC20A0">
              <w:t>and</w:t>
            </w:r>
            <w:r w:rsidRPr="00EC20A0">
              <w:rPr>
                <w:spacing w:val="-7"/>
              </w:rPr>
              <w:t xml:space="preserve"> </w:t>
            </w:r>
            <w:r w:rsidRPr="00EC20A0">
              <w:t>makes</w:t>
            </w:r>
            <w:r w:rsidRPr="00EC20A0">
              <w:rPr>
                <w:spacing w:val="-7"/>
              </w:rPr>
              <w:t xml:space="preserve"> </w:t>
            </w:r>
            <w:r w:rsidRPr="00EC20A0">
              <w:t>any</w:t>
            </w:r>
            <w:r w:rsidRPr="00EC20A0">
              <w:rPr>
                <w:spacing w:val="-7"/>
              </w:rPr>
              <w:t xml:space="preserve"> </w:t>
            </w:r>
            <w:r w:rsidRPr="00EC20A0">
              <w:t>needed</w:t>
            </w:r>
            <w:r w:rsidRPr="00EC20A0">
              <w:rPr>
                <w:spacing w:val="-8"/>
              </w:rPr>
              <w:t xml:space="preserve"> </w:t>
            </w:r>
            <w:r w:rsidRPr="00EC20A0">
              <w:t>adjustments</w:t>
            </w:r>
            <w:r w:rsidRPr="00EC20A0">
              <w:rPr>
                <w:spacing w:val="-7"/>
              </w:rPr>
              <w:t xml:space="preserve"> </w:t>
            </w:r>
            <w:r w:rsidRPr="00EC20A0">
              <w:t>in</w:t>
            </w:r>
            <w:r w:rsidRPr="00EC20A0">
              <w:rPr>
                <w:spacing w:val="-7"/>
              </w:rPr>
              <w:t xml:space="preserve"> </w:t>
            </w:r>
            <w:r w:rsidRPr="00EC20A0">
              <w:t xml:space="preserve">CARS </w:t>
            </w:r>
            <w:r w:rsidRPr="00EC20A0">
              <w:rPr>
                <w:spacing w:val="-2"/>
              </w:rPr>
              <w:t>timely.</w:t>
            </w:r>
          </w:p>
        </w:tc>
        <w:tc>
          <w:tcPr>
            <w:tcW w:w="973" w:type="dxa"/>
            <w:tcBorders>
              <w:left w:val="single" w:sz="4" w:space="0" w:color="000000"/>
              <w:bottom w:val="single" w:sz="4" w:space="0" w:color="000000"/>
              <w:right w:val="single" w:sz="4" w:space="0" w:color="000000"/>
            </w:tcBorders>
          </w:tcPr>
          <w:p w14:paraId="24D61B82" w14:textId="77777777" w:rsidR="00245300" w:rsidRPr="00EC20A0" w:rsidRDefault="00245300">
            <w:pPr>
              <w:pStyle w:val="TableParagraph"/>
              <w:rPr>
                <w:sz w:val="20"/>
              </w:rPr>
            </w:pPr>
          </w:p>
        </w:tc>
        <w:tc>
          <w:tcPr>
            <w:tcW w:w="1949" w:type="dxa"/>
            <w:tcBorders>
              <w:left w:val="single" w:sz="4" w:space="0" w:color="000000"/>
              <w:bottom w:val="single" w:sz="4" w:space="0" w:color="000000"/>
            </w:tcBorders>
          </w:tcPr>
          <w:p w14:paraId="24D61B83" w14:textId="77777777" w:rsidR="00245300" w:rsidRPr="00EC20A0" w:rsidRDefault="00245300">
            <w:pPr>
              <w:pStyle w:val="TableParagraph"/>
              <w:rPr>
                <w:sz w:val="20"/>
              </w:rPr>
            </w:pPr>
          </w:p>
        </w:tc>
      </w:tr>
      <w:tr w:rsidR="00245300" w:rsidRPr="00EC20A0" w14:paraId="24D61B88" w14:textId="77777777">
        <w:trPr>
          <w:trHeight w:val="1505"/>
        </w:trPr>
        <w:tc>
          <w:tcPr>
            <w:tcW w:w="6287" w:type="dxa"/>
            <w:tcBorders>
              <w:top w:val="single" w:sz="4" w:space="0" w:color="000000"/>
              <w:bottom w:val="single" w:sz="4" w:space="0" w:color="000000"/>
              <w:right w:val="single" w:sz="4" w:space="0" w:color="000000"/>
            </w:tcBorders>
          </w:tcPr>
          <w:p w14:paraId="24D61B85" w14:textId="77777777" w:rsidR="00245300" w:rsidRPr="00EC20A0" w:rsidRDefault="00F17249">
            <w:pPr>
              <w:pStyle w:val="TableParagraph"/>
              <w:tabs>
                <w:tab w:val="left" w:pos="1172"/>
              </w:tabs>
              <w:spacing w:before="120"/>
              <w:ind w:left="1172" w:right="278" w:hanging="576"/>
            </w:pPr>
            <w:r w:rsidRPr="00EC20A0">
              <w:rPr>
                <w:spacing w:val="-6"/>
              </w:rPr>
              <w:t>2)</w:t>
            </w:r>
            <w:r w:rsidRPr="00EC20A0">
              <w:tab/>
              <w:t>Evaluate the</w:t>
            </w:r>
            <w:r w:rsidRPr="00EC20A0">
              <w:rPr>
                <w:spacing w:val="-1"/>
              </w:rPr>
              <w:t xml:space="preserve"> </w:t>
            </w:r>
            <w:r w:rsidRPr="00EC20A0">
              <w:t>significance</w:t>
            </w:r>
            <w:r w:rsidRPr="00EC20A0">
              <w:rPr>
                <w:spacing w:val="-1"/>
              </w:rPr>
              <w:t xml:space="preserve"> </w:t>
            </w:r>
            <w:r w:rsidRPr="00EC20A0">
              <w:t xml:space="preserve">of misstatements at the TAS/BETC level using the materiality used to evaluate FBWT </w:t>
            </w:r>
            <w:r w:rsidRPr="00EC20A0">
              <w:t>misstatements and consider additional</w:t>
            </w:r>
            <w:r w:rsidRPr="00EC20A0">
              <w:rPr>
                <w:spacing w:val="-8"/>
              </w:rPr>
              <w:t xml:space="preserve"> </w:t>
            </w:r>
            <w:r w:rsidRPr="00EC20A0">
              <w:t>follow-up,</w:t>
            </w:r>
            <w:r w:rsidRPr="00EC20A0">
              <w:rPr>
                <w:spacing w:val="-8"/>
              </w:rPr>
              <w:t xml:space="preserve"> </w:t>
            </w:r>
            <w:r w:rsidRPr="00EC20A0">
              <w:t>testing,</w:t>
            </w:r>
            <w:r w:rsidRPr="00EC20A0">
              <w:rPr>
                <w:spacing w:val="-8"/>
              </w:rPr>
              <w:t xml:space="preserve"> </w:t>
            </w:r>
            <w:r w:rsidRPr="00EC20A0">
              <w:t>and</w:t>
            </w:r>
            <w:r w:rsidRPr="00EC20A0">
              <w:rPr>
                <w:spacing w:val="-8"/>
              </w:rPr>
              <w:t xml:space="preserve"> </w:t>
            </w:r>
            <w:r w:rsidRPr="00EC20A0">
              <w:t>appropriate</w:t>
            </w:r>
            <w:r w:rsidRPr="00EC20A0">
              <w:rPr>
                <w:spacing w:val="-8"/>
              </w:rPr>
              <w:t xml:space="preserve"> </w:t>
            </w:r>
            <w:r w:rsidRPr="00EC20A0">
              <w:t>note disclosures, as necessary.</w:t>
            </w:r>
          </w:p>
        </w:tc>
        <w:tc>
          <w:tcPr>
            <w:tcW w:w="973" w:type="dxa"/>
            <w:tcBorders>
              <w:top w:val="single" w:sz="4" w:space="0" w:color="000000"/>
              <w:left w:val="single" w:sz="4" w:space="0" w:color="000000"/>
              <w:bottom w:val="single" w:sz="4" w:space="0" w:color="000000"/>
              <w:right w:val="single" w:sz="4" w:space="0" w:color="000000"/>
            </w:tcBorders>
          </w:tcPr>
          <w:p w14:paraId="24D61B86" w14:textId="77777777" w:rsidR="00245300" w:rsidRPr="00EC20A0" w:rsidRDefault="00245300">
            <w:pPr>
              <w:pStyle w:val="TableParagraph"/>
              <w:rPr>
                <w:sz w:val="20"/>
              </w:rPr>
            </w:pPr>
          </w:p>
        </w:tc>
        <w:tc>
          <w:tcPr>
            <w:tcW w:w="1949" w:type="dxa"/>
            <w:tcBorders>
              <w:top w:val="single" w:sz="4" w:space="0" w:color="000000"/>
              <w:left w:val="single" w:sz="4" w:space="0" w:color="000000"/>
              <w:bottom w:val="single" w:sz="4" w:space="0" w:color="000000"/>
            </w:tcBorders>
          </w:tcPr>
          <w:p w14:paraId="24D61B87" w14:textId="77777777" w:rsidR="00245300" w:rsidRPr="00EC20A0" w:rsidRDefault="00245300">
            <w:pPr>
              <w:pStyle w:val="TableParagraph"/>
              <w:rPr>
                <w:sz w:val="20"/>
              </w:rPr>
            </w:pPr>
          </w:p>
        </w:tc>
      </w:tr>
      <w:tr w:rsidR="00245300" w:rsidRPr="00EC20A0" w14:paraId="24D61B8C" w14:textId="77777777">
        <w:trPr>
          <w:trHeight w:val="746"/>
        </w:trPr>
        <w:tc>
          <w:tcPr>
            <w:tcW w:w="6287" w:type="dxa"/>
            <w:tcBorders>
              <w:top w:val="single" w:sz="4" w:space="0" w:color="000000"/>
              <w:right w:val="single" w:sz="4" w:space="0" w:color="000000"/>
            </w:tcBorders>
          </w:tcPr>
          <w:p w14:paraId="24D61B89" w14:textId="77777777" w:rsidR="00245300" w:rsidRPr="00EC20A0" w:rsidRDefault="00F17249">
            <w:pPr>
              <w:pStyle w:val="TableParagraph"/>
              <w:tabs>
                <w:tab w:val="left" w:pos="1172"/>
              </w:tabs>
              <w:spacing w:before="120"/>
              <w:ind w:left="1172" w:right="133" w:hanging="576"/>
            </w:pPr>
            <w:r w:rsidRPr="00EC20A0">
              <w:rPr>
                <w:spacing w:val="-6"/>
              </w:rPr>
              <w:t>3)</w:t>
            </w:r>
            <w:r w:rsidRPr="00EC20A0">
              <w:tab/>
              <w:t>Document</w:t>
            </w:r>
            <w:r w:rsidRPr="00EC20A0">
              <w:rPr>
                <w:spacing w:val="-5"/>
              </w:rPr>
              <w:t xml:space="preserve"> </w:t>
            </w:r>
            <w:r w:rsidRPr="00EC20A0">
              <w:t>the</w:t>
            </w:r>
            <w:r w:rsidRPr="00EC20A0">
              <w:rPr>
                <w:spacing w:val="-5"/>
              </w:rPr>
              <w:t xml:space="preserve"> </w:t>
            </w:r>
            <w:r w:rsidRPr="00EC20A0">
              <w:t>results</w:t>
            </w:r>
            <w:r w:rsidRPr="00EC20A0">
              <w:rPr>
                <w:spacing w:val="-6"/>
              </w:rPr>
              <w:t xml:space="preserve"> </w:t>
            </w:r>
            <w:r w:rsidRPr="00EC20A0">
              <w:t>in</w:t>
            </w:r>
            <w:r w:rsidRPr="00EC20A0">
              <w:rPr>
                <w:spacing w:val="-6"/>
              </w:rPr>
              <w:t xml:space="preserve"> </w:t>
            </w:r>
            <w:r w:rsidRPr="00EC20A0">
              <w:t>a</w:t>
            </w:r>
            <w:r w:rsidRPr="00EC20A0">
              <w:rPr>
                <w:spacing w:val="-5"/>
              </w:rPr>
              <w:t xml:space="preserve"> </w:t>
            </w:r>
            <w:r w:rsidRPr="00EC20A0">
              <w:t>summary</w:t>
            </w:r>
            <w:r w:rsidRPr="00EC20A0">
              <w:rPr>
                <w:spacing w:val="-5"/>
              </w:rPr>
              <w:t xml:space="preserve"> </w:t>
            </w:r>
            <w:r w:rsidRPr="00EC20A0">
              <w:t>memo</w:t>
            </w:r>
            <w:r w:rsidRPr="00EC20A0">
              <w:rPr>
                <w:spacing w:val="-5"/>
              </w:rPr>
              <w:t xml:space="preserve"> </w:t>
            </w:r>
            <w:r w:rsidRPr="00EC20A0">
              <w:t>or</w:t>
            </w:r>
            <w:r w:rsidRPr="00EC20A0">
              <w:rPr>
                <w:spacing w:val="-5"/>
              </w:rPr>
              <w:t xml:space="preserve"> </w:t>
            </w:r>
            <w:r w:rsidRPr="00EC20A0">
              <w:t>other document, as appropriate.</w:t>
            </w:r>
          </w:p>
        </w:tc>
        <w:tc>
          <w:tcPr>
            <w:tcW w:w="973" w:type="dxa"/>
            <w:tcBorders>
              <w:top w:val="single" w:sz="4" w:space="0" w:color="000000"/>
              <w:left w:val="single" w:sz="4" w:space="0" w:color="000000"/>
              <w:right w:val="single" w:sz="4" w:space="0" w:color="000000"/>
            </w:tcBorders>
          </w:tcPr>
          <w:p w14:paraId="24D61B8A" w14:textId="77777777" w:rsidR="00245300" w:rsidRPr="00EC20A0" w:rsidRDefault="00245300">
            <w:pPr>
              <w:pStyle w:val="TableParagraph"/>
              <w:rPr>
                <w:sz w:val="20"/>
              </w:rPr>
            </w:pPr>
          </w:p>
        </w:tc>
        <w:tc>
          <w:tcPr>
            <w:tcW w:w="1949" w:type="dxa"/>
            <w:tcBorders>
              <w:top w:val="single" w:sz="4" w:space="0" w:color="000000"/>
              <w:left w:val="single" w:sz="4" w:space="0" w:color="000000"/>
            </w:tcBorders>
          </w:tcPr>
          <w:p w14:paraId="24D61B8B" w14:textId="77777777" w:rsidR="00245300" w:rsidRPr="00EC20A0" w:rsidRDefault="00245300">
            <w:pPr>
              <w:pStyle w:val="TableParagraph"/>
              <w:rPr>
                <w:sz w:val="20"/>
              </w:rPr>
            </w:pPr>
          </w:p>
        </w:tc>
      </w:tr>
    </w:tbl>
    <w:p w14:paraId="24D61B8D"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B8E" w14:textId="77777777" w:rsidR="00245300" w:rsidRPr="00EC20A0" w:rsidRDefault="00F17249" w:rsidP="00E71F6F">
      <w:pPr>
        <w:pStyle w:val="Heading3"/>
      </w:pPr>
      <w:bookmarkStart w:id="334" w:name="931_–_Auditing_Heritage_Assets_and_Stewa"/>
      <w:bookmarkStart w:id="335" w:name="_bookmark193"/>
      <w:bookmarkEnd w:id="334"/>
      <w:bookmarkEnd w:id="335"/>
      <w:r w:rsidRPr="00EC20A0">
        <w:t>931</w:t>
      </w:r>
      <w:r w:rsidRPr="00EC20A0">
        <w:rPr>
          <w:spacing w:val="-7"/>
        </w:rPr>
        <w:t xml:space="preserve"> </w:t>
      </w:r>
      <w:r w:rsidRPr="00EC20A0">
        <w:t>–</w:t>
      </w:r>
      <w:r w:rsidRPr="00EC20A0">
        <w:rPr>
          <w:spacing w:val="-16"/>
        </w:rPr>
        <w:t xml:space="preserve"> </w:t>
      </w:r>
      <w:r w:rsidRPr="00EC20A0">
        <w:t>Auditing</w:t>
      </w:r>
      <w:r w:rsidRPr="00EC20A0">
        <w:rPr>
          <w:spacing w:val="-4"/>
        </w:rPr>
        <w:t xml:space="preserve"> </w:t>
      </w:r>
      <w:r w:rsidRPr="00EC20A0">
        <w:t>Heritage</w:t>
      </w:r>
      <w:r w:rsidRPr="00EC20A0">
        <w:rPr>
          <w:spacing w:val="-16"/>
        </w:rPr>
        <w:t xml:space="preserve"> </w:t>
      </w:r>
      <w:r w:rsidRPr="00EC20A0">
        <w:t>Assets</w:t>
      </w:r>
      <w:r w:rsidRPr="00EC20A0">
        <w:rPr>
          <w:spacing w:val="-5"/>
        </w:rPr>
        <w:t xml:space="preserve"> </w:t>
      </w:r>
      <w:r w:rsidRPr="00EC20A0">
        <w:t>and</w:t>
      </w:r>
      <w:r w:rsidRPr="00EC20A0">
        <w:rPr>
          <w:spacing w:val="-4"/>
        </w:rPr>
        <w:t xml:space="preserve"> </w:t>
      </w:r>
      <w:r w:rsidRPr="00EC20A0">
        <w:t>Stewardship</w:t>
      </w:r>
      <w:r w:rsidRPr="00EC20A0">
        <w:rPr>
          <w:spacing w:val="-4"/>
        </w:rPr>
        <w:t xml:space="preserve"> Land</w:t>
      </w:r>
    </w:p>
    <w:p w14:paraId="24D61B8F" w14:textId="77777777" w:rsidR="00245300" w:rsidRPr="00EC20A0" w:rsidRDefault="00245300">
      <w:pPr>
        <w:pStyle w:val="BodyText"/>
        <w:spacing w:before="106"/>
        <w:rPr>
          <w:b/>
        </w:rPr>
      </w:pPr>
    </w:p>
    <w:p w14:paraId="24D61B90" w14:textId="77777777" w:rsidR="00245300" w:rsidRPr="00EC20A0" w:rsidRDefault="00F17249">
      <w:pPr>
        <w:pStyle w:val="ListParagraph"/>
        <w:numPr>
          <w:ilvl w:val="0"/>
          <w:numId w:val="2"/>
        </w:numPr>
        <w:tabs>
          <w:tab w:val="left" w:pos="1640"/>
        </w:tabs>
        <w:spacing w:before="0"/>
        <w:ind w:right="665"/>
      </w:pPr>
      <w:r w:rsidRPr="00EC20A0">
        <w:t>Heritage</w:t>
      </w:r>
      <w:r w:rsidRPr="00EC20A0">
        <w:rPr>
          <w:spacing w:val="-4"/>
        </w:rPr>
        <w:t xml:space="preserve"> </w:t>
      </w:r>
      <w:r w:rsidRPr="00EC20A0">
        <w:t>assets</w:t>
      </w:r>
      <w:r w:rsidRPr="00EC20A0">
        <w:rPr>
          <w:spacing w:val="-4"/>
        </w:rPr>
        <w:t xml:space="preserve"> </w:t>
      </w:r>
      <w:r w:rsidRPr="00EC20A0">
        <w:t>are</w:t>
      </w:r>
      <w:r w:rsidRPr="00EC20A0">
        <w:rPr>
          <w:spacing w:val="-4"/>
        </w:rPr>
        <w:t xml:space="preserve"> </w:t>
      </w:r>
      <w:r w:rsidRPr="00EC20A0">
        <w:t>property,</w:t>
      </w:r>
      <w:r w:rsidRPr="00EC20A0">
        <w:rPr>
          <w:spacing w:val="-4"/>
        </w:rPr>
        <w:t xml:space="preserve"> </w:t>
      </w:r>
      <w:r w:rsidRPr="00EC20A0">
        <w:t>plant,</w:t>
      </w:r>
      <w:r w:rsidRPr="00EC20A0">
        <w:rPr>
          <w:spacing w:val="-5"/>
        </w:rPr>
        <w:t xml:space="preserve"> </w:t>
      </w:r>
      <w:r w:rsidRPr="00EC20A0">
        <w:t>and</w:t>
      </w:r>
      <w:r w:rsidRPr="00EC20A0">
        <w:rPr>
          <w:spacing w:val="-4"/>
        </w:rPr>
        <w:t xml:space="preserve"> </w:t>
      </w:r>
      <w:r w:rsidRPr="00EC20A0">
        <w:t>equipment</w:t>
      </w:r>
      <w:r w:rsidRPr="00EC20A0">
        <w:rPr>
          <w:spacing w:val="-4"/>
        </w:rPr>
        <w:t xml:space="preserve"> </w:t>
      </w:r>
      <w:r w:rsidRPr="00EC20A0">
        <w:t>(PP&amp;E)</w:t>
      </w:r>
      <w:r w:rsidRPr="00EC20A0">
        <w:rPr>
          <w:spacing w:val="-4"/>
        </w:rPr>
        <w:t xml:space="preserve"> </w:t>
      </w:r>
      <w:r w:rsidRPr="00EC20A0">
        <w:t>that</w:t>
      </w:r>
      <w:r w:rsidRPr="00EC20A0">
        <w:rPr>
          <w:spacing w:val="-4"/>
        </w:rPr>
        <w:t xml:space="preserve"> </w:t>
      </w:r>
      <w:r w:rsidRPr="00EC20A0">
        <w:t>are</w:t>
      </w:r>
      <w:r w:rsidRPr="00EC20A0">
        <w:rPr>
          <w:spacing w:val="-4"/>
        </w:rPr>
        <w:t xml:space="preserve"> </w:t>
      </w:r>
      <w:r w:rsidRPr="00EC20A0">
        <w:t>unique</w:t>
      </w:r>
      <w:r w:rsidRPr="00EC20A0">
        <w:rPr>
          <w:spacing w:val="-4"/>
        </w:rPr>
        <w:t xml:space="preserve"> </w:t>
      </w:r>
      <w:r w:rsidRPr="00EC20A0">
        <w:t>for one or more of the following reasons:</w:t>
      </w:r>
    </w:p>
    <w:p w14:paraId="24D61B91" w14:textId="77777777" w:rsidR="00245300" w:rsidRPr="00EC20A0" w:rsidRDefault="00F17249">
      <w:pPr>
        <w:pStyle w:val="ListParagraph"/>
        <w:numPr>
          <w:ilvl w:val="1"/>
          <w:numId w:val="2"/>
        </w:numPr>
        <w:tabs>
          <w:tab w:val="left" w:pos="1999"/>
        </w:tabs>
        <w:ind w:left="1999" w:hanging="359"/>
      </w:pPr>
      <w:r w:rsidRPr="00EC20A0">
        <w:t>historical</w:t>
      </w:r>
      <w:r w:rsidRPr="00EC20A0">
        <w:rPr>
          <w:spacing w:val="-7"/>
        </w:rPr>
        <w:t xml:space="preserve"> </w:t>
      </w:r>
      <w:r w:rsidRPr="00EC20A0">
        <w:t>or</w:t>
      </w:r>
      <w:r w:rsidRPr="00EC20A0">
        <w:rPr>
          <w:spacing w:val="-8"/>
        </w:rPr>
        <w:t xml:space="preserve"> </w:t>
      </w:r>
      <w:r w:rsidRPr="00EC20A0">
        <w:t>natural</w:t>
      </w:r>
      <w:r w:rsidRPr="00EC20A0">
        <w:rPr>
          <w:spacing w:val="-6"/>
        </w:rPr>
        <w:t xml:space="preserve"> </w:t>
      </w:r>
      <w:r w:rsidRPr="00EC20A0">
        <w:rPr>
          <w:spacing w:val="-2"/>
        </w:rPr>
        <w:t>significance;</w:t>
      </w:r>
    </w:p>
    <w:p w14:paraId="24D61B92" w14:textId="77777777" w:rsidR="00245300" w:rsidRPr="00EC20A0" w:rsidRDefault="00F17249">
      <w:pPr>
        <w:pStyle w:val="ListParagraph"/>
        <w:numPr>
          <w:ilvl w:val="1"/>
          <w:numId w:val="2"/>
        </w:numPr>
        <w:tabs>
          <w:tab w:val="left" w:pos="1999"/>
        </w:tabs>
        <w:spacing w:before="238"/>
        <w:ind w:left="1999" w:hanging="359"/>
      </w:pPr>
      <w:r w:rsidRPr="00EC20A0">
        <w:t>cultural,</w:t>
      </w:r>
      <w:r w:rsidRPr="00EC20A0">
        <w:rPr>
          <w:spacing w:val="-8"/>
        </w:rPr>
        <w:t xml:space="preserve"> </w:t>
      </w:r>
      <w:r w:rsidRPr="00EC20A0">
        <w:t>educational,</w:t>
      </w:r>
      <w:r w:rsidRPr="00EC20A0">
        <w:rPr>
          <w:spacing w:val="-8"/>
        </w:rPr>
        <w:t xml:space="preserve"> </w:t>
      </w:r>
      <w:r w:rsidRPr="00EC20A0">
        <w:t>or</w:t>
      </w:r>
      <w:r w:rsidRPr="00EC20A0">
        <w:rPr>
          <w:spacing w:val="-9"/>
        </w:rPr>
        <w:t xml:space="preserve"> </w:t>
      </w:r>
      <w:r w:rsidRPr="00EC20A0">
        <w:t>artistic</w:t>
      </w:r>
      <w:r w:rsidRPr="00EC20A0">
        <w:rPr>
          <w:spacing w:val="-8"/>
        </w:rPr>
        <w:t xml:space="preserve"> </w:t>
      </w:r>
      <w:r w:rsidRPr="00EC20A0">
        <w:t>(or</w:t>
      </w:r>
      <w:r w:rsidRPr="00EC20A0">
        <w:rPr>
          <w:spacing w:val="-8"/>
        </w:rPr>
        <w:t xml:space="preserve"> </w:t>
      </w:r>
      <w:r w:rsidRPr="00EC20A0">
        <w:t>aesthetic)</w:t>
      </w:r>
      <w:r w:rsidRPr="00EC20A0">
        <w:rPr>
          <w:spacing w:val="-8"/>
        </w:rPr>
        <w:t xml:space="preserve"> </w:t>
      </w:r>
      <w:r w:rsidRPr="00EC20A0">
        <w:t>importance;</w:t>
      </w:r>
      <w:r w:rsidRPr="00EC20A0">
        <w:rPr>
          <w:spacing w:val="-8"/>
        </w:rPr>
        <w:t xml:space="preserve"> </w:t>
      </w:r>
      <w:r w:rsidRPr="00EC20A0">
        <w:rPr>
          <w:spacing w:val="-5"/>
        </w:rPr>
        <w:t>or</w:t>
      </w:r>
    </w:p>
    <w:p w14:paraId="24D61B93" w14:textId="77777777" w:rsidR="00245300" w:rsidRPr="00EC20A0" w:rsidRDefault="00F17249">
      <w:pPr>
        <w:pStyle w:val="ListParagraph"/>
        <w:numPr>
          <w:ilvl w:val="1"/>
          <w:numId w:val="2"/>
        </w:numPr>
        <w:tabs>
          <w:tab w:val="left" w:pos="1999"/>
        </w:tabs>
        <w:spacing w:before="239"/>
        <w:ind w:left="1999" w:hanging="359"/>
      </w:pPr>
      <w:r w:rsidRPr="00EC20A0">
        <w:t>significant</w:t>
      </w:r>
      <w:r w:rsidRPr="00EC20A0">
        <w:rPr>
          <w:spacing w:val="-12"/>
        </w:rPr>
        <w:t xml:space="preserve"> </w:t>
      </w:r>
      <w:r w:rsidRPr="00EC20A0">
        <w:t>architectural</w:t>
      </w:r>
      <w:r w:rsidRPr="00EC20A0">
        <w:rPr>
          <w:spacing w:val="-13"/>
        </w:rPr>
        <w:t xml:space="preserve"> </w:t>
      </w:r>
      <w:r w:rsidRPr="00EC20A0">
        <w:rPr>
          <w:spacing w:val="-2"/>
        </w:rPr>
        <w:t>characteristics.</w:t>
      </w:r>
    </w:p>
    <w:p w14:paraId="24D61B94" w14:textId="77777777" w:rsidR="00245300" w:rsidRPr="00EC20A0" w:rsidRDefault="00F17249">
      <w:pPr>
        <w:pStyle w:val="BodyText"/>
        <w:spacing w:before="239"/>
        <w:ind w:left="1640" w:right="345"/>
      </w:pPr>
      <w:r w:rsidRPr="00EC20A0">
        <w:t xml:space="preserve">Heritage assets consist of two types. Collection type heritage assets involve objects gathered and maintained for exhibition and would include, for example, museum collections, art collections, and library collections. </w:t>
      </w:r>
      <w:proofErr w:type="spellStart"/>
      <w:r w:rsidRPr="00EC20A0">
        <w:t>Noncollection</w:t>
      </w:r>
      <w:proofErr w:type="spellEnd"/>
      <w:r w:rsidRPr="00EC20A0">
        <w:t xml:space="preserve"> type heritage</w:t>
      </w:r>
      <w:r w:rsidRPr="00EC20A0">
        <w:rPr>
          <w:spacing w:val="-5"/>
        </w:rPr>
        <w:t xml:space="preserve"> </w:t>
      </w:r>
      <w:r w:rsidRPr="00EC20A0">
        <w:t>assets</w:t>
      </w:r>
      <w:r w:rsidRPr="00EC20A0">
        <w:rPr>
          <w:spacing w:val="-5"/>
        </w:rPr>
        <w:t xml:space="preserve"> </w:t>
      </w:r>
      <w:r w:rsidRPr="00EC20A0">
        <w:t>would</w:t>
      </w:r>
      <w:r w:rsidRPr="00EC20A0">
        <w:rPr>
          <w:spacing w:val="-5"/>
        </w:rPr>
        <w:t xml:space="preserve"> </w:t>
      </w:r>
      <w:r w:rsidRPr="00EC20A0">
        <w:t>include,</w:t>
      </w:r>
      <w:r w:rsidRPr="00EC20A0">
        <w:rPr>
          <w:spacing w:val="-5"/>
        </w:rPr>
        <w:t xml:space="preserve"> </w:t>
      </w:r>
      <w:r w:rsidRPr="00EC20A0">
        <w:t>for</w:t>
      </w:r>
      <w:r w:rsidRPr="00EC20A0">
        <w:rPr>
          <w:spacing w:val="-5"/>
        </w:rPr>
        <w:t xml:space="preserve"> </w:t>
      </w:r>
      <w:r w:rsidRPr="00EC20A0">
        <w:t>example,</w:t>
      </w:r>
      <w:r w:rsidRPr="00EC20A0">
        <w:rPr>
          <w:spacing w:val="-5"/>
        </w:rPr>
        <w:t xml:space="preserve"> </w:t>
      </w:r>
      <w:r w:rsidRPr="00EC20A0">
        <w:t>parks,</w:t>
      </w:r>
      <w:r w:rsidRPr="00EC20A0">
        <w:rPr>
          <w:spacing w:val="-5"/>
        </w:rPr>
        <w:t xml:space="preserve"> </w:t>
      </w:r>
      <w:r w:rsidRPr="00EC20A0">
        <w:t>memorials,</w:t>
      </w:r>
      <w:r w:rsidRPr="00EC20A0">
        <w:rPr>
          <w:spacing w:val="-5"/>
        </w:rPr>
        <w:t xml:space="preserve"> </w:t>
      </w:r>
      <w:r w:rsidRPr="00EC20A0">
        <w:t>monuments,</w:t>
      </w:r>
      <w:r w:rsidRPr="00EC20A0">
        <w:rPr>
          <w:spacing w:val="-5"/>
        </w:rPr>
        <w:t xml:space="preserve"> </w:t>
      </w:r>
      <w:r w:rsidRPr="00EC20A0">
        <w:t xml:space="preserve">and </w:t>
      </w:r>
      <w:r w:rsidRPr="00EC20A0">
        <w:rPr>
          <w:spacing w:val="-2"/>
        </w:rPr>
        <w:t>buildings.</w:t>
      </w:r>
    </w:p>
    <w:p w14:paraId="24D61B95" w14:textId="77777777" w:rsidR="00245300" w:rsidRPr="00EC20A0" w:rsidRDefault="00F17249">
      <w:pPr>
        <w:pStyle w:val="ListParagraph"/>
        <w:numPr>
          <w:ilvl w:val="0"/>
          <w:numId w:val="2"/>
        </w:numPr>
        <w:tabs>
          <w:tab w:val="left" w:pos="1640"/>
        </w:tabs>
        <w:ind w:right="614"/>
      </w:pPr>
      <w:r w:rsidRPr="00EC20A0">
        <w:t>Stewardship land comprises land and land rights owned by the federal government but not acquired for or in connection with items of general PP&amp;E. Examples</w:t>
      </w:r>
      <w:r w:rsidRPr="00EC20A0">
        <w:rPr>
          <w:spacing w:val="-4"/>
        </w:rPr>
        <w:t xml:space="preserve"> </w:t>
      </w:r>
      <w:r w:rsidRPr="00EC20A0">
        <w:t>of</w:t>
      </w:r>
      <w:r w:rsidRPr="00EC20A0">
        <w:rPr>
          <w:spacing w:val="-4"/>
        </w:rPr>
        <w:t xml:space="preserve"> </w:t>
      </w:r>
      <w:r w:rsidRPr="00EC20A0">
        <w:t>stewardship</w:t>
      </w:r>
      <w:r w:rsidRPr="00EC20A0">
        <w:rPr>
          <w:spacing w:val="-4"/>
        </w:rPr>
        <w:t xml:space="preserve"> </w:t>
      </w:r>
      <w:r w:rsidRPr="00EC20A0">
        <w:t>land</w:t>
      </w:r>
      <w:r w:rsidRPr="00EC20A0">
        <w:rPr>
          <w:spacing w:val="-4"/>
        </w:rPr>
        <w:t xml:space="preserve"> </w:t>
      </w:r>
      <w:r w:rsidRPr="00EC20A0">
        <w:t>include</w:t>
      </w:r>
      <w:r w:rsidRPr="00EC20A0">
        <w:rPr>
          <w:spacing w:val="-4"/>
        </w:rPr>
        <w:t xml:space="preserve"> </w:t>
      </w:r>
      <w:r w:rsidRPr="00EC20A0">
        <w:t>land</w:t>
      </w:r>
      <w:r w:rsidRPr="00EC20A0">
        <w:rPr>
          <w:spacing w:val="-4"/>
        </w:rPr>
        <w:t xml:space="preserve"> </w:t>
      </w:r>
      <w:r w:rsidRPr="00EC20A0">
        <w:t>used</w:t>
      </w:r>
      <w:r w:rsidRPr="00EC20A0">
        <w:rPr>
          <w:spacing w:val="-4"/>
        </w:rPr>
        <w:t xml:space="preserve"> </w:t>
      </w:r>
      <w:r w:rsidRPr="00EC20A0">
        <w:t>as</w:t>
      </w:r>
      <w:r w:rsidRPr="00EC20A0">
        <w:rPr>
          <w:spacing w:val="-4"/>
        </w:rPr>
        <w:t xml:space="preserve"> </w:t>
      </w:r>
      <w:r w:rsidRPr="00EC20A0">
        <w:t>forests</w:t>
      </w:r>
      <w:r w:rsidRPr="00EC20A0">
        <w:rPr>
          <w:spacing w:val="-5"/>
        </w:rPr>
        <w:t xml:space="preserve"> </w:t>
      </w:r>
      <w:r w:rsidRPr="00EC20A0">
        <w:t>and</w:t>
      </w:r>
      <w:r w:rsidRPr="00EC20A0">
        <w:rPr>
          <w:spacing w:val="-4"/>
        </w:rPr>
        <w:t xml:space="preserve"> </w:t>
      </w:r>
      <w:r w:rsidRPr="00EC20A0">
        <w:t>parks</w:t>
      </w:r>
      <w:r w:rsidRPr="00EC20A0">
        <w:rPr>
          <w:spacing w:val="-4"/>
        </w:rPr>
        <w:t xml:space="preserve"> </w:t>
      </w:r>
      <w:r w:rsidRPr="00EC20A0">
        <w:t>and</w:t>
      </w:r>
      <w:r w:rsidRPr="00EC20A0">
        <w:rPr>
          <w:spacing w:val="-4"/>
        </w:rPr>
        <w:t xml:space="preserve"> </w:t>
      </w:r>
      <w:r w:rsidRPr="00EC20A0">
        <w:t>land used for wildlife and grazing. It excludes natural resources (for example, minerals, timber, and petroleum) related to the land.</w:t>
      </w:r>
    </w:p>
    <w:p w14:paraId="24D61B96" w14:textId="77777777" w:rsidR="00245300" w:rsidRPr="00EC20A0" w:rsidRDefault="00F17249">
      <w:pPr>
        <w:pStyle w:val="ListParagraph"/>
        <w:numPr>
          <w:ilvl w:val="0"/>
          <w:numId w:val="2"/>
        </w:numPr>
        <w:tabs>
          <w:tab w:val="left" w:pos="1640"/>
        </w:tabs>
        <w:ind w:right="369"/>
      </w:pPr>
      <w:r w:rsidRPr="00EC20A0">
        <w:t>Some investments in heritage assets (e.g., national parks) will also meet the definition of stewardship land and be considered and reported as both heritage assets and stewardship land. Such reporting would not be considered duplication,</w:t>
      </w:r>
      <w:r w:rsidRPr="00EC20A0">
        <w:rPr>
          <w:spacing w:val="-4"/>
        </w:rPr>
        <w:t xml:space="preserve"> </w:t>
      </w:r>
      <w:r w:rsidRPr="00EC20A0">
        <w:t>as</w:t>
      </w:r>
      <w:r w:rsidRPr="00EC20A0">
        <w:rPr>
          <w:spacing w:val="-3"/>
        </w:rPr>
        <w:t xml:space="preserve"> </w:t>
      </w:r>
      <w:r w:rsidRPr="00EC20A0">
        <w:t>the</w:t>
      </w:r>
      <w:r w:rsidRPr="00EC20A0">
        <w:rPr>
          <w:spacing w:val="-3"/>
        </w:rPr>
        <w:t xml:space="preserve"> </w:t>
      </w:r>
      <w:r w:rsidRPr="00EC20A0">
        <w:t>type</w:t>
      </w:r>
      <w:r w:rsidRPr="00EC20A0">
        <w:rPr>
          <w:spacing w:val="-4"/>
        </w:rPr>
        <w:t xml:space="preserve"> </w:t>
      </w:r>
      <w:r w:rsidRPr="00EC20A0">
        <w:t>of</w:t>
      </w:r>
      <w:r w:rsidRPr="00EC20A0">
        <w:rPr>
          <w:spacing w:val="-3"/>
        </w:rPr>
        <w:t xml:space="preserve"> </w:t>
      </w:r>
      <w:r w:rsidRPr="00EC20A0">
        <w:t>information</w:t>
      </w:r>
      <w:r w:rsidRPr="00EC20A0">
        <w:rPr>
          <w:spacing w:val="-3"/>
        </w:rPr>
        <w:t xml:space="preserve"> </w:t>
      </w:r>
      <w:r w:rsidRPr="00EC20A0">
        <w:t>reported</w:t>
      </w:r>
      <w:r w:rsidRPr="00EC20A0">
        <w:rPr>
          <w:spacing w:val="-3"/>
        </w:rPr>
        <w:t xml:space="preserve"> </w:t>
      </w:r>
      <w:r w:rsidRPr="00EC20A0">
        <w:t>by</w:t>
      </w:r>
      <w:r w:rsidRPr="00EC20A0">
        <w:rPr>
          <w:spacing w:val="-2"/>
        </w:rPr>
        <w:t xml:space="preserve"> </w:t>
      </w:r>
      <w:r w:rsidRPr="00EC20A0">
        <w:t>physical</w:t>
      </w:r>
      <w:r w:rsidRPr="00EC20A0">
        <w:rPr>
          <w:spacing w:val="-3"/>
        </w:rPr>
        <w:t xml:space="preserve"> </w:t>
      </w:r>
      <w:r w:rsidRPr="00EC20A0">
        <w:t>unit</w:t>
      </w:r>
      <w:r w:rsidRPr="00EC20A0">
        <w:rPr>
          <w:spacing w:val="-3"/>
        </w:rPr>
        <w:t xml:space="preserve"> </w:t>
      </w:r>
      <w:r w:rsidRPr="00EC20A0">
        <w:t>would</w:t>
      </w:r>
      <w:r w:rsidRPr="00EC20A0">
        <w:rPr>
          <w:spacing w:val="-3"/>
        </w:rPr>
        <w:t xml:space="preserve"> </w:t>
      </w:r>
      <w:r w:rsidRPr="00EC20A0">
        <w:t>be</w:t>
      </w:r>
      <w:r w:rsidRPr="00EC20A0">
        <w:rPr>
          <w:spacing w:val="-4"/>
        </w:rPr>
        <w:t xml:space="preserve"> </w:t>
      </w:r>
      <w:r w:rsidRPr="00EC20A0">
        <w:t xml:space="preserve">different for each category of </w:t>
      </w:r>
      <w:r w:rsidRPr="00EC20A0">
        <w:t>stewardship asset.</w:t>
      </w:r>
    </w:p>
    <w:p w14:paraId="24D61B97" w14:textId="77777777" w:rsidR="00245300" w:rsidRPr="00EC20A0" w:rsidRDefault="00F17249">
      <w:pPr>
        <w:pStyle w:val="ListParagraph"/>
        <w:numPr>
          <w:ilvl w:val="0"/>
          <w:numId w:val="2"/>
        </w:numPr>
        <w:tabs>
          <w:tab w:val="left" w:pos="1640"/>
        </w:tabs>
        <w:ind w:right="531"/>
      </w:pPr>
      <w:r w:rsidRPr="00EC20A0">
        <w:t>Heritage</w:t>
      </w:r>
      <w:r w:rsidRPr="00EC20A0">
        <w:rPr>
          <w:spacing w:val="-3"/>
        </w:rPr>
        <w:t xml:space="preserve"> </w:t>
      </w:r>
      <w:r w:rsidRPr="00EC20A0">
        <w:t>assets</w:t>
      </w:r>
      <w:r w:rsidRPr="00EC20A0">
        <w:rPr>
          <w:spacing w:val="-3"/>
        </w:rPr>
        <w:t xml:space="preserve"> </w:t>
      </w:r>
      <w:r w:rsidRPr="00EC20A0">
        <w:t>may</w:t>
      </w:r>
      <w:r w:rsidRPr="00EC20A0">
        <w:rPr>
          <w:spacing w:val="-3"/>
        </w:rPr>
        <w:t xml:space="preserve"> </w:t>
      </w:r>
      <w:r w:rsidRPr="00EC20A0">
        <w:t>in</w:t>
      </w:r>
      <w:r w:rsidRPr="00EC20A0">
        <w:rPr>
          <w:spacing w:val="-4"/>
        </w:rPr>
        <w:t xml:space="preserve"> </w:t>
      </w:r>
      <w:r w:rsidRPr="00EC20A0">
        <w:t>some</w:t>
      </w:r>
      <w:r w:rsidRPr="00EC20A0">
        <w:rPr>
          <w:spacing w:val="-3"/>
        </w:rPr>
        <w:t xml:space="preserve"> </w:t>
      </w:r>
      <w:r w:rsidRPr="00EC20A0">
        <w:t>cases</w:t>
      </w:r>
      <w:r w:rsidRPr="00EC20A0">
        <w:rPr>
          <w:spacing w:val="-4"/>
        </w:rPr>
        <w:t xml:space="preserve"> </w:t>
      </w:r>
      <w:r w:rsidRPr="00EC20A0">
        <w:t>be</w:t>
      </w:r>
      <w:r w:rsidRPr="00EC20A0">
        <w:rPr>
          <w:spacing w:val="-3"/>
        </w:rPr>
        <w:t xml:space="preserve"> </w:t>
      </w:r>
      <w:r w:rsidRPr="00EC20A0">
        <w:t>used</w:t>
      </w:r>
      <w:r w:rsidRPr="00EC20A0">
        <w:rPr>
          <w:spacing w:val="-3"/>
        </w:rPr>
        <w:t xml:space="preserve"> </w:t>
      </w:r>
      <w:r w:rsidRPr="00EC20A0">
        <w:t>to</w:t>
      </w:r>
      <w:r w:rsidRPr="00EC20A0">
        <w:rPr>
          <w:spacing w:val="-4"/>
        </w:rPr>
        <w:t xml:space="preserve"> </w:t>
      </w:r>
      <w:r w:rsidRPr="00EC20A0">
        <w:t>serve</w:t>
      </w:r>
      <w:r w:rsidRPr="00EC20A0">
        <w:rPr>
          <w:spacing w:val="-3"/>
        </w:rPr>
        <w:t xml:space="preserve"> </w:t>
      </w:r>
      <w:r w:rsidRPr="00EC20A0">
        <w:t>two</w:t>
      </w:r>
      <w:r w:rsidRPr="00EC20A0">
        <w:rPr>
          <w:spacing w:val="-3"/>
        </w:rPr>
        <w:t xml:space="preserve"> </w:t>
      </w:r>
      <w:r w:rsidRPr="00EC20A0">
        <w:t>purposes—a</w:t>
      </w:r>
      <w:r w:rsidRPr="00EC20A0">
        <w:rPr>
          <w:spacing w:val="-4"/>
        </w:rPr>
        <w:t xml:space="preserve"> </w:t>
      </w:r>
      <w:r w:rsidRPr="00EC20A0">
        <w:t xml:space="preserve">heritage function and general government operations. In cases where a heritage asset serves two purposes, the heritage asset should be considered a </w:t>
      </w:r>
      <w:r w:rsidRPr="00EC20A0">
        <w:rPr>
          <w:b/>
        </w:rPr>
        <w:t xml:space="preserve">multiuse heritage asset </w:t>
      </w:r>
      <w:r w:rsidRPr="00EC20A0">
        <w:t xml:space="preserve">if the predominant use of the asset is in general government operations. For </w:t>
      </w:r>
      <w:r w:rsidRPr="00EC20A0">
        <w:rPr>
          <w:b/>
        </w:rPr>
        <w:t>example</w:t>
      </w:r>
      <w:r w:rsidRPr="00EC20A0">
        <w:t>, the main Treasury building in Washington, D.C., is used primarily as an office building. This multiuse asset would be considered general property, capitalized on the balance sheet, and depreciated</w:t>
      </w:r>
      <w:r w:rsidRPr="00EC20A0">
        <w:t>. Heritage assets having an incidental use in government operations are not multiuse heritage assets; they are simply heritage assets.</w:t>
      </w:r>
    </w:p>
    <w:p w14:paraId="24D61B98" w14:textId="77777777" w:rsidR="00245300" w:rsidRPr="00EC20A0" w:rsidRDefault="00245300">
      <w:pPr>
        <w:pStyle w:val="BodyText"/>
        <w:spacing w:before="46"/>
      </w:pPr>
    </w:p>
    <w:p w14:paraId="24D61B99" w14:textId="77777777" w:rsidR="00245300" w:rsidRPr="00EC20A0" w:rsidRDefault="00F17249">
      <w:pPr>
        <w:pStyle w:val="Heading4"/>
        <w:spacing w:before="1"/>
        <w:ind w:left="200"/>
      </w:pPr>
      <w:r w:rsidRPr="00EC20A0">
        <w:t>Accounting</w:t>
      </w:r>
      <w:r w:rsidRPr="00EC20A0">
        <w:rPr>
          <w:spacing w:val="-15"/>
        </w:rPr>
        <w:t xml:space="preserve"> </w:t>
      </w:r>
      <w:r w:rsidRPr="00EC20A0">
        <w:t>and</w:t>
      </w:r>
      <w:r w:rsidRPr="00EC20A0">
        <w:rPr>
          <w:spacing w:val="-14"/>
        </w:rPr>
        <w:t xml:space="preserve"> </w:t>
      </w:r>
      <w:r w:rsidRPr="00EC20A0">
        <w:t>Reporting</w:t>
      </w:r>
      <w:r w:rsidRPr="00EC20A0">
        <w:rPr>
          <w:spacing w:val="-13"/>
        </w:rPr>
        <w:t xml:space="preserve"> </w:t>
      </w:r>
      <w:r w:rsidRPr="00EC20A0">
        <w:rPr>
          <w:spacing w:val="-2"/>
        </w:rPr>
        <w:t>Information</w:t>
      </w:r>
    </w:p>
    <w:p w14:paraId="24D61B9A" w14:textId="77777777" w:rsidR="00245300" w:rsidRPr="00EC20A0" w:rsidRDefault="00F17249">
      <w:pPr>
        <w:pStyle w:val="ListParagraph"/>
        <w:numPr>
          <w:ilvl w:val="0"/>
          <w:numId w:val="2"/>
        </w:numPr>
        <w:tabs>
          <w:tab w:val="left" w:pos="1640"/>
        </w:tabs>
        <w:spacing w:before="299"/>
        <w:ind w:right="468"/>
      </w:pPr>
      <w:r w:rsidRPr="00EC20A0">
        <w:t>Per</w:t>
      </w:r>
      <w:r w:rsidRPr="00EC20A0">
        <w:rPr>
          <w:spacing w:val="-1"/>
        </w:rPr>
        <w:t xml:space="preserve"> </w:t>
      </w:r>
      <w:r w:rsidRPr="00EC20A0">
        <w:t>SFFAS 29,</w:t>
      </w:r>
      <w:r w:rsidRPr="00EC20A0">
        <w:rPr>
          <w:spacing w:val="-1"/>
        </w:rPr>
        <w:t xml:space="preserve"> </w:t>
      </w:r>
      <w:r w:rsidRPr="00EC20A0">
        <w:rPr>
          <w:i/>
        </w:rPr>
        <w:t>Heritage</w:t>
      </w:r>
      <w:r w:rsidRPr="00EC20A0">
        <w:rPr>
          <w:i/>
          <w:spacing w:val="-1"/>
        </w:rPr>
        <w:t xml:space="preserve"> </w:t>
      </w:r>
      <w:r w:rsidRPr="00EC20A0">
        <w:rPr>
          <w:i/>
        </w:rPr>
        <w:t>Assets</w:t>
      </w:r>
      <w:r w:rsidRPr="00EC20A0">
        <w:rPr>
          <w:i/>
          <w:spacing w:val="-1"/>
        </w:rPr>
        <w:t xml:space="preserve"> </w:t>
      </w:r>
      <w:r w:rsidRPr="00EC20A0">
        <w:rPr>
          <w:i/>
        </w:rPr>
        <w:t>and</w:t>
      </w:r>
      <w:r w:rsidRPr="00EC20A0">
        <w:rPr>
          <w:i/>
          <w:spacing w:val="-2"/>
        </w:rPr>
        <w:t xml:space="preserve"> </w:t>
      </w:r>
      <w:r w:rsidRPr="00EC20A0">
        <w:rPr>
          <w:i/>
        </w:rPr>
        <w:t>Stewardship</w:t>
      </w:r>
      <w:r w:rsidRPr="00EC20A0">
        <w:rPr>
          <w:i/>
          <w:spacing w:val="-1"/>
        </w:rPr>
        <w:t xml:space="preserve"> </w:t>
      </w:r>
      <w:r w:rsidRPr="00EC20A0">
        <w:rPr>
          <w:i/>
        </w:rPr>
        <w:t>Land</w:t>
      </w:r>
      <w:r w:rsidRPr="00EC20A0">
        <w:t>, entities’</w:t>
      </w:r>
      <w:r w:rsidRPr="00EC20A0">
        <w:rPr>
          <w:spacing w:val="-1"/>
        </w:rPr>
        <w:t xml:space="preserve"> </w:t>
      </w:r>
      <w:r w:rsidRPr="00EC20A0">
        <w:t>balance</w:t>
      </w:r>
      <w:r w:rsidRPr="00EC20A0">
        <w:rPr>
          <w:spacing w:val="-2"/>
        </w:rPr>
        <w:t xml:space="preserve"> </w:t>
      </w:r>
      <w:r w:rsidRPr="00EC20A0">
        <w:t>sheets should reference a note that discloses information about heritage assets and stewardship land, but no dollar amount is shown. At a minimum, entities are to present</w:t>
      </w:r>
      <w:r w:rsidRPr="00EC20A0">
        <w:rPr>
          <w:spacing w:val="-3"/>
        </w:rPr>
        <w:t xml:space="preserve"> </w:t>
      </w:r>
      <w:r w:rsidRPr="00EC20A0">
        <w:t>in</w:t>
      </w:r>
      <w:r w:rsidRPr="00EC20A0">
        <w:rPr>
          <w:spacing w:val="-3"/>
        </w:rPr>
        <w:t xml:space="preserve"> </w:t>
      </w:r>
      <w:r w:rsidRPr="00EC20A0">
        <w:t>a</w:t>
      </w:r>
      <w:r w:rsidRPr="00EC20A0">
        <w:rPr>
          <w:spacing w:val="-4"/>
        </w:rPr>
        <w:t xml:space="preserve"> </w:t>
      </w:r>
      <w:r w:rsidRPr="00EC20A0">
        <w:t>note</w:t>
      </w:r>
      <w:r w:rsidRPr="00EC20A0">
        <w:rPr>
          <w:spacing w:val="-3"/>
        </w:rPr>
        <w:t xml:space="preserve"> </w:t>
      </w:r>
      <w:r w:rsidRPr="00EC20A0">
        <w:t>disclosure</w:t>
      </w:r>
      <w:r w:rsidRPr="00EC20A0">
        <w:rPr>
          <w:spacing w:val="-3"/>
        </w:rPr>
        <w:t xml:space="preserve"> </w:t>
      </w:r>
      <w:r w:rsidRPr="00EC20A0">
        <w:t>a</w:t>
      </w:r>
      <w:r w:rsidRPr="00EC20A0">
        <w:rPr>
          <w:spacing w:val="-3"/>
        </w:rPr>
        <w:t xml:space="preserve"> </w:t>
      </w:r>
      <w:r w:rsidRPr="00EC20A0">
        <w:t>description</w:t>
      </w:r>
      <w:r w:rsidRPr="00EC20A0">
        <w:rPr>
          <w:spacing w:val="-3"/>
        </w:rPr>
        <w:t xml:space="preserve"> </w:t>
      </w:r>
      <w:r w:rsidRPr="00EC20A0">
        <w:t>of</w:t>
      </w:r>
      <w:r w:rsidRPr="00EC20A0">
        <w:rPr>
          <w:spacing w:val="-3"/>
        </w:rPr>
        <w:t xml:space="preserve"> </w:t>
      </w:r>
      <w:r w:rsidRPr="00EC20A0">
        <w:t>major</w:t>
      </w:r>
      <w:r w:rsidRPr="00EC20A0">
        <w:rPr>
          <w:spacing w:val="-3"/>
        </w:rPr>
        <w:t xml:space="preserve"> </w:t>
      </w:r>
      <w:r w:rsidRPr="00EC20A0">
        <w:t>categories</w:t>
      </w:r>
      <w:r w:rsidRPr="00EC20A0">
        <w:rPr>
          <w:spacing w:val="-3"/>
        </w:rPr>
        <w:t xml:space="preserve"> </w:t>
      </w:r>
      <w:r w:rsidRPr="00EC20A0">
        <w:t>of</w:t>
      </w:r>
      <w:r w:rsidRPr="00EC20A0">
        <w:rPr>
          <w:spacing w:val="-3"/>
        </w:rPr>
        <w:t xml:space="preserve"> </w:t>
      </w:r>
      <w:r w:rsidRPr="00EC20A0">
        <w:t>assets,</w:t>
      </w:r>
      <w:r w:rsidRPr="00EC20A0">
        <w:rPr>
          <w:spacing w:val="-4"/>
        </w:rPr>
        <w:t xml:space="preserve"> </w:t>
      </w:r>
      <w:r w:rsidRPr="00EC20A0">
        <w:t>physical unit information for the end of the reporting period, physical units added and withdrawn during the reporting period, and a description of the methods of acquisition and withdrawal.</w:t>
      </w:r>
    </w:p>
    <w:p w14:paraId="24D61B9B" w14:textId="77777777" w:rsidR="00245300" w:rsidRPr="00EC20A0" w:rsidRDefault="00245300">
      <w:pPr>
        <w:sectPr w:rsidR="00245300" w:rsidRPr="00EC20A0">
          <w:headerReference w:type="default" r:id="rId176"/>
          <w:footerReference w:type="default" r:id="rId177"/>
          <w:pgSz w:w="12240" w:h="15840"/>
          <w:pgMar w:top="1340" w:right="1100" w:bottom="940" w:left="1240" w:header="721" w:footer="757" w:gutter="0"/>
          <w:pgNumType w:start="1"/>
          <w:cols w:space="720"/>
        </w:sectPr>
      </w:pPr>
    </w:p>
    <w:p w14:paraId="24D61B9C" w14:textId="77777777" w:rsidR="00245300" w:rsidRPr="00EC20A0" w:rsidRDefault="00F17249">
      <w:pPr>
        <w:pStyle w:val="BodyText"/>
        <w:spacing w:before="121"/>
        <w:ind w:left="1640" w:right="394"/>
      </w:pPr>
      <w:r w:rsidRPr="00EC20A0">
        <w:t>Entities are also required to disclose information about stewardship policies and an</w:t>
      </w:r>
      <w:r w:rsidRPr="00EC20A0">
        <w:rPr>
          <w:spacing w:val="-3"/>
        </w:rPr>
        <w:t xml:space="preserve"> </w:t>
      </w:r>
      <w:r w:rsidRPr="00EC20A0">
        <w:t>explanation</w:t>
      </w:r>
      <w:r w:rsidRPr="00EC20A0">
        <w:rPr>
          <w:spacing w:val="-3"/>
        </w:rPr>
        <w:t xml:space="preserve"> </w:t>
      </w:r>
      <w:r w:rsidRPr="00EC20A0">
        <w:t>of</w:t>
      </w:r>
      <w:r w:rsidRPr="00EC20A0">
        <w:rPr>
          <w:spacing w:val="-3"/>
        </w:rPr>
        <w:t xml:space="preserve"> </w:t>
      </w:r>
      <w:r w:rsidRPr="00EC20A0">
        <w:t>how</w:t>
      </w:r>
      <w:r w:rsidRPr="00EC20A0">
        <w:rPr>
          <w:spacing w:val="-4"/>
        </w:rPr>
        <w:t xml:space="preserve"> </w:t>
      </w:r>
      <w:r w:rsidRPr="00EC20A0">
        <w:t>heritage</w:t>
      </w:r>
      <w:r w:rsidRPr="00EC20A0">
        <w:rPr>
          <w:spacing w:val="-3"/>
        </w:rPr>
        <w:t xml:space="preserve"> </w:t>
      </w:r>
      <w:r w:rsidRPr="00EC20A0">
        <w:t>assets</w:t>
      </w:r>
      <w:r w:rsidRPr="00EC20A0">
        <w:rPr>
          <w:spacing w:val="-3"/>
        </w:rPr>
        <w:t xml:space="preserve"> </w:t>
      </w:r>
      <w:r w:rsidRPr="00EC20A0">
        <w:t>and</w:t>
      </w:r>
      <w:r w:rsidRPr="00EC20A0">
        <w:rPr>
          <w:spacing w:val="-3"/>
        </w:rPr>
        <w:t xml:space="preserve"> </w:t>
      </w:r>
      <w:r w:rsidRPr="00EC20A0">
        <w:t>stewardship</w:t>
      </w:r>
      <w:r w:rsidRPr="00EC20A0">
        <w:rPr>
          <w:spacing w:val="-3"/>
        </w:rPr>
        <w:t xml:space="preserve"> </w:t>
      </w:r>
      <w:r w:rsidRPr="00EC20A0">
        <w:t>land</w:t>
      </w:r>
      <w:r w:rsidRPr="00EC20A0">
        <w:rPr>
          <w:spacing w:val="-4"/>
        </w:rPr>
        <w:t xml:space="preserve"> </w:t>
      </w:r>
      <w:r w:rsidRPr="00EC20A0">
        <w:t>relate</w:t>
      </w:r>
      <w:r w:rsidRPr="00EC20A0">
        <w:rPr>
          <w:spacing w:val="-3"/>
        </w:rPr>
        <w:t xml:space="preserve"> </w:t>
      </w:r>
      <w:r w:rsidRPr="00EC20A0">
        <w:t>to</w:t>
      </w:r>
      <w:r w:rsidRPr="00EC20A0">
        <w:rPr>
          <w:spacing w:val="-3"/>
        </w:rPr>
        <w:t xml:space="preserve"> </w:t>
      </w:r>
      <w:r w:rsidRPr="00EC20A0">
        <w:t>the</w:t>
      </w:r>
      <w:r w:rsidRPr="00EC20A0">
        <w:rPr>
          <w:spacing w:val="-4"/>
        </w:rPr>
        <w:t xml:space="preserve"> </w:t>
      </w:r>
      <w:r w:rsidRPr="00EC20A0">
        <w:t>mission of the entity. The standard also includes disclosure requirements applicable to the U.S. government’s consolidated financial statements, which must provide a general discussion of heritage assets and stewardship land and direct users to the applicable entities’ financial statements for more detailed information on these assets.</w:t>
      </w:r>
    </w:p>
    <w:p w14:paraId="24D61B9D" w14:textId="77777777" w:rsidR="00245300" w:rsidRPr="00EC20A0" w:rsidRDefault="00F17249">
      <w:pPr>
        <w:pStyle w:val="BodyText"/>
        <w:spacing w:before="239"/>
        <w:ind w:left="1640" w:right="345"/>
      </w:pPr>
      <w:r w:rsidRPr="00EC20A0">
        <w:t>SFFAS</w:t>
      </w:r>
      <w:r w:rsidRPr="00EC20A0">
        <w:rPr>
          <w:spacing w:val="-4"/>
        </w:rPr>
        <w:t xml:space="preserve"> </w:t>
      </w:r>
      <w:r w:rsidRPr="00EC20A0">
        <w:t>29,</w:t>
      </w:r>
      <w:r w:rsidRPr="00EC20A0">
        <w:rPr>
          <w:spacing w:val="-3"/>
        </w:rPr>
        <w:t xml:space="preserve"> </w:t>
      </w:r>
      <w:r w:rsidRPr="00EC20A0">
        <w:t>as</w:t>
      </w:r>
      <w:r w:rsidRPr="00EC20A0">
        <w:rPr>
          <w:spacing w:val="-4"/>
        </w:rPr>
        <w:t xml:space="preserve"> </w:t>
      </w:r>
      <w:r w:rsidRPr="00EC20A0">
        <w:t>amended</w:t>
      </w:r>
      <w:r w:rsidRPr="00EC20A0">
        <w:rPr>
          <w:spacing w:val="-4"/>
        </w:rPr>
        <w:t xml:space="preserve"> </w:t>
      </w:r>
      <w:r w:rsidRPr="00EC20A0">
        <w:t>by</w:t>
      </w:r>
      <w:r w:rsidRPr="00EC20A0">
        <w:rPr>
          <w:spacing w:val="-4"/>
        </w:rPr>
        <w:t xml:space="preserve"> </w:t>
      </w:r>
      <w:r w:rsidRPr="00EC20A0">
        <w:t>SFFAS</w:t>
      </w:r>
      <w:r w:rsidRPr="00EC20A0">
        <w:rPr>
          <w:spacing w:val="-4"/>
        </w:rPr>
        <w:t xml:space="preserve"> </w:t>
      </w:r>
      <w:r w:rsidRPr="00EC20A0">
        <w:t>59,</w:t>
      </w:r>
      <w:r w:rsidRPr="00EC20A0">
        <w:rPr>
          <w:spacing w:val="-4"/>
        </w:rPr>
        <w:t xml:space="preserve"> </w:t>
      </w:r>
      <w:r w:rsidRPr="00EC20A0">
        <w:rPr>
          <w:i/>
        </w:rPr>
        <w:t>Accounting</w:t>
      </w:r>
      <w:r w:rsidRPr="00EC20A0">
        <w:rPr>
          <w:i/>
          <w:spacing w:val="-4"/>
        </w:rPr>
        <w:t xml:space="preserve"> </w:t>
      </w:r>
      <w:r w:rsidRPr="00EC20A0">
        <w:rPr>
          <w:i/>
        </w:rPr>
        <w:t>and</w:t>
      </w:r>
      <w:r w:rsidRPr="00EC20A0">
        <w:rPr>
          <w:i/>
          <w:spacing w:val="-4"/>
        </w:rPr>
        <w:t xml:space="preserve"> </w:t>
      </w:r>
      <w:r w:rsidRPr="00EC20A0">
        <w:rPr>
          <w:i/>
        </w:rPr>
        <w:t>Reporting</w:t>
      </w:r>
      <w:r w:rsidRPr="00EC20A0">
        <w:rPr>
          <w:i/>
          <w:spacing w:val="-4"/>
        </w:rPr>
        <w:t xml:space="preserve"> </w:t>
      </w:r>
      <w:r w:rsidRPr="00EC20A0">
        <w:rPr>
          <w:i/>
        </w:rPr>
        <w:t>of</w:t>
      </w:r>
      <w:r w:rsidRPr="00EC20A0">
        <w:rPr>
          <w:i/>
          <w:spacing w:val="-4"/>
        </w:rPr>
        <w:t xml:space="preserve"> </w:t>
      </w:r>
      <w:r w:rsidRPr="00EC20A0">
        <w:rPr>
          <w:i/>
        </w:rPr>
        <w:t>Government Land</w:t>
      </w:r>
      <w:r w:rsidRPr="00EC20A0">
        <w:t>, for fiscal years 2022 through 2025, requires entities to report certain information as required supplementary information (RSI) that includes estimated acreage of general PP&amp;E land and stewardship land (including permanent land rights acreage) by predominant use.</w:t>
      </w:r>
    </w:p>
    <w:p w14:paraId="24D61B9E" w14:textId="77777777" w:rsidR="00245300" w:rsidRPr="00EC20A0" w:rsidRDefault="00F17249">
      <w:pPr>
        <w:pStyle w:val="ListParagraph"/>
        <w:numPr>
          <w:ilvl w:val="0"/>
          <w:numId w:val="2"/>
        </w:numPr>
        <w:tabs>
          <w:tab w:val="left" w:pos="1638"/>
          <w:tab w:val="left" w:pos="1640"/>
        </w:tabs>
        <w:spacing w:before="241"/>
        <w:ind w:right="566"/>
        <w:jc w:val="both"/>
      </w:pPr>
      <w:r w:rsidRPr="00EC20A0">
        <w:t>To</w:t>
      </w:r>
      <w:r w:rsidRPr="00EC20A0">
        <w:rPr>
          <w:spacing w:val="-4"/>
        </w:rPr>
        <w:t xml:space="preserve"> </w:t>
      </w:r>
      <w:r w:rsidRPr="00EC20A0">
        <w:t>obtain</w:t>
      </w:r>
      <w:r w:rsidRPr="00EC20A0">
        <w:rPr>
          <w:spacing w:val="-4"/>
        </w:rPr>
        <w:t xml:space="preserve"> </w:t>
      </w:r>
      <w:r w:rsidRPr="00EC20A0">
        <w:t>a</w:t>
      </w:r>
      <w:r w:rsidRPr="00EC20A0">
        <w:rPr>
          <w:spacing w:val="-4"/>
        </w:rPr>
        <w:t xml:space="preserve"> </w:t>
      </w:r>
      <w:r w:rsidRPr="00EC20A0">
        <w:t>further</w:t>
      </w:r>
      <w:r w:rsidRPr="00EC20A0">
        <w:rPr>
          <w:spacing w:val="-4"/>
        </w:rPr>
        <w:t xml:space="preserve"> </w:t>
      </w:r>
      <w:r w:rsidRPr="00EC20A0">
        <w:t>understanding</w:t>
      </w:r>
      <w:r w:rsidRPr="00EC20A0">
        <w:rPr>
          <w:spacing w:val="-4"/>
        </w:rPr>
        <w:t xml:space="preserve"> </w:t>
      </w:r>
      <w:r w:rsidRPr="00EC20A0">
        <w:t>of</w:t>
      </w:r>
      <w:r w:rsidRPr="00EC20A0">
        <w:rPr>
          <w:spacing w:val="-4"/>
        </w:rPr>
        <w:t xml:space="preserve"> </w:t>
      </w:r>
      <w:r w:rsidRPr="00EC20A0">
        <w:t>the</w:t>
      </w:r>
      <w:r w:rsidRPr="00EC20A0">
        <w:rPr>
          <w:spacing w:val="-3"/>
        </w:rPr>
        <w:t xml:space="preserve"> </w:t>
      </w:r>
      <w:r w:rsidRPr="00EC20A0">
        <w:t>accounting</w:t>
      </w:r>
      <w:r w:rsidRPr="00EC20A0">
        <w:rPr>
          <w:spacing w:val="-4"/>
        </w:rPr>
        <w:t xml:space="preserve"> </w:t>
      </w:r>
      <w:r w:rsidRPr="00EC20A0">
        <w:t>and</w:t>
      </w:r>
      <w:r w:rsidRPr="00EC20A0">
        <w:rPr>
          <w:spacing w:val="-4"/>
        </w:rPr>
        <w:t xml:space="preserve"> </w:t>
      </w:r>
      <w:r w:rsidRPr="00EC20A0">
        <w:t>reporting</w:t>
      </w:r>
      <w:r w:rsidRPr="00EC20A0">
        <w:rPr>
          <w:spacing w:val="-4"/>
        </w:rPr>
        <w:t xml:space="preserve"> </w:t>
      </w:r>
      <w:r w:rsidRPr="00EC20A0">
        <w:t>requirements (including</w:t>
      </w:r>
      <w:r w:rsidRPr="00EC20A0">
        <w:rPr>
          <w:spacing w:val="-2"/>
        </w:rPr>
        <w:t xml:space="preserve"> </w:t>
      </w:r>
      <w:r w:rsidRPr="00EC20A0">
        <w:t>recognition</w:t>
      </w:r>
      <w:r w:rsidRPr="00EC20A0">
        <w:rPr>
          <w:spacing w:val="-2"/>
        </w:rPr>
        <w:t xml:space="preserve"> </w:t>
      </w:r>
      <w:r w:rsidRPr="00EC20A0">
        <w:t>and</w:t>
      </w:r>
      <w:r w:rsidRPr="00EC20A0">
        <w:rPr>
          <w:spacing w:val="-2"/>
        </w:rPr>
        <w:t xml:space="preserve"> </w:t>
      </w:r>
      <w:r w:rsidRPr="00EC20A0">
        <w:t>measurement,</w:t>
      </w:r>
      <w:r w:rsidRPr="00EC20A0">
        <w:rPr>
          <w:spacing w:val="-2"/>
        </w:rPr>
        <w:t xml:space="preserve"> </w:t>
      </w:r>
      <w:r w:rsidRPr="00EC20A0">
        <w:t>note</w:t>
      </w:r>
      <w:r w:rsidRPr="00EC20A0">
        <w:rPr>
          <w:spacing w:val="-2"/>
        </w:rPr>
        <w:t xml:space="preserve"> </w:t>
      </w:r>
      <w:r w:rsidRPr="00EC20A0">
        <w:t>disclosure,</w:t>
      </w:r>
      <w:r w:rsidRPr="00EC20A0">
        <w:rPr>
          <w:spacing w:val="-2"/>
        </w:rPr>
        <w:t xml:space="preserve"> </w:t>
      </w:r>
      <w:r w:rsidRPr="00EC20A0">
        <w:t>and</w:t>
      </w:r>
      <w:r w:rsidRPr="00EC20A0">
        <w:rPr>
          <w:spacing w:val="-3"/>
        </w:rPr>
        <w:t xml:space="preserve"> </w:t>
      </w:r>
      <w:r w:rsidRPr="00EC20A0">
        <w:t>RSI),</w:t>
      </w:r>
      <w:r w:rsidRPr="00EC20A0">
        <w:rPr>
          <w:spacing w:val="-2"/>
        </w:rPr>
        <w:t xml:space="preserve"> </w:t>
      </w:r>
      <w:r w:rsidRPr="00EC20A0">
        <w:t>the</w:t>
      </w:r>
      <w:r w:rsidRPr="00EC20A0">
        <w:rPr>
          <w:spacing w:val="-2"/>
        </w:rPr>
        <w:t xml:space="preserve"> </w:t>
      </w:r>
      <w:r w:rsidRPr="00EC20A0">
        <w:t>auditor should refer to SFFAS 29, including applicable SFFAS 59 amendments.</w:t>
      </w:r>
    </w:p>
    <w:p w14:paraId="24D61B9F" w14:textId="77777777" w:rsidR="00245300" w:rsidRPr="00EC20A0" w:rsidRDefault="00245300">
      <w:pPr>
        <w:pStyle w:val="BodyText"/>
        <w:spacing w:before="47"/>
      </w:pPr>
    </w:p>
    <w:p w14:paraId="24D61BA0" w14:textId="77777777" w:rsidR="00245300" w:rsidRPr="00EC20A0" w:rsidRDefault="00F17249">
      <w:pPr>
        <w:pStyle w:val="Heading4"/>
        <w:spacing w:before="0"/>
        <w:ind w:left="200"/>
      </w:pPr>
      <w:bookmarkStart w:id="336" w:name="Audit_Approach"/>
      <w:bookmarkEnd w:id="336"/>
      <w:r w:rsidRPr="00EC20A0">
        <w:t>Audit</w:t>
      </w:r>
      <w:r w:rsidRPr="00EC20A0">
        <w:rPr>
          <w:spacing w:val="-10"/>
        </w:rPr>
        <w:t xml:space="preserve"> </w:t>
      </w:r>
      <w:r w:rsidRPr="00EC20A0">
        <w:rPr>
          <w:spacing w:val="-2"/>
        </w:rPr>
        <w:t>Approach</w:t>
      </w:r>
    </w:p>
    <w:p w14:paraId="24D61BA1" w14:textId="77777777" w:rsidR="00245300" w:rsidRPr="00EC20A0" w:rsidRDefault="00F17249">
      <w:pPr>
        <w:pStyle w:val="ListParagraph"/>
        <w:numPr>
          <w:ilvl w:val="0"/>
          <w:numId w:val="2"/>
        </w:numPr>
        <w:tabs>
          <w:tab w:val="left" w:pos="1640"/>
        </w:tabs>
        <w:spacing w:before="299"/>
        <w:ind w:right="493"/>
      </w:pPr>
      <w:r w:rsidRPr="00EC20A0">
        <w:t>The auditor should develop an audit approach by identifying the extent of heritage assets and stewardship land at the entity being audited. The auditor should then obtain and fully document an understanding of this property in the entity’s accounts, financial management systems, and related policies and procedures.</w:t>
      </w:r>
      <w:r w:rsidRPr="00EC20A0">
        <w:rPr>
          <w:spacing w:val="-4"/>
        </w:rPr>
        <w:t xml:space="preserve"> </w:t>
      </w:r>
      <w:r w:rsidRPr="00EC20A0">
        <w:t>The</w:t>
      </w:r>
      <w:r w:rsidRPr="00EC20A0">
        <w:rPr>
          <w:spacing w:val="-3"/>
        </w:rPr>
        <w:t xml:space="preserve"> </w:t>
      </w:r>
      <w:r w:rsidRPr="00EC20A0">
        <w:t>auditor</w:t>
      </w:r>
      <w:r w:rsidRPr="00EC20A0">
        <w:rPr>
          <w:spacing w:val="-5"/>
        </w:rPr>
        <w:t xml:space="preserve"> </w:t>
      </w:r>
      <w:r w:rsidRPr="00EC20A0">
        <w:t>should</w:t>
      </w:r>
      <w:r w:rsidRPr="00EC20A0">
        <w:rPr>
          <w:spacing w:val="-3"/>
        </w:rPr>
        <w:t xml:space="preserve"> </w:t>
      </w:r>
      <w:r w:rsidRPr="00EC20A0">
        <w:t>also</w:t>
      </w:r>
      <w:r w:rsidRPr="00EC20A0">
        <w:rPr>
          <w:spacing w:val="-4"/>
        </w:rPr>
        <w:t xml:space="preserve"> </w:t>
      </w:r>
      <w:r w:rsidRPr="00EC20A0">
        <w:t>understand</w:t>
      </w:r>
      <w:r w:rsidRPr="00EC20A0">
        <w:rPr>
          <w:spacing w:val="-3"/>
        </w:rPr>
        <w:t xml:space="preserve"> </w:t>
      </w:r>
      <w:r w:rsidRPr="00EC20A0">
        <w:t>the</w:t>
      </w:r>
      <w:r w:rsidRPr="00EC20A0">
        <w:rPr>
          <w:spacing w:val="-3"/>
        </w:rPr>
        <w:t xml:space="preserve"> </w:t>
      </w:r>
      <w:r w:rsidRPr="00EC20A0">
        <w:t>control</w:t>
      </w:r>
      <w:r w:rsidRPr="00EC20A0">
        <w:rPr>
          <w:spacing w:val="-3"/>
        </w:rPr>
        <w:t xml:space="preserve"> </w:t>
      </w:r>
      <w:r w:rsidRPr="00EC20A0">
        <w:t>environment</w:t>
      </w:r>
      <w:r w:rsidRPr="00EC20A0">
        <w:rPr>
          <w:spacing w:val="-3"/>
        </w:rPr>
        <w:t xml:space="preserve"> </w:t>
      </w:r>
      <w:r w:rsidRPr="00EC20A0">
        <w:t>for</w:t>
      </w:r>
      <w:r w:rsidRPr="00EC20A0">
        <w:rPr>
          <w:spacing w:val="-3"/>
        </w:rPr>
        <w:t xml:space="preserve"> </w:t>
      </w:r>
      <w:r w:rsidRPr="00EC20A0">
        <w:t>this property,</w:t>
      </w:r>
      <w:r w:rsidRPr="00EC20A0">
        <w:rPr>
          <w:spacing w:val="-5"/>
        </w:rPr>
        <w:t xml:space="preserve"> </w:t>
      </w:r>
      <w:r w:rsidRPr="00EC20A0">
        <w:t>including</w:t>
      </w:r>
      <w:r w:rsidRPr="00EC20A0">
        <w:rPr>
          <w:spacing w:val="-5"/>
        </w:rPr>
        <w:t xml:space="preserve"> </w:t>
      </w:r>
      <w:r w:rsidRPr="00EC20A0">
        <w:t>the</w:t>
      </w:r>
      <w:r w:rsidRPr="00EC20A0">
        <w:rPr>
          <w:spacing w:val="-5"/>
        </w:rPr>
        <w:t xml:space="preserve"> </w:t>
      </w:r>
      <w:r w:rsidRPr="00EC20A0">
        <w:t>information</w:t>
      </w:r>
      <w:r w:rsidRPr="00EC20A0">
        <w:rPr>
          <w:spacing w:val="-4"/>
        </w:rPr>
        <w:t xml:space="preserve"> </w:t>
      </w:r>
      <w:r w:rsidRPr="00EC20A0">
        <w:t>system</w:t>
      </w:r>
      <w:r w:rsidRPr="00EC20A0">
        <w:rPr>
          <w:spacing w:val="-6"/>
        </w:rPr>
        <w:t xml:space="preserve"> </w:t>
      </w:r>
      <w:r w:rsidRPr="00EC20A0">
        <w:t>processing</w:t>
      </w:r>
      <w:r w:rsidRPr="00EC20A0">
        <w:rPr>
          <w:spacing w:val="-5"/>
        </w:rPr>
        <w:t xml:space="preserve"> </w:t>
      </w:r>
      <w:r w:rsidRPr="00EC20A0">
        <w:t>and</w:t>
      </w:r>
      <w:r w:rsidRPr="00EC20A0">
        <w:rPr>
          <w:spacing w:val="-5"/>
        </w:rPr>
        <w:t xml:space="preserve"> </w:t>
      </w:r>
      <w:r w:rsidRPr="00EC20A0">
        <w:t>security</w:t>
      </w:r>
      <w:r w:rsidRPr="00EC20A0">
        <w:rPr>
          <w:spacing w:val="-5"/>
        </w:rPr>
        <w:t xml:space="preserve"> </w:t>
      </w:r>
      <w:r w:rsidRPr="00EC20A0">
        <w:t>controls</w:t>
      </w:r>
      <w:r w:rsidRPr="00EC20A0">
        <w:rPr>
          <w:spacing w:val="-5"/>
        </w:rPr>
        <w:t xml:space="preserve"> </w:t>
      </w:r>
      <w:r w:rsidRPr="00EC20A0">
        <w:t>over systems that report or transact activities or balances, to determine the audit procedures required.</w:t>
      </w:r>
    </w:p>
    <w:p w14:paraId="24D61BA2" w14:textId="77777777" w:rsidR="00245300" w:rsidRPr="00EC20A0" w:rsidRDefault="00F17249">
      <w:pPr>
        <w:pStyle w:val="ListParagraph"/>
        <w:numPr>
          <w:ilvl w:val="0"/>
          <w:numId w:val="2"/>
        </w:numPr>
        <w:tabs>
          <w:tab w:val="left" w:pos="1640"/>
        </w:tabs>
        <w:spacing w:before="241"/>
        <w:ind w:right="563"/>
      </w:pPr>
      <w:r w:rsidRPr="00EC20A0">
        <w:t>Heritage</w:t>
      </w:r>
      <w:r w:rsidRPr="00EC20A0">
        <w:rPr>
          <w:spacing w:val="-3"/>
        </w:rPr>
        <w:t xml:space="preserve"> </w:t>
      </w:r>
      <w:r w:rsidRPr="00EC20A0">
        <w:t>assets</w:t>
      </w:r>
      <w:r w:rsidRPr="00EC20A0">
        <w:rPr>
          <w:spacing w:val="-3"/>
        </w:rPr>
        <w:t xml:space="preserve"> </w:t>
      </w:r>
      <w:r w:rsidRPr="00EC20A0">
        <w:t>and</w:t>
      </w:r>
      <w:r w:rsidRPr="00EC20A0">
        <w:rPr>
          <w:spacing w:val="-3"/>
        </w:rPr>
        <w:t xml:space="preserve"> </w:t>
      </w:r>
      <w:r w:rsidRPr="00EC20A0">
        <w:t>stewardship</w:t>
      </w:r>
      <w:r w:rsidRPr="00EC20A0">
        <w:rPr>
          <w:spacing w:val="-3"/>
        </w:rPr>
        <w:t xml:space="preserve"> </w:t>
      </w:r>
      <w:r w:rsidRPr="00EC20A0">
        <w:t>land</w:t>
      </w:r>
      <w:r w:rsidRPr="00EC20A0">
        <w:rPr>
          <w:spacing w:val="-3"/>
        </w:rPr>
        <w:t xml:space="preserve"> </w:t>
      </w:r>
      <w:r w:rsidRPr="00EC20A0">
        <w:t>will</w:t>
      </w:r>
      <w:r w:rsidRPr="00EC20A0">
        <w:rPr>
          <w:spacing w:val="-3"/>
        </w:rPr>
        <w:t xml:space="preserve"> </w:t>
      </w:r>
      <w:r w:rsidRPr="00EC20A0">
        <w:t>vary</w:t>
      </w:r>
      <w:r w:rsidRPr="00EC20A0">
        <w:rPr>
          <w:spacing w:val="-4"/>
        </w:rPr>
        <w:t xml:space="preserve"> </w:t>
      </w:r>
      <w:r w:rsidRPr="00EC20A0">
        <w:t>by</w:t>
      </w:r>
      <w:r w:rsidRPr="00EC20A0">
        <w:rPr>
          <w:spacing w:val="-3"/>
        </w:rPr>
        <w:t xml:space="preserve"> </w:t>
      </w:r>
      <w:r w:rsidRPr="00EC20A0">
        <w:t>entity,</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should use professional judgment to design the audit procedures for a particular</w:t>
      </w:r>
      <w:r w:rsidRPr="00EC20A0">
        <w:rPr>
          <w:spacing w:val="-1"/>
        </w:rPr>
        <w:t xml:space="preserve"> </w:t>
      </w:r>
      <w:r w:rsidRPr="00EC20A0">
        <w:t>entity after</w:t>
      </w:r>
      <w:r w:rsidRPr="00EC20A0">
        <w:rPr>
          <w:spacing w:val="-4"/>
        </w:rPr>
        <w:t xml:space="preserve"> </w:t>
      </w:r>
      <w:r w:rsidRPr="00EC20A0">
        <w:t>considering</w:t>
      </w:r>
      <w:r w:rsidRPr="00EC20A0">
        <w:rPr>
          <w:spacing w:val="-4"/>
        </w:rPr>
        <w:t xml:space="preserve"> </w:t>
      </w:r>
      <w:r w:rsidRPr="00EC20A0">
        <w:t>the</w:t>
      </w:r>
      <w:r w:rsidRPr="00EC20A0">
        <w:rPr>
          <w:spacing w:val="-4"/>
        </w:rPr>
        <w:t xml:space="preserve"> </w:t>
      </w:r>
      <w:r w:rsidRPr="00EC20A0">
        <w:t>types</w:t>
      </w:r>
      <w:r w:rsidRPr="00EC20A0">
        <w:rPr>
          <w:spacing w:val="-3"/>
        </w:rPr>
        <w:t xml:space="preserve"> </w:t>
      </w:r>
      <w:r w:rsidRPr="00EC20A0">
        <w:t>of</w:t>
      </w:r>
      <w:r w:rsidRPr="00EC20A0">
        <w:rPr>
          <w:spacing w:val="-4"/>
        </w:rPr>
        <w:t xml:space="preserve"> </w:t>
      </w:r>
      <w:r w:rsidRPr="00EC20A0">
        <w:t>heritage</w:t>
      </w:r>
      <w:r w:rsidRPr="00EC20A0">
        <w:rPr>
          <w:spacing w:val="-4"/>
        </w:rPr>
        <w:t xml:space="preserve"> </w:t>
      </w:r>
      <w:r w:rsidRPr="00EC20A0">
        <w:t>assets</w:t>
      </w:r>
      <w:r w:rsidRPr="00EC20A0">
        <w:rPr>
          <w:spacing w:val="-4"/>
        </w:rPr>
        <w:t xml:space="preserve"> </w:t>
      </w:r>
      <w:r w:rsidRPr="00EC20A0">
        <w:t>and</w:t>
      </w:r>
      <w:r w:rsidRPr="00EC20A0">
        <w:rPr>
          <w:spacing w:val="-4"/>
        </w:rPr>
        <w:t xml:space="preserve"> </w:t>
      </w:r>
      <w:r w:rsidRPr="00EC20A0">
        <w:t>stewardship</w:t>
      </w:r>
      <w:r w:rsidRPr="00EC20A0">
        <w:rPr>
          <w:spacing w:val="-4"/>
        </w:rPr>
        <w:t xml:space="preserve"> </w:t>
      </w:r>
      <w:r w:rsidRPr="00EC20A0">
        <w:t>land,</w:t>
      </w:r>
      <w:r w:rsidRPr="00EC20A0">
        <w:rPr>
          <w:spacing w:val="-4"/>
        </w:rPr>
        <w:t xml:space="preserve"> </w:t>
      </w:r>
      <w:r w:rsidRPr="00EC20A0">
        <w:t>the</w:t>
      </w:r>
      <w:r w:rsidRPr="00EC20A0">
        <w:rPr>
          <w:spacing w:val="-5"/>
        </w:rPr>
        <w:t xml:space="preserve"> </w:t>
      </w:r>
      <w:r w:rsidRPr="00EC20A0">
        <w:t xml:space="preserve">entity’s </w:t>
      </w:r>
      <w:r w:rsidRPr="00EC20A0">
        <w:t>accounts, materiality, audit risks, and the internal control environment. The auditor may consider the example audit procedures provided below both in auditing this property and in developing new procedures.</w:t>
      </w:r>
    </w:p>
    <w:p w14:paraId="24D61BA3" w14:textId="77777777" w:rsidR="00245300" w:rsidRPr="00EC20A0" w:rsidRDefault="00F17249">
      <w:pPr>
        <w:pStyle w:val="Heading5"/>
        <w:spacing w:before="240"/>
        <w:rPr>
          <w:u w:val="none"/>
        </w:rPr>
      </w:pPr>
      <w:bookmarkStart w:id="337" w:name="Planning_Phase"/>
      <w:bookmarkEnd w:id="337"/>
      <w:r w:rsidRPr="00EC20A0">
        <w:t>Planning</w:t>
      </w:r>
      <w:r w:rsidRPr="00EC20A0">
        <w:rPr>
          <w:spacing w:val="-5"/>
        </w:rPr>
        <w:t xml:space="preserve"> </w:t>
      </w:r>
      <w:r w:rsidRPr="00EC20A0">
        <w:rPr>
          <w:spacing w:val="-2"/>
        </w:rPr>
        <w:t>Phase</w:t>
      </w:r>
    </w:p>
    <w:p w14:paraId="24D61BA4" w14:textId="77777777" w:rsidR="00245300" w:rsidRPr="00EC20A0" w:rsidRDefault="00F17249">
      <w:pPr>
        <w:pStyle w:val="ListParagraph"/>
        <w:numPr>
          <w:ilvl w:val="0"/>
          <w:numId w:val="2"/>
        </w:numPr>
        <w:tabs>
          <w:tab w:val="left" w:pos="1640"/>
        </w:tabs>
        <w:ind w:right="456"/>
      </w:pPr>
      <w:r w:rsidRPr="00EC20A0">
        <w:t>To</w:t>
      </w:r>
      <w:r w:rsidRPr="00EC20A0">
        <w:rPr>
          <w:spacing w:val="-4"/>
        </w:rPr>
        <w:t xml:space="preserve"> </w:t>
      </w:r>
      <w:r w:rsidRPr="00EC20A0">
        <w:t>obtain</w:t>
      </w:r>
      <w:r w:rsidRPr="00EC20A0">
        <w:rPr>
          <w:spacing w:val="-4"/>
        </w:rPr>
        <w:t xml:space="preserve"> </w:t>
      </w:r>
      <w:r w:rsidRPr="00EC20A0">
        <w:t>an</w:t>
      </w:r>
      <w:r w:rsidRPr="00EC20A0">
        <w:rPr>
          <w:spacing w:val="-5"/>
        </w:rPr>
        <w:t xml:space="preserve"> </w:t>
      </w:r>
      <w:r w:rsidRPr="00EC20A0">
        <w:t>understanding</w:t>
      </w:r>
      <w:r w:rsidRPr="00EC20A0">
        <w:rPr>
          <w:spacing w:val="-4"/>
        </w:rPr>
        <w:t xml:space="preserve"> </w:t>
      </w:r>
      <w:r w:rsidRPr="00EC20A0">
        <w:t>of</w:t>
      </w:r>
      <w:r w:rsidRPr="00EC20A0">
        <w:rPr>
          <w:spacing w:val="-4"/>
        </w:rPr>
        <w:t xml:space="preserve"> </w:t>
      </w:r>
      <w:r w:rsidRPr="00EC20A0">
        <w:t>entity</w:t>
      </w:r>
      <w:r w:rsidRPr="00EC20A0">
        <w:rPr>
          <w:spacing w:val="-5"/>
        </w:rPr>
        <w:t xml:space="preserve"> </w:t>
      </w:r>
      <w:r w:rsidRPr="00EC20A0">
        <w:t>heritage</w:t>
      </w:r>
      <w:r w:rsidRPr="00EC20A0">
        <w:rPr>
          <w:spacing w:val="-4"/>
        </w:rPr>
        <w:t xml:space="preserve"> </w:t>
      </w:r>
      <w:r w:rsidRPr="00EC20A0">
        <w:t>assets</w:t>
      </w:r>
      <w:r w:rsidRPr="00EC20A0">
        <w:rPr>
          <w:spacing w:val="-4"/>
        </w:rPr>
        <w:t xml:space="preserve"> </w:t>
      </w:r>
      <w:r w:rsidRPr="00EC20A0">
        <w:t>and</w:t>
      </w:r>
      <w:r w:rsidRPr="00EC20A0">
        <w:rPr>
          <w:spacing w:val="-4"/>
        </w:rPr>
        <w:t xml:space="preserve"> </w:t>
      </w:r>
      <w:r w:rsidRPr="00EC20A0">
        <w:t>stewardship</w:t>
      </w:r>
      <w:r w:rsidRPr="00EC20A0">
        <w:rPr>
          <w:spacing w:val="-4"/>
        </w:rPr>
        <w:t xml:space="preserve"> </w:t>
      </w:r>
      <w:r w:rsidRPr="00EC20A0">
        <w:t>land</w:t>
      </w:r>
      <w:r w:rsidRPr="00EC20A0">
        <w:rPr>
          <w:spacing w:val="-4"/>
        </w:rPr>
        <w:t xml:space="preserve"> </w:t>
      </w:r>
      <w:r w:rsidRPr="00EC20A0">
        <w:t>in</w:t>
      </w:r>
      <w:r w:rsidRPr="00EC20A0">
        <w:rPr>
          <w:spacing w:val="-4"/>
        </w:rPr>
        <w:t xml:space="preserve"> </w:t>
      </w:r>
      <w:r w:rsidRPr="00EC20A0">
        <w:t>the planning phase of the audit, the auditor may do the following:</w:t>
      </w:r>
    </w:p>
    <w:p w14:paraId="24D61BA5" w14:textId="77777777" w:rsidR="00245300" w:rsidRPr="00EC20A0" w:rsidRDefault="00F17249">
      <w:pPr>
        <w:pStyle w:val="ListParagraph"/>
        <w:numPr>
          <w:ilvl w:val="0"/>
          <w:numId w:val="83"/>
        </w:numPr>
        <w:tabs>
          <w:tab w:val="left" w:pos="1999"/>
        </w:tabs>
        <w:spacing w:before="239"/>
        <w:ind w:left="1999" w:right="706"/>
      </w:pPr>
      <w:r w:rsidRPr="00EC20A0">
        <w:t>Obtain</w:t>
      </w:r>
      <w:r w:rsidRPr="00EC20A0">
        <w:rPr>
          <w:spacing w:val="-5"/>
        </w:rPr>
        <w:t xml:space="preserve"> </w:t>
      </w:r>
      <w:r w:rsidRPr="00EC20A0">
        <w:t>an</w:t>
      </w:r>
      <w:r w:rsidRPr="00EC20A0">
        <w:rPr>
          <w:spacing w:val="-5"/>
        </w:rPr>
        <w:t xml:space="preserve"> </w:t>
      </w:r>
      <w:r w:rsidRPr="00EC20A0">
        <w:t>understanding</w:t>
      </w:r>
      <w:r w:rsidRPr="00EC20A0">
        <w:rPr>
          <w:spacing w:val="-5"/>
        </w:rPr>
        <w:t xml:space="preserve"> </w:t>
      </w:r>
      <w:r w:rsidRPr="00EC20A0">
        <w:t>of</w:t>
      </w:r>
      <w:r w:rsidRPr="00EC20A0">
        <w:rPr>
          <w:spacing w:val="-5"/>
        </w:rPr>
        <w:t xml:space="preserve"> </w:t>
      </w:r>
      <w:r w:rsidRPr="00EC20A0">
        <w:t>significant</w:t>
      </w:r>
      <w:r w:rsidRPr="00EC20A0">
        <w:rPr>
          <w:spacing w:val="-5"/>
        </w:rPr>
        <w:t xml:space="preserve"> </w:t>
      </w:r>
      <w:r w:rsidRPr="00EC20A0">
        <w:t>accounting</w:t>
      </w:r>
      <w:r w:rsidRPr="00EC20A0">
        <w:rPr>
          <w:spacing w:val="-5"/>
        </w:rPr>
        <w:t xml:space="preserve"> </w:t>
      </w:r>
      <w:r w:rsidRPr="00EC20A0">
        <w:t>and</w:t>
      </w:r>
      <w:r w:rsidRPr="00EC20A0">
        <w:rPr>
          <w:spacing w:val="-5"/>
        </w:rPr>
        <w:t xml:space="preserve"> </w:t>
      </w:r>
      <w:r w:rsidRPr="00EC20A0">
        <w:t>auditing</w:t>
      </w:r>
      <w:r w:rsidRPr="00EC20A0">
        <w:rPr>
          <w:spacing w:val="-5"/>
        </w:rPr>
        <w:t xml:space="preserve"> </w:t>
      </w:r>
      <w:r w:rsidRPr="00EC20A0">
        <w:t>issues</w:t>
      </w:r>
      <w:r w:rsidRPr="00EC20A0">
        <w:rPr>
          <w:spacing w:val="-3"/>
        </w:rPr>
        <w:t xml:space="preserve"> </w:t>
      </w:r>
      <w:r w:rsidRPr="00EC20A0">
        <w:t xml:space="preserve">and read the entity’s prior year annual report (e.g., </w:t>
      </w:r>
      <w:r w:rsidRPr="00EC20A0">
        <w:t>performance and accountability report or agency financial report).</w:t>
      </w:r>
    </w:p>
    <w:p w14:paraId="24D61BA6" w14:textId="77777777" w:rsidR="00245300" w:rsidRPr="00EC20A0" w:rsidRDefault="00F17249">
      <w:pPr>
        <w:pStyle w:val="ListParagraph"/>
        <w:numPr>
          <w:ilvl w:val="0"/>
          <w:numId w:val="83"/>
        </w:numPr>
        <w:tabs>
          <w:tab w:val="left" w:pos="2000"/>
        </w:tabs>
        <w:spacing w:before="241"/>
        <w:ind w:right="561"/>
      </w:pPr>
      <w:r w:rsidRPr="00EC20A0">
        <w:t>Read applicable SFFAS (i.e., SFFAS 29, including applicable SFFAS 59 amendments)</w:t>
      </w:r>
      <w:r w:rsidRPr="00EC20A0">
        <w:rPr>
          <w:spacing w:val="-5"/>
        </w:rPr>
        <w:t xml:space="preserve"> </w:t>
      </w:r>
      <w:r w:rsidRPr="00EC20A0">
        <w:t>and</w:t>
      </w:r>
      <w:r w:rsidRPr="00EC20A0">
        <w:rPr>
          <w:spacing w:val="-5"/>
        </w:rPr>
        <w:t xml:space="preserve"> </w:t>
      </w:r>
      <w:r w:rsidRPr="00EC20A0">
        <w:t>OMB</w:t>
      </w:r>
      <w:r w:rsidRPr="00EC20A0">
        <w:rPr>
          <w:spacing w:val="-4"/>
        </w:rPr>
        <w:t xml:space="preserve"> </w:t>
      </w:r>
      <w:r w:rsidRPr="00EC20A0">
        <w:t>reporting</w:t>
      </w:r>
      <w:r w:rsidRPr="00EC20A0">
        <w:rPr>
          <w:spacing w:val="-5"/>
        </w:rPr>
        <w:t xml:space="preserve"> </w:t>
      </w:r>
      <w:r w:rsidRPr="00EC20A0">
        <w:t>guidance</w:t>
      </w:r>
      <w:r w:rsidRPr="00EC20A0">
        <w:rPr>
          <w:spacing w:val="-5"/>
        </w:rPr>
        <w:t xml:space="preserve"> </w:t>
      </w:r>
      <w:r w:rsidRPr="00EC20A0">
        <w:t>for</w:t>
      </w:r>
      <w:r w:rsidRPr="00EC20A0">
        <w:rPr>
          <w:spacing w:val="-7"/>
        </w:rPr>
        <w:t xml:space="preserve"> </w:t>
      </w:r>
      <w:r w:rsidRPr="00EC20A0">
        <w:t>accounting</w:t>
      </w:r>
      <w:r w:rsidRPr="00EC20A0">
        <w:rPr>
          <w:spacing w:val="-4"/>
        </w:rPr>
        <w:t xml:space="preserve"> </w:t>
      </w:r>
      <w:r w:rsidRPr="00EC20A0">
        <w:t>for,</w:t>
      </w:r>
      <w:r w:rsidRPr="00EC20A0">
        <w:rPr>
          <w:spacing w:val="-5"/>
        </w:rPr>
        <w:t xml:space="preserve"> </w:t>
      </w:r>
      <w:r w:rsidRPr="00EC20A0">
        <w:t>reporting</w:t>
      </w:r>
      <w:r w:rsidRPr="00EC20A0">
        <w:rPr>
          <w:spacing w:val="-6"/>
        </w:rPr>
        <w:t xml:space="preserve"> </w:t>
      </w:r>
      <w:r w:rsidRPr="00EC20A0">
        <w:t>on, and disclosing of heritage assets and stewardship land.</w:t>
      </w:r>
    </w:p>
    <w:p w14:paraId="24D61BA7" w14:textId="77777777" w:rsidR="00245300" w:rsidRPr="00EC20A0" w:rsidRDefault="00F17249">
      <w:pPr>
        <w:pStyle w:val="ListParagraph"/>
        <w:numPr>
          <w:ilvl w:val="0"/>
          <w:numId w:val="83"/>
        </w:numPr>
        <w:tabs>
          <w:tab w:val="left" w:pos="1999"/>
        </w:tabs>
        <w:spacing w:before="239"/>
        <w:ind w:left="1999" w:right="475"/>
      </w:pPr>
      <w:r w:rsidRPr="00EC20A0">
        <w:t>Understand</w:t>
      </w:r>
      <w:r w:rsidRPr="00EC20A0">
        <w:rPr>
          <w:spacing w:val="-4"/>
        </w:rPr>
        <w:t xml:space="preserve"> </w:t>
      </w:r>
      <w:r w:rsidRPr="00EC20A0">
        <w:t>and</w:t>
      </w:r>
      <w:r w:rsidRPr="00EC20A0">
        <w:rPr>
          <w:spacing w:val="-4"/>
        </w:rPr>
        <w:t xml:space="preserve"> </w:t>
      </w:r>
      <w:r w:rsidRPr="00EC20A0">
        <w:t>document</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policies</w:t>
      </w:r>
      <w:r w:rsidRPr="00EC20A0">
        <w:rPr>
          <w:spacing w:val="-4"/>
        </w:rPr>
        <w:t xml:space="preserve"> </w:t>
      </w:r>
      <w:r w:rsidRPr="00EC20A0">
        <w:t>for</w:t>
      </w:r>
      <w:r w:rsidRPr="00EC20A0">
        <w:rPr>
          <w:spacing w:val="-5"/>
        </w:rPr>
        <w:t xml:space="preserve"> </w:t>
      </w:r>
      <w:r w:rsidRPr="00EC20A0">
        <w:t>identifying</w:t>
      </w:r>
      <w:r w:rsidRPr="00EC20A0">
        <w:rPr>
          <w:spacing w:val="-5"/>
        </w:rPr>
        <w:t xml:space="preserve"> </w:t>
      </w:r>
      <w:r w:rsidRPr="00EC20A0">
        <w:t>heritage</w:t>
      </w:r>
      <w:r w:rsidRPr="00EC20A0">
        <w:rPr>
          <w:spacing w:val="-4"/>
        </w:rPr>
        <w:t xml:space="preserve"> </w:t>
      </w:r>
      <w:r w:rsidRPr="00EC20A0">
        <w:t>assets and stewardship land separate from multiuse heritage assets and other</w:t>
      </w:r>
    </w:p>
    <w:p w14:paraId="24D61BA8" w14:textId="77777777" w:rsidR="00245300" w:rsidRPr="00EC20A0" w:rsidRDefault="00245300">
      <w:pPr>
        <w:sectPr w:rsidR="00245300" w:rsidRPr="00EC20A0">
          <w:pgSz w:w="12240" w:h="15840"/>
          <w:pgMar w:top="1340" w:right="1100" w:bottom="940" w:left="1240" w:header="721" w:footer="757" w:gutter="0"/>
          <w:cols w:space="720"/>
        </w:sectPr>
      </w:pPr>
    </w:p>
    <w:p w14:paraId="24D61BA9" w14:textId="77777777" w:rsidR="00245300" w:rsidRPr="00EC20A0" w:rsidRDefault="00F17249">
      <w:pPr>
        <w:pStyle w:val="BodyText"/>
        <w:spacing w:before="121"/>
        <w:ind w:left="2000" w:right="345"/>
      </w:pPr>
      <w:r w:rsidRPr="00EC20A0">
        <w:t>general</w:t>
      </w:r>
      <w:r w:rsidRPr="00EC20A0">
        <w:rPr>
          <w:spacing w:val="-4"/>
        </w:rPr>
        <w:t xml:space="preserve"> </w:t>
      </w:r>
      <w:r w:rsidRPr="00EC20A0">
        <w:t>PP&amp;E</w:t>
      </w:r>
      <w:r w:rsidRPr="00EC20A0">
        <w:rPr>
          <w:spacing w:val="-4"/>
        </w:rPr>
        <w:t xml:space="preserve"> </w:t>
      </w:r>
      <w:r w:rsidRPr="00EC20A0">
        <w:t>and</w:t>
      </w:r>
      <w:r w:rsidRPr="00EC20A0">
        <w:rPr>
          <w:spacing w:val="-4"/>
        </w:rPr>
        <w:t xml:space="preserve"> </w:t>
      </w:r>
      <w:r w:rsidRPr="00EC20A0">
        <w:t>indicate</w:t>
      </w:r>
      <w:r w:rsidRPr="00EC20A0">
        <w:rPr>
          <w:spacing w:val="-4"/>
        </w:rPr>
        <w:t xml:space="preserve"> </w:t>
      </w:r>
      <w:r w:rsidRPr="00EC20A0">
        <w:t>how</w:t>
      </w:r>
      <w:r w:rsidRPr="00EC20A0">
        <w:rPr>
          <w:spacing w:val="-5"/>
        </w:rPr>
        <w:t xml:space="preserve"> </w:t>
      </w:r>
      <w:r w:rsidRPr="00EC20A0">
        <w:t>the</w:t>
      </w:r>
      <w:r w:rsidRPr="00EC20A0">
        <w:rPr>
          <w:spacing w:val="-4"/>
        </w:rPr>
        <w:t xml:space="preserve"> </w:t>
      </w:r>
      <w:r w:rsidRPr="00EC20A0">
        <w:t>designation</w:t>
      </w:r>
      <w:r w:rsidRPr="00EC20A0">
        <w:rPr>
          <w:spacing w:val="-4"/>
        </w:rPr>
        <w:t xml:space="preserve"> </w:t>
      </w:r>
      <w:r w:rsidRPr="00EC20A0">
        <w:t>of</w:t>
      </w:r>
      <w:r w:rsidRPr="00EC20A0">
        <w:rPr>
          <w:spacing w:val="-4"/>
        </w:rPr>
        <w:t xml:space="preserve"> </w:t>
      </w:r>
      <w:r w:rsidRPr="00EC20A0">
        <w:t>heritage</w:t>
      </w:r>
      <w:r w:rsidRPr="00EC20A0">
        <w:rPr>
          <w:spacing w:val="-5"/>
        </w:rPr>
        <w:t xml:space="preserve"> </w:t>
      </w:r>
      <w:r w:rsidRPr="00EC20A0">
        <w:t>assets</w:t>
      </w:r>
      <w:r w:rsidRPr="00EC20A0">
        <w:rPr>
          <w:spacing w:val="-4"/>
        </w:rPr>
        <w:t xml:space="preserve"> </w:t>
      </w:r>
      <w:r w:rsidRPr="00EC20A0">
        <w:t>and stewardship land relates to the entity’s mission.</w:t>
      </w:r>
    </w:p>
    <w:p w14:paraId="24D61BAA" w14:textId="77777777" w:rsidR="00245300" w:rsidRPr="00EC20A0" w:rsidRDefault="00F17249">
      <w:pPr>
        <w:pStyle w:val="ListParagraph"/>
        <w:numPr>
          <w:ilvl w:val="0"/>
          <w:numId w:val="83"/>
        </w:numPr>
        <w:tabs>
          <w:tab w:val="left" w:pos="1999"/>
        </w:tabs>
        <w:spacing w:before="239"/>
        <w:ind w:left="1999" w:right="427"/>
      </w:pPr>
      <w:r w:rsidRPr="00EC20A0">
        <w:t>Understand and document the entity’s procedures for identifying, categorizing, accounting for, reconciling, and reporting heritage assets and stewardship land. Note that SFFAS 29 allows the entity flexibility in designating categories by determining a meaningful level of aggregation for reporting</w:t>
      </w:r>
      <w:r w:rsidRPr="00EC20A0">
        <w:rPr>
          <w:spacing w:val="-4"/>
        </w:rPr>
        <w:t xml:space="preserve"> </w:t>
      </w:r>
      <w:r w:rsidRPr="00EC20A0">
        <w:t>and</w:t>
      </w:r>
      <w:r w:rsidRPr="00EC20A0">
        <w:rPr>
          <w:spacing w:val="-4"/>
        </w:rPr>
        <w:t xml:space="preserve"> </w:t>
      </w:r>
      <w:r w:rsidRPr="00EC20A0">
        <w:t>selecting</w:t>
      </w:r>
      <w:r w:rsidRPr="00EC20A0">
        <w:rPr>
          <w:spacing w:val="-5"/>
        </w:rPr>
        <w:t xml:space="preserve"> </w:t>
      </w:r>
      <w:r w:rsidRPr="00EC20A0">
        <w:t>physical</w:t>
      </w:r>
      <w:r w:rsidRPr="00EC20A0">
        <w:rPr>
          <w:spacing w:val="-4"/>
        </w:rPr>
        <w:t xml:space="preserve"> </w:t>
      </w:r>
      <w:r w:rsidRPr="00EC20A0">
        <w:t>units</w:t>
      </w:r>
      <w:r w:rsidRPr="00EC20A0">
        <w:rPr>
          <w:spacing w:val="-4"/>
        </w:rPr>
        <w:t xml:space="preserve"> </w:t>
      </w:r>
      <w:r w:rsidRPr="00EC20A0">
        <w:t>aligned</w:t>
      </w:r>
      <w:r w:rsidRPr="00EC20A0">
        <w:rPr>
          <w:spacing w:val="-4"/>
        </w:rPr>
        <w:t xml:space="preserve"> </w:t>
      </w:r>
      <w:r w:rsidRPr="00EC20A0">
        <w:t>with</w:t>
      </w:r>
      <w:r w:rsidRPr="00EC20A0">
        <w:rPr>
          <w:spacing w:val="-4"/>
        </w:rPr>
        <w:t xml:space="preserve"> </w:t>
      </w:r>
      <w:r w:rsidRPr="00EC20A0">
        <w:t>those</w:t>
      </w:r>
      <w:r w:rsidRPr="00EC20A0">
        <w:rPr>
          <w:spacing w:val="-4"/>
        </w:rPr>
        <w:t xml:space="preserve"> </w:t>
      </w:r>
      <w:r w:rsidRPr="00EC20A0">
        <w:t>categories</w:t>
      </w:r>
      <w:r w:rsidRPr="00EC20A0">
        <w:rPr>
          <w:spacing w:val="-4"/>
        </w:rPr>
        <w:t xml:space="preserve"> </w:t>
      </w:r>
      <w:r w:rsidRPr="00EC20A0">
        <w:t>based</w:t>
      </w:r>
      <w:r w:rsidRPr="00EC20A0">
        <w:rPr>
          <w:spacing w:val="-4"/>
        </w:rPr>
        <w:t xml:space="preserve"> </w:t>
      </w:r>
      <w:r w:rsidRPr="00EC20A0">
        <w:t xml:space="preserve">on the entity’s mission and types of heritage assets and how it manages those </w:t>
      </w:r>
      <w:r w:rsidRPr="00EC20A0">
        <w:rPr>
          <w:spacing w:val="-2"/>
        </w:rPr>
        <w:t>assets.</w:t>
      </w:r>
    </w:p>
    <w:p w14:paraId="24D61BAB" w14:textId="77777777" w:rsidR="00245300" w:rsidRPr="00EC20A0" w:rsidRDefault="00F17249">
      <w:pPr>
        <w:pStyle w:val="ListParagraph"/>
        <w:numPr>
          <w:ilvl w:val="0"/>
          <w:numId w:val="83"/>
        </w:numPr>
        <w:tabs>
          <w:tab w:val="left" w:pos="1999"/>
        </w:tabs>
        <w:spacing w:before="241"/>
        <w:ind w:left="1999" w:right="952"/>
      </w:pPr>
      <w:r w:rsidRPr="00EC20A0">
        <w:t>Understand and document the entity’s methodology for acquisition and withdrawal</w:t>
      </w:r>
      <w:r w:rsidRPr="00EC20A0">
        <w:rPr>
          <w:spacing w:val="-5"/>
        </w:rPr>
        <w:t xml:space="preserve"> </w:t>
      </w:r>
      <w:r w:rsidRPr="00EC20A0">
        <w:t>of</w:t>
      </w:r>
      <w:r w:rsidRPr="00EC20A0">
        <w:rPr>
          <w:spacing w:val="-5"/>
        </w:rPr>
        <w:t xml:space="preserve"> </w:t>
      </w:r>
      <w:r w:rsidRPr="00EC20A0">
        <w:t>heritage</w:t>
      </w:r>
      <w:r w:rsidRPr="00EC20A0">
        <w:rPr>
          <w:spacing w:val="-5"/>
        </w:rPr>
        <w:t xml:space="preserve"> </w:t>
      </w:r>
      <w:r w:rsidRPr="00EC20A0">
        <w:t>assets</w:t>
      </w:r>
      <w:r w:rsidRPr="00EC20A0">
        <w:rPr>
          <w:spacing w:val="-5"/>
        </w:rPr>
        <w:t xml:space="preserve"> </w:t>
      </w:r>
      <w:r w:rsidRPr="00EC20A0">
        <w:t>and</w:t>
      </w:r>
      <w:r w:rsidRPr="00EC20A0">
        <w:rPr>
          <w:spacing w:val="-5"/>
        </w:rPr>
        <w:t xml:space="preserve"> </w:t>
      </w:r>
      <w:r w:rsidRPr="00EC20A0">
        <w:t>stewardship</w:t>
      </w:r>
      <w:r w:rsidRPr="00EC20A0">
        <w:rPr>
          <w:spacing w:val="-5"/>
        </w:rPr>
        <w:t xml:space="preserve"> </w:t>
      </w:r>
      <w:r w:rsidRPr="00EC20A0">
        <w:t>land</w:t>
      </w:r>
      <w:r w:rsidRPr="00EC20A0">
        <w:rPr>
          <w:spacing w:val="-5"/>
        </w:rPr>
        <w:t xml:space="preserve"> </w:t>
      </w:r>
      <w:r w:rsidRPr="00EC20A0">
        <w:t>during</w:t>
      </w:r>
      <w:r w:rsidRPr="00EC20A0">
        <w:rPr>
          <w:spacing w:val="-5"/>
        </w:rPr>
        <w:t xml:space="preserve"> </w:t>
      </w:r>
      <w:r w:rsidRPr="00EC20A0">
        <w:t>the</w:t>
      </w:r>
      <w:r w:rsidRPr="00EC20A0">
        <w:rPr>
          <w:spacing w:val="-5"/>
        </w:rPr>
        <w:t xml:space="preserve"> </w:t>
      </w:r>
      <w:r w:rsidRPr="00EC20A0">
        <w:t xml:space="preserve">reporting </w:t>
      </w:r>
      <w:r w:rsidRPr="00EC20A0">
        <w:rPr>
          <w:spacing w:val="-2"/>
        </w:rPr>
        <w:t>period.</w:t>
      </w:r>
    </w:p>
    <w:p w14:paraId="24D61BAC" w14:textId="77777777" w:rsidR="00245300" w:rsidRPr="00EC20A0" w:rsidRDefault="00F17249">
      <w:pPr>
        <w:pStyle w:val="ListParagraph"/>
        <w:numPr>
          <w:ilvl w:val="0"/>
          <w:numId w:val="83"/>
        </w:numPr>
        <w:tabs>
          <w:tab w:val="left" w:pos="1999"/>
        </w:tabs>
        <w:ind w:left="1999" w:right="696"/>
      </w:pPr>
      <w:r w:rsidRPr="00EC20A0">
        <w:t>Identify and understand the impact of systems/methods for classifying, accounting</w:t>
      </w:r>
      <w:r w:rsidRPr="00EC20A0">
        <w:rPr>
          <w:spacing w:val="-5"/>
        </w:rPr>
        <w:t xml:space="preserve"> </w:t>
      </w:r>
      <w:r w:rsidRPr="00EC20A0">
        <w:t>for,</w:t>
      </w:r>
      <w:r w:rsidRPr="00EC20A0">
        <w:rPr>
          <w:spacing w:val="-5"/>
        </w:rPr>
        <w:t xml:space="preserve"> </w:t>
      </w:r>
      <w:r w:rsidRPr="00EC20A0">
        <w:t>and</w:t>
      </w:r>
      <w:r w:rsidRPr="00EC20A0">
        <w:rPr>
          <w:spacing w:val="-5"/>
        </w:rPr>
        <w:t xml:space="preserve"> </w:t>
      </w:r>
      <w:r w:rsidRPr="00EC20A0">
        <w:t>processing</w:t>
      </w:r>
      <w:r w:rsidRPr="00EC20A0">
        <w:rPr>
          <w:spacing w:val="-5"/>
        </w:rPr>
        <w:t xml:space="preserve"> </w:t>
      </w:r>
      <w:r w:rsidRPr="00EC20A0">
        <w:t>transactions</w:t>
      </w:r>
      <w:r w:rsidRPr="00EC20A0">
        <w:rPr>
          <w:spacing w:val="-5"/>
        </w:rPr>
        <w:t xml:space="preserve"> </w:t>
      </w:r>
      <w:r w:rsidRPr="00EC20A0">
        <w:t>related</w:t>
      </w:r>
      <w:r w:rsidRPr="00EC20A0">
        <w:rPr>
          <w:spacing w:val="-5"/>
        </w:rPr>
        <w:t xml:space="preserve"> </w:t>
      </w:r>
      <w:r w:rsidRPr="00EC20A0">
        <w:t>to</w:t>
      </w:r>
      <w:r w:rsidRPr="00EC20A0">
        <w:rPr>
          <w:spacing w:val="-5"/>
        </w:rPr>
        <w:t xml:space="preserve"> </w:t>
      </w:r>
      <w:r w:rsidRPr="00EC20A0">
        <w:t>heritage</w:t>
      </w:r>
      <w:r w:rsidRPr="00EC20A0">
        <w:rPr>
          <w:spacing w:val="-5"/>
        </w:rPr>
        <w:t xml:space="preserve"> </w:t>
      </w:r>
      <w:r w:rsidRPr="00EC20A0">
        <w:t>assets</w:t>
      </w:r>
      <w:r w:rsidRPr="00EC20A0">
        <w:rPr>
          <w:spacing w:val="-5"/>
        </w:rPr>
        <w:t xml:space="preserve"> </w:t>
      </w:r>
      <w:r w:rsidRPr="00EC20A0">
        <w:t>and stewardship</w:t>
      </w:r>
      <w:r w:rsidRPr="00EC20A0">
        <w:rPr>
          <w:spacing w:val="-4"/>
        </w:rPr>
        <w:t xml:space="preserve"> </w:t>
      </w:r>
      <w:r w:rsidRPr="00EC20A0">
        <w:t>land</w:t>
      </w:r>
      <w:r w:rsidRPr="00EC20A0">
        <w:rPr>
          <w:spacing w:val="-3"/>
        </w:rPr>
        <w:t xml:space="preserve"> </w:t>
      </w:r>
      <w:r w:rsidRPr="00EC20A0">
        <w:t>by</w:t>
      </w:r>
      <w:r w:rsidRPr="00EC20A0">
        <w:rPr>
          <w:spacing w:val="-3"/>
        </w:rPr>
        <w:t xml:space="preserve"> </w:t>
      </w:r>
      <w:r w:rsidRPr="00EC20A0">
        <w:t>interviewing</w:t>
      </w:r>
      <w:r w:rsidRPr="00EC20A0">
        <w:rPr>
          <w:spacing w:val="-3"/>
        </w:rPr>
        <w:t xml:space="preserve"> </w:t>
      </w:r>
      <w:r w:rsidRPr="00EC20A0">
        <w:t>the</w:t>
      </w:r>
      <w:r w:rsidRPr="00EC20A0">
        <w:rPr>
          <w:spacing w:val="-4"/>
        </w:rPr>
        <w:t xml:space="preserve"> </w:t>
      </w:r>
      <w:r w:rsidRPr="00EC20A0">
        <w:t>entity’s</w:t>
      </w:r>
      <w:r w:rsidRPr="00EC20A0">
        <w:rPr>
          <w:spacing w:val="-4"/>
        </w:rPr>
        <w:t xml:space="preserve"> </w:t>
      </w:r>
      <w:r w:rsidRPr="00EC20A0">
        <w:t>key</w:t>
      </w:r>
      <w:r w:rsidRPr="00EC20A0">
        <w:rPr>
          <w:spacing w:val="-4"/>
        </w:rPr>
        <w:t xml:space="preserve"> </w:t>
      </w:r>
      <w:r w:rsidRPr="00EC20A0">
        <w:t>personnel</w:t>
      </w:r>
      <w:r w:rsidRPr="00EC20A0">
        <w:rPr>
          <w:spacing w:val="-3"/>
        </w:rPr>
        <w:t xml:space="preserve"> </w:t>
      </w:r>
      <w:r w:rsidRPr="00EC20A0">
        <w:t>and</w:t>
      </w:r>
      <w:r w:rsidRPr="00EC20A0">
        <w:rPr>
          <w:spacing w:val="-3"/>
        </w:rPr>
        <w:t xml:space="preserve"> </w:t>
      </w:r>
      <w:r w:rsidRPr="00EC20A0">
        <w:t>identifying and understanding its systems and methods for processing transactions.</w:t>
      </w:r>
    </w:p>
    <w:p w14:paraId="24D61BAD" w14:textId="77777777" w:rsidR="00245300" w:rsidRPr="00EC20A0" w:rsidRDefault="00F17249">
      <w:pPr>
        <w:pStyle w:val="ListParagraph"/>
        <w:numPr>
          <w:ilvl w:val="0"/>
          <w:numId w:val="83"/>
        </w:numPr>
        <w:tabs>
          <w:tab w:val="left" w:pos="1999"/>
        </w:tabs>
        <w:ind w:left="1999" w:right="585"/>
      </w:pPr>
      <w:r w:rsidRPr="00EC20A0">
        <w:t>Acquire expertise related to the assets being audited (e.g., expertise in valuation</w:t>
      </w:r>
      <w:r w:rsidRPr="00EC20A0">
        <w:rPr>
          <w:spacing w:val="-4"/>
        </w:rPr>
        <w:t xml:space="preserve"> </w:t>
      </w:r>
      <w:r w:rsidRPr="00EC20A0">
        <w:t>of</w:t>
      </w:r>
      <w:r w:rsidRPr="00EC20A0">
        <w:rPr>
          <w:spacing w:val="-5"/>
        </w:rPr>
        <w:t xml:space="preserve"> </w:t>
      </w:r>
      <w:r w:rsidRPr="00EC20A0">
        <w:t>multiuse</w:t>
      </w:r>
      <w:r w:rsidRPr="00EC20A0">
        <w:rPr>
          <w:spacing w:val="-4"/>
        </w:rPr>
        <w:t xml:space="preserve"> </w:t>
      </w:r>
      <w:r w:rsidRPr="00EC20A0">
        <w:t>heritage</w:t>
      </w:r>
      <w:r w:rsidRPr="00EC20A0">
        <w:rPr>
          <w:spacing w:val="-4"/>
        </w:rPr>
        <w:t xml:space="preserve"> </w:t>
      </w:r>
      <w:r w:rsidRPr="00EC20A0">
        <w:t>assets).</w:t>
      </w:r>
      <w:r w:rsidRPr="00EC20A0">
        <w:rPr>
          <w:spacing w:val="-4"/>
        </w:rPr>
        <w:t xml:space="preserve"> </w:t>
      </w:r>
      <w:r w:rsidRPr="00EC20A0">
        <w:t>Refer</w:t>
      </w:r>
      <w:r w:rsidRPr="00EC20A0">
        <w:rPr>
          <w:spacing w:val="-4"/>
        </w:rPr>
        <w:t xml:space="preserve"> </w:t>
      </w:r>
      <w:r w:rsidRPr="00EC20A0">
        <w:t>to</w:t>
      </w:r>
      <w:r w:rsidRPr="00EC20A0">
        <w:rPr>
          <w:spacing w:val="-4"/>
        </w:rPr>
        <w:t xml:space="preserve"> </w:t>
      </w:r>
      <w:r w:rsidRPr="00EC20A0">
        <w:t>AU-C</w:t>
      </w:r>
      <w:r w:rsidRPr="00EC20A0">
        <w:rPr>
          <w:spacing w:val="-5"/>
        </w:rPr>
        <w:t xml:space="preserve"> </w:t>
      </w:r>
      <w:r w:rsidRPr="00EC20A0">
        <w:t>300.12</w:t>
      </w:r>
      <w:r w:rsidRPr="00EC20A0">
        <w:rPr>
          <w:spacing w:val="-4"/>
        </w:rPr>
        <w:t xml:space="preserve"> </w:t>
      </w:r>
      <w:r w:rsidRPr="00EC20A0">
        <w:t>and</w:t>
      </w:r>
      <w:r w:rsidRPr="00EC20A0">
        <w:rPr>
          <w:spacing w:val="-4"/>
        </w:rPr>
        <w:t xml:space="preserve"> </w:t>
      </w:r>
      <w:r w:rsidRPr="00EC20A0">
        <w:t>FAM</w:t>
      </w:r>
      <w:r w:rsidRPr="00EC20A0">
        <w:rPr>
          <w:spacing w:val="-5"/>
        </w:rPr>
        <w:t xml:space="preserve"> </w:t>
      </w:r>
      <w:r w:rsidRPr="00EC20A0">
        <w:t>620.</w:t>
      </w:r>
    </w:p>
    <w:p w14:paraId="24D61BAE" w14:textId="77777777" w:rsidR="00245300" w:rsidRPr="00EC20A0" w:rsidRDefault="00F17249">
      <w:pPr>
        <w:pStyle w:val="Heading5"/>
        <w:rPr>
          <w:u w:val="none"/>
        </w:rPr>
      </w:pPr>
      <w:bookmarkStart w:id="338" w:name="Internal_Control_Phase"/>
      <w:bookmarkEnd w:id="338"/>
      <w:r w:rsidRPr="00EC20A0">
        <w:t>Internal</w:t>
      </w:r>
      <w:r w:rsidRPr="00EC20A0">
        <w:rPr>
          <w:spacing w:val="-4"/>
        </w:rPr>
        <w:t xml:space="preserve"> </w:t>
      </w:r>
      <w:r w:rsidRPr="00EC20A0">
        <w:t>Control</w:t>
      </w:r>
      <w:r w:rsidRPr="00EC20A0">
        <w:rPr>
          <w:spacing w:val="-3"/>
        </w:rPr>
        <w:t xml:space="preserve"> </w:t>
      </w:r>
      <w:r w:rsidRPr="00EC20A0">
        <w:rPr>
          <w:spacing w:val="-2"/>
        </w:rPr>
        <w:t>Phase</w:t>
      </w:r>
    </w:p>
    <w:p w14:paraId="24D61BAF" w14:textId="77777777" w:rsidR="00245300" w:rsidRPr="00EC20A0" w:rsidRDefault="00F17249">
      <w:pPr>
        <w:pStyle w:val="ListParagraph"/>
        <w:numPr>
          <w:ilvl w:val="0"/>
          <w:numId w:val="82"/>
        </w:numPr>
        <w:tabs>
          <w:tab w:val="left" w:pos="1640"/>
        </w:tabs>
        <w:spacing w:before="238"/>
        <w:ind w:right="589"/>
      </w:pPr>
      <w:r w:rsidRPr="00EC20A0">
        <w:t xml:space="preserve">To understand the internal controls that the entity has </w:t>
      </w:r>
      <w:r w:rsidRPr="00EC20A0">
        <w:t>implemented for identifying,</w:t>
      </w:r>
      <w:r w:rsidRPr="00EC20A0">
        <w:rPr>
          <w:spacing w:val="-6"/>
        </w:rPr>
        <w:t xml:space="preserve"> </w:t>
      </w:r>
      <w:r w:rsidRPr="00EC20A0">
        <w:t>accounting</w:t>
      </w:r>
      <w:r w:rsidRPr="00EC20A0">
        <w:rPr>
          <w:spacing w:val="-4"/>
        </w:rPr>
        <w:t xml:space="preserve"> </w:t>
      </w:r>
      <w:r w:rsidRPr="00EC20A0">
        <w:t>for,</w:t>
      </w:r>
      <w:r w:rsidRPr="00EC20A0">
        <w:rPr>
          <w:spacing w:val="-5"/>
        </w:rPr>
        <w:t xml:space="preserve"> </w:t>
      </w:r>
      <w:r w:rsidRPr="00EC20A0">
        <w:t>and</w:t>
      </w:r>
      <w:r w:rsidRPr="00EC20A0">
        <w:rPr>
          <w:spacing w:val="-5"/>
        </w:rPr>
        <w:t xml:space="preserve"> </w:t>
      </w:r>
      <w:r w:rsidRPr="00EC20A0">
        <w:t>reporting</w:t>
      </w:r>
      <w:r w:rsidRPr="00EC20A0">
        <w:rPr>
          <w:spacing w:val="-5"/>
        </w:rPr>
        <w:t xml:space="preserve"> </w:t>
      </w:r>
      <w:r w:rsidRPr="00EC20A0">
        <w:t>heritage</w:t>
      </w:r>
      <w:r w:rsidRPr="00EC20A0">
        <w:rPr>
          <w:spacing w:val="-5"/>
        </w:rPr>
        <w:t xml:space="preserve"> </w:t>
      </w:r>
      <w:r w:rsidRPr="00EC20A0">
        <w:t>assets</w:t>
      </w:r>
      <w:r w:rsidRPr="00EC20A0">
        <w:rPr>
          <w:spacing w:val="-5"/>
        </w:rPr>
        <w:t xml:space="preserve"> </w:t>
      </w:r>
      <w:r w:rsidRPr="00EC20A0">
        <w:t>and</w:t>
      </w:r>
      <w:r w:rsidRPr="00EC20A0">
        <w:rPr>
          <w:spacing w:val="-5"/>
        </w:rPr>
        <w:t xml:space="preserve"> </w:t>
      </w:r>
      <w:r w:rsidRPr="00EC20A0">
        <w:t>stewardship</w:t>
      </w:r>
      <w:r w:rsidRPr="00EC20A0">
        <w:rPr>
          <w:spacing w:val="-5"/>
        </w:rPr>
        <w:t xml:space="preserve"> </w:t>
      </w:r>
      <w:r w:rsidRPr="00EC20A0">
        <w:t>land, the auditor may take the following actions:</w:t>
      </w:r>
    </w:p>
    <w:p w14:paraId="24D61BB0" w14:textId="77777777" w:rsidR="00245300" w:rsidRPr="00EC20A0" w:rsidRDefault="00F17249">
      <w:pPr>
        <w:pStyle w:val="ListParagraph"/>
        <w:numPr>
          <w:ilvl w:val="1"/>
          <w:numId w:val="82"/>
        </w:numPr>
        <w:tabs>
          <w:tab w:val="left" w:pos="1998"/>
          <w:tab w:val="left" w:pos="2000"/>
        </w:tabs>
        <w:spacing w:before="121"/>
        <w:ind w:right="586" w:hanging="361"/>
      </w:pPr>
      <w:r w:rsidRPr="00EC20A0">
        <w:t>Determine,</w:t>
      </w:r>
      <w:r w:rsidRPr="00EC20A0">
        <w:rPr>
          <w:spacing w:val="-6"/>
        </w:rPr>
        <w:t xml:space="preserve"> </w:t>
      </w:r>
      <w:r w:rsidRPr="00EC20A0">
        <w:t>through</w:t>
      </w:r>
      <w:r w:rsidRPr="00EC20A0">
        <w:rPr>
          <w:spacing w:val="-6"/>
        </w:rPr>
        <w:t xml:space="preserve"> </w:t>
      </w:r>
      <w:r w:rsidRPr="00EC20A0">
        <w:t>inquiries</w:t>
      </w:r>
      <w:r w:rsidRPr="00EC20A0">
        <w:rPr>
          <w:spacing w:val="-5"/>
        </w:rPr>
        <w:t xml:space="preserve"> </w:t>
      </w:r>
      <w:r w:rsidRPr="00EC20A0">
        <w:t>of</w:t>
      </w:r>
      <w:r w:rsidRPr="00EC20A0">
        <w:rPr>
          <w:spacing w:val="-6"/>
        </w:rPr>
        <w:t xml:space="preserve"> </w:t>
      </w:r>
      <w:r w:rsidRPr="00EC20A0">
        <w:t>management,</w:t>
      </w:r>
      <w:r w:rsidRPr="00EC20A0">
        <w:rPr>
          <w:spacing w:val="-6"/>
        </w:rPr>
        <w:t xml:space="preserve"> </w:t>
      </w:r>
      <w:r w:rsidRPr="00EC20A0">
        <w:t>walk-throughs,</w:t>
      </w:r>
      <w:r w:rsidRPr="00EC20A0">
        <w:rPr>
          <w:spacing w:val="-6"/>
        </w:rPr>
        <w:t xml:space="preserve"> </w:t>
      </w:r>
      <w:r w:rsidRPr="00EC20A0">
        <w:t>inspections</w:t>
      </w:r>
      <w:r w:rsidRPr="00EC20A0">
        <w:rPr>
          <w:spacing w:val="-7"/>
        </w:rPr>
        <w:t xml:space="preserve"> </w:t>
      </w:r>
      <w:r w:rsidRPr="00EC20A0">
        <w:t xml:space="preserve">of documents, reviews of prior years’ </w:t>
      </w:r>
      <w:r w:rsidRPr="00EC20A0">
        <w:t>documentation, and other means applicable to the entity, the entity’s process for identifying, classifying, and reporting heritage assets and stewardship land, specifically, the following:</w:t>
      </w:r>
    </w:p>
    <w:p w14:paraId="24D61BB1" w14:textId="77777777" w:rsidR="00245300" w:rsidRPr="00EC20A0" w:rsidRDefault="00F17249">
      <w:pPr>
        <w:pStyle w:val="ListParagraph"/>
        <w:numPr>
          <w:ilvl w:val="2"/>
          <w:numId w:val="82"/>
        </w:numPr>
        <w:tabs>
          <w:tab w:val="left" w:pos="2360"/>
        </w:tabs>
        <w:spacing w:before="239"/>
        <w:ind w:right="409"/>
      </w:pPr>
      <w:r w:rsidRPr="00EC20A0">
        <w:t>Whether the entity has an authorization process and the related control procedures</w:t>
      </w:r>
      <w:r w:rsidRPr="00EC20A0">
        <w:rPr>
          <w:spacing w:val="-5"/>
        </w:rPr>
        <w:t xml:space="preserve"> </w:t>
      </w:r>
      <w:r w:rsidRPr="00EC20A0">
        <w:t>for</w:t>
      </w:r>
      <w:r w:rsidRPr="00EC20A0">
        <w:rPr>
          <w:spacing w:val="-5"/>
        </w:rPr>
        <w:t xml:space="preserve"> </w:t>
      </w:r>
      <w:r w:rsidRPr="00EC20A0">
        <w:t>acquisition</w:t>
      </w:r>
      <w:r w:rsidRPr="00EC20A0">
        <w:rPr>
          <w:spacing w:val="-5"/>
        </w:rPr>
        <w:t xml:space="preserve"> </w:t>
      </w:r>
      <w:r w:rsidRPr="00EC20A0">
        <w:t>and</w:t>
      </w:r>
      <w:r w:rsidRPr="00EC20A0">
        <w:rPr>
          <w:spacing w:val="-5"/>
        </w:rPr>
        <w:t xml:space="preserve"> </w:t>
      </w:r>
      <w:r w:rsidRPr="00EC20A0">
        <w:t>withdrawal</w:t>
      </w:r>
      <w:r w:rsidRPr="00EC20A0">
        <w:rPr>
          <w:spacing w:val="-5"/>
        </w:rPr>
        <w:t xml:space="preserve"> </w:t>
      </w:r>
      <w:r w:rsidRPr="00EC20A0">
        <w:t>transactions</w:t>
      </w:r>
      <w:r w:rsidRPr="00EC20A0">
        <w:rPr>
          <w:spacing w:val="-5"/>
        </w:rPr>
        <w:t xml:space="preserve"> </w:t>
      </w:r>
      <w:r w:rsidRPr="00EC20A0">
        <w:t>related</w:t>
      </w:r>
      <w:r w:rsidRPr="00EC20A0">
        <w:rPr>
          <w:spacing w:val="-5"/>
        </w:rPr>
        <w:t xml:space="preserve"> </w:t>
      </w:r>
      <w:r w:rsidRPr="00EC20A0">
        <w:t>to</w:t>
      </w:r>
      <w:r w:rsidRPr="00EC20A0">
        <w:rPr>
          <w:spacing w:val="-5"/>
        </w:rPr>
        <w:t xml:space="preserve"> </w:t>
      </w:r>
      <w:r w:rsidRPr="00EC20A0">
        <w:t>heritage assets and stewardship land.</w:t>
      </w:r>
    </w:p>
    <w:p w14:paraId="24D61BB2" w14:textId="77777777" w:rsidR="00245300" w:rsidRPr="00EC20A0" w:rsidRDefault="00F17249">
      <w:pPr>
        <w:pStyle w:val="ListParagraph"/>
        <w:numPr>
          <w:ilvl w:val="2"/>
          <w:numId w:val="82"/>
        </w:numPr>
        <w:tabs>
          <w:tab w:val="left" w:pos="2360"/>
        </w:tabs>
        <w:spacing w:before="238"/>
        <w:ind w:right="360"/>
      </w:pPr>
      <w:r w:rsidRPr="00EC20A0">
        <w:t>How the entity has instituted a consistent methodology for categorizing heritage</w:t>
      </w:r>
      <w:r w:rsidRPr="00EC20A0">
        <w:rPr>
          <w:spacing w:val="-4"/>
        </w:rPr>
        <w:t xml:space="preserve"> </w:t>
      </w:r>
      <w:r w:rsidRPr="00EC20A0">
        <w:t>assets</w:t>
      </w:r>
      <w:r w:rsidRPr="00EC20A0">
        <w:rPr>
          <w:spacing w:val="-4"/>
        </w:rPr>
        <w:t xml:space="preserve"> </w:t>
      </w:r>
      <w:r w:rsidRPr="00EC20A0">
        <w:t>and</w:t>
      </w:r>
      <w:r w:rsidRPr="00EC20A0">
        <w:rPr>
          <w:spacing w:val="-4"/>
        </w:rPr>
        <w:t xml:space="preserve"> </w:t>
      </w:r>
      <w:r w:rsidRPr="00EC20A0">
        <w:t>stewardship</w:t>
      </w:r>
      <w:r w:rsidRPr="00EC20A0">
        <w:rPr>
          <w:spacing w:val="-4"/>
        </w:rPr>
        <w:t xml:space="preserve"> </w:t>
      </w:r>
      <w:r w:rsidRPr="00EC20A0">
        <w:t>land</w:t>
      </w:r>
      <w:r w:rsidRPr="00EC20A0">
        <w:rPr>
          <w:spacing w:val="-4"/>
        </w:rPr>
        <w:t xml:space="preserve"> </w:t>
      </w:r>
      <w:r w:rsidRPr="00EC20A0">
        <w:t>based</w:t>
      </w:r>
      <w:r w:rsidRPr="00EC20A0">
        <w:rPr>
          <w:spacing w:val="-4"/>
        </w:rPr>
        <w:t xml:space="preserve"> </w:t>
      </w:r>
      <w:r w:rsidRPr="00EC20A0">
        <w:t>on</w:t>
      </w:r>
      <w:r w:rsidRPr="00EC20A0">
        <w:rPr>
          <w:spacing w:val="-5"/>
        </w:rPr>
        <w:t xml:space="preserve"> </w:t>
      </w:r>
      <w:r w:rsidRPr="00EC20A0">
        <w:t>the</w:t>
      </w:r>
      <w:r w:rsidRPr="00EC20A0">
        <w:rPr>
          <w:spacing w:val="-4"/>
        </w:rPr>
        <w:t xml:space="preserve"> </w:t>
      </w:r>
      <w:r w:rsidRPr="00EC20A0">
        <w:t>entity’s</w:t>
      </w:r>
      <w:r w:rsidRPr="00EC20A0">
        <w:rPr>
          <w:spacing w:val="-5"/>
        </w:rPr>
        <w:t xml:space="preserve"> </w:t>
      </w:r>
      <w:r w:rsidRPr="00EC20A0">
        <w:t>mission</w:t>
      </w:r>
      <w:r w:rsidRPr="00EC20A0">
        <w:rPr>
          <w:spacing w:val="-4"/>
        </w:rPr>
        <w:t xml:space="preserve"> </w:t>
      </w:r>
      <w:r w:rsidRPr="00EC20A0">
        <w:t>and</w:t>
      </w:r>
      <w:r w:rsidRPr="00EC20A0">
        <w:rPr>
          <w:spacing w:val="-5"/>
        </w:rPr>
        <w:t xml:space="preserve"> </w:t>
      </w:r>
      <w:r w:rsidRPr="00EC20A0">
        <w:t xml:space="preserve">in </w:t>
      </w:r>
      <w:r w:rsidRPr="00EC20A0">
        <w:t>accordance with SFFAS 29.</w:t>
      </w:r>
    </w:p>
    <w:p w14:paraId="24D61BB3" w14:textId="77777777" w:rsidR="00245300" w:rsidRPr="00EC20A0" w:rsidRDefault="00F17249">
      <w:pPr>
        <w:pStyle w:val="ListParagraph"/>
        <w:numPr>
          <w:ilvl w:val="2"/>
          <w:numId w:val="82"/>
        </w:numPr>
        <w:tabs>
          <w:tab w:val="left" w:pos="2360"/>
        </w:tabs>
        <w:spacing w:before="239"/>
        <w:ind w:right="555"/>
      </w:pPr>
      <w:r w:rsidRPr="00EC20A0">
        <w:t>How the entity records acquisitions and withdrawal transactions in the financial</w:t>
      </w:r>
      <w:r w:rsidRPr="00EC20A0">
        <w:rPr>
          <w:spacing w:val="-6"/>
        </w:rPr>
        <w:t xml:space="preserve"> </w:t>
      </w:r>
      <w:r w:rsidRPr="00EC20A0">
        <w:t>management</w:t>
      </w:r>
      <w:r w:rsidRPr="00EC20A0">
        <w:rPr>
          <w:spacing w:val="-6"/>
        </w:rPr>
        <w:t xml:space="preserve"> </w:t>
      </w:r>
      <w:r w:rsidRPr="00EC20A0">
        <w:t>system</w:t>
      </w:r>
      <w:r w:rsidRPr="00EC20A0">
        <w:rPr>
          <w:spacing w:val="-7"/>
        </w:rPr>
        <w:t xml:space="preserve"> </w:t>
      </w:r>
      <w:r w:rsidRPr="00EC20A0">
        <w:t>and</w:t>
      </w:r>
      <w:r w:rsidRPr="00EC20A0">
        <w:rPr>
          <w:spacing w:val="-6"/>
        </w:rPr>
        <w:t xml:space="preserve"> </w:t>
      </w:r>
      <w:r w:rsidRPr="00EC20A0">
        <w:t>performs</w:t>
      </w:r>
      <w:r w:rsidRPr="00EC20A0">
        <w:rPr>
          <w:spacing w:val="-6"/>
        </w:rPr>
        <w:t xml:space="preserve"> </w:t>
      </w:r>
      <w:r w:rsidRPr="00EC20A0">
        <w:t>reconciliations</w:t>
      </w:r>
      <w:r w:rsidRPr="00EC20A0">
        <w:rPr>
          <w:spacing w:val="-7"/>
        </w:rPr>
        <w:t xml:space="preserve"> </w:t>
      </w:r>
      <w:r w:rsidRPr="00EC20A0">
        <w:t>between</w:t>
      </w:r>
      <w:r w:rsidRPr="00EC20A0">
        <w:rPr>
          <w:spacing w:val="-6"/>
        </w:rPr>
        <w:t xml:space="preserve"> </w:t>
      </w:r>
      <w:r w:rsidRPr="00EC20A0">
        <w:t>the financial management system and the asset accountability system. In accordance with SFFAS 29, costs related to the acquisition, improvement, reconstruction, and renovation of heritage assets/stewardship land are recognized in the statement of net cost for the period in which the costs are incurred. These include all costs incurred to prepare the item for its intended use.</w:t>
      </w:r>
    </w:p>
    <w:p w14:paraId="24D61BB4" w14:textId="77777777" w:rsidR="00245300" w:rsidRPr="00EC20A0" w:rsidRDefault="00245300">
      <w:pPr>
        <w:sectPr w:rsidR="00245300" w:rsidRPr="00EC20A0">
          <w:pgSz w:w="12240" w:h="15840"/>
          <w:pgMar w:top="1340" w:right="1100" w:bottom="940" w:left="1240" w:header="721" w:footer="757" w:gutter="0"/>
          <w:cols w:space="720"/>
        </w:sectPr>
      </w:pPr>
    </w:p>
    <w:p w14:paraId="24D61BB5" w14:textId="77777777" w:rsidR="00245300" w:rsidRPr="00EC20A0" w:rsidRDefault="00F17249">
      <w:pPr>
        <w:pStyle w:val="ListParagraph"/>
        <w:numPr>
          <w:ilvl w:val="2"/>
          <w:numId w:val="82"/>
        </w:numPr>
        <w:tabs>
          <w:tab w:val="left" w:pos="2359"/>
        </w:tabs>
        <w:spacing w:before="121"/>
        <w:ind w:left="2359" w:right="593"/>
      </w:pPr>
      <w:r w:rsidRPr="00EC20A0">
        <w:t>Whether the entity maintains transaction logs or detailed records of transactions</w:t>
      </w:r>
      <w:r w:rsidRPr="00EC20A0">
        <w:rPr>
          <w:spacing w:val="-5"/>
        </w:rPr>
        <w:t xml:space="preserve"> </w:t>
      </w:r>
      <w:r w:rsidRPr="00EC20A0">
        <w:t>to</w:t>
      </w:r>
      <w:r w:rsidRPr="00EC20A0">
        <w:rPr>
          <w:spacing w:val="-5"/>
        </w:rPr>
        <w:t xml:space="preserve"> </w:t>
      </w:r>
      <w:r w:rsidRPr="00EC20A0">
        <w:t>facilitate</w:t>
      </w:r>
      <w:r w:rsidRPr="00EC20A0">
        <w:rPr>
          <w:spacing w:val="-5"/>
        </w:rPr>
        <w:t xml:space="preserve"> </w:t>
      </w:r>
      <w:r w:rsidRPr="00EC20A0">
        <w:t>the</w:t>
      </w:r>
      <w:r w:rsidRPr="00EC20A0">
        <w:rPr>
          <w:spacing w:val="-5"/>
        </w:rPr>
        <w:t xml:space="preserve"> </w:t>
      </w:r>
      <w:r w:rsidRPr="00EC20A0">
        <w:t>reconciliation</w:t>
      </w:r>
      <w:r w:rsidRPr="00EC20A0">
        <w:rPr>
          <w:spacing w:val="-5"/>
        </w:rPr>
        <w:t xml:space="preserve"> </w:t>
      </w:r>
      <w:r w:rsidRPr="00EC20A0">
        <w:t>process</w:t>
      </w:r>
      <w:r w:rsidRPr="00EC20A0">
        <w:rPr>
          <w:spacing w:val="-5"/>
        </w:rPr>
        <w:t xml:space="preserve"> </w:t>
      </w:r>
      <w:r w:rsidRPr="00EC20A0">
        <w:t>and</w:t>
      </w:r>
      <w:r w:rsidRPr="00EC20A0">
        <w:rPr>
          <w:spacing w:val="-5"/>
        </w:rPr>
        <w:t xml:space="preserve"> </w:t>
      </w:r>
      <w:r w:rsidRPr="00EC20A0">
        <w:t>whether</w:t>
      </w:r>
      <w:r w:rsidRPr="00EC20A0">
        <w:rPr>
          <w:spacing w:val="-5"/>
        </w:rPr>
        <w:t xml:space="preserve"> </w:t>
      </w:r>
      <w:r w:rsidRPr="00EC20A0">
        <w:t>the</w:t>
      </w:r>
      <w:r w:rsidRPr="00EC20A0">
        <w:rPr>
          <w:spacing w:val="-5"/>
        </w:rPr>
        <w:t xml:space="preserve"> </w:t>
      </w:r>
      <w:r w:rsidRPr="00EC20A0">
        <w:t>logs include sufficient information to enable identification and location of supporting documentation.</w:t>
      </w:r>
    </w:p>
    <w:p w14:paraId="24D61BB6" w14:textId="77777777" w:rsidR="00245300" w:rsidRPr="00EC20A0" w:rsidRDefault="00F17249">
      <w:pPr>
        <w:pStyle w:val="ListParagraph"/>
        <w:numPr>
          <w:ilvl w:val="2"/>
          <w:numId w:val="82"/>
        </w:numPr>
        <w:tabs>
          <w:tab w:val="left" w:pos="2359"/>
        </w:tabs>
        <w:spacing w:before="238"/>
        <w:ind w:left="2359" w:right="824"/>
      </w:pPr>
      <w:r w:rsidRPr="00EC20A0">
        <w:t>How</w:t>
      </w:r>
      <w:r w:rsidRPr="00EC20A0">
        <w:rPr>
          <w:spacing w:val="-5"/>
        </w:rPr>
        <w:t xml:space="preserve"> </w:t>
      </w:r>
      <w:r w:rsidRPr="00EC20A0">
        <w:t>the</w:t>
      </w:r>
      <w:r w:rsidRPr="00EC20A0">
        <w:rPr>
          <w:spacing w:val="-4"/>
        </w:rPr>
        <w:t xml:space="preserve"> </w:t>
      </w:r>
      <w:r w:rsidRPr="00EC20A0">
        <w:t>entity</w:t>
      </w:r>
      <w:r w:rsidRPr="00EC20A0">
        <w:rPr>
          <w:spacing w:val="-4"/>
        </w:rPr>
        <w:t xml:space="preserve"> </w:t>
      </w:r>
      <w:r w:rsidRPr="00EC20A0">
        <w:t>classifies</w:t>
      </w:r>
      <w:r w:rsidRPr="00EC20A0">
        <w:rPr>
          <w:spacing w:val="-5"/>
        </w:rPr>
        <w:t xml:space="preserve"> </w:t>
      </w:r>
      <w:r w:rsidRPr="00EC20A0">
        <w:t>and</w:t>
      </w:r>
      <w:r w:rsidRPr="00EC20A0">
        <w:rPr>
          <w:spacing w:val="-4"/>
        </w:rPr>
        <w:t xml:space="preserve"> </w:t>
      </w:r>
      <w:r w:rsidRPr="00EC20A0">
        <w:t>records</w:t>
      </w:r>
      <w:r w:rsidRPr="00EC20A0">
        <w:rPr>
          <w:spacing w:val="-5"/>
        </w:rPr>
        <w:t xml:space="preserve"> </w:t>
      </w:r>
      <w:r w:rsidRPr="00EC20A0">
        <w:t>transfers</w:t>
      </w:r>
      <w:r w:rsidRPr="00EC20A0">
        <w:rPr>
          <w:spacing w:val="-3"/>
        </w:rPr>
        <w:t xml:space="preserve"> </w:t>
      </w:r>
      <w:r w:rsidRPr="00EC20A0">
        <w:t>of</w:t>
      </w:r>
      <w:r w:rsidRPr="00EC20A0">
        <w:rPr>
          <w:spacing w:val="-5"/>
        </w:rPr>
        <w:t xml:space="preserve"> </w:t>
      </w:r>
      <w:r w:rsidRPr="00EC20A0">
        <w:t>heritage</w:t>
      </w:r>
      <w:r w:rsidRPr="00EC20A0">
        <w:rPr>
          <w:spacing w:val="-4"/>
        </w:rPr>
        <w:t xml:space="preserve"> </w:t>
      </w:r>
      <w:r w:rsidRPr="00EC20A0">
        <w:t>assets</w:t>
      </w:r>
      <w:r w:rsidRPr="00EC20A0">
        <w:rPr>
          <w:spacing w:val="-4"/>
        </w:rPr>
        <w:t xml:space="preserve"> </w:t>
      </w:r>
      <w:r w:rsidRPr="00EC20A0">
        <w:t>and stewardship land to/from other federal entities.</w:t>
      </w:r>
    </w:p>
    <w:p w14:paraId="24D61BB7" w14:textId="77777777" w:rsidR="00245300" w:rsidRPr="00EC20A0" w:rsidRDefault="00F17249">
      <w:pPr>
        <w:pStyle w:val="ListParagraph"/>
        <w:numPr>
          <w:ilvl w:val="2"/>
          <w:numId w:val="82"/>
        </w:numPr>
        <w:tabs>
          <w:tab w:val="left" w:pos="2360"/>
        </w:tabs>
        <w:spacing w:before="239"/>
        <w:ind w:right="842" w:hanging="361"/>
      </w:pPr>
      <w:r w:rsidRPr="00EC20A0">
        <w:t>How</w:t>
      </w:r>
      <w:r w:rsidRPr="00EC20A0">
        <w:rPr>
          <w:spacing w:val="-4"/>
        </w:rPr>
        <w:t xml:space="preserve"> </w:t>
      </w:r>
      <w:r w:rsidRPr="00EC20A0">
        <w:t>the</w:t>
      </w:r>
      <w:r w:rsidRPr="00EC20A0">
        <w:rPr>
          <w:spacing w:val="-3"/>
        </w:rPr>
        <w:t xml:space="preserve"> </w:t>
      </w:r>
      <w:r w:rsidRPr="00EC20A0">
        <w:t>entity</w:t>
      </w:r>
      <w:r w:rsidRPr="00EC20A0">
        <w:rPr>
          <w:spacing w:val="-3"/>
        </w:rPr>
        <w:t xml:space="preserve"> </w:t>
      </w:r>
      <w:r w:rsidRPr="00EC20A0">
        <w:t>classifies</w:t>
      </w:r>
      <w:r w:rsidRPr="00EC20A0">
        <w:rPr>
          <w:spacing w:val="-4"/>
        </w:rPr>
        <w:t xml:space="preserve"> </w:t>
      </w:r>
      <w:r w:rsidRPr="00EC20A0">
        <w:t>and</w:t>
      </w:r>
      <w:r w:rsidRPr="00EC20A0">
        <w:rPr>
          <w:spacing w:val="-3"/>
        </w:rPr>
        <w:t xml:space="preserve"> </w:t>
      </w:r>
      <w:r w:rsidRPr="00EC20A0">
        <w:t>records</w:t>
      </w:r>
      <w:r w:rsidRPr="00EC20A0">
        <w:rPr>
          <w:spacing w:val="-4"/>
        </w:rPr>
        <w:t xml:space="preserve"> </w:t>
      </w:r>
      <w:r w:rsidRPr="00EC20A0">
        <w:t>donation</w:t>
      </w:r>
      <w:r w:rsidRPr="00EC20A0">
        <w:rPr>
          <w:spacing w:val="-3"/>
        </w:rPr>
        <w:t xml:space="preserve"> </w:t>
      </w:r>
      <w:r w:rsidRPr="00EC20A0">
        <w:t>or</w:t>
      </w:r>
      <w:r w:rsidRPr="00EC20A0">
        <w:rPr>
          <w:spacing w:val="-5"/>
        </w:rPr>
        <w:t xml:space="preserve"> </w:t>
      </w:r>
      <w:r w:rsidRPr="00EC20A0">
        <w:t>devise</w:t>
      </w:r>
      <w:hyperlink w:anchor="_bookmark194" w:history="1">
        <w:r w:rsidRPr="00EC20A0">
          <w:rPr>
            <w:position w:val="7"/>
            <w:sz w:val="14"/>
          </w:rPr>
          <w:t>37</w:t>
        </w:r>
      </w:hyperlink>
      <w:r w:rsidRPr="00EC20A0">
        <w:rPr>
          <w:spacing w:val="18"/>
          <w:position w:val="7"/>
          <w:sz w:val="14"/>
        </w:rPr>
        <w:t xml:space="preserve"> </w:t>
      </w:r>
      <w:r w:rsidRPr="00EC20A0">
        <w:t>of</w:t>
      </w:r>
      <w:r w:rsidRPr="00EC20A0">
        <w:rPr>
          <w:spacing w:val="-3"/>
        </w:rPr>
        <w:t xml:space="preserve"> </w:t>
      </w:r>
      <w:r w:rsidRPr="00EC20A0">
        <w:t>heritage assets and stewardship land.</w:t>
      </w:r>
    </w:p>
    <w:p w14:paraId="24D61BB8" w14:textId="77777777" w:rsidR="00245300" w:rsidRPr="00EC20A0" w:rsidRDefault="00F17249">
      <w:pPr>
        <w:pStyle w:val="ListParagraph"/>
        <w:numPr>
          <w:ilvl w:val="2"/>
          <w:numId w:val="82"/>
        </w:numPr>
        <w:tabs>
          <w:tab w:val="left" w:pos="2360"/>
        </w:tabs>
        <w:spacing w:before="238"/>
        <w:ind w:right="798"/>
      </w:pPr>
      <w:r w:rsidRPr="00EC20A0">
        <w:t>Whether</w:t>
      </w:r>
      <w:r w:rsidRPr="00EC20A0">
        <w:rPr>
          <w:spacing w:val="-5"/>
        </w:rPr>
        <w:t xml:space="preserve"> </w:t>
      </w:r>
      <w:r w:rsidRPr="00EC20A0">
        <w:t>the</w:t>
      </w:r>
      <w:r w:rsidRPr="00EC20A0">
        <w:rPr>
          <w:spacing w:val="-5"/>
        </w:rPr>
        <w:t xml:space="preserve"> </w:t>
      </w:r>
      <w:r w:rsidRPr="00EC20A0">
        <w:t>entity</w:t>
      </w:r>
      <w:r w:rsidRPr="00EC20A0">
        <w:rPr>
          <w:spacing w:val="-5"/>
        </w:rPr>
        <w:t xml:space="preserve"> </w:t>
      </w:r>
      <w:r w:rsidRPr="00EC20A0">
        <w:t>implements</w:t>
      </w:r>
      <w:r w:rsidRPr="00EC20A0">
        <w:rPr>
          <w:spacing w:val="-5"/>
        </w:rPr>
        <w:t xml:space="preserve"> </w:t>
      </w:r>
      <w:r w:rsidRPr="00EC20A0">
        <w:t>internal</w:t>
      </w:r>
      <w:r w:rsidRPr="00EC20A0">
        <w:rPr>
          <w:spacing w:val="-5"/>
        </w:rPr>
        <w:t xml:space="preserve"> </w:t>
      </w:r>
      <w:r w:rsidRPr="00EC20A0">
        <w:t>control</w:t>
      </w:r>
      <w:r w:rsidRPr="00EC20A0">
        <w:rPr>
          <w:spacing w:val="-5"/>
        </w:rPr>
        <w:t xml:space="preserve"> </w:t>
      </w:r>
      <w:r w:rsidRPr="00EC20A0">
        <w:t>to</w:t>
      </w:r>
      <w:r w:rsidRPr="00EC20A0">
        <w:rPr>
          <w:spacing w:val="-6"/>
        </w:rPr>
        <w:t xml:space="preserve"> </w:t>
      </w:r>
      <w:r w:rsidRPr="00EC20A0">
        <w:t>safeguard</w:t>
      </w:r>
      <w:r w:rsidRPr="00EC20A0">
        <w:rPr>
          <w:spacing w:val="-5"/>
        </w:rPr>
        <w:t xml:space="preserve"> </w:t>
      </w:r>
      <w:r w:rsidRPr="00EC20A0">
        <w:t>collection type heritage assets.</w:t>
      </w:r>
    </w:p>
    <w:p w14:paraId="24D61BB9" w14:textId="77777777" w:rsidR="00245300" w:rsidRPr="00EC20A0" w:rsidRDefault="00F17249">
      <w:pPr>
        <w:pStyle w:val="ListParagraph"/>
        <w:numPr>
          <w:ilvl w:val="2"/>
          <w:numId w:val="82"/>
        </w:numPr>
        <w:tabs>
          <w:tab w:val="left" w:pos="2360"/>
        </w:tabs>
        <w:spacing w:before="238"/>
        <w:ind w:right="712"/>
      </w:pPr>
      <w:r w:rsidRPr="00EC20A0">
        <w:t>Whether</w:t>
      </w:r>
      <w:r w:rsidRPr="00EC20A0">
        <w:rPr>
          <w:spacing w:val="-5"/>
        </w:rPr>
        <w:t xml:space="preserve"> </w:t>
      </w:r>
      <w:r w:rsidRPr="00EC20A0">
        <w:t>the</w:t>
      </w:r>
      <w:r w:rsidRPr="00EC20A0">
        <w:rPr>
          <w:spacing w:val="-5"/>
        </w:rPr>
        <w:t xml:space="preserve"> </w:t>
      </w:r>
      <w:r w:rsidRPr="00EC20A0">
        <w:t>entity</w:t>
      </w:r>
      <w:r w:rsidRPr="00EC20A0">
        <w:rPr>
          <w:spacing w:val="-5"/>
        </w:rPr>
        <w:t xml:space="preserve"> </w:t>
      </w:r>
      <w:r w:rsidRPr="00EC20A0">
        <w:t>separates</w:t>
      </w:r>
      <w:r w:rsidRPr="00EC20A0">
        <w:rPr>
          <w:spacing w:val="-5"/>
        </w:rPr>
        <w:t xml:space="preserve"> </w:t>
      </w:r>
      <w:r w:rsidRPr="00EC20A0">
        <w:t>and</w:t>
      </w:r>
      <w:r w:rsidRPr="00EC20A0">
        <w:rPr>
          <w:spacing w:val="-5"/>
        </w:rPr>
        <w:t xml:space="preserve"> </w:t>
      </w:r>
      <w:r w:rsidRPr="00EC20A0">
        <w:t>capitalizes</w:t>
      </w:r>
      <w:r w:rsidRPr="00EC20A0">
        <w:rPr>
          <w:spacing w:val="-5"/>
        </w:rPr>
        <w:t xml:space="preserve"> </w:t>
      </w:r>
      <w:r w:rsidRPr="00EC20A0">
        <w:t>multiuse</w:t>
      </w:r>
      <w:r w:rsidRPr="00EC20A0">
        <w:rPr>
          <w:spacing w:val="-5"/>
        </w:rPr>
        <w:t xml:space="preserve"> </w:t>
      </w:r>
      <w:r w:rsidRPr="00EC20A0">
        <w:t>heritage</w:t>
      </w:r>
      <w:r w:rsidRPr="00EC20A0">
        <w:rPr>
          <w:spacing w:val="-5"/>
        </w:rPr>
        <w:t xml:space="preserve"> </w:t>
      </w:r>
      <w:r w:rsidRPr="00EC20A0">
        <w:t>assets. The cost of acquisition, improvement, reconstruction, or renovation of multiuse heritage assets should be capitalized as general PP&amp;E and depreciated over its useful life.</w:t>
      </w:r>
    </w:p>
    <w:p w14:paraId="24D61BBA" w14:textId="77777777" w:rsidR="00245300" w:rsidRPr="00EC20A0" w:rsidRDefault="00F17249">
      <w:pPr>
        <w:pStyle w:val="ListParagraph"/>
        <w:numPr>
          <w:ilvl w:val="2"/>
          <w:numId w:val="82"/>
        </w:numPr>
        <w:tabs>
          <w:tab w:val="left" w:pos="2359"/>
        </w:tabs>
        <w:spacing w:before="237"/>
        <w:ind w:left="2359" w:right="676"/>
      </w:pPr>
      <w:r w:rsidRPr="00EC20A0">
        <w:t xml:space="preserve">Whether and how the entity conducts periodic physical </w:t>
      </w:r>
      <w:r w:rsidRPr="00EC20A0">
        <w:t>inventories designed to verify the existence, location, and condition of all property listed</w:t>
      </w:r>
      <w:r w:rsidRPr="00EC20A0">
        <w:rPr>
          <w:spacing w:val="-4"/>
        </w:rPr>
        <w:t xml:space="preserve"> </w:t>
      </w:r>
      <w:r w:rsidRPr="00EC20A0">
        <w:t>in</w:t>
      </w:r>
      <w:r w:rsidRPr="00EC20A0">
        <w:rPr>
          <w:spacing w:val="-5"/>
        </w:rPr>
        <w:t xml:space="preserve"> </w:t>
      </w:r>
      <w:r w:rsidRPr="00EC20A0">
        <w:t>the</w:t>
      </w:r>
      <w:r w:rsidRPr="00EC20A0">
        <w:rPr>
          <w:spacing w:val="-5"/>
        </w:rPr>
        <w:t xml:space="preserve"> </w:t>
      </w:r>
      <w:r w:rsidRPr="00EC20A0">
        <w:t>accounts</w:t>
      </w:r>
      <w:r w:rsidRPr="00EC20A0">
        <w:rPr>
          <w:spacing w:val="-4"/>
        </w:rPr>
        <w:t xml:space="preserve"> </w:t>
      </w:r>
      <w:r w:rsidRPr="00EC20A0">
        <w:t>and</w:t>
      </w:r>
      <w:r w:rsidRPr="00EC20A0">
        <w:rPr>
          <w:spacing w:val="-4"/>
        </w:rPr>
        <w:t xml:space="preserve"> </w:t>
      </w:r>
      <w:r w:rsidRPr="00EC20A0">
        <w:t>to</w:t>
      </w:r>
      <w:r w:rsidRPr="00EC20A0">
        <w:rPr>
          <w:spacing w:val="-4"/>
        </w:rPr>
        <w:t xml:space="preserve"> </w:t>
      </w:r>
      <w:r w:rsidRPr="00EC20A0">
        <w:t>verify</w:t>
      </w:r>
      <w:r w:rsidRPr="00EC20A0">
        <w:rPr>
          <w:spacing w:val="-4"/>
        </w:rPr>
        <w:t xml:space="preserve"> </w:t>
      </w:r>
      <w:r w:rsidRPr="00EC20A0">
        <w:t>the</w:t>
      </w:r>
      <w:r w:rsidRPr="00EC20A0">
        <w:rPr>
          <w:spacing w:val="-4"/>
        </w:rPr>
        <w:t xml:space="preserve"> </w:t>
      </w:r>
      <w:r w:rsidRPr="00EC20A0">
        <w:t>completeness</w:t>
      </w:r>
      <w:r w:rsidRPr="00EC20A0">
        <w:rPr>
          <w:spacing w:val="-4"/>
        </w:rPr>
        <w:t xml:space="preserve"> </w:t>
      </w:r>
      <w:r w:rsidRPr="00EC20A0">
        <w:t>of</w:t>
      </w:r>
      <w:r w:rsidRPr="00EC20A0">
        <w:rPr>
          <w:spacing w:val="-4"/>
        </w:rPr>
        <w:t xml:space="preserve"> </w:t>
      </w:r>
      <w:r w:rsidRPr="00EC20A0">
        <w:t>recorded</w:t>
      </w:r>
      <w:r w:rsidRPr="00EC20A0">
        <w:rPr>
          <w:spacing w:val="-4"/>
        </w:rPr>
        <w:t xml:space="preserve"> </w:t>
      </w:r>
      <w:r w:rsidRPr="00EC20A0">
        <w:t>units.</w:t>
      </w:r>
    </w:p>
    <w:p w14:paraId="24D61BBB" w14:textId="77777777" w:rsidR="00245300" w:rsidRPr="00EC20A0" w:rsidRDefault="00F17249">
      <w:pPr>
        <w:pStyle w:val="ListParagraph"/>
        <w:numPr>
          <w:ilvl w:val="1"/>
          <w:numId w:val="82"/>
        </w:numPr>
        <w:tabs>
          <w:tab w:val="left" w:pos="1997"/>
          <w:tab w:val="left" w:pos="1999"/>
        </w:tabs>
        <w:spacing w:before="119"/>
        <w:ind w:left="1999" w:right="659" w:hanging="361"/>
      </w:pPr>
      <w:r w:rsidRPr="00EC20A0">
        <w:t>Prepare</w:t>
      </w:r>
      <w:r w:rsidRPr="00EC20A0">
        <w:rPr>
          <w:spacing w:val="-4"/>
        </w:rPr>
        <w:t xml:space="preserve"> </w:t>
      </w:r>
      <w:r w:rsidRPr="00EC20A0">
        <w:t>or</w:t>
      </w:r>
      <w:r w:rsidRPr="00EC20A0">
        <w:rPr>
          <w:spacing w:val="-4"/>
        </w:rPr>
        <w:t xml:space="preserve"> </w:t>
      </w:r>
      <w:r w:rsidRPr="00EC20A0">
        <w:t>update</w:t>
      </w:r>
      <w:r w:rsidRPr="00EC20A0">
        <w:rPr>
          <w:spacing w:val="-4"/>
        </w:rPr>
        <w:t xml:space="preserve"> </w:t>
      </w:r>
      <w:r w:rsidRPr="00EC20A0">
        <w:t>the</w:t>
      </w:r>
      <w:r w:rsidRPr="00EC20A0">
        <w:rPr>
          <w:spacing w:val="-4"/>
        </w:rPr>
        <w:t xml:space="preserve"> </w:t>
      </w:r>
      <w:r w:rsidRPr="00EC20A0">
        <w:t>cycle</w:t>
      </w:r>
      <w:r w:rsidRPr="00EC20A0">
        <w:rPr>
          <w:spacing w:val="-4"/>
        </w:rPr>
        <w:t xml:space="preserve"> </w:t>
      </w:r>
      <w:r w:rsidRPr="00EC20A0">
        <w:t>memorandum,</w:t>
      </w:r>
      <w:r w:rsidRPr="00EC20A0">
        <w:rPr>
          <w:spacing w:val="-4"/>
        </w:rPr>
        <w:t xml:space="preserve"> </w:t>
      </w:r>
      <w:r w:rsidRPr="00EC20A0">
        <w:t>flowchart,</w:t>
      </w:r>
      <w:r w:rsidRPr="00EC20A0">
        <w:rPr>
          <w:spacing w:val="-4"/>
        </w:rPr>
        <w:t xml:space="preserve"> </w:t>
      </w:r>
      <w:r w:rsidRPr="00EC20A0">
        <w:t>LIRA</w:t>
      </w:r>
      <w:r w:rsidRPr="00EC20A0">
        <w:rPr>
          <w:spacing w:val="-3"/>
        </w:rPr>
        <w:t xml:space="preserve"> </w:t>
      </w:r>
      <w:r w:rsidRPr="00EC20A0">
        <w:t>form,</w:t>
      </w:r>
      <w:r w:rsidRPr="00EC20A0">
        <w:rPr>
          <w:spacing w:val="-4"/>
        </w:rPr>
        <w:t xml:space="preserve"> </w:t>
      </w:r>
      <w:r w:rsidRPr="00EC20A0">
        <w:t>and</w:t>
      </w:r>
      <w:r w:rsidRPr="00EC20A0">
        <w:rPr>
          <w:spacing w:val="-4"/>
        </w:rPr>
        <w:t xml:space="preserve"> </w:t>
      </w:r>
      <w:r w:rsidRPr="00EC20A0">
        <w:t xml:space="preserve">SCE worksheet (see FAM 390, </w:t>
      </w:r>
      <w:r w:rsidRPr="00EC20A0">
        <w:t>FAM 395 H, and FAM 395 G).</w:t>
      </w:r>
    </w:p>
    <w:p w14:paraId="24D61BBC" w14:textId="77777777" w:rsidR="00245300" w:rsidRPr="00EC20A0" w:rsidRDefault="00F17249">
      <w:pPr>
        <w:pStyle w:val="Heading5"/>
        <w:spacing w:before="242"/>
        <w:rPr>
          <w:u w:val="none"/>
        </w:rPr>
      </w:pPr>
      <w:bookmarkStart w:id="339" w:name="Testing_Phase"/>
      <w:bookmarkEnd w:id="339"/>
      <w:r w:rsidRPr="00EC20A0">
        <w:t>Testing</w:t>
      </w:r>
      <w:r w:rsidRPr="00EC20A0">
        <w:rPr>
          <w:spacing w:val="-2"/>
        </w:rPr>
        <w:t xml:space="preserve"> Phase</w:t>
      </w:r>
    </w:p>
    <w:p w14:paraId="24D61BBD" w14:textId="77777777" w:rsidR="00245300" w:rsidRPr="00EC20A0" w:rsidRDefault="00F17249">
      <w:pPr>
        <w:pStyle w:val="ListParagraph"/>
        <w:numPr>
          <w:ilvl w:val="0"/>
          <w:numId w:val="82"/>
        </w:numPr>
        <w:tabs>
          <w:tab w:val="left" w:pos="1640"/>
        </w:tabs>
        <w:spacing w:before="238"/>
        <w:ind w:right="519"/>
      </w:pPr>
      <w:r w:rsidRPr="00EC20A0">
        <w:t>For</w:t>
      </w:r>
      <w:r w:rsidRPr="00EC20A0">
        <w:rPr>
          <w:spacing w:val="-4"/>
        </w:rPr>
        <w:t xml:space="preserve"> </w:t>
      </w:r>
      <w:r w:rsidRPr="00EC20A0">
        <w:t>heritage</w:t>
      </w:r>
      <w:r w:rsidRPr="00EC20A0">
        <w:rPr>
          <w:spacing w:val="-5"/>
        </w:rPr>
        <w:t xml:space="preserve"> </w:t>
      </w:r>
      <w:r w:rsidRPr="00EC20A0">
        <w:t>assets</w:t>
      </w:r>
      <w:r w:rsidRPr="00EC20A0">
        <w:rPr>
          <w:spacing w:val="-4"/>
        </w:rPr>
        <w:t xml:space="preserve"> </w:t>
      </w:r>
      <w:r w:rsidRPr="00EC20A0">
        <w:t>and</w:t>
      </w:r>
      <w:r w:rsidRPr="00EC20A0">
        <w:rPr>
          <w:spacing w:val="-5"/>
        </w:rPr>
        <w:t xml:space="preserve"> </w:t>
      </w:r>
      <w:r w:rsidRPr="00EC20A0">
        <w:t>stewardship</w:t>
      </w:r>
      <w:r w:rsidRPr="00EC20A0">
        <w:rPr>
          <w:spacing w:val="-5"/>
        </w:rPr>
        <w:t xml:space="preserve"> </w:t>
      </w:r>
      <w:r w:rsidRPr="00EC20A0">
        <w:t>land,</w:t>
      </w:r>
      <w:r w:rsidRPr="00EC20A0">
        <w:rPr>
          <w:spacing w:val="-4"/>
        </w:rPr>
        <w:t xml:space="preserve"> </w:t>
      </w:r>
      <w:r w:rsidRPr="00EC20A0">
        <w:t>if</w:t>
      </w:r>
      <w:r w:rsidRPr="00EC20A0">
        <w:rPr>
          <w:spacing w:val="-4"/>
        </w:rPr>
        <w:t xml:space="preserve"> </w:t>
      </w:r>
      <w:r w:rsidRPr="00EC20A0">
        <w:t>the</w:t>
      </w:r>
      <w:r w:rsidRPr="00EC20A0">
        <w:rPr>
          <w:spacing w:val="-5"/>
        </w:rPr>
        <w:t xml:space="preserve"> </w:t>
      </w:r>
      <w:r w:rsidRPr="00EC20A0">
        <w:t>auditor</w:t>
      </w:r>
      <w:r w:rsidRPr="00EC20A0">
        <w:rPr>
          <w:spacing w:val="-4"/>
        </w:rPr>
        <w:t xml:space="preserve"> </w:t>
      </w:r>
      <w:r w:rsidRPr="00EC20A0">
        <w:t>preliminarily</w:t>
      </w:r>
      <w:r w:rsidRPr="00EC20A0">
        <w:rPr>
          <w:spacing w:val="-4"/>
        </w:rPr>
        <w:t xml:space="preserve"> </w:t>
      </w:r>
      <w:r w:rsidRPr="00EC20A0">
        <w:t xml:space="preserve">determines that the entity’s internal controls are designed and implemented effectively, the auditor should test the operating effectiveness of such controls and perform substantive procedures. The audit objectives for substantive procedures are as </w:t>
      </w:r>
      <w:r w:rsidRPr="00EC20A0">
        <w:rPr>
          <w:spacing w:val="-2"/>
        </w:rPr>
        <w:t>follows:</w:t>
      </w:r>
    </w:p>
    <w:p w14:paraId="24D61BBE" w14:textId="77777777" w:rsidR="00245300" w:rsidRPr="00EC20A0" w:rsidRDefault="00F17249">
      <w:pPr>
        <w:pStyle w:val="ListParagraph"/>
        <w:numPr>
          <w:ilvl w:val="1"/>
          <w:numId w:val="82"/>
        </w:numPr>
        <w:tabs>
          <w:tab w:val="left" w:pos="1999"/>
        </w:tabs>
        <w:spacing w:before="241"/>
        <w:ind w:left="1999" w:hanging="359"/>
      </w:pPr>
      <w:r w:rsidRPr="00EC20A0">
        <w:t>Determine</w:t>
      </w:r>
      <w:r w:rsidRPr="00EC20A0">
        <w:rPr>
          <w:spacing w:val="-8"/>
        </w:rPr>
        <w:t xml:space="preserve"> </w:t>
      </w:r>
      <w:r w:rsidRPr="00EC20A0">
        <w:t>the</w:t>
      </w:r>
      <w:r w:rsidRPr="00EC20A0">
        <w:rPr>
          <w:spacing w:val="-8"/>
        </w:rPr>
        <w:t xml:space="preserve"> </w:t>
      </w:r>
      <w:r w:rsidRPr="00EC20A0">
        <w:t>existence</w:t>
      </w:r>
      <w:r w:rsidRPr="00EC20A0">
        <w:rPr>
          <w:spacing w:val="-8"/>
        </w:rPr>
        <w:t xml:space="preserve"> </w:t>
      </w:r>
      <w:r w:rsidRPr="00EC20A0">
        <w:t>of</w:t>
      </w:r>
      <w:r w:rsidRPr="00EC20A0">
        <w:rPr>
          <w:spacing w:val="-8"/>
        </w:rPr>
        <w:t xml:space="preserve"> </w:t>
      </w:r>
      <w:r w:rsidRPr="00EC20A0">
        <w:t>recorded</w:t>
      </w:r>
      <w:r w:rsidRPr="00EC20A0">
        <w:rPr>
          <w:spacing w:val="-8"/>
        </w:rPr>
        <w:t xml:space="preserve"> </w:t>
      </w:r>
      <w:r w:rsidRPr="00EC20A0">
        <w:t>heritage</w:t>
      </w:r>
      <w:r w:rsidRPr="00EC20A0">
        <w:rPr>
          <w:spacing w:val="-8"/>
        </w:rPr>
        <w:t xml:space="preserve"> </w:t>
      </w:r>
      <w:r w:rsidRPr="00EC20A0">
        <w:t>assets</w:t>
      </w:r>
      <w:r w:rsidRPr="00EC20A0">
        <w:rPr>
          <w:spacing w:val="-8"/>
        </w:rPr>
        <w:t xml:space="preserve"> </w:t>
      </w:r>
      <w:r w:rsidRPr="00EC20A0">
        <w:t>and</w:t>
      </w:r>
      <w:r w:rsidRPr="00EC20A0">
        <w:rPr>
          <w:spacing w:val="-8"/>
        </w:rPr>
        <w:t xml:space="preserve"> </w:t>
      </w:r>
      <w:r w:rsidRPr="00EC20A0">
        <w:t>stewardship</w:t>
      </w:r>
      <w:r w:rsidRPr="00EC20A0">
        <w:rPr>
          <w:spacing w:val="-8"/>
        </w:rPr>
        <w:t xml:space="preserve"> </w:t>
      </w:r>
      <w:r w:rsidRPr="00EC20A0">
        <w:rPr>
          <w:spacing w:val="-2"/>
        </w:rPr>
        <w:t>land.</w:t>
      </w:r>
    </w:p>
    <w:p w14:paraId="24D61BBF" w14:textId="77777777" w:rsidR="00245300" w:rsidRPr="00EC20A0" w:rsidRDefault="00F17249">
      <w:pPr>
        <w:pStyle w:val="ListParagraph"/>
        <w:numPr>
          <w:ilvl w:val="1"/>
          <w:numId w:val="82"/>
        </w:numPr>
        <w:tabs>
          <w:tab w:val="left" w:pos="1999"/>
        </w:tabs>
        <w:spacing w:before="239"/>
        <w:ind w:left="1999" w:right="706"/>
      </w:pPr>
      <w:r w:rsidRPr="00EC20A0">
        <w:t>Determine</w:t>
      </w:r>
      <w:r w:rsidRPr="00EC20A0">
        <w:rPr>
          <w:spacing w:val="-5"/>
        </w:rPr>
        <w:t xml:space="preserve"> </w:t>
      </w:r>
      <w:r w:rsidRPr="00EC20A0">
        <w:t>the</w:t>
      </w:r>
      <w:r w:rsidRPr="00EC20A0">
        <w:rPr>
          <w:spacing w:val="-5"/>
        </w:rPr>
        <w:t xml:space="preserve"> </w:t>
      </w:r>
      <w:r w:rsidRPr="00EC20A0">
        <w:t>completeness</w:t>
      </w:r>
      <w:r w:rsidRPr="00EC20A0">
        <w:rPr>
          <w:spacing w:val="-5"/>
        </w:rPr>
        <w:t xml:space="preserve"> </w:t>
      </w:r>
      <w:r w:rsidRPr="00EC20A0">
        <w:t>of</w:t>
      </w:r>
      <w:r w:rsidRPr="00EC20A0">
        <w:rPr>
          <w:spacing w:val="-5"/>
        </w:rPr>
        <w:t xml:space="preserve"> </w:t>
      </w:r>
      <w:r w:rsidRPr="00EC20A0">
        <w:t>recorded</w:t>
      </w:r>
      <w:r w:rsidRPr="00EC20A0">
        <w:rPr>
          <w:spacing w:val="-5"/>
        </w:rPr>
        <w:t xml:space="preserve"> </w:t>
      </w:r>
      <w:r w:rsidRPr="00EC20A0">
        <w:t>heritage</w:t>
      </w:r>
      <w:r w:rsidRPr="00EC20A0">
        <w:rPr>
          <w:spacing w:val="-5"/>
        </w:rPr>
        <w:t xml:space="preserve"> </w:t>
      </w:r>
      <w:r w:rsidRPr="00EC20A0">
        <w:t>assets</w:t>
      </w:r>
      <w:r w:rsidRPr="00EC20A0">
        <w:rPr>
          <w:spacing w:val="-5"/>
        </w:rPr>
        <w:t xml:space="preserve"> </w:t>
      </w:r>
      <w:r w:rsidRPr="00EC20A0">
        <w:t>and</w:t>
      </w:r>
      <w:r w:rsidRPr="00EC20A0">
        <w:rPr>
          <w:spacing w:val="-5"/>
        </w:rPr>
        <w:t xml:space="preserve"> </w:t>
      </w:r>
      <w:r w:rsidRPr="00EC20A0">
        <w:t xml:space="preserve">stewardship </w:t>
      </w:r>
      <w:r w:rsidRPr="00EC20A0">
        <w:rPr>
          <w:spacing w:val="-2"/>
        </w:rPr>
        <w:t>land.</w:t>
      </w:r>
    </w:p>
    <w:p w14:paraId="24D61BC0" w14:textId="77777777" w:rsidR="00245300" w:rsidRPr="00EC20A0" w:rsidRDefault="00F17249">
      <w:pPr>
        <w:pStyle w:val="ListParagraph"/>
        <w:numPr>
          <w:ilvl w:val="1"/>
          <w:numId w:val="82"/>
        </w:numPr>
        <w:tabs>
          <w:tab w:val="left" w:pos="1999"/>
        </w:tabs>
        <w:ind w:left="1999" w:right="732"/>
      </w:pPr>
      <w:r w:rsidRPr="00EC20A0">
        <w:t>Determine</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ownership</w:t>
      </w:r>
      <w:r w:rsidRPr="00EC20A0">
        <w:rPr>
          <w:spacing w:val="-4"/>
        </w:rPr>
        <w:t xml:space="preserve"> </w:t>
      </w:r>
      <w:r w:rsidRPr="00EC20A0">
        <w:t>rights</w:t>
      </w:r>
      <w:r w:rsidRPr="00EC20A0">
        <w:rPr>
          <w:spacing w:val="-4"/>
        </w:rPr>
        <w:t xml:space="preserve"> </w:t>
      </w:r>
      <w:r w:rsidRPr="00EC20A0">
        <w:t>to</w:t>
      </w:r>
      <w:r w:rsidRPr="00EC20A0">
        <w:rPr>
          <w:spacing w:val="-4"/>
        </w:rPr>
        <w:t xml:space="preserve"> </w:t>
      </w:r>
      <w:r w:rsidRPr="00EC20A0">
        <w:t>record</w:t>
      </w:r>
      <w:r w:rsidRPr="00EC20A0">
        <w:rPr>
          <w:spacing w:val="-5"/>
        </w:rPr>
        <w:t xml:space="preserve"> </w:t>
      </w:r>
      <w:r w:rsidRPr="00EC20A0">
        <w:t>these</w:t>
      </w:r>
      <w:r w:rsidRPr="00EC20A0">
        <w:rPr>
          <w:spacing w:val="-4"/>
        </w:rPr>
        <w:t xml:space="preserve"> </w:t>
      </w:r>
      <w:r w:rsidRPr="00EC20A0">
        <w:t>assets</w:t>
      </w:r>
      <w:r w:rsidRPr="00EC20A0">
        <w:rPr>
          <w:spacing w:val="-4"/>
        </w:rPr>
        <w:t xml:space="preserve"> </w:t>
      </w:r>
      <w:r w:rsidRPr="00EC20A0">
        <w:t>as</w:t>
      </w:r>
      <w:r w:rsidRPr="00EC20A0">
        <w:rPr>
          <w:spacing w:val="-4"/>
        </w:rPr>
        <w:t xml:space="preserve"> </w:t>
      </w:r>
      <w:r w:rsidRPr="00EC20A0">
        <w:t>heritage assets and stewardship land in accordance with SFFAS 29.</w:t>
      </w:r>
    </w:p>
    <w:p w14:paraId="24D61BC1" w14:textId="77777777" w:rsidR="00245300" w:rsidRPr="00EC20A0" w:rsidRDefault="00F17249">
      <w:pPr>
        <w:pStyle w:val="ListParagraph"/>
        <w:numPr>
          <w:ilvl w:val="1"/>
          <w:numId w:val="82"/>
        </w:numPr>
        <w:tabs>
          <w:tab w:val="left" w:pos="1999"/>
        </w:tabs>
        <w:spacing w:before="241"/>
        <w:ind w:left="1999" w:hanging="359"/>
      </w:pPr>
      <w:r w:rsidRPr="00EC20A0">
        <w:t>Determine</w:t>
      </w:r>
      <w:r w:rsidRPr="00EC20A0">
        <w:rPr>
          <w:spacing w:val="-7"/>
        </w:rPr>
        <w:t xml:space="preserve"> </w:t>
      </w:r>
      <w:r w:rsidRPr="00EC20A0">
        <w:t>the</w:t>
      </w:r>
      <w:r w:rsidRPr="00EC20A0">
        <w:rPr>
          <w:spacing w:val="-7"/>
        </w:rPr>
        <w:t xml:space="preserve"> </w:t>
      </w:r>
      <w:r w:rsidRPr="00EC20A0">
        <w:t>clerical</w:t>
      </w:r>
      <w:r w:rsidRPr="00EC20A0">
        <w:rPr>
          <w:spacing w:val="-7"/>
        </w:rPr>
        <w:t xml:space="preserve"> </w:t>
      </w:r>
      <w:r w:rsidRPr="00EC20A0">
        <w:t>accuracy</w:t>
      </w:r>
      <w:r w:rsidRPr="00EC20A0">
        <w:rPr>
          <w:spacing w:val="-6"/>
        </w:rPr>
        <w:t xml:space="preserve"> </w:t>
      </w:r>
      <w:r w:rsidRPr="00EC20A0">
        <w:t>of</w:t>
      </w:r>
      <w:r w:rsidRPr="00EC20A0">
        <w:rPr>
          <w:spacing w:val="-7"/>
        </w:rPr>
        <w:t xml:space="preserve"> </w:t>
      </w:r>
      <w:r w:rsidRPr="00EC20A0">
        <w:t>unit</w:t>
      </w:r>
      <w:r w:rsidRPr="00EC20A0">
        <w:rPr>
          <w:spacing w:val="-7"/>
        </w:rPr>
        <w:t xml:space="preserve"> </w:t>
      </w:r>
      <w:r w:rsidRPr="00EC20A0">
        <w:t>schedules</w:t>
      </w:r>
      <w:r w:rsidRPr="00EC20A0">
        <w:rPr>
          <w:spacing w:val="-7"/>
        </w:rPr>
        <w:t xml:space="preserve"> </w:t>
      </w:r>
      <w:r w:rsidRPr="00EC20A0">
        <w:t>for</w:t>
      </w:r>
      <w:r w:rsidRPr="00EC20A0">
        <w:rPr>
          <w:spacing w:val="-6"/>
        </w:rPr>
        <w:t xml:space="preserve"> </w:t>
      </w:r>
      <w:r w:rsidRPr="00EC20A0">
        <w:t>additions</w:t>
      </w:r>
      <w:r w:rsidRPr="00EC20A0">
        <w:rPr>
          <w:spacing w:val="-7"/>
        </w:rPr>
        <w:t xml:space="preserve"> </w:t>
      </w:r>
      <w:r w:rsidRPr="00EC20A0">
        <w:t>and</w:t>
      </w:r>
      <w:r w:rsidRPr="00EC20A0">
        <w:rPr>
          <w:spacing w:val="-7"/>
        </w:rPr>
        <w:t xml:space="preserve"> </w:t>
      </w:r>
      <w:r w:rsidRPr="00EC20A0">
        <w:rPr>
          <w:spacing w:val="-2"/>
        </w:rPr>
        <w:t>deletions.</w:t>
      </w:r>
    </w:p>
    <w:p w14:paraId="24D61BC2" w14:textId="77777777" w:rsidR="00245300" w:rsidRPr="00EC20A0" w:rsidRDefault="00F17249">
      <w:pPr>
        <w:pStyle w:val="ListParagraph"/>
        <w:numPr>
          <w:ilvl w:val="1"/>
          <w:numId w:val="82"/>
        </w:numPr>
        <w:tabs>
          <w:tab w:val="left" w:pos="1999"/>
        </w:tabs>
        <w:spacing w:before="239"/>
        <w:ind w:left="1999" w:right="513"/>
      </w:pPr>
      <w:r w:rsidRPr="00EC20A0">
        <w:t xml:space="preserve">Determine that the </w:t>
      </w:r>
      <w:r w:rsidRPr="00EC20A0">
        <w:t>aggregation and categorizations of physical units are in accordance with guidelines established in SFFAS 29. For example, the Department</w:t>
      </w:r>
      <w:r w:rsidRPr="00EC20A0">
        <w:rPr>
          <w:spacing w:val="-3"/>
        </w:rPr>
        <w:t xml:space="preserve"> </w:t>
      </w:r>
      <w:r w:rsidRPr="00EC20A0">
        <w:t>of</w:t>
      </w:r>
      <w:r w:rsidRPr="00EC20A0">
        <w:rPr>
          <w:spacing w:val="-4"/>
        </w:rPr>
        <w:t xml:space="preserve"> </w:t>
      </w:r>
      <w:r w:rsidRPr="00EC20A0">
        <w:t>the</w:t>
      </w:r>
      <w:r w:rsidRPr="00EC20A0">
        <w:rPr>
          <w:spacing w:val="-4"/>
        </w:rPr>
        <w:t xml:space="preserve"> </w:t>
      </w:r>
      <w:r w:rsidRPr="00EC20A0">
        <w:t>Interior</w:t>
      </w:r>
      <w:r w:rsidRPr="00EC20A0">
        <w:rPr>
          <w:spacing w:val="-4"/>
        </w:rPr>
        <w:t xml:space="preserve"> </w:t>
      </w:r>
      <w:r w:rsidRPr="00EC20A0">
        <w:t>has</w:t>
      </w:r>
      <w:r w:rsidRPr="00EC20A0">
        <w:rPr>
          <w:spacing w:val="-4"/>
        </w:rPr>
        <w:t xml:space="preserve"> </w:t>
      </w:r>
      <w:r w:rsidRPr="00EC20A0">
        <w:t>reported</w:t>
      </w:r>
      <w:r w:rsidRPr="00EC20A0">
        <w:rPr>
          <w:spacing w:val="-4"/>
        </w:rPr>
        <w:t xml:space="preserve"> </w:t>
      </w:r>
      <w:r w:rsidRPr="00EC20A0">
        <w:t>the</w:t>
      </w:r>
      <w:r w:rsidRPr="00EC20A0">
        <w:rPr>
          <w:spacing w:val="-4"/>
        </w:rPr>
        <w:t xml:space="preserve"> </w:t>
      </w:r>
      <w:r w:rsidRPr="00EC20A0">
        <w:t>number</w:t>
      </w:r>
      <w:r w:rsidRPr="00EC20A0">
        <w:rPr>
          <w:spacing w:val="-4"/>
        </w:rPr>
        <w:t xml:space="preserve"> </w:t>
      </w:r>
      <w:r w:rsidRPr="00EC20A0">
        <w:t>of</w:t>
      </w:r>
      <w:r w:rsidRPr="00EC20A0">
        <w:rPr>
          <w:spacing w:val="-4"/>
        </w:rPr>
        <w:t xml:space="preserve"> </w:t>
      </w:r>
      <w:r w:rsidRPr="00EC20A0">
        <w:t>federal</w:t>
      </w:r>
      <w:r w:rsidRPr="00EC20A0">
        <w:rPr>
          <w:spacing w:val="-5"/>
        </w:rPr>
        <w:t xml:space="preserve"> </w:t>
      </w:r>
      <w:r w:rsidRPr="00EC20A0">
        <w:t>parks,</w:t>
      </w:r>
      <w:r w:rsidRPr="00EC20A0">
        <w:rPr>
          <w:spacing w:val="-4"/>
        </w:rPr>
        <w:t xml:space="preserve"> </w:t>
      </w:r>
      <w:r w:rsidRPr="00EC20A0">
        <w:t>instead of the number of acres those parks comprise, as physical units.</w:t>
      </w:r>
    </w:p>
    <w:p w14:paraId="24D61BC3" w14:textId="77777777" w:rsidR="00245300" w:rsidRPr="00EC20A0" w:rsidRDefault="00245300">
      <w:pPr>
        <w:pStyle w:val="BodyText"/>
        <w:rPr>
          <w:sz w:val="20"/>
        </w:rPr>
      </w:pPr>
    </w:p>
    <w:p w14:paraId="24D61BC4" w14:textId="77777777" w:rsidR="00245300" w:rsidRPr="00EC20A0" w:rsidRDefault="00F17249">
      <w:pPr>
        <w:pStyle w:val="BodyText"/>
        <w:spacing w:before="179"/>
        <w:rPr>
          <w:sz w:val="20"/>
        </w:rPr>
      </w:pPr>
      <w:r w:rsidRPr="00EC20A0">
        <w:rPr>
          <w:noProof/>
        </w:rPr>
        <mc:AlternateContent>
          <mc:Choice Requires="wps">
            <w:drawing>
              <wp:anchor distT="0" distB="0" distL="0" distR="0" simplePos="0" relativeHeight="487716864" behindDoc="1" locked="0" layoutInCell="1" allowOverlap="1" wp14:anchorId="24D62CAD" wp14:editId="24D62CAE">
                <wp:simplePos x="0" y="0"/>
                <wp:positionH relativeFrom="page">
                  <wp:posOffset>914400</wp:posOffset>
                </wp:positionH>
                <wp:positionV relativeFrom="paragraph">
                  <wp:posOffset>275282</wp:posOffset>
                </wp:positionV>
                <wp:extent cx="1828800" cy="5715"/>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4469E" id="Graphic 873" o:spid="_x0000_s1026" style="position:absolute;margin-left:1in;margin-top:21.7pt;width:2in;height:.45pt;z-index:-1559961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" path="m1828800,l,,,5333r1828800,l1828800,xe" fillcolor="black" stroked="f">
                <v:path arrowok="t"/>
                <w10:wrap type="topAndBottom" anchorx="page"/>
              </v:shape>
            </w:pict>
          </mc:Fallback>
        </mc:AlternateContent>
      </w:r>
    </w:p>
    <w:p w14:paraId="24D61BC5" w14:textId="77777777" w:rsidR="00245300" w:rsidRPr="00EC20A0" w:rsidRDefault="00F17249">
      <w:pPr>
        <w:spacing w:before="200"/>
        <w:ind w:left="200"/>
        <w:rPr>
          <w:sz w:val="18"/>
        </w:rPr>
      </w:pPr>
      <w:bookmarkStart w:id="340" w:name="_bookmark194"/>
      <w:bookmarkEnd w:id="340"/>
      <w:r w:rsidRPr="00EC20A0">
        <w:rPr>
          <w:position w:val="7"/>
          <w:sz w:val="14"/>
        </w:rPr>
        <w:t>37</w:t>
      </w:r>
      <w:r w:rsidRPr="00EC20A0">
        <w:rPr>
          <w:sz w:val="18"/>
        </w:rPr>
        <w:t>A</w:t>
      </w:r>
      <w:r w:rsidRPr="00EC20A0">
        <w:rPr>
          <w:spacing w:val="-2"/>
          <w:sz w:val="18"/>
        </w:rPr>
        <w:t xml:space="preserve"> </w:t>
      </w:r>
      <w:r w:rsidRPr="00EC20A0">
        <w:rPr>
          <w:sz w:val="18"/>
        </w:rPr>
        <w:t>will</w:t>
      </w:r>
      <w:r w:rsidRPr="00EC20A0">
        <w:rPr>
          <w:spacing w:val="-2"/>
          <w:sz w:val="18"/>
        </w:rPr>
        <w:t xml:space="preserve"> </w:t>
      </w:r>
      <w:r w:rsidRPr="00EC20A0">
        <w:rPr>
          <w:sz w:val="18"/>
        </w:rPr>
        <w:t>or</w:t>
      </w:r>
      <w:r w:rsidRPr="00EC20A0">
        <w:rPr>
          <w:spacing w:val="-2"/>
          <w:sz w:val="18"/>
        </w:rPr>
        <w:t xml:space="preserve"> </w:t>
      </w:r>
      <w:r w:rsidRPr="00EC20A0">
        <w:rPr>
          <w:sz w:val="18"/>
        </w:rPr>
        <w:t>clause</w:t>
      </w:r>
      <w:r w:rsidRPr="00EC20A0">
        <w:rPr>
          <w:spacing w:val="-1"/>
          <w:sz w:val="18"/>
        </w:rPr>
        <w:t xml:space="preserve"> </w:t>
      </w:r>
      <w:r w:rsidRPr="00EC20A0">
        <w:rPr>
          <w:sz w:val="18"/>
        </w:rPr>
        <w:t>of</w:t>
      </w:r>
      <w:r w:rsidRPr="00EC20A0">
        <w:rPr>
          <w:spacing w:val="-2"/>
          <w:sz w:val="18"/>
        </w:rPr>
        <w:t xml:space="preserve"> </w:t>
      </w:r>
      <w:r w:rsidRPr="00EC20A0">
        <w:rPr>
          <w:sz w:val="18"/>
        </w:rPr>
        <w:t>a</w:t>
      </w:r>
      <w:r w:rsidRPr="00EC20A0">
        <w:rPr>
          <w:spacing w:val="-3"/>
          <w:sz w:val="18"/>
        </w:rPr>
        <w:t xml:space="preserve"> </w:t>
      </w:r>
      <w:r w:rsidRPr="00EC20A0">
        <w:rPr>
          <w:sz w:val="18"/>
        </w:rPr>
        <w:t>will</w:t>
      </w:r>
      <w:r w:rsidRPr="00EC20A0">
        <w:rPr>
          <w:spacing w:val="-2"/>
          <w:sz w:val="18"/>
        </w:rPr>
        <w:t xml:space="preserve"> </w:t>
      </w:r>
      <w:r w:rsidRPr="00EC20A0">
        <w:rPr>
          <w:sz w:val="18"/>
        </w:rPr>
        <w:t>disposing</w:t>
      </w:r>
      <w:r w:rsidRPr="00EC20A0">
        <w:rPr>
          <w:spacing w:val="-3"/>
          <w:sz w:val="18"/>
        </w:rPr>
        <w:t xml:space="preserve"> </w:t>
      </w:r>
      <w:r w:rsidRPr="00EC20A0">
        <w:rPr>
          <w:sz w:val="18"/>
        </w:rPr>
        <w:t>of</w:t>
      </w:r>
      <w:r w:rsidRPr="00EC20A0">
        <w:rPr>
          <w:spacing w:val="-1"/>
          <w:sz w:val="18"/>
        </w:rPr>
        <w:t xml:space="preserve"> </w:t>
      </w:r>
      <w:r w:rsidRPr="00EC20A0">
        <w:rPr>
          <w:spacing w:val="-2"/>
          <w:sz w:val="18"/>
        </w:rPr>
        <w:t>property.</w:t>
      </w:r>
    </w:p>
    <w:p w14:paraId="24D61BC6" w14:textId="77777777" w:rsidR="00245300" w:rsidRPr="00EC20A0" w:rsidRDefault="00245300">
      <w:pPr>
        <w:rPr>
          <w:sz w:val="18"/>
        </w:rPr>
        <w:sectPr w:rsidR="00245300" w:rsidRPr="00EC20A0">
          <w:pgSz w:w="12240" w:h="15840"/>
          <w:pgMar w:top="1340" w:right="1100" w:bottom="940" w:left="1240" w:header="721" w:footer="757" w:gutter="0"/>
          <w:cols w:space="720"/>
        </w:sectPr>
      </w:pPr>
    </w:p>
    <w:p w14:paraId="24D61BC7" w14:textId="77777777" w:rsidR="00245300" w:rsidRPr="00EC20A0" w:rsidRDefault="00F17249">
      <w:pPr>
        <w:pStyle w:val="ListParagraph"/>
        <w:numPr>
          <w:ilvl w:val="1"/>
          <w:numId w:val="82"/>
        </w:numPr>
        <w:tabs>
          <w:tab w:val="left" w:pos="1999"/>
        </w:tabs>
        <w:spacing w:before="121"/>
        <w:ind w:left="1999" w:right="402"/>
      </w:pPr>
      <w:r w:rsidRPr="00EC20A0">
        <w:t>Determine that the presentation and disclosure of heritage assets and stewardship</w:t>
      </w:r>
      <w:r w:rsidRPr="00EC20A0">
        <w:rPr>
          <w:spacing w:val="-5"/>
        </w:rPr>
        <w:t xml:space="preserve"> </w:t>
      </w:r>
      <w:r w:rsidRPr="00EC20A0">
        <w:t>land</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note</w:t>
      </w:r>
      <w:r w:rsidRPr="00EC20A0">
        <w:rPr>
          <w:spacing w:val="-4"/>
        </w:rPr>
        <w:t xml:space="preserve"> </w:t>
      </w:r>
      <w:r w:rsidRPr="00EC20A0">
        <w:t>disclosures</w:t>
      </w:r>
      <w:r w:rsidRPr="00EC20A0">
        <w:rPr>
          <w:spacing w:val="-4"/>
        </w:rPr>
        <w:t xml:space="preserve"> </w:t>
      </w:r>
      <w:r w:rsidRPr="00EC20A0">
        <w:t>are</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3"/>
        </w:rPr>
        <w:t xml:space="preserve"> </w:t>
      </w:r>
      <w:r w:rsidRPr="00EC20A0">
        <w:t>SFFAS</w:t>
      </w:r>
      <w:r w:rsidRPr="00EC20A0">
        <w:rPr>
          <w:spacing w:val="-4"/>
        </w:rPr>
        <w:t xml:space="preserve"> </w:t>
      </w:r>
      <w:r w:rsidRPr="00EC20A0">
        <w:t>29.</w:t>
      </w:r>
    </w:p>
    <w:p w14:paraId="24D61BC8" w14:textId="77777777" w:rsidR="00245300" w:rsidRPr="00EC20A0" w:rsidRDefault="00F17249">
      <w:pPr>
        <w:pStyle w:val="ListParagraph"/>
        <w:numPr>
          <w:ilvl w:val="0"/>
          <w:numId w:val="82"/>
        </w:numPr>
        <w:tabs>
          <w:tab w:val="left" w:pos="1640"/>
        </w:tabs>
        <w:spacing w:before="239"/>
        <w:ind w:right="455"/>
      </w:pPr>
      <w:r w:rsidRPr="00EC20A0">
        <w:rPr>
          <w:b/>
        </w:rPr>
        <w:t>Existence.</w:t>
      </w:r>
      <w:r w:rsidRPr="00EC20A0">
        <w:rPr>
          <w:b/>
          <w:spacing w:val="-4"/>
        </w:rPr>
        <w:t xml:space="preserve"> </w:t>
      </w:r>
      <w:r w:rsidRPr="00EC20A0">
        <w:t>To</w:t>
      </w:r>
      <w:r w:rsidRPr="00EC20A0">
        <w:rPr>
          <w:spacing w:val="-4"/>
        </w:rPr>
        <w:t xml:space="preserve"> </w:t>
      </w:r>
      <w:r w:rsidRPr="00EC20A0">
        <w:t>determine</w:t>
      </w:r>
      <w:r w:rsidRPr="00EC20A0">
        <w:rPr>
          <w:spacing w:val="-4"/>
        </w:rPr>
        <w:t xml:space="preserve"> </w:t>
      </w:r>
      <w:r w:rsidRPr="00EC20A0">
        <w:t>the</w:t>
      </w:r>
      <w:r w:rsidRPr="00EC20A0">
        <w:rPr>
          <w:spacing w:val="-4"/>
        </w:rPr>
        <w:t xml:space="preserve"> </w:t>
      </w:r>
      <w:r w:rsidRPr="00EC20A0">
        <w:t>existence</w:t>
      </w:r>
      <w:r w:rsidRPr="00EC20A0">
        <w:rPr>
          <w:spacing w:val="-4"/>
        </w:rPr>
        <w:t xml:space="preserve"> </w:t>
      </w:r>
      <w:r w:rsidRPr="00EC20A0">
        <w:t>of</w:t>
      </w:r>
      <w:r w:rsidRPr="00EC20A0">
        <w:rPr>
          <w:spacing w:val="-4"/>
        </w:rPr>
        <w:t xml:space="preserve"> </w:t>
      </w:r>
      <w:r w:rsidRPr="00EC20A0">
        <w:t>heritage</w:t>
      </w:r>
      <w:r w:rsidRPr="00EC20A0">
        <w:rPr>
          <w:spacing w:val="-4"/>
        </w:rPr>
        <w:t xml:space="preserve"> </w:t>
      </w:r>
      <w:r w:rsidRPr="00EC20A0">
        <w:t>assets</w:t>
      </w:r>
      <w:r w:rsidRPr="00EC20A0">
        <w:rPr>
          <w:spacing w:val="-4"/>
        </w:rPr>
        <w:t xml:space="preserve"> </w:t>
      </w:r>
      <w:r w:rsidRPr="00EC20A0">
        <w:t>and</w:t>
      </w:r>
      <w:r w:rsidRPr="00EC20A0">
        <w:rPr>
          <w:spacing w:val="-4"/>
        </w:rPr>
        <w:t xml:space="preserve"> </w:t>
      </w:r>
      <w:r w:rsidRPr="00EC20A0">
        <w:t>stewardship</w:t>
      </w:r>
      <w:r w:rsidRPr="00EC20A0">
        <w:rPr>
          <w:spacing w:val="-4"/>
        </w:rPr>
        <w:t xml:space="preserve"> </w:t>
      </w:r>
      <w:r w:rsidRPr="00EC20A0">
        <w:t>land, the auditor may take the following actions:</w:t>
      </w:r>
    </w:p>
    <w:p w14:paraId="24D61BC9" w14:textId="77777777" w:rsidR="00245300" w:rsidRPr="00EC20A0" w:rsidRDefault="00F17249">
      <w:pPr>
        <w:pStyle w:val="ListParagraph"/>
        <w:numPr>
          <w:ilvl w:val="1"/>
          <w:numId w:val="82"/>
        </w:numPr>
        <w:tabs>
          <w:tab w:val="left" w:pos="1999"/>
        </w:tabs>
        <w:spacing w:before="241"/>
        <w:ind w:left="1999" w:right="366"/>
      </w:pPr>
      <w:r w:rsidRPr="00EC20A0">
        <w:t xml:space="preserve">Obtain a summary analysis of changes in heritage assets and stewardship land (i.e., beginning balance, additions, deletions, and ending </w:t>
      </w:r>
      <w:r w:rsidRPr="00EC20A0">
        <w:t>balance) in the current</w:t>
      </w:r>
      <w:r w:rsidRPr="00EC20A0">
        <w:rPr>
          <w:spacing w:val="-4"/>
        </w:rPr>
        <w:t xml:space="preserve"> </w:t>
      </w:r>
      <w:r w:rsidRPr="00EC20A0">
        <w:t>fiscal</w:t>
      </w:r>
      <w:r w:rsidRPr="00EC20A0">
        <w:rPr>
          <w:spacing w:val="-4"/>
        </w:rPr>
        <w:t xml:space="preserve"> </w:t>
      </w:r>
      <w:r w:rsidRPr="00EC20A0">
        <w:t>year</w:t>
      </w:r>
      <w:r w:rsidRPr="00EC20A0">
        <w:rPr>
          <w:spacing w:val="-4"/>
        </w:rPr>
        <w:t xml:space="preserve"> </w:t>
      </w:r>
      <w:r w:rsidRPr="00EC20A0">
        <w:t>and</w:t>
      </w:r>
      <w:r w:rsidRPr="00EC20A0">
        <w:rPr>
          <w:spacing w:val="-4"/>
        </w:rPr>
        <w:t xml:space="preserve"> </w:t>
      </w:r>
      <w:r w:rsidRPr="00EC20A0">
        <w:t>reconcile</w:t>
      </w:r>
      <w:r w:rsidRPr="00EC20A0">
        <w:rPr>
          <w:spacing w:val="-4"/>
        </w:rPr>
        <w:t xml:space="preserve"> </w:t>
      </w:r>
      <w:r w:rsidRPr="00EC20A0">
        <w:t>these</w:t>
      </w:r>
      <w:r w:rsidRPr="00EC20A0">
        <w:rPr>
          <w:spacing w:val="-4"/>
        </w:rPr>
        <w:t xml:space="preserve"> </w:t>
      </w:r>
      <w:r w:rsidRPr="00EC20A0">
        <w:t>to</w:t>
      </w:r>
      <w:r w:rsidRPr="00EC20A0">
        <w:rPr>
          <w:spacing w:val="-4"/>
        </w:rPr>
        <w:t xml:space="preserve"> </w:t>
      </w:r>
      <w:r w:rsidRPr="00EC20A0">
        <w:t>supporting</w:t>
      </w:r>
      <w:r w:rsidRPr="00EC20A0">
        <w:rPr>
          <w:spacing w:val="-4"/>
        </w:rPr>
        <w:t xml:space="preserve"> </w:t>
      </w:r>
      <w:r w:rsidRPr="00EC20A0">
        <w:t>schedules.</w:t>
      </w:r>
      <w:r w:rsidRPr="00EC20A0">
        <w:rPr>
          <w:spacing w:val="-4"/>
        </w:rPr>
        <w:t xml:space="preserve"> </w:t>
      </w:r>
      <w:r w:rsidRPr="00EC20A0">
        <w:t>During</w:t>
      </w:r>
      <w:r w:rsidRPr="00EC20A0">
        <w:rPr>
          <w:spacing w:val="-4"/>
        </w:rPr>
        <w:t xml:space="preserve"> </w:t>
      </w:r>
      <w:r w:rsidRPr="00EC20A0">
        <w:t>a</w:t>
      </w:r>
      <w:r w:rsidRPr="00EC20A0">
        <w:rPr>
          <w:spacing w:val="-4"/>
        </w:rPr>
        <w:t xml:space="preserve"> </w:t>
      </w:r>
      <w:r w:rsidRPr="00EC20A0">
        <w:t xml:space="preserve">first- year audit, the auditor should test the beginning balance for over- and </w:t>
      </w:r>
      <w:r w:rsidRPr="00EC20A0">
        <w:rPr>
          <w:spacing w:val="-2"/>
        </w:rPr>
        <w:t>understatement.</w:t>
      </w:r>
    </w:p>
    <w:p w14:paraId="24D61BCA" w14:textId="77777777" w:rsidR="00245300" w:rsidRPr="00EC20A0" w:rsidRDefault="00F17249">
      <w:pPr>
        <w:pStyle w:val="ListParagraph"/>
        <w:numPr>
          <w:ilvl w:val="1"/>
          <w:numId w:val="82"/>
        </w:numPr>
        <w:tabs>
          <w:tab w:val="left" w:pos="1999"/>
        </w:tabs>
        <w:spacing w:before="119"/>
        <w:ind w:left="1999" w:right="450"/>
      </w:pPr>
      <w:r w:rsidRPr="00EC20A0">
        <w:t>Test</w:t>
      </w:r>
      <w:r w:rsidRPr="00EC20A0">
        <w:rPr>
          <w:spacing w:val="-3"/>
        </w:rPr>
        <w:t xml:space="preserve"> </w:t>
      </w:r>
      <w:r w:rsidRPr="00EC20A0">
        <w:t>an</w:t>
      </w:r>
      <w:r w:rsidRPr="00EC20A0">
        <w:rPr>
          <w:spacing w:val="-3"/>
        </w:rPr>
        <w:t xml:space="preserve"> </w:t>
      </w:r>
      <w:r w:rsidRPr="00EC20A0">
        <w:t>audit</w:t>
      </w:r>
      <w:r w:rsidRPr="00EC20A0">
        <w:rPr>
          <w:spacing w:val="-3"/>
        </w:rPr>
        <w:t xml:space="preserve"> </w:t>
      </w:r>
      <w:r w:rsidRPr="00EC20A0">
        <w:t>sample</w:t>
      </w:r>
      <w:r w:rsidRPr="00EC20A0">
        <w:rPr>
          <w:spacing w:val="-3"/>
        </w:rPr>
        <w:t xml:space="preserve"> </w:t>
      </w:r>
      <w:r w:rsidRPr="00EC20A0">
        <w:t>of</w:t>
      </w:r>
      <w:r w:rsidRPr="00EC20A0">
        <w:rPr>
          <w:spacing w:val="-3"/>
        </w:rPr>
        <w:t xml:space="preserve"> </w:t>
      </w:r>
      <w:r w:rsidRPr="00EC20A0">
        <w:t>additions</w:t>
      </w:r>
      <w:r w:rsidRPr="00EC20A0">
        <w:rPr>
          <w:spacing w:val="-4"/>
        </w:rPr>
        <w:t xml:space="preserve"> </w:t>
      </w:r>
      <w:r w:rsidRPr="00EC20A0">
        <w:t>during</w:t>
      </w:r>
      <w:r w:rsidRPr="00EC20A0">
        <w:rPr>
          <w:spacing w:val="-3"/>
        </w:rPr>
        <w:t xml:space="preserve"> </w:t>
      </w:r>
      <w:r w:rsidRPr="00EC20A0">
        <w:t>the</w:t>
      </w:r>
      <w:r w:rsidRPr="00EC20A0">
        <w:rPr>
          <w:spacing w:val="-3"/>
        </w:rPr>
        <w:t xml:space="preserve"> </w:t>
      </w:r>
      <w:r w:rsidRPr="00EC20A0">
        <w:t>year</w:t>
      </w:r>
      <w:r w:rsidRPr="00EC20A0">
        <w:rPr>
          <w:spacing w:val="-4"/>
        </w:rPr>
        <w:t xml:space="preserve"> </w:t>
      </w:r>
      <w:r w:rsidRPr="00EC20A0">
        <w:t>by</w:t>
      </w:r>
      <w:r w:rsidRPr="00EC20A0">
        <w:rPr>
          <w:spacing w:val="-3"/>
        </w:rPr>
        <w:t xml:space="preserve"> </w:t>
      </w:r>
      <w:r w:rsidRPr="00EC20A0">
        <w:t>comparing</w:t>
      </w:r>
      <w:r w:rsidRPr="00EC20A0">
        <w:rPr>
          <w:spacing w:val="-3"/>
        </w:rPr>
        <w:t xml:space="preserve"> </w:t>
      </w:r>
      <w:r w:rsidRPr="00EC20A0">
        <w:t>the</w:t>
      </w:r>
      <w:r w:rsidRPr="00EC20A0">
        <w:rPr>
          <w:spacing w:val="-3"/>
        </w:rPr>
        <w:t xml:space="preserve"> </w:t>
      </w:r>
      <w:r w:rsidRPr="00EC20A0">
        <w:t xml:space="preserve">additions to the original documentation, such as contracts, deeds, work orders, and </w:t>
      </w:r>
      <w:r w:rsidRPr="00EC20A0">
        <w:rPr>
          <w:spacing w:val="-2"/>
        </w:rPr>
        <w:t>invoices.</w:t>
      </w:r>
    </w:p>
    <w:p w14:paraId="24D61BCB" w14:textId="77777777" w:rsidR="00245300" w:rsidRPr="00EC20A0" w:rsidRDefault="00F17249">
      <w:pPr>
        <w:pStyle w:val="ListParagraph"/>
        <w:numPr>
          <w:ilvl w:val="1"/>
          <w:numId w:val="82"/>
        </w:numPr>
        <w:tabs>
          <w:tab w:val="left" w:pos="1999"/>
        </w:tabs>
        <w:spacing w:before="121"/>
        <w:ind w:left="1999" w:right="671"/>
      </w:pPr>
      <w:r w:rsidRPr="00EC20A0">
        <w:t>Make physical inspections of an audit sample of acquisitions. The auditor should coordinate physical inspections with the appropriate entity staff, particularly</w:t>
      </w:r>
      <w:r w:rsidRPr="00EC20A0">
        <w:rPr>
          <w:spacing w:val="-6"/>
        </w:rPr>
        <w:t xml:space="preserve"> </w:t>
      </w:r>
      <w:r w:rsidRPr="00EC20A0">
        <w:t>when</w:t>
      </w:r>
      <w:r w:rsidRPr="00EC20A0">
        <w:rPr>
          <w:spacing w:val="-5"/>
        </w:rPr>
        <w:t xml:space="preserve"> </w:t>
      </w:r>
      <w:r w:rsidRPr="00EC20A0">
        <w:t>visiting</w:t>
      </w:r>
      <w:r w:rsidRPr="00EC20A0">
        <w:rPr>
          <w:spacing w:val="-5"/>
        </w:rPr>
        <w:t xml:space="preserve"> </w:t>
      </w:r>
      <w:r w:rsidRPr="00EC20A0">
        <w:t>nonfederal</w:t>
      </w:r>
      <w:r w:rsidRPr="00EC20A0">
        <w:rPr>
          <w:spacing w:val="-6"/>
        </w:rPr>
        <w:t xml:space="preserve"> </w:t>
      </w:r>
      <w:r w:rsidRPr="00EC20A0">
        <w:t>repositories</w:t>
      </w:r>
      <w:r w:rsidRPr="00EC20A0">
        <w:rPr>
          <w:spacing w:val="-6"/>
        </w:rPr>
        <w:t xml:space="preserve"> </w:t>
      </w:r>
      <w:r w:rsidRPr="00EC20A0">
        <w:t>that</w:t>
      </w:r>
      <w:r w:rsidRPr="00EC20A0">
        <w:rPr>
          <w:spacing w:val="-4"/>
        </w:rPr>
        <w:t xml:space="preserve"> </w:t>
      </w:r>
      <w:r w:rsidRPr="00EC20A0">
        <w:t>hold</w:t>
      </w:r>
      <w:r w:rsidRPr="00EC20A0">
        <w:rPr>
          <w:spacing w:val="-5"/>
        </w:rPr>
        <w:t xml:space="preserve"> </w:t>
      </w:r>
      <w:r w:rsidRPr="00EC20A0">
        <w:t>federal</w:t>
      </w:r>
      <w:r w:rsidRPr="00EC20A0">
        <w:rPr>
          <w:spacing w:val="-5"/>
        </w:rPr>
        <w:t xml:space="preserve"> </w:t>
      </w:r>
      <w:r w:rsidRPr="00EC20A0">
        <w:t>museum collections.</w:t>
      </w:r>
      <w:r w:rsidRPr="00EC20A0">
        <w:rPr>
          <w:spacing w:val="-3"/>
        </w:rPr>
        <w:t xml:space="preserve"> </w:t>
      </w:r>
      <w:r w:rsidRPr="00EC20A0">
        <w:t>This</w:t>
      </w:r>
      <w:r w:rsidRPr="00EC20A0">
        <w:rPr>
          <w:spacing w:val="-2"/>
        </w:rPr>
        <w:t xml:space="preserve"> </w:t>
      </w:r>
      <w:r w:rsidRPr="00EC20A0">
        <w:t>will</w:t>
      </w:r>
      <w:r w:rsidRPr="00EC20A0">
        <w:rPr>
          <w:spacing w:val="-2"/>
        </w:rPr>
        <w:t xml:space="preserve"> </w:t>
      </w:r>
      <w:r w:rsidRPr="00EC20A0">
        <w:t>ensure</w:t>
      </w:r>
      <w:r w:rsidRPr="00EC20A0">
        <w:rPr>
          <w:spacing w:val="-2"/>
        </w:rPr>
        <w:t xml:space="preserve"> </w:t>
      </w:r>
      <w:r w:rsidRPr="00EC20A0">
        <w:t>that</w:t>
      </w:r>
      <w:r w:rsidRPr="00EC20A0">
        <w:rPr>
          <w:spacing w:val="-2"/>
        </w:rPr>
        <w:t xml:space="preserve"> </w:t>
      </w:r>
      <w:r w:rsidRPr="00EC20A0">
        <w:t>visits</w:t>
      </w:r>
      <w:r w:rsidRPr="00EC20A0">
        <w:rPr>
          <w:spacing w:val="-2"/>
        </w:rPr>
        <w:t xml:space="preserve"> </w:t>
      </w:r>
      <w:r w:rsidRPr="00EC20A0">
        <w:t>are</w:t>
      </w:r>
      <w:r w:rsidRPr="00EC20A0">
        <w:rPr>
          <w:spacing w:val="-2"/>
        </w:rPr>
        <w:t xml:space="preserve"> </w:t>
      </w:r>
      <w:r w:rsidRPr="00EC20A0">
        <w:t>efficient</w:t>
      </w:r>
      <w:r w:rsidRPr="00EC20A0">
        <w:rPr>
          <w:spacing w:val="-2"/>
        </w:rPr>
        <w:t xml:space="preserve"> </w:t>
      </w:r>
      <w:r w:rsidRPr="00EC20A0">
        <w:t>and</w:t>
      </w:r>
      <w:r w:rsidRPr="00EC20A0">
        <w:rPr>
          <w:spacing w:val="-2"/>
        </w:rPr>
        <w:t xml:space="preserve"> </w:t>
      </w:r>
      <w:r w:rsidRPr="00EC20A0">
        <w:t>productive</w:t>
      </w:r>
      <w:r w:rsidRPr="00EC20A0">
        <w:rPr>
          <w:spacing w:val="-2"/>
        </w:rPr>
        <w:t xml:space="preserve"> </w:t>
      </w:r>
      <w:r w:rsidRPr="00EC20A0">
        <w:t>and</w:t>
      </w:r>
      <w:r w:rsidRPr="00EC20A0">
        <w:rPr>
          <w:spacing w:val="-2"/>
        </w:rPr>
        <w:t xml:space="preserve"> </w:t>
      </w:r>
      <w:r w:rsidRPr="00EC20A0">
        <w:t>that relationships between repositories and the entity are maintained.</w:t>
      </w:r>
    </w:p>
    <w:p w14:paraId="24D61BCC" w14:textId="77777777" w:rsidR="00245300" w:rsidRPr="00EC20A0" w:rsidRDefault="00F17249">
      <w:pPr>
        <w:pStyle w:val="ListParagraph"/>
        <w:numPr>
          <w:ilvl w:val="1"/>
          <w:numId w:val="82"/>
        </w:numPr>
        <w:tabs>
          <w:tab w:val="left" w:pos="1998"/>
        </w:tabs>
        <w:spacing w:before="120"/>
        <w:ind w:left="1998" w:hanging="359"/>
      </w:pPr>
      <w:r w:rsidRPr="00EC20A0">
        <w:t>Examine</w:t>
      </w:r>
      <w:r w:rsidRPr="00EC20A0">
        <w:rPr>
          <w:spacing w:val="-7"/>
        </w:rPr>
        <w:t xml:space="preserve"> </w:t>
      </w:r>
      <w:r w:rsidRPr="00EC20A0">
        <w:t>supporting</w:t>
      </w:r>
      <w:r w:rsidRPr="00EC20A0">
        <w:rPr>
          <w:spacing w:val="-7"/>
        </w:rPr>
        <w:t xml:space="preserve"> </w:t>
      </w:r>
      <w:r w:rsidRPr="00EC20A0">
        <w:t>documents</w:t>
      </w:r>
      <w:r w:rsidRPr="00EC20A0">
        <w:rPr>
          <w:spacing w:val="-6"/>
        </w:rPr>
        <w:t xml:space="preserve"> </w:t>
      </w:r>
      <w:r w:rsidRPr="00EC20A0">
        <w:t>on</w:t>
      </w:r>
      <w:r w:rsidRPr="00EC20A0">
        <w:rPr>
          <w:spacing w:val="-7"/>
        </w:rPr>
        <w:t xml:space="preserve"> </w:t>
      </w:r>
      <w:r w:rsidRPr="00EC20A0">
        <w:t>an</w:t>
      </w:r>
      <w:r w:rsidRPr="00EC20A0">
        <w:rPr>
          <w:spacing w:val="-7"/>
        </w:rPr>
        <w:t xml:space="preserve"> </w:t>
      </w:r>
      <w:r w:rsidRPr="00EC20A0">
        <w:t>audit</w:t>
      </w:r>
      <w:r w:rsidRPr="00EC20A0">
        <w:rPr>
          <w:spacing w:val="-6"/>
        </w:rPr>
        <w:t xml:space="preserve"> </w:t>
      </w:r>
      <w:r w:rsidRPr="00EC20A0">
        <w:t>sample</w:t>
      </w:r>
      <w:r w:rsidRPr="00EC20A0">
        <w:rPr>
          <w:spacing w:val="-7"/>
        </w:rPr>
        <w:t xml:space="preserve"> </w:t>
      </w:r>
      <w:r w:rsidRPr="00EC20A0">
        <w:t>of</w:t>
      </w:r>
      <w:r w:rsidRPr="00EC20A0">
        <w:rPr>
          <w:spacing w:val="-7"/>
        </w:rPr>
        <w:t xml:space="preserve"> </w:t>
      </w:r>
      <w:r w:rsidRPr="00EC20A0">
        <w:rPr>
          <w:spacing w:val="-2"/>
        </w:rPr>
        <w:t>disposals.</w:t>
      </w:r>
    </w:p>
    <w:p w14:paraId="24D61BCD" w14:textId="77777777" w:rsidR="00245300" w:rsidRPr="00EC20A0" w:rsidRDefault="00F17249">
      <w:pPr>
        <w:pStyle w:val="ListParagraph"/>
        <w:numPr>
          <w:ilvl w:val="0"/>
          <w:numId w:val="82"/>
        </w:numPr>
        <w:tabs>
          <w:tab w:val="left" w:pos="1639"/>
        </w:tabs>
        <w:spacing w:before="239"/>
        <w:ind w:left="1639" w:right="371"/>
      </w:pPr>
      <w:r w:rsidRPr="00EC20A0">
        <w:rPr>
          <w:b/>
        </w:rPr>
        <w:t xml:space="preserve">Completeness. </w:t>
      </w:r>
      <w:r w:rsidRPr="00EC20A0">
        <w:t>The auditor may determine the completeness of recorded heritage assets and stewardship land by tracing transactions recorded in supporting schedules to the asset accountability system. The auditor may also perform additional procedures, such as inquiries and field inspections. Usually, there are few changes to heritage assets and stewardship land during the year, and the auditor should investigate significant changes in balances. Since cutoff errors</w:t>
      </w:r>
      <w:r w:rsidRPr="00EC20A0">
        <w:rPr>
          <w:spacing w:val="-1"/>
        </w:rPr>
        <w:t xml:space="preserve"> </w:t>
      </w:r>
      <w:r w:rsidRPr="00EC20A0">
        <w:t>are</w:t>
      </w:r>
      <w:r w:rsidRPr="00EC20A0">
        <w:rPr>
          <w:spacing w:val="-1"/>
        </w:rPr>
        <w:t xml:space="preserve"> </w:t>
      </w:r>
      <w:r w:rsidRPr="00EC20A0">
        <w:t>not</w:t>
      </w:r>
      <w:r w:rsidRPr="00EC20A0">
        <w:rPr>
          <w:spacing w:val="-1"/>
        </w:rPr>
        <w:t xml:space="preserve"> </w:t>
      </w:r>
      <w:r w:rsidRPr="00EC20A0">
        <w:t>a</w:t>
      </w:r>
      <w:r w:rsidRPr="00EC20A0">
        <w:rPr>
          <w:spacing w:val="-1"/>
        </w:rPr>
        <w:t xml:space="preserve"> </w:t>
      </w:r>
      <w:r w:rsidRPr="00EC20A0">
        <w:t>major</w:t>
      </w:r>
      <w:r w:rsidRPr="00EC20A0">
        <w:rPr>
          <w:spacing w:val="-1"/>
        </w:rPr>
        <w:t xml:space="preserve"> </w:t>
      </w:r>
      <w:r w:rsidRPr="00EC20A0">
        <w:t>risk</w:t>
      </w:r>
      <w:r w:rsidRPr="00EC20A0">
        <w:rPr>
          <w:spacing w:val="-1"/>
        </w:rPr>
        <w:t xml:space="preserve"> </w:t>
      </w:r>
      <w:r w:rsidRPr="00EC20A0">
        <w:t>in</w:t>
      </w:r>
      <w:r w:rsidRPr="00EC20A0">
        <w:rPr>
          <w:spacing w:val="-1"/>
        </w:rPr>
        <w:t xml:space="preserve"> </w:t>
      </w:r>
      <w:r w:rsidRPr="00EC20A0">
        <w:t>establishing</w:t>
      </w:r>
      <w:r w:rsidRPr="00EC20A0">
        <w:rPr>
          <w:spacing w:val="-1"/>
        </w:rPr>
        <w:t xml:space="preserve"> </w:t>
      </w:r>
      <w:r w:rsidRPr="00EC20A0">
        <w:t>the</w:t>
      </w:r>
      <w:r w:rsidRPr="00EC20A0">
        <w:rPr>
          <w:spacing w:val="-1"/>
        </w:rPr>
        <w:t xml:space="preserve"> </w:t>
      </w:r>
      <w:r w:rsidRPr="00EC20A0">
        <w:t>completeness</w:t>
      </w:r>
      <w:r w:rsidRPr="00EC20A0">
        <w:rPr>
          <w:spacing w:val="-2"/>
        </w:rPr>
        <w:t xml:space="preserve"> </w:t>
      </w:r>
      <w:r w:rsidRPr="00EC20A0">
        <w:t>of</w:t>
      </w:r>
      <w:r w:rsidRPr="00EC20A0">
        <w:rPr>
          <w:spacing w:val="-1"/>
        </w:rPr>
        <w:t xml:space="preserve"> </w:t>
      </w:r>
      <w:r w:rsidRPr="00EC20A0">
        <w:t>r</w:t>
      </w:r>
      <w:r w:rsidRPr="00EC20A0">
        <w:t>ecorded</w:t>
      </w:r>
      <w:r w:rsidRPr="00EC20A0">
        <w:rPr>
          <w:spacing w:val="-2"/>
        </w:rPr>
        <w:t xml:space="preserve"> </w:t>
      </w:r>
      <w:r w:rsidRPr="00EC20A0">
        <w:t>assets,</w:t>
      </w:r>
      <w:r w:rsidRPr="00EC20A0">
        <w:rPr>
          <w:spacing w:val="-2"/>
        </w:rPr>
        <w:t xml:space="preserve"> </w:t>
      </w:r>
      <w:r w:rsidRPr="00EC20A0">
        <w:t>if the auditor is satisfied with the beginning balances and verifies the acquisition and</w:t>
      </w:r>
      <w:r w:rsidRPr="00EC20A0">
        <w:rPr>
          <w:spacing w:val="-4"/>
        </w:rPr>
        <w:t xml:space="preserve"> </w:t>
      </w:r>
      <w:r w:rsidRPr="00EC20A0">
        <w:t>withdrawals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current</w:t>
      </w:r>
      <w:r w:rsidRPr="00EC20A0">
        <w:rPr>
          <w:spacing w:val="-4"/>
        </w:rPr>
        <w:t xml:space="preserve"> </w:t>
      </w:r>
      <w:r w:rsidRPr="00EC20A0">
        <w:t>period,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may</w:t>
      </w:r>
      <w:r w:rsidRPr="00EC20A0">
        <w:rPr>
          <w:spacing w:val="-4"/>
        </w:rPr>
        <w:t xml:space="preserve"> </w:t>
      </w:r>
      <w:r w:rsidRPr="00EC20A0">
        <w:t>have</w:t>
      </w:r>
      <w:r w:rsidRPr="00EC20A0">
        <w:rPr>
          <w:spacing w:val="-4"/>
        </w:rPr>
        <w:t xml:space="preserve"> </w:t>
      </w:r>
      <w:r w:rsidRPr="00EC20A0">
        <w:t>sufficient</w:t>
      </w:r>
      <w:r w:rsidRPr="00EC20A0">
        <w:rPr>
          <w:spacing w:val="-4"/>
        </w:rPr>
        <w:t xml:space="preserve"> </w:t>
      </w:r>
      <w:r w:rsidRPr="00EC20A0">
        <w:t>appropriate evidence about the ending balance.</w:t>
      </w:r>
    </w:p>
    <w:p w14:paraId="24D61BCE" w14:textId="77777777" w:rsidR="00245300" w:rsidRPr="00EC20A0" w:rsidRDefault="00F17249">
      <w:pPr>
        <w:pStyle w:val="ListParagraph"/>
        <w:numPr>
          <w:ilvl w:val="0"/>
          <w:numId w:val="82"/>
        </w:numPr>
        <w:tabs>
          <w:tab w:val="left" w:pos="1639"/>
        </w:tabs>
        <w:spacing w:before="241"/>
        <w:ind w:left="1639" w:right="763" w:hanging="720"/>
      </w:pPr>
      <w:r w:rsidRPr="00EC20A0">
        <w:rPr>
          <w:b/>
        </w:rPr>
        <w:t>Rights</w:t>
      </w:r>
      <w:r w:rsidRPr="00EC20A0">
        <w:rPr>
          <w:b/>
          <w:spacing w:val="-4"/>
        </w:rPr>
        <w:t xml:space="preserve"> </w:t>
      </w:r>
      <w:r w:rsidRPr="00EC20A0">
        <w:rPr>
          <w:b/>
        </w:rPr>
        <w:t>and</w:t>
      </w:r>
      <w:r w:rsidRPr="00EC20A0">
        <w:rPr>
          <w:b/>
          <w:spacing w:val="-4"/>
        </w:rPr>
        <w:t xml:space="preserve"> </w:t>
      </w:r>
      <w:r w:rsidRPr="00EC20A0">
        <w:rPr>
          <w:b/>
        </w:rPr>
        <w:t>obligations.</w:t>
      </w:r>
      <w:r w:rsidRPr="00EC20A0">
        <w:rPr>
          <w:b/>
          <w:spacing w:val="-4"/>
        </w:rPr>
        <w:t xml:space="preserve"> </w:t>
      </w:r>
      <w:r w:rsidRPr="00EC20A0">
        <w:t>To</w:t>
      </w:r>
      <w:r w:rsidRPr="00EC20A0">
        <w:rPr>
          <w:spacing w:val="-4"/>
        </w:rPr>
        <w:t xml:space="preserve"> </w:t>
      </w:r>
      <w:r w:rsidRPr="00EC20A0">
        <w:t>determine</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ownership</w:t>
      </w:r>
      <w:r w:rsidRPr="00EC20A0">
        <w:rPr>
          <w:spacing w:val="-5"/>
        </w:rPr>
        <w:t xml:space="preserve"> </w:t>
      </w:r>
      <w:r w:rsidRPr="00EC20A0">
        <w:t>rights</w:t>
      </w:r>
      <w:r w:rsidRPr="00EC20A0">
        <w:rPr>
          <w:spacing w:val="-4"/>
        </w:rPr>
        <w:t xml:space="preserve"> </w:t>
      </w:r>
      <w:r w:rsidRPr="00EC20A0">
        <w:t>to</w:t>
      </w:r>
      <w:r w:rsidRPr="00EC20A0">
        <w:rPr>
          <w:spacing w:val="-4"/>
        </w:rPr>
        <w:t xml:space="preserve"> </w:t>
      </w:r>
      <w:r w:rsidRPr="00EC20A0">
        <w:t xml:space="preserve">record property as heritage assets and stewardship land, the auditor may do the </w:t>
      </w:r>
      <w:r w:rsidRPr="00EC20A0">
        <w:rPr>
          <w:spacing w:val="-2"/>
        </w:rPr>
        <w:t>following:</w:t>
      </w:r>
    </w:p>
    <w:p w14:paraId="24D61BCF" w14:textId="77777777" w:rsidR="00245300" w:rsidRPr="00EC20A0" w:rsidRDefault="00F17249">
      <w:pPr>
        <w:pStyle w:val="ListParagraph"/>
        <w:numPr>
          <w:ilvl w:val="1"/>
          <w:numId w:val="82"/>
        </w:numPr>
        <w:tabs>
          <w:tab w:val="left" w:pos="1999"/>
        </w:tabs>
        <w:ind w:left="1999" w:right="622"/>
      </w:pPr>
      <w:r w:rsidRPr="00EC20A0">
        <w:t xml:space="preserve">Examine FASAB definitions of heritage assets and stewardship land, historical </w:t>
      </w:r>
      <w:r w:rsidRPr="00EC20A0">
        <w:t>documents, and compliance procedures to determine the entity’s ownership</w:t>
      </w:r>
      <w:r w:rsidRPr="00EC20A0">
        <w:rPr>
          <w:spacing w:val="-4"/>
        </w:rPr>
        <w:t xml:space="preserve"> </w:t>
      </w:r>
      <w:r w:rsidRPr="00EC20A0">
        <w:t>rights</w:t>
      </w:r>
      <w:r w:rsidRPr="00EC20A0">
        <w:rPr>
          <w:spacing w:val="-4"/>
        </w:rPr>
        <w:t xml:space="preserve"> </w:t>
      </w:r>
      <w:r w:rsidRPr="00EC20A0">
        <w:t>to</w:t>
      </w:r>
      <w:r w:rsidRPr="00EC20A0">
        <w:rPr>
          <w:spacing w:val="-4"/>
        </w:rPr>
        <w:t xml:space="preserve"> </w:t>
      </w:r>
      <w:r w:rsidRPr="00EC20A0">
        <w:t>record</w:t>
      </w:r>
      <w:r w:rsidRPr="00EC20A0">
        <w:rPr>
          <w:spacing w:val="-4"/>
        </w:rPr>
        <w:t xml:space="preserve"> </w:t>
      </w:r>
      <w:r w:rsidRPr="00EC20A0">
        <w:t>the</w:t>
      </w:r>
      <w:r w:rsidRPr="00EC20A0">
        <w:rPr>
          <w:spacing w:val="-4"/>
        </w:rPr>
        <w:t xml:space="preserve"> </w:t>
      </w:r>
      <w:r w:rsidRPr="00EC20A0">
        <w:t>property</w:t>
      </w:r>
      <w:r w:rsidRPr="00EC20A0">
        <w:rPr>
          <w:spacing w:val="-4"/>
        </w:rPr>
        <w:t xml:space="preserve"> </w:t>
      </w:r>
      <w:r w:rsidRPr="00EC20A0">
        <w:t>as</w:t>
      </w:r>
      <w:r w:rsidRPr="00EC20A0">
        <w:rPr>
          <w:spacing w:val="-4"/>
        </w:rPr>
        <w:t xml:space="preserve"> </w:t>
      </w:r>
      <w:r w:rsidRPr="00EC20A0">
        <w:t>heritage</w:t>
      </w:r>
      <w:r w:rsidRPr="00EC20A0">
        <w:rPr>
          <w:spacing w:val="-4"/>
        </w:rPr>
        <w:t xml:space="preserve"> </w:t>
      </w:r>
      <w:r w:rsidRPr="00EC20A0">
        <w:t>assets</w:t>
      </w:r>
      <w:r w:rsidRPr="00EC20A0">
        <w:rPr>
          <w:spacing w:val="-4"/>
        </w:rPr>
        <w:t xml:space="preserve"> </w:t>
      </w:r>
      <w:r w:rsidRPr="00EC20A0">
        <w:t>and</w:t>
      </w:r>
      <w:r w:rsidRPr="00EC20A0">
        <w:rPr>
          <w:spacing w:val="-4"/>
        </w:rPr>
        <w:t xml:space="preserve"> </w:t>
      </w:r>
      <w:r w:rsidRPr="00EC20A0">
        <w:t>stewardship land (as opposed to another federal entity).</w:t>
      </w:r>
    </w:p>
    <w:p w14:paraId="24D61BD0" w14:textId="77777777" w:rsidR="00245300" w:rsidRPr="00EC20A0" w:rsidRDefault="00F17249">
      <w:pPr>
        <w:pStyle w:val="ListParagraph"/>
        <w:numPr>
          <w:ilvl w:val="1"/>
          <w:numId w:val="82"/>
        </w:numPr>
        <w:tabs>
          <w:tab w:val="left" w:pos="1997"/>
          <w:tab w:val="left" w:pos="1999"/>
        </w:tabs>
        <w:spacing w:before="239"/>
        <w:ind w:left="1999" w:right="720" w:hanging="361"/>
      </w:pPr>
      <w:r w:rsidRPr="00EC20A0">
        <w:t>Examine</w:t>
      </w:r>
      <w:r w:rsidRPr="00EC20A0">
        <w:rPr>
          <w:spacing w:val="-4"/>
        </w:rPr>
        <w:t xml:space="preserve"> </w:t>
      </w:r>
      <w:r w:rsidRPr="00EC20A0">
        <w:t>documents,</w:t>
      </w:r>
      <w:r w:rsidRPr="00EC20A0">
        <w:rPr>
          <w:spacing w:val="-4"/>
        </w:rPr>
        <w:t xml:space="preserve"> </w:t>
      </w:r>
      <w:r w:rsidRPr="00EC20A0">
        <w:t>such</w:t>
      </w:r>
      <w:r w:rsidRPr="00EC20A0">
        <w:rPr>
          <w:spacing w:val="-4"/>
        </w:rPr>
        <w:t xml:space="preserve"> </w:t>
      </w:r>
      <w:r w:rsidRPr="00EC20A0">
        <w:t>as</w:t>
      </w:r>
      <w:r w:rsidRPr="00EC20A0">
        <w:rPr>
          <w:spacing w:val="-4"/>
        </w:rPr>
        <w:t xml:space="preserve"> </w:t>
      </w:r>
      <w:r w:rsidRPr="00EC20A0">
        <w:t>public</w:t>
      </w:r>
      <w:r w:rsidRPr="00EC20A0">
        <w:rPr>
          <w:spacing w:val="-5"/>
        </w:rPr>
        <w:t xml:space="preserve"> </w:t>
      </w:r>
      <w:r w:rsidRPr="00EC20A0">
        <w:t>records,</w:t>
      </w:r>
      <w:r w:rsidRPr="00EC20A0">
        <w:rPr>
          <w:spacing w:val="-4"/>
        </w:rPr>
        <w:t xml:space="preserve"> </w:t>
      </w:r>
      <w:r w:rsidRPr="00EC20A0">
        <w:t>property</w:t>
      </w:r>
      <w:r w:rsidRPr="00EC20A0">
        <w:rPr>
          <w:spacing w:val="-4"/>
        </w:rPr>
        <w:t xml:space="preserve"> </w:t>
      </w:r>
      <w:r w:rsidRPr="00EC20A0">
        <w:t>deeds,</w:t>
      </w:r>
      <w:r w:rsidRPr="00EC20A0">
        <w:rPr>
          <w:spacing w:val="-5"/>
        </w:rPr>
        <w:t xml:space="preserve"> </w:t>
      </w:r>
      <w:r w:rsidRPr="00EC20A0">
        <w:t>property</w:t>
      </w:r>
      <w:r w:rsidRPr="00EC20A0">
        <w:rPr>
          <w:spacing w:val="-4"/>
        </w:rPr>
        <w:t xml:space="preserve"> </w:t>
      </w:r>
      <w:r w:rsidRPr="00EC20A0">
        <w:t>tax bills (or exceptions), and other documents specific to the entity’s documentation of legal ownership, to determine legal ownership. Documentation of ownership may be in a variety of formats, including permits, reports, and associated records that indicate where natural resources were recovered from public lands.</w:t>
      </w:r>
    </w:p>
    <w:p w14:paraId="24D61BD1" w14:textId="77777777" w:rsidR="00245300" w:rsidRPr="00EC20A0" w:rsidRDefault="00F17249">
      <w:pPr>
        <w:pStyle w:val="ListParagraph"/>
        <w:numPr>
          <w:ilvl w:val="1"/>
          <w:numId w:val="82"/>
        </w:numPr>
        <w:tabs>
          <w:tab w:val="left" w:pos="1999"/>
        </w:tabs>
        <w:ind w:left="1999" w:right="428"/>
      </w:pPr>
      <w:r w:rsidRPr="00EC20A0">
        <w:t>Examine the entity’s</w:t>
      </w:r>
      <w:r w:rsidRPr="00EC20A0">
        <w:rPr>
          <w:spacing w:val="-1"/>
        </w:rPr>
        <w:t xml:space="preserve"> </w:t>
      </w:r>
      <w:r w:rsidRPr="00EC20A0">
        <w:t>statements showing the assets’ direct</w:t>
      </w:r>
      <w:r w:rsidRPr="00EC20A0">
        <w:rPr>
          <w:spacing w:val="-1"/>
        </w:rPr>
        <w:t xml:space="preserve"> </w:t>
      </w:r>
      <w:r w:rsidRPr="00EC20A0">
        <w:t>link to the entity’s mission.</w:t>
      </w:r>
      <w:r w:rsidRPr="00EC20A0">
        <w:rPr>
          <w:spacing w:val="-4"/>
        </w:rPr>
        <w:t xml:space="preserve"> </w:t>
      </w:r>
      <w:r w:rsidRPr="00EC20A0">
        <w:t>Auditors</w:t>
      </w:r>
      <w:r w:rsidRPr="00EC20A0">
        <w:rPr>
          <w:spacing w:val="-4"/>
        </w:rPr>
        <w:t xml:space="preserve"> </w:t>
      </w:r>
      <w:r w:rsidRPr="00EC20A0">
        <w:t>may</w:t>
      </w:r>
      <w:r w:rsidRPr="00EC20A0">
        <w:rPr>
          <w:spacing w:val="-4"/>
        </w:rPr>
        <w:t xml:space="preserve"> </w:t>
      </w:r>
      <w:r w:rsidRPr="00EC20A0">
        <w:t>perform</w:t>
      </w:r>
      <w:r w:rsidRPr="00EC20A0">
        <w:rPr>
          <w:spacing w:val="-5"/>
        </w:rPr>
        <w:t xml:space="preserve"> </w:t>
      </w:r>
      <w:r w:rsidRPr="00EC20A0">
        <w:t>this</w:t>
      </w:r>
      <w:r w:rsidRPr="00EC20A0">
        <w:rPr>
          <w:spacing w:val="-4"/>
        </w:rPr>
        <w:t xml:space="preserve"> </w:t>
      </w:r>
      <w:r w:rsidRPr="00EC20A0">
        <w:t>procedure</w:t>
      </w:r>
      <w:r w:rsidRPr="00EC20A0">
        <w:rPr>
          <w:spacing w:val="-4"/>
        </w:rPr>
        <w:t xml:space="preserve"> </w:t>
      </w:r>
      <w:r w:rsidRPr="00EC20A0">
        <w:t>to</w:t>
      </w:r>
      <w:r w:rsidRPr="00EC20A0">
        <w:rPr>
          <w:spacing w:val="-5"/>
        </w:rPr>
        <w:t xml:space="preserve"> </w:t>
      </w:r>
      <w:r w:rsidRPr="00EC20A0">
        <w:t>gain</w:t>
      </w:r>
      <w:r w:rsidRPr="00EC20A0">
        <w:rPr>
          <w:spacing w:val="-4"/>
        </w:rPr>
        <w:t xml:space="preserve"> </w:t>
      </w:r>
      <w:r w:rsidRPr="00EC20A0">
        <w:t>more</w:t>
      </w:r>
      <w:r w:rsidRPr="00EC20A0">
        <w:rPr>
          <w:spacing w:val="-4"/>
        </w:rPr>
        <w:t xml:space="preserve"> </w:t>
      </w:r>
      <w:r w:rsidRPr="00EC20A0">
        <w:t>information</w:t>
      </w:r>
      <w:r w:rsidRPr="00EC20A0">
        <w:rPr>
          <w:spacing w:val="-4"/>
        </w:rPr>
        <w:t xml:space="preserve"> </w:t>
      </w:r>
      <w:r w:rsidRPr="00EC20A0">
        <w:t>about</w:t>
      </w:r>
    </w:p>
    <w:p w14:paraId="24D61BD2" w14:textId="77777777" w:rsidR="00245300" w:rsidRPr="00EC20A0" w:rsidRDefault="00245300">
      <w:pPr>
        <w:sectPr w:rsidR="00245300" w:rsidRPr="00EC20A0">
          <w:pgSz w:w="12240" w:h="15840"/>
          <w:pgMar w:top="1340" w:right="1100" w:bottom="940" w:left="1240" w:header="721" w:footer="757" w:gutter="0"/>
          <w:cols w:space="720"/>
        </w:sectPr>
      </w:pPr>
    </w:p>
    <w:p w14:paraId="24D61BD3" w14:textId="77777777" w:rsidR="00245300" w:rsidRPr="00EC20A0" w:rsidRDefault="00F17249">
      <w:pPr>
        <w:pStyle w:val="BodyText"/>
        <w:spacing w:before="121"/>
        <w:ind w:left="2000" w:right="408"/>
      </w:pPr>
      <w:r w:rsidRPr="00EC20A0">
        <w:t>the</w:t>
      </w:r>
      <w:r w:rsidRPr="00EC20A0">
        <w:rPr>
          <w:spacing w:val="-4"/>
        </w:rPr>
        <w:t xml:space="preserve"> </w:t>
      </w:r>
      <w:r w:rsidRPr="00EC20A0">
        <w:t>entity’s</w:t>
      </w:r>
      <w:r w:rsidRPr="00EC20A0">
        <w:rPr>
          <w:spacing w:val="-5"/>
        </w:rPr>
        <w:t xml:space="preserve"> </w:t>
      </w:r>
      <w:r w:rsidRPr="00EC20A0">
        <w:t>assets,</w:t>
      </w:r>
      <w:r w:rsidRPr="00EC20A0">
        <w:rPr>
          <w:spacing w:val="-4"/>
        </w:rPr>
        <w:t xml:space="preserve"> </w:t>
      </w:r>
      <w:r w:rsidRPr="00EC20A0">
        <w:t>rather</w:t>
      </w:r>
      <w:r w:rsidRPr="00EC20A0">
        <w:rPr>
          <w:spacing w:val="-4"/>
        </w:rPr>
        <w:t xml:space="preserve"> </w:t>
      </w:r>
      <w:r w:rsidRPr="00EC20A0">
        <w:t>than</w:t>
      </w:r>
      <w:r w:rsidRPr="00EC20A0">
        <w:rPr>
          <w:spacing w:val="-4"/>
        </w:rPr>
        <w:t xml:space="preserve"> </w:t>
      </w:r>
      <w:r w:rsidRPr="00EC20A0">
        <w:t>to</w:t>
      </w:r>
      <w:r w:rsidRPr="00EC20A0">
        <w:rPr>
          <w:spacing w:val="-4"/>
        </w:rPr>
        <w:t xml:space="preserve"> </w:t>
      </w:r>
      <w:r w:rsidRPr="00EC20A0">
        <w:t>determine</w:t>
      </w:r>
      <w:r w:rsidRPr="00EC20A0">
        <w:rPr>
          <w:spacing w:val="-4"/>
        </w:rPr>
        <w:t xml:space="preserve"> </w:t>
      </w:r>
      <w:r w:rsidRPr="00EC20A0">
        <w:t>which</w:t>
      </w:r>
      <w:r w:rsidRPr="00EC20A0">
        <w:rPr>
          <w:spacing w:val="-4"/>
        </w:rPr>
        <w:t xml:space="preserve"> </w:t>
      </w:r>
      <w:r w:rsidRPr="00EC20A0">
        <w:t>assets</w:t>
      </w:r>
      <w:r w:rsidRPr="00EC20A0">
        <w:rPr>
          <w:spacing w:val="-4"/>
        </w:rPr>
        <w:t xml:space="preserve"> </w:t>
      </w:r>
      <w:r w:rsidRPr="00EC20A0">
        <w:t>are</w:t>
      </w:r>
      <w:r w:rsidRPr="00EC20A0">
        <w:rPr>
          <w:spacing w:val="-4"/>
        </w:rPr>
        <w:t xml:space="preserve"> </w:t>
      </w:r>
      <w:r w:rsidRPr="00EC20A0">
        <w:t>properly included in the heritage assets and stewardship land category.</w:t>
      </w:r>
    </w:p>
    <w:p w14:paraId="24D61BD4" w14:textId="77777777" w:rsidR="00245300" w:rsidRPr="00EC20A0" w:rsidRDefault="00F17249">
      <w:pPr>
        <w:pStyle w:val="ListParagraph"/>
        <w:numPr>
          <w:ilvl w:val="0"/>
          <w:numId w:val="82"/>
        </w:numPr>
        <w:tabs>
          <w:tab w:val="left" w:pos="1640"/>
        </w:tabs>
        <w:spacing w:before="239"/>
        <w:ind w:right="529"/>
      </w:pPr>
      <w:r w:rsidRPr="00EC20A0">
        <w:rPr>
          <w:b/>
        </w:rPr>
        <w:t>Accuracy.</w:t>
      </w:r>
      <w:r w:rsidRPr="00EC20A0">
        <w:rPr>
          <w:b/>
          <w:spacing w:val="-4"/>
        </w:rPr>
        <w:t xml:space="preserve"> </w:t>
      </w:r>
      <w:r w:rsidRPr="00EC20A0">
        <w:t>To</w:t>
      </w:r>
      <w:r w:rsidRPr="00EC20A0">
        <w:rPr>
          <w:spacing w:val="-4"/>
        </w:rPr>
        <w:t xml:space="preserve"> </w:t>
      </w:r>
      <w:r w:rsidRPr="00EC20A0">
        <w:t>determine</w:t>
      </w:r>
      <w:r w:rsidRPr="00EC20A0">
        <w:rPr>
          <w:spacing w:val="-4"/>
        </w:rPr>
        <w:t xml:space="preserve"> </w:t>
      </w:r>
      <w:r w:rsidRPr="00EC20A0">
        <w:t>the</w:t>
      </w:r>
      <w:r w:rsidRPr="00EC20A0">
        <w:rPr>
          <w:spacing w:val="-4"/>
        </w:rPr>
        <w:t xml:space="preserve"> </w:t>
      </w:r>
      <w:r w:rsidRPr="00EC20A0">
        <w:t>accuracy</w:t>
      </w:r>
      <w:r w:rsidRPr="00EC20A0">
        <w:rPr>
          <w:spacing w:val="-4"/>
        </w:rPr>
        <w:t xml:space="preserve"> </w:t>
      </w:r>
      <w:r w:rsidRPr="00EC20A0">
        <w:t>of</w:t>
      </w:r>
      <w:r w:rsidRPr="00EC20A0">
        <w:rPr>
          <w:spacing w:val="-4"/>
        </w:rPr>
        <w:t xml:space="preserve"> </w:t>
      </w:r>
      <w:r w:rsidRPr="00EC20A0">
        <w:t>unit</w:t>
      </w:r>
      <w:r w:rsidRPr="00EC20A0">
        <w:rPr>
          <w:spacing w:val="-5"/>
        </w:rPr>
        <w:t xml:space="preserve"> </w:t>
      </w:r>
      <w:r w:rsidRPr="00EC20A0">
        <w:t>schedules</w:t>
      </w:r>
      <w:r w:rsidRPr="00EC20A0">
        <w:rPr>
          <w:spacing w:val="-4"/>
        </w:rPr>
        <w:t xml:space="preserve"> </w:t>
      </w:r>
      <w:r w:rsidRPr="00EC20A0">
        <w:t>for</w:t>
      </w:r>
      <w:r w:rsidRPr="00EC20A0">
        <w:rPr>
          <w:spacing w:val="-6"/>
        </w:rPr>
        <w:t xml:space="preserve"> </w:t>
      </w:r>
      <w:r w:rsidRPr="00EC20A0">
        <w:t>heritage</w:t>
      </w:r>
      <w:r w:rsidRPr="00EC20A0">
        <w:rPr>
          <w:spacing w:val="-4"/>
        </w:rPr>
        <w:t xml:space="preserve"> </w:t>
      </w:r>
      <w:r w:rsidRPr="00EC20A0">
        <w:t>assets</w:t>
      </w:r>
      <w:r w:rsidRPr="00EC20A0">
        <w:rPr>
          <w:spacing w:val="-4"/>
        </w:rPr>
        <w:t xml:space="preserve"> </w:t>
      </w:r>
      <w:r w:rsidRPr="00EC20A0">
        <w:t>and stewardship land additions and deletions, the auditor may do the following:</w:t>
      </w:r>
    </w:p>
    <w:p w14:paraId="24D61BD5" w14:textId="77777777" w:rsidR="00245300" w:rsidRPr="00EC20A0" w:rsidRDefault="00F17249">
      <w:pPr>
        <w:pStyle w:val="ListParagraph"/>
        <w:numPr>
          <w:ilvl w:val="1"/>
          <w:numId w:val="82"/>
        </w:numPr>
        <w:tabs>
          <w:tab w:val="left" w:pos="2000"/>
        </w:tabs>
        <w:spacing w:before="241"/>
        <w:ind w:right="708"/>
      </w:pPr>
      <w:r w:rsidRPr="00EC20A0">
        <w:t>Agree</w:t>
      </w:r>
      <w:r w:rsidRPr="00EC20A0">
        <w:rPr>
          <w:spacing w:val="-5"/>
        </w:rPr>
        <w:t xml:space="preserve"> </w:t>
      </w:r>
      <w:r w:rsidRPr="00EC20A0">
        <w:t>subsidiary</w:t>
      </w:r>
      <w:r w:rsidRPr="00EC20A0">
        <w:rPr>
          <w:spacing w:val="-5"/>
        </w:rPr>
        <w:t xml:space="preserve"> </w:t>
      </w:r>
      <w:r w:rsidRPr="00EC20A0">
        <w:t>ledger</w:t>
      </w:r>
      <w:r w:rsidRPr="00EC20A0">
        <w:rPr>
          <w:spacing w:val="-6"/>
        </w:rPr>
        <w:t xml:space="preserve"> </w:t>
      </w:r>
      <w:r w:rsidRPr="00EC20A0">
        <w:t>for</w:t>
      </w:r>
      <w:r w:rsidRPr="00EC20A0">
        <w:rPr>
          <w:spacing w:val="-5"/>
        </w:rPr>
        <w:t xml:space="preserve"> </w:t>
      </w:r>
      <w:r w:rsidRPr="00EC20A0">
        <w:t>additions</w:t>
      </w:r>
      <w:r w:rsidRPr="00EC20A0">
        <w:rPr>
          <w:spacing w:val="-5"/>
        </w:rPr>
        <w:t xml:space="preserve"> </w:t>
      </w:r>
      <w:r w:rsidRPr="00EC20A0">
        <w:t>and</w:t>
      </w:r>
      <w:r w:rsidRPr="00EC20A0">
        <w:rPr>
          <w:spacing w:val="-5"/>
        </w:rPr>
        <w:t xml:space="preserve"> </w:t>
      </w:r>
      <w:r w:rsidRPr="00EC20A0">
        <w:t>deletions</w:t>
      </w:r>
      <w:r w:rsidRPr="00EC20A0">
        <w:rPr>
          <w:spacing w:val="-5"/>
        </w:rPr>
        <w:t xml:space="preserve"> </w:t>
      </w:r>
      <w:r w:rsidRPr="00EC20A0">
        <w:t>to</w:t>
      </w:r>
      <w:r w:rsidRPr="00EC20A0">
        <w:rPr>
          <w:spacing w:val="-5"/>
        </w:rPr>
        <w:t xml:space="preserve"> </w:t>
      </w:r>
      <w:r w:rsidRPr="00EC20A0">
        <w:t>controlling</w:t>
      </w:r>
      <w:r w:rsidRPr="00EC20A0">
        <w:rPr>
          <w:spacing w:val="-5"/>
        </w:rPr>
        <w:t xml:space="preserve"> </w:t>
      </w:r>
      <w:r w:rsidRPr="00EC20A0">
        <w:t>accounts and examine detailed supporting documentation.</w:t>
      </w:r>
    </w:p>
    <w:p w14:paraId="24D61BD6" w14:textId="77777777" w:rsidR="00245300" w:rsidRPr="00EC20A0" w:rsidRDefault="00F17249">
      <w:pPr>
        <w:pStyle w:val="ListParagraph"/>
        <w:numPr>
          <w:ilvl w:val="1"/>
          <w:numId w:val="82"/>
        </w:numPr>
        <w:tabs>
          <w:tab w:val="left" w:pos="2000"/>
        </w:tabs>
        <w:ind w:right="634"/>
      </w:pPr>
      <w:r w:rsidRPr="00EC20A0">
        <w:t>Determine</w:t>
      </w:r>
      <w:r w:rsidRPr="00EC20A0">
        <w:rPr>
          <w:spacing w:val="-5"/>
        </w:rPr>
        <w:t xml:space="preserve"> </w:t>
      </w:r>
      <w:r w:rsidRPr="00EC20A0">
        <w:t>the</w:t>
      </w:r>
      <w:r w:rsidRPr="00EC20A0">
        <w:rPr>
          <w:spacing w:val="-5"/>
        </w:rPr>
        <w:t xml:space="preserve"> </w:t>
      </w:r>
      <w:r w:rsidRPr="00EC20A0">
        <w:t>propriety</w:t>
      </w:r>
      <w:r w:rsidRPr="00EC20A0">
        <w:rPr>
          <w:spacing w:val="-6"/>
        </w:rPr>
        <w:t xml:space="preserve"> </w:t>
      </w:r>
      <w:r w:rsidRPr="00EC20A0">
        <w:t>and</w:t>
      </w:r>
      <w:r w:rsidRPr="00EC20A0">
        <w:rPr>
          <w:spacing w:val="-5"/>
        </w:rPr>
        <w:t xml:space="preserve"> </w:t>
      </w:r>
      <w:r w:rsidRPr="00EC20A0">
        <w:t>accuracy</w:t>
      </w:r>
      <w:r w:rsidRPr="00EC20A0">
        <w:rPr>
          <w:spacing w:val="-5"/>
        </w:rPr>
        <w:t xml:space="preserve"> </w:t>
      </w:r>
      <w:r w:rsidRPr="00EC20A0">
        <w:t>of</w:t>
      </w:r>
      <w:r w:rsidRPr="00EC20A0">
        <w:rPr>
          <w:spacing w:val="-5"/>
        </w:rPr>
        <w:t xml:space="preserve"> </w:t>
      </w:r>
      <w:r w:rsidRPr="00EC20A0">
        <w:t>recorded</w:t>
      </w:r>
      <w:r w:rsidRPr="00EC20A0">
        <w:rPr>
          <w:spacing w:val="-5"/>
        </w:rPr>
        <w:t xml:space="preserve"> </w:t>
      </w:r>
      <w:r w:rsidRPr="00EC20A0">
        <w:t>transfers</w:t>
      </w:r>
      <w:r w:rsidRPr="00EC20A0">
        <w:rPr>
          <w:spacing w:val="-5"/>
        </w:rPr>
        <w:t xml:space="preserve"> </w:t>
      </w:r>
      <w:r w:rsidRPr="00EC20A0">
        <w:t>and</w:t>
      </w:r>
      <w:r w:rsidRPr="00EC20A0">
        <w:rPr>
          <w:spacing w:val="-5"/>
        </w:rPr>
        <w:t xml:space="preserve"> </w:t>
      </w:r>
      <w:r w:rsidRPr="00EC20A0">
        <w:t xml:space="preserve">donations, examine subsidiary ledgers, and agree them to detailed supporting </w:t>
      </w:r>
      <w:r w:rsidRPr="00EC20A0">
        <w:rPr>
          <w:spacing w:val="-2"/>
        </w:rPr>
        <w:t>documentation.</w:t>
      </w:r>
    </w:p>
    <w:p w14:paraId="24D61BD7" w14:textId="77777777" w:rsidR="00245300" w:rsidRPr="00EC20A0" w:rsidRDefault="00F17249">
      <w:pPr>
        <w:pStyle w:val="ListParagraph"/>
        <w:numPr>
          <w:ilvl w:val="1"/>
          <w:numId w:val="82"/>
        </w:numPr>
        <w:tabs>
          <w:tab w:val="left" w:pos="2000"/>
        </w:tabs>
        <w:ind w:right="414"/>
      </w:pPr>
      <w:r w:rsidRPr="00EC20A0">
        <w:t>Recalculate</w:t>
      </w:r>
      <w:r w:rsidRPr="00EC20A0">
        <w:rPr>
          <w:spacing w:val="-6"/>
        </w:rPr>
        <w:t xml:space="preserve"> </w:t>
      </w:r>
      <w:r w:rsidRPr="00EC20A0">
        <w:t>footings</w:t>
      </w:r>
      <w:r w:rsidRPr="00EC20A0">
        <w:rPr>
          <w:spacing w:val="-5"/>
        </w:rPr>
        <w:t xml:space="preserve"> </w:t>
      </w:r>
      <w:r w:rsidRPr="00EC20A0">
        <w:t>and</w:t>
      </w:r>
      <w:r w:rsidRPr="00EC20A0">
        <w:rPr>
          <w:spacing w:val="-6"/>
        </w:rPr>
        <w:t xml:space="preserve"> </w:t>
      </w:r>
      <w:r w:rsidRPr="00EC20A0">
        <w:t>extensions</w:t>
      </w:r>
      <w:r w:rsidRPr="00EC20A0">
        <w:rPr>
          <w:spacing w:val="-5"/>
        </w:rPr>
        <w:t xml:space="preserve"> </w:t>
      </w:r>
      <w:r w:rsidRPr="00EC20A0">
        <w:t>in</w:t>
      </w:r>
      <w:r w:rsidRPr="00EC20A0">
        <w:rPr>
          <w:spacing w:val="-5"/>
        </w:rPr>
        <w:t xml:space="preserve"> </w:t>
      </w:r>
      <w:r w:rsidRPr="00EC20A0">
        <w:t>detailed</w:t>
      </w:r>
      <w:r w:rsidRPr="00EC20A0">
        <w:rPr>
          <w:spacing w:val="-5"/>
        </w:rPr>
        <w:t xml:space="preserve"> </w:t>
      </w:r>
      <w:r w:rsidRPr="00EC20A0">
        <w:t>documentation</w:t>
      </w:r>
      <w:r w:rsidRPr="00EC20A0">
        <w:rPr>
          <w:spacing w:val="-5"/>
        </w:rPr>
        <w:t xml:space="preserve"> </w:t>
      </w:r>
      <w:r w:rsidRPr="00EC20A0">
        <w:t>and</w:t>
      </w:r>
      <w:r w:rsidRPr="00EC20A0">
        <w:rPr>
          <w:spacing w:val="-5"/>
        </w:rPr>
        <w:t xml:space="preserve"> </w:t>
      </w:r>
      <w:r w:rsidRPr="00EC20A0">
        <w:t xml:space="preserve">summary </w:t>
      </w:r>
      <w:r w:rsidRPr="00EC20A0">
        <w:rPr>
          <w:spacing w:val="-2"/>
        </w:rPr>
        <w:t>analysis.</w:t>
      </w:r>
    </w:p>
    <w:p w14:paraId="24D61BD8" w14:textId="77777777" w:rsidR="00245300" w:rsidRPr="00EC20A0" w:rsidRDefault="00F17249">
      <w:pPr>
        <w:pStyle w:val="ListParagraph"/>
        <w:numPr>
          <w:ilvl w:val="0"/>
          <w:numId w:val="82"/>
        </w:numPr>
        <w:tabs>
          <w:tab w:val="left" w:pos="1640"/>
        </w:tabs>
        <w:ind w:right="541"/>
      </w:pPr>
      <w:r w:rsidRPr="00EC20A0">
        <w:rPr>
          <w:b/>
        </w:rPr>
        <w:t>Classification.</w:t>
      </w:r>
      <w:r w:rsidRPr="00EC20A0">
        <w:rPr>
          <w:b/>
          <w:spacing w:val="-5"/>
        </w:rPr>
        <w:t xml:space="preserve"> </w:t>
      </w:r>
      <w:r w:rsidRPr="00EC20A0">
        <w:t>To</w:t>
      </w:r>
      <w:r w:rsidRPr="00EC20A0">
        <w:rPr>
          <w:spacing w:val="-5"/>
        </w:rPr>
        <w:t xml:space="preserve"> </w:t>
      </w:r>
      <w:r w:rsidRPr="00EC20A0">
        <w:t>determine</w:t>
      </w:r>
      <w:r w:rsidRPr="00EC20A0">
        <w:rPr>
          <w:spacing w:val="-5"/>
        </w:rPr>
        <w:t xml:space="preserve"> </w:t>
      </w:r>
      <w:r w:rsidRPr="00EC20A0">
        <w:t>the</w:t>
      </w:r>
      <w:r w:rsidRPr="00EC20A0">
        <w:rPr>
          <w:spacing w:val="-5"/>
        </w:rPr>
        <w:t xml:space="preserve"> </w:t>
      </w:r>
      <w:r w:rsidRPr="00EC20A0">
        <w:t>aggregation,</w:t>
      </w:r>
      <w:r w:rsidRPr="00EC20A0">
        <w:rPr>
          <w:spacing w:val="-5"/>
        </w:rPr>
        <w:t xml:space="preserve"> </w:t>
      </w:r>
      <w:r w:rsidRPr="00EC20A0">
        <w:t>unitization,</w:t>
      </w:r>
      <w:r w:rsidRPr="00EC20A0">
        <w:rPr>
          <w:spacing w:val="-5"/>
        </w:rPr>
        <w:t xml:space="preserve"> </w:t>
      </w:r>
      <w:r w:rsidRPr="00EC20A0">
        <w:t>and</w:t>
      </w:r>
      <w:r w:rsidRPr="00EC20A0">
        <w:rPr>
          <w:spacing w:val="-5"/>
        </w:rPr>
        <w:t xml:space="preserve"> </w:t>
      </w:r>
      <w:r w:rsidRPr="00EC20A0">
        <w:t>categorization</w:t>
      </w:r>
      <w:r w:rsidRPr="00EC20A0">
        <w:rPr>
          <w:spacing w:val="-5"/>
        </w:rPr>
        <w:t xml:space="preserve"> </w:t>
      </w:r>
      <w:r w:rsidRPr="00EC20A0">
        <w:t xml:space="preserve">of physical units for heritage assets and stewardship land, the auditor may do the </w:t>
      </w:r>
      <w:r w:rsidRPr="00EC20A0">
        <w:rPr>
          <w:spacing w:val="-2"/>
        </w:rPr>
        <w:t>following:</w:t>
      </w:r>
    </w:p>
    <w:p w14:paraId="24D61BD9" w14:textId="77777777" w:rsidR="00245300" w:rsidRPr="00EC20A0" w:rsidRDefault="00F17249">
      <w:pPr>
        <w:pStyle w:val="ListParagraph"/>
        <w:numPr>
          <w:ilvl w:val="1"/>
          <w:numId w:val="82"/>
        </w:numPr>
        <w:tabs>
          <w:tab w:val="left" w:pos="2000"/>
        </w:tabs>
        <w:spacing w:before="239"/>
        <w:ind w:right="365"/>
      </w:pPr>
      <w:r w:rsidRPr="00EC20A0">
        <w:t>Examine entity documentation and methodology for categorization of units to determine</w:t>
      </w:r>
      <w:r w:rsidRPr="00EC20A0">
        <w:rPr>
          <w:spacing w:val="-5"/>
        </w:rPr>
        <w:t xml:space="preserve"> </w:t>
      </w:r>
      <w:r w:rsidRPr="00EC20A0">
        <w:t>whether</w:t>
      </w:r>
      <w:r w:rsidRPr="00EC20A0">
        <w:rPr>
          <w:spacing w:val="-5"/>
        </w:rPr>
        <w:t xml:space="preserve"> </w:t>
      </w:r>
      <w:r w:rsidRPr="00EC20A0">
        <w:t>the</w:t>
      </w:r>
      <w:r w:rsidRPr="00EC20A0">
        <w:rPr>
          <w:spacing w:val="-5"/>
        </w:rPr>
        <w:t xml:space="preserve"> </w:t>
      </w:r>
      <w:r w:rsidRPr="00EC20A0">
        <w:t>entity’s</w:t>
      </w:r>
      <w:r w:rsidRPr="00EC20A0">
        <w:rPr>
          <w:spacing w:val="-5"/>
        </w:rPr>
        <w:t xml:space="preserve"> </w:t>
      </w:r>
      <w:r w:rsidRPr="00EC20A0">
        <w:t>aggregation/categorization</w:t>
      </w:r>
      <w:r w:rsidRPr="00EC20A0">
        <w:rPr>
          <w:spacing w:val="-5"/>
        </w:rPr>
        <w:t xml:space="preserve"> </w:t>
      </w:r>
      <w:r w:rsidRPr="00EC20A0">
        <w:t>and</w:t>
      </w:r>
      <w:r w:rsidRPr="00EC20A0">
        <w:rPr>
          <w:spacing w:val="-5"/>
        </w:rPr>
        <w:t xml:space="preserve"> </w:t>
      </w:r>
      <w:r w:rsidRPr="00EC20A0">
        <w:t>physical</w:t>
      </w:r>
      <w:r w:rsidRPr="00EC20A0">
        <w:rPr>
          <w:spacing w:val="-5"/>
        </w:rPr>
        <w:t xml:space="preserve"> </w:t>
      </w:r>
      <w:r w:rsidRPr="00EC20A0">
        <w:t>unit</w:t>
      </w:r>
      <w:r w:rsidRPr="00EC20A0">
        <w:rPr>
          <w:spacing w:val="-5"/>
        </w:rPr>
        <w:t xml:space="preserve"> </w:t>
      </w:r>
      <w:r w:rsidRPr="00EC20A0">
        <w:t>of measure are appropriate, based on the entity’s mission, how the entity views the</w:t>
      </w:r>
      <w:r w:rsidRPr="00EC20A0">
        <w:rPr>
          <w:spacing w:val="-3"/>
        </w:rPr>
        <w:t xml:space="preserve"> </w:t>
      </w:r>
      <w:r w:rsidRPr="00EC20A0">
        <w:t>asset</w:t>
      </w:r>
      <w:r w:rsidRPr="00EC20A0">
        <w:rPr>
          <w:spacing w:val="-3"/>
        </w:rPr>
        <w:t xml:space="preserve"> </w:t>
      </w:r>
      <w:r w:rsidRPr="00EC20A0">
        <w:t>for</w:t>
      </w:r>
      <w:r w:rsidRPr="00EC20A0">
        <w:rPr>
          <w:spacing w:val="-4"/>
        </w:rPr>
        <w:t xml:space="preserve"> </w:t>
      </w:r>
      <w:r w:rsidRPr="00EC20A0">
        <w:t>management</w:t>
      </w:r>
      <w:r w:rsidRPr="00EC20A0">
        <w:rPr>
          <w:spacing w:val="-3"/>
        </w:rPr>
        <w:t xml:space="preserve"> </w:t>
      </w:r>
      <w:r w:rsidRPr="00EC20A0">
        <w:t>purposes,</w:t>
      </w:r>
      <w:r w:rsidRPr="00EC20A0">
        <w:rPr>
          <w:spacing w:val="-4"/>
        </w:rPr>
        <w:t xml:space="preserve"> </w:t>
      </w:r>
      <w:r w:rsidRPr="00EC20A0">
        <w:t>types</w:t>
      </w:r>
      <w:r w:rsidRPr="00EC20A0">
        <w:rPr>
          <w:spacing w:val="-3"/>
        </w:rPr>
        <w:t xml:space="preserve"> </w:t>
      </w:r>
      <w:r w:rsidRPr="00EC20A0">
        <w:t>of</w:t>
      </w:r>
      <w:r w:rsidRPr="00EC20A0">
        <w:rPr>
          <w:spacing w:val="-3"/>
        </w:rPr>
        <w:t xml:space="preserve"> </w:t>
      </w:r>
      <w:r w:rsidRPr="00EC20A0">
        <w:t>heritage</w:t>
      </w:r>
      <w:r w:rsidRPr="00EC20A0">
        <w:rPr>
          <w:spacing w:val="-3"/>
        </w:rPr>
        <w:t xml:space="preserve"> </w:t>
      </w:r>
      <w:r w:rsidRPr="00EC20A0">
        <w:t>assets,</w:t>
      </w:r>
      <w:r w:rsidRPr="00EC20A0">
        <w:rPr>
          <w:spacing w:val="-3"/>
        </w:rPr>
        <w:t xml:space="preserve"> </w:t>
      </w:r>
      <w:r w:rsidRPr="00EC20A0">
        <w:t>and</w:t>
      </w:r>
      <w:r w:rsidRPr="00EC20A0">
        <w:rPr>
          <w:spacing w:val="-3"/>
        </w:rPr>
        <w:t xml:space="preserve"> </w:t>
      </w:r>
      <w:r w:rsidRPr="00EC20A0">
        <w:t xml:space="preserve">materiality considerations. The entity should designate asset categories that are meaningful and reflect how it views </w:t>
      </w:r>
      <w:r w:rsidRPr="00EC20A0">
        <w:t>assets for management purposes. It would also be helpful if entities documented the reasoning for categorization.</w:t>
      </w:r>
    </w:p>
    <w:p w14:paraId="24D61BDA" w14:textId="77777777" w:rsidR="00245300" w:rsidRPr="00EC20A0" w:rsidRDefault="00F17249">
      <w:pPr>
        <w:pStyle w:val="ListParagraph"/>
        <w:numPr>
          <w:ilvl w:val="1"/>
          <w:numId w:val="82"/>
        </w:numPr>
        <w:tabs>
          <w:tab w:val="left" w:pos="2000"/>
        </w:tabs>
        <w:spacing w:before="241"/>
        <w:ind w:right="732"/>
      </w:pPr>
      <w:r w:rsidRPr="00EC20A0">
        <w:t>Determine whether the results of testing and the nature of misstatements indicate</w:t>
      </w:r>
      <w:r w:rsidRPr="00EC20A0">
        <w:rPr>
          <w:spacing w:val="-4"/>
        </w:rPr>
        <w:t xml:space="preserve"> </w:t>
      </w:r>
      <w:r w:rsidRPr="00EC20A0">
        <w:t>that</w:t>
      </w:r>
      <w:r w:rsidRPr="00EC20A0">
        <w:rPr>
          <w:spacing w:val="-5"/>
        </w:rPr>
        <w:t xml:space="preserve"> </w:t>
      </w: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reassess</w:t>
      </w:r>
      <w:r w:rsidRPr="00EC20A0">
        <w:rPr>
          <w:spacing w:val="-4"/>
        </w:rPr>
        <w:t xml:space="preserve"> </w:t>
      </w:r>
      <w:r w:rsidRPr="00EC20A0">
        <w:t>the</w:t>
      </w:r>
      <w:r w:rsidRPr="00EC20A0">
        <w:rPr>
          <w:spacing w:val="-4"/>
        </w:rPr>
        <w:t xml:space="preserve"> </w:t>
      </w:r>
      <w:r w:rsidRPr="00EC20A0">
        <w:t>risk</w:t>
      </w:r>
      <w:r w:rsidRPr="00EC20A0">
        <w:rPr>
          <w:spacing w:val="-5"/>
        </w:rPr>
        <w:t xml:space="preserve"> </w:t>
      </w:r>
      <w:r w:rsidRPr="00EC20A0">
        <w:t>of</w:t>
      </w:r>
      <w:r w:rsidRPr="00EC20A0">
        <w:rPr>
          <w:spacing w:val="-4"/>
        </w:rPr>
        <w:t xml:space="preserve"> </w:t>
      </w:r>
      <w:r w:rsidRPr="00EC20A0">
        <w:t>material</w:t>
      </w:r>
      <w:r w:rsidRPr="00EC20A0">
        <w:rPr>
          <w:spacing w:val="-4"/>
        </w:rPr>
        <w:t xml:space="preserve"> </w:t>
      </w:r>
      <w:r w:rsidRPr="00EC20A0">
        <w:t>misstatement and revise procedures.</w:t>
      </w:r>
    </w:p>
    <w:p w14:paraId="24D61BDB" w14:textId="77777777" w:rsidR="00245300" w:rsidRPr="00EC20A0" w:rsidRDefault="00F17249">
      <w:pPr>
        <w:pStyle w:val="Heading5"/>
        <w:rPr>
          <w:u w:val="none"/>
        </w:rPr>
      </w:pPr>
      <w:bookmarkStart w:id="341" w:name="Reporting_Phase"/>
      <w:bookmarkEnd w:id="341"/>
      <w:r w:rsidRPr="00EC20A0">
        <w:t>Reporting</w:t>
      </w:r>
      <w:r w:rsidRPr="00EC20A0">
        <w:rPr>
          <w:spacing w:val="-5"/>
        </w:rPr>
        <w:t xml:space="preserve"> </w:t>
      </w:r>
      <w:r w:rsidRPr="00EC20A0">
        <w:rPr>
          <w:spacing w:val="-2"/>
        </w:rPr>
        <w:t>Phase</w:t>
      </w:r>
    </w:p>
    <w:p w14:paraId="24D61BDC" w14:textId="77777777" w:rsidR="00245300" w:rsidRPr="00EC20A0" w:rsidRDefault="00F17249">
      <w:pPr>
        <w:pStyle w:val="ListParagraph"/>
        <w:numPr>
          <w:ilvl w:val="0"/>
          <w:numId w:val="82"/>
        </w:numPr>
        <w:tabs>
          <w:tab w:val="left" w:pos="1640"/>
        </w:tabs>
        <w:spacing w:before="238"/>
        <w:ind w:right="664"/>
      </w:pPr>
      <w:r w:rsidRPr="00EC20A0">
        <w:t>To determine the proper reporting, presentation, and disclosure of heritage assets</w:t>
      </w:r>
      <w:r w:rsidRPr="00EC20A0">
        <w:rPr>
          <w:spacing w:val="-3"/>
        </w:rPr>
        <w:t xml:space="preserve"> </w:t>
      </w:r>
      <w:r w:rsidRPr="00EC20A0">
        <w:t>and</w:t>
      </w:r>
      <w:r w:rsidRPr="00EC20A0">
        <w:rPr>
          <w:spacing w:val="-4"/>
        </w:rPr>
        <w:t xml:space="preserve"> </w:t>
      </w:r>
      <w:r w:rsidRPr="00EC20A0">
        <w:t>stewardship</w:t>
      </w:r>
      <w:r w:rsidRPr="00EC20A0">
        <w:rPr>
          <w:spacing w:val="-4"/>
        </w:rPr>
        <w:t xml:space="preserve"> </w:t>
      </w:r>
      <w:r w:rsidRPr="00EC20A0">
        <w:t>land,</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may</w:t>
      </w:r>
      <w:r w:rsidRPr="00EC20A0">
        <w:rPr>
          <w:spacing w:val="-3"/>
        </w:rPr>
        <w:t xml:space="preserve"> </w:t>
      </w:r>
      <w:r w:rsidRPr="00EC20A0">
        <w:t>review</w:t>
      </w:r>
      <w:r w:rsidRPr="00EC20A0">
        <w:rPr>
          <w:spacing w:val="-4"/>
        </w:rPr>
        <w:t xml:space="preserve"> </w:t>
      </w:r>
      <w:r w:rsidRPr="00EC20A0">
        <w:t>the</w:t>
      </w:r>
      <w:r w:rsidRPr="00EC20A0">
        <w:rPr>
          <w:spacing w:val="-3"/>
        </w:rPr>
        <w:t xml:space="preserve"> </w:t>
      </w:r>
      <w:r w:rsidRPr="00EC20A0">
        <w:t>balance</w:t>
      </w:r>
      <w:r w:rsidRPr="00EC20A0">
        <w:rPr>
          <w:spacing w:val="-3"/>
        </w:rPr>
        <w:t xml:space="preserve"> </w:t>
      </w:r>
      <w:r w:rsidRPr="00EC20A0">
        <w:t>sheet</w:t>
      </w:r>
      <w:r w:rsidRPr="00EC20A0">
        <w:rPr>
          <w:spacing w:val="-3"/>
        </w:rPr>
        <w:t xml:space="preserve"> </w:t>
      </w:r>
      <w:r w:rsidRPr="00EC20A0">
        <w:t>for</w:t>
      </w:r>
      <w:r w:rsidRPr="00EC20A0">
        <w:rPr>
          <w:spacing w:val="-3"/>
        </w:rPr>
        <w:t xml:space="preserve"> </w:t>
      </w:r>
      <w:r w:rsidRPr="00EC20A0">
        <w:t>the appropriate note reference and determine whether these items are properly reported and correctly classified as heritage assets and stewardship land in accordance</w:t>
      </w:r>
      <w:r w:rsidRPr="00EC20A0">
        <w:rPr>
          <w:spacing w:val="-5"/>
        </w:rPr>
        <w:t xml:space="preserve"> </w:t>
      </w:r>
      <w:r w:rsidRPr="00EC20A0">
        <w:t>with</w:t>
      </w:r>
      <w:r w:rsidRPr="00EC20A0">
        <w:rPr>
          <w:spacing w:val="-4"/>
        </w:rPr>
        <w:t xml:space="preserve"> </w:t>
      </w:r>
      <w:r w:rsidRPr="00EC20A0">
        <w:t>SFFAS</w:t>
      </w:r>
      <w:r w:rsidRPr="00EC20A0">
        <w:rPr>
          <w:spacing w:val="-3"/>
        </w:rPr>
        <w:t xml:space="preserve"> </w:t>
      </w:r>
      <w:r w:rsidRPr="00EC20A0">
        <w:t>29.</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also</w:t>
      </w:r>
      <w:r w:rsidRPr="00EC20A0">
        <w:rPr>
          <w:spacing w:val="-4"/>
        </w:rPr>
        <w:t xml:space="preserve"> </w:t>
      </w:r>
      <w:r w:rsidRPr="00EC20A0">
        <w:t>read</w:t>
      </w:r>
      <w:r w:rsidRPr="00EC20A0">
        <w:rPr>
          <w:spacing w:val="-4"/>
        </w:rPr>
        <w:t xml:space="preserve"> </w:t>
      </w:r>
      <w:r w:rsidRPr="00EC20A0">
        <w:t>the</w:t>
      </w:r>
      <w:r w:rsidRPr="00EC20A0">
        <w:rPr>
          <w:spacing w:val="-5"/>
        </w:rPr>
        <w:t xml:space="preserve"> </w:t>
      </w:r>
      <w:r w:rsidRPr="00EC20A0">
        <w:t>note</w:t>
      </w:r>
      <w:r w:rsidRPr="00EC20A0">
        <w:rPr>
          <w:spacing w:val="-4"/>
        </w:rPr>
        <w:t xml:space="preserve"> </w:t>
      </w:r>
      <w:r w:rsidRPr="00EC20A0">
        <w:t>disclosures and determine whether the entity reported the following:</w:t>
      </w:r>
    </w:p>
    <w:p w14:paraId="24D61BDD" w14:textId="77777777" w:rsidR="00245300" w:rsidRPr="00EC20A0" w:rsidRDefault="00F17249">
      <w:pPr>
        <w:pStyle w:val="ListParagraph"/>
        <w:numPr>
          <w:ilvl w:val="1"/>
          <w:numId w:val="82"/>
        </w:numPr>
        <w:tabs>
          <w:tab w:val="left" w:pos="1999"/>
        </w:tabs>
        <w:spacing w:before="120"/>
        <w:ind w:left="1999" w:right="915"/>
      </w:pPr>
      <w:r w:rsidRPr="00EC20A0">
        <w:t>disclosure</w:t>
      </w:r>
      <w:r w:rsidRPr="00EC20A0">
        <w:rPr>
          <w:spacing w:val="-4"/>
        </w:rPr>
        <w:t xml:space="preserve"> </w:t>
      </w:r>
      <w:r w:rsidRPr="00EC20A0">
        <w:t>of</w:t>
      </w:r>
      <w:r w:rsidRPr="00EC20A0">
        <w:rPr>
          <w:spacing w:val="-4"/>
        </w:rPr>
        <w:t xml:space="preserve"> </w:t>
      </w:r>
      <w:r w:rsidRPr="00EC20A0">
        <w:t>how</w:t>
      </w:r>
      <w:r w:rsidRPr="00EC20A0">
        <w:rPr>
          <w:spacing w:val="-5"/>
        </w:rPr>
        <w:t xml:space="preserve"> </w:t>
      </w:r>
      <w:r w:rsidRPr="00EC20A0">
        <w:t>the</w:t>
      </w:r>
      <w:r w:rsidRPr="00EC20A0">
        <w:rPr>
          <w:spacing w:val="-4"/>
        </w:rPr>
        <w:t xml:space="preserve"> </w:t>
      </w:r>
      <w:r w:rsidRPr="00EC20A0">
        <w:t>heritage</w:t>
      </w:r>
      <w:r w:rsidRPr="00EC20A0">
        <w:rPr>
          <w:spacing w:val="-4"/>
        </w:rPr>
        <w:t xml:space="preserve"> </w:t>
      </w:r>
      <w:r w:rsidRPr="00EC20A0">
        <w:t>assets</w:t>
      </w:r>
      <w:r w:rsidRPr="00EC20A0">
        <w:rPr>
          <w:spacing w:val="-4"/>
        </w:rPr>
        <w:t xml:space="preserve"> </w:t>
      </w:r>
      <w:r w:rsidRPr="00EC20A0">
        <w:t>and</w:t>
      </w:r>
      <w:r w:rsidRPr="00EC20A0">
        <w:rPr>
          <w:spacing w:val="-4"/>
        </w:rPr>
        <w:t xml:space="preserve"> </w:t>
      </w:r>
      <w:r w:rsidRPr="00EC20A0">
        <w:t>stewardship</w:t>
      </w:r>
      <w:r w:rsidRPr="00EC20A0">
        <w:rPr>
          <w:spacing w:val="-4"/>
        </w:rPr>
        <w:t xml:space="preserve"> </w:t>
      </w:r>
      <w:r w:rsidRPr="00EC20A0">
        <w:t>land</w:t>
      </w:r>
      <w:r w:rsidRPr="00EC20A0">
        <w:rPr>
          <w:spacing w:val="-4"/>
        </w:rPr>
        <w:t xml:space="preserve"> </w:t>
      </w:r>
      <w:r w:rsidRPr="00EC20A0">
        <w:t>relate</w:t>
      </w:r>
      <w:r w:rsidRPr="00EC20A0">
        <w:rPr>
          <w:spacing w:val="-4"/>
        </w:rPr>
        <w:t xml:space="preserve"> </w:t>
      </w:r>
      <w:r w:rsidRPr="00EC20A0">
        <w:t>to</w:t>
      </w:r>
      <w:r w:rsidRPr="00EC20A0">
        <w:rPr>
          <w:spacing w:val="-4"/>
        </w:rPr>
        <w:t xml:space="preserve"> </w:t>
      </w:r>
      <w:r w:rsidRPr="00EC20A0">
        <w:t>the entity’s mission;</w:t>
      </w:r>
    </w:p>
    <w:p w14:paraId="24D61BDE" w14:textId="77777777" w:rsidR="00245300" w:rsidRPr="00EC20A0" w:rsidRDefault="00F17249">
      <w:pPr>
        <w:pStyle w:val="ListParagraph"/>
        <w:numPr>
          <w:ilvl w:val="1"/>
          <w:numId w:val="82"/>
        </w:numPr>
        <w:tabs>
          <w:tab w:val="left" w:pos="1999"/>
        </w:tabs>
        <w:spacing w:before="121"/>
        <w:ind w:left="1999" w:hanging="359"/>
      </w:pPr>
      <w:r w:rsidRPr="00EC20A0">
        <w:t>description</w:t>
      </w:r>
      <w:r w:rsidRPr="00EC20A0">
        <w:rPr>
          <w:spacing w:val="-12"/>
        </w:rPr>
        <w:t xml:space="preserve"> </w:t>
      </w:r>
      <w:r w:rsidRPr="00EC20A0">
        <w:t>of</w:t>
      </w:r>
      <w:r w:rsidRPr="00EC20A0">
        <w:rPr>
          <w:spacing w:val="-9"/>
        </w:rPr>
        <w:t xml:space="preserve"> </w:t>
      </w:r>
      <w:r w:rsidRPr="00EC20A0">
        <w:t>stewardship</w:t>
      </w:r>
      <w:r w:rsidRPr="00EC20A0">
        <w:rPr>
          <w:spacing w:val="-9"/>
        </w:rPr>
        <w:t xml:space="preserve"> </w:t>
      </w:r>
      <w:r w:rsidRPr="00EC20A0">
        <w:rPr>
          <w:spacing w:val="-2"/>
        </w:rPr>
        <w:t>policies;</w:t>
      </w:r>
    </w:p>
    <w:p w14:paraId="24D61BDF" w14:textId="77777777" w:rsidR="00245300" w:rsidRPr="00EC20A0" w:rsidRDefault="00F17249">
      <w:pPr>
        <w:pStyle w:val="ListParagraph"/>
        <w:numPr>
          <w:ilvl w:val="1"/>
          <w:numId w:val="82"/>
        </w:numPr>
        <w:tabs>
          <w:tab w:val="left" w:pos="1999"/>
        </w:tabs>
        <w:spacing w:before="120"/>
        <w:ind w:left="1999" w:right="708"/>
      </w:pPr>
      <w:r w:rsidRPr="00EC20A0">
        <w:t>description</w:t>
      </w:r>
      <w:r w:rsidRPr="00EC20A0">
        <w:rPr>
          <w:spacing w:val="-7"/>
        </w:rPr>
        <w:t xml:space="preserve"> </w:t>
      </w:r>
      <w:r w:rsidRPr="00EC20A0">
        <w:t>of</w:t>
      </w:r>
      <w:r w:rsidRPr="00EC20A0">
        <w:rPr>
          <w:spacing w:val="-4"/>
        </w:rPr>
        <w:t xml:space="preserve"> </w:t>
      </w:r>
      <w:r w:rsidRPr="00EC20A0">
        <w:t>each</w:t>
      </w:r>
      <w:r w:rsidRPr="00EC20A0">
        <w:rPr>
          <w:spacing w:val="-4"/>
        </w:rPr>
        <w:t xml:space="preserve"> </w:t>
      </w:r>
      <w:r w:rsidRPr="00EC20A0">
        <w:t>major</w:t>
      </w:r>
      <w:r w:rsidRPr="00EC20A0">
        <w:rPr>
          <w:spacing w:val="-4"/>
        </w:rPr>
        <w:t xml:space="preserve"> </w:t>
      </w:r>
      <w:r w:rsidRPr="00EC20A0">
        <w:t>category</w:t>
      </w:r>
      <w:r w:rsidRPr="00EC20A0">
        <w:rPr>
          <w:spacing w:val="-5"/>
        </w:rPr>
        <w:t xml:space="preserve"> </w:t>
      </w:r>
      <w:r w:rsidRPr="00EC20A0">
        <w:t>of</w:t>
      </w:r>
      <w:r w:rsidRPr="00EC20A0">
        <w:rPr>
          <w:spacing w:val="-4"/>
        </w:rPr>
        <w:t xml:space="preserve"> </w:t>
      </w:r>
      <w:r w:rsidRPr="00EC20A0">
        <w:t>heritage</w:t>
      </w:r>
      <w:r w:rsidRPr="00EC20A0">
        <w:rPr>
          <w:spacing w:val="-4"/>
        </w:rPr>
        <w:t xml:space="preserve"> </w:t>
      </w:r>
      <w:r w:rsidRPr="00EC20A0">
        <w:t>asset</w:t>
      </w:r>
      <w:r w:rsidRPr="00EC20A0">
        <w:rPr>
          <w:spacing w:val="-4"/>
        </w:rPr>
        <w:t xml:space="preserve"> </w:t>
      </w:r>
      <w:r w:rsidRPr="00EC20A0">
        <w:t>and</w:t>
      </w:r>
      <w:r w:rsidRPr="00EC20A0">
        <w:rPr>
          <w:spacing w:val="-4"/>
        </w:rPr>
        <w:t xml:space="preserve"> </w:t>
      </w:r>
      <w:r w:rsidRPr="00EC20A0">
        <w:t>stewardship</w:t>
      </w:r>
      <w:r w:rsidRPr="00EC20A0">
        <w:rPr>
          <w:spacing w:val="-4"/>
        </w:rPr>
        <w:t xml:space="preserve"> </w:t>
      </w:r>
      <w:r w:rsidRPr="00EC20A0">
        <w:t xml:space="preserve">land </w:t>
      </w:r>
      <w:r w:rsidRPr="00EC20A0">
        <w:rPr>
          <w:spacing w:val="-4"/>
        </w:rPr>
        <w:t>use;</w:t>
      </w:r>
    </w:p>
    <w:p w14:paraId="24D61BE0" w14:textId="77777777" w:rsidR="00245300" w:rsidRPr="00EC20A0" w:rsidRDefault="00F17249">
      <w:pPr>
        <w:pStyle w:val="ListParagraph"/>
        <w:numPr>
          <w:ilvl w:val="1"/>
          <w:numId w:val="82"/>
        </w:numPr>
        <w:tabs>
          <w:tab w:val="left" w:pos="1999"/>
        </w:tabs>
        <w:spacing w:before="119"/>
        <w:ind w:left="1999" w:right="341"/>
      </w:pPr>
      <w:r w:rsidRPr="00EC20A0">
        <w:t>disclosure of the number of physical units by major category, the number of physical</w:t>
      </w:r>
      <w:r w:rsidRPr="00EC20A0">
        <w:rPr>
          <w:spacing w:val="-4"/>
        </w:rPr>
        <w:t xml:space="preserve"> </w:t>
      </w:r>
      <w:r w:rsidRPr="00EC20A0">
        <w:t>units</w:t>
      </w:r>
      <w:r w:rsidRPr="00EC20A0">
        <w:rPr>
          <w:spacing w:val="-4"/>
        </w:rPr>
        <w:t xml:space="preserve"> </w:t>
      </w:r>
      <w:r w:rsidRPr="00EC20A0">
        <w:t>by</w:t>
      </w:r>
      <w:r w:rsidRPr="00EC20A0">
        <w:rPr>
          <w:spacing w:val="-4"/>
        </w:rPr>
        <w:t xml:space="preserve"> </w:t>
      </w:r>
      <w:r w:rsidRPr="00EC20A0">
        <w:t>major</w:t>
      </w:r>
      <w:r w:rsidRPr="00EC20A0">
        <w:rPr>
          <w:spacing w:val="-4"/>
        </w:rPr>
        <w:t xml:space="preserve"> </w:t>
      </w:r>
      <w:r w:rsidRPr="00EC20A0">
        <w:t>category</w:t>
      </w:r>
      <w:r w:rsidRPr="00EC20A0">
        <w:rPr>
          <w:spacing w:val="-4"/>
        </w:rPr>
        <w:t xml:space="preserve"> </w:t>
      </w:r>
      <w:r w:rsidRPr="00EC20A0">
        <w:t>acquired</w:t>
      </w:r>
      <w:r w:rsidRPr="00EC20A0">
        <w:rPr>
          <w:spacing w:val="-4"/>
        </w:rPr>
        <w:t xml:space="preserve"> </w:t>
      </w:r>
      <w:r w:rsidRPr="00EC20A0">
        <w:t>and</w:t>
      </w:r>
      <w:r w:rsidRPr="00EC20A0">
        <w:rPr>
          <w:spacing w:val="-4"/>
        </w:rPr>
        <w:t xml:space="preserve"> </w:t>
      </w:r>
      <w:r w:rsidRPr="00EC20A0">
        <w:t>withdrawn,</w:t>
      </w:r>
      <w:r w:rsidRPr="00EC20A0">
        <w:rPr>
          <w:spacing w:val="-4"/>
        </w:rPr>
        <w:t xml:space="preserve"> </w:t>
      </w:r>
      <w:r w:rsidRPr="00EC20A0">
        <w:t>and</w:t>
      </w:r>
      <w:r w:rsidRPr="00EC20A0">
        <w:rPr>
          <w:spacing w:val="-4"/>
        </w:rPr>
        <w:t xml:space="preserve"> </w:t>
      </w:r>
      <w:r w:rsidRPr="00EC20A0">
        <w:t>a</w:t>
      </w:r>
      <w:r w:rsidRPr="00EC20A0">
        <w:rPr>
          <w:spacing w:val="-4"/>
        </w:rPr>
        <w:t xml:space="preserve"> </w:t>
      </w:r>
      <w:r w:rsidRPr="00EC20A0">
        <w:t>description</w:t>
      </w:r>
      <w:r w:rsidRPr="00EC20A0">
        <w:rPr>
          <w:spacing w:val="-4"/>
        </w:rPr>
        <w:t xml:space="preserve"> </w:t>
      </w:r>
      <w:r w:rsidRPr="00EC20A0">
        <w:t>of the major methods of acquisition and withdrawal;</w:t>
      </w:r>
    </w:p>
    <w:p w14:paraId="24D61BE1" w14:textId="77777777" w:rsidR="00245300" w:rsidRPr="00EC20A0" w:rsidRDefault="00F17249">
      <w:pPr>
        <w:pStyle w:val="ListParagraph"/>
        <w:numPr>
          <w:ilvl w:val="1"/>
          <w:numId w:val="82"/>
        </w:numPr>
        <w:tabs>
          <w:tab w:val="left" w:pos="1998"/>
        </w:tabs>
        <w:spacing w:before="121"/>
        <w:ind w:left="1998" w:hanging="359"/>
      </w:pPr>
      <w:r w:rsidRPr="00EC20A0">
        <w:t>discussion</w:t>
      </w:r>
      <w:r w:rsidRPr="00EC20A0">
        <w:rPr>
          <w:spacing w:val="-9"/>
        </w:rPr>
        <w:t xml:space="preserve"> </w:t>
      </w:r>
      <w:r w:rsidRPr="00EC20A0">
        <w:t>of</w:t>
      </w:r>
      <w:r w:rsidRPr="00EC20A0">
        <w:rPr>
          <w:spacing w:val="-8"/>
        </w:rPr>
        <w:t xml:space="preserve"> </w:t>
      </w:r>
      <w:r w:rsidRPr="00EC20A0">
        <w:t>multiuse</w:t>
      </w:r>
      <w:r w:rsidRPr="00EC20A0">
        <w:rPr>
          <w:spacing w:val="-8"/>
        </w:rPr>
        <w:t xml:space="preserve"> </w:t>
      </w:r>
      <w:r w:rsidRPr="00EC20A0">
        <w:t>heritage</w:t>
      </w:r>
      <w:r w:rsidRPr="00EC20A0">
        <w:rPr>
          <w:spacing w:val="-8"/>
        </w:rPr>
        <w:t xml:space="preserve"> </w:t>
      </w:r>
      <w:r w:rsidRPr="00EC20A0">
        <w:t>assets;</w:t>
      </w:r>
      <w:r w:rsidRPr="00EC20A0">
        <w:rPr>
          <w:spacing w:val="-8"/>
        </w:rPr>
        <w:t xml:space="preserve"> </w:t>
      </w:r>
      <w:r w:rsidRPr="00EC20A0">
        <w:rPr>
          <w:spacing w:val="-5"/>
        </w:rPr>
        <w:t>and</w:t>
      </w:r>
    </w:p>
    <w:p w14:paraId="24D61BE2" w14:textId="77777777" w:rsidR="00245300" w:rsidRPr="00EC20A0" w:rsidRDefault="00245300">
      <w:pPr>
        <w:sectPr w:rsidR="00245300" w:rsidRPr="00EC20A0">
          <w:pgSz w:w="12240" w:h="15840"/>
          <w:pgMar w:top="1340" w:right="1100" w:bottom="940" w:left="1240" w:header="721" w:footer="757" w:gutter="0"/>
          <w:cols w:space="720"/>
        </w:sectPr>
      </w:pPr>
    </w:p>
    <w:p w14:paraId="24D61BE3" w14:textId="77777777" w:rsidR="00245300" w:rsidRPr="00EC20A0" w:rsidRDefault="00F17249">
      <w:pPr>
        <w:pStyle w:val="ListParagraph"/>
        <w:numPr>
          <w:ilvl w:val="1"/>
          <w:numId w:val="82"/>
        </w:numPr>
        <w:tabs>
          <w:tab w:val="left" w:pos="1999"/>
        </w:tabs>
        <w:spacing w:before="121"/>
        <w:ind w:left="1999" w:hanging="359"/>
      </w:pPr>
      <w:r w:rsidRPr="00EC20A0">
        <w:t>a</w:t>
      </w:r>
      <w:r w:rsidRPr="00EC20A0">
        <w:rPr>
          <w:spacing w:val="-7"/>
        </w:rPr>
        <w:t xml:space="preserve"> </w:t>
      </w:r>
      <w:r w:rsidRPr="00EC20A0">
        <w:t>reference</w:t>
      </w:r>
      <w:r w:rsidRPr="00EC20A0">
        <w:rPr>
          <w:spacing w:val="-8"/>
        </w:rPr>
        <w:t xml:space="preserve"> </w:t>
      </w:r>
      <w:r w:rsidRPr="00EC20A0">
        <w:t>to</w:t>
      </w:r>
      <w:r w:rsidRPr="00EC20A0">
        <w:rPr>
          <w:spacing w:val="-7"/>
        </w:rPr>
        <w:t xml:space="preserve"> </w:t>
      </w:r>
      <w:r w:rsidRPr="00EC20A0">
        <w:t>deferred</w:t>
      </w:r>
      <w:r w:rsidRPr="00EC20A0">
        <w:rPr>
          <w:spacing w:val="-7"/>
        </w:rPr>
        <w:t xml:space="preserve"> </w:t>
      </w:r>
      <w:r w:rsidRPr="00EC20A0">
        <w:t>maintenance</w:t>
      </w:r>
      <w:r w:rsidRPr="00EC20A0">
        <w:rPr>
          <w:spacing w:val="-7"/>
        </w:rPr>
        <w:t xml:space="preserve"> </w:t>
      </w:r>
      <w:r w:rsidRPr="00EC20A0">
        <w:t>and</w:t>
      </w:r>
      <w:r w:rsidRPr="00EC20A0">
        <w:rPr>
          <w:spacing w:val="-7"/>
        </w:rPr>
        <w:t xml:space="preserve"> </w:t>
      </w:r>
      <w:r w:rsidRPr="00EC20A0">
        <w:t>repairs</w:t>
      </w:r>
      <w:r w:rsidRPr="00EC20A0">
        <w:rPr>
          <w:spacing w:val="-7"/>
        </w:rPr>
        <w:t xml:space="preserve"> </w:t>
      </w:r>
      <w:r w:rsidRPr="00EC20A0">
        <w:t>information</w:t>
      </w:r>
      <w:r w:rsidRPr="00EC20A0">
        <w:rPr>
          <w:spacing w:val="-7"/>
        </w:rPr>
        <w:t xml:space="preserve"> </w:t>
      </w:r>
      <w:r w:rsidRPr="00EC20A0">
        <w:t>reported</w:t>
      </w:r>
      <w:r w:rsidRPr="00EC20A0">
        <w:rPr>
          <w:spacing w:val="-7"/>
        </w:rPr>
        <w:t xml:space="preserve"> </w:t>
      </w:r>
      <w:r w:rsidRPr="00EC20A0">
        <w:t>as</w:t>
      </w:r>
      <w:r w:rsidRPr="00EC20A0">
        <w:rPr>
          <w:spacing w:val="-6"/>
        </w:rPr>
        <w:t xml:space="preserve"> </w:t>
      </w:r>
      <w:r w:rsidRPr="00EC20A0">
        <w:rPr>
          <w:spacing w:val="-4"/>
        </w:rPr>
        <w:t>RSI.</w:t>
      </w:r>
    </w:p>
    <w:p w14:paraId="24D61BE4" w14:textId="77777777" w:rsidR="00245300" w:rsidRPr="00EC20A0" w:rsidRDefault="00F17249">
      <w:pPr>
        <w:pStyle w:val="BodyText"/>
        <w:spacing w:before="120"/>
        <w:ind w:left="1639" w:right="405"/>
      </w:pPr>
      <w:r w:rsidRPr="00EC20A0">
        <w:t>The auditor should summarize the results and determine if adjustments are necessary</w:t>
      </w:r>
      <w:r w:rsidRPr="00EC20A0">
        <w:rPr>
          <w:spacing w:val="-5"/>
        </w:rPr>
        <w:t xml:space="preserve"> </w:t>
      </w:r>
      <w:r w:rsidRPr="00EC20A0">
        <w:t>and</w:t>
      </w:r>
      <w:r w:rsidRPr="00EC20A0">
        <w:rPr>
          <w:spacing w:val="-4"/>
        </w:rPr>
        <w:t xml:space="preserve"> </w:t>
      </w:r>
      <w:r w:rsidRPr="00EC20A0">
        <w:t>conclude</w:t>
      </w:r>
      <w:r w:rsidRPr="00EC20A0">
        <w:rPr>
          <w:spacing w:val="-5"/>
        </w:rPr>
        <w:t xml:space="preserve"> </w:t>
      </w:r>
      <w:r w:rsidRPr="00EC20A0">
        <w:t>on</w:t>
      </w:r>
      <w:r w:rsidRPr="00EC20A0">
        <w:rPr>
          <w:spacing w:val="-4"/>
        </w:rPr>
        <w:t xml:space="preserve"> </w:t>
      </w:r>
      <w:r w:rsidRPr="00EC20A0">
        <w:t>whether</w:t>
      </w:r>
      <w:r w:rsidRPr="00EC20A0">
        <w:rPr>
          <w:spacing w:val="-4"/>
        </w:rPr>
        <w:t xml:space="preserve"> </w:t>
      </w:r>
      <w:r w:rsidRPr="00EC20A0">
        <w:t>heritage</w:t>
      </w:r>
      <w:r w:rsidRPr="00EC20A0">
        <w:rPr>
          <w:spacing w:val="-4"/>
        </w:rPr>
        <w:t xml:space="preserve"> </w:t>
      </w:r>
      <w:r w:rsidRPr="00EC20A0">
        <w:t>assets</w:t>
      </w:r>
      <w:r w:rsidRPr="00EC20A0">
        <w:rPr>
          <w:spacing w:val="-4"/>
        </w:rPr>
        <w:t xml:space="preserve"> </w:t>
      </w:r>
      <w:r w:rsidRPr="00EC20A0">
        <w:t>and</w:t>
      </w:r>
      <w:r w:rsidRPr="00EC20A0">
        <w:rPr>
          <w:spacing w:val="-4"/>
        </w:rPr>
        <w:t xml:space="preserve"> </w:t>
      </w:r>
      <w:r w:rsidRPr="00EC20A0">
        <w:t>stewardship</w:t>
      </w:r>
      <w:r w:rsidRPr="00EC20A0">
        <w:rPr>
          <w:spacing w:val="-4"/>
        </w:rPr>
        <w:t xml:space="preserve"> </w:t>
      </w:r>
      <w:r w:rsidRPr="00EC20A0">
        <w:t>land</w:t>
      </w:r>
      <w:r w:rsidRPr="00EC20A0">
        <w:rPr>
          <w:spacing w:val="-4"/>
        </w:rPr>
        <w:t xml:space="preserve"> </w:t>
      </w:r>
      <w:r w:rsidRPr="00EC20A0">
        <w:t>have been adequately accounted for and properly disclosed in the financial statements. The auditor should also determine if the entity included, as part of RSI, certain information relating to general PP&amp;E land and stewardship land acreage by predominant use in accordance with SFFAS 59. See FAM 550.23 through .24 for the procedures the auditor should apply to the RSI.</w:t>
      </w:r>
    </w:p>
    <w:p w14:paraId="24D61BE5" w14:textId="77777777" w:rsidR="00245300" w:rsidRPr="00EC20A0" w:rsidRDefault="00245300">
      <w:pPr>
        <w:sectPr w:rsidR="00245300" w:rsidRPr="00EC20A0">
          <w:pgSz w:w="12240" w:h="15840"/>
          <w:pgMar w:top="1340" w:right="1100" w:bottom="940" w:left="1240" w:header="721" w:footer="757" w:gutter="0"/>
          <w:cols w:space="720"/>
        </w:sectPr>
      </w:pPr>
    </w:p>
    <w:p w14:paraId="24D61BE6" w14:textId="77777777" w:rsidR="00245300" w:rsidRPr="00EC20A0" w:rsidRDefault="00F17249">
      <w:pPr>
        <w:pStyle w:val="Heading3"/>
        <w:spacing w:before="360"/>
        <w:ind w:left="200" w:right="345"/>
        <w:rPr>
          <w:u w:val="none"/>
        </w:rPr>
      </w:pPr>
      <w:bookmarkStart w:id="342" w:name="941_–_Auditing_the_Statement_of_Social_I"/>
      <w:bookmarkStart w:id="343" w:name="_bookmark195"/>
      <w:bookmarkEnd w:id="342"/>
      <w:bookmarkEnd w:id="343"/>
      <w:r w:rsidRPr="00EC20A0">
        <w:t>941</w:t>
      </w:r>
      <w:r w:rsidRPr="00EC20A0">
        <w:rPr>
          <w:spacing w:val="-5"/>
        </w:rPr>
        <w:t xml:space="preserve"> </w:t>
      </w:r>
      <w:r w:rsidRPr="00EC20A0">
        <w:t>–</w:t>
      </w:r>
      <w:r w:rsidRPr="00EC20A0">
        <w:rPr>
          <w:spacing w:val="-16"/>
        </w:rPr>
        <w:t xml:space="preserve"> </w:t>
      </w:r>
      <w:r w:rsidRPr="00EC20A0">
        <w:t>Auditing</w:t>
      </w:r>
      <w:r w:rsidRPr="00EC20A0">
        <w:rPr>
          <w:spacing w:val="-5"/>
        </w:rPr>
        <w:t xml:space="preserve"> </w:t>
      </w:r>
      <w:r w:rsidRPr="00EC20A0">
        <w:t>the</w:t>
      </w:r>
      <w:r w:rsidRPr="00EC20A0">
        <w:rPr>
          <w:spacing w:val="-5"/>
        </w:rPr>
        <w:t xml:space="preserve"> </w:t>
      </w:r>
      <w:r w:rsidRPr="00EC20A0">
        <w:t>Statement</w:t>
      </w:r>
      <w:r w:rsidRPr="00EC20A0">
        <w:rPr>
          <w:spacing w:val="-5"/>
        </w:rPr>
        <w:t xml:space="preserve"> </w:t>
      </w:r>
      <w:r w:rsidRPr="00EC20A0">
        <w:t>of</w:t>
      </w:r>
      <w:r w:rsidRPr="00EC20A0">
        <w:rPr>
          <w:spacing w:val="-5"/>
        </w:rPr>
        <w:t xml:space="preserve"> </w:t>
      </w:r>
      <w:r w:rsidRPr="00EC20A0">
        <w:t>Social</w:t>
      </w:r>
      <w:r w:rsidRPr="00EC20A0">
        <w:rPr>
          <w:spacing w:val="-5"/>
        </w:rPr>
        <w:t xml:space="preserve"> </w:t>
      </w:r>
      <w:r w:rsidRPr="00EC20A0">
        <w:t>Insurance</w:t>
      </w:r>
      <w:r w:rsidRPr="00EC20A0">
        <w:rPr>
          <w:spacing w:val="-5"/>
        </w:rPr>
        <w:t xml:space="preserve"> </w:t>
      </w:r>
      <w:r w:rsidRPr="00EC20A0">
        <w:t>and</w:t>
      </w:r>
      <w:r w:rsidRPr="00EC20A0">
        <w:rPr>
          <w:spacing w:val="-5"/>
        </w:rPr>
        <w:t xml:space="preserve"> </w:t>
      </w:r>
      <w:r w:rsidRPr="00EC20A0">
        <w:t>the</w:t>
      </w:r>
      <w:r w:rsidRPr="00EC20A0">
        <w:rPr>
          <w:u w:val="none"/>
        </w:rPr>
        <w:t xml:space="preserve"> </w:t>
      </w:r>
      <w:r w:rsidRPr="00EC20A0">
        <w:t>Statement of Changes in Social Insurance Amounts</w:t>
      </w:r>
    </w:p>
    <w:p w14:paraId="24D61BE7" w14:textId="77777777" w:rsidR="00245300" w:rsidRPr="00EC20A0" w:rsidRDefault="00245300">
      <w:pPr>
        <w:pStyle w:val="BodyText"/>
        <w:spacing w:before="107"/>
        <w:rPr>
          <w:b/>
        </w:rPr>
      </w:pPr>
    </w:p>
    <w:p w14:paraId="24D61BE8" w14:textId="77777777" w:rsidR="00245300" w:rsidRPr="00EC20A0" w:rsidRDefault="00F17249">
      <w:pPr>
        <w:pStyle w:val="ListParagraph"/>
        <w:numPr>
          <w:ilvl w:val="0"/>
          <w:numId w:val="1"/>
        </w:numPr>
        <w:tabs>
          <w:tab w:val="left" w:pos="1640"/>
        </w:tabs>
        <w:spacing w:before="1"/>
        <w:ind w:right="507"/>
      </w:pPr>
      <w:r w:rsidRPr="00EC20A0">
        <w:t>The Statement of Social Insurance is required to be audited, along with certain social</w:t>
      </w:r>
      <w:r w:rsidRPr="00EC20A0">
        <w:rPr>
          <w:spacing w:val="-6"/>
        </w:rPr>
        <w:t xml:space="preserve"> </w:t>
      </w:r>
      <w:r w:rsidRPr="00EC20A0">
        <w:t>insurance</w:t>
      </w:r>
      <w:r w:rsidRPr="00EC20A0">
        <w:rPr>
          <w:spacing w:val="-5"/>
        </w:rPr>
        <w:t xml:space="preserve"> </w:t>
      </w:r>
      <w:r w:rsidRPr="00EC20A0">
        <w:t>disclosure</w:t>
      </w:r>
      <w:r w:rsidRPr="00EC20A0">
        <w:rPr>
          <w:spacing w:val="-5"/>
        </w:rPr>
        <w:t xml:space="preserve"> </w:t>
      </w:r>
      <w:r w:rsidRPr="00EC20A0">
        <w:t>information,</w:t>
      </w:r>
      <w:r w:rsidRPr="00EC20A0">
        <w:rPr>
          <w:spacing w:val="-5"/>
        </w:rPr>
        <w:t xml:space="preserve"> </w:t>
      </w:r>
      <w:r w:rsidRPr="00EC20A0">
        <w:t>while</w:t>
      </w:r>
      <w:r w:rsidRPr="00EC20A0">
        <w:rPr>
          <w:spacing w:val="-5"/>
        </w:rPr>
        <w:t xml:space="preserve"> </w:t>
      </w:r>
      <w:r w:rsidRPr="00EC20A0">
        <w:t>other</w:t>
      </w:r>
      <w:r w:rsidRPr="00EC20A0">
        <w:rPr>
          <w:spacing w:val="-5"/>
        </w:rPr>
        <w:t xml:space="preserve"> </w:t>
      </w:r>
      <w:r w:rsidRPr="00EC20A0">
        <w:t>social</w:t>
      </w:r>
      <w:r w:rsidRPr="00EC20A0">
        <w:rPr>
          <w:spacing w:val="-6"/>
        </w:rPr>
        <w:t xml:space="preserve"> </w:t>
      </w:r>
      <w:r w:rsidRPr="00EC20A0">
        <w:t>insurance</w:t>
      </w:r>
      <w:r w:rsidRPr="00EC20A0">
        <w:rPr>
          <w:spacing w:val="-5"/>
        </w:rPr>
        <w:t xml:space="preserve"> </w:t>
      </w:r>
      <w:r w:rsidRPr="00EC20A0">
        <w:t>information is to be presented as unaudited RSI. The Statement of Changes in Social Insurance Amounts is required to be audited and reconciles the beginning and ending open group measures presented in the Statement of Social Insurance and presents the components of the changes in the open group measure from the end of the previous reporting period.</w:t>
      </w:r>
      <w:hyperlink w:anchor="_bookmark196" w:history="1">
        <w:r w:rsidRPr="00EC20A0">
          <w:rPr>
            <w:position w:val="7"/>
            <w:sz w:val="14"/>
          </w:rPr>
          <w:t>38</w:t>
        </w:r>
      </w:hyperlink>
      <w:r w:rsidRPr="00EC20A0">
        <w:rPr>
          <w:spacing w:val="34"/>
          <w:position w:val="7"/>
          <w:sz w:val="14"/>
        </w:rPr>
        <w:t xml:space="preserve"> </w:t>
      </w:r>
      <w:r w:rsidRPr="00EC20A0">
        <w:t>FAM 941 provides auditors with guidance for auditing the Statement of Social Insurance and the Statement of Changes in Social Insurance Amounts in accordance with GAGAS.</w:t>
      </w:r>
      <w:hyperlink w:anchor="_bookmark197" w:history="1">
        <w:r w:rsidRPr="00EC20A0">
          <w:rPr>
            <w:position w:val="7"/>
            <w:sz w:val="14"/>
          </w:rPr>
          <w:t>39</w:t>
        </w:r>
      </w:hyperlink>
      <w:r w:rsidRPr="00EC20A0">
        <w:rPr>
          <w:spacing w:val="36"/>
          <w:position w:val="7"/>
          <w:sz w:val="14"/>
        </w:rPr>
        <w:t xml:space="preserve"> </w:t>
      </w:r>
      <w:r w:rsidRPr="00EC20A0">
        <w:t xml:space="preserve">Auditors should also see the AICPA Statement of Position (SOP) 04-1, </w:t>
      </w:r>
      <w:r w:rsidRPr="00EC20A0">
        <w:rPr>
          <w:i/>
        </w:rPr>
        <w:t>Auditing the Statement of Social Insurance</w:t>
      </w:r>
      <w:r w:rsidRPr="00EC20A0">
        <w:t xml:space="preserve">, and AU-C 540, </w:t>
      </w:r>
      <w:r w:rsidRPr="00EC20A0">
        <w:rPr>
          <w:i/>
        </w:rPr>
        <w:t>Auditing Accounting Estimates and Related Disclosures</w:t>
      </w:r>
      <w:r w:rsidRPr="00EC20A0">
        <w:t>.</w:t>
      </w:r>
    </w:p>
    <w:p w14:paraId="24D61BE9" w14:textId="77777777" w:rsidR="00245300" w:rsidRPr="00EC20A0" w:rsidRDefault="00F17249">
      <w:pPr>
        <w:pStyle w:val="ListParagraph"/>
        <w:numPr>
          <w:ilvl w:val="0"/>
          <w:numId w:val="1"/>
        </w:numPr>
        <w:tabs>
          <w:tab w:val="left" w:pos="1640"/>
        </w:tabs>
        <w:ind w:right="346"/>
      </w:pPr>
      <w:r w:rsidRPr="00EC20A0">
        <w:t>FASAB has established accounting requirements for the Statement of Social Insurance and the related Statement of Changes in Social Insurance Amounts through various SFFAS requirements. The financial statements affected are those of federal entities responsible for Social Security, Medicare, Railroad Retirement,</w:t>
      </w:r>
      <w:r w:rsidRPr="00EC20A0">
        <w:rPr>
          <w:spacing w:val="-4"/>
        </w:rPr>
        <w:t xml:space="preserve"> </w:t>
      </w:r>
      <w:r w:rsidRPr="00EC20A0">
        <w:t>and</w:t>
      </w:r>
      <w:r w:rsidRPr="00EC20A0">
        <w:rPr>
          <w:spacing w:val="-4"/>
        </w:rPr>
        <w:t xml:space="preserve"> </w:t>
      </w:r>
      <w:r w:rsidRPr="00EC20A0">
        <w:t>Black</w:t>
      </w:r>
      <w:r w:rsidRPr="00EC20A0">
        <w:rPr>
          <w:spacing w:val="-4"/>
        </w:rPr>
        <w:t xml:space="preserve"> </w:t>
      </w:r>
      <w:r w:rsidRPr="00EC20A0">
        <w:t>Lung</w:t>
      </w:r>
      <w:r w:rsidRPr="00EC20A0">
        <w:rPr>
          <w:spacing w:val="-4"/>
        </w:rPr>
        <w:t xml:space="preserve"> </w:t>
      </w:r>
      <w:r w:rsidRPr="00EC20A0">
        <w:t>programs</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reporting</w:t>
      </w:r>
      <w:r w:rsidRPr="00EC20A0">
        <w:rPr>
          <w:spacing w:val="-4"/>
        </w:rPr>
        <w:t xml:space="preserve"> </w:t>
      </w:r>
      <w:r w:rsidRPr="00EC20A0">
        <w:t>entities)</w:t>
      </w:r>
      <w:r w:rsidRPr="00EC20A0">
        <w:rPr>
          <w:spacing w:val="-4"/>
        </w:rPr>
        <w:t xml:space="preserve"> </w:t>
      </w:r>
      <w:r w:rsidRPr="00EC20A0">
        <w:t>as</w:t>
      </w:r>
      <w:r w:rsidRPr="00EC20A0">
        <w:rPr>
          <w:spacing w:val="-4"/>
        </w:rPr>
        <w:t xml:space="preserve"> </w:t>
      </w:r>
      <w:r w:rsidRPr="00EC20A0">
        <w:t>well as the U.S. government’s consolidated financial statements. For periods beginning after September 30, 2005, the Statement of Social Insurance is to be presented as a financial statement with the underlying significant assumptions included in</w:t>
      </w:r>
      <w:r w:rsidRPr="00EC20A0">
        <w:rPr>
          <w:spacing w:val="-2"/>
        </w:rPr>
        <w:t xml:space="preserve"> </w:t>
      </w:r>
      <w:r w:rsidRPr="00EC20A0">
        <w:t>note disclosures that are presented as an integral part of the financial statements. For periods beginning after September 30, 2010, the Statement of Changes</w:t>
      </w:r>
      <w:r w:rsidRPr="00EC20A0">
        <w:rPr>
          <w:spacing w:val="-3"/>
        </w:rPr>
        <w:t xml:space="preserve"> </w:t>
      </w:r>
      <w:r w:rsidRPr="00EC20A0">
        <w:t>in</w:t>
      </w:r>
      <w:r w:rsidRPr="00EC20A0">
        <w:rPr>
          <w:spacing w:val="-4"/>
        </w:rPr>
        <w:t xml:space="preserve"> </w:t>
      </w:r>
      <w:r w:rsidRPr="00EC20A0">
        <w:t>Social</w:t>
      </w:r>
      <w:r w:rsidRPr="00EC20A0">
        <w:rPr>
          <w:spacing w:val="-3"/>
        </w:rPr>
        <w:t xml:space="preserve"> </w:t>
      </w:r>
      <w:r w:rsidRPr="00EC20A0">
        <w:t>Insurance</w:t>
      </w:r>
      <w:r w:rsidRPr="00EC20A0">
        <w:rPr>
          <w:spacing w:val="-3"/>
        </w:rPr>
        <w:t xml:space="preserve"> </w:t>
      </w:r>
      <w:r w:rsidRPr="00EC20A0">
        <w:t>Amounts</w:t>
      </w:r>
      <w:r w:rsidRPr="00EC20A0">
        <w:rPr>
          <w:spacing w:val="-3"/>
        </w:rPr>
        <w:t xml:space="preserve"> </w:t>
      </w:r>
      <w:r w:rsidRPr="00EC20A0">
        <w:t>is</w:t>
      </w:r>
      <w:r w:rsidRPr="00EC20A0">
        <w:rPr>
          <w:spacing w:val="-3"/>
        </w:rPr>
        <w:t xml:space="preserve"> </w:t>
      </w:r>
      <w:r w:rsidRPr="00EC20A0">
        <w:t>to</w:t>
      </w:r>
      <w:r w:rsidRPr="00EC20A0">
        <w:rPr>
          <w:spacing w:val="-3"/>
        </w:rPr>
        <w:t xml:space="preserve"> </w:t>
      </w:r>
      <w:r w:rsidRPr="00EC20A0">
        <w:t>be</w:t>
      </w:r>
      <w:r w:rsidRPr="00EC20A0">
        <w:rPr>
          <w:spacing w:val="-6"/>
        </w:rPr>
        <w:t xml:space="preserve"> </w:t>
      </w:r>
      <w:r w:rsidRPr="00EC20A0">
        <w:t>pres</w:t>
      </w:r>
      <w:r w:rsidRPr="00EC20A0">
        <w:t>ented</w:t>
      </w:r>
      <w:r w:rsidRPr="00EC20A0">
        <w:rPr>
          <w:spacing w:val="-3"/>
        </w:rPr>
        <w:t xml:space="preserve"> </w:t>
      </w:r>
      <w:r w:rsidRPr="00EC20A0">
        <w:t>as</w:t>
      </w:r>
      <w:r w:rsidRPr="00EC20A0">
        <w:rPr>
          <w:spacing w:val="-3"/>
        </w:rPr>
        <w:t xml:space="preserve"> </w:t>
      </w:r>
      <w:r w:rsidRPr="00EC20A0">
        <w:t>a</w:t>
      </w:r>
      <w:r w:rsidRPr="00EC20A0">
        <w:rPr>
          <w:spacing w:val="-3"/>
        </w:rPr>
        <w:t xml:space="preserve"> </w:t>
      </w:r>
      <w:r w:rsidRPr="00EC20A0">
        <w:t>financial</w:t>
      </w:r>
      <w:r w:rsidRPr="00EC20A0">
        <w:rPr>
          <w:spacing w:val="-4"/>
        </w:rPr>
        <w:t xml:space="preserve"> </w:t>
      </w:r>
      <w:r w:rsidRPr="00EC20A0">
        <w:t xml:space="preserve">statement with the underlying </w:t>
      </w:r>
      <w:r w:rsidRPr="00EC20A0">
        <w:t>significant changes to be disclosed on the face of the Statement of Changes in Social Insurance Amounts or included in note disclosures that are presented as an integral part of the financial statements.</w:t>
      </w:r>
    </w:p>
    <w:p w14:paraId="24D61BEA" w14:textId="77777777" w:rsidR="00245300" w:rsidRPr="00EC20A0" w:rsidRDefault="00F17249">
      <w:pPr>
        <w:pStyle w:val="ListParagraph"/>
        <w:numPr>
          <w:ilvl w:val="0"/>
          <w:numId w:val="1"/>
        </w:numPr>
        <w:tabs>
          <w:tab w:val="left" w:pos="1640"/>
        </w:tabs>
        <w:ind w:right="405"/>
      </w:pPr>
      <w:r w:rsidRPr="00EC20A0">
        <w:t>FASAB standards for social insurance programs require social insurance reporting entities’ financial statements and the U.S. government’s consolidated financial</w:t>
      </w:r>
      <w:r w:rsidRPr="00EC20A0">
        <w:rPr>
          <w:spacing w:val="-5"/>
        </w:rPr>
        <w:t xml:space="preserve"> </w:t>
      </w:r>
      <w:r w:rsidRPr="00EC20A0">
        <w:t>statements</w:t>
      </w:r>
      <w:r w:rsidRPr="00EC20A0">
        <w:rPr>
          <w:spacing w:val="-4"/>
        </w:rPr>
        <w:t xml:space="preserve"> </w:t>
      </w:r>
      <w:r w:rsidRPr="00EC20A0">
        <w:t>to</w:t>
      </w:r>
      <w:r w:rsidRPr="00EC20A0">
        <w:rPr>
          <w:spacing w:val="-4"/>
        </w:rPr>
        <w:t xml:space="preserve"> </w:t>
      </w:r>
      <w:r w:rsidRPr="00EC20A0">
        <w:t>report</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Social</w:t>
      </w:r>
      <w:r w:rsidRPr="00EC20A0">
        <w:rPr>
          <w:spacing w:val="-4"/>
        </w:rPr>
        <w:t xml:space="preserve"> </w:t>
      </w:r>
      <w:r w:rsidRPr="00EC20A0">
        <w:t>Insurance:</w:t>
      </w:r>
    </w:p>
    <w:p w14:paraId="24D61BEB" w14:textId="77777777" w:rsidR="00245300" w:rsidRPr="00EC20A0" w:rsidRDefault="00F17249">
      <w:pPr>
        <w:pStyle w:val="ListParagraph"/>
        <w:numPr>
          <w:ilvl w:val="1"/>
          <w:numId w:val="1"/>
        </w:numPr>
        <w:tabs>
          <w:tab w:val="left" w:pos="2000"/>
        </w:tabs>
        <w:ind w:right="440"/>
        <w:jc w:val="both"/>
      </w:pPr>
      <w:r w:rsidRPr="00EC20A0">
        <w:t>the</w:t>
      </w:r>
      <w:r w:rsidRPr="00EC20A0">
        <w:rPr>
          <w:spacing w:val="-3"/>
        </w:rPr>
        <w:t xml:space="preserve"> </w:t>
      </w:r>
      <w:r w:rsidRPr="00EC20A0">
        <w:t>estimated</w:t>
      </w:r>
      <w:r w:rsidRPr="00EC20A0">
        <w:rPr>
          <w:spacing w:val="-3"/>
        </w:rPr>
        <w:t xml:space="preserve"> </w:t>
      </w:r>
      <w:r w:rsidRPr="00EC20A0">
        <w:t>present</w:t>
      </w:r>
      <w:r w:rsidRPr="00EC20A0">
        <w:rPr>
          <w:spacing w:val="-3"/>
        </w:rPr>
        <w:t xml:space="preserve"> </w:t>
      </w:r>
      <w:r w:rsidRPr="00EC20A0">
        <w:t>value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income/revenue</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received</w:t>
      </w:r>
      <w:r w:rsidRPr="00EC20A0">
        <w:rPr>
          <w:spacing w:val="-3"/>
        </w:rPr>
        <w:t xml:space="preserve"> </w:t>
      </w:r>
      <w:r w:rsidRPr="00EC20A0">
        <w:t>from</w:t>
      </w:r>
      <w:r w:rsidRPr="00EC20A0">
        <w:rPr>
          <w:spacing w:val="-4"/>
        </w:rPr>
        <w:t xml:space="preserve"> </w:t>
      </w:r>
      <w:r w:rsidRPr="00EC20A0">
        <w:t>or</w:t>
      </w:r>
      <w:r w:rsidRPr="00EC20A0">
        <w:rPr>
          <w:spacing w:val="-3"/>
        </w:rPr>
        <w:t xml:space="preserve"> </w:t>
      </w:r>
      <w:r w:rsidRPr="00EC20A0">
        <w:t>on behalf</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following</w:t>
      </w:r>
      <w:r w:rsidRPr="00EC20A0">
        <w:rPr>
          <w:spacing w:val="-4"/>
        </w:rPr>
        <w:t xml:space="preserve"> </w:t>
      </w:r>
      <w:r w:rsidRPr="00EC20A0">
        <w:t>groups</w:t>
      </w:r>
      <w:r w:rsidRPr="00EC20A0">
        <w:rPr>
          <w:spacing w:val="-4"/>
        </w:rPr>
        <w:t xml:space="preserve"> </w:t>
      </w:r>
      <w:r w:rsidRPr="00EC20A0">
        <w:t>during</w:t>
      </w:r>
      <w:r w:rsidRPr="00EC20A0">
        <w:rPr>
          <w:spacing w:val="-5"/>
        </w:rPr>
        <w:t xml:space="preserve"> </w:t>
      </w:r>
      <w:r w:rsidRPr="00EC20A0">
        <w:t>a</w:t>
      </w:r>
      <w:r w:rsidRPr="00EC20A0">
        <w:rPr>
          <w:spacing w:val="-4"/>
        </w:rPr>
        <w:t xml:space="preserve"> </w:t>
      </w:r>
      <w:r w:rsidRPr="00EC20A0">
        <w:t>projection</w:t>
      </w:r>
      <w:r w:rsidRPr="00EC20A0">
        <w:rPr>
          <w:spacing w:val="-5"/>
        </w:rPr>
        <w:t xml:space="preserve"> </w:t>
      </w:r>
      <w:r w:rsidRPr="00EC20A0">
        <w:t>period</w:t>
      </w:r>
      <w:r w:rsidRPr="00EC20A0">
        <w:rPr>
          <w:spacing w:val="-4"/>
        </w:rPr>
        <w:t xml:space="preserve"> </w:t>
      </w:r>
      <w:r w:rsidRPr="00EC20A0">
        <w:t>sufficient</w:t>
      </w:r>
      <w:r w:rsidRPr="00EC20A0">
        <w:rPr>
          <w:spacing w:val="-4"/>
        </w:rPr>
        <w:t xml:space="preserve"> </w:t>
      </w:r>
      <w:r w:rsidRPr="00EC20A0">
        <w:t>to</w:t>
      </w:r>
      <w:r w:rsidRPr="00EC20A0">
        <w:rPr>
          <w:spacing w:val="-4"/>
        </w:rPr>
        <w:t xml:space="preserve"> </w:t>
      </w:r>
      <w:r w:rsidRPr="00EC20A0">
        <w:t>illustrate the long-term sustainability of the social insurance programs for</w:t>
      </w:r>
    </w:p>
    <w:p w14:paraId="24D61BEC" w14:textId="77777777" w:rsidR="00245300" w:rsidRPr="00EC20A0" w:rsidRDefault="00F17249">
      <w:pPr>
        <w:pStyle w:val="ListParagraph"/>
        <w:numPr>
          <w:ilvl w:val="2"/>
          <w:numId w:val="1"/>
        </w:numPr>
        <w:tabs>
          <w:tab w:val="left" w:pos="2360"/>
        </w:tabs>
        <w:spacing w:before="239"/>
      </w:pPr>
      <w:r w:rsidRPr="00EC20A0">
        <w:t>current</w:t>
      </w:r>
      <w:r w:rsidRPr="00EC20A0">
        <w:rPr>
          <w:spacing w:val="-7"/>
        </w:rPr>
        <w:t xml:space="preserve"> </w:t>
      </w:r>
      <w:r w:rsidRPr="00EC20A0">
        <w:t>participants</w:t>
      </w:r>
      <w:r w:rsidRPr="00EC20A0">
        <w:rPr>
          <w:spacing w:val="-7"/>
        </w:rPr>
        <w:t xml:space="preserve"> </w:t>
      </w:r>
      <w:r w:rsidRPr="00EC20A0">
        <w:t>who</w:t>
      </w:r>
      <w:r w:rsidRPr="00EC20A0">
        <w:rPr>
          <w:spacing w:val="-8"/>
        </w:rPr>
        <w:t xml:space="preserve"> </w:t>
      </w:r>
      <w:r w:rsidRPr="00EC20A0">
        <w:t>have</w:t>
      </w:r>
      <w:r w:rsidRPr="00EC20A0">
        <w:rPr>
          <w:spacing w:val="-7"/>
        </w:rPr>
        <w:t xml:space="preserve"> </w:t>
      </w:r>
      <w:r w:rsidRPr="00EC20A0">
        <w:t>not</w:t>
      </w:r>
      <w:r w:rsidRPr="00EC20A0">
        <w:rPr>
          <w:spacing w:val="-7"/>
        </w:rPr>
        <w:t xml:space="preserve"> </w:t>
      </w:r>
      <w:r w:rsidRPr="00EC20A0">
        <w:t>yet</w:t>
      </w:r>
      <w:r w:rsidRPr="00EC20A0">
        <w:rPr>
          <w:spacing w:val="-7"/>
        </w:rPr>
        <w:t xml:space="preserve"> </w:t>
      </w:r>
      <w:r w:rsidRPr="00EC20A0">
        <w:t>attained</w:t>
      </w:r>
      <w:r w:rsidRPr="00EC20A0">
        <w:rPr>
          <w:spacing w:val="-7"/>
        </w:rPr>
        <w:t xml:space="preserve"> </w:t>
      </w:r>
      <w:r w:rsidRPr="00EC20A0">
        <w:t>retirement</w:t>
      </w:r>
      <w:r w:rsidRPr="00EC20A0">
        <w:rPr>
          <w:spacing w:val="-7"/>
        </w:rPr>
        <w:t xml:space="preserve"> </w:t>
      </w:r>
      <w:r w:rsidRPr="00EC20A0">
        <w:rPr>
          <w:spacing w:val="-4"/>
        </w:rPr>
        <w:t>age,</w:t>
      </w:r>
    </w:p>
    <w:p w14:paraId="24D61BED" w14:textId="77777777" w:rsidR="00245300" w:rsidRPr="00EC20A0" w:rsidRDefault="00245300">
      <w:pPr>
        <w:pStyle w:val="BodyText"/>
        <w:rPr>
          <w:sz w:val="20"/>
        </w:rPr>
      </w:pPr>
    </w:p>
    <w:p w14:paraId="24D61BEE" w14:textId="77777777" w:rsidR="00245300" w:rsidRPr="00EC20A0" w:rsidRDefault="00F17249">
      <w:pPr>
        <w:pStyle w:val="BodyText"/>
        <w:spacing w:before="30"/>
        <w:rPr>
          <w:sz w:val="20"/>
        </w:rPr>
      </w:pPr>
      <w:r w:rsidRPr="00EC20A0">
        <w:rPr>
          <w:noProof/>
        </w:rPr>
        <mc:AlternateContent>
          <mc:Choice Requires="wps">
            <w:drawing>
              <wp:anchor distT="0" distB="0" distL="0" distR="0" simplePos="0" relativeHeight="487717376" behindDoc="1" locked="0" layoutInCell="1" allowOverlap="1" wp14:anchorId="24D62CAF" wp14:editId="24D62CB0">
                <wp:simplePos x="0" y="0"/>
                <wp:positionH relativeFrom="page">
                  <wp:posOffset>914400</wp:posOffset>
                </wp:positionH>
                <wp:positionV relativeFrom="paragraph">
                  <wp:posOffset>180904</wp:posOffset>
                </wp:positionV>
                <wp:extent cx="1828800" cy="5715"/>
                <wp:effectExtent l="0" t="0" r="0" b="0"/>
                <wp:wrapTopAndBottom/>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A2E061" id="Graphic 881" o:spid="_x0000_s1026" style="position:absolute;margin-left:1in;margin-top:14.25pt;width:2in;height:.45pt;z-index:-155991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" path="m1828800,l,,,5321r1828800,l1828800,xe" fillcolor="black" stroked="f">
                <v:path arrowok="t"/>
                <w10:wrap type="topAndBottom" anchorx="page"/>
              </v:shape>
            </w:pict>
          </mc:Fallback>
        </mc:AlternateContent>
      </w:r>
    </w:p>
    <w:p w14:paraId="24D61BEF" w14:textId="77777777" w:rsidR="00245300" w:rsidRPr="00EC20A0" w:rsidRDefault="00F17249">
      <w:pPr>
        <w:spacing w:before="200" w:line="244" w:lineRule="auto"/>
        <w:ind w:left="199" w:right="345"/>
        <w:rPr>
          <w:sz w:val="18"/>
        </w:rPr>
      </w:pPr>
      <w:bookmarkStart w:id="344" w:name="_bookmark196"/>
      <w:bookmarkEnd w:id="344"/>
      <w:r w:rsidRPr="00EC20A0">
        <w:rPr>
          <w:position w:val="7"/>
          <w:sz w:val="14"/>
        </w:rPr>
        <w:t>38</w:t>
      </w:r>
      <w:r w:rsidRPr="00EC20A0">
        <w:rPr>
          <w:sz w:val="18"/>
        </w:rPr>
        <w:t xml:space="preserve">The open group measure is the net </w:t>
      </w:r>
      <w:r w:rsidRPr="00EC20A0">
        <w:rPr>
          <w:sz w:val="18"/>
        </w:rPr>
        <w:t>present value of all expenditures to or on behalf of the open group population (persons</w:t>
      </w:r>
      <w:r w:rsidRPr="00EC20A0">
        <w:rPr>
          <w:spacing w:val="-2"/>
          <w:sz w:val="18"/>
        </w:rPr>
        <w:t xml:space="preserve"> </w:t>
      </w:r>
      <w:r w:rsidRPr="00EC20A0">
        <w:rPr>
          <w:sz w:val="18"/>
        </w:rPr>
        <w:t>who,</w:t>
      </w:r>
      <w:r w:rsidRPr="00EC20A0">
        <w:rPr>
          <w:spacing w:val="-1"/>
          <w:sz w:val="18"/>
        </w:rPr>
        <w:t xml:space="preserve"> </w:t>
      </w:r>
      <w:r w:rsidRPr="00EC20A0">
        <w:rPr>
          <w:sz w:val="18"/>
        </w:rPr>
        <w:t>as</w:t>
      </w:r>
      <w:r w:rsidRPr="00EC20A0">
        <w:rPr>
          <w:spacing w:val="-2"/>
          <w:sz w:val="18"/>
        </w:rPr>
        <w:t xml:space="preserve"> </w:t>
      </w:r>
      <w:r w:rsidRPr="00EC20A0">
        <w:rPr>
          <w:sz w:val="18"/>
        </w:rPr>
        <w:t>of</w:t>
      </w:r>
      <w:r w:rsidRPr="00EC20A0">
        <w:rPr>
          <w:spacing w:val="-2"/>
          <w:sz w:val="18"/>
        </w:rPr>
        <w:t xml:space="preserve"> </w:t>
      </w:r>
      <w:r w:rsidRPr="00EC20A0">
        <w:rPr>
          <w:sz w:val="18"/>
        </w:rPr>
        <w:t>a</w:t>
      </w:r>
      <w:r w:rsidRPr="00EC20A0">
        <w:rPr>
          <w:spacing w:val="-3"/>
          <w:sz w:val="18"/>
        </w:rPr>
        <w:t xml:space="preserve"> </w:t>
      </w:r>
      <w:r w:rsidRPr="00EC20A0">
        <w:rPr>
          <w:sz w:val="18"/>
        </w:rPr>
        <w:t>valuation</w:t>
      </w:r>
      <w:r w:rsidRPr="00EC20A0">
        <w:rPr>
          <w:spacing w:val="-3"/>
          <w:sz w:val="18"/>
        </w:rPr>
        <w:t xml:space="preserve"> </w:t>
      </w:r>
      <w:r w:rsidRPr="00EC20A0">
        <w:rPr>
          <w:sz w:val="18"/>
        </w:rPr>
        <w:t>date,</w:t>
      </w:r>
      <w:r w:rsidRPr="00EC20A0">
        <w:rPr>
          <w:spacing w:val="-2"/>
          <w:sz w:val="18"/>
        </w:rPr>
        <w:t xml:space="preserve"> </w:t>
      </w:r>
      <w:r w:rsidRPr="00EC20A0">
        <w:rPr>
          <w:sz w:val="18"/>
        </w:rPr>
        <w:t>are</w:t>
      </w:r>
      <w:r w:rsidRPr="00EC20A0">
        <w:rPr>
          <w:spacing w:val="-3"/>
          <w:sz w:val="18"/>
        </w:rPr>
        <w:t xml:space="preserve"> </w:t>
      </w:r>
      <w:r w:rsidRPr="00EC20A0">
        <w:rPr>
          <w:sz w:val="18"/>
        </w:rPr>
        <w:t>or</w:t>
      </w:r>
      <w:r w:rsidRPr="00EC20A0">
        <w:rPr>
          <w:spacing w:val="-1"/>
          <w:sz w:val="18"/>
        </w:rPr>
        <w:t xml:space="preserve"> </w:t>
      </w:r>
      <w:r w:rsidRPr="00EC20A0">
        <w:rPr>
          <w:sz w:val="18"/>
        </w:rPr>
        <w:t>will</w:t>
      </w:r>
      <w:r w:rsidRPr="00EC20A0">
        <w:rPr>
          <w:spacing w:val="-2"/>
          <w:sz w:val="18"/>
        </w:rPr>
        <w:t xml:space="preserve"> </w:t>
      </w:r>
      <w:r w:rsidRPr="00EC20A0">
        <w:rPr>
          <w:sz w:val="18"/>
        </w:rPr>
        <w:t>be</w:t>
      </w:r>
      <w:r w:rsidRPr="00EC20A0">
        <w:rPr>
          <w:spacing w:val="-3"/>
          <w:sz w:val="18"/>
        </w:rPr>
        <w:t xml:space="preserve"> </w:t>
      </w:r>
      <w:r w:rsidRPr="00EC20A0">
        <w:rPr>
          <w:sz w:val="18"/>
        </w:rPr>
        <w:t>participants</w:t>
      </w:r>
      <w:r w:rsidRPr="00EC20A0">
        <w:rPr>
          <w:spacing w:val="-2"/>
          <w:sz w:val="18"/>
        </w:rPr>
        <w:t xml:space="preserve"> </w:t>
      </w:r>
      <w:r w:rsidRPr="00EC20A0">
        <w:rPr>
          <w:sz w:val="18"/>
        </w:rPr>
        <w:t>in</w:t>
      </w:r>
      <w:r w:rsidRPr="00EC20A0">
        <w:rPr>
          <w:spacing w:val="-3"/>
          <w:sz w:val="18"/>
        </w:rPr>
        <w:t xml:space="preserve"> </w:t>
      </w:r>
      <w:r w:rsidRPr="00EC20A0">
        <w:rPr>
          <w:sz w:val="18"/>
        </w:rPr>
        <w:t>a</w:t>
      </w:r>
      <w:r w:rsidRPr="00EC20A0">
        <w:rPr>
          <w:spacing w:val="-3"/>
          <w:sz w:val="18"/>
        </w:rPr>
        <w:t xml:space="preserve"> </w:t>
      </w:r>
      <w:r w:rsidRPr="00EC20A0">
        <w:rPr>
          <w:sz w:val="18"/>
        </w:rPr>
        <w:t>social</w:t>
      </w:r>
      <w:r w:rsidRPr="00EC20A0">
        <w:rPr>
          <w:spacing w:val="-1"/>
          <w:sz w:val="18"/>
        </w:rPr>
        <w:t xml:space="preserve"> </w:t>
      </w:r>
      <w:r w:rsidRPr="00EC20A0">
        <w:rPr>
          <w:sz w:val="18"/>
        </w:rPr>
        <w:t>insurance</w:t>
      </w:r>
      <w:r w:rsidRPr="00EC20A0">
        <w:rPr>
          <w:spacing w:val="-3"/>
          <w:sz w:val="18"/>
        </w:rPr>
        <w:t xml:space="preserve"> </w:t>
      </w:r>
      <w:r w:rsidRPr="00EC20A0">
        <w:rPr>
          <w:sz w:val="18"/>
        </w:rPr>
        <w:t>program)</w:t>
      </w:r>
      <w:r w:rsidRPr="00EC20A0">
        <w:rPr>
          <w:spacing w:val="-2"/>
          <w:sz w:val="18"/>
        </w:rPr>
        <w:t xml:space="preserve"> </w:t>
      </w:r>
      <w:r w:rsidRPr="00EC20A0">
        <w:rPr>
          <w:sz w:val="18"/>
        </w:rPr>
        <w:t>and</w:t>
      </w:r>
      <w:r w:rsidRPr="00EC20A0">
        <w:rPr>
          <w:spacing w:val="-3"/>
          <w:sz w:val="18"/>
        </w:rPr>
        <w:t xml:space="preserve"> </w:t>
      </w:r>
      <w:r w:rsidRPr="00EC20A0">
        <w:rPr>
          <w:sz w:val="18"/>
        </w:rPr>
        <w:t>all</w:t>
      </w:r>
      <w:r w:rsidRPr="00EC20A0">
        <w:rPr>
          <w:spacing w:val="-2"/>
          <w:sz w:val="18"/>
        </w:rPr>
        <w:t xml:space="preserve"> </w:t>
      </w:r>
      <w:r w:rsidRPr="00EC20A0">
        <w:rPr>
          <w:sz w:val="18"/>
        </w:rPr>
        <w:t>contributions</w:t>
      </w:r>
      <w:r w:rsidRPr="00EC20A0">
        <w:rPr>
          <w:spacing w:val="-1"/>
          <w:sz w:val="18"/>
        </w:rPr>
        <w:t xml:space="preserve"> </w:t>
      </w:r>
      <w:r w:rsidRPr="00EC20A0">
        <w:rPr>
          <w:sz w:val="18"/>
        </w:rPr>
        <w:t xml:space="preserve">or other income/revenue from or on behalf of the open </w:t>
      </w:r>
      <w:r w:rsidRPr="00EC20A0">
        <w:rPr>
          <w:sz w:val="18"/>
        </w:rPr>
        <w:t>group population over a given projection period.</w:t>
      </w:r>
    </w:p>
    <w:p w14:paraId="24D61BF0" w14:textId="77777777" w:rsidR="00245300" w:rsidRPr="00EC20A0" w:rsidRDefault="00F17249">
      <w:pPr>
        <w:spacing w:before="122" w:line="244" w:lineRule="auto"/>
        <w:ind w:left="199" w:right="345"/>
        <w:rPr>
          <w:sz w:val="18"/>
        </w:rPr>
      </w:pPr>
      <w:bookmarkStart w:id="345" w:name="_bookmark197"/>
      <w:bookmarkEnd w:id="345"/>
      <w:r w:rsidRPr="00EC20A0">
        <w:rPr>
          <w:position w:val="7"/>
          <w:sz w:val="14"/>
        </w:rPr>
        <w:t>39</w:t>
      </w:r>
      <w:r w:rsidRPr="00EC20A0">
        <w:rPr>
          <w:sz w:val="18"/>
        </w:rPr>
        <w:t>Collectively, the Statement of Social Insurance, the Statement of Changes in Social Insurance Amounts, and the Statement</w:t>
      </w:r>
      <w:r w:rsidRPr="00EC20A0">
        <w:rPr>
          <w:spacing w:val="-3"/>
          <w:sz w:val="18"/>
        </w:rPr>
        <w:t xml:space="preserve"> </w:t>
      </w:r>
      <w:r w:rsidRPr="00EC20A0">
        <w:rPr>
          <w:sz w:val="18"/>
        </w:rPr>
        <w:t>of</w:t>
      </w:r>
      <w:r w:rsidRPr="00EC20A0">
        <w:rPr>
          <w:spacing w:val="-3"/>
          <w:sz w:val="18"/>
        </w:rPr>
        <w:t xml:space="preserve"> </w:t>
      </w:r>
      <w:r w:rsidRPr="00EC20A0">
        <w:rPr>
          <w:sz w:val="18"/>
        </w:rPr>
        <w:t>Long-Term</w:t>
      </w:r>
      <w:r w:rsidRPr="00EC20A0">
        <w:rPr>
          <w:spacing w:val="-3"/>
          <w:sz w:val="18"/>
        </w:rPr>
        <w:t xml:space="preserve"> </w:t>
      </w:r>
      <w:r w:rsidRPr="00EC20A0">
        <w:rPr>
          <w:sz w:val="18"/>
        </w:rPr>
        <w:t>Fiscal</w:t>
      </w:r>
      <w:r w:rsidRPr="00EC20A0">
        <w:rPr>
          <w:spacing w:val="-3"/>
          <w:sz w:val="18"/>
        </w:rPr>
        <w:t xml:space="preserve"> </w:t>
      </w:r>
      <w:r w:rsidRPr="00EC20A0">
        <w:rPr>
          <w:sz w:val="18"/>
        </w:rPr>
        <w:t>Projections</w:t>
      </w:r>
      <w:r w:rsidRPr="00EC20A0">
        <w:rPr>
          <w:spacing w:val="-3"/>
          <w:sz w:val="18"/>
        </w:rPr>
        <w:t xml:space="preserve"> </w:t>
      </w:r>
      <w:r w:rsidRPr="00EC20A0">
        <w:rPr>
          <w:sz w:val="18"/>
        </w:rPr>
        <w:t>(only</w:t>
      </w:r>
      <w:r w:rsidRPr="00EC20A0">
        <w:rPr>
          <w:spacing w:val="-3"/>
          <w:sz w:val="18"/>
        </w:rPr>
        <w:t xml:space="preserve"> </w:t>
      </w:r>
      <w:r w:rsidRPr="00EC20A0">
        <w:rPr>
          <w:sz w:val="18"/>
        </w:rPr>
        <w:t>applicable</w:t>
      </w:r>
      <w:r w:rsidRPr="00EC20A0">
        <w:rPr>
          <w:spacing w:val="-2"/>
          <w:sz w:val="18"/>
        </w:rPr>
        <w:t xml:space="preserve"> </w:t>
      </w:r>
      <w:r w:rsidRPr="00EC20A0">
        <w:rPr>
          <w:sz w:val="18"/>
        </w:rPr>
        <w:t>at</w:t>
      </w:r>
      <w:r w:rsidRPr="00EC20A0">
        <w:rPr>
          <w:spacing w:val="-3"/>
          <w:sz w:val="18"/>
        </w:rPr>
        <w:t xml:space="preserve"> </w:t>
      </w:r>
      <w:r w:rsidRPr="00EC20A0">
        <w:rPr>
          <w:sz w:val="18"/>
        </w:rPr>
        <w:t>government-wide</w:t>
      </w:r>
      <w:r w:rsidRPr="00EC20A0">
        <w:rPr>
          <w:spacing w:val="-4"/>
          <w:sz w:val="18"/>
        </w:rPr>
        <w:t xml:space="preserve"> </w:t>
      </w:r>
      <w:r w:rsidRPr="00EC20A0">
        <w:rPr>
          <w:sz w:val="18"/>
        </w:rPr>
        <w:t>level)</w:t>
      </w:r>
      <w:r w:rsidRPr="00EC20A0">
        <w:rPr>
          <w:spacing w:val="-3"/>
          <w:sz w:val="18"/>
        </w:rPr>
        <w:t xml:space="preserve"> </w:t>
      </w:r>
      <w:r w:rsidRPr="00EC20A0">
        <w:rPr>
          <w:sz w:val="18"/>
        </w:rPr>
        <w:t>are</w:t>
      </w:r>
      <w:r w:rsidRPr="00EC20A0">
        <w:rPr>
          <w:spacing w:val="-2"/>
          <w:sz w:val="18"/>
        </w:rPr>
        <w:t xml:space="preserve"> </w:t>
      </w:r>
      <w:r w:rsidRPr="00EC20A0">
        <w:rPr>
          <w:sz w:val="18"/>
        </w:rPr>
        <w:t>referred</w:t>
      </w:r>
      <w:r w:rsidRPr="00EC20A0">
        <w:rPr>
          <w:spacing w:val="-4"/>
          <w:sz w:val="18"/>
        </w:rPr>
        <w:t xml:space="preserve"> </w:t>
      </w:r>
      <w:r w:rsidRPr="00EC20A0">
        <w:rPr>
          <w:sz w:val="18"/>
        </w:rPr>
        <w:t>to</w:t>
      </w:r>
      <w:r w:rsidRPr="00EC20A0">
        <w:rPr>
          <w:spacing w:val="-4"/>
          <w:sz w:val="18"/>
        </w:rPr>
        <w:t xml:space="preserve"> </w:t>
      </w:r>
      <w:r w:rsidRPr="00EC20A0">
        <w:rPr>
          <w:sz w:val="18"/>
        </w:rPr>
        <w:t>as</w:t>
      </w:r>
      <w:r w:rsidRPr="00EC20A0">
        <w:rPr>
          <w:spacing w:val="-3"/>
          <w:sz w:val="18"/>
        </w:rPr>
        <w:t xml:space="preserve"> </w:t>
      </w:r>
      <w:r w:rsidRPr="00EC20A0">
        <w:rPr>
          <w:sz w:val="18"/>
        </w:rPr>
        <w:t>sustainability financial statements.</w:t>
      </w:r>
    </w:p>
    <w:p w14:paraId="24D61BF1" w14:textId="77777777" w:rsidR="00245300" w:rsidRPr="00EC20A0" w:rsidRDefault="00245300">
      <w:pPr>
        <w:spacing w:line="244" w:lineRule="auto"/>
        <w:rPr>
          <w:sz w:val="18"/>
        </w:rPr>
        <w:sectPr w:rsidR="00245300" w:rsidRPr="00EC20A0">
          <w:headerReference w:type="default" r:id="rId178"/>
          <w:footerReference w:type="default" r:id="rId179"/>
          <w:pgSz w:w="12240" w:h="15840"/>
          <w:pgMar w:top="1600" w:right="1100" w:bottom="940" w:left="1240" w:header="721" w:footer="757" w:gutter="0"/>
          <w:pgNumType w:start="1"/>
          <w:cols w:space="720"/>
        </w:sectPr>
      </w:pPr>
    </w:p>
    <w:p w14:paraId="24D61BF2" w14:textId="77777777" w:rsidR="00245300" w:rsidRPr="00EC20A0" w:rsidRDefault="00F17249">
      <w:pPr>
        <w:pStyle w:val="ListParagraph"/>
        <w:numPr>
          <w:ilvl w:val="2"/>
          <w:numId w:val="1"/>
        </w:numPr>
        <w:tabs>
          <w:tab w:val="left" w:pos="2359"/>
        </w:tabs>
        <w:spacing w:before="121"/>
        <w:ind w:left="2359" w:hanging="359"/>
      </w:pPr>
      <w:r w:rsidRPr="00EC20A0">
        <w:t>current</w:t>
      </w:r>
      <w:r w:rsidRPr="00EC20A0">
        <w:rPr>
          <w:spacing w:val="-8"/>
        </w:rPr>
        <w:t xml:space="preserve"> </w:t>
      </w:r>
      <w:r w:rsidRPr="00EC20A0">
        <w:t>participants</w:t>
      </w:r>
      <w:r w:rsidRPr="00EC20A0">
        <w:rPr>
          <w:spacing w:val="-8"/>
        </w:rPr>
        <w:t xml:space="preserve"> </w:t>
      </w:r>
      <w:r w:rsidRPr="00EC20A0">
        <w:t>who</w:t>
      </w:r>
      <w:r w:rsidRPr="00EC20A0">
        <w:rPr>
          <w:spacing w:val="-8"/>
        </w:rPr>
        <w:t xml:space="preserve"> </w:t>
      </w:r>
      <w:r w:rsidRPr="00EC20A0">
        <w:t>have</w:t>
      </w:r>
      <w:r w:rsidRPr="00EC20A0">
        <w:rPr>
          <w:spacing w:val="-8"/>
        </w:rPr>
        <w:t xml:space="preserve"> </w:t>
      </w:r>
      <w:r w:rsidRPr="00EC20A0">
        <w:t>attained</w:t>
      </w:r>
      <w:r w:rsidRPr="00EC20A0">
        <w:rPr>
          <w:spacing w:val="-7"/>
        </w:rPr>
        <w:t xml:space="preserve"> </w:t>
      </w:r>
      <w:r w:rsidRPr="00EC20A0">
        <w:t>retirement</w:t>
      </w:r>
      <w:r w:rsidRPr="00EC20A0">
        <w:rPr>
          <w:spacing w:val="-8"/>
        </w:rPr>
        <w:t xml:space="preserve"> </w:t>
      </w:r>
      <w:r w:rsidRPr="00EC20A0">
        <w:t>age,</w:t>
      </w:r>
      <w:r w:rsidRPr="00EC20A0">
        <w:rPr>
          <w:spacing w:val="-7"/>
        </w:rPr>
        <w:t xml:space="preserve"> </w:t>
      </w:r>
      <w:r w:rsidRPr="00EC20A0">
        <w:rPr>
          <w:spacing w:val="-5"/>
        </w:rPr>
        <w:t>and</w:t>
      </w:r>
    </w:p>
    <w:p w14:paraId="24D61BF3" w14:textId="77777777" w:rsidR="00245300" w:rsidRPr="00EC20A0" w:rsidRDefault="00F17249">
      <w:pPr>
        <w:pStyle w:val="ListParagraph"/>
        <w:numPr>
          <w:ilvl w:val="2"/>
          <w:numId w:val="1"/>
        </w:numPr>
        <w:tabs>
          <w:tab w:val="left" w:pos="2359"/>
        </w:tabs>
        <w:spacing w:before="237"/>
        <w:ind w:left="2359" w:hanging="359"/>
      </w:pPr>
      <w:r w:rsidRPr="00EC20A0">
        <w:t>individuals</w:t>
      </w:r>
      <w:r w:rsidRPr="00EC20A0">
        <w:rPr>
          <w:spacing w:val="-9"/>
        </w:rPr>
        <w:t xml:space="preserve"> </w:t>
      </w:r>
      <w:r w:rsidRPr="00EC20A0">
        <w:t>expected</w:t>
      </w:r>
      <w:r w:rsidRPr="00EC20A0">
        <w:rPr>
          <w:spacing w:val="-8"/>
        </w:rPr>
        <w:t xml:space="preserve"> </w:t>
      </w:r>
      <w:r w:rsidRPr="00EC20A0">
        <w:t>to</w:t>
      </w:r>
      <w:r w:rsidRPr="00EC20A0">
        <w:rPr>
          <w:spacing w:val="-8"/>
        </w:rPr>
        <w:t xml:space="preserve"> </w:t>
      </w:r>
      <w:r w:rsidRPr="00EC20A0">
        <w:t>become</w:t>
      </w:r>
      <w:r w:rsidRPr="00EC20A0">
        <w:rPr>
          <w:spacing w:val="-8"/>
        </w:rPr>
        <w:t xml:space="preserve"> </w:t>
      </w:r>
      <w:r w:rsidRPr="00EC20A0">
        <w:rPr>
          <w:spacing w:val="-2"/>
        </w:rPr>
        <w:t>participants;</w:t>
      </w:r>
    </w:p>
    <w:p w14:paraId="24D61BF4" w14:textId="77777777" w:rsidR="00245300" w:rsidRPr="00EC20A0" w:rsidRDefault="00F17249">
      <w:pPr>
        <w:pStyle w:val="ListParagraph"/>
        <w:numPr>
          <w:ilvl w:val="1"/>
          <w:numId w:val="1"/>
        </w:numPr>
        <w:tabs>
          <w:tab w:val="left" w:pos="1998"/>
          <w:tab w:val="left" w:pos="2000"/>
        </w:tabs>
        <w:spacing w:before="239"/>
        <w:ind w:right="550" w:hanging="361"/>
      </w:pPr>
      <w:r w:rsidRPr="00EC20A0">
        <w:t>the estimated present value of the benefit payments or expenditures to be made</w:t>
      </w:r>
      <w:r w:rsidRPr="00EC20A0">
        <w:rPr>
          <w:spacing w:val="-3"/>
        </w:rPr>
        <w:t xml:space="preserve"> </w:t>
      </w:r>
      <w:r w:rsidRPr="00EC20A0">
        <w:t>during</w:t>
      </w:r>
      <w:r w:rsidRPr="00EC20A0">
        <w:rPr>
          <w:spacing w:val="-3"/>
        </w:rPr>
        <w:t xml:space="preserve"> </w:t>
      </w:r>
      <w:r w:rsidRPr="00EC20A0">
        <w:t>that</w:t>
      </w:r>
      <w:r w:rsidRPr="00EC20A0">
        <w:rPr>
          <w:spacing w:val="-3"/>
        </w:rPr>
        <w:t xml:space="preserve"> </w:t>
      </w:r>
      <w:r w:rsidRPr="00EC20A0">
        <w:t>same</w:t>
      </w:r>
      <w:r w:rsidRPr="00EC20A0">
        <w:rPr>
          <w:spacing w:val="-3"/>
        </w:rPr>
        <w:t xml:space="preserve"> </w:t>
      </w:r>
      <w:r w:rsidRPr="00EC20A0">
        <w:t>period</w:t>
      </w:r>
      <w:r w:rsidRPr="00EC20A0">
        <w:rPr>
          <w:spacing w:val="-3"/>
        </w:rPr>
        <w:t xml:space="preserve"> </w:t>
      </w:r>
      <w:r w:rsidRPr="00EC20A0">
        <w:t>to</w:t>
      </w:r>
      <w:r w:rsidRPr="00EC20A0">
        <w:rPr>
          <w:spacing w:val="-3"/>
        </w:rPr>
        <w:t xml:space="preserve"> </w:t>
      </w:r>
      <w:r w:rsidRPr="00EC20A0">
        <w:t>or</w:t>
      </w:r>
      <w:r w:rsidRPr="00EC20A0">
        <w:rPr>
          <w:spacing w:val="-3"/>
        </w:rPr>
        <w:t xml:space="preserve"> </w:t>
      </w:r>
      <w:r w:rsidRPr="00EC20A0">
        <w:t>on</w:t>
      </w:r>
      <w:r w:rsidRPr="00EC20A0">
        <w:rPr>
          <w:spacing w:val="-3"/>
        </w:rPr>
        <w:t xml:space="preserve"> </w:t>
      </w:r>
      <w:r w:rsidRPr="00EC20A0">
        <w:t>behalf</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groups</w:t>
      </w:r>
      <w:r w:rsidRPr="00EC20A0">
        <w:rPr>
          <w:spacing w:val="-3"/>
        </w:rPr>
        <w:t xml:space="preserve"> </w:t>
      </w:r>
      <w:r w:rsidRPr="00EC20A0">
        <w:t>listed</w:t>
      </w:r>
      <w:r w:rsidRPr="00EC20A0">
        <w:rPr>
          <w:spacing w:val="-3"/>
        </w:rPr>
        <w:t xml:space="preserve"> </w:t>
      </w:r>
      <w:r w:rsidRPr="00EC20A0">
        <w:t>in</w:t>
      </w:r>
      <w:r w:rsidRPr="00EC20A0">
        <w:rPr>
          <w:spacing w:val="-3"/>
        </w:rPr>
        <w:t xml:space="preserve"> </w:t>
      </w:r>
      <w:r w:rsidRPr="00EC20A0">
        <w:t>item</w:t>
      </w:r>
      <w:r w:rsidRPr="00EC20A0">
        <w:rPr>
          <w:spacing w:val="-5"/>
        </w:rPr>
        <w:t xml:space="preserve"> </w:t>
      </w:r>
      <w:r w:rsidRPr="00EC20A0">
        <w:t xml:space="preserve">(a) </w:t>
      </w:r>
      <w:r w:rsidRPr="00EC20A0">
        <w:rPr>
          <w:spacing w:val="-2"/>
        </w:rPr>
        <w:t>above;</w:t>
      </w:r>
    </w:p>
    <w:p w14:paraId="24D61BF5" w14:textId="77777777" w:rsidR="00245300" w:rsidRPr="00EC20A0" w:rsidRDefault="00F17249">
      <w:pPr>
        <w:pStyle w:val="ListParagraph"/>
        <w:numPr>
          <w:ilvl w:val="1"/>
          <w:numId w:val="1"/>
        </w:numPr>
        <w:tabs>
          <w:tab w:val="left" w:pos="1999"/>
        </w:tabs>
        <w:spacing w:before="239"/>
        <w:ind w:left="1999" w:right="401"/>
      </w:pPr>
      <w:r w:rsidRPr="00EC20A0">
        <w:t>the</w:t>
      </w:r>
      <w:r w:rsidRPr="00EC20A0">
        <w:rPr>
          <w:spacing w:val="-3"/>
        </w:rPr>
        <w:t xml:space="preserve"> </w:t>
      </w:r>
      <w:r w:rsidRPr="00EC20A0">
        <w:t>estimated</w:t>
      </w:r>
      <w:r w:rsidRPr="00EC20A0">
        <w:rPr>
          <w:spacing w:val="-3"/>
        </w:rPr>
        <w:t xml:space="preserve"> </w:t>
      </w:r>
      <w:r w:rsidRPr="00EC20A0">
        <w:t>net</w:t>
      </w:r>
      <w:r w:rsidRPr="00EC20A0">
        <w:rPr>
          <w:spacing w:val="-3"/>
        </w:rPr>
        <w:t xml:space="preserve"> </w:t>
      </w:r>
      <w:r w:rsidRPr="00EC20A0">
        <w:t>present</w:t>
      </w:r>
      <w:r w:rsidRPr="00EC20A0">
        <w:rPr>
          <w:spacing w:val="-3"/>
        </w:rPr>
        <w:t xml:space="preserve"> </w:t>
      </w:r>
      <w:r w:rsidRPr="00EC20A0">
        <w:t>value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cash</w:t>
      </w:r>
      <w:r w:rsidRPr="00EC20A0">
        <w:rPr>
          <w:spacing w:val="-3"/>
        </w:rPr>
        <w:t xml:space="preserve"> </w:t>
      </w:r>
      <w:r w:rsidRPr="00EC20A0">
        <w:t>flows</w:t>
      </w:r>
      <w:r w:rsidRPr="00EC20A0">
        <w:rPr>
          <w:spacing w:val="-4"/>
        </w:rPr>
        <w:t xml:space="preserve"> </w:t>
      </w:r>
      <w:r w:rsidRPr="00EC20A0">
        <w:t>during</w:t>
      </w:r>
      <w:r w:rsidRPr="00EC20A0">
        <w:rPr>
          <w:spacing w:val="-3"/>
        </w:rPr>
        <w:t xml:space="preserve"> </w:t>
      </w:r>
      <w:r w:rsidRPr="00EC20A0">
        <w:t>the</w:t>
      </w:r>
      <w:r w:rsidRPr="00EC20A0">
        <w:rPr>
          <w:spacing w:val="-3"/>
        </w:rPr>
        <w:t xml:space="preserve"> </w:t>
      </w:r>
      <w:r w:rsidRPr="00EC20A0">
        <w:t>projection</w:t>
      </w:r>
      <w:r w:rsidRPr="00EC20A0">
        <w:rPr>
          <w:spacing w:val="-3"/>
        </w:rPr>
        <w:t xml:space="preserve"> </w:t>
      </w:r>
      <w:r w:rsidRPr="00EC20A0">
        <w:t xml:space="preserve">period (the income/revenue described in item (a) above over the expenditures described in item (b) above, or the </w:t>
      </w:r>
      <w:r w:rsidRPr="00EC20A0">
        <w:t>expenditures described in item (b) above over the income/revenue described in item (a) above);</w:t>
      </w:r>
    </w:p>
    <w:p w14:paraId="24D61BF6" w14:textId="77777777" w:rsidR="00245300" w:rsidRPr="00EC20A0" w:rsidRDefault="00F17249">
      <w:pPr>
        <w:pStyle w:val="ListParagraph"/>
        <w:numPr>
          <w:ilvl w:val="1"/>
          <w:numId w:val="1"/>
        </w:numPr>
        <w:tabs>
          <w:tab w:val="left" w:pos="1998"/>
        </w:tabs>
        <w:spacing w:before="241"/>
        <w:ind w:left="1998" w:hanging="359"/>
      </w:pPr>
      <w:r w:rsidRPr="00EC20A0">
        <w:t>in</w:t>
      </w:r>
      <w:r w:rsidRPr="00EC20A0">
        <w:rPr>
          <w:spacing w:val="-6"/>
        </w:rPr>
        <w:t xml:space="preserve"> </w:t>
      </w:r>
      <w:r w:rsidRPr="00EC20A0">
        <w:t>notes</w:t>
      </w:r>
      <w:r w:rsidRPr="00EC20A0">
        <w:rPr>
          <w:spacing w:val="-6"/>
        </w:rPr>
        <w:t xml:space="preserve"> </w:t>
      </w:r>
      <w:r w:rsidRPr="00EC20A0">
        <w:t>to</w:t>
      </w:r>
      <w:r w:rsidRPr="00EC20A0">
        <w:rPr>
          <w:spacing w:val="-5"/>
        </w:rPr>
        <w:t xml:space="preserve"> </w:t>
      </w:r>
      <w:r w:rsidRPr="00EC20A0">
        <w:t>the</w:t>
      </w:r>
      <w:r w:rsidRPr="00EC20A0">
        <w:rPr>
          <w:spacing w:val="-6"/>
        </w:rPr>
        <w:t xml:space="preserve"> </w:t>
      </w:r>
      <w:r w:rsidRPr="00EC20A0">
        <w:t>Statement</w:t>
      </w:r>
      <w:r w:rsidRPr="00EC20A0">
        <w:rPr>
          <w:spacing w:val="-5"/>
        </w:rPr>
        <w:t xml:space="preserve"> </w:t>
      </w:r>
      <w:r w:rsidRPr="00EC20A0">
        <w:t>of</w:t>
      </w:r>
      <w:r w:rsidRPr="00EC20A0">
        <w:rPr>
          <w:spacing w:val="-6"/>
        </w:rPr>
        <w:t xml:space="preserve"> </w:t>
      </w:r>
      <w:r w:rsidRPr="00EC20A0">
        <w:t>Social</w:t>
      </w:r>
      <w:r w:rsidRPr="00EC20A0">
        <w:rPr>
          <w:spacing w:val="-6"/>
        </w:rPr>
        <w:t xml:space="preserve"> </w:t>
      </w:r>
      <w:r w:rsidRPr="00EC20A0">
        <w:t>Insurance,</w:t>
      </w:r>
      <w:r w:rsidRPr="00EC20A0">
        <w:rPr>
          <w:spacing w:val="-5"/>
        </w:rPr>
        <w:t xml:space="preserve"> </w:t>
      </w:r>
      <w:r w:rsidRPr="00EC20A0">
        <w:t>the</w:t>
      </w:r>
      <w:r w:rsidRPr="00EC20A0">
        <w:rPr>
          <w:spacing w:val="-6"/>
        </w:rPr>
        <w:t xml:space="preserve"> </w:t>
      </w:r>
      <w:r w:rsidRPr="00EC20A0">
        <w:rPr>
          <w:spacing w:val="-2"/>
        </w:rPr>
        <w:t>following:</w:t>
      </w:r>
    </w:p>
    <w:p w14:paraId="24D61BF7" w14:textId="77777777" w:rsidR="00245300" w:rsidRPr="00EC20A0" w:rsidRDefault="00F17249">
      <w:pPr>
        <w:pStyle w:val="ListParagraph"/>
        <w:numPr>
          <w:ilvl w:val="0"/>
          <w:numId w:val="81"/>
        </w:numPr>
        <w:tabs>
          <w:tab w:val="left" w:pos="2357"/>
          <w:tab w:val="left" w:pos="2359"/>
        </w:tabs>
        <w:spacing w:before="239"/>
        <w:ind w:right="409"/>
        <w:jc w:val="left"/>
      </w:pPr>
      <w:r w:rsidRPr="00EC20A0">
        <w:t>the accumulated excess of all past cash receipts, including interest on investments,</w:t>
      </w:r>
      <w:r w:rsidRPr="00EC20A0">
        <w:rPr>
          <w:spacing w:val="-5"/>
        </w:rPr>
        <w:t xml:space="preserve"> </w:t>
      </w:r>
      <w:r w:rsidRPr="00EC20A0">
        <w:t>over</w:t>
      </w:r>
      <w:r w:rsidRPr="00EC20A0">
        <w:rPr>
          <w:spacing w:val="-5"/>
        </w:rPr>
        <w:t xml:space="preserve"> </w:t>
      </w:r>
      <w:r w:rsidRPr="00EC20A0">
        <w:t>all</w:t>
      </w:r>
      <w:r w:rsidRPr="00EC20A0">
        <w:rPr>
          <w:spacing w:val="-5"/>
        </w:rPr>
        <w:t xml:space="preserve"> </w:t>
      </w:r>
      <w:r w:rsidRPr="00EC20A0">
        <w:t>past</w:t>
      </w:r>
      <w:r w:rsidRPr="00EC20A0">
        <w:rPr>
          <w:spacing w:val="-5"/>
        </w:rPr>
        <w:t xml:space="preserve"> </w:t>
      </w:r>
      <w:r w:rsidRPr="00EC20A0">
        <w:t>cash</w:t>
      </w:r>
      <w:r w:rsidRPr="00EC20A0">
        <w:rPr>
          <w:spacing w:val="-5"/>
        </w:rPr>
        <w:t xml:space="preserve"> </w:t>
      </w:r>
      <w:r w:rsidRPr="00EC20A0">
        <w:t>disbursements</w:t>
      </w:r>
      <w:r w:rsidRPr="00EC20A0">
        <w:rPr>
          <w:spacing w:val="-5"/>
        </w:rPr>
        <w:t xml:space="preserve"> </w:t>
      </w:r>
      <w:r w:rsidRPr="00EC20A0">
        <w:t>within</w:t>
      </w:r>
      <w:r w:rsidRPr="00EC20A0">
        <w:rPr>
          <w:spacing w:val="-5"/>
        </w:rPr>
        <w:t xml:space="preserve"> </w:t>
      </w:r>
      <w:r w:rsidRPr="00EC20A0">
        <w:t>the</w:t>
      </w:r>
      <w:r w:rsidRPr="00EC20A0">
        <w:rPr>
          <w:spacing w:val="-5"/>
        </w:rPr>
        <w:t xml:space="preserve"> </w:t>
      </w:r>
      <w:r w:rsidRPr="00EC20A0">
        <w:t>social</w:t>
      </w:r>
      <w:r w:rsidRPr="00EC20A0">
        <w:rPr>
          <w:spacing w:val="-5"/>
        </w:rPr>
        <w:t xml:space="preserve"> </w:t>
      </w:r>
      <w:r w:rsidRPr="00EC20A0">
        <w:t>insurance program, represented by the fund balance at the valuation date;</w:t>
      </w:r>
    </w:p>
    <w:p w14:paraId="24D61BF8" w14:textId="77777777" w:rsidR="00245300" w:rsidRPr="00EC20A0" w:rsidRDefault="00F17249">
      <w:pPr>
        <w:pStyle w:val="ListParagraph"/>
        <w:numPr>
          <w:ilvl w:val="0"/>
          <w:numId w:val="81"/>
        </w:numPr>
        <w:tabs>
          <w:tab w:val="left" w:pos="2356"/>
          <w:tab w:val="left" w:pos="2359"/>
        </w:tabs>
        <w:spacing w:before="241"/>
        <w:ind w:right="519" w:hanging="339"/>
        <w:jc w:val="left"/>
        <w:rPr>
          <w:sz w:val="14"/>
        </w:rPr>
      </w:pPr>
      <w:r w:rsidRPr="00EC20A0">
        <w:t>an</w:t>
      </w:r>
      <w:r w:rsidRPr="00EC20A0">
        <w:rPr>
          <w:spacing w:val="-3"/>
        </w:rPr>
        <w:t xml:space="preserve"> </w:t>
      </w:r>
      <w:r w:rsidRPr="00EC20A0">
        <w:t>explanation</w:t>
      </w:r>
      <w:r w:rsidRPr="00EC20A0">
        <w:rPr>
          <w:spacing w:val="-3"/>
        </w:rPr>
        <w:t xml:space="preserve"> </w:t>
      </w:r>
      <w:r w:rsidRPr="00EC20A0">
        <w:t>of</w:t>
      </w:r>
      <w:r w:rsidRPr="00EC20A0">
        <w:rPr>
          <w:spacing w:val="-3"/>
        </w:rPr>
        <w:t xml:space="preserve"> </w:t>
      </w:r>
      <w:r w:rsidRPr="00EC20A0">
        <w:t>how</w:t>
      </w:r>
      <w:r w:rsidRPr="00EC20A0">
        <w:rPr>
          <w:spacing w:val="-4"/>
        </w:rPr>
        <w:t xml:space="preserve"> </w:t>
      </w:r>
      <w:r w:rsidRPr="00EC20A0">
        <w:t>the</w:t>
      </w:r>
      <w:r w:rsidRPr="00EC20A0">
        <w:rPr>
          <w:spacing w:val="-3"/>
        </w:rPr>
        <w:t xml:space="preserve"> </w:t>
      </w:r>
      <w:r w:rsidRPr="00EC20A0">
        <w:t>net</w:t>
      </w:r>
      <w:r w:rsidRPr="00EC20A0">
        <w:rPr>
          <w:spacing w:val="-3"/>
        </w:rPr>
        <w:t xml:space="preserve"> </w:t>
      </w:r>
      <w:r w:rsidRPr="00EC20A0">
        <w:t>present</w:t>
      </w:r>
      <w:r w:rsidRPr="00EC20A0">
        <w:rPr>
          <w:spacing w:val="-3"/>
        </w:rPr>
        <w:t xml:space="preserve"> </w:t>
      </w:r>
      <w:r w:rsidRPr="00EC20A0">
        <w:t>value</w:t>
      </w:r>
      <w:r w:rsidRPr="00EC20A0">
        <w:rPr>
          <w:spacing w:val="-3"/>
        </w:rPr>
        <w:t xml:space="preserve"> </w:t>
      </w:r>
      <w:r w:rsidRPr="00EC20A0">
        <w:t>referred</w:t>
      </w:r>
      <w:r w:rsidRPr="00EC20A0">
        <w:rPr>
          <w:spacing w:val="-3"/>
        </w:rPr>
        <w:t xml:space="preserve"> </w:t>
      </w:r>
      <w:r w:rsidRPr="00EC20A0">
        <w:t>to</w:t>
      </w:r>
      <w:r w:rsidRPr="00EC20A0">
        <w:rPr>
          <w:spacing w:val="-3"/>
        </w:rPr>
        <w:t xml:space="preserve"> </w:t>
      </w:r>
      <w:r w:rsidRPr="00EC20A0">
        <w:t>in</w:t>
      </w:r>
      <w:r w:rsidRPr="00EC20A0">
        <w:rPr>
          <w:spacing w:val="-3"/>
        </w:rPr>
        <w:t xml:space="preserve"> </w:t>
      </w:r>
      <w:r w:rsidRPr="00EC20A0">
        <w:t>item</w:t>
      </w:r>
      <w:r w:rsidRPr="00EC20A0">
        <w:rPr>
          <w:spacing w:val="-4"/>
        </w:rPr>
        <w:t xml:space="preserve"> </w:t>
      </w:r>
      <w:r w:rsidRPr="00EC20A0">
        <w:t>(c)</w:t>
      </w:r>
      <w:r w:rsidRPr="00EC20A0">
        <w:rPr>
          <w:spacing w:val="-3"/>
        </w:rPr>
        <w:t xml:space="preserve"> </w:t>
      </w:r>
      <w:r w:rsidRPr="00EC20A0">
        <w:t>above is calculated for the closed group;</w:t>
      </w:r>
      <w:hyperlink w:anchor="_bookmark198" w:history="1">
        <w:r w:rsidRPr="00EC20A0">
          <w:rPr>
            <w:position w:val="7"/>
            <w:sz w:val="14"/>
          </w:rPr>
          <w:t>40</w:t>
        </w:r>
      </w:hyperlink>
    </w:p>
    <w:p w14:paraId="24D61BF9" w14:textId="77777777" w:rsidR="00245300" w:rsidRPr="00EC20A0" w:rsidRDefault="00F17249">
      <w:pPr>
        <w:pStyle w:val="ListParagraph"/>
        <w:numPr>
          <w:ilvl w:val="0"/>
          <w:numId w:val="81"/>
        </w:numPr>
        <w:tabs>
          <w:tab w:val="left" w:pos="2357"/>
          <w:tab w:val="left" w:pos="2360"/>
        </w:tabs>
        <w:spacing w:before="241"/>
        <w:ind w:left="2360" w:right="642" w:hanging="388"/>
        <w:jc w:val="left"/>
      </w:pPr>
      <w:r w:rsidRPr="00EC20A0">
        <w:t>comparative</w:t>
      </w:r>
      <w:r w:rsidRPr="00EC20A0">
        <w:rPr>
          <w:spacing w:val="-4"/>
        </w:rPr>
        <w:t xml:space="preserve"> </w:t>
      </w:r>
      <w:r w:rsidRPr="00EC20A0">
        <w:t>financial</w:t>
      </w:r>
      <w:r w:rsidRPr="00EC20A0">
        <w:rPr>
          <w:spacing w:val="-5"/>
        </w:rPr>
        <w:t xml:space="preserve"> </w:t>
      </w:r>
      <w:r w:rsidRPr="00EC20A0">
        <w:t>information</w:t>
      </w:r>
      <w:r w:rsidRPr="00EC20A0">
        <w:rPr>
          <w:spacing w:val="-4"/>
        </w:rPr>
        <w:t xml:space="preserve"> </w:t>
      </w:r>
      <w:r w:rsidRPr="00EC20A0">
        <w:t>for</w:t>
      </w:r>
      <w:r w:rsidRPr="00EC20A0">
        <w:rPr>
          <w:spacing w:val="-4"/>
        </w:rPr>
        <w:t xml:space="preserve"> </w:t>
      </w:r>
      <w:r w:rsidRPr="00EC20A0">
        <w:t>items</w:t>
      </w:r>
      <w:r w:rsidRPr="00EC20A0">
        <w:rPr>
          <w:spacing w:val="-4"/>
        </w:rPr>
        <w:t xml:space="preserve"> </w:t>
      </w:r>
      <w:r w:rsidRPr="00EC20A0">
        <w:t>(a),</w:t>
      </w:r>
      <w:r w:rsidRPr="00EC20A0">
        <w:rPr>
          <w:spacing w:val="-4"/>
        </w:rPr>
        <w:t xml:space="preserve"> </w:t>
      </w:r>
      <w:r w:rsidRPr="00EC20A0">
        <w:t>(b),</w:t>
      </w:r>
      <w:r w:rsidRPr="00EC20A0">
        <w:rPr>
          <w:spacing w:val="-4"/>
        </w:rPr>
        <w:t xml:space="preserve"> </w:t>
      </w:r>
      <w:r w:rsidRPr="00EC20A0">
        <w:t>(c),</w:t>
      </w:r>
      <w:r w:rsidRPr="00EC20A0">
        <w:rPr>
          <w:spacing w:val="-4"/>
        </w:rPr>
        <w:t xml:space="preserve"> </w:t>
      </w:r>
      <w:r w:rsidRPr="00EC20A0">
        <w:t>and</w:t>
      </w:r>
      <w:r w:rsidRPr="00EC20A0">
        <w:rPr>
          <w:spacing w:val="-4"/>
        </w:rPr>
        <w:t xml:space="preserve"> </w:t>
      </w:r>
      <w:r w:rsidRPr="00EC20A0">
        <w:t>(d)(i)</w:t>
      </w:r>
      <w:r w:rsidRPr="00EC20A0">
        <w:rPr>
          <w:spacing w:val="-4"/>
        </w:rPr>
        <w:t xml:space="preserve"> </w:t>
      </w:r>
      <w:r w:rsidRPr="00EC20A0">
        <w:t>above for the current year and for each of the 4 preceding years; and</w:t>
      </w:r>
    </w:p>
    <w:p w14:paraId="24D61BFA" w14:textId="77777777" w:rsidR="00245300" w:rsidRPr="00EC20A0" w:rsidRDefault="00F17249">
      <w:pPr>
        <w:pStyle w:val="ListParagraph"/>
        <w:numPr>
          <w:ilvl w:val="0"/>
          <w:numId w:val="81"/>
        </w:numPr>
        <w:tabs>
          <w:tab w:val="left" w:pos="2357"/>
        </w:tabs>
        <w:spacing w:before="239"/>
        <w:ind w:left="2357" w:hanging="397"/>
        <w:jc w:val="left"/>
      </w:pPr>
      <w:r w:rsidRPr="00EC20A0">
        <w:t>the</w:t>
      </w:r>
      <w:r w:rsidRPr="00EC20A0">
        <w:rPr>
          <w:spacing w:val="-8"/>
        </w:rPr>
        <w:t xml:space="preserve"> </w:t>
      </w:r>
      <w:r w:rsidRPr="00EC20A0">
        <w:t>significant</w:t>
      </w:r>
      <w:r w:rsidRPr="00EC20A0">
        <w:rPr>
          <w:spacing w:val="-7"/>
        </w:rPr>
        <w:t xml:space="preserve"> </w:t>
      </w:r>
      <w:r w:rsidRPr="00EC20A0">
        <w:t>assumptions</w:t>
      </w:r>
      <w:r w:rsidRPr="00EC20A0">
        <w:rPr>
          <w:spacing w:val="-7"/>
        </w:rPr>
        <w:t xml:space="preserve"> </w:t>
      </w:r>
      <w:r w:rsidRPr="00EC20A0">
        <w:t>used</w:t>
      </w:r>
      <w:r w:rsidRPr="00EC20A0">
        <w:rPr>
          <w:spacing w:val="-7"/>
        </w:rPr>
        <w:t xml:space="preserve"> </w:t>
      </w:r>
      <w:r w:rsidRPr="00EC20A0">
        <w:t>in</w:t>
      </w:r>
      <w:r w:rsidRPr="00EC20A0">
        <w:rPr>
          <w:spacing w:val="-8"/>
        </w:rPr>
        <w:t xml:space="preserve"> </w:t>
      </w:r>
      <w:r w:rsidRPr="00EC20A0">
        <w:t>preparing</w:t>
      </w:r>
      <w:r w:rsidRPr="00EC20A0">
        <w:rPr>
          <w:spacing w:val="-7"/>
        </w:rPr>
        <w:t xml:space="preserve"> </w:t>
      </w:r>
      <w:r w:rsidRPr="00EC20A0">
        <w:t>the</w:t>
      </w:r>
      <w:r w:rsidRPr="00EC20A0">
        <w:rPr>
          <w:spacing w:val="-8"/>
        </w:rPr>
        <w:t xml:space="preserve"> </w:t>
      </w:r>
      <w:r w:rsidRPr="00EC20A0">
        <w:rPr>
          <w:spacing w:val="-2"/>
        </w:rPr>
        <w:t>estimates.</w:t>
      </w:r>
    </w:p>
    <w:p w14:paraId="24D61BFB" w14:textId="77777777" w:rsidR="00245300" w:rsidRPr="00EC20A0" w:rsidRDefault="00F17249">
      <w:pPr>
        <w:pStyle w:val="ListParagraph"/>
        <w:numPr>
          <w:ilvl w:val="0"/>
          <w:numId w:val="1"/>
        </w:numPr>
        <w:tabs>
          <w:tab w:val="left" w:pos="1640"/>
        </w:tabs>
        <w:ind w:right="614"/>
      </w:pPr>
      <w:r w:rsidRPr="00EC20A0">
        <w:t xml:space="preserve">FASAB </w:t>
      </w:r>
      <w:r w:rsidRPr="00EC20A0">
        <w:t>standards for social insurance programs require social insurance reporting</w:t>
      </w:r>
      <w:r w:rsidRPr="00EC20A0">
        <w:rPr>
          <w:spacing w:val="-5"/>
        </w:rPr>
        <w:t xml:space="preserve"> </w:t>
      </w:r>
      <w:r w:rsidRPr="00EC20A0">
        <w:t>entities’</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and</w:t>
      </w:r>
      <w:r w:rsidRPr="00EC20A0">
        <w:rPr>
          <w:spacing w:val="-5"/>
        </w:rPr>
        <w:t xml:space="preserve"> </w:t>
      </w:r>
      <w:r w:rsidRPr="00EC20A0">
        <w:t>the</w:t>
      </w:r>
      <w:r w:rsidRPr="00EC20A0">
        <w:rPr>
          <w:spacing w:val="-5"/>
        </w:rPr>
        <w:t xml:space="preserve"> </w:t>
      </w:r>
      <w:r w:rsidRPr="00EC20A0">
        <w:t>U.S.</w:t>
      </w:r>
      <w:r w:rsidRPr="00EC20A0">
        <w:rPr>
          <w:spacing w:val="-5"/>
        </w:rPr>
        <w:t xml:space="preserve"> </w:t>
      </w:r>
      <w:r w:rsidRPr="00EC20A0">
        <w:t>government’s</w:t>
      </w:r>
      <w:r w:rsidRPr="00EC20A0">
        <w:rPr>
          <w:spacing w:val="-4"/>
        </w:rPr>
        <w:t xml:space="preserve"> </w:t>
      </w:r>
      <w:r w:rsidRPr="00EC20A0">
        <w:t>consolidated financial statements to report the following for the Statement of Changes in Social Insurance Amounts:</w:t>
      </w:r>
    </w:p>
    <w:p w14:paraId="24D61BFC" w14:textId="77777777" w:rsidR="00245300" w:rsidRPr="00EC20A0" w:rsidRDefault="00F17249">
      <w:pPr>
        <w:pStyle w:val="ListParagraph"/>
        <w:numPr>
          <w:ilvl w:val="1"/>
          <w:numId w:val="1"/>
        </w:numPr>
        <w:tabs>
          <w:tab w:val="left" w:pos="2000"/>
        </w:tabs>
        <w:ind w:right="524"/>
      </w:pPr>
      <w:r w:rsidRPr="00EC20A0">
        <w:t>The</w:t>
      </w:r>
      <w:r w:rsidRPr="00EC20A0">
        <w:rPr>
          <w:spacing w:val="-4"/>
        </w:rPr>
        <w:t xml:space="preserve"> </w:t>
      </w:r>
      <w:r w:rsidRPr="00EC20A0">
        <w:t>significant</w:t>
      </w:r>
      <w:r w:rsidRPr="00EC20A0">
        <w:rPr>
          <w:spacing w:val="-4"/>
        </w:rPr>
        <w:t xml:space="preserve"> </w:t>
      </w:r>
      <w:r w:rsidRPr="00EC20A0">
        <w:t>components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open</w:t>
      </w:r>
      <w:r w:rsidRPr="00EC20A0">
        <w:rPr>
          <w:spacing w:val="-4"/>
        </w:rPr>
        <w:t xml:space="preserve"> </w:t>
      </w:r>
      <w:r w:rsidRPr="00EC20A0">
        <w:t>group</w:t>
      </w:r>
      <w:r w:rsidRPr="00EC20A0">
        <w:rPr>
          <w:spacing w:val="-4"/>
        </w:rPr>
        <w:t xml:space="preserve"> </w:t>
      </w:r>
      <w:r w:rsidRPr="00EC20A0">
        <w:t>measure</w:t>
      </w:r>
      <w:r w:rsidRPr="00EC20A0">
        <w:rPr>
          <w:spacing w:val="-4"/>
        </w:rPr>
        <w:t xml:space="preserve"> </w:t>
      </w:r>
      <w:r w:rsidRPr="00EC20A0">
        <w:t>from the end of the previous reporting period and the amounts associated with each type of change.</w:t>
      </w:r>
    </w:p>
    <w:p w14:paraId="24D61BFD" w14:textId="77777777" w:rsidR="00245300" w:rsidRPr="00EC20A0" w:rsidRDefault="00F17249">
      <w:pPr>
        <w:pStyle w:val="ListParagraph"/>
        <w:numPr>
          <w:ilvl w:val="1"/>
          <w:numId w:val="1"/>
        </w:numPr>
        <w:tabs>
          <w:tab w:val="left" w:pos="2000"/>
        </w:tabs>
        <w:ind w:right="620"/>
      </w:pPr>
      <w:r w:rsidRPr="00EC20A0">
        <w:t>The</w:t>
      </w:r>
      <w:r w:rsidRPr="00EC20A0">
        <w:rPr>
          <w:spacing w:val="-4"/>
        </w:rPr>
        <w:t xml:space="preserve"> </w:t>
      </w:r>
      <w:r w:rsidRPr="00EC20A0">
        <w:t>reasons</w:t>
      </w:r>
      <w:r w:rsidRPr="00EC20A0">
        <w:rPr>
          <w:spacing w:val="-5"/>
        </w:rPr>
        <w:t xml:space="preserve"> </w:t>
      </w:r>
      <w:r w:rsidRPr="00EC20A0">
        <w:t>for</w:t>
      </w:r>
      <w:r w:rsidRPr="00EC20A0">
        <w:rPr>
          <w:spacing w:val="-4"/>
        </w:rPr>
        <w:t xml:space="preserve"> </w:t>
      </w:r>
      <w:r w:rsidRPr="00EC20A0">
        <w:t>the</w:t>
      </w:r>
      <w:r w:rsidRPr="00EC20A0">
        <w:rPr>
          <w:spacing w:val="-4"/>
        </w:rPr>
        <w:t xml:space="preserve"> </w:t>
      </w:r>
      <w:r w:rsidRPr="00EC20A0">
        <w:t>changes,</w:t>
      </w:r>
      <w:r w:rsidRPr="00EC20A0">
        <w:rPr>
          <w:spacing w:val="-4"/>
        </w:rPr>
        <w:t xml:space="preserve"> </w:t>
      </w:r>
      <w:r w:rsidRPr="00EC20A0">
        <w:t>including</w:t>
      </w:r>
      <w:r w:rsidRPr="00EC20A0">
        <w:rPr>
          <w:spacing w:val="-4"/>
        </w:rPr>
        <w:t xml:space="preserve"> </w:t>
      </w:r>
      <w:r w:rsidRPr="00EC20A0">
        <w:t>explanations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most</w:t>
      </w:r>
      <w:r w:rsidRPr="00EC20A0">
        <w:rPr>
          <w:spacing w:val="-4"/>
        </w:rPr>
        <w:t xml:space="preserve"> </w:t>
      </w:r>
      <w:r w:rsidRPr="00EC20A0">
        <w:t xml:space="preserve">significant changes, in </w:t>
      </w:r>
      <w:r w:rsidRPr="00EC20A0">
        <w:t>notes on the face of the Statement of Changes in Social Insurance</w:t>
      </w:r>
      <w:r w:rsidRPr="00EC20A0">
        <w:rPr>
          <w:spacing w:val="-2"/>
        </w:rPr>
        <w:t xml:space="preserve"> </w:t>
      </w:r>
      <w:r w:rsidRPr="00EC20A0">
        <w:t>Amounts</w:t>
      </w:r>
      <w:r w:rsidRPr="00EC20A0">
        <w:rPr>
          <w:spacing w:val="-2"/>
        </w:rPr>
        <w:t xml:space="preserve"> </w:t>
      </w:r>
      <w:r w:rsidRPr="00EC20A0">
        <w:t>or</w:t>
      </w:r>
      <w:r w:rsidRPr="00EC20A0">
        <w:rPr>
          <w:spacing w:val="-2"/>
        </w:rPr>
        <w:t xml:space="preserve"> </w:t>
      </w:r>
      <w:r w:rsidRPr="00EC20A0">
        <w:t>in</w:t>
      </w:r>
      <w:r w:rsidRPr="00EC20A0">
        <w:rPr>
          <w:spacing w:val="-2"/>
        </w:rPr>
        <w:t xml:space="preserve"> </w:t>
      </w:r>
      <w:r w:rsidRPr="00EC20A0">
        <w:t>the</w:t>
      </w:r>
      <w:r w:rsidRPr="00EC20A0">
        <w:rPr>
          <w:spacing w:val="-2"/>
        </w:rPr>
        <w:t xml:space="preserve"> </w:t>
      </w:r>
      <w:r w:rsidRPr="00EC20A0">
        <w:t>notes</w:t>
      </w:r>
      <w:r w:rsidRPr="00EC20A0">
        <w:rPr>
          <w:spacing w:val="-2"/>
        </w:rPr>
        <w:t xml:space="preserve"> </w:t>
      </w:r>
      <w:r w:rsidRPr="00EC20A0">
        <w:t>that</w:t>
      </w:r>
      <w:r w:rsidRPr="00EC20A0">
        <w:rPr>
          <w:spacing w:val="-2"/>
        </w:rPr>
        <w:t xml:space="preserve"> </w:t>
      </w:r>
      <w:r w:rsidRPr="00EC20A0">
        <w:t>are</w:t>
      </w:r>
      <w:r w:rsidRPr="00EC20A0">
        <w:rPr>
          <w:spacing w:val="-2"/>
        </w:rPr>
        <w:t xml:space="preserve"> </w:t>
      </w:r>
      <w:r w:rsidRPr="00EC20A0">
        <w:t>presented</w:t>
      </w:r>
      <w:r w:rsidRPr="00EC20A0">
        <w:rPr>
          <w:spacing w:val="-2"/>
        </w:rPr>
        <w:t xml:space="preserve"> </w:t>
      </w:r>
      <w:r w:rsidRPr="00EC20A0">
        <w:t>as</w:t>
      </w:r>
      <w:r w:rsidRPr="00EC20A0">
        <w:rPr>
          <w:spacing w:val="-2"/>
        </w:rPr>
        <w:t xml:space="preserve"> </w:t>
      </w:r>
      <w:r w:rsidRPr="00EC20A0">
        <w:t>an</w:t>
      </w:r>
      <w:r w:rsidRPr="00EC20A0">
        <w:rPr>
          <w:spacing w:val="-2"/>
        </w:rPr>
        <w:t xml:space="preserve"> </w:t>
      </w:r>
      <w:r w:rsidRPr="00EC20A0">
        <w:t>integral</w:t>
      </w:r>
      <w:r w:rsidRPr="00EC20A0">
        <w:rPr>
          <w:spacing w:val="-2"/>
        </w:rPr>
        <w:t xml:space="preserve"> </w:t>
      </w:r>
      <w:r w:rsidRPr="00EC20A0">
        <w:t>part</w:t>
      </w:r>
      <w:r w:rsidRPr="00EC20A0">
        <w:rPr>
          <w:spacing w:val="-3"/>
        </w:rPr>
        <w:t xml:space="preserve"> </w:t>
      </w:r>
      <w:r w:rsidRPr="00EC20A0">
        <w:t>of the financial statements.</w:t>
      </w:r>
    </w:p>
    <w:p w14:paraId="24D61BFE" w14:textId="77777777" w:rsidR="00245300" w:rsidRPr="00EC20A0" w:rsidRDefault="00F17249">
      <w:pPr>
        <w:pStyle w:val="ListParagraph"/>
        <w:numPr>
          <w:ilvl w:val="1"/>
          <w:numId w:val="1"/>
        </w:numPr>
        <w:tabs>
          <w:tab w:val="left" w:pos="2000"/>
        </w:tabs>
        <w:ind w:right="427"/>
      </w:pPr>
      <w:r w:rsidRPr="00EC20A0">
        <w:t>An explanation of the reasons for the most significant changes in the open group</w:t>
      </w:r>
      <w:r w:rsidRPr="00EC20A0">
        <w:rPr>
          <w:spacing w:val="-4"/>
        </w:rPr>
        <w:t xml:space="preserve"> </w:t>
      </w:r>
      <w:r w:rsidRPr="00EC20A0">
        <w:t>measure</w:t>
      </w:r>
      <w:r w:rsidRPr="00EC20A0">
        <w:rPr>
          <w:spacing w:val="-4"/>
        </w:rPr>
        <w:t xml:space="preserve"> </w:t>
      </w:r>
      <w:r w:rsidRPr="00EC20A0">
        <w:t>during</w:t>
      </w:r>
      <w:r w:rsidRPr="00EC20A0">
        <w:rPr>
          <w:spacing w:val="-4"/>
        </w:rPr>
        <w:t xml:space="preserve"> </w:t>
      </w:r>
      <w:r w:rsidRPr="00EC20A0">
        <w:t>the</w:t>
      </w:r>
      <w:r w:rsidRPr="00EC20A0">
        <w:rPr>
          <w:spacing w:val="-4"/>
        </w:rPr>
        <w:t xml:space="preserve"> </w:t>
      </w:r>
      <w:r w:rsidRPr="00EC20A0">
        <w:t>reporting</w:t>
      </w:r>
      <w:r w:rsidRPr="00EC20A0">
        <w:rPr>
          <w:spacing w:val="-5"/>
        </w:rPr>
        <w:t xml:space="preserve"> </w:t>
      </w:r>
      <w:r w:rsidRPr="00EC20A0">
        <w:t>periods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entity’s</w:t>
      </w:r>
      <w:r w:rsidRPr="00EC20A0">
        <w:rPr>
          <w:spacing w:val="-5"/>
        </w:rPr>
        <w:t xml:space="preserve"> </w:t>
      </w:r>
      <w:r w:rsidRPr="00EC20A0">
        <w:t>MD&amp;A.</w:t>
      </w:r>
      <w:r w:rsidRPr="00EC20A0">
        <w:rPr>
          <w:spacing w:val="-4"/>
        </w:rPr>
        <w:t xml:space="preserve"> </w:t>
      </w:r>
      <w:r w:rsidRPr="00EC20A0">
        <w:t>In</w:t>
      </w:r>
      <w:r w:rsidRPr="00EC20A0">
        <w:rPr>
          <w:spacing w:val="-4"/>
        </w:rPr>
        <w:t xml:space="preserve"> </w:t>
      </w:r>
      <w:r w:rsidRPr="00EC20A0">
        <w:t>addition, the entity’s MD&amp;A should discuss the closed group measure in the narrative and explain how it differs from the open group measure and the significance of the difference.</w:t>
      </w:r>
    </w:p>
    <w:p w14:paraId="24D61BFF" w14:textId="77777777" w:rsidR="00245300" w:rsidRPr="00EC20A0" w:rsidRDefault="00245300">
      <w:pPr>
        <w:pStyle w:val="BodyText"/>
        <w:rPr>
          <w:sz w:val="20"/>
        </w:rPr>
      </w:pPr>
    </w:p>
    <w:p w14:paraId="24D61C00" w14:textId="77777777" w:rsidR="00245300" w:rsidRPr="00EC20A0" w:rsidRDefault="00F17249">
      <w:pPr>
        <w:pStyle w:val="BodyText"/>
        <w:spacing w:before="173"/>
        <w:rPr>
          <w:sz w:val="20"/>
        </w:rPr>
      </w:pPr>
      <w:r w:rsidRPr="00EC20A0">
        <w:rPr>
          <w:noProof/>
        </w:rPr>
        <mc:AlternateContent>
          <mc:Choice Requires="wps">
            <w:drawing>
              <wp:anchor distT="0" distB="0" distL="0" distR="0" simplePos="0" relativeHeight="487717888" behindDoc="1" locked="0" layoutInCell="1" allowOverlap="1" wp14:anchorId="24D62CB1" wp14:editId="24D62CB2">
                <wp:simplePos x="0" y="0"/>
                <wp:positionH relativeFrom="page">
                  <wp:posOffset>914400</wp:posOffset>
                </wp:positionH>
                <wp:positionV relativeFrom="paragraph">
                  <wp:posOffset>271706</wp:posOffset>
                </wp:positionV>
                <wp:extent cx="1828800" cy="5715"/>
                <wp:effectExtent l="0" t="0" r="0" b="0"/>
                <wp:wrapTopAndBottom/>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60EFF9" id="Graphic 882" o:spid="_x0000_s1026" style="position:absolute;margin-left:1in;margin-top:21.4pt;width:2in;height:.45pt;z-index:-155985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" path="m1828800,l,,,5321r1828800,l1828800,xe" fillcolor="black" stroked="f">
                <v:path arrowok="t"/>
                <w10:wrap type="topAndBottom" anchorx="page"/>
              </v:shape>
            </w:pict>
          </mc:Fallback>
        </mc:AlternateContent>
      </w:r>
    </w:p>
    <w:p w14:paraId="24D61C01" w14:textId="77777777" w:rsidR="00245300" w:rsidRPr="00EC20A0" w:rsidRDefault="00F17249">
      <w:pPr>
        <w:spacing w:before="202" w:line="249" w:lineRule="auto"/>
        <w:ind w:left="199" w:right="337"/>
        <w:rPr>
          <w:sz w:val="18"/>
        </w:rPr>
      </w:pPr>
      <w:bookmarkStart w:id="346" w:name="_bookmark198"/>
      <w:bookmarkEnd w:id="346"/>
      <w:r w:rsidRPr="00EC20A0">
        <w:rPr>
          <w:position w:val="7"/>
          <w:sz w:val="14"/>
        </w:rPr>
        <w:t>40</w:t>
      </w:r>
      <w:r w:rsidRPr="00EC20A0">
        <w:rPr>
          <w:sz w:val="18"/>
        </w:rPr>
        <w:t>The</w:t>
      </w:r>
      <w:r w:rsidRPr="00EC20A0">
        <w:rPr>
          <w:spacing w:val="-3"/>
          <w:sz w:val="18"/>
        </w:rPr>
        <w:t xml:space="preserve"> </w:t>
      </w:r>
      <w:r w:rsidRPr="00EC20A0">
        <w:rPr>
          <w:i/>
          <w:sz w:val="18"/>
        </w:rPr>
        <w:t>closed</w:t>
      </w:r>
      <w:r w:rsidRPr="00EC20A0">
        <w:rPr>
          <w:i/>
          <w:spacing w:val="-3"/>
          <w:sz w:val="18"/>
        </w:rPr>
        <w:t xml:space="preserve"> </w:t>
      </w:r>
      <w:r w:rsidRPr="00EC20A0">
        <w:rPr>
          <w:i/>
          <w:sz w:val="18"/>
        </w:rPr>
        <w:t>group</w:t>
      </w:r>
      <w:r w:rsidRPr="00EC20A0">
        <w:rPr>
          <w:i/>
          <w:spacing w:val="-2"/>
          <w:sz w:val="18"/>
        </w:rPr>
        <w:t xml:space="preserve"> </w:t>
      </w:r>
      <w:r w:rsidRPr="00EC20A0">
        <w:rPr>
          <w:sz w:val="18"/>
        </w:rPr>
        <w:t>is</w:t>
      </w:r>
      <w:r w:rsidRPr="00EC20A0">
        <w:rPr>
          <w:spacing w:val="-2"/>
          <w:sz w:val="18"/>
        </w:rPr>
        <w:t xml:space="preserve"> </w:t>
      </w:r>
      <w:r w:rsidRPr="00EC20A0">
        <w:rPr>
          <w:sz w:val="18"/>
        </w:rPr>
        <w:t>defined</w:t>
      </w:r>
      <w:r w:rsidRPr="00EC20A0">
        <w:rPr>
          <w:spacing w:val="-3"/>
          <w:sz w:val="18"/>
        </w:rPr>
        <w:t xml:space="preserve"> </w:t>
      </w:r>
      <w:r w:rsidRPr="00EC20A0">
        <w:rPr>
          <w:sz w:val="18"/>
        </w:rPr>
        <w:t>as</w:t>
      </w:r>
      <w:r w:rsidRPr="00EC20A0">
        <w:rPr>
          <w:spacing w:val="-2"/>
          <w:sz w:val="18"/>
        </w:rPr>
        <w:t xml:space="preserve"> </w:t>
      </w:r>
      <w:r w:rsidRPr="00EC20A0">
        <w:rPr>
          <w:sz w:val="18"/>
        </w:rPr>
        <w:t>those</w:t>
      </w:r>
      <w:r w:rsidRPr="00EC20A0">
        <w:rPr>
          <w:spacing w:val="-3"/>
          <w:sz w:val="18"/>
        </w:rPr>
        <w:t xml:space="preserve"> </w:t>
      </w:r>
      <w:r w:rsidRPr="00EC20A0">
        <w:rPr>
          <w:sz w:val="18"/>
        </w:rPr>
        <w:t>persons</w:t>
      </w:r>
      <w:r w:rsidRPr="00EC20A0">
        <w:rPr>
          <w:spacing w:val="-2"/>
          <w:sz w:val="18"/>
        </w:rPr>
        <w:t xml:space="preserve"> </w:t>
      </w:r>
      <w:r w:rsidRPr="00EC20A0">
        <w:rPr>
          <w:sz w:val="18"/>
        </w:rPr>
        <w:t>who,</w:t>
      </w:r>
      <w:r w:rsidRPr="00EC20A0">
        <w:rPr>
          <w:spacing w:val="-2"/>
          <w:sz w:val="18"/>
        </w:rPr>
        <w:t xml:space="preserve"> </w:t>
      </w:r>
      <w:r w:rsidRPr="00EC20A0">
        <w:rPr>
          <w:sz w:val="18"/>
        </w:rPr>
        <w:t>as</w:t>
      </w:r>
      <w:r w:rsidRPr="00EC20A0">
        <w:rPr>
          <w:spacing w:val="-2"/>
          <w:sz w:val="18"/>
        </w:rPr>
        <w:t xml:space="preserve"> </w:t>
      </w:r>
      <w:r w:rsidRPr="00EC20A0">
        <w:rPr>
          <w:sz w:val="18"/>
        </w:rPr>
        <w:t>of</w:t>
      </w:r>
      <w:r w:rsidRPr="00EC20A0">
        <w:rPr>
          <w:spacing w:val="-2"/>
          <w:sz w:val="18"/>
        </w:rPr>
        <w:t xml:space="preserve"> </w:t>
      </w:r>
      <w:r w:rsidRPr="00EC20A0">
        <w:rPr>
          <w:sz w:val="18"/>
        </w:rPr>
        <w:t>a</w:t>
      </w:r>
      <w:r w:rsidRPr="00EC20A0">
        <w:rPr>
          <w:spacing w:val="-3"/>
          <w:sz w:val="18"/>
        </w:rPr>
        <w:t xml:space="preserve"> </w:t>
      </w:r>
      <w:r w:rsidRPr="00EC20A0">
        <w:rPr>
          <w:sz w:val="18"/>
        </w:rPr>
        <w:t>valuation</w:t>
      </w:r>
      <w:r w:rsidRPr="00EC20A0">
        <w:rPr>
          <w:spacing w:val="-1"/>
          <w:sz w:val="18"/>
        </w:rPr>
        <w:t xml:space="preserve"> </w:t>
      </w:r>
      <w:r w:rsidRPr="00EC20A0">
        <w:rPr>
          <w:sz w:val="18"/>
        </w:rPr>
        <w:t>date,</w:t>
      </w:r>
      <w:r w:rsidRPr="00EC20A0">
        <w:rPr>
          <w:spacing w:val="-2"/>
          <w:sz w:val="18"/>
        </w:rPr>
        <w:t xml:space="preserve"> </w:t>
      </w:r>
      <w:r w:rsidRPr="00EC20A0">
        <w:rPr>
          <w:sz w:val="18"/>
        </w:rPr>
        <w:t>are</w:t>
      </w:r>
      <w:r w:rsidRPr="00EC20A0">
        <w:rPr>
          <w:spacing w:val="-3"/>
          <w:sz w:val="18"/>
        </w:rPr>
        <w:t xml:space="preserve"> </w:t>
      </w:r>
      <w:r w:rsidRPr="00EC20A0">
        <w:rPr>
          <w:sz w:val="18"/>
        </w:rPr>
        <w:t>participants</w:t>
      </w:r>
      <w:r w:rsidRPr="00EC20A0">
        <w:rPr>
          <w:spacing w:val="-2"/>
          <w:sz w:val="18"/>
        </w:rPr>
        <w:t xml:space="preserve"> </w:t>
      </w:r>
      <w:r w:rsidRPr="00EC20A0">
        <w:rPr>
          <w:sz w:val="18"/>
        </w:rPr>
        <w:t>in</w:t>
      </w:r>
      <w:r w:rsidRPr="00EC20A0">
        <w:rPr>
          <w:spacing w:val="-3"/>
          <w:sz w:val="18"/>
        </w:rPr>
        <w:t xml:space="preserve"> </w:t>
      </w:r>
      <w:r w:rsidRPr="00EC20A0">
        <w:rPr>
          <w:sz w:val="18"/>
        </w:rPr>
        <w:t>a</w:t>
      </w:r>
      <w:r w:rsidRPr="00EC20A0">
        <w:rPr>
          <w:spacing w:val="-3"/>
          <w:sz w:val="18"/>
        </w:rPr>
        <w:t xml:space="preserve"> </w:t>
      </w:r>
      <w:r w:rsidRPr="00EC20A0">
        <w:rPr>
          <w:sz w:val="18"/>
        </w:rPr>
        <w:t>social</w:t>
      </w:r>
      <w:r w:rsidRPr="00EC20A0">
        <w:rPr>
          <w:spacing w:val="-2"/>
          <w:sz w:val="18"/>
        </w:rPr>
        <w:t xml:space="preserve"> </w:t>
      </w:r>
      <w:r w:rsidRPr="00EC20A0">
        <w:rPr>
          <w:sz w:val="18"/>
        </w:rPr>
        <w:t>insurance program as beneficiaries, covered workers, or payers of earmarked taxes or premiums.</w:t>
      </w:r>
    </w:p>
    <w:p w14:paraId="24D61C02" w14:textId="77777777" w:rsidR="00245300" w:rsidRPr="00EC20A0" w:rsidRDefault="00245300">
      <w:pPr>
        <w:spacing w:line="249" w:lineRule="auto"/>
        <w:rPr>
          <w:sz w:val="18"/>
        </w:rPr>
        <w:sectPr w:rsidR="00245300" w:rsidRPr="00EC20A0">
          <w:pgSz w:w="12240" w:h="15840"/>
          <w:pgMar w:top="1600" w:right="1100" w:bottom="940" w:left="1240" w:header="721" w:footer="757" w:gutter="0"/>
          <w:cols w:space="720"/>
        </w:sectPr>
      </w:pPr>
    </w:p>
    <w:p w14:paraId="24D61C03" w14:textId="77777777" w:rsidR="00245300" w:rsidRPr="00EC20A0" w:rsidRDefault="00F17249">
      <w:pPr>
        <w:pStyle w:val="Heading4"/>
        <w:spacing w:before="121"/>
        <w:ind w:left="200"/>
      </w:pPr>
      <w:bookmarkStart w:id="347" w:name="Accounting_and_Reporting_Information"/>
      <w:bookmarkEnd w:id="347"/>
      <w:r w:rsidRPr="00EC20A0">
        <w:t>Accounting</w:t>
      </w:r>
      <w:r w:rsidRPr="00EC20A0">
        <w:rPr>
          <w:spacing w:val="-15"/>
        </w:rPr>
        <w:t xml:space="preserve"> </w:t>
      </w:r>
      <w:r w:rsidRPr="00EC20A0">
        <w:t>and</w:t>
      </w:r>
      <w:r w:rsidRPr="00EC20A0">
        <w:rPr>
          <w:spacing w:val="-14"/>
        </w:rPr>
        <w:t xml:space="preserve"> </w:t>
      </w:r>
      <w:r w:rsidRPr="00EC20A0">
        <w:t>Reporting</w:t>
      </w:r>
      <w:r w:rsidRPr="00EC20A0">
        <w:rPr>
          <w:spacing w:val="-13"/>
        </w:rPr>
        <w:t xml:space="preserve"> </w:t>
      </w:r>
      <w:r w:rsidRPr="00EC20A0">
        <w:rPr>
          <w:spacing w:val="-2"/>
        </w:rPr>
        <w:t>Information</w:t>
      </w:r>
    </w:p>
    <w:p w14:paraId="24D61C04" w14:textId="77777777" w:rsidR="00245300" w:rsidRPr="00EC20A0" w:rsidRDefault="00F17249">
      <w:pPr>
        <w:pStyle w:val="ListParagraph"/>
        <w:numPr>
          <w:ilvl w:val="0"/>
          <w:numId w:val="1"/>
        </w:numPr>
        <w:tabs>
          <w:tab w:val="left" w:pos="1640"/>
        </w:tabs>
        <w:ind w:right="921"/>
      </w:pPr>
      <w:r w:rsidRPr="00EC20A0">
        <w:t>FASAB</w:t>
      </w:r>
      <w:r w:rsidRPr="00EC20A0">
        <w:rPr>
          <w:spacing w:val="-4"/>
        </w:rPr>
        <w:t xml:space="preserve"> </w:t>
      </w:r>
      <w:r w:rsidRPr="00EC20A0">
        <w:t>has</w:t>
      </w:r>
      <w:r w:rsidRPr="00EC20A0">
        <w:rPr>
          <w:spacing w:val="-3"/>
        </w:rPr>
        <w:t xml:space="preserve"> </w:t>
      </w:r>
      <w:r w:rsidRPr="00EC20A0">
        <w:t>issued</w:t>
      </w:r>
      <w:r w:rsidRPr="00EC20A0">
        <w:rPr>
          <w:spacing w:val="-4"/>
        </w:rPr>
        <w:t xml:space="preserve"> </w:t>
      </w:r>
      <w:r w:rsidRPr="00EC20A0">
        <w:t>the</w:t>
      </w:r>
      <w:r w:rsidRPr="00EC20A0">
        <w:rPr>
          <w:spacing w:val="-4"/>
        </w:rPr>
        <w:t xml:space="preserve"> </w:t>
      </w:r>
      <w:r w:rsidRPr="00EC20A0">
        <w:t>following</w:t>
      </w:r>
      <w:r w:rsidRPr="00EC20A0">
        <w:rPr>
          <w:spacing w:val="-4"/>
        </w:rPr>
        <w:t xml:space="preserve"> </w:t>
      </w:r>
      <w:r w:rsidRPr="00EC20A0">
        <w:t>standards</w:t>
      </w:r>
      <w:r w:rsidRPr="00EC20A0">
        <w:rPr>
          <w:spacing w:val="-4"/>
        </w:rPr>
        <w:t xml:space="preserve"> </w:t>
      </w:r>
      <w:r w:rsidRPr="00EC20A0">
        <w:t>for</w:t>
      </w:r>
      <w:r w:rsidRPr="00EC20A0">
        <w:rPr>
          <w:spacing w:val="-4"/>
        </w:rPr>
        <w:t xml:space="preserve"> </w:t>
      </w:r>
      <w:r w:rsidRPr="00EC20A0">
        <w:t>reporting</w:t>
      </w:r>
      <w:r w:rsidRPr="00EC20A0">
        <w:rPr>
          <w:spacing w:val="-4"/>
        </w:rPr>
        <w:t xml:space="preserve"> </w:t>
      </w:r>
      <w:r w:rsidRPr="00EC20A0">
        <w:t>on</w:t>
      </w:r>
      <w:r w:rsidRPr="00EC20A0">
        <w:rPr>
          <w:spacing w:val="-5"/>
        </w:rPr>
        <w:t xml:space="preserve"> </w:t>
      </w:r>
      <w:r w:rsidRPr="00EC20A0">
        <w:t>social</w:t>
      </w:r>
      <w:r w:rsidRPr="00EC20A0">
        <w:rPr>
          <w:spacing w:val="-5"/>
        </w:rPr>
        <w:t xml:space="preserve"> </w:t>
      </w:r>
      <w:r w:rsidRPr="00EC20A0">
        <w:t>insurance programs of federal entities.</w:t>
      </w:r>
    </w:p>
    <w:p w14:paraId="24D61C05" w14:textId="77777777" w:rsidR="00245300" w:rsidRPr="00EC20A0" w:rsidRDefault="00F17249">
      <w:pPr>
        <w:pStyle w:val="ListParagraph"/>
        <w:numPr>
          <w:ilvl w:val="0"/>
          <w:numId w:val="80"/>
        </w:numPr>
        <w:tabs>
          <w:tab w:val="left" w:pos="1999"/>
        </w:tabs>
        <w:spacing w:before="120"/>
        <w:ind w:right="415"/>
      </w:pPr>
      <w:r w:rsidRPr="00EC20A0">
        <w:rPr>
          <w:b/>
        </w:rPr>
        <w:t>SFFAS 17</w:t>
      </w:r>
      <w:r w:rsidRPr="00EC20A0">
        <w:t xml:space="preserve">, </w:t>
      </w:r>
      <w:r w:rsidRPr="00EC20A0">
        <w:rPr>
          <w:i/>
        </w:rPr>
        <w:t>Accounting for Social Insurance</w:t>
      </w:r>
      <w:r w:rsidRPr="00EC20A0">
        <w:t xml:space="preserve">, effective for periods beginning after September 30, 1999, presents accounting standards for federal social insurance </w:t>
      </w:r>
      <w:r w:rsidRPr="00EC20A0">
        <w:t>programs covering Social Security (Old-Age, Survivors, and Disability Insurance), Medicare (Hospital Insurance (Part A), Supplementary Medical Insurance (Part B), and Prescription Drug Benefit (Part D)),</w:t>
      </w:r>
      <w:hyperlink w:anchor="_bookmark199" w:history="1">
        <w:r w:rsidRPr="00EC20A0">
          <w:rPr>
            <w:position w:val="7"/>
            <w:sz w:val="14"/>
          </w:rPr>
          <w:t>41</w:t>
        </w:r>
      </w:hyperlink>
      <w:r w:rsidRPr="00EC20A0">
        <w:rPr>
          <w:spacing w:val="40"/>
          <w:position w:val="7"/>
          <w:sz w:val="14"/>
        </w:rPr>
        <w:t xml:space="preserve"> </w:t>
      </w:r>
      <w:r w:rsidRPr="00EC20A0">
        <w:t>Railroad</w:t>
      </w:r>
      <w:r w:rsidRPr="00EC20A0">
        <w:rPr>
          <w:spacing w:val="-5"/>
        </w:rPr>
        <w:t xml:space="preserve"> </w:t>
      </w:r>
      <w:r w:rsidRPr="00EC20A0">
        <w:t>Retirement,</w:t>
      </w:r>
      <w:r w:rsidRPr="00EC20A0">
        <w:rPr>
          <w:spacing w:val="-5"/>
        </w:rPr>
        <w:t xml:space="preserve"> </w:t>
      </w:r>
      <w:r w:rsidRPr="00EC20A0">
        <w:t>and</w:t>
      </w:r>
      <w:r w:rsidRPr="00EC20A0">
        <w:rPr>
          <w:spacing w:val="-5"/>
        </w:rPr>
        <w:t xml:space="preserve"> </w:t>
      </w:r>
      <w:r w:rsidRPr="00EC20A0">
        <w:t>Black</w:t>
      </w:r>
      <w:r w:rsidRPr="00EC20A0">
        <w:rPr>
          <w:spacing w:val="-5"/>
        </w:rPr>
        <w:t xml:space="preserve"> </w:t>
      </w:r>
      <w:r w:rsidRPr="00EC20A0">
        <w:t>Lung</w:t>
      </w:r>
      <w:r w:rsidRPr="00EC20A0">
        <w:rPr>
          <w:spacing w:val="-6"/>
        </w:rPr>
        <w:t xml:space="preserve"> </w:t>
      </w:r>
      <w:r w:rsidRPr="00EC20A0">
        <w:t>benefits</w:t>
      </w:r>
      <w:r w:rsidRPr="00EC20A0">
        <w:rPr>
          <w:spacing w:val="-5"/>
        </w:rPr>
        <w:t xml:space="preserve"> </w:t>
      </w:r>
      <w:r w:rsidRPr="00EC20A0">
        <w:t>and</w:t>
      </w:r>
      <w:r w:rsidRPr="00EC20A0">
        <w:rPr>
          <w:spacing w:val="-6"/>
        </w:rPr>
        <w:t xml:space="preserve"> </w:t>
      </w:r>
      <w:r w:rsidRPr="00EC20A0">
        <w:t>Unemployment</w:t>
      </w:r>
      <w:r w:rsidRPr="00EC20A0">
        <w:rPr>
          <w:spacing w:val="-5"/>
        </w:rPr>
        <w:t xml:space="preserve"> </w:t>
      </w:r>
      <w:r w:rsidRPr="00EC20A0">
        <w:t xml:space="preserve">Insurance. Social insurance programs covered by SFFAS 17 have five common </w:t>
      </w:r>
      <w:r w:rsidRPr="00EC20A0">
        <w:rPr>
          <w:spacing w:val="-2"/>
        </w:rPr>
        <w:t>characteristics:</w:t>
      </w:r>
    </w:p>
    <w:p w14:paraId="24D61C06" w14:textId="77777777" w:rsidR="00245300" w:rsidRPr="00EC20A0" w:rsidRDefault="00F17249">
      <w:pPr>
        <w:pStyle w:val="ListParagraph"/>
        <w:numPr>
          <w:ilvl w:val="1"/>
          <w:numId w:val="80"/>
        </w:numPr>
        <w:tabs>
          <w:tab w:val="left" w:pos="2358"/>
        </w:tabs>
        <w:spacing w:before="238"/>
        <w:ind w:left="2358" w:hanging="359"/>
      </w:pPr>
      <w:r w:rsidRPr="00EC20A0">
        <w:t>financing</w:t>
      </w:r>
      <w:r w:rsidRPr="00EC20A0">
        <w:rPr>
          <w:spacing w:val="-7"/>
        </w:rPr>
        <w:t xml:space="preserve"> </w:t>
      </w:r>
      <w:r w:rsidRPr="00EC20A0">
        <w:t>from</w:t>
      </w:r>
      <w:r w:rsidRPr="00EC20A0">
        <w:rPr>
          <w:spacing w:val="-7"/>
        </w:rPr>
        <w:t xml:space="preserve"> </w:t>
      </w:r>
      <w:r w:rsidRPr="00EC20A0">
        <w:t>participants</w:t>
      </w:r>
      <w:r w:rsidRPr="00EC20A0">
        <w:rPr>
          <w:spacing w:val="-6"/>
        </w:rPr>
        <w:t xml:space="preserve"> </w:t>
      </w:r>
      <w:r w:rsidRPr="00EC20A0">
        <w:t>or</w:t>
      </w:r>
      <w:r w:rsidRPr="00EC20A0">
        <w:rPr>
          <w:spacing w:val="-7"/>
        </w:rPr>
        <w:t xml:space="preserve"> </w:t>
      </w:r>
      <w:r w:rsidRPr="00EC20A0">
        <w:t>their</w:t>
      </w:r>
      <w:r w:rsidRPr="00EC20A0">
        <w:rPr>
          <w:spacing w:val="-6"/>
        </w:rPr>
        <w:t xml:space="preserve"> </w:t>
      </w:r>
      <w:r w:rsidRPr="00EC20A0">
        <w:rPr>
          <w:spacing w:val="-2"/>
        </w:rPr>
        <w:t>employers,</w:t>
      </w:r>
    </w:p>
    <w:p w14:paraId="24D61C07" w14:textId="77777777" w:rsidR="00245300" w:rsidRPr="00EC20A0" w:rsidRDefault="00F17249">
      <w:pPr>
        <w:pStyle w:val="ListParagraph"/>
        <w:numPr>
          <w:ilvl w:val="1"/>
          <w:numId w:val="80"/>
        </w:numPr>
        <w:tabs>
          <w:tab w:val="left" w:pos="2359"/>
        </w:tabs>
        <w:spacing w:before="239"/>
        <w:ind w:right="1656"/>
      </w:pPr>
      <w:r w:rsidRPr="00EC20A0">
        <w:t>eligibility</w:t>
      </w:r>
      <w:r w:rsidRPr="00EC20A0">
        <w:rPr>
          <w:spacing w:val="-4"/>
        </w:rPr>
        <w:t xml:space="preserve"> </w:t>
      </w:r>
      <w:r w:rsidRPr="00EC20A0">
        <w:t>from</w:t>
      </w:r>
      <w:r w:rsidRPr="00EC20A0">
        <w:rPr>
          <w:spacing w:val="-5"/>
        </w:rPr>
        <w:t xml:space="preserve"> </w:t>
      </w:r>
      <w:r w:rsidRPr="00EC20A0">
        <w:t>taxes</w:t>
      </w:r>
      <w:r w:rsidRPr="00EC20A0">
        <w:rPr>
          <w:spacing w:val="-4"/>
        </w:rPr>
        <w:t xml:space="preserve"> </w:t>
      </w:r>
      <w:r w:rsidRPr="00EC20A0">
        <w:t>or</w:t>
      </w:r>
      <w:r w:rsidRPr="00EC20A0">
        <w:rPr>
          <w:spacing w:val="-4"/>
        </w:rPr>
        <w:t xml:space="preserve"> </w:t>
      </w:r>
      <w:r w:rsidRPr="00EC20A0">
        <w:t>fees</w:t>
      </w:r>
      <w:r w:rsidRPr="00EC20A0">
        <w:rPr>
          <w:spacing w:val="-4"/>
        </w:rPr>
        <w:t xml:space="preserve"> </w:t>
      </w:r>
      <w:r w:rsidRPr="00EC20A0">
        <w:t>paid</w:t>
      </w:r>
      <w:r w:rsidRPr="00EC20A0">
        <w:rPr>
          <w:spacing w:val="-4"/>
        </w:rPr>
        <w:t xml:space="preserve"> </w:t>
      </w:r>
      <w:r w:rsidRPr="00EC20A0">
        <w:t>and</w:t>
      </w:r>
      <w:r w:rsidRPr="00EC20A0">
        <w:rPr>
          <w:spacing w:val="-4"/>
        </w:rPr>
        <w:t xml:space="preserve"> </w:t>
      </w:r>
      <w:r w:rsidRPr="00EC20A0">
        <w:t>time</w:t>
      </w:r>
      <w:r w:rsidRPr="00EC20A0">
        <w:rPr>
          <w:spacing w:val="-4"/>
        </w:rPr>
        <w:t xml:space="preserve"> </w:t>
      </w:r>
      <w:r w:rsidRPr="00EC20A0">
        <w:t>worked</w:t>
      </w:r>
      <w:r w:rsidRPr="00EC20A0">
        <w:rPr>
          <w:spacing w:val="-4"/>
        </w:rPr>
        <w:t xml:space="preserve"> </w:t>
      </w:r>
      <w:r w:rsidRPr="00EC20A0">
        <w:t>in</w:t>
      </w:r>
      <w:r w:rsidRPr="00EC20A0">
        <w:rPr>
          <w:spacing w:val="-4"/>
        </w:rPr>
        <w:t xml:space="preserve"> </w:t>
      </w:r>
      <w:r w:rsidRPr="00EC20A0">
        <w:t xml:space="preserve">covered </w:t>
      </w:r>
      <w:r w:rsidRPr="00EC20A0">
        <w:rPr>
          <w:spacing w:val="-2"/>
        </w:rPr>
        <w:t>employment,</w:t>
      </w:r>
    </w:p>
    <w:p w14:paraId="24D61C08" w14:textId="77777777" w:rsidR="00245300" w:rsidRPr="00EC20A0" w:rsidRDefault="00F17249">
      <w:pPr>
        <w:pStyle w:val="ListParagraph"/>
        <w:numPr>
          <w:ilvl w:val="1"/>
          <w:numId w:val="80"/>
        </w:numPr>
        <w:tabs>
          <w:tab w:val="left" w:pos="2358"/>
        </w:tabs>
        <w:spacing w:before="241"/>
        <w:ind w:left="2358" w:hanging="359"/>
      </w:pPr>
      <w:r w:rsidRPr="00EC20A0">
        <w:t>benefits</w:t>
      </w:r>
      <w:r w:rsidRPr="00EC20A0">
        <w:rPr>
          <w:spacing w:val="-6"/>
        </w:rPr>
        <w:t xml:space="preserve"> </w:t>
      </w:r>
      <w:r w:rsidRPr="00EC20A0">
        <w:t>not</w:t>
      </w:r>
      <w:r w:rsidRPr="00EC20A0">
        <w:rPr>
          <w:spacing w:val="-6"/>
        </w:rPr>
        <w:t xml:space="preserve"> </w:t>
      </w:r>
      <w:r w:rsidRPr="00EC20A0">
        <w:t>directly</w:t>
      </w:r>
      <w:r w:rsidRPr="00EC20A0">
        <w:rPr>
          <w:spacing w:val="-5"/>
        </w:rPr>
        <w:t xml:space="preserve"> </w:t>
      </w:r>
      <w:r w:rsidRPr="00EC20A0">
        <w:t>related</w:t>
      </w:r>
      <w:r w:rsidRPr="00EC20A0">
        <w:rPr>
          <w:spacing w:val="-5"/>
        </w:rPr>
        <w:t xml:space="preserve"> </w:t>
      </w:r>
      <w:r w:rsidRPr="00EC20A0">
        <w:t>to</w:t>
      </w:r>
      <w:r w:rsidRPr="00EC20A0">
        <w:rPr>
          <w:spacing w:val="-5"/>
        </w:rPr>
        <w:t xml:space="preserve"> </w:t>
      </w:r>
      <w:r w:rsidRPr="00EC20A0">
        <w:t>taxes</w:t>
      </w:r>
      <w:r w:rsidRPr="00EC20A0">
        <w:rPr>
          <w:spacing w:val="-6"/>
        </w:rPr>
        <w:t xml:space="preserve"> </w:t>
      </w:r>
      <w:r w:rsidRPr="00EC20A0">
        <w:t>or</w:t>
      </w:r>
      <w:r w:rsidRPr="00EC20A0">
        <w:rPr>
          <w:spacing w:val="-5"/>
        </w:rPr>
        <w:t xml:space="preserve"> </w:t>
      </w:r>
      <w:r w:rsidRPr="00EC20A0">
        <w:t>fees</w:t>
      </w:r>
      <w:r w:rsidRPr="00EC20A0">
        <w:rPr>
          <w:spacing w:val="-5"/>
        </w:rPr>
        <w:t xml:space="preserve"> </w:t>
      </w:r>
      <w:r w:rsidRPr="00EC20A0">
        <w:rPr>
          <w:spacing w:val="-2"/>
        </w:rPr>
        <w:t>paid,</w:t>
      </w:r>
    </w:p>
    <w:p w14:paraId="24D61C09" w14:textId="77777777" w:rsidR="00245300" w:rsidRPr="00EC20A0" w:rsidRDefault="00F17249">
      <w:pPr>
        <w:pStyle w:val="ListParagraph"/>
        <w:numPr>
          <w:ilvl w:val="1"/>
          <w:numId w:val="80"/>
        </w:numPr>
        <w:tabs>
          <w:tab w:val="left" w:pos="2358"/>
        </w:tabs>
        <w:ind w:left="2358" w:hanging="359"/>
      </w:pPr>
      <w:r w:rsidRPr="00EC20A0">
        <w:t>benefits</w:t>
      </w:r>
      <w:r w:rsidRPr="00EC20A0">
        <w:rPr>
          <w:spacing w:val="-7"/>
        </w:rPr>
        <w:t xml:space="preserve"> </w:t>
      </w:r>
      <w:r w:rsidRPr="00EC20A0">
        <w:t>prescribed</w:t>
      </w:r>
      <w:r w:rsidRPr="00EC20A0">
        <w:rPr>
          <w:spacing w:val="-6"/>
        </w:rPr>
        <w:t xml:space="preserve"> </w:t>
      </w:r>
      <w:r w:rsidRPr="00EC20A0">
        <w:t>in</w:t>
      </w:r>
      <w:r w:rsidRPr="00EC20A0">
        <w:rPr>
          <w:spacing w:val="-8"/>
        </w:rPr>
        <w:t xml:space="preserve"> </w:t>
      </w:r>
      <w:r w:rsidRPr="00EC20A0">
        <w:t>law,</w:t>
      </w:r>
      <w:r w:rsidRPr="00EC20A0">
        <w:rPr>
          <w:spacing w:val="-6"/>
        </w:rPr>
        <w:t xml:space="preserve"> </w:t>
      </w:r>
      <w:r w:rsidRPr="00EC20A0">
        <w:rPr>
          <w:spacing w:val="-5"/>
        </w:rPr>
        <w:t>and</w:t>
      </w:r>
    </w:p>
    <w:p w14:paraId="24D61C0A" w14:textId="77777777" w:rsidR="00245300" w:rsidRPr="00EC20A0" w:rsidRDefault="00F17249">
      <w:pPr>
        <w:pStyle w:val="ListParagraph"/>
        <w:numPr>
          <w:ilvl w:val="1"/>
          <w:numId w:val="80"/>
        </w:numPr>
        <w:tabs>
          <w:tab w:val="left" w:pos="2358"/>
        </w:tabs>
        <w:ind w:left="2358" w:hanging="359"/>
      </w:pPr>
      <w:r w:rsidRPr="00EC20A0">
        <w:t>program</w:t>
      </w:r>
      <w:r w:rsidRPr="00EC20A0">
        <w:rPr>
          <w:spacing w:val="-8"/>
        </w:rPr>
        <w:t xml:space="preserve"> </w:t>
      </w:r>
      <w:r w:rsidRPr="00EC20A0">
        <w:t>intended</w:t>
      </w:r>
      <w:r w:rsidRPr="00EC20A0">
        <w:rPr>
          <w:spacing w:val="-6"/>
        </w:rPr>
        <w:t xml:space="preserve"> </w:t>
      </w:r>
      <w:r w:rsidRPr="00EC20A0">
        <w:t>for</w:t>
      </w:r>
      <w:r w:rsidRPr="00EC20A0">
        <w:rPr>
          <w:spacing w:val="-6"/>
        </w:rPr>
        <w:t xml:space="preserve"> </w:t>
      </w:r>
      <w:r w:rsidRPr="00EC20A0">
        <w:t>the</w:t>
      </w:r>
      <w:r w:rsidRPr="00EC20A0">
        <w:rPr>
          <w:spacing w:val="-6"/>
        </w:rPr>
        <w:t xml:space="preserve"> </w:t>
      </w:r>
      <w:r w:rsidRPr="00EC20A0">
        <w:t>general</w:t>
      </w:r>
      <w:r w:rsidRPr="00EC20A0">
        <w:rPr>
          <w:spacing w:val="-6"/>
        </w:rPr>
        <w:t xml:space="preserve"> </w:t>
      </w:r>
      <w:r w:rsidRPr="00EC20A0">
        <w:rPr>
          <w:spacing w:val="-2"/>
        </w:rPr>
        <w:t>public.</w:t>
      </w:r>
    </w:p>
    <w:p w14:paraId="24D61C0B" w14:textId="77777777" w:rsidR="00245300" w:rsidRPr="00EC20A0" w:rsidRDefault="00F17249">
      <w:pPr>
        <w:pStyle w:val="ListParagraph"/>
        <w:numPr>
          <w:ilvl w:val="0"/>
          <w:numId w:val="80"/>
        </w:numPr>
        <w:tabs>
          <w:tab w:val="left" w:pos="1999"/>
        </w:tabs>
        <w:spacing w:before="119"/>
        <w:ind w:right="353"/>
      </w:pPr>
      <w:r w:rsidRPr="00EC20A0">
        <w:rPr>
          <w:b/>
        </w:rPr>
        <w:t>SFFAS 25</w:t>
      </w:r>
      <w:r w:rsidRPr="00EC20A0">
        <w:t xml:space="preserve">, </w:t>
      </w:r>
      <w:r w:rsidRPr="00EC20A0">
        <w:rPr>
          <w:i/>
        </w:rPr>
        <w:t>Reclassification of Stewardship Responsibilities and Eliminating the</w:t>
      </w:r>
      <w:r w:rsidRPr="00EC20A0">
        <w:rPr>
          <w:i/>
          <w:spacing w:val="-4"/>
        </w:rPr>
        <w:t xml:space="preserve"> </w:t>
      </w:r>
      <w:r w:rsidRPr="00EC20A0">
        <w:rPr>
          <w:i/>
        </w:rPr>
        <w:t>Current</w:t>
      </w:r>
      <w:r w:rsidRPr="00EC20A0">
        <w:rPr>
          <w:i/>
          <w:spacing w:val="-4"/>
        </w:rPr>
        <w:t xml:space="preserve"> </w:t>
      </w:r>
      <w:r w:rsidRPr="00EC20A0">
        <w:rPr>
          <w:i/>
        </w:rPr>
        <w:t>Services</w:t>
      </w:r>
      <w:r w:rsidRPr="00EC20A0">
        <w:rPr>
          <w:i/>
          <w:spacing w:val="-4"/>
        </w:rPr>
        <w:t xml:space="preserve"> </w:t>
      </w:r>
      <w:r w:rsidRPr="00EC20A0">
        <w:rPr>
          <w:i/>
        </w:rPr>
        <w:t>Assessment</w:t>
      </w:r>
      <w:r w:rsidRPr="00EC20A0">
        <w:t>,</w:t>
      </w:r>
      <w:r w:rsidRPr="00EC20A0">
        <w:rPr>
          <w:spacing w:val="-4"/>
        </w:rPr>
        <w:t xml:space="preserve"> </w:t>
      </w:r>
      <w:r w:rsidRPr="00EC20A0">
        <w:t>requires</w:t>
      </w:r>
      <w:r w:rsidRPr="00EC20A0">
        <w:rPr>
          <w:spacing w:val="-4"/>
        </w:rPr>
        <w:t xml:space="preserve"> </w:t>
      </w:r>
      <w:r w:rsidRPr="00EC20A0">
        <w:t>the</w:t>
      </w:r>
      <w:r w:rsidRPr="00EC20A0">
        <w:rPr>
          <w:spacing w:val="-5"/>
        </w:rPr>
        <w:t xml:space="preserve"> </w:t>
      </w:r>
      <w:r w:rsidRPr="00EC20A0">
        <w:t>Statement</w:t>
      </w:r>
      <w:r w:rsidRPr="00EC20A0">
        <w:rPr>
          <w:spacing w:val="-4"/>
        </w:rPr>
        <w:t xml:space="preserve"> </w:t>
      </w:r>
      <w:r w:rsidRPr="00EC20A0">
        <w:t>of</w:t>
      </w:r>
      <w:r w:rsidRPr="00EC20A0">
        <w:rPr>
          <w:spacing w:val="-4"/>
        </w:rPr>
        <w:t xml:space="preserve"> </w:t>
      </w:r>
      <w:r w:rsidRPr="00EC20A0">
        <w:t>Social</w:t>
      </w:r>
      <w:r w:rsidRPr="00EC20A0">
        <w:rPr>
          <w:spacing w:val="-4"/>
        </w:rPr>
        <w:t xml:space="preserve"> </w:t>
      </w:r>
      <w:r w:rsidRPr="00EC20A0">
        <w:t>Insurance to become an audited financial statement. It also provides that certain information about social insurance programs required by SFFAS 17 be reported in audited notes or as unaudited RSI, rather than as unaudited required supplementary stewardship information. In accordance with SFFAS 28, the effective period was deferred 1 year from fiscal year 2005 to fiscal year 2006.</w:t>
      </w:r>
    </w:p>
    <w:p w14:paraId="24D61C0C" w14:textId="77777777" w:rsidR="00245300" w:rsidRPr="00EC20A0" w:rsidRDefault="00F17249">
      <w:pPr>
        <w:pStyle w:val="ListParagraph"/>
        <w:numPr>
          <w:ilvl w:val="0"/>
          <w:numId w:val="80"/>
        </w:numPr>
        <w:tabs>
          <w:tab w:val="left" w:pos="1999"/>
        </w:tabs>
        <w:spacing w:before="119"/>
        <w:ind w:right="341"/>
      </w:pPr>
      <w:r w:rsidRPr="00EC20A0">
        <w:rPr>
          <w:b/>
        </w:rPr>
        <w:t>SFFAS 26</w:t>
      </w:r>
      <w:r w:rsidRPr="00EC20A0">
        <w:t xml:space="preserve">, </w:t>
      </w:r>
      <w:r w:rsidRPr="00EC20A0">
        <w:rPr>
          <w:i/>
        </w:rPr>
        <w:t>Presentation of Significant Assumptions for the Statement of Social Insurance: Amending SFFAS 25</w:t>
      </w:r>
      <w:r w:rsidRPr="00EC20A0">
        <w:t>, requires that the underlying significant assumptions relating to the Statement of Social Insurance be included in audited notes with other information required by SFFAS 17— including the sensitivity analysis—be presented as RSI, except to the extent that the preparer elects to include some or all of that information in audited notes.</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4"/>
        </w:rPr>
        <w:t xml:space="preserve"> </w:t>
      </w:r>
      <w:r w:rsidRPr="00EC20A0">
        <w:t>SFFAS</w:t>
      </w:r>
      <w:r w:rsidRPr="00EC20A0">
        <w:rPr>
          <w:spacing w:val="-4"/>
        </w:rPr>
        <w:t xml:space="preserve"> </w:t>
      </w:r>
      <w:r w:rsidRPr="00EC20A0">
        <w:t>28,</w:t>
      </w:r>
      <w:r w:rsidRPr="00EC20A0">
        <w:rPr>
          <w:spacing w:val="-4"/>
        </w:rPr>
        <w:t xml:space="preserve"> </w:t>
      </w:r>
      <w:r w:rsidRPr="00EC20A0">
        <w:t>the</w:t>
      </w:r>
      <w:r w:rsidRPr="00EC20A0">
        <w:rPr>
          <w:spacing w:val="-4"/>
        </w:rPr>
        <w:t xml:space="preserve"> </w:t>
      </w:r>
      <w:r w:rsidRPr="00EC20A0">
        <w:t>effective</w:t>
      </w:r>
      <w:r w:rsidRPr="00EC20A0">
        <w:rPr>
          <w:spacing w:val="-4"/>
        </w:rPr>
        <w:t xml:space="preserve"> </w:t>
      </w:r>
      <w:r w:rsidRPr="00EC20A0">
        <w:t>period</w:t>
      </w:r>
      <w:r w:rsidRPr="00EC20A0">
        <w:rPr>
          <w:spacing w:val="-4"/>
        </w:rPr>
        <w:t xml:space="preserve"> </w:t>
      </w:r>
      <w:r w:rsidRPr="00EC20A0">
        <w:t>was</w:t>
      </w:r>
      <w:r w:rsidRPr="00EC20A0">
        <w:rPr>
          <w:spacing w:val="-4"/>
        </w:rPr>
        <w:t xml:space="preserve"> </w:t>
      </w:r>
      <w:r w:rsidRPr="00EC20A0">
        <w:t>deferred</w:t>
      </w:r>
      <w:r w:rsidRPr="00EC20A0">
        <w:rPr>
          <w:spacing w:val="-4"/>
        </w:rPr>
        <w:t xml:space="preserve"> </w:t>
      </w:r>
      <w:r w:rsidRPr="00EC20A0">
        <w:t>1</w:t>
      </w:r>
      <w:r w:rsidRPr="00EC20A0">
        <w:rPr>
          <w:spacing w:val="-4"/>
        </w:rPr>
        <w:t xml:space="preserve"> </w:t>
      </w:r>
      <w:r w:rsidRPr="00EC20A0">
        <w:t>year from f</w:t>
      </w:r>
      <w:r w:rsidRPr="00EC20A0">
        <w:t>iscal year 2005 to fiscal year 2006.</w:t>
      </w:r>
    </w:p>
    <w:p w14:paraId="24D61C0D" w14:textId="77777777" w:rsidR="00245300" w:rsidRPr="00EC20A0" w:rsidRDefault="00F17249">
      <w:pPr>
        <w:pStyle w:val="ListParagraph"/>
        <w:numPr>
          <w:ilvl w:val="0"/>
          <w:numId w:val="80"/>
        </w:numPr>
        <w:tabs>
          <w:tab w:val="left" w:pos="1999"/>
        </w:tabs>
        <w:spacing w:before="118"/>
        <w:ind w:right="414"/>
      </w:pPr>
      <w:r w:rsidRPr="00EC20A0">
        <w:rPr>
          <w:b/>
        </w:rPr>
        <w:t>SFFAS</w:t>
      </w:r>
      <w:r w:rsidRPr="00EC20A0">
        <w:rPr>
          <w:b/>
          <w:spacing w:val="-5"/>
        </w:rPr>
        <w:t xml:space="preserve"> </w:t>
      </w:r>
      <w:r w:rsidRPr="00EC20A0">
        <w:rPr>
          <w:b/>
        </w:rPr>
        <w:t>28</w:t>
      </w:r>
      <w:r w:rsidRPr="00EC20A0">
        <w:t>,</w:t>
      </w:r>
      <w:r w:rsidRPr="00EC20A0">
        <w:rPr>
          <w:spacing w:val="-3"/>
        </w:rPr>
        <w:t xml:space="preserve"> </w:t>
      </w:r>
      <w:r w:rsidRPr="00EC20A0">
        <w:rPr>
          <w:i/>
        </w:rPr>
        <w:t>Deferral</w:t>
      </w:r>
      <w:r w:rsidRPr="00EC20A0">
        <w:rPr>
          <w:i/>
          <w:spacing w:val="-4"/>
        </w:rPr>
        <w:t xml:space="preserve"> </w:t>
      </w:r>
      <w:r w:rsidRPr="00EC20A0">
        <w:rPr>
          <w:i/>
        </w:rPr>
        <w:t>of</w:t>
      </w:r>
      <w:r w:rsidRPr="00EC20A0">
        <w:rPr>
          <w:i/>
          <w:spacing w:val="-4"/>
        </w:rPr>
        <w:t xml:space="preserve"> </w:t>
      </w:r>
      <w:r w:rsidRPr="00EC20A0">
        <w:rPr>
          <w:i/>
        </w:rPr>
        <w:t>the</w:t>
      </w:r>
      <w:r w:rsidRPr="00EC20A0">
        <w:rPr>
          <w:i/>
          <w:spacing w:val="-4"/>
        </w:rPr>
        <w:t xml:space="preserve"> </w:t>
      </w:r>
      <w:r w:rsidRPr="00EC20A0">
        <w:rPr>
          <w:i/>
        </w:rPr>
        <w:t>Effective</w:t>
      </w:r>
      <w:r w:rsidRPr="00EC20A0">
        <w:rPr>
          <w:i/>
          <w:spacing w:val="-5"/>
        </w:rPr>
        <w:t xml:space="preserve"> </w:t>
      </w:r>
      <w:r w:rsidRPr="00EC20A0">
        <w:rPr>
          <w:i/>
        </w:rPr>
        <w:t>Date</w:t>
      </w:r>
      <w:r w:rsidRPr="00EC20A0">
        <w:rPr>
          <w:i/>
          <w:spacing w:val="-4"/>
        </w:rPr>
        <w:t xml:space="preserve"> </w:t>
      </w:r>
      <w:r w:rsidRPr="00EC20A0">
        <w:rPr>
          <w:i/>
        </w:rPr>
        <w:t>of</w:t>
      </w:r>
      <w:r w:rsidRPr="00EC20A0">
        <w:rPr>
          <w:i/>
          <w:spacing w:val="-4"/>
        </w:rPr>
        <w:t xml:space="preserve"> </w:t>
      </w:r>
      <w:r w:rsidRPr="00EC20A0">
        <w:rPr>
          <w:i/>
        </w:rPr>
        <w:t>Reclassification</w:t>
      </w:r>
      <w:r w:rsidRPr="00EC20A0">
        <w:rPr>
          <w:i/>
          <w:spacing w:val="-5"/>
        </w:rPr>
        <w:t xml:space="preserve"> </w:t>
      </w:r>
      <w:r w:rsidRPr="00EC20A0">
        <w:rPr>
          <w:i/>
        </w:rPr>
        <w:t>of</w:t>
      </w:r>
      <w:r w:rsidRPr="00EC20A0">
        <w:rPr>
          <w:i/>
          <w:spacing w:val="-4"/>
        </w:rPr>
        <w:t xml:space="preserve"> </w:t>
      </w:r>
      <w:r w:rsidRPr="00EC20A0">
        <w:rPr>
          <w:i/>
        </w:rPr>
        <w:t>the</w:t>
      </w:r>
      <w:r w:rsidRPr="00EC20A0">
        <w:rPr>
          <w:i/>
          <w:spacing w:val="-4"/>
        </w:rPr>
        <w:t xml:space="preserve"> </w:t>
      </w:r>
      <w:r w:rsidRPr="00EC20A0">
        <w:rPr>
          <w:i/>
        </w:rPr>
        <w:t>Statement of Social Insurance: Amending SFFAS 25 and 26</w:t>
      </w:r>
      <w:r w:rsidRPr="00EC20A0">
        <w:t>, deferred the effective dates of SFFAS 25 and SFFAS 26 for 1 year to the fiscal year ended September 30, 2006.</w:t>
      </w:r>
    </w:p>
    <w:p w14:paraId="24D61C0E" w14:textId="77777777" w:rsidR="00245300" w:rsidRPr="00EC20A0" w:rsidRDefault="00245300">
      <w:pPr>
        <w:pStyle w:val="BodyText"/>
        <w:rPr>
          <w:sz w:val="20"/>
        </w:rPr>
      </w:pPr>
    </w:p>
    <w:p w14:paraId="24D61C0F" w14:textId="77777777" w:rsidR="00245300" w:rsidRPr="00EC20A0" w:rsidRDefault="00F17249">
      <w:pPr>
        <w:pStyle w:val="BodyText"/>
        <w:spacing w:before="68"/>
        <w:rPr>
          <w:sz w:val="20"/>
        </w:rPr>
      </w:pPr>
      <w:r w:rsidRPr="00EC20A0">
        <w:rPr>
          <w:noProof/>
        </w:rPr>
        <mc:AlternateContent>
          <mc:Choice Requires="wps">
            <w:drawing>
              <wp:anchor distT="0" distB="0" distL="0" distR="0" simplePos="0" relativeHeight="487718400" behindDoc="1" locked="0" layoutInCell="1" allowOverlap="1" wp14:anchorId="24D62CB3" wp14:editId="24D62CB4">
                <wp:simplePos x="0" y="0"/>
                <wp:positionH relativeFrom="page">
                  <wp:posOffset>914400</wp:posOffset>
                </wp:positionH>
                <wp:positionV relativeFrom="paragraph">
                  <wp:posOffset>204754</wp:posOffset>
                </wp:positionV>
                <wp:extent cx="1828800" cy="5715"/>
                <wp:effectExtent l="0" t="0" r="0" b="0"/>
                <wp:wrapTopAndBottom/>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46A63" id="Graphic 883" o:spid="_x0000_s1026" style="position:absolute;margin-left:1in;margin-top:16.1pt;width:2in;height:.45pt;z-index:-155980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" path="m1828800,l,,,5334r1828800,l1828800,xe" fillcolor="black" stroked="f">
                <v:path arrowok="t"/>
                <w10:wrap type="topAndBottom" anchorx="page"/>
              </v:shape>
            </w:pict>
          </mc:Fallback>
        </mc:AlternateContent>
      </w:r>
    </w:p>
    <w:p w14:paraId="24D61C10" w14:textId="77777777" w:rsidR="00245300" w:rsidRPr="00EC20A0" w:rsidRDefault="00F17249">
      <w:pPr>
        <w:spacing w:before="200" w:line="244" w:lineRule="auto"/>
        <w:ind w:left="200" w:right="360" w:hanging="1"/>
        <w:rPr>
          <w:sz w:val="18"/>
        </w:rPr>
      </w:pPr>
      <w:bookmarkStart w:id="348" w:name="_bookmark199"/>
      <w:bookmarkEnd w:id="348"/>
      <w:r w:rsidRPr="00EC20A0">
        <w:rPr>
          <w:position w:val="7"/>
          <w:sz w:val="14"/>
        </w:rPr>
        <w:t>41</w:t>
      </w:r>
      <w:r w:rsidRPr="00EC20A0">
        <w:rPr>
          <w:sz w:val="18"/>
        </w:rPr>
        <w:t>The Medicare Prescription Drug, Improvement, and Modernization Act of 2003, Pub. L. No. 108-173, 117 Stat.</w:t>
      </w:r>
      <w:r w:rsidRPr="00EC20A0">
        <w:rPr>
          <w:spacing w:val="40"/>
          <w:sz w:val="18"/>
        </w:rPr>
        <w:t xml:space="preserve"> </w:t>
      </w:r>
      <w:r w:rsidRPr="00EC20A0">
        <w:rPr>
          <w:sz w:val="18"/>
        </w:rPr>
        <w:t>2066</w:t>
      </w:r>
      <w:r w:rsidRPr="00EC20A0">
        <w:rPr>
          <w:spacing w:val="-3"/>
          <w:sz w:val="18"/>
        </w:rPr>
        <w:t xml:space="preserve"> </w:t>
      </w:r>
      <w:r w:rsidRPr="00EC20A0">
        <w:rPr>
          <w:sz w:val="18"/>
        </w:rPr>
        <w:t>(Dec.</w:t>
      </w:r>
      <w:r w:rsidRPr="00EC20A0">
        <w:rPr>
          <w:spacing w:val="-2"/>
          <w:sz w:val="18"/>
        </w:rPr>
        <w:t xml:space="preserve"> </w:t>
      </w:r>
      <w:r w:rsidRPr="00EC20A0">
        <w:rPr>
          <w:sz w:val="18"/>
        </w:rPr>
        <w:t>8,</w:t>
      </w:r>
      <w:r w:rsidRPr="00EC20A0">
        <w:rPr>
          <w:spacing w:val="-2"/>
          <w:sz w:val="18"/>
        </w:rPr>
        <w:t xml:space="preserve"> </w:t>
      </w:r>
      <w:r w:rsidRPr="00EC20A0">
        <w:rPr>
          <w:sz w:val="18"/>
        </w:rPr>
        <w:t>2003),</w:t>
      </w:r>
      <w:r w:rsidRPr="00EC20A0">
        <w:rPr>
          <w:spacing w:val="-2"/>
          <w:sz w:val="18"/>
        </w:rPr>
        <w:t xml:space="preserve"> </w:t>
      </w:r>
      <w:r w:rsidRPr="00EC20A0">
        <w:rPr>
          <w:sz w:val="18"/>
        </w:rPr>
        <w:t>created</w:t>
      </w:r>
      <w:r w:rsidRPr="00EC20A0">
        <w:rPr>
          <w:spacing w:val="-1"/>
          <w:sz w:val="18"/>
        </w:rPr>
        <w:t xml:space="preserve"> </w:t>
      </w:r>
      <w:r w:rsidRPr="00EC20A0">
        <w:rPr>
          <w:sz w:val="18"/>
        </w:rPr>
        <w:t>a</w:t>
      </w:r>
      <w:r w:rsidRPr="00EC20A0">
        <w:rPr>
          <w:spacing w:val="-3"/>
          <w:sz w:val="18"/>
        </w:rPr>
        <w:t xml:space="preserve"> </w:t>
      </w:r>
      <w:r w:rsidRPr="00EC20A0">
        <w:rPr>
          <w:sz w:val="18"/>
        </w:rPr>
        <w:t>new</w:t>
      </w:r>
      <w:r w:rsidRPr="00EC20A0">
        <w:rPr>
          <w:spacing w:val="-2"/>
          <w:sz w:val="18"/>
        </w:rPr>
        <w:t xml:space="preserve"> </w:t>
      </w:r>
      <w:r w:rsidRPr="00EC20A0">
        <w:rPr>
          <w:sz w:val="18"/>
        </w:rPr>
        <w:t>prescription</w:t>
      </w:r>
      <w:r w:rsidRPr="00EC20A0">
        <w:rPr>
          <w:spacing w:val="-3"/>
          <w:sz w:val="18"/>
        </w:rPr>
        <w:t xml:space="preserve"> </w:t>
      </w:r>
      <w:r w:rsidRPr="00EC20A0">
        <w:rPr>
          <w:sz w:val="18"/>
        </w:rPr>
        <w:t>drug</w:t>
      </w:r>
      <w:r w:rsidRPr="00EC20A0">
        <w:rPr>
          <w:spacing w:val="-3"/>
          <w:sz w:val="18"/>
        </w:rPr>
        <w:t xml:space="preserve"> </w:t>
      </w:r>
      <w:r w:rsidRPr="00EC20A0">
        <w:rPr>
          <w:sz w:val="18"/>
        </w:rPr>
        <w:t>benefit</w:t>
      </w:r>
      <w:r w:rsidRPr="00EC20A0">
        <w:rPr>
          <w:spacing w:val="-2"/>
          <w:sz w:val="18"/>
        </w:rPr>
        <w:t xml:space="preserve"> </w:t>
      </w:r>
      <w:r w:rsidRPr="00EC20A0">
        <w:rPr>
          <w:sz w:val="18"/>
        </w:rPr>
        <w:t>under</w:t>
      </w:r>
      <w:r w:rsidRPr="00EC20A0">
        <w:rPr>
          <w:spacing w:val="-2"/>
          <w:sz w:val="18"/>
        </w:rPr>
        <w:t xml:space="preserve"> </w:t>
      </w:r>
      <w:r w:rsidRPr="00EC20A0">
        <w:rPr>
          <w:sz w:val="18"/>
        </w:rPr>
        <w:t>Medicare</w:t>
      </w:r>
      <w:r w:rsidRPr="00EC20A0">
        <w:rPr>
          <w:spacing w:val="-3"/>
          <w:sz w:val="18"/>
        </w:rPr>
        <w:t xml:space="preserve"> </w:t>
      </w:r>
      <w:r w:rsidRPr="00EC20A0">
        <w:rPr>
          <w:sz w:val="18"/>
        </w:rPr>
        <w:t>Part</w:t>
      </w:r>
      <w:r w:rsidRPr="00EC20A0">
        <w:rPr>
          <w:spacing w:val="-2"/>
          <w:sz w:val="18"/>
        </w:rPr>
        <w:t xml:space="preserve"> </w:t>
      </w:r>
      <w:r w:rsidRPr="00EC20A0">
        <w:rPr>
          <w:sz w:val="18"/>
        </w:rPr>
        <w:t>D,</w:t>
      </w:r>
      <w:r w:rsidRPr="00EC20A0">
        <w:rPr>
          <w:spacing w:val="-2"/>
          <w:sz w:val="18"/>
        </w:rPr>
        <w:t xml:space="preserve"> </w:t>
      </w:r>
      <w:r w:rsidRPr="00EC20A0">
        <w:rPr>
          <w:sz w:val="18"/>
        </w:rPr>
        <w:t>which</w:t>
      </w:r>
      <w:r w:rsidRPr="00EC20A0">
        <w:rPr>
          <w:spacing w:val="-3"/>
          <w:sz w:val="18"/>
        </w:rPr>
        <w:t xml:space="preserve"> </w:t>
      </w:r>
      <w:r w:rsidRPr="00EC20A0">
        <w:rPr>
          <w:sz w:val="18"/>
        </w:rPr>
        <w:t>is</w:t>
      </w:r>
      <w:r w:rsidRPr="00EC20A0">
        <w:rPr>
          <w:spacing w:val="-2"/>
          <w:sz w:val="18"/>
        </w:rPr>
        <w:t xml:space="preserve"> </w:t>
      </w:r>
      <w:r w:rsidRPr="00EC20A0">
        <w:rPr>
          <w:sz w:val="18"/>
        </w:rPr>
        <w:t>also</w:t>
      </w:r>
      <w:r w:rsidRPr="00EC20A0">
        <w:rPr>
          <w:spacing w:val="-3"/>
          <w:sz w:val="18"/>
        </w:rPr>
        <w:t xml:space="preserve"> </w:t>
      </w:r>
      <w:r w:rsidRPr="00EC20A0">
        <w:rPr>
          <w:sz w:val="18"/>
        </w:rPr>
        <w:t>covered</w:t>
      </w:r>
      <w:r w:rsidRPr="00EC20A0">
        <w:rPr>
          <w:spacing w:val="-3"/>
          <w:sz w:val="18"/>
        </w:rPr>
        <w:t xml:space="preserve"> </w:t>
      </w:r>
      <w:r w:rsidRPr="00EC20A0">
        <w:rPr>
          <w:sz w:val="18"/>
        </w:rPr>
        <w:t>by</w:t>
      </w:r>
      <w:r w:rsidRPr="00EC20A0">
        <w:rPr>
          <w:spacing w:val="-2"/>
          <w:sz w:val="18"/>
        </w:rPr>
        <w:t xml:space="preserve"> </w:t>
      </w:r>
      <w:r w:rsidRPr="00EC20A0">
        <w:rPr>
          <w:sz w:val="18"/>
        </w:rPr>
        <w:t xml:space="preserve">SFFAS </w:t>
      </w:r>
      <w:r w:rsidRPr="00EC20A0">
        <w:rPr>
          <w:spacing w:val="-4"/>
          <w:sz w:val="18"/>
        </w:rPr>
        <w:t>17.</w:t>
      </w:r>
    </w:p>
    <w:p w14:paraId="24D61C11" w14:textId="77777777" w:rsidR="00245300" w:rsidRPr="00EC20A0" w:rsidRDefault="00245300">
      <w:pPr>
        <w:spacing w:line="244" w:lineRule="auto"/>
        <w:rPr>
          <w:sz w:val="18"/>
        </w:rPr>
        <w:sectPr w:rsidR="00245300" w:rsidRPr="00EC20A0">
          <w:pgSz w:w="12240" w:h="15840"/>
          <w:pgMar w:top="1600" w:right="1100" w:bottom="940" w:left="1240" w:header="721" w:footer="757" w:gutter="0"/>
          <w:cols w:space="720"/>
        </w:sectPr>
      </w:pPr>
    </w:p>
    <w:p w14:paraId="24D61C12" w14:textId="77777777" w:rsidR="00245300" w:rsidRPr="00EC20A0" w:rsidRDefault="00F17249">
      <w:pPr>
        <w:pStyle w:val="ListParagraph"/>
        <w:numPr>
          <w:ilvl w:val="0"/>
          <w:numId w:val="80"/>
        </w:numPr>
        <w:tabs>
          <w:tab w:val="left" w:pos="1999"/>
        </w:tabs>
        <w:spacing w:before="121"/>
        <w:ind w:right="339"/>
      </w:pPr>
      <w:r w:rsidRPr="00EC20A0">
        <w:rPr>
          <w:b/>
        </w:rPr>
        <w:t>SFFAS 37</w:t>
      </w:r>
      <w:r w:rsidRPr="00EC20A0">
        <w:t xml:space="preserve">, </w:t>
      </w:r>
      <w:r w:rsidRPr="00EC20A0">
        <w:rPr>
          <w:i/>
        </w:rPr>
        <w:t xml:space="preserve">Social Insurance: Additional </w:t>
      </w:r>
      <w:r w:rsidRPr="00EC20A0">
        <w:rPr>
          <w:i/>
        </w:rPr>
        <w:t>Requirements for Management’s Discussion</w:t>
      </w:r>
      <w:r w:rsidRPr="00EC20A0">
        <w:rPr>
          <w:i/>
          <w:spacing w:val="-5"/>
        </w:rPr>
        <w:t xml:space="preserve"> </w:t>
      </w:r>
      <w:r w:rsidRPr="00EC20A0">
        <w:rPr>
          <w:i/>
        </w:rPr>
        <w:t>and</w:t>
      </w:r>
      <w:r w:rsidRPr="00EC20A0">
        <w:rPr>
          <w:i/>
          <w:spacing w:val="-4"/>
        </w:rPr>
        <w:t xml:space="preserve"> </w:t>
      </w:r>
      <w:r w:rsidRPr="00EC20A0">
        <w:rPr>
          <w:i/>
        </w:rPr>
        <w:t>Analysis</w:t>
      </w:r>
      <w:r w:rsidRPr="00EC20A0">
        <w:rPr>
          <w:i/>
          <w:spacing w:val="-4"/>
        </w:rPr>
        <w:t xml:space="preserve"> </w:t>
      </w:r>
      <w:r w:rsidRPr="00EC20A0">
        <w:rPr>
          <w:i/>
        </w:rPr>
        <w:t>and</w:t>
      </w:r>
      <w:r w:rsidRPr="00EC20A0">
        <w:rPr>
          <w:i/>
          <w:spacing w:val="-4"/>
        </w:rPr>
        <w:t xml:space="preserve"> </w:t>
      </w:r>
      <w:r w:rsidRPr="00EC20A0">
        <w:rPr>
          <w:i/>
        </w:rPr>
        <w:t>Basic</w:t>
      </w:r>
      <w:r w:rsidRPr="00EC20A0">
        <w:rPr>
          <w:i/>
          <w:spacing w:val="-5"/>
        </w:rPr>
        <w:t xml:space="preserve"> </w:t>
      </w:r>
      <w:r w:rsidRPr="00EC20A0">
        <w:rPr>
          <w:i/>
        </w:rPr>
        <w:t>Financial</w:t>
      </w:r>
      <w:r w:rsidRPr="00EC20A0">
        <w:rPr>
          <w:i/>
          <w:spacing w:val="-4"/>
        </w:rPr>
        <w:t xml:space="preserve"> </w:t>
      </w:r>
      <w:r w:rsidRPr="00EC20A0">
        <w:rPr>
          <w:i/>
        </w:rPr>
        <w:t>Statements</w:t>
      </w:r>
      <w:r w:rsidRPr="00EC20A0">
        <w:t>,</w:t>
      </w:r>
      <w:r w:rsidRPr="00EC20A0">
        <w:rPr>
          <w:spacing w:val="-4"/>
        </w:rPr>
        <w:t xml:space="preserve"> </w:t>
      </w:r>
      <w:r w:rsidRPr="00EC20A0">
        <w:t>effective</w:t>
      </w:r>
      <w:r w:rsidRPr="00EC20A0">
        <w:rPr>
          <w:spacing w:val="-4"/>
        </w:rPr>
        <w:t xml:space="preserve"> </w:t>
      </w:r>
      <w:r w:rsidRPr="00EC20A0">
        <w:t>for</w:t>
      </w:r>
      <w:r w:rsidRPr="00EC20A0">
        <w:rPr>
          <w:spacing w:val="-4"/>
        </w:rPr>
        <w:t xml:space="preserve"> </w:t>
      </w:r>
      <w:r w:rsidRPr="00EC20A0">
        <w:t xml:space="preserve">periods beginning after September 30, 2010, requires that in addition to the current requirements of SFFAS 17, entities that present a Statement of Social </w:t>
      </w:r>
      <w:r w:rsidRPr="00EC20A0">
        <w:rPr>
          <w:spacing w:val="-2"/>
        </w:rPr>
        <w:t>Insurance</w:t>
      </w:r>
    </w:p>
    <w:p w14:paraId="24D61C13" w14:textId="77777777" w:rsidR="00245300" w:rsidRPr="00EC20A0" w:rsidRDefault="00F17249">
      <w:pPr>
        <w:pStyle w:val="ListParagraph"/>
        <w:numPr>
          <w:ilvl w:val="0"/>
          <w:numId w:val="79"/>
        </w:numPr>
        <w:tabs>
          <w:tab w:val="left" w:pos="2359"/>
        </w:tabs>
        <w:spacing w:before="245" w:line="230" w:lineRule="auto"/>
        <w:ind w:right="802"/>
      </w:pPr>
      <w:r w:rsidRPr="00EC20A0">
        <w:t>include in one section of the MD&amp;A information about costs, assets, liabilities,</w:t>
      </w:r>
      <w:r w:rsidRPr="00EC20A0">
        <w:rPr>
          <w:spacing w:val="-7"/>
        </w:rPr>
        <w:t xml:space="preserve"> </w:t>
      </w:r>
      <w:r w:rsidRPr="00EC20A0">
        <w:t>social</w:t>
      </w:r>
      <w:r w:rsidRPr="00EC20A0">
        <w:rPr>
          <w:spacing w:val="-6"/>
        </w:rPr>
        <w:t xml:space="preserve"> </w:t>
      </w:r>
      <w:r w:rsidRPr="00EC20A0">
        <w:t>insurance</w:t>
      </w:r>
      <w:r w:rsidRPr="00EC20A0">
        <w:rPr>
          <w:spacing w:val="-6"/>
        </w:rPr>
        <w:t xml:space="preserve"> </w:t>
      </w:r>
      <w:r w:rsidRPr="00EC20A0">
        <w:t>commitments,</w:t>
      </w:r>
      <w:r w:rsidRPr="00EC20A0">
        <w:rPr>
          <w:spacing w:val="-6"/>
        </w:rPr>
        <w:t xml:space="preserve"> </w:t>
      </w:r>
      <w:r w:rsidRPr="00EC20A0">
        <w:t>budget</w:t>
      </w:r>
      <w:r w:rsidRPr="00EC20A0">
        <w:rPr>
          <w:spacing w:val="-6"/>
        </w:rPr>
        <w:t xml:space="preserve"> </w:t>
      </w:r>
      <w:r w:rsidRPr="00EC20A0">
        <w:t>flows,</w:t>
      </w:r>
      <w:r w:rsidRPr="00EC20A0">
        <w:rPr>
          <w:spacing w:val="-6"/>
        </w:rPr>
        <w:t xml:space="preserve"> </w:t>
      </w:r>
      <w:r w:rsidRPr="00EC20A0">
        <w:t>and</w:t>
      </w:r>
      <w:r w:rsidRPr="00EC20A0">
        <w:rPr>
          <w:spacing w:val="-6"/>
        </w:rPr>
        <w:t xml:space="preserve"> </w:t>
      </w:r>
      <w:r w:rsidRPr="00EC20A0">
        <w:t>long-term fiscal projections;</w:t>
      </w:r>
    </w:p>
    <w:p w14:paraId="24D61C14" w14:textId="77777777" w:rsidR="00245300" w:rsidRPr="00EC20A0" w:rsidRDefault="00245300">
      <w:pPr>
        <w:pStyle w:val="BodyText"/>
        <w:spacing w:before="3"/>
      </w:pPr>
    </w:p>
    <w:p w14:paraId="24D61C15" w14:textId="77777777" w:rsidR="00245300" w:rsidRPr="00EC20A0" w:rsidRDefault="00F17249">
      <w:pPr>
        <w:pStyle w:val="ListParagraph"/>
        <w:numPr>
          <w:ilvl w:val="0"/>
          <w:numId w:val="79"/>
        </w:numPr>
        <w:tabs>
          <w:tab w:val="left" w:pos="2358"/>
          <w:tab w:val="left" w:pos="2360"/>
        </w:tabs>
        <w:spacing w:before="0" w:line="223" w:lineRule="auto"/>
        <w:ind w:left="2360" w:right="1253" w:hanging="361"/>
      </w:pPr>
      <w:r w:rsidRPr="00EC20A0">
        <w:t>include</w:t>
      </w:r>
      <w:r w:rsidRPr="00EC20A0">
        <w:rPr>
          <w:spacing w:val="-4"/>
        </w:rPr>
        <w:t xml:space="preserve"> </w:t>
      </w:r>
      <w:r w:rsidRPr="00EC20A0">
        <w:t>in</w:t>
      </w:r>
      <w:r w:rsidRPr="00EC20A0">
        <w:rPr>
          <w:spacing w:val="-5"/>
        </w:rPr>
        <w:t xml:space="preserve"> </w:t>
      </w:r>
      <w:r w:rsidRPr="00EC20A0">
        <w:t>the</w:t>
      </w:r>
      <w:r w:rsidRPr="00EC20A0">
        <w:rPr>
          <w:spacing w:val="-4"/>
        </w:rPr>
        <w:t xml:space="preserve"> </w:t>
      </w:r>
      <w:r w:rsidRPr="00EC20A0">
        <w:t>MD&amp;A</w:t>
      </w:r>
      <w:r w:rsidRPr="00EC20A0">
        <w:rPr>
          <w:spacing w:val="-4"/>
        </w:rPr>
        <w:t xml:space="preserve"> </w:t>
      </w:r>
      <w:r w:rsidRPr="00EC20A0">
        <w:t>a</w:t>
      </w:r>
      <w:r w:rsidRPr="00EC20A0">
        <w:rPr>
          <w:spacing w:val="-4"/>
        </w:rPr>
        <w:t xml:space="preserve"> </w:t>
      </w:r>
      <w:r w:rsidRPr="00EC20A0">
        <w:t>table</w:t>
      </w:r>
      <w:r w:rsidRPr="00EC20A0">
        <w:rPr>
          <w:spacing w:val="-4"/>
        </w:rPr>
        <w:t xml:space="preserve"> </w:t>
      </w:r>
      <w:r w:rsidRPr="00EC20A0">
        <w:t>or</w:t>
      </w:r>
      <w:r w:rsidRPr="00EC20A0">
        <w:rPr>
          <w:spacing w:val="-4"/>
        </w:rPr>
        <w:t xml:space="preserve"> </w:t>
      </w:r>
      <w:r w:rsidRPr="00EC20A0">
        <w:t>other</w:t>
      </w:r>
      <w:r w:rsidRPr="00EC20A0">
        <w:rPr>
          <w:spacing w:val="-4"/>
        </w:rPr>
        <w:t xml:space="preserve"> </w:t>
      </w:r>
      <w:r w:rsidRPr="00EC20A0">
        <w:t>singular</w:t>
      </w:r>
      <w:r w:rsidRPr="00EC20A0">
        <w:rPr>
          <w:spacing w:val="-4"/>
        </w:rPr>
        <w:t xml:space="preserve"> </w:t>
      </w:r>
      <w:r w:rsidRPr="00EC20A0">
        <w:t>presentation</w:t>
      </w:r>
      <w:r w:rsidRPr="00EC20A0">
        <w:rPr>
          <w:spacing w:val="-4"/>
        </w:rPr>
        <w:t xml:space="preserve"> </w:t>
      </w:r>
      <w:r w:rsidRPr="00EC20A0">
        <w:t>of</w:t>
      </w:r>
      <w:r w:rsidRPr="00EC20A0">
        <w:rPr>
          <w:spacing w:val="-4"/>
        </w:rPr>
        <w:t xml:space="preserve"> </w:t>
      </w:r>
      <w:r w:rsidRPr="00EC20A0">
        <w:t xml:space="preserve">key measures drawn </w:t>
      </w:r>
      <w:r w:rsidRPr="00EC20A0">
        <w:t>from the financial statements;</w:t>
      </w:r>
    </w:p>
    <w:p w14:paraId="24D61C16" w14:textId="77777777" w:rsidR="00245300" w:rsidRPr="00EC20A0" w:rsidRDefault="00F17249">
      <w:pPr>
        <w:pStyle w:val="ListParagraph"/>
        <w:numPr>
          <w:ilvl w:val="0"/>
          <w:numId w:val="79"/>
        </w:numPr>
        <w:tabs>
          <w:tab w:val="left" w:pos="2360"/>
        </w:tabs>
        <w:spacing w:before="251" w:line="230" w:lineRule="auto"/>
        <w:ind w:left="2360" w:right="578"/>
      </w:pPr>
      <w:r w:rsidRPr="00EC20A0">
        <w:t>add</w:t>
      </w:r>
      <w:r w:rsidRPr="00EC20A0">
        <w:rPr>
          <w:spacing w:val="-4"/>
        </w:rPr>
        <w:t xml:space="preserve"> </w:t>
      </w:r>
      <w:r w:rsidRPr="00EC20A0">
        <w:t>a</w:t>
      </w:r>
      <w:r w:rsidRPr="00EC20A0">
        <w:rPr>
          <w:spacing w:val="-4"/>
        </w:rPr>
        <w:t xml:space="preserve"> </w:t>
      </w:r>
      <w:r w:rsidRPr="00EC20A0">
        <w:t>section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that</w:t>
      </w:r>
      <w:r w:rsidRPr="00EC20A0">
        <w:rPr>
          <w:spacing w:val="-4"/>
        </w:rPr>
        <w:t xml:space="preserve"> </w:t>
      </w:r>
      <w:r w:rsidRPr="00EC20A0">
        <w:t>summarizes</w:t>
      </w:r>
      <w:r w:rsidRPr="00EC20A0">
        <w:rPr>
          <w:spacing w:val="-4"/>
        </w:rPr>
        <w:t xml:space="preserve"> </w:t>
      </w:r>
      <w:r w:rsidRPr="00EC20A0">
        <w:t xml:space="preserve">the net present values of cash flows and presents certain subtotals and </w:t>
      </w:r>
      <w:r w:rsidRPr="00EC20A0">
        <w:rPr>
          <w:spacing w:val="-2"/>
        </w:rPr>
        <w:t>totals;</w:t>
      </w:r>
    </w:p>
    <w:p w14:paraId="24D61C17" w14:textId="77777777" w:rsidR="00245300" w:rsidRPr="00EC20A0" w:rsidRDefault="00F17249">
      <w:pPr>
        <w:pStyle w:val="ListParagraph"/>
        <w:numPr>
          <w:ilvl w:val="0"/>
          <w:numId w:val="79"/>
        </w:numPr>
        <w:tabs>
          <w:tab w:val="left" w:pos="2360"/>
        </w:tabs>
        <w:spacing w:before="252" w:line="230" w:lineRule="auto"/>
        <w:ind w:left="2360" w:right="691"/>
      </w:pPr>
      <w:r w:rsidRPr="00EC20A0">
        <w:t>present a Statement of Changes in Social Insurance Amounts that indicates</w:t>
      </w:r>
      <w:r w:rsidRPr="00EC20A0">
        <w:rPr>
          <w:spacing w:val="-5"/>
        </w:rPr>
        <w:t xml:space="preserve"> </w:t>
      </w:r>
      <w:r w:rsidRPr="00EC20A0">
        <w:t>the</w:t>
      </w:r>
      <w:r w:rsidRPr="00EC20A0">
        <w:rPr>
          <w:spacing w:val="-4"/>
        </w:rPr>
        <w:t xml:space="preserve"> </w:t>
      </w:r>
      <w:r w:rsidRPr="00EC20A0">
        <w:t>reasons</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open</w:t>
      </w:r>
      <w:r w:rsidRPr="00EC20A0">
        <w:rPr>
          <w:spacing w:val="-4"/>
        </w:rPr>
        <w:t xml:space="preserve"> </w:t>
      </w:r>
      <w:r w:rsidRPr="00EC20A0">
        <w:t>group</w:t>
      </w:r>
      <w:r w:rsidRPr="00EC20A0">
        <w:rPr>
          <w:spacing w:val="-4"/>
        </w:rPr>
        <w:t xml:space="preserve"> </w:t>
      </w:r>
      <w:r w:rsidRPr="00EC20A0">
        <w:t>measure</w:t>
      </w:r>
      <w:r w:rsidRPr="00EC20A0">
        <w:rPr>
          <w:spacing w:val="-4"/>
        </w:rPr>
        <w:t xml:space="preserve"> </w:t>
      </w:r>
      <w:r w:rsidRPr="00EC20A0">
        <w:t>from the end of the previous reporting period; and</w:t>
      </w:r>
    </w:p>
    <w:p w14:paraId="24D61C18" w14:textId="77777777" w:rsidR="00245300" w:rsidRPr="00EC20A0" w:rsidRDefault="00F17249">
      <w:pPr>
        <w:pStyle w:val="ListParagraph"/>
        <w:numPr>
          <w:ilvl w:val="0"/>
          <w:numId w:val="79"/>
        </w:numPr>
        <w:tabs>
          <w:tab w:val="left" w:pos="2360"/>
        </w:tabs>
        <w:spacing w:before="250" w:line="230" w:lineRule="auto"/>
        <w:ind w:left="2360" w:right="348"/>
      </w:pPr>
      <w:r w:rsidRPr="00EC20A0">
        <w:t>when</w:t>
      </w:r>
      <w:r w:rsidRPr="00EC20A0">
        <w:rPr>
          <w:spacing w:val="-5"/>
        </w:rPr>
        <w:t xml:space="preserve"> </w:t>
      </w:r>
      <w:r w:rsidRPr="00EC20A0">
        <w:t>comparative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are</w:t>
      </w:r>
      <w:r w:rsidRPr="00EC20A0">
        <w:rPr>
          <w:spacing w:val="-5"/>
        </w:rPr>
        <w:t xml:space="preserve"> </w:t>
      </w:r>
      <w:r w:rsidRPr="00EC20A0">
        <w:t>presented,</w:t>
      </w:r>
      <w:r w:rsidRPr="00EC20A0">
        <w:rPr>
          <w:spacing w:val="-5"/>
        </w:rPr>
        <w:t xml:space="preserve"> </w:t>
      </w:r>
      <w:r w:rsidRPr="00EC20A0">
        <w:t>presentation</w:t>
      </w:r>
      <w:r w:rsidRPr="00EC20A0">
        <w:rPr>
          <w:spacing w:val="-5"/>
        </w:rPr>
        <w:t xml:space="preserve"> </w:t>
      </w:r>
      <w:r w:rsidRPr="00EC20A0">
        <w:t>of</w:t>
      </w:r>
      <w:r w:rsidRPr="00EC20A0">
        <w:rPr>
          <w:spacing w:val="-5"/>
        </w:rPr>
        <w:t xml:space="preserve"> </w:t>
      </w:r>
      <w:r w:rsidRPr="00EC20A0">
        <w:t xml:space="preserve">two Statements of Changes in Social Insurance Amounts, one for the current </w:t>
      </w:r>
      <w:r w:rsidRPr="00EC20A0">
        <w:t>reporting period, and one for the previous reporting period.</w:t>
      </w:r>
    </w:p>
    <w:p w14:paraId="24D61C19" w14:textId="77777777" w:rsidR="00245300" w:rsidRPr="00EC20A0" w:rsidRDefault="00F17249">
      <w:pPr>
        <w:pStyle w:val="BodyText"/>
        <w:spacing w:before="244"/>
        <w:ind w:left="60" w:right="138"/>
        <w:jc w:val="center"/>
      </w:pPr>
      <w:r w:rsidRPr="00EC20A0">
        <w:t>SFFAS</w:t>
      </w:r>
      <w:r w:rsidRPr="00EC20A0">
        <w:rPr>
          <w:spacing w:val="-7"/>
        </w:rPr>
        <w:t xml:space="preserve"> </w:t>
      </w:r>
      <w:r w:rsidRPr="00EC20A0">
        <w:t>17</w:t>
      </w:r>
      <w:r w:rsidRPr="00EC20A0">
        <w:rPr>
          <w:spacing w:val="-5"/>
        </w:rPr>
        <w:t xml:space="preserve"> </w:t>
      </w:r>
      <w:r w:rsidRPr="00EC20A0">
        <w:t>is</w:t>
      </w:r>
      <w:r w:rsidRPr="00EC20A0">
        <w:rPr>
          <w:spacing w:val="-5"/>
        </w:rPr>
        <w:t xml:space="preserve"> </w:t>
      </w:r>
      <w:r w:rsidRPr="00EC20A0">
        <w:t>amended</w:t>
      </w:r>
      <w:r w:rsidRPr="00EC20A0">
        <w:rPr>
          <w:spacing w:val="-5"/>
        </w:rPr>
        <w:t xml:space="preserve"> </w:t>
      </w:r>
      <w:r w:rsidRPr="00EC20A0">
        <w:t>to</w:t>
      </w:r>
      <w:r w:rsidRPr="00EC20A0">
        <w:rPr>
          <w:spacing w:val="-6"/>
        </w:rPr>
        <w:t xml:space="preserve"> </w:t>
      </w:r>
      <w:r w:rsidRPr="00EC20A0">
        <w:t>conform</w:t>
      </w:r>
      <w:r w:rsidRPr="00EC20A0">
        <w:rPr>
          <w:spacing w:val="-6"/>
        </w:rPr>
        <w:t xml:space="preserve"> </w:t>
      </w:r>
      <w:r w:rsidRPr="00EC20A0">
        <w:t>to</w:t>
      </w:r>
      <w:r w:rsidRPr="00EC20A0">
        <w:rPr>
          <w:spacing w:val="-5"/>
        </w:rPr>
        <w:t xml:space="preserve"> </w:t>
      </w:r>
      <w:r w:rsidRPr="00EC20A0">
        <w:t>changes</w:t>
      </w:r>
      <w:r w:rsidRPr="00EC20A0">
        <w:rPr>
          <w:spacing w:val="-5"/>
        </w:rPr>
        <w:t xml:space="preserve"> </w:t>
      </w:r>
      <w:r w:rsidRPr="00EC20A0">
        <w:t>in</w:t>
      </w:r>
      <w:r w:rsidRPr="00EC20A0">
        <w:rPr>
          <w:spacing w:val="-6"/>
        </w:rPr>
        <w:t xml:space="preserve"> </w:t>
      </w:r>
      <w:r w:rsidRPr="00EC20A0">
        <w:t>SFFAS</w:t>
      </w:r>
      <w:r w:rsidRPr="00EC20A0">
        <w:rPr>
          <w:spacing w:val="-6"/>
        </w:rPr>
        <w:t xml:space="preserve"> </w:t>
      </w:r>
      <w:r w:rsidRPr="00EC20A0">
        <w:rPr>
          <w:spacing w:val="-5"/>
        </w:rPr>
        <w:t>37.</w:t>
      </w:r>
    </w:p>
    <w:p w14:paraId="24D61C1A" w14:textId="77777777" w:rsidR="00245300" w:rsidRPr="00EC20A0" w:rsidRDefault="00F17249">
      <w:pPr>
        <w:pStyle w:val="ListParagraph"/>
        <w:numPr>
          <w:ilvl w:val="0"/>
          <w:numId w:val="1"/>
        </w:numPr>
        <w:tabs>
          <w:tab w:val="left" w:pos="1640"/>
        </w:tabs>
        <w:spacing w:before="239"/>
        <w:ind w:right="383"/>
        <w:rPr>
          <w:sz w:val="14"/>
        </w:rPr>
      </w:pPr>
      <w:r w:rsidRPr="00EC20A0">
        <w:t>Auditors</w:t>
      </w:r>
      <w:r w:rsidRPr="00EC20A0">
        <w:rPr>
          <w:spacing w:val="-4"/>
        </w:rPr>
        <w:t xml:space="preserve"> </w:t>
      </w:r>
      <w:r w:rsidRPr="00EC20A0">
        <w:t>generally</w:t>
      </w:r>
      <w:r w:rsidRPr="00EC20A0">
        <w:rPr>
          <w:spacing w:val="-4"/>
        </w:rPr>
        <w:t xml:space="preserve"> </w:t>
      </w:r>
      <w:r w:rsidRPr="00EC20A0">
        <w:t>should</w:t>
      </w:r>
      <w:r w:rsidRPr="00EC20A0">
        <w:rPr>
          <w:spacing w:val="-4"/>
        </w:rPr>
        <w:t xml:space="preserve"> </w:t>
      </w:r>
      <w:r w:rsidRPr="00EC20A0">
        <w:t>follow</w:t>
      </w:r>
      <w:r w:rsidRPr="00EC20A0">
        <w:rPr>
          <w:spacing w:val="-5"/>
        </w:rPr>
        <w:t xml:space="preserve"> </w:t>
      </w:r>
      <w:r w:rsidRPr="00EC20A0">
        <w:t>the</w:t>
      </w:r>
      <w:r w:rsidRPr="00EC20A0">
        <w:rPr>
          <w:spacing w:val="-5"/>
        </w:rPr>
        <w:t xml:space="preserve"> </w:t>
      </w:r>
      <w:r w:rsidRPr="00EC20A0">
        <w:t>FAM</w:t>
      </w:r>
      <w:r w:rsidRPr="00EC20A0">
        <w:rPr>
          <w:spacing w:val="-4"/>
        </w:rPr>
        <w:t xml:space="preserve"> </w:t>
      </w:r>
      <w:r w:rsidRPr="00EC20A0">
        <w:t>methodology</w:t>
      </w:r>
      <w:r w:rsidRPr="00EC20A0">
        <w:rPr>
          <w:spacing w:val="-4"/>
        </w:rPr>
        <w:t xml:space="preserve"> </w:t>
      </w:r>
      <w:r w:rsidRPr="00EC20A0">
        <w:t>contained</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planning, internal control, testing, and reporting phases in FAM 200 through 500 and the audit guidance included in SOP 04-1 when auditing the Statement of Social Insurance and the related Statement of Changes in Social Insurance Amounts.</w:t>
      </w:r>
      <w:hyperlink w:anchor="_bookmark200" w:history="1">
        <w:r w:rsidRPr="00EC20A0">
          <w:rPr>
            <w:position w:val="7"/>
            <w:sz w:val="14"/>
          </w:rPr>
          <w:t>42</w:t>
        </w:r>
      </w:hyperlink>
    </w:p>
    <w:p w14:paraId="24D61C1B" w14:textId="77777777" w:rsidR="00245300" w:rsidRPr="00EC20A0" w:rsidRDefault="00F17249">
      <w:pPr>
        <w:pStyle w:val="ListParagraph"/>
        <w:numPr>
          <w:ilvl w:val="0"/>
          <w:numId w:val="1"/>
        </w:numPr>
        <w:tabs>
          <w:tab w:val="left" w:pos="1640"/>
        </w:tabs>
        <w:spacing w:before="241"/>
        <w:ind w:right="444"/>
      </w:pPr>
      <w:r w:rsidRPr="00EC20A0">
        <w:t>As</w:t>
      </w:r>
      <w:r w:rsidRPr="00EC20A0">
        <w:rPr>
          <w:spacing w:val="-2"/>
        </w:rPr>
        <w:t xml:space="preserve"> </w:t>
      </w:r>
      <w:r w:rsidRPr="00EC20A0">
        <w:t>permitted</w:t>
      </w:r>
      <w:r w:rsidRPr="00EC20A0">
        <w:rPr>
          <w:spacing w:val="-2"/>
        </w:rPr>
        <w:t xml:space="preserve"> </w:t>
      </w:r>
      <w:r w:rsidRPr="00EC20A0">
        <w:t>by</w:t>
      </w:r>
      <w:r w:rsidRPr="00EC20A0">
        <w:rPr>
          <w:spacing w:val="-2"/>
        </w:rPr>
        <w:t xml:space="preserve"> </w:t>
      </w:r>
      <w:r w:rsidRPr="00EC20A0">
        <w:t>AU-C</w:t>
      </w:r>
      <w:r w:rsidRPr="00EC20A0">
        <w:rPr>
          <w:spacing w:val="-3"/>
        </w:rPr>
        <w:t xml:space="preserve"> </w:t>
      </w:r>
      <w:r w:rsidRPr="00EC20A0">
        <w:t>600A,</w:t>
      </w:r>
      <w:r w:rsidRPr="00EC20A0">
        <w:rPr>
          <w:spacing w:val="-2"/>
        </w:rPr>
        <w:t xml:space="preserve"> </w:t>
      </w:r>
      <w:r w:rsidRPr="00EC20A0">
        <w:rPr>
          <w:i/>
        </w:rPr>
        <w:t>Special</w:t>
      </w:r>
      <w:r w:rsidRPr="00EC20A0">
        <w:rPr>
          <w:i/>
          <w:spacing w:val="-2"/>
        </w:rPr>
        <w:t xml:space="preserve"> </w:t>
      </w:r>
      <w:r w:rsidRPr="00EC20A0">
        <w:rPr>
          <w:i/>
        </w:rPr>
        <w:t>Considerations</w:t>
      </w:r>
      <w:r w:rsidRPr="00EC20A0">
        <w:rPr>
          <w:i/>
          <w:spacing w:val="-2"/>
        </w:rPr>
        <w:t xml:space="preserve"> </w:t>
      </w:r>
      <w:r w:rsidRPr="00EC20A0">
        <w:rPr>
          <w:i/>
        </w:rPr>
        <w:t>–</w:t>
      </w:r>
      <w:r w:rsidRPr="00EC20A0">
        <w:rPr>
          <w:i/>
          <w:spacing w:val="-2"/>
        </w:rPr>
        <w:t xml:space="preserve"> </w:t>
      </w:r>
      <w:r w:rsidRPr="00EC20A0">
        <w:rPr>
          <w:i/>
        </w:rPr>
        <w:t>Audits</w:t>
      </w:r>
      <w:r w:rsidRPr="00EC20A0">
        <w:rPr>
          <w:i/>
          <w:spacing w:val="-3"/>
        </w:rPr>
        <w:t xml:space="preserve"> </w:t>
      </w:r>
      <w:r w:rsidRPr="00EC20A0">
        <w:rPr>
          <w:i/>
        </w:rPr>
        <w:t>of</w:t>
      </w:r>
      <w:r w:rsidRPr="00EC20A0">
        <w:rPr>
          <w:i/>
          <w:spacing w:val="-2"/>
        </w:rPr>
        <w:t xml:space="preserve"> </w:t>
      </w:r>
      <w:r w:rsidRPr="00EC20A0">
        <w:rPr>
          <w:i/>
        </w:rPr>
        <w:t>Group</w:t>
      </w:r>
      <w:r w:rsidRPr="00EC20A0">
        <w:rPr>
          <w:i/>
          <w:spacing w:val="-2"/>
        </w:rPr>
        <w:t xml:space="preserve"> </w:t>
      </w:r>
      <w:r w:rsidRPr="00EC20A0">
        <w:rPr>
          <w:i/>
        </w:rPr>
        <w:t xml:space="preserve">Financial Statements (Including the Work of Component Auditors), </w:t>
      </w:r>
      <w:r w:rsidRPr="00EC20A0">
        <w:t>a group auditor may fulfill</w:t>
      </w:r>
      <w:r w:rsidRPr="00EC20A0">
        <w:rPr>
          <w:spacing w:val="-4"/>
        </w:rPr>
        <w:t xml:space="preserve"> </w:t>
      </w:r>
      <w:r w:rsidRPr="00EC20A0">
        <w:t>the</w:t>
      </w:r>
      <w:r w:rsidRPr="00EC20A0">
        <w:rPr>
          <w:spacing w:val="-4"/>
        </w:rPr>
        <w:t xml:space="preserve"> </w:t>
      </w:r>
      <w:r w:rsidRPr="00EC20A0">
        <w:t>requirements</w:t>
      </w:r>
      <w:r w:rsidRPr="00EC20A0">
        <w:rPr>
          <w:spacing w:val="-4"/>
        </w:rPr>
        <w:t xml:space="preserve"> </w:t>
      </w:r>
      <w:r w:rsidRPr="00EC20A0">
        <w:t>of</w:t>
      </w:r>
      <w:r w:rsidRPr="00EC20A0">
        <w:rPr>
          <w:spacing w:val="-4"/>
        </w:rPr>
        <w:t xml:space="preserve"> </w:t>
      </w:r>
      <w:r w:rsidRPr="00EC20A0">
        <w:t>SOP</w:t>
      </w:r>
      <w:r w:rsidRPr="00EC20A0">
        <w:rPr>
          <w:spacing w:val="-4"/>
        </w:rPr>
        <w:t xml:space="preserve"> </w:t>
      </w:r>
      <w:r w:rsidRPr="00EC20A0">
        <w:t>04-1</w:t>
      </w:r>
      <w:r w:rsidRPr="00EC20A0">
        <w:rPr>
          <w:spacing w:val="-4"/>
        </w:rPr>
        <w:t xml:space="preserve"> </w:t>
      </w:r>
      <w:r w:rsidRPr="00EC20A0">
        <w:t>by</w:t>
      </w:r>
      <w:r w:rsidRPr="00EC20A0">
        <w:rPr>
          <w:spacing w:val="-4"/>
        </w:rPr>
        <w:t xml:space="preserve"> </w:t>
      </w:r>
      <w:r w:rsidRPr="00EC20A0">
        <w:t>using</w:t>
      </w:r>
      <w:r w:rsidRPr="00EC20A0">
        <w:rPr>
          <w:spacing w:val="-4"/>
        </w:rPr>
        <w:t xml:space="preserve"> </w:t>
      </w:r>
      <w:r w:rsidRPr="00EC20A0">
        <w:t>work</w:t>
      </w:r>
      <w:r w:rsidRPr="00EC20A0">
        <w:rPr>
          <w:spacing w:val="-4"/>
        </w:rPr>
        <w:t xml:space="preserve"> </w:t>
      </w:r>
      <w:r w:rsidRPr="00EC20A0">
        <w:t>that</w:t>
      </w:r>
      <w:r w:rsidRPr="00EC20A0">
        <w:rPr>
          <w:spacing w:val="-4"/>
        </w:rPr>
        <w:t xml:space="preserve"> </w:t>
      </w:r>
      <w:r w:rsidRPr="00EC20A0">
        <w:t>other</w:t>
      </w:r>
      <w:r w:rsidRPr="00EC20A0">
        <w:rPr>
          <w:spacing w:val="-4"/>
        </w:rPr>
        <w:t xml:space="preserve"> </w:t>
      </w:r>
      <w:r w:rsidRPr="00EC20A0">
        <w:t>component</w:t>
      </w:r>
      <w:r w:rsidRPr="00EC20A0">
        <w:rPr>
          <w:spacing w:val="-4"/>
        </w:rPr>
        <w:t xml:space="preserve"> </w:t>
      </w:r>
      <w:r w:rsidRPr="00EC20A0">
        <w:t>auditors have performed in conformity with the provisions of SOP 04-1. For example, for the Old-Age Survivors and Disability Insurance (OASDI) program, the group auditor</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consolidated</w:t>
      </w:r>
      <w:r w:rsidRPr="00EC20A0">
        <w:rPr>
          <w:spacing w:val="-3"/>
        </w:rPr>
        <w:t xml:space="preserve"> </w:t>
      </w:r>
      <w:r w:rsidRPr="00EC20A0">
        <w:t>financial</w:t>
      </w:r>
      <w:r w:rsidRPr="00EC20A0">
        <w:rPr>
          <w:spacing w:val="-4"/>
        </w:rPr>
        <w:t xml:space="preserve"> </w:t>
      </w:r>
      <w:r w:rsidRPr="00EC20A0">
        <w:t>statements</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U.S.</w:t>
      </w:r>
      <w:r w:rsidRPr="00EC20A0">
        <w:rPr>
          <w:spacing w:val="-3"/>
        </w:rPr>
        <w:t xml:space="preserve"> </w:t>
      </w:r>
      <w:r w:rsidRPr="00EC20A0">
        <w:t>government</w:t>
      </w:r>
      <w:r w:rsidRPr="00EC20A0">
        <w:rPr>
          <w:spacing w:val="-3"/>
        </w:rPr>
        <w:t xml:space="preserve"> </w:t>
      </w:r>
      <w:r w:rsidRPr="00EC20A0">
        <w:t>may</w:t>
      </w:r>
      <w:r w:rsidRPr="00EC20A0">
        <w:rPr>
          <w:spacing w:val="-3"/>
        </w:rPr>
        <w:t xml:space="preserve"> </w:t>
      </w:r>
      <w:r w:rsidRPr="00EC20A0">
        <w:t>use the work and report of the component auditor of the Social Se</w:t>
      </w:r>
      <w:r w:rsidRPr="00EC20A0">
        <w:t>curity Administration’s Statement of Social Insurance and related Statement of Changes in Social Insurance Amounts.</w:t>
      </w:r>
    </w:p>
    <w:p w14:paraId="24D61C1C" w14:textId="77777777" w:rsidR="00245300" w:rsidRPr="00EC20A0" w:rsidRDefault="00F17249">
      <w:pPr>
        <w:pStyle w:val="ListParagraph"/>
        <w:numPr>
          <w:ilvl w:val="0"/>
          <w:numId w:val="1"/>
        </w:numPr>
        <w:tabs>
          <w:tab w:val="left" w:pos="1640"/>
        </w:tabs>
        <w:ind w:right="356"/>
      </w:pPr>
      <w:r w:rsidRPr="00EC20A0">
        <w:t>The auditor should obtain sufficient appropriate audit evidence about whether accounting</w:t>
      </w:r>
      <w:r w:rsidRPr="00EC20A0">
        <w:rPr>
          <w:spacing w:val="-1"/>
        </w:rPr>
        <w:t xml:space="preserve"> </w:t>
      </w:r>
      <w:r w:rsidRPr="00EC20A0">
        <w:t>estimates in</w:t>
      </w:r>
      <w:r w:rsidRPr="00EC20A0">
        <w:rPr>
          <w:spacing w:val="-1"/>
        </w:rPr>
        <w:t xml:space="preserve"> </w:t>
      </w:r>
      <w:r w:rsidRPr="00EC20A0">
        <w:t>the financial statements</w:t>
      </w:r>
      <w:r w:rsidRPr="00EC20A0">
        <w:rPr>
          <w:spacing w:val="-1"/>
        </w:rPr>
        <w:t xml:space="preserve"> </w:t>
      </w:r>
      <w:r w:rsidRPr="00EC20A0">
        <w:t>and related</w:t>
      </w:r>
      <w:r w:rsidRPr="00EC20A0">
        <w:rPr>
          <w:spacing w:val="-1"/>
        </w:rPr>
        <w:t xml:space="preserve"> </w:t>
      </w:r>
      <w:r w:rsidRPr="00EC20A0">
        <w:t>note disclosures are reasonable in the context of the applicable financial reporting framework (generally U.S. GAAP) (AU-C 540.10). When obtaining an understanding of the entity</w:t>
      </w:r>
      <w:r w:rsidRPr="00EC20A0">
        <w:rPr>
          <w:spacing w:val="-4"/>
        </w:rPr>
        <w:t xml:space="preserve"> </w:t>
      </w:r>
      <w:r w:rsidRPr="00EC20A0">
        <w:t>and</w:t>
      </w:r>
      <w:r w:rsidRPr="00EC20A0">
        <w:rPr>
          <w:spacing w:val="-4"/>
        </w:rPr>
        <w:t xml:space="preserve"> </w:t>
      </w:r>
      <w:r w:rsidRPr="00EC20A0">
        <w:t>its</w:t>
      </w:r>
      <w:r w:rsidRPr="00EC20A0">
        <w:rPr>
          <w:spacing w:val="-4"/>
        </w:rPr>
        <w:t xml:space="preserve"> </w:t>
      </w:r>
      <w:r w:rsidRPr="00EC20A0">
        <w:t>environment,</w:t>
      </w:r>
      <w:r w:rsidRPr="00EC20A0">
        <w:rPr>
          <w:spacing w:val="-4"/>
        </w:rPr>
        <w:t xml:space="preserve"> </w:t>
      </w:r>
      <w:r w:rsidRPr="00EC20A0">
        <w:t>the</w:t>
      </w:r>
      <w:r w:rsidRPr="00EC20A0">
        <w:rPr>
          <w:spacing w:val="-4"/>
        </w:rPr>
        <w:t xml:space="preserve"> </w:t>
      </w:r>
      <w:r w:rsidRPr="00EC20A0">
        <w:t>applicable</w:t>
      </w:r>
      <w:r w:rsidRPr="00EC20A0">
        <w:rPr>
          <w:spacing w:val="-4"/>
        </w:rPr>
        <w:t xml:space="preserve"> </w:t>
      </w:r>
      <w:r w:rsidRPr="00EC20A0">
        <w:t>financial</w:t>
      </w:r>
      <w:r w:rsidRPr="00EC20A0">
        <w:rPr>
          <w:spacing w:val="-4"/>
        </w:rPr>
        <w:t xml:space="preserve"> </w:t>
      </w:r>
      <w:r w:rsidRPr="00EC20A0">
        <w:t>reporting</w:t>
      </w:r>
      <w:r w:rsidRPr="00EC20A0">
        <w:rPr>
          <w:spacing w:val="-4"/>
        </w:rPr>
        <w:t xml:space="preserve"> </w:t>
      </w:r>
      <w:r w:rsidRPr="00EC20A0">
        <w:t>framework</w:t>
      </w:r>
      <w:r w:rsidRPr="00EC20A0">
        <w:rPr>
          <w:spacing w:val="-4"/>
        </w:rPr>
        <w:t xml:space="preserve"> </w:t>
      </w:r>
      <w:r w:rsidRPr="00EC20A0">
        <w:t>(generally</w:t>
      </w:r>
    </w:p>
    <w:p w14:paraId="24D61C1D" w14:textId="77777777" w:rsidR="00245300" w:rsidRPr="00EC20A0" w:rsidRDefault="00F17249">
      <w:pPr>
        <w:pStyle w:val="BodyText"/>
        <w:spacing w:before="126"/>
        <w:rPr>
          <w:sz w:val="20"/>
        </w:rPr>
      </w:pPr>
      <w:r w:rsidRPr="00EC20A0">
        <w:rPr>
          <w:noProof/>
        </w:rPr>
        <mc:AlternateContent>
          <mc:Choice Requires="wps">
            <w:drawing>
              <wp:anchor distT="0" distB="0" distL="0" distR="0" simplePos="0" relativeHeight="487718912" behindDoc="1" locked="0" layoutInCell="1" allowOverlap="1" wp14:anchorId="24D62CB5" wp14:editId="24D62CB6">
                <wp:simplePos x="0" y="0"/>
                <wp:positionH relativeFrom="page">
                  <wp:posOffset>914400</wp:posOffset>
                </wp:positionH>
                <wp:positionV relativeFrom="paragraph">
                  <wp:posOffset>241391</wp:posOffset>
                </wp:positionV>
                <wp:extent cx="1828800" cy="5715"/>
                <wp:effectExtent l="0" t="0" r="0" b="0"/>
                <wp:wrapTopAndBottom/>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A5041" id="Graphic 884" o:spid="_x0000_s1026" style="position:absolute;margin-left:1in;margin-top:19pt;width:2in;height:.45pt;z-index:-155975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" path="m1828800,l,,,5321r1828800,l1828800,xe" fillcolor="black" stroked="f">
                <v:path arrowok="t"/>
                <w10:wrap type="topAndBottom" anchorx="page"/>
              </v:shape>
            </w:pict>
          </mc:Fallback>
        </mc:AlternateContent>
      </w:r>
    </w:p>
    <w:p w14:paraId="24D61C1E" w14:textId="77777777" w:rsidR="00245300" w:rsidRPr="00EC20A0" w:rsidRDefault="00F17249">
      <w:pPr>
        <w:spacing w:before="202"/>
        <w:ind w:left="200"/>
        <w:rPr>
          <w:sz w:val="18"/>
        </w:rPr>
      </w:pPr>
      <w:bookmarkStart w:id="349" w:name="_bookmark200"/>
      <w:bookmarkEnd w:id="349"/>
      <w:r w:rsidRPr="00EC20A0">
        <w:rPr>
          <w:position w:val="7"/>
          <w:sz w:val="14"/>
        </w:rPr>
        <w:t>42</w:t>
      </w:r>
      <w:r w:rsidRPr="00EC20A0">
        <w:rPr>
          <w:sz w:val="18"/>
        </w:rPr>
        <w:t>Users</w:t>
      </w:r>
      <w:r w:rsidRPr="00EC20A0">
        <w:rPr>
          <w:spacing w:val="-5"/>
          <w:sz w:val="18"/>
        </w:rPr>
        <w:t xml:space="preserve"> </w:t>
      </w:r>
      <w:r w:rsidRPr="00EC20A0">
        <w:rPr>
          <w:sz w:val="18"/>
        </w:rPr>
        <w:t>of</w:t>
      </w:r>
      <w:r w:rsidRPr="00EC20A0">
        <w:rPr>
          <w:spacing w:val="-3"/>
          <w:sz w:val="18"/>
        </w:rPr>
        <w:t xml:space="preserve"> </w:t>
      </w:r>
      <w:r w:rsidRPr="00EC20A0">
        <w:rPr>
          <w:sz w:val="18"/>
        </w:rPr>
        <w:t>SOP</w:t>
      </w:r>
      <w:r w:rsidRPr="00EC20A0">
        <w:rPr>
          <w:spacing w:val="-2"/>
          <w:sz w:val="18"/>
        </w:rPr>
        <w:t xml:space="preserve"> </w:t>
      </w:r>
      <w:r w:rsidRPr="00EC20A0">
        <w:rPr>
          <w:sz w:val="18"/>
        </w:rPr>
        <w:t>04-1</w:t>
      </w:r>
      <w:r w:rsidRPr="00EC20A0">
        <w:rPr>
          <w:spacing w:val="-4"/>
          <w:sz w:val="18"/>
        </w:rPr>
        <w:t xml:space="preserve"> </w:t>
      </w:r>
      <w:r w:rsidRPr="00EC20A0">
        <w:rPr>
          <w:sz w:val="18"/>
        </w:rPr>
        <w:t>should</w:t>
      </w:r>
      <w:r w:rsidRPr="00EC20A0">
        <w:rPr>
          <w:spacing w:val="-3"/>
          <w:sz w:val="18"/>
        </w:rPr>
        <w:t xml:space="preserve"> </w:t>
      </w:r>
      <w:r w:rsidRPr="00EC20A0">
        <w:rPr>
          <w:sz w:val="18"/>
        </w:rPr>
        <w:t>consider</w:t>
      </w:r>
      <w:r w:rsidRPr="00EC20A0">
        <w:rPr>
          <w:spacing w:val="-3"/>
          <w:sz w:val="18"/>
        </w:rPr>
        <w:t xml:space="preserve"> </w:t>
      </w:r>
      <w:r w:rsidRPr="00EC20A0">
        <w:rPr>
          <w:sz w:val="18"/>
        </w:rPr>
        <w:t>updates</w:t>
      </w:r>
      <w:r w:rsidRPr="00EC20A0">
        <w:rPr>
          <w:spacing w:val="-1"/>
          <w:sz w:val="18"/>
        </w:rPr>
        <w:t xml:space="preserve"> </w:t>
      </w:r>
      <w:r w:rsidRPr="00EC20A0">
        <w:rPr>
          <w:sz w:val="18"/>
        </w:rPr>
        <w:t>to</w:t>
      </w:r>
      <w:r w:rsidRPr="00EC20A0">
        <w:rPr>
          <w:spacing w:val="-4"/>
          <w:sz w:val="18"/>
        </w:rPr>
        <w:t xml:space="preserve"> </w:t>
      </w:r>
      <w:r w:rsidRPr="00EC20A0">
        <w:rPr>
          <w:sz w:val="18"/>
        </w:rPr>
        <w:t>the</w:t>
      </w:r>
      <w:r w:rsidRPr="00EC20A0">
        <w:rPr>
          <w:spacing w:val="-3"/>
          <w:sz w:val="18"/>
        </w:rPr>
        <w:t xml:space="preserve"> </w:t>
      </w:r>
      <w:r w:rsidRPr="00EC20A0">
        <w:rPr>
          <w:sz w:val="18"/>
        </w:rPr>
        <w:t>relevant</w:t>
      </w:r>
      <w:r w:rsidRPr="00EC20A0">
        <w:rPr>
          <w:spacing w:val="-3"/>
          <w:sz w:val="18"/>
        </w:rPr>
        <w:t xml:space="preserve"> </w:t>
      </w:r>
      <w:r w:rsidRPr="00EC20A0">
        <w:rPr>
          <w:sz w:val="18"/>
        </w:rPr>
        <w:t>accounting</w:t>
      </w:r>
      <w:r w:rsidRPr="00EC20A0">
        <w:rPr>
          <w:spacing w:val="-3"/>
          <w:sz w:val="18"/>
        </w:rPr>
        <w:t xml:space="preserve"> </w:t>
      </w:r>
      <w:r w:rsidRPr="00EC20A0">
        <w:rPr>
          <w:sz w:val="18"/>
        </w:rPr>
        <w:t>and</w:t>
      </w:r>
      <w:r w:rsidRPr="00EC20A0">
        <w:rPr>
          <w:spacing w:val="-4"/>
          <w:sz w:val="18"/>
        </w:rPr>
        <w:t xml:space="preserve"> </w:t>
      </w:r>
      <w:r w:rsidRPr="00EC20A0">
        <w:rPr>
          <w:sz w:val="18"/>
        </w:rPr>
        <w:t>auditing</w:t>
      </w:r>
      <w:r w:rsidRPr="00EC20A0">
        <w:rPr>
          <w:spacing w:val="-3"/>
          <w:sz w:val="18"/>
        </w:rPr>
        <w:t xml:space="preserve"> </w:t>
      </w:r>
      <w:r w:rsidRPr="00EC20A0">
        <w:rPr>
          <w:sz w:val="18"/>
        </w:rPr>
        <w:t>standards,</w:t>
      </w:r>
      <w:r w:rsidRPr="00EC20A0">
        <w:rPr>
          <w:spacing w:val="-2"/>
          <w:sz w:val="18"/>
        </w:rPr>
        <w:t xml:space="preserve"> </w:t>
      </w:r>
      <w:r w:rsidRPr="00EC20A0">
        <w:rPr>
          <w:sz w:val="18"/>
        </w:rPr>
        <w:t>including</w:t>
      </w:r>
      <w:r w:rsidRPr="00EC20A0">
        <w:rPr>
          <w:spacing w:val="-4"/>
          <w:sz w:val="18"/>
        </w:rPr>
        <w:t xml:space="preserve"> </w:t>
      </w:r>
      <w:r w:rsidRPr="00EC20A0">
        <w:rPr>
          <w:sz w:val="18"/>
        </w:rPr>
        <w:t>AU-C</w:t>
      </w:r>
      <w:r w:rsidRPr="00EC20A0">
        <w:rPr>
          <w:spacing w:val="-2"/>
          <w:sz w:val="18"/>
        </w:rPr>
        <w:t xml:space="preserve"> </w:t>
      </w:r>
      <w:r w:rsidRPr="00EC20A0">
        <w:rPr>
          <w:spacing w:val="-4"/>
          <w:sz w:val="18"/>
        </w:rPr>
        <w:t>540,</w:t>
      </w:r>
    </w:p>
    <w:p w14:paraId="24D61C1F" w14:textId="77777777" w:rsidR="00245300" w:rsidRPr="00EC20A0" w:rsidRDefault="00F17249">
      <w:pPr>
        <w:spacing w:before="9"/>
        <w:ind w:left="200"/>
        <w:rPr>
          <w:sz w:val="18"/>
        </w:rPr>
      </w:pPr>
      <w:r w:rsidRPr="00EC20A0">
        <w:rPr>
          <w:i/>
          <w:sz w:val="18"/>
        </w:rPr>
        <w:t>Auditing</w:t>
      </w:r>
      <w:r w:rsidRPr="00EC20A0">
        <w:rPr>
          <w:i/>
          <w:spacing w:val="-5"/>
          <w:sz w:val="18"/>
        </w:rPr>
        <w:t xml:space="preserve"> </w:t>
      </w:r>
      <w:r w:rsidRPr="00EC20A0">
        <w:rPr>
          <w:i/>
          <w:sz w:val="18"/>
        </w:rPr>
        <w:t>Accounting</w:t>
      </w:r>
      <w:r w:rsidRPr="00EC20A0">
        <w:rPr>
          <w:i/>
          <w:spacing w:val="-4"/>
          <w:sz w:val="18"/>
        </w:rPr>
        <w:t xml:space="preserve"> </w:t>
      </w:r>
      <w:r w:rsidRPr="00EC20A0">
        <w:rPr>
          <w:i/>
          <w:sz w:val="18"/>
        </w:rPr>
        <w:t>Estimates</w:t>
      </w:r>
      <w:r w:rsidRPr="00EC20A0">
        <w:rPr>
          <w:i/>
          <w:spacing w:val="-4"/>
          <w:sz w:val="18"/>
        </w:rPr>
        <w:t xml:space="preserve"> </w:t>
      </w:r>
      <w:r w:rsidRPr="00EC20A0">
        <w:rPr>
          <w:i/>
          <w:sz w:val="18"/>
        </w:rPr>
        <w:t>and</w:t>
      </w:r>
      <w:r w:rsidRPr="00EC20A0">
        <w:rPr>
          <w:i/>
          <w:spacing w:val="-4"/>
          <w:sz w:val="18"/>
        </w:rPr>
        <w:t xml:space="preserve"> </w:t>
      </w:r>
      <w:r w:rsidRPr="00EC20A0">
        <w:rPr>
          <w:i/>
          <w:sz w:val="18"/>
        </w:rPr>
        <w:t>Related</w:t>
      </w:r>
      <w:r w:rsidRPr="00EC20A0">
        <w:rPr>
          <w:i/>
          <w:spacing w:val="-4"/>
          <w:sz w:val="18"/>
        </w:rPr>
        <w:t xml:space="preserve"> </w:t>
      </w:r>
      <w:r w:rsidRPr="00EC20A0">
        <w:rPr>
          <w:i/>
          <w:spacing w:val="-2"/>
          <w:sz w:val="18"/>
        </w:rPr>
        <w:t>Disclosures</w:t>
      </w:r>
      <w:r w:rsidRPr="00EC20A0">
        <w:rPr>
          <w:spacing w:val="-2"/>
          <w:sz w:val="18"/>
        </w:rPr>
        <w:t>.</w:t>
      </w:r>
    </w:p>
    <w:p w14:paraId="24D61C20" w14:textId="77777777" w:rsidR="00245300" w:rsidRPr="00EC20A0" w:rsidRDefault="00245300">
      <w:pPr>
        <w:rPr>
          <w:sz w:val="18"/>
        </w:rPr>
        <w:sectPr w:rsidR="00245300" w:rsidRPr="00EC20A0">
          <w:pgSz w:w="12240" w:h="15840"/>
          <w:pgMar w:top="1600" w:right="1100" w:bottom="940" w:left="1240" w:header="721" w:footer="757" w:gutter="0"/>
          <w:cols w:space="720"/>
        </w:sectPr>
      </w:pPr>
    </w:p>
    <w:p w14:paraId="24D61C21" w14:textId="77777777" w:rsidR="00245300" w:rsidRPr="00EC20A0" w:rsidRDefault="00F17249">
      <w:pPr>
        <w:pStyle w:val="BodyText"/>
        <w:spacing w:before="121"/>
        <w:ind w:left="1640" w:right="345"/>
      </w:pPr>
      <w:r w:rsidRPr="00EC20A0">
        <w:t xml:space="preserve">U.S. GAAP), and the entity’s internal control, the </w:t>
      </w:r>
      <w:r w:rsidRPr="00EC20A0">
        <w:t>auditor should obtain an understanding</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matters</w:t>
      </w:r>
      <w:r w:rsidRPr="00EC20A0">
        <w:rPr>
          <w:spacing w:val="-4"/>
        </w:rPr>
        <w:t xml:space="preserve"> </w:t>
      </w:r>
      <w:r w:rsidRPr="00EC20A0">
        <w:t>discussed</w:t>
      </w:r>
      <w:r w:rsidRPr="00EC20A0">
        <w:rPr>
          <w:spacing w:val="-4"/>
        </w:rPr>
        <w:t xml:space="preserve"> </w:t>
      </w:r>
      <w:r w:rsidRPr="00EC20A0">
        <w:t>in</w:t>
      </w:r>
      <w:r w:rsidRPr="00EC20A0">
        <w:rPr>
          <w:spacing w:val="-4"/>
        </w:rPr>
        <w:t xml:space="preserve"> </w:t>
      </w:r>
      <w:r w:rsidRPr="00EC20A0">
        <w:t>FAM</w:t>
      </w:r>
      <w:r w:rsidRPr="00EC20A0">
        <w:rPr>
          <w:spacing w:val="-5"/>
        </w:rPr>
        <w:t xml:space="preserve"> </w:t>
      </w:r>
      <w:r w:rsidRPr="00EC20A0">
        <w:t>220.14;</w:t>
      </w:r>
      <w:r w:rsidRPr="00EC20A0">
        <w:rPr>
          <w:spacing w:val="-4"/>
        </w:rPr>
        <w:t xml:space="preserve"> </w:t>
      </w:r>
      <w:r w:rsidRPr="00EC20A0">
        <w:t>260.10,</w:t>
      </w:r>
      <w:r w:rsidRPr="00EC20A0">
        <w:rPr>
          <w:spacing w:val="-4"/>
        </w:rPr>
        <w:t xml:space="preserve"> </w:t>
      </w:r>
      <w:r w:rsidRPr="00EC20A0">
        <w:t>.15,</w:t>
      </w:r>
      <w:r w:rsidRPr="00EC20A0">
        <w:rPr>
          <w:spacing w:val="-4"/>
        </w:rPr>
        <w:t xml:space="preserve"> </w:t>
      </w:r>
      <w:r w:rsidRPr="00EC20A0">
        <w:t>and</w:t>
      </w:r>
      <w:r w:rsidRPr="00EC20A0">
        <w:rPr>
          <w:spacing w:val="-3"/>
        </w:rPr>
        <w:t xml:space="preserve"> </w:t>
      </w:r>
      <w:r w:rsidRPr="00EC20A0">
        <w:t>.24;</w:t>
      </w:r>
      <w:r w:rsidRPr="00EC20A0">
        <w:rPr>
          <w:spacing w:val="-4"/>
        </w:rPr>
        <w:t xml:space="preserve"> </w:t>
      </w:r>
      <w:r w:rsidRPr="00EC20A0">
        <w:t>and</w:t>
      </w:r>
    </w:p>
    <w:p w14:paraId="24D61C22" w14:textId="77777777" w:rsidR="00245300" w:rsidRPr="00EC20A0" w:rsidRDefault="00F17249">
      <w:pPr>
        <w:pStyle w:val="BodyText"/>
        <w:ind w:left="1639" w:right="408"/>
      </w:pPr>
      <w:r w:rsidRPr="00EC20A0">
        <w:t>340.04 related to the entity’s accounting estimates in order to obtain audit evidence</w:t>
      </w:r>
      <w:r w:rsidRPr="00EC20A0">
        <w:rPr>
          <w:spacing w:val="-2"/>
        </w:rPr>
        <w:t xml:space="preserve"> </w:t>
      </w:r>
      <w:r w:rsidRPr="00EC20A0">
        <w:t>that</w:t>
      </w:r>
      <w:r w:rsidRPr="00EC20A0">
        <w:rPr>
          <w:spacing w:val="-2"/>
        </w:rPr>
        <w:t xml:space="preserve"> </w:t>
      </w:r>
      <w:r w:rsidRPr="00EC20A0">
        <w:t>provides</w:t>
      </w:r>
      <w:r w:rsidRPr="00EC20A0">
        <w:rPr>
          <w:spacing w:val="-3"/>
        </w:rPr>
        <w:t xml:space="preserve"> </w:t>
      </w:r>
      <w:r w:rsidRPr="00EC20A0">
        <w:t>an</w:t>
      </w:r>
      <w:r w:rsidRPr="00EC20A0">
        <w:rPr>
          <w:spacing w:val="-2"/>
        </w:rPr>
        <w:t xml:space="preserve"> </w:t>
      </w:r>
      <w:r w:rsidRPr="00EC20A0">
        <w:t>appropriate</w:t>
      </w:r>
      <w:r w:rsidRPr="00EC20A0">
        <w:rPr>
          <w:spacing w:val="-2"/>
        </w:rPr>
        <w:t xml:space="preserve"> </w:t>
      </w:r>
      <w:r w:rsidRPr="00EC20A0">
        <w:t>basis</w:t>
      </w:r>
      <w:r w:rsidRPr="00EC20A0">
        <w:rPr>
          <w:spacing w:val="-2"/>
        </w:rPr>
        <w:t xml:space="preserve"> </w:t>
      </w:r>
      <w:r w:rsidRPr="00EC20A0">
        <w:t>for</w:t>
      </w:r>
      <w:r w:rsidRPr="00EC20A0">
        <w:rPr>
          <w:spacing w:val="-3"/>
        </w:rPr>
        <w:t xml:space="preserve"> </w:t>
      </w:r>
      <w:r w:rsidRPr="00EC20A0">
        <w:t>identifying</w:t>
      </w:r>
      <w:r w:rsidRPr="00EC20A0">
        <w:rPr>
          <w:spacing w:val="-3"/>
        </w:rPr>
        <w:t xml:space="preserve"> </w:t>
      </w:r>
      <w:r w:rsidRPr="00EC20A0">
        <w:t>and</w:t>
      </w:r>
      <w:r w:rsidRPr="00EC20A0">
        <w:rPr>
          <w:spacing w:val="-2"/>
        </w:rPr>
        <w:t xml:space="preserve"> </w:t>
      </w:r>
      <w:r w:rsidRPr="00EC20A0">
        <w:t>assessing</w:t>
      </w:r>
      <w:r w:rsidRPr="00EC20A0">
        <w:rPr>
          <w:spacing w:val="-1"/>
        </w:rPr>
        <w:t xml:space="preserve"> </w:t>
      </w:r>
      <w:r w:rsidRPr="00EC20A0">
        <w:t>the risks</w:t>
      </w:r>
      <w:r w:rsidRPr="00EC20A0">
        <w:rPr>
          <w:spacing w:val="-8"/>
        </w:rPr>
        <w:t xml:space="preserve"> </w:t>
      </w:r>
      <w:r w:rsidRPr="00EC20A0">
        <w:t>of</w:t>
      </w:r>
      <w:r w:rsidRPr="00EC20A0">
        <w:rPr>
          <w:spacing w:val="-7"/>
        </w:rPr>
        <w:t xml:space="preserve"> </w:t>
      </w:r>
      <w:r w:rsidRPr="00EC20A0">
        <w:t>material</w:t>
      </w:r>
      <w:r w:rsidRPr="00EC20A0">
        <w:rPr>
          <w:spacing w:val="-7"/>
        </w:rPr>
        <w:t xml:space="preserve"> </w:t>
      </w:r>
      <w:r w:rsidRPr="00EC20A0">
        <w:t>misstatement</w:t>
      </w:r>
      <w:r w:rsidRPr="00EC20A0">
        <w:rPr>
          <w:spacing w:val="-7"/>
        </w:rPr>
        <w:t xml:space="preserve"> </w:t>
      </w:r>
      <w:r w:rsidRPr="00EC20A0">
        <w:t>at</w:t>
      </w:r>
      <w:r w:rsidRPr="00EC20A0">
        <w:rPr>
          <w:spacing w:val="-7"/>
        </w:rPr>
        <w:t xml:space="preserve"> </w:t>
      </w:r>
      <w:r w:rsidRPr="00EC20A0">
        <w:t>the</w:t>
      </w:r>
      <w:r w:rsidRPr="00EC20A0">
        <w:rPr>
          <w:spacing w:val="-7"/>
        </w:rPr>
        <w:t xml:space="preserve"> </w:t>
      </w:r>
      <w:r w:rsidRPr="00EC20A0">
        <w:t>financial</w:t>
      </w:r>
      <w:r w:rsidRPr="00EC20A0">
        <w:rPr>
          <w:spacing w:val="-8"/>
        </w:rPr>
        <w:t xml:space="preserve"> </w:t>
      </w:r>
      <w:r w:rsidRPr="00EC20A0">
        <w:t>statement</w:t>
      </w:r>
      <w:r w:rsidRPr="00EC20A0">
        <w:rPr>
          <w:spacing w:val="-7"/>
        </w:rPr>
        <w:t xml:space="preserve"> </w:t>
      </w:r>
      <w:r w:rsidRPr="00EC20A0">
        <w:t>and</w:t>
      </w:r>
      <w:r w:rsidRPr="00EC20A0">
        <w:rPr>
          <w:spacing w:val="-7"/>
        </w:rPr>
        <w:t xml:space="preserve"> </w:t>
      </w:r>
      <w:r w:rsidRPr="00EC20A0">
        <w:t>assertion</w:t>
      </w:r>
      <w:r w:rsidRPr="00EC20A0">
        <w:rPr>
          <w:spacing w:val="-7"/>
        </w:rPr>
        <w:t xml:space="preserve"> </w:t>
      </w:r>
      <w:r w:rsidRPr="00EC20A0">
        <w:rPr>
          <w:spacing w:val="-2"/>
        </w:rPr>
        <w:t>levels.</w:t>
      </w:r>
    </w:p>
    <w:p w14:paraId="24D61C23" w14:textId="77777777" w:rsidR="00245300" w:rsidRPr="00EC20A0" w:rsidRDefault="00F17249">
      <w:pPr>
        <w:pStyle w:val="ListParagraph"/>
        <w:numPr>
          <w:ilvl w:val="0"/>
          <w:numId w:val="1"/>
        </w:numPr>
        <w:tabs>
          <w:tab w:val="left" w:pos="1639"/>
        </w:tabs>
        <w:ind w:left="1639" w:right="639"/>
      </w:pPr>
      <w:r w:rsidRPr="00EC20A0">
        <w:t>In auditing the Statement of Social Insurance and the related Statement of Changes in Social Insurance Amounts, if the auditor has assessed management’s</w:t>
      </w:r>
      <w:r w:rsidRPr="00EC20A0">
        <w:rPr>
          <w:spacing w:val="-4"/>
        </w:rPr>
        <w:t xml:space="preserve"> </w:t>
      </w:r>
      <w:r w:rsidRPr="00EC20A0">
        <w:t>controls</w:t>
      </w:r>
      <w:r w:rsidRPr="00EC20A0">
        <w:rPr>
          <w:spacing w:val="-5"/>
        </w:rPr>
        <w:t xml:space="preserve"> </w:t>
      </w:r>
      <w:r w:rsidRPr="00EC20A0">
        <w:t>over</w:t>
      </w:r>
      <w:r w:rsidRPr="00EC20A0">
        <w:rPr>
          <w:spacing w:val="-4"/>
        </w:rPr>
        <w:t xml:space="preserve"> </w:t>
      </w:r>
      <w:r w:rsidRPr="00EC20A0">
        <w:t>the</w:t>
      </w:r>
      <w:r w:rsidRPr="00EC20A0">
        <w:rPr>
          <w:spacing w:val="-4"/>
        </w:rPr>
        <w:t xml:space="preserve"> </w:t>
      </w:r>
      <w:r w:rsidRPr="00EC20A0">
        <w:t>estimation</w:t>
      </w:r>
      <w:r w:rsidRPr="00EC20A0">
        <w:rPr>
          <w:spacing w:val="-4"/>
        </w:rPr>
        <w:t xml:space="preserve"> </w:t>
      </w:r>
      <w:r w:rsidRPr="00EC20A0">
        <w:t>process</w:t>
      </w:r>
      <w:r w:rsidRPr="00EC20A0">
        <w:rPr>
          <w:spacing w:val="-4"/>
        </w:rPr>
        <w:t xml:space="preserve"> </w:t>
      </w:r>
      <w:r w:rsidRPr="00EC20A0">
        <w:t>to</w:t>
      </w:r>
      <w:r w:rsidRPr="00EC20A0">
        <w:rPr>
          <w:spacing w:val="-4"/>
        </w:rPr>
        <w:t xml:space="preserve"> </w:t>
      </w:r>
      <w:r w:rsidRPr="00EC20A0">
        <w:t>be</w:t>
      </w:r>
      <w:r w:rsidRPr="00EC20A0">
        <w:rPr>
          <w:spacing w:val="-4"/>
        </w:rPr>
        <w:t xml:space="preserve"> </w:t>
      </w:r>
      <w:r w:rsidRPr="00EC20A0">
        <w:t>effective,</w:t>
      </w:r>
      <w:r w:rsidRPr="00EC20A0">
        <w:rPr>
          <w:spacing w:val="-4"/>
        </w:rPr>
        <w:t xml:space="preserve"> </w:t>
      </w:r>
      <w:r w:rsidRPr="00EC20A0">
        <w:t>the</w:t>
      </w:r>
      <w:r w:rsidRPr="00EC20A0">
        <w:rPr>
          <w:spacing w:val="-4"/>
        </w:rPr>
        <w:t xml:space="preserve"> </w:t>
      </w:r>
      <w:r w:rsidRPr="00EC20A0">
        <w:t>auditor may determine that the most practicable and efficient approach is to test management’s process. However, if the auditor finds that controls over the estimation process are ineffective, the auditor should consider whether it is practicable to take one of the following actions:</w:t>
      </w:r>
    </w:p>
    <w:p w14:paraId="24D61C24" w14:textId="77777777" w:rsidR="00245300" w:rsidRPr="00EC20A0" w:rsidRDefault="00F17249">
      <w:pPr>
        <w:pStyle w:val="ListParagraph"/>
        <w:numPr>
          <w:ilvl w:val="1"/>
          <w:numId w:val="1"/>
        </w:numPr>
        <w:tabs>
          <w:tab w:val="left" w:pos="1999"/>
        </w:tabs>
        <w:spacing w:before="239"/>
        <w:ind w:left="1999" w:right="938"/>
      </w:pPr>
      <w:r w:rsidRPr="00EC20A0">
        <w:t>Develop</w:t>
      </w:r>
      <w:r w:rsidRPr="00EC20A0">
        <w:rPr>
          <w:spacing w:val="-4"/>
        </w:rPr>
        <w:t xml:space="preserve"> </w:t>
      </w:r>
      <w:r w:rsidRPr="00EC20A0">
        <w:t>an</w:t>
      </w:r>
      <w:r w:rsidRPr="00EC20A0">
        <w:rPr>
          <w:spacing w:val="-4"/>
        </w:rPr>
        <w:t xml:space="preserve"> </w:t>
      </w:r>
      <w:r w:rsidRPr="00EC20A0">
        <w:t>independent</w:t>
      </w:r>
      <w:r w:rsidRPr="00EC20A0">
        <w:rPr>
          <w:spacing w:val="-5"/>
        </w:rPr>
        <w:t xml:space="preserve"> </w:t>
      </w:r>
      <w:r w:rsidRPr="00EC20A0">
        <w:t>expectation</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estimate,</w:t>
      </w:r>
      <w:r w:rsidRPr="00EC20A0">
        <w:rPr>
          <w:spacing w:val="-4"/>
        </w:rPr>
        <w:t xml:space="preserve"> </w:t>
      </w:r>
      <w:r w:rsidRPr="00EC20A0">
        <w:t>or</w:t>
      </w:r>
      <w:r w:rsidRPr="00EC20A0">
        <w:rPr>
          <w:spacing w:val="-4"/>
        </w:rPr>
        <w:t xml:space="preserve"> </w:t>
      </w:r>
      <w:r w:rsidRPr="00EC20A0">
        <w:t>portions</w:t>
      </w:r>
      <w:r w:rsidRPr="00EC20A0">
        <w:rPr>
          <w:spacing w:val="-4"/>
        </w:rPr>
        <w:t xml:space="preserve"> </w:t>
      </w:r>
      <w:r w:rsidRPr="00EC20A0">
        <w:t>of</w:t>
      </w:r>
      <w:r w:rsidRPr="00EC20A0">
        <w:rPr>
          <w:spacing w:val="-4"/>
        </w:rPr>
        <w:t xml:space="preserve"> </w:t>
      </w:r>
      <w:r w:rsidRPr="00EC20A0">
        <w:t>it,</w:t>
      </w:r>
      <w:r w:rsidRPr="00EC20A0">
        <w:rPr>
          <w:spacing w:val="-4"/>
        </w:rPr>
        <w:t xml:space="preserve"> </w:t>
      </w:r>
      <w:r w:rsidRPr="00EC20A0">
        <w:t>to corroborate the reasonableness of the estimate.</w:t>
      </w:r>
    </w:p>
    <w:p w14:paraId="24D61C25" w14:textId="77777777" w:rsidR="00245300" w:rsidRPr="00EC20A0" w:rsidRDefault="00F17249">
      <w:pPr>
        <w:pStyle w:val="ListParagraph"/>
        <w:numPr>
          <w:ilvl w:val="1"/>
          <w:numId w:val="1"/>
        </w:numPr>
        <w:tabs>
          <w:tab w:val="left" w:pos="1999"/>
        </w:tabs>
        <w:spacing w:before="241"/>
        <w:ind w:left="1999" w:right="767"/>
      </w:pPr>
      <w:r w:rsidRPr="00EC20A0">
        <w:t>Obtain</w:t>
      </w:r>
      <w:r w:rsidRPr="00EC20A0">
        <w:rPr>
          <w:spacing w:val="-2"/>
        </w:rPr>
        <w:t xml:space="preserve"> </w:t>
      </w:r>
      <w:r w:rsidRPr="00EC20A0">
        <w:t>competent</w:t>
      </w:r>
      <w:r w:rsidRPr="00EC20A0">
        <w:rPr>
          <w:spacing w:val="-2"/>
        </w:rPr>
        <w:t xml:space="preserve"> </w:t>
      </w:r>
      <w:r w:rsidRPr="00EC20A0">
        <w:t>evidence</w:t>
      </w:r>
      <w:r w:rsidRPr="00EC20A0">
        <w:rPr>
          <w:spacing w:val="-2"/>
        </w:rPr>
        <w:t xml:space="preserve"> </w:t>
      </w:r>
      <w:r w:rsidRPr="00EC20A0">
        <w:t>from</w:t>
      </w:r>
      <w:r w:rsidRPr="00EC20A0">
        <w:rPr>
          <w:spacing w:val="-3"/>
        </w:rPr>
        <w:t xml:space="preserve"> </w:t>
      </w:r>
      <w:r w:rsidRPr="00EC20A0">
        <w:t>outside</w:t>
      </w:r>
      <w:r w:rsidRPr="00EC20A0">
        <w:rPr>
          <w:spacing w:val="-2"/>
        </w:rPr>
        <w:t xml:space="preserve"> </w:t>
      </w:r>
      <w:r w:rsidRPr="00EC20A0">
        <w:t>the</w:t>
      </w:r>
      <w:r w:rsidRPr="00EC20A0">
        <w:rPr>
          <w:spacing w:val="-2"/>
        </w:rPr>
        <w:t xml:space="preserve"> </w:t>
      </w:r>
      <w:r w:rsidRPr="00EC20A0">
        <w:t>audited</w:t>
      </w:r>
      <w:r w:rsidRPr="00EC20A0">
        <w:rPr>
          <w:spacing w:val="-2"/>
        </w:rPr>
        <w:t xml:space="preserve"> </w:t>
      </w:r>
      <w:r w:rsidRPr="00EC20A0">
        <w:t>entity’s</w:t>
      </w:r>
      <w:r w:rsidRPr="00EC20A0">
        <w:rPr>
          <w:spacing w:val="-3"/>
        </w:rPr>
        <w:t xml:space="preserve"> </w:t>
      </w:r>
      <w:r w:rsidRPr="00EC20A0">
        <w:t>process</w:t>
      </w:r>
      <w:r w:rsidRPr="00EC20A0">
        <w:rPr>
          <w:spacing w:val="-2"/>
        </w:rPr>
        <w:t xml:space="preserve"> </w:t>
      </w:r>
      <w:r w:rsidRPr="00EC20A0">
        <w:t>that would be sufficient to support the assertions in the Statement of Social Insurance</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related</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Social Insurance Amounts.</w:t>
      </w:r>
    </w:p>
    <w:p w14:paraId="24D61C26" w14:textId="77777777" w:rsidR="00245300" w:rsidRPr="00EC20A0" w:rsidRDefault="00F17249">
      <w:pPr>
        <w:pStyle w:val="BodyText"/>
        <w:spacing w:before="239"/>
        <w:ind w:left="1639" w:right="345"/>
      </w:pPr>
      <w:r w:rsidRPr="00EC20A0">
        <w:t xml:space="preserve">If it is not practicable to mitigate the effects of the ineffective </w:t>
      </w:r>
      <w:r w:rsidRPr="00EC20A0">
        <w:t>controls through substantive</w:t>
      </w:r>
      <w:r w:rsidRPr="00EC20A0">
        <w:rPr>
          <w:spacing w:val="-5"/>
        </w:rPr>
        <w:t xml:space="preserve"> </w:t>
      </w:r>
      <w:r w:rsidRPr="00EC20A0">
        <w:t>procedures</w:t>
      </w:r>
      <w:r w:rsidRPr="00EC20A0">
        <w:rPr>
          <w:spacing w:val="-5"/>
        </w:rPr>
        <w:t xml:space="preserve"> </w:t>
      </w:r>
      <w:r w:rsidRPr="00EC20A0">
        <w:t>such</w:t>
      </w:r>
      <w:r w:rsidRPr="00EC20A0">
        <w:rPr>
          <w:spacing w:val="-4"/>
        </w:rPr>
        <w:t xml:space="preserve"> </w:t>
      </w:r>
      <w:r w:rsidRPr="00EC20A0">
        <w:t>as</w:t>
      </w:r>
      <w:r w:rsidRPr="00EC20A0">
        <w:rPr>
          <w:spacing w:val="-4"/>
        </w:rPr>
        <w:t xml:space="preserve"> </w:t>
      </w:r>
      <w:r w:rsidRPr="00EC20A0">
        <w:t>these,</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Statement</w:t>
      </w:r>
      <w:r w:rsidRPr="00EC20A0">
        <w:rPr>
          <w:spacing w:val="-4"/>
        </w:rPr>
        <w:t xml:space="preserve"> </w:t>
      </w:r>
      <w:r w:rsidRPr="00EC20A0">
        <w:t>of Social Insurance and the related Statement of Changes in Social Insurance Amounts should be modified (SOP 04-1, para. 9).</w:t>
      </w:r>
    </w:p>
    <w:p w14:paraId="24D61C27" w14:textId="77777777" w:rsidR="00245300" w:rsidRPr="00EC20A0" w:rsidRDefault="00F17249">
      <w:pPr>
        <w:pStyle w:val="ListParagraph"/>
        <w:numPr>
          <w:ilvl w:val="0"/>
          <w:numId w:val="78"/>
        </w:numPr>
        <w:tabs>
          <w:tab w:val="left" w:pos="1639"/>
        </w:tabs>
        <w:spacing w:before="241"/>
        <w:ind w:right="370"/>
      </w:pPr>
      <w:r w:rsidRPr="00EC20A0">
        <w:t>The auditor’s objective when auditing the Statement of Social Insurance and the related</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Amounts</w:t>
      </w:r>
      <w:r w:rsidRPr="00EC20A0">
        <w:rPr>
          <w:spacing w:val="-4"/>
        </w:rPr>
        <w:t xml:space="preserve"> </w:t>
      </w:r>
      <w:r w:rsidRPr="00EC20A0">
        <w:t>is</w:t>
      </w:r>
      <w:r w:rsidRPr="00EC20A0">
        <w:rPr>
          <w:spacing w:val="-4"/>
        </w:rPr>
        <w:t xml:space="preserve"> </w:t>
      </w:r>
      <w:r w:rsidRPr="00EC20A0">
        <w:t>to</w:t>
      </w:r>
      <w:r w:rsidRPr="00EC20A0">
        <w:rPr>
          <w:spacing w:val="-4"/>
        </w:rPr>
        <w:t xml:space="preserve"> </w:t>
      </w:r>
      <w:r w:rsidRPr="00EC20A0">
        <w:t>obtain</w:t>
      </w:r>
      <w:r w:rsidRPr="00EC20A0">
        <w:rPr>
          <w:spacing w:val="-5"/>
        </w:rPr>
        <w:t xml:space="preserve"> </w:t>
      </w:r>
      <w:r w:rsidRPr="00EC20A0">
        <w:t>sufficient, competent evidential matter to provide reasonable assurance that</w:t>
      </w:r>
    </w:p>
    <w:p w14:paraId="24D61C28" w14:textId="77777777" w:rsidR="00245300" w:rsidRPr="00EC20A0" w:rsidRDefault="00F17249">
      <w:pPr>
        <w:pStyle w:val="ListParagraph"/>
        <w:numPr>
          <w:ilvl w:val="1"/>
          <w:numId w:val="78"/>
        </w:numPr>
        <w:tabs>
          <w:tab w:val="left" w:pos="1999"/>
        </w:tabs>
        <w:spacing w:before="120"/>
        <w:ind w:right="1564"/>
      </w:pPr>
      <w:r w:rsidRPr="00EC20A0">
        <w:t>the</w:t>
      </w:r>
      <w:r w:rsidRPr="00EC20A0">
        <w:rPr>
          <w:spacing w:val="-5"/>
        </w:rPr>
        <w:t xml:space="preserve"> </w:t>
      </w:r>
      <w:r w:rsidRPr="00EC20A0">
        <w:t>estimates</w:t>
      </w:r>
      <w:r w:rsidRPr="00EC20A0">
        <w:rPr>
          <w:spacing w:val="-5"/>
        </w:rPr>
        <w:t xml:space="preserve"> </w:t>
      </w:r>
      <w:r w:rsidRPr="00EC20A0">
        <w:t>presented</w:t>
      </w:r>
      <w:r w:rsidRPr="00EC20A0">
        <w:rPr>
          <w:spacing w:val="-6"/>
        </w:rPr>
        <w:t xml:space="preserve"> </w:t>
      </w:r>
      <w:r w:rsidRPr="00EC20A0">
        <w:t>in</w:t>
      </w:r>
      <w:r w:rsidRPr="00EC20A0">
        <w:rPr>
          <w:spacing w:val="-5"/>
        </w:rPr>
        <w:t xml:space="preserve"> </w:t>
      </w:r>
      <w:r w:rsidRPr="00EC20A0">
        <w:t>both</w:t>
      </w:r>
      <w:r w:rsidRPr="00EC20A0">
        <w:rPr>
          <w:spacing w:val="-5"/>
        </w:rPr>
        <w:t xml:space="preserve"> </w:t>
      </w:r>
      <w:r w:rsidRPr="00EC20A0">
        <w:t>statements</w:t>
      </w:r>
      <w:r w:rsidRPr="00EC20A0">
        <w:rPr>
          <w:spacing w:val="-5"/>
        </w:rPr>
        <w:t xml:space="preserve"> </w:t>
      </w:r>
      <w:r w:rsidRPr="00EC20A0">
        <w:t>are</w:t>
      </w:r>
      <w:r w:rsidRPr="00EC20A0">
        <w:rPr>
          <w:spacing w:val="-5"/>
        </w:rPr>
        <w:t xml:space="preserve"> </w:t>
      </w:r>
      <w:r w:rsidRPr="00EC20A0">
        <w:t>reasonable</w:t>
      </w:r>
      <w:r w:rsidRPr="00EC20A0">
        <w:rPr>
          <w:spacing w:val="-5"/>
        </w:rPr>
        <w:t xml:space="preserve"> </w:t>
      </w:r>
      <w:r w:rsidRPr="00EC20A0">
        <w:t>in</w:t>
      </w:r>
      <w:r w:rsidRPr="00EC20A0">
        <w:rPr>
          <w:spacing w:val="-5"/>
        </w:rPr>
        <w:t xml:space="preserve"> </w:t>
      </w:r>
      <w:r w:rsidRPr="00EC20A0">
        <w:t xml:space="preserve">the </w:t>
      </w:r>
      <w:r w:rsidRPr="00EC20A0">
        <w:t>circumstances and</w:t>
      </w:r>
    </w:p>
    <w:p w14:paraId="24D61C29" w14:textId="77777777" w:rsidR="00245300" w:rsidRPr="00EC20A0" w:rsidRDefault="00F17249">
      <w:pPr>
        <w:pStyle w:val="ListParagraph"/>
        <w:numPr>
          <w:ilvl w:val="1"/>
          <w:numId w:val="78"/>
        </w:numPr>
        <w:tabs>
          <w:tab w:val="left" w:pos="1999"/>
        </w:tabs>
        <w:spacing w:before="120"/>
        <w:ind w:right="585"/>
      </w:pPr>
      <w:r w:rsidRPr="00EC20A0">
        <w:t>the</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related</w:t>
      </w:r>
      <w:r w:rsidRPr="00EC20A0">
        <w:rPr>
          <w:spacing w:val="-5"/>
        </w:rPr>
        <w:t xml:space="preserve"> </w:t>
      </w:r>
      <w:r w:rsidRPr="00EC20A0">
        <w:t>Statement</w:t>
      </w:r>
      <w:r w:rsidRPr="00EC20A0">
        <w:rPr>
          <w:spacing w:val="-4"/>
        </w:rPr>
        <w:t xml:space="preserve"> </w:t>
      </w:r>
      <w:r w:rsidRPr="00EC20A0">
        <w:t>of</w:t>
      </w:r>
      <w:r w:rsidRPr="00EC20A0">
        <w:rPr>
          <w:spacing w:val="-4"/>
        </w:rPr>
        <w:t xml:space="preserve"> </w:t>
      </w:r>
      <w:r w:rsidRPr="00EC20A0">
        <w:t>Changes</w:t>
      </w:r>
      <w:r w:rsidRPr="00EC20A0">
        <w:rPr>
          <w:spacing w:val="-4"/>
        </w:rPr>
        <w:t xml:space="preserve"> </w:t>
      </w:r>
      <w:r w:rsidRPr="00EC20A0">
        <w:t>in Social Insurance Amounts are presented fairly, in all material respects, in conformity with U.S. GAAP, including adequate disclosure.</w:t>
      </w:r>
    </w:p>
    <w:p w14:paraId="24D61C2A" w14:textId="77777777" w:rsidR="00245300" w:rsidRPr="00EC20A0" w:rsidRDefault="00F17249">
      <w:pPr>
        <w:pStyle w:val="ListParagraph"/>
        <w:numPr>
          <w:ilvl w:val="0"/>
          <w:numId w:val="78"/>
        </w:numPr>
        <w:tabs>
          <w:tab w:val="left" w:pos="1639"/>
        </w:tabs>
        <w:spacing w:before="239"/>
        <w:ind w:right="557"/>
      </w:pPr>
      <w:r w:rsidRPr="00EC20A0">
        <w:t xml:space="preserve">If the auditor does not </w:t>
      </w:r>
      <w:r w:rsidRPr="00EC20A0">
        <w:t>possess the level of competence in actuarial science to qualify as an actuary, the auditor generally should obtain the services of an independent actuary to assist the auditor in planning and performing auditing procedures.</w:t>
      </w:r>
      <w:hyperlink w:anchor="_bookmark201" w:history="1">
        <w:r w:rsidRPr="00EC20A0">
          <w:rPr>
            <w:position w:val="7"/>
            <w:sz w:val="14"/>
          </w:rPr>
          <w:t>43</w:t>
        </w:r>
      </w:hyperlink>
      <w:r w:rsidRPr="00EC20A0">
        <w:rPr>
          <w:spacing w:val="18"/>
          <w:position w:val="7"/>
          <w:sz w:val="14"/>
        </w:rPr>
        <w:t xml:space="preserve"> </w:t>
      </w:r>
      <w:r w:rsidRPr="00EC20A0">
        <w:t>Generally,</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will</w:t>
      </w:r>
      <w:r w:rsidRPr="00EC20A0">
        <w:rPr>
          <w:spacing w:val="-3"/>
        </w:rPr>
        <w:t xml:space="preserve"> </w:t>
      </w:r>
      <w:r w:rsidRPr="00EC20A0">
        <w:t>need</w:t>
      </w:r>
      <w:r w:rsidRPr="00EC20A0">
        <w:rPr>
          <w:spacing w:val="-3"/>
        </w:rPr>
        <w:t xml:space="preserve"> </w:t>
      </w:r>
      <w:r w:rsidRPr="00EC20A0">
        <w:t>the</w:t>
      </w:r>
      <w:r w:rsidRPr="00EC20A0">
        <w:rPr>
          <w:spacing w:val="-4"/>
        </w:rPr>
        <w:t xml:space="preserve"> </w:t>
      </w:r>
      <w:r w:rsidRPr="00EC20A0">
        <w:t>assistance</w:t>
      </w:r>
      <w:r w:rsidRPr="00EC20A0">
        <w:rPr>
          <w:spacing w:val="-3"/>
        </w:rPr>
        <w:t xml:space="preserve"> </w:t>
      </w:r>
      <w:r w:rsidRPr="00EC20A0">
        <w:t>of</w:t>
      </w:r>
      <w:r w:rsidRPr="00EC20A0">
        <w:rPr>
          <w:spacing w:val="-3"/>
        </w:rPr>
        <w:t xml:space="preserve"> </w:t>
      </w:r>
      <w:r w:rsidRPr="00EC20A0">
        <w:t>an</w:t>
      </w:r>
      <w:r w:rsidRPr="00EC20A0">
        <w:rPr>
          <w:spacing w:val="-3"/>
        </w:rPr>
        <w:t xml:space="preserve"> </w:t>
      </w:r>
      <w:r w:rsidRPr="00EC20A0">
        <w:t>independent</w:t>
      </w:r>
    </w:p>
    <w:p w14:paraId="24D61C2B" w14:textId="77777777" w:rsidR="00245300" w:rsidRPr="00EC20A0" w:rsidRDefault="00245300">
      <w:pPr>
        <w:pStyle w:val="BodyText"/>
        <w:rPr>
          <w:sz w:val="20"/>
        </w:rPr>
      </w:pPr>
    </w:p>
    <w:p w14:paraId="24D61C2C" w14:textId="77777777" w:rsidR="00245300" w:rsidRPr="00EC20A0" w:rsidRDefault="00245300">
      <w:pPr>
        <w:pStyle w:val="BodyText"/>
        <w:rPr>
          <w:sz w:val="20"/>
        </w:rPr>
      </w:pPr>
    </w:p>
    <w:p w14:paraId="24D61C2D" w14:textId="77777777" w:rsidR="00245300" w:rsidRPr="00EC20A0" w:rsidRDefault="00245300">
      <w:pPr>
        <w:pStyle w:val="BodyText"/>
        <w:rPr>
          <w:sz w:val="20"/>
        </w:rPr>
      </w:pPr>
    </w:p>
    <w:p w14:paraId="24D61C2E" w14:textId="77777777" w:rsidR="00245300" w:rsidRPr="00EC20A0" w:rsidRDefault="00245300">
      <w:pPr>
        <w:pStyle w:val="BodyText"/>
        <w:rPr>
          <w:sz w:val="20"/>
        </w:rPr>
      </w:pPr>
    </w:p>
    <w:p w14:paraId="24D61C2F" w14:textId="77777777" w:rsidR="00245300" w:rsidRPr="00EC20A0" w:rsidRDefault="00245300">
      <w:pPr>
        <w:pStyle w:val="BodyText"/>
        <w:rPr>
          <w:sz w:val="20"/>
        </w:rPr>
      </w:pPr>
    </w:p>
    <w:p w14:paraId="24D61C30" w14:textId="77777777" w:rsidR="00245300" w:rsidRPr="00EC20A0" w:rsidRDefault="00F17249">
      <w:pPr>
        <w:pStyle w:val="BodyText"/>
        <w:spacing w:before="70"/>
        <w:rPr>
          <w:sz w:val="20"/>
        </w:rPr>
      </w:pPr>
      <w:r w:rsidRPr="00EC20A0">
        <w:rPr>
          <w:noProof/>
        </w:rPr>
        <mc:AlternateContent>
          <mc:Choice Requires="wps">
            <w:drawing>
              <wp:anchor distT="0" distB="0" distL="0" distR="0" simplePos="0" relativeHeight="487719424" behindDoc="1" locked="0" layoutInCell="1" allowOverlap="1" wp14:anchorId="24D62CB7" wp14:editId="24D62CB8">
                <wp:simplePos x="0" y="0"/>
                <wp:positionH relativeFrom="page">
                  <wp:posOffset>914400</wp:posOffset>
                </wp:positionH>
                <wp:positionV relativeFrom="paragraph">
                  <wp:posOffset>205770</wp:posOffset>
                </wp:positionV>
                <wp:extent cx="1828800" cy="5715"/>
                <wp:effectExtent l="0" t="0" r="0" b="0"/>
                <wp:wrapTopAndBottom/>
                <wp:docPr id="885" name="Graphic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6666DA" id="Graphic 885" o:spid="_x0000_s1026" style="position:absolute;margin-left:1in;margin-top:16.2pt;width:2in;height:.45pt;z-index:-1559705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" path="m1828800,l,,,5321r1828800,l1828800,xe" fillcolor="black" stroked="f">
                <v:path arrowok="t"/>
                <w10:wrap type="topAndBottom" anchorx="page"/>
              </v:shape>
            </w:pict>
          </mc:Fallback>
        </mc:AlternateContent>
      </w:r>
    </w:p>
    <w:p w14:paraId="24D61C31" w14:textId="77777777" w:rsidR="00245300" w:rsidRPr="00EC20A0" w:rsidRDefault="00F17249">
      <w:pPr>
        <w:spacing w:before="202" w:line="242" w:lineRule="auto"/>
        <w:ind w:left="199" w:right="337"/>
        <w:rPr>
          <w:sz w:val="18"/>
        </w:rPr>
      </w:pPr>
      <w:bookmarkStart w:id="350" w:name="_bookmark201"/>
      <w:bookmarkEnd w:id="350"/>
      <w:r w:rsidRPr="00EC20A0">
        <w:rPr>
          <w:position w:val="7"/>
          <w:sz w:val="14"/>
        </w:rPr>
        <w:t>43</w:t>
      </w:r>
      <w:r w:rsidRPr="00EC20A0">
        <w:rPr>
          <w:sz w:val="18"/>
        </w:rPr>
        <w:t>The actuary can either be under contract with the independent auditor or employed by the independent audit organization. In either case, the actuary performing services for the auditor would need to meet the independence standards</w:t>
      </w:r>
      <w:r w:rsidRPr="00EC20A0">
        <w:rPr>
          <w:spacing w:val="-2"/>
          <w:sz w:val="18"/>
        </w:rPr>
        <w:t xml:space="preserve"> </w:t>
      </w:r>
      <w:r w:rsidRPr="00EC20A0">
        <w:rPr>
          <w:sz w:val="18"/>
        </w:rPr>
        <w:t>of</w:t>
      </w:r>
      <w:r w:rsidRPr="00EC20A0">
        <w:rPr>
          <w:spacing w:val="-2"/>
          <w:sz w:val="18"/>
        </w:rPr>
        <w:t xml:space="preserve"> </w:t>
      </w:r>
      <w:r w:rsidRPr="00EC20A0">
        <w:rPr>
          <w:sz w:val="18"/>
        </w:rPr>
        <w:t>GAGAS,</w:t>
      </w:r>
      <w:r w:rsidRPr="00EC20A0">
        <w:rPr>
          <w:spacing w:val="-2"/>
          <w:sz w:val="18"/>
        </w:rPr>
        <w:t xml:space="preserve"> </w:t>
      </w:r>
      <w:r w:rsidRPr="00EC20A0">
        <w:rPr>
          <w:sz w:val="18"/>
        </w:rPr>
        <w:t>which</w:t>
      </w:r>
      <w:r w:rsidRPr="00EC20A0">
        <w:rPr>
          <w:spacing w:val="-3"/>
          <w:sz w:val="18"/>
        </w:rPr>
        <w:t xml:space="preserve"> </w:t>
      </w:r>
      <w:r w:rsidRPr="00EC20A0">
        <w:rPr>
          <w:sz w:val="18"/>
        </w:rPr>
        <w:t>are</w:t>
      </w:r>
      <w:r w:rsidRPr="00EC20A0">
        <w:rPr>
          <w:spacing w:val="-3"/>
          <w:sz w:val="18"/>
        </w:rPr>
        <w:t xml:space="preserve"> </w:t>
      </w:r>
      <w:r w:rsidRPr="00EC20A0">
        <w:rPr>
          <w:sz w:val="18"/>
        </w:rPr>
        <w:t>applicable</w:t>
      </w:r>
      <w:r w:rsidRPr="00EC20A0">
        <w:rPr>
          <w:spacing w:val="-3"/>
          <w:sz w:val="18"/>
        </w:rPr>
        <w:t xml:space="preserve"> </w:t>
      </w:r>
      <w:r w:rsidRPr="00EC20A0">
        <w:rPr>
          <w:sz w:val="18"/>
        </w:rPr>
        <w:t>to</w:t>
      </w:r>
      <w:r w:rsidRPr="00EC20A0">
        <w:rPr>
          <w:spacing w:val="-3"/>
          <w:sz w:val="18"/>
        </w:rPr>
        <w:t xml:space="preserve"> </w:t>
      </w:r>
      <w:r w:rsidRPr="00EC20A0">
        <w:rPr>
          <w:sz w:val="18"/>
        </w:rPr>
        <w:t>audits</w:t>
      </w:r>
      <w:r w:rsidRPr="00EC20A0">
        <w:rPr>
          <w:spacing w:val="-2"/>
          <w:sz w:val="18"/>
        </w:rPr>
        <w:t xml:space="preserve"> </w:t>
      </w:r>
      <w:r w:rsidRPr="00EC20A0">
        <w:rPr>
          <w:sz w:val="18"/>
        </w:rPr>
        <w:t>of</w:t>
      </w:r>
      <w:r w:rsidRPr="00EC20A0">
        <w:rPr>
          <w:spacing w:val="-2"/>
          <w:sz w:val="18"/>
        </w:rPr>
        <w:t xml:space="preserve"> </w:t>
      </w:r>
      <w:r w:rsidRPr="00EC20A0">
        <w:rPr>
          <w:sz w:val="18"/>
        </w:rPr>
        <w:t>Statements</w:t>
      </w:r>
      <w:r w:rsidRPr="00EC20A0">
        <w:rPr>
          <w:spacing w:val="-2"/>
          <w:sz w:val="18"/>
        </w:rPr>
        <w:t xml:space="preserve"> </w:t>
      </w:r>
      <w:r w:rsidRPr="00EC20A0">
        <w:rPr>
          <w:sz w:val="18"/>
        </w:rPr>
        <w:t>of</w:t>
      </w:r>
      <w:r w:rsidRPr="00EC20A0">
        <w:rPr>
          <w:spacing w:val="-2"/>
          <w:sz w:val="18"/>
        </w:rPr>
        <w:t xml:space="preserve"> </w:t>
      </w:r>
      <w:r w:rsidRPr="00EC20A0">
        <w:rPr>
          <w:sz w:val="18"/>
        </w:rPr>
        <w:t>Social</w:t>
      </w:r>
      <w:r w:rsidRPr="00EC20A0">
        <w:rPr>
          <w:spacing w:val="-2"/>
          <w:sz w:val="18"/>
        </w:rPr>
        <w:t xml:space="preserve"> </w:t>
      </w:r>
      <w:r w:rsidRPr="00EC20A0">
        <w:rPr>
          <w:sz w:val="18"/>
        </w:rPr>
        <w:t>Insurance</w:t>
      </w:r>
      <w:r w:rsidRPr="00EC20A0">
        <w:rPr>
          <w:spacing w:val="-3"/>
          <w:sz w:val="18"/>
        </w:rPr>
        <w:t xml:space="preserve"> </w:t>
      </w:r>
      <w:r w:rsidRPr="00EC20A0">
        <w:rPr>
          <w:sz w:val="18"/>
        </w:rPr>
        <w:t>and</w:t>
      </w:r>
      <w:r w:rsidRPr="00EC20A0">
        <w:rPr>
          <w:spacing w:val="-3"/>
          <w:sz w:val="18"/>
        </w:rPr>
        <w:t xml:space="preserve"> </w:t>
      </w:r>
      <w:r w:rsidRPr="00EC20A0">
        <w:rPr>
          <w:sz w:val="18"/>
        </w:rPr>
        <w:t>Statements</w:t>
      </w:r>
      <w:r w:rsidRPr="00EC20A0">
        <w:rPr>
          <w:spacing w:val="-2"/>
          <w:sz w:val="18"/>
        </w:rPr>
        <w:t xml:space="preserve"> </w:t>
      </w:r>
      <w:r w:rsidRPr="00EC20A0">
        <w:rPr>
          <w:sz w:val="18"/>
        </w:rPr>
        <w:t>of</w:t>
      </w:r>
      <w:r w:rsidRPr="00EC20A0">
        <w:rPr>
          <w:spacing w:val="-2"/>
          <w:sz w:val="18"/>
        </w:rPr>
        <w:t xml:space="preserve"> </w:t>
      </w:r>
      <w:r w:rsidRPr="00EC20A0">
        <w:rPr>
          <w:sz w:val="18"/>
        </w:rPr>
        <w:t>Changes</w:t>
      </w:r>
      <w:r w:rsidRPr="00EC20A0">
        <w:rPr>
          <w:spacing w:val="-2"/>
          <w:sz w:val="18"/>
        </w:rPr>
        <w:t xml:space="preserve"> </w:t>
      </w:r>
      <w:r w:rsidRPr="00EC20A0">
        <w:rPr>
          <w:sz w:val="18"/>
        </w:rPr>
        <w:t>in Social Insurance Amounts.</w:t>
      </w:r>
    </w:p>
    <w:p w14:paraId="24D61C32" w14:textId="77777777" w:rsidR="00245300" w:rsidRPr="00EC20A0" w:rsidRDefault="00245300">
      <w:pPr>
        <w:spacing w:line="242" w:lineRule="auto"/>
        <w:rPr>
          <w:sz w:val="18"/>
        </w:rPr>
        <w:sectPr w:rsidR="00245300" w:rsidRPr="00EC20A0">
          <w:pgSz w:w="12240" w:h="15840"/>
          <w:pgMar w:top="1600" w:right="1100" w:bottom="940" w:left="1240" w:header="721" w:footer="757" w:gutter="0"/>
          <w:cols w:space="720"/>
        </w:sectPr>
      </w:pPr>
    </w:p>
    <w:p w14:paraId="24D61C33" w14:textId="77777777" w:rsidR="00245300" w:rsidRPr="00EC20A0" w:rsidRDefault="00F17249">
      <w:pPr>
        <w:pStyle w:val="BodyText"/>
        <w:spacing w:before="121"/>
        <w:ind w:left="1640" w:right="408"/>
        <w:rPr>
          <w:sz w:val="14"/>
        </w:rPr>
      </w:pPr>
      <w:r w:rsidRPr="00EC20A0">
        <w:t>actuary</w:t>
      </w:r>
      <w:r w:rsidRPr="00EC20A0">
        <w:rPr>
          <w:spacing w:val="-4"/>
        </w:rPr>
        <w:t xml:space="preserve"> </w:t>
      </w:r>
      <w:r w:rsidRPr="00EC20A0">
        <w:t>in</w:t>
      </w:r>
      <w:r w:rsidRPr="00EC20A0">
        <w:rPr>
          <w:spacing w:val="-4"/>
        </w:rPr>
        <w:t xml:space="preserve"> </w:t>
      </w:r>
      <w:r w:rsidRPr="00EC20A0">
        <w:t>performing</w:t>
      </w:r>
      <w:r w:rsidRPr="00EC20A0">
        <w:rPr>
          <w:spacing w:val="-4"/>
        </w:rPr>
        <w:t xml:space="preserve"> </w:t>
      </w:r>
      <w:r w:rsidRPr="00EC20A0">
        <w:t>various</w:t>
      </w:r>
      <w:r w:rsidRPr="00EC20A0">
        <w:rPr>
          <w:spacing w:val="-4"/>
        </w:rPr>
        <w:t xml:space="preserve"> </w:t>
      </w:r>
      <w:r w:rsidRPr="00EC20A0">
        <w:t>procedures</w:t>
      </w:r>
      <w:r w:rsidRPr="00EC20A0">
        <w:rPr>
          <w:spacing w:val="-4"/>
        </w:rPr>
        <w:t xml:space="preserve"> </w:t>
      </w:r>
      <w:r w:rsidRPr="00EC20A0">
        <w:t>during</w:t>
      </w:r>
      <w:r w:rsidRPr="00EC20A0">
        <w:rPr>
          <w:spacing w:val="-5"/>
        </w:rPr>
        <w:t xml:space="preserve"> </w:t>
      </w:r>
      <w:r w:rsidRPr="00EC20A0">
        <w:t>all</w:t>
      </w:r>
      <w:r w:rsidRPr="00EC20A0">
        <w:rPr>
          <w:spacing w:val="-4"/>
        </w:rPr>
        <w:t xml:space="preserve"> </w:t>
      </w:r>
      <w:r w:rsidRPr="00EC20A0">
        <w:t>phases</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and related to all elements of the estimates.</w:t>
      </w:r>
      <w:hyperlink w:anchor="_bookmark202" w:history="1">
        <w:r w:rsidRPr="00EC20A0">
          <w:rPr>
            <w:position w:val="7"/>
            <w:sz w:val="14"/>
          </w:rPr>
          <w:t>44</w:t>
        </w:r>
      </w:hyperlink>
    </w:p>
    <w:p w14:paraId="24D61C34" w14:textId="77777777" w:rsidR="00245300" w:rsidRPr="00EC20A0" w:rsidRDefault="00245300">
      <w:pPr>
        <w:pStyle w:val="BodyText"/>
        <w:spacing w:before="46"/>
      </w:pPr>
    </w:p>
    <w:p w14:paraId="24D61C35" w14:textId="77777777" w:rsidR="00245300" w:rsidRPr="00EC20A0" w:rsidRDefault="00F17249">
      <w:pPr>
        <w:pStyle w:val="Heading4"/>
        <w:spacing w:before="0"/>
        <w:ind w:left="200"/>
      </w:pPr>
      <w:bookmarkStart w:id="351" w:name="Key_Implementation_Issues"/>
      <w:bookmarkEnd w:id="351"/>
      <w:r w:rsidRPr="00EC20A0">
        <w:t>Key</w:t>
      </w:r>
      <w:r w:rsidRPr="00EC20A0">
        <w:rPr>
          <w:spacing w:val="-17"/>
        </w:rPr>
        <w:t xml:space="preserve"> </w:t>
      </w:r>
      <w:r w:rsidRPr="00EC20A0">
        <w:t>Implementation</w:t>
      </w:r>
      <w:r w:rsidRPr="00EC20A0">
        <w:rPr>
          <w:spacing w:val="-16"/>
        </w:rPr>
        <w:t xml:space="preserve"> </w:t>
      </w:r>
      <w:r w:rsidRPr="00EC20A0">
        <w:rPr>
          <w:spacing w:val="-2"/>
        </w:rPr>
        <w:t>Issues</w:t>
      </w:r>
    </w:p>
    <w:p w14:paraId="24D61C36" w14:textId="77777777" w:rsidR="00245300" w:rsidRPr="00EC20A0" w:rsidRDefault="00F17249">
      <w:pPr>
        <w:pStyle w:val="Heading5"/>
        <w:spacing w:before="301"/>
        <w:rPr>
          <w:u w:val="none"/>
        </w:rPr>
      </w:pPr>
      <w:bookmarkStart w:id="352" w:name="Determining_Materiality"/>
      <w:bookmarkEnd w:id="352"/>
      <w:r w:rsidRPr="00EC20A0">
        <w:t>Determining</w:t>
      </w:r>
      <w:r w:rsidRPr="00EC20A0">
        <w:rPr>
          <w:spacing w:val="-6"/>
        </w:rPr>
        <w:t xml:space="preserve"> </w:t>
      </w:r>
      <w:r w:rsidRPr="00EC20A0">
        <w:rPr>
          <w:spacing w:val="-2"/>
        </w:rPr>
        <w:t>Materiality</w:t>
      </w:r>
    </w:p>
    <w:p w14:paraId="24D61C37" w14:textId="77777777" w:rsidR="00245300" w:rsidRPr="00EC20A0" w:rsidRDefault="00F17249">
      <w:pPr>
        <w:pStyle w:val="ListParagraph"/>
        <w:numPr>
          <w:ilvl w:val="0"/>
          <w:numId w:val="78"/>
        </w:numPr>
        <w:tabs>
          <w:tab w:val="left" w:pos="1640"/>
        </w:tabs>
        <w:ind w:left="1640" w:right="430"/>
      </w:pPr>
      <w:r w:rsidRPr="00EC20A0">
        <w:t xml:space="preserve">As discussed in FAM 230, </w:t>
      </w:r>
      <w:r w:rsidRPr="00EC20A0">
        <w:t>materiality is one of the factors the auditor uses to determine</w:t>
      </w:r>
      <w:r w:rsidRPr="00EC20A0">
        <w:rPr>
          <w:spacing w:val="-5"/>
        </w:rPr>
        <w:t xml:space="preserve"> </w:t>
      </w:r>
      <w:r w:rsidRPr="00EC20A0">
        <w:t>the</w:t>
      </w:r>
      <w:r w:rsidRPr="00EC20A0">
        <w:rPr>
          <w:spacing w:val="-5"/>
        </w:rPr>
        <w:t xml:space="preserve"> </w:t>
      </w:r>
      <w:r w:rsidRPr="00EC20A0">
        <w:t>nature,</w:t>
      </w:r>
      <w:r w:rsidRPr="00EC20A0">
        <w:rPr>
          <w:spacing w:val="-5"/>
        </w:rPr>
        <w:t xml:space="preserve"> </w:t>
      </w:r>
      <w:r w:rsidRPr="00EC20A0">
        <w:t>timing,</w:t>
      </w:r>
      <w:r w:rsidRPr="00EC20A0">
        <w:rPr>
          <w:spacing w:val="-5"/>
        </w:rPr>
        <w:t xml:space="preserve"> </w:t>
      </w:r>
      <w:r w:rsidRPr="00EC20A0">
        <w:t>and</w:t>
      </w:r>
      <w:r w:rsidRPr="00EC20A0">
        <w:rPr>
          <w:spacing w:val="-5"/>
        </w:rPr>
        <w:t xml:space="preserve"> </w:t>
      </w:r>
      <w:r w:rsidRPr="00EC20A0">
        <w:t>extent</w:t>
      </w:r>
      <w:r w:rsidRPr="00EC20A0">
        <w:rPr>
          <w:spacing w:val="-5"/>
        </w:rPr>
        <w:t xml:space="preserve"> </w:t>
      </w:r>
      <w:r w:rsidRPr="00EC20A0">
        <w:t>of</w:t>
      </w:r>
      <w:r w:rsidRPr="00EC20A0">
        <w:rPr>
          <w:spacing w:val="-5"/>
        </w:rPr>
        <w:t xml:space="preserve"> </w:t>
      </w:r>
      <w:r w:rsidRPr="00EC20A0">
        <w:t>procedures.</w:t>
      </w:r>
      <w:r w:rsidRPr="00EC20A0">
        <w:rPr>
          <w:spacing w:val="-5"/>
        </w:rPr>
        <w:t xml:space="preserve"> </w:t>
      </w:r>
      <w:r w:rsidRPr="00EC20A0">
        <w:t>Misstatements,</w:t>
      </w:r>
      <w:r w:rsidRPr="00EC20A0">
        <w:rPr>
          <w:spacing w:val="-5"/>
        </w:rPr>
        <w:t xml:space="preserve"> </w:t>
      </w:r>
      <w:r w:rsidRPr="00EC20A0">
        <w:t>including omissions, are considered material if there is a substantial likelihood that, individually or in the aggregate, they would influence the judgment made by a reasonable user based on the financial statements.</w:t>
      </w:r>
      <w:hyperlink w:anchor="_bookmark203" w:history="1">
        <w:r w:rsidRPr="00EC20A0">
          <w:rPr>
            <w:position w:val="7"/>
            <w:sz w:val="14"/>
          </w:rPr>
          <w:t>45</w:t>
        </w:r>
      </w:hyperlink>
      <w:r w:rsidRPr="00EC20A0">
        <w:rPr>
          <w:spacing w:val="37"/>
          <w:position w:val="7"/>
          <w:sz w:val="14"/>
        </w:rPr>
        <w:t xml:space="preserve"> </w:t>
      </w:r>
      <w:r w:rsidRPr="00EC20A0">
        <w:t>Materiality has both quantitative and qualitative aspects. Certain misstatements or omissions, even though quantitatively immaterial, could have a material impact on or warrant disclosure in the financial statements for qualitative reasons.</w:t>
      </w:r>
    </w:p>
    <w:p w14:paraId="24D61C38" w14:textId="77777777" w:rsidR="00245300" w:rsidRPr="00EC20A0" w:rsidRDefault="00F17249">
      <w:pPr>
        <w:pStyle w:val="ListParagraph"/>
        <w:numPr>
          <w:ilvl w:val="0"/>
          <w:numId w:val="78"/>
        </w:numPr>
        <w:tabs>
          <w:tab w:val="left" w:pos="1640"/>
        </w:tabs>
        <w:ind w:left="1640" w:right="456"/>
      </w:pPr>
      <w:r w:rsidRPr="00EC20A0">
        <w:t>When establishing the overall audit strategy, the auditor should determine materiality</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as</w:t>
      </w:r>
      <w:r w:rsidRPr="00EC20A0">
        <w:rPr>
          <w:spacing w:val="-3"/>
        </w:rPr>
        <w:t xml:space="preserve"> </w:t>
      </w:r>
      <w:r w:rsidRPr="00EC20A0">
        <w:t>a</w:t>
      </w:r>
      <w:r w:rsidRPr="00EC20A0">
        <w:rPr>
          <w:spacing w:val="-3"/>
        </w:rPr>
        <w:t xml:space="preserve"> </w:t>
      </w:r>
      <w:r w:rsidRPr="00EC20A0">
        <w:t>whole.</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2"/>
        </w:rPr>
        <w:t xml:space="preserve"> </w:t>
      </w:r>
      <w:r w:rsidRPr="00EC20A0">
        <w:t>determine materiality in relation to the element of the financial statements that the auditor judges is most significant to the primary users of the statements (the materiality benchmark—see FAM 230). Auditors should use professional judgment and exercise</w:t>
      </w:r>
      <w:r w:rsidRPr="00EC20A0">
        <w:rPr>
          <w:spacing w:val="-4"/>
        </w:rPr>
        <w:t xml:space="preserve"> </w:t>
      </w:r>
      <w:r w:rsidRPr="00EC20A0">
        <w:t>due</w:t>
      </w:r>
      <w:r w:rsidRPr="00EC20A0">
        <w:rPr>
          <w:spacing w:val="-4"/>
        </w:rPr>
        <w:t xml:space="preserve"> </w:t>
      </w:r>
      <w:r w:rsidRPr="00EC20A0">
        <w:t>professional</w:t>
      </w:r>
      <w:r w:rsidRPr="00EC20A0">
        <w:rPr>
          <w:spacing w:val="-4"/>
        </w:rPr>
        <w:t xml:space="preserve"> </w:t>
      </w:r>
      <w:r w:rsidRPr="00EC20A0">
        <w:t>care</w:t>
      </w:r>
      <w:r w:rsidRPr="00EC20A0">
        <w:rPr>
          <w:spacing w:val="-4"/>
        </w:rPr>
        <w:t xml:space="preserve"> </w:t>
      </w:r>
      <w:r w:rsidRPr="00EC20A0">
        <w:t>when</w:t>
      </w:r>
      <w:r w:rsidRPr="00EC20A0">
        <w:rPr>
          <w:spacing w:val="-4"/>
        </w:rPr>
        <w:t xml:space="preserve"> </w:t>
      </w:r>
      <w:r w:rsidRPr="00EC20A0">
        <w:t>setting</w:t>
      </w:r>
      <w:r w:rsidRPr="00EC20A0">
        <w:rPr>
          <w:spacing w:val="-4"/>
        </w:rPr>
        <w:t xml:space="preserve"> </w:t>
      </w:r>
      <w:r w:rsidRPr="00EC20A0">
        <w:t>the</w:t>
      </w:r>
      <w:r w:rsidRPr="00EC20A0">
        <w:rPr>
          <w:spacing w:val="-5"/>
        </w:rPr>
        <w:t xml:space="preserve"> </w:t>
      </w:r>
      <w:r w:rsidRPr="00EC20A0">
        <w:t>materiality</w:t>
      </w:r>
      <w:r w:rsidRPr="00EC20A0">
        <w:rPr>
          <w:spacing w:val="-5"/>
        </w:rPr>
        <w:t xml:space="preserve"> </w:t>
      </w:r>
      <w:r w:rsidRPr="00EC20A0">
        <w:t>benchmark,</w:t>
      </w:r>
      <w:r w:rsidRPr="00EC20A0">
        <w:rPr>
          <w:spacing w:val="-4"/>
        </w:rPr>
        <w:t xml:space="preserve"> </w:t>
      </w:r>
      <w:r w:rsidRPr="00EC20A0">
        <w:t>carefully assessing the information gained from risk assessment procedures and the needs of users of the financial statements (SOP 04</w:t>
      </w:r>
      <w:r w:rsidRPr="00EC20A0">
        <w:t>-1, para. 22).</w:t>
      </w:r>
    </w:p>
    <w:p w14:paraId="24D61C39" w14:textId="77777777" w:rsidR="00245300" w:rsidRPr="00EC20A0" w:rsidRDefault="00F17249">
      <w:pPr>
        <w:pStyle w:val="BodyText"/>
        <w:spacing w:before="240"/>
        <w:ind w:left="1640" w:right="345"/>
      </w:pPr>
      <w:r w:rsidRPr="00EC20A0">
        <w:t xml:space="preserve">The </w:t>
      </w:r>
      <w:r w:rsidRPr="00EC20A0">
        <w:t>auditor generally uses preliminary information to estimate the materiality benchmark.</w:t>
      </w:r>
      <w:r w:rsidRPr="00EC20A0">
        <w:rPr>
          <w:spacing w:val="-4"/>
        </w:rPr>
        <w:t xml:space="preserve"> </w:t>
      </w:r>
      <w:r w:rsidRPr="00EC20A0">
        <w:t>This</w:t>
      </w:r>
      <w:r w:rsidRPr="00EC20A0">
        <w:rPr>
          <w:spacing w:val="-4"/>
        </w:rPr>
        <w:t xml:space="preserve"> </w:t>
      </w:r>
      <w:r w:rsidRPr="00EC20A0">
        <w:t>may</w:t>
      </w:r>
      <w:r w:rsidRPr="00EC20A0">
        <w:rPr>
          <w:spacing w:val="-4"/>
        </w:rPr>
        <w:t xml:space="preserve"> </w:t>
      </w:r>
      <w:r w:rsidRPr="00EC20A0">
        <w:t>be</w:t>
      </w:r>
      <w:r w:rsidRPr="00EC20A0">
        <w:rPr>
          <w:spacing w:val="-5"/>
        </w:rPr>
        <w:t xml:space="preserve"> </w:t>
      </w:r>
      <w:r w:rsidRPr="00EC20A0">
        <w:t>prior</w:t>
      </w:r>
      <w:r w:rsidRPr="00EC20A0">
        <w:rPr>
          <w:spacing w:val="-4"/>
        </w:rPr>
        <w:t xml:space="preserve"> </w:t>
      </w:r>
      <w:r w:rsidRPr="00EC20A0">
        <w:t>years’</w:t>
      </w:r>
      <w:r w:rsidRPr="00EC20A0">
        <w:rPr>
          <w:spacing w:val="-5"/>
        </w:rPr>
        <w:t xml:space="preserve"> </w:t>
      </w:r>
      <w:r w:rsidRPr="00EC20A0">
        <w:t>audited</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or</w:t>
      </w:r>
      <w:r w:rsidRPr="00EC20A0">
        <w:rPr>
          <w:spacing w:val="-4"/>
        </w:rPr>
        <w:t xml:space="preserve"> </w:t>
      </w:r>
      <w:r w:rsidRPr="00EC20A0">
        <w:t>current-year unaudited and unadjusted interim information. To provide reasonable assurance that sufficient audit procedures are performed, the auditor may estimate the materiality benchmark at the low end of the possible materiality benchmark.</w:t>
      </w:r>
    </w:p>
    <w:p w14:paraId="24D61C3A" w14:textId="77777777" w:rsidR="00245300" w:rsidRPr="00EC20A0" w:rsidRDefault="00F17249">
      <w:pPr>
        <w:pStyle w:val="BodyText"/>
        <w:spacing w:before="240"/>
        <w:ind w:left="1640" w:right="345"/>
      </w:pPr>
      <w:r w:rsidRPr="00EC20A0">
        <w:t xml:space="preserve">For certain federal entities, amounts reported in the Statement of Social Insurance and the related Statement of </w:t>
      </w:r>
      <w:r w:rsidRPr="00EC20A0">
        <w:t>Changes in Social Insurance Amounts may</w:t>
      </w:r>
      <w:r w:rsidRPr="00EC20A0">
        <w:rPr>
          <w:spacing w:val="-4"/>
        </w:rPr>
        <w:t xml:space="preserve"> </w:t>
      </w:r>
      <w:r w:rsidRPr="00EC20A0">
        <w:t>vary</w:t>
      </w:r>
      <w:r w:rsidRPr="00EC20A0">
        <w:rPr>
          <w:spacing w:val="-4"/>
        </w:rPr>
        <w:t xml:space="preserve"> </w:t>
      </w:r>
      <w:r w:rsidRPr="00EC20A0">
        <w:t>significantly</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amounts</w:t>
      </w:r>
      <w:r w:rsidRPr="00EC20A0">
        <w:rPr>
          <w:spacing w:val="-4"/>
        </w:rPr>
        <w:t xml:space="preserve"> </w:t>
      </w:r>
      <w:r w:rsidRPr="00EC20A0">
        <w:t>reported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other</w:t>
      </w:r>
      <w:r w:rsidRPr="00EC20A0">
        <w:rPr>
          <w:spacing w:val="-4"/>
        </w:rPr>
        <w:t xml:space="preserve"> </w:t>
      </w:r>
      <w:r w:rsidRPr="00EC20A0">
        <w:t>financial</w:t>
      </w:r>
      <w:r w:rsidRPr="00EC20A0">
        <w:rPr>
          <w:spacing w:val="-5"/>
        </w:rPr>
        <w:t xml:space="preserve"> </w:t>
      </w:r>
      <w:r w:rsidRPr="00EC20A0">
        <w:t>statements or may differ significantly on a qualitative basis. In such cases, it may not be appropriate</w:t>
      </w:r>
      <w:r w:rsidRPr="00EC20A0">
        <w:rPr>
          <w:spacing w:val="-3"/>
        </w:rPr>
        <w:t xml:space="preserve"> </w:t>
      </w:r>
      <w:r w:rsidRPr="00EC20A0">
        <w:t>to</w:t>
      </w:r>
      <w:r w:rsidRPr="00EC20A0">
        <w:rPr>
          <w:spacing w:val="-2"/>
        </w:rPr>
        <w:t xml:space="preserve"> </w:t>
      </w:r>
      <w:r w:rsidRPr="00EC20A0">
        <w:t>establish</w:t>
      </w:r>
      <w:r w:rsidRPr="00EC20A0">
        <w:rPr>
          <w:spacing w:val="-3"/>
        </w:rPr>
        <w:t xml:space="preserve"> </w:t>
      </w:r>
      <w:r w:rsidRPr="00EC20A0">
        <w:t>a</w:t>
      </w:r>
      <w:r w:rsidRPr="00EC20A0">
        <w:rPr>
          <w:spacing w:val="-2"/>
        </w:rPr>
        <w:t xml:space="preserve"> </w:t>
      </w:r>
      <w:r w:rsidRPr="00EC20A0">
        <w:t>single</w:t>
      </w:r>
      <w:r w:rsidRPr="00EC20A0">
        <w:rPr>
          <w:spacing w:val="-2"/>
        </w:rPr>
        <w:t xml:space="preserve"> </w:t>
      </w:r>
      <w:r w:rsidRPr="00EC20A0">
        <w:t>materiality</w:t>
      </w:r>
      <w:r w:rsidRPr="00EC20A0">
        <w:rPr>
          <w:spacing w:val="-2"/>
        </w:rPr>
        <w:t xml:space="preserve"> </w:t>
      </w:r>
      <w:r w:rsidRPr="00EC20A0">
        <w:t>threshold</w:t>
      </w:r>
      <w:r w:rsidRPr="00EC20A0">
        <w:rPr>
          <w:spacing w:val="-2"/>
        </w:rPr>
        <w:t xml:space="preserve"> </w:t>
      </w:r>
      <w:r w:rsidRPr="00EC20A0">
        <w:t>for</w:t>
      </w:r>
      <w:r w:rsidRPr="00EC20A0">
        <w:rPr>
          <w:spacing w:val="-2"/>
        </w:rPr>
        <w:t xml:space="preserve"> </w:t>
      </w:r>
      <w:r w:rsidRPr="00EC20A0">
        <w:t>the</w:t>
      </w:r>
      <w:r w:rsidRPr="00EC20A0">
        <w:rPr>
          <w:spacing w:val="-2"/>
        </w:rPr>
        <w:t xml:space="preserve"> </w:t>
      </w:r>
      <w:r w:rsidRPr="00EC20A0">
        <w:t>entire</w:t>
      </w:r>
      <w:r w:rsidRPr="00EC20A0">
        <w:rPr>
          <w:spacing w:val="-2"/>
        </w:rPr>
        <w:t xml:space="preserve"> </w:t>
      </w:r>
      <w:r w:rsidRPr="00EC20A0">
        <w:t>set</w:t>
      </w:r>
      <w:r w:rsidRPr="00EC20A0">
        <w:rPr>
          <w:spacing w:val="-2"/>
        </w:rPr>
        <w:t xml:space="preserve"> </w:t>
      </w:r>
      <w:r w:rsidRPr="00EC20A0">
        <w:t>of</w:t>
      </w:r>
      <w:r w:rsidRPr="00EC20A0">
        <w:rPr>
          <w:spacing w:val="-3"/>
        </w:rPr>
        <w:t xml:space="preserve"> </w:t>
      </w:r>
      <w:r w:rsidRPr="00EC20A0">
        <w:t>financial statements. Instead, the auditor should use a separate materiality level when planning and performing the audit of the Statement of Social Insurance, the Statement</w:t>
      </w:r>
      <w:r w:rsidRPr="00EC20A0">
        <w:rPr>
          <w:spacing w:val="-4"/>
        </w:rPr>
        <w:t xml:space="preserve"> </w:t>
      </w:r>
      <w:r w:rsidRPr="00EC20A0">
        <w:t>of</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Amounts,</w:t>
      </w:r>
      <w:r w:rsidRPr="00EC20A0">
        <w:rPr>
          <w:spacing w:val="-4"/>
        </w:rPr>
        <w:t xml:space="preserve"> </w:t>
      </w:r>
      <w:r w:rsidRPr="00EC20A0">
        <w:t>and</w:t>
      </w:r>
      <w:r w:rsidRPr="00EC20A0">
        <w:rPr>
          <w:spacing w:val="-4"/>
        </w:rPr>
        <w:t xml:space="preserve"> </w:t>
      </w:r>
      <w:r w:rsidRPr="00EC20A0">
        <w:t>related</w:t>
      </w:r>
      <w:r w:rsidRPr="00EC20A0">
        <w:rPr>
          <w:spacing w:val="-4"/>
        </w:rPr>
        <w:t xml:space="preserve"> </w:t>
      </w:r>
      <w:r w:rsidRPr="00EC20A0">
        <w:t>note</w:t>
      </w:r>
      <w:r w:rsidRPr="00EC20A0">
        <w:rPr>
          <w:spacing w:val="-3"/>
        </w:rPr>
        <w:t xml:space="preserve"> </w:t>
      </w:r>
      <w:r w:rsidRPr="00EC20A0">
        <w:t>disclosures (SOP 04-1, para. 23).</w:t>
      </w:r>
    </w:p>
    <w:p w14:paraId="24D61C3B" w14:textId="77777777" w:rsidR="00245300" w:rsidRPr="00EC20A0" w:rsidRDefault="00245300">
      <w:pPr>
        <w:pStyle w:val="BodyText"/>
        <w:rPr>
          <w:sz w:val="20"/>
        </w:rPr>
      </w:pPr>
    </w:p>
    <w:p w14:paraId="24D61C3C" w14:textId="77777777" w:rsidR="00245300" w:rsidRPr="00EC20A0" w:rsidRDefault="00F17249">
      <w:pPr>
        <w:pStyle w:val="BodyText"/>
        <w:spacing w:before="229"/>
        <w:rPr>
          <w:sz w:val="20"/>
        </w:rPr>
      </w:pPr>
      <w:r w:rsidRPr="00EC20A0">
        <w:rPr>
          <w:noProof/>
        </w:rPr>
        <mc:AlternateContent>
          <mc:Choice Requires="wps">
            <w:drawing>
              <wp:anchor distT="0" distB="0" distL="0" distR="0" simplePos="0" relativeHeight="487719936" behindDoc="1" locked="0" layoutInCell="1" allowOverlap="1" wp14:anchorId="24D62CB9" wp14:editId="24D62CBA">
                <wp:simplePos x="0" y="0"/>
                <wp:positionH relativeFrom="page">
                  <wp:posOffset>914400</wp:posOffset>
                </wp:positionH>
                <wp:positionV relativeFrom="paragraph">
                  <wp:posOffset>307199</wp:posOffset>
                </wp:positionV>
                <wp:extent cx="1828800" cy="5715"/>
                <wp:effectExtent l="0" t="0" r="0" b="0"/>
                <wp:wrapTopAndBottom/>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9A9F4D" id="Graphic 886" o:spid="_x0000_s1026" style="position:absolute;margin-left:1in;margin-top:24.2pt;width:2in;height:.45pt;z-index:-1559654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" path="m1828800,l,,,5334r1828800,l1828800,xe" fillcolor="black" stroked="f">
                <v:path arrowok="t"/>
                <w10:wrap type="topAndBottom" anchorx="page"/>
              </v:shape>
            </w:pict>
          </mc:Fallback>
        </mc:AlternateContent>
      </w:r>
    </w:p>
    <w:p w14:paraId="24D61C3D" w14:textId="77777777" w:rsidR="00245300" w:rsidRPr="00EC20A0" w:rsidRDefault="00F17249">
      <w:pPr>
        <w:spacing w:before="202" w:line="244" w:lineRule="auto"/>
        <w:ind w:left="199" w:right="430"/>
        <w:jc w:val="both"/>
        <w:rPr>
          <w:sz w:val="18"/>
        </w:rPr>
      </w:pPr>
      <w:bookmarkStart w:id="353" w:name="_bookmark202"/>
      <w:bookmarkEnd w:id="353"/>
      <w:r w:rsidRPr="00EC20A0">
        <w:rPr>
          <w:position w:val="7"/>
          <w:sz w:val="14"/>
        </w:rPr>
        <w:t>44</w:t>
      </w:r>
      <w:r w:rsidRPr="00EC20A0">
        <w:rPr>
          <w:sz w:val="18"/>
        </w:rPr>
        <w:t>American</w:t>
      </w:r>
      <w:r w:rsidRPr="00EC20A0">
        <w:rPr>
          <w:spacing w:val="-4"/>
          <w:sz w:val="18"/>
        </w:rPr>
        <w:t xml:space="preserve"> </w:t>
      </w:r>
      <w:r w:rsidRPr="00EC20A0">
        <w:rPr>
          <w:sz w:val="18"/>
        </w:rPr>
        <w:t>Institute</w:t>
      </w:r>
      <w:r w:rsidRPr="00EC20A0">
        <w:rPr>
          <w:spacing w:val="-4"/>
          <w:sz w:val="18"/>
        </w:rPr>
        <w:t xml:space="preserve"> </w:t>
      </w:r>
      <w:r w:rsidRPr="00EC20A0">
        <w:rPr>
          <w:sz w:val="18"/>
        </w:rPr>
        <w:t>of</w:t>
      </w:r>
      <w:r w:rsidRPr="00EC20A0">
        <w:rPr>
          <w:spacing w:val="-3"/>
          <w:sz w:val="18"/>
        </w:rPr>
        <w:t xml:space="preserve"> </w:t>
      </w:r>
      <w:r w:rsidRPr="00EC20A0">
        <w:rPr>
          <w:sz w:val="18"/>
        </w:rPr>
        <w:t>Certified</w:t>
      </w:r>
      <w:r w:rsidRPr="00EC20A0">
        <w:rPr>
          <w:spacing w:val="-2"/>
          <w:sz w:val="18"/>
        </w:rPr>
        <w:t xml:space="preserve"> </w:t>
      </w:r>
      <w:r w:rsidRPr="00EC20A0">
        <w:rPr>
          <w:sz w:val="18"/>
        </w:rPr>
        <w:t>Public</w:t>
      </w:r>
      <w:r w:rsidRPr="00EC20A0">
        <w:rPr>
          <w:spacing w:val="-3"/>
          <w:sz w:val="18"/>
        </w:rPr>
        <w:t xml:space="preserve"> </w:t>
      </w:r>
      <w:r w:rsidRPr="00EC20A0">
        <w:rPr>
          <w:sz w:val="18"/>
        </w:rPr>
        <w:t>Accountants,</w:t>
      </w:r>
      <w:r w:rsidRPr="00EC20A0">
        <w:rPr>
          <w:spacing w:val="-3"/>
          <w:sz w:val="18"/>
        </w:rPr>
        <w:t xml:space="preserve"> </w:t>
      </w:r>
      <w:r w:rsidRPr="00EC20A0">
        <w:rPr>
          <w:i/>
          <w:sz w:val="18"/>
        </w:rPr>
        <w:t>Auditing</w:t>
      </w:r>
      <w:r w:rsidRPr="00EC20A0">
        <w:rPr>
          <w:i/>
          <w:spacing w:val="-4"/>
          <w:sz w:val="18"/>
        </w:rPr>
        <w:t xml:space="preserve"> </w:t>
      </w:r>
      <w:r w:rsidRPr="00EC20A0">
        <w:rPr>
          <w:i/>
          <w:sz w:val="18"/>
        </w:rPr>
        <w:t>the</w:t>
      </w:r>
      <w:r w:rsidRPr="00EC20A0">
        <w:rPr>
          <w:i/>
          <w:spacing w:val="-4"/>
          <w:sz w:val="18"/>
        </w:rPr>
        <w:t xml:space="preserve"> </w:t>
      </w:r>
      <w:r w:rsidRPr="00EC20A0">
        <w:rPr>
          <w:i/>
          <w:sz w:val="18"/>
        </w:rPr>
        <w:t>Statement</w:t>
      </w:r>
      <w:r w:rsidRPr="00EC20A0">
        <w:rPr>
          <w:i/>
          <w:spacing w:val="-3"/>
          <w:sz w:val="18"/>
        </w:rPr>
        <w:t xml:space="preserve"> </w:t>
      </w:r>
      <w:r w:rsidRPr="00EC20A0">
        <w:rPr>
          <w:i/>
          <w:sz w:val="18"/>
        </w:rPr>
        <w:t>of</w:t>
      </w:r>
      <w:r w:rsidRPr="00EC20A0">
        <w:rPr>
          <w:i/>
          <w:spacing w:val="-3"/>
          <w:sz w:val="18"/>
        </w:rPr>
        <w:t xml:space="preserve"> </w:t>
      </w:r>
      <w:r w:rsidRPr="00EC20A0">
        <w:rPr>
          <w:i/>
          <w:sz w:val="18"/>
        </w:rPr>
        <w:t>Social</w:t>
      </w:r>
      <w:r w:rsidRPr="00EC20A0">
        <w:rPr>
          <w:i/>
          <w:spacing w:val="-3"/>
          <w:sz w:val="18"/>
        </w:rPr>
        <w:t xml:space="preserve"> </w:t>
      </w:r>
      <w:r w:rsidRPr="00EC20A0">
        <w:rPr>
          <w:i/>
          <w:sz w:val="18"/>
        </w:rPr>
        <w:t>Insurance</w:t>
      </w:r>
      <w:r w:rsidRPr="00EC20A0">
        <w:rPr>
          <w:sz w:val="18"/>
        </w:rPr>
        <w:t>,</w:t>
      </w:r>
      <w:r w:rsidRPr="00EC20A0">
        <w:rPr>
          <w:spacing w:val="-3"/>
          <w:sz w:val="18"/>
        </w:rPr>
        <w:t xml:space="preserve"> </w:t>
      </w:r>
      <w:r w:rsidRPr="00EC20A0">
        <w:rPr>
          <w:sz w:val="18"/>
        </w:rPr>
        <w:t>SOP</w:t>
      </w:r>
      <w:r w:rsidRPr="00EC20A0">
        <w:rPr>
          <w:spacing w:val="-3"/>
          <w:sz w:val="18"/>
        </w:rPr>
        <w:t xml:space="preserve"> </w:t>
      </w:r>
      <w:r w:rsidRPr="00EC20A0">
        <w:rPr>
          <w:sz w:val="18"/>
        </w:rPr>
        <w:t>04-1</w:t>
      </w:r>
      <w:r w:rsidRPr="00EC20A0">
        <w:rPr>
          <w:spacing w:val="-2"/>
          <w:sz w:val="18"/>
        </w:rPr>
        <w:t xml:space="preserve"> </w:t>
      </w:r>
      <w:r w:rsidRPr="00EC20A0">
        <w:rPr>
          <w:sz w:val="18"/>
        </w:rPr>
        <w:t>(Nov.</w:t>
      </w:r>
      <w:r w:rsidRPr="00EC20A0">
        <w:rPr>
          <w:spacing w:val="-3"/>
          <w:sz w:val="18"/>
        </w:rPr>
        <w:t xml:space="preserve"> </w:t>
      </w:r>
      <w:r w:rsidRPr="00EC20A0">
        <w:rPr>
          <w:sz w:val="18"/>
        </w:rPr>
        <w:t>22, 2004), para. 10, and</w:t>
      </w:r>
      <w:r w:rsidRPr="00EC20A0">
        <w:rPr>
          <w:spacing w:val="-1"/>
          <w:sz w:val="18"/>
        </w:rPr>
        <w:t xml:space="preserve"> </w:t>
      </w:r>
      <w:r w:rsidRPr="00EC20A0">
        <w:rPr>
          <w:sz w:val="18"/>
        </w:rPr>
        <w:t xml:space="preserve">AU-C 620, </w:t>
      </w:r>
      <w:r w:rsidRPr="00EC20A0">
        <w:rPr>
          <w:i/>
          <w:sz w:val="18"/>
        </w:rPr>
        <w:t>Using</w:t>
      </w:r>
      <w:r w:rsidRPr="00EC20A0">
        <w:rPr>
          <w:i/>
          <w:spacing w:val="-1"/>
          <w:sz w:val="18"/>
        </w:rPr>
        <w:t xml:space="preserve"> </w:t>
      </w:r>
      <w:r w:rsidRPr="00EC20A0">
        <w:rPr>
          <w:i/>
          <w:sz w:val="18"/>
        </w:rPr>
        <w:t>the</w:t>
      </w:r>
      <w:r w:rsidRPr="00EC20A0">
        <w:rPr>
          <w:i/>
          <w:spacing w:val="-1"/>
          <w:sz w:val="18"/>
        </w:rPr>
        <w:t xml:space="preserve"> </w:t>
      </w:r>
      <w:r w:rsidRPr="00EC20A0">
        <w:rPr>
          <w:i/>
          <w:sz w:val="18"/>
        </w:rPr>
        <w:t>Work of an</w:t>
      </w:r>
      <w:r w:rsidRPr="00EC20A0">
        <w:rPr>
          <w:i/>
          <w:spacing w:val="-1"/>
          <w:sz w:val="18"/>
        </w:rPr>
        <w:t xml:space="preserve"> </w:t>
      </w:r>
      <w:r w:rsidRPr="00EC20A0">
        <w:rPr>
          <w:i/>
          <w:sz w:val="18"/>
        </w:rPr>
        <w:t>Auditor’s Specialist (</w:t>
      </w:r>
      <w:r w:rsidRPr="00EC20A0">
        <w:rPr>
          <w:sz w:val="18"/>
        </w:rPr>
        <w:t>effective</w:t>
      </w:r>
      <w:r w:rsidRPr="00EC20A0">
        <w:rPr>
          <w:spacing w:val="-1"/>
          <w:sz w:val="18"/>
        </w:rPr>
        <w:t xml:space="preserve"> </w:t>
      </w:r>
      <w:r w:rsidRPr="00EC20A0">
        <w:rPr>
          <w:sz w:val="18"/>
        </w:rPr>
        <w:t xml:space="preserve">for audits of </w:t>
      </w:r>
      <w:r w:rsidRPr="00EC20A0">
        <w:rPr>
          <w:sz w:val="18"/>
        </w:rPr>
        <w:t>financial statements for periods ending on or after December 15, 2012).</w:t>
      </w:r>
    </w:p>
    <w:p w14:paraId="24D61C3E" w14:textId="77777777" w:rsidR="00245300" w:rsidRPr="00EC20A0" w:rsidRDefault="00F17249">
      <w:pPr>
        <w:spacing w:before="121" w:line="242" w:lineRule="auto"/>
        <w:ind w:left="199" w:right="408"/>
        <w:rPr>
          <w:sz w:val="18"/>
        </w:rPr>
      </w:pPr>
      <w:bookmarkStart w:id="354" w:name="_bookmark203"/>
      <w:bookmarkEnd w:id="354"/>
      <w:r w:rsidRPr="00EC20A0">
        <w:rPr>
          <w:position w:val="7"/>
          <w:sz w:val="14"/>
        </w:rPr>
        <w:t>45</w:t>
      </w:r>
      <w:r w:rsidRPr="00EC20A0">
        <w:rPr>
          <w:sz w:val="18"/>
        </w:rPr>
        <w:t xml:space="preserve">FASAB’s Statement of Federal Financial Accounting Concepts (SFFAC) 1, </w:t>
      </w:r>
      <w:r w:rsidRPr="00EC20A0">
        <w:rPr>
          <w:i/>
          <w:sz w:val="18"/>
        </w:rPr>
        <w:t>Objectives of Federal Financial Reporting</w:t>
      </w:r>
      <w:r w:rsidRPr="00EC20A0">
        <w:rPr>
          <w:sz w:val="18"/>
        </w:rPr>
        <w:t>,</w:t>
      </w:r>
      <w:r w:rsidRPr="00EC20A0">
        <w:rPr>
          <w:spacing w:val="-3"/>
          <w:sz w:val="18"/>
        </w:rPr>
        <w:t xml:space="preserve"> </w:t>
      </w:r>
      <w:r w:rsidRPr="00EC20A0">
        <w:rPr>
          <w:sz w:val="18"/>
        </w:rPr>
        <w:t>provides</w:t>
      </w:r>
      <w:r w:rsidRPr="00EC20A0">
        <w:rPr>
          <w:spacing w:val="-3"/>
          <w:sz w:val="18"/>
        </w:rPr>
        <w:t xml:space="preserve"> </w:t>
      </w:r>
      <w:r w:rsidRPr="00EC20A0">
        <w:rPr>
          <w:sz w:val="18"/>
        </w:rPr>
        <w:t>a</w:t>
      </w:r>
      <w:r w:rsidRPr="00EC20A0">
        <w:rPr>
          <w:spacing w:val="-4"/>
          <w:sz w:val="18"/>
        </w:rPr>
        <w:t xml:space="preserve"> </w:t>
      </w:r>
      <w:r w:rsidRPr="00EC20A0">
        <w:rPr>
          <w:sz w:val="18"/>
        </w:rPr>
        <w:t>slightly</w:t>
      </w:r>
      <w:r w:rsidRPr="00EC20A0">
        <w:rPr>
          <w:spacing w:val="-2"/>
          <w:sz w:val="18"/>
        </w:rPr>
        <w:t xml:space="preserve"> </w:t>
      </w:r>
      <w:r w:rsidRPr="00EC20A0">
        <w:rPr>
          <w:sz w:val="18"/>
        </w:rPr>
        <w:t>different</w:t>
      </w:r>
      <w:r w:rsidRPr="00EC20A0">
        <w:rPr>
          <w:spacing w:val="-3"/>
          <w:sz w:val="18"/>
        </w:rPr>
        <w:t xml:space="preserve"> </w:t>
      </w:r>
      <w:r w:rsidRPr="00EC20A0">
        <w:rPr>
          <w:sz w:val="18"/>
        </w:rPr>
        <w:t>definition</w:t>
      </w:r>
      <w:r w:rsidRPr="00EC20A0">
        <w:rPr>
          <w:spacing w:val="-4"/>
          <w:sz w:val="18"/>
        </w:rPr>
        <w:t xml:space="preserve"> </w:t>
      </w:r>
      <w:r w:rsidRPr="00EC20A0">
        <w:rPr>
          <w:sz w:val="18"/>
        </w:rPr>
        <w:t>of</w:t>
      </w:r>
      <w:r w:rsidRPr="00EC20A0">
        <w:rPr>
          <w:spacing w:val="-3"/>
          <w:sz w:val="18"/>
        </w:rPr>
        <w:t xml:space="preserve"> </w:t>
      </w:r>
      <w:r w:rsidRPr="00EC20A0">
        <w:rPr>
          <w:sz w:val="18"/>
        </w:rPr>
        <w:t>materiality.</w:t>
      </w:r>
      <w:r w:rsidRPr="00EC20A0">
        <w:rPr>
          <w:spacing w:val="-3"/>
          <w:sz w:val="18"/>
        </w:rPr>
        <w:t xml:space="preserve"> </w:t>
      </w:r>
      <w:r w:rsidRPr="00EC20A0">
        <w:rPr>
          <w:sz w:val="18"/>
        </w:rPr>
        <w:t>Since</w:t>
      </w:r>
      <w:r w:rsidRPr="00EC20A0">
        <w:rPr>
          <w:spacing w:val="-4"/>
          <w:sz w:val="18"/>
        </w:rPr>
        <w:t xml:space="preserve"> </w:t>
      </w:r>
      <w:r w:rsidRPr="00EC20A0">
        <w:rPr>
          <w:sz w:val="18"/>
        </w:rPr>
        <w:t>SFFACs</w:t>
      </w:r>
      <w:r w:rsidRPr="00EC20A0">
        <w:rPr>
          <w:spacing w:val="-3"/>
          <w:sz w:val="18"/>
        </w:rPr>
        <w:t xml:space="preserve"> </w:t>
      </w:r>
      <w:r w:rsidRPr="00EC20A0">
        <w:rPr>
          <w:sz w:val="18"/>
        </w:rPr>
        <w:t>are</w:t>
      </w:r>
      <w:r w:rsidRPr="00EC20A0">
        <w:rPr>
          <w:spacing w:val="-4"/>
          <w:sz w:val="18"/>
        </w:rPr>
        <w:t xml:space="preserve"> </w:t>
      </w:r>
      <w:r w:rsidRPr="00EC20A0">
        <w:rPr>
          <w:sz w:val="18"/>
        </w:rPr>
        <w:t>nonauthoritative,</w:t>
      </w:r>
      <w:r w:rsidRPr="00EC20A0">
        <w:rPr>
          <w:spacing w:val="-3"/>
          <w:sz w:val="18"/>
        </w:rPr>
        <w:t xml:space="preserve"> </w:t>
      </w:r>
      <w:r w:rsidRPr="00EC20A0">
        <w:rPr>
          <w:sz w:val="18"/>
        </w:rPr>
        <w:t>and</w:t>
      </w:r>
      <w:r w:rsidRPr="00EC20A0">
        <w:rPr>
          <w:spacing w:val="-4"/>
          <w:sz w:val="18"/>
        </w:rPr>
        <w:t xml:space="preserve"> </w:t>
      </w:r>
      <w:r w:rsidRPr="00EC20A0">
        <w:rPr>
          <w:sz w:val="18"/>
        </w:rPr>
        <w:t>in</w:t>
      </w:r>
      <w:r w:rsidRPr="00EC20A0">
        <w:rPr>
          <w:spacing w:val="-4"/>
          <w:sz w:val="18"/>
        </w:rPr>
        <w:t xml:space="preserve"> </w:t>
      </w:r>
      <w:r w:rsidRPr="00EC20A0">
        <w:rPr>
          <w:sz w:val="18"/>
        </w:rPr>
        <w:t>SFFAC</w:t>
      </w:r>
      <w:r w:rsidRPr="00EC20A0">
        <w:rPr>
          <w:spacing w:val="-3"/>
          <w:sz w:val="18"/>
        </w:rPr>
        <w:t xml:space="preserve"> </w:t>
      </w:r>
      <w:r w:rsidRPr="00EC20A0">
        <w:rPr>
          <w:sz w:val="18"/>
        </w:rPr>
        <w:t xml:space="preserve">1, the board recognizes differences from the audit definition, the FAM is based on the definition provided in AU-C </w:t>
      </w:r>
      <w:r w:rsidRPr="00EC20A0">
        <w:rPr>
          <w:spacing w:val="-2"/>
          <w:sz w:val="18"/>
        </w:rPr>
        <w:t>200.07.</w:t>
      </w:r>
    </w:p>
    <w:p w14:paraId="24D61C3F" w14:textId="77777777" w:rsidR="00245300" w:rsidRPr="00EC20A0" w:rsidRDefault="00245300">
      <w:pPr>
        <w:spacing w:line="242" w:lineRule="auto"/>
        <w:rPr>
          <w:sz w:val="18"/>
        </w:rPr>
        <w:sectPr w:rsidR="00245300" w:rsidRPr="00EC20A0">
          <w:pgSz w:w="12240" w:h="15840"/>
          <w:pgMar w:top="1600" w:right="1100" w:bottom="940" w:left="1240" w:header="721" w:footer="757" w:gutter="0"/>
          <w:cols w:space="720"/>
        </w:sectPr>
      </w:pPr>
    </w:p>
    <w:p w14:paraId="24D61C40" w14:textId="77777777" w:rsidR="00245300" w:rsidRPr="00EC20A0" w:rsidRDefault="00F17249">
      <w:pPr>
        <w:pStyle w:val="ListParagraph"/>
        <w:numPr>
          <w:ilvl w:val="0"/>
          <w:numId w:val="78"/>
        </w:numPr>
        <w:tabs>
          <w:tab w:val="left" w:pos="1640"/>
        </w:tabs>
        <w:spacing w:before="121"/>
        <w:ind w:left="1640" w:right="347"/>
      </w:pPr>
      <w:r w:rsidRPr="00EC20A0">
        <w:t>SFFAS</w:t>
      </w:r>
      <w:r w:rsidRPr="00EC20A0">
        <w:rPr>
          <w:spacing w:val="-4"/>
        </w:rPr>
        <w:t xml:space="preserve"> </w:t>
      </w:r>
      <w:r w:rsidRPr="00EC20A0">
        <w:t>17</w:t>
      </w:r>
      <w:r w:rsidRPr="00EC20A0">
        <w:rPr>
          <w:spacing w:val="-3"/>
        </w:rPr>
        <w:t xml:space="preserve"> </w:t>
      </w:r>
      <w:r w:rsidRPr="00EC20A0">
        <w:t>includes</w:t>
      </w:r>
      <w:r w:rsidRPr="00EC20A0">
        <w:rPr>
          <w:spacing w:val="-3"/>
        </w:rPr>
        <w:t xml:space="preserve"> </w:t>
      </w:r>
      <w:r w:rsidRPr="00EC20A0">
        <w:t>a</w:t>
      </w:r>
      <w:r w:rsidRPr="00EC20A0">
        <w:rPr>
          <w:spacing w:val="-3"/>
        </w:rPr>
        <w:t xml:space="preserve"> </w:t>
      </w:r>
      <w:r w:rsidRPr="00EC20A0">
        <w:t>discussion</w:t>
      </w:r>
      <w:r w:rsidRPr="00EC20A0">
        <w:rPr>
          <w:spacing w:val="-3"/>
        </w:rPr>
        <w:t xml:space="preserve"> </w:t>
      </w:r>
      <w:r w:rsidRPr="00EC20A0">
        <w:t>of</w:t>
      </w:r>
      <w:r w:rsidRPr="00EC20A0">
        <w:rPr>
          <w:spacing w:val="-4"/>
        </w:rPr>
        <w:t xml:space="preserve"> </w:t>
      </w:r>
      <w:r w:rsidRPr="00EC20A0">
        <w:t>SFFAC</w:t>
      </w:r>
      <w:r w:rsidRPr="00EC20A0">
        <w:rPr>
          <w:spacing w:val="-4"/>
        </w:rPr>
        <w:t xml:space="preserve"> </w:t>
      </w:r>
      <w:r w:rsidRPr="00EC20A0">
        <w:t>No.</w:t>
      </w:r>
      <w:r w:rsidRPr="00EC20A0">
        <w:rPr>
          <w:spacing w:val="-2"/>
        </w:rPr>
        <w:t xml:space="preserve"> </w:t>
      </w:r>
      <w:r w:rsidRPr="00EC20A0">
        <w:t>1,</w:t>
      </w:r>
      <w:r w:rsidRPr="00EC20A0">
        <w:rPr>
          <w:spacing w:val="-3"/>
        </w:rPr>
        <w:t xml:space="preserve"> </w:t>
      </w:r>
      <w:r w:rsidRPr="00EC20A0">
        <w:rPr>
          <w:i/>
        </w:rPr>
        <w:t>Objectives</w:t>
      </w:r>
      <w:r w:rsidRPr="00EC20A0">
        <w:rPr>
          <w:i/>
          <w:spacing w:val="-3"/>
        </w:rPr>
        <w:t xml:space="preserve"> </w:t>
      </w:r>
      <w:r w:rsidRPr="00EC20A0">
        <w:rPr>
          <w:i/>
        </w:rPr>
        <w:t>of</w:t>
      </w:r>
      <w:r w:rsidRPr="00EC20A0">
        <w:rPr>
          <w:i/>
          <w:spacing w:val="-3"/>
        </w:rPr>
        <w:t xml:space="preserve"> </w:t>
      </w:r>
      <w:r w:rsidRPr="00EC20A0">
        <w:rPr>
          <w:i/>
        </w:rPr>
        <w:t>Federal</w:t>
      </w:r>
      <w:r w:rsidRPr="00EC20A0">
        <w:rPr>
          <w:i/>
          <w:spacing w:val="-4"/>
        </w:rPr>
        <w:t xml:space="preserve"> </w:t>
      </w:r>
      <w:r w:rsidRPr="00EC20A0">
        <w:rPr>
          <w:i/>
        </w:rPr>
        <w:t>Financial Reporting</w:t>
      </w:r>
      <w:r w:rsidRPr="00EC20A0">
        <w:t>, which established four major reporting objectives in applying accounting standards:</w:t>
      </w:r>
    </w:p>
    <w:p w14:paraId="24D61C41" w14:textId="77777777" w:rsidR="00245300" w:rsidRPr="00EC20A0" w:rsidRDefault="00F17249">
      <w:pPr>
        <w:pStyle w:val="ListParagraph"/>
        <w:numPr>
          <w:ilvl w:val="0"/>
          <w:numId w:val="77"/>
        </w:numPr>
        <w:tabs>
          <w:tab w:val="left" w:pos="1945"/>
        </w:tabs>
        <w:ind w:left="1945" w:hanging="305"/>
      </w:pPr>
      <w:r w:rsidRPr="00EC20A0">
        <w:t>budgetary</w:t>
      </w:r>
      <w:r w:rsidRPr="00EC20A0">
        <w:rPr>
          <w:spacing w:val="-12"/>
        </w:rPr>
        <w:t xml:space="preserve"> </w:t>
      </w:r>
      <w:r w:rsidRPr="00EC20A0">
        <w:rPr>
          <w:spacing w:val="-2"/>
        </w:rPr>
        <w:t>integrity,</w:t>
      </w:r>
    </w:p>
    <w:p w14:paraId="24D61C42" w14:textId="77777777" w:rsidR="00245300" w:rsidRPr="00EC20A0" w:rsidRDefault="00F17249">
      <w:pPr>
        <w:pStyle w:val="ListParagraph"/>
        <w:numPr>
          <w:ilvl w:val="0"/>
          <w:numId w:val="77"/>
        </w:numPr>
        <w:tabs>
          <w:tab w:val="left" w:pos="1945"/>
        </w:tabs>
        <w:ind w:left="1945" w:hanging="305"/>
      </w:pPr>
      <w:r w:rsidRPr="00EC20A0">
        <w:t>operating</w:t>
      </w:r>
      <w:r w:rsidRPr="00EC20A0">
        <w:rPr>
          <w:spacing w:val="-11"/>
        </w:rPr>
        <w:t xml:space="preserve"> </w:t>
      </w:r>
      <w:r w:rsidRPr="00EC20A0">
        <w:rPr>
          <w:spacing w:val="-2"/>
        </w:rPr>
        <w:t>performance,</w:t>
      </w:r>
    </w:p>
    <w:p w14:paraId="24D61C43" w14:textId="77777777" w:rsidR="00245300" w:rsidRPr="00EC20A0" w:rsidRDefault="00F17249">
      <w:pPr>
        <w:pStyle w:val="ListParagraph"/>
        <w:numPr>
          <w:ilvl w:val="0"/>
          <w:numId w:val="77"/>
        </w:numPr>
        <w:tabs>
          <w:tab w:val="left" w:pos="1945"/>
        </w:tabs>
        <w:ind w:left="1945" w:hanging="305"/>
      </w:pPr>
      <w:r w:rsidRPr="00EC20A0">
        <w:t>stewardship,</w:t>
      </w:r>
      <w:r w:rsidRPr="00EC20A0">
        <w:rPr>
          <w:spacing w:val="-15"/>
        </w:rPr>
        <w:t xml:space="preserve"> </w:t>
      </w:r>
      <w:r w:rsidRPr="00EC20A0">
        <w:rPr>
          <w:spacing w:val="-5"/>
        </w:rPr>
        <w:t>and</w:t>
      </w:r>
    </w:p>
    <w:p w14:paraId="24D61C44" w14:textId="77777777" w:rsidR="00245300" w:rsidRPr="00EC20A0" w:rsidRDefault="00F17249">
      <w:pPr>
        <w:pStyle w:val="ListParagraph"/>
        <w:numPr>
          <w:ilvl w:val="0"/>
          <w:numId w:val="77"/>
        </w:numPr>
        <w:tabs>
          <w:tab w:val="left" w:pos="1945"/>
        </w:tabs>
        <w:ind w:left="1945" w:hanging="305"/>
      </w:pPr>
      <w:r w:rsidRPr="00EC20A0">
        <w:t>systems</w:t>
      </w:r>
      <w:r w:rsidRPr="00EC20A0">
        <w:rPr>
          <w:spacing w:val="-8"/>
        </w:rPr>
        <w:t xml:space="preserve"> </w:t>
      </w:r>
      <w:r w:rsidRPr="00EC20A0">
        <w:t>and</w:t>
      </w:r>
      <w:r w:rsidRPr="00EC20A0">
        <w:rPr>
          <w:spacing w:val="-6"/>
        </w:rPr>
        <w:t xml:space="preserve"> </w:t>
      </w:r>
      <w:r w:rsidRPr="00EC20A0">
        <w:rPr>
          <w:spacing w:val="-2"/>
        </w:rPr>
        <w:t>controls.</w:t>
      </w:r>
    </w:p>
    <w:p w14:paraId="24D61C45" w14:textId="77777777" w:rsidR="00245300" w:rsidRPr="00EC20A0" w:rsidRDefault="00F17249">
      <w:pPr>
        <w:pStyle w:val="BodyText"/>
        <w:spacing w:before="239"/>
        <w:ind w:left="1640" w:right="345"/>
      </w:pPr>
      <w:r w:rsidRPr="00EC20A0">
        <w:t>SFFAC No. 1 provides useful information to assist the auditor in determining an appropriate materiality benchmark. For example, while all four of the objectives are</w:t>
      </w:r>
      <w:r w:rsidRPr="00EC20A0">
        <w:rPr>
          <w:spacing w:val="-3"/>
        </w:rPr>
        <w:t xml:space="preserve"> </w:t>
      </w:r>
      <w:r w:rsidRPr="00EC20A0">
        <w:t>important,</w:t>
      </w:r>
      <w:r w:rsidRPr="00EC20A0">
        <w:rPr>
          <w:spacing w:val="-3"/>
        </w:rPr>
        <w:t xml:space="preserve"> </w:t>
      </w:r>
      <w:r w:rsidRPr="00EC20A0">
        <w:t>SFFAS</w:t>
      </w:r>
      <w:r w:rsidRPr="00EC20A0">
        <w:rPr>
          <w:spacing w:val="-3"/>
        </w:rPr>
        <w:t xml:space="preserve"> </w:t>
      </w:r>
      <w:r w:rsidRPr="00EC20A0">
        <w:t>17</w:t>
      </w:r>
      <w:r w:rsidRPr="00EC20A0">
        <w:rPr>
          <w:spacing w:val="-3"/>
        </w:rPr>
        <w:t xml:space="preserve"> </w:t>
      </w:r>
      <w:r w:rsidRPr="00EC20A0">
        <w:t>states</w:t>
      </w:r>
      <w:r w:rsidRPr="00EC20A0">
        <w:rPr>
          <w:spacing w:val="-3"/>
        </w:rPr>
        <w:t xml:space="preserve"> </w:t>
      </w:r>
      <w:r w:rsidRPr="00EC20A0">
        <w:t>that</w:t>
      </w:r>
      <w:r w:rsidRPr="00EC20A0">
        <w:rPr>
          <w:spacing w:val="-4"/>
        </w:rPr>
        <w:t xml:space="preserve"> </w:t>
      </w:r>
      <w:r w:rsidRPr="00EC20A0">
        <w:t>objectives</w:t>
      </w:r>
      <w:r w:rsidRPr="00EC20A0">
        <w:rPr>
          <w:spacing w:val="-3"/>
        </w:rPr>
        <w:t xml:space="preserve"> </w:t>
      </w:r>
      <w:r w:rsidRPr="00EC20A0">
        <w:t>2</w:t>
      </w:r>
      <w:r w:rsidRPr="00EC20A0">
        <w:rPr>
          <w:spacing w:val="-4"/>
        </w:rPr>
        <w:t xml:space="preserve"> </w:t>
      </w:r>
      <w:r w:rsidRPr="00EC20A0">
        <w:t>and</w:t>
      </w:r>
      <w:r w:rsidRPr="00EC20A0">
        <w:rPr>
          <w:spacing w:val="-3"/>
        </w:rPr>
        <w:t xml:space="preserve"> </w:t>
      </w:r>
      <w:r w:rsidRPr="00EC20A0">
        <w:t>3</w:t>
      </w:r>
      <w:r w:rsidRPr="00EC20A0">
        <w:rPr>
          <w:spacing w:val="-3"/>
        </w:rPr>
        <w:t xml:space="preserve"> </w:t>
      </w:r>
      <w:r w:rsidRPr="00EC20A0">
        <w:t>directly</w:t>
      </w:r>
      <w:r w:rsidRPr="00EC20A0">
        <w:rPr>
          <w:spacing w:val="-3"/>
        </w:rPr>
        <w:t xml:space="preserve"> </w:t>
      </w:r>
      <w:r w:rsidRPr="00EC20A0">
        <w:t>impact</w:t>
      </w:r>
      <w:r w:rsidRPr="00EC20A0">
        <w:rPr>
          <w:spacing w:val="-3"/>
        </w:rPr>
        <w:t xml:space="preserve"> </w:t>
      </w:r>
      <w:r w:rsidRPr="00EC20A0">
        <w:t>the</w:t>
      </w:r>
      <w:r w:rsidRPr="00EC20A0">
        <w:rPr>
          <w:spacing w:val="-3"/>
        </w:rPr>
        <w:t xml:space="preserve"> </w:t>
      </w:r>
      <w:r w:rsidRPr="00EC20A0">
        <w:t>social insurance standards.</w:t>
      </w:r>
    </w:p>
    <w:p w14:paraId="24D61C46" w14:textId="77777777" w:rsidR="00245300" w:rsidRPr="00EC20A0" w:rsidRDefault="00F17249">
      <w:pPr>
        <w:pStyle w:val="ListParagraph"/>
        <w:numPr>
          <w:ilvl w:val="0"/>
          <w:numId w:val="78"/>
        </w:numPr>
        <w:tabs>
          <w:tab w:val="left" w:pos="1640"/>
        </w:tabs>
        <w:spacing w:before="241"/>
        <w:ind w:left="1640" w:right="822"/>
      </w:pPr>
      <w:r w:rsidRPr="00EC20A0">
        <w:t>Objective</w:t>
      </w:r>
      <w:r w:rsidRPr="00EC20A0">
        <w:rPr>
          <w:spacing w:val="-4"/>
        </w:rPr>
        <w:t xml:space="preserve"> </w:t>
      </w:r>
      <w:r w:rsidRPr="00EC20A0">
        <w:t>No.</w:t>
      </w:r>
      <w:r w:rsidRPr="00EC20A0">
        <w:rPr>
          <w:spacing w:val="-4"/>
        </w:rPr>
        <w:t xml:space="preserve"> </w:t>
      </w:r>
      <w:r w:rsidRPr="00EC20A0">
        <w:t>2</w:t>
      </w:r>
      <w:r w:rsidRPr="00EC20A0">
        <w:rPr>
          <w:spacing w:val="-4"/>
        </w:rPr>
        <w:t xml:space="preserve"> </w:t>
      </w:r>
      <w:r w:rsidRPr="00EC20A0">
        <w:t>of</w:t>
      </w:r>
      <w:r w:rsidRPr="00EC20A0">
        <w:rPr>
          <w:spacing w:val="-4"/>
        </w:rPr>
        <w:t xml:space="preserve"> </w:t>
      </w:r>
      <w:r w:rsidRPr="00EC20A0">
        <w:t>SFFAC</w:t>
      </w:r>
      <w:r w:rsidRPr="00EC20A0">
        <w:rPr>
          <w:spacing w:val="-4"/>
        </w:rPr>
        <w:t xml:space="preserve"> </w:t>
      </w:r>
      <w:r w:rsidRPr="00EC20A0">
        <w:t>No.</w:t>
      </w:r>
      <w:r w:rsidRPr="00EC20A0">
        <w:rPr>
          <w:spacing w:val="-4"/>
        </w:rPr>
        <w:t xml:space="preserve"> </w:t>
      </w:r>
      <w:r w:rsidRPr="00EC20A0">
        <w:t>1</w:t>
      </w:r>
      <w:r w:rsidRPr="00EC20A0">
        <w:rPr>
          <w:spacing w:val="-4"/>
        </w:rPr>
        <w:t xml:space="preserve"> </w:t>
      </w:r>
      <w:r w:rsidRPr="00EC20A0">
        <w:t>states</w:t>
      </w:r>
      <w:r w:rsidRPr="00EC20A0">
        <w:rPr>
          <w:spacing w:val="-4"/>
        </w:rPr>
        <w:t xml:space="preserve"> </w:t>
      </w:r>
      <w:r w:rsidRPr="00EC20A0">
        <w:t>that</w:t>
      </w:r>
      <w:r w:rsidRPr="00EC20A0">
        <w:rPr>
          <w:spacing w:val="-4"/>
        </w:rPr>
        <w:t xml:space="preserve"> </w:t>
      </w:r>
      <w:r w:rsidRPr="00EC20A0">
        <w:t>federal</w:t>
      </w:r>
      <w:r w:rsidRPr="00EC20A0">
        <w:rPr>
          <w:spacing w:val="-4"/>
        </w:rPr>
        <w:t xml:space="preserve"> </w:t>
      </w:r>
      <w:r w:rsidRPr="00EC20A0">
        <w:t>financial</w:t>
      </w:r>
      <w:r w:rsidRPr="00EC20A0">
        <w:rPr>
          <w:spacing w:val="-4"/>
        </w:rPr>
        <w:t xml:space="preserve"> </w:t>
      </w:r>
      <w:r w:rsidRPr="00EC20A0">
        <w:t>reporting</w:t>
      </w:r>
      <w:r w:rsidRPr="00EC20A0">
        <w:rPr>
          <w:spacing w:val="-4"/>
        </w:rPr>
        <w:t xml:space="preserve"> </w:t>
      </w:r>
      <w:r w:rsidRPr="00EC20A0">
        <w:t>should assist report users to evaluate</w:t>
      </w:r>
    </w:p>
    <w:p w14:paraId="24D61C47" w14:textId="77777777" w:rsidR="00245300" w:rsidRPr="00EC20A0" w:rsidRDefault="00F17249">
      <w:pPr>
        <w:pStyle w:val="ListParagraph"/>
        <w:numPr>
          <w:ilvl w:val="0"/>
          <w:numId w:val="76"/>
        </w:numPr>
        <w:tabs>
          <w:tab w:val="left" w:pos="1999"/>
        </w:tabs>
        <w:spacing w:before="239"/>
        <w:ind w:hanging="359"/>
      </w:pPr>
      <w:r w:rsidRPr="00EC20A0">
        <w:t>service</w:t>
      </w:r>
      <w:r w:rsidRPr="00EC20A0">
        <w:rPr>
          <w:spacing w:val="-8"/>
        </w:rPr>
        <w:t xml:space="preserve"> </w:t>
      </w:r>
      <w:r w:rsidRPr="00EC20A0">
        <w:t>efforts,</w:t>
      </w:r>
      <w:r w:rsidRPr="00EC20A0">
        <w:rPr>
          <w:spacing w:val="-8"/>
        </w:rPr>
        <w:t xml:space="preserve"> </w:t>
      </w:r>
      <w:r w:rsidRPr="00EC20A0">
        <w:t>costs,</w:t>
      </w:r>
      <w:r w:rsidRPr="00EC20A0">
        <w:rPr>
          <w:spacing w:val="-8"/>
        </w:rPr>
        <w:t xml:space="preserve"> </w:t>
      </w:r>
      <w:r w:rsidRPr="00EC20A0">
        <w:t>and</w:t>
      </w:r>
      <w:r w:rsidRPr="00EC20A0">
        <w:rPr>
          <w:spacing w:val="-7"/>
        </w:rPr>
        <w:t xml:space="preserve"> </w:t>
      </w:r>
      <w:r w:rsidRPr="00EC20A0">
        <w:t>accomplishments</w:t>
      </w:r>
      <w:r w:rsidRPr="00EC20A0">
        <w:rPr>
          <w:spacing w:val="-8"/>
        </w:rPr>
        <w:t xml:space="preserve"> </w:t>
      </w:r>
      <w:r w:rsidRPr="00EC20A0">
        <w:t>of</w:t>
      </w:r>
      <w:r w:rsidRPr="00EC20A0">
        <w:rPr>
          <w:spacing w:val="-8"/>
        </w:rPr>
        <w:t xml:space="preserve"> </w:t>
      </w:r>
      <w:r w:rsidRPr="00EC20A0">
        <w:t>the</w:t>
      </w:r>
      <w:r w:rsidRPr="00EC20A0">
        <w:rPr>
          <w:spacing w:val="-8"/>
        </w:rPr>
        <w:t xml:space="preserve"> </w:t>
      </w:r>
      <w:r w:rsidRPr="00EC20A0">
        <w:t>reporting</w:t>
      </w:r>
      <w:r w:rsidRPr="00EC20A0">
        <w:rPr>
          <w:spacing w:val="-8"/>
        </w:rPr>
        <w:t xml:space="preserve"> </w:t>
      </w:r>
      <w:r w:rsidRPr="00EC20A0">
        <w:rPr>
          <w:spacing w:val="-2"/>
        </w:rPr>
        <w:t>entity,</w:t>
      </w:r>
    </w:p>
    <w:p w14:paraId="24D61C48" w14:textId="77777777" w:rsidR="00245300" w:rsidRPr="00EC20A0" w:rsidRDefault="00F17249">
      <w:pPr>
        <w:pStyle w:val="ListParagraph"/>
        <w:numPr>
          <w:ilvl w:val="0"/>
          <w:numId w:val="76"/>
        </w:numPr>
        <w:tabs>
          <w:tab w:val="left" w:pos="1999"/>
        </w:tabs>
        <w:spacing w:before="239"/>
        <w:ind w:right="427"/>
      </w:pPr>
      <w:r w:rsidRPr="00EC20A0">
        <w:t>the</w:t>
      </w:r>
      <w:r w:rsidRPr="00EC20A0">
        <w:rPr>
          <w:spacing w:val="-4"/>
        </w:rPr>
        <w:t xml:space="preserve"> </w:t>
      </w:r>
      <w:r w:rsidRPr="00EC20A0">
        <w:t>manner</w:t>
      </w:r>
      <w:r w:rsidRPr="00EC20A0">
        <w:rPr>
          <w:spacing w:val="-4"/>
        </w:rPr>
        <w:t xml:space="preserve"> </w:t>
      </w:r>
      <w:r w:rsidRPr="00EC20A0">
        <w:t>in</w:t>
      </w:r>
      <w:r w:rsidRPr="00EC20A0">
        <w:rPr>
          <w:spacing w:val="-4"/>
        </w:rPr>
        <w:t xml:space="preserve"> </w:t>
      </w:r>
      <w:r w:rsidRPr="00EC20A0">
        <w:t>which</w:t>
      </w:r>
      <w:r w:rsidRPr="00EC20A0">
        <w:rPr>
          <w:spacing w:val="-4"/>
        </w:rPr>
        <w:t xml:space="preserve"> </w:t>
      </w:r>
      <w:r w:rsidRPr="00EC20A0">
        <w:t>these</w:t>
      </w:r>
      <w:r w:rsidRPr="00EC20A0">
        <w:rPr>
          <w:spacing w:val="-4"/>
        </w:rPr>
        <w:t xml:space="preserve"> </w:t>
      </w:r>
      <w:r w:rsidRPr="00EC20A0">
        <w:t>efforts</w:t>
      </w:r>
      <w:r w:rsidRPr="00EC20A0">
        <w:rPr>
          <w:spacing w:val="-4"/>
        </w:rPr>
        <w:t xml:space="preserve"> </w:t>
      </w:r>
      <w:r w:rsidRPr="00EC20A0">
        <w:t>and</w:t>
      </w:r>
      <w:r w:rsidRPr="00EC20A0">
        <w:rPr>
          <w:spacing w:val="-5"/>
        </w:rPr>
        <w:t xml:space="preserve"> </w:t>
      </w:r>
      <w:r w:rsidRPr="00EC20A0">
        <w:t>accomplishments</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 xml:space="preserve">financed, </w:t>
      </w:r>
      <w:r w:rsidRPr="00EC20A0">
        <w:rPr>
          <w:spacing w:val="-4"/>
        </w:rPr>
        <w:t>and</w:t>
      </w:r>
    </w:p>
    <w:p w14:paraId="24D61C49" w14:textId="77777777" w:rsidR="00245300" w:rsidRPr="00EC20A0" w:rsidRDefault="00F17249">
      <w:pPr>
        <w:pStyle w:val="ListParagraph"/>
        <w:numPr>
          <w:ilvl w:val="0"/>
          <w:numId w:val="76"/>
        </w:numPr>
        <w:tabs>
          <w:tab w:val="left" w:pos="1999"/>
        </w:tabs>
        <w:spacing w:before="238"/>
      </w:pPr>
      <w:r w:rsidRPr="00EC20A0">
        <w:t>the</w:t>
      </w:r>
      <w:r w:rsidRPr="00EC20A0">
        <w:rPr>
          <w:spacing w:val="-6"/>
        </w:rPr>
        <w:t xml:space="preserve"> </w:t>
      </w:r>
      <w:r w:rsidRPr="00EC20A0">
        <w:t>management</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entity’s</w:t>
      </w:r>
      <w:r w:rsidRPr="00EC20A0">
        <w:rPr>
          <w:spacing w:val="-7"/>
        </w:rPr>
        <w:t xml:space="preserve"> </w:t>
      </w:r>
      <w:r w:rsidRPr="00EC20A0">
        <w:t>assets</w:t>
      </w:r>
      <w:r w:rsidRPr="00EC20A0">
        <w:rPr>
          <w:spacing w:val="-5"/>
        </w:rPr>
        <w:t xml:space="preserve"> </w:t>
      </w:r>
      <w:r w:rsidRPr="00EC20A0">
        <w:t>and</w:t>
      </w:r>
      <w:r w:rsidRPr="00EC20A0">
        <w:rPr>
          <w:spacing w:val="-6"/>
        </w:rPr>
        <w:t xml:space="preserve"> </w:t>
      </w:r>
      <w:r w:rsidRPr="00EC20A0">
        <w:rPr>
          <w:spacing w:val="-2"/>
        </w:rPr>
        <w:t>liabilities.</w:t>
      </w:r>
    </w:p>
    <w:p w14:paraId="24D61C4A" w14:textId="77777777" w:rsidR="00245300" w:rsidRPr="00EC20A0" w:rsidRDefault="00F17249">
      <w:pPr>
        <w:pStyle w:val="BodyText"/>
        <w:spacing w:before="239"/>
        <w:ind w:left="1639" w:right="345"/>
      </w:pPr>
      <w:r w:rsidRPr="00EC20A0">
        <w:t>SFFAS</w:t>
      </w:r>
      <w:r w:rsidRPr="00EC20A0">
        <w:rPr>
          <w:spacing w:val="-4"/>
        </w:rPr>
        <w:t xml:space="preserve"> </w:t>
      </w:r>
      <w:r w:rsidRPr="00EC20A0">
        <w:t>17</w:t>
      </w:r>
      <w:r w:rsidRPr="00EC20A0">
        <w:rPr>
          <w:spacing w:val="-3"/>
        </w:rPr>
        <w:t xml:space="preserve"> </w:t>
      </w:r>
      <w:r w:rsidRPr="00EC20A0">
        <w:t>indicates</w:t>
      </w:r>
      <w:r w:rsidRPr="00EC20A0">
        <w:rPr>
          <w:spacing w:val="-3"/>
        </w:rPr>
        <w:t xml:space="preserve"> </w:t>
      </w:r>
      <w:r w:rsidRPr="00EC20A0">
        <w:t>that</w:t>
      </w:r>
      <w:r w:rsidRPr="00EC20A0">
        <w:rPr>
          <w:spacing w:val="-3"/>
        </w:rPr>
        <w:t xml:space="preserve"> </w:t>
      </w:r>
      <w:r w:rsidRPr="00EC20A0">
        <w:t>information</w:t>
      </w:r>
      <w:r w:rsidRPr="00EC20A0">
        <w:rPr>
          <w:spacing w:val="-3"/>
        </w:rPr>
        <w:t xml:space="preserve"> </w:t>
      </w:r>
      <w:r w:rsidRPr="00EC20A0">
        <w:t>about</w:t>
      </w:r>
      <w:r w:rsidRPr="00EC20A0">
        <w:rPr>
          <w:spacing w:val="-3"/>
        </w:rPr>
        <w:t xml:space="preserve"> </w:t>
      </w:r>
      <w:r w:rsidRPr="00EC20A0">
        <w:t>social</w:t>
      </w:r>
      <w:r w:rsidRPr="00EC20A0">
        <w:rPr>
          <w:spacing w:val="-3"/>
        </w:rPr>
        <w:t xml:space="preserve"> </w:t>
      </w:r>
      <w:r w:rsidRPr="00EC20A0">
        <w:t>insurance</w:t>
      </w:r>
      <w:r w:rsidRPr="00EC20A0">
        <w:rPr>
          <w:spacing w:val="-4"/>
        </w:rPr>
        <w:t xml:space="preserve"> </w:t>
      </w:r>
      <w:r w:rsidRPr="00EC20A0">
        <w:t>that</w:t>
      </w:r>
      <w:r w:rsidRPr="00EC20A0">
        <w:rPr>
          <w:spacing w:val="-3"/>
        </w:rPr>
        <w:t xml:space="preserve"> </w:t>
      </w:r>
      <w:r w:rsidRPr="00EC20A0">
        <w:t>is</w:t>
      </w:r>
      <w:r w:rsidRPr="00EC20A0">
        <w:rPr>
          <w:spacing w:val="-3"/>
        </w:rPr>
        <w:t xml:space="preserve"> </w:t>
      </w:r>
      <w:r w:rsidRPr="00EC20A0">
        <w:t>relevant</w:t>
      </w:r>
      <w:r w:rsidRPr="00EC20A0">
        <w:rPr>
          <w:spacing w:val="-3"/>
        </w:rPr>
        <w:t xml:space="preserve"> </w:t>
      </w:r>
      <w:r w:rsidRPr="00EC20A0">
        <w:t>to</w:t>
      </w:r>
      <w:r w:rsidRPr="00EC20A0">
        <w:rPr>
          <w:spacing w:val="-3"/>
        </w:rPr>
        <w:t xml:space="preserve"> </w:t>
      </w:r>
      <w:r w:rsidRPr="00EC20A0">
        <w:t xml:space="preserve">this objective includes the cost of the program as well as long-range estimates (and ranges of estimates) of future costs and other obligations. Estimates of future costs highlight the cost impact of changes in benefit levels as well as changes in economic and demographic conditions, such as the cost of health care and life </w:t>
      </w:r>
      <w:r w:rsidRPr="00EC20A0">
        <w:rPr>
          <w:spacing w:val="-2"/>
        </w:rPr>
        <w:t>expectancies.</w:t>
      </w:r>
    </w:p>
    <w:p w14:paraId="24D61C4B" w14:textId="77777777" w:rsidR="00245300" w:rsidRPr="00EC20A0" w:rsidRDefault="00F17249">
      <w:pPr>
        <w:pStyle w:val="ListParagraph"/>
        <w:numPr>
          <w:ilvl w:val="0"/>
          <w:numId w:val="78"/>
        </w:numPr>
        <w:tabs>
          <w:tab w:val="left" w:pos="1639"/>
        </w:tabs>
        <w:spacing w:before="239"/>
        <w:ind w:right="372"/>
      </w:pPr>
      <w:r w:rsidRPr="00EC20A0">
        <w:t>The third objective of SFFAC No. 1 states that federal financial reporting should assist report users in assessing the impact on the country of the government’s operations</w:t>
      </w:r>
      <w:r w:rsidRPr="00EC20A0">
        <w:rPr>
          <w:spacing w:val="-4"/>
        </w:rPr>
        <w:t xml:space="preserve"> </w:t>
      </w:r>
      <w:r w:rsidRPr="00EC20A0">
        <w:t>and</w:t>
      </w:r>
      <w:r w:rsidRPr="00EC20A0">
        <w:rPr>
          <w:spacing w:val="-4"/>
        </w:rPr>
        <w:t xml:space="preserve"> </w:t>
      </w:r>
      <w:r w:rsidRPr="00EC20A0">
        <w:t>investments</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period</w:t>
      </w:r>
      <w:r w:rsidRPr="00EC20A0">
        <w:rPr>
          <w:spacing w:val="-4"/>
        </w:rPr>
        <w:t xml:space="preserve"> </w:t>
      </w:r>
      <w:r w:rsidRPr="00EC20A0">
        <w:t>and</w:t>
      </w:r>
      <w:r w:rsidRPr="00EC20A0">
        <w:rPr>
          <w:spacing w:val="-4"/>
        </w:rPr>
        <w:t xml:space="preserve"> </w:t>
      </w:r>
      <w:r w:rsidRPr="00EC20A0">
        <w:t>how,</w:t>
      </w:r>
      <w:r w:rsidRPr="00EC20A0">
        <w:rPr>
          <w:spacing w:val="-4"/>
        </w:rPr>
        <w:t xml:space="preserve"> </w:t>
      </w:r>
      <w:r w:rsidRPr="00EC20A0">
        <w:t>as</w:t>
      </w:r>
      <w:r w:rsidRPr="00EC20A0">
        <w:rPr>
          <w:spacing w:val="-4"/>
        </w:rPr>
        <w:t xml:space="preserve"> </w:t>
      </w:r>
      <w:r w:rsidRPr="00EC20A0">
        <w:t>a</w:t>
      </w:r>
      <w:r w:rsidRPr="00EC20A0">
        <w:rPr>
          <w:spacing w:val="-4"/>
        </w:rPr>
        <w:t xml:space="preserve"> </w:t>
      </w:r>
      <w:r w:rsidRPr="00EC20A0">
        <w:t>result,</w:t>
      </w:r>
      <w:r w:rsidRPr="00EC20A0">
        <w:rPr>
          <w:spacing w:val="-4"/>
        </w:rPr>
        <w:t xml:space="preserve"> </w:t>
      </w:r>
      <w:r w:rsidRPr="00EC20A0">
        <w:t>the</w:t>
      </w:r>
      <w:r w:rsidRPr="00EC20A0">
        <w:rPr>
          <w:spacing w:val="-4"/>
        </w:rPr>
        <w:t xml:space="preserve"> </w:t>
      </w:r>
      <w:r w:rsidRPr="00EC20A0">
        <w:t>government’s and the nation’s financial condition has changed and may change in the future.</w:t>
      </w:r>
    </w:p>
    <w:p w14:paraId="24D61C4C" w14:textId="77777777" w:rsidR="00245300" w:rsidRPr="00EC20A0" w:rsidRDefault="00F17249">
      <w:pPr>
        <w:pStyle w:val="BodyText"/>
        <w:spacing w:before="1"/>
        <w:ind w:left="1639" w:right="345"/>
      </w:pPr>
      <w:r w:rsidRPr="00EC20A0">
        <w:t>Thus,</w:t>
      </w:r>
      <w:r w:rsidRPr="00EC20A0">
        <w:rPr>
          <w:spacing w:val="-4"/>
        </w:rPr>
        <w:t xml:space="preserve"> </w:t>
      </w:r>
      <w:r w:rsidRPr="00EC20A0">
        <w:t>federal</w:t>
      </w:r>
      <w:r w:rsidRPr="00EC20A0">
        <w:rPr>
          <w:spacing w:val="-4"/>
        </w:rPr>
        <w:t xml:space="preserve"> </w:t>
      </w:r>
      <w:r w:rsidRPr="00EC20A0">
        <w:t>financial</w:t>
      </w:r>
      <w:r w:rsidRPr="00EC20A0">
        <w:rPr>
          <w:spacing w:val="-4"/>
        </w:rPr>
        <w:t xml:space="preserve"> </w:t>
      </w:r>
      <w:r w:rsidRPr="00EC20A0">
        <w:t>reporting</w:t>
      </w:r>
      <w:r w:rsidRPr="00EC20A0">
        <w:rPr>
          <w:spacing w:val="-4"/>
        </w:rPr>
        <w:t xml:space="preserve"> </w:t>
      </w:r>
      <w:r w:rsidRPr="00EC20A0">
        <w:t>should</w:t>
      </w:r>
      <w:r w:rsidRPr="00EC20A0">
        <w:rPr>
          <w:spacing w:val="-4"/>
        </w:rPr>
        <w:t xml:space="preserve"> </w:t>
      </w:r>
      <w:r w:rsidRPr="00EC20A0">
        <w:t>provide</w:t>
      </w:r>
      <w:r w:rsidRPr="00EC20A0">
        <w:rPr>
          <w:spacing w:val="-4"/>
        </w:rPr>
        <w:t xml:space="preserve"> </w:t>
      </w:r>
      <w:r w:rsidRPr="00EC20A0">
        <w:t>information</w:t>
      </w:r>
      <w:r w:rsidRPr="00EC20A0">
        <w:rPr>
          <w:spacing w:val="-4"/>
        </w:rPr>
        <w:t xml:space="preserve"> </w:t>
      </w:r>
      <w:r w:rsidRPr="00EC20A0">
        <w:t>that</w:t>
      </w:r>
      <w:r w:rsidRPr="00EC20A0">
        <w:rPr>
          <w:spacing w:val="-4"/>
        </w:rPr>
        <w:t xml:space="preserve"> </w:t>
      </w:r>
      <w:r w:rsidRPr="00EC20A0">
        <w:t>helps</w:t>
      </w:r>
      <w:r w:rsidRPr="00EC20A0">
        <w:rPr>
          <w:spacing w:val="-4"/>
        </w:rPr>
        <w:t xml:space="preserve"> </w:t>
      </w:r>
      <w:r w:rsidRPr="00EC20A0">
        <w:t>the</w:t>
      </w:r>
      <w:r w:rsidRPr="00EC20A0">
        <w:rPr>
          <w:spacing w:val="-4"/>
        </w:rPr>
        <w:t xml:space="preserve"> </w:t>
      </w:r>
      <w:r w:rsidRPr="00EC20A0">
        <w:t>reader to determine whether</w:t>
      </w:r>
    </w:p>
    <w:p w14:paraId="24D61C4D" w14:textId="77777777" w:rsidR="00245300" w:rsidRPr="00EC20A0" w:rsidRDefault="00F17249">
      <w:pPr>
        <w:pStyle w:val="ListParagraph"/>
        <w:numPr>
          <w:ilvl w:val="0"/>
          <w:numId w:val="75"/>
        </w:numPr>
        <w:tabs>
          <w:tab w:val="left" w:pos="1999"/>
        </w:tabs>
        <w:spacing w:before="239"/>
        <w:ind w:right="794"/>
      </w:pPr>
      <w:r w:rsidRPr="00EC20A0">
        <w:t>the</w:t>
      </w:r>
      <w:r w:rsidRPr="00EC20A0">
        <w:rPr>
          <w:spacing w:val="-5"/>
        </w:rPr>
        <w:t xml:space="preserve"> </w:t>
      </w:r>
      <w:r w:rsidRPr="00EC20A0">
        <w:t>government’s</w:t>
      </w:r>
      <w:r w:rsidRPr="00EC20A0">
        <w:rPr>
          <w:spacing w:val="-5"/>
        </w:rPr>
        <w:t xml:space="preserve"> </w:t>
      </w:r>
      <w:r w:rsidRPr="00EC20A0">
        <w:t>financial</w:t>
      </w:r>
      <w:r w:rsidRPr="00EC20A0">
        <w:rPr>
          <w:spacing w:val="-5"/>
        </w:rPr>
        <w:t xml:space="preserve"> </w:t>
      </w:r>
      <w:r w:rsidRPr="00EC20A0">
        <w:t>position</w:t>
      </w:r>
      <w:r w:rsidRPr="00EC20A0">
        <w:rPr>
          <w:spacing w:val="-6"/>
        </w:rPr>
        <w:t xml:space="preserve"> </w:t>
      </w:r>
      <w:r w:rsidRPr="00EC20A0">
        <w:t>has</w:t>
      </w:r>
      <w:r w:rsidRPr="00EC20A0">
        <w:rPr>
          <w:spacing w:val="-5"/>
        </w:rPr>
        <w:t xml:space="preserve"> </w:t>
      </w:r>
      <w:r w:rsidRPr="00EC20A0">
        <w:t>improved</w:t>
      </w:r>
      <w:r w:rsidRPr="00EC20A0">
        <w:rPr>
          <w:spacing w:val="-5"/>
        </w:rPr>
        <w:t xml:space="preserve"> </w:t>
      </w:r>
      <w:r w:rsidRPr="00EC20A0">
        <w:t>or</w:t>
      </w:r>
      <w:r w:rsidRPr="00EC20A0">
        <w:rPr>
          <w:spacing w:val="-5"/>
        </w:rPr>
        <w:t xml:space="preserve"> </w:t>
      </w:r>
      <w:r w:rsidRPr="00EC20A0">
        <w:t>deteriorated</w:t>
      </w:r>
      <w:r w:rsidRPr="00EC20A0">
        <w:rPr>
          <w:spacing w:val="-5"/>
        </w:rPr>
        <w:t xml:space="preserve"> </w:t>
      </w:r>
      <w:r w:rsidRPr="00EC20A0">
        <w:t>over</w:t>
      </w:r>
      <w:r w:rsidRPr="00EC20A0">
        <w:rPr>
          <w:spacing w:val="-5"/>
        </w:rPr>
        <w:t xml:space="preserve"> </w:t>
      </w:r>
      <w:r w:rsidRPr="00EC20A0">
        <w:t xml:space="preserve">the </w:t>
      </w:r>
      <w:r w:rsidRPr="00EC20A0">
        <w:rPr>
          <w:spacing w:val="-2"/>
        </w:rPr>
        <w:t>period,</w:t>
      </w:r>
    </w:p>
    <w:p w14:paraId="24D61C4E" w14:textId="77777777" w:rsidR="00245300" w:rsidRPr="00EC20A0" w:rsidRDefault="00F17249">
      <w:pPr>
        <w:pStyle w:val="ListParagraph"/>
        <w:numPr>
          <w:ilvl w:val="0"/>
          <w:numId w:val="75"/>
        </w:numPr>
        <w:tabs>
          <w:tab w:val="left" w:pos="1999"/>
        </w:tabs>
        <w:spacing w:before="238"/>
        <w:ind w:right="609"/>
      </w:pPr>
      <w:r w:rsidRPr="00EC20A0">
        <w:t>future</w:t>
      </w:r>
      <w:r w:rsidRPr="00EC20A0">
        <w:rPr>
          <w:spacing w:val="-4"/>
        </w:rPr>
        <w:t xml:space="preserve"> </w:t>
      </w:r>
      <w:r w:rsidRPr="00EC20A0">
        <w:t>budgetary</w:t>
      </w:r>
      <w:r w:rsidRPr="00EC20A0">
        <w:rPr>
          <w:spacing w:val="-4"/>
        </w:rPr>
        <w:t xml:space="preserve"> </w:t>
      </w:r>
      <w:r w:rsidRPr="00EC20A0">
        <w:t>resources</w:t>
      </w:r>
      <w:r w:rsidRPr="00EC20A0">
        <w:rPr>
          <w:spacing w:val="-4"/>
        </w:rPr>
        <w:t xml:space="preserve"> </w:t>
      </w:r>
      <w:r w:rsidRPr="00EC20A0">
        <w:t>will</w:t>
      </w:r>
      <w:r w:rsidRPr="00EC20A0">
        <w:rPr>
          <w:spacing w:val="-5"/>
        </w:rPr>
        <w:t xml:space="preserve"> </w:t>
      </w:r>
      <w:r w:rsidRPr="00EC20A0">
        <w:t>likely</w:t>
      </w:r>
      <w:r w:rsidRPr="00EC20A0">
        <w:rPr>
          <w:spacing w:val="-4"/>
        </w:rPr>
        <w:t xml:space="preserve"> </w:t>
      </w:r>
      <w:r w:rsidRPr="00EC20A0">
        <w:t>be</w:t>
      </w:r>
      <w:r w:rsidRPr="00EC20A0">
        <w:rPr>
          <w:spacing w:val="-4"/>
        </w:rPr>
        <w:t xml:space="preserve"> </w:t>
      </w:r>
      <w:r w:rsidRPr="00EC20A0">
        <w:t>sufficient</w:t>
      </w:r>
      <w:r w:rsidRPr="00EC20A0">
        <w:rPr>
          <w:spacing w:val="-4"/>
        </w:rPr>
        <w:t xml:space="preserve"> </w:t>
      </w:r>
      <w:r w:rsidRPr="00EC20A0">
        <w:t>to</w:t>
      </w:r>
      <w:r w:rsidRPr="00EC20A0">
        <w:rPr>
          <w:spacing w:val="-4"/>
        </w:rPr>
        <w:t xml:space="preserve"> </w:t>
      </w:r>
      <w:r w:rsidRPr="00EC20A0">
        <w:t>sustain</w:t>
      </w:r>
      <w:r w:rsidRPr="00EC20A0">
        <w:rPr>
          <w:spacing w:val="-5"/>
        </w:rPr>
        <w:t xml:space="preserve"> </w:t>
      </w:r>
      <w:r w:rsidRPr="00EC20A0">
        <w:t>public</w:t>
      </w:r>
      <w:r w:rsidRPr="00EC20A0">
        <w:rPr>
          <w:spacing w:val="-4"/>
        </w:rPr>
        <w:t xml:space="preserve"> </w:t>
      </w:r>
      <w:r w:rsidRPr="00EC20A0">
        <w:t>services and to meet obligations as they come due, and</w:t>
      </w:r>
    </w:p>
    <w:p w14:paraId="24D61C4F" w14:textId="77777777" w:rsidR="00245300" w:rsidRPr="00EC20A0" w:rsidRDefault="00F17249">
      <w:pPr>
        <w:pStyle w:val="ListParagraph"/>
        <w:numPr>
          <w:ilvl w:val="0"/>
          <w:numId w:val="75"/>
        </w:numPr>
        <w:tabs>
          <w:tab w:val="left" w:pos="1999"/>
        </w:tabs>
        <w:spacing w:before="238"/>
        <w:ind w:right="732"/>
      </w:pPr>
      <w:r w:rsidRPr="00EC20A0">
        <w:t>government</w:t>
      </w:r>
      <w:r w:rsidRPr="00EC20A0">
        <w:rPr>
          <w:spacing w:val="-5"/>
        </w:rPr>
        <w:t xml:space="preserve"> </w:t>
      </w:r>
      <w:r w:rsidRPr="00EC20A0">
        <w:t>operations</w:t>
      </w:r>
      <w:r w:rsidRPr="00EC20A0">
        <w:rPr>
          <w:spacing w:val="-5"/>
        </w:rPr>
        <w:t xml:space="preserve"> </w:t>
      </w:r>
      <w:r w:rsidRPr="00EC20A0">
        <w:t>have</w:t>
      </w:r>
      <w:r w:rsidRPr="00EC20A0">
        <w:rPr>
          <w:spacing w:val="-5"/>
        </w:rPr>
        <w:t xml:space="preserve"> </w:t>
      </w:r>
      <w:r w:rsidRPr="00EC20A0">
        <w:t>contributed</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nation’s</w:t>
      </w:r>
      <w:r w:rsidRPr="00EC20A0">
        <w:rPr>
          <w:spacing w:val="-5"/>
        </w:rPr>
        <w:t xml:space="preserve"> </w:t>
      </w:r>
      <w:r w:rsidRPr="00EC20A0">
        <w:t>current</w:t>
      </w:r>
      <w:r w:rsidRPr="00EC20A0">
        <w:rPr>
          <w:spacing w:val="-5"/>
        </w:rPr>
        <w:t xml:space="preserve"> </w:t>
      </w:r>
      <w:r w:rsidRPr="00EC20A0">
        <w:t>and</w:t>
      </w:r>
      <w:r w:rsidRPr="00EC20A0">
        <w:rPr>
          <w:spacing w:val="-5"/>
        </w:rPr>
        <w:t xml:space="preserve"> </w:t>
      </w:r>
      <w:r w:rsidRPr="00EC20A0">
        <w:t xml:space="preserve">future </w:t>
      </w:r>
      <w:r w:rsidRPr="00EC20A0">
        <w:rPr>
          <w:spacing w:val="-2"/>
        </w:rPr>
        <w:t>well-being.</w:t>
      </w:r>
    </w:p>
    <w:p w14:paraId="24D61C50" w14:textId="77777777" w:rsidR="00245300" w:rsidRPr="00EC20A0" w:rsidRDefault="00F17249">
      <w:pPr>
        <w:pStyle w:val="ListParagraph"/>
        <w:numPr>
          <w:ilvl w:val="0"/>
          <w:numId w:val="78"/>
        </w:numPr>
        <w:tabs>
          <w:tab w:val="left" w:pos="1639"/>
        </w:tabs>
        <w:spacing w:before="238"/>
        <w:ind w:hanging="720"/>
      </w:pPr>
      <w:r w:rsidRPr="00EC20A0">
        <w:t>Fundamental</w:t>
      </w:r>
      <w:r w:rsidRPr="00EC20A0">
        <w:rPr>
          <w:spacing w:val="-8"/>
        </w:rPr>
        <w:t xml:space="preserve"> </w:t>
      </w:r>
      <w:r w:rsidRPr="00EC20A0">
        <w:t>questions</w:t>
      </w:r>
      <w:r w:rsidRPr="00EC20A0">
        <w:rPr>
          <w:spacing w:val="-8"/>
        </w:rPr>
        <w:t xml:space="preserve"> </w:t>
      </w:r>
      <w:r w:rsidRPr="00EC20A0">
        <w:t>about</w:t>
      </w:r>
      <w:r w:rsidRPr="00EC20A0">
        <w:rPr>
          <w:spacing w:val="-7"/>
        </w:rPr>
        <w:t xml:space="preserve"> </w:t>
      </w:r>
      <w:r w:rsidRPr="00EC20A0">
        <w:t>social</w:t>
      </w:r>
      <w:r w:rsidRPr="00EC20A0">
        <w:rPr>
          <w:spacing w:val="-8"/>
        </w:rPr>
        <w:t xml:space="preserve"> </w:t>
      </w:r>
      <w:r w:rsidRPr="00EC20A0">
        <w:t>insurance</w:t>
      </w:r>
      <w:r w:rsidRPr="00EC20A0">
        <w:rPr>
          <w:spacing w:val="-10"/>
        </w:rPr>
        <w:t xml:space="preserve"> </w:t>
      </w:r>
      <w:r w:rsidRPr="00EC20A0">
        <w:t>programs</w:t>
      </w:r>
      <w:r w:rsidRPr="00EC20A0">
        <w:rPr>
          <w:spacing w:val="-7"/>
        </w:rPr>
        <w:t xml:space="preserve"> </w:t>
      </w:r>
      <w:r w:rsidRPr="00EC20A0">
        <w:t>that</w:t>
      </w:r>
      <w:r w:rsidRPr="00EC20A0">
        <w:rPr>
          <w:spacing w:val="-8"/>
        </w:rPr>
        <w:t xml:space="preserve"> </w:t>
      </w:r>
      <w:r w:rsidRPr="00EC20A0">
        <w:t>can</w:t>
      </w:r>
      <w:r w:rsidRPr="00EC20A0">
        <w:rPr>
          <w:spacing w:val="-7"/>
        </w:rPr>
        <w:t xml:space="preserve"> </w:t>
      </w:r>
      <w:r w:rsidRPr="00EC20A0">
        <w:t>be</w:t>
      </w:r>
      <w:r w:rsidRPr="00EC20A0">
        <w:rPr>
          <w:spacing w:val="-7"/>
        </w:rPr>
        <w:t xml:space="preserve"> </w:t>
      </w:r>
      <w:r w:rsidRPr="00EC20A0">
        <w:rPr>
          <w:spacing w:val="-2"/>
        </w:rPr>
        <w:t>addressed</w:t>
      </w:r>
    </w:p>
    <w:p w14:paraId="24D61C51" w14:textId="77777777" w:rsidR="00245300" w:rsidRPr="00EC20A0" w:rsidRDefault="00245300">
      <w:pPr>
        <w:sectPr w:rsidR="00245300" w:rsidRPr="00EC20A0">
          <w:pgSz w:w="12240" w:h="15840"/>
          <w:pgMar w:top="1600" w:right="1100" w:bottom="940" w:left="1240" w:header="721" w:footer="757" w:gutter="0"/>
          <w:cols w:space="720"/>
        </w:sectPr>
      </w:pPr>
    </w:p>
    <w:p w14:paraId="24D61C52" w14:textId="77777777" w:rsidR="00245300" w:rsidRPr="00EC20A0" w:rsidRDefault="00F17249">
      <w:pPr>
        <w:pStyle w:val="BodyText"/>
        <w:spacing w:before="121"/>
        <w:ind w:left="1640"/>
      </w:pPr>
      <w:r w:rsidRPr="00EC20A0">
        <w:t>by</w:t>
      </w:r>
      <w:r w:rsidRPr="00EC20A0">
        <w:rPr>
          <w:spacing w:val="-9"/>
        </w:rPr>
        <w:t xml:space="preserve"> </w:t>
      </w:r>
      <w:r w:rsidRPr="00EC20A0">
        <w:t>accounting</w:t>
      </w:r>
      <w:r w:rsidRPr="00EC20A0">
        <w:rPr>
          <w:spacing w:val="-8"/>
        </w:rPr>
        <w:t xml:space="preserve"> </w:t>
      </w:r>
      <w:r w:rsidRPr="00EC20A0">
        <w:t>standards</w:t>
      </w:r>
      <w:r w:rsidRPr="00EC20A0">
        <w:rPr>
          <w:spacing w:val="-9"/>
        </w:rPr>
        <w:t xml:space="preserve"> </w:t>
      </w:r>
      <w:r w:rsidRPr="00EC20A0">
        <w:t>include</w:t>
      </w:r>
      <w:r w:rsidRPr="00EC20A0">
        <w:rPr>
          <w:spacing w:val="-9"/>
        </w:rPr>
        <w:t xml:space="preserve"> </w:t>
      </w:r>
      <w:r w:rsidRPr="00EC20A0">
        <w:rPr>
          <w:spacing w:val="-2"/>
        </w:rPr>
        <w:t>whether</w:t>
      </w:r>
    </w:p>
    <w:p w14:paraId="24D61C53" w14:textId="77777777" w:rsidR="00245300" w:rsidRPr="00EC20A0" w:rsidRDefault="00F17249">
      <w:pPr>
        <w:pStyle w:val="ListParagraph"/>
        <w:numPr>
          <w:ilvl w:val="0"/>
          <w:numId w:val="74"/>
        </w:numPr>
        <w:tabs>
          <w:tab w:val="left" w:pos="1999"/>
        </w:tabs>
        <w:ind w:hanging="359"/>
      </w:pPr>
      <w:r w:rsidRPr="00EC20A0">
        <w:t>programs</w:t>
      </w:r>
      <w:r w:rsidRPr="00EC20A0">
        <w:rPr>
          <w:spacing w:val="-8"/>
        </w:rPr>
        <w:t xml:space="preserve"> </w:t>
      </w:r>
      <w:r w:rsidRPr="00EC20A0">
        <w:t>are</w:t>
      </w:r>
      <w:r w:rsidRPr="00EC20A0">
        <w:rPr>
          <w:spacing w:val="-8"/>
        </w:rPr>
        <w:t xml:space="preserve"> </w:t>
      </w:r>
      <w:r w:rsidRPr="00EC20A0">
        <w:t>sustainable</w:t>
      </w:r>
      <w:r w:rsidRPr="00EC20A0">
        <w:rPr>
          <w:spacing w:val="-8"/>
        </w:rPr>
        <w:t xml:space="preserve"> </w:t>
      </w:r>
      <w:r w:rsidRPr="00EC20A0">
        <w:t>as</w:t>
      </w:r>
      <w:r w:rsidRPr="00EC20A0">
        <w:rPr>
          <w:spacing w:val="-7"/>
        </w:rPr>
        <w:t xml:space="preserve"> </w:t>
      </w:r>
      <w:r w:rsidRPr="00EC20A0">
        <w:t>currently</w:t>
      </w:r>
      <w:r w:rsidRPr="00EC20A0">
        <w:rPr>
          <w:spacing w:val="-8"/>
        </w:rPr>
        <w:t xml:space="preserve"> </w:t>
      </w:r>
      <w:r w:rsidRPr="00EC20A0">
        <w:rPr>
          <w:spacing w:val="-2"/>
        </w:rPr>
        <w:t>constructed,</w:t>
      </w:r>
    </w:p>
    <w:p w14:paraId="24D61C54" w14:textId="77777777" w:rsidR="00245300" w:rsidRPr="00EC20A0" w:rsidRDefault="00F17249">
      <w:pPr>
        <w:pStyle w:val="ListParagraph"/>
        <w:numPr>
          <w:ilvl w:val="0"/>
          <w:numId w:val="74"/>
        </w:numPr>
        <w:tabs>
          <w:tab w:val="left" w:pos="1999"/>
        </w:tabs>
        <w:spacing w:before="238"/>
        <w:ind w:right="452"/>
      </w:pPr>
      <w:r w:rsidRPr="00EC20A0">
        <w:t>the</w:t>
      </w:r>
      <w:r w:rsidRPr="00EC20A0">
        <w:rPr>
          <w:spacing w:val="-4"/>
        </w:rPr>
        <w:t xml:space="preserve"> </w:t>
      </w:r>
      <w:r w:rsidRPr="00EC20A0">
        <w:t>government’s</w:t>
      </w:r>
      <w:r w:rsidRPr="00EC20A0">
        <w:rPr>
          <w:spacing w:val="-4"/>
        </w:rPr>
        <w:t xml:space="preserve"> </w:t>
      </w:r>
      <w:r w:rsidRPr="00EC20A0">
        <w:t>financial</w:t>
      </w:r>
      <w:r w:rsidRPr="00EC20A0">
        <w:rPr>
          <w:spacing w:val="-4"/>
        </w:rPr>
        <w:t xml:space="preserve"> </w:t>
      </w:r>
      <w:r w:rsidRPr="00EC20A0">
        <w:t>condition</w:t>
      </w:r>
      <w:r w:rsidRPr="00EC20A0">
        <w:rPr>
          <w:spacing w:val="-5"/>
        </w:rPr>
        <w:t xml:space="preserve"> </w:t>
      </w:r>
      <w:r w:rsidRPr="00EC20A0">
        <w:t>has</w:t>
      </w:r>
      <w:r w:rsidRPr="00EC20A0">
        <w:rPr>
          <w:spacing w:val="-4"/>
        </w:rPr>
        <w:t xml:space="preserve"> </w:t>
      </w:r>
      <w:r w:rsidRPr="00EC20A0">
        <w:t>improved</w:t>
      </w:r>
      <w:r w:rsidRPr="00EC20A0">
        <w:rPr>
          <w:spacing w:val="-4"/>
        </w:rPr>
        <w:t xml:space="preserve"> </w:t>
      </w:r>
      <w:r w:rsidRPr="00EC20A0">
        <w:t>or</w:t>
      </w:r>
      <w:r w:rsidRPr="00EC20A0">
        <w:rPr>
          <w:spacing w:val="-4"/>
        </w:rPr>
        <w:t xml:space="preserve"> </w:t>
      </w:r>
      <w:r w:rsidRPr="00EC20A0">
        <w:t>deteriorated</w:t>
      </w:r>
      <w:r w:rsidRPr="00EC20A0">
        <w:rPr>
          <w:spacing w:val="-4"/>
        </w:rPr>
        <w:t xml:space="preserve"> </w:t>
      </w:r>
      <w:r w:rsidRPr="00EC20A0">
        <w:t>as</w:t>
      </w:r>
      <w:r w:rsidRPr="00EC20A0">
        <w:rPr>
          <w:spacing w:val="-4"/>
        </w:rPr>
        <w:t xml:space="preserve"> </w:t>
      </w:r>
      <w:r w:rsidRPr="00EC20A0">
        <w:t>a</w:t>
      </w:r>
      <w:r w:rsidRPr="00EC20A0">
        <w:rPr>
          <w:spacing w:val="-4"/>
        </w:rPr>
        <w:t xml:space="preserve"> </w:t>
      </w:r>
      <w:r w:rsidRPr="00EC20A0">
        <w:t>result of its efforts to provide for these and other programs, and</w:t>
      </w:r>
    </w:p>
    <w:p w14:paraId="24D61C55" w14:textId="77777777" w:rsidR="00245300" w:rsidRPr="00EC20A0" w:rsidRDefault="00F17249">
      <w:pPr>
        <w:pStyle w:val="ListParagraph"/>
        <w:numPr>
          <w:ilvl w:val="0"/>
          <w:numId w:val="74"/>
        </w:numPr>
        <w:tabs>
          <w:tab w:val="left" w:pos="1999"/>
        </w:tabs>
        <w:spacing w:before="238"/>
        <w:ind w:right="598"/>
      </w:pPr>
      <w:r w:rsidRPr="00EC20A0">
        <w:t>the</w:t>
      </w:r>
      <w:r w:rsidRPr="00EC20A0">
        <w:rPr>
          <w:spacing w:val="-3"/>
        </w:rPr>
        <w:t xml:space="preserve"> </w:t>
      </w:r>
      <w:r w:rsidRPr="00EC20A0">
        <w:t>likelihood</w:t>
      </w:r>
      <w:r w:rsidRPr="00EC20A0">
        <w:rPr>
          <w:spacing w:val="-4"/>
        </w:rPr>
        <w:t xml:space="preserve"> </w:t>
      </w:r>
      <w:r w:rsidRPr="00EC20A0">
        <w:t>that</w:t>
      </w:r>
      <w:r w:rsidRPr="00EC20A0">
        <w:rPr>
          <w:spacing w:val="-3"/>
        </w:rPr>
        <w:t xml:space="preserve"> </w:t>
      </w:r>
      <w:r w:rsidRPr="00EC20A0">
        <w:t>these</w:t>
      </w:r>
      <w:r w:rsidRPr="00EC20A0">
        <w:rPr>
          <w:spacing w:val="-4"/>
        </w:rPr>
        <w:t xml:space="preserve"> </w:t>
      </w:r>
      <w:r w:rsidRPr="00EC20A0">
        <w:t>programs</w:t>
      </w:r>
      <w:r w:rsidRPr="00EC20A0">
        <w:rPr>
          <w:spacing w:val="-3"/>
        </w:rPr>
        <w:t xml:space="preserve"> </w:t>
      </w:r>
      <w:r w:rsidRPr="00EC20A0">
        <w:t>will</w:t>
      </w:r>
      <w:r w:rsidRPr="00EC20A0">
        <w:rPr>
          <w:spacing w:val="-4"/>
        </w:rPr>
        <w:t xml:space="preserve"> </w:t>
      </w:r>
      <w:r w:rsidRPr="00EC20A0">
        <w:t>be</w:t>
      </w:r>
      <w:r w:rsidRPr="00EC20A0">
        <w:rPr>
          <w:spacing w:val="-3"/>
        </w:rPr>
        <w:t xml:space="preserve"> </w:t>
      </w:r>
      <w:r w:rsidRPr="00EC20A0">
        <w:t>able</w:t>
      </w:r>
      <w:r w:rsidRPr="00EC20A0">
        <w:rPr>
          <w:spacing w:val="-4"/>
        </w:rPr>
        <w:t xml:space="preserve"> </w:t>
      </w:r>
      <w:r w:rsidRPr="00EC20A0">
        <w:t>to</w:t>
      </w:r>
      <w:r w:rsidRPr="00EC20A0">
        <w:rPr>
          <w:spacing w:val="-4"/>
        </w:rPr>
        <w:t xml:space="preserve"> </w:t>
      </w:r>
      <w:r w:rsidRPr="00EC20A0">
        <w:t>provide</w:t>
      </w:r>
      <w:r w:rsidRPr="00EC20A0">
        <w:rPr>
          <w:spacing w:val="-3"/>
        </w:rPr>
        <w:t xml:space="preserve"> </w:t>
      </w:r>
      <w:r w:rsidRPr="00EC20A0">
        <w:t>benefits</w:t>
      </w:r>
      <w:r w:rsidRPr="00EC20A0">
        <w:rPr>
          <w:spacing w:val="-4"/>
        </w:rPr>
        <w:t xml:space="preserve"> </w:t>
      </w:r>
      <w:r w:rsidRPr="00EC20A0">
        <w:t>at</w:t>
      </w:r>
      <w:r w:rsidRPr="00EC20A0">
        <w:rPr>
          <w:spacing w:val="-3"/>
        </w:rPr>
        <w:t xml:space="preserve"> </w:t>
      </w:r>
      <w:r w:rsidRPr="00EC20A0">
        <w:t>current levels to those who are planning on receiving them.</w:t>
      </w:r>
    </w:p>
    <w:p w14:paraId="24D61C56" w14:textId="77777777" w:rsidR="00245300" w:rsidRPr="00EC20A0" w:rsidRDefault="00F17249">
      <w:pPr>
        <w:pStyle w:val="BodyText"/>
        <w:spacing w:before="239"/>
        <w:ind w:left="1639" w:right="345"/>
      </w:pPr>
      <w:r w:rsidRPr="00EC20A0">
        <w:t>The</w:t>
      </w:r>
      <w:r w:rsidRPr="00EC20A0">
        <w:rPr>
          <w:spacing w:val="-3"/>
        </w:rPr>
        <w:t xml:space="preserve"> </w:t>
      </w:r>
      <w:r w:rsidRPr="00EC20A0">
        <w:t>information</w:t>
      </w:r>
      <w:r w:rsidRPr="00EC20A0">
        <w:rPr>
          <w:spacing w:val="-3"/>
        </w:rPr>
        <w:t xml:space="preserve"> </w:t>
      </w:r>
      <w:r w:rsidRPr="00EC20A0">
        <w:t>required</w:t>
      </w:r>
      <w:r w:rsidRPr="00EC20A0">
        <w:rPr>
          <w:spacing w:val="-4"/>
        </w:rPr>
        <w:t xml:space="preserve"> </w:t>
      </w:r>
      <w:r w:rsidRPr="00EC20A0">
        <w:t>by</w:t>
      </w:r>
      <w:r w:rsidRPr="00EC20A0">
        <w:rPr>
          <w:spacing w:val="-3"/>
        </w:rPr>
        <w:t xml:space="preserve"> </w:t>
      </w:r>
      <w:r w:rsidRPr="00EC20A0">
        <w:t>this</w:t>
      </w:r>
      <w:r w:rsidRPr="00EC20A0">
        <w:rPr>
          <w:spacing w:val="-3"/>
        </w:rPr>
        <w:t xml:space="preserve"> </w:t>
      </w:r>
      <w:r w:rsidRPr="00EC20A0">
        <w:t>standard,</w:t>
      </w:r>
      <w:r w:rsidRPr="00EC20A0">
        <w:rPr>
          <w:spacing w:val="-3"/>
        </w:rPr>
        <w:t xml:space="preserve"> </w:t>
      </w:r>
      <w:r w:rsidRPr="00EC20A0">
        <w:t>taken</w:t>
      </w:r>
      <w:r w:rsidRPr="00EC20A0">
        <w:rPr>
          <w:spacing w:val="-4"/>
        </w:rPr>
        <w:t xml:space="preserve"> </w:t>
      </w:r>
      <w:r w:rsidRPr="00EC20A0">
        <w:t>as</w:t>
      </w:r>
      <w:r w:rsidRPr="00EC20A0">
        <w:rPr>
          <w:spacing w:val="-3"/>
        </w:rPr>
        <w:t xml:space="preserve"> </w:t>
      </w:r>
      <w:r w:rsidRPr="00EC20A0">
        <w:t>a</w:t>
      </w:r>
      <w:r w:rsidRPr="00EC20A0">
        <w:rPr>
          <w:spacing w:val="-3"/>
        </w:rPr>
        <w:t xml:space="preserve"> </w:t>
      </w:r>
      <w:r w:rsidRPr="00EC20A0">
        <w:t>whole,</w:t>
      </w:r>
      <w:r w:rsidRPr="00EC20A0">
        <w:rPr>
          <w:spacing w:val="-4"/>
        </w:rPr>
        <w:t xml:space="preserve"> </w:t>
      </w:r>
      <w:r w:rsidRPr="00EC20A0">
        <w:t>will</w:t>
      </w:r>
      <w:r w:rsidRPr="00EC20A0">
        <w:rPr>
          <w:spacing w:val="-3"/>
        </w:rPr>
        <w:t xml:space="preserve"> </w:t>
      </w:r>
      <w:r w:rsidRPr="00EC20A0">
        <w:t>help</w:t>
      </w:r>
      <w:r w:rsidRPr="00EC20A0">
        <w:rPr>
          <w:spacing w:val="-3"/>
        </w:rPr>
        <w:t xml:space="preserve"> </w:t>
      </w:r>
      <w:r w:rsidRPr="00EC20A0">
        <w:t>users</w:t>
      </w:r>
      <w:r w:rsidRPr="00EC20A0">
        <w:rPr>
          <w:spacing w:val="-3"/>
        </w:rPr>
        <w:t xml:space="preserve"> </w:t>
      </w:r>
      <w:r w:rsidRPr="00EC20A0">
        <w:t>make this assessment while acknowledging the complexity of the programs and the uncertainty of long-term projections.</w:t>
      </w:r>
    </w:p>
    <w:p w14:paraId="24D61C57" w14:textId="77777777" w:rsidR="00245300" w:rsidRPr="00EC20A0" w:rsidRDefault="00F17249">
      <w:pPr>
        <w:pStyle w:val="ListParagraph"/>
        <w:numPr>
          <w:ilvl w:val="0"/>
          <w:numId w:val="78"/>
        </w:numPr>
        <w:tabs>
          <w:tab w:val="left" w:pos="1640"/>
        </w:tabs>
        <w:spacing w:before="239"/>
        <w:ind w:left="1640" w:right="625"/>
      </w:pPr>
      <w:r w:rsidRPr="00EC20A0">
        <w:t>In</w:t>
      </w:r>
      <w:r w:rsidRPr="00EC20A0">
        <w:rPr>
          <w:spacing w:val="-3"/>
        </w:rPr>
        <w:t xml:space="preserve"> </w:t>
      </w:r>
      <w:r w:rsidRPr="00EC20A0">
        <w:t>determining</w:t>
      </w:r>
      <w:r w:rsidRPr="00EC20A0">
        <w:rPr>
          <w:spacing w:val="-3"/>
        </w:rPr>
        <w:t xml:space="preserve"> </w:t>
      </w:r>
      <w:r w:rsidRPr="00EC20A0">
        <w:t>the</w:t>
      </w:r>
      <w:r w:rsidRPr="00EC20A0">
        <w:rPr>
          <w:spacing w:val="-3"/>
        </w:rPr>
        <w:t xml:space="preserve"> </w:t>
      </w:r>
      <w:r w:rsidRPr="00EC20A0">
        <w:t>materiality</w:t>
      </w:r>
      <w:r w:rsidRPr="00EC20A0">
        <w:rPr>
          <w:spacing w:val="-3"/>
        </w:rPr>
        <w:t xml:space="preserve"> </w:t>
      </w:r>
      <w:r w:rsidRPr="00EC20A0">
        <w:t>benchmark</w:t>
      </w:r>
      <w:r w:rsidRPr="00EC20A0">
        <w:rPr>
          <w:spacing w:val="-3"/>
        </w:rPr>
        <w:t xml:space="preserve"> </w:t>
      </w:r>
      <w:r w:rsidRPr="00EC20A0">
        <w:t>for</w:t>
      </w:r>
      <w:r w:rsidRPr="00EC20A0">
        <w:rPr>
          <w:spacing w:val="-3"/>
        </w:rPr>
        <w:t xml:space="preserve"> </w:t>
      </w:r>
      <w:r w:rsidRPr="00EC20A0">
        <w:t>planning</w:t>
      </w:r>
      <w:r w:rsidRPr="00EC20A0">
        <w:rPr>
          <w:spacing w:val="-3"/>
        </w:rPr>
        <w:t xml:space="preserve"> </w:t>
      </w:r>
      <w:r w:rsidRPr="00EC20A0">
        <w:t>and</w:t>
      </w:r>
      <w:r w:rsidRPr="00EC20A0">
        <w:rPr>
          <w:spacing w:val="-3"/>
        </w:rPr>
        <w:t xml:space="preserve"> </w:t>
      </w:r>
      <w:r w:rsidRPr="00EC20A0">
        <w:t>performing</w:t>
      </w:r>
      <w:r w:rsidRPr="00EC20A0">
        <w:rPr>
          <w:spacing w:val="-3"/>
        </w:rPr>
        <w:t xml:space="preserve"> </w:t>
      </w:r>
      <w:r w:rsidRPr="00EC20A0">
        <w:t>audits</w:t>
      </w:r>
      <w:r w:rsidRPr="00EC20A0">
        <w:rPr>
          <w:spacing w:val="-3"/>
        </w:rPr>
        <w:t xml:space="preserve"> </w:t>
      </w:r>
      <w:r w:rsidRPr="00EC20A0">
        <w:t>of an</w:t>
      </w:r>
      <w:r w:rsidRPr="00EC20A0">
        <w:rPr>
          <w:spacing w:val="-4"/>
        </w:rPr>
        <w:t xml:space="preserve"> </w:t>
      </w:r>
      <w:r w:rsidRPr="00EC20A0">
        <w:t>entity’s</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Social</w:t>
      </w:r>
      <w:r w:rsidRPr="00EC20A0">
        <w:rPr>
          <w:spacing w:val="-4"/>
        </w:rPr>
        <w:t xml:space="preserve"> </w:t>
      </w:r>
      <w:r w:rsidRPr="00EC20A0">
        <w:t>Insurance</w:t>
      </w:r>
      <w:r w:rsidRPr="00EC20A0">
        <w:rPr>
          <w:spacing w:val="-4"/>
        </w:rPr>
        <w:t xml:space="preserve"> </w:t>
      </w:r>
      <w:r w:rsidRPr="00EC20A0">
        <w:t>and</w:t>
      </w:r>
      <w:r w:rsidRPr="00EC20A0">
        <w:rPr>
          <w:spacing w:val="-4"/>
        </w:rPr>
        <w:t xml:space="preserve"> </w:t>
      </w:r>
      <w:r w:rsidRPr="00EC20A0">
        <w:t>related</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Changes</w:t>
      </w:r>
      <w:r w:rsidRPr="00EC20A0">
        <w:rPr>
          <w:spacing w:val="-4"/>
        </w:rPr>
        <w:t xml:space="preserve"> </w:t>
      </w:r>
      <w:r w:rsidRPr="00EC20A0">
        <w:t>in Social Insurance Amounts, the auditor should evaluate the actuarial present value of the estimated future</w:t>
      </w:r>
    </w:p>
    <w:p w14:paraId="24D61C58" w14:textId="77777777" w:rsidR="00245300" w:rsidRPr="00EC20A0" w:rsidRDefault="00F17249">
      <w:pPr>
        <w:pStyle w:val="ListParagraph"/>
        <w:numPr>
          <w:ilvl w:val="0"/>
          <w:numId w:val="73"/>
        </w:numPr>
        <w:tabs>
          <w:tab w:val="left" w:pos="2000"/>
        </w:tabs>
        <w:spacing w:before="239"/>
        <w:ind w:right="357"/>
      </w:pPr>
      <w:r w:rsidRPr="00EC20A0">
        <w:t>income/revenue</w:t>
      </w:r>
      <w:r w:rsidRPr="00EC20A0">
        <w:rPr>
          <w:spacing w:val="-3"/>
        </w:rPr>
        <w:t xml:space="preserve"> </w:t>
      </w:r>
      <w:r w:rsidRPr="00EC20A0">
        <w:t>(excluding</w:t>
      </w:r>
      <w:r w:rsidRPr="00EC20A0">
        <w:rPr>
          <w:spacing w:val="-3"/>
        </w:rPr>
        <w:t xml:space="preserve"> </w:t>
      </w:r>
      <w:r w:rsidRPr="00EC20A0">
        <w:t>interest</w:t>
      </w:r>
      <w:hyperlink w:anchor="_bookmark204" w:history="1">
        <w:r w:rsidRPr="00EC20A0">
          <w:rPr>
            <w:position w:val="7"/>
            <w:sz w:val="14"/>
          </w:rPr>
          <w:t>46</w:t>
        </w:r>
      </w:hyperlink>
      <w:r w:rsidRPr="00EC20A0">
        <w:t>)</w:t>
      </w:r>
      <w:r w:rsidRPr="00EC20A0">
        <w:rPr>
          <w:spacing w:val="-3"/>
        </w:rPr>
        <w:t xml:space="preserve"> </w:t>
      </w:r>
      <w:r w:rsidRPr="00EC20A0">
        <w:t>received</w:t>
      </w:r>
      <w:r w:rsidRPr="00EC20A0">
        <w:rPr>
          <w:spacing w:val="-3"/>
        </w:rPr>
        <w:t xml:space="preserve"> </w:t>
      </w:r>
      <w:r w:rsidRPr="00EC20A0">
        <w:t>from</w:t>
      </w:r>
      <w:r w:rsidRPr="00EC20A0">
        <w:rPr>
          <w:spacing w:val="-4"/>
        </w:rPr>
        <w:t xml:space="preserve"> </w:t>
      </w:r>
      <w:r w:rsidRPr="00EC20A0">
        <w:t>or</w:t>
      </w:r>
      <w:r w:rsidRPr="00EC20A0">
        <w:rPr>
          <w:spacing w:val="-3"/>
        </w:rPr>
        <w:t xml:space="preserve"> </w:t>
      </w:r>
      <w:r w:rsidRPr="00EC20A0">
        <w:t>on</w:t>
      </w:r>
      <w:r w:rsidRPr="00EC20A0">
        <w:rPr>
          <w:spacing w:val="-3"/>
        </w:rPr>
        <w:t xml:space="preserve"> </w:t>
      </w:r>
      <w:r w:rsidRPr="00EC20A0">
        <w:t>behalf</w:t>
      </w:r>
      <w:r w:rsidRPr="00EC20A0">
        <w:rPr>
          <w:spacing w:val="-3"/>
        </w:rPr>
        <w:t xml:space="preserve"> </w:t>
      </w:r>
      <w:r w:rsidRPr="00EC20A0">
        <w:t>of</w:t>
      </w:r>
      <w:r w:rsidRPr="00EC20A0">
        <w:rPr>
          <w:spacing w:val="-3"/>
        </w:rPr>
        <w:t xml:space="preserve"> </w:t>
      </w:r>
      <w:r w:rsidRPr="00EC20A0">
        <w:t>all</w:t>
      </w:r>
      <w:r w:rsidRPr="00EC20A0">
        <w:rPr>
          <w:spacing w:val="-4"/>
        </w:rPr>
        <w:t xml:space="preserve"> </w:t>
      </w:r>
      <w:r w:rsidRPr="00EC20A0">
        <w:t>current and future participants (estimated future revenue),</w:t>
      </w:r>
    </w:p>
    <w:p w14:paraId="24D61C59" w14:textId="77777777" w:rsidR="00245300" w:rsidRPr="00EC20A0" w:rsidRDefault="00F17249">
      <w:pPr>
        <w:pStyle w:val="ListParagraph"/>
        <w:numPr>
          <w:ilvl w:val="0"/>
          <w:numId w:val="73"/>
        </w:numPr>
        <w:tabs>
          <w:tab w:val="left" w:pos="2000"/>
        </w:tabs>
        <w:spacing w:before="239"/>
        <w:ind w:right="501"/>
      </w:pPr>
      <w:r w:rsidRPr="00EC20A0">
        <w:t>expenditures</w:t>
      </w:r>
      <w:r w:rsidRPr="00EC20A0">
        <w:rPr>
          <w:spacing w:val="-4"/>
        </w:rPr>
        <w:t xml:space="preserve"> </w:t>
      </w:r>
      <w:r w:rsidRPr="00EC20A0">
        <w:t>for</w:t>
      </w:r>
      <w:r w:rsidRPr="00EC20A0">
        <w:rPr>
          <w:spacing w:val="-4"/>
        </w:rPr>
        <w:t xml:space="preserve"> </w:t>
      </w:r>
      <w:r w:rsidRPr="00EC20A0">
        <w:t>or</w:t>
      </w:r>
      <w:r w:rsidRPr="00EC20A0">
        <w:rPr>
          <w:spacing w:val="-4"/>
        </w:rPr>
        <w:t xml:space="preserve"> </w:t>
      </w:r>
      <w:r w:rsidRPr="00EC20A0">
        <w:t>on</w:t>
      </w:r>
      <w:r w:rsidRPr="00EC20A0">
        <w:rPr>
          <w:spacing w:val="-4"/>
        </w:rPr>
        <w:t xml:space="preserve"> </w:t>
      </w:r>
      <w:r w:rsidRPr="00EC20A0">
        <w:t>behalf</w:t>
      </w:r>
      <w:r w:rsidRPr="00EC20A0">
        <w:rPr>
          <w:spacing w:val="-4"/>
        </w:rPr>
        <w:t xml:space="preserve"> </w:t>
      </w:r>
      <w:r w:rsidRPr="00EC20A0">
        <w:t>of</w:t>
      </w:r>
      <w:r w:rsidRPr="00EC20A0">
        <w:rPr>
          <w:spacing w:val="-4"/>
        </w:rPr>
        <w:t xml:space="preserve"> </w:t>
      </w:r>
      <w:r w:rsidRPr="00EC20A0">
        <w:t>all</w:t>
      </w:r>
      <w:r w:rsidRPr="00EC20A0">
        <w:rPr>
          <w:spacing w:val="-5"/>
        </w:rPr>
        <w:t xml:space="preserve"> </w:t>
      </w:r>
      <w:r w:rsidRPr="00EC20A0">
        <w:t>current</w:t>
      </w:r>
      <w:r w:rsidRPr="00EC20A0">
        <w:rPr>
          <w:spacing w:val="-4"/>
        </w:rPr>
        <w:t xml:space="preserve"> </w:t>
      </w:r>
      <w:r w:rsidRPr="00EC20A0">
        <w:t>and</w:t>
      </w:r>
      <w:r w:rsidRPr="00EC20A0">
        <w:rPr>
          <w:spacing w:val="-4"/>
        </w:rPr>
        <w:t xml:space="preserve"> </w:t>
      </w:r>
      <w:r w:rsidRPr="00EC20A0">
        <w:t>future</w:t>
      </w:r>
      <w:r w:rsidRPr="00EC20A0">
        <w:rPr>
          <w:spacing w:val="-4"/>
        </w:rPr>
        <w:t xml:space="preserve"> </w:t>
      </w:r>
      <w:r w:rsidRPr="00EC20A0">
        <w:t>participants</w:t>
      </w:r>
      <w:r w:rsidRPr="00EC20A0">
        <w:rPr>
          <w:spacing w:val="-4"/>
        </w:rPr>
        <w:t xml:space="preserve"> </w:t>
      </w:r>
      <w:r w:rsidRPr="00EC20A0">
        <w:t xml:space="preserve">(estimated future </w:t>
      </w:r>
      <w:r w:rsidRPr="00EC20A0">
        <w:t>expenditures), and</w:t>
      </w:r>
    </w:p>
    <w:p w14:paraId="24D61C5A" w14:textId="77777777" w:rsidR="00245300" w:rsidRPr="00EC20A0" w:rsidRDefault="00F17249">
      <w:pPr>
        <w:pStyle w:val="ListParagraph"/>
        <w:numPr>
          <w:ilvl w:val="0"/>
          <w:numId w:val="73"/>
        </w:numPr>
        <w:tabs>
          <w:tab w:val="left" w:pos="2000"/>
        </w:tabs>
        <w:spacing w:before="238"/>
        <w:ind w:right="438"/>
      </w:pPr>
      <w:r w:rsidRPr="00EC20A0">
        <w:t>balance</w:t>
      </w:r>
      <w:r w:rsidRPr="00EC20A0">
        <w:rPr>
          <w:spacing w:val="-6"/>
        </w:rPr>
        <w:t xml:space="preserve"> </w:t>
      </w:r>
      <w:r w:rsidRPr="00EC20A0">
        <w:t>of</w:t>
      </w:r>
      <w:r w:rsidRPr="00EC20A0">
        <w:rPr>
          <w:spacing w:val="-6"/>
        </w:rPr>
        <w:t xml:space="preserve"> </w:t>
      </w:r>
      <w:r w:rsidRPr="00EC20A0">
        <w:t>estimated</w:t>
      </w:r>
      <w:r w:rsidRPr="00EC20A0">
        <w:rPr>
          <w:spacing w:val="-6"/>
        </w:rPr>
        <w:t xml:space="preserve"> </w:t>
      </w:r>
      <w:r w:rsidRPr="00EC20A0">
        <w:t>future</w:t>
      </w:r>
      <w:r w:rsidRPr="00EC20A0">
        <w:rPr>
          <w:spacing w:val="-6"/>
        </w:rPr>
        <w:t xml:space="preserve"> </w:t>
      </w:r>
      <w:r w:rsidRPr="00EC20A0">
        <w:t>income/revenue</w:t>
      </w:r>
      <w:r w:rsidRPr="00EC20A0">
        <w:rPr>
          <w:spacing w:val="-6"/>
        </w:rPr>
        <w:t xml:space="preserve"> </w:t>
      </w:r>
      <w:r w:rsidRPr="00EC20A0">
        <w:t>(excluding</w:t>
      </w:r>
      <w:r w:rsidRPr="00EC20A0">
        <w:rPr>
          <w:spacing w:val="-6"/>
        </w:rPr>
        <w:t xml:space="preserve"> </w:t>
      </w:r>
      <w:r w:rsidRPr="00EC20A0">
        <w:t>interest)</w:t>
      </w:r>
      <w:r w:rsidRPr="00EC20A0">
        <w:rPr>
          <w:spacing w:val="-6"/>
        </w:rPr>
        <w:t xml:space="preserve"> </w:t>
      </w:r>
      <w:r w:rsidRPr="00EC20A0">
        <w:t>over/(under) estimated future expenditures (actuarial balance).</w:t>
      </w:r>
    </w:p>
    <w:p w14:paraId="24D61C5B" w14:textId="77777777" w:rsidR="00245300" w:rsidRPr="00EC20A0" w:rsidRDefault="00F17249">
      <w:pPr>
        <w:pStyle w:val="ListParagraph"/>
        <w:numPr>
          <w:ilvl w:val="0"/>
          <w:numId w:val="78"/>
        </w:numPr>
        <w:tabs>
          <w:tab w:val="left" w:pos="1640"/>
        </w:tabs>
        <w:spacing w:before="238"/>
        <w:ind w:left="1640" w:right="468"/>
      </w:pPr>
      <w:r w:rsidRPr="00EC20A0">
        <w:t>The auditor may determine that the actuarial balance is the most significant element of the Statement of Social Insurance and the related Statement of Changes</w:t>
      </w:r>
      <w:r w:rsidRPr="00EC20A0">
        <w:rPr>
          <w:spacing w:val="-3"/>
        </w:rPr>
        <w:t xml:space="preserve"> </w:t>
      </w:r>
      <w:r w:rsidRPr="00EC20A0">
        <w:t>in</w:t>
      </w:r>
      <w:r w:rsidRPr="00EC20A0">
        <w:rPr>
          <w:spacing w:val="-4"/>
        </w:rPr>
        <w:t xml:space="preserve"> </w:t>
      </w:r>
      <w:r w:rsidRPr="00EC20A0">
        <w:t>Social</w:t>
      </w:r>
      <w:r w:rsidRPr="00EC20A0">
        <w:rPr>
          <w:spacing w:val="-3"/>
        </w:rPr>
        <w:t xml:space="preserve"> </w:t>
      </w:r>
      <w:r w:rsidRPr="00EC20A0">
        <w:t>Insurance</w:t>
      </w:r>
      <w:r w:rsidRPr="00EC20A0">
        <w:rPr>
          <w:spacing w:val="-3"/>
        </w:rPr>
        <w:t xml:space="preserve"> </w:t>
      </w:r>
      <w:r w:rsidRPr="00EC20A0">
        <w:t>Amounts</w:t>
      </w:r>
      <w:r w:rsidRPr="00EC20A0">
        <w:rPr>
          <w:spacing w:val="-3"/>
        </w:rPr>
        <w:t xml:space="preserve"> </w:t>
      </w:r>
      <w:r w:rsidRPr="00EC20A0">
        <w:t>to</w:t>
      </w:r>
      <w:r w:rsidRPr="00EC20A0">
        <w:rPr>
          <w:spacing w:val="-3"/>
        </w:rPr>
        <w:t xml:space="preserve"> </w:t>
      </w:r>
      <w:r w:rsidRPr="00EC20A0">
        <w:t>users</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If</w:t>
      </w:r>
      <w:r w:rsidRPr="00EC20A0">
        <w:rPr>
          <w:spacing w:val="-3"/>
        </w:rPr>
        <w:t xml:space="preserve"> </w:t>
      </w:r>
      <w:r w:rsidRPr="00EC20A0">
        <w:t xml:space="preserve">so, the materiality benchmark would be the actuarial balance. However, the auditor may determine that it is more appropriate to select a materiality benchmark of either the estimated future incomes/revenues or the estimated future </w:t>
      </w:r>
      <w:r w:rsidRPr="00EC20A0">
        <w:rPr>
          <w:spacing w:val="-2"/>
        </w:rPr>
        <w:t>expenditures.</w:t>
      </w:r>
    </w:p>
    <w:p w14:paraId="24D61C5C" w14:textId="77777777" w:rsidR="00245300" w:rsidRPr="00EC20A0" w:rsidRDefault="00F17249">
      <w:pPr>
        <w:pStyle w:val="BodyText"/>
        <w:spacing w:before="241"/>
        <w:ind w:left="1640" w:right="337"/>
      </w:pPr>
      <w:r w:rsidRPr="00EC20A0">
        <w:t>The auditor’s basis for the selection of the materiality benchmark(s) generally should</w:t>
      </w:r>
      <w:r w:rsidRPr="00EC20A0">
        <w:rPr>
          <w:spacing w:val="-4"/>
        </w:rPr>
        <w:t xml:space="preserve"> </w:t>
      </w:r>
      <w:r w:rsidRPr="00EC20A0">
        <w:t>be</w:t>
      </w:r>
      <w:r w:rsidRPr="00EC20A0">
        <w:rPr>
          <w:spacing w:val="-4"/>
        </w:rPr>
        <w:t xml:space="preserve"> </w:t>
      </w:r>
      <w:r w:rsidRPr="00EC20A0">
        <w:t>documented,</w:t>
      </w:r>
      <w:r w:rsidRPr="00EC20A0">
        <w:rPr>
          <w:spacing w:val="-4"/>
        </w:rPr>
        <w:t xml:space="preserve"> </w:t>
      </w:r>
      <w:r w:rsidRPr="00EC20A0">
        <w:t>including</w:t>
      </w:r>
      <w:r w:rsidRPr="00EC20A0">
        <w:rPr>
          <w:spacing w:val="-5"/>
        </w:rPr>
        <w:t xml:space="preserve"> </w:t>
      </w:r>
      <w:r w:rsidRPr="00EC20A0">
        <w:t>consideration</w:t>
      </w:r>
      <w:r w:rsidRPr="00EC20A0">
        <w:rPr>
          <w:spacing w:val="-5"/>
        </w:rPr>
        <w:t xml:space="preserve"> </w:t>
      </w:r>
      <w:r w:rsidRPr="00EC20A0">
        <w:t>given</w:t>
      </w:r>
      <w:r w:rsidRPr="00EC20A0">
        <w:rPr>
          <w:spacing w:val="-4"/>
        </w:rPr>
        <w:t xml:space="preserve"> </w:t>
      </w:r>
      <w:r w:rsidRPr="00EC20A0">
        <w:t>to</w:t>
      </w:r>
      <w:r w:rsidRPr="00EC20A0">
        <w:rPr>
          <w:spacing w:val="-4"/>
        </w:rPr>
        <w:t xml:space="preserve"> </w:t>
      </w:r>
      <w:r w:rsidRPr="00EC20A0">
        <w:t>other</w:t>
      </w:r>
      <w:r w:rsidRPr="00EC20A0">
        <w:rPr>
          <w:spacing w:val="-4"/>
        </w:rPr>
        <w:t xml:space="preserve"> </w:t>
      </w:r>
      <w:r w:rsidRPr="00EC20A0">
        <w:t>possible</w:t>
      </w:r>
      <w:r w:rsidRPr="00EC20A0">
        <w:rPr>
          <w:spacing w:val="-7"/>
        </w:rPr>
        <w:t xml:space="preserve"> </w:t>
      </w:r>
      <w:r w:rsidRPr="00EC20A0">
        <w:t>measures or separate benchmarks for estimated future income/revenue and estimated future</w:t>
      </w:r>
      <w:r w:rsidRPr="00EC20A0">
        <w:rPr>
          <w:spacing w:val="-1"/>
        </w:rPr>
        <w:t xml:space="preserve"> </w:t>
      </w:r>
      <w:r w:rsidRPr="00EC20A0">
        <w:t>expenditures.</w:t>
      </w:r>
      <w:r w:rsidRPr="00EC20A0">
        <w:rPr>
          <w:spacing w:val="-1"/>
        </w:rPr>
        <w:t xml:space="preserve"> </w:t>
      </w:r>
      <w:r w:rsidRPr="00EC20A0">
        <w:t>Auditors</w:t>
      </w:r>
      <w:r w:rsidRPr="00EC20A0">
        <w:rPr>
          <w:spacing w:val="-1"/>
        </w:rPr>
        <w:t xml:space="preserve"> </w:t>
      </w:r>
      <w:r w:rsidRPr="00EC20A0">
        <w:t>generally</w:t>
      </w:r>
      <w:r w:rsidRPr="00EC20A0">
        <w:rPr>
          <w:spacing w:val="-1"/>
        </w:rPr>
        <w:t xml:space="preserve"> </w:t>
      </w:r>
      <w:r w:rsidRPr="00EC20A0">
        <w:t>should</w:t>
      </w:r>
      <w:r w:rsidRPr="00EC20A0">
        <w:rPr>
          <w:spacing w:val="-1"/>
        </w:rPr>
        <w:t xml:space="preserve"> </w:t>
      </w:r>
      <w:r w:rsidRPr="00EC20A0">
        <w:t>follow</w:t>
      </w:r>
      <w:r w:rsidRPr="00EC20A0">
        <w:rPr>
          <w:spacing w:val="-2"/>
        </w:rPr>
        <w:t xml:space="preserve"> </w:t>
      </w:r>
      <w:r w:rsidRPr="00EC20A0">
        <w:t>the</w:t>
      </w:r>
      <w:r w:rsidRPr="00EC20A0">
        <w:rPr>
          <w:spacing w:val="-1"/>
        </w:rPr>
        <w:t xml:space="preserve"> </w:t>
      </w:r>
      <w:r w:rsidRPr="00EC20A0">
        <w:t>guidance</w:t>
      </w:r>
      <w:r w:rsidRPr="00EC20A0">
        <w:rPr>
          <w:spacing w:val="-1"/>
        </w:rPr>
        <w:t xml:space="preserve"> </w:t>
      </w:r>
      <w:r w:rsidRPr="00EC20A0">
        <w:t>in</w:t>
      </w:r>
      <w:r w:rsidRPr="00EC20A0">
        <w:rPr>
          <w:spacing w:val="-1"/>
        </w:rPr>
        <w:t xml:space="preserve"> </w:t>
      </w:r>
      <w:r w:rsidRPr="00EC20A0">
        <w:t>FAM</w:t>
      </w:r>
      <w:r w:rsidRPr="00EC20A0">
        <w:rPr>
          <w:spacing w:val="-2"/>
        </w:rPr>
        <w:t xml:space="preserve"> </w:t>
      </w:r>
      <w:r w:rsidRPr="00EC20A0">
        <w:t>230</w:t>
      </w:r>
      <w:r w:rsidRPr="00EC20A0">
        <w:rPr>
          <w:spacing w:val="-1"/>
        </w:rPr>
        <w:t xml:space="preserve"> </w:t>
      </w:r>
      <w:r w:rsidRPr="00EC20A0">
        <w:t>in determining</w:t>
      </w:r>
      <w:r w:rsidRPr="00EC20A0">
        <w:rPr>
          <w:spacing w:val="-3"/>
        </w:rPr>
        <w:t xml:space="preserve"> </w:t>
      </w:r>
      <w:r w:rsidRPr="00EC20A0">
        <w:t>materiality</w:t>
      </w:r>
      <w:r w:rsidRPr="00EC20A0">
        <w:rPr>
          <w:spacing w:val="-3"/>
        </w:rPr>
        <w:t xml:space="preserve"> </w:t>
      </w:r>
      <w:r w:rsidRPr="00EC20A0">
        <w:t>for</w:t>
      </w:r>
      <w:r w:rsidRPr="00EC20A0">
        <w:rPr>
          <w:spacing w:val="-3"/>
        </w:rPr>
        <w:t xml:space="preserve"> </w:t>
      </w:r>
      <w:r w:rsidRPr="00EC20A0">
        <w:t>planning</w:t>
      </w:r>
      <w:r w:rsidRPr="00EC20A0">
        <w:rPr>
          <w:spacing w:val="-4"/>
        </w:rPr>
        <w:t xml:space="preserve"> </w:t>
      </w:r>
      <w:r w:rsidRPr="00EC20A0">
        <w:t>and</w:t>
      </w:r>
      <w:r w:rsidRPr="00EC20A0">
        <w:rPr>
          <w:spacing w:val="-3"/>
        </w:rPr>
        <w:t xml:space="preserve"> </w:t>
      </w:r>
      <w:r w:rsidRPr="00EC20A0">
        <w:t>performing</w:t>
      </w:r>
      <w:r w:rsidRPr="00EC20A0">
        <w:rPr>
          <w:spacing w:val="-3"/>
        </w:rPr>
        <w:t xml:space="preserve"> </w:t>
      </w:r>
      <w:r w:rsidRPr="00EC20A0">
        <w:t>audits</w:t>
      </w:r>
      <w:r w:rsidRPr="00EC20A0">
        <w:rPr>
          <w:spacing w:val="-3"/>
        </w:rPr>
        <w:t xml:space="preserve"> </w:t>
      </w:r>
      <w:r w:rsidRPr="00EC20A0">
        <w:t>of</w:t>
      </w:r>
      <w:r w:rsidRPr="00EC20A0">
        <w:rPr>
          <w:spacing w:val="-4"/>
        </w:rPr>
        <w:t xml:space="preserve"> </w:t>
      </w:r>
      <w:r w:rsidRPr="00EC20A0">
        <w:t>entity</w:t>
      </w:r>
      <w:r w:rsidRPr="00EC20A0">
        <w:rPr>
          <w:spacing w:val="-3"/>
        </w:rPr>
        <w:t xml:space="preserve"> </w:t>
      </w:r>
      <w:r w:rsidRPr="00EC20A0">
        <w:t>Statements</w:t>
      </w:r>
      <w:r w:rsidRPr="00EC20A0">
        <w:rPr>
          <w:spacing w:val="-3"/>
        </w:rPr>
        <w:t xml:space="preserve"> </w:t>
      </w:r>
      <w:r w:rsidRPr="00EC20A0">
        <w:t xml:space="preserve">of Social Insurance and the related Statements of Changes in Social Insurance </w:t>
      </w:r>
      <w:r w:rsidRPr="00EC20A0">
        <w:rPr>
          <w:spacing w:val="-2"/>
        </w:rPr>
        <w:t>Amounts.</w:t>
      </w:r>
    </w:p>
    <w:p w14:paraId="24D61C5D" w14:textId="77777777" w:rsidR="00245300" w:rsidRPr="00EC20A0" w:rsidRDefault="00245300">
      <w:pPr>
        <w:pStyle w:val="BodyText"/>
        <w:rPr>
          <w:sz w:val="20"/>
        </w:rPr>
      </w:pPr>
    </w:p>
    <w:p w14:paraId="24D61C5E" w14:textId="77777777" w:rsidR="00245300" w:rsidRPr="00EC20A0" w:rsidRDefault="00245300">
      <w:pPr>
        <w:pStyle w:val="BodyText"/>
        <w:rPr>
          <w:sz w:val="20"/>
        </w:rPr>
      </w:pPr>
    </w:p>
    <w:p w14:paraId="24D61C5F" w14:textId="77777777" w:rsidR="00245300" w:rsidRPr="00EC20A0" w:rsidRDefault="00245300">
      <w:pPr>
        <w:pStyle w:val="BodyText"/>
        <w:rPr>
          <w:sz w:val="20"/>
        </w:rPr>
      </w:pPr>
    </w:p>
    <w:p w14:paraId="24D61C60" w14:textId="77777777" w:rsidR="00245300" w:rsidRPr="00EC20A0" w:rsidRDefault="00F17249">
      <w:pPr>
        <w:pStyle w:val="BodyText"/>
        <w:spacing w:before="181"/>
        <w:rPr>
          <w:sz w:val="20"/>
        </w:rPr>
      </w:pPr>
      <w:r w:rsidRPr="00EC20A0">
        <w:rPr>
          <w:noProof/>
        </w:rPr>
        <mc:AlternateContent>
          <mc:Choice Requires="wps">
            <w:drawing>
              <wp:anchor distT="0" distB="0" distL="0" distR="0" simplePos="0" relativeHeight="487720448" behindDoc="1" locked="0" layoutInCell="1" allowOverlap="1" wp14:anchorId="24D62CBB" wp14:editId="24D62CBC">
                <wp:simplePos x="0" y="0"/>
                <wp:positionH relativeFrom="page">
                  <wp:posOffset>914400</wp:posOffset>
                </wp:positionH>
                <wp:positionV relativeFrom="paragraph">
                  <wp:posOffset>276421</wp:posOffset>
                </wp:positionV>
                <wp:extent cx="1828800" cy="5715"/>
                <wp:effectExtent l="0" t="0" r="0" b="0"/>
                <wp:wrapTopAndBottom/>
                <wp:docPr id="887" name="Graphic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071E5" id="Graphic 887" o:spid="_x0000_s1026" style="position:absolute;margin-left:1in;margin-top:21.75pt;width:2in;height:.45pt;z-index:-155960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" path="m1828800,l,,,5334r1828800,l1828800,xe" fillcolor="black" stroked="f">
                <v:path arrowok="t"/>
                <w10:wrap type="topAndBottom" anchorx="page"/>
              </v:shape>
            </w:pict>
          </mc:Fallback>
        </mc:AlternateContent>
      </w:r>
    </w:p>
    <w:p w14:paraId="24D61C61" w14:textId="77777777" w:rsidR="00245300" w:rsidRPr="00EC20A0" w:rsidRDefault="00F17249">
      <w:pPr>
        <w:spacing w:before="200" w:line="244" w:lineRule="auto"/>
        <w:ind w:left="200" w:right="447" w:hanging="1"/>
        <w:rPr>
          <w:sz w:val="18"/>
        </w:rPr>
      </w:pPr>
      <w:bookmarkStart w:id="355" w:name="_bookmark204"/>
      <w:bookmarkEnd w:id="355"/>
      <w:r w:rsidRPr="00EC20A0">
        <w:rPr>
          <w:position w:val="7"/>
          <w:sz w:val="14"/>
        </w:rPr>
        <w:t>46</w:t>
      </w:r>
      <w:r w:rsidRPr="00EC20A0">
        <w:rPr>
          <w:sz w:val="18"/>
        </w:rPr>
        <w:t>Income/revenue (excluding interest) includes payroll taxes from employers, employees, and self-employed persons;</w:t>
      </w:r>
      <w:r w:rsidRPr="00EC20A0">
        <w:rPr>
          <w:spacing w:val="-3"/>
          <w:sz w:val="18"/>
        </w:rPr>
        <w:t xml:space="preserve"> </w:t>
      </w:r>
      <w:r w:rsidRPr="00EC20A0">
        <w:rPr>
          <w:sz w:val="18"/>
        </w:rPr>
        <w:t>revenue</w:t>
      </w:r>
      <w:r w:rsidRPr="00EC20A0">
        <w:rPr>
          <w:spacing w:val="-4"/>
          <w:sz w:val="18"/>
        </w:rPr>
        <w:t xml:space="preserve"> </w:t>
      </w:r>
      <w:r w:rsidRPr="00EC20A0">
        <w:rPr>
          <w:sz w:val="18"/>
        </w:rPr>
        <w:t>from</w:t>
      </w:r>
      <w:r w:rsidRPr="00EC20A0">
        <w:rPr>
          <w:spacing w:val="-3"/>
          <w:sz w:val="18"/>
        </w:rPr>
        <w:t xml:space="preserve"> </w:t>
      </w:r>
      <w:r w:rsidRPr="00EC20A0">
        <w:rPr>
          <w:sz w:val="18"/>
        </w:rPr>
        <w:t>federal</w:t>
      </w:r>
      <w:r w:rsidRPr="00EC20A0">
        <w:rPr>
          <w:spacing w:val="-3"/>
          <w:sz w:val="18"/>
        </w:rPr>
        <w:t xml:space="preserve"> </w:t>
      </w:r>
      <w:r w:rsidRPr="00EC20A0">
        <w:rPr>
          <w:sz w:val="18"/>
        </w:rPr>
        <w:t>income</w:t>
      </w:r>
      <w:r w:rsidRPr="00EC20A0">
        <w:rPr>
          <w:spacing w:val="-4"/>
          <w:sz w:val="18"/>
        </w:rPr>
        <w:t xml:space="preserve"> </w:t>
      </w:r>
      <w:r w:rsidRPr="00EC20A0">
        <w:rPr>
          <w:sz w:val="18"/>
        </w:rPr>
        <w:t>taxation</w:t>
      </w:r>
      <w:r w:rsidRPr="00EC20A0">
        <w:rPr>
          <w:spacing w:val="-4"/>
          <w:sz w:val="18"/>
        </w:rPr>
        <w:t xml:space="preserve"> </w:t>
      </w:r>
      <w:r w:rsidRPr="00EC20A0">
        <w:rPr>
          <w:sz w:val="18"/>
        </w:rPr>
        <w:t>of</w:t>
      </w:r>
      <w:r w:rsidRPr="00EC20A0">
        <w:rPr>
          <w:spacing w:val="-3"/>
          <w:sz w:val="18"/>
        </w:rPr>
        <w:t xml:space="preserve"> </w:t>
      </w:r>
      <w:r w:rsidRPr="00EC20A0">
        <w:rPr>
          <w:sz w:val="18"/>
        </w:rPr>
        <w:t>scheduled</w:t>
      </w:r>
      <w:r w:rsidRPr="00EC20A0">
        <w:rPr>
          <w:spacing w:val="-4"/>
          <w:sz w:val="18"/>
        </w:rPr>
        <w:t xml:space="preserve"> </w:t>
      </w:r>
      <w:r w:rsidRPr="00EC20A0">
        <w:rPr>
          <w:sz w:val="18"/>
        </w:rPr>
        <w:t>OASDI</w:t>
      </w:r>
      <w:r w:rsidRPr="00EC20A0">
        <w:rPr>
          <w:spacing w:val="-3"/>
          <w:sz w:val="18"/>
        </w:rPr>
        <w:t xml:space="preserve"> </w:t>
      </w:r>
      <w:r w:rsidRPr="00EC20A0">
        <w:rPr>
          <w:sz w:val="18"/>
        </w:rPr>
        <w:t>benefits;</w:t>
      </w:r>
      <w:r w:rsidRPr="00EC20A0">
        <w:rPr>
          <w:spacing w:val="-4"/>
          <w:sz w:val="18"/>
        </w:rPr>
        <w:t xml:space="preserve"> </w:t>
      </w:r>
      <w:r w:rsidRPr="00EC20A0">
        <w:rPr>
          <w:sz w:val="18"/>
        </w:rPr>
        <w:t>and</w:t>
      </w:r>
      <w:r w:rsidRPr="00EC20A0">
        <w:rPr>
          <w:spacing w:val="-4"/>
          <w:sz w:val="18"/>
        </w:rPr>
        <w:t xml:space="preserve"> </w:t>
      </w:r>
      <w:r w:rsidRPr="00EC20A0">
        <w:rPr>
          <w:sz w:val="18"/>
        </w:rPr>
        <w:t>miscellaneous</w:t>
      </w:r>
      <w:r w:rsidRPr="00EC20A0">
        <w:rPr>
          <w:spacing w:val="-3"/>
          <w:sz w:val="18"/>
        </w:rPr>
        <w:t xml:space="preserve"> </w:t>
      </w:r>
      <w:r w:rsidRPr="00EC20A0">
        <w:rPr>
          <w:sz w:val="18"/>
        </w:rPr>
        <w:t>reimbursements from the General Fund.</w:t>
      </w:r>
    </w:p>
    <w:p w14:paraId="24D61C62" w14:textId="77777777" w:rsidR="00245300" w:rsidRPr="00EC20A0" w:rsidRDefault="00245300">
      <w:pPr>
        <w:spacing w:line="244" w:lineRule="auto"/>
        <w:rPr>
          <w:sz w:val="18"/>
        </w:rPr>
        <w:sectPr w:rsidR="00245300" w:rsidRPr="00EC20A0">
          <w:pgSz w:w="12240" w:h="15840"/>
          <w:pgMar w:top="1600" w:right="1100" w:bottom="940" w:left="1240" w:header="721" w:footer="757" w:gutter="0"/>
          <w:cols w:space="720"/>
        </w:sectPr>
      </w:pPr>
    </w:p>
    <w:p w14:paraId="24D61C63" w14:textId="77777777" w:rsidR="00245300" w:rsidRPr="00EC20A0" w:rsidRDefault="00F17249">
      <w:pPr>
        <w:pStyle w:val="Heading5"/>
        <w:spacing w:before="121"/>
        <w:rPr>
          <w:u w:val="none"/>
        </w:rPr>
      </w:pPr>
      <w:bookmarkStart w:id="356" w:name="Obtaining_Management’s_Representations"/>
      <w:bookmarkEnd w:id="356"/>
      <w:r w:rsidRPr="00EC20A0">
        <w:t>Obtaining</w:t>
      </w:r>
      <w:r w:rsidRPr="00EC20A0">
        <w:rPr>
          <w:spacing w:val="-7"/>
        </w:rPr>
        <w:t xml:space="preserve"> </w:t>
      </w:r>
      <w:r w:rsidRPr="00EC20A0">
        <w:t>Management’s</w:t>
      </w:r>
      <w:r w:rsidRPr="00EC20A0">
        <w:rPr>
          <w:spacing w:val="-5"/>
        </w:rPr>
        <w:t xml:space="preserve"> </w:t>
      </w:r>
      <w:r w:rsidRPr="00EC20A0">
        <w:rPr>
          <w:spacing w:val="-2"/>
        </w:rPr>
        <w:t>Representations</w:t>
      </w:r>
    </w:p>
    <w:p w14:paraId="24D61C64" w14:textId="77777777" w:rsidR="00245300" w:rsidRPr="00EC20A0" w:rsidRDefault="00F17249">
      <w:pPr>
        <w:pStyle w:val="ListParagraph"/>
        <w:numPr>
          <w:ilvl w:val="0"/>
          <w:numId w:val="78"/>
        </w:numPr>
        <w:tabs>
          <w:tab w:val="left" w:pos="1639"/>
        </w:tabs>
        <w:ind w:right="382" w:hanging="720"/>
      </w:pPr>
      <w:r w:rsidRPr="00EC20A0">
        <w:t xml:space="preserve">Entity management is responsible for preparing the Statement of Social Insurance and the related Statement of </w:t>
      </w:r>
      <w:r w:rsidRPr="00EC20A0">
        <w:t>Changes in Social Insurance Amounts and underlying estimates and changes in conformity with U.S. GAAP. Management is also responsible for the accuracy and completeness of the Statement of Social Insurance (SOP 04-1, para. 5) and the Statement of Changes in Social Insurance Amounts. Therefore, management should determine a reasonable estimate of the economic and demographic conditions that will exist in the future.</w:t>
      </w:r>
      <w:hyperlink w:anchor="_bookmark205" w:history="1">
        <w:r w:rsidRPr="00EC20A0">
          <w:rPr>
            <w:position w:val="7"/>
            <w:sz w:val="14"/>
          </w:rPr>
          <w:t>47</w:t>
        </w:r>
      </w:hyperlink>
      <w:r w:rsidRPr="00EC20A0">
        <w:rPr>
          <w:spacing w:val="33"/>
          <w:position w:val="7"/>
          <w:sz w:val="14"/>
        </w:rPr>
        <w:t xml:space="preserve"> </w:t>
      </w:r>
      <w:r w:rsidRPr="00EC20A0">
        <w:t>Because estimates in the Statement of Social Insurance and the related Statement of Changes in Social Insurance Amounts are based on subjective as well as objective factors, management should use judgment to estimate amounts included in these statements. Management’s judgment</w:t>
      </w:r>
      <w:r w:rsidRPr="00EC20A0">
        <w:rPr>
          <w:spacing w:val="-3"/>
        </w:rPr>
        <w:t xml:space="preserve"> </w:t>
      </w:r>
      <w:r w:rsidRPr="00EC20A0">
        <w:t>may</w:t>
      </w:r>
      <w:r w:rsidRPr="00EC20A0">
        <w:rPr>
          <w:spacing w:val="-3"/>
        </w:rPr>
        <w:t xml:space="preserve"> </w:t>
      </w:r>
      <w:r w:rsidRPr="00EC20A0">
        <w:t>be</w:t>
      </w:r>
      <w:r w:rsidRPr="00EC20A0">
        <w:rPr>
          <w:spacing w:val="-3"/>
        </w:rPr>
        <w:t xml:space="preserve"> </w:t>
      </w:r>
      <w:r w:rsidRPr="00EC20A0">
        <w:t>based</w:t>
      </w:r>
      <w:r w:rsidRPr="00EC20A0">
        <w:rPr>
          <w:spacing w:val="-4"/>
        </w:rPr>
        <w:t xml:space="preserve"> </w:t>
      </w:r>
      <w:r w:rsidRPr="00EC20A0">
        <w:t>on</w:t>
      </w:r>
      <w:r w:rsidRPr="00EC20A0">
        <w:rPr>
          <w:spacing w:val="-3"/>
        </w:rPr>
        <w:t xml:space="preserve"> </w:t>
      </w:r>
      <w:r w:rsidRPr="00EC20A0">
        <w:t>its</w:t>
      </w:r>
      <w:r w:rsidRPr="00EC20A0">
        <w:rPr>
          <w:spacing w:val="-3"/>
        </w:rPr>
        <w:t xml:space="preserve"> </w:t>
      </w:r>
      <w:r w:rsidRPr="00EC20A0">
        <w:t>knowledge</w:t>
      </w:r>
      <w:r w:rsidRPr="00EC20A0">
        <w:rPr>
          <w:spacing w:val="-3"/>
        </w:rPr>
        <w:t xml:space="preserve"> </w:t>
      </w:r>
      <w:r w:rsidRPr="00EC20A0">
        <w:t>and</w:t>
      </w:r>
      <w:r w:rsidRPr="00EC20A0">
        <w:rPr>
          <w:spacing w:val="-3"/>
        </w:rPr>
        <w:t xml:space="preserve"> </w:t>
      </w:r>
      <w:r w:rsidRPr="00EC20A0">
        <w:t>experience</w:t>
      </w:r>
      <w:r w:rsidRPr="00EC20A0">
        <w:rPr>
          <w:spacing w:val="-3"/>
        </w:rPr>
        <w:t xml:space="preserve"> </w:t>
      </w:r>
      <w:r w:rsidRPr="00EC20A0">
        <w:t>about</w:t>
      </w:r>
      <w:r w:rsidRPr="00EC20A0">
        <w:rPr>
          <w:spacing w:val="-3"/>
        </w:rPr>
        <w:t xml:space="preserve"> </w:t>
      </w:r>
      <w:r w:rsidRPr="00EC20A0">
        <w:t>past</w:t>
      </w:r>
      <w:r w:rsidRPr="00EC20A0">
        <w:rPr>
          <w:spacing w:val="-3"/>
        </w:rPr>
        <w:t xml:space="preserve"> </w:t>
      </w:r>
      <w:r w:rsidRPr="00EC20A0">
        <w:t>and</w:t>
      </w:r>
      <w:r w:rsidRPr="00EC20A0">
        <w:rPr>
          <w:spacing w:val="-4"/>
        </w:rPr>
        <w:t xml:space="preserve"> </w:t>
      </w:r>
      <w:r w:rsidRPr="00EC20A0">
        <w:t>current events and its assumptions about conditions it expects to exist.</w:t>
      </w:r>
    </w:p>
    <w:p w14:paraId="24D61C65" w14:textId="77777777" w:rsidR="00245300" w:rsidRPr="00EC20A0" w:rsidRDefault="00F17249">
      <w:pPr>
        <w:pStyle w:val="ListParagraph"/>
        <w:numPr>
          <w:ilvl w:val="0"/>
          <w:numId w:val="78"/>
        </w:numPr>
        <w:tabs>
          <w:tab w:val="left" w:pos="1639"/>
        </w:tabs>
        <w:spacing w:before="239"/>
        <w:ind w:right="433"/>
      </w:pPr>
      <w:r w:rsidRPr="00EC20A0">
        <w:t>Consistent with FAM 1001, the auditor should obtain specific representations relating to the Statement of Social Insurance and to the related Statement of Changes in Social Insurance Amounts. For an audit of an entity’s Statement of Social Insurance and the related Statement of Changes in Social Insurance Amounts,</w:t>
      </w:r>
      <w:r w:rsidRPr="00EC20A0">
        <w:rPr>
          <w:spacing w:val="-5"/>
        </w:rPr>
        <w:t xml:space="preserve"> </w:t>
      </w:r>
      <w:r w:rsidRPr="00EC20A0">
        <w:t>the</w:t>
      </w:r>
      <w:r w:rsidRPr="00EC20A0">
        <w:rPr>
          <w:spacing w:val="-5"/>
        </w:rPr>
        <w:t xml:space="preserve"> </w:t>
      </w:r>
      <w:r w:rsidRPr="00EC20A0">
        <w:t>representation</w:t>
      </w:r>
      <w:r w:rsidRPr="00EC20A0">
        <w:rPr>
          <w:spacing w:val="-5"/>
        </w:rPr>
        <w:t xml:space="preserve"> </w:t>
      </w:r>
      <w:r w:rsidRPr="00EC20A0">
        <w:t>letter</w:t>
      </w:r>
      <w:r w:rsidRPr="00EC20A0">
        <w:rPr>
          <w:spacing w:val="-5"/>
        </w:rPr>
        <w:t xml:space="preserve"> </w:t>
      </w:r>
      <w:r w:rsidRPr="00EC20A0">
        <w:t>should</w:t>
      </w:r>
      <w:r w:rsidRPr="00EC20A0">
        <w:rPr>
          <w:spacing w:val="-5"/>
        </w:rPr>
        <w:t xml:space="preserve"> </w:t>
      </w:r>
      <w:r w:rsidRPr="00EC20A0">
        <w:t>include,</w:t>
      </w:r>
      <w:r w:rsidRPr="00EC20A0">
        <w:rPr>
          <w:spacing w:val="-5"/>
        </w:rPr>
        <w:t xml:space="preserve"> </w:t>
      </w:r>
      <w:r w:rsidRPr="00EC20A0">
        <w:t>as</w:t>
      </w:r>
      <w:r w:rsidRPr="00EC20A0">
        <w:rPr>
          <w:spacing w:val="-5"/>
        </w:rPr>
        <w:t xml:space="preserve"> </w:t>
      </w:r>
      <w:r w:rsidRPr="00EC20A0">
        <w:t>applicable,</w:t>
      </w:r>
      <w:r w:rsidRPr="00EC20A0">
        <w:rPr>
          <w:spacing w:val="-5"/>
        </w:rPr>
        <w:t xml:space="preserve"> </w:t>
      </w:r>
      <w:r w:rsidRPr="00EC20A0">
        <w:t>representations included in FAM 1001 A, the example management representation letter.</w:t>
      </w:r>
    </w:p>
    <w:p w14:paraId="24D61C66" w14:textId="77777777" w:rsidR="00245300" w:rsidRPr="00EC20A0" w:rsidRDefault="00F17249">
      <w:pPr>
        <w:pStyle w:val="Heading5"/>
        <w:rPr>
          <w:u w:val="none"/>
        </w:rPr>
      </w:pPr>
      <w:bookmarkStart w:id="357" w:name="Auditor’s_Report"/>
      <w:bookmarkEnd w:id="357"/>
      <w:r w:rsidRPr="00EC20A0">
        <w:t>Auditor’s</w:t>
      </w:r>
      <w:r w:rsidRPr="00EC20A0">
        <w:rPr>
          <w:spacing w:val="-7"/>
        </w:rPr>
        <w:t xml:space="preserve"> </w:t>
      </w:r>
      <w:r w:rsidRPr="00EC20A0">
        <w:rPr>
          <w:spacing w:val="-2"/>
        </w:rPr>
        <w:t>Report</w:t>
      </w:r>
    </w:p>
    <w:p w14:paraId="24D61C67" w14:textId="77777777" w:rsidR="00245300" w:rsidRPr="00EC20A0" w:rsidRDefault="00F17249">
      <w:pPr>
        <w:pStyle w:val="ListParagraph"/>
        <w:numPr>
          <w:ilvl w:val="0"/>
          <w:numId w:val="78"/>
        </w:numPr>
        <w:tabs>
          <w:tab w:val="left" w:pos="1640"/>
        </w:tabs>
        <w:spacing w:before="239"/>
        <w:ind w:left="1640" w:right="424"/>
        <w:rPr>
          <w:sz w:val="14"/>
        </w:rPr>
      </w:pPr>
      <w:r w:rsidRPr="00EC20A0">
        <w:t xml:space="preserve">AU-C 700, </w:t>
      </w:r>
      <w:r w:rsidRPr="00EC20A0">
        <w:rPr>
          <w:i/>
        </w:rPr>
        <w:t>Forming an Opinion and Reporting on Financial Statements</w:t>
      </w:r>
      <w:r w:rsidRPr="00EC20A0">
        <w:t xml:space="preserve">, addresses the auditor’s responsibility to form an opinion on the financial statements. It also addresses the form and content of the auditor’s report issued as a result of an audit of financial statements. AU-C 9700, </w:t>
      </w:r>
      <w:r w:rsidRPr="00EC20A0">
        <w:rPr>
          <w:i/>
        </w:rPr>
        <w:t>Forming an Opinion and</w:t>
      </w:r>
      <w:r w:rsidRPr="00EC20A0">
        <w:rPr>
          <w:i/>
          <w:spacing w:val="-4"/>
        </w:rPr>
        <w:t xml:space="preserve"> </w:t>
      </w:r>
      <w:r w:rsidRPr="00EC20A0">
        <w:rPr>
          <w:i/>
        </w:rPr>
        <w:t>Reporting</w:t>
      </w:r>
      <w:r w:rsidRPr="00EC20A0">
        <w:rPr>
          <w:i/>
          <w:spacing w:val="-4"/>
        </w:rPr>
        <w:t xml:space="preserve"> </w:t>
      </w:r>
      <w:r w:rsidRPr="00EC20A0">
        <w:rPr>
          <w:i/>
        </w:rPr>
        <w:t>on</w:t>
      </w:r>
      <w:r w:rsidRPr="00EC20A0">
        <w:rPr>
          <w:i/>
          <w:spacing w:val="-4"/>
        </w:rPr>
        <w:t xml:space="preserve"> </w:t>
      </w:r>
      <w:r w:rsidRPr="00EC20A0">
        <w:rPr>
          <w:i/>
        </w:rPr>
        <w:t>Financial</w:t>
      </w:r>
      <w:r w:rsidRPr="00EC20A0">
        <w:rPr>
          <w:i/>
          <w:spacing w:val="-4"/>
        </w:rPr>
        <w:t xml:space="preserve"> </w:t>
      </w:r>
      <w:r w:rsidRPr="00EC20A0">
        <w:rPr>
          <w:i/>
        </w:rPr>
        <w:t>Statements:</w:t>
      </w:r>
      <w:r w:rsidRPr="00EC20A0">
        <w:rPr>
          <w:i/>
          <w:spacing w:val="-4"/>
        </w:rPr>
        <w:t xml:space="preserve"> </w:t>
      </w:r>
      <w:r w:rsidRPr="00EC20A0">
        <w:rPr>
          <w:i/>
        </w:rPr>
        <w:t>Auditing</w:t>
      </w:r>
      <w:r w:rsidRPr="00EC20A0">
        <w:rPr>
          <w:i/>
          <w:spacing w:val="-5"/>
        </w:rPr>
        <w:t xml:space="preserve"> </w:t>
      </w:r>
      <w:r w:rsidRPr="00EC20A0">
        <w:rPr>
          <w:i/>
        </w:rPr>
        <w:t>Interpretations</w:t>
      </w:r>
      <w:r w:rsidRPr="00EC20A0">
        <w:rPr>
          <w:i/>
          <w:spacing w:val="-2"/>
        </w:rPr>
        <w:t xml:space="preserve"> </w:t>
      </w:r>
      <w:r w:rsidRPr="00EC20A0">
        <w:rPr>
          <w:i/>
        </w:rPr>
        <w:t>of</w:t>
      </w:r>
      <w:r w:rsidRPr="00EC20A0">
        <w:rPr>
          <w:i/>
          <w:spacing w:val="-4"/>
        </w:rPr>
        <w:t xml:space="preserve"> </w:t>
      </w:r>
      <w:r w:rsidRPr="00EC20A0">
        <w:rPr>
          <w:i/>
        </w:rPr>
        <w:t>AU-C</w:t>
      </w:r>
      <w:r w:rsidRPr="00EC20A0">
        <w:rPr>
          <w:i/>
          <w:spacing w:val="-5"/>
        </w:rPr>
        <w:t xml:space="preserve"> </w:t>
      </w:r>
      <w:r w:rsidRPr="00EC20A0">
        <w:rPr>
          <w:i/>
        </w:rPr>
        <w:t>Section 700</w:t>
      </w:r>
      <w:r w:rsidRPr="00EC20A0">
        <w:t>, provides an illustration of an auditor’s report containing an opinion on component</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that</w:t>
      </w:r>
      <w:r w:rsidRPr="00EC20A0">
        <w:rPr>
          <w:spacing w:val="-4"/>
        </w:rPr>
        <w:t xml:space="preserve"> </w:t>
      </w:r>
      <w:r w:rsidRPr="00EC20A0">
        <w:t>include</w:t>
      </w:r>
      <w:r w:rsidRPr="00EC20A0">
        <w:rPr>
          <w:spacing w:val="-4"/>
        </w:rPr>
        <w:t xml:space="preserve"> </w:t>
      </w:r>
      <w:r w:rsidRPr="00EC20A0">
        <w:t>sustainability</w:t>
      </w:r>
      <w:r w:rsidRPr="00EC20A0">
        <w:rPr>
          <w:spacing w:val="-4"/>
        </w:rPr>
        <w:t xml:space="preserve"> </w:t>
      </w:r>
      <w:r w:rsidRPr="00EC20A0">
        <w:t>f</w:t>
      </w:r>
      <w:r w:rsidRPr="00EC20A0">
        <w:t>inancial</w:t>
      </w:r>
      <w:r w:rsidRPr="00EC20A0">
        <w:rPr>
          <w:spacing w:val="-4"/>
        </w:rPr>
        <w:t xml:space="preserve"> </w:t>
      </w:r>
      <w:r w:rsidRPr="00EC20A0">
        <w:t>statements.</w:t>
      </w:r>
      <w:hyperlink w:anchor="_bookmark206" w:history="1">
        <w:r w:rsidRPr="00EC20A0">
          <w:rPr>
            <w:position w:val="7"/>
            <w:sz w:val="14"/>
          </w:rPr>
          <w:t>48</w:t>
        </w:r>
      </w:hyperlink>
    </w:p>
    <w:p w14:paraId="24D61C68" w14:textId="77777777" w:rsidR="00245300" w:rsidRPr="00EC20A0" w:rsidRDefault="00245300">
      <w:pPr>
        <w:pStyle w:val="BodyText"/>
        <w:rPr>
          <w:sz w:val="20"/>
        </w:rPr>
      </w:pPr>
    </w:p>
    <w:p w14:paraId="24D61C69" w14:textId="77777777" w:rsidR="00245300" w:rsidRPr="00EC20A0" w:rsidRDefault="00245300">
      <w:pPr>
        <w:pStyle w:val="BodyText"/>
        <w:rPr>
          <w:sz w:val="20"/>
        </w:rPr>
      </w:pPr>
    </w:p>
    <w:p w14:paraId="24D61C6A" w14:textId="77777777" w:rsidR="00245300" w:rsidRPr="00EC20A0" w:rsidRDefault="00245300">
      <w:pPr>
        <w:pStyle w:val="BodyText"/>
        <w:rPr>
          <w:sz w:val="20"/>
        </w:rPr>
      </w:pPr>
    </w:p>
    <w:p w14:paraId="24D61C6B" w14:textId="77777777" w:rsidR="00245300" w:rsidRPr="00EC20A0" w:rsidRDefault="00245300">
      <w:pPr>
        <w:pStyle w:val="BodyText"/>
        <w:rPr>
          <w:sz w:val="20"/>
        </w:rPr>
      </w:pPr>
    </w:p>
    <w:p w14:paraId="24D61C6C" w14:textId="77777777" w:rsidR="00245300" w:rsidRPr="00EC20A0" w:rsidRDefault="00245300">
      <w:pPr>
        <w:pStyle w:val="BodyText"/>
        <w:rPr>
          <w:sz w:val="20"/>
        </w:rPr>
      </w:pPr>
    </w:p>
    <w:p w14:paraId="24D61C6D" w14:textId="77777777" w:rsidR="00245300" w:rsidRPr="00EC20A0" w:rsidRDefault="00245300">
      <w:pPr>
        <w:pStyle w:val="BodyText"/>
        <w:rPr>
          <w:sz w:val="20"/>
        </w:rPr>
      </w:pPr>
    </w:p>
    <w:p w14:paraId="24D61C6E" w14:textId="77777777" w:rsidR="00245300" w:rsidRPr="00EC20A0" w:rsidRDefault="00245300">
      <w:pPr>
        <w:pStyle w:val="BodyText"/>
        <w:rPr>
          <w:sz w:val="20"/>
        </w:rPr>
      </w:pPr>
    </w:p>
    <w:p w14:paraId="24D61C6F" w14:textId="77777777" w:rsidR="00245300" w:rsidRPr="00EC20A0" w:rsidRDefault="00245300">
      <w:pPr>
        <w:pStyle w:val="BodyText"/>
        <w:rPr>
          <w:sz w:val="20"/>
        </w:rPr>
      </w:pPr>
    </w:p>
    <w:p w14:paraId="24D61C70" w14:textId="77777777" w:rsidR="00245300" w:rsidRPr="00EC20A0" w:rsidRDefault="00F17249">
      <w:pPr>
        <w:pStyle w:val="BodyText"/>
        <w:spacing w:before="164"/>
        <w:rPr>
          <w:sz w:val="20"/>
        </w:rPr>
      </w:pPr>
      <w:r w:rsidRPr="00EC20A0">
        <w:rPr>
          <w:noProof/>
        </w:rPr>
        <mc:AlternateContent>
          <mc:Choice Requires="wps">
            <w:drawing>
              <wp:anchor distT="0" distB="0" distL="0" distR="0" simplePos="0" relativeHeight="487720960" behindDoc="1" locked="0" layoutInCell="1" allowOverlap="1" wp14:anchorId="24D62CBD" wp14:editId="24D62CBE">
                <wp:simplePos x="0" y="0"/>
                <wp:positionH relativeFrom="page">
                  <wp:posOffset>914400</wp:posOffset>
                </wp:positionH>
                <wp:positionV relativeFrom="paragraph">
                  <wp:posOffset>265672</wp:posOffset>
                </wp:positionV>
                <wp:extent cx="1828800" cy="5715"/>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A3D5C2" id="Graphic 888" o:spid="_x0000_s1026" style="position:absolute;margin-left:1in;margin-top:20.9pt;width:2in;height:.45pt;z-index:-155955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" path="m1828800,l,,,5321r1828800,l1828800,xe" fillcolor="black" stroked="f">
                <v:path arrowok="t"/>
                <w10:wrap type="topAndBottom" anchorx="page"/>
              </v:shape>
            </w:pict>
          </mc:Fallback>
        </mc:AlternateContent>
      </w:r>
    </w:p>
    <w:p w14:paraId="24D61C71" w14:textId="77777777" w:rsidR="00245300" w:rsidRPr="00EC20A0" w:rsidRDefault="00F17249">
      <w:pPr>
        <w:spacing w:before="200" w:line="242" w:lineRule="auto"/>
        <w:ind w:left="199" w:right="345"/>
        <w:rPr>
          <w:sz w:val="18"/>
        </w:rPr>
      </w:pPr>
      <w:bookmarkStart w:id="358" w:name="_bookmark205"/>
      <w:bookmarkEnd w:id="358"/>
      <w:r w:rsidRPr="00EC20A0">
        <w:rPr>
          <w:position w:val="7"/>
          <w:sz w:val="14"/>
        </w:rPr>
        <w:t>47</w:t>
      </w:r>
      <w:r w:rsidRPr="00EC20A0">
        <w:rPr>
          <w:sz w:val="18"/>
        </w:rPr>
        <w:t>Para.</w:t>
      </w:r>
      <w:r w:rsidRPr="00EC20A0">
        <w:rPr>
          <w:spacing w:val="-2"/>
          <w:sz w:val="18"/>
        </w:rPr>
        <w:t xml:space="preserve"> </w:t>
      </w:r>
      <w:r w:rsidRPr="00EC20A0">
        <w:rPr>
          <w:sz w:val="18"/>
        </w:rPr>
        <w:t>25</w:t>
      </w:r>
      <w:r w:rsidRPr="00EC20A0">
        <w:rPr>
          <w:spacing w:val="-3"/>
          <w:sz w:val="18"/>
        </w:rPr>
        <w:t xml:space="preserve"> </w:t>
      </w:r>
      <w:r w:rsidRPr="00EC20A0">
        <w:rPr>
          <w:sz w:val="18"/>
        </w:rPr>
        <w:t>of</w:t>
      </w:r>
      <w:r w:rsidRPr="00EC20A0">
        <w:rPr>
          <w:spacing w:val="-2"/>
          <w:sz w:val="18"/>
        </w:rPr>
        <w:t xml:space="preserve"> </w:t>
      </w:r>
      <w:r w:rsidRPr="00EC20A0">
        <w:rPr>
          <w:sz w:val="18"/>
        </w:rPr>
        <w:t>SFFAS</w:t>
      </w:r>
      <w:r w:rsidRPr="00EC20A0">
        <w:rPr>
          <w:spacing w:val="-2"/>
          <w:sz w:val="18"/>
        </w:rPr>
        <w:t xml:space="preserve"> </w:t>
      </w:r>
      <w:r w:rsidRPr="00EC20A0">
        <w:rPr>
          <w:sz w:val="18"/>
        </w:rPr>
        <w:t>17,</w:t>
      </w:r>
      <w:r w:rsidRPr="00EC20A0">
        <w:rPr>
          <w:spacing w:val="-2"/>
          <w:sz w:val="18"/>
        </w:rPr>
        <w:t xml:space="preserve"> </w:t>
      </w:r>
      <w:r w:rsidRPr="00EC20A0">
        <w:rPr>
          <w:i/>
          <w:sz w:val="18"/>
        </w:rPr>
        <w:t>Accounting</w:t>
      </w:r>
      <w:r w:rsidRPr="00EC20A0">
        <w:rPr>
          <w:i/>
          <w:spacing w:val="-3"/>
          <w:sz w:val="18"/>
        </w:rPr>
        <w:t xml:space="preserve"> </w:t>
      </w:r>
      <w:r w:rsidRPr="00EC20A0">
        <w:rPr>
          <w:i/>
          <w:sz w:val="18"/>
        </w:rPr>
        <w:t>for</w:t>
      </w:r>
      <w:r w:rsidRPr="00EC20A0">
        <w:rPr>
          <w:i/>
          <w:spacing w:val="-2"/>
          <w:sz w:val="18"/>
        </w:rPr>
        <w:t xml:space="preserve"> </w:t>
      </w:r>
      <w:r w:rsidRPr="00EC20A0">
        <w:rPr>
          <w:i/>
          <w:sz w:val="18"/>
        </w:rPr>
        <w:t>Social</w:t>
      </w:r>
      <w:r w:rsidRPr="00EC20A0">
        <w:rPr>
          <w:i/>
          <w:spacing w:val="-1"/>
          <w:sz w:val="18"/>
        </w:rPr>
        <w:t xml:space="preserve"> </w:t>
      </w:r>
      <w:r w:rsidRPr="00EC20A0">
        <w:rPr>
          <w:i/>
          <w:sz w:val="18"/>
        </w:rPr>
        <w:t>Insurance</w:t>
      </w:r>
      <w:r w:rsidRPr="00EC20A0">
        <w:rPr>
          <w:sz w:val="18"/>
        </w:rPr>
        <w:t>,</w:t>
      </w:r>
      <w:r w:rsidRPr="00EC20A0">
        <w:rPr>
          <w:spacing w:val="-2"/>
          <w:sz w:val="18"/>
        </w:rPr>
        <w:t xml:space="preserve"> </w:t>
      </w:r>
      <w:r w:rsidRPr="00EC20A0">
        <w:rPr>
          <w:sz w:val="18"/>
        </w:rPr>
        <w:t>states,</w:t>
      </w:r>
      <w:r w:rsidRPr="00EC20A0">
        <w:rPr>
          <w:spacing w:val="-2"/>
          <w:sz w:val="18"/>
        </w:rPr>
        <w:t xml:space="preserve"> </w:t>
      </w:r>
      <w:r w:rsidRPr="00EC20A0">
        <w:rPr>
          <w:sz w:val="18"/>
        </w:rPr>
        <w:t>in</w:t>
      </w:r>
      <w:r w:rsidRPr="00EC20A0">
        <w:rPr>
          <w:spacing w:val="-3"/>
          <w:sz w:val="18"/>
        </w:rPr>
        <w:t xml:space="preserve"> </w:t>
      </w:r>
      <w:r w:rsidRPr="00EC20A0">
        <w:rPr>
          <w:sz w:val="18"/>
        </w:rPr>
        <w:t>part,</w:t>
      </w:r>
      <w:r w:rsidRPr="00EC20A0">
        <w:rPr>
          <w:spacing w:val="-2"/>
          <w:sz w:val="18"/>
        </w:rPr>
        <w:t xml:space="preserve"> </w:t>
      </w:r>
      <w:r w:rsidRPr="00EC20A0">
        <w:rPr>
          <w:sz w:val="18"/>
        </w:rPr>
        <w:t>“The</w:t>
      </w:r>
      <w:r w:rsidRPr="00EC20A0">
        <w:rPr>
          <w:spacing w:val="-3"/>
          <w:sz w:val="18"/>
        </w:rPr>
        <w:t xml:space="preserve"> </w:t>
      </w:r>
      <w:r w:rsidRPr="00EC20A0">
        <w:rPr>
          <w:sz w:val="18"/>
        </w:rPr>
        <w:t>projections</w:t>
      </w:r>
      <w:r w:rsidRPr="00EC20A0">
        <w:rPr>
          <w:spacing w:val="-1"/>
          <w:sz w:val="18"/>
        </w:rPr>
        <w:t xml:space="preserve"> </w:t>
      </w:r>
      <w:r w:rsidRPr="00EC20A0">
        <w:rPr>
          <w:sz w:val="18"/>
        </w:rPr>
        <w:t>and</w:t>
      </w:r>
      <w:r w:rsidRPr="00EC20A0">
        <w:rPr>
          <w:spacing w:val="-3"/>
          <w:sz w:val="18"/>
        </w:rPr>
        <w:t xml:space="preserve"> </w:t>
      </w:r>
      <w:r w:rsidRPr="00EC20A0">
        <w:rPr>
          <w:sz w:val="18"/>
        </w:rPr>
        <w:t>estimates</w:t>
      </w:r>
      <w:r w:rsidRPr="00EC20A0">
        <w:rPr>
          <w:spacing w:val="-2"/>
          <w:sz w:val="18"/>
        </w:rPr>
        <w:t xml:space="preserve"> </w:t>
      </w:r>
      <w:r w:rsidRPr="00EC20A0">
        <w:rPr>
          <w:sz w:val="18"/>
        </w:rPr>
        <w:t>used</w:t>
      </w:r>
      <w:r w:rsidRPr="00EC20A0">
        <w:rPr>
          <w:spacing w:val="-3"/>
          <w:sz w:val="18"/>
        </w:rPr>
        <w:t xml:space="preserve"> </w:t>
      </w:r>
      <w:r w:rsidRPr="00EC20A0">
        <w:rPr>
          <w:sz w:val="18"/>
        </w:rPr>
        <w:t>should be based on the entity’s best estimates of demographic and economic assumptions, taking each factor individually and incorporating future changes mandated by current law.” Certain entities prepare social insurance information using assumptions that a board of trustees prepares. Auditors should consider such assumptions to represent “reasonable</w:t>
      </w:r>
      <w:r w:rsidRPr="00EC20A0">
        <w:rPr>
          <w:spacing w:val="-4"/>
          <w:sz w:val="18"/>
        </w:rPr>
        <w:t xml:space="preserve"> </w:t>
      </w:r>
      <w:r w:rsidRPr="00EC20A0">
        <w:rPr>
          <w:sz w:val="18"/>
        </w:rPr>
        <w:t>estimates”</w:t>
      </w:r>
      <w:r w:rsidRPr="00EC20A0">
        <w:rPr>
          <w:spacing w:val="-3"/>
          <w:sz w:val="18"/>
        </w:rPr>
        <w:t xml:space="preserve"> </w:t>
      </w:r>
      <w:r w:rsidRPr="00EC20A0">
        <w:rPr>
          <w:sz w:val="18"/>
        </w:rPr>
        <w:t>if</w:t>
      </w:r>
      <w:r w:rsidRPr="00EC20A0">
        <w:rPr>
          <w:spacing w:val="-3"/>
          <w:sz w:val="18"/>
        </w:rPr>
        <w:t xml:space="preserve"> </w:t>
      </w:r>
      <w:r w:rsidRPr="00EC20A0">
        <w:rPr>
          <w:sz w:val="18"/>
        </w:rPr>
        <w:t>the</w:t>
      </w:r>
      <w:r w:rsidRPr="00EC20A0">
        <w:rPr>
          <w:spacing w:val="-4"/>
          <w:sz w:val="18"/>
        </w:rPr>
        <w:t xml:space="preserve"> </w:t>
      </w:r>
      <w:r w:rsidRPr="00EC20A0">
        <w:rPr>
          <w:sz w:val="18"/>
        </w:rPr>
        <w:t>trustees</w:t>
      </w:r>
      <w:r w:rsidRPr="00EC20A0">
        <w:rPr>
          <w:spacing w:val="-3"/>
          <w:sz w:val="18"/>
        </w:rPr>
        <w:t xml:space="preserve"> </w:t>
      </w:r>
      <w:r w:rsidRPr="00EC20A0">
        <w:rPr>
          <w:sz w:val="18"/>
        </w:rPr>
        <w:t>have</w:t>
      </w:r>
      <w:r w:rsidRPr="00EC20A0">
        <w:rPr>
          <w:spacing w:val="-4"/>
          <w:sz w:val="18"/>
        </w:rPr>
        <w:t xml:space="preserve"> </w:t>
      </w:r>
      <w:r w:rsidRPr="00EC20A0">
        <w:rPr>
          <w:sz w:val="18"/>
        </w:rPr>
        <w:t>characterized</w:t>
      </w:r>
      <w:r w:rsidRPr="00EC20A0">
        <w:rPr>
          <w:spacing w:val="-4"/>
          <w:sz w:val="18"/>
        </w:rPr>
        <w:t xml:space="preserve"> </w:t>
      </w:r>
      <w:r w:rsidRPr="00EC20A0">
        <w:rPr>
          <w:sz w:val="18"/>
        </w:rPr>
        <w:t>them</w:t>
      </w:r>
      <w:r w:rsidRPr="00EC20A0">
        <w:rPr>
          <w:spacing w:val="-3"/>
          <w:sz w:val="18"/>
        </w:rPr>
        <w:t xml:space="preserve"> </w:t>
      </w:r>
      <w:r w:rsidRPr="00EC20A0">
        <w:rPr>
          <w:sz w:val="18"/>
        </w:rPr>
        <w:t>as</w:t>
      </w:r>
      <w:r w:rsidRPr="00EC20A0">
        <w:rPr>
          <w:spacing w:val="-3"/>
          <w:sz w:val="18"/>
        </w:rPr>
        <w:t xml:space="preserve"> </w:t>
      </w:r>
      <w:r w:rsidRPr="00EC20A0">
        <w:rPr>
          <w:sz w:val="18"/>
        </w:rPr>
        <w:t>such</w:t>
      </w:r>
      <w:r w:rsidRPr="00EC20A0">
        <w:rPr>
          <w:spacing w:val="-4"/>
          <w:sz w:val="18"/>
        </w:rPr>
        <w:t xml:space="preserve"> </w:t>
      </w:r>
      <w:r w:rsidRPr="00EC20A0">
        <w:rPr>
          <w:sz w:val="18"/>
        </w:rPr>
        <w:t>and</w:t>
      </w:r>
      <w:r w:rsidRPr="00EC20A0">
        <w:rPr>
          <w:spacing w:val="-4"/>
          <w:sz w:val="18"/>
        </w:rPr>
        <w:t xml:space="preserve"> </w:t>
      </w:r>
      <w:r w:rsidRPr="00EC20A0">
        <w:rPr>
          <w:sz w:val="18"/>
        </w:rPr>
        <w:t>entity</w:t>
      </w:r>
      <w:r w:rsidRPr="00EC20A0">
        <w:rPr>
          <w:spacing w:val="-3"/>
          <w:sz w:val="18"/>
        </w:rPr>
        <w:t xml:space="preserve"> </w:t>
      </w:r>
      <w:r w:rsidRPr="00EC20A0">
        <w:rPr>
          <w:sz w:val="18"/>
        </w:rPr>
        <w:t>management</w:t>
      </w:r>
      <w:r w:rsidRPr="00EC20A0">
        <w:rPr>
          <w:spacing w:val="-3"/>
          <w:sz w:val="18"/>
        </w:rPr>
        <w:t xml:space="preserve"> </w:t>
      </w:r>
      <w:r w:rsidRPr="00EC20A0">
        <w:rPr>
          <w:sz w:val="18"/>
        </w:rPr>
        <w:t>has</w:t>
      </w:r>
      <w:r w:rsidRPr="00EC20A0">
        <w:rPr>
          <w:spacing w:val="-3"/>
          <w:sz w:val="18"/>
        </w:rPr>
        <w:t xml:space="preserve"> </w:t>
      </w:r>
      <w:r w:rsidRPr="00EC20A0">
        <w:rPr>
          <w:sz w:val="18"/>
        </w:rPr>
        <w:t>det</w:t>
      </w:r>
      <w:r w:rsidRPr="00EC20A0">
        <w:rPr>
          <w:sz w:val="18"/>
        </w:rPr>
        <w:t>ermined</w:t>
      </w:r>
      <w:r w:rsidRPr="00EC20A0">
        <w:rPr>
          <w:spacing w:val="-4"/>
          <w:sz w:val="18"/>
        </w:rPr>
        <w:t xml:space="preserve"> </w:t>
      </w:r>
      <w:r w:rsidRPr="00EC20A0">
        <w:rPr>
          <w:sz w:val="18"/>
        </w:rPr>
        <w:t>them to</w:t>
      </w:r>
      <w:r w:rsidRPr="00EC20A0">
        <w:rPr>
          <w:spacing w:val="-2"/>
          <w:sz w:val="18"/>
        </w:rPr>
        <w:t xml:space="preserve"> </w:t>
      </w:r>
      <w:r w:rsidRPr="00EC20A0">
        <w:rPr>
          <w:sz w:val="18"/>
        </w:rPr>
        <w:t>be</w:t>
      </w:r>
      <w:r w:rsidRPr="00EC20A0">
        <w:rPr>
          <w:spacing w:val="-2"/>
          <w:sz w:val="18"/>
        </w:rPr>
        <w:t xml:space="preserve"> </w:t>
      </w:r>
      <w:r w:rsidRPr="00EC20A0">
        <w:rPr>
          <w:sz w:val="18"/>
        </w:rPr>
        <w:t>reasonable.</w:t>
      </w:r>
      <w:r w:rsidRPr="00EC20A0">
        <w:rPr>
          <w:spacing w:val="-1"/>
          <w:sz w:val="18"/>
        </w:rPr>
        <w:t xml:space="preserve"> </w:t>
      </w:r>
      <w:r w:rsidRPr="00EC20A0">
        <w:rPr>
          <w:sz w:val="18"/>
        </w:rPr>
        <w:t>With</w:t>
      </w:r>
      <w:r w:rsidRPr="00EC20A0">
        <w:rPr>
          <w:spacing w:val="-2"/>
          <w:sz w:val="18"/>
        </w:rPr>
        <w:t xml:space="preserve"> </w:t>
      </w:r>
      <w:r w:rsidRPr="00EC20A0">
        <w:rPr>
          <w:sz w:val="18"/>
        </w:rPr>
        <w:t>respect</w:t>
      </w:r>
      <w:r w:rsidRPr="00EC20A0">
        <w:rPr>
          <w:spacing w:val="-1"/>
          <w:sz w:val="18"/>
        </w:rPr>
        <w:t xml:space="preserve"> </w:t>
      </w:r>
      <w:r w:rsidRPr="00EC20A0">
        <w:rPr>
          <w:sz w:val="18"/>
        </w:rPr>
        <w:t>to</w:t>
      </w:r>
      <w:r w:rsidRPr="00EC20A0">
        <w:rPr>
          <w:spacing w:val="-2"/>
          <w:sz w:val="18"/>
        </w:rPr>
        <w:t xml:space="preserve"> </w:t>
      </w:r>
      <w:r w:rsidRPr="00EC20A0">
        <w:rPr>
          <w:sz w:val="18"/>
        </w:rPr>
        <w:t>these</w:t>
      </w:r>
      <w:r w:rsidRPr="00EC20A0">
        <w:rPr>
          <w:spacing w:val="-2"/>
          <w:sz w:val="18"/>
        </w:rPr>
        <w:t xml:space="preserve"> </w:t>
      </w:r>
      <w:r w:rsidRPr="00EC20A0">
        <w:rPr>
          <w:sz w:val="18"/>
        </w:rPr>
        <w:t>assumptions,</w:t>
      </w:r>
      <w:r w:rsidRPr="00EC20A0">
        <w:rPr>
          <w:spacing w:val="-1"/>
          <w:sz w:val="18"/>
        </w:rPr>
        <w:t xml:space="preserve"> </w:t>
      </w:r>
      <w:r w:rsidRPr="00EC20A0">
        <w:rPr>
          <w:sz w:val="18"/>
        </w:rPr>
        <w:t>the</w:t>
      </w:r>
      <w:r w:rsidRPr="00EC20A0">
        <w:rPr>
          <w:spacing w:val="-2"/>
          <w:sz w:val="18"/>
        </w:rPr>
        <w:t xml:space="preserve"> </w:t>
      </w:r>
      <w:r w:rsidRPr="00EC20A0">
        <w:rPr>
          <w:sz w:val="18"/>
        </w:rPr>
        <w:t>auditor</w:t>
      </w:r>
      <w:r w:rsidRPr="00EC20A0">
        <w:rPr>
          <w:spacing w:val="-1"/>
          <w:sz w:val="18"/>
        </w:rPr>
        <w:t xml:space="preserve"> </w:t>
      </w:r>
      <w:r w:rsidRPr="00EC20A0">
        <w:rPr>
          <w:sz w:val="18"/>
        </w:rPr>
        <w:t>should</w:t>
      </w:r>
      <w:r w:rsidRPr="00EC20A0">
        <w:rPr>
          <w:spacing w:val="-2"/>
          <w:sz w:val="18"/>
        </w:rPr>
        <w:t xml:space="preserve"> </w:t>
      </w:r>
      <w:r w:rsidRPr="00EC20A0">
        <w:rPr>
          <w:sz w:val="18"/>
        </w:rPr>
        <w:t>perform</w:t>
      </w:r>
      <w:r w:rsidRPr="00EC20A0">
        <w:rPr>
          <w:spacing w:val="-1"/>
          <w:sz w:val="18"/>
        </w:rPr>
        <w:t xml:space="preserve"> </w:t>
      </w:r>
      <w:r w:rsidRPr="00EC20A0">
        <w:rPr>
          <w:sz w:val="18"/>
        </w:rPr>
        <w:t>audit</w:t>
      </w:r>
      <w:r w:rsidRPr="00EC20A0">
        <w:rPr>
          <w:spacing w:val="-1"/>
          <w:sz w:val="18"/>
        </w:rPr>
        <w:t xml:space="preserve"> </w:t>
      </w:r>
      <w:r w:rsidRPr="00EC20A0">
        <w:rPr>
          <w:sz w:val="18"/>
        </w:rPr>
        <w:t>procedures</w:t>
      </w:r>
      <w:r w:rsidRPr="00EC20A0">
        <w:rPr>
          <w:spacing w:val="-1"/>
          <w:sz w:val="18"/>
        </w:rPr>
        <w:t xml:space="preserve"> </w:t>
      </w:r>
      <w:r w:rsidRPr="00EC20A0">
        <w:rPr>
          <w:sz w:val="18"/>
        </w:rPr>
        <w:t>that are</w:t>
      </w:r>
      <w:r w:rsidRPr="00EC20A0">
        <w:rPr>
          <w:spacing w:val="-2"/>
          <w:sz w:val="18"/>
        </w:rPr>
        <w:t xml:space="preserve"> </w:t>
      </w:r>
      <w:r w:rsidRPr="00EC20A0">
        <w:rPr>
          <w:sz w:val="18"/>
        </w:rPr>
        <w:t>consistent with the guidance in paras. 9 through 37 of SOP 04-1.</w:t>
      </w:r>
    </w:p>
    <w:p w14:paraId="24D61C72" w14:textId="77777777" w:rsidR="00245300" w:rsidRPr="00EC20A0" w:rsidRDefault="00F17249">
      <w:pPr>
        <w:spacing w:before="120" w:line="244" w:lineRule="auto"/>
        <w:ind w:left="200" w:right="408" w:hanging="1"/>
        <w:rPr>
          <w:sz w:val="18"/>
        </w:rPr>
      </w:pPr>
      <w:bookmarkStart w:id="359" w:name="_bookmark206"/>
      <w:bookmarkEnd w:id="359"/>
      <w:r w:rsidRPr="00EC20A0">
        <w:rPr>
          <w:position w:val="7"/>
          <w:sz w:val="14"/>
        </w:rPr>
        <w:t>48</w:t>
      </w:r>
      <w:r w:rsidRPr="00EC20A0">
        <w:rPr>
          <w:sz w:val="18"/>
        </w:rPr>
        <w:t>The</w:t>
      </w:r>
      <w:r w:rsidRPr="00EC20A0">
        <w:rPr>
          <w:spacing w:val="-4"/>
          <w:sz w:val="18"/>
        </w:rPr>
        <w:t xml:space="preserve"> </w:t>
      </w:r>
      <w:r w:rsidRPr="00EC20A0">
        <w:rPr>
          <w:sz w:val="18"/>
        </w:rPr>
        <w:t>sustainability</w:t>
      </w:r>
      <w:r w:rsidRPr="00EC20A0">
        <w:rPr>
          <w:spacing w:val="-3"/>
          <w:sz w:val="18"/>
        </w:rPr>
        <w:t xml:space="preserve"> </w:t>
      </w:r>
      <w:r w:rsidRPr="00EC20A0">
        <w:rPr>
          <w:sz w:val="18"/>
        </w:rPr>
        <w:t>financial</w:t>
      </w:r>
      <w:r w:rsidRPr="00EC20A0">
        <w:rPr>
          <w:spacing w:val="-3"/>
          <w:sz w:val="18"/>
        </w:rPr>
        <w:t xml:space="preserve"> </w:t>
      </w:r>
      <w:r w:rsidRPr="00EC20A0">
        <w:rPr>
          <w:sz w:val="18"/>
        </w:rPr>
        <w:t>statements</w:t>
      </w:r>
      <w:r w:rsidRPr="00EC20A0">
        <w:rPr>
          <w:spacing w:val="-3"/>
          <w:sz w:val="18"/>
        </w:rPr>
        <w:t xml:space="preserve"> </w:t>
      </w:r>
      <w:r w:rsidRPr="00EC20A0">
        <w:rPr>
          <w:sz w:val="18"/>
        </w:rPr>
        <w:t>do</w:t>
      </w:r>
      <w:r w:rsidRPr="00EC20A0">
        <w:rPr>
          <w:spacing w:val="-4"/>
          <w:sz w:val="18"/>
        </w:rPr>
        <w:t xml:space="preserve"> </w:t>
      </w:r>
      <w:r w:rsidRPr="00EC20A0">
        <w:rPr>
          <w:sz w:val="18"/>
        </w:rPr>
        <w:t>not</w:t>
      </w:r>
      <w:r w:rsidRPr="00EC20A0">
        <w:rPr>
          <w:spacing w:val="-3"/>
          <w:sz w:val="18"/>
        </w:rPr>
        <w:t xml:space="preserve"> </w:t>
      </w:r>
      <w:r w:rsidRPr="00EC20A0">
        <w:rPr>
          <w:sz w:val="18"/>
        </w:rPr>
        <w:t>articulate</w:t>
      </w:r>
      <w:r w:rsidRPr="00EC20A0">
        <w:rPr>
          <w:spacing w:val="-4"/>
          <w:sz w:val="18"/>
        </w:rPr>
        <w:t xml:space="preserve"> </w:t>
      </w:r>
      <w:r w:rsidRPr="00EC20A0">
        <w:rPr>
          <w:sz w:val="18"/>
        </w:rPr>
        <w:t>with</w:t>
      </w:r>
      <w:r w:rsidRPr="00EC20A0">
        <w:rPr>
          <w:spacing w:val="-4"/>
          <w:sz w:val="18"/>
        </w:rPr>
        <w:t xml:space="preserve"> </w:t>
      </w:r>
      <w:r w:rsidRPr="00EC20A0">
        <w:rPr>
          <w:sz w:val="18"/>
        </w:rPr>
        <w:t>the</w:t>
      </w:r>
      <w:r w:rsidRPr="00EC20A0">
        <w:rPr>
          <w:spacing w:val="-4"/>
          <w:sz w:val="18"/>
        </w:rPr>
        <w:t xml:space="preserve"> </w:t>
      </w:r>
      <w:r w:rsidRPr="00EC20A0">
        <w:rPr>
          <w:sz w:val="18"/>
        </w:rPr>
        <w:t>consolidated</w:t>
      </w:r>
      <w:r w:rsidRPr="00EC20A0">
        <w:rPr>
          <w:spacing w:val="-4"/>
          <w:sz w:val="18"/>
        </w:rPr>
        <w:t xml:space="preserve"> </w:t>
      </w:r>
      <w:r w:rsidRPr="00EC20A0">
        <w:rPr>
          <w:sz w:val="18"/>
        </w:rPr>
        <w:t>accrual-based</w:t>
      </w:r>
      <w:r w:rsidRPr="00EC20A0">
        <w:rPr>
          <w:spacing w:val="-4"/>
          <w:sz w:val="18"/>
        </w:rPr>
        <w:t xml:space="preserve"> </w:t>
      </w:r>
      <w:r w:rsidRPr="00EC20A0">
        <w:rPr>
          <w:sz w:val="18"/>
        </w:rPr>
        <w:t>financial</w:t>
      </w:r>
      <w:r w:rsidRPr="00EC20A0">
        <w:rPr>
          <w:spacing w:val="-3"/>
          <w:sz w:val="18"/>
        </w:rPr>
        <w:t xml:space="preserve"> </w:t>
      </w:r>
      <w:r w:rsidRPr="00EC20A0">
        <w:rPr>
          <w:sz w:val="18"/>
        </w:rPr>
        <w:t>statements. For that reason, the opinion on the sustainability financial statements ordinarily will not affect the opinion on the consolidated accrual-based financial statements.</w:t>
      </w:r>
    </w:p>
    <w:p w14:paraId="24D61C73" w14:textId="77777777" w:rsidR="00245300" w:rsidRPr="00EC20A0" w:rsidRDefault="00245300">
      <w:pPr>
        <w:spacing w:line="244" w:lineRule="auto"/>
        <w:rPr>
          <w:sz w:val="18"/>
        </w:rPr>
        <w:sectPr w:rsidR="00245300" w:rsidRPr="00EC20A0">
          <w:pgSz w:w="12240" w:h="15840"/>
          <w:pgMar w:top="1600" w:right="1100" w:bottom="940" w:left="1240" w:header="721" w:footer="757" w:gutter="0"/>
          <w:cols w:space="720"/>
        </w:sectPr>
      </w:pPr>
    </w:p>
    <w:p w14:paraId="24D61C74" w14:textId="77777777" w:rsidR="00245300" w:rsidRPr="00EC20A0" w:rsidRDefault="00F17249">
      <w:pPr>
        <w:pStyle w:val="BodyText"/>
        <w:spacing w:line="20" w:lineRule="exact"/>
        <w:ind w:left="274"/>
        <w:rPr>
          <w:sz w:val="2"/>
        </w:rPr>
      </w:pPr>
      <w:r w:rsidRPr="00EC20A0">
        <w:rPr>
          <w:noProof/>
          <w:sz w:val="2"/>
        </w:rPr>
        <mc:AlternateContent>
          <mc:Choice Requires="wpg">
            <w:drawing>
              <wp:inline distT="0" distB="0" distL="0" distR="0" wp14:anchorId="24D62CBF" wp14:editId="24D62CC0">
                <wp:extent cx="5960110" cy="9525"/>
                <wp:effectExtent l="9525" t="0" r="2539" b="0"/>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110" cy="9525"/>
                          <a:chOff x="0" y="0"/>
                          <a:chExt cx="5960110" cy="9525"/>
                        </a:xfrm>
                      </wpg:grpSpPr>
                      <wps:wsp>
                        <wps:cNvPr id="890" name="Graphic 890"/>
                        <wps:cNvSpPr/>
                        <wps:spPr>
                          <a:xfrm>
                            <a:off x="0" y="4762"/>
                            <a:ext cx="5960110" cy="1270"/>
                          </a:xfrm>
                          <a:custGeom>
                            <a:avLst/>
                            <a:gdLst/>
                            <a:ahLst/>
                            <a:cxnLst/>
                            <a:rect l="l" t="t" r="r" b="b"/>
                            <a:pathLst>
                              <a:path w="5960110">
                                <a:moveTo>
                                  <a:pt x="0" y="0"/>
                                </a:moveTo>
                                <a:lnTo>
                                  <a:pt x="596011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421B3B" id="Group 889" o:spid="_x0000_s1026" style="width:469.3pt;height:.75pt;mso-position-horizontal-relative:char;mso-position-vertical-relative:line" coordsize="596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">
                <v:shape id="Graphic 890" o:spid="_x0000_s1027" style="position:absolute;top:47;width:59601;height:13;visibility:visible;mso-wrap-style:square;v-text-anchor:top" coordsize="5960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" path="m,l5960110,e" filled="f">
                  <v:path arrowok="t"/>
                </v:shape>
                <w10:anchorlock/>
              </v:group>
            </w:pict>
          </mc:Fallback>
        </mc:AlternateContent>
      </w:r>
    </w:p>
    <w:p w14:paraId="24D61C75" w14:textId="77777777" w:rsidR="00245300" w:rsidRPr="00EC20A0" w:rsidRDefault="00245300">
      <w:pPr>
        <w:pStyle w:val="BodyText"/>
        <w:spacing w:before="126"/>
        <w:rPr>
          <w:sz w:val="60"/>
        </w:rPr>
      </w:pPr>
    </w:p>
    <w:p w14:paraId="24D61C76" w14:textId="77777777" w:rsidR="00245300" w:rsidRPr="00EC20A0" w:rsidRDefault="00F17249">
      <w:pPr>
        <w:pStyle w:val="Heading1"/>
        <w:spacing w:before="1"/>
      </w:pPr>
      <w:bookmarkStart w:id="360" w:name="Section_1000_-_Reporting_Implementation_"/>
      <w:bookmarkStart w:id="361" w:name="_bookmark207"/>
      <w:bookmarkEnd w:id="360"/>
      <w:bookmarkEnd w:id="361"/>
      <w:r w:rsidRPr="00EC20A0">
        <w:t>SECTION</w:t>
      </w:r>
      <w:r w:rsidRPr="00EC20A0">
        <w:rPr>
          <w:spacing w:val="-4"/>
        </w:rPr>
        <w:t xml:space="preserve"> 1000</w:t>
      </w:r>
    </w:p>
    <w:p w14:paraId="24D61C77" w14:textId="77777777" w:rsidR="00245300" w:rsidRPr="00EC20A0" w:rsidRDefault="00245300">
      <w:pPr>
        <w:pStyle w:val="BodyText"/>
        <w:rPr>
          <w:sz w:val="20"/>
        </w:rPr>
      </w:pPr>
    </w:p>
    <w:p w14:paraId="24D61C78" w14:textId="77777777" w:rsidR="00245300" w:rsidRPr="00EC20A0" w:rsidRDefault="00F17249">
      <w:pPr>
        <w:pStyle w:val="BodyText"/>
        <w:spacing w:before="129"/>
        <w:rPr>
          <w:sz w:val="20"/>
        </w:rPr>
      </w:pPr>
      <w:r w:rsidRPr="00EC20A0">
        <w:rPr>
          <w:noProof/>
        </w:rPr>
        <mc:AlternateContent>
          <mc:Choice Requires="wps">
            <w:drawing>
              <wp:anchor distT="0" distB="0" distL="0" distR="0" simplePos="0" relativeHeight="487721984" behindDoc="1" locked="0" layoutInCell="1" allowOverlap="1" wp14:anchorId="24D62CC1" wp14:editId="24D62CC2">
                <wp:simplePos x="0" y="0"/>
                <wp:positionH relativeFrom="page">
                  <wp:posOffset>914400</wp:posOffset>
                </wp:positionH>
                <wp:positionV relativeFrom="paragraph">
                  <wp:posOffset>243291</wp:posOffset>
                </wp:positionV>
                <wp:extent cx="5943600" cy="91440"/>
                <wp:effectExtent l="0" t="0" r="0" b="0"/>
                <wp:wrapTopAndBottom/>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1440"/>
                        </a:xfrm>
                        <a:custGeom>
                          <a:avLst/>
                          <a:gdLst/>
                          <a:ahLst/>
                          <a:cxnLst/>
                          <a:rect l="l" t="t" r="r" b="b"/>
                          <a:pathLst>
                            <a:path w="5943600" h="91440">
                              <a:moveTo>
                                <a:pt x="5943600" y="0"/>
                              </a:moveTo>
                              <a:lnTo>
                                <a:pt x="0" y="0"/>
                              </a:lnTo>
                              <a:lnTo>
                                <a:pt x="0" y="91440"/>
                              </a:lnTo>
                              <a:lnTo>
                                <a:pt x="5943600" y="9144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8204E8" id="Graphic 891" o:spid="_x0000_s1026" style="position:absolute;margin-left:1in;margin-top:19.15pt;width:468pt;height:7.2pt;z-index:-15594496;visibility:visible;mso-wrap-style:square;mso-wrap-distance-left:0;mso-wrap-distance-top:0;mso-wrap-distance-right:0;mso-wrap-distance-bottom:0;mso-position-horizontal:absolute;mso-position-horizontal-relative:page;mso-position-vertical:absolute;mso-position-vertical-relative:text;v-text-anchor:top" coordsize="594360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" path="m5943600,l,,,91440r5943600,l5943600,xe" fillcolor="black" stroked="f">
                <v:path arrowok="t"/>
                <w10:wrap type="topAndBottom" anchorx="page"/>
              </v:shape>
            </w:pict>
          </mc:Fallback>
        </mc:AlternateContent>
      </w:r>
    </w:p>
    <w:p w14:paraId="24D61C79" w14:textId="77777777" w:rsidR="00245300" w:rsidRPr="00EC20A0" w:rsidRDefault="00F17249">
      <w:pPr>
        <w:pStyle w:val="Heading2"/>
        <w:spacing w:before="359"/>
        <w:ind w:left="1877"/>
        <w:jc w:val="left"/>
      </w:pPr>
      <w:r w:rsidRPr="00EC20A0">
        <w:t>Reporting</w:t>
      </w:r>
      <w:r w:rsidRPr="00EC20A0">
        <w:rPr>
          <w:spacing w:val="-9"/>
        </w:rPr>
        <w:t xml:space="preserve"> </w:t>
      </w:r>
      <w:r w:rsidRPr="00EC20A0">
        <w:t>Implementation</w:t>
      </w:r>
      <w:r w:rsidRPr="00EC20A0">
        <w:rPr>
          <w:spacing w:val="-8"/>
        </w:rPr>
        <w:t xml:space="preserve"> </w:t>
      </w:r>
      <w:r w:rsidRPr="00EC20A0">
        <w:rPr>
          <w:spacing w:val="-2"/>
        </w:rPr>
        <w:t>Guidance</w:t>
      </w:r>
    </w:p>
    <w:p w14:paraId="24D61C7A" w14:textId="77777777" w:rsidR="00245300" w:rsidRPr="00EC20A0" w:rsidRDefault="00245300">
      <w:pPr>
        <w:pStyle w:val="BodyText"/>
        <w:rPr>
          <w:sz w:val="20"/>
        </w:rPr>
      </w:pPr>
    </w:p>
    <w:p w14:paraId="24D61C7B" w14:textId="77777777" w:rsidR="00245300" w:rsidRPr="00EC20A0" w:rsidRDefault="00245300">
      <w:pPr>
        <w:pStyle w:val="BodyText"/>
        <w:rPr>
          <w:sz w:val="20"/>
        </w:rPr>
      </w:pPr>
    </w:p>
    <w:p w14:paraId="24D61C7C" w14:textId="77777777" w:rsidR="00245300" w:rsidRPr="00EC20A0" w:rsidRDefault="00245300">
      <w:pPr>
        <w:pStyle w:val="BodyText"/>
        <w:rPr>
          <w:sz w:val="20"/>
        </w:rPr>
      </w:pPr>
    </w:p>
    <w:p w14:paraId="24D61C7D" w14:textId="77777777" w:rsidR="00245300" w:rsidRPr="00EC20A0" w:rsidRDefault="00245300">
      <w:pPr>
        <w:pStyle w:val="BodyText"/>
        <w:rPr>
          <w:sz w:val="20"/>
        </w:rPr>
      </w:pPr>
    </w:p>
    <w:p w14:paraId="24D61C7E" w14:textId="77777777" w:rsidR="00245300" w:rsidRPr="00EC20A0" w:rsidRDefault="00245300">
      <w:pPr>
        <w:pStyle w:val="BodyText"/>
        <w:rPr>
          <w:sz w:val="20"/>
        </w:rPr>
      </w:pPr>
    </w:p>
    <w:p w14:paraId="24D61C7F" w14:textId="77777777" w:rsidR="00245300" w:rsidRPr="00EC20A0" w:rsidRDefault="00245300">
      <w:pPr>
        <w:pStyle w:val="BodyText"/>
        <w:rPr>
          <w:sz w:val="20"/>
        </w:rPr>
      </w:pPr>
    </w:p>
    <w:p w14:paraId="24D61C80" w14:textId="77777777" w:rsidR="00245300" w:rsidRPr="00EC20A0" w:rsidRDefault="00245300">
      <w:pPr>
        <w:pStyle w:val="BodyText"/>
        <w:rPr>
          <w:sz w:val="20"/>
        </w:rPr>
      </w:pPr>
    </w:p>
    <w:p w14:paraId="24D61C81" w14:textId="77777777" w:rsidR="00245300" w:rsidRPr="00EC20A0" w:rsidRDefault="00245300">
      <w:pPr>
        <w:pStyle w:val="BodyText"/>
        <w:rPr>
          <w:sz w:val="20"/>
        </w:rPr>
      </w:pPr>
    </w:p>
    <w:p w14:paraId="24D61C82" w14:textId="77777777" w:rsidR="00245300" w:rsidRPr="00EC20A0" w:rsidRDefault="00245300">
      <w:pPr>
        <w:pStyle w:val="BodyText"/>
        <w:rPr>
          <w:sz w:val="20"/>
        </w:rPr>
      </w:pPr>
    </w:p>
    <w:p w14:paraId="24D61C83" w14:textId="77777777" w:rsidR="00245300" w:rsidRPr="00EC20A0" w:rsidRDefault="00245300">
      <w:pPr>
        <w:pStyle w:val="BodyText"/>
        <w:rPr>
          <w:sz w:val="20"/>
        </w:rPr>
      </w:pPr>
    </w:p>
    <w:p w14:paraId="24D61C84" w14:textId="77777777" w:rsidR="00245300" w:rsidRPr="00EC20A0" w:rsidRDefault="00245300">
      <w:pPr>
        <w:pStyle w:val="BodyText"/>
        <w:rPr>
          <w:sz w:val="20"/>
        </w:rPr>
      </w:pPr>
    </w:p>
    <w:p w14:paraId="24D61C85" w14:textId="77777777" w:rsidR="00245300" w:rsidRPr="00EC20A0" w:rsidRDefault="00245300">
      <w:pPr>
        <w:pStyle w:val="BodyText"/>
        <w:rPr>
          <w:sz w:val="20"/>
        </w:rPr>
      </w:pPr>
    </w:p>
    <w:p w14:paraId="24D61C86" w14:textId="77777777" w:rsidR="00245300" w:rsidRPr="00EC20A0" w:rsidRDefault="00245300">
      <w:pPr>
        <w:pStyle w:val="BodyText"/>
        <w:rPr>
          <w:sz w:val="20"/>
        </w:rPr>
      </w:pPr>
    </w:p>
    <w:p w14:paraId="24D61C87" w14:textId="77777777" w:rsidR="00245300" w:rsidRPr="00EC20A0" w:rsidRDefault="00245300">
      <w:pPr>
        <w:pStyle w:val="BodyText"/>
        <w:rPr>
          <w:sz w:val="20"/>
        </w:rPr>
      </w:pPr>
    </w:p>
    <w:p w14:paraId="24D61C88" w14:textId="77777777" w:rsidR="00245300" w:rsidRPr="00EC20A0" w:rsidRDefault="00245300">
      <w:pPr>
        <w:pStyle w:val="BodyText"/>
        <w:rPr>
          <w:sz w:val="20"/>
        </w:rPr>
      </w:pPr>
    </w:p>
    <w:p w14:paraId="24D61C89" w14:textId="77777777" w:rsidR="00245300" w:rsidRPr="00EC20A0" w:rsidRDefault="00245300">
      <w:pPr>
        <w:pStyle w:val="BodyText"/>
        <w:rPr>
          <w:sz w:val="20"/>
        </w:rPr>
      </w:pPr>
    </w:p>
    <w:p w14:paraId="24D61C8A" w14:textId="77777777" w:rsidR="00245300" w:rsidRPr="00EC20A0" w:rsidRDefault="00245300">
      <w:pPr>
        <w:pStyle w:val="BodyText"/>
        <w:rPr>
          <w:sz w:val="20"/>
        </w:rPr>
      </w:pPr>
    </w:p>
    <w:p w14:paraId="24D61C8B" w14:textId="77777777" w:rsidR="00245300" w:rsidRPr="00EC20A0" w:rsidRDefault="00245300">
      <w:pPr>
        <w:pStyle w:val="BodyText"/>
        <w:rPr>
          <w:sz w:val="20"/>
        </w:rPr>
      </w:pPr>
    </w:p>
    <w:p w14:paraId="24D61C8C" w14:textId="77777777" w:rsidR="00245300" w:rsidRPr="00EC20A0" w:rsidRDefault="00245300">
      <w:pPr>
        <w:pStyle w:val="BodyText"/>
        <w:rPr>
          <w:sz w:val="20"/>
        </w:rPr>
      </w:pPr>
    </w:p>
    <w:p w14:paraId="24D61C8D" w14:textId="77777777" w:rsidR="00245300" w:rsidRPr="00EC20A0" w:rsidRDefault="00245300">
      <w:pPr>
        <w:pStyle w:val="BodyText"/>
        <w:rPr>
          <w:sz w:val="20"/>
        </w:rPr>
      </w:pPr>
    </w:p>
    <w:p w14:paraId="24D61C8E" w14:textId="77777777" w:rsidR="00245300" w:rsidRPr="00EC20A0" w:rsidRDefault="00245300">
      <w:pPr>
        <w:pStyle w:val="BodyText"/>
        <w:rPr>
          <w:sz w:val="20"/>
        </w:rPr>
      </w:pPr>
    </w:p>
    <w:p w14:paraId="24D61C8F" w14:textId="77777777" w:rsidR="00245300" w:rsidRPr="00EC20A0" w:rsidRDefault="00245300">
      <w:pPr>
        <w:pStyle w:val="BodyText"/>
        <w:rPr>
          <w:sz w:val="20"/>
        </w:rPr>
      </w:pPr>
    </w:p>
    <w:p w14:paraId="24D61C90" w14:textId="77777777" w:rsidR="00245300" w:rsidRPr="00EC20A0" w:rsidRDefault="00245300">
      <w:pPr>
        <w:pStyle w:val="BodyText"/>
        <w:rPr>
          <w:sz w:val="20"/>
        </w:rPr>
      </w:pPr>
    </w:p>
    <w:p w14:paraId="24D61C91" w14:textId="77777777" w:rsidR="00245300" w:rsidRPr="00EC20A0" w:rsidRDefault="00245300">
      <w:pPr>
        <w:pStyle w:val="BodyText"/>
        <w:rPr>
          <w:sz w:val="20"/>
        </w:rPr>
      </w:pPr>
    </w:p>
    <w:p w14:paraId="24D61C92" w14:textId="77777777" w:rsidR="00245300" w:rsidRPr="00EC20A0" w:rsidRDefault="00245300">
      <w:pPr>
        <w:pStyle w:val="BodyText"/>
        <w:rPr>
          <w:sz w:val="20"/>
        </w:rPr>
      </w:pPr>
    </w:p>
    <w:p w14:paraId="24D61C93" w14:textId="77777777" w:rsidR="00245300" w:rsidRPr="00EC20A0" w:rsidRDefault="00245300">
      <w:pPr>
        <w:pStyle w:val="BodyText"/>
        <w:rPr>
          <w:sz w:val="20"/>
        </w:rPr>
      </w:pPr>
    </w:p>
    <w:p w14:paraId="24D61C94" w14:textId="77777777" w:rsidR="00245300" w:rsidRPr="00EC20A0" w:rsidRDefault="00245300">
      <w:pPr>
        <w:pStyle w:val="BodyText"/>
        <w:rPr>
          <w:sz w:val="20"/>
        </w:rPr>
      </w:pPr>
    </w:p>
    <w:p w14:paraId="24D61C95" w14:textId="77777777" w:rsidR="00245300" w:rsidRPr="00EC20A0" w:rsidRDefault="00245300">
      <w:pPr>
        <w:pStyle w:val="BodyText"/>
        <w:rPr>
          <w:sz w:val="20"/>
        </w:rPr>
      </w:pPr>
    </w:p>
    <w:p w14:paraId="24D61C96" w14:textId="77777777" w:rsidR="00245300" w:rsidRPr="00EC20A0" w:rsidRDefault="00245300">
      <w:pPr>
        <w:pStyle w:val="BodyText"/>
        <w:rPr>
          <w:sz w:val="20"/>
        </w:rPr>
      </w:pPr>
    </w:p>
    <w:p w14:paraId="24D61C97" w14:textId="77777777" w:rsidR="00245300" w:rsidRPr="00EC20A0" w:rsidRDefault="00245300">
      <w:pPr>
        <w:pStyle w:val="BodyText"/>
        <w:rPr>
          <w:sz w:val="20"/>
        </w:rPr>
      </w:pPr>
    </w:p>
    <w:p w14:paraId="24D61C98" w14:textId="77777777" w:rsidR="00245300" w:rsidRPr="00EC20A0" w:rsidRDefault="00245300">
      <w:pPr>
        <w:pStyle w:val="BodyText"/>
        <w:rPr>
          <w:sz w:val="20"/>
        </w:rPr>
      </w:pPr>
    </w:p>
    <w:p w14:paraId="24D61C99" w14:textId="77777777" w:rsidR="00245300" w:rsidRPr="00EC20A0" w:rsidRDefault="00245300">
      <w:pPr>
        <w:pStyle w:val="BodyText"/>
        <w:rPr>
          <w:sz w:val="20"/>
        </w:rPr>
      </w:pPr>
    </w:p>
    <w:p w14:paraId="24D61C9A" w14:textId="77777777" w:rsidR="00245300" w:rsidRPr="00EC20A0" w:rsidRDefault="00245300">
      <w:pPr>
        <w:pStyle w:val="BodyText"/>
        <w:rPr>
          <w:sz w:val="20"/>
        </w:rPr>
      </w:pPr>
    </w:p>
    <w:p w14:paraId="24D61C9B" w14:textId="77777777" w:rsidR="00245300" w:rsidRPr="00EC20A0" w:rsidRDefault="00245300">
      <w:pPr>
        <w:pStyle w:val="BodyText"/>
        <w:rPr>
          <w:sz w:val="20"/>
        </w:rPr>
      </w:pPr>
    </w:p>
    <w:p w14:paraId="24D61C9C" w14:textId="77777777" w:rsidR="00245300" w:rsidRPr="00EC20A0" w:rsidRDefault="00245300">
      <w:pPr>
        <w:pStyle w:val="BodyText"/>
        <w:rPr>
          <w:sz w:val="20"/>
        </w:rPr>
      </w:pPr>
    </w:p>
    <w:p w14:paraId="24D61C9D" w14:textId="77777777" w:rsidR="00245300" w:rsidRPr="00EC20A0" w:rsidRDefault="00245300">
      <w:pPr>
        <w:pStyle w:val="BodyText"/>
        <w:rPr>
          <w:sz w:val="20"/>
        </w:rPr>
      </w:pPr>
    </w:p>
    <w:p w14:paraId="24D61C9E" w14:textId="77777777" w:rsidR="00245300" w:rsidRPr="00EC20A0" w:rsidRDefault="00245300">
      <w:pPr>
        <w:pStyle w:val="BodyText"/>
        <w:rPr>
          <w:sz w:val="20"/>
        </w:rPr>
      </w:pPr>
    </w:p>
    <w:p w14:paraId="24D61C9F" w14:textId="77777777" w:rsidR="00245300" w:rsidRPr="00EC20A0" w:rsidRDefault="00245300">
      <w:pPr>
        <w:pStyle w:val="BodyText"/>
        <w:rPr>
          <w:sz w:val="20"/>
        </w:rPr>
      </w:pPr>
    </w:p>
    <w:p w14:paraId="24D61CA0" w14:textId="77777777" w:rsidR="00245300" w:rsidRPr="00EC20A0" w:rsidRDefault="00245300">
      <w:pPr>
        <w:pStyle w:val="BodyText"/>
        <w:rPr>
          <w:sz w:val="20"/>
        </w:rPr>
      </w:pPr>
    </w:p>
    <w:p w14:paraId="24D61CA1" w14:textId="77777777" w:rsidR="00245300" w:rsidRPr="00EC20A0" w:rsidRDefault="00245300">
      <w:pPr>
        <w:pStyle w:val="BodyText"/>
        <w:rPr>
          <w:sz w:val="20"/>
        </w:rPr>
      </w:pPr>
    </w:p>
    <w:p w14:paraId="24D61CA2" w14:textId="77777777" w:rsidR="00245300" w:rsidRPr="00EC20A0" w:rsidRDefault="00245300">
      <w:pPr>
        <w:pStyle w:val="BodyText"/>
        <w:rPr>
          <w:sz w:val="20"/>
        </w:rPr>
      </w:pPr>
    </w:p>
    <w:p w14:paraId="24D61CA3" w14:textId="77777777" w:rsidR="00245300" w:rsidRPr="00EC20A0" w:rsidRDefault="00245300">
      <w:pPr>
        <w:pStyle w:val="BodyText"/>
        <w:rPr>
          <w:sz w:val="20"/>
        </w:rPr>
      </w:pPr>
    </w:p>
    <w:p w14:paraId="24D61CA4" w14:textId="77777777" w:rsidR="00245300" w:rsidRPr="00EC20A0" w:rsidRDefault="00245300">
      <w:pPr>
        <w:pStyle w:val="BodyText"/>
        <w:rPr>
          <w:sz w:val="20"/>
        </w:rPr>
      </w:pPr>
    </w:p>
    <w:p w14:paraId="24D61CA5" w14:textId="77777777" w:rsidR="00245300" w:rsidRPr="00EC20A0" w:rsidRDefault="00245300">
      <w:pPr>
        <w:pStyle w:val="BodyText"/>
        <w:rPr>
          <w:sz w:val="20"/>
        </w:rPr>
      </w:pPr>
    </w:p>
    <w:p w14:paraId="24D61CA6" w14:textId="77777777" w:rsidR="00245300" w:rsidRPr="00EC20A0" w:rsidRDefault="00245300">
      <w:pPr>
        <w:pStyle w:val="BodyText"/>
        <w:rPr>
          <w:sz w:val="20"/>
        </w:rPr>
      </w:pPr>
    </w:p>
    <w:p w14:paraId="24D61CA7" w14:textId="77777777" w:rsidR="00245300" w:rsidRPr="00EC20A0" w:rsidRDefault="00F17249">
      <w:pPr>
        <w:pStyle w:val="BodyText"/>
        <w:spacing w:before="178"/>
        <w:rPr>
          <w:sz w:val="20"/>
        </w:rPr>
      </w:pPr>
      <w:r w:rsidRPr="00EC20A0">
        <w:rPr>
          <w:noProof/>
        </w:rPr>
        <mc:AlternateContent>
          <mc:Choice Requires="wps">
            <w:drawing>
              <wp:anchor distT="0" distB="0" distL="0" distR="0" simplePos="0" relativeHeight="487722496" behindDoc="1" locked="0" layoutInCell="1" allowOverlap="1" wp14:anchorId="24D62CC3" wp14:editId="24D62CC4">
                <wp:simplePos x="0" y="0"/>
                <wp:positionH relativeFrom="page">
                  <wp:posOffset>882650</wp:posOffset>
                </wp:positionH>
                <wp:positionV relativeFrom="paragraph">
                  <wp:posOffset>274307</wp:posOffset>
                </wp:positionV>
                <wp:extent cx="5815965" cy="1270"/>
                <wp:effectExtent l="0" t="0" r="0" b="0"/>
                <wp:wrapTopAndBottom/>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5965" cy="1270"/>
                        </a:xfrm>
                        <a:custGeom>
                          <a:avLst/>
                          <a:gdLst/>
                          <a:ahLst/>
                          <a:cxnLst/>
                          <a:rect l="l" t="t" r="r" b="b"/>
                          <a:pathLst>
                            <a:path w="5815965">
                              <a:moveTo>
                                <a:pt x="0" y="0"/>
                              </a:moveTo>
                              <a:lnTo>
                                <a:pt x="581596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62FDBD" id="Graphic 892" o:spid="_x0000_s1026" style="position:absolute;margin-left:69.5pt;margin-top:21.6pt;width:457.95pt;height:.1pt;z-index:-15593984;visibility:visible;mso-wrap-style:square;mso-wrap-distance-left:0;mso-wrap-distance-top:0;mso-wrap-distance-right:0;mso-wrap-distance-bottom:0;mso-position-horizontal:absolute;mso-position-horizontal-relative:page;mso-position-vertical:absolute;mso-position-vertical-relative:text;v-text-anchor:top" coordsize="5815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" path="m,l5815965,e" filled="f">
                <v:path arrowok="t"/>
                <w10:wrap type="topAndBottom" anchorx="page"/>
              </v:shape>
            </w:pict>
          </mc:Fallback>
        </mc:AlternateContent>
      </w:r>
    </w:p>
    <w:p w14:paraId="24D61CA8" w14:textId="77777777" w:rsidR="00245300" w:rsidRPr="00EC20A0" w:rsidRDefault="00245300">
      <w:pPr>
        <w:rPr>
          <w:sz w:val="20"/>
        </w:rPr>
        <w:sectPr w:rsidR="00245300" w:rsidRPr="00EC20A0">
          <w:headerReference w:type="default" r:id="rId180"/>
          <w:footerReference w:type="default" r:id="rId181"/>
          <w:pgSz w:w="12240" w:h="15840"/>
          <w:pgMar w:top="920" w:right="1100" w:bottom="280" w:left="1240" w:header="0" w:footer="0" w:gutter="0"/>
          <w:cols w:space="720"/>
        </w:sectPr>
      </w:pPr>
    </w:p>
    <w:p w14:paraId="24D61CA9" w14:textId="77777777" w:rsidR="00245300" w:rsidRPr="00EC20A0" w:rsidRDefault="00F17249">
      <w:pPr>
        <w:pStyle w:val="Heading3"/>
        <w:ind w:left="200"/>
        <w:rPr>
          <w:u w:val="none"/>
        </w:rPr>
      </w:pPr>
      <w:bookmarkStart w:id="362" w:name="Contents_–_Reporting_Implementation_Guid"/>
      <w:bookmarkEnd w:id="362"/>
      <w:r w:rsidRPr="00EC20A0">
        <w:t>Contents</w:t>
      </w:r>
      <w:r w:rsidRPr="00EC20A0">
        <w:rPr>
          <w:spacing w:val="-6"/>
        </w:rPr>
        <w:t xml:space="preserve"> </w:t>
      </w:r>
      <w:r w:rsidRPr="00EC20A0">
        <w:t>–</w:t>
      </w:r>
      <w:r w:rsidRPr="00EC20A0">
        <w:rPr>
          <w:spacing w:val="-7"/>
        </w:rPr>
        <w:t xml:space="preserve"> </w:t>
      </w:r>
      <w:r w:rsidRPr="00EC20A0">
        <w:t>Reporting</w:t>
      </w:r>
      <w:r w:rsidRPr="00EC20A0">
        <w:rPr>
          <w:spacing w:val="-7"/>
        </w:rPr>
        <w:t xml:space="preserve"> </w:t>
      </w:r>
      <w:r w:rsidRPr="00EC20A0">
        <w:t>Implementation</w:t>
      </w:r>
      <w:r w:rsidRPr="00EC20A0">
        <w:rPr>
          <w:spacing w:val="-7"/>
        </w:rPr>
        <w:t xml:space="preserve"> </w:t>
      </w:r>
      <w:r w:rsidRPr="00EC20A0">
        <w:rPr>
          <w:spacing w:val="-2"/>
        </w:rPr>
        <w:t>Guidance</w:t>
      </w:r>
    </w:p>
    <w:p w14:paraId="24D61CAA" w14:textId="77777777" w:rsidR="00245300" w:rsidRPr="00EC20A0" w:rsidRDefault="00245300">
      <w:pPr>
        <w:pStyle w:val="BodyText"/>
        <w:spacing w:before="138"/>
        <w:rPr>
          <w:b/>
          <w:sz w:val="20"/>
        </w:rPr>
      </w:pPr>
    </w:p>
    <w:tbl>
      <w:tblPr>
        <w:tblW w:w="0" w:type="auto"/>
        <w:tblInd w:w="517" w:type="dxa"/>
        <w:tblLayout w:type="fixed"/>
        <w:tblCellMar>
          <w:left w:w="0" w:type="dxa"/>
          <w:right w:w="0" w:type="dxa"/>
        </w:tblCellMar>
        <w:tblLook w:val="01E0" w:firstRow="1" w:lastRow="1" w:firstColumn="1" w:lastColumn="1" w:noHBand="0" w:noVBand="0"/>
      </w:tblPr>
      <w:tblGrid>
        <w:gridCol w:w="7329"/>
        <w:gridCol w:w="1521"/>
      </w:tblGrid>
      <w:tr w:rsidR="00245300" w:rsidRPr="00EC20A0" w14:paraId="24D61CAD" w14:textId="77777777">
        <w:trPr>
          <w:trHeight w:val="368"/>
        </w:trPr>
        <w:tc>
          <w:tcPr>
            <w:tcW w:w="7329" w:type="dxa"/>
          </w:tcPr>
          <w:p w14:paraId="24D61CAB" w14:textId="77777777" w:rsidR="00245300" w:rsidRPr="00EC20A0" w:rsidRDefault="00245300">
            <w:pPr>
              <w:pStyle w:val="TableParagraph"/>
            </w:pPr>
          </w:p>
        </w:tc>
        <w:tc>
          <w:tcPr>
            <w:tcW w:w="1521" w:type="dxa"/>
          </w:tcPr>
          <w:p w14:paraId="24D61CAC" w14:textId="77777777" w:rsidR="00245300" w:rsidRPr="00EC20A0" w:rsidRDefault="00F17249">
            <w:pPr>
              <w:pStyle w:val="TableParagraph"/>
              <w:spacing w:line="245" w:lineRule="exact"/>
              <w:ind w:left="787"/>
              <w:rPr>
                <w:b/>
              </w:rPr>
            </w:pPr>
            <w:r w:rsidRPr="00EC20A0">
              <w:rPr>
                <w:b/>
                <w:spacing w:val="-5"/>
              </w:rPr>
              <w:t>FAM</w:t>
            </w:r>
          </w:p>
        </w:tc>
      </w:tr>
      <w:tr w:rsidR="00245300" w:rsidRPr="00EC20A0" w14:paraId="24D61CB0" w14:textId="77777777">
        <w:trPr>
          <w:trHeight w:val="492"/>
        </w:trPr>
        <w:tc>
          <w:tcPr>
            <w:tcW w:w="7329" w:type="dxa"/>
          </w:tcPr>
          <w:p w14:paraId="24D61CAE" w14:textId="77777777" w:rsidR="00245300" w:rsidRPr="00EC20A0" w:rsidRDefault="00F17249">
            <w:pPr>
              <w:pStyle w:val="TableParagraph"/>
              <w:spacing w:before="115"/>
              <w:ind w:left="50"/>
            </w:pPr>
            <w:r w:rsidRPr="00EC20A0">
              <w:t>Management</w:t>
            </w:r>
            <w:r w:rsidRPr="00EC20A0">
              <w:rPr>
                <w:spacing w:val="-14"/>
              </w:rPr>
              <w:t xml:space="preserve"> </w:t>
            </w:r>
            <w:r w:rsidRPr="00EC20A0">
              <w:rPr>
                <w:spacing w:val="-2"/>
              </w:rPr>
              <w:t>Representations</w:t>
            </w:r>
          </w:p>
        </w:tc>
        <w:tc>
          <w:tcPr>
            <w:tcW w:w="1521" w:type="dxa"/>
          </w:tcPr>
          <w:p w14:paraId="24D61CAF" w14:textId="77777777" w:rsidR="00245300" w:rsidRPr="00EC20A0" w:rsidRDefault="00F17249">
            <w:pPr>
              <w:pStyle w:val="TableParagraph"/>
              <w:spacing w:before="115"/>
              <w:ind w:left="780"/>
            </w:pPr>
            <w:r w:rsidRPr="00EC20A0">
              <w:rPr>
                <w:spacing w:val="-4"/>
              </w:rPr>
              <w:t>1001</w:t>
            </w:r>
          </w:p>
        </w:tc>
      </w:tr>
      <w:tr w:rsidR="00245300" w:rsidRPr="00EC20A0" w14:paraId="24D61CB3" w14:textId="77777777">
        <w:trPr>
          <w:trHeight w:val="493"/>
        </w:trPr>
        <w:tc>
          <w:tcPr>
            <w:tcW w:w="7329" w:type="dxa"/>
          </w:tcPr>
          <w:p w14:paraId="24D61CB1" w14:textId="77777777" w:rsidR="00245300" w:rsidRPr="00EC20A0" w:rsidRDefault="00F17249">
            <w:pPr>
              <w:pStyle w:val="TableParagraph"/>
              <w:spacing w:before="116"/>
              <w:ind w:left="50"/>
            </w:pPr>
            <w:r w:rsidRPr="00EC20A0">
              <w:t>Management</w:t>
            </w:r>
            <w:r w:rsidRPr="00EC20A0">
              <w:rPr>
                <w:spacing w:val="-12"/>
              </w:rPr>
              <w:t xml:space="preserve"> </w:t>
            </w:r>
            <w:r w:rsidRPr="00EC20A0">
              <w:t>Representation</w:t>
            </w:r>
            <w:r w:rsidRPr="00EC20A0">
              <w:rPr>
                <w:spacing w:val="-12"/>
              </w:rPr>
              <w:t xml:space="preserve"> </w:t>
            </w:r>
            <w:r w:rsidRPr="00EC20A0">
              <w:t>Letter</w:t>
            </w:r>
            <w:r w:rsidRPr="00EC20A0">
              <w:rPr>
                <w:spacing w:val="-14"/>
              </w:rPr>
              <w:t xml:space="preserve"> </w:t>
            </w:r>
            <w:r w:rsidRPr="00EC20A0">
              <w:rPr>
                <w:spacing w:val="-2"/>
              </w:rPr>
              <w:t>Example</w:t>
            </w:r>
          </w:p>
        </w:tc>
        <w:tc>
          <w:tcPr>
            <w:tcW w:w="1521" w:type="dxa"/>
          </w:tcPr>
          <w:p w14:paraId="24D61CB2" w14:textId="77777777" w:rsidR="00245300" w:rsidRPr="00EC20A0" w:rsidRDefault="00F17249">
            <w:pPr>
              <w:pStyle w:val="TableParagraph"/>
              <w:spacing w:before="116"/>
              <w:ind w:left="768"/>
            </w:pPr>
            <w:r w:rsidRPr="00EC20A0">
              <w:t>1001</w:t>
            </w:r>
            <w:r w:rsidRPr="00EC20A0">
              <w:rPr>
                <w:spacing w:val="-5"/>
              </w:rPr>
              <w:t xml:space="preserve"> </w:t>
            </w:r>
            <w:r w:rsidRPr="00EC20A0">
              <w:rPr>
                <w:spacing w:val="-10"/>
              </w:rPr>
              <w:t>A</w:t>
            </w:r>
          </w:p>
        </w:tc>
      </w:tr>
      <w:tr w:rsidR="00245300" w:rsidRPr="00EC20A0" w14:paraId="24D61CB6" w14:textId="77777777">
        <w:trPr>
          <w:trHeight w:val="493"/>
        </w:trPr>
        <w:tc>
          <w:tcPr>
            <w:tcW w:w="7329" w:type="dxa"/>
          </w:tcPr>
          <w:p w14:paraId="24D61CB4" w14:textId="77777777" w:rsidR="00245300" w:rsidRPr="00EC20A0" w:rsidRDefault="00F17249">
            <w:pPr>
              <w:pStyle w:val="TableParagraph"/>
              <w:spacing w:before="116"/>
              <w:ind w:left="50"/>
            </w:pPr>
            <w:r w:rsidRPr="00EC20A0">
              <w:t>Litigation,</w:t>
            </w:r>
            <w:r w:rsidRPr="00EC20A0">
              <w:rPr>
                <w:spacing w:val="-8"/>
              </w:rPr>
              <w:t xml:space="preserve"> </w:t>
            </w:r>
            <w:r w:rsidRPr="00EC20A0">
              <w:t>Claims,</w:t>
            </w:r>
            <w:r w:rsidRPr="00EC20A0">
              <w:rPr>
                <w:spacing w:val="-8"/>
              </w:rPr>
              <w:t xml:space="preserve"> </w:t>
            </w:r>
            <w:r w:rsidRPr="00EC20A0">
              <w:t>and</w:t>
            </w:r>
            <w:r w:rsidRPr="00EC20A0">
              <w:rPr>
                <w:spacing w:val="-8"/>
              </w:rPr>
              <w:t xml:space="preserve"> </w:t>
            </w:r>
            <w:r w:rsidRPr="00EC20A0">
              <w:rPr>
                <w:spacing w:val="-2"/>
              </w:rPr>
              <w:t>Assessments</w:t>
            </w:r>
          </w:p>
        </w:tc>
        <w:tc>
          <w:tcPr>
            <w:tcW w:w="1521" w:type="dxa"/>
          </w:tcPr>
          <w:p w14:paraId="24D61CB5" w14:textId="77777777" w:rsidR="00245300" w:rsidRPr="00EC20A0" w:rsidRDefault="00F17249">
            <w:pPr>
              <w:pStyle w:val="TableParagraph"/>
              <w:spacing w:before="116"/>
              <w:ind w:left="780"/>
            </w:pPr>
            <w:r w:rsidRPr="00EC20A0">
              <w:rPr>
                <w:spacing w:val="-4"/>
              </w:rPr>
              <w:t>1002</w:t>
            </w:r>
          </w:p>
        </w:tc>
      </w:tr>
      <w:tr w:rsidR="00245300" w:rsidRPr="00EC20A0" w14:paraId="24D61CB9" w14:textId="77777777">
        <w:trPr>
          <w:trHeight w:val="493"/>
        </w:trPr>
        <w:tc>
          <w:tcPr>
            <w:tcW w:w="7329" w:type="dxa"/>
          </w:tcPr>
          <w:p w14:paraId="24D61CB7" w14:textId="77777777" w:rsidR="00245300" w:rsidRPr="00EC20A0" w:rsidRDefault="00F17249">
            <w:pPr>
              <w:pStyle w:val="TableParagraph"/>
              <w:spacing w:before="116"/>
              <w:ind w:left="50"/>
            </w:pPr>
            <w:r w:rsidRPr="00EC20A0">
              <w:t>Example</w:t>
            </w:r>
            <w:r w:rsidRPr="00EC20A0">
              <w:rPr>
                <w:spacing w:val="-9"/>
              </w:rPr>
              <w:t xml:space="preserve"> </w:t>
            </w:r>
            <w:r w:rsidRPr="00EC20A0">
              <w:t>Audit</w:t>
            </w:r>
            <w:r w:rsidRPr="00EC20A0">
              <w:rPr>
                <w:spacing w:val="-8"/>
              </w:rPr>
              <w:t xml:space="preserve"> </w:t>
            </w:r>
            <w:r w:rsidRPr="00EC20A0">
              <w:t>Procedures</w:t>
            </w:r>
            <w:r w:rsidRPr="00EC20A0">
              <w:rPr>
                <w:spacing w:val="-8"/>
              </w:rPr>
              <w:t xml:space="preserve"> </w:t>
            </w:r>
            <w:r w:rsidRPr="00EC20A0">
              <w:t>for</w:t>
            </w:r>
            <w:r w:rsidRPr="00EC20A0">
              <w:rPr>
                <w:spacing w:val="-8"/>
              </w:rPr>
              <w:t xml:space="preserve"> </w:t>
            </w:r>
            <w:r w:rsidRPr="00EC20A0">
              <w:t>Litigation,</w:t>
            </w:r>
            <w:r w:rsidRPr="00EC20A0">
              <w:rPr>
                <w:spacing w:val="-8"/>
              </w:rPr>
              <w:t xml:space="preserve"> </w:t>
            </w:r>
            <w:r w:rsidRPr="00EC20A0">
              <w:t>Claims,</w:t>
            </w:r>
            <w:r w:rsidRPr="00EC20A0">
              <w:rPr>
                <w:spacing w:val="-8"/>
              </w:rPr>
              <w:t xml:space="preserve"> </w:t>
            </w:r>
            <w:r w:rsidRPr="00EC20A0">
              <w:t>and</w:t>
            </w:r>
            <w:r w:rsidRPr="00EC20A0">
              <w:rPr>
                <w:spacing w:val="-8"/>
              </w:rPr>
              <w:t xml:space="preserve"> </w:t>
            </w:r>
            <w:r w:rsidRPr="00EC20A0">
              <w:rPr>
                <w:spacing w:val="-2"/>
              </w:rPr>
              <w:t>Assessments</w:t>
            </w:r>
          </w:p>
        </w:tc>
        <w:tc>
          <w:tcPr>
            <w:tcW w:w="1521" w:type="dxa"/>
          </w:tcPr>
          <w:p w14:paraId="24D61CB8" w14:textId="77777777" w:rsidR="00245300" w:rsidRPr="00EC20A0" w:rsidRDefault="00F17249">
            <w:pPr>
              <w:pStyle w:val="TableParagraph"/>
              <w:spacing w:before="116"/>
              <w:ind w:left="768"/>
            </w:pPr>
            <w:r w:rsidRPr="00EC20A0">
              <w:t>1002</w:t>
            </w:r>
            <w:r w:rsidRPr="00EC20A0">
              <w:rPr>
                <w:spacing w:val="-5"/>
              </w:rPr>
              <w:t xml:space="preserve"> </w:t>
            </w:r>
            <w:r w:rsidRPr="00EC20A0">
              <w:rPr>
                <w:spacing w:val="-10"/>
              </w:rPr>
              <w:t>A</w:t>
            </w:r>
          </w:p>
        </w:tc>
      </w:tr>
      <w:tr w:rsidR="00245300" w:rsidRPr="00EC20A0" w14:paraId="24D61CBC" w14:textId="77777777">
        <w:trPr>
          <w:trHeight w:val="492"/>
        </w:trPr>
        <w:tc>
          <w:tcPr>
            <w:tcW w:w="7329" w:type="dxa"/>
          </w:tcPr>
          <w:p w14:paraId="24D61CBA" w14:textId="77777777" w:rsidR="00245300" w:rsidRPr="00EC20A0" w:rsidRDefault="00F17249">
            <w:pPr>
              <w:pStyle w:val="TableParagraph"/>
              <w:spacing w:before="116"/>
              <w:ind w:left="50"/>
            </w:pPr>
            <w:r w:rsidRPr="00EC20A0">
              <w:t>Example</w:t>
            </w:r>
            <w:r w:rsidRPr="00EC20A0">
              <w:rPr>
                <w:spacing w:val="-9"/>
              </w:rPr>
              <w:t xml:space="preserve"> </w:t>
            </w:r>
            <w:r w:rsidRPr="00EC20A0">
              <w:t>Legal</w:t>
            </w:r>
            <w:r w:rsidRPr="00EC20A0">
              <w:rPr>
                <w:spacing w:val="-8"/>
              </w:rPr>
              <w:t xml:space="preserve"> </w:t>
            </w:r>
            <w:r w:rsidRPr="00EC20A0">
              <w:t>Counsel</w:t>
            </w:r>
            <w:r w:rsidRPr="00EC20A0">
              <w:rPr>
                <w:spacing w:val="-9"/>
              </w:rPr>
              <w:t xml:space="preserve"> </w:t>
            </w:r>
            <w:r w:rsidRPr="00EC20A0">
              <w:rPr>
                <w:spacing w:val="-2"/>
              </w:rPr>
              <w:t>Request</w:t>
            </w:r>
          </w:p>
        </w:tc>
        <w:tc>
          <w:tcPr>
            <w:tcW w:w="1521" w:type="dxa"/>
          </w:tcPr>
          <w:p w14:paraId="24D61CBB" w14:textId="77777777" w:rsidR="00245300" w:rsidRPr="00EC20A0" w:rsidRDefault="00F17249">
            <w:pPr>
              <w:pStyle w:val="TableParagraph"/>
              <w:spacing w:before="116"/>
              <w:ind w:left="768"/>
            </w:pPr>
            <w:r w:rsidRPr="00EC20A0">
              <w:t>1002</w:t>
            </w:r>
            <w:r w:rsidRPr="00EC20A0">
              <w:rPr>
                <w:spacing w:val="-5"/>
              </w:rPr>
              <w:t xml:space="preserve"> </w:t>
            </w:r>
            <w:r w:rsidRPr="00EC20A0">
              <w:rPr>
                <w:spacing w:val="-10"/>
              </w:rPr>
              <w:t>B</w:t>
            </w:r>
          </w:p>
        </w:tc>
      </w:tr>
      <w:tr w:rsidR="00245300" w:rsidRPr="00EC20A0" w14:paraId="24D61CBF" w14:textId="77777777">
        <w:trPr>
          <w:trHeight w:val="492"/>
        </w:trPr>
        <w:tc>
          <w:tcPr>
            <w:tcW w:w="7329" w:type="dxa"/>
          </w:tcPr>
          <w:p w14:paraId="24D61CBD" w14:textId="77777777" w:rsidR="00245300" w:rsidRPr="00EC20A0" w:rsidRDefault="00F17249">
            <w:pPr>
              <w:pStyle w:val="TableParagraph"/>
              <w:spacing w:before="115"/>
              <w:ind w:left="50"/>
            </w:pPr>
            <w:r w:rsidRPr="00EC20A0">
              <w:t>Example</w:t>
            </w:r>
            <w:r w:rsidRPr="00EC20A0">
              <w:rPr>
                <w:spacing w:val="-9"/>
              </w:rPr>
              <w:t xml:space="preserve"> </w:t>
            </w:r>
            <w:r w:rsidRPr="00EC20A0">
              <w:t>Legal</w:t>
            </w:r>
            <w:r w:rsidRPr="00EC20A0">
              <w:rPr>
                <w:spacing w:val="-8"/>
              </w:rPr>
              <w:t xml:space="preserve"> </w:t>
            </w:r>
            <w:r w:rsidRPr="00EC20A0">
              <w:t>Counsel</w:t>
            </w:r>
            <w:r w:rsidRPr="00EC20A0">
              <w:rPr>
                <w:spacing w:val="-9"/>
              </w:rPr>
              <w:t xml:space="preserve"> </w:t>
            </w:r>
            <w:r w:rsidRPr="00EC20A0">
              <w:rPr>
                <w:spacing w:val="-2"/>
              </w:rPr>
              <w:t>Response</w:t>
            </w:r>
          </w:p>
        </w:tc>
        <w:tc>
          <w:tcPr>
            <w:tcW w:w="1521" w:type="dxa"/>
          </w:tcPr>
          <w:p w14:paraId="24D61CBE" w14:textId="77777777" w:rsidR="00245300" w:rsidRPr="00EC20A0" w:rsidRDefault="00F17249">
            <w:pPr>
              <w:pStyle w:val="TableParagraph"/>
              <w:spacing w:before="115"/>
              <w:ind w:left="762"/>
            </w:pPr>
            <w:r w:rsidRPr="00EC20A0">
              <w:t>1002</w:t>
            </w:r>
            <w:r w:rsidRPr="00EC20A0">
              <w:rPr>
                <w:spacing w:val="-5"/>
              </w:rPr>
              <w:t xml:space="preserve"> </w:t>
            </w:r>
            <w:r w:rsidRPr="00EC20A0">
              <w:rPr>
                <w:spacing w:val="-10"/>
              </w:rPr>
              <w:t>C</w:t>
            </w:r>
          </w:p>
        </w:tc>
      </w:tr>
      <w:tr w:rsidR="00245300" w:rsidRPr="00EC20A0" w14:paraId="24D61CC2" w14:textId="77777777">
        <w:trPr>
          <w:trHeight w:val="493"/>
        </w:trPr>
        <w:tc>
          <w:tcPr>
            <w:tcW w:w="7329" w:type="dxa"/>
          </w:tcPr>
          <w:p w14:paraId="24D61CC0" w14:textId="77777777" w:rsidR="00245300" w:rsidRPr="00EC20A0" w:rsidRDefault="00F17249">
            <w:pPr>
              <w:pStyle w:val="TableParagraph"/>
              <w:spacing w:before="116"/>
              <w:ind w:left="50"/>
            </w:pPr>
            <w:r w:rsidRPr="00EC20A0">
              <w:t>Example</w:t>
            </w:r>
            <w:r w:rsidRPr="00EC20A0">
              <w:rPr>
                <w:spacing w:val="-13"/>
              </w:rPr>
              <w:t xml:space="preserve"> </w:t>
            </w:r>
            <w:r w:rsidRPr="00EC20A0">
              <w:t>Management</w:t>
            </w:r>
            <w:r w:rsidRPr="00EC20A0">
              <w:rPr>
                <w:spacing w:val="-12"/>
              </w:rPr>
              <w:t xml:space="preserve"> </w:t>
            </w:r>
            <w:r w:rsidRPr="00EC20A0">
              <w:rPr>
                <w:spacing w:val="-2"/>
              </w:rPr>
              <w:t>Schedule</w:t>
            </w:r>
          </w:p>
        </w:tc>
        <w:tc>
          <w:tcPr>
            <w:tcW w:w="1521" w:type="dxa"/>
          </w:tcPr>
          <w:p w14:paraId="24D61CC1" w14:textId="77777777" w:rsidR="00245300" w:rsidRPr="00EC20A0" w:rsidRDefault="00F17249">
            <w:pPr>
              <w:pStyle w:val="TableParagraph"/>
              <w:spacing w:before="116"/>
              <w:ind w:left="762"/>
            </w:pPr>
            <w:r w:rsidRPr="00EC20A0">
              <w:t>1002</w:t>
            </w:r>
            <w:r w:rsidRPr="00EC20A0">
              <w:rPr>
                <w:spacing w:val="-5"/>
              </w:rPr>
              <w:t xml:space="preserve"> </w:t>
            </w:r>
            <w:r w:rsidRPr="00EC20A0">
              <w:rPr>
                <w:spacing w:val="-10"/>
              </w:rPr>
              <w:t>D</w:t>
            </w:r>
          </w:p>
        </w:tc>
      </w:tr>
      <w:tr w:rsidR="00245300" w:rsidRPr="00EC20A0" w14:paraId="24D61CC5" w14:textId="77777777">
        <w:trPr>
          <w:trHeight w:val="493"/>
        </w:trPr>
        <w:tc>
          <w:tcPr>
            <w:tcW w:w="7329" w:type="dxa"/>
          </w:tcPr>
          <w:p w14:paraId="24D61CC3" w14:textId="77777777" w:rsidR="00245300" w:rsidRPr="00EC20A0" w:rsidRDefault="00F17249">
            <w:pPr>
              <w:pStyle w:val="TableParagraph"/>
              <w:spacing w:before="116"/>
              <w:ind w:left="50"/>
            </w:pPr>
            <w:r w:rsidRPr="00EC20A0">
              <w:t>Financial</w:t>
            </w:r>
            <w:r w:rsidRPr="00EC20A0">
              <w:rPr>
                <w:spacing w:val="-11"/>
              </w:rPr>
              <w:t xml:space="preserve"> </w:t>
            </w:r>
            <w:r w:rsidRPr="00EC20A0">
              <w:t>Statement</w:t>
            </w:r>
            <w:r w:rsidRPr="00EC20A0">
              <w:rPr>
                <w:spacing w:val="-10"/>
              </w:rPr>
              <w:t xml:space="preserve"> </w:t>
            </w:r>
            <w:r w:rsidRPr="00EC20A0">
              <w:t>Audit</w:t>
            </w:r>
            <w:r w:rsidRPr="00EC20A0">
              <w:rPr>
                <w:spacing w:val="-10"/>
              </w:rPr>
              <w:t xml:space="preserve"> </w:t>
            </w:r>
            <w:r w:rsidRPr="00EC20A0">
              <w:t>Completion</w:t>
            </w:r>
            <w:r w:rsidRPr="00EC20A0">
              <w:rPr>
                <w:spacing w:val="-10"/>
              </w:rPr>
              <w:t xml:space="preserve"> </w:t>
            </w:r>
            <w:r w:rsidRPr="00EC20A0">
              <w:rPr>
                <w:spacing w:val="-2"/>
              </w:rPr>
              <w:t>Checklist</w:t>
            </w:r>
          </w:p>
        </w:tc>
        <w:tc>
          <w:tcPr>
            <w:tcW w:w="1521" w:type="dxa"/>
          </w:tcPr>
          <w:p w14:paraId="24D61CC4" w14:textId="77777777" w:rsidR="00245300" w:rsidRPr="00EC20A0" w:rsidRDefault="00F17249">
            <w:pPr>
              <w:pStyle w:val="TableParagraph"/>
              <w:spacing w:before="116"/>
              <w:ind w:left="780"/>
            </w:pPr>
            <w:r w:rsidRPr="00EC20A0">
              <w:rPr>
                <w:spacing w:val="-4"/>
              </w:rPr>
              <w:t>1003</w:t>
            </w:r>
          </w:p>
        </w:tc>
      </w:tr>
      <w:tr w:rsidR="00245300" w:rsidRPr="00EC20A0" w14:paraId="24D61CC8" w14:textId="77777777">
        <w:trPr>
          <w:trHeight w:val="369"/>
        </w:trPr>
        <w:tc>
          <w:tcPr>
            <w:tcW w:w="7329" w:type="dxa"/>
          </w:tcPr>
          <w:p w14:paraId="24D61CC6" w14:textId="77777777" w:rsidR="00245300" w:rsidRPr="00EC20A0" w:rsidRDefault="00F17249">
            <w:pPr>
              <w:pStyle w:val="TableParagraph"/>
              <w:spacing w:before="116" w:line="233" w:lineRule="exact"/>
              <w:ind w:left="50"/>
            </w:pPr>
            <w:r w:rsidRPr="00EC20A0">
              <w:t>Subsequent</w:t>
            </w:r>
            <w:r w:rsidRPr="00EC20A0">
              <w:rPr>
                <w:spacing w:val="-11"/>
              </w:rPr>
              <w:t xml:space="preserve"> </w:t>
            </w:r>
            <w:r w:rsidRPr="00EC20A0">
              <w:t>Events</w:t>
            </w:r>
            <w:r w:rsidRPr="00EC20A0">
              <w:rPr>
                <w:spacing w:val="-10"/>
              </w:rPr>
              <w:t xml:space="preserve"> </w:t>
            </w:r>
            <w:r w:rsidRPr="00EC20A0">
              <w:rPr>
                <w:spacing w:val="-2"/>
              </w:rPr>
              <w:t>Review</w:t>
            </w:r>
          </w:p>
        </w:tc>
        <w:tc>
          <w:tcPr>
            <w:tcW w:w="1521" w:type="dxa"/>
          </w:tcPr>
          <w:p w14:paraId="24D61CC7" w14:textId="77777777" w:rsidR="00245300" w:rsidRPr="00EC20A0" w:rsidRDefault="00F17249">
            <w:pPr>
              <w:pStyle w:val="TableParagraph"/>
              <w:spacing w:before="116" w:line="233" w:lineRule="exact"/>
              <w:ind w:left="780"/>
            </w:pPr>
            <w:r w:rsidRPr="00EC20A0">
              <w:rPr>
                <w:spacing w:val="-4"/>
              </w:rPr>
              <w:t>1005</w:t>
            </w:r>
          </w:p>
        </w:tc>
      </w:tr>
    </w:tbl>
    <w:p w14:paraId="24D61CC9" w14:textId="77777777" w:rsidR="00245300" w:rsidRPr="00EC20A0" w:rsidRDefault="00245300">
      <w:pPr>
        <w:spacing w:line="233" w:lineRule="exact"/>
        <w:sectPr w:rsidR="00245300" w:rsidRPr="00EC20A0">
          <w:headerReference w:type="default" r:id="rId182"/>
          <w:footerReference w:type="default" r:id="rId183"/>
          <w:pgSz w:w="12240" w:h="15840"/>
          <w:pgMar w:top="1340" w:right="1100" w:bottom="940" w:left="1240" w:header="721" w:footer="757" w:gutter="0"/>
          <w:cols w:space="720"/>
        </w:sectPr>
      </w:pPr>
    </w:p>
    <w:p w14:paraId="24D61CCA" w14:textId="77777777" w:rsidR="00245300" w:rsidRPr="00EC20A0" w:rsidRDefault="00F17249" w:rsidP="00E71F6F">
      <w:pPr>
        <w:pStyle w:val="Heading3"/>
      </w:pPr>
      <w:bookmarkStart w:id="363" w:name="1001_–_Management_Representations"/>
      <w:bookmarkStart w:id="364" w:name="_bookmark208"/>
      <w:bookmarkEnd w:id="363"/>
      <w:bookmarkEnd w:id="364"/>
      <w:r w:rsidRPr="00EC20A0">
        <w:t>1001</w:t>
      </w:r>
      <w:r w:rsidRPr="00EC20A0">
        <w:rPr>
          <w:spacing w:val="-4"/>
        </w:rPr>
        <w:t xml:space="preserve"> </w:t>
      </w:r>
      <w:r w:rsidRPr="00EC20A0">
        <w:t>–</w:t>
      </w:r>
      <w:r w:rsidRPr="00EC20A0">
        <w:rPr>
          <w:spacing w:val="-4"/>
        </w:rPr>
        <w:t xml:space="preserve"> </w:t>
      </w:r>
      <w:r w:rsidRPr="00EC20A0">
        <w:t>Management</w:t>
      </w:r>
      <w:r w:rsidRPr="00EC20A0">
        <w:rPr>
          <w:spacing w:val="-3"/>
        </w:rPr>
        <w:t xml:space="preserve"> </w:t>
      </w:r>
      <w:r w:rsidRPr="00EC20A0">
        <w:rPr>
          <w:spacing w:val="-2"/>
        </w:rPr>
        <w:t>Representations</w:t>
      </w:r>
    </w:p>
    <w:p w14:paraId="24D61CCB" w14:textId="77777777" w:rsidR="00245300" w:rsidRPr="00EC20A0" w:rsidRDefault="00245300">
      <w:pPr>
        <w:pStyle w:val="BodyText"/>
        <w:spacing w:before="106"/>
        <w:rPr>
          <w:b/>
        </w:rPr>
      </w:pPr>
    </w:p>
    <w:p w14:paraId="24D61CCC" w14:textId="77777777" w:rsidR="00245300" w:rsidRPr="00EC20A0" w:rsidRDefault="00F17249">
      <w:pPr>
        <w:pStyle w:val="ListParagraph"/>
        <w:numPr>
          <w:ilvl w:val="0"/>
          <w:numId w:val="72"/>
        </w:numPr>
        <w:tabs>
          <w:tab w:val="left" w:pos="1639"/>
        </w:tabs>
        <w:spacing w:before="0"/>
        <w:ind w:right="445" w:hanging="720"/>
      </w:pPr>
      <w:r w:rsidRPr="00EC20A0">
        <w:t>This</w:t>
      </w:r>
      <w:r w:rsidRPr="00EC20A0">
        <w:rPr>
          <w:spacing w:val="-4"/>
        </w:rPr>
        <w:t xml:space="preserve"> </w:t>
      </w:r>
      <w:r w:rsidRPr="00EC20A0">
        <w:t>section</w:t>
      </w:r>
      <w:r w:rsidRPr="00EC20A0">
        <w:rPr>
          <w:spacing w:val="-5"/>
        </w:rPr>
        <w:t xml:space="preserve"> </w:t>
      </w:r>
      <w:r w:rsidRPr="00EC20A0">
        <w:t>deals</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management</w:t>
      </w:r>
      <w:r w:rsidRPr="00EC20A0">
        <w:rPr>
          <w:spacing w:val="-4"/>
        </w:rPr>
        <w:t xml:space="preserve"> </w:t>
      </w:r>
      <w:r w:rsidRPr="00EC20A0">
        <w:t>representations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rPr>
          <w:b/>
        </w:rPr>
        <w:t xml:space="preserve">should </w:t>
      </w:r>
      <w:r w:rsidRPr="00EC20A0">
        <w:t>obtain from</w:t>
      </w:r>
      <w:r w:rsidRPr="00EC20A0">
        <w:rPr>
          <w:spacing w:val="-1"/>
        </w:rPr>
        <w:t xml:space="preserve"> </w:t>
      </w:r>
      <w:r w:rsidRPr="00EC20A0">
        <w:t>management as part of the audit, as</w:t>
      </w:r>
      <w:r w:rsidRPr="00EC20A0">
        <w:rPr>
          <w:spacing w:val="-1"/>
        </w:rPr>
        <w:t xml:space="preserve"> </w:t>
      </w:r>
      <w:r w:rsidRPr="00EC20A0">
        <w:t>described in</w:t>
      </w:r>
      <w:r w:rsidRPr="00EC20A0">
        <w:rPr>
          <w:spacing w:val="-1"/>
        </w:rPr>
        <w:t xml:space="preserve"> </w:t>
      </w:r>
      <w:r w:rsidRPr="00EC20A0">
        <w:t>AU-C</w:t>
      </w:r>
      <w:r w:rsidRPr="00EC20A0">
        <w:rPr>
          <w:spacing w:val="-1"/>
        </w:rPr>
        <w:t xml:space="preserve"> </w:t>
      </w:r>
      <w:r w:rsidRPr="00EC20A0">
        <w:t xml:space="preserve">580, </w:t>
      </w:r>
      <w:r w:rsidRPr="00EC20A0">
        <w:rPr>
          <w:i/>
        </w:rPr>
        <w:t>Written Representations</w:t>
      </w:r>
      <w:r w:rsidRPr="00EC20A0">
        <w:t xml:space="preserve">; AU-C 940, </w:t>
      </w:r>
      <w:r w:rsidRPr="00EC20A0">
        <w:rPr>
          <w:i/>
        </w:rPr>
        <w:t xml:space="preserve">An Audit of Internal Control Over </w:t>
      </w:r>
      <w:r w:rsidRPr="00EC20A0">
        <w:rPr>
          <w:i/>
        </w:rPr>
        <w:t>Financial Reporting That Is Integrated With an Audit of Financial Statements</w:t>
      </w:r>
      <w:r w:rsidRPr="00EC20A0">
        <w:t>; Office of Management and Budget (OMB) audit guidance; FAM 280; and FAM 550. It covers representations about</w:t>
      </w:r>
    </w:p>
    <w:p w14:paraId="24D61CCD" w14:textId="77777777" w:rsidR="00245300" w:rsidRPr="00EC20A0" w:rsidRDefault="00F17249">
      <w:pPr>
        <w:pStyle w:val="ListParagraph"/>
        <w:numPr>
          <w:ilvl w:val="1"/>
          <w:numId w:val="72"/>
        </w:numPr>
        <w:tabs>
          <w:tab w:val="left" w:pos="2000"/>
        </w:tabs>
      </w:pPr>
      <w:r w:rsidRPr="00EC20A0">
        <w:t>financial</w:t>
      </w:r>
      <w:r w:rsidRPr="00EC20A0">
        <w:rPr>
          <w:spacing w:val="-10"/>
        </w:rPr>
        <w:t xml:space="preserve"> </w:t>
      </w:r>
      <w:r w:rsidRPr="00EC20A0">
        <w:rPr>
          <w:spacing w:val="-2"/>
        </w:rPr>
        <w:t>statements;</w:t>
      </w:r>
    </w:p>
    <w:p w14:paraId="24D61CCE" w14:textId="77777777" w:rsidR="00245300" w:rsidRPr="00EC20A0" w:rsidRDefault="00F17249">
      <w:pPr>
        <w:pStyle w:val="ListParagraph"/>
        <w:numPr>
          <w:ilvl w:val="1"/>
          <w:numId w:val="72"/>
        </w:numPr>
        <w:tabs>
          <w:tab w:val="left" w:pos="2000"/>
        </w:tabs>
        <w:spacing w:before="239"/>
      </w:pPr>
      <w:r w:rsidRPr="00EC20A0">
        <w:t>internal</w:t>
      </w:r>
      <w:r w:rsidRPr="00EC20A0">
        <w:rPr>
          <w:spacing w:val="-8"/>
        </w:rPr>
        <w:t xml:space="preserve"> </w:t>
      </w:r>
      <w:r w:rsidRPr="00EC20A0">
        <w:t>control</w:t>
      </w:r>
      <w:r w:rsidRPr="00EC20A0">
        <w:rPr>
          <w:spacing w:val="-7"/>
        </w:rPr>
        <w:t xml:space="preserve"> </w:t>
      </w:r>
      <w:r w:rsidRPr="00EC20A0">
        <w:t>over</w:t>
      </w:r>
      <w:r w:rsidRPr="00EC20A0">
        <w:rPr>
          <w:spacing w:val="-7"/>
        </w:rPr>
        <w:t xml:space="preserve"> </w:t>
      </w:r>
      <w:r w:rsidRPr="00EC20A0">
        <w:t>financial</w:t>
      </w:r>
      <w:r w:rsidRPr="00EC20A0">
        <w:rPr>
          <w:spacing w:val="-8"/>
        </w:rPr>
        <w:t xml:space="preserve"> </w:t>
      </w:r>
      <w:r w:rsidRPr="00EC20A0">
        <w:rPr>
          <w:spacing w:val="-2"/>
        </w:rPr>
        <w:t>reporting;</w:t>
      </w:r>
    </w:p>
    <w:p w14:paraId="24D61CCF" w14:textId="77777777" w:rsidR="00245300" w:rsidRPr="00EC20A0" w:rsidRDefault="00F17249">
      <w:pPr>
        <w:pStyle w:val="ListParagraph"/>
        <w:numPr>
          <w:ilvl w:val="1"/>
          <w:numId w:val="72"/>
        </w:numPr>
        <w:tabs>
          <w:tab w:val="left" w:pos="2000"/>
        </w:tabs>
        <w:spacing w:before="238"/>
      </w:pPr>
      <w:r w:rsidRPr="00EC20A0">
        <w:rPr>
          <w:spacing w:val="-2"/>
        </w:rPr>
        <w:t>fraud;</w:t>
      </w:r>
    </w:p>
    <w:p w14:paraId="24D61CD0" w14:textId="77777777" w:rsidR="00245300" w:rsidRPr="00EC20A0" w:rsidRDefault="00F17249">
      <w:pPr>
        <w:pStyle w:val="ListParagraph"/>
        <w:numPr>
          <w:ilvl w:val="1"/>
          <w:numId w:val="72"/>
        </w:numPr>
        <w:tabs>
          <w:tab w:val="left" w:pos="2000"/>
        </w:tabs>
        <w:spacing w:before="238"/>
        <w:ind w:right="646" w:hanging="361"/>
      </w:pPr>
      <w:r w:rsidRPr="00EC20A0">
        <w:t>CFO</w:t>
      </w:r>
      <w:r w:rsidRPr="00EC20A0">
        <w:rPr>
          <w:spacing w:val="-7"/>
        </w:rPr>
        <w:t xml:space="preserve"> </w:t>
      </w:r>
      <w:r w:rsidRPr="00EC20A0">
        <w:t>Act</w:t>
      </w:r>
      <w:r w:rsidRPr="00EC20A0">
        <w:rPr>
          <w:spacing w:val="-6"/>
        </w:rPr>
        <w:t xml:space="preserve"> </w:t>
      </w:r>
      <w:r w:rsidRPr="00EC20A0">
        <w:t>agencies’</w:t>
      </w:r>
      <w:r w:rsidRPr="00EC20A0">
        <w:rPr>
          <w:spacing w:val="-6"/>
        </w:rPr>
        <w:t xml:space="preserve"> </w:t>
      </w:r>
      <w:r w:rsidRPr="00EC20A0">
        <w:t>financial</w:t>
      </w:r>
      <w:r w:rsidRPr="00EC20A0">
        <w:rPr>
          <w:spacing w:val="-6"/>
        </w:rPr>
        <w:t xml:space="preserve"> </w:t>
      </w:r>
      <w:r w:rsidRPr="00EC20A0">
        <w:t>management</w:t>
      </w:r>
      <w:r w:rsidRPr="00EC20A0">
        <w:rPr>
          <w:spacing w:val="-6"/>
        </w:rPr>
        <w:t xml:space="preserve"> </w:t>
      </w:r>
      <w:r w:rsidRPr="00EC20A0">
        <w:t>systems’</w:t>
      </w:r>
      <w:r w:rsidRPr="00EC20A0">
        <w:rPr>
          <w:spacing w:val="-6"/>
        </w:rPr>
        <w:t xml:space="preserve"> </w:t>
      </w:r>
      <w:r w:rsidRPr="00EC20A0">
        <w:t>substantial</w:t>
      </w:r>
      <w:r w:rsidRPr="00EC20A0">
        <w:rPr>
          <w:spacing w:val="-6"/>
        </w:rPr>
        <w:t xml:space="preserve"> </w:t>
      </w:r>
      <w:r w:rsidRPr="00EC20A0">
        <w:t>compliance with the three requirements of the Federal Financial Management Improvement Act of 1996 (FFMIA);</w:t>
      </w:r>
    </w:p>
    <w:p w14:paraId="24D61CD1" w14:textId="77777777" w:rsidR="00245300" w:rsidRPr="00EC20A0" w:rsidRDefault="00F17249">
      <w:pPr>
        <w:pStyle w:val="ListParagraph"/>
        <w:numPr>
          <w:ilvl w:val="1"/>
          <w:numId w:val="72"/>
        </w:numPr>
        <w:tabs>
          <w:tab w:val="left" w:pos="2000"/>
        </w:tabs>
        <w:spacing w:before="239"/>
        <w:ind w:right="1514"/>
      </w:pPr>
      <w:r w:rsidRPr="00EC20A0">
        <w:t>compliance</w:t>
      </w:r>
      <w:r w:rsidRPr="00EC20A0">
        <w:rPr>
          <w:spacing w:val="-7"/>
        </w:rPr>
        <w:t xml:space="preserve"> </w:t>
      </w:r>
      <w:r w:rsidRPr="00EC20A0">
        <w:t>with</w:t>
      </w:r>
      <w:r w:rsidRPr="00EC20A0">
        <w:rPr>
          <w:spacing w:val="-6"/>
        </w:rPr>
        <w:t xml:space="preserve"> </w:t>
      </w:r>
      <w:r w:rsidRPr="00EC20A0">
        <w:t>applicable</w:t>
      </w:r>
      <w:r w:rsidRPr="00EC20A0">
        <w:rPr>
          <w:spacing w:val="-6"/>
        </w:rPr>
        <w:t xml:space="preserve"> </w:t>
      </w:r>
      <w:r w:rsidRPr="00EC20A0">
        <w:t>laws,</w:t>
      </w:r>
      <w:r w:rsidRPr="00EC20A0">
        <w:rPr>
          <w:spacing w:val="-6"/>
        </w:rPr>
        <w:t xml:space="preserve"> </w:t>
      </w:r>
      <w:r w:rsidRPr="00EC20A0">
        <w:t>regulations,</w:t>
      </w:r>
      <w:r w:rsidRPr="00EC20A0">
        <w:rPr>
          <w:spacing w:val="-7"/>
        </w:rPr>
        <w:t xml:space="preserve"> </w:t>
      </w:r>
      <w:r w:rsidRPr="00EC20A0">
        <w:t>contracts,</w:t>
      </w:r>
      <w:r w:rsidRPr="00EC20A0">
        <w:rPr>
          <w:spacing w:val="-6"/>
        </w:rPr>
        <w:t xml:space="preserve"> </w:t>
      </w:r>
      <w:r w:rsidRPr="00EC20A0">
        <w:t>and</w:t>
      </w:r>
      <w:r w:rsidRPr="00EC20A0">
        <w:rPr>
          <w:spacing w:val="-6"/>
        </w:rPr>
        <w:t xml:space="preserve"> </w:t>
      </w:r>
      <w:r w:rsidRPr="00EC20A0">
        <w:t xml:space="preserve">grant </w:t>
      </w:r>
      <w:r w:rsidRPr="00EC20A0">
        <w:rPr>
          <w:spacing w:val="-2"/>
        </w:rPr>
        <w:t>agreements;</w:t>
      </w:r>
    </w:p>
    <w:p w14:paraId="24D61CD2" w14:textId="77777777" w:rsidR="00245300" w:rsidRPr="00EC20A0" w:rsidRDefault="00F17249">
      <w:pPr>
        <w:pStyle w:val="ListParagraph"/>
        <w:numPr>
          <w:ilvl w:val="1"/>
          <w:numId w:val="72"/>
        </w:numPr>
        <w:tabs>
          <w:tab w:val="left" w:pos="2000"/>
        </w:tabs>
        <w:spacing w:before="238"/>
      </w:pPr>
      <w:r w:rsidRPr="00EC20A0">
        <w:t>social</w:t>
      </w:r>
      <w:r w:rsidRPr="00EC20A0">
        <w:rPr>
          <w:spacing w:val="-10"/>
        </w:rPr>
        <w:t xml:space="preserve"> </w:t>
      </w:r>
      <w:r w:rsidRPr="00EC20A0">
        <w:t>insurance;</w:t>
      </w:r>
      <w:r w:rsidRPr="00EC20A0">
        <w:rPr>
          <w:spacing w:val="-8"/>
        </w:rPr>
        <w:t xml:space="preserve"> </w:t>
      </w:r>
      <w:r w:rsidRPr="00EC20A0">
        <w:rPr>
          <w:spacing w:val="-5"/>
        </w:rPr>
        <w:t>and</w:t>
      </w:r>
    </w:p>
    <w:p w14:paraId="24D61CD3" w14:textId="77777777" w:rsidR="00245300" w:rsidRPr="00EC20A0" w:rsidRDefault="00F17249">
      <w:pPr>
        <w:pStyle w:val="ListParagraph"/>
        <w:numPr>
          <w:ilvl w:val="1"/>
          <w:numId w:val="72"/>
        </w:numPr>
        <w:tabs>
          <w:tab w:val="left" w:pos="2000"/>
        </w:tabs>
        <w:spacing w:before="238"/>
      </w:pPr>
      <w:r w:rsidRPr="00EC20A0">
        <w:t>budgetary</w:t>
      </w:r>
      <w:r w:rsidRPr="00EC20A0">
        <w:rPr>
          <w:spacing w:val="-7"/>
        </w:rPr>
        <w:t xml:space="preserve"> </w:t>
      </w:r>
      <w:r w:rsidRPr="00EC20A0">
        <w:t>and</w:t>
      </w:r>
      <w:r w:rsidRPr="00EC20A0">
        <w:rPr>
          <w:spacing w:val="-6"/>
        </w:rPr>
        <w:t xml:space="preserve"> </w:t>
      </w:r>
      <w:r w:rsidRPr="00EC20A0">
        <w:t>fund</w:t>
      </w:r>
      <w:r w:rsidRPr="00EC20A0">
        <w:rPr>
          <w:spacing w:val="-6"/>
        </w:rPr>
        <w:t xml:space="preserve"> </w:t>
      </w:r>
      <w:r w:rsidRPr="00EC20A0">
        <w:rPr>
          <w:spacing w:val="-2"/>
        </w:rPr>
        <w:t>restrictions.</w:t>
      </w:r>
    </w:p>
    <w:p w14:paraId="24D61CD4" w14:textId="77777777" w:rsidR="00245300" w:rsidRPr="00EC20A0" w:rsidRDefault="00F17249">
      <w:pPr>
        <w:pStyle w:val="ListParagraph"/>
        <w:numPr>
          <w:ilvl w:val="0"/>
          <w:numId w:val="72"/>
        </w:numPr>
        <w:tabs>
          <w:tab w:val="left" w:pos="1640"/>
        </w:tabs>
        <w:spacing w:before="238"/>
        <w:ind w:left="1640" w:right="394"/>
      </w:pPr>
      <w:r w:rsidRPr="00EC20A0">
        <w:t>Written</w:t>
      </w:r>
      <w:r w:rsidRPr="00EC20A0">
        <w:rPr>
          <w:spacing w:val="-5"/>
        </w:rPr>
        <w:t xml:space="preserve"> </w:t>
      </w:r>
      <w:r w:rsidRPr="00EC20A0">
        <w:t>representations</w:t>
      </w:r>
      <w:r w:rsidRPr="00EC20A0">
        <w:rPr>
          <w:spacing w:val="-6"/>
        </w:rPr>
        <w:t xml:space="preserve"> </w:t>
      </w:r>
      <w:r w:rsidRPr="00EC20A0">
        <w:t>from</w:t>
      </w:r>
      <w:r w:rsidRPr="00EC20A0">
        <w:rPr>
          <w:spacing w:val="-6"/>
        </w:rPr>
        <w:t xml:space="preserve"> </w:t>
      </w:r>
      <w:r w:rsidRPr="00EC20A0">
        <w:t>management</w:t>
      </w:r>
      <w:r w:rsidRPr="00EC20A0">
        <w:rPr>
          <w:spacing w:val="-5"/>
        </w:rPr>
        <w:t xml:space="preserve"> </w:t>
      </w:r>
      <w:r w:rsidRPr="00EC20A0">
        <w:t>ordinarily</w:t>
      </w:r>
      <w:r w:rsidRPr="00EC20A0">
        <w:rPr>
          <w:spacing w:val="-5"/>
        </w:rPr>
        <w:t xml:space="preserve"> </w:t>
      </w:r>
      <w:r w:rsidRPr="00EC20A0">
        <w:t>confirm</w:t>
      </w:r>
      <w:r w:rsidRPr="00EC20A0">
        <w:rPr>
          <w:spacing w:val="-6"/>
        </w:rPr>
        <w:t xml:space="preserve"> </w:t>
      </w:r>
      <w:r w:rsidRPr="00EC20A0">
        <w:t>oral</w:t>
      </w:r>
      <w:r w:rsidRPr="00EC20A0">
        <w:rPr>
          <w:spacing w:val="-5"/>
        </w:rPr>
        <w:t xml:space="preserve"> </w:t>
      </w:r>
      <w:r w:rsidRPr="00EC20A0">
        <w:t>representations given to the auditor, indicate and document the continuing appropriateness of those representations, and reduce the possibility of misunderstanding.</w:t>
      </w:r>
    </w:p>
    <w:p w14:paraId="24D61CD5" w14:textId="77777777" w:rsidR="00245300" w:rsidRPr="00EC20A0" w:rsidRDefault="00F17249">
      <w:pPr>
        <w:pStyle w:val="BodyText"/>
        <w:ind w:left="1640" w:right="345"/>
      </w:pPr>
      <w:r w:rsidRPr="00EC20A0">
        <w:t>Management</w:t>
      </w:r>
      <w:r w:rsidRPr="00EC20A0">
        <w:rPr>
          <w:spacing w:val="-4"/>
        </w:rPr>
        <w:t xml:space="preserve"> </w:t>
      </w:r>
      <w:r w:rsidRPr="00EC20A0">
        <w:t>representations</w:t>
      </w:r>
      <w:r w:rsidRPr="00EC20A0">
        <w:rPr>
          <w:spacing w:val="-4"/>
        </w:rPr>
        <w:t xml:space="preserve"> </w:t>
      </w:r>
      <w:r w:rsidRPr="00EC20A0">
        <w:t>are</w:t>
      </w:r>
      <w:r w:rsidRPr="00EC20A0">
        <w:rPr>
          <w:spacing w:val="-4"/>
        </w:rPr>
        <w:t xml:space="preserve"> </w:t>
      </w:r>
      <w:r w:rsidRPr="00EC20A0">
        <w:t>not</w:t>
      </w:r>
      <w:r w:rsidRPr="00EC20A0">
        <w:rPr>
          <w:spacing w:val="-5"/>
        </w:rPr>
        <w:t xml:space="preserve"> </w:t>
      </w:r>
      <w:r w:rsidRPr="00EC20A0">
        <w:t>a</w:t>
      </w:r>
      <w:r w:rsidRPr="00EC20A0">
        <w:rPr>
          <w:spacing w:val="-4"/>
        </w:rPr>
        <w:t xml:space="preserve"> </w:t>
      </w:r>
      <w:r w:rsidRPr="00EC20A0">
        <w:t>substitute</w:t>
      </w:r>
      <w:r w:rsidRPr="00EC20A0">
        <w:rPr>
          <w:spacing w:val="-5"/>
        </w:rPr>
        <w:t xml:space="preserve"> </w:t>
      </w:r>
      <w:r w:rsidRPr="00EC20A0">
        <w:t>for</w:t>
      </w:r>
      <w:r w:rsidRPr="00EC20A0">
        <w:rPr>
          <w:spacing w:val="-4"/>
        </w:rPr>
        <w:t xml:space="preserve"> </w:t>
      </w:r>
      <w:r w:rsidRPr="00EC20A0">
        <w:t>obtaining</w:t>
      </w:r>
      <w:r w:rsidRPr="00EC20A0">
        <w:rPr>
          <w:spacing w:val="-4"/>
        </w:rPr>
        <w:t xml:space="preserve"> </w:t>
      </w:r>
      <w:r w:rsidRPr="00EC20A0">
        <w:t>other</w:t>
      </w:r>
      <w:r w:rsidRPr="00EC20A0">
        <w:rPr>
          <w:spacing w:val="-4"/>
        </w:rPr>
        <w:t xml:space="preserve"> </w:t>
      </w:r>
      <w:r w:rsidRPr="00EC20A0">
        <w:t xml:space="preserve">audit </w:t>
      </w:r>
      <w:r w:rsidRPr="00EC20A0">
        <w:rPr>
          <w:spacing w:val="-2"/>
        </w:rPr>
        <w:t>evidence.</w:t>
      </w:r>
    </w:p>
    <w:p w14:paraId="24D61CD6" w14:textId="77777777" w:rsidR="00245300" w:rsidRPr="00EC20A0" w:rsidRDefault="00F17249">
      <w:pPr>
        <w:pStyle w:val="ListParagraph"/>
        <w:numPr>
          <w:ilvl w:val="0"/>
          <w:numId w:val="72"/>
        </w:numPr>
        <w:tabs>
          <w:tab w:val="left" w:pos="1637"/>
          <w:tab w:val="left" w:pos="1640"/>
        </w:tabs>
        <w:ind w:left="1637" w:right="382" w:hanging="718"/>
      </w:pPr>
      <w:r w:rsidRPr="00EC20A0">
        <w:t>If the auditor has doubts about the reliability of written representations provided (e.g., other audit evidence contradicts a representation) or if requested written representations were not provided, the auditor should follow the requirements discussed in FAM 550.11 through .14 to determine the effect that this may have on the reliability of audit evidence and whether this may indicate a scope limitation</w:t>
      </w:r>
      <w:r w:rsidRPr="00EC20A0">
        <w:rPr>
          <w:spacing w:val="-4"/>
        </w:rPr>
        <w:t xml:space="preserve"> </w:t>
      </w:r>
      <w:r w:rsidRPr="00EC20A0">
        <w:t>sufficient</w:t>
      </w:r>
      <w:r w:rsidRPr="00EC20A0">
        <w:rPr>
          <w:spacing w:val="-4"/>
        </w:rPr>
        <w:t xml:space="preserve"> </w:t>
      </w:r>
      <w:r w:rsidRPr="00EC20A0">
        <w:t>to</w:t>
      </w:r>
      <w:r w:rsidRPr="00EC20A0">
        <w:rPr>
          <w:spacing w:val="-4"/>
        </w:rPr>
        <w:t xml:space="preserve"> </w:t>
      </w:r>
      <w:r w:rsidRPr="00EC20A0">
        <w:t>preclude</w:t>
      </w:r>
      <w:r w:rsidRPr="00EC20A0">
        <w:rPr>
          <w:spacing w:val="-4"/>
        </w:rPr>
        <w:t xml:space="preserve"> </w:t>
      </w:r>
      <w:r w:rsidRPr="00EC20A0">
        <w:t>an</w:t>
      </w:r>
      <w:r w:rsidRPr="00EC20A0">
        <w:rPr>
          <w:spacing w:val="-4"/>
        </w:rPr>
        <w:t xml:space="preserve"> </w:t>
      </w:r>
      <w:r w:rsidRPr="00EC20A0">
        <w:t>unmodified</w:t>
      </w:r>
      <w:r w:rsidRPr="00EC20A0">
        <w:rPr>
          <w:spacing w:val="-4"/>
        </w:rPr>
        <w:t xml:space="preserve"> </w:t>
      </w:r>
      <w:r w:rsidRPr="00EC20A0">
        <w:t>opinion.</w:t>
      </w:r>
      <w:r w:rsidRPr="00EC20A0">
        <w:rPr>
          <w:spacing w:val="-4"/>
        </w:rPr>
        <w:t xml:space="preserve"> </w:t>
      </w:r>
      <w:r w:rsidRPr="00EC20A0">
        <w:t>See</w:t>
      </w:r>
      <w:r w:rsidRPr="00EC20A0">
        <w:rPr>
          <w:spacing w:val="-4"/>
        </w:rPr>
        <w:t xml:space="preserve"> </w:t>
      </w:r>
      <w:r w:rsidRPr="00EC20A0">
        <w:t>FAM</w:t>
      </w:r>
      <w:r w:rsidRPr="00EC20A0">
        <w:rPr>
          <w:spacing w:val="-5"/>
        </w:rPr>
        <w:t xml:space="preserve"> </w:t>
      </w:r>
      <w:r w:rsidRPr="00EC20A0">
        <w:t>580</w:t>
      </w:r>
      <w:r w:rsidRPr="00EC20A0">
        <w:rPr>
          <w:spacing w:val="-4"/>
        </w:rPr>
        <w:t xml:space="preserve"> </w:t>
      </w:r>
      <w:r w:rsidRPr="00EC20A0">
        <w:t>for</w:t>
      </w:r>
      <w:r w:rsidRPr="00EC20A0">
        <w:rPr>
          <w:spacing w:val="-4"/>
        </w:rPr>
        <w:t xml:space="preserve"> </w:t>
      </w:r>
      <w:r w:rsidRPr="00EC20A0">
        <w:t xml:space="preserve">reporting </w:t>
      </w:r>
      <w:r w:rsidRPr="00EC20A0">
        <w:rPr>
          <w:spacing w:val="-2"/>
        </w:rPr>
        <w:t>guidance.</w:t>
      </w:r>
    </w:p>
    <w:p w14:paraId="24D61CD7" w14:textId="77777777" w:rsidR="00245300" w:rsidRPr="00EC20A0" w:rsidRDefault="00F17249">
      <w:pPr>
        <w:pStyle w:val="ListParagraph"/>
        <w:numPr>
          <w:ilvl w:val="0"/>
          <w:numId w:val="72"/>
        </w:numPr>
        <w:tabs>
          <w:tab w:val="left" w:pos="1640"/>
        </w:tabs>
        <w:spacing w:before="241"/>
        <w:ind w:left="1640" w:right="358"/>
      </w:pPr>
      <w:r w:rsidRPr="00EC20A0">
        <w:t>The specific representations obtained will depend on the circumstances of the engagement</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nature</w:t>
      </w:r>
      <w:r w:rsidRPr="00EC20A0">
        <w:rPr>
          <w:spacing w:val="-4"/>
        </w:rPr>
        <w:t xml:space="preserve"> </w:t>
      </w:r>
      <w:r w:rsidRPr="00EC20A0">
        <w:t>and</w:t>
      </w:r>
      <w:r w:rsidRPr="00EC20A0">
        <w:rPr>
          <w:spacing w:val="-3"/>
        </w:rPr>
        <w:t xml:space="preserve"> </w:t>
      </w:r>
      <w:r w:rsidRPr="00EC20A0">
        <w:t>basis</w:t>
      </w:r>
      <w:r w:rsidRPr="00EC20A0">
        <w:rPr>
          <w:spacing w:val="-4"/>
        </w:rPr>
        <w:t xml:space="preserve"> </w:t>
      </w:r>
      <w:r w:rsidRPr="00EC20A0">
        <w:t>of</w:t>
      </w:r>
      <w:r w:rsidRPr="00EC20A0">
        <w:rPr>
          <w:spacing w:val="-4"/>
        </w:rPr>
        <w:t xml:space="preserve"> </w:t>
      </w:r>
      <w:r w:rsidRPr="00EC20A0">
        <w:t>presentation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statements. These representations apply to all the financial statements and all periods covered by the audit report. In addition to the representations in the AICPA standards, the auditor should determine the need to obtain representations on other matters based on the circumstances of the audited entity. Also, the auditor should not include inapplicable representations listed in the example representation letter in FAM 1001 A and should customize the letter to the situation of the entity being au</w:t>
      </w:r>
      <w:r w:rsidRPr="00EC20A0">
        <w:t>dited.</w:t>
      </w:r>
    </w:p>
    <w:p w14:paraId="24D61CD8" w14:textId="77777777" w:rsidR="00245300" w:rsidRPr="00EC20A0" w:rsidRDefault="00245300">
      <w:pPr>
        <w:sectPr w:rsidR="00245300" w:rsidRPr="00EC20A0">
          <w:headerReference w:type="default" r:id="rId184"/>
          <w:footerReference w:type="default" r:id="rId185"/>
          <w:pgSz w:w="12240" w:h="15840"/>
          <w:pgMar w:top="1340" w:right="1100" w:bottom="940" w:left="1240" w:header="721" w:footer="757" w:gutter="0"/>
          <w:cols w:space="720"/>
        </w:sectPr>
      </w:pPr>
    </w:p>
    <w:p w14:paraId="24D61CD9" w14:textId="77777777" w:rsidR="00245300" w:rsidRPr="00EC20A0" w:rsidRDefault="00F17249">
      <w:pPr>
        <w:pStyle w:val="BodyText"/>
        <w:spacing w:before="121"/>
        <w:ind w:left="1639" w:right="425"/>
      </w:pPr>
      <w:r w:rsidRPr="00EC20A0">
        <w:t>The</w:t>
      </w:r>
      <w:r w:rsidRPr="00EC20A0">
        <w:rPr>
          <w:spacing w:val="-4"/>
        </w:rPr>
        <w:t xml:space="preserve"> </w:t>
      </w:r>
      <w:r w:rsidRPr="00EC20A0">
        <w:t>auditor</w:t>
      </w:r>
      <w:r w:rsidRPr="00EC20A0">
        <w:rPr>
          <w:spacing w:val="-5"/>
        </w:rPr>
        <w:t xml:space="preserve"> </w:t>
      </w:r>
      <w:r w:rsidRPr="00EC20A0">
        <w:t>should</w:t>
      </w:r>
      <w:r w:rsidRPr="00EC20A0">
        <w:rPr>
          <w:spacing w:val="-4"/>
        </w:rPr>
        <w:t xml:space="preserve"> </w:t>
      </w:r>
      <w:r w:rsidRPr="00EC20A0">
        <w:t>determine</w:t>
      </w:r>
      <w:r w:rsidRPr="00EC20A0">
        <w:rPr>
          <w:spacing w:val="-4"/>
        </w:rPr>
        <w:t xml:space="preserve"> </w:t>
      </w:r>
      <w:r w:rsidRPr="00EC20A0">
        <w:t>the</w:t>
      </w:r>
      <w:r w:rsidRPr="00EC20A0">
        <w:rPr>
          <w:spacing w:val="-4"/>
        </w:rPr>
        <w:t xml:space="preserve"> </w:t>
      </w:r>
      <w:r w:rsidRPr="00EC20A0">
        <w:t>need</w:t>
      </w:r>
      <w:r w:rsidRPr="00EC20A0">
        <w:rPr>
          <w:spacing w:val="-4"/>
        </w:rPr>
        <w:t xml:space="preserve"> </w:t>
      </w:r>
      <w:r w:rsidRPr="00EC20A0">
        <w:t>for</w:t>
      </w:r>
      <w:r w:rsidRPr="00EC20A0">
        <w:rPr>
          <w:spacing w:val="-4"/>
        </w:rPr>
        <w:t xml:space="preserve"> </w:t>
      </w:r>
      <w:r w:rsidRPr="00EC20A0">
        <w:t>additional</w:t>
      </w:r>
      <w:r w:rsidRPr="00EC20A0">
        <w:rPr>
          <w:spacing w:val="-4"/>
        </w:rPr>
        <w:t xml:space="preserve"> </w:t>
      </w:r>
      <w:r w:rsidRPr="00EC20A0">
        <w:t>customizing</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 xml:space="preserve">example </w:t>
      </w:r>
      <w:r w:rsidRPr="00EC20A0">
        <w:t>representation letter in FAM 1001 A and for the additional representations in FAM 1001.21 to .28. Many of the representations may have to be qualified, especially in an initial audit or in later audits where significant problems remain. For instance, the entity may need to add “except as follows:” at the end of a representation and describe the exceptions.</w:t>
      </w:r>
    </w:p>
    <w:p w14:paraId="24D61CDA" w14:textId="77777777" w:rsidR="00245300" w:rsidRPr="00EC20A0" w:rsidRDefault="00F17249">
      <w:pPr>
        <w:pStyle w:val="ListParagraph"/>
        <w:numPr>
          <w:ilvl w:val="0"/>
          <w:numId w:val="72"/>
        </w:numPr>
        <w:tabs>
          <w:tab w:val="left" w:pos="1639"/>
        </w:tabs>
        <w:ind w:right="358" w:hanging="720"/>
      </w:pPr>
      <w:r w:rsidRPr="00EC20A0">
        <w:t>The auditor</w:t>
      </w:r>
      <w:r w:rsidRPr="00EC20A0">
        <w:rPr>
          <w:spacing w:val="-1"/>
        </w:rPr>
        <w:t xml:space="preserve"> </w:t>
      </w:r>
      <w:r w:rsidRPr="00EC20A0">
        <w:t>should obtain the management representation letter from the highest level of the audited entity. The auditor should decide who to ask to sign the management representation letter. Signers should be officials who, in the auditor’s view, are knowledgeable about, and responsible for, either directly or through others, the matters in the representation letter. These officials typically would be the head of the entity and the CFO or equivalent. The auditor should obtain</w:t>
      </w:r>
      <w:r w:rsidRPr="00EC20A0">
        <w:rPr>
          <w:spacing w:val="-5"/>
        </w:rPr>
        <w:t xml:space="preserve"> </w:t>
      </w:r>
      <w:r w:rsidRPr="00EC20A0">
        <w:t>separate</w:t>
      </w:r>
      <w:r w:rsidRPr="00EC20A0">
        <w:rPr>
          <w:spacing w:val="-5"/>
        </w:rPr>
        <w:t xml:space="preserve"> </w:t>
      </w:r>
      <w:r w:rsidRPr="00EC20A0">
        <w:t>management</w:t>
      </w:r>
      <w:r w:rsidRPr="00EC20A0">
        <w:rPr>
          <w:spacing w:val="-5"/>
        </w:rPr>
        <w:t xml:space="preserve"> </w:t>
      </w:r>
      <w:r w:rsidRPr="00EC20A0">
        <w:t>representation</w:t>
      </w:r>
      <w:r w:rsidRPr="00EC20A0">
        <w:rPr>
          <w:spacing w:val="-5"/>
        </w:rPr>
        <w:t xml:space="preserve"> </w:t>
      </w:r>
      <w:r w:rsidRPr="00EC20A0">
        <w:t>letter</w:t>
      </w:r>
      <w:r w:rsidRPr="00EC20A0">
        <w:t>s</w:t>
      </w:r>
      <w:r w:rsidRPr="00EC20A0">
        <w:rPr>
          <w:spacing w:val="-5"/>
        </w:rPr>
        <w:t xml:space="preserve"> </w:t>
      </w:r>
      <w:r w:rsidRPr="00EC20A0">
        <w:t>from</w:t>
      </w:r>
      <w:r w:rsidRPr="00EC20A0">
        <w:rPr>
          <w:spacing w:val="-5"/>
        </w:rPr>
        <w:t xml:space="preserve"> </w:t>
      </w:r>
      <w:r w:rsidRPr="00EC20A0">
        <w:t>any</w:t>
      </w:r>
      <w:r w:rsidRPr="00EC20A0">
        <w:rPr>
          <w:spacing w:val="-5"/>
        </w:rPr>
        <w:t xml:space="preserve"> </w:t>
      </w:r>
      <w:r w:rsidRPr="00EC20A0">
        <w:t>component</w:t>
      </w:r>
      <w:r w:rsidRPr="00EC20A0">
        <w:rPr>
          <w:spacing w:val="-5"/>
        </w:rPr>
        <w:t xml:space="preserve"> </w:t>
      </w:r>
      <w:r w:rsidRPr="00EC20A0">
        <w:t>units</w:t>
      </w:r>
      <w:r w:rsidRPr="00EC20A0">
        <w:rPr>
          <w:spacing w:val="-5"/>
        </w:rPr>
        <w:t xml:space="preserve"> </w:t>
      </w:r>
      <w:r w:rsidRPr="00EC20A0">
        <w:t>for which the auditor will issue separate reports.</w:t>
      </w:r>
    </w:p>
    <w:p w14:paraId="24D61CDB" w14:textId="77777777" w:rsidR="00245300" w:rsidRPr="00EC20A0" w:rsidRDefault="00F17249">
      <w:pPr>
        <w:pStyle w:val="ListParagraph"/>
        <w:numPr>
          <w:ilvl w:val="0"/>
          <w:numId w:val="72"/>
        </w:numPr>
        <w:tabs>
          <w:tab w:val="left" w:pos="1639"/>
        </w:tabs>
        <w:ind w:right="396" w:hanging="720"/>
      </w:pPr>
      <w:r w:rsidRPr="00EC20A0">
        <w:t>The auditor should ask management to prepare the representation letter on the audited entity’s letterhead addressed to the auditor (AU-C 580.21). The auditor should ensure that the representations are for all financial statements and the period(s)</w:t>
      </w:r>
      <w:r w:rsidRPr="00EC20A0">
        <w:rPr>
          <w:spacing w:val="-3"/>
        </w:rPr>
        <w:t xml:space="preserve"> </w:t>
      </w:r>
      <w:r w:rsidRPr="00EC20A0">
        <w:t>referred</w:t>
      </w:r>
      <w:r w:rsidRPr="00EC20A0">
        <w:rPr>
          <w:spacing w:val="-3"/>
        </w:rPr>
        <w:t xml:space="preserve"> </w:t>
      </w:r>
      <w:r w:rsidRPr="00EC20A0">
        <w:t>to</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auditor’s</w:t>
      </w:r>
      <w:r w:rsidRPr="00EC20A0">
        <w:rPr>
          <w:spacing w:val="-4"/>
        </w:rPr>
        <w:t xml:space="preserve"> </w:t>
      </w:r>
      <w:r w:rsidRPr="00EC20A0">
        <w:t>report</w:t>
      </w:r>
      <w:r w:rsidRPr="00EC20A0">
        <w:rPr>
          <w:spacing w:val="-3"/>
        </w:rPr>
        <w:t xml:space="preserve"> </w:t>
      </w:r>
      <w:r w:rsidRPr="00EC20A0">
        <w:t>(AU-C</w:t>
      </w:r>
      <w:r w:rsidRPr="00EC20A0">
        <w:rPr>
          <w:spacing w:val="-4"/>
        </w:rPr>
        <w:t xml:space="preserve"> </w:t>
      </w:r>
      <w:r w:rsidRPr="00EC20A0">
        <w:t>580.20).</w:t>
      </w:r>
      <w:r w:rsidRPr="00EC20A0">
        <w:rPr>
          <w:spacing w:val="-3"/>
        </w:rPr>
        <w:t xml:space="preserve"> </w:t>
      </w:r>
      <w:r w:rsidRPr="00EC20A0">
        <w:t>The</w:t>
      </w:r>
      <w:r w:rsidRPr="00EC20A0">
        <w:rPr>
          <w:spacing w:val="-3"/>
        </w:rPr>
        <w:t xml:space="preserve"> </w:t>
      </w:r>
      <w:r w:rsidRPr="00EC20A0">
        <w:t>date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written representations should be as of the date of the auditor’s report (AU-C 580.20).</w:t>
      </w:r>
    </w:p>
    <w:p w14:paraId="24D61CDC" w14:textId="77777777" w:rsidR="00245300" w:rsidRPr="00EC20A0" w:rsidRDefault="00F17249">
      <w:pPr>
        <w:pStyle w:val="BodyText"/>
        <w:ind w:left="1639" w:right="408"/>
      </w:pPr>
      <w:r w:rsidRPr="00EC20A0">
        <w:t>The audit is complete when the auditor has enough evidence and has applied enough</w:t>
      </w:r>
      <w:r w:rsidRPr="00EC20A0">
        <w:rPr>
          <w:spacing w:val="-4"/>
        </w:rPr>
        <w:t xml:space="preserve"> </w:t>
      </w:r>
      <w:r w:rsidRPr="00EC20A0">
        <w:t>quality</w:t>
      </w:r>
      <w:r w:rsidRPr="00EC20A0">
        <w:rPr>
          <w:spacing w:val="-4"/>
        </w:rPr>
        <w:t xml:space="preserve"> </w:t>
      </w:r>
      <w:r w:rsidRPr="00EC20A0">
        <w:t>controls</w:t>
      </w:r>
      <w:r w:rsidRPr="00EC20A0">
        <w:rPr>
          <w:spacing w:val="-4"/>
        </w:rPr>
        <w:t xml:space="preserve"> </w:t>
      </w:r>
      <w:r w:rsidRPr="00EC20A0">
        <w:t>(including</w:t>
      </w:r>
      <w:r w:rsidRPr="00EC20A0">
        <w:rPr>
          <w:spacing w:val="-5"/>
        </w:rPr>
        <w:t xml:space="preserve"> </w:t>
      </w:r>
      <w:r w:rsidRPr="00EC20A0">
        <w:t>supervisory,</w:t>
      </w:r>
      <w:r w:rsidRPr="00EC20A0">
        <w:rPr>
          <w:spacing w:val="-5"/>
        </w:rPr>
        <w:t xml:space="preserve"> </w:t>
      </w:r>
      <w:r w:rsidRPr="00EC20A0">
        <w:t>first</w:t>
      </w:r>
      <w:r w:rsidRPr="00EC20A0">
        <w:rPr>
          <w:spacing w:val="-4"/>
        </w:rPr>
        <w:t xml:space="preserve"> </w:t>
      </w:r>
      <w:r w:rsidRPr="00EC20A0">
        <w:t>partner,</w:t>
      </w:r>
      <w:r w:rsidRPr="00EC20A0">
        <w:rPr>
          <w:spacing w:val="-4"/>
        </w:rPr>
        <w:t xml:space="preserve"> </w:t>
      </w:r>
      <w:r w:rsidRPr="00EC20A0">
        <w:t>and</w:t>
      </w:r>
      <w:r w:rsidRPr="00EC20A0">
        <w:rPr>
          <w:spacing w:val="-4"/>
        </w:rPr>
        <w:t xml:space="preserve"> </w:t>
      </w:r>
      <w:r w:rsidRPr="00EC20A0">
        <w:t>second</w:t>
      </w:r>
      <w:r w:rsidRPr="00EC20A0">
        <w:rPr>
          <w:spacing w:val="-4"/>
        </w:rPr>
        <w:t xml:space="preserve"> </w:t>
      </w:r>
      <w:r w:rsidRPr="00EC20A0">
        <w:t>partner review)</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ready</w:t>
      </w:r>
      <w:r w:rsidRPr="00EC20A0">
        <w:rPr>
          <w:spacing w:val="-3"/>
        </w:rPr>
        <w:t xml:space="preserve"> </w:t>
      </w:r>
      <w:r w:rsidRPr="00EC20A0">
        <w:t>to</w:t>
      </w:r>
      <w:r w:rsidRPr="00EC20A0">
        <w:rPr>
          <w:spacing w:val="-3"/>
        </w:rPr>
        <w:t xml:space="preserve"> </w:t>
      </w:r>
      <w:r w:rsidRPr="00EC20A0">
        <w:t>sign</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report.</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sure</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letter</w:t>
      </w:r>
      <w:r w:rsidRPr="00EC20A0">
        <w:rPr>
          <w:spacing w:val="-3"/>
        </w:rPr>
        <w:t xml:space="preserve"> </w:t>
      </w:r>
      <w:r w:rsidRPr="00EC20A0">
        <w:t>is</w:t>
      </w:r>
      <w:r w:rsidRPr="00EC20A0">
        <w:rPr>
          <w:spacing w:val="-3"/>
        </w:rPr>
        <w:t xml:space="preserve"> </w:t>
      </w:r>
      <w:r w:rsidRPr="00EC20A0">
        <w:t>ready</w:t>
      </w:r>
      <w:r w:rsidRPr="00EC20A0">
        <w:rPr>
          <w:spacing w:val="-3"/>
        </w:rPr>
        <w:t xml:space="preserve"> </w:t>
      </w:r>
      <w:r w:rsidRPr="00EC20A0">
        <w:t>in time, the auditor generally should provide a draft letter to management early in the audit and update it for circumstances found throughout the audit.</w:t>
      </w:r>
    </w:p>
    <w:p w14:paraId="24D61CDD" w14:textId="77777777" w:rsidR="00245300" w:rsidRPr="00EC20A0" w:rsidRDefault="00F17249">
      <w:pPr>
        <w:pStyle w:val="ListParagraph"/>
        <w:numPr>
          <w:ilvl w:val="0"/>
          <w:numId w:val="72"/>
        </w:numPr>
        <w:tabs>
          <w:tab w:val="left" w:pos="1640"/>
        </w:tabs>
        <w:spacing w:before="239"/>
        <w:ind w:left="1640" w:right="382"/>
      </w:pPr>
      <w:r w:rsidRPr="00EC20A0">
        <w:t xml:space="preserve">Especially for </w:t>
      </w:r>
      <w:proofErr w:type="gramStart"/>
      <w:r w:rsidRPr="00EC20A0">
        <w:t>large audited</w:t>
      </w:r>
      <w:proofErr w:type="gramEnd"/>
      <w:r w:rsidRPr="00EC20A0">
        <w:t xml:space="preserve"> entities, management, in agreement with its auditor, should specify a materiality threshold for the management representation letter, below which items would not be reported. OMB audit guidance states that the management representation letter shall specify management’s materiality threshold used for reporting items in the management representation letter and that</w:t>
      </w:r>
      <w:r w:rsidRPr="00EC20A0">
        <w:rPr>
          <w:spacing w:val="-4"/>
        </w:rPr>
        <w:t xml:space="preserve"> </w:t>
      </w:r>
      <w:r w:rsidRPr="00EC20A0">
        <w:t>representations</w:t>
      </w:r>
      <w:r w:rsidRPr="00EC20A0">
        <w:rPr>
          <w:spacing w:val="-4"/>
        </w:rPr>
        <w:t xml:space="preserve"> </w:t>
      </w:r>
      <w:r w:rsidRPr="00EC20A0">
        <w:t>pertaining</w:t>
      </w:r>
      <w:r w:rsidRPr="00EC20A0">
        <w:rPr>
          <w:spacing w:val="-4"/>
        </w:rPr>
        <w:t xml:space="preserve"> </w:t>
      </w:r>
      <w:r w:rsidRPr="00EC20A0">
        <w:t>to</w:t>
      </w:r>
      <w:r w:rsidRPr="00EC20A0">
        <w:rPr>
          <w:spacing w:val="-4"/>
        </w:rPr>
        <w:t xml:space="preserve"> </w:t>
      </w:r>
      <w:r w:rsidRPr="00EC20A0">
        <w:t>potential</w:t>
      </w:r>
      <w:r w:rsidRPr="00EC20A0">
        <w:rPr>
          <w:spacing w:val="-4"/>
        </w:rPr>
        <w:t xml:space="preserve"> </w:t>
      </w:r>
      <w:r w:rsidRPr="00EC20A0">
        <w:t>violations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proofErr w:type="spellStart"/>
      <w:r w:rsidRPr="00EC20A0">
        <w:t>Antideficiency</w:t>
      </w:r>
      <w:proofErr w:type="spellEnd"/>
      <w:r w:rsidRPr="00EC20A0">
        <w:rPr>
          <w:spacing w:val="-5"/>
        </w:rPr>
        <w:t xml:space="preserve"> </w:t>
      </w:r>
      <w:r w:rsidRPr="00EC20A0">
        <w:t>Act</w:t>
      </w:r>
      <w:r w:rsidRPr="00EC20A0">
        <w:rPr>
          <w:spacing w:val="-4"/>
        </w:rPr>
        <w:t xml:space="preserve"> </w:t>
      </w:r>
      <w:r w:rsidRPr="00EC20A0">
        <w:t>are limited to those that, if true, could have a materi</w:t>
      </w:r>
      <w:r w:rsidRPr="00EC20A0">
        <w:t>al effect on the financial statements. It also notes that management and the auditor should reach an understanding on a materiality level. If no threshold is stated, management should note all exceptions in the representation letter.</w:t>
      </w:r>
    </w:p>
    <w:p w14:paraId="24D61CDE" w14:textId="77777777" w:rsidR="00245300" w:rsidRPr="00EC20A0" w:rsidRDefault="00F17249">
      <w:pPr>
        <w:pStyle w:val="BodyText"/>
        <w:spacing w:before="241"/>
        <w:ind w:left="1640" w:right="416"/>
      </w:pPr>
      <w:r w:rsidRPr="00EC20A0">
        <w:t>The auditor should be satisfied that such a materiality threshold is so far below performance materiality that even many items below this level would not, in the aggregate,</w:t>
      </w:r>
      <w:r w:rsidRPr="00EC20A0">
        <w:rPr>
          <w:spacing w:val="-4"/>
        </w:rPr>
        <w:t xml:space="preserve"> </w:t>
      </w:r>
      <w:r w:rsidRPr="00EC20A0">
        <w:t>approach</w:t>
      </w:r>
      <w:r w:rsidRPr="00EC20A0">
        <w:rPr>
          <w:spacing w:val="-4"/>
        </w:rPr>
        <w:t xml:space="preserve"> </w:t>
      </w:r>
      <w:r w:rsidRPr="00EC20A0">
        <w:t>performance</w:t>
      </w:r>
      <w:r w:rsidRPr="00EC20A0">
        <w:rPr>
          <w:spacing w:val="-4"/>
        </w:rPr>
        <w:t xml:space="preserve"> </w:t>
      </w:r>
      <w:r w:rsidRPr="00EC20A0">
        <w:t>materiality.</w:t>
      </w:r>
      <w:r w:rsidRPr="00EC20A0">
        <w:rPr>
          <w:spacing w:val="-5"/>
        </w:rPr>
        <w:t xml:space="preserve"> </w:t>
      </w:r>
      <w:r w:rsidRPr="00EC20A0">
        <w:t>For</w:t>
      </w:r>
      <w:r w:rsidRPr="00EC20A0">
        <w:rPr>
          <w:spacing w:val="-4"/>
        </w:rPr>
        <w:t xml:space="preserve"> </w:t>
      </w:r>
      <w:r w:rsidRPr="00EC20A0">
        <w:t>example,</w:t>
      </w:r>
      <w:r w:rsidRPr="00EC20A0">
        <w:rPr>
          <w:spacing w:val="-4"/>
        </w:rPr>
        <w:t xml:space="preserve"> </w:t>
      </w:r>
      <w:r w:rsidRPr="00EC20A0">
        <w:t>a</w:t>
      </w:r>
      <w:r w:rsidRPr="00EC20A0">
        <w:rPr>
          <w:spacing w:val="-4"/>
        </w:rPr>
        <w:t xml:space="preserve"> </w:t>
      </w:r>
      <w:r w:rsidRPr="00EC20A0">
        <w:t>threshold</w:t>
      </w:r>
      <w:r w:rsidRPr="00EC20A0">
        <w:rPr>
          <w:spacing w:val="-5"/>
        </w:rPr>
        <w:t xml:space="preserve"> </w:t>
      </w:r>
      <w:r w:rsidRPr="00EC20A0">
        <w:t>that</w:t>
      </w:r>
      <w:r w:rsidRPr="00EC20A0">
        <w:rPr>
          <w:spacing w:val="-4"/>
        </w:rPr>
        <w:t xml:space="preserve"> </w:t>
      </w:r>
      <w:r w:rsidRPr="00EC20A0">
        <w:t>is</w:t>
      </w:r>
      <w:r w:rsidRPr="00EC20A0">
        <w:rPr>
          <w:spacing w:val="-4"/>
        </w:rPr>
        <w:t xml:space="preserve"> </w:t>
      </w:r>
      <w:r w:rsidRPr="00EC20A0">
        <w:t xml:space="preserve">5 percent (or less) of performance materiality may be </w:t>
      </w:r>
      <w:r w:rsidRPr="00EC20A0">
        <w:t>sufficiently low. The materiality level may be different for different representations and would not apply to those representations not directly related to amounts in the financial statements (such as the representation about responsibility for the statements).</w:t>
      </w:r>
    </w:p>
    <w:p w14:paraId="24D61CDF" w14:textId="77777777" w:rsidR="00245300" w:rsidRPr="00EC20A0" w:rsidRDefault="00245300">
      <w:pPr>
        <w:pStyle w:val="BodyText"/>
        <w:spacing w:before="46"/>
      </w:pPr>
    </w:p>
    <w:p w14:paraId="24D61CE0" w14:textId="77777777" w:rsidR="00245300" w:rsidRPr="00EC20A0" w:rsidRDefault="00F17249">
      <w:pPr>
        <w:pStyle w:val="Heading4"/>
        <w:spacing w:before="1"/>
        <w:ind w:left="200"/>
      </w:pPr>
      <w:bookmarkStart w:id="365" w:name="Written_Representations_on_Management’s_"/>
      <w:bookmarkEnd w:id="365"/>
      <w:r w:rsidRPr="00EC20A0">
        <w:t>Written</w:t>
      </w:r>
      <w:r w:rsidRPr="00EC20A0">
        <w:rPr>
          <w:spacing w:val="-18"/>
        </w:rPr>
        <w:t xml:space="preserve"> </w:t>
      </w:r>
      <w:r w:rsidRPr="00EC20A0">
        <w:t>Representations</w:t>
      </w:r>
      <w:r w:rsidRPr="00EC20A0">
        <w:rPr>
          <w:spacing w:val="-17"/>
        </w:rPr>
        <w:t xml:space="preserve"> </w:t>
      </w:r>
      <w:r w:rsidRPr="00EC20A0">
        <w:t>on</w:t>
      </w:r>
      <w:r w:rsidRPr="00EC20A0">
        <w:rPr>
          <w:spacing w:val="-17"/>
        </w:rPr>
        <w:t xml:space="preserve"> </w:t>
      </w:r>
      <w:r w:rsidRPr="00EC20A0">
        <w:t>Management’s</w:t>
      </w:r>
      <w:r w:rsidRPr="00EC20A0">
        <w:rPr>
          <w:spacing w:val="-16"/>
        </w:rPr>
        <w:t xml:space="preserve"> </w:t>
      </w:r>
      <w:r w:rsidRPr="00EC20A0">
        <w:rPr>
          <w:spacing w:val="-2"/>
        </w:rPr>
        <w:t>Responsibilities</w:t>
      </w:r>
    </w:p>
    <w:p w14:paraId="24D61CE1" w14:textId="77777777" w:rsidR="00245300" w:rsidRPr="00EC20A0" w:rsidRDefault="00F17249">
      <w:pPr>
        <w:pStyle w:val="ListParagraph"/>
        <w:numPr>
          <w:ilvl w:val="0"/>
          <w:numId w:val="72"/>
        </w:numPr>
        <w:tabs>
          <w:tab w:val="left" w:pos="1639"/>
        </w:tabs>
        <w:spacing w:before="300"/>
        <w:ind w:right="675" w:hanging="720"/>
      </w:pPr>
      <w:r w:rsidRPr="00EC20A0">
        <w:t>FAM 1001 A (which incorporates AU-C 580.A34) lists management representations</w:t>
      </w:r>
      <w:r w:rsidRPr="00EC20A0">
        <w:rPr>
          <w:spacing w:val="-1"/>
        </w:rPr>
        <w:t xml:space="preserve"> </w:t>
      </w:r>
      <w:r w:rsidRPr="00EC20A0">
        <w:t>that</w:t>
      </w:r>
      <w:r w:rsidRPr="00EC20A0">
        <w:rPr>
          <w:spacing w:val="-1"/>
        </w:rPr>
        <w:t xml:space="preserve"> </w:t>
      </w:r>
      <w:r w:rsidRPr="00EC20A0">
        <w:t>the</w:t>
      </w:r>
      <w:r w:rsidRPr="00EC20A0">
        <w:rPr>
          <w:spacing w:val="-2"/>
        </w:rPr>
        <w:t xml:space="preserve"> </w:t>
      </w:r>
      <w:r w:rsidRPr="00EC20A0">
        <w:t>auditor</w:t>
      </w:r>
      <w:r w:rsidRPr="00EC20A0">
        <w:rPr>
          <w:spacing w:val="-1"/>
        </w:rPr>
        <w:t xml:space="preserve"> </w:t>
      </w:r>
      <w:r w:rsidRPr="00EC20A0">
        <w:t>should</w:t>
      </w:r>
      <w:r w:rsidRPr="00EC20A0">
        <w:rPr>
          <w:spacing w:val="-1"/>
        </w:rPr>
        <w:t xml:space="preserve"> </w:t>
      </w:r>
      <w:r w:rsidRPr="00EC20A0">
        <w:t>obtain</w:t>
      </w:r>
      <w:r w:rsidRPr="00EC20A0">
        <w:rPr>
          <w:spacing w:val="-1"/>
        </w:rPr>
        <w:t xml:space="preserve"> </w:t>
      </w:r>
      <w:r w:rsidRPr="00EC20A0">
        <w:t>in</w:t>
      </w:r>
      <w:r w:rsidRPr="00EC20A0">
        <w:rPr>
          <w:spacing w:val="-2"/>
        </w:rPr>
        <w:t xml:space="preserve"> </w:t>
      </w:r>
      <w:r w:rsidRPr="00EC20A0">
        <w:t>a GAGAS</w:t>
      </w:r>
      <w:r w:rsidRPr="00EC20A0">
        <w:rPr>
          <w:spacing w:val="-2"/>
        </w:rPr>
        <w:t xml:space="preserve"> </w:t>
      </w:r>
      <w:r w:rsidRPr="00EC20A0">
        <w:t>audit,</w:t>
      </w:r>
      <w:r w:rsidRPr="00EC20A0">
        <w:rPr>
          <w:spacing w:val="-1"/>
        </w:rPr>
        <w:t xml:space="preserve"> </w:t>
      </w:r>
      <w:r w:rsidRPr="00EC20A0">
        <w:t>if</w:t>
      </w:r>
      <w:r w:rsidRPr="00EC20A0">
        <w:rPr>
          <w:spacing w:val="-1"/>
        </w:rPr>
        <w:t xml:space="preserve"> </w:t>
      </w:r>
      <w:r w:rsidRPr="00EC20A0">
        <w:t>applicable. These</w:t>
      </w:r>
      <w:r w:rsidRPr="00EC20A0">
        <w:rPr>
          <w:spacing w:val="-5"/>
        </w:rPr>
        <w:t xml:space="preserve"> </w:t>
      </w:r>
      <w:r w:rsidRPr="00EC20A0">
        <w:t>generally</w:t>
      </w:r>
      <w:r w:rsidRPr="00EC20A0">
        <w:rPr>
          <w:spacing w:val="-5"/>
        </w:rPr>
        <w:t xml:space="preserve"> </w:t>
      </w:r>
      <w:r w:rsidRPr="00EC20A0">
        <w:t>relate</w:t>
      </w:r>
      <w:r w:rsidRPr="00EC20A0">
        <w:rPr>
          <w:spacing w:val="-5"/>
        </w:rPr>
        <w:t xml:space="preserve"> </w:t>
      </w:r>
      <w:r w:rsidRPr="00EC20A0">
        <w:t>to</w:t>
      </w:r>
      <w:r w:rsidRPr="00EC20A0">
        <w:rPr>
          <w:spacing w:val="-5"/>
        </w:rPr>
        <w:t xml:space="preserve"> </w:t>
      </w:r>
      <w:r w:rsidRPr="00EC20A0">
        <w:t>management</w:t>
      </w:r>
      <w:r w:rsidRPr="00EC20A0">
        <w:rPr>
          <w:spacing w:val="-4"/>
        </w:rPr>
        <w:t xml:space="preserve"> </w:t>
      </w:r>
      <w:r w:rsidRPr="00EC20A0">
        <w:t>acknowledging</w:t>
      </w:r>
      <w:r w:rsidRPr="00EC20A0">
        <w:rPr>
          <w:spacing w:val="-5"/>
        </w:rPr>
        <w:t xml:space="preserve"> </w:t>
      </w:r>
      <w:r w:rsidRPr="00EC20A0">
        <w:t>its</w:t>
      </w:r>
      <w:r w:rsidRPr="00EC20A0">
        <w:rPr>
          <w:spacing w:val="-5"/>
        </w:rPr>
        <w:t xml:space="preserve"> </w:t>
      </w:r>
      <w:r w:rsidRPr="00EC20A0">
        <w:t>responsibility</w:t>
      </w:r>
      <w:r w:rsidRPr="00EC20A0">
        <w:rPr>
          <w:spacing w:val="-5"/>
        </w:rPr>
        <w:t xml:space="preserve"> </w:t>
      </w:r>
      <w:r w:rsidRPr="00EC20A0">
        <w:t>for</w:t>
      </w:r>
      <w:r w:rsidRPr="00EC20A0">
        <w:rPr>
          <w:spacing w:val="-5"/>
        </w:rPr>
        <w:t xml:space="preserve"> </w:t>
      </w:r>
      <w:r w:rsidRPr="00EC20A0">
        <w:t>the</w:t>
      </w:r>
    </w:p>
    <w:p w14:paraId="24D61CE2" w14:textId="77777777" w:rsidR="00245300" w:rsidRPr="00EC20A0" w:rsidRDefault="00245300">
      <w:pPr>
        <w:sectPr w:rsidR="00245300" w:rsidRPr="00EC20A0">
          <w:headerReference w:type="default" r:id="rId186"/>
          <w:footerReference w:type="default" r:id="rId187"/>
          <w:pgSz w:w="12240" w:h="15840"/>
          <w:pgMar w:top="1340" w:right="1100" w:bottom="940" w:left="1240" w:header="721" w:footer="757" w:gutter="0"/>
          <w:pgNumType w:start="2"/>
          <w:cols w:space="720"/>
        </w:sectPr>
      </w:pPr>
    </w:p>
    <w:p w14:paraId="24D61CE3" w14:textId="77777777" w:rsidR="00245300" w:rsidRPr="00EC20A0" w:rsidRDefault="00F17249">
      <w:pPr>
        <w:pStyle w:val="BodyText"/>
        <w:spacing w:before="121"/>
        <w:ind w:left="1640" w:right="408"/>
      </w:pPr>
      <w:r w:rsidRPr="00EC20A0">
        <w:t xml:space="preserve">financial statements and its belief </w:t>
      </w:r>
      <w:r w:rsidRPr="00EC20A0">
        <w:t>that the financial statements are fairly presented</w:t>
      </w:r>
      <w:r w:rsidRPr="00EC20A0">
        <w:rPr>
          <w:spacing w:val="-5"/>
        </w:rPr>
        <w:t xml:space="preserve"> </w:t>
      </w:r>
      <w:r w:rsidRPr="00EC20A0">
        <w:t>in</w:t>
      </w:r>
      <w:r w:rsidRPr="00EC20A0">
        <w:rPr>
          <w:spacing w:val="-6"/>
        </w:rPr>
        <w:t xml:space="preserve"> </w:t>
      </w:r>
      <w:r w:rsidRPr="00EC20A0">
        <w:t>conformity</w:t>
      </w:r>
      <w:r w:rsidRPr="00EC20A0">
        <w:rPr>
          <w:spacing w:val="-5"/>
        </w:rPr>
        <w:t xml:space="preserve"> </w:t>
      </w:r>
      <w:r w:rsidRPr="00EC20A0">
        <w:t>with</w:t>
      </w:r>
      <w:r w:rsidRPr="00EC20A0">
        <w:rPr>
          <w:spacing w:val="-5"/>
        </w:rPr>
        <w:t xml:space="preserve"> </w:t>
      </w:r>
      <w:r w:rsidRPr="00EC20A0">
        <w:t>U.S.</w:t>
      </w:r>
      <w:r w:rsidRPr="00EC20A0">
        <w:rPr>
          <w:spacing w:val="-5"/>
        </w:rPr>
        <w:t xml:space="preserve"> </w:t>
      </w:r>
      <w:r w:rsidRPr="00EC20A0">
        <w:t>generally</w:t>
      </w:r>
      <w:r w:rsidRPr="00EC20A0">
        <w:rPr>
          <w:spacing w:val="-5"/>
        </w:rPr>
        <w:t xml:space="preserve"> </w:t>
      </w:r>
      <w:r w:rsidRPr="00EC20A0">
        <w:t>accepted</w:t>
      </w:r>
      <w:r w:rsidRPr="00EC20A0">
        <w:rPr>
          <w:spacing w:val="-5"/>
        </w:rPr>
        <w:t xml:space="preserve"> </w:t>
      </w:r>
      <w:r w:rsidRPr="00EC20A0">
        <w:t>accounting</w:t>
      </w:r>
      <w:r w:rsidRPr="00EC20A0">
        <w:rPr>
          <w:spacing w:val="-5"/>
        </w:rPr>
        <w:t xml:space="preserve"> </w:t>
      </w:r>
      <w:r w:rsidRPr="00EC20A0">
        <w:t>principles</w:t>
      </w:r>
      <w:r w:rsidRPr="00EC20A0">
        <w:rPr>
          <w:spacing w:val="-5"/>
        </w:rPr>
        <w:t xml:space="preserve"> </w:t>
      </w:r>
      <w:r w:rsidRPr="00EC20A0">
        <w:t>(U.S. GAAP), and financial information is complete with appropriate recognition, measurement, and disclosure.</w:t>
      </w:r>
    </w:p>
    <w:p w14:paraId="24D61CE4" w14:textId="77777777" w:rsidR="00245300" w:rsidRPr="00EC20A0" w:rsidRDefault="00F17249">
      <w:pPr>
        <w:pStyle w:val="BodyText"/>
        <w:spacing w:before="240"/>
        <w:ind w:left="1640" w:right="817"/>
      </w:pPr>
      <w:r w:rsidRPr="00EC20A0">
        <w:t>The</w:t>
      </w:r>
      <w:r w:rsidRPr="00EC20A0">
        <w:rPr>
          <w:spacing w:val="-3"/>
        </w:rPr>
        <w:t xml:space="preserve"> </w:t>
      </w:r>
      <w:r w:rsidRPr="00EC20A0">
        <w:t>following</w:t>
      </w:r>
      <w:r w:rsidRPr="00EC20A0">
        <w:rPr>
          <w:spacing w:val="-3"/>
        </w:rPr>
        <w:t xml:space="preserve"> </w:t>
      </w:r>
      <w:r w:rsidRPr="00EC20A0">
        <w:t>paragraphs</w:t>
      </w:r>
      <w:r w:rsidRPr="00EC20A0">
        <w:rPr>
          <w:spacing w:val="-2"/>
        </w:rPr>
        <w:t xml:space="preserve"> </w:t>
      </w:r>
      <w:r w:rsidRPr="00EC20A0">
        <w:t>provide</w:t>
      </w:r>
      <w:r w:rsidRPr="00EC20A0">
        <w:rPr>
          <w:spacing w:val="-3"/>
        </w:rPr>
        <w:t xml:space="preserve"> </w:t>
      </w:r>
      <w:r w:rsidRPr="00EC20A0">
        <w:t>a</w:t>
      </w:r>
      <w:r w:rsidRPr="00EC20A0">
        <w:rPr>
          <w:spacing w:val="-4"/>
        </w:rPr>
        <w:t xml:space="preserve"> </w:t>
      </w:r>
      <w:r w:rsidRPr="00EC20A0">
        <w:t>description</w:t>
      </w:r>
      <w:r w:rsidRPr="00EC20A0">
        <w:rPr>
          <w:spacing w:val="-6"/>
        </w:rPr>
        <w:t xml:space="preserve"> </w:t>
      </w:r>
      <w:r w:rsidRPr="00EC20A0">
        <w:t>of</w:t>
      </w:r>
      <w:r w:rsidRPr="00EC20A0">
        <w:rPr>
          <w:spacing w:val="-3"/>
        </w:rPr>
        <w:t xml:space="preserve"> </w:t>
      </w:r>
      <w:r w:rsidRPr="00EC20A0">
        <w:t>required</w:t>
      </w:r>
      <w:r w:rsidRPr="00EC20A0">
        <w:rPr>
          <w:spacing w:val="-3"/>
        </w:rPr>
        <w:t xml:space="preserve"> </w:t>
      </w:r>
      <w:r w:rsidRPr="00EC20A0">
        <w:t>representations, which</w:t>
      </w:r>
      <w:r w:rsidRPr="00EC20A0">
        <w:rPr>
          <w:spacing w:val="-7"/>
        </w:rPr>
        <w:t xml:space="preserve"> </w:t>
      </w:r>
      <w:r w:rsidRPr="00EC20A0">
        <w:t>are</w:t>
      </w:r>
      <w:r w:rsidRPr="00EC20A0">
        <w:rPr>
          <w:spacing w:val="-6"/>
        </w:rPr>
        <w:t xml:space="preserve"> </w:t>
      </w:r>
      <w:r w:rsidRPr="00EC20A0">
        <w:t>incorporated</w:t>
      </w:r>
      <w:r w:rsidRPr="00EC20A0">
        <w:rPr>
          <w:spacing w:val="-7"/>
        </w:rPr>
        <w:t xml:space="preserve"> </w:t>
      </w:r>
      <w:r w:rsidRPr="00EC20A0">
        <w:t>in</w:t>
      </w:r>
      <w:r w:rsidRPr="00EC20A0">
        <w:rPr>
          <w:spacing w:val="-6"/>
        </w:rPr>
        <w:t xml:space="preserve"> </w:t>
      </w:r>
      <w:r w:rsidRPr="00EC20A0">
        <w:t>the</w:t>
      </w:r>
      <w:r w:rsidRPr="00EC20A0">
        <w:rPr>
          <w:spacing w:val="-7"/>
        </w:rPr>
        <w:t xml:space="preserve"> </w:t>
      </w:r>
      <w:r w:rsidRPr="00EC20A0">
        <w:t>example</w:t>
      </w:r>
      <w:r w:rsidRPr="00EC20A0">
        <w:rPr>
          <w:spacing w:val="-6"/>
        </w:rPr>
        <w:t xml:space="preserve"> </w:t>
      </w:r>
      <w:r w:rsidRPr="00EC20A0">
        <w:t>representation</w:t>
      </w:r>
      <w:r w:rsidRPr="00EC20A0">
        <w:rPr>
          <w:spacing w:val="-7"/>
        </w:rPr>
        <w:t xml:space="preserve"> </w:t>
      </w:r>
      <w:r w:rsidRPr="00EC20A0">
        <w:t>letter</w:t>
      </w:r>
      <w:r w:rsidRPr="00EC20A0">
        <w:rPr>
          <w:spacing w:val="-6"/>
        </w:rPr>
        <w:t xml:space="preserve"> </w:t>
      </w:r>
      <w:r w:rsidRPr="00EC20A0">
        <w:t>at</w:t>
      </w:r>
      <w:r w:rsidRPr="00EC20A0">
        <w:rPr>
          <w:spacing w:val="-7"/>
        </w:rPr>
        <w:t xml:space="preserve"> </w:t>
      </w:r>
      <w:r w:rsidRPr="00EC20A0">
        <w:t>FAM</w:t>
      </w:r>
      <w:r w:rsidRPr="00EC20A0">
        <w:rPr>
          <w:spacing w:val="-7"/>
        </w:rPr>
        <w:t xml:space="preserve"> </w:t>
      </w:r>
      <w:r w:rsidRPr="00EC20A0">
        <w:t>1001</w:t>
      </w:r>
      <w:r w:rsidRPr="00EC20A0">
        <w:rPr>
          <w:spacing w:val="-6"/>
        </w:rPr>
        <w:t xml:space="preserve"> </w:t>
      </w:r>
      <w:r w:rsidRPr="00EC20A0">
        <w:rPr>
          <w:spacing w:val="-5"/>
        </w:rPr>
        <w:t>A.</w:t>
      </w:r>
    </w:p>
    <w:p w14:paraId="24D61CE5" w14:textId="77777777" w:rsidR="00245300" w:rsidRPr="00EC20A0" w:rsidRDefault="00245300">
      <w:pPr>
        <w:pStyle w:val="BodyText"/>
        <w:spacing w:before="47"/>
      </w:pPr>
    </w:p>
    <w:p w14:paraId="24D61CE6" w14:textId="77777777" w:rsidR="00245300" w:rsidRPr="00EC20A0" w:rsidRDefault="00F17249">
      <w:pPr>
        <w:pStyle w:val="Heading5"/>
        <w:spacing w:before="1"/>
        <w:ind w:right="337"/>
        <w:rPr>
          <w:u w:val="none"/>
        </w:rPr>
      </w:pPr>
      <w:bookmarkStart w:id="366" w:name="Representations_Relating_to_Preparation_"/>
      <w:bookmarkEnd w:id="366"/>
      <w:r w:rsidRPr="00EC20A0">
        <w:t>Representations</w:t>
      </w:r>
      <w:r w:rsidRPr="00EC20A0">
        <w:rPr>
          <w:spacing w:val="-5"/>
        </w:rPr>
        <w:t xml:space="preserve"> </w:t>
      </w:r>
      <w:r w:rsidRPr="00EC20A0">
        <w:t>Relating</w:t>
      </w:r>
      <w:r w:rsidRPr="00EC20A0">
        <w:rPr>
          <w:spacing w:val="-5"/>
        </w:rPr>
        <w:t xml:space="preserve"> </w:t>
      </w:r>
      <w:r w:rsidRPr="00EC20A0">
        <w:t>to</w:t>
      </w:r>
      <w:r w:rsidRPr="00EC20A0">
        <w:rPr>
          <w:spacing w:val="-5"/>
        </w:rPr>
        <w:t xml:space="preserve"> </w:t>
      </w:r>
      <w:r w:rsidRPr="00EC20A0">
        <w:t>Preparation</w:t>
      </w:r>
      <w:r w:rsidRPr="00EC20A0">
        <w:rPr>
          <w:spacing w:val="-5"/>
        </w:rPr>
        <w:t xml:space="preserve"> </w:t>
      </w:r>
      <w:r w:rsidRPr="00EC20A0">
        <w:t>and</w:t>
      </w:r>
      <w:r w:rsidRPr="00EC20A0">
        <w:rPr>
          <w:spacing w:val="-5"/>
        </w:rPr>
        <w:t xml:space="preserve"> </w:t>
      </w:r>
      <w:r w:rsidRPr="00EC20A0">
        <w:t>Presentation</w:t>
      </w:r>
      <w:r w:rsidRPr="00EC20A0">
        <w:rPr>
          <w:spacing w:val="-5"/>
        </w:rPr>
        <w:t xml:space="preserve"> </w:t>
      </w:r>
      <w:r w:rsidRPr="00EC20A0">
        <w:t>of</w:t>
      </w:r>
      <w:r w:rsidRPr="00EC20A0">
        <w:rPr>
          <w:spacing w:val="-7"/>
        </w:rPr>
        <w:t xml:space="preserve"> </w:t>
      </w:r>
      <w:r w:rsidRPr="00EC20A0">
        <w:t>the</w:t>
      </w:r>
      <w:r w:rsidRPr="00EC20A0">
        <w:rPr>
          <w:spacing w:val="-5"/>
        </w:rPr>
        <w:t xml:space="preserve"> </w:t>
      </w:r>
      <w:r w:rsidRPr="00EC20A0">
        <w:t>Financial</w:t>
      </w:r>
      <w:r w:rsidRPr="00EC20A0">
        <w:rPr>
          <w:u w:val="none"/>
        </w:rPr>
        <w:t xml:space="preserve"> </w:t>
      </w:r>
      <w:r w:rsidRPr="00EC20A0">
        <w:t xml:space="preserve">Statements, Required </w:t>
      </w:r>
      <w:r w:rsidRPr="00EC20A0">
        <w:t>Supplementary Information, and Other Information</w:t>
      </w:r>
    </w:p>
    <w:p w14:paraId="24D61CE7" w14:textId="77777777" w:rsidR="00245300" w:rsidRPr="00EC20A0" w:rsidRDefault="00245300">
      <w:pPr>
        <w:pStyle w:val="BodyText"/>
        <w:spacing w:before="46"/>
        <w:rPr>
          <w:b/>
        </w:rPr>
      </w:pPr>
    </w:p>
    <w:p w14:paraId="24D61CE8" w14:textId="77777777" w:rsidR="00245300" w:rsidRPr="00EC20A0" w:rsidRDefault="00F17249">
      <w:pPr>
        <w:pStyle w:val="ListParagraph"/>
        <w:numPr>
          <w:ilvl w:val="0"/>
          <w:numId w:val="72"/>
        </w:numPr>
        <w:tabs>
          <w:tab w:val="left" w:pos="1640"/>
        </w:tabs>
        <w:spacing w:before="0"/>
        <w:ind w:left="1640" w:right="1680"/>
      </w:pPr>
      <w:r w:rsidRPr="00EC20A0">
        <w:t>Management’s</w:t>
      </w:r>
      <w:r w:rsidRPr="00EC20A0">
        <w:rPr>
          <w:spacing w:val="-10"/>
        </w:rPr>
        <w:t xml:space="preserve"> </w:t>
      </w:r>
      <w:r w:rsidRPr="00EC20A0">
        <w:t>representations</w:t>
      </w:r>
      <w:r w:rsidRPr="00EC20A0">
        <w:rPr>
          <w:spacing w:val="-10"/>
        </w:rPr>
        <w:t xml:space="preserve"> </w:t>
      </w:r>
      <w:r w:rsidRPr="00EC20A0">
        <w:t>should</w:t>
      </w:r>
      <w:r w:rsidRPr="00EC20A0">
        <w:rPr>
          <w:spacing w:val="-10"/>
        </w:rPr>
        <w:t xml:space="preserve"> </w:t>
      </w:r>
      <w:r w:rsidRPr="00EC20A0">
        <w:t>acknowledge</w:t>
      </w:r>
      <w:r w:rsidRPr="00EC20A0">
        <w:rPr>
          <w:spacing w:val="-10"/>
        </w:rPr>
        <w:t xml:space="preserve"> </w:t>
      </w:r>
      <w:r w:rsidRPr="00EC20A0">
        <w:t>management’s responsibilities for the following, as applicable:</w:t>
      </w:r>
    </w:p>
    <w:p w14:paraId="24D61CE9" w14:textId="77777777" w:rsidR="00245300" w:rsidRPr="00EC20A0" w:rsidRDefault="00F17249">
      <w:pPr>
        <w:pStyle w:val="ListParagraph"/>
        <w:numPr>
          <w:ilvl w:val="0"/>
          <w:numId w:val="71"/>
        </w:numPr>
        <w:tabs>
          <w:tab w:val="left" w:pos="1999"/>
        </w:tabs>
        <w:spacing w:before="239"/>
        <w:ind w:right="672"/>
      </w:pPr>
      <w:r w:rsidRPr="00EC20A0">
        <w:t>preparation</w:t>
      </w:r>
      <w:r w:rsidRPr="00EC20A0">
        <w:rPr>
          <w:spacing w:val="-6"/>
        </w:rPr>
        <w:t xml:space="preserve"> </w:t>
      </w:r>
      <w:r w:rsidRPr="00EC20A0">
        <w:t>and</w:t>
      </w:r>
      <w:r w:rsidRPr="00EC20A0">
        <w:rPr>
          <w:spacing w:val="-4"/>
        </w:rPr>
        <w:t xml:space="preserve"> </w:t>
      </w:r>
      <w:r w:rsidRPr="00EC20A0">
        <w:t>fair</w:t>
      </w:r>
      <w:r w:rsidRPr="00EC20A0">
        <w:rPr>
          <w:spacing w:val="-5"/>
        </w:rPr>
        <w:t xml:space="preserve"> </w:t>
      </w:r>
      <w:r w:rsidRPr="00EC20A0">
        <w:t>presentation</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financial</w:t>
      </w:r>
      <w:r w:rsidRPr="00EC20A0">
        <w:rPr>
          <w:spacing w:val="-6"/>
        </w:rPr>
        <w:t xml:space="preserve"> </w:t>
      </w:r>
      <w:r w:rsidRPr="00EC20A0">
        <w:t>statements</w:t>
      </w:r>
      <w:r w:rsidRPr="00EC20A0">
        <w:rPr>
          <w:spacing w:val="-5"/>
        </w:rPr>
        <w:t xml:space="preserve"> </w:t>
      </w:r>
      <w:r w:rsidRPr="00EC20A0">
        <w:t>in</w:t>
      </w:r>
      <w:r w:rsidRPr="00EC20A0">
        <w:rPr>
          <w:spacing w:val="-5"/>
        </w:rPr>
        <w:t xml:space="preserve"> </w:t>
      </w:r>
      <w:r w:rsidRPr="00EC20A0">
        <w:t>accordance with the applicable financial reporting framework (generally U.S. GAAP) (AU-C 580.10a);</w:t>
      </w:r>
    </w:p>
    <w:p w14:paraId="24D61CEA" w14:textId="77777777" w:rsidR="00245300" w:rsidRPr="00EC20A0" w:rsidRDefault="00F17249">
      <w:pPr>
        <w:pStyle w:val="ListParagraph"/>
        <w:numPr>
          <w:ilvl w:val="0"/>
          <w:numId w:val="71"/>
        </w:numPr>
        <w:tabs>
          <w:tab w:val="left" w:pos="1997"/>
          <w:tab w:val="left" w:pos="1999"/>
        </w:tabs>
        <w:spacing w:before="241"/>
        <w:ind w:right="942" w:hanging="361"/>
      </w:pPr>
      <w:r w:rsidRPr="00EC20A0">
        <w:t>preparation,</w:t>
      </w:r>
      <w:r w:rsidRPr="00EC20A0">
        <w:rPr>
          <w:spacing w:val="-8"/>
        </w:rPr>
        <w:t xml:space="preserve"> </w:t>
      </w:r>
      <w:r w:rsidRPr="00EC20A0">
        <w:t>presentation,</w:t>
      </w:r>
      <w:r w:rsidRPr="00EC20A0">
        <w:rPr>
          <w:spacing w:val="-7"/>
        </w:rPr>
        <w:t xml:space="preserve"> </w:t>
      </w:r>
      <w:r w:rsidRPr="00EC20A0">
        <w:t>and</w:t>
      </w:r>
      <w:r w:rsidRPr="00EC20A0">
        <w:rPr>
          <w:spacing w:val="-7"/>
        </w:rPr>
        <w:t xml:space="preserve"> </w:t>
      </w:r>
      <w:r w:rsidRPr="00EC20A0">
        <w:t>measurement</w:t>
      </w:r>
      <w:r w:rsidRPr="00EC20A0">
        <w:rPr>
          <w:spacing w:val="-6"/>
        </w:rPr>
        <w:t xml:space="preserve"> </w:t>
      </w:r>
      <w:r w:rsidRPr="00EC20A0">
        <w:t>of</w:t>
      </w:r>
      <w:r w:rsidRPr="00EC20A0">
        <w:rPr>
          <w:spacing w:val="-7"/>
        </w:rPr>
        <w:t xml:space="preserve"> </w:t>
      </w:r>
      <w:r w:rsidRPr="00EC20A0">
        <w:t>required</w:t>
      </w:r>
      <w:r w:rsidRPr="00EC20A0">
        <w:rPr>
          <w:spacing w:val="-7"/>
        </w:rPr>
        <w:t xml:space="preserve"> </w:t>
      </w:r>
      <w:r w:rsidRPr="00EC20A0">
        <w:t>supplementary information (AU-C 730.05c); and</w:t>
      </w:r>
    </w:p>
    <w:p w14:paraId="24D61CEB" w14:textId="77777777" w:rsidR="00245300" w:rsidRPr="00EC20A0" w:rsidRDefault="00F17249">
      <w:pPr>
        <w:pStyle w:val="ListParagraph"/>
        <w:numPr>
          <w:ilvl w:val="0"/>
          <w:numId w:val="71"/>
        </w:numPr>
        <w:tabs>
          <w:tab w:val="left" w:pos="1999"/>
        </w:tabs>
        <w:spacing w:before="239"/>
        <w:ind w:right="904"/>
      </w:pPr>
      <w:r w:rsidRPr="00EC20A0">
        <w:t>preparation</w:t>
      </w:r>
      <w:r w:rsidRPr="00EC20A0">
        <w:rPr>
          <w:spacing w:val="-6"/>
        </w:rPr>
        <w:t xml:space="preserve"> </w:t>
      </w:r>
      <w:r w:rsidRPr="00EC20A0">
        <w:t>and</w:t>
      </w:r>
      <w:r w:rsidRPr="00EC20A0">
        <w:rPr>
          <w:spacing w:val="-5"/>
        </w:rPr>
        <w:t xml:space="preserve"> </w:t>
      </w:r>
      <w:r w:rsidRPr="00EC20A0">
        <w:t>presentation</w:t>
      </w:r>
      <w:r w:rsidRPr="00EC20A0">
        <w:rPr>
          <w:spacing w:val="-5"/>
        </w:rPr>
        <w:t xml:space="preserve"> </w:t>
      </w:r>
      <w:r w:rsidRPr="00EC20A0">
        <w:t>of</w:t>
      </w:r>
      <w:r w:rsidRPr="00EC20A0">
        <w:rPr>
          <w:spacing w:val="-5"/>
        </w:rPr>
        <w:t xml:space="preserve"> </w:t>
      </w:r>
      <w:r w:rsidRPr="00EC20A0">
        <w:t>other</w:t>
      </w:r>
      <w:r w:rsidRPr="00EC20A0">
        <w:rPr>
          <w:spacing w:val="-5"/>
        </w:rPr>
        <w:t xml:space="preserve"> </w:t>
      </w:r>
      <w:r w:rsidRPr="00EC20A0">
        <w:t>information</w:t>
      </w:r>
      <w:r w:rsidRPr="00EC20A0">
        <w:rPr>
          <w:spacing w:val="-5"/>
        </w:rPr>
        <w:t xml:space="preserve"> </w:t>
      </w:r>
      <w:r w:rsidRPr="00EC20A0">
        <w:t>included</w:t>
      </w:r>
      <w:r w:rsidRPr="00EC20A0">
        <w:rPr>
          <w:spacing w:val="-4"/>
        </w:rPr>
        <w:t xml:space="preserve"> </w:t>
      </w:r>
      <w:r w:rsidRPr="00EC20A0">
        <w:t>in</w:t>
      </w:r>
      <w:r w:rsidRPr="00EC20A0">
        <w:rPr>
          <w:spacing w:val="-6"/>
        </w:rPr>
        <w:t xml:space="preserve"> </w:t>
      </w:r>
      <w:r w:rsidRPr="00EC20A0">
        <w:t>the</w:t>
      </w:r>
      <w:r w:rsidRPr="00EC20A0">
        <w:rPr>
          <w:spacing w:val="-5"/>
        </w:rPr>
        <w:t xml:space="preserve"> </w:t>
      </w:r>
      <w:r w:rsidRPr="00EC20A0">
        <w:t xml:space="preserve">entity’s </w:t>
      </w:r>
      <w:r w:rsidRPr="00EC20A0">
        <w:t>annual report.</w:t>
      </w:r>
    </w:p>
    <w:p w14:paraId="24D61CEC" w14:textId="77777777" w:rsidR="00245300" w:rsidRPr="00EC20A0" w:rsidRDefault="00F17249">
      <w:pPr>
        <w:pStyle w:val="BodyText"/>
        <w:spacing w:before="241"/>
        <w:ind w:left="1639" w:right="345"/>
      </w:pPr>
      <w:r w:rsidRPr="00EC20A0">
        <w:t>Common</w:t>
      </w:r>
      <w:r w:rsidRPr="00EC20A0">
        <w:rPr>
          <w:spacing w:val="-4"/>
        </w:rPr>
        <w:t xml:space="preserve"> </w:t>
      </w:r>
      <w:r w:rsidRPr="00EC20A0">
        <w:t>presentation</w:t>
      </w:r>
      <w:r w:rsidRPr="00EC20A0">
        <w:rPr>
          <w:spacing w:val="-4"/>
        </w:rPr>
        <w:t xml:space="preserve"> </w:t>
      </w:r>
      <w:r w:rsidRPr="00EC20A0">
        <w:t>and</w:t>
      </w:r>
      <w:r w:rsidRPr="00EC20A0">
        <w:rPr>
          <w:spacing w:val="-4"/>
        </w:rPr>
        <w:t xml:space="preserve"> </w:t>
      </w:r>
      <w:r w:rsidRPr="00EC20A0">
        <w:t>disclosure</w:t>
      </w:r>
      <w:r w:rsidRPr="00EC20A0">
        <w:rPr>
          <w:spacing w:val="-4"/>
        </w:rPr>
        <w:t xml:space="preserve"> </w:t>
      </w:r>
      <w:r w:rsidRPr="00EC20A0">
        <w:t>items</w:t>
      </w:r>
      <w:r w:rsidRPr="00EC20A0">
        <w:rPr>
          <w:spacing w:val="-4"/>
        </w:rPr>
        <w:t xml:space="preserve"> </w:t>
      </w:r>
      <w:r w:rsidRPr="00EC20A0">
        <w:t>are</w:t>
      </w:r>
      <w:r w:rsidRPr="00EC20A0">
        <w:rPr>
          <w:spacing w:val="-4"/>
        </w:rPr>
        <w:t xml:space="preserve"> </w:t>
      </w:r>
      <w:r w:rsidRPr="00EC20A0">
        <w:t>items</w:t>
      </w:r>
      <w:r w:rsidRPr="00EC20A0">
        <w:rPr>
          <w:spacing w:val="-4"/>
        </w:rPr>
        <w:t xml:space="preserve"> </w:t>
      </w:r>
      <w:r w:rsidRPr="00EC20A0">
        <w:t>1</w:t>
      </w:r>
      <w:r w:rsidRPr="00EC20A0">
        <w:rPr>
          <w:spacing w:val="-4"/>
        </w:rPr>
        <w:t xml:space="preserve"> </w:t>
      </w:r>
      <w:r w:rsidRPr="00EC20A0">
        <w:t>through</w:t>
      </w:r>
      <w:r w:rsidRPr="00EC20A0">
        <w:rPr>
          <w:spacing w:val="-4"/>
        </w:rPr>
        <w:t xml:space="preserve"> </w:t>
      </w:r>
      <w:r w:rsidRPr="00EC20A0">
        <w:t>17.</w:t>
      </w:r>
      <w:r w:rsidRPr="00EC20A0">
        <w:rPr>
          <w:spacing w:val="-4"/>
        </w:rPr>
        <w:t xml:space="preserve"> </w:t>
      </w:r>
      <w:r w:rsidRPr="00EC20A0">
        <w:t>If</w:t>
      </w:r>
      <w:r w:rsidRPr="00EC20A0">
        <w:rPr>
          <w:spacing w:val="-4"/>
        </w:rPr>
        <w:t xml:space="preserve"> </w:t>
      </w:r>
      <w:r w:rsidRPr="00EC20A0">
        <w:t>the</w:t>
      </w:r>
      <w:r w:rsidRPr="00EC20A0">
        <w:rPr>
          <w:spacing w:val="-5"/>
        </w:rPr>
        <w:t xml:space="preserve"> </w:t>
      </w:r>
      <w:r w:rsidRPr="00EC20A0">
        <w:t>auditor is engaged to report on whether supplementary information is fairly stated, in all material respects, in relation to the financial statements as a whole, the auditor should obtain management’s representation acknowledging its responsibility for supplementary</w:t>
      </w:r>
      <w:r w:rsidRPr="00EC20A0">
        <w:rPr>
          <w:spacing w:val="-5"/>
        </w:rPr>
        <w:t xml:space="preserve"> </w:t>
      </w:r>
      <w:r w:rsidRPr="00EC20A0">
        <w:t>information</w:t>
      </w:r>
      <w:r w:rsidRPr="00EC20A0">
        <w:rPr>
          <w:spacing w:val="-5"/>
        </w:rPr>
        <w:t xml:space="preserve"> </w:t>
      </w:r>
      <w:r w:rsidRPr="00EC20A0">
        <w:t>as</w:t>
      </w:r>
      <w:r w:rsidRPr="00EC20A0">
        <w:rPr>
          <w:spacing w:val="-5"/>
        </w:rPr>
        <w:t xml:space="preserve"> </w:t>
      </w:r>
      <w:r w:rsidRPr="00EC20A0">
        <w:t>required</w:t>
      </w:r>
      <w:r w:rsidRPr="00EC20A0">
        <w:rPr>
          <w:spacing w:val="-5"/>
        </w:rPr>
        <w:t xml:space="preserve"> </w:t>
      </w:r>
      <w:r w:rsidRPr="00EC20A0">
        <w:t>by</w:t>
      </w:r>
      <w:r w:rsidRPr="00EC20A0">
        <w:rPr>
          <w:spacing w:val="-5"/>
        </w:rPr>
        <w:t xml:space="preserve"> </w:t>
      </w:r>
      <w:r w:rsidRPr="00EC20A0">
        <w:t>AU-C</w:t>
      </w:r>
      <w:r w:rsidRPr="00EC20A0">
        <w:rPr>
          <w:spacing w:val="-6"/>
        </w:rPr>
        <w:t xml:space="preserve"> </w:t>
      </w:r>
      <w:r w:rsidRPr="00EC20A0">
        <w:t>725,</w:t>
      </w:r>
      <w:r w:rsidRPr="00EC20A0">
        <w:rPr>
          <w:spacing w:val="-5"/>
        </w:rPr>
        <w:t xml:space="preserve"> </w:t>
      </w:r>
      <w:r w:rsidRPr="00EC20A0">
        <w:rPr>
          <w:i/>
        </w:rPr>
        <w:t>Supplementary</w:t>
      </w:r>
      <w:r w:rsidRPr="00EC20A0">
        <w:rPr>
          <w:i/>
          <w:spacing w:val="-5"/>
        </w:rPr>
        <w:t xml:space="preserve"> </w:t>
      </w:r>
      <w:r w:rsidRPr="00EC20A0">
        <w:rPr>
          <w:i/>
        </w:rPr>
        <w:t>Information in Relation to the Financial Statements as a Whole</w:t>
      </w:r>
      <w:r w:rsidRPr="00EC20A0">
        <w:t>, and OMB audit guidance.</w:t>
      </w:r>
    </w:p>
    <w:p w14:paraId="24D61CED" w14:textId="77777777" w:rsidR="00245300" w:rsidRPr="00EC20A0" w:rsidRDefault="00245300">
      <w:pPr>
        <w:pStyle w:val="BodyText"/>
        <w:spacing w:before="47"/>
      </w:pPr>
    </w:p>
    <w:p w14:paraId="24D61CEE" w14:textId="77777777" w:rsidR="00245300" w:rsidRPr="00EC20A0" w:rsidRDefault="00F17249">
      <w:pPr>
        <w:pStyle w:val="Heading5"/>
        <w:spacing w:before="0"/>
        <w:ind w:right="345"/>
        <w:rPr>
          <w:u w:val="none"/>
        </w:rPr>
      </w:pPr>
      <w:bookmarkStart w:id="367" w:name="Representations_Relating_to_Information_"/>
      <w:bookmarkEnd w:id="367"/>
      <w:r w:rsidRPr="00EC20A0">
        <w:t>Representations</w:t>
      </w:r>
      <w:r w:rsidRPr="00EC20A0">
        <w:rPr>
          <w:spacing w:val="-6"/>
        </w:rPr>
        <w:t xml:space="preserve"> </w:t>
      </w:r>
      <w:r w:rsidRPr="00EC20A0">
        <w:t>Relating</w:t>
      </w:r>
      <w:r w:rsidRPr="00EC20A0">
        <w:rPr>
          <w:spacing w:val="-6"/>
        </w:rPr>
        <w:t xml:space="preserve"> </w:t>
      </w:r>
      <w:r w:rsidRPr="00EC20A0">
        <w:t>to</w:t>
      </w:r>
      <w:r w:rsidRPr="00EC20A0">
        <w:rPr>
          <w:spacing w:val="-7"/>
        </w:rPr>
        <w:t xml:space="preserve"> </w:t>
      </w:r>
      <w:r w:rsidRPr="00EC20A0">
        <w:t>Information</w:t>
      </w:r>
      <w:r w:rsidRPr="00EC20A0">
        <w:rPr>
          <w:spacing w:val="-7"/>
        </w:rPr>
        <w:t xml:space="preserve"> </w:t>
      </w:r>
      <w:r w:rsidRPr="00EC20A0">
        <w:t>Provided</w:t>
      </w:r>
      <w:r w:rsidRPr="00EC20A0">
        <w:rPr>
          <w:spacing w:val="-6"/>
        </w:rPr>
        <w:t xml:space="preserve"> </w:t>
      </w:r>
      <w:r w:rsidRPr="00EC20A0">
        <w:t>and</w:t>
      </w:r>
      <w:r w:rsidRPr="00EC20A0">
        <w:rPr>
          <w:spacing w:val="-6"/>
        </w:rPr>
        <w:t xml:space="preserve"> </w:t>
      </w:r>
      <w:r w:rsidRPr="00EC20A0">
        <w:t>Completeness</w:t>
      </w:r>
      <w:r w:rsidRPr="00EC20A0">
        <w:rPr>
          <w:spacing w:val="-6"/>
        </w:rPr>
        <w:t xml:space="preserve"> </w:t>
      </w:r>
      <w:r w:rsidRPr="00EC20A0">
        <w:t>of</w:t>
      </w:r>
      <w:r w:rsidRPr="00EC20A0">
        <w:rPr>
          <w:u w:val="none"/>
        </w:rPr>
        <w:t xml:space="preserve"> </w:t>
      </w:r>
      <w:r w:rsidRPr="00EC20A0">
        <w:rPr>
          <w:spacing w:val="-2"/>
        </w:rPr>
        <w:t>Transactions</w:t>
      </w:r>
    </w:p>
    <w:p w14:paraId="24D61CEF" w14:textId="77777777" w:rsidR="00245300" w:rsidRPr="00EC20A0" w:rsidRDefault="00245300">
      <w:pPr>
        <w:pStyle w:val="BodyText"/>
        <w:spacing w:before="47"/>
        <w:rPr>
          <w:b/>
        </w:rPr>
      </w:pPr>
    </w:p>
    <w:p w14:paraId="24D61CF0" w14:textId="77777777" w:rsidR="00245300" w:rsidRPr="00EC20A0" w:rsidRDefault="00F17249">
      <w:pPr>
        <w:pStyle w:val="ListParagraph"/>
        <w:numPr>
          <w:ilvl w:val="0"/>
          <w:numId w:val="70"/>
        </w:numPr>
        <w:tabs>
          <w:tab w:val="left" w:pos="1639"/>
        </w:tabs>
        <w:spacing w:before="0"/>
        <w:ind w:left="1639" w:hanging="719"/>
      </w:pPr>
      <w:r w:rsidRPr="00EC20A0">
        <w:t>Management’s</w:t>
      </w:r>
      <w:r w:rsidRPr="00EC20A0">
        <w:rPr>
          <w:spacing w:val="-14"/>
        </w:rPr>
        <w:t xml:space="preserve"> </w:t>
      </w:r>
      <w:r w:rsidRPr="00EC20A0">
        <w:t>representations</w:t>
      </w:r>
      <w:r w:rsidRPr="00EC20A0">
        <w:rPr>
          <w:spacing w:val="-14"/>
        </w:rPr>
        <w:t xml:space="preserve"> </w:t>
      </w:r>
      <w:r w:rsidRPr="00EC20A0">
        <w:t>should</w:t>
      </w:r>
      <w:r w:rsidRPr="00EC20A0">
        <w:rPr>
          <w:spacing w:val="-14"/>
        </w:rPr>
        <w:t xml:space="preserve"> </w:t>
      </w:r>
      <w:r w:rsidRPr="00EC20A0">
        <w:t>acknowledge</w:t>
      </w:r>
      <w:r w:rsidRPr="00EC20A0">
        <w:rPr>
          <w:spacing w:val="-14"/>
        </w:rPr>
        <w:t xml:space="preserve"> </w:t>
      </w:r>
      <w:r w:rsidRPr="00EC20A0">
        <w:rPr>
          <w:spacing w:val="-4"/>
        </w:rPr>
        <w:t>that</w:t>
      </w:r>
    </w:p>
    <w:p w14:paraId="24D61CF1" w14:textId="77777777" w:rsidR="00245300" w:rsidRPr="00EC20A0" w:rsidRDefault="00F17249">
      <w:pPr>
        <w:pStyle w:val="ListParagraph"/>
        <w:numPr>
          <w:ilvl w:val="1"/>
          <w:numId w:val="70"/>
        </w:numPr>
        <w:tabs>
          <w:tab w:val="left" w:pos="1999"/>
        </w:tabs>
        <w:ind w:left="1999" w:right="1039"/>
      </w:pPr>
      <w:r w:rsidRPr="00EC20A0">
        <w:t>management</w:t>
      </w:r>
      <w:r w:rsidRPr="00EC20A0">
        <w:rPr>
          <w:spacing w:val="-5"/>
        </w:rPr>
        <w:t xml:space="preserve"> </w:t>
      </w:r>
      <w:r w:rsidRPr="00EC20A0">
        <w:t>has</w:t>
      </w:r>
      <w:r w:rsidRPr="00EC20A0">
        <w:rPr>
          <w:spacing w:val="-5"/>
        </w:rPr>
        <w:t xml:space="preserve"> </w:t>
      </w:r>
      <w:r w:rsidRPr="00EC20A0">
        <w:t>provided</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with</w:t>
      </w:r>
      <w:r w:rsidRPr="00EC20A0">
        <w:rPr>
          <w:spacing w:val="-5"/>
        </w:rPr>
        <w:t xml:space="preserve"> </w:t>
      </w:r>
      <w:r w:rsidRPr="00EC20A0">
        <w:t>all</w:t>
      </w:r>
      <w:r w:rsidRPr="00EC20A0">
        <w:rPr>
          <w:spacing w:val="-5"/>
        </w:rPr>
        <w:t xml:space="preserve"> </w:t>
      </w:r>
      <w:r w:rsidRPr="00EC20A0">
        <w:t>relevant</w:t>
      </w:r>
      <w:r w:rsidRPr="00EC20A0">
        <w:rPr>
          <w:spacing w:val="-4"/>
        </w:rPr>
        <w:t xml:space="preserve"> </w:t>
      </w:r>
      <w:r w:rsidRPr="00EC20A0">
        <w:t>information</w:t>
      </w:r>
      <w:r w:rsidRPr="00EC20A0">
        <w:rPr>
          <w:spacing w:val="-5"/>
        </w:rPr>
        <w:t xml:space="preserve"> </w:t>
      </w:r>
      <w:r w:rsidRPr="00EC20A0">
        <w:t xml:space="preserve">and access, as agreed upon in the terms of the audit </w:t>
      </w:r>
      <w:r w:rsidRPr="00EC20A0">
        <w:t>engagement, and</w:t>
      </w:r>
    </w:p>
    <w:p w14:paraId="24D61CF2" w14:textId="77777777" w:rsidR="00245300" w:rsidRPr="00EC20A0" w:rsidRDefault="00F17249">
      <w:pPr>
        <w:pStyle w:val="ListParagraph"/>
        <w:numPr>
          <w:ilvl w:val="1"/>
          <w:numId w:val="70"/>
        </w:numPr>
        <w:tabs>
          <w:tab w:val="left" w:pos="1999"/>
        </w:tabs>
        <w:spacing w:before="239"/>
        <w:ind w:left="1999" w:right="1234"/>
      </w:pPr>
      <w:r w:rsidRPr="00EC20A0">
        <w:t>all</w:t>
      </w:r>
      <w:r w:rsidRPr="00EC20A0">
        <w:rPr>
          <w:spacing w:val="-4"/>
        </w:rPr>
        <w:t xml:space="preserve"> </w:t>
      </w:r>
      <w:r w:rsidRPr="00EC20A0">
        <w:t>transactions</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recorded</w:t>
      </w:r>
      <w:r w:rsidRPr="00EC20A0">
        <w:rPr>
          <w:spacing w:val="-5"/>
        </w:rPr>
        <w:t xml:space="preserve"> </w:t>
      </w:r>
      <w:r w:rsidRPr="00EC20A0">
        <w:t>and</w:t>
      </w:r>
      <w:r w:rsidRPr="00EC20A0">
        <w:rPr>
          <w:spacing w:val="-4"/>
        </w:rPr>
        <w:t xml:space="preserve"> </w:t>
      </w:r>
      <w:r w:rsidRPr="00EC20A0">
        <w:t>are</w:t>
      </w:r>
      <w:r w:rsidRPr="00EC20A0">
        <w:rPr>
          <w:spacing w:val="-4"/>
        </w:rPr>
        <w:t xml:space="preserve"> </w:t>
      </w:r>
      <w:r w:rsidRPr="00EC20A0">
        <w:t>reflected</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financial statements (AU-C 580.11).</w:t>
      </w:r>
    </w:p>
    <w:p w14:paraId="24D61CF3" w14:textId="77777777" w:rsidR="00245300" w:rsidRPr="00EC20A0" w:rsidRDefault="00F17249">
      <w:pPr>
        <w:pStyle w:val="BodyText"/>
        <w:spacing w:before="241"/>
        <w:ind w:left="1640"/>
      </w:pPr>
      <w:r w:rsidRPr="00EC20A0">
        <w:t>See</w:t>
      </w:r>
      <w:r w:rsidRPr="00EC20A0">
        <w:rPr>
          <w:spacing w:val="-6"/>
        </w:rPr>
        <w:t xml:space="preserve"> </w:t>
      </w:r>
      <w:r w:rsidRPr="00EC20A0">
        <w:t>example</w:t>
      </w:r>
      <w:r w:rsidRPr="00EC20A0">
        <w:rPr>
          <w:spacing w:val="-5"/>
        </w:rPr>
        <w:t xml:space="preserve"> </w:t>
      </w:r>
      <w:r w:rsidRPr="00EC20A0">
        <w:t>items</w:t>
      </w:r>
      <w:r w:rsidRPr="00EC20A0">
        <w:rPr>
          <w:spacing w:val="-5"/>
        </w:rPr>
        <w:t xml:space="preserve"> </w:t>
      </w:r>
      <w:r w:rsidRPr="00EC20A0">
        <w:t>5</w:t>
      </w:r>
      <w:r w:rsidRPr="00EC20A0">
        <w:rPr>
          <w:spacing w:val="-5"/>
        </w:rPr>
        <w:t xml:space="preserve"> </w:t>
      </w:r>
      <w:r w:rsidRPr="00EC20A0">
        <w:t>and</w:t>
      </w:r>
      <w:r w:rsidRPr="00EC20A0">
        <w:rPr>
          <w:spacing w:val="-5"/>
        </w:rPr>
        <w:t xml:space="preserve"> 7.</w:t>
      </w:r>
    </w:p>
    <w:p w14:paraId="24D61CF4" w14:textId="77777777" w:rsidR="00245300" w:rsidRPr="00EC20A0" w:rsidRDefault="00245300">
      <w:pPr>
        <w:pStyle w:val="BodyText"/>
        <w:spacing w:before="47"/>
      </w:pPr>
    </w:p>
    <w:p w14:paraId="24D61CF5" w14:textId="77777777" w:rsidR="00245300" w:rsidRPr="00EC20A0" w:rsidRDefault="00F17249">
      <w:pPr>
        <w:pStyle w:val="Heading5"/>
        <w:spacing w:before="1"/>
        <w:rPr>
          <w:u w:val="none"/>
        </w:rPr>
      </w:pPr>
      <w:bookmarkStart w:id="368" w:name="Representations_Relating_to_Internal_Con"/>
      <w:bookmarkEnd w:id="368"/>
      <w:r w:rsidRPr="00EC20A0">
        <w:t>Representations</w:t>
      </w:r>
      <w:r w:rsidRPr="00EC20A0">
        <w:rPr>
          <w:spacing w:val="-7"/>
        </w:rPr>
        <w:t xml:space="preserve"> </w:t>
      </w:r>
      <w:r w:rsidRPr="00EC20A0">
        <w:t>Relating</w:t>
      </w:r>
      <w:r w:rsidRPr="00EC20A0">
        <w:rPr>
          <w:spacing w:val="-4"/>
        </w:rPr>
        <w:t xml:space="preserve"> </w:t>
      </w:r>
      <w:r w:rsidRPr="00EC20A0">
        <w:t>to</w:t>
      </w:r>
      <w:r w:rsidRPr="00EC20A0">
        <w:rPr>
          <w:spacing w:val="-6"/>
        </w:rPr>
        <w:t xml:space="preserve"> </w:t>
      </w:r>
      <w:r w:rsidRPr="00EC20A0">
        <w:t>Internal</w:t>
      </w:r>
      <w:r w:rsidRPr="00EC20A0">
        <w:rPr>
          <w:spacing w:val="-3"/>
        </w:rPr>
        <w:t xml:space="preserve"> </w:t>
      </w:r>
      <w:r w:rsidRPr="00EC20A0">
        <w:rPr>
          <w:spacing w:val="-2"/>
        </w:rPr>
        <w:t>Control</w:t>
      </w:r>
    </w:p>
    <w:p w14:paraId="24D61CF6" w14:textId="77777777" w:rsidR="00245300" w:rsidRPr="00EC20A0" w:rsidRDefault="00245300">
      <w:pPr>
        <w:pStyle w:val="BodyText"/>
        <w:spacing w:before="46"/>
        <w:rPr>
          <w:b/>
        </w:rPr>
      </w:pPr>
    </w:p>
    <w:p w14:paraId="24D61CF7" w14:textId="77777777" w:rsidR="00245300" w:rsidRPr="00EC20A0" w:rsidRDefault="00F17249">
      <w:pPr>
        <w:pStyle w:val="ListParagraph"/>
        <w:numPr>
          <w:ilvl w:val="0"/>
          <w:numId w:val="70"/>
        </w:numPr>
        <w:tabs>
          <w:tab w:val="left" w:pos="1639"/>
        </w:tabs>
        <w:spacing w:before="0"/>
        <w:ind w:left="1639" w:right="651" w:hanging="720"/>
      </w:pPr>
      <w:r w:rsidRPr="00EC20A0">
        <w:t>Internal</w:t>
      </w:r>
      <w:r w:rsidRPr="00EC20A0">
        <w:rPr>
          <w:spacing w:val="-4"/>
        </w:rPr>
        <w:t xml:space="preserve"> </w:t>
      </w:r>
      <w:r w:rsidRPr="00EC20A0">
        <w:t>control</w:t>
      </w:r>
      <w:r w:rsidRPr="00EC20A0">
        <w:rPr>
          <w:spacing w:val="-4"/>
        </w:rPr>
        <w:t xml:space="preserve"> </w:t>
      </w:r>
      <w:r w:rsidRPr="00EC20A0">
        <w:t>representations</w:t>
      </w:r>
      <w:r w:rsidRPr="00EC20A0">
        <w:rPr>
          <w:spacing w:val="-4"/>
        </w:rPr>
        <w:t xml:space="preserve"> </w:t>
      </w:r>
      <w:r w:rsidRPr="00EC20A0">
        <w:t>are</w:t>
      </w:r>
      <w:r w:rsidRPr="00EC20A0">
        <w:rPr>
          <w:spacing w:val="-4"/>
        </w:rPr>
        <w:t xml:space="preserve"> </w:t>
      </w:r>
      <w:r w:rsidRPr="00EC20A0">
        <w:t>found</w:t>
      </w:r>
      <w:r w:rsidRPr="00EC20A0">
        <w:rPr>
          <w:spacing w:val="-4"/>
        </w:rPr>
        <w:t xml:space="preserve"> </w:t>
      </w:r>
      <w:r w:rsidRPr="00EC20A0">
        <w:t>in</w:t>
      </w:r>
      <w:r w:rsidRPr="00EC20A0">
        <w:rPr>
          <w:spacing w:val="-4"/>
        </w:rPr>
        <w:t xml:space="preserve"> </w:t>
      </w:r>
      <w:r w:rsidRPr="00EC20A0">
        <w:t>AU-C</w:t>
      </w:r>
      <w:r w:rsidRPr="00EC20A0">
        <w:rPr>
          <w:spacing w:val="-5"/>
        </w:rPr>
        <w:t xml:space="preserve"> </w:t>
      </w:r>
      <w:r w:rsidRPr="00EC20A0">
        <w:t>580.10b</w:t>
      </w:r>
      <w:r w:rsidRPr="00EC20A0">
        <w:rPr>
          <w:spacing w:val="-4"/>
        </w:rPr>
        <w:t xml:space="preserve"> </w:t>
      </w:r>
      <w:r w:rsidRPr="00EC20A0">
        <w:t>and</w:t>
      </w:r>
      <w:r w:rsidRPr="00EC20A0">
        <w:rPr>
          <w:spacing w:val="-4"/>
        </w:rPr>
        <w:t xml:space="preserve"> </w:t>
      </w:r>
      <w:r w:rsidRPr="00EC20A0">
        <w:t>940.57.</w:t>
      </w:r>
      <w:r w:rsidRPr="00EC20A0">
        <w:rPr>
          <w:spacing w:val="-5"/>
        </w:rPr>
        <w:t xml:space="preserve"> </w:t>
      </w:r>
      <w:r w:rsidRPr="00EC20A0">
        <w:t>These representations, examples for which are provided in FAM 1001 A, items 19 through 29, relate to management</w:t>
      </w:r>
    </w:p>
    <w:p w14:paraId="24D61CF8" w14:textId="77777777" w:rsidR="00245300" w:rsidRPr="00EC20A0" w:rsidRDefault="00245300">
      <w:pPr>
        <w:sectPr w:rsidR="00245300" w:rsidRPr="00EC20A0">
          <w:pgSz w:w="12240" w:h="15840"/>
          <w:pgMar w:top="1340" w:right="1100" w:bottom="940" w:left="1240" w:header="721" w:footer="757" w:gutter="0"/>
          <w:cols w:space="720"/>
        </w:sectPr>
      </w:pPr>
    </w:p>
    <w:p w14:paraId="24D61CF9" w14:textId="77777777" w:rsidR="00245300" w:rsidRPr="00EC20A0" w:rsidRDefault="00F17249">
      <w:pPr>
        <w:pStyle w:val="ListParagraph"/>
        <w:numPr>
          <w:ilvl w:val="1"/>
          <w:numId w:val="70"/>
        </w:numPr>
        <w:tabs>
          <w:tab w:val="left" w:pos="1999"/>
        </w:tabs>
        <w:spacing w:before="121"/>
        <w:ind w:left="1999" w:right="401"/>
      </w:pPr>
      <w:r w:rsidRPr="00EC20A0">
        <w:t>acknowledging</w:t>
      </w:r>
      <w:r w:rsidRPr="00EC20A0">
        <w:rPr>
          <w:spacing w:val="-6"/>
        </w:rPr>
        <w:t xml:space="preserve"> </w:t>
      </w:r>
      <w:r w:rsidRPr="00EC20A0">
        <w:t>its</w:t>
      </w:r>
      <w:r w:rsidRPr="00EC20A0">
        <w:rPr>
          <w:spacing w:val="-6"/>
        </w:rPr>
        <w:t xml:space="preserve"> </w:t>
      </w:r>
      <w:r w:rsidRPr="00EC20A0">
        <w:t>responsibility</w:t>
      </w:r>
      <w:r w:rsidRPr="00EC20A0">
        <w:rPr>
          <w:spacing w:val="-6"/>
        </w:rPr>
        <w:t xml:space="preserve"> </w:t>
      </w:r>
      <w:r w:rsidRPr="00EC20A0">
        <w:t>for</w:t>
      </w:r>
      <w:r w:rsidRPr="00EC20A0">
        <w:rPr>
          <w:spacing w:val="-6"/>
        </w:rPr>
        <w:t xml:space="preserve"> </w:t>
      </w:r>
      <w:r w:rsidRPr="00EC20A0">
        <w:t>designing,</w:t>
      </w:r>
      <w:r w:rsidRPr="00EC20A0">
        <w:rPr>
          <w:spacing w:val="-6"/>
        </w:rPr>
        <w:t xml:space="preserve"> </w:t>
      </w:r>
      <w:r w:rsidRPr="00EC20A0">
        <w:t>implementing,</w:t>
      </w:r>
      <w:r w:rsidRPr="00EC20A0">
        <w:rPr>
          <w:spacing w:val="-6"/>
        </w:rPr>
        <w:t xml:space="preserve"> </w:t>
      </w:r>
      <w:r w:rsidRPr="00EC20A0">
        <w:t>and</w:t>
      </w:r>
      <w:r w:rsidRPr="00EC20A0">
        <w:rPr>
          <w:spacing w:val="-6"/>
        </w:rPr>
        <w:t xml:space="preserve"> </w:t>
      </w:r>
      <w:r w:rsidRPr="00EC20A0">
        <w:t>maintaining effective internal control over financial reporting relevant to the preparation and fair presentation of financial statements that are free from material misstatement, whether due to fraud or error (item 19);</w:t>
      </w:r>
    </w:p>
    <w:p w14:paraId="24D61CFA" w14:textId="77777777" w:rsidR="00245300" w:rsidRPr="00EC20A0" w:rsidRDefault="00F17249">
      <w:pPr>
        <w:pStyle w:val="ListParagraph"/>
        <w:numPr>
          <w:ilvl w:val="1"/>
          <w:numId w:val="70"/>
        </w:numPr>
        <w:tabs>
          <w:tab w:val="left" w:pos="1997"/>
          <w:tab w:val="left" w:pos="1999"/>
        </w:tabs>
        <w:ind w:left="1999" w:right="498" w:hanging="361"/>
      </w:pPr>
      <w:r w:rsidRPr="00EC20A0">
        <w:t>stating</w:t>
      </w:r>
      <w:r w:rsidRPr="00EC20A0">
        <w:rPr>
          <w:spacing w:val="-4"/>
        </w:rPr>
        <w:t xml:space="preserve"> </w:t>
      </w:r>
      <w:r w:rsidRPr="00EC20A0">
        <w:t>that</w:t>
      </w:r>
      <w:r w:rsidRPr="00EC20A0">
        <w:rPr>
          <w:spacing w:val="-5"/>
        </w:rPr>
        <w:t xml:space="preserve"> </w:t>
      </w:r>
      <w:r w:rsidRPr="00EC20A0">
        <w:t>management</w:t>
      </w:r>
      <w:r w:rsidRPr="00EC20A0">
        <w:rPr>
          <w:spacing w:val="-4"/>
        </w:rPr>
        <w:t xml:space="preserve"> </w:t>
      </w:r>
      <w:r w:rsidRPr="00EC20A0">
        <w:t>has</w:t>
      </w:r>
      <w:r w:rsidRPr="00EC20A0">
        <w:rPr>
          <w:spacing w:val="-4"/>
        </w:rPr>
        <w:t xml:space="preserve"> </w:t>
      </w:r>
      <w:r w:rsidRPr="00EC20A0">
        <w:t>performed</w:t>
      </w:r>
      <w:r w:rsidRPr="00EC20A0">
        <w:rPr>
          <w:spacing w:val="-4"/>
        </w:rPr>
        <w:t xml:space="preserve"> </w:t>
      </w:r>
      <w:r w:rsidRPr="00EC20A0">
        <w:t>an</w:t>
      </w:r>
      <w:r w:rsidRPr="00EC20A0">
        <w:rPr>
          <w:spacing w:val="-4"/>
        </w:rPr>
        <w:t xml:space="preserve"> </w:t>
      </w:r>
      <w:r w:rsidRPr="00EC20A0">
        <w:t>assessment</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 xml:space="preserve">effectiveness of the entity’s internal control over financial reporting and specifying the control criteria (item 21) (optional if the auditor is not opining on internal </w:t>
      </w:r>
      <w:r w:rsidRPr="00EC20A0">
        <w:rPr>
          <w:spacing w:val="-2"/>
        </w:rPr>
        <w:t>control);</w:t>
      </w:r>
    </w:p>
    <w:p w14:paraId="24D61CFB" w14:textId="77777777" w:rsidR="00245300" w:rsidRPr="00EC20A0" w:rsidRDefault="00F17249">
      <w:pPr>
        <w:pStyle w:val="ListParagraph"/>
        <w:numPr>
          <w:ilvl w:val="1"/>
          <w:numId w:val="70"/>
        </w:numPr>
        <w:tabs>
          <w:tab w:val="left" w:pos="1999"/>
        </w:tabs>
        <w:spacing w:before="239"/>
        <w:ind w:left="1999" w:right="657"/>
      </w:pPr>
      <w:r w:rsidRPr="00EC20A0">
        <w:t>stating that management did not use the auditor’s procedures performed during</w:t>
      </w:r>
      <w:r w:rsidRPr="00EC20A0">
        <w:rPr>
          <w:spacing w:val="-3"/>
        </w:rPr>
        <w:t xml:space="preserve"> </w:t>
      </w:r>
      <w:r w:rsidRPr="00EC20A0">
        <w:t>the</w:t>
      </w:r>
      <w:r w:rsidRPr="00EC20A0">
        <w:rPr>
          <w:spacing w:val="-3"/>
        </w:rPr>
        <w:t xml:space="preserve"> </w:t>
      </w:r>
      <w:r w:rsidRPr="00EC20A0">
        <w:t>integrated</w:t>
      </w:r>
      <w:r w:rsidRPr="00EC20A0">
        <w:rPr>
          <w:spacing w:val="-3"/>
        </w:rPr>
        <w:t xml:space="preserve"> </w:t>
      </w:r>
      <w:r w:rsidRPr="00EC20A0">
        <w:t>audit</w:t>
      </w:r>
      <w:r w:rsidRPr="00EC20A0">
        <w:rPr>
          <w:spacing w:val="-3"/>
        </w:rPr>
        <w:t xml:space="preserve"> </w:t>
      </w:r>
      <w:r w:rsidRPr="00EC20A0">
        <w:t>as</w:t>
      </w:r>
      <w:r w:rsidRPr="00EC20A0">
        <w:rPr>
          <w:spacing w:val="-3"/>
        </w:rPr>
        <w:t xml:space="preserve"> </w:t>
      </w:r>
      <w:r w:rsidRPr="00EC20A0">
        <w:t>part</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basis</w:t>
      </w:r>
      <w:r w:rsidRPr="00EC20A0">
        <w:rPr>
          <w:spacing w:val="-3"/>
        </w:rPr>
        <w:t xml:space="preserve"> </w:t>
      </w:r>
      <w:r w:rsidRPr="00EC20A0">
        <w:t>for</w:t>
      </w:r>
      <w:r w:rsidRPr="00EC20A0">
        <w:rPr>
          <w:spacing w:val="-3"/>
        </w:rPr>
        <w:t xml:space="preserve"> </w:t>
      </w:r>
      <w:r w:rsidRPr="00EC20A0">
        <w:t>its</w:t>
      </w:r>
      <w:r w:rsidRPr="00EC20A0">
        <w:rPr>
          <w:spacing w:val="-3"/>
        </w:rPr>
        <w:t xml:space="preserve"> </w:t>
      </w:r>
      <w:r w:rsidRPr="00EC20A0">
        <w:t>assessment</w:t>
      </w:r>
      <w:r w:rsidRPr="00EC20A0">
        <w:rPr>
          <w:spacing w:val="-3"/>
        </w:rPr>
        <w:t xml:space="preserve"> </w:t>
      </w:r>
      <w:r w:rsidRPr="00EC20A0">
        <w:t>(item</w:t>
      </w:r>
      <w:r w:rsidRPr="00EC20A0">
        <w:rPr>
          <w:spacing w:val="-4"/>
        </w:rPr>
        <w:t xml:space="preserve"> </w:t>
      </w:r>
      <w:r w:rsidRPr="00EC20A0">
        <w:t>23) (not applicable if the auditor is not opining on internal control);</w:t>
      </w:r>
    </w:p>
    <w:p w14:paraId="24D61CFC" w14:textId="77777777" w:rsidR="00245300" w:rsidRPr="00EC20A0" w:rsidRDefault="00F17249">
      <w:pPr>
        <w:pStyle w:val="ListParagraph"/>
        <w:numPr>
          <w:ilvl w:val="1"/>
          <w:numId w:val="70"/>
        </w:numPr>
        <w:tabs>
          <w:tab w:val="left" w:pos="1999"/>
        </w:tabs>
        <w:spacing w:before="241"/>
        <w:ind w:left="1999" w:right="550"/>
        <w:jc w:val="both"/>
      </w:pPr>
      <w:r w:rsidRPr="00EC20A0">
        <w:t>stating</w:t>
      </w:r>
      <w:r w:rsidRPr="00EC20A0">
        <w:rPr>
          <w:spacing w:val="-4"/>
        </w:rPr>
        <w:t xml:space="preserve"> </w:t>
      </w:r>
      <w:r w:rsidRPr="00EC20A0">
        <w:t>its</w:t>
      </w:r>
      <w:r w:rsidRPr="00EC20A0">
        <w:rPr>
          <w:spacing w:val="-4"/>
        </w:rPr>
        <w:t xml:space="preserve"> </w:t>
      </w:r>
      <w:r w:rsidRPr="00EC20A0">
        <w:t>assessment</w:t>
      </w:r>
      <w:r w:rsidRPr="00EC20A0">
        <w:rPr>
          <w:spacing w:val="-4"/>
        </w:rPr>
        <w:t xml:space="preserve"> </w:t>
      </w:r>
      <w:r w:rsidRPr="00EC20A0">
        <w:t>about</w:t>
      </w:r>
      <w:r w:rsidRPr="00EC20A0">
        <w:rPr>
          <w:spacing w:val="-4"/>
        </w:rPr>
        <w:t xml:space="preserve"> </w:t>
      </w:r>
      <w:r w:rsidRPr="00EC20A0">
        <w:t>the</w:t>
      </w:r>
      <w:r w:rsidRPr="00EC20A0">
        <w:rPr>
          <w:spacing w:val="-4"/>
        </w:rPr>
        <w:t xml:space="preserve"> </w:t>
      </w:r>
      <w:r w:rsidRPr="00EC20A0">
        <w:t>effectiveness</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entity’s</w:t>
      </w:r>
      <w:r w:rsidRPr="00EC20A0">
        <w:rPr>
          <w:spacing w:val="-4"/>
        </w:rPr>
        <w:t xml:space="preserve"> </w:t>
      </w:r>
      <w:r w:rsidRPr="00EC20A0">
        <w:t>internal</w:t>
      </w:r>
      <w:r w:rsidRPr="00EC20A0">
        <w:rPr>
          <w:spacing w:val="-4"/>
        </w:rPr>
        <w:t xml:space="preserve"> </w:t>
      </w:r>
      <w:r w:rsidRPr="00EC20A0">
        <w:t>control over</w:t>
      </w:r>
      <w:r w:rsidRPr="00EC20A0">
        <w:rPr>
          <w:spacing w:val="-3"/>
        </w:rPr>
        <w:t xml:space="preserve"> </w:t>
      </w:r>
      <w:r w:rsidRPr="00EC20A0">
        <w:t>financial</w:t>
      </w:r>
      <w:r w:rsidRPr="00EC20A0">
        <w:rPr>
          <w:spacing w:val="-3"/>
        </w:rPr>
        <w:t xml:space="preserve"> </w:t>
      </w:r>
      <w:r w:rsidRPr="00EC20A0">
        <w:t>reporting</w:t>
      </w:r>
      <w:r w:rsidRPr="00EC20A0">
        <w:rPr>
          <w:spacing w:val="-4"/>
        </w:rPr>
        <w:t xml:space="preserve"> </w:t>
      </w:r>
      <w:r w:rsidRPr="00EC20A0">
        <w:t>based</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criteria</w:t>
      </w:r>
      <w:r w:rsidRPr="00EC20A0">
        <w:rPr>
          <w:spacing w:val="-3"/>
        </w:rPr>
        <w:t xml:space="preserve"> </w:t>
      </w:r>
      <w:r w:rsidRPr="00EC20A0">
        <w:t>as</w:t>
      </w:r>
      <w:r w:rsidRPr="00EC20A0">
        <w:rPr>
          <w:spacing w:val="-5"/>
        </w:rPr>
        <w:t xml:space="preserve"> </w:t>
      </w:r>
      <w:r w:rsidRPr="00EC20A0">
        <w:t>of</w:t>
      </w:r>
      <w:r w:rsidRPr="00EC20A0">
        <w:rPr>
          <w:spacing w:val="-3"/>
        </w:rPr>
        <w:t xml:space="preserve"> </w:t>
      </w:r>
      <w:r w:rsidRPr="00EC20A0">
        <w:t>a</w:t>
      </w:r>
      <w:r w:rsidRPr="00EC20A0">
        <w:rPr>
          <w:spacing w:val="-3"/>
        </w:rPr>
        <w:t xml:space="preserve"> </w:t>
      </w:r>
      <w:r w:rsidRPr="00EC20A0">
        <w:t>specified</w:t>
      </w:r>
      <w:r w:rsidRPr="00EC20A0">
        <w:rPr>
          <w:spacing w:val="-3"/>
        </w:rPr>
        <w:t xml:space="preserve"> </w:t>
      </w:r>
      <w:r w:rsidRPr="00EC20A0">
        <w:t>date</w:t>
      </w:r>
      <w:r w:rsidRPr="00EC20A0">
        <w:rPr>
          <w:spacing w:val="-3"/>
        </w:rPr>
        <w:t xml:space="preserve"> </w:t>
      </w:r>
      <w:r w:rsidRPr="00EC20A0">
        <w:t>(item</w:t>
      </w:r>
      <w:r w:rsidRPr="00EC20A0">
        <w:rPr>
          <w:spacing w:val="-4"/>
        </w:rPr>
        <w:t xml:space="preserve"> </w:t>
      </w:r>
      <w:r w:rsidRPr="00EC20A0">
        <w:t>24) (optional if the auditor is not opining on internal control);</w:t>
      </w:r>
    </w:p>
    <w:p w14:paraId="24D61CFD" w14:textId="77777777" w:rsidR="00245300" w:rsidRPr="00EC20A0" w:rsidRDefault="00F17249">
      <w:pPr>
        <w:pStyle w:val="ListParagraph"/>
        <w:numPr>
          <w:ilvl w:val="1"/>
          <w:numId w:val="70"/>
        </w:numPr>
        <w:tabs>
          <w:tab w:val="left" w:pos="1999"/>
        </w:tabs>
        <w:spacing w:before="239"/>
        <w:ind w:left="1999" w:right="474"/>
      </w:pPr>
      <w:r w:rsidRPr="00EC20A0">
        <w:t>stating that management has disclosed to the auditor all deficiencies in the design or operation of internal control over financial reporting, including separately</w:t>
      </w:r>
      <w:r w:rsidRPr="00EC20A0">
        <w:rPr>
          <w:spacing w:val="-3"/>
        </w:rPr>
        <w:t xml:space="preserve"> </w:t>
      </w:r>
      <w:r w:rsidRPr="00EC20A0">
        <w:t>disclosing</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all</w:t>
      </w:r>
      <w:r w:rsidRPr="00EC20A0">
        <w:rPr>
          <w:spacing w:val="-3"/>
        </w:rPr>
        <w:t xml:space="preserve"> </w:t>
      </w:r>
      <w:r w:rsidRPr="00EC20A0">
        <w:t>such</w:t>
      </w:r>
      <w:r w:rsidRPr="00EC20A0">
        <w:rPr>
          <w:spacing w:val="-3"/>
        </w:rPr>
        <w:t xml:space="preserve"> </w:t>
      </w:r>
      <w:r w:rsidRPr="00EC20A0">
        <w:t>deficiencies</w:t>
      </w:r>
      <w:r w:rsidRPr="00EC20A0">
        <w:rPr>
          <w:spacing w:val="-3"/>
        </w:rPr>
        <w:t xml:space="preserve"> </w:t>
      </w:r>
      <w:r w:rsidRPr="00EC20A0">
        <w:t>that</w:t>
      </w:r>
      <w:r w:rsidRPr="00EC20A0">
        <w:rPr>
          <w:spacing w:val="-4"/>
        </w:rPr>
        <w:t xml:space="preserve"> </w:t>
      </w:r>
      <w:r w:rsidRPr="00EC20A0">
        <w:t>it</w:t>
      </w:r>
      <w:r w:rsidRPr="00EC20A0">
        <w:rPr>
          <w:spacing w:val="-3"/>
        </w:rPr>
        <w:t xml:space="preserve"> </w:t>
      </w:r>
      <w:r w:rsidRPr="00EC20A0">
        <w:t>believes</w:t>
      </w:r>
      <w:r w:rsidRPr="00EC20A0">
        <w:rPr>
          <w:spacing w:val="-3"/>
        </w:rPr>
        <w:t xml:space="preserve"> </w:t>
      </w:r>
      <w:r w:rsidRPr="00EC20A0">
        <w:t>to</w:t>
      </w:r>
      <w:r w:rsidRPr="00EC20A0">
        <w:rPr>
          <w:spacing w:val="-4"/>
        </w:rPr>
        <w:t xml:space="preserve"> </w:t>
      </w:r>
      <w:r w:rsidRPr="00EC20A0">
        <w:t xml:space="preserve">be significant deficiencies or material weaknesses in internal control over financial reporting (item 25) (optional if the auditor is not opining on internal </w:t>
      </w:r>
      <w:r w:rsidRPr="00EC20A0">
        <w:rPr>
          <w:spacing w:val="-2"/>
        </w:rPr>
        <w:t>control);</w:t>
      </w:r>
    </w:p>
    <w:p w14:paraId="24D61CFE" w14:textId="77777777" w:rsidR="00245300" w:rsidRPr="00EC20A0" w:rsidRDefault="00F17249">
      <w:pPr>
        <w:pStyle w:val="ListParagraph"/>
        <w:numPr>
          <w:ilvl w:val="1"/>
          <w:numId w:val="70"/>
        </w:numPr>
        <w:tabs>
          <w:tab w:val="left" w:pos="1999"/>
        </w:tabs>
        <w:spacing w:before="241"/>
        <w:ind w:left="1999" w:right="1174"/>
      </w:pPr>
      <w:r w:rsidRPr="00EC20A0">
        <w:t>stating whether the significant deficiencies and material weaknesses identified</w:t>
      </w:r>
      <w:r w:rsidRPr="00EC20A0">
        <w:rPr>
          <w:spacing w:val="-5"/>
        </w:rPr>
        <w:t xml:space="preserve"> </w:t>
      </w:r>
      <w:r w:rsidRPr="00EC20A0">
        <w:t>and</w:t>
      </w:r>
      <w:r w:rsidRPr="00EC20A0">
        <w:rPr>
          <w:spacing w:val="-5"/>
        </w:rPr>
        <w:t xml:space="preserve"> </w:t>
      </w:r>
      <w:r w:rsidRPr="00EC20A0">
        <w:t>communicated</w:t>
      </w:r>
      <w:r w:rsidRPr="00EC20A0">
        <w:rPr>
          <w:spacing w:val="-5"/>
        </w:rPr>
        <w:t xml:space="preserve"> </w:t>
      </w:r>
      <w:r w:rsidRPr="00EC20A0">
        <w:t>to</w:t>
      </w:r>
      <w:r w:rsidRPr="00EC20A0">
        <w:rPr>
          <w:spacing w:val="-5"/>
        </w:rPr>
        <w:t xml:space="preserve"> </w:t>
      </w:r>
      <w:r w:rsidRPr="00EC20A0">
        <w:t>management</w:t>
      </w:r>
      <w:r w:rsidRPr="00EC20A0">
        <w:rPr>
          <w:spacing w:val="-5"/>
        </w:rPr>
        <w:t xml:space="preserve"> </w:t>
      </w:r>
      <w:r w:rsidRPr="00EC20A0">
        <w:t>and</w:t>
      </w:r>
      <w:r w:rsidRPr="00EC20A0">
        <w:rPr>
          <w:spacing w:val="-5"/>
        </w:rPr>
        <w:t xml:space="preserve"> </w:t>
      </w:r>
      <w:r w:rsidRPr="00EC20A0">
        <w:t>those</w:t>
      </w:r>
      <w:r w:rsidRPr="00EC20A0">
        <w:rPr>
          <w:spacing w:val="-5"/>
        </w:rPr>
        <w:t xml:space="preserve"> </w:t>
      </w:r>
      <w:r w:rsidRPr="00EC20A0">
        <w:t>charged</w:t>
      </w:r>
      <w:r w:rsidRPr="00EC20A0">
        <w:rPr>
          <w:spacing w:val="-5"/>
        </w:rPr>
        <w:t xml:space="preserve"> </w:t>
      </w:r>
      <w:r w:rsidRPr="00EC20A0">
        <w:t>with governance during previous engagements have been resolved and specifically identifying any that have not (item 27); and</w:t>
      </w:r>
    </w:p>
    <w:p w14:paraId="24D61CFF" w14:textId="77777777" w:rsidR="00245300" w:rsidRPr="00EC20A0" w:rsidRDefault="00F17249">
      <w:pPr>
        <w:pStyle w:val="ListParagraph"/>
        <w:numPr>
          <w:ilvl w:val="1"/>
          <w:numId w:val="70"/>
        </w:numPr>
        <w:tabs>
          <w:tab w:val="left" w:pos="1999"/>
        </w:tabs>
        <w:spacing w:before="239"/>
        <w:ind w:left="1999" w:right="366"/>
      </w:pPr>
      <w:r w:rsidRPr="00EC20A0">
        <w:t>stating whether there were, subsequent to the date being reported on, any changes in internal control over financial reporting or other conditions that might</w:t>
      </w:r>
      <w:r w:rsidRPr="00EC20A0">
        <w:rPr>
          <w:spacing w:val="-5"/>
        </w:rPr>
        <w:t xml:space="preserve"> </w:t>
      </w:r>
      <w:r w:rsidRPr="00EC20A0">
        <w:t>significantly</w:t>
      </w:r>
      <w:r w:rsidRPr="00EC20A0">
        <w:rPr>
          <w:spacing w:val="-5"/>
        </w:rPr>
        <w:t xml:space="preserve"> </w:t>
      </w:r>
      <w:r w:rsidRPr="00EC20A0">
        <w:t>affect</w:t>
      </w:r>
      <w:r w:rsidRPr="00EC20A0">
        <w:rPr>
          <w:spacing w:val="-6"/>
        </w:rPr>
        <w:t xml:space="preserve"> </w:t>
      </w:r>
      <w:r w:rsidRPr="00EC20A0">
        <w:t>internal</w:t>
      </w:r>
      <w:r w:rsidRPr="00EC20A0">
        <w:rPr>
          <w:spacing w:val="-5"/>
        </w:rPr>
        <w:t xml:space="preserve"> </w:t>
      </w:r>
      <w:r w:rsidRPr="00EC20A0">
        <w:t>control</w:t>
      </w:r>
      <w:r w:rsidRPr="00EC20A0">
        <w:rPr>
          <w:spacing w:val="-4"/>
        </w:rPr>
        <w:t xml:space="preserve"> </w:t>
      </w:r>
      <w:r w:rsidRPr="00EC20A0">
        <w:t>over</w:t>
      </w:r>
      <w:r w:rsidRPr="00EC20A0">
        <w:rPr>
          <w:spacing w:val="-5"/>
        </w:rPr>
        <w:t xml:space="preserve"> </w:t>
      </w:r>
      <w:r w:rsidRPr="00EC20A0">
        <w:t>financial</w:t>
      </w:r>
      <w:r w:rsidRPr="00EC20A0">
        <w:rPr>
          <w:spacing w:val="-5"/>
        </w:rPr>
        <w:t xml:space="preserve"> </w:t>
      </w:r>
      <w:r w:rsidRPr="00EC20A0">
        <w:t>reporting,</w:t>
      </w:r>
      <w:r w:rsidRPr="00EC20A0">
        <w:rPr>
          <w:spacing w:val="-5"/>
        </w:rPr>
        <w:t xml:space="preserve"> </w:t>
      </w:r>
      <w:r w:rsidRPr="00EC20A0">
        <w:t>including</w:t>
      </w:r>
      <w:r w:rsidRPr="00EC20A0">
        <w:rPr>
          <w:spacing w:val="-5"/>
        </w:rPr>
        <w:t xml:space="preserve"> </w:t>
      </w:r>
      <w:r w:rsidRPr="00EC20A0">
        <w:t>any corrective actions taken by management with regard to significant deficiencies and material weaknesses (item 29).</w:t>
      </w:r>
    </w:p>
    <w:p w14:paraId="24D61D00" w14:textId="77777777" w:rsidR="00245300" w:rsidRPr="00EC20A0" w:rsidRDefault="00F17249">
      <w:pPr>
        <w:pStyle w:val="ListParagraph"/>
        <w:numPr>
          <w:ilvl w:val="0"/>
          <w:numId w:val="70"/>
        </w:numPr>
        <w:tabs>
          <w:tab w:val="left" w:pos="1639"/>
        </w:tabs>
        <w:ind w:left="1639" w:right="346" w:hanging="720"/>
      </w:pPr>
      <w:r w:rsidRPr="00EC20A0">
        <w:t>For bullets (b) and (d) in the paragraph above, entities may use criteria established under FMFIA, including OMB Circular No. A-123, in their FMFIA internal</w:t>
      </w:r>
      <w:r w:rsidRPr="00EC20A0">
        <w:rPr>
          <w:spacing w:val="-4"/>
        </w:rPr>
        <w:t xml:space="preserve"> </w:t>
      </w:r>
      <w:r w:rsidRPr="00EC20A0">
        <w:t>control</w:t>
      </w:r>
      <w:r w:rsidRPr="00EC20A0">
        <w:rPr>
          <w:spacing w:val="-4"/>
        </w:rPr>
        <w:t xml:space="preserve"> </w:t>
      </w:r>
      <w:r w:rsidRPr="00EC20A0">
        <w:t>assessments.</w:t>
      </w:r>
      <w:r w:rsidRPr="00EC20A0">
        <w:rPr>
          <w:spacing w:val="-4"/>
        </w:rPr>
        <w:t xml:space="preserve"> </w:t>
      </w:r>
      <w:r w:rsidRPr="00EC20A0">
        <w:t>GAO’s</w:t>
      </w:r>
      <w:r w:rsidRPr="00EC20A0">
        <w:rPr>
          <w:spacing w:val="-4"/>
        </w:rPr>
        <w:t xml:space="preserve"> </w:t>
      </w:r>
      <w:r w:rsidRPr="00EC20A0">
        <w:rPr>
          <w:i/>
        </w:rPr>
        <w:t>Standards</w:t>
      </w:r>
      <w:r w:rsidRPr="00EC20A0">
        <w:rPr>
          <w:i/>
          <w:spacing w:val="-4"/>
        </w:rPr>
        <w:t xml:space="preserve"> </w:t>
      </w:r>
      <w:r w:rsidRPr="00EC20A0">
        <w:rPr>
          <w:i/>
        </w:rPr>
        <w:t>for</w:t>
      </w:r>
      <w:r w:rsidRPr="00EC20A0">
        <w:rPr>
          <w:i/>
          <w:spacing w:val="-4"/>
        </w:rPr>
        <w:t xml:space="preserve"> </w:t>
      </w:r>
      <w:r w:rsidRPr="00EC20A0">
        <w:rPr>
          <w:i/>
        </w:rPr>
        <w:t>Internal</w:t>
      </w:r>
      <w:r w:rsidRPr="00EC20A0">
        <w:rPr>
          <w:i/>
          <w:spacing w:val="-4"/>
        </w:rPr>
        <w:t xml:space="preserve"> </w:t>
      </w:r>
      <w:r w:rsidRPr="00EC20A0">
        <w:rPr>
          <w:i/>
        </w:rPr>
        <w:t>Control</w:t>
      </w:r>
      <w:r w:rsidRPr="00EC20A0">
        <w:rPr>
          <w:i/>
          <w:spacing w:val="-4"/>
        </w:rPr>
        <w:t xml:space="preserve"> </w:t>
      </w:r>
      <w:r w:rsidRPr="00EC20A0">
        <w:rPr>
          <w:i/>
        </w:rPr>
        <w:t>in</w:t>
      </w:r>
      <w:r w:rsidRPr="00EC20A0">
        <w:rPr>
          <w:i/>
          <w:spacing w:val="-4"/>
        </w:rPr>
        <w:t xml:space="preserve"> </w:t>
      </w:r>
      <w:r w:rsidRPr="00EC20A0">
        <w:rPr>
          <w:i/>
        </w:rPr>
        <w:t>the</w:t>
      </w:r>
      <w:r w:rsidRPr="00EC20A0">
        <w:rPr>
          <w:i/>
          <w:spacing w:val="-5"/>
        </w:rPr>
        <w:t xml:space="preserve"> </w:t>
      </w:r>
      <w:r w:rsidRPr="00EC20A0">
        <w:rPr>
          <w:i/>
        </w:rPr>
        <w:t xml:space="preserve">Federal Government </w:t>
      </w:r>
      <w:r w:rsidRPr="00EC20A0">
        <w:t>(GAO-14-704G) were established as standards for federal entities</w:t>
      </w:r>
      <w:r w:rsidRPr="00EC20A0">
        <w:rPr>
          <w:spacing w:val="40"/>
        </w:rPr>
        <w:t xml:space="preserve"> </w:t>
      </w:r>
      <w:r w:rsidRPr="00EC20A0">
        <w:t xml:space="preserve">to follow. These standards incorporate concepts and principles from the private sector guidance </w:t>
      </w:r>
      <w:r w:rsidRPr="00EC20A0">
        <w:rPr>
          <w:i/>
        </w:rPr>
        <w:t xml:space="preserve">Internal Control—Integrated Framework </w:t>
      </w:r>
      <w:r w:rsidRPr="00EC20A0">
        <w:t xml:space="preserve">issued by the Committee of Sponsoring Organizations of the </w:t>
      </w:r>
      <w:r w:rsidRPr="00EC20A0">
        <w:t>Treadway Commission (COSO). Entities should summarize in their representation letters any material</w:t>
      </w:r>
      <w:r w:rsidRPr="00EC20A0">
        <w:rPr>
          <w:spacing w:val="40"/>
        </w:rPr>
        <w:t xml:space="preserve"> </w:t>
      </w:r>
      <w:r w:rsidRPr="00EC20A0">
        <w:t>weaknesses relating to financial reporting (including safeguarding) and compliance (including budget).</w:t>
      </w:r>
    </w:p>
    <w:p w14:paraId="24D61D01" w14:textId="77777777" w:rsidR="00245300" w:rsidRPr="00EC20A0" w:rsidRDefault="00F17249">
      <w:pPr>
        <w:pStyle w:val="BodyText"/>
        <w:spacing w:before="241"/>
        <w:ind w:left="1639" w:right="345"/>
      </w:pPr>
      <w:r w:rsidRPr="00EC20A0">
        <w:t>Example</w:t>
      </w:r>
      <w:r w:rsidRPr="00EC20A0">
        <w:rPr>
          <w:spacing w:val="-5"/>
        </w:rPr>
        <w:t xml:space="preserve"> </w:t>
      </w:r>
      <w:r w:rsidRPr="00EC20A0">
        <w:t>wording</w:t>
      </w:r>
      <w:r w:rsidRPr="00EC20A0">
        <w:rPr>
          <w:spacing w:val="-5"/>
        </w:rPr>
        <w:t xml:space="preserve"> </w:t>
      </w:r>
      <w:r w:rsidRPr="00EC20A0">
        <w:t>for</w:t>
      </w:r>
      <w:r w:rsidRPr="00EC20A0">
        <w:rPr>
          <w:spacing w:val="-5"/>
        </w:rPr>
        <w:t xml:space="preserve"> </w:t>
      </w:r>
      <w:r w:rsidRPr="00EC20A0">
        <w:t>the</w:t>
      </w:r>
      <w:r w:rsidRPr="00EC20A0">
        <w:rPr>
          <w:spacing w:val="-6"/>
        </w:rPr>
        <w:t xml:space="preserve"> </w:t>
      </w:r>
      <w:r w:rsidRPr="00EC20A0">
        <w:t>representations,</w:t>
      </w:r>
      <w:r w:rsidRPr="00EC20A0">
        <w:rPr>
          <w:spacing w:val="-5"/>
        </w:rPr>
        <w:t xml:space="preserve"> </w:t>
      </w:r>
      <w:r w:rsidRPr="00EC20A0">
        <w:t>where</w:t>
      </w:r>
      <w:r w:rsidRPr="00EC20A0">
        <w:rPr>
          <w:spacing w:val="-5"/>
        </w:rPr>
        <w:t xml:space="preserve"> </w:t>
      </w:r>
      <w:r w:rsidRPr="00EC20A0">
        <w:t>management</w:t>
      </w:r>
      <w:r w:rsidRPr="00EC20A0">
        <w:rPr>
          <w:spacing w:val="-5"/>
        </w:rPr>
        <w:t xml:space="preserve"> </w:t>
      </w:r>
      <w:r w:rsidRPr="00EC20A0">
        <w:t>asserts</w:t>
      </w:r>
      <w:r w:rsidRPr="00EC20A0">
        <w:rPr>
          <w:spacing w:val="-5"/>
        </w:rPr>
        <w:t xml:space="preserve"> </w:t>
      </w:r>
      <w:r w:rsidRPr="00EC20A0">
        <w:t>the effectiveness of internal control over financial reporting, is provided in</w:t>
      </w:r>
    </w:p>
    <w:p w14:paraId="24D61D02" w14:textId="77777777" w:rsidR="00245300" w:rsidRPr="00EC20A0" w:rsidRDefault="00F17249">
      <w:pPr>
        <w:pStyle w:val="BodyText"/>
        <w:ind w:left="1639" w:right="345"/>
      </w:pPr>
      <w:r w:rsidRPr="00EC20A0">
        <w:t>FAM</w:t>
      </w:r>
      <w:r w:rsidRPr="00EC20A0">
        <w:rPr>
          <w:spacing w:val="-5"/>
        </w:rPr>
        <w:t xml:space="preserve"> </w:t>
      </w:r>
      <w:r w:rsidRPr="00EC20A0">
        <w:t>1001</w:t>
      </w:r>
      <w:r w:rsidRPr="00EC20A0">
        <w:rPr>
          <w:spacing w:val="-4"/>
        </w:rPr>
        <w:t xml:space="preserve"> </w:t>
      </w:r>
      <w:r w:rsidRPr="00EC20A0">
        <w:t>A</w:t>
      </w:r>
      <w:r w:rsidRPr="00EC20A0">
        <w:rPr>
          <w:spacing w:val="-3"/>
        </w:rPr>
        <w:t xml:space="preserve"> </w:t>
      </w:r>
      <w:r w:rsidRPr="00EC20A0">
        <w:t>(item</w:t>
      </w:r>
      <w:r w:rsidRPr="00EC20A0">
        <w:rPr>
          <w:spacing w:val="-5"/>
        </w:rPr>
        <w:t xml:space="preserve"> </w:t>
      </w:r>
      <w:r w:rsidRPr="00EC20A0">
        <w:t>24).</w:t>
      </w:r>
      <w:r w:rsidRPr="00EC20A0">
        <w:rPr>
          <w:spacing w:val="-4"/>
        </w:rPr>
        <w:t xml:space="preserve"> </w:t>
      </w:r>
      <w:r w:rsidRPr="00EC20A0">
        <w:t>If</w:t>
      </w:r>
      <w:r w:rsidRPr="00EC20A0">
        <w:rPr>
          <w:spacing w:val="-4"/>
        </w:rPr>
        <w:t xml:space="preserve"> </w:t>
      </w:r>
      <w:r w:rsidRPr="00EC20A0">
        <w:t>there</w:t>
      </w:r>
      <w:r w:rsidRPr="00EC20A0">
        <w:rPr>
          <w:spacing w:val="-4"/>
        </w:rPr>
        <w:t xml:space="preserve"> </w:t>
      </w:r>
      <w:r w:rsidRPr="00EC20A0">
        <w:t>are</w:t>
      </w:r>
      <w:r w:rsidRPr="00EC20A0">
        <w:rPr>
          <w:spacing w:val="-4"/>
        </w:rPr>
        <w:t xml:space="preserve"> </w:t>
      </w:r>
      <w:r w:rsidRPr="00EC20A0">
        <w:t>material</w:t>
      </w:r>
      <w:r w:rsidRPr="00EC20A0">
        <w:rPr>
          <w:spacing w:val="-4"/>
        </w:rPr>
        <w:t xml:space="preserve"> </w:t>
      </w:r>
      <w:r w:rsidRPr="00EC20A0">
        <w:t>weaknesses,</w:t>
      </w:r>
      <w:r w:rsidRPr="00EC20A0">
        <w:rPr>
          <w:spacing w:val="-4"/>
        </w:rPr>
        <w:t xml:space="preserve"> </w:t>
      </w:r>
      <w:r w:rsidRPr="00EC20A0">
        <w:t>management</w:t>
      </w:r>
      <w:r w:rsidRPr="00EC20A0">
        <w:rPr>
          <w:spacing w:val="-4"/>
        </w:rPr>
        <w:t xml:space="preserve"> </w:t>
      </w:r>
      <w:r w:rsidRPr="00EC20A0">
        <w:t>should include a brief description of them in its representation letter and modify its assessment accordingly.</w:t>
      </w:r>
    </w:p>
    <w:p w14:paraId="24D61D03" w14:textId="77777777" w:rsidR="00245300" w:rsidRPr="00EC20A0" w:rsidRDefault="00245300">
      <w:pPr>
        <w:sectPr w:rsidR="00245300" w:rsidRPr="00EC20A0">
          <w:pgSz w:w="12240" w:h="15840"/>
          <w:pgMar w:top="1340" w:right="1100" w:bottom="940" w:left="1240" w:header="721" w:footer="757" w:gutter="0"/>
          <w:cols w:space="720"/>
        </w:sectPr>
      </w:pPr>
    </w:p>
    <w:p w14:paraId="24D61D04" w14:textId="77777777" w:rsidR="00245300" w:rsidRPr="00EC20A0" w:rsidRDefault="00F17249">
      <w:pPr>
        <w:pStyle w:val="Heading5"/>
        <w:spacing w:before="121"/>
        <w:rPr>
          <w:u w:val="none"/>
        </w:rPr>
      </w:pPr>
      <w:bookmarkStart w:id="369" w:name="Representations_Relating_to_Fraud"/>
      <w:bookmarkEnd w:id="369"/>
      <w:r w:rsidRPr="00EC20A0">
        <w:t>Representations</w:t>
      </w:r>
      <w:r w:rsidRPr="00EC20A0">
        <w:rPr>
          <w:spacing w:val="-7"/>
        </w:rPr>
        <w:t xml:space="preserve"> </w:t>
      </w:r>
      <w:r w:rsidRPr="00EC20A0">
        <w:t>Relating</w:t>
      </w:r>
      <w:r w:rsidRPr="00EC20A0">
        <w:rPr>
          <w:spacing w:val="-4"/>
        </w:rPr>
        <w:t xml:space="preserve"> </w:t>
      </w:r>
      <w:r w:rsidRPr="00EC20A0">
        <w:t>to</w:t>
      </w:r>
      <w:r w:rsidRPr="00EC20A0">
        <w:rPr>
          <w:spacing w:val="-4"/>
        </w:rPr>
        <w:t xml:space="preserve"> </w:t>
      </w:r>
      <w:r w:rsidRPr="00EC20A0">
        <w:rPr>
          <w:spacing w:val="-2"/>
        </w:rPr>
        <w:t>Fraud</w:t>
      </w:r>
    </w:p>
    <w:p w14:paraId="24D61D05" w14:textId="77777777" w:rsidR="00245300" w:rsidRPr="00EC20A0" w:rsidRDefault="00245300">
      <w:pPr>
        <w:pStyle w:val="BodyText"/>
        <w:spacing w:before="47"/>
        <w:rPr>
          <w:b/>
        </w:rPr>
      </w:pPr>
    </w:p>
    <w:p w14:paraId="24D61D06" w14:textId="77777777" w:rsidR="00245300" w:rsidRPr="00EC20A0" w:rsidRDefault="00F17249">
      <w:pPr>
        <w:pStyle w:val="ListParagraph"/>
        <w:numPr>
          <w:ilvl w:val="0"/>
          <w:numId w:val="70"/>
        </w:numPr>
        <w:tabs>
          <w:tab w:val="left" w:pos="1640"/>
        </w:tabs>
        <w:spacing w:before="0"/>
        <w:ind w:right="370"/>
      </w:pPr>
      <w:r w:rsidRPr="00EC20A0">
        <w:t>Internal control over financial reporting representations related to fraud can be found</w:t>
      </w:r>
      <w:r w:rsidRPr="00EC20A0">
        <w:rPr>
          <w:spacing w:val="-4"/>
        </w:rPr>
        <w:t xml:space="preserve"> </w:t>
      </w:r>
      <w:r w:rsidRPr="00EC20A0">
        <w:t>in</w:t>
      </w:r>
      <w:r w:rsidRPr="00EC20A0">
        <w:rPr>
          <w:spacing w:val="-4"/>
        </w:rPr>
        <w:t xml:space="preserve"> </w:t>
      </w:r>
      <w:r w:rsidRPr="00EC20A0">
        <w:t>AU-C</w:t>
      </w:r>
      <w:r w:rsidRPr="00EC20A0">
        <w:rPr>
          <w:spacing w:val="-5"/>
        </w:rPr>
        <w:t xml:space="preserve"> </w:t>
      </w:r>
      <w:r w:rsidRPr="00EC20A0">
        <w:t>580</w:t>
      </w:r>
      <w:r w:rsidRPr="00EC20A0">
        <w:rPr>
          <w:spacing w:val="-4"/>
        </w:rPr>
        <w:t xml:space="preserve"> </w:t>
      </w:r>
      <w:r w:rsidRPr="00EC20A0">
        <w:t>and</w:t>
      </w:r>
      <w:r w:rsidRPr="00EC20A0">
        <w:rPr>
          <w:spacing w:val="-4"/>
        </w:rPr>
        <w:t xml:space="preserve"> </w:t>
      </w:r>
      <w:r w:rsidRPr="00EC20A0">
        <w:t>AU-C</w:t>
      </w:r>
      <w:r w:rsidRPr="00EC20A0">
        <w:rPr>
          <w:spacing w:val="-5"/>
        </w:rPr>
        <w:t xml:space="preserve"> </w:t>
      </w:r>
      <w:r w:rsidRPr="00EC20A0">
        <w:t>940.</w:t>
      </w:r>
      <w:r w:rsidRPr="00EC20A0">
        <w:rPr>
          <w:spacing w:val="-4"/>
        </w:rPr>
        <w:t xml:space="preserve"> </w:t>
      </w:r>
      <w:r w:rsidRPr="00EC20A0">
        <w:t>These</w:t>
      </w:r>
      <w:r w:rsidRPr="00EC20A0">
        <w:rPr>
          <w:spacing w:val="-4"/>
        </w:rPr>
        <w:t xml:space="preserve"> </w:t>
      </w:r>
      <w:r w:rsidRPr="00EC20A0">
        <w:t>representations,</w:t>
      </w:r>
      <w:r w:rsidRPr="00EC20A0">
        <w:rPr>
          <w:spacing w:val="-4"/>
        </w:rPr>
        <w:t xml:space="preserve"> </w:t>
      </w:r>
      <w:r w:rsidRPr="00EC20A0">
        <w:t>examples</w:t>
      </w:r>
      <w:r w:rsidRPr="00EC20A0">
        <w:rPr>
          <w:spacing w:val="-3"/>
        </w:rPr>
        <w:t xml:space="preserve"> </w:t>
      </w:r>
      <w:r w:rsidRPr="00EC20A0">
        <w:t>of</w:t>
      </w:r>
      <w:r w:rsidRPr="00EC20A0">
        <w:rPr>
          <w:spacing w:val="-4"/>
        </w:rPr>
        <w:t xml:space="preserve"> </w:t>
      </w:r>
      <w:r w:rsidRPr="00EC20A0">
        <w:t>which</w:t>
      </w:r>
      <w:r w:rsidRPr="00EC20A0">
        <w:rPr>
          <w:spacing w:val="-4"/>
        </w:rPr>
        <w:t xml:space="preserve"> </w:t>
      </w:r>
      <w:r w:rsidRPr="00EC20A0">
        <w:t xml:space="preserve">are provided in FAM 1001 A (items 30 </w:t>
      </w:r>
      <w:r w:rsidRPr="00EC20A0">
        <w:t>through 36), relate to management</w:t>
      </w:r>
    </w:p>
    <w:p w14:paraId="24D61D07" w14:textId="77777777" w:rsidR="00245300" w:rsidRPr="00EC20A0" w:rsidRDefault="00F17249">
      <w:pPr>
        <w:pStyle w:val="ListParagraph"/>
        <w:numPr>
          <w:ilvl w:val="1"/>
          <w:numId w:val="70"/>
        </w:numPr>
        <w:tabs>
          <w:tab w:val="left" w:pos="1999"/>
        </w:tabs>
        <w:spacing w:before="239"/>
        <w:ind w:left="1999" w:right="425"/>
      </w:pPr>
      <w:r w:rsidRPr="00EC20A0">
        <w:t>acknowledging its responsibility for the design, implementation, and maintenance</w:t>
      </w:r>
      <w:r w:rsidRPr="00EC20A0">
        <w:rPr>
          <w:spacing w:val="-4"/>
        </w:rPr>
        <w:t xml:space="preserve"> </w:t>
      </w:r>
      <w:r w:rsidRPr="00EC20A0">
        <w:t>of</w:t>
      </w:r>
      <w:r w:rsidRPr="00EC20A0">
        <w:rPr>
          <w:spacing w:val="-4"/>
        </w:rPr>
        <w:t xml:space="preserve"> </w:t>
      </w:r>
      <w:r w:rsidRPr="00EC20A0">
        <w:t>internal</w:t>
      </w:r>
      <w:r w:rsidRPr="00EC20A0">
        <w:rPr>
          <w:spacing w:val="-5"/>
        </w:rPr>
        <w:t xml:space="preserve"> </w:t>
      </w:r>
      <w:r w:rsidRPr="00EC20A0">
        <w:t>controls</w:t>
      </w:r>
      <w:r w:rsidRPr="00EC20A0">
        <w:rPr>
          <w:spacing w:val="-4"/>
        </w:rPr>
        <w:t xml:space="preserve"> </w:t>
      </w:r>
      <w:r w:rsidRPr="00EC20A0">
        <w:t>to</w:t>
      </w:r>
      <w:r w:rsidRPr="00EC20A0">
        <w:rPr>
          <w:spacing w:val="-4"/>
        </w:rPr>
        <w:t xml:space="preserve"> </w:t>
      </w:r>
      <w:r w:rsidRPr="00EC20A0">
        <w:t>prevent</w:t>
      </w:r>
      <w:r w:rsidRPr="00EC20A0">
        <w:rPr>
          <w:spacing w:val="-4"/>
        </w:rPr>
        <w:t xml:space="preserve"> </w:t>
      </w:r>
      <w:r w:rsidRPr="00EC20A0">
        <w:t>and</w:t>
      </w:r>
      <w:r w:rsidRPr="00EC20A0">
        <w:rPr>
          <w:spacing w:val="-4"/>
        </w:rPr>
        <w:t xml:space="preserve"> </w:t>
      </w:r>
      <w:r w:rsidRPr="00EC20A0">
        <w:t>detect</w:t>
      </w:r>
      <w:r w:rsidRPr="00EC20A0">
        <w:rPr>
          <w:spacing w:val="-4"/>
        </w:rPr>
        <w:t xml:space="preserve"> </w:t>
      </w:r>
      <w:r w:rsidRPr="00EC20A0">
        <w:t>fraud</w:t>
      </w:r>
      <w:r w:rsidRPr="00EC20A0">
        <w:rPr>
          <w:spacing w:val="-4"/>
        </w:rPr>
        <w:t xml:space="preserve"> </w:t>
      </w:r>
      <w:r w:rsidRPr="00EC20A0">
        <w:t>(AU-C</w:t>
      </w:r>
      <w:r w:rsidRPr="00EC20A0">
        <w:rPr>
          <w:spacing w:val="-5"/>
        </w:rPr>
        <w:t xml:space="preserve"> </w:t>
      </w:r>
      <w:r w:rsidRPr="00EC20A0">
        <w:t>580.12a);</w:t>
      </w:r>
    </w:p>
    <w:p w14:paraId="24D61D08" w14:textId="77777777" w:rsidR="00245300" w:rsidRPr="00EC20A0" w:rsidRDefault="00F17249">
      <w:pPr>
        <w:pStyle w:val="ListParagraph"/>
        <w:numPr>
          <w:ilvl w:val="1"/>
          <w:numId w:val="70"/>
        </w:numPr>
        <w:tabs>
          <w:tab w:val="left" w:pos="1998"/>
          <w:tab w:val="left" w:pos="2000"/>
        </w:tabs>
        <w:spacing w:before="241"/>
        <w:ind w:right="488" w:hanging="361"/>
      </w:pPr>
      <w:r w:rsidRPr="00EC20A0">
        <w:t xml:space="preserve">disclosing the results of its assessment of the risk that the </w:t>
      </w:r>
      <w:r w:rsidRPr="00EC20A0">
        <w:t>financial statements</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materially</w:t>
      </w:r>
      <w:r w:rsidRPr="00EC20A0">
        <w:rPr>
          <w:spacing w:val="-4"/>
        </w:rPr>
        <w:t xml:space="preserve"> </w:t>
      </w:r>
      <w:r w:rsidRPr="00EC20A0">
        <w:t>misstated</w:t>
      </w:r>
      <w:r w:rsidRPr="00EC20A0">
        <w:rPr>
          <w:spacing w:val="-4"/>
        </w:rPr>
        <w:t xml:space="preserve"> </w:t>
      </w:r>
      <w:r w:rsidRPr="00EC20A0">
        <w:t>as</w:t>
      </w:r>
      <w:r w:rsidRPr="00EC20A0">
        <w:rPr>
          <w:spacing w:val="-4"/>
        </w:rPr>
        <w:t xml:space="preserve"> </w:t>
      </w:r>
      <w:r w:rsidRPr="00EC20A0">
        <w:t>a</w:t>
      </w:r>
      <w:r w:rsidRPr="00EC20A0">
        <w:rPr>
          <w:spacing w:val="-4"/>
        </w:rPr>
        <w:t xml:space="preserve"> </w:t>
      </w:r>
      <w:r w:rsidRPr="00EC20A0">
        <w:t>result</w:t>
      </w:r>
      <w:r w:rsidRPr="00EC20A0">
        <w:rPr>
          <w:spacing w:val="-4"/>
        </w:rPr>
        <w:t xml:space="preserve"> </w:t>
      </w:r>
      <w:r w:rsidRPr="00EC20A0">
        <w:t>of</w:t>
      </w:r>
      <w:r w:rsidRPr="00EC20A0">
        <w:rPr>
          <w:spacing w:val="-4"/>
        </w:rPr>
        <w:t xml:space="preserve"> </w:t>
      </w:r>
      <w:r w:rsidRPr="00EC20A0">
        <w:t>fraud</w:t>
      </w:r>
      <w:r w:rsidRPr="00EC20A0">
        <w:rPr>
          <w:spacing w:val="-5"/>
        </w:rPr>
        <w:t xml:space="preserve"> </w:t>
      </w:r>
      <w:r w:rsidRPr="00EC20A0">
        <w:t>(AU-C</w:t>
      </w:r>
      <w:r w:rsidRPr="00EC20A0">
        <w:rPr>
          <w:spacing w:val="-5"/>
        </w:rPr>
        <w:t xml:space="preserve"> </w:t>
      </w:r>
      <w:r w:rsidRPr="00EC20A0">
        <w:t>580.12b);</w:t>
      </w:r>
    </w:p>
    <w:p w14:paraId="24D61D09" w14:textId="77777777" w:rsidR="00245300" w:rsidRPr="00EC20A0" w:rsidRDefault="00F17249">
      <w:pPr>
        <w:pStyle w:val="ListParagraph"/>
        <w:numPr>
          <w:ilvl w:val="1"/>
          <w:numId w:val="70"/>
        </w:numPr>
        <w:tabs>
          <w:tab w:val="left" w:pos="1998"/>
          <w:tab w:val="left" w:pos="2000"/>
        </w:tabs>
        <w:spacing w:before="239"/>
        <w:ind w:right="608" w:hanging="361"/>
      </w:pPr>
      <w:r w:rsidRPr="00EC20A0">
        <w:t>disclosing</w:t>
      </w:r>
      <w:r w:rsidRPr="00EC20A0">
        <w:rPr>
          <w:spacing w:val="-4"/>
        </w:rPr>
        <w:t xml:space="preserve"> </w:t>
      </w:r>
      <w:r w:rsidRPr="00EC20A0">
        <w:t>knowledge</w:t>
      </w:r>
      <w:r w:rsidRPr="00EC20A0">
        <w:rPr>
          <w:spacing w:val="-4"/>
        </w:rPr>
        <w:t xml:space="preserve"> </w:t>
      </w:r>
      <w:r w:rsidRPr="00EC20A0">
        <w:t>of</w:t>
      </w:r>
      <w:r w:rsidRPr="00EC20A0">
        <w:rPr>
          <w:spacing w:val="-4"/>
        </w:rPr>
        <w:t xml:space="preserve"> </w:t>
      </w:r>
      <w:r w:rsidRPr="00EC20A0">
        <w:t>fraud</w:t>
      </w:r>
      <w:r w:rsidRPr="00EC20A0">
        <w:rPr>
          <w:spacing w:val="-4"/>
        </w:rPr>
        <w:t xml:space="preserve"> </w:t>
      </w:r>
      <w:r w:rsidRPr="00EC20A0">
        <w:t>or</w:t>
      </w:r>
      <w:r w:rsidRPr="00EC20A0">
        <w:rPr>
          <w:spacing w:val="-4"/>
        </w:rPr>
        <w:t xml:space="preserve"> </w:t>
      </w:r>
      <w:r w:rsidRPr="00EC20A0">
        <w:t>suspected</w:t>
      </w:r>
      <w:r w:rsidRPr="00EC20A0">
        <w:rPr>
          <w:spacing w:val="-4"/>
        </w:rPr>
        <w:t xml:space="preserve"> </w:t>
      </w:r>
      <w:r w:rsidRPr="00EC20A0">
        <w:t>fraud</w:t>
      </w:r>
      <w:r w:rsidRPr="00EC20A0">
        <w:rPr>
          <w:spacing w:val="-4"/>
        </w:rPr>
        <w:t xml:space="preserve"> </w:t>
      </w:r>
      <w:r w:rsidRPr="00EC20A0">
        <w:t>that</w:t>
      </w:r>
      <w:r w:rsidRPr="00EC20A0">
        <w:rPr>
          <w:spacing w:val="-4"/>
        </w:rPr>
        <w:t xml:space="preserve"> </w:t>
      </w:r>
      <w:r w:rsidRPr="00EC20A0">
        <w:t>affects</w:t>
      </w:r>
      <w:r w:rsidRPr="00EC20A0">
        <w:rPr>
          <w:spacing w:val="-5"/>
        </w:rPr>
        <w:t xml:space="preserve"> </w:t>
      </w:r>
      <w:r w:rsidRPr="00EC20A0">
        <w:t>the</w:t>
      </w:r>
      <w:r w:rsidRPr="00EC20A0">
        <w:rPr>
          <w:spacing w:val="-4"/>
        </w:rPr>
        <w:t xml:space="preserve"> </w:t>
      </w:r>
      <w:r w:rsidRPr="00EC20A0">
        <w:t>entity</w:t>
      </w:r>
      <w:r w:rsidRPr="00EC20A0">
        <w:rPr>
          <w:spacing w:val="-4"/>
        </w:rPr>
        <w:t xml:space="preserve"> </w:t>
      </w:r>
      <w:r w:rsidRPr="00EC20A0">
        <w:t>and involves (1) management, (2) employees who have significant roles in internal control over financial reporting, or (3) others when the fraud could have a material effect on the financial statements (AU-C 580.12c and</w:t>
      </w:r>
    </w:p>
    <w:p w14:paraId="24D61D0A" w14:textId="77777777" w:rsidR="00245300" w:rsidRPr="00EC20A0" w:rsidRDefault="00F17249">
      <w:pPr>
        <w:pStyle w:val="BodyText"/>
        <w:spacing w:before="1"/>
        <w:ind w:left="2000"/>
      </w:pPr>
      <w:r w:rsidRPr="00EC20A0">
        <w:t>AU-C</w:t>
      </w:r>
      <w:r w:rsidRPr="00EC20A0">
        <w:rPr>
          <w:spacing w:val="-9"/>
        </w:rPr>
        <w:t xml:space="preserve"> </w:t>
      </w:r>
      <w:r w:rsidRPr="00EC20A0">
        <w:t>940.57f);</w:t>
      </w:r>
      <w:r w:rsidRPr="00EC20A0">
        <w:rPr>
          <w:spacing w:val="-8"/>
        </w:rPr>
        <w:t xml:space="preserve"> </w:t>
      </w:r>
      <w:r w:rsidRPr="00EC20A0">
        <w:rPr>
          <w:spacing w:val="-5"/>
        </w:rPr>
        <w:t>and</w:t>
      </w:r>
    </w:p>
    <w:p w14:paraId="24D61D0B" w14:textId="77777777" w:rsidR="00245300" w:rsidRPr="00EC20A0" w:rsidRDefault="00F17249">
      <w:pPr>
        <w:pStyle w:val="ListParagraph"/>
        <w:numPr>
          <w:ilvl w:val="1"/>
          <w:numId w:val="70"/>
        </w:numPr>
        <w:tabs>
          <w:tab w:val="left" w:pos="2000"/>
        </w:tabs>
        <w:ind w:right="377"/>
      </w:pPr>
      <w:r w:rsidRPr="00EC20A0">
        <w:t>disclosing knowledge of any allegations of fraud or suspected fraud affecting the</w:t>
      </w:r>
      <w:r w:rsidRPr="00EC20A0">
        <w:rPr>
          <w:spacing w:val="-5"/>
        </w:rPr>
        <w:t xml:space="preserve"> </w:t>
      </w:r>
      <w:r w:rsidRPr="00EC20A0">
        <w:t>entity’s</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received</w:t>
      </w:r>
      <w:r w:rsidRPr="00EC20A0">
        <w:rPr>
          <w:spacing w:val="-5"/>
        </w:rPr>
        <w:t xml:space="preserve"> </w:t>
      </w:r>
      <w:r w:rsidRPr="00EC20A0">
        <w:t>in</w:t>
      </w:r>
      <w:r w:rsidRPr="00EC20A0">
        <w:rPr>
          <w:spacing w:val="-5"/>
        </w:rPr>
        <w:t xml:space="preserve"> </w:t>
      </w:r>
      <w:r w:rsidRPr="00EC20A0">
        <w:t>communications</w:t>
      </w:r>
      <w:r w:rsidRPr="00EC20A0">
        <w:rPr>
          <w:spacing w:val="-6"/>
        </w:rPr>
        <w:t xml:space="preserve"> </w:t>
      </w:r>
      <w:r w:rsidRPr="00EC20A0">
        <w:t>from</w:t>
      </w:r>
      <w:r w:rsidRPr="00EC20A0">
        <w:rPr>
          <w:spacing w:val="-6"/>
        </w:rPr>
        <w:t xml:space="preserve"> </w:t>
      </w:r>
      <w:r w:rsidRPr="00EC20A0">
        <w:t>employees, former employees, analysts, regulators, or others (AU-C 580.12d).</w:t>
      </w:r>
    </w:p>
    <w:p w14:paraId="24D61D0C" w14:textId="77777777" w:rsidR="00245300" w:rsidRPr="00EC20A0" w:rsidRDefault="00245300">
      <w:pPr>
        <w:pStyle w:val="BodyText"/>
        <w:spacing w:before="47"/>
      </w:pPr>
    </w:p>
    <w:p w14:paraId="24D61D0D" w14:textId="77777777" w:rsidR="00245300" w:rsidRPr="00EC20A0" w:rsidRDefault="00F17249">
      <w:pPr>
        <w:pStyle w:val="Heading5"/>
        <w:spacing w:before="0"/>
        <w:ind w:right="337"/>
        <w:rPr>
          <w:u w:val="none"/>
        </w:rPr>
      </w:pPr>
      <w:bookmarkStart w:id="370" w:name="Representations_Relating_to_Applicable_L"/>
      <w:bookmarkEnd w:id="370"/>
      <w:r w:rsidRPr="00EC20A0">
        <w:t>Representations</w:t>
      </w:r>
      <w:r w:rsidRPr="00EC20A0">
        <w:rPr>
          <w:spacing w:val="-6"/>
        </w:rPr>
        <w:t xml:space="preserve"> </w:t>
      </w:r>
      <w:r w:rsidRPr="00EC20A0">
        <w:t>Relating</w:t>
      </w:r>
      <w:r w:rsidRPr="00EC20A0">
        <w:rPr>
          <w:spacing w:val="-6"/>
        </w:rPr>
        <w:t xml:space="preserve"> </w:t>
      </w:r>
      <w:r w:rsidRPr="00EC20A0">
        <w:t>to</w:t>
      </w:r>
      <w:r w:rsidRPr="00EC20A0">
        <w:rPr>
          <w:spacing w:val="-7"/>
        </w:rPr>
        <w:t xml:space="preserve"> </w:t>
      </w:r>
      <w:r w:rsidRPr="00EC20A0">
        <w:t>Applicable</w:t>
      </w:r>
      <w:r w:rsidRPr="00EC20A0">
        <w:rPr>
          <w:spacing w:val="-8"/>
        </w:rPr>
        <w:t xml:space="preserve"> </w:t>
      </w:r>
      <w:r w:rsidRPr="00EC20A0">
        <w:t>Laws,</w:t>
      </w:r>
      <w:r w:rsidRPr="00EC20A0">
        <w:rPr>
          <w:spacing w:val="-5"/>
        </w:rPr>
        <w:t xml:space="preserve"> </w:t>
      </w:r>
      <w:r w:rsidRPr="00EC20A0">
        <w:t>Regulations,</w:t>
      </w:r>
      <w:r w:rsidRPr="00EC20A0">
        <w:rPr>
          <w:spacing w:val="-5"/>
        </w:rPr>
        <w:t xml:space="preserve"> </w:t>
      </w:r>
      <w:r w:rsidRPr="00EC20A0">
        <w:t>Contracts,</w:t>
      </w:r>
      <w:r w:rsidRPr="00EC20A0">
        <w:rPr>
          <w:spacing w:val="-5"/>
        </w:rPr>
        <w:t xml:space="preserve"> </w:t>
      </w:r>
      <w:r w:rsidRPr="00EC20A0">
        <w:t>and</w:t>
      </w:r>
      <w:r w:rsidRPr="00EC20A0">
        <w:rPr>
          <w:u w:val="none"/>
        </w:rPr>
        <w:t xml:space="preserve"> </w:t>
      </w:r>
      <w:r w:rsidRPr="00EC20A0">
        <w:t>Grant Agreements</w:t>
      </w:r>
    </w:p>
    <w:p w14:paraId="24D61D0E" w14:textId="77777777" w:rsidR="00245300" w:rsidRPr="00EC20A0" w:rsidRDefault="00245300">
      <w:pPr>
        <w:pStyle w:val="BodyText"/>
        <w:spacing w:before="47"/>
        <w:rPr>
          <w:b/>
        </w:rPr>
      </w:pPr>
    </w:p>
    <w:p w14:paraId="24D61D0F" w14:textId="77777777" w:rsidR="00245300" w:rsidRPr="00EC20A0" w:rsidRDefault="00F17249">
      <w:pPr>
        <w:pStyle w:val="ListParagraph"/>
        <w:numPr>
          <w:ilvl w:val="0"/>
          <w:numId w:val="70"/>
        </w:numPr>
        <w:tabs>
          <w:tab w:val="left" w:pos="1639"/>
        </w:tabs>
        <w:spacing w:before="0"/>
        <w:ind w:left="1639" w:right="578" w:hanging="720"/>
      </w:pPr>
      <w:r w:rsidRPr="00EC20A0">
        <w:t>Management’s representations should include that all instances of identified or suspected noncompliance with laws, regulations, contracts, and grant agreements applicable to the entity whose effects should be considered when preparing</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disclosed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(items</w:t>
      </w:r>
      <w:r w:rsidRPr="00EC20A0">
        <w:rPr>
          <w:spacing w:val="-4"/>
        </w:rPr>
        <w:t xml:space="preserve"> </w:t>
      </w:r>
      <w:r w:rsidRPr="00EC20A0">
        <w:t>40 through 43) (AU-C 580.13).</w:t>
      </w:r>
    </w:p>
    <w:p w14:paraId="24D61D10" w14:textId="77777777" w:rsidR="00245300" w:rsidRPr="00EC20A0" w:rsidRDefault="00245300">
      <w:pPr>
        <w:pStyle w:val="BodyText"/>
        <w:spacing w:before="47"/>
      </w:pPr>
    </w:p>
    <w:p w14:paraId="24D61D11" w14:textId="77777777" w:rsidR="00245300" w:rsidRPr="00EC20A0" w:rsidRDefault="00F17249">
      <w:pPr>
        <w:pStyle w:val="Heading5"/>
        <w:spacing w:before="0"/>
        <w:rPr>
          <w:u w:val="none"/>
        </w:rPr>
      </w:pPr>
      <w:bookmarkStart w:id="371" w:name="Representations_Relating_to_Uncorrected_"/>
      <w:bookmarkEnd w:id="371"/>
      <w:r w:rsidRPr="00EC20A0">
        <w:t>Representations</w:t>
      </w:r>
      <w:r w:rsidRPr="00EC20A0">
        <w:rPr>
          <w:spacing w:val="-8"/>
        </w:rPr>
        <w:t xml:space="preserve"> </w:t>
      </w:r>
      <w:r w:rsidRPr="00EC20A0">
        <w:t>Relating</w:t>
      </w:r>
      <w:r w:rsidRPr="00EC20A0">
        <w:rPr>
          <w:spacing w:val="-5"/>
        </w:rPr>
        <w:t xml:space="preserve"> </w:t>
      </w:r>
      <w:r w:rsidRPr="00EC20A0">
        <w:t>to</w:t>
      </w:r>
      <w:r w:rsidRPr="00EC20A0">
        <w:rPr>
          <w:spacing w:val="-5"/>
        </w:rPr>
        <w:t xml:space="preserve"> </w:t>
      </w:r>
      <w:r w:rsidRPr="00EC20A0">
        <w:t>Uncorrected</w:t>
      </w:r>
      <w:r w:rsidRPr="00EC20A0">
        <w:rPr>
          <w:spacing w:val="-5"/>
        </w:rPr>
        <w:t xml:space="preserve"> </w:t>
      </w:r>
      <w:r w:rsidRPr="00EC20A0">
        <w:rPr>
          <w:spacing w:val="-2"/>
        </w:rPr>
        <w:t>Misstatements</w:t>
      </w:r>
    </w:p>
    <w:p w14:paraId="24D61D12" w14:textId="77777777" w:rsidR="00245300" w:rsidRPr="00EC20A0" w:rsidRDefault="00245300">
      <w:pPr>
        <w:pStyle w:val="BodyText"/>
        <w:spacing w:before="47"/>
        <w:rPr>
          <w:b/>
        </w:rPr>
      </w:pPr>
    </w:p>
    <w:p w14:paraId="24D61D13" w14:textId="77777777" w:rsidR="00245300" w:rsidRPr="00EC20A0" w:rsidRDefault="00F17249">
      <w:pPr>
        <w:pStyle w:val="ListParagraph"/>
        <w:numPr>
          <w:ilvl w:val="0"/>
          <w:numId w:val="70"/>
        </w:numPr>
        <w:tabs>
          <w:tab w:val="left" w:pos="1640"/>
        </w:tabs>
        <w:spacing w:before="0"/>
        <w:ind w:right="504"/>
      </w:pPr>
      <w:r w:rsidRPr="00EC20A0">
        <w:t>Management’s</w:t>
      </w:r>
      <w:r w:rsidRPr="00EC20A0">
        <w:rPr>
          <w:spacing w:val="-5"/>
        </w:rPr>
        <w:t xml:space="preserve"> </w:t>
      </w:r>
      <w:r w:rsidRPr="00EC20A0">
        <w:t>representations</w:t>
      </w:r>
      <w:r w:rsidRPr="00EC20A0">
        <w:rPr>
          <w:spacing w:val="-5"/>
        </w:rPr>
        <w:t xml:space="preserve"> </w:t>
      </w:r>
      <w:r w:rsidRPr="00EC20A0">
        <w:t>should</w:t>
      </w:r>
      <w:r w:rsidRPr="00EC20A0">
        <w:rPr>
          <w:spacing w:val="-5"/>
        </w:rPr>
        <w:t xml:space="preserve"> </w:t>
      </w:r>
      <w:r w:rsidRPr="00EC20A0">
        <w:t>acknowledge</w:t>
      </w:r>
      <w:r w:rsidRPr="00EC20A0">
        <w:rPr>
          <w:spacing w:val="-5"/>
        </w:rPr>
        <w:t xml:space="preserve"> </w:t>
      </w:r>
      <w:r w:rsidRPr="00EC20A0">
        <w:t>whether</w:t>
      </w:r>
      <w:r w:rsidRPr="00EC20A0">
        <w:rPr>
          <w:spacing w:val="-5"/>
        </w:rPr>
        <w:t xml:space="preserve"> </w:t>
      </w:r>
      <w:r w:rsidRPr="00EC20A0">
        <w:t>it</w:t>
      </w:r>
      <w:r w:rsidRPr="00EC20A0">
        <w:rPr>
          <w:spacing w:val="-5"/>
        </w:rPr>
        <w:t xml:space="preserve"> </w:t>
      </w:r>
      <w:r w:rsidRPr="00EC20A0">
        <w:t>believes</w:t>
      </w:r>
      <w:r w:rsidRPr="00EC20A0">
        <w:rPr>
          <w:spacing w:val="-4"/>
        </w:rPr>
        <w:t xml:space="preserve"> </w:t>
      </w:r>
      <w:r w:rsidRPr="00EC20A0">
        <w:t>that</w:t>
      </w:r>
      <w:r w:rsidRPr="00EC20A0">
        <w:rPr>
          <w:spacing w:val="-5"/>
        </w:rPr>
        <w:t xml:space="preserve"> </w:t>
      </w:r>
      <w:r w:rsidRPr="00EC20A0">
        <w:t xml:space="preserve">the effects of uncorrected misstatements are immaterial, individually and in the </w:t>
      </w:r>
      <w:r w:rsidRPr="00EC20A0">
        <w:t>aggregate, to the financial statements as a whole (item 8) (AU-C 580.14).</w:t>
      </w:r>
    </w:p>
    <w:p w14:paraId="24D61D14" w14:textId="77777777" w:rsidR="00245300" w:rsidRPr="00EC20A0" w:rsidRDefault="00F17249">
      <w:pPr>
        <w:pStyle w:val="ListParagraph"/>
        <w:numPr>
          <w:ilvl w:val="0"/>
          <w:numId w:val="70"/>
        </w:numPr>
        <w:tabs>
          <w:tab w:val="left" w:pos="1638"/>
          <w:tab w:val="left" w:pos="1640"/>
        </w:tabs>
        <w:spacing w:before="239"/>
        <w:ind w:right="885"/>
        <w:jc w:val="both"/>
      </w:pPr>
      <w:r w:rsidRPr="00EC20A0">
        <w:t>The</w:t>
      </w:r>
      <w:r w:rsidRPr="00EC20A0">
        <w:rPr>
          <w:spacing w:val="-3"/>
        </w:rPr>
        <w:t xml:space="preserve"> </w:t>
      </w:r>
      <w:r w:rsidRPr="00EC20A0">
        <w:t>effect</w:t>
      </w:r>
      <w:r w:rsidRPr="00EC20A0">
        <w:rPr>
          <w:spacing w:val="-3"/>
        </w:rPr>
        <w:t xml:space="preserve"> </w:t>
      </w:r>
      <w:r w:rsidRPr="00EC20A0">
        <w:t>of</w:t>
      </w:r>
      <w:r w:rsidRPr="00EC20A0">
        <w:rPr>
          <w:spacing w:val="-4"/>
        </w:rPr>
        <w:t xml:space="preserve"> </w:t>
      </w:r>
      <w:r w:rsidRPr="00EC20A0">
        <w:t>any</w:t>
      </w:r>
      <w:r w:rsidRPr="00EC20A0">
        <w:rPr>
          <w:spacing w:val="-3"/>
        </w:rPr>
        <w:t xml:space="preserve"> </w:t>
      </w:r>
      <w:r w:rsidRPr="00EC20A0">
        <w:t>uncorrected</w:t>
      </w:r>
      <w:r w:rsidRPr="00EC20A0">
        <w:rPr>
          <w:spacing w:val="-3"/>
        </w:rPr>
        <w:t xml:space="preserve"> </w:t>
      </w:r>
      <w:r w:rsidRPr="00EC20A0">
        <w:t>financial</w:t>
      </w:r>
      <w:r w:rsidRPr="00EC20A0">
        <w:rPr>
          <w:spacing w:val="-3"/>
        </w:rPr>
        <w:t xml:space="preserve"> </w:t>
      </w:r>
      <w:r w:rsidRPr="00EC20A0">
        <w:t>statement</w:t>
      </w:r>
      <w:r w:rsidRPr="00EC20A0">
        <w:rPr>
          <w:spacing w:val="-3"/>
        </w:rPr>
        <w:t xml:space="preserve"> </w:t>
      </w:r>
      <w:r w:rsidRPr="00EC20A0">
        <w:t>misstatements</w:t>
      </w:r>
      <w:r w:rsidRPr="00EC20A0">
        <w:rPr>
          <w:spacing w:val="-2"/>
        </w:rPr>
        <w:t xml:space="preserve"> </w:t>
      </w:r>
      <w:r w:rsidRPr="00EC20A0">
        <w:t>(other</w:t>
      </w:r>
      <w:r w:rsidRPr="00EC20A0">
        <w:rPr>
          <w:spacing w:val="-3"/>
        </w:rPr>
        <w:t xml:space="preserve"> </w:t>
      </w:r>
      <w:r w:rsidRPr="00EC20A0">
        <w:t>than clearly</w:t>
      </w:r>
      <w:r w:rsidRPr="00EC20A0">
        <w:rPr>
          <w:spacing w:val="-3"/>
        </w:rPr>
        <w:t xml:space="preserve"> </w:t>
      </w:r>
      <w:r w:rsidRPr="00EC20A0">
        <w:t>trivial)</w:t>
      </w:r>
      <w:r w:rsidRPr="00EC20A0">
        <w:rPr>
          <w:spacing w:val="-3"/>
        </w:rPr>
        <w:t xml:space="preserve"> </w:t>
      </w:r>
      <w:r w:rsidRPr="00EC20A0">
        <w:t>per</w:t>
      </w:r>
      <w:r w:rsidRPr="00EC20A0">
        <w:rPr>
          <w:spacing w:val="-3"/>
        </w:rPr>
        <w:t xml:space="preserve"> </w:t>
      </w:r>
      <w:r w:rsidRPr="00EC20A0">
        <w:t>FAM</w:t>
      </w:r>
      <w:r w:rsidRPr="00EC20A0">
        <w:rPr>
          <w:spacing w:val="-4"/>
        </w:rPr>
        <w:t xml:space="preserve"> </w:t>
      </w:r>
      <w:r w:rsidRPr="00EC20A0">
        <w:t>540</w:t>
      </w:r>
      <w:r w:rsidRPr="00EC20A0">
        <w:rPr>
          <w:spacing w:val="-3"/>
        </w:rPr>
        <w:t xml:space="preserve"> </w:t>
      </w:r>
      <w:r w:rsidRPr="00EC20A0">
        <w:t>should</w:t>
      </w:r>
      <w:r w:rsidRPr="00EC20A0">
        <w:rPr>
          <w:spacing w:val="-3"/>
        </w:rPr>
        <w:t xml:space="preserve"> </w:t>
      </w:r>
      <w:r w:rsidRPr="00EC20A0">
        <w:t>be</w:t>
      </w:r>
      <w:r w:rsidRPr="00EC20A0">
        <w:rPr>
          <w:spacing w:val="-3"/>
        </w:rPr>
        <w:t xml:space="preserve"> </w:t>
      </w:r>
      <w:r w:rsidRPr="00EC20A0">
        <w:t>included</w:t>
      </w:r>
      <w:r w:rsidRPr="00EC20A0">
        <w:rPr>
          <w:spacing w:val="-4"/>
        </w:rPr>
        <w:t xml:space="preserve"> </w:t>
      </w:r>
      <w:r w:rsidRPr="00EC20A0">
        <w:t>in</w:t>
      </w:r>
      <w:r w:rsidRPr="00EC20A0">
        <w:rPr>
          <w:spacing w:val="-3"/>
        </w:rPr>
        <w:t xml:space="preserve"> </w:t>
      </w:r>
      <w:r w:rsidRPr="00EC20A0">
        <w:t>a</w:t>
      </w:r>
      <w:r w:rsidRPr="00EC20A0">
        <w:rPr>
          <w:spacing w:val="-2"/>
        </w:rPr>
        <w:t xml:space="preserve"> </w:t>
      </w:r>
      <w:r w:rsidRPr="00EC20A0">
        <w:t>summary</w:t>
      </w:r>
      <w:r w:rsidRPr="00EC20A0">
        <w:rPr>
          <w:spacing w:val="-3"/>
        </w:rPr>
        <w:t xml:space="preserve"> </w:t>
      </w:r>
      <w:r w:rsidRPr="00EC20A0">
        <w:t>of</w:t>
      </w:r>
      <w:r w:rsidRPr="00EC20A0">
        <w:rPr>
          <w:spacing w:val="-3"/>
        </w:rPr>
        <w:t xml:space="preserve"> </w:t>
      </w:r>
      <w:r w:rsidRPr="00EC20A0">
        <w:t>uncorrected misstatements</w:t>
      </w:r>
      <w:r w:rsidRPr="00EC20A0">
        <w:rPr>
          <w:spacing w:val="-5"/>
        </w:rPr>
        <w:t xml:space="preserve"> </w:t>
      </w:r>
      <w:r w:rsidRPr="00EC20A0">
        <w:t>and</w:t>
      </w:r>
      <w:r w:rsidRPr="00EC20A0">
        <w:rPr>
          <w:spacing w:val="-5"/>
        </w:rPr>
        <w:t xml:space="preserve"> </w:t>
      </w:r>
      <w:r w:rsidRPr="00EC20A0">
        <w:t>attached</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representation</w:t>
      </w:r>
      <w:r w:rsidRPr="00EC20A0">
        <w:rPr>
          <w:spacing w:val="-5"/>
        </w:rPr>
        <w:t xml:space="preserve"> </w:t>
      </w:r>
      <w:r w:rsidRPr="00EC20A0">
        <w:t>letter</w:t>
      </w:r>
      <w:r w:rsidRPr="00EC20A0">
        <w:rPr>
          <w:spacing w:val="-5"/>
        </w:rPr>
        <w:t xml:space="preserve"> </w:t>
      </w:r>
      <w:r w:rsidRPr="00EC20A0">
        <w:t>(AU-C</w:t>
      </w:r>
      <w:r w:rsidRPr="00EC20A0">
        <w:rPr>
          <w:spacing w:val="-6"/>
        </w:rPr>
        <w:t xml:space="preserve"> </w:t>
      </w:r>
      <w:r w:rsidRPr="00EC20A0">
        <w:t>580.14).</w:t>
      </w:r>
      <w:r w:rsidRPr="00EC20A0">
        <w:rPr>
          <w:spacing w:val="-5"/>
        </w:rPr>
        <w:t xml:space="preserve"> </w:t>
      </w:r>
      <w:r w:rsidRPr="00EC20A0">
        <w:t>See example I, tables II and III, in FAM 595 C.</w:t>
      </w:r>
    </w:p>
    <w:p w14:paraId="24D61D15" w14:textId="77777777" w:rsidR="00245300" w:rsidRPr="00EC20A0" w:rsidRDefault="00245300">
      <w:pPr>
        <w:pStyle w:val="BodyText"/>
        <w:spacing w:before="48"/>
      </w:pPr>
    </w:p>
    <w:p w14:paraId="24D61D16" w14:textId="77777777" w:rsidR="00245300" w:rsidRPr="00EC20A0" w:rsidRDefault="00F17249">
      <w:pPr>
        <w:pStyle w:val="Heading5"/>
        <w:spacing w:before="1"/>
        <w:rPr>
          <w:u w:val="none"/>
        </w:rPr>
      </w:pPr>
      <w:bookmarkStart w:id="372" w:name="Representations_Relating_to_Litigation_a"/>
      <w:bookmarkEnd w:id="372"/>
      <w:r w:rsidRPr="00EC20A0">
        <w:t>Representations</w:t>
      </w:r>
      <w:r w:rsidRPr="00EC20A0">
        <w:rPr>
          <w:spacing w:val="-7"/>
        </w:rPr>
        <w:t xml:space="preserve"> </w:t>
      </w:r>
      <w:r w:rsidRPr="00EC20A0">
        <w:t>Relating</w:t>
      </w:r>
      <w:r w:rsidRPr="00EC20A0">
        <w:rPr>
          <w:spacing w:val="-4"/>
        </w:rPr>
        <w:t xml:space="preserve"> </w:t>
      </w:r>
      <w:r w:rsidRPr="00EC20A0">
        <w:t>to</w:t>
      </w:r>
      <w:r w:rsidRPr="00EC20A0">
        <w:rPr>
          <w:spacing w:val="-5"/>
        </w:rPr>
        <w:t xml:space="preserve"> </w:t>
      </w:r>
      <w:r w:rsidRPr="00EC20A0">
        <w:t>Litigation</w:t>
      </w:r>
      <w:r w:rsidRPr="00EC20A0">
        <w:rPr>
          <w:spacing w:val="-4"/>
        </w:rPr>
        <w:t xml:space="preserve"> </w:t>
      </w:r>
      <w:r w:rsidRPr="00EC20A0">
        <w:t>and</w:t>
      </w:r>
      <w:r w:rsidRPr="00EC20A0">
        <w:rPr>
          <w:spacing w:val="-4"/>
        </w:rPr>
        <w:t xml:space="preserve"> </w:t>
      </w:r>
      <w:r w:rsidRPr="00EC20A0">
        <w:rPr>
          <w:spacing w:val="-2"/>
        </w:rPr>
        <w:t>Claims</w:t>
      </w:r>
    </w:p>
    <w:p w14:paraId="24D61D17" w14:textId="77777777" w:rsidR="00245300" w:rsidRPr="00EC20A0" w:rsidRDefault="00245300">
      <w:pPr>
        <w:pStyle w:val="BodyText"/>
        <w:spacing w:before="46"/>
        <w:rPr>
          <w:b/>
        </w:rPr>
      </w:pPr>
    </w:p>
    <w:p w14:paraId="24D61D18" w14:textId="77777777" w:rsidR="00245300" w:rsidRPr="00EC20A0" w:rsidRDefault="00F17249">
      <w:pPr>
        <w:pStyle w:val="ListParagraph"/>
        <w:numPr>
          <w:ilvl w:val="0"/>
          <w:numId w:val="70"/>
        </w:numPr>
        <w:tabs>
          <w:tab w:val="left" w:pos="1639"/>
        </w:tabs>
        <w:spacing w:before="0"/>
        <w:ind w:left="1639" w:right="346" w:hanging="720"/>
      </w:pPr>
      <w:r w:rsidRPr="00EC20A0">
        <w:t xml:space="preserve">Management’s representations should acknowledge that all known actual or possible litigation and </w:t>
      </w:r>
      <w:r w:rsidRPr="00EC20A0">
        <w:t>claims whose effects should be considered by management</w:t>
      </w:r>
      <w:r w:rsidRPr="00EC20A0">
        <w:rPr>
          <w:spacing w:val="-4"/>
        </w:rPr>
        <w:t xml:space="preserve"> </w:t>
      </w:r>
      <w:r w:rsidRPr="00EC20A0">
        <w:t>when</w:t>
      </w:r>
      <w:r w:rsidRPr="00EC20A0">
        <w:rPr>
          <w:spacing w:val="-4"/>
        </w:rPr>
        <w:t xml:space="preserve"> </w:t>
      </w:r>
      <w:r w:rsidRPr="00EC20A0">
        <w:t>preparing</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disclosed</w:t>
      </w:r>
      <w:r w:rsidRPr="00EC20A0">
        <w:rPr>
          <w:spacing w:val="-4"/>
        </w:rPr>
        <w:t xml:space="preserve"> </w:t>
      </w:r>
      <w:r w:rsidRPr="00EC20A0">
        <w:t>to</w:t>
      </w:r>
      <w:r w:rsidRPr="00EC20A0">
        <w:rPr>
          <w:spacing w:val="-4"/>
        </w:rPr>
        <w:t xml:space="preserve"> </w:t>
      </w:r>
      <w:r w:rsidRPr="00EC20A0">
        <w:t xml:space="preserve">the auditor and accounted for and disclosed in accordance with the applicable financial reporting framework (generally U.S. GAAP) (items 14 and 15) (AU-C </w:t>
      </w:r>
      <w:r w:rsidRPr="00EC20A0">
        <w:rPr>
          <w:spacing w:val="-2"/>
        </w:rPr>
        <w:t>580.15).</w:t>
      </w:r>
    </w:p>
    <w:p w14:paraId="24D61D19" w14:textId="77777777" w:rsidR="00245300" w:rsidRPr="00EC20A0" w:rsidRDefault="00245300">
      <w:pPr>
        <w:sectPr w:rsidR="00245300" w:rsidRPr="00EC20A0">
          <w:pgSz w:w="12240" w:h="15840"/>
          <w:pgMar w:top="1340" w:right="1100" w:bottom="940" w:left="1240" w:header="721" w:footer="757" w:gutter="0"/>
          <w:cols w:space="720"/>
        </w:sectPr>
      </w:pPr>
    </w:p>
    <w:p w14:paraId="24D61D1A" w14:textId="77777777" w:rsidR="00245300" w:rsidRPr="00EC20A0" w:rsidRDefault="00F17249">
      <w:pPr>
        <w:pStyle w:val="Heading5"/>
        <w:spacing w:before="121"/>
        <w:rPr>
          <w:u w:val="none"/>
        </w:rPr>
      </w:pPr>
      <w:bookmarkStart w:id="373" w:name="Representations_Relating_to_Estimates"/>
      <w:bookmarkEnd w:id="373"/>
      <w:r w:rsidRPr="00EC20A0">
        <w:t>Representations</w:t>
      </w:r>
      <w:r w:rsidRPr="00EC20A0">
        <w:rPr>
          <w:spacing w:val="-7"/>
        </w:rPr>
        <w:t xml:space="preserve"> </w:t>
      </w:r>
      <w:r w:rsidRPr="00EC20A0">
        <w:t>Relating</w:t>
      </w:r>
      <w:r w:rsidRPr="00EC20A0">
        <w:rPr>
          <w:spacing w:val="-4"/>
        </w:rPr>
        <w:t xml:space="preserve"> </w:t>
      </w:r>
      <w:r w:rsidRPr="00EC20A0">
        <w:t>to</w:t>
      </w:r>
      <w:r w:rsidRPr="00EC20A0">
        <w:rPr>
          <w:spacing w:val="-4"/>
        </w:rPr>
        <w:t xml:space="preserve"> </w:t>
      </w:r>
      <w:r w:rsidRPr="00EC20A0">
        <w:rPr>
          <w:spacing w:val="-2"/>
        </w:rPr>
        <w:t>Estimates</w:t>
      </w:r>
    </w:p>
    <w:p w14:paraId="24D61D1B" w14:textId="77777777" w:rsidR="00245300" w:rsidRPr="00EC20A0" w:rsidRDefault="00245300">
      <w:pPr>
        <w:pStyle w:val="BodyText"/>
        <w:spacing w:before="47"/>
        <w:rPr>
          <w:b/>
        </w:rPr>
      </w:pPr>
    </w:p>
    <w:p w14:paraId="24D61D1C" w14:textId="77777777" w:rsidR="00245300" w:rsidRPr="00EC20A0" w:rsidRDefault="00F17249">
      <w:pPr>
        <w:pStyle w:val="ListParagraph"/>
        <w:numPr>
          <w:ilvl w:val="0"/>
          <w:numId w:val="70"/>
        </w:numPr>
        <w:tabs>
          <w:tab w:val="left" w:pos="1639"/>
        </w:tabs>
        <w:spacing w:before="0"/>
        <w:ind w:left="1639" w:right="372" w:hanging="720"/>
      </w:pPr>
      <w:r w:rsidRPr="00EC20A0">
        <w:t>Management’s representations should acknowledge whether the methods, significant assumptions, and data used in making the accounting estimates and the related note disclosures are appropriate to achieve recognition, measurement, or disclosure that is in accordance with the applicable financial reporting</w:t>
      </w:r>
      <w:r w:rsidRPr="00EC20A0">
        <w:rPr>
          <w:spacing w:val="-4"/>
        </w:rPr>
        <w:t xml:space="preserve"> </w:t>
      </w:r>
      <w:r w:rsidRPr="00EC20A0">
        <w:t>framework</w:t>
      </w:r>
      <w:r w:rsidRPr="00EC20A0">
        <w:rPr>
          <w:spacing w:val="-3"/>
        </w:rPr>
        <w:t xml:space="preserve"> </w:t>
      </w:r>
      <w:r w:rsidRPr="00EC20A0">
        <w:t>(generally</w:t>
      </w:r>
      <w:r w:rsidRPr="00EC20A0">
        <w:rPr>
          <w:spacing w:val="-4"/>
        </w:rPr>
        <w:t xml:space="preserve"> </w:t>
      </w:r>
      <w:r w:rsidRPr="00EC20A0">
        <w:t>U.S.</w:t>
      </w:r>
      <w:r w:rsidRPr="00EC20A0">
        <w:rPr>
          <w:spacing w:val="-5"/>
        </w:rPr>
        <w:t xml:space="preserve"> </w:t>
      </w:r>
      <w:r w:rsidRPr="00EC20A0">
        <w:t>GAAP).</w:t>
      </w:r>
      <w:r w:rsidRPr="00EC20A0">
        <w:rPr>
          <w:spacing w:val="-4"/>
        </w:rPr>
        <w:t xml:space="preserve"> </w:t>
      </w:r>
      <w:r w:rsidRPr="00EC20A0">
        <w:t>The</w:t>
      </w:r>
      <w:r w:rsidRPr="00EC20A0">
        <w:rPr>
          <w:spacing w:val="-3"/>
        </w:rPr>
        <w:t xml:space="preserve"> </w:t>
      </w:r>
      <w:r w:rsidRPr="00EC20A0">
        <w:t>auditor</w:t>
      </w:r>
      <w:r w:rsidRPr="00EC20A0">
        <w:rPr>
          <w:spacing w:val="-4"/>
        </w:rPr>
        <w:t xml:space="preserve"> </w:t>
      </w:r>
      <w:r w:rsidRPr="00EC20A0">
        <w:t>should</w:t>
      </w:r>
      <w:r w:rsidRPr="00EC20A0">
        <w:rPr>
          <w:spacing w:val="-4"/>
        </w:rPr>
        <w:t xml:space="preserve"> </w:t>
      </w:r>
      <w:r w:rsidRPr="00EC20A0">
        <w:t>also</w:t>
      </w:r>
      <w:r w:rsidRPr="00EC20A0">
        <w:rPr>
          <w:spacing w:val="-5"/>
        </w:rPr>
        <w:t xml:space="preserve"> </w:t>
      </w:r>
      <w:r w:rsidRPr="00EC20A0">
        <w:t>consider</w:t>
      </w:r>
      <w:r w:rsidRPr="00EC20A0">
        <w:rPr>
          <w:spacing w:val="-4"/>
        </w:rPr>
        <w:t xml:space="preserve"> </w:t>
      </w:r>
      <w:r w:rsidRPr="00EC20A0">
        <w:t>the need to obtain representations about specific accounting estimates, including in relation to the methods, assumptions, or data used (item 4) (AU-C 580.16). See AU-C 580.A13 for example representations about specific accounting estimates.</w:t>
      </w:r>
    </w:p>
    <w:p w14:paraId="24D61D1D" w14:textId="77777777" w:rsidR="00245300" w:rsidRPr="00EC20A0" w:rsidRDefault="00245300">
      <w:pPr>
        <w:pStyle w:val="BodyText"/>
        <w:spacing w:before="47"/>
      </w:pPr>
    </w:p>
    <w:p w14:paraId="24D61D1E" w14:textId="77777777" w:rsidR="00245300" w:rsidRPr="00EC20A0" w:rsidRDefault="00F17249">
      <w:pPr>
        <w:pStyle w:val="Heading5"/>
        <w:spacing w:before="0"/>
        <w:ind w:right="1122"/>
        <w:rPr>
          <w:u w:val="none"/>
        </w:rPr>
      </w:pPr>
      <w:bookmarkStart w:id="374" w:name="Representations_Relating_to_Disclosure_E"/>
      <w:bookmarkEnd w:id="374"/>
      <w:r w:rsidRPr="00EC20A0">
        <w:t>Representations</w:t>
      </w:r>
      <w:r w:rsidRPr="00EC20A0">
        <w:rPr>
          <w:spacing w:val="-7"/>
        </w:rPr>
        <w:t xml:space="preserve"> </w:t>
      </w:r>
      <w:r w:rsidRPr="00EC20A0">
        <w:t>Relating</w:t>
      </w:r>
      <w:r w:rsidRPr="00EC20A0">
        <w:rPr>
          <w:spacing w:val="-7"/>
        </w:rPr>
        <w:t xml:space="preserve"> </w:t>
      </w:r>
      <w:r w:rsidRPr="00EC20A0">
        <w:t>to</w:t>
      </w:r>
      <w:r w:rsidRPr="00EC20A0">
        <w:rPr>
          <w:spacing w:val="-7"/>
        </w:rPr>
        <w:t xml:space="preserve"> </w:t>
      </w:r>
      <w:r w:rsidRPr="00EC20A0">
        <w:t>Disclosure</w:t>
      </w:r>
      <w:r w:rsidRPr="00EC20A0">
        <w:rPr>
          <w:spacing w:val="-7"/>
        </w:rPr>
        <w:t xml:space="preserve"> </w:t>
      </w:r>
      <w:r w:rsidRPr="00EC20A0">
        <w:t>Entities,</w:t>
      </w:r>
      <w:r w:rsidRPr="00EC20A0">
        <w:rPr>
          <w:spacing w:val="-6"/>
        </w:rPr>
        <w:t xml:space="preserve"> </w:t>
      </w:r>
      <w:r w:rsidRPr="00EC20A0">
        <w:t>Related-Parties,</w:t>
      </w:r>
      <w:r w:rsidRPr="00EC20A0">
        <w:rPr>
          <w:spacing w:val="-6"/>
        </w:rPr>
        <w:t xml:space="preserve"> </w:t>
      </w:r>
      <w:r w:rsidRPr="00EC20A0">
        <w:t>and</w:t>
      </w:r>
      <w:r w:rsidRPr="00EC20A0">
        <w:rPr>
          <w:u w:val="none"/>
        </w:rPr>
        <w:t xml:space="preserve"> </w:t>
      </w:r>
      <w:r w:rsidRPr="00EC20A0">
        <w:t>Public-Private Partnerships</w:t>
      </w:r>
    </w:p>
    <w:p w14:paraId="24D61D1F" w14:textId="77777777" w:rsidR="00245300" w:rsidRPr="00EC20A0" w:rsidRDefault="00245300">
      <w:pPr>
        <w:pStyle w:val="BodyText"/>
        <w:spacing w:before="46"/>
        <w:rPr>
          <w:b/>
        </w:rPr>
      </w:pPr>
    </w:p>
    <w:p w14:paraId="24D61D20" w14:textId="77777777" w:rsidR="00245300" w:rsidRPr="00EC20A0" w:rsidRDefault="00F17249">
      <w:pPr>
        <w:pStyle w:val="ListParagraph"/>
        <w:numPr>
          <w:ilvl w:val="0"/>
          <w:numId w:val="70"/>
        </w:numPr>
        <w:tabs>
          <w:tab w:val="left" w:pos="1638"/>
        </w:tabs>
        <w:spacing w:before="0"/>
        <w:ind w:left="1638" w:right="446" w:hanging="719"/>
      </w:pPr>
      <w:r w:rsidRPr="00EC20A0">
        <w:t>Management’s representations should acknowledge that it has disclosed to the auditor the identities of all the entity’s disclosure entities, related parties, and public-private partnerships, and all the relationships and transactions related to them, and it has appropriately accounted for and disclosed such relationships and transactions in the financial statements (items 11 and 12) (AU-C 580.17). For</w:t>
      </w:r>
      <w:r w:rsidRPr="00EC20A0">
        <w:rPr>
          <w:spacing w:val="-5"/>
        </w:rPr>
        <w:t xml:space="preserve"> </w:t>
      </w:r>
      <w:r w:rsidRPr="00EC20A0">
        <w:t>entities</w:t>
      </w:r>
      <w:r w:rsidRPr="00EC20A0">
        <w:rPr>
          <w:spacing w:val="-5"/>
        </w:rPr>
        <w:t xml:space="preserve"> </w:t>
      </w:r>
      <w:r w:rsidRPr="00EC20A0">
        <w:t>issuing</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in</w:t>
      </w:r>
      <w:r w:rsidRPr="00EC20A0">
        <w:rPr>
          <w:spacing w:val="-5"/>
        </w:rPr>
        <w:t xml:space="preserve"> </w:t>
      </w:r>
      <w:r w:rsidRPr="00EC20A0">
        <w:t>accordance</w:t>
      </w:r>
      <w:r w:rsidRPr="00EC20A0">
        <w:rPr>
          <w:spacing w:val="-5"/>
        </w:rPr>
        <w:t xml:space="preserve"> </w:t>
      </w:r>
      <w:r w:rsidRPr="00EC20A0">
        <w:t>with</w:t>
      </w:r>
      <w:r w:rsidRPr="00EC20A0">
        <w:rPr>
          <w:spacing w:val="-5"/>
        </w:rPr>
        <w:t xml:space="preserve"> </w:t>
      </w:r>
      <w:r w:rsidRPr="00EC20A0">
        <w:t>Financial</w:t>
      </w:r>
      <w:r w:rsidRPr="00EC20A0">
        <w:rPr>
          <w:spacing w:val="-5"/>
        </w:rPr>
        <w:t xml:space="preserve"> </w:t>
      </w:r>
      <w:r w:rsidRPr="00EC20A0">
        <w:t>Accounting Standards Board (FASB) accounting standards, this representation does not include disclosure entities and public-private partnerships.</w:t>
      </w:r>
    </w:p>
    <w:p w14:paraId="24D61D21" w14:textId="77777777" w:rsidR="00245300" w:rsidRPr="00EC20A0" w:rsidRDefault="00245300">
      <w:pPr>
        <w:pStyle w:val="BodyText"/>
        <w:spacing w:before="48"/>
      </w:pPr>
    </w:p>
    <w:p w14:paraId="24D61D22" w14:textId="77777777" w:rsidR="00245300" w:rsidRPr="00EC20A0" w:rsidRDefault="00F17249">
      <w:pPr>
        <w:pStyle w:val="Heading5"/>
        <w:spacing w:before="0"/>
        <w:rPr>
          <w:u w:val="none"/>
        </w:rPr>
      </w:pPr>
      <w:bookmarkStart w:id="375" w:name="Representations_Relating_to_Subsequent_E"/>
      <w:bookmarkEnd w:id="375"/>
      <w:r w:rsidRPr="00EC20A0">
        <w:t>Representations</w:t>
      </w:r>
      <w:r w:rsidRPr="00EC20A0">
        <w:rPr>
          <w:spacing w:val="-6"/>
        </w:rPr>
        <w:t xml:space="preserve"> </w:t>
      </w:r>
      <w:r w:rsidRPr="00EC20A0">
        <w:t>Relating</w:t>
      </w:r>
      <w:r w:rsidRPr="00EC20A0">
        <w:rPr>
          <w:spacing w:val="-6"/>
        </w:rPr>
        <w:t xml:space="preserve"> </w:t>
      </w:r>
      <w:r w:rsidRPr="00EC20A0">
        <w:t>to</w:t>
      </w:r>
      <w:r w:rsidRPr="00EC20A0">
        <w:rPr>
          <w:spacing w:val="-6"/>
        </w:rPr>
        <w:t xml:space="preserve"> </w:t>
      </w:r>
      <w:r w:rsidRPr="00EC20A0">
        <w:t>Subsequent</w:t>
      </w:r>
      <w:r w:rsidRPr="00EC20A0">
        <w:rPr>
          <w:spacing w:val="-3"/>
        </w:rPr>
        <w:t xml:space="preserve"> </w:t>
      </w:r>
      <w:r w:rsidRPr="00EC20A0">
        <w:rPr>
          <w:spacing w:val="-2"/>
        </w:rPr>
        <w:t>Events</w:t>
      </w:r>
    </w:p>
    <w:p w14:paraId="24D61D23" w14:textId="77777777" w:rsidR="00245300" w:rsidRPr="00EC20A0" w:rsidRDefault="00245300">
      <w:pPr>
        <w:pStyle w:val="BodyText"/>
        <w:spacing w:before="47"/>
        <w:rPr>
          <w:b/>
        </w:rPr>
      </w:pPr>
    </w:p>
    <w:p w14:paraId="24D61D24" w14:textId="77777777" w:rsidR="00245300" w:rsidRPr="00EC20A0" w:rsidRDefault="00F17249">
      <w:pPr>
        <w:pStyle w:val="ListParagraph"/>
        <w:numPr>
          <w:ilvl w:val="0"/>
          <w:numId w:val="70"/>
        </w:numPr>
        <w:tabs>
          <w:tab w:val="left" w:pos="1640"/>
        </w:tabs>
        <w:spacing w:before="0"/>
        <w:ind w:right="614"/>
      </w:pPr>
      <w:r w:rsidRPr="00EC20A0">
        <w:t xml:space="preserve">Management’s representations should </w:t>
      </w:r>
      <w:r w:rsidRPr="00EC20A0">
        <w:t>acknowledge that all events occurring subsequent</w:t>
      </w:r>
      <w:r w:rsidRPr="00EC20A0">
        <w:rPr>
          <w:spacing w:val="-5"/>
        </w:rPr>
        <w:t xml:space="preserve"> </w:t>
      </w:r>
      <w:r w:rsidRPr="00EC20A0">
        <w:t>to</w:t>
      </w:r>
      <w:r w:rsidRPr="00EC20A0">
        <w:rPr>
          <w:spacing w:val="-4"/>
        </w:rPr>
        <w:t xml:space="preserve"> </w:t>
      </w:r>
      <w:r w:rsidRPr="00EC20A0">
        <w:t>the</w:t>
      </w:r>
      <w:r w:rsidRPr="00EC20A0">
        <w:rPr>
          <w:spacing w:val="-4"/>
        </w:rPr>
        <w:t xml:space="preserve"> </w:t>
      </w:r>
      <w:r w:rsidRPr="00EC20A0">
        <w:t>date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and</w:t>
      </w:r>
      <w:r w:rsidRPr="00EC20A0">
        <w:rPr>
          <w:spacing w:val="-4"/>
        </w:rPr>
        <w:t xml:space="preserve"> </w:t>
      </w:r>
      <w:r w:rsidRPr="00EC20A0">
        <w:t>for</w:t>
      </w:r>
      <w:r w:rsidRPr="00EC20A0">
        <w:rPr>
          <w:spacing w:val="-4"/>
        </w:rPr>
        <w:t xml:space="preserve"> </w:t>
      </w:r>
      <w:r w:rsidRPr="00EC20A0">
        <w:t>which</w:t>
      </w:r>
      <w:r w:rsidRPr="00EC20A0">
        <w:rPr>
          <w:spacing w:val="-4"/>
        </w:rPr>
        <w:t xml:space="preserve"> </w:t>
      </w:r>
      <w:r w:rsidRPr="00EC20A0">
        <w:t>the</w:t>
      </w:r>
      <w:r w:rsidRPr="00EC20A0">
        <w:rPr>
          <w:spacing w:val="-4"/>
        </w:rPr>
        <w:t xml:space="preserve"> </w:t>
      </w:r>
      <w:r w:rsidRPr="00EC20A0">
        <w:t>applicable financial reporting framework (generally U.S. GAAP) requires adjustment or disclosure have been adjusted or disclosed (item 16) (AU-C 580.18).</w:t>
      </w:r>
    </w:p>
    <w:p w14:paraId="24D61D25" w14:textId="77777777" w:rsidR="00245300" w:rsidRPr="00EC20A0" w:rsidRDefault="00245300">
      <w:pPr>
        <w:pStyle w:val="BodyText"/>
        <w:spacing w:before="47"/>
      </w:pPr>
    </w:p>
    <w:p w14:paraId="24D61D26" w14:textId="77777777" w:rsidR="00245300" w:rsidRPr="00EC20A0" w:rsidRDefault="00F17249">
      <w:pPr>
        <w:pStyle w:val="Heading4"/>
        <w:spacing w:before="0"/>
        <w:ind w:left="200"/>
      </w:pPr>
      <w:bookmarkStart w:id="376" w:name="Additional_Written_Representations_on_th"/>
      <w:bookmarkEnd w:id="376"/>
      <w:r w:rsidRPr="00EC20A0">
        <w:t>Additional</w:t>
      </w:r>
      <w:r w:rsidRPr="00EC20A0">
        <w:rPr>
          <w:spacing w:val="-14"/>
        </w:rPr>
        <w:t xml:space="preserve"> </w:t>
      </w:r>
      <w:r w:rsidRPr="00EC20A0">
        <w:t>Written</w:t>
      </w:r>
      <w:r w:rsidRPr="00EC20A0">
        <w:rPr>
          <w:spacing w:val="-14"/>
        </w:rPr>
        <w:t xml:space="preserve"> </w:t>
      </w:r>
      <w:r w:rsidRPr="00EC20A0">
        <w:t>Representations</w:t>
      </w:r>
      <w:r w:rsidRPr="00EC20A0">
        <w:rPr>
          <w:spacing w:val="-14"/>
        </w:rPr>
        <w:t xml:space="preserve"> </w:t>
      </w:r>
      <w:r w:rsidRPr="00EC20A0">
        <w:t>on</w:t>
      </w:r>
      <w:r w:rsidRPr="00EC20A0">
        <w:rPr>
          <w:spacing w:val="-14"/>
        </w:rPr>
        <w:t xml:space="preserve"> </w:t>
      </w:r>
      <w:r w:rsidRPr="00EC20A0">
        <w:t>the</w:t>
      </w:r>
      <w:r w:rsidRPr="00EC20A0">
        <w:rPr>
          <w:spacing w:val="-13"/>
        </w:rPr>
        <w:t xml:space="preserve"> </w:t>
      </w:r>
      <w:r w:rsidRPr="00EC20A0">
        <w:t>Financial</w:t>
      </w:r>
      <w:r w:rsidRPr="00EC20A0">
        <w:rPr>
          <w:spacing w:val="-14"/>
        </w:rPr>
        <w:t xml:space="preserve"> </w:t>
      </w:r>
      <w:r w:rsidRPr="00EC20A0">
        <w:rPr>
          <w:spacing w:val="-2"/>
        </w:rPr>
        <w:t>Statements</w:t>
      </w:r>
    </w:p>
    <w:p w14:paraId="24D61D27" w14:textId="77777777" w:rsidR="00245300" w:rsidRPr="00EC20A0" w:rsidRDefault="00F17249">
      <w:pPr>
        <w:pStyle w:val="ListParagraph"/>
        <w:numPr>
          <w:ilvl w:val="0"/>
          <w:numId w:val="70"/>
        </w:numPr>
        <w:tabs>
          <w:tab w:val="left" w:pos="1639"/>
        </w:tabs>
        <w:spacing w:before="299"/>
        <w:ind w:left="1639" w:right="369" w:hanging="720"/>
      </w:pPr>
      <w:r w:rsidRPr="00EC20A0">
        <w:t xml:space="preserve">In addition to the AU-C sections referenced in FAM 1001.09 through .20, other AU-C sections require the auditor to request written representations (AU-C 580.19). For example, AU-C </w:t>
      </w:r>
      <w:r w:rsidRPr="00EC20A0">
        <w:t>sections 560, 570, 700, and 720 specify additional representations that are required in certain circumstances. Additionally, if the auditor determines that it is necessary to obtain one or more written representations to support other audit evidence relevant to the financial statements or one or more specific assertions in the financial statements, the auditor should request such other written representations (AU-C 580.19). This is important</w:t>
      </w:r>
      <w:r w:rsidRPr="00EC20A0">
        <w:rPr>
          <w:spacing w:val="-4"/>
        </w:rPr>
        <w:t xml:space="preserve"> </w:t>
      </w:r>
      <w:r w:rsidRPr="00EC20A0">
        <w:t>when</w:t>
      </w:r>
      <w:r w:rsidRPr="00EC20A0">
        <w:rPr>
          <w:spacing w:val="-4"/>
        </w:rPr>
        <w:t xml:space="preserve"> </w:t>
      </w:r>
      <w:r w:rsidRPr="00EC20A0">
        <w:t>the</w:t>
      </w:r>
      <w:r w:rsidRPr="00EC20A0">
        <w:rPr>
          <w:spacing w:val="-4"/>
        </w:rPr>
        <w:t xml:space="preserve"> </w:t>
      </w:r>
      <w:r w:rsidRPr="00EC20A0">
        <w:t>corroborating</w:t>
      </w:r>
      <w:r w:rsidRPr="00EC20A0">
        <w:rPr>
          <w:spacing w:val="-4"/>
        </w:rPr>
        <w:t xml:space="preserve"> </w:t>
      </w:r>
      <w:r w:rsidRPr="00EC20A0">
        <w:t>information</w:t>
      </w:r>
      <w:r w:rsidRPr="00EC20A0">
        <w:rPr>
          <w:spacing w:val="-4"/>
        </w:rPr>
        <w:t xml:space="preserve"> </w:t>
      </w:r>
      <w:r w:rsidRPr="00EC20A0">
        <w:t>that</w:t>
      </w:r>
      <w:r w:rsidRPr="00EC20A0">
        <w:rPr>
          <w:spacing w:val="-4"/>
        </w:rPr>
        <w:t xml:space="preserve"> </w:t>
      </w:r>
      <w:r w:rsidRPr="00EC20A0">
        <w:t>can</w:t>
      </w:r>
      <w:r w:rsidRPr="00EC20A0">
        <w:rPr>
          <w:spacing w:val="-4"/>
        </w:rPr>
        <w:t xml:space="preserve"> </w:t>
      </w:r>
      <w:r w:rsidRPr="00EC20A0">
        <w:t>be</w:t>
      </w:r>
      <w:r w:rsidRPr="00EC20A0">
        <w:rPr>
          <w:spacing w:val="-4"/>
        </w:rPr>
        <w:t xml:space="preserve"> </w:t>
      </w:r>
      <w:r w:rsidRPr="00EC20A0">
        <w:t>obtained</w:t>
      </w:r>
      <w:r w:rsidRPr="00EC20A0">
        <w:rPr>
          <w:spacing w:val="-4"/>
        </w:rPr>
        <w:t xml:space="preserve"> </w:t>
      </w:r>
      <w:r w:rsidRPr="00EC20A0">
        <w:t>by</w:t>
      </w:r>
      <w:r w:rsidRPr="00EC20A0">
        <w:rPr>
          <w:spacing w:val="-4"/>
        </w:rPr>
        <w:t xml:space="preserve"> </w:t>
      </w:r>
      <w:r w:rsidRPr="00EC20A0">
        <w:t>procedu</w:t>
      </w:r>
      <w:r w:rsidRPr="00EC20A0">
        <w:t>res other than inquiry is limited. Examples of additional representations that may be appropriate depending on an entity’s operations are provided in AU-C 580.A17 through .A20 and .A35 and in the paragraphs below.</w:t>
      </w:r>
    </w:p>
    <w:p w14:paraId="24D61D28" w14:textId="77777777" w:rsidR="00245300" w:rsidRPr="00EC20A0" w:rsidRDefault="00F17249">
      <w:pPr>
        <w:pStyle w:val="ListParagraph"/>
        <w:numPr>
          <w:ilvl w:val="0"/>
          <w:numId w:val="70"/>
        </w:numPr>
        <w:tabs>
          <w:tab w:val="left" w:pos="1640"/>
        </w:tabs>
        <w:spacing w:before="241"/>
        <w:ind w:right="431" w:hanging="720"/>
      </w:pPr>
      <w:r w:rsidRPr="00EC20A0">
        <w:rPr>
          <w:u w:val="single"/>
        </w:rPr>
        <w:t>Intragovernmental Activities</w:t>
      </w:r>
      <w:r w:rsidRPr="00EC20A0">
        <w:t xml:space="preserve"> – OMB audit guidance has emphasized the importance of identifying and eliminating intragovernmental transactions and resolving</w:t>
      </w:r>
      <w:r w:rsidRPr="00EC20A0">
        <w:rPr>
          <w:spacing w:val="-6"/>
        </w:rPr>
        <w:t xml:space="preserve"> </w:t>
      </w:r>
      <w:r w:rsidRPr="00EC20A0">
        <w:t>intragovernmental</w:t>
      </w:r>
      <w:r w:rsidRPr="00EC20A0">
        <w:rPr>
          <w:spacing w:val="-5"/>
        </w:rPr>
        <w:t xml:space="preserve"> </w:t>
      </w:r>
      <w:r w:rsidRPr="00EC20A0">
        <w:t>differences</w:t>
      </w:r>
      <w:r w:rsidRPr="00EC20A0">
        <w:rPr>
          <w:spacing w:val="-4"/>
        </w:rPr>
        <w:t xml:space="preserve"> </w:t>
      </w:r>
      <w:r w:rsidRPr="00EC20A0">
        <w:t>for</w:t>
      </w:r>
      <w:r w:rsidRPr="00EC20A0">
        <w:rPr>
          <w:spacing w:val="-5"/>
        </w:rPr>
        <w:t xml:space="preserve"> </w:t>
      </w:r>
      <w:r w:rsidRPr="00EC20A0">
        <w:t>federal</w:t>
      </w:r>
      <w:r w:rsidRPr="00EC20A0">
        <w:rPr>
          <w:spacing w:val="-5"/>
        </w:rPr>
        <w:t xml:space="preserve"> </w:t>
      </w:r>
      <w:r w:rsidRPr="00EC20A0">
        <w:t>entities</w:t>
      </w:r>
      <w:r w:rsidRPr="00EC20A0">
        <w:rPr>
          <w:spacing w:val="-4"/>
        </w:rPr>
        <w:t xml:space="preserve"> </w:t>
      </w:r>
      <w:r w:rsidRPr="00EC20A0">
        <w:t>and</w:t>
      </w:r>
      <w:r w:rsidRPr="00EC20A0">
        <w:rPr>
          <w:spacing w:val="-5"/>
        </w:rPr>
        <w:t xml:space="preserve"> </w:t>
      </w:r>
      <w:r w:rsidRPr="00EC20A0">
        <w:t>their</w:t>
      </w:r>
      <w:r w:rsidRPr="00EC20A0">
        <w:rPr>
          <w:spacing w:val="-5"/>
        </w:rPr>
        <w:t xml:space="preserve"> </w:t>
      </w:r>
      <w:r w:rsidRPr="00EC20A0">
        <w:t>components (item 18).</w:t>
      </w:r>
    </w:p>
    <w:p w14:paraId="24D61D29" w14:textId="77777777" w:rsidR="00245300" w:rsidRPr="00EC20A0" w:rsidRDefault="00245300">
      <w:pPr>
        <w:sectPr w:rsidR="00245300" w:rsidRPr="00EC20A0">
          <w:pgSz w:w="12240" w:h="15840"/>
          <w:pgMar w:top="1340" w:right="1100" w:bottom="940" w:left="1240" w:header="721" w:footer="757" w:gutter="0"/>
          <w:cols w:space="720"/>
        </w:sectPr>
      </w:pPr>
    </w:p>
    <w:p w14:paraId="24D61D2A" w14:textId="77777777" w:rsidR="00245300" w:rsidRPr="00EC20A0" w:rsidRDefault="00F17249">
      <w:pPr>
        <w:pStyle w:val="ListParagraph"/>
        <w:numPr>
          <w:ilvl w:val="0"/>
          <w:numId w:val="70"/>
        </w:numPr>
        <w:tabs>
          <w:tab w:val="left" w:pos="1640"/>
        </w:tabs>
        <w:spacing w:before="121"/>
        <w:ind w:right="346" w:hanging="720"/>
      </w:pPr>
      <w:r w:rsidRPr="00EC20A0">
        <w:rPr>
          <w:u w:val="single"/>
        </w:rPr>
        <w:t>Financial management systems’ substantial compliance with the three</w:t>
      </w:r>
      <w:r w:rsidRPr="00EC20A0">
        <w:t xml:space="preserve"> </w:t>
      </w:r>
      <w:r w:rsidRPr="00EC20A0">
        <w:rPr>
          <w:u w:val="single"/>
        </w:rPr>
        <w:t>requirements of FFMIA</w:t>
      </w:r>
      <w:r w:rsidRPr="00EC20A0">
        <w:t xml:space="preserve"> – FFMIA requires an auditor auditing the financial statements of a CFO Act agency to report whether the agency’s financial management</w:t>
      </w:r>
      <w:r w:rsidRPr="00EC20A0">
        <w:rPr>
          <w:spacing w:val="-5"/>
        </w:rPr>
        <w:t xml:space="preserve"> </w:t>
      </w:r>
      <w:r w:rsidRPr="00EC20A0">
        <w:t>systems</w:t>
      </w:r>
      <w:r w:rsidRPr="00EC20A0">
        <w:rPr>
          <w:spacing w:val="-5"/>
        </w:rPr>
        <w:t xml:space="preserve"> </w:t>
      </w:r>
      <w:r w:rsidRPr="00EC20A0">
        <w:t>comply</w:t>
      </w:r>
      <w:r w:rsidRPr="00EC20A0">
        <w:rPr>
          <w:spacing w:val="-5"/>
        </w:rPr>
        <w:t xml:space="preserve"> </w:t>
      </w:r>
      <w:r w:rsidRPr="00EC20A0">
        <w:t>substantially</w:t>
      </w:r>
      <w:r w:rsidRPr="00EC20A0">
        <w:rPr>
          <w:spacing w:val="-4"/>
        </w:rPr>
        <w:t xml:space="preserve"> </w:t>
      </w:r>
      <w:r w:rsidRPr="00EC20A0">
        <w:t>with</w:t>
      </w:r>
      <w:r w:rsidRPr="00EC20A0">
        <w:rPr>
          <w:spacing w:val="-5"/>
        </w:rPr>
        <w:t xml:space="preserve"> </w:t>
      </w:r>
      <w:r w:rsidRPr="00EC20A0">
        <w:t>(1)</w:t>
      </w:r>
      <w:r w:rsidRPr="00EC20A0">
        <w:rPr>
          <w:spacing w:val="-5"/>
        </w:rPr>
        <w:t xml:space="preserve"> </w:t>
      </w:r>
      <w:r w:rsidRPr="00EC20A0">
        <w:t>federal</w:t>
      </w:r>
      <w:r w:rsidRPr="00EC20A0">
        <w:rPr>
          <w:spacing w:val="-5"/>
        </w:rPr>
        <w:t xml:space="preserve"> </w:t>
      </w:r>
      <w:r w:rsidRPr="00EC20A0">
        <w:t>financial</w:t>
      </w:r>
      <w:r w:rsidRPr="00EC20A0">
        <w:rPr>
          <w:spacing w:val="-5"/>
        </w:rPr>
        <w:t xml:space="preserve"> </w:t>
      </w:r>
      <w:r w:rsidRPr="00EC20A0">
        <w:t xml:space="preserve">management systems requirements, (2) applicable federal accounting standards (U.S. GAAP), and (3) the </w:t>
      </w:r>
      <w:r w:rsidRPr="00EC20A0">
        <w:rPr>
          <w:i/>
        </w:rPr>
        <w:t xml:space="preserve">U.S. Standard General Ledger </w:t>
      </w:r>
      <w:r w:rsidRPr="00EC20A0">
        <w:t>(USSGL) at the transaction level. To report in accordance with FFMIA, the auditor should obtain representations from management</w:t>
      </w:r>
      <w:r w:rsidRPr="00EC20A0">
        <w:rPr>
          <w:spacing w:val="-1"/>
        </w:rPr>
        <w:t xml:space="preserve"> </w:t>
      </w:r>
      <w:r w:rsidRPr="00EC20A0">
        <w:t>as</w:t>
      </w:r>
      <w:r w:rsidRPr="00EC20A0">
        <w:rPr>
          <w:spacing w:val="-1"/>
        </w:rPr>
        <w:t xml:space="preserve"> </w:t>
      </w:r>
      <w:r w:rsidRPr="00EC20A0">
        <w:t>to</w:t>
      </w:r>
      <w:r w:rsidRPr="00EC20A0">
        <w:rPr>
          <w:spacing w:val="-1"/>
        </w:rPr>
        <w:t xml:space="preserve"> </w:t>
      </w:r>
      <w:r w:rsidRPr="00EC20A0">
        <w:t>the</w:t>
      </w:r>
      <w:r w:rsidRPr="00EC20A0">
        <w:rPr>
          <w:spacing w:val="-1"/>
        </w:rPr>
        <w:t xml:space="preserve"> </w:t>
      </w:r>
      <w:r w:rsidRPr="00EC20A0">
        <w:t>agency’s</w:t>
      </w:r>
      <w:r w:rsidRPr="00EC20A0">
        <w:rPr>
          <w:spacing w:val="-1"/>
        </w:rPr>
        <w:t xml:space="preserve"> </w:t>
      </w:r>
      <w:r w:rsidRPr="00EC20A0">
        <w:t>financial</w:t>
      </w:r>
      <w:r w:rsidRPr="00EC20A0">
        <w:rPr>
          <w:spacing w:val="-1"/>
        </w:rPr>
        <w:t xml:space="preserve"> </w:t>
      </w:r>
      <w:r w:rsidRPr="00EC20A0">
        <w:t>management</w:t>
      </w:r>
      <w:r w:rsidRPr="00EC20A0">
        <w:rPr>
          <w:spacing w:val="-1"/>
        </w:rPr>
        <w:t xml:space="preserve"> </w:t>
      </w:r>
      <w:r w:rsidRPr="00EC20A0">
        <w:t>systems’</w:t>
      </w:r>
      <w:r w:rsidRPr="00EC20A0">
        <w:rPr>
          <w:spacing w:val="-1"/>
        </w:rPr>
        <w:t xml:space="preserve"> </w:t>
      </w:r>
      <w:r w:rsidRPr="00EC20A0">
        <w:t>compliance</w:t>
      </w:r>
      <w:r w:rsidRPr="00EC20A0">
        <w:rPr>
          <w:spacing w:val="-1"/>
        </w:rPr>
        <w:t xml:space="preserve"> </w:t>
      </w:r>
      <w:r w:rsidRPr="00EC20A0">
        <w:t>with these requirements.</w:t>
      </w:r>
    </w:p>
    <w:p w14:paraId="24D61D2B" w14:textId="77777777" w:rsidR="00245300" w:rsidRPr="00EC20A0" w:rsidRDefault="00F17249">
      <w:pPr>
        <w:pStyle w:val="ListParagraph"/>
        <w:numPr>
          <w:ilvl w:val="0"/>
          <w:numId w:val="70"/>
        </w:numPr>
        <w:tabs>
          <w:tab w:val="left" w:pos="1639"/>
        </w:tabs>
        <w:ind w:left="1639" w:right="419" w:hanging="720"/>
      </w:pPr>
      <w:r w:rsidRPr="00EC20A0">
        <w:t xml:space="preserve">The auditor should obtain representations that management is responsible for having its systems comply with the FFMIA requirements, stating that it has assessed the systems’ compliance, stating the criteria used, and asserting the systems’ substantial compliance (or lack thereof) (items 37- 39). The criteria are the requirements in OMB Circular No. A-123, appendix D, </w:t>
      </w:r>
      <w:r w:rsidRPr="00EC20A0">
        <w:rPr>
          <w:i/>
        </w:rPr>
        <w:t>Management of Financial Management Systems – Risk and Compliance</w:t>
      </w:r>
      <w:r w:rsidRPr="00EC20A0">
        <w:t>. The federal financial management</w:t>
      </w:r>
      <w:r w:rsidRPr="00EC20A0">
        <w:rPr>
          <w:spacing w:val="-6"/>
        </w:rPr>
        <w:t xml:space="preserve"> </w:t>
      </w:r>
      <w:r w:rsidRPr="00EC20A0">
        <w:t>systems</w:t>
      </w:r>
      <w:r w:rsidRPr="00EC20A0">
        <w:rPr>
          <w:spacing w:val="-6"/>
        </w:rPr>
        <w:t xml:space="preserve"> </w:t>
      </w:r>
      <w:r w:rsidRPr="00EC20A0">
        <w:t>requirements</w:t>
      </w:r>
      <w:r w:rsidRPr="00EC20A0">
        <w:rPr>
          <w:spacing w:val="-6"/>
        </w:rPr>
        <w:t xml:space="preserve"> </w:t>
      </w:r>
      <w:r w:rsidRPr="00EC20A0">
        <w:t>are</w:t>
      </w:r>
      <w:r w:rsidRPr="00EC20A0">
        <w:rPr>
          <w:spacing w:val="-6"/>
        </w:rPr>
        <w:t xml:space="preserve"> </w:t>
      </w:r>
      <w:r w:rsidRPr="00EC20A0">
        <w:t>further</w:t>
      </w:r>
      <w:r w:rsidRPr="00EC20A0">
        <w:rPr>
          <w:spacing w:val="-6"/>
        </w:rPr>
        <w:t xml:space="preserve"> </w:t>
      </w:r>
      <w:r w:rsidRPr="00EC20A0">
        <w:t>described,</w:t>
      </w:r>
      <w:r w:rsidRPr="00EC20A0">
        <w:rPr>
          <w:spacing w:val="-6"/>
        </w:rPr>
        <w:t xml:space="preserve"> </w:t>
      </w:r>
      <w:r w:rsidRPr="00EC20A0">
        <w:t>including</w:t>
      </w:r>
      <w:r w:rsidRPr="00EC20A0">
        <w:rPr>
          <w:spacing w:val="-6"/>
        </w:rPr>
        <w:t xml:space="preserve"> </w:t>
      </w:r>
      <w:r w:rsidRPr="00EC20A0">
        <w:t xml:space="preserve">authoritative references, in the </w:t>
      </w:r>
      <w:r w:rsidRPr="00EC20A0">
        <w:rPr>
          <w:i/>
        </w:rPr>
        <w:t>Treasury Financial Manual</w:t>
      </w:r>
      <w:r w:rsidRPr="00EC20A0">
        <w:t xml:space="preserve">, volume 1, part 6, chapter 9500, </w:t>
      </w:r>
      <w:r w:rsidRPr="00EC20A0">
        <w:rPr>
          <w:i/>
        </w:rPr>
        <w:t>Revised Federal Financial Management System Requirements</w:t>
      </w:r>
      <w:r w:rsidRPr="00EC20A0">
        <w:t>.</w:t>
      </w:r>
    </w:p>
    <w:p w14:paraId="24D61D2C" w14:textId="77777777" w:rsidR="00245300" w:rsidRPr="00EC20A0" w:rsidRDefault="00F17249">
      <w:pPr>
        <w:pStyle w:val="ListParagraph"/>
        <w:numPr>
          <w:ilvl w:val="0"/>
          <w:numId w:val="70"/>
        </w:numPr>
        <w:tabs>
          <w:tab w:val="left" w:pos="1640"/>
        </w:tabs>
        <w:spacing w:before="239"/>
        <w:ind w:right="723" w:hanging="720"/>
      </w:pPr>
      <w:r w:rsidRPr="00EC20A0">
        <w:rPr>
          <w:u w:val="single"/>
        </w:rPr>
        <w:t xml:space="preserve">Statement of Social Insurance and Changes in Social Insurance Amounts </w:t>
      </w:r>
      <w:r w:rsidRPr="00EC20A0">
        <w:t>– FASAB</w:t>
      </w:r>
      <w:r w:rsidRPr="00EC20A0">
        <w:rPr>
          <w:spacing w:val="-5"/>
        </w:rPr>
        <w:t xml:space="preserve"> </w:t>
      </w:r>
      <w:r w:rsidRPr="00EC20A0">
        <w:t>standards</w:t>
      </w:r>
      <w:r w:rsidRPr="00EC20A0">
        <w:rPr>
          <w:spacing w:val="-4"/>
        </w:rPr>
        <w:t xml:space="preserve"> </w:t>
      </w:r>
      <w:r w:rsidRPr="00EC20A0">
        <w:t>require</w:t>
      </w:r>
      <w:r w:rsidRPr="00EC20A0">
        <w:rPr>
          <w:spacing w:val="-4"/>
        </w:rPr>
        <w:t xml:space="preserve"> </w:t>
      </w:r>
      <w:r w:rsidRPr="00EC20A0">
        <w:t>a</w:t>
      </w:r>
      <w:r w:rsidRPr="00EC20A0">
        <w:rPr>
          <w:spacing w:val="-4"/>
        </w:rPr>
        <w:t xml:space="preserve"> </w:t>
      </w:r>
      <w:r w:rsidRPr="00EC20A0">
        <w:rPr>
          <w:i/>
        </w:rPr>
        <w:t>Statement</w:t>
      </w:r>
      <w:r w:rsidRPr="00EC20A0">
        <w:rPr>
          <w:i/>
          <w:spacing w:val="-4"/>
        </w:rPr>
        <w:t xml:space="preserve"> </w:t>
      </w:r>
      <w:r w:rsidRPr="00EC20A0">
        <w:rPr>
          <w:i/>
        </w:rPr>
        <w:t>of</w:t>
      </w:r>
      <w:r w:rsidRPr="00EC20A0">
        <w:rPr>
          <w:i/>
          <w:spacing w:val="-4"/>
        </w:rPr>
        <w:t xml:space="preserve"> </w:t>
      </w:r>
      <w:r w:rsidRPr="00EC20A0">
        <w:rPr>
          <w:i/>
        </w:rPr>
        <w:t>Social</w:t>
      </w:r>
      <w:r w:rsidRPr="00EC20A0">
        <w:rPr>
          <w:i/>
          <w:spacing w:val="-4"/>
        </w:rPr>
        <w:t xml:space="preserve"> </w:t>
      </w:r>
      <w:r w:rsidRPr="00EC20A0">
        <w:rPr>
          <w:i/>
        </w:rPr>
        <w:t>Insurance</w:t>
      </w:r>
      <w:r w:rsidRPr="00EC20A0">
        <w:rPr>
          <w:i/>
          <w:spacing w:val="-4"/>
        </w:rPr>
        <w:t xml:space="preserve"> </w:t>
      </w:r>
      <w:r w:rsidRPr="00EC20A0">
        <w:t>for</w:t>
      </w:r>
      <w:r w:rsidRPr="00EC20A0">
        <w:rPr>
          <w:spacing w:val="-5"/>
        </w:rPr>
        <w:t xml:space="preserve"> </w:t>
      </w:r>
      <w:r w:rsidRPr="00EC20A0">
        <w:t>certain</w:t>
      </w:r>
      <w:r w:rsidRPr="00EC20A0">
        <w:rPr>
          <w:spacing w:val="-4"/>
        </w:rPr>
        <w:t xml:space="preserve"> </w:t>
      </w:r>
      <w:r w:rsidRPr="00EC20A0">
        <w:t>entities. See</w:t>
      </w:r>
      <w:r w:rsidRPr="00EC20A0">
        <w:rPr>
          <w:spacing w:val="-4"/>
        </w:rPr>
        <w:t xml:space="preserve"> </w:t>
      </w:r>
      <w:r w:rsidRPr="00EC20A0">
        <w:t>AICPA</w:t>
      </w:r>
      <w:r w:rsidRPr="00EC20A0">
        <w:rPr>
          <w:spacing w:val="-3"/>
        </w:rPr>
        <w:t xml:space="preserve"> </w:t>
      </w:r>
      <w:r w:rsidRPr="00EC20A0">
        <w:t>publication</w:t>
      </w:r>
      <w:r w:rsidRPr="00EC20A0">
        <w:rPr>
          <w:spacing w:val="-7"/>
        </w:rPr>
        <w:t xml:space="preserve"> </w:t>
      </w:r>
      <w:r w:rsidRPr="00EC20A0">
        <w:t>SOP</w:t>
      </w:r>
      <w:r w:rsidRPr="00EC20A0">
        <w:rPr>
          <w:spacing w:val="-4"/>
        </w:rPr>
        <w:t xml:space="preserve"> </w:t>
      </w:r>
      <w:r w:rsidRPr="00EC20A0">
        <w:t>04-1,</w:t>
      </w:r>
      <w:r w:rsidRPr="00EC20A0">
        <w:rPr>
          <w:spacing w:val="-3"/>
        </w:rPr>
        <w:t xml:space="preserve"> </w:t>
      </w:r>
      <w:r w:rsidRPr="00EC20A0">
        <w:rPr>
          <w:i/>
        </w:rPr>
        <w:t>Auditing</w:t>
      </w:r>
      <w:r w:rsidRPr="00EC20A0">
        <w:rPr>
          <w:i/>
          <w:spacing w:val="-4"/>
        </w:rPr>
        <w:t xml:space="preserve"> </w:t>
      </w:r>
      <w:r w:rsidRPr="00EC20A0">
        <w:rPr>
          <w:i/>
        </w:rPr>
        <w:t>the</w:t>
      </w:r>
      <w:r w:rsidRPr="00EC20A0">
        <w:rPr>
          <w:i/>
          <w:spacing w:val="-5"/>
        </w:rPr>
        <w:t xml:space="preserve"> </w:t>
      </w:r>
      <w:r w:rsidRPr="00EC20A0">
        <w:rPr>
          <w:i/>
        </w:rPr>
        <w:t>Statement</w:t>
      </w:r>
      <w:r w:rsidRPr="00EC20A0">
        <w:rPr>
          <w:i/>
          <w:spacing w:val="-4"/>
        </w:rPr>
        <w:t xml:space="preserve"> </w:t>
      </w:r>
      <w:r w:rsidRPr="00EC20A0">
        <w:rPr>
          <w:i/>
        </w:rPr>
        <w:t>of</w:t>
      </w:r>
      <w:r w:rsidRPr="00EC20A0">
        <w:rPr>
          <w:i/>
          <w:spacing w:val="-4"/>
        </w:rPr>
        <w:t xml:space="preserve"> </w:t>
      </w:r>
      <w:r w:rsidRPr="00EC20A0">
        <w:rPr>
          <w:i/>
        </w:rPr>
        <w:t>Social</w:t>
      </w:r>
      <w:r w:rsidRPr="00EC20A0">
        <w:rPr>
          <w:i/>
          <w:spacing w:val="-4"/>
        </w:rPr>
        <w:t xml:space="preserve"> </w:t>
      </w:r>
      <w:r w:rsidRPr="00EC20A0">
        <w:rPr>
          <w:i/>
        </w:rPr>
        <w:t xml:space="preserve">Insurance </w:t>
      </w:r>
      <w:r w:rsidRPr="00EC20A0">
        <w:t>(AU-C 580.19; SOP 04-1 § 36) (items 44-52).</w:t>
      </w:r>
    </w:p>
    <w:p w14:paraId="24D61D2D" w14:textId="77777777" w:rsidR="00245300" w:rsidRPr="00EC20A0" w:rsidRDefault="00F17249">
      <w:pPr>
        <w:pStyle w:val="ListParagraph"/>
        <w:numPr>
          <w:ilvl w:val="0"/>
          <w:numId w:val="70"/>
        </w:numPr>
        <w:tabs>
          <w:tab w:val="left" w:pos="1640"/>
        </w:tabs>
        <w:spacing w:before="241"/>
        <w:ind w:right="1531"/>
      </w:pPr>
      <w:r w:rsidRPr="00EC20A0">
        <w:rPr>
          <w:u w:val="single"/>
        </w:rPr>
        <w:t>Budgetary</w:t>
      </w:r>
      <w:r w:rsidRPr="00EC20A0">
        <w:rPr>
          <w:spacing w:val="-5"/>
          <w:u w:val="single"/>
        </w:rPr>
        <w:t xml:space="preserve"> </w:t>
      </w:r>
      <w:r w:rsidRPr="00EC20A0">
        <w:rPr>
          <w:u w:val="single"/>
        </w:rPr>
        <w:t>Funds</w:t>
      </w:r>
      <w:r w:rsidRPr="00EC20A0">
        <w:rPr>
          <w:spacing w:val="-5"/>
        </w:rPr>
        <w:t xml:space="preserve"> </w:t>
      </w:r>
      <w:r w:rsidRPr="00EC20A0">
        <w:t>–</w:t>
      </w:r>
      <w:r w:rsidRPr="00EC20A0">
        <w:rPr>
          <w:spacing w:val="-5"/>
        </w:rPr>
        <w:t xml:space="preserve"> </w:t>
      </w:r>
      <w:r w:rsidRPr="00EC20A0">
        <w:t>OMB</w:t>
      </w:r>
      <w:r w:rsidRPr="00EC20A0">
        <w:rPr>
          <w:spacing w:val="-4"/>
        </w:rPr>
        <w:t xml:space="preserve"> </w:t>
      </w:r>
      <w:r w:rsidRPr="00EC20A0">
        <w:t>audit</w:t>
      </w:r>
      <w:r w:rsidRPr="00EC20A0">
        <w:rPr>
          <w:spacing w:val="-5"/>
        </w:rPr>
        <w:t xml:space="preserve"> </w:t>
      </w:r>
      <w:r w:rsidRPr="00EC20A0">
        <w:t>guidance</w:t>
      </w:r>
      <w:r w:rsidRPr="00EC20A0">
        <w:rPr>
          <w:spacing w:val="-5"/>
        </w:rPr>
        <w:t xml:space="preserve"> </w:t>
      </w:r>
      <w:r w:rsidRPr="00EC20A0">
        <w:t>includes</w:t>
      </w:r>
      <w:r w:rsidRPr="00EC20A0">
        <w:rPr>
          <w:spacing w:val="-6"/>
        </w:rPr>
        <w:t xml:space="preserve"> </w:t>
      </w:r>
      <w:r w:rsidRPr="00EC20A0">
        <w:t>a</w:t>
      </w:r>
      <w:r w:rsidRPr="00EC20A0">
        <w:rPr>
          <w:spacing w:val="-5"/>
        </w:rPr>
        <w:t xml:space="preserve"> </w:t>
      </w:r>
      <w:r w:rsidRPr="00EC20A0">
        <w:t>representation</w:t>
      </w:r>
      <w:r w:rsidRPr="00EC20A0">
        <w:rPr>
          <w:spacing w:val="-4"/>
        </w:rPr>
        <w:t xml:space="preserve"> </w:t>
      </w:r>
      <w:r w:rsidRPr="00EC20A0">
        <w:t>by management on the consistency of budgetary data (item 53).</w:t>
      </w:r>
    </w:p>
    <w:p w14:paraId="24D61D2E" w14:textId="77777777" w:rsidR="00245300" w:rsidRPr="00EC20A0" w:rsidRDefault="00F17249">
      <w:pPr>
        <w:pStyle w:val="ListParagraph"/>
        <w:numPr>
          <w:ilvl w:val="0"/>
          <w:numId w:val="70"/>
        </w:numPr>
        <w:tabs>
          <w:tab w:val="left" w:pos="1639"/>
        </w:tabs>
        <w:spacing w:before="239"/>
        <w:ind w:left="1639" w:right="394" w:hanging="720"/>
      </w:pPr>
      <w:r w:rsidRPr="00EC20A0">
        <w:rPr>
          <w:u w:val="single"/>
        </w:rPr>
        <w:t xml:space="preserve">Restricted Funds </w:t>
      </w:r>
      <w:r w:rsidRPr="00EC20A0">
        <w:t xml:space="preserve">– All material funds from dedicated collections, as defined by Statement of Federal Financial Accounting Standards (SFFAS) 43, </w:t>
      </w:r>
      <w:r w:rsidRPr="00EC20A0">
        <w:rPr>
          <w:i/>
        </w:rPr>
        <w:t>Funds from Dedicated Collections: Amending Statement of Federal Financial Accounting Standards</w:t>
      </w:r>
      <w:r w:rsidRPr="00EC20A0">
        <w:rPr>
          <w:i/>
          <w:spacing w:val="-4"/>
        </w:rPr>
        <w:t xml:space="preserve"> </w:t>
      </w:r>
      <w:r w:rsidRPr="00EC20A0">
        <w:rPr>
          <w:i/>
        </w:rPr>
        <w:t>27,</w:t>
      </w:r>
      <w:r w:rsidRPr="00EC20A0">
        <w:rPr>
          <w:i/>
          <w:spacing w:val="-4"/>
        </w:rPr>
        <w:t xml:space="preserve"> </w:t>
      </w:r>
      <w:r w:rsidRPr="00EC20A0">
        <w:rPr>
          <w:i/>
        </w:rPr>
        <w:t>Identifying</w:t>
      </w:r>
      <w:r w:rsidRPr="00EC20A0">
        <w:rPr>
          <w:i/>
          <w:spacing w:val="-4"/>
        </w:rPr>
        <w:t xml:space="preserve"> </w:t>
      </w:r>
      <w:r w:rsidRPr="00EC20A0">
        <w:rPr>
          <w:i/>
        </w:rPr>
        <w:t>and</w:t>
      </w:r>
      <w:r w:rsidRPr="00EC20A0">
        <w:rPr>
          <w:i/>
          <w:spacing w:val="-4"/>
        </w:rPr>
        <w:t xml:space="preserve"> </w:t>
      </w:r>
      <w:r w:rsidRPr="00EC20A0">
        <w:rPr>
          <w:i/>
        </w:rPr>
        <w:t>Reporting</w:t>
      </w:r>
      <w:r w:rsidRPr="00EC20A0">
        <w:rPr>
          <w:i/>
          <w:spacing w:val="-4"/>
        </w:rPr>
        <w:t xml:space="preserve"> </w:t>
      </w:r>
      <w:r w:rsidRPr="00EC20A0">
        <w:rPr>
          <w:i/>
        </w:rPr>
        <w:t>Earmarked</w:t>
      </w:r>
      <w:r w:rsidRPr="00EC20A0">
        <w:rPr>
          <w:i/>
          <w:spacing w:val="-4"/>
        </w:rPr>
        <w:t xml:space="preserve"> </w:t>
      </w:r>
      <w:r w:rsidRPr="00EC20A0">
        <w:rPr>
          <w:i/>
        </w:rPr>
        <w:t>Funds</w:t>
      </w:r>
      <w:r w:rsidRPr="00EC20A0">
        <w:t>,</w:t>
      </w:r>
      <w:r w:rsidRPr="00EC20A0">
        <w:rPr>
          <w:spacing w:val="-5"/>
        </w:rPr>
        <w:t xml:space="preserve"> </w:t>
      </w:r>
      <w:r w:rsidRPr="00EC20A0">
        <w:t>and</w:t>
      </w:r>
      <w:r w:rsidRPr="00EC20A0">
        <w:rPr>
          <w:spacing w:val="-4"/>
        </w:rPr>
        <w:t xml:space="preserve"> </w:t>
      </w:r>
      <w:r w:rsidRPr="00EC20A0">
        <w:t>all</w:t>
      </w:r>
      <w:r w:rsidRPr="00EC20A0">
        <w:rPr>
          <w:spacing w:val="-4"/>
        </w:rPr>
        <w:t xml:space="preserve"> </w:t>
      </w:r>
      <w:r w:rsidRPr="00EC20A0">
        <w:t>other</w:t>
      </w:r>
      <w:r w:rsidRPr="00EC20A0">
        <w:rPr>
          <w:spacing w:val="-5"/>
        </w:rPr>
        <w:t xml:space="preserve"> </w:t>
      </w:r>
      <w:r w:rsidRPr="00EC20A0">
        <w:t>material restricted funds (e.g., restricted cash), are to be presented and/or disclosed in the financial statements (item 54).</w:t>
      </w:r>
    </w:p>
    <w:p w14:paraId="24D61D2F" w14:textId="77777777" w:rsidR="00245300" w:rsidRPr="00EC20A0" w:rsidRDefault="00F17249">
      <w:pPr>
        <w:pStyle w:val="ListParagraph"/>
        <w:numPr>
          <w:ilvl w:val="0"/>
          <w:numId w:val="70"/>
        </w:numPr>
        <w:tabs>
          <w:tab w:val="left" w:pos="1640"/>
        </w:tabs>
        <w:ind w:right="505"/>
      </w:pPr>
      <w:r w:rsidRPr="00EC20A0">
        <w:rPr>
          <w:u w:val="single"/>
        </w:rPr>
        <w:t>Service Organizations</w:t>
      </w:r>
      <w:r w:rsidRPr="00EC20A0">
        <w:t xml:space="preserve"> – OMB audit guidance includes representations by management</w:t>
      </w:r>
      <w:r w:rsidRPr="00EC20A0">
        <w:rPr>
          <w:spacing w:val="-4"/>
        </w:rPr>
        <w:t xml:space="preserve"> </w:t>
      </w:r>
      <w:r w:rsidRPr="00EC20A0">
        <w:t>on</w:t>
      </w:r>
      <w:r w:rsidRPr="00EC20A0">
        <w:rPr>
          <w:spacing w:val="-4"/>
        </w:rPr>
        <w:t xml:space="preserve"> </w:t>
      </w:r>
      <w:r w:rsidRPr="00EC20A0">
        <w:t>its</w:t>
      </w:r>
      <w:r w:rsidRPr="00EC20A0">
        <w:rPr>
          <w:spacing w:val="-4"/>
        </w:rPr>
        <w:t xml:space="preserve"> </w:t>
      </w:r>
      <w:r w:rsidRPr="00EC20A0">
        <w:t>knowledge</w:t>
      </w:r>
      <w:r w:rsidRPr="00EC20A0">
        <w:rPr>
          <w:spacing w:val="-4"/>
        </w:rPr>
        <w:t xml:space="preserve"> </w:t>
      </w:r>
      <w:r w:rsidRPr="00EC20A0">
        <w:t>of</w:t>
      </w:r>
      <w:r w:rsidRPr="00EC20A0">
        <w:rPr>
          <w:spacing w:val="-4"/>
        </w:rPr>
        <w:t xml:space="preserve"> </w:t>
      </w:r>
      <w:r w:rsidRPr="00EC20A0">
        <w:t>(1)</w:t>
      </w:r>
      <w:r w:rsidRPr="00EC20A0">
        <w:rPr>
          <w:spacing w:val="-6"/>
        </w:rPr>
        <w:t xml:space="preserve"> </w:t>
      </w:r>
      <w:r w:rsidRPr="00EC20A0">
        <w:t>any</w:t>
      </w:r>
      <w:r w:rsidRPr="00EC20A0">
        <w:rPr>
          <w:spacing w:val="-4"/>
        </w:rPr>
        <w:t xml:space="preserve"> </w:t>
      </w:r>
      <w:r w:rsidRPr="00EC20A0">
        <w:t>fraud,</w:t>
      </w:r>
      <w:r w:rsidRPr="00EC20A0">
        <w:rPr>
          <w:spacing w:val="-3"/>
        </w:rPr>
        <w:t xml:space="preserve"> </w:t>
      </w:r>
      <w:r w:rsidRPr="00EC20A0">
        <w:t>non-compliance,</w:t>
      </w:r>
      <w:r w:rsidRPr="00EC20A0">
        <w:rPr>
          <w:spacing w:val="-4"/>
        </w:rPr>
        <w:t xml:space="preserve"> </w:t>
      </w:r>
      <w:r w:rsidRPr="00EC20A0">
        <w:t>or</w:t>
      </w:r>
      <w:r w:rsidRPr="00EC20A0">
        <w:rPr>
          <w:spacing w:val="-4"/>
        </w:rPr>
        <w:t xml:space="preserve"> </w:t>
      </w:r>
      <w:r w:rsidRPr="00EC20A0">
        <w:t xml:space="preserve">uncorrected misstatements reported by, or related </w:t>
      </w:r>
      <w:proofErr w:type="spellStart"/>
      <w:r w:rsidRPr="00EC20A0">
        <w:t>to,</w:t>
      </w:r>
      <w:proofErr w:type="spellEnd"/>
      <w:r w:rsidRPr="00EC20A0">
        <w:t xml:space="preserve"> service organizations, and (2) any changes</w:t>
      </w:r>
      <w:r w:rsidRPr="00EC20A0">
        <w:rPr>
          <w:spacing w:val="-3"/>
        </w:rPr>
        <w:t xml:space="preserve"> </w:t>
      </w:r>
      <w:r w:rsidRPr="00EC20A0">
        <w:t>in</w:t>
      </w:r>
      <w:r w:rsidRPr="00EC20A0">
        <w:rPr>
          <w:spacing w:val="-4"/>
        </w:rPr>
        <w:t xml:space="preserve"> </w:t>
      </w:r>
      <w:r w:rsidRPr="00EC20A0">
        <w:t>internal</w:t>
      </w:r>
      <w:r w:rsidRPr="00EC20A0">
        <w:rPr>
          <w:spacing w:val="-3"/>
        </w:rPr>
        <w:t xml:space="preserve"> </w:t>
      </w:r>
      <w:r w:rsidRPr="00EC20A0">
        <w:t>controls</w:t>
      </w:r>
      <w:r w:rsidRPr="00EC20A0">
        <w:rPr>
          <w:spacing w:val="-3"/>
        </w:rPr>
        <w:t xml:space="preserve"> </w:t>
      </w:r>
      <w:r w:rsidRPr="00EC20A0">
        <w:t>at</w:t>
      </w:r>
      <w:r w:rsidRPr="00EC20A0">
        <w:rPr>
          <w:spacing w:val="-3"/>
        </w:rPr>
        <w:t xml:space="preserve"> </w:t>
      </w:r>
      <w:r w:rsidRPr="00EC20A0">
        <w:t>service</w:t>
      </w:r>
      <w:r w:rsidRPr="00EC20A0">
        <w:rPr>
          <w:spacing w:val="-3"/>
        </w:rPr>
        <w:t xml:space="preserve"> </w:t>
      </w:r>
      <w:r w:rsidRPr="00EC20A0">
        <w:t>organizations</w:t>
      </w:r>
      <w:r w:rsidRPr="00EC20A0">
        <w:rPr>
          <w:spacing w:val="-2"/>
        </w:rPr>
        <w:t xml:space="preserve"> </w:t>
      </w:r>
      <w:r w:rsidRPr="00EC20A0">
        <w:t>subsequent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 xml:space="preserve">effective dates of the service organizations’ </w:t>
      </w:r>
      <w:r w:rsidRPr="00EC20A0">
        <w:t>report(s) (items 55–56).</w:t>
      </w:r>
    </w:p>
    <w:p w14:paraId="24D61D30" w14:textId="77777777" w:rsidR="00245300" w:rsidRPr="00EC20A0" w:rsidRDefault="00245300">
      <w:pPr>
        <w:pStyle w:val="BodyText"/>
        <w:spacing w:before="48"/>
      </w:pPr>
    </w:p>
    <w:p w14:paraId="24D61D31" w14:textId="77777777" w:rsidR="00245300" w:rsidRPr="00EC20A0" w:rsidRDefault="00F17249">
      <w:pPr>
        <w:pStyle w:val="Heading4"/>
        <w:spacing w:before="1"/>
        <w:ind w:left="200"/>
      </w:pPr>
      <w:bookmarkStart w:id="377" w:name="Effect_of_Change_in_Management_on_Repres"/>
      <w:bookmarkEnd w:id="377"/>
      <w:r w:rsidRPr="00EC20A0">
        <w:t>Effect</w:t>
      </w:r>
      <w:r w:rsidRPr="00EC20A0">
        <w:rPr>
          <w:spacing w:val="-12"/>
        </w:rPr>
        <w:t xml:space="preserve"> </w:t>
      </w:r>
      <w:r w:rsidRPr="00EC20A0">
        <w:t>of</w:t>
      </w:r>
      <w:r w:rsidRPr="00EC20A0">
        <w:rPr>
          <w:spacing w:val="-12"/>
        </w:rPr>
        <w:t xml:space="preserve"> </w:t>
      </w:r>
      <w:r w:rsidRPr="00EC20A0">
        <w:t>Change</w:t>
      </w:r>
      <w:r w:rsidRPr="00EC20A0">
        <w:rPr>
          <w:spacing w:val="-11"/>
        </w:rPr>
        <w:t xml:space="preserve"> </w:t>
      </w:r>
      <w:r w:rsidRPr="00EC20A0">
        <w:t>in</w:t>
      </w:r>
      <w:r w:rsidRPr="00EC20A0">
        <w:rPr>
          <w:spacing w:val="-12"/>
        </w:rPr>
        <w:t xml:space="preserve"> </w:t>
      </w:r>
      <w:r w:rsidRPr="00EC20A0">
        <w:t>Management</w:t>
      </w:r>
      <w:r w:rsidRPr="00EC20A0">
        <w:rPr>
          <w:spacing w:val="-11"/>
        </w:rPr>
        <w:t xml:space="preserve"> </w:t>
      </w:r>
      <w:r w:rsidRPr="00EC20A0">
        <w:t>on</w:t>
      </w:r>
      <w:r w:rsidRPr="00EC20A0">
        <w:rPr>
          <w:spacing w:val="-12"/>
        </w:rPr>
        <w:t xml:space="preserve"> </w:t>
      </w:r>
      <w:r w:rsidRPr="00EC20A0">
        <w:t>Representation</w:t>
      </w:r>
      <w:r w:rsidRPr="00EC20A0">
        <w:rPr>
          <w:spacing w:val="-12"/>
        </w:rPr>
        <w:t xml:space="preserve"> </w:t>
      </w:r>
      <w:r w:rsidRPr="00EC20A0">
        <w:rPr>
          <w:spacing w:val="-2"/>
        </w:rPr>
        <w:t>Letter</w:t>
      </w:r>
    </w:p>
    <w:p w14:paraId="24D61D32" w14:textId="77777777" w:rsidR="00245300" w:rsidRPr="00EC20A0" w:rsidRDefault="00F17249">
      <w:pPr>
        <w:pStyle w:val="ListParagraph"/>
        <w:numPr>
          <w:ilvl w:val="0"/>
          <w:numId w:val="70"/>
        </w:numPr>
        <w:tabs>
          <w:tab w:val="left" w:pos="1640"/>
        </w:tabs>
        <w:spacing w:before="299"/>
        <w:ind w:right="345"/>
      </w:pPr>
      <w:r w:rsidRPr="00EC20A0">
        <w:t>Sometimes management is reluctant to sign representations for periods when it did not manage the entity. The auditor may explain to management that by issuing</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it</w:t>
      </w:r>
      <w:r w:rsidRPr="00EC20A0">
        <w:rPr>
          <w:spacing w:val="-3"/>
        </w:rPr>
        <w:t xml:space="preserve"> </w:t>
      </w:r>
      <w:r w:rsidRPr="00EC20A0">
        <w:t>is</w:t>
      </w:r>
      <w:r w:rsidRPr="00EC20A0">
        <w:rPr>
          <w:spacing w:val="-4"/>
        </w:rPr>
        <w:t xml:space="preserve"> </w:t>
      </w:r>
      <w:r w:rsidRPr="00EC20A0">
        <w:t>making</w:t>
      </w:r>
      <w:r w:rsidRPr="00EC20A0">
        <w:rPr>
          <w:spacing w:val="-3"/>
        </w:rPr>
        <w:t xml:space="preserve"> </w:t>
      </w:r>
      <w:r w:rsidRPr="00EC20A0">
        <w:t>the</w:t>
      </w:r>
      <w:r w:rsidRPr="00EC20A0">
        <w:rPr>
          <w:spacing w:val="-3"/>
        </w:rPr>
        <w:t xml:space="preserve"> </w:t>
      </w:r>
      <w:r w:rsidRPr="00EC20A0">
        <w:t>assertions</w:t>
      </w:r>
      <w:r w:rsidRPr="00EC20A0">
        <w:rPr>
          <w:spacing w:val="-4"/>
        </w:rPr>
        <w:t xml:space="preserve"> </w:t>
      </w:r>
      <w:r w:rsidRPr="00EC20A0">
        <w:t>implicit</w:t>
      </w:r>
      <w:r w:rsidRPr="00EC20A0">
        <w:rPr>
          <w:spacing w:val="-3"/>
        </w:rPr>
        <w:t xml:space="preserve"> </w:t>
      </w:r>
      <w:r w:rsidRPr="00EC20A0">
        <w:t>in</w:t>
      </w:r>
      <w:r w:rsidRPr="00EC20A0">
        <w:rPr>
          <w:spacing w:val="-3"/>
        </w:rPr>
        <w:t xml:space="preserve"> </w:t>
      </w:r>
      <w:r w:rsidRPr="00EC20A0">
        <w:t>the</w:t>
      </w:r>
      <w:r w:rsidRPr="00EC20A0">
        <w:rPr>
          <w:spacing w:val="-4"/>
        </w:rPr>
        <w:t xml:space="preserve"> </w:t>
      </w:r>
      <w:r w:rsidRPr="00EC20A0">
        <w:t>financial statements. Additionally, the auditor may discuss the following with management in order to obtain representations when a change in management occurs:</w:t>
      </w:r>
    </w:p>
    <w:p w14:paraId="24D61D33" w14:textId="77777777" w:rsidR="00245300" w:rsidRPr="00EC20A0" w:rsidRDefault="00F17249">
      <w:pPr>
        <w:pStyle w:val="ListParagraph"/>
        <w:numPr>
          <w:ilvl w:val="1"/>
          <w:numId w:val="70"/>
        </w:numPr>
        <w:tabs>
          <w:tab w:val="left" w:pos="1999"/>
        </w:tabs>
        <w:ind w:left="1999" w:right="364"/>
      </w:pPr>
      <w:r w:rsidRPr="00EC20A0">
        <w:t>Auditing</w:t>
      </w:r>
      <w:r w:rsidRPr="00EC20A0">
        <w:rPr>
          <w:spacing w:val="-6"/>
        </w:rPr>
        <w:t xml:space="preserve"> </w:t>
      </w:r>
      <w:r w:rsidRPr="00EC20A0">
        <w:t>standards</w:t>
      </w:r>
      <w:r w:rsidRPr="00EC20A0">
        <w:rPr>
          <w:spacing w:val="-6"/>
        </w:rPr>
        <w:t xml:space="preserve"> </w:t>
      </w:r>
      <w:r w:rsidRPr="00EC20A0">
        <w:t>require</w:t>
      </w:r>
      <w:r w:rsidRPr="00EC20A0">
        <w:rPr>
          <w:spacing w:val="-6"/>
        </w:rPr>
        <w:t xml:space="preserve"> </w:t>
      </w:r>
      <w:r w:rsidRPr="00EC20A0">
        <w:t>management</w:t>
      </w:r>
      <w:r w:rsidRPr="00EC20A0">
        <w:rPr>
          <w:spacing w:val="-6"/>
        </w:rPr>
        <w:t xml:space="preserve"> </w:t>
      </w:r>
      <w:r w:rsidRPr="00EC20A0">
        <w:t>representations</w:t>
      </w:r>
      <w:r w:rsidRPr="00EC20A0">
        <w:rPr>
          <w:spacing w:val="-6"/>
        </w:rPr>
        <w:t xml:space="preserve"> </w:t>
      </w:r>
      <w:r w:rsidRPr="00EC20A0">
        <w:t>covering</w:t>
      </w:r>
      <w:r w:rsidRPr="00EC20A0">
        <w:rPr>
          <w:spacing w:val="-6"/>
        </w:rPr>
        <w:t xml:space="preserve"> </w:t>
      </w:r>
      <w:r w:rsidRPr="00EC20A0">
        <w:t>all</w:t>
      </w:r>
      <w:r w:rsidRPr="00EC20A0">
        <w:rPr>
          <w:spacing w:val="-6"/>
        </w:rPr>
        <w:t xml:space="preserve"> </w:t>
      </w:r>
      <w:r w:rsidRPr="00EC20A0">
        <w:t>financial statements presented.</w:t>
      </w:r>
    </w:p>
    <w:p w14:paraId="24D61D34" w14:textId="77777777" w:rsidR="00245300" w:rsidRPr="00EC20A0" w:rsidRDefault="00245300">
      <w:pPr>
        <w:sectPr w:rsidR="00245300" w:rsidRPr="00EC20A0">
          <w:pgSz w:w="12240" w:h="15840"/>
          <w:pgMar w:top="1340" w:right="1100" w:bottom="940" w:left="1240" w:header="721" w:footer="757" w:gutter="0"/>
          <w:cols w:space="720"/>
        </w:sectPr>
      </w:pPr>
    </w:p>
    <w:p w14:paraId="24D61D35" w14:textId="77777777" w:rsidR="00245300" w:rsidRPr="00EC20A0" w:rsidRDefault="00F17249">
      <w:pPr>
        <w:pStyle w:val="ListParagraph"/>
        <w:numPr>
          <w:ilvl w:val="1"/>
          <w:numId w:val="70"/>
        </w:numPr>
        <w:tabs>
          <w:tab w:val="left" w:pos="1999"/>
        </w:tabs>
        <w:spacing w:before="121"/>
        <w:ind w:left="1999" w:right="876"/>
      </w:pPr>
      <w:r w:rsidRPr="00EC20A0">
        <w:t>In</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letter</w:t>
      </w:r>
      <w:r w:rsidRPr="00EC20A0">
        <w:rPr>
          <w:spacing w:val="-4"/>
        </w:rPr>
        <w:t xml:space="preserve"> </w:t>
      </w:r>
      <w:r w:rsidRPr="00EC20A0">
        <w:t>(FAM</w:t>
      </w:r>
      <w:r w:rsidRPr="00EC20A0">
        <w:rPr>
          <w:spacing w:val="-5"/>
        </w:rPr>
        <w:t xml:space="preserve"> </w:t>
      </w:r>
      <w:r w:rsidRPr="00EC20A0">
        <w:t>215),</w:t>
      </w:r>
      <w:r w:rsidRPr="00EC20A0">
        <w:rPr>
          <w:spacing w:val="-3"/>
        </w:rPr>
        <w:t xml:space="preserve"> </w:t>
      </w:r>
      <w:r w:rsidRPr="00EC20A0">
        <w:t>entity</w:t>
      </w:r>
      <w:r w:rsidRPr="00EC20A0">
        <w:rPr>
          <w:spacing w:val="-4"/>
        </w:rPr>
        <w:t xml:space="preserve"> </w:t>
      </w:r>
      <w:r w:rsidRPr="00EC20A0">
        <w:t>management</w:t>
      </w:r>
      <w:r w:rsidRPr="00EC20A0">
        <w:rPr>
          <w:spacing w:val="-4"/>
        </w:rPr>
        <w:t xml:space="preserve"> </w:t>
      </w:r>
      <w:r w:rsidRPr="00EC20A0">
        <w:t>indicated</w:t>
      </w:r>
      <w:r w:rsidRPr="00EC20A0">
        <w:rPr>
          <w:spacing w:val="-4"/>
        </w:rPr>
        <w:t xml:space="preserve"> </w:t>
      </w:r>
      <w:r w:rsidRPr="00EC20A0">
        <w:t>that</w:t>
      </w:r>
      <w:r w:rsidRPr="00EC20A0">
        <w:rPr>
          <w:spacing w:val="-4"/>
        </w:rPr>
        <w:t xml:space="preserve"> </w:t>
      </w:r>
      <w:r w:rsidRPr="00EC20A0">
        <w:t xml:space="preserve">it would provide certain representations covering all financial statements </w:t>
      </w:r>
      <w:r w:rsidRPr="00EC20A0">
        <w:rPr>
          <w:spacing w:val="-2"/>
        </w:rPr>
        <w:t>presented.</w:t>
      </w:r>
    </w:p>
    <w:p w14:paraId="24D61D36" w14:textId="77777777" w:rsidR="00245300" w:rsidRPr="00EC20A0" w:rsidRDefault="00F17249">
      <w:pPr>
        <w:pStyle w:val="ListParagraph"/>
        <w:numPr>
          <w:ilvl w:val="1"/>
          <w:numId w:val="70"/>
        </w:numPr>
        <w:tabs>
          <w:tab w:val="left" w:pos="1997"/>
          <w:tab w:val="left" w:pos="1999"/>
        </w:tabs>
        <w:spacing w:before="239"/>
        <w:ind w:left="1999" w:right="561" w:hanging="361"/>
      </w:pPr>
      <w:r w:rsidRPr="00EC20A0">
        <w:t>New executives may consult with prior management and appropriate staff members</w:t>
      </w:r>
      <w:r w:rsidRPr="00EC20A0">
        <w:rPr>
          <w:spacing w:val="-4"/>
        </w:rPr>
        <w:t xml:space="preserve"> </w:t>
      </w:r>
      <w:r w:rsidRPr="00EC20A0">
        <w:t>who</w:t>
      </w:r>
      <w:r w:rsidRPr="00EC20A0">
        <w:rPr>
          <w:spacing w:val="-4"/>
        </w:rPr>
        <w:t xml:space="preserve"> </w:t>
      </w:r>
      <w:r w:rsidRPr="00EC20A0">
        <w:t>were</w:t>
      </w:r>
      <w:r w:rsidRPr="00EC20A0">
        <w:rPr>
          <w:spacing w:val="-4"/>
        </w:rPr>
        <w:t xml:space="preserve"> </w:t>
      </w:r>
      <w:r w:rsidRPr="00EC20A0">
        <w:t>present</w:t>
      </w:r>
      <w:r w:rsidRPr="00EC20A0">
        <w:rPr>
          <w:spacing w:val="-4"/>
        </w:rPr>
        <w:t xml:space="preserve"> </w:t>
      </w:r>
      <w:r w:rsidRPr="00EC20A0">
        <w:t>during</w:t>
      </w:r>
      <w:r w:rsidRPr="00EC20A0">
        <w:rPr>
          <w:spacing w:val="-4"/>
        </w:rPr>
        <w:t xml:space="preserve"> </w:t>
      </w:r>
      <w:r w:rsidRPr="00EC20A0">
        <w:t>the</w:t>
      </w:r>
      <w:r w:rsidRPr="00EC20A0">
        <w:rPr>
          <w:spacing w:val="-4"/>
        </w:rPr>
        <w:t xml:space="preserve"> </w:t>
      </w:r>
      <w:r w:rsidRPr="00EC20A0">
        <w:t>period</w:t>
      </w:r>
      <w:r w:rsidRPr="00EC20A0">
        <w:rPr>
          <w:spacing w:val="-4"/>
        </w:rPr>
        <w:t xml:space="preserve"> </w:t>
      </w:r>
      <w:r w:rsidRPr="00EC20A0">
        <w:t>audited</w:t>
      </w:r>
      <w:r w:rsidRPr="00EC20A0">
        <w:rPr>
          <w:spacing w:val="-4"/>
        </w:rPr>
        <w:t xml:space="preserve"> </w:t>
      </w:r>
      <w:r w:rsidRPr="00EC20A0">
        <w:t>to</w:t>
      </w:r>
      <w:r w:rsidRPr="00EC20A0">
        <w:rPr>
          <w:spacing w:val="-4"/>
        </w:rPr>
        <w:t xml:space="preserve"> </w:t>
      </w:r>
      <w:r w:rsidRPr="00EC20A0">
        <w:t>determine</w:t>
      </w:r>
      <w:r w:rsidRPr="00EC20A0">
        <w:rPr>
          <w:spacing w:val="-4"/>
        </w:rPr>
        <w:t xml:space="preserve"> </w:t>
      </w:r>
      <w:r w:rsidRPr="00EC20A0">
        <w:t>whether the representations that officials will sign are complete and accurate.</w:t>
      </w:r>
    </w:p>
    <w:p w14:paraId="24D61D37" w14:textId="77777777" w:rsidR="00245300" w:rsidRPr="00EC20A0" w:rsidRDefault="00F17249">
      <w:pPr>
        <w:pStyle w:val="ListParagraph"/>
        <w:numPr>
          <w:ilvl w:val="1"/>
          <w:numId w:val="70"/>
        </w:numPr>
        <w:tabs>
          <w:tab w:val="left" w:pos="1998"/>
        </w:tabs>
        <w:spacing w:before="241"/>
        <w:ind w:left="1998" w:hanging="359"/>
      </w:pPr>
      <w:r w:rsidRPr="00EC20A0">
        <w:t>Representations</w:t>
      </w:r>
      <w:r w:rsidRPr="00EC20A0">
        <w:rPr>
          <w:spacing w:val="-7"/>
        </w:rPr>
        <w:t xml:space="preserve"> </w:t>
      </w:r>
      <w:r w:rsidRPr="00EC20A0">
        <w:t>are</w:t>
      </w:r>
      <w:r w:rsidRPr="00EC20A0">
        <w:rPr>
          <w:spacing w:val="-6"/>
        </w:rPr>
        <w:t xml:space="preserve"> </w:t>
      </w:r>
      <w:r w:rsidRPr="00EC20A0">
        <w:t>made</w:t>
      </w:r>
      <w:r w:rsidRPr="00EC20A0">
        <w:rPr>
          <w:spacing w:val="-6"/>
        </w:rPr>
        <w:t xml:space="preserve"> </w:t>
      </w:r>
      <w:r w:rsidRPr="00EC20A0">
        <w:t>to</w:t>
      </w:r>
      <w:r w:rsidRPr="00EC20A0">
        <w:rPr>
          <w:spacing w:val="-6"/>
        </w:rPr>
        <w:t xml:space="preserve"> </w:t>
      </w:r>
      <w:r w:rsidRPr="00EC20A0">
        <w:t>the</w:t>
      </w:r>
      <w:r w:rsidRPr="00EC20A0">
        <w:rPr>
          <w:spacing w:val="-6"/>
        </w:rPr>
        <w:t xml:space="preserve"> </w:t>
      </w:r>
      <w:r w:rsidRPr="00EC20A0">
        <w:t>best</w:t>
      </w:r>
      <w:r w:rsidRPr="00EC20A0">
        <w:rPr>
          <w:spacing w:val="-6"/>
        </w:rPr>
        <w:t xml:space="preserve"> </w:t>
      </w:r>
      <w:r w:rsidRPr="00EC20A0">
        <w:t>of</w:t>
      </w:r>
      <w:r w:rsidRPr="00EC20A0">
        <w:rPr>
          <w:spacing w:val="-6"/>
        </w:rPr>
        <w:t xml:space="preserve"> </w:t>
      </w:r>
      <w:r w:rsidRPr="00EC20A0">
        <w:t>the</w:t>
      </w:r>
      <w:r w:rsidRPr="00EC20A0">
        <w:rPr>
          <w:spacing w:val="-7"/>
        </w:rPr>
        <w:t xml:space="preserve"> </w:t>
      </w:r>
      <w:r w:rsidRPr="00EC20A0">
        <w:t>signer’s</w:t>
      </w:r>
      <w:r w:rsidRPr="00EC20A0">
        <w:rPr>
          <w:spacing w:val="-6"/>
        </w:rPr>
        <w:t xml:space="preserve"> </w:t>
      </w:r>
      <w:r w:rsidRPr="00EC20A0">
        <w:t>knowledge</w:t>
      </w:r>
      <w:r w:rsidRPr="00EC20A0">
        <w:rPr>
          <w:spacing w:val="-6"/>
        </w:rPr>
        <w:t xml:space="preserve"> </w:t>
      </w:r>
      <w:r w:rsidRPr="00EC20A0">
        <w:t>and</w:t>
      </w:r>
      <w:r w:rsidRPr="00EC20A0">
        <w:rPr>
          <w:spacing w:val="-6"/>
        </w:rPr>
        <w:t xml:space="preserve"> </w:t>
      </w:r>
      <w:r w:rsidRPr="00EC20A0">
        <w:rPr>
          <w:spacing w:val="-2"/>
        </w:rPr>
        <w:t>belief.</w:t>
      </w:r>
    </w:p>
    <w:p w14:paraId="24D61D38" w14:textId="77777777" w:rsidR="00245300" w:rsidRPr="00EC20A0" w:rsidRDefault="00F17249">
      <w:pPr>
        <w:pStyle w:val="ListParagraph"/>
        <w:numPr>
          <w:ilvl w:val="1"/>
          <w:numId w:val="70"/>
        </w:numPr>
        <w:tabs>
          <w:tab w:val="left" w:pos="1999"/>
        </w:tabs>
        <w:spacing w:before="239"/>
        <w:ind w:left="1999" w:right="854"/>
      </w:pPr>
      <w:r w:rsidRPr="00EC20A0">
        <w:t>Not</w:t>
      </w:r>
      <w:r w:rsidRPr="00EC20A0">
        <w:rPr>
          <w:spacing w:val="-3"/>
        </w:rPr>
        <w:t xml:space="preserve"> </w:t>
      </w:r>
      <w:r w:rsidRPr="00EC20A0">
        <w:t>signing</w:t>
      </w:r>
      <w:r w:rsidRPr="00EC20A0">
        <w:rPr>
          <w:spacing w:val="-4"/>
        </w:rPr>
        <w:t xml:space="preserve"> </w:t>
      </w:r>
      <w:r w:rsidRPr="00EC20A0">
        <w:t>will</w:t>
      </w:r>
      <w:r w:rsidRPr="00EC20A0">
        <w:rPr>
          <w:spacing w:val="-3"/>
        </w:rPr>
        <w:t xml:space="preserve"> </w:t>
      </w:r>
      <w:r w:rsidRPr="00EC20A0">
        <w:t>result</w:t>
      </w:r>
      <w:r w:rsidRPr="00EC20A0">
        <w:rPr>
          <w:spacing w:val="-4"/>
        </w:rPr>
        <w:t xml:space="preserve"> </w:t>
      </w:r>
      <w:r w:rsidRPr="00EC20A0">
        <w:t>in</w:t>
      </w:r>
      <w:r w:rsidRPr="00EC20A0">
        <w:rPr>
          <w:spacing w:val="-4"/>
        </w:rPr>
        <w:t xml:space="preserve"> </w:t>
      </w:r>
      <w:r w:rsidRPr="00EC20A0">
        <w:t>a</w:t>
      </w:r>
      <w:r w:rsidRPr="00EC20A0">
        <w:rPr>
          <w:spacing w:val="-3"/>
        </w:rPr>
        <w:t xml:space="preserve"> </w:t>
      </w:r>
      <w:r w:rsidRPr="00EC20A0">
        <w:t>scope</w:t>
      </w:r>
      <w:r w:rsidRPr="00EC20A0">
        <w:rPr>
          <w:spacing w:val="-3"/>
        </w:rPr>
        <w:t xml:space="preserve"> </w:t>
      </w:r>
      <w:r w:rsidRPr="00EC20A0">
        <w:t>limitation</w:t>
      </w:r>
      <w:r w:rsidRPr="00EC20A0">
        <w:rPr>
          <w:spacing w:val="-3"/>
        </w:rPr>
        <w:t xml:space="preserve"> </w:t>
      </w:r>
      <w:r w:rsidRPr="00EC20A0">
        <w:t>and</w:t>
      </w:r>
      <w:r w:rsidRPr="00EC20A0">
        <w:rPr>
          <w:spacing w:val="-3"/>
        </w:rPr>
        <w:t xml:space="preserve"> </w:t>
      </w:r>
      <w:r w:rsidRPr="00EC20A0">
        <w:t>disclaimer</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 xml:space="preserve">auditor’s </w:t>
      </w:r>
      <w:r w:rsidRPr="00EC20A0">
        <w:rPr>
          <w:spacing w:val="-2"/>
        </w:rPr>
        <w:t>opinion.</w:t>
      </w:r>
    </w:p>
    <w:p w14:paraId="24D61D39" w14:textId="77777777" w:rsidR="00245300" w:rsidRPr="00EC20A0" w:rsidRDefault="00245300">
      <w:pPr>
        <w:sectPr w:rsidR="00245300" w:rsidRPr="00EC20A0">
          <w:pgSz w:w="12240" w:h="15840"/>
          <w:pgMar w:top="1340" w:right="1100" w:bottom="940" w:left="1240" w:header="721" w:footer="757" w:gutter="0"/>
          <w:cols w:space="720"/>
        </w:sectPr>
      </w:pPr>
    </w:p>
    <w:p w14:paraId="24D61D3A" w14:textId="77777777" w:rsidR="00245300" w:rsidRPr="00EC20A0" w:rsidRDefault="00F17249">
      <w:pPr>
        <w:pStyle w:val="Heading3"/>
        <w:ind w:left="200"/>
        <w:rPr>
          <w:u w:val="none"/>
        </w:rPr>
      </w:pPr>
      <w:bookmarkStart w:id="378" w:name="1001_A_–_Management_Representation_Lette"/>
      <w:bookmarkStart w:id="379" w:name="_bookmark209"/>
      <w:bookmarkEnd w:id="378"/>
      <w:bookmarkEnd w:id="379"/>
      <w:r w:rsidRPr="00EC20A0">
        <w:t>1001</w:t>
      </w:r>
      <w:r w:rsidRPr="00EC20A0">
        <w:rPr>
          <w:spacing w:val="-18"/>
        </w:rPr>
        <w:t xml:space="preserve"> </w:t>
      </w:r>
      <w:r w:rsidRPr="00EC20A0">
        <w:t>A</w:t>
      </w:r>
      <w:r w:rsidRPr="00EC20A0">
        <w:rPr>
          <w:spacing w:val="-18"/>
        </w:rPr>
        <w:t xml:space="preserve"> </w:t>
      </w:r>
      <w:r w:rsidRPr="00EC20A0">
        <w:t>–</w:t>
      </w:r>
      <w:r w:rsidRPr="00EC20A0">
        <w:rPr>
          <w:spacing w:val="-4"/>
        </w:rPr>
        <w:t xml:space="preserve"> </w:t>
      </w:r>
      <w:r w:rsidRPr="00EC20A0">
        <w:t>Management</w:t>
      </w:r>
      <w:r w:rsidRPr="00EC20A0">
        <w:rPr>
          <w:spacing w:val="-6"/>
        </w:rPr>
        <w:t xml:space="preserve"> </w:t>
      </w:r>
      <w:r w:rsidRPr="00EC20A0">
        <w:t>Representation</w:t>
      </w:r>
      <w:r w:rsidRPr="00EC20A0">
        <w:rPr>
          <w:spacing w:val="-5"/>
        </w:rPr>
        <w:t xml:space="preserve"> </w:t>
      </w:r>
      <w:r w:rsidRPr="00EC20A0">
        <w:t>Letter</w:t>
      </w:r>
      <w:r w:rsidRPr="00EC20A0">
        <w:rPr>
          <w:spacing w:val="-6"/>
        </w:rPr>
        <w:t xml:space="preserve"> </w:t>
      </w:r>
      <w:r w:rsidRPr="00EC20A0">
        <w:rPr>
          <w:spacing w:val="-2"/>
        </w:rPr>
        <w:t>Example</w:t>
      </w:r>
    </w:p>
    <w:p w14:paraId="24D61D3B" w14:textId="77777777" w:rsidR="00245300" w:rsidRPr="00EC20A0" w:rsidRDefault="00245300">
      <w:pPr>
        <w:pStyle w:val="BodyText"/>
        <w:spacing w:before="107"/>
        <w:rPr>
          <w:b/>
        </w:rPr>
      </w:pPr>
    </w:p>
    <w:p w14:paraId="24D61D3C" w14:textId="77777777" w:rsidR="00245300" w:rsidRPr="00EC20A0" w:rsidRDefault="00F17249">
      <w:pPr>
        <w:spacing w:line="465" w:lineRule="auto"/>
        <w:ind w:left="200" w:right="3503" w:firstLine="3739"/>
        <w:rPr>
          <w:b/>
        </w:rPr>
      </w:pPr>
      <w:r w:rsidRPr="00EC20A0">
        <w:rPr>
          <w:b/>
        </w:rPr>
        <w:t>[Entity</w:t>
      </w:r>
      <w:r w:rsidRPr="00EC20A0">
        <w:rPr>
          <w:b/>
          <w:spacing w:val="-16"/>
        </w:rPr>
        <w:t xml:space="preserve"> </w:t>
      </w:r>
      <w:r w:rsidRPr="00EC20A0">
        <w:rPr>
          <w:b/>
        </w:rPr>
        <w:t>Letterhead] [Date</w:t>
      </w:r>
      <w:r w:rsidRPr="00EC20A0">
        <w:rPr>
          <w:b/>
          <w:spacing w:val="-7"/>
        </w:rPr>
        <w:t xml:space="preserve"> </w:t>
      </w:r>
      <w:r w:rsidRPr="00EC20A0">
        <w:rPr>
          <w:b/>
        </w:rPr>
        <w:t>of</w:t>
      </w:r>
      <w:r w:rsidRPr="00EC20A0">
        <w:rPr>
          <w:b/>
          <w:spacing w:val="-6"/>
        </w:rPr>
        <w:t xml:space="preserve"> </w:t>
      </w:r>
      <w:r w:rsidRPr="00EC20A0">
        <w:rPr>
          <w:b/>
        </w:rPr>
        <w:t>Auditor’s</w:t>
      </w:r>
      <w:r w:rsidRPr="00EC20A0">
        <w:rPr>
          <w:b/>
          <w:spacing w:val="-7"/>
        </w:rPr>
        <w:t xml:space="preserve"> </w:t>
      </w:r>
      <w:r w:rsidRPr="00EC20A0">
        <w:rPr>
          <w:b/>
        </w:rPr>
        <w:t>Report</w:t>
      </w:r>
      <w:r w:rsidRPr="00EC20A0">
        <w:rPr>
          <w:b/>
          <w:spacing w:val="-6"/>
        </w:rPr>
        <w:t xml:space="preserve"> </w:t>
      </w:r>
      <w:r w:rsidRPr="00EC20A0">
        <w:rPr>
          <w:b/>
        </w:rPr>
        <w:t>and</w:t>
      </w:r>
      <w:r w:rsidRPr="00EC20A0">
        <w:rPr>
          <w:b/>
          <w:spacing w:val="-7"/>
        </w:rPr>
        <w:t xml:space="preserve"> </w:t>
      </w:r>
      <w:r w:rsidRPr="00EC20A0">
        <w:rPr>
          <w:b/>
        </w:rPr>
        <w:t>Completion</w:t>
      </w:r>
      <w:r w:rsidRPr="00EC20A0">
        <w:rPr>
          <w:b/>
          <w:spacing w:val="-6"/>
        </w:rPr>
        <w:t xml:space="preserve"> </w:t>
      </w:r>
      <w:r w:rsidRPr="00EC20A0">
        <w:rPr>
          <w:b/>
        </w:rPr>
        <w:t>of</w:t>
      </w:r>
      <w:r w:rsidRPr="00EC20A0">
        <w:rPr>
          <w:b/>
          <w:spacing w:val="-7"/>
        </w:rPr>
        <w:t xml:space="preserve"> </w:t>
      </w:r>
      <w:r w:rsidRPr="00EC20A0">
        <w:rPr>
          <w:b/>
        </w:rPr>
        <w:t>the</w:t>
      </w:r>
      <w:r w:rsidRPr="00EC20A0">
        <w:rPr>
          <w:b/>
          <w:spacing w:val="-6"/>
        </w:rPr>
        <w:t xml:space="preserve"> </w:t>
      </w:r>
      <w:r w:rsidRPr="00EC20A0">
        <w:rPr>
          <w:b/>
          <w:spacing w:val="-2"/>
        </w:rPr>
        <w:t>Audit]</w:t>
      </w:r>
    </w:p>
    <w:p w14:paraId="24D61D3D" w14:textId="77777777" w:rsidR="00245300" w:rsidRPr="00EC20A0" w:rsidRDefault="00F17249">
      <w:pPr>
        <w:spacing w:before="4"/>
        <w:ind w:left="199" w:right="4206"/>
        <w:rPr>
          <w:b/>
        </w:rPr>
      </w:pPr>
      <w:r w:rsidRPr="00EC20A0">
        <w:rPr>
          <w:b/>
        </w:rPr>
        <w:t>[Name</w:t>
      </w:r>
      <w:r w:rsidRPr="00EC20A0">
        <w:rPr>
          <w:b/>
          <w:spacing w:val="-8"/>
        </w:rPr>
        <w:t xml:space="preserve"> </w:t>
      </w:r>
      <w:r w:rsidRPr="00EC20A0">
        <w:rPr>
          <w:b/>
        </w:rPr>
        <w:t>and</w:t>
      </w:r>
      <w:r w:rsidRPr="00EC20A0">
        <w:rPr>
          <w:b/>
          <w:spacing w:val="-7"/>
        </w:rPr>
        <w:t xml:space="preserve"> </w:t>
      </w:r>
      <w:r w:rsidRPr="00EC20A0">
        <w:rPr>
          <w:b/>
        </w:rPr>
        <w:t>Title</w:t>
      </w:r>
      <w:r w:rsidRPr="00EC20A0">
        <w:rPr>
          <w:b/>
          <w:spacing w:val="-8"/>
        </w:rPr>
        <w:t xml:space="preserve"> </w:t>
      </w:r>
      <w:r w:rsidRPr="00EC20A0">
        <w:rPr>
          <w:b/>
        </w:rPr>
        <w:t>of</w:t>
      </w:r>
      <w:r w:rsidRPr="00EC20A0">
        <w:rPr>
          <w:b/>
          <w:spacing w:val="-8"/>
        </w:rPr>
        <w:t xml:space="preserve"> </w:t>
      </w:r>
      <w:r w:rsidRPr="00EC20A0">
        <w:rPr>
          <w:b/>
        </w:rPr>
        <w:t>Audit</w:t>
      </w:r>
      <w:r w:rsidRPr="00EC20A0">
        <w:rPr>
          <w:b/>
          <w:spacing w:val="-8"/>
        </w:rPr>
        <w:t xml:space="preserve"> </w:t>
      </w:r>
      <w:r w:rsidRPr="00EC20A0">
        <w:rPr>
          <w:b/>
        </w:rPr>
        <w:t>Organization</w:t>
      </w:r>
      <w:r w:rsidRPr="00EC20A0">
        <w:rPr>
          <w:b/>
          <w:spacing w:val="-8"/>
        </w:rPr>
        <w:t xml:space="preserve"> </w:t>
      </w:r>
      <w:r w:rsidRPr="00EC20A0">
        <w:rPr>
          <w:b/>
        </w:rPr>
        <w:t>Head] [Address of Audit Organization]</w:t>
      </w:r>
    </w:p>
    <w:p w14:paraId="24D61D3E" w14:textId="77777777" w:rsidR="00245300" w:rsidRPr="00EC20A0" w:rsidRDefault="00F17249">
      <w:pPr>
        <w:spacing w:before="240"/>
        <w:ind w:left="199"/>
      </w:pPr>
      <w:r w:rsidRPr="00EC20A0">
        <w:t>Dear</w:t>
      </w:r>
      <w:r w:rsidRPr="00EC20A0">
        <w:rPr>
          <w:spacing w:val="-8"/>
        </w:rPr>
        <w:t xml:space="preserve"> </w:t>
      </w:r>
      <w:r w:rsidRPr="00EC20A0">
        <w:rPr>
          <w:b/>
        </w:rPr>
        <w:t>[Name</w:t>
      </w:r>
      <w:r w:rsidRPr="00EC20A0">
        <w:rPr>
          <w:b/>
          <w:spacing w:val="-7"/>
        </w:rPr>
        <w:t xml:space="preserve"> </w:t>
      </w:r>
      <w:r w:rsidRPr="00EC20A0">
        <w:rPr>
          <w:b/>
        </w:rPr>
        <w:t>of</w:t>
      </w:r>
      <w:r w:rsidRPr="00EC20A0">
        <w:rPr>
          <w:b/>
          <w:spacing w:val="-7"/>
        </w:rPr>
        <w:t xml:space="preserve"> </w:t>
      </w:r>
      <w:r w:rsidRPr="00EC20A0">
        <w:rPr>
          <w:b/>
        </w:rPr>
        <w:t>Audit</w:t>
      </w:r>
      <w:r w:rsidRPr="00EC20A0">
        <w:rPr>
          <w:b/>
          <w:spacing w:val="-8"/>
        </w:rPr>
        <w:t xml:space="preserve"> </w:t>
      </w:r>
      <w:r w:rsidRPr="00EC20A0">
        <w:rPr>
          <w:b/>
        </w:rPr>
        <w:t>Organization</w:t>
      </w:r>
      <w:r w:rsidRPr="00EC20A0">
        <w:rPr>
          <w:b/>
          <w:spacing w:val="-9"/>
        </w:rPr>
        <w:t xml:space="preserve"> </w:t>
      </w:r>
      <w:r w:rsidRPr="00EC20A0">
        <w:rPr>
          <w:b/>
          <w:spacing w:val="-2"/>
        </w:rPr>
        <w:t>Head]</w:t>
      </w:r>
      <w:r w:rsidRPr="00EC20A0">
        <w:rPr>
          <w:spacing w:val="-2"/>
        </w:rPr>
        <w:t>:</w:t>
      </w:r>
    </w:p>
    <w:p w14:paraId="24D61D3F" w14:textId="77777777" w:rsidR="00245300" w:rsidRPr="00EC20A0" w:rsidRDefault="00F17249">
      <w:pPr>
        <w:spacing w:before="239"/>
        <w:ind w:left="199" w:right="345"/>
      </w:pPr>
      <w:r w:rsidRPr="00EC20A0">
        <w:t>We</w:t>
      </w:r>
      <w:r w:rsidRPr="00EC20A0">
        <w:rPr>
          <w:spacing w:val="-3"/>
        </w:rPr>
        <w:t xml:space="preserve"> </w:t>
      </w:r>
      <w:r w:rsidRPr="00EC20A0">
        <w:t>are</w:t>
      </w:r>
      <w:r w:rsidRPr="00EC20A0">
        <w:rPr>
          <w:spacing w:val="-3"/>
        </w:rPr>
        <w:t xml:space="preserve"> </w:t>
      </w:r>
      <w:r w:rsidRPr="00EC20A0">
        <w:t>providing</w:t>
      </w:r>
      <w:r w:rsidRPr="00EC20A0">
        <w:rPr>
          <w:spacing w:val="-3"/>
        </w:rPr>
        <w:t xml:space="preserve"> </w:t>
      </w:r>
      <w:r w:rsidRPr="00EC20A0">
        <w:t>this</w:t>
      </w:r>
      <w:r w:rsidRPr="00EC20A0">
        <w:rPr>
          <w:spacing w:val="-4"/>
        </w:rPr>
        <w:t xml:space="preserve"> </w:t>
      </w:r>
      <w:r w:rsidRPr="00EC20A0">
        <w:t>letter</w:t>
      </w:r>
      <w:r w:rsidRPr="00EC20A0">
        <w:rPr>
          <w:spacing w:val="-3"/>
        </w:rPr>
        <w:t xml:space="preserve"> </w:t>
      </w:r>
      <w:r w:rsidRPr="00EC20A0">
        <w:t>in</w:t>
      </w:r>
      <w:r w:rsidRPr="00EC20A0">
        <w:rPr>
          <w:spacing w:val="-3"/>
        </w:rPr>
        <w:t xml:space="preserve"> </w:t>
      </w:r>
      <w:r w:rsidRPr="00EC20A0">
        <w:t>connection</w:t>
      </w:r>
      <w:r w:rsidRPr="00EC20A0">
        <w:rPr>
          <w:spacing w:val="-3"/>
        </w:rPr>
        <w:t xml:space="preserve"> </w:t>
      </w:r>
      <w:r w:rsidRPr="00EC20A0">
        <w:t>with</w:t>
      </w:r>
      <w:r w:rsidRPr="00EC20A0">
        <w:rPr>
          <w:spacing w:val="-4"/>
        </w:rPr>
        <w:t xml:space="preserve"> </w:t>
      </w:r>
      <w:r w:rsidRPr="00EC20A0">
        <w:t>your</w:t>
      </w:r>
      <w:r w:rsidRPr="00EC20A0">
        <w:rPr>
          <w:spacing w:val="-4"/>
        </w:rPr>
        <w:t xml:space="preserve"> </w:t>
      </w:r>
      <w:r w:rsidRPr="00EC20A0">
        <w:t>integrated</w:t>
      </w:r>
      <w:r w:rsidRPr="00EC20A0">
        <w:rPr>
          <w:spacing w:val="-4"/>
        </w:rPr>
        <w:t xml:space="preserve"> </w:t>
      </w:r>
      <w:r w:rsidRPr="00EC20A0">
        <w:rPr>
          <w:b/>
        </w:rPr>
        <w:t>[if</w:t>
      </w:r>
      <w:r w:rsidRPr="00EC20A0">
        <w:rPr>
          <w:b/>
          <w:spacing w:val="-3"/>
        </w:rPr>
        <w:t xml:space="preserve"> </w:t>
      </w:r>
      <w:r w:rsidRPr="00EC20A0">
        <w:rPr>
          <w:b/>
        </w:rPr>
        <w:t>expressing</w:t>
      </w:r>
      <w:r w:rsidRPr="00EC20A0">
        <w:rPr>
          <w:b/>
          <w:spacing w:val="-3"/>
        </w:rPr>
        <w:t xml:space="preserve"> </w:t>
      </w:r>
      <w:r w:rsidRPr="00EC20A0">
        <w:rPr>
          <w:b/>
        </w:rPr>
        <w:t>an</w:t>
      </w:r>
      <w:r w:rsidRPr="00EC20A0">
        <w:rPr>
          <w:b/>
          <w:spacing w:val="-3"/>
        </w:rPr>
        <w:t xml:space="preserve"> </w:t>
      </w:r>
      <w:r w:rsidRPr="00EC20A0">
        <w:rPr>
          <w:b/>
        </w:rPr>
        <w:t>opinion</w:t>
      </w:r>
      <w:r w:rsidRPr="00EC20A0">
        <w:rPr>
          <w:b/>
          <w:spacing w:val="-3"/>
        </w:rPr>
        <w:t xml:space="preserve"> </w:t>
      </w:r>
      <w:r w:rsidRPr="00EC20A0">
        <w:rPr>
          <w:b/>
        </w:rPr>
        <w:t>on</w:t>
      </w:r>
      <w:r w:rsidRPr="00EC20A0">
        <w:rPr>
          <w:b/>
          <w:spacing w:val="-3"/>
        </w:rPr>
        <w:t xml:space="preserve"> </w:t>
      </w:r>
      <w:r w:rsidRPr="00EC20A0">
        <w:rPr>
          <w:b/>
        </w:rPr>
        <w:t xml:space="preserve">the effectiveness of internal control over financial reporting] </w:t>
      </w:r>
      <w:r w:rsidRPr="00EC20A0">
        <w:t xml:space="preserve">audits of the balance sheets of </w:t>
      </w:r>
      <w:r w:rsidRPr="00EC20A0">
        <w:rPr>
          <w:b/>
        </w:rPr>
        <w:t xml:space="preserve">[name of entity] </w:t>
      </w:r>
      <w:r w:rsidRPr="00EC20A0">
        <w:t xml:space="preserve">as of September 30, 20X2, and 20X1, </w:t>
      </w:r>
      <w:r w:rsidRPr="00EC20A0">
        <w:rPr>
          <w:b/>
        </w:rPr>
        <w:t xml:space="preserve">[or the dates of the audited financial statements] </w:t>
      </w:r>
      <w:r w:rsidRPr="00EC20A0">
        <w:t xml:space="preserve">and the related statements of net costs, changes in net position, budgetary resources, and custodial activity </w:t>
      </w:r>
      <w:r w:rsidRPr="00EC20A0">
        <w:rPr>
          <w:b/>
        </w:rPr>
        <w:t xml:space="preserve">[if custodial activity is reported] </w:t>
      </w:r>
      <w:r w:rsidRPr="00EC20A0">
        <w:t xml:space="preserve">for the years then ended, and </w:t>
      </w:r>
      <w:r w:rsidRPr="00EC20A0">
        <w:rPr>
          <w:b/>
        </w:rPr>
        <w:t xml:space="preserve">[if social insurance is reported] </w:t>
      </w:r>
      <w:r w:rsidRPr="00EC20A0">
        <w:t xml:space="preserve">the </w:t>
      </w:r>
      <w:r w:rsidRPr="00EC20A0">
        <w:rPr>
          <w:b/>
        </w:rPr>
        <w:t xml:space="preserve">[years presented] </w:t>
      </w:r>
      <w:r w:rsidRPr="00EC20A0">
        <w:t>statements of socia</w:t>
      </w:r>
      <w:r w:rsidRPr="00EC20A0">
        <w:t>l insurance (SOSI)</w:t>
      </w:r>
      <w:r w:rsidRPr="00EC20A0">
        <w:rPr>
          <w:spacing w:val="-3"/>
        </w:rPr>
        <w:t xml:space="preserve"> </w:t>
      </w:r>
      <w:r w:rsidRPr="00EC20A0">
        <w:t>and</w:t>
      </w:r>
      <w:r w:rsidRPr="00EC20A0">
        <w:rPr>
          <w:spacing w:val="-4"/>
        </w:rPr>
        <w:t xml:space="preserve"> </w:t>
      </w:r>
      <w:r w:rsidRPr="00EC20A0">
        <w:t>the</w:t>
      </w:r>
      <w:r w:rsidRPr="00EC20A0">
        <w:rPr>
          <w:spacing w:val="-4"/>
        </w:rPr>
        <w:t xml:space="preserve"> </w:t>
      </w:r>
      <w:r w:rsidRPr="00EC20A0">
        <w:t>statements</w:t>
      </w:r>
      <w:r w:rsidRPr="00EC20A0">
        <w:rPr>
          <w:spacing w:val="-3"/>
        </w:rPr>
        <w:t xml:space="preserve"> </w:t>
      </w:r>
      <w:r w:rsidRPr="00EC20A0">
        <w:t>of</w:t>
      </w:r>
      <w:r w:rsidRPr="00EC20A0">
        <w:rPr>
          <w:spacing w:val="-4"/>
        </w:rPr>
        <w:t xml:space="preserve"> </w:t>
      </w:r>
      <w:r w:rsidRPr="00EC20A0">
        <w:t>changes</w:t>
      </w:r>
      <w:r w:rsidRPr="00EC20A0">
        <w:rPr>
          <w:spacing w:val="-3"/>
        </w:rPr>
        <w:t xml:space="preserve"> </w:t>
      </w:r>
      <w:r w:rsidRPr="00EC20A0">
        <w:t>in</w:t>
      </w:r>
      <w:r w:rsidRPr="00EC20A0">
        <w:rPr>
          <w:spacing w:val="-4"/>
        </w:rPr>
        <w:t xml:space="preserve"> </w:t>
      </w:r>
      <w:r w:rsidRPr="00EC20A0">
        <w:t>social</w:t>
      </w:r>
      <w:r w:rsidRPr="00EC20A0">
        <w:rPr>
          <w:spacing w:val="-3"/>
        </w:rPr>
        <w:t xml:space="preserve"> </w:t>
      </w:r>
      <w:r w:rsidRPr="00EC20A0">
        <w:t>insurance</w:t>
      </w:r>
      <w:r w:rsidRPr="00EC20A0">
        <w:rPr>
          <w:spacing w:val="-4"/>
        </w:rPr>
        <w:t xml:space="preserve"> </w:t>
      </w:r>
      <w:r w:rsidRPr="00EC20A0">
        <w:t>amounts</w:t>
      </w:r>
      <w:r w:rsidRPr="00EC20A0">
        <w:rPr>
          <w:spacing w:val="-3"/>
        </w:rPr>
        <w:t xml:space="preserve"> </w:t>
      </w:r>
      <w:r w:rsidRPr="00EC20A0">
        <w:t>(SCSIA)</w:t>
      </w:r>
      <w:r w:rsidRPr="00EC20A0">
        <w:rPr>
          <w:spacing w:val="-4"/>
        </w:rPr>
        <w:t xml:space="preserve"> </w:t>
      </w:r>
      <w:r w:rsidRPr="00EC20A0">
        <w:t>for</w:t>
      </w:r>
      <w:r w:rsidRPr="00EC20A0">
        <w:rPr>
          <w:spacing w:val="-4"/>
        </w:rPr>
        <w:t xml:space="preserve"> </w:t>
      </w:r>
      <w:r w:rsidRPr="00EC20A0">
        <w:t>the</w:t>
      </w:r>
      <w:r w:rsidRPr="00EC20A0">
        <w:rPr>
          <w:spacing w:val="-4"/>
        </w:rPr>
        <w:t xml:space="preserve"> </w:t>
      </w:r>
      <w:r w:rsidRPr="00EC20A0">
        <w:t>years</w:t>
      </w:r>
      <w:r w:rsidRPr="00EC20A0">
        <w:rPr>
          <w:spacing w:val="-3"/>
        </w:rPr>
        <w:t xml:space="preserve"> </w:t>
      </w:r>
      <w:r w:rsidRPr="00EC20A0">
        <w:t xml:space="preserve">ended </w:t>
      </w:r>
      <w:r w:rsidRPr="00EC20A0">
        <w:rPr>
          <w:b/>
        </w:rPr>
        <w:t>[dates presented]</w:t>
      </w:r>
      <w:r w:rsidRPr="00EC20A0">
        <w:t>, and the related notes to the financial statements, hereinafter referred to as the financial statements.</w:t>
      </w:r>
    </w:p>
    <w:p w14:paraId="24D61D40" w14:textId="77777777" w:rsidR="00245300" w:rsidRPr="00EC20A0" w:rsidRDefault="00F17249">
      <w:pPr>
        <w:pStyle w:val="BodyText"/>
        <w:spacing w:before="241"/>
        <w:ind w:left="200" w:right="345" w:hanging="1"/>
      </w:pPr>
      <w:r w:rsidRPr="00EC20A0">
        <w:t xml:space="preserve">Certain </w:t>
      </w:r>
      <w:r w:rsidRPr="00EC20A0">
        <w:t>representations in this letter are described as being limited to matters that are material. Items are considered material, regardless of</w:t>
      </w:r>
      <w:r w:rsidRPr="00EC20A0">
        <w:rPr>
          <w:spacing w:val="-1"/>
        </w:rPr>
        <w:t xml:space="preserve"> </w:t>
      </w:r>
      <w:r w:rsidRPr="00EC20A0">
        <w:t>size, if they involve an omission or misstatement of accounting</w:t>
      </w:r>
      <w:r w:rsidRPr="00EC20A0">
        <w:rPr>
          <w:spacing w:val="-5"/>
        </w:rPr>
        <w:t xml:space="preserve"> </w:t>
      </w:r>
      <w:r w:rsidRPr="00EC20A0">
        <w:t>information</w:t>
      </w:r>
      <w:r w:rsidRPr="00EC20A0">
        <w:rPr>
          <w:spacing w:val="-4"/>
        </w:rPr>
        <w:t xml:space="preserve"> </w:t>
      </w:r>
      <w:r w:rsidRPr="00EC20A0">
        <w:t>that,</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light</w:t>
      </w:r>
      <w:r w:rsidRPr="00EC20A0">
        <w:rPr>
          <w:spacing w:val="-4"/>
        </w:rPr>
        <w:t xml:space="preserve"> </w:t>
      </w:r>
      <w:r w:rsidRPr="00EC20A0">
        <w:t>of</w:t>
      </w:r>
      <w:r w:rsidRPr="00EC20A0">
        <w:rPr>
          <w:spacing w:val="-4"/>
        </w:rPr>
        <w:t xml:space="preserve"> </w:t>
      </w:r>
      <w:r w:rsidRPr="00EC20A0">
        <w:t>surrounding</w:t>
      </w:r>
      <w:r w:rsidRPr="00EC20A0">
        <w:rPr>
          <w:spacing w:val="-4"/>
        </w:rPr>
        <w:t xml:space="preserve"> </w:t>
      </w:r>
      <w:r w:rsidRPr="00EC20A0">
        <w:t>circumstances,</w:t>
      </w:r>
      <w:r w:rsidRPr="00EC20A0">
        <w:rPr>
          <w:spacing w:val="-4"/>
        </w:rPr>
        <w:t xml:space="preserve"> </w:t>
      </w:r>
      <w:r w:rsidRPr="00EC20A0">
        <w:t>makes</w:t>
      </w:r>
      <w:r w:rsidRPr="00EC20A0">
        <w:rPr>
          <w:spacing w:val="-4"/>
        </w:rPr>
        <w:t xml:space="preserve"> </w:t>
      </w:r>
      <w:r w:rsidRPr="00EC20A0">
        <w:t>it</w:t>
      </w:r>
      <w:r w:rsidRPr="00EC20A0">
        <w:rPr>
          <w:spacing w:val="-4"/>
        </w:rPr>
        <w:t xml:space="preserve"> </w:t>
      </w:r>
      <w:r w:rsidRPr="00EC20A0">
        <w:t>probable</w:t>
      </w:r>
      <w:r w:rsidRPr="00EC20A0">
        <w:rPr>
          <w:spacing w:val="-4"/>
        </w:rPr>
        <w:t xml:space="preserve"> </w:t>
      </w:r>
      <w:r w:rsidRPr="00EC20A0">
        <w:t>that</w:t>
      </w:r>
      <w:r w:rsidRPr="00EC20A0">
        <w:rPr>
          <w:spacing w:val="-4"/>
        </w:rPr>
        <w:t xml:space="preserve"> </w:t>
      </w:r>
      <w:r w:rsidRPr="00EC20A0">
        <w:t>the judgment of a reasonable person relying on the information would be changed or influenced by the omission or misstatement.</w:t>
      </w:r>
    </w:p>
    <w:p w14:paraId="24D61D41" w14:textId="77777777" w:rsidR="00245300" w:rsidRPr="00EC20A0" w:rsidRDefault="00F17249">
      <w:pPr>
        <w:pStyle w:val="BodyText"/>
        <w:spacing w:before="240"/>
        <w:ind w:left="200" w:right="357" w:firstLine="1"/>
        <w:rPr>
          <w:sz w:val="14"/>
        </w:rPr>
      </w:pPr>
      <w:r w:rsidRPr="00EC20A0">
        <w:t>Except where otherwise stated below, immaterial matters less than $</w:t>
      </w:r>
      <w:r w:rsidRPr="00EC20A0">
        <w:rPr>
          <w:b/>
        </w:rPr>
        <w:t xml:space="preserve">[Insert amount] </w:t>
      </w:r>
      <w:r w:rsidRPr="00EC20A0">
        <w:t>collectively are not considered to be exceptions that require disclosure for the purpose of the following representations. This amount is not necessarily indicative of amounts that would require adjustment to or disclosure in the financial statements. Such quantitative materiality considerations do not apply to representations that are not directly related to amounts included in</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required</w:t>
      </w:r>
      <w:r w:rsidRPr="00EC20A0">
        <w:rPr>
          <w:spacing w:val="-4"/>
        </w:rPr>
        <w:t xml:space="preserve"> </w:t>
      </w:r>
      <w:r w:rsidRPr="00EC20A0">
        <w:t>supplementary</w:t>
      </w:r>
      <w:r w:rsidRPr="00EC20A0">
        <w:rPr>
          <w:spacing w:val="-3"/>
        </w:rPr>
        <w:t xml:space="preserve"> </w:t>
      </w:r>
      <w:r w:rsidRPr="00EC20A0">
        <w:t>information</w:t>
      </w:r>
      <w:r w:rsidRPr="00EC20A0">
        <w:rPr>
          <w:spacing w:val="-3"/>
        </w:rPr>
        <w:t xml:space="preserve"> </w:t>
      </w:r>
      <w:r w:rsidRPr="00EC20A0">
        <w:t>(RSI)</w:t>
      </w:r>
      <w:r w:rsidRPr="00EC20A0">
        <w:rPr>
          <w:spacing w:val="-2"/>
        </w:rPr>
        <w:t xml:space="preserve"> </w:t>
      </w:r>
      <w:r w:rsidRPr="00EC20A0">
        <w:rPr>
          <w:b/>
        </w:rPr>
        <w:t>[if</w:t>
      </w:r>
      <w:r w:rsidRPr="00EC20A0">
        <w:rPr>
          <w:b/>
          <w:spacing w:val="-3"/>
        </w:rPr>
        <w:t xml:space="preserve"> </w:t>
      </w:r>
      <w:r w:rsidRPr="00EC20A0">
        <w:rPr>
          <w:b/>
        </w:rPr>
        <w:t>RSI</w:t>
      </w:r>
      <w:r w:rsidRPr="00EC20A0">
        <w:rPr>
          <w:b/>
          <w:spacing w:val="-3"/>
        </w:rPr>
        <w:t xml:space="preserve"> </w:t>
      </w:r>
      <w:r w:rsidRPr="00EC20A0">
        <w:rPr>
          <w:b/>
        </w:rPr>
        <w:t>is</w:t>
      </w:r>
      <w:r w:rsidRPr="00EC20A0">
        <w:rPr>
          <w:b/>
          <w:spacing w:val="-3"/>
        </w:rPr>
        <w:t xml:space="preserve"> </w:t>
      </w:r>
      <w:r w:rsidRPr="00EC20A0">
        <w:rPr>
          <w:b/>
        </w:rPr>
        <w:t>presented]</w:t>
      </w:r>
      <w:hyperlink w:anchor="_bookmark210" w:history="1">
        <w:r w:rsidRPr="00EC20A0">
          <w:rPr>
            <w:position w:val="7"/>
            <w:sz w:val="14"/>
          </w:rPr>
          <w:t>1</w:t>
        </w:r>
      </w:hyperlink>
      <w:r w:rsidRPr="00EC20A0">
        <w:rPr>
          <w:spacing w:val="18"/>
          <w:position w:val="7"/>
          <w:sz w:val="14"/>
        </w:rPr>
        <w:t xml:space="preserve"> </w:t>
      </w:r>
      <w:r w:rsidRPr="00EC20A0">
        <w:t xml:space="preserve">and other information </w:t>
      </w:r>
      <w:r w:rsidRPr="00EC20A0">
        <w:rPr>
          <w:b/>
        </w:rPr>
        <w:t>[if other information is presented]</w:t>
      </w:r>
      <w:r w:rsidRPr="00EC20A0">
        <w:t>.</w:t>
      </w:r>
      <w:hyperlink w:anchor="_bookmark211" w:history="1">
        <w:r w:rsidRPr="00EC20A0">
          <w:rPr>
            <w:position w:val="7"/>
            <w:sz w:val="14"/>
          </w:rPr>
          <w:t>2</w:t>
        </w:r>
      </w:hyperlink>
    </w:p>
    <w:p w14:paraId="24D61D42" w14:textId="77777777" w:rsidR="00245300" w:rsidRPr="00EC20A0" w:rsidRDefault="00F17249">
      <w:pPr>
        <w:pStyle w:val="BodyText"/>
        <w:spacing w:before="241"/>
        <w:ind w:left="200" w:right="345" w:hanging="1"/>
      </w:pPr>
      <w:r w:rsidRPr="00EC20A0">
        <w:t>We</w:t>
      </w:r>
      <w:r w:rsidRPr="00EC20A0">
        <w:rPr>
          <w:spacing w:val="-3"/>
        </w:rPr>
        <w:t xml:space="preserve"> </w:t>
      </w:r>
      <w:r w:rsidRPr="00EC20A0">
        <w:t>confirm,</w:t>
      </w:r>
      <w:r w:rsidRPr="00EC20A0">
        <w:rPr>
          <w:spacing w:val="-3"/>
        </w:rPr>
        <w:t xml:space="preserve"> </w:t>
      </w:r>
      <w:r w:rsidRPr="00EC20A0">
        <w:t>as</w:t>
      </w:r>
      <w:r w:rsidRPr="00EC20A0">
        <w:rPr>
          <w:spacing w:val="-3"/>
        </w:rPr>
        <w:t xml:space="preserve"> </w:t>
      </w:r>
      <w:r w:rsidRPr="00EC20A0">
        <w:t>of</w:t>
      </w:r>
      <w:r w:rsidRPr="00EC20A0">
        <w:rPr>
          <w:spacing w:val="-3"/>
        </w:rPr>
        <w:t xml:space="preserve"> </w:t>
      </w:r>
      <w:r w:rsidRPr="00EC20A0">
        <w:rPr>
          <w:b/>
        </w:rPr>
        <w:t>[date</w:t>
      </w:r>
      <w:r w:rsidRPr="00EC20A0">
        <w:rPr>
          <w:b/>
          <w:spacing w:val="-4"/>
        </w:rPr>
        <w:t xml:space="preserve"> </w:t>
      </w:r>
      <w:r w:rsidRPr="00EC20A0">
        <w:rPr>
          <w:b/>
        </w:rPr>
        <w:t>of</w:t>
      </w:r>
      <w:r w:rsidRPr="00EC20A0">
        <w:rPr>
          <w:b/>
          <w:spacing w:val="-3"/>
        </w:rPr>
        <w:t xml:space="preserve"> </w:t>
      </w:r>
      <w:r w:rsidRPr="00EC20A0">
        <w:rPr>
          <w:b/>
        </w:rPr>
        <w:t>auditor’s</w:t>
      </w:r>
      <w:r w:rsidRPr="00EC20A0">
        <w:rPr>
          <w:b/>
          <w:spacing w:val="-3"/>
        </w:rPr>
        <w:t xml:space="preserve"> </w:t>
      </w:r>
      <w:r w:rsidRPr="00EC20A0">
        <w:rPr>
          <w:b/>
        </w:rPr>
        <w:t>report]</w:t>
      </w:r>
      <w:r w:rsidRPr="00EC20A0">
        <w:t>,</w:t>
      </w:r>
      <w:r w:rsidRPr="00EC20A0">
        <w:rPr>
          <w:spacing w:val="-3"/>
        </w:rPr>
        <w:t xml:space="preserve"> </w:t>
      </w:r>
      <w:r w:rsidRPr="00EC20A0">
        <w:t>the</w:t>
      </w:r>
      <w:r w:rsidRPr="00EC20A0">
        <w:rPr>
          <w:spacing w:val="-3"/>
        </w:rPr>
        <w:t xml:space="preserve"> </w:t>
      </w:r>
      <w:r w:rsidRPr="00EC20A0">
        <w:t>following</w:t>
      </w:r>
      <w:r w:rsidRPr="00EC20A0">
        <w:rPr>
          <w:spacing w:val="-3"/>
        </w:rPr>
        <w:t xml:space="preserve"> </w:t>
      </w:r>
      <w:r w:rsidRPr="00EC20A0">
        <w:t>representations</w:t>
      </w:r>
      <w:r w:rsidRPr="00EC20A0">
        <w:rPr>
          <w:spacing w:val="-3"/>
        </w:rPr>
        <w:t xml:space="preserve"> </w:t>
      </w:r>
      <w:r w:rsidRPr="00EC20A0">
        <w:t>made</w:t>
      </w:r>
      <w:r w:rsidRPr="00EC20A0">
        <w:rPr>
          <w:spacing w:val="-3"/>
        </w:rPr>
        <w:t xml:space="preserve"> </w:t>
      </w:r>
      <w:r w:rsidRPr="00EC20A0">
        <w:t>to</w:t>
      </w:r>
      <w:r w:rsidRPr="00EC20A0">
        <w:rPr>
          <w:spacing w:val="-3"/>
        </w:rPr>
        <w:t xml:space="preserve"> </w:t>
      </w:r>
      <w:r w:rsidRPr="00EC20A0">
        <w:t>you</w:t>
      </w:r>
      <w:r w:rsidRPr="00EC20A0">
        <w:rPr>
          <w:spacing w:val="-3"/>
        </w:rPr>
        <w:t xml:space="preserve"> </w:t>
      </w:r>
      <w:r w:rsidRPr="00EC20A0">
        <w:t>during your audits. These representations pertain to both years’ financial statements and update the representations we provided in the prior year.</w:t>
      </w:r>
    </w:p>
    <w:p w14:paraId="24D61D43" w14:textId="77777777" w:rsidR="00245300" w:rsidRPr="00EC20A0" w:rsidRDefault="00F17249">
      <w:pPr>
        <w:spacing w:before="239"/>
        <w:ind w:left="200"/>
        <w:rPr>
          <w:b/>
        </w:rPr>
      </w:pPr>
      <w:r w:rsidRPr="00EC20A0">
        <w:rPr>
          <w:b/>
          <w:u w:val="thick"/>
        </w:rPr>
        <w:t>Financial</w:t>
      </w:r>
      <w:r w:rsidRPr="00EC20A0">
        <w:rPr>
          <w:b/>
          <w:spacing w:val="-8"/>
          <w:u w:val="thick"/>
        </w:rPr>
        <w:t xml:space="preserve"> </w:t>
      </w:r>
      <w:r w:rsidRPr="00EC20A0">
        <w:rPr>
          <w:b/>
          <w:u w:val="thick"/>
        </w:rPr>
        <w:t>Statements,</w:t>
      </w:r>
      <w:r w:rsidRPr="00EC20A0">
        <w:rPr>
          <w:b/>
          <w:spacing w:val="-8"/>
          <w:u w:val="thick"/>
        </w:rPr>
        <w:t xml:space="preserve"> </w:t>
      </w:r>
      <w:r w:rsidRPr="00EC20A0">
        <w:rPr>
          <w:b/>
          <w:u w:val="thick"/>
        </w:rPr>
        <w:t>RSI,</w:t>
      </w:r>
      <w:r w:rsidRPr="00EC20A0">
        <w:rPr>
          <w:b/>
          <w:spacing w:val="-8"/>
          <w:u w:val="thick"/>
        </w:rPr>
        <w:t xml:space="preserve"> </w:t>
      </w:r>
      <w:r w:rsidRPr="00EC20A0">
        <w:rPr>
          <w:b/>
          <w:u w:val="thick"/>
        </w:rPr>
        <w:t>and</w:t>
      </w:r>
      <w:r w:rsidRPr="00EC20A0">
        <w:rPr>
          <w:b/>
          <w:spacing w:val="-8"/>
          <w:u w:val="thick"/>
        </w:rPr>
        <w:t xml:space="preserve"> </w:t>
      </w:r>
      <w:r w:rsidRPr="00EC20A0">
        <w:rPr>
          <w:b/>
          <w:u w:val="thick"/>
        </w:rPr>
        <w:t>Other</w:t>
      </w:r>
      <w:r w:rsidRPr="00EC20A0">
        <w:rPr>
          <w:b/>
          <w:spacing w:val="-9"/>
          <w:u w:val="thick"/>
        </w:rPr>
        <w:t xml:space="preserve"> </w:t>
      </w:r>
      <w:r w:rsidRPr="00EC20A0">
        <w:rPr>
          <w:b/>
          <w:spacing w:val="-2"/>
          <w:u w:val="thick"/>
        </w:rPr>
        <w:t>Information</w:t>
      </w:r>
    </w:p>
    <w:p w14:paraId="24D61D44" w14:textId="77777777" w:rsidR="00245300" w:rsidRPr="00EC20A0" w:rsidRDefault="00F17249">
      <w:pPr>
        <w:pStyle w:val="ListParagraph"/>
        <w:numPr>
          <w:ilvl w:val="0"/>
          <w:numId w:val="69"/>
        </w:numPr>
        <w:tabs>
          <w:tab w:val="left" w:pos="558"/>
          <w:tab w:val="left" w:pos="560"/>
        </w:tabs>
        <w:ind w:right="510" w:hanging="361"/>
      </w:pPr>
      <w:r w:rsidRPr="00EC20A0">
        <w:t>We have fulfilled our responsibilities, as set out</w:t>
      </w:r>
      <w:r w:rsidRPr="00EC20A0">
        <w:rPr>
          <w:spacing w:val="-1"/>
        </w:rPr>
        <w:t xml:space="preserve"> </w:t>
      </w:r>
      <w:r w:rsidRPr="00EC20A0">
        <w:t xml:space="preserve">in the terms of the audit engagement letter dated </w:t>
      </w:r>
      <w:r w:rsidRPr="00EC20A0">
        <w:rPr>
          <w:b/>
        </w:rPr>
        <w:t>[insert date of engagement letter]</w:t>
      </w:r>
      <w:r w:rsidRPr="00EC20A0">
        <w:t xml:space="preserve">, for the preparation and fair presentation of the </w:t>
      </w:r>
      <w:r w:rsidRPr="00EC20A0">
        <w:t>financial statements, including related notes, in accordance with U.S. generally accepted accounting</w:t>
      </w:r>
      <w:r w:rsidRPr="00EC20A0">
        <w:rPr>
          <w:spacing w:val="-5"/>
        </w:rPr>
        <w:t xml:space="preserve"> </w:t>
      </w:r>
      <w:r w:rsidRPr="00EC20A0">
        <w:t>principles</w:t>
      </w:r>
      <w:r w:rsidRPr="00EC20A0">
        <w:rPr>
          <w:spacing w:val="-4"/>
        </w:rPr>
        <w:t xml:space="preserve"> </w:t>
      </w:r>
      <w:r w:rsidRPr="00EC20A0">
        <w:t>(U.S.</w:t>
      </w:r>
      <w:r w:rsidRPr="00EC20A0">
        <w:rPr>
          <w:spacing w:val="-4"/>
        </w:rPr>
        <w:t xml:space="preserve"> </w:t>
      </w:r>
      <w:r w:rsidRPr="00EC20A0">
        <w:t>GAAP),</w:t>
      </w:r>
      <w:r w:rsidRPr="00EC20A0">
        <w:rPr>
          <w:spacing w:val="-4"/>
        </w:rPr>
        <w:t xml:space="preserve"> </w:t>
      </w:r>
      <w:r w:rsidRPr="00EC20A0">
        <w:t>issued</w:t>
      </w:r>
      <w:r w:rsidRPr="00EC20A0">
        <w:rPr>
          <w:spacing w:val="-4"/>
        </w:rPr>
        <w:t xml:space="preserve"> </w:t>
      </w:r>
      <w:r w:rsidRPr="00EC20A0">
        <w:t>by</w:t>
      </w:r>
      <w:r w:rsidRPr="00EC20A0">
        <w:rPr>
          <w:spacing w:val="-4"/>
        </w:rPr>
        <w:t xml:space="preserve"> </w:t>
      </w:r>
      <w:r w:rsidRPr="00EC20A0">
        <w:rPr>
          <w:b/>
        </w:rPr>
        <w:t>[name</w:t>
      </w:r>
      <w:r w:rsidRPr="00EC20A0">
        <w:rPr>
          <w:b/>
          <w:spacing w:val="-4"/>
        </w:rPr>
        <w:t xml:space="preserve"> </w:t>
      </w:r>
      <w:r w:rsidRPr="00EC20A0">
        <w:rPr>
          <w:b/>
        </w:rPr>
        <w:t>of</w:t>
      </w:r>
      <w:r w:rsidRPr="00EC20A0">
        <w:rPr>
          <w:b/>
          <w:spacing w:val="-4"/>
        </w:rPr>
        <w:t xml:space="preserve"> </w:t>
      </w:r>
      <w:r w:rsidRPr="00EC20A0">
        <w:rPr>
          <w:b/>
        </w:rPr>
        <w:t>standard</w:t>
      </w:r>
      <w:r w:rsidRPr="00EC20A0">
        <w:rPr>
          <w:b/>
          <w:spacing w:val="-4"/>
        </w:rPr>
        <w:t xml:space="preserve"> </w:t>
      </w:r>
      <w:r w:rsidRPr="00EC20A0">
        <w:rPr>
          <w:b/>
        </w:rPr>
        <w:t>setter,</w:t>
      </w:r>
      <w:r w:rsidRPr="00EC20A0">
        <w:rPr>
          <w:b/>
          <w:spacing w:val="-4"/>
        </w:rPr>
        <w:t xml:space="preserve"> </w:t>
      </w:r>
      <w:r w:rsidRPr="00EC20A0">
        <w:rPr>
          <w:b/>
        </w:rPr>
        <w:t>such</w:t>
      </w:r>
      <w:r w:rsidRPr="00EC20A0">
        <w:rPr>
          <w:b/>
          <w:spacing w:val="-4"/>
        </w:rPr>
        <w:t xml:space="preserve"> </w:t>
      </w:r>
      <w:r w:rsidRPr="00EC20A0">
        <w:rPr>
          <w:b/>
        </w:rPr>
        <w:t>as</w:t>
      </w:r>
      <w:r w:rsidRPr="00EC20A0">
        <w:rPr>
          <w:b/>
          <w:spacing w:val="-4"/>
        </w:rPr>
        <w:t xml:space="preserve"> </w:t>
      </w:r>
      <w:r w:rsidRPr="00EC20A0">
        <w:rPr>
          <w:b/>
        </w:rPr>
        <w:t>Federal Accounting Standards Advisory Board or Financial Accounting Standards Board]</w:t>
      </w:r>
      <w:r w:rsidRPr="00EC20A0">
        <w:t>.</w:t>
      </w:r>
    </w:p>
    <w:p w14:paraId="24D61D45" w14:textId="77777777" w:rsidR="00245300" w:rsidRPr="00EC20A0" w:rsidRDefault="00F17249">
      <w:pPr>
        <w:pStyle w:val="BodyText"/>
        <w:spacing w:before="20"/>
        <w:rPr>
          <w:sz w:val="20"/>
        </w:rPr>
      </w:pPr>
      <w:r w:rsidRPr="00EC20A0">
        <w:rPr>
          <w:noProof/>
        </w:rPr>
        <mc:AlternateContent>
          <mc:Choice Requires="wps">
            <w:drawing>
              <wp:anchor distT="0" distB="0" distL="0" distR="0" simplePos="0" relativeHeight="487723008" behindDoc="1" locked="0" layoutInCell="1" allowOverlap="1" wp14:anchorId="24D62CC5" wp14:editId="24D62CC6">
                <wp:simplePos x="0" y="0"/>
                <wp:positionH relativeFrom="page">
                  <wp:posOffset>914400</wp:posOffset>
                </wp:positionH>
                <wp:positionV relativeFrom="paragraph">
                  <wp:posOffset>174005</wp:posOffset>
                </wp:positionV>
                <wp:extent cx="1828800" cy="5715"/>
                <wp:effectExtent l="0" t="0" r="0" b="0"/>
                <wp:wrapTopAndBottom/>
                <wp:docPr id="921" name="Graphic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7B29C2" id="Graphic 921" o:spid="_x0000_s1026" style="position:absolute;margin-left:1in;margin-top:13.7pt;width:2in;height:.45pt;z-index:-1559347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" path="m1828800,l,,,5321r1828800,l1828800,xe" fillcolor="black" stroked="f">
                <v:path arrowok="t"/>
                <w10:wrap type="topAndBottom" anchorx="page"/>
              </v:shape>
            </w:pict>
          </mc:Fallback>
        </mc:AlternateContent>
      </w:r>
    </w:p>
    <w:p w14:paraId="24D61D46" w14:textId="77777777" w:rsidR="00245300" w:rsidRPr="00EC20A0" w:rsidRDefault="00F17249">
      <w:pPr>
        <w:spacing w:before="200"/>
        <w:ind w:left="200"/>
        <w:rPr>
          <w:sz w:val="18"/>
        </w:rPr>
      </w:pPr>
      <w:bookmarkStart w:id="380" w:name="_bookmark210"/>
      <w:bookmarkEnd w:id="380"/>
      <w:r w:rsidRPr="00EC20A0">
        <w:rPr>
          <w:position w:val="7"/>
          <w:sz w:val="14"/>
        </w:rPr>
        <w:t>1</w:t>
      </w:r>
      <w:r w:rsidRPr="00EC20A0">
        <w:rPr>
          <w:sz w:val="18"/>
        </w:rPr>
        <w:t>RSI</w:t>
      </w:r>
      <w:r w:rsidRPr="00EC20A0">
        <w:rPr>
          <w:spacing w:val="-3"/>
          <w:sz w:val="18"/>
        </w:rPr>
        <w:t xml:space="preserve"> </w:t>
      </w:r>
      <w:r w:rsidRPr="00EC20A0">
        <w:rPr>
          <w:sz w:val="18"/>
        </w:rPr>
        <w:t>consists</w:t>
      </w:r>
      <w:r w:rsidRPr="00EC20A0">
        <w:rPr>
          <w:spacing w:val="-3"/>
          <w:sz w:val="18"/>
        </w:rPr>
        <w:t xml:space="preserve"> </w:t>
      </w:r>
      <w:r w:rsidRPr="00EC20A0">
        <w:rPr>
          <w:sz w:val="18"/>
        </w:rPr>
        <w:t>of</w:t>
      </w:r>
      <w:r w:rsidRPr="00EC20A0">
        <w:rPr>
          <w:spacing w:val="-3"/>
          <w:sz w:val="18"/>
        </w:rPr>
        <w:t xml:space="preserve"> </w:t>
      </w:r>
      <w:r w:rsidRPr="00EC20A0">
        <w:rPr>
          <w:b/>
          <w:sz w:val="18"/>
        </w:rPr>
        <w:t>[insert</w:t>
      </w:r>
      <w:r w:rsidRPr="00EC20A0">
        <w:rPr>
          <w:b/>
          <w:spacing w:val="-2"/>
          <w:sz w:val="18"/>
        </w:rPr>
        <w:t xml:space="preserve"> description]</w:t>
      </w:r>
      <w:r w:rsidRPr="00EC20A0">
        <w:rPr>
          <w:spacing w:val="-2"/>
          <w:sz w:val="18"/>
        </w:rPr>
        <w:t>.</w:t>
      </w:r>
    </w:p>
    <w:p w14:paraId="24D61D47" w14:textId="77777777" w:rsidR="00245300" w:rsidRPr="00EC20A0" w:rsidRDefault="00F17249">
      <w:pPr>
        <w:spacing w:before="134"/>
        <w:ind w:left="200"/>
        <w:rPr>
          <w:sz w:val="18"/>
        </w:rPr>
      </w:pPr>
      <w:bookmarkStart w:id="381" w:name="_bookmark211"/>
      <w:bookmarkEnd w:id="381"/>
      <w:r w:rsidRPr="00EC20A0">
        <w:rPr>
          <w:position w:val="7"/>
          <w:sz w:val="14"/>
        </w:rPr>
        <w:t>2</w:t>
      </w:r>
      <w:r w:rsidRPr="00EC20A0">
        <w:rPr>
          <w:sz w:val="18"/>
        </w:rPr>
        <w:t>Other</w:t>
      </w:r>
      <w:r w:rsidRPr="00EC20A0">
        <w:rPr>
          <w:spacing w:val="-3"/>
          <w:sz w:val="18"/>
        </w:rPr>
        <w:t xml:space="preserve"> </w:t>
      </w:r>
      <w:r w:rsidRPr="00EC20A0">
        <w:rPr>
          <w:sz w:val="18"/>
        </w:rPr>
        <w:t>information</w:t>
      </w:r>
      <w:r w:rsidRPr="00EC20A0">
        <w:rPr>
          <w:spacing w:val="-4"/>
          <w:sz w:val="18"/>
        </w:rPr>
        <w:t xml:space="preserve"> </w:t>
      </w:r>
      <w:r w:rsidRPr="00EC20A0">
        <w:rPr>
          <w:sz w:val="18"/>
        </w:rPr>
        <w:t>consists</w:t>
      </w:r>
      <w:r w:rsidRPr="00EC20A0">
        <w:rPr>
          <w:spacing w:val="-3"/>
          <w:sz w:val="18"/>
        </w:rPr>
        <w:t xml:space="preserve"> </w:t>
      </w:r>
      <w:r w:rsidRPr="00EC20A0">
        <w:rPr>
          <w:sz w:val="18"/>
        </w:rPr>
        <w:t>of</w:t>
      </w:r>
      <w:r w:rsidRPr="00EC20A0">
        <w:rPr>
          <w:spacing w:val="-3"/>
          <w:sz w:val="18"/>
        </w:rPr>
        <w:t xml:space="preserve"> </w:t>
      </w:r>
      <w:r w:rsidRPr="00EC20A0">
        <w:rPr>
          <w:b/>
          <w:sz w:val="18"/>
        </w:rPr>
        <w:t>[insert</w:t>
      </w:r>
      <w:r w:rsidRPr="00EC20A0">
        <w:rPr>
          <w:b/>
          <w:spacing w:val="-2"/>
          <w:sz w:val="18"/>
        </w:rPr>
        <w:t xml:space="preserve"> description]</w:t>
      </w:r>
      <w:r w:rsidRPr="00EC20A0">
        <w:rPr>
          <w:spacing w:val="-2"/>
          <w:sz w:val="18"/>
        </w:rPr>
        <w:t>.</w:t>
      </w:r>
    </w:p>
    <w:p w14:paraId="24D61D48" w14:textId="77777777" w:rsidR="00245300" w:rsidRPr="00EC20A0" w:rsidRDefault="00245300">
      <w:pPr>
        <w:rPr>
          <w:sz w:val="18"/>
        </w:rPr>
        <w:sectPr w:rsidR="00245300" w:rsidRPr="00EC20A0">
          <w:headerReference w:type="default" r:id="rId188"/>
          <w:footerReference w:type="default" r:id="rId189"/>
          <w:pgSz w:w="12240" w:h="15840"/>
          <w:pgMar w:top="1340" w:right="1100" w:bottom="940" w:left="1240" w:header="721" w:footer="757" w:gutter="0"/>
          <w:cols w:space="720"/>
        </w:sectPr>
      </w:pPr>
    </w:p>
    <w:p w14:paraId="24D61D49" w14:textId="77777777" w:rsidR="00245300" w:rsidRPr="00EC20A0" w:rsidRDefault="00F17249">
      <w:pPr>
        <w:spacing w:before="121"/>
        <w:ind w:left="560" w:right="337" w:hanging="1"/>
        <w:rPr>
          <w:b/>
        </w:rPr>
      </w:pPr>
      <w:r w:rsidRPr="00EC20A0">
        <w:t xml:space="preserve">The financial statements are fairly presented in accordance with U.S. GAAP. </w:t>
      </w:r>
      <w:r w:rsidRPr="00EC20A0">
        <w:rPr>
          <w:b/>
        </w:rPr>
        <w:t>[If there are departures</w:t>
      </w:r>
      <w:r w:rsidRPr="00EC20A0">
        <w:rPr>
          <w:b/>
          <w:spacing w:val="-5"/>
        </w:rPr>
        <w:t xml:space="preserve"> </w:t>
      </w:r>
      <w:r w:rsidRPr="00EC20A0">
        <w:rPr>
          <w:b/>
        </w:rPr>
        <w:t>from</w:t>
      </w:r>
      <w:r w:rsidRPr="00EC20A0">
        <w:rPr>
          <w:b/>
          <w:spacing w:val="-7"/>
        </w:rPr>
        <w:t xml:space="preserve"> </w:t>
      </w:r>
      <w:r w:rsidRPr="00EC20A0">
        <w:rPr>
          <w:b/>
        </w:rPr>
        <w:t>generally</w:t>
      </w:r>
      <w:r w:rsidRPr="00EC20A0">
        <w:rPr>
          <w:b/>
          <w:spacing w:val="-5"/>
        </w:rPr>
        <w:t xml:space="preserve"> </w:t>
      </w:r>
      <w:r w:rsidRPr="00EC20A0">
        <w:rPr>
          <w:b/>
        </w:rPr>
        <w:t>accepted</w:t>
      </w:r>
      <w:r w:rsidRPr="00EC20A0">
        <w:rPr>
          <w:b/>
          <w:spacing w:val="-5"/>
        </w:rPr>
        <w:t xml:space="preserve"> </w:t>
      </w:r>
      <w:r w:rsidRPr="00EC20A0">
        <w:rPr>
          <w:b/>
        </w:rPr>
        <w:t>accounting</w:t>
      </w:r>
      <w:r w:rsidRPr="00EC20A0">
        <w:rPr>
          <w:b/>
          <w:spacing w:val="-5"/>
        </w:rPr>
        <w:t xml:space="preserve"> </w:t>
      </w:r>
      <w:r w:rsidRPr="00EC20A0">
        <w:rPr>
          <w:b/>
        </w:rPr>
        <w:t>principles,</w:t>
      </w:r>
      <w:r w:rsidRPr="00EC20A0">
        <w:rPr>
          <w:b/>
          <w:spacing w:val="-5"/>
        </w:rPr>
        <w:t xml:space="preserve"> </w:t>
      </w:r>
      <w:r w:rsidRPr="00EC20A0">
        <w:rPr>
          <w:b/>
        </w:rPr>
        <w:t>this</w:t>
      </w:r>
      <w:r w:rsidRPr="00EC20A0">
        <w:rPr>
          <w:b/>
          <w:spacing w:val="-5"/>
        </w:rPr>
        <w:t xml:space="preserve"> </w:t>
      </w:r>
      <w:r w:rsidRPr="00EC20A0">
        <w:rPr>
          <w:b/>
        </w:rPr>
        <w:t>statement</w:t>
      </w:r>
      <w:r w:rsidRPr="00EC20A0">
        <w:rPr>
          <w:b/>
          <w:spacing w:val="-5"/>
        </w:rPr>
        <w:t xml:space="preserve"> </w:t>
      </w:r>
      <w:r w:rsidRPr="00EC20A0">
        <w:rPr>
          <w:b/>
        </w:rPr>
        <w:t>should</w:t>
      </w:r>
      <w:r w:rsidRPr="00EC20A0">
        <w:rPr>
          <w:b/>
          <w:spacing w:val="-5"/>
        </w:rPr>
        <w:t xml:space="preserve"> </w:t>
      </w:r>
      <w:r w:rsidRPr="00EC20A0">
        <w:rPr>
          <w:b/>
        </w:rPr>
        <w:t xml:space="preserve">be modified to disclose all known instances of material </w:t>
      </w:r>
      <w:r w:rsidRPr="00EC20A0">
        <w:rPr>
          <w:b/>
        </w:rPr>
        <w:t>departure.]</w:t>
      </w:r>
    </w:p>
    <w:p w14:paraId="24D61D4A" w14:textId="77777777" w:rsidR="00245300" w:rsidRPr="00EC20A0" w:rsidRDefault="00F17249">
      <w:pPr>
        <w:pStyle w:val="ListParagraph"/>
        <w:numPr>
          <w:ilvl w:val="0"/>
          <w:numId w:val="69"/>
        </w:numPr>
        <w:tabs>
          <w:tab w:val="left" w:pos="558"/>
          <w:tab w:val="left" w:pos="560"/>
        </w:tabs>
        <w:spacing w:before="239"/>
        <w:ind w:right="1401" w:hanging="361"/>
      </w:pPr>
      <w:r w:rsidRPr="00EC20A0">
        <w:rPr>
          <w:b/>
        </w:rPr>
        <w:t xml:space="preserve">[If RSI is presented] </w:t>
      </w:r>
      <w:r w:rsidRPr="00EC20A0">
        <w:t>We have fulfilled our responsibilities for the measurement, preparation,</w:t>
      </w:r>
      <w:r w:rsidRPr="00EC20A0">
        <w:rPr>
          <w:spacing w:val="-5"/>
        </w:rPr>
        <w:t xml:space="preserve"> </w:t>
      </w:r>
      <w:r w:rsidRPr="00EC20A0">
        <w:t>and</w:t>
      </w:r>
      <w:r w:rsidRPr="00EC20A0">
        <w:rPr>
          <w:spacing w:val="-4"/>
        </w:rPr>
        <w:t xml:space="preserve"> </w:t>
      </w:r>
      <w:r w:rsidRPr="00EC20A0">
        <w:t>presentation</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RSI</w:t>
      </w:r>
      <w:r w:rsidRPr="00EC20A0">
        <w:rPr>
          <w:spacing w:val="-4"/>
        </w:rPr>
        <w:t xml:space="preserve"> </w:t>
      </w:r>
      <w:r w:rsidRPr="00EC20A0">
        <w:t>in</w:t>
      </w:r>
      <w:r w:rsidRPr="00EC20A0">
        <w:rPr>
          <w:spacing w:val="-4"/>
        </w:rPr>
        <w:t xml:space="preserve"> </w:t>
      </w:r>
      <w:r w:rsidRPr="00EC20A0">
        <w:t>accordance</w:t>
      </w:r>
      <w:r w:rsidRPr="00EC20A0">
        <w:rPr>
          <w:spacing w:val="-4"/>
        </w:rPr>
        <w:t xml:space="preserve"> </w:t>
      </w:r>
      <w:r w:rsidRPr="00EC20A0">
        <w:t>with</w:t>
      </w:r>
      <w:r w:rsidRPr="00EC20A0">
        <w:rPr>
          <w:spacing w:val="-5"/>
        </w:rPr>
        <w:t xml:space="preserve"> </w:t>
      </w:r>
      <w:r w:rsidRPr="00EC20A0">
        <w:t>prescribed</w:t>
      </w:r>
      <w:r w:rsidRPr="00EC20A0">
        <w:rPr>
          <w:spacing w:val="-4"/>
        </w:rPr>
        <w:t xml:space="preserve"> </w:t>
      </w:r>
      <w:r w:rsidRPr="00EC20A0">
        <w:t>guidelines established in U.S. GAAP.</w:t>
      </w:r>
    </w:p>
    <w:p w14:paraId="24D61D4B" w14:textId="77777777" w:rsidR="00245300" w:rsidRPr="00EC20A0" w:rsidRDefault="00F17249">
      <w:pPr>
        <w:pStyle w:val="ListParagraph"/>
        <w:numPr>
          <w:ilvl w:val="1"/>
          <w:numId w:val="69"/>
        </w:numPr>
        <w:tabs>
          <w:tab w:val="left" w:pos="917"/>
          <w:tab w:val="left" w:pos="920"/>
        </w:tabs>
        <w:spacing w:before="181"/>
        <w:ind w:right="495"/>
      </w:pPr>
      <w:r w:rsidRPr="00EC20A0">
        <w:t>The</w:t>
      </w:r>
      <w:r w:rsidRPr="00EC20A0">
        <w:rPr>
          <w:spacing w:val="-3"/>
        </w:rPr>
        <w:t xml:space="preserve"> </w:t>
      </w:r>
      <w:r w:rsidRPr="00EC20A0">
        <w:t>RSI</w:t>
      </w:r>
      <w:r w:rsidRPr="00EC20A0">
        <w:rPr>
          <w:spacing w:val="-4"/>
        </w:rPr>
        <w:t xml:space="preserve"> </w:t>
      </w:r>
      <w:r w:rsidRPr="00EC20A0">
        <w:t>is</w:t>
      </w:r>
      <w:r w:rsidRPr="00EC20A0">
        <w:rPr>
          <w:spacing w:val="-2"/>
        </w:rPr>
        <w:t xml:space="preserve"> </w:t>
      </w:r>
      <w:r w:rsidRPr="00EC20A0">
        <w:t>measured</w:t>
      </w:r>
      <w:r w:rsidRPr="00EC20A0">
        <w:rPr>
          <w:spacing w:val="-4"/>
        </w:rPr>
        <w:t xml:space="preserve"> </w:t>
      </w:r>
      <w:r w:rsidRPr="00EC20A0">
        <w:t>and</w:t>
      </w:r>
      <w:r w:rsidRPr="00EC20A0">
        <w:rPr>
          <w:spacing w:val="-4"/>
        </w:rPr>
        <w:t xml:space="preserve"> </w:t>
      </w:r>
      <w:r w:rsidRPr="00EC20A0">
        <w:t>presented</w:t>
      </w:r>
      <w:r w:rsidRPr="00EC20A0">
        <w:rPr>
          <w:spacing w:val="-4"/>
        </w:rPr>
        <w:t xml:space="preserve"> </w:t>
      </w:r>
      <w:r w:rsidRPr="00EC20A0">
        <w:t>in</w:t>
      </w:r>
      <w:r w:rsidRPr="00EC20A0">
        <w:rPr>
          <w:spacing w:val="-4"/>
        </w:rPr>
        <w:t xml:space="preserve"> </w:t>
      </w:r>
      <w:r w:rsidRPr="00EC20A0">
        <w:t>accordance</w:t>
      </w:r>
      <w:r w:rsidRPr="00EC20A0">
        <w:rPr>
          <w:spacing w:val="-3"/>
        </w:rPr>
        <w:t xml:space="preserve"> </w:t>
      </w:r>
      <w:r w:rsidRPr="00EC20A0">
        <w:t>with</w:t>
      </w:r>
      <w:r w:rsidRPr="00EC20A0">
        <w:rPr>
          <w:spacing w:val="-3"/>
        </w:rPr>
        <w:t xml:space="preserve"> </w:t>
      </w:r>
      <w:r w:rsidRPr="00EC20A0">
        <w:t>prescribed</w:t>
      </w:r>
      <w:r w:rsidRPr="00EC20A0">
        <w:rPr>
          <w:spacing w:val="-3"/>
        </w:rPr>
        <w:t xml:space="preserve"> </w:t>
      </w:r>
      <w:r w:rsidRPr="00EC20A0">
        <w:t>guidelines</w:t>
      </w:r>
      <w:r w:rsidRPr="00EC20A0">
        <w:rPr>
          <w:spacing w:val="-4"/>
        </w:rPr>
        <w:t xml:space="preserve"> </w:t>
      </w:r>
      <w:r w:rsidRPr="00EC20A0">
        <w:t>in</w:t>
      </w:r>
      <w:r w:rsidRPr="00EC20A0">
        <w:rPr>
          <w:spacing w:val="-3"/>
        </w:rPr>
        <w:t xml:space="preserve"> </w:t>
      </w:r>
      <w:r w:rsidRPr="00EC20A0">
        <w:t xml:space="preserve">U.S. </w:t>
      </w:r>
      <w:r w:rsidRPr="00EC20A0">
        <w:rPr>
          <w:spacing w:val="-2"/>
        </w:rPr>
        <w:t>GAAP,</w:t>
      </w:r>
      <w:r w:rsidRPr="00EC20A0">
        <w:rPr>
          <w:spacing w:val="-7"/>
        </w:rPr>
        <w:t xml:space="preserve"> </w:t>
      </w:r>
      <w:r w:rsidRPr="00EC20A0">
        <w:rPr>
          <w:spacing w:val="-2"/>
        </w:rPr>
        <w:t>is</w:t>
      </w:r>
      <w:r w:rsidRPr="00EC20A0">
        <w:rPr>
          <w:spacing w:val="-5"/>
        </w:rPr>
        <w:t xml:space="preserve"> </w:t>
      </w:r>
      <w:r w:rsidRPr="00EC20A0">
        <w:rPr>
          <w:spacing w:val="-2"/>
        </w:rPr>
        <w:t>consistent</w:t>
      </w:r>
      <w:r w:rsidRPr="00EC20A0">
        <w:rPr>
          <w:spacing w:val="-6"/>
        </w:rPr>
        <w:t xml:space="preserve"> </w:t>
      </w:r>
      <w:r w:rsidRPr="00EC20A0">
        <w:rPr>
          <w:spacing w:val="-2"/>
        </w:rPr>
        <w:t>with</w:t>
      </w:r>
      <w:r w:rsidRPr="00EC20A0">
        <w:rPr>
          <w:spacing w:val="-6"/>
        </w:rPr>
        <w:t xml:space="preserve"> </w:t>
      </w:r>
      <w:r w:rsidRPr="00EC20A0">
        <w:rPr>
          <w:spacing w:val="-2"/>
        </w:rPr>
        <w:t>the</w:t>
      </w:r>
      <w:r w:rsidRPr="00EC20A0">
        <w:rPr>
          <w:spacing w:val="-6"/>
        </w:rPr>
        <w:t xml:space="preserve"> </w:t>
      </w:r>
      <w:r w:rsidRPr="00EC20A0">
        <w:rPr>
          <w:spacing w:val="-2"/>
        </w:rPr>
        <w:t>financial</w:t>
      </w:r>
      <w:r w:rsidRPr="00EC20A0">
        <w:rPr>
          <w:spacing w:val="-6"/>
        </w:rPr>
        <w:t xml:space="preserve"> </w:t>
      </w:r>
      <w:r w:rsidRPr="00EC20A0">
        <w:rPr>
          <w:spacing w:val="-2"/>
        </w:rPr>
        <w:t>statements,</w:t>
      </w:r>
      <w:r w:rsidRPr="00EC20A0">
        <w:rPr>
          <w:spacing w:val="-6"/>
        </w:rPr>
        <w:t xml:space="preserve"> </w:t>
      </w:r>
      <w:r w:rsidRPr="00EC20A0">
        <w:rPr>
          <w:spacing w:val="-2"/>
        </w:rPr>
        <w:t>and</w:t>
      </w:r>
      <w:r w:rsidRPr="00EC20A0">
        <w:rPr>
          <w:spacing w:val="-7"/>
        </w:rPr>
        <w:t xml:space="preserve"> </w:t>
      </w:r>
      <w:r w:rsidRPr="00EC20A0">
        <w:rPr>
          <w:spacing w:val="-2"/>
        </w:rPr>
        <w:t>contains</w:t>
      </w:r>
      <w:r w:rsidRPr="00EC20A0">
        <w:rPr>
          <w:spacing w:val="-7"/>
        </w:rPr>
        <w:t xml:space="preserve"> </w:t>
      </w:r>
      <w:r w:rsidRPr="00EC20A0">
        <w:rPr>
          <w:spacing w:val="-2"/>
        </w:rPr>
        <w:t>no</w:t>
      </w:r>
      <w:r w:rsidRPr="00EC20A0">
        <w:rPr>
          <w:spacing w:val="-6"/>
        </w:rPr>
        <w:t xml:space="preserve"> </w:t>
      </w:r>
      <w:r w:rsidRPr="00EC20A0">
        <w:rPr>
          <w:spacing w:val="-2"/>
        </w:rPr>
        <w:t>material</w:t>
      </w:r>
      <w:r w:rsidRPr="00EC20A0">
        <w:rPr>
          <w:spacing w:val="-7"/>
        </w:rPr>
        <w:t xml:space="preserve"> </w:t>
      </w:r>
      <w:r w:rsidRPr="00EC20A0">
        <w:rPr>
          <w:spacing w:val="-2"/>
        </w:rPr>
        <w:t xml:space="preserve">misstatement </w:t>
      </w:r>
      <w:r w:rsidRPr="00EC20A0">
        <w:t>of fact.</w:t>
      </w:r>
    </w:p>
    <w:p w14:paraId="24D61D4C" w14:textId="77777777" w:rsidR="00245300" w:rsidRPr="00EC20A0" w:rsidRDefault="00F17249">
      <w:pPr>
        <w:pStyle w:val="ListParagraph"/>
        <w:numPr>
          <w:ilvl w:val="1"/>
          <w:numId w:val="69"/>
        </w:numPr>
        <w:tabs>
          <w:tab w:val="left" w:pos="918"/>
          <w:tab w:val="left" w:pos="920"/>
        </w:tabs>
        <w:spacing w:before="180"/>
        <w:ind w:right="601" w:hanging="360"/>
        <w:rPr>
          <w:b/>
        </w:rPr>
      </w:pPr>
      <w:r w:rsidRPr="00EC20A0">
        <w:t>There</w:t>
      </w:r>
      <w:r w:rsidRPr="00EC20A0">
        <w:rPr>
          <w:spacing w:val="-3"/>
        </w:rPr>
        <w:t xml:space="preserve"> </w:t>
      </w:r>
      <w:r w:rsidRPr="00EC20A0">
        <w:t>are</w:t>
      </w:r>
      <w:r w:rsidRPr="00EC20A0">
        <w:rPr>
          <w:spacing w:val="-3"/>
        </w:rPr>
        <w:t xml:space="preserve"> </w:t>
      </w:r>
      <w:r w:rsidRPr="00EC20A0">
        <w:t>no</w:t>
      </w:r>
      <w:r w:rsidRPr="00EC20A0">
        <w:rPr>
          <w:spacing w:val="-3"/>
        </w:rPr>
        <w:t xml:space="preserve"> </w:t>
      </w:r>
      <w:r w:rsidRPr="00EC20A0">
        <w:t>changes</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methods</w:t>
      </w:r>
      <w:r w:rsidRPr="00EC20A0">
        <w:rPr>
          <w:spacing w:val="-3"/>
        </w:rPr>
        <w:t xml:space="preserve"> </w:t>
      </w:r>
      <w:r w:rsidRPr="00EC20A0">
        <w:t>of</w:t>
      </w:r>
      <w:r w:rsidRPr="00EC20A0">
        <w:rPr>
          <w:spacing w:val="-3"/>
        </w:rPr>
        <w:t xml:space="preserve"> </w:t>
      </w:r>
      <w:r w:rsidRPr="00EC20A0">
        <w:t>measurement</w:t>
      </w:r>
      <w:r w:rsidRPr="00EC20A0">
        <w:rPr>
          <w:spacing w:val="-2"/>
        </w:rPr>
        <w:t xml:space="preserve"> </w:t>
      </w:r>
      <w:r w:rsidRPr="00EC20A0">
        <w:t>or</w:t>
      </w:r>
      <w:r w:rsidRPr="00EC20A0">
        <w:rPr>
          <w:spacing w:val="-3"/>
        </w:rPr>
        <w:t xml:space="preserve"> </w:t>
      </w:r>
      <w:r w:rsidRPr="00EC20A0">
        <w:t>presentation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RSI</w:t>
      </w:r>
      <w:r w:rsidRPr="00EC20A0">
        <w:rPr>
          <w:spacing w:val="-3"/>
        </w:rPr>
        <w:t xml:space="preserve"> </w:t>
      </w:r>
      <w:r w:rsidRPr="00EC20A0">
        <w:t xml:space="preserve">from the prior year </w:t>
      </w:r>
      <w:r w:rsidRPr="00EC20A0">
        <w:rPr>
          <w:u w:val="single"/>
        </w:rPr>
        <w:t>that have not been disclosed to you, including the reasons for such</w:t>
      </w:r>
      <w:r w:rsidRPr="00EC20A0">
        <w:t xml:space="preserve"> </w:t>
      </w:r>
      <w:r w:rsidRPr="00EC20A0">
        <w:rPr>
          <w:u w:val="single"/>
        </w:rPr>
        <w:t>changes</w:t>
      </w:r>
      <w:r w:rsidRPr="00EC20A0">
        <w:t>.</w:t>
      </w:r>
      <w:r w:rsidRPr="00EC20A0">
        <w:rPr>
          <w:spacing w:val="-2"/>
        </w:rPr>
        <w:t xml:space="preserve"> </w:t>
      </w:r>
      <w:r w:rsidRPr="00EC20A0">
        <w:rPr>
          <w:b/>
        </w:rPr>
        <w:t>[If</w:t>
      </w:r>
      <w:r w:rsidRPr="00EC20A0">
        <w:rPr>
          <w:b/>
          <w:spacing w:val="-4"/>
        </w:rPr>
        <w:t xml:space="preserve"> </w:t>
      </w:r>
      <w:r w:rsidRPr="00EC20A0">
        <w:rPr>
          <w:b/>
        </w:rPr>
        <w:t>there</w:t>
      </w:r>
      <w:r w:rsidRPr="00EC20A0">
        <w:rPr>
          <w:b/>
          <w:spacing w:val="-2"/>
        </w:rPr>
        <w:t xml:space="preserve"> </w:t>
      </w:r>
      <w:r w:rsidRPr="00EC20A0">
        <w:rPr>
          <w:b/>
        </w:rPr>
        <w:t>were</w:t>
      </w:r>
      <w:r w:rsidRPr="00EC20A0">
        <w:rPr>
          <w:b/>
          <w:spacing w:val="-1"/>
        </w:rPr>
        <w:t xml:space="preserve"> </w:t>
      </w:r>
      <w:r w:rsidRPr="00EC20A0">
        <w:rPr>
          <w:b/>
        </w:rPr>
        <w:t>no</w:t>
      </w:r>
      <w:r w:rsidRPr="00EC20A0">
        <w:rPr>
          <w:b/>
          <w:spacing w:val="-2"/>
        </w:rPr>
        <w:t xml:space="preserve"> </w:t>
      </w:r>
      <w:r w:rsidRPr="00EC20A0">
        <w:rPr>
          <w:b/>
        </w:rPr>
        <w:t>such</w:t>
      </w:r>
      <w:r w:rsidRPr="00EC20A0">
        <w:rPr>
          <w:b/>
          <w:spacing w:val="-2"/>
        </w:rPr>
        <w:t xml:space="preserve"> </w:t>
      </w:r>
      <w:r w:rsidRPr="00EC20A0">
        <w:rPr>
          <w:b/>
        </w:rPr>
        <w:t>changes,</w:t>
      </w:r>
      <w:r w:rsidRPr="00EC20A0">
        <w:rPr>
          <w:b/>
          <w:spacing w:val="-2"/>
        </w:rPr>
        <w:t xml:space="preserve"> </w:t>
      </w:r>
      <w:r w:rsidRPr="00EC20A0">
        <w:rPr>
          <w:b/>
        </w:rPr>
        <w:t>the</w:t>
      </w:r>
      <w:r w:rsidRPr="00EC20A0">
        <w:rPr>
          <w:b/>
          <w:spacing w:val="-2"/>
        </w:rPr>
        <w:t xml:space="preserve"> </w:t>
      </w:r>
      <w:r w:rsidRPr="00EC20A0">
        <w:rPr>
          <w:b/>
        </w:rPr>
        <w:t>underlined</w:t>
      </w:r>
      <w:r w:rsidRPr="00EC20A0">
        <w:rPr>
          <w:b/>
          <w:spacing w:val="-2"/>
        </w:rPr>
        <w:t xml:space="preserve"> </w:t>
      </w:r>
      <w:r w:rsidRPr="00EC20A0">
        <w:rPr>
          <w:b/>
        </w:rPr>
        <w:t>text</w:t>
      </w:r>
      <w:r w:rsidRPr="00EC20A0">
        <w:rPr>
          <w:b/>
          <w:spacing w:val="-2"/>
        </w:rPr>
        <w:t xml:space="preserve"> </w:t>
      </w:r>
      <w:r w:rsidRPr="00EC20A0">
        <w:rPr>
          <w:b/>
        </w:rPr>
        <w:t>should</w:t>
      </w:r>
      <w:r w:rsidRPr="00EC20A0">
        <w:rPr>
          <w:b/>
          <w:spacing w:val="-2"/>
        </w:rPr>
        <w:t xml:space="preserve"> </w:t>
      </w:r>
      <w:r w:rsidRPr="00EC20A0">
        <w:rPr>
          <w:b/>
        </w:rPr>
        <w:t>be</w:t>
      </w:r>
      <w:r w:rsidRPr="00EC20A0">
        <w:rPr>
          <w:b/>
          <w:spacing w:val="-2"/>
        </w:rPr>
        <w:t xml:space="preserve"> </w:t>
      </w:r>
      <w:r w:rsidRPr="00EC20A0">
        <w:rPr>
          <w:b/>
        </w:rPr>
        <w:t>omitted.]</w:t>
      </w:r>
    </w:p>
    <w:p w14:paraId="24D61D4D" w14:textId="77777777" w:rsidR="00245300" w:rsidRPr="00EC20A0" w:rsidRDefault="00F17249">
      <w:pPr>
        <w:pStyle w:val="ListParagraph"/>
        <w:numPr>
          <w:ilvl w:val="1"/>
          <w:numId w:val="69"/>
        </w:numPr>
        <w:tabs>
          <w:tab w:val="left" w:pos="919"/>
        </w:tabs>
        <w:spacing w:before="180"/>
        <w:ind w:left="919" w:right="565" w:hanging="360"/>
        <w:rPr>
          <w:b/>
        </w:rPr>
      </w:pPr>
      <w:r w:rsidRPr="00EC20A0">
        <w:t>There</w:t>
      </w:r>
      <w:r w:rsidRPr="00EC20A0">
        <w:rPr>
          <w:spacing w:val="-4"/>
        </w:rPr>
        <w:t xml:space="preserve"> </w:t>
      </w:r>
      <w:r w:rsidRPr="00EC20A0">
        <w:t>are</w:t>
      </w:r>
      <w:r w:rsidRPr="00EC20A0">
        <w:rPr>
          <w:spacing w:val="-4"/>
        </w:rPr>
        <w:t xml:space="preserve"> </w:t>
      </w:r>
      <w:r w:rsidRPr="00EC20A0">
        <w:t>no</w:t>
      </w:r>
      <w:r w:rsidRPr="00EC20A0">
        <w:rPr>
          <w:spacing w:val="-4"/>
        </w:rPr>
        <w:t xml:space="preserve"> </w:t>
      </w:r>
      <w:r w:rsidRPr="00EC20A0">
        <w:t>significant</w:t>
      </w:r>
      <w:r w:rsidRPr="00EC20A0">
        <w:rPr>
          <w:spacing w:val="-5"/>
        </w:rPr>
        <w:t xml:space="preserve"> </w:t>
      </w:r>
      <w:r w:rsidRPr="00EC20A0">
        <w:t>assumptions</w:t>
      </w:r>
      <w:r w:rsidRPr="00EC20A0">
        <w:rPr>
          <w:spacing w:val="-4"/>
        </w:rPr>
        <w:t xml:space="preserve"> </w:t>
      </w:r>
      <w:r w:rsidRPr="00EC20A0">
        <w:t>or</w:t>
      </w:r>
      <w:r w:rsidRPr="00EC20A0">
        <w:rPr>
          <w:spacing w:val="-4"/>
        </w:rPr>
        <w:t xml:space="preserve"> </w:t>
      </w:r>
      <w:r w:rsidRPr="00EC20A0">
        <w:t>interpretations</w:t>
      </w:r>
      <w:r w:rsidRPr="00EC20A0">
        <w:rPr>
          <w:spacing w:val="-3"/>
        </w:rPr>
        <w:t xml:space="preserve"> </w:t>
      </w:r>
      <w:r w:rsidRPr="00EC20A0">
        <w:t>underlying</w:t>
      </w:r>
      <w:r w:rsidRPr="00EC20A0">
        <w:rPr>
          <w:spacing w:val="-4"/>
        </w:rPr>
        <w:t xml:space="preserve"> </w:t>
      </w:r>
      <w:r w:rsidRPr="00EC20A0">
        <w:t>the</w:t>
      </w:r>
      <w:r w:rsidRPr="00EC20A0">
        <w:rPr>
          <w:spacing w:val="-4"/>
        </w:rPr>
        <w:t xml:space="preserve"> </w:t>
      </w:r>
      <w:r w:rsidRPr="00EC20A0">
        <w:t>measurement</w:t>
      </w:r>
      <w:r w:rsidRPr="00EC20A0">
        <w:rPr>
          <w:spacing w:val="-4"/>
        </w:rPr>
        <w:t xml:space="preserve"> </w:t>
      </w:r>
      <w:r w:rsidRPr="00EC20A0">
        <w:t xml:space="preserve">or presentation of the RSI </w:t>
      </w:r>
      <w:r w:rsidRPr="00EC20A0">
        <w:rPr>
          <w:u w:val="single"/>
        </w:rPr>
        <w:t>that have not been disclosed to you</w:t>
      </w:r>
      <w:r w:rsidRPr="00EC20A0">
        <w:t xml:space="preserve">. </w:t>
      </w:r>
      <w:r w:rsidRPr="00EC20A0">
        <w:rPr>
          <w:b/>
        </w:rPr>
        <w:t>[If there are no assumptions or interpretations, the underlined text should be omitted.]</w:t>
      </w:r>
    </w:p>
    <w:p w14:paraId="24D61D4E" w14:textId="77777777" w:rsidR="00245300" w:rsidRPr="00EC20A0" w:rsidRDefault="00F17249">
      <w:pPr>
        <w:pStyle w:val="ListParagraph"/>
        <w:numPr>
          <w:ilvl w:val="0"/>
          <w:numId w:val="69"/>
        </w:numPr>
        <w:tabs>
          <w:tab w:val="left" w:pos="557"/>
          <w:tab w:val="left" w:pos="560"/>
        </w:tabs>
        <w:ind w:right="516" w:hanging="361"/>
      </w:pPr>
      <w:r w:rsidRPr="00EC20A0">
        <w:rPr>
          <w:b/>
        </w:rPr>
        <w:t>[If</w:t>
      </w:r>
      <w:r w:rsidRPr="00EC20A0">
        <w:rPr>
          <w:b/>
          <w:spacing w:val="-11"/>
        </w:rPr>
        <w:t xml:space="preserve"> </w:t>
      </w:r>
      <w:r w:rsidRPr="00EC20A0">
        <w:rPr>
          <w:b/>
        </w:rPr>
        <w:t>other</w:t>
      </w:r>
      <w:r w:rsidRPr="00EC20A0">
        <w:rPr>
          <w:b/>
          <w:spacing w:val="-12"/>
        </w:rPr>
        <w:t xml:space="preserve"> </w:t>
      </w:r>
      <w:r w:rsidRPr="00EC20A0">
        <w:rPr>
          <w:b/>
        </w:rPr>
        <w:t>information</w:t>
      </w:r>
      <w:r w:rsidRPr="00EC20A0">
        <w:rPr>
          <w:b/>
          <w:spacing w:val="-11"/>
        </w:rPr>
        <w:t xml:space="preserve"> </w:t>
      </w:r>
      <w:r w:rsidRPr="00EC20A0">
        <w:rPr>
          <w:b/>
        </w:rPr>
        <w:t>is</w:t>
      </w:r>
      <w:r w:rsidRPr="00EC20A0">
        <w:rPr>
          <w:b/>
          <w:spacing w:val="-11"/>
        </w:rPr>
        <w:t xml:space="preserve"> </w:t>
      </w:r>
      <w:r w:rsidRPr="00EC20A0">
        <w:rPr>
          <w:b/>
        </w:rPr>
        <w:t>presented]</w:t>
      </w:r>
      <w:r w:rsidRPr="00EC20A0">
        <w:rPr>
          <w:b/>
          <w:spacing w:val="-11"/>
        </w:rPr>
        <w:t xml:space="preserve"> </w:t>
      </w:r>
      <w:r w:rsidRPr="00EC20A0">
        <w:t>We</w:t>
      </w:r>
      <w:r w:rsidRPr="00EC20A0">
        <w:rPr>
          <w:spacing w:val="-15"/>
        </w:rPr>
        <w:t xml:space="preserve"> </w:t>
      </w:r>
      <w:r w:rsidRPr="00EC20A0">
        <w:t>have</w:t>
      </w:r>
      <w:r w:rsidRPr="00EC20A0">
        <w:rPr>
          <w:spacing w:val="-15"/>
        </w:rPr>
        <w:t xml:space="preserve"> </w:t>
      </w:r>
      <w:r w:rsidRPr="00EC20A0">
        <w:t>fulfilled</w:t>
      </w:r>
      <w:r w:rsidRPr="00EC20A0">
        <w:rPr>
          <w:spacing w:val="-14"/>
        </w:rPr>
        <w:t xml:space="preserve"> </w:t>
      </w:r>
      <w:r w:rsidRPr="00EC20A0">
        <w:t>our</w:t>
      </w:r>
      <w:r w:rsidRPr="00EC20A0">
        <w:rPr>
          <w:spacing w:val="-14"/>
        </w:rPr>
        <w:t xml:space="preserve"> </w:t>
      </w:r>
      <w:r w:rsidRPr="00EC20A0">
        <w:t>responsibilities</w:t>
      </w:r>
      <w:r w:rsidRPr="00EC20A0">
        <w:rPr>
          <w:spacing w:val="-13"/>
        </w:rPr>
        <w:t xml:space="preserve"> </w:t>
      </w:r>
      <w:r w:rsidRPr="00EC20A0">
        <w:t>for</w:t>
      </w:r>
      <w:r w:rsidRPr="00EC20A0">
        <w:rPr>
          <w:spacing w:val="-15"/>
        </w:rPr>
        <w:t xml:space="preserve"> </w:t>
      </w:r>
      <w:r w:rsidRPr="00EC20A0">
        <w:t>the</w:t>
      </w:r>
      <w:r w:rsidRPr="00EC20A0">
        <w:rPr>
          <w:spacing w:val="-14"/>
        </w:rPr>
        <w:t xml:space="preserve"> </w:t>
      </w:r>
      <w:r w:rsidRPr="00EC20A0">
        <w:t>preparation and</w:t>
      </w:r>
      <w:r w:rsidRPr="00EC20A0">
        <w:rPr>
          <w:spacing w:val="-10"/>
        </w:rPr>
        <w:t xml:space="preserve"> </w:t>
      </w:r>
      <w:r w:rsidRPr="00EC20A0">
        <w:t>presentation</w:t>
      </w:r>
      <w:r w:rsidRPr="00EC20A0">
        <w:rPr>
          <w:spacing w:val="-9"/>
        </w:rPr>
        <w:t xml:space="preserve"> </w:t>
      </w:r>
      <w:r w:rsidRPr="00EC20A0">
        <w:t>of</w:t>
      </w:r>
      <w:r w:rsidRPr="00EC20A0">
        <w:rPr>
          <w:spacing w:val="-9"/>
        </w:rPr>
        <w:t xml:space="preserve"> </w:t>
      </w:r>
      <w:r w:rsidRPr="00EC20A0">
        <w:t>the</w:t>
      </w:r>
      <w:r w:rsidRPr="00EC20A0">
        <w:rPr>
          <w:spacing w:val="-9"/>
        </w:rPr>
        <w:t xml:space="preserve"> </w:t>
      </w:r>
      <w:r w:rsidRPr="00EC20A0">
        <w:t>other</w:t>
      </w:r>
      <w:r w:rsidRPr="00EC20A0">
        <w:rPr>
          <w:spacing w:val="-10"/>
        </w:rPr>
        <w:t xml:space="preserve"> </w:t>
      </w:r>
      <w:r w:rsidRPr="00EC20A0">
        <w:t>information</w:t>
      </w:r>
      <w:r w:rsidRPr="00EC20A0">
        <w:rPr>
          <w:spacing w:val="-9"/>
        </w:rPr>
        <w:t xml:space="preserve"> </w:t>
      </w:r>
      <w:r w:rsidRPr="00EC20A0">
        <w:t>(OI)</w:t>
      </w:r>
      <w:r w:rsidRPr="00EC20A0">
        <w:rPr>
          <w:spacing w:val="-9"/>
        </w:rPr>
        <w:t xml:space="preserve"> </w:t>
      </w:r>
      <w:r w:rsidRPr="00EC20A0">
        <w:t>included</w:t>
      </w:r>
      <w:r w:rsidRPr="00EC20A0">
        <w:rPr>
          <w:spacing w:val="-9"/>
        </w:rPr>
        <w:t xml:space="preserve"> </w:t>
      </w:r>
      <w:r w:rsidRPr="00EC20A0">
        <w:t>in</w:t>
      </w:r>
      <w:r w:rsidRPr="00EC20A0">
        <w:rPr>
          <w:spacing w:val="-9"/>
        </w:rPr>
        <w:t xml:space="preserve"> </w:t>
      </w:r>
      <w:r w:rsidRPr="00EC20A0">
        <w:rPr>
          <w:b/>
        </w:rPr>
        <w:t>[entity’s]</w:t>
      </w:r>
      <w:r w:rsidRPr="00EC20A0">
        <w:rPr>
          <w:b/>
          <w:spacing w:val="-10"/>
        </w:rPr>
        <w:t xml:space="preserve"> </w:t>
      </w:r>
      <w:r w:rsidRPr="00EC20A0">
        <w:rPr>
          <w:b/>
        </w:rPr>
        <w:t>[insert</w:t>
      </w:r>
      <w:r w:rsidRPr="00EC20A0">
        <w:rPr>
          <w:b/>
          <w:spacing w:val="-9"/>
        </w:rPr>
        <w:t xml:space="preserve"> </w:t>
      </w:r>
      <w:r w:rsidRPr="00EC20A0">
        <w:rPr>
          <w:b/>
        </w:rPr>
        <w:t>name</w:t>
      </w:r>
      <w:r w:rsidRPr="00EC20A0">
        <w:rPr>
          <w:b/>
          <w:spacing w:val="-10"/>
        </w:rPr>
        <w:t xml:space="preserve"> </w:t>
      </w:r>
      <w:r w:rsidRPr="00EC20A0">
        <w:rPr>
          <w:b/>
        </w:rPr>
        <w:t>of</w:t>
      </w:r>
      <w:r w:rsidRPr="00EC20A0">
        <w:rPr>
          <w:b/>
          <w:spacing w:val="-9"/>
        </w:rPr>
        <w:t xml:space="preserve"> </w:t>
      </w:r>
      <w:r w:rsidRPr="00EC20A0">
        <w:rPr>
          <w:b/>
        </w:rPr>
        <w:t>annual report,</w:t>
      </w:r>
      <w:r w:rsidRPr="00EC20A0">
        <w:rPr>
          <w:b/>
          <w:spacing w:val="-7"/>
        </w:rPr>
        <w:t xml:space="preserve"> </w:t>
      </w:r>
      <w:r w:rsidRPr="00EC20A0">
        <w:rPr>
          <w:b/>
        </w:rPr>
        <w:t>e.g.,</w:t>
      </w:r>
      <w:r w:rsidRPr="00EC20A0">
        <w:rPr>
          <w:b/>
          <w:spacing w:val="-6"/>
        </w:rPr>
        <w:t xml:space="preserve"> </w:t>
      </w:r>
      <w:r w:rsidRPr="00EC20A0">
        <w:rPr>
          <w:b/>
        </w:rPr>
        <w:t>agency</w:t>
      </w:r>
      <w:r w:rsidRPr="00EC20A0">
        <w:rPr>
          <w:b/>
          <w:spacing w:val="-6"/>
        </w:rPr>
        <w:t xml:space="preserve"> </w:t>
      </w:r>
      <w:r w:rsidRPr="00EC20A0">
        <w:rPr>
          <w:b/>
        </w:rPr>
        <w:t>financial</w:t>
      </w:r>
      <w:r w:rsidRPr="00EC20A0">
        <w:rPr>
          <w:b/>
          <w:spacing w:val="-6"/>
        </w:rPr>
        <w:t xml:space="preserve"> </w:t>
      </w:r>
      <w:r w:rsidRPr="00EC20A0">
        <w:rPr>
          <w:b/>
        </w:rPr>
        <w:t>report]</w:t>
      </w:r>
      <w:r w:rsidRPr="00EC20A0">
        <w:rPr>
          <w:b/>
          <w:spacing w:val="-7"/>
        </w:rPr>
        <w:t xml:space="preserve"> </w:t>
      </w:r>
      <w:r w:rsidRPr="00EC20A0">
        <w:t>and</w:t>
      </w:r>
      <w:r w:rsidRPr="00EC20A0">
        <w:rPr>
          <w:spacing w:val="-7"/>
        </w:rPr>
        <w:t xml:space="preserve"> </w:t>
      </w:r>
      <w:r w:rsidRPr="00EC20A0">
        <w:t>for</w:t>
      </w:r>
      <w:r w:rsidRPr="00EC20A0">
        <w:rPr>
          <w:spacing w:val="-6"/>
        </w:rPr>
        <w:t xml:space="preserve"> </w:t>
      </w:r>
      <w:r w:rsidRPr="00EC20A0">
        <w:t>ensuring</w:t>
      </w:r>
      <w:r w:rsidRPr="00EC20A0">
        <w:rPr>
          <w:spacing w:val="-6"/>
        </w:rPr>
        <w:t xml:space="preserve"> </w:t>
      </w:r>
      <w:r w:rsidRPr="00EC20A0">
        <w:t>the</w:t>
      </w:r>
      <w:r w:rsidRPr="00EC20A0">
        <w:rPr>
          <w:spacing w:val="-6"/>
        </w:rPr>
        <w:t xml:space="preserve"> </w:t>
      </w:r>
      <w:r w:rsidRPr="00EC20A0">
        <w:t>consistency</w:t>
      </w:r>
      <w:r w:rsidRPr="00EC20A0">
        <w:rPr>
          <w:spacing w:val="-5"/>
        </w:rPr>
        <w:t xml:space="preserve"> </w:t>
      </w:r>
      <w:r w:rsidRPr="00EC20A0">
        <w:t>of</w:t>
      </w:r>
      <w:r w:rsidRPr="00EC20A0">
        <w:rPr>
          <w:spacing w:val="-7"/>
        </w:rPr>
        <w:t xml:space="preserve"> </w:t>
      </w:r>
      <w:r w:rsidRPr="00EC20A0">
        <w:t>that</w:t>
      </w:r>
      <w:r w:rsidRPr="00EC20A0">
        <w:rPr>
          <w:spacing w:val="-7"/>
        </w:rPr>
        <w:t xml:space="preserve"> </w:t>
      </w:r>
      <w:r w:rsidRPr="00EC20A0">
        <w:t>information with the audited financial statements and RSI.</w:t>
      </w:r>
    </w:p>
    <w:p w14:paraId="24D61D4F" w14:textId="77777777" w:rsidR="00245300" w:rsidRPr="00EC20A0" w:rsidRDefault="00F17249">
      <w:pPr>
        <w:pStyle w:val="ListParagraph"/>
        <w:numPr>
          <w:ilvl w:val="1"/>
          <w:numId w:val="69"/>
        </w:numPr>
        <w:tabs>
          <w:tab w:val="left" w:pos="918"/>
          <w:tab w:val="left" w:pos="920"/>
        </w:tabs>
        <w:spacing w:before="179"/>
        <w:ind w:right="943" w:hanging="360"/>
      </w:pPr>
      <w:r w:rsidRPr="00EC20A0">
        <w:t>The</w:t>
      </w:r>
      <w:r w:rsidRPr="00EC20A0">
        <w:rPr>
          <w:spacing w:val="-16"/>
        </w:rPr>
        <w:t xml:space="preserve"> </w:t>
      </w:r>
      <w:r w:rsidRPr="00EC20A0">
        <w:t>OI</w:t>
      </w:r>
      <w:r w:rsidRPr="00EC20A0">
        <w:rPr>
          <w:spacing w:val="-15"/>
        </w:rPr>
        <w:t xml:space="preserve"> </w:t>
      </w:r>
      <w:r w:rsidRPr="00EC20A0">
        <w:t>included</w:t>
      </w:r>
      <w:r w:rsidRPr="00EC20A0">
        <w:rPr>
          <w:spacing w:val="-15"/>
        </w:rPr>
        <w:t xml:space="preserve"> </w:t>
      </w:r>
      <w:r w:rsidRPr="00EC20A0">
        <w:t>in</w:t>
      </w:r>
      <w:r w:rsidRPr="00EC20A0">
        <w:rPr>
          <w:spacing w:val="-16"/>
        </w:rPr>
        <w:t xml:space="preserve"> </w:t>
      </w:r>
      <w:r w:rsidRPr="00EC20A0">
        <w:rPr>
          <w:b/>
        </w:rPr>
        <w:t>[entity’s]</w:t>
      </w:r>
      <w:r w:rsidRPr="00EC20A0">
        <w:rPr>
          <w:b/>
          <w:spacing w:val="-15"/>
        </w:rPr>
        <w:t xml:space="preserve"> </w:t>
      </w:r>
      <w:r w:rsidRPr="00EC20A0">
        <w:rPr>
          <w:b/>
        </w:rPr>
        <w:t>[insert</w:t>
      </w:r>
      <w:r w:rsidRPr="00EC20A0">
        <w:rPr>
          <w:b/>
          <w:spacing w:val="-15"/>
        </w:rPr>
        <w:t xml:space="preserve"> </w:t>
      </w:r>
      <w:r w:rsidRPr="00EC20A0">
        <w:rPr>
          <w:b/>
        </w:rPr>
        <w:t>name</w:t>
      </w:r>
      <w:r w:rsidRPr="00EC20A0">
        <w:rPr>
          <w:b/>
          <w:spacing w:val="-15"/>
        </w:rPr>
        <w:t xml:space="preserve"> </w:t>
      </w:r>
      <w:r w:rsidRPr="00EC20A0">
        <w:rPr>
          <w:b/>
        </w:rPr>
        <w:t>of</w:t>
      </w:r>
      <w:r w:rsidRPr="00EC20A0">
        <w:rPr>
          <w:b/>
          <w:spacing w:val="-16"/>
        </w:rPr>
        <w:t xml:space="preserve"> </w:t>
      </w:r>
      <w:r w:rsidRPr="00EC20A0">
        <w:rPr>
          <w:b/>
        </w:rPr>
        <w:t>annual</w:t>
      </w:r>
      <w:r w:rsidRPr="00EC20A0">
        <w:rPr>
          <w:b/>
          <w:spacing w:val="-15"/>
        </w:rPr>
        <w:t xml:space="preserve"> </w:t>
      </w:r>
      <w:r w:rsidRPr="00EC20A0">
        <w:rPr>
          <w:b/>
        </w:rPr>
        <w:t>report,</w:t>
      </w:r>
      <w:r w:rsidRPr="00EC20A0">
        <w:rPr>
          <w:b/>
          <w:spacing w:val="-15"/>
        </w:rPr>
        <w:t xml:space="preserve"> </w:t>
      </w:r>
      <w:r w:rsidRPr="00EC20A0">
        <w:rPr>
          <w:b/>
        </w:rPr>
        <w:t>e.g.,</w:t>
      </w:r>
      <w:r w:rsidRPr="00EC20A0">
        <w:rPr>
          <w:b/>
          <w:spacing w:val="-16"/>
        </w:rPr>
        <w:t xml:space="preserve"> </w:t>
      </w:r>
      <w:r w:rsidRPr="00EC20A0">
        <w:rPr>
          <w:b/>
        </w:rPr>
        <w:t>agency</w:t>
      </w:r>
      <w:r w:rsidRPr="00EC20A0">
        <w:rPr>
          <w:b/>
          <w:spacing w:val="-15"/>
        </w:rPr>
        <w:t xml:space="preserve"> </w:t>
      </w:r>
      <w:r w:rsidRPr="00EC20A0">
        <w:rPr>
          <w:b/>
        </w:rPr>
        <w:t>financial report]</w:t>
      </w:r>
      <w:r w:rsidRPr="00EC20A0">
        <w:rPr>
          <w:b/>
          <w:spacing w:val="-12"/>
        </w:rPr>
        <w:t xml:space="preserve"> </w:t>
      </w:r>
      <w:r w:rsidRPr="00EC20A0">
        <w:t>is</w:t>
      </w:r>
      <w:r w:rsidRPr="00EC20A0">
        <w:rPr>
          <w:spacing w:val="-11"/>
        </w:rPr>
        <w:t xml:space="preserve"> </w:t>
      </w:r>
      <w:r w:rsidRPr="00EC20A0">
        <w:t>consistent</w:t>
      </w:r>
      <w:r w:rsidRPr="00EC20A0">
        <w:rPr>
          <w:spacing w:val="-11"/>
        </w:rPr>
        <w:t xml:space="preserve"> </w:t>
      </w:r>
      <w:r w:rsidRPr="00EC20A0">
        <w:t>with</w:t>
      </w:r>
      <w:r w:rsidRPr="00EC20A0">
        <w:rPr>
          <w:spacing w:val="-11"/>
        </w:rPr>
        <w:t xml:space="preserve"> </w:t>
      </w:r>
      <w:r w:rsidRPr="00EC20A0">
        <w:t>the</w:t>
      </w:r>
      <w:r w:rsidRPr="00EC20A0">
        <w:rPr>
          <w:spacing w:val="-11"/>
        </w:rPr>
        <w:t xml:space="preserve"> </w:t>
      </w:r>
      <w:r w:rsidRPr="00EC20A0">
        <w:t>financial</w:t>
      </w:r>
      <w:r w:rsidRPr="00EC20A0">
        <w:rPr>
          <w:spacing w:val="-11"/>
        </w:rPr>
        <w:t xml:space="preserve"> </w:t>
      </w:r>
      <w:r w:rsidRPr="00EC20A0">
        <w:t>statements</w:t>
      </w:r>
      <w:r w:rsidRPr="00EC20A0">
        <w:rPr>
          <w:spacing w:val="-9"/>
        </w:rPr>
        <w:t xml:space="preserve"> </w:t>
      </w:r>
      <w:r w:rsidRPr="00EC20A0">
        <w:t>and</w:t>
      </w:r>
      <w:r w:rsidRPr="00EC20A0">
        <w:rPr>
          <w:spacing w:val="-10"/>
        </w:rPr>
        <w:t xml:space="preserve"> </w:t>
      </w:r>
      <w:r w:rsidRPr="00EC20A0">
        <w:t>RSI</w:t>
      </w:r>
      <w:r w:rsidRPr="00EC20A0">
        <w:rPr>
          <w:spacing w:val="-12"/>
        </w:rPr>
        <w:t xml:space="preserve"> </w:t>
      </w:r>
      <w:r w:rsidRPr="00EC20A0">
        <w:t>and</w:t>
      </w:r>
      <w:r w:rsidRPr="00EC20A0">
        <w:rPr>
          <w:spacing w:val="-11"/>
        </w:rPr>
        <w:t xml:space="preserve"> </w:t>
      </w:r>
      <w:r w:rsidRPr="00EC20A0">
        <w:t>contains</w:t>
      </w:r>
      <w:r w:rsidRPr="00EC20A0">
        <w:rPr>
          <w:spacing w:val="-12"/>
        </w:rPr>
        <w:t xml:space="preserve"> </w:t>
      </w:r>
      <w:r w:rsidRPr="00EC20A0">
        <w:t>no</w:t>
      </w:r>
      <w:r w:rsidRPr="00EC20A0">
        <w:rPr>
          <w:spacing w:val="-11"/>
        </w:rPr>
        <w:t xml:space="preserve"> </w:t>
      </w:r>
      <w:r w:rsidRPr="00EC20A0">
        <w:t>material misstatement of fact.</w:t>
      </w:r>
    </w:p>
    <w:p w14:paraId="24D61D50" w14:textId="77777777" w:rsidR="00245300" w:rsidRPr="00EC20A0" w:rsidRDefault="00F17249">
      <w:pPr>
        <w:pStyle w:val="ListParagraph"/>
        <w:numPr>
          <w:ilvl w:val="1"/>
          <w:numId w:val="69"/>
        </w:numPr>
        <w:tabs>
          <w:tab w:val="left" w:pos="919"/>
        </w:tabs>
        <w:spacing w:before="181"/>
        <w:ind w:left="919" w:right="368" w:hanging="360"/>
        <w:rPr>
          <w:b/>
        </w:rPr>
      </w:pPr>
      <w:r w:rsidRPr="00EC20A0">
        <w:t>There</w:t>
      </w:r>
      <w:r w:rsidRPr="00EC20A0">
        <w:rPr>
          <w:spacing w:val="-3"/>
        </w:rPr>
        <w:t xml:space="preserve"> </w:t>
      </w:r>
      <w:r w:rsidRPr="00EC20A0">
        <w:t>are</w:t>
      </w:r>
      <w:r w:rsidRPr="00EC20A0">
        <w:rPr>
          <w:spacing w:val="-3"/>
        </w:rPr>
        <w:t xml:space="preserve"> </w:t>
      </w:r>
      <w:r w:rsidRPr="00EC20A0">
        <w:t>no</w:t>
      </w:r>
      <w:r w:rsidRPr="00EC20A0">
        <w:rPr>
          <w:spacing w:val="-3"/>
        </w:rPr>
        <w:t xml:space="preserve"> </w:t>
      </w:r>
      <w:r w:rsidRPr="00EC20A0">
        <w:t>changes</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methods</w:t>
      </w:r>
      <w:r w:rsidRPr="00EC20A0">
        <w:rPr>
          <w:spacing w:val="-3"/>
        </w:rPr>
        <w:t xml:space="preserve"> </w:t>
      </w:r>
      <w:r w:rsidRPr="00EC20A0">
        <w:t>of</w:t>
      </w:r>
      <w:r w:rsidRPr="00EC20A0">
        <w:rPr>
          <w:spacing w:val="-3"/>
        </w:rPr>
        <w:t xml:space="preserve"> </w:t>
      </w:r>
      <w:r w:rsidRPr="00EC20A0">
        <w:t>measurement</w:t>
      </w:r>
      <w:r w:rsidRPr="00EC20A0">
        <w:rPr>
          <w:spacing w:val="-3"/>
        </w:rPr>
        <w:t xml:space="preserve"> </w:t>
      </w:r>
      <w:r w:rsidRPr="00EC20A0">
        <w:t>or</w:t>
      </w:r>
      <w:r w:rsidRPr="00EC20A0">
        <w:rPr>
          <w:spacing w:val="-3"/>
        </w:rPr>
        <w:t xml:space="preserve"> </w:t>
      </w:r>
      <w:r w:rsidRPr="00EC20A0">
        <w:t>presentation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OI</w:t>
      </w:r>
      <w:r w:rsidRPr="00EC20A0">
        <w:rPr>
          <w:spacing w:val="-3"/>
        </w:rPr>
        <w:t xml:space="preserve"> </w:t>
      </w:r>
      <w:r w:rsidRPr="00EC20A0">
        <w:t>from</w:t>
      </w:r>
      <w:r w:rsidRPr="00EC20A0">
        <w:rPr>
          <w:spacing w:val="-3"/>
        </w:rPr>
        <w:t xml:space="preserve"> </w:t>
      </w:r>
      <w:r w:rsidRPr="00EC20A0">
        <w:t xml:space="preserve">the prior year </w:t>
      </w:r>
      <w:r w:rsidRPr="00EC20A0">
        <w:rPr>
          <w:u w:val="single"/>
        </w:rPr>
        <w:t>that have not been disclosed to you, including the reasons for such changes</w:t>
      </w:r>
      <w:r w:rsidRPr="00EC20A0">
        <w:t xml:space="preserve">. </w:t>
      </w:r>
      <w:r w:rsidRPr="00EC20A0">
        <w:rPr>
          <w:b/>
        </w:rPr>
        <w:t>[If there were no such changes, the underlined text should be omitted.]</w:t>
      </w:r>
    </w:p>
    <w:p w14:paraId="24D61D51" w14:textId="77777777" w:rsidR="00245300" w:rsidRPr="00EC20A0" w:rsidRDefault="00F17249">
      <w:pPr>
        <w:pStyle w:val="ListParagraph"/>
        <w:numPr>
          <w:ilvl w:val="1"/>
          <w:numId w:val="69"/>
        </w:numPr>
        <w:tabs>
          <w:tab w:val="left" w:pos="919"/>
        </w:tabs>
        <w:spacing w:before="179"/>
        <w:ind w:left="919" w:right="565" w:hanging="360"/>
        <w:rPr>
          <w:b/>
        </w:rPr>
      </w:pPr>
      <w:r w:rsidRPr="00EC20A0">
        <w:t>There</w:t>
      </w:r>
      <w:r w:rsidRPr="00EC20A0">
        <w:rPr>
          <w:spacing w:val="-4"/>
        </w:rPr>
        <w:t xml:space="preserve"> </w:t>
      </w:r>
      <w:r w:rsidRPr="00EC20A0">
        <w:t>are</w:t>
      </w:r>
      <w:r w:rsidRPr="00EC20A0">
        <w:rPr>
          <w:spacing w:val="-4"/>
        </w:rPr>
        <w:t xml:space="preserve"> </w:t>
      </w:r>
      <w:r w:rsidRPr="00EC20A0">
        <w:t>no</w:t>
      </w:r>
      <w:r w:rsidRPr="00EC20A0">
        <w:rPr>
          <w:spacing w:val="-4"/>
        </w:rPr>
        <w:t xml:space="preserve"> </w:t>
      </w:r>
      <w:r w:rsidRPr="00EC20A0">
        <w:t>significant</w:t>
      </w:r>
      <w:r w:rsidRPr="00EC20A0">
        <w:rPr>
          <w:spacing w:val="-5"/>
        </w:rPr>
        <w:t xml:space="preserve"> </w:t>
      </w:r>
      <w:r w:rsidRPr="00EC20A0">
        <w:t>assumptions</w:t>
      </w:r>
      <w:r w:rsidRPr="00EC20A0">
        <w:rPr>
          <w:spacing w:val="-4"/>
        </w:rPr>
        <w:t xml:space="preserve"> </w:t>
      </w:r>
      <w:r w:rsidRPr="00EC20A0">
        <w:t>or</w:t>
      </w:r>
      <w:r w:rsidRPr="00EC20A0">
        <w:rPr>
          <w:spacing w:val="-4"/>
        </w:rPr>
        <w:t xml:space="preserve"> </w:t>
      </w:r>
      <w:r w:rsidRPr="00EC20A0">
        <w:t>interpretations</w:t>
      </w:r>
      <w:r w:rsidRPr="00EC20A0">
        <w:rPr>
          <w:spacing w:val="-4"/>
        </w:rPr>
        <w:t xml:space="preserve"> </w:t>
      </w:r>
      <w:r w:rsidRPr="00EC20A0">
        <w:t>underlying</w:t>
      </w:r>
      <w:r w:rsidRPr="00EC20A0">
        <w:rPr>
          <w:spacing w:val="-4"/>
        </w:rPr>
        <w:t xml:space="preserve"> </w:t>
      </w:r>
      <w:r w:rsidRPr="00EC20A0">
        <w:t>the</w:t>
      </w:r>
      <w:r w:rsidRPr="00EC20A0">
        <w:rPr>
          <w:spacing w:val="-3"/>
        </w:rPr>
        <w:t xml:space="preserve"> </w:t>
      </w:r>
      <w:r w:rsidRPr="00EC20A0">
        <w:t>measurement</w:t>
      </w:r>
      <w:r w:rsidRPr="00EC20A0">
        <w:rPr>
          <w:spacing w:val="-4"/>
        </w:rPr>
        <w:t xml:space="preserve"> </w:t>
      </w:r>
      <w:r w:rsidRPr="00EC20A0">
        <w:t xml:space="preserve">or presentation of the OI </w:t>
      </w:r>
      <w:r w:rsidRPr="00EC20A0">
        <w:rPr>
          <w:u w:val="single"/>
        </w:rPr>
        <w:t xml:space="preserve">that have not been disclosed to you. </w:t>
      </w:r>
      <w:r w:rsidRPr="00EC20A0">
        <w:rPr>
          <w:b/>
        </w:rPr>
        <w:t>[If there are no assumptions or interpretations, the underlined text should be omitted.]</w:t>
      </w:r>
    </w:p>
    <w:p w14:paraId="24D61D52" w14:textId="77777777" w:rsidR="00245300" w:rsidRPr="00EC20A0" w:rsidRDefault="00F17249">
      <w:pPr>
        <w:pStyle w:val="ListParagraph"/>
        <w:numPr>
          <w:ilvl w:val="0"/>
          <w:numId w:val="69"/>
        </w:numPr>
        <w:tabs>
          <w:tab w:val="left" w:pos="559"/>
        </w:tabs>
        <w:spacing w:before="142" w:line="247" w:lineRule="auto"/>
        <w:ind w:left="559" w:right="1242"/>
        <w:jc w:val="both"/>
      </w:pPr>
      <w:r w:rsidRPr="00EC20A0">
        <w:t>The</w:t>
      </w:r>
      <w:r w:rsidRPr="00EC20A0">
        <w:rPr>
          <w:spacing w:val="-4"/>
        </w:rPr>
        <w:t xml:space="preserve"> </w:t>
      </w:r>
      <w:r w:rsidRPr="00EC20A0">
        <w:t>methods,</w:t>
      </w:r>
      <w:r w:rsidRPr="00EC20A0">
        <w:rPr>
          <w:spacing w:val="-4"/>
        </w:rPr>
        <w:t xml:space="preserve"> </w:t>
      </w:r>
      <w:r w:rsidRPr="00EC20A0">
        <w:t>data,</w:t>
      </w:r>
      <w:r w:rsidRPr="00EC20A0">
        <w:rPr>
          <w:spacing w:val="-4"/>
        </w:rPr>
        <w:t xml:space="preserve"> </w:t>
      </w:r>
      <w:r w:rsidRPr="00EC20A0">
        <w:t>and</w:t>
      </w:r>
      <w:r w:rsidRPr="00EC20A0">
        <w:rPr>
          <w:spacing w:val="-5"/>
        </w:rPr>
        <w:t xml:space="preserve"> </w:t>
      </w:r>
      <w:r w:rsidRPr="00EC20A0">
        <w:t>significant</w:t>
      </w:r>
      <w:r w:rsidRPr="00EC20A0">
        <w:rPr>
          <w:spacing w:val="-4"/>
        </w:rPr>
        <w:t xml:space="preserve"> </w:t>
      </w:r>
      <w:r w:rsidRPr="00EC20A0">
        <w:t>assumptions</w:t>
      </w:r>
      <w:r w:rsidRPr="00EC20A0">
        <w:rPr>
          <w:spacing w:val="-5"/>
        </w:rPr>
        <w:t xml:space="preserve"> </w:t>
      </w:r>
      <w:r w:rsidRPr="00EC20A0">
        <w:t>that</w:t>
      </w:r>
      <w:r w:rsidRPr="00EC20A0">
        <w:rPr>
          <w:spacing w:val="-4"/>
        </w:rPr>
        <w:t xml:space="preserve"> </w:t>
      </w:r>
      <w:r w:rsidRPr="00EC20A0">
        <w:t>we</w:t>
      </w:r>
      <w:r w:rsidRPr="00EC20A0">
        <w:rPr>
          <w:spacing w:val="-4"/>
        </w:rPr>
        <w:t xml:space="preserve"> </w:t>
      </w:r>
      <w:r w:rsidRPr="00EC20A0">
        <w:t>used</w:t>
      </w:r>
      <w:r w:rsidRPr="00EC20A0">
        <w:rPr>
          <w:spacing w:val="-4"/>
        </w:rPr>
        <w:t xml:space="preserve"> </w:t>
      </w:r>
      <w:r w:rsidRPr="00EC20A0">
        <w:t>in</w:t>
      </w:r>
      <w:r w:rsidRPr="00EC20A0">
        <w:rPr>
          <w:spacing w:val="-4"/>
        </w:rPr>
        <w:t xml:space="preserve"> </w:t>
      </w:r>
      <w:r w:rsidRPr="00EC20A0">
        <w:t>making</w:t>
      </w:r>
      <w:r w:rsidRPr="00EC20A0">
        <w:rPr>
          <w:spacing w:val="-5"/>
        </w:rPr>
        <w:t xml:space="preserve"> </w:t>
      </w:r>
      <w:r w:rsidRPr="00EC20A0">
        <w:t>accounting estimates and their related note disclosures are</w:t>
      </w:r>
      <w:r w:rsidRPr="00EC20A0">
        <w:rPr>
          <w:spacing w:val="-1"/>
        </w:rPr>
        <w:t xml:space="preserve"> </w:t>
      </w:r>
      <w:r w:rsidRPr="00EC20A0">
        <w:t>appropriate</w:t>
      </w:r>
      <w:r w:rsidRPr="00EC20A0">
        <w:rPr>
          <w:spacing w:val="-1"/>
        </w:rPr>
        <w:t xml:space="preserve"> </w:t>
      </w:r>
      <w:r w:rsidRPr="00EC20A0">
        <w:t>to achieve recognition, measurement, or disclosure that is reasonable in the context of U.S. GAAP.</w:t>
      </w:r>
    </w:p>
    <w:p w14:paraId="24D61D53" w14:textId="77777777" w:rsidR="00245300" w:rsidRPr="00EC20A0" w:rsidRDefault="00F17249">
      <w:pPr>
        <w:pStyle w:val="ListParagraph"/>
        <w:numPr>
          <w:ilvl w:val="0"/>
          <w:numId w:val="69"/>
        </w:numPr>
        <w:tabs>
          <w:tab w:val="left" w:pos="559"/>
        </w:tabs>
        <w:spacing w:before="137" w:line="247" w:lineRule="auto"/>
        <w:ind w:left="559" w:right="387"/>
      </w:pPr>
      <w:r w:rsidRPr="00EC20A0">
        <w:t>We</w:t>
      </w:r>
      <w:r w:rsidRPr="00EC20A0">
        <w:rPr>
          <w:spacing w:val="-3"/>
        </w:rPr>
        <w:t xml:space="preserve"> </w:t>
      </w:r>
      <w:r w:rsidRPr="00EC20A0">
        <w:t>have</w:t>
      </w:r>
      <w:r w:rsidRPr="00EC20A0">
        <w:rPr>
          <w:spacing w:val="-3"/>
        </w:rPr>
        <w:t xml:space="preserve"> </w:t>
      </w:r>
      <w:r w:rsidRPr="00EC20A0">
        <w:t>provided</w:t>
      </w:r>
      <w:r w:rsidRPr="00EC20A0">
        <w:rPr>
          <w:spacing w:val="-3"/>
        </w:rPr>
        <w:t xml:space="preserve"> </w:t>
      </w:r>
      <w:r w:rsidRPr="00EC20A0">
        <w:t>you</w:t>
      </w:r>
      <w:r w:rsidRPr="00EC20A0">
        <w:rPr>
          <w:spacing w:val="-4"/>
        </w:rPr>
        <w:t xml:space="preserve"> </w:t>
      </w:r>
      <w:r w:rsidRPr="00EC20A0">
        <w:t>with</w:t>
      </w:r>
      <w:r w:rsidRPr="00EC20A0">
        <w:rPr>
          <w:spacing w:val="-3"/>
        </w:rPr>
        <w:t xml:space="preserve"> </w:t>
      </w:r>
      <w:r w:rsidRPr="00EC20A0">
        <w:t>all</w:t>
      </w:r>
      <w:r w:rsidRPr="00EC20A0">
        <w:rPr>
          <w:spacing w:val="-3"/>
        </w:rPr>
        <w:t xml:space="preserve"> </w:t>
      </w:r>
      <w:r w:rsidRPr="00EC20A0">
        <w:t>relevant</w:t>
      </w:r>
      <w:r w:rsidRPr="00EC20A0">
        <w:rPr>
          <w:spacing w:val="-3"/>
        </w:rPr>
        <w:t xml:space="preserve"> </w:t>
      </w:r>
      <w:r w:rsidRPr="00EC20A0">
        <w:t>information</w:t>
      </w:r>
      <w:r w:rsidRPr="00EC20A0">
        <w:rPr>
          <w:spacing w:val="-3"/>
        </w:rPr>
        <w:t xml:space="preserve"> </w:t>
      </w:r>
      <w:r w:rsidRPr="00EC20A0">
        <w:t>and</w:t>
      </w:r>
      <w:r w:rsidRPr="00EC20A0">
        <w:rPr>
          <w:spacing w:val="-3"/>
        </w:rPr>
        <w:t xml:space="preserve"> </w:t>
      </w:r>
      <w:r w:rsidRPr="00EC20A0">
        <w:t>access,</w:t>
      </w:r>
      <w:r w:rsidRPr="00EC20A0">
        <w:rPr>
          <w:spacing w:val="-3"/>
        </w:rPr>
        <w:t xml:space="preserve"> </w:t>
      </w:r>
      <w:r w:rsidRPr="00EC20A0">
        <w:t>as</w:t>
      </w:r>
      <w:r w:rsidRPr="00EC20A0">
        <w:rPr>
          <w:spacing w:val="-3"/>
        </w:rPr>
        <w:t xml:space="preserve"> </w:t>
      </w:r>
      <w:r w:rsidRPr="00EC20A0">
        <w:t>agreed</w:t>
      </w:r>
      <w:r w:rsidRPr="00EC20A0">
        <w:rPr>
          <w:spacing w:val="-3"/>
        </w:rPr>
        <w:t xml:space="preserve"> </w:t>
      </w:r>
      <w:r w:rsidRPr="00EC20A0">
        <w:t>upon</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terms of the audit engagement letter, including the following:</w:t>
      </w:r>
    </w:p>
    <w:p w14:paraId="24D61D54" w14:textId="77777777" w:rsidR="00245300" w:rsidRPr="00EC20A0" w:rsidRDefault="00F17249">
      <w:pPr>
        <w:pStyle w:val="ListParagraph"/>
        <w:numPr>
          <w:ilvl w:val="1"/>
          <w:numId w:val="69"/>
        </w:numPr>
        <w:tabs>
          <w:tab w:val="left" w:pos="919"/>
        </w:tabs>
        <w:spacing w:before="177"/>
        <w:ind w:left="919" w:right="662" w:hanging="360"/>
      </w:pPr>
      <w:r w:rsidRPr="00EC20A0">
        <w:t>access</w:t>
      </w:r>
      <w:r w:rsidRPr="00EC20A0">
        <w:rPr>
          <w:spacing w:val="-4"/>
        </w:rPr>
        <w:t xml:space="preserve"> </w:t>
      </w:r>
      <w:r w:rsidRPr="00EC20A0">
        <w:t>to</w:t>
      </w:r>
      <w:r w:rsidRPr="00EC20A0">
        <w:rPr>
          <w:spacing w:val="-3"/>
        </w:rPr>
        <w:t xml:space="preserve"> </w:t>
      </w:r>
      <w:r w:rsidRPr="00EC20A0">
        <w:t>all</w:t>
      </w:r>
      <w:r w:rsidRPr="00EC20A0">
        <w:rPr>
          <w:spacing w:val="-4"/>
        </w:rPr>
        <w:t xml:space="preserve"> </w:t>
      </w:r>
      <w:r w:rsidRPr="00EC20A0">
        <w:t>information</w:t>
      </w:r>
      <w:r w:rsidRPr="00EC20A0">
        <w:rPr>
          <w:spacing w:val="-3"/>
        </w:rPr>
        <w:t xml:space="preserve"> </w:t>
      </w:r>
      <w:r w:rsidRPr="00EC20A0">
        <w:t>that</w:t>
      </w:r>
      <w:r w:rsidRPr="00EC20A0">
        <w:rPr>
          <w:spacing w:val="-3"/>
        </w:rPr>
        <w:t xml:space="preserve"> </w:t>
      </w:r>
      <w:r w:rsidRPr="00EC20A0">
        <w:t>is</w:t>
      </w:r>
      <w:r w:rsidRPr="00EC20A0">
        <w:rPr>
          <w:spacing w:val="-3"/>
        </w:rPr>
        <w:t xml:space="preserve"> </w:t>
      </w:r>
      <w:r w:rsidRPr="00EC20A0">
        <w:t>relevant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preparation</w:t>
      </w:r>
      <w:r w:rsidRPr="00EC20A0">
        <w:rPr>
          <w:spacing w:val="-3"/>
        </w:rPr>
        <w:t xml:space="preserve"> </w:t>
      </w:r>
      <w:r w:rsidRPr="00EC20A0">
        <w:t>and</w:t>
      </w:r>
      <w:r w:rsidRPr="00EC20A0">
        <w:rPr>
          <w:spacing w:val="-3"/>
        </w:rPr>
        <w:t xml:space="preserve"> </w:t>
      </w:r>
      <w:r w:rsidRPr="00EC20A0">
        <w:t>fair</w:t>
      </w:r>
      <w:r w:rsidRPr="00EC20A0">
        <w:rPr>
          <w:spacing w:val="-3"/>
        </w:rPr>
        <w:t xml:space="preserve"> </w:t>
      </w:r>
      <w:r w:rsidRPr="00EC20A0">
        <w:t>presentation</w:t>
      </w:r>
      <w:r w:rsidRPr="00EC20A0">
        <w:rPr>
          <w:spacing w:val="-3"/>
        </w:rPr>
        <w:t xml:space="preserve"> </w:t>
      </w:r>
      <w:r w:rsidRPr="00EC20A0">
        <w:t>of</w:t>
      </w:r>
      <w:r w:rsidRPr="00EC20A0">
        <w:rPr>
          <w:spacing w:val="-3"/>
        </w:rPr>
        <w:t xml:space="preserve"> </w:t>
      </w:r>
      <w:r w:rsidRPr="00EC20A0">
        <w:t>the financial statements, such as records, documentation, and other matters;</w:t>
      </w:r>
    </w:p>
    <w:p w14:paraId="24D61D55" w14:textId="77777777" w:rsidR="00245300" w:rsidRPr="00EC20A0" w:rsidRDefault="00F17249">
      <w:pPr>
        <w:pStyle w:val="ListParagraph"/>
        <w:numPr>
          <w:ilvl w:val="1"/>
          <w:numId w:val="69"/>
        </w:numPr>
        <w:tabs>
          <w:tab w:val="left" w:pos="919"/>
        </w:tabs>
        <w:spacing w:before="180"/>
        <w:ind w:left="919" w:right="919" w:hanging="360"/>
      </w:pPr>
      <w:r w:rsidRPr="00EC20A0">
        <w:t>additional</w:t>
      </w:r>
      <w:r w:rsidRPr="00EC20A0">
        <w:rPr>
          <w:spacing w:val="-3"/>
        </w:rPr>
        <w:t xml:space="preserve"> </w:t>
      </w:r>
      <w:r w:rsidRPr="00EC20A0">
        <w:t>information</w:t>
      </w:r>
      <w:r w:rsidRPr="00EC20A0">
        <w:rPr>
          <w:spacing w:val="-3"/>
        </w:rPr>
        <w:t xml:space="preserve"> </w:t>
      </w:r>
      <w:r w:rsidRPr="00EC20A0">
        <w:t>that</w:t>
      </w:r>
      <w:r w:rsidRPr="00EC20A0">
        <w:rPr>
          <w:spacing w:val="-3"/>
        </w:rPr>
        <w:t xml:space="preserve"> </w:t>
      </w:r>
      <w:r w:rsidRPr="00EC20A0">
        <w:t>you</w:t>
      </w:r>
      <w:r w:rsidRPr="00EC20A0">
        <w:rPr>
          <w:spacing w:val="-3"/>
        </w:rPr>
        <w:t xml:space="preserve"> </w:t>
      </w:r>
      <w:r w:rsidRPr="00EC20A0">
        <w:t>have</w:t>
      </w:r>
      <w:r w:rsidRPr="00EC20A0">
        <w:rPr>
          <w:spacing w:val="-4"/>
        </w:rPr>
        <w:t xml:space="preserve"> </w:t>
      </w:r>
      <w:r w:rsidRPr="00EC20A0">
        <w:t>requested</w:t>
      </w:r>
      <w:r w:rsidRPr="00EC20A0">
        <w:rPr>
          <w:spacing w:val="-3"/>
        </w:rPr>
        <w:t xml:space="preserve"> </w:t>
      </w:r>
      <w:r w:rsidRPr="00EC20A0">
        <w:t>from</w:t>
      </w:r>
      <w:r w:rsidRPr="00EC20A0">
        <w:rPr>
          <w:spacing w:val="-4"/>
        </w:rPr>
        <w:t xml:space="preserve"> </w:t>
      </w:r>
      <w:r w:rsidRPr="00EC20A0">
        <w:t>us</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purpose</w:t>
      </w:r>
      <w:r w:rsidRPr="00EC20A0">
        <w:rPr>
          <w:spacing w:val="-2"/>
        </w:rPr>
        <w:t xml:space="preserve"> </w:t>
      </w:r>
      <w:r w:rsidRPr="00EC20A0">
        <w:t>of</w:t>
      </w:r>
      <w:r w:rsidRPr="00EC20A0">
        <w:rPr>
          <w:spacing w:val="-4"/>
        </w:rPr>
        <w:t xml:space="preserve"> </w:t>
      </w:r>
      <w:r w:rsidRPr="00EC20A0">
        <w:t>the</w:t>
      </w:r>
      <w:r w:rsidRPr="00EC20A0">
        <w:rPr>
          <w:spacing w:val="-3"/>
        </w:rPr>
        <w:t xml:space="preserve"> </w:t>
      </w:r>
      <w:r w:rsidRPr="00EC20A0">
        <w:t xml:space="preserve">audit, </w:t>
      </w:r>
      <w:r w:rsidRPr="00EC20A0">
        <w:rPr>
          <w:spacing w:val="-2"/>
        </w:rPr>
        <w:t>including</w:t>
      </w:r>
    </w:p>
    <w:p w14:paraId="24D61D56" w14:textId="77777777" w:rsidR="00245300" w:rsidRPr="00EC20A0" w:rsidRDefault="00F17249">
      <w:pPr>
        <w:pStyle w:val="ListParagraph"/>
        <w:numPr>
          <w:ilvl w:val="2"/>
          <w:numId w:val="69"/>
        </w:numPr>
        <w:tabs>
          <w:tab w:val="left" w:pos="1458"/>
        </w:tabs>
        <w:spacing w:before="180"/>
        <w:ind w:right="368"/>
      </w:pPr>
      <w:r w:rsidRPr="00EC20A0">
        <w:t>minutes</w:t>
      </w:r>
      <w:r w:rsidRPr="00EC20A0">
        <w:rPr>
          <w:spacing w:val="-3"/>
        </w:rPr>
        <w:t xml:space="preserve"> </w:t>
      </w:r>
      <w:r w:rsidRPr="00EC20A0">
        <w:t>of</w:t>
      </w:r>
      <w:r w:rsidRPr="00EC20A0">
        <w:rPr>
          <w:spacing w:val="-3"/>
        </w:rPr>
        <w:t xml:space="preserve"> </w:t>
      </w:r>
      <w:r w:rsidRPr="00EC20A0">
        <w:t>meetings,</w:t>
      </w:r>
      <w:r w:rsidRPr="00EC20A0">
        <w:rPr>
          <w:spacing w:val="-3"/>
        </w:rPr>
        <w:t xml:space="preserve"> </w:t>
      </w:r>
      <w:r w:rsidRPr="00EC20A0">
        <w:t>or</w:t>
      </w:r>
      <w:r w:rsidRPr="00EC20A0">
        <w:rPr>
          <w:spacing w:val="-3"/>
        </w:rPr>
        <w:t xml:space="preserve"> </w:t>
      </w:r>
      <w:r w:rsidRPr="00EC20A0">
        <w:t>summaries</w:t>
      </w:r>
      <w:r w:rsidRPr="00EC20A0">
        <w:rPr>
          <w:spacing w:val="-3"/>
        </w:rPr>
        <w:t xml:space="preserve"> </w:t>
      </w:r>
      <w:r w:rsidRPr="00EC20A0">
        <w:t>of</w:t>
      </w:r>
      <w:r w:rsidRPr="00EC20A0">
        <w:rPr>
          <w:spacing w:val="-3"/>
        </w:rPr>
        <w:t xml:space="preserve"> </w:t>
      </w:r>
      <w:r w:rsidRPr="00EC20A0">
        <w:t>actions</w:t>
      </w:r>
      <w:r w:rsidRPr="00EC20A0">
        <w:rPr>
          <w:spacing w:val="-3"/>
        </w:rPr>
        <w:t xml:space="preserve"> </w:t>
      </w:r>
      <w:r w:rsidRPr="00EC20A0">
        <w:t>of</w:t>
      </w:r>
      <w:r w:rsidRPr="00EC20A0">
        <w:rPr>
          <w:spacing w:val="-4"/>
        </w:rPr>
        <w:t xml:space="preserve"> </w:t>
      </w:r>
      <w:r w:rsidRPr="00EC20A0">
        <w:t>recent</w:t>
      </w:r>
      <w:r w:rsidRPr="00EC20A0">
        <w:rPr>
          <w:spacing w:val="-3"/>
        </w:rPr>
        <w:t xml:space="preserve"> </w:t>
      </w:r>
      <w:r w:rsidRPr="00EC20A0">
        <w:t>meetings</w:t>
      </w:r>
      <w:r w:rsidRPr="00EC20A0">
        <w:rPr>
          <w:spacing w:val="-3"/>
        </w:rPr>
        <w:t xml:space="preserve"> </w:t>
      </w:r>
      <w:r w:rsidRPr="00EC20A0">
        <w:t>for</w:t>
      </w:r>
      <w:r w:rsidRPr="00EC20A0">
        <w:rPr>
          <w:spacing w:val="-3"/>
        </w:rPr>
        <w:t xml:space="preserve"> </w:t>
      </w:r>
      <w:r w:rsidRPr="00EC20A0">
        <w:t>which</w:t>
      </w:r>
      <w:r w:rsidRPr="00EC20A0">
        <w:rPr>
          <w:spacing w:val="-3"/>
        </w:rPr>
        <w:t xml:space="preserve"> </w:t>
      </w:r>
      <w:r w:rsidRPr="00EC20A0">
        <w:t xml:space="preserve">minutes have not been prepared, of the </w:t>
      </w:r>
      <w:r w:rsidRPr="00EC20A0">
        <w:rPr>
          <w:b/>
        </w:rPr>
        <w:t xml:space="preserve">[Board of Directors or other similar bodies of those charged with governance] </w:t>
      </w:r>
      <w:r w:rsidRPr="00EC20A0">
        <w:t>and</w:t>
      </w:r>
    </w:p>
    <w:p w14:paraId="24D61D57" w14:textId="77777777" w:rsidR="00245300" w:rsidRPr="00EC20A0" w:rsidRDefault="00F17249">
      <w:pPr>
        <w:pStyle w:val="ListParagraph"/>
        <w:numPr>
          <w:ilvl w:val="2"/>
          <w:numId w:val="69"/>
        </w:numPr>
        <w:tabs>
          <w:tab w:val="left" w:pos="1459"/>
        </w:tabs>
        <w:ind w:left="1459" w:hanging="519"/>
      </w:pPr>
      <w:r w:rsidRPr="00EC20A0">
        <w:t>any</w:t>
      </w:r>
      <w:r w:rsidRPr="00EC20A0">
        <w:rPr>
          <w:spacing w:val="-7"/>
        </w:rPr>
        <w:t xml:space="preserve"> </w:t>
      </w:r>
      <w:r w:rsidRPr="00EC20A0">
        <w:t>communications</w:t>
      </w:r>
      <w:r w:rsidRPr="00EC20A0">
        <w:rPr>
          <w:spacing w:val="-7"/>
        </w:rPr>
        <w:t xml:space="preserve"> </w:t>
      </w:r>
      <w:r w:rsidRPr="00EC20A0">
        <w:t>from</w:t>
      </w:r>
      <w:r w:rsidRPr="00EC20A0">
        <w:rPr>
          <w:spacing w:val="-8"/>
        </w:rPr>
        <w:t xml:space="preserve"> </w:t>
      </w:r>
      <w:r w:rsidRPr="00EC20A0">
        <w:t>the</w:t>
      </w:r>
      <w:r w:rsidRPr="00EC20A0">
        <w:rPr>
          <w:spacing w:val="-6"/>
        </w:rPr>
        <w:t xml:space="preserve"> </w:t>
      </w:r>
      <w:r w:rsidRPr="00EC20A0">
        <w:t>Office</w:t>
      </w:r>
      <w:r w:rsidRPr="00EC20A0">
        <w:rPr>
          <w:spacing w:val="-6"/>
        </w:rPr>
        <w:t xml:space="preserve"> </w:t>
      </w:r>
      <w:r w:rsidRPr="00EC20A0">
        <w:t>of</w:t>
      </w:r>
      <w:r w:rsidRPr="00EC20A0">
        <w:rPr>
          <w:spacing w:val="-7"/>
        </w:rPr>
        <w:t xml:space="preserve"> </w:t>
      </w:r>
      <w:r w:rsidRPr="00EC20A0">
        <w:t>Management</w:t>
      </w:r>
      <w:r w:rsidRPr="00EC20A0">
        <w:rPr>
          <w:spacing w:val="-6"/>
        </w:rPr>
        <w:t xml:space="preserve"> </w:t>
      </w:r>
      <w:r w:rsidRPr="00EC20A0">
        <w:t>and</w:t>
      </w:r>
      <w:r w:rsidRPr="00EC20A0">
        <w:rPr>
          <w:spacing w:val="-7"/>
        </w:rPr>
        <w:t xml:space="preserve"> </w:t>
      </w:r>
      <w:r w:rsidRPr="00EC20A0">
        <w:t>Budget</w:t>
      </w:r>
      <w:r w:rsidRPr="00EC20A0">
        <w:rPr>
          <w:spacing w:val="-6"/>
        </w:rPr>
        <w:t xml:space="preserve"> </w:t>
      </w:r>
      <w:r w:rsidRPr="00EC20A0">
        <w:t>(OMB)</w:t>
      </w:r>
      <w:r w:rsidRPr="00EC20A0">
        <w:rPr>
          <w:spacing w:val="-6"/>
        </w:rPr>
        <w:t xml:space="preserve"> </w:t>
      </w:r>
      <w:r w:rsidRPr="00EC20A0">
        <w:t>or</w:t>
      </w:r>
      <w:r w:rsidRPr="00EC20A0">
        <w:rPr>
          <w:spacing w:val="-7"/>
        </w:rPr>
        <w:t xml:space="preserve"> </w:t>
      </w:r>
      <w:r w:rsidRPr="00EC20A0">
        <w:rPr>
          <w:spacing w:val="-5"/>
        </w:rPr>
        <w:t>the</w:t>
      </w:r>
    </w:p>
    <w:p w14:paraId="24D61D58" w14:textId="77777777" w:rsidR="00245300" w:rsidRPr="00EC20A0" w:rsidRDefault="00245300">
      <w:pPr>
        <w:sectPr w:rsidR="00245300" w:rsidRPr="00EC20A0">
          <w:headerReference w:type="default" r:id="rId190"/>
          <w:footerReference w:type="default" r:id="rId191"/>
          <w:pgSz w:w="12240" w:h="15840"/>
          <w:pgMar w:top="1340" w:right="1100" w:bottom="940" w:left="1240" w:header="721" w:footer="757" w:gutter="0"/>
          <w:pgNumType w:start="2"/>
          <w:cols w:space="720"/>
        </w:sectPr>
      </w:pPr>
    </w:p>
    <w:p w14:paraId="24D61D59" w14:textId="77777777" w:rsidR="00245300" w:rsidRPr="00EC20A0" w:rsidRDefault="00F17249">
      <w:pPr>
        <w:pStyle w:val="BodyText"/>
        <w:spacing w:before="121"/>
        <w:ind w:left="1460" w:right="345"/>
      </w:pPr>
      <w:r w:rsidRPr="00EC20A0">
        <w:t>Department</w:t>
      </w:r>
      <w:r w:rsidRPr="00EC20A0">
        <w:rPr>
          <w:spacing w:val="-4"/>
        </w:rPr>
        <w:t xml:space="preserve"> </w:t>
      </w:r>
      <w:r w:rsidRPr="00EC20A0">
        <w:t>of</w:t>
      </w:r>
      <w:r w:rsidRPr="00EC20A0">
        <w:rPr>
          <w:spacing w:val="-5"/>
        </w:rPr>
        <w:t xml:space="preserve"> </w:t>
      </w:r>
      <w:r w:rsidRPr="00EC20A0">
        <w:t>the</w:t>
      </w:r>
      <w:r w:rsidRPr="00EC20A0">
        <w:rPr>
          <w:spacing w:val="-5"/>
        </w:rPr>
        <w:t xml:space="preserve"> </w:t>
      </w:r>
      <w:r w:rsidRPr="00EC20A0">
        <w:t>Treasury’s</w:t>
      </w:r>
      <w:r w:rsidRPr="00EC20A0">
        <w:rPr>
          <w:spacing w:val="-5"/>
        </w:rPr>
        <w:t xml:space="preserve"> </w:t>
      </w:r>
      <w:r w:rsidRPr="00EC20A0">
        <w:t>Bureau</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Fiscal</w:t>
      </w:r>
      <w:r w:rsidRPr="00EC20A0">
        <w:rPr>
          <w:spacing w:val="-5"/>
        </w:rPr>
        <w:t xml:space="preserve"> </w:t>
      </w:r>
      <w:r w:rsidRPr="00EC20A0">
        <w:t>Service</w:t>
      </w:r>
      <w:r w:rsidRPr="00EC20A0">
        <w:rPr>
          <w:spacing w:val="-5"/>
        </w:rPr>
        <w:t xml:space="preserve"> </w:t>
      </w:r>
      <w:r w:rsidRPr="00EC20A0">
        <w:t>concerning noncompliance with, or deficiencies in, financial reporting practices;</w:t>
      </w:r>
    </w:p>
    <w:p w14:paraId="24D61D5A" w14:textId="77777777" w:rsidR="00245300" w:rsidRPr="00EC20A0" w:rsidRDefault="00F17249">
      <w:pPr>
        <w:pStyle w:val="ListParagraph"/>
        <w:numPr>
          <w:ilvl w:val="1"/>
          <w:numId w:val="69"/>
        </w:numPr>
        <w:tabs>
          <w:tab w:val="left" w:pos="919"/>
        </w:tabs>
        <w:spacing w:before="179"/>
        <w:ind w:left="919" w:right="444" w:hanging="360"/>
      </w:pPr>
      <w:r w:rsidRPr="00EC20A0">
        <w:t>unrestricted</w:t>
      </w:r>
      <w:r w:rsidRPr="00EC20A0">
        <w:rPr>
          <w:spacing w:val="-4"/>
        </w:rPr>
        <w:t xml:space="preserve"> </w:t>
      </w:r>
      <w:r w:rsidRPr="00EC20A0">
        <w:t>access</w:t>
      </w:r>
      <w:r w:rsidRPr="00EC20A0">
        <w:rPr>
          <w:spacing w:val="-4"/>
        </w:rPr>
        <w:t xml:space="preserve"> </w:t>
      </w:r>
      <w:r w:rsidRPr="00EC20A0">
        <w:t>to</w:t>
      </w:r>
      <w:r w:rsidRPr="00EC20A0">
        <w:rPr>
          <w:spacing w:val="-3"/>
        </w:rPr>
        <w:t xml:space="preserve"> </w:t>
      </w:r>
      <w:r w:rsidRPr="00EC20A0">
        <w:t>and</w:t>
      </w:r>
      <w:r w:rsidRPr="00EC20A0">
        <w:rPr>
          <w:spacing w:val="-3"/>
        </w:rPr>
        <w:t xml:space="preserve"> </w:t>
      </w:r>
      <w:r w:rsidRPr="00EC20A0">
        <w:t>full</w:t>
      </w:r>
      <w:r w:rsidRPr="00EC20A0">
        <w:rPr>
          <w:spacing w:val="-3"/>
        </w:rPr>
        <w:t xml:space="preserve"> </w:t>
      </w:r>
      <w:r w:rsidRPr="00EC20A0">
        <w:t>cooperation</w:t>
      </w:r>
      <w:r w:rsidRPr="00EC20A0">
        <w:rPr>
          <w:spacing w:val="-3"/>
        </w:rPr>
        <w:t xml:space="preserve"> </w:t>
      </w:r>
      <w:r w:rsidRPr="00EC20A0">
        <w:t>of</w:t>
      </w:r>
      <w:r w:rsidRPr="00EC20A0">
        <w:rPr>
          <w:spacing w:val="-3"/>
        </w:rPr>
        <w:t xml:space="preserve"> </w:t>
      </w:r>
      <w:r w:rsidRPr="00EC20A0">
        <w:t>personnel</w:t>
      </w:r>
      <w:r w:rsidRPr="00EC20A0">
        <w:rPr>
          <w:spacing w:val="-3"/>
        </w:rPr>
        <w:t xml:space="preserve"> </w:t>
      </w:r>
      <w:r w:rsidRPr="00EC20A0">
        <w:t>within</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from</w:t>
      </w:r>
      <w:r w:rsidRPr="00EC20A0">
        <w:rPr>
          <w:spacing w:val="-4"/>
        </w:rPr>
        <w:t xml:space="preserve"> </w:t>
      </w:r>
      <w:r w:rsidRPr="00EC20A0">
        <w:t>whom</w:t>
      </w:r>
      <w:r w:rsidRPr="00EC20A0">
        <w:rPr>
          <w:spacing w:val="-4"/>
        </w:rPr>
        <w:t xml:space="preserve"> </w:t>
      </w:r>
      <w:r w:rsidRPr="00EC20A0">
        <w:t>you determined it necessary to obtain audit evidence; and</w:t>
      </w:r>
    </w:p>
    <w:p w14:paraId="24D61D5B" w14:textId="77777777" w:rsidR="00245300" w:rsidRPr="00EC20A0" w:rsidRDefault="00F17249">
      <w:pPr>
        <w:pStyle w:val="ListParagraph"/>
        <w:numPr>
          <w:ilvl w:val="1"/>
          <w:numId w:val="69"/>
        </w:numPr>
        <w:tabs>
          <w:tab w:val="left" w:pos="918"/>
        </w:tabs>
        <w:spacing w:before="181"/>
        <w:ind w:left="918" w:hanging="359"/>
      </w:pPr>
      <w:r w:rsidRPr="00EC20A0">
        <w:t>all</w:t>
      </w:r>
      <w:r w:rsidRPr="00EC20A0">
        <w:rPr>
          <w:spacing w:val="-7"/>
        </w:rPr>
        <w:t xml:space="preserve"> </w:t>
      </w:r>
      <w:r w:rsidRPr="00EC20A0">
        <w:t>reports</w:t>
      </w:r>
      <w:r w:rsidRPr="00EC20A0">
        <w:rPr>
          <w:spacing w:val="-7"/>
        </w:rPr>
        <w:t xml:space="preserve"> </w:t>
      </w:r>
      <w:r w:rsidRPr="00EC20A0">
        <w:t>obtained</w:t>
      </w:r>
      <w:r w:rsidRPr="00EC20A0">
        <w:rPr>
          <w:spacing w:val="-6"/>
        </w:rPr>
        <w:t xml:space="preserve"> </w:t>
      </w:r>
      <w:r w:rsidRPr="00EC20A0">
        <w:t>from</w:t>
      </w:r>
      <w:r w:rsidRPr="00EC20A0">
        <w:rPr>
          <w:spacing w:val="-8"/>
        </w:rPr>
        <w:t xml:space="preserve"> </w:t>
      </w:r>
      <w:r w:rsidRPr="00EC20A0">
        <w:rPr>
          <w:b/>
        </w:rPr>
        <w:t>[Entity’s]</w:t>
      </w:r>
      <w:r w:rsidRPr="00EC20A0">
        <w:rPr>
          <w:b/>
          <w:spacing w:val="-6"/>
        </w:rPr>
        <w:t xml:space="preserve"> </w:t>
      </w:r>
      <w:r w:rsidRPr="00EC20A0">
        <w:t>service</w:t>
      </w:r>
      <w:r w:rsidRPr="00EC20A0">
        <w:rPr>
          <w:spacing w:val="-7"/>
        </w:rPr>
        <w:t xml:space="preserve"> </w:t>
      </w:r>
      <w:r w:rsidRPr="00EC20A0">
        <w:rPr>
          <w:spacing w:val="-2"/>
        </w:rPr>
        <w:t>organizations.</w:t>
      </w:r>
    </w:p>
    <w:p w14:paraId="24D61D5C" w14:textId="77777777" w:rsidR="00245300" w:rsidRPr="00EC20A0" w:rsidRDefault="00F17249">
      <w:pPr>
        <w:pStyle w:val="ListParagraph"/>
        <w:numPr>
          <w:ilvl w:val="0"/>
          <w:numId w:val="69"/>
        </w:numPr>
        <w:tabs>
          <w:tab w:val="left" w:pos="558"/>
        </w:tabs>
        <w:ind w:left="558" w:hanging="359"/>
      </w:pPr>
      <w:r w:rsidRPr="00EC20A0">
        <w:t>Except</w:t>
      </w:r>
      <w:r w:rsidRPr="00EC20A0">
        <w:rPr>
          <w:spacing w:val="-5"/>
        </w:rPr>
        <w:t xml:space="preserve"> </w:t>
      </w:r>
      <w:r w:rsidRPr="00EC20A0">
        <w:t>as</w:t>
      </w:r>
      <w:r w:rsidRPr="00EC20A0">
        <w:rPr>
          <w:spacing w:val="-5"/>
        </w:rPr>
        <w:t xml:space="preserve"> </w:t>
      </w:r>
      <w:r w:rsidRPr="00EC20A0">
        <w:t>disclosed</w:t>
      </w:r>
      <w:r w:rsidRPr="00EC20A0">
        <w:rPr>
          <w:spacing w:val="-6"/>
        </w:rPr>
        <w:t xml:space="preserve"> </w:t>
      </w:r>
      <w:r w:rsidRPr="00EC20A0">
        <w:t>to</w:t>
      </w:r>
      <w:r w:rsidRPr="00EC20A0">
        <w:rPr>
          <w:spacing w:val="-5"/>
        </w:rPr>
        <w:t xml:space="preserve"> </w:t>
      </w:r>
      <w:r w:rsidRPr="00EC20A0">
        <w:t>you</w:t>
      </w:r>
      <w:r w:rsidRPr="00EC20A0">
        <w:rPr>
          <w:spacing w:val="-5"/>
        </w:rPr>
        <w:t xml:space="preserve"> </w:t>
      </w:r>
      <w:r w:rsidRPr="00EC20A0">
        <w:t>in</w:t>
      </w:r>
      <w:r w:rsidRPr="00EC20A0">
        <w:rPr>
          <w:spacing w:val="-4"/>
        </w:rPr>
        <w:t xml:space="preserve"> </w:t>
      </w:r>
      <w:r w:rsidRPr="00EC20A0">
        <w:t>writing,</w:t>
      </w:r>
      <w:r w:rsidRPr="00EC20A0">
        <w:rPr>
          <w:spacing w:val="-5"/>
        </w:rPr>
        <w:t xml:space="preserve"> </w:t>
      </w:r>
      <w:r w:rsidRPr="00EC20A0">
        <w:t>there</w:t>
      </w:r>
      <w:r w:rsidRPr="00EC20A0">
        <w:rPr>
          <w:spacing w:val="-5"/>
        </w:rPr>
        <w:t xml:space="preserve"> </w:t>
      </w:r>
      <w:r w:rsidRPr="00EC20A0">
        <w:t>have</w:t>
      </w:r>
      <w:r w:rsidRPr="00EC20A0">
        <w:rPr>
          <w:spacing w:val="-6"/>
        </w:rPr>
        <w:t xml:space="preserve"> </w:t>
      </w:r>
      <w:r w:rsidRPr="00EC20A0">
        <w:t>been</w:t>
      </w:r>
      <w:r w:rsidRPr="00EC20A0">
        <w:rPr>
          <w:spacing w:val="-4"/>
        </w:rPr>
        <w:t xml:space="preserve"> </w:t>
      </w:r>
      <w:r w:rsidRPr="00EC20A0">
        <w:t>none</w:t>
      </w:r>
      <w:r w:rsidRPr="00EC20A0">
        <w:rPr>
          <w:spacing w:val="-5"/>
        </w:rPr>
        <w:t xml:space="preserve"> </w:t>
      </w:r>
      <w:r w:rsidRPr="00EC20A0">
        <w:t>of</w:t>
      </w:r>
      <w:r w:rsidRPr="00EC20A0">
        <w:rPr>
          <w:spacing w:val="-4"/>
        </w:rPr>
        <w:t xml:space="preserve"> </w:t>
      </w:r>
      <w:r w:rsidRPr="00EC20A0">
        <w:t>the</w:t>
      </w:r>
      <w:r w:rsidRPr="00EC20A0">
        <w:rPr>
          <w:spacing w:val="-5"/>
        </w:rPr>
        <w:t xml:space="preserve"> </w:t>
      </w:r>
      <w:r w:rsidRPr="00EC20A0">
        <w:rPr>
          <w:spacing w:val="-2"/>
        </w:rPr>
        <w:t>following:</w:t>
      </w:r>
    </w:p>
    <w:p w14:paraId="24D61D5D" w14:textId="77777777" w:rsidR="00245300" w:rsidRPr="00EC20A0" w:rsidRDefault="00F17249">
      <w:pPr>
        <w:pStyle w:val="ListParagraph"/>
        <w:numPr>
          <w:ilvl w:val="1"/>
          <w:numId w:val="69"/>
        </w:numPr>
        <w:tabs>
          <w:tab w:val="left" w:pos="918"/>
          <w:tab w:val="left" w:pos="920"/>
        </w:tabs>
        <w:spacing w:before="180"/>
        <w:ind w:right="785"/>
      </w:pPr>
      <w:r w:rsidRPr="00EC20A0">
        <w:t xml:space="preserve">Circumstances that have resulted in communications from </w:t>
      </w:r>
      <w:r w:rsidRPr="00EC20A0">
        <w:rPr>
          <w:b/>
        </w:rPr>
        <w:t xml:space="preserve">[Entity’s] </w:t>
      </w:r>
      <w:r w:rsidRPr="00EC20A0">
        <w:t>legal counsel reporting</w:t>
      </w:r>
      <w:r w:rsidRPr="00EC20A0">
        <w:rPr>
          <w:spacing w:val="-3"/>
        </w:rPr>
        <w:t xml:space="preserve"> </w:t>
      </w:r>
      <w:r w:rsidRPr="00EC20A0">
        <w:t>evidence</w:t>
      </w:r>
      <w:r w:rsidRPr="00EC20A0">
        <w:rPr>
          <w:spacing w:val="-3"/>
        </w:rPr>
        <w:t xml:space="preserve"> </w:t>
      </w:r>
      <w:r w:rsidRPr="00EC20A0">
        <w:t>of</w:t>
      </w:r>
      <w:r w:rsidRPr="00EC20A0">
        <w:rPr>
          <w:spacing w:val="-3"/>
        </w:rPr>
        <w:t xml:space="preserve"> </w:t>
      </w:r>
      <w:r w:rsidRPr="00EC20A0">
        <w:t>a</w:t>
      </w:r>
      <w:r w:rsidRPr="00EC20A0">
        <w:rPr>
          <w:spacing w:val="-4"/>
        </w:rPr>
        <w:t xml:space="preserve"> </w:t>
      </w:r>
      <w:r w:rsidRPr="00EC20A0">
        <w:t>material</w:t>
      </w:r>
      <w:r w:rsidRPr="00EC20A0">
        <w:rPr>
          <w:spacing w:val="-3"/>
        </w:rPr>
        <w:t xml:space="preserve"> </w:t>
      </w:r>
      <w:r w:rsidRPr="00EC20A0">
        <w:t>violation</w:t>
      </w:r>
      <w:r w:rsidRPr="00EC20A0">
        <w:rPr>
          <w:spacing w:val="-3"/>
        </w:rPr>
        <w:t xml:space="preserve"> </w:t>
      </w:r>
      <w:r w:rsidRPr="00EC20A0">
        <w:t>of</w:t>
      </w:r>
      <w:r w:rsidRPr="00EC20A0">
        <w:rPr>
          <w:spacing w:val="-3"/>
        </w:rPr>
        <w:t xml:space="preserve"> </w:t>
      </w:r>
      <w:r w:rsidRPr="00EC20A0">
        <w:t>law</w:t>
      </w:r>
      <w:r w:rsidRPr="00EC20A0">
        <w:rPr>
          <w:spacing w:val="-5"/>
        </w:rPr>
        <w:t xml:space="preserve"> </w:t>
      </w:r>
      <w:r w:rsidRPr="00EC20A0">
        <w:t>or</w:t>
      </w:r>
      <w:r w:rsidRPr="00EC20A0">
        <w:rPr>
          <w:spacing w:val="-3"/>
        </w:rPr>
        <w:t xml:space="preserve"> </w:t>
      </w:r>
      <w:r w:rsidRPr="00EC20A0">
        <w:t>breach</w:t>
      </w:r>
      <w:r w:rsidRPr="00EC20A0">
        <w:rPr>
          <w:spacing w:val="-3"/>
        </w:rPr>
        <w:t xml:space="preserve"> </w:t>
      </w:r>
      <w:r w:rsidRPr="00EC20A0">
        <w:t>of</w:t>
      </w:r>
      <w:r w:rsidRPr="00EC20A0">
        <w:rPr>
          <w:spacing w:val="-4"/>
        </w:rPr>
        <w:t xml:space="preserve"> </w:t>
      </w:r>
      <w:r w:rsidRPr="00EC20A0">
        <w:t>fiduciary</w:t>
      </w:r>
      <w:r w:rsidRPr="00EC20A0">
        <w:rPr>
          <w:spacing w:val="-4"/>
        </w:rPr>
        <w:t xml:space="preserve"> </w:t>
      </w:r>
      <w:r w:rsidRPr="00EC20A0">
        <w:t>duty,</w:t>
      </w:r>
      <w:r w:rsidRPr="00EC20A0">
        <w:rPr>
          <w:spacing w:val="-3"/>
        </w:rPr>
        <w:t xml:space="preserve"> </w:t>
      </w:r>
      <w:r w:rsidRPr="00EC20A0">
        <w:t>or</w:t>
      </w:r>
      <w:r w:rsidRPr="00EC20A0">
        <w:rPr>
          <w:spacing w:val="-3"/>
        </w:rPr>
        <w:t xml:space="preserve"> </w:t>
      </w:r>
      <w:r w:rsidRPr="00EC20A0">
        <w:t xml:space="preserve">similar violations by </w:t>
      </w:r>
      <w:r w:rsidRPr="00EC20A0">
        <w:rPr>
          <w:b/>
        </w:rPr>
        <w:t xml:space="preserve">[Entity] </w:t>
      </w:r>
      <w:r w:rsidRPr="00EC20A0">
        <w:t>or any agent thereof.</w:t>
      </w:r>
    </w:p>
    <w:p w14:paraId="24D61D5E" w14:textId="77777777" w:rsidR="00245300" w:rsidRPr="00EC20A0" w:rsidRDefault="00F17249">
      <w:pPr>
        <w:pStyle w:val="ListParagraph"/>
        <w:numPr>
          <w:ilvl w:val="1"/>
          <w:numId w:val="69"/>
        </w:numPr>
        <w:tabs>
          <w:tab w:val="left" w:pos="920"/>
        </w:tabs>
        <w:spacing w:before="180"/>
        <w:ind w:right="516" w:hanging="360"/>
      </w:pPr>
      <w:r w:rsidRPr="00EC20A0">
        <w:t>Communications</w:t>
      </w:r>
      <w:r w:rsidRPr="00EC20A0">
        <w:rPr>
          <w:spacing w:val="-4"/>
        </w:rPr>
        <w:t xml:space="preserve"> </w:t>
      </w:r>
      <w:r w:rsidRPr="00EC20A0">
        <w:t>from</w:t>
      </w:r>
      <w:r w:rsidRPr="00EC20A0">
        <w:rPr>
          <w:spacing w:val="-5"/>
        </w:rPr>
        <w:t xml:space="preserve"> </w:t>
      </w:r>
      <w:r w:rsidRPr="00EC20A0">
        <w:t>regulatory</w:t>
      </w:r>
      <w:r w:rsidRPr="00EC20A0">
        <w:rPr>
          <w:spacing w:val="-3"/>
        </w:rPr>
        <w:t xml:space="preserve"> </w:t>
      </w:r>
      <w:r w:rsidRPr="00EC20A0">
        <w:t>or</w:t>
      </w:r>
      <w:r w:rsidRPr="00EC20A0">
        <w:rPr>
          <w:spacing w:val="-4"/>
        </w:rPr>
        <w:t xml:space="preserve"> </w:t>
      </w:r>
      <w:r w:rsidRPr="00EC20A0">
        <w:t>oversight</w:t>
      </w:r>
      <w:r w:rsidRPr="00EC20A0">
        <w:rPr>
          <w:spacing w:val="-4"/>
        </w:rPr>
        <w:t xml:space="preserve"> </w:t>
      </w:r>
      <w:r w:rsidRPr="00EC20A0">
        <w:t>agencies</w:t>
      </w:r>
      <w:r w:rsidRPr="00EC20A0">
        <w:rPr>
          <w:spacing w:val="-4"/>
        </w:rPr>
        <w:t xml:space="preserve"> </w:t>
      </w:r>
      <w:r w:rsidRPr="00EC20A0">
        <w:t>(such</w:t>
      </w:r>
      <w:r w:rsidRPr="00EC20A0">
        <w:rPr>
          <w:spacing w:val="-5"/>
        </w:rPr>
        <w:t xml:space="preserve"> </w:t>
      </w:r>
      <w:r w:rsidRPr="00EC20A0">
        <w:t>as</w:t>
      </w:r>
      <w:r w:rsidRPr="00EC20A0">
        <w:rPr>
          <w:spacing w:val="-4"/>
        </w:rPr>
        <w:t xml:space="preserve"> </w:t>
      </w:r>
      <w:r w:rsidRPr="00EC20A0">
        <w:t>OMB</w:t>
      </w:r>
      <w:r w:rsidRPr="00EC20A0">
        <w:rPr>
          <w:spacing w:val="-4"/>
        </w:rPr>
        <w:t xml:space="preserve"> </w:t>
      </w:r>
      <w:r w:rsidRPr="00EC20A0">
        <w:t>and</w:t>
      </w:r>
      <w:r w:rsidRPr="00EC20A0">
        <w:rPr>
          <w:spacing w:val="-3"/>
        </w:rPr>
        <w:t xml:space="preserve"> </w:t>
      </w:r>
      <w:r w:rsidRPr="00EC20A0">
        <w:t>GAO),</w:t>
      </w:r>
      <w:r w:rsidRPr="00EC20A0">
        <w:rPr>
          <w:spacing w:val="-4"/>
        </w:rPr>
        <w:t xml:space="preserve"> </w:t>
      </w:r>
      <w:r w:rsidRPr="00EC20A0">
        <w:t xml:space="preserve">other government entities or agencies, governmental representatives, employees, or others concerning investigations or allegations of noncompliance with laws or regulations, deficiencies in financial </w:t>
      </w:r>
      <w:r w:rsidRPr="00EC20A0">
        <w:t>reporting practices, or other matters that could have a material adverse effect on the financial statements, RSI, and OI.</w:t>
      </w:r>
    </w:p>
    <w:p w14:paraId="24D61D5F" w14:textId="77777777" w:rsidR="00245300" w:rsidRPr="00EC20A0" w:rsidRDefault="00F17249">
      <w:pPr>
        <w:pStyle w:val="ListParagraph"/>
        <w:numPr>
          <w:ilvl w:val="0"/>
          <w:numId w:val="69"/>
        </w:numPr>
        <w:tabs>
          <w:tab w:val="left" w:pos="559"/>
        </w:tabs>
        <w:ind w:left="559" w:right="1000"/>
      </w:pPr>
      <w:r w:rsidRPr="00EC20A0">
        <w:t>All</w:t>
      </w:r>
      <w:r w:rsidRPr="00EC20A0">
        <w:rPr>
          <w:spacing w:val="-4"/>
        </w:rPr>
        <w:t xml:space="preserve"> </w:t>
      </w:r>
      <w:r w:rsidRPr="00EC20A0">
        <w:t>transactions</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recorded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accounting</w:t>
      </w:r>
      <w:r w:rsidRPr="00EC20A0">
        <w:rPr>
          <w:spacing w:val="-4"/>
        </w:rPr>
        <w:t xml:space="preserve"> </w:t>
      </w:r>
      <w:r w:rsidRPr="00EC20A0">
        <w:t>records</w:t>
      </w:r>
      <w:r w:rsidRPr="00EC20A0">
        <w:rPr>
          <w:spacing w:val="-4"/>
        </w:rPr>
        <w:t xml:space="preserve"> </w:t>
      </w:r>
      <w:r w:rsidRPr="00EC20A0">
        <w:t>and</w:t>
      </w:r>
      <w:r w:rsidRPr="00EC20A0">
        <w:rPr>
          <w:spacing w:val="-4"/>
        </w:rPr>
        <w:t xml:space="preserve"> </w:t>
      </w:r>
      <w:r w:rsidRPr="00EC20A0">
        <w:t>are</w:t>
      </w:r>
      <w:r w:rsidRPr="00EC20A0">
        <w:rPr>
          <w:spacing w:val="-4"/>
        </w:rPr>
        <w:t xml:space="preserve"> </w:t>
      </w:r>
      <w:r w:rsidRPr="00EC20A0">
        <w:t>reflected</w:t>
      </w:r>
      <w:r w:rsidRPr="00EC20A0">
        <w:rPr>
          <w:spacing w:val="-4"/>
        </w:rPr>
        <w:t xml:space="preserve"> </w:t>
      </w:r>
      <w:r w:rsidRPr="00EC20A0">
        <w:t>in</w:t>
      </w:r>
      <w:r w:rsidRPr="00EC20A0">
        <w:rPr>
          <w:spacing w:val="-4"/>
        </w:rPr>
        <w:t xml:space="preserve"> </w:t>
      </w:r>
      <w:r w:rsidRPr="00EC20A0">
        <w:t>the financial statements.</w:t>
      </w:r>
    </w:p>
    <w:p w14:paraId="24D61D60" w14:textId="77777777" w:rsidR="00245300" w:rsidRPr="00EC20A0" w:rsidRDefault="00F17249">
      <w:pPr>
        <w:pStyle w:val="ListParagraph"/>
        <w:numPr>
          <w:ilvl w:val="0"/>
          <w:numId w:val="69"/>
        </w:numPr>
        <w:tabs>
          <w:tab w:val="left" w:pos="559"/>
        </w:tabs>
        <w:ind w:left="559" w:right="352"/>
      </w:pPr>
      <w:r w:rsidRPr="00EC20A0">
        <w:t>There are no uncorrected misstatements in the financial statements, as we have corrected the financial statements for any misstatements you have identified during the audit and communicated</w:t>
      </w:r>
      <w:r w:rsidRPr="00EC20A0">
        <w:rPr>
          <w:spacing w:val="-4"/>
        </w:rPr>
        <w:t xml:space="preserve"> </w:t>
      </w:r>
      <w:r w:rsidRPr="00EC20A0">
        <w:t>to</w:t>
      </w:r>
      <w:r w:rsidRPr="00EC20A0">
        <w:rPr>
          <w:spacing w:val="-4"/>
        </w:rPr>
        <w:t xml:space="preserve"> </w:t>
      </w:r>
      <w:r w:rsidRPr="00EC20A0">
        <w:t>us.</w:t>
      </w:r>
      <w:r w:rsidRPr="00EC20A0">
        <w:rPr>
          <w:spacing w:val="-4"/>
        </w:rPr>
        <w:t xml:space="preserve"> </w:t>
      </w:r>
      <w:r w:rsidRPr="00EC20A0">
        <w:rPr>
          <w:b/>
        </w:rPr>
        <w:t>OR</w:t>
      </w:r>
      <w:r w:rsidRPr="00EC20A0">
        <w:rPr>
          <w:b/>
          <w:spacing w:val="-4"/>
        </w:rPr>
        <w:t xml:space="preserve"> </w:t>
      </w:r>
      <w:r w:rsidRPr="00EC20A0">
        <w:t>The</w:t>
      </w:r>
      <w:r w:rsidRPr="00EC20A0">
        <w:rPr>
          <w:spacing w:val="-4"/>
        </w:rPr>
        <w:t xml:space="preserve"> </w:t>
      </w:r>
      <w:r w:rsidRPr="00EC20A0">
        <w:t>effects</w:t>
      </w:r>
      <w:r w:rsidRPr="00EC20A0">
        <w:rPr>
          <w:spacing w:val="-4"/>
        </w:rPr>
        <w:t xml:space="preserve"> </w:t>
      </w:r>
      <w:r w:rsidRPr="00EC20A0">
        <w:t>of</w:t>
      </w:r>
      <w:r w:rsidRPr="00EC20A0">
        <w:rPr>
          <w:spacing w:val="-4"/>
        </w:rPr>
        <w:t xml:space="preserve"> </w:t>
      </w:r>
      <w:r w:rsidRPr="00EC20A0">
        <w:t>uncorrected</w:t>
      </w:r>
      <w:r w:rsidRPr="00EC20A0">
        <w:rPr>
          <w:spacing w:val="-4"/>
        </w:rPr>
        <w:t xml:space="preserve"> </w:t>
      </w:r>
      <w:r w:rsidRPr="00EC20A0">
        <w:t>misstatements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attached</w:t>
      </w:r>
      <w:r w:rsidRPr="00EC20A0">
        <w:rPr>
          <w:spacing w:val="-4"/>
        </w:rPr>
        <w:t xml:space="preserve"> </w:t>
      </w:r>
      <w:r w:rsidRPr="00EC20A0">
        <w:t>summary are immaterial, both individually and in the aggregate, to the financial statements as a</w:t>
      </w:r>
      <w:r w:rsidRPr="00EC20A0">
        <w:rPr>
          <w:spacing w:val="40"/>
        </w:rPr>
        <w:t xml:space="preserve"> </w:t>
      </w:r>
      <w:r w:rsidRPr="00EC20A0">
        <w:t>whole. (Note: As discussed in AU-C 580.A12, if management believes that certain of the identified items are not misstatements, management’s belief may be acknowledged by adding to the representation, for example, “We believe that items XX and XX do not constitute misstatements because (description of reason).”)</w:t>
      </w:r>
    </w:p>
    <w:p w14:paraId="24D61D61" w14:textId="77777777" w:rsidR="00245300" w:rsidRPr="00EC20A0" w:rsidRDefault="00F17249">
      <w:pPr>
        <w:pStyle w:val="ListParagraph"/>
        <w:numPr>
          <w:ilvl w:val="0"/>
          <w:numId w:val="69"/>
        </w:numPr>
        <w:tabs>
          <w:tab w:val="left" w:pos="557"/>
          <w:tab w:val="left" w:pos="559"/>
        </w:tabs>
        <w:spacing w:before="239"/>
        <w:ind w:left="559" w:right="679" w:hanging="361"/>
      </w:pPr>
      <w:r w:rsidRPr="00EC20A0">
        <w:rPr>
          <w:b/>
        </w:rPr>
        <w:t>[Entity]</w:t>
      </w:r>
      <w:r w:rsidRPr="00EC20A0">
        <w:rPr>
          <w:b/>
          <w:spacing w:val="-5"/>
        </w:rPr>
        <w:t xml:space="preserve"> </w:t>
      </w:r>
      <w:r w:rsidRPr="00EC20A0">
        <w:t>has</w:t>
      </w:r>
      <w:r w:rsidRPr="00EC20A0">
        <w:rPr>
          <w:spacing w:val="-4"/>
        </w:rPr>
        <w:t xml:space="preserve"> </w:t>
      </w:r>
      <w:r w:rsidRPr="00EC20A0">
        <w:t>satisfactory</w:t>
      </w:r>
      <w:r w:rsidRPr="00EC20A0">
        <w:rPr>
          <w:spacing w:val="-5"/>
        </w:rPr>
        <w:t xml:space="preserve"> </w:t>
      </w:r>
      <w:r w:rsidRPr="00EC20A0">
        <w:t>title</w:t>
      </w:r>
      <w:r w:rsidRPr="00EC20A0">
        <w:rPr>
          <w:spacing w:val="-4"/>
        </w:rPr>
        <w:t xml:space="preserve"> </w:t>
      </w:r>
      <w:r w:rsidRPr="00EC20A0">
        <w:t>to</w:t>
      </w:r>
      <w:r w:rsidRPr="00EC20A0">
        <w:rPr>
          <w:spacing w:val="-4"/>
        </w:rPr>
        <w:t xml:space="preserve"> </w:t>
      </w:r>
      <w:r w:rsidRPr="00EC20A0">
        <w:t>all</w:t>
      </w:r>
      <w:r w:rsidRPr="00EC20A0">
        <w:rPr>
          <w:spacing w:val="-5"/>
        </w:rPr>
        <w:t xml:space="preserve"> </w:t>
      </w:r>
      <w:r w:rsidRPr="00EC20A0">
        <w:t>owned</w:t>
      </w:r>
      <w:r w:rsidRPr="00EC20A0">
        <w:rPr>
          <w:spacing w:val="-4"/>
        </w:rPr>
        <w:t xml:space="preserve"> </w:t>
      </w:r>
      <w:r w:rsidRPr="00EC20A0">
        <w:t>assets,</w:t>
      </w:r>
      <w:r w:rsidRPr="00EC20A0">
        <w:rPr>
          <w:spacing w:val="-4"/>
        </w:rPr>
        <w:t xml:space="preserve"> </w:t>
      </w:r>
      <w:r w:rsidRPr="00EC20A0">
        <w:t>including</w:t>
      </w:r>
      <w:r w:rsidRPr="00EC20A0">
        <w:rPr>
          <w:spacing w:val="-5"/>
        </w:rPr>
        <w:t xml:space="preserve"> </w:t>
      </w:r>
      <w:r w:rsidRPr="00EC20A0">
        <w:t>stewardship</w:t>
      </w:r>
      <w:r w:rsidRPr="00EC20A0">
        <w:rPr>
          <w:spacing w:val="-4"/>
        </w:rPr>
        <w:t xml:space="preserve"> </w:t>
      </w:r>
      <w:r w:rsidRPr="00EC20A0">
        <w:t>land</w:t>
      </w:r>
      <w:r w:rsidRPr="00EC20A0">
        <w:rPr>
          <w:spacing w:val="-4"/>
        </w:rPr>
        <w:t xml:space="preserve"> </w:t>
      </w:r>
      <w:r w:rsidRPr="00EC20A0">
        <w:t>and</w:t>
      </w:r>
      <w:r w:rsidRPr="00EC20A0">
        <w:rPr>
          <w:spacing w:val="-4"/>
        </w:rPr>
        <w:t xml:space="preserve"> </w:t>
      </w:r>
      <w:r w:rsidRPr="00EC20A0">
        <w:t xml:space="preserve">heritage assets. There are no liens or encumbrances on these assets, and no assets have been pledged. </w:t>
      </w:r>
      <w:r w:rsidRPr="00EC20A0">
        <w:rPr>
          <w:b/>
        </w:rPr>
        <w:t xml:space="preserve">OR [Entity] </w:t>
      </w:r>
      <w:r w:rsidRPr="00EC20A0">
        <w:t xml:space="preserve">has satisfactory title to all owned assets. There are no liens or encumbrances on these assets, and no assets have been pledged. </w:t>
      </w:r>
      <w:r w:rsidRPr="00EC20A0">
        <w:rPr>
          <w:b/>
        </w:rPr>
        <w:t xml:space="preserve">[Entity] </w:t>
      </w:r>
      <w:r w:rsidRPr="00EC20A0">
        <w:t>has no stewardship land or heritage assets.</w:t>
      </w:r>
    </w:p>
    <w:p w14:paraId="24D61D62" w14:textId="77777777" w:rsidR="00245300" w:rsidRPr="00EC20A0" w:rsidRDefault="00F17249">
      <w:pPr>
        <w:pStyle w:val="ListParagraph"/>
        <w:numPr>
          <w:ilvl w:val="0"/>
          <w:numId w:val="69"/>
        </w:numPr>
        <w:tabs>
          <w:tab w:val="left" w:pos="557"/>
          <w:tab w:val="left" w:pos="559"/>
        </w:tabs>
        <w:ind w:left="559" w:right="777" w:hanging="361"/>
      </w:pPr>
      <w:r w:rsidRPr="00EC20A0">
        <w:t>We</w:t>
      </w:r>
      <w:r w:rsidRPr="00EC20A0">
        <w:rPr>
          <w:spacing w:val="-3"/>
        </w:rPr>
        <w:t xml:space="preserve"> </w:t>
      </w:r>
      <w:r w:rsidRPr="00EC20A0">
        <w:t>have</w:t>
      </w:r>
      <w:r w:rsidRPr="00EC20A0">
        <w:rPr>
          <w:spacing w:val="-3"/>
        </w:rPr>
        <w:t xml:space="preserve"> </w:t>
      </w:r>
      <w:r w:rsidRPr="00EC20A0">
        <w:t>no</w:t>
      </w:r>
      <w:r w:rsidRPr="00EC20A0">
        <w:rPr>
          <w:spacing w:val="-4"/>
        </w:rPr>
        <w:t xml:space="preserve"> </w:t>
      </w:r>
      <w:r w:rsidRPr="00EC20A0">
        <w:t>plans</w:t>
      </w:r>
      <w:r w:rsidRPr="00EC20A0">
        <w:rPr>
          <w:spacing w:val="-3"/>
        </w:rPr>
        <w:t xml:space="preserve"> </w:t>
      </w:r>
      <w:r w:rsidRPr="00EC20A0">
        <w:t>or</w:t>
      </w:r>
      <w:r w:rsidRPr="00EC20A0">
        <w:rPr>
          <w:spacing w:val="-3"/>
        </w:rPr>
        <w:t xml:space="preserve"> </w:t>
      </w:r>
      <w:r w:rsidRPr="00EC20A0">
        <w:t>intentions</w:t>
      </w:r>
      <w:r w:rsidRPr="00EC20A0">
        <w:rPr>
          <w:spacing w:val="-3"/>
        </w:rPr>
        <w:t xml:space="preserve"> </w:t>
      </w:r>
      <w:r w:rsidRPr="00EC20A0">
        <w:t>that</w:t>
      </w:r>
      <w:r w:rsidRPr="00EC20A0">
        <w:rPr>
          <w:spacing w:val="-4"/>
        </w:rPr>
        <w:t xml:space="preserve"> </w:t>
      </w:r>
      <w:r w:rsidRPr="00EC20A0">
        <w:t>may</w:t>
      </w:r>
      <w:r w:rsidRPr="00EC20A0">
        <w:rPr>
          <w:spacing w:val="-3"/>
        </w:rPr>
        <w:t xml:space="preserve"> </w:t>
      </w:r>
      <w:r w:rsidRPr="00EC20A0">
        <w:t>materially</w:t>
      </w:r>
      <w:r w:rsidRPr="00EC20A0">
        <w:rPr>
          <w:spacing w:val="-3"/>
        </w:rPr>
        <w:t xml:space="preserve"> </w:t>
      </w:r>
      <w:r w:rsidRPr="00EC20A0">
        <w:t>affect</w:t>
      </w:r>
      <w:r w:rsidRPr="00EC20A0">
        <w:rPr>
          <w:spacing w:val="-3"/>
        </w:rPr>
        <w:t xml:space="preserve"> </w:t>
      </w:r>
      <w:r w:rsidRPr="00EC20A0">
        <w:t>the</w:t>
      </w:r>
      <w:r w:rsidRPr="00EC20A0">
        <w:rPr>
          <w:spacing w:val="-4"/>
        </w:rPr>
        <w:t xml:space="preserve"> </w:t>
      </w:r>
      <w:r w:rsidRPr="00EC20A0">
        <w:t>recognition,</w:t>
      </w:r>
      <w:r w:rsidRPr="00EC20A0">
        <w:rPr>
          <w:spacing w:val="-4"/>
        </w:rPr>
        <w:t xml:space="preserve"> </w:t>
      </w:r>
      <w:r w:rsidRPr="00EC20A0">
        <w:t>measurement, presentation, disclosure, or classification of assets and liabilities.</w:t>
      </w:r>
    </w:p>
    <w:p w14:paraId="24D61D63" w14:textId="77777777" w:rsidR="00245300" w:rsidRPr="00EC20A0" w:rsidRDefault="00F17249">
      <w:pPr>
        <w:pStyle w:val="ListParagraph"/>
        <w:numPr>
          <w:ilvl w:val="0"/>
          <w:numId w:val="69"/>
        </w:numPr>
        <w:tabs>
          <w:tab w:val="left" w:pos="559"/>
        </w:tabs>
        <w:spacing w:before="241"/>
        <w:ind w:left="559" w:right="619"/>
      </w:pPr>
      <w:r w:rsidRPr="00EC20A0">
        <w:t>We</w:t>
      </w:r>
      <w:r w:rsidRPr="00EC20A0">
        <w:rPr>
          <w:spacing w:val="-3"/>
        </w:rPr>
        <w:t xml:space="preserve"> </w:t>
      </w:r>
      <w:r w:rsidRPr="00EC20A0">
        <w:t>have</w:t>
      </w:r>
      <w:r w:rsidRPr="00EC20A0">
        <w:rPr>
          <w:spacing w:val="-3"/>
        </w:rPr>
        <w:t xml:space="preserve"> </w:t>
      </w:r>
      <w:r w:rsidRPr="00EC20A0">
        <w:t>disclosed</w:t>
      </w:r>
      <w:r w:rsidRPr="00EC20A0">
        <w:rPr>
          <w:spacing w:val="-3"/>
        </w:rPr>
        <w:t xml:space="preserve"> </w:t>
      </w:r>
      <w:r w:rsidRPr="00EC20A0">
        <w:t>to</w:t>
      </w:r>
      <w:r w:rsidRPr="00EC20A0">
        <w:rPr>
          <w:spacing w:val="-4"/>
        </w:rPr>
        <w:t xml:space="preserve"> </w:t>
      </w:r>
      <w:r w:rsidRPr="00EC20A0">
        <w:t>you</w:t>
      </w:r>
      <w:r w:rsidRPr="00EC20A0">
        <w:rPr>
          <w:spacing w:val="-3"/>
        </w:rPr>
        <w:t xml:space="preserve"> </w:t>
      </w:r>
      <w:r w:rsidRPr="00EC20A0">
        <w:t>the</w:t>
      </w:r>
      <w:r w:rsidRPr="00EC20A0">
        <w:rPr>
          <w:spacing w:val="-3"/>
        </w:rPr>
        <w:t xml:space="preserve"> </w:t>
      </w:r>
      <w:r w:rsidRPr="00EC20A0">
        <w:t>identities</w:t>
      </w:r>
      <w:r w:rsidRPr="00EC20A0">
        <w:rPr>
          <w:spacing w:val="-3"/>
        </w:rPr>
        <w:t xml:space="preserve"> </w:t>
      </w:r>
      <w:r w:rsidRPr="00EC20A0">
        <w:t>of</w:t>
      </w:r>
      <w:r w:rsidRPr="00EC20A0">
        <w:rPr>
          <w:spacing w:val="-3"/>
        </w:rPr>
        <w:t xml:space="preserve"> </w:t>
      </w:r>
      <w:r w:rsidRPr="00EC20A0">
        <w:t>all</w:t>
      </w:r>
      <w:r w:rsidRPr="00EC20A0">
        <w:rPr>
          <w:spacing w:val="-3"/>
        </w:rPr>
        <w:t xml:space="preserve"> </w:t>
      </w:r>
      <w:r w:rsidRPr="00EC20A0">
        <w:rPr>
          <w:b/>
        </w:rPr>
        <w:t>[Entity’s]</w:t>
      </w:r>
      <w:r w:rsidRPr="00EC20A0">
        <w:rPr>
          <w:b/>
          <w:spacing w:val="-3"/>
        </w:rPr>
        <w:t xml:space="preserve"> </w:t>
      </w:r>
      <w:r w:rsidRPr="00EC20A0">
        <w:t>disclosure</w:t>
      </w:r>
      <w:r w:rsidRPr="00EC20A0">
        <w:rPr>
          <w:spacing w:val="-3"/>
        </w:rPr>
        <w:t xml:space="preserve"> </w:t>
      </w:r>
      <w:r w:rsidRPr="00EC20A0">
        <w:t>entities,</w:t>
      </w:r>
      <w:r w:rsidRPr="00EC20A0">
        <w:rPr>
          <w:spacing w:val="-3"/>
        </w:rPr>
        <w:t xml:space="preserve"> </w:t>
      </w:r>
      <w:r w:rsidRPr="00EC20A0">
        <w:t>related</w:t>
      </w:r>
      <w:r w:rsidRPr="00EC20A0">
        <w:rPr>
          <w:spacing w:val="-3"/>
        </w:rPr>
        <w:t xml:space="preserve"> </w:t>
      </w:r>
      <w:r w:rsidRPr="00EC20A0">
        <w:t>parties, and</w:t>
      </w:r>
      <w:r w:rsidRPr="00EC20A0">
        <w:rPr>
          <w:spacing w:val="-3"/>
        </w:rPr>
        <w:t xml:space="preserve"> </w:t>
      </w:r>
      <w:r w:rsidRPr="00EC20A0">
        <w:t>public-private</w:t>
      </w:r>
      <w:r w:rsidRPr="00EC20A0">
        <w:rPr>
          <w:spacing w:val="-3"/>
        </w:rPr>
        <w:t xml:space="preserve"> </w:t>
      </w:r>
      <w:r w:rsidRPr="00EC20A0">
        <w:t>partnerships,</w:t>
      </w:r>
      <w:r w:rsidRPr="00EC20A0">
        <w:rPr>
          <w:spacing w:val="-3"/>
        </w:rPr>
        <w:t xml:space="preserve"> </w:t>
      </w:r>
      <w:r w:rsidRPr="00EC20A0">
        <w:t>and</w:t>
      </w:r>
      <w:r w:rsidRPr="00EC20A0">
        <w:rPr>
          <w:spacing w:val="-4"/>
        </w:rPr>
        <w:t xml:space="preserve"> </w:t>
      </w:r>
      <w:r w:rsidRPr="00EC20A0">
        <w:t>all</w:t>
      </w:r>
      <w:r w:rsidRPr="00EC20A0">
        <w:rPr>
          <w:spacing w:val="-3"/>
        </w:rPr>
        <w:t xml:space="preserve"> </w:t>
      </w:r>
      <w:r w:rsidRPr="00EC20A0">
        <w:t>the</w:t>
      </w:r>
      <w:r w:rsidRPr="00EC20A0">
        <w:rPr>
          <w:spacing w:val="-3"/>
        </w:rPr>
        <w:t xml:space="preserve"> </w:t>
      </w:r>
      <w:r w:rsidRPr="00EC20A0">
        <w:t>relationships</w:t>
      </w:r>
      <w:r w:rsidRPr="00EC20A0">
        <w:rPr>
          <w:spacing w:val="-3"/>
        </w:rPr>
        <w:t xml:space="preserve"> </w:t>
      </w:r>
      <w:r w:rsidRPr="00EC20A0">
        <w:t>and</w:t>
      </w:r>
      <w:r w:rsidRPr="00EC20A0">
        <w:rPr>
          <w:spacing w:val="-3"/>
        </w:rPr>
        <w:t xml:space="preserve"> </w:t>
      </w:r>
      <w:r w:rsidRPr="00EC20A0">
        <w:t>transactions</w:t>
      </w:r>
      <w:r w:rsidRPr="00EC20A0">
        <w:rPr>
          <w:spacing w:val="-3"/>
        </w:rPr>
        <w:t xml:space="preserve"> </w:t>
      </w:r>
      <w:r w:rsidRPr="00EC20A0">
        <w:t>related</w:t>
      </w:r>
      <w:r w:rsidRPr="00EC20A0">
        <w:rPr>
          <w:spacing w:val="-3"/>
        </w:rPr>
        <w:t xml:space="preserve"> </w:t>
      </w:r>
      <w:r w:rsidRPr="00EC20A0">
        <w:t>to</w:t>
      </w:r>
      <w:r w:rsidRPr="00EC20A0">
        <w:rPr>
          <w:spacing w:val="-3"/>
        </w:rPr>
        <w:t xml:space="preserve"> </w:t>
      </w:r>
      <w:r w:rsidRPr="00EC20A0">
        <w:t>them.</w:t>
      </w:r>
    </w:p>
    <w:p w14:paraId="24D61D64" w14:textId="77777777" w:rsidR="00245300" w:rsidRPr="00EC20A0" w:rsidRDefault="00F17249">
      <w:pPr>
        <w:pStyle w:val="ListParagraph"/>
        <w:numPr>
          <w:ilvl w:val="0"/>
          <w:numId w:val="69"/>
        </w:numPr>
        <w:tabs>
          <w:tab w:val="left" w:pos="559"/>
        </w:tabs>
        <w:ind w:left="559" w:right="447"/>
      </w:pPr>
      <w:r w:rsidRPr="00EC20A0">
        <w:t>All relationships and transactions with disclosure entities, related parties, and public-private partnerships have been appropriately accounted for and disclosed in the financial statements</w:t>
      </w:r>
      <w:r w:rsidRPr="00EC20A0">
        <w:rPr>
          <w:spacing w:val="-3"/>
        </w:rPr>
        <w:t xml:space="preserve"> </w:t>
      </w:r>
      <w:r w:rsidRPr="00EC20A0">
        <w:t>in</w:t>
      </w:r>
      <w:r w:rsidRPr="00EC20A0">
        <w:rPr>
          <w:spacing w:val="-3"/>
        </w:rPr>
        <w:t xml:space="preserve"> </w:t>
      </w:r>
      <w:r w:rsidRPr="00EC20A0">
        <w:t>accordance</w:t>
      </w:r>
      <w:r w:rsidRPr="00EC20A0">
        <w:rPr>
          <w:spacing w:val="-3"/>
        </w:rPr>
        <w:t xml:space="preserve"> </w:t>
      </w:r>
      <w:r w:rsidRPr="00EC20A0">
        <w:t>with</w:t>
      </w:r>
      <w:r w:rsidRPr="00EC20A0">
        <w:rPr>
          <w:spacing w:val="-3"/>
        </w:rPr>
        <w:t xml:space="preserve"> </w:t>
      </w:r>
      <w:r w:rsidRPr="00EC20A0">
        <w:t>U.S.</w:t>
      </w:r>
      <w:r w:rsidRPr="00EC20A0">
        <w:rPr>
          <w:spacing w:val="-3"/>
        </w:rPr>
        <w:t xml:space="preserve"> </w:t>
      </w:r>
      <w:r w:rsidRPr="00EC20A0">
        <w:t>GAAP</w:t>
      </w:r>
      <w:r w:rsidRPr="00EC20A0">
        <w:rPr>
          <w:spacing w:val="-3"/>
        </w:rPr>
        <w:t xml:space="preserve"> </w:t>
      </w:r>
      <w:r w:rsidRPr="00EC20A0">
        <w:t>and</w:t>
      </w:r>
      <w:r w:rsidRPr="00EC20A0">
        <w:rPr>
          <w:spacing w:val="-3"/>
        </w:rPr>
        <w:t xml:space="preserve"> </w:t>
      </w:r>
      <w:r w:rsidRPr="00EC20A0">
        <w:t>do</w:t>
      </w:r>
      <w:r w:rsidRPr="00EC20A0">
        <w:rPr>
          <w:spacing w:val="-3"/>
        </w:rPr>
        <w:t xml:space="preserve"> </w:t>
      </w:r>
      <w:r w:rsidRPr="00EC20A0">
        <w:t>not</w:t>
      </w:r>
      <w:r w:rsidRPr="00EC20A0">
        <w:rPr>
          <w:spacing w:val="-3"/>
        </w:rPr>
        <w:t xml:space="preserve"> </w:t>
      </w:r>
      <w:r w:rsidRPr="00EC20A0">
        <w:t>prevent</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from achieving fair presentation.</w:t>
      </w:r>
    </w:p>
    <w:p w14:paraId="24D61D65" w14:textId="77777777" w:rsidR="00245300" w:rsidRPr="00EC20A0" w:rsidRDefault="00F17249">
      <w:pPr>
        <w:pStyle w:val="ListParagraph"/>
        <w:numPr>
          <w:ilvl w:val="0"/>
          <w:numId w:val="69"/>
        </w:numPr>
        <w:tabs>
          <w:tab w:val="left" w:pos="559"/>
        </w:tabs>
        <w:ind w:left="559" w:right="961"/>
        <w:jc w:val="both"/>
      </w:pPr>
      <w:r w:rsidRPr="00EC20A0">
        <w:t xml:space="preserve">Guarantees under which </w:t>
      </w:r>
      <w:r w:rsidRPr="00EC20A0">
        <w:rPr>
          <w:b/>
        </w:rPr>
        <w:t xml:space="preserve">[Entity] </w:t>
      </w:r>
      <w:r w:rsidRPr="00EC20A0">
        <w:t xml:space="preserve">is contingently liable have been properly </w:t>
      </w:r>
      <w:r w:rsidRPr="00EC20A0">
        <w:t>reported or disclosed.</w:t>
      </w:r>
      <w:r w:rsidRPr="00EC20A0">
        <w:rPr>
          <w:spacing w:val="-3"/>
        </w:rPr>
        <w:t xml:space="preserve"> </w:t>
      </w:r>
      <w:r w:rsidRPr="00EC20A0">
        <w:rPr>
          <w:b/>
        </w:rPr>
        <w:t>OR</w:t>
      </w:r>
      <w:r w:rsidRPr="00EC20A0">
        <w:rPr>
          <w:b/>
          <w:spacing w:val="-4"/>
        </w:rPr>
        <w:t xml:space="preserve"> </w:t>
      </w:r>
      <w:r w:rsidRPr="00EC20A0">
        <w:t>There</w:t>
      </w:r>
      <w:r w:rsidRPr="00EC20A0">
        <w:rPr>
          <w:spacing w:val="-3"/>
        </w:rPr>
        <w:t xml:space="preserve"> </w:t>
      </w:r>
      <w:r w:rsidRPr="00EC20A0">
        <w:t>are</w:t>
      </w:r>
      <w:r w:rsidRPr="00EC20A0">
        <w:rPr>
          <w:spacing w:val="-3"/>
        </w:rPr>
        <w:t xml:space="preserve"> </w:t>
      </w:r>
      <w:r w:rsidRPr="00EC20A0">
        <w:t>no</w:t>
      </w:r>
      <w:r w:rsidRPr="00EC20A0">
        <w:rPr>
          <w:spacing w:val="-3"/>
        </w:rPr>
        <w:t xml:space="preserve"> </w:t>
      </w:r>
      <w:r w:rsidRPr="00EC20A0">
        <w:t>guarantees</w:t>
      </w:r>
      <w:r w:rsidRPr="00EC20A0">
        <w:rPr>
          <w:spacing w:val="-3"/>
        </w:rPr>
        <w:t xml:space="preserve"> </w:t>
      </w:r>
      <w:r w:rsidRPr="00EC20A0">
        <w:t>under</w:t>
      </w:r>
      <w:r w:rsidRPr="00EC20A0">
        <w:rPr>
          <w:spacing w:val="-3"/>
        </w:rPr>
        <w:t xml:space="preserve"> </w:t>
      </w:r>
      <w:r w:rsidRPr="00EC20A0">
        <w:t>which</w:t>
      </w:r>
      <w:r w:rsidRPr="00EC20A0">
        <w:rPr>
          <w:spacing w:val="-3"/>
        </w:rPr>
        <w:t xml:space="preserve"> </w:t>
      </w:r>
      <w:r w:rsidRPr="00EC20A0">
        <w:rPr>
          <w:b/>
        </w:rPr>
        <w:t>[Entity]</w:t>
      </w:r>
      <w:r w:rsidRPr="00EC20A0">
        <w:rPr>
          <w:b/>
          <w:spacing w:val="-3"/>
        </w:rPr>
        <w:t xml:space="preserve"> </w:t>
      </w:r>
      <w:r w:rsidRPr="00EC20A0">
        <w:t>is</w:t>
      </w:r>
      <w:r w:rsidRPr="00EC20A0">
        <w:rPr>
          <w:spacing w:val="-3"/>
        </w:rPr>
        <w:t xml:space="preserve"> </w:t>
      </w:r>
      <w:r w:rsidRPr="00EC20A0">
        <w:t>contingently</w:t>
      </w:r>
      <w:r w:rsidRPr="00EC20A0">
        <w:rPr>
          <w:spacing w:val="-3"/>
        </w:rPr>
        <w:t xml:space="preserve"> </w:t>
      </w:r>
      <w:r w:rsidRPr="00EC20A0">
        <w:t>liable</w:t>
      </w:r>
      <w:r w:rsidRPr="00EC20A0">
        <w:rPr>
          <w:spacing w:val="-3"/>
        </w:rPr>
        <w:t xml:space="preserve"> </w:t>
      </w:r>
      <w:r w:rsidRPr="00EC20A0">
        <w:t>that require reporting or disclosure in the financial statements.</w:t>
      </w:r>
    </w:p>
    <w:p w14:paraId="24D61D66" w14:textId="77777777" w:rsidR="00245300" w:rsidRPr="00EC20A0" w:rsidRDefault="00245300">
      <w:pPr>
        <w:jc w:val="both"/>
        <w:sectPr w:rsidR="00245300" w:rsidRPr="00EC20A0">
          <w:pgSz w:w="12240" w:h="15840"/>
          <w:pgMar w:top="1340" w:right="1100" w:bottom="940" w:left="1240" w:header="721" w:footer="757" w:gutter="0"/>
          <w:cols w:space="720"/>
        </w:sectPr>
      </w:pPr>
    </w:p>
    <w:p w14:paraId="24D61D67" w14:textId="77777777" w:rsidR="00245300" w:rsidRPr="00EC20A0" w:rsidRDefault="00F17249">
      <w:pPr>
        <w:pStyle w:val="ListParagraph"/>
        <w:numPr>
          <w:ilvl w:val="0"/>
          <w:numId w:val="69"/>
        </w:numPr>
        <w:tabs>
          <w:tab w:val="left" w:pos="559"/>
        </w:tabs>
        <w:spacing w:before="121"/>
        <w:ind w:left="559" w:right="572"/>
      </w:pPr>
      <w:r w:rsidRPr="00EC20A0">
        <w:t>We</w:t>
      </w:r>
      <w:r w:rsidRPr="00EC20A0">
        <w:rPr>
          <w:spacing w:val="-3"/>
        </w:rPr>
        <w:t xml:space="preserve"> </w:t>
      </w:r>
      <w:r w:rsidRPr="00EC20A0">
        <w:t>have</w:t>
      </w:r>
      <w:r w:rsidRPr="00EC20A0">
        <w:rPr>
          <w:spacing w:val="-3"/>
        </w:rPr>
        <w:t xml:space="preserve"> </w:t>
      </w:r>
      <w:r w:rsidRPr="00EC20A0">
        <w:t>disclosed</w:t>
      </w:r>
      <w:r w:rsidRPr="00EC20A0">
        <w:rPr>
          <w:spacing w:val="-3"/>
        </w:rPr>
        <w:t xml:space="preserve"> </w:t>
      </w:r>
      <w:r w:rsidRPr="00EC20A0">
        <w:t>to</w:t>
      </w:r>
      <w:r w:rsidRPr="00EC20A0">
        <w:rPr>
          <w:spacing w:val="-4"/>
        </w:rPr>
        <w:t xml:space="preserve"> </w:t>
      </w:r>
      <w:r w:rsidRPr="00EC20A0">
        <w:t>you</w:t>
      </w:r>
      <w:r w:rsidRPr="00EC20A0">
        <w:rPr>
          <w:spacing w:val="-3"/>
        </w:rPr>
        <w:t xml:space="preserve"> </w:t>
      </w:r>
      <w:r w:rsidRPr="00EC20A0">
        <w:t>all</w:t>
      </w:r>
      <w:r w:rsidRPr="00EC20A0">
        <w:rPr>
          <w:spacing w:val="-3"/>
        </w:rPr>
        <w:t xml:space="preserve"> </w:t>
      </w:r>
      <w:r w:rsidRPr="00EC20A0">
        <w:t>known</w:t>
      </w:r>
      <w:r w:rsidRPr="00EC20A0">
        <w:rPr>
          <w:spacing w:val="-4"/>
        </w:rPr>
        <w:t xml:space="preserve"> </w:t>
      </w:r>
      <w:r w:rsidRPr="00EC20A0">
        <w:t>actual</w:t>
      </w:r>
      <w:r w:rsidRPr="00EC20A0">
        <w:rPr>
          <w:spacing w:val="-3"/>
        </w:rPr>
        <w:t xml:space="preserve"> </w:t>
      </w:r>
      <w:r w:rsidRPr="00EC20A0">
        <w:t>or</w:t>
      </w:r>
      <w:r w:rsidRPr="00EC20A0">
        <w:rPr>
          <w:spacing w:val="-3"/>
        </w:rPr>
        <w:t xml:space="preserve"> </w:t>
      </w:r>
      <w:r w:rsidRPr="00EC20A0">
        <w:t>possible</w:t>
      </w:r>
      <w:r w:rsidRPr="00EC20A0">
        <w:rPr>
          <w:spacing w:val="-4"/>
        </w:rPr>
        <w:t xml:space="preserve"> </w:t>
      </w:r>
      <w:r w:rsidRPr="00EC20A0">
        <w:t>litigation,</w:t>
      </w:r>
      <w:r w:rsidRPr="00EC20A0">
        <w:rPr>
          <w:spacing w:val="-3"/>
        </w:rPr>
        <w:t xml:space="preserve"> </w:t>
      </w:r>
      <w:r w:rsidRPr="00EC20A0">
        <w:t>claims,</w:t>
      </w:r>
      <w:r w:rsidRPr="00EC20A0">
        <w:rPr>
          <w:spacing w:val="-4"/>
        </w:rPr>
        <w:t xml:space="preserve"> </w:t>
      </w:r>
      <w:r w:rsidRPr="00EC20A0">
        <w:t>and</w:t>
      </w:r>
      <w:r w:rsidRPr="00EC20A0">
        <w:rPr>
          <w:spacing w:val="-3"/>
        </w:rPr>
        <w:t xml:space="preserve"> </w:t>
      </w:r>
      <w:r w:rsidRPr="00EC20A0">
        <w:t xml:space="preserve">assessments, including those related to treaties and other international agreements, whose effects should be considered when preparing the financial statements. </w:t>
      </w:r>
      <w:r w:rsidRPr="00EC20A0">
        <w:rPr>
          <w:b/>
        </w:rPr>
        <w:t xml:space="preserve">OR </w:t>
      </w:r>
      <w:r w:rsidRPr="00EC20A0">
        <w:t>We are not aware of any pending or threatened litigation and claims whose effects should be considered when preparing the financial statements.</w:t>
      </w:r>
    </w:p>
    <w:p w14:paraId="24D61D68" w14:textId="77777777" w:rsidR="00245300" w:rsidRPr="00EC20A0" w:rsidRDefault="00F17249">
      <w:pPr>
        <w:pStyle w:val="ListParagraph"/>
        <w:numPr>
          <w:ilvl w:val="0"/>
          <w:numId w:val="69"/>
        </w:numPr>
        <w:tabs>
          <w:tab w:val="left" w:pos="559"/>
        </w:tabs>
        <w:ind w:left="559" w:right="594"/>
      </w:pPr>
      <w:r w:rsidRPr="00EC20A0">
        <w:t>The effects of all known actual or possible litigation, claims, and assessments, including those</w:t>
      </w:r>
      <w:r w:rsidRPr="00EC20A0">
        <w:rPr>
          <w:spacing w:val="-3"/>
        </w:rPr>
        <w:t xml:space="preserve"> </w:t>
      </w:r>
      <w:r w:rsidRPr="00EC20A0">
        <w:t>related</w:t>
      </w:r>
      <w:r w:rsidRPr="00EC20A0">
        <w:rPr>
          <w:spacing w:val="-4"/>
        </w:rPr>
        <w:t xml:space="preserve"> </w:t>
      </w:r>
      <w:r w:rsidRPr="00EC20A0">
        <w:t>to</w:t>
      </w:r>
      <w:r w:rsidRPr="00EC20A0">
        <w:rPr>
          <w:spacing w:val="-3"/>
        </w:rPr>
        <w:t xml:space="preserve"> </w:t>
      </w:r>
      <w:r w:rsidRPr="00EC20A0">
        <w:t>treaties</w:t>
      </w:r>
      <w:r w:rsidRPr="00EC20A0">
        <w:rPr>
          <w:spacing w:val="-4"/>
        </w:rPr>
        <w:t xml:space="preserve"> </w:t>
      </w:r>
      <w:r w:rsidRPr="00EC20A0">
        <w:t>and</w:t>
      </w:r>
      <w:r w:rsidRPr="00EC20A0">
        <w:rPr>
          <w:spacing w:val="-3"/>
        </w:rPr>
        <w:t xml:space="preserve"> </w:t>
      </w:r>
      <w:r w:rsidRPr="00EC20A0">
        <w:t>other</w:t>
      </w:r>
      <w:r w:rsidRPr="00EC20A0">
        <w:rPr>
          <w:spacing w:val="-4"/>
        </w:rPr>
        <w:t xml:space="preserve"> </w:t>
      </w:r>
      <w:r w:rsidRPr="00EC20A0">
        <w:t>international</w:t>
      </w:r>
      <w:r w:rsidRPr="00EC20A0">
        <w:rPr>
          <w:spacing w:val="-3"/>
        </w:rPr>
        <w:t xml:space="preserve"> </w:t>
      </w:r>
      <w:r w:rsidRPr="00EC20A0">
        <w:t>agreements,</w:t>
      </w:r>
      <w:r w:rsidRPr="00EC20A0">
        <w:rPr>
          <w:spacing w:val="-4"/>
        </w:rPr>
        <w:t xml:space="preserve"> </w:t>
      </w:r>
      <w:r w:rsidRPr="00EC20A0">
        <w:t>have</w:t>
      </w:r>
      <w:r w:rsidRPr="00EC20A0">
        <w:rPr>
          <w:spacing w:val="-3"/>
        </w:rPr>
        <w:t xml:space="preserve"> </w:t>
      </w:r>
      <w:r w:rsidRPr="00EC20A0">
        <w:t>been</w:t>
      </w:r>
      <w:r w:rsidRPr="00EC20A0">
        <w:rPr>
          <w:spacing w:val="-4"/>
        </w:rPr>
        <w:t xml:space="preserve"> </w:t>
      </w:r>
      <w:r w:rsidRPr="00EC20A0">
        <w:t>accounted</w:t>
      </w:r>
      <w:r w:rsidRPr="00EC20A0">
        <w:rPr>
          <w:spacing w:val="-3"/>
        </w:rPr>
        <w:t xml:space="preserve"> </w:t>
      </w:r>
      <w:r w:rsidRPr="00EC20A0">
        <w:t>for</w:t>
      </w:r>
      <w:r w:rsidRPr="00EC20A0">
        <w:rPr>
          <w:spacing w:val="-4"/>
        </w:rPr>
        <w:t xml:space="preserve"> </w:t>
      </w:r>
      <w:r w:rsidRPr="00EC20A0">
        <w:t xml:space="preserve">and disclosed in the </w:t>
      </w:r>
      <w:r w:rsidRPr="00EC20A0">
        <w:t>financial statements in accordance with U.S. GAAP.</w:t>
      </w:r>
    </w:p>
    <w:p w14:paraId="24D61D69" w14:textId="77777777" w:rsidR="00245300" w:rsidRPr="00EC20A0" w:rsidRDefault="00F17249">
      <w:pPr>
        <w:pStyle w:val="ListParagraph"/>
        <w:numPr>
          <w:ilvl w:val="0"/>
          <w:numId w:val="69"/>
        </w:numPr>
        <w:tabs>
          <w:tab w:val="left" w:pos="557"/>
          <w:tab w:val="left" w:pos="559"/>
        </w:tabs>
        <w:spacing w:before="239"/>
        <w:ind w:left="559" w:right="719" w:hanging="361"/>
        <w:jc w:val="both"/>
      </w:pPr>
      <w:r w:rsidRPr="00EC20A0">
        <w:t>All</w:t>
      </w:r>
      <w:r w:rsidRPr="00EC20A0">
        <w:rPr>
          <w:spacing w:val="-1"/>
        </w:rPr>
        <w:t xml:space="preserve"> </w:t>
      </w:r>
      <w:r w:rsidRPr="00EC20A0">
        <w:t>events</w:t>
      </w:r>
      <w:r w:rsidRPr="00EC20A0">
        <w:rPr>
          <w:spacing w:val="-1"/>
        </w:rPr>
        <w:t xml:space="preserve"> </w:t>
      </w:r>
      <w:r w:rsidRPr="00EC20A0">
        <w:t>or</w:t>
      </w:r>
      <w:r w:rsidRPr="00EC20A0">
        <w:rPr>
          <w:spacing w:val="-2"/>
        </w:rPr>
        <w:t xml:space="preserve"> </w:t>
      </w:r>
      <w:r w:rsidRPr="00EC20A0">
        <w:t>transactions</w:t>
      </w:r>
      <w:r w:rsidRPr="00EC20A0">
        <w:rPr>
          <w:spacing w:val="-1"/>
        </w:rPr>
        <w:t xml:space="preserve"> </w:t>
      </w:r>
      <w:r w:rsidRPr="00EC20A0">
        <w:t>subsequent</w:t>
      </w:r>
      <w:r w:rsidRPr="00EC20A0">
        <w:rPr>
          <w:spacing w:val="-1"/>
        </w:rPr>
        <w:t xml:space="preserve"> </w:t>
      </w:r>
      <w:r w:rsidRPr="00EC20A0">
        <w:t>to</w:t>
      </w:r>
      <w:r w:rsidRPr="00EC20A0">
        <w:rPr>
          <w:spacing w:val="-1"/>
        </w:rPr>
        <w:t xml:space="preserve"> </w:t>
      </w:r>
      <w:r w:rsidRPr="00EC20A0">
        <w:t>September</w:t>
      </w:r>
      <w:r w:rsidRPr="00EC20A0">
        <w:rPr>
          <w:spacing w:val="-1"/>
        </w:rPr>
        <w:t xml:space="preserve"> </w:t>
      </w:r>
      <w:r w:rsidRPr="00EC20A0">
        <w:t>30,</w:t>
      </w:r>
      <w:r w:rsidRPr="00EC20A0">
        <w:rPr>
          <w:spacing w:val="-1"/>
        </w:rPr>
        <w:t xml:space="preserve"> </w:t>
      </w:r>
      <w:r w:rsidRPr="00EC20A0">
        <w:t>20X2</w:t>
      </w:r>
      <w:r w:rsidRPr="00EC20A0">
        <w:rPr>
          <w:spacing w:val="-1"/>
        </w:rPr>
        <w:t xml:space="preserve"> </w:t>
      </w:r>
      <w:r w:rsidRPr="00EC20A0">
        <w:rPr>
          <w:b/>
        </w:rPr>
        <w:t>[or</w:t>
      </w:r>
      <w:r w:rsidRPr="00EC20A0">
        <w:rPr>
          <w:b/>
          <w:spacing w:val="-2"/>
        </w:rPr>
        <w:t xml:space="preserve"> </w:t>
      </w:r>
      <w:r w:rsidRPr="00EC20A0">
        <w:rPr>
          <w:b/>
        </w:rPr>
        <w:t>date</w:t>
      </w:r>
      <w:r w:rsidRPr="00EC20A0">
        <w:rPr>
          <w:b/>
          <w:spacing w:val="-1"/>
        </w:rPr>
        <w:t xml:space="preserve"> </w:t>
      </w:r>
      <w:r w:rsidRPr="00EC20A0">
        <w:rPr>
          <w:b/>
        </w:rPr>
        <w:t>of</w:t>
      </w:r>
      <w:r w:rsidRPr="00EC20A0">
        <w:rPr>
          <w:b/>
          <w:spacing w:val="-1"/>
        </w:rPr>
        <w:t xml:space="preserve"> </w:t>
      </w:r>
      <w:r w:rsidRPr="00EC20A0">
        <w:rPr>
          <w:b/>
        </w:rPr>
        <w:t>latest</w:t>
      </w:r>
      <w:r w:rsidRPr="00EC20A0">
        <w:rPr>
          <w:b/>
          <w:spacing w:val="-1"/>
        </w:rPr>
        <w:t xml:space="preserve"> </w:t>
      </w:r>
      <w:r w:rsidRPr="00EC20A0">
        <w:rPr>
          <w:b/>
        </w:rPr>
        <w:t>audited financial</w:t>
      </w:r>
      <w:r w:rsidRPr="00EC20A0">
        <w:rPr>
          <w:b/>
          <w:spacing w:val="-4"/>
        </w:rPr>
        <w:t xml:space="preserve"> </w:t>
      </w:r>
      <w:r w:rsidRPr="00EC20A0">
        <w:rPr>
          <w:b/>
        </w:rPr>
        <w:t>statements]</w:t>
      </w:r>
      <w:r w:rsidRPr="00EC20A0">
        <w:t>,</w:t>
      </w:r>
      <w:r w:rsidRPr="00EC20A0">
        <w:rPr>
          <w:spacing w:val="-4"/>
        </w:rPr>
        <w:t xml:space="preserve"> </w:t>
      </w:r>
      <w:r w:rsidRPr="00EC20A0">
        <w:t>and</w:t>
      </w:r>
      <w:r w:rsidRPr="00EC20A0">
        <w:rPr>
          <w:spacing w:val="-4"/>
        </w:rPr>
        <w:t xml:space="preserve"> </w:t>
      </w:r>
      <w:r w:rsidRPr="00EC20A0">
        <w:t>for</w:t>
      </w:r>
      <w:r w:rsidRPr="00EC20A0">
        <w:rPr>
          <w:spacing w:val="-4"/>
        </w:rPr>
        <w:t xml:space="preserve"> </w:t>
      </w:r>
      <w:r w:rsidRPr="00EC20A0">
        <w:t>which</w:t>
      </w:r>
      <w:r w:rsidRPr="00EC20A0">
        <w:rPr>
          <w:spacing w:val="-4"/>
        </w:rPr>
        <w:t xml:space="preserve"> </w:t>
      </w:r>
      <w:r w:rsidRPr="00EC20A0">
        <w:t>U.S.</w:t>
      </w:r>
      <w:r w:rsidRPr="00EC20A0">
        <w:rPr>
          <w:spacing w:val="-4"/>
        </w:rPr>
        <w:t xml:space="preserve"> </w:t>
      </w:r>
      <w:r w:rsidRPr="00EC20A0">
        <w:t>GAAP</w:t>
      </w:r>
      <w:r w:rsidRPr="00EC20A0">
        <w:rPr>
          <w:spacing w:val="-4"/>
        </w:rPr>
        <w:t xml:space="preserve"> </w:t>
      </w:r>
      <w:r w:rsidRPr="00EC20A0">
        <w:t>requires</w:t>
      </w:r>
      <w:r w:rsidRPr="00EC20A0">
        <w:rPr>
          <w:spacing w:val="-3"/>
        </w:rPr>
        <w:t xml:space="preserve"> </w:t>
      </w:r>
      <w:r w:rsidRPr="00EC20A0">
        <w:t>adjustment</w:t>
      </w:r>
      <w:r w:rsidRPr="00EC20A0">
        <w:rPr>
          <w:spacing w:val="-4"/>
        </w:rPr>
        <w:t xml:space="preserve"> </w:t>
      </w:r>
      <w:r w:rsidRPr="00EC20A0">
        <w:t>or</w:t>
      </w:r>
      <w:r w:rsidRPr="00EC20A0">
        <w:rPr>
          <w:spacing w:val="-4"/>
        </w:rPr>
        <w:t xml:space="preserve"> </w:t>
      </w:r>
      <w:r w:rsidRPr="00EC20A0">
        <w:t>disclosure</w:t>
      </w:r>
      <w:r w:rsidRPr="00EC20A0">
        <w:rPr>
          <w:spacing w:val="-6"/>
        </w:rPr>
        <w:t xml:space="preserve"> </w:t>
      </w:r>
      <w:r w:rsidRPr="00EC20A0">
        <w:t>have been adjusted or disclosed in the financial statements.</w:t>
      </w:r>
    </w:p>
    <w:p w14:paraId="24D61D6A" w14:textId="77777777" w:rsidR="00245300" w:rsidRPr="00EC20A0" w:rsidRDefault="00F17249">
      <w:pPr>
        <w:pStyle w:val="ListParagraph"/>
        <w:numPr>
          <w:ilvl w:val="0"/>
          <w:numId w:val="69"/>
        </w:numPr>
        <w:tabs>
          <w:tab w:val="left" w:pos="559"/>
        </w:tabs>
        <w:spacing w:before="241"/>
        <w:ind w:left="559" w:right="596"/>
      </w:pPr>
      <w:r w:rsidRPr="00EC20A0">
        <w:t>We</w:t>
      </w:r>
      <w:r w:rsidRPr="00EC20A0">
        <w:rPr>
          <w:spacing w:val="-4"/>
        </w:rPr>
        <w:t xml:space="preserve"> </w:t>
      </w:r>
      <w:r w:rsidRPr="00EC20A0">
        <w:t>have</w:t>
      </w:r>
      <w:r w:rsidRPr="00EC20A0">
        <w:rPr>
          <w:spacing w:val="-4"/>
        </w:rPr>
        <w:t xml:space="preserve"> </w:t>
      </w:r>
      <w:r w:rsidRPr="00EC20A0">
        <w:t>properly</w:t>
      </w:r>
      <w:r w:rsidRPr="00EC20A0">
        <w:rPr>
          <w:spacing w:val="-4"/>
        </w:rPr>
        <w:t xml:space="preserve"> </w:t>
      </w:r>
      <w:r w:rsidRPr="00EC20A0">
        <w:t>recorded</w:t>
      </w:r>
      <w:r w:rsidRPr="00EC20A0">
        <w:rPr>
          <w:spacing w:val="-4"/>
        </w:rPr>
        <w:t xml:space="preserve"> </w:t>
      </w:r>
      <w:r w:rsidRPr="00EC20A0">
        <w:t>or</w:t>
      </w:r>
      <w:r w:rsidRPr="00EC20A0">
        <w:rPr>
          <w:spacing w:val="-4"/>
        </w:rPr>
        <w:t xml:space="preserve"> </w:t>
      </w:r>
      <w:r w:rsidRPr="00EC20A0">
        <w:t>disclosed</w:t>
      </w:r>
      <w:r w:rsidRPr="00EC20A0">
        <w:rPr>
          <w:spacing w:val="-3"/>
        </w:rPr>
        <w:t xml:space="preserve"> </w:t>
      </w:r>
      <w:r w:rsidRPr="00EC20A0">
        <w:t>in</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accounting principle that affect the consistency of the financial statements between the periods presented.</w:t>
      </w:r>
      <w:r w:rsidRPr="00EC20A0">
        <w:rPr>
          <w:spacing w:val="-4"/>
        </w:rPr>
        <w:t xml:space="preserve"> </w:t>
      </w:r>
      <w:r w:rsidRPr="00EC20A0">
        <w:rPr>
          <w:b/>
        </w:rPr>
        <w:t>OR</w:t>
      </w:r>
      <w:r w:rsidRPr="00EC20A0">
        <w:rPr>
          <w:b/>
          <w:spacing w:val="-3"/>
        </w:rPr>
        <w:t xml:space="preserve"> </w:t>
      </w:r>
      <w:r w:rsidRPr="00EC20A0">
        <w:t>There</w:t>
      </w:r>
      <w:r w:rsidRPr="00EC20A0">
        <w:rPr>
          <w:spacing w:val="-2"/>
        </w:rPr>
        <w:t xml:space="preserve"> </w:t>
      </w:r>
      <w:r w:rsidRPr="00EC20A0">
        <w:t>are</w:t>
      </w:r>
      <w:r w:rsidRPr="00EC20A0">
        <w:rPr>
          <w:spacing w:val="-2"/>
        </w:rPr>
        <w:t xml:space="preserve"> </w:t>
      </w:r>
      <w:r w:rsidRPr="00EC20A0">
        <w:t>no</w:t>
      </w:r>
      <w:r w:rsidRPr="00EC20A0">
        <w:rPr>
          <w:spacing w:val="-2"/>
        </w:rPr>
        <w:t xml:space="preserve"> </w:t>
      </w:r>
      <w:r w:rsidRPr="00EC20A0">
        <w:t>changes</w:t>
      </w:r>
      <w:r w:rsidRPr="00EC20A0">
        <w:rPr>
          <w:spacing w:val="-2"/>
        </w:rPr>
        <w:t xml:space="preserve"> </w:t>
      </w:r>
      <w:r w:rsidRPr="00EC20A0">
        <w:t>in</w:t>
      </w:r>
      <w:r w:rsidRPr="00EC20A0">
        <w:rPr>
          <w:spacing w:val="-2"/>
        </w:rPr>
        <w:t xml:space="preserve"> </w:t>
      </w:r>
      <w:r w:rsidRPr="00EC20A0">
        <w:t>accounting</w:t>
      </w:r>
      <w:r w:rsidRPr="00EC20A0">
        <w:rPr>
          <w:spacing w:val="-2"/>
        </w:rPr>
        <w:t xml:space="preserve"> </w:t>
      </w:r>
      <w:r w:rsidRPr="00EC20A0">
        <w:t>principle</w:t>
      </w:r>
      <w:r w:rsidRPr="00EC20A0">
        <w:rPr>
          <w:spacing w:val="-3"/>
        </w:rPr>
        <w:t xml:space="preserve"> </w:t>
      </w:r>
      <w:r w:rsidRPr="00EC20A0">
        <w:t>that</w:t>
      </w:r>
      <w:r w:rsidRPr="00EC20A0">
        <w:rPr>
          <w:spacing w:val="-2"/>
        </w:rPr>
        <w:t xml:space="preserve"> </w:t>
      </w:r>
      <w:r w:rsidRPr="00EC20A0">
        <w:t>affect</w:t>
      </w:r>
      <w:r w:rsidRPr="00EC20A0">
        <w:rPr>
          <w:spacing w:val="-2"/>
        </w:rPr>
        <w:t xml:space="preserve"> </w:t>
      </w:r>
      <w:r w:rsidRPr="00EC20A0">
        <w:t>the</w:t>
      </w:r>
      <w:r w:rsidRPr="00EC20A0">
        <w:rPr>
          <w:spacing w:val="-2"/>
        </w:rPr>
        <w:t xml:space="preserve"> </w:t>
      </w:r>
      <w:r w:rsidRPr="00EC20A0">
        <w:t>consistency</w:t>
      </w:r>
      <w:r w:rsidRPr="00EC20A0">
        <w:rPr>
          <w:spacing w:val="-2"/>
        </w:rPr>
        <w:t xml:space="preserve"> </w:t>
      </w:r>
      <w:r w:rsidRPr="00EC20A0">
        <w:t>of the financial statements between the periods presented.</w:t>
      </w:r>
    </w:p>
    <w:p w14:paraId="24D61D6B" w14:textId="77777777" w:rsidR="00245300" w:rsidRPr="00EC20A0" w:rsidRDefault="00F17249">
      <w:pPr>
        <w:spacing w:before="240"/>
        <w:ind w:left="200"/>
        <w:rPr>
          <w:b/>
        </w:rPr>
      </w:pPr>
      <w:r w:rsidRPr="00EC20A0">
        <w:rPr>
          <w:b/>
          <w:spacing w:val="-2"/>
          <w:u w:val="thick"/>
        </w:rPr>
        <w:t>Intragovernmental</w:t>
      </w:r>
      <w:r w:rsidRPr="00EC20A0">
        <w:rPr>
          <w:b/>
          <w:spacing w:val="12"/>
          <w:u w:val="thick"/>
        </w:rPr>
        <w:t xml:space="preserve"> </w:t>
      </w:r>
      <w:r w:rsidRPr="00EC20A0">
        <w:rPr>
          <w:b/>
          <w:spacing w:val="-2"/>
          <w:u w:val="thick"/>
        </w:rPr>
        <w:t>Activities</w:t>
      </w:r>
    </w:p>
    <w:p w14:paraId="24D61D6C" w14:textId="77777777" w:rsidR="00245300" w:rsidRPr="00EC20A0" w:rsidRDefault="00F17249">
      <w:pPr>
        <w:pStyle w:val="ListParagraph"/>
        <w:numPr>
          <w:ilvl w:val="0"/>
          <w:numId w:val="69"/>
        </w:numPr>
        <w:tabs>
          <w:tab w:val="left" w:pos="559"/>
        </w:tabs>
        <w:ind w:left="559" w:right="446"/>
      </w:pPr>
      <w:r w:rsidRPr="00EC20A0">
        <w:t>All intra-entity transactions and balances have been appropriately identified and eliminated for</w:t>
      </w:r>
      <w:r w:rsidRPr="00EC20A0">
        <w:rPr>
          <w:spacing w:val="-1"/>
        </w:rPr>
        <w:t xml:space="preserve"> </w:t>
      </w:r>
      <w:r w:rsidRPr="00EC20A0">
        <w:t>financial</w:t>
      </w:r>
      <w:r w:rsidRPr="00EC20A0">
        <w:rPr>
          <w:spacing w:val="-2"/>
        </w:rPr>
        <w:t xml:space="preserve"> </w:t>
      </w:r>
      <w:r w:rsidRPr="00EC20A0">
        <w:t>reporting</w:t>
      </w:r>
      <w:r w:rsidRPr="00EC20A0">
        <w:rPr>
          <w:spacing w:val="-1"/>
        </w:rPr>
        <w:t xml:space="preserve"> </w:t>
      </w:r>
      <w:r w:rsidRPr="00EC20A0">
        <w:t>purposes</w:t>
      </w:r>
      <w:r w:rsidRPr="00EC20A0">
        <w:rPr>
          <w:spacing w:val="-1"/>
        </w:rPr>
        <w:t xml:space="preserve"> </w:t>
      </w:r>
      <w:r w:rsidRPr="00EC20A0">
        <w:rPr>
          <w:b/>
        </w:rPr>
        <w:t>[if</w:t>
      </w:r>
      <w:r w:rsidRPr="00EC20A0">
        <w:rPr>
          <w:b/>
          <w:spacing w:val="-1"/>
        </w:rPr>
        <w:t xml:space="preserve"> </w:t>
      </w:r>
      <w:r w:rsidRPr="00EC20A0">
        <w:rPr>
          <w:b/>
        </w:rPr>
        <w:t>no</w:t>
      </w:r>
      <w:r w:rsidRPr="00EC20A0">
        <w:rPr>
          <w:b/>
          <w:spacing w:val="-1"/>
        </w:rPr>
        <w:t xml:space="preserve"> </w:t>
      </w:r>
      <w:r w:rsidRPr="00EC20A0">
        <w:rPr>
          <w:b/>
        </w:rPr>
        <w:t>intra-entity</w:t>
      </w:r>
      <w:r w:rsidRPr="00EC20A0">
        <w:rPr>
          <w:b/>
          <w:spacing w:val="-1"/>
        </w:rPr>
        <w:t xml:space="preserve"> </w:t>
      </w:r>
      <w:r w:rsidRPr="00EC20A0">
        <w:rPr>
          <w:b/>
        </w:rPr>
        <w:t>transactions</w:t>
      </w:r>
      <w:r w:rsidRPr="00EC20A0">
        <w:rPr>
          <w:b/>
          <w:spacing w:val="-1"/>
        </w:rPr>
        <w:t xml:space="preserve"> </w:t>
      </w:r>
      <w:r w:rsidRPr="00EC20A0">
        <w:rPr>
          <w:b/>
        </w:rPr>
        <w:t>or</w:t>
      </w:r>
      <w:r w:rsidRPr="00EC20A0">
        <w:rPr>
          <w:b/>
          <w:spacing w:val="-2"/>
        </w:rPr>
        <w:t xml:space="preserve"> </w:t>
      </w:r>
      <w:r w:rsidRPr="00EC20A0">
        <w:rPr>
          <w:b/>
        </w:rPr>
        <w:t>balances,</w:t>
      </w:r>
      <w:r w:rsidRPr="00EC20A0">
        <w:rPr>
          <w:b/>
          <w:spacing w:val="-1"/>
        </w:rPr>
        <w:t xml:space="preserve"> </w:t>
      </w:r>
      <w:r w:rsidRPr="00EC20A0">
        <w:rPr>
          <w:b/>
        </w:rPr>
        <w:t>replace</w:t>
      </w:r>
      <w:r w:rsidRPr="00EC20A0">
        <w:rPr>
          <w:b/>
          <w:spacing w:val="-1"/>
        </w:rPr>
        <w:t xml:space="preserve"> </w:t>
      </w:r>
      <w:r w:rsidRPr="00EC20A0">
        <w:rPr>
          <w:b/>
        </w:rPr>
        <w:t>with “There</w:t>
      </w:r>
      <w:r w:rsidRPr="00EC20A0">
        <w:rPr>
          <w:b/>
          <w:spacing w:val="-5"/>
        </w:rPr>
        <w:t xml:space="preserve"> </w:t>
      </w:r>
      <w:r w:rsidRPr="00EC20A0">
        <w:rPr>
          <w:b/>
        </w:rPr>
        <w:t>are</w:t>
      </w:r>
      <w:r w:rsidRPr="00EC20A0">
        <w:rPr>
          <w:b/>
          <w:spacing w:val="-6"/>
        </w:rPr>
        <w:t xml:space="preserve"> </w:t>
      </w:r>
      <w:r w:rsidRPr="00EC20A0">
        <w:rPr>
          <w:b/>
        </w:rPr>
        <w:t>no</w:t>
      </w:r>
      <w:r w:rsidRPr="00EC20A0">
        <w:rPr>
          <w:b/>
          <w:spacing w:val="-5"/>
        </w:rPr>
        <w:t xml:space="preserve"> </w:t>
      </w:r>
      <w:r w:rsidRPr="00EC20A0">
        <w:rPr>
          <w:b/>
        </w:rPr>
        <w:t>intra-entity</w:t>
      </w:r>
      <w:r w:rsidRPr="00EC20A0">
        <w:rPr>
          <w:b/>
          <w:spacing w:val="-5"/>
        </w:rPr>
        <w:t xml:space="preserve"> </w:t>
      </w:r>
      <w:r w:rsidRPr="00EC20A0">
        <w:rPr>
          <w:b/>
        </w:rPr>
        <w:t>transactions</w:t>
      </w:r>
      <w:r w:rsidRPr="00EC20A0">
        <w:rPr>
          <w:b/>
          <w:spacing w:val="-5"/>
        </w:rPr>
        <w:t xml:space="preserve"> </w:t>
      </w:r>
      <w:r w:rsidRPr="00EC20A0">
        <w:rPr>
          <w:b/>
        </w:rPr>
        <w:t>or</w:t>
      </w:r>
      <w:r w:rsidRPr="00EC20A0">
        <w:rPr>
          <w:b/>
          <w:spacing w:val="-6"/>
        </w:rPr>
        <w:t xml:space="preserve"> </w:t>
      </w:r>
      <w:r w:rsidRPr="00EC20A0">
        <w:rPr>
          <w:b/>
        </w:rPr>
        <w:t>balances”]</w:t>
      </w:r>
      <w:r w:rsidRPr="00EC20A0">
        <w:t>.</w:t>
      </w:r>
      <w:r w:rsidRPr="00EC20A0">
        <w:rPr>
          <w:spacing w:val="-5"/>
        </w:rPr>
        <w:t xml:space="preserve"> </w:t>
      </w:r>
      <w:r w:rsidRPr="00EC20A0">
        <w:t>All</w:t>
      </w:r>
      <w:r w:rsidRPr="00EC20A0">
        <w:rPr>
          <w:spacing w:val="-6"/>
        </w:rPr>
        <w:t xml:space="preserve"> </w:t>
      </w:r>
      <w:r w:rsidRPr="00EC20A0">
        <w:t>intragovernmental</w:t>
      </w:r>
      <w:r w:rsidRPr="00EC20A0">
        <w:rPr>
          <w:spacing w:val="-5"/>
        </w:rPr>
        <w:t xml:space="preserve"> </w:t>
      </w:r>
      <w:r w:rsidRPr="00EC20A0">
        <w:t xml:space="preserve">transactions and activities have been appropriately identified, recorded, and disclosed in the financial statements. There are no </w:t>
      </w:r>
      <w:r w:rsidRPr="00EC20A0">
        <w:rPr>
          <w:b/>
        </w:rPr>
        <w:t xml:space="preserve">[OR “There are”] </w:t>
      </w:r>
      <w:r w:rsidRPr="00EC20A0">
        <w:t>material unresolved differences in intragovernmental transactions and balances with Federal entity trading partners, and appropriate adjustments have been made to address reconciling items.</w:t>
      </w:r>
    </w:p>
    <w:p w14:paraId="24D61D6D" w14:textId="77777777" w:rsidR="00245300" w:rsidRPr="00EC20A0" w:rsidRDefault="00F17249">
      <w:pPr>
        <w:spacing w:before="240"/>
        <w:ind w:left="200"/>
        <w:rPr>
          <w:b/>
        </w:rPr>
      </w:pPr>
      <w:r w:rsidRPr="00EC20A0">
        <w:rPr>
          <w:b/>
          <w:u w:val="thick"/>
        </w:rPr>
        <w:t>Internal</w:t>
      </w:r>
      <w:r w:rsidRPr="00EC20A0">
        <w:rPr>
          <w:b/>
          <w:spacing w:val="-9"/>
          <w:u w:val="thick"/>
        </w:rPr>
        <w:t xml:space="preserve"> </w:t>
      </w:r>
      <w:r w:rsidRPr="00EC20A0">
        <w:rPr>
          <w:b/>
          <w:spacing w:val="-2"/>
          <w:u w:val="thick"/>
        </w:rPr>
        <w:t>Control</w:t>
      </w:r>
    </w:p>
    <w:p w14:paraId="24D61D6E" w14:textId="77777777" w:rsidR="00245300" w:rsidRPr="00EC20A0" w:rsidRDefault="00F17249">
      <w:pPr>
        <w:pStyle w:val="ListParagraph"/>
        <w:numPr>
          <w:ilvl w:val="0"/>
          <w:numId w:val="69"/>
        </w:numPr>
        <w:tabs>
          <w:tab w:val="left" w:pos="559"/>
        </w:tabs>
        <w:spacing w:before="239"/>
        <w:ind w:left="559" w:right="448"/>
      </w:pPr>
      <w:r w:rsidRPr="00EC20A0">
        <w:t>We acknowledge our responsibility for designing, implementing, and maintaining effective internal control over financial reporting relevant to the preparation and fair presentation of financial</w:t>
      </w:r>
      <w:r w:rsidRPr="00EC20A0">
        <w:rPr>
          <w:spacing w:val="-4"/>
        </w:rPr>
        <w:t xml:space="preserve"> </w:t>
      </w:r>
      <w:r w:rsidRPr="00EC20A0">
        <w:t>statements</w:t>
      </w:r>
      <w:r w:rsidRPr="00EC20A0">
        <w:rPr>
          <w:spacing w:val="-3"/>
        </w:rPr>
        <w:t xml:space="preserve"> </w:t>
      </w:r>
      <w:r w:rsidRPr="00EC20A0">
        <w:t>that</w:t>
      </w:r>
      <w:r w:rsidRPr="00EC20A0">
        <w:rPr>
          <w:spacing w:val="-3"/>
        </w:rPr>
        <w:t xml:space="preserve"> </w:t>
      </w:r>
      <w:r w:rsidRPr="00EC20A0">
        <w:t>are</w:t>
      </w:r>
      <w:r w:rsidRPr="00EC20A0">
        <w:rPr>
          <w:spacing w:val="-3"/>
        </w:rPr>
        <w:t xml:space="preserve"> </w:t>
      </w:r>
      <w:r w:rsidRPr="00EC20A0">
        <w:t>free</w:t>
      </w:r>
      <w:r w:rsidRPr="00EC20A0">
        <w:rPr>
          <w:spacing w:val="-3"/>
        </w:rPr>
        <w:t xml:space="preserve"> </w:t>
      </w:r>
      <w:r w:rsidRPr="00EC20A0">
        <w:t>from</w:t>
      </w:r>
      <w:r w:rsidRPr="00EC20A0">
        <w:rPr>
          <w:spacing w:val="-4"/>
        </w:rPr>
        <w:t xml:space="preserve"> </w:t>
      </w:r>
      <w:r w:rsidRPr="00EC20A0">
        <w:t>material</w:t>
      </w:r>
      <w:r w:rsidRPr="00EC20A0">
        <w:rPr>
          <w:spacing w:val="-2"/>
        </w:rPr>
        <w:t xml:space="preserve"> </w:t>
      </w:r>
      <w:r w:rsidRPr="00EC20A0">
        <w:t>misstatement,</w:t>
      </w:r>
      <w:r w:rsidRPr="00EC20A0">
        <w:rPr>
          <w:spacing w:val="-3"/>
        </w:rPr>
        <w:t xml:space="preserve"> </w:t>
      </w:r>
      <w:r w:rsidRPr="00EC20A0">
        <w:t>whether</w:t>
      </w:r>
      <w:r w:rsidRPr="00EC20A0">
        <w:rPr>
          <w:spacing w:val="-3"/>
        </w:rPr>
        <w:t xml:space="preserve"> </w:t>
      </w:r>
      <w:r w:rsidRPr="00EC20A0">
        <w:t>due</w:t>
      </w:r>
      <w:r w:rsidRPr="00EC20A0">
        <w:rPr>
          <w:spacing w:val="-3"/>
        </w:rPr>
        <w:t xml:space="preserve"> </w:t>
      </w:r>
      <w:r w:rsidRPr="00EC20A0">
        <w:t>to</w:t>
      </w:r>
      <w:r w:rsidRPr="00EC20A0">
        <w:rPr>
          <w:spacing w:val="-3"/>
        </w:rPr>
        <w:t xml:space="preserve"> </w:t>
      </w:r>
      <w:r w:rsidRPr="00EC20A0">
        <w:t>fraud</w:t>
      </w:r>
      <w:r w:rsidRPr="00EC20A0">
        <w:rPr>
          <w:spacing w:val="-4"/>
        </w:rPr>
        <w:t xml:space="preserve"> </w:t>
      </w:r>
      <w:r w:rsidRPr="00EC20A0">
        <w:t>or</w:t>
      </w:r>
      <w:r w:rsidRPr="00EC20A0">
        <w:rPr>
          <w:spacing w:val="-3"/>
        </w:rPr>
        <w:t xml:space="preserve"> </w:t>
      </w:r>
      <w:r w:rsidRPr="00EC20A0">
        <w:t>error.</w:t>
      </w:r>
    </w:p>
    <w:p w14:paraId="24D61D6F" w14:textId="77777777" w:rsidR="00245300" w:rsidRPr="00EC20A0" w:rsidRDefault="00F17249">
      <w:pPr>
        <w:pStyle w:val="ListParagraph"/>
        <w:numPr>
          <w:ilvl w:val="0"/>
          <w:numId w:val="69"/>
        </w:numPr>
        <w:tabs>
          <w:tab w:val="left" w:pos="559"/>
        </w:tabs>
        <w:spacing w:before="241"/>
        <w:ind w:left="559" w:right="449"/>
      </w:pPr>
      <w:r w:rsidRPr="00EC20A0">
        <w:t xml:space="preserve">We have fulfilled our responsibility for designing, implementing, and maintaining effective internal control over financial </w:t>
      </w:r>
      <w:r w:rsidRPr="00EC20A0">
        <w:t>reporting relevant to the preparation and fair presentation of financial</w:t>
      </w:r>
      <w:r w:rsidRPr="00EC20A0">
        <w:rPr>
          <w:spacing w:val="-4"/>
        </w:rPr>
        <w:t xml:space="preserve"> </w:t>
      </w:r>
      <w:r w:rsidRPr="00EC20A0">
        <w:t>statements</w:t>
      </w:r>
      <w:r w:rsidRPr="00EC20A0">
        <w:rPr>
          <w:spacing w:val="-3"/>
        </w:rPr>
        <w:t xml:space="preserve"> </w:t>
      </w:r>
      <w:r w:rsidRPr="00EC20A0">
        <w:t>that</w:t>
      </w:r>
      <w:r w:rsidRPr="00EC20A0">
        <w:rPr>
          <w:spacing w:val="-3"/>
        </w:rPr>
        <w:t xml:space="preserve"> </w:t>
      </w:r>
      <w:r w:rsidRPr="00EC20A0">
        <w:t>are</w:t>
      </w:r>
      <w:r w:rsidRPr="00EC20A0">
        <w:rPr>
          <w:spacing w:val="-3"/>
        </w:rPr>
        <w:t xml:space="preserve"> </w:t>
      </w:r>
      <w:r w:rsidRPr="00EC20A0">
        <w:t>free</w:t>
      </w:r>
      <w:r w:rsidRPr="00EC20A0">
        <w:rPr>
          <w:spacing w:val="-3"/>
        </w:rPr>
        <w:t xml:space="preserve"> </w:t>
      </w:r>
      <w:r w:rsidRPr="00EC20A0">
        <w:t>from</w:t>
      </w:r>
      <w:r w:rsidRPr="00EC20A0">
        <w:rPr>
          <w:spacing w:val="-4"/>
        </w:rPr>
        <w:t xml:space="preserve"> </w:t>
      </w:r>
      <w:r w:rsidRPr="00EC20A0">
        <w:t>material</w:t>
      </w:r>
      <w:r w:rsidRPr="00EC20A0">
        <w:rPr>
          <w:spacing w:val="-2"/>
        </w:rPr>
        <w:t xml:space="preserve"> </w:t>
      </w:r>
      <w:r w:rsidRPr="00EC20A0">
        <w:t>misstatement,</w:t>
      </w:r>
      <w:r w:rsidRPr="00EC20A0">
        <w:rPr>
          <w:spacing w:val="-3"/>
        </w:rPr>
        <w:t xml:space="preserve"> </w:t>
      </w:r>
      <w:r w:rsidRPr="00EC20A0">
        <w:t>whether</w:t>
      </w:r>
      <w:r w:rsidRPr="00EC20A0">
        <w:rPr>
          <w:spacing w:val="-3"/>
        </w:rPr>
        <w:t xml:space="preserve"> </w:t>
      </w:r>
      <w:r w:rsidRPr="00EC20A0">
        <w:t>due</w:t>
      </w:r>
      <w:r w:rsidRPr="00EC20A0">
        <w:rPr>
          <w:spacing w:val="-3"/>
        </w:rPr>
        <w:t xml:space="preserve"> </w:t>
      </w:r>
      <w:r w:rsidRPr="00EC20A0">
        <w:t>to</w:t>
      </w:r>
      <w:r w:rsidRPr="00EC20A0">
        <w:rPr>
          <w:spacing w:val="-3"/>
        </w:rPr>
        <w:t xml:space="preserve"> </w:t>
      </w:r>
      <w:r w:rsidRPr="00EC20A0">
        <w:t>fraud</w:t>
      </w:r>
      <w:r w:rsidRPr="00EC20A0">
        <w:rPr>
          <w:spacing w:val="-4"/>
        </w:rPr>
        <w:t xml:space="preserve"> </w:t>
      </w:r>
      <w:r w:rsidRPr="00EC20A0">
        <w:t>or</w:t>
      </w:r>
      <w:r w:rsidRPr="00EC20A0">
        <w:rPr>
          <w:spacing w:val="-3"/>
        </w:rPr>
        <w:t xml:space="preserve"> </w:t>
      </w:r>
      <w:r w:rsidRPr="00EC20A0">
        <w:t>error.</w:t>
      </w:r>
    </w:p>
    <w:p w14:paraId="24D61D70" w14:textId="77777777" w:rsidR="00245300" w:rsidRPr="00EC20A0" w:rsidRDefault="00F17249">
      <w:pPr>
        <w:pStyle w:val="ListParagraph"/>
        <w:numPr>
          <w:ilvl w:val="0"/>
          <w:numId w:val="69"/>
        </w:numPr>
        <w:tabs>
          <w:tab w:val="left" w:pos="559"/>
        </w:tabs>
        <w:spacing w:before="239"/>
        <w:ind w:left="559" w:right="458"/>
      </w:pPr>
      <w:r w:rsidRPr="00EC20A0">
        <w:t xml:space="preserve">We are responsible for assessing the effectiveness of internal control over financial reporting based on the criteria established under 31 U.S.C. § 3512 (c), (d) (commonly known as the Federal Managers’ Financial Integrity Act of 1982 (FMFIA)) </w:t>
      </w:r>
      <w:r w:rsidRPr="00EC20A0">
        <w:rPr>
          <w:b/>
        </w:rPr>
        <w:t>[or other appropriate criteria]</w:t>
      </w:r>
      <w:r w:rsidRPr="00EC20A0">
        <w:t>, providing our assessment about the effectiveness of internal control over</w:t>
      </w:r>
      <w:r w:rsidRPr="00EC20A0">
        <w:rPr>
          <w:spacing w:val="-3"/>
        </w:rPr>
        <w:t xml:space="preserve"> </w:t>
      </w:r>
      <w:r w:rsidRPr="00EC20A0">
        <w:t>financial</w:t>
      </w:r>
      <w:r w:rsidRPr="00EC20A0">
        <w:rPr>
          <w:spacing w:val="-3"/>
        </w:rPr>
        <w:t xml:space="preserve"> </w:t>
      </w:r>
      <w:r w:rsidRPr="00EC20A0">
        <w:t>reporting</w:t>
      </w:r>
      <w:r w:rsidRPr="00EC20A0">
        <w:rPr>
          <w:spacing w:val="-4"/>
        </w:rPr>
        <w:t xml:space="preserve"> </w:t>
      </w:r>
      <w:r w:rsidRPr="00EC20A0">
        <w:t>as</w:t>
      </w:r>
      <w:r w:rsidRPr="00EC20A0">
        <w:rPr>
          <w:spacing w:val="-3"/>
        </w:rPr>
        <w:t xml:space="preserve"> </w:t>
      </w:r>
      <w:r w:rsidRPr="00EC20A0">
        <w:t>of</w:t>
      </w:r>
      <w:r w:rsidRPr="00EC20A0">
        <w:rPr>
          <w:spacing w:val="-3"/>
        </w:rPr>
        <w:t xml:space="preserve"> </w:t>
      </w:r>
      <w:r w:rsidRPr="00EC20A0">
        <w:t>[date</w:t>
      </w:r>
      <w:r w:rsidRPr="00EC20A0">
        <w:rPr>
          <w:spacing w:val="-3"/>
        </w:rPr>
        <w:t xml:space="preserve"> </w:t>
      </w:r>
      <w:r w:rsidRPr="00EC20A0">
        <w:t>of</w:t>
      </w:r>
      <w:r w:rsidRPr="00EC20A0">
        <w:rPr>
          <w:spacing w:val="-3"/>
        </w:rPr>
        <w:t xml:space="preserve"> </w:t>
      </w:r>
      <w:r w:rsidRPr="00EC20A0">
        <w:t>most</w:t>
      </w:r>
      <w:r w:rsidRPr="00EC20A0">
        <w:rPr>
          <w:spacing w:val="-3"/>
        </w:rPr>
        <w:t xml:space="preserve"> </w:t>
      </w:r>
      <w:r w:rsidRPr="00EC20A0">
        <w:t>recent</w:t>
      </w:r>
      <w:r w:rsidRPr="00EC20A0">
        <w:rPr>
          <w:spacing w:val="-3"/>
        </w:rPr>
        <w:t xml:space="preserve"> </w:t>
      </w:r>
      <w:r w:rsidRPr="00EC20A0">
        <w:t>financial</w:t>
      </w:r>
      <w:r w:rsidRPr="00EC20A0">
        <w:rPr>
          <w:spacing w:val="-3"/>
        </w:rPr>
        <w:t xml:space="preserve"> </w:t>
      </w:r>
      <w:r w:rsidRPr="00EC20A0">
        <w:t>statement</w:t>
      </w:r>
      <w:r w:rsidRPr="00EC20A0">
        <w:rPr>
          <w:spacing w:val="-3"/>
        </w:rPr>
        <w:t xml:space="preserve"> </w:t>
      </w:r>
      <w:r w:rsidRPr="00EC20A0">
        <w:t>presented</w:t>
      </w:r>
      <w:hyperlink w:anchor="_bookmark212" w:history="1">
        <w:r w:rsidRPr="00EC20A0">
          <w:rPr>
            <w:position w:val="7"/>
            <w:sz w:val="14"/>
          </w:rPr>
          <w:t>3</w:t>
        </w:r>
      </w:hyperlink>
      <w:r w:rsidRPr="00EC20A0">
        <w:t>],</w:t>
      </w:r>
      <w:r w:rsidRPr="00EC20A0">
        <w:rPr>
          <w:spacing w:val="-3"/>
        </w:rPr>
        <w:t xml:space="preserve"> </w:t>
      </w:r>
      <w:r w:rsidRPr="00EC20A0">
        <w:t>based</w:t>
      </w:r>
      <w:r w:rsidRPr="00EC20A0">
        <w:rPr>
          <w:spacing w:val="-3"/>
        </w:rPr>
        <w:t xml:space="preserve"> </w:t>
      </w:r>
      <w:r w:rsidRPr="00EC20A0">
        <w:t>on our assessment, and supporting our assessment about the effectiveness of internal control over financial reporting with sufficient evaluations and documentation.</w:t>
      </w:r>
    </w:p>
    <w:p w14:paraId="24D61D71" w14:textId="77777777" w:rsidR="00245300" w:rsidRPr="00EC20A0" w:rsidRDefault="00245300">
      <w:pPr>
        <w:pStyle w:val="BodyText"/>
        <w:rPr>
          <w:sz w:val="20"/>
        </w:rPr>
      </w:pPr>
    </w:p>
    <w:p w14:paraId="24D61D72" w14:textId="77777777" w:rsidR="00245300" w:rsidRPr="00EC20A0" w:rsidRDefault="00F17249">
      <w:pPr>
        <w:pStyle w:val="BodyText"/>
        <w:spacing w:before="211"/>
        <w:rPr>
          <w:sz w:val="20"/>
        </w:rPr>
      </w:pPr>
      <w:r w:rsidRPr="00EC20A0">
        <w:rPr>
          <w:noProof/>
        </w:rPr>
        <mc:AlternateContent>
          <mc:Choice Requires="wps">
            <w:drawing>
              <wp:anchor distT="0" distB="0" distL="0" distR="0" simplePos="0" relativeHeight="487723520" behindDoc="1" locked="0" layoutInCell="1" allowOverlap="1" wp14:anchorId="24D62CC7" wp14:editId="24D62CC8">
                <wp:simplePos x="0" y="0"/>
                <wp:positionH relativeFrom="page">
                  <wp:posOffset>914400</wp:posOffset>
                </wp:positionH>
                <wp:positionV relativeFrom="paragraph">
                  <wp:posOffset>295792</wp:posOffset>
                </wp:positionV>
                <wp:extent cx="1828800" cy="5715"/>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4E87DE" id="Graphic 929" o:spid="_x0000_s1026" style="position:absolute;margin-left:1in;margin-top:23.3pt;width:2in;height:.45pt;z-index:-155929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" path="m1828800,l,,,5334r1828800,l1828800,xe" fillcolor="black" stroked="f">
                <v:path arrowok="t"/>
                <w10:wrap type="topAndBottom" anchorx="page"/>
              </v:shape>
            </w:pict>
          </mc:Fallback>
        </mc:AlternateContent>
      </w:r>
    </w:p>
    <w:p w14:paraId="24D61D73" w14:textId="77777777" w:rsidR="00245300" w:rsidRPr="00EC20A0" w:rsidRDefault="00F17249">
      <w:pPr>
        <w:spacing w:before="200" w:line="244" w:lineRule="auto"/>
        <w:ind w:left="199" w:right="345"/>
        <w:rPr>
          <w:sz w:val="18"/>
        </w:rPr>
      </w:pPr>
      <w:bookmarkStart w:id="382" w:name="_bookmark212"/>
      <w:bookmarkEnd w:id="382"/>
      <w:r w:rsidRPr="00EC20A0">
        <w:rPr>
          <w:position w:val="7"/>
          <w:sz w:val="14"/>
        </w:rPr>
        <w:t>3</w:t>
      </w:r>
      <w:r w:rsidRPr="00EC20A0">
        <w:rPr>
          <w:sz w:val="18"/>
        </w:rPr>
        <w:t xml:space="preserve">If the auditor is opining on internal </w:t>
      </w:r>
      <w:proofErr w:type="gramStart"/>
      <w:r w:rsidRPr="00EC20A0">
        <w:rPr>
          <w:sz w:val="18"/>
        </w:rPr>
        <w:t>control,</w:t>
      </w:r>
      <w:proofErr w:type="gramEnd"/>
      <w:r w:rsidRPr="00EC20A0">
        <w:rPr>
          <w:sz w:val="18"/>
        </w:rPr>
        <w:t xml:space="preserve"> the date must be the date of the opinion. However, management may choose</w:t>
      </w:r>
      <w:r w:rsidRPr="00EC20A0">
        <w:rPr>
          <w:spacing w:val="-3"/>
          <w:sz w:val="18"/>
        </w:rPr>
        <w:t xml:space="preserve"> </w:t>
      </w:r>
      <w:r w:rsidRPr="00EC20A0">
        <w:rPr>
          <w:sz w:val="18"/>
        </w:rPr>
        <w:t>to</w:t>
      </w:r>
      <w:r w:rsidRPr="00EC20A0">
        <w:rPr>
          <w:spacing w:val="-3"/>
          <w:sz w:val="18"/>
        </w:rPr>
        <w:t xml:space="preserve"> </w:t>
      </w:r>
      <w:r w:rsidRPr="00EC20A0">
        <w:rPr>
          <w:sz w:val="18"/>
        </w:rPr>
        <w:t>include</w:t>
      </w:r>
      <w:r w:rsidRPr="00EC20A0">
        <w:rPr>
          <w:spacing w:val="-3"/>
          <w:sz w:val="18"/>
        </w:rPr>
        <w:t xml:space="preserve"> </w:t>
      </w:r>
      <w:r w:rsidRPr="00EC20A0">
        <w:rPr>
          <w:sz w:val="18"/>
        </w:rPr>
        <w:t>this</w:t>
      </w:r>
      <w:r w:rsidRPr="00EC20A0">
        <w:rPr>
          <w:spacing w:val="-2"/>
          <w:sz w:val="18"/>
        </w:rPr>
        <w:t xml:space="preserve"> </w:t>
      </w:r>
      <w:r w:rsidRPr="00EC20A0">
        <w:rPr>
          <w:sz w:val="18"/>
        </w:rPr>
        <w:t>representation</w:t>
      </w:r>
      <w:r w:rsidRPr="00EC20A0">
        <w:rPr>
          <w:spacing w:val="-3"/>
          <w:sz w:val="18"/>
        </w:rPr>
        <w:t xml:space="preserve"> </w:t>
      </w:r>
      <w:r w:rsidRPr="00EC20A0">
        <w:rPr>
          <w:sz w:val="18"/>
        </w:rPr>
        <w:t>even</w:t>
      </w:r>
      <w:r w:rsidRPr="00EC20A0">
        <w:rPr>
          <w:spacing w:val="-3"/>
          <w:sz w:val="18"/>
        </w:rPr>
        <w:t xml:space="preserve"> </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auditor</w:t>
      </w:r>
      <w:r w:rsidRPr="00EC20A0">
        <w:rPr>
          <w:spacing w:val="-2"/>
          <w:sz w:val="18"/>
        </w:rPr>
        <w:t xml:space="preserve"> </w:t>
      </w:r>
      <w:r w:rsidRPr="00EC20A0">
        <w:rPr>
          <w:sz w:val="18"/>
        </w:rPr>
        <w:t>is</w:t>
      </w:r>
      <w:r w:rsidRPr="00EC20A0">
        <w:rPr>
          <w:spacing w:val="-2"/>
          <w:sz w:val="18"/>
        </w:rPr>
        <w:t xml:space="preserve"> </w:t>
      </w:r>
      <w:r w:rsidRPr="00EC20A0">
        <w:rPr>
          <w:sz w:val="18"/>
        </w:rPr>
        <w:t>not</w:t>
      </w:r>
      <w:r w:rsidRPr="00EC20A0">
        <w:rPr>
          <w:spacing w:val="-2"/>
          <w:sz w:val="18"/>
        </w:rPr>
        <w:t xml:space="preserve"> </w:t>
      </w:r>
      <w:r w:rsidRPr="00EC20A0">
        <w:rPr>
          <w:sz w:val="18"/>
        </w:rPr>
        <w:t>opining</w:t>
      </w:r>
      <w:r w:rsidRPr="00EC20A0">
        <w:rPr>
          <w:spacing w:val="-3"/>
          <w:sz w:val="18"/>
        </w:rPr>
        <w:t xml:space="preserve"> </w:t>
      </w:r>
      <w:r w:rsidRPr="00EC20A0">
        <w:rPr>
          <w:sz w:val="18"/>
        </w:rPr>
        <w:t>on</w:t>
      </w:r>
      <w:r w:rsidRPr="00EC20A0">
        <w:rPr>
          <w:spacing w:val="-2"/>
          <w:sz w:val="18"/>
        </w:rPr>
        <w:t xml:space="preserve"> </w:t>
      </w:r>
      <w:r w:rsidRPr="00EC20A0">
        <w:rPr>
          <w:sz w:val="18"/>
        </w:rPr>
        <w:t>internal</w:t>
      </w:r>
      <w:r w:rsidRPr="00EC20A0">
        <w:rPr>
          <w:spacing w:val="-2"/>
          <w:sz w:val="18"/>
        </w:rPr>
        <w:t xml:space="preserve"> </w:t>
      </w:r>
      <w:r w:rsidRPr="00EC20A0">
        <w:rPr>
          <w:sz w:val="18"/>
        </w:rPr>
        <w:t>control.</w:t>
      </w:r>
      <w:r w:rsidRPr="00EC20A0">
        <w:rPr>
          <w:spacing w:val="-2"/>
          <w:sz w:val="18"/>
        </w:rPr>
        <w:t xml:space="preserve"> </w:t>
      </w:r>
      <w:r w:rsidRPr="00EC20A0">
        <w:rPr>
          <w:sz w:val="18"/>
        </w:rPr>
        <w:t>If</w:t>
      </w:r>
      <w:r w:rsidRPr="00EC20A0">
        <w:rPr>
          <w:spacing w:val="-2"/>
          <w:sz w:val="18"/>
        </w:rPr>
        <w:t xml:space="preserve"> </w:t>
      </w:r>
      <w:r w:rsidRPr="00EC20A0">
        <w:rPr>
          <w:sz w:val="18"/>
        </w:rPr>
        <w:t>that</w:t>
      </w:r>
      <w:r w:rsidRPr="00EC20A0">
        <w:rPr>
          <w:spacing w:val="-2"/>
          <w:sz w:val="18"/>
        </w:rPr>
        <w:t xml:space="preserve"> </w:t>
      </w:r>
      <w:r w:rsidRPr="00EC20A0">
        <w:rPr>
          <w:sz w:val="18"/>
        </w:rPr>
        <w:t>occurs,</w:t>
      </w:r>
      <w:r w:rsidRPr="00EC20A0">
        <w:rPr>
          <w:spacing w:val="-2"/>
          <w:sz w:val="18"/>
        </w:rPr>
        <w:t xml:space="preserve"> </w:t>
      </w:r>
      <w:r w:rsidRPr="00EC20A0">
        <w:rPr>
          <w:sz w:val="18"/>
        </w:rPr>
        <w:t>the</w:t>
      </w:r>
      <w:r w:rsidRPr="00EC20A0">
        <w:rPr>
          <w:spacing w:val="-3"/>
          <w:sz w:val="18"/>
        </w:rPr>
        <w:t xml:space="preserve"> </w:t>
      </w:r>
      <w:r w:rsidRPr="00EC20A0">
        <w:rPr>
          <w:sz w:val="18"/>
        </w:rPr>
        <w:t>date</w:t>
      </w:r>
      <w:r w:rsidRPr="00EC20A0">
        <w:rPr>
          <w:spacing w:val="-3"/>
          <w:sz w:val="18"/>
        </w:rPr>
        <w:t xml:space="preserve"> </w:t>
      </w:r>
      <w:r w:rsidRPr="00EC20A0">
        <w:rPr>
          <w:sz w:val="18"/>
        </w:rPr>
        <w:t>must be the date of management’s assurance statement in accordance with OMB Circular No. A-123.</w:t>
      </w:r>
    </w:p>
    <w:p w14:paraId="24D61D74" w14:textId="77777777" w:rsidR="00245300" w:rsidRPr="00EC20A0" w:rsidRDefault="00245300">
      <w:pPr>
        <w:spacing w:line="244" w:lineRule="auto"/>
        <w:rPr>
          <w:sz w:val="18"/>
        </w:rPr>
        <w:sectPr w:rsidR="00245300" w:rsidRPr="00EC20A0">
          <w:pgSz w:w="12240" w:h="15840"/>
          <w:pgMar w:top="1340" w:right="1100" w:bottom="940" w:left="1240" w:header="721" w:footer="757" w:gutter="0"/>
          <w:cols w:space="720"/>
        </w:sectPr>
      </w:pPr>
    </w:p>
    <w:p w14:paraId="5E3EE31D" w14:textId="77777777" w:rsidR="005D2DFC" w:rsidRDefault="005D2DFC" w:rsidP="005D2DFC">
      <w:pPr>
        <w:ind w:left="540"/>
        <w:rPr>
          <w:b/>
          <w:bCs/>
        </w:rPr>
      </w:pPr>
    </w:p>
    <w:p w14:paraId="24D61D75" w14:textId="5BF1971C" w:rsidR="00245300" w:rsidRPr="00AD4D28" w:rsidRDefault="00F17249" w:rsidP="005D2DFC">
      <w:pPr>
        <w:ind w:left="540"/>
        <w:rPr>
          <w:b/>
          <w:bCs/>
        </w:rPr>
      </w:pPr>
      <w:r w:rsidRPr="00AD4D28">
        <w:rPr>
          <w:b/>
          <w:bCs/>
        </w:rPr>
        <w:t>[This item is optional if the auditor is not opining on internal control. Also, if the entity bases its internal control assessment on suitable criteria other than 31 U.S.C. § 3512(c), (d), cite the criteria used (for example, Internal Control—Integrated Framework issued by the Committee of Sponsoring Organizations of the Treadway Commission (COSO)).]</w:t>
      </w:r>
    </w:p>
    <w:p w14:paraId="24D61D76" w14:textId="77777777" w:rsidR="00245300" w:rsidRDefault="00F17249">
      <w:pPr>
        <w:pStyle w:val="ListParagraph"/>
        <w:numPr>
          <w:ilvl w:val="0"/>
          <w:numId w:val="69"/>
        </w:numPr>
        <w:tabs>
          <w:tab w:val="left" w:pos="559"/>
        </w:tabs>
        <w:ind w:left="559" w:right="337"/>
      </w:pPr>
      <w:r w:rsidRPr="00EC20A0">
        <w:t xml:space="preserve">We assessed the effectiveness of </w:t>
      </w:r>
      <w:r w:rsidRPr="00EC20A0">
        <w:rPr>
          <w:b/>
        </w:rPr>
        <w:t xml:space="preserve">[Entity’s] </w:t>
      </w:r>
      <w:r w:rsidRPr="00EC20A0">
        <w:t>internal control over financial reporting as of September</w:t>
      </w:r>
      <w:r w:rsidRPr="00EC20A0">
        <w:rPr>
          <w:spacing w:val="-2"/>
        </w:rPr>
        <w:t xml:space="preserve"> </w:t>
      </w:r>
      <w:r w:rsidRPr="00EC20A0">
        <w:t>30,</w:t>
      </w:r>
      <w:r w:rsidRPr="00EC20A0">
        <w:rPr>
          <w:spacing w:val="-3"/>
        </w:rPr>
        <w:t xml:space="preserve"> </w:t>
      </w:r>
      <w:r w:rsidRPr="00EC20A0">
        <w:t>20X2</w:t>
      </w:r>
      <w:r w:rsidRPr="00EC20A0">
        <w:rPr>
          <w:spacing w:val="-3"/>
        </w:rPr>
        <w:t xml:space="preserve"> </w:t>
      </w:r>
      <w:r w:rsidRPr="00EC20A0">
        <w:rPr>
          <w:b/>
        </w:rPr>
        <w:t>[or</w:t>
      </w:r>
      <w:r w:rsidRPr="00EC20A0">
        <w:rPr>
          <w:b/>
          <w:spacing w:val="-4"/>
        </w:rPr>
        <w:t xml:space="preserve"> </w:t>
      </w:r>
      <w:r w:rsidRPr="00EC20A0">
        <w:rPr>
          <w:b/>
        </w:rPr>
        <w:t>date</w:t>
      </w:r>
      <w:r w:rsidRPr="00EC20A0">
        <w:rPr>
          <w:b/>
          <w:spacing w:val="-3"/>
        </w:rPr>
        <w:t xml:space="preserve"> </w:t>
      </w:r>
      <w:r w:rsidRPr="00EC20A0">
        <w:rPr>
          <w:b/>
        </w:rPr>
        <w:t>of</w:t>
      </w:r>
      <w:r w:rsidRPr="00EC20A0">
        <w:rPr>
          <w:b/>
          <w:spacing w:val="-3"/>
        </w:rPr>
        <w:t xml:space="preserve"> </w:t>
      </w:r>
      <w:r w:rsidRPr="00EC20A0">
        <w:rPr>
          <w:b/>
        </w:rPr>
        <w:t>latest</w:t>
      </w:r>
      <w:r w:rsidRPr="00EC20A0">
        <w:rPr>
          <w:b/>
          <w:spacing w:val="-3"/>
        </w:rPr>
        <w:t xml:space="preserve"> </w:t>
      </w:r>
      <w:r w:rsidRPr="00EC20A0">
        <w:rPr>
          <w:b/>
        </w:rPr>
        <w:t>audited</w:t>
      </w:r>
      <w:r w:rsidRPr="00EC20A0">
        <w:rPr>
          <w:b/>
          <w:spacing w:val="-3"/>
        </w:rPr>
        <w:t xml:space="preserve"> </w:t>
      </w:r>
      <w:r w:rsidRPr="00EC20A0">
        <w:rPr>
          <w:b/>
        </w:rPr>
        <w:t>financial</w:t>
      </w:r>
      <w:r w:rsidRPr="00EC20A0">
        <w:rPr>
          <w:b/>
          <w:spacing w:val="-3"/>
        </w:rPr>
        <w:t xml:space="preserve"> </w:t>
      </w:r>
      <w:r w:rsidRPr="00EC20A0">
        <w:rPr>
          <w:b/>
        </w:rPr>
        <w:t>statements]</w:t>
      </w:r>
      <w:r w:rsidRPr="00EC20A0">
        <w:t>,</w:t>
      </w:r>
      <w:r w:rsidRPr="00EC20A0">
        <w:rPr>
          <w:spacing w:val="-3"/>
        </w:rPr>
        <w:t xml:space="preserve"> </w:t>
      </w:r>
      <w:r w:rsidRPr="00EC20A0">
        <w:t>based</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 xml:space="preserve">criteria established under FMFIA. </w:t>
      </w:r>
      <w:r w:rsidRPr="00EC20A0">
        <w:rPr>
          <w:b/>
        </w:rPr>
        <w:t xml:space="preserve">[Entity’s] </w:t>
      </w:r>
      <w:r w:rsidRPr="00EC20A0">
        <w:t xml:space="preserve">internal control over financial </w:t>
      </w:r>
      <w:r w:rsidRPr="00EC20A0">
        <w:t xml:space="preserve">reporting is a process effected by those charged with governance, management, and other personnel, the objectives of which are to provide reasonable assurance that (1) transactions are properly recorded, processed, and summarized to permit the preparation of financial statements in accordance with U.S. GAAP, and assets are safeguarded against loss from unauthorized acquisition, use, or disposition, and (2) transactions are executed in accordance with provisions of applicable laws, including those governing </w:t>
      </w:r>
      <w:r w:rsidRPr="00EC20A0">
        <w:t>the use of budget authority; regulations; contracts; and grant agreements, noncompliance with which could have a material effect on the financial statements.</w:t>
      </w:r>
    </w:p>
    <w:p w14:paraId="7169107A" w14:textId="77777777" w:rsidR="005D2DFC" w:rsidRPr="00EC20A0" w:rsidRDefault="005D2DFC" w:rsidP="005D2DFC">
      <w:pPr>
        <w:tabs>
          <w:tab w:val="left" w:pos="559"/>
        </w:tabs>
        <w:ind w:left="199" w:right="337"/>
      </w:pPr>
    </w:p>
    <w:p w14:paraId="24D61D77" w14:textId="77777777" w:rsidR="00245300" w:rsidRPr="00AD4D28" w:rsidRDefault="00F17249" w:rsidP="005D2DFC">
      <w:pPr>
        <w:ind w:left="540"/>
        <w:rPr>
          <w:b/>
          <w:bCs/>
        </w:rPr>
      </w:pPr>
      <w:r w:rsidRPr="00AD4D28">
        <w:rPr>
          <w:b/>
          <w:bCs/>
        </w:rPr>
        <w:t>[This item is optional if the auditor is not opining on internal control. Also, if the entity bases its internal control assessment on suitable criteria other than 31 U.S.C. § 3512(c), (d), cite the criteria used (for example, COSO’s Internal Control—Integrated Framework).]</w:t>
      </w:r>
    </w:p>
    <w:p w14:paraId="24D61D78" w14:textId="77777777" w:rsidR="00245300" w:rsidRPr="00EC20A0" w:rsidRDefault="00F17249">
      <w:pPr>
        <w:pStyle w:val="ListParagraph"/>
        <w:numPr>
          <w:ilvl w:val="0"/>
          <w:numId w:val="69"/>
        </w:numPr>
        <w:tabs>
          <w:tab w:val="left" w:pos="558"/>
        </w:tabs>
        <w:ind w:left="558" w:right="349"/>
        <w:rPr>
          <w:b/>
        </w:rPr>
      </w:pPr>
      <w:r w:rsidRPr="00EC20A0">
        <w:t xml:space="preserve">We did not use </w:t>
      </w:r>
      <w:r w:rsidRPr="00EC20A0">
        <w:rPr>
          <w:b/>
        </w:rPr>
        <w:t xml:space="preserve">[auditor’s] </w:t>
      </w:r>
      <w:r w:rsidRPr="00EC20A0">
        <w:t xml:space="preserve">audit procedures performed during the integrated audits of </w:t>
      </w:r>
      <w:r w:rsidRPr="00EC20A0">
        <w:rPr>
          <w:b/>
        </w:rPr>
        <w:t>[Entity’s]</w:t>
      </w:r>
      <w:r w:rsidRPr="00EC20A0">
        <w:rPr>
          <w:b/>
          <w:spacing w:val="-3"/>
        </w:rPr>
        <w:t xml:space="preserve"> </w:t>
      </w:r>
      <w:r w:rsidRPr="00EC20A0">
        <w:t>20X2</w:t>
      </w:r>
      <w:r w:rsidRPr="00EC20A0">
        <w:rPr>
          <w:spacing w:val="-3"/>
        </w:rPr>
        <w:t xml:space="preserve"> </w:t>
      </w:r>
      <w:r w:rsidRPr="00EC20A0">
        <w:t>and</w:t>
      </w:r>
      <w:r w:rsidRPr="00EC20A0">
        <w:rPr>
          <w:spacing w:val="-3"/>
        </w:rPr>
        <w:t xml:space="preserve"> </w:t>
      </w:r>
      <w:r w:rsidRPr="00EC20A0">
        <w:t>20X1</w:t>
      </w:r>
      <w:r w:rsidRPr="00EC20A0">
        <w:rPr>
          <w:spacing w:val="-3"/>
        </w:rPr>
        <w:t xml:space="preserve"> </w:t>
      </w:r>
      <w:r w:rsidRPr="00EC20A0">
        <w:t>financial</w:t>
      </w:r>
      <w:r w:rsidRPr="00EC20A0">
        <w:rPr>
          <w:spacing w:val="-4"/>
        </w:rPr>
        <w:t xml:space="preserve"> </w:t>
      </w:r>
      <w:r w:rsidRPr="00EC20A0">
        <w:t>statements</w:t>
      </w:r>
      <w:r w:rsidRPr="00EC20A0">
        <w:rPr>
          <w:spacing w:val="-3"/>
        </w:rPr>
        <w:t xml:space="preserve"> </w:t>
      </w:r>
      <w:r w:rsidRPr="00EC20A0">
        <w:t>as</w:t>
      </w:r>
      <w:r w:rsidRPr="00EC20A0">
        <w:rPr>
          <w:spacing w:val="-3"/>
        </w:rPr>
        <w:t xml:space="preserve"> </w:t>
      </w:r>
      <w:r w:rsidRPr="00EC20A0">
        <w:t>part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basis</w:t>
      </w:r>
      <w:r w:rsidRPr="00EC20A0">
        <w:rPr>
          <w:spacing w:val="-3"/>
        </w:rPr>
        <w:t xml:space="preserve"> </w:t>
      </w:r>
      <w:r w:rsidRPr="00EC20A0">
        <w:t>for</w:t>
      </w:r>
      <w:r w:rsidRPr="00EC20A0">
        <w:rPr>
          <w:spacing w:val="-3"/>
        </w:rPr>
        <w:t xml:space="preserve"> </w:t>
      </w:r>
      <w:r w:rsidRPr="00EC20A0">
        <w:t>our</w:t>
      </w:r>
      <w:r w:rsidRPr="00EC20A0">
        <w:rPr>
          <w:spacing w:val="-3"/>
        </w:rPr>
        <w:t xml:space="preserve"> </w:t>
      </w:r>
      <w:r w:rsidRPr="00EC20A0">
        <w:t>assessment</w:t>
      </w:r>
      <w:r w:rsidRPr="00EC20A0">
        <w:rPr>
          <w:spacing w:val="-3"/>
        </w:rPr>
        <w:t xml:space="preserve"> </w:t>
      </w:r>
      <w:r w:rsidRPr="00EC20A0">
        <w:t xml:space="preserve">about </w:t>
      </w:r>
      <w:r w:rsidRPr="00EC20A0">
        <w:rPr>
          <w:b/>
        </w:rPr>
        <w:t xml:space="preserve">[Entity’s] </w:t>
      </w:r>
      <w:r w:rsidRPr="00EC20A0">
        <w:t xml:space="preserve">internal control over financial reporting as of September 30, 20X2 </w:t>
      </w:r>
      <w:r w:rsidRPr="00EC20A0">
        <w:rPr>
          <w:b/>
        </w:rPr>
        <w:t>[or date of latest audited financial statements]</w:t>
      </w:r>
      <w:r w:rsidRPr="00EC20A0">
        <w:t xml:space="preserve">. </w:t>
      </w:r>
      <w:r w:rsidRPr="00EC20A0">
        <w:rPr>
          <w:b/>
        </w:rPr>
        <w:t>[Delete this item if the auditor is not opining on internal control.]</w:t>
      </w:r>
    </w:p>
    <w:p w14:paraId="24D61D79" w14:textId="77777777" w:rsidR="00245300" w:rsidRPr="00EC20A0" w:rsidRDefault="00F17249">
      <w:pPr>
        <w:pStyle w:val="ListParagraph"/>
        <w:numPr>
          <w:ilvl w:val="0"/>
          <w:numId w:val="69"/>
        </w:numPr>
        <w:tabs>
          <w:tab w:val="left" w:pos="558"/>
        </w:tabs>
        <w:ind w:left="558" w:right="718"/>
        <w:rPr>
          <w:b/>
        </w:rPr>
      </w:pPr>
      <w:r w:rsidRPr="00EC20A0">
        <w:t>Based</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assessment</w:t>
      </w:r>
      <w:r w:rsidRPr="00EC20A0">
        <w:rPr>
          <w:spacing w:val="-3"/>
        </w:rPr>
        <w:t xml:space="preserve"> </w:t>
      </w:r>
      <w:r w:rsidRPr="00EC20A0">
        <w:t>in</w:t>
      </w:r>
      <w:r w:rsidRPr="00EC20A0">
        <w:rPr>
          <w:spacing w:val="-3"/>
        </w:rPr>
        <w:t xml:space="preserve"> </w:t>
      </w:r>
      <w:r w:rsidRPr="00EC20A0">
        <w:t>number</w:t>
      </w:r>
      <w:r w:rsidRPr="00EC20A0">
        <w:rPr>
          <w:spacing w:val="-3"/>
        </w:rPr>
        <w:t xml:space="preserve"> </w:t>
      </w:r>
      <w:r w:rsidRPr="00EC20A0">
        <w:t>22,</w:t>
      </w:r>
      <w:r w:rsidRPr="00EC20A0">
        <w:rPr>
          <w:spacing w:val="-3"/>
        </w:rPr>
        <w:t xml:space="preserve"> </w:t>
      </w:r>
      <w:r w:rsidRPr="00EC20A0">
        <w:t>we</w:t>
      </w:r>
      <w:r w:rsidRPr="00EC20A0">
        <w:rPr>
          <w:spacing w:val="-3"/>
        </w:rPr>
        <w:t xml:space="preserve"> </w:t>
      </w:r>
      <w:r w:rsidRPr="00EC20A0">
        <w:t>conclude</w:t>
      </w:r>
      <w:r w:rsidRPr="00EC20A0">
        <w:rPr>
          <w:spacing w:val="-3"/>
        </w:rPr>
        <w:t xml:space="preserve"> </w:t>
      </w:r>
      <w:r w:rsidRPr="00EC20A0">
        <w:t>that</w:t>
      </w:r>
      <w:r w:rsidRPr="00EC20A0">
        <w:rPr>
          <w:spacing w:val="-3"/>
        </w:rPr>
        <w:t xml:space="preserve"> </w:t>
      </w:r>
      <w:r w:rsidRPr="00EC20A0">
        <w:t>as</w:t>
      </w:r>
      <w:r w:rsidRPr="00EC20A0">
        <w:rPr>
          <w:spacing w:val="-3"/>
        </w:rPr>
        <w:t xml:space="preserve"> </w:t>
      </w:r>
      <w:r w:rsidRPr="00EC20A0">
        <w:t>of</w:t>
      </w:r>
      <w:r w:rsidRPr="00EC20A0">
        <w:rPr>
          <w:spacing w:val="-3"/>
        </w:rPr>
        <w:t xml:space="preserve"> </w:t>
      </w:r>
      <w:r w:rsidRPr="00EC20A0">
        <w:t>September</w:t>
      </w:r>
      <w:r w:rsidRPr="00EC20A0">
        <w:rPr>
          <w:spacing w:val="-3"/>
        </w:rPr>
        <w:t xml:space="preserve"> </w:t>
      </w:r>
      <w:r w:rsidRPr="00EC20A0">
        <w:t>30,</w:t>
      </w:r>
      <w:r w:rsidRPr="00EC20A0">
        <w:rPr>
          <w:spacing w:val="-3"/>
        </w:rPr>
        <w:t xml:space="preserve"> </w:t>
      </w:r>
      <w:r w:rsidRPr="00EC20A0">
        <w:t>20X2</w:t>
      </w:r>
      <w:r w:rsidRPr="00EC20A0">
        <w:rPr>
          <w:spacing w:val="-3"/>
        </w:rPr>
        <w:t xml:space="preserve"> </w:t>
      </w:r>
      <w:r w:rsidRPr="00EC20A0">
        <w:rPr>
          <w:b/>
        </w:rPr>
        <w:t>[or date of latest audited financial statements]</w:t>
      </w:r>
      <w:r w:rsidRPr="00EC20A0">
        <w:t xml:space="preserve">, </w:t>
      </w:r>
      <w:r w:rsidRPr="00EC20A0">
        <w:rPr>
          <w:b/>
        </w:rPr>
        <w:t xml:space="preserve">[Entity’s] </w:t>
      </w:r>
      <w:r w:rsidRPr="00EC20A0">
        <w:t>internal control over financial reporting</w:t>
      </w:r>
      <w:r w:rsidRPr="00EC20A0">
        <w:rPr>
          <w:spacing w:val="-2"/>
        </w:rPr>
        <w:t xml:space="preserve"> </w:t>
      </w:r>
      <w:r w:rsidRPr="00EC20A0">
        <w:t>was</w:t>
      </w:r>
      <w:r w:rsidRPr="00EC20A0">
        <w:rPr>
          <w:spacing w:val="-2"/>
        </w:rPr>
        <w:t xml:space="preserve"> </w:t>
      </w:r>
      <w:r w:rsidRPr="00EC20A0">
        <w:t>effective.</w:t>
      </w:r>
      <w:r w:rsidRPr="00EC20A0">
        <w:rPr>
          <w:spacing w:val="-2"/>
        </w:rPr>
        <w:t xml:space="preserve"> </w:t>
      </w:r>
      <w:r w:rsidRPr="00EC20A0">
        <w:rPr>
          <w:b/>
        </w:rPr>
        <w:t>[This</w:t>
      </w:r>
      <w:r w:rsidRPr="00EC20A0">
        <w:rPr>
          <w:b/>
          <w:spacing w:val="-2"/>
        </w:rPr>
        <w:t xml:space="preserve"> </w:t>
      </w:r>
      <w:r w:rsidRPr="00EC20A0">
        <w:rPr>
          <w:b/>
        </w:rPr>
        <w:t>item</w:t>
      </w:r>
      <w:r w:rsidRPr="00EC20A0">
        <w:rPr>
          <w:b/>
          <w:spacing w:val="-4"/>
        </w:rPr>
        <w:t xml:space="preserve"> </w:t>
      </w:r>
      <w:r w:rsidRPr="00EC20A0">
        <w:rPr>
          <w:b/>
        </w:rPr>
        <w:t>is</w:t>
      </w:r>
      <w:r w:rsidRPr="00EC20A0">
        <w:rPr>
          <w:b/>
          <w:spacing w:val="-3"/>
        </w:rPr>
        <w:t xml:space="preserve"> </w:t>
      </w:r>
      <w:r w:rsidRPr="00EC20A0">
        <w:rPr>
          <w:b/>
        </w:rPr>
        <w:t>optional</w:t>
      </w:r>
      <w:r w:rsidRPr="00EC20A0">
        <w:rPr>
          <w:b/>
          <w:spacing w:val="-2"/>
        </w:rPr>
        <w:t xml:space="preserve"> </w:t>
      </w:r>
      <w:r w:rsidRPr="00EC20A0">
        <w:rPr>
          <w:b/>
        </w:rPr>
        <w:t>if</w:t>
      </w:r>
      <w:r w:rsidRPr="00EC20A0">
        <w:rPr>
          <w:b/>
          <w:spacing w:val="-2"/>
        </w:rPr>
        <w:t xml:space="preserve"> </w:t>
      </w:r>
      <w:r w:rsidRPr="00EC20A0">
        <w:rPr>
          <w:b/>
        </w:rPr>
        <w:t>the</w:t>
      </w:r>
      <w:r w:rsidRPr="00EC20A0">
        <w:rPr>
          <w:b/>
          <w:spacing w:val="-2"/>
        </w:rPr>
        <w:t xml:space="preserve"> </w:t>
      </w:r>
      <w:r w:rsidRPr="00EC20A0">
        <w:rPr>
          <w:b/>
        </w:rPr>
        <w:t>auditor</w:t>
      </w:r>
      <w:r w:rsidRPr="00EC20A0">
        <w:rPr>
          <w:b/>
          <w:spacing w:val="-3"/>
        </w:rPr>
        <w:t xml:space="preserve"> </w:t>
      </w:r>
      <w:r w:rsidRPr="00EC20A0">
        <w:rPr>
          <w:b/>
        </w:rPr>
        <w:t>is</w:t>
      </w:r>
      <w:r w:rsidRPr="00EC20A0">
        <w:rPr>
          <w:b/>
          <w:spacing w:val="-2"/>
        </w:rPr>
        <w:t xml:space="preserve"> </w:t>
      </w:r>
      <w:r w:rsidRPr="00EC20A0">
        <w:rPr>
          <w:b/>
        </w:rPr>
        <w:t>not</w:t>
      </w:r>
      <w:r w:rsidRPr="00EC20A0">
        <w:rPr>
          <w:b/>
          <w:spacing w:val="-2"/>
        </w:rPr>
        <w:t xml:space="preserve"> </w:t>
      </w:r>
      <w:r w:rsidRPr="00EC20A0">
        <w:rPr>
          <w:b/>
        </w:rPr>
        <w:t>opining</w:t>
      </w:r>
      <w:r w:rsidRPr="00EC20A0">
        <w:rPr>
          <w:b/>
          <w:spacing w:val="-4"/>
        </w:rPr>
        <w:t xml:space="preserve"> </w:t>
      </w:r>
      <w:r w:rsidRPr="00EC20A0">
        <w:rPr>
          <w:b/>
        </w:rPr>
        <w:t>on</w:t>
      </w:r>
      <w:r w:rsidRPr="00EC20A0">
        <w:rPr>
          <w:b/>
          <w:spacing w:val="-2"/>
        </w:rPr>
        <w:t xml:space="preserve"> </w:t>
      </w:r>
      <w:r w:rsidRPr="00EC20A0">
        <w:rPr>
          <w:b/>
        </w:rPr>
        <w:t xml:space="preserve">internal </w:t>
      </w:r>
      <w:r w:rsidRPr="00EC20A0">
        <w:rPr>
          <w:b/>
          <w:spacing w:val="-2"/>
        </w:rPr>
        <w:t>control.]</w:t>
      </w:r>
    </w:p>
    <w:p w14:paraId="24D61D7A" w14:textId="77777777" w:rsidR="00245300" w:rsidRPr="00EC20A0" w:rsidRDefault="00F17249">
      <w:pPr>
        <w:spacing w:before="239"/>
        <w:ind w:left="558" w:right="337"/>
      </w:pPr>
      <w:r w:rsidRPr="00EC20A0">
        <w:rPr>
          <w:i/>
        </w:rPr>
        <w:t>If</w:t>
      </w:r>
      <w:r w:rsidRPr="00EC20A0">
        <w:rPr>
          <w:i/>
          <w:spacing w:val="-3"/>
        </w:rPr>
        <w:t xml:space="preserve"> </w:t>
      </w:r>
      <w:r w:rsidRPr="00EC20A0">
        <w:rPr>
          <w:i/>
        </w:rPr>
        <w:t>there</w:t>
      </w:r>
      <w:r w:rsidRPr="00EC20A0">
        <w:rPr>
          <w:i/>
          <w:spacing w:val="-3"/>
        </w:rPr>
        <w:t xml:space="preserve"> </w:t>
      </w:r>
      <w:r w:rsidRPr="00EC20A0">
        <w:rPr>
          <w:i/>
        </w:rPr>
        <w:t>are</w:t>
      </w:r>
      <w:r w:rsidRPr="00EC20A0">
        <w:rPr>
          <w:i/>
          <w:spacing w:val="-4"/>
        </w:rPr>
        <w:t xml:space="preserve"> </w:t>
      </w:r>
      <w:r w:rsidRPr="00EC20A0">
        <w:rPr>
          <w:i/>
        </w:rPr>
        <w:t>material</w:t>
      </w:r>
      <w:r w:rsidRPr="00EC20A0">
        <w:rPr>
          <w:i/>
          <w:spacing w:val="-3"/>
        </w:rPr>
        <w:t xml:space="preserve"> </w:t>
      </w:r>
      <w:r w:rsidRPr="00EC20A0">
        <w:rPr>
          <w:i/>
        </w:rPr>
        <w:t>weaknesses</w:t>
      </w:r>
      <w:r w:rsidRPr="00EC20A0">
        <w:t>:</w:t>
      </w:r>
      <w:r w:rsidRPr="00EC20A0">
        <w:rPr>
          <w:spacing w:val="-3"/>
        </w:rPr>
        <w:t xml:space="preserve"> </w:t>
      </w:r>
      <w:r w:rsidRPr="00EC20A0">
        <w:t>Based</w:t>
      </w:r>
      <w:r w:rsidRPr="00EC20A0">
        <w:rPr>
          <w:spacing w:val="-3"/>
        </w:rPr>
        <w:t xml:space="preserve"> </w:t>
      </w:r>
      <w:r w:rsidRPr="00EC20A0">
        <w:t>on</w:t>
      </w:r>
      <w:r w:rsidRPr="00EC20A0">
        <w:rPr>
          <w:spacing w:val="-3"/>
        </w:rPr>
        <w:t xml:space="preserve"> </w:t>
      </w:r>
      <w:r w:rsidRPr="00EC20A0">
        <w:t>the</w:t>
      </w:r>
      <w:r w:rsidRPr="00EC20A0">
        <w:rPr>
          <w:spacing w:val="-4"/>
        </w:rPr>
        <w:t xml:space="preserve"> </w:t>
      </w:r>
      <w:r w:rsidRPr="00EC20A0">
        <w:t>assessment</w:t>
      </w:r>
      <w:r w:rsidRPr="00EC20A0">
        <w:rPr>
          <w:spacing w:val="-4"/>
        </w:rPr>
        <w:t xml:space="preserve"> </w:t>
      </w:r>
      <w:r w:rsidRPr="00EC20A0">
        <w:t>in</w:t>
      </w:r>
      <w:r w:rsidRPr="00EC20A0">
        <w:rPr>
          <w:spacing w:val="-3"/>
        </w:rPr>
        <w:t xml:space="preserve"> </w:t>
      </w:r>
      <w:r w:rsidRPr="00EC20A0">
        <w:t>number</w:t>
      </w:r>
      <w:r w:rsidRPr="00EC20A0">
        <w:rPr>
          <w:spacing w:val="-3"/>
        </w:rPr>
        <w:t xml:space="preserve"> </w:t>
      </w:r>
      <w:r w:rsidRPr="00EC20A0">
        <w:t>22,</w:t>
      </w:r>
      <w:r w:rsidRPr="00EC20A0">
        <w:rPr>
          <w:spacing w:val="-3"/>
        </w:rPr>
        <w:t xml:space="preserve"> </w:t>
      </w:r>
      <w:r w:rsidRPr="00EC20A0">
        <w:t>we</w:t>
      </w:r>
      <w:r w:rsidRPr="00EC20A0">
        <w:rPr>
          <w:spacing w:val="-3"/>
        </w:rPr>
        <w:t xml:space="preserve"> </w:t>
      </w:r>
      <w:r w:rsidRPr="00EC20A0">
        <w:t>conclude</w:t>
      </w:r>
      <w:r w:rsidRPr="00EC20A0">
        <w:rPr>
          <w:spacing w:val="-3"/>
        </w:rPr>
        <w:t xml:space="preserve"> </w:t>
      </w:r>
      <w:r w:rsidRPr="00EC20A0">
        <w:t xml:space="preserve">that as of September 30, 20X2 </w:t>
      </w:r>
      <w:r w:rsidRPr="00EC20A0">
        <w:rPr>
          <w:b/>
        </w:rPr>
        <w:t>[or date of latest audited financial statements]</w:t>
      </w:r>
      <w:r w:rsidRPr="00EC20A0">
        <w:t xml:space="preserve">, </w:t>
      </w:r>
      <w:r w:rsidRPr="00EC20A0">
        <w:rPr>
          <w:b/>
        </w:rPr>
        <w:t xml:space="preserve">[Entity’s] </w:t>
      </w:r>
      <w:r w:rsidRPr="00EC20A0">
        <w:t xml:space="preserve">internal control over financial reporting was not effective because of the effects of the material weaknesses discussed below </w:t>
      </w:r>
      <w:r w:rsidRPr="00EC20A0">
        <w:rPr>
          <w:b/>
        </w:rPr>
        <w:t>[or in an attachment]</w:t>
      </w:r>
      <w:r w:rsidRPr="00EC20A0">
        <w:t>.</w:t>
      </w:r>
    </w:p>
    <w:p w14:paraId="24D61D7B" w14:textId="77777777" w:rsidR="00245300" w:rsidRPr="00EC20A0" w:rsidRDefault="00F17249">
      <w:pPr>
        <w:pStyle w:val="ListParagraph"/>
        <w:numPr>
          <w:ilvl w:val="0"/>
          <w:numId w:val="69"/>
        </w:numPr>
        <w:tabs>
          <w:tab w:val="left" w:pos="558"/>
          <w:tab w:val="left" w:pos="560"/>
        </w:tabs>
        <w:spacing w:before="241"/>
        <w:ind w:right="376" w:hanging="361"/>
        <w:rPr>
          <w:b/>
        </w:rPr>
      </w:pPr>
      <w:r w:rsidRPr="00EC20A0">
        <w:t>We have disclosed to</w:t>
      </w:r>
      <w:r w:rsidRPr="00EC20A0">
        <w:rPr>
          <w:spacing w:val="-1"/>
        </w:rPr>
        <w:t xml:space="preserve"> </w:t>
      </w:r>
      <w:r w:rsidRPr="00EC20A0">
        <w:t xml:space="preserve">you all </w:t>
      </w:r>
      <w:r w:rsidRPr="00EC20A0">
        <w:rPr>
          <w:b/>
        </w:rPr>
        <w:t xml:space="preserve">[OR “There are no”] </w:t>
      </w:r>
      <w:r w:rsidRPr="00EC20A0">
        <w:t>deficiencies in the design or operation of internal</w:t>
      </w:r>
      <w:r w:rsidRPr="00EC20A0">
        <w:rPr>
          <w:spacing w:val="-3"/>
        </w:rPr>
        <w:t xml:space="preserve"> </w:t>
      </w:r>
      <w:r w:rsidRPr="00EC20A0">
        <w:t>control</w:t>
      </w:r>
      <w:r w:rsidRPr="00EC20A0">
        <w:rPr>
          <w:spacing w:val="-3"/>
        </w:rPr>
        <w:t xml:space="preserve"> </w:t>
      </w:r>
      <w:r w:rsidRPr="00EC20A0">
        <w:t>over</w:t>
      </w:r>
      <w:r w:rsidRPr="00EC20A0">
        <w:rPr>
          <w:spacing w:val="-3"/>
        </w:rPr>
        <w:t xml:space="preserve"> </w:t>
      </w:r>
      <w:r w:rsidRPr="00EC20A0">
        <w:t>financial</w:t>
      </w:r>
      <w:r w:rsidRPr="00EC20A0">
        <w:rPr>
          <w:spacing w:val="-3"/>
        </w:rPr>
        <w:t xml:space="preserve"> </w:t>
      </w:r>
      <w:r w:rsidRPr="00EC20A0">
        <w:t>reporting</w:t>
      </w:r>
      <w:r w:rsidRPr="00EC20A0">
        <w:rPr>
          <w:spacing w:val="-3"/>
        </w:rPr>
        <w:t xml:space="preserve"> </w:t>
      </w:r>
      <w:r w:rsidRPr="00EC20A0">
        <w:t>as</w:t>
      </w:r>
      <w:r w:rsidRPr="00EC20A0">
        <w:rPr>
          <w:spacing w:val="-3"/>
        </w:rPr>
        <w:t xml:space="preserve"> </w:t>
      </w:r>
      <w:r w:rsidRPr="00EC20A0">
        <w:t>of</w:t>
      </w:r>
      <w:r w:rsidRPr="00EC20A0">
        <w:rPr>
          <w:spacing w:val="-3"/>
        </w:rPr>
        <w:t xml:space="preserve"> </w:t>
      </w:r>
      <w:r w:rsidRPr="00EC20A0">
        <w:t>September</w:t>
      </w:r>
      <w:r w:rsidRPr="00EC20A0">
        <w:rPr>
          <w:spacing w:val="-3"/>
        </w:rPr>
        <w:t xml:space="preserve"> </w:t>
      </w:r>
      <w:r w:rsidRPr="00EC20A0">
        <w:t>30,</w:t>
      </w:r>
      <w:r w:rsidRPr="00EC20A0">
        <w:rPr>
          <w:spacing w:val="-3"/>
        </w:rPr>
        <w:t xml:space="preserve"> </w:t>
      </w:r>
      <w:r w:rsidRPr="00EC20A0">
        <w:t>20X2</w:t>
      </w:r>
      <w:r w:rsidRPr="00EC20A0">
        <w:rPr>
          <w:spacing w:val="-3"/>
        </w:rPr>
        <w:t xml:space="preserve"> </w:t>
      </w:r>
      <w:r w:rsidRPr="00EC20A0">
        <w:rPr>
          <w:b/>
        </w:rPr>
        <w:t>[or</w:t>
      </w:r>
      <w:r w:rsidRPr="00EC20A0">
        <w:rPr>
          <w:b/>
          <w:spacing w:val="-4"/>
        </w:rPr>
        <w:t xml:space="preserve"> </w:t>
      </w:r>
      <w:r w:rsidRPr="00EC20A0">
        <w:rPr>
          <w:b/>
        </w:rPr>
        <w:t>date</w:t>
      </w:r>
      <w:r w:rsidRPr="00EC20A0">
        <w:rPr>
          <w:b/>
          <w:spacing w:val="-3"/>
        </w:rPr>
        <w:t xml:space="preserve"> </w:t>
      </w:r>
      <w:r w:rsidRPr="00EC20A0">
        <w:rPr>
          <w:b/>
        </w:rPr>
        <w:t>of</w:t>
      </w:r>
      <w:r w:rsidRPr="00EC20A0">
        <w:rPr>
          <w:b/>
          <w:spacing w:val="-3"/>
        </w:rPr>
        <w:t xml:space="preserve"> </w:t>
      </w:r>
      <w:r w:rsidRPr="00EC20A0">
        <w:rPr>
          <w:b/>
        </w:rPr>
        <w:t>latest</w:t>
      </w:r>
      <w:r w:rsidRPr="00EC20A0">
        <w:rPr>
          <w:b/>
          <w:spacing w:val="-3"/>
        </w:rPr>
        <w:t xml:space="preserve"> </w:t>
      </w:r>
      <w:r w:rsidRPr="00EC20A0">
        <w:rPr>
          <w:b/>
        </w:rPr>
        <w:t>audited financial statements]</w:t>
      </w:r>
      <w:r w:rsidRPr="00EC20A0">
        <w:t xml:space="preserve">, and we have separately disclosed all such deficiencies that we believe to be significant deficiencies or material weaknesses. </w:t>
      </w:r>
      <w:r w:rsidRPr="00EC20A0">
        <w:rPr>
          <w:b/>
        </w:rPr>
        <w:t>[This item is optional if the auditor is not opining on internal control.]</w:t>
      </w:r>
    </w:p>
    <w:p w14:paraId="24D61D7C" w14:textId="77777777" w:rsidR="00245300" w:rsidRPr="00EC20A0" w:rsidRDefault="00F17249">
      <w:pPr>
        <w:pStyle w:val="ListParagraph"/>
        <w:numPr>
          <w:ilvl w:val="0"/>
          <w:numId w:val="69"/>
        </w:numPr>
        <w:tabs>
          <w:tab w:val="left" w:pos="560"/>
        </w:tabs>
        <w:ind w:right="447"/>
      </w:pPr>
      <w:r w:rsidRPr="00EC20A0">
        <w:t>We</w:t>
      </w:r>
      <w:r w:rsidRPr="00EC20A0">
        <w:rPr>
          <w:spacing w:val="-3"/>
        </w:rPr>
        <w:t xml:space="preserve"> </w:t>
      </w:r>
      <w:r w:rsidRPr="00EC20A0">
        <w:t>have</w:t>
      </w:r>
      <w:r w:rsidRPr="00EC20A0">
        <w:rPr>
          <w:spacing w:val="-3"/>
        </w:rPr>
        <w:t xml:space="preserve"> </w:t>
      </w:r>
      <w:r w:rsidRPr="00EC20A0">
        <w:t>disclosed</w:t>
      </w:r>
      <w:r w:rsidRPr="00EC20A0">
        <w:rPr>
          <w:spacing w:val="-3"/>
        </w:rPr>
        <w:t xml:space="preserve"> </w:t>
      </w:r>
      <w:r w:rsidRPr="00EC20A0">
        <w:t>to</w:t>
      </w:r>
      <w:r w:rsidRPr="00EC20A0">
        <w:rPr>
          <w:spacing w:val="-4"/>
        </w:rPr>
        <w:t xml:space="preserve"> </w:t>
      </w:r>
      <w:r w:rsidRPr="00EC20A0">
        <w:t>you</w:t>
      </w:r>
      <w:r w:rsidRPr="00EC20A0">
        <w:rPr>
          <w:spacing w:val="-3"/>
        </w:rPr>
        <w:t xml:space="preserve"> </w:t>
      </w:r>
      <w:r w:rsidRPr="00EC20A0">
        <w:t>all</w:t>
      </w:r>
      <w:r w:rsidRPr="00EC20A0">
        <w:rPr>
          <w:spacing w:val="-3"/>
        </w:rPr>
        <w:t xml:space="preserve"> </w:t>
      </w:r>
      <w:r w:rsidRPr="00EC20A0">
        <w:t>significant</w:t>
      </w:r>
      <w:r w:rsidRPr="00EC20A0">
        <w:rPr>
          <w:spacing w:val="-3"/>
        </w:rPr>
        <w:t xml:space="preserve"> </w:t>
      </w:r>
      <w:r w:rsidRPr="00EC20A0">
        <w:t>deficiencies</w:t>
      </w:r>
      <w:r w:rsidRPr="00EC20A0">
        <w:rPr>
          <w:spacing w:val="-3"/>
        </w:rPr>
        <w:t xml:space="preserve"> </w:t>
      </w:r>
      <w:r w:rsidRPr="00EC20A0">
        <w:t>and</w:t>
      </w:r>
      <w:r w:rsidRPr="00EC20A0">
        <w:rPr>
          <w:spacing w:val="-3"/>
        </w:rPr>
        <w:t xml:space="preserve"> </w:t>
      </w:r>
      <w:r w:rsidRPr="00EC20A0">
        <w:t>material</w:t>
      </w:r>
      <w:r w:rsidRPr="00EC20A0">
        <w:rPr>
          <w:spacing w:val="-3"/>
        </w:rPr>
        <w:t xml:space="preserve"> </w:t>
      </w:r>
      <w:r w:rsidRPr="00EC20A0">
        <w:t>weaknesses</w:t>
      </w:r>
      <w:r w:rsidRPr="00EC20A0">
        <w:rPr>
          <w:spacing w:val="-3"/>
        </w:rPr>
        <w:t xml:space="preserve"> </w:t>
      </w:r>
      <w:r w:rsidRPr="00EC20A0">
        <w:t>in</w:t>
      </w:r>
      <w:r w:rsidRPr="00EC20A0">
        <w:rPr>
          <w:spacing w:val="-4"/>
        </w:rPr>
        <w:t xml:space="preserve"> </w:t>
      </w:r>
      <w:r w:rsidRPr="00EC20A0">
        <w:t>the</w:t>
      </w:r>
      <w:r w:rsidRPr="00EC20A0">
        <w:rPr>
          <w:spacing w:val="-4"/>
        </w:rPr>
        <w:t xml:space="preserve"> </w:t>
      </w:r>
      <w:r w:rsidRPr="00EC20A0">
        <w:t xml:space="preserve">design or operation of internal control over financial reporting that existed at any time during the years ended </w:t>
      </w:r>
      <w:r w:rsidRPr="00EC20A0">
        <w:rPr>
          <w:b/>
        </w:rPr>
        <w:t>[date of most recent financial statement presented]</w:t>
      </w:r>
      <w:r w:rsidRPr="00EC20A0">
        <w:t xml:space="preserve">, and </w:t>
      </w:r>
      <w:r w:rsidRPr="00EC20A0">
        <w:rPr>
          <w:b/>
        </w:rPr>
        <w:t>[date of prior year financial statement presented]</w:t>
      </w:r>
      <w:r w:rsidRPr="00EC20A0">
        <w:t xml:space="preserve">, and indicated which deficiencies were corrected by </w:t>
      </w:r>
      <w:r w:rsidRPr="00EC20A0">
        <w:rPr>
          <w:b/>
        </w:rPr>
        <w:t>[date of most recent financial statement presented]</w:t>
      </w:r>
      <w:r w:rsidRPr="00EC20A0">
        <w:t>.</w:t>
      </w:r>
    </w:p>
    <w:p w14:paraId="24D61D7D" w14:textId="77777777" w:rsidR="00245300" w:rsidRPr="00EC20A0" w:rsidRDefault="00245300">
      <w:pPr>
        <w:sectPr w:rsidR="00245300" w:rsidRPr="00EC20A0">
          <w:pgSz w:w="12240" w:h="15840"/>
          <w:pgMar w:top="1340" w:right="1100" w:bottom="940" w:left="1240" w:header="721" w:footer="757" w:gutter="0"/>
          <w:cols w:space="720"/>
        </w:sectPr>
      </w:pPr>
    </w:p>
    <w:p w14:paraId="24D61D7E" w14:textId="77777777" w:rsidR="00245300" w:rsidRPr="00EC20A0" w:rsidRDefault="00F17249">
      <w:pPr>
        <w:pStyle w:val="ListParagraph"/>
        <w:numPr>
          <w:ilvl w:val="0"/>
          <w:numId w:val="69"/>
        </w:numPr>
        <w:tabs>
          <w:tab w:val="left" w:pos="559"/>
        </w:tabs>
        <w:spacing w:before="121"/>
        <w:ind w:left="559" w:right="363"/>
      </w:pPr>
      <w:r w:rsidRPr="00EC20A0">
        <w:t xml:space="preserve">All significant deficiencies and material weaknesses identified and communicated to us by </w:t>
      </w:r>
      <w:r w:rsidRPr="00EC20A0">
        <w:rPr>
          <w:b/>
        </w:rPr>
        <w:t>[auditor]</w:t>
      </w:r>
      <w:r w:rsidRPr="00EC20A0">
        <w:rPr>
          <w:b/>
          <w:spacing w:val="-1"/>
        </w:rPr>
        <w:t xml:space="preserve"> </w:t>
      </w:r>
      <w:r w:rsidRPr="00EC20A0">
        <w:t>in</w:t>
      </w:r>
      <w:r w:rsidRPr="00EC20A0">
        <w:rPr>
          <w:spacing w:val="-1"/>
        </w:rPr>
        <w:t xml:space="preserve"> </w:t>
      </w:r>
      <w:r w:rsidRPr="00EC20A0">
        <w:t>prior</w:t>
      </w:r>
      <w:r w:rsidRPr="00EC20A0">
        <w:rPr>
          <w:spacing w:val="-1"/>
        </w:rPr>
        <w:t xml:space="preserve"> </w:t>
      </w:r>
      <w:r w:rsidRPr="00EC20A0">
        <w:t>years’</w:t>
      </w:r>
      <w:r w:rsidRPr="00EC20A0">
        <w:rPr>
          <w:spacing w:val="-2"/>
        </w:rPr>
        <w:t xml:space="preserve"> </w:t>
      </w:r>
      <w:r w:rsidRPr="00EC20A0">
        <w:t>audits</w:t>
      </w:r>
      <w:r w:rsidRPr="00EC20A0">
        <w:rPr>
          <w:spacing w:val="-1"/>
        </w:rPr>
        <w:t xml:space="preserve"> </w:t>
      </w:r>
      <w:r w:rsidRPr="00EC20A0">
        <w:t>that</w:t>
      </w:r>
      <w:r w:rsidRPr="00EC20A0">
        <w:rPr>
          <w:spacing w:val="-1"/>
        </w:rPr>
        <w:t xml:space="preserve"> </w:t>
      </w:r>
      <w:r w:rsidRPr="00EC20A0">
        <w:t>remained</w:t>
      </w:r>
      <w:r w:rsidRPr="00EC20A0">
        <w:rPr>
          <w:spacing w:val="-1"/>
        </w:rPr>
        <w:t xml:space="preserve"> </w:t>
      </w:r>
      <w:r w:rsidRPr="00EC20A0">
        <w:t>unresolved as</w:t>
      </w:r>
      <w:r w:rsidRPr="00EC20A0">
        <w:rPr>
          <w:spacing w:val="-2"/>
        </w:rPr>
        <w:t xml:space="preserve"> </w:t>
      </w:r>
      <w:r w:rsidRPr="00EC20A0">
        <w:t>of</w:t>
      </w:r>
      <w:r w:rsidRPr="00EC20A0">
        <w:rPr>
          <w:spacing w:val="-1"/>
        </w:rPr>
        <w:t xml:space="preserve"> </w:t>
      </w:r>
      <w:r w:rsidRPr="00EC20A0">
        <w:t>September</w:t>
      </w:r>
      <w:r w:rsidRPr="00EC20A0">
        <w:rPr>
          <w:spacing w:val="-1"/>
        </w:rPr>
        <w:t xml:space="preserve"> </w:t>
      </w:r>
      <w:r w:rsidRPr="00EC20A0">
        <w:t>30,</w:t>
      </w:r>
      <w:r w:rsidRPr="00EC20A0">
        <w:rPr>
          <w:spacing w:val="-1"/>
        </w:rPr>
        <w:t xml:space="preserve"> </w:t>
      </w:r>
      <w:r w:rsidRPr="00EC20A0">
        <w:t>20X1</w:t>
      </w:r>
      <w:r w:rsidRPr="00EC20A0">
        <w:rPr>
          <w:spacing w:val="-1"/>
        </w:rPr>
        <w:t xml:space="preserve"> </w:t>
      </w:r>
      <w:r w:rsidRPr="00EC20A0">
        <w:rPr>
          <w:b/>
        </w:rPr>
        <w:t>[or</w:t>
      </w:r>
      <w:r w:rsidRPr="00EC20A0">
        <w:rPr>
          <w:b/>
          <w:spacing w:val="-2"/>
        </w:rPr>
        <w:t xml:space="preserve"> </w:t>
      </w:r>
      <w:r w:rsidRPr="00EC20A0">
        <w:rPr>
          <w:b/>
        </w:rPr>
        <w:t>date of</w:t>
      </w:r>
      <w:r w:rsidRPr="00EC20A0">
        <w:rPr>
          <w:b/>
          <w:spacing w:val="-4"/>
        </w:rPr>
        <w:t xml:space="preserve"> </w:t>
      </w:r>
      <w:r w:rsidRPr="00EC20A0">
        <w:rPr>
          <w:b/>
        </w:rPr>
        <w:t>prior-year</w:t>
      </w:r>
      <w:r w:rsidRPr="00EC20A0">
        <w:rPr>
          <w:b/>
          <w:spacing w:val="-5"/>
        </w:rPr>
        <w:t xml:space="preserve"> </w:t>
      </w:r>
      <w:r w:rsidRPr="00EC20A0">
        <w:rPr>
          <w:b/>
        </w:rPr>
        <w:t>audited</w:t>
      </w:r>
      <w:r w:rsidRPr="00EC20A0">
        <w:rPr>
          <w:b/>
          <w:spacing w:val="-4"/>
        </w:rPr>
        <w:t xml:space="preserve"> </w:t>
      </w:r>
      <w:r w:rsidRPr="00EC20A0">
        <w:rPr>
          <w:b/>
        </w:rPr>
        <w:t>financial</w:t>
      </w:r>
      <w:r w:rsidRPr="00EC20A0">
        <w:rPr>
          <w:b/>
          <w:spacing w:val="-4"/>
        </w:rPr>
        <w:t xml:space="preserve"> </w:t>
      </w:r>
      <w:r w:rsidRPr="00EC20A0">
        <w:rPr>
          <w:b/>
        </w:rPr>
        <w:t>statements]</w:t>
      </w:r>
      <w:r w:rsidRPr="00EC20A0">
        <w:rPr>
          <w:b/>
          <w:spacing w:val="-4"/>
        </w:rPr>
        <w:t xml:space="preserve"> </w:t>
      </w:r>
      <w:r w:rsidRPr="00EC20A0">
        <w:t>have</w:t>
      </w:r>
      <w:r w:rsidRPr="00EC20A0">
        <w:rPr>
          <w:spacing w:val="-4"/>
        </w:rPr>
        <w:t xml:space="preserve"> </w:t>
      </w:r>
      <w:r w:rsidRPr="00EC20A0">
        <w:t>been</w:t>
      </w:r>
      <w:r w:rsidRPr="00EC20A0">
        <w:rPr>
          <w:spacing w:val="-4"/>
        </w:rPr>
        <w:t xml:space="preserve"> </w:t>
      </w:r>
      <w:r w:rsidRPr="00EC20A0">
        <w:t>resolved</w:t>
      </w:r>
      <w:r w:rsidRPr="00EC20A0">
        <w:rPr>
          <w:spacing w:val="-4"/>
        </w:rPr>
        <w:t xml:space="preserve"> </w:t>
      </w:r>
      <w:r w:rsidRPr="00EC20A0">
        <w:rPr>
          <w:b/>
        </w:rPr>
        <w:t>OR</w:t>
      </w:r>
      <w:r w:rsidRPr="00EC20A0">
        <w:rPr>
          <w:b/>
          <w:spacing w:val="-5"/>
        </w:rPr>
        <w:t xml:space="preserve"> </w:t>
      </w:r>
      <w:r w:rsidRPr="00EC20A0">
        <w:rPr>
          <w:b/>
        </w:rPr>
        <w:t>[indicate</w:t>
      </w:r>
      <w:r w:rsidRPr="00EC20A0">
        <w:rPr>
          <w:b/>
          <w:spacing w:val="-4"/>
        </w:rPr>
        <w:t xml:space="preserve"> </w:t>
      </w:r>
      <w:r w:rsidRPr="00EC20A0">
        <w:rPr>
          <w:b/>
        </w:rPr>
        <w:t xml:space="preserve">specifically any that have not been resolved] </w:t>
      </w:r>
      <w:r w:rsidRPr="00EC20A0">
        <w:t xml:space="preserve">as of September 30, 20X2 </w:t>
      </w:r>
      <w:r w:rsidRPr="00EC20A0">
        <w:rPr>
          <w:b/>
        </w:rPr>
        <w:t>[or date of latest audited financial statements]</w:t>
      </w:r>
      <w:r w:rsidRPr="00EC20A0">
        <w:t>.</w:t>
      </w:r>
    </w:p>
    <w:p w14:paraId="24D61D7F" w14:textId="77777777" w:rsidR="00245300" w:rsidRPr="00EC20A0" w:rsidRDefault="00F17249">
      <w:pPr>
        <w:spacing w:before="240"/>
        <w:ind w:left="561" w:right="381" w:hanging="1"/>
      </w:pPr>
      <w:r w:rsidRPr="00EC20A0">
        <w:rPr>
          <w:i/>
        </w:rPr>
        <w:t xml:space="preserve">If there were no significant deficiencies or material weaknesses: </w:t>
      </w:r>
      <w:r w:rsidRPr="00EC20A0">
        <w:t>During the audit of the financial</w:t>
      </w:r>
      <w:r w:rsidRPr="00EC20A0">
        <w:rPr>
          <w:spacing w:val="-4"/>
        </w:rPr>
        <w:t xml:space="preserve"> </w:t>
      </w:r>
      <w:r w:rsidRPr="00EC20A0">
        <w:t>statements</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year</w:t>
      </w:r>
      <w:r w:rsidRPr="00EC20A0">
        <w:rPr>
          <w:spacing w:val="-3"/>
        </w:rPr>
        <w:t xml:space="preserve"> </w:t>
      </w:r>
      <w:r w:rsidRPr="00EC20A0">
        <w:t>ended</w:t>
      </w:r>
      <w:r w:rsidRPr="00EC20A0">
        <w:rPr>
          <w:spacing w:val="-3"/>
        </w:rPr>
        <w:t xml:space="preserve"> </w:t>
      </w:r>
      <w:r w:rsidRPr="00EC20A0">
        <w:t>September</w:t>
      </w:r>
      <w:r w:rsidRPr="00EC20A0">
        <w:rPr>
          <w:spacing w:val="-2"/>
        </w:rPr>
        <w:t xml:space="preserve"> </w:t>
      </w:r>
      <w:r w:rsidRPr="00EC20A0">
        <w:t>30,</w:t>
      </w:r>
      <w:r w:rsidRPr="00EC20A0">
        <w:rPr>
          <w:spacing w:val="-3"/>
        </w:rPr>
        <w:t xml:space="preserve"> </w:t>
      </w:r>
      <w:r w:rsidRPr="00EC20A0">
        <w:t>20X1</w:t>
      </w:r>
      <w:r w:rsidRPr="00EC20A0">
        <w:rPr>
          <w:spacing w:val="-3"/>
        </w:rPr>
        <w:t xml:space="preserve"> </w:t>
      </w:r>
      <w:r w:rsidRPr="00EC20A0">
        <w:rPr>
          <w:b/>
        </w:rPr>
        <w:t>[or</w:t>
      </w:r>
      <w:r w:rsidRPr="00EC20A0">
        <w:rPr>
          <w:b/>
          <w:spacing w:val="-4"/>
        </w:rPr>
        <w:t xml:space="preserve"> </w:t>
      </w:r>
      <w:r w:rsidRPr="00EC20A0">
        <w:rPr>
          <w:b/>
        </w:rPr>
        <w:t>date</w:t>
      </w:r>
      <w:r w:rsidRPr="00EC20A0">
        <w:rPr>
          <w:b/>
          <w:spacing w:val="-3"/>
        </w:rPr>
        <w:t xml:space="preserve"> </w:t>
      </w:r>
      <w:r w:rsidRPr="00EC20A0">
        <w:rPr>
          <w:b/>
        </w:rPr>
        <w:t>of</w:t>
      </w:r>
      <w:r w:rsidRPr="00EC20A0">
        <w:rPr>
          <w:b/>
          <w:spacing w:val="-3"/>
        </w:rPr>
        <w:t xml:space="preserve"> </w:t>
      </w:r>
      <w:r w:rsidRPr="00EC20A0">
        <w:rPr>
          <w:b/>
        </w:rPr>
        <w:t>prior-year</w:t>
      </w:r>
      <w:r w:rsidRPr="00EC20A0">
        <w:rPr>
          <w:b/>
          <w:spacing w:val="-4"/>
        </w:rPr>
        <w:t xml:space="preserve"> </w:t>
      </w:r>
      <w:r w:rsidRPr="00EC20A0">
        <w:rPr>
          <w:b/>
        </w:rPr>
        <w:t>audited financial statements]</w:t>
      </w:r>
      <w:r w:rsidRPr="00EC20A0">
        <w:t xml:space="preserve">, </w:t>
      </w:r>
      <w:r w:rsidRPr="00EC20A0">
        <w:rPr>
          <w:b/>
        </w:rPr>
        <w:t xml:space="preserve">[auditor] </w:t>
      </w:r>
      <w:r w:rsidRPr="00EC20A0">
        <w:t>did not communicate any significant deficiencies or material weaknesses to us.</w:t>
      </w:r>
    </w:p>
    <w:p w14:paraId="24D61D80" w14:textId="77777777" w:rsidR="00245300" w:rsidRPr="00EC20A0" w:rsidRDefault="00F17249">
      <w:pPr>
        <w:pStyle w:val="ListParagraph"/>
        <w:numPr>
          <w:ilvl w:val="0"/>
          <w:numId w:val="69"/>
        </w:numPr>
        <w:tabs>
          <w:tab w:val="left" w:pos="561"/>
        </w:tabs>
        <w:ind w:left="561" w:right="604"/>
      </w:pPr>
      <w:r w:rsidRPr="00EC20A0">
        <w:t xml:space="preserve">We have </w:t>
      </w:r>
      <w:r w:rsidRPr="00EC20A0">
        <w:t>identified to you all previous audits, attestation engagements, and other studies that</w:t>
      </w:r>
      <w:r w:rsidRPr="00EC20A0">
        <w:rPr>
          <w:spacing w:val="-3"/>
        </w:rPr>
        <w:t xml:space="preserve"> </w:t>
      </w:r>
      <w:r w:rsidRPr="00EC20A0">
        <w:t>relate</w:t>
      </w:r>
      <w:r w:rsidRPr="00EC20A0">
        <w:rPr>
          <w:spacing w:val="-3"/>
        </w:rPr>
        <w:t xml:space="preserve"> </w:t>
      </w:r>
      <w:r w:rsidRPr="00EC20A0">
        <w:t>to</w:t>
      </w:r>
      <w:r w:rsidRPr="00EC20A0">
        <w:rPr>
          <w:spacing w:val="-4"/>
        </w:rPr>
        <w:t xml:space="preserve"> </w:t>
      </w:r>
      <w:r w:rsidRPr="00EC20A0">
        <w:t>the</w:t>
      </w:r>
      <w:r w:rsidRPr="00EC20A0">
        <w:rPr>
          <w:spacing w:val="-3"/>
        </w:rPr>
        <w:t xml:space="preserve"> </w:t>
      </w:r>
      <w:r w:rsidRPr="00EC20A0">
        <w:t>objectives</w:t>
      </w:r>
      <w:r w:rsidRPr="00EC20A0">
        <w:rPr>
          <w:spacing w:val="-3"/>
        </w:rPr>
        <w:t xml:space="preserve"> </w:t>
      </w:r>
      <w:r w:rsidRPr="00EC20A0">
        <w:t>of</w:t>
      </w:r>
      <w:r w:rsidRPr="00EC20A0">
        <w:rPr>
          <w:spacing w:val="-3"/>
        </w:rPr>
        <w:t xml:space="preserve"> </w:t>
      </w:r>
      <w:r w:rsidRPr="00EC20A0">
        <w:t>this</w:t>
      </w:r>
      <w:r w:rsidRPr="00EC20A0">
        <w:rPr>
          <w:spacing w:val="-3"/>
        </w:rPr>
        <w:t xml:space="preserve"> </w:t>
      </w:r>
      <w:r w:rsidRPr="00EC20A0">
        <w:t>audit,</w:t>
      </w:r>
      <w:r w:rsidRPr="00EC20A0">
        <w:rPr>
          <w:spacing w:val="-3"/>
        </w:rPr>
        <w:t xml:space="preserve"> </w:t>
      </w:r>
      <w:r w:rsidRPr="00EC20A0">
        <w:t>including</w:t>
      </w:r>
      <w:r w:rsidRPr="00EC20A0">
        <w:rPr>
          <w:spacing w:val="-4"/>
        </w:rPr>
        <w:t xml:space="preserve"> </w:t>
      </w:r>
      <w:r w:rsidRPr="00EC20A0">
        <w:t>whether</w:t>
      </w:r>
      <w:r w:rsidRPr="00EC20A0">
        <w:rPr>
          <w:spacing w:val="-3"/>
        </w:rPr>
        <w:t xml:space="preserve"> </w:t>
      </w:r>
      <w:r w:rsidRPr="00EC20A0">
        <w:t>related</w:t>
      </w:r>
      <w:r w:rsidRPr="00EC20A0">
        <w:rPr>
          <w:spacing w:val="-3"/>
        </w:rPr>
        <w:t xml:space="preserve"> </w:t>
      </w:r>
      <w:r w:rsidRPr="00EC20A0">
        <w:t>recommendations</w:t>
      </w:r>
      <w:r w:rsidRPr="00EC20A0">
        <w:rPr>
          <w:spacing w:val="-3"/>
        </w:rPr>
        <w:t xml:space="preserve"> </w:t>
      </w:r>
      <w:r w:rsidRPr="00EC20A0">
        <w:t>have been implemented.</w:t>
      </w:r>
    </w:p>
    <w:p w14:paraId="24D61D81" w14:textId="77777777" w:rsidR="00245300" w:rsidRPr="00EC20A0" w:rsidRDefault="00F17249">
      <w:pPr>
        <w:pStyle w:val="ListParagraph"/>
        <w:numPr>
          <w:ilvl w:val="0"/>
          <w:numId w:val="69"/>
        </w:numPr>
        <w:tabs>
          <w:tab w:val="left" w:pos="560"/>
        </w:tabs>
        <w:ind w:right="524"/>
        <w:rPr>
          <w:b/>
        </w:rPr>
      </w:pPr>
      <w:r w:rsidRPr="00EC20A0">
        <w:t>There have been no changes to internal control over financial reporting subsequent to September</w:t>
      </w:r>
      <w:r w:rsidRPr="00EC20A0">
        <w:rPr>
          <w:spacing w:val="-3"/>
        </w:rPr>
        <w:t xml:space="preserve"> </w:t>
      </w:r>
      <w:r w:rsidRPr="00EC20A0">
        <w:t>30,</w:t>
      </w:r>
      <w:r w:rsidRPr="00EC20A0">
        <w:rPr>
          <w:spacing w:val="-4"/>
        </w:rPr>
        <w:t xml:space="preserve"> </w:t>
      </w:r>
      <w:r w:rsidRPr="00EC20A0">
        <w:t>20X2</w:t>
      </w:r>
      <w:r w:rsidRPr="00EC20A0">
        <w:rPr>
          <w:spacing w:val="-4"/>
        </w:rPr>
        <w:t xml:space="preserve"> </w:t>
      </w:r>
      <w:r w:rsidRPr="00EC20A0">
        <w:rPr>
          <w:b/>
        </w:rPr>
        <w:t>[or</w:t>
      </w:r>
      <w:r w:rsidRPr="00EC20A0">
        <w:rPr>
          <w:b/>
          <w:spacing w:val="-5"/>
        </w:rPr>
        <w:t xml:space="preserve"> </w:t>
      </w:r>
      <w:r w:rsidRPr="00EC20A0">
        <w:rPr>
          <w:b/>
        </w:rPr>
        <w:t>date</w:t>
      </w:r>
      <w:r w:rsidRPr="00EC20A0">
        <w:rPr>
          <w:b/>
          <w:spacing w:val="-4"/>
        </w:rPr>
        <w:t xml:space="preserve"> </w:t>
      </w:r>
      <w:r w:rsidRPr="00EC20A0">
        <w:rPr>
          <w:b/>
        </w:rPr>
        <w:t>of</w:t>
      </w:r>
      <w:r w:rsidRPr="00EC20A0">
        <w:rPr>
          <w:b/>
          <w:spacing w:val="-4"/>
        </w:rPr>
        <w:t xml:space="preserve"> </w:t>
      </w:r>
      <w:r w:rsidRPr="00EC20A0">
        <w:rPr>
          <w:b/>
        </w:rPr>
        <w:t>latest</w:t>
      </w:r>
      <w:r w:rsidRPr="00EC20A0">
        <w:rPr>
          <w:b/>
          <w:spacing w:val="-4"/>
        </w:rPr>
        <w:t xml:space="preserve"> </w:t>
      </w:r>
      <w:r w:rsidRPr="00EC20A0">
        <w:rPr>
          <w:b/>
        </w:rPr>
        <w:t>audited</w:t>
      </w:r>
      <w:r w:rsidRPr="00EC20A0">
        <w:rPr>
          <w:b/>
          <w:spacing w:val="-4"/>
        </w:rPr>
        <w:t xml:space="preserve"> </w:t>
      </w:r>
      <w:r w:rsidRPr="00EC20A0">
        <w:rPr>
          <w:b/>
        </w:rPr>
        <w:t>financial</w:t>
      </w:r>
      <w:r w:rsidRPr="00EC20A0">
        <w:rPr>
          <w:b/>
          <w:spacing w:val="-4"/>
        </w:rPr>
        <w:t xml:space="preserve"> </w:t>
      </w:r>
      <w:r w:rsidRPr="00EC20A0">
        <w:rPr>
          <w:b/>
        </w:rPr>
        <w:t>statements]</w:t>
      </w:r>
      <w:r w:rsidRPr="00EC20A0">
        <w:t>,</w:t>
      </w:r>
      <w:r w:rsidRPr="00EC20A0">
        <w:rPr>
          <w:spacing w:val="-4"/>
        </w:rPr>
        <w:t xml:space="preserve"> </w:t>
      </w:r>
      <w:r w:rsidRPr="00EC20A0">
        <w:t>or</w:t>
      </w:r>
      <w:r w:rsidRPr="00EC20A0">
        <w:rPr>
          <w:spacing w:val="-6"/>
        </w:rPr>
        <w:t xml:space="preserve"> </w:t>
      </w:r>
      <w:r w:rsidRPr="00EC20A0">
        <w:t>other</w:t>
      </w:r>
      <w:r w:rsidRPr="00EC20A0">
        <w:rPr>
          <w:spacing w:val="-4"/>
        </w:rPr>
        <w:t xml:space="preserve"> </w:t>
      </w:r>
      <w:r w:rsidRPr="00EC20A0">
        <w:t xml:space="preserve">conditions that might significantly affect internal control over financial reporting. </w:t>
      </w:r>
      <w:r w:rsidRPr="00EC20A0">
        <w:rPr>
          <w:b/>
        </w:rPr>
        <w:t xml:space="preserve">[If there were changes, describe them, including any </w:t>
      </w:r>
      <w:r w:rsidRPr="00EC20A0">
        <w:rPr>
          <w:b/>
        </w:rPr>
        <w:t>corrective actions taken with regard to any significant deficiencies or material weaknesses.]</w:t>
      </w:r>
    </w:p>
    <w:p w14:paraId="24D61D82" w14:textId="77777777" w:rsidR="00245300" w:rsidRPr="00EC20A0" w:rsidRDefault="00F17249">
      <w:pPr>
        <w:spacing w:before="240"/>
        <w:ind w:left="200"/>
        <w:rPr>
          <w:b/>
        </w:rPr>
      </w:pPr>
      <w:r w:rsidRPr="00EC20A0">
        <w:rPr>
          <w:b/>
          <w:spacing w:val="-4"/>
          <w:u w:val="thick"/>
        </w:rPr>
        <w:t>Fraud</w:t>
      </w:r>
    </w:p>
    <w:p w14:paraId="24D61D83" w14:textId="77777777" w:rsidR="00245300" w:rsidRPr="00EC20A0" w:rsidRDefault="00F17249">
      <w:pPr>
        <w:pStyle w:val="ListParagraph"/>
        <w:numPr>
          <w:ilvl w:val="0"/>
          <w:numId w:val="69"/>
        </w:numPr>
        <w:tabs>
          <w:tab w:val="left" w:pos="559"/>
        </w:tabs>
        <w:spacing w:before="239"/>
        <w:ind w:left="559" w:right="642"/>
      </w:pPr>
      <w:r w:rsidRPr="00EC20A0">
        <w:t>We</w:t>
      </w:r>
      <w:r w:rsidRPr="00EC20A0">
        <w:rPr>
          <w:spacing w:val="-4"/>
        </w:rPr>
        <w:t xml:space="preserve"> </w:t>
      </w:r>
      <w:r w:rsidRPr="00EC20A0">
        <w:t>acknowledge</w:t>
      </w:r>
      <w:r w:rsidRPr="00EC20A0">
        <w:rPr>
          <w:spacing w:val="-4"/>
        </w:rPr>
        <w:t xml:space="preserve"> </w:t>
      </w:r>
      <w:r w:rsidRPr="00EC20A0">
        <w:t>our</w:t>
      </w:r>
      <w:r w:rsidRPr="00EC20A0">
        <w:rPr>
          <w:spacing w:val="-4"/>
        </w:rPr>
        <w:t xml:space="preserve"> </w:t>
      </w:r>
      <w:r w:rsidRPr="00EC20A0">
        <w:t>responsibility</w:t>
      </w:r>
      <w:r w:rsidRPr="00EC20A0">
        <w:rPr>
          <w:spacing w:val="-4"/>
        </w:rPr>
        <w:t xml:space="preserve"> </w:t>
      </w:r>
      <w:r w:rsidRPr="00EC20A0">
        <w:t>for</w:t>
      </w:r>
      <w:r w:rsidRPr="00EC20A0">
        <w:rPr>
          <w:spacing w:val="-4"/>
        </w:rPr>
        <w:t xml:space="preserve"> </w:t>
      </w:r>
      <w:r w:rsidRPr="00EC20A0">
        <w:t>designing,</w:t>
      </w:r>
      <w:r w:rsidRPr="00EC20A0">
        <w:rPr>
          <w:spacing w:val="-4"/>
        </w:rPr>
        <w:t xml:space="preserve"> </w:t>
      </w:r>
      <w:r w:rsidRPr="00EC20A0">
        <w:t>implementing,</w:t>
      </w:r>
      <w:r w:rsidRPr="00EC20A0">
        <w:rPr>
          <w:spacing w:val="-4"/>
        </w:rPr>
        <w:t xml:space="preserve"> </w:t>
      </w:r>
      <w:r w:rsidRPr="00EC20A0">
        <w:t>and</w:t>
      </w:r>
      <w:r w:rsidRPr="00EC20A0">
        <w:rPr>
          <w:spacing w:val="-4"/>
        </w:rPr>
        <w:t xml:space="preserve"> </w:t>
      </w:r>
      <w:r w:rsidRPr="00EC20A0">
        <w:t>maintaining</w:t>
      </w:r>
      <w:r w:rsidRPr="00EC20A0">
        <w:rPr>
          <w:spacing w:val="-4"/>
        </w:rPr>
        <w:t xml:space="preserve"> </w:t>
      </w:r>
      <w:r w:rsidRPr="00EC20A0">
        <w:t>effective internal control to prevent and detect fraud.</w:t>
      </w:r>
    </w:p>
    <w:p w14:paraId="24D61D84" w14:textId="77777777" w:rsidR="00245300" w:rsidRPr="00EC20A0" w:rsidRDefault="00F17249">
      <w:pPr>
        <w:pStyle w:val="ListParagraph"/>
        <w:numPr>
          <w:ilvl w:val="0"/>
          <w:numId w:val="69"/>
        </w:numPr>
        <w:tabs>
          <w:tab w:val="left" w:pos="558"/>
          <w:tab w:val="left" w:pos="560"/>
        </w:tabs>
        <w:spacing w:before="241"/>
        <w:ind w:right="703" w:hanging="361"/>
      </w:pPr>
      <w:r w:rsidRPr="00EC20A0">
        <w:t>We</w:t>
      </w:r>
      <w:r w:rsidRPr="00EC20A0">
        <w:rPr>
          <w:spacing w:val="-4"/>
        </w:rPr>
        <w:t xml:space="preserve"> </w:t>
      </w:r>
      <w:r w:rsidRPr="00EC20A0">
        <w:t>have</w:t>
      </w:r>
      <w:r w:rsidRPr="00EC20A0">
        <w:rPr>
          <w:spacing w:val="-4"/>
        </w:rPr>
        <w:t xml:space="preserve"> </w:t>
      </w:r>
      <w:r w:rsidRPr="00EC20A0">
        <w:t>fulfilled</w:t>
      </w:r>
      <w:r w:rsidRPr="00EC20A0">
        <w:rPr>
          <w:spacing w:val="-4"/>
        </w:rPr>
        <w:t xml:space="preserve"> </w:t>
      </w:r>
      <w:r w:rsidRPr="00EC20A0">
        <w:t>our</w:t>
      </w:r>
      <w:r w:rsidRPr="00EC20A0">
        <w:rPr>
          <w:spacing w:val="-4"/>
        </w:rPr>
        <w:t xml:space="preserve"> </w:t>
      </w:r>
      <w:r w:rsidRPr="00EC20A0">
        <w:t>responsibility</w:t>
      </w:r>
      <w:r w:rsidRPr="00EC20A0">
        <w:rPr>
          <w:spacing w:val="-4"/>
        </w:rPr>
        <w:t xml:space="preserve"> </w:t>
      </w:r>
      <w:r w:rsidRPr="00EC20A0">
        <w:t>for</w:t>
      </w:r>
      <w:r w:rsidRPr="00EC20A0">
        <w:rPr>
          <w:spacing w:val="-4"/>
        </w:rPr>
        <w:t xml:space="preserve"> </w:t>
      </w:r>
      <w:r w:rsidRPr="00EC20A0">
        <w:t>designing,</w:t>
      </w:r>
      <w:r w:rsidRPr="00EC20A0">
        <w:rPr>
          <w:spacing w:val="-5"/>
        </w:rPr>
        <w:t xml:space="preserve"> </w:t>
      </w:r>
      <w:r w:rsidRPr="00EC20A0">
        <w:t>implementing,</w:t>
      </w:r>
      <w:r w:rsidRPr="00EC20A0">
        <w:rPr>
          <w:spacing w:val="-4"/>
        </w:rPr>
        <w:t xml:space="preserve"> </w:t>
      </w:r>
      <w:r w:rsidRPr="00EC20A0">
        <w:t>and</w:t>
      </w:r>
      <w:r w:rsidRPr="00EC20A0">
        <w:rPr>
          <w:spacing w:val="-4"/>
        </w:rPr>
        <w:t xml:space="preserve"> </w:t>
      </w:r>
      <w:r w:rsidRPr="00EC20A0">
        <w:t>maintaining</w:t>
      </w:r>
      <w:r w:rsidRPr="00EC20A0">
        <w:rPr>
          <w:spacing w:val="-4"/>
        </w:rPr>
        <w:t xml:space="preserve"> </w:t>
      </w:r>
      <w:r w:rsidRPr="00EC20A0">
        <w:t>effective internal control to prevent or detect fraud.</w:t>
      </w:r>
    </w:p>
    <w:p w14:paraId="24D61D85" w14:textId="77777777" w:rsidR="00245300" w:rsidRPr="00EC20A0" w:rsidRDefault="00F17249">
      <w:pPr>
        <w:pStyle w:val="ListParagraph"/>
        <w:numPr>
          <w:ilvl w:val="0"/>
          <w:numId w:val="69"/>
        </w:numPr>
        <w:tabs>
          <w:tab w:val="left" w:pos="558"/>
          <w:tab w:val="left" w:pos="560"/>
        </w:tabs>
        <w:ind w:right="355" w:hanging="361"/>
      </w:pPr>
      <w:r w:rsidRPr="00EC20A0">
        <w:t>We</w:t>
      </w:r>
      <w:r w:rsidRPr="00EC20A0">
        <w:rPr>
          <w:spacing w:val="-3"/>
        </w:rPr>
        <w:t xml:space="preserve"> </w:t>
      </w:r>
      <w:r w:rsidRPr="00EC20A0">
        <w:t>have</w:t>
      </w:r>
      <w:r w:rsidRPr="00EC20A0">
        <w:rPr>
          <w:spacing w:val="-3"/>
        </w:rPr>
        <w:t xml:space="preserve"> </w:t>
      </w:r>
      <w:r w:rsidRPr="00EC20A0">
        <w:rPr>
          <w:b/>
        </w:rPr>
        <w:t>[no</w:t>
      </w:r>
      <w:r w:rsidRPr="00EC20A0">
        <w:rPr>
          <w:b/>
          <w:spacing w:val="-3"/>
        </w:rPr>
        <w:t xml:space="preserve"> </w:t>
      </w:r>
      <w:r w:rsidRPr="00EC20A0">
        <w:rPr>
          <w:b/>
        </w:rPr>
        <w:t>knowledge</w:t>
      </w:r>
      <w:r w:rsidRPr="00EC20A0">
        <w:rPr>
          <w:b/>
          <w:spacing w:val="-3"/>
        </w:rPr>
        <w:t xml:space="preserve"> </w:t>
      </w:r>
      <w:r w:rsidRPr="00EC20A0">
        <w:rPr>
          <w:b/>
        </w:rPr>
        <w:t>of</w:t>
      </w:r>
      <w:r w:rsidRPr="00EC20A0">
        <w:rPr>
          <w:b/>
          <w:spacing w:val="-3"/>
        </w:rPr>
        <w:t xml:space="preserve"> </w:t>
      </w:r>
      <w:r w:rsidRPr="00EC20A0">
        <w:rPr>
          <w:b/>
        </w:rPr>
        <w:t>any]</w:t>
      </w:r>
      <w:r w:rsidRPr="00EC20A0">
        <w:rPr>
          <w:b/>
          <w:spacing w:val="-3"/>
        </w:rPr>
        <w:t xml:space="preserve"> </w:t>
      </w:r>
      <w:r w:rsidRPr="00EC20A0">
        <w:rPr>
          <w:b/>
        </w:rPr>
        <w:t>OR</w:t>
      </w:r>
      <w:r w:rsidRPr="00EC20A0">
        <w:rPr>
          <w:b/>
          <w:spacing w:val="-4"/>
        </w:rPr>
        <w:t xml:space="preserve"> </w:t>
      </w:r>
      <w:r w:rsidRPr="00EC20A0">
        <w:rPr>
          <w:b/>
        </w:rPr>
        <w:t>[disclosed</w:t>
      </w:r>
      <w:r w:rsidRPr="00EC20A0">
        <w:rPr>
          <w:b/>
          <w:spacing w:val="-3"/>
        </w:rPr>
        <w:t xml:space="preserve"> </w:t>
      </w:r>
      <w:r w:rsidRPr="00EC20A0">
        <w:rPr>
          <w:b/>
        </w:rPr>
        <w:t>to</w:t>
      </w:r>
      <w:r w:rsidRPr="00EC20A0">
        <w:rPr>
          <w:b/>
          <w:spacing w:val="-3"/>
        </w:rPr>
        <w:t xml:space="preserve"> </w:t>
      </w:r>
      <w:r w:rsidRPr="00EC20A0">
        <w:rPr>
          <w:b/>
        </w:rPr>
        <w:t>you</w:t>
      </w:r>
      <w:r w:rsidRPr="00EC20A0">
        <w:rPr>
          <w:b/>
          <w:spacing w:val="-3"/>
        </w:rPr>
        <w:t xml:space="preserve"> </w:t>
      </w:r>
      <w:r w:rsidRPr="00EC20A0">
        <w:rPr>
          <w:b/>
        </w:rPr>
        <w:t>all</w:t>
      </w:r>
      <w:r w:rsidRPr="00EC20A0">
        <w:rPr>
          <w:b/>
          <w:spacing w:val="-4"/>
        </w:rPr>
        <w:t xml:space="preserve"> </w:t>
      </w:r>
      <w:r w:rsidRPr="00EC20A0">
        <w:rPr>
          <w:b/>
        </w:rPr>
        <w:t>information</w:t>
      </w:r>
      <w:r w:rsidRPr="00EC20A0">
        <w:rPr>
          <w:b/>
          <w:spacing w:val="-3"/>
        </w:rPr>
        <w:t xml:space="preserve"> </w:t>
      </w:r>
      <w:r w:rsidRPr="00EC20A0">
        <w:rPr>
          <w:b/>
        </w:rPr>
        <w:t>that</w:t>
      </w:r>
      <w:r w:rsidRPr="00EC20A0">
        <w:rPr>
          <w:b/>
          <w:spacing w:val="-3"/>
        </w:rPr>
        <w:t xml:space="preserve"> </w:t>
      </w:r>
      <w:r w:rsidRPr="00EC20A0">
        <w:rPr>
          <w:b/>
        </w:rPr>
        <w:t>we</w:t>
      </w:r>
      <w:r w:rsidRPr="00EC20A0">
        <w:rPr>
          <w:b/>
          <w:spacing w:val="-3"/>
        </w:rPr>
        <w:t xml:space="preserve"> </w:t>
      </w:r>
      <w:r w:rsidRPr="00EC20A0">
        <w:rPr>
          <w:b/>
        </w:rPr>
        <w:t>are</w:t>
      </w:r>
      <w:r w:rsidRPr="00EC20A0">
        <w:rPr>
          <w:b/>
          <w:spacing w:val="-2"/>
        </w:rPr>
        <w:t xml:space="preserve"> </w:t>
      </w:r>
      <w:r w:rsidRPr="00EC20A0">
        <w:rPr>
          <w:b/>
        </w:rPr>
        <w:t xml:space="preserve">aware of regarding] </w:t>
      </w:r>
      <w:r w:rsidRPr="00EC20A0">
        <w:t xml:space="preserve">fraud or suspected fraud that </w:t>
      </w:r>
      <w:r w:rsidRPr="00EC20A0">
        <w:t>affects the entity and involves (1) management,</w:t>
      </w:r>
    </w:p>
    <w:p w14:paraId="24D61D86" w14:textId="77777777" w:rsidR="00245300" w:rsidRPr="00EC20A0" w:rsidRDefault="00F17249">
      <w:pPr>
        <w:ind w:left="560" w:right="345"/>
        <w:rPr>
          <w:b/>
        </w:rPr>
      </w:pPr>
      <w:r w:rsidRPr="00EC20A0">
        <w:t>(2) employees who have significant roles in internal control over financial reporting, or (3) others</w:t>
      </w:r>
      <w:r w:rsidRPr="00EC20A0">
        <w:rPr>
          <w:spacing w:val="-3"/>
        </w:rPr>
        <w:t xml:space="preserve"> </w:t>
      </w:r>
      <w:r w:rsidRPr="00EC20A0">
        <w:t>when</w:t>
      </w:r>
      <w:r w:rsidRPr="00EC20A0">
        <w:rPr>
          <w:spacing w:val="-3"/>
        </w:rPr>
        <w:t xml:space="preserve"> </w:t>
      </w:r>
      <w:r w:rsidRPr="00EC20A0">
        <w:t>the</w:t>
      </w:r>
      <w:r w:rsidRPr="00EC20A0">
        <w:rPr>
          <w:spacing w:val="-3"/>
        </w:rPr>
        <w:t xml:space="preserve"> </w:t>
      </w:r>
      <w:r w:rsidRPr="00EC20A0">
        <w:t>fraud</w:t>
      </w:r>
      <w:r w:rsidRPr="00EC20A0">
        <w:rPr>
          <w:spacing w:val="-3"/>
        </w:rPr>
        <w:t xml:space="preserve"> </w:t>
      </w:r>
      <w:r w:rsidRPr="00EC20A0">
        <w:t>could</w:t>
      </w:r>
      <w:r w:rsidRPr="00EC20A0">
        <w:rPr>
          <w:spacing w:val="-3"/>
        </w:rPr>
        <w:t xml:space="preserve"> </w:t>
      </w:r>
      <w:r w:rsidRPr="00EC20A0">
        <w:t>have</w:t>
      </w:r>
      <w:r w:rsidRPr="00EC20A0">
        <w:rPr>
          <w:spacing w:val="-3"/>
        </w:rPr>
        <w:t xml:space="preserve"> </w:t>
      </w:r>
      <w:r w:rsidRPr="00EC20A0">
        <w:t>a</w:t>
      </w:r>
      <w:r w:rsidRPr="00EC20A0">
        <w:rPr>
          <w:spacing w:val="-4"/>
        </w:rPr>
        <w:t xml:space="preserve"> </w:t>
      </w:r>
      <w:r w:rsidRPr="00EC20A0">
        <w:t>material</w:t>
      </w:r>
      <w:r w:rsidRPr="00EC20A0">
        <w:rPr>
          <w:spacing w:val="-3"/>
        </w:rPr>
        <w:t xml:space="preserve"> </w:t>
      </w:r>
      <w:r w:rsidRPr="00EC20A0">
        <w:t>effect</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rPr>
          <w:b/>
        </w:rPr>
        <w:t>[If</w:t>
      </w:r>
      <w:r w:rsidRPr="00EC20A0">
        <w:rPr>
          <w:b/>
          <w:spacing w:val="-3"/>
        </w:rPr>
        <w:t xml:space="preserve"> </w:t>
      </w:r>
      <w:r w:rsidRPr="00EC20A0">
        <w:rPr>
          <w:b/>
        </w:rPr>
        <w:t>there</w:t>
      </w:r>
      <w:r w:rsidRPr="00EC20A0">
        <w:rPr>
          <w:b/>
          <w:spacing w:val="-3"/>
        </w:rPr>
        <w:t xml:space="preserve"> </w:t>
      </w:r>
      <w:r w:rsidRPr="00EC20A0">
        <w:rPr>
          <w:b/>
        </w:rPr>
        <w:t>is knowledge of any instances, including those that do not result in a material misstatement to the financial statements, describe them.]</w:t>
      </w:r>
    </w:p>
    <w:p w14:paraId="24D61D87" w14:textId="77777777" w:rsidR="00245300" w:rsidRPr="00EC20A0" w:rsidRDefault="00F17249">
      <w:pPr>
        <w:pStyle w:val="ListParagraph"/>
        <w:numPr>
          <w:ilvl w:val="0"/>
          <w:numId w:val="69"/>
        </w:numPr>
        <w:tabs>
          <w:tab w:val="left" w:pos="560"/>
        </w:tabs>
        <w:ind w:right="355"/>
        <w:jc w:val="both"/>
      </w:pPr>
      <w:r w:rsidRPr="00EC20A0">
        <w:t>We</w:t>
      </w:r>
      <w:r w:rsidRPr="00EC20A0">
        <w:rPr>
          <w:spacing w:val="-3"/>
        </w:rPr>
        <w:t xml:space="preserve"> </w:t>
      </w:r>
      <w:r w:rsidRPr="00EC20A0">
        <w:t>have</w:t>
      </w:r>
      <w:r w:rsidRPr="00EC20A0">
        <w:rPr>
          <w:spacing w:val="-3"/>
        </w:rPr>
        <w:t xml:space="preserve"> </w:t>
      </w:r>
      <w:r w:rsidRPr="00EC20A0">
        <w:rPr>
          <w:b/>
        </w:rPr>
        <w:t>[no</w:t>
      </w:r>
      <w:r w:rsidRPr="00EC20A0">
        <w:rPr>
          <w:b/>
          <w:spacing w:val="-3"/>
        </w:rPr>
        <w:t xml:space="preserve"> </w:t>
      </w:r>
      <w:r w:rsidRPr="00EC20A0">
        <w:rPr>
          <w:b/>
        </w:rPr>
        <w:t>knowledge</w:t>
      </w:r>
      <w:r w:rsidRPr="00EC20A0">
        <w:rPr>
          <w:b/>
          <w:spacing w:val="-3"/>
        </w:rPr>
        <w:t xml:space="preserve"> </w:t>
      </w:r>
      <w:r w:rsidRPr="00EC20A0">
        <w:rPr>
          <w:b/>
        </w:rPr>
        <w:t>of</w:t>
      </w:r>
      <w:r w:rsidRPr="00EC20A0">
        <w:rPr>
          <w:b/>
          <w:spacing w:val="-3"/>
        </w:rPr>
        <w:t xml:space="preserve"> </w:t>
      </w:r>
      <w:r w:rsidRPr="00EC20A0">
        <w:rPr>
          <w:b/>
        </w:rPr>
        <w:t>any]</w:t>
      </w:r>
      <w:r w:rsidRPr="00EC20A0">
        <w:rPr>
          <w:b/>
          <w:spacing w:val="-3"/>
        </w:rPr>
        <w:t xml:space="preserve"> </w:t>
      </w:r>
      <w:r w:rsidRPr="00EC20A0">
        <w:rPr>
          <w:b/>
        </w:rPr>
        <w:t>OR</w:t>
      </w:r>
      <w:r w:rsidRPr="00EC20A0">
        <w:rPr>
          <w:b/>
          <w:spacing w:val="-4"/>
        </w:rPr>
        <w:t xml:space="preserve"> </w:t>
      </w:r>
      <w:r w:rsidRPr="00EC20A0">
        <w:rPr>
          <w:b/>
        </w:rPr>
        <w:t>[disclosed</w:t>
      </w:r>
      <w:r w:rsidRPr="00EC20A0">
        <w:rPr>
          <w:b/>
          <w:spacing w:val="-3"/>
        </w:rPr>
        <w:t xml:space="preserve"> </w:t>
      </w:r>
      <w:r w:rsidRPr="00EC20A0">
        <w:rPr>
          <w:b/>
        </w:rPr>
        <w:t>to</w:t>
      </w:r>
      <w:r w:rsidRPr="00EC20A0">
        <w:rPr>
          <w:b/>
          <w:spacing w:val="-3"/>
        </w:rPr>
        <w:t xml:space="preserve"> </w:t>
      </w:r>
      <w:r w:rsidRPr="00EC20A0">
        <w:rPr>
          <w:b/>
        </w:rPr>
        <w:t>you</w:t>
      </w:r>
      <w:r w:rsidRPr="00EC20A0">
        <w:rPr>
          <w:b/>
          <w:spacing w:val="-3"/>
        </w:rPr>
        <w:t xml:space="preserve"> </w:t>
      </w:r>
      <w:r w:rsidRPr="00EC20A0">
        <w:rPr>
          <w:b/>
        </w:rPr>
        <w:t>all</w:t>
      </w:r>
      <w:r w:rsidRPr="00EC20A0">
        <w:rPr>
          <w:b/>
          <w:spacing w:val="-4"/>
        </w:rPr>
        <w:t xml:space="preserve"> </w:t>
      </w:r>
      <w:r w:rsidRPr="00EC20A0">
        <w:rPr>
          <w:b/>
        </w:rPr>
        <w:t>information</w:t>
      </w:r>
      <w:r w:rsidRPr="00EC20A0">
        <w:rPr>
          <w:b/>
          <w:spacing w:val="-3"/>
        </w:rPr>
        <w:t xml:space="preserve"> </w:t>
      </w:r>
      <w:r w:rsidRPr="00EC20A0">
        <w:rPr>
          <w:b/>
        </w:rPr>
        <w:t>that</w:t>
      </w:r>
      <w:r w:rsidRPr="00EC20A0">
        <w:rPr>
          <w:b/>
          <w:spacing w:val="-3"/>
        </w:rPr>
        <w:t xml:space="preserve"> </w:t>
      </w:r>
      <w:r w:rsidRPr="00EC20A0">
        <w:rPr>
          <w:b/>
        </w:rPr>
        <w:t>we</w:t>
      </w:r>
      <w:r w:rsidRPr="00EC20A0">
        <w:rPr>
          <w:b/>
          <w:spacing w:val="-3"/>
        </w:rPr>
        <w:t xml:space="preserve"> </w:t>
      </w:r>
      <w:r w:rsidRPr="00EC20A0">
        <w:rPr>
          <w:b/>
        </w:rPr>
        <w:t>are</w:t>
      </w:r>
      <w:r w:rsidRPr="00EC20A0">
        <w:rPr>
          <w:b/>
          <w:spacing w:val="-2"/>
        </w:rPr>
        <w:t xml:space="preserve"> </w:t>
      </w:r>
      <w:r w:rsidRPr="00EC20A0">
        <w:rPr>
          <w:b/>
        </w:rPr>
        <w:t>aware of</w:t>
      </w:r>
      <w:r w:rsidRPr="00EC20A0">
        <w:rPr>
          <w:b/>
          <w:spacing w:val="-1"/>
        </w:rPr>
        <w:t xml:space="preserve"> </w:t>
      </w:r>
      <w:r w:rsidRPr="00EC20A0">
        <w:rPr>
          <w:b/>
        </w:rPr>
        <w:t>regarding]</w:t>
      </w:r>
      <w:r w:rsidRPr="00EC20A0">
        <w:rPr>
          <w:b/>
          <w:spacing w:val="-1"/>
        </w:rPr>
        <w:t xml:space="preserve"> </w:t>
      </w:r>
      <w:r w:rsidRPr="00EC20A0">
        <w:t>fraud</w:t>
      </w:r>
      <w:r w:rsidRPr="00EC20A0">
        <w:rPr>
          <w:spacing w:val="-1"/>
        </w:rPr>
        <w:t xml:space="preserve"> </w:t>
      </w:r>
      <w:r w:rsidRPr="00EC20A0">
        <w:t>or</w:t>
      </w:r>
      <w:r w:rsidRPr="00EC20A0">
        <w:rPr>
          <w:spacing w:val="-1"/>
        </w:rPr>
        <w:t xml:space="preserve"> </w:t>
      </w:r>
      <w:r w:rsidRPr="00EC20A0">
        <w:t>suspected</w:t>
      </w:r>
      <w:r w:rsidRPr="00EC20A0">
        <w:rPr>
          <w:spacing w:val="-1"/>
        </w:rPr>
        <w:t xml:space="preserve"> </w:t>
      </w:r>
      <w:r w:rsidRPr="00EC20A0">
        <w:t>fraud</w:t>
      </w:r>
      <w:r w:rsidRPr="00EC20A0">
        <w:rPr>
          <w:spacing w:val="-1"/>
        </w:rPr>
        <w:t xml:space="preserve"> </w:t>
      </w:r>
      <w:r w:rsidRPr="00EC20A0">
        <w:t>that</w:t>
      </w:r>
      <w:r w:rsidRPr="00EC20A0">
        <w:rPr>
          <w:spacing w:val="-1"/>
        </w:rPr>
        <w:t xml:space="preserve"> </w:t>
      </w:r>
      <w:r w:rsidRPr="00EC20A0">
        <w:t>resulted</w:t>
      </w:r>
      <w:r w:rsidRPr="00EC20A0">
        <w:rPr>
          <w:spacing w:val="-1"/>
        </w:rPr>
        <w:t xml:space="preserve"> </w:t>
      </w:r>
      <w:r w:rsidRPr="00EC20A0">
        <w:t>in</w:t>
      </w:r>
      <w:r w:rsidRPr="00EC20A0">
        <w:rPr>
          <w:spacing w:val="-1"/>
        </w:rPr>
        <w:t xml:space="preserve"> </w:t>
      </w:r>
      <w:r w:rsidRPr="00EC20A0">
        <w:t>a</w:t>
      </w:r>
      <w:r w:rsidRPr="00EC20A0">
        <w:rPr>
          <w:spacing w:val="-1"/>
        </w:rPr>
        <w:t xml:space="preserve"> </w:t>
      </w:r>
      <w:r w:rsidRPr="00EC20A0">
        <w:t>material</w:t>
      </w:r>
      <w:r w:rsidRPr="00EC20A0">
        <w:rPr>
          <w:spacing w:val="-1"/>
        </w:rPr>
        <w:t xml:space="preserve"> </w:t>
      </w:r>
      <w:r w:rsidRPr="00EC20A0">
        <w:t>misstatement</w:t>
      </w:r>
      <w:r w:rsidRPr="00EC20A0">
        <w:rPr>
          <w:spacing w:val="-1"/>
        </w:rPr>
        <w:t xml:space="preserve"> </w:t>
      </w:r>
      <w:r w:rsidRPr="00EC20A0">
        <w:t>to</w:t>
      </w:r>
      <w:r w:rsidRPr="00EC20A0">
        <w:rPr>
          <w:spacing w:val="-1"/>
        </w:rPr>
        <w:t xml:space="preserve"> </w:t>
      </w:r>
      <w:r w:rsidRPr="00EC20A0">
        <w:rPr>
          <w:b/>
        </w:rPr>
        <w:t xml:space="preserve">[Entity’s] </w:t>
      </w:r>
      <w:r w:rsidRPr="00EC20A0">
        <w:t>financial statements or RSI.</w:t>
      </w:r>
    </w:p>
    <w:p w14:paraId="24D61D88" w14:textId="77777777" w:rsidR="00245300" w:rsidRPr="00EC20A0" w:rsidRDefault="00F17249">
      <w:pPr>
        <w:pStyle w:val="ListParagraph"/>
        <w:numPr>
          <w:ilvl w:val="0"/>
          <w:numId w:val="69"/>
        </w:numPr>
        <w:tabs>
          <w:tab w:val="left" w:pos="560"/>
        </w:tabs>
        <w:ind w:right="355"/>
      </w:pPr>
      <w:r w:rsidRPr="00EC20A0">
        <w:t>We</w:t>
      </w:r>
      <w:r w:rsidRPr="00EC20A0">
        <w:rPr>
          <w:spacing w:val="-3"/>
        </w:rPr>
        <w:t xml:space="preserve"> </w:t>
      </w:r>
      <w:r w:rsidRPr="00EC20A0">
        <w:t>have</w:t>
      </w:r>
      <w:r w:rsidRPr="00EC20A0">
        <w:rPr>
          <w:spacing w:val="-3"/>
        </w:rPr>
        <w:t xml:space="preserve"> </w:t>
      </w:r>
      <w:r w:rsidRPr="00EC20A0">
        <w:rPr>
          <w:b/>
        </w:rPr>
        <w:t>[no</w:t>
      </w:r>
      <w:r w:rsidRPr="00EC20A0">
        <w:rPr>
          <w:b/>
          <w:spacing w:val="-3"/>
        </w:rPr>
        <w:t xml:space="preserve"> </w:t>
      </w:r>
      <w:r w:rsidRPr="00EC20A0">
        <w:rPr>
          <w:b/>
        </w:rPr>
        <w:t>knowledge</w:t>
      </w:r>
      <w:r w:rsidRPr="00EC20A0">
        <w:rPr>
          <w:b/>
          <w:spacing w:val="-3"/>
        </w:rPr>
        <w:t xml:space="preserve"> </w:t>
      </w:r>
      <w:r w:rsidRPr="00EC20A0">
        <w:rPr>
          <w:b/>
        </w:rPr>
        <w:t>of</w:t>
      </w:r>
      <w:r w:rsidRPr="00EC20A0">
        <w:rPr>
          <w:b/>
          <w:spacing w:val="-3"/>
        </w:rPr>
        <w:t xml:space="preserve"> </w:t>
      </w:r>
      <w:r w:rsidRPr="00EC20A0">
        <w:rPr>
          <w:b/>
        </w:rPr>
        <w:t>any]</w:t>
      </w:r>
      <w:r w:rsidRPr="00EC20A0">
        <w:rPr>
          <w:b/>
          <w:spacing w:val="-3"/>
        </w:rPr>
        <w:t xml:space="preserve"> </w:t>
      </w:r>
      <w:r w:rsidRPr="00EC20A0">
        <w:rPr>
          <w:b/>
        </w:rPr>
        <w:t>OR</w:t>
      </w:r>
      <w:r w:rsidRPr="00EC20A0">
        <w:rPr>
          <w:b/>
          <w:spacing w:val="-4"/>
        </w:rPr>
        <w:t xml:space="preserve"> </w:t>
      </w:r>
      <w:r w:rsidRPr="00EC20A0">
        <w:rPr>
          <w:b/>
        </w:rPr>
        <w:t>[disclosed</w:t>
      </w:r>
      <w:r w:rsidRPr="00EC20A0">
        <w:rPr>
          <w:b/>
          <w:spacing w:val="-3"/>
        </w:rPr>
        <w:t xml:space="preserve"> </w:t>
      </w:r>
      <w:r w:rsidRPr="00EC20A0">
        <w:rPr>
          <w:b/>
        </w:rPr>
        <w:t>to</w:t>
      </w:r>
      <w:r w:rsidRPr="00EC20A0">
        <w:rPr>
          <w:b/>
          <w:spacing w:val="-3"/>
        </w:rPr>
        <w:t xml:space="preserve"> </w:t>
      </w:r>
      <w:r w:rsidRPr="00EC20A0">
        <w:rPr>
          <w:b/>
        </w:rPr>
        <w:t>you</w:t>
      </w:r>
      <w:r w:rsidRPr="00EC20A0">
        <w:rPr>
          <w:b/>
          <w:spacing w:val="-3"/>
        </w:rPr>
        <w:t xml:space="preserve"> </w:t>
      </w:r>
      <w:r w:rsidRPr="00EC20A0">
        <w:rPr>
          <w:b/>
        </w:rPr>
        <w:t>all</w:t>
      </w:r>
      <w:r w:rsidRPr="00EC20A0">
        <w:rPr>
          <w:b/>
          <w:spacing w:val="-4"/>
        </w:rPr>
        <w:t xml:space="preserve"> </w:t>
      </w:r>
      <w:r w:rsidRPr="00EC20A0">
        <w:rPr>
          <w:b/>
        </w:rPr>
        <w:t>information</w:t>
      </w:r>
      <w:r w:rsidRPr="00EC20A0">
        <w:rPr>
          <w:b/>
          <w:spacing w:val="-3"/>
        </w:rPr>
        <w:t xml:space="preserve"> </w:t>
      </w:r>
      <w:r w:rsidRPr="00EC20A0">
        <w:rPr>
          <w:b/>
        </w:rPr>
        <w:t>that</w:t>
      </w:r>
      <w:r w:rsidRPr="00EC20A0">
        <w:rPr>
          <w:b/>
          <w:spacing w:val="-3"/>
        </w:rPr>
        <w:t xml:space="preserve"> </w:t>
      </w:r>
      <w:r w:rsidRPr="00EC20A0">
        <w:rPr>
          <w:b/>
        </w:rPr>
        <w:t>we</w:t>
      </w:r>
      <w:r w:rsidRPr="00EC20A0">
        <w:rPr>
          <w:b/>
          <w:spacing w:val="-3"/>
        </w:rPr>
        <w:t xml:space="preserve"> </w:t>
      </w:r>
      <w:r w:rsidRPr="00EC20A0">
        <w:rPr>
          <w:b/>
        </w:rPr>
        <w:t>are</w:t>
      </w:r>
      <w:r w:rsidRPr="00EC20A0">
        <w:rPr>
          <w:b/>
          <w:spacing w:val="-2"/>
        </w:rPr>
        <w:t xml:space="preserve"> </w:t>
      </w:r>
      <w:r w:rsidRPr="00EC20A0">
        <w:rPr>
          <w:b/>
        </w:rPr>
        <w:t xml:space="preserve">aware of regarding] </w:t>
      </w:r>
      <w:r w:rsidRPr="00EC20A0">
        <w:t>allegations of fraud or suspected fraud affecting the financial statements communicated by employees, former employees, or others.</w:t>
      </w:r>
    </w:p>
    <w:p w14:paraId="24D61D89" w14:textId="77777777" w:rsidR="00245300" w:rsidRPr="00EC20A0" w:rsidRDefault="00F17249">
      <w:pPr>
        <w:pStyle w:val="ListParagraph"/>
        <w:numPr>
          <w:ilvl w:val="0"/>
          <w:numId w:val="69"/>
        </w:numPr>
        <w:tabs>
          <w:tab w:val="left" w:pos="560"/>
        </w:tabs>
        <w:spacing w:before="241"/>
        <w:ind w:right="1215"/>
      </w:pPr>
      <w:r w:rsidRPr="00EC20A0">
        <w:t>We</w:t>
      </w:r>
      <w:r w:rsidRPr="00EC20A0">
        <w:rPr>
          <w:spacing w:val="-3"/>
        </w:rPr>
        <w:t xml:space="preserve"> </w:t>
      </w:r>
      <w:r w:rsidRPr="00EC20A0">
        <w:t>have</w:t>
      </w:r>
      <w:r w:rsidRPr="00EC20A0">
        <w:rPr>
          <w:spacing w:val="-3"/>
        </w:rPr>
        <w:t xml:space="preserve"> </w:t>
      </w:r>
      <w:r w:rsidRPr="00EC20A0">
        <w:t>disclosed</w:t>
      </w:r>
      <w:r w:rsidRPr="00EC20A0">
        <w:rPr>
          <w:spacing w:val="-3"/>
        </w:rPr>
        <w:t xml:space="preserve"> </w:t>
      </w:r>
      <w:r w:rsidRPr="00EC20A0">
        <w:t>to</w:t>
      </w:r>
      <w:r w:rsidRPr="00EC20A0">
        <w:rPr>
          <w:spacing w:val="-4"/>
        </w:rPr>
        <w:t xml:space="preserve"> </w:t>
      </w:r>
      <w:r w:rsidRPr="00EC20A0">
        <w:t>you</w:t>
      </w:r>
      <w:r w:rsidRPr="00EC20A0">
        <w:rPr>
          <w:spacing w:val="-3"/>
        </w:rPr>
        <w:t xml:space="preserve"> </w:t>
      </w:r>
      <w:r w:rsidRPr="00EC20A0">
        <w:t>the</w:t>
      </w:r>
      <w:r w:rsidRPr="00EC20A0">
        <w:rPr>
          <w:spacing w:val="-3"/>
        </w:rPr>
        <w:t xml:space="preserve"> </w:t>
      </w:r>
      <w:r w:rsidRPr="00EC20A0">
        <w:t>results</w:t>
      </w:r>
      <w:r w:rsidRPr="00EC20A0">
        <w:rPr>
          <w:spacing w:val="-4"/>
        </w:rPr>
        <w:t xml:space="preserve"> </w:t>
      </w:r>
      <w:r w:rsidRPr="00EC20A0">
        <w:t>of</w:t>
      </w:r>
      <w:r w:rsidRPr="00EC20A0">
        <w:rPr>
          <w:spacing w:val="-3"/>
        </w:rPr>
        <w:t xml:space="preserve"> </w:t>
      </w:r>
      <w:r w:rsidRPr="00EC20A0">
        <w:t>our</w:t>
      </w:r>
      <w:r w:rsidRPr="00EC20A0">
        <w:rPr>
          <w:spacing w:val="-3"/>
        </w:rPr>
        <w:t xml:space="preserve"> </w:t>
      </w:r>
      <w:r w:rsidRPr="00EC20A0">
        <w:t>assessment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risk</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financial statements may be materially misstated as a result of fraud.</w:t>
      </w:r>
    </w:p>
    <w:p w14:paraId="24D61D8A" w14:textId="77777777" w:rsidR="00245300" w:rsidRPr="00EC20A0" w:rsidRDefault="00F17249">
      <w:pPr>
        <w:pStyle w:val="ListParagraph"/>
        <w:numPr>
          <w:ilvl w:val="0"/>
          <w:numId w:val="69"/>
        </w:numPr>
        <w:tabs>
          <w:tab w:val="left" w:pos="560"/>
        </w:tabs>
        <w:spacing w:before="239"/>
        <w:ind w:right="641"/>
      </w:pPr>
      <w:r w:rsidRPr="00EC20A0">
        <w:t xml:space="preserve">We have no knowledge of any officer of </w:t>
      </w:r>
      <w:r w:rsidRPr="00EC20A0">
        <w:rPr>
          <w:b/>
        </w:rPr>
        <w:t>[Entity]</w:t>
      </w:r>
      <w:r w:rsidRPr="00EC20A0">
        <w:t>, or any other person acting under the direction</w:t>
      </w:r>
      <w:r w:rsidRPr="00EC20A0">
        <w:rPr>
          <w:spacing w:val="-4"/>
        </w:rPr>
        <w:t xml:space="preserve"> </w:t>
      </w:r>
      <w:r w:rsidRPr="00EC20A0">
        <w:t>thereof,</w:t>
      </w:r>
      <w:r w:rsidRPr="00EC20A0">
        <w:rPr>
          <w:spacing w:val="-4"/>
        </w:rPr>
        <w:t xml:space="preserve"> </w:t>
      </w:r>
      <w:r w:rsidRPr="00EC20A0">
        <w:t>having</w:t>
      </w:r>
      <w:r w:rsidRPr="00EC20A0">
        <w:rPr>
          <w:spacing w:val="-5"/>
        </w:rPr>
        <w:t xml:space="preserve"> </w:t>
      </w:r>
      <w:r w:rsidRPr="00EC20A0">
        <w:t>taken</w:t>
      </w:r>
      <w:r w:rsidRPr="00EC20A0">
        <w:rPr>
          <w:spacing w:val="-4"/>
        </w:rPr>
        <w:t xml:space="preserve"> </w:t>
      </w:r>
      <w:r w:rsidRPr="00EC20A0">
        <w:t>any</w:t>
      </w:r>
      <w:r w:rsidRPr="00EC20A0">
        <w:rPr>
          <w:spacing w:val="-4"/>
        </w:rPr>
        <w:t xml:space="preserve"> </w:t>
      </w:r>
      <w:r w:rsidRPr="00EC20A0">
        <w:t>action</w:t>
      </w:r>
      <w:r w:rsidRPr="00EC20A0">
        <w:rPr>
          <w:spacing w:val="-4"/>
        </w:rPr>
        <w:t xml:space="preserve"> </w:t>
      </w:r>
      <w:r w:rsidRPr="00EC20A0">
        <w:t>to</w:t>
      </w:r>
      <w:r w:rsidRPr="00EC20A0">
        <w:rPr>
          <w:spacing w:val="-4"/>
        </w:rPr>
        <w:t xml:space="preserve"> </w:t>
      </w:r>
      <w:r w:rsidRPr="00EC20A0">
        <w:t>fraudulently</w:t>
      </w:r>
      <w:r w:rsidRPr="00EC20A0">
        <w:rPr>
          <w:spacing w:val="-4"/>
        </w:rPr>
        <w:t xml:space="preserve"> </w:t>
      </w:r>
      <w:r w:rsidRPr="00EC20A0">
        <w:t>influence,</w:t>
      </w:r>
      <w:r w:rsidRPr="00EC20A0">
        <w:rPr>
          <w:spacing w:val="-4"/>
        </w:rPr>
        <w:t xml:space="preserve"> </w:t>
      </w:r>
      <w:r w:rsidRPr="00EC20A0">
        <w:t>coerce,</w:t>
      </w:r>
      <w:r w:rsidRPr="00EC20A0">
        <w:rPr>
          <w:spacing w:val="-4"/>
        </w:rPr>
        <w:t xml:space="preserve"> </w:t>
      </w:r>
      <w:r w:rsidRPr="00EC20A0">
        <w:t>manipulate,</w:t>
      </w:r>
      <w:r w:rsidRPr="00EC20A0">
        <w:rPr>
          <w:spacing w:val="-4"/>
        </w:rPr>
        <w:t xml:space="preserve"> </w:t>
      </w:r>
      <w:r w:rsidRPr="00EC20A0">
        <w:t>or mislead you during your audit.</w:t>
      </w:r>
    </w:p>
    <w:p w14:paraId="24D61D8B" w14:textId="77777777" w:rsidR="00245300" w:rsidRPr="00EC20A0" w:rsidRDefault="00245300">
      <w:pPr>
        <w:sectPr w:rsidR="00245300" w:rsidRPr="00EC20A0">
          <w:pgSz w:w="12240" w:h="15840"/>
          <w:pgMar w:top="1340" w:right="1100" w:bottom="940" w:left="1240" w:header="721" w:footer="757" w:gutter="0"/>
          <w:cols w:space="720"/>
        </w:sectPr>
      </w:pPr>
    </w:p>
    <w:p w14:paraId="7D8B052A" w14:textId="40627EAD" w:rsidR="00316F0D" w:rsidRDefault="00F17249" w:rsidP="00316F0D">
      <w:pPr>
        <w:spacing w:before="121"/>
        <w:ind w:left="200"/>
        <w:rPr>
          <w:b/>
          <w:spacing w:val="-2"/>
          <w:u w:val="thick"/>
        </w:rPr>
      </w:pPr>
      <w:r w:rsidRPr="00EC20A0">
        <w:rPr>
          <w:b/>
          <w:u w:val="thick"/>
        </w:rPr>
        <w:t>Compliance</w:t>
      </w:r>
      <w:r w:rsidRPr="00EC20A0">
        <w:rPr>
          <w:b/>
          <w:spacing w:val="-8"/>
          <w:u w:val="thick"/>
        </w:rPr>
        <w:t xml:space="preserve"> </w:t>
      </w:r>
      <w:r w:rsidRPr="00EC20A0">
        <w:rPr>
          <w:b/>
          <w:u w:val="thick"/>
        </w:rPr>
        <w:t>of</w:t>
      </w:r>
      <w:r w:rsidRPr="00EC20A0">
        <w:rPr>
          <w:b/>
          <w:spacing w:val="-8"/>
          <w:u w:val="thick"/>
        </w:rPr>
        <w:t xml:space="preserve"> </w:t>
      </w:r>
      <w:r w:rsidRPr="00EC20A0">
        <w:rPr>
          <w:b/>
          <w:u w:val="thick"/>
        </w:rPr>
        <w:t>Systems</w:t>
      </w:r>
      <w:r w:rsidRPr="00EC20A0">
        <w:rPr>
          <w:b/>
          <w:spacing w:val="-8"/>
          <w:u w:val="thick"/>
        </w:rPr>
        <w:t xml:space="preserve"> </w:t>
      </w:r>
      <w:r w:rsidRPr="00EC20A0">
        <w:rPr>
          <w:b/>
          <w:u w:val="thick"/>
        </w:rPr>
        <w:t>with</w:t>
      </w:r>
      <w:r w:rsidRPr="00EC20A0">
        <w:rPr>
          <w:b/>
          <w:spacing w:val="-7"/>
          <w:u w:val="thick"/>
        </w:rPr>
        <w:t xml:space="preserve"> </w:t>
      </w:r>
      <w:r w:rsidRPr="00EC20A0">
        <w:rPr>
          <w:b/>
          <w:spacing w:val="-2"/>
          <w:u w:val="thick"/>
        </w:rPr>
        <w:t>FFMIA</w:t>
      </w:r>
    </w:p>
    <w:p w14:paraId="7F27572D" w14:textId="77777777" w:rsidR="00316F0D" w:rsidRPr="00316F0D" w:rsidRDefault="00316F0D" w:rsidP="00316F0D">
      <w:pPr>
        <w:spacing w:before="121"/>
        <w:ind w:left="200"/>
        <w:rPr>
          <w:b/>
          <w:spacing w:val="-2"/>
          <w:u w:val="thick"/>
        </w:rPr>
      </w:pPr>
    </w:p>
    <w:p w14:paraId="24D61D8D" w14:textId="77777777" w:rsidR="00245300" w:rsidRPr="00316F0D" w:rsidRDefault="00F17249" w:rsidP="00316F0D">
      <w:pPr>
        <w:ind w:left="180"/>
        <w:rPr>
          <w:b/>
          <w:bCs/>
        </w:rPr>
      </w:pPr>
      <w:r w:rsidRPr="00316F0D">
        <w:rPr>
          <w:b/>
          <w:bCs/>
        </w:rPr>
        <w:t>[If a CFO Act agency, which is subject to the Federal Financial Management Improvement Act of 1996 (FFMIA).]</w:t>
      </w:r>
    </w:p>
    <w:p w14:paraId="24D61D8E" w14:textId="77777777" w:rsidR="00245300" w:rsidRPr="00EC20A0" w:rsidRDefault="00F17249">
      <w:pPr>
        <w:pStyle w:val="ListParagraph"/>
        <w:numPr>
          <w:ilvl w:val="0"/>
          <w:numId w:val="69"/>
        </w:numPr>
        <w:tabs>
          <w:tab w:val="left" w:pos="559"/>
        </w:tabs>
        <w:spacing w:before="239"/>
        <w:ind w:left="559" w:right="641"/>
      </w:pPr>
      <w:r w:rsidRPr="00EC20A0">
        <w:t>We</w:t>
      </w:r>
      <w:r w:rsidRPr="00EC20A0">
        <w:rPr>
          <w:spacing w:val="-5"/>
        </w:rPr>
        <w:t xml:space="preserve"> </w:t>
      </w:r>
      <w:r w:rsidRPr="00EC20A0">
        <w:t>are</w:t>
      </w:r>
      <w:r w:rsidRPr="00EC20A0">
        <w:rPr>
          <w:spacing w:val="-5"/>
        </w:rPr>
        <w:t xml:space="preserve"> </w:t>
      </w:r>
      <w:r w:rsidRPr="00EC20A0">
        <w:t>responsible</w:t>
      </w:r>
      <w:r w:rsidRPr="00EC20A0">
        <w:rPr>
          <w:spacing w:val="-5"/>
        </w:rPr>
        <w:t xml:space="preserve"> </w:t>
      </w:r>
      <w:r w:rsidRPr="00EC20A0">
        <w:t>for</w:t>
      </w:r>
      <w:r w:rsidRPr="00EC20A0">
        <w:rPr>
          <w:spacing w:val="-7"/>
        </w:rPr>
        <w:t xml:space="preserve"> </w:t>
      </w:r>
      <w:r w:rsidRPr="00EC20A0">
        <w:t>implementing</w:t>
      </w:r>
      <w:r w:rsidRPr="00EC20A0">
        <w:rPr>
          <w:spacing w:val="-5"/>
        </w:rPr>
        <w:t xml:space="preserve"> </w:t>
      </w:r>
      <w:r w:rsidRPr="00EC20A0">
        <w:t>and</w:t>
      </w:r>
      <w:r w:rsidRPr="00EC20A0">
        <w:rPr>
          <w:spacing w:val="-5"/>
        </w:rPr>
        <w:t xml:space="preserve"> </w:t>
      </w:r>
      <w:r w:rsidRPr="00EC20A0">
        <w:t>maintaining</w:t>
      </w:r>
      <w:r w:rsidRPr="00EC20A0">
        <w:rPr>
          <w:spacing w:val="-5"/>
        </w:rPr>
        <w:t xml:space="preserve"> </w:t>
      </w:r>
      <w:r w:rsidRPr="00EC20A0">
        <w:t>financial</w:t>
      </w:r>
      <w:r w:rsidRPr="00EC20A0">
        <w:rPr>
          <w:spacing w:val="-5"/>
        </w:rPr>
        <w:t xml:space="preserve"> </w:t>
      </w:r>
      <w:r w:rsidRPr="00EC20A0">
        <w:t>management</w:t>
      </w:r>
      <w:r w:rsidRPr="00EC20A0">
        <w:rPr>
          <w:spacing w:val="-5"/>
        </w:rPr>
        <w:t xml:space="preserve"> </w:t>
      </w:r>
      <w:r w:rsidRPr="00EC20A0">
        <w:t>systems</w:t>
      </w:r>
      <w:r w:rsidRPr="00EC20A0">
        <w:rPr>
          <w:spacing w:val="-5"/>
        </w:rPr>
        <w:t xml:space="preserve"> </w:t>
      </w:r>
      <w:r w:rsidRPr="00EC20A0">
        <w:t xml:space="preserve">that comply substantially with federal financial management systems requirements, federal accounting standards (U.S. GAAP), and application of the </w:t>
      </w:r>
      <w:r w:rsidRPr="00EC20A0">
        <w:rPr>
          <w:i/>
        </w:rPr>
        <w:t xml:space="preserve">U.S. Standard General Ledger </w:t>
      </w:r>
      <w:r w:rsidRPr="00EC20A0">
        <w:t>(USSGL) at the transaction level.</w:t>
      </w:r>
    </w:p>
    <w:p w14:paraId="24D61D8F" w14:textId="77777777" w:rsidR="00245300" w:rsidRPr="00EC20A0" w:rsidRDefault="00F17249">
      <w:pPr>
        <w:pStyle w:val="ListParagraph"/>
        <w:numPr>
          <w:ilvl w:val="0"/>
          <w:numId w:val="69"/>
        </w:numPr>
        <w:tabs>
          <w:tab w:val="left" w:pos="559"/>
        </w:tabs>
        <w:ind w:left="559" w:right="595"/>
      </w:pPr>
      <w:r w:rsidRPr="00EC20A0">
        <w:t>We have assessed the financial management systems to determine whether they comply substantially</w:t>
      </w:r>
      <w:r w:rsidRPr="00EC20A0">
        <w:rPr>
          <w:spacing w:val="-6"/>
        </w:rPr>
        <w:t xml:space="preserve"> </w:t>
      </w:r>
      <w:r w:rsidRPr="00EC20A0">
        <w:t>with</w:t>
      </w:r>
      <w:r w:rsidRPr="00EC20A0">
        <w:rPr>
          <w:spacing w:val="-5"/>
        </w:rPr>
        <w:t xml:space="preserve"> </w:t>
      </w:r>
      <w:r w:rsidRPr="00EC20A0">
        <w:t>federal</w:t>
      </w:r>
      <w:r w:rsidRPr="00EC20A0">
        <w:rPr>
          <w:spacing w:val="-6"/>
        </w:rPr>
        <w:t xml:space="preserve"> </w:t>
      </w:r>
      <w:r w:rsidRPr="00EC20A0">
        <w:t>financial</w:t>
      </w:r>
      <w:r w:rsidRPr="00EC20A0">
        <w:rPr>
          <w:spacing w:val="-6"/>
        </w:rPr>
        <w:t xml:space="preserve"> </w:t>
      </w:r>
      <w:r w:rsidRPr="00EC20A0">
        <w:t>management</w:t>
      </w:r>
      <w:r w:rsidRPr="00EC20A0">
        <w:rPr>
          <w:spacing w:val="-5"/>
        </w:rPr>
        <w:t xml:space="preserve"> </w:t>
      </w:r>
      <w:r w:rsidRPr="00EC20A0">
        <w:t>systems</w:t>
      </w:r>
      <w:r w:rsidRPr="00EC20A0">
        <w:rPr>
          <w:spacing w:val="-5"/>
        </w:rPr>
        <w:t xml:space="preserve"> </w:t>
      </w:r>
      <w:r w:rsidRPr="00EC20A0">
        <w:t>requirements,</w:t>
      </w:r>
      <w:r w:rsidRPr="00EC20A0">
        <w:rPr>
          <w:spacing w:val="-5"/>
        </w:rPr>
        <w:t xml:space="preserve"> </w:t>
      </w:r>
      <w:r w:rsidRPr="00EC20A0">
        <w:t>federal</w:t>
      </w:r>
      <w:r w:rsidRPr="00EC20A0">
        <w:rPr>
          <w:spacing w:val="-5"/>
        </w:rPr>
        <w:t xml:space="preserve"> </w:t>
      </w:r>
      <w:r w:rsidRPr="00EC20A0">
        <w:t>accounting standards, and application of the USSGL at the transaction level. Our assessment was based on OMB guidance.</w:t>
      </w:r>
    </w:p>
    <w:p w14:paraId="07B3DF16" w14:textId="0206392F" w:rsidR="00316F0D" w:rsidRDefault="00F17249" w:rsidP="00316F0D">
      <w:pPr>
        <w:pStyle w:val="ListParagraph"/>
        <w:numPr>
          <w:ilvl w:val="0"/>
          <w:numId w:val="69"/>
        </w:numPr>
        <w:tabs>
          <w:tab w:val="left" w:pos="558"/>
          <w:tab w:val="left" w:pos="560"/>
        </w:tabs>
        <w:spacing w:before="241"/>
        <w:ind w:right="687" w:hanging="361"/>
      </w:pPr>
      <w:r w:rsidRPr="00EC20A0">
        <w:rPr>
          <w:b/>
        </w:rPr>
        <w:t xml:space="preserve">[Entity’s] </w:t>
      </w:r>
      <w:r w:rsidRPr="00EC20A0">
        <w:t>financial management systems complied substantially with federal financial management</w:t>
      </w:r>
      <w:r w:rsidRPr="00EC20A0">
        <w:rPr>
          <w:spacing w:val="-4"/>
        </w:rPr>
        <w:t xml:space="preserve"> </w:t>
      </w:r>
      <w:r w:rsidRPr="00EC20A0">
        <w:t>systems</w:t>
      </w:r>
      <w:r w:rsidRPr="00EC20A0">
        <w:rPr>
          <w:spacing w:val="-6"/>
        </w:rPr>
        <w:t xml:space="preserve"> </w:t>
      </w:r>
      <w:r w:rsidRPr="00EC20A0">
        <w:t>requirements,</w:t>
      </w:r>
      <w:r w:rsidRPr="00EC20A0">
        <w:rPr>
          <w:spacing w:val="-6"/>
        </w:rPr>
        <w:t xml:space="preserve"> </w:t>
      </w:r>
      <w:r w:rsidRPr="00EC20A0">
        <w:t>federal</w:t>
      </w:r>
      <w:r w:rsidRPr="00EC20A0">
        <w:rPr>
          <w:spacing w:val="-6"/>
        </w:rPr>
        <w:t xml:space="preserve"> </w:t>
      </w:r>
      <w:r w:rsidRPr="00EC20A0">
        <w:t>accounting</w:t>
      </w:r>
      <w:r w:rsidRPr="00EC20A0">
        <w:rPr>
          <w:spacing w:val="-6"/>
        </w:rPr>
        <w:t xml:space="preserve"> </w:t>
      </w:r>
      <w:r w:rsidRPr="00EC20A0">
        <w:t>standards,</w:t>
      </w:r>
      <w:r w:rsidRPr="00EC20A0">
        <w:rPr>
          <w:spacing w:val="-6"/>
        </w:rPr>
        <w:t xml:space="preserve"> </w:t>
      </w:r>
      <w:r w:rsidRPr="00EC20A0">
        <w:t>and</w:t>
      </w:r>
      <w:r w:rsidRPr="00EC20A0">
        <w:rPr>
          <w:spacing w:val="-6"/>
        </w:rPr>
        <w:t xml:space="preserve"> </w:t>
      </w:r>
      <w:r w:rsidRPr="00EC20A0">
        <w:t>application</w:t>
      </w:r>
      <w:r w:rsidRPr="00EC20A0">
        <w:rPr>
          <w:spacing w:val="-6"/>
        </w:rPr>
        <w:t xml:space="preserve"> </w:t>
      </w:r>
      <w:r w:rsidRPr="00EC20A0">
        <w:t>of</w:t>
      </w:r>
      <w:r w:rsidRPr="00EC20A0">
        <w:rPr>
          <w:spacing w:val="-6"/>
        </w:rPr>
        <w:t xml:space="preserve"> </w:t>
      </w:r>
      <w:r w:rsidRPr="00EC20A0">
        <w:t xml:space="preserve">the USSGL at the transaction level as of </w:t>
      </w:r>
      <w:r w:rsidRPr="00EC20A0">
        <w:rPr>
          <w:b/>
        </w:rPr>
        <w:t>[date of the latest financial statements]</w:t>
      </w:r>
      <w:r w:rsidRPr="00EC20A0">
        <w:t>.</w:t>
      </w:r>
    </w:p>
    <w:p w14:paraId="13B66E34" w14:textId="77777777" w:rsidR="00316F0D" w:rsidRPr="00EC20A0" w:rsidRDefault="00316F0D" w:rsidP="00316F0D">
      <w:pPr>
        <w:pStyle w:val="ListParagraph"/>
        <w:tabs>
          <w:tab w:val="left" w:pos="558"/>
          <w:tab w:val="left" w:pos="560"/>
        </w:tabs>
        <w:spacing w:before="60"/>
        <w:ind w:left="562" w:right="691" w:firstLine="0"/>
      </w:pPr>
    </w:p>
    <w:p w14:paraId="24D61D91" w14:textId="77777777" w:rsidR="00245300" w:rsidRPr="00316F0D" w:rsidRDefault="00F17249" w:rsidP="00316F0D">
      <w:pPr>
        <w:ind w:left="540"/>
        <w:rPr>
          <w:b/>
          <w:bCs/>
        </w:rPr>
      </w:pPr>
      <w:r w:rsidRPr="00316F0D">
        <w:rPr>
          <w:b/>
          <w:bCs/>
        </w:rPr>
        <w:t xml:space="preserve">[If the </w:t>
      </w:r>
      <w:r w:rsidRPr="00316F0D">
        <w:rPr>
          <w:b/>
          <w:bCs/>
        </w:rPr>
        <w:t>financial management systems comply substantially with only one or two of the above elements, modify as follows:]</w:t>
      </w:r>
    </w:p>
    <w:p w14:paraId="24D61D92" w14:textId="77777777" w:rsidR="00245300" w:rsidRDefault="00F17249">
      <w:pPr>
        <w:spacing w:before="241"/>
        <w:ind w:left="560" w:right="337"/>
      </w:pPr>
      <w:r w:rsidRPr="00EC20A0">
        <w:t xml:space="preserve">As of </w:t>
      </w:r>
      <w:r w:rsidRPr="00EC20A0">
        <w:rPr>
          <w:b/>
        </w:rPr>
        <w:t>[date of financial statements]</w:t>
      </w:r>
      <w:r w:rsidRPr="00EC20A0">
        <w:t xml:space="preserve">, </w:t>
      </w:r>
      <w:r w:rsidRPr="00EC20A0">
        <w:rPr>
          <w:b/>
        </w:rPr>
        <w:t xml:space="preserve">[Entity’s] </w:t>
      </w:r>
      <w:r w:rsidRPr="00EC20A0">
        <w:t xml:space="preserve">financial management systems comply substantially with </w:t>
      </w:r>
      <w:r w:rsidRPr="00EC20A0">
        <w:rPr>
          <w:b/>
        </w:rPr>
        <w:t>[specify which of the three elements comply substantially (e.g., federal accounting standards and application of the USSGL at the transaction level)]</w:t>
      </w:r>
      <w:r w:rsidRPr="00EC20A0">
        <w:t xml:space="preserve">, but did not comply substantially with </w:t>
      </w:r>
      <w:r w:rsidRPr="00EC20A0">
        <w:rPr>
          <w:b/>
        </w:rPr>
        <w:t>[specify which of</w:t>
      </w:r>
      <w:r w:rsidRPr="00EC20A0">
        <w:rPr>
          <w:b/>
          <w:spacing w:val="-1"/>
        </w:rPr>
        <w:t xml:space="preserve"> </w:t>
      </w:r>
      <w:r w:rsidRPr="00EC20A0">
        <w:rPr>
          <w:b/>
        </w:rPr>
        <w:t>the three elements do not comply substantially</w:t>
      </w:r>
      <w:r w:rsidRPr="00EC20A0">
        <w:rPr>
          <w:b/>
          <w:spacing w:val="-6"/>
        </w:rPr>
        <w:t xml:space="preserve"> </w:t>
      </w:r>
      <w:r w:rsidRPr="00EC20A0">
        <w:rPr>
          <w:b/>
        </w:rPr>
        <w:t>(e.g.,</w:t>
      </w:r>
      <w:r w:rsidRPr="00EC20A0">
        <w:rPr>
          <w:b/>
          <w:spacing w:val="-6"/>
        </w:rPr>
        <w:t xml:space="preserve"> </w:t>
      </w:r>
      <w:r w:rsidRPr="00EC20A0">
        <w:rPr>
          <w:b/>
        </w:rPr>
        <w:t>federal</w:t>
      </w:r>
      <w:r w:rsidRPr="00EC20A0">
        <w:rPr>
          <w:b/>
          <w:spacing w:val="-6"/>
        </w:rPr>
        <w:t xml:space="preserve"> </w:t>
      </w:r>
      <w:r w:rsidRPr="00EC20A0">
        <w:rPr>
          <w:b/>
        </w:rPr>
        <w:t>financial</w:t>
      </w:r>
      <w:r w:rsidRPr="00EC20A0">
        <w:rPr>
          <w:b/>
          <w:spacing w:val="-6"/>
        </w:rPr>
        <w:t xml:space="preserve"> </w:t>
      </w:r>
      <w:r w:rsidRPr="00EC20A0">
        <w:rPr>
          <w:b/>
        </w:rPr>
        <w:t>management</w:t>
      </w:r>
      <w:r w:rsidRPr="00EC20A0">
        <w:rPr>
          <w:b/>
          <w:spacing w:val="-6"/>
        </w:rPr>
        <w:t xml:space="preserve"> </w:t>
      </w:r>
      <w:r w:rsidRPr="00EC20A0">
        <w:rPr>
          <w:b/>
        </w:rPr>
        <w:t>systems</w:t>
      </w:r>
      <w:r w:rsidRPr="00EC20A0">
        <w:rPr>
          <w:b/>
          <w:spacing w:val="-6"/>
        </w:rPr>
        <w:t xml:space="preserve"> </w:t>
      </w:r>
      <w:r w:rsidRPr="00EC20A0">
        <w:rPr>
          <w:b/>
        </w:rPr>
        <w:t>requirements)]</w:t>
      </w:r>
      <w:r w:rsidRPr="00EC20A0">
        <w:t>,</w:t>
      </w:r>
      <w:r w:rsidRPr="00EC20A0">
        <w:rPr>
          <w:spacing w:val="-6"/>
        </w:rPr>
        <w:t xml:space="preserve"> </w:t>
      </w:r>
      <w:r w:rsidRPr="00EC20A0">
        <w:t>as</w:t>
      </w:r>
      <w:r w:rsidRPr="00EC20A0">
        <w:rPr>
          <w:spacing w:val="-6"/>
        </w:rPr>
        <w:t xml:space="preserve"> </w:t>
      </w:r>
      <w:r w:rsidRPr="00EC20A0">
        <w:t xml:space="preserve">described below </w:t>
      </w:r>
      <w:r w:rsidRPr="00EC20A0">
        <w:rPr>
          <w:b/>
        </w:rPr>
        <w:t>[or in an attachment]</w:t>
      </w:r>
      <w:r w:rsidRPr="00EC20A0">
        <w:t>.</w:t>
      </w:r>
    </w:p>
    <w:p w14:paraId="0AEE4BED" w14:textId="77777777" w:rsidR="00316F0D" w:rsidRPr="00EC20A0" w:rsidRDefault="00316F0D" w:rsidP="00316F0D">
      <w:pPr>
        <w:spacing w:before="60"/>
        <w:ind w:left="562" w:right="331"/>
      </w:pPr>
    </w:p>
    <w:p w14:paraId="24D61D93" w14:textId="77777777" w:rsidR="00245300" w:rsidRPr="00316F0D" w:rsidRDefault="00F17249" w:rsidP="00316F0D">
      <w:pPr>
        <w:ind w:left="540"/>
        <w:rPr>
          <w:b/>
          <w:bCs/>
        </w:rPr>
      </w:pPr>
      <w:r w:rsidRPr="00316F0D">
        <w:rPr>
          <w:b/>
          <w:bCs/>
        </w:rPr>
        <w:t>[If the financial management systems do not comply substantially with any of these three elements, use the following paragraph:]</w:t>
      </w:r>
    </w:p>
    <w:p w14:paraId="24D61D94" w14:textId="77777777" w:rsidR="00245300" w:rsidRDefault="00F17249">
      <w:pPr>
        <w:pStyle w:val="BodyText"/>
        <w:spacing w:before="239"/>
        <w:ind w:left="559" w:right="408"/>
        <w:rPr>
          <w:spacing w:val="-2"/>
        </w:rPr>
      </w:pPr>
      <w:r w:rsidRPr="00EC20A0">
        <w:t xml:space="preserve">As of </w:t>
      </w:r>
      <w:r w:rsidRPr="00EC20A0">
        <w:rPr>
          <w:b/>
        </w:rPr>
        <w:t>[date of financial statements]</w:t>
      </w:r>
      <w:r w:rsidRPr="00EC20A0">
        <w:t xml:space="preserve">, </w:t>
      </w:r>
      <w:r w:rsidRPr="00EC20A0">
        <w:rPr>
          <w:b/>
        </w:rPr>
        <w:t xml:space="preserve">[Entity’s] </w:t>
      </w:r>
      <w:r w:rsidRPr="00EC20A0">
        <w:t>financial management systems do not comply substantially with the federal financial management systems requirements, applicable</w:t>
      </w:r>
      <w:r w:rsidRPr="00EC20A0">
        <w:rPr>
          <w:spacing w:val="-5"/>
        </w:rPr>
        <w:t xml:space="preserve"> </w:t>
      </w:r>
      <w:r w:rsidRPr="00EC20A0">
        <w:t>federal</w:t>
      </w:r>
      <w:r w:rsidRPr="00EC20A0">
        <w:rPr>
          <w:spacing w:val="-4"/>
        </w:rPr>
        <w:t xml:space="preserve"> </w:t>
      </w:r>
      <w:r w:rsidRPr="00EC20A0">
        <w:t>accounting</w:t>
      </w:r>
      <w:r w:rsidRPr="00EC20A0">
        <w:rPr>
          <w:spacing w:val="-4"/>
        </w:rPr>
        <w:t xml:space="preserve"> </w:t>
      </w:r>
      <w:r w:rsidRPr="00EC20A0">
        <w:t>standards,</w:t>
      </w:r>
      <w:r w:rsidRPr="00EC20A0">
        <w:rPr>
          <w:spacing w:val="-4"/>
        </w:rPr>
        <w:t xml:space="preserve"> </w:t>
      </w:r>
      <w:r w:rsidRPr="00EC20A0">
        <w:t>and</w:t>
      </w:r>
      <w:r w:rsidRPr="00EC20A0">
        <w:rPr>
          <w:spacing w:val="-4"/>
        </w:rPr>
        <w:t xml:space="preserve"> </w:t>
      </w:r>
      <w:r w:rsidRPr="00EC20A0">
        <w:t>application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USSGL</w:t>
      </w:r>
      <w:r w:rsidRPr="00EC20A0">
        <w:rPr>
          <w:spacing w:val="-3"/>
        </w:rPr>
        <w:t xml:space="preserve"> </w:t>
      </w:r>
      <w:r w:rsidRPr="00EC20A0">
        <w:t>at</w:t>
      </w:r>
      <w:r w:rsidRPr="00EC20A0">
        <w:rPr>
          <w:spacing w:val="-4"/>
        </w:rPr>
        <w:t xml:space="preserve"> </w:t>
      </w:r>
      <w:r w:rsidRPr="00EC20A0">
        <w:t>the</w:t>
      </w:r>
      <w:r w:rsidRPr="00EC20A0">
        <w:rPr>
          <w:spacing w:val="-4"/>
        </w:rPr>
        <w:t xml:space="preserve"> </w:t>
      </w:r>
      <w:r w:rsidRPr="00EC20A0">
        <w:t xml:space="preserve">transaction </w:t>
      </w:r>
      <w:r w:rsidRPr="00EC20A0">
        <w:rPr>
          <w:spacing w:val="-2"/>
        </w:rPr>
        <w:t>level.</w:t>
      </w:r>
    </w:p>
    <w:p w14:paraId="1DCDA7E7" w14:textId="77777777" w:rsidR="007575FD" w:rsidRPr="00EC20A0" w:rsidRDefault="007575FD" w:rsidP="007575FD">
      <w:pPr>
        <w:pStyle w:val="BodyText"/>
        <w:spacing w:before="60"/>
        <w:ind w:left="562" w:right="403"/>
      </w:pPr>
    </w:p>
    <w:p w14:paraId="24D61D95" w14:textId="77777777" w:rsidR="00245300" w:rsidRPr="007575FD" w:rsidRDefault="00F17249" w:rsidP="007575FD">
      <w:pPr>
        <w:ind w:left="540"/>
        <w:rPr>
          <w:b/>
          <w:bCs/>
        </w:rPr>
      </w:pPr>
      <w:r w:rsidRPr="007575FD">
        <w:rPr>
          <w:b/>
          <w:bCs/>
        </w:rPr>
        <w:t>[If the financial management systems do not comply substantially with one or more of the three elements, the representation should (1) identify the entity or organization responsible for the financial management systems that were found to not comply substantially with any of the three elements; (2) identify all the facts pertaining to the noncompliance, including the nature and extent of the noncompliance and the primary reason or cause of the noncompliance; and (3) indicate whether the remediation plan tha</w:t>
      </w:r>
      <w:r w:rsidRPr="007575FD">
        <w:rPr>
          <w:b/>
          <w:bCs/>
        </w:rPr>
        <w:t>t includes the resources, remedies, and intermediate target dates necessary to bring the entity’s financial management systems into substantial compliance has been provided to the auditor or has not been prepared.]</w:t>
      </w:r>
    </w:p>
    <w:p w14:paraId="24D61D96" w14:textId="77777777" w:rsidR="00245300" w:rsidRPr="00EC20A0" w:rsidRDefault="00F17249">
      <w:pPr>
        <w:spacing w:before="240"/>
        <w:ind w:left="200"/>
        <w:rPr>
          <w:b/>
        </w:rPr>
      </w:pPr>
      <w:r w:rsidRPr="00EC20A0">
        <w:rPr>
          <w:b/>
          <w:u w:val="single"/>
        </w:rPr>
        <w:t>Compliance</w:t>
      </w:r>
      <w:r w:rsidRPr="00EC20A0">
        <w:rPr>
          <w:b/>
          <w:spacing w:val="-10"/>
          <w:u w:val="single"/>
        </w:rPr>
        <w:t xml:space="preserve"> </w:t>
      </w:r>
      <w:r w:rsidRPr="00EC20A0">
        <w:rPr>
          <w:b/>
          <w:u w:val="single"/>
        </w:rPr>
        <w:t>with</w:t>
      </w:r>
      <w:r w:rsidRPr="00EC20A0">
        <w:rPr>
          <w:b/>
          <w:spacing w:val="-9"/>
          <w:u w:val="single"/>
        </w:rPr>
        <w:t xml:space="preserve"> </w:t>
      </w:r>
      <w:r w:rsidRPr="00EC20A0">
        <w:rPr>
          <w:b/>
          <w:u w:val="single"/>
        </w:rPr>
        <w:t>Applicable</w:t>
      </w:r>
      <w:r w:rsidRPr="00EC20A0">
        <w:rPr>
          <w:b/>
          <w:spacing w:val="-9"/>
          <w:u w:val="single"/>
        </w:rPr>
        <w:t xml:space="preserve"> </w:t>
      </w:r>
      <w:r w:rsidRPr="00EC20A0">
        <w:rPr>
          <w:b/>
          <w:u w:val="single"/>
        </w:rPr>
        <w:t>Laws,</w:t>
      </w:r>
      <w:r w:rsidRPr="00EC20A0">
        <w:rPr>
          <w:b/>
          <w:spacing w:val="-9"/>
          <w:u w:val="single"/>
        </w:rPr>
        <w:t xml:space="preserve"> </w:t>
      </w:r>
      <w:r w:rsidRPr="00EC20A0">
        <w:rPr>
          <w:b/>
          <w:u w:val="single"/>
        </w:rPr>
        <w:t>Regulations,</w:t>
      </w:r>
      <w:r w:rsidRPr="00EC20A0">
        <w:rPr>
          <w:b/>
          <w:spacing w:val="-10"/>
          <w:u w:val="single"/>
        </w:rPr>
        <w:t xml:space="preserve"> </w:t>
      </w:r>
      <w:r w:rsidRPr="00EC20A0">
        <w:rPr>
          <w:b/>
          <w:u w:val="single"/>
        </w:rPr>
        <w:t>Contracts,</w:t>
      </w:r>
      <w:r w:rsidRPr="00EC20A0">
        <w:rPr>
          <w:b/>
          <w:spacing w:val="-9"/>
          <w:u w:val="single"/>
        </w:rPr>
        <w:t xml:space="preserve"> </w:t>
      </w:r>
      <w:r w:rsidRPr="00EC20A0">
        <w:rPr>
          <w:b/>
          <w:u w:val="single"/>
        </w:rPr>
        <w:t>and</w:t>
      </w:r>
      <w:r w:rsidRPr="00EC20A0">
        <w:rPr>
          <w:b/>
          <w:spacing w:val="-9"/>
          <w:u w:val="single"/>
        </w:rPr>
        <w:t xml:space="preserve"> </w:t>
      </w:r>
      <w:r w:rsidRPr="00EC20A0">
        <w:rPr>
          <w:b/>
          <w:u w:val="single"/>
        </w:rPr>
        <w:t>Grant</w:t>
      </w:r>
      <w:r w:rsidRPr="00EC20A0">
        <w:rPr>
          <w:b/>
          <w:spacing w:val="-9"/>
          <w:u w:val="single"/>
        </w:rPr>
        <w:t xml:space="preserve"> </w:t>
      </w:r>
      <w:r w:rsidRPr="00EC20A0">
        <w:rPr>
          <w:b/>
          <w:spacing w:val="-2"/>
          <w:u w:val="single"/>
        </w:rPr>
        <w:t>Agreements</w:t>
      </w:r>
    </w:p>
    <w:p w14:paraId="24D61D97" w14:textId="77777777" w:rsidR="00245300" w:rsidRPr="00EC20A0" w:rsidRDefault="00F17249">
      <w:pPr>
        <w:pStyle w:val="ListParagraph"/>
        <w:numPr>
          <w:ilvl w:val="0"/>
          <w:numId w:val="69"/>
        </w:numPr>
        <w:tabs>
          <w:tab w:val="left" w:pos="559"/>
        </w:tabs>
        <w:ind w:left="559" w:right="633"/>
      </w:pPr>
      <w:r w:rsidRPr="00EC20A0">
        <w:t>We</w:t>
      </w:r>
      <w:r w:rsidRPr="00EC20A0">
        <w:rPr>
          <w:spacing w:val="-4"/>
        </w:rPr>
        <w:t xml:space="preserve"> </w:t>
      </w:r>
      <w:r w:rsidRPr="00EC20A0">
        <w:t>are</w:t>
      </w:r>
      <w:r w:rsidRPr="00EC20A0">
        <w:rPr>
          <w:spacing w:val="-4"/>
        </w:rPr>
        <w:t xml:space="preserve"> </w:t>
      </w:r>
      <w:r w:rsidRPr="00EC20A0">
        <w:t>responsible</w:t>
      </w:r>
      <w:r w:rsidRPr="00EC20A0">
        <w:rPr>
          <w:spacing w:val="-4"/>
        </w:rPr>
        <w:t xml:space="preserve"> </w:t>
      </w:r>
      <w:r w:rsidRPr="00EC20A0">
        <w:t>for</w:t>
      </w:r>
      <w:r w:rsidRPr="00EC20A0">
        <w:rPr>
          <w:spacing w:val="-6"/>
        </w:rPr>
        <w:t xml:space="preserve"> </w:t>
      </w:r>
      <w:r w:rsidRPr="00EC20A0">
        <w:t>complying</w:t>
      </w:r>
      <w:r w:rsidRPr="00EC20A0">
        <w:rPr>
          <w:spacing w:val="-4"/>
        </w:rPr>
        <w:t xml:space="preserve"> </w:t>
      </w:r>
      <w:r w:rsidRPr="00EC20A0">
        <w:t>with</w:t>
      </w:r>
      <w:r w:rsidRPr="00EC20A0">
        <w:rPr>
          <w:spacing w:val="-4"/>
        </w:rPr>
        <w:t xml:space="preserve"> </w:t>
      </w:r>
      <w:r w:rsidRPr="00EC20A0">
        <w:t>laws,</w:t>
      </w:r>
      <w:r w:rsidRPr="00EC20A0">
        <w:rPr>
          <w:spacing w:val="-4"/>
        </w:rPr>
        <w:t xml:space="preserve"> </w:t>
      </w:r>
      <w:r w:rsidRPr="00EC20A0">
        <w:t>regulations,</w:t>
      </w:r>
      <w:r w:rsidRPr="00EC20A0">
        <w:rPr>
          <w:spacing w:val="-5"/>
        </w:rPr>
        <w:t xml:space="preserve"> </w:t>
      </w:r>
      <w:r w:rsidRPr="00EC20A0">
        <w:t>contracts,</w:t>
      </w:r>
      <w:r w:rsidRPr="00EC20A0">
        <w:rPr>
          <w:spacing w:val="-4"/>
        </w:rPr>
        <w:t xml:space="preserve"> </w:t>
      </w:r>
      <w:r w:rsidRPr="00EC20A0">
        <w:t>and</w:t>
      </w:r>
      <w:r w:rsidRPr="00EC20A0">
        <w:rPr>
          <w:spacing w:val="-4"/>
        </w:rPr>
        <w:t xml:space="preserve"> </w:t>
      </w:r>
      <w:r w:rsidRPr="00EC20A0">
        <w:t>grant</w:t>
      </w:r>
      <w:r w:rsidRPr="00EC20A0">
        <w:rPr>
          <w:spacing w:val="-4"/>
        </w:rPr>
        <w:t xml:space="preserve"> </w:t>
      </w:r>
      <w:r w:rsidRPr="00EC20A0">
        <w:t xml:space="preserve">agreements applicable to </w:t>
      </w:r>
      <w:r w:rsidRPr="00EC20A0">
        <w:rPr>
          <w:b/>
        </w:rPr>
        <w:t>[Entity]</w:t>
      </w:r>
      <w:r w:rsidRPr="00EC20A0">
        <w:t>.</w:t>
      </w:r>
    </w:p>
    <w:p w14:paraId="24D61D98" w14:textId="77777777" w:rsidR="00245300" w:rsidRPr="00EC20A0" w:rsidRDefault="00245300">
      <w:pPr>
        <w:sectPr w:rsidR="00245300" w:rsidRPr="00EC20A0">
          <w:pgSz w:w="12240" w:h="15840"/>
          <w:pgMar w:top="1340" w:right="1100" w:bottom="940" w:left="1240" w:header="721" w:footer="757" w:gutter="0"/>
          <w:cols w:space="720"/>
        </w:sectPr>
      </w:pPr>
    </w:p>
    <w:p w14:paraId="24D61D99" w14:textId="77777777" w:rsidR="00245300" w:rsidRPr="00EC20A0" w:rsidRDefault="00F17249">
      <w:pPr>
        <w:pStyle w:val="ListParagraph"/>
        <w:numPr>
          <w:ilvl w:val="0"/>
          <w:numId w:val="69"/>
        </w:numPr>
        <w:tabs>
          <w:tab w:val="left" w:pos="559"/>
        </w:tabs>
        <w:spacing w:before="121"/>
        <w:ind w:left="559" w:right="671"/>
        <w:jc w:val="both"/>
      </w:pPr>
      <w:r w:rsidRPr="00EC20A0">
        <w:t>We</w:t>
      </w:r>
      <w:r w:rsidRPr="00EC20A0">
        <w:rPr>
          <w:spacing w:val="-1"/>
        </w:rPr>
        <w:t xml:space="preserve"> </w:t>
      </w:r>
      <w:r w:rsidRPr="00EC20A0">
        <w:t>have</w:t>
      </w:r>
      <w:r w:rsidRPr="00EC20A0">
        <w:rPr>
          <w:spacing w:val="-1"/>
        </w:rPr>
        <w:t xml:space="preserve"> </w:t>
      </w:r>
      <w:r w:rsidRPr="00EC20A0">
        <w:t>identified</w:t>
      </w:r>
      <w:r w:rsidRPr="00EC20A0">
        <w:rPr>
          <w:spacing w:val="-1"/>
        </w:rPr>
        <w:t xml:space="preserve"> </w:t>
      </w:r>
      <w:r w:rsidRPr="00EC20A0">
        <w:t>and</w:t>
      </w:r>
      <w:r w:rsidRPr="00EC20A0">
        <w:rPr>
          <w:spacing w:val="-1"/>
        </w:rPr>
        <w:t xml:space="preserve"> </w:t>
      </w:r>
      <w:r w:rsidRPr="00EC20A0">
        <w:t>disclosed</w:t>
      </w:r>
      <w:r w:rsidRPr="00EC20A0">
        <w:rPr>
          <w:spacing w:val="-1"/>
        </w:rPr>
        <w:t xml:space="preserve"> </w:t>
      </w:r>
      <w:r w:rsidRPr="00EC20A0">
        <w:t>to</w:t>
      </w:r>
      <w:r w:rsidRPr="00EC20A0">
        <w:rPr>
          <w:spacing w:val="-1"/>
        </w:rPr>
        <w:t xml:space="preserve"> </w:t>
      </w:r>
      <w:r w:rsidRPr="00EC20A0">
        <w:t>you</w:t>
      </w:r>
      <w:r w:rsidRPr="00EC20A0">
        <w:rPr>
          <w:spacing w:val="-1"/>
        </w:rPr>
        <w:t xml:space="preserve"> </w:t>
      </w:r>
      <w:r w:rsidRPr="00EC20A0">
        <w:t>all</w:t>
      </w:r>
      <w:r w:rsidRPr="00EC20A0">
        <w:rPr>
          <w:spacing w:val="-5"/>
        </w:rPr>
        <w:t xml:space="preserve"> </w:t>
      </w:r>
      <w:r w:rsidRPr="00EC20A0">
        <w:t>provisions</w:t>
      </w:r>
      <w:r w:rsidRPr="00EC20A0">
        <w:rPr>
          <w:spacing w:val="-7"/>
        </w:rPr>
        <w:t xml:space="preserve"> </w:t>
      </w:r>
      <w:r w:rsidRPr="00EC20A0">
        <w:t>of</w:t>
      </w:r>
      <w:r w:rsidRPr="00EC20A0">
        <w:rPr>
          <w:spacing w:val="-7"/>
        </w:rPr>
        <w:t xml:space="preserve"> </w:t>
      </w:r>
      <w:r w:rsidRPr="00EC20A0">
        <w:t>laws,</w:t>
      </w:r>
      <w:r w:rsidRPr="00EC20A0">
        <w:rPr>
          <w:spacing w:val="-1"/>
        </w:rPr>
        <w:t xml:space="preserve"> </w:t>
      </w:r>
      <w:r w:rsidRPr="00EC20A0">
        <w:t>regulations,</w:t>
      </w:r>
      <w:r w:rsidRPr="00EC20A0">
        <w:rPr>
          <w:spacing w:val="-2"/>
        </w:rPr>
        <w:t xml:space="preserve"> </w:t>
      </w:r>
      <w:r w:rsidRPr="00EC20A0">
        <w:t>contracts,</w:t>
      </w:r>
      <w:r w:rsidRPr="00EC20A0">
        <w:rPr>
          <w:spacing w:val="-1"/>
        </w:rPr>
        <w:t xml:space="preserve"> </w:t>
      </w:r>
      <w:r w:rsidRPr="00EC20A0">
        <w:t>and grant</w:t>
      </w:r>
      <w:r w:rsidRPr="00EC20A0">
        <w:rPr>
          <w:spacing w:val="-4"/>
        </w:rPr>
        <w:t xml:space="preserve"> </w:t>
      </w:r>
      <w:r w:rsidRPr="00EC20A0">
        <w:t>agreements</w:t>
      </w:r>
      <w:r w:rsidRPr="00EC20A0">
        <w:rPr>
          <w:spacing w:val="-4"/>
        </w:rPr>
        <w:t xml:space="preserve"> </w:t>
      </w:r>
      <w:r w:rsidRPr="00EC20A0">
        <w:t>applicable</w:t>
      </w:r>
      <w:r w:rsidRPr="00EC20A0">
        <w:rPr>
          <w:spacing w:val="-4"/>
        </w:rPr>
        <w:t xml:space="preserve"> </w:t>
      </w:r>
      <w:r w:rsidRPr="00EC20A0">
        <w:t>to</w:t>
      </w:r>
      <w:r w:rsidRPr="00EC20A0">
        <w:rPr>
          <w:spacing w:val="-4"/>
        </w:rPr>
        <w:t xml:space="preserve"> </w:t>
      </w:r>
      <w:r w:rsidRPr="00EC20A0">
        <w:rPr>
          <w:b/>
        </w:rPr>
        <w:t>[Entity]</w:t>
      </w:r>
      <w:r w:rsidRPr="00EC20A0">
        <w:t>,</w:t>
      </w:r>
      <w:r w:rsidRPr="00EC20A0">
        <w:rPr>
          <w:spacing w:val="-4"/>
        </w:rPr>
        <w:t xml:space="preserve"> </w:t>
      </w:r>
      <w:r w:rsidRPr="00EC20A0">
        <w:t>noncompliance</w:t>
      </w:r>
      <w:r w:rsidRPr="00EC20A0">
        <w:rPr>
          <w:spacing w:val="-4"/>
        </w:rPr>
        <w:t xml:space="preserve"> </w:t>
      </w:r>
      <w:r w:rsidRPr="00EC20A0">
        <w:t>with</w:t>
      </w:r>
      <w:r w:rsidRPr="00EC20A0">
        <w:rPr>
          <w:spacing w:val="-4"/>
        </w:rPr>
        <w:t xml:space="preserve"> </w:t>
      </w:r>
      <w:r w:rsidRPr="00EC20A0">
        <w:t>which</w:t>
      </w:r>
      <w:r w:rsidRPr="00EC20A0">
        <w:rPr>
          <w:spacing w:val="-4"/>
        </w:rPr>
        <w:t xml:space="preserve"> </w:t>
      </w:r>
      <w:r w:rsidRPr="00EC20A0">
        <w:t>could</w:t>
      </w:r>
      <w:r w:rsidRPr="00EC20A0">
        <w:rPr>
          <w:spacing w:val="-4"/>
        </w:rPr>
        <w:t xml:space="preserve"> </w:t>
      </w:r>
      <w:r w:rsidRPr="00EC20A0">
        <w:t>have</w:t>
      </w:r>
      <w:r w:rsidRPr="00EC20A0">
        <w:rPr>
          <w:spacing w:val="-4"/>
        </w:rPr>
        <w:t xml:space="preserve"> </w:t>
      </w:r>
      <w:r w:rsidRPr="00EC20A0">
        <w:t>a</w:t>
      </w:r>
      <w:r w:rsidRPr="00EC20A0">
        <w:rPr>
          <w:spacing w:val="-4"/>
        </w:rPr>
        <w:t xml:space="preserve"> </w:t>
      </w:r>
      <w:r w:rsidRPr="00EC20A0">
        <w:t>material effect on the financial statements.</w:t>
      </w:r>
    </w:p>
    <w:p w14:paraId="24D61D9A" w14:textId="77777777" w:rsidR="00245300" w:rsidRPr="00EC20A0" w:rsidRDefault="00F17249">
      <w:pPr>
        <w:pStyle w:val="ListParagraph"/>
        <w:numPr>
          <w:ilvl w:val="0"/>
          <w:numId w:val="69"/>
        </w:numPr>
        <w:tabs>
          <w:tab w:val="left" w:pos="559"/>
        </w:tabs>
        <w:spacing w:before="239"/>
        <w:ind w:left="559" w:right="435"/>
      </w:pPr>
      <w:r w:rsidRPr="00EC20A0">
        <w:t>There are no instances of noncompliance or suspected noncompliance with laws, regulations,</w:t>
      </w:r>
      <w:r w:rsidRPr="00EC20A0">
        <w:rPr>
          <w:spacing w:val="-5"/>
        </w:rPr>
        <w:t xml:space="preserve"> </w:t>
      </w:r>
      <w:r w:rsidRPr="00EC20A0">
        <w:t>contracts,</w:t>
      </w:r>
      <w:r w:rsidRPr="00EC20A0">
        <w:rPr>
          <w:spacing w:val="-4"/>
        </w:rPr>
        <w:t xml:space="preserve"> </w:t>
      </w:r>
      <w:r w:rsidRPr="00EC20A0">
        <w:t>and</w:t>
      </w:r>
      <w:r w:rsidRPr="00EC20A0">
        <w:rPr>
          <w:spacing w:val="-4"/>
        </w:rPr>
        <w:t xml:space="preserve"> </w:t>
      </w:r>
      <w:r w:rsidRPr="00EC20A0">
        <w:t>grant</w:t>
      </w:r>
      <w:r w:rsidRPr="00EC20A0">
        <w:rPr>
          <w:spacing w:val="-4"/>
        </w:rPr>
        <w:t xml:space="preserve"> </w:t>
      </w:r>
      <w:r w:rsidRPr="00EC20A0">
        <w:t>agreements</w:t>
      </w:r>
      <w:r w:rsidRPr="00EC20A0">
        <w:rPr>
          <w:spacing w:val="-4"/>
        </w:rPr>
        <w:t xml:space="preserve"> </w:t>
      </w:r>
      <w:r w:rsidRPr="00EC20A0">
        <w:t>applicable</w:t>
      </w:r>
      <w:r w:rsidRPr="00EC20A0">
        <w:rPr>
          <w:spacing w:val="-4"/>
        </w:rPr>
        <w:t xml:space="preserve"> </w:t>
      </w:r>
      <w:r w:rsidRPr="00EC20A0">
        <w:t>to</w:t>
      </w:r>
      <w:r w:rsidRPr="00EC20A0">
        <w:rPr>
          <w:spacing w:val="-5"/>
        </w:rPr>
        <w:t xml:space="preserve"> </w:t>
      </w:r>
      <w:r w:rsidRPr="00EC20A0">
        <w:rPr>
          <w:b/>
        </w:rPr>
        <w:t>[Entity]</w:t>
      </w:r>
      <w:r w:rsidRPr="00EC20A0">
        <w:rPr>
          <w:b/>
          <w:spacing w:val="-4"/>
        </w:rPr>
        <w:t xml:space="preserve"> </w:t>
      </w:r>
      <w:r w:rsidRPr="00EC20A0">
        <w:t>whose</w:t>
      </w:r>
      <w:r w:rsidRPr="00EC20A0">
        <w:rPr>
          <w:spacing w:val="-4"/>
        </w:rPr>
        <w:t xml:space="preserve"> </w:t>
      </w:r>
      <w:r w:rsidRPr="00EC20A0">
        <w:t>effects</w:t>
      </w:r>
      <w:r w:rsidRPr="00EC20A0">
        <w:rPr>
          <w:spacing w:val="-5"/>
        </w:rPr>
        <w:t xml:space="preserve"> </w:t>
      </w:r>
      <w:r w:rsidRPr="00EC20A0">
        <w:t>should</w:t>
      </w:r>
      <w:r w:rsidRPr="00EC20A0">
        <w:rPr>
          <w:spacing w:val="-4"/>
        </w:rPr>
        <w:t xml:space="preserve"> </w:t>
      </w:r>
      <w:r w:rsidRPr="00EC20A0">
        <w:t>be considered when preparing the financial statements</w:t>
      </w:r>
      <w:r w:rsidRPr="00EC20A0">
        <w:rPr>
          <w:b/>
        </w:rPr>
        <w:t xml:space="preserve">. OR </w:t>
      </w:r>
      <w:r w:rsidRPr="00EC20A0">
        <w:t xml:space="preserve">We have disclosed to you all instances of noncompliance or suspected noncompliance with laws, regulations, contracts, and grant agreements applicable to </w:t>
      </w:r>
      <w:r w:rsidRPr="00EC20A0">
        <w:rPr>
          <w:b/>
        </w:rPr>
        <w:t xml:space="preserve">[Entity] </w:t>
      </w:r>
      <w:r w:rsidRPr="00EC20A0">
        <w:t>whose effects should be considered when preparing financial statements.</w:t>
      </w:r>
    </w:p>
    <w:p w14:paraId="24D61D9B" w14:textId="77777777" w:rsidR="00245300" w:rsidRPr="00EC20A0" w:rsidRDefault="00F17249">
      <w:pPr>
        <w:pStyle w:val="ListParagraph"/>
        <w:numPr>
          <w:ilvl w:val="0"/>
          <w:numId w:val="69"/>
        </w:numPr>
        <w:tabs>
          <w:tab w:val="left" w:pos="559"/>
        </w:tabs>
        <w:spacing w:before="241"/>
        <w:ind w:left="559" w:right="373"/>
      </w:pPr>
      <w:r w:rsidRPr="00EC20A0">
        <w:t xml:space="preserve">We are not aware of any violations, or potential violations, of the </w:t>
      </w:r>
      <w:proofErr w:type="spellStart"/>
      <w:r w:rsidRPr="00EC20A0">
        <w:t>Antideficiency</w:t>
      </w:r>
      <w:proofErr w:type="spellEnd"/>
      <w:r w:rsidRPr="00EC20A0">
        <w:t xml:space="preserve"> Act for the years ended September 30, 20X2, and 20X1, and through the date of this letter. </w:t>
      </w:r>
      <w:r w:rsidRPr="00EC20A0">
        <w:rPr>
          <w:b/>
        </w:rPr>
        <w:t xml:space="preserve">OR </w:t>
      </w:r>
      <w:r w:rsidRPr="00EC20A0">
        <w:t xml:space="preserve">We have communicated to you all violations of the </w:t>
      </w:r>
      <w:proofErr w:type="spellStart"/>
      <w:r w:rsidRPr="00EC20A0">
        <w:t>Antideficiency</w:t>
      </w:r>
      <w:proofErr w:type="spellEnd"/>
      <w:r w:rsidRPr="00EC20A0">
        <w:t xml:space="preserve"> Act for the years ended September</w:t>
      </w:r>
      <w:r w:rsidRPr="00EC20A0">
        <w:rPr>
          <w:spacing w:val="-2"/>
        </w:rPr>
        <w:t xml:space="preserve"> </w:t>
      </w:r>
      <w:r w:rsidRPr="00EC20A0">
        <w:t>30,</w:t>
      </w:r>
      <w:r w:rsidRPr="00EC20A0">
        <w:rPr>
          <w:spacing w:val="-3"/>
        </w:rPr>
        <w:t xml:space="preserve"> </w:t>
      </w:r>
      <w:r w:rsidRPr="00EC20A0">
        <w:t>20X2,</w:t>
      </w:r>
      <w:r w:rsidRPr="00EC20A0">
        <w:rPr>
          <w:spacing w:val="-3"/>
        </w:rPr>
        <w:t xml:space="preserve"> </w:t>
      </w:r>
      <w:r w:rsidRPr="00EC20A0">
        <w:t>and</w:t>
      </w:r>
      <w:r w:rsidRPr="00EC20A0">
        <w:rPr>
          <w:spacing w:val="-3"/>
        </w:rPr>
        <w:t xml:space="preserve"> </w:t>
      </w:r>
      <w:r w:rsidRPr="00EC20A0">
        <w:t>20X1,</w:t>
      </w:r>
      <w:r w:rsidRPr="00EC20A0">
        <w:rPr>
          <w:spacing w:val="-3"/>
        </w:rPr>
        <w:t xml:space="preserve"> </w:t>
      </w:r>
      <w:r w:rsidRPr="00EC20A0">
        <w:t>and</w:t>
      </w:r>
      <w:r w:rsidRPr="00EC20A0">
        <w:rPr>
          <w:spacing w:val="-3"/>
        </w:rPr>
        <w:t xml:space="preserve"> </w:t>
      </w:r>
      <w:r w:rsidRPr="00EC20A0">
        <w:t>through</w:t>
      </w:r>
      <w:r w:rsidRPr="00EC20A0">
        <w:rPr>
          <w:spacing w:val="-3"/>
        </w:rPr>
        <w:t xml:space="preserve"> </w:t>
      </w:r>
      <w:r w:rsidRPr="00EC20A0">
        <w:t>the</w:t>
      </w:r>
      <w:r w:rsidRPr="00EC20A0">
        <w:rPr>
          <w:spacing w:val="-3"/>
        </w:rPr>
        <w:t xml:space="preserve"> </w:t>
      </w:r>
      <w:r w:rsidRPr="00EC20A0">
        <w:t>date</w:t>
      </w:r>
      <w:r w:rsidRPr="00EC20A0">
        <w:rPr>
          <w:spacing w:val="-3"/>
        </w:rPr>
        <w:t xml:space="preserve"> </w:t>
      </w:r>
      <w:r w:rsidRPr="00EC20A0">
        <w:t>of</w:t>
      </w:r>
      <w:r w:rsidRPr="00EC20A0">
        <w:rPr>
          <w:spacing w:val="-3"/>
        </w:rPr>
        <w:t xml:space="preserve"> </w:t>
      </w:r>
      <w:r w:rsidRPr="00EC20A0">
        <w:t>this</w:t>
      </w:r>
      <w:r w:rsidRPr="00EC20A0">
        <w:rPr>
          <w:spacing w:val="-3"/>
        </w:rPr>
        <w:t xml:space="preserve"> </w:t>
      </w:r>
      <w:r w:rsidRPr="00EC20A0">
        <w:t>letter,</w:t>
      </w:r>
      <w:r w:rsidRPr="00EC20A0">
        <w:rPr>
          <w:spacing w:val="-3"/>
        </w:rPr>
        <w:t xml:space="preserve"> </w:t>
      </w:r>
      <w:r w:rsidRPr="00EC20A0">
        <w:t>and</w:t>
      </w:r>
      <w:r w:rsidRPr="00EC20A0">
        <w:rPr>
          <w:spacing w:val="-4"/>
        </w:rPr>
        <w:t xml:space="preserve"> </w:t>
      </w:r>
      <w:r w:rsidRPr="00EC20A0">
        <w:t>such</w:t>
      </w:r>
      <w:r w:rsidRPr="00EC20A0">
        <w:rPr>
          <w:spacing w:val="-3"/>
        </w:rPr>
        <w:t xml:space="preserve"> </w:t>
      </w:r>
      <w:r w:rsidRPr="00EC20A0">
        <w:t>violations</w:t>
      </w:r>
      <w:r w:rsidRPr="00EC20A0">
        <w:rPr>
          <w:spacing w:val="-3"/>
        </w:rPr>
        <w:t xml:space="preserve"> </w:t>
      </w:r>
      <w:r w:rsidRPr="00EC20A0">
        <w:t xml:space="preserve">have or could have a material effect on the financial statements for the years ended September 30, 20X2, and 20X1 </w:t>
      </w:r>
      <w:r w:rsidRPr="00EC20A0">
        <w:rPr>
          <w:b/>
        </w:rPr>
        <w:t xml:space="preserve">[except for {add list of </w:t>
      </w:r>
      <w:proofErr w:type="spellStart"/>
      <w:r w:rsidRPr="00EC20A0">
        <w:rPr>
          <w:b/>
        </w:rPr>
        <w:t>Antideficiency</w:t>
      </w:r>
      <w:proofErr w:type="spellEnd"/>
      <w:r w:rsidRPr="00EC20A0">
        <w:rPr>
          <w:b/>
        </w:rPr>
        <w:t xml:space="preserve"> Act violations that do not have a material effect on the financial statements}]</w:t>
      </w:r>
      <w:r w:rsidRPr="00EC20A0">
        <w:t xml:space="preserve">. In addition, we have communicated to you all potential violations of the </w:t>
      </w:r>
      <w:proofErr w:type="spellStart"/>
      <w:r w:rsidRPr="00EC20A0">
        <w:t>Antideficiency</w:t>
      </w:r>
      <w:proofErr w:type="spellEnd"/>
      <w:r w:rsidRPr="00EC20A0">
        <w:t xml:space="preserve"> Act for the years ended September 30, 20X2, and 20X1, and through the date of this letter that, if true, could have a material effect on the financial statements for the years ended Septemb</w:t>
      </w:r>
      <w:r w:rsidRPr="00EC20A0">
        <w:t>er 30, 20X2, and 20X1.</w:t>
      </w:r>
    </w:p>
    <w:p w14:paraId="24D61D9C" w14:textId="77777777" w:rsidR="00245300" w:rsidRPr="00EC20A0" w:rsidRDefault="00F17249">
      <w:pPr>
        <w:spacing w:before="239"/>
        <w:ind w:left="200"/>
        <w:rPr>
          <w:b/>
        </w:rPr>
      </w:pPr>
      <w:r w:rsidRPr="00EC20A0">
        <w:rPr>
          <w:b/>
          <w:u w:val="thick"/>
        </w:rPr>
        <w:t>Statement</w:t>
      </w:r>
      <w:r w:rsidRPr="00EC20A0">
        <w:rPr>
          <w:b/>
          <w:spacing w:val="-8"/>
          <w:u w:val="thick"/>
        </w:rPr>
        <w:t xml:space="preserve"> </w:t>
      </w:r>
      <w:r w:rsidRPr="00EC20A0">
        <w:rPr>
          <w:b/>
          <w:u w:val="thick"/>
        </w:rPr>
        <w:t>of</w:t>
      </w:r>
      <w:r w:rsidRPr="00EC20A0">
        <w:rPr>
          <w:b/>
          <w:spacing w:val="-8"/>
          <w:u w:val="thick"/>
        </w:rPr>
        <w:t xml:space="preserve"> </w:t>
      </w:r>
      <w:r w:rsidRPr="00EC20A0">
        <w:rPr>
          <w:b/>
          <w:u w:val="thick"/>
        </w:rPr>
        <w:t>Social</w:t>
      </w:r>
      <w:r w:rsidRPr="00EC20A0">
        <w:rPr>
          <w:b/>
          <w:spacing w:val="-8"/>
          <w:u w:val="thick"/>
        </w:rPr>
        <w:t xml:space="preserve"> </w:t>
      </w:r>
      <w:r w:rsidRPr="00EC20A0">
        <w:rPr>
          <w:b/>
          <w:u w:val="thick"/>
        </w:rPr>
        <w:t>Insurance</w:t>
      </w:r>
      <w:r w:rsidRPr="00EC20A0">
        <w:rPr>
          <w:b/>
          <w:spacing w:val="-8"/>
          <w:u w:val="thick"/>
        </w:rPr>
        <w:t xml:space="preserve"> </w:t>
      </w:r>
      <w:r w:rsidRPr="00EC20A0">
        <w:rPr>
          <w:b/>
          <w:u w:val="thick"/>
        </w:rPr>
        <w:t>and</w:t>
      </w:r>
      <w:r w:rsidRPr="00EC20A0">
        <w:rPr>
          <w:b/>
          <w:spacing w:val="-7"/>
          <w:u w:val="thick"/>
        </w:rPr>
        <w:t xml:space="preserve"> </w:t>
      </w:r>
      <w:r w:rsidRPr="00EC20A0">
        <w:rPr>
          <w:b/>
          <w:u w:val="thick"/>
        </w:rPr>
        <w:t>Statement</w:t>
      </w:r>
      <w:r w:rsidRPr="00EC20A0">
        <w:rPr>
          <w:b/>
          <w:spacing w:val="-8"/>
          <w:u w:val="thick"/>
        </w:rPr>
        <w:t xml:space="preserve"> </w:t>
      </w:r>
      <w:r w:rsidRPr="00EC20A0">
        <w:rPr>
          <w:b/>
          <w:u w:val="thick"/>
        </w:rPr>
        <w:t>of</w:t>
      </w:r>
      <w:r w:rsidRPr="00EC20A0">
        <w:rPr>
          <w:b/>
          <w:spacing w:val="-8"/>
          <w:u w:val="thick"/>
        </w:rPr>
        <w:t xml:space="preserve"> </w:t>
      </w:r>
      <w:r w:rsidRPr="00EC20A0">
        <w:rPr>
          <w:b/>
          <w:u w:val="thick"/>
        </w:rPr>
        <w:t>Changes</w:t>
      </w:r>
      <w:r w:rsidRPr="00EC20A0">
        <w:rPr>
          <w:b/>
          <w:spacing w:val="-8"/>
          <w:u w:val="thick"/>
        </w:rPr>
        <w:t xml:space="preserve"> </w:t>
      </w:r>
      <w:r w:rsidRPr="00EC20A0">
        <w:rPr>
          <w:b/>
          <w:u w:val="thick"/>
        </w:rPr>
        <w:t>in</w:t>
      </w:r>
      <w:r w:rsidRPr="00EC20A0">
        <w:rPr>
          <w:b/>
          <w:spacing w:val="-7"/>
          <w:u w:val="thick"/>
        </w:rPr>
        <w:t xml:space="preserve"> </w:t>
      </w:r>
      <w:r w:rsidRPr="00EC20A0">
        <w:rPr>
          <w:b/>
          <w:u w:val="thick"/>
        </w:rPr>
        <w:t>Social</w:t>
      </w:r>
      <w:r w:rsidRPr="00EC20A0">
        <w:rPr>
          <w:b/>
          <w:spacing w:val="-8"/>
          <w:u w:val="thick"/>
        </w:rPr>
        <w:t xml:space="preserve"> </w:t>
      </w:r>
      <w:r w:rsidRPr="00EC20A0">
        <w:rPr>
          <w:b/>
          <w:u w:val="thick"/>
        </w:rPr>
        <w:t>Insurance</w:t>
      </w:r>
      <w:r w:rsidRPr="00EC20A0">
        <w:rPr>
          <w:b/>
          <w:spacing w:val="-8"/>
          <w:u w:val="thick"/>
        </w:rPr>
        <w:t xml:space="preserve"> </w:t>
      </w:r>
      <w:r w:rsidRPr="00EC20A0">
        <w:rPr>
          <w:b/>
          <w:spacing w:val="-2"/>
          <w:u w:val="thick"/>
        </w:rPr>
        <w:t>Amounts</w:t>
      </w:r>
    </w:p>
    <w:p w14:paraId="24D61D9D" w14:textId="77777777" w:rsidR="00245300" w:rsidRPr="00EC20A0" w:rsidRDefault="00F17249">
      <w:pPr>
        <w:spacing w:before="241"/>
        <w:ind w:left="199" w:right="405"/>
        <w:rPr>
          <w:b/>
        </w:rPr>
      </w:pPr>
      <w:r w:rsidRPr="00EC20A0">
        <w:rPr>
          <w:b/>
        </w:rPr>
        <w:t>[If</w:t>
      </w:r>
      <w:r w:rsidRPr="00EC20A0">
        <w:rPr>
          <w:b/>
          <w:spacing w:val="-3"/>
        </w:rPr>
        <w:t xml:space="preserve"> </w:t>
      </w:r>
      <w:r w:rsidRPr="00EC20A0">
        <w:rPr>
          <w:b/>
        </w:rPr>
        <w:t>a</w:t>
      </w:r>
      <w:r w:rsidRPr="00EC20A0">
        <w:rPr>
          <w:b/>
          <w:spacing w:val="-3"/>
        </w:rPr>
        <w:t xml:space="preserve"> </w:t>
      </w:r>
      <w:r w:rsidRPr="00EC20A0">
        <w:rPr>
          <w:b/>
        </w:rPr>
        <w:t>SOSI</w:t>
      </w:r>
      <w:r w:rsidRPr="00EC20A0">
        <w:rPr>
          <w:b/>
          <w:spacing w:val="-3"/>
        </w:rPr>
        <w:t xml:space="preserve"> </w:t>
      </w:r>
      <w:r w:rsidRPr="00EC20A0">
        <w:rPr>
          <w:b/>
        </w:rPr>
        <w:t>and</w:t>
      </w:r>
      <w:r w:rsidRPr="00EC20A0">
        <w:rPr>
          <w:b/>
          <w:spacing w:val="-3"/>
        </w:rPr>
        <w:t xml:space="preserve"> </w:t>
      </w:r>
      <w:r w:rsidRPr="00EC20A0">
        <w:rPr>
          <w:b/>
        </w:rPr>
        <w:t>an</w:t>
      </w:r>
      <w:r w:rsidRPr="00EC20A0">
        <w:rPr>
          <w:b/>
          <w:spacing w:val="-3"/>
        </w:rPr>
        <w:t xml:space="preserve"> </w:t>
      </w:r>
      <w:r w:rsidRPr="00EC20A0">
        <w:rPr>
          <w:b/>
        </w:rPr>
        <w:t>SCSIA</w:t>
      </w:r>
      <w:r w:rsidRPr="00EC20A0">
        <w:rPr>
          <w:b/>
          <w:spacing w:val="-4"/>
        </w:rPr>
        <w:t xml:space="preserve"> </w:t>
      </w:r>
      <w:r w:rsidRPr="00EC20A0">
        <w:rPr>
          <w:b/>
        </w:rPr>
        <w:t>are</w:t>
      </w:r>
      <w:r w:rsidRPr="00EC20A0">
        <w:rPr>
          <w:b/>
          <w:spacing w:val="-3"/>
        </w:rPr>
        <w:t xml:space="preserve"> </w:t>
      </w:r>
      <w:r w:rsidRPr="00EC20A0">
        <w:rPr>
          <w:b/>
        </w:rPr>
        <w:t>presented,</w:t>
      </w:r>
      <w:r w:rsidRPr="00EC20A0">
        <w:rPr>
          <w:b/>
          <w:spacing w:val="-3"/>
        </w:rPr>
        <w:t xml:space="preserve"> </w:t>
      </w:r>
      <w:r w:rsidRPr="00EC20A0">
        <w:rPr>
          <w:b/>
        </w:rPr>
        <w:t>see</w:t>
      </w:r>
      <w:r w:rsidRPr="00EC20A0">
        <w:rPr>
          <w:b/>
          <w:spacing w:val="-3"/>
        </w:rPr>
        <w:t xml:space="preserve"> </w:t>
      </w:r>
      <w:r w:rsidRPr="00EC20A0">
        <w:rPr>
          <w:b/>
        </w:rPr>
        <w:t>AICPA</w:t>
      </w:r>
      <w:r w:rsidRPr="00EC20A0">
        <w:rPr>
          <w:b/>
          <w:spacing w:val="-4"/>
        </w:rPr>
        <w:t xml:space="preserve"> </w:t>
      </w:r>
      <w:r w:rsidRPr="00EC20A0">
        <w:rPr>
          <w:b/>
        </w:rPr>
        <w:t>publication</w:t>
      </w:r>
      <w:r w:rsidRPr="00EC20A0">
        <w:rPr>
          <w:b/>
          <w:spacing w:val="-3"/>
        </w:rPr>
        <w:t xml:space="preserve"> </w:t>
      </w:r>
      <w:r w:rsidRPr="00EC20A0">
        <w:rPr>
          <w:b/>
        </w:rPr>
        <w:t>SOP</w:t>
      </w:r>
      <w:r w:rsidRPr="00EC20A0">
        <w:rPr>
          <w:b/>
          <w:spacing w:val="-2"/>
        </w:rPr>
        <w:t xml:space="preserve"> </w:t>
      </w:r>
      <w:r w:rsidRPr="00EC20A0">
        <w:rPr>
          <w:b/>
        </w:rPr>
        <w:t>04-1,</w:t>
      </w:r>
      <w:r w:rsidRPr="00EC20A0">
        <w:rPr>
          <w:b/>
          <w:spacing w:val="-3"/>
        </w:rPr>
        <w:t xml:space="preserve"> </w:t>
      </w:r>
      <w:r w:rsidRPr="00EC20A0">
        <w:rPr>
          <w:b/>
          <w:i/>
        </w:rPr>
        <w:t>Auditing</w:t>
      </w:r>
      <w:r w:rsidRPr="00EC20A0">
        <w:rPr>
          <w:b/>
          <w:i/>
          <w:spacing w:val="-3"/>
        </w:rPr>
        <w:t xml:space="preserve"> </w:t>
      </w:r>
      <w:r w:rsidRPr="00EC20A0">
        <w:rPr>
          <w:b/>
          <w:i/>
        </w:rPr>
        <w:t xml:space="preserve">the Statement of Social Insurance </w:t>
      </w:r>
      <w:r w:rsidRPr="00EC20A0">
        <w:rPr>
          <w:b/>
        </w:rPr>
        <w:t xml:space="preserve">(SOP 04-1 § 39), which </w:t>
      </w:r>
      <w:r w:rsidRPr="00EC20A0">
        <w:rPr>
          <w:b/>
        </w:rPr>
        <w:t>suggests the following management representations.]</w:t>
      </w:r>
    </w:p>
    <w:p w14:paraId="24D61D9E" w14:textId="77777777" w:rsidR="00245300" w:rsidRPr="00EC20A0" w:rsidRDefault="00F17249">
      <w:pPr>
        <w:pStyle w:val="ListParagraph"/>
        <w:numPr>
          <w:ilvl w:val="0"/>
          <w:numId w:val="69"/>
        </w:numPr>
        <w:tabs>
          <w:tab w:val="left" w:pos="560"/>
        </w:tabs>
        <w:ind w:right="404"/>
      </w:pPr>
      <w:r w:rsidRPr="00EC20A0">
        <w:t>Management</w:t>
      </w:r>
      <w:r w:rsidRPr="00EC20A0">
        <w:rPr>
          <w:spacing w:val="-3"/>
        </w:rPr>
        <w:t xml:space="preserve"> </w:t>
      </w:r>
      <w:r w:rsidRPr="00EC20A0">
        <w:t>is</w:t>
      </w:r>
      <w:r w:rsidRPr="00EC20A0">
        <w:rPr>
          <w:spacing w:val="-3"/>
        </w:rPr>
        <w:t xml:space="preserve"> </w:t>
      </w:r>
      <w:r w:rsidRPr="00EC20A0">
        <w:t>responsible</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assumptions</w:t>
      </w:r>
      <w:r w:rsidRPr="00EC20A0">
        <w:rPr>
          <w:spacing w:val="-3"/>
        </w:rPr>
        <w:t xml:space="preserve"> </w:t>
      </w:r>
      <w:r w:rsidRPr="00EC20A0">
        <w:t>and</w:t>
      </w:r>
      <w:r w:rsidRPr="00EC20A0">
        <w:rPr>
          <w:spacing w:val="-3"/>
        </w:rPr>
        <w:t xml:space="preserve"> </w:t>
      </w:r>
      <w:r w:rsidRPr="00EC20A0">
        <w:t>methods</w:t>
      </w:r>
      <w:r w:rsidRPr="00EC20A0">
        <w:rPr>
          <w:spacing w:val="-3"/>
        </w:rPr>
        <w:t xml:space="preserve"> </w:t>
      </w:r>
      <w:r w:rsidRPr="00EC20A0">
        <w:t>used</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preparation</w:t>
      </w:r>
      <w:r w:rsidRPr="00EC20A0">
        <w:rPr>
          <w:spacing w:val="-3"/>
        </w:rPr>
        <w:t xml:space="preserve"> </w:t>
      </w:r>
      <w:r w:rsidRPr="00EC20A0">
        <w:t>of</w:t>
      </w:r>
      <w:r w:rsidRPr="00EC20A0">
        <w:rPr>
          <w:spacing w:val="-3"/>
        </w:rPr>
        <w:t xml:space="preserve"> </w:t>
      </w:r>
      <w:r w:rsidRPr="00EC20A0">
        <w:t xml:space="preserve">the SOSI and SCSIA. Management agrees with the actuarial methods and assumptions that </w:t>
      </w:r>
      <w:r w:rsidRPr="00EC20A0">
        <w:rPr>
          <w:b/>
        </w:rPr>
        <w:t xml:space="preserve">[Entity’s] </w:t>
      </w:r>
      <w:r w:rsidRPr="00EC20A0">
        <w:t>actuary used and has no knowledge or belief that would make such methods or assumptions inappropriate in the circumstances. Management did not give any instructions, or</w:t>
      </w:r>
      <w:r w:rsidRPr="00EC20A0">
        <w:rPr>
          <w:spacing w:val="-3"/>
        </w:rPr>
        <w:t xml:space="preserve"> </w:t>
      </w:r>
      <w:r w:rsidRPr="00EC20A0">
        <w:t>cause</w:t>
      </w:r>
      <w:r w:rsidRPr="00EC20A0">
        <w:rPr>
          <w:spacing w:val="-3"/>
        </w:rPr>
        <w:t xml:space="preserve"> </w:t>
      </w:r>
      <w:r w:rsidRPr="00EC20A0">
        <w:t>any</w:t>
      </w:r>
      <w:r w:rsidRPr="00EC20A0">
        <w:rPr>
          <w:spacing w:val="-3"/>
        </w:rPr>
        <w:t xml:space="preserve"> </w:t>
      </w:r>
      <w:r w:rsidRPr="00EC20A0">
        <w:t>instructions</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given</w:t>
      </w:r>
      <w:r w:rsidRPr="00EC20A0">
        <w:rPr>
          <w:spacing w:val="-3"/>
        </w:rPr>
        <w:t xml:space="preserve"> </w:t>
      </w:r>
      <w:r w:rsidRPr="00EC20A0">
        <w:t>to</w:t>
      </w:r>
      <w:r w:rsidRPr="00EC20A0">
        <w:rPr>
          <w:spacing w:val="-3"/>
        </w:rPr>
        <w:t xml:space="preserve"> </w:t>
      </w:r>
      <w:r w:rsidRPr="00EC20A0">
        <w:rPr>
          <w:b/>
        </w:rPr>
        <w:t>[Entity’s]</w:t>
      </w:r>
      <w:r w:rsidRPr="00EC20A0">
        <w:rPr>
          <w:b/>
          <w:spacing w:val="-3"/>
        </w:rPr>
        <w:t xml:space="preserve"> </w:t>
      </w:r>
      <w:r w:rsidRPr="00EC20A0">
        <w:t>actuary</w:t>
      </w:r>
      <w:r w:rsidRPr="00EC20A0">
        <w:rPr>
          <w:spacing w:val="-4"/>
        </w:rPr>
        <w:t xml:space="preserve"> </w:t>
      </w:r>
      <w:r w:rsidRPr="00EC20A0">
        <w:t>with</w:t>
      </w:r>
      <w:r w:rsidRPr="00EC20A0">
        <w:rPr>
          <w:spacing w:val="-3"/>
        </w:rPr>
        <w:t xml:space="preserve"> </w:t>
      </w:r>
      <w:r w:rsidRPr="00EC20A0">
        <w:t>respect</w:t>
      </w:r>
      <w:r w:rsidRPr="00EC20A0">
        <w:rPr>
          <w:spacing w:val="-3"/>
        </w:rPr>
        <w:t xml:space="preserve"> </w:t>
      </w:r>
      <w:r w:rsidRPr="00EC20A0">
        <w:t>to</w:t>
      </w:r>
      <w:r w:rsidRPr="00EC20A0">
        <w:rPr>
          <w:spacing w:val="-3"/>
        </w:rPr>
        <w:t xml:space="preserve"> </w:t>
      </w:r>
      <w:r w:rsidRPr="00EC20A0">
        <w:t>values</w:t>
      </w:r>
      <w:r w:rsidRPr="00EC20A0">
        <w:rPr>
          <w:spacing w:val="-2"/>
        </w:rPr>
        <w:t xml:space="preserve"> </w:t>
      </w:r>
      <w:r w:rsidRPr="00EC20A0">
        <w:t>or</w:t>
      </w:r>
      <w:r w:rsidRPr="00EC20A0">
        <w:rPr>
          <w:spacing w:val="-4"/>
        </w:rPr>
        <w:t xml:space="preserve"> </w:t>
      </w:r>
      <w:r w:rsidRPr="00EC20A0">
        <w:t xml:space="preserve">amounts derived, and is not aware of any matters that have affected the objectivity of </w:t>
      </w:r>
      <w:r w:rsidRPr="00EC20A0">
        <w:rPr>
          <w:b/>
        </w:rPr>
        <w:t>[</w:t>
      </w:r>
      <w:r w:rsidRPr="00EC20A0">
        <w:rPr>
          <w:b/>
        </w:rPr>
        <w:t xml:space="preserve">Entity’s] </w:t>
      </w:r>
      <w:r w:rsidRPr="00EC20A0">
        <w:t>actuary. Management believes that the actuarial assumptions and methods used to measure the amounts in the SOSI and SCSIA for financial accounting purposes are appropriate in the circumstances.</w:t>
      </w:r>
    </w:p>
    <w:p w14:paraId="24D61D9F" w14:textId="77777777" w:rsidR="00245300" w:rsidRPr="00EC20A0" w:rsidRDefault="00F17249">
      <w:pPr>
        <w:pStyle w:val="ListParagraph"/>
        <w:numPr>
          <w:ilvl w:val="0"/>
          <w:numId w:val="69"/>
        </w:numPr>
        <w:tabs>
          <w:tab w:val="left" w:pos="558"/>
          <w:tab w:val="left" w:pos="560"/>
        </w:tabs>
        <w:ind w:right="556" w:hanging="361"/>
      </w:pPr>
      <w:r w:rsidRPr="00EC20A0">
        <w:t>Actuarial</w:t>
      </w:r>
      <w:r w:rsidRPr="00EC20A0">
        <w:rPr>
          <w:spacing w:val="-4"/>
        </w:rPr>
        <w:t xml:space="preserve"> </w:t>
      </w:r>
      <w:r w:rsidRPr="00EC20A0">
        <w:t>assumptions</w:t>
      </w:r>
      <w:r w:rsidRPr="00EC20A0">
        <w:rPr>
          <w:spacing w:val="-4"/>
        </w:rPr>
        <w:t xml:space="preserve"> </w:t>
      </w:r>
      <w:r w:rsidRPr="00EC20A0">
        <w:t>and</w:t>
      </w:r>
      <w:r w:rsidRPr="00EC20A0">
        <w:rPr>
          <w:spacing w:val="-4"/>
        </w:rPr>
        <w:t xml:space="preserve"> </w:t>
      </w:r>
      <w:r w:rsidRPr="00EC20A0">
        <w:t>methods</w:t>
      </w:r>
      <w:r w:rsidRPr="00EC20A0">
        <w:rPr>
          <w:spacing w:val="-4"/>
        </w:rPr>
        <w:t xml:space="preserve"> </w:t>
      </w:r>
      <w:r w:rsidRPr="00EC20A0">
        <w:t>used</w:t>
      </w:r>
      <w:r w:rsidRPr="00EC20A0">
        <w:rPr>
          <w:spacing w:val="-4"/>
        </w:rPr>
        <w:t xml:space="preserve"> </w:t>
      </w:r>
      <w:r w:rsidRPr="00EC20A0">
        <w:t>to</w:t>
      </w:r>
      <w:r w:rsidRPr="00EC20A0">
        <w:rPr>
          <w:spacing w:val="-4"/>
        </w:rPr>
        <w:t xml:space="preserve"> </w:t>
      </w:r>
      <w:r w:rsidRPr="00EC20A0">
        <w:t>measure</w:t>
      </w:r>
      <w:r w:rsidRPr="00EC20A0">
        <w:rPr>
          <w:spacing w:val="-4"/>
        </w:rPr>
        <w:t xml:space="preserve"> </w:t>
      </w:r>
      <w:r w:rsidRPr="00EC20A0">
        <w:t>the</w:t>
      </w:r>
      <w:r w:rsidRPr="00EC20A0">
        <w:rPr>
          <w:spacing w:val="-4"/>
        </w:rPr>
        <w:t xml:space="preserve"> </w:t>
      </w:r>
      <w:r w:rsidRPr="00EC20A0">
        <w:t>amounts</w:t>
      </w:r>
      <w:r w:rsidRPr="00EC20A0">
        <w:rPr>
          <w:spacing w:val="-4"/>
        </w:rPr>
        <w:t xml:space="preserve"> </w:t>
      </w:r>
      <w:r w:rsidRPr="00EC20A0">
        <w:t>in</w:t>
      </w:r>
      <w:r w:rsidRPr="00EC20A0">
        <w:rPr>
          <w:spacing w:val="-4"/>
        </w:rPr>
        <w:t xml:space="preserve"> </w:t>
      </w:r>
      <w:r w:rsidRPr="00EC20A0">
        <w:t>the</w:t>
      </w:r>
      <w:r w:rsidRPr="00EC20A0">
        <w:rPr>
          <w:spacing w:val="-5"/>
        </w:rPr>
        <w:t xml:space="preserve"> </w:t>
      </w:r>
      <w:r w:rsidRPr="00EC20A0">
        <w:t>SOSI</w:t>
      </w:r>
      <w:r w:rsidRPr="00EC20A0">
        <w:rPr>
          <w:spacing w:val="-4"/>
        </w:rPr>
        <w:t xml:space="preserve"> </w:t>
      </w:r>
      <w:r w:rsidRPr="00EC20A0">
        <w:t>and</w:t>
      </w:r>
      <w:r w:rsidRPr="00EC20A0">
        <w:rPr>
          <w:spacing w:val="-4"/>
        </w:rPr>
        <w:t xml:space="preserve"> </w:t>
      </w:r>
      <w:r w:rsidRPr="00EC20A0">
        <w:t xml:space="preserve">SCSIA for financial accounting and disclosure purposes represent management’s reasonable estimates regarding future events based on demographic and economic </w:t>
      </w:r>
      <w:r w:rsidRPr="00EC20A0">
        <w:t>assumptions and future changes mandated by law.</w:t>
      </w:r>
    </w:p>
    <w:p w14:paraId="24D61DA0" w14:textId="77777777" w:rsidR="00245300" w:rsidRPr="00EC20A0" w:rsidRDefault="00F17249">
      <w:pPr>
        <w:pStyle w:val="ListParagraph"/>
        <w:numPr>
          <w:ilvl w:val="0"/>
          <w:numId w:val="69"/>
        </w:numPr>
        <w:tabs>
          <w:tab w:val="left" w:pos="557"/>
          <w:tab w:val="left" w:pos="560"/>
        </w:tabs>
        <w:ind w:right="340" w:hanging="361"/>
      </w:pPr>
      <w:r w:rsidRPr="00EC20A0">
        <w:t xml:space="preserve">There were no material omissions from the data provided to </w:t>
      </w:r>
      <w:r w:rsidRPr="00EC20A0">
        <w:rPr>
          <w:b/>
        </w:rPr>
        <w:t xml:space="preserve">[Entity’s] </w:t>
      </w:r>
      <w:r w:rsidRPr="00EC20A0">
        <w:t xml:space="preserve">actuary for the purpose of determining the actuarial present value of the estimated future income to be received and estimated future expenditures to be paid during the projection period sufficient </w:t>
      </w:r>
      <w:r w:rsidRPr="00EC20A0">
        <w:rPr>
          <w:spacing w:val="-4"/>
        </w:rPr>
        <w:t>to</w:t>
      </w:r>
      <w:r w:rsidRPr="00EC20A0">
        <w:t xml:space="preserve"> </w:t>
      </w:r>
      <w:r w:rsidRPr="00EC20A0">
        <w:rPr>
          <w:spacing w:val="-4"/>
        </w:rPr>
        <w:t>illustrate</w:t>
      </w:r>
      <w:r w:rsidRPr="00EC20A0">
        <w:rPr>
          <w:spacing w:val="-1"/>
        </w:rPr>
        <w:t xml:space="preserve"> </w:t>
      </w:r>
      <w:r w:rsidRPr="00EC20A0">
        <w:rPr>
          <w:spacing w:val="-4"/>
        </w:rPr>
        <w:t>the</w:t>
      </w:r>
      <w:r w:rsidRPr="00EC20A0">
        <w:rPr>
          <w:spacing w:val="-10"/>
        </w:rPr>
        <w:t xml:space="preserve"> </w:t>
      </w:r>
      <w:r w:rsidRPr="00EC20A0">
        <w:rPr>
          <w:spacing w:val="-4"/>
        </w:rPr>
        <w:t>long-term</w:t>
      </w:r>
      <w:r w:rsidRPr="00EC20A0">
        <w:rPr>
          <w:spacing w:val="-12"/>
        </w:rPr>
        <w:t xml:space="preserve"> </w:t>
      </w:r>
      <w:r w:rsidRPr="00EC20A0">
        <w:rPr>
          <w:spacing w:val="-4"/>
        </w:rPr>
        <w:t>sustainability</w:t>
      </w:r>
      <w:r w:rsidRPr="00EC20A0">
        <w:rPr>
          <w:spacing w:val="-9"/>
        </w:rPr>
        <w:t xml:space="preserve"> </w:t>
      </w:r>
      <w:r w:rsidRPr="00EC20A0">
        <w:rPr>
          <w:spacing w:val="-4"/>
        </w:rPr>
        <w:t>of</w:t>
      </w:r>
      <w:r w:rsidRPr="00EC20A0">
        <w:rPr>
          <w:spacing w:val="-10"/>
        </w:rPr>
        <w:t xml:space="preserve"> </w:t>
      </w:r>
      <w:r w:rsidRPr="00EC20A0">
        <w:rPr>
          <w:b/>
          <w:spacing w:val="-4"/>
        </w:rPr>
        <w:t>[name</w:t>
      </w:r>
      <w:r w:rsidRPr="00EC20A0">
        <w:rPr>
          <w:b/>
          <w:spacing w:val="-11"/>
        </w:rPr>
        <w:t xml:space="preserve"> </w:t>
      </w:r>
      <w:r w:rsidRPr="00EC20A0">
        <w:rPr>
          <w:b/>
          <w:spacing w:val="-4"/>
        </w:rPr>
        <w:t>of</w:t>
      </w:r>
      <w:r w:rsidRPr="00EC20A0">
        <w:rPr>
          <w:b/>
          <w:spacing w:val="-10"/>
        </w:rPr>
        <w:t xml:space="preserve"> </w:t>
      </w:r>
      <w:r w:rsidRPr="00EC20A0">
        <w:rPr>
          <w:b/>
          <w:spacing w:val="-4"/>
        </w:rPr>
        <w:t>the</w:t>
      </w:r>
      <w:r w:rsidRPr="00EC20A0">
        <w:rPr>
          <w:b/>
          <w:spacing w:val="-10"/>
        </w:rPr>
        <w:t xml:space="preserve"> </w:t>
      </w:r>
      <w:r w:rsidRPr="00EC20A0">
        <w:rPr>
          <w:b/>
          <w:spacing w:val="-4"/>
        </w:rPr>
        <w:t>social</w:t>
      </w:r>
      <w:r w:rsidRPr="00EC20A0">
        <w:rPr>
          <w:b/>
          <w:spacing w:val="-11"/>
        </w:rPr>
        <w:t xml:space="preserve"> </w:t>
      </w:r>
      <w:r w:rsidRPr="00EC20A0">
        <w:rPr>
          <w:b/>
          <w:spacing w:val="-4"/>
        </w:rPr>
        <w:t>insurance</w:t>
      </w:r>
      <w:r w:rsidRPr="00EC20A0">
        <w:rPr>
          <w:b/>
          <w:spacing w:val="-11"/>
        </w:rPr>
        <w:t xml:space="preserve"> </w:t>
      </w:r>
      <w:r w:rsidRPr="00EC20A0">
        <w:rPr>
          <w:b/>
          <w:spacing w:val="-4"/>
        </w:rPr>
        <w:t>program]</w:t>
      </w:r>
      <w:r w:rsidRPr="00EC20A0">
        <w:rPr>
          <w:b/>
          <w:spacing w:val="-10"/>
        </w:rPr>
        <w:t xml:space="preserve"> </w:t>
      </w:r>
      <w:r w:rsidRPr="00EC20A0">
        <w:rPr>
          <w:spacing w:val="-4"/>
        </w:rPr>
        <w:t>as</w:t>
      </w:r>
      <w:r w:rsidRPr="00EC20A0">
        <w:rPr>
          <w:spacing w:val="-9"/>
        </w:rPr>
        <w:t xml:space="preserve"> </w:t>
      </w:r>
      <w:r w:rsidRPr="00EC20A0">
        <w:rPr>
          <w:spacing w:val="-4"/>
        </w:rPr>
        <w:t>of</w:t>
      </w:r>
      <w:r w:rsidRPr="00EC20A0">
        <w:rPr>
          <w:spacing w:val="-11"/>
        </w:rPr>
        <w:t xml:space="preserve"> </w:t>
      </w:r>
      <w:r w:rsidRPr="00EC20A0">
        <w:rPr>
          <w:b/>
          <w:spacing w:val="-4"/>
        </w:rPr>
        <w:t xml:space="preserve">[dates </w:t>
      </w:r>
      <w:r w:rsidRPr="00EC20A0">
        <w:rPr>
          <w:b/>
        </w:rPr>
        <w:t>of SOSI presented]</w:t>
      </w:r>
      <w:r w:rsidRPr="00EC20A0">
        <w:t>.</w:t>
      </w:r>
    </w:p>
    <w:p w14:paraId="24D61DA1" w14:textId="77777777" w:rsidR="00245300" w:rsidRPr="00EC20A0" w:rsidRDefault="00F17249">
      <w:pPr>
        <w:pStyle w:val="ListParagraph"/>
        <w:numPr>
          <w:ilvl w:val="0"/>
          <w:numId w:val="69"/>
        </w:numPr>
        <w:tabs>
          <w:tab w:val="left" w:pos="559"/>
        </w:tabs>
        <w:spacing w:before="239"/>
        <w:ind w:left="559" w:right="453"/>
      </w:pPr>
      <w:r w:rsidRPr="00EC20A0">
        <w:t>The</w:t>
      </w:r>
      <w:r w:rsidRPr="00EC20A0">
        <w:rPr>
          <w:spacing w:val="-4"/>
        </w:rPr>
        <w:t xml:space="preserve"> </w:t>
      </w:r>
      <w:r w:rsidRPr="00EC20A0">
        <w:t>SOSI</w:t>
      </w:r>
      <w:r w:rsidRPr="00EC20A0">
        <w:rPr>
          <w:spacing w:val="-4"/>
        </w:rPr>
        <w:t xml:space="preserve"> </w:t>
      </w:r>
      <w:r w:rsidRPr="00EC20A0">
        <w:t>covers</w:t>
      </w:r>
      <w:r w:rsidRPr="00EC20A0">
        <w:rPr>
          <w:spacing w:val="-4"/>
        </w:rPr>
        <w:t xml:space="preserve"> </w:t>
      </w:r>
      <w:r w:rsidRPr="00EC20A0">
        <w:t>a</w:t>
      </w:r>
      <w:r w:rsidRPr="00EC20A0">
        <w:rPr>
          <w:spacing w:val="-4"/>
        </w:rPr>
        <w:t xml:space="preserve"> </w:t>
      </w:r>
      <w:r w:rsidRPr="00EC20A0">
        <w:t>projection</w:t>
      </w:r>
      <w:r w:rsidRPr="00EC20A0">
        <w:rPr>
          <w:spacing w:val="-4"/>
        </w:rPr>
        <w:t xml:space="preserve"> </w:t>
      </w:r>
      <w:r w:rsidRPr="00EC20A0">
        <w:t>period</w:t>
      </w:r>
      <w:r w:rsidRPr="00EC20A0">
        <w:rPr>
          <w:spacing w:val="-4"/>
        </w:rPr>
        <w:t xml:space="preserve"> </w:t>
      </w:r>
      <w:r w:rsidRPr="00EC20A0">
        <w:t>sufficient</w:t>
      </w:r>
      <w:r w:rsidRPr="00EC20A0">
        <w:rPr>
          <w:spacing w:val="-4"/>
        </w:rPr>
        <w:t xml:space="preserve"> </w:t>
      </w:r>
      <w:r w:rsidRPr="00EC20A0">
        <w:t>to</w:t>
      </w:r>
      <w:r w:rsidRPr="00EC20A0">
        <w:rPr>
          <w:spacing w:val="-4"/>
        </w:rPr>
        <w:t xml:space="preserve"> </w:t>
      </w:r>
      <w:r w:rsidRPr="00EC20A0">
        <w:t>illustrate</w:t>
      </w:r>
      <w:r w:rsidRPr="00EC20A0">
        <w:rPr>
          <w:spacing w:val="-5"/>
        </w:rPr>
        <w:t xml:space="preserve"> </w:t>
      </w:r>
      <w:r w:rsidRPr="00EC20A0">
        <w:t>the</w:t>
      </w:r>
      <w:r w:rsidRPr="00EC20A0">
        <w:rPr>
          <w:spacing w:val="-4"/>
        </w:rPr>
        <w:t xml:space="preserve"> </w:t>
      </w:r>
      <w:r w:rsidRPr="00EC20A0">
        <w:t>long-term</w:t>
      </w:r>
      <w:r w:rsidRPr="00EC20A0">
        <w:rPr>
          <w:spacing w:val="-5"/>
        </w:rPr>
        <w:t xml:space="preserve"> </w:t>
      </w:r>
      <w:r w:rsidRPr="00EC20A0">
        <w:t>sustainability</w:t>
      </w:r>
      <w:r w:rsidRPr="00EC20A0">
        <w:rPr>
          <w:spacing w:val="-4"/>
        </w:rPr>
        <w:t xml:space="preserve"> </w:t>
      </w:r>
      <w:r w:rsidRPr="00EC20A0">
        <w:t>of</w:t>
      </w:r>
      <w:r w:rsidRPr="00EC20A0">
        <w:rPr>
          <w:spacing w:val="-4"/>
        </w:rPr>
        <w:t xml:space="preserve"> </w:t>
      </w:r>
      <w:r w:rsidRPr="00EC20A0">
        <w:t>the social insurance program.</w:t>
      </w:r>
    </w:p>
    <w:p w14:paraId="24D61DA2" w14:textId="77777777" w:rsidR="00245300" w:rsidRPr="00EC20A0" w:rsidRDefault="00245300">
      <w:pPr>
        <w:sectPr w:rsidR="00245300" w:rsidRPr="00EC20A0">
          <w:pgSz w:w="12240" w:h="15840"/>
          <w:pgMar w:top="1340" w:right="1100" w:bottom="940" w:left="1240" w:header="721" w:footer="757" w:gutter="0"/>
          <w:cols w:space="720"/>
        </w:sectPr>
      </w:pPr>
    </w:p>
    <w:p w14:paraId="24D61DA3" w14:textId="77777777" w:rsidR="00245300" w:rsidRPr="00EC20A0" w:rsidRDefault="00F17249">
      <w:pPr>
        <w:pStyle w:val="ListParagraph"/>
        <w:numPr>
          <w:ilvl w:val="0"/>
          <w:numId w:val="69"/>
        </w:numPr>
        <w:tabs>
          <w:tab w:val="left" w:pos="559"/>
        </w:tabs>
        <w:spacing w:before="121"/>
        <w:ind w:left="559" w:right="561"/>
      </w:pPr>
      <w:r w:rsidRPr="00EC20A0">
        <w:t>Management</w:t>
      </w:r>
      <w:r w:rsidRPr="00EC20A0">
        <w:rPr>
          <w:spacing w:val="-4"/>
        </w:rPr>
        <w:t xml:space="preserve"> </w:t>
      </w:r>
      <w:r w:rsidRPr="00EC20A0">
        <w:t>provided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with</w:t>
      </w:r>
      <w:r w:rsidRPr="00EC20A0">
        <w:rPr>
          <w:spacing w:val="-4"/>
        </w:rPr>
        <w:t xml:space="preserve"> </w:t>
      </w:r>
      <w:r w:rsidRPr="00EC20A0">
        <w:t>all</w:t>
      </w:r>
      <w:r w:rsidRPr="00EC20A0">
        <w:rPr>
          <w:spacing w:val="-4"/>
        </w:rPr>
        <w:t xml:space="preserve"> </w:t>
      </w:r>
      <w:r w:rsidRPr="00EC20A0">
        <w:t>the</w:t>
      </w:r>
      <w:r w:rsidRPr="00EC20A0">
        <w:rPr>
          <w:spacing w:val="-4"/>
        </w:rPr>
        <w:t xml:space="preserve"> </w:t>
      </w:r>
      <w:r w:rsidRPr="00EC20A0">
        <w:t>reports</w:t>
      </w:r>
      <w:r w:rsidRPr="00EC20A0">
        <w:rPr>
          <w:spacing w:val="-4"/>
        </w:rPr>
        <w:t xml:space="preserve"> </w:t>
      </w:r>
      <w:r w:rsidRPr="00EC20A0">
        <w:t>developed</w:t>
      </w:r>
      <w:r w:rsidRPr="00EC20A0">
        <w:rPr>
          <w:spacing w:val="-4"/>
        </w:rPr>
        <w:t xml:space="preserve"> </w:t>
      </w:r>
      <w:r w:rsidRPr="00EC20A0">
        <w:t>by</w:t>
      </w:r>
      <w:r w:rsidRPr="00EC20A0">
        <w:rPr>
          <w:spacing w:val="-4"/>
        </w:rPr>
        <w:t xml:space="preserve"> </w:t>
      </w:r>
      <w:r w:rsidRPr="00EC20A0">
        <w:t>external</w:t>
      </w:r>
      <w:r w:rsidRPr="00EC20A0">
        <w:rPr>
          <w:spacing w:val="-4"/>
        </w:rPr>
        <w:t xml:space="preserve"> </w:t>
      </w:r>
      <w:r w:rsidRPr="00EC20A0">
        <w:t>review</w:t>
      </w:r>
      <w:r w:rsidRPr="00EC20A0">
        <w:rPr>
          <w:spacing w:val="-5"/>
        </w:rPr>
        <w:t xml:space="preserve"> </w:t>
      </w:r>
      <w:r w:rsidRPr="00EC20A0">
        <w:t xml:space="preserve">groups appointed by </w:t>
      </w:r>
      <w:r w:rsidRPr="00EC20A0">
        <w:rPr>
          <w:b/>
        </w:rPr>
        <w:t xml:space="preserve">[Entity’s or the program’s trustees] </w:t>
      </w:r>
      <w:r w:rsidRPr="00EC20A0">
        <w:t>related to estimates in the SOSI.</w:t>
      </w:r>
    </w:p>
    <w:p w14:paraId="24D61DA4" w14:textId="77777777" w:rsidR="00245300" w:rsidRPr="00EC20A0" w:rsidRDefault="00F17249">
      <w:pPr>
        <w:pStyle w:val="ListParagraph"/>
        <w:numPr>
          <w:ilvl w:val="0"/>
          <w:numId w:val="69"/>
        </w:numPr>
        <w:tabs>
          <w:tab w:val="left" w:pos="559"/>
        </w:tabs>
        <w:spacing w:before="239"/>
        <w:ind w:left="559" w:right="534"/>
      </w:pPr>
      <w:r w:rsidRPr="00EC20A0">
        <w:t>The</w:t>
      </w:r>
      <w:r w:rsidRPr="00EC20A0">
        <w:rPr>
          <w:spacing w:val="-3"/>
        </w:rPr>
        <w:t xml:space="preserve"> </w:t>
      </w:r>
      <w:r w:rsidRPr="00EC20A0">
        <w:t>following</w:t>
      </w:r>
      <w:r w:rsidRPr="00EC20A0">
        <w:rPr>
          <w:spacing w:val="-3"/>
        </w:rPr>
        <w:t xml:space="preserve"> </w:t>
      </w:r>
      <w:r w:rsidRPr="00EC20A0">
        <w:t>matters</w:t>
      </w:r>
      <w:r w:rsidRPr="00EC20A0">
        <w:rPr>
          <w:spacing w:val="-3"/>
        </w:rPr>
        <w:t xml:space="preserve"> </w:t>
      </w:r>
      <w:r w:rsidRPr="00EC20A0">
        <w:t>relating</w:t>
      </w:r>
      <w:r w:rsidRPr="00EC20A0">
        <w:rPr>
          <w:spacing w:val="-3"/>
        </w:rPr>
        <w:t xml:space="preserve"> </w:t>
      </w:r>
      <w:r w:rsidRPr="00EC20A0">
        <w:t>to</w:t>
      </w:r>
      <w:r w:rsidRPr="00EC20A0">
        <w:rPr>
          <w:spacing w:val="-3"/>
        </w:rPr>
        <w:t xml:space="preserve"> </w:t>
      </w:r>
      <w:r w:rsidRPr="00EC20A0">
        <w:t>the</w:t>
      </w:r>
      <w:r w:rsidRPr="00EC20A0">
        <w:rPr>
          <w:spacing w:val="-4"/>
        </w:rPr>
        <w:t xml:space="preserve"> </w:t>
      </w:r>
      <w:r w:rsidRPr="00EC20A0">
        <w:t>SOSI</w:t>
      </w:r>
      <w:r w:rsidRPr="00EC20A0">
        <w:rPr>
          <w:spacing w:val="-3"/>
        </w:rPr>
        <w:t xml:space="preserve"> </w:t>
      </w:r>
      <w:r w:rsidRPr="00EC20A0">
        <w:t>have</w:t>
      </w:r>
      <w:r w:rsidRPr="00EC20A0">
        <w:rPr>
          <w:spacing w:val="-3"/>
        </w:rPr>
        <w:t xml:space="preserve"> </w:t>
      </w:r>
      <w:r w:rsidRPr="00EC20A0">
        <w:t>been</w:t>
      </w:r>
      <w:r w:rsidRPr="00EC20A0">
        <w:rPr>
          <w:spacing w:val="-3"/>
        </w:rPr>
        <w:t xml:space="preserve"> </w:t>
      </w:r>
      <w:r w:rsidRPr="00EC20A0">
        <w:t>disclosed</w:t>
      </w:r>
      <w:r w:rsidRPr="00EC20A0">
        <w:rPr>
          <w:spacing w:val="-3"/>
        </w:rPr>
        <w:t xml:space="preserve"> </w:t>
      </w:r>
      <w:r w:rsidRPr="00EC20A0">
        <w:t>properly</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notes</w:t>
      </w:r>
      <w:r w:rsidRPr="00EC20A0">
        <w:rPr>
          <w:spacing w:val="-3"/>
        </w:rPr>
        <w:t xml:space="preserve"> </w:t>
      </w:r>
      <w:r w:rsidRPr="00EC20A0">
        <w:t>to</w:t>
      </w:r>
      <w:r w:rsidRPr="00EC20A0">
        <w:rPr>
          <w:spacing w:val="-3"/>
        </w:rPr>
        <w:t xml:space="preserve"> </w:t>
      </w:r>
      <w:r w:rsidRPr="00EC20A0">
        <w:t>the financial statements:</w:t>
      </w:r>
    </w:p>
    <w:p w14:paraId="24D61DA5" w14:textId="77777777" w:rsidR="00245300" w:rsidRPr="00EC20A0" w:rsidRDefault="00F17249">
      <w:pPr>
        <w:pStyle w:val="ListParagraph"/>
        <w:numPr>
          <w:ilvl w:val="1"/>
          <w:numId w:val="69"/>
        </w:numPr>
        <w:tabs>
          <w:tab w:val="left" w:pos="919"/>
        </w:tabs>
        <w:spacing w:before="181"/>
        <w:ind w:left="919" w:right="376" w:hanging="360"/>
      </w:pPr>
      <w:r w:rsidRPr="00EC20A0">
        <w:t>The accumulated excess of all past cash receipts, including interest on investments, over</w:t>
      </w:r>
      <w:r w:rsidRPr="00EC20A0">
        <w:rPr>
          <w:spacing w:val="-4"/>
        </w:rPr>
        <w:t xml:space="preserve"> </w:t>
      </w:r>
      <w:r w:rsidRPr="00EC20A0">
        <w:t>all</w:t>
      </w:r>
      <w:r w:rsidRPr="00EC20A0">
        <w:rPr>
          <w:spacing w:val="-4"/>
        </w:rPr>
        <w:t xml:space="preserve"> </w:t>
      </w:r>
      <w:r w:rsidRPr="00EC20A0">
        <w:t>past</w:t>
      </w:r>
      <w:r w:rsidRPr="00EC20A0">
        <w:rPr>
          <w:spacing w:val="-5"/>
        </w:rPr>
        <w:t xml:space="preserve"> </w:t>
      </w:r>
      <w:r w:rsidRPr="00EC20A0">
        <w:t>cash</w:t>
      </w:r>
      <w:r w:rsidRPr="00EC20A0">
        <w:rPr>
          <w:spacing w:val="-4"/>
        </w:rPr>
        <w:t xml:space="preserve"> </w:t>
      </w:r>
      <w:r w:rsidRPr="00EC20A0">
        <w:t>disbursements</w:t>
      </w:r>
      <w:r w:rsidRPr="00EC20A0">
        <w:rPr>
          <w:spacing w:val="-4"/>
        </w:rPr>
        <w:t xml:space="preserve"> </w:t>
      </w:r>
      <w:r w:rsidRPr="00EC20A0">
        <w:t>within</w:t>
      </w:r>
      <w:r w:rsidRPr="00EC20A0">
        <w:rPr>
          <w:spacing w:val="-4"/>
        </w:rPr>
        <w:t xml:space="preserve"> </w:t>
      </w:r>
      <w:r w:rsidRPr="00EC20A0">
        <w:t>the</w:t>
      </w:r>
      <w:r w:rsidRPr="00EC20A0">
        <w:rPr>
          <w:spacing w:val="-4"/>
        </w:rPr>
        <w:t xml:space="preserve"> </w:t>
      </w:r>
      <w:r w:rsidRPr="00EC20A0">
        <w:t>social</w:t>
      </w:r>
      <w:r w:rsidRPr="00EC20A0">
        <w:rPr>
          <w:spacing w:val="-4"/>
        </w:rPr>
        <w:t xml:space="preserve"> </w:t>
      </w:r>
      <w:r w:rsidRPr="00EC20A0">
        <w:t>insurance</w:t>
      </w:r>
      <w:r w:rsidRPr="00EC20A0">
        <w:rPr>
          <w:spacing w:val="-5"/>
        </w:rPr>
        <w:t xml:space="preserve"> </w:t>
      </w:r>
      <w:r w:rsidRPr="00EC20A0">
        <w:t>program</w:t>
      </w:r>
      <w:r w:rsidRPr="00EC20A0">
        <w:rPr>
          <w:spacing w:val="-7"/>
        </w:rPr>
        <w:t xml:space="preserve"> </w:t>
      </w:r>
      <w:r w:rsidRPr="00EC20A0">
        <w:t>represented</w:t>
      </w:r>
      <w:r w:rsidRPr="00EC20A0">
        <w:rPr>
          <w:spacing w:val="-4"/>
        </w:rPr>
        <w:t xml:space="preserve"> </w:t>
      </w:r>
      <w:r w:rsidRPr="00EC20A0">
        <w:t>by</w:t>
      </w:r>
      <w:r w:rsidRPr="00EC20A0">
        <w:rPr>
          <w:spacing w:val="-4"/>
        </w:rPr>
        <w:t xml:space="preserve"> </w:t>
      </w:r>
      <w:r w:rsidRPr="00EC20A0">
        <w:t>the fund balance at the valuation date.</w:t>
      </w:r>
    </w:p>
    <w:p w14:paraId="24D61DA6" w14:textId="77777777" w:rsidR="00245300" w:rsidRPr="00EC20A0" w:rsidRDefault="00F17249">
      <w:pPr>
        <w:pStyle w:val="ListParagraph"/>
        <w:numPr>
          <w:ilvl w:val="1"/>
          <w:numId w:val="69"/>
        </w:numPr>
        <w:tabs>
          <w:tab w:val="left" w:pos="919"/>
        </w:tabs>
        <w:spacing w:before="180"/>
        <w:ind w:left="919" w:hanging="359"/>
      </w:pPr>
      <w:r w:rsidRPr="00EC20A0">
        <w:t>An</w:t>
      </w:r>
      <w:r w:rsidRPr="00EC20A0">
        <w:rPr>
          <w:spacing w:val="-8"/>
        </w:rPr>
        <w:t xml:space="preserve"> </w:t>
      </w:r>
      <w:r w:rsidRPr="00EC20A0">
        <w:t>explanation</w:t>
      </w:r>
      <w:r w:rsidRPr="00EC20A0">
        <w:rPr>
          <w:spacing w:val="-5"/>
        </w:rPr>
        <w:t xml:space="preserve"> </w:t>
      </w:r>
      <w:r w:rsidRPr="00EC20A0">
        <w:t>of</w:t>
      </w:r>
      <w:r w:rsidRPr="00EC20A0">
        <w:rPr>
          <w:spacing w:val="-6"/>
        </w:rPr>
        <w:t xml:space="preserve"> </w:t>
      </w:r>
      <w:r w:rsidRPr="00EC20A0">
        <w:t>how</w:t>
      </w:r>
      <w:r w:rsidRPr="00EC20A0">
        <w:rPr>
          <w:spacing w:val="-6"/>
        </w:rPr>
        <w:t xml:space="preserve"> </w:t>
      </w:r>
      <w:r w:rsidRPr="00EC20A0">
        <w:t>the</w:t>
      </w:r>
      <w:r w:rsidRPr="00EC20A0">
        <w:rPr>
          <w:spacing w:val="-5"/>
        </w:rPr>
        <w:t xml:space="preserve"> </w:t>
      </w:r>
      <w:r w:rsidRPr="00EC20A0">
        <w:t>net</w:t>
      </w:r>
      <w:r w:rsidRPr="00EC20A0">
        <w:rPr>
          <w:spacing w:val="-6"/>
        </w:rPr>
        <w:t xml:space="preserve"> </w:t>
      </w:r>
      <w:r w:rsidRPr="00EC20A0">
        <w:t>present</w:t>
      </w:r>
      <w:r w:rsidRPr="00EC20A0">
        <w:rPr>
          <w:spacing w:val="-5"/>
        </w:rPr>
        <w:t xml:space="preserve"> </w:t>
      </w:r>
      <w:r w:rsidRPr="00EC20A0">
        <w:t>value</w:t>
      </w:r>
      <w:r w:rsidRPr="00EC20A0">
        <w:rPr>
          <w:spacing w:val="-6"/>
        </w:rPr>
        <w:t xml:space="preserve"> </w:t>
      </w:r>
      <w:r w:rsidRPr="00EC20A0">
        <w:t>is</w:t>
      </w:r>
      <w:r w:rsidRPr="00EC20A0">
        <w:rPr>
          <w:spacing w:val="-5"/>
        </w:rPr>
        <w:t xml:space="preserve"> </w:t>
      </w:r>
      <w:r w:rsidRPr="00EC20A0">
        <w:t>calculated</w:t>
      </w:r>
      <w:r w:rsidRPr="00EC20A0">
        <w:rPr>
          <w:spacing w:val="-5"/>
        </w:rPr>
        <w:t xml:space="preserve"> </w:t>
      </w:r>
      <w:r w:rsidRPr="00EC20A0">
        <w:t>for</w:t>
      </w:r>
      <w:r w:rsidRPr="00EC20A0">
        <w:rPr>
          <w:spacing w:val="-6"/>
        </w:rPr>
        <w:t xml:space="preserve"> </w:t>
      </w:r>
      <w:r w:rsidRPr="00EC20A0">
        <w:t>the</w:t>
      </w:r>
      <w:r w:rsidRPr="00EC20A0">
        <w:rPr>
          <w:spacing w:val="-5"/>
        </w:rPr>
        <w:t xml:space="preserve"> </w:t>
      </w:r>
      <w:r w:rsidRPr="00EC20A0">
        <w:t>closed</w:t>
      </w:r>
      <w:r w:rsidRPr="00EC20A0">
        <w:rPr>
          <w:spacing w:val="-5"/>
        </w:rPr>
        <w:t xml:space="preserve"> </w:t>
      </w:r>
      <w:r w:rsidRPr="00EC20A0">
        <w:rPr>
          <w:spacing w:val="-2"/>
        </w:rPr>
        <w:t>group.</w:t>
      </w:r>
    </w:p>
    <w:p w14:paraId="24D61DA7" w14:textId="77777777" w:rsidR="00245300" w:rsidRPr="00EC20A0" w:rsidRDefault="00F17249">
      <w:pPr>
        <w:pStyle w:val="ListParagraph"/>
        <w:numPr>
          <w:ilvl w:val="1"/>
          <w:numId w:val="69"/>
        </w:numPr>
        <w:tabs>
          <w:tab w:val="left" w:pos="918"/>
          <w:tab w:val="left" w:pos="920"/>
        </w:tabs>
        <w:spacing w:before="179"/>
        <w:ind w:right="1012"/>
      </w:pPr>
      <w:r w:rsidRPr="00EC20A0">
        <w:t>Comparative</w:t>
      </w:r>
      <w:r w:rsidRPr="00EC20A0">
        <w:rPr>
          <w:spacing w:val="-4"/>
        </w:rPr>
        <w:t xml:space="preserve"> </w:t>
      </w:r>
      <w:r w:rsidRPr="00EC20A0">
        <w:t>financial</w:t>
      </w:r>
      <w:r w:rsidRPr="00EC20A0">
        <w:rPr>
          <w:spacing w:val="-5"/>
        </w:rPr>
        <w:t xml:space="preserve"> </w:t>
      </w:r>
      <w:r w:rsidRPr="00EC20A0">
        <w:t>information</w:t>
      </w:r>
      <w:r w:rsidRPr="00EC20A0">
        <w:rPr>
          <w:spacing w:val="-4"/>
        </w:rPr>
        <w:t xml:space="preserve"> </w:t>
      </w:r>
      <w:r w:rsidRPr="00EC20A0">
        <w:t>for</w:t>
      </w:r>
      <w:r w:rsidRPr="00EC20A0">
        <w:rPr>
          <w:spacing w:val="-5"/>
        </w:rPr>
        <w:t xml:space="preserve"> </w:t>
      </w:r>
      <w:r w:rsidRPr="00EC20A0">
        <w:t>items</w:t>
      </w:r>
      <w:r w:rsidRPr="00EC20A0">
        <w:rPr>
          <w:spacing w:val="-4"/>
        </w:rPr>
        <w:t xml:space="preserve"> </w:t>
      </w:r>
      <w:r w:rsidRPr="00EC20A0">
        <w:t>in</w:t>
      </w:r>
      <w:r w:rsidRPr="00EC20A0">
        <w:rPr>
          <w:spacing w:val="-4"/>
        </w:rPr>
        <w:t xml:space="preserve"> </w:t>
      </w:r>
      <w:r w:rsidRPr="00EC20A0">
        <w:t>paragraphs</w:t>
      </w:r>
      <w:r w:rsidRPr="00EC20A0">
        <w:rPr>
          <w:spacing w:val="-4"/>
        </w:rPr>
        <w:t xml:space="preserve"> </w:t>
      </w:r>
      <w:r w:rsidRPr="00EC20A0">
        <w:t>2a,</w:t>
      </w:r>
      <w:r w:rsidRPr="00EC20A0">
        <w:rPr>
          <w:spacing w:val="-4"/>
        </w:rPr>
        <w:t xml:space="preserve"> </w:t>
      </w:r>
      <w:r w:rsidRPr="00EC20A0">
        <w:t>2b,</w:t>
      </w:r>
      <w:r w:rsidRPr="00EC20A0">
        <w:rPr>
          <w:spacing w:val="-4"/>
        </w:rPr>
        <w:t xml:space="preserve"> </w:t>
      </w:r>
      <w:r w:rsidRPr="00EC20A0">
        <w:t>2c,</w:t>
      </w:r>
      <w:r w:rsidRPr="00EC20A0">
        <w:rPr>
          <w:spacing w:val="-4"/>
        </w:rPr>
        <w:t xml:space="preserve"> </w:t>
      </w:r>
      <w:r w:rsidRPr="00EC20A0">
        <w:t>and</w:t>
      </w:r>
      <w:r w:rsidRPr="00EC20A0">
        <w:rPr>
          <w:spacing w:val="-5"/>
        </w:rPr>
        <w:t xml:space="preserve"> </w:t>
      </w:r>
      <w:r w:rsidRPr="00EC20A0">
        <w:t>2d</w:t>
      </w:r>
      <w:r w:rsidRPr="00EC20A0">
        <w:rPr>
          <w:spacing w:val="-4"/>
        </w:rPr>
        <w:t xml:space="preserve"> </w:t>
      </w:r>
      <w:r w:rsidRPr="00EC20A0">
        <w:t>(1)</w:t>
      </w:r>
      <w:r w:rsidRPr="00EC20A0">
        <w:rPr>
          <w:spacing w:val="-4"/>
        </w:rPr>
        <w:t xml:space="preserve"> </w:t>
      </w:r>
      <w:r w:rsidRPr="00EC20A0">
        <w:t xml:space="preserve">of SOP 04-1, for the </w:t>
      </w:r>
      <w:r w:rsidRPr="00EC20A0">
        <w:t>current year and for each of the preceding 4 years. (Note any preceding years that are unaudited.)</w:t>
      </w:r>
    </w:p>
    <w:p w14:paraId="24D61DA8" w14:textId="77777777" w:rsidR="00245300" w:rsidRPr="00EC20A0" w:rsidRDefault="00F17249">
      <w:pPr>
        <w:pStyle w:val="ListParagraph"/>
        <w:numPr>
          <w:ilvl w:val="1"/>
          <w:numId w:val="69"/>
        </w:numPr>
        <w:tabs>
          <w:tab w:val="left" w:pos="919"/>
        </w:tabs>
        <w:spacing w:before="181"/>
        <w:ind w:left="919" w:hanging="359"/>
      </w:pPr>
      <w:r w:rsidRPr="00EC20A0">
        <w:t>Significant</w:t>
      </w:r>
      <w:r w:rsidRPr="00EC20A0">
        <w:rPr>
          <w:spacing w:val="-9"/>
        </w:rPr>
        <w:t xml:space="preserve"> </w:t>
      </w:r>
      <w:r w:rsidRPr="00EC20A0">
        <w:t>assumptions</w:t>
      </w:r>
      <w:r w:rsidRPr="00EC20A0">
        <w:rPr>
          <w:spacing w:val="-10"/>
        </w:rPr>
        <w:t xml:space="preserve"> </w:t>
      </w:r>
      <w:r w:rsidRPr="00EC20A0">
        <w:t>used</w:t>
      </w:r>
      <w:r w:rsidRPr="00EC20A0">
        <w:rPr>
          <w:spacing w:val="-9"/>
        </w:rPr>
        <w:t xml:space="preserve"> </w:t>
      </w:r>
      <w:r w:rsidRPr="00EC20A0">
        <w:t>in</w:t>
      </w:r>
      <w:r w:rsidRPr="00EC20A0">
        <w:rPr>
          <w:spacing w:val="-9"/>
        </w:rPr>
        <w:t xml:space="preserve"> </w:t>
      </w:r>
      <w:r w:rsidRPr="00EC20A0">
        <w:t>preparing</w:t>
      </w:r>
      <w:r w:rsidRPr="00EC20A0">
        <w:rPr>
          <w:spacing w:val="-9"/>
        </w:rPr>
        <w:t xml:space="preserve"> </w:t>
      </w:r>
      <w:r w:rsidRPr="00EC20A0">
        <w:rPr>
          <w:spacing w:val="-2"/>
        </w:rPr>
        <w:t>estimates.</w:t>
      </w:r>
    </w:p>
    <w:p w14:paraId="24D61DA9" w14:textId="77777777" w:rsidR="00245300" w:rsidRPr="00EC20A0" w:rsidRDefault="00F17249">
      <w:pPr>
        <w:pStyle w:val="ListParagraph"/>
        <w:numPr>
          <w:ilvl w:val="0"/>
          <w:numId w:val="69"/>
        </w:numPr>
        <w:tabs>
          <w:tab w:val="left" w:pos="560"/>
        </w:tabs>
        <w:ind w:right="428"/>
      </w:pPr>
      <w:r w:rsidRPr="00EC20A0">
        <w:t xml:space="preserve">There have been no changes in </w:t>
      </w:r>
      <w:r w:rsidRPr="00EC20A0">
        <w:rPr>
          <w:b/>
        </w:rPr>
        <w:t>[or, Changes in the following have been properly reported</w:t>
      </w:r>
      <w:r w:rsidRPr="00EC20A0">
        <w:rPr>
          <w:b/>
          <w:spacing w:val="-4"/>
        </w:rPr>
        <w:t xml:space="preserve"> </w:t>
      </w:r>
      <w:r w:rsidRPr="00EC20A0">
        <w:rPr>
          <w:b/>
        </w:rPr>
        <w:t>or</w:t>
      </w:r>
      <w:r w:rsidRPr="00EC20A0">
        <w:rPr>
          <w:b/>
          <w:spacing w:val="-3"/>
        </w:rPr>
        <w:t xml:space="preserve"> </w:t>
      </w:r>
      <w:r w:rsidRPr="00EC20A0">
        <w:rPr>
          <w:b/>
        </w:rPr>
        <w:t>disclosed</w:t>
      </w:r>
      <w:r w:rsidRPr="00EC20A0">
        <w:rPr>
          <w:b/>
          <w:spacing w:val="-4"/>
        </w:rPr>
        <w:t xml:space="preserve"> </w:t>
      </w:r>
      <w:r w:rsidRPr="00EC20A0">
        <w:rPr>
          <w:b/>
        </w:rPr>
        <w:t>in]</w:t>
      </w:r>
      <w:r w:rsidRPr="00EC20A0">
        <w:rPr>
          <w:b/>
          <w:spacing w:val="-4"/>
        </w:rPr>
        <w:t xml:space="preserve"> </w:t>
      </w:r>
      <w:r w:rsidRPr="00EC20A0">
        <w:t>the</w:t>
      </w:r>
      <w:r w:rsidRPr="00EC20A0">
        <w:rPr>
          <w:spacing w:val="-4"/>
        </w:rPr>
        <w:t xml:space="preserve"> </w:t>
      </w:r>
      <w:r w:rsidRPr="00EC20A0">
        <w:t>actuarial</w:t>
      </w:r>
      <w:r w:rsidRPr="00EC20A0">
        <w:rPr>
          <w:spacing w:val="-4"/>
        </w:rPr>
        <w:t xml:space="preserve"> </w:t>
      </w:r>
      <w:r w:rsidRPr="00EC20A0">
        <w:t>methods</w:t>
      </w:r>
      <w:r w:rsidRPr="00EC20A0">
        <w:rPr>
          <w:spacing w:val="-4"/>
        </w:rPr>
        <w:t xml:space="preserve"> </w:t>
      </w:r>
      <w:r w:rsidRPr="00EC20A0">
        <w:t>or</w:t>
      </w:r>
      <w:r w:rsidRPr="00EC20A0">
        <w:rPr>
          <w:spacing w:val="-4"/>
        </w:rPr>
        <w:t xml:space="preserve"> </w:t>
      </w:r>
      <w:r w:rsidRPr="00EC20A0">
        <w:t>assumptions</w:t>
      </w:r>
      <w:r w:rsidRPr="00EC20A0">
        <w:rPr>
          <w:spacing w:val="-4"/>
        </w:rPr>
        <w:t xml:space="preserve"> </w:t>
      </w:r>
      <w:r w:rsidRPr="00EC20A0">
        <w:t>used</w:t>
      </w:r>
      <w:r w:rsidRPr="00EC20A0">
        <w:rPr>
          <w:spacing w:val="-4"/>
        </w:rPr>
        <w:t xml:space="preserve"> </w:t>
      </w:r>
      <w:r w:rsidRPr="00EC20A0">
        <w:t>to</w:t>
      </w:r>
      <w:r w:rsidRPr="00EC20A0">
        <w:rPr>
          <w:spacing w:val="-5"/>
        </w:rPr>
        <w:t xml:space="preserve"> </w:t>
      </w:r>
      <w:r w:rsidRPr="00EC20A0">
        <w:t>calculate</w:t>
      </w:r>
      <w:r w:rsidRPr="00EC20A0">
        <w:rPr>
          <w:spacing w:val="-4"/>
        </w:rPr>
        <w:t xml:space="preserve"> </w:t>
      </w:r>
      <w:r w:rsidRPr="00EC20A0">
        <w:t>amounts recorded or disclosed in the financial statements between the</w:t>
      </w:r>
    </w:p>
    <w:p w14:paraId="24D61DAA" w14:textId="77777777" w:rsidR="00245300" w:rsidRPr="00EC20A0" w:rsidRDefault="00F17249">
      <w:pPr>
        <w:pStyle w:val="ListParagraph"/>
        <w:numPr>
          <w:ilvl w:val="1"/>
          <w:numId w:val="69"/>
        </w:numPr>
        <w:tabs>
          <w:tab w:val="left" w:pos="920"/>
        </w:tabs>
        <w:spacing w:before="180"/>
        <w:ind w:right="1040" w:hanging="360"/>
      </w:pPr>
      <w:r w:rsidRPr="00EC20A0">
        <w:t>valuation</w:t>
      </w:r>
      <w:r w:rsidRPr="00EC20A0">
        <w:rPr>
          <w:spacing w:val="-3"/>
        </w:rPr>
        <w:t xml:space="preserve"> </w:t>
      </w:r>
      <w:r w:rsidRPr="00EC20A0">
        <w:t>dates</w:t>
      </w:r>
      <w:r w:rsidRPr="00EC20A0">
        <w:rPr>
          <w:spacing w:val="-3"/>
        </w:rPr>
        <w:t xml:space="preserve"> </w:t>
      </w:r>
      <w:r w:rsidRPr="00EC20A0">
        <w:t>of</w:t>
      </w:r>
      <w:r w:rsidRPr="00EC20A0">
        <w:rPr>
          <w:spacing w:val="-3"/>
        </w:rPr>
        <w:t xml:space="preserve"> </w:t>
      </w:r>
      <w:r w:rsidRPr="00EC20A0">
        <w:t>(for</w:t>
      </w:r>
      <w:r w:rsidRPr="00EC20A0">
        <w:rPr>
          <w:spacing w:val="-3"/>
        </w:rPr>
        <w:t xml:space="preserve"> </w:t>
      </w:r>
      <w:r w:rsidRPr="00EC20A0">
        <w:t>example,</w:t>
      </w:r>
      <w:r w:rsidRPr="00EC20A0">
        <w:rPr>
          <w:spacing w:val="-3"/>
        </w:rPr>
        <w:t xml:space="preserve"> </w:t>
      </w:r>
      <w:r w:rsidRPr="00EC20A0">
        <w:t>January</w:t>
      </w:r>
      <w:r w:rsidRPr="00EC20A0">
        <w:rPr>
          <w:spacing w:val="-3"/>
        </w:rPr>
        <w:t xml:space="preserve"> </w:t>
      </w:r>
      <w:r w:rsidRPr="00EC20A0">
        <w:t>1,</w:t>
      </w:r>
      <w:r w:rsidRPr="00EC20A0">
        <w:rPr>
          <w:spacing w:val="-3"/>
        </w:rPr>
        <w:t xml:space="preserve"> </w:t>
      </w:r>
      <w:r w:rsidRPr="00EC20A0">
        <w:t>20X2,</w:t>
      </w:r>
      <w:r w:rsidRPr="00EC20A0">
        <w:rPr>
          <w:spacing w:val="-3"/>
        </w:rPr>
        <w:t xml:space="preserve"> </w:t>
      </w:r>
      <w:r w:rsidRPr="00EC20A0">
        <w:t>and</w:t>
      </w:r>
      <w:r w:rsidRPr="00EC20A0">
        <w:rPr>
          <w:spacing w:val="-3"/>
        </w:rPr>
        <w:t xml:space="preserve"> </w:t>
      </w:r>
      <w:r w:rsidRPr="00EC20A0">
        <w:t>January</w:t>
      </w:r>
      <w:r w:rsidRPr="00EC20A0">
        <w:rPr>
          <w:spacing w:val="-3"/>
        </w:rPr>
        <w:t xml:space="preserve"> </w:t>
      </w:r>
      <w:r w:rsidRPr="00EC20A0">
        <w:t>1,</w:t>
      </w:r>
      <w:r w:rsidRPr="00EC20A0">
        <w:rPr>
          <w:spacing w:val="-3"/>
        </w:rPr>
        <w:t xml:space="preserve"> </w:t>
      </w:r>
      <w:r w:rsidRPr="00EC20A0">
        <w:t>20X1,</w:t>
      </w:r>
      <w:r w:rsidRPr="00EC20A0">
        <w:rPr>
          <w:spacing w:val="-3"/>
        </w:rPr>
        <w:t xml:space="preserve"> </w:t>
      </w:r>
      <w:r w:rsidRPr="00EC20A0">
        <w:t>and</w:t>
      </w:r>
      <w:r w:rsidRPr="00EC20A0">
        <w:rPr>
          <w:spacing w:val="-3"/>
        </w:rPr>
        <w:t xml:space="preserve"> </w:t>
      </w:r>
      <w:r w:rsidRPr="00EC20A0">
        <w:t>other valuation dates presented) or changes in the method of collecting data and</w:t>
      </w:r>
    </w:p>
    <w:p w14:paraId="24D61DAB" w14:textId="77777777" w:rsidR="00245300" w:rsidRPr="00EC20A0" w:rsidRDefault="00F17249">
      <w:pPr>
        <w:pStyle w:val="ListParagraph"/>
        <w:numPr>
          <w:ilvl w:val="1"/>
          <w:numId w:val="69"/>
        </w:numPr>
        <w:tabs>
          <w:tab w:val="left" w:pos="919"/>
        </w:tabs>
        <w:spacing w:before="252"/>
        <w:ind w:left="919" w:right="628" w:hanging="360"/>
      </w:pPr>
      <w:r w:rsidRPr="00EC20A0">
        <w:t>valuation date of (for example, January 1, 20X2, and the other valuation dates presented)</w:t>
      </w:r>
      <w:r w:rsidRPr="00EC20A0">
        <w:rPr>
          <w:spacing w:val="-5"/>
        </w:rPr>
        <w:t xml:space="preserve"> </w:t>
      </w:r>
      <w:r w:rsidRPr="00EC20A0">
        <w:t>and</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reporting</w:t>
      </w:r>
      <w:r w:rsidRPr="00EC20A0">
        <w:rPr>
          <w:spacing w:val="-4"/>
        </w:rPr>
        <w:t xml:space="preserve"> </w:t>
      </w:r>
      <w:r w:rsidRPr="00EC20A0">
        <w:t>date</w:t>
      </w:r>
      <w:r w:rsidRPr="00EC20A0">
        <w:rPr>
          <w:spacing w:val="-3"/>
        </w:rPr>
        <w:t xml:space="preserve"> </w:t>
      </w:r>
      <w:r w:rsidRPr="00EC20A0">
        <w:t>of</w:t>
      </w:r>
      <w:r w:rsidRPr="00EC20A0">
        <w:rPr>
          <w:spacing w:val="-4"/>
        </w:rPr>
        <w:t xml:space="preserve"> </w:t>
      </w:r>
      <w:r w:rsidRPr="00EC20A0">
        <w:t>(September</w:t>
      </w:r>
      <w:r w:rsidRPr="00EC20A0">
        <w:rPr>
          <w:spacing w:val="-3"/>
        </w:rPr>
        <w:t xml:space="preserve"> </w:t>
      </w:r>
      <w:r w:rsidRPr="00EC20A0">
        <w:t>30,</w:t>
      </w:r>
      <w:r w:rsidRPr="00EC20A0">
        <w:rPr>
          <w:spacing w:val="-4"/>
        </w:rPr>
        <w:t xml:space="preserve"> </w:t>
      </w:r>
      <w:r w:rsidRPr="00EC20A0">
        <w:t>20X2)</w:t>
      </w:r>
      <w:r w:rsidRPr="00EC20A0">
        <w:rPr>
          <w:spacing w:val="-4"/>
        </w:rPr>
        <w:t xml:space="preserve"> </w:t>
      </w:r>
      <w:r w:rsidRPr="00EC20A0">
        <w:t>or</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the method of collecting data.</w:t>
      </w:r>
    </w:p>
    <w:p w14:paraId="24D61DAC" w14:textId="77777777" w:rsidR="00245300" w:rsidRPr="00EC20A0" w:rsidRDefault="00F17249">
      <w:pPr>
        <w:pStyle w:val="ListParagraph"/>
        <w:numPr>
          <w:ilvl w:val="0"/>
          <w:numId w:val="69"/>
        </w:numPr>
        <w:tabs>
          <w:tab w:val="left" w:pos="559"/>
        </w:tabs>
        <w:spacing w:before="241"/>
        <w:ind w:left="559" w:right="518"/>
      </w:pPr>
      <w:r w:rsidRPr="00EC20A0">
        <w:t>There have been no changes in [</w:t>
      </w:r>
      <w:r w:rsidRPr="00EC20A0">
        <w:rPr>
          <w:b/>
        </w:rPr>
        <w:t>or, Changes in the following have been properly reported</w:t>
      </w:r>
      <w:r w:rsidRPr="00EC20A0">
        <w:rPr>
          <w:b/>
          <w:spacing w:val="-4"/>
        </w:rPr>
        <w:t xml:space="preserve"> </w:t>
      </w:r>
      <w:r w:rsidRPr="00EC20A0">
        <w:rPr>
          <w:b/>
        </w:rPr>
        <w:t>or</w:t>
      </w:r>
      <w:r w:rsidRPr="00EC20A0">
        <w:rPr>
          <w:b/>
          <w:spacing w:val="-3"/>
        </w:rPr>
        <w:t xml:space="preserve"> </w:t>
      </w:r>
      <w:r w:rsidRPr="00EC20A0">
        <w:rPr>
          <w:b/>
        </w:rPr>
        <w:t>disclosed</w:t>
      </w:r>
      <w:r w:rsidRPr="00EC20A0">
        <w:rPr>
          <w:b/>
          <w:spacing w:val="-4"/>
        </w:rPr>
        <w:t xml:space="preserve"> </w:t>
      </w:r>
      <w:r w:rsidRPr="00EC20A0">
        <w:rPr>
          <w:b/>
        </w:rPr>
        <w:t>in]</w:t>
      </w:r>
      <w:r w:rsidRPr="00EC20A0">
        <w:rPr>
          <w:b/>
          <w:spacing w:val="-4"/>
        </w:rPr>
        <w:t xml:space="preserve"> </w:t>
      </w:r>
      <w:r w:rsidRPr="00EC20A0">
        <w:t>laws</w:t>
      </w:r>
      <w:r w:rsidRPr="00EC20A0">
        <w:rPr>
          <w:spacing w:val="-4"/>
        </w:rPr>
        <w:t xml:space="preserve"> </w:t>
      </w:r>
      <w:r w:rsidRPr="00EC20A0">
        <w:t>and</w:t>
      </w:r>
      <w:r w:rsidRPr="00EC20A0">
        <w:rPr>
          <w:spacing w:val="-5"/>
        </w:rPr>
        <w:t xml:space="preserve"> </w:t>
      </w:r>
      <w:r w:rsidRPr="00EC20A0">
        <w:t>regulations</w:t>
      </w:r>
      <w:r w:rsidRPr="00EC20A0">
        <w:rPr>
          <w:spacing w:val="-6"/>
        </w:rPr>
        <w:t xml:space="preserve"> </w:t>
      </w:r>
      <w:r w:rsidRPr="00EC20A0">
        <w:t>affecting</w:t>
      </w:r>
      <w:r w:rsidRPr="00EC20A0">
        <w:rPr>
          <w:spacing w:val="-5"/>
        </w:rPr>
        <w:t xml:space="preserve"> </w:t>
      </w:r>
      <w:r w:rsidRPr="00EC20A0">
        <w:t>social</w:t>
      </w:r>
      <w:r w:rsidRPr="00EC20A0">
        <w:rPr>
          <w:spacing w:val="-5"/>
        </w:rPr>
        <w:t xml:space="preserve"> </w:t>
      </w:r>
      <w:r w:rsidRPr="00EC20A0">
        <w:t>insurance</w:t>
      </w:r>
      <w:r w:rsidRPr="00EC20A0">
        <w:rPr>
          <w:spacing w:val="-4"/>
        </w:rPr>
        <w:t xml:space="preserve"> </w:t>
      </w:r>
      <w:r w:rsidRPr="00EC20A0">
        <w:t>program</w:t>
      </w:r>
      <w:r w:rsidRPr="00EC20A0">
        <w:rPr>
          <w:spacing w:val="-7"/>
        </w:rPr>
        <w:t xml:space="preserve"> </w:t>
      </w:r>
      <w:r w:rsidRPr="00EC20A0">
        <w:t>income and benefits between the</w:t>
      </w:r>
    </w:p>
    <w:p w14:paraId="24D61DAD" w14:textId="77777777" w:rsidR="00245300" w:rsidRPr="00EC20A0" w:rsidRDefault="00F17249">
      <w:pPr>
        <w:pStyle w:val="ListParagraph"/>
        <w:numPr>
          <w:ilvl w:val="1"/>
          <w:numId w:val="69"/>
        </w:numPr>
        <w:tabs>
          <w:tab w:val="left" w:pos="918"/>
        </w:tabs>
        <w:spacing w:before="180"/>
        <w:ind w:left="918" w:right="1042" w:hanging="360"/>
      </w:pPr>
      <w:r w:rsidRPr="00EC20A0">
        <w:t>valuation</w:t>
      </w:r>
      <w:r w:rsidRPr="00EC20A0">
        <w:rPr>
          <w:spacing w:val="-3"/>
        </w:rPr>
        <w:t xml:space="preserve"> </w:t>
      </w:r>
      <w:r w:rsidRPr="00EC20A0">
        <w:t>dates</w:t>
      </w:r>
      <w:r w:rsidRPr="00EC20A0">
        <w:rPr>
          <w:spacing w:val="-2"/>
        </w:rPr>
        <w:t xml:space="preserve"> </w:t>
      </w:r>
      <w:r w:rsidRPr="00EC20A0">
        <w:t>of</w:t>
      </w:r>
      <w:r w:rsidRPr="00EC20A0">
        <w:rPr>
          <w:spacing w:val="-3"/>
        </w:rPr>
        <w:t xml:space="preserve"> </w:t>
      </w:r>
      <w:r w:rsidRPr="00EC20A0">
        <w:t>(for</w:t>
      </w:r>
      <w:r w:rsidRPr="00EC20A0">
        <w:rPr>
          <w:spacing w:val="-3"/>
        </w:rPr>
        <w:t xml:space="preserve"> </w:t>
      </w:r>
      <w:r w:rsidRPr="00EC20A0">
        <w:t>example,</w:t>
      </w:r>
      <w:r w:rsidRPr="00EC20A0">
        <w:rPr>
          <w:spacing w:val="-3"/>
        </w:rPr>
        <w:t xml:space="preserve"> </w:t>
      </w:r>
      <w:r w:rsidRPr="00EC20A0">
        <w:t>January</w:t>
      </w:r>
      <w:r w:rsidRPr="00EC20A0">
        <w:rPr>
          <w:spacing w:val="-3"/>
        </w:rPr>
        <w:t xml:space="preserve"> </w:t>
      </w:r>
      <w:r w:rsidRPr="00EC20A0">
        <w:t>1,</w:t>
      </w:r>
      <w:r w:rsidRPr="00EC20A0">
        <w:rPr>
          <w:spacing w:val="-3"/>
        </w:rPr>
        <w:t xml:space="preserve"> </w:t>
      </w:r>
      <w:r w:rsidRPr="00EC20A0">
        <w:t>20X2,</w:t>
      </w:r>
      <w:r w:rsidRPr="00EC20A0">
        <w:rPr>
          <w:spacing w:val="-3"/>
        </w:rPr>
        <w:t xml:space="preserve"> </w:t>
      </w:r>
      <w:r w:rsidRPr="00EC20A0">
        <w:t>and</w:t>
      </w:r>
      <w:r w:rsidRPr="00EC20A0">
        <w:rPr>
          <w:spacing w:val="-3"/>
        </w:rPr>
        <w:t xml:space="preserve"> </w:t>
      </w:r>
      <w:r w:rsidRPr="00EC20A0">
        <w:t>January</w:t>
      </w:r>
      <w:r w:rsidRPr="00EC20A0">
        <w:rPr>
          <w:spacing w:val="-3"/>
        </w:rPr>
        <w:t xml:space="preserve"> </w:t>
      </w:r>
      <w:r w:rsidRPr="00EC20A0">
        <w:t>1,</w:t>
      </w:r>
      <w:r w:rsidRPr="00EC20A0">
        <w:rPr>
          <w:spacing w:val="-3"/>
        </w:rPr>
        <w:t xml:space="preserve"> </w:t>
      </w:r>
      <w:r w:rsidRPr="00EC20A0">
        <w:t>20X1,</w:t>
      </w:r>
      <w:r w:rsidRPr="00EC20A0">
        <w:rPr>
          <w:spacing w:val="-3"/>
        </w:rPr>
        <w:t xml:space="preserve"> </w:t>
      </w:r>
      <w:r w:rsidRPr="00EC20A0">
        <w:t>and</w:t>
      </w:r>
      <w:r w:rsidRPr="00EC20A0">
        <w:rPr>
          <w:spacing w:val="-3"/>
        </w:rPr>
        <w:t xml:space="preserve"> </w:t>
      </w:r>
      <w:r w:rsidRPr="00EC20A0">
        <w:t xml:space="preserve">other </w:t>
      </w:r>
      <w:r w:rsidRPr="00EC20A0">
        <w:t>valuation dates presented) and</w:t>
      </w:r>
    </w:p>
    <w:p w14:paraId="24D61DAE" w14:textId="77777777" w:rsidR="00245300" w:rsidRPr="00EC20A0" w:rsidRDefault="00F17249">
      <w:pPr>
        <w:pStyle w:val="ListParagraph"/>
        <w:numPr>
          <w:ilvl w:val="1"/>
          <w:numId w:val="69"/>
        </w:numPr>
        <w:tabs>
          <w:tab w:val="left" w:pos="919"/>
        </w:tabs>
        <w:spacing w:before="180"/>
        <w:ind w:left="919" w:right="959" w:hanging="360"/>
      </w:pPr>
      <w:r w:rsidRPr="00EC20A0">
        <w:t>valuation</w:t>
      </w:r>
      <w:r w:rsidRPr="00EC20A0">
        <w:rPr>
          <w:spacing w:val="-4"/>
        </w:rPr>
        <w:t xml:space="preserve"> </w:t>
      </w:r>
      <w:r w:rsidRPr="00EC20A0">
        <w:t>date</w:t>
      </w:r>
      <w:r w:rsidRPr="00EC20A0">
        <w:rPr>
          <w:spacing w:val="-4"/>
        </w:rPr>
        <w:t xml:space="preserve"> </w:t>
      </w:r>
      <w:r w:rsidRPr="00EC20A0">
        <w:t>of</w:t>
      </w:r>
      <w:r w:rsidRPr="00EC20A0">
        <w:rPr>
          <w:spacing w:val="-4"/>
        </w:rPr>
        <w:t xml:space="preserve"> </w:t>
      </w:r>
      <w:r w:rsidRPr="00EC20A0">
        <w:t>(for</w:t>
      </w:r>
      <w:r w:rsidRPr="00EC20A0">
        <w:rPr>
          <w:spacing w:val="-4"/>
        </w:rPr>
        <w:t xml:space="preserve"> </w:t>
      </w:r>
      <w:r w:rsidRPr="00EC20A0">
        <w:t>example,</w:t>
      </w:r>
      <w:r w:rsidRPr="00EC20A0">
        <w:rPr>
          <w:spacing w:val="-4"/>
        </w:rPr>
        <w:t xml:space="preserve"> </w:t>
      </w:r>
      <w:r w:rsidRPr="00EC20A0">
        <w:t>January</w:t>
      </w:r>
      <w:r w:rsidRPr="00EC20A0">
        <w:rPr>
          <w:spacing w:val="-5"/>
        </w:rPr>
        <w:t xml:space="preserve"> </w:t>
      </w:r>
      <w:r w:rsidRPr="00EC20A0">
        <w:t>1,</w:t>
      </w:r>
      <w:r w:rsidRPr="00EC20A0">
        <w:rPr>
          <w:spacing w:val="-4"/>
        </w:rPr>
        <w:t xml:space="preserve"> </w:t>
      </w:r>
      <w:r w:rsidRPr="00EC20A0">
        <w:t>20X2)</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reporting</w:t>
      </w:r>
      <w:r w:rsidRPr="00EC20A0">
        <w:rPr>
          <w:spacing w:val="-4"/>
        </w:rPr>
        <w:t xml:space="preserve"> </w:t>
      </w:r>
      <w:r w:rsidRPr="00EC20A0">
        <w:t>date</w:t>
      </w:r>
      <w:r w:rsidRPr="00EC20A0">
        <w:rPr>
          <w:spacing w:val="-4"/>
        </w:rPr>
        <w:t xml:space="preserve"> </w:t>
      </w:r>
      <w:r w:rsidRPr="00EC20A0">
        <w:t>of (September 30, 20X2).</w:t>
      </w:r>
    </w:p>
    <w:p w14:paraId="24D61DAF" w14:textId="77777777" w:rsidR="00245300" w:rsidRPr="00EC20A0" w:rsidRDefault="00F17249">
      <w:pPr>
        <w:pStyle w:val="ListParagraph"/>
        <w:numPr>
          <w:ilvl w:val="0"/>
          <w:numId w:val="69"/>
        </w:numPr>
        <w:tabs>
          <w:tab w:val="left" w:pos="559"/>
        </w:tabs>
        <w:ind w:left="559" w:right="437"/>
      </w:pPr>
      <w:r w:rsidRPr="00EC20A0">
        <w:t>Accounting</w:t>
      </w:r>
      <w:r w:rsidRPr="00EC20A0">
        <w:rPr>
          <w:spacing w:val="-4"/>
        </w:rPr>
        <w:t xml:space="preserve"> </w:t>
      </w:r>
      <w:r w:rsidRPr="00EC20A0">
        <w:t>estimates</w:t>
      </w:r>
      <w:r w:rsidRPr="00EC20A0">
        <w:rPr>
          <w:spacing w:val="-4"/>
        </w:rPr>
        <w:t xml:space="preserve"> </w:t>
      </w:r>
      <w:r w:rsidRPr="00EC20A0">
        <w:t>applicable</w:t>
      </w:r>
      <w:r w:rsidRPr="00EC20A0">
        <w:rPr>
          <w:spacing w:val="-3"/>
        </w:rPr>
        <w:t xml:space="preserve"> </w:t>
      </w:r>
      <w:r w:rsidRPr="00EC20A0">
        <w:t>to</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information</w:t>
      </w:r>
      <w:r w:rsidRPr="00EC20A0">
        <w:rPr>
          <w:spacing w:val="-4"/>
        </w:rPr>
        <w:t xml:space="preserve"> </w:t>
      </w:r>
      <w:r w:rsidRPr="00EC20A0">
        <w:t>of</w:t>
      </w:r>
      <w:r w:rsidRPr="00EC20A0">
        <w:rPr>
          <w:spacing w:val="-4"/>
        </w:rPr>
        <w:t xml:space="preserve"> </w:t>
      </w:r>
      <w:r w:rsidRPr="00EC20A0">
        <w:rPr>
          <w:b/>
        </w:rPr>
        <w:t>[Entity]</w:t>
      </w:r>
      <w:r w:rsidRPr="00EC20A0">
        <w:rPr>
          <w:b/>
          <w:spacing w:val="-4"/>
        </w:rPr>
        <w:t xml:space="preserve"> </w:t>
      </w:r>
      <w:r w:rsidRPr="00EC20A0">
        <w:t>included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 xml:space="preserve">SOSI and SCSIA are based on </w:t>
      </w:r>
      <w:r w:rsidRPr="00EC20A0">
        <w:t>management’s reasonable estimate, after considering past and current events and assumptions about future events.</w:t>
      </w:r>
    </w:p>
    <w:p w14:paraId="24D61DB0" w14:textId="77777777" w:rsidR="00245300" w:rsidRPr="00EC20A0" w:rsidRDefault="00F17249">
      <w:pPr>
        <w:spacing w:before="240"/>
        <w:ind w:left="200"/>
        <w:rPr>
          <w:b/>
        </w:rPr>
      </w:pPr>
      <w:r w:rsidRPr="00EC20A0">
        <w:rPr>
          <w:b/>
          <w:u w:val="thick"/>
        </w:rPr>
        <w:t>Budgetary</w:t>
      </w:r>
      <w:r w:rsidRPr="00EC20A0">
        <w:rPr>
          <w:b/>
          <w:spacing w:val="-9"/>
          <w:u w:val="thick"/>
        </w:rPr>
        <w:t xml:space="preserve"> </w:t>
      </w:r>
      <w:r w:rsidRPr="00EC20A0">
        <w:rPr>
          <w:b/>
          <w:u w:val="thick"/>
        </w:rPr>
        <w:t>and</w:t>
      </w:r>
      <w:r w:rsidRPr="00EC20A0">
        <w:rPr>
          <w:b/>
          <w:spacing w:val="-10"/>
          <w:u w:val="thick"/>
        </w:rPr>
        <w:t xml:space="preserve"> </w:t>
      </w:r>
      <w:r w:rsidRPr="00EC20A0">
        <w:rPr>
          <w:b/>
          <w:u w:val="thick"/>
        </w:rPr>
        <w:t>Restricted</w:t>
      </w:r>
      <w:r w:rsidRPr="00EC20A0">
        <w:rPr>
          <w:b/>
          <w:spacing w:val="-10"/>
          <w:u w:val="thick"/>
        </w:rPr>
        <w:t xml:space="preserve"> </w:t>
      </w:r>
      <w:r w:rsidRPr="00EC20A0">
        <w:rPr>
          <w:b/>
          <w:spacing w:val="-2"/>
          <w:u w:val="thick"/>
        </w:rPr>
        <w:t>Funds</w:t>
      </w:r>
    </w:p>
    <w:p w14:paraId="24D61DB1" w14:textId="77777777" w:rsidR="00245300" w:rsidRPr="00EC20A0" w:rsidRDefault="00F17249">
      <w:pPr>
        <w:pStyle w:val="ListParagraph"/>
        <w:numPr>
          <w:ilvl w:val="0"/>
          <w:numId w:val="69"/>
        </w:numPr>
        <w:tabs>
          <w:tab w:val="left" w:pos="558"/>
          <w:tab w:val="left" w:pos="560"/>
        </w:tabs>
        <w:ind w:right="458" w:hanging="361"/>
      </w:pPr>
      <w:r w:rsidRPr="00EC20A0">
        <w:rPr>
          <w:b/>
        </w:rPr>
        <w:t xml:space="preserve">[If a statement of budgetary resources is presented] </w:t>
      </w:r>
      <w:r w:rsidRPr="00EC20A0">
        <w:t xml:space="preserve">The information presented in </w:t>
      </w:r>
      <w:r w:rsidRPr="00EC20A0">
        <w:rPr>
          <w:b/>
        </w:rPr>
        <w:t xml:space="preserve">[Entity’s] </w:t>
      </w:r>
      <w:r w:rsidRPr="00EC20A0">
        <w:t>statement of budgetary resources is reconcilable to the information submitted in its year-end Reports on Budget Execution and Budgetary Resources (SF-133). This information</w:t>
      </w:r>
      <w:r w:rsidRPr="00EC20A0">
        <w:rPr>
          <w:spacing w:val="-3"/>
        </w:rPr>
        <w:t xml:space="preserve"> </w:t>
      </w:r>
      <w:r w:rsidRPr="00EC20A0">
        <w:t>will</w:t>
      </w:r>
      <w:r w:rsidRPr="00EC20A0">
        <w:rPr>
          <w:spacing w:val="-3"/>
        </w:rPr>
        <w:t xml:space="preserve"> </w:t>
      </w:r>
      <w:r w:rsidRPr="00EC20A0">
        <w:t>be</w:t>
      </w:r>
      <w:r w:rsidRPr="00EC20A0">
        <w:rPr>
          <w:spacing w:val="-3"/>
        </w:rPr>
        <w:t xml:space="preserve"> </w:t>
      </w:r>
      <w:r w:rsidRPr="00EC20A0">
        <w:t>used</w:t>
      </w:r>
      <w:r w:rsidRPr="00EC20A0">
        <w:rPr>
          <w:spacing w:val="-4"/>
        </w:rPr>
        <w:t xml:space="preserve"> </w:t>
      </w:r>
      <w:r w:rsidRPr="00EC20A0">
        <w:t>as</w:t>
      </w:r>
      <w:r w:rsidRPr="00EC20A0">
        <w:rPr>
          <w:spacing w:val="-2"/>
        </w:rPr>
        <w:t xml:space="preserve"> </w:t>
      </w:r>
      <w:r w:rsidRPr="00EC20A0">
        <w:t>input</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fiscal</w:t>
      </w:r>
      <w:r w:rsidRPr="00EC20A0">
        <w:rPr>
          <w:spacing w:val="-4"/>
        </w:rPr>
        <w:t xml:space="preserve"> </w:t>
      </w:r>
      <w:r w:rsidRPr="00EC20A0">
        <w:t>year</w:t>
      </w:r>
      <w:r w:rsidRPr="00EC20A0">
        <w:rPr>
          <w:spacing w:val="-3"/>
        </w:rPr>
        <w:t xml:space="preserve"> </w:t>
      </w:r>
      <w:r w:rsidRPr="00EC20A0">
        <w:t>20X2</w:t>
      </w:r>
      <w:r w:rsidRPr="00EC20A0">
        <w:rPr>
          <w:spacing w:val="-3"/>
        </w:rPr>
        <w:t xml:space="preserve"> </w:t>
      </w:r>
      <w:r w:rsidRPr="00EC20A0">
        <w:t>actual-year</w:t>
      </w:r>
      <w:r w:rsidRPr="00EC20A0">
        <w:rPr>
          <w:spacing w:val="-3"/>
        </w:rPr>
        <w:t xml:space="preserve"> </w:t>
      </w:r>
      <w:r w:rsidRPr="00EC20A0">
        <w:t>column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 xml:space="preserve">Program and Financing Schedules reported in the fiscal year 20X4 </w:t>
      </w:r>
      <w:r w:rsidRPr="00EC20A0">
        <w:rPr>
          <w:i/>
        </w:rPr>
        <w:t>Budget of the U.S. Government</w:t>
      </w:r>
      <w:r w:rsidRPr="00EC20A0">
        <w:t>. Such information is supported by the related financial records and data.</w:t>
      </w:r>
    </w:p>
    <w:p w14:paraId="24D61DB2" w14:textId="77777777" w:rsidR="00245300" w:rsidRPr="00EC20A0" w:rsidRDefault="00F17249">
      <w:pPr>
        <w:pStyle w:val="ListParagraph"/>
        <w:numPr>
          <w:ilvl w:val="0"/>
          <w:numId w:val="69"/>
        </w:numPr>
        <w:tabs>
          <w:tab w:val="left" w:pos="560"/>
        </w:tabs>
        <w:ind w:right="666"/>
      </w:pPr>
      <w:r w:rsidRPr="00EC20A0">
        <w:t>We have presented and disclosed in the financial statements all material dedicated collections</w:t>
      </w:r>
      <w:r w:rsidRPr="00EC20A0">
        <w:rPr>
          <w:spacing w:val="-6"/>
        </w:rPr>
        <w:t xml:space="preserve"> </w:t>
      </w:r>
      <w:r w:rsidRPr="00EC20A0">
        <w:t>as</w:t>
      </w:r>
      <w:r w:rsidRPr="00EC20A0">
        <w:rPr>
          <w:spacing w:val="-4"/>
        </w:rPr>
        <w:t xml:space="preserve"> </w:t>
      </w:r>
      <w:r w:rsidRPr="00EC20A0">
        <w:t>defined</w:t>
      </w:r>
      <w:r w:rsidRPr="00EC20A0">
        <w:rPr>
          <w:spacing w:val="-4"/>
        </w:rPr>
        <w:t xml:space="preserve"> </w:t>
      </w:r>
      <w:r w:rsidRPr="00EC20A0">
        <w:t>by</w:t>
      </w:r>
      <w:r w:rsidRPr="00EC20A0">
        <w:rPr>
          <w:spacing w:val="-5"/>
        </w:rPr>
        <w:t xml:space="preserve"> </w:t>
      </w:r>
      <w:r w:rsidRPr="00EC20A0">
        <w:t>Statement</w:t>
      </w:r>
      <w:r w:rsidRPr="00EC20A0">
        <w:rPr>
          <w:spacing w:val="-4"/>
        </w:rPr>
        <w:t xml:space="preserve"> </w:t>
      </w:r>
      <w:r w:rsidRPr="00EC20A0">
        <w:t>of</w:t>
      </w:r>
      <w:r w:rsidRPr="00EC20A0">
        <w:rPr>
          <w:spacing w:val="-4"/>
        </w:rPr>
        <w:t xml:space="preserve"> </w:t>
      </w:r>
      <w:r w:rsidRPr="00EC20A0">
        <w:t>Federal</w:t>
      </w:r>
      <w:r w:rsidRPr="00EC20A0">
        <w:rPr>
          <w:spacing w:val="-4"/>
        </w:rPr>
        <w:t xml:space="preserve"> </w:t>
      </w:r>
      <w:r w:rsidRPr="00EC20A0">
        <w:t>Financial</w:t>
      </w:r>
      <w:r w:rsidRPr="00EC20A0">
        <w:rPr>
          <w:spacing w:val="-4"/>
        </w:rPr>
        <w:t xml:space="preserve"> </w:t>
      </w:r>
      <w:r w:rsidRPr="00EC20A0">
        <w:t>Accounting</w:t>
      </w:r>
      <w:r w:rsidRPr="00EC20A0">
        <w:rPr>
          <w:spacing w:val="-4"/>
        </w:rPr>
        <w:t xml:space="preserve"> </w:t>
      </w:r>
      <w:r w:rsidRPr="00EC20A0">
        <w:t>Standards</w:t>
      </w:r>
      <w:r w:rsidRPr="00EC20A0">
        <w:rPr>
          <w:spacing w:val="-4"/>
        </w:rPr>
        <w:t xml:space="preserve"> </w:t>
      </w:r>
      <w:r w:rsidRPr="00EC20A0">
        <w:t>43</w:t>
      </w:r>
      <w:r w:rsidRPr="00EC20A0">
        <w:rPr>
          <w:spacing w:val="-4"/>
        </w:rPr>
        <w:t xml:space="preserve"> </w:t>
      </w:r>
      <w:r w:rsidRPr="00EC20A0">
        <w:t>and</w:t>
      </w:r>
      <w:r w:rsidRPr="00EC20A0">
        <w:rPr>
          <w:spacing w:val="-4"/>
        </w:rPr>
        <w:t xml:space="preserve"> </w:t>
      </w:r>
      <w:r w:rsidRPr="00EC20A0">
        <w:t>all</w:t>
      </w:r>
    </w:p>
    <w:p w14:paraId="24D61DB3" w14:textId="77777777" w:rsidR="00245300" w:rsidRPr="00EC20A0" w:rsidRDefault="00245300">
      <w:pPr>
        <w:sectPr w:rsidR="00245300" w:rsidRPr="00EC20A0">
          <w:pgSz w:w="12240" w:h="15840"/>
          <w:pgMar w:top="1340" w:right="1100" w:bottom="940" w:left="1240" w:header="721" w:footer="757" w:gutter="0"/>
          <w:cols w:space="720"/>
        </w:sectPr>
      </w:pPr>
    </w:p>
    <w:p w14:paraId="24D61DB4" w14:textId="77777777" w:rsidR="00245300" w:rsidRPr="00EC20A0" w:rsidRDefault="00F17249">
      <w:pPr>
        <w:pStyle w:val="BodyText"/>
        <w:spacing w:before="121"/>
        <w:ind w:left="560" w:right="337" w:hanging="1"/>
      </w:pPr>
      <w:r w:rsidRPr="00EC20A0">
        <w:t xml:space="preserve">other material restricted funds </w:t>
      </w:r>
      <w:r w:rsidRPr="00EC20A0">
        <w:rPr>
          <w:b/>
        </w:rPr>
        <w:t xml:space="preserve">OR </w:t>
      </w:r>
      <w:r w:rsidRPr="00EC20A0">
        <w:t>There are no material dedicated collections or other material</w:t>
      </w:r>
      <w:r w:rsidRPr="00EC20A0">
        <w:rPr>
          <w:spacing w:val="-4"/>
        </w:rPr>
        <w:t xml:space="preserve"> </w:t>
      </w:r>
      <w:r w:rsidRPr="00EC20A0">
        <w:t>restricted</w:t>
      </w:r>
      <w:r w:rsidRPr="00EC20A0">
        <w:rPr>
          <w:spacing w:val="-4"/>
        </w:rPr>
        <w:t xml:space="preserve"> </w:t>
      </w:r>
      <w:r w:rsidRPr="00EC20A0">
        <w:t>funds</w:t>
      </w:r>
      <w:r w:rsidRPr="00EC20A0">
        <w:rPr>
          <w:spacing w:val="-5"/>
        </w:rPr>
        <w:t xml:space="preserve"> </w:t>
      </w:r>
      <w:r w:rsidRPr="00EC20A0">
        <w:t>that</w:t>
      </w:r>
      <w:r w:rsidRPr="00EC20A0">
        <w:rPr>
          <w:spacing w:val="-4"/>
        </w:rPr>
        <w:t xml:space="preserve"> </w:t>
      </w:r>
      <w:r w:rsidRPr="00EC20A0">
        <w:t>require</w:t>
      </w:r>
      <w:r w:rsidRPr="00EC20A0">
        <w:rPr>
          <w:spacing w:val="-5"/>
        </w:rPr>
        <w:t xml:space="preserve"> </w:t>
      </w:r>
      <w:r w:rsidRPr="00EC20A0">
        <w:t>presentation</w:t>
      </w:r>
      <w:r w:rsidRPr="00EC20A0">
        <w:rPr>
          <w:spacing w:val="-5"/>
        </w:rPr>
        <w:t xml:space="preserve"> </w:t>
      </w:r>
      <w:r w:rsidRPr="00EC20A0">
        <w:t>and</w:t>
      </w:r>
      <w:r w:rsidRPr="00EC20A0">
        <w:rPr>
          <w:spacing w:val="-4"/>
        </w:rPr>
        <w:t xml:space="preserve"> </w:t>
      </w:r>
      <w:r w:rsidRPr="00EC20A0">
        <w:t>disclosure</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p>
    <w:p w14:paraId="24D61DB5" w14:textId="77777777" w:rsidR="00245300" w:rsidRPr="00EC20A0" w:rsidRDefault="00F17249">
      <w:pPr>
        <w:spacing w:before="240"/>
        <w:ind w:left="200"/>
        <w:rPr>
          <w:b/>
        </w:rPr>
      </w:pPr>
      <w:r w:rsidRPr="00EC20A0">
        <w:rPr>
          <w:b/>
          <w:u w:val="thick"/>
        </w:rPr>
        <w:t>Service</w:t>
      </w:r>
      <w:r w:rsidRPr="00EC20A0">
        <w:rPr>
          <w:b/>
          <w:spacing w:val="-9"/>
          <w:u w:val="thick"/>
        </w:rPr>
        <w:t xml:space="preserve"> </w:t>
      </w:r>
      <w:r w:rsidRPr="00EC20A0">
        <w:rPr>
          <w:b/>
          <w:spacing w:val="-2"/>
          <w:u w:val="thick"/>
        </w:rPr>
        <w:t>Organizations</w:t>
      </w:r>
    </w:p>
    <w:p w14:paraId="3D1CA734" w14:textId="755E4EF6" w:rsidR="007575FD" w:rsidRDefault="00F17249" w:rsidP="007575FD">
      <w:pPr>
        <w:pStyle w:val="ListParagraph"/>
        <w:numPr>
          <w:ilvl w:val="0"/>
          <w:numId w:val="69"/>
        </w:numPr>
        <w:tabs>
          <w:tab w:val="left" w:pos="558"/>
          <w:tab w:val="left" w:pos="560"/>
        </w:tabs>
        <w:spacing w:before="239"/>
        <w:ind w:right="679" w:hanging="361"/>
      </w:pPr>
      <w:r w:rsidRPr="00EC20A0">
        <w:rPr>
          <w:b/>
        </w:rPr>
        <w:t xml:space="preserve">[Entity] </w:t>
      </w:r>
      <w:r w:rsidRPr="00EC20A0">
        <w:t xml:space="preserve">does not use service organizations. </w:t>
      </w:r>
      <w:r w:rsidRPr="00EC20A0">
        <w:rPr>
          <w:b/>
        </w:rPr>
        <w:t xml:space="preserve">OR </w:t>
      </w:r>
      <w:r w:rsidRPr="00EC20A0">
        <w:t>Service organizations [and subservice organizations,</w:t>
      </w:r>
      <w:r w:rsidRPr="00EC20A0">
        <w:rPr>
          <w:spacing w:val="-3"/>
        </w:rPr>
        <w:t xml:space="preserve"> </w:t>
      </w:r>
      <w:r w:rsidRPr="00EC20A0">
        <w:t>if</w:t>
      </w:r>
      <w:r w:rsidRPr="00EC20A0">
        <w:rPr>
          <w:spacing w:val="-3"/>
        </w:rPr>
        <w:t xml:space="preserve"> </w:t>
      </w:r>
      <w:r w:rsidRPr="00EC20A0">
        <w:t>any]</w:t>
      </w:r>
      <w:r w:rsidRPr="00EC20A0">
        <w:rPr>
          <w:spacing w:val="-3"/>
        </w:rPr>
        <w:t xml:space="preserve"> </w:t>
      </w:r>
      <w:r w:rsidRPr="00EC20A0">
        <w:t>that</w:t>
      </w:r>
      <w:r w:rsidRPr="00EC20A0">
        <w:rPr>
          <w:spacing w:val="-3"/>
        </w:rPr>
        <w:t xml:space="preserve"> </w:t>
      </w:r>
      <w:r w:rsidRPr="00EC20A0">
        <w:t>we</w:t>
      </w:r>
      <w:r w:rsidRPr="00EC20A0">
        <w:rPr>
          <w:spacing w:val="-3"/>
        </w:rPr>
        <w:t xml:space="preserve"> </w:t>
      </w:r>
      <w:r w:rsidRPr="00EC20A0">
        <w:t>use</w:t>
      </w:r>
      <w:r w:rsidRPr="00EC20A0">
        <w:rPr>
          <w:spacing w:val="-3"/>
        </w:rPr>
        <w:t xml:space="preserve"> </w:t>
      </w:r>
      <w:r w:rsidRPr="00EC20A0">
        <w:t>have</w:t>
      </w:r>
      <w:r w:rsidRPr="00EC20A0">
        <w:rPr>
          <w:spacing w:val="-3"/>
        </w:rPr>
        <w:t xml:space="preserve"> </w:t>
      </w:r>
      <w:r w:rsidRPr="00EC20A0">
        <w:t>not</w:t>
      </w:r>
      <w:r w:rsidRPr="00EC20A0">
        <w:rPr>
          <w:spacing w:val="-3"/>
        </w:rPr>
        <w:t xml:space="preserve"> </w:t>
      </w:r>
      <w:r w:rsidRPr="00EC20A0">
        <w:t>reported</w:t>
      </w:r>
      <w:r w:rsidRPr="00EC20A0">
        <w:rPr>
          <w:spacing w:val="-3"/>
        </w:rPr>
        <w:t xml:space="preserve"> </w:t>
      </w:r>
      <w:r w:rsidRPr="00EC20A0">
        <w:t>to</w:t>
      </w:r>
      <w:r w:rsidRPr="00EC20A0">
        <w:rPr>
          <w:spacing w:val="-3"/>
        </w:rPr>
        <w:t xml:space="preserve"> </w:t>
      </w:r>
      <w:r w:rsidRPr="00EC20A0">
        <w:t>us,</w:t>
      </w:r>
      <w:r w:rsidRPr="00EC20A0">
        <w:rPr>
          <w:spacing w:val="-3"/>
        </w:rPr>
        <w:t xml:space="preserve"> </w:t>
      </w:r>
      <w:r w:rsidRPr="00EC20A0">
        <w:t>nor</w:t>
      </w:r>
      <w:r w:rsidRPr="00EC20A0">
        <w:rPr>
          <w:spacing w:val="-3"/>
        </w:rPr>
        <w:t xml:space="preserve"> </w:t>
      </w:r>
      <w:r w:rsidRPr="00EC20A0">
        <w:t>are</w:t>
      </w:r>
      <w:r w:rsidRPr="00EC20A0">
        <w:rPr>
          <w:spacing w:val="-3"/>
        </w:rPr>
        <w:t xml:space="preserve"> </w:t>
      </w:r>
      <w:r w:rsidRPr="00EC20A0">
        <w:t>we</w:t>
      </w:r>
      <w:r w:rsidRPr="00EC20A0">
        <w:rPr>
          <w:spacing w:val="-3"/>
        </w:rPr>
        <w:t xml:space="preserve"> </w:t>
      </w:r>
      <w:r w:rsidRPr="00EC20A0">
        <w:t>otherwise</w:t>
      </w:r>
      <w:r w:rsidRPr="00EC20A0">
        <w:rPr>
          <w:spacing w:val="-3"/>
        </w:rPr>
        <w:t xml:space="preserve"> </w:t>
      </w:r>
      <w:r w:rsidRPr="00EC20A0">
        <w:t>aware</w:t>
      </w:r>
      <w:r w:rsidRPr="00EC20A0">
        <w:rPr>
          <w:spacing w:val="-3"/>
        </w:rPr>
        <w:t xml:space="preserve"> </w:t>
      </w:r>
      <w:r w:rsidRPr="00EC20A0">
        <w:t xml:space="preserve">of, any (1) fraud; (2) noncompliance with applicable laws, regulations, contracts, or grant agreements; or (3) uncorrected misstatements affecting the financial statements that are attributable to such service </w:t>
      </w:r>
      <w:r w:rsidRPr="00EC20A0">
        <w:rPr>
          <w:b/>
        </w:rPr>
        <w:t xml:space="preserve">[or subservice, if any] </w:t>
      </w:r>
      <w:r w:rsidRPr="00EC20A0">
        <w:t>organizations.</w:t>
      </w:r>
    </w:p>
    <w:p w14:paraId="575DFB8C" w14:textId="77777777" w:rsidR="007575FD" w:rsidRPr="00EC20A0" w:rsidRDefault="007575FD" w:rsidP="007575FD">
      <w:pPr>
        <w:pStyle w:val="ListParagraph"/>
        <w:tabs>
          <w:tab w:val="left" w:pos="558"/>
          <w:tab w:val="left" w:pos="560"/>
        </w:tabs>
        <w:spacing w:before="60"/>
        <w:ind w:left="562" w:right="677" w:firstLine="0"/>
      </w:pPr>
    </w:p>
    <w:p w14:paraId="24D61DB7" w14:textId="77777777" w:rsidR="00245300" w:rsidRPr="007575FD" w:rsidRDefault="00F17249" w:rsidP="007575FD">
      <w:pPr>
        <w:ind w:left="540"/>
        <w:rPr>
          <w:b/>
          <w:bCs/>
        </w:rPr>
      </w:pPr>
      <w:r w:rsidRPr="007575FD">
        <w:rPr>
          <w:b/>
          <w:bCs/>
        </w:rPr>
        <w:t xml:space="preserve">[If </w:t>
      </w:r>
      <w:r w:rsidRPr="007575FD">
        <w:rPr>
          <w:b/>
          <w:bCs/>
        </w:rPr>
        <w:t>any such knowledge has been obtained, it should be described or specifically state how it was communicated to us.]</w:t>
      </w:r>
    </w:p>
    <w:p w14:paraId="24D61DB8" w14:textId="77777777" w:rsidR="00245300" w:rsidRPr="00EC20A0" w:rsidRDefault="00F17249">
      <w:pPr>
        <w:pStyle w:val="ListParagraph"/>
        <w:numPr>
          <w:ilvl w:val="0"/>
          <w:numId w:val="69"/>
        </w:numPr>
        <w:tabs>
          <w:tab w:val="left" w:pos="560"/>
        </w:tabs>
        <w:spacing w:before="241"/>
        <w:ind w:right="387"/>
      </w:pPr>
      <w:r w:rsidRPr="00EC20A0">
        <w:rPr>
          <w:b/>
        </w:rPr>
        <w:t xml:space="preserve">[If entity uses service organizations] </w:t>
      </w:r>
      <w:r w:rsidRPr="00EC20A0">
        <w:t xml:space="preserve">Service organizations </w:t>
      </w:r>
      <w:r w:rsidRPr="00EC20A0">
        <w:rPr>
          <w:b/>
        </w:rPr>
        <w:t xml:space="preserve">[and subservice organizations, if any] </w:t>
      </w:r>
      <w:r w:rsidRPr="00EC20A0">
        <w:t>that we use have not reported to us, nor are we otherwise aware of, any</w:t>
      </w:r>
      <w:r w:rsidRPr="00EC20A0">
        <w:rPr>
          <w:spacing w:val="-1"/>
        </w:rPr>
        <w:t xml:space="preserve"> </w:t>
      </w:r>
      <w:r w:rsidRPr="00EC20A0">
        <w:t>changes</w:t>
      </w:r>
      <w:r w:rsidRPr="00EC20A0">
        <w:rPr>
          <w:spacing w:val="-1"/>
        </w:rPr>
        <w:t xml:space="preserve"> </w:t>
      </w:r>
      <w:r w:rsidRPr="00EC20A0">
        <w:t>in</w:t>
      </w:r>
      <w:r w:rsidRPr="00EC20A0">
        <w:rPr>
          <w:spacing w:val="-1"/>
        </w:rPr>
        <w:t xml:space="preserve"> </w:t>
      </w:r>
      <w:r w:rsidRPr="00EC20A0">
        <w:t>the</w:t>
      </w:r>
      <w:r w:rsidRPr="00EC20A0">
        <w:rPr>
          <w:spacing w:val="-1"/>
        </w:rPr>
        <w:t xml:space="preserve"> </w:t>
      </w:r>
      <w:r w:rsidRPr="00EC20A0">
        <w:t>design,</w:t>
      </w:r>
      <w:r w:rsidRPr="00EC20A0">
        <w:rPr>
          <w:spacing w:val="-1"/>
        </w:rPr>
        <w:t xml:space="preserve"> </w:t>
      </w:r>
      <w:r w:rsidRPr="00EC20A0">
        <w:t>implementation,</w:t>
      </w:r>
      <w:r w:rsidRPr="00EC20A0">
        <w:rPr>
          <w:spacing w:val="-1"/>
        </w:rPr>
        <w:t xml:space="preserve"> </w:t>
      </w:r>
      <w:r w:rsidRPr="00EC20A0">
        <w:t>or</w:t>
      </w:r>
      <w:r w:rsidRPr="00EC20A0">
        <w:rPr>
          <w:spacing w:val="-1"/>
        </w:rPr>
        <w:t xml:space="preserve"> </w:t>
      </w:r>
      <w:r w:rsidRPr="00EC20A0">
        <w:t>operating</w:t>
      </w:r>
      <w:r w:rsidRPr="00EC20A0">
        <w:rPr>
          <w:spacing w:val="-1"/>
        </w:rPr>
        <w:t xml:space="preserve"> </w:t>
      </w:r>
      <w:r w:rsidRPr="00EC20A0">
        <w:t>effectiveness</w:t>
      </w:r>
      <w:r w:rsidRPr="00EC20A0">
        <w:rPr>
          <w:spacing w:val="-1"/>
        </w:rPr>
        <w:t xml:space="preserve"> </w:t>
      </w:r>
      <w:r w:rsidRPr="00EC20A0">
        <w:t>of</w:t>
      </w:r>
      <w:r w:rsidRPr="00EC20A0">
        <w:rPr>
          <w:spacing w:val="-2"/>
        </w:rPr>
        <w:t xml:space="preserve"> </w:t>
      </w:r>
      <w:r w:rsidRPr="00EC20A0">
        <w:t>internal</w:t>
      </w:r>
      <w:r w:rsidRPr="00EC20A0">
        <w:rPr>
          <w:spacing w:val="-1"/>
        </w:rPr>
        <w:t xml:space="preserve"> </w:t>
      </w:r>
      <w:r w:rsidRPr="00EC20A0">
        <w:t>controls</w:t>
      </w:r>
      <w:r w:rsidRPr="00EC20A0">
        <w:rPr>
          <w:spacing w:val="-1"/>
        </w:rPr>
        <w:t xml:space="preserve"> </w:t>
      </w:r>
      <w:r w:rsidRPr="00EC20A0">
        <w:t>at the</w:t>
      </w:r>
      <w:r w:rsidRPr="00EC20A0">
        <w:rPr>
          <w:spacing w:val="-4"/>
        </w:rPr>
        <w:t xml:space="preserve"> </w:t>
      </w:r>
      <w:r w:rsidRPr="00EC20A0">
        <w:t>service</w:t>
      </w:r>
      <w:r w:rsidRPr="00EC20A0">
        <w:rPr>
          <w:spacing w:val="-5"/>
        </w:rPr>
        <w:t xml:space="preserve"> </w:t>
      </w:r>
      <w:r w:rsidRPr="00EC20A0">
        <w:t>organizations</w:t>
      </w:r>
      <w:r w:rsidRPr="00EC20A0">
        <w:rPr>
          <w:spacing w:val="-4"/>
        </w:rPr>
        <w:t xml:space="preserve"> </w:t>
      </w:r>
      <w:r w:rsidRPr="00EC20A0">
        <w:rPr>
          <w:b/>
        </w:rPr>
        <w:t>[or</w:t>
      </w:r>
      <w:r w:rsidRPr="00EC20A0">
        <w:rPr>
          <w:b/>
          <w:spacing w:val="-5"/>
        </w:rPr>
        <w:t xml:space="preserve"> </w:t>
      </w:r>
      <w:r w:rsidRPr="00EC20A0">
        <w:rPr>
          <w:b/>
        </w:rPr>
        <w:t>subservice</w:t>
      </w:r>
      <w:r w:rsidRPr="00EC20A0">
        <w:rPr>
          <w:b/>
          <w:spacing w:val="-4"/>
        </w:rPr>
        <w:t xml:space="preserve"> </w:t>
      </w:r>
      <w:r w:rsidRPr="00EC20A0">
        <w:rPr>
          <w:b/>
        </w:rPr>
        <w:t>organizations,</w:t>
      </w:r>
      <w:r w:rsidRPr="00EC20A0">
        <w:rPr>
          <w:b/>
          <w:spacing w:val="-4"/>
        </w:rPr>
        <w:t xml:space="preserve"> </w:t>
      </w:r>
      <w:r w:rsidRPr="00EC20A0">
        <w:rPr>
          <w:b/>
        </w:rPr>
        <w:t>if</w:t>
      </w:r>
      <w:r w:rsidRPr="00EC20A0">
        <w:rPr>
          <w:b/>
          <w:spacing w:val="-5"/>
        </w:rPr>
        <w:t xml:space="preserve"> </w:t>
      </w:r>
      <w:r w:rsidRPr="00EC20A0">
        <w:rPr>
          <w:b/>
        </w:rPr>
        <w:t>any]</w:t>
      </w:r>
      <w:r w:rsidRPr="00EC20A0">
        <w:rPr>
          <w:b/>
          <w:spacing w:val="-4"/>
        </w:rPr>
        <w:t xml:space="preserve"> </w:t>
      </w:r>
      <w:r w:rsidRPr="00EC20A0">
        <w:t>subsequent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 xml:space="preserve">effective dates of the service and </w:t>
      </w:r>
      <w:r w:rsidRPr="00EC20A0">
        <w:t>subservice organizations’ report(s) provided to you that could (1) affect the risks of material misstatement of the financial statements or (2) result in material misstatements of the financial statements arising from processing errors that would not be prevented, or detected and corrected, on a timely basis.</w:t>
      </w:r>
    </w:p>
    <w:p w14:paraId="24D61DB9" w14:textId="77777777" w:rsidR="00245300" w:rsidRPr="00EC20A0" w:rsidRDefault="00F17249">
      <w:pPr>
        <w:spacing w:before="241" w:line="247" w:lineRule="auto"/>
        <w:ind w:left="560" w:right="447"/>
        <w:rPr>
          <w:b/>
        </w:rPr>
      </w:pPr>
      <w:r w:rsidRPr="00EC20A0">
        <w:rPr>
          <w:b/>
        </w:rPr>
        <w:t>[If any such knowledge has been obtained, the letter should describe it or refer to how it was communicated to us, including the effects, if any, on the financial statements</w:t>
      </w:r>
      <w:r w:rsidRPr="00EC20A0">
        <w:rPr>
          <w:b/>
          <w:spacing w:val="-4"/>
        </w:rPr>
        <w:t xml:space="preserve"> </w:t>
      </w:r>
      <w:r w:rsidRPr="00EC20A0">
        <w:rPr>
          <w:b/>
        </w:rPr>
        <w:t>or</w:t>
      </w:r>
      <w:r w:rsidRPr="00EC20A0">
        <w:rPr>
          <w:b/>
          <w:spacing w:val="-5"/>
        </w:rPr>
        <w:t xml:space="preserve"> </w:t>
      </w:r>
      <w:r w:rsidRPr="00EC20A0">
        <w:rPr>
          <w:b/>
        </w:rPr>
        <w:t>the</w:t>
      </w:r>
      <w:r w:rsidRPr="00EC20A0">
        <w:rPr>
          <w:b/>
          <w:spacing w:val="-4"/>
        </w:rPr>
        <w:t xml:space="preserve"> </w:t>
      </w:r>
      <w:r w:rsidRPr="00EC20A0">
        <w:rPr>
          <w:b/>
        </w:rPr>
        <w:t>effectiveness</w:t>
      </w:r>
      <w:r w:rsidRPr="00EC20A0">
        <w:rPr>
          <w:b/>
          <w:spacing w:val="-4"/>
        </w:rPr>
        <w:t xml:space="preserve"> </w:t>
      </w:r>
      <w:r w:rsidRPr="00EC20A0">
        <w:rPr>
          <w:b/>
        </w:rPr>
        <w:t>of</w:t>
      </w:r>
      <w:r w:rsidRPr="00EC20A0">
        <w:rPr>
          <w:b/>
          <w:spacing w:val="-4"/>
        </w:rPr>
        <w:t xml:space="preserve"> </w:t>
      </w:r>
      <w:r w:rsidRPr="00EC20A0">
        <w:rPr>
          <w:b/>
        </w:rPr>
        <w:t>internal</w:t>
      </w:r>
      <w:r w:rsidRPr="00EC20A0">
        <w:rPr>
          <w:b/>
          <w:spacing w:val="-4"/>
        </w:rPr>
        <w:t xml:space="preserve"> </w:t>
      </w:r>
      <w:r w:rsidRPr="00EC20A0">
        <w:rPr>
          <w:b/>
        </w:rPr>
        <w:t>control</w:t>
      </w:r>
      <w:r w:rsidRPr="00EC20A0">
        <w:rPr>
          <w:b/>
          <w:spacing w:val="-4"/>
        </w:rPr>
        <w:t xml:space="preserve"> </w:t>
      </w:r>
      <w:r w:rsidRPr="00EC20A0">
        <w:rPr>
          <w:b/>
        </w:rPr>
        <w:t>over</w:t>
      </w:r>
      <w:r w:rsidRPr="00EC20A0">
        <w:rPr>
          <w:b/>
          <w:spacing w:val="-5"/>
        </w:rPr>
        <w:t xml:space="preserve"> </w:t>
      </w:r>
      <w:r w:rsidRPr="00EC20A0">
        <w:rPr>
          <w:b/>
        </w:rPr>
        <w:t>financial</w:t>
      </w:r>
      <w:r w:rsidRPr="00EC20A0">
        <w:rPr>
          <w:b/>
          <w:spacing w:val="-4"/>
        </w:rPr>
        <w:t xml:space="preserve"> </w:t>
      </w:r>
      <w:r w:rsidRPr="00EC20A0">
        <w:rPr>
          <w:b/>
        </w:rPr>
        <w:t>reporting,</w:t>
      </w:r>
      <w:r w:rsidRPr="00EC20A0">
        <w:rPr>
          <w:b/>
          <w:spacing w:val="-4"/>
        </w:rPr>
        <w:t xml:space="preserve"> </w:t>
      </w:r>
      <w:r w:rsidRPr="00EC20A0">
        <w:rPr>
          <w:b/>
        </w:rPr>
        <w:t>including specific identification of any internal control deficiencies that are considered to be material weaknesses or significant deficiencies.]</w:t>
      </w:r>
    </w:p>
    <w:p w14:paraId="24D61DBA" w14:textId="77777777" w:rsidR="00245300" w:rsidRPr="00EC20A0" w:rsidRDefault="00F17249">
      <w:pPr>
        <w:spacing w:before="236"/>
        <w:ind w:left="201"/>
        <w:rPr>
          <w:b/>
        </w:rPr>
      </w:pPr>
      <w:r w:rsidRPr="00EC20A0">
        <w:rPr>
          <w:b/>
        </w:rPr>
        <w:t>[Signed</w:t>
      </w:r>
      <w:r w:rsidRPr="00EC20A0">
        <w:rPr>
          <w:b/>
          <w:spacing w:val="-7"/>
        </w:rPr>
        <w:t xml:space="preserve"> </w:t>
      </w:r>
      <w:r w:rsidRPr="00EC20A0">
        <w:rPr>
          <w:b/>
        </w:rPr>
        <w:t>by</w:t>
      </w:r>
      <w:r w:rsidRPr="00EC20A0">
        <w:rPr>
          <w:b/>
          <w:spacing w:val="-7"/>
        </w:rPr>
        <w:t xml:space="preserve"> </w:t>
      </w:r>
      <w:r w:rsidRPr="00EC20A0">
        <w:rPr>
          <w:b/>
        </w:rPr>
        <w:t>Entity</w:t>
      </w:r>
      <w:r w:rsidRPr="00EC20A0">
        <w:rPr>
          <w:b/>
          <w:spacing w:val="-7"/>
        </w:rPr>
        <w:t xml:space="preserve"> </w:t>
      </w:r>
      <w:r w:rsidRPr="00EC20A0">
        <w:rPr>
          <w:b/>
          <w:spacing w:val="-2"/>
        </w:rPr>
        <w:t>Head]</w:t>
      </w:r>
    </w:p>
    <w:p w14:paraId="24D61DBB" w14:textId="77777777" w:rsidR="00245300" w:rsidRPr="00EC20A0" w:rsidRDefault="00F17249">
      <w:pPr>
        <w:spacing w:before="240"/>
        <w:ind w:left="201"/>
        <w:rPr>
          <w:b/>
        </w:rPr>
      </w:pPr>
      <w:r w:rsidRPr="00EC20A0">
        <w:rPr>
          <w:b/>
        </w:rPr>
        <w:t>[Signed</w:t>
      </w:r>
      <w:r w:rsidRPr="00EC20A0">
        <w:rPr>
          <w:b/>
          <w:spacing w:val="-7"/>
        </w:rPr>
        <w:t xml:space="preserve"> </w:t>
      </w:r>
      <w:r w:rsidRPr="00EC20A0">
        <w:rPr>
          <w:b/>
        </w:rPr>
        <w:t>by</w:t>
      </w:r>
      <w:r w:rsidRPr="00EC20A0">
        <w:rPr>
          <w:b/>
          <w:spacing w:val="-7"/>
        </w:rPr>
        <w:t xml:space="preserve"> </w:t>
      </w:r>
      <w:r w:rsidRPr="00EC20A0">
        <w:rPr>
          <w:b/>
        </w:rPr>
        <w:t>Chief</w:t>
      </w:r>
      <w:r w:rsidRPr="00EC20A0">
        <w:rPr>
          <w:b/>
          <w:spacing w:val="-7"/>
        </w:rPr>
        <w:t xml:space="preserve"> </w:t>
      </w:r>
      <w:r w:rsidRPr="00EC20A0">
        <w:rPr>
          <w:b/>
        </w:rPr>
        <w:t>Financial</w:t>
      </w:r>
      <w:r w:rsidRPr="00EC20A0">
        <w:rPr>
          <w:b/>
          <w:spacing w:val="-7"/>
        </w:rPr>
        <w:t xml:space="preserve"> </w:t>
      </w:r>
      <w:r w:rsidRPr="00EC20A0">
        <w:rPr>
          <w:b/>
          <w:spacing w:val="-2"/>
        </w:rPr>
        <w:t>Officer]</w:t>
      </w:r>
    </w:p>
    <w:p w14:paraId="24D61DBC" w14:textId="77777777" w:rsidR="00245300" w:rsidRPr="00EC20A0" w:rsidRDefault="00F17249">
      <w:pPr>
        <w:pStyle w:val="BodyText"/>
        <w:spacing w:before="241"/>
        <w:ind w:left="201"/>
      </w:pPr>
      <w:r w:rsidRPr="00EC20A0">
        <w:rPr>
          <w:spacing w:val="-2"/>
        </w:rPr>
        <w:t>Enclosure(s)</w:t>
      </w:r>
    </w:p>
    <w:p w14:paraId="24D61DBD" w14:textId="77777777" w:rsidR="00245300" w:rsidRPr="00EC20A0" w:rsidRDefault="00245300">
      <w:pPr>
        <w:sectPr w:rsidR="00245300" w:rsidRPr="00EC20A0">
          <w:pgSz w:w="12240" w:h="15840"/>
          <w:pgMar w:top="1340" w:right="1100" w:bottom="940" w:left="1240" w:header="721" w:footer="757" w:gutter="0"/>
          <w:cols w:space="720"/>
        </w:sectPr>
      </w:pPr>
    </w:p>
    <w:p w14:paraId="24D61DBE" w14:textId="77777777" w:rsidR="00245300" w:rsidRPr="00EC20A0" w:rsidRDefault="00F17249">
      <w:pPr>
        <w:pStyle w:val="Heading3"/>
        <w:ind w:left="200"/>
        <w:rPr>
          <w:u w:val="none"/>
        </w:rPr>
      </w:pPr>
      <w:bookmarkStart w:id="383" w:name="1002_–_Litigation,_Claims,_and_Assessmen"/>
      <w:bookmarkStart w:id="384" w:name="_bookmark213"/>
      <w:bookmarkEnd w:id="383"/>
      <w:bookmarkEnd w:id="384"/>
      <w:r w:rsidRPr="00EC20A0">
        <w:t>1002</w:t>
      </w:r>
      <w:r w:rsidRPr="00EC20A0">
        <w:rPr>
          <w:spacing w:val="-6"/>
        </w:rPr>
        <w:t xml:space="preserve"> </w:t>
      </w:r>
      <w:r w:rsidRPr="00EC20A0">
        <w:t>–</w:t>
      </w:r>
      <w:r w:rsidRPr="00EC20A0">
        <w:rPr>
          <w:spacing w:val="-4"/>
        </w:rPr>
        <w:t xml:space="preserve"> </w:t>
      </w:r>
      <w:r w:rsidRPr="00EC20A0">
        <w:t>Litigation,</w:t>
      </w:r>
      <w:r w:rsidRPr="00EC20A0">
        <w:rPr>
          <w:spacing w:val="-4"/>
        </w:rPr>
        <w:t xml:space="preserve"> </w:t>
      </w:r>
      <w:r w:rsidRPr="00EC20A0">
        <w:t>Claims,</w:t>
      </w:r>
      <w:r w:rsidRPr="00EC20A0">
        <w:rPr>
          <w:spacing w:val="-4"/>
        </w:rPr>
        <w:t xml:space="preserve"> </w:t>
      </w:r>
      <w:r w:rsidRPr="00EC20A0">
        <w:t>and</w:t>
      </w:r>
      <w:r w:rsidRPr="00EC20A0">
        <w:rPr>
          <w:spacing w:val="-16"/>
        </w:rPr>
        <w:t xml:space="preserve"> </w:t>
      </w:r>
      <w:r w:rsidRPr="00EC20A0">
        <w:rPr>
          <w:spacing w:val="-2"/>
        </w:rPr>
        <w:t>Assessments</w:t>
      </w:r>
    </w:p>
    <w:p w14:paraId="24D61DBF" w14:textId="77777777" w:rsidR="00245300" w:rsidRPr="00EC20A0" w:rsidRDefault="00245300">
      <w:pPr>
        <w:pStyle w:val="BodyText"/>
        <w:spacing w:before="106"/>
        <w:rPr>
          <w:b/>
        </w:rPr>
      </w:pPr>
    </w:p>
    <w:p w14:paraId="24D61DC0" w14:textId="77777777" w:rsidR="00245300" w:rsidRPr="00EC20A0" w:rsidRDefault="00F17249">
      <w:pPr>
        <w:pStyle w:val="ListParagraph"/>
        <w:numPr>
          <w:ilvl w:val="0"/>
          <w:numId w:val="68"/>
        </w:numPr>
        <w:tabs>
          <w:tab w:val="left" w:pos="1640"/>
        </w:tabs>
        <w:spacing w:before="0"/>
        <w:ind w:right="673"/>
      </w:pPr>
      <w:r w:rsidRPr="00EC20A0">
        <w:t>FAM 1002 provides guidance for obtaining evidence that the entity’s financial accounting and reporting of contingencies arising from litigation, claims, and assessments</w:t>
      </w:r>
      <w:r w:rsidRPr="00EC20A0">
        <w:rPr>
          <w:spacing w:val="-3"/>
        </w:rPr>
        <w:t xml:space="preserve"> </w:t>
      </w:r>
      <w:r w:rsidRPr="00EC20A0">
        <w:t>conform</w:t>
      </w:r>
      <w:r w:rsidRPr="00EC20A0">
        <w:rPr>
          <w:spacing w:val="-4"/>
        </w:rPr>
        <w:t xml:space="preserve"> </w:t>
      </w:r>
      <w:r w:rsidRPr="00EC20A0">
        <w:t>with</w:t>
      </w:r>
      <w:r w:rsidRPr="00EC20A0">
        <w:rPr>
          <w:spacing w:val="-3"/>
        </w:rPr>
        <w:t xml:space="preserve"> </w:t>
      </w:r>
      <w:r w:rsidRPr="00EC20A0">
        <w:t>U.S.</w:t>
      </w:r>
      <w:r w:rsidRPr="00EC20A0">
        <w:rPr>
          <w:spacing w:val="-3"/>
        </w:rPr>
        <w:t xml:space="preserve"> </w:t>
      </w:r>
      <w:r w:rsidRPr="00EC20A0">
        <w:t>GAAP.</w:t>
      </w:r>
      <w:hyperlink w:anchor="_bookmark214" w:history="1">
        <w:r w:rsidRPr="00EC20A0">
          <w:rPr>
            <w:position w:val="7"/>
            <w:sz w:val="14"/>
          </w:rPr>
          <w:t>4</w:t>
        </w:r>
      </w:hyperlink>
      <w:r w:rsidRPr="00EC20A0">
        <w:rPr>
          <w:spacing w:val="18"/>
          <w:position w:val="7"/>
          <w:sz w:val="14"/>
        </w:rPr>
        <w:t xml:space="preserve"> </w:t>
      </w:r>
      <w:r w:rsidRPr="00EC20A0">
        <w:t>This</w:t>
      </w:r>
      <w:r w:rsidRPr="00EC20A0">
        <w:rPr>
          <w:spacing w:val="-3"/>
        </w:rPr>
        <w:t xml:space="preserve"> </w:t>
      </w:r>
      <w:r w:rsidRPr="00EC20A0">
        <w:t>section</w:t>
      </w:r>
      <w:r w:rsidRPr="00EC20A0">
        <w:rPr>
          <w:spacing w:val="-3"/>
        </w:rPr>
        <w:t xml:space="preserve"> </w:t>
      </w:r>
      <w:r w:rsidRPr="00EC20A0">
        <w:t>discusses</w:t>
      </w:r>
      <w:r w:rsidRPr="00EC20A0">
        <w:rPr>
          <w:spacing w:val="-3"/>
        </w:rPr>
        <w:t xml:space="preserve"> </w:t>
      </w:r>
      <w:r w:rsidRPr="00EC20A0">
        <w:t>the</w:t>
      </w:r>
      <w:r w:rsidRPr="00EC20A0">
        <w:rPr>
          <w:spacing w:val="-3"/>
        </w:rPr>
        <w:t xml:space="preserve"> </w:t>
      </w:r>
      <w:r w:rsidRPr="00EC20A0">
        <w:t>applicable accounting and reporting guidance and audit procedures and includes the following practice aids:</w:t>
      </w:r>
    </w:p>
    <w:p w14:paraId="24D61DC1" w14:textId="77777777" w:rsidR="00245300" w:rsidRPr="00EC20A0" w:rsidRDefault="00F17249">
      <w:pPr>
        <w:pStyle w:val="ListParagraph"/>
        <w:numPr>
          <w:ilvl w:val="1"/>
          <w:numId w:val="68"/>
        </w:numPr>
        <w:tabs>
          <w:tab w:val="left" w:pos="2360"/>
        </w:tabs>
        <w:spacing w:before="121"/>
        <w:ind w:right="922" w:hanging="361"/>
      </w:pPr>
      <w:r w:rsidRPr="00EC20A0">
        <w:t>FAM</w:t>
      </w:r>
      <w:r w:rsidRPr="00EC20A0">
        <w:rPr>
          <w:spacing w:val="-5"/>
        </w:rPr>
        <w:t xml:space="preserve"> </w:t>
      </w:r>
      <w:r w:rsidRPr="00EC20A0">
        <w:t>1002</w:t>
      </w:r>
      <w:r w:rsidRPr="00EC20A0">
        <w:rPr>
          <w:spacing w:val="-4"/>
        </w:rPr>
        <w:t xml:space="preserve"> </w:t>
      </w:r>
      <w:r w:rsidRPr="00EC20A0">
        <w:t>A</w:t>
      </w:r>
      <w:r w:rsidRPr="00EC20A0">
        <w:rPr>
          <w:spacing w:val="-3"/>
        </w:rPr>
        <w:t xml:space="preserve"> </w:t>
      </w:r>
      <w:r w:rsidRPr="00EC20A0">
        <w:t>–</w:t>
      </w:r>
      <w:r w:rsidRPr="00EC20A0">
        <w:rPr>
          <w:spacing w:val="-4"/>
        </w:rPr>
        <w:t xml:space="preserve"> </w:t>
      </w:r>
      <w:r w:rsidRPr="00EC20A0">
        <w:t>Example</w:t>
      </w:r>
      <w:r w:rsidRPr="00EC20A0">
        <w:rPr>
          <w:spacing w:val="-4"/>
        </w:rPr>
        <w:t xml:space="preserve"> </w:t>
      </w:r>
      <w:r w:rsidRPr="00EC20A0">
        <w:t>Audit</w:t>
      </w:r>
      <w:r w:rsidRPr="00EC20A0">
        <w:rPr>
          <w:spacing w:val="-4"/>
        </w:rPr>
        <w:t xml:space="preserve"> </w:t>
      </w:r>
      <w:r w:rsidRPr="00EC20A0">
        <w:t>Procedures</w:t>
      </w:r>
      <w:r w:rsidRPr="00EC20A0">
        <w:rPr>
          <w:spacing w:val="-4"/>
        </w:rPr>
        <w:t xml:space="preserve"> </w:t>
      </w:r>
      <w:r w:rsidRPr="00EC20A0">
        <w:t>for</w:t>
      </w:r>
      <w:r w:rsidRPr="00EC20A0">
        <w:rPr>
          <w:spacing w:val="-4"/>
        </w:rPr>
        <w:t xml:space="preserve"> </w:t>
      </w:r>
      <w:r w:rsidRPr="00EC20A0">
        <w:t>Litigation,</w:t>
      </w:r>
      <w:r w:rsidRPr="00EC20A0">
        <w:rPr>
          <w:spacing w:val="-4"/>
        </w:rPr>
        <w:t xml:space="preserve"> </w:t>
      </w:r>
      <w:r w:rsidRPr="00EC20A0">
        <w:t>Claims,</w:t>
      </w:r>
      <w:r w:rsidRPr="00EC20A0">
        <w:rPr>
          <w:spacing w:val="-4"/>
        </w:rPr>
        <w:t xml:space="preserve"> </w:t>
      </w:r>
      <w:r w:rsidRPr="00EC20A0">
        <w:t xml:space="preserve">and </w:t>
      </w:r>
      <w:r w:rsidRPr="00EC20A0">
        <w:rPr>
          <w:spacing w:val="-2"/>
        </w:rPr>
        <w:t>Assessments</w:t>
      </w:r>
    </w:p>
    <w:p w14:paraId="24D61DC2" w14:textId="77777777" w:rsidR="00245300" w:rsidRPr="00EC20A0" w:rsidRDefault="00F17249">
      <w:pPr>
        <w:pStyle w:val="ListParagraph"/>
        <w:numPr>
          <w:ilvl w:val="1"/>
          <w:numId w:val="68"/>
        </w:numPr>
        <w:tabs>
          <w:tab w:val="left" w:pos="2360"/>
        </w:tabs>
        <w:spacing w:before="0" w:line="267" w:lineRule="exact"/>
      </w:pPr>
      <w:r w:rsidRPr="00EC20A0">
        <w:t>FAM</w:t>
      </w:r>
      <w:r w:rsidRPr="00EC20A0">
        <w:rPr>
          <w:spacing w:val="-7"/>
        </w:rPr>
        <w:t xml:space="preserve"> </w:t>
      </w:r>
      <w:r w:rsidRPr="00EC20A0">
        <w:t>1002</w:t>
      </w:r>
      <w:r w:rsidRPr="00EC20A0">
        <w:rPr>
          <w:spacing w:val="-5"/>
        </w:rPr>
        <w:t xml:space="preserve"> </w:t>
      </w:r>
      <w:r w:rsidRPr="00EC20A0">
        <w:t>B</w:t>
      </w:r>
      <w:r w:rsidRPr="00EC20A0">
        <w:rPr>
          <w:spacing w:val="-5"/>
        </w:rPr>
        <w:t xml:space="preserve"> </w:t>
      </w:r>
      <w:r w:rsidRPr="00EC20A0">
        <w:t>–</w:t>
      </w:r>
      <w:r w:rsidRPr="00EC20A0">
        <w:rPr>
          <w:spacing w:val="-5"/>
        </w:rPr>
        <w:t xml:space="preserve"> </w:t>
      </w:r>
      <w:r w:rsidRPr="00EC20A0">
        <w:t>Example</w:t>
      </w:r>
      <w:r w:rsidRPr="00EC20A0">
        <w:rPr>
          <w:spacing w:val="-6"/>
        </w:rPr>
        <w:t xml:space="preserve"> </w:t>
      </w:r>
      <w:r w:rsidRPr="00EC20A0">
        <w:t>Legal</w:t>
      </w:r>
      <w:r w:rsidRPr="00EC20A0">
        <w:rPr>
          <w:spacing w:val="-5"/>
        </w:rPr>
        <w:t xml:space="preserve"> </w:t>
      </w:r>
      <w:r w:rsidRPr="00EC20A0">
        <w:t>Counsel</w:t>
      </w:r>
      <w:r w:rsidRPr="00EC20A0">
        <w:rPr>
          <w:spacing w:val="-6"/>
        </w:rPr>
        <w:t xml:space="preserve"> </w:t>
      </w:r>
      <w:r w:rsidRPr="00EC20A0">
        <w:rPr>
          <w:spacing w:val="-2"/>
        </w:rPr>
        <w:t>Request</w:t>
      </w:r>
    </w:p>
    <w:p w14:paraId="24D61DC3" w14:textId="77777777" w:rsidR="00245300" w:rsidRPr="00EC20A0" w:rsidRDefault="00F17249">
      <w:pPr>
        <w:pStyle w:val="ListParagraph"/>
        <w:numPr>
          <w:ilvl w:val="1"/>
          <w:numId w:val="68"/>
        </w:numPr>
        <w:tabs>
          <w:tab w:val="left" w:pos="2360"/>
        </w:tabs>
        <w:spacing w:before="0" w:line="268" w:lineRule="exact"/>
      </w:pPr>
      <w:r w:rsidRPr="00EC20A0">
        <w:t>FAM</w:t>
      </w:r>
      <w:r w:rsidRPr="00EC20A0">
        <w:rPr>
          <w:spacing w:val="-6"/>
        </w:rPr>
        <w:t xml:space="preserve"> </w:t>
      </w:r>
      <w:r w:rsidRPr="00EC20A0">
        <w:t>1002</w:t>
      </w:r>
      <w:r w:rsidRPr="00EC20A0">
        <w:rPr>
          <w:spacing w:val="-5"/>
        </w:rPr>
        <w:t xml:space="preserve"> </w:t>
      </w:r>
      <w:r w:rsidRPr="00EC20A0">
        <w:t>C</w:t>
      </w:r>
      <w:r w:rsidRPr="00EC20A0">
        <w:rPr>
          <w:spacing w:val="-6"/>
        </w:rPr>
        <w:t xml:space="preserve"> </w:t>
      </w:r>
      <w:r w:rsidRPr="00EC20A0">
        <w:t>–</w:t>
      </w:r>
      <w:r w:rsidRPr="00EC20A0">
        <w:rPr>
          <w:spacing w:val="-5"/>
        </w:rPr>
        <w:t xml:space="preserve"> </w:t>
      </w:r>
      <w:r w:rsidRPr="00EC20A0">
        <w:t>Example</w:t>
      </w:r>
      <w:r w:rsidRPr="00EC20A0">
        <w:rPr>
          <w:spacing w:val="-5"/>
        </w:rPr>
        <w:t xml:space="preserve"> </w:t>
      </w:r>
      <w:r w:rsidRPr="00EC20A0">
        <w:t>Legal</w:t>
      </w:r>
      <w:r w:rsidRPr="00EC20A0">
        <w:rPr>
          <w:spacing w:val="-5"/>
        </w:rPr>
        <w:t xml:space="preserve"> </w:t>
      </w:r>
      <w:r w:rsidRPr="00EC20A0">
        <w:t>Counsel</w:t>
      </w:r>
      <w:r w:rsidRPr="00EC20A0">
        <w:rPr>
          <w:spacing w:val="-5"/>
        </w:rPr>
        <w:t xml:space="preserve"> </w:t>
      </w:r>
      <w:r w:rsidRPr="00EC20A0">
        <w:rPr>
          <w:spacing w:val="-2"/>
        </w:rPr>
        <w:t>Response</w:t>
      </w:r>
    </w:p>
    <w:p w14:paraId="24D61DC4" w14:textId="77777777" w:rsidR="00245300" w:rsidRPr="00EC20A0" w:rsidRDefault="00F17249">
      <w:pPr>
        <w:pStyle w:val="ListParagraph"/>
        <w:numPr>
          <w:ilvl w:val="1"/>
          <w:numId w:val="68"/>
        </w:numPr>
        <w:tabs>
          <w:tab w:val="left" w:pos="2359"/>
        </w:tabs>
        <w:spacing w:before="0" w:line="269" w:lineRule="exact"/>
        <w:ind w:left="2359" w:hanging="359"/>
      </w:pPr>
      <w:r w:rsidRPr="00EC20A0">
        <w:t>FAM</w:t>
      </w:r>
      <w:r w:rsidRPr="00EC20A0">
        <w:rPr>
          <w:spacing w:val="-7"/>
        </w:rPr>
        <w:t xml:space="preserve"> </w:t>
      </w:r>
      <w:r w:rsidRPr="00EC20A0">
        <w:t>1002</w:t>
      </w:r>
      <w:r w:rsidRPr="00EC20A0">
        <w:rPr>
          <w:spacing w:val="-5"/>
        </w:rPr>
        <w:t xml:space="preserve"> </w:t>
      </w:r>
      <w:r w:rsidRPr="00EC20A0">
        <w:t>D</w:t>
      </w:r>
      <w:r w:rsidRPr="00EC20A0">
        <w:rPr>
          <w:spacing w:val="-6"/>
        </w:rPr>
        <w:t xml:space="preserve"> </w:t>
      </w:r>
      <w:r w:rsidRPr="00EC20A0">
        <w:t>–</w:t>
      </w:r>
      <w:r w:rsidRPr="00EC20A0">
        <w:rPr>
          <w:spacing w:val="-6"/>
        </w:rPr>
        <w:t xml:space="preserve"> </w:t>
      </w:r>
      <w:r w:rsidRPr="00EC20A0">
        <w:t>Example</w:t>
      </w:r>
      <w:r w:rsidRPr="00EC20A0">
        <w:rPr>
          <w:spacing w:val="-6"/>
        </w:rPr>
        <w:t xml:space="preserve"> </w:t>
      </w:r>
      <w:r w:rsidRPr="00EC20A0">
        <w:t>Management</w:t>
      </w:r>
      <w:r w:rsidRPr="00EC20A0">
        <w:rPr>
          <w:spacing w:val="-6"/>
        </w:rPr>
        <w:t xml:space="preserve"> </w:t>
      </w:r>
      <w:r w:rsidRPr="00EC20A0">
        <w:rPr>
          <w:spacing w:val="-2"/>
        </w:rPr>
        <w:t>Schedule</w:t>
      </w:r>
    </w:p>
    <w:p w14:paraId="24D61DC5" w14:textId="77777777" w:rsidR="00245300" w:rsidRPr="00EC20A0" w:rsidRDefault="00F17249">
      <w:pPr>
        <w:pStyle w:val="Heading4"/>
        <w:spacing w:before="178"/>
        <w:ind w:left="200"/>
      </w:pPr>
      <w:bookmarkStart w:id="385" w:name="Accounting_and_Reporting_Guidance"/>
      <w:bookmarkEnd w:id="385"/>
      <w:r w:rsidRPr="00EC20A0">
        <w:t>Accounting</w:t>
      </w:r>
      <w:r w:rsidRPr="00EC20A0">
        <w:rPr>
          <w:spacing w:val="-15"/>
        </w:rPr>
        <w:t xml:space="preserve"> </w:t>
      </w:r>
      <w:r w:rsidRPr="00EC20A0">
        <w:t>and</w:t>
      </w:r>
      <w:r w:rsidRPr="00EC20A0">
        <w:rPr>
          <w:spacing w:val="-14"/>
        </w:rPr>
        <w:t xml:space="preserve"> </w:t>
      </w:r>
      <w:r w:rsidRPr="00EC20A0">
        <w:t>Reporting</w:t>
      </w:r>
      <w:r w:rsidRPr="00EC20A0">
        <w:rPr>
          <w:spacing w:val="-14"/>
        </w:rPr>
        <w:t xml:space="preserve"> </w:t>
      </w:r>
      <w:r w:rsidRPr="00EC20A0">
        <w:rPr>
          <w:spacing w:val="-2"/>
        </w:rPr>
        <w:t>Guidance</w:t>
      </w:r>
    </w:p>
    <w:p w14:paraId="24D61DC6" w14:textId="77777777" w:rsidR="00245300" w:rsidRPr="00EC20A0" w:rsidRDefault="00F17249">
      <w:pPr>
        <w:pStyle w:val="ListParagraph"/>
        <w:numPr>
          <w:ilvl w:val="0"/>
          <w:numId w:val="68"/>
        </w:numPr>
        <w:tabs>
          <w:tab w:val="left" w:pos="1639"/>
        </w:tabs>
        <w:spacing w:before="300"/>
        <w:ind w:left="1639" w:right="603" w:hanging="720"/>
      </w:pPr>
      <w:r w:rsidRPr="00EC20A0">
        <w:t>Entity management is responsible</w:t>
      </w:r>
      <w:r w:rsidRPr="00EC20A0">
        <w:rPr>
          <w:spacing w:val="-1"/>
        </w:rPr>
        <w:t xml:space="preserve"> </w:t>
      </w:r>
      <w:r w:rsidRPr="00EC20A0">
        <w:t xml:space="preserve">for implementing </w:t>
      </w:r>
      <w:r w:rsidRPr="00EC20A0">
        <w:t>policies and procedures to identify,</w:t>
      </w:r>
      <w:r w:rsidRPr="00EC20A0">
        <w:rPr>
          <w:spacing w:val="-4"/>
        </w:rPr>
        <w:t xml:space="preserve"> </w:t>
      </w:r>
      <w:r w:rsidRPr="00EC20A0">
        <w:t>evaluate,</w:t>
      </w:r>
      <w:r w:rsidRPr="00EC20A0">
        <w:rPr>
          <w:spacing w:val="-4"/>
        </w:rPr>
        <w:t xml:space="preserve"> </w:t>
      </w:r>
      <w:r w:rsidRPr="00EC20A0">
        <w:t>account</w:t>
      </w:r>
      <w:r w:rsidRPr="00EC20A0">
        <w:rPr>
          <w:spacing w:val="-4"/>
        </w:rPr>
        <w:t xml:space="preserve"> </w:t>
      </w:r>
      <w:r w:rsidRPr="00EC20A0">
        <w:t>for,</w:t>
      </w:r>
      <w:r w:rsidRPr="00EC20A0">
        <w:rPr>
          <w:spacing w:val="-4"/>
        </w:rPr>
        <w:t xml:space="preserve"> </w:t>
      </w:r>
      <w:r w:rsidRPr="00EC20A0">
        <w:t>and</w:t>
      </w:r>
      <w:r w:rsidRPr="00EC20A0">
        <w:rPr>
          <w:spacing w:val="-4"/>
        </w:rPr>
        <w:t xml:space="preserve"> </w:t>
      </w:r>
      <w:r w:rsidRPr="00EC20A0">
        <w:t>disclose</w:t>
      </w:r>
      <w:r w:rsidRPr="00EC20A0">
        <w:rPr>
          <w:spacing w:val="-5"/>
        </w:rPr>
        <w:t xml:space="preserve"> </w:t>
      </w:r>
      <w:r w:rsidRPr="00EC20A0">
        <w:t>litigation,</w:t>
      </w:r>
      <w:r w:rsidRPr="00EC20A0">
        <w:rPr>
          <w:spacing w:val="-4"/>
        </w:rPr>
        <w:t xml:space="preserve"> </w:t>
      </w:r>
      <w:r w:rsidRPr="00EC20A0">
        <w:t>claims,</w:t>
      </w:r>
      <w:r w:rsidRPr="00EC20A0">
        <w:rPr>
          <w:spacing w:val="-5"/>
        </w:rPr>
        <w:t xml:space="preserve"> </w:t>
      </w:r>
      <w:r w:rsidRPr="00EC20A0">
        <w:t>and</w:t>
      </w:r>
      <w:r w:rsidRPr="00EC20A0">
        <w:rPr>
          <w:spacing w:val="-4"/>
        </w:rPr>
        <w:t xml:space="preserve"> </w:t>
      </w:r>
      <w:r w:rsidRPr="00EC20A0">
        <w:t xml:space="preserve">assessments as a basis for the preparation of financial statements in conformity with U.S. </w:t>
      </w:r>
      <w:r w:rsidRPr="00EC20A0">
        <w:rPr>
          <w:spacing w:val="-2"/>
        </w:rPr>
        <w:t>GAAP.</w:t>
      </w:r>
    </w:p>
    <w:p w14:paraId="24D61DC7" w14:textId="77777777" w:rsidR="00245300" w:rsidRPr="00EC20A0" w:rsidRDefault="00F17249">
      <w:pPr>
        <w:pStyle w:val="ListParagraph"/>
        <w:numPr>
          <w:ilvl w:val="0"/>
          <w:numId w:val="68"/>
        </w:numPr>
        <w:tabs>
          <w:tab w:val="left" w:pos="1639"/>
        </w:tabs>
        <w:spacing w:before="241"/>
        <w:ind w:left="1639" w:right="346"/>
      </w:pPr>
      <w:r w:rsidRPr="00EC20A0">
        <w:t xml:space="preserve">SFFAS 5, </w:t>
      </w:r>
      <w:r w:rsidRPr="00EC20A0">
        <w:rPr>
          <w:i/>
        </w:rPr>
        <w:t>Accounting for Liabilities of the Federal Government</w:t>
      </w:r>
      <w:r w:rsidRPr="00EC20A0">
        <w:t xml:space="preserve">, as amended by SFFAS 12, </w:t>
      </w:r>
      <w:r w:rsidRPr="00EC20A0">
        <w:rPr>
          <w:i/>
        </w:rPr>
        <w:t>Recognition of Contingent Liabilities Arising from Litigation</w:t>
      </w:r>
      <w:r w:rsidRPr="00EC20A0">
        <w:t>, contains accounting and reporting standards for loss contingencies, including those</w:t>
      </w:r>
      <w:r w:rsidRPr="00EC20A0">
        <w:rPr>
          <w:spacing w:val="40"/>
        </w:rPr>
        <w:t xml:space="preserve"> </w:t>
      </w:r>
      <w:r w:rsidRPr="00EC20A0">
        <w:t>arising from litigation, claims, and assessments.</w:t>
      </w:r>
      <w:hyperlink w:anchor="_bookmark215" w:history="1">
        <w:r w:rsidRPr="00EC20A0">
          <w:rPr>
            <w:position w:val="7"/>
            <w:sz w:val="14"/>
          </w:rPr>
          <w:t>5</w:t>
        </w:r>
      </w:hyperlink>
      <w:r w:rsidRPr="00EC20A0">
        <w:rPr>
          <w:spacing w:val="35"/>
          <w:position w:val="7"/>
          <w:sz w:val="14"/>
        </w:rPr>
        <w:t xml:space="preserve"> </w:t>
      </w:r>
      <w:r w:rsidRPr="00EC20A0">
        <w:t xml:space="preserve">Federal Accounting Standards Advisory Board (FASAB) Interpretation No. 2, </w:t>
      </w:r>
      <w:r w:rsidRPr="00EC20A0">
        <w:rPr>
          <w:i/>
        </w:rPr>
        <w:t>Accounting for Treasury Judgment Fund Transactions</w:t>
      </w:r>
      <w:r w:rsidRPr="00EC20A0">
        <w:t>, provides additional guidance related to claims to be paid through the Treasury Judgment Fund.</w:t>
      </w:r>
      <w:hyperlink w:anchor="_bookmark216" w:history="1">
        <w:r w:rsidRPr="00EC20A0">
          <w:rPr>
            <w:position w:val="7"/>
            <w:sz w:val="14"/>
          </w:rPr>
          <w:t>6</w:t>
        </w:r>
      </w:hyperlink>
      <w:r w:rsidRPr="00EC20A0">
        <w:rPr>
          <w:spacing w:val="39"/>
          <w:position w:val="7"/>
          <w:sz w:val="14"/>
        </w:rPr>
        <w:t xml:space="preserve"> </w:t>
      </w:r>
      <w:r w:rsidRPr="00EC20A0">
        <w:t>Statement of Financial Accounting Standards</w:t>
      </w:r>
      <w:r w:rsidRPr="00EC20A0">
        <w:rPr>
          <w:spacing w:val="-3"/>
        </w:rPr>
        <w:t xml:space="preserve"> </w:t>
      </w:r>
      <w:r w:rsidRPr="00EC20A0">
        <w:t>(FAS)</w:t>
      </w:r>
      <w:r w:rsidRPr="00EC20A0">
        <w:rPr>
          <w:spacing w:val="-3"/>
        </w:rPr>
        <w:t xml:space="preserve"> </w:t>
      </w:r>
      <w:r w:rsidRPr="00EC20A0">
        <w:t>No.</w:t>
      </w:r>
      <w:r w:rsidRPr="00EC20A0">
        <w:rPr>
          <w:spacing w:val="-3"/>
        </w:rPr>
        <w:t xml:space="preserve"> </w:t>
      </w:r>
      <w:r w:rsidRPr="00EC20A0">
        <w:t>5,</w:t>
      </w:r>
      <w:r w:rsidRPr="00EC20A0">
        <w:rPr>
          <w:spacing w:val="-2"/>
        </w:rPr>
        <w:t xml:space="preserve"> </w:t>
      </w:r>
      <w:r w:rsidRPr="00EC20A0">
        <w:rPr>
          <w:i/>
        </w:rPr>
        <w:t>Accounting</w:t>
      </w:r>
      <w:r w:rsidRPr="00EC20A0">
        <w:rPr>
          <w:i/>
          <w:spacing w:val="-3"/>
        </w:rPr>
        <w:t xml:space="preserve"> </w:t>
      </w:r>
      <w:r w:rsidRPr="00EC20A0">
        <w:rPr>
          <w:i/>
        </w:rPr>
        <w:t>for</w:t>
      </w:r>
      <w:r w:rsidRPr="00EC20A0">
        <w:rPr>
          <w:i/>
          <w:spacing w:val="-3"/>
        </w:rPr>
        <w:t xml:space="preserve"> </w:t>
      </w:r>
      <w:r w:rsidRPr="00EC20A0">
        <w:rPr>
          <w:i/>
        </w:rPr>
        <w:t>Contingencies</w:t>
      </w:r>
      <w:r w:rsidRPr="00EC20A0">
        <w:t>,</w:t>
      </w:r>
      <w:r w:rsidRPr="00EC20A0">
        <w:rPr>
          <w:spacing w:val="-3"/>
        </w:rPr>
        <w:t xml:space="preserve"> </w:t>
      </w:r>
      <w:r w:rsidRPr="00EC20A0">
        <w:t>also</w:t>
      </w:r>
      <w:r w:rsidRPr="00EC20A0">
        <w:rPr>
          <w:spacing w:val="-3"/>
        </w:rPr>
        <w:t xml:space="preserve"> </w:t>
      </w:r>
      <w:r w:rsidRPr="00EC20A0">
        <w:t>provides</w:t>
      </w:r>
      <w:r w:rsidRPr="00EC20A0">
        <w:rPr>
          <w:spacing w:val="-3"/>
        </w:rPr>
        <w:t xml:space="preserve"> </w:t>
      </w:r>
      <w:r w:rsidRPr="00EC20A0">
        <w:t>guidance</w:t>
      </w:r>
      <w:r w:rsidRPr="00EC20A0">
        <w:rPr>
          <w:spacing w:val="-3"/>
        </w:rPr>
        <w:t xml:space="preserve"> </w:t>
      </w:r>
      <w:r w:rsidRPr="00EC20A0">
        <w:t>for financial</w:t>
      </w:r>
      <w:r w:rsidRPr="00EC20A0">
        <w:rPr>
          <w:spacing w:val="-4"/>
        </w:rPr>
        <w:t xml:space="preserve"> </w:t>
      </w:r>
      <w:r w:rsidRPr="00EC20A0">
        <w:t>accounting</w:t>
      </w:r>
      <w:r w:rsidRPr="00EC20A0">
        <w:rPr>
          <w:spacing w:val="-4"/>
        </w:rPr>
        <w:t xml:space="preserve"> </w:t>
      </w:r>
      <w:r w:rsidRPr="00EC20A0">
        <w:t>and</w:t>
      </w:r>
      <w:r w:rsidRPr="00EC20A0">
        <w:rPr>
          <w:spacing w:val="-5"/>
        </w:rPr>
        <w:t xml:space="preserve"> </w:t>
      </w:r>
      <w:r w:rsidRPr="00EC20A0">
        <w:t>reporting</w:t>
      </w:r>
      <w:r w:rsidRPr="00EC20A0">
        <w:rPr>
          <w:spacing w:val="-4"/>
        </w:rPr>
        <w:t xml:space="preserve"> </w:t>
      </w:r>
      <w:r w:rsidRPr="00EC20A0">
        <w:t>for</w:t>
      </w:r>
      <w:r w:rsidRPr="00EC20A0">
        <w:rPr>
          <w:spacing w:val="-5"/>
        </w:rPr>
        <w:t xml:space="preserve"> </w:t>
      </w:r>
      <w:r w:rsidRPr="00EC20A0">
        <w:t>loss</w:t>
      </w:r>
      <w:r w:rsidRPr="00EC20A0">
        <w:rPr>
          <w:spacing w:val="-4"/>
        </w:rPr>
        <w:t xml:space="preserve"> </w:t>
      </w:r>
      <w:r w:rsidRPr="00EC20A0">
        <w:t>and</w:t>
      </w:r>
      <w:r w:rsidRPr="00EC20A0">
        <w:rPr>
          <w:spacing w:val="-4"/>
        </w:rPr>
        <w:t xml:space="preserve"> </w:t>
      </w:r>
      <w:r w:rsidRPr="00EC20A0">
        <w:t>gain</w:t>
      </w:r>
      <w:r w:rsidRPr="00EC20A0">
        <w:rPr>
          <w:spacing w:val="-4"/>
        </w:rPr>
        <w:t xml:space="preserve"> </w:t>
      </w:r>
      <w:r w:rsidRPr="00EC20A0">
        <w:t>contingencies</w:t>
      </w:r>
      <w:r w:rsidRPr="00EC20A0">
        <w:rPr>
          <w:spacing w:val="-4"/>
        </w:rPr>
        <w:t xml:space="preserve"> </w:t>
      </w:r>
      <w:r w:rsidRPr="00EC20A0">
        <w:t>for</w:t>
      </w:r>
      <w:r w:rsidRPr="00EC20A0">
        <w:rPr>
          <w:spacing w:val="-4"/>
        </w:rPr>
        <w:t xml:space="preserve"> </w:t>
      </w:r>
      <w:r w:rsidRPr="00EC20A0">
        <w:t>government corporations and for entities following U.S. GAAP for the private sector promulgated by FASB. The definition of probable for legal contingencies is essentially the same in FAS No. 5 and SFFAS 5.</w:t>
      </w:r>
    </w:p>
    <w:p w14:paraId="24D61DC8" w14:textId="77777777" w:rsidR="00245300" w:rsidRPr="00EC20A0" w:rsidRDefault="00F17249">
      <w:pPr>
        <w:pStyle w:val="ListParagraph"/>
        <w:numPr>
          <w:ilvl w:val="0"/>
          <w:numId w:val="68"/>
        </w:numPr>
        <w:tabs>
          <w:tab w:val="left" w:pos="1640"/>
        </w:tabs>
        <w:spacing w:before="239"/>
        <w:ind w:right="358"/>
      </w:pPr>
      <w:r w:rsidRPr="00EC20A0">
        <w:t>A</w:t>
      </w:r>
      <w:r w:rsidRPr="00EC20A0">
        <w:rPr>
          <w:spacing w:val="-4"/>
        </w:rPr>
        <w:t xml:space="preserve"> </w:t>
      </w:r>
      <w:r w:rsidRPr="00EC20A0">
        <w:t>contingency</w:t>
      </w:r>
      <w:r w:rsidRPr="00EC20A0">
        <w:rPr>
          <w:spacing w:val="-4"/>
        </w:rPr>
        <w:t xml:space="preserve"> </w:t>
      </w:r>
      <w:r w:rsidRPr="00EC20A0">
        <w:t>is</w:t>
      </w:r>
      <w:r w:rsidRPr="00EC20A0">
        <w:rPr>
          <w:spacing w:val="-4"/>
        </w:rPr>
        <w:t xml:space="preserve"> </w:t>
      </w:r>
      <w:r w:rsidRPr="00EC20A0">
        <w:t>an</w:t>
      </w:r>
      <w:r w:rsidRPr="00EC20A0">
        <w:rPr>
          <w:spacing w:val="-5"/>
        </w:rPr>
        <w:t xml:space="preserve"> </w:t>
      </w:r>
      <w:r w:rsidRPr="00EC20A0">
        <w:t>existing</w:t>
      </w:r>
      <w:r w:rsidRPr="00EC20A0">
        <w:rPr>
          <w:spacing w:val="-4"/>
        </w:rPr>
        <w:t xml:space="preserve"> </w:t>
      </w:r>
      <w:r w:rsidRPr="00EC20A0">
        <w:t>condition,</w:t>
      </w:r>
      <w:r w:rsidRPr="00EC20A0">
        <w:rPr>
          <w:spacing w:val="-4"/>
        </w:rPr>
        <w:t xml:space="preserve"> </w:t>
      </w:r>
      <w:r w:rsidRPr="00EC20A0">
        <w:t>situation,</w:t>
      </w:r>
      <w:r w:rsidRPr="00EC20A0">
        <w:rPr>
          <w:spacing w:val="-5"/>
        </w:rPr>
        <w:t xml:space="preserve"> </w:t>
      </w:r>
      <w:r w:rsidRPr="00EC20A0">
        <w:t>or</w:t>
      </w:r>
      <w:r w:rsidRPr="00EC20A0">
        <w:rPr>
          <w:spacing w:val="-4"/>
        </w:rPr>
        <w:t xml:space="preserve"> </w:t>
      </w:r>
      <w:r w:rsidRPr="00EC20A0">
        <w:t>set</w:t>
      </w:r>
      <w:r w:rsidRPr="00EC20A0">
        <w:rPr>
          <w:spacing w:val="-4"/>
        </w:rPr>
        <w:t xml:space="preserve"> </w:t>
      </w:r>
      <w:r w:rsidRPr="00EC20A0">
        <w:t>of</w:t>
      </w:r>
      <w:r w:rsidRPr="00EC20A0">
        <w:rPr>
          <w:spacing w:val="-4"/>
        </w:rPr>
        <w:t xml:space="preserve"> </w:t>
      </w:r>
      <w:r w:rsidRPr="00EC20A0">
        <w:t>circumstances</w:t>
      </w:r>
      <w:r w:rsidRPr="00EC20A0">
        <w:rPr>
          <w:spacing w:val="-4"/>
        </w:rPr>
        <w:t xml:space="preserve"> </w:t>
      </w:r>
      <w:r w:rsidRPr="00EC20A0">
        <w:t>involving uncertainty as to possible gain or loss to an entity. The uncertainty will ultimately be resolved when one or more future events occur or fail to occur. When a loss</w:t>
      </w:r>
    </w:p>
    <w:p w14:paraId="24D61DC9" w14:textId="77777777" w:rsidR="00245300" w:rsidRPr="00EC20A0" w:rsidRDefault="00F17249">
      <w:pPr>
        <w:pStyle w:val="BodyText"/>
        <w:spacing w:before="79"/>
        <w:rPr>
          <w:sz w:val="20"/>
        </w:rPr>
      </w:pPr>
      <w:r w:rsidRPr="00EC20A0">
        <w:rPr>
          <w:noProof/>
        </w:rPr>
        <mc:AlternateContent>
          <mc:Choice Requires="wps">
            <w:drawing>
              <wp:anchor distT="0" distB="0" distL="0" distR="0" simplePos="0" relativeHeight="487724032" behindDoc="1" locked="0" layoutInCell="1" allowOverlap="1" wp14:anchorId="24D62CC9" wp14:editId="24D62CCA">
                <wp:simplePos x="0" y="0"/>
                <wp:positionH relativeFrom="page">
                  <wp:posOffset>914400</wp:posOffset>
                </wp:positionH>
                <wp:positionV relativeFrom="paragraph">
                  <wp:posOffset>211454</wp:posOffset>
                </wp:positionV>
                <wp:extent cx="1828800" cy="5715"/>
                <wp:effectExtent l="0" t="0" r="0" b="0"/>
                <wp:wrapTopAndBottom/>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94366" id="Graphic 937" o:spid="_x0000_s1026" style="position:absolute;margin-left:1in;margin-top:16.65pt;width:2in;height:.45pt;z-index:-155924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" path="m1828800,l,,,5333r1828800,l1828800,xe" fillcolor="black" stroked="f">
                <v:path arrowok="t"/>
                <w10:wrap type="topAndBottom" anchorx="page"/>
              </v:shape>
            </w:pict>
          </mc:Fallback>
        </mc:AlternateContent>
      </w:r>
    </w:p>
    <w:p w14:paraId="24D61DCA" w14:textId="77777777" w:rsidR="00245300" w:rsidRPr="00EC20A0" w:rsidRDefault="00F17249">
      <w:pPr>
        <w:spacing w:before="200" w:line="249" w:lineRule="auto"/>
        <w:ind w:left="199" w:right="345"/>
        <w:rPr>
          <w:sz w:val="18"/>
        </w:rPr>
      </w:pPr>
      <w:bookmarkStart w:id="386" w:name="_bookmark214"/>
      <w:bookmarkEnd w:id="386"/>
      <w:r w:rsidRPr="00EC20A0">
        <w:rPr>
          <w:position w:val="7"/>
          <w:sz w:val="14"/>
        </w:rPr>
        <w:t>4</w:t>
      </w:r>
      <w:r w:rsidRPr="00EC20A0">
        <w:rPr>
          <w:sz w:val="18"/>
        </w:rPr>
        <w:t>Reporting</w:t>
      </w:r>
      <w:r w:rsidRPr="00EC20A0">
        <w:rPr>
          <w:spacing w:val="-4"/>
          <w:sz w:val="18"/>
        </w:rPr>
        <w:t xml:space="preserve"> </w:t>
      </w:r>
      <w:r w:rsidRPr="00EC20A0">
        <w:rPr>
          <w:sz w:val="18"/>
        </w:rPr>
        <w:t>of</w:t>
      </w:r>
      <w:r w:rsidRPr="00EC20A0">
        <w:rPr>
          <w:spacing w:val="-3"/>
          <w:sz w:val="18"/>
        </w:rPr>
        <w:t xml:space="preserve"> </w:t>
      </w:r>
      <w:r w:rsidRPr="00EC20A0">
        <w:rPr>
          <w:sz w:val="18"/>
        </w:rPr>
        <w:t>contingencies</w:t>
      </w:r>
      <w:r w:rsidRPr="00EC20A0">
        <w:rPr>
          <w:spacing w:val="-3"/>
          <w:sz w:val="18"/>
        </w:rPr>
        <w:t xml:space="preserve"> </w:t>
      </w:r>
      <w:r w:rsidRPr="00EC20A0">
        <w:rPr>
          <w:sz w:val="18"/>
        </w:rPr>
        <w:t>includes</w:t>
      </w:r>
      <w:r w:rsidRPr="00EC20A0">
        <w:rPr>
          <w:spacing w:val="-3"/>
          <w:sz w:val="18"/>
        </w:rPr>
        <w:t xml:space="preserve"> </w:t>
      </w:r>
      <w:r w:rsidRPr="00EC20A0">
        <w:rPr>
          <w:sz w:val="18"/>
        </w:rPr>
        <w:t>environmental</w:t>
      </w:r>
      <w:r w:rsidRPr="00EC20A0">
        <w:rPr>
          <w:spacing w:val="-4"/>
          <w:sz w:val="18"/>
        </w:rPr>
        <w:t xml:space="preserve"> </w:t>
      </w:r>
      <w:r w:rsidRPr="00EC20A0">
        <w:rPr>
          <w:sz w:val="18"/>
        </w:rPr>
        <w:t>and</w:t>
      </w:r>
      <w:r w:rsidRPr="00EC20A0">
        <w:rPr>
          <w:spacing w:val="-3"/>
          <w:sz w:val="18"/>
        </w:rPr>
        <w:t xml:space="preserve"> </w:t>
      </w:r>
      <w:r w:rsidRPr="00EC20A0">
        <w:rPr>
          <w:sz w:val="18"/>
        </w:rPr>
        <w:t>disposal</w:t>
      </w:r>
      <w:r w:rsidRPr="00EC20A0">
        <w:rPr>
          <w:spacing w:val="-4"/>
          <w:sz w:val="18"/>
        </w:rPr>
        <w:t xml:space="preserve"> </w:t>
      </w:r>
      <w:r w:rsidRPr="00EC20A0">
        <w:rPr>
          <w:sz w:val="18"/>
        </w:rPr>
        <w:t>liabilities—a</w:t>
      </w:r>
      <w:r w:rsidRPr="00EC20A0">
        <w:rPr>
          <w:spacing w:val="-4"/>
          <w:sz w:val="18"/>
        </w:rPr>
        <w:t xml:space="preserve"> </w:t>
      </w:r>
      <w:r w:rsidRPr="00EC20A0">
        <w:rPr>
          <w:sz w:val="18"/>
        </w:rPr>
        <w:t>contingency</w:t>
      </w:r>
      <w:r w:rsidRPr="00EC20A0">
        <w:rPr>
          <w:spacing w:val="-3"/>
          <w:sz w:val="18"/>
        </w:rPr>
        <w:t xml:space="preserve"> </w:t>
      </w:r>
      <w:r w:rsidRPr="00EC20A0">
        <w:rPr>
          <w:sz w:val="18"/>
        </w:rPr>
        <w:t>that</w:t>
      </w:r>
      <w:r w:rsidRPr="00EC20A0">
        <w:rPr>
          <w:spacing w:val="-3"/>
          <w:sz w:val="18"/>
        </w:rPr>
        <w:t xml:space="preserve"> </w:t>
      </w:r>
      <w:r w:rsidRPr="00EC20A0">
        <w:rPr>
          <w:sz w:val="18"/>
        </w:rPr>
        <w:t>is</w:t>
      </w:r>
      <w:r w:rsidRPr="00EC20A0">
        <w:rPr>
          <w:spacing w:val="-3"/>
          <w:sz w:val="18"/>
        </w:rPr>
        <w:t xml:space="preserve"> </w:t>
      </w:r>
      <w:r w:rsidRPr="00EC20A0">
        <w:rPr>
          <w:sz w:val="18"/>
        </w:rPr>
        <w:t>often</w:t>
      </w:r>
      <w:r w:rsidRPr="00EC20A0">
        <w:rPr>
          <w:spacing w:val="-4"/>
          <w:sz w:val="18"/>
        </w:rPr>
        <w:t xml:space="preserve"> </w:t>
      </w:r>
      <w:r w:rsidRPr="00EC20A0">
        <w:rPr>
          <w:sz w:val="18"/>
        </w:rPr>
        <w:t>a</w:t>
      </w:r>
      <w:r w:rsidRPr="00EC20A0">
        <w:rPr>
          <w:spacing w:val="-4"/>
          <w:sz w:val="18"/>
        </w:rPr>
        <w:t xml:space="preserve"> </w:t>
      </w:r>
      <w:r w:rsidRPr="00EC20A0">
        <w:rPr>
          <w:sz w:val="18"/>
        </w:rPr>
        <w:t>significant issue for the federal government.</w:t>
      </w:r>
    </w:p>
    <w:p w14:paraId="24D61DCB" w14:textId="77777777" w:rsidR="00245300" w:rsidRPr="00EC20A0" w:rsidRDefault="00F17249">
      <w:pPr>
        <w:spacing w:before="117" w:line="244" w:lineRule="auto"/>
        <w:ind w:left="199" w:right="345"/>
        <w:rPr>
          <w:sz w:val="18"/>
        </w:rPr>
      </w:pPr>
      <w:bookmarkStart w:id="387" w:name="_bookmark215"/>
      <w:bookmarkEnd w:id="387"/>
      <w:r w:rsidRPr="00EC20A0">
        <w:rPr>
          <w:position w:val="7"/>
          <w:sz w:val="14"/>
        </w:rPr>
        <w:t>5</w:t>
      </w:r>
      <w:r w:rsidRPr="00EC20A0">
        <w:rPr>
          <w:sz w:val="18"/>
        </w:rPr>
        <w:t>SFFAS</w:t>
      </w:r>
      <w:r w:rsidRPr="00EC20A0">
        <w:rPr>
          <w:spacing w:val="-2"/>
          <w:sz w:val="18"/>
        </w:rPr>
        <w:t xml:space="preserve"> </w:t>
      </w:r>
      <w:r w:rsidRPr="00EC20A0">
        <w:rPr>
          <w:sz w:val="18"/>
        </w:rPr>
        <w:t>7</w:t>
      </w:r>
      <w:r w:rsidRPr="00EC20A0">
        <w:rPr>
          <w:spacing w:val="-3"/>
          <w:sz w:val="18"/>
        </w:rPr>
        <w:t xml:space="preserve"> </w:t>
      </w:r>
      <w:r w:rsidRPr="00EC20A0">
        <w:rPr>
          <w:sz w:val="18"/>
        </w:rPr>
        <w:t>has</w:t>
      </w:r>
      <w:r w:rsidRPr="00EC20A0">
        <w:rPr>
          <w:spacing w:val="-2"/>
          <w:sz w:val="18"/>
        </w:rPr>
        <w:t xml:space="preserve"> </w:t>
      </w:r>
      <w:r w:rsidRPr="00EC20A0">
        <w:rPr>
          <w:sz w:val="18"/>
        </w:rPr>
        <w:t>guidance</w:t>
      </w:r>
      <w:r w:rsidRPr="00EC20A0">
        <w:rPr>
          <w:spacing w:val="-3"/>
          <w:sz w:val="18"/>
        </w:rPr>
        <w:t xml:space="preserve"> </w:t>
      </w:r>
      <w:r w:rsidRPr="00EC20A0">
        <w:rPr>
          <w:sz w:val="18"/>
        </w:rPr>
        <w:t>for</w:t>
      </w:r>
      <w:r w:rsidRPr="00EC20A0">
        <w:rPr>
          <w:spacing w:val="-2"/>
          <w:sz w:val="18"/>
        </w:rPr>
        <w:t xml:space="preserve"> </w:t>
      </w:r>
      <w:r w:rsidRPr="00EC20A0">
        <w:rPr>
          <w:sz w:val="18"/>
        </w:rPr>
        <w:t>reporting</w:t>
      </w:r>
      <w:r w:rsidRPr="00EC20A0">
        <w:rPr>
          <w:spacing w:val="-2"/>
          <w:sz w:val="18"/>
        </w:rPr>
        <w:t xml:space="preserve"> </w:t>
      </w:r>
      <w:r w:rsidRPr="00EC20A0">
        <w:rPr>
          <w:sz w:val="18"/>
        </w:rPr>
        <w:t>claims</w:t>
      </w:r>
      <w:r w:rsidRPr="00EC20A0">
        <w:rPr>
          <w:spacing w:val="-2"/>
          <w:sz w:val="18"/>
        </w:rPr>
        <w:t xml:space="preserve"> </w:t>
      </w:r>
      <w:r w:rsidRPr="00EC20A0">
        <w:rPr>
          <w:sz w:val="18"/>
        </w:rPr>
        <w:t>for</w:t>
      </w:r>
      <w:r w:rsidRPr="00EC20A0">
        <w:rPr>
          <w:spacing w:val="-2"/>
          <w:sz w:val="18"/>
        </w:rPr>
        <w:t xml:space="preserve"> </w:t>
      </w:r>
      <w:r w:rsidRPr="00EC20A0">
        <w:rPr>
          <w:sz w:val="18"/>
        </w:rPr>
        <w:t>tax</w:t>
      </w:r>
      <w:r w:rsidRPr="00EC20A0">
        <w:rPr>
          <w:spacing w:val="-2"/>
          <w:sz w:val="18"/>
        </w:rPr>
        <w:t xml:space="preserve"> </w:t>
      </w:r>
      <w:r w:rsidRPr="00EC20A0">
        <w:rPr>
          <w:sz w:val="18"/>
        </w:rPr>
        <w:t>refunds.</w:t>
      </w:r>
      <w:r w:rsidRPr="00EC20A0">
        <w:rPr>
          <w:spacing w:val="-2"/>
          <w:sz w:val="18"/>
        </w:rPr>
        <w:t xml:space="preserve"> </w:t>
      </w:r>
      <w:r w:rsidRPr="00EC20A0">
        <w:rPr>
          <w:sz w:val="18"/>
        </w:rPr>
        <w:t>SFFAS</w:t>
      </w:r>
      <w:r w:rsidRPr="00EC20A0">
        <w:rPr>
          <w:spacing w:val="-2"/>
          <w:sz w:val="18"/>
        </w:rPr>
        <w:t xml:space="preserve"> </w:t>
      </w:r>
      <w:r w:rsidRPr="00EC20A0">
        <w:rPr>
          <w:sz w:val="18"/>
        </w:rPr>
        <w:t>7</w:t>
      </w:r>
      <w:r w:rsidRPr="00EC20A0">
        <w:rPr>
          <w:spacing w:val="-3"/>
          <w:sz w:val="18"/>
        </w:rPr>
        <w:t xml:space="preserve"> </w:t>
      </w:r>
      <w:r w:rsidRPr="00EC20A0">
        <w:rPr>
          <w:sz w:val="18"/>
        </w:rPr>
        <w:t>indicates</w:t>
      </w:r>
      <w:r w:rsidRPr="00EC20A0">
        <w:rPr>
          <w:spacing w:val="-2"/>
          <w:sz w:val="18"/>
        </w:rPr>
        <w:t xml:space="preserve"> </w:t>
      </w:r>
      <w:r w:rsidRPr="00EC20A0">
        <w:rPr>
          <w:sz w:val="18"/>
        </w:rPr>
        <w:t>that</w:t>
      </w:r>
      <w:r w:rsidRPr="00EC20A0">
        <w:rPr>
          <w:spacing w:val="-2"/>
          <w:sz w:val="18"/>
        </w:rPr>
        <w:t xml:space="preserve"> </w:t>
      </w:r>
      <w:r w:rsidRPr="00EC20A0">
        <w:rPr>
          <w:sz w:val="18"/>
        </w:rPr>
        <w:t>rather</w:t>
      </w:r>
      <w:r w:rsidRPr="00EC20A0">
        <w:rPr>
          <w:spacing w:val="-2"/>
          <w:sz w:val="18"/>
        </w:rPr>
        <w:t xml:space="preserve"> </w:t>
      </w:r>
      <w:r w:rsidRPr="00EC20A0">
        <w:rPr>
          <w:sz w:val="18"/>
        </w:rPr>
        <w:t>than</w:t>
      </w:r>
      <w:r w:rsidRPr="00EC20A0">
        <w:rPr>
          <w:spacing w:val="-3"/>
          <w:sz w:val="18"/>
        </w:rPr>
        <w:t xml:space="preserve"> </w:t>
      </w:r>
      <w:r w:rsidRPr="00EC20A0">
        <w:rPr>
          <w:sz w:val="18"/>
        </w:rPr>
        <w:t>recognizing</w:t>
      </w:r>
      <w:r w:rsidRPr="00EC20A0">
        <w:rPr>
          <w:spacing w:val="-3"/>
          <w:sz w:val="18"/>
        </w:rPr>
        <w:t xml:space="preserve"> </w:t>
      </w:r>
      <w:r w:rsidRPr="00EC20A0">
        <w:rPr>
          <w:sz w:val="18"/>
        </w:rPr>
        <w:t xml:space="preserve">probable claims and disclosing other </w:t>
      </w:r>
      <w:r w:rsidRPr="00EC20A0">
        <w:rPr>
          <w:sz w:val="18"/>
        </w:rPr>
        <w:t>claims in the notes to the financial statements, other claims for refunds that are probable should be included as supplementary information.</w:t>
      </w:r>
    </w:p>
    <w:p w14:paraId="24D61DCC" w14:textId="77777777" w:rsidR="00245300" w:rsidRPr="00EC20A0" w:rsidRDefault="00F17249">
      <w:pPr>
        <w:spacing w:before="121" w:line="242" w:lineRule="auto"/>
        <w:ind w:left="197" w:right="408" w:firstLine="2"/>
        <w:rPr>
          <w:sz w:val="18"/>
        </w:rPr>
      </w:pPr>
      <w:bookmarkStart w:id="388" w:name="_bookmark216"/>
      <w:bookmarkEnd w:id="388"/>
      <w:r w:rsidRPr="00EC20A0">
        <w:rPr>
          <w:position w:val="7"/>
          <w:sz w:val="14"/>
        </w:rPr>
        <w:t>6</w:t>
      </w:r>
      <w:r w:rsidRPr="00EC20A0">
        <w:rPr>
          <w:sz w:val="18"/>
        </w:rPr>
        <w:t>A permanent, indefinite</w:t>
      </w:r>
      <w:r w:rsidRPr="00EC20A0">
        <w:rPr>
          <w:spacing w:val="-1"/>
          <w:sz w:val="18"/>
        </w:rPr>
        <w:t xml:space="preserve"> </w:t>
      </w:r>
      <w:r w:rsidRPr="00EC20A0">
        <w:rPr>
          <w:sz w:val="18"/>
        </w:rPr>
        <w:t>appropriation, commonly known as the</w:t>
      </w:r>
      <w:r w:rsidRPr="00EC20A0">
        <w:rPr>
          <w:spacing w:val="-1"/>
          <w:sz w:val="18"/>
        </w:rPr>
        <w:t xml:space="preserve"> </w:t>
      </w:r>
      <w:r w:rsidRPr="00EC20A0">
        <w:rPr>
          <w:sz w:val="18"/>
        </w:rPr>
        <w:t>Judgment Fund, is available</w:t>
      </w:r>
      <w:r w:rsidRPr="00EC20A0">
        <w:rPr>
          <w:spacing w:val="-1"/>
          <w:sz w:val="18"/>
        </w:rPr>
        <w:t xml:space="preserve"> </w:t>
      </w:r>
      <w:r w:rsidRPr="00EC20A0">
        <w:rPr>
          <w:sz w:val="18"/>
        </w:rPr>
        <w:t>to</w:t>
      </w:r>
      <w:r w:rsidRPr="00EC20A0">
        <w:rPr>
          <w:spacing w:val="-1"/>
          <w:sz w:val="18"/>
        </w:rPr>
        <w:t xml:space="preserve"> </w:t>
      </w:r>
      <w:r w:rsidRPr="00EC20A0">
        <w:rPr>
          <w:sz w:val="18"/>
        </w:rPr>
        <w:t xml:space="preserve">pay final </w:t>
      </w:r>
      <w:r w:rsidRPr="00EC20A0">
        <w:rPr>
          <w:sz w:val="18"/>
        </w:rPr>
        <w:t>judgments, settlement agreements, and certain</w:t>
      </w:r>
      <w:r w:rsidRPr="00EC20A0">
        <w:rPr>
          <w:spacing w:val="-1"/>
          <w:sz w:val="18"/>
        </w:rPr>
        <w:t xml:space="preserve"> </w:t>
      </w:r>
      <w:r w:rsidRPr="00EC20A0">
        <w:rPr>
          <w:sz w:val="18"/>
        </w:rPr>
        <w:t>types of administrative awards against the</w:t>
      </w:r>
      <w:r w:rsidRPr="00EC20A0">
        <w:rPr>
          <w:spacing w:val="-1"/>
          <w:sz w:val="18"/>
        </w:rPr>
        <w:t xml:space="preserve"> </w:t>
      </w:r>
      <w:r w:rsidRPr="00EC20A0">
        <w:rPr>
          <w:sz w:val="18"/>
        </w:rPr>
        <w:t>United</w:t>
      </w:r>
      <w:r w:rsidRPr="00EC20A0">
        <w:rPr>
          <w:spacing w:val="-1"/>
          <w:sz w:val="18"/>
        </w:rPr>
        <w:t xml:space="preserve"> </w:t>
      </w:r>
      <w:r w:rsidRPr="00EC20A0">
        <w:rPr>
          <w:sz w:val="18"/>
        </w:rPr>
        <w:t>States, and</w:t>
      </w:r>
      <w:r w:rsidRPr="00EC20A0">
        <w:rPr>
          <w:spacing w:val="-1"/>
          <w:sz w:val="18"/>
        </w:rPr>
        <w:t xml:space="preserve"> </w:t>
      </w:r>
      <w:r w:rsidRPr="00EC20A0">
        <w:rPr>
          <w:sz w:val="18"/>
        </w:rPr>
        <w:t>interest and</w:t>
      </w:r>
      <w:r w:rsidRPr="00EC20A0">
        <w:rPr>
          <w:spacing w:val="-1"/>
          <w:sz w:val="18"/>
        </w:rPr>
        <w:t xml:space="preserve"> </w:t>
      </w:r>
      <w:r w:rsidRPr="00EC20A0">
        <w:rPr>
          <w:sz w:val="18"/>
        </w:rPr>
        <w:t>costs specified in the judgments or otherwise authorized by law, when payment is not otherwise provided for. The Secretary of the Treasury certifies all payments from the fund. (See 31 U.S.C. § 1304, Judgments, awards, and compromise settlements.) FASAB Interpretation No. 2 clarifies how federal entities report the costs and liabilities arising</w:t>
      </w:r>
      <w:r w:rsidRPr="00EC20A0">
        <w:rPr>
          <w:spacing w:val="-3"/>
          <w:sz w:val="18"/>
        </w:rPr>
        <w:t xml:space="preserve"> </w:t>
      </w:r>
      <w:r w:rsidRPr="00EC20A0">
        <w:rPr>
          <w:sz w:val="18"/>
        </w:rPr>
        <w:t>from</w:t>
      </w:r>
      <w:r w:rsidRPr="00EC20A0">
        <w:rPr>
          <w:spacing w:val="-2"/>
          <w:sz w:val="18"/>
        </w:rPr>
        <w:t xml:space="preserve"> </w:t>
      </w:r>
      <w:r w:rsidRPr="00EC20A0">
        <w:rPr>
          <w:sz w:val="18"/>
        </w:rPr>
        <w:t>claims</w:t>
      </w:r>
      <w:r w:rsidRPr="00EC20A0">
        <w:rPr>
          <w:spacing w:val="-2"/>
          <w:sz w:val="18"/>
        </w:rPr>
        <w:t xml:space="preserve"> </w:t>
      </w:r>
      <w:r w:rsidRPr="00EC20A0">
        <w:rPr>
          <w:sz w:val="18"/>
        </w:rPr>
        <w:t>to</w:t>
      </w:r>
      <w:r w:rsidRPr="00EC20A0">
        <w:rPr>
          <w:spacing w:val="-3"/>
          <w:sz w:val="18"/>
        </w:rPr>
        <w:t xml:space="preserve"> </w:t>
      </w:r>
      <w:r w:rsidRPr="00EC20A0">
        <w:rPr>
          <w:sz w:val="18"/>
        </w:rPr>
        <w:t>be</w:t>
      </w:r>
      <w:r w:rsidRPr="00EC20A0">
        <w:rPr>
          <w:spacing w:val="-3"/>
          <w:sz w:val="18"/>
        </w:rPr>
        <w:t xml:space="preserve"> </w:t>
      </w:r>
      <w:r w:rsidRPr="00EC20A0">
        <w:rPr>
          <w:sz w:val="18"/>
        </w:rPr>
        <w:t>paid</w:t>
      </w:r>
      <w:r w:rsidRPr="00EC20A0">
        <w:rPr>
          <w:spacing w:val="-3"/>
          <w:sz w:val="18"/>
        </w:rPr>
        <w:t xml:space="preserve"> </w:t>
      </w:r>
      <w:r w:rsidRPr="00EC20A0">
        <w:rPr>
          <w:sz w:val="18"/>
        </w:rPr>
        <w:t>by</w:t>
      </w:r>
      <w:r w:rsidRPr="00EC20A0">
        <w:rPr>
          <w:spacing w:val="-2"/>
          <w:sz w:val="18"/>
        </w:rPr>
        <w:t xml:space="preserve"> </w:t>
      </w:r>
      <w:r w:rsidRPr="00EC20A0">
        <w:rPr>
          <w:sz w:val="18"/>
        </w:rPr>
        <w:t>the</w:t>
      </w:r>
      <w:r w:rsidRPr="00EC20A0">
        <w:rPr>
          <w:spacing w:val="-2"/>
          <w:sz w:val="18"/>
        </w:rPr>
        <w:t xml:space="preserve"> </w:t>
      </w:r>
      <w:r w:rsidRPr="00EC20A0">
        <w:rPr>
          <w:sz w:val="18"/>
        </w:rPr>
        <w:t>Judgment</w:t>
      </w:r>
      <w:r w:rsidRPr="00EC20A0">
        <w:rPr>
          <w:spacing w:val="-2"/>
          <w:sz w:val="18"/>
        </w:rPr>
        <w:t xml:space="preserve"> </w:t>
      </w:r>
      <w:r w:rsidRPr="00EC20A0">
        <w:rPr>
          <w:sz w:val="18"/>
        </w:rPr>
        <w:t>Fund</w:t>
      </w:r>
      <w:r w:rsidRPr="00EC20A0">
        <w:rPr>
          <w:spacing w:val="-3"/>
          <w:sz w:val="18"/>
        </w:rPr>
        <w:t xml:space="preserve"> </w:t>
      </w:r>
      <w:r w:rsidRPr="00EC20A0">
        <w:rPr>
          <w:sz w:val="18"/>
        </w:rPr>
        <w:t>and</w:t>
      </w:r>
      <w:r w:rsidRPr="00EC20A0">
        <w:rPr>
          <w:spacing w:val="-3"/>
          <w:sz w:val="18"/>
        </w:rPr>
        <w:t xml:space="preserve"> </w:t>
      </w:r>
      <w:r w:rsidRPr="00EC20A0">
        <w:rPr>
          <w:sz w:val="18"/>
        </w:rPr>
        <w:t>how</w:t>
      </w:r>
      <w:r w:rsidRPr="00EC20A0">
        <w:rPr>
          <w:spacing w:val="-2"/>
          <w:sz w:val="18"/>
        </w:rPr>
        <w:t xml:space="preserve"> </w:t>
      </w:r>
      <w:r w:rsidRPr="00EC20A0">
        <w:rPr>
          <w:sz w:val="18"/>
        </w:rPr>
        <w:t>the</w:t>
      </w:r>
      <w:r w:rsidRPr="00EC20A0">
        <w:rPr>
          <w:spacing w:val="-3"/>
          <w:sz w:val="18"/>
        </w:rPr>
        <w:t xml:space="preserve"> </w:t>
      </w:r>
      <w:r w:rsidRPr="00EC20A0">
        <w:rPr>
          <w:sz w:val="18"/>
        </w:rPr>
        <w:t>Judgment</w:t>
      </w:r>
      <w:r w:rsidRPr="00EC20A0">
        <w:rPr>
          <w:spacing w:val="-2"/>
          <w:sz w:val="18"/>
        </w:rPr>
        <w:t xml:space="preserve"> </w:t>
      </w:r>
      <w:r w:rsidRPr="00EC20A0">
        <w:rPr>
          <w:sz w:val="18"/>
        </w:rPr>
        <w:t>Fund</w:t>
      </w:r>
      <w:r w:rsidRPr="00EC20A0">
        <w:rPr>
          <w:spacing w:val="-3"/>
          <w:sz w:val="18"/>
        </w:rPr>
        <w:t xml:space="preserve"> </w:t>
      </w:r>
      <w:r w:rsidRPr="00EC20A0">
        <w:rPr>
          <w:sz w:val="18"/>
        </w:rPr>
        <w:t>accounts</w:t>
      </w:r>
      <w:r w:rsidRPr="00EC20A0">
        <w:rPr>
          <w:spacing w:val="-2"/>
          <w:sz w:val="18"/>
        </w:rPr>
        <w:t xml:space="preserve"> </w:t>
      </w:r>
      <w:r w:rsidRPr="00EC20A0">
        <w:rPr>
          <w:sz w:val="18"/>
        </w:rPr>
        <w:t>for</w:t>
      </w:r>
      <w:r w:rsidRPr="00EC20A0">
        <w:rPr>
          <w:spacing w:val="-2"/>
          <w:sz w:val="18"/>
        </w:rPr>
        <w:t xml:space="preserve"> </w:t>
      </w:r>
      <w:r w:rsidRPr="00EC20A0">
        <w:rPr>
          <w:sz w:val="18"/>
        </w:rPr>
        <w:t>the</w:t>
      </w:r>
      <w:r w:rsidRPr="00EC20A0">
        <w:rPr>
          <w:spacing w:val="-2"/>
          <w:sz w:val="18"/>
        </w:rPr>
        <w:t xml:space="preserve"> </w:t>
      </w:r>
      <w:r w:rsidRPr="00EC20A0">
        <w:rPr>
          <w:sz w:val="18"/>
        </w:rPr>
        <w:t>amounts</w:t>
      </w:r>
      <w:r w:rsidRPr="00EC20A0">
        <w:rPr>
          <w:spacing w:val="-2"/>
          <w:sz w:val="18"/>
        </w:rPr>
        <w:t xml:space="preserve"> </w:t>
      </w:r>
      <w:r w:rsidRPr="00EC20A0">
        <w:rPr>
          <w:sz w:val="18"/>
        </w:rPr>
        <w:t>that</w:t>
      </w:r>
      <w:r w:rsidRPr="00EC20A0">
        <w:rPr>
          <w:spacing w:val="-2"/>
          <w:sz w:val="18"/>
        </w:rPr>
        <w:t xml:space="preserve"> </w:t>
      </w:r>
      <w:r w:rsidRPr="00EC20A0">
        <w:rPr>
          <w:sz w:val="18"/>
        </w:rPr>
        <w:t>it</w:t>
      </w:r>
      <w:r w:rsidRPr="00EC20A0">
        <w:rPr>
          <w:spacing w:val="-2"/>
          <w:sz w:val="18"/>
        </w:rPr>
        <w:t xml:space="preserve"> </w:t>
      </w:r>
      <w:r w:rsidRPr="00EC20A0">
        <w:rPr>
          <w:sz w:val="18"/>
        </w:rPr>
        <w:t>is required to pay on behalf of federal entities.</w:t>
      </w:r>
    </w:p>
    <w:p w14:paraId="24D61DCD" w14:textId="77777777" w:rsidR="00245300" w:rsidRPr="00EC20A0" w:rsidRDefault="00245300">
      <w:pPr>
        <w:spacing w:line="242" w:lineRule="auto"/>
        <w:rPr>
          <w:sz w:val="18"/>
        </w:rPr>
        <w:sectPr w:rsidR="00245300" w:rsidRPr="00EC20A0">
          <w:headerReference w:type="default" r:id="rId192"/>
          <w:footerReference w:type="default" r:id="rId193"/>
          <w:pgSz w:w="12240" w:h="15840"/>
          <w:pgMar w:top="1340" w:right="1100" w:bottom="940" w:left="1240" w:header="721" w:footer="757" w:gutter="0"/>
          <w:pgNumType w:start="1"/>
          <w:cols w:space="720"/>
        </w:sectPr>
      </w:pPr>
    </w:p>
    <w:p w14:paraId="24D61DCE" w14:textId="77777777" w:rsidR="00245300" w:rsidRPr="00EC20A0" w:rsidRDefault="00F17249">
      <w:pPr>
        <w:pStyle w:val="BodyText"/>
        <w:spacing w:before="121"/>
        <w:ind w:left="1639" w:right="345"/>
      </w:pPr>
      <w:r w:rsidRPr="00EC20A0">
        <w:t>contingency</w:t>
      </w:r>
      <w:r w:rsidRPr="00EC20A0">
        <w:rPr>
          <w:spacing w:val="-4"/>
        </w:rPr>
        <w:t xml:space="preserve"> </w:t>
      </w:r>
      <w:r w:rsidRPr="00EC20A0">
        <w:t>exists,</w:t>
      </w:r>
      <w:r w:rsidRPr="00EC20A0">
        <w:rPr>
          <w:spacing w:val="-3"/>
        </w:rPr>
        <w:t xml:space="preserve"> </w:t>
      </w:r>
      <w:r w:rsidRPr="00EC20A0">
        <w:t>the</w:t>
      </w:r>
      <w:r w:rsidRPr="00EC20A0">
        <w:rPr>
          <w:spacing w:val="-3"/>
        </w:rPr>
        <w:t xml:space="preserve"> </w:t>
      </w:r>
      <w:r w:rsidRPr="00EC20A0">
        <w:t>likelihood</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future</w:t>
      </w:r>
      <w:r w:rsidRPr="00EC20A0">
        <w:rPr>
          <w:spacing w:val="-4"/>
        </w:rPr>
        <w:t xml:space="preserve"> </w:t>
      </w:r>
      <w:r w:rsidRPr="00EC20A0">
        <w:t>event</w:t>
      </w:r>
      <w:r w:rsidRPr="00EC20A0">
        <w:rPr>
          <w:spacing w:val="-3"/>
        </w:rPr>
        <w:t xml:space="preserve"> </w:t>
      </w:r>
      <w:r w:rsidRPr="00EC20A0">
        <w:t>or</w:t>
      </w:r>
      <w:r w:rsidRPr="00EC20A0">
        <w:rPr>
          <w:spacing w:val="-3"/>
        </w:rPr>
        <w:t xml:space="preserve"> </w:t>
      </w:r>
      <w:r w:rsidRPr="00EC20A0">
        <w:t>events</w:t>
      </w:r>
      <w:r w:rsidRPr="00EC20A0">
        <w:rPr>
          <w:spacing w:val="-3"/>
        </w:rPr>
        <w:t xml:space="preserve"> </w:t>
      </w:r>
      <w:r w:rsidRPr="00EC20A0">
        <w:t>will</w:t>
      </w:r>
      <w:r w:rsidRPr="00EC20A0">
        <w:rPr>
          <w:spacing w:val="-3"/>
        </w:rPr>
        <w:t xml:space="preserve"> </w:t>
      </w:r>
      <w:r w:rsidRPr="00EC20A0">
        <w:t>confirm</w:t>
      </w:r>
      <w:r w:rsidRPr="00EC20A0">
        <w:rPr>
          <w:spacing w:val="-4"/>
        </w:rPr>
        <w:t xml:space="preserve"> </w:t>
      </w:r>
      <w:r w:rsidRPr="00EC20A0">
        <w:t xml:space="preserve">the loss or impairment of an asset or the incurrence of a liability can range from probable to remote. SFFAS 5 and 12 use the terms probable, reasonably possible, and remote to identify three areas within the range of probability, as </w:t>
      </w:r>
      <w:r w:rsidRPr="00EC20A0">
        <w:rPr>
          <w:spacing w:val="-2"/>
        </w:rPr>
        <w:t>follows:</w:t>
      </w:r>
    </w:p>
    <w:p w14:paraId="24D61DCF" w14:textId="77777777" w:rsidR="00245300" w:rsidRPr="00EC20A0" w:rsidRDefault="00F17249">
      <w:pPr>
        <w:pStyle w:val="ListParagraph"/>
        <w:numPr>
          <w:ilvl w:val="1"/>
          <w:numId w:val="68"/>
        </w:numPr>
        <w:tabs>
          <w:tab w:val="left" w:pos="1999"/>
        </w:tabs>
        <w:spacing w:before="239"/>
        <w:ind w:left="1999" w:right="403"/>
      </w:pPr>
      <w:r w:rsidRPr="00EC20A0">
        <w:rPr>
          <w:b/>
        </w:rPr>
        <w:t xml:space="preserve">Probable: </w:t>
      </w:r>
      <w:r w:rsidRPr="00EC20A0">
        <w:t>Generally, the future confirming event or events are more likely than</w:t>
      </w:r>
      <w:r w:rsidRPr="00EC20A0">
        <w:rPr>
          <w:spacing w:val="-4"/>
        </w:rPr>
        <w:t xml:space="preserve"> </w:t>
      </w:r>
      <w:r w:rsidRPr="00EC20A0">
        <w:t>not</w:t>
      </w:r>
      <w:r w:rsidRPr="00EC20A0">
        <w:rPr>
          <w:spacing w:val="-4"/>
        </w:rPr>
        <w:t xml:space="preserve"> </w:t>
      </w:r>
      <w:r w:rsidRPr="00EC20A0">
        <w:t>to</w:t>
      </w:r>
      <w:r w:rsidRPr="00EC20A0">
        <w:rPr>
          <w:spacing w:val="-4"/>
        </w:rPr>
        <w:t xml:space="preserve"> </w:t>
      </w:r>
      <w:r w:rsidRPr="00EC20A0">
        <w:t>occur.</w:t>
      </w:r>
      <w:r w:rsidRPr="00EC20A0">
        <w:rPr>
          <w:spacing w:val="-4"/>
        </w:rPr>
        <w:t xml:space="preserve"> </w:t>
      </w:r>
      <w:r w:rsidRPr="00EC20A0">
        <w:t>For</w:t>
      </w:r>
      <w:r w:rsidRPr="00EC20A0">
        <w:rPr>
          <w:spacing w:val="-4"/>
        </w:rPr>
        <w:t xml:space="preserve"> </w:t>
      </w:r>
      <w:r w:rsidRPr="00EC20A0">
        <w:t>pending</w:t>
      </w:r>
      <w:r w:rsidRPr="00EC20A0">
        <w:rPr>
          <w:spacing w:val="-4"/>
        </w:rPr>
        <w:t xml:space="preserve"> </w:t>
      </w:r>
      <w:r w:rsidRPr="00EC20A0">
        <w:t>or</w:t>
      </w:r>
      <w:r w:rsidRPr="00EC20A0">
        <w:rPr>
          <w:spacing w:val="-4"/>
        </w:rPr>
        <w:t xml:space="preserve"> </w:t>
      </w:r>
      <w:r w:rsidRPr="00EC20A0">
        <w:t>threatened</w:t>
      </w:r>
      <w:r w:rsidRPr="00EC20A0">
        <w:rPr>
          <w:spacing w:val="-4"/>
        </w:rPr>
        <w:t xml:space="preserve"> </w:t>
      </w:r>
      <w:r w:rsidRPr="00EC20A0">
        <w:t>litigation</w:t>
      </w:r>
      <w:r w:rsidRPr="00EC20A0">
        <w:rPr>
          <w:spacing w:val="-4"/>
        </w:rPr>
        <w:t xml:space="preserve"> </w:t>
      </w:r>
      <w:r w:rsidRPr="00EC20A0">
        <w:t>and</w:t>
      </w:r>
      <w:r w:rsidRPr="00EC20A0">
        <w:rPr>
          <w:spacing w:val="-4"/>
        </w:rPr>
        <w:t xml:space="preserve"> </w:t>
      </w:r>
      <w:r w:rsidRPr="00EC20A0">
        <w:t>unasserted</w:t>
      </w:r>
      <w:r w:rsidRPr="00EC20A0">
        <w:rPr>
          <w:spacing w:val="-4"/>
        </w:rPr>
        <w:t xml:space="preserve"> </w:t>
      </w:r>
      <w:r w:rsidRPr="00EC20A0">
        <w:t>claims, the future confirming event or events are likely to occur.</w:t>
      </w:r>
    </w:p>
    <w:p w14:paraId="24D61DD0" w14:textId="77777777" w:rsidR="00245300" w:rsidRPr="00EC20A0" w:rsidRDefault="00F17249">
      <w:pPr>
        <w:pStyle w:val="ListParagraph"/>
        <w:numPr>
          <w:ilvl w:val="1"/>
          <w:numId w:val="68"/>
        </w:numPr>
        <w:tabs>
          <w:tab w:val="left" w:pos="1999"/>
        </w:tabs>
        <w:spacing w:before="239"/>
        <w:ind w:left="1999" w:right="452"/>
      </w:pPr>
      <w:r w:rsidRPr="00EC20A0">
        <w:rPr>
          <w:b/>
        </w:rPr>
        <w:t>Reasonably</w:t>
      </w:r>
      <w:r w:rsidRPr="00EC20A0">
        <w:rPr>
          <w:b/>
          <w:spacing w:val="-4"/>
        </w:rPr>
        <w:t xml:space="preserve"> </w:t>
      </w:r>
      <w:r w:rsidRPr="00EC20A0">
        <w:rPr>
          <w:b/>
        </w:rPr>
        <w:t>possible</w:t>
      </w:r>
      <w:r w:rsidRPr="00EC20A0">
        <w:t>:</w:t>
      </w:r>
      <w:r w:rsidRPr="00EC20A0">
        <w:rPr>
          <w:spacing w:val="-4"/>
        </w:rPr>
        <w:t xml:space="preserve"> </w:t>
      </w:r>
      <w:r w:rsidRPr="00EC20A0">
        <w:t>The</w:t>
      </w:r>
      <w:r w:rsidRPr="00EC20A0">
        <w:rPr>
          <w:spacing w:val="-4"/>
        </w:rPr>
        <w:t xml:space="preserve"> </w:t>
      </w:r>
      <w:r w:rsidRPr="00EC20A0">
        <w:t>chance</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future</w:t>
      </w:r>
      <w:r w:rsidRPr="00EC20A0">
        <w:rPr>
          <w:spacing w:val="-5"/>
        </w:rPr>
        <w:t xml:space="preserve"> </w:t>
      </w:r>
      <w:r w:rsidRPr="00EC20A0">
        <w:t>event</w:t>
      </w:r>
      <w:r w:rsidRPr="00EC20A0">
        <w:rPr>
          <w:spacing w:val="-4"/>
        </w:rPr>
        <w:t xml:space="preserve"> </w:t>
      </w:r>
      <w:r w:rsidRPr="00EC20A0">
        <w:t>or</w:t>
      </w:r>
      <w:r w:rsidRPr="00EC20A0">
        <w:rPr>
          <w:spacing w:val="-4"/>
        </w:rPr>
        <w:t xml:space="preserve"> </w:t>
      </w:r>
      <w:r w:rsidRPr="00EC20A0">
        <w:t>events</w:t>
      </w:r>
      <w:r w:rsidRPr="00EC20A0">
        <w:rPr>
          <w:spacing w:val="-4"/>
        </w:rPr>
        <w:t xml:space="preserve"> </w:t>
      </w:r>
      <w:r w:rsidRPr="00EC20A0">
        <w:t>occurring</w:t>
      </w:r>
      <w:r w:rsidRPr="00EC20A0">
        <w:rPr>
          <w:spacing w:val="-4"/>
        </w:rPr>
        <w:t xml:space="preserve"> </w:t>
      </w:r>
      <w:r w:rsidRPr="00EC20A0">
        <w:t>is more than remote but less than probable.</w:t>
      </w:r>
    </w:p>
    <w:p w14:paraId="24D61DD1" w14:textId="77777777" w:rsidR="00245300" w:rsidRPr="00EC20A0" w:rsidRDefault="00F17249">
      <w:pPr>
        <w:pStyle w:val="ListParagraph"/>
        <w:numPr>
          <w:ilvl w:val="1"/>
          <w:numId w:val="68"/>
        </w:numPr>
        <w:tabs>
          <w:tab w:val="left" w:pos="1998"/>
        </w:tabs>
        <w:spacing w:before="238"/>
        <w:ind w:left="1998" w:hanging="359"/>
      </w:pPr>
      <w:r w:rsidRPr="00EC20A0">
        <w:rPr>
          <w:b/>
        </w:rPr>
        <w:t>Remote:</w:t>
      </w:r>
      <w:r w:rsidRPr="00EC20A0">
        <w:rPr>
          <w:b/>
          <w:spacing w:val="-6"/>
        </w:rPr>
        <w:t xml:space="preserve"> </w:t>
      </w:r>
      <w:r w:rsidRPr="00EC20A0">
        <w:t>The</w:t>
      </w:r>
      <w:r w:rsidRPr="00EC20A0">
        <w:rPr>
          <w:spacing w:val="-5"/>
        </w:rPr>
        <w:t xml:space="preserve"> </w:t>
      </w:r>
      <w:r w:rsidRPr="00EC20A0">
        <w:t>chance</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future</w:t>
      </w:r>
      <w:r w:rsidRPr="00EC20A0">
        <w:rPr>
          <w:spacing w:val="-5"/>
        </w:rPr>
        <w:t xml:space="preserve"> </w:t>
      </w:r>
      <w:r w:rsidRPr="00EC20A0">
        <w:t>event</w:t>
      </w:r>
      <w:r w:rsidRPr="00EC20A0">
        <w:rPr>
          <w:spacing w:val="-5"/>
        </w:rPr>
        <w:t xml:space="preserve"> </w:t>
      </w:r>
      <w:r w:rsidRPr="00EC20A0">
        <w:t>or</w:t>
      </w:r>
      <w:r w:rsidRPr="00EC20A0">
        <w:rPr>
          <w:spacing w:val="-6"/>
        </w:rPr>
        <w:t xml:space="preserve"> </w:t>
      </w:r>
      <w:r w:rsidRPr="00EC20A0">
        <w:t>events</w:t>
      </w:r>
      <w:r w:rsidRPr="00EC20A0">
        <w:rPr>
          <w:spacing w:val="-5"/>
        </w:rPr>
        <w:t xml:space="preserve"> </w:t>
      </w:r>
      <w:r w:rsidRPr="00EC20A0">
        <w:t>occurring</w:t>
      </w:r>
      <w:r w:rsidRPr="00EC20A0">
        <w:rPr>
          <w:spacing w:val="-7"/>
        </w:rPr>
        <w:t xml:space="preserve"> </w:t>
      </w:r>
      <w:r w:rsidRPr="00EC20A0">
        <w:t>is</w:t>
      </w:r>
      <w:r w:rsidRPr="00EC20A0">
        <w:rPr>
          <w:spacing w:val="-4"/>
        </w:rPr>
        <w:t xml:space="preserve"> </w:t>
      </w:r>
      <w:r w:rsidRPr="00EC20A0">
        <w:rPr>
          <w:spacing w:val="-2"/>
        </w:rPr>
        <w:t>slight.</w:t>
      </w:r>
    </w:p>
    <w:p w14:paraId="24D61DD2" w14:textId="77777777" w:rsidR="00245300" w:rsidRPr="00EC20A0" w:rsidRDefault="00F17249">
      <w:pPr>
        <w:pStyle w:val="ListParagraph"/>
        <w:numPr>
          <w:ilvl w:val="0"/>
          <w:numId w:val="68"/>
        </w:numPr>
        <w:tabs>
          <w:tab w:val="left" w:pos="1639"/>
        </w:tabs>
        <w:spacing w:before="239"/>
        <w:ind w:left="1639" w:right="822"/>
        <w:rPr>
          <w:sz w:val="14"/>
        </w:rPr>
      </w:pPr>
      <w:r w:rsidRPr="00EC20A0">
        <w:t>The</w:t>
      </w:r>
      <w:r w:rsidRPr="00EC20A0">
        <w:rPr>
          <w:spacing w:val="-3"/>
        </w:rPr>
        <w:t xml:space="preserve"> </w:t>
      </w:r>
      <w:r w:rsidRPr="00EC20A0">
        <w:t>entity</w:t>
      </w:r>
      <w:r w:rsidRPr="00EC20A0">
        <w:rPr>
          <w:spacing w:val="-3"/>
        </w:rPr>
        <w:t xml:space="preserve"> </w:t>
      </w:r>
      <w:r w:rsidRPr="00EC20A0">
        <w:t>should</w:t>
      </w:r>
      <w:r w:rsidRPr="00EC20A0">
        <w:rPr>
          <w:spacing w:val="-3"/>
        </w:rPr>
        <w:t xml:space="preserve"> </w:t>
      </w:r>
      <w:r w:rsidRPr="00EC20A0">
        <w:t>recognize</w:t>
      </w:r>
      <w:r w:rsidRPr="00EC20A0">
        <w:rPr>
          <w:spacing w:val="-3"/>
        </w:rPr>
        <w:t xml:space="preserve"> </w:t>
      </w:r>
      <w:r w:rsidRPr="00EC20A0">
        <w:t>a</w:t>
      </w:r>
      <w:r w:rsidRPr="00EC20A0">
        <w:rPr>
          <w:spacing w:val="-3"/>
        </w:rPr>
        <w:t xml:space="preserve"> </w:t>
      </w:r>
      <w:r w:rsidRPr="00EC20A0">
        <w:t>liability</w:t>
      </w:r>
      <w:r w:rsidRPr="00EC20A0">
        <w:rPr>
          <w:spacing w:val="-3"/>
        </w:rPr>
        <w:t xml:space="preserve"> </w:t>
      </w:r>
      <w:r w:rsidRPr="00EC20A0">
        <w:t>and</w:t>
      </w:r>
      <w:r w:rsidRPr="00EC20A0">
        <w:rPr>
          <w:spacing w:val="-3"/>
        </w:rPr>
        <w:t xml:space="preserve"> </w:t>
      </w:r>
      <w:r w:rsidRPr="00EC20A0">
        <w:t>a</w:t>
      </w:r>
      <w:r w:rsidRPr="00EC20A0">
        <w:rPr>
          <w:spacing w:val="-3"/>
        </w:rPr>
        <w:t xml:space="preserve"> </w:t>
      </w:r>
      <w:r w:rsidRPr="00EC20A0">
        <w:t>related</w:t>
      </w:r>
      <w:r w:rsidRPr="00EC20A0">
        <w:rPr>
          <w:spacing w:val="-3"/>
        </w:rPr>
        <w:t xml:space="preserve"> </w:t>
      </w:r>
      <w:r w:rsidRPr="00EC20A0">
        <w:t>charge</w:t>
      </w:r>
      <w:r w:rsidRPr="00EC20A0">
        <w:rPr>
          <w:spacing w:val="-3"/>
        </w:rPr>
        <w:t xml:space="preserve"> </w:t>
      </w:r>
      <w:r w:rsidRPr="00EC20A0">
        <w:t>to</w:t>
      </w:r>
      <w:r w:rsidRPr="00EC20A0">
        <w:rPr>
          <w:spacing w:val="-4"/>
        </w:rPr>
        <w:t xml:space="preserve"> </w:t>
      </w:r>
      <w:r w:rsidRPr="00EC20A0">
        <w:t>expense</w:t>
      </w:r>
      <w:r w:rsidRPr="00EC20A0">
        <w:rPr>
          <w:spacing w:val="-3"/>
        </w:rPr>
        <w:t xml:space="preserve"> </w:t>
      </w:r>
      <w:r w:rsidRPr="00EC20A0">
        <w:t>for</w:t>
      </w:r>
      <w:r w:rsidRPr="00EC20A0">
        <w:rPr>
          <w:spacing w:val="-4"/>
        </w:rPr>
        <w:t xml:space="preserve"> </w:t>
      </w:r>
      <w:r w:rsidRPr="00EC20A0">
        <w:t xml:space="preserve">an estimated loss from a loss </w:t>
      </w:r>
      <w:r w:rsidRPr="00EC20A0">
        <w:t>contingency only when</w:t>
      </w:r>
      <w:hyperlink w:anchor="_bookmark217" w:history="1">
        <w:r w:rsidRPr="00EC20A0">
          <w:rPr>
            <w:position w:val="7"/>
            <w:sz w:val="14"/>
          </w:rPr>
          <w:t>7</w:t>
        </w:r>
      </w:hyperlink>
    </w:p>
    <w:p w14:paraId="24D61DD3" w14:textId="77777777" w:rsidR="00245300" w:rsidRPr="00EC20A0" w:rsidRDefault="00F17249">
      <w:pPr>
        <w:pStyle w:val="ListParagraph"/>
        <w:numPr>
          <w:ilvl w:val="1"/>
          <w:numId w:val="68"/>
        </w:numPr>
        <w:tabs>
          <w:tab w:val="left" w:pos="1999"/>
        </w:tabs>
        <w:ind w:left="1999"/>
      </w:pPr>
      <w:r w:rsidRPr="00EC20A0">
        <w:t>a</w:t>
      </w:r>
      <w:r w:rsidRPr="00EC20A0">
        <w:rPr>
          <w:spacing w:val="-6"/>
        </w:rPr>
        <w:t xml:space="preserve"> </w:t>
      </w:r>
      <w:r w:rsidRPr="00EC20A0">
        <w:t>past</w:t>
      </w:r>
      <w:r w:rsidRPr="00EC20A0">
        <w:rPr>
          <w:spacing w:val="-5"/>
        </w:rPr>
        <w:t xml:space="preserve"> </w:t>
      </w:r>
      <w:r w:rsidRPr="00EC20A0">
        <w:t>event</w:t>
      </w:r>
      <w:r w:rsidRPr="00EC20A0">
        <w:rPr>
          <w:spacing w:val="-7"/>
        </w:rPr>
        <w:t xml:space="preserve"> </w:t>
      </w:r>
      <w:r w:rsidRPr="00EC20A0">
        <w:t>or</w:t>
      </w:r>
      <w:r w:rsidRPr="00EC20A0">
        <w:rPr>
          <w:spacing w:val="-5"/>
        </w:rPr>
        <w:t xml:space="preserve"> </w:t>
      </w:r>
      <w:r w:rsidRPr="00EC20A0">
        <w:t>exchange</w:t>
      </w:r>
      <w:r w:rsidRPr="00EC20A0">
        <w:rPr>
          <w:spacing w:val="-5"/>
        </w:rPr>
        <w:t xml:space="preserve"> </w:t>
      </w:r>
      <w:r w:rsidRPr="00EC20A0">
        <w:t>transaction</w:t>
      </w:r>
      <w:r w:rsidRPr="00EC20A0">
        <w:rPr>
          <w:spacing w:val="-6"/>
        </w:rPr>
        <w:t xml:space="preserve"> </w:t>
      </w:r>
      <w:r w:rsidRPr="00EC20A0">
        <w:t>has</w:t>
      </w:r>
      <w:r w:rsidRPr="00EC20A0">
        <w:rPr>
          <w:spacing w:val="-5"/>
        </w:rPr>
        <w:t xml:space="preserve"> </w:t>
      </w:r>
      <w:r w:rsidRPr="00EC20A0">
        <w:rPr>
          <w:spacing w:val="-2"/>
        </w:rPr>
        <w:t>occurred,</w:t>
      </w:r>
    </w:p>
    <w:p w14:paraId="24D61DD4" w14:textId="77777777" w:rsidR="00245300" w:rsidRPr="00EC20A0" w:rsidRDefault="00F17249">
      <w:pPr>
        <w:pStyle w:val="ListParagraph"/>
        <w:numPr>
          <w:ilvl w:val="1"/>
          <w:numId w:val="68"/>
        </w:numPr>
        <w:tabs>
          <w:tab w:val="left" w:pos="1999"/>
        </w:tabs>
        <w:spacing w:before="238"/>
        <w:ind w:left="1999"/>
      </w:pPr>
      <w:r w:rsidRPr="00EC20A0">
        <w:t>a</w:t>
      </w:r>
      <w:r w:rsidRPr="00EC20A0">
        <w:rPr>
          <w:spacing w:val="-6"/>
        </w:rPr>
        <w:t xml:space="preserve"> </w:t>
      </w:r>
      <w:r w:rsidRPr="00EC20A0">
        <w:t>future</w:t>
      </w:r>
      <w:r w:rsidRPr="00EC20A0">
        <w:rPr>
          <w:spacing w:val="-6"/>
        </w:rPr>
        <w:t xml:space="preserve"> </w:t>
      </w:r>
      <w:r w:rsidRPr="00EC20A0">
        <w:t>outflow</w:t>
      </w:r>
      <w:r w:rsidRPr="00EC20A0">
        <w:rPr>
          <w:spacing w:val="-6"/>
        </w:rPr>
        <w:t xml:space="preserve"> </w:t>
      </w:r>
      <w:r w:rsidRPr="00EC20A0">
        <w:t>or</w:t>
      </w:r>
      <w:r w:rsidRPr="00EC20A0">
        <w:rPr>
          <w:spacing w:val="-6"/>
        </w:rPr>
        <w:t xml:space="preserve"> </w:t>
      </w:r>
      <w:r w:rsidRPr="00EC20A0">
        <w:t>other</w:t>
      </w:r>
      <w:r w:rsidRPr="00EC20A0">
        <w:rPr>
          <w:spacing w:val="-6"/>
        </w:rPr>
        <w:t xml:space="preserve"> </w:t>
      </w:r>
      <w:r w:rsidRPr="00EC20A0">
        <w:t>sacrifice</w:t>
      </w:r>
      <w:r w:rsidRPr="00EC20A0">
        <w:rPr>
          <w:spacing w:val="-5"/>
        </w:rPr>
        <w:t xml:space="preserve"> </w:t>
      </w:r>
      <w:r w:rsidRPr="00EC20A0">
        <w:t>of</w:t>
      </w:r>
      <w:r w:rsidRPr="00EC20A0">
        <w:rPr>
          <w:spacing w:val="-6"/>
        </w:rPr>
        <w:t xml:space="preserve"> </w:t>
      </w:r>
      <w:r w:rsidRPr="00EC20A0">
        <w:t>resources</w:t>
      </w:r>
      <w:r w:rsidRPr="00EC20A0">
        <w:rPr>
          <w:spacing w:val="-5"/>
        </w:rPr>
        <w:t xml:space="preserve"> </w:t>
      </w:r>
      <w:r w:rsidRPr="00EC20A0">
        <w:t>is</w:t>
      </w:r>
      <w:r w:rsidRPr="00EC20A0">
        <w:rPr>
          <w:spacing w:val="-7"/>
        </w:rPr>
        <w:t xml:space="preserve"> </w:t>
      </w:r>
      <w:r w:rsidRPr="00EC20A0">
        <w:t>probable,</w:t>
      </w:r>
      <w:r w:rsidRPr="00EC20A0">
        <w:rPr>
          <w:spacing w:val="-6"/>
        </w:rPr>
        <w:t xml:space="preserve"> </w:t>
      </w:r>
      <w:r w:rsidRPr="00EC20A0">
        <w:rPr>
          <w:spacing w:val="-5"/>
        </w:rPr>
        <w:t>and</w:t>
      </w:r>
    </w:p>
    <w:p w14:paraId="24D61DD5" w14:textId="77777777" w:rsidR="00245300" w:rsidRPr="00EC20A0" w:rsidRDefault="00F17249">
      <w:pPr>
        <w:pStyle w:val="ListParagraph"/>
        <w:numPr>
          <w:ilvl w:val="1"/>
          <w:numId w:val="68"/>
        </w:numPr>
        <w:tabs>
          <w:tab w:val="left" w:pos="1999"/>
        </w:tabs>
        <w:spacing w:before="238"/>
        <w:ind w:left="1999"/>
      </w:pPr>
      <w:r w:rsidRPr="00EC20A0">
        <w:t>the</w:t>
      </w:r>
      <w:r w:rsidRPr="00EC20A0">
        <w:rPr>
          <w:spacing w:val="-6"/>
        </w:rPr>
        <w:t xml:space="preserve"> </w:t>
      </w:r>
      <w:r w:rsidRPr="00EC20A0">
        <w:t>future</w:t>
      </w:r>
      <w:r w:rsidRPr="00EC20A0">
        <w:rPr>
          <w:spacing w:val="-5"/>
        </w:rPr>
        <w:t xml:space="preserve"> </w:t>
      </w:r>
      <w:r w:rsidRPr="00EC20A0">
        <w:t>outflow</w:t>
      </w:r>
      <w:r w:rsidRPr="00EC20A0">
        <w:rPr>
          <w:spacing w:val="-6"/>
        </w:rPr>
        <w:t xml:space="preserve"> </w:t>
      </w:r>
      <w:r w:rsidRPr="00EC20A0">
        <w:t>or</w:t>
      </w:r>
      <w:r w:rsidRPr="00EC20A0">
        <w:rPr>
          <w:spacing w:val="-5"/>
        </w:rPr>
        <w:t xml:space="preserve"> </w:t>
      </w:r>
      <w:r w:rsidRPr="00EC20A0">
        <w:t>sacrifice</w:t>
      </w:r>
      <w:r w:rsidRPr="00EC20A0">
        <w:rPr>
          <w:spacing w:val="-6"/>
        </w:rPr>
        <w:t xml:space="preserve"> </w:t>
      </w:r>
      <w:r w:rsidRPr="00EC20A0">
        <w:t>of</w:t>
      </w:r>
      <w:r w:rsidRPr="00EC20A0">
        <w:rPr>
          <w:spacing w:val="-6"/>
        </w:rPr>
        <w:t xml:space="preserve"> </w:t>
      </w:r>
      <w:r w:rsidRPr="00EC20A0">
        <w:t>resources</w:t>
      </w:r>
      <w:r w:rsidRPr="00EC20A0">
        <w:rPr>
          <w:spacing w:val="-5"/>
        </w:rPr>
        <w:t xml:space="preserve"> </w:t>
      </w:r>
      <w:r w:rsidRPr="00EC20A0">
        <w:t>is</w:t>
      </w:r>
      <w:r w:rsidRPr="00EC20A0">
        <w:rPr>
          <w:spacing w:val="-5"/>
        </w:rPr>
        <w:t xml:space="preserve"> </w:t>
      </w:r>
      <w:r w:rsidRPr="00EC20A0">
        <w:rPr>
          <w:spacing w:val="-2"/>
        </w:rPr>
        <w:t>measurable.</w:t>
      </w:r>
    </w:p>
    <w:p w14:paraId="24D61DD6" w14:textId="77777777" w:rsidR="00245300" w:rsidRPr="00EC20A0" w:rsidRDefault="00F17249">
      <w:pPr>
        <w:pStyle w:val="ListParagraph"/>
        <w:numPr>
          <w:ilvl w:val="0"/>
          <w:numId w:val="68"/>
        </w:numPr>
        <w:tabs>
          <w:tab w:val="left" w:pos="1639"/>
        </w:tabs>
        <w:spacing w:before="238"/>
        <w:ind w:left="1639" w:right="651"/>
      </w:pPr>
      <w:r w:rsidRPr="00EC20A0">
        <w:t>Disclosure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nature</w:t>
      </w:r>
      <w:r w:rsidRPr="00EC20A0">
        <w:rPr>
          <w:spacing w:val="-5"/>
        </w:rPr>
        <w:t xml:space="preserve"> </w:t>
      </w:r>
      <w:r w:rsidRPr="00EC20A0">
        <w:t>of</w:t>
      </w:r>
      <w:r w:rsidRPr="00EC20A0">
        <w:rPr>
          <w:spacing w:val="-4"/>
        </w:rPr>
        <w:t xml:space="preserve"> </w:t>
      </w:r>
      <w:r w:rsidRPr="00EC20A0">
        <w:t>an</w:t>
      </w:r>
      <w:r w:rsidRPr="00EC20A0">
        <w:rPr>
          <w:spacing w:val="-4"/>
        </w:rPr>
        <w:t xml:space="preserve"> </w:t>
      </w:r>
      <w:r w:rsidRPr="00EC20A0">
        <w:t>accrued</w:t>
      </w:r>
      <w:r w:rsidRPr="00EC20A0">
        <w:rPr>
          <w:spacing w:val="-4"/>
        </w:rPr>
        <w:t xml:space="preserve"> </w:t>
      </w:r>
      <w:r w:rsidRPr="00EC20A0">
        <w:t>liability</w:t>
      </w:r>
      <w:r w:rsidRPr="00EC20A0">
        <w:rPr>
          <w:spacing w:val="-4"/>
        </w:rPr>
        <w:t xml:space="preserve"> </w:t>
      </w:r>
      <w:r w:rsidRPr="00EC20A0">
        <w:t>for</w:t>
      </w:r>
      <w:r w:rsidRPr="00EC20A0">
        <w:rPr>
          <w:spacing w:val="-5"/>
        </w:rPr>
        <w:t xml:space="preserve"> </w:t>
      </w:r>
      <w:r w:rsidRPr="00EC20A0">
        <w:t>loss</w:t>
      </w:r>
      <w:r w:rsidRPr="00EC20A0">
        <w:rPr>
          <w:spacing w:val="-4"/>
        </w:rPr>
        <w:t xml:space="preserve"> </w:t>
      </w:r>
      <w:r w:rsidRPr="00EC20A0">
        <w:t>contingencies,</w:t>
      </w:r>
      <w:r w:rsidRPr="00EC20A0">
        <w:rPr>
          <w:spacing w:val="-4"/>
        </w:rPr>
        <w:t xml:space="preserve"> </w:t>
      </w:r>
      <w:r w:rsidRPr="00EC20A0">
        <w:t>including the amount accrued, may be necessary for the financial statements to not be misleading. For example, if the amount accrued is large or unusual, the entity should determine whether to disclose the contingency.</w:t>
      </w:r>
    </w:p>
    <w:p w14:paraId="24D61DD7" w14:textId="77777777" w:rsidR="00245300" w:rsidRPr="00EC20A0" w:rsidRDefault="00F17249">
      <w:pPr>
        <w:pStyle w:val="BodyText"/>
        <w:spacing w:before="240"/>
        <w:ind w:left="1639" w:right="345"/>
      </w:pPr>
      <w:r w:rsidRPr="00EC20A0">
        <w:t>If no accrual is made for a loss contingency because one or more of the conditions in FAM 1002.05 are not met, and there is at least a reasonable possibility</w:t>
      </w:r>
      <w:r w:rsidRPr="00EC20A0">
        <w:rPr>
          <w:spacing w:val="-3"/>
        </w:rPr>
        <w:t xml:space="preserve"> </w:t>
      </w:r>
      <w:r w:rsidRPr="00EC20A0">
        <w:t>that</w:t>
      </w:r>
      <w:r w:rsidRPr="00EC20A0">
        <w:rPr>
          <w:spacing w:val="-3"/>
        </w:rPr>
        <w:t xml:space="preserve"> </w:t>
      </w:r>
      <w:r w:rsidRPr="00EC20A0">
        <w:t>a</w:t>
      </w:r>
      <w:r w:rsidRPr="00EC20A0">
        <w:rPr>
          <w:spacing w:val="-3"/>
        </w:rPr>
        <w:t xml:space="preserve"> </w:t>
      </w:r>
      <w:r w:rsidRPr="00EC20A0">
        <w:t>loss</w:t>
      </w:r>
      <w:r w:rsidRPr="00EC20A0">
        <w:rPr>
          <w:spacing w:val="-3"/>
        </w:rPr>
        <w:t xml:space="preserve"> </w:t>
      </w:r>
      <w:r w:rsidRPr="00EC20A0">
        <w:t>may</w:t>
      </w:r>
      <w:r w:rsidRPr="00EC20A0">
        <w:rPr>
          <w:spacing w:val="-3"/>
        </w:rPr>
        <w:t xml:space="preserve"> </w:t>
      </w:r>
      <w:r w:rsidRPr="00EC20A0">
        <w:t>be</w:t>
      </w:r>
      <w:r w:rsidRPr="00EC20A0">
        <w:rPr>
          <w:spacing w:val="-4"/>
        </w:rPr>
        <w:t xml:space="preserve"> </w:t>
      </w:r>
      <w:r w:rsidRPr="00EC20A0">
        <w:t>incurred,</w:t>
      </w:r>
      <w:r w:rsidRPr="00EC20A0">
        <w:rPr>
          <w:spacing w:val="-3"/>
        </w:rPr>
        <w:t xml:space="preserve"> </w:t>
      </w:r>
      <w:r w:rsidRPr="00EC20A0">
        <w:t>the</w:t>
      </w:r>
      <w:r w:rsidRPr="00EC20A0">
        <w:rPr>
          <w:spacing w:val="-3"/>
        </w:rPr>
        <w:t xml:space="preserve"> </w:t>
      </w:r>
      <w:r w:rsidRPr="00EC20A0">
        <w:t>entity</w:t>
      </w:r>
      <w:r w:rsidRPr="00EC20A0">
        <w:rPr>
          <w:spacing w:val="-4"/>
        </w:rPr>
        <w:t xml:space="preserve"> </w:t>
      </w:r>
      <w:r w:rsidRPr="00EC20A0">
        <w:t>should</w:t>
      </w:r>
      <w:r w:rsidRPr="00EC20A0">
        <w:rPr>
          <w:spacing w:val="-3"/>
        </w:rPr>
        <w:t xml:space="preserve"> </w:t>
      </w:r>
      <w:r w:rsidRPr="00EC20A0">
        <w:t>disclose</w:t>
      </w:r>
      <w:r w:rsidRPr="00EC20A0">
        <w:rPr>
          <w:spacing w:val="-3"/>
        </w:rPr>
        <w:t xml:space="preserve"> </w:t>
      </w:r>
      <w:r w:rsidRPr="00EC20A0">
        <w:t>the</w:t>
      </w:r>
      <w:r w:rsidRPr="00EC20A0">
        <w:rPr>
          <w:spacing w:val="-3"/>
        </w:rPr>
        <w:t xml:space="preserve"> </w:t>
      </w:r>
      <w:r w:rsidRPr="00EC20A0">
        <w:t>nature</w:t>
      </w:r>
      <w:r w:rsidRPr="00EC20A0">
        <w:rPr>
          <w:spacing w:val="-3"/>
        </w:rPr>
        <w:t xml:space="preserve"> </w:t>
      </w:r>
      <w:r w:rsidRPr="00EC20A0">
        <w:t>of</w:t>
      </w:r>
      <w:r w:rsidRPr="00EC20A0">
        <w:rPr>
          <w:spacing w:val="-3"/>
        </w:rPr>
        <w:t xml:space="preserve"> </w:t>
      </w:r>
      <w:r w:rsidRPr="00EC20A0">
        <w:t xml:space="preserve">the contingency and provide an estimate of the possible liability or range of possible liability, if estimable, or a statement that such an estimate cannot be made. The reporting of contingent losses depends on the </w:t>
      </w:r>
      <w:r w:rsidRPr="00EC20A0">
        <w:t>likelihood that a future event or events will confirm the loss or impairment of an asset or the incurrence of a liability. Terms used to assess the likelihood of loss are probable, reasonably possible, and remote as discussed in FAM 1002.04.</w:t>
      </w:r>
    </w:p>
    <w:p w14:paraId="24D61DD8" w14:textId="77777777" w:rsidR="00245300" w:rsidRPr="00EC20A0" w:rsidRDefault="00F17249">
      <w:pPr>
        <w:pStyle w:val="ListParagraph"/>
        <w:numPr>
          <w:ilvl w:val="0"/>
          <w:numId w:val="68"/>
        </w:numPr>
        <w:tabs>
          <w:tab w:val="left" w:pos="1639"/>
        </w:tabs>
        <w:spacing w:before="241"/>
        <w:ind w:left="1639" w:right="408" w:hanging="720"/>
      </w:pPr>
      <w:r w:rsidRPr="00EC20A0">
        <w:t>Contingent</w:t>
      </w:r>
      <w:r w:rsidRPr="00EC20A0">
        <w:rPr>
          <w:spacing w:val="-4"/>
        </w:rPr>
        <w:t xml:space="preserve"> </w:t>
      </w:r>
      <w:r w:rsidRPr="00EC20A0">
        <w:t>losses</w:t>
      </w:r>
      <w:r w:rsidRPr="00EC20A0">
        <w:rPr>
          <w:spacing w:val="-4"/>
        </w:rPr>
        <w:t xml:space="preserve"> </w:t>
      </w:r>
      <w:r w:rsidRPr="00EC20A0">
        <w:t>that</w:t>
      </w:r>
      <w:r w:rsidRPr="00EC20A0">
        <w:rPr>
          <w:spacing w:val="-4"/>
        </w:rPr>
        <w:t xml:space="preserve"> </w:t>
      </w:r>
      <w:r w:rsidRPr="00EC20A0">
        <w:t>are</w:t>
      </w:r>
      <w:r w:rsidRPr="00EC20A0">
        <w:rPr>
          <w:spacing w:val="-4"/>
        </w:rPr>
        <w:t xml:space="preserve"> </w:t>
      </w:r>
      <w:r w:rsidRPr="00EC20A0">
        <w:t>assessed</w:t>
      </w:r>
      <w:r w:rsidRPr="00EC20A0">
        <w:rPr>
          <w:spacing w:val="-5"/>
        </w:rPr>
        <w:t xml:space="preserve"> </w:t>
      </w:r>
      <w:r w:rsidRPr="00EC20A0">
        <w:t>as</w:t>
      </w:r>
      <w:r w:rsidRPr="00EC20A0">
        <w:rPr>
          <w:spacing w:val="-4"/>
        </w:rPr>
        <w:t xml:space="preserve"> </w:t>
      </w:r>
      <w:r w:rsidRPr="00EC20A0">
        <w:t>probable</w:t>
      </w:r>
      <w:r w:rsidRPr="00EC20A0">
        <w:rPr>
          <w:spacing w:val="-5"/>
        </w:rPr>
        <w:t xml:space="preserve"> </w:t>
      </w:r>
      <w:r w:rsidRPr="00EC20A0">
        <w:t>and</w:t>
      </w:r>
      <w:r w:rsidRPr="00EC20A0">
        <w:rPr>
          <w:spacing w:val="-4"/>
        </w:rPr>
        <w:t xml:space="preserve"> </w:t>
      </w:r>
      <w:r w:rsidRPr="00EC20A0">
        <w:t>measurable</w:t>
      </w:r>
      <w:r w:rsidRPr="00EC20A0">
        <w:rPr>
          <w:spacing w:val="-4"/>
        </w:rPr>
        <w:t xml:space="preserve"> </w:t>
      </w:r>
      <w:r w:rsidRPr="00EC20A0">
        <w:t>are</w:t>
      </w:r>
      <w:r w:rsidRPr="00EC20A0">
        <w:rPr>
          <w:spacing w:val="-4"/>
        </w:rPr>
        <w:t xml:space="preserve"> </w:t>
      </w:r>
      <w:r w:rsidRPr="00EC20A0">
        <w:t>accrued</w:t>
      </w:r>
      <w:r w:rsidRPr="00EC20A0">
        <w:rPr>
          <w:spacing w:val="-4"/>
        </w:rPr>
        <w:t xml:space="preserve"> </w:t>
      </w:r>
      <w:r w:rsidRPr="00EC20A0">
        <w:t>in the financial statements. Losses that are assessed to be at least reasonably possible are disclosed in the notes. In addition, if the Judgment Fund might be involved in the payment of the possible loss, the entity should discuss the Judgment Fund’s role in a note to the financial statements.</w:t>
      </w:r>
    </w:p>
    <w:p w14:paraId="24D61DD9" w14:textId="77777777" w:rsidR="00245300" w:rsidRPr="00EC20A0" w:rsidRDefault="00245300">
      <w:pPr>
        <w:pStyle w:val="BodyText"/>
        <w:rPr>
          <w:sz w:val="20"/>
        </w:rPr>
      </w:pPr>
    </w:p>
    <w:p w14:paraId="24D61DDA" w14:textId="77777777" w:rsidR="00245300" w:rsidRPr="00EC20A0" w:rsidRDefault="00245300">
      <w:pPr>
        <w:pStyle w:val="BodyText"/>
        <w:rPr>
          <w:sz w:val="20"/>
        </w:rPr>
      </w:pPr>
    </w:p>
    <w:p w14:paraId="24D61DDB" w14:textId="77777777" w:rsidR="00245300" w:rsidRPr="00EC20A0" w:rsidRDefault="00F17249">
      <w:pPr>
        <w:pStyle w:val="BodyText"/>
        <w:spacing w:before="74"/>
        <w:rPr>
          <w:sz w:val="20"/>
        </w:rPr>
      </w:pPr>
      <w:r w:rsidRPr="00EC20A0">
        <w:rPr>
          <w:noProof/>
        </w:rPr>
        <mc:AlternateContent>
          <mc:Choice Requires="wps">
            <w:drawing>
              <wp:anchor distT="0" distB="0" distL="0" distR="0" simplePos="0" relativeHeight="487724544" behindDoc="1" locked="0" layoutInCell="1" allowOverlap="1" wp14:anchorId="24D62CCB" wp14:editId="24D62CCC">
                <wp:simplePos x="0" y="0"/>
                <wp:positionH relativeFrom="page">
                  <wp:posOffset>914400</wp:posOffset>
                </wp:positionH>
                <wp:positionV relativeFrom="paragraph">
                  <wp:posOffset>208604</wp:posOffset>
                </wp:positionV>
                <wp:extent cx="1828800" cy="5715"/>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4DE612" id="Graphic 938" o:spid="_x0000_s1026" style="position:absolute;margin-left:1in;margin-top:16.45pt;width:2in;height:.45pt;z-index:-1559193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" path="m1828800,l,,,5333r1828800,l1828800,xe" fillcolor="black" stroked="f">
                <v:path arrowok="t"/>
                <w10:wrap type="topAndBottom" anchorx="page"/>
              </v:shape>
            </w:pict>
          </mc:Fallback>
        </mc:AlternateContent>
      </w:r>
    </w:p>
    <w:p w14:paraId="24D61DDC" w14:textId="77777777" w:rsidR="00245300" w:rsidRPr="00EC20A0" w:rsidRDefault="00F17249">
      <w:pPr>
        <w:spacing w:before="200" w:line="242" w:lineRule="auto"/>
        <w:ind w:left="199" w:right="345"/>
        <w:rPr>
          <w:sz w:val="18"/>
        </w:rPr>
      </w:pPr>
      <w:bookmarkStart w:id="389" w:name="_bookmark217"/>
      <w:bookmarkEnd w:id="389"/>
      <w:r w:rsidRPr="00EC20A0">
        <w:rPr>
          <w:position w:val="7"/>
          <w:sz w:val="14"/>
        </w:rPr>
        <w:t>7</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Judgment</w:t>
      </w:r>
      <w:r w:rsidRPr="00EC20A0">
        <w:rPr>
          <w:spacing w:val="-2"/>
          <w:sz w:val="18"/>
        </w:rPr>
        <w:t xml:space="preserve"> </w:t>
      </w:r>
      <w:r w:rsidRPr="00EC20A0">
        <w:rPr>
          <w:sz w:val="18"/>
        </w:rPr>
        <w:t>Fund</w:t>
      </w:r>
      <w:r w:rsidRPr="00EC20A0">
        <w:rPr>
          <w:spacing w:val="-3"/>
          <w:sz w:val="18"/>
        </w:rPr>
        <w:t xml:space="preserve"> </w:t>
      </w:r>
      <w:r w:rsidRPr="00EC20A0">
        <w:rPr>
          <w:sz w:val="18"/>
        </w:rPr>
        <w:t>will</w:t>
      </w:r>
      <w:r w:rsidRPr="00EC20A0">
        <w:rPr>
          <w:spacing w:val="-2"/>
          <w:sz w:val="18"/>
        </w:rPr>
        <w:t xml:space="preserve"> </w:t>
      </w:r>
      <w:r w:rsidRPr="00EC20A0">
        <w:rPr>
          <w:sz w:val="18"/>
        </w:rPr>
        <w:t>pay</w:t>
      </w:r>
      <w:r w:rsidRPr="00EC20A0">
        <w:rPr>
          <w:spacing w:val="-2"/>
          <w:sz w:val="18"/>
        </w:rPr>
        <w:t xml:space="preserve"> </w:t>
      </w:r>
      <w:r w:rsidRPr="00EC20A0">
        <w:rPr>
          <w:sz w:val="18"/>
        </w:rPr>
        <w:t>the</w:t>
      </w:r>
      <w:r w:rsidRPr="00EC20A0">
        <w:rPr>
          <w:spacing w:val="-3"/>
          <w:sz w:val="18"/>
        </w:rPr>
        <w:t xml:space="preserve"> </w:t>
      </w:r>
      <w:r w:rsidRPr="00EC20A0">
        <w:rPr>
          <w:sz w:val="18"/>
        </w:rPr>
        <w:t>claim,</w:t>
      </w:r>
      <w:r w:rsidRPr="00EC20A0">
        <w:rPr>
          <w:spacing w:val="-2"/>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still</w:t>
      </w:r>
      <w:r w:rsidRPr="00EC20A0">
        <w:rPr>
          <w:spacing w:val="-2"/>
          <w:sz w:val="18"/>
        </w:rPr>
        <w:t xml:space="preserve"> </w:t>
      </w:r>
      <w:r w:rsidRPr="00EC20A0">
        <w:rPr>
          <w:sz w:val="18"/>
        </w:rPr>
        <w:t>recognizes</w:t>
      </w:r>
      <w:r w:rsidRPr="00EC20A0">
        <w:rPr>
          <w:spacing w:val="-2"/>
          <w:sz w:val="18"/>
        </w:rPr>
        <w:t xml:space="preserve"> </w:t>
      </w:r>
      <w:r w:rsidRPr="00EC20A0">
        <w:rPr>
          <w:sz w:val="18"/>
        </w:rPr>
        <w:t>the</w:t>
      </w:r>
      <w:r w:rsidRPr="00EC20A0">
        <w:rPr>
          <w:spacing w:val="-3"/>
          <w:sz w:val="18"/>
        </w:rPr>
        <w:t xml:space="preserve"> </w:t>
      </w:r>
      <w:r w:rsidRPr="00EC20A0">
        <w:rPr>
          <w:sz w:val="18"/>
        </w:rPr>
        <w:t>liability</w:t>
      </w:r>
      <w:r w:rsidRPr="00EC20A0">
        <w:rPr>
          <w:spacing w:val="-2"/>
          <w:sz w:val="18"/>
        </w:rPr>
        <w:t xml:space="preserve"> </w:t>
      </w:r>
      <w:r w:rsidRPr="00EC20A0">
        <w:rPr>
          <w:sz w:val="18"/>
        </w:rPr>
        <w:t>and</w:t>
      </w:r>
      <w:r w:rsidRPr="00EC20A0">
        <w:rPr>
          <w:spacing w:val="-3"/>
          <w:sz w:val="18"/>
        </w:rPr>
        <w:t xml:space="preserve"> </w:t>
      </w:r>
      <w:r w:rsidRPr="00EC20A0">
        <w:rPr>
          <w:sz w:val="18"/>
        </w:rPr>
        <w:t>cost</w:t>
      </w:r>
      <w:r w:rsidRPr="00EC20A0">
        <w:rPr>
          <w:spacing w:val="-2"/>
          <w:sz w:val="18"/>
        </w:rPr>
        <w:t xml:space="preserve"> </w:t>
      </w:r>
      <w:r w:rsidRPr="00EC20A0">
        <w:rPr>
          <w:sz w:val="18"/>
        </w:rPr>
        <w:t>at</w:t>
      </w:r>
      <w:r w:rsidRPr="00EC20A0">
        <w:rPr>
          <w:spacing w:val="-2"/>
          <w:sz w:val="18"/>
        </w:rPr>
        <w:t xml:space="preserve"> </w:t>
      </w:r>
      <w:r w:rsidRPr="00EC20A0">
        <w:rPr>
          <w:sz w:val="18"/>
        </w:rPr>
        <w:t>this</w:t>
      </w:r>
      <w:r w:rsidRPr="00EC20A0">
        <w:rPr>
          <w:spacing w:val="-2"/>
          <w:sz w:val="18"/>
        </w:rPr>
        <w:t xml:space="preserve"> </w:t>
      </w:r>
      <w:r w:rsidRPr="00EC20A0">
        <w:rPr>
          <w:sz w:val="18"/>
        </w:rPr>
        <w:t>time.</w:t>
      </w:r>
      <w:r w:rsidRPr="00EC20A0">
        <w:rPr>
          <w:spacing w:val="-2"/>
          <w:sz w:val="18"/>
        </w:rPr>
        <w:t xml:space="preserve"> </w:t>
      </w:r>
      <w:r w:rsidRPr="00EC20A0">
        <w:rPr>
          <w:sz w:val="18"/>
        </w:rPr>
        <w:t>Once</w:t>
      </w:r>
      <w:r w:rsidRPr="00EC20A0">
        <w:rPr>
          <w:spacing w:val="-3"/>
          <w:sz w:val="18"/>
        </w:rPr>
        <w:t xml:space="preserve"> </w:t>
      </w:r>
      <w:r w:rsidRPr="00EC20A0">
        <w:rPr>
          <w:sz w:val="18"/>
        </w:rPr>
        <w:t>the</w:t>
      </w:r>
      <w:r w:rsidRPr="00EC20A0">
        <w:rPr>
          <w:spacing w:val="-3"/>
          <w:sz w:val="18"/>
        </w:rPr>
        <w:t xml:space="preserve"> </w:t>
      </w:r>
      <w:r w:rsidRPr="00EC20A0">
        <w:rPr>
          <w:sz w:val="18"/>
        </w:rPr>
        <w:t>claim</w:t>
      </w:r>
      <w:r w:rsidRPr="00EC20A0">
        <w:rPr>
          <w:spacing w:val="-2"/>
          <w:sz w:val="18"/>
        </w:rPr>
        <w:t xml:space="preserve"> </w:t>
      </w:r>
      <w:r w:rsidRPr="00EC20A0">
        <w:rPr>
          <w:sz w:val="18"/>
        </w:rPr>
        <w:t xml:space="preserve">is settled or a court </w:t>
      </w:r>
      <w:r w:rsidRPr="00EC20A0">
        <w:rPr>
          <w:sz w:val="18"/>
        </w:rPr>
        <w:t>judgment is assessed and the Judgment Fund is determined to be the appropriate source for payment, the entity reduces the liability by recognizing an (imputed) financing source. Note that for Judgment Fund payments made under the Contract Disputes Act and the Notification and Federal Employee Antidiscrimination and Retaliation Act, the entity establishes a payable to reimburse the Judgment Fund.</w:t>
      </w:r>
    </w:p>
    <w:p w14:paraId="24D61DDD"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DDE" w14:textId="77777777" w:rsidR="00245300" w:rsidRPr="00EC20A0" w:rsidRDefault="00F17249">
      <w:pPr>
        <w:pStyle w:val="BodyText"/>
        <w:spacing w:before="121"/>
        <w:ind w:left="1640" w:right="345" w:hanging="1"/>
      </w:pPr>
      <w:r w:rsidRPr="00EC20A0">
        <w:t>For an overview of the standards that provide criteria for how entities are to account</w:t>
      </w:r>
      <w:r w:rsidRPr="00EC20A0">
        <w:rPr>
          <w:spacing w:val="-4"/>
        </w:rPr>
        <w:t xml:space="preserve"> </w:t>
      </w:r>
      <w:r w:rsidRPr="00EC20A0">
        <w:t>for</w:t>
      </w:r>
      <w:r w:rsidRPr="00EC20A0">
        <w:rPr>
          <w:spacing w:val="-5"/>
        </w:rPr>
        <w:t xml:space="preserve"> </w:t>
      </w:r>
      <w:r w:rsidRPr="00EC20A0">
        <w:t>contingent</w:t>
      </w:r>
      <w:r w:rsidRPr="00EC20A0">
        <w:rPr>
          <w:spacing w:val="-4"/>
        </w:rPr>
        <w:t xml:space="preserve"> </w:t>
      </w:r>
      <w:r w:rsidRPr="00EC20A0">
        <w:t>losses</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likelihood</w:t>
      </w:r>
      <w:r w:rsidRPr="00EC20A0">
        <w:rPr>
          <w:spacing w:val="-4"/>
        </w:rPr>
        <w:t xml:space="preserve"> </w:t>
      </w:r>
      <w:r w:rsidRPr="00EC20A0">
        <w:t>of</w:t>
      </w:r>
      <w:r w:rsidRPr="00EC20A0">
        <w:rPr>
          <w:spacing w:val="-4"/>
        </w:rPr>
        <w:t xml:space="preserve"> </w:t>
      </w:r>
      <w:r w:rsidRPr="00EC20A0">
        <w:t>loss</w:t>
      </w:r>
      <w:r w:rsidRPr="00EC20A0">
        <w:rPr>
          <w:spacing w:val="-4"/>
        </w:rPr>
        <w:t xml:space="preserve"> </w:t>
      </w:r>
      <w:r w:rsidRPr="00EC20A0">
        <w:t>and</w:t>
      </w:r>
      <w:r w:rsidRPr="00EC20A0">
        <w:rPr>
          <w:spacing w:val="-4"/>
        </w:rPr>
        <w:t xml:space="preserve"> </w:t>
      </w:r>
      <w:r w:rsidRPr="00EC20A0">
        <w:t>measurability, see table 1002.1.</w:t>
      </w:r>
    </w:p>
    <w:p w14:paraId="24D61DDF" w14:textId="77777777" w:rsidR="00245300" w:rsidRPr="00EC20A0" w:rsidRDefault="00F17249">
      <w:pPr>
        <w:spacing w:before="239"/>
        <w:ind w:left="200"/>
        <w:rPr>
          <w:b/>
        </w:rPr>
      </w:pPr>
      <w:r w:rsidRPr="00EC20A0">
        <w:rPr>
          <w:b/>
          <w:u w:val="single"/>
        </w:rPr>
        <w:t>Table</w:t>
      </w:r>
      <w:r w:rsidRPr="00EC20A0">
        <w:rPr>
          <w:b/>
          <w:spacing w:val="-9"/>
          <w:u w:val="single"/>
        </w:rPr>
        <w:t xml:space="preserve"> </w:t>
      </w:r>
      <w:r w:rsidRPr="00EC20A0">
        <w:rPr>
          <w:b/>
          <w:u w:val="single"/>
        </w:rPr>
        <w:t>1002.1:</w:t>
      </w:r>
      <w:r w:rsidRPr="00EC20A0">
        <w:rPr>
          <w:b/>
          <w:spacing w:val="-8"/>
          <w:u w:val="single"/>
        </w:rPr>
        <w:t xml:space="preserve"> </w:t>
      </w:r>
      <w:r w:rsidRPr="00EC20A0">
        <w:rPr>
          <w:b/>
          <w:u w:val="single"/>
        </w:rPr>
        <w:t>Accounting</w:t>
      </w:r>
      <w:r w:rsidRPr="00EC20A0">
        <w:rPr>
          <w:b/>
          <w:spacing w:val="-8"/>
          <w:u w:val="single"/>
        </w:rPr>
        <w:t xml:space="preserve"> </w:t>
      </w:r>
      <w:r w:rsidRPr="00EC20A0">
        <w:rPr>
          <w:b/>
          <w:u w:val="single"/>
        </w:rPr>
        <w:t>for</w:t>
      </w:r>
      <w:r w:rsidRPr="00EC20A0">
        <w:rPr>
          <w:b/>
          <w:spacing w:val="-9"/>
          <w:u w:val="single"/>
        </w:rPr>
        <w:t xml:space="preserve"> </w:t>
      </w:r>
      <w:r w:rsidRPr="00EC20A0">
        <w:rPr>
          <w:b/>
          <w:u w:val="single"/>
        </w:rPr>
        <w:t>Contingent</w:t>
      </w:r>
      <w:r w:rsidRPr="00EC20A0">
        <w:rPr>
          <w:b/>
          <w:spacing w:val="-8"/>
          <w:u w:val="single"/>
        </w:rPr>
        <w:t xml:space="preserve"> </w:t>
      </w:r>
      <w:r w:rsidRPr="00EC20A0">
        <w:rPr>
          <w:b/>
          <w:spacing w:val="-2"/>
          <w:u w:val="single"/>
        </w:rPr>
        <w:t>Losses</w:t>
      </w:r>
    </w:p>
    <w:p w14:paraId="24D61DE0" w14:textId="77777777" w:rsidR="00245300" w:rsidRPr="00EC20A0" w:rsidRDefault="00245300">
      <w:pPr>
        <w:pStyle w:val="BodyText"/>
        <w:spacing w:before="8"/>
        <w:rPr>
          <w:b/>
          <w:sz w:val="11"/>
        </w:rPr>
      </w:pPr>
    </w:p>
    <w:tbl>
      <w:tblPr>
        <w:tblW w:w="0" w:type="auto"/>
        <w:tblInd w:w="22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286"/>
        <w:gridCol w:w="2394"/>
        <w:gridCol w:w="2394"/>
        <w:gridCol w:w="2394"/>
      </w:tblGrid>
      <w:tr w:rsidR="00245300" w:rsidRPr="00EC20A0" w14:paraId="24D61DE7" w14:textId="77777777">
        <w:trPr>
          <w:trHeight w:val="1252"/>
        </w:trPr>
        <w:tc>
          <w:tcPr>
            <w:tcW w:w="2286" w:type="dxa"/>
            <w:tcBorders>
              <w:right w:val="single" w:sz="4" w:space="0" w:color="000000"/>
            </w:tcBorders>
          </w:tcPr>
          <w:p w14:paraId="24D61DE1" w14:textId="77777777" w:rsidR="00245300" w:rsidRPr="00EC20A0" w:rsidRDefault="00F17249">
            <w:pPr>
              <w:pStyle w:val="TableParagraph"/>
              <w:spacing w:before="121"/>
              <w:ind w:left="92" w:right="109"/>
              <w:rPr>
                <w:b/>
              </w:rPr>
            </w:pPr>
            <w:r w:rsidRPr="00EC20A0">
              <w:rPr>
                <w:b/>
              </w:rPr>
              <w:t>Likelihood</w:t>
            </w:r>
            <w:r w:rsidRPr="00EC20A0">
              <w:rPr>
                <w:b/>
                <w:spacing w:val="-16"/>
              </w:rPr>
              <w:t xml:space="preserve"> </w:t>
            </w:r>
            <w:r w:rsidRPr="00EC20A0">
              <w:rPr>
                <w:b/>
              </w:rPr>
              <w:t>of</w:t>
            </w:r>
            <w:r w:rsidRPr="00EC20A0">
              <w:rPr>
                <w:b/>
                <w:spacing w:val="-15"/>
              </w:rPr>
              <w:t xml:space="preserve"> </w:t>
            </w:r>
            <w:r w:rsidRPr="00EC20A0">
              <w:rPr>
                <w:b/>
              </w:rPr>
              <w:t xml:space="preserve">future outflow or other sacrifice of </w:t>
            </w:r>
            <w:r w:rsidRPr="00EC20A0">
              <w:rPr>
                <w:b/>
                <w:spacing w:val="-2"/>
              </w:rPr>
              <w:t>resources</w:t>
            </w:r>
          </w:p>
        </w:tc>
        <w:tc>
          <w:tcPr>
            <w:tcW w:w="2394" w:type="dxa"/>
            <w:tcBorders>
              <w:left w:val="single" w:sz="4" w:space="0" w:color="000000"/>
              <w:right w:val="single" w:sz="4" w:space="0" w:color="000000"/>
            </w:tcBorders>
          </w:tcPr>
          <w:p w14:paraId="24D61DE2" w14:textId="77777777" w:rsidR="00245300" w:rsidRPr="00EC20A0" w:rsidRDefault="00245300">
            <w:pPr>
              <w:pStyle w:val="TableParagraph"/>
              <w:spacing w:before="120"/>
              <w:rPr>
                <w:b/>
              </w:rPr>
            </w:pPr>
          </w:p>
          <w:p w14:paraId="24D61DE3" w14:textId="77777777" w:rsidR="00245300" w:rsidRPr="00EC20A0" w:rsidRDefault="00F17249">
            <w:pPr>
              <w:pStyle w:val="TableParagraph"/>
              <w:ind w:left="110" w:right="128"/>
              <w:rPr>
                <w:b/>
              </w:rPr>
            </w:pPr>
            <w:r w:rsidRPr="00EC20A0">
              <w:rPr>
                <w:b/>
              </w:rPr>
              <w:t>Loss</w:t>
            </w:r>
            <w:r w:rsidRPr="00EC20A0">
              <w:rPr>
                <w:b/>
                <w:spacing w:val="-13"/>
              </w:rPr>
              <w:t xml:space="preserve"> </w:t>
            </w:r>
            <w:r w:rsidRPr="00EC20A0">
              <w:rPr>
                <w:b/>
              </w:rPr>
              <w:t>amount</w:t>
            </w:r>
            <w:r w:rsidRPr="00EC20A0">
              <w:rPr>
                <w:b/>
                <w:spacing w:val="-13"/>
              </w:rPr>
              <w:t xml:space="preserve"> </w:t>
            </w:r>
            <w:r w:rsidRPr="00EC20A0">
              <w:rPr>
                <w:b/>
              </w:rPr>
              <w:t>can</w:t>
            </w:r>
            <w:r w:rsidRPr="00EC20A0">
              <w:rPr>
                <w:b/>
                <w:spacing w:val="-13"/>
              </w:rPr>
              <w:t xml:space="preserve"> </w:t>
            </w:r>
            <w:r w:rsidRPr="00EC20A0">
              <w:rPr>
                <w:b/>
              </w:rPr>
              <w:t xml:space="preserve">be </w:t>
            </w:r>
            <w:r w:rsidRPr="00EC20A0">
              <w:rPr>
                <w:b/>
                <w:spacing w:val="-2"/>
              </w:rPr>
              <w:t>reasonably measured</w:t>
            </w:r>
          </w:p>
        </w:tc>
        <w:tc>
          <w:tcPr>
            <w:tcW w:w="2394" w:type="dxa"/>
            <w:tcBorders>
              <w:left w:val="single" w:sz="4" w:space="0" w:color="000000"/>
              <w:right w:val="single" w:sz="4" w:space="0" w:color="000000"/>
            </w:tcBorders>
          </w:tcPr>
          <w:p w14:paraId="24D61DE4" w14:textId="77777777" w:rsidR="00245300" w:rsidRPr="00EC20A0" w:rsidRDefault="00245300">
            <w:pPr>
              <w:pStyle w:val="TableParagraph"/>
              <w:spacing w:before="120"/>
              <w:rPr>
                <w:b/>
              </w:rPr>
            </w:pPr>
          </w:p>
          <w:p w14:paraId="24D61DE5" w14:textId="77777777" w:rsidR="00245300" w:rsidRPr="00EC20A0" w:rsidRDefault="00F17249">
            <w:pPr>
              <w:pStyle w:val="TableParagraph"/>
              <w:ind w:left="110" w:right="128"/>
              <w:rPr>
                <w:b/>
              </w:rPr>
            </w:pPr>
            <w:r w:rsidRPr="00EC20A0">
              <w:rPr>
                <w:b/>
              </w:rPr>
              <w:t>Loss</w:t>
            </w:r>
            <w:r w:rsidRPr="00EC20A0">
              <w:rPr>
                <w:b/>
                <w:spacing w:val="-13"/>
              </w:rPr>
              <w:t xml:space="preserve"> </w:t>
            </w:r>
            <w:r w:rsidRPr="00EC20A0">
              <w:rPr>
                <w:b/>
              </w:rPr>
              <w:t>range</w:t>
            </w:r>
            <w:r w:rsidRPr="00EC20A0">
              <w:rPr>
                <w:b/>
                <w:spacing w:val="-13"/>
              </w:rPr>
              <w:t xml:space="preserve"> </w:t>
            </w:r>
            <w:r w:rsidRPr="00EC20A0">
              <w:rPr>
                <w:b/>
              </w:rPr>
              <w:t>can</w:t>
            </w:r>
            <w:r w:rsidRPr="00EC20A0">
              <w:rPr>
                <w:b/>
                <w:spacing w:val="-13"/>
              </w:rPr>
              <w:t xml:space="preserve"> </w:t>
            </w:r>
            <w:r w:rsidRPr="00EC20A0">
              <w:rPr>
                <w:b/>
              </w:rPr>
              <w:t xml:space="preserve">be </w:t>
            </w:r>
            <w:r w:rsidRPr="00EC20A0">
              <w:rPr>
                <w:b/>
                <w:spacing w:val="-2"/>
              </w:rPr>
              <w:t>reasonably measured</w:t>
            </w:r>
          </w:p>
        </w:tc>
        <w:tc>
          <w:tcPr>
            <w:tcW w:w="2394" w:type="dxa"/>
            <w:tcBorders>
              <w:left w:val="single" w:sz="4" w:space="0" w:color="000000"/>
            </w:tcBorders>
          </w:tcPr>
          <w:p w14:paraId="24D61DE6" w14:textId="77777777" w:rsidR="00245300" w:rsidRPr="00EC20A0" w:rsidRDefault="00F17249">
            <w:pPr>
              <w:pStyle w:val="TableParagraph"/>
              <w:spacing w:before="121"/>
              <w:ind w:left="110" w:right="111"/>
              <w:rPr>
                <w:b/>
              </w:rPr>
            </w:pPr>
            <w:r w:rsidRPr="00EC20A0">
              <w:rPr>
                <w:b/>
              </w:rPr>
              <w:t>Loss amount or range</w:t>
            </w:r>
            <w:r w:rsidRPr="00EC20A0">
              <w:rPr>
                <w:b/>
                <w:spacing w:val="-16"/>
              </w:rPr>
              <w:t xml:space="preserve"> </w:t>
            </w:r>
            <w:r w:rsidRPr="00EC20A0">
              <w:rPr>
                <w:b/>
              </w:rPr>
              <w:t>cannot</w:t>
            </w:r>
            <w:r w:rsidRPr="00EC20A0">
              <w:rPr>
                <w:b/>
                <w:spacing w:val="-15"/>
              </w:rPr>
              <w:t xml:space="preserve"> </w:t>
            </w:r>
            <w:r w:rsidRPr="00EC20A0">
              <w:rPr>
                <w:b/>
              </w:rPr>
              <w:t xml:space="preserve">be </w:t>
            </w:r>
            <w:r w:rsidRPr="00EC20A0">
              <w:rPr>
                <w:b/>
                <w:spacing w:val="-2"/>
              </w:rPr>
              <w:t>reasonably measured</w:t>
            </w:r>
          </w:p>
        </w:tc>
      </w:tr>
      <w:tr w:rsidR="00245300" w:rsidRPr="00EC20A0" w14:paraId="24D61DED" w14:textId="77777777">
        <w:trPr>
          <w:trHeight w:val="3276"/>
        </w:trPr>
        <w:tc>
          <w:tcPr>
            <w:tcW w:w="2286" w:type="dxa"/>
            <w:tcBorders>
              <w:bottom w:val="single" w:sz="4" w:space="0" w:color="000000"/>
              <w:right w:val="single" w:sz="4" w:space="0" w:color="000000"/>
            </w:tcBorders>
          </w:tcPr>
          <w:p w14:paraId="24D61DE8" w14:textId="77777777" w:rsidR="00245300" w:rsidRPr="00EC20A0" w:rsidRDefault="00F17249">
            <w:pPr>
              <w:pStyle w:val="TableParagraph"/>
              <w:spacing w:before="120"/>
              <w:ind w:left="92" w:right="171"/>
            </w:pPr>
            <w:r w:rsidRPr="00EC20A0">
              <w:rPr>
                <w:b/>
                <w:spacing w:val="-2"/>
              </w:rPr>
              <w:t xml:space="preserve">Probable: </w:t>
            </w:r>
            <w:r w:rsidRPr="00EC20A0">
              <w:t>Generally,</w:t>
            </w:r>
            <w:r w:rsidRPr="00EC20A0">
              <w:rPr>
                <w:spacing w:val="-16"/>
              </w:rPr>
              <w:t xml:space="preserve"> </w:t>
            </w:r>
            <w:r w:rsidRPr="00EC20A0">
              <w:t>the</w:t>
            </w:r>
            <w:r w:rsidRPr="00EC20A0">
              <w:rPr>
                <w:spacing w:val="-15"/>
              </w:rPr>
              <w:t xml:space="preserve"> </w:t>
            </w:r>
            <w:r w:rsidRPr="00EC20A0">
              <w:t>future confirming event(s) is(are) more likely than not to occur.</w:t>
            </w:r>
          </w:p>
          <w:p w14:paraId="24D61DE9" w14:textId="77777777" w:rsidR="00245300" w:rsidRPr="00EC20A0" w:rsidRDefault="00F17249">
            <w:pPr>
              <w:pStyle w:val="TableParagraph"/>
              <w:ind w:left="92" w:right="242"/>
            </w:pPr>
            <w:r w:rsidRPr="00EC20A0">
              <w:t>For pending or threatened</w:t>
            </w:r>
            <w:r w:rsidRPr="00EC20A0">
              <w:rPr>
                <w:spacing w:val="-16"/>
              </w:rPr>
              <w:t xml:space="preserve"> </w:t>
            </w:r>
            <w:r w:rsidRPr="00EC20A0">
              <w:t xml:space="preserve">litigation and unasserted claims, the future confirming event(s) is(are) likely to </w:t>
            </w:r>
            <w:r w:rsidRPr="00EC20A0">
              <w:rPr>
                <w:spacing w:val="-2"/>
              </w:rPr>
              <w:t>occur.</w:t>
            </w:r>
          </w:p>
        </w:tc>
        <w:tc>
          <w:tcPr>
            <w:tcW w:w="2394" w:type="dxa"/>
            <w:tcBorders>
              <w:left w:val="single" w:sz="4" w:space="0" w:color="000000"/>
              <w:bottom w:val="single" w:sz="4" w:space="0" w:color="000000"/>
              <w:right w:val="single" w:sz="4" w:space="0" w:color="000000"/>
            </w:tcBorders>
          </w:tcPr>
          <w:p w14:paraId="24D61DEA" w14:textId="77777777" w:rsidR="00245300" w:rsidRPr="00EC20A0" w:rsidRDefault="00F17249">
            <w:pPr>
              <w:pStyle w:val="TableParagraph"/>
              <w:spacing w:before="120"/>
              <w:ind w:left="110" w:right="128"/>
            </w:pPr>
            <w:r w:rsidRPr="00EC20A0">
              <w:t>Accrue the liability. Report on Balance Sheet</w:t>
            </w:r>
            <w:r w:rsidRPr="00EC20A0">
              <w:rPr>
                <w:spacing w:val="-16"/>
              </w:rPr>
              <w:t xml:space="preserve"> </w:t>
            </w:r>
            <w:r w:rsidRPr="00EC20A0">
              <w:t>and</w:t>
            </w:r>
            <w:r w:rsidRPr="00EC20A0">
              <w:rPr>
                <w:spacing w:val="-15"/>
              </w:rPr>
              <w:t xml:space="preserve"> </w:t>
            </w:r>
            <w:r w:rsidRPr="00EC20A0">
              <w:t>Statement of Net Cost.</w:t>
            </w:r>
          </w:p>
        </w:tc>
        <w:tc>
          <w:tcPr>
            <w:tcW w:w="2394" w:type="dxa"/>
            <w:tcBorders>
              <w:left w:val="single" w:sz="4" w:space="0" w:color="000000"/>
              <w:bottom w:val="single" w:sz="4" w:space="0" w:color="000000"/>
              <w:right w:val="single" w:sz="4" w:space="0" w:color="000000"/>
            </w:tcBorders>
          </w:tcPr>
          <w:p w14:paraId="24D61DEB" w14:textId="77777777" w:rsidR="00245300" w:rsidRPr="00EC20A0" w:rsidRDefault="00F17249">
            <w:pPr>
              <w:pStyle w:val="TableParagraph"/>
              <w:spacing w:before="120"/>
              <w:ind w:left="110" w:right="101"/>
            </w:pPr>
            <w:r w:rsidRPr="00EC20A0">
              <w:t>Accrue liability of best estimate or minimum amount in loss range</w:t>
            </w:r>
            <w:r w:rsidRPr="00EC20A0">
              <w:rPr>
                <w:spacing w:val="40"/>
              </w:rPr>
              <w:t xml:space="preserve"> </w:t>
            </w:r>
            <w:r w:rsidRPr="00EC20A0">
              <w:t>if there is no best estimate,</w:t>
            </w:r>
            <w:r w:rsidRPr="00EC20A0">
              <w:rPr>
                <w:spacing w:val="-16"/>
              </w:rPr>
              <w:t xml:space="preserve"> </w:t>
            </w:r>
            <w:r w:rsidRPr="00EC20A0">
              <w:t>and</w:t>
            </w:r>
            <w:r w:rsidRPr="00EC20A0">
              <w:rPr>
                <w:spacing w:val="-15"/>
              </w:rPr>
              <w:t xml:space="preserve"> </w:t>
            </w:r>
            <w:r w:rsidRPr="00EC20A0">
              <w:t>disclose nature of contingency and range of estimated liability.</w:t>
            </w:r>
          </w:p>
        </w:tc>
        <w:tc>
          <w:tcPr>
            <w:tcW w:w="2394" w:type="dxa"/>
            <w:tcBorders>
              <w:left w:val="single" w:sz="4" w:space="0" w:color="000000"/>
              <w:bottom w:val="single" w:sz="4" w:space="0" w:color="000000"/>
            </w:tcBorders>
          </w:tcPr>
          <w:p w14:paraId="24D61DEC" w14:textId="77777777" w:rsidR="00245300" w:rsidRPr="00EC20A0" w:rsidRDefault="00F17249">
            <w:pPr>
              <w:pStyle w:val="TableParagraph"/>
              <w:spacing w:before="120"/>
              <w:ind w:left="110" w:right="347"/>
            </w:pPr>
            <w:r w:rsidRPr="00EC20A0">
              <w:t>Disclose nature of contingency and include</w:t>
            </w:r>
            <w:r w:rsidRPr="00EC20A0">
              <w:rPr>
                <w:spacing w:val="-16"/>
              </w:rPr>
              <w:t xml:space="preserve"> </w:t>
            </w:r>
            <w:r w:rsidRPr="00EC20A0">
              <w:t>a</w:t>
            </w:r>
            <w:r w:rsidRPr="00EC20A0">
              <w:rPr>
                <w:spacing w:val="-15"/>
              </w:rPr>
              <w:t xml:space="preserve"> </w:t>
            </w:r>
            <w:r w:rsidRPr="00EC20A0">
              <w:t>statement that an estimate cannot be made.</w:t>
            </w:r>
          </w:p>
        </w:tc>
      </w:tr>
      <w:tr w:rsidR="00245300" w:rsidRPr="00EC20A0" w14:paraId="24D61DF2" w14:textId="77777777">
        <w:trPr>
          <w:trHeight w:val="2010"/>
        </w:trPr>
        <w:tc>
          <w:tcPr>
            <w:tcW w:w="2286" w:type="dxa"/>
            <w:tcBorders>
              <w:top w:val="single" w:sz="4" w:space="0" w:color="000000"/>
              <w:bottom w:val="single" w:sz="4" w:space="0" w:color="000000"/>
              <w:right w:val="single" w:sz="4" w:space="0" w:color="000000"/>
            </w:tcBorders>
          </w:tcPr>
          <w:p w14:paraId="24D61DEE" w14:textId="77777777" w:rsidR="00245300" w:rsidRPr="00EC20A0" w:rsidRDefault="00F17249">
            <w:pPr>
              <w:pStyle w:val="TableParagraph"/>
              <w:spacing w:before="120"/>
              <w:ind w:left="92" w:right="109"/>
            </w:pPr>
            <w:r w:rsidRPr="00EC20A0">
              <w:rPr>
                <w:b/>
                <w:spacing w:val="-2"/>
              </w:rPr>
              <w:t>Reasonably possible:</w:t>
            </w:r>
            <w:hyperlink w:anchor="_bookmark218" w:history="1">
              <w:r w:rsidRPr="00EC20A0">
                <w:rPr>
                  <w:b/>
                  <w:spacing w:val="-2"/>
                  <w:vertAlign w:val="superscript"/>
                </w:rPr>
                <w:t>8</w:t>
              </w:r>
            </w:hyperlink>
            <w:r w:rsidRPr="00EC20A0">
              <w:rPr>
                <w:b/>
                <w:spacing w:val="40"/>
              </w:rPr>
              <w:t xml:space="preserve"> </w:t>
            </w:r>
            <w:r w:rsidRPr="00EC20A0">
              <w:t>Possibility of future confirming event(s) occurring is more than</w:t>
            </w:r>
            <w:r w:rsidRPr="00EC20A0">
              <w:rPr>
                <w:spacing w:val="-13"/>
              </w:rPr>
              <w:t xml:space="preserve"> </w:t>
            </w:r>
            <w:r w:rsidRPr="00EC20A0">
              <w:t>remote</w:t>
            </w:r>
            <w:r w:rsidRPr="00EC20A0">
              <w:rPr>
                <w:spacing w:val="-13"/>
              </w:rPr>
              <w:t xml:space="preserve"> </w:t>
            </w:r>
            <w:r w:rsidRPr="00EC20A0">
              <w:t>and</w:t>
            </w:r>
            <w:r w:rsidRPr="00EC20A0">
              <w:rPr>
                <w:spacing w:val="-13"/>
              </w:rPr>
              <w:t xml:space="preserve"> </w:t>
            </w:r>
            <w:r w:rsidRPr="00EC20A0">
              <w:t>less than likely.</w:t>
            </w:r>
          </w:p>
        </w:tc>
        <w:tc>
          <w:tcPr>
            <w:tcW w:w="2394" w:type="dxa"/>
            <w:tcBorders>
              <w:top w:val="single" w:sz="4" w:space="0" w:color="000000"/>
              <w:left w:val="single" w:sz="4" w:space="0" w:color="000000"/>
              <w:bottom w:val="single" w:sz="4" w:space="0" w:color="000000"/>
              <w:right w:val="single" w:sz="4" w:space="0" w:color="000000"/>
            </w:tcBorders>
          </w:tcPr>
          <w:p w14:paraId="24D61DEF" w14:textId="77777777" w:rsidR="00245300" w:rsidRPr="00EC20A0" w:rsidRDefault="00F17249">
            <w:pPr>
              <w:pStyle w:val="TableParagraph"/>
              <w:spacing w:before="120"/>
              <w:ind w:left="109" w:right="462"/>
            </w:pPr>
            <w:r w:rsidRPr="00EC20A0">
              <w:t>Disclose nature of contingency and estimated</w:t>
            </w:r>
            <w:r w:rsidRPr="00EC20A0">
              <w:rPr>
                <w:spacing w:val="-16"/>
              </w:rPr>
              <w:t xml:space="preserve"> </w:t>
            </w:r>
            <w:r w:rsidRPr="00EC20A0">
              <w:t>amount.</w:t>
            </w:r>
          </w:p>
        </w:tc>
        <w:tc>
          <w:tcPr>
            <w:tcW w:w="2394" w:type="dxa"/>
            <w:tcBorders>
              <w:top w:val="single" w:sz="4" w:space="0" w:color="000000"/>
              <w:left w:val="single" w:sz="4" w:space="0" w:color="000000"/>
              <w:bottom w:val="single" w:sz="4" w:space="0" w:color="000000"/>
              <w:right w:val="single" w:sz="4" w:space="0" w:color="000000"/>
            </w:tcBorders>
          </w:tcPr>
          <w:p w14:paraId="24D61DF0" w14:textId="77777777" w:rsidR="00245300" w:rsidRPr="00EC20A0" w:rsidRDefault="00F17249">
            <w:pPr>
              <w:pStyle w:val="TableParagraph"/>
              <w:spacing w:before="120"/>
              <w:ind w:left="110" w:right="128"/>
            </w:pPr>
            <w:r w:rsidRPr="00EC20A0">
              <w:t>Disclose nature of contingency and estimated</w:t>
            </w:r>
            <w:r w:rsidRPr="00EC20A0">
              <w:rPr>
                <w:spacing w:val="-16"/>
              </w:rPr>
              <w:t xml:space="preserve"> </w:t>
            </w:r>
            <w:r w:rsidRPr="00EC20A0">
              <w:t>loss</w:t>
            </w:r>
            <w:r w:rsidRPr="00EC20A0">
              <w:rPr>
                <w:spacing w:val="-15"/>
              </w:rPr>
              <w:t xml:space="preserve"> </w:t>
            </w:r>
            <w:r w:rsidRPr="00EC20A0">
              <w:t>range.</w:t>
            </w:r>
          </w:p>
        </w:tc>
        <w:tc>
          <w:tcPr>
            <w:tcW w:w="2394" w:type="dxa"/>
            <w:tcBorders>
              <w:top w:val="single" w:sz="4" w:space="0" w:color="000000"/>
              <w:left w:val="single" w:sz="4" w:space="0" w:color="000000"/>
              <w:bottom w:val="single" w:sz="4" w:space="0" w:color="000000"/>
            </w:tcBorders>
          </w:tcPr>
          <w:p w14:paraId="24D61DF1" w14:textId="77777777" w:rsidR="00245300" w:rsidRPr="00EC20A0" w:rsidRDefault="00F17249">
            <w:pPr>
              <w:pStyle w:val="TableParagraph"/>
              <w:spacing w:before="120"/>
              <w:ind w:left="110" w:right="111"/>
            </w:pPr>
            <w:r w:rsidRPr="00EC20A0">
              <w:t xml:space="preserve">Disclose </w:t>
            </w:r>
            <w:r w:rsidRPr="00EC20A0">
              <w:t>nature of contingency and include</w:t>
            </w:r>
            <w:r w:rsidRPr="00EC20A0">
              <w:rPr>
                <w:spacing w:val="-16"/>
              </w:rPr>
              <w:t xml:space="preserve"> </w:t>
            </w:r>
            <w:r w:rsidRPr="00EC20A0">
              <w:t>a</w:t>
            </w:r>
            <w:r w:rsidRPr="00EC20A0">
              <w:rPr>
                <w:spacing w:val="-15"/>
              </w:rPr>
              <w:t xml:space="preserve"> </w:t>
            </w:r>
            <w:r w:rsidRPr="00EC20A0">
              <w:t>statement that an estimate cannot be made.</w:t>
            </w:r>
          </w:p>
        </w:tc>
      </w:tr>
      <w:tr w:rsidR="00245300" w:rsidRPr="00EC20A0" w14:paraId="24D61DF7" w14:textId="77777777">
        <w:trPr>
          <w:trHeight w:val="1000"/>
        </w:trPr>
        <w:tc>
          <w:tcPr>
            <w:tcW w:w="2286" w:type="dxa"/>
            <w:tcBorders>
              <w:top w:val="single" w:sz="4" w:space="0" w:color="000000"/>
              <w:right w:val="single" w:sz="4" w:space="0" w:color="000000"/>
            </w:tcBorders>
          </w:tcPr>
          <w:p w14:paraId="24D61DF3" w14:textId="77777777" w:rsidR="00245300" w:rsidRPr="00EC20A0" w:rsidRDefault="00F17249">
            <w:pPr>
              <w:pStyle w:val="TableParagraph"/>
              <w:spacing w:before="120"/>
              <w:ind w:left="92" w:right="109"/>
            </w:pPr>
            <w:r w:rsidRPr="00EC20A0">
              <w:rPr>
                <w:b/>
              </w:rPr>
              <w:t>Remote:</w:t>
            </w:r>
            <w:r w:rsidRPr="00EC20A0">
              <w:rPr>
                <w:b/>
                <w:spacing w:val="-16"/>
              </w:rPr>
              <w:t xml:space="preserve"> </w:t>
            </w:r>
            <w:r w:rsidRPr="00EC20A0">
              <w:t>Possibility of future event(s) occurring is slight.</w:t>
            </w:r>
          </w:p>
        </w:tc>
        <w:tc>
          <w:tcPr>
            <w:tcW w:w="2394" w:type="dxa"/>
            <w:tcBorders>
              <w:top w:val="single" w:sz="4" w:space="0" w:color="000000"/>
              <w:left w:val="single" w:sz="4" w:space="0" w:color="000000"/>
              <w:right w:val="single" w:sz="4" w:space="0" w:color="000000"/>
            </w:tcBorders>
          </w:tcPr>
          <w:p w14:paraId="24D61DF4" w14:textId="77777777" w:rsidR="00245300" w:rsidRPr="00EC20A0" w:rsidRDefault="00F17249">
            <w:pPr>
              <w:pStyle w:val="TableParagraph"/>
              <w:spacing w:before="121"/>
              <w:ind w:left="110"/>
            </w:pPr>
            <w:r w:rsidRPr="00EC20A0">
              <w:t>No</w:t>
            </w:r>
            <w:r w:rsidRPr="00EC20A0">
              <w:rPr>
                <w:spacing w:val="-4"/>
              </w:rPr>
              <w:t xml:space="preserve"> </w:t>
            </w:r>
            <w:r w:rsidRPr="00EC20A0">
              <w:t>action</w:t>
            </w:r>
            <w:r w:rsidRPr="00EC20A0">
              <w:rPr>
                <w:spacing w:val="-4"/>
              </w:rPr>
              <w:t xml:space="preserve"> </w:t>
            </w:r>
            <w:r w:rsidRPr="00EC20A0">
              <w:t>is</w:t>
            </w:r>
            <w:r w:rsidRPr="00EC20A0">
              <w:rPr>
                <w:spacing w:val="-5"/>
              </w:rPr>
              <w:t xml:space="preserve"> </w:t>
            </w:r>
            <w:r w:rsidRPr="00EC20A0">
              <w:rPr>
                <w:spacing w:val="-2"/>
              </w:rPr>
              <w:t>required.</w:t>
            </w:r>
          </w:p>
        </w:tc>
        <w:tc>
          <w:tcPr>
            <w:tcW w:w="2394" w:type="dxa"/>
            <w:tcBorders>
              <w:top w:val="single" w:sz="4" w:space="0" w:color="000000"/>
              <w:left w:val="single" w:sz="4" w:space="0" w:color="000000"/>
              <w:right w:val="single" w:sz="4" w:space="0" w:color="000000"/>
            </w:tcBorders>
          </w:tcPr>
          <w:p w14:paraId="24D61DF5" w14:textId="77777777" w:rsidR="00245300" w:rsidRPr="00EC20A0" w:rsidRDefault="00F17249">
            <w:pPr>
              <w:pStyle w:val="TableParagraph"/>
              <w:spacing w:before="121"/>
              <w:ind w:left="110"/>
            </w:pPr>
            <w:r w:rsidRPr="00EC20A0">
              <w:t>No</w:t>
            </w:r>
            <w:r w:rsidRPr="00EC20A0">
              <w:rPr>
                <w:spacing w:val="-4"/>
              </w:rPr>
              <w:t xml:space="preserve"> </w:t>
            </w:r>
            <w:r w:rsidRPr="00EC20A0">
              <w:t>action</w:t>
            </w:r>
            <w:r w:rsidRPr="00EC20A0">
              <w:rPr>
                <w:spacing w:val="-4"/>
              </w:rPr>
              <w:t xml:space="preserve"> </w:t>
            </w:r>
            <w:r w:rsidRPr="00EC20A0">
              <w:t>is</w:t>
            </w:r>
            <w:r w:rsidRPr="00EC20A0">
              <w:rPr>
                <w:spacing w:val="-5"/>
              </w:rPr>
              <w:t xml:space="preserve"> </w:t>
            </w:r>
            <w:r w:rsidRPr="00EC20A0">
              <w:rPr>
                <w:spacing w:val="-2"/>
              </w:rPr>
              <w:t>required.</w:t>
            </w:r>
          </w:p>
        </w:tc>
        <w:tc>
          <w:tcPr>
            <w:tcW w:w="2394" w:type="dxa"/>
            <w:tcBorders>
              <w:top w:val="single" w:sz="4" w:space="0" w:color="000000"/>
              <w:left w:val="single" w:sz="4" w:space="0" w:color="000000"/>
            </w:tcBorders>
          </w:tcPr>
          <w:p w14:paraId="24D61DF6" w14:textId="77777777" w:rsidR="00245300" w:rsidRPr="00EC20A0" w:rsidRDefault="00F17249">
            <w:pPr>
              <w:pStyle w:val="TableParagraph"/>
              <w:spacing w:before="121"/>
              <w:ind w:left="110"/>
            </w:pPr>
            <w:r w:rsidRPr="00EC20A0">
              <w:t>No</w:t>
            </w:r>
            <w:r w:rsidRPr="00EC20A0">
              <w:rPr>
                <w:spacing w:val="-4"/>
              </w:rPr>
              <w:t xml:space="preserve"> </w:t>
            </w:r>
            <w:r w:rsidRPr="00EC20A0">
              <w:t>action</w:t>
            </w:r>
            <w:r w:rsidRPr="00EC20A0">
              <w:rPr>
                <w:spacing w:val="-4"/>
              </w:rPr>
              <w:t xml:space="preserve"> </w:t>
            </w:r>
            <w:r w:rsidRPr="00EC20A0">
              <w:t>is</w:t>
            </w:r>
            <w:r w:rsidRPr="00EC20A0">
              <w:rPr>
                <w:spacing w:val="-5"/>
              </w:rPr>
              <w:t xml:space="preserve"> </w:t>
            </w:r>
            <w:r w:rsidRPr="00EC20A0">
              <w:rPr>
                <w:spacing w:val="-2"/>
              </w:rPr>
              <w:t>required.</w:t>
            </w:r>
          </w:p>
        </w:tc>
      </w:tr>
    </w:tbl>
    <w:p w14:paraId="24D61DF8" w14:textId="77777777" w:rsidR="00245300" w:rsidRPr="00EC20A0" w:rsidRDefault="00F17249">
      <w:pPr>
        <w:pStyle w:val="ListParagraph"/>
        <w:numPr>
          <w:ilvl w:val="0"/>
          <w:numId w:val="68"/>
        </w:numPr>
        <w:tabs>
          <w:tab w:val="left" w:pos="1639"/>
        </w:tabs>
        <w:spacing w:before="104"/>
        <w:ind w:left="1639" w:hanging="719"/>
      </w:pPr>
      <w:r w:rsidRPr="00EC20A0">
        <w:t>Although</w:t>
      </w:r>
      <w:r w:rsidRPr="00EC20A0">
        <w:rPr>
          <w:spacing w:val="-7"/>
        </w:rPr>
        <w:t xml:space="preserve"> </w:t>
      </w:r>
      <w:r w:rsidRPr="00EC20A0">
        <w:t>management</w:t>
      </w:r>
      <w:r w:rsidRPr="00EC20A0">
        <w:rPr>
          <w:spacing w:val="-6"/>
        </w:rPr>
        <w:t xml:space="preserve"> </w:t>
      </w:r>
      <w:r w:rsidRPr="00EC20A0">
        <w:t>often</w:t>
      </w:r>
      <w:r w:rsidRPr="00EC20A0">
        <w:rPr>
          <w:spacing w:val="-6"/>
        </w:rPr>
        <w:t xml:space="preserve"> </w:t>
      </w:r>
      <w:r w:rsidRPr="00EC20A0">
        <w:t>relies</w:t>
      </w:r>
      <w:r w:rsidRPr="00EC20A0">
        <w:rPr>
          <w:spacing w:val="-7"/>
        </w:rPr>
        <w:t xml:space="preserve"> </w:t>
      </w:r>
      <w:r w:rsidRPr="00EC20A0">
        <w:t>on</w:t>
      </w:r>
      <w:r w:rsidRPr="00EC20A0">
        <w:rPr>
          <w:spacing w:val="-6"/>
        </w:rPr>
        <w:t xml:space="preserve"> </w:t>
      </w:r>
      <w:r w:rsidRPr="00EC20A0">
        <w:t>the</w:t>
      </w:r>
      <w:r w:rsidRPr="00EC20A0">
        <w:rPr>
          <w:spacing w:val="-7"/>
        </w:rPr>
        <w:t xml:space="preserve"> </w:t>
      </w:r>
      <w:r w:rsidRPr="00EC20A0">
        <w:t>advice</w:t>
      </w:r>
      <w:r w:rsidRPr="00EC20A0">
        <w:rPr>
          <w:spacing w:val="-6"/>
        </w:rPr>
        <w:t xml:space="preserve"> </w:t>
      </w:r>
      <w:r w:rsidRPr="00EC20A0">
        <w:t>of</w:t>
      </w:r>
      <w:r w:rsidRPr="00EC20A0">
        <w:rPr>
          <w:spacing w:val="-6"/>
        </w:rPr>
        <w:t xml:space="preserve"> </w:t>
      </w:r>
      <w:r w:rsidRPr="00EC20A0">
        <w:t>legal</w:t>
      </w:r>
      <w:r w:rsidRPr="00EC20A0">
        <w:rPr>
          <w:spacing w:val="-6"/>
        </w:rPr>
        <w:t xml:space="preserve"> </w:t>
      </w:r>
      <w:r w:rsidRPr="00EC20A0">
        <w:t>counsel</w:t>
      </w:r>
      <w:r w:rsidRPr="00EC20A0">
        <w:rPr>
          <w:spacing w:val="-6"/>
        </w:rPr>
        <w:t xml:space="preserve"> </w:t>
      </w:r>
      <w:r w:rsidRPr="00EC20A0">
        <w:t>about</w:t>
      </w:r>
      <w:r w:rsidRPr="00EC20A0">
        <w:rPr>
          <w:spacing w:val="-8"/>
        </w:rPr>
        <w:t xml:space="preserve"> </w:t>
      </w:r>
      <w:r w:rsidRPr="00EC20A0">
        <w:rPr>
          <w:spacing w:val="-5"/>
        </w:rPr>
        <w:t>the</w:t>
      </w:r>
    </w:p>
    <w:p w14:paraId="24D61DF9" w14:textId="77777777" w:rsidR="00245300" w:rsidRPr="00EC20A0" w:rsidRDefault="00F17249">
      <w:pPr>
        <w:pStyle w:val="ListParagraph"/>
        <w:numPr>
          <w:ilvl w:val="0"/>
          <w:numId w:val="67"/>
        </w:numPr>
        <w:tabs>
          <w:tab w:val="left" w:pos="1968"/>
        </w:tabs>
        <w:spacing w:before="1"/>
        <w:ind w:right="406" w:firstLine="0"/>
      </w:pPr>
      <w:r w:rsidRPr="00EC20A0">
        <w:t>likelihood of an unfavorable outcome and (b) estimates of the amount or range of potential loss for litigation, claims, and assessments, management is ultimately</w:t>
      </w:r>
      <w:r w:rsidRPr="00EC20A0">
        <w:rPr>
          <w:spacing w:val="-5"/>
        </w:rPr>
        <w:t xml:space="preserve"> </w:t>
      </w:r>
      <w:r w:rsidRPr="00EC20A0">
        <w:t>responsible</w:t>
      </w:r>
      <w:r w:rsidRPr="00EC20A0">
        <w:rPr>
          <w:spacing w:val="-6"/>
        </w:rPr>
        <w:t xml:space="preserve"> </w:t>
      </w:r>
      <w:r w:rsidRPr="00EC20A0">
        <w:t>for</w:t>
      </w:r>
      <w:r w:rsidRPr="00EC20A0">
        <w:rPr>
          <w:spacing w:val="-5"/>
        </w:rPr>
        <w:t xml:space="preserve"> </w:t>
      </w:r>
      <w:r w:rsidRPr="00EC20A0">
        <w:t>determining</w:t>
      </w:r>
      <w:r w:rsidRPr="00EC20A0">
        <w:rPr>
          <w:spacing w:val="-5"/>
        </w:rPr>
        <w:t xml:space="preserve"> </w:t>
      </w:r>
      <w:r w:rsidRPr="00EC20A0">
        <w:t>whether</w:t>
      </w:r>
      <w:r w:rsidRPr="00EC20A0">
        <w:rPr>
          <w:spacing w:val="-5"/>
        </w:rPr>
        <w:t xml:space="preserve"> </w:t>
      </w:r>
      <w:r w:rsidRPr="00EC20A0">
        <w:t>these</w:t>
      </w:r>
      <w:r w:rsidRPr="00EC20A0">
        <w:rPr>
          <w:spacing w:val="-5"/>
        </w:rPr>
        <w:t xml:space="preserve"> </w:t>
      </w:r>
      <w:r w:rsidRPr="00EC20A0">
        <w:t>contingencies</w:t>
      </w:r>
      <w:r w:rsidRPr="00EC20A0">
        <w:rPr>
          <w:spacing w:val="-5"/>
        </w:rPr>
        <w:t xml:space="preserve"> </w:t>
      </w:r>
      <w:r w:rsidRPr="00EC20A0">
        <w:t>are</w:t>
      </w:r>
      <w:r w:rsidRPr="00EC20A0">
        <w:rPr>
          <w:spacing w:val="-5"/>
        </w:rPr>
        <w:t xml:space="preserve"> </w:t>
      </w:r>
      <w:r w:rsidRPr="00EC20A0">
        <w:t>probable, reasonably possible, or remote. Management does this to decide whether these contingencies should be recognized as liabilities, disclosed in the notes to the financial statements, or both. Thus, OMB audit guidance requires entity management</w:t>
      </w:r>
      <w:r w:rsidRPr="00EC20A0">
        <w:rPr>
          <w:spacing w:val="-3"/>
        </w:rPr>
        <w:t xml:space="preserve"> </w:t>
      </w:r>
      <w:r w:rsidRPr="00EC20A0">
        <w:t>to</w:t>
      </w:r>
      <w:r w:rsidRPr="00EC20A0">
        <w:rPr>
          <w:spacing w:val="-3"/>
        </w:rPr>
        <w:t xml:space="preserve"> </w:t>
      </w:r>
      <w:r w:rsidRPr="00EC20A0">
        <w:t>(a)</w:t>
      </w:r>
      <w:r w:rsidRPr="00EC20A0">
        <w:rPr>
          <w:spacing w:val="-3"/>
        </w:rPr>
        <w:t xml:space="preserve"> </w:t>
      </w:r>
      <w:r w:rsidRPr="00EC20A0">
        <w:t>document</w:t>
      </w:r>
      <w:r w:rsidRPr="00EC20A0">
        <w:rPr>
          <w:spacing w:val="-3"/>
        </w:rPr>
        <w:t xml:space="preserve"> </w:t>
      </w:r>
      <w:r w:rsidRPr="00EC20A0">
        <w:t>in</w:t>
      </w:r>
      <w:r w:rsidRPr="00EC20A0">
        <w:rPr>
          <w:spacing w:val="-3"/>
        </w:rPr>
        <w:t xml:space="preserve"> </w:t>
      </w:r>
      <w:r w:rsidRPr="00EC20A0">
        <w:t>a</w:t>
      </w:r>
      <w:r w:rsidRPr="00EC20A0">
        <w:rPr>
          <w:spacing w:val="-3"/>
        </w:rPr>
        <w:t xml:space="preserve"> </w:t>
      </w:r>
      <w:r w:rsidRPr="00EC20A0">
        <w:t>schedule</w:t>
      </w:r>
      <w:r w:rsidRPr="00EC20A0">
        <w:rPr>
          <w:spacing w:val="-3"/>
        </w:rPr>
        <w:t xml:space="preserve"> </w:t>
      </w:r>
      <w:r w:rsidRPr="00EC20A0">
        <w:t>how</w:t>
      </w:r>
      <w:r w:rsidRPr="00EC20A0">
        <w:rPr>
          <w:spacing w:val="-3"/>
        </w:rPr>
        <w:t xml:space="preserve"> </w:t>
      </w:r>
      <w:r w:rsidRPr="00EC20A0">
        <w:t>the</w:t>
      </w:r>
      <w:r w:rsidRPr="00EC20A0">
        <w:rPr>
          <w:spacing w:val="-3"/>
        </w:rPr>
        <w:t xml:space="preserve"> </w:t>
      </w:r>
      <w:r w:rsidRPr="00EC20A0">
        <w:t>information</w:t>
      </w:r>
      <w:r w:rsidRPr="00EC20A0">
        <w:rPr>
          <w:spacing w:val="-3"/>
        </w:rPr>
        <w:t xml:space="preserve"> </w:t>
      </w:r>
      <w:r w:rsidRPr="00EC20A0">
        <w:t>contained</w:t>
      </w:r>
      <w:r w:rsidRPr="00EC20A0">
        <w:rPr>
          <w:spacing w:val="-3"/>
        </w:rPr>
        <w:t xml:space="preserve"> </w:t>
      </w:r>
      <w:r w:rsidRPr="00EC20A0">
        <w:t>in</w:t>
      </w:r>
      <w:r w:rsidRPr="00EC20A0">
        <w:rPr>
          <w:spacing w:val="-3"/>
        </w:rPr>
        <w:t xml:space="preserve"> </w:t>
      </w:r>
      <w:r w:rsidRPr="00EC20A0">
        <w:t>the</w:t>
      </w:r>
    </w:p>
    <w:p w14:paraId="24D61DFA" w14:textId="77777777" w:rsidR="00245300" w:rsidRPr="00EC20A0" w:rsidRDefault="00F17249">
      <w:pPr>
        <w:pStyle w:val="BodyText"/>
        <w:spacing w:before="209"/>
        <w:rPr>
          <w:sz w:val="20"/>
        </w:rPr>
      </w:pPr>
      <w:r w:rsidRPr="00EC20A0">
        <w:rPr>
          <w:noProof/>
        </w:rPr>
        <mc:AlternateContent>
          <mc:Choice Requires="wps">
            <w:drawing>
              <wp:anchor distT="0" distB="0" distL="0" distR="0" simplePos="0" relativeHeight="487725056" behindDoc="1" locked="0" layoutInCell="1" allowOverlap="1" wp14:anchorId="24D62CCD" wp14:editId="24D62CCE">
                <wp:simplePos x="0" y="0"/>
                <wp:positionH relativeFrom="page">
                  <wp:posOffset>914400</wp:posOffset>
                </wp:positionH>
                <wp:positionV relativeFrom="paragraph">
                  <wp:posOffset>294241</wp:posOffset>
                </wp:positionV>
                <wp:extent cx="1828800" cy="5715"/>
                <wp:effectExtent l="0" t="0" r="0" b="0"/>
                <wp:wrapTopAndBottom/>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82F35" id="Graphic 939" o:spid="_x0000_s1026" style="position:absolute;margin-left:1in;margin-top:23.15pt;width:2in;height:.45pt;z-index:-155914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" path="m1828800,l,,,5333r1828800,l1828800,xe" fillcolor="black" stroked="f">
                <v:path arrowok="t"/>
                <w10:wrap type="topAndBottom" anchorx="page"/>
              </v:shape>
            </w:pict>
          </mc:Fallback>
        </mc:AlternateContent>
      </w:r>
    </w:p>
    <w:p w14:paraId="24D61DFB" w14:textId="77777777" w:rsidR="00245300" w:rsidRPr="00EC20A0" w:rsidRDefault="00F17249">
      <w:pPr>
        <w:spacing w:before="202" w:line="242" w:lineRule="auto"/>
        <w:ind w:left="199" w:right="405"/>
        <w:rPr>
          <w:sz w:val="18"/>
        </w:rPr>
      </w:pPr>
      <w:bookmarkStart w:id="390" w:name="_bookmark218"/>
      <w:bookmarkEnd w:id="390"/>
      <w:r w:rsidRPr="00EC20A0">
        <w:rPr>
          <w:position w:val="7"/>
          <w:sz w:val="14"/>
        </w:rPr>
        <w:t>8</w:t>
      </w:r>
      <w:r w:rsidRPr="00EC20A0">
        <w:rPr>
          <w:sz w:val="18"/>
        </w:rPr>
        <w:t>The</w:t>
      </w:r>
      <w:r w:rsidRPr="00EC20A0">
        <w:rPr>
          <w:spacing w:val="-1"/>
          <w:sz w:val="18"/>
        </w:rPr>
        <w:t xml:space="preserve"> </w:t>
      </w:r>
      <w:r w:rsidRPr="00EC20A0">
        <w:rPr>
          <w:sz w:val="18"/>
        </w:rPr>
        <w:t>financial</w:t>
      </w:r>
      <w:r w:rsidRPr="00EC20A0">
        <w:rPr>
          <w:spacing w:val="-1"/>
          <w:sz w:val="18"/>
        </w:rPr>
        <w:t xml:space="preserve"> </w:t>
      </w:r>
      <w:r w:rsidRPr="00EC20A0">
        <w:rPr>
          <w:sz w:val="18"/>
        </w:rPr>
        <w:t>reporting</w:t>
      </w:r>
      <w:r w:rsidRPr="00EC20A0">
        <w:rPr>
          <w:spacing w:val="-2"/>
          <w:sz w:val="18"/>
        </w:rPr>
        <w:t xml:space="preserve"> </w:t>
      </w:r>
      <w:r w:rsidRPr="00EC20A0">
        <w:rPr>
          <w:sz w:val="18"/>
        </w:rPr>
        <w:t>treatment</w:t>
      </w:r>
      <w:r w:rsidRPr="00EC20A0">
        <w:rPr>
          <w:spacing w:val="-1"/>
          <w:sz w:val="18"/>
        </w:rPr>
        <w:t xml:space="preserve"> </w:t>
      </w:r>
      <w:r w:rsidRPr="00EC20A0">
        <w:rPr>
          <w:sz w:val="18"/>
        </w:rPr>
        <w:t>for</w:t>
      </w:r>
      <w:r w:rsidRPr="00EC20A0">
        <w:rPr>
          <w:spacing w:val="-1"/>
          <w:sz w:val="18"/>
        </w:rPr>
        <w:t xml:space="preserve"> </w:t>
      </w:r>
      <w:r w:rsidRPr="00EC20A0">
        <w:rPr>
          <w:sz w:val="18"/>
        </w:rPr>
        <w:t>cases</w:t>
      </w:r>
      <w:r w:rsidRPr="00EC20A0">
        <w:rPr>
          <w:spacing w:val="-1"/>
          <w:sz w:val="18"/>
        </w:rPr>
        <w:t xml:space="preserve"> </w:t>
      </w:r>
      <w:r w:rsidRPr="00EC20A0">
        <w:rPr>
          <w:sz w:val="18"/>
        </w:rPr>
        <w:t>where</w:t>
      </w:r>
      <w:r w:rsidRPr="00EC20A0">
        <w:rPr>
          <w:spacing w:val="-2"/>
          <w:sz w:val="18"/>
        </w:rPr>
        <w:t xml:space="preserve"> </w:t>
      </w:r>
      <w:r w:rsidRPr="00EC20A0">
        <w:rPr>
          <w:sz w:val="18"/>
        </w:rPr>
        <w:t>the</w:t>
      </w:r>
      <w:r w:rsidRPr="00EC20A0">
        <w:rPr>
          <w:spacing w:val="-2"/>
          <w:sz w:val="18"/>
        </w:rPr>
        <w:t xml:space="preserve"> </w:t>
      </w:r>
      <w:r w:rsidRPr="00EC20A0">
        <w:rPr>
          <w:sz w:val="18"/>
        </w:rPr>
        <w:t>likelihood</w:t>
      </w:r>
      <w:r w:rsidRPr="00EC20A0">
        <w:rPr>
          <w:spacing w:val="-1"/>
          <w:sz w:val="18"/>
        </w:rPr>
        <w:t xml:space="preserve"> </w:t>
      </w:r>
      <w:r w:rsidRPr="00EC20A0">
        <w:rPr>
          <w:sz w:val="18"/>
        </w:rPr>
        <w:t>of</w:t>
      </w:r>
      <w:r w:rsidRPr="00EC20A0">
        <w:rPr>
          <w:spacing w:val="-1"/>
          <w:sz w:val="18"/>
        </w:rPr>
        <w:t xml:space="preserve"> </w:t>
      </w:r>
      <w:r w:rsidRPr="00EC20A0">
        <w:rPr>
          <w:sz w:val="18"/>
        </w:rPr>
        <w:t>future</w:t>
      </w:r>
      <w:r w:rsidRPr="00EC20A0">
        <w:rPr>
          <w:spacing w:val="-2"/>
          <w:sz w:val="18"/>
        </w:rPr>
        <w:t xml:space="preserve"> </w:t>
      </w:r>
      <w:r w:rsidRPr="00EC20A0">
        <w:rPr>
          <w:sz w:val="18"/>
        </w:rPr>
        <w:t>outflow</w:t>
      </w:r>
      <w:r w:rsidRPr="00EC20A0">
        <w:rPr>
          <w:spacing w:val="-1"/>
          <w:sz w:val="18"/>
        </w:rPr>
        <w:t xml:space="preserve"> </w:t>
      </w:r>
      <w:r w:rsidRPr="00EC20A0">
        <w:rPr>
          <w:sz w:val="18"/>
        </w:rPr>
        <w:t>or</w:t>
      </w:r>
      <w:r w:rsidRPr="00EC20A0">
        <w:rPr>
          <w:spacing w:val="-1"/>
          <w:sz w:val="18"/>
        </w:rPr>
        <w:t xml:space="preserve"> </w:t>
      </w:r>
      <w:r w:rsidRPr="00EC20A0">
        <w:rPr>
          <w:sz w:val="18"/>
        </w:rPr>
        <w:t>other sacrifice</w:t>
      </w:r>
      <w:r w:rsidRPr="00EC20A0">
        <w:rPr>
          <w:spacing w:val="-2"/>
          <w:sz w:val="18"/>
        </w:rPr>
        <w:t xml:space="preserve"> </w:t>
      </w:r>
      <w:r w:rsidRPr="00EC20A0">
        <w:rPr>
          <w:sz w:val="18"/>
        </w:rPr>
        <w:t>of</w:t>
      </w:r>
      <w:r w:rsidRPr="00EC20A0">
        <w:rPr>
          <w:spacing w:val="-1"/>
          <w:sz w:val="18"/>
        </w:rPr>
        <w:t xml:space="preserve"> </w:t>
      </w:r>
      <w:r w:rsidRPr="00EC20A0">
        <w:rPr>
          <w:sz w:val="18"/>
        </w:rPr>
        <w:t>resources</w:t>
      </w:r>
      <w:r w:rsidRPr="00EC20A0">
        <w:rPr>
          <w:spacing w:val="-1"/>
          <w:sz w:val="18"/>
        </w:rPr>
        <w:t xml:space="preserve"> </w:t>
      </w:r>
      <w:r w:rsidRPr="00EC20A0">
        <w:rPr>
          <w:sz w:val="18"/>
        </w:rPr>
        <w:t xml:space="preserve">is assessed as “unable to determine” should be consistent with the disclosure requirements for reasonably possible cases. Per the </w:t>
      </w:r>
      <w:r w:rsidRPr="00EC20A0">
        <w:rPr>
          <w:i/>
          <w:sz w:val="18"/>
        </w:rPr>
        <w:t>Treasury Financial Manual</w:t>
      </w:r>
      <w:r w:rsidRPr="00EC20A0">
        <w:rPr>
          <w:sz w:val="18"/>
        </w:rPr>
        <w:t>, entities significant to the consolidated financial statements of the U.S. government should avoid excessive use (and misuse) of the "unable to determine" assessment. This likelihood should</w:t>
      </w:r>
      <w:r w:rsidRPr="00EC20A0">
        <w:rPr>
          <w:spacing w:val="-3"/>
          <w:sz w:val="18"/>
        </w:rPr>
        <w:t xml:space="preserve"> </w:t>
      </w:r>
      <w:r w:rsidRPr="00EC20A0">
        <w:rPr>
          <w:sz w:val="18"/>
        </w:rPr>
        <w:t>only</w:t>
      </w:r>
      <w:r w:rsidRPr="00EC20A0">
        <w:rPr>
          <w:spacing w:val="-2"/>
          <w:sz w:val="18"/>
        </w:rPr>
        <w:t xml:space="preserve"> </w:t>
      </w:r>
      <w:r w:rsidRPr="00EC20A0">
        <w:rPr>
          <w:sz w:val="18"/>
        </w:rPr>
        <w:t>be</w:t>
      </w:r>
      <w:r w:rsidRPr="00EC20A0">
        <w:rPr>
          <w:spacing w:val="-1"/>
          <w:sz w:val="18"/>
        </w:rPr>
        <w:t xml:space="preserve"> </w:t>
      </w:r>
      <w:r w:rsidRPr="00EC20A0">
        <w:rPr>
          <w:sz w:val="18"/>
        </w:rPr>
        <w:t>used</w:t>
      </w:r>
      <w:r w:rsidRPr="00EC20A0">
        <w:rPr>
          <w:spacing w:val="-3"/>
          <w:sz w:val="18"/>
        </w:rPr>
        <w:t xml:space="preserve"> </w:t>
      </w:r>
      <w:r w:rsidRPr="00EC20A0">
        <w:rPr>
          <w:sz w:val="18"/>
        </w:rPr>
        <w:t>to</w:t>
      </w:r>
      <w:r w:rsidRPr="00EC20A0">
        <w:rPr>
          <w:spacing w:val="-3"/>
          <w:sz w:val="18"/>
        </w:rPr>
        <w:t xml:space="preserve"> </w:t>
      </w:r>
      <w:r w:rsidRPr="00EC20A0">
        <w:rPr>
          <w:sz w:val="18"/>
        </w:rPr>
        <w:t>categorize</w:t>
      </w:r>
      <w:r w:rsidRPr="00EC20A0">
        <w:rPr>
          <w:spacing w:val="-2"/>
          <w:sz w:val="18"/>
        </w:rPr>
        <w:t xml:space="preserve"> </w:t>
      </w:r>
      <w:r w:rsidRPr="00EC20A0">
        <w:rPr>
          <w:sz w:val="18"/>
        </w:rPr>
        <w:t>cases</w:t>
      </w:r>
      <w:r w:rsidRPr="00EC20A0">
        <w:rPr>
          <w:spacing w:val="-2"/>
          <w:sz w:val="18"/>
        </w:rPr>
        <w:t xml:space="preserve"> </w:t>
      </w:r>
      <w:r w:rsidRPr="00EC20A0">
        <w:rPr>
          <w:sz w:val="18"/>
        </w:rPr>
        <w:t>for</w:t>
      </w:r>
      <w:r w:rsidRPr="00EC20A0">
        <w:rPr>
          <w:spacing w:val="-1"/>
          <w:sz w:val="18"/>
        </w:rPr>
        <w:t xml:space="preserve"> </w:t>
      </w:r>
      <w:r w:rsidRPr="00EC20A0">
        <w:rPr>
          <w:sz w:val="18"/>
        </w:rPr>
        <w:t>which</w:t>
      </w:r>
      <w:r w:rsidRPr="00EC20A0">
        <w:rPr>
          <w:spacing w:val="-3"/>
          <w:sz w:val="18"/>
        </w:rPr>
        <w:t xml:space="preserve"> </w:t>
      </w:r>
      <w:r w:rsidRPr="00EC20A0">
        <w:rPr>
          <w:sz w:val="18"/>
        </w:rPr>
        <w:t>the</w:t>
      </w:r>
      <w:r w:rsidRPr="00EC20A0">
        <w:rPr>
          <w:spacing w:val="-3"/>
          <w:sz w:val="18"/>
        </w:rPr>
        <w:t xml:space="preserve"> </w:t>
      </w:r>
      <w:r w:rsidRPr="00EC20A0">
        <w:rPr>
          <w:sz w:val="18"/>
        </w:rPr>
        <w:t>general</w:t>
      </w:r>
      <w:r w:rsidRPr="00EC20A0">
        <w:rPr>
          <w:spacing w:val="-2"/>
          <w:sz w:val="18"/>
        </w:rPr>
        <w:t xml:space="preserve"> </w:t>
      </w:r>
      <w:r w:rsidRPr="00EC20A0">
        <w:rPr>
          <w:sz w:val="18"/>
        </w:rPr>
        <w:t>counsel</w:t>
      </w:r>
      <w:r w:rsidRPr="00EC20A0">
        <w:rPr>
          <w:spacing w:val="-2"/>
          <w:sz w:val="18"/>
        </w:rPr>
        <w:t xml:space="preserve"> </w:t>
      </w:r>
      <w:r w:rsidRPr="00EC20A0">
        <w:rPr>
          <w:sz w:val="18"/>
        </w:rPr>
        <w:t>is</w:t>
      </w:r>
      <w:r w:rsidRPr="00EC20A0">
        <w:rPr>
          <w:spacing w:val="-2"/>
          <w:sz w:val="18"/>
        </w:rPr>
        <w:t xml:space="preserve"> </w:t>
      </w:r>
      <w:r w:rsidRPr="00EC20A0">
        <w:rPr>
          <w:sz w:val="18"/>
        </w:rPr>
        <w:t>unable</w:t>
      </w:r>
      <w:r w:rsidRPr="00EC20A0">
        <w:rPr>
          <w:spacing w:val="-3"/>
          <w:sz w:val="18"/>
        </w:rPr>
        <w:t xml:space="preserve"> </w:t>
      </w:r>
      <w:r w:rsidRPr="00EC20A0">
        <w:rPr>
          <w:sz w:val="18"/>
        </w:rPr>
        <w:t>to</w:t>
      </w:r>
      <w:r w:rsidRPr="00EC20A0">
        <w:rPr>
          <w:spacing w:val="-3"/>
          <w:sz w:val="18"/>
        </w:rPr>
        <w:t xml:space="preserve"> </w:t>
      </w:r>
      <w:r w:rsidRPr="00EC20A0">
        <w:rPr>
          <w:sz w:val="18"/>
        </w:rPr>
        <w:t>express</w:t>
      </w:r>
      <w:r w:rsidRPr="00EC20A0">
        <w:rPr>
          <w:spacing w:val="-2"/>
          <w:sz w:val="18"/>
        </w:rPr>
        <w:t xml:space="preserve"> </w:t>
      </w:r>
      <w:r w:rsidRPr="00EC20A0">
        <w:rPr>
          <w:sz w:val="18"/>
        </w:rPr>
        <w:t>an</w:t>
      </w:r>
      <w:r w:rsidRPr="00EC20A0">
        <w:rPr>
          <w:spacing w:val="-3"/>
          <w:sz w:val="18"/>
        </w:rPr>
        <w:t xml:space="preserve"> </w:t>
      </w:r>
      <w:r w:rsidRPr="00EC20A0">
        <w:rPr>
          <w:sz w:val="18"/>
        </w:rPr>
        <w:t>opinion</w:t>
      </w:r>
      <w:r w:rsidRPr="00EC20A0">
        <w:rPr>
          <w:spacing w:val="-3"/>
          <w:sz w:val="18"/>
        </w:rPr>
        <w:t xml:space="preserve"> </w:t>
      </w:r>
      <w:r w:rsidRPr="00EC20A0">
        <w:rPr>
          <w:sz w:val="18"/>
        </w:rPr>
        <w:t>because</w:t>
      </w:r>
      <w:r w:rsidRPr="00EC20A0">
        <w:rPr>
          <w:spacing w:val="-3"/>
          <w:sz w:val="18"/>
        </w:rPr>
        <w:t xml:space="preserve"> </w:t>
      </w:r>
      <w:r w:rsidRPr="00EC20A0">
        <w:rPr>
          <w:sz w:val="18"/>
        </w:rPr>
        <w:t>of inherent uncertainties.</w:t>
      </w:r>
    </w:p>
    <w:p w14:paraId="24D61DFC"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DFD" w14:textId="77777777" w:rsidR="00245300" w:rsidRPr="00EC20A0" w:rsidRDefault="00F17249">
      <w:pPr>
        <w:pStyle w:val="BodyText"/>
        <w:spacing w:before="121"/>
        <w:ind w:left="1640"/>
      </w:pPr>
      <w:r w:rsidRPr="00EC20A0">
        <w:t>legal</w:t>
      </w:r>
      <w:r w:rsidRPr="00EC20A0">
        <w:rPr>
          <w:spacing w:val="-8"/>
        </w:rPr>
        <w:t xml:space="preserve"> </w:t>
      </w:r>
      <w:r w:rsidRPr="00EC20A0">
        <w:t>counsel</w:t>
      </w:r>
      <w:r w:rsidRPr="00EC20A0">
        <w:rPr>
          <w:spacing w:val="-8"/>
        </w:rPr>
        <w:t xml:space="preserve"> </w:t>
      </w:r>
      <w:r w:rsidRPr="00EC20A0">
        <w:t>response</w:t>
      </w:r>
      <w:r w:rsidRPr="00EC20A0">
        <w:rPr>
          <w:spacing w:val="-8"/>
        </w:rPr>
        <w:t xml:space="preserve"> </w:t>
      </w:r>
      <w:r w:rsidRPr="00EC20A0">
        <w:t>was</w:t>
      </w:r>
      <w:r w:rsidRPr="00EC20A0">
        <w:rPr>
          <w:spacing w:val="-8"/>
        </w:rPr>
        <w:t xml:space="preserve"> </w:t>
      </w:r>
      <w:r w:rsidRPr="00EC20A0">
        <w:t>considered</w:t>
      </w:r>
      <w:r w:rsidRPr="00EC20A0">
        <w:rPr>
          <w:spacing w:val="-8"/>
        </w:rPr>
        <w:t xml:space="preserve"> </w:t>
      </w:r>
      <w:r w:rsidRPr="00EC20A0">
        <w:t>in</w:t>
      </w:r>
      <w:r w:rsidRPr="00EC20A0">
        <w:rPr>
          <w:spacing w:val="-8"/>
        </w:rPr>
        <w:t xml:space="preserve"> </w:t>
      </w:r>
      <w:r w:rsidRPr="00EC20A0">
        <w:t>preparing</w:t>
      </w:r>
      <w:r w:rsidRPr="00EC20A0">
        <w:rPr>
          <w:spacing w:val="-7"/>
        </w:rPr>
        <w:t xml:space="preserve"> </w:t>
      </w:r>
      <w:r w:rsidRPr="00EC20A0">
        <w:t>the</w:t>
      </w:r>
      <w:r w:rsidRPr="00EC20A0">
        <w:rPr>
          <w:spacing w:val="-8"/>
        </w:rPr>
        <w:t xml:space="preserve"> </w:t>
      </w:r>
      <w:r w:rsidRPr="00EC20A0">
        <w:t>financial</w:t>
      </w:r>
      <w:r w:rsidRPr="00EC20A0">
        <w:rPr>
          <w:spacing w:val="-8"/>
        </w:rPr>
        <w:t xml:space="preserve"> </w:t>
      </w:r>
      <w:r w:rsidRPr="00EC20A0">
        <w:t>statements</w:t>
      </w:r>
      <w:r w:rsidRPr="00EC20A0">
        <w:rPr>
          <w:spacing w:val="-7"/>
        </w:rPr>
        <w:t xml:space="preserve"> </w:t>
      </w:r>
      <w:r w:rsidRPr="00EC20A0">
        <w:rPr>
          <w:spacing w:val="-5"/>
        </w:rPr>
        <w:t>and</w:t>
      </w:r>
    </w:p>
    <w:p w14:paraId="24D61DFE" w14:textId="77777777" w:rsidR="00245300" w:rsidRPr="00EC20A0" w:rsidRDefault="00F17249">
      <w:pPr>
        <w:pStyle w:val="ListParagraph"/>
        <w:numPr>
          <w:ilvl w:val="0"/>
          <w:numId w:val="67"/>
        </w:numPr>
        <w:tabs>
          <w:tab w:val="left" w:pos="1639"/>
          <w:tab w:val="left" w:pos="1966"/>
        </w:tabs>
        <w:spacing w:before="0"/>
        <w:ind w:left="1639" w:right="491" w:hanging="1"/>
      </w:pPr>
      <w:r w:rsidRPr="00EC20A0">
        <w:t>provide this schedule to the auditor as soon as practical after the legal counsel</w:t>
      </w:r>
      <w:r w:rsidRPr="00EC20A0">
        <w:rPr>
          <w:spacing w:val="-4"/>
        </w:rPr>
        <w:t xml:space="preserve"> </w:t>
      </w:r>
      <w:r w:rsidRPr="00EC20A0">
        <w:t>response</w:t>
      </w:r>
      <w:r w:rsidRPr="00EC20A0">
        <w:rPr>
          <w:spacing w:val="-4"/>
        </w:rPr>
        <w:t xml:space="preserve"> </w:t>
      </w:r>
      <w:r w:rsidRPr="00EC20A0">
        <w:t>is</w:t>
      </w:r>
      <w:r w:rsidRPr="00EC20A0">
        <w:rPr>
          <w:spacing w:val="-4"/>
        </w:rPr>
        <w:t xml:space="preserve"> </w:t>
      </w:r>
      <w:r w:rsidRPr="00EC20A0">
        <w:t>provided</w:t>
      </w:r>
      <w:r w:rsidRPr="00EC20A0">
        <w:rPr>
          <w:spacing w:val="-4"/>
        </w:rPr>
        <w:t xml:space="preserve"> </w:t>
      </w:r>
      <w:r w:rsidRPr="00EC20A0">
        <w:t>to</w:t>
      </w:r>
      <w:r w:rsidRPr="00EC20A0">
        <w:rPr>
          <w:spacing w:val="-4"/>
        </w:rPr>
        <w:t xml:space="preserve"> </w:t>
      </w:r>
      <w:r w:rsidRPr="00EC20A0">
        <w:t>the</w:t>
      </w:r>
      <w:r w:rsidRPr="00EC20A0">
        <w:rPr>
          <w:spacing w:val="-5"/>
        </w:rPr>
        <w:t xml:space="preserve"> </w:t>
      </w:r>
      <w:r w:rsidRPr="00EC20A0">
        <w:t>auditor.</w:t>
      </w:r>
      <w:r w:rsidRPr="00EC20A0">
        <w:rPr>
          <w:spacing w:val="-4"/>
        </w:rPr>
        <w:t xml:space="preserve"> </w:t>
      </w:r>
      <w:r w:rsidRPr="00EC20A0">
        <w:t>An</w:t>
      </w:r>
      <w:r w:rsidRPr="00EC20A0">
        <w:rPr>
          <w:spacing w:val="-4"/>
        </w:rPr>
        <w:t xml:space="preserve"> </w:t>
      </w:r>
      <w:r w:rsidRPr="00EC20A0">
        <w:t>example</w:t>
      </w:r>
      <w:r w:rsidRPr="00EC20A0">
        <w:rPr>
          <w:spacing w:val="-4"/>
        </w:rPr>
        <w:t xml:space="preserve"> </w:t>
      </w:r>
      <w:r w:rsidRPr="00EC20A0">
        <w:t>management</w:t>
      </w:r>
      <w:r w:rsidRPr="00EC20A0">
        <w:rPr>
          <w:spacing w:val="-4"/>
        </w:rPr>
        <w:t xml:space="preserve"> </w:t>
      </w:r>
      <w:r w:rsidRPr="00EC20A0">
        <w:t>schedule is provided at FAM 1002 D.</w:t>
      </w:r>
    </w:p>
    <w:p w14:paraId="24D61DFF" w14:textId="77777777" w:rsidR="00245300" w:rsidRPr="00EC20A0" w:rsidRDefault="00245300">
      <w:pPr>
        <w:pStyle w:val="BodyText"/>
        <w:spacing w:before="47"/>
      </w:pPr>
    </w:p>
    <w:p w14:paraId="24D61E00" w14:textId="77777777" w:rsidR="00245300" w:rsidRPr="00EC20A0" w:rsidRDefault="00F17249">
      <w:pPr>
        <w:pStyle w:val="Heading4"/>
        <w:spacing w:before="0"/>
        <w:ind w:left="200"/>
      </w:pPr>
      <w:r w:rsidRPr="00EC20A0">
        <w:t>Audit</w:t>
      </w:r>
      <w:r w:rsidRPr="00EC20A0">
        <w:rPr>
          <w:spacing w:val="-10"/>
        </w:rPr>
        <w:t xml:space="preserve"> </w:t>
      </w:r>
      <w:r w:rsidRPr="00EC20A0">
        <w:rPr>
          <w:spacing w:val="-2"/>
        </w:rPr>
        <w:t>Procedures</w:t>
      </w:r>
    </w:p>
    <w:p w14:paraId="24D61E01" w14:textId="77777777" w:rsidR="00245300" w:rsidRPr="00EC20A0" w:rsidRDefault="00F17249">
      <w:pPr>
        <w:pStyle w:val="ListParagraph"/>
        <w:numPr>
          <w:ilvl w:val="0"/>
          <w:numId w:val="68"/>
        </w:numPr>
        <w:tabs>
          <w:tab w:val="left" w:pos="1639"/>
        </w:tabs>
        <w:spacing w:before="299"/>
        <w:ind w:left="1639" w:right="346" w:hanging="720"/>
      </w:pPr>
      <w:r w:rsidRPr="00EC20A0">
        <w:t>As discussed in FAM 280.03, the auditor should design and perform audit procedures to identify litigation, claims, and assessments involving the entity that may</w:t>
      </w:r>
      <w:r w:rsidRPr="00EC20A0">
        <w:rPr>
          <w:spacing w:val="-2"/>
        </w:rPr>
        <w:t xml:space="preserve"> </w:t>
      </w:r>
      <w:r w:rsidRPr="00EC20A0">
        <w:t>give</w:t>
      </w:r>
      <w:r w:rsidRPr="00EC20A0">
        <w:rPr>
          <w:spacing w:val="-2"/>
        </w:rPr>
        <w:t xml:space="preserve"> </w:t>
      </w:r>
      <w:r w:rsidRPr="00EC20A0">
        <w:t>rise</w:t>
      </w:r>
      <w:r w:rsidRPr="00EC20A0">
        <w:rPr>
          <w:spacing w:val="-2"/>
        </w:rPr>
        <w:t xml:space="preserve"> </w:t>
      </w:r>
      <w:r w:rsidRPr="00EC20A0">
        <w:t>to</w:t>
      </w:r>
      <w:r w:rsidRPr="00EC20A0">
        <w:rPr>
          <w:spacing w:val="-2"/>
        </w:rPr>
        <w:t xml:space="preserve"> </w:t>
      </w:r>
      <w:r w:rsidRPr="00EC20A0">
        <w:t>a</w:t>
      </w:r>
      <w:r w:rsidRPr="00EC20A0">
        <w:rPr>
          <w:spacing w:val="-2"/>
        </w:rPr>
        <w:t xml:space="preserve"> </w:t>
      </w:r>
      <w:r w:rsidRPr="00EC20A0">
        <w:t>risk</w:t>
      </w:r>
      <w:r w:rsidRPr="00EC20A0">
        <w:rPr>
          <w:spacing w:val="-2"/>
        </w:rPr>
        <w:t xml:space="preserve"> </w:t>
      </w:r>
      <w:r w:rsidRPr="00EC20A0">
        <w:t>of</w:t>
      </w:r>
      <w:r w:rsidRPr="00EC20A0">
        <w:rPr>
          <w:spacing w:val="-3"/>
        </w:rPr>
        <w:t xml:space="preserve"> </w:t>
      </w:r>
      <w:r w:rsidRPr="00EC20A0">
        <w:t>material</w:t>
      </w:r>
      <w:r w:rsidRPr="00EC20A0">
        <w:rPr>
          <w:spacing w:val="-2"/>
        </w:rPr>
        <w:t xml:space="preserve"> </w:t>
      </w:r>
      <w:r w:rsidRPr="00EC20A0">
        <w:t>misstatement.</w:t>
      </w:r>
      <w:r w:rsidRPr="00EC20A0">
        <w:rPr>
          <w:spacing w:val="-2"/>
        </w:rPr>
        <w:t xml:space="preserve"> </w:t>
      </w:r>
      <w:r w:rsidRPr="00EC20A0">
        <w:t>Such</w:t>
      </w:r>
      <w:r w:rsidRPr="00EC20A0">
        <w:rPr>
          <w:spacing w:val="-2"/>
        </w:rPr>
        <w:t xml:space="preserve"> </w:t>
      </w:r>
      <w:r w:rsidRPr="00EC20A0">
        <w:t>procedures</w:t>
      </w:r>
      <w:r w:rsidRPr="00EC20A0">
        <w:rPr>
          <w:spacing w:val="-2"/>
        </w:rPr>
        <w:t xml:space="preserve"> </w:t>
      </w:r>
      <w:r w:rsidRPr="00EC20A0">
        <w:t>include</w:t>
      </w:r>
      <w:r w:rsidRPr="00EC20A0">
        <w:rPr>
          <w:spacing w:val="-2"/>
        </w:rPr>
        <w:t xml:space="preserve"> </w:t>
      </w:r>
      <w:r w:rsidRPr="00EC20A0">
        <w:t>making inquiries</w:t>
      </w:r>
      <w:r w:rsidRPr="00EC20A0">
        <w:rPr>
          <w:spacing w:val="-4"/>
        </w:rPr>
        <w:t xml:space="preserve"> </w:t>
      </w:r>
      <w:r w:rsidRPr="00EC20A0">
        <w:t>of</w:t>
      </w:r>
      <w:r w:rsidRPr="00EC20A0">
        <w:rPr>
          <w:spacing w:val="-6"/>
        </w:rPr>
        <w:t xml:space="preserve"> </w:t>
      </w:r>
      <w:r w:rsidRPr="00EC20A0">
        <w:t>management,</w:t>
      </w:r>
      <w:r w:rsidRPr="00EC20A0">
        <w:rPr>
          <w:spacing w:val="-4"/>
        </w:rPr>
        <w:t xml:space="preserve"> </w:t>
      </w:r>
      <w:r w:rsidRPr="00EC20A0">
        <w:t>which</w:t>
      </w:r>
      <w:r w:rsidRPr="00EC20A0">
        <w:rPr>
          <w:spacing w:val="-4"/>
        </w:rPr>
        <w:t xml:space="preserve"> </w:t>
      </w:r>
      <w:r w:rsidRPr="00EC20A0">
        <w:t>may</w:t>
      </w:r>
      <w:r w:rsidRPr="00EC20A0">
        <w:rPr>
          <w:spacing w:val="-4"/>
        </w:rPr>
        <w:t xml:space="preserve"> </w:t>
      </w:r>
      <w:r w:rsidRPr="00EC20A0">
        <w:t>involve</w:t>
      </w:r>
      <w:r w:rsidRPr="00EC20A0">
        <w:rPr>
          <w:spacing w:val="-4"/>
        </w:rPr>
        <w:t xml:space="preserve"> </w:t>
      </w:r>
      <w:r w:rsidRPr="00EC20A0">
        <w:t>a</w:t>
      </w:r>
      <w:r w:rsidRPr="00EC20A0">
        <w:rPr>
          <w:spacing w:val="-4"/>
        </w:rPr>
        <w:t xml:space="preserve"> </w:t>
      </w:r>
      <w:r w:rsidRPr="00EC20A0">
        <w:t>discussion</w:t>
      </w:r>
      <w:r w:rsidRPr="00EC20A0">
        <w:rPr>
          <w:spacing w:val="-4"/>
        </w:rPr>
        <w:t xml:space="preserve"> </w:t>
      </w:r>
      <w:r w:rsidRPr="00EC20A0">
        <w:t>about</w:t>
      </w:r>
      <w:r w:rsidRPr="00EC20A0">
        <w:rPr>
          <w:spacing w:val="-4"/>
        </w:rPr>
        <w:t xml:space="preserve"> </w:t>
      </w:r>
      <w:r w:rsidRPr="00EC20A0">
        <w:t>their</w:t>
      </w:r>
      <w:r w:rsidRPr="00EC20A0">
        <w:rPr>
          <w:spacing w:val="-4"/>
        </w:rPr>
        <w:t xml:space="preserve"> </w:t>
      </w:r>
      <w:r w:rsidRPr="00EC20A0">
        <w:t>policies</w:t>
      </w:r>
      <w:r w:rsidRPr="00EC20A0">
        <w:rPr>
          <w:spacing w:val="-4"/>
        </w:rPr>
        <w:t xml:space="preserve"> </w:t>
      </w:r>
      <w:r w:rsidRPr="00EC20A0">
        <w:t xml:space="preserve">and procedures for identifying, evaluating, and accounting for litigation, claims, and assessments. The auditor should also design procedures to test the entity’s accounting for and </w:t>
      </w:r>
      <w:r w:rsidRPr="00EC20A0">
        <w:t>disclosure of litigation, claims, and assessments. See example audit procedures and other practice aids at FAM 1002 A, FAM 1002 B, and FAM 1002 C, which incorporate the applicable AU-C audit requirements.</w:t>
      </w:r>
    </w:p>
    <w:p w14:paraId="24D61E02" w14:textId="77777777" w:rsidR="00245300" w:rsidRPr="00EC20A0" w:rsidRDefault="00F17249">
      <w:pPr>
        <w:pStyle w:val="BodyText"/>
        <w:spacing w:before="1"/>
        <w:ind w:left="1639" w:right="345"/>
      </w:pPr>
      <w:r w:rsidRPr="00EC20A0">
        <w:t>OMB</w:t>
      </w:r>
      <w:r w:rsidRPr="00EC20A0">
        <w:rPr>
          <w:spacing w:val="-5"/>
        </w:rPr>
        <w:t xml:space="preserve"> </w:t>
      </w:r>
      <w:r w:rsidRPr="00EC20A0">
        <w:t>audit</w:t>
      </w:r>
      <w:r w:rsidRPr="00EC20A0">
        <w:rPr>
          <w:spacing w:val="-5"/>
        </w:rPr>
        <w:t xml:space="preserve"> </w:t>
      </w:r>
      <w:r w:rsidRPr="00EC20A0">
        <w:t>guidance</w:t>
      </w:r>
      <w:r w:rsidRPr="00EC20A0">
        <w:rPr>
          <w:spacing w:val="-5"/>
        </w:rPr>
        <w:t xml:space="preserve"> </w:t>
      </w:r>
      <w:r w:rsidRPr="00EC20A0">
        <w:t>also</w:t>
      </w:r>
      <w:r w:rsidRPr="00EC20A0">
        <w:rPr>
          <w:spacing w:val="-5"/>
        </w:rPr>
        <w:t xml:space="preserve"> </w:t>
      </w:r>
      <w:r w:rsidRPr="00EC20A0">
        <w:t>provides</w:t>
      </w:r>
      <w:r w:rsidRPr="00EC20A0">
        <w:rPr>
          <w:spacing w:val="-4"/>
        </w:rPr>
        <w:t xml:space="preserve"> </w:t>
      </w:r>
      <w:r w:rsidRPr="00EC20A0">
        <w:t>procedures</w:t>
      </w:r>
      <w:r w:rsidRPr="00EC20A0">
        <w:rPr>
          <w:spacing w:val="-4"/>
        </w:rPr>
        <w:t xml:space="preserve"> </w:t>
      </w:r>
      <w:r w:rsidRPr="00EC20A0">
        <w:t>related</w:t>
      </w:r>
      <w:r w:rsidRPr="00EC20A0">
        <w:rPr>
          <w:spacing w:val="-5"/>
        </w:rPr>
        <w:t xml:space="preserve"> </w:t>
      </w:r>
      <w:r w:rsidRPr="00EC20A0">
        <w:t>to</w:t>
      </w:r>
      <w:r w:rsidRPr="00EC20A0">
        <w:rPr>
          <w:spacing w:val="-5"/>
        </w:rPr>
        <w:t xml:space="preserve"> </w:t>
      </w:r>
      <w:r w:rsidRPr="00EC20A0">
        <w:t>litigation,</w:t>
      </w:r>
      <w:r w:rsidRPr="00EC20A0">
        <w:rPr>
          <w:spacing w:val="-5"/>
        </w:rPr>
        <w:t xml:space="preserve"> </w:t>
      </w:r>
      <w:r w:rsidRPr="00EC20A0">
        <w:t>claims,</w:t>
      </w:r>
      <w:r w:rsidRPr="00EC20A0">
        <w:rPr>
          <w:spacing w:val="-5"/>
        </w:rPr>
        <w:t xml:space="preserve"> </w:t>
      </w:r>
      <w:r w:rsidRPr="00EC20A0">
        <w:t xml:space="preserve">and </w:t>
      </w:r>
      <w:r w:rsidRPr="00EC20A0">
        <w:rPr>
          <w:spacing w:val="-2"/>
        </w:rPr>
        <w:t>assessments.</w:t>
      </w:r>
    </w:p>
    <w:p w14:paraId="24D61E03" w14:textId="77777777" w:rsidR="00245300" w:rsidRPr="00EC20A0" w:rsidRDefault="00F17249">
      <w:pPr>
        <w:pStyle w:val="ListParagraph"/>
        <w:numPr>
          <w:ilvl w:val="0"/>
          <w:numId w:val="66"/>
        </w:numPr>
        <w:tabs>
          <w:tab w:val="left" w:pos="1639"/>
        </w:tabs>
        <w:spacing w:before="239"/>
        <w:ind w:right="372"/>
      </w:pPr>
      <w:r w:rsidRPr="00EC20A0">
        <w:t>Based</w:t>
      </w:r>
      <w:r w:rsidRPr="00EC20A0">
        <w:rPr>
          <w:spacing w:val="-4"/>
        </w:rPr>
        <w:t xml:space="preserve"> </w:t>
      </w:r>
      <w:r w:rsidRPr="00EC20A0">
        <w:t>on</w:t>
      </w:r>
      <w:r w:rsidRPr="00EC20A0">
        <w:rPr>
          <w:spacing w:val="-4"/>
        </w:rPr>
        <w:t xml:space="preserve"> </w:t>
      </w:r>
      <w:r w:rsidRPr="00EC20A0">
        <w:t>AU-C</w:t>
      </w:r>
      <w:r w:rsidRPr="00EC20A0">
        <w:rPr>
          <w:spacing w:val="-4"/>
        </w:rPr>
        <w:t xml:space="preserve"> </w:t>
      </w:r>
      <w:r w:rsidRPr="00EC20A0">
        <w:t>501.18,</w:t>
      </w:r>
      <w:r w:rsidRPr="00EC20A0">
        <w:rPr>
          <w:spacing w:val="-4"/>
        </w:rPr>
        <w:t xml:space="preserve"> </w:t>
      </w:r>
      <w:r w:rsidRPr="00EC20A0">
        <w:t>for</w:t>
      </w:r>
      <w:r w:rsidRPr="00EC20A0">
        <w:rPr>
          <w:spacing w:val="-4"/>
        </w:rPr>
        <w:t xml:space="preserve"> </w:t>
      </w:r>
      <w:r w:rsidRPr="00EC20A0">
        <w:t>actual</w:t>
      </w:r>
      <w:r w:rsidRPr="00EC20A0">
        <w:rPr>
          <w:spacing w:val="-4"/>
        </w:rPr>
        <w:t xml:space="preserve"> </w:t>
      </w:r>
      <w:r w:rsidRPr="00EC20A0">
        <w:t>or</w:t>
      </w:r>
      <w:r w:rsidRPr="00EC20A0">
        <w:rPr>
          <w:spacing w:val="-5"/>
        </w:rPr>
        <w:t xml:space="preserve"> </w:t>
      </w:r>
      <w:r w:rsidRPr="00EC20A0">
        <w:t>potential</w:t>
      </w:r>
      <w:r w:rsidRPr="00EC20A0">
        <w:rPr>
          <w:spacing w:val="-4"/>
        </w:rPr>
        <w:t xml:space="preserve"> </w:t>
      </w:r>
      <w:r w:rsidRPr="00EC20A0">
        <w:t>litigation,</w:t>
      </w:r>
      <w:r w:rsidRPr="00EC20A0">
        <w:rPr>
          <w:spacing w:val="-4"/>
        </w:rPr>
        <w:t xml:space="preserve"> </w:t>
      </w:r>
      <w:r w:rsidRPr="00EC20A0">
        <w:t>claims,</w:t>
      </w:r>
      <w:r w:rsidRPr="00EC20A0">
        <w:rPr>
          <w:spacing w:val="-4"/>
        </w:rPr>
        <w:t xml:space="preserve"> </w:t>
      </w:r>
      <w:r w:rsidRPr="00EC20A0">
        <w:t>and</w:t>
      </w:r>
      <w:r w:rsidRPr="00EC20A0">
        <w:rPr>
          <w:spacing w:val="-4"/>
        </w:rPr>
        <w:t xml:space="preserve"> </w:t>
      </w:r>
      <w:r w:rsidRPr="00EC20A0">
        <w:t>assessments identified in performing the required audit procedures discussed in FAM 280.03, the auditor should obtain audit evidence relevant to the following factors:</w:t>
      </w:r>
    </w:p>
    <w:p w14:paraId="24D61E04" w14:textId="77777777" w:rsidR="00245300" w:rsidRPr="00EC20A0" w:rsidRDefault="00F17249">
      <w:pPr>
        <w:pStyle w:val="ListParagraph"/>
        <w:numPr>
          <w:ilvl w:val="1"/>
          <w:numId w:val="66"/>
        </w:numPr>
        <w:tabs>
          <w:tab w:val="left" w:pos="1998"/>
        </w:tabs>
        <w:spacing w:before="241"/>
        <w:ind w:left="1998" w:hanging="359"/>
      </w:pPr>
      <w:r w:rsidRPr="00EC20A0">
        <w:t>the</w:t>
      </w:r>
      <w:r w:rsidRPr="00EC20A0">
        <w:rPr>
          <w:spacing w:val="-6"/>
        </w:rPr>
        <w:t xml:space="preserve"> </w:t>
      </w:r>
      <w:r w:rsidRPr="00EC20A0">
        <w:t>period</w:t>
      </w:r>
      <w:r w:rsidRPr="00EC20A0">
        <w:rPr>
          <w:spacing w:val="-5"/>
        </w:rPr>
        <w:t xml:space="preserve"> </w:t>
      </w:r>
      <w:r w:rsidRPr="00EC20A0">
        <w:t>in</w:t>
      </w:r>
      <w:r w:rsidRPr="00EC20A0">
        <w:rPr>
          <w:spacing w:val="-6"/>
        </w:rPr>
        <w:t xml:space="preserve"> </w:t>
      </w:r>
      <w:r w:rsidRPr="00EC20A0">
        <w:t>which</w:t>
      </w:r>
      <w:r w:rsidRPr="00EC20A0">
        <w:rPr>
          <w:spacing w:val="-5"/>
        </w:rPr>
        <w:t xml:space="preserve"> </w:t>
      </w:r>
      <w:r w:rsidRPr="00EC20A0">
        <w:t>the</w:t>
      </w:r>
      <w:r w:rsidRPr="00EC20A0">
        <w:rPr>
          <w:spacing w:val="-5"/>
        </w:rPr>
        <w:t xml:space="preserve"> </w:t>
      </w:r>
      <w:r w:rsidRPr="00EC20A0">
        <w:t>underlying</w:t>
      </w:r>
      <w:r w:rsidRPr="00EC20A0">
        <w:rPr>
          <w:spacing w:val="-6"/>
        </w:rPr>
        <w:t xml:space="preserve"> </w:t>
      </w:r>
      <w:r w:rsidRPr="00EC20A0">
        <w:t>cause</w:t>
      </w:r>
      <w:r w:rsidRPr="00EC20A0">
        <w:rPr>
          <w:spacing w:val="-5"/>
        </w:rPr>
        <w:t xml:space="preserve"> </w:t>
      </w:r>
      <w:r w:rsidRPr="00EC20A0">
        <w:t>for</w:t>
      </w:r>
      <w:r w:rsidRPr="00EC20A0">
        <w:rPr>
          <w:spacing w:val="-5"/>
        </w:rPr>
        <w:t xml:space="preserve"> </w:t>
      </w:r>
      <w:r w:rsidRPr="00EC20A0">
        <w:t>legal</w:t>
      </w:r>
      <w:r w:rsidRPr="00EC20A0">
        <w:rPr>
          <w:spacing w:val="-6"/>
        </w:rPr>
        <w:t xml:space="preserve"> </w:t>
      </w:r>
      <w:r w:rsidRPr="00EC20A0">
        <w:t>action</w:t>
      </w:r>
      <w:r w:rsidRPr="00EC20A0">
        <w:rPr>
          <w:spacing w:val="-5"/>
        </w:rPr>
        <w:t xml:space="preserve"> </w:t>
      </w:r>
      <w:r w:rsidRPr="00EC20A0">
        <w:rPr>
          <w:spacing w:val="-2"/>
        </w:rPr>
        <w:t>occurred;</w:t>
      </w:r>
    </w:p>
    <w:p w14:paraId="24D61E05" w14:textId="77777777" w:rsidR="00245300" w:rsidRPr="00EC20A0" w:rsidRDefault="00F17249">
      <w:pPr>
        <w:pStyle w:val="ListParagraph"/>
        <w:numPr>
          <w:ilvl w:val="1"/>
          <w:numId w:val="66"/>
        </w:numPr>
        <w:tabs>
          <w:tab w:val="left" w:pos="1999"/>
        </w:tabs>
        <w:ind w:right="573"/>
      </w:pPr>
      <w:r w:rsidRPr="00EC20A0">
        <w:t>the</w:t>
      </w:r>
      <w:r w:rsidRPr="00EC20A0">
        <w:rPr>
          <w:spacing w:val="-5"/>
        </w:rPr>
        <w:t xml:space="preserve"> </w:t>
      </w:r>
      <w:r w:rsidRPr="00EC20A0">
        <w:t>likelihood</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unfavorable</w:t>
      </w:r>
      <w:r w:rsidRPr="00EC20A0">
        <w:rPr>
          <w:spacing w:val="-5"/>
        </w:rPr>
        <w:t xml:space="preserve"> </w:t>
      </w:r>
      <w:r w:rsidRPr="00EC20A0">
        <w:t>outcome</w:t>
      </w:r>
      <w:r w:rsidRPr="00EC20A0">
        <w:rPr>
          <w:spacing w:val="-5"/>
        </w:rPr>
        <w:t xml:space="preserve"> </w:t>
      </w:r>
      <w:r w:rsidRPr="00EC20A0">
        <w:t>(probable,</w:t>
      </w:r>
      <w:r w:rsidRPr="00EC20A0">
        <w:rPr>
          <w:spacing w:val="-5"/>
        </w:rPr>
        <w:t xml:space="preserve"> </w:t>
      </w:r>
      <w:r w:rsidRPr="00EC20A0">
        <w:t>reasonably</w:t>
      </w:r>
      <w:r w:rsidRPr="00EC20A0">
        <w:rPr>
          <w:spacing w:val="-5"/>
        </w:rPr>
        <w:t xml:space="preserve"> </w:t>
      </w:r>
      <w:r w:rsidRPr="00EC20A0">
        <w:t>possible,</w:t>
      </w:r>
      <w:r w:rsidRPr="00EC20A0">
        <w:rPr>
          <w:spacing w:val="-6"/>
        </w:rPr>
        <w:t xml:space="preserve"> </w:t>
      </w:r>
      <w:r w:rsidRPr="00EC20A0">
        <w:t>or remote); and</w:t>
      </w:r>
    </w:p>
    <w:p w14:paraId="24D61E06" w14:textId="77777777" w:rsidR="00245300" w:rsidRPr="00EC20A0" w:rsidRDefault="00F17249">
      <w:pPr>
        <w:pStyle w:val="ListParagraph"/>
        <w:numPr>
          <w:ilvl w:val="1"/>
          <w:numId w:val="66"/>
        </w:numPr>
        <w:tabs>
          <w:tab w:val="left" w:pos="1998"/>
        </w:tabs>
        <w:spacing w:before="239"/>
        <w:ind w:left="1998" w:hanging="359"/>
      </w:pPr>
      <w:r w:rsidRPr="00EC20A0">
        <w:t>the</w:t>
      </w:r>
      <w:r w:rsidRPr="00EC20A0">
        <w:rPr>
          <w:spacing w:val="-5"/>
        </w:rPr>
        <w:t xml:space="preserve"> </w:t>
      </w:r>
      <w:r w:rsidRPr="00EC20A0">
        <w:t>amount</w:t>
      </w:r>
      <w:r w:rsidRPr="00EC20A0">
        <w:rPr>
          <w:spacing w:val="-5"/>
        </w:rPr>
        <w:t xml:space="preserve"> </w:t>
      </w:r>
      <w:r w:rsidRPr="00EC20A0">
        <w:t>or</w:t>
      </w:r>
      <w:r w:rsidRPr="00EC20A0">
        <w:rPr>
          <w:spacing w:val="-4"/>
        </w:rPr>
        <w:t xml:space="preserve"> </w:t>
      </w:r>
      <w:r w:rsidRPr="00EC20A0">
        <w:t>range</w:t>
      </w:r>
      <w:r w:rsidRPr="00EC20A0">
        <w:rPr>
          <w:spacing w:val="-5"/>
        </w:rPr>
        <w:t xml:space="preserve"> </w:t>
      </w:r>
      <w:r w:rsidRPr="00EC20A0">
        <w:t>of</w:t>
      </w:r>
      <w:r w:rsidRPr="00EC20A0">
        <w:rPr>
          <w:spacing w:val="-4"/>
        </w:rPr>
        <w:t xml:space="preserve"> </w:t>
      </w:r>
      <w:r w:rsidRPr="00EC20A0">
        <w:t>potential</w:t>
      </w:r>
      <w:r w:rsidRPr="00EC20A0">
        <w:rPr>
          <w:spacing w:val="-5"/>
        </w:rPr>
        <w:t xml:space="preserve"> </w:t>
      </w:r>
      <w:r w:rsidRPr="00EC20A0">
        <w:t>loss,</w:t>
      </w:r>
      <w:r w:rsidRPr="00EC20A0">
        <w:rPr>
          <w:spacing w:val="-5"/>
        </w:rPr>
        <w:t xml:space="preserve"> </w:t>
      </w:r>
      <w:r w:rsidRPr="00EC20A0">
        <w:t>if</w:t>
      </w:r>
      <w:r w:rsidRPr="00EC20A0">
        <w:rPr>
          <w:spacing w:val="-4"/>
        </w:rPr>
        <w:t xml:space="preserve"> </w:t>
      </w:r>
      <w:r w:rsidRPr="00EC20A0">
        <w:rPr>
          <w:spacing w:val="-2"/>
        </w:rPr>
        <w:t>estimable.</w:t>
      </w:r>
    </w:p>
    <w:p w14:paraId="24D61E07" w14:textId="77777777" w:rsidR="00245300" w:rsidRPr="00EC20A0" w:rsidRDefault="00F17249">
      <w:pPr>
        <w:pStyle w:val="BodyText"/>
        <w:spacing w:before="241"/>
        <w:ind w:left="1638" w:right="345"/>
      </w:pPr>
      <w:r w:rsidRPr="00EC20A0">
        <w:t>Additionally, as discussed in FAM 1001.16, the auditor should obtain written representation</w:t>
      </w:r>
      <w:r w:rsidRPr="00EC20A0">
        <w:rPr>
          <w:spacing w:val="-5"/>
        </w:rPr>
        <w:t xml:space="preserve"> </w:t>
      </w:r>
      <w:r w:rsidRPr="00EC20A0">
        <w:t>from</w:t>
      </w:r>
      <w:r w:rsidRPr="00EC20A0">
        <w:rPr>
          <w:spacing w:val="-6"/>
        </w:rPr>
        <w:t xml:space="preserve"> </w:t>
      </w:r>
      <w:r w:rsidRPr="00EC20A0">
        <w:t>management</w:t>
      </w:r>
      <w:r w:rsidRPr="00EC20A0">
        <w:rPr>
          <w:spacing w:val="-5"/>
        </w:rPr>
        <w:t xml:space="preserve"> </w:t>
      </w:r>
      <w:r w:rsidRPr="00EC20A0">
        <w:t>related</w:t>
      </w:r>
      <w:r w:rsidRPr="00EC20A0">
        <w:rPr>
          <w:spacing w:val="-5"/>
        </w:rPr>
        <w:t xml:space="preserve"> </w:t>
      </w:r>
      <w:r w:rsidRPr="00EC20A0">
        <w:t>to</w:t>
      </w:r>
      <w:r w:rsidRPr="00EC20A0">
        <w:rPr>
          <w:spacing w:val="-5"/>
        </w:rPr>
        <w:t xml:space="preserve"> </w:t>
      </w:r>
      <w:r w:rsidRPr="00EC20A0">
        <w:t>litigation,</w:t>
      </w:r>
      <w:r w:rsidRPr="00EC20A0">
        <w:rPr>
          <w:spacing w:val="-5"/>
        </w:rPr>
        <w:t xml:space="preserve"> </w:t>
      </w:r>
      <w:r w:rsidRPr="00EC20A0">
        <w:t>claims,</w:t>
      </w:r>
      <w:r w:rsidRPr="00EC20A0">
        <w:rPr>
          <w:spacing w:val="-5"/>
        </w:rPr>
        <w:t xml:space="preserve"> </w:t>
      </w:r>
      <w:r w:rsidRPr="00EC20A0">
        <w:t>and</w:t>
      </w:r>
      <w:r w:rsidRPr="00EC20A0">
        <w:rPr>
          <w:spacing w:val="-5"/>
        </w:rPr>
        <w:t xml:space="preserve"> </w:t>
      </w:r>
      <w:r w:rsidRPr="00EC20A0">
        <w:t>assessments.</w:t>
      </w:r>
    </w:p>
    <w:p w14:paraId="24D61E08" w14:textId="77777777" w:rsidR="00245300" w:rsidRPr="00EC20A0" w:rsidRDefault="00F17249">
      <w:pPr>
        <w:pStyle w:val="ListParagraph"/>
        <w:numPr>
          <w:ilvl w:val="0"/>
          <w:numId w:val="66"/>
        </w:numPr>
        <w:tabs>
          <w:tab w:val="left" w:pos="1639"/>
        </w:tabs>
        <w:ind w:right="346"/>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perform</w:t>
      </w:r>
      <w:r w:rsidRPr="00EC20A0">
        <w:rPr>
          <w:spacing w:val="-4"/>
        </w:rPr>
        <w:t xml:space="preserve"> </w:t>
      </w:r>
      <w:r w:rsidRPr="00EC20A0">
        <w:t>procedures</w:t>
      </w:r>
      <w:r w:rsidRPr="00EC20A0">
        <w:rPr>
          <w:spacing w:val="-4"/>
        </w:rPr>
        <w:t xml:space="preserve"> </w:t>
      </w:r>
      <w:r w:rsidRPr="00EC20A0">
        <w:t>to</w:t>
      </w:r>
      <w:r w:rsidRPr="00EC20A0">
        <w:rPr>
          <w:spacing w:val="-4"/>
        </w:rPr>
        <w:t xml:space="preserve"> </w:t>
      </w:r>
      <w:r w:rsidRPr="00EC20A0">
        <w:t>learn</w:t>
      </w:r>
      <w:r w:rsidRPr="00EC20A0">
        <w:rPr>
          <w:spacing w:val="-4"/>
        </w:rPr>
        <w:t xml:space="preserve"> </w:t>
      </w:r>
      <w:r w:rsidRPr="00EC20A0">
        <w:t>about</w:t>
      </w:r>
      <w:r w:rsidRPr="00EC20A0">
        <w:rPr>
          <w:spacing w:val="-4"/>
        </w:rPr>
        <w:t xml:space="preserve"> </w:t>
      </w:r>
      <w:r w:rsidRPr="00EC20A0">
        <w:t>certain</w:t>
      </w:r>
      <w:r w:rsidRPr="00EC20A0">
        <w:rPr>
          <w:spacing w:val="-5"/>
        </w:rPr>
        <w:t xml:space="preserve"> </w:t>
      </w:r>
      <w:r w:rsidRPr="00EC20A0">
        <w:t>legal</w:t>
      </w:r>
      <w:r w:rsidRPr="00EC20A0">
        <w:rPr>
          <w:spacing w:val="-4"/>
        </w:rPr>
        <w:t xml:space="preserve"> </w:t>
      </w:r>
      <w:r w:rsidRPr="00EC20A0">
        <w:t>claims</w:t>
      </w:r>
      <w:r w:rsidRPr="00EC20A0">
        <w:rPr>
          <w:spacing w:val="-4"/>
        </w:rPr>
        <w:t xml:space="preserve"> </w:t>
      </w:r>
      <w:r w:rsidRPr="00EC20A0">
        <w:t xml:space="preserve">against the </w:t>
      </w:r>
      <w:r w:rsidRPr="00EC20A0">
        <w:t>government involving interaction between the government and its environment. This could include events where federal operations caused (1) hazardous waste for cleanup, (2) accidental damage to nonfederal property, or</w:t>
      </w:r>
    </w:p>
    <w:p w14:paraId="24D61E09" w14:textId="77777777" w:rsidR="00245300" w:rsidRPr="00EC20A0" w:rsidRDefault="00F17249">
      <w:pPr>
        <w:pStyle w:val="BodyText"/>
        <w:ind w:left="1639" w:right="408"/>
      </w:pPr>
      <w:r w:rsidRPr="00EC20A0">
        <w:t>(3)</w:t>
      </w:r>
      <w:r w:rsidRPr="00EC20A0">
        <w:rPr>
          <w:spacing w:val="-3"/>
        </w:rPr>
        <w:t xml:space="preserve"> </w:t>
      </w:r>
      <w:r w:rsidRPr="00EC20A0">
        <w:t>other</w:t>
      </w:r>
      <w:r w:rsidRPr="00EC20A0">
        <w:rPr>
          <w:spacing w:val="-3"/>
        </w:rPr>
        <w:t xml:space="preserve"> </w:t>
      </w:r>
      <w:r w:rsidRPr="00EC20A0">
        <w:t>damage</w:t>
      </w:r>
      <w:r w:rsidRPr="00EC20A0">
        <w:rPr>
          <w:spacing w:val="-3"/>
        </w:rPr>
        <w:t xml:space="preserve"> </w:t>
      </w:r>
      <w:r w:rsidRPr="00EC20A0">
        <w:t>to</w:t>
      </w:r>
      <w:r w:rsidRPr="00EC20A0">
        <w:rPr>
          <w:spacing w:val="-3"/>
        </w:rPr>
        <w:t xml:space="preserve"> </w:t>
      </w:r>
      <w:r w:rsidRPr="00EC20A0">
        <w:t>federal</w:t>
      </w:r>
      <w:r w:rsidRPr="00EC20A0">
        <w:rPr>
          <w:spacing w:val="-3"/>
        </w:rPr>
        <w:t xml:space="preserve"> </w:t>
      </w:r>
      <w:r w:rsidRPr="00EC20A0">
        <w:t>property.</w:t>
      </w:r>
      <w:r w:rsidRPr="00EC20A0">
        <w:rPr>
          <w:spacing w:val="-3"/>
        </w:rPr>
        <w:t xml:space="preserve"> </w:t>
      </w:r>
      <w:r w:rsidRPr="00EC20A0">
        <w:t>In</w:t>
      </w:r>
      <w:r w:rsidRPr="00EC20A0">
        <w:rPr>
          <w:spacing w:val="-3"/>
        </w:rPr>
        <w:t xml:space="preserve"> </w:t>
      </w:r>
      <w:r w:rsidRPr="00EC20A0">
        <w:t>these</w:t>
      </w:r>
      <w:r w:rsidRPr="00EC20A0">
        <w:rPr>
          <w:spacing w:val="-4"/>
        </w:rPr>
        <w:t xml:space="preserve"> </w:t>
      </w:r>
      <w:r w:rsidRPr="00EC20A0">
        <w:t>cases,</w:t>
      </w:r>
      <w:r w:rsidRPr="00EC20A0">
        <w:rPr>
          <w:spacing w:val="-3"/>
        </w:rPr>
        <w:t xml:space="preserve"> </w:t>
      </w:r>
      <w:r w:rsidRPr="00EC20A0">
        <w:t>no</w:t>
      </w:r>
      <w:r w:rsidRPr="00EC20A0">
        <w:rPr>
          <w:spacing w:val="-3"/>
        </w:rPr>
        <w:t xml:space="preserve"> </w:t>
      </w:r>
      <w:r w:rsidRPr="00EC20A0">
        <w:t>monetary</w:t>
      </w:r>
      <w:r w:rsidRPr="00EC20A0">
        <w:rPr>
          <w:spacing w:val="-3"/>
        </w:rPr>
        <w:t xml:space="preserve"> </w:t>
      </w:r>
      <w:r w:rsidRPr="00EC20A0">
        <w:t>damages</w:t>
      </w:r>
      <w:r w:rsidRPr="00EC20A0">
        <w:rPr>
          <w:spacing w:val="-3"/>
        </w:rPr>
        <w:t xml:space="preserve"> </w:t>
      </w:r>
      <w:r w:rsidRPr="00EC20A0">
        <w:t>are being</w:t>
      </w:r>
      <w:r w:rsidRPr="00EC20A0">
        <w:rPr>
          <w:spacing w:val="-4"/>
        </w:rPr>
        <w:t xml:space="preserve"> </w:t>
      </w:r>
      <w:r w:rsidRPr="00EC20A0">
        <w:t>sought,</w:t>
      </w:r>
      <w:r w:rsidRPr="00EC20A0">
        <w:rPr>
          <w:spacing w:val="-4"/>
        </w:rPr>
        <w:t xml:space="preserve"> </w:t>
      </w:r>
      <w:r w:rsidRPr="00EC20A0">
        <w:t>but</w:t>
      </w:r>
      <w:r w:rsidRPr="00EC20A0">
        <w:rPr>
          <w:spacing w:val="-4"/>
        </w:rPr>
        <w:t xml:space="preserve"> </w:t>
      </w:r>
      <w:r w:rsidRPr="00EC20A0">
        <w:t>rather</w:t>
      </w:r>
      <w:r w:rsidRPr="00EC20A0">
        <w:rPr>
          <w:spacing w:val="-6"/>
        </w:rPr>
        <w:t xml:space="preserve"> </w:t>
      </w:r>
      <w:r w:rsidRPr="00EC20A0">
        <w:t>plaintiffs</w:t>
      </w:r>
      <w:r w:rsidRPr="00EC20A0">
        <w:rPr>
          <w:spacing w:val="-5"/>
        </w:rPr>
        <w:t xml:space="preserve"> </w:t>
      </w:r>
      <w:r w:rsidRPr="00EC20A0">
        <w:t>generally</w:t>
      </w:r>
      <w:r w:rsidRPr="00EC20A0">
        <w:rPr>
          <w:spacing w:val="-4"/>
        </w:rPr>
        <w:t xml:space="preserve"> </w:t>
      </w:r>
      <w:r w:rsidRPr="00EC20A0">
        <w:t>seek</w:t>
      </w:r>
      <w:r w:rsidRPr="00EC20A0">
        <w:rPr>
          <w:spacing w:val="-5"/>
        </w:rPr>
        <w:t xml:space="preserve"> </w:t>
      </w:r>
      <w:r w:rsidRPr="00EC20A0">
        <w:t>that</w:t>
      </w:r>
      <w:r w:rsidRPr="00EC20A0">
        <w:rPr>
          <w:spacing w:val="-4"/>
        </w:rPr>
        <w:t xml:space="preserve"> </w:t>
      </w:r>
      <w:r w:rsidRPr="00EC20A0">
        <w:t>the</w:t>
      </w:r>
      <w:r w:rsidRPr="00EC20A0">
        <w:rPr>
          <w:spacing w:val="-4"/>
        </w:rPr>
        <w:t xml:space="preserve"> </w:t>
      </w:r>
      <w:r w:rsidRPr="00EC20A0">
        <w:t>government</w:t>
      </w:r>
      <w:r w:rsidRPr="00EC20A0">
        <w:rPr>
          <w:spacing w:val="-4"/>
        </w:rPr>
        <w:t xml:space="preserve"> </w:t>
      </w:r>
      <w:r w:rsidRPr="00EC20A0">
        <w:t>either</w:t>
      </w:r>
      <w:r w:rsidRPr="00EC20A0">
        <w:rPr>
          <w:spacing w:val="-4"/>
        </w:rPr>
        <w:t xml:space="preserve"> </w:t>
      </w:r>
      <w:r w:rsidRPr="00EC20A0">
        <w:t>take or cease particular actions, which if the claims are successful, could cost the government significant amounts of money to comply.</w:t>
      </w:r>
    </w:p>
    <w:p w14:paraId="24D61E0A" w14:textId="77777777" w:rsidR="00245300" w:rsidRPr="00EC20A0" w:rsidRDefault="00F17249">
      <w:pPr>
        <w:pStyle w:val="BodyText"/>
        <w:spacing w:before="239"/>
        <w:ind w:left="1638" w:right="405" w:firstLine="1"/>
      </w:pPr>
      <w:r w:rsidRPr="00EC20A0">
        <w:t>An example is a claim that was brought against the Department of Energy over its classification of certain radioactive waste for disposal. Because the classification affected how the waste could be disposed of and thus the cost of disposal, a successful claim could have resulted in a material increase in the entity’s environmental liabilities. Auditors should make inquiries of management and legal counsel to determine whether the entity has such cases that could create a loss contingency, and whether the en</w:t>
      </w:r>
      <w:r w:rsidRPr="00EC20A0">
        <w:t>tity considered those cases in determining</w:t>
      </w:r>
      <w:r w:rsidRPr="00EC20A0">
        <w:rPr>
          <w:spacing w:val="-3"/>
        </w:rPr>
        <w:t xml:space="preserve"> </w:t>
      </w:r>
      <w:r w:rsidRPr="00EC20A0">
        <w:t>the</w:t>
      </w:r>
      <w:r w:rsidRPr="00EC20A0">
        <w:rPr>
          <w:spacing w:val="-3"/>
        </w:rPr>
        <w:t xml:space="preserve"> </w:t>
      </w:r>
      <w:r w:rsidRPr="00EC20A0">
        <w:t>amount</w:t>
      </w:r>
      <w:r w:rsidRPr="00EC20A0">
        <w:rPr>
          <w:spacing w:val="-3"/>
        </w:rPr>
        <w:t xml:space="preserve"> </w:t>
      </w:r>
      <w:r w:rsidRPr="00EC20A0">
        <w:t>of</w:t>
      </w:r>
      <w:r w:rsidRPr="00EC20A0">
        <w:rPr>
          <w:spacing w:val="-3"/>
        </w:rPr>
        <w:t xml:space="preserve"> </w:t>
      </w:r>
      <w:r w:rsidRPr="00EC20A0">
        <w:t>liability</w:t>
      </w:r>
      <w:r w:rsidRPr="00EC20A0">
        <w:rPr>
          <w:spacing w:val="-3"/>
        </w:rPr>
        <w:t xml:space="preserve"> </w:t>
      </w:r>
      <w:r w:rsidRPr="00EC20A0">
        <w:t>to</w:t>
      </w:r>
      <w:r w:rsidRPr="00EC20A0">
        <w:rPr>
          <w:spacing w:val="-5"/>
        </w:rPr>
        <w:t xml:space="preserve"> </w:t>
      </w:r>
      <w:r w:rsidRPr="00EC20A0">
        <w:t>be</w:t>
      </w:r>
      <w:r w:rsidRPr="00EC20A0">
        <w:rPr>
          <w:spacing w:val="-3"/>
        </w:rPr>
        <w:t xml:space="preserve"> </w:t>
      </w:r>
      <w:r w:rsidRPr="00EC20A0">
        <w:t>reported</w:t>
      </w:r>
      <w:r w:rsidRPr="00EC20A0">
        <w:rPr>
          <w:spacing w:val="-3"/>
        </w:rPr>
        <w:t xml:space="preserve"> </w:t>
      </w:r>
      <w:r w:rsidRPr="00EC20A0">
        <w:t>or</w:t>
      </w:r>
      <w:r w:rsidRPr="00EC20A0">
        <w:rPr>
          <w:spacing w:val="-3"/>
        </w:rPr>
        <w:t xml:space="preserve"> </w:t>
      </w:r>
      <w:r w:rsidRPr="00EC20A0">
        <w:t>disclosed</w:t>
      </w:r>
      <w:r w:rsidRPr="00EC20A0">
        <w:rPr>
          <w:spacing w:val="-4"/>
        </w:rPr>
        <w:t xml:space="preserve"> </w:t>
      </w:r>
      <w:r w:rsidRPr="00EC20A0">
        <w:t>per</w:t>
      </w:r>
      <w:r w:rsidRPr="00EC20A0">
        <w:rPr>
          <w:spacing w:val="-3"/>
        </w:rPr>
        <w:t xml:space="preserve"> </w:t>
      </w:r>
      <w:r w:rsidRPr="00EC20A0">
        <w:t>table</w:t>
      </w:r>
      <w:r w:rsidRPr="00EC20A0">
        <w:rPr>
          <w:spacing w:val="-3"/>
        </w:rPr>
        <w:t xml:space="preserve"> </w:t>
      </w:r>
      <w:r w:rsidRPr="00EC20A0">
        <w:t>1002.1.</w:t>
      </w:r>
      <w:r w:rsidRPr="00EC20A0">
        <w:rPr>
          <w:spacing w:val="-3"/>
        </w:rPr>
        <w:t xml:space="preserve"> </w:t>
      </w:r>
      <w:r w:rsidRPr="00EC20A0">
        <w:t>If such cases exist, the auditor should apply the audit procedures in FAM 1002 to these cases as well.</w:t>
      </w:r>
    </w:p>
    <w:p w14:paraId="24D61E0B" w14:textId="77777777" w:rsidR="00245300" w:rsidRPr="00EC20A0" w:rsidRDefault="00245300">
      <w:pPr>
        <w:sectPr w:rsidR="00245300" w:rsidRPr="00EC20A0">
          <w:pgSz w:w="12240" w:h="15840"/>
          <w:pgMar w:top="1340" w:right="1100" w:bottom="1020" w:left="1240" w:header="721" w:footer="757" w:gutter="0"/>
          <w:cols w:space="720"/>
        </w:sectPr>
      </w:pPr>
    </w:p>
    <w:p w14:paraId="24D61E0C" w14:textId="77777777" w:rsidR="00245300" w:rsidRPr="00EC20A0" w:rsidRDefault="00F17249">
      <w:pPr>
        <w:pStyle w:val="ListParagraph"/>
        <w:numPr>
          <w:ilvl w:val="0"/>
          <w:numId w:val="66"/>
        </w:numPr>
        <w:tabs>
          <w:tab w:val="left" w:pos="1639"/>
        </w:tabs>
        <w:spacing w:before="121"/>
        <w:ind w:right="370" w:hanging="720"/>
      </w:pPr>
      <w:r w:rsidRPr="00EC20A0">
        <w:t>Based on AU-C 501.19 and .20, the auditor should perform procedures to corroborate the information management provides, including seeking direct communication with the entity’s legal counsel through a legal counsel request prepared by management and sent by the auditor requesting that legal counsel communicate directly with the auditor. The auditor may assist management with preparing</w:t>
      </w:r>
      <w:r w:rsidRPr="00EC20A0">
        <w:rPr>
          <w:spacing w:val="-4"/>
        </w:rPr>
        <w:t xml:space="preserve"> </w:t>
      </w:r>
      <w:r w:rsidRPr="00EC20A0">
        <w:t>this</w:t>
      </w:r>
      <w:r w:rsidRPr="00EC20A0">
        <w:rPr>
          <w:spacing w:val="-4"/>
        </w:rPr>
        <w:t xml:space="preserve"> </w:t>
      </w:r>
      <w:r w:rsidRPr="00EC20A0">
        <w:t>request.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also</w:t>
      </w:r>
      <w:r w:rsidRPr="00EC20A0">
        <w:rPr>
          <w:spacing w:val="-4"/>
        </w:rPr>
        <w:t xml:space="preserve"> </w:t>
      </w:r>
      <w:r w:rsidRPr="00EC20A0">
        <w:t>request</w:t>
      </w:r>
      <w:r w:rsidRPr="00EC20A0">
        <w:rPr>
          <w:spacing w:val="-4"/>
        </w:rPr>
        <w:t xml:space="preserve"> </w:t>
      </w:r>
      <w:r w:rsidRPr="00EC20A0">
        <w:t>management</w:t>
      </w:r>
      <w:r w:rsidRPr="00EC20A0">
        <w:rPr>
          <w:spacing w:val="-4"/>
        </w:rPr>
        <w:t xml:space="preserve"> </w:t>
      </w:r>
      <w:r w:rsidRPr="00EC20A0">
        <w:t>to</w:t>
      </w:r>
      <w:r w:rsidRPr="00EC20A0">
        <w:rPr>
          <w:spacing w:val="-4"/>
        </w:rPr>
        <w:t xml:space="preserve"> </w:t>
      </w:r>
      <w:r w:rsidRPr="00EC20A0">
        <w:t xml:space="preserve">authorize the entity’s legal counsel to discuss applicable matters with the auditor (AU-C </w:t>
      </w:r>
      <w:r w:rsidRPr="00EC20A0">
        <w:rPr>
          <w:spacing w:val="-2"/>
        </w:rPr>
        <w:t>501.22).</w:t>
      </w:r>
    </w:p>
    <w:p w14:paraId="24D61E0D" w14:textId="77777777" w:rsidR="00245300" w:rsidRPr="00EC20A0" w:rsidRDefault="00F17249">
      <w:pPr>
        <w:pStyle w:val="BodyText"/>
        <w:spacing w:before="239"/>
        <w:ind w:left="1640" w:right="345" w:hanging="1"/>
      </w:pPr>
      <w:r w:rsidRPr="00EC20A0">
        <w:t>Legal counsel’s response to the legal counsel request is the auditor’s primary means</w:t>
      </w:r>
      <w:r w:rsidRPr="00EC20A0">
        <w:rPr>
          <w:spacing w:val="-4"/>
        </w:rPr>
        <w:t xml:space="preserve"> </w:t>
      </w:r>
      <w:r w:rsidRPr="00EC20A0">
        <w:t>of</w:t>
      </w:r>
      <w:r w:rsidRPr="00EC20A0">
        <w:rPr>
          <w:spacing w:val="-4"/>
        </w:rPr>
        <w:t xml:space="preserve"> </w:t>
      </w:r>
      <w:r w:rsidRPr="00EC20A0">
        <w:t>corroborating</w:t>
      </w:r>
      <w:r w:rsidRPr="00EC20A0">
        <w:rPr>
          <w:spacing w:val="-4"/>
        </w:rPr>
        <w:t xml:space="preserve"> </w:t>
      </w:r>
      <w:r w:rsidRPr="00EC20A0">
        <w:t>the</w:t>
      </w:r>
      <w:r w:rsidRPr="00EC20A0">
        <w:rPr>
          <w:spacing w:val="-4"/>
        </w:rPr>
        <w:t xml:space="preserve"> </w:t>
      </w:r>
      <w:r w:rsidRPr="00EC20A0">
        <w:t>information</w:t>
      </w:r>
      <w:r w:rsidRPr="00EC20A0">
        <w:rPr>
          <w:spacing w:val="-4"/>
        </w:rPr>
        <w:t xml:space="preserve"> </w:t>
      </w:r>
      <w:r w:rsidRPr="00EC20A0">
        <w:t>furnished</w:t>
      </w:r>
      <w:r w:rsidRPr="00EC20A0">
        <w:rPr>
          <w:spacing w:val="-5"/>
        </w:rPr>
        <w:t xml:space="preserve"> </w:t>
      </w:r>
      <w:r w:rsidRPr="00EC20A0">
        <w:t>by</w:t>
      </w:r>
      <w:r w:rsidRPr="00EC20A0">
        <w:rPr>
          <w:spacing w:val="-4"/>
        </w:rPr>
        <w:t xml:space="preserve"> </w:t>
      </w:r>
      <w:r w:rsidRPr="00EC20A0">
        <w:t>management</w:t>
      </w:r>
      <w:r w:rsidRPr="00EC20A0">
        <w:rPr>
          <w:spacing w:val="-4"/>
        </w:rPr>
        <w:t xml:space="preserve"> </w:t>
      </w:r>
      <w:r w:rsidRPr="00EC20A0">
        <w:t>concerning</w:t>
      </w:r>
      <w:r w:rsidRPr="00EC20A0">
        <w:rPr>
          <w:spacing w:val="-4"/>
        </w:rPr>
        <w:t xml:space="preserve"> </w:t>
      </w:r>
      <w:r w:rsidRPr="00EC20A0">
        <w:t>the accuracy and completeness of litigation, claims, and assessments. As such, the auditor should document the basis for any determination not to seek direct communication with the entity’s legal counsel (AU-C 501.21).</w:t>
      </w:r>
    </w:p>
    <w:p w14:paraId="24D61E0E" w14:textId="77777777" w:rsidR="00245300" w:rsidRPr="00EC20A0" w:rsidRDefault="00245300">
      <w:pPr>
        <w:pStyle w:val="BodyText"/>
        <w:spacing w:before="49"/>
      </w:pPr>
    </w:p>
    <w:p w14:paraId="24D61E0F" w14:textId="77777777" w:rsidR="00245300" w:rsidRPr="00EC20A0" w:rsidRDefault="00F17249">
      <w:pPr>
        <w:pStyle w:val="Heading5"/>
        <w:spacing w:before="0"/>
        <w:rPr>
          <w:u w:val="none"/>
        </w:rPr>
      </w:pPr>
      <w:bookmarkStart w:id="391" w:name="Inquiries_of_Legal_Counsel"/>
      <w:bookmarkEnd w:id="391"/>
      <w:r w:rsidRPr="00EC20A0">
        <w:t>Inquiries</w:t>
      </w:r>
      <w:r w:rsidRPr="00EC20A0">
        <w:rPr>
          <w:spacing w:val="-4"/>
        </w:rPr>
        <w:t xml:space="preserve"> </w:t>
      </w:r>
      <w:r w:rsidRPr="00EC20A0">
        <w:t>of</w:t>
      </w:r>
      <w:r w:rsidRPr="00EC20A0">
        <w:rPr>
          <w:spacing w:val="-2"/>
        </w:rPr>
        <w:t xml:space="preserve"> </w:t>
      </w:r>
      <w:r w:rsidRPr="00EC20A0">
        <w:t>Legal</w:t>
      </w:r>
      <w:r w:rsidRPr="00EC20A0">
        <w:rPr>
          <w:spacing w:val="-2"/>
        </w:rPr>
        <w:t xml:space="preserve"> Counsel</w:t>
      </w:r>
    </w:p>
    <w:p w14:paraId="24D61E10" w14:textId="77777777" w:rsidR="00245300" w:rsidRPr="00EC20A0" w:rsidRDefault="00245300">
      <w:pPr>
        <w:pStyle w:val="BodyText"/>
        <w:spacing w:before="45"/>
        <w:rPr>
          <w:b/>
        </w:rPr>
      </w:pPr>
    </w:p>
    <w:p w14:paraId="24D61E11" w14:textId="77777777" w:rsidR="00245300" w:rsidRPr="00EC20A0" w:rsidRDefault="00F17249">
      <w:pPr>
        <w:pStyle w:val="ListParagraph"/>
        <w:numPr>
          <w:ilvl w:val="0"/>
          <w:numId w:val="66"/>
        </w:numPr>
        <w:tabs>
          <w:tab w:val="left" w:pos="1640"/>
        </w:tabs>
        <w:spacing w:before="0"/>
        <w:ind w:left="1640" w:right="515"/>
      </w:pPr>
      <w:r w:rsidRPr="00EC20A0">
        <w:t>Most federal entities have a general counsel (i.e., in-house legal counsel) who has</w:t>
      </w:r>
      <w:r w:rsidRPr="00EC20A0">
        <w:rPr>
          <w:spacing w:val="-4"/>
        </w:rPr>
        <w:t xml:space="preserve"> </w:t>
      </w:r>
      <w:r w:rsidRPr="00EC20A0">
        <w:t>primary</w:t>
      </w:r>
      <w:r w:rsidRPr="00EC20A0">
        <w:rPr>
          <w:spacing w:val="-4"/>
        </w:rPr>
        <w:t xml:space="preserve"> </w:t>
      </w:r>
      <w:r w:rsidRPr="00EC20A0">
        <w:t>responsibility</w:t>
      </w:r>
      <w:r w:rsidRPr="00EC20A0">
        <w:rPr>
          <w:spacing w:val="-4"/>
        </w:rPr>
        <w:t xml:space="preserve"> </w:t>
      </w:r>
      <w:r w:rsidRPr="00EC20A0">
        <w:t>for</w:t>
      </w:r>
      <w:r w:rsidRPr="00EC20A0">
        <w:rPr>
          <w:spacing w:val="-4"/>
        </w:rPr>
        <w:t xml:space="preserve"> </w:t>
      </w:r>
      <w:r w:rsidRPr="00EC20A0">
        <w:t>and</w:t>
      </w:r>
      <w:r w:rsidRPr="00EC20A0">
        <w:rPr>
          <w:spacing w:val="-4"/>
        </w:rPr>
        <w:t xml:space="preserve"> </w:t>
      </w:r>
      <w:r w:rsidRPr="00EC20A0">
        <w:t>knowledge</w:t>
      </w:r>
      <w:r w:rsidRPr="00EC20A0">
        <w:rPr>
          <w:spacing w:val="-4"/>
        </w:rPr>
        <w:t xml:space="preserve"> </w:t>
      </w:r>
      <w:r w:rsidRPr="00EC20A0">
        <w:t>about</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litigation,</w:t>
      </w:r>
      <w:r w:rsidRPr="00EC20A0">
        <w:rPr>
          <w:spacing w:val="-5"/>
        </w:rPr>
        <w:t xml:space="preserve"> </w:t>
      </w:r>
      <w:r w:rsidRPr="00EC20A0">
        <w:t>claims, and assessments. The auditor should ask management or the entity’s general counsel</w:t>
      </w:r>
      <w:r w:rsidRPr="00EC20A0">
        <w:rPr>
          <w:spacing w:val="-3"/>
        </w:rPr>
        <w:t xml:space="preserve"> </w:t>
      </w:r>
      <w:r w:rsidRPr="00EC20A0">
        <w:t>whether</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uses</w:t>
      </w:r>
      <w:r w:rsidRPr="00EC20A0">
        <w:rPr>
          <w:spacing w:val="-3"/>
        </w:rPr>
        <w:t xml:space="preserve"> </w:t>
      </w:r>
      <w:r w:rsidRPr="00EC20A0">
        <w:t>external</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whose</w:t>
      </w:r>
      <w:r w:rsidRPr="00EC20A0">
        <w:rPr>
          <w:spacing w:val="-4"/>
        </w:rPr>
        <w:t xml:space="preserve"> </w:t>
      </w:r>
      <w:r w:rsidRPr="00EC20A0">
        <w:t>engagement</w:t>
      </w:r>
      <w:r w:rsidRPr="00EC20A0">
        <w:rPr>
          <w:spacing w:val="-3"/>
        </w:rPr>
        <w:t xml:space="preserve"> </w:t>
      </w:r>
      <w:r w:rsidRPr="00EC20A0">
        <w:t>may be limited to particular matters (e.g., specific litigation).</w:t>
      </w:r>
    </w:p>
    <w:p w14:paraId="24D61E12" w14:textId="77777777" w:rsidR="00245300" w:rsidRPr="00EC20A0" w:rsidRDefault="00F17249">
      <w:pPr>
        <w:pStyle w:val="BodyText"/>
        <w:spacing w:before="240"/>
        <w:ind w:left="1639" w:right="345"/>
      </w:pPr>
      <w:r w:rsidRPr="00EC20A0">
        <w:t>In the federal government, the main legal counsel outside of the entity is the Department of Justice.</w:t>
      </w:r>
      <w:hyperlink w:anchor="_bookmark219" w:history="1">
        <w:r w:rsidRPr="00EC20A0">
          <w:rPr>
            <w:position w:val="7"/>
            <w:sz w:val="14"/>
          </w:rPr>
          <w:t>9</w:t>
        </w:r>
      </w:hyperlink>
      <w:r w:rsidRPr="00EC20A0">
        <w:rPr>
          <w:spacing w:val="25"/>
          <w:position w:val="7"/>
          <w:sz w:val="14"/>
        </w:rPr>
        <w:t xml:space="preserve"> </w:t>
      </w:r>
      <w:r w:rsidRPr="00EC20A0">
        <w:t>Management, the entity’s general counsel, or the auditor may</w:t>
      </w:r>
      <w:r w:rsidRPr="00EC20A0">
        <w:rPr>
          <w:spacing w:val="-4"/>
        </w:rPr>
        <w:t xml:space="preserve"> </w:t>
      </w:r>
      <w:r w:rsidRPr="00EC20A0">
        <w:t>consult</w:t>
      </w:r>
      <w:r w:rsidRPr="00EC20A0">
        <w:rPr>
          <w:spacing w:val="-5"/>
        </w:rPr>
        <w:t xml:space="preserve"> </w:t>
      </w:r>
      <w:r w:rsidRPr="00EC20A0">
        <w:t>with</w:t>
      </w:r>
      <w:r w:rsidRPr="00EC20A0">
        <w:rPr>
          <w:spacing w:val="-4"/>
        </w:rPr>
        <w:t xml:space="preserve"> </w:t>
      </w:r>
      <w:r w:rsidRPr="00EC20A0">
        <w:t>Justice</w:t>
      </w:r>
      <w:r w:rsidRPr="00EC20A0">
        <w:rPr>
          <w:spacing w:val="-5"/>
        </w:rPr>
        <w:t xml:space="preserve"> </w:t>
      </w:r>
      <w:r w:rsidRPr="00EC20A0">
        <w:t>and</w:t>
      </w:r>
      <w:r w:rsidRPr="00EC20A0">
        <w:rPr>
          <w:spacing w:val="-4"/>
        </w:rPr>
        <w:t xml:space="preserve"> </w:t>
      </w:r>
      <w:r w:rsidRPr="00EC20A0">
        <w:t>other</w:t>
      </w:r>
      <w:r w:rsidRPr="00EC20A0">
        <w:rPr>
          <w:spacing w:val="-4"/>
        </w:rPr>
        <w:t xml:space="preserve"> </w:t>
      </w:r>
      <w:r w:rsidRPr="00EC20A0">
        <w:t>external</w:t>
      </w:r>
      <w:r w:rsidRPr="00EC20A0">
        <w:rPr>
          <w:spacing w:val="-4"/>
        </w:rPr>
        <w:t xml:space="preserve"> </w:t>
      </w:r>
      <w:r w:rsidRPr="00EC20A0">
        <w:t>legal</w:t>
      </w:r>
      <w:r w:rsidRPr="00EC20A0">
        <w:rPr>
          <w:spacing w:val="-5"/>
        </w:rPr>
        <w:t xml:space="preserve"> </w:t>
      </w:r>
      <w:r w:rsidRPr="00EC20A0">
        <w:t>counsels</w:t>
      </w:r>
      <w:r w:rsidRPr="00EC20A0">
        <w:rPr>
          <w:spacing w:val="-4"/>
        </w:rPr>
        <w:t xml:space="preserve"> </w:t>
      </w:r>
      <w:r w:rsidRPr="00EC20A0">
        <w:t>to</w:t>
      </w:r>
      <w:r w:rsidRPr="00EC20A0">
        <w:rPr>
          <w:spacing w:val="-5"/>
        </w:rPr>
        <w:t xml:space="preserve"> </w:t>
      </w:r>
      <w:r w:rsidRPr="00EC20A0">
        <w:t>verify</w:t>
      </w:r>
      <w:r w:rsidRPr="00EC20A0">
        <w:rPr>
          <w:spacing w:val="-4"/>
        </w:rPr>
        <w:t xml:space="preserve"> </w:t>
      </w:r>
      <w:r w:rsidRPr="00EC20A0">
        <w:t xml:space="preserve">completeness and accuracy of the presentation of matters related to litigation, claims, and </w:t>
      </w:r>
      <w:r w:rsidRPr="00EC20A0">
        <w:t>assessments. Such consultation may include requesting a list of pending litigation,</w:t>
      </w:r>
      <w:r w:rsidRPr="00EC20A0">
        <w:rPr>
          <w:spacing w:val="-3"/>
        </w:rPr>
        <w:t xml:space="preserve"> </w:t>
      </w:r>
      <w:r w:rsidRPr="00EC20A0">
        <w:t>claims,</w:t>
      </w:r>
      <w:r w:rsidRPr="00EC20A0">
        <w:rPr>
          <w:spacing w:val="-3"/>
        </w:rPr>
        <w:t xml:space="preserve"> </w:t>
      </w:r>
      <w:r w:rsidRPr="00EC20A0">
        <w:t>and</w:t>
      </w:r>
      <w:r w:rsidRPr="00EC20A0">
        <w:rPr>
          <w:spacing w:val="-3"/>
        </w:rPr>
        <w:t xml:space="preserve"> </w:t>
      </w:r>
      <w:r w:rsidRPr="00EC20A0">
        <w:t>assessments</w:t>
      </w:r>
      <w:r w:rsidRPr="00EC20A0">
        <w:rPr>
          <w:spacing w:val="-3"/>
        </w:rPr>
        <w:t xml:space="preserve"> </w:t>
      </w:r>
      <w:r w:rsidRPr="00EC20A0">
        <w:t>from</w:t>
      </w:r>
      <w:r w:rsidRPr="00EC20A0">
        <w:rPr>
          <w:spacing w:val="-3"/>
        </w:rPr>
        <w:t xml:space="preserve"> </w:t>
      </w:r>
      <w:r w:rsidRPr="00EC20A0">
        <w:t>Justice</w:t>
      </w:r>
      <w:r w:rsidRPr="00EC20A0">
        <w:rPr>
          <w:spacing w:val="-4"/>
        </w:rPr>
        <w:t xml:space="preserve"> </w:t>
      </w:r>
      <w:r w:rsidRPr="00EC20A0">
        <w:t>or</w:t>
      </w:r>
      <w:r w:rsidRPr="00EC20A0">
        <w:rPr>
          <w:spacing w:val="-3"/>
        </w:rPr>
        <w:t xml:space="preserve"> </w:t>
      </w:r>
      <w:r w:rsidRPr="00EC20A0">
        <w:t>other</w:t>
      </w:r>
      <w:r w:rsidRPr="00EC20A0">
        <w:rPr>
          <w:spacing w:val="-3"/>
        </w:rPr>
        <w:t xml:space="preserve"> </w:t>
      </w:r>
      <w:r w:rsidRPr="00EC20A0">
        <w:t>external</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or discussion of specific cases.</w:t>
      </w:r>
    </w:p>
    <w:p w14:paraId="24D61E13" w14:textId="77777777" w:rsidR="00245300" w:rsidRPr="00EC20A0" w:rsidRDefault="00F17249">
      <w:pPr>
        <w:pStyle w:val="ListParagraph"/>
        <w:numPr>
          <w:ilvl w:val="0"/>
          <w:numId w:val="66"/>
        </w:numPr>
        <w:tabs>
          <w:tab w:val="left" w:pos="1639"/>
        </w:tabs>
        <w:ind w:right="639"/>
      </w:pPr>
      <w:r w:rsidRPr="00EC20A0">
        <w:t>The auditor should ask the entity to request that its general counsel cover all litigation, claims, and assessments, including matters handled by Justice and other external legal counsel on behalf of the entity. If Justice or other external legal counsel has overall responsibility for handling and evaluating the entity’s litigation, claims, and assessments, the auditor should also seek direct communication</w:t>
      </w:r>
      <w:r w:rsidRPr="00EC20A0">
        <w:rPr>
          <w:spacing w:val="-3"/>
        </w:rPr>
        <w:t xml:space="preserve"> </w:t>
      </w:r>
      <w:r w:rsidRPr="00EC20A0">
        <w:t>with</w:t>
      </w:r>
      <w:r w:rsidRPr="00EC20A0">
        <w:rPr>
          <w:spacing w:val="-3"/>
        </w:rPr>
        <w:t xml:space="preserve"> </w:t>
      </w:r>
      <w:r w:rsidRPr="00EC20A0">
        <w:t>that</w:t>
      </w:r>
      <w:r w:rsidRPr="00EC20A0">
        <w:rPr>
          <w:spacing w:val="-4"/>
        </w:rPr>
        <w:t xml:space="preserve"> </w:t>
      </w:r>
      <w:r w:rsidRPr="00EC20A0">
        <w:t>counsel</w:t>
      </w:r>
      <w:r w:rsidRPr="00EC20A0">
        <w:rPr>
          <w:spacing w:val="-3"/>
        </w:rPr>
        <w:t xml:space="preserve"> </w:t>
      </w:r>
      <w:r w:rsidRPr="00EC20A0">
        <w:t>through</w:t>
      </w:r>
      <w:r w:rsidRPr="00EC20A0">
        <w:rPr>
          <w:spacing w:val="-3"/>
        </w:rPr>
        <w:t xml:space="preserve"> </w:t>
      </w:r>
      <w:r w:rsidRPr="00EC20A0">
        <w:t>a</w:t>
      </w:r>
      <w:r w:rsidRPr="00EC20A0">
        <w:rPr>
          <w:spacing w:val="-3"/>
        </w:rPr>
        <w:t xml:space="preserve"> </w:t>
      </w:r>
      <w:r w:rsidRPr="00EC20A0">
        <w:t>legal</w:t>
      </w:r>
      <w:r w:rsidRPr="00EC20A0">
        <w:rPr>
          <w:spacing w:val="-4"/>
        </w:rPr>
        <w:t xml:space="preserve"> </w:t>
      </w:r>
      <w:r w:rsidRPr="00EC20A0">
        <w:t>counsel</w:t>
      </w:r>
      <w:r w:rsidRPr="00EC20A0">
        <w:rPr>
          <w:spacing w:val="-3"/>
        </w:rPr>
        <w:t xml:space="preserve"> </w:t>
      </w:r>
      <w:r w:rsidRPr="00EC20A0">
        <w:t>request</w:t>
      </w:r>
      <w:r w:rsidRPr="00EC20A0">
        <w:rPr>
          <w:spacing w:val="-3"/>
        </w:rPr>
        <w:t xml:space="preserve"> </w:t>
      </w:r>
      <w:r w:rsidRPr="00EC20A0">
        <w:t>similar</w:t>
      </w:r>
      <w:r w:rsidRPr="00EC20A0">
        <w:rPr>
          <w:spacing w:val="-5"/>
        </w:rPr>
        <w:t xml:space="preserve"> </w:t>
      </w:r>
      <w:r w:rsidRPr="00EC20A0">
        <w:t>to</w:t>
      </w:r>
      <w:r w:rsidRPr="00EC20A0">
        <w:rPr>
          <w:spacing w:val="-3"/>
        </w:rPr>
        <w:t xml:space="preserve"> </w:t>
      </w:r>
      <w:r w:rsidRPr="00EC20A0">
        <w:t>the request made to the entity’s general counsel.</w:t>
      </w:r>
    </w:p>
    <w:p w14:paraId="24D61E14" w14:textId="77777777" w:rsidR="00245300" w:rsidRPr="00EC20A0" w:rsidRDefault="00F17249">
      <w:pPr>
        <w:pStyle w:val="ListParagraph"/>
        <w:numPr>
          <w:ilvl w:val="0"/>
          <w:numId w:val="66"/>
        </w:numPr>
        <w:tabs>
          <w:tab w:val="left" w:pos="1640"/>
        </w:tabs>
        <w:spacing w:before="241"/>
        <w:ind w:left="1640" w:right="381"/>
      </w:pPr>
      <w:r w:rsidRPr="00EC20A0">
        <w:t xml:space="preserve">When the auditor is aware that the entity has changed </w:t>
      </w:r>
      <w:r w:rsidRPr="00EC20A0">
        <w:t>legal counsel or that the legal counsel previously engaged by the entity has resigned, the auditor should consider</w:t>
      </w:r>
      <w:r w:rsidRPr="00EC20A0">
        <w:rPr>
          <w:spacing w:val="-4"/>
        </w:rPr>
        <w:t xml:space="preserve"> </w:t>
      </w:r>
      <w:r w:rsidRPr="00EC20A0">
        <w:t>making</w:t>
      </w:r>
      <w:r w:rsidRPr="00EC20A0">
        <w:rPr>
          <w:spacing w:val="-4"/>
        </w:rPr>
        <w:t xml:space="preserve"> </w:t>
      </w:r>
      <w:r w:rsidRPr="00EC20A0">
        <w:t>inquiries</w:t>
      </w:r>
      <w:r w:rsidRPr="00EC20A0">
        <w:rPr>
          <w:spacing w:val="-4"/>
        </w:rPr>
        <w:t xml:space="preserve"> </w:t>
      </w:r>
      <w:r w:rsidRPr="00EC20A0">
        <w:t>of</w:t>
      </w:r>
      <w:r w:rsidRPr="00EC20A0">
        <w:rPr>
          <w:spacing w:val="-4"/>
        </w:rPr>
        <w:t xml:space="preserve"> </w:t>
      </w:r>
      <w:r w:rsidRPr="00EC20A0">
        <w:t>management</w:t>
      </w:r>
      <w:r w:rsidRPr="00EC20A0">
        <w:rPr>
          <w:spacing w:val="-4"/>
        </w:rPr>
        <w:t xml:space="preserve"> </w:t>
      </w:r>
      <w:r w:rsidRPr="00EC20A0">
        <w:t>or</w:t>
      </w:r>
      <w:r w:rsidRPr="00EC20A0">
        <w:rPr>
          <w:spacing w:val="-4"/>
        </w:rPr>
        <w:t xml:space="preserve"> </w:t>
      </w:r>
      <w:r w:rsidRPr="00EC20A0">
        <w:t>others</w:t>
      </w:r>
      <w:r w:rsidRPr="00EC20A0">
        <w:rPr>
          <w:spacing w:val="-4"/>
        </w:rPr>
        <w:t xml:space="preserve"> </w:t>
      </w:r>
      <w:r w:rsidRPr="00EC20A0">
        <w:t>about</w:t>
      </w:r>
      <w:r w:rsidRPr="00EC20A0">
        <w:rPr>
          <w:spacing w:val="-4"/>
        </w:rPr>
        <w:t xml:space="preserve"> </w:t>
      </w:r>
      <w:r w:rsidRPr="00EC20A0">
        <w:t>the</w:t>
      </w:r>
      <w:r w:rsidRPr="00EC20A0">
        <w:rPr>
          <w:spacing w:val="-4"/>
        </w:rPr>
        <w:t xml:space="preserve"> </w:t>
      </w:r>
      <w:r w:rsidRPr="00EC20A0">
        <w:t>reasons</w:t>
      </w:r>
      <w:r w:rsidRPr="00EC20A0">
        <w:rPr>
          <w:spacing w:val="-4"/>
        </w:rPr>
        <w:t xml:space="preserve"> </w:t>
      </w:r>
      <w:r w:rsidRPr="00EC20A0">
        <w:t>such</w:t>
      </w:r>
      <w:r w:rsidRPr="00EC20A0">
        <w:rPr>
          <w:spacing w:val="-4"/>
        </w:rPr>
        <w:t xml:space="preserve"> </w:t>
      </w:r>
      <w:r w:rsidRPr="00EC20A0">
        <w:t>legal counsel is no longer associated with the entity (AU-C 501.24).</w:t>
      </w:r>
    </w:p>
    <w:p w14:paraId="24D61E15" w14:textId="77777777" w:rsidR="00245300" w:rsidRPr="00EC20A0" w:rsidRDefault="00245300">
      <w:pPr>
        <w:pStyle w:val="BodyText"/>
        <w:rPr>
          <w:sz w:val="20"/>
        </w:rPr>
      </w:pPr>
    </w:p>
    <w:p w14:paraId="24D61E16" w14:textId="77777777" w:rsidR="00245300" w:rsidRPr="00EC20A0" w:rsidRDefault="00F17249">
      <w:pPr>
        <w:pStyle w:val="BodyText"/>
        <w:spacing w:before="37"/>
        <w:rPr>
          <w:sz w:val="20"/>
        </w:rPr>
      </w:pPr>
      <w:r w:rsidRPr="00EC20A0">
        <w:rPr>
          <w:noProof/>
        </w:rPr>
        <mc:AlternateContent>
          <mc:Choice Requires="wps">
            <w:drawing>
              <wp:anchor distT="0" distB="0" distL="0" distR="0" simplePos="0" relativeHeight="487725568" behindDoc="1" locked="0" layoutInCell="1" allowOverlap="1" wp14:anchorId="24D62CCF" wp14:editId="24D62CD0">
                <wp:simplePos x="0" y="0"/>
                <wp:positionH relativeFrom="page">
                  <wp:posOffset>914400</wp:posOffset>
                </wp:positionH>
                <wp:positionV relativeFrom="paragraph">
                  <wp:posOffset>185330</wp:posOffset>
                </wp:positionV>
                <wp:extent cx="1828800" cy="5715"/>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A76C6" id="Graphic 940" o:spid="_x0000_s1026" style="position:absolute;margin-left:1in;margin-top:14.6pt;width:2in;height:.45pt;z-index:-1559091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" path="m1828800,l,,,5334r1828800,l1828800,xe" fillcolor="black" stroked="f">
                <v:path arrowok="t"/>
                <w10:wrap type="topAndBottom" anchorx="page"/>
              </v:shape>
            </w:pict>
          </mc:Fallback>
        </mc:AlternateContent>
      </w:r>
    </w:p>
    <w:p w14:paraId="24D61E17" w14:textId="77777777" w:rsidR="00245300" w:rsidRPr="00EC20A0" w:rsidRDefault="00F17249">
      <w:pPr>
        <w:spacing w:before="200" w:line="242" w:lineRule="auto"/>
        <w:ind w:left="197" w:right="337" w:firstLine="2"/>
        <w:rPr>
          <w:sz w:val="18"/>
        </w:rPr>
      </w:pPr>
      <w:bookmarkStart w:id="392" w:name="_bookmark219"/>
      <w:bookmarkEnd w:id="392"/>
      <w:r w:rsidRPr="00EC20A0">
        <w:rPr>
          <w:position w:val="7"/>
          <w:sz w:val="14"/>
        </w:rPr>
        <w:t>9</w:t>
      </w:r>
      <w:r w:rsidRPr="00EC20A0">
        <w:rPr>
          <w:sz w:val="18"/>
        </w:rPr>
        <w:t>The Accounting and Auditing Policy Committee (AAPC) guidance (Technical Release No. 1) clarifies FASAB Interpretation</w:t>
      </w:r>
      <w:r w:rsidRPr="00EC20A0">
        <w:rPr>
          <w:spacing w:val="-1"/>
          <w:sz w:val="18"/>
        </w:rPr>
        <w:t xml:space="preserve"> </w:t>
      </w:r>
      <w:r w:rsidRPr="00EC20A0">
        <w:rPr>
          <w:sz w:val="18"/>
        </w:rPr>
        <w:t>No.</w:t>
      </w:r>
      <w:r w:rsidRPr="00EC20A0">
        <w:rPr>
          <w:spacing w:val="-2"/>
          <w:sz w:val="18"/>
        </w:rPr>
        <w:t xml:space="preserve"> </w:t>
      </w:r>
      <w:r w:rsidRPr="00EC20A0">
        <w:rPr>
          <w:sz w:val="18"/>
        </w:rPr>
        <w:t>2,</w:t>
      </w:r>
      <w:r w:rsidRPr="00EC20A0">
        <w:rPr>
          <w:spacing w:val="-2"/>
          <w:sz w:val="18"/>
        </w:rPr>
        <w:t xml:space="preserve"> </w:t>
      </w:r>
      <w:r w:rsidRPr="00EC20A0">
        <w:rPr>
          <w:sz w:val="18"/>
        </w:rPr>
        <w:t>with</w:t>
      </w:r>
      <w:r w:rsidRPr="00EC20A0">
        <w:rPr>
          <w:spacing w:val="-3"/>
          <w:sz w:val="18"/>
        </w:rPr>
        <w:t xml:space="preserve"> </w:t>
      </w:r>
      <w:r w:rsidRPr="00EC20A0">
        <w:rPr>
          <w:sz w:val="18"/>
        </w:rPr>
        <w:t>respect</w:t>
      </w:r>
      <w:r w:rsidRPr="00EC20A0">
        <w:rPr>
          <w:spacing w:val="-2"/>
          <w:sz w:val="18"/>
        </w:rPr>
        <w:t xml:space="preserve"> </w:t>
      </w:r>
      <w:r w:rsidRPr="00EC20A0">
        <w:rPr>
          <w:sz w:val="18"/>
        </w:rPr>
        <w:t>to</w:t>
      </w:r>
      <w:r w:rsidRPr="00EC20A0">
        <w:rPr>
          <w:spacing w:val="-3"/>
          <w:sz w:val="18"/>
        </w:rPr>
        <w:t xml:space="preserve"> </w:t>
      </w:r>
      <w:r w:rsidRPr="00EC20A0">
        <w:rPr>
          <w:sz w:val="18"/>
        </w:rPr>
        <w:t>Justice’s</w:t>
      </w:r>
      <w:r w:rsidRPr="00EC20A0">
        <w:rPr>
          <w:spacing w:val="-2"/>
          <w:sz w:val="18"/>
        </w:rPr>
        <w:t xml:space="preserve"> </w:t>
      </w:r>
      <w:r w:rsidRPr="00EC20A0">
        <w:rPr>
          <w:sz w:val="18"/>
        </w:rPr>
        <w:t>role</w:t>
      </w:r>
      <w:r w:rsidRPr="00EC20A0">
        <w:rPr>
          <w:spacing w:val="-3"/>
          <w:sz w:val="18"/>
        </w:rPr>
        <w:t xml:space="preserve"> </w:t>
      </w:r>
      <w:r w:rsidRPr="00EC20A0">
        <w:rPr>
          <w:sz w:val="18"/>
        </w:rPr>
        <w:t>related</w:t>
      </w:r>
      <w:r w:rsidRPr="00EC20A0">
        <w:rPr>
          <w:spacing w:val="-3"/>
          <w:sz w:val="18"/>
        </w:rPr>
        <w:t xml:space="preserve"> </w:t>
      </w:r>
      <w:r w:rsidRPr="00EC20A0">
        <w:rPr>
          <w:sz w:val="18"/>
        </w:rPr>
        <w:t>to</w:t>
      </w:r>
      <w:r w:rsidRPr="00EC20A0">
        <w:rPr>
          <w:spacing w:val="-3"/>
          <w:sz w:val="18"/>
        </w:rPr>
        <w:t xml:space="preserve"> </w:t>
      </w:r>
      <w:r w:rsidRPr="00EC20A0">
        <w:rPr>
          <w:sz w:val="18"/>
        </w:rPr>
        <w:t>legal</w:t>
      </w:r>
      <w:r w:rsidRPr="00EC20A0">
        <w:rPr>
          <w:spacing w:val="-2"/>
          <w:sz w:val="18"/>
        </w:rPr>
        <w:t xml:space="preserve"> </w:t>
      </w:r>
      <w:r w:rsidRPr="00EC20A0">
        <w:rPr>
          <w:sz w:val="18"/>
        </w:rPr>
        <w:t>counsel</w:t>
      </w:r>
      <w:r w:rsidRPr="00EC20A0">
        <w:rPr>
          <w:spacing w:val="-1"/>
          <w:sz w:val="18"/>
        </w:rPr>
        <w:t xml:space="preserve"> </w:t>
      </w:r>
      <w:r w:rsidRPr="00EC20A0">
        <w:rPr>
          <w:sz w:val="18"/>
        </w:rPr>
        <w:t>responses</w:t>
      </w:r>
      <w:r w:rsidRPr="00EC20A0">
        <w:rPr>
          <w:spacing w:val="-2"/>
          <w:sz w:val="18"/>
        </w:rPr>
        <w:t xml:space="preserve"> </w:t>
      </w:r>
      <w:r w:rsidRPr="00EC20A0">
        <w:rPr>
          <w:sz w:val="18"/>
        </w:rPr>
        <w:t>for</w:t>
      </w:r>
      <w:r w:rsidRPr="00EC20A0">
        <w:rPr>
          <w:spacing w:val="-2"/>
          <w:sz w:val="18"/>
        </w:rPr>
        <w:t xml:space="preserve"> </w:t>
      </w:r>
      <w:r w:rsidRPr="00EC20A0">
        <w:rPr>
          <w:sz w:val="18"/>
        </w:rPr>
        <w:t>cases</w:t>
      </w:r>
      <w:r w:rsidRPr="00EC20A0">
        <w:rPr>
          <w:spacing w:val="-2"/>
          <w:sz w:val="18"/>
        </w:rPr>
        <w:t xml:space="preserve"> </w:t>
      </w:r>
      <w:r w:rsidRPr="00EC20A0">
        <w:rPr>
          <w:sz w:val="18"/>
        </w:rPr>
        <w:t>in</w:t>
      </w:r>
      <w:r w:rsidRPr="00EC20A0">
        <w:rPr>
          <w:spacing w:val="-3"/>
          <w:sz w:val="18"/>
        </w:rPr>
        <w:t xml:space="preserve"> </w:t>
      </w:r>
      <w:r w:rsidRPr="00EC20A0">
        <w:rPr>
          <w:sz w:val="18"/>
        </w:rPr>
        <w:t>which</w:t>
      </w:r>
      <w:r w:rsidRPr="00EC20A0">
        <w:rPr>
          <w:spacing w:val="-1"/>
          <w:sz w:val="18"/>
        </w:rPr>
        <w:t xml:space="preserve"> </w:t>
      </w:r>
      <w:r w:rsidRPr="00EC20A0">
        <w:rPr>
          <w:sz w:val="18"/>
        </w:rPr>
        <w:t>Justice’s</w:t>
      </w:r>
      <w:r w:rsidRPr="00EC20A0">
        <w:rPr>
          <w:spacing w:val="-2"/>
          <w:sz w:val="18"/>
        </w:rPr>
        <w:t xml:space="preserve"> </w:t>
      </w:r>
      <w:r w:rsidRPr="00EC20A0">
        <w:rPr>
          <w:sz w:val="18"/>
        </w:rPr>
        <w:t>legal counsels handle legal matters on behalf of other federal reporting entities. The legal counsel response from the entity’s general counsel may provide sufficient evidence for the auditor in such cases. If the auditor determines that additional evidence is needed about a specific case, t</w:t>
      </w:r>
      <w:r w:rsidRPr="00EC20A0">
        <w:rPr>
          <w:sz w:val="18"/>
        </w:rPr>
        <w:t>he auditor may request that entity management and the legal counsel send a legal counsel request to Justice, directed to the lead Justice legal counsel handling the case, asking that counsel to provide a description and evaluation of the case directly to the auditor.</w:t>
      </w:r>
    </w:p>
    <w:p w14:paraId="24D61E18" w14:textId="77777777" w:rsidR="00245300" w:rsidRPr="00EC20A0" w:rsidRDefault="00245300">
      <w:pPr>
        <w:spacing w:line="242" w:lineRule="auto"/>
        <w:rPr>
          <w:sz w:val="18"/>
        </w:rPr>
        <w:sectPr w:rsidR="00245300" w:rsidRPr="00EC20A0">
          <w:pgSz w:w="12240" w:h="15840"/>
          <w:pgMar w:top="1340" w:right="1100" w:bottom="940" w:left="1240" w:header="721" w:footer="757" w:gutter="0"/>
          <w:cols w:space="720"/>
        </w:sectPr>
      </w:pPr>
    </w:p>
    <w:p w14:paraId="24D61E19" w14:textId="77777777" w:rsidR="00245300" w:rsidRPr="00EC20A0" w:rsidRDefault="00F17249">
      <w:pPr>
        <w:pStyle w:val="ListParagraph"/>
        <w:numPr>
          <w:ilvl w:val="0"/>
          <w:numId w:val="66"/>
        </w:numPr>
        <w:tabs>
          <w:tab w:val="left" w:pos="1639"/>
        </w:tabs>
        <w:spacing w:before="121"/>
        <w:ind w:right="676" w:hanging="720"/>
      </w:pPr>
      <w:r w:rsidRPr="00EC20A0">
        <w:t>Based on AU-C 501.23, the auditor should request, through the legal counsel request discussed in FAM 1002.12, that the entity’s legal counsel inform the auditor</w:t>
      </w:r>
      <w:r w:rsidRPr="00EC20A0">
        <w:rPr>
          <w:spacing w:val="-3"/>
        </w:rPr>
        <w:t xml:space="preserve"> </w:t>
      </w:r>
      <w:r w:rsidRPr="00EC20A0">
        <w:t>of</w:t>
      </w:r>
      <w:r w:rsidRPr="00EC20A0">
        <w:rPr>
          <w:spacing w:val="-3"/>
        </w:rPr>
        <w:t xml:space="preserve"> </w:t>
      </w:r>
      <w:r w:rsidRPr="00EC20A0">
        <w:t>any</w:t>
      </w:r>
      <w:r w:rsidRPr="00EC20A0">
        <w:rPr>
          <w:spacing w:val="-3"/>
        </w:rPr>
        <w:t xml:space="preserve"> </w:t>
      </w:r>
      <w:r w:rsidRPr="00EC20A0">
        <w:t>litigation,</w:t>
      </w:r>
      <w:r w:rsidRPr="00EC20A0">
        <w:rPr>
          <w:spacing w:val="-3"/>
        </w:rPr>
        <w:t xml:space="preserve"> </w:t>
      </w:r>
      <w:r w:rsidRPr="00EC20A0">
        <w:t>claims,</w:t>
      </w:r>
      <w:r w:rsidRPr="00EC20A0">
        <w:rPr>
          <w:spacing w:val="-3"/>
        </w:rPr>
        <w:t xml:space="preserve"> </w:t>
      </w:r>
      <w:r w:rsidRPr="00EC20A0">
        <w:t>and</w:t>
      </w:r>
      <w:r w:rsidRPr="00EC20A0">
        <w:rPr>
          <w:spacing w:val="-3"/>
        </w:rPr>
        <w:t xml:space="preserve"> </w:t>
      </w:r>
      <w:r w:rsidRPr="00EC20A0">
        <w:t>assessments</w:t>
      </w:r>
      <w:r w:rsidRPr="00EC20A0">
        <w:rPr>
          <w:spacing w:val="-4"/>
        </w:rPr>
        <w:t xml:space="preserve"> </w:t>
      </w:r>
      <w:r w:rsidRPr="00EC20A0">
        <w:t>that</w:t>
      </w:r>
      <w:r w:rsidRPr="00EC20A0">
        <w:rPr>
          <w:spacing w:val="-3"/>
        </w:rPr>
        <w:t xml:space="preserve"> </w:t>
      </w:r>
      <w:r w:rsidRPr="00EC20A0">
        <w:t>the</w:t>
      </w:r>
      <w:r w:rsidRPr="00EC20A0">
        <w:rPr>
          <w:spacing w:val="-3"/>
        </w:rPr>
        <w:t xml:space="preserve"> </w:t>
      </w:r>
      <w:r w:rsidRPr="00EC20A0">
        <w:t>counsel</w:t>
      </w:r>
      <w:r w:rsidRPr="00EC20A0">
        <w:rPr>
          <w:spacing w:val="-3"/>
        </w:rPr>
        <w:t xml:space="preserve"> </w:t>
      </w:r>
      <w:r w:rsidRPr="00EC20A0">
        <w:t>is</w:t>
      </w:r>
      <w:r w:rsidRPr="00EC20A0">
        <w:rPr>
          <w:spacing w:val="-3"/>
        </w:rPr>
        <w:t xml:space="preserve"> </w:t>
      </w:r>
      <w:r w:rsidRPr="00EC20A0">
        <w:t>aware</w:t>
      </w:r>
      <w:r w:rsidRPr="00EC20A0">
        <w:rPr>
          <w:spacing w:val="-3"/>
        </w:rPr>
        <w:t xml:space="preserve"> </w:t>
      </w:r>
      <w:r w:rsidRPr="00EC20A0">
        <w:t xml:space="preserve">of, and provide an assessment of the outcome of the litigation, claims, and assessments and an estimate of the financial implications, including losses involved. The legal counsel request should include, but not be limited </w:t>
      </w:r>
      <w:proofErr w:type="spellStart"/>
      <w:r w:rsidRPr="00EC20A0">
        <w:t>to,</w:t>
      </w:r>
      <w:proofErr w:type="spellEnd"/>
      <w:r w:rsidRPr="00EC20A0">
        <w:t xml:space="preserve"> the following matters:</w:t>
      </w:r>
    </w:p>
    <w:p w14:paraId="24D61E1A" w14:textId="77777777" w:rsidR="00245300" w:rsidRPr="00EC20A0" w:rsidRDefault="00F17249">
      <w:pPr>
        <w:pStyle w:val="ListParagraph"/>
        <w:numPr>
          <w:ilvl w:val="1"/>
          <w:numId w:val="66"/>
        </w:numPr>
        <w:tabs>
          <w:tab w:val="left" w:pos="1997"/>
          <w:tab w:val="left" w:pos="1999"/>
        </w:tabs>
        <w:spacing w:before="239"/>
        <w:ind w:right="402" w:hanging="361"/>
      </w:pPr>
      <w:r w:rsidRPr="00EC20A0">
        <w:t>identification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including</w:t>
      </w:r>
      <w:r w:rsidRPr="00EC20A0">
        <w:rPr>
          <w:spacing w:val="-4"/>
        </w:rPr>
        <w:t xml:space="preserve"> </w:t>
      </w:r>
      <w:r w:rsidRPr="00EC20A0">
        <w:t>any</w:t>
      </w:r>
      <w:r w:rsidRPr="00EC20A0">
        <w:rPr>
          <w:spacing w:val="-4"/>
        </w:rPr>
        <w:t xml:space="preserve"> </w:t>
      </w:r>
      <w:r w:rsidRPr="00EC20A0">
        <w:t>subcomponents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and</w:t>
      </w:r>
      <w:r w:rsidRPr="00EC20A0">
        <w:rPr>
          <w:spacing w:val="-4"/>
        </w:rPr>
        <w:t xml:space="preserve"> </w:t>
      </w:r>
      <w:r w:rsidRPr="00EC20A0">
        <w:t>the date of the audit;</w:t>
      </w:r>
    </w:p>
    <w:p w14:paraId="24D61E1B" w14:textId="77777777" w:rsidR="00245300" w:rsidRPr="00EC20A0" w:rsidRDefault="00F17249">
      <w:pPr>
        <w:pStyle w:val="ListParagraph"/>
        <w:numPr>
          <w:ilvl w:val="1"/>
          <w:numId w:val="66"/>
        </w:numPr>
        <w:tabs>
          <w:tab w:val="left" w:pos="1999"/>
        </w:tabs>
        <w:spacing w:before="241"/>
        <w:ind w:right="509"/>
      </w:pPr>
      <w:r w:rsidRPr="00EC20A0">
        <w:t>a list prepared by management (or a request by management that the legal counsel prepare a list) that describes and evaluates pending or threatened litigation, claims, and assessments with respect to which legal counsel has been</w:t>
      </w:r>
      <w:r w:rsidRPr="00EC20A0">
        <w:rPr>
          <w:spacing w:val="-4"/>
        </w:rPr>
        <w:t xml:space="preserve"> </w:t>
      </w:r>
      <w:r w:rsidRPr="00EC20A0">
        <w:t>engaged</w:t>
      </w:r>
      <w:r w:rsidRPr="00EC20A0">
        <w:rPr>
          <w:spacing w:val="-4"/>
        </w:rPr>
        <w:t xml:space="preserve"> </w:t>
      </w:r>
      <w:r w:rsidRPr="00EC20A0">
        <w:t>and</w:t>
      </w:r>
      <w:r w:rsidRPr="00EC20A0">
        <w:rPr>
          <w:spacing w:val="-4"/>
        </w:rPr>
        <w:t xml:space="preserve"> </w:t>
      </w:r>
      <w:r w:rsidRPr="00EC20A0">
        <w:t>to</w:t>
      </w:r>
      <w:r w:rsidRPr="00EC20A0">
        <w:rPr>
          <w:spacing w:val="-4"/>
        </w:rPr>
        <w:t xml:space="preserve"> </w:t>
      </w:r>
      <w:r w:rsidRPr="00EC20A0">
        <w:t>which</w:t>
      </w:r>
      <w:r w:rsidRPr="00EC20A0">
        <w:rPr>
          <w:spacing w:val="-4"/>
        </w:rPr>
        <w:t xml:space="preserve"> </w:t>
      </w:r>
      <w:r w:rsidRPr="00EC20A0">
        <w:t>legal</w:t>
      </w:r>
      <w:r w:rsidRPr="00EC20A0">
        <w:rPr>
          <w:spacing w:val="-5"/>
        </w:rPr>
        <w:t xml:space="preserve"> </w:t>
      </w:r>
      <w:r w:rsidRPr="00EC20A0">
        <w:t>counsel</w:t>
      </w:r>
      <w:r w:rsidRPr="00EC20A0">
        <w:rPr>
          <w:spacing w:val="-3"/>
        </w:rPr>
        <w:t xml:space="preserve"> </w:t>
      </w:r>
      <w:r w:rsidRPr="00EC20A0">
        <w:t>has</w:t>
      </w:r>
      <w:r w:rsidRPr="00EC20A0">
        <w:rPr>
          <w:spacing w:val="-4"/>
        </w:rPr>
        <w:t xml:space="preserve"> </w:t>
      </w:r>
      <w:r w:rsidRPr="00EC20A0">
        <w:t>devoted</w:t>
      </w:r>
      <w:r w:rsidRPr="00EC20A0">
        <w:rPr>
          <w:spacing w:val="-4"/>
        </w:rPr>
        <w:t xml:space="preserve"> </w:t>
      </w:r>
      <w:r w:rsidRPr="00EC20A0">
        <w:t>substantive</w:t>
      </w:r>
      <w:r w:rsidRPr="00EC20A0">
        <w:rPr>
          <w:spacing w:val="-4"/>
        </w:rPr>
        <w:t xml:space="preserve"> </w:t>
      </w:r>
      <w:r w:rsidRPr="00EC20A0">
        <w:t>attention on behalf of the entity in the form of legal consultation or representation;</w:t>
      </w:r>
    </w:p>
    <w:p w14:paraId="24D61E1C" w14:textId="77777777" w:rsidR="00245300" w:rsidRPr="00EC20A0" w:rsidRDefault="00F17249">
      <w:pPr>
        <w:pStyle w:val="ListParagraph"/>
        <w:numPr>
          <w:ilvl w:val="1"/>
          <w:numId w:val="66"/>
        </w:numPr>
        <w:tabs>
          <w:tab w:val="left" w:pos="1998"/>
        </w:tabs>
        <w:spacing w:before="239"/>
        <w:ind w:left="1998" w:right="513"/>
      </w:pPr>
      <w:r w:rsidRPr="00EC20A0">
        <w:t>a list prepared by management (or by general counsel if general counsel is part of management) that describes and evaluates unasserted claims and assessments that management considers to be probable of assertion and that, if asserted, would have at least a reasonable possibility of an unfavorable</w:t>
      </w:r>
      <w:r w:rsidRPr="00EC20A0">
        <w:rPr>
          <w:spacing w:val="-5"/>
        </w:rPr>
        <w:t xml:space="preserve"> </w:t>
      </w:r>
      <w:r w:rsidRPr="00EC20A0">
        <w:t>outcome</w:t>
      </w:r>
      <w:r w:rsidRPr="00EC20A0">
        <w:rPr>
          <w:spacing w:val="-4"/>
        </w:rPr>
        <w:t xml:space="preserve"> </w:t>
      </w:r>
      <w:r w:rsidRPr="00EC20A0">
        <w:t>with</w:t>
      </w:r>
      <w:r w:rsidRPr="00EC20A0">
        <w:rPr>
          <w:spacing w:val="-4"/>
        </w:rPr>
        <w:t xml:space="preserve"> </w:t>
      </w:r>
      <w:r w:rsidRPr="00EC20A0">
        <w:t>respect</w:t>
      </w:r>
      <w:r w:rsidRPr="00EC20A0">
        <w:rPr>
          <w:spacing w:val="-4"/>
        </w:rPr>
        <w:t xml:space="preserve"> </w:t>
      </w:r>
      <w:r w:rsidRPr="00EC20A0">
        <w:t>to</w:t>
      </w:r>
      <w:r w:rsidRPr="00EC20A0">
        <w:rPr>
          <w:spacing w:val="-5"/>
        </w:rPr>
        <w:t xml:space="preserve"> </w:t>
      </w:r>
      <w:r w:rsidRPr="00EC20A0">
        <w:t>which</w:t>
      </w:r>
      <w:r w:rsidRPr="00EC20A0">
        <w:rPr>
          <w:spacing w:val="-4"/>
        </w:rPr>
        <w:t xml:space="preserve"> </w:t>
      </w:r>
      <w:r w:rsidRPr="00EC20A0">
        <w:t>legal</w:t>
      </w:r>
      <w:r w:rsidRPr="00EC20A0">
        <w:rPr>
          <w:spacing w:val="-5"/>
        </w:rPr>
        <w:t xml:space="preserve"> </w:t>
      </w:r>
      <w:r w:rsidRPr="00EC20A0">
        <w:t>counsel</w:t>
      </w:r>
      <w:r w:rsidRPr="00EC20A0">
        <w:rPr>
          <w:spacing w:val="-4"/>
        </w:rPr>
        <w:t xml:space="preserve"> </w:t>
      </w:r>
      <w:r w:rsidRPr="00EC20A0">
        <w:t>has</w:t>
      </w:r>
      <w:r w:rsidRPr="00EC20A0">
        <w:rPr>
          <w:spacing w:val="-5"/>
        </w:rPr>
        <w:t xml:space="preserve"> </w:t>
      </w:r>
      <w:r w:rsidRPr="00EC20A0">
        <w:t>been</w:t>
      </w:r>
      <w:r w:rsidRPr="00EC20A0">
        <w:rPr>
          <w:spacing w:val="-4"/>
        </w:rPr>
        <w:t xml:space="preserve"> </w:t>
      </w:r>
      <w:r w:rsidRPr="00EC20A0">
        <w:t>engaged and to which legal counsel has devoted substantive attention on the entity’s behalf in the form of legal consultation or representation;</w:t>
      </w:r>
    </w:p>
    <w:p w14:paraId="24D61E1D" w14:textId="77777777" w:rsidR="00245300" w:rsidRPr="00EC20A0" w:rsidRDefault="00F17249">
      <w:pPr>
        <w:pStyle w:val="ListParagraph"/>
        <w:numPr>
          <w:ilvl w:val="1"/>
          <w:numId w:val="66"/>
        </w:numPr>
        <w:tabs>
          <w:tab w:val="left" w:pos="1998"/>
        </w:tabs>
        <w:spacing w:before="241"/>
        <w:ind w:left="1998" w:right="353"/>
      </w:pPr>
      <w:r w:rsidRPr="00EC20A0">
        <w:t>regarding each matter listed in item b, a request that legal counsel either provide</w:t>
      </w:r>
      <w:r w:rsidRPr="00EC20A0">
        <w:rPr>
          <w:spacing w:val="-3"/>
        </w:rPr>
        <w:t xml:space="preserve"> </w:t>
      </w:r>
      <w:r w:rsidRPr="00EC20A0">
        <w:t>the</w:t>
      </w:r>
      <w:r w:rsidRPr="00EC20A0">
        <w:rPr>
          <w:spacing w:val="-3"/>
        </w:rPr>
        <w:t xml:space="preserve"> </w:t>
      </w:r>
      <w:r w:rsidRPr="00EC20A0">
        <w:t>following</w:t>
      </w:r>
      <w:r w:rsidRPr="00EC20A0">
        <w:rPr>
          <w:spacing w:val="-3"/>
        </w:rPr>
        <w:t xml:space="preserve"> </w:t>
      </w:r>
      <w:r w:rsidRPr="00EC20A0">
        <w:t>information</w:t>
      </w:r>
      <w:r w:rsidRPr="00EC20A0">
        <w:rPr>
          <w:spacing w:val="-3"/>
        </w:rPr>
        <w:t xml:space="preserve"> </w:t>
      </w:r>
      <w:r w:rsidRPr="00EC20A0">
        <w:t>or</w:t>
      </w:r>
      <w:r w:rsidRPr="00EC20A0">
        <w:rPr>
          <w:spacing w:val="-3"/>
        </w:rPr>
        <w:t xml:space="preserve"> </w:t>
      </w:r>
      <w:r w:rsidRPr="00EC20A0">
        <w:t>comment</w:t>
      </w:r>
      <w:r w:rsidRPr="00EC20A0">
        <w:rPr>
          <w:spacing w:val="-3"/>
        </w:rPr>
        <w:t xml:space="preserve"> </w:t>
      </w:r>
      <w:r w:rsidRPr="00EC20A0">
        <w:t>on</w:t>
      </w:r>
      <w:r w:rsidRPr="00EC20A0">
        <w:rPr>
          <w:spacing w:val="-3"/>
        </w:rPr>
        <w:t xml:space="preserve"> </w:t>
      </w:r>
      <w:r w:rsidRPr="00EC20A0">
        <w:t>those</w:t>
      </w:r>
      <w:r w:rsidRPr="00EC20A0">
        <w:rPr>
          <w:spacing w:val="-3"/>
        </w:rPr>
        <w:t xml:space="preserve"> </w:t>
      </w:r>
      <w:r w:rsidRPr="00EC20A0">
        <w:t>matters</w:t>
      </w:r>
      <w:r w:rsidRPr="00EC20A0">
        <w:rPr>
          <w:spacing w:val="-3"/>
        </w:rPr>
        <w:t xml:space="preserve"> </w:t>
      </w:r>
      <w:r w:rsidRPr="00EC20A0">
        <w:t>on</w:t>
      </w:r>
      <w:r w:rsidRPr="00EC20A0">
        <w:rPr>
          <w:spacing w:val="-3"/>
        </w:rPr>
        <w:t xml:space="preserve"> </w:t>
      </w:r>
      <w:r w:rsidRPr="00EC20A0">
        <w:t>which</w:t>
      </w:r>
      <w:r w:rsidRPr="00EC20A0">
        <w:rPr>
          <w:spacing w:val="-3"/>
        </w:rPr>
        <w:t xml:space="preserve"> </w:t>
      </w:r>
      <w:r w:rsidRPr="00EC20A0">
        <w:t>legal counsel’s</w:t>
      </w:r>
      <w:r w:rsidRPr="00EC20A0">
        <w:rPr>
          <w:spacing w:val="-4"/>
        </w:rPr>
        <w:t xml:space="preserve"> </w:t>
      </w:r>
      <w:r w:rsidRPr="00EC20A0">
        <w:t>views</w:t>
      </w:r>
      <w:r w:rsidRPr="00EC20A0">
        <w:rPr>
          <w:spacing w:val="-4"/>
        </w:rPr>
        <w:t xml:space="preserve"> </w:t>
      </w:r>
      <w:r w:rsidRPr="00EC20A0">
        <w:t>may</w:t>
      </w:r>
      <w:r w:rsidRPr="00EC20A0">
        <w:rPr>
          <w:spacing w:val="-4"/>
        </w:rPr>
        <w:t xml:space="preserve"> </w:t>
      </w:r>
      <w:r w:rsidRPr="00EC20A0">
        <w:t>differ</w:t>
      </w:r>
      <w:r w:rsidRPr="00EC20A0">
        <w:rPr>
          <w:spacing w:val="-4"/>
        </w:rPr>
        <w:t xml:space="preserve"> </w:t>
      </w:r>
      <w:r w:rsidRPr="00EC20A0">
        <w:t>from</w:t>
      </w:r>
      <w:r w:rsidRPr="00EC20A0">
        <w:rPr>
          <w:spacing w:val="-5"/>
        </w:rPr>
        <w:t xml:space="preserve"> </w:t>
      </w:r>
      <w:r w:rsidRPr="00EC20A0">
        <w:t>those</w:t>
      </w:r>
      <w:r w:rsidRPr="00EC20A0">
        <w:rPr>
          <w:spacing w:val="-4"/>
        </w:rPr>
        <w:t xml:space="preserve"> </w:t>
      </w:r>
      <w:r w:rsidRPr="00EC20A0">
        <w:t>stated</w:t>
      </w:r>
      <w:r w:rsidRPr="00EC20A0">
        <w:rPr>
          <w:spacing w:val="-4"/>
        </w:rPr>
        <w:t xml:space="preserve"> </w:t>
      </w:r>
      <w:r w:rsidRPr="00EC20A0">
        <w:t>by</w:t>
      </w:r>
      <w:r w:rsidRPr="00EC20A0">
        <w:rPr>
          <w:spacing w:val="-5"/>
        </w:rPr>
        <w:t xml:space="preserve"> </w:t>
      </w:r>
      <w:r w:rsidRPr="00EC20A0">
        <w:t>management,</w:t>
      </w:r>
      <w:r w:rsidRPr="00EC20A0">
        <w:rPr>
          <w:spacing w:val="-4"/>
        </w:rPr>
        <w:t xml:space="preserve"> </w:t>
      </w:r>
      <w:r w:rsidRPr="00EC20A0">
        <w:t>as</w:t>
      </w:r>
      <w:r w:rsidRPr="00EC20A0">
        <w:rPr>
          <w:spacing w:val="-4"/>
        </w:rPr>
        <w:t xml:space="preserve"> </w:t>
      </w:r>
      <w:r w:rsidRPr="00EC20A0">
        <w:t>appropriate:</w:t>
      </w:r>
    </w:p>
    <w:p w14:paraId="24D61E1E" w14:textId="77777777" w:rsidR="00245300" w:rsidRPr="00EC20A0" w:rsidRDefault="00F17249">
      <w:pPr>
        <w:pStyle w:val="ListParagraph"/>
        <w:numPr>
          <w:ilvl w:val="2"/>
          <w:numId w:val="66"/>
        </w:numPr>
        <w:tabs>
          <w:tab w:val="left" w:pos="2356"/>
          <w:tab w:val="left" w:pos="2358"/>
        </w:tabs>
        <w:spacing w:before="239"/>
        <w:ind w:right="423"/>
        <w:jc w:val="left"/>
      </w:pPr>
      <w:r w:rsidRPr="00EC20A0">
        <w:t>a</w:t>
      </w:r>
      <w:r w:rsidRPr="00EC20A0">
        <w:rPr>
          <w:spacing w:val="-3"/>
        </w:rPr>
        <w:t xml:space="preserve"> </w:t>
      </w:r>
      <w:r w:rsidRPr="00EC20A0">
        <w:t>description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nature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matter,</w:t>
      </w:r>
      <w:r w:rsidRPr="00EC20A0">
        <w:rPr>
          <w:spacing w:val="-3"/>
        </w:rPr>
        <w:t xml:space="preserve"> </w:t>
      </w:r>
      <w:r w:rsidRPr="00EC20A0">
        <w:t>the</w:t>
      </w:r>
      <w:r w:rsidRPr="00EC20A0">
        <w:rPr>
          <w:spacing w:val="-3"/>
        </w:rPr>
        <w:t xml:space="preserve"> </w:t>
      </w:r>
      <w:r w:rsidRPr="00EC20A0">
        <w:t>progress</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case</w:t>
      </w:r>
      <w:r w:rsidRPr="00EC20A0">
        <w:rPr>
          <w:spacing w:val="-3"/>
        </w:rPr>
        <w:t xml:space="preserve"> </w:t>
      </w:r>
      <w:r w:rsidRPr="00EC20A0">
        <w:t>to</w:t>
      </w:r>
      <w:r w:rsidRPr="00EC20A0">
        <w:rPr>
          <w:spacing w:val="-3"/>
        </w:rPr>
        <w:t xml:space="preserve"> </w:t>
      </w:r>
      <w:r w:rsidRPr="00EC20A0">
        <w:t>date, and the action that the entity intends to take (for example, to contest the matter vigorously or to seek an out-of-court settlement);</w:t>
      </w:r>
    </w:p>
    <w:p w14:paraId="24D61E1F" w14:textId="77777777" w:rsidR="00245300" w:rsidRPr="00EC20A0" w:rsidRDefault="00F17249">
      <w:pPr>
        <w:pStyle w:val="ListParagraph"/>
        <w:numPr>
          <w:ilvl w:val="2"/>
          <w:numId w:val="66"/>
        </w:numPr>
        <w:tabs>
          <w:tab w:val="left" w:pos="2356"/>
          <w:tab w:val="left" w:pos="2359"/>
        </w:tabs>
        <w:spacing w:before="241"/>
        <w:ind w:left="2359" w:right="717" w:hanging="339"/>
        <w:jc w:val="left"/>
      </w:pPr>
      <w:r w:rsidRPr="00EC20A0">
        <w:t>an evaluation of the likelihood of an unfavorable outcome and an estimate,</w:t>
      </w:r>
      <w:r w:rsidRPr="00EC20A0">
        <w:rPr>
          <w:spacing w:val="-4"/>
        </w:rPr>
        <w:t xml:space="preserve"> </w:t>
      </w:r>
      <w:r w:rsidRPr="00EC20A0">
        <w:t>if</w:t>
      </w:r>
      <w:r w:rsidRPr="00EC20A0">
        <w:rPr>
          <w:spacing w:val="-4"/>
        </w:rPr>
        <w:t xml:space="preserve"> </w:t>
      </w:r>
      <w:r w:rsidRPr="00EC20A0">
        <w:t>one</w:t>
      </w:r>
      <w:r w:rsidRPr="00EC20A0">
        <w:rPr>
          <w:spacing w:val="-4"/>
        </w:rPr>
        <w:t xml:space="preserve"> </w:t>
      </w:r>
      <w:r w:rsidRPr="00EC20A0">
        <w:t>can</w:t>
      </w:r>
      <w:r w:rsidRPr="00EC20A0">
        <w:rPr>
          <w:spacing w:val="-4"/>
        </w:rPr>
        <w:t xml:space="preserve"> </w:t>
      </w:r>
      <w:r w:rsidRPr="00EC20A0">
        <w:t>be</w:t>
      </w:r>
      <w:r w:rsidRPr="00EC20A0">
        <w:rPr>
          <w:spacing w:val="-4"/>
        </w:rPr>
        <w:t xml:space="preserve"> </w:t>
      </w:r>
      <w:r w:rsidRPr="00EC20A0">
        <w:t>made,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amount</w:t>
      </w:r>
      <w:r w:rsidRPr="00EC20A0">
        <w:rPr>
          <w:spacing w:val="-4"/>
        </w:rPr>
        <w:t xml:space="preserve"> </w:t>
      </w:r>
      <w:r w:rsidRPr="00EC20A0">
        <w:t>or</w:t>
      </w:r>
      <w:r w:rsidRPr="00EC20A0">
        <w:rPr>
          <w:spacing w:val="-4"/>
        </w:rPr>
        <w:t xml:space="preserve"> </w:t>
      </w:r>
      <w:r w:rsidRPr="00EC20A0">
        <w:t>range</w:t>
      </w:r>
      <w:r w:rsidRPr="00EC20A0">
        <w:rPr>
          <w:spacing w:val="-4"/>
        </w:rPr>
        <w:t xml:space="preserve"> </w:t>
      </w:r>
      <w:r w:rsidRPr="00EC20A0">
        <w:t>of</w:t>
      </w:r>
      <w:r w:rsidRPr="00EC20A0">
        <w:rPr>
          <w:spacing w:val="-4"/>
        </w:rPr>
        <w:t xml:space="preserve"> </w:t>
      </w:r>
      <w:r w:rsidRPr="00EC20A0">
        <w:t>potential</w:t>
      </w:r>
      <w:r w:rsidRPr="00EC20A0">
        <w:rPr>
          <w:spacing w:val="-3"/>
        </w:rPr>
        <w:t xml:space="preserve"> </w:t>
      </w:r>
      <w:r w:rsidRPr="00EC20A0">
        <w:t xml:space="preserve">loss; </w:t>
      </w:r>
      <w:r w:rsidRPr="00EC20A0">
        <w:rPr>
          <w:spacing w:val="-4"/>
        </w:rPr>
        <w:t>and</w:t>
      </w:r>
    </w:p>
    <w:p w14:paraId="24D61E20" w14:textId="77777777" w:rsidR="00245300" w:rsidRPr="00EC20A0" w:rsidRDefault="00F17249">
      <w:pPr>
        <w:pStyle w:val="ListParagraph"/>
        <w:numPr>
          <w:ilvl w:val="2"/>
          <w:numId w:val="66"/>
        </w:numPr>
        <w:tabs>
          <w:tab w:val="left" w:pos="2356"/>
          <w:tab w:val="left" w:pos="2359"/>
        </w:tabs>
        <w:spacing w:before="239"/>
        <w:ind w:left="2359" w:right="518" w:hanging="388"/>
        <w:jc w:val="left"/>
      </w:pPr>
      <w:r w:rsidRPr="00EC20A0">
        <w:t>with respect to a list prepared by management (or by legal counsel at management’s</w:t>
      </w:r>
      <w:r w:rsidRPr="00EC20A0">
        <w:rPr>
          <w:spacing w:val="-3"/>
        </w:rPr>
        <w:t xml:space="preserve"> </w:t>
      </w:r>
      <w:r w:rsidRPr="00EC20A0">
        <w:t>request),</w:t>
      </w:r>
      <w:r w:rsidRPr="00EC20A0">
        <w:rPr>
          <w:spacing w:val="-4"/>
        </w:rPr>
        <w:t xml:space="preserve"> </w:t>
      </w:r>
      <w:r w:rsidRPr="00EC20A0">
        <w:t>an</w:t>
      </w:r>
      <w:r w:rsidRPr="00EC20A0">
        <w:rPr>
          <w:spacing w:val="-3"/>
        </w:rPr>
        <w:t xml:space="preserve"> </w:t>
      </w:r>
      <w:r w:rsidRPr="00EC20A0">
        <w:t>identification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omission</w:t>
      </w:r>
      <w:r w:rsidRPr="00EC20A0">
        <w:rPr>
          <w:spacing w:val="-3"/>
        </w:rPr>
        <w:t xml:space="preserve"> </w:t>
      </w:r>
      <w:r w:rsidRPr="00EC20A0">
        <w:t>of</w:t>
      </w:r>
      <w:r w:rsidRPr="00EC20A0">
        <w:rPr>
          <w:spacing w:val="-3"/>
        </w:rPr>
        <w:t xml:space="preserve"> </w:t>
      </w:r>
      <w:r w:rsidRPr="00EC20A0">
        <w:t>any</w:t>
      </w:r>
      <w:r w:rsidRPr="00EC20A0">
        <w:rPr>
          <w:spacing w:val="-3"/>
        </w:rPr>
        <w:t xml:space="preserve"> </w:t>
      </w:r>
      <w:r w:rsidRPr="00EC20A0">
        <w:t>pending or</w:t>
      </w:r>
      <w:r w:rsidRPr="00EC20A0">
        <w:rPr>
          <w:spacing w:val="-4"/>
        </w:rPr>
        <w:t xml:space="preserve"> </w:t>
      </w:r>
      <w:r w:rsidRPr="00EC20A0">
        <w:t>threatened</w:t>
      </w:r>
      <w:r w:rsidRPr="00EC20A0">
        <w:rPr>
          <w:spacing w:val="-4"/>
        </w:rPr>
        <w:t xml:space="preserve"> </w:t>
      </w:r>
      <w:r w:rsidRPr="00EC20A0">
        <w:t>litigation,</w:t>
      </w:r>
      <w:r w:rsidRPr="00EC20A0">
        <w:rPr>
          <w:spacing w:val="-4"/>
        </w:rPr>
        <w:t xml:space="preserve"> </w:t>
      </w:r>
      <w:r w:rsidRPr="00EC20A0">
        <w:t>claims,</w:t>
      </w:r>
      <w:r w:rsidRPr="00EC20A0">
        <w:rPr>
          <w:spacing w:val="-4"/>
        </w:rPr>
        <w:t xml:space="preserve"> </w:t>
      </w:r>
      <w:r w:rsidRPr="00EC20A0">
        <w:t>and</w:t>
      </w:r>
      <w:r w:rsidRPr="00EC20A0">
        <w:rPr>
          <w:spacing w:val="-4"/>
        </w:rPr>
        <w:t xml:space="preserve"> </w:t>
      </w:r>
      <w:r w:rsidRPr="00EC20A0">
        <w:t>assessments</w:t>
      </w:r>
      <w:r w:rsidRPr="00EC20A0">
        <w:rPr>
          <w:spacing w:val="-5"/>
        </w:rPr>
        <w:t xml:space="preserve"> </w:t>
      </w:r>
      <w:r w:rsidRPr="00EC20A0">
        <w:t>or</w:t>
      </w:r>
      <w:r w:rsidRPr="00EC20A0">
        <w:rPr>
          <w:spacing w:val="-4"/>
        </w:rPr>
        <w:t xml:space="preserve"> </w:t>
      </w:r>
      <w:r w:rsidRPr="00EC20A0">
        <w:t>a</w:t>
      </w:r>
      <w:r w:rsidRPr="00EC20A0">
        <w:rPr>
          <w:spacing w:val="-4"/>
        </w:rPr>
        <w:t xml:space="preserve"> </w:t>
      </w:r>
      <w:r w:rsidRPr="00EC20A0">
        <w:t>statement</w:t>
      </w:r>
      <w:r w:rsidRPr="00EC20A0">
        <w:rPr>
          <w:spacing w:val="-4"/>
        </w:rPr>
        <w:t xml:space="preserve"> </w:t>
      </w:r>
      <w:r w:rsidRPr="00EC20A0">
        <w:t>that</w:t>
      </w:r>
      <w:r w:rsidRPr="00EC20A0">
        <w:rPr>
          <w:spacing w:val="-4"/>
        </w:rPr>
        <w:t xml:space="preserve"> </w:t>
      </w:r>
      <w:r w:rsidRPr="00EC20A0">
        <w:t>the list of such matters is complete;</w:t>
      </w:r>
    </w:p>
    <w:p w14:paraId="24D61E21" w14:textId="77777777" w:rsidR="00245300" w:rsidRPr="00EC20A0" w:rsidRDefault="00F17249">
      <w:pPr>
        <w:pStyle w:val="ListParagraph"/>
        <w:numPr>
          <w:ilvl w:val="1"/>
          <w:numId w:val="66"/>
        </w:numPr>
        <w:tabs>
          <w:tab w:val="left" w:pos="1999"/>
        </w:tabs>
        <w:spacing w:before="241"/>
        <w:ind w:right="513"/>
      </w:pPr>
      <w:r w:rsidRPr="00EC20A0">
        <w:t>regarding</w:t>
      </w:r>
      <w:r w:rsidRPr="00EC20A0">
        <w:rPr>
          <w:spacing w:val="-3"/>
        </w:rPr>
        <w:t xml:space="preserve"> </w:t>
      </w:r>
      <w:r w:rsidRPr="00EC20A0">
        <w:t>each</w:t>
      </w:r>
      <w:r w:rsidRPr="00EC20A0">
        <w:rPr>
          <w:spacing w:val="-3"/>
        </w:rPr>
        <w:t xml:space="preserve"> </w:t>
      </w:r>
      <w:r w:rsidRPr="00EC20A0">
        <w:t>matter</w:t>
      </w:r>
      <w:r w:rsidRPr="00EC20A0">
        <w:rPr>
          <w:spacing w:val="-3"/>
        </w:rPr>
        <w:t xml:space="preserve"> </w:t>
      </w:r>
      <w:r w:rsidRPr="00EC20A0">
        <w:t>listed</w:t>
      </w:r>
      <w:r w:rsidRPr="00EC20A0">
        <w:rPr>
          <w:spacing w:val="-3"/>
        </w:rPr>
        <w:t xml:space="preserve"> </w:t>
      </w:r>
      <w:r w:rsidRPr="00EC20A0">
        <w:t>in</w:t>
      </w:r>
      <w:r w:rsidRPr="00EC20A0">
        <w:rPr>
          <w:spacing w:val="-3"/>
        </w:rPr>
        <w:t xml:space="preserve"> </w:t>
      </w:r>
      <w:r w:rsidRPr="00EC20A0">
        <w:t>item</w:t>
      </w:r>
      <w:r w:rsidRPr="00EC20A0">
        <w:rPr>
          <w:spacing w:val="-5"/>
        </w:rPr>
        <w:t xml:space="preserve"> </w:t>
      </w:r>
      <w:r w:rsidRPr="00EC20A0">
        <w:t>c,</w:t>
      </w:r>
      <w:r w:rsidRPr="00EC20A0">
        <w:rPr>
          <w:spacing w:val="-3"/>
        </w:rPr>
        <w:t xml:space="preserve"> </w:t>
      </w:r>
      <w:r w:rsidRPr="00EC20A0">
        <w:t>a</w:t>
      </w:r>
      <w:r w:rsidRPr="00EC20A0">
        <w:rPr>
          <w:spacing w:val="-3"/>
        </w:rPr>
        <w:t xml:space="preserve"> </w:t>
      </w:r>
      <w:r w:rsidRPr="00EC20A0">
        <w:t>request</w:t>
      </w:r>
      <w:r w:rsidRPr="00EC20A0">
        <w:rPr>
          <w:spacing w:val="-4"/>
        </w:rPr>
        <w:t xml:space="preserve"> </w:t>
      </w:r>
      <w:r w:rsidRPr="00EC20A0">
        <w:t>that</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comment on those matters on which legal counsel’s views concerning the description or evaluation of the matter may differ from those stated by management;</w:t>
      </w:r>
    </w:p>
    <w:p w14:paraId="24D61E22" w14:textId="77777777" w:rsidR="00245300" w:rsidRPr="00EC20A0" w:rsidRDefault="00F17249">
      <w:pPr>
        <w:pStyle w:val="ListParagraph"/>
        <w:numPr>
          <w:ilvl w:val="1"/>
          <w:numId w:val="66"/>
        </w:numPr>
        <w:tabs>
          <w:tab w:val="left" w:pos="1999"/>
        </w:tabs>
        <w:ind w:right="341"/>
      </w:pPr>
      <w:r w:rsidRPr="00EC20A0">
        <w:t>a statement that management understands that whenever, in the course of performing legal services for the entity with respect to a matter recognized to involve</w:t>
      </w:r>
      <w:r w:rsidRPr="00EC20A0">
        <w:rPr>
          <w:spacing w:val="-4"/>
        </w:rPr>
        <w:t xml:space="preserve"> </w:t>
      </w:r>
      <w:r w:rsidRPr="00EC20A0">
        <w:t>an</w:t>
      </w:r>
      <w:r w:rsidRPr="00EC20A0">
        <w:rPr>
          <w:spacing w:val="-5"/>
        </w:rPr>
        <w:t xml:space="preserve"> </w:t>
      </w:r>
      <w:r w:rsidRPr="00EC20A0">
        <w:t>unasserted</w:t>
      </w:r>
      <w:r w:rsidRPr="00EC20A0">
        <w:rPr>
          <w:spacing w:val="-4"/>
        </w:rPr>
        <w:t xml:space="preserve"> </w:t>
      </w:r>
      <w:r w:rsidRPr="00EC20A0">
        <w:t>possible</w:t>
      </w:r>
      <w:r w:rsidRPr="00EC20A0">
        <w:rPr>
          <w:spacing w:val="-5"/>
        </w:rPr>
        <w:t xml:space="preserve"> </w:t>
      </w:r>
      <w:r w:rsidRPr="00EC20A0">
        <w:t>claim</w:t>
      </w:r>
      <w:r w:rsidRPr="00EC20A0">
        <w:rPr>
          <w:spacing w:val="-5"/>
        </w:rPr>
        <w:t xml:space="preserve"> </w:t>
      </w:r>
      <w:r w:rsidRPr="00EC20A0">
        <w:t>or</w:t>
      </w:r>
      <w:r w:rsidRPr="00EC20A0">
        <w:rPr>
          <w:spacing w:val="-4"/>
        </w:rPr>
        <w:t xml:space="preserve"> </w:t>
      </w:r>
      <w:r w:rsidRPr="00EC20A0">
        <w:t>assessment</w:t>
      </w:r>
      <w:r w:rsidRPr="00EC20A0">
        <w:rPr>
          <w:spacing w:val="-4"/>
        </w:rPr>
        <w:t xml:space="preserve"> </w:t>
      </w:r>
      <w:r w:rsidRPr="00EC20A0">
        <w:t>that</w:t>
      </w:r>
      <w:r w:rsidRPr="00EC20A0">
        <w:rPr>
          <w:spacing w:val="-4"/>
        </w:rPr>
        <w:t xml:space="preserve"> </w:t>
      </w:r>
      <w:r w:rsidRPr="00EC20A0">
        <w:t>may</w:t>
      </w:r>
      <w:r w:rsidRPr="00EC20A0">
        <w:rPr>
          <w:spacing w:val="-4"/>
        </w:rPr>
        <w:t xml:space="preserve"> </w:t>
      </w:r>
      <w:r w:rsidRPr="00EC20A0">
        <w:t>call</w:t>
      </w:r>
      <w:r w:rsidRPr="00EC20A0">
        <w:rPr>
          <w:spacing w:val="-4"/>
        </w:rPr>
        <w:t xml:space="preserve"> </w:t>
      </w:r>
      <w:r w:rsidRPr="00EC20A0">
        <w:t>for</w:t>
      </w:r>
      <w:r w:rsidRPr="00EC20A0">
        <w:rPr>
          <w:spacing w:val="-4"/>
        </w:rPr>
        <w:t xml:space="preserve"> </w:t>
      </w:r>
      <w:r w:rsidRPr="00EC20A0">
        <w:t>financial statement</w:t>
      </w:r>
      <w:r w:rsidRPr="00EC20A0">
        <w:rPr>
          <w:spacing w:val="-3"/>
        </w:rPr>
        <w:t xml:space="preserve"> </w:t>
      </w:r>
      <w:r w:rsidRPr="00EC20A0">
        <w:t>disclosure,</w:t>
      </w:r>
      <w:r w:rsidRPr="00EC20A0">
        <w:rPr>
          <w:spacing w:val="-4"/>
        </w:rPr>
        <w:t xml:space="preserve"> </w:t>
      </w:r>
      <w:r w:rsidRPr="00EC20A0">
        <w:t>legal</w:t>
      </w:r>
      <w:r w:rsidRPr="00EC20A0">
        <w:rPr>
          <w:spacing w:val="-3"/>
        </w:rPr>
        <w:t xml:space="preserve"> </w:t>
      </w:r>
      <w:r w:rsidRPr="00EC20A0">
        <w:t>counsel</w:t>
      </w:r>
      <w:r w:rsidRPr="00EC20A0">
        <w:rPr>
          <w:spacing w:val="-4"/>
        </w:rPr>
        <w:t xml:space="preserve"> </w:t>
      </w:r>
      <w:r w:rsidRPr="00EC20A0">
        <w:t>has</w:t>
      </w:r>
      <w:r w:rsidRPr="00EC20A0">
        <w:rPr>
          <w:spacing w:val="-3"/>
        </w:rPr>
        <w:t xml:space="preserve"> </w:t>
      </w:r>
      <w:r w:rsidRPr="00EC20A0">
        <w:t>formed</w:t>
      </w:r>
      <w:r w:rsidRPr="00EC20A0">
        <w:rPr>
          <w:spacing w:val="-3"/>
        </w:rPr>
        <w:t xml:space="preserve"> </w:t>
      </w:r>
      <w:r w:rsidRPr="00EC20A0">
        <w:t>a</w:t>
      </w:r>
      <w:r w:rsidRPr="00EC20A0">
        <w:rPr>
          <w:spacing w:val="-3"/>
        </w:rPr>
        <w:t xml:space="preserve"> </w:t>
      </w:r>
      <w:r w:rsidRPr="00EC20A0">
        <w:t>professional</w:t>
      </w:r>
      <w:r w:rsidRPr="00EC20A0">
        <w:rPr>
          <w:spacing w:val="-3"/>
        </w:rPr>
        <w:t xml:space="preserve"> </w:t>
      </w:r>
      <w:r w:rsidRPr="00EC20A0">
        <w:t>conclusion</w:t>
      </w:r>
      <w:r w:rsidRPr="00EC20A0">
        <w:rPr>
          <w:spacing w:val="-3"/>
        </w:rPr>
        <w:t xml:space="preserve"> </w:t>
      </w:r>
      <w:r w:rsidRPr="00EC20A0">
        <w:t>that the entity should disclose or consider disclosure concerning such possible claim or assessment, legal counsel, as a matter of professional responsibility</w:t>
      </w:r>
    </w:p>
    <w:p w14:paraId="24D61E23" w14:textId="77777777" w:rsidR="00245300" w:rsidRPr="00EC20A0" w:rsidRDefault="00245300">
      <w:pPr>
        <w:sectPr w:rsidR="00245300" w:rsidRPr="00EC20A0">
          <w:pgSz w:w="12240" w:h="15840"/>
          <w:pgMar w:top="1340" w:right="1100" w:bottom="940" w:left="1240" w:header="721" w:footer="757" w:gutter="0"/>
          <w:cols w:space="720"/>
        </w:sectPr>
      </w:pPr>
    </w:p>
    <w:p w14:paraId="24D61E24" w14:textId="77777777" w:rsidR="00245300" w:rsidRPr="00EC20A0" w:rsidRDefault="00F17249">
      <w:pPr>
        <w:pStyle w:val="BodyText"/>
        <w:spacing w:before="121"/>
        <w:ind w:left="1999" w:right="408"/>
      </w:pPr>
      <w:r w:rsidRPr="00EC20A0">
        <w:t>to the entity, will so advise the entity and will consult with the entity concerning</w:t>
      </w:r>
      <w:r w:rsidRPr="00EC20A0">
        <w:rPr>
          <w:spacing w:val="-4"/>
        </w:rPr>
        <w:t xml:space="preserve"> </w:t>
      </w:r>
      <w:r w:rsidRPr="00EC20A0">
        <w:t>the</w:t>
      </w:r>
      <w:r w:rsidRPr="00EC20A0">
        <w:rPr>
          <w:spacing w:val="-4"/>
        </w:rPr>
        <w:t xml:space="preserve"> </w:t>
      </w:r>
      <w:r w:rsidRPr="00EC20A0">
        <w:t>question</w:t>
      </w:r>
      <w:r w:rsidRPr="00EC20A0">
        <w:rPr>
          <w:spacing w:val="-5"/>
        </w:rPr>
        <w:t xml:space="preserve"> </w:t>
      </w:r>
      <w:r w:rsidRPr="00EC20A0">
        <w:t>of</w:t>
      </w:r>
      <w:r w:rsidRPr="00EC20A0">
        <w:rPr>
          <w:spacing w:val="-4"/>
        </w:rPr>
        <w:t xml:space="preserve"> </w:t>
      </w:r>
      <w:r w:rsidRPr="00EC20A0">
        <w:t>such</w:t>
      </w:r>
      <w:r w:rsidRPr="00EC20A0">
        <w:rPr>
          <w:spacing w:val="-4"/>
        </w:rPr>
        <w:t xml:space="preserve"> </w:t>
      </w:r>
      <w:r w:rsidRPr="00EC20A0">
        <w:t>disclosure</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requirements</w:t>
      </w:r>
      <w:r w:rsidRPr="00EC20A0">
        <w:rPr>
          <w:spacing w:val="-4"/>
        </w:rPr>
        <w:t xml:space="preserve"> </w:t>
      </w:r>
      <w:r w:rsidRPr="00EC20A0">
        <w:t>of</w:t>
      </w:r>
      <w:r w:rsidRPr="00EC20A0">
        <w:rPr>
          <w:spacing w:val="-4"/>
        </w:rPr>
        <w:t xml:space="preserve"> </w:t>
      </w:r>
      <w:r w:rsidRPr="00EC20A0">
        <w:t>the applicable financial reporting framework (generally U.S. GAAP);</w:t>
      </w:r>
    </w:p>
    <w:p w14:paraId="24D61E25" w14:textId="77777777" w:rsidR="00245300" w:rsidRPr="00EC20A0" w:rsidRDefault="00F17249">
      <w:pPr>
        <w:pStyle w:val="ListParagraph"/>
        <w:numPr>
          <w:ilvl w:val="1"/>
          <w:numId w:val="66"/>
        </w:numPr>
        <w:tabs>
          <w:tab w:val="left" w:pos="1999"/>
        </w:tabs>
        <w:spacing w:before="239"/>
        <w:ind w:right="511"/>
      </w:pPr>
      <w:r w:rsidRPr="00EC20A0">
        <w:t>a</w:t>
      </w:r>
      <w:r w:rsidRPr="00EC20A0">
        <w:rPr>
          <w:spacing w:val="-4"/>
        </w:rPr>
        <w:t xml:space="preserve"> </w:t>
      </w:r>
      <w:r w:rsidRPr="00EC20A0">
        <w:t>request</w:t>
      </w:r>
      <w:r w:rsidRPr="00EC20A0">
        <w:rPr>
          <w:spacing w:val="-4"/>
        </w:rPr>
        <w:t xml:space="preserve"> </w:t>
      </w:r>
      <w:r w:rsidRPr="00EC20A0">
        <w:t>that</w:t>
      </w:r>
      <w:r w:rsidRPr="00EC20A0">
        <w:rPr>
          <w:spacing w:val="-4"/>
        </w:rPr>
        <w:t xml:space="preserve"> </w:t>
      </w:r>
      <w:r w:rsidRPr="00EC20A0">
        <w:t>legal</w:t>
      </w:r>
      <w:r w:rsidRPr="00EC20A0">
        <w:rPr>
          <w:spacing w:val="-4"/>
        </w:rPr>
        <w:t xml:space="preserve"> </w:t>
      </w:r>
      <w:r w:rsidRPr="00EC20A0">
        <w:t>counsel</w:t>
      </w:r>
      <w:r w:rsidRPr="00EC20A0">
        <w:rPr>
          <w:spacing w:val="-4"/>
        </w:rPr>
        <w:t xml:space="preserve"> </w:t>
      </w:r>
      <w:r w:rsidRPr="00EC20A0">
        <w:t>confirm</w:t>
      </w:r>
      <w:r w:rsidRPr="00EC20A0">
        <w:rPr>
          <w:spacing w:val="-5"/>
        </w:rPr>
        <w:t xml:space="preserve"> </w:t>
      </w:r>
      <w:r w:rsidRPr="00EC20A0">
        <w:t>whether</w:t>
      </w:r>
      <w:r w:rsidRPr="00EC20A0">
        <w:rPr>
          <w:spacing w:val="-4"/>
        </w:rPr>
        <w:t xml:space="preserve"> </w:t>
      </w:r>
      <w:r w:rsidRPr="00EC20A0">
        <w:t>the</w:t>
      </w:r>
      <w:r w:rsidRPr="00EC20A0">
        <w:rPr>
          <w:spacing w:val="-4"/>
        </w:rPr>
        <w:t xml:space="preserve"> </w:t>
      </w:r>
      <w:r w:rsidRPr="00EC20A0">
        <w:t>understanding</w:t>
      </w:r>
      <w:r w:rsidRPr="00EC20A0">
        <w:rPr>
          <w:spacing w:val="-4"/>
        </w:rPr>
        <w:t xml:space="preserve"> </w:t>
      </w:r>
      <w:r w:rsidRPr="00EC20A0">
        <w:t>described</w:t>
      </w:r>
      <w:r w:rsidRPr="00EC20A0">
        <w:rPr>
          <w:spacing w:val="-4"/>
        </w:rPr>
        <w:t xml:space="preserve"> </w:t>
      </w:r>
      <w:r w:rsidRPr="00EC20A0">
        <w:t>in item f is correct;</w:t>
      </w:r>
    </w:p>
    <w:p w14:paraId="24D61E26" w14:textId="77777777" w:rsidR="00245300" w:rsidRPr="00EC20A0" w:rsidRDefault="00F17249">
      <w:pPr>
        <w:pStyle w:val="ListParagraph"/>
        <w:numPr>
          <w:ilvl w:val="1"/>
          <w:numId w:val="66"/>
        </w:numPr>
        <w:tabs>
          <w:tab w:val="left" w:pos="1999"/>
        </w:tabs>
        <w:spacing w:before="241"/>
        <w:ind w:right="695"/>
      </w:pPr>
      <w:r w:rsidRPr="00EC20A0">
        <w:t>a</w:t>
      </w:r>
      <w:r w:rsidRPr="00EC20A0">
        <w:rPr>
          <w:spacing w:val="-4"/>
        </w:rPr>
        <w:t xml:space="preserve"> </w:t>
      </w:r>
      <w:r w:rsidRPr="00EC20A0">
        <w:t>request</w:t>
      </w:r>
      <w:r w:rsidRPr="00EC20A0">
        <w:rPr>
          <w:spacing w:val="-4"/>
        </w:rPr>
        <w:t xml:space="preserve"> </w:t>
      </w:r>
      <w:r w:rsidRPr="00EC20A0">
        <w:t>that</w:t>
      </w:r>
      <w:r w:rsidRPr="00EC20A0">
        <w:rPr>
          <w:spacing w:val="-4"/>
        </w:rPr>
        <w:t xml:space="preserve"> </w:t>
      </w:r>
      <w:r w:rsidRPr="00EC20A0">
        <w:t>legal</w:t>
      </w:r>
      <w:r w:rsidRPr="00EC20A0">
        <w:rPr>
          <w:spacing w:val="-4"/>
        </w:rPr>
        <w:t xml:space="preserve"> </w:t>
      </w:r>
      <w:r w:rsidRPr="00EC20A0">
        <w:t>counsel</w:t>
      </w:r>
      <w:r w:rsidRPr="00EC20A0">
        <w:rPr>
          <w:spacing w:val="-4"/>
        </w:rPr>
        <w:t xml:space="preserve"> </w:t>
      </w:r>
      <w:r w:rsidRPr="00EC20A0">
        <w:t>specifically</w:t>
      </w:r>
      <w:r w:rsidRPr="00EC20A0">
        <w:rPr>
          <w:spacing w:val="-4"/>
        </w:rPr>
        <w:t xml:space="preserve"> </w:t>
      </w:r>
      <w:r w:rsidRPr="00EC20A0">
        <w:t>identify</w:t>
      </w:r>
      <w:r w:rsidRPr="00EC20A0">
        <w:rPr>
          <w:spacing w:val="-4"/>
        </w:rPr>
        <w:t xml:space="preserve"> </w:t>
      </w:r>
      <w:r w:rsidRPr="00EC20A0">
        <w:t>the</w:t>
      </w:r>
      <w:r w:rsidRPr="00EC20A0">
        <w:rPr>
          <w:spacing w:val="-4"/>
        </w:rPr>
        <w:t xml:space="preserve"> </w:t>
      </w:r>
      <w:r w:rsidRPr="00EC20A0">
        <w:t>nature</w:t>
      </w:r>
      <w:r w:rsidRPr="00EC20A0">
        <w:rPr>
          <w:spacing w:val="-4"/>
        </w:rPr>
        <w:t xml:space="preserve"> </w:t>
      </w:r>
      <w:r w:rsidRPr="00EC20A0">
        <w:t>of,</w:t>
      </w:r>
      <w:r w:rsidRPr="00EC20A0">
        <w:rPr>
          <w:spacing w:val="-4"/>
        </w:rPr>
        <w:t xml:space="preserve"> </w:t>
      </w:r>
      <w:r w:rsidRPr="00EC20A0">
        <w:t>and</w:t>
      </w:r>
      <w:r w:rsidRPr="00EC20A0">
        <w:rPr>
          <w:spacing w:val="-4"/>
        </w:rPr>
        <w:t xml:space="preserve"> </w:t>
      </w:r>
      <w:r w:rsidRPr="00EC20A0">
        <w:t>reasons for, any limitation on the response; and</w:t>
      </w:r>
    </w:p>
    <w:p w14:paraId="24D61E27" w14:textId="77777777" w:rsidR="00245300" w:rsidRPr="00EC20A0" w:rsidRDefault="00F17249">
      <w:pPr>
        <w:pStyle w:val="ListParagraph"/>
        <w:numPr>
          <w:ilvl w:val="1"/>
          <w:numId w:val="66"/>
        </w:numPr>
        <w:tabs>
          <w:tab w:val="left" w:pos="1999"/>
        </w:tabs>
      </w:pPr>
      <w:r w:rsidRPr="00EC20A0">
        <w:t>a</w:t>
      </w:r>
      <w:r w:rsidRPr="00EC20A0">
        <w:rPr>
          <w:spacing w:val="-5"/>
        </w:rPr>
        <w:t xml:space="preserve"> </w:t>
      </w:r>
      <w:r w:rsidRPr="00EC20A0">
        <w:t>request</w:t>
      </w:r>
      <w:r w:rsidRPr="00EC20A0">
        <w:rPr>
          <w:spacing w:val="-5"/>
        </w:rPr>
        <w:t xml:space="preserve"> </w:t>
      </w:r>
      <w:r w:rsidRPr="00EC20A0">
        <w:t>that</w:t>
      </w:r>
      <w:r w:rsidRPr="00EC20A0">
        <w:rPr>
          <w:spacing w:val="-5"/>
        </w:rPr>
        <w:t xml:space="preserve"> </w:t>
      </w:r>
      <w:r w:rsidRPr="00EC20A0">
        <w:t>legal</w:t>
      </w:r>
      <w:r w:rsidRPr="00EC20A0">
        <w:rPr>
          <w:spacing w:val="-5"/>
        </w:rPr>
        <w:t xml:space="preserve"> </w:t>
      </w:r>
      <w:r w:rsidRPr="00EC20A0">
        <w:t>counsel</w:t>
      </w:r>
      <w:r w:rsidRPr="00EC20A0">
        <w:rPr>
          <w:spacing w:val="-5"/>
        </w:rPr>
        <w:t xml:space="preserve"> </w:t>
      </w:r>
      <w:r w:rsidRPr="00EC20A0">
        <w:t>specify</w:t>
      </w:r>
      <w:r w:rsidRPr="00EC20A0">
        <w:rPr>
          <w:spacing w:val="-6"/>
        </w:rPr>
        <w:t xml:space="preserve"> </w:t>
      </w:r>
      <w:r w:rsidRPr="00EC20A0">
        <w:t>the</w:t>
      </w:r>
      <w:r w:rsidRPr="00EC20A0">
        <w:rPr>
          <w:spacing w:val="-5"/>
        </w:rPr>
        <w:t xml:space="preserve"> </w:t>
      </w:r>
      <w:r w:rsidRPr="00EC20A0">
        <w:t>effective</w:t>
      </w:r>
      <w:r w:rsidRPr="00EC20A0">
        <w:rPr>
          <w:spacing w:val="-6"/>
        </w:rPr>
        <w:t xml:space="preserve"> </w:t>
      </w:r>
      <w:r w:rsidRPr="00EC20A0">
        <w:t>date</w:t>
      </w:r>
      <w:r w:rsidRPr="00EC20A0">
        <w:rPr>
          <w:spacing w:val="-5"/>
        </w:rPr>
        <w:t xml:space="preserve"> </w:t>
      </w:r>
      <w:r w:rsidRPr="00EC20A0">
        <w:t>of</w:t>
      </w:r>
      <w:r w:rsidRPr="00EC20A0">
        <w:rPr>
          <w:spacing w:val="-5"/>
        </w:rPr>
        <w:t xml:space="preserve"> </w:t>
      </w:r>
      <w:r w:rsidRPr="00EC20A0">
        <w:t>the</w:t>
      </w:r>
      <w:r w:rsidRPr="00EC20A0">
        <w:rPr>
          <w:spacing w:val="-6"/>
        </w:rPr>
        <w:t xml:space="preserve"> </w:t>
      </w:r>
      <w:r w:rsidRPr="00EC20A0">
        <w:rPr>
          <w:spacing w:val="-2"/>
        </w:rPr>
        <w:t>response.</w:t>
      </w:r>
    </w:p>
    <w:p w14:paraId="24D61E28" w14:textId="77777777" w:rsidR="00245300" w:rsidRPr="00EC20A0" w:rsidRDefault="00F17249">
      <w:pPr>
        <w:pStyle w:val="ListParagraph"/>
        <w:numPr>
          <w:ilvl w:val="0"/>
          <w:numId w:val="66"/>
        </w:numPr>
        <w:tabs>
          <w:tab w:val="left" w:pos="1638"/>
        </w:tabs>
        <w:spacing w:before="239"/>
        <w:ind w:left="1638" w:right="628" w:hanging="720"/>
      </w:pPr>
      <w:r w:rsidRPr="00EC20A0">
        <w:t>The</w:t>
      </w:r>
      <w:r w:rsidRPr="00EC20A0">
        <w:rPr>
          <w:spacing w:val="-3"/>
        </w:rPr>
        <w:t xml:space="preserve"> </w:t>
      </w:r>
      <w:r w:rsidRPr="00EC20A0">
        <w:t>auditor</w:t>
      </w:r>
      <w:r w:rsidRPr="00EC20A0">
        <w:rPr>
          <w:spacing w:val="-5"/>
        </w:rPr>
        <w:t xml:space="preserve"> </w:t>
      </w:r>
      <w:r w:rsidRPr="00EC20A0">
        <w:t>should</w:t>
      </w:r>
      <w:r w:rsidRPr="00EC20A0">
        <w:rPr>
          <w:spacing w:val="-3"/>
        </w:rPr>
        <w:t xml:space="preserve"> </w:t>
      </w:r>
      <w:r w:rsidRPr="00EC20A0">
        <w:t>ask</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to</w:t>
      </w:r>
      <w:r w:rsidRPr="00EC20A0">
        <w:rPr>
          <w:spacing w:val="-3"/>
        </w:rPr>
        <w:t xml:space="preserve"> </w:t>
      </w:r>
      <w:r w:rsidRPr="00EC20A0">
        <w:t>request</w:t>
      </w:r>
      <w:r w:rsidRPr="00EC20A0">
        <w:rPr>
          <w:spacing w:val="-3"/>
        </w:rPr>
        <w:t xml:space="preserve"> </w:t>
      </w:r>
      <w:r w:rsidRPr="00EC20A0">
        <w:t>that</w:t>
      </w:r>
      <w:r w:rsidRPr="00EC20A0">
        <w:rPr>
          <w:spacing w:val="-3"/>
        </w:rPr>
        <w:t xml:space="preserve"> </w:t>
      </w:r>
      <w:r w:rsidRPr="00EC20A0">
        <w:t>its</w:t>
      </w:r>
      <w:r w:rsidRPr="00EC20A0">
        <w:rPr>
          <w:spacing w:val="-3"/>
        </w:rPr>
        <w:t xml:space="preserve"> </w:t>
      </w:r>
      <w:r w:rsidRPr="00EC20A0">
        <w:t>legal</w:t>
      </w:r>
      <w:r w:rsidRPr="00EC20A0">
        <w:rPr>
          <w:spacing w:val="-4"/>
        </w:rPr>
        <w:t xml:space="preserve"> </w:t>
      </w:r>
      <w:r w:rsidRPr="00EC20A0">
        <w:t>counsel</w:t>
      </w:r>
      <w:r w:rsidRPr="00EC20A0">
        <w:rPr>
          <w:spacing w:val="-3"/>
        </w:rPr>
        <w:t xml:space="preserve"> </w:t>
      </w:r>
      <w:r w:rsidRPr="00EC20A0">
        <w:t>include</w:t>
      </w:r>
      <w:r w:rsidRPr="00EC20A0">
        <w:rPr>
          <w:spacing w:val="-4"/>
        </w:rPr>
        <w:t xml:space="preserve"> </w:t>
      </w:r>
      <w:r w:rsidRPr="00EC20A0">
        <w:t>in</w:t>
      </w:r>
      <w:r w:rsidRPr="00EC20A0">
        <w:rPr>
          <w:spacing w:val="-3"/>
        </w:rPr>
        <w:t xml:space="preserve"> </w:t>
      </w:r>
      <w:r w:rsidRPr="00EC20A0">
        <w:t xml:space="preserve">the response all entity components included in the financial statements being audited. Additionally, legal counsel generally should indicate the disposition of cases included in prior year’s legal counsel response that are no longer </w:t>
      </w:r>
      <w:r w:rsidRPr="00EC20A0">
        <w:rPr>
          <w:spacing w:val="-2"/>
        </w:rPr>
        <w:t>contingencies.</w:t>
      </w:r>
    </w:p>
    <w:p w14:paraId="24D61E29" w14:textId="77777777" w:rsidR="00245300" w:rsidRPr="00EC20A0" w:rsidRDefault="00F17249">
      <w:pPr>
        <w:pStyle w:val="ListParagraph"/>
        <w:numPr>
          <w:ilvl w:val="0"/>
          <w:numId w:val="66"/>
        </w:numPr>
        <w:tabs>
          <w:tab w:val="left" w:pos="1638"/>
        </w:tabs>
        <w:ind w:left="1638" w:right="516"/>
      </w:pPr>
      <w:r w:rsidRPr="00EC20A0">
        <w:t>The legal counsel request should be on the entity’s letterhead, signed by the CFO</w:t>
      </w:r>
      <w:r w:rsidRPr="00EC20A0">
        <w:rPr>
          <w:spacing w:val="-4"/>
        </w:rPr>
        <w:t xml:space="preserve"> </w:t>
      </w:r>
      <w:r w:rsidRPr="00EC20A0">
        <w:t>or</w:t>
      </w:r>
      <w:r w:rsidRPr="00EC20A0">
        <w:rPr>
          <w:spacing w:val="-3"/>
        </w:rPr>
        <w:t xml:space="preserve"> </w:t>
      </w:r>
      <w:r w:rsidRPr="00EC20A0">
        <w:t>equivalent.</w:t>
      </w:r>
      <w:r w:rsidRPr="00EC20A0">
        <w:rPr>
          <w:spacing w:val="-3"/>
        </w:rPr>
        <w:t xml:space="preserve"> </w:t>
      </w:r>
      <w:r w:rsidRPr="00EC20A0">
        <w:t>The</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request</w:t>
      </w:r>
      <w:r w:rsidRPr="00EC20A0">
        <w:rPr>
          <w:spacing w:val="-3"/>
        </w:rPr>
        <w:t xml:space="preserve"> </w:t>
      </w:r>
      <w:r w:rsidRPr="00EC20A0">
        <w:t>should</w:t>
      </w:r>
      <w:r w:rsidRPr="00EC20A0">
        <w:rPr>
          <w:spacing w:val="-3"/>
        </w:rPr>
        <w:t xml:space="preserve"> </w:t>
      </w:r>
      <w:r w:rsidRPr="00EC20A0">
        <w:t>be</w:t>
      </w:r>
      <w:r w:rsidRPr="00EC20A0">
        <w:rPr>
          <w:spacing w:val="-3"/>
        </w:rPr>
        <w:t xml:space="preserve"> </w:t>
      </w:r>
      <w:r w:rsidRPr="00EC20A0">
        <w:t>sent</w:t>
      </w:r>
      <w:r w:rsidRPr="00EC20A0">
        <w:rPr>
          <w:spacing w:val="-4"/>
        </w:rPr>
        <w:t xml:space="preserve"> </w:t>
      </w:r>
      <w:r w:rsidRPr="00EC20A0">
        <w:t>by</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and ask</w:t>
      </w:r>
      <w:r w:rsidRPr="00EC20A0">
        <w:rPr>
          <w:spacing w:val="-3"/>
        </w:rPr>
        <w:t xml:space="preserve"> </w:t>
      </w:r>
      <w:r w:rsidRPr="00EC20A0">
        <w:t>that</w:t>
      </w:r>
      <w:r w:rsidRPr="00EC20A0">
        <w:rPr>
          <w:spacing w:val="-3"/>
        </w:rPr>
        <w:t xml:space="preserve"> </w:t>
      </w:r>
      <w:r w:rsidRPr="00EC20A0">
        <w:t>the</w:t>
      </w:r>
      <w:r w:rsidRPr="00EC20A0">
        <w:rPr>
          <w:spacing w:val="-5"/>
        </w:rPr>
        <w:t xml:space="preserve"> </w:t>
      </w:r>
      <w:r w:rsidRPr="00EC20A0">
        <w:t>response</w:t>
      </w:r>
      <w:r w:rsidRPr="00EC20A0">
        <w:rPr>
          <w:spacing w:val="-3"/>
        </w:rPr>
        <w:t xml:space="preserve"> </w:t>
      </w:r>
      <w:r w:rsidRPr="00EC20A0">
        <w:t>be</w:t>
      </w:r>
      <w:r w:rsidRPr="00EC20A0">
        <w:rPr>
          <w:spacing w:val="-4"/>
        </w:rPr>
        <w:t xml:space="preserve"> </w:t>
      </w:r>
      <w:r w:rsidRPr="00EC20A0">
        <w:t>sent</w:t>
      </w:r>
      <w:r w:rsidRPr="00EC20A0">
        <w:rPr>
          <w:spacing w:val="-3"/>
        </w:rPr>
        <w:t xml:space="preserve"> </w:t>
      </w:r>
      <w:r w:rsidRPr="00EC20A0">
        <w:t>directly</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with</w:t>
      </w:r>
      <w:r w:rsidRPr="00EC20A0">
        <w:rPr>
          <w:spacing w:val="-3"/>
        </w:rPr>
        <w:t xml:space="preserve"> </w:t>
      </w:r>
      <w:r w:rsidRPr="00EC20A0">
        <w:t>a</w:t>
      </w:r>
      <w:r w:rsidRPr="00EC20A0">
        <w:rPr>
          <w:spacing w:val="-3"/>
        </w:rPr>
        <w:t xml:space="preserve"> </w:t>
      </w:r>
      <w:r w:rsidRPr="00EC20A0">
        <w:t>copy</w:t>
      </w:r>
      <w:r w:rsidRPr="00EC20A0">
        <w:rPr>
          <w:spacing w:val="-3"/>
        </w:rPr>
        <w:t xml:space="preserve"> </w:t>
      </w:r>
      <w:r w:rsidRPr="00EC20A0">
        <w:t>to</w:t>
      </w:r>
      <w:r w:rsidRPr="00EC20A0">
        <w:rPr>
          <w:spacing w:val="-3"/>
        </w:rPr>
        <w:t xml:space="preserve"> </w:t>
      </w:r>
      <w:r w:rsidRPr="00EC20A0">
        <w:t>management by specified due dates (see FAM 1002.33–.36 for guidance on timing of legal counsel requests and responses). FAM 1002 B provides an example legal counsel request.</w:t>
      </w:r>
    </w:p>
    <w:p w14:paraId="24D61E2A" w14:textId="77777777" w:rsidR="00245300" w:rsidRPr="00EC20A0" w:rsidRDefault="00245300">
      <w:pPr>
        <w:pStyle w:val="BodyText"/>
        <w:spacing w:before="48"/>
      </w:pPr>
    </w:p>
    <w:p w14:paraId="24D61E2B" w14:textId="77777777" w:rsidR="00245300" w:rsidRPr="00EC20A0" w:rsidRDefault="00F17249">
      <w:pPr>
        <w:ind w:left="920"/>
        <w:rPr>
          <w:b/>
          <w:sz w:val="24"/>
        </w:rPr>
      </w:pPr>
      <w:bookmarkStart w:id="393" w:name="Agree_on_Materiality_Level_for_Legal_Inq"/>
      <w:bookmarkEnd w:id="393"/>
      <w:r w:rsidRPr="00EC20A0">
        <w:rPr>
          <w:b/>
          <w:sz w:val="24"/>
        </w:rPr>
        <w:t>Agree</w:t>
      </w:r>
      <w:r w:rsidRPr="00EC20A0">
        <w:rPr>
          <w:b/>
          <w:spacing w:val="-3"/>
          <w:sz w:val="24"/>
        </w:rPr>
        <w:t xml:space="preserve"> </w:t>
      </w:r>
      <w:r w:rsidRPr="00EC20A0">
        <w:rPr>
          <w:b/>
          <w:sz w:val="24"/>
        </w:rPr>
        <w:t>on</w:t>
      </w:r>
      <w:r w:rsidRPr="00EC20A0">
        <w:rPr>
          <w:b/>
          <w:spacing w:val="-4"/>
          <w:sz w:val="24"/>
        </w:rPr>
        <w:t xml:space="preserve"> </w:t>
      </w:r>
      <w:r w:rsidRPr="00EC20A0">
        <w:rPr>
          <w:b/>
          <w:sz w:val="24"/>
        </w:rPr>
        <w:t>Materiality</w:t>
      </w:r>
      <w:r w:rsidRPr="00EC20A0">
        <w:rPr>
          <w:b/>
          <w:spacing w:val="-3"/>
          <w:sz w:val="24"/>
        </w:rPr>
        <w:t xml:space="preserve"> </w:t>
      </w:r>
      <w:r w:rsidRPr="00EC20A0">
        <w:rPr>
          <w:b/>
          <w:sz w:val="24"/>
        </w:rPr>
        <w:t>Level</w:t>
      </w:r>
      <w:r w:rsidRPr="00EC20A0">
        <w:rPr>
          <w:b/>
          <w:spacing w:val="-2"/>
          <w:sz w:val="24"/>
        </w:rPr>
        <w:t xml:space="preserve"> </w:t>
      </w:r>
      <w:r w:rsidRPr="00EC20A0">
        <w:rPr>
          <w:b/>
          <w:sz w:val="24"/>
        </w:rPr>
        <w:t>for</w:t>
      </w:r>
      <w:r w:rsidRPr="00EC20A0">
        <w:rPr>
          <w:b/>
          <w:spacing w:val="-4"/>
          <w:sz w:val="24"/>
        </w:rPr>
        <w:t xml:space="preserve"> </w:t>
      </w:r>
      <w:r w:rsidRPr="00EC20A0">
        <w:rPr>
          <w:b/>
          <w:sz w:val="24"/>
        </w:rPr>
        <w:t>Legal</w:t>
      </w:r>
      <w:r w:rsidRPr="00EC20A0">
        <w:rPr>
          <w:b/>
          <w:spacing w:val="-1"/>
          <w:sz w:val="24"/>
        </w:rPr>
        <w:t xml:space="preserve"> </w:t>
      </w:r>
      <w:r w:rsidRPr="00EC20A0">
        <w:rPr>
          <w:b/>
          <w:spacing w:val="-2"/>
          <w:sz w:val="24"/>
        </w:rPr>
        <w:t>Inquiries</w:t>
      </w:r>
    </w:p>
    <w:p w14:paraId="24D61E2C" w14:textId="77777777" w:rsidR="00245300" w:rsidRPr="00EC20A0" w:rsidRDefault="00245300">
      <w:pPr>
        <w:pStyle w:val="BodyText"/>
        <w:spacing w:before="23"/>
        <w:rPr>
          <w:b/>
          <w:sz w:val="24"/>
        </w:rPr>
      </w:pPr>
    </w:p>
    <w:p w14:paraId="24D61E2D" w14:textId="77777777" w:rsidR="00245300" w:rsidRPr="00EC20A0" w:rsidRDefault="00F17249">
      <w:pPr>
        <w:pStyle w:val="ListParagraph"/>
        <w:numPr>
          <w:ilvl w:val="0"/>
          <w:numId w:val="66"/>
        </w:numPr>
        <w:tabs>
          <w:tab w:val="left" w:pos="1639"/>
        </w:tabs>
        <w:spacing w:before="0"/>
        <w:ind w:right="369" w:hanging="720"/>
      </w:pPr>
      <w:r w:rsidRPr="00EC20A0">
        <w:t>The auditor and the entity may agree to limit the legal inquiry to matters that are considered individually or collectively material to the financial statements, provided that the entity and the auditor have reached an understanding on the materiality</w:t>
      </w:r>
      <w:r w:rsidRPr="00EC20A0">
        <w:rPr>
          <w:spacing w:val="-3"/>
        </w:rPr>
        <w:t xml:space="preserve"> </w:t>
      </w:r>
      <w:r w:rsidRPr="00EC20A0">
        <w:t>level.</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should</w:t>
      </w:r>
      <w:r w:rsidRPr="00EC20A0">
        <w:rPr>
          <w:spacing w:val="-4"/>
        </w:rPr>
        <w:t xml:space="preserve"> </w:t>
      </w:r>
      <w:r w:rsidRPr="00EC20A0">
        <w:t>ask</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to</w:t>
      </w:r>
      <w:r w:rsidRPr="00EC20A0">
        <w:rPr>
          <w:spacing w:val="-3"/>
        </w:rPr>
        <w:t xml:space="preserve"> </w:t>
      </w:r>
      <w:r w:rsidRPr="00EC20A0">
        <w:t>indicate</w:t>
      </w:r>
      <w:r w:rsidRPr="00EC20A0">
        <w:rPr>
          <w:spacing w:val="-4"/>
        </w:rPr>
        <w:t xml:space="preserve"> </w:t>
      </w:r>
      <w:r w:rsidRPr="00EC20A0">
        <w:t>the</w:t>
      </w:r>
      <w:r w:rsidRPr="00EC20A0">
        <w:rPr>
          <w:spacing w:val="-3"/>
        </w:rPr>
        <w:t xml:space="preserve"> </w:t>
      </w:r>
      <w:r w:rsidRPr="00EC20A0">
        <w:t>materiality</w:t>
      </w:r>
      <w:r w:rsidRPr="00EC20A0">
        <w:rPr>
          <w:spacing w:val="-3"/>
        </w:rPr>
        <w:t xml:space="preserve"> </w:t>
      </w:r>
      <w:r w:rsidRPr="00EC20A0">
        <w:t>level, if used, in the legal counsel request, and the entity should ask legal counsel to include the materiality in the response.</w:t>
      </w:r>
    </w:p>
    <w:p w14:paraId="24D61E2E" w14:textId="77777777" w:rsidR="00245300" w:rsidRPr="00EC20A0" w:rsidRDefault="00F17249">
      <w:pPr>
        <w:pStyle w:val="ListParagraph"/>
        <w:numPr>
          <w:ilvl w:val="0"/>
          <w:numId w:val="66"/>
        </w:numPr>
        <w:tabs>
          <w:tab w:val="left" w:pos="1639"/>
        </w:tabs>
        <w:ind w:right="662" w:hanging="720"/>
      </w:pPr>
      <w:r w:rsidRPr="00EC20A0">
        <w:t>In</w:t>
      </w:r>
      <w:r w:rsidRPr="00EC20A0">
        <w:rPr>
          <w:spacing w:val="-3"/>
        </w:rPr>
        <w:t xml:space="preserve"> </w:t>
      </w:r>
      <w:r w:rsidRPr="00EC20A0">
        <w:t>determining</w:t>
      </w:r>
      <w:r w:rsidRPr="00EC20A0">
        <w:rPr>
          <w:spacing w:val="-3"/>
        </w:rPr>
        <w:t xml:space="preserve"> </w:t>
      </w:r>
      <w:r w:rsidRPr="00EC20A0">
        <w:t>a</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materiality,</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should</w:t>
      </w:r>
      <w:r w:rsidRPr="00EC20A0">
        <w:rPr>
          <w:spacing w:val="-3"/>
        </w:rPr>
        <w:t xml:space="preserve"> </w:t>
      </w:r>
      <w:r w:rsidRPr="00EC20A0">
        <w:t xml:space="preserve">set the </w:t>
      </w:r>
      <w:r w:rsidRPr="00EC20A0">
        <w:t>level sufficiently low so that the cases not included in the legal counsel response would not be material to the financial statements as a whole when aggregated with</w:t>
      </w:r>
    </w:p>
    <w:p w14:paraId="24D61E2F" w14:textId="77777777" w:rsidR="00245300" w:rsidRPr="00EC20A0" w:rsidRDefault="00F17249">
      <w:pPr>
        <w:pStyle w:val="ListParagraph"/>
        <w:numPr>
          <w:ilvl w:val="1"/>
          <w:numId w:val="66"/>
        </w:numPr>
        <w:tabs>
          <w:tab w:val="left" w:pos="1998"/>
        </w:tabs>
        <w:spacing w:before="241"/>
        <w:ind w:left="1998" w:hanging="359"/>
      </w:pPr>
      <w:r w:rsidRPr="00EC20A0">
        <w:t>other</w:t>
      </w:r>
      <w:r w:rsidRPr="00EC20A0">
        <w:rPr>
          <w:spacing w:val="-5"/>
        </w:rPr>
        <w:t xml:space="preserve"> </w:t>
      </w:r>
      <w:r w:rsidRPr="00EC20A0">
        <w:t>cases</w:t>
      </w:r>
      <w:r w:rsidRPr="00EC20A0">
        <w:rPr>
          <w:spacing w:val="-6"/>
        </w:rPr>
        <w:t xml:space="preserve"> </w:t>
      </w:r>
      <w:r w:rsidRPr="00EC20A0">
        <w:t>not</w:t>
      </w:r>
      <w:r w:rsidRPr="00EC20A0">
        <w:rPr>
          <w:spacing w:val="-5"/>
        </w:rPr>
        <w:t xml:space="preserve"> </w:t>
      </w:r>
      <w:r w:rsidRPr="00EC20A0">
        <w:t>included</w:t>
      </w:r>
      <w:r w:rsidRPr="00EC20A0">
        <w:rPr>
          <w:spacing w:val="-6"/>
        </w:rPr>
        <w:t xml:space="preserve"> </w:t>
      </w:r>
      <w:r w:rsidRPr="00EC20A0">
        <w:t>in</w:t>
      </w:r>
      <w:r w:rsidRPr="00EC20A0">
        <w:rPr>
          <w:spacing w:val="-5"/>
        </w:rPr>
        <w:t xml:space="preserve"> </w:t>
      </w:r>
      <w:r w:rsidRPr="00EC20A0">
        <w:t>the</w:t>
      </w:r>
      <w:r w:rsidRPr="00EC20A0">
        <w:rPr>
          <w:spacing w:val="-5"/>
        </w:rPr>
        <w:t xml:space="preserve"> </w:t>
      </w:r>
      <w:r w:rsidRPr="00EC20A0">
        <w:t>legal</w:t>
      </w:r>
      <w:r w:rsidRPr="00EC20A0">
        <w:rPr>
          <w:spacing w:val="-6"/>
        </w:rPr>
        <w:t xml:space="preserve"> </w:t>
      </w:r>
      <w:r w:rsidRPr="00EC20A0">
        <w:t>counsel</w:t>
      </w:r>
      <w:r w:rsidRPr="00EC20A0">
        <w:rPr>
          <w:spacing w:val="-5"/>
        </w:rPr>
        <w:t xml:space="preserve"> </w:t>
      </w:r>
      <w:r w:rsidRPr="00EC20A0">
        <w:rPr>
          <w:spacing w:val="-2"/>
        </w:rPr>
        <w:t>response,</w:t>
      </w:r>
    </w:p>
    <w:p w14:paraId="24D61E30" w14:textId="77777777" w:rsidR="00245300" w:rsidRPr="00EC20A0" w:rsidRDefault="00F17249">
      <w:pPr>
        <w:pStyle w:val="ListParagraph"/>
        <w:numPr>
          <w:ilvl w:val="1"/>
          <w:numId w:val="66"/>
        </w:numPr>
        <w:tabs>
          <w:tab w:val="left" w:pos="1997"/>
        </w:tabs>
        <w:spacing w:before="239"/>
        <w:ind w:left="1997" w:hanging="359"/>
      </w:pPr>
      <w:r w:rsidRPr="00EC20A0">
        <w:t>all</w:t>
      </w:r>
      <w:r w:rsidRPr="00EC20A0">
        <w:rPr>
          <w:spacing w:val="-4"/>
        </w:rPr>
        <w:t xml:space="preserve"> </w:t>
      </w:r>
      <w:r w:rsidRPr="00EC20A0">
        <w:t>other</w:t>
      </w:r>
      <w:r w:rsidRPr="00EC20A0">
        <w:rPr>
          <w:spacing w:val="-4"/>
        </w:rPr>
        <w:t xml:space="preserve"> </w:t>
      </w:r>
      <w:r w:rsidRPr="00EC20A0">
        <w:t>types</w:t>
      </w:r>
      <w:r w:rsidRPr="00EC20A0">
        <w:rPr>
          <w:spacing w:val="-4"/>
        </w:rPr>
        <w:t xml:space="preserve"> </w:t>
      </w:r>
      <w:r w:rsidRPr="00EC20A0">
        <w:t>of</w:t>
      </w:r>
      <w:r w:rsidRPr="00EC20A0">
        <w:rPr>
          <w:spacing w:val="-4"/>
        </w:rPr>
        <w:t xml:space="preserve"> </w:t>
      </w:r>
      <w:r w:rsidRPr="00EC20A0">
        <w:rPr>
          <w:spacing w:val="-2"/>
        </w:rPr>
        <w:t>contingencies,</w:t>
      </w:r>
    </w:p>
    <w:p w14:paraId="24D61E31" w14:textId="77777777" w:rsidR="00245300" w:rsidRPr="00EC20A0" w:rsidRDefault="00F17249">
      <w:pPr>
        <w:pStyle w:val="ListParagraph"/>
        <w:numPr>
          <w:ilvl w:val="1"/>
          <w:numId w:val="66"/>
        </w:numPr>
        <w:tabs>
          <w:tab w:val="left" w:pos="1998"/>
        </w:tabs>
        <w:spacing w:before="241"/>
        <w:ind w:left="1998" w:right="353"/>
      </w:pPr>
      <w:r w:rsidRPr="00EC20A0">
        <w:t>all</w:t>
      </w:r>
      <w:r w:rsidRPr="00EC20A0">
        <w:rPr>
          <w:spacing w:val="-4"/>
        </w:rPr>
        <w:t xml:space="preserve"> </w:t>
      </w:r>
      <w:r w:rsidRPr="00EC20A0">
        <w:t>other</w:t>
      </w:r>
      <w:r w:rsidRPr="00EC20A0">
        <w:rPr>
          <w:spacing w:val="-4"/>
        </w:rPr>
        <w:t xml:space="preserve"> </w:t>
      </w:r>
      <w:r w:rsidRPr="00EC20A0">
        <w:t>items</w:t>
      </w:r>
      <w:r w:rsidRPr="00EC20A0">
        <w:rPr>
          <w:spacing w:val="-4"/>
        </w:rPr>
        <w:t xml:space="preserve"> </w:t>
      </w:r>
      <w:r w:rsidRPr="00EC20A0">
        <w:t>that</w:t>
      </w:r>
      <w:r w:rsidRPr="00EC20A0">
        <w:rPr>
          <w:spacing w:val="-4"/>
        </w:rPr>
        <w:t xml:space="preserve"> </w:t>
      </w:r>
      <w:r w:rsidRPr="00EC20A0">
        <w:t>would</w:t>
      </w:r>
      <w:r w:rsidRPr="00EC20A0">
        <w:rPr>
          <w:spacing w:val="-4"/>
        </w:rPr>
        <w:t xml:space="preserve"> </w:t>
      </w:r>
      <w:r w:rsidRPr="00EC20A0">
        <w:t>not</w:t>
      </w:r>
      <w:r w:rsidRPr="00EC20A0">
        <w:rPr>
          <w:spacing w:val="-4"/>
        </w:rPr>
        <w:t xml:space="preserve"> </w:t>
      </w:r>
      <w:r w:rsidRPr="00EC20A0">
        <w:t>be</w:t>
      </w:r>
      <w:r w:rsidRPr="00EC20A0">
        <w:rPr>
          <w:spacing w:val="-4"/>
        </w:rPr>
        <w:t xml:space="preserve"> </w:t>
      </w:r>
      <w:r w:rsidRPr="00EC20A0">
        <w:t>adjusted</w:t>
      </w:r>
      <w:r w:rsidRPr="00EC20A0">
        <w:rPr>
          <w:spacing w:val="-4"/>
        </w:rPr>
        <w:t xml:space="preserve"> </w:t>
      </w:r>
      <w:r w:rsidRPr="00EC20A0">
        <w:t>because</w:t>
      </w:r>
      <w:r w:rsidRPr="00EC20A0">
        <w:rPr>
          <w:spacing w:val="-4"/>
        </w:rPr>
        <w:t xml:space="preserve"> </w:t>
      </w:r>
      <w:r w:rsidRPr="00EC20A0">
        <w:t>they</w:t>
      </w:r>
      <w:r w:rsidRPr="00EC20A0">
        <w:rPr>
          <w:spacing w:val="-4"/>
        </w:rPr>
        <w:t xml:space="preserve"> </w:t>
      </w:r>
      <w:r w:rsidRPr="00EC20A0">
        <w:t>are</w:t>
      </w:r>
      <w:r w:rsidRPr="00EC20A0">
        <w:rPr>
          <w:spacing w:val="-4"/>
        </w:rPr>
        <w:t xml:space="preserve"> </w:t>
      </w:r>
      <w:r w:rsidRPr="00EC20A0">
        <w:t>judged</w:t>
      </w:r>
      <w:r w:rsidRPr="00EC20A0">
        <w:rPr>
          <w:spacing w:val="-4"/>
        </w:rPr>
        <w:t xml:space="preserve"> </w:t>
      </w:r>
      <w:r w:rsidRPr="00EC20A0">
        <w:t>immaterial (unadjusted misstatements),</w:t>
      </w:r>
    </w:p>
    <w:p w14:paraId="24D61E32" w14:textId="77777777" w:rsidR="00245300" w:rsidRPr="00EC20A0" w:rsidRDefault="00F17249">
      <w:pPr>
        <w:pStyle w:val="ListParagraph"/>
        <w:numPr>
          <w:ilvl w:val="1"/>
          <w:numId w:val="66"/>
        </w:numPr>
        <w:tabs>
          <w:tab w:val="left" w:pos="1998"/>
        </w:tabs>
        <w:ind w:left="1998" w:right="450"/>
      </w:pPr>
      <w:r w:rsidRPr="00EC20A0">
        <w:t>all</w:t>
      </w:r>
      <w:r w:rsidRPr="00EC20A0">
        <w:rPr>
          <w:spacing w:val="-3"/>
        </w:rPr>
        <w:t xml:space="preserve"> </w:t>
      </w:r>
      <w:r w:rsidRPr="00EC20A0">
        <w:t>other</w:t>
      </w:r>
      <w:r w:rsidRPr="00EC20A0">
        <w:rPr>
          <w:spacing w:val="-3"/>
        </w:rPr>
        <w:t xml:space="preserve"> </w:t>
      </w:r>
      <w:r w:rsidRPr="00EC20A0">
        <w:t>amounts</w:t>
      </w:r>
      <w:r w:rsidRPr="00EC20A0">
        <w:rPr>
          <w:spacing w:val="-3"/>
        </w:rPr>
        <w:t xml:space="preserve"> </w:t>
      </w:r>
      <w:r w:rsidRPr="00EC20A0">
        <w:t>in</w:t>
      </w:r>
      <w:r w:rsidRPr="00EC20A0">
        <w:rPr>
          <w:spacing w:val="-3"/>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3"/>
        </w:rPr>
        <w:t xml:space="preserve"> </w:t>
      </w:r>
      <w:r w:rsidRPr="00EC20A0">
        <w:t>that</w:t>
      </w:r>
      <w:r w:rsidRPr="00EC20A0">
        <w:rPr>
          <w:spacing w:val="-3"/>
        </w:rPr>
        <w:t xml:space="preserve"> </w:t>
      </w:r>
      <w:r w:rsidRPr="00EC20A0">
        <w:t>would</w:t>
      </w:r>
      <w:r w:rsidRPr="00EC20A0">
        <w:rPr>
          <w:spacing w:val="-3"/>
        </w:rPr>
        <w:t xml:space="preserve"> </w:t>
      </w:r>
      <w:r w:rsidRPr="00EC20A0">
        <w:t>not</w:t>
      </w:r>
      <w:r w:rsidRPr="00EC20A0">
        <w:rPr>
          <w:spacing w:val="-3"/>
        </w:rPr>
        <w:t xml:space="preserve"> </w:t>
      </w:r>
      <w:r w:rsidRPr="00EC20A0">
        <w:t>be</w:t>
      </w:r>
      <w:r w:rsidRPr="00EC20A0">
        <w:rPr>
          <w:spacing w:val="-3"/>
        </w:rPr>
        <w:t xml:space="preserve"> </w:t>
      </w:r>
      <w:r w:rsidRPr="00EC20A0">
        <w:t>tested</w:t>
      </w:r>
      <w:r w:rsidRPr="00EC20A0">
        <w:rPr>
          <w:spacing w:val="-3"/>
        </w:rPr>
        <w:t xml:space="preserve"> </w:t>
      </w:r>
      <w:r w:rsidRPr="00EC20A0">
        <w:t>directly because they were judged to be immaterial, and</w:t>
      </w:r>
    </w:p>
    <w:p w14:paraId="24D61E33" w14:textId="77777777" w:rsidR="00245300" w:rsidRPr="00EC20A0" w:rsidRDefault="00F17249">
      <w:pPr>
        <w:pStyle w:val="ListParagraph"/>
        <w:numPr>
          <w:ilvl w:val="1"/>
          <w:numId w:val="66"/>
        </w:numPr>
        <w:tabs>
          <w:tab w:val="left" w:pos="1999"/>
        </w:tabs>
        <w:spacing w:before="239"/>
        <w:ind w:hanging="359"/>
      </w:pPr>
      <w:r w:rsidRPr="00EC20A0">
        <w:t>all</w:t>
      </w:r>
      <w:r w:rsidRPr="00EC20A0">
        <w:rPr>
          <w:spacing w:val="-6"/>
        </w:rPr>
        <w:t xml:space="preserve"> </w:t>
      </w:r>
      <w:r w:rsidRPr="00EC20A0">
        <w:t>other</w:t>
      </w:r>
      <w:r w:rsidRPr="00EC20A0">
        <w:rPr>
          <w:spacing w:val="-5"/>
        </w:rPr>
        <w:t xml:space="preserve"> </w:t>
      </w:r>
      <w:r w:rsidRPr="00EC20A0">
        <w:t>items</w:t>
      </w:r>
      <w:r w:rsidRPr="00EC20A0">
        <w:rPr>
          <w:spacing w:val="-6"/>
        </w:rPr>
        <w:t xml:space="preserve"> </w:t>
      </w:r>
      <w:r w:rsidRPr="00EC20A0">
        <w:t>resolved</w:t>
      </w:r>
      <w:r w:rsidRPr="00EC20A0">
        <w:rPr>
          <w:spacing w:val="-6"/>
        </w:rPr>
        <w:t xml:space="preserve"> </w:t>
      </w:r>
      <w:r w:rsidRPr="00EC20A0">
        <w:t>on</w:t>
      </w:r>
      <w:r w:rsidRPr="00EC20A0">
        <w:rPr>
          <w:spacing w:val="-5"/>
        </w:rPr>
        <w:t xml:space="preserve"> </w:t>
      </w:r>
      <w:r w:rsidRPr="00EC20A0">
        <w:t>the</w:t>
      </w:r>
      <w:r w:rsidRPr="00EC20A0">
        <w:rPr>
          <w:spacing w:val="-6"/>
        </w:rPr>
        <w:t xml:space="preserve"> </w:t>
      </w:r>
      <w:r w:rsidRPr="00EC20A0">
        <w:t>basis</w:t>
      </w:r>
      <w:r w:rsidRPr="00EC20A0">
        <w:rPr>
          <w:spacing w:val="-5"/>
        </w:rPr>
        <w:t xml:space="preserve"> </w:t>
      </w:r>
      <w:r w:rsidRPr="00EC20A0">
        <w:t>of</w:t>
      </w:r>
      <w:r w:rsidRPr="00EC20A0">
        <w:rPr>
          <w:spacing w:val="-5"/>
        </w:rPr>
        <w:t xml:space="preserve"> </w:t>
      </w:r>
      <w:r w:rsidRPr="00EC20A0">
        <w:t>materiality</w:t>
      </w:r>
      <w:r w:rsidRPr="00EC20A0">
        <w:rPr>
          <w:spacing w:val="-6"/>
        </w:rPr>
        <w:t xml:space="preserve"> </w:t>
      </w:r>
      <w:r w:rsidRPr="00EC20A0">
        <w:rPr>
          <w:spacing w:val="-2"/>
        </w:rPr>
        <w:t>considerations.</w:t>
      </w:r>
    </w:p>
    <w:p w14:paraId="24D61E34" w14:textId="77777777" w:rsidR="00245300" w:rsidRPr="00EC20A0" w:rsidRDefault="00245300">
      <w:pPr>
        <w:sectPr w:rsidR="00245300" w:rsidRPr="00EC20A0">
          <w:pgSz w:w="12240" w:h="15840"/>
          <w:pgMar w:top="1340" w:right="1100" w:bottom="940" w:left="1240" w:header="721" w:footer="757" w:gutter="0"/>
          <w:cols w:space="720"/>
        </w:sectPr>
      </w:pPr>
    </w:p>
    <w:p w14:paraId="24D61E35" w14:textId="77777777" w:rsidR="00245300" w:rsidRPr="00EC20A0" w:rsidRDefault="00F17249">
      <w:pPr>
        <w:pStyle w:val="BodyText"/>
        <w:spacing w:before="121"/>
        <w:ind w:left="1640" w:right="408"/>
      </w:pPr>
      <w:r w:rsidRPr="00EC20A0">
        <w:t>For</w:t>
      </w:r>
      <w:r w:rsidRPr="00EC20A0">
        <w:rPr>
          <w:spacing w:val="-3"/>
        </w:rPr>
        <w:t xml:space="preserve"> </w:t>
      </w:r>
      <w:r w:rsidRPr="00EC20A0">
        <w:t>example,</w:t>
      </w:r>
      <w:r w:rsidRPr="00EC20A0">
        <w:rPr>
          <w:spacing w:val="-4"/>
        </w:rPr>
        <w:t xml:space="preserve"> </w:t>
      </w:r>
      <w:r w:rsidRPr="00EC20A0">
        <w:t>a</w:t>
      </w:r>
      <w:r w:rsidRPr="00EC20A0">
        <w:rPr>
          <w:spacing w:val="-3"/>
        </w:rPr>
        <w:t xml:space="preserve"> </w:t>
      </w:r>
      <w:r w:rsidRPr="00EC20A0">
        <w:t>threshold</w:t>
      </w:r>
      <w:r w:rsidRPr="00EC20A0">
        <w:rPr>
          <w:spacing w:val="-4"/>
        </w:rPr>
        <w:t xml:space="preserve"> </w:t>
      </w:r>
      <w:r w:rsidRPr="00EC20A0">
        <w:t>that</w:t>
      </w:r>
      <w:r w:rsidRPr="00EC20A0">
        <w:rPr>
          <w:spacing w:val="-3"/>
        </w:rPr>
        <w:t xml:space="preserve"> </w:t>
      </w:r>
      <w:r w:rsidRPr="00EC20A0">
        <w:t>is</w:t>
      </w:r>
      <w:r w:rsidRPr="00EC20A0">
        <w:rPr>
          <w:spacing w:val="-4"/>
        </w:rPr>
        <w:t xml:space="preserve"> </w:t>
      </w:r>
      <w:r w:rsidRPr="00EC20A0">
        <w:t>5</w:t>
      </w:r>
      <w:r w:rsidRPr="00EC20A0">
        <w:rPr>
          <w:spacing w:val="-3"/>
        </w:rPr>
        <w:t xml:space="preserve"> </w:t>
      </w:r>
      <w:r w:rsidRPr="00EC20A0">
        <w:t>percent</w:t>
      </w:r>
      <w:r w:rsidRPr="00EC20A0">
        <w:rPr>
          <w:spacing w:val="-4"/>
        </w:rPr>
        <w:t xml:space="preserve"> </w:t>
      </w:r>
      <w:r w:rsidRPr="00EC20A0">
        <w:t>(or</w:t>
      </w:r>
      <w:r w:rsidRPr="00EC20A0">
        <w:rPr>
          <w:spacing w:val="-3"/>
        </w:rPr>
        <w:t xml:space="preserve"> </w:t>
      </w:r>
      <w:r w:rsidRPr="00EC20A0">
        <w:t>less)</w:t>
      </w:r>
      <w:r w:rsidRPr="00EC20A0">
        <w:rPr>
          <w:spacing w:val="-4"/>
        </w:rPr>
        <w:t xml:space="preserve"> </w:t>
      </w:r>
      <w:r w:rsidRPr="00EC20A0">
        <w:t>of</w:t>
      </w:r>
      <w:r w:rsidRPr="00EC20A0">
        <w:rPr>
          <w:spacing w:val="-3"/>
        </w:rPr>
        <w:t xml:space="preserve"> </w:t>
      </w:r>
      <w:r w:rsidRPr="00EC20A0">
        <w:t>performance</w:t>
      </w:r>
      <w:r w:rsidRPr="00EC20A0">
        <w:rPr>
          <w:spacing w:val="-4"/>
        </w:rPr>
        <w:t xml:space="preserve"> </w:t>
      </w:r>
      <w:r w:rsidRPr="00EC20A0">
        <w:t>materiality may be sufficiently low.</w:t>
      </w:r>
    </w:p>
    <w:p w14:paraId="24D61E36" w14:textId="77777777" w:rsidR="00245300" w:rsidRPr="00EC20A0" w:rsidRDefault="00F17249">
      <w:pPr>
        <w:pStyle w:val="ListParagraph"/>
        <w:numPr>
          <w:ilvl w:val="0"/>
          <w:numId w:val="66"/>
        </w:numPr>
        <w:tabs>
          <w:tab w:val="left" w:pos="1640"/>
        </w:tabs>
        <w:spacing w:before="239"/>
        <w:ind w:left="1640" w:right="381" w:hanging="720"/>
      </w:pPr>
      <w:r w:rsidRPr="00EC20A0">
        <w:t>In aggregating cases, the auditor and the entity may use two levels of aggregation. First, similar cases are aggregated (such as employment discrimination</w:t>
      </w:r>
      <w:r w:rsidRPr="00EC20A0">
        <w:rPr>
          <w:spacing w:val="-4"/>
        </w:rPr>
        <w:t xml:space="preserve"> </w:t>
      </w:r>
      <w:r w:rsidRPr="00EC20A0">
        <w:t>cases,</w:t>
      </w:r>
      <w:r w:rsidRPr="00EC20A0">
        <w:rPr>
          <w:spacing w:val="-4"/>
        </w:rPr>
        <w:t xml:space="preserve"> </w:t>
      </w:r>
      <w:r w:rsidRPr="00EC20A0">
        <w:t>harbor</w:t>
      </w:r>
      <w:r w:rsidRPr="00EC20A0">
        <w:rPr>
          <w:spacing w:val="-4"/>
        </w:rPr>
        <w:t xml:space="preserve"> </w:t>
      </w:r>
      <w:r w:rsidRPr="00EC20A0">
        <w:t>maintenance</w:t>
      </w:r>
      <w:r w:rsidRPr="00EC20A0">
        <w:rPr>
          <w:spacing w:val="-4"/>
        </w:rPr>
        <w:t xml:space="preserve"> </w:t>
      </w:r>
      <w:r w:rsidRPr="00EC20A0">
        <w:t>fee</w:t>
      </w:r>
      <w:r w:rsidRPr="00EC20A0">
        <w:rPr>
          <w:spacing w:val="-4"/>
        </w:rPr>
        <w:t xml:space="preserve"> </w:t>
      </w:r>
      <w:r w:rsidRPr="00EC20A0">
        <w:t>cases,</w:t>
      </w:r>
      <w:r w:rsidRPr="00EC20A0">
        <w:rPr>
          <w:spacing w:val="-4"/>
        </w:rPr>
        <w:t xml:space="preserve"> </w:t>
      </w:r>
      <w:r w:rsidRPr="00EC20A0">
        <w:t>spent</w:t>
      </w:r>
      <w:r w:rsidRPr="00EC20A0">
        <w:rPr>
          <w:spacing w:val="-4"/>
        </w:rPr>
        <w:t xml:space="preserve"> </w:t>
      </w:r>
      <w:r w:rsidRPr="00EC20A0">
        <w:t>nuclear</w:t>
      </w:r>
      <w:r w:rsidRPr="00EC20A0">
        <w:rPr>
          <w:spacing w:val="-4"/>
        </w:rPr>
        <w:t xml:space="preserve"> </w:t>
      </w:r>
      <w:r w:rsidRPr="00EC20A0">
        <w:t>fuel</w:t>
      </w:r>
      <w:r w:rsidRPr="00EC20A0">
        <w:rPr>
          <w:spacing w:val="-5"/>
        </w:rPr>
        <w:t xml:space="preserve"> </w:t>
      </w:r>
      <w:r w:rsidRPr="00EC20A0">
        <w:t>cases,</w:t>
      </w:r>
      <w:r w:rsidRPr="00EC20A0">
        <w:rPr>
          <w:spacing w:val="-4"/>
        </w:rPr>
        <w:t xml:space="preserve"> </w:t>
      </w:r>
      <w:r w:rsidRPr="00EC20A0">
        <w:t xml:space="preserve">or military promotion board challenges), treated as a group, and the auditor should compare the total with the </w:t>
      </w:r>
      <w:r w:rsidRPr="00EC20A0">
        <w:t>individual materiality level. The aggregation generally includes a list of the individual cases and a discussion of the information on the aggregated cases included in the legal counsel response (see FAM 1002 C).</w:t>
      </w:r>
    </w:p>
    <w:p w14:paraId="24D61E37" w14:textId="77777777" w:rsidR="00245300" w:rsidRPr="00EC20A0" w:rsidRDefault="00F17249">
      <w:pPr>
        <w:pStyle w:val="BodyText"/>
        <w:spacing w:before="241"/>
        <w:ind w:left="1640" w:right="408"/>
      </w:pPr>
      <w:r w:rsidRPr="00EC20A0">
        <w:t>Second, cases not included in the legal counsel</w:t>
      </w:r>
      <w:r w:rsidRPr="00EC20A0">
        <w:rPr>
          <w:spacing w:val="-1"/>
        </w:rPr>
        <w:t xml:space="preserve"> </w:t>
      </w:r>
      <w:r w:rsidRPr="00EC20A0">
        <w:t>response individually or</w:t>
      </w:r>
      <w:r w:rsidRPr="00EC20A0">
        <w:rPr>
          <w:spacing w:val="-2"/>
        </w:rPr>
        <w:t xml:space="preserve"> </w:t>
      </w:r>
      <w:r w:rsidRPr="00EC20A0">
        <w:t>as part of a group of similar cases are aggregated. The auditor may use a higher materiality level for such an aggregation. However, the auditor may set this higher</w:t>
      </w:r>
      <w:r w:rsidRPr="00EC20A0">
        <w:rPr>
          <w:spacing w:val="-3"/>
        </w:rPr>
        <w:t xml:space="preserve"> </w:t>
      </w:r>
      <w:r w:rsidRPr="00EC20A0">
        <w:t>materiality</w:t>
      </w:r>
      <w:r w:rsidRPr="00EC20A0">
        <w:rPr>
          <w:spacing w:val="-4"/>
        </w:rPr>
        <w:t xml:space="preserve"> </w:t>
      </w:r>
      <w:r w:rsidRPr="00EC20A0">
        <w:t>level</w:t>
      </w:r>
      <w:r w:rsidRPr="00EC20A0">
        <w:rPr>
          <w:spacing w:val="-4"/>
        </w:rPr>
        <w:t xml:space="preserve"> </w:t>
      </w:r>
      <w:r w:rsidRPr="00EC20A0">
        <w:t>sufficiently</w:t>
      </w:r>
      <w:r w:rsidRPr="00EC20A0">
        <w:rPr>
          <w:spacing w:val="-3"/>
        </w:rPr>
        <w:t xml:space="preserve"> </w:t>
      </w:r>
      <w:r w:rsidRPr="00EC20A0">
        <w:t>low</w:t>
      </w:r>
      <w:r w:rsidRPr="00EC20A0">
        <w:rPr>
          <w:spacing w:val="-4"/>
        </w:rPr>
        <w:t xml:space="preserve"> </w:t>
      </w:r>
      <w:r w:rsidRPr="00EC20A0">
        <w:t>so</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cases</w:t>
      </w:r>
      <w:r w:rsidRPr="00EC20A0">
        <w:rPr>
          <w:spacing w:val="-3"/>
        </w:rPr>
        <w:t xml:space="preserve"> </w:t>
      </w:r>
      <w:r w:rsidRPr="00EC20A0">
        <w:t>not</w:t>
      </w:r>
      <w:r w:rsidRPr="00EC20A0">
        <w:rPr>
          <w:spacing w:val="-4"/>
        </w:rPr>
        <w:t xml:space="preserve"> </w:t>
      </w:r>
      <w:r w:rsidRPr="00EC20A0">
        <w:t>included</w:t>
      </w:r>
      <w:r w:rsidRPr="00EC20A0">
        <w:rPr>
          <w:spacing w:val="-3"/>
        </w:rPr>
        <w:t xml:space="preserve"> </w:t>
      </w:r>
      <w:r w:rsidRPr="00EC20A0">
        <w:t>in</w:t>
      </w:r>
      <w:r w:rsidRPr="00EC20A0">
        <w:rPr>
          <w:spacing w:val="-4"/>
        </w:rPr>
        <w:t xml:space="preserve"> </w:t>
      </w:r>
      <w:r w:rsidRPr="00EC20A0">
        <w:t>the</w:t>
      </w:r>
      <w:r w:rsidRPr="00EC20A0">
        <w:rPr>
          <w:spacing w:val="-3"/>
        </w:rPr>
        <w:t xml:space="preserve"> </w:t>
      </w:r>
      <w:r w:rsidRPr="00EC20A0">
        <w:t>legal counsel response would not be material to the financial statements as a whole when aggregated with the other items listed in the previous paragraph.</w:t>
      </w:r>
    </w:p>
    <w:p w14:paraId="24D61E38" w14:textId="77777777" w:rsidR="00245300" w:rsidRPr="00EC20A0" w:rsidRDefault="00F17249">
      <w:pPr>
        <w:pStyle w:val="ListParagraph"/>
        <w:numPr>
          <w:ilvl w:val="0"/>
          <w:numId w:val="66"/>
        </w:numPr>
        <w:tabs>
          <w:tab w:val="left" w:pos="1640"/>
        </w:tabs>
        <w:ind w:left="1640" w:right="378"/>
      </w:pPr>
      <w:r w:rsidRPr="00EC20A0">
        <w:t>Where</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engages</w:t>
      </w:r>
      <w:r w:rsidRPr="00EC20A0">
        <w:rPr>
          <w:spacing w:val="-3"/>
        </w:rPr>
        <w:t xml:space="preserve"> </w:t>
      </w:r>
      <w:r w:rsidRPr="00EC20A0">
        <w:t>more</w:t>
      </w:r>
      <w:r w:rsidRPr="00EC20A0">
        <w:rPr>
          <w:spacing w:val="-3"/>
        </w:rPr>
        <w:t xml:space="preserve"> </w:t>
      </w:r>
      <w:r w:rsidRPr="00EC20A0">
        <w:t>than</w:t>
      </w:r>
      <w:r w:rsidRPr="00EC20A0">
        <w:rPr>
          <w:spacing w:val="-3"/>
        </w:rPr>
        <w:t xml:space="preserve"> </w:t>
      </w:r>
      <w:r w:rsidRPr="00EC20A0">
        <w:t>one</w:t>
      </w:r>
      <w:r w:rsidRPr="00EC20A0">
        <w:rPr>
          <w:spacing w:val="-3"/>
        </w:rPr>
        <w:t xml:space="preserve"> </w:t>
      </w:r>
      <w:r w:rsidRPr="00EC20A0">
        <w:t>legal</w:t>
      </w:r>
      <w:r w:rsidRPr="00EC20A0">
        <w:rPr>
          <w:spacing w:val="-2"/>
        </w:rPr>
        <w:t xml:space="preserve"> </w:t>
      </w:r>
      <w:r w:rsidRPr="00EC20A0">
        <w:t>counsel,</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and</w:t>
      </w:r>
      <w:r w:rsidRPr="00EC20A0">
        <w:rPr>
          <w:spacing w:val="-3"/>
        </w:rPr>
        <w:t xml:space="preserve"> </w:t>
      </w:r>
      <w:r w:rsidRPr="00EC20A0">
        <w:t>the</w:t>
      </w:r>
      <w:r w:rsidRPr="00EC20A0">
        <w:rPr>
          <w:spacing w:val="-4"/>
        </w:rPr>
        <w:t xml:space="preserve"> </w:t>
      </w:r>
      <w:r w:rsidRPr="00EC20A0">
        <w:t>auditor should determine whether matters considered not material individually would exceed the materiality limit when aggregated. In addition, when separate legal counsel responses are requested on individual components (such as bureaus or offices) of a consolidated entity because of individual component audits, the auditor may determine materiality levels for each component.</w:t>
      </w:r>
    </w:p>
    <w:p w14:paraId="24D61E39" w14:textId="77777777" w:rsidR="00245300" w:rsidRPr="00EC20A0" w:rsidRDefault="00245300">
      <w:pPr>
        <w:pStyle w:val="BodyText"/>
        <w:spacing w:before="47"/>
      </w:pPr>
    </w:p>
    <w:p w14:paraId="24D61E3A" w14:textId="77777777" w:rsidR="00245300" w:rsidRPr="00EC20A0" w:rsidRDefault="00F17249">
      <w:pPr>
        <w:pStyle w:val="Heading5"/>
        <w:spacing w:before="0"/>
        <w:rPr>
          <w:u w:val="none"/>
        </w:rPr>
      </w:pPr>
      <w:bookmarkStart w:id="394" w:name="Evaluation_of_Legal_Counsel_Responses"/>
      <w:bookmarkEnd w:id="394"/>
      <w:r w:rsidRPr="00EC20A0">
        <w:t>Evaluation</w:t>
      </w:r>
      <w:r w:rsidRPr="00EC20A0">
        <w:rPr>
          <w:spacing w:val="-5"/>
        </w:rPr>
        <w:t xml:space="preserve"> </w:t>
      </w:r>
      <w:r w:rsidRPr="00EC20A0">
        <w:t>of</w:t>
      </w:r>
      <w:r w:rsidRPr="00EC20A0">
        <w:rPr>
          <w:spacing w:val="-3"/>
        </w:rPr>
        <w:t xml:space="preserve"> </w:t>
      </w:r>
      <w:r w:rsidRPr="00EC20A0">
        <w:t>Legal</w:t>
      </w:r>
      <w:r w:rsidRPr="00EC20A0">
        <w:rPr>
          <w:spacing w:val="-5"/>
        </w:rPr>
        <w:t xml:space="preserve"> </w:t>
      </w:r>
      <w:r w:rsidRPr="00EC20A0">
        <w:t>Counsel</w:t>
      </w:r>
      <w:r w:rsidRPr="00EC20A0">
        <w:rPr>
          <w:spacing w:val="-3"/>
        </w:rPr>
        <w:t xml:space="preserve"> </w:t>
      </w:r>
      <w:r w:rsidRPr="00EC20A0">
        <w:rPr>
          <w:spacing w:val="-2"/>
        </w:rPr>
        <w:t>Responses</w:t>
      </w:r>
    </w:p>
    <w:p w14:paraId="24D61E3B" w14:textId="77777777" w:rsidR="00245300" w:rsidRPr="00EC20A0" w:rsidRDefault="00245300">
      <w:pPr>
        <w:pStyle w:val="BodyText"/>
        <w:spacing w:before="47"/>
        <w:rPr>
          <w:b/>
        </w:rPr>
      </w:pPr>
    </w:p>
    <w:p w14:paraId="24D61E3C" w14:textId="77777777" w:rsidR="00245300" w:rsidRPr="00EC20A0" w:rsidRDefault="00F17249">
      <w:pPr>
        <w:pStyle w:val="ListParagraph"/>
        <w:numPr>
          <w:ilvl w:val="0"/>
          <w:numId w:val="66"/>
        </w:numPr>
        <w:tabs>
          <w:tab w:val="left" w:pos="1639"/>
        </w:tabs>
        <w:spacing w:before="0"/>
        <w:ind w:right="381" w:hanging="720"/>
      </w:pPr>
      <w:r w:rsidRPr="00EC20A0">
        <w:t>The</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response</w:t>
      </w:r>
      <w:r w:rsidRPr="00EC20A0">
        <w:rPr>
          <w:spacing w:val="-3"/>
        </w:rPr>
        <w:t xml:space="preserve"> </w:t>
      </w:r>
      <w:r w:rsidRPr="00EC20A0">
        <w:t>on</w:t>
      </w:r>
      <w:r w:rsidRPr="00EC20A0">
        <w:rPr>
          <w:spacing w:val="-3"/>
        </w:rPr>
        <w:t xml:space="preserve"> </w:t>
      </w:r>
      <w:r w:rsidRPr="00EC20A0">
        <w:t>legal</w:t>
      </w:r>
      <w:r w:rsidRPr="00EC20A0">
        <w:rPr>
          <w:spacing w:val="-4"/>
        </w:rPr>
        <w:t xml:space="preserve"> </w:t>
      </w:r>
      <w:r w:rsidRPr="00EC20A0">
        <w:t>counsel</w:t>
      </w:r>
      <w:r w:rsidRPr="00EC20A0">
        <w:rPr>
          <w:spacing w:val="-4"/>
        </w:rPr>
        <w:t xml:space="preserve"> </w:t>
      </w:r>
      <w:r w:rsidRPr="00EC20A0">
        <w:t>letterhead</w:t>
      </w:r>
      <w:r w:rsidRPr="00EC20A0">
        <w:rPr>
          <w:spacing w:val="-3"/>
        </w:rPr>
        <w:t xml:space="preserve"> </w:t>
      </w:r>
      <w:r w:rsidRPr="00EC20A0">
        <w:t>is</w:t>
      </w:r>
      <w:r w:rsidRPr="00EC20A0">
        <w:rPr>
          <w:spacing w:val="-3"/>
        </w:rPr>
        <w:t xml:space="preserve"> </w:t>
      </w:r>
      <w:r w:rsidRPr="00EC20A0">
        <w:t>sent</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 xml:space="preserve">with a copy to </w:t>
      </w:r>
      <w:r w:rsidRPr="00EC20A0">
        <w:t>management by specified due dates. Legal counsel may indicate that the response is provided for the auditor’s use in connection with the audit. See FAM 1002 C for an example legal counsel response.</w:t>
      </w:r>
    </w:p>
    <w:p w14:paraId="24D61E3D" w14:textId="77777777" w:rsidR="00245300" w:rsidRPr="00EC20A0" w:rsidRDefault="00F17249">
      <w:pPr>
        <w:pStyle w:val="ListParagraph"/>
        <w:numPr>
          <w:ilvl w:val="0"/>
          <w:numId w:val="66"/>
        </w:numPr>
        <w:tabs>
          <w:tab w:val="left" w:pos="1639"/>
        </w:tabs>
        <w:spacing w:before="239"/>
        <w:ind w:right="406"/>
      </w:pPr>
      <w:r w:rsidRPr="00EC20A0">
        <w:t>The</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response</w:t>
      </w:r>
      <w:r w:rsidRPr="00EC20A0">
        <w:rPr>
          <w:spacing w:val="-3"/>
        </w:rPr>
        <w:t xml:space="preserve"> </w:t>
      </w:r>
      <w:r w:rsidRPr="00EC20A0">
        <w:t>should</w:t>
      </w:r>
      <w:r w:rsidRPr="00EC20A0">
        <w:rPr>
          <w:spacing w:val="-4"/>
        </w:rPr>
        <w:t xml:space="preserve"> </w:t>
      </w:r>
      <w:r w:rsidRPr="00EC20A0">
        <w:t>include</w:t>
      </w:r>
      <w:r w:rsidRPr="00EC20A0">
        <w:rPr>
          <w:spacing w:val="-3"/>
        </w:rPr>
        <w:t xml:space="preserve"> </w:t>
      </w:r>
      <w:r w:rsidRPr="00EC20A0">
        <w:t>matters</w:t>
      </w:r>
      <w:r w:rsidRPr="00EC20A0">
        <w:rPr>
          <w:spacing w:val="-3"/>
        </w:rPr>
        <w:t xml:space="preserve"> </w:t>
      </w:r>
      <w:r w:rsidRPr="00EC20A0">
        <w:t>that</w:t>
      </w:r>
      <w:r w:rsidRPr="00EC20A0">
        <w:rPr>
          <w:spacing w:val="-3"/>
        </w:rPr>
        <w:t xml:space="preserve"> </w:t>
      </w:r>
      <w:r w:rsidRPr="00EC20A0">
        <w:t>existed</w:t>
      </w:r>
      <w:r w:rsidRPr="00EC20A0">
        <w:rPr>
          <w:spacing w:val="-3"/>
        </w:rPr>
        <w:t xml:space="preserve"> </w:t>
      </w:r>
      <w:r w:rsidRPr="00EC20A0">
        <w:t>at</w:t>
      </w:r>
      <w:r w:rsidRPr="00EC20A0">
        <w:rPr>
          <w:spacing w:val="-3"/>
        </w:rPr>
        <w:t xml:space="preserve"> </w:t>
      </w:r>
      <w:r w:rsidRPr="00EC20A0">
        <w:t>the</w:t>
      </w:r>
      <w:r w:rsidRPr="00EC20A0">
        <w:rPr>
          <w:spacing w:val="-3"/>
        </w:rPr>
        <w:t xml:space="preserve"> </w:t>
      </w:r>
      <w:r w:rsidRPr="00EC20A0">
        <w:t>date</w:t>
      </w:r>
      <w:r w:rsidRPr="00EC20A0">
        <w:rPr>
          <w:spacing w:val="-3"/>
        </w:rPr>
        <w:t xml:space="preserve"> </w:t>
      </w:r>
      <w:r w:rsidRPr="00EC20A0">
        <w:t>of</w:t>
      </w:r>
      <w:r w:rsidRPr="00EC20A0">
        <w:rPr>
          <w:spacing w:val="-3"/>
        </w:rPr>
        <w:t xml:space="preserve"> </w:t>
      </w:r>
      <w:r w:rsidRPr="00EC20A0">
        <w:t>the financial</w:t>
      </w:r>
      <w:r w:rsidRPr="00EC20A0">
        <w:rPr>
          <w:spacing w:val="-3"/>
        </w:rPr>
        <w:t xml:space="preserve"> </w:t>
      </w:r>
      <w:r w:rsidRPr="00EC20A0">
        <w:t>statements</w:t>
      </w:r>
      <w:r w:rsidRPr="00EC20A0">
        <w:rPr>
          <w:spacing w:val="-2"/>
        </w:rPr>
        <w:t xml:space="preserve"> </w:t>
      </w:r>
      <w:r w:rsidRPr="00EC20A0">
        <w:t>being</w:t>
      </w:r>
      <w:r w:rsidRPr="00EC20A0">
        <w:rPr>
          <w:spacing w:val="-2"/>
        </w:rPr>
        <w:t xml:space="preserve"> </w:t>
      </w:r>
      <w:r w:rsidRPr="00EC20A0">
        <w:t>reported</w:t>
      </w:r>
      <w:r w:rsidRPr="00EC20A0">
        <w:rPr>
          <w:spacing w:val="-2"/>
        </w:rPr>
        <w:t xml:space="preserve"> </w:t>
      </w:r>
      <w:r w:rsidRPr="00EC20A0">
        <w:t>on</w:t>
      </w:r>
      <w:r w:rsidRPr="00EC20A0">
        <w:rPr>
          <w:spacing w:val="-2"/>
        </w:rPr>
        <w:t xml:space="preserve"> </w:t>
      </w:r>
      <w:r w:rsidRPr="00EC20A0">
        <w:t>and</w:t>
      </w:r>
      <w:r w:rsidRPr="00EC20A0">
        <w:rPr>
          <w:spacing w:val="-2"/>
        </w:rPr>
        <w:t xml:space="preserve"> </w:t>
      </w:r>
      <w:r w:rsidRPr="00EC20A0">
        <w:t>during</w:t>
      </w:r>
      <w:r w:rsidRPr="00EC20A0">
        <w:rPr>
          <w:spacing w:val="-3"/>
        </w:rPr>
        <w:t xml:space="preserve"> </w:t>
      </w:r>
      <w:r w:rsidRPr="00EC20A0">
        <w:t>the</w:t>
      </w:r>
      <w:r w:rsidRPr="00EC20A0">
        <w:rPr>
          <w:spacing w:val="-2"/>
        </w:rPr>
        <w:t xml:space="preserve"> </w:t>
      </w:r>
      <w:r w:rsidRPr="00EC20A0">
        <w:t>period</w:t>
      </w:r>
      <w:r w:rsidRPr="00EC20A0">
        <w:rPr>
          <w:spacing w:val="-2"/>
        </w:rPr>
        <w:t xml:space="preserve"> </w:t>
      </w:r>
      <w:r w:rsidRPr="00EC20A0">
        <w:t>from</w:t>
      </w:r>
      <w:r w:rsidRPr="00EC20A0">
        <w:rPr>
          <w:spacing w:val="-3"/>
        </w:rPr>
        <w:t xml:space="preserve"> </w:t>
      </w:r>
      <w:r w:rsidRPr="00EC20A0">
        <w:t>the</w:t>
      </w:r>
      <w:r w:rsidRPr="00EC20A0">
        <w:rPr>
          <w:spacing w:val="-2"/>
        </w:rPr>
        <w:t xml:space="preserve"> </w:t>
      </w:r>
      <w:r w:rsidRPr="00EC20A0">
        <w:t>date</w:t>
      </w:r>
      <w:r w:rsidRPr="00EC20A0">
        <w:rPr>
          <w:spacing w:val="-2"/>
        </w:rPr>
        <w:t xml:space="preserve"> </w:t>
      </w:r>
      <w:r w:rsidRPr="00EC20A0">
        <w:t>of</w:t>
      </w:r>
      <w:r w:rsidRPr="00EC20A0">
        <w:rPr>
          <w:spacing w:val="-2"/>
        </w:rPr>
        <w:t xml:space="preserve"> </w:t>
      </w:r>
      <w:r w:rsidRPr="00EC20A0">
        <w:t xml:space="preserve">the financial statements to the date the information is furnished. See FAM 1002.33 through .36 for additional guidance on the timing of legal counsel requests and </w:t>
      </w:r>
      <w:r w:rsidRPr="00EC20A0">
        <w:rPr>
          <w:spacing w:val="-2"/>
        </w:rPr>
        <w:t>responses.</w:t>
      </w:r>
    </w:p>
    <w:p w14:paraId="24D61E3E" w14:textId="77777777" w:rsidR="00245300" w:rsidRPr="00EC20A0" w:rsidRDefault="00F17249">
      <w:pPr>
        <w:pStyle w:val="ListParagraph"/>
        <w:numPr>
          <w:ilvl w:val="0"/>
          <w:numId w:val="66"/>
        </w:numPr>
        <w:tabs>
          <w:tab w:val="left" w:pos="1640"/>
        </w:tabs>
        <w:ind w:left="1640" w:right="418"/>
      </w:pPr>
      <w:r w:rsidRPr="00EC20A0">
        <w:t>Written responses from legal counsel will vary considerably in scope of information</w:t>
      </w:r>
      <w:r w:rsidRPr="00EC20A0">
        <w:rPr>
          <w:spacing w:val="-2"/>
        </w:rPr>
        <w:t xml:space="preserve"> </w:t>
      </w:r>
      <w:r w:rsidRPr="00EC20A0">
        <w:t>provided</w:t>
      </w:r>
      <w:r w:rsidRPr="00EC20A0">
        <w:rPr>
          <w:spacing w:val="-2"/>
        </w:rPr>
        <w:t xml:space="preserve"> </w:t>
      </w:r>
      <w:r w:rsidRPr="00EC20A0">
        <w:t>and</w:t>
      </w:r>
      <w:r w:rsidRPr="00EC20A0">
        <w:rPr>
          <w:spacing w:val="-2"/>
        </w:rPr>
        <w:t xml:space="preserve"> </w:t>
      </w:r>
      <w:r w:rsidRPr="00EC20A0">
        <w:t>opinions</w:t>
      </w:r>
      <w:r w:rsidRPr="00EC20A0">
        <w:rPr>
          <w:spacing w:val="-2"/>
        </w:rPr>
        <w:t xml:space="preserve"> </w:t>
      </w:r>
      <w:r w:rsidRPr="00EC20A0">
        <w:t>expressed.</w:t>
      </w:r>
      <w:r w:rsidRPr="00EC20A0">
        <w:rPr>
          <w:spacing w:val="-2"/>
        </w:rPr>
        <w:t xml:space="preserve"> </w:t>
      </w:r>
      <w:r w:rsidRPr="00EC20A0">
        <w:t>Guidance</w:t>
      </w:r>
      <w:r w:rsidRPr="00EC20A0">
        <w:rPr>
          <w:spacing w:val="-2"/>
        </w:rPr>
        <w:t xml:space="preserve"> </w:t>
      </w:r>
      <w:r w:rsidRPr="00EC20A0">
        <w:t>on</w:t>
      </w:r>
      <w:r w:rsidRPr="00EC20A0">
        <w:rPr>
          <w:spacing w:val="-3"/>
        </w:rPr>
        <w:t xml:space="preserve"> </w:t>
      </w:r>
      <w:r w:rsidRPr="00EC20A0">
        <w:t>preparing</w:t>
      </w:r>
      <w:r w:rsidRPr="00EC20A0">
        <w:rPr>
          <w:spacing w:val="-2"/>
        </w:rPr>
        <w:t xml:space="preserve"> </w:t>
      </w:r>
      <w:r w:rsidRPr="00EC20A0">
        <w:t xml:space="preserve">responses is contained in the American Bar Association’s (ABA) </w:t>
      </w:r>
      <w:r w:rsidRPr="00EC20A0">
        <w:rPr>
          <w:i/>
        </w:rPr>
        <w:t xml:space="preserve">Statement of Policy Regarding Lawyers’ Responses to Auditors’ Requests for Information </w:t>
      </w:r>
      <w:r w:rsidRPr="00EC20A0">
        <w:t>(ABA statement) (included in its entirety in AU-C 501 Exhibit A). Although the ABA statement says that legal counsel “may in appropriate circumstances communicate</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his</w:t>
      </w:r>
      <w:r w:rsidRPr="00EC20A0">
        <w:rPr>
          <w:spacing w:val="-3"/>
        </w:rPr>
        <w:t xml:space="preserve"> </w:t>
      </w:r>
      <w:r w:rsidRPr="00EC20A0">
        <w:t>view</w:t>
      </w:r>
      <w:r w:rsidRPr="00EC20A0">
        <w:rPr>
          <w:spacing w:val="-4"/>
        </w:rPr>
        <w:t xml:space="preserve"> </w:t>
      </w:r>
      <w:r w:rsidRPr="00EC20A0">
        <w:t>that</w:t>
      </w:r>
      <w:r w:rsidRPr="00EC20A0">
        <w:rPr>
          <w:spacing w:val="-3"/>
        </w:rPr>
        <w:t xml:space="preserve"> </w:t>
      </w:r>
      <w:r w:rsidRPr="00EC20A0">
        <w:t>an</w:t>
      </w:r>
      <w:r w:rsidRPr="00EC20A0">
        <w:rPr>
          <w:spacing w:val="-3"/>
        </w:rPr>
        <w:t xml:space="preserve"> </w:t>
      </w:r>
      <w:r w:rsidRPr="00EC20A0">
        <w:t>unfavorable</w:t>
      </w:r>
      <w:r w:rsidRPr="00EC20A0">
        <w:rPr>
          <w:spacing w:val="-3"/>
        </w:rPr>
        <w:t xml:space="preserve"> </w:t>
      </w:r>
      <w:r w:rsidRPr="00EC20A0">
        <w:t>outcome</w:t>
      </w:r>
      <w:r w:rsidRPr="00EC20A0">
        <w:rPr>
          <w:spacing w:val="-4"/>
        </w:rPr>
        <w:t xml:space="preserve"> </w:t>
      </w:r>
      <w:r w:rsidRPr="00EC20A0">
        <w:t>is</w:t>
      </w:r>
      <w:r w:rsidRPr="00EC20A0">
        <w:rPr>
          <w:spacing w:val="-3"/>
        </w:rPr>
        <w:t xml:space="preserve"> </w:t>
      </w:r>
      <w:r w:rsidRPr="00EC20A0">
        <w:t>‘probable’</w:t>
      </w:r>
      <w:r w:rsidRPr="00EC20A0">
        <w:rPr>
          <w:spacing w:val="-3"/>
        </w:rPr>
        <w:t xml:space="preserve"> </w:t>
      </w:r>
      <w:r w:rsidRPr="00EC20A0">
        <w:t>or ‘remote,’” legal counsel is not required to use those terms in communicating the evaluation to the auditor (AU-C 501.A66). See AU-</w:t>
      </w:r>
      <w:r w:rsidRPr="00EC20A0">
        <w:t>C 501.A66 for examples of responses the auditor may receive that are either unclear or provide sufficient clarity using other general terms.</w:t>
      </w:r>
    </w:p>
    <w:p w14:paraId="24D61E3F" w14:textId="77777777" w:rsidR="00245300" w:rsidRPr="00EC20A0" w:rsidRDefault="00F17249">
      <w:pPr>
        <w:pStyle w:val="ListParagraph"/>
        <w:numPr>
          <w:ilvl w:val="0"/>
          <w:numId w:val="66"/>
        </w:numPr>
        <w:tabs>
          <w:tab w:val="left" w:pos="1640"/>
        </w:tabs>
        <w:ind w:left="1640" w:right="516"/>
      </w:pPr>
      <w:r w:rsidRPr="00EC20A0">
        <w:t>The</w:t>
      </w:r>
      <w:r w:rsidRPr="00EC20A0">
        <w:rPr>
          <w:spacing w:val="-4"/>
        </w:rPr>
        <w:t xml:space="preserve"> </w:t>
      </w:r>
      <w:r w:rsidRPr="00EC20A0">
        <w:t>auditor</w:t>
      </w:r>
      <w:r w:rsidRPr="00EC20A0">
        <w:rPr>
          <w:spacing w:val="-6"/>
        </w:rPr>
        <w:t xml:space="preserve"> </w:t>
      </w:r>
      <w:r w:rsidRPr="00EC20A0">
        <w:t>should</w:t>
      </w:r>
      <w:r w:rsidRPr="00EC20A0">
        <w:rPr>
          <w:spacing w:val="-4"/>
        </w:rPr>
        <w:t xml:space="preserve"> </w:t>
      </w:r>
      <w:r w:rsidRPr="00EC20A0">
        <w:t>evaluate</w:t>
      </w:r>
      <w:r w:rsidRPr="00EC20A0">
        <w:rPr>
          <w:spacing w:val="-4"/>
        </w:rPr>
        <w:t xml:space="preserve"> </w:t>
      </w:r>
      <w:r w:rsidRPr="00EC20A0">
        <w:t>each</w:t>
      </w:r>
      <w:r w:rsidRPr="00EC20A0">
        <w:rPr>
          <w:spacing w:val="-4"/>
        </w:rPr>
        <w:t xml:space="preserve"> </w:t>
      </w:r>
      <w:r w:rsidRPr="00EC20A0">
        <w:t>legal</w:t>
      </w:r>
      <w:r w:rsidRPr="00EC20A0">
        <w:rPr>
          <w:spacing w:val="-4"/>
        </w:rPr>
        <w:t xml:space="preserve"> </w:t>
      </w:r>
      <w:r w:rsidRPr="00EC20A0">
        <w:t>counsel</w:t>
      </w:r>
      <w:r w:rsidRPr="00EC20A0">
        <w:rPr>
          <w:spacing w:val="-4"/>
        </w:rPr>
        <w:t xml:space="preserve"> </w:t>
      </w:r>
      <w:r w:rsidRPr="00EC20A0">
        <w:t>response</w:t>
      </w:r>
      <w:r w:rsidRPr="00EC20A0">
        <w:rPr>
          <w:spacing w:val="-4"/>
        </w:rPr>
        <w:t xml:space="preserve"> </w:t>
      </w:r>
      <w:r w:rsidRPr="00EC20A0">
        <w:t>in</w:t>
      </w:r>
      <w:r w:rsidRPr="00EC20A0">
        <w:rPr>
          <w:spacing w:val="-5"/>
        </w:rPr>
        <w:t xml:space="preserve"> </w:t>
      </w:r>
      <w:r w:rsidRPr="00EC20A0">
        <w:t>terms</w:t>
      </w:r>
      <w:r w:rsidRPr="00EC20A0">
        <w:rPr>
          <w:spacing w:val="-4"/>
        </w:rPr>
        <w:t xml:space="preserve"> </w:t>
      </w:r>
      <w:r w:rsidRPr="00EC20A0">
        <w:t>of</w:t>
      </w:r>
      <w:r w:rsidRPr="00EC20A0">
        <w:rPr>
          <w:spacing w:val="-4"/>
        </w:rPr>
        <w:t xml:space="preserve"> </w:t>
      </w:r>
      <w:r w:rsidRPr="00EC20A0">
        <w:t>sufficiency as evidence and consider (a) the possible limitations on the scope of the</w:t>
      </w:r>
    </w:p>
    <w:p w14:paraId="24D61E40" w14:textId="77777777" w:rsidR="00245300" w:rsidRPr="00EC20A0" w:rsidRDefault="00245300">
      <w:pPr>
        <w:sectPr w:rsidR="00245300" w:rsidRPr="00EC20A0">
          <w:pgSz w:w="12240" w:h="15840"/>
          <w:pgMar w:top="1340" w:right="1100" w:bottom="1020" w:left="1240" w:header="721" w:footer="757" w:gutter="0"/>
          <w:cols w:space="720"/>
        </w:sectPr>
      </w:pPr>
    </w:p>
    <w:p w14:paraId="24D61E41" w14:textId="77777777" w:rsidR="00245300" w:rsidRPr="00EC20A0" w:rsidRDefault="00F17249">
      <w:pPr>
        <w:pStyle w:val="BodyText"/>
        <w:spacing w:before="121"/>
        <w:ind w:left="1639" w:right="408"/>
      </w:pPr>
      <w:r w:rsidRPr="00EC20A0">
        <w:t>response and (b) the lack of sufficient opinion on the resolution of a case. The auditor should evaluate any “unable to determine” and vague and unclear responses. The auditor also should evaluate the legal counsel response in light of</w:t>
      </w:r>
      <w:r w:rsidRPr="00EC20A0">
        <w:rPr>
          <w:spacing w:val="-3"/>
        </w:rPr>
        <w:t xml:space="preserve"> </w:t>
      </w:r>
      <w:r w:rsidRPr="00EC20A0">
        <w:t>any</w:t>
      </w:r>
      <w:r w:rsidRPr="00EC20A0">
        <w:rPr>
          <w:spacing w:val="-3"/>
        </w:rPr>
        <w:t xml:space="preserve"> </w:t>
      </w:r>
      <w:r w:rsidRPr="00EC20A0">
        <w:t>other</w:t>
      </w:r>
      <w:r w:rsidRPr="00EC20A0">
        <w:rPr>
          <w:spacing w:val="-5"/>
        </w:rPr>
        <w:t xml:space="preserve"> </w:t>
      </w:r>
      <w:r w:rsidRPr="00EC20A0">
        <w:t>information</w:t>
      </w:r>
      <w:r w:rsidRPr="00EC20A0">
        <w:rPr>
          <w:spacing w:val="-3"/>
        </w:rPr>
        <w:t xml:space="preserve"> </w:t>
      </w:r>
      <w:r w:rsidRPr="00EC20A0">
        <w:t>that</w:t>
      </w:r>
      <w:r w:rsidRPr="00EC20A0">
        <w:rPr>
          <w:spacing w:val="-3"/>
        </w:rPr>
        <w:t xml:space="preserve"> </w:t>
      </w:r>
      <w:r w:rsidRPr="00EC20A0">
        <w:t>comes</w:t>
      </w:r>
      <w:r w:rsidRPr="00EC20A0">
        <w:rPr>
          <w:spacing w:val="-3"/>
        </w:rPr>
        <w:t xml:space="preserve"> </w:t>
      </w:r>
      <w:r w:rsidRPr="00EC20A0">
        <w:t>to</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attention.</w:t>
      </w:r>
      <w:r w:rsidRPr="00EC20A0">
        <w:rPr>
          <w:spacing w:val="-4"/>
        </w:rPr>
        <w:t xml:space="preserve"> </w:t>
      </w:r>
      <w:r w:rsidRPr="00EC20A0">
        <w:t>See</w:t>
      </w:r>
      <w:r w:rsidRPr="00EC20A0">
        <w:rPr>
          <w:spacing w:val="-3"/>
        </w:rPr>
        <w:t xml:space="preserve"> </w:t>
      </w:r>
      <w:r w:rsidRPr="00EC20A0">
        <w:t>AU-C</w:t>
      </w:r>
      <w:r w:rsidRPr="00EC20A0">
        <w:rPr>
          <w:spacing w:val="-3"/>
        </w:rPr>
        <w:t xml:space="preserve"> </w:t>
      </w:r>
      <w:r w:rsidRPr="00EC20A0">
        <w:t>501.A66 for additional guidance on evaluating legal counsel responses.</w:t>
      </w:r>
    </w:p>
    <w:p w14:paraId="24D61E42" w14:textId="77777777" w:rsidR="00245300" w:rsidRPr="00EC20A0" w:rsidRDefault="00F17249">
      <w:pPr>
        <w:pStyle w:val="ListParagraph"/>
        <w:numPr>
          <w:ilvl w:val="0"/>
          <w:numId w:val="66"/>
        </w:numPr>
        <w:tabs>
          <w:tab w:val="left" w:pos="1640"/>
        </w:tabs>
        <w:ind w:left="1640" w:right="468"/>
      </w:pPr>
      <w:r w:rsidRPr="00EC20A0">
        <w:t xml:space="preserve">To avoid unclear and incomplete responses, the auditor generally should ask </w:t>
      </w:r>
      <w:r w:rsidRPr="00EC20A0">
        <w:t>management to request that legal counsel use Justice’s standard forms to describe legal contingencies.</w:t>
      </w:r>
      <w:hyperlink w:anchor="_bookmark220" w:history="1">
        <w:r w:rsidRPr="00EC20A0">
          <w:rPr>
            <w:position w:val="7"/>
            <w:sz w:val="14"/>
          </w:rPr>
          <w:t>10</w:t>
        </w:r>
      </w:hyperlink>
      <w:r w:rsidRPr="00EC20A0">
        <w:rPr>
          <w:spacing w:val="34"/>
          <w:position w:val="7"/>
          <w:sz w:val="14"/>
        </w:rPr>
        <w:t xml:space="preserve"> </w:t>
      </w:r>
      <w:r w:rsidRPr="00EC20A0">
        <w:t>FAM 1002 C provides an example of a legal counsel response that uses Justice’s legal contingency standard forms for each case</w:t>
      </w:r>
      <w:r w:rsidRPr="00EC20A0">
        <w:rPr>
          <w:spacing w:val="-3"/>
        </w:rPr>
        <w:t xml:space="preserve"> </w:t>
      </w:r>
      <w:r w:rsidRPr="00EC20A0">
        <w:t>or</w:t>
      </w:r>
      <w:r w:rsidRPr="00EC20A0">
        <w:rPr>
          <w:spacing w:val="-3"/>
        </w:rPr>
        <w:t xml:space="preserve"> </w:t>
      </w:r>
      <w:r w:rsidRPr="00EC20A0">
        <w:t>group</w:t>
      </w:r>
      <w:r w:rsidRPr="00EC20A0">
        <w:rPr>
          <w:spacing w:val="-3"/>
        </w:rPr>
        <w:t xml:space="preserve"> </w:t>
      </w:r>
      <w:r w:rsidRPr="00EC20A0">
        <w:t>of</w:t>
      </w:r>
      <w:r w:rsidRPr="00EC20A0">
        <w:rPr>
          <w:spacing w:val="-3"/>
        </w:rPr>
        <w:t xml:space="preserve"> </w:t>
      </w:r>
      <w:r w:rsidRPr="00EC20A0">
        <w:t>cases.</w:t>
      </w:r>
      <w:r w:rsidRPr="00EC20A0">
        <w:rPr>
          <w:spacing w:val="-4"/>
        </w:rPr>
        <w:t xml:space="preserve"> </w:t>
      </w:r>
      <w:r w:rsidRPr="00EC20A0">
        <w:t>If</w:t>
      </w:r>
      <w:r w:rsidRPr="00EC20A0">
        <w:rPr>
          <w:spacing w:val="-3"/>
        </w:rPr>
        <w:t xml:space="preserve"> </w:t>
      </w:r>
      <w:r w:rsidRPr="00EC20A0">
        <w:t>used,</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should</w:t>
      </w:r>
      <w:r w:rsidRPr="00EC20A0">
        <w:rPr>
          <w:spacing w:val="-3"/>
        </w:rPr>
        <w:t xml:space="preserve"> </w:t>
      </w:r>
      <w:r w:rsidRPr="00EC20A0">
        <w:t>verify</w:t>
      </w:r>
      <w:r w:rsidRPr="00EC20A0">
        <w:rPr>
          <w:spacing w:val="-3"/>
        </w:rPr>
        <w:t xml:space="preserve"> </w:t>
      </w:r>
      <w:r w:rsidRPr="00EC20A0">
        <w:t>that</w:t>
      </w:r>
      <w:r w:rsidRPr="00EC20A0">
        <w:rPr>
          <w:spacing w:val="-5"/>
        </w:rPr>
        <w:t xml:space="preserve"> </w:t>
      </w:r>
      <w:r w:rsidRPr="00EC20A0">
        <w:t>current</w:t>
      </w:r>
      <w:r w:rsidRPr="00EC20A0">
        <w:rPr>
          <w:spacing w:val="-3"/>
        </w:rPr>
        <w:t xml:space="preserve"> </w:t>
      </w:r>
      <w:r w:rsidRPr="00EC20A0">
        <w:t>forms</w:t>
      </w:r>
      <w:r w:rsidRPr="00EC20A0">
        <w:rPr>
          <w:spacing w:val="-3"/>
        </w:rPr>
        <w:t xml:space="preserve"> </w:t>
      </w:r>
      <w:r w:rsidRPr="00EC20A0">
        <w:t xml:space="preserve">were </w:t>
      </w:r>
      <w:r w:rsidRPr="00EC20A0">
        <w:rPr>
          <w:spacing w:val="-2"/>
        </w:rPr>
        <w:t>used.</w:t>
      </w:r>
    </w:p>
    <w:p w14:paraId="24D61E43" w14:textId="77777777" w:rsidR="00245300" w:rsidRPr="00EC20A0" w:rsidRDefault="00F17249">
      <w:pPr>
        <w:pStyle w:val="ListParagraph"/>
        <w:numPr>
          <w:ilvl w:val="0"/>
          <w:numId w:val="66"/>
        </w:numPr>
        <w:tabs>
          <w:tab w:val="left" w:pos="1639"/>
        </w:tabs>
        <w:ind w:right="565" w:hanging="719"/>
      </w:pPr>
      <w:r w:rsidRPr="00EC20A0">
        <w:t>When legal counsel does not indicate whether the unfavorable outcome is probable or remote, (a) management and the auditor should conclude that the outcome is reasonably possible and (b) management should determine the disclosure. If the auditor is not certain about legal counsel’s evaluation, the auditor should discuss the matters with legal counsel and management (and document</w:t>
      </w:r>
      <w:r w:rsidRPr="00EC20A0">
        <w:rPr>
          <w:spacing w:val="-3"/>
        </w:rPr>
        <w:t xml:space="preserve"> </w:t>
      </w:r>
      <w:r w:rsidRPr="00EC20A0">
        <w:t>the</w:t>
      </w:r>
      <w:r w:rsidRPr="00EC20A0">
        <w:rPr>
          <w:spacing w:val="-3"/>
        </w:rPr>
        <w:t xml:space="preserve"> </w:t>
      </w:r>
      <w:r w:rsidRPr="00EC20A0">
        <w:t>oral</w:t>
      </w:r>
      <w:r w:rsidRPr="00EC20A0">
        <w:rPr>
          <w:spacing w:val="-3"/>
        </w:rPr>
        <w:t xml:space="preserve"> </w:t>
      </w:r>
      <w:r w:rsidRPr="00EC20A0">
        <w:t>discussion),</w:t>
      </w:r>
      <w:r w:rsidRPr="00EC20A0">
        <w:rPr>
          <w:spacing w:val="-3"/>
        </w:rPr>
        <w:t xml:space="preserve"> </w:t>
      </w:r>
      <w:r w:rsidRPr="00EC20A0">
        <w:t>obtain</w:t>
      </w:r>
      <w:r w:rsidRPr="00EC20A0">
        <w:rPr>
          <w:spacing w:val="-3"/>
        </w:rPr>
        <w:t xml:space="preserve"> </w:t>
      </w:r>
      <w:r w:rsidRPr="00EC20A0">
        <w:t>written</w:t>
      </w:r>
      <w:r w:rsidRPr="00EC20A0">
        <w:rPr>
          <w:spacing w:val="-3"/>
        </w:rPr>
        <w:t xml:space="preserve"> </w:t>
      </w:r>
      <w:r w:rsidRPr="00EC20A0">
        <w:t>clarification</w:t>
      </w:r>
      <w:r w:rsidRPr="00EC20A0">
        <w:rPr>
          <w:spacing w:val="-3"/>
        </w:rPr>
        <w:t xml:space="preserve"> </w:t>
      </w:r>
      <w:r w:rsidRPr="00EC20A0">
        <w:t>from</w:t>
      </w:r>
      <w:r w:rsidRPr="00EC20A0">
        <w:rPr>
          <w:spacing w:val="-4"/>
        </w:rPr>
        <w:t xml:space="preserve"> </w:t>
      </w:r>
      <w:r w:rsidRPr="00EC20A0">
        <w:t>legal</w:t>
      </w:r>
      <w:r w:rsidRPr="00EC20A0">
        <w:rPr>
          <w:spacing w:val="-3"/>
        </w:rPr>
        <w:t xml:space="preserve"> </w:t>
      </w:r>
      <w:r w:rsidRPr="00EC20A0">
        <w:t>counsel,</w:t>
      </w:r>
      <w:r w:rsidRPr="00EC20A0">
        <w:rPr>
          <w:spacing w:val="-3"/>
        </w:rPr>
        <w:t xml:space="preserve"> </w:t>
      </w:r>
      <w:r w:rsidRPr="00EC20A0">
        <w:t>or do both. Sometimes legal counsel may give a clearer indication of likelihood orally.</w:t>
      </w:r>
      <w:r w:rsidRPr="00EC20A0">
        <w:rPr>
          <w:spacing w:val="-3"/>
        </w:rPr>
        <w:t xml:space="preserve"> </w:t>
      </w:r>
      <w:r w:rsidRPr="00EC20A0">
        <w:t>If</w:t>
      </w:r>
      <w:r w:rsidRPr="00EC20A0">
        <w:rPr>
          <w:spacing w:val="-4"/>
        </w:rPr>
        <w:t xml:space="preserve"> </w:t>
      </w:r>
      <w:r w:rsidRPr="00EC20A0">
        <w:t>legal</w:t>
      </w:r>
      <w:r w:rsidRPr="00EC20A0">
        <w:rPr>
          <w:spacing w:val="-3"/>
        </w:rPr>
        <w:t xml:space="preserve"> </w:t>
      </w:r>
      <w:r w:rsidRPr="00EC20A0">
        <w:t>counsel</w:t>
      </w:r>
      <w:r w:rsidRPr="00EC20A0">
        <w:rPr>
          <w:spacing w:val="-4"/>
        </w:rPr>
        <w:t xml:space="preserve"> </w:t>
      </w:r>
      <w:r w:rsidRPr="00EC20A0">
        <w:t>is</w:t>
      </w:r>
      <w:r w:rsidRPr="00EC20A0">
        <w:rPr>
          <w:spacing w:val="-4"/>
        </w:rPr>
        <w:t xml:space="preserve"> </w:t>
      </w:r>
      <w:r w:rsidRPr="00EC20A0">
        <w:t>unable</w:t>
      </w:r>
      <w:r w:rsidRPr="00EC20A0">
        <w:rPr>
          <w:spacing w:val="-3"/>
        </w:rPr>
        <w:t xml:space="preserve"> </w:t>
      </w:r>
      <w:r w:rsidRPr="00EC20A0">
        <w:t>to</w:t>
      </w:r>
      <w:r w:rsidRPr="00EC20A0">
        <w:rPr>
          <w:spacing w:val="-3"/>
        </w:rPr>
        <w:t xml:space="preserve"> </w:t>
      </w:r>
      <w:r w:rsidRPr="00EC20A0">
        <w:t>give</w:t>
      </w:r>
      <w:r w:rsidRPr="00EC20A0">
        <w:rPr>
          <w:spacing w:val="-3"/>
        </w:rPr>
        <w:t xml:space="preserve"> </w:t>
      </w:r>
      <w:r w:rsidRPr="00EC20A0">
        <w:t>a</w:t>
      </w:r>
      <w:r w:rsidRPr="00EC20A0">
        <w:rPr>
          <w:spacing w:val="-3"/>
        </w:rPr>
        <w:t xml:space="preserve"> </w:t>
      </w:r>
      <w:r w:rsidRPr="00EC20A0">
        <w:t>clear</w:t>
      </w:r>
      <w:r w:rsidRPr="00EC20A0">
        <w:rPr>
          <w:spacing w:val="-3"/>
        </w:rPr>
        <w:t xml:space="preserve"> </w:t>
      </w:r>
      <w:r w:rsidRPr="00EC20A0">
        <w:t>evaluation</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likelihood</w:t>
      </w:r>
      <w:r w:rsidRPr="00EC20A0">
        <w:rPr>
          <w:spacing w:val="-3"/>
        </w:rPr>
        <w:t xml:space="preserve"> </w:t>
      </w:r>
      <w:r w:rsidRPr="00EC20A0">
        <w:t>of</w:t>
      </w:r>
      <w:r w:rsidRPr="00EC20A0">
        <w:rPr>
          <w:spacing w:val="-3"/>
        </w:rPr>
        <w:t xml:space="preserve"> </w:t>
      </w:r>
      <w:r w:rsidRPr="00EC20A0">
        <w:t xml:space="preserve">an unfavorable </w:t>
      </w:r>
      <w:r w:rsidRPr="00EC20A0">
        <w:t>outcome, management should disclose the uncertainty, and the auditor should evaluate the uncertainty’s effect on the audit report.</w:t>
      </w:r>
    </w:p>
    <w:p w14:paraId="24D61E44" w14:textId="77777777" w:rsidR="00245300" w:rsidRPr="00EC20A0" w:rsidRDefault="00F17249">
      <w:pPr>
        <w:pStyle w:val="ListParagraph"/>
        <w:numPr>
          <w:ilvl w:val="0"/>
          <w:numId w:val="66"/>
        </w:numPr>
        <w:tabs>
          <w:tab w:val="left" w:pos="1639"/>
        </w:tabs>
        <w:ind w:right="359"/>
      </w:pPr>
      <w:r w:rsidRPr="00EC20A0">
        <w:t>In circumstances in which legal counsel is unable to respond concerning the likelihood</w:t>
      </w:r>
      <w:r w:rsidRPr="00EC20A0">
        <w:rPr>
          <w:spacing w:val="-4"/>
        </w:rPr>
        <w:t xml:space="preserve"> </w:t>
      </w:r>
      <w:r w:rsidRPr="00EC20A0">
        <w:t>of</w:t>
      </w:r>
      <w:r w:rsidRPr="00EC20A0">
        <w:rPr>
          <w:spacing w:val="-5"/>
        </w:rPr>
        <w:t xml:space="preserve"> </w:t>
      </w:r>
      <w:r w:rsidRPr="00EC20A0">
        <w:t>an</w:t>
      </w:r>
      <w:r w:rsidRPr="00EC20A0">
        <w:rPr>
          <w:spacing w:val="-4"/>
        </w:rPr>
        <w:t xml:space="preserve"> </w:t>
      </w:r>
      <w:r w:rsidRPr="00EC20A0">
        <w:t>unfavorable</w:t>
      </w:r>
      <w:r w:rsidRPr="00EC20A0">
        <w:rPr>
          <w:spacing w:val="-4"/>
        </w:rPr>
        <w:t xml:space="preserve"> </w:t>
      </w:r>
      <w:r w:rsidRPr="00EC20A0">
        <w:t>outcome</w:t>
      </w:r>
      <w:r w:rsidRPr="00EC20A0">
        <w:rPr>
          <w:spacing w:val="-4"/>
        </w:rPr>
        <w:t xml:space="preserve"> </w:t>
      </w:r>
      <w:r w:rsidRPr="00EC20A0">
        <w:t>of</w:t>
      </w:r>
      <w:r w:rsidRPr="00EC20A0">
        <w:rPr>
          <w:spacing w:val="-4"/>
        </w:rPr>
        <w:t xml:space="preserve"> </w:t>
      </w:r>
      <w:r w:rsidRPr="00EC20A0">
        <w:t>litigation,</w:t>
      </w:r>
      <w:r w:rsidRPr="00EC20A0">
        <w:rPr>
          <w:spacing w:val="-5"/>
        </w:rPr>
        <w:t xml:space="preserve"> </w:t>
      </w:r>
      <w:r w:rsidRPr="00EC20A0">
        <w:t>claims,</w:t>
      </w:r>
      <w:r w:rsidRPr="00EC20A0">
        <w:rPr>
          <w:spacing w:val="-4"/>
        </w:rPr>
        <w:t xml:space="preserve"> </w:t>
      </w:r>
      <w:r w:rsidRPr="00EC20A0">
        <w:t>and</w:t>
      </w:r>
      <w:r w:rsidRPr="00EC20A0">
        <w:rPr>
          <w:spacing w:val="-5"/>
        </w:rPr>
        <w:t xml:space="preserve"> </w:t>
      </w:r>
      <w:r w:rsidRPr="00EC20A0">
        <w:t>assessments</w:t>
      </w:r>
      <w:r w:rsidRPr="00EC20A0">
        <w:rPr>
          <w:spacing w:val="-4"/>
        </w:rPr>
        <w:t xml:space="preserve"> </w:t>
      </w:r>
      <w:r w:rsidRPr="00EC20A0">
        <w:t>or</w:t>
      </w:r>
      <w:r w:rsidRPr="00EC20A0">
        <w:rPr>
          <w:spacing w:val="-4"/>
        </w:rPr>
        <w:t xml:space="preserve"> </w:t>
      </w:r>
      <w:r w:rsidRPr="00EC20A0">
        <w:t>the amount or range of potential loss due to inherent uncertainties, the auditor generally should conclude that the financial statements are affected by an uncertainty concerning the outcome of a future event, which is not susceptible to reasonable estimation. See FAM 580 for reporting on uncertainties.</w:t>
      </w:r>
    </w:p>
    <w:p w14:paraId="24D61E45" w14:textId="77777777" w:rsidR="00245300" w:rsidRPr="00EC20A0" w:rsidRDefault="00245300">
      <w:pPr>
        <w:pStyle w:val="BodyText"/>
        <w:spacing w:before="47"/>
      </w:pPr>
    </w:p>
    <w:p w14:paraId="24D61E46" w14:textId="77777777" w:rsidR="00245300" w:rsidRPr="00EC20A0" w:rsidRDefault="00F17249">
      <w:pPr>
        <w:ind w:left="920"/>
        <w:rPr>
          <w:b/>
          <w:sz w:val="24"/>
        </w:rPr>
      </w:pPr>
      <w:bookmarkStart w:id="395" w:name="Possible_Limitations_on_the_Scope_of_the"/>
      <w:bookmarkEnd w:id="395"/>
      <w:r w:rsidRPr="00EC20A0">
        <w:rPr>
          <w:b/>
          <w:sz w:val="24"/>
        </w:rPr>
        <w:t>Possible</w:t>
      </w:r>
      <w:r w:rsidRPr="00EC20A0">
        <w:rPr>
          <w:b/>
          <w:spacing w:val="-3"/>
          <w:sz w:val="24"/>
        </w:rPr>
        <w:t xml:space="preserve"> </w:t>
      </w:r>
      <w:r w:rsidRPr="00EC20A0">
        <w:rPr>
          <w:b/>
          <w:sz w:val="24"/>
        </w:rPr>
        <w:t>Limitations</w:t>
      </w:r>
      <w:r w:rsidRPr="00EC20A0">
        <w:rPr>
          <w:b/>
          <w:spacing w:val="-4"/>
          <w:sz w:val="24"/>
        </w:rPr>
        <w:t xml:space="preserve"> </w:t>
      </w:r>
      <w:r w:rsidRPr="00EC20A0">
        <w:rPr>
          <w:b/>
          <w:sz w:val="24"/>
        </w:rPr>
        <w:t>on</w:t>
      </w:r>
      <w:r w:rsidRPr="00EC20A0">
        <w:rPr>
          <w:b/>
          <w:spacing w:val="-3"/>
          <w:sz w:val="24"/>
        </w:rPr>
        <w:t xml:space="preserve"> </w:t>
      </w:r>
      <w:r w:rsidRPr="00EC20A0">
        <w:rPr>
          <w:b/>
          <w:sz w:val="24"/>
        </w:rPr>
        <w:t>the</w:t>
      </w:r>
      <w:r w:rsidRPr="00EC20A0">
        <w:rPr>
          <w:b/>
          <w:spacing w:val="-3"/>
          <w:sz w:val="24"/>
        </w:rPr>
        <w:t xml:space="preserve"> </w:t>
      </w:r>
      <w:r w:rsidRPr="00EC20A0">
        <w:rPr>
          <w:b/>
          <w:sz w:val="24"/>
        </w:rPr>
        <w:t>Scope</w:t>
      </w:r>
      <w:r w:rsidRPr="00EC20A0">
        <w:rPr>
          <w:b/>
          <w:spacing w:val="-3"/>
          <w:sz w:val="24"/>
        </w:rPr>
        <w:t xml:space="preserve"> </w:t>
      </w:r>
      <w:r w:rsidRPr="00EC20A0">
        <w:rPr>
          <w:b/>
          <w:sz w:val="24"/>
        </w:rPr>
        <w:t>of</w:t>
      </w:r>
      <w:r w:rsidRPr="00EC20A0">
        <w:rPr>
          <w:b/>
          <w:spacing w:val="-2"/>
          <w:sz w:val="24"/>
        </w:rPr>
        <w:t xml:space="preserve"> </w:t>
      </w:r>
      <w:r w:rsidRPr="00EC20A0">
        <w:rPr>
          <w:b/>
          <w:sz w:val="24"/>
        </w:rPr>
        <w:t>the</w:t>
      </w:r>
      <w:r w:rsidRPr="00EC20A0">
        <w:rPr>
          <w:b/>
          <w:spacing w:val="-3"/>
          <w:sz w:val="24"/>
        </w:rPr>
        <w:t xml:space="preserve"> </w:t>
      </w:r>
      <w:r w:rsidRPr="00EC20A0">
        <w:rPr>
          <w:b/>
          <w:sz w:val="24"/>
        </w:rPr>
        <w:t>Legal</w:t>
      </w:r>
      <w:r w:rsidRPr="00EC20A0">
        <w:rPr>
          <w:b/>
          <w:spacing w:val="-2"/>
          <w:sz w:val="24"/>
        </w:rPr>
        <w:t xml:space="preserve"> </w:t>
      </w:r>
      <w:r w:rsidRPr="00EC20A0">
        <w:rPr>
          <w:b/>
          <w:sz w:val="24"/>
        </w:rPr>
        <w:t>Counsel</w:t>
      </w:r>
      <w:r w:rsidRPr="00EC20A0">
        <w:rPr>
          <w:b/>
          <w:spacing w:val="-2"/>
          <w:sz w:val="24"/>
        </w:rPr>
        <w:t xml:space="preserve"> Response</w:t>
      </w:r>
    </w:p>
    <w:p w14:paraId="24D61E47" w14:textId="77777777" w:rsidR="00245300" w:rsidRPr="00EC20A0" w:rsidRDefault="00245300">
      <w:pPr>
        <w:pStyle w:val="BodyText"/>
        <w:spacing w:before="24"/>
        <w:rPr>
          <w:b/>
          <w:sz w:val="24"/>
        </w:rPr>
      </w:pPr>
    </w:p>
    <w:p w14:paraId="24D61E48" w14:textId="77777777" w:rsidR="00245300" w:rsidRPr="00EC20A0" w:rsidRDefault="00F17249">
      <w:pPr>
        <w:pStyle w:val="ListParagraph"/>
        <w:numPr>
          <w:ilvl w:val="0"/>
          <w:numId w:val="66"/>
        </w:numPr>
        <w:tabs>
          <w:tab w:val="left" w:pos="1639"/>
        </w:tabs>
        <w:spacing w:before="0"/>
        <w:ind w:right="419" w:hanging="720"/>
      </w:pPr>
      <w:r w:rsidRPr="00EC20A0">
        <w:t>When legal counsel limits the response, the auditor should determine whether the limitation affects the auditor’s report. Legal counsel may appropriately limit the response to certain matters. For example, legal counsel may limit the response to matters that (a) legal counsel has given substantive attention to in the form of legal consultation or representation and (b) counsel determined are individually</w:t>
      </w:r>
      <w:r w:rsidRPr="00EC20A0">
        <w:rPr>
          <w:spacing w:val="-5"/>
        </w:rPr>
        <w:t xml:space="preserve"> </w:t>
      </w:r>
      <w:r w:rsidRPr="00EC20A0">
        <w:t>or</w:t>
      </w:r>
      <w:r w:rsidRPr="00EC20A0">
        <w:rPr>
          <w:spacing w:val="-4"/>
        </w:rPr>
        <w:t xml:space="preserve"> </w:t>
      </w:r>
      <w:r w:rsidRPr="00EC20A0">
        <w:t>collectively</w:t>
      </w:r>
      <w:r w:rsidRPr="00EC20A0">
        <w:rPr>
          <w:spacing w:val="-4"/>
        </w:rPr>
        <w:t xml:space="preserve"> </w:t>
      </w:r>
      <w:r w:rsidRPr="00EC20A0">
        <w:t>material</w:t>
      </w:r>
      <w:r w:rsidRPr="00EC20A0">
        <w:rPr>
          <w:spacing w:val="-4"/>
        </w:rPr>
        <w:t xml:space="preserve"> </w:t>
      </w:r>
      <w:r w:rsidRPr="00EC20A0">
        <w:t>to</w:t>
      </w:r>
      <w:r w:rsidRPr="00EC20A0">
        <w:rPr>
          <w:spacing w:val="-5"/>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provided</w:t>
      </w:r>
      <w:r w:rsidRPr="00EC20A0">
        <w:rPr>
          <w:spacing w:val="-4"/>
        </w:rPr>
        <w:t xml:space="preserve"> </w:t>
      </w:r>
      <w:r w:rsidRPr="00EC20A0">
        <w:t>the</w:t>
      </w:r>
      <w:r w:rsidRPr="00EC20A0">
        <w:rPr>
          <w:spacing w:val="-4"/>
        </w:rPr>
        <w:t xml:space="preserve"> </w:t>
      </w:r>
      <w:r w:rsidRPr="00EC20A0">
        <w:t>entity and the auditor have reached an understanding on materiality levels. These limitations are acceptable and do not limit the audit scope.</w:t>
      </w:r>
    </w:p>
    <w:p w14:paraId="24D61E49" w14:textId="77777777" w:rsidR="00245300" w:rsidRPr="00EC20A0" w:rsidRDefault="00F17249">
      <w:pPr>
        <w:pStyle w:val="ListParagraph"/>
        <w:numPr>
          <w:ilvl w:val="0"/>
          <w:numId w:val="66"/>
        </w:numPr>
        <w:tabs>
          <w:tab w:val="left" w:pos="1639"/>
        </w:tabs>
        <w:spacing w:before="239"/>
        <w:ind w:right="699" w:hanging="720"/>
      </w:pPr>
      <w:r w:rsidRPr="00EC20A0">
        <w:t>The following are examples of limitations of legal counsel responses that the auditor</w:t>
      </w:r>
      <w:r w:rsidRPr="00EC20A0">
        <w:rPr>
          <w:spacing w:val="-3"/>
        </w:rPr>
        <w:t xml:space="preserve"> </w:t>
      </w:r>
      <w:r w:rsidRPr="00EC20A0">
        <w:t>should</w:t>
      </w:r>
      <w:r w:rsidRPr="00EC20A0">
        <w:rPr>
          <w:spacing w:val="-3"/>
        </w:rPr>
        <w:t xml:space="preserve"> </w:t>
      </w:r>
      <w:r w:rsidRPr="00EC20A0">
        <w:t>not</w:t>
      </w:r>
      <w:r w:rsidRPr="00EC20A0">
        <w:rPr>
          <w:spacing w:val="-3"/>
        </w:rPr>
        <w:t xml:space="preserve"> </w:t>
      </w:r>
      <w:r w:rsidRPr="00EC20A0">
        <w:t>accept</w:t>
      </w:r>
      <w:r w:rsidRPr="00EC20A0">
        <w:rPr>
          <w:spacing w:val="-3"/>
        </w:rPr>
        <w:t xml:space="preserve"> </w:t>
      </w:r>
      <w:r w:rsidRPr="00EC20A0">
        <w:t>and</w:t>
      </w:r>
      <w:r w:rsidRPr="00EC20A0">
        <w:rPr>
          <w:spacing w:val="-3"/>
        </w:rPr>
        <w:t xml:space="preserve"> </w:t>
      </w:r>
      <w:r w:rsidRPr="00EC20A0">
        <w:t>that</w:t>
      </w:r>
      <w:r w:rsidRPr="00EC20A0">
        <w:rPr>
          <w:spacing w:val="-3"/>
        </w:rPr>
        <w:t xml:space="preserve"> </w:t>
      </w:r>
      <w:r w:rsidRPr="00EC20A0">
        <w:t>would</w:t>
      </w:r>
      <w:r w:rsidRPr="00EC20A0">
        <w:rPr>
          <w:spacing w:val="-3"/>
        </w:rPr>
        <w:t xml:space="preserve"> </w:t>
      </w:r>
      <w:r w:rsidRPr="00EC20A0">
        <w:t>ordinarily</w:t>
      </w:r>
      <w:r w:rsidRPr="00EC20A0">
        <w:rPr>
          <w:spacing w:val="-3"/>
        </w:rPr>
        <w:t xml:space="preserve"> </w:t>
      </w:r>
      <w:r w:rsidRPr="00EC20A0">
        <w:t>result</w:t>
      </w:r>
      <w:r w:rsidRPr="00EC20A0">
        <w:rPr>
          <w:spacing w:val="-4"/>
        </w:rPr>
        <w:t xml:space="preserve"> </w:t>
      </w:r>
      <w:r w:rsidRPr="00EC20A0">
        <w:t>in</w:t>
      </w:r>
      <w:r w:rsidRPr="00EC20A0">
        <w:rPr>
          <w:spacing w:val="-3"/>
        </w:rPr>
        <w:t xml:space="preserve"> </w:t>
      </w:r>
      <w:r w:rsidRPr="00EC20A0">
        <w:t>a</w:t>
      </w:r>
      <w:r w:rsidRPr="00EC20A0">
        <w:rPr>
          <w:spacing w:val="-4"/>
        </w:rPr>
        <w:t xml:space="preserve"> </w:t>
      </w:r>
      <w:r w:rsidRPr="00EC20A0">
        <w:t>scope</w:t>
      </w:r>
      <w:r w:rsidRPr="00EC20A0">
        <w:rPr>
          <w:spacing w:val="-3"/>
        </w:rPr>
        <w:t xml:space="preserve"> </w:t>
      </w:r>
      <w:r w:rsidRPr="00EC20A0">
        <w:t>limitation:</w:t>
      </w:r>
    </w:p>
    <w:p w14:paraId="24D61E4A" w14:textId="77777777" w:rsidR="00245300" w:rsidRPr="00EC20A0" w:rsidRDefault="00F17249">
      <w:pPr>
        <w:pStyle w:val="ListParagraph"/>
        <w:numPr>
          <w:ilvl w:val="1"/>
          <w:numId w:val="66"/>
        </w:numPr>
        <w:tabs>
          <w:tab w:val="left" w:pos="1999"/>
        </w:tabs>
        <w:spacing w:before="241"/>
        <w:ind w:right="585"/>
      </w:pPr>
      <w:r w:rsidRPr="00EC20A0">
        <w:t>Legal</w:t>
      </w:r>
      <w:r w:rsidRPr="00EC20A0">
        <w:rPr>
          <w:spacing w:val="-4"/>
        </w:rPr>
        <w:t xml:space="preserve"> </w:t>
      </w:r>
      <w:r w:rsidRPr="00EC20A0">
        <w:t>counsel</w:t>
      </w:r>
      <w:r w:rsidRPr="00EC20A0">
        <w:rPr>
          <w:spacing w:val="-3"/>
        </w:rPr>
        <w:t xml:space="preserve"> </w:t>
      </w:r>
      <w:r w:rsidRPr="00EC20A0">
        <w:t>refuses</w:t>
      </w:r>
      <w:r w:rsidRPr="00EC20A0">
        <w:rPr>
          <w:spacing w:val="-4"/>
        </w:rPr>
        <w:t xml:space="preserve"> </w:t>
      </w:r>
      <w:r w:rsidRPr="00EC20A0">
        <w:t>to</w:t>
      </w:r>
      <w:r w:rsidRPr="00EC20A0">
        <w:rPr>
          <w:spacing w:val="-5"/>
        </w:rPr>
        <w:t xml:space="preserve"> </w:t>
      </w:r>
      <w:r w:rsidRPr="00EC20A0">
        <w:t>furnish</w:t>
      </w:r>
      <w:r w:rsidRPr="00EC20A0">
        <w:rPr>
          <w:spacing w:val="-4"/>
        </w:rPr>
        <w:t xml:space="preserve"> </w:t>
      </w:r>
      <w:r w:rsidRPr="00EC20A0">
        <w:t>the</w:t>
      </w:r>
      <w:r w:rsidRPr="00EC20A0">
        <w:rPr>
          <w:spacing w:val="-4"/>
        </w:rPr>
        <w:t xml:space="preserve"> </w:t>
      </w:r>
      <w:r w:rsidRPr="00EC20A0">
        <w:t>requested</w:t>
      </w:r>
      <w:r w:rsidRPr="00EC20A0">
        <w:rPr>
          <w:spacing w:val="-4"/>
        </w:rPr>
        <w:t xml:space="preserve"> </w:t>
      </w:r>
      <w:r w:rsidRPr="00EC20A0">
        <w:t>information.</w:t>
      </w:r>
      <w:r w:rsidRPr="00EC20A0">
        <w:rPr>
          <w:spacing w:val="-4"/>
        </w:rPr>
        <w:t xml:space="preserve"> </w:t>
      </w:r>
      <w:r w:rsidRPr="00EC20A0">
        <w:t>Based</w:t>
      </w:r>
      <w:r w:rsidRPr="00EC20A0">
        <w:rPr>
          <w:spacing w:val="-4"/>
        </w:rPr>
        <w:t xml:space="preserve"> </w:t>
      </w:r>
      <w:r w:rsidRPr="00EC20A0">
        <w:t>on</w:t>
      </w:r>
      <w:r w:rsidRPr="00EC20A0">
        <w:rPr>
          <w:spacing w:val="-4"/>
        </w:rPr>
        <w:t xml:space="preserve"> </w:t>
      </w:r>
      <w:r w:rsidRPr="00EC20A0">
        <w:t xml:space="preserve">AU-C 501.25, when </w:t>
      </w:r>
      <w:r w:rsidRPr="00EC20A0">
        <w:t>legal counsel refuses to respond appropriately to the legal counsel request and the auditor is unable to obtain sufficient appropriate</w:t>
      </w:r>
    </w:p>
    <w:p w14:paraId="24D61E4B" w14:textId="77777777" w:rsidR="00245300" w:rsidRPr="00EC20A0" w:rsidRDefault="00F17249">
      <w:pPr>
        <w:pStyle w:val="BodyText"/>
        <w:spacing w:before="50"/>
        <w:rPr>
          <w:sz w:val="20"/>
        </w:rPr>
      </w:pPr>
      <w:r w:rsidRPr="00EC20A0">
        <w:rPr>
          <w:noProof/>
        </w:rPr>
        <mc:AlternateContent>
          <mc:Choice Requires="wps">
            <w:drawing>
              <wp:anchor distT="0" distB="0" distL="0" distR="0" simplePos="0" relativeHeight="487726080" behindDoc="1" locked="0" layoutInCell="1" allowOverlap="1" wp14:anchorId="24D62CD1" wp14:editId="24D62CD2">
                <wp:simplePos x="0" y="0"/>
                <wp:positionH relativeFrom="page">
                  <wp:posOffset>914400</wp:posOffset>
                </wp:positionH>
                <wp:positionV relativeFrom="paragraph">
                  <wp:posOffset>193248</wp:posOffset>
                </wp:positionV>
                <wp:extent cx="1828800" cy="5715"/>
                <wp:effectExtent l="0" t="0" r="0" b="0"/>
                <wp:wrapTopAndBottom/>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58019" id="Graphic 941" o:spid="_x0000_s1026" style="position:absolute;margin-left:1in;margin-top:15.2pt;width:2in;height:.45pt;z-index:-1559040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" path="m1828800,l,,,5334r1828800,l1828800,xe" fillcolor="black" stroked="f">
                <v:path arrowok="t"/>
                <w10:wrap type="topAndBottom" anchorx="page"/>
              </v:shape>
            </w:pict>
          </mc:Fallback>
        </mc:AlternateContent>
      </w:r>
    </w:p>
    <w:p w14:paraId="24D61E4C" w14:textId="77777777" w:rsidR="00245300" w:rsidRPr="00EC20A0" w:rsidRDefault="00F17249">
      <w:pPr>
        <w:spacing w:before="202" w:line="249" w:lineRule="auto"/>
        <w:ind w:left="200" w:right="447"/>
        <w:rPr>
          <w:sz w:val="18"/>
        </w:rPr>
      </w:pPr>
      <w:bookmarkStart w:id="396" w:name="_bookmark220"/>
      <w:bookmarkEnd w:id="396"/>
      <w:r w:rsidRPr="00EC20A0">
        <w:rPr>
          <w:position w:val="7"/>
          <w:sz w:val="14"/>
        </w:rPr>
        <w:t>10</w:t>
      </w:r>
      <w:r w:rsidRPr="00EC20A0">
        <w:rPr>
          <w:sz w:val="18"/>
        </w:rPr>
        <w:t>Forms</w:t>
      </w:r>
      <w:r w:rsidRPr="00EC20A0">
        <w:rPr>
          <w:spacing w:val="-4"/>
          <w:sz w:val="18"/>
        </w:rPr>
        <w:t xml:space="preserve"> </w:t>
      </w:r>
      <w:r w:rsidRPr="00EC20A0">
        <w:rPr>
          <w:sz w:val="18"/>
        </w:rPr>
        <w:t>can</w:t>
      </w:r>
      <w:r w:rsidRPr="00EC20A0">
        <w:rPr>
          <w:spacing w:val="-4"/>
          <w:sz w:val="18"/>
        </w:rPr>
        <w:t xml:space="preserve"> </w:t>
      </w:r>
      <w:r w:rsidRPr="00EC20A0">
        <w:rPr>
          <w:sz w:val="18"/>
        </w:rPr>
        <w:t>be</w:t>
      </w:r>
      <w:r w:rsidRPr="00EC20A0">
        <w:rPr>
          <w:spacing w:val="-3"/>
          <w:sz w:val="18"/>
        </w:rPr>
        <w:t xml:space="preserve"> </w:t>
      </w:r>
      <w:r w:rsidRPr="00EC20A0">
        <w:rPr>
          <w:sz w:val="18"/>
        </w:rPr>
        <w:t>obtained</w:t>
      </w:r>
      <w:r w:rsidRPr="00EC20A0">
        <w:rPr>
          <w:spacing w:val="-5"/>
          <w:sz w:val="18"/>
        </w:rPr>
        <w:t xml:space="preserve"> </w:t>
      </w:r>
      <w:r w:rsidRPr="00EC20A0">
        <w:rPr>
          <w:sz w:val="18"/>
        </w:rPr>
        <w:t>on</w:t>
      </w:r>
      <w:r w:rsidRPr="00EC20A0">
        <w:rPr>
          <w:spacing w:val="-5"/>
          <w:sz w:val="18"/>
        </w:rPr>
        <w:t xml:space="preserve"> </w:t>
      </w:r>
      <w:r w:rsidRPr="00EC20A0">
        <w:rPr>
          <w:sz w:val="18"/>
        </w:rPr>
        <w:t>Justice’s</w:t>
      </w:r>
      <w:r w:rsidRPr="00EC20A0">
        <w:rPr>
          <w:spacing w:val="-4"/>
          <w:sz w:val="18"/>
        </w:rPr>
        <w:t xml:space="preserve"> </w:t>
      </w:r>
      <w:r w:rsidRPr="00EC20A0">
        <w:rPr>
          <w:sz w:val="18"/>
        </w:rPr>
        <w:t>website</w:t>
      </w:r>
      <w:r w:rsidRPr="00EC20A0">
        <w:rPr>
          <w:spacing w:val="-3"/>
          <w:sz w:val="18"/>
        </w:rPr>
        <w:t xml:space="preserve"> </w:t>
      </w:r>
      <w:r w:rsidRPr="00EC20A0">
        <w:rPr>
          <w:sz w:val="18"/>
        </w:rPr>
        <w:t>at</w:t>
      </w:r>
      <w:r w:rsidRPr="00EC20A0">
        <w:rPr>
          <w:spacing w:val="-4"/>
          <w:sz w:val="18"/>
        </w:rPr>
        <w:t xml:space="preserve"> </w:t>
      </w:r>
      <w:hyperlink r:id="rId194">
        <w:r w:rsidRPr="00EC20A0">
          <w:rPr>
            <w:color w:val="0000FF"/>
            <w:sz w:val="18"/>
            <w:u w:val="single" w:color="0000FF"/>
          </w:rPr>
          <w:t>https://www.justice.gov/civil/documents-and-forms</w:t>
        </w:r>
      </w:hyperlink>
      <w:r w:rsidRPr="00EC20A0">
        <w:rPr>
          <w:color w:val="0000FF"/>
          <w:spacing w:val="-4"/>
          <w:sz w:val="18"/>
        </w:rPr>
        <w:t xml:space="preserve"> </w:t>
      </w:r>
      <w:r w:rsidRPr="00EC20A0">
        <w:rPr>
          <w:sz w:val="18"/>
        </w:rPr>
        <w:t>(accessed</w:t>
      </w:r>
      <w:r w:rsidRPr="00EC20A0">
        <w:rPr>
          <w:spacing w:val="-5"/>
          <w:sz w:val="18"/>
        </w:rPr>
        <w:t xml:space="preserve"> </w:t>
      </w:r>
      <w:r w:rsidRPr="00EC20A0">
        <w:rPr>
          <w:sz w:val="18"/>
        </w:rPr>
        <w:t>June 4, 2024).</w:t>
      </w:r>
    </w:p>
    <w:p w14:paraId="24D61E4D" w14:textId="77777777" w:rsidR="00245300" w:rsidRPr="00EC20A0" w:rsidRDefault="00245300">
      <w:pPr>
        <w:spacing w:line="249" w:lineRule="auto"/>
        <w:rPr>
          <w:sz w:val="18"/>
        </w:rPr>
        <w:sectPr w:rsidR="00245300" w:rsidRPr="00EC20A0">
          <w:pgSz w:w="12240" w:h="15840"/>
          <w:pgMar w:top="1340" w:right="1100" w:bottom="940" w:left="1240" w:header="721" w:footer="757" w:gutter="0"/>
          <w:cols w:space="720"/>
        </w:sectPr>
      </w:pPr>
    </w:p>
    <w:p w14:paraId="24D61E4E" w14:textId="77777777" w:rsidR="00245300" w:rsidRPr="00EC20A0" w:rsidRDefault="00F17249">
      <w:pPr>
        <w:pStyle w:val="BodyText"/>
        <w:spacing w:before="121"/>
        <w:ind w:left="1999" w:right="345"/>
      </w:pPr>
      <w:r w:rsidRPr="00EC20A0">
        <w:t>audit</w:t>
      </w:r>
      <w:r w:rsidRPr="00EC20A0">
        <w:rPr>
          <w:spacing w:val="-5"/>
        </w:rPr>
        <w:t xml:space="preserve"> </w:t>
      </w:r>
      <w:r w:rsidRPr="00EC20A0">
        <w:t>evidence</w:t>
      </w:r>
      <w:r w:rsidRPr="00EC20A0">
        <w:rPr>
          <w:spacing w:val="-5"/>
        </w:rPr>
        <w:t xml:space="preserve"> </w:t>
      </w:r>
      <w:r w:rsidRPr="00EC20A0">
        <w:t>by</w:t>
      </w:r>
      <w:r w:rsidRPr="00EC20A0">
        <w:rPr>
          <w:spacing w:val="-5"/>
        </w:rPr>
        <w:t xml:space="preserve"> </w:t>
      </w:r>
      <w:r w:rsidRPr="00EC20A0">
        <w:t>performing</w:t>
      </w:r>
      <w:r w:rsidRPr="00EC20A0">
        <w:rPr>
          <w:spacing w:val="-5"/>
        </w:rPr>
        <w:t xml:space="preserve"> </w:t>
      </w:r>
      <w:r w:rsidRPr="00EC20A0">
        <w:t>alternative</w:t>
      </w:r>
      <w:r w:rsidRPr="00EC20A0">
        <w:rPr>
          <w:spacing w:val="-5"/>
        </w:rPr>
        <w:t xml:space="preserve"> </w:t>
      </w:r>
      <w:r w:rsidRPr="00EC20A0">
        <w:t>audit</w:t>
      </w:r>
      <w:r w:rsidRPr="00EC20A0">
        <w:rPr>
          <w:spacing w:val="-5"/>
        </w:rPr>
        <w:t xml:space="preserve"> </w:t>
      </w:r>
      <w:r w:rsidRPr="00EC20A0">
        <w:t>procedures,</w:t>
      </w:r>
      <w:r w:rsidRPr="00EC20A0">
        <w:rPr>
          <w:spacing w:val="-5"/>
        </w:rPr>
        <w:t xml:space="preserve"> </w:t>
      </w:r>
      <w:r w:rsidRPr="00EC20A0">
        <w:t>or</w:t>
      </w:r>
      <w:r w:rsidRPr="00EC20A0">
        <w:rPr>
          <w:spacing w:val="-6"/>
        </w:rPr>
        <w:t xml:space="preserve"> </w:t>
      </w:r>
      <w:r w:rsidRPr="00EC20A0">
        <w:t>management refuses to give the auditor permission to communicate or meet with the entity’s</w:t>
      </w:r>
      <w:r w:rsidRPr="00EC20A0">
        <w:rPr>
          <w:spacing w:val="-2"/>
        </w:rPr>
        <w:t xml:space="preserve"> </w:t>
      </w:r>
      <w:r w:rsidRPr="00EC20A0">
        <w:t>legal</w:t>
      </w:r>
      <w:r w:rsidRPr="00EC20A0">
        <w:rPr>
          <w:spacing w:val="-2"/>
        </w:rPr>
        <w:t xml:space="preserve"> </w:t>
      </w:r>
      <w:r w:rsidRPr="00EC20A0">
        <w:t>counsel,</w:t>
      </w:r>
      <w:r w:rsidRPr="00EC20A0">
        <w:rPr>
          <w:spacing w:val="-1"/>
        </w:rPr>
        <w:t xml:space="preserve"> </w:t>
      </w:r>
      <w:r w:rsidRPr="00EC20A0">
        <w:t>the</w:t>
      </w:r>
      <w:r w:rsidRPr="00EC20A0">
        <w:rPr>
          <w:spacing w:val="-1"/>
        </w:rPr>
        <w:t xml:space="preserve"> </w:t>
      </w:r>
      <w:r w:rsidRPr="00EC20A0">
        <w:t>auditor</w:t>
      </w:r>
      <w:r w:rsidRPr="00EC20A0">
        <w:rPr>
          <w:spacing w:val="-1"/>
        </w:rPr>
        <w:t xml:space="preserve"> </w:t>
      </w:r>
      <w:r w:rsidRPr="00EC20A0">
        <w:t>should</w:t>
      </w:r>
      <w:r w:rsidRPr="00EC20A0">
        <w:rPr>
          <w:spacing w:val="-1"/>
        </w:rPr>
        <w:t xml:space="preserve"> </w:t>
      </w:r>
      <w:r w:rsidRPr="00EC20A0">
        <w:t>modify</w:t>
      </w:r>
      <w:r w:rsidRPr="00EC20A0">
        <w:rPr>
          <w:spacing w:val="-2"/>
        </w:rPr>
        <w:t xml:space="preserve"> </w:t>
      </w:r>
      <w:r w:rsidRPr="00EC20A0">
        <w:t>the</w:t>
      </w:r>
      <w:r w:rsidRPr="00EC20A0">
        <w:rPr>
          <w:spacing w:val="-1"/>
        </w:rPr>
        <w:t xml:space="preserve"> </w:t>
      </w:r>
      <w:r w:rsidRPr="00EC20A0">
        <w:t>opinion</w:t>
      </w:r>
      <w:r w:rsidRPr="00EC20A0">
        <w:rPr>
          <w:spacing w:val="-1"/>
        </w:rPr>
        <w:t xml:space="preserve"> </w:t>
      </w:r>
      <w:r w:rsidRPr="00EC20A0">
        <w:t>in</w:t>
      </w:r>
      <w:r w:rsidRPr="00EC20A0">
        <w:rPr>
          <w:spacing w:val="-1"/>
        </w:rPr>
        <w:t xml:space="preserve"> </w:t>
      </w:r>
      <w:r w:rsidRPr="00EC20A0">
        <w:t>the</w:t>
      </w:r>
      <w:r w:rsidRPr="00EC20A0">
        <w:rPr>
          <w:spacing w:val="-1"/>
        </w:rPr>
        <w:t xml:space="preserve"> </w:t>
      </w:r>
      <w:r w:rsidRPr="00EC20A0">
        <w:t xml:space="preserve">auditor’s report in accordance with AU-C 705, </w:t>
      </w:r>
      <w:r w:rsidRPr="00EC20A0">
        <w:rPr>
          <w:i/>
        </w:rPr>
        <w:t xml:space="preserve">Modifications to the Opinion in the Independent </w:t>
      </w:r>
      <w:r w:rsidRPr="00EC20A0">
        <w:rPr>
          <w:i/>
        </w:rPr>
        <w:t>Auditor’s Report</w:t>
      </w:r>
      <w:r w:rsidRPr="00EC20A0">
        <w:t>.</w:t>
      </w:r>
    </w:p>
    <w:p w14:paraId="24D61E4F" w14:textId="77777777" w:rsidR="00245300" w:rsidRPr="00EC20A0" w:rsidRDefault="00F17249">
      <w:pPr>
        <w:pStyle w:val="ListParagraph"/>
        <w:numPr>
          <w:ilvl w:val="1"/>
          <w:numId w:val="66"/>
        </w:numPr>
        <w:tabs>
          <w:tab w:val="left" w:pos="1998"/>
        </w:tabs>
        <w:ind w:left="1998" w:right="426"/>
      </w:pPr>
      <w:r w:rsidRPr="00EC20A0">
        <w:t>Legal counsel excludes information requested. The legal counsel response may not address all information requested. The auditor should compare the legal counsel response to the legal counsel request and determine whether legal</w:t>
      </w:r>
      <w:r w:rsidRPr="00EC20A0">
        <w:rPr>
          <w:spacing w:val="-3"/>
        </w:rPr>
        <w:t xml:space="preserve"> </w:t>
      </w:r>
      <w:r w:rsidRPr="00EC20A0">
        <w:t>counsel</w:t>
      </w:r>
      <w:r w:rsidRPr="00EC20A0">
        <w:rPr>
          <w:spacing w:val="-2"/>
        </w:rPr>
        <w:t xml:space="preserve"> </w:t>
      </w:r>
      <w:r w:rsidRPr="00EC20A0">
        <w:t>addressed</w:t>
      </w:r>
      <w:r w:rsidRPr="00EC20A0">
        <w:rPr>
          <w:spacing w:val="-3"/>
        </w:rPr>
        <w:t xml:space="preserve"> </w:t>
      </w:r>
      <w:r w:rsidRPr="00EC20A0">
        <w:t>all</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information</w:t>
      </w:r>
      <w:r w:rsidRPr="00EC20A0">
        <w:rPr>
          <w:spacing w:val="-3"/>
        </w:rPr>
        <w:t xml:space="preserve"> </w:t>
      </w:r>
      <w:r w:rsidRPr="00EC20A0">
        <w:t>requested.</w:t>
      </w:r>
      <w:r w:rsidRPr="00EC20A0">
        <w:rPr>
          <w:spacing w:val="-3"/>
        </w:rPr>
        <w:t xml:space="preserve"> </w:t>
      </w:r>
      <w:r w:rsidRPr="00EC20A0">
        <w:t>If</w:t>
      </w:r>
      <w:r w:rsidRPr="00EC20A0">
        <w:rPr>
          <w:spacing w:val="-4"/>
        </w:rPr>
        <w:t xml:space="preserve"> </w:t>
      </w:r>
      <w:r w:rsidRPr="00EC20A0">
        <w:t>legal</w:t>
      </w:r>
      <w:r w:rsidRPr="00EC20A0">
        <w:rPr>
          <w:spacing w:val="-3"/>
        </w:rPr>
        <w:t xml:space="preserve"> </w:t>
      </w:r>
      <w:r w:rsidRPr="00EC20A0">
        <w:t>counsel</w:t>
      </w:r>
      <w:r w:rsidRPr="00EC20A0">
        <w:rPr>
          <w:spacing w:val="-3"/>
        </w:rPr>
        <w:t xml:space="preserve"> </w:t>
      </w:r>
      <w:r w:rsidRPr="00EC20A0">
        <w:t>has excluded any of the requested information, the auditor should obtain the needed information from legal counsel. If the auditor is unable to obtain all the</w:t>
      </w:r>
      <w:r w:rsidRPr="00EC20A0">
        <w:rPr>
          <w:spacing w:val="-4"/>
        </w:rPr>
        <w:t xml:space="preserve"> </w:t>
      </w:r>
      <w:r w:rsidRPr="00EC20A0">
        <w:t>needed</w:t>
      </w:r>
      <w:r w:rsidRPr="00EC20A0">
        <w:rPr>
          <w:spacing w:val="-4"/>
        </w:rPr>
        <w:t xml:space="preserve"> </w:t>
      </w:r>
      <w:r w:rsidRPr="00EC20A0">
        <w:t>information,</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evaluate</w:t>
      </w:r>
      <w:r w:rsidRPr="00EC20A0">
        <w:rPr>
          <w:spacing w:val="-4"/>
        </w:rPr>
        <w:t xml:space="preserve"> </w:t>
      </w:r>
      <w:r w:rsidRPr="00EC20A0">
        <w:t>this</w:t>
      </w:r>
      <w:r w:rsidRPr="00EC20A0">
        <w:rPr>
          <w:spacing w:val="-4"/>
        </w:rPr>
        <w:t xml:space="preserve"> </w:t>
      </w:r>
      <w:r w:rsidRPr="00EC20A0">
        <w:t>as</w:t>
      </w:r>
      <w:r w:rsidRPr="00EC20A0">
        <w:rPr>
          <w:spacing w:val="-4"/>
        </w:rPr>
        <w:t xml:space="preserve"> </w:t>
      </w:r>
      <w:r w:rsidRPr="00EC20A0">
        <w:t>a</w:t>
      </w:r>
      <w:r w:rsidRPr="00EC20A0">
        <w:rPr>
          <w:spacing w:val="-5"/>
        </w:rPr>
        <w:t xml:space="preserve"> </w:t>
      </w:r>
      <w:r w:rsidRPr="00EC20A0">
        <w:t>scope</w:t>
      </w:r>
      <w:r w:rsidRPr="00EC20A0">
        <w:rPr>
          <w:spacing w:val="-4"/>
        </w:rPr>
        <w:t xml:space="preserve"> </w:t>
      </w:r>
      <w:r w:rsidRPr="00EC20A0">
        <w:t>limitation that could be sufficient to preclude an unmodified opinion.</w:t>
      </w:r>
    </w:p>
    <w:p w14:paraId="24D61E50" w14:textId="77777777" w:rsidR="00245300" w:rsidRPr="00EC20A0" w:rsidRDefault="00F17249">
      <w:pPr>
        <w:pStyle w:val="ListParagraph"/>
        <w:numPr>
          <w:ilvl w:val="1"/>
          <w:numId w:val="66"/>
        </w:numPr>
        <w:tabs>
          <w:tab w:val="left" w:pos="1997"/>
        </w:tabs>
        <w:spacing w:before="239"/>
        <w:ind w:left="1997" w:right="511"/>
      </w:pPr>
      <w:r w:rsidRPr="00EC20A0">
        <w:t>Legal counsel indicates that certain information is being withheld due to attorney-client privilege. Under the ABA Model Rules of Professional Conduct, legal counsel is required to preserve the confidences of the client. Legal</w:t>
      </w:r>
      <w:r w:rsidRPr="00EC20A0">
        <w:rPr>
          <w:spacing w:val="-3"/>
        </w:rPr>
        <w:t xml:space="preserve"> </w:t>
      </w:r>
      <w:r w:rsidRPr="00EC20A0">
        <w:t>counsel</w:t>
      </w:r>
      <w:r w:rsidRPr="00EC20A0">
        <w:rPr>
          <w:spacing w:val="-3"/>
        </w:rPr>
        <w:t xml:space="preserve"> </w:t>
      </w:r>
      <w:r w:rsidRPr="00EC20A0">
        <w:t>may</w:t>
      </w:r>
      <w:r w:rsidRPr="00EC20A0">
        <w:rPr>
          <w:spacing w:val="-3"/>
        </w:rPr>
        <w:t xml:space="preserve"> </w:t>
      </w:r>
      <w:r w:rsidRPr="00EC20A0">
        <w:t>disclose</w:t>
      </w:r>
      <w:r w:rsidRPr="00EC20A0">
        <w:rPr>
          <w:spacing w:val="-3"/>
        </w:rPr>
        <w:t xml:space="preserve"> </w:t>
      </w:r>
      <w:r w:rsidRPr="00EC20A0">
        <w:t>confidences</w:t>
      </w:r>
      <w:r w:rsidRPr="00EC20A0">
        <w:rPr>
          <w:spacing w:val="-3"/>
        </w:rPr>
        <w:t xml:space="preserve"> </w:t>
      </w:r>
      <w:r w:rsidRPr="00EC20A0">
        <w:t>to</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only</w:t>
      </w:r>
      <w:r w:rsidRPr="00EC20A0">
        <w:rPr>
          <w:spacing w:val="-4"/>
        </w:rPr>
        <w:t xml:space="preserve"> </w:t>
      </w:r>
      <w:r w:rsidRPr="00EC20A0">
        <w:t>with</w:t>
      </w:r>
      <w:r w:rsidRPr="00EC20A0">
        <w:rPr>
          <w:spacing w:val="-3"/>
        </w:rPr>
        <w:t xml:space="preserve"> </w:t>
      </w:r>
      <w:r w:rsidRPr="00EC20A0">
        <w:t>the</w:t>
      </w:r>
      <w:r w:rsidRPr="00EC20A0">
        <w:rPr>
          <w:spacing w:val="-3"/>
        </w:rPr>
        <w:t xml:space="preserve"> </w:t>
      </w:r>
      <w:r w:rsidRPr="00EC20A0">
        <w:t>consent of the client. If the legal counsel request is prepared in accordance with</w:t>
      </w:r>
    </w:p>
    <w:p w14:paraId="24D61E51" w14:textId="77777777" w:rsidR="00245300" w:rsidRPr="00EC20A0" w:rsidRDefault="00F17249">
      <w:pPr>
        <w:pStyle w:val="BodyText"/>
        <w:ind w:left="1997" w:right="345"/>
      </w:pPr>
      <w:r w:rsidRPr="00EC20A0">
        <w:t xml:space="preserve">AU-C 501, </w:t>
      </w:r>
      <w:r w:rsidRPr="00EC20A0">
        <w:rPr>
          <w:i/>
        </w:rPr>
        <w:t>Audit Evidence</w:t>
      </w:r>
      <w:r w:rsidRPr="00EC20A0">
        <w:t>—</w:t>
      </w:r>
      <w:r w:rsidRPr="00EC20A0">
        <w:rPr>
          <w:i/>
        </w:rPr>
        <w:t xml:space="preserve">Specific Considerations for Selected Items, </w:t>
      </w:r>
      <w:r w:rsidRPr="00EC20A0">
        <w:t xml:space="preserve">the auditor should expect that legal counsel will respond; </w:t>
      </w:r>
      <w:proofErr w:type="gramStart"/>
      <w:r w:rsidRPr="00EC20A0">
        <w:t>otherwise</w:t>
      </w:r>
      <w:proofErr w:type="gramEnd"/>
      <w:r w:rsidRPr="00EC20A0">
        <w:t xml:space="preserve"> the scope of the</w:t>
      </w:r>
      <w:r w:rsidRPr="00EC20A0">
        <w:rPr>
          <w:spacing w:val="-3"/>
        </w:rPr>
        <w:t xml:space="preserve"> </w:t>
      </w:r>
      <w:r w:rsidRPr="00EC20A0">
        <w:t>audit</w:t>
      </w:r>
      <w:r w:rsidRPr="00EC20A0">
        <w:rPr>
          <w:spacing w:val="-3"/>
        </w:rPr>
        <w:t xml:space="preserve"> </w:t>
      </w:r>
      <w:r w:rsidRPr="00EC20A0">
        <w:t>would</w:t>
      </w:r>
      <w:r w:rsidRPr="00EC20A0">
        <w:rPr>
          <w:spacing w:val="-3"/>
        </w:rPr>
        <w:t xml:space="preserve"> </w:t>
      </w:r>
      <w:r w:rsidRPr="00EC20A0">
        <w:t>be</w:t>
      </w:r>
      <w:r w:rsidRPr="00EC20A0">
        <w:rPr>
          <w:spacing w:val="-3"/>
        </w:rPr>
        <w:t xml:space="preserve"> </w:t>
      </w:r>
      <w:r w:rsidRPr="00EC20A0">
        <w:t>restricted.</w:t>
      </w:r>
      <w:r w:rsidRPr="00EC20A0">
        <w:rPr>
          <w:spacing w:val="-3"/>
        </w:rPr>
        <w:t xml:space="preserve"> </w:t>
      </w:r>
      <w:r w:rsidRPr="00EC20A0">
        <w:t>On</w:t>
      </w:r>
      <w:r w:rsidRPr="00EC20A0">
        <w:rPr>
          <w:spacing w:val="-3"/>
        </w:rPr>
        <w:t xml:space="preserve"> </w:t>
      </w:r>
      <w:r w:rsidRPr="00EC20A0">
        <w:t>the</w:t>
      </w:r>
      <w:r w:rsidRPr="00EC20A0">
        <w:rPr>
          <w:spacing w:val="-3"/>
        </w:rPr>
        <w:t xml:space="preserve"> </w:t>
      </w:r>
      <w:r w:rsidRPr="00EC20A0">
        <w:t>other</w:t>
      </w:r>
      <w:r w:rsidRPr="00EC20A0">
        <w:rPr>
          <w:spacing w:val="-3"/>
        </w:rPr>
        <w:t xml:space="preserve"> </w:t>
      </w:r>
      <w:r w:rsidRPr="00EC20A0">
        <w:t>hand,</w:t>
      </w:r>
      <w:r w:rsidRPr="00EC20A0">
        <w:rPr>
          <w:spacing w:val="-4"/>
        </w:rPr>
        <w:t xml:space="preserve"> </w:t>
      </w:r>
      <w:r w:rsidRPr="00EC20A0">
        <w:t>explanatory</w:t>
      </w:r>
      <w:r w:rsidRPr="00EC20A0">
        <w:rPr>
          <w:spacing w:val="-3"/>
        </w:rPr>
        <w:t xml:space="preserve"> </w:t>
      </w:r>
      <w:r w:rsidRPr="00EC20A0">
        <w:t>language</w:t>
      </w:r>
      <w:r w:rsidRPr="00EC20A0">
        <w:rPr>
          <w:spacing w:val="-3"/>
        </w:rPr>
        <w:t xml:space="preserve"> </w:t>
      </w:r>
      <w:r w:rsidRPr="00EC20A0">
        <w:t>in</w:t>
      </w:r>
      <w:r w:rsidRPr="00EC20A0">
        <w:rPr>
          <w:spacing w:val="-4"/>
        </w:rPr>
        <w:t xml:space="preserve"> </w:t>
      </w:r>
      <w:r w:rsidRPr="00EC20A0">
        <w:t xml:space="preserve">the legal counsel request or legal counsel response emphasizing that management or legal counsel does not intend to waive attorney-client privilege or attorney work-product privilege does not result in a scope </w:t>
      </w:r>
      <w:r w:rsidRPr="00EC20A0">
        <w:rPr>
          <w:spacing w:val="-2"/>
        </w:rPr>
        <w:t>limitation.</w:t>
      </w:r>
    </w:p>
    <w:p w14:paraId="24D61E52" w14:textId="77777777" w:rsidR="00245300" w:rsidRPr="00EC20A0" w:rsidRDefault="00245300">
      <w:pPr>
        <w:pStyle w:val="BodyText"/>
        <w:spacing w:before="48"/>
      </w:pPr>
    </w:p>
    <w:p w14:paraId="24D61E53" w14:textId="77777777" w:rsidR="00245300" w:rsidRPr="00EC20A0" w:rsidRDefault="00F17249">
      <w:pPr>
        <w:pStyle w:val="Heading5"/>
        <w:spacing w:before="0"/>
        <w:rPr>
          <w:u w:val="none"/>
        </w:rPr>
      </w:pPr>
      <w:bookmarkStart w:id="397" w:name="Review_of_Management_Schedule"/>
      <w:bookmarkEnd w:id="397"/>
      <w:r w:rsidRPr="00EC20A0">
        <w:t>Review</w:t>
      </w:r>
      <w:r w:rsidRPr="00EC20A0">
        <w:rPr>
          <w:spacing w:val="-4"/>
        </w:rPr>
        <w:t xml:space="preserve"> </w:t>
      </w:r>
      <w:r w:rsidRPr="00EC20A0">
        <w:t>of</w:t>
      </w:r>
      <w:r w:rsidRPr="00EC20A0">
        <w:rPr>
          <w:spacing w:val="-4"/>
        </w:rPr>
        <w:t xml:space="preserve"> </w:t>
      </w:r>
      <w:r w:rsidRPr="00EC20A0">
        <w:t>Management</w:t>
      </w:r>
      <w:r w:rsidRPr="00EC20A0">
        <w:rPr>
          <w:spacing w:val="-3"/>
        </w:rPr>
        <w:t xml:space="preserve"> </w:t>
      </w:r>
      <w:r w:rsidRPr="00EC20A0">
        <w:rPr>
          <w:spacing w:val="-2"/>
        </w:rPr>
        <w:t>Schedule</w:t>
      </w:r>
    </w:p>
    <w:p w14:paraId="24D61E54" w14:textId="77777777" w:rsidR="00245300" w:rsidRPr="00EC20A0" w:rsidRDefault="00245300">
      <w:pPr>
        <w:pStyle w:val="BodyText"/>
        <w:spacing w:before="47"/>
        <w:rPr>
          <w:b/>
        </w:rPr>
      </w:pPr>
    </w:p>
    <w:p w14:paraId="24D61E55" w14:textId="77777777" w:rsidR="00245300" w:rsidRPr="00EC20A0" w:rsidRDefault="00F17249">
      <w:pPr>
        <w:pStyle w:val="ListParagraph"/>
        <w:numPr>
          <w:ilvl w:val="0"/>
          <w:numId w:val="66"/>
        </w:numPr>
        <w:tabs>
          <w:tab w:val="left" w:pos="1640"/>
        </w:tabs>
        <w:spacing w:before="0"/>
        <w:ind w:left="1640" w:right="342"/>
      </w:pPr>
      <w:r w:rsidRPr="00EC20A0">
        <w:t xml:space="preserve">OMB audit guidance requires entities to prepare a management schedule documenting how the information contained in the legal counsel response was considered in preparing the financial statements (see FAM 1002.08). The auditor should verify that management prepared this schedule. In particular, the auditor should determine whether management has concluded on the likelihood of loss for each case, in order to determine whether (a) an amount should be reported in the financial statements, (b) a note disclosure </w:t>
      </w:r>
      <w:r w:rsidRPr="00EC20A0">
        <w:t>is necessary, or (c) both. Although most of the information in the management schedule comes directly from the legal counsel response, the auditor should determine whether management has accurately summarized the amounts in the management schedule so that the disposition of each case can be properly reflected in the financial statements. If there</w:t>
      </w:r>
      <w:r w:rsidRPr="00EC20A0">
        <w:rPr>
          <w:spacing w:val="-5"/>
        </w:rPr>
        <w:t xml:space="preserve"> </w:t>
      </w:r>
      <w:r w:rsidRPr="00EC20A0">
        <w:t>are</w:t>
      </w:r>
      <w:r w:rsidRPr="00EC20A0">
        <w:rPr>
          <w:spacing w:val="-5"/>
        </w:rPr>
        <w:t xml:space="preserve"> </w:t>
      </w:r>
      <w:r w:rsidRPr="00EC20A0">
        <w:t>differences</w:t>
      </w:r>
      <w:r w:rsidRPr="00EC20A0">
        <w:rPr>
          <w:spacing w:val="-5"/>
        </w:rPr>
        <w:t xml:space="preserve"> </w:t>
      </w:r>
      <w:r w:rsidRPr="00EC20A0">
        <w:t>between</w:t>
      </w:r>
      <w:r w:rsidRPr="00EC20A0">
        <w:rPr>
          <w:spacing w:val="-5"/>
        </w:rPr>
        <w:t xml:space="preserve"> </w:t>
      </w:r>
      <w:r w:rsidRPr="00EC20A0">
        <w:t>management’s</w:t>
      </w:r>
      <w:r w:rsidRPr="00EC20A0">
        <w:rPr>
          <w:spacing w:val="-5"/>
        </w:rPr>
        <w:t xml:space="preserve"> </w:t>
      </w:r>
      <w:r w:rsidRPr="00EC20A0">
        <w:t>and</w:t>
      </w:r>
      <w:r w:rsidRPr="00EC20A0">
        <w:rPr>
          <w:spacing w:val="-5"/>
        </w:rPr>
        <w:t xml:space="preserve"> </w:t>
      </w:r>
      <w:r w:rsidRPr="00EC20A0">
        <w:t>legal</w:t>
      </w:r>
      <w:r w:rsidRPr="00EC20A0">
        <w:rPr>
          <w:spacing w:val="-5"/>
        </w:rPr>
        <w:t xml:space="preserve"> </w:t>
      </w:r>
      <w:r w:rsidRPr="00EC20A0">
        <w:t>counsel’s</w:t>
      </w:r>
      <w:r w:rsidRPr="00EC20A0">
        <w:rPr>
          <w:spacing w:val="-5"/>
        </w:rPr>
        <w:t xml:space="preserve"> </w:t>
      </w:r>
      <w:r w:rsidRPr="00EC20A0">
        <w:t>determinations, the auditor should obtain sufficient appropriate evidence to support the reasons for the d</w:t>
      </w:r>
      <w:r w:rsidRPr="00EC20A0">
        <w:t>ifferences.</w:t>
      </w:r>
    </w:p>
    <w:p w14:paraId="24D61E56" w14:textId="77777777" w:rsidR="00245300" w:rsidRPr="00EC20A0" w:rsidRDefault="00245300">
      <w:pPr>
        <w:pStyle w:val="BodyText"/>
        <w:spacing w:before="48"/>
      </w:pPr>
    </w:p>
    <w:p w14:paraId="24D61E57" w14:textId="77777777" w:rsidR="00245300" w:rsidRPr="00EC20A0" w:rsidRDefault="00F17249">
      <w:pPr>
        <w:pStyle w:val="Heading5"/>
        <w:spacing w:before="0"/>
        <w:rPr>
          <w:u w:val="none"/>
        </w:rPr>
      </w:pPr>
      <w:bookmarkStart w:id="398" w:name="Timing_of_Legal_Counsel_Requests_and_Res"/>
      <w:bookmarkEnd w:id="398"/>
      <w:r w:rsidRPr="00EC20A0">
        <w:t>Timing</w:t>
      </w:r>
      <w:r w:rsidRPr="00EC20A0">
        <w:rPr>
          <w:spacing w:val="-3"/>
        </w:rPr>
        <w:t xml:space="preserve"> </w:t>
      </w:r>
      <w:r w:rsidRPr="00EC20A0">
        <w:t>of</w:t>
      </w:r>
      <w:r w:rsidRPr="00EC20A0">
        <w:rPr>
          <w:spacing w:val="-5"/>
        </w:rPr>
        <w:t xml:space="preserve"> </w:t>
      </w:r>
      <w:r w:rsidRPr="00EC20A0">
        <w:t>Legal</w:t>
      </w:r>
      <w:r w:rsidRPr="00EC20A0">
        <w:rPr>
          <w:spacing w:val="-2"/>
        </w:rPr>
        <w:t xml:space="preserve"> </w:t>
      </w:r>
      <w:r w:rsidRPr="00EC20A0">
        <w:t>Counsel</w:t>
      </w:r>
      <w:r w:rsidRPr="00EC20A0">
        <w:rPr>
          <w:spacing w:val="-3"/>
        </w:rPr>
        <w:t xml:space="preserve"> </w:t>
      </w:r>
      <w:r w:rsidRPr="00EC20A0">
        <w:t>Requests</w:t>
      </w:r>
      <w:r w:rsidRPr="00EC20A0">
        <w:rPr>
          <w:spacing w:val="-3"/>
        </w:rPr>
        <w:t xml:space="preserve"> </w:t>
      </w:r>
      <w:r w:rsidRPr="00EC20A0">
        <w:t>and</w:t>
      </w:r>
      <w:r w:rsidRPr="00EC20A0">
        <w:rPr>
          <w:spacing w:val="-2"/>
        </w:rPr>
        <w:t xml:space="preserve"> Responses</w:t>
      </w:r>
    </w:p>
    <w:p w14:paraId="24D61E58" w14:textId="77777777" w:rsidR="00245300" w:rsidRPr="00EC20A0" w:rsidRDefault="00245300">
      <w:pPr>
        <w:pStyle w:val="BodyText"/>
        <w:spacing w:before="45"/>
        <w:rPr>
          <w:b/>
        </w:rPr>
      </w:pPr>
    </w:p>
    <w:p w14:paraId="24D61E59" w14:textId="77777777" w:rsidR="00245300" w:rsidRPr="00EC20A0" w:rsidRDefault="00F17249">
      <w:pPr>
        <w:pStyle w:val="ListParagraph"/>
        <w:numPr>
          <w:ilvl w:val="0"/>
          <w:numId w:val="66"/>
        </w:numPr>
        <w:tabs>
          <w:tab w:val="left" w:pos="1640"/>
        </w:tabs>
        <w:spacing w:before="0"/>
        <w:ind w:left="1640" w:right="528"/>
      </w:pPr>
      <w:r w:rsidRPr="00EC20A0">
        <w:t>Based on AU-C 501.A54, it is preferable that the legal counsel response be as close</w:t>
      </w:r>
      <w:r w:rsidRPr="00EC20A0">
        <w:rPr>
          <w:spacing w:val="-3"/>
        </w:rPr>
        <w:t xml:space="preserve"> </w:t>
      </w:r>
      <w:r w:rsidRPr="00EC20A0">
        <w:t>to</w:t>
      </w:r>
      <w:r w:rsidRPr="00EC20A0">
        <w:rPr>
          <w:spacing w:val="-3"/>
        </w:rPr>
        <w:t xml:space="preserve"> </w:t>
      </w:r>
      <w:r w:rsidRPr="00EC20A0">
        <w:t>the</w:t>
      </w:r>
      <w:r w:rsidRPr="00EC20A0">
        <w:rPr>
          <w:spacing w:val="-4"/>
        </w:rPr>
        <w:t xml:space="preserve"> </w:t>
      </w:r>
      <w:r w:rsidRPr="00EC20A0">
        <w:t>date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report</w:t>
      </w:r>
      <w:r w:rsidRPr="00EC20A0">
        <w:rPr>
          <w:spacing w:val="-3"/>
        </w:rPr>
        <w:t xml:space="preserve"> </w:t>
      </w:r>
      <w:r w:rsidRPr="00EC20A0">
        <w:t>as</w:t>
      </w:r>
      <w:r w:rsidRPr="00EC20A0">
        <w:rPr>
          <w:spacing w:val="-3"/>
        </w:rPr>
        <w:t xml:space="preserve"> </w:t>
      </w:r>
      <w:r w:rsidRPr="00EC20A0">
        <w:t>practicable</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circumstances,</w:t>
      </w:r>
      <w:r w:rsidRPr="00EC20A0">
        <w:rPr>
          <w:spacing w:val="-3"/>
        </w:rPr>
        <w:t xml:space="preserve"> </w:t>
      </w:r>
      <w:r w:rsidRPr="00EC20A0">
        <w:t xml:space="preserve">and the auditor may specify the effective date of the response to reasonably </w:t>
      </w:r>
      <w:r w:rsidRPr="00EC20A0">
        <w:t>approximate</w:t>
      </w:r>
      <w:r w:rsidRPr="00EC20A0">
        <w:rPr>
          <w:spacing w:val="-2"/>
        </w:rPr>
        <w:t xml:space="preserve"> </w:t>
      </w:r>
      <w:r w:rsidRPr="00EC20A0">
        <w:t>the</w:t>
      </w:r>
      <w:r w:rsidRPr="00EC20A0">
        <w:rPr>
          <w:spacing w:val="-2"/>
        </w:rPr>
        <w:t xml:space="preserve"> </w:t>
      </w:r>
      <w:r w:rsidRPr="00EC20A0">
        <w:t>date</w:t>
      </w:r>
      <w:r w:rsidRPr="00EC20A0">
        <w:rPr>
          <w:spacing w:val="-2"/>
        </w:rPr>
        <w:t xml:space="preserve"> </w:t>
      </w:r>
      <w:r w:rsidRPr="00EC20A0">
        <w:t>of</w:t>
      </w:r>
      <w:r w:rsidRPr="00EC20A0">
        <w:rPr>
          <w:spacing w:val="-2"/>
        </w:rPr>
        <w:t xml:space="preserve"> </w:t>
      </w:r>
      <w:r w:rsidRPr="00EC20A0">
        <w:t>the</w:t>
      </w:r>
      <w:r w:rsidRPr="00EC20A0">
        <w:rPr>
          <w:spacing w:val="-2"/>
        </w:rPr>
        <w:t xml:space="preserve"> </w:t>
      </w:r>
      <w:r w:rsidRPr="00EC20A0">
        <w:t>auditor’s</w:t>
      </w:r>
      <w:r w:rsidRPr="00EC20A0">
        <w:rPr>
          <w:spacing w:val="-3"/>
        </w:rPr>
        <w:t xml:space="preserve"> </w:t>
      </w:r>
      <w:r w:rsidRPr="00EC20A0">
        <w:t>report</w:t>
      </w:r>
      <w:r w:rsidRPr="00EC20A0">
        <w:rPr>
          <w:spacing w:val="-2"/>
        </w:rPr>
        <w:t xml:space="preserve"> </w:t>
      </w:r>
      <w:r w:rsidRPr="00EC20A0">
        <w:t>to</w:t>
      </w:r>
      <w:r w:rsidRPr="00EC20A0">
        <w:rPr>
          <w:spacing w:val="-2"/>
        </w:rPr>
        <w:t xml:space="preserve"> </w:t>
      </w:r>
      <w:r w:rsidRPr="00EC20A0">
        <w:t>avoid</w:t>
      </w:r>
      <w:r w:rsidRPr="00EC20A0">
        <w:rPr>
          <w:spacing w:val="-2"/>
        </w:rPr>
        <w:t xml:space="preserve"> </w:t>
      </w:r>
      <w:r w:rsidRPr="00EC20A0">
        <w:t>the</w:t>
      </w:r>
      <w:r w:rsidRPr="00EC20A0">
        <w:rPr>
          <w:spacing w:val="-2"/>
        </w:rPr>
        <w:t xml:space="preserve"> </w:t>
      </w:r>
      <w:r w:rsidRPr="00EC20A0">
        <w:t>need</w:t>
      </w:r>
      <w:r w:rsidRPr="00EC20A0">
        <w:rPr>
          <w:spacing w:val="-3"/>
        </w:rPr>
        <w:t xml:space="preserve"> </w:t>
      </w:r>
      <w:r w:rsidRPr="00EC20A0">
        <w:t>to</w:t>
      </w:r>
      <w:r w:rsidRPr="00EC20A0">
        <w:rPr>
          <w:spacing w:val="-2"/>
        </w:rPr>
        <w:t xml:space="preserve"> </w:t>
      </w:r>
      <w:r w:rsidRPr="00EC20A0">
        <w:t>obtain</w:t>
      </w:r>
      <w:r w:rsidRPr="00EC20A0">
        <w:rPr>
          <w:spacing w:val="-2"/>
        </w:rPr>
        <w:t xml:space="preserve"> </w:t>
      </w:r>
      <w:r w:rsidRPr="00EC20A0">
        <w:t>updated</w:t>
      </w:r>
    </w:p>
    <w:p w14:paraId="24D61E5A" w14:textId="77777777" w:rsidR="00245300" w:rsidRPr="00EC20A0" w:rsidRDefault="00245300">
      <w:pPr>
        <w:sectPr w:rsidR="00245300" w:rsidRPr="00EC20A0">
          <w:pgSz w:w="12240" w:h="15840"/>
          <w:pgMar w:top="1340" w:right="1100" w:bottom="1020" w:left="1240" w:header="721" w:footer="757" w:gutter="0"/>
          <w:cols w:space="720"/>
        </w:sectPr>
      </w:pPr>
    </w:p>
    <w:p w14:paraId="24D61E5B" w14:textId="77777777" w:rsidR="00245300" w:rsidRPr="00EC20A0" w:rsidRDefault="00F17249">
      <w:pPr>
        <w:pStyle w:val="BodyText"/>
        <w:spacing w:before="121"/>
        <w:ind w:left="1639" w:right="345"/>
      </w:pPr>
      <w:r w:rsidRPr="00EC20A0">
        <w:t>information from legal counsel. Based on AU-C 501.A55, the auditor may also specify the earliest acceptable effective date of the legal counsel response and the latest date by which it is to be sent to the auditor. If the effective date of the legal</w:t>
      </w:r>
      <w:r w:rsidRPr="00EC20A0">
        <w:rPr>
          <w:spacing w:val="-3"/>
        </w:rPr>
        <w:t xml:space="preserve"> </w:t>
      </w:r>
      <w:r w:rsidRPr="00EC20A0">
        <w:t>counsel</w:t>
      </w:r>
      <w:r w:rsidRPr="00EC20A0">
        <w:rPr>
          <w:spacing w:val="-3"/>
        </w:rPr>
        <w:t xml:space="preserve"> </w:t>
      </w:r>
      <w:r w:rsidRPr="00EC20A0">
        <w:t>response</w:t>
      </w:r>
      <w:r w:rsidRPr="00EC20A0">
        <w:rPr>
          <w:spacing w:val="-4"/>
        </w:rPr>
        <w:t xml:space="preserve"> </w:t>
      </w:r>
      <w:r w:rsidRPr="00EC20A0">
        <w:t>is</w:t>
      </w:r>
      <w:r w:rsidRPr="00EC20A0">
        <w:rPr>
          <w:spacing w:val="-3"/>
        </w:rPr>
        <w:t xml:space="preserve"> </w:t>
      </w:r>
      <w:r w:rsidRPr="00EC20A0">
        <w:t>substantially</w:t>
      </w:r>
      <w:r w:rsidRPr="00EC20A0">
        <w:rPr>
          <w:spacing w:val="-3"/>
        </w:rPr>
        <w:t xml:space="preserve"> </w:t>
      </w:r>
      <w:r w:rsidRPr="00EC20A0">
        <w:t>in</w:t>
      </w:r>
      <w:r w:rsidRPr="00EC20A0">
        <w:rPr>
          <w:spacing w:val="-3"/>
        </w:rPr>
        <w:t xml:space="preserve"> </w:t>
      </w:r>
      <w:r w:rsidRPr="00EC20A0">
        <w:t>advance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report</w:t>
      </w:r>
      <w:r w:rsidRPr="00EC20A0">
        <w:rPr>
          <w:spacing w:val="-4"/>
        </w:rPr>
        <w:t xml:space="preserve"> </w:t>
      </w:r>
      <w:r w:rsidRPr="00EC20A0">
        <w:t>date</w:t>
      </w:r>
      <w:r w:rsidRPr="00EC20A0">
        <w:rPr>
          <w:spacing w:val="-3"/>
        </w:rPr>
        <w:t xml:space="preserve"> </w:t>
      </w:r>
      <w:r w:rsidRPr="00EC20A0">
        <w:t>(for example, earlier than 2 weeks before this date), the auditor should obtain an updated legal counsel response.</w:t>
      </w:r>
    </w:p>
    <w:p w14:paraId="24D61E5C" w14:textId="77777777" w:rsidR="00245300" w:rsidRPr="00EC20A0" w:rsidRDefault="00F17249">
      <w:pPr>
        <w:pStyle w:val="ListParagraph"/>
        <w:numPr>
          <w:ilvl w:val="0"/>
          <w:numId w:val="66"/>
        </w:numPr>
        <w:tabs>
          <w:tab w:val="left" w:pos="1639"/>
        </w:tabs>
        <w:ind w:right="433" w:hanging="719"/>
        <w:rPr>
          <w:sz w:val="14"/>
        </w:rPr>
      </w:pPr>
      <w:r w:rsidRPr="00EC20A0">
        <w:t>To</w:t>
      </w:r>
      <w:r w:rsidRPr="00EC20A0">
        <w:rPr>
          <w:spacing w:val="-3"/>
        </w:rPr>
        <w:t xml:space="preserve"> </w:t>
      </w:r>
      <w:r w:rsidRPr="00EC20A0">
        <w:t>assist</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in</w:t>
      </w:r>
      <w:r w:rsidRPr="00EC20A0">
        <w:rPr>
          <w:spacing w:val="-4"/>
        </w:rPr>
        <w:t xml:space="preserve"> </w:t>
      </w:r>
      <w:r w:rsidRPr="00EC20A0">
        <w:t>completing</w:t>
      </w:r>
      <w:r w:rsidRPr="00EC20A0">
        <w:rPr>
          <w:spacing w:val="-3"/>
        </w:rPr>
        <w:t xml:space="preserve"> </w:t>
      </w:r>
      <w:r w:rsidRPr="00EC20A0">
        <w:t>the</w:t>
      </w:r>
      <w:r w:rsidRPr="00EC20A0">
        <w:rPr>
          <w:spacing w:val="-3"/>
        </w:rPr>
        <w:t xml:space="preserve"> </w:t>
      </w:r>
      <w:r w:rsidRPr="00EC20A0">
        <w:t>review</w:t>
      </w:r>
      <w:r w:rsidRPr="00EC20A0">
        <w:rPr>
          <w:spacing w:val="-4"/>
        </w:rPr>
        <w:t xml:space="preserve"> </w:t>
      </w:r>
      <w:r w:rsidRPr="00EC20A0">
        <w:t>of</w:t>
      </w:r>
      <w:r w:rsidRPr="00EC20A0">
        <w:rPr>
          <w:spacing w:val="-4"/>
        </w:rPr>
        <w:t xml:space="preserve"> </w:t>
      </w:r>
      <w:r w:rsidRPr="00EC20A0">
        <w:t>legal</w:t>
      </w:r>
      <w:r w:rsidRPr="00EC20A0">
        <w:rPr>
          <w:spacing w:val="-3"/>
        </w:rPr>
        <w:t xml:space="preserve"> </w:t>
      </w:r>
      <w:r w:rsidRPr="00EC20A0">
        <w:t>matters</w:t>
      </w:r>
      <w:r w:rsidRPr="00EC20A0">
        <w:rPr>
          <w:spacing w:val="-3"/>
        </w:rPr>
        <w:t xml:space="preserve"> </w:t>
      </w:r>
      <w:r w:rsidRPr="00EC20A0">
        <w:t>in</w:t>
      </w:r>
      <w:r w:rsidRPr="00EC20A0">
        <w:rPr>
          <w:spacing w:val="-3"/>
        </w:rPr>
        <w:t xml:space="preserve"> </w:t>
      </w:r>
      <w:r w:rsidRPr="00EC20A0">
        <w:t>a</w:t>
      </w:r>
      <w:r w:rsidRPr="00EC20A0">
        <w:rPr>
          <w:spacing w:val="-3"/>
        </w:rPr>
        <w:t xml:space="preserve"> </w:t>
      </w:r>
      <w:r w:rsidRPr="00EC20A0">
        <w:t>timely</w:t>
      </w:r>
      <w:r w:rsidRPr="00EC20A0">
        <w:rPr>
          <w:spacing w:val="-4"/>
        </w:rPr>
        <w:t xml:space="preserve"> </w:t>
      </w:r>
      <w:r w:rsidRPr="00EC20A0">
        <w:t xml:space="preserve">manner (and to assist management in preparing the financial statements), the auditor may ask management to request that legal counsel submit a preliminary or interim response covering matters that existed at an interim date so that a preliminary evaluation of the significance of material legal matters can be made. This is particularly applicable to large entities with numerous and complex </w:t>
      </w:r>
      <w:r w:rsidRPr="00EC20A0">
        <w:rPr>
          <w:spacing w:val="-2"/>
        </w:rPr>
        <w:t>cases.</w:t>
      </w:r>
      <w:hyperlink w:anchor="_bookmark221" w:history="1">
        <w:r w:rsidRPr="00EC20A0">
          <w:rPr>
            <w:spacing w:val="-2"/>
            <w:position w:val="7"/>
            <w:sz w:val="14"/>
          </w:rPr>
          <w:t>11</w:t>
        </w:r>
      </w:hyperlink>
    </w:p>
    <w:p w14:paraId="24D61E5D" w14:textId="77777777" w:rsidR="00245300" w:rsidRPr="00EC20A0" w:rsidRDefault="00F17249">
      <w:pPr>
        <w:pStyle w:val="BodyText"/>
        <w:spacing w:before="239"/>
        <w:ind w:left="1639" w:right="381"/>
      </w:pPr>
      <w:r w:rsidRPr="00EC20A0">
        <w:t>If an interim response is used, the auditor should ask management to request that legal counsel submit a final or updated response covering matters from the interim date through a date as close to the auditor’s report date as practicable in the circumstances. Management should request that the updated response contain only changes and any new matters or a statement indicating that there are</w:t>
      </w:r>
      <w:r w:rsidRPr="00EC20A0">
        <w:rPr>
          <w:spacing w:val="-3"/>
        </w:rPr>
        <w:t xml:space="preserve"> </w:t>
      </w:r>
      <w:r w:rsidRPr="00EC20A0">
        <w:t>no</w:t>
      </w:r>
      <w:r w:rsidRPr="00EC20A0">
        <w:rPr>
          <w:spacing w:val="-3"/>
        </w:rPr>
        <w:t xml:space="preserve"> </w:t>
      </w:r>
      <w:r w:rsidRPr="00EC20A0">
        <w:t>changes</w:t>
      </w:r>
      <w:r w:rsidRPr="00EC20A0">
        <w:rPr>
          <w:spacing w:val="-3"/>
        </w:rPr>
        <w:t xml:space="preserve"> </w:t>
      </w:r>
      <w:r w:rsidRPr="00EC20A0">
        <w:t>or</w:t>
      </w:r>
      <w:r w:rsidRPr="00EC20A0">
        <w:rPr>
          <w:spacing w:val="-3"/>
        </w:rPr>
        <w:t xml:space="preserve"> </w:t>
      </w:r>
      <w:r w:rsidRPr="00EC20A0">
        <w:t>new</w:t>
      </w:r>
      <w:r w:rsidRPr="00EC20A0">
        <w:rPr>
          <w:spacing w:val="-4"/>
        </w:rPr>
        <w:t xml:space="preserve"> </w:t>
      </w:r>
      <w:r w:rsidRPr="00EC20A0">
        <w:t>matters</w:t>
      </w:r>
      <w:r w:rsidRPr="00EC20A0">
        <w:rPr>
          <w:spacing w:val="-3"/>
        </w:rPr>
        <w:t xml:space="preserve"> </w:t>
      </w:r>
      <w:r w:rsidRPr="00EC20A0">
        <w:t>from</w:t>
      </w:r>
      <w:r w:rsidRPr="00EC20A0">
        <w:rPr>
          <w:spacing w:val="-4"/>
        </w:rPr>
        <w:t xml:space="preserve"> </w:t>
      </w:r>
      <w:r w:rsidRPr="00EC20A0">
        <w:t>the</w:t>
      </w:r>
      <w:r w:rsidRPr="00EC20A0">
        <w:rPr>
          <w:spacing w:val="-3"/>
        </w:rPr>
        <w:t xml:space="preserve"> </w:t>
      </w:r>
      <w:r w:rsidRPr="00EC20A0">
        <w:t>interim</w:t>
      </w:r>
      <w:r w:rsidRPr="00EC20A0">
        <w:rPr>
          <w:spacing w:val="-4"/>
        </w:rPr>
        <w:t xml:space="preserve"> </w:t>
      </w:r>
      <w:r w:rsidRPr="00EC20A0">
        <w:t>response</w:t>
      </w:r>
      <w:r w:rsidRPr="00EC20A0">
        <w:rPr>
          <w:spacing w:val="-3"/>
        </w:rPr>
        <w:t xml:space="preserve"> </w:t>
      </w:r>
      <w:r w:rsidRPr="00EC20A0">
        <w:t>through</w:t>
      </w:r>
      <w:r w:rsidRPr="00EC20A0">
        <w:rPr>
          <w:spacing w:val="-3"/>
        </w:rPr>
        <w:t xml:space="preserve"> </w:t>
      </w:r>
      <w:r w:rsidRPr="00EC20A0">
        <w:t>the</w:t>
      </w:r>
      <w:r w:rsidRPr="00EC20A0">
        <w:rPr>
          <w:spacing w:val="-4"/>
        </w:rPr>
        <w:t xml:space="preserve"> </w:t>
      </w:r>
      <w:r w:rsidRPr="00EC20A0">
        <w:t>date</w:t>
      </w:r>
      <w:r w:rsidRPr="00EC20A0">
        <w:rPr>
          <w:spacing w:val="-3"/>
        </w:rPr>
        <w:t xml:space="preserve"> </w:t>
      </w:r>
      <w:r w:rsidRPr="00EC20A0">
        <w:t>of</w:t>
      </w:r>
      <w:r w:rsidRPr="00EC20A0">
        <w:rPr>
          <w:spacing w:val="-3"/>
        </w:rPr>
        <w:t xml:space="preserve"> </w:t>
      </w:r>
      <w:r w:rsidRPr="00EC20A0">
        <w:t>the updated response. See FAM 1002 B for an example legal counsel request that includes requests for interim and updated responses from legal counsel.</w:t>
      </w:r>
    </w:p>
    <w:p w14:paraId="24D61E5E" w14:textId="77777777" w:rsidR="00245300" w:rsidRPr="00EC20A0" w:rsidRDefault="00F17249">
      <w:pPr>
        <w:pStyle w:val="ListParagraph"/>
        <w:numPr>
          <w:ilvl w:val="0"/>
          <w:numId w:val="66"/>
        </w:numPr>
        <w:tabs>
          <w:tab w:val="left" w:pos="1638"/>
        </w:tabs>
        <w:spacing w:before="241"/>
        <w:ind w:left="1638" w:right="407" w:hanging="720"/>
      </w:pPr>
      <w:r w:rsidRPr="00EC20A0">
        <w:t>The auditor may determine that it is appropriate to make inquiries of legal counsel</w:t>
      </w:r>
      <w:r w:rsidRPr="00EC20A0">
        <w:rPr>
          <w:spacing w:val="-4"/>
        </w:rPr>
        <w:t xml:space="preserve"> </w:t>
      </w:r>
      <w:r w:rsidRPr="00EC20A0">
        <w:t>and</w:t>
      </w:r>
      <w:r w:rsidRPr="00EC20A0">
        <w:rPr>
          <w:spacing w:val="-5"/>
        </w:rPr>
        <w:t xml:space="preserve"> </w:t>
      </w:r>
      <w:r w:rsidRPr="00EC20A0">
        <w:t>document</w:t>
      </w:r>
      <w:r w:rsidRPr="00EC20A0">
        <w:rPr>
          <w:spacing w:val="-4"/>
        </w:rPr>
        <w:t xml:space="preserve"> </w:t>
      </w:r>
      <w:r w:rsidRPr="00EC20A0">
        <w:t>whether</w:t>
      </w:r>
      <w:r w:rsidRPr="00EC20A0">
        <w:rPr>
          <w:spacing w:val="-4"/>
        </w:rPr>
        <w:t xml:space="preserve"> </w:t>
      </w:r>
      <w:r w:rsidRPr="00EC20A0">
        <w:t>material</w:t>
      </w:r>
      <w:r w:rsidRPr="00EC20A0">
        <w:rPr>
          <w:spacing w:val="-4"/>
        </w:rPr>
        <w:t xml:space="preserve"> </w:t>
      </w:r>
      <w:r w:rsidRPr="00EC20A0">
        <w:t>changes</w:t>
      </w:r>
      <w:r w:rsidRPr="00EC20A0">
        <w:rPr>
          <w:spacing w:val="-4"/>
        </w:rPr>
        <w:t xml:space="preserve"> </w:t>
      </w:r>
      <w:r w:rsidRPr="00EC20A0">
        <w:t>have</w:t>
      </w:r>
      <w:r w:rsidRPr="00EC20A0">
        <w:rPr>
          <w:spacing w:val="-4"/>
        </w:rPr>
        <w:t xml:space="preserve"> </w:t>
      </w:r>
      <w:r w:rsidRPr="00EC20A0">
        <w:t>occurred</w:t>
      </w:r>
      <w:r w:rsidRPr="00EC20A0">
        <w:rPr>
          <w:spacing w:val="-4"/>
        </w:rPr>
        <w:t xml:space="preserve"> </w:t>
      </w:r>
      <w:r w:rsidRPr="00EC20A0">
        <w:t>from</w:t>
      </w:r>
      <w:r w:rsidRPr="00EC20A0">
        <w:rPr>
          <w:spacing w:val="-5"/>
        </w:rPr>
        <w:t xml:space="preserve"> </w:t>
      </w:r>
      <w:r w:rsidRPr="00EC20A0">
        <w:t>the</w:t>
      </w:r>
      <w:r w:rsidRPr="00EC20A0">
        <w:rPr>
          <w:spacing w:val="-4"/>
        </w:rPr>
        <w:t xml:space="preserve"> </w:t>
      </w:r>
      <w:r w:rsidRPr="00EC20A0">
        <w:t>date</w:t>
      </w:r>
      <w:r w:rsidRPr="00EC20A0">
        <w:rPr>
          <w:spacing w:val="-4"/>
        </w:rPr>
        <w:t xml:space="preserve"> </w:t>
      </w:r>
      <w:r w:rsidRPr="00EC20A0">
        <w:t>of the legal counsel response or updated response to the date of the auditor’s report. However, if the auditor becomes aware of new matters or aware of material</w:t>
      </w:r>
      <w:r w:rsidRPr="00EC20A0">
        <w:rPr>
          <w:spacing w:val="-3"/>
        </w:rPr>
        <w:t xml:space="preserve"> </w:t>
      </w:r>
      <w:r w:rsidRPr="00EC20A0">
        <w:t>changes</w:t>
      </w:r>
      <w:r w:rsidRPr="00EC20A0">
        <w:rPr>
          <w:spacing w:val="-3"/>
        </w:rPr>
        <w:t xml:space="preserve"> </w:t>
      </w:r>
      <w:r w:rsidRPr="00EC20A0">
        <w:t>in</w:t>
      </w:r>
      <w:r w:rsidRPr="00EC20A0">
        <w:rPr>
          <w:spacing w:val="-3"/>
        </w:rPr>
        <w:t xml:space="preserve"> </w:t>
      </w:r>
      <w:r w:rsidRPr="00EC20A0">
        <w:t>the</w:t>
      </w:r>
      <w:r w:rsidRPr="00EC20A0">
        <w:rPr>
          <w:spacing w:val="-4"/>
        </w:rPr>
        <w:t xml:space="preserve"> </w:t>
      </w:r>
      <w:r w:rsidRPr="00EC20A0">
        <w:t>status</w:t>
      </w:r>
      <w:r w:rsidRPr="00EC20A0">
        <w:rPr>
          <w:spacing w:val="-3"/>
        </w:rPr>
        <w:t xml:space="preserve"> </w:t>
      </w:r>
      <w:r w:rsidRPr="00EC20A0">
        <w:t>of</w:t>
      </w:r>
      <w:r w:rsidRPr="00EC20A0">
        <w:rPr>
          <w:spacing w:val="-3"/>
        </w:rPr>
        <w:t xml:space="preserve"> </w:t>
      </w:r>
      <w:r w:rsidRPr="00EC20A0">
        <w:t>existing</w:t>
      </w:r>
      <w:r w:rsidRPr="00EC20A0">
        <w:rPr>
          <w:spacing w:val="-3"/>
        </w:rPr>
        <w:t xml:space="preserve"> </w:t>
      </w:r>
      <w:r w:rsidRPr="00EC20A0">
        <w:t>matters</w:t>
      </w:r>
      <w:r w:rsidRPr="00EC20A0">
        <w:rPr>
          <w:spacing w:val="-3"/>
        </w:rPr>
        <w:t xml:space="preserve"> </w:t>
      </w:r>
      <w:r w:rsidRPr="00EC20A0">
        <w:t>or</w:t>
      </w:r>
      <w:r w:rsidRPr="00EC20A0">
        <w:rPr>
          <w:spacing w:val="-3"/>
        </w:rPr>
        <w:t xml:space="preserve"> </w:t>
      </w:r>
      <w:r w:rsidRPr="00EC20A0">
        <w:t>management’s</w:t>
      </w:r>
      <w:r w:rsidRPr="00EC20A0">
        <w:rPr>
          <w:spacing w:val="-3"/>
        </w:rPr>
        <w:t xml:space="preserve"> </w:t>
      </w:r>
      <w:r w:rsidRPr="00EC20A0">
        <w:t>evaluation</w:t>
      </w:r>
      <w:r w:rsidRPr="00EC20A0">
        <w:rPr>
          <w:spacing w:val="-3"/>
        </w:rPr>
        <w:t xml:space="preserve"> </w:t>
      </w:r>
      <w:r w:rsidRPr="00EC20A0">
        <w:t xml:space="preserve">of the outcome, the auditor should obtain a written </w:t>
      </w:r>
      <w:r w:rsidRPr="00EC20A0">
        <w:t>confirmation or updated response from legal counsel.</w:t>
      </w:r>
    </w:p>
    <w:p w14:paraId="24D61E5F" w14:textId="77777777" w:rsidR="00245300" w:rsidRPr="00EC20A0" w:rsidRDefault="00F17249">
      <w:pPr>
        <w:pStyle w:val="ListParagraph"/>
        <w:numPr>
          <w:ilvl w:val="0"/>
          <w:numId w:val="66"/>
        </w:numPr>
        <w:tabs>
          <w:tab w:val="left" w:pos="1638"/>
        </w:tabs>
        <w:ind w:left="1638" w:right="381" w:hanging="720"/>
      </w:pPr>
      <w:r w:rsidRPr="00EC20A0">
        <w:t>To</w:t>
      </w:r>
      <w:r w:rsidRPr="00EC20A0">
        <w:rPr>
          <w:spacing w:val="-4"/>
        </w:rPr>
        <w:t xml:space="preserve"> </w:t>
      </w:r>
      <w:r w:rsidRPr="00EC20A0">
        <w:t>meet</w:t>
      </w:r>
      <w:r w:rsidRPr="00EC20A0">
        <w:rPr>
          <w:spacing w:val="-4"/>
        </w:rPr>
        <w:t xml:space="preserve"> </w:t>
      </w:r>
      <w:r w:rsidRPr="00EC20A0">
        <w:t>deadlines,</w:t>
      </w:r>
      <w:r w:rsidRPr="00EC20A0">
        <w:rPr>
          <w:spacing w:val="-4"/>
        </w:rPr>
        <w:t xml:space="preserve"> </w:t>
      </w:r>
      <w:r w:rsidRPr="00EC20A0">
        <w:t>the</w:t>
      </w:r>
      <w:r w:rsidRPr="00EC20A0">
        <w:rPr>
          <w:spacing w:val="-5"/>
        </w:rPr>
        <w:t xml:space="preserve"> </w:t>
      </w:r>
      <w:r w:rsidRPr="00EC20A0">
        <w:t>auditor,</w:t>
      </w:r>
      <w:r w:rsidRPr="00EC20A0">
        <w:rPr>
          <w:spacing w:val="-4"/>
        </w:rPr>
        <w:t xml:space="preserve"> </w:t>
      </w:r>
      <w:r w:rsidRPr="00EC20A0">
        <w:t>management,</w:t>
      </w:r>
      <w:r w:rsidRPr="00EC20A0">
        <w:rPr>
          <w:spacing w:val="-4"/>
        </w:rPr>
        <w:t xml:space="preserve"> </w:t>
      </w:r>
      <w:r w:rsidRPr="00EC20A0">
        <w:t>and</w:t>
      </w:r>
      <w:r w:rsidRPr="00EC20A0">
        <w:rPr>
          <w:spacing w:val="-4"/>
        </w:rPr>
        <w:t xml:space="preserve"> </w:t>
      </w:r>
      <w:r w:rsidRPr="00EC20A0">
        <w:t>legal</w:t>
      </w:r>
      <w:r w:rsidRPr="00EC20A0">
        <w:rPr>
          <w:spacing w:val="-4"/>
        </w:rPr>
        <w:t xml:space="preserve"> </w:t>
      </w:r>
      <w:r w:rsidRPr="00EC20A0">
        <w:t>counsel</w:t>
      </w:r>
      <w:r w:rsidRPr="00EC20A0">
        <w:rPr>
          <w:spacing w:val="-4"/>
        </w:rPr>
        <w:t xml:space="preserve"> </w:t>
      </w:r>
      <w:r w:rsidRPr="00EC20A0">
        <w:t>generally</w:t>
      </w:r>
      <w:r w:rsidRPr="00EC20A0">
        <w:rPr>
          <w:spacing w:val="-4"/>
        </w:rPr>
        <w:t xml:space="preserve"> </w:t>
      </w:r>
      <w:r w:rsidRPr="00EC20A0">
        <w:t xml:space="preserve">should coordinate the timing of legal counsel requests, responses (including interim responses), and related management schedules. The auditor and management should determine the due dates for responses from component units for the entity’s financial statements as well as for the U.S. government’s consolidated financial statements. In setting the due dates, the auditor and management generally should consult with Justice’s legal counsel, </w:t>
      </w:r>
      <w:r w:rsidRPr="00EC20A0">
        <w:t>if applicable.</w:t>
      </w:r>
    </w:p>
    <w:p w14:paraId="24D61E60" w14:textId="77777777" w:rsidR="00245300" w:rsidRPr="00EC20A0" w:rsidRDefault="00F17249">
      <w:pPr>
        <w:pStyle w:val="BodyText"/>
        <w:spacing w:before="239"/>
        <w:ind w:left="1640" w:right="345"/>
      </w:pPr>
      <w:r w:rsidRPr="00EC20A0">
        <w:t>In addition, for audits of group financial statements, the group auditor and component auditor generally should coordinate the timing of legal counsel requests, responses, and management schedules, and determine the due dates for</w:t>
      </w:r>
      <w:r w:rsidRPr="00EC20A0">
        <w:rPr>
          <w:spacing w:val="-1"/>
        </w:rPr>
        <w:t xml:space="preserve"> </w:t>
      </w:r>
      <w:r w:rsidRPr="00EC20A0">
        <w:t>the</w:t>
      </w:r>
      <w:r w:rsidRPr="00EC20A0">
        <w:rPr>
          <w:spacing w:val="-1"/>
        </w:rPr>
        <w:t xml:space="preserve"> </w:t>
      </w:r>
      <w:r w:rsidRPr="00EC20A0">
        <w:t>component</w:t>
      </w:r>
      <w:r w:rsidRPr="00EC20A0">
        <w:rPr>
          <w:spacing w:val="-1"/>
        </w:rPr>
        <w:t xml:space="preserve"> </w:t>
      </w:r>
      <w:r w:rsidRPr="00EC20A0">
        <w:t>financial</w:t>
      </w:r>
      <w:r w:rsidRPr="00EC20A0">
        <w:rPr>
          <w:spacing w:val="-1"/>
        </w:rPr>
        <w:t xml:space="preserve"> </w:t>
      </w:r>
      <w:r w:rsidRPr="00EC20A0">
        <w:t>statements</w:t>
      </w:r>
      <w:r w:rsidRPr="00EC20A0">
        <w:rPr>
          <w:spacing w:val="-1"/>
        </w:rPr>
        <w:t xml:space="preserve"> </w:t>
      </w:r>
      <w:r w:rsidRPr="00EC20A0">
        <w:t>as</w:t>
      </w:r>
      <w:r w:rsidRPr="00EC20A0">
        <w:rPr>
          <w:spacing w:val="-1"/>
        </w:rPr>
        <w:t xml:space="preserve"> </w:t>
      </w:r>
      <w:r w:rsidRPr="00EC20A0">
        <w:t>well</w:t>
      </w:r>
      <w:r w:rsidRPr="00EC20A0">
        <w:rPr>
          <w:spacing w:val="-1"/>
        </w:rPr>
        <w:t xml:space="preserve"> </w:t>
      </w:r>
      <w:r w:rsidRPr="00EC20A0">
        <w:t>as</w:t>
      </w:r>
      <w:r w:rsidRPr="00EC20A0">
        <w:rPr>
          <w:spacing w:val="-2"/>
        </w:rPr>
        <w:t xml:space="preserve"> </w:t>
      </w:r>
      <w:r w:rsidRPr="00EC20A0">
        <w:t>the</w:t>
      </w:r>
      <w:r w:rsidRPr="00EC20A0">
        <w:rPr>
          <w:spacing w:val="-1"/>
        </w:rPr>
        <w:t xml:space="preserve"> </w:t>
      </w:r>
      <w:r w:rsidRPr="00EC20A0">
        <w:t>group</w:t>
      </w:r>
      <w:r w:rsidRPr="00EC20A0">
        <w:rPr>
          <w:spacing w:val="-1"/>
        </w:rPr>
        <w:t xml:space="preserve"> </w:t>
      </w:r>
      <w:r w:rsidRPr="00EC20A0">
        <w:t>financial</w:t>
      </w:r>
      <w:r w:rsidRPr="00EC20A0">
        <w:rPr>
          <w:spacing w:val="-1"/>
        </w:rPr>
        <w:t xml:space="preserve"> </w:t>
      </w:r>
      <w:r w:rsidRPr="00EC20A0">
        <w:t>statements. The</w:t>
      </w:r>
      <w:r w:rsidRPr="00EC20A0">
        <w:rPr>
          <w:spacing w:val="-4"/>
        </w:rPr>
        <w:t xml:space="preserve"> </w:t>
      </w:r>
      <w:r w:rsidRPr="00EC20A0">
        <w:t>group</w:t>
      </w:r>
      <w:r w:rsidRPr="00EC20A0">
        <w:rPr>
          <w:spacing w:val="-4"/>
        </w:rPr>
        <w:t xml:space="preserve"> </w:t>
      </w:r>
      <w:r w:rsidRPr="00EC20A0">
        <w:t>auditor</w:t>
      </w:r>
      <w:r w:rsidRPr="00EC20A0">
        <w:rPr>
          <w:spacing w:val="-4"/>
        </w:rPr>
        <w:t xml:space="preserve"> </w:t>
      </w:r>
      <w:r w:rsidRPr="00EC20A0">
        <w:t>generally</w:t>
      </w:r>
      <w:r w:rsidRPr="00EC20A0">
        <w:rPr>
          <w:spacing w:val="-4"/>
        </w:rPr>
        <w:t xml:space="preserve"> </w:t>
      </w:r>
      <w:r w:rsidRPr="00EC20A0">
        <w:t>should</w:t>
      </w:r>
      <w:r w:rsidRPr="00EC20A0">
        <w:rPr>
          <w:spacing w:val="-4"/>
        </w:rPr>
        <w:t xml:space="preserve"> </w:t>
      </w:r>
      <w:r w:rsidRPr="00EC20A0">
        <w:t>receive</w:t>
      </w:r>
      <w:r w:rsidRPr="00EC20A0">
        <w:rPr>
          <w:spacing w:val="-4"/>
        </w:rPr>
        <w:t xml:space="preserve"> </w:t>
      </w:r>
      <w:r w:rsidRPr="00EC20A0">
        <w:t>copies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legal</w:t>
      </w:r>
      <w:r w:rsidRPr="00EC20A0">
        <w:rPr>
          <w:spacing w:val="-4"/>
        </w:rPr>
        <w:t xml:space="preserve"> </w:t>
      </w:r>
      <w:r w:rsidRPr="00EC20A0">
        <w:t>counsel</w:t>
      </w:r>
      <w:r w:rsidRPr="00EC20A0">
        <w:rPr>
          <w:spacing w:val="-5"/>
        </w:rPr>
        <w:t xml:space="preserve"> </w:t>
      </w:r>
      <w:r w:rsidRPr="00EC20A0">
        <w:t xml:space="preserve">responses and management schedules from the component </w:t>
      </w:r>
      <w:r w:rsidRPr="00EC20A0">
        <w:t>auditors by these due dates.</w:t>
      </w:r>
    </w:p>
    <w:p w14:paraId="24D61E61" w14:textId="77777777" w:rsidR="00245300" w:rsidRPr="00EC20A0" w:rsidRDefault="00245300">
      <w:pPr>
        <w:pStyle w:val="BodyText"/>
        <w:rPr>
          <w:sz w:val="20"/>
        </w:rPr>
      </w:pPr>
    </w:p>
    <w:p w14:paraId="24D61E62" w14:textId="77777777" w:rsidR="00245300" w:rsidRPr="00EC20A0" w:rsidRDefault="00245300">
      <w:pPr>
        <w:pStyle w:val="BodyText"/>
        <w:rPr>
          <w:sz w:val="20"/>
        </w:rPr>
      </w:pPr>
    </w:p>
    <w:p w14:paraId="24D61E63" w14:textId="77777777" w:rsidR="00245300" w:rsidRPr="00EC20A0" w:rsidRDefault="00F17249">
      <w:pPr>
        <w:pStyle w:val="BodyText"/>
        <w:spacing w:before="7"/>
        <w:rPr>
          <w:sz w:val="20"/>
        </w:rPr>
      </w:pPr>
      <w:r w:rsidRPr="00EC20A0">
        <w:rPr>
          <w:noProof/>
        </w:rPr>
        <mc:AlternateContent>
          <mc:Choice Requires="wps">
            <w:drawing>
              <wp:anchor distT="0" distB="0" distL="0" distR="0" simplePos="0" relativeHeight="487726592" behindDoc="1" locked="0" layoutInCell="1" allowOverlap="1" wp14:anchorId="24D62CD3" wp14:editId="24D62CD4">
                <wp:simplePos x="0" y="0"/>
                <wp:positionH relativeFrom="page">
                  <wp:posOffset>914400</wp:posOffset>
                </wp:positionH>
                <wp:positionV relativeFrom="paragraph">
                  <wp:posOffset>166319</wp:posOffset>
                </wp:positionV>
                <wp:extent cx="1828800" cy="5715"/>
                <wp:effectExtent l="0" t="0" r="0" b="0"/>
                <wp:wrapTopAndBottom/>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632C9" id="Graphic 942" o:spid="_x0000_s1026" style="position:absolute;margin-left:1in;margin-top:13.1pt;width:2in;height:.45pt;z-index:-155898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" path="m1828800,l,,,5333r1828800,l1828800,xe" fillcolor="black" stroked="f">
                <v:path arrowok="t"/>
                <w10:wrap type="topAndBottom" anchorx="page"/>
              </v:shape>
            </w:pict>
          </mc:Fallback>
        </mc:AlternateContent>
      </w:r>
    </w:p>
    <w:p w14:paraId="24D61E64" w14:textId="77777777" w:rsidR="00245300" w:rsidRPr="00EC20A0" w:rsidRDefault="00F17249">
      <w:pPr>
        <w:spacing w:before="200" w:line="249" w:lineRule="auto"/>
        <w:ind w:left="199" w:right="337"/>
        <w:rPr>
          <w:sz w:val="18"/>
        </w:rPr>
      </w:pPr>
      <w:bookmarkStart w:id="399" w:name="_bookmark221"/>
      <w:bookmarkEnd w:id="399"/>
      <w:r w:rsidRPr="00EC20A0">
        <w:rPr>
          <w:position w:val="7"/>
          <w:sz w:val="14"/>
        </w:rPr>
        <w:t>11</w:t>
      </w:r>
      <w:r w:rsidRPr="00EC20A0">
        <w:rPr>
          <w:sz w:val="18"/>
        </w:rPr>
        <w:t>The</w:t>
      </w:r>
      <w:r w:rsidRPr="00EC20A0">
        <w:rPr>
          <w:spacing w:val="-4"/>
          <w:sz w:val="18"/>
        </w:rPr>
        <w:t xml:space="preserve"> </w:t>
      </w:r>
      <w:r w:rsidRPr="00EC20A0">
        <w:rPr>
          <w:i/>
          <w:sz w:val="18"/>
        </w:rPr>
        <w:t>Treasury</w:t>
      </w:r>
      <w:r w:rsidRPr="00EC20A0">
        <w:rPr>
          <w:i/>
          <w:spacing w:val="-2"/>
          <w:sz w:val="18"/>
        </w:rPr>
        <w:t xml:space="preserve"> </w:t>
      </w:r>
      <w:r w:rsidRPr="00EC20A0">
        <w:rPr>
          <w:i/>
          <w:sz w:val="18"/>
        </w:rPr>
        <w:t>Financial</w:t>
      </w:r>
      <w:r w:rsidRPr="00EC20A0">
        <w:rPr>
          <w:i/>
          <w:spacing w:val="-3"/>
          <w:sz w:val="18"/>
        </w:rPr>
        <w:t xml:space="preserve"> </w:t>
      </w:r>
      <w:r w:rsidRPr="00EC20A0">
        <w:rPr>
          <w:i/>
          <w:sz w:val="18"/>
        </w:rPr>
        <w:t>Manual</w:t>
      </w:r>
      <w:r w:rsidRPr="00EC20A0">
        <w:rPr>
          <w:i/>
          <w:spacing w:val="-3"/>
          <w:sz w:val="18"/>
        </w:rPr>
        <w:t xml:space="preserve"> </w:t>
      </w:r>
      <w:r w:rsidRPr="00EC20A0">
        <w:rPr>
          <w:sz w:val="18"/>
        </w:rPr>
        <w:t>(TFM)</w:t>
      </w:r>
      <w:r w:rsidRPr="00EC20A0">
        <w:rPr>
          <w:spacing w:val="-3"/>
          <w:sz w:val="18"/>
        </w:rPr>
        <w:t xml:space="preserve"> </w:t>
      </w:r>
      <w:r w:rsidRPr="00EC20A0">
        <w:rPr>
          <w:sz w:val="18"/>
        </w:rPr>
        <w:t>provides</w:t>
      </w:r>
      <w:r w:rsidRPr="00EC20A0">
        <w:rPr>
          <w:spacing w:val="-3"/>
          <w:sz w:val="18"/>
        </w:rPr>
        <w:t xml:space="preserve"> </w:t>
      </w:r>
      <w:r w:rsidRPr="00EC20A0">
        <w:rPr>
          <w:sz w:val="18"/>
        </w:rPr>
        <w:t>guidance</w:t>
      </w:r>
      <w:r w:rsidRPr="00EC20A0">
        <w:rPr>
          <w:spacing w:val="-4"/>
          <w:sz w:val="18"/>
        </w:rPr>
        <w:t xml:space="preserve"> </w:t>
      </w:r>
      <w:r w:rsidRPr="00EC20A0">
        <w:rPr>
          <w:sz w:val="18"/>
        </w:rPr>
        <w:t>for</w:t>
      </w:r>
      <w:r w:rsidRPr="00EC20A0">
        <w:rPr>
          <w:spacing w:val="-3"/>
          <w:sz w:val="18"/>
        </w:rPr>
        <w:t xml:space="preserve"> </w:t>
      </w:r>
      <w:r w:rsidRPr="00EC20A0">
        <w:rPr>
          <w:sz w:val="18"/>
        </w:rPr>
        <w:t>significant</w:t>
      </w:r>
      <w:r w:rsidRPr="00EC20A0">
        <w:rPr>
          <w:spacing w:val="-3"/>
          <w:sz w:val="18"/>
        </w:rPr>
        <w:t xml:space="preserve"> </w:t>
      </w:r>
      <w:r w:rsidRPr="00EC20A0">
        <w:rPr>
          <w:sz w:val="18"/>
        </w:rPr>
        <w:t>entities</w:t>
      </w:r>
      <w:r w:rsidRPr="00EC20A0">
        <w:rPr>
          <w:spacing w:val="-3"/>
          <w:sz w:val="18"/>
        </w:rPr>
        <w:t xml:space="preserve"> </w:t>
      </w:r>
      <w:r w:rsidRPr="00EC20A0">
        <w:rPr>
          <w:sz w:val="18"/>
        </w:rPr>
        <w:t>to</w:t>
      </w:r>
      <w:r w:rsidRPr="00EC20A0">
        <w:rPr>
          <w:spacing w:val="-4"/>
          <w:sz w:val="18"/>
        </w:rPr>
        <w:t xml:space="preserve"> </w:t>
      </w:r>
      <w:r w:rsidRPr="00EC20A0">
        <w:rPr>
          <w:sz w:val="18"/>
        </w:rPr>
        <w:t>submit</w:t>
      </w:r>
      <w:r w:rsidRPr="00EC20A0">
        <w:rPr>
          <w:spacing w:val="-3"/>
          <w:sz w:val="18"/>
        </w:rPr>
        <w:t xml:space="preserve"> </w:t>
      </w:r>
      <w:r w:rsidRPr="00EC20A0">
        <w:rPr>
          <w:sz w:val="18"/>
        </w:rPr>
        <w:t>their</w:t>
      </w:r>
      <w:r w:rsidRPr="00EC20A0">
        <w:rPr>
          <w:spacing w:val="-3"/>
          <w:sz w:val="18"/>
        </w:rPr>
        <w:t xml:space="preserve"> </w:t>
      </w:r>
      <w:r w:rsidRPr="00EC20A0">
        <w:rPr>
          <w:sz w:val="18"/>
        </w:rPr>
        <w:t>interim</w:t>
      </w:r>
      <w:r w:rsidRPr="00EC20A0">
        <w:rPr>
          <w:spacing w:val="-3"/>
          <w:sz w:val="18"/>
        </w:rPr>
        <w:t xml:space="preserve"> </w:t>
      </w:r>
      <w:r w:rsidRPr="00EC20A0">
        <w:rPr>
          <w:sz w:val="18"/>
        </w:rPr>
        <w:t>and</w:t>
      </w:r>
      <w:r w:rsidRPr="00EC20A0">
        <w:rPr>
          <w:spacing w:val="-4"/>
          <w:sz w:val="18"/>
        </w:rPr>
        <w:t xml:space="preserve"> </w:t>
      </w:r>
      <w:r w:rsidRPr="00EC20A0">
        <w:rPr>
          <w:sz w:val="18"/>
        </w:rPr>
        <w:t>final</w:t>
      </w:r>
      <w:r w:rsidRPr="00EC20A0">
        <w:rPr>
          <w:spacing w:val="-3"/>
          <w:sz w:val="18"/>
        </w:rPr>
        <w:t xml:space="preserve"> </w:t>
      </w:r>
      <w:r w:rsidRPr="00EC20A0">
        <w:rPr>
          <w:sz w:val="18"/>
        </w:rPr>
        <w:t>legal counsel responses, which the Department of the Treasury updates annually through its Year-end Closing Bulletin.</w:t>
      </w:r>
    </w:p>
    <w:p w14:paraId="24D61E65" w14:textId="77777777" w:rsidR="00245300" w:rsidRPr="00EC20A0" w:rsidRDefault="00F17249">
      <w:pPr>
        <w:spacing w:line="200" w:lineRule="exact"/>
        <w:ind w:left="199"/>
        <w:rPr>
          <w:sz w:val="18"/>
        </w:rPr>
      </w:pPr>
      <w:r w:rsidRPr="00EC20A0">
        <w:rPr>
          <w:sz w:val="18"/>
        </w:rPr>
        <w:t>For</w:t>
      </w:r>
      <w:r w:rsidRPr="00EC20A0">
        <w:rPr>
          <w:spacing w:val="-6"/>
          <w:sz w:val="18"/>
        </w:rPr>
        <w:t xml:space="preserve"> </w:t>
      </w:r>
      <w:r w:rsidRPr="00EC20A0">
        <w:rPr>
          <w:sz w:val="18"/>
        </w:rPr>
        <w:t>a</w:t>
      </w:r>
      <w:r w:rsidRPr="00EC20A0">
        <w:rPr>
          <w:spacing w:val="-3"/>
          <w:sz w:val="18"/>
        </w:rPr>
        <w:t xml:space="preserve"> </w:t>
      </w:r>
      <w:r w:rsidRPr="00EC20A0">
        <w:rPr>
          <w:sz w:val="18"/>
        </w:rPr>
        <w:t>listing</w:t>
      </w:r>
      <w:r w:rsidRPr="00EC20A0">
        <w:rPr>
          <w:spacing w:val="-4"/>
          <w:sz w:val="18"/>
        </w:rPr>
        <w:t xml:space="preserve"> </w:t>
      </w:r>
      <w:r w:rsidRPr="00EC20A0">
        <w:rPr>
          <w:sz w:val="18"/>
        </w:rPr>
        <w:t>of</w:t>
      </w:r>
      <w:r w:rsidRPr="00EC20A0">
        <w:rPr>
          <w:spacing w:val="-4"/>
          <w:sz w:val="18"/>
        </w:rPr>
        <w:t xml:space="preserve"> </w:t>
      </w:r>
      <w:r w:rsidRPr="00EC20A0">
        <w:rPr>
          <w:sz w:val="18"/>
        </w:rPr>
        <w:t>its</w:t>
      </w:r>
      <w:r w:rsidRPr="00EC20A0">
        <w:rPr>
          <w:spacing w:val="-3"/>
          <w:sz w:val="18"/>
        </w:rPr>
        <w:t xml:space="preserve"> </w:t>
      </w:r>
      <w:r w:rsidRPr="00EC20A0">
        <w:rPr>
          <w:sz w:val="18"/>
        </w:rPr>
        <w:t>published</w:t>
      </w:r>
      <w:r w:rsidRPr="00EC20A0">
        <w:rPr>
          <w:spacing w:val="-4"/>
          <w:sz w:val="18"/>
        </w:rPr>
        <w:t xml:space="preserve"> </w:t>
      </w:r>
      <w:r w:rsidRPr="00EC20A0">
        <w:rPr>
          <w:sz w:val="18"/>
        </w:rPr>
        <w:t>bulletins,</w:t>
      </w:r>
      <w:r w:rsidRPr="00EC20A0">
        <w:rPr>
          <w:spacing w:val="-4"/>
          <w:sz w:val="18"/>
        </w:rPr>
        <w:t xml:space="preserve"> </w:t>
      </w:r>
      <w:r w:rsidRPr="00EC20A0">
        <w:rPr>
          <w:sz w:val="18"/>
        </w:rPr>
        <w:t>see</w:t>
      </w:r>
      <w:r w:rsidRPr="00EC20A0">
        <w:rPr>
          <w:spacing w:val="-4"/>
          <w:sz w:val="18"/>
        </w:rPr>
        <w:t xml:space="preserve"> </w:t>
      </w:r>
      <w:hyperlink r:id="rId195">
        <w:r w:rsidRPr="00EC20A0">
          <w:rPr>
            <w:color w:val="0000FF"/>
            <w:sz w:val="18"/>
            <w:u w:val="single" w:color="0000FF"/>
          </w:rPr>
          <w:t>https://tfx.treasury.gov/tfm/bulletins</w:t>
        </w:r>
      </w:hyperlink>
      <w:r w:rsidRPr="00EC20A0">
        <w:rPr>
          <w:color w:val="0000FF"/>
          <w:spacing w:val="-3"/>
          <w:sz w:val="18"/>
        </w:rPr>
        <w:t xml:space="preserve"> </w:t>
      </w:r>
      <w:r w:rsidRPr="00EC20A0">
        <w:rPr>
          <w:sz w:val="18"/>
        </w:rPr>
        <w:t>(accessed</w:t>
      </w:r>
      <w:r w:rsidRPr="00EC20A0">
        <w:rPr>
          <w:spacing w:val="-4"/>
          <w:sz w:val="18"/>
        </w:rPr>
        <w:t xml:space="preserve"> </w:t>
      </w:r>
      <w:r w:rsidRPr="00EC20A0">
        <w:rPr>
          <w:sz w:val="18"/>
        </w:rPr>
        <w:t>June</w:t>
      </w:r>
      <w:r w:rsidRPr="00EC20A0">
        <w:rPr>
          <w:spacing w:val="-4"/>
          <w:sz w:val="18"/>
        </w:rPr>
        <w:t xml:space="preserve"> </w:t>
      </w:r>
      <w:r w:rsidRPr="00EC20A0">
        <w:rPr>
          <w:sz w:val="18"/>
        </w:rPr>
        <w:t>4,</w:t>
      </w:r>
      <w:r w:rsidRPr="00EC20A0">
        <w:rPr>
          <w:spacing w:val="-3"/>
          <w:sz w:val="18"/>
        </w:rPr>
        <w:t xml:space="preserve"> </w:t>
      </w:r>
      <w:r w:rsidRPr="00EC20A0">
        <w:rPr>
          <w:spacing w:val="-2"/>
          <w:sz w:val="18"/>
        </w:rPr>
        <w:t>2024).</w:t>
      </w:r>
    </w:p>
    <w:p w14:paraId="24D61E66" w14:textId="77777777" w:rsidR="00245300" w:rsidRPr="00EC20A0" w:rsidRDefault="00245300">
      <w:pPr>
        <w:spacing w:line="200" w:lineRule="exact"/>
        <w:rPr>
          <w:sz w:val="18"/>
        </w:rPr>
        <w:sectPr w:rsidR="00245300" w:rsidRPr="00EC20A0">
          <w:pgSz w:w="12240" w:h="15840"/>
          <w:pgMar w:top="1340" w:right="1100" w:bottom="940" w:left="1240" w:header="721" w:footer="757" w:gutter="0"/>
          <w:cols w:space="720"/>
        </w:sectPr>
      </w:pPr>
    </w:p>
    <w:p w14:paraId="24D61E67" w14:textId="77777777" w:rsidR="00245300" w:rsidRPr="00EC20A0" w:rsidRDefault="00F17249">
      <w:pPr>
        <w:pStyle w:val="BodyText"/>
        <w:spacing w:before="121"/>
        <w:ind w:left="1640" w:right="416" w:hanging="1"/>
      </w:pPr>
      <w:r w:rsidRPr="00EC20A0">
        <w:t>For significant entities,</w:t>
      </w:r>
      <w:hyperlink w:anchor="_bookmark222" w:history="1">
        <w:r w:rsidRPr="00EC20A0">
          <w:rPr>
            <w:position w:val="7"/>
            <w:sz w:val="14"/>
          </w:rPr>
          <w:t>12</w:t>
        </w:r>
      </w:hyperlink>
      <w:r w:rsidRPr="00EC20A0">
        <w:rPr>
          <w:spacing w:val="35"/>
          <w:position w:val="7"/>
          <w:sz w:val="14"/>
        </w:rPr>
        <w:t xml:space="preserve"> </w:t>
      </w:r>
      <w:r w:rsidRPr="00EC20A0">
        <w:t>OMB audit guidance requires the office of inspector general</w:t>
      </w:r>
      <w:r w:rsidRPr="00EC20A0">
        <w:rPr>
          <w:spacing w:val="-4"/>
        </w:rPr>
        <w:t xml:space="preserve"> </w:t>
      </w:r>
      <w:r w:rsidRPr="00EC20A0">
        <w:t>to</w:t>
      </w:r>
      <w:r w:rsidRPr="00EC20A0">
        <w:rPr>
          <w:spacing w:val="-4"/>
        </w:rPr>
        <w:t xml:space="preserve"> </w:t>
      </w:r>
      <w:r w:rsidRPr="00EC20A0">
        <w:t>submit</w:t>
      </w:r>
      <w:r w:rsidRPr="00EC20A0">
        <w:rPr>
          <w:spacing w:val="-4"/>
        </w:rPr>
        <w:t xml:space="preserve"> </w:t>
      </w:r>
      <w:r w:rsidRPr="00EC20A0">
        <w:t>interim</w:t>
      </w:r>
      <w:r w:rsidRPr="00EC20A0">
        <w:rPr>
          <w:spacing w:val="-5"/>
        </w:rPr>
        <w:t xml:space="preserve"> </w:t>
      </w:r>
      <w:r w:rsidRPr="00EC20A0">
        <w:t>and</w:t>
      </w:r>
      <w:r w:rsidRPr="00EC20A0">
        <w:rPr>
          <w:spacing w:val="-4"/>
        </w:rPr>
        <w:t xml:space="preserve"> </w:t>
      </w:r>
      <w:r w:rsidRPr="00EC20A0">
        <w:t>updated</w:t>
      </w:r>
      <w:r w:rsidRPr="00EC20A0">
        <w:rPr>
          <w:spacing w:val="-4"/>
        </w:rPr>
        <w:t xml:space="preserve"> </w:t>
      </w:r>
      <w:r w:rsidRPr="00EC20A0">
        <w:t>responses</w:t>
      </w:r>
      <w:r w:rsidRPr="00EC20A0">
        <w:rPr>
          <w:spacing w:val="-4"/>
        </w:rPr>
        <w:t xml:space="preserve"> </w:t>
      </w:r>
      <w:r w:rsidRPr="00EC20A0">
        <w:t>and</w:t>
      </w:r>
      <w:r w:rsidRPr="00EC20A0">
        <w:rPr>
          <w:spacing w:val="-4"/>
        </w:rPr>
        <w:t xml:space="preserve"> </w:t>
      </w:r>
      <w:r w:rsidRPr="00EC20A0">
        <w:t>management</w:t>
      </w:r>
      <w:r w:rsidRPr="00EC20A0">
        <w:rPr>
          <w:spacing w:val="-4"/>
        </w:rPr>
        <w:t xml:space="preserve"> </w:t>
      </w:r>
      <w:r w:rsidRPr="00EC20A0">
        <w:t>schedules</w:t>
      </w:r>
      <w:r w:rsidRPr="00EC20A0">
        <w:rPr>
          <w:spacing w:val="-4"/>
        </w:rPr>
        <w:t xml:space="preserve"> </w:t>
      </w:r>
      <w:r w:rsidRPr="00EC20A0">
        <w:t xml:space="preserve">to specified parties by specific dates established by the Department of the </w:t>
      </w:r>
      <w:r w:rsidRPr="00EC20A0">
        <w:rPr>
          <w:spacing w:val="-2"/>
        </w:rPr>
        <w:t>Treasury.</w:t>
      </w:r>
    </w:p>
    <w:p w14:paraId="24D61E68" w14:textId="77777777" w:rsidR="00245300" w:rsidRPr="00EC20A0" w:rsidRDefault="00245300">
      <w:pPr>
        <w:pStyle w:val="BodyText"/>
        <w:rPr>
          <w:sz w:val="20"/>
        </w:rPr>
      </w:pPr>
    </w:p>
    <w:p w14:paraId="24D61E69" w14:textId="77777777" w:rsidR="00245300" w:rsidRPr="00EC20A0" w:rsidRDefault="00245300">
      <w:pPr>
        <w:pStyle w:val="BodyText"/>
        <w:rPr>
          <w:sz w:val="20"/>
        </w:rPr>
      </w:pPr>
    </w:p>
    <w:p w14:paraId="24D61E6A" w14:textId="77777777" w:rsidR="00245300" w:rsidRPr="00EC20A0" w:rsidRDefault="00245300">
      <w:pPr>
        <w:pStyle w:val="BodyText"/>
        <w:rPr>
          <w:sz w:val="20"/>
        </w:rPr>
      </w:pPr>
    </w:p>
    <w:p w14:paraId="24D61E6B" w14:textId="77777777" w:rsidR="00245300" w:rsidRPr="00EC20A0" w:rsidRDefault="00245300">
      <w:pPr>
        <w:pStyle w:val="BodyText"/>
        <w:rPr>
          <w:sz w:val="20"/>
        </w:rPr>
      </w:pPr>
    </w:p>
    <w:p w14:paraId="24D61E6C" w14:textId="77777777" w:rsidR="00245300" w:rsidRPr="00EC20A0" w:rsidRDefault="00245300">
      <w:pPr>
        <w:pStyle w:val="BodyText"/>
        <w:rPr>
          <w:sz w:val="20"/>
        </w:rPr>
      </w:pPr>
    </w:p>
    <w:p w14:paraId="24D61E6D" w14:textId="77777777" w:rsidR="00245300" w:rsidRPr="00EC20A0" w:rsidRDefault="00245300">
      <w:pPr>
        <w:pStyle w:val="BodyText"/>
        <w:rPr>
          <w:sz w:val="20"/>
        </w:rPr>
      </w:pPr>
    </w:p>
    <w:p w14:paraId="24D61E6E" w14:textId="77777777" w:rsidR="00245300" w:rsidRPr="00EC20A0" w:rsidRDefault="00245300">
      <w:pPr>
        <w:pStyle w:val="BodyText"/>
        <w:rPr>
          <w:sz w:val="20"/>
        </w:rPr>
      </w:pPr>
    </w:p>
    <w:p w14:paraId="24D61E6F" w14:textId="77777777" w:rsidR="00245300" w:rsidRPr="00EC20A0" w:rsidRDefault="00245300">
      <w:pPr>
        <w:pStyle w:val="BodyText"/>
        <w:rPr>
          <w:sz w:val="20"/>
        </w:rPr>
      </w:pPr>
    </w:p>
    <w:p w14:paraId="24D61E70" w14:textId="77777777" w:rsidR="00245300" w:rsidRPr="00EC20A0" w:rsidRDefault="00245300">
      <w:pPr>
        <w:pStyle w:val="BodyText"/>
        <w:rPr>
          <w:sz w:val="20"/>
        </w:rPr>
      </w:pPr>
    </w:p>
    <w:p w14:paraId="24D61E71" w14:textId="77777777" w:rsidR="00245300" w:rsidRPr="00EC20A0" w:rsidRDefault="00245300">
      <w:pPr>
        <w:pStyle w:val="BodyText"/>
        <w:rPr>
          <w:sz w:val="20"/>
        </w:rPr>
      </w:pPr>
    </w:p>
    <w:p w14:paraId="24D61E72" w14:textId="77777777" w:rsidR="00245300" w:rsidRPr="00EC20A0" w:rsidRDefault="00245300">
      <w:pPr>
        <w:pStyle w:val="BodyText"/>
        <w:rPr>
          <w:sz w:val="20"/>
        </w:rPr>
      </w:pPr>
    </w:p>
    <w:p w14:paraId="24D61E73" w14:textId="77777777" w:rsidR="00245300" w:rsidRPr="00EC20A0" w:rsidRDefault="00245300">
      <w:pPr>
        <w:pStyle w:val="BodyText"/>
        <w:rPr>
          <w:sz w:val="20"/>
        </w:rPr>
      </w:pPr>
    </w:p>
    <w:p w14:paraId="24D61E74" w14:textId="77777777" w:rsidR="00245300" w:rsidRPr="00EC20A0" w:rsidRDefault="00245300">
      <w:pPr>
        <w:pStyle w:val="BodyText"/>
        <w:rPr>
          <w:sz w:val="20"/>
        </w:rPr>
      </w:pPr>
    </w:p>
    <w:p w14:paraId="24D61E75" w14:textId="77777777" w:rsidR="00245300" w:rsidRPr="00EC20A0" w:rsidRDefault="00245300">
      <w:pPr>
        <w:pStyle w:val="BodyText"/>
        <w:rPr>
          <w:sz w:val="20"/>
        </w:rPr>
      </w:pPr>
    </w:p>
    <w:p w14:paraId="24D61E76" w14:textId="77777777" w:rsidR="00245300" w:rsidRPr="00EC20A0" w:rsidRDefault="00245300">
      <w:pPr>
        <w:pStyle w:val="BodyText"/>
        <w:rPr>
          <w:sz w:val="20"/>
        </w:rPr>
      </w:pPr>
    </w:p>
    <w:p w14:paraId="24D61E77" w14:textId="77777777" w:rsidR="00245300" w:rsidRPr="00EC20A0" w:rsidRDefault="00245300">
      <w:pPr>
        <w:pStyle w:val="BodyText"/>
        <w:rPr>
          <w:sz w:val="20"/>
        </w:rPr>
      </w:pPr>
    </w:p>
    <w:p w14:paraId="24D61E78" w14:textId="77777777" w:rsidR="00245300" w:rsidRPr="00EC20A0" w:rsidRDefault="00245300">
      <w:pPr>
        <w:pStyle w:val="BodyText"/>
        <w:rPr>
          <w:sz w:val="20"/>
        </w:rPr>
      </w:pPr>
    </w:p>
    <w:p w14:paraId="24D61E79" w14:textId="77777777" w:rsidR="00245300" w:rsidRPr="00EC20A0" w:rsidRDefault="00245300">
      <w:pPr>
        <w:pStyle w:val="BodyText"/>
        <w:rPr>
          <w:sz w:val="20"/>
        </w:rPr>
      </w:pPr>
    </w:p>
    <w:p w14:paraId="24D61E7A" w14:textId="77777777" w:rsidR="00245300" w:rsidRPr="00EC20A0" w:rsidRDefault="00245300">
      <w:pPr>
        <w:pStyle w:val="BodyText"/>
        <w:rPr>
          <w:sz w:val="20"/>
        </w:rPr>
      </w:pPr>
    </w:p>
    <w:p w14:paraId="24D61E7B" w14:textId="77777777" w:rsidR="00245300" w:rsidRPr="00EC20A0" w:rsidRDefault="00245300">
      <w:pPr>
        <w:pStyle w:val="BodyText"/>
        <w:rPr>
          <w:sz w:val="20"/>
        </w:rPr>
      </w:pPr>
    </w:p>
    <w:p w14:paraId="24D61E7C" w14:textId="77777777" w:rsidR="00245300" w:rsidRPr="00EC20A0" w:rsidRDefault="00245300">
      <w:pPr>
        <w:pStyle w:val="BodyText"/>
        <w:rPr>
          <w:sz w:val="20"/>
        </w:rPr>
      </w:pPr>
    </w:p>
    <w:p w14:paraId="24D61E7D" w14:textId="77777777" w:rsidR="00245300" w:rsidRPr="00EC20A0" w:rsidRDefault="00245300">
      <w:pPr>
        <w:pStyle w:val="BodyText"/>
        <w:rPr>
          <w:sz w:val="20"/>
        </w:rPr>
      </w:pPr>
    </w:p>
    <w:p w14:paraId="24D61E7E" w14:textId="77777777" w:rsidR="00245300" w:rsidRPr="00EC20A0" w:rsidRDefault="00245300">
      <w:pPr>
        <w:pStyle w:val="BodyText"/>
        <w:rPr>
          <w:sz w:val="20"/>
        </w:rPr>
      </w:pPr>
    </w:p>
    <w:p w14:paraId="24D61E7F" w14:textId="77777777" w:rsidR="00245300" w:rsidRPr="00EC20A0" w:rsidRDefault="00245300">
      <w:pPr>
        <w:pStyle w:val="BodyText"/>
        <w:rPr>
          <w:sz w:val="20"/>
        </w:rPr>
      </w:pPr>
    </w:p>
    <w:p w14:paraId="24D61E80" w14:textId="77777777" w:rsidR="00245300" w:rsidRPr="00EC20A0" w:rsidRDefault="00245300">
      <w:pPr>
        <w:pStyle w:val="BodyText"/>
        <w:rPr>
          <w:sz w:val="20"/>
        </w:rPr>
      </w:pPr>
    </w:p>
    <w:p w14:paraId="24D61E81" w14:textId="77777777" w:rsidR="00245300" w:rsidRPr="00EC20A0" w:rsidRDefault="00245300">
      <w:pPr>
        <w:pStyle w:val="BodyText"/>
        <w:rPr>
          <w:sz w:val="20"/>
        </w:rPr>
      </w:pPr>
    </w:p>
    <w:p w14:paraId="24D61E82" w14:textId="77777777" w:rsidR="00245300" w:rsidRPr="00EC20A0" w:rsidRDefault="00245300">
      <w:pPr>
        <w:pStyle w:val="BodyText"/>
        <w:rPr>
          <w:sz w:val="20"/>
        </w:rPr>
      </w:pPr>
    </w:p>
    <w:p w14:paraId="24D61E83" w14:textId="77777777" w:rsidR="00245300" w:rsidRPr="00EC20A0" w:rsidRDefault="00245300">
      <w:pPr>
        <w:pStyle w:val="BodyText"/>
        <w:rPr>
          <w:sz w:val="20"/>
        </w:rPr>
      </w:pPr>
    </w:p>
    <w:p w14:paraId="24D61E84" w14:textId="77777777" w:rsidR="00245300" w:rsidRPr="00EC20A0" w:rsidRDefault="00245300">
      <w:pPr>
        <w:pStyle w:val="BodyText"/>
        <w:rPr>
          <w:sz w:val="20"/>
        </w:rPr>
      </w:pPr>
    </w:p>
    <w:p w14:paraId="24D61E85" w14:textId="77777777" w:rsidR="00245300" w:rsidRPr="00EC20A0" w:rsidRDefault="00245300">
      <w:pPr>
        <w:pStyle w:val="BodyText"/>
        <w:rPr>
          <w:sz w:val="20"/>
        </w:rPr>
      </w:pPr>
    </w:p>
    <w:p w14:paraId="24D61E86" w14:textId="77777777" w:rsidR="00245300" w:rsidRPr="00EC20A0" w:rsidRDefault="00245300">
      <w:pPr>
        <w:pStyle w:val="BodyText"/>
        <w:rPr>
          <w:sz w:val="20"/>
        </w:rPr>
      </w:pPr>
    </w:p>
    <w:p w14:paraId="24D61E87" w14:textId="77777777" w:rsidR="00245300" w:rsidRPr="00EC20A0" w:rsidRDefault="00245300">
      <w:pPr>
        <w:pStyle w:val="BodyText"/>
        <w:rPr>
          <w:sz w:val="20"/>
        </w:rPr>
      </w:pPr>
    </w:p>
    <w:p w14:paraId="24D61E88" w14:textId="77777777" w:rsidR="00245300" w:rsidRPr="00EC20A0" w:rsidRDefault="00245300">
      <w:pPr>
        <w:pStyle w:val="BodyText"/>
        <w:rPr>
          <w:sz w:val="20"/>
        </w:rPr>
      </w:pPr>
    </w:p>
    <w:p w14:paraId="24D61E89" w14:textId="77777777" w:rsidR="00245300" w:rsidRPr="00EC20A0" w:rsidRDefault="00245300">
      <w:pPr>
        <w:pStyle w:val="BodyText"/>
        <w:rPr>
          <w:sz w:val="20"/>
        </w:rPr>
      </w:pPr>
    </w:p>
    <w:p w14:paraId="24D61E8A" w14:textId="77777777" w:rsidR="00245300" w:rsidRPr="00EC20A0" w:rsidRDefault="00245300">
      <w:pPr>
        <w:pStyle w:val="BodyText"/>
        <w:rPr>
          <w:sz w:val="20"/>
        </w:rPr>
      </w:pPr>
    </w:p>
    <w:p w14:paraId="24D61E8B" w14:textId="77777777" w:rsidR="00245300" w:rsidRPr="00EC20A0" w:rsidRDefault="00245300">
      <w:pPr>
        <w:pStyle w:val="BodyText"/>
        <w:rPr>
          <w:sz w:val="20"/>
        </w:rPr>
      </w:pPr>
    </w:p>
    <w:p w14:paraId="24D61E8C" w14:textId="77777777" w:rsidR="00245300" w:rsidRPr="00EC20A0" w:rsidRDefault="00245300">
      <w:pPr>
        <w:pStyle w:val="BodyText"/>
        <w:rPr>
          <w:sz w:val="20"/>
        </w:rPr>
      </w:pPr>
    </w:p>
    <w:p w14:paraId="24D61E8D" w14:textId="77777777" w:rsidR="00245300" w:rsidRPr="00EC20A0" w:rsidRDefault="00245300">
      <w:pPr>
        <w:pStyle w:val="BodyText"/>
        <w:rPr>
          <w:sz w:val="20"/>
        </w:rPr>
      </w:pPr>
    </w:p>
    <w:p w14:paraId="24D61E8E" w14:textId="77777777" w:rsidR="00245300" w:rsidRPr="00EC20A0" w:rsidRDefault="00245300">
      <w:pPr>
        <w:pStyle w:val="BodyText"/>
        <w:rPr>
          <w:sz w:val="20"/>
        </w:rPr>
      </w:pPr>
    </w:p>
    <w:p w14:paraId="24D61E8F" w14:textId="77777777" w:rsidR="00245300" w:rsidRPr="00EC20A0" w:rsidRDefault="00245300">
      <w:pPr>
        <w:pStyle w:val="BodyText"/>
        <w:rPr>
          <w:sz w:val="20"/>
        </w:rPr>
      </w:pPr>
    </w:p>
    <w:p w14:paraId="24D61E90" w14:textId="77777777" w:rsidR="00245300" w:rsidRPr="00EC20A0" w:rsidRDefault="00245300">
      <w:pPr>
        <w:pStyle w:val="BodyText"/>
        <w:rPr>
          <w:sz w:val="20"/>
        </w:rPr>
      </w:pPr>
    </w:p>
    <w:p w14:paraId="24D61E91" w14:textId="77777777" w:rsidR="00245300" w:rsidRPr="00EC20A0" w:rsidRDefault="00245300">
      <w:pPr>
        <w:pStyle w:val="BodyText"/>
        <w:rPr>
          <w:sz w:val="20"/>
        </w:rPr>
      </w:pPr>
    </w:p>
    <w:p w14:paraId="24D61E92" w14:textId="77777777" w:rsidR="00245300" w:rsidRPr="00EC20A0" w:rsidRDefault="00245300">
      <w:pPr>
        <w:pStyle w:val="BodyText"/>
        <w:rPr>
          <w:sz w:val="20"/>
        </w:rPr>
      </w:pPr>
    </w:p>
    <w:p w14:paraId="24D61E93" w14:textId="77777777" w:rsidR="00245300" w:rsidRPr="00EC20A0" w:rsidRDefault="00245300">
      <w:pPr>
        <w:pStyle w:val="BodyText"/>
        <w:rPr>
          <w:sz w:val="20"/>
        </w:rPr>
      </w:pPr>
    </w:p>
    <w:p w14:paraId="24D61E94" w14:textId="77777777" w:rsidR="00245300" w:rsidRPr="00EC20A0" w:rsidRDefault="00245300">
      <w:pPr>
        <w:pStyle w:val="BodyText"/>
        <w:rPr>
          <w:sz w:val="20"/>
        </w:rPr>
      </w:pPr>
    </w:p>
    <w:p w14:paraId="24D61E95" w14:textId="77777777" w:rsidR="00245300" w:rsidRPr="00EC20A0" w:rsidRDefault="00245300">
      <w:pPr>
        <w:pStyle w:val="BodyText"/>
        <w:rPr>
          <w:sz w:val="20"/>
        </w:rPr>
      </w:pPr>
    </w:p>
    <w:p w14:paraId="24D61E96" w14:textId="77777777" w:rsidR="00245300" w:rsidRPr="00EC20A0" w:rsidRDefault="00245300">
      <w:pPr>
        <w:pStyle w:val="BodyText"/>
        <w:rPr>
          <w:sz w:val="20"/>
        </w:rPr>
      </w:pPr>
    </w:p>
    <w:p w14:paraId="24D61E97" w14:textId="77777777" w:rsidR="00245300" w:rsidRPr="00EC20A0" w:rsidRDefault="00245300">
      <w:pPr>
        <w:pStyle w:val="BodyText"/>
        <w:rPr>
          <w:sz w:val="20"/>
        </w:rPr>
      </w:pPr>
    </w:p>
    <w:p w14:paraId="24D61E98" w14:textId="77777777" w:rsidR="00245300" w:rsidRPr="00EC20A0" w:rsidRDefault="00F17249">
      <w:pPr>
        <w:pStyle w:val="BodyText"/>
        <w:spacing w:before="194"/>
        <w:rPr>
          <w:sz w:val="20"/>
        </w:rPr>
      </w:pPr>
      <w:r w:rsidRPr="00EC20A0">
        <w:rPr>
          <w:noProof/>
        </w:rPr>
        <mc:AlternateContent>
          <mc:Choice Requires="wps">
            <w:drawing>
              <wp:anchor distT="0" distB="0" distL="0" distR="0" simplePos="0" relativeHeight="487727104" behindDoc="1" locked="0" layoutInCell="1" allowOverlap="1" wp14:anchorId="24D62CD5" wp14:editId="24D62CD6">
                <wp:simplePos x="0" y="0"/>
                <wp:positionH relativeFrom="page">
                  <wp:posOffset>914400</wp:posOffset>
                </wp:positionH>
                <wp:positionV relativeFrom="paragraph">
                  <wp:posOffset>284748</wp:posOffset>
                </wp:positionV>
                <wp:extent cx="1828800" cy="5715"/>
                <wp:effectExtent l="0" t="0" r="0" b="0"/>
                <wp:wrapTopAndBottom/>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F6CB1F" id="Graphic 943" o:spid="_x0000_s1026" style="position:absolute;margin-left:1in;margin-top:22.4pt;width:2in;height:.45pt;z-index:-155893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" path="m1828800,l,,,5334r1828800,l1828800,xe" fillcolor="black" stroked="f">
                <v:path arrowok="t"/>
                <w10:wrap type="topAndBottom" anchorx="page"/>
              </v:shape>
            </w:pict>
          </mc:Fallback>
        </mc:AlternateContent>
      </w:r>
    </w:p>
    <w:p w14:paraId="24D61E99" w14:textId="77777777" w:rsidR="00245300" w:rsidRPr="00EC20A0" w:rsidRDefault="00F17249">
      <w:pPr>
        <w:spacing w:before="202" w:line="249" w:lineRule="auto"/>
        <w:ind w:left="199" w:right="345"/>
        <w:rPr>
          <w:sz w:val="18"/>
        </w:rPr>
      </w:pPr>
      <w:bookmarkStart w:id="400" w:name="_bookmark222"/>
      <w:bookmarkEnd w:id="400"/>
      <w:r w:rsidRPr="00EC20A0">
        <w:rPr>
          <w:position w:val="7"/>
          <w:sz w:val="14"/>
        </w:rPr>
        <w:t>12</w:t>
      </w:r>
      <w:r w:rsidRPr="00EC20A0">
        <w:rPr>
          <w:sz w:val="18"/>
        </w:rPr>
        <w:t>See</w:t>
      </w:r>
      <w:r w:rsidRPr="00EC20A0">
        <w:rPr>
          <w:spacing w:val="-3"/>
          <w:sz w:val="18"/>
        </w:rPr>
        <w:t xml:space="preserve"> </w:t>
      </w:r>
      <w:r w:rsidRPr="00EC20A0">
        <w:rPr>
          <w:sz w:val="18"/>
        </w:rPr>
        <w:t>TFM</w:t>
      </w:r>
      <w:r w:rsidRPr="00EC20A0">
        <w:rPr>
          <w:spacing w:val="-2"/>
          <w:sz w:val="18"/>
        </w:rPr>
        <w:t xml:space="preserve"> </w:t>
      </w:r>
      <w:r w:rsidRPr="00EC20A0">
        <w:rPr>
          <w:sz w:val="18"/>
        </w:rPr>
        <w:t>vol.</w:t>
      </w:r>
      <w:r w:rsidRPr="00EC20A0">
        <w:rPr>
          <w:spacing w:val="-2"/>
          <w:sz w:val="18"/>
        </w:rPr>
        <w:t xml:space="preserve"> </w:t>
      </w:r>
      <w:r w:rsidRPr="00EC20A0">
        <w:rPr>
          <w:sz w:val="18"/>
        </w:rPr>
        <w:t>1,</w:t>
      </w:r>
      <w:r w:rsidRPr="00EC20A0">
        <w:rPr>
          <w:spacing w:val="-2"/>
          <w:sz w:val="18"/>
        </w:rPr>
        <w:t xml:space="preserve"> </w:t>
      </w:r>
      <w:r w:rsidRPr="00EC20A0">
        <w:rPr>
          <w:sz w:val="18"/>
        </w:rPr>
        <w:t>pt.</w:t>
      </w:r>
      <w:r w:rsidRPr="00EC20A0">
        <w:rPr>
          <w:spacing w:val="-2"/>
          <w:sz w:val="18"/>
        </w:rPr>
        <w:t xml:space="preserve"> </w:t>
      </w:r>
      <w:r w:rsidRPr="00EC20A0">
        <w:rPr>
          <w:sz w:val="18"/>
        </w:rPr>
        <w:t>2,</w:t>
      </w:r>
      <w:r w:rsidRPr="00EC20A0">
        <w:rPr>
          <w:spacing w:val="-2"/>
          <w:sz w:val="18"/>
        </w:rPr>
        <w:t xml:space="preserve"> </w:t>
      </w:r>
      <w:proofErr w:type="spellStart"/>
      <w:r w:rsidRPr="00EC20A0">
        <w:rPr>
          <w:sz w:val="18"/>
        </w:rPr>
        <w:t>ch.</w:t>
      </w:r>
      <w:proofErr w:type="spellEnd"/>
      <w:r w:rsidRPr="00EC20A0">
        <w:rPr>
          <w:spacing w:val="-3"/>
          <w:sz w:val="18"/>
        </w:rPr>
        <w:t xml:space="preserve"> </w:t>
      </w:r>
      <w:r w:rsidRPr="00EC20A0">
        <w:rPr>
          <w:sz w:val="18"/>
        </w:rPr>
        <w:t>4700</w:t>
      </w:r>
      <w:r w:rsidRPr="00EC20A0">
        <w:rPr>
          <w:spacing w:val="-2"/>
          <w:sz w:val="18"/>
        </w:rPr>
        <w:t xml:space="preserve"> </w:t>
      </w:r>
      <w:r w:rsidRPr="00EC20A0">
        <w:rPr>
          <w:sz w:val="18"/>
        </w:rPr>
        <w:t>(TFM</w:t>
      </w:r>
      <w:r w:rsidRPr="00EC20A0">
        <w:rPr>
          <w:spacing w:val="-2"/>
          <w:sz w:val="18"/>
        </w:rPr>
        <w:t xml:space="preserve"> </w:t>
      </w:r>
      <w:r w:rsidRPr="00EC20A0">
        <w:rPr>
          <w:sz w:val="18"/>
        </w:rPr>
        <w:t>2-4700),</w:t>
      </w:r>
      <w:r w:rsidRPr="00EC20A0">
        <w:rPr>
          <w:spacing w:val="-2"/>
          <w:sz w:val="18"/>
        </w:rPr>
        <w:t xml:space="preserve"> </w:t>
      </w:r>
      <w:r w:rsidRPr="00EC20A0">
        <w:rPr>
          <w:sz w:val="18"/>
        </w:rPr>
        <w:t>for</w:t>
      </w:r>
      <w:r w:rsidRPr="00EC20A0">
        <w:rPr>
          <w:spacing w:val="-2"/>
          <w:sz w:val="18"/>
        </w:rPr>
        <w:t xml:space="preserve"> </w:t>
      </w:r>
      <w:r w:rsidRPr="00EC20A0">
        <w:rPr>
          <w:sz w:val="18"/>
        </w:rPr>
        <w:t>a</w:t>
      </w:r>
      <w:r w:rsidRPr="00EC20A0">
        <w:rPr>
          <w:spacing w:val="-3"/>
          <w:sz w:val="18"/>
        </w:rPr>
        <w:t xml:space="preserve"> </w:t>
      </w:r>
      <w:r w:rsidRPr="00EC20A0">
        <w:rPr>
          <w:sz w:val="18"/>
        </w:rPr>
        <w:t>listing</w:t>
      </w:r>
      <w:r w:rsidRPr="00EC20A0">
        <w:rPr>
          <w:spacing w:val="-3"/>
          <w:sz w:val="18"/>
        </w:rPr>
        <w:t xml:space="preserve"> </w:t>
      </w:r>
      <w:r w:rsidRPr="00EC20A0">
        <w:rPr>
          <w:sz w:val="18"/>
        </w:rPr>
        <w:t>of</w:t>
      </w:r>
      <w:r w:rsidRPr="00EC20A0">
        <w:rPr>
          <w:spacing w:val="-2"/>
          <w:sz w:val="18"/>
        </w:rPr>
        <w:t xml:space="preserve"> </w:t>
      </w:r>
      <w:r w:rsidRPr="00EC20A0">
        <w:rPr>
          <w:sz w:val="18"/>
        </w:rPr>
        <w:t>federal</w:t>
      </w:r>
      <w:r w:rsidRPr="00EC20A0">
        <w:rPr>
          <w:spacing w:val="-2"/>
          <w:sz w:val="18"/>
        </w:rPr>
        <w:t xml:space="preserve"> </w:t>
      </w:r>
      <w:r w:rsidRPr="00EC20A0">
        <w:rPr>
          <w:sz w:val="18"/>
        </w:rPr>
        <w:t>entities</w:t>
      </w:r>
      <w:r w:rsidRPr="00EC20A0">
        <w:rPr>
          <w:spacing w:val="-2"/>
          <w:sz w:val="18"/>
        </w:rPr>
        <w:t xml:space="preserve"> </w:t>
      </w:r>
      <w:r w:rsidRPr="00EC20A0">
        <w:rPr>
          <w:sz w:val="18"/>
        </w:rPr>
        <w:t>identified</w:t>
      </w:r>
      <w:r w:rsidRPr="00EC20A0">
        <w:rPr>
          <w:spacing w:val="-3"/>
          <w:sz w:val="18"/>
        </w:rPr>
        <w:t xml:space="preserve"> </w:t>
      </w:r>
      <w:r w:rsidRPr="00EC20A0">
        <w:rPr>
          <w:sz w:val="18"/>
        </w:rPr>
        <w:t>as</w:t>
      </w:r>
      <w:r w:rsidRPr="00EC20A0">
        <w:rPr>
          <w:spacing w:val="-1"/>
          <w:sz w:val="18"/>
        </w:rPr>
        <w:t xml:space="preserve"> </w:t>
      </w:r>
      <w:r w:rsidRPr="00EC20A0">
        <w:rPr>
          <w:sz w:val="18"/>
        </w:rPr>
        <w:t>significant</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U.S. government’s consolidated financial statements (significant entities).</w:t>
      </w:r>
    </w:p>
    <w:p w14:paraId="24D61E9A" w14:textId="77777777" w:rsidR="00245300" w:rsidRPr="00EC20A0" w:rsidRDefault="00245300">
      <w:pPr>
        <w:spacing w:line="249" w:lineRule="auto"/>
        <w:rPr>
          <w:sz w:val="18"/>
        </w:rPr>
        <w:sectPr w:rsidR="00245300" w:rsidRPr="00EC20A0">
          <w:pgSz w:w="12240" w:h="15840"/>
          <w:pgMar w:top="1340" w:right="1100" w:bottom="940" w:left="1240" w:header="721" w:footer="757" w:gutter="0"/>
          <w:cols w:space="720"/>
        </w:sectPr>
      </w:pPr>
    </w:p>
    <w:p w14:paraId="24D61E9B" w14:textId="77777777" w:rsidR="00245300" w:rsidRPr="00EC20A0" w:rsidRDefault="00F17249">
      <w:pPr>
        <w:pStyle w:val="Heading3"/>
        <w:ind w:left="200" w:right="408"/>
        <w:rPr>
          <w:u w:val="none"/>
        </w:rPr>
      </w:pPr>
      <w:bookmarkStart w:id="401" w:name="1002_A_–_Example_Audit_Procedures_for_Li"/>
      <w:bookmarkStart w:id="402" w:name="_bookmark223"/>
      <w:bookmarkEnd w:id="401"/>
      <w:bookmarkEnd w:id="402"/>
      <w:r w:rsidRPr="00EC20A0">
        <w:t>1002</w:t>
      </w:r>
      <w:r w:rsidRPr="00EC20A0">
        <w:rPr>
          <w:spacing w:val="-16"/>
        </w:rPr>
        <w:t xml:space="preserve"> </w:t>
      </w:r>
      <w:r w:rsidRPr="00EC20A0">
        <w:t>A</w:t>
      </w:r>
      <w:r w:rsidRPr="00EC20A0">
        <w:rPr>
          <w:spacing w:val="-18"/>
        </w:rPr>
        <w:t xml:space="preserve"> </w:t>
      </w:r>
      <w:r w:rsidRPr="00EC20A0">
        <w:t>–</w:t>
      </w:r>
      <w:r w:rsidRPr="00EC20A0">
        <w:rPr>
          <w:spacing w:val="-5"/>
        </w:rPr>
        <w:t xml:space="preserve"> </w:t>
      </w:r>
      <w:r w:rsidRPr="00EC20A0">
        <w:t>Example</w:t>
      </w:r>
      <w:r w:rsidRPr="00EC20A0">
        <w:rPr>
          <w:spacing w:val="-16"/>
        </w:rPr>
        <w:t xml:space="preserve"> </w:t>
      </w:r>
      <w:r w:rsidRPr="00EC20A0">
        <w:t>Audit</w:t>
      </w:r>
      <w:r w:rsidRPr="00EC20A0">
        <w:rPr>
          <w:spacing w:val="-6"/>
        </w:rPr>
        <w:t xml:space="preserve"> </w:t>
      </w:r>
      <w:r w:rsidRPr="00EC20A0">
        <w:t>Procedures</w:t>
      </w:r>
      <w:r w:rsidRPr="00EC20A0">
        <w:rPr>
          <w:spacing w:val="-5"/>
        </w:rPr>
        <w:t xml:space="preserve"> </w:t>
      </w:r>
      <w:r w:rsidRPr="00EC20A0">
        <w:t>for</w:t>
      </w:r>
      <w:r w:rsidRPr="00EC20A0">
        <w:rPr>
          <w:spacing w:val="-5"/>
        </w:rPr>
        <w:t xml:space="preserve"> </w:t>
      </w:r>
      <w:r w:rsidRPr="00EC20A0">
        <w:t>Litigation,</w:t>
      </w:r>
      <w:r w:rsidRPr="00EC20A0">
        <w:rPr>
          <w:spacing w:val="-6"/>
        </w:rPr>
        <w:t xml:space="preserve"> </w:t>
      </w:r>
      <w:r w:rsidRPr="00EC20A0">
        <w:t>Claims,</w:t>
      </w:r>
      <w:r w:rsidRPr="00EC20A0">
        <w:rPr>
          <w:u w:val="none"/>
        </w:rPr>
        <w:t xml:space="preserve"> </w:t>
      </w:r>
      <w:r w:rsidRPr="00EC20A0">
        <w:t>and Assessments</w:t>
      </w:r>
    </w:p>
    <w:p w14:paraId="24D61E9C" w14:textId="77777777" w:rsidR="00245300" w:rsidRPr="00EC20A0" w:rsidRDefault="00245300">
      <w:pPr>
        <w:pStyle w:val="BodyText"/>
        <w:spacing w:before="46"/>
        <w:rPr>
          <w:b/>
        </w:rPr>
      </w:pPr>
    </w:p>
    <w:p w14:paraId="24D61E9D" w14:textId="77777777" w:rsidR="00245300" w:rsidRPr="00EC20A0" w:rsidRDefault="00F17249">
      <w:pPr>
        <w:pStyle w:val="BodyText"/>
        <w:tabs>
          <w:tab w:val="left" w:pos="9525"/>
        </w:tabs>
        <w:spacing w:before="1" w:after="18" w:line="352" w:lineRule="auto"/>
        <w:ind w:left="200" w:right="370"/>
        <w:jc w:val="both"/>
      </w:pPr>
      <w:r w:rsidRPr="00EC20A0">
        <w:t>Entity</w:t>
      </w:r>
      <w:r w:rsidRPr="00EC20A0">
        <w:rPr>
          <w:spacing w:val="151"/>
        </w:rPr>
        <w:t xml:space="preserve"> </w:t>
      </w:r>
      <w:r w:rsidRPr="00EC20A0">
        <w:rPr>
          <w:u w:val="single"/>
        </w:rPr>
        <w:tab/>
      </w:r>
      <w:r w:rsidRPr="00EC20A0">
        <w:t xml:space="preserve"> Period of financial statements</w:t>
      </w:r>
      <w:r w:rsidRPr="00EC20A0">
        <w:rPr>
          <w:spacing w:val="143"/>
        </w:rPr>
        <w:t xml:space="preserve"> </w:t>
      </w:r>
      <w:r w:rsidRPr="00EC20A0">
        <w:rPr>
          <w:u w:val="single"/>
        </w:rPr>
        <w:tab/>
      </w:r>
      <w:r w:rsidRPr="00EC20A0">
        <w:t xml:space="preserve"> Job code</w:t>
      </w:r>
      <w:r w:rsidRPr="00EC20A0">
        <w:rPr>
          <w:spacing w:val="175"/>
        </w:rPr>
        <w:t xml:space="preserve"> </w:t>
      </w:r>
      <w:r w:rsidRPr="00EC20A0">
        <w:rPr>
          <w:u w:val="single"/>
        </w:rPr>
        <w:tab/>
      </w:r>
    </w:p>
    <w:tbl>
      <w:tblPr>
        <w:tblW w:w="0" w:type="auto"/>
        <w:tblInd w:w="2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20"/>
        <w:gridCol w:w="1024"/>
        <w:gridCol w:w="765"/>
      </w:tblGrid>
      <w:tr w:rsidR="00245300" w:rsidRPr="00EC20A0" w14:paraId="24D61EA4" w14:textId="77777777">
        <w:trPr>
          <w:trHeight w:val="999"/>
        </w:trPr>
        <w:tc>
          <w:tcPr>
            <w:tcW w:w="7420" w:type="dxa"/>
            <w:tcBorders>
              <w:bottom w:val="single" w:sz="6" w:space="0" w:color="000000"/>
              <w:right w:val="single" w:sz="6" w:space="0" w:color="000000"/>
            </w:tcBorders>
          </w:tcPr>
          <w:p w14:paraId="24D61E9E" w14:textId="77777777" w:rsidR="00245300" w:rsidRPr="00EC20A0" w:rsidRDefault="00245300">
            <w:pPr>
              <w:pStyle w:val="TableParagraph"/>
            </w:pPr>
          </w:p>
          <w:p w14:paraId="24D61E9F" w14:textId="77777777" w:rsidR="00245300" w:rsidRPr="00EC20A0" w:rsidRDefault="00245300">
            <w:pPr>
              <w:pStyle w:val="TableParagraph"/>
              <w:spacing w:before="120"/>
            </w:pPr>
          </w:p>
          <w:p w14:paraId="24D61EA0" w14:textId="77777777" w:rsidR="00245300" w:rsidRPr="00EC20A0" w:rsidRDefault="00F17249">
            <w:pPr>
              <w:pStyle w:val="TableParagraph"/>
              <w:ind w:left="92"/>
              <w:rPr>
                <w:b/>
              </w:rPr>
            </w:pPr>
            <w:r w:rsidRPr="00EC20A0">
              <w:rPr>
                <w:b/>
              </w:rPr>
              <w:t>Example</w:t>
            </w:r>
            <w:r w:rsidRPr="00EC20A0">
              <w:rPr>
                <w:b/>
                <w:spacing w:val="-8"/>
              </w:rPr>
              <w:t xml:space="preserve"> </w:t>
            </w:r>
            <w:r w:rsidRPr="00EC20A0">
              <w:rPr>
                <w:b/>
              </w:rPr>
              <w:t>audit</w:t>
            </w:r>
            <w:r w:rsidRPr="00EC20A0">
              <w:rPr>
                <w:b/>
                <w:spacing w:val="-8"/>
              </w:rPr>
              <w:t xml:space="preserve"> </w:t>
            </w:r>
            <w:r w:rsidRPr="00EC20A0">
              <w:rPr>
                <w:b/>
                <w:spacing w:val="-2"/>
              </w:rPr>
              <w:t>procedures</w:t>
            </w:r>
          </w:p>
        </w:tc>
        <w:tc>
          <w:tcPr>
            <w:tcW w:w="1024" w:type="dxa"/>
            <w:tcBorders>
              <w:left w:val="single" w:sz="6" w:space="0" w:color="000000"/>
              <w:bottom w:val="single" w:sz="6" w:space="0" w:color="000000"/>
              <w:right w:val="single" w:sz="6" w:space="0" w:color="000000"/>
            </w:tcBorders>
          </w:tcPr>
          <w:p w14:paraId="24D61EA1" w14:textId="77777777" w:rsidR="00245300" w:rsidRPr="00EC20A0" w:rsidRDefault="00F17249">
            <w:pPr>
              <w:pStyle w:val="TableParagraph"/>
              <w:spacing w:before="120"/>
              <w:ind w:left="107" w:right="201"/>
              <w:rPr>
                <w:b/>
              </w:rPr>
            </w:pPr>
            <w:r w:rsidRPr="00EC20A0">
              <w:rPr>
                <w:b/>
                <w:spacing w:val="-2"/>
              </w:rPr>
              <w:t xml:space="preserve">Initials </w:t>
            </w:r>
            <w:r w:rsidRPr="00EC20A0">
              <w:rPr>
                <w:b/>
                <w:spacing w:val="-4"/>
              </w:rPr>
              <w:t>and date</w:t>
            </w:r>
          </w:p>
        </w:tc>
        <w:tc>
          <w:tcPr>
            <w:tcW w:w="765" w:type="dxa"/>
            <w:tcBorders>
              <w:left w:val="single" w:sz="6" w:space="0" w:color="000000"/>
              <w:bottom w:val="single" w:sz="6" w:space="0" w:color="000000"/>
            </w:tcBorders>
          </w:tcPr>
          <w:p w14:paraId="24D61EA2" w14:textId="77777777" w:rsidR="00245300" w:rsidRPr="00EC20A0" w:rsidRDefault="00245300">
            <w:pPr>
              <w:pStyle w:val="TableParagraph"/>
              <w:spacing w:before="120"/>
            </w:pPr>
          </w:p>
          <w:p w14:paraId="24D61EA3" w14:textId="77777777" w:rsidR="00245300" w:rsidRPr="00EC20A0" w:rsidRDefault="00F17249">
            <w:pPr>
              <w:pStyle w:val="TableParagraph"/>
              <w:ind w:left="107" w:right="148" w:hanging="1"/>
              <w:rPr>
                <w:b/>
              </w:rPr>
            </w:pPr>
            <w:r w:rsidRPr="00EC20A0">
              <w:rPr>
                <w:b/>
                <w:spacing w:val="-4"/>
              </w:rPr>
              <w:t>Doc. ref.</w:t>
            </w:r>
          </w:p>
        </w:tc>
      </w:tr>
      <w:tr w:rsidR="00245300" w:rsidRPr="00EC20A0" w14:paraId="24D61EAA" w14:textId="77777777">
        <w:trPr>
          <w:trHeight w:val="1370"/>
        </w:trPr>
        <w:tc>
          <w:tcPr>
            <w:tcW w:w="7420" w:type="dxa"/>
            <w:tcBorders>
              <w:top w:val="single" w:sz="6" w:space="0" w:color="000000"/>
              <w:bottom w:val="single" w:sz="6" w:space="0" w:color="000000"/>
              <w:right w:val="single" w:sz="6" w:space="0" w:color="000000"/>
            </w:tcBorders>
          </w:tcPr>
          <w:p w14:paraId="24D61EA5" w14:textId="77777777" w:rsidR="00245300" w:rsidRPr="00EC20A0" w:rsidRDefault="00F17249">
            <w:pPr>
              <w:pStyle w:val="TableParagraph"/>
              <w:spacing w:before="119"/>
              <w:ind w:left="92"/>
              <w:rPr>
                <w:b/>
              </w:rPr>
            </w:pPr>
            <w:r w:rsidRPr="00EC20A0">
              <w:rPr>
                <w:b/>
                <w:u w:val="single"/>
              </w:rPr>
              <w:t>I.</w:t>
            </w:r>
            <w:r w:rsidRPr="00EC20A0">
              <w:rPr>
                <w:b/>
                <w:spacing w:val="-5"/>
                <w:u w:val="single"/>
              </w:rPr>
              <w:t xml:space="preserve"> </w:t>
            </w:r>
            <w:r w:rsidRPr="00EC20A0">
              <w:rPr>
                <w:b/>
                <w:u w:val="single"/>
              </w:rPr>
              <w:t>Testing</w:t>
            </w:r>
            <w:r w:rsidRPr="00EC20A0">
              <w:rPr>
                <w:b/>
                <w:spacing w:val="-4"/>
                <w:u w:val="single"/>
              </w:rPr>
              <w:t xml:space="preserve"> </w:t>
            </w:r>
            <w:r w:rsidRPr="00EC20A0">
              <w:rPr>
                <w:b/>
                <w:spacing w:val="-2"/>
                <w:u w:val="single"/>
              </w:rPr>
              <w:t>procedures</w:t>
            </w:r>
          </w:p>
          <w:p w14:paraId="24D61EA6" w14:textId="77777777" w:rsidR="00245300" w:rsidRPr="00EC20A0" w:rsidRDefault="00F17249">
            <w:pPr>
              <w:pStyle w:val="TableParagraph"/>
              <w:tabs>
                <w:tab w:val="left" w:pos="668"/>
              </w:tabs>
              <w:spacing w:before="241"/>
              <w:ind w:left="668" w:hanging="577"/>
            </w:pPr>
            <w:r w:rsidRPr="00EC20A0">
              <w:rPr>
                <w:spacing w:val="-5"/>
              </w:rPr>
              <w:t>1)</w:t>
            </w:r>
            <w:r w:rsidRPr="00EC20A0">
              <w:tab/>
              <w:t>Ask</w:t>
            </w:r>
            <w:r w:rsidRPr="00EC20A0">
              <w:rPr>
                <w:spacing w:val="-8"/>
              </w:rPr>
              <w:t xml:space="preserve"> </w:t>
            </w:r>
            <w:r w:rsidRPr="00EC20A0">
              <w:t>management</w:t>
            </w:r>
            <w:r w:rsidRPr="00EC20A0">
              <w:rPr>
                <w:spacing w:val="-7"/>
              </w:rPr>
              <w:t xml:space="preserve"> </w:t>
            </w:r>
            <w:r w:rsidRPr="00EC20A0">
              <w:t>about</w:t>
            </w:r>
            <w:r w:rsidRPr="00EC20A0">
              <w:rPr>
                <w:spacing w:val="-8"/>
              </w:rPr>
              <w:t xml:space="preserve"> </w:t>
            </w:r>
            <w:r w:rsidRPr="00EC20A0">
              <w:t>the</w:t>
            </w:r>
            <w:r w:rsidRPr="00EC20A0">
              <w:rPr>
                <w:spacing w:val="-7"/>
              </w:rPr>
              <w:t xml:space="preserve"> </w:t>
            </w:r>
            <w:r w:rsidRPr="00EC20A0">
              <w:t>entity’s</w:t>
            </w:r>
            <w:r w:rsidRPr="00EC20A0">
              <w:rPr>
                <w:spacing w:val="-8"/>
              </w:rPr>
              <w:t xml:space="preserve"> </w:t>
            </w:r>
            <w:r w:rsidRPr="00EC20A0">
              <w:t>policies</w:t>
            </w:r>
            <w:r w:rsidRPr="00EC20A0">
              <w:rPr>
                <w:spacing w:val="-7"/>
              </w:rPr>
              <w:t xml:space="preserve"> </w:t>
            </w:r>
            <w:r w:rsidRPr="00EC20A0">
              <w:t>and</w:t>
            </w:r>
            <w:r w:rsidRPr="00EC20A0">
              <w:rPr>
                <w:spacing w:val="-8"/>
              </w:rPr>
              <w:t xml:space="preserve"> </w:t>
            </w:r>
            <w:r w:rsidRPr="00EC20A0">
              <w:t>procedures</w:t>
            </w:r>
            <w:r w:rsidRPr="00EC20A0">
              <w:rPr>
                <w:spacing w:val="-6"/>
              </w:rPr>
              <w:t xml:space="preserve"> </w:t>
            </w:r>
            <w:r w:rsidRPr="00EC20A0">
              <w:rPr>
                <w:spacing w:val="-5"/>
              </w:rPr>
              <w:t>for</w:t>
            </w:r>
          </w:p>
          <w:p w14:paraId="24D61EA7" w14:textId="77777777" w:rsidR="00245300" w:rsidRPr="00EC20A0" w:rsidRDefault="00F17249">
            <w:pPr>
              <w:pStyle w:val="TableParagraph"/>
              <w:spacing w:line="252" w:lineRule="exact"/>
              <w:ind w:left="668"/>
            </w:pPr>
            <w:r w:rsidRPr="00EC20A0">
              <w:t>identifying,</w:t>
            </w:r>
            <w:r w:rsidRPr="00EC20A0">
              <w:rPr>
                <w:spacing w:val="-6"/>
              </w:rPr>
              <w:t xml:space="preserve"> </w:t>
            </w:r>
            <w:r w:rsidRPr="00EC20A0">
              <w:t>evaluating,</w:t>
            </w:r>
            <w:r w:rsidRPr="00EC20A0">
              <w:rPr>
                <w:spacing w:val="-6"/>
              </w:rPr>
              <w:t xml:space="preserve"> </w:t>
            </w:r>
            <w:r w:rsidRPr="00EC20A0">
              <w:t>and</w:t>
            </w:r>
            <w:r w:rsidRPr="00EC20A0">
              <w:rPr>
                <w:spacing w:val="-5"/>
              </w:rPr>
              <w:t xml:space="preserve"> </w:t>
            </w:r>
            <w:r w:rsidRPr="00EC20A0">
              <w:t>accounting</w:t>
            </w:r>
            <w:r w:rsidRPr="00EC20A0">
              <w:rPr>
                <w:spacing w:val="-5"/>
              </w:rPr>
              <w:t xml:space="preserve"> </w:t>
            </w:r>
            <w:r w:rsidRPr="00EC20A0">
              <w:t>for</w:t>
            </w:r>
            <w:r w:rsidRPr="00EC20A0">
              <w:rPr>
                <w:spacing w:val="-5"/>
              </w:rPr>
              <w:t xml:space="preserve"> </w:t>
            </w:r>
            <w:r w:rsidRPr="00EC20A0">
              <w:t>litigation,</w:t>
            </w:r>
            <w:r w:rsidRPr="00EC20A0">
              <w:rPr>
                <w:spacing w:val="-5"/>
              </w:rPr>
              <w:t xml:space="preserve"> </w:t>
            </w:r>
            <w:r w:rsidRPr="00EC20A0">
              <w:t>claims,</w:t>
            </w:r>
            <w:r w:rsidRPr="00EC20A0">
              <w:rPr>
                <w:spacing w:val="-6"/>
              </w:rPr>
              <w:t xml:space="preserve"> </w:t>
            </w:r>
            <w:r w:rsidRPr="00EC20A0">
              <w:t xml:space="preserve">and </w:t>
            </w:r>
            <w:r w:rsidRPr="00EC20A0">
              <w:rPr>
                <w:spacing w:val="-2"/>
              </w:rPr>
              <w:t>assessments.</w:t>
            </w:r>
          </w:p>
        </w:tc>
        <w:tc>
          <w:tcPr>
            <w:tcW w:w="1024" w:type="dxa"/>
            <w:tcBorders>
              <w:top w:val="single" w:sz="6" w:space="0" w:color="000000"/>
              <w:left w:val="single" w:sz="6" w:space="0" w:color="000000"/>
              <w:bottom w:val="single" w:sz="6" w:space="0" w:color="000000"/>
              <w:right w:val="single" w:sz="6" w:space="0" w:color="000000"/>
            </w:tcBorders>
          </w:tcPr>
          <w:p w14:paraId="24D61EA8" w14:textId="77777777" w:rsidR="00245300" w:rsidRPr="00EC20A0" w:rsidRDefault="00245300">
            <w:pPr>
              <w:pStyle w:val="TableParagraph"/>
            </w:pPr>
          </w:p>
        </w:tc>
        <w:tc>
          <w:tcPr>
            <w:tcW w:w="765" w:type="dxa"/>
            <w:tcBorders>
              <w:top w:val="single" w:sz="6" w:space="0" w:color="000000"/>
              <w:left w:val="single" w:sz="6" w:space="0" w:color="000000"/>
              <w:bottom w:val="single" w:sz="6" w:space="0" w:color="000000"/>
            </w:tcBorders>
          </w:tcPr>
          <w:p w14:paraId="24D61EA9" w14:textId="77777777" w:rsidR="00245300" w:rsidRPr="00EC20A0" w:rsidRDefault="00245300">
            <w:pPr>
              <w:pStyle w:val="TableParagraph"/>
            </w:pPr>
          </w:p>
        </w:tc>
      </w:tr>
      <w:tr w:rsidR="00245300" w:rsidRPr="00EC20A0" w14:paraId="24D61EAE" w14:textId="77777777">
        <w:trPr>
          <w:trHeight w:val="1505"/>
        </w:trPr>
        <w:tc>
          <w:tcPr>
            <w:tcW w:w="7420" w:type="dxa"/>
            <w:tcBorders>
              <w:top w:val="single" w:sz="6" w:space="0" w:color="000000"/>
              <w:bottom w:val="single" w:sz="6" w:space="0" w:color="000000"/>
              <w:right w:val="single" w:sz="6" w:space="0" w:color="000000"/>
            </w:tcBorders>
          </w:tcPr>
          <w:p w14:paraId="24D61EAB" w14:textId="77777777" w:rsidR="00245300" w:rsidRPr="00EC20A0" w:rsidRDefault="00F17249">
            <w:pPr>
              <w:pStyle w:val="TableParagraph"/>
              <w:tabs>
                <w:tab w:val="left" w:pos="668"/>
              </w:tabs>
              <w:spacing w:before="121"/>
              <w:ind w:left="668" w:right="116" w:hanging="576"/>
            </w:pPr>
            <w:r w:rsidRPr="00EC20A0">
              <w:rPr>
                <w:spacing w:val="-6"/>
              </w:rPr>
              <w:t>2)</w:t>
            </w:r>
            <w:r w:rsidRPr="00EC20A0">
              <w:tab/>
              <w:t>Obtain from management (or the entity’s legal counsel) a description and evaluation of litigation, claims, and assessments that existed at the date of the financial statements being reported</w:t>
            </w:r>
            <w:r w:rsidRPr="00EC20A0">
              <w:rPr>
                <w:spacing w:val="40"/>
              </w:rPr>
              <w:t xml:space="preserve"> </w:t>
            </w:r>
            <w:r w:rsidRPr="00EC20A0">
              <w:t>on</w:t>
            </w:r>
            <w:r w:rsidRPr="00EC20A0">
              <w:rPr>
                <w:spacing w:val="-4"/>
              </w:rPr>
              <w:t xml:space="preserve"> </w:t>
            </w:r>
            <w:r w:rsidRPr="00EC20A0">
              <w:t>and</w:t>
            </w:r>
            <w:r w:rsidRPr="00EC20A0">
              <w:rPr>
                <w:spacing w:val="-4"/>
              </w:rPr>
              <w:t xml:space="preserve"> </w:t>
            </w:r>
            <w:r w:rsidRPr="00EC20A0">
              <w:t>during</w:t>
            </w:r>
            <w:r w:rsidRPr="00EC20A0">
              <w:rPr>
                <w:spacing w:val="-4"/>
              </w:rPr>
              <w:t xml:space="preserve"> </w:t>
            </w:r>
            <w:r w:rsidRPr="00EC20A0">
              <w:t>the</w:t>
            </w:r>
            <w:r w:rsidRPr="00EC20A0">
              <w:rPr>
                <w:spacing w:val="-4"/>
              </w:rPr>
              <w:t xml:space="preserve"> </w:t>
            </w:r>
            <w:r w:rsidRPr="00EC20A0">
              <w:t>period</w:t>
            </w:r>
            <w:r w:rsidRPr="00EC20A0">
              <w:rPr>
                <w:spacing w:val="-4"/>
              </w:rPr>
              <w:t xml:space="preserve"> </w:t>
            </w:r>
            <w:r w:rsidRPr="00EC20A0">
              <w:t>from</w:t>
            </w:r>
            <w:r w:rsidRPr="00EC20A0">
              <w:rPr>
                <w:spacing w:val="-4"/>
              </w:rPr>
              <w:t xml:space="preserve"> </w:t>
            </w:r>
            <w:r w:rsidRPr="00EC20A0">
              <w:t>the</w:t>
            </w:r>
            <w:r w:rsidRPr="00EC20A0">
              <w:rPr>
                <w:spacing w:val="-4"/>
              </w:rPr>
              <w:t xml:space="preserve"> </w:t>
            </w:r>
            <w:r w:rsidRPr="00EC20A0">
              <w:t>date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to the date the information is furnished.</w:t>
            </w:r>
          </w:p>
        </w:tc>
        <w:tc>
          <w:tcPr>
            <w:tcW w:w="1024" w:type="dxa"/>
            <w:tcBorders>
              <w:top w:val="single" w:sz="6" w:space="0" w:color="000000"/>
              <w:left w:val="single" w:sz="6" w:space="0" w:color="000000"/>
              <w:bottom w:val="single" w:sz="6" w:space="0" w:color="000000"/>
              <w:right w:val="single" w:sz="6" w:space="0" w:color="000000"/>
            </w:tcBorders>
          </w:tcPr>
          <w:p w14:paraId="24D61EAC" w14:textId="77777777" w:rsidR="00245300" w:rsidRPr="00EC20A0" w:rsidRDefault="00245300">
            <w:pPr>
              <w:pStyle w:val="TableParagraph"/>
            </w:pPr>
          </w:p>
        </w:tc>
        <w:tc>
          <w:tcPr>
            <w:tcW w:w="765" w:type="dxa"/>
            <w:tcBorders>
              <w:top w:val="single" w:sz="6" w:space="0" w:color="000000"/>
              <w:left w:val="single" w:sz="6" w:space="0" w:color="000000"/>
              <w:bottom w:val="single" w:sz="6" w:space="0" w:color="000000"/>
            </w:tcBorders>
          </w:tcPr>
          <w:p w14:paraId="24D61EAD" w14:textId="77777777" w:rsidR="00245300" w:rsidRPr="00EC20A0" w:rsidRDefault="00245300">
            <w:pPr>
              <w:pStyle w:val="TableParagraph"/>
            </w:pPr>
          </w:p>
        </w:tc>
      </w:tr>
      <w:tr w:rsidR="00245300" w:rsidRPr="00EC20A0" w14:paraId="24D61EB2" w14:textId="77777777">
        <w:trPr>
          <w:trHeight w:val="2010"/>
        </w:trPr>
        <w:tc>
          <w:tcPr>
            <w:tcW w:w="7420" w:type="dxa"/>
            <w:tcBorders>
              <w:top w:val="single" w:sz="6" w:space="0" w:color="000000"/>
              <w:bottom w:val="single" w:sz="6" w:space="0" w:color="000000"/>
              <w:right w:val="single" w:sz="6" w:space="0" w:color="000000"/>
            </w:tcBorders>
          </w:tcPr>
          <w:p w14:paraId="24D61EAF" w14:textId="77777777" w:rsidR="00245300" w:rsidRPr="00EC20A0" w:rsidRDefault="00F17249">
            <w:pPr>
              <w:pStyle w:val="TableParagraph"/>
              <w:tabs>
                <w:tab w:val="left" w:pos="668"/>
              </w:tabs>
              <w:spacing w:before="119"/>
              <w:ind w:left="668" w:right="262" w:hanging="576"/>
            </w:pPr>
            <w:r w:rsidRPr="00EC20A0">
              <w:rPr>
                <w:spacing w:val="-6"/>
              </w:rPr>
              <w:t>3)</w:t>
            </w:r>
            <w:r w:rsidRPr="00EC20A0">
              <w:tab/>
              <w:t>Inquire</w:t>
            </w:r>
            <w:r w:rsidRPr="00EC20A0">
              <w:rPr>
                <w:spacing w:val="-5"/>
              </w:rPr>
              <w:t xml:space="preserve"> </w:t>
            </w:r>
            <w:r w:rsidRPr="00EC20A0">
              <w:t>of</w:t>
            </w:r>
            <w:r w:rsidRPr="00EC20A0">
              <w:rPr>
                <w:spacing w:val="-5"/>
              </w:rPr>
              <w:t xml:space="preserve"> </w:t>
            </w:r>
            <w:r w:rsidRPr="00EC20A0">
              <w:t>management</w:t>
            </w:r>
            <w:r w:rsidRPr="00EC20A0">
              <w:rPr>
                <w:spacing w:val="-5"/>
              </w:rPr>
              <w:t xml:space="preserve"> </w:t>
            </w:r>
            <w:r w:rsidRPr="00EC20A0">
              <w:t>or</w:t>
            </w:r>
            <w:r w:rsidRPr="00EC20A0">
              <w:rPr>
                <w:spacing w:val="-5"/>
              </w:rPr>
              <w:t xml:space="preserve"> </w:t>
            </w:r>
            <w:r w:rsidRPr="00EC20A0">
              <w:t>the</w:t>
            </w:r>
            <w:r w:rsidRPr="00EC20A0">
              <w:rPr>
                <w:spacing w:val="-5"/>
              </w:rPr>
              <w:t xml:space="preserve"> </w:t>
            </w:r>
            <w:r w:rsidRPr="00EC20A0">
              <w:t>entity’s</w:t>
            </w:r>
            <w:r w:rsidRPr="00EC20A0">
              <w:rPr>
                <w:spacing w:val="-5"/>
              </w:rPr>
              <w:t xml:space="preserve"> </w:t>
            </w:r>
            <w:r w:rsidRPr="00EC20A0">
              <w:t>general</w:t>
            </w:r>
            <w:r w:rsidRPr="00EC20A0">
              <w:rPr>
                <w:spacing w:val="-5"/>
              </w:rPr>
              <w:t xml:space="preserve"> </w:t>
            </w:r>
            <w:r w:rsidRPr="00EC20A0">
              <w:t>counsel</w:t>
            </w:r>
            <w:r w:rsidRPr="00EC20A0">
              <w:rPr>
                <w:spacing w:val="-5"/>
              </w:rPr>
              <w:t xml:space="preserve"> </w:t>
            </w:r>
            <w:r w:rsidRPr="00EC20A0">
              <w:t>whether</w:t>
            </w:r>
            <w:r w:rsidRPr="00EC20A0">
              <w:rPr>
                <w:spacing w:val="-5"/>
              </w:rPr>
              <w:t xml:space="preserve"> </w:t>
            </w:r>
            <w:r w:rsidRPr="00EC20A0">
              <w:t xml:space="preserve">the entity uses external legal counsel whose engagement may be limited to particular matters (e.g., </w:t>
            </w:r>
            <w:r w:rsidRPr="00EC20A0">
              <w:t>specific litigation). Ask management for a list of pending litigation, claims, and assessments from the Department of Justice and other external legal counsel, if any. Review related correspondence, legal expense accounts, and invoices.</w:t>
            </w:r>
          </w:p>
        </w:tc>
        <w:tc>
          <w:tcPr>
            <w:tcW w:w="1024" w:type="dxa"/>
            <w:tcBorders>
              <w:top w:val="single" w:sz="6" w:space="0" w:color="000000"/>
              <w:left w:val="single" w:sz="6" w:space="0" w:color="000000"/>
              <w:bottom w:val="single" w:sz="6" w:space="0" w:color="000000"/>
              <w:right w:val="single" w:sz="6" w:space="0" w:color="000000"/>
            </w:tcBorders>
          </w:tcPr>
          <w:p w14:paraId="24D61EB0" w14:textId="77777777" w:rsidR="00245300" w:rsidRPr="00EC20A0" w:rsidRDefault="00245300">
            <w:pPr>
              <w:pStyle w:val="TableParagraph"/>
            </w:pPr>
          </w:p>
        </w:tc>
        <w:tc>
          <w:tcPr>
            <w:tcW w:w="765" w:type="dxa"/>
            <w:tcBorders>
              <w:top w:val="single" w:sz="6" w:space="0" w:color="000000"/>
              <w:left w:val="single" w:sz="6" w:space="0" w:color="000000"/>
              <w:bottom w:val="single" w:sz="6" w:space="0" w:color="000000"/>
            </w:tcBorders>
          </w:tcPr>
          <w:p w14:paraId="24D61EB1" w14:textId="77777777" w:rsidR="00245300" w:rsidRPr="00EC20A0" w:rsidRDefault="00245300">
            <w:pPr>
              <w:pStyle w:val="TableParagraph"/>
            </w:pPr>
          </w:p>
        </w:tc>
      </w:tr>
      <w:tr w:rsidR="00245300" w:rsidRPr="00EC20A0" w14:paraId="24D61EB6" w14:textId="77777777">
        <w:trPr>
          <w:trHeight w:val="2010"/>
        </w:trPr>
        <w:tc>
          <w:tcPr>
            <w:tcW w:w="7420" w:type="dxa"/>
            <w:tcBorders>
              <w:top w:val="single" w:sz="6" w:space="0" w:color="000000"/>
              <w:bottom w:val="single" w:sz="6" w:space="0" w:color="000000"/>
              <w:right w:val="single" w:sz="6" w:space="0" w:color="000000"/>
            </w:tcBorders>
          </w:tcPr>
          <w:p w14:paraId="24D61EB3" w14:textId="77777777" w:rsidR="00245300" w:rsidRPr="00EC20A0" w:rsidRDefault="00F17249">
            <w:pPr>
              <w:pStyle w:val="TableParagraph"/>
              <w:tabs>
                <w:tab w:val="left" w:pos="668"/>
              </w:tabs>
              <w:spacing w:before="121"/>
              <w:ind w:left="668" w:right="127" w:hanging="577"/>
            </w:pPr>
            <w:r w:rsidRPr="00EC20A0">
              <w:rPr>
                <w:spacing w:val="-6"/>
              </w:rPr>
              <w:t>4)</w:t>
            </w:r>
            <w:r w:rsidRPr="00EC20A0">
              <w:tab/>
              <w:t>Ask</w:t>
            </w:r>
            <w:r w:rsidRPr="00EC20A0">
              <w:rPr>
                <w:spacing w:val="-4"/>
              </w:rPr>
              <w:t xml:space="preserve"> </w:t>
            </w:r>
            <w:r w:rsidRPr="00EC20A0">
              <w:t>management</w:t>
            </w:r>
            <w:r w:rsidRPr="00EC20A0">
              <w:rPr>
                <w:spacing w:val="-4"/>
              </w:rPr>
              <w:t xml:space="preserve"> </w:t>
            </w:r>
            <w:r w:rsidRPr="00EC20A0">
              <w:t>whether</w:t>
            </w:r>
            <w:r w:rsidRPr="00EC20A0">
              <w:rPr>
                <w:spacing w:val="-4"/>
              </w:rPr>
              <w:t xml:space="preserve"> </w:t>
            </w:r>
            <w:r w:rsidRPr="00EC20A0">
              <w:t>there</w:t>
            </w:r>
            <w:r w:rsidRPr="00EC20A0">
              <w:rPr>
                <w:spacing w:val="-4"/>
              </w:rPr>
              <w:t xml:space="preserve"> </w:t>
            </w:r>
            <w:r w:rsidRPr="00EC20A0">
              <w:t>have</w:t>
            </w:r>
            <w:r w:rsidRPr="00EC20A0">
              <w:rPr>
                <w:spacing w:val="-4"/>
              </w:rPr>
              <w:t xml:space="preserve"> </w:t>
            </w:r>
            <w:r w:rsidRPr="00EC20A0">
              <w:t>been</w:t>
            </w:r>
            <w:r w:rsidRPr="00EC20A0">
              <w:rPr>
                <w:spacing w:val="-4"/>
              </w:rPr>
              <w:t xml:space="preserve"> </w:t>
            </w:r>
            <w:r w:rsidRPr="00EC20A0">
              <w:t>changes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status</w:t>
            </w:r>
            <w:r w:rsidRPr="00EC20A0">
              <w:rPr>
                <w:spacing w:val="-4"/>
              </w:rPr>
              <w:t xml:space="preserve"> </w:t>
            </w:r>
            <w:r w:rsidRPr="00EC20A0">
              <w:t>of the general counsel or external legal counsel, such as resignations or intentions</w:t>
            </w:r>
            <w:r w:rsidRPr="00EC20A0">
              <w:rPr>
                <w:spacing w:val="-1"/>
              </w:rPr>
              <w:t xml:space="preserve"> </w:t>
            </w:r>
            <w:r w:rsidRPr="00EC20A0">
              <w:t>to resign. If</w:t>
            </w:r>
            <w:r w:rsidRPr="00EC20A0">
              <w:rPr>
                <w:spacing w:val="-1"/>
              </w:rPr>
              <w:t xml:space="preserve"> </w:t>
            </w:r>
            <w:r w:rsidRPr="00EC20A0">
              <w:t>so, inquire of management or others</w:t>
            </w:r>
            <w:r w:rsidRPr="00EC20A0">
              <w:rPr>
                <w:spacing w:val="-1"/>
              </w:rPr>
              <w:t xml:space="preserve"> </w:t>
            </w:r>
            <w:r w:rsidRPr="00EC20A0">
              <w:t>about the reasons for the resignation or intention to resign. For example, in appropriate circumstances, a legal counsel may be permitted by rules of professional conduct to resign if the legal counsel’s advice is disregarded by the entity.</w:t>
            </w:r>
          </w:p>
        </w:tc>
        <w:tc>
          <w:tcPr>
            <w:tcW w:w="1024" w:type="dxa"/>
            <w:tcBorders>
              <w:top w:val="single" w:sz="6" w:space="0" w:color="000000"/>
              <w:left w:val="single" w:sz="6" w:space="0" w:color="000000"/>
              <w:bottom w:val="single" w:sz="6" w:space="0" w:color="000000"/>
              <w:right w:val="single" w:sz="6" w:space="0" w:color="000000"/>
            </w:tcBorders>
          </w:tcPr>
          <w:p w14:paraId="24D61EB4" w14:textId="77777777" w:rsidR="00245300" w:rsidRPr="00EC20A0" w:rsidRDefault="00245300">
            <w:pPr>
              <w:pStyle w:val="TableParagraph"/>
            </w:pPr>
          </w:p>
        </w:tc>
        <w:tc>
          <w:tcPr>
            <w:tcW w:w="765" w:type="dxa"/>
            <w:tcBorders>
              <w:top w:val="single" w:sz="6" w:space="0" w:color="000000"/>
              <w:left w:val="single" w:sz="6" w:space="0" w:color="000000"/>
              <w:bottom w:val="single" w:sz="6" w:space="0" w:color="000000"/>
            </w:tcBorders>
          </w:tcPr>
          <w:p w14:paraId="24D61EB5" w14:textId="77777777" w:rsidR="00245300" w:rsidRPr="00EC20A0" w:rsidRDefault="00245300">
            <w:pPr>
              <w:pStyle w:val="TableParagraph"/>
            </w:pPr>
          </w:p>
        </w:tc>
      </w:tr>
      <w:tr w:rsidR="00245300" w:rsidRPr="00EC20A0" w14:paraId="24D61EBA" w14:textId="77777777">
        <w:trPr>
          <w:trHeight w:val="2011"/>
        </w:trPr>
        <w:tc>
          <w:tcPr>
            <w:tcW w:w="7420" w:type="dxa"/>
            <w:tcBorders>
              <w:top w:val="single" w:sz="6" w:space="0" w:color="000000"/>
              <w:bottom w:val="single" w:sz="6" w:space="0" w:color="000000"/>
              <w:right w:val="single" w:sz="6" w:space="0" w:color="000000"/>
            </w:tcBorders>
          </w:tcPr>
          <w:p w14:paraId="24D61EB7" w14:textId="77777777" w:rsidR="00245300" w:rsidRPr="00EC20A0" w:rsidRDefault="00F17249">
            <w:pPr>
              <w:pStyle w:val="TableParagraph"/>
              <w:tabs>
                <w:tab w:val="left" w:pos="668"/>
              </w:tabs>
              <w:spacing w:before="121"/>
              <w:ind w:left="668" w:right="248" w:hanging="576"/>
            </w:pPr>
            <w:r w:rsidRPr="00EC20A0">
              <w:rPr>
                <w:spacing w:val="-6"/>
              </w:rPr>
              <w:t>5)</w:t>
            </w:r>
            <w:r w:rsidRPr="00EC20A0">
              <w:tab/>
              <w:t>To identify litigation, claims, and assessments, review minutes of meetings of those charged with governance; documents obtained from</w:t>
            </w:r>
            <w:r w:rsidRPr="00EC20A0">
              <w:rPr>
                <w:spacing w:val="-1"/>
              </w:rPr>
              <w:t xml:space="preserve"> </w:t>
            </w:r>
            <w:r w:rsidRPr="00EC20A0">
              <w:t>management concerning litigation, claims,</w:t>
            </w:r>
            <w:r w:rsidRPr="00EC20A0">
              <w:rPr>
                <w:spacing w:val="-1"/>
              </w:rPr>
              <w:t xml:space="preserve"> </w:t>
            </w:r>
            <w:r w:rsidRPr="00EC20A0">
              <w:t>and assessments; and correspondence between the entity and its legal counsel. The auditor</w:t>
            </w:r>
            <w:r w:rsidRPr="00EC20A0">
              <w:rPr>
                <w:spacing w:val="-4"/>
              </w:rPr>
              <w:t xml:space="preserve"> </w:t>
            </w:r>
            <w:r w:rsidRPr="00EC20A0">
              <w:t>may</w:t>
            </w:r>
            <w:r w:rsidRPr="00EC20A0">
              <w:rPr>
                <w:spacing w:val="-4"/>
              </w:rPr>
              <w:t xml:space="preserve"> </w:t>
            </w:r>
            <w:r w:rsidRPr="00EC20A0">
              <w:t>also</w:t>
            </w:r>
            <w:r w:rsidRPr="00EC20A0">
              <w:rPr>
                <w:spacing w:val="-4"/>
              </w:rPr>
              <w:t xml:space="preserve"> </w:t>
            </w:r>
            <w:r w:rsidRPr="00EC20A0">
              <w:t>read</w:t>
            </w:r>
            <w:r w:rsidRPr="00EC20A0">
              <w:rPr>
                <w:spacing w:val="-4"/>
              </w:rPr>
              <w:t xml:space="preserve"> </w:t>
            </w:r>
            <w:r w:rsidRPr="00EC20A0">
              <w:t>contracts</w:t>
            </w:r>
            <w:r w:rsidRPr="00EC20A0">
              <w:rPr>
                <w:spacing w:val="-4"/>
              </w:rPr>
              <w:t xml:space="preserve"> </w:t>
            </w:r>
            <w:r w:rsidRPr="00EC20A0">
              <w:t>and</w:t>
            </w:r>
            <w:r w:rsidRPr="00EC20A0">
              <w:rPr>
                <w:spacing w:val="-5"/>
              </w:rPr>
              <w:t xml:space="preserve"> </w:t>
            </w:r>
            <w:r w:rsidRPr="00EC20A0">
              <w:t>other</w:t>
            </w:r>
            <w:r w:rsidRPr="00EC20A0">
              <w:rPr>
                <w:spacing w:val="-4"/>
              </w:rPr>
              <w:t xml:space="preserve"> </w:t>
            </w:r>
            <w:r w:rsidRPr="00EC20A0">
              <w:t>agreements</w:t>
            </w:r>
            <w:r w:rsidRPr="00EC20A0">
              <w:rPr>
                <w:spacing w:val="-4"/>
              </w:rPr>
              <w:t xml:space="preserve"> </w:t>
            </w:r>
            <w:r w:rsidRPr="00EC20A0">
              <w:t>and</w:t>
            </w:r>
            <w:r w:rsidRPr="00EC20A0">
              <w:rPr>
                <w:spacing w:val="-4"/>
              </w:rPr>
              <w:t xml:space="preserve"> </w:t>
            </w:r>
            <w:r w:rsidRPr="00EC20A0">
              <w:t>leases, noncompliance with which could have a material effect on the financial statements.</w:t>
            </w:r>
          </w:p>
        </w:tc>
        <w:tc>
          <w:tcPr>
            <w:tcW w:w="1024" w:type="dxa"/>
            <w:tcBorders>
              <w:top w:val="single" w:sz="6" w:space="0" w:color="000000"/>
              <w:left w:val="single" w:sz="6" w:space="0" w:color="000000"/>
              <w:bottom w:val="single" w:sz="6" w:space="0" w:color="000000"/>
              <w:right w:val="single" w:sz="6" w:space="0" w:color="000000"/>
            </w:tcBorders>
          </w:tcPr>
          <w:p w14:paraId="24D61EB8" w14:textId="77777777" w:rsidR="00245300" w:rsidRPr="00EC20A0" w:rsidRDefault="00245300">
            <w:pPr>
              <w:pStyle w:val="TableParagraph"/>
            </w:pPr>
          </w:p>
        </w:tc>
        <w:tc>
          <w:tcPr>
            <w:tcW w:w="765" w:type="dxa"/>
            <w:tcBorders>
              <w:top w:val="single" w:sz="6" w:space="0" w:color="000000"/>
              <w:left w:val="single" w:sz="6" w:space="0" w:color="000000"/>
              <w:bottom w:val="single" w:sz="6" w:space="0" w:color="000000"/>
            </w:tcBorders>
          </w:tcPr>
          <w:p w14:paraId="24D61EB9" w14:textId="77777777" w:rsidR="00245300" w:rsidRPr="00EC20A0" w:rsidRDefault="00245300">
            <w:pPr>
              <w:pStyle w:val="TableParagraph"/>
            </w:pPr>
          </w:p>
        </w:tc>
      </w:tr>
    </w:tbl>
    <w:p w14:paraId="24D61EBB" w14:textId="77777777" w:rsidR="00245300" w:rsidRPr="00EC20A0" w:rsidRDefault="00245300">
      <w:pPr>
        <w:sectPr w:rsidR="00245300" w:rsidRPr="00EC20A0">
          <w:headerReference w:type="default" r:id="rId196"/>
          <w:footerReference w:type="default" r:id="rId197"/>
          <w:pgSz w:w="12240" w:h="15840"/>
          <w:pgMar w:top="1340" w:right="1100" w:bottom="940" w:left="1240" w:header="721" w:footer="757" w:gutter="0"/>
          <w:pgNumType w:start="1"/>
          <w:cols w:space="720"/>
        </w:sectPr>
      </w:pPr>
    </w:p>
    <w:p w14:paraId="24D61EBC" w14:textId="77777777" w:rsidR="00245300" w:rsidRPr="00EC20A0" w:rsidRDefault="00245300">
      <w:pPr>
        <w:pStyle w:val="BodyText"/>
        <w:spacing w:before="9"/>
        <w:rPr>
          <w:sz w:val="11"/>
        </w:rPr>
      </w:pPr>
    </w:p>
    <w:tbl>
      <w:tblPr>
        <w:tblW w:w="0" w:type="auto"/>
        <w:tblInd w:w="2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20"/>
        <w:gridCol w:w="1024"/>
        <w:gridCol w:w="765"/>
      </w:tblGrid>
      <w:tr w:rsidR="00245300" w:rsidRPr="00EC20A0" w14:paraId="24D61EC3" w14:textId="77777777">
        <w:trPr>
          <w:trHeight w:val="999"/>
        </w:trPr>
        <w:tc>
          <w:tcPr>
            <w:tcW w:w="7420" w:type="dxa"/>
            <w:tcBorders>
              <w:bottom w:val="single" w:sz="6" w:space="0" w:color="000000"/>
              <w:right w:val="single" w:sz="6" w:space="0" w:color="000000"/>
            </w:tcBorders>
          </w:tcPr>
          <w:p w14:paraId="24D61EBD" w14:textId="77777777" w:rsidR="00245300" w:rsidRPr="00EC20A0" w:rsidRDefault="00245300">
            <w:pPr>
              <w:pStyle w:val="TableParagraph"/>
            </w:pPr>
          </w:p>
          <w:p w14:paraId="24D61EBE" w14:textId="77777777" w:rsidR="00245300" w:rsidRPr="00EC20A0" w:rsidRDefault="00245300">
            <w:pPr>
              <w:pStyle w:val="TableParagraph"/>
              <w:spacing w:before="120"/>
            </w:pPr>
          </w:p>
          <w:p w14:paraId="24D61EBF" w14:textId="77777777" w:rsidR="00245300" w:rsidRPr="00EC20A0" w:rsidRDefault="00F17249">
            <w:pPr>
              <w:pStyle w:val="TableParagraph"/>
              <w:ind w:left="92"/>
              <w:rPr>
                <w:b/>
              </w:rPr>
            </w:pPr>
            <w:r w:rsidRPr="00EC20A0">
              <w:rPr>
                <w:b/>
              </w:rPr>
              <w:t>Example</w:t>
            </w:r>
            <w:r w:rsidRPr="00EC20A0">
              <w:rPr>
                <w:b/>
                <w:spacing w:val="-8"/>
              </w:rPr>
              <w:t xml:space="preserve"> </w:t>
            </w:r>
            <w:r w:rsidRPr="00EC20A0">
              <w:rPr>
                <w:b/>
              </w:rPr>
              <w:t>audit</w:t>
            </w:r>
            <w:r w:rsidRPr="00EC20A0">
              <w:rPr>
                <w:b/>
                <w:spacing w:val="-8"/>
              </w:rPr>
              <w:t xml:space="preserve"> </w:t>
            </w:r>
            <w:r w:rsidRPr="00EC20A0">
              <w:rPr>
                <w:b/>
                <w:spacing w:val="-2"/>
              </w:rPr>
              <w:t>procedures</w:t>
            </w:r>
          </w:p>
        </w:tc>
        <w:tc>
          <w:tcPr>
            <w:tcW w:w="1024" w:type="dxa"/>
            <w:tcBorders>
              <w:left w:val="single" w:sz="6" w:space="0" w:color="000000"/>
              <w:bottom w:val="single" w:sz="6" w:space="0" w:color="000000"/>
              <w:right w:val="single" w:sz="6" w:space="0" w:color="000000"/>
            </w:tcBorders>
          </w:tcPr>
          <w:p w14:paraId="24D61EC0" w14:textId="77777777" w:rsidR="00245300" w:rsidRPr="00EC20A0" w:rsidRDefault="00F17249">
            <w:pPr>
              <w:pStyle w:val="TableParagraph"/>
              <w:spacing w:before="120"/>
              <w:ind w:left="107" w:right="201"/>
              <w:rPr>
                <w:b/>
              </w:rPr>
            </w:pPr>
            <w:r w:rsidRPr="00EC20A0">
              <w:rPr>
                <w:b/>
                <w:spacing w:val="-2"/>
              </w:rPr>
              <w:t xml:space="preserve">Initials </w:t>
            </w:r>
            <w:r w:rsidRPr="00EC20A0">
              <w:rPr>
                <w:b/>
                <w:spacing w:val="-4"/>
              </w:rPr>
              <w:t>and date</w:t>
            </w:r>
          </w:p>
        </w:tc>
        <w:tc>
          <w:tcPr>
            <w:tcW w:w="765" w:type="dxa"/>
            <w:tcBorders>
              <w:left w:val="single" w:sz="6" w:space="0" w:color="000000"/>
              <w:bottom w:val="single" w:sz="6" w:space="0" w:color="000000"/>
            </w:tcBorders>
          </w:tcPr>
          <w:p w14:paraId="24D61EC1" w14:textId="77777777" w:rsidR="00245300" w:rsidRPr="00EC20A0" w:rsidRDefault="00245300">
            <w:pPr>
              <w:pStyle w:val="TableParagraph"/>
              <w:spacing w:before="120"/>
            </w:pPr>
          </w:p>
          <w:p w14:paraId="24D61EC2" w14:textId="77777777" w:rsidR="00245300" w:rsidRPr="00EC20A0" w:rsidRDefault="00F17249">
            <w:pPr>
              <w:pStyle w:val="TableParagraph"/>
              <w:ind w:left="107" w:right="148" w:hanging="1"/>
              <w:rPr>
                <w:b/>
              </w:rPr>
            </w:pPr>
            <w:r w:rsidRPr="00EC20A0">
              <w:rPr>
                <w:b/>
                <w:spacing w:val="-4"/>
              </w:rPr>
              <w:t>Doc. ref.</w:t>
            </w:r>
          </w:p>
        </w:tc>
      </w:tr>
      <w:tr w:rsidR="00245300" w:rsidRPr="00EC20A0" w14:paraId="24D61EC7" w14:textId="77777777">
        <w:trPr>
          <w:trHeight w:val="2263"/>
        </w:trPr>
        <w:tc>
          <w:tcPr>
            <w:tcW w:w="7420" w:type="dxa"/>
            <w:tcBorders>
              <w:top w:val="single" w:sz="6" w:space="0" w:color="000000"/>
              <w:bottom w:val="single" w:sz="6" w:space="0" w:color="000000"/>
              <w:right w:val="single" w:sz="6" w:space="0" w:color="000000"/>
            </w:tcBorders>
          </w:tcPr>
          <w:p w14:paraId="24D61EC4" w14:textId="77777777" w:rsidR="00245300" w:rsidRPr="00EC20A0" w:rsidRDefault="00F17249">
            <w:pPr>
              <w:pStyle w:val="TableParagraph"/>
              <w:tabs>
                <w:tab w:val="left" w:pos="668"/>
              </w:tabs>
              <w:spacing w:before="119"/>
              <w:ind w:left="668" w:right="444" w:hanging="576"/>
            </w:pPr>
            <w:r w:rsidRPr="00EC20A0">
              <w:rPr>
                <w:spacing w:val="-6"/>
              </w:rPr>
              <w:t>6)</w:t>
            </w:r>
            <w:r w:rsidRPr="00EC20A0">
              <w:tab/>
              <w:t>If information comes to the auditor’s attention that indicates a potential</w:t>
            </w:r>
            <w:r w:rsidRPr="00EC20A0">
              <w:rPr>
                <w:spacing w:val="-5"/>
              </w:rPr>
              <w:t xml:space="preserve"> </w:t>
            </w:r>
            <w:r w:rsidRPr="00EC20A0">
              <w:t>contingency</w:t>
            </w:r>
            <w:r w:rsidRPr="00EC20A0">
              <w:rPr>
                <w:spacing w:val="-4"/>
              </w:rPr>
              <w:t xml:space="preserve"> </w:t>
            </w:r>
            <w:r w:rsidRPr="00EC20A0">
              <w:t>requiring</w:t>
            </w:r>
            <w:r w:rsidRPr="00EC20A0">
              <w:rPr>
                <w:spacing w:val="-5"/>
              </w:rPr>
              <w:t xml:space="preserve"> </w:t>
            </w:r>
            <w:r w:rsidRPr="00EC20A0">
              <w:t>adjustment</w:t>
            </w:r>
            <w:r w:rsidRPr="00EC20A0">
              <w:rPr>
                <w:spacing w:val="-5"/>
              </w:rPr>
              <w:t xml:space="preserve"> </w:t>
            </w:r>
            <w:r w:rsidRPr="00EC20A0">
              <w:t>to</w:t>
            </w:r>
            <w:r w:rsidRPr="00EC20A0">
              <w:rPr>
                <w:spacing w:val="-5"/>
              </w:rPr>
              <w:t xml:space="preserve"> </w:t>
            </w:r>
            <w:r w:rsidRPr="00EC20A0">
              <w:t>or</w:t>
            </w:r>
            <w:r w:rsidRPr="00EC20A0">
              <w:rPr>
                <w:spacing w:val="-5"/>
              </w:rPr>
              <w:t xml:space="preserve"> </w:t>
            </w:r>
            <w:r w:rsidRPr="00EC20A0">
              <w:t>disclosure</w:t>
            </w:r>
            <w:r w:rsidRPr="00EC20A0">
              <w:rPr>
                <w:spacing w:val="-5"/>
              </w:rPr>
              <w:t xml:space="preserve"> </w:t>
            </w:r>
            <w:r w:rsidRPr="00EC20A0">
              <w:t>in</w:t>
            </w:r>
            <w:r w:rsidRPr="00EC20A0">
              <w:rPr>
                <w:spacing w:val="-6"/>
              </w:rPr>
              <w:t xml:space="preserve"> </w:t>
            </w:r>
            <w:r w:rsidRPr="00EC20A0">
              <w:t xml:space="preserve">the financial </w:t>
            </w:r>
            <w:r w:rsidRPr="00EC20A0">
              <w:t>statements with respect to litigation, claims, or assessments, discuss with the entity the need to consult legal counsel. Depending on the severity of the matter, refusal by the entity to consult legal counsel may result in a modification of the opinion in the auditor’s report. Determine the effect of such limitation on the auditor’s report.</w:t>
            </w:r>
          </w:p>
        </w:tc>
        <w:tc>
          <w:tcPr>
            <w:tcW w:w="1024" w:type="dxa"/>
            <w:tcBorders>
              <w:top w:val="single" w:sz="6" w:space="0" w:color="000000"/>
              <w:left w:val="single" w:sz="6" w:space="0" w:color="000000"/>
              <w:bottom w:val="single" w:sz="6" w:space="0" w:color="000000"/>
              <w:right w:val="single" w:sz="6" w:space="0" w:color="000000"/>
            </w:tcBorders>
          </w:tcPr>
          <w:p w14:paraId="24D61EC5"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C6" w14:textId="77777777" w:rsidR="00245300" w:rsidRPr="00EC20A0" w:rsidRDefault="00245300">
            <w:pPr>
              <w:pStyle w:val="TableParagraph"/>
              <w:rPr>
                <w:sz w:val="20"/>
              </w:rPr>
            </w:pPr>
          </w:p>
        </w:tc>
      </w:tr>
      <w:tr w:rsidR="00245300" w:rsidRPr="00EC20A0" w14:paraId="24D61ECE" w14:textId="77777777">
        <w:trPr>
          <w:trHeight w:val="4278"/>
        </w:trPr>
        <w:tc>
          <w:tcPr>
            <w:tcW w:w="7420" w:type="dxa"/>
            <w:tcBorders>
              <w:top w:val="single" w:sz="6" w:space="0" w:color="000000"/>
              <w:bottom w:val="single" w:sz="6" w:space="0" w:color="000000"/>
              <w:right w:val="single" w:sz="6" w:space="0" w:color="000000"/>
            </w:tcBorders>
          </w:tcPr>
          <w:p w14:paraId="24D61EC8" w14:textId="77777777" w:rsidR="00245300" w:rsidRPr="00EC20A0" w:rsidRDefault="00F17249">
            <w:pPr>
              <w:pStyle w:val="TableParagraph"/>
              <w:numPr>
                <w:ilvl w:val="0"/>
                <w:numId w:val="65"/>
              </w:numPr>
              <w:tabs>
                <w:tab w:val="left" w:pos="668"/>
              </w:tabs>
              <w:spacing w:before="119"/>
              <w:ind w:right="163"/>
            </w:pPr>
            <w:r w:rsidRPr="00EC20A0">
              <w:t xml:space="preserve">Request that management prepare a legal counsel request to be sent by the auditor to the entity’s general counsel asking that the counsel communicate </w:t>
            </w:r>
            <w:r w:rsidRPr="00EC20A0">
              <w:t>directly with the auditor. The request should cover all litigation, claims, and assessments, including matters handled by Justice or other external legal counsel on behalf of the entity. If Justice or other external legal counsel has overall responsibility for the entity’s litigation, claims, and assessments, also</w:t>
            </w:r>
            <w:r w:rsidRPr="00EC20A0">
              <w:rPr>
                <w:spacing w:val="-4"/>
              </w:rPr>
              <w:t xml:space="preserve"> </w:t>
            </w:r>
            <w:r w:rsidRPr="00EC20A0">
              <w:t>request</w:t>
            </w:r>
            <w:r w:rsidRPr="00EC20A0">
              <w:rPr>
                <w:spacing w:val="-5"/>
              </w:rPr>
              <w:t xml:space="preserve"> </w:t>
            </w:r>
            <w:r w:rsidRPr="00EC20A0">
              <w:t>a</w:t>
            </w:r>
            <w:r w:rsidRPr="00EC20A0">
              <w:rPr>
                <w:spacing w:val="-4"/>
              </w:rPr>
              <w:t xml:space="preserve"> </w:t>
            </w:r>
            <w:r w:rsidRPr="00EC20A0">
              <w:t>legal</w:t>
            </w:r>
            <w:r w:rsidRPr="00EC20A0">
              <w:rPr>
                <w:spacing w:val="-4"/>
              </w:rPr>
              <w:t xml:space="preserve"> </w:t>
            </w:r>
            <w:r w:rsidRPr="00EC20A0">
              <w:t>counsel</w:t>
            </w:r>
            <w:r w:rsidRPr="00EC20A0">
              <w:rPr>
                <w:spacing w:val="-4"/>
              </w:rPr>
              <w:t xml:space="preserve"> </w:t>
            </w:r>
            <w:r w:rsidRPr="00EC20A0">
              <w:t>response</w:t>
            </w:r>
            <w:r w:rsidRPr="00EC20A0">
              <w:rPr>
                <w:spacing w:val="-4"/>
              </w:rPr>
              <w:t xml:space="preserve"> </w:t>
            </w:r>
            <w:r w:rsidRPr="00EC20A0">
              <w:t>from</w:t>
            </w:r>
            <w:r w:rsidRPr="00EC20A0">
              <w:rPr>
                <w:spacing w:val="-5"/>
              </w:rPr>
              <w:t xml:space="preserve"> </w:t>
            </w:r>
            <w:r w:rsidRPr="00EC20A0">
              <w:t>that</w:t>
            </w:r>
            <w:r w:rsidRPr="00EC20A0">
              <w:rPr>
                <w:spacing w:val="-4"/>
              </w:rPr>
              <w:t xml:space="preserve"> </w:t>
            </w:r>
            <w:r w:rsidRPr="00EC20A0">
              <w:t>counsel.</w:t>
            </w:r>
            <w:r w:rsidRPr="00EC20A0">
              <w:rPr>
                <w:spacing w:val="-4"/>
              </w:rPr>
              <w:t xml:space="preserve"> </w:t>
            </w:r>
            <w:r w:rsidRPr="00EC20A0">
              <w:t>(See</w:t>
            </w:r>
            <w:r w:rsidRPr="00EC20A0">
              <w:rPr>
                <w:spacing w:val="-4"/>
              </w:rPr>
              <w:t xml:space="preserve"> </w:t>
            </w:r>
            <w:r w:rsidRPr="00EC20A0">
              <w:t>FAM 1002 B for an example legal counsel request.)</w:t>
            </w:r>
          </w:p>
          <w:p w14:paraId="24D61EC9" w14:textId="77777777" w:rsidR="00245300" w:rsidRPr="00EC20A0" w:rsidRDefault="00F17249">
            <w:pPr>
              <w:pStyle w:val="TableParagraph"/>
              <w:spacing w:before="241"/>
              <w:ind w:left="669"/>
            </w:pPr>
            <w:r w:rsidRPr="00EC20A0">
              <w:t>Coordinate</w:t>
            </w:r>
            <w:r w:rsidRPr="00EC20A0">
              <w:rPr>
                <w:spacing w:val="-8"/>
              </w:rPr>
              <w:t xml:space="preserve"> </w:t>
            </w:r>
            <w:r w:rsidRPr="00EC20A0">
              <w:t>with</w:t>
            </w:r>
            <w:r w:rsidRPr="00EC20A0">
              <w:rPr>
                <w:spacing w:val="-7"/>
              </w:rPr>
              <w:t xml:space="preserve"> </w:t>
            </w:r>
            <w:r w:rsidRPr="00EC20A0">
              <w:t>management</w:t>
            </w:r>
            <w:r w:rsidRPr="00EC20A0">
              <w:rPr>
                <w:spacing w:val="-7"/>
              </w:rPr>
              <w:t xml:space="preserve"> </w:t>
            </w:r>
            <w:r w:rsidRPr="00EC20A0">
              <w:t>and</w:t>
            </w:r>
            <w:r w:rsidRPr="00EC20A0">
              <w:rPr>
                <w:spacing w:val="-7"/>
              </w:rPr>
              <w:t xml:space="preserve"> </w:t>
            </w:r>
            <w:r w:rsidRPr="00EC20A0">
              <w:t>legal</w:t>
            </w:r>
            <w:r w:rsidRPr="00EC20A0">
              <w:rPr>
                <w:spacing w:val="-7"/>
              </w:rPr>
              <w:t xml:space="preserve"> </w:t>
            </w:r>
            <w:r w:rsidRPr="00EC20A0">
              <w:t>counsel</w:t>
            </w:r>
            <w:r w:rsidRPr="00EC20A0">
              <w:rPr>
                <w:spacing w:val="-7"/>
              </w:rPr>
              <w:t xml:space="preserve"> </w:t>
            </w:r>
            <w:r w:rsidRPr="00EC20A0">
              <w:t>to</w:t>
            </w:r>
            <w:r w:rsidRPr="00EC20A0">
              <w:rPr>
                <w:spacing w:val="-7"/>
              </w:rPr>
              <w:t xml:space="preserve"> </w:t>
            </w:r>
            <w:r w:rsidRPr="00EC20A0">
              <w:rPr>
                <w:spacing w:val="-2"/>
              </w:rPr>
              <w:t>determine</w:t>
            </w:r>
          </w:p>
          <w:p w14:paraId="24D61ECA" w14:textId="77777777" w:rsidR="00245300" w:rsidRPr="00EC20A0" w:rsidRDefault="00F17249">
            <w:pPr>
              <w:pStyle w:val="TableParagraph"/>
              <w:numPr>
                <w:ilvl w:val="1"/>
                <w:numId w:val="65"/>
              </w:numPr>
              <w:tabs>
                <w:tab w:val="left" w:pos="1103"/>
              </w:tabs>
              <w:spacing w:before="240"/>
              <w:ind w:right="474"/>
            </w:pPr>
            <w:r w:rsidRPr="00EC20A0">
              <w:t>the</w:t>
            </w:r>
            <w:r w:rsidRPr="00EC20A0">
              <w:rPr>
                <w:spacing w:val="-5"/>
              </w:rPr>
              <w:t xml:space="preserve"> </w:t>
            </w:r>
            <w:r w:rsidRPr="00EC20A0">
              <w:t>timing</w:t>
            </w:r>
            <w:r w:rsidRPr="00EC20A0">
              <w:rPr>
                <w:spacing w:val="-5"/>
              </w:rPr>
              <w:t xml:space="preserve"> </w:t>
            </w:r>
            <w:r w:rsidRPr="00EC20A0">
              <w:t>of</w:t>
            </w:r>
            <w:r w:rsidRPr="00EC20A0">
              <w:rPr>
                <w:spacing w:val="-5"/>
              </w:rPr>
              <w:t xml:space="preserve"> </w:t>
            </w:r>
            <w:r w:rsidRPr="00EC20A0">
              <w:t>legal</w:t>
            </w:r>
            <w:r w:rsidRPr="00EC20A0">
              <w:rPr>
                <w:spacing w:val="-5"/>
              </w:rPr>
              <w:t xml:space="preserve"> </w:t>
            </w:r>
            <w:r w:rsidRPr="00EC20A0">
              <w:t>counsel</w:t>
            </w:r>
            <w:r w:rsidRPr="00EC20A0">
              <w:rPr>
                <w:spacing w:val="-5"/>
              </w:rPr>
              <w:t xml:space="preserve"> </w:t>
            </w:r>
            <w:r w:rsidRPr="00EC20A0">
              <w:t>requests,</w:t>
            </w:r>
            <w:r w:rsidRPr="00EC20A0">
              <w:rPr>
                <w:spacing w:val="-6"/>
              </w:rPr>
              <w:t xml:space="preserve"> </w:t>
            </w:r>
            <w:r w:rsidRPr="00EC20A0">
              <w:t>responses,</w:t>
            </w:r>
            <w:r w:rsidRPr="00EC20A0">
              <w:rPr>
                <w:spacing w:val="-6"/>
              </w:rPr>
              <w:t xml:space="preserve"> </w:t>
            </w:r>
            <w:r w:rsidRPr="00EC20A0">
              <w:t>and</w:t>
            </w:r>
            <w:r w:rsidRPr="00EC20A0">
              <w:rPr>
                <w:spacing w:val="-5"/>
              </w:rPr>
              <w:t xml:space="preserve"> </w:t>
            </w:r>
            <w:r w:rsidRPr="00EC20A0">
              <w:t>related management schedules and</w:t>
            </w:r>
          </w:p>
          <w:p w14:paraId="24D61ECB" w14:textId="77777777" w:rsidR="00245300" w:rsidRPr="00EC20A0" w:rsidRDefault="00F17249">
            <w:pPr>
              <w:pStyle w:val="TableParagraph"/>
              <w:numPr>
                <w:ilvl w:val="1"/>
                <w:numId w:val="65"/>
              </w:numPr>
              <w:tabs>
                <w:tab w:val="left" w:pos="1103"/>
              </w:tabs>
              <w:spacing w:before="238"/>
            </w:pPr>
            <w:r w:rsidRPr="00EC20A0">
              <w:t>a</w:t>
            </w:r>
            <w:r w:rsidRPr="00EC20A0">
              <w:rPr>
                <w:spacing w:val="-6"/>
              </w:rPr>
              <w:t xml:space="preserve"> </w:t>
            </w:r>
            <w:r w:rsidRPr="00EC20A0">
              <w:t>materiality</w:t>
            </w:r>
            <w:r w:rsidRPr="00EC20A0">
              <w:rPr>
                <w:spacing w:val="-5"/>
              </w:rPr>
              <w:t xml:space="preserve"> </w:t>
            </w:r>
            <w:r w:rsidRPr="00EC20A0">
              <w:t>level</w:t>
            </w:r>
            <w:r w:rsidRPr="00EC20A0">
              <w:rPr>
                <w:spacing w:val="-6"/>
              </w:rPr>
              <w:t xml:space="preserve"> </w:t>
            </w:r>
            <w:r w:rsidRPr="00EC20A0">
              <w:t>to</w:t>
            </w:r>
            <w:r w:rsidRPr="00EC20A0">
              <w:rPr>
                <w:spacing w:val="-5"/>
              </w:rPr>
              <w:t xml:space="preserve"> </w:t>
            </w:r>
            <w:r w:rsidRPr="00EC20A0">
              <w:t>be</w:t>
            </w:r>
            <w:r w:rsidRPr="00EC20A0">
              <w:rPr>
                <w:spacing w:val="-5"/>
              </w:rPr>
              <w:t xml:space="preserve"> </w:t>
            </w:r>
            <w:r w:rsidRPr="00EC20A0">
              <w:t>included</w:t>
            </w:r>
            <w:r w:rsidRPr="00EC20A0">
              <w:rPr>
                <w:spacing w:val="-6"/>
              </w:rPr>
              <w:t xml:space="preserve"> </w:t>
            </w:r>
            <w:r w:rsidRPr="00EC20A0">
              <w:t>in</w:t>
            </w:r>
            <w:r w:rsidRPr="00EC20A0">
              <w:rPr>
                <w:spacing w:val="-5"/>
              </w:rPr>
              <w:t xml:space="preserve"> </w:t>
            </w:r>
            <w:r w:rsidRPr="00EC20A0">
              <w:t>the</w:t>
            </w:r>
            <w:r w:rsidRPr="00EC20A0">
              <w:rPr>
                <w:spacing w:val="-5"/>
              </w:rPr>
              <w:t xml:space="preserve"> </w:t>
            </w:r>
            <w:r w:rsidRPr="00EC20A0">
              <w:t>legal</w:t>
            </w:r>
            <w:r w:rsidRPr="00EC20A0">
              <w:rPr>
                <w:spacing w:val="-5"/>
              </w:rPr>
              <w:t xml:space="preserve"> </w:t>
            </w:r>
            <w:r w:rsidRPr="00EC20A0">
              <w:t>counsel</w:t>
            </w:r>
            <w:r w:rsidRPr="00EC20A0">
              <w:rPr>
                <w:spacing w:val="-4"/>
              </w:rPr>
              <w:t xml:space="preserve"> </w:t>
            </w:r>
            <w:r w:rsidRPr="00EC20A0">
              <w:rPr>
                <w:spacing w:val="-2"/>
              </w:rPr>
              <w:t>response.</w:t>
            </w:r>
          </w:p>
        </w:tc>
        <w:tc>
          <w:tcPr>
            <w:tcW w:w="1024" w:type="dxa"/>
            <w:tcBorders>
              <w:top w:val="single" w:sz="6" w:space="0" w:color="000000"/>
              <w:left w:val="single" w:sz="6" w:space="0" w:color="000000"/>
              <w:bottom w:val="single" w:sz="6" w:space="0" w:color="000000"/>
              <w:right w:val="single" w:sz="6" w:space="0" w:color="000000"/>
            </w:tcBorders>
          </w:tcPr>
          <w:p w14:paraId="24D61ECC"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CD" w14:textId="77777777" w:rsidR="00245300" w:rsidRPr="00EC20A0" w:rsidRDefault="00245300">
            <w:pPr>
              <w:pStyle w:val="TableParagraph"/>
              <w:rPr>
                <w:sz w:val="20"/>
              </w:rPr>
            </w:pPr>
          </w:p>
        </w:tc>
      </w:tr>
      <w:tr w:rsidR="00245300" w:rsidRPr="00EC20A0" w14:paraId="24D61ED2" w14:textId="77777777">
        <w:trPr>
          <w:trHeight w:val="745"/>
        </w:trPr>
        <w:tc>
          <w:tcPr>
            <w:tcW w:w="7420" w:type="dxa"/>
            <w:tcBorders>
              <w:top w:val="single" w:sz="6" w:space="0" w:color="000000"/>
              <w:bottom w:val="single" w:sz="6" w:space="0" w:color="000000"/>
              <w:right w:val="single" w:sz="6" w:space="0" w:color="000000"/>
            </w:tcBorders>
          </w:tcPr>
          <w:p w14:paraId="24D61ECF" w14:textId="77777777" w:rsidR="00245300" w:rsidRPr="00EC20A0" w:rsidRDefault="00F17249">
            <w:pPr>
              <w:pStyle w:val="TableParagraph"/>
              <w:tabs>
                <w:tab w:val="left" w:pos="668"/>
              </w:tabs>
              <w:spacing w:before="119"/>
              <w:ind w:left="668" w:right="555" w:hanging="577"/>
            </w:pPr>
            <w:r w:rsidRPr="00EC20A0">
              <w:rPr>
                <w:spacing w:val="-6"/>
              </w:rPr>
              <w:t>8)</w:t>
            </w:r>
            <w:r w:rsidRPr="00EC20A0">
              <w:tab/>
              <w:t>Read</w:t>
            </w:r>
            <w:r w:rsidRPr="00EC20A0">
              <w:rPr>
                <w:spacing w:val="-5"/>
              </w:rPr>
              <w:t xml:space="preserve"> </w:t>
            </w:r>
            <w:r w:rsidRPr="00EC20A0">
              <w:t>the</w:t>
            </w:r>
            <w:r w:rsidRPr="00EC20A0">
              <w:rPr>
                <w:spacing w:val="-5"/>
              </w:rPr>
              <w:t xml:space="preserve"> </w:t>
            </w:r>
            <w:r w:rsidRPr="00EC20A0">
              <w:t>legal</w:t>
            </w:r>
            <w:r w:rsidRPr="00EC20A0">
              <w:rPr>
                <w:spacing w:val="-5"/>
              </w:rPr>
              <w:t xml:space="preserve"> </w:t>
            </w:r>
            <w:r w:rsidRPr="00EC20A0">
              <w:t>counsel</w:t>
            </w:r>
            <w:r w:rsidRPr="00EC20A0">
              <w:rPr>
                <w:spacing w:val="-6"/>
              </w:rPr>
              <w:t xml:space="preserve"> </w:t>
            </w:r>
            <w:r w:rsidRPr="00EC20A0">
              <w:t>response</w:t>
            </w:r>
            <w:r w:rsidRPr="00EC20A0">
              <w:rPr>
                <w:spacing w:val="-5"/>
              </w:rPr>
              <w:t xml:space="preserve"> </w:t>
            </w:r>
            <w:r w:rsidRPr="00EC20A0">
              <w:t>and</w:t>
            </w:r>
            <w:r w:rsidRPr="00EC20A0">
              <w:rPr>
                <w:spacing w:val="-5"/>
              </w:rPr>
              <w:t xml:space="preserve"> </w:t>
            </w:r>
            <w:r w:rsidRPr="00EC20A0">
              <w:t>management</w:t>
            </w:r>
            <w:r w:rsidRPr="00EC20A0">
              <w:rPr>
                <w:spacing w:val="-5"/>
              </w:rPr>
              <w:t xml:space="preserve"> </w:t>
            </w:r>
            <w:r w:rsidRPr="00EC20A0">
              <w:t>schedule</w:t>
            </w:r>
            <w:r w:rsidRPr="00EC20A0">
              <w:rPr>
                <w:spacing w:val="-5"/>
              </w:rPr>
              <w:t xml:space="preserve"> </w:t>
            </w:r>
            <w:r w:rsidRPr="00EC20A0">
              <w:t>to identify litigation, claims, and assessments.</w:t>
            </w:r>
          </w:p>
        </w:tc>
        <w:tc>
          <w:tcPr>
            <w:tcW w:w="1024" w:type="dxa"/>
            <w:tcBorders>
              <w:top w:val="single" w:sz="6" w:space="0" w:color="000000"/>
              <w:left w:val="single" w:sz="6" w:space="0" w:color="000000"/>
              <w:bottom w:val="single" w:sz="6" w:space="0" w:color="000000"/>
              <w:right w:val="single" w:sz="6" w:space="0" w:color="000000"/>
            </w:tcBorders>
          </w:tcPr>
          <w:p w14:paraId="24D61ED0"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D1" w14:textId="77777777" w:rsidR="00245300" w:rsidRPr="00EC20A0" w:rsidRDefault="00245300">
            <w:pPr>
              <w:pStyle w:val="TableParagraph"/>
              <w:rPr>
                <w:sz w:val="20"/>
              </w:rPr>
            </w:pPr>
          </w:p>
        </w:tc>
      </w:tr>
      <w:tr w:rsidR="00245300" w:rsidRPr="00EC20A0" w14:paraId="24D61ED6" w14:textId="77777777">
        <w:trPr>
          <w:trHeight w:val="1757"/>
        </w:trPr>
        <w:tc>
          <w:tcPr>
            <w:tcW w:w="7420" w:type="dxa"/>
            <w:tcBorders>
              <w:top w:val="single" w:sz="6" w:space="0" w:color="000000"/>
              <w:bottom w:val="single" w:sz="6" w:space="0" w:color="000000"/>
              <w:right w:val="single" w:sz="6" w:space="0" w:color="000000"/>
            </w:tcBorders>
          </w:tcPr>
          <w:p w14:paraId="24D61ED3" w14:textId="77777777" w:rsidR="00245300" w:rsidRPr="00EC20A0" w:rsidRDefault="00F17249">
            <w:pPr>
              <w:pStyle w:val="TableParagraph"/>
              <w:tabs>
                <w:tab w:val="left" w:pos="668"/>
              </w:tabs>
              <w:spacing w:before="119"/>
              <w:ind w:left="668" w:right="214" w:hanging="576"/>
            </w:pPr>
            <w:r w:rsidRPr="00EC20A0">
              <w:rPr>
                <w:spacing w:val="-6"/>
              </w:rPr>
              <w:t>9)</w:t>
            </w:r>
            <w:r w:rsidRPr="00EC20A0">
              <w:tab/>
              <w:t xml:space="preserve">Compare the </w:t>
            </w:r>
            <w:r w:rsidRPr="00EC20A0">
              <w:t>description and evaluation of the current year’s legal counsel response to the prior year’s audit documentation. If this comparison</w:t>
            </w:r>
            <w:r w:rsidRPr="00EC20A0">
              <w:rPr>
                <w:spacing w:val="-4"/>
              </w:rPr>
              <w:t xml:space="preserve"> </w:t>
            </w:r>
            <w:r w:rsidRPr="00EC20A0">
              <w:t>indicates</w:t>
            </w:r>
            <w:r w:rsidRPr="00EC20A0">
              <w:rPr>
                <w:spacing w:val="-5"/>
              </w:rPr>
              <w:t xml:space="preserve"> </w:t>
            </w:r>
            <w:r w:rsidRPr="00EC20A0">
              <w:t>that</w:t>
            </w:r>
            <w:r w:rsidRPr="00EC20A0">
              <w:rPr>
                <w:spacing w:val="-4"/>
              </w:rPr>
              <w:t xml:space="preserve"> </w:t>
            </w:r>
            <w:r w:rsidRPr="00EC20A0">
              <w:t>certain</w:t>
            </w:r>
            <w:r w:rsidRPr="00EC20A0">
              <w:rPr>
                <w:spacing w:val="-4"/>
              </w:rPr>
              <w:t xml:space="preserve"> </w:t>
            </w:r>
            <w:r w:rsidRPr="00EC20A0">
              <w:t>legal</w:t>
            </w:r>
            <w:r w:rsidRPr="00EC20A0">
              <w:rPr>
                <w:spacing w:val="-4"/>
              </w:rPr>
              <w:t xml:space="preserve"> </w:t>
            </w:r>
            <w:r w:rsidRPr="00EC20A0">
              <w:t>matters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prior</w:t>
            </w:r>
            <w:r w:rsidRPr="00EC20A0">
              <w:rPr>
                <w:spacing w:val="-4"/>
              </w:rPr>
              <w:t xml:space="preserve"> </w:t>
            </w:r>
            <w:r w:rsidRPr="00EC20A0">
              <w:t>year</w:t>
            </w:r>
            <w:r w:rsidRPr="00EC20A0">
              <w:rPr>
                <w:spacing w:val="-4"/>
              </w:rPr>
              <w:t xml:space="preserve"> </w:t>
            </w:r>
            <w:r w:rsidRPr="00EC20A0">
              <w:t xml:space="preserve">are no longer included, discuss these matters with management or legal counsel to obtain an understanding of the reasons for the </w:t>
            </w:r>
            <w:r w:rsidRPr="00EC20A0">
              <w:rPr>
                <w:spacing w:val="-2"/>
              </w:rPr>
              <w:t>changes.</w:t>
            </w:r>
          </w:p>
        </w:tc>
        <w:tc>
          <w:tcPr>
            <w:tcW w:w="1024" w:type="dxa"/>
            <w:tcBorders>
              <w:top w:val="single" w:sz="6" w:space="0" w:color="000000"/>
              <w:left w:val="single" w:sz="6" w:space="0" w:color="000000"/>
              <w:bottom w:val="single" w:sz="6" w:space="0" w:color="000000"/>
              <w:right w:val="single" w:sz="6" w:space="0" w:color="000000"/>
            </w:tcBorders>
          </w:tcPr>
          <w:p w14:paraId="24D61ED4"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D5" w14:textId="77777777" w:rsidR="00245300" w:rsidRPr="00EC20A0" w:rsidRDefault="00245300">
            <w:pPr>
              <w:pStyle w:val="TableParagraph"/>
              <w:rPr>
                <w:sz w:val="20"/>
              </w:rPr>
            </w:pPr>
          </w:p>
        </w:tc>
      </w:tr>
      <w:tr w:rsidR="00245300" w:rsidRPr="00EC20A0" w14:paraId="24D61EDA" w14:textId="77777777">
        <w:trPr>
          <w:trHeight w:val="1505"/>
        </w:trPr>
        <w:tc>
          <w:tcPr>
            <w:tcW w:w="7420" w:type="dxa"/>
            <w:tcBorders>
              <w:top w:val="single" w:sz="6" w:space="0" w:color="000000"/>
              <w:bottom w:val="single" w:sz="6" w:space="0" w:color="000000"/>
              <w:right w:val="single" w:sz="6" w:space="0" w:color="000000"/>
            </w:tcBorders>
          </w:tcPr>
          <w:p w14:paraId="24D61ED7" w14:textId="77777777" w:rsidR="00245300" w:rsidRPr="00EC20A0" w:rsidRDefault="00F17249">
            <w:pPr>
              <w:pStyle w:val="TableParagraph"/>
              <w:tabs>
                <w:tab w:val="left" w:pos="668"/>
              </w:tabs>
              <w:spacing w:before="121"/>
              <w:ind w:left="668" w:right="101" w:hanging="576"/>
            </w:pPr>
            <w:r w:rsidRPr="00EC20A0">
              <w:rPr>
                <w:spacing w:val="-4"/>
              </w:rPr>
              <w:t>10)</w:t>
            </w:r>
            <w:r w:rsidRPr="00EC20A0">
              <w:tab/>
              <w:t xml:space="preserve">Determine whether the information in the legal counsel response is consistent with the related management schedule. If there are differences between management’s and legal </w:t>
            </w:r>
            <w:r w:rsidRPr="00EC20A0">
              <w:t>counsel’s determinations,</w:t>
            </w:r>
            <w:r w:rsidRPr="00EC20A0">
              <w:rPr>
                <w:spacing w:val="-6"/>
              </w:rPr>
              <w:t xml:space="preserve"> </w:t>
            </w:r>
            <w:r w:rsidRPr="00EC20A0">
              <w:t>obtain</w:t>
            </w:r>
            <w:r w:rsidRPr="00EC20A0">
              <w:rPr>
                <w:spacing w:val="-6"/>
              </w:rPr>
              <w:t xml:space="preserve"> </w:t>
            </w:r>
            <w:r w:rsidRPr="00EC20A0">
              <w:t>sufficient</w:t>
            </w:r>
            <w:r w:rsidRPr="00EC20A0">
              <w:rPr>
                <w:spacing w:val="-6"/>
              </w:rPr>
              <w:t xml:space="preserve"> </w:t>
            </w:r>
            <w:r w:rsidRPr="00EC20A0">
              <w:t>appropriate</w:t>
            </w:r>
            <w:r w:rsidRPr="00EC20A0">
              <w:rPr>
                <w:spacing w:val="-6"/>
              </w:rPr>
              <w:t xml:space="preserve"> </w:t>
            </w:r>
            <w:r w:rsidRPr="00EC20A0">
              <w:t>evidence</w:t>
            </w:r>
            <w:r w:rsidRPr="00EC20A0">
              <w:rPr>
                <w:spacing w:val="-6"/>
              </w:rPr>
              <w:t xml:space="preserve"> </w:t>
            </w:r>
            <w:r w:rsidRPr="00EC20A0">
              <w:t>to</w:t>
            </w:r>
            <w:r w:rsidRPr="00EC20A0">
              <w:rPr>
                <w:spacing w:val="-6"/>
              </w:rPr>
              <w:t xml:space="preserve"> </w:t>
            </w:r>
            <w:r w:rsidRPr="00EC20A0">
              <w:t>support</w:t>
            </w:r>
            <w:r w:rsidRPr="00EC20A0">
              <w:rPr>
                <w:spacing w:val="-6"/>
              </w:rPr>
              <w:t xml:space="preserve"> </w:t>
            </w:r>
            <w:r w:rsidRPr="00EC20A0">
              <w:t>the reasons for the differences.</w:t>
            </w:r>
          </w:p>
        </w:tc>
        <w:tc>
          <w:tcPr>
            <w:tcW w:w="1024" w:type="dxa"/>
            <w:tcBorders>
              <w:top w:val="single" w:sz="6" w:space="0" w:color="000000"/>
              <w:left w:val="single" w:sz="6" w:space="0" w:color="000000"/>
              <w:bottom w:val="single" w:sz="6" w:space="0" w:color="000000"/>
              <w:right w:val="single" w:sz="6" w:space="0" w:color="000000"/>
            </w:tcBorders>
          </w:tcPr>
          <w:p w14:paraId="24D61ED8"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D9" w14:textId="77777777" w:rsidR="00245300" w:rsidRPr="00EC20A0" w:rsidRDefault="00245300">
            <w:pPr>
              <w:pStyle w:val="TableParagraph"/>
              <w:rPr>
                <w:sz w:val="20"/>
              </w:rPr>
            </w:pPr>
          </w:p>
        </w:tc>
      </w:tr>
      <w:tr w:rsidR="00245300" w:rsidRPr="00EC20A0" w14:paraId="24D61EDE" w14:textId="77777777">
        <w:trPr>
          <w:trHeight w:val="745"/>
        </w:trPr>
        <w:tc>
          <w:tcPr>
            <w:tcW w:w="7420" w:type="dxa"/>
            <w:tcBorders>
              <w:top w:val="single" w:sz="6" w:space="0" w:color="000000"/>
              <w:bottom w:val="single" w:sz="6" w:space="0" w:color="000000"/>
              <w:right w:val="single" w:sz="6" w:space="0" w:color="000000"/>
            </w:tcBorders>
          </w:tcPr>
          <w:p w14:paraId="24D61EDB" w14:textId="77777777" w:rsidR="00245300" w:rsidRPr="00EC20A0" w:rsidRDefault="00F17249">
            <w:pPr>
              <w:pStyle w:val="TableParagraph"/>
              <w:tabs>
                <w:tab w:val="left" w:pos="668"/>
              </w:tabs>
              <w:spacing w:before="119"/>
              <w:ind w:left="668" w:right="1044" w:hanging="577"/>
            </w:pPr>
            <w:r w:rsidRPr="00EC20A0">
              <w:rPr>
                <w:spacing w:val="-4"/>
              </w:rPr>
              <w:t>11)</w:t>
            </w:r>
            <w:r w:rsidRPr="00EC20A0">
              <w:tab/>
              <w:t>Document</w:t>
            </w:r>
            <w:r w:rsidRPr="00EC20A0">
              <w:rPr>
                <w:spacing w:val="-4"/>
              </w:rPr>
              <w:t xml:space="preserve"> </w:t>
            </w:r>
            <w:r w:rsidRPr="00EC20A0">
              <w:t>and</w:t>
            </w:r>
            <w:r w:rsidRPr="00EC20A0">
              <w:rPr>
                <w:spacing w:val="-4"/>
              </w:rPr>
              <w:t xml:space="preserve"> </w:t>
            </w:r>
            <w:r w:rsidRPr="00EC20A0">
              <w:t>discuss</w:t>
            </w:r>
            <w:r w:rsidRPr="00EC20A0">
              <w:rPr>
                <w:spacing w:val="-5"/>
              </w:rPr>
              <w:t xml:space="preserve"> </w:t>
            </w:r>
            <w:r w:rsidRPr="00EC20A0">
              <w:t>with</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legal</w:t>
            </w:r>
            <w:r w:rsidRPr="00EC20A0">
              <w:rPr>
                <w:spacing w:val="-4"/>
              </w:rPr>
              <w:t xml:space="preserve"> </w:t>
            </w:r>
            <w:r w:rsidRPr="00EC20A0">
              <w:t>counsel</w:t>
            </w:r>
            <w:r w:rsidRPr="00EC20A0">
              <w:rPr>
                <w:spacing w:val="-4"/>
              </w:rPr>
              <w:t xml:space="preserve"> </w:t>
            </w:r>
            <w:r w:rsidRPr="00EC20A0">
              <w:t>if</w:t>
            </w:r>
            <w:r w:rsidRPr="00EC20A0">
              <w:rPr>
                <w:spacing w:val="-4"/>
              </w:rPr>
              <w:t xml:space="preserve"> </w:t>
            </w:r>
            <w:r w:rsidRPr="00EC20A0">
              <w:t>the information obtained is not complete, clear, or consistent.</w:t>
            </w:r>
          </w:p>
        </w:tc>
        <w:tc>
          <w:tcPr>
            <w:tcW w:w="1024" w:type="dxa"/>
            <w:tcBorders>
              <w:top w:val="single" w:sz="6" w:space="0" w:color="000000"/>
              <w:left w:val="single" w:sz="6" w:space="0" w:color="000000"/>
              <w:bottom w:val="single" w:sz="6" w:space="0" w:color="000000"/>
              <w:right w:val="single" w:sz="6" w:space="0" w:color="000000"/>
            </w:tcBorders>
          </w:tcPr>
          <w:p w14:paraId="24D61EDC"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DD" w14:textId="77777777" w:rsidR="00245300" w:rsidRPr="00EC20A0" w:rsidRDefault="00245300">
            <w:pPr>
              <w:pStyle w:val="TableParagraph"/>
              <w:rPr>
                <w:sz w:val="20"/>
              </w:rPr>
            </w:pPr>
          </w:p>
        </w:tc>
      </w:tr>
    </w:tbl>
    <w:p w14:paraId="24D61EDF"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EE0" w14:textId="77777777" w:rsidR="00245300" w:rsidRPr="00EC20A0" w:rsidRDefault="00245300">
      <w:pPr>
        <w:pStyle w:val="BodyText"/>
        <w:spacing w:before="9"/>
        <w:rPr>
          <w:sz w:val="11"/>
        </w:rPr>
      </w:pPr>
    </w:p>
    <w:tbl>
      <w:tblPr>
        <w:tblW w:w="0" w:type="auto"/>
        <w:tblInd w:w="29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20"/>
        <w:gridCol w:w="1024"/>
        <w:gridCol w:w="765"/>
      </w:tblGrid>
      <w:tr w:rsidR="00245300" w:rsidRPr="00EC20A0" w14:paraId="24D61EE7" w14:textId="77777777">
        <w:trPr>
          <w:trHeight w:val="999"/>
        </w:trPr>
        <w:tc>
          <w:tcPr>
            <w:tcW w:w="7420" w:type="dxa"/>
            <w:tcBorders>
              <w:bottom w:val="single" w:sz="6" w:space="0" w:color="000000"/>
              <w:right w:val="single" w:sz="6" w:space="0" w:color="000000"/>
            </w:tcBorders>
          </w:tcPr>
          <w:p w14:paraId="24D61EE1" w14:textId="77777777" w:rsidR="00245300" w:rsidRPr="00EC20A0" w:rsidRDefault="00245300">
            <w:pPr>
              <w:pStyle w:val="TableParagraph"/>
            </w:pPr>
          </w:p>
          <w:p w14:paraId="24D61EE2" w14:textId="77777777" w:rsidR="00245300" w:rsidRPr="00EC20A0" w:rsidRDefault="00245300">
            <w:pPr>
              <w:pStyle w:val="TableParagraph"/>
              <w:spacing w:before="120"/>
            </w:pPr>
          </w:p>
          <w:p w14:paraId="24D61EE3" w14:textId="77777777" w:rsidR="00245300" w:rsidRPr="00EC20A0" w:rsidRDefault="00F17249">
            <w:pPr>
              <w:pStyle w:val="TableParagraph"/>
              <w:ind w:left="92"/>
              <w:rPr>
                <w:b/>
              </w:rPr>
            </w:pPr>
            <w:r w:rsidRPr="00EC20A0">
              <w:rPr>
                <w:b/>
              </w:rPr>
              <w:t>Example</w:t>
            </w:r>
            <w:r w:rsidRPr="00EC20A0">
              <w:rPr>
                <w:b/>
                <w:spacing w:val="-8"/>
              </w:rPr>
              <w:t xml:space="preserve"> </w:t>
            </w:r>
            <w:r w:rsidRPr="00EC20A0">
              <w:rPr>
                <w:b/>
              </w:rPr>
              <w:t>audit</w:t>
            </w:r>
            <w:r w:rsidRPr="00EC20A0">
              <w:rPr>
                <w:b/>
                <w:spacing w:val="-8"/>
              </w:rPr>
              <w:t xml:space="preserve"> </w:t>
            </w:r>
            <w:r w:rsidRPr="00EC20A0">
              <w:rPr>
                <w:b/>
                <w:spacing w:val="-2"/>
              </w:rPr>
              <w:t>procedures</w:t>
            </w:r>
          </w:p>
        </w:tc>
        <w:tc>
          <w:tcPr>
            <w:tcW w:w="1024" w:type="dxa"/>
            <w:tcBorders>
              <w:left w:val="single" w:sz="6" w:space="0" w:color="000000"/>
              <w:bottom w:val="single" w:sz="6" w:space="0" w:color="000000"/>
              <w:right w:val="single" w:sz="6" w:space="0" w:color="000000"/>
            </w:tcBorders>
          </w:tcPr>
          <w:p w14:paraId="24D61EE4" w14:textId="77777777" w:rsidR="00245300" w:rsidRPr="00EC20A0" w:rsidRDefault="00F17249">
            <w:pPr>
              <w:pStyle w:val="TableParagraph"/>
              <w:spacing w:before="120"/>
              <w:ind w:left="107" w:right="201"/>
              <w:rPr>
                <w:b/>
              </w:rPr>
            </w:pPr>
            <w:r w:rsidRPr="00EC20A0">
              <w:rPr>
                <w:b/>
                <w:spacing w:val="-2"/>
              </w:rPr>
              <w:t xml:space="preserve">Initials </w:t>
            </w:r>
            <w:r w:rsidRPr="00EC20A0">
              <w:rPr>
                <w:b/>
                <w:spacing w:val="-4"/>
              </w:rPr>
              <w:t>and date</w:t>
            </w:r>
          </w:p>
        </w:tc>
        <w:tc>
          <w:tcPr>
            <w:tcW w:w="765" w:type="dxa"/>
            <w:tcBorders>
              <w:left w:val="single" w:sz="6" w:space="0" w:color="000000"/>
              <w:bottom w:val="single" w:sz="6" w:space="0" w:color="000000"/>
            </w:tcBorders>
          </w:tcPr>
          <w:p w14:paraId="24D61EE5" w14:textId="77777777" w:rsidR="00245300" w:rsidRPr="00EC20A0" w:rsidRDefault="00245300">
            <w:pPr>
              <w:pStyle w:val="TableParagraph"/>
              <w:spacing w:before="120"/>
            </w:pPr>
          </w:p>
          <w:p w14:paraId="24D61EE6" w14:textId="77777777" w:rsidR="00245300" w:rsidRPr="00EC20A0" w:rsidRDefault="00F17249">
            <w:pPr>
              <w:pStyle w:val="TableParagraph"/>
              <w:ind w:left="107" w:right="148" w:hanging="1"/>
              <w:rPr>
                <w:b/>
              </w:rPr>
            </w:pPr>
            <w:r w:rsidRPr="00EC20A0">
              <w:rPr>
                <w:b/>
                <w:spacing w:val="-4"/>
              </w:rPr>
              <w:t>Doc. ref.</w:t>
            </w:r>
          </w:p>
        </w:tc>
      </w:tr>
      <w:tr w:rsidR="00245300" w:rsidRPr="00EC20A0" w14:paraId="24D61EEB" w14:textId="77777777">
        <w:trPr>
          <w:trHeight w:val="998"/>
        </w:trPr>
        <w:tc>
          <w:tcPr>
            <w:tcW w:w="7420" w:type="dxa"/>
            <w:tcBorders>
              <w:top w:val="single" w:sz="6" w:space="0" w:color="000000"/>
              <w:bottom w:val="single" w:sz="6" w:space="0" w:color="000000"/>
              <w:right w:val="single" w:sz="6" w:space="0" w:color="000000"/>
            </w:tcBorders>
          </w:tcPr>
          <w:p w14:paraId="24D61EE8" w14:textId="77777777" w:rsidR="00245300" w:rsidRPr="00EC20A0" w:rsidRDefault="00F17249">
            <w:pPr>
              <w:pStyle w:val="TableParagraph"/>
              <w:tabs>
                <w:tab w:val="left" w:pos="668"/>
              </w:tabs>
              <w:spacing w:before="119"/>
              <w:ind w:left="668" w:right="396" w:hanging="576"/>
            </w:pPr>
            <w:r w:rsidRPr="00EC20A0">
              <w:rPr>
                <w:spacing w:val="-4"/>
              </w:rPr>
              <w:t>12)</w:t>
            </w:r>
            <w:r w:rsidRPr="00EC20A0">
              <w:tab/>
              <w:t>Evaluate</w:t>
            </w:r>
            <w:r w:rsidRPr="00EC20A0">
              <w:rPr>
                <w:spacing w:val="-4"/>
              </w:rPr>
              <w:t xml:space="preserve"> </w:t>
            </w:r>
            <w:r w:rsidRPr="00EC20A0">
              <w:t>the</w:t>
            </w:r>
            <w:r w:rsidRPr="00EC20A0">
              <w:rPr>
                <w:spacing w:val="-5"/>
              </w:rPr>
              <w:t xml:space="preserve"> </w:t>
            </w:r>
            <w:r w:rsidRPr="00EC20A0">
              <w:t>legal</w:t>
            </w:r>
            <w:r w:rsidRPr="00EC20A0">
              <w:rPr>
                <w:spacing w:val="-4"/>
              </w:rPr>
              <w:t xml:space="preserve"> </w:t>
            </w:r>
            <w:r w:rsidRPr="00EC20A0">
              <w:t>counsel</w:t>
            </w:r>
            <w:r w:rsidRPr="00EC20A0">
              <w:rPr>
                <w:spacing w:val="-4"/>
              </w:rPr>
              <w:t xml:space="preserve"> </w:t>
            </w:r>
            <w:r w:rsidRPr="00EC20A0">
              <w:t>response</w:t>
            </w:r>
            <w:r w:rsidRPr="00EC20A0">
              <w:rPr>
                <w:spacing w:val="-5"/>
              </w:rPr>
              <w:t xml:space="preserve"> </w:t>
            </w:r>
            <w:r w:rsidRPr="00EC20A0">
              <w:t>and</w:t>
            </w:r>
            <w:r w:rsidRPr="00EC20A0">
              <w:rPr>
                <w:spacing w:val="-4"/>
              </w:rPr>
              <w:t xml:space="preserve"> </w:t>
            </w:r>
            <w:r w:rsidRPr="00EC20A0">
              <w:t>determine</w:t>
            </w:r>
            <w:r w:rsidRPr="00EC20A0">
              <w:rPr>
                <w:spacing w:val="-4"/>
              </w:rPr>
              <w:t xml:space="preserve"> </w:t>
            </w:r>
            <w:r w:rsidRPr="00EC20A0">
              <w:t>the</w:t>
            </w:r>
            <w:r w:rsidRPr="00EC20A0">
              <w:rPr>
                <w:spacing w:val="-4"/>
              </w:rPr>
              <w:t xml:space="preserve"> </w:t>
            </w:r>
            <w:r w:rsidRPr="00EC20A0">
              <w:t>effects</w:t>
            </w:r>
            <w:r w:rsidRPr="00EC20A0">
              <w:rPr>
                <w:spacing w:val="-4"/>
              </w:rPr>
              <w:t xml:space="preserve"> </w:t>
            </w:r>
            <w:r w:rsidRPr="00EC20A0">
              <w:t>of the response on liabilities and related note disclosures in the financial statements and on the auditor’s report.</w:t>
            </w:r>
          </w:p>
        </w:tc>
        <w:tc>
          <w:tcPr>
            <w:tcW w:w="1024" w:type="dxa"/>
            <w:tcBorders>
              <w:top w:val="single" w:sz="6" w:space="0" w:color="000000"/>
              <w:left w:val="single" w:sz="6" w:space="0" w:color="000000"/>
              <w:bottom w:val="single" w:sz="6" w:space="0" w:color="000000"/>
              <w:right w:val="single" w:sz="6" w:space="0" w:color="000000"/>
            </w:tcBorders>
          </w:tcPr>
          <w:p w14:paraId="24D61EE9"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EA" w14:textId="77777777" w:rsidR="00245300" w:rsidRPr="00EC20A0" w:rsidRDefault="00245300">
            <w:pPr>
              <w:pStyle w:val="TableParagraph"/>
              <w:rPr>
                <w:sz w:val="20"/>
              </w:rPr>
            </w:pPr>
          </w:p>
        </w:tc>
      </w:tr>
      <w:tr w:rsidR="00245300" w:rsidRPr="00EC20A0" w14:paraId="24D61EF0" w14:textId="77777777">
        <w:trPr>
          <w:trHeight w:val="3515"/>
        </w:trPr>
        <w:tc>
          <w:tcPr>
            <w:tcW w:w="7420" w:type="dxa"/>
            <w:tcBorders>
              <w:top w:val="single" w:sz="6" w:space="0" w:color="000000"/>
              <w:bottom w:val="single" w:sz="6" w:space="0" w:color="000000"/>
              <w:right w:val="single" w:sz="6" w:space="0" w:color="000000"/>
            </w:tcBorders>
          </w:tcPr>
          <w:p w14:paraId="24D61EEC" w14:textId="77777777" w:rsidR="00245300" w:rsidRPr="00EC20A0" w:rsidRDefault="00F17249">
            <w:pPr>
              <w:pStyle w:val="TableParagraph"/>
              <w:tabs>
                <w:tab w:val="left" w:pos="668"/>
              </w:tabs>
              <w:spacing w:before="119"/>
              <w:ind w:left="668" w:right="420" w:hanging="577"/>
            </w:pPr>
            <w:r w:rsidRPr="00EC20A0">
              <w:rPr>
                <w:spacing w:val="-4"/>
              </w:rPr>
              <w:t>13)</w:t>
            </w:r>
            <w:r w:rsidRPr="00EC20A0">
              <w:tab/>
              <w:t>If</w:t>
            </w:r>
            <w:r w:rsidRPr="00EC20A0">
              <w:rPr>
                <w:spacing w:val="-4"/>
              </w:rPr>
              <w:t xml:space="preserve"> </w:t>
            </w:r>
            <w:r w:rsidRPr="00EC20A0">
              <w:t>the</w:t>
            </w:r>
            <w:r w:rsidRPr="00EC20A0">
              <w:rPr>
                <w:spacing w:val="-4"/>
              </w:rPr>
              <w:t xml:space="preserve"> </w:t>
            </w:r>
            <w:r w:rsidRPr="00EC20A0">
              <w:t>effective</w:t>
            </w:r>
            <w:r w:rsidRPr="00EC20A0">
              <w:rPr>
                <w:spacing w:val="-4"/>
              </w:rPr>
              <w:t xml:space="preserve"> </w:t>
            </w:r>
            <w:r w:rsidRPr="00EC20A0">
              <w:t>date</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response</w:t>
            </w:r>
            <w:r w:rsidRPr="00EC20A0">
              <w:rPr>
                <w:spacing w:val="-4"/>
              </w:rPr>
              <w:t xml:space="preserve"> </w:t>
            </w:r>
            <w:r w:rsidRPr="00EC20A0">
              <w:t>is</w:t>
            </w:r>
            <w:r w:rsidRPr="00EC20A0">
              <w:rPr>
                <w:spacing w:val="-4"/>
              </w:rPr>
              <w:t xml:space="preserve"> </w:t>
            </w:r>
            <w:r w:rsidRPr="00EC20A0">
              <w:t>substantially</w:t>
            </w:r>
            <w:r w:rsidRPr="00EC20A0">
              <w:rPr>
                <w:spacing w:val="-4"/>
              </w:rPr>
              <w:t xml:space="preserve"> </w:t>
            </w:r>
            <w:r w:rsidRPr="00EC20A0">
              <w:t>in</w:t>
            </w:r>
            <w:r w:rsidRPr="00EC20A0">
              <w:rPr>
                <w:spacing w:val="-4"/>
              </w:rPr>
              <w:t xml:space="preserve"> </w:t>
            </w:r>
            <w:r w:rsidRPr="00EC20A0">
              <w:t>advance</w:t>
            </w:r>
            <w:r w:rsidRPr="00EC20A0">
              <w:rPr>
                <w:spacing w:val="-4"/>
              </w:rPr>
              <w:t xml:space="preserve"> </w:t>
            </w:r>
            <w:r w:rsidRPr="00EC20A0">
              <w:t>of the auditor’s report date, for example, an interim response or a response earlier than 2 weeks before the auditor’s report date, obtain an updated written response.</w:t>
            </w:r>
          </w:p>
          <w:p w14:paraId="24D61EED" w14:textId="77777777" w:rsidR="00245300" w:rsidRPr="00EC20A0" w:rsidRDefault="00F17249">
            <w:pPr>
              <w:pStyle w:val="TableParagraph"/>
              <w:spacing w:before="240"/>
              <w:ind w:left="668" w:right="128" w:hanging="1"/>
            </w:pPr>
            <w:r w:rsidRPr="00EC20A0">
              <w:t>The</w:t>
            </w:r>
            <w:r w:rsidRPr="00EC20A0">
              <w:rPr>
                <w:spacing w:val="-3"/>
              </w:rPr>
              <w:t xml:space="preserve"> </w:t>
            </w:r>
            <w:r w:rsidRPr="00EC20A0">
              <w:t>auditor</w:t>
            </w:r>
            <w:r w:rsidRPr="00EC20A0">
              <w:rPr>
                <w:spacing w:val="-4"/>
              </w:rPr>
              <w:t xml:space="preserve"> </w:t>
            </w:r>
            <w:r w:rsidRPr="00EC20A0">
              <w:t>may</w:t>
            </w:r>
            <w:r w:rsidRPr="00EC20A0">
              <w:rPr>
                <w:spacing w:val="-3"/>
              </w:rPr>
              <w:t xml:space="preserve"> </w:t>
            </w:r>
            <w:r w:rsidRPr="00EC20A0">
              <w:t>determine</w:t>
            </w:r>
            <w:r w:rsidRPr="00EC20A0">
              <w:rPr>
                <w:spacing w:val="-3"/>
              </w:rPr>
              <w:t xml:space="preserve"> </w:t>
            </w:r>
            <w:r w:rsidRPr="00EC20A0">
              <w:t>that</w:t>
            </w:r>
            <w:r w:rsidRPr="00EC20A0">
              <w:rPr>
                <w:spacing w:val="-3"/>
              </w:rPr>
              <w:t xml:space="preserve"> </w:t>
            </w:r>
            <w:r w:rsidRPr="00EC20A0">
              <w:t>it</w:t>
            </w:r>
            <w:r w:rsidRPr="00EC20A0">
              <w:rPr>
                <w:spacing w:val="-3"/>
              </w:rPr>
              <w:t xml:space="preserve"> </w:t>
            </w:r>
            <w:r w:rsidRPr="00EC20A0">
              <w:t>is</w:t>
            </w:r>
            <w:r w:rsidRPr="00EC20A0">
              <w:rPr>
                <w:spacing w:val="-5"/>
              </w:rPr>
              <w:t xml:space="preserve"> </w:t>
            </w:r>
            <w:r w:rsidRPr="00EC20A0">
              <w:t>appropriate</w:t>
            </w:r>
            <w:r w:rsidRPr="00EC20A0">
              <w:rPr>
                <w:spacing w:val="-4"/>
              </w:rPr>
              <w:t xml:space="preserve"> </w:t>
            </w:r>
            <w:r w:rsidRPr="00EC20A0">
              <w:t>to</w:t>
            </w:r>
            <w:r w:rsidRPr="00EC20A0">
              <w:rPr>
                <w:spacing w:val="-3"/>
              </w:rPr>
              <w:t xml:space="preserve"> </w:t>
            </w:r>
            <w:r w:rsidRPr="00EC20A0">
              <w:t>make</w:t>
            </w:r>
            <w:r w:rsidRPr="00EC20A0">
              <w:rPr>
                <w:spacing w:val="-3"/>
              </w:rPr>
              <w:t xml:space="preserve"> </w:t>
            </w:r>
            <w:r w:rsidRPr="00EC20A0">
              <w:t>inquiries</w:t>
            </w:r>
            <w:r w:rsidRPr="00EC20A0">
              <w:rPr>
                <w:spacing w:val="-3"/>
              </w:rPr>
              <w:t xml:space="preserve"> </w:t>
            </w:r>
            <w:r w:rsidRPr="00EC20A0">
              <w:t>of legal counsel and document whether material changes have occurred from the date of the legal counsel response or updated response to the date of the auditor’s report. However, if the auditor becomes aware of new</w:t>
            </w:r>
            <w:r w:rsidRPr="00EC20A0">
              <w:rPr>
                <w:spacing w:val="-1"/>
              </w:rPr>
              <w:t xml:space="preserve"> </w:t>
            </w:r>
            <w:r w:rsidRPr="00EC20A0">
              <w:t>matters or aware of material changes in the status of existing matters or management’s evaluation of the outcome, the auditor should obtain a written confirmation or updated response from legal counsel.</w:t>
            </w:r>
          </w:p>
        </w:tc>
        <w:tc>
          <w:tcPr>
            <w:tcW w:w="1024" w:type="dxa"/>
            <w:tcBorders>
              <w:top w:val="single" w:sz="6" w:space="0" w:color="000000"/>
              <w:left w:val="single" w:sz="6" w:space="0" w:color="000000"/>
              <w:bottom w:val="single" w:sz="6" w:space="0" w:color="000000"/>
              <w:right w:val="single" w:sz="6" w:space="0" w:color="000000"/>
            </w:tcBorders>
          </w:tcPr>
          <w:p w14:paraId="24D61EEE"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EF" w14:textId="77777777" w:rsidR="00245300" w:rsidRPr="00EC20A0" w:rsidRDefault="00245300">
            <w:pPr>
              <w:pStyle w:val="TableParagraph"/>
              <w:rPr>
                <w:sz w:val="20"/>
              </w:rPr>
            </w:pPr>
          </w:p>
        </w:tc>
      </w:tr>
      <w:tr w:rsidR="00245300" w:rsidRPr="00EC20A0" w14:paraId="24D61EF5" w14:textId="77777777">
        <w:trPr>
          <w:trHeight w:val="1492"/>
        </w:trPr>
        <w:tc>
          <w:tcPr>
            <w:tcW w:w="7420" w:type="dxa"/>
            <w:tcBorders>
              <w:top w:val="single" w:sz="6" w:space="0" w:color="000000"/>
              <w:bottom w:val="single" w:sz="6" w:space="0" w:color="000000"/>
              <w:right w:val="single" w:sz="6" w:space="0" w:color="000000"/>
            </w:tcBorders>
          </w:tcPr>
          <w:p w14:paraId="24D61EF1" w14:textId="77777777" w:rsidR="00245300" w:rsidRPr="00EC20A0" w:rsidRDefault="00F17249">
            <w:pPr>
              <w:pStyle w:val="TableParagraph"/>
              <w:spacing w:before="121"/>
              <w:ind w:left="92"/>
              <w:rPr>
                <w:b/>
              </w:rPr>
            </w:pPr>
            <w:r w:rsidRPr="00EC20A0">
              <w:rPr>
                <w:b/>
                <w:u w:val="single"/>
              </w:rPr>
              <w:t>II.</w:t>
            </w:r>
            <w:r w:rsidRPr="00EC20A0">
              <w:rPr>
                <w:b/>
                <w:spacing w:val="-8"/>
                <w:u w:val="single"/>
              </w:rPr>
              <w:t xml:space="preserve"> </w:t>
            </w:r>
            <w:r w:rsidRPr="00EC20A0">
              <w:rPr>
                <w:b/>
                <w:u w:val="single"/>
              </w:rPr>
              <w:t>Reporting</w:t>
            </w:r>
            <w:r w:rsidRPr="00EC20A0">
              <w:rPr>
                <w:b/>
                <w:spacing w:val="-7"/>
                <w:u w:val="single"/>
              </w:rPr>
              <w:t xml:space="preserve"> </w:t>
            </w:r>
            <w:r w:rsidRPr="00EC20A0">
              <w:rPr>
                <w:b/>
                <w:spacing w:val="-2"/>
                <w:u w:val="single"/>
              </w:rPr>
              <w:t>procedures</w:t>
            </w:r>
          </w:p>
          <w:p w14:paraId="24D61EF2" w14:textId="77777777" w:rsidR="00245300" w:rsidRPr="00EC20A0" w:rsidRDefault="00F17249">
            <w:pPr>
              <w:pStyle w:val="TableParagraph"/>
              <w:tabs>
                <w:tab w:val="left" w:pos="668"/>
              </w:tabs>
              <w:spacing w:before="239"/>
              <w:ind w:left="668" w:right="338" w:hanging="576"/>
            </w:pPr>
            <w:r w:rsidRPr="00EC20A0">
              <w:rPr>
                <w:spacing w:val="-6"/>
              </w:rPr>
              <w:t>1)</w:t>
            </w:r>
            <w:r w:rsidRPr="00EC20A0">
              <w:tab/>
              <w:t xml:space="preserve">Obtain </w:t>
            </w:r>
            <w:r w:rsidRPr="00EC20A0">
              <w:t>representation from management in the management representation</w:t>
            </w:r>
            <w:r w:rsidRPr="00EC20A0">
              <w:rPr>
                <w:spacing w:val="-6"/>
              </w:rPr>
              <w:t xml:space="preserve"> </w:t>
            </w:r>
            <w:r w:rsidRPr="00EC20A0">
              <w:t>letter</w:t>
            </w:r>
            <w:r w:rsidRPr="00EC20A0">
              <w:rPr>
                <w:spacing w:val="-6"/>
              </w:rPr>
              <w:t xml:space="preserve"> </w:t>
            </w:r>
            <w:r w:rsidRPr="00EC20A0">
              <w:t>related</w:t>
            </w:r>
            <w:r w:rsidRPr="00EC20A0">
              <w:rPr>
                <w:spacing w:val="-6"/>
              </w:rPr>
              <w:t xml:space="preserve"> </w:t>
            </w:r>
            <w:r w:rsidRPr="00EC20A0">
              <w:t>to</w:t>
            </w:r>
            <w:r w:rsidRPr="00EC20A0">
              <w:rPr>
                <w:spacing w:val="-6"/>
              </w:rPr>
              <w:t xml:space="preserve"> </w:t>
            </w:r>
            <w:r w:rsidRPr="00EC20A0">
              <w:t>litigation,</w:t>
            </w:r>
            <w:r w:rsidRPr="00EC20A0">
              <w:rPr>
                <w:spacing w:val="-6"/>
              </w:rPr>
              <w:t xml:space="preserve"> </w:t>
            </w:r>
            <w:r w:rsidRPr="00EC20A0">
              <w:t>claims,</w:t>
            </w:r>
            <w:r w:rsidRPr="00EC20A0">
              <w:rPr>
                <w:spacing w:val="-8"/>
              </w:rPr>
              <w:t xml:space="preserve"> </w:t>
            </w:r>
            <w:r w:rsidRPr="00EC20A0">
              <w:t>and</w:t>
            </w:r>
            <w:r w:rsidRPr="00EC20A0">
              <w:rPr>
                <w:spacing w:val="-6"/>
              </w:rPr>
              <w:t xml:space="preserve"> </w:t>
            </w:r>
            <w:r w:rsidRPr="00EC20A0">
              <w:t>assessments (see FAM 1001).</w:t>
            </w:r>
          </w:p>
        </w:tc>
        <w:tc>
          <w:tcPr>
            <w:tcW w:w="1024" w:type="dxa"/>
            <w:tcBorders>
              <w:top w:val="single" w:sz="6" w:space="0" w:color="000000"/>
              <w:left w:val="single" w:sz="6" w:space="0" w:color="000000"/>
              <w:bottom w:val="single" w:sz="6" w:space="0" w:color="000000"/>
              <w:right w:val="single" w:sz="6" w:space="0" w:color="000000"/>
            </w:tcBorders>
          </w:tcPr>
          <w:p w14:paraId="24D61EF3"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F4" w14:textId="77777777" w:rsidR="00245300" w:rsidRPr="00EC20A0" w:rsidRDefault="00245300">
            <w:pPr>
              <w:pStyle w:val="TableParagraph"/>
              <w:rPr>
                <w:sz w:val="20"/>
              </w:rPr>
            </w:pPr>
          </w:p>
        </w:tc>
      </w:tr>
      <w:tr w:rsidR="00245300" w:rsidRPr="00EC20A0" w14:paraId="24D61EFA" w14:textId="77777777">
        <w:trPr>
          <w:trHeight w:val="1492"/>
        </w:trPr>
        <w:tc>
          <w:tcPr>
            <w:tcW w:w="7420" w:type="dxa"/>
            <w:tcBorders>
              <w:top w:val="single" w:sz="6" w:space="0" w:color="000000"/>
              <w:bottom w:val="single" w:sz="6" w:space="0" w:color="000000"/>
              <w:right w:val="single" w:sz="6" w:space="0" w:color="000000"/>
            </w:tcBorders>
          </w:tcPr>
          <w:p w14:paraId="24D61EF6" w14:textId="77777777" w:rsidR="00245300" w:rsidRPr="00EC20A0" w:rsidRDefault="00F17249">
            <w:pPr>
              <w:pStyle w:val="TableParagraph"/>
              <w:numPr>
                <w:ilvl w:val="0"/>
                <w:numId w:val="64"/>
              </w:numPr>
              <w:tabs>
                <w:tab w:val="left" w:pos="668"/>
              </w:tabs>
              <w:spacing w:before="119"/>
              <w:ind w:hanging="576"/>
            </w:pPr>
            <w:r w:rsidRPr="00EC20A0">
              <w:t>Read</w:t>
            </w:r>
            <w:r w:rsidRPr="00EC20A0">
              <w:rPr>
                <w:spacing w:val="-8"/>
              </w:rPr>
              <w:t xml:space="preserve"> </w:t>
            </w:r>
            <w:r w:rsidRPr="00EC20A0">
              <w:t>the</w:t>
            </w:r>
            <w:r w:rsidRPr="00EC20A0">
              <w:rPr>
                <w:spacing w:val="-7"/>
              </w:rPr>
              <w:t xml:space="preserve"> </w:t>
            </w:r>
            <w:r w:rsidRPr="00EC20A0">
              <w:t>entity’s</w:t>
            </w:r>
            <w:r w:rsidRPr="00EC20A0">
              <w:rPr>
                <w:spacing w:val="-7"/>
              </w:rPr>
              <w:t xml:space="preserve"> </w:t>
            </w:r>
            <w:r w:rsidRPr="00EC20A0">
              <w:t>financial</w:t>
            </w:r>
            <w:r w:rsidRPr="00EC20A0">
              <w:rPr>
                <w:spacing w:val="-6"/>
              </w:rPr>
              <w:t xml:space="preserve"> </w:t>
            </w:r>
            <w:r w:rsidRPr="00EC20A0">
              <w:t>statements</w:t>
            </w:r>
            <w:r w:rsidRPr="00EC20A0">
              <w:rPr>
                <w:spacing w:val="-7"/>
              </w:rPr>
              <w:t xml:space="preserve"> </w:t>
            </w:r>
            <w:r w:rsidRPr="00EC20A0">
              <w:t>and</w:t>
            </w:r>
            <w:r w:rsidRPr="00EC20A0">
              <w:rPr>
                <w:spacing w:val="-7"/>
              </w:rPr>
              <w:t xml:space="preserve"> </w:t>
            </w:r>
            <w:r w:rsidRPr="00EC20A0">
              <w:rPr>
                <w:spacing w:val="-2"/>
              </w:rPr>
              <w:t>notes.</w:t>
            </w:r>
          </w:p>
          <w:p w14:paraId="24D61EF7" w14:textId="77777777" w:rsidR="00245300" w:rsidRPr="00EC20A0" w:rsidRDefault="00F17249">
            <w:pPr>
              <w:pStyle w:val="TableParagraph"/>
              <w:numPr>
                <w:ilvl w:val="1"/>
                <w:numId w:val="64"/>
              </w:numPr>
              <w:tabs>
                <w:tab w:val="left" w:pos="1244"/>
              </w:tabs>
              <w:spacing w:before="241"/>
              <w:ind w:right="456" w:hanging="576"/>
            </w:pPr>
            <w:r w:rsidRPr="00EC20A0">
              <w:t>Determine</w:t>
            </w:r>
            <w:r w:rsidRPr="00EC20A0">
              <w:rPr>
                <w:spacing w:val="-5"/>
              </w:rPr>
              <w:t xml:space="preserve"> </w:t>
            </w:r>
            <w:r w:rsidRPr="00EC20A0">
              <w:t>whether</w:t>
            </w:r>
            <w:r w:rsidRPr="00EC20A0">
              <w:rPr>
                <w:spacing w:val="-6"/>
              </w:rPr>
              <w:t xml:space="preserve"> </w:t>
            </w:r>
            <w:r w:rsidRPr="00EC20A0">
              <w:t>contingencies</w:t>
            </w:r>
            <w:r w:rsidRPr="00EC20A0">
              <w:rPr>
                <w:spacing w:val="-7"/>
              </w:rPr>
              <w:t xml:space="preserve"> </w:t>
            </w:r>
            <w:r w:rsidRPr="00EC20A0">
              <w:t>for</w:t>
            </w:r>
            <w:r w:rsidRPr="00EC20A0">
              <w:rPr>
                <w:spacing w:val="-6"/>
              </w:rPr>
              <w:t xml:space="preserve"> </w:t>
            </w:r>
            <w:r w:rsidRPr="00EC20A0">
              <w:t>litigation,</w:t>
            </w:r>
            <w:r w:rsidRPr="00EC20A0">
              <w:rPr>
                <w:spacing w:val="-7"/>
              </w:rPr>
              <w:t xml:space="preserve"> </w:t>
            </w:r>
            <w:r w:rsidRPr="00EC20A0">
              <w:t>claims,</w:t>
            </w:r>
            <w:r w:rsidRPr="00EC20A0">
              <w:rPr>
                <w:spacing w:val="-6"/>
              </w:rPr>
              <w:t xml:space="preserve"> </w:t>
            </w:r>
            <w:r w:rsidRPr="00EC20A0">
              <w:t xml:space="preserve">and assessments are properly reported in the financial </w:t>
            </w:r>
            <w:r w:rsidRPr="00EC20A0">
              <w:rPr>
                <w:spacing w:val="-2"/>
              </w:rPr>
              <w:t>statements.</w:t>
            </w:r>
          </w:p>
        </w:tc>
        <w:tc>
          <w:tcPr>
            <w:tcW w:w="1024" w:type="dxa"/>
            <w:tcBorders>
              <w:top w:val="single" w:sz="6" w:space="0" w:color="000000"/>
              <w:left w:val="single" w:sz="6" w:space="0" w:color="000000"/>
              <w:bottom w:val="single" w:sz="6" w:space="0" w:color="000000"/>
              <w:right w:val="single" w:sz="6" w:space="0" w:color="000000"/>
            </w:tcBorders>
          </w:tcPr>
          <w:p w14:paraId="24D61EF8"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F9" w14:textId="77777777" w:rsidR="00245300" w:rsidRPr="00EC20A0" w:rsidRDefault="00245300">
            <w:pPr>
              <w:pStyle w:val="TableParagraph"/>
              <w:rPr>
                <w:sz w:val="20"/>
              </w:rPr>
            </w:pPr>
          </w:p>
        </w:tc>
      </w:tr>
      <w:tr w:rsidR="00245300" w:rsidRPr="00EC20A0" w14:paraId="24D61EFE" w14:textId="77777777">
        <w:trPr>
          <w:trHeight w:val="998"/>
        </w:trPr>
        <w:tc>
          <w:tcPr>
            <w:tcW w:w="7420" w:type="dxa"/>
            <w:tcBorders>
              <w:top w:val="single" w:sz="6" w:space="0" w:color="000000"/>
              <w:bottom w:val="single" w:sz="6" w:space="0" w:color="000000"/>
              <w:right w:val="single" w:sz="6" w:space="0" w:color="000000"/>
            </w:tcBorders>
          </w:tcPr>
          <w:p w14:paraId="24D61EFB" w14:textId="77777777" w:rsidR="00245300" w:rsidRPr="00EC20A0" w:rsidRDefault="00F17249">
            <w:pPr>
              <w:pStyle w:val="TableParagraph"/>
              <w:tabs>
                <w:tab w:val="left" w:pos="1244"/>
              </w:tabs>
              <w:spacing w:before="119"/>
              <w:ind w:left="1244" w:right="934" w:hanging="577"/>
            </w:pPr>
            <w:r w:rsidRPr="00EC20A0">
              <w:rPr>
                <w:spacing w:val="-6"/>
              </w:rPr>
              <w:t>b)</w:t>
            </w:r>
            <w:r w:rsidRPr="00EC20A0">
              <w:tab/>
              <w:t>Evaluate the adequacy of note disclosures for these contingencies,</w:t>
            </w:r>
            <w:r w:rsidRPr="00EC20A0">
              <w:rPr>
                <w:spacing w:val="-7"/>
              </w:rPr>
              <w:t xml:space="preserve"> </w:t>
            </w:r>
            <w:r w:rsidRPr="00EC20A0">
              <w:t>including</w:t>
            </w:r>
            <w:r w:rsidRPr="00EC20A0">
              <w:rPr>
                <w:spacing w:val="-8"/>
              </w:rPr>
              <w:t xml:space="preserve"> </w:t>
            </w:r>
            <w:r w:rsidRPr="00EC20A0">
              <w:t>whether</w:t>
            </w:r>
            <w:r w:rsidRPr="00EC20A0">
              <w:rPr>
                <w:spacing w:val="-7"/>
              </w:rPr>
              <w:t xml:space="preserve"> </w:t>
            </w:r>
            <w:r w:rsidRPr="00EC20A0">
              <w:t>they</w:t>
            </w:r>
            <w:r w:rsidRPr="00EC20A0">
              <w:rPr>
                <w:spacing w:val="-7"/>
              </w:rPr>
              <w:t xml:space="preserve"> </w:t>
            </w:r>
            <w:r w:rsidRPr="00EC20A0">
              <w:t>are</w:t>
            </w:r>
            <w:r w:rsidRPr="00EC20A0">
              <w:rPr>
                <w:spacing w:val="-7"/>
              </w:rPr>
              <w:t xml:space="preserve"> </w:t>
            </w:r>
            <w:r w:rsidRPr="00EC20A0">
              <w:t>prepared</w:t>
            </w:r>
            <w:r w:rsidRPr="00EC20A0">
              <w:rPr>
                <w:spacing w:val="-7"/>
              </w:rPr>
              <w:t xml:space="preserve"> </w:t>
            </w:r>
            <w:r w:rsidRPr="00EC20A0">
              <w:t>in accordance with OMB reporting guidance.</w:t>
            </w:r>
          </w:p>
        </w:tc>
        <w:tc>
          <w:tcPr>
            <w:tcW w:w="1024" w:type="dxa"/>
            <w:tcBorders>
              <w:top w:val="single" w:sz="6" w:space="0" w:color="000000"/>
              <w:left w:val="single" w:sz="6" w:space="0" w:color="000000"/>
              <w:bottom w:val="single" w:sz="6" w:space="0" w:color="000000"/>
              <w:right w:val="single" w:sz="6" w:space="0" w:color="000000"/>
            </w:tcBorders>
          </w:tcPr>
          <w:p w14:paraId="24D61EFC"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EFD" w14:textId="77777777" w:rsidR="00245300" w:rsidRPr="00EC20A0" w:rsidRDefault="00245300">
            <w:pPr>
              <w:pStyle w:val="TableParagraph"/>
              <w:rPr>
                <w:sz w:val="20"/>
              </w:rPr>
            </w:pPr>
          </w:p>
        </w:tc>
      </w:tr>
      <w:tr w:rsidR="00245300" w:rsidRPr="00EC20A0" w14:paraId="24D61F02" w14:textId="77777777">
        <w:trPr>
          <w:trHeight w:val="1757"/>
        </w:trPr>
        <w:tc>
          <w:tcPr>
            <w:tcW w:w="7420" w:type="dxa"/>
            <w:tcBorders>
              <w:top w:val="single" w:sz="6" w:space="0" w:color="000000"/>
              <w:bottom w:val="single" w:sz="6" w:space="0" w:color="000000"/>
              <w:right w:val="single" w:sz="6" w:space="0" w:color="000000"/>
            </w:tcBorders>
          </w:tcPr>
          <w:p w14:paraId="24D61EFF" w14:textId="77777777" w:rsidR="00245300" w:rsidRPr="00EC20A0" w:rsidRDefault="00F17249">
            <w:pPr>
              <w:pStyle w:val="TableParagraph"/>
              <w:tabs>
                <w:tab w:val="left" w:pos="1244"/>
              </w:tabs>
              <w:spacing w:before="119"/>
              <w:ind w:left="1244" w:right="189" w:hanging="577"/>
            </w:pPr>
            <w:r w:rsidRPr="00EC20A0">
              <w:rPr>
                <w:spacing w:val="-6"/>
              </w:rPr>
              <w:t>c)</w:t>
            </w:r>
            <w:r w:rsidRPr="00EC20A0">
              <w:tab/>
              <w:t>For</w:t>
            </w:r>
            <w:r w:rsidRPr="00EC20A0">
              <w:rPr>
                <w:spacing w:val="-5"/>
              </w:rPr>
              <w:t xml:space="preserve"> </w:t>
            </w:r>
            <w:r w:rsidRPr="00EC20A0">
              <w:t>entities</w:t>
            </w:r>
            <w:r w:rsidRPr="00EC20A0">
              <w:rPr>
                <w:spacing w:val="-6"/>
              </w:rPr>
              <w:t xml:space="preserve"> </w:t>
            </w:r>
            <w:r w:rsidRPr="00EC20A0">
              <w:t>involved</w:t>
            </w:r>
            <w:r w:rsidRPr="00EC20A0">
              <w:rPr>
                <w:spacing w:val="-5"/>
              </w:rPr>
              <w:t xml:space="preserve"> </w:t>
            </w:r>
            <w:r w:rsidRPr="00EC20A0">
              <w:t>in</w:t>
            </w:r>
            <w:r w:rsidRPr="00EC20A0">
              <w:rPr>
                <w:spacing w:val="-6"/>
              </w:rPr>
              <w:t xml:space="preserve"> </w:t>
            </w:r>
            <w:r w:rsidRPr="00EC20A0">
              <w:t>litigation</w:t>
            </w:r>
            <w:r w:rsidRPr="00EC20A0">
              <w:rPr>
                <w:spacing w:val="-5"/>
              </w:rPr>
              <w:t xml:space="preserve"> </w:t>
            </w:r>
            <w:r w:rsidRPr="00EC20A0">
              <w:t>for</w:t>
            </w:r>
            <w:r w:rsidRPr="00EC20A0">
              <w:rPr>
                <w:spacing w:val="-5"/>
              </w:rPr>
              <w:t xml:space="preserve"> </w:t>
            </w:r>
            <w:r w:rsidRPr="00EC20A0">
              <w:t>which</w:t>
            </w:r>
            <w:r w:rsidRPr="00EC20A0">
              <w:rPr>
                <w:spacing w:val="-5"/>
              </w:rPr>
              <w:t xml:space="preserve"> </w:t>
            </w:r>
            <w:r w:rsidRPr="00EC20A0">
              <w:t>the</w:t>
            </w:r>
            <w:r w:rsidRPr="00EC20A0">
              <w:rPr>
                <w:spacing w:val="-5"/>
              </w:rPr>
              <w:t xml:space="preserve"> </w:t>
            </w:r>
            <w:r w:rsidRPr="00EC20A0">
              <w:t>Judgment</w:t>
            </w:r>
            <w:r w:rsidRPr="00EC20A0">
              <w:rPr>
                <w:spacing w:val="-5"/>
              </w:rPr>
              <w:t xml:space="preserve"> </w:t>
            </w:r>
            <w:r w:rsidRPr="00EC20A0">
              <w:t xml:space="preserve">Fund is a likely source of judgment or settlement, determine if a note to the financial statements discusses the Judgment Fund’s role in the payment of a possible loss, as required by FASAB Interpretation No. 2, </w:t>
            </w:r>
            <w:r w:rsidRPr="00EC20A0">
              <w:rPr>
                <w:i/>
              </w:rPr>
              <w:t>Accounting for Treasury Judgment Fund Transactions</w:t>
            </w:r>
            <w:r w:rsidRPr="00EC20A0">
              <w:t>.</w:t>
            </w:r>
          </w:p>
        </w:tc>
        <w:tc>
          <w:tcPr>
            <w:tcW w:w="1024" w:type="dxa"/>
            <w:tcBorders>
              <w:top w:val="single" w:sz="6" w:space="0" w:color="000000"/>
              <w:left w:val="single" w:sz="6" w:space="0" w:color="000000"/>
              <w:bottom w:val="single" w:sz="6" w:space="0" w:color="000000"/>
              <w:right w:val="single" w:sz="6" w:space="0" w:color="000000"/>
            </w:tcBorders>
          </w:tcPr>
          <w:p w14:paraId="24D61F00" w14:textId="77777777" w:rsidR="00245300" w:rsidRPr="00EC20A0" w:rsidRDefault="00245300">
            <w:pPr>
              <w:pStyle w:val="TableParagraph"/>
              <w:rPr>
                <w:sz w:val="20"/>
              </w:rPr>
            </w:pPr>
          </w:p>
        </w:tc>
        <w:tc>
          <w:tcPr>
            <w:tcW w:w="765" w:type="dxa"/>
            <w:tcBorders>
              <w:top w:val="single" w:sz="6" w:space="0" w:color="000000"/>
              <w:left w:val="single" w:sz="6" w:space="0" w:color="000000"/>
              <w:bottom w:val="single" w:sz="6" w:space="0" w:color="000000"/>
            </w:tcBorders>
          </w:tcPr>
          <w:p w14:paraId="24D61F01" w14:textId="77777777" w:rsidR="00245300" w:rsidRPr="00EC20A0" w:rsidRDefault="00245300">
            <w:pPr>
              <w:pStyle w:val="TableParagraph"/>
              <w:rPr>
                <w:sz w:val="20"/>
              </w:rPr>
            </w:pPr>
          </w:p>
        </w:tc>
      </w:tr>
      <w:tr w:rsidR="00245300" w:rsidRPr="00EC20A0" w14:paraId="24D61F06" w14:textId="77777777">
        <w:trPr>
          <w:trHeight w:val="1252"/>
        </w:trPr>
        <w:tc>
          <w:tcPr>
            <w:tcW w:w="7420" w:type="dxa"/>
            <w:tcBorders>
              <w:top w:val="single" w:sz="6" w:space="0" w:color="000000"/>
              <w:right w:val="single" w:sz="6" w:space="0" w:color="000000"/>
            </w:tcBorders>
          </w:tcPr>
          <w:p w14:paraId="24D61F03" w14:textId="77777777" w:rsidR="00245300" w:rsidRPr="00EC20A0" w:rsidRDefault="00F17249">
            <w:pPr>
              <w:pStyle w:val="TableParagraph"/>
              <w:tabs>
                <w:tab w:val="left" w:pos="618"/>
              </w:tabs>
              <w:spacing w:before="119"/>
              <w:ind w:left="618" w:right="127" w:hanging="526"/>
            </w:pPr>
            <w:r w:rsidRPr="00EC20A0">
              <w:rPr>
                <w:spacing w:val="-6"/>
              </w:rPr>
              <w:t>3)</w:t>
            </w:r>
            <w:r w:rsidRPr="00EC20A0">
              <w:tab/>
              <w:t>Document conclusions reached concerning the accounting for and disclosure of litigation, claims, and assessments; determine if adjustments</w:t>
            </w:r>
            <w:r w:rsidRPr="00EC20A0">
              <w:rPr>
                <w:spacing w:val="-6"/>
              </w:rPr>
              <w:t xml:space="preserve"> </w:t>
            </w:r>
            <w:r w:rsidRPr="00EC20A0">
              <w:t>are</w:t>
            </w:r>
            <w:r w:rsidRPr="00EC20A0">
              <w:rPr>
                <w:spacing w:val="-5"/>
              </w:rPr>
              <w:t xml:space="preserve"> </w:t>
            </w:r>
            <w:r w:rsidRPr="00EC20A0">
              <w:t>necessary</w:t>
            </w:r>
            <w:r w:rsidRPr="00EC20A0">
              <w:rPr>
                <w:spacing w:val="-5"/>
              </w:rPr>
              <w:t xml:space="preserve"> </w:t>
            </w:r>
            <w:r w:rsidRPr="00EC20A0">
              <w:t>and</w:t>
            </w:r>
            <w:r w:rsidRPr="00EC20A0">
              <w:rPr>
                <w:spacing w:val="-5"/>
              </w:rPr>
              <w:t xml:space="preserve"> </w:t>
            </w:r>
            <w:r w:rsidRPr="00EC20A0">
              <w:t>whether</w:t>
            </w:r>
            <w:r w:rsidRPr="00EC20A0">
              <w:rPr>
                <w:spacing w:val="-5"/>
              </w:rPr>
              <w:t xml:space="preserve"> </w:t>
            </w:r>
            <w:r w:rsidRPr="00EC20A0">
              <w:t>modification</w:t>
            </w:r>
            <w:r w:rsidRPr="00EC20A0">
              <w:rPr>
                <w:spacing w:val="-5"/>
              </w:rPr>
              <w:t xml:space="preserve"> </w:t>
            </w:r>
            <w:r w:rsidRPr="00EC20A0">
              <w:t>of</w:t>
            </w:r>
            <w:r w:rsidRPr="00EC20A0">
              <w:rPr>
                <w:spacing w:val="-5"/>
              </w:rPr>
              <w:t xml:space="preserve"> </w:t>
            </w:r>
            <w:r w:rsidRPr="00EC20A0">
              <w:t>the</w:t>
            </w:r>
            <w:r w:rsidRPr="00EC20A0">
              <w:rPr>
                <w:spacing w:val="-6"/>
              </w:rPr>
              <w:t xml:space="preserve"> </w:t>
            </w:r>
            <w:r w:rsidRPr="00EC20A0">
              <w:t xml:space="preserve">auditor’s report is </w:t>
            </w:r>
            <w:r w:rsidRPr="00EC20A0">
              <w:t>necessary (see FAM 580).</w:t>
            </w:r>
          </w:p>
        </w:tc>
        <w:tc>
          <w:tcPr>
            <w:tcW w:w="1024" w:type="dxa"/>
            <w:tcBorders>
              <w:top w:val="single" w:sz="6" w:space="0" w:color="000000"/>
              <w:left w:val="single" w:sz="6" w:space="0" w:color="000000"/>
              <w:right w:val="single" w:sz="6" w:space="0" w:color="000000"/>
            </w:tcBorders>
          </w:tcPr>
          <w:p w14:paraId="24D61F04" w14:textId="77777777" w:rsidR="00245300" w:rsidRPr="00EC20A0" w:rsidRDefault="00245300">
            <w:pPr>
              <w:pStyle w:val="TableParagraph"/>
              <w:rPr>
                <w:sz w:val="20"/>
              </w:rPr>
            </w:pPr>
          </w:p>
        </w:tc>
        <w:tc>
          <w:tcPr>
            <w:tcW w:w="765" w:type="dxa"/>
            <w:tcBorders>
              <w:top w:val="single" w:sz="6" w:space="0" w:color="000000"/>
              <w:left w:val="single" w:sz="6" w:space="0" w:color="000000"/>
            </w:tcBorders>
          </w:tcPr>
          <w:p w14:paraId="24D61F05" w14:textId="77777777" w:rsidR="00245300" w:rsidRPr="00EC20A0" w:rsidRDefault="00245300">
            <w:pPr>
              <w:pStyle w:val="TableParagraph"/>
              <w:rPr>
                <w:sz w:val="20"/>
              </w:rPr>
            </w:pPr>
          </w:p>
        </w:tc>
      </w:tr>
    </w:tbl>
    <w:p w14:paraId="24D61F07" w14:textId="77777777" w:rsidR="00245300" w:rsidRPr="00EC20A0" w:rsidRDefault="00245300">
      <w:pPr>
        <w:rPr>
          <w:sz w:val="20"/>
        </w:rPr>
        <w:sectPr w:rsidR="00245300" w:rsidRPr="00EC20A0">
          <w:pgSz w:w="12240" w:h="15840"/>
          <w:pgMar w:top="1340" w:right="1100" w:bottom="940" w:left="1240" w:header="721" w:footer="757" w:gutter="0"/>
          <w:cols w:space="720"/>
        </w:sectPr>
      </w:pPr>
    </w:p>
    <w:p w14:paraId="24D61F08" w14:textId="77777777" w:rsidR="00245300" w:rsidRPr="00EC20A0" w:rsidRDefault="00F17249">
      <w:pPr>
        <w:pStyle w:val="Heading3"/>
        <w:ind w:left="200"/>
        <w:rPr>
          <w:u w:val="none"/>
        </w:rPr>
      </w:pPr>
      <w:bookmarkStart w:id="403" w:name="1002_B_–_Example_Legal_Counsel_Request"/>
      <w:bookmarkStart w:id="404" w:name="_bookmark224"/>
      <w:bookmarkEnd w:id="403"/>
      <w:bookmarkEnd w:id="404"/>
      <w:r w:rsidRPr="00EC20A0">
        <w:t>1002</w:t>
      </w:r>
      <w:r w:rsidRPr="00EC20A0">
        <w:rPr>
          <w:spacing w:val="-3"/>
        </w:rPr>
        <w:t xml:space="preserve"> </w:t>
      </w:r>
      <w:r w:rsidRPr="00EC20A0">
        <w:t>B</w:t>
      </w:r>
      <w:r w:rsidRPr="00EC20A0">
        <w:rPr>
          <w:spacing w:val="-4"/>
        </w:rPr>
        <w:t xml:space="preserve"> </w:t>
      </w:r>
      <w:r w:rsidRPr="00EC20A0">
        <w:t>–</w:t>
      </w:r>
      <w:r w:rsidRPr="00EC20A0">
        <w:rPr>
          <w:spacing w:val="-3"/>
        </w:rPr>
        <w:t xml:space="preserve"> </w:t>
      </w:r>
      <w:r w:rsidRPr="00EC20A0">
        <w:t>Example</w:t>
      </w:r>
      <w:r w:rsidRPr="00EC20A0">
        <w:rPr>
          <w:spacing w:val="-2"/>
        </w:rPr>
        <w:t xml:space="preserve"> </w:t>
      </w:r>
      <w:r w:rsidRPr="00EC20A0">
        <w:t>Legal</w:t>
      </w:r>
      <w:r w:rsidRPr="00EC20A0">
        <w:rPr>
          <w:spacing w:val="-4"/>
        </w:rPr>
        <w:t xml:space="preserve"> </w:t>
      </w:r>
      <w:r w:rsidRPr="00EC20A0">
        <w:t>Counsel</w:t>
      </w:r>
      <w:r w:rsidRPr="00EC20A0">
        <w:rPr>
          <w:spacing w:val="-4"/>
        </w:rPr>
        <w:t xml:space="preserve"> </w:t>
      </w:r>
      <w:r w:rsidRPr="00EC20A0">
        <w:rPr>
          <w:spacing w:val="-2"/>
        </w:rPr>
        <w:t>Request</w:t>
      </w:r>
    </w:p>
    <w:p w14:paraId="24D61F09" w14:textId="77777777" w:rsidR="00245300" w:rsidRPr="00EC20A0" w:rsidRDefault="00245300">
      <w:pPr>
        <w:pStyle w:val="BodyText"/>
        <w:rPr>
          <w:b/>
        </w:rPr>
      </w:pPr>
    </w:p>
    <w:p w14:paraId="24D61F0A" w14:textId="77777777" w:rsidR="00245300" w:rsidRPr="00EC20A0" w:rsidRDefault="00245300">
      <w:pPr>
        <w:pStyle w:val="BodyText"/>
        <w:spacing w:before="118"/>
        <w:rPr>
          <w:b/>
        </w:rPr>
      </w:pPr>
    </w:p>
    <w:p w14:paraId="24D61F0B" w14:textId="77777777" w:rsidR="00245300" w:rsidRPr="00EC20A0" w:rsidRDefault="00F17249">
      <w:pPr>
        <w:ind w:right="139"/>
        <w:jc w:val="center"/>
        <w:rPr>
          <w:b/>
        </w:rPr>
      </w:pPr>
      <w:r w:rsidRPr="00EC20A0">
        <w:rPr>
          <w:b/>
        </w:rPr>
        <w:t>[Audited</w:t>
      </w:r>
      <w:r w:rsidRPr="00EC20A0">
        <w:rPr>
          <w:b/>
          <w:spacing w:val="-9"/>
        </w:rPr>
        <w:t xml:space="preserve"> </w:t>
      </w:r>
      <w:r w:rsidRPr="00EC20A0">
        <w:rPr>
          <w:b/>
        </w:rPr>
        <w:t>Entity</w:t>
      </w:r>
      <w:r w:rsidRPr="00EC20A0">
        <w:rPr>
          <w:b/>
          <w:spacing w:val="-8"/>
        </w:rPr>
        <w:t xml:space="preserve"> </w:t>
      </w:r>
      <w:r w:rsidRPr="00EC20A0">
        <w:rPr>
          <w:b/>
          <w:spacing w:val="-2"/>
        </w:rPr>
        <w:t>Letterhead]</w:t>
      </w:r>
    </w:p>
    <w:p w14:paraId="24D61F0C" w14:textId="77777777" w:rsidR="00245300" w:rsidRPr="00EC20A0" w:rsidRDefault="00F17249">
      <w:pPr>
        <w:spacing w:before="241" w:line="253" w:lineRule="exact"/>
        <w:ind w:left="199"/>
        <w:rPr>
          <w:b/>
        </w:rPr>
      </w:pPr>
      <w:r w:rsidRPr="00EC20A0">
        <w:rPr>
          <w:b/>
          <w:spacing w:val="-2"/>
        </w:rPr>
        <w:t>[Date]</w:t>
      </w:r>
    </w:p>
    <w:p w14:paraId="24D61F0D" w14:textId="77777777" w:rsidR="00245300" w:rsidRPr="00EC20A0" w:rsidRDefault="00F17249">
      <w:pPr>
        <w:ind w:left="199" w:right="7141"/>
        <w:rPr>
          <w:b/>
        </w:rPr>
      </w:pPr>
      <w:r w:rsidRPr="00EC20A0">
        <w:rPr>
          <w:b/>
        </w:rPr>
        <w:t>[General Counsel] [Entity</w:t>
      </w:r>
      <w:r w:rsidRPr="00EC20A0">
        <w:rPr>
          <w:b/>
          <w:spacing w:val="-13"/>
        </w:rPr>
        <w:t xml:space="preserve"> </w:t>
      </w:r>
      <w:r w:rsidRPr="00EC20A0">
        <w:rPr>
          <w:b/>
        </w:rPr>
        <w:t>or</w:t>
      </w:r>
      <w:r w:rsidRPr="00EC20A0">
        <w:rPr>
          <w:b/>
          <w:spacing w:val="-14"/>
        </w:rPr>
        <w:t xml:space="preserve"> </w:t>
      </w:r>
      <w:r w:rsidRPr="00EC20A0">
        <w:rPr>
          <w:b/>
        </w:rPr>
        <w:t>Firm</w:t>
      </w:r>
      <w:r w:rsidRPr="00EC20A0">
        <w:rPr>
          <w:b/>
          <w:spacing w:val="-13"/>
        </w:rPr>
        <w:t xml:space="preserve"> </w:t>
      </w:r>
      <w:r w:rsidRPr="00EC20A0">
        <w:rPr>
          <w:b/>
        </w:rPr>
        <w:t xml:space="preserve">Name] </w:t>
      </w:r>
      <w:r w:rsidRPr="00EC20A0">
        <w:rPr>
          <w:b/>
          <w:spacing w:val="-2"/>
        </w:rPr>
        <w:t>[City]</w:t>
      </w:r>
    </w:p>
    <w:p w14:paraId="24D61F0E" w14:textId="77777777" w:rsidR="00245300" w:rsidRPr="00EC20A0" w:rsidRDefault="00F17249">
      <w:pPr>
        <w:pStyle w:val="BodyText"/>
        <w:spacing w:before="240"/>
        <w:ind w:left="199"/>
      </w:pPr>
      <w:r w:rsidRPr="00EC20A0">
        <w:t>Subject:</w:t>
      </w:r>
      <w:r w:rsidRPr="00EC20A0">
        <w:rPr>
          <w:spacing w:val="-7"/>
        </w:rPr>
        <w:t xml:space="preserve"> </w:t>
      </w:r>
      <w:r w:rsidRPr="00EC20A0">
        <w:rPr>
          <w:b/>
        </w:rPr>
        <w:t>[Auditor’s]</w:t>
      </w:r>
      <w:r w:rsidRPr="00EC20A0">
        <w:rPr>
          <w:b/>
          <w:spacing w:val="-7"/>
        </w:rPr>
        <w:t xml:space="preserve"> </w:t>
      </w:r>
      <w:r w:rsidRPr="00EC20A0">
        <w:t>Audits</w:t>
      </w:r>
      <w:r w:rsidRPr="00EC20A0">
        <w:rPr>
          <w:spacing w:val="-7"/>
        </w:rPr>
        <w:t xml:space="preserve"> </w:t>
      </w:r>
      <w:r w:rsidRPr="00EC20A0">
        <w:t>of</w:t>
      </w:r>
      <w:r w:rsidRPr="00EC20A0">
        <w:rPr>
          <w:spacing w:val="-7"/>
        </w:rPr>
        <w:t xml:space="preserve"> </w:t>
      </w:r>
      <w:r w:rsidRPr="00EC20A0">
        <w:t>20XX</w:t>
      </w:r>
      <w:r w:rsidRPr="00EC20A0">
        <w:rPr>
          <w:spacing w:val="-8"/>
        </w:rPr>
        <w:t xml:space="preserve"> </w:t>
      </w:r>
      <w:r w:rsidRPr="00EC20A0">
        <w:t>and</w:t>
      </w:r>
      <w:r w:rsidRPr="00EC20A0">
        <w:rPr>
          <w:spacing w:val="-7"/>
        </w:rPr>
        <w:t xml:space="preserve"> </w:t>
      </w:r>
      <w:r w:rsidRPr="00EC20A0">
        <w:t>20XX</w:t>
      </w:r>
      <w:r w:rsidRPr="00EC20A0">
        <w:rPr>
          <w:spacing w:val="-7"/>
        </w:rPr>
        <w:t xml:space="preserve"> </w:t>
      </w:r>
      <w:r w:rsidRPr="00EC20A0">
        <w:t>Financial</w:t>
      </w:r>
      <w:r w:rsidRPr="00EC20A0">
        <w:rPr>
          <w:spacing w:val="-7"/>
        </w:rPr>
        <w:t xml:space="preserve"> </w:t>
      </w:r>
      <w:r w:rsidRPr="00EC20A0">
        <w:rPr>
          <w:spacing w:val="-2"/>
        </w:rPr>
        <w:t>Statements</w:t>
      </w:r>
    </w:p>
    <w:p w14:paraId="24D61F0F" w14:textId="77777777" w:rsidR="00245300" w:rsidRPr="00EC20A0" w:rsidRDefault="00F17249">
      <w:pPr>
        <w:spacing w:before="240"/>
        <w:ind w:left="199" w:right="464"/>
      </w:pPr>
      <w:r w:rsidRPr="00EC20A0">
        <w:t xml:space="preserve">Pursuant to </w:t>
      </w:r>
      <w:r w:rsidRPr="00EC20A0">
        <w:rPr>
          <w:b/>
        </w:rPr>
        <w:t xml:space="preserve">[cite </w:t>
      </w:r>
      <w:r w:rsidRPr="00EC20A0">
        <w:rPr>
          <w:b/>
        </w:rPr>
        <w:t>applicable legal authority to conduct the audit, such as 31 U.S.C. § 3521]</w:t>
      </w:r>
      <w:r w:rsidRPr="00EC20A0">
        <w:t xml:space="preserve">, </w:t>
      </w:r>
      <w:r w:rsidRPr="00EC20A0">
        <w:rPr>
          <w:b/>
        </w:rPr>
        <w:t xml:space="preserve">[auditor’s name] </w:t>
      </w:r>
      <w:r w:rsidRPr="00EC20A0">
        <w:t xml:space="preserve">is auditing the financial statements of </w:t>
      </w:r>
      <w:r w:rsidRPr="00EC20A0">
        <w:rPr>
          <w:b/>
        </w:rPr>
        <w:t xml:space="preserve">[Entity] </w:t>
      </w:r>
      <w:r w:rsidRPr="00EC20A0">
        <w:t>as of and for the years ended</w:t>
      </w:r>
      <w:r w:rsidRPr="00EC20A0">
        <w:rPr>
          <w:spacing w:val="-4"/>
        </w:rPr>
        <w:t xml:space="preserve"> </w:t>
      </w:r>
      <w:r w:rsidRPr="00EC20A0">
        <w:t>September</w:t>
      </w:r>
      <w:r w:rsidRPr="00EC20A0">
        <w:rPr>
          <w:spacing w:val="-4"/>
        </w:rPr>
        <w:t xml:space="preserve"> </w:t>
      </w:r>
      <w:r w:rsidRPr="00EC20A0">
        <w:t>30,</w:t>
      </w:r>
      <w:r w:rsidRPr="00EC20A0">
        <w:rPr>
          <w:spacing w:val="-4"/>
        </w:rPr>
        <w:t xml:space="preserve"> </w:t>
      </w:r>
      <w:r w:rsidRPr="00EC20A0">
        <w:t>20XX,</w:t>
      </w:r>
      <w:r w:rsidRPr="00EC20A0">
        <w:rPr>
          <w:spacing w:val="-3"/>
        </w:rPr>
        <w:t xml:space="preserve"> </w:t>
      </w:r>
      <w:r w:rsidRPr="00EC20A0">
        <w:t>and</w:t>
      </w:r>
      <w:r w:rsidRPr="00EC20A0">
        <w:rPr>
          <w:spacing w:val="-4"/>
        </w:rPr>
        <w:t xml:space="preserve"> </w:t>
      </w:r>
      <w:r w:rsidRPr="00EC20A0">
        <w:t>20XX.</w:t>
      </w:r>
      <w:r w:rsidRPr="00EC20A0">
        <w:rPr>
          <w:spacing w:val="-4"/>
        </w:rPr>
        <w:t xml:space="preserve"> </w:t>
      </w:r>
      <w:r w:rsidRPr="00EC20A0">
        <w:t>In</w:t>
      </w:r>
      <w:r w:rsidRPr="00EC20A0">
        <w:rPr>
          <w:spacing w:val="-4"/>
        </w:rPr>
        <w:t xml:space="preserve"> </w:t>
      </w:r>
      <w:r w:rsidRPr="00EC20A0">
        <w:t>performing</w:t>
      </w:r>
      <w:r w:rsidRPr="00EC20A0">
        <w:rPr>
          <w:spacing w:val="-4"/>
        </w:rPr>
        <w:t xml:space="preserve"> </w:t>
      </w:r>
      <w:r w:rsidRPr="00EC20A0">
        <w:t>financial</w:t>
      </w:r>
      <w:r w:rsidRPr="00EC20A0">
        <w:rPr>
          <w:spacing w:val="-4"/>
        </w:rPr>
        <w:t xml:space="preserve"> </w:t>
      </w:r>
      <w:r w:rsidRPr="00EC20A0">
        <w:t>statement</w:t>
      </w:r>
      <w:r w:rsidRPr="00EC20A0">
        <w:rPr>
          <w:spacing w:val="-4"/>
        </w:rPr>
        <w:t xml:space="preserve"> </w:t>
      </w:r>
      <w:r w:rsidRPr="00EC20A0">
        <w:t>audits</w:t>
      </w:r>
      <w:r w:rsidRPr="00EC20A0">
        <w:rPr>
          <w:spacing w:val="-4"/>
        </w:rPr>
        <w:t xml:space="preserve"> </w:t>
      </w:r>
      <w:r w:rsidRPr="00EC20A0">
        <w:t>of</w:t>
      </w:r>
      <w:r w:rsidRPr="00EC20A0">
        <w:rPr>
          <w:spacing w:val="-4"/>
        </w:rPr>
        <w:t xml:space="preserve"> </w:t>
      </w:r>
      <w:r w:rsidRPr="00EC20A0">
        <w:t xml:space="preserve">government entities, auditors comply with </w:t>
      </w:r>
      <w:r w:rsidRPr="00EC20A0">
        <w:rPr>
          <w:i/>
        </w:rPr>
        <w:t>Government Auditing Standards</w:t>
      </w:r>
      <w:r w:rsidRPr="00EC20A0">
        <w:t xml:space="preserve">, issued by the Comptroller General of the United States. </w:t>
      </w:r>
      <w:r w:rsidRPr="00EC20A0">
        <w:rPr>
          <w:i/>
        </w:rPr>
        <w:t xml:space="preserve">Government Auditing Standards </w:t>
      </w:r>
      <w:r w:rsidRPr="00EC20A0">
        <w:t>incorporates the Statements on Auditing Standards promulgated by the Auditing Standards Board of the Americ</w:t>
      </w:r>
      <w:r w:rsidRPr="00EC20A0">
        <w:t>an Institute of Certified Public Accountants (AICPA).</w:t>
      </w:r>
    </w:p>
    <w:p w14:paraId="24D61F10" w14:textId="77777777" w:rsidR="00245300" w:rsidRPr="00EC20A0" w:rsidRDefault="00F17249">
      <w:pPr>
        <w:spacing w:before="239"/>
        <w:ind w:left="199" w:right="577"/>
      </w:pPr>
      <w:r w:rsidRPr="00EC20A0">
        <w:t xml:space="preserve">Consistent with AICPA’s </w:t>
      </w:r>
      <w:r w:rsidRPr="00EC20A0">
        <w:rPr>
          <w:i/>
        </w:rPr>
        <w:t xml:space="preserve">Auditing Standards [Clarified] </w:t>
      </w:r>
      <w:r w:rsidRPr="00EC20A0">
        <w:t xml:space="preserve">(AU-C), section 501, </w:t>
      </w:r>
      <w:r w:rsidRPr="00EC20A0">
        <w:rPr>
          <w:i/>
        </w:rPr>
        <w:t>Audit Evidence – Specific</w:t>
      </w:r>
      <w:r w:rsidRPr="00EC20A0">
        <w:rPr>
          <w:i/>
          <w:spacing w:val="-4"/>
        </w:rPr>
        <w:t xml:space="preserve"> </w:t>
      </w:r>
      <w:r w:rsidRPr="00EC20A0">
        <w:rPr>
          <w:i/>
        </w:rPr>
        <w:t>Considerations</w:t>
      </w:r>
      <w:r w:rsidRPr="00EC20A0">
        <w:rPr>
          <w:i/>
          <w:spacing w:val="-5"/>
        </w:rPr>
        <w:t xml:space="preserve"> </w:t>
      </w:r>
      <w:r w:rsidRPr="00EC20A0">
        <w:rPr>
          <w:i/>
        </w:rPr>
        <w:t>for</w:t>
      </w:r>
      <w:r w:rsidRPr="00EC20A0">
        <w:rPr>
          <w:i/>
          <w:spacing w:val="-4"/>
        </w:rPr>
        <w:t xml:space="preserve"> </w:t>
      </w:r>
      <w:r w:rsidRPr="00EC20A0">
        <w:rPr>
          <w:i/>
        </w:rPr>
        <w:t>Selected</w:t>
      </w:r>
      <w:r w:rsidRPr="00EC20A0">
        <w:rPr>
          <w:i/>
          <w:spacing w:val="-4"/>
        </w:rPr>
        <w:t xml:space="preserve"> </w:t>
      </w:r>
      <w:r w:rsidRPr="00EC20A0">
        <w:rPr>
          <w:i/>
        </w:rPr>
        <w:t>Items</w:t>
      </w:r>
      <w:r w:rsidRPr="00EC20A0">
        <w:t>,</w:t>
      </w:r>
      <w:r w:rsidRPr="00EC20A0">
        <w:rPr>
          <w:spacing w:val="-4"/>
        </w:rPr>
        <w:t xml:space="preserve"> </w:t>
      </w:r>
      <w:r w:rsidRPr="00EC20A0">
        <w:rPr>
          <w:b/>
        </w:rPr>
        <w:t>[auditor]</w:t>
      </w:r>
      <w:r w:rsidRPr="00EC20A0">
        <w:rPr>
          <w:b/>
          <w:spacing w:val="-4"/>
        </w:rPr>
        <w:t xml:space="preserve"> </w:t>
      </w:r>
      <w:r w:rsidRPr="00EC20A0">
        <w:t>has</w:t>
      </w:r>
      <w:r w:rsidRPr="00EC20A0">
        <w:rPr>
          <w:spacing w:val="-4"/>
        </w:rPr>
        <w:t xml:space="preserve"> </w:t>
      </w:r>
      <w:r w:rsidRPr="00EC20A0">
        <w:t>inquired</w:t>
      </w:r>
      <w:r w:rsidRPr="00EC20A0">
        <w:rPr>
          <w:spacing w:val="-4"/>
        </w:rPr>
        <w:t xml:space="preserve"> </w:t>
      </w:r>
      <w:r w:rsidRPr="00EC20A0">
        <w:t>about</w:t>
      </w:r>
      <w:r w:rsidRPr="00EC20A0">
        <w:rPr>
          <w:spacing w:val="-5"/>
        </w:rPr>
        <w:t xml:space="preserve"> </w:t>
      </w:r>
      <w:r w:rsidRPr="00EC20A0">
        <w:t>litigation,</w:t>
      </w:r>
      <w:r w:rsidRPr="00EC20A0">
        <w:rPr>
          <w:spacing w:val="-4"/>
        </w:rPr>
        <w:t xml:space="preserve"> </w:t>
      </w:r>
      <w:r w:rsidRPr="00EC20A0">
        <w:t>claims,</w:t>
      </w:r>
      <w:r w:rsidRPr="00EC20A0">
        <w:rPr>
          <w:spacing w:val="-4"/>
        </w:rPr>
        <w:t xml:space="preserve"> </w:t>
      </w:r>
      <w:r w:rsidRPr="00EC20A0">
        <w:t xml:space="preserve">and assessments to obtain evidence of the financial accounting and reporting of such matters in the financial statements. The purpose of this request is to obtain your assistance in responding to that inquiry and to provide our consent to furnish our auditor with the information requested herein. The American Bar Association’s </w:t>
      </w:r>
      <w:r w:rsidRPr="00EC20A0">
        <w:rPr>
          <w:i/>
        </w:rPr>
        <w:t xml:space="preserve">Statement of Policy Regarding Lawyers’ Responses to Auditors’ Requests for Information </w:t>
      </w:r>
      <w:r w:rsidRPr="00EC20A0">
        <w:t>(December 1975) provides guidance for a lawyer’s response to an auditor’s request.</w:t>
      </w:r>
    </w:p>
    <w:p w14:paraId="24D61F11" w14:textId="77777777" w:rsidR="00245300" w:rsidRPr="00EC20A0" w:rsidRDefault="00F17249">
      <w:pPr>
        <w:pStyle w:val="BodyText"/>
        <w:spacing w:before="241"/>
        <w:ind w:left="200" w:right="370" w:hanging="1"/>
      </w:pPr>
      <w:r w:rsidRPr="00EC20A0">
        <w:t xml:space="preserve">In accordance with Statement of Federal Financial Accounting Standards (SFFAS) 5, </w:t>
      </w:r>
      <w:r w:rsidRPr="00EC20A0">
        <w:rPr>
          <w:i/>
        </w:rPr>
        <w:t>Accounting for Liabilities of the Federal Government</w:t>
      </w:r>
      <w:r w:rsidRPr="00EC20A0">
        <w:t xml:space="preserve">, as amended by SFFAS 12, and Interpretation No. 2 of SFFAS 4 and 5, </w:t>
      </w:r>
      <w:r w:rsidRPr="00EC20A0">
        <w:rPr>
          <w:b/>
        </w:rPr>
        <w:t xml:space="preserve">[Entity] </w:t>
      </w:r>
      <w:r w:rsidRPr="00EC20A0">
        <w:t>may need to report certain information in its financial</w:t>
      </w:r>
      <w:r w:rsidRPr="00EC20A0">
        <w:rPr>
          <w:spacing w:val="-4"/>
        </w:rPr>
        <w:t xml:space="preserve"> </w:t>
      </w:r>
      <w:r w:rsidRPr="00EC20A0">
        <w:t>statements</w:t>
      </w:r>
      <w:r w:rsidRPr="00EC20A0">
        <w:rPr>
          <w:spacing w:val="-3"/>
        </w:rPr>
        <w:t xml:space="preserve"> </w:t>
      </w:r>
      <w:r w:rsidRPr="00EC20A0">
        <w:t>and</w:t>
      </w:r>
      <w:r w:rsidRPr="00EC20A0">
        <w:rPr>
          <w:spacing w:val="-3"/>
        </w:rPr>
        <w:t xml:space="preserve"> </w:t>
      </w:r>
      <w:r w:rsidRPr="00EC20A0">
        <w:t>notes</w:t>
      </w:r>
      <w:r w:rsidRPr="00EC20A0">
        <w:rPr>
          <w:spacing w:val="-3"/>
        </w:rPr>
        <w:t xml:space="preserve"> </w:t>
      </w:r>
      <w:r w:rsidRPr="00EC20A0">
        <w:t>concerning</w:t>
      </w:r>
      <w:r w:rsidRPr="00EC20A0">
        <w:rPr>
          <w:spacing w:val="-3"/>
        </w:rPr>
        <w:t xml:space="preserve"> </w:t>
      </w:r>
      <w:r w:rsidRPr="00EC20A0">
        <w:t>contingencies</w:t>
      </w:r>
      <w:r w:rsidRPr="00EC20A0">
        <w:rPr>
          <w:spacing w:val="-3"/>
        </w:rPr>
        <w:t xml:space="preserve"> </w:t>
      </w:r>
      <w:r w:rsidRPr="00EC20A0">
        <w:t>for</w:t>
      </w:r>
      <w:r w:rsidRPr="00EC20A0">
        <w:rPr>
          <w:spacing w:val="-4"/>
        </w:rPr>
        <w:t xml:space="preserve"> </w:t>
      </w:r>
      <w:r w:rsidRPr="00EC20A0">
        <w:t>litigation,</w:t>
      </w:r>
      <w:r w:rsidRPr="00EC20A0">
        <w:rPr>
          <w:spacing w:val="-4"/>
        </w:rPr>
        <w:t xml:space="preserve"> </w:t>
      </w:r>
      <w:r w:rsidRPr="00EC20A0">
        <w:t>claims,</w:t>
      </w:r>
      <w:r w:rsidRPr="00EC20A0">
        <w:rPr>
          <w:spacing w:val="-3"/>
        </w:rPr>
        <w:t xml:space="preserve"> </w:t>
      </w:r>
      <w:r w:rsidRPr="00EC20A0">
        <w:t>and</w:t>
      </w:r>
      <w:r w:rsidRPr="00EC20A0">
        <w:rPr>
          <w:spacing w:val="-3"/>
        </w:rPr>
        <w:t xml:space="preserve"> </w:t>
      </w:r>
      <w:r w:rsidRPr="00EC20A0">
        <w:t>assessments. We</w:t>
      </w:r>
      <w:r w:rsidRPr="00EC20A0">
        <w:rPr>
          <w:spacing w:val="-3"/>
        </w:rPr>
        <w:t xml:space="preserve"> </w:t>
      </w:r>
      <w:r w:rsidRPr="00EC20A0">
        <w:t>request</w:t>
      </w:r>
      <w:r w:rsidRPr="00EC20A0">
        <w:rPr>
          <w:spacing w:val="-4"/>
        </w:rPr>
        <w:t xml:space="preserve"> </w:t>
      </w:r>
      <w:r w:rsidRPr="00EC20A0">
        <w:t>that</w:t>
      </w:r>
      <w:r w:rsidRPr="00EC20A0">
        <w:rPr>
          <w:spacing w:val="-3"/>
        </w:rPr>
        <w:t xml:space="preserve"> </w:t>
      </w:r>
      <w:r w:rsidRPr="00EC20A0">
        <w:t>you</w:t>
      </w:r>
      <w:r w:rsidRPr="00EC20A0">
        <w:rPr>
          <w:spacing w:val="-3"/>
        </w:rPr>
        <w:t xml:space="preserve"> </w:t>
      </w:r>
      <w:r w:rsidRPr="00EC20A0">
        <w:t>provide</w:t>
      </w:r>
      <w:r w:rsidRPr="00EC20A0">
        <w:rPr>
          <w:spacing w:val="-3"/>
        </w:rPr>
        <w:t xml:space="preserve"> </w:t>
      </w:r>
      <w:r w:rsidRPr="00EC20A0">
        <w:rPr>
          <w:b/>
        </w:rPr>
        <w:t>[auditor]</w:t>
      </w:r>
      <w:r w:rsidRPr="00EC20A0">
        <w:rPr>
          <w:b/>
          <w:spacing w:val="-3"/>
        </w:rPr>
        <w:t xml:space="preserve"> </w:t>
      </w:r>
      <w:r w:rsidRPr="00EC20A0">
        <w:t>(with</w:t>
      </w:r>
      <w:r w:rsidRPr="00EC20A0">
        <w:rPr>
          <w:spacing w:val="-3"/>
        </w:rPr>
        <w:t xml:space="preserve"> </w:t>
      </w:r>
      <w:r w:rsidRPr="00EC20A0">
        <w:t>a</w:t>
      </w:r>
      <w:r w:rsidRPr="00EC20A0">
        <w:rPr>
          <w:spacing w:val="-3"/>
        </w:rPr>
        <w:t xml:space="preserve"> </w:t>
      </w:r>
      <w:r w:rsidRPr="00EC20A0">
        <w:t>copy</w:t>
      </w:r>
      <w:r w:rsidRPr="00EC20A0">
        <w:rPr>
          <w:spacing w:val="-3"/>
        </w:rPr>
        <w:t xml:space="preserve"> </w:t>
      </w:r>
      <w:r w:rsidRPr="00EC20A0">
        <w:t>to</w:t>
      </w:r>
      <w:r w:rsidRPr="00EC20A0">
        <w:rPr>
          <w:spacing w:val="-3"/>
        </w:rPr>
        <w:t xml:space="preserve"> </w:t>
      </w:r>
      <w:r w:rsidRPr="00EC20A0">
        <w:t>me)</w:t>
      </w:r>
      <w:r w:rsidRPr="00EC20A0">
        <w:rPr>
          <w:spacing w:val="-4"/>
        </w:rPr>
        <w:t xml:space="preserve"> </w:t>
      </w:r>
      <w:r w:rsidRPr="00EC20A0">
        <w:t>information</w:t>
      </w:r>
      <w:r w:rsidRPr="00EC20A0">
        <w:rPr>
          <w:spacing w:val="-3"/>
        </w:rPr>
        <w:t xml:space="preserve"> </w:t>
      </w:r>
      <w:r w:rsidRPr="00EC20A0">
        <w:t>on</w:t>
      </w:r>
      <w:r w:rsidRPr="00EC20A0">
        <w:rPr>
          <w:spacing w:val="-3"/>
        </w:rPr>
        <w:t xml:space="preserve"> </w:t>
      </w:r>
      <w:r w:rsidRPr="00EC20A0">
        <w:t>matters</w:t>
      </w:r>
      <w:r w:rsidRPr="00EC20A0">
        <w:rPr>
          <w:spacing w:val="-3"/>
        </w:rPr>
        <w:t xml:space="preserve"> </w:t>
      </w:r>
      <w:r w:rsidRPr="00EC20A0">
        <w:t>with</w:t>
      </w:r>
      <w:r w:rsidRPr="00EC20A0">
        <w:rPr>
          <w:spacing w:val="-3"/>
        </w:rPr>
        <w:t xml:space="preserve"> </w:t>
      </w:r>
      <w:r w:rsidRPr="00EC20A0">
        <w:t>respect</w:t>
      </w:r>
      <w:r w:rsidRPr="00EC20A0">
        <w:rPr>
          <w:spacing w:val="-3"/>
        </w:rPr>
        <w:t xml:space="preserve"> </w:t>
      </w:r>
      <w:r w:rsidRPr="00EC20A0">
        <w:t>to which you have been engaged and to which you have devoted substantive attention on behalf</w:t>
      </w:r>
      <w:r w:rsidRPr="00EC20A0">
        <w:rPr>
          <w:spacing w:val="40"/>
        </w:rPr>
        <w:t xml:space="preserve"> </w:t>
      </w:r>
      <w:r w:rsidRPr="00EC20A0">
        <w:t xml:space="preserve">of </w:t>
      </w:r>
      <w:r w:rsidRPr="00EC20A0">
        <w:rPr>
          <w:b/>
        </w:rPr>
        <w:t xml:space="preserve">[Entity] </w:t>
      </w:r>
      <w:r w:rsidRPr="00EC20A0">
        <w:t>in the form of legal consultation or rep</w:t>
      </w:r>
      <w:r w:rsidRPr="00EC20A0">
        <w:t>resentation.</w:t>
      </w:r>
    </w:p>
    <w:p w14:paraId="24D61F12" w14:textId="77777777" w:rsidR="00245300" w:rsidRPr="00EC20A0" w:rsidRDefault="00F17249">
      <w:pPr>
        <w:spacing w:before="240"/>
        <w:ind w:left="199" w:right="408"/>
        <w:rPr>
          <w:b/>
        </w:rPr>
      </w:pPr>
      <w:r w:rsidRPr="00EC20A0">
        <w:t xml:space="preserve">Please furnish an interim response to our auditor by </w:t>
      </w:r>
      <w:r w:rsidRPr="00EC20A0">
        <w:rPr>
          <w:b/>
        </w:rPr>
        <w:t>[due date]</w:t>
      </w:r>
      <w:r w:rsidRPr="00EC20A0">
        <w:t>, including matters that existed as</w:t>
      </w:r>
      <w:r w:rsidRPr="00EC20A0">
        <w:rPr>
          <w:spacing w:val="-3"/>
        </w:rPr>
        <w:t xml:space="preserve"> </w:t>
      </w:r>
      <w:r w:rsidRPr="00EC20A0">
        <w:t>of</w:t>
      </w:r>
      <w:r w:rsidRPr="00EC20A0">
        <w:rPr>
          <w:spacing w:val="-3"/>
        </w:rPr>
        <w:t xml:space="preserve"> </w:t>
      </w:r>
      <w:r w:rsidRPr="00EC20A0">
        <w:rPr>
          <w:b/>
        </w:rPr>
        <w:t>[date</w:t>
      </w:r>
      <w:r w:rsidRPr="00EC20A0">
        <w:rPr>
          <w:b/>
          <w:spacing w:val="-4"/>
        </w:rPr>
        <w:t xml:space="preserve"> </w:t>
      </w:r>
      <w:r w:rsidRPr="00EC20A0">
        <w:rPr>
          <w:b/>
        </w:rPr>
        <w:t>appropriate</w:t>
      </w:r>
      <w:r w:rsidRPr="00EC20A0">
        <w:rPr>
          <w:b/>
          <w:spacing w:val="-3"/>
        </w:rPr>
        <w:t xml:space="preserve"> </w:t>
      </w:r>
      <w:r w:rsidRPr="00EC20A0">
        <w:rPr>
          <w:b/>
        </w:rPr>
        <w:t>for</w:t>
      </w:r>
      <w:r w:rsidRPr="00EC20A0">
        <w:rPr>
          <w:b/>
          <w:spacing w:val="-4"/>
        </w:rPr>
        <w:t xml:space="preserve"> </w:t>
      </w:r>
      <w:r w:rsidRPr="00EC20A0">
        <w:rPr>
          <w:b/>
        </w:rPr>
        <w:t>the</w:t>
      </w:r>
      <w:r w:rsidRPr="00EC20A0">
        <w:rPr>
          <w:b/>
          <w:spacing w:val="-3"/>
        </w:rPr>
        <w:t xml:space="preserve"> </w:t>
      </w:r>
      <w:r w:rsidRPr="00EC20A0">
        <w:rPr>
          <w:b/>
        </w:rPr>
        <w:t>audit]</w:t>
      </w:r>
      <w:r w:rsidRPr="00EC20A0">
        <w:t>.</w:t>
      </w:r>
      <w:r w:rsidRPr="00EC20A0">
        <w:rPr>
          <w:spacing w:val="-3"/>
        </w:rPr>
        <w:t xml:space="preserve"> </w:t>
      </w:r>
      <w:r w:rsidRPr="00EC20A0">
        <w:t>Our</w:t>
      </w:r>
      <w:r w:rsidRPr="00EC20A0">
        <w:rPr>
          <w:spacing w:val="-3"/>
        </w:rPr>
        <w:t xml:space="preserve"> </w:t>
      </w:r>
      <w:r w:rsidRPr="00EC20A0">
        <w:t>auditor</w:t>
      </w:r>
      <w:r w:rsidRPr="00EC20A0">
        <w:rPr>
          <w:spacing w:val="-3"/>
        </w:rPr>
        <w:t xml:space="preserve"> </w:t>
      </w:r>
      <w:r w:rsidRPr="00EC20A0">
        <w:t>would</w:t>
      </w:r>
      <w:r w:rsidRPr="00EC20A0">
        <w:rPr>
          <w:spacing w:val="-3"/>
        </w:rPr>
        <w:t xml:space="preserve"> </w:t>
      </w:r>
      <w:r w:rsidRPr="00EC20A0">
        <w:t>appreciate</w:t>
      </w:r>
      <w:r w:rsidRPr="00EC20A0">
        <w:rPr>
          <w:spacing w:val="-3"/>
        </w:rPr>
        <w:t xml:space="preserve"> </w:t>
      </w:r>
      <w:r w:rsidRPr="00EC20A0">
        <w:t>receiving</w:t>
      </w:r>
      <w:r w:rsidRPr="00EC20A0">
        <w:rPr>
          <w:spacing w:val="-3"/>
        </w:rPr>
        <w:t xml:space="preserve"> </w:t>
      </w:r>
      <w:r w:rsidRPr="00EC20A0">
        <w:t>your</w:t>
      </w:r>
      <w:r w:rsidRPr="00EC20A0">
        <w:rPr>
          <w:spacing w:val="-6"/>
        </w:rPr>
        <w:t xml:space="preserve"> </w:t>
      </w:r>
      <w:r w:rsidRPr="00EC20A0">
        <w:t>updated</w:t>
      </w:r>
      <w:r w:rsidRPr="00EC20A0">
        <w:rPr>
          <w:spacing w:val="-3"/>
        </w:rPr>
        <w:t xml:space="preserve"> </w:t>
      </w:r>
      <w:r w:rsidRPr="00EC20A0">
        <w:t xml:space="preserve">or final response by </w:t>
      </w:r>
      <w:r w:rsidRPr="00EC20A0">
        <w:rPr>
          <w:b/>
        </w:rPr>
        <w:t xml:space="preserve">[due date] </w:t>
      </w:r>
      <w:r w:rsidRPr="00EC20A0">
        <w:t xml:space="preserve">that includes matters that existed at </w:t>
      </w:r>
      <w:r w:rsidRPr="00EC20A0">
        <w:rPr>
          <w:b/>
        </w:rPr>
        <w:t xml:space="preserve">[date of financial statements] </w:t>
      </w:r>
      <w:r w:rsidRPr="00EC20A0">
        <w:t xml:space="preserve">and during the period from that date through the effective date of your response, which should be no earlier than </w:t>
      </w:r>
      <w:r w:rsidRPr="00EC20A0">
        <w:rPr>
          <w:b/>
        </w:rPr>
        <w:t>[effective date]</w:t>
      </w:r>
      <w:r w:rsidRPr="00EC20A0">
        <w:t xml:space="preserve">. The final response should separately identify any new matters or significant changes from the interim response, or include a statement that there are no new matters or significant changes, and should specify the effective date of the response. </w:t>
      </w:r>
      <w:r w:rsidRPr="00EC20A0">
        <w:rPr>
          <w:b/>
        </w:rPr>
        <w:t xml:space="preserve">(Note: </w:t>
      </w:r>
      <w:r w:rsidRPr="00EC20A0">
        <w:rPr>
          <w:b/>
          <w:u w:val="single"/>
        </w:rPr>
        <w:t>The a</w:t>
      </w:r>
      <w:r w:rsidRPr="00EC20A0">
        <w:rPr>
          <w:b/>
          <w:u w:val="single"/>
        </w:rPr>
        <w:t>uditor and the entity should determine whether to request an</w:t>
      </w:r>
      <w:r w:rsidRPr="00EC20A0">
        <w:rPr>
          <w:b/>
        </w:rPr>
        <w:t xml:space="preserve"> </w:t>
      </w:r>
      <w:r w:rsidRPr="00EC20A0">
        <w:rPr>
          <w:b/>
          <w:u w:val="single"/>
        </w:rPr>
        <w:t>interim legal counsel response based on the circumstances of the audit. Refer to FAM</w:t>
      </w:r>
      <w:r w:rsidRPr="00EC20A0">
        <w:rPr>
          <w:b/>
        </w:rPr>
        <w:t xml:space="preserve"> </w:t>
      </w:r>
      <w:r w:rsidRPr="00EC20A0">
        <w:rPr>
          <w:b/>
          <w:spacing w:val="-2"/>
          <w:u w:val="single"/>
        </w:rPr>
        <w:t>1002.34.</w:t>
      </w:r>
      <w:r w:rsidRPr="00EC20A0">
        <w:rPr>
          <w:b/>
          <w:spacing w:val="-2"/>
        </w:rPr>
        <w:t>)</w:t>
      </w:r>
    </w:p>
    <w:p w14:paraId="24D61F13" w14:textId="77777777" w:rsidR="00245300" w:rsidRPr="00EC20A0" w:rsidRDefault="00245300">
      <w:pPr>
        <w:sectPr w:rsidR="00245300" w:rsidRPr="00EC20A0">
          <w:headerReference w:type="default" r:id="rId198"/>
          <w:footerReference w:type="default" r:id="rId199"/>
          <w:pgSz w:w="12240" w:h="15840"/>
          <w:pgMar w:top="1340" w:right="1100" w:bottom="940" w:left="1240" w:header="721" w:footer="757" w:gutter="0"/>
          <w:pgNumType w:start="1"/>
          <w:cols w:space="720"/>
        </w:sectPr>
      </w:pPr>
    </w:p>
    <w:p w14:paraId="24D61F14" w14:textId="77777777" w:rsidR="00245300" w:rsidRPr="00EC20A0" w:rsidRDefault="00F17249">
      <w:pPr>
        <w:pStyle w:val="BodyText"/>
        <w:spacing w:before="121"/>
        <w:ind w:left="199" w:right="408"/>
      </w:pPr>
      <w:r w:rsidRPr="00EC20A0">
        <w:t>Please include any cases</w:t>
      </w:r>
      <w:hyperlink w:anchor="_bookmark225" w:history="1">
        <w:r w:rsidRPr="00EC20A0">
          <w:rPr>
            <w:position w:val="7"/>
            <w:sz w:val="14"/>
          </w:rPr>
          <w:t>13</w:t>
        </w:r>
      </w:hyperlink>
      <w:r w:rsidRPr="00EC20A0">
        <w:rPr>
          <w:spacing w:val="30"/>
          <w:position w:val="7"/>
          <w:sz w:val="14"/>
        </w:rPr>
        <w:t xml:space="preserve"> </w:t>
      </w:r>
      <w:r w:rsidRPr="00EC20A0">
        <w:t xml:space="preserve">with respect to which you have been engaged and to which you have devoted substantive attention on behalf of </w:t>
      </w:r>
      <w:r w:rsidRPr="00EC20A0">
        <w:rPr>
          <w:b/>
        </w:rPr>
        <w:t xml:space="preserve">[Entity] </w:t>
      </w:r>
      <w:r w:rsidRPr="00EC20A0">
        <w:t xml:space="preserve">in the form of legal consultation or representation, including those cases for which you believe the Judgment Fund or other external financing source will pay any potential loss. Under U.S. generally accepted accounting principles, these amounts will be included as liabilities or disclosure items in </w:t>
      </w:r>
      <w:r w:rsidRPr="00EC20A0">
        <w:rPr>
          <w:b/>
        </w:rPr>
        <w:t>[Entity]</w:t>
      </w:r>
      <w:r w:rsidRPr="00EC20A0">
        <w:t>’s financial statements.</w:t>
      </w:r>
      <w:r w:rsidRPr="00EC20A0">
        <w:rPr>
          <w:spacing w:val="-4"/>
        </w:rPr>
        <w:t xml:space="preserve"> </w:t>
      </w:r>
      <w:r w:rsidRPr="00EC20A0">
        <w:t>Please</w:t>
      </w:r>
      <w:r w:rsidRPr="00EC20A0">
        <w:rPr>
          <w:spacing w:val="-4"/>
        </w:rPr>
        <w:t xml:space="preserve"> </w:t>
      </w:r>
      <w:r w:rsidRPr="00EC20A0">
        <w:t>aggregate</w:t>
      </w:r>
      <w:r w:rsidRPr="00EC20A0">
        <w:rPr>
          <w:spacing w:val="-4"/>
        </w:rPr>
        <w:t xml:space="preserve"> </w:t>
      </w:r>
      <w:r w:rsidRPr="00EC20A0">
        <w:t>cases</w:t>
      </w:r>
      <w:r w:rsidRPr="00EC20A0">
        <w:rPr>
          <w:spacing w:val="-5"/>
        </w:rPr>
        <w:t xml:space="preserve"> </w:t>
      </w:r>
      <w:r w:rsidRPr="00EC20A0">
        <w:t>similar</w:t>
      </w:r>
      <w:r w:rsidRPr="00EC20A0">
        <w:rPr>
          <w:spacing w:val="-4"/>
        </w:rPr>
        <w:t xml:space="preserve"> </w:t>
      </w:r>
      <w:r w:rsidRPr="00EC20A0">
        <w:t>in</w:t>
      </w:r>
      <w:r w:rsidRPr="00EC20A0">
        <w:rPr>
          <w:spacing w:val="-4"/>
        </w:rPr>
        <w:t xml:space="preserve"> </w:t>
      </w:r>
      <w:r w:rsidRPr="00EC20A0">
        <w:t>nature</w:t>
      </w:r>
      <w:r w:rsidRPr="00EC20A0">
        <w:rPr>
          <w:spacing w:val="-4"/>
        </w:rPr>
        <w:t xml:space="preserve"> </w:t>
      </w:r>
      <w:r w:rsidRPr="00EC20A0">
        <w:t>where</w:t>
      </w:r>
      <w:r w:rsidRPr="00EC20A0">
        <w:rPr>
          <w:spacing w:val="-4"/>
        </w:rPr>
        <w:t xml:space="preserve"> </w:t>
      </w:r>
      <w:r w:rsidRPr="00EC20A0">
        <w:t>appropriate.</w:t>
      </w:r>
      <w:r w:rsidRPr="00EC20A0">
        <w:rPr>
          <w:spacing w:val="-5"/>
        </w:rPr>
        <w:t xml:space="preserve"> </w:t>
      </w:r>
      <w:r w:rsidRPr="00EC20A0">
        <w:t>Please</w:t>
      </w:r>
      <w:r w:rsidRPr="00EC20A0">
        <w:rPr>
          <w:spacing w:val="-4"/>
        </w:rPr>
        <w:t xml:space="preserve"> </w:t>
      </w:r>
      <w:r w:rsidRPr="00EC20A0">
        <w:t>list</w:t>
      </w:r>
      <w:r w:rsidRPr="00EC20A0">
        <w:rPr>
          <w:spacing w:val="-4"/>
        </w:rPr>
        <w:t xml:space="preserve"> </w:t>
      </w:r>
      <w:r w:rsidRPr="00EC20A0">
        <w:t>the</w:t>
      </w:r>
      <w:r w:rsidRPr="00EC20A0">
        <w:rPr>
          <w:spacing w:val="-4"/>
        </w:rPr>
        <w:t xml:space="preserve"> </w:t>
      </w:r>
      <w:r w:rsidRPr="00EC20A0">
        <w:t>matters in order of the amount of potential loss, starting with the largest.</w:t>
      </w:r>
    </w:p>
    <w:p w14:paraId="24D61F15" w14:textId="77777777" w:rsidR="00245300" w:rsidRPr="00EC20A0" w:rsidRDefault="00F17249">
      <w:pPr>
        <w:pStyle w:val="Heading6"/>
        <w:ind w:left="199"/>
      </w:pPr>
      <w:r w:rsidRPr="00EC20A0">
        <w:t>Pending</w:t>
      </w:r>
      <w:r w:rsidRPr="00EC20A0">
        <w:rPr>
          <w:spacing w:val="-10"/>
        </w:rPr>
        <w:t xml:space="preserve"> </w:t>
      </w:r>
      <w:r w:rsidRPr="00EC20A0">
        <w:t>or</w:t>
      </w:r>
      <w:r w:rsidRPr="00EC20A0">
        <w:rPr>
          <w:spacing w:val="-11"/>
        </w:rPr>
        <w:t xml:space="preserve"> </w:t>
      </w:r>
      <w:r w:rsidRPr="00EC20A0">
        <w:t>Threatened</w:t>
      </w:r>
      <w:r w:rsidRPr="00EC20A0">
        <w:rPr>
          <w:spacing w:val="-11"/>
        </w:rPr>
        <w:t xml:space="preserve"> </w:t>
      </w:r>
      <w:r w:rsidRPr="00EC20A0">
        <w:t>Litigation,</w:t>
      </w:r>
      <w:r w:rsidRPr="00EC20A0">
        <w:rPr>
          <w:spacing w:val="-10"/>
        </w:rPr>
        <w:t xml:space="preserve"> </w:t>
      </w:r>
      <w:r w:rsidRPr="00EC20A0">
        <w:t>Claims,</w:t>
      </w:r>
      <w:r w:rsidRPr="00EC20A0">
        <w:rPr>
          <w:spacing w:val="-9"/>
        </w:rPr>
        <w:t xml:space="preserve"> </w:t>
      </w:r>
      <w:r w:rsidRPr="00EC20A0">
        <w:t>and</w:t>
      </w:r>
      <w:r w:rsidRPr="00EC20A0">
        <w:rPr>
          <w:spacing w:val="-10"/>
        </w:rPr>
        <w:t xml:space="preserve"> </w:t>
      </w:r>
      <w:r w:rsidRPr="00EC20A0">
        <w:t>Assessments</w:t>
      </w:r>
      <w:r w:rsidRPr="00EC20A0">
        <w:rPr>
          <w:spacing w:val="-10"/>
        </w:rPr>
        <w:t xml:space="preserve"> </w:t>
      </w:r>
      <w:r w:rsidRPr="00EC20A0">
        <w:t>(Excluding</w:t>
      </w:r>
      <w:r w:rsidRPr="00EC20A0">
        <w:rPr>
          <w:spacing w:val="-10"/>
        </w:rPr>
        <w:t xml:space="preserve"> </w:t>
      </w:r>
      <w:r w:rsidRPr="00EC20A0">
        <w:t>Unasserted</w:t>
      </w:r>
      <w:r w:rsidRPr="00EC20A0">
        <w:rPr>
          <w:spacing w:val="-10"/>
        </w:rPr>
        <w:t xml:space="preserve"> </w:t>
      </w:r>
      <w:r w:rsidRPr="00EC20A0">
        <w:rPr>
          <w:spacing w:val="-2"/>
        </w:rPr>
        <w:t>Claims)</w:t>
      </w:r>
    </w:p>
    <w:p w14:paraId="24D61F16" w14:textId="77777777" w:rsidR="00245300" w:rsidRPr="00EC20A0" w:rsidRDefault="00F17249">
      <w:pPr>
        <w:pStyle w:val="BodyText"/>
        <w:spacing w:before="239"/>
        <w:ind w:left="199" w:right="577" w:hanging="1"/>
      </w:pPr>
      <w:r w:rsidRPr="00EC20A0">
        <w:t xml:space="preserve">We have determined that any matters for which (1) the amount of potential loss exceeds </w:t>
      </w:r>
      <w:r w:rsidRPr="00EC20A0">
        <w:rPr>
          <w:b/>
        </w:rPr>
        <w:t>[$XX]</w:t>
      </w:r>
      <w:r w:rsidRPr="00EC20A0">
        <w:t xml:space="preserve">, individually or in the aggregate for similar cases, or (2) the amount of potential loss exceeds </w:t>
      </w:r>
      <w:r w:rsidRPr="00EC20A0">
        <w:rPr>
          <w:b/>
        </w:rPr>
        <w:t xml:space="preserve">[$XXX] </w:t>
      </w:r>
      <w:r w:rsidRPr="00EC20A0">
        <w:t xml:space="preserve">in the aggregate for cases not listed individually or as part of similar cases could be material to the financial statements. We request that you provide to </w:t>
      </w:r>
      <w:r w:rsidRPr="00EC20A0">
        <w:rPr>
          <w:b/>
        </w:rPr>
        <w:t xml:space="preserve">[auditor] </w:t>
      </w:r>
      <w:r w:rsidRPr="00EC20A0">
        <w:t>the information</w:t>
      </w:r>
      <w:r w:rsidRPr="00EC20A0">
        <w:rPr>
          <w:spacing w:val="-4"/>
        </w:rPr>
        <w:t xml:space="preserve"> </w:t>
      </w:r>
      <w:r w:rsidRPr="00EC20A0">
        <w:t>described</w:t>
      </w:r>
      <w:r w:rsidRPr="00EC20A0">
        <w:rPr>
          <w:spacing w:val="-4"/>
        </w:rPr>
        <w:t xml:space="preserve"> </w:t>
      </w:r>
      <w:r w:rsidRPr="00EC20A0">
        <w:t>below</w:t>
      </w:r>
      <w:r w:rsidRPr="00EC20A0">
        <w:rPr>
          <w:spacing w:val="-5"/>
        </w:rPr>
        <w:t xml:space="preserve"> </w:t>
      </w:r>
      <w:r w:rsidRPr="00EC20A0">
        <w:t>about</w:t>
      </w:r>
      <w:r w:rsidRPr="00EC20A0">
        <w:rPr>
          <w:spacing w:val="-4"/>
        </w:rPr>
        <w:t xml:space="preserve"> </w:t>
      </w:r>
      <w:r w:rsidRPr="00EC20A0">
        <w:t>pending</w:t>
      </w:r>
      <w:r w:rsidRPr="00EC20A0">
        <w:rPr>
          <w:spacing w:val="-4"/>
        </w:rPr>
        <w:t xml:space="preserve"> </w:t>
      </w:r>
      <w:r w:rsidRPr="00EC20A0">
        <w:t>or</w:t>
      </w:r>
      <w:r w:rsidRPr="00EC20A0">
        <w:rPr>
          <w:spacing w:val="-4"/>
        </w:rPr>
        <w:t xml:space="preserve"> </w:t>
      </w:r>
      <w:r w:rsidRPr="00EC20A0">
        <w:t>threatened</w:t>
      </w:r>
      <w:r w:rsidRPr="00EC20A0">
        <w:rPr>
          <w:spacing w:val="-4"/>
        </w:rPr>
        <w:t xml:space="preserve"> </w:t>
      </w:r>
      <w:r w:rsidRPr="00EC20A0">
        <w:t>litigation,</w:t>
      </w:r>
      <w:r w:rsidRPr="00EC20A0">
        <w:rPr>
          <w:spacing w:val="-4"/>
        </w:rPr>
        <w:t xml:space="preserve"> </w:t>
      </w:r>
      <w:r w:rsidRPr="00EC20A0">
        <w:t>claims,</w:t>
      </w:r>
      <w:r w:rsidRPr="00EC20A0">
        <w:rPr>
          <w:spacing w:val="-4"/>
        </w:rPr>
        <w:t xml:space="preserve"> </w:t>
      </w:r>
      <w:r w:rsidRPr="00EC20A0">
        <w:t>and</w:t>
      </w:r>
      <w:r w:rsidRPr="00EC20A0">
        <w:rPr>
          <w:spacing w:val="-4"/>
        </w:rPr>
        <w:t xml:space="preserve"> </w:t>
      </w:r>
      <w:r w:rsidRPr="00EC20A0">
        <w:t>assessments where the amount of potential loss exceeds these amounts:</w:t>
      </w:r>
    </w:p>
    <w:p w14:paraId="24D61F17" w14:textId="77777777" w:rsidR="00245300" w:rsidRPr="00EC20A0" w:rsidRDefault="00F17249">
      <w:pPr>
        <w:pStyle w:val="ListParagraph"/>
        <w:numPr>
          <w:ilvl w:val="0"/>
          <w:numId w:val="63"/>
        </w:numPr>
        <w:tabs>
          <w:tab w:val="left" w:pos="560"/>
        </w:tabs>
        <w:ind w:right="532"/>
      </w:pPr>
      <w:r w:rsidRPr="00EC20A0">
        <w:t>The</w:t>
      </w:r>
      <w:r w:rsidRPr="00EC20A0">
        <w:rPr>
          <w:spacing w:val="-3"/>
        </w:rPr>
        <w:t xml:space="preserve"> </w:t>
      </w:r>
      <w:r w:rsidRPr="00EC20A0">
        <w:t>nature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matter.</w:t>
      </w:r>
      <w:r w:rsidRPr="00EC20A0">
        <w:rPr>
          <w:spacing w:val="-3"/>
        </w:rPr>
        <w:t xml:space="preserve"> </w:t>
      </w:r>
      <w:r w:rsidRPr="00EC20A0">
        <w:t>Include</w:t>
      </w:r>
      <w:r w:rsidRPr="00EC20A0">
        <w:rPr>
          <w:spacing w:val="-3"/>
        </w:rPr>
        <w:t xml:space="preserve"> </w:t>
      </w:r>
      <w:r w:rsidRPr="00EC20A0">
        <w:t>a</w:t>
      </w:r>
      <w:r w:rsidRPr="00EC20A0">
        <w:rPr>
          <w:spacing w:val="-3"/>
        </w:rPr>
        <w:t xml:space="preserve"> </w:t>
      </w:r>
      <w:r w:rsidRPr="00EC20A0">
        <w:t>description</w:t>
      </w:r>
      <w:r w:rsidRPr="00EC20A0">
        <w:rPr>
          <w:spacing w:val="-5"/>
        </w:rPr>
        <w:t xml:space="preserve"> </w:t>
      </w:r>
      <w:r w:rsidRPr="00EC20A0">
        <w:t>of</w:t>
      </w:r>
      <w:r w:rsidRPr="00EC20A0">
        <w:rPr>
          <w:spacing w:val="-3"/>
        </w:rPr>
        <w:t xml:space="preserve"> </w:t>
      </w:r>
      <w:r w:rsidRPr="00EC20A0">
        <w:t>the</w:t>
      </w:r>
      <w:r w:rsidRPr="00EC20A0">
        <w:rPr>
          <w:spacing w:val="-3"/>
        </w:rPr>
        <w:t xml:space="preserve"> </w:t>
      </w:r>
      <w:r w:rsidRPr="00EC20A0">
        <w:t>case</w:t>
      </w:r>
      <w:r w:rsidRPr="00EC20A0">
        <w:rPr>
          <w:spacing w:val="-3"/>
        </w:rPr>
        <w:t xml:space="preserve"> </w:t>
      </w:r>
      <w:r w:rsidRPr="00EC20A0">
        <w:t>or</w:t>
      </w:r>
      <w:r w:rsidRPr="00EC20A0">
        <w:rPr>
          <w:spacing w:val="-3"/>
        </w:rPr>
        <w:t xml:space="preserve"> </w:t>
      </w:r>
      <w:r w:rsidRPr="00EC20A0">
        <w:t>cases</w:t>
      </w:r>
      <w:r w:rsidRPr="00EC20A0">
        <w:rPr>
          <w:spacing w:val="-3"/>
        </w:rPr>
        <w:t xml:space="preserve"> </w:t>
      </w:r>
      <w:r w:rsidRPr="00EC20A0">
        <w:t>and</w:t>
      </w:r>
      <w:r w:rsidRPr="00EC20A0">
        <w:rPr>
          <w:spacing w:val="-3"/>
        </w:rPr>
        <w:t xml:space="preserve"> </w:t>
      </w:r>
      <w:r w:rsidRPr="00EC20A0">
        <w:t>amount</w:t>
      </w:r>
      <w:r w:rsidRPr="00EC20A0">
        <w:rPr>
          <w:spacing w:val="-3"/>
        </w:rPr>
        <w:t xml:space="preserve"> </w:t>
      </w:r>
      <w:r w:rsidRPr="00EC20A0">
        <w:t>claimed,</w:t>
      </w:r>
      <w:r w:rsidRPr="00EC20A0">
        <w:rPr>
          <w:spacing w:val="-3"/>
        </w:rPr>
        <w:t xml:space="preserve"> </w:t>
      </w:r>
      <w:r w:rsidRPr="00EC20A0">
        <w:t xml:space="preserve">if </w:t>
      </w:r>
      <w:r w:rsidRPr="00EC20A0">
        <w:rPr>
          <w:spacing w:val="-2"/>
        </w:rPr>
        <w:t>specified.</w:t>
      </w:r>
    </w:p>
    <w:p w14:paraId="24D61F18" w14:textId="77777777" w:rsidR="00245300" w:rsidRPr="00EC20A0" w:rsidRDefault="00F17249">
      <w:pPr>
        <w:pStyle w:val="ListParagraph"/>
        <w:numPr>
          <w:ilvl w:val="0"/>
          <w:numId w:val="63"/>
        </w:numPr>
        <w:tabs>
          <w:tab w:val="left" w:pos="558"/>
        </w:tabs>
        <w:spacing w:before="241"/>
        <w:ind w:left="558" w:hanging="359"/>
      </w:pPr>
      <w:r w:rsidRPr="00EC20A0">
        <w:t>The</w:t>
      </w:r>
      <w:r w:rsidRPr="00EC20A0">
        <w:rPr>
          <w:spacing w:val="-5"/>
        </w:rPr>
        <w:t xml:space="preserve"> </w:t>
      </w:r>
      <w:r w:rsidRPr="00EC20A0">
        <w:t>progress</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case</w:t>
      </w:r>
      <w:r w:rsidRPr="00EC20A0">
        <w:rPr>
          <w:spacing w:val="-5"/>
        </w:rPr>
        <w:t xml:space="preserve"> </w:t>
      </w:r>
      <w:r w:rsidRPr="00EC20A0">
        <w:t>to</w:t>
      </w:r>
      <w:r w:rsidRPr="00EC20A0">
        <w:rPr>
          <w:spacing w:val="-4"/>
        </w:rPr>
        <w:t xml:space="preserve"> </w:t>
      </w:r>
      <w:r w:rsidRPr="00EC20A0">
        <w:rPr>
          <w:spacing w:val="-2"/>
        </w:rPr>
        <w:t>date.</w:t>
      </w:r>
    </w:p>
    <w:p w14:paraId="24D61F19" w14:textId="77777777" w:rsidR="00245300" w:rsidRPr="00EC20A0" w:rsidRDefault="00F17249">
      <w:pPr>
        <w:pStyle w:val="ListParagraph"/>
        <w:numPr>
          <w:ilvl w:val="0"/>
          <w:numId w:val="63"/>
        </w:numPr>
        <w:tabs>
          <w:tab w:val="left" w:pos="559"/>
        </w:tabs>
        <w:ind w:left="559" w:right="1290"/>
      </w:pPr>
      <w:r w:rsidRPr="00EC20A0">
        <w:t>The</w:t>
      </w:r>
      <w:r w:rsidRPr="00EC20A0">
        <w:rPr>
          <w:spacing w:val="-4"/>
        </w:rPr>
        <w:t xml:space="preserve"> </w:t>
      </w:r>
      <w:r w:rsidRPr="00EC20A0">
        <w:t>government’s</w:t>
      </w:r>
      <w:r w:rsidRPr="00EC20A0">
        <w:rPr>
          <w:spacing w:val="-4"/>
        </w:rPr>
        <w:t xml:space="preserve"> </w:t>
      </w:r>
      <w:r w:rsidRPr="00EC20A0">
        <w:t>response</w:t>
      </w:r>
      <w:r w:rsidRPr="00EC20A0">
        <w:rPr>
          <w:spacing w:val="-4"/>
        </w:rPr>
        <w:t xml:space="preserve"> </w:t>
      </w:r>
      <w:r w:rsidRPr="00EC20A0">
        <w:t>or</w:t>
      </w:r>
      <w:r w:rsidRPr="00EC20A0">
        <w:rPr>
          <w:spacing w:val="-4"/>
        </w:rPr>
        <w:t xml:space="preserve"> </w:t>
      </w:r>
      <w:r w:rsidRPr="00EC20A0">
        <w:t>planned</w:t>
      </w:r>
      <w:r w:rsidRPr="00EC20A0">
        <w:rPr>
          <w:spacing w:val="-4"/>
        </w:rPr>
        <w:t xml:space="preserve"> </w:t>
      </w:r>
      <w:r w:rsidRPr="00EC20A0">
        <w:t>response</w:t>
      </w:r>
      <w:r w:rsidRPr="00EC20A0">
        <w:rPr>
          <w:spacing w:val="-4"/>
        </w:rPr>
        <w:t xml:space="preserve"> </w:t>
      </w:r>
      <w:r w:rsidRPr="00EC20A0">
        <w:t>(for</w:t>
      </w:r>
      <w:r w:rsidRPr="00EC20A0">
        <w:rPr>
          <w:spacing w:val="-4"/>
        </w:rPr>
        <w:t xml:space="preserve"> </w:t>
      </w:r>
      <w:r w:rsidRPr="00EC20A0">
        <w:t>example,</w:t>
      </w:r>
      <w:r w:rsidRPr="00EC20A0">
        <w:rPr>
          <w:spacing w:val="-4"/>
        </w:rPr>
        <w:t xml:space="preserve"> </w:t>
      </w:r>
      <w:r w:rsidRPr="00EC20A0">
        <w:t>to</w:t>
      </w:r>
      <w:r w:rsidRPr="00EC20A0">
        <w:rPr>
          <w:spacing w:val="-4"/>
        </w:rPr>
        <w:t xml:space="preserve"> </w:t>
      </w:r>
      <w:r w:rsidRPr="00EC20A0">
        <w:t>contest</w:t>
      </w:r>
      <w:r w:rsidRPr="00EC20A0">
        <w:rPr>
          <w:spacing w:val="-4"/>
        </w:rPr>
        <w:t xml:space="preserve"> </w:t>
      </w:r>
      <w:r w:rsidRPr="00EC20A0">
        <w:t>the</w:t>
      </w:r>
      <w:r w:rsidRPr="00EC20A0">
        <w:rPr>
          <w:spacing w:val="-4"/>
        </w:rPr>
        <w:t xml:space="preserve"> </w:t>
      </w:r>
      <w:r w:rsidRPr="00EC20A0">
        <w:t xml:space="preserve">case vigorously or to seek an </w:t>
      </w:r>
      <w:r w:rsidRPr="00EC20A0">
        <w:t>out-of-court settlement).</w:t>
      </w:r>
    </w:p>
    <w:p w14:paraId="24D61F1A" w14:textId="77777777" w:rsidR="00245300" w:rsidRPr="00EC20A0" w:rsidRDefault="00F17249">
      <w:pPr>
        <w:pStyle w:val="ListParagraph"/>
        <w:numPr>
          <w:ilvl w:val="0"/>
          <w:numId w:val="63"/>
        </w:numPr>
        <w:tabs>
          <w:tab w:val="left" w:pos="558"/>
        </w:tabs>
        <w:spacing w:before="239"/>
        <w:ind w:left="558" w:right="448"/>
      </w:pPr>
      <w:r w:rsidRPr="00EC20A0">
        <w:t>An evaluation of the likelihood of unfavorable outcome. Please categorize likelihood as probable</w:t>
      </w:r>
      <w:r w:rsidRPr="00EC20A0">
        <w:rPr>
          <w:spacing w:val="-1"/>
        </w:rPr>
        <w:t xml:space="preserve"> </w:t>
      </w:r>
      <w:r w:rsidRPr="00EC20A0">
        <w:t>(an</w:t>
      </w:r>
      <w:r w:rsidRPr="00EC20A0">
        <w:rPr>
          <w:spacing w:val="-1"/>
        </w:rPr>
        <w:t xml:space="preserve"> </w:t>
      </w:r>
      <w:r w:rsidRPr="00EC20A0">
        <w:t>unfavorable</w:t>
      </w:r>
      <w:r w:rsidRPr="00EC20A0">
        <w:rPr>
          <w:spacing w:val="-1"/>
        </w:rPr>
        <w:t xml:space="preserve"> </w:t>
      </w:r>
      <w:r w:rsidRPr="00EC20A0">
        <w:t>outcome</w:t>
      </w:r>
      <w:r w:rsidRPr="00EC20A0">
        <w:rPr>
          <w:spacing w:val="-1"/>
        </w:rPr>
        <w:t xml:space="preserve"> </w:t>
      </w:r>
      <w:r w:rsidRPr="00EC20A0">
        <w:t>is</w:t>
      </w:r>
      <w:r w:rsidRPr="00EC20A0">
        <w:rPr>
          <w:spacing w:val="-1"/>
        </w:rPr>
        <w:t xml:space="preserve"> </w:t>
      </w:r>
      <w:r w:rsidRPr="00EC20A0">
        <w:t>likely</w:t>
      </w:r>
      <w:r w:rsidRPr="00EC20A0">
        <w:rPr>
          <w:spacing w:val="-1"/>
        </w:rPr>
        <w:t xml:space="preserve"> </w:t>
      </w:r>
      <w:r w:rsidRPr="00EC20A0">
        <w:t>to</w:t>
      </w:r>
      <w:r w:rsidRPr="00EC20A0">
        <w:rPr>
          <w:spacing w:val="-1"/>
        </w:rPr>
        <w:t xml:space="preserve"> </w:t>
      </w:r>
      <w:r w:rsidRPr="00EC20A0">
        <w:t>occur),</w:t>
      </w:r>
      <w:r w:rsidRPr="00EC20A0">
        <w:rPr>
          <w:spacing w:val="-1"/>
        </w:rPr>
        <w:t xml:space="preserve"> </w:t>
      </w:r>
      <w:r w:rsidRPr="00EC20A0">
        <w:t>reasonably</w:t>
      </w:r>
      <w:r w:rsidRPr="00EC20A0">
        <w:rPr>
          <w:spacing w:val="-1"/>
        </w:rPr>
        <w:t xml:space="preserve"> </w:t>
      </w:r>
      <w:r w:rsidRPr="00EC20A0">
        <w:t>possible</w:t>
      </w:r>
      <w:r w:rsidRPr="00EC20A0">
        <w:rPr>
          <w:spacing w:val="-1"/>
        </w:rPr>
        <w:t xml:space="preserve"> </w:t>
      </w:r>
      <w:r w:rsidRPr="00EC20A0">
        <w:t>(the</w:t>
      </w:r>
      <w:r w:rsidRPr="00EC20A0">
        <w:rPr>
          <w:spacing w:val="-1"/>
        </w:rPr>
        <w:t xml:space="preserve"> </w:t>
      </w:r>
      <w:r w:rsidRPr="00EC20A0">
        <w:t>chance</w:t>
      </w:r>
      <w:r w:rsidRPr="00EC20A0">
        <w:rPr>
          <w:spacing w:val="-1"/>
        </w:rPr>
        <w:t xml:space="preserve"> </w:t>
      </w:r>
      <w:r w:rsidRPr="00EC20A0">
        <w:t>of</w:t>
      </w:r>
      <w:r w:rsidRPr="00EC20A0">
        <w:rPr>
          <w:spacing w:val="-1"/>
        </w:rPr>
        <w:t xml:space="preserve"> </w:t>
      </w:r>
      <w:r w:rsidRPr="00EC20A0">
        <w:t>an unfavorable</w:t>
      </w:r>
      <w:r w:rsidRPr="00EC20A0">
        <w:rPr>
          <w:spacing w:val="-4"/>
        </w:rPr>
        <w:t xml:space="preserve"> </w:t>
      </w:r>
      <w:r w:rsidRPr="00EC20A0">
        <w:t>outcome</w:t>
      </w:r>
      <w:r w:rsidRPr="00EC20A0">
        <w:rPr>
          <w:spacing w:val="-3"/>
        </w:rPr>
        <w:t xml:space="preserve"> </w:t>
      </w:r>
      <w:r w:rsidRPr="00EC20A0">
        <w:t>is</w:t>
      </w:r>
      <w:r w:rsidRPr="00EC20A0">
        <w:rPr>
          <w:spacing w:val="-3"/>
        </w:rPr>
        <w:t xml:space="preserve"> </w:t>
      </w:r>
      <w:r w:rsidRPr="00EC20A0">
        <w:t>less</w:t>
      </w:r>
      <w:r w:rsidRPr="00EC20A0">
        <w:rPr>
          <w:spacing w:val="-3"/>
        </w:rPr>
        <w:t xml:space="preserve"> </w:t>
      </w:r>
      <w:r w:rsidRPr="00EC20A0">
        <w:t>than</w:t>
      </w:r>
      <w:r w:rsidRPr="00EC20A0">
        <w:rPr>
          <w:spacing w:val="-3"/>
        </w:rPr>
        <w:t xml:space="preserve"> </w:t>
      </w:r>
      <w:r w:rsidRPr="00EC20A0">
        <w:t>probable</w:t>
      </w:r>
      <w:r w:rsidRPr="00EC20A0">
        <w:rPr>
          <w:spacing w:val="-3"/>
        </w:rPr>
        <w:t xml:space="preserve"> </w:t>
      </w:r>
      <w:r w:rsidRPr="00EC20A0">
        <w:t>but</w:t>
      </w:r>
      <w:r w:rsidRPr="00EC20A0">
        <w:rPr>
          <w:spacing w:val="-3"/>
        </w:rPr>
        <w:t xml:space="preserve"> </w:t>
      </w:r>
      <w:r w:rsidRPr="00EC20A0">
        <w:t>more</w:t>
      </w:r>
      <w:r w:rsidRPr="00EC20A0">
        <w:rPr>
          <w:spacing w:val="-3"/>
        </w:rPr>
        <w:t xml:space="preserve"> </w:t>
      </w:r>
      <w:r w:rsidRPr="00EC20A0">
        <w:t>than</w:t>
      </w:r>
      <w:r w:rsidRPr="00EC20A0">
        <w:rPr>
          <w:spacing w:val="-3"/>
        </w:rPr>
        <w:t xml:space="preserve"> </w:t>
      </w:r>
      <w:r w:rsidRPr="00EC20A0">
        <w:t>remote),</w:t>
      </w:r>
      <w:r w:rsidRPr="00EC20A0">
        <w:rPr>
          <w:spacing w:val="-3"/>
        </w:rPr>
        <w:t xml:space="preserve"> </w:t>
      </w:r>
      <w:r w:rsidRPr="00EC20A0">
        <w:t>or</w:t>
      </w:r>
      <w:r w:rsidRPr="00EC20A0">
        <w:rPr>
          <w:spacing w:val="-3"/>
        </w:rPr>
        <w:t xml:space="preserve"> </w:t>
      </w:r>
      <w:r w:rsidRPr="00EC20A0">
        <w:t>remote</w:t>
      </w:r>
      <w:r w:rsidRPr="00EC20A0">
        <w:rPr>
          <w:spacing w:val="-3"/>
        </w:rPr>
        <w:t xml:space="preserve"> </w:t>
      </w:r>
      <w:r w:rsidRPr="00EC20A0">
        <w:t>(the</w:t>
      </w:r>
      <w:r w:rsidRPr="00EC20A0">
        <w:rPr>
          <w:spacing w:val="-3"/>
        </w:rPr>
        <w:t xml:space="preserve"> </w:t>
      </w:r>
      <w:r w:rsidRPr="00EC20A0">
        <w:t>chance</w:t>
      </w:r>
      <w:r w:rsidRPr="00EC20A0">
        <w:rPr>
          <w:spacing w:val="-2"/>
        </w:rPr>
        <w:t xml:space="preserve"> </w:t>
      </w:r>
      <w:r w:rsidRPr="00EC20A0">
        <w:t>of an unfavorable outcome is slight).</w:t>
      </w:r>
    </w:p>
    <w:p w14:paraId="24D61F1B" w14:textId="77777777" w:rsidR="00245300" w:rsidRPr="00EC20A0" w:rsidRDefault="00F17249">
      <w:pPr>
        <w:pStyle w:val="ListParagraph"/>
        <w:numPr>
          <w:ilvl w:val="0"/>
          <w:numId w:val="63"/>
        </w:numPr>
        <w:tabs>
          <w:tab w:val="left" w:pos="559"/>
        </w:tabs>
        <w:spacing w:before="241"/>
        <w:ind w:left="559" w:right="1242"/>
      </w:pPr>
      <w:r w:rsidRPr="00EC20A0">
        <w:t>An</w:t>
      </w:r>
      <w:r w:rsidRPr="00EC20A0">
        <w:rPr>
          <w:spacing w:val="-3"/>
        </w:rPr>
        <w:t xml:space="preserve"> </w:t>
      </w:r>
      <w:r w:rsidRPr="00EC20A0">
        <w:t>estimate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amount</w:t>
      </w:r>
      <w:r w:rsidRPr="00EC20A0">
        <w:rPr>
          <w:spacing w:val="-3"/>
        </w:rPr>
        <w:t xml:space="preserve"> </w:t>
      </w:r>
      <w:r w:rsidRPr="00EC20A0">
        <w:t>or</w:t>
      </w:r>
      <w:r w:rsidRPr="00EC20A0">
        <w:rPr>
          <w:spacing w:val="-3"/>
        </w:rPr>
        <w:t xml:space="preserve"> </w:t>
      </w:r>
      <w:r w:rsidRPr="00EC20A0">
        <w:t>range</w:t>
      </w:r>
      <w:r w:rsidRPr="00EC20A0">
        <w:rPr>
          <w:spacing w:val="-3"/>
        </w:rPr>
        <w:t xml:space="preserve"> </w:t>
      </w:r>
      <w:r w:rsidRPr="00EC20A0">
        <w:t>of</w:t>
      </w:r>
      <w:r w:rsidRPr="00EC20A0">
        <w:rPr>
          <w:spacing w:val="-3"/>
        </w:rPr>
        <w:t xml:space="preserve"> </w:t>
      </w:r>
      <w:r w:rsidRPr="00EC20A0">
        <w:t>potential</w:t>
      </w:r>
      <w:r w:rsidRPr="00EC20A0">
        <w:rPr>
          <w:spacing w:val="-3"/>
        </w:rPr>
        <w:t xml:space="preserve"> </w:t>
      </w:r>
      <w:r w:rsidRPr="00EC20A0">
        <w:t>loss,</w:t>
      </w:r>
      <w:r w:rsidRPr="00EC20A0">
        <w:rPr>
          <w:spacing w:val="-3"/>
        </w:rPr>
        <w:t xml:space="preserve"> </w:t>
      </w:r>
      <w:r w:rsidRPr="00EC20A0">
        <w:t>if</w:t>
      </w:r>
      <w:r w:rsidRPr="00EC20A0">
        <w:rPr>
          <w:spacing w:val="-3"/>
        </w:rPr>
        <w:t xml:space="preserve"> </w:t>
      </w:r>
      <w:r w:rsidRPr="00EC20A0">
        <w:t>one</w:t>
      </w:r>
      <w:r w:rsidRPr="00EC20A0">
        <w:rPr>
          <w:spacing w:val="-4"/>
        </w:rPr>
        <w:t xml:space="preserve"> </w:t>
      </w:r>
      <w:r w:rsidRPr="00EC20A0">
        <w:t>can</w:t>
      </w:r>
      <w:r w:rsidRPr="00EC20A0">
        <w:rPr>
          <w:spacing w:val="-3"/>
        </w:rPr>
        <w:t xml:space="preserve"> </w:t>
      </w:r>
      <w:r w:rsidRPr="00EC20A0">
        <w:t>be</w:t>
      </w:r>
      <w:r w:rsidRPr="00EC20A0">
        <w:rPr>
          <w:spacing w:val="-3"/>
        </w:rPr>
        <w:t xml:space="preserve"> </w:t>
      </w:r>
      <w:r w:rsidRPr="00EC20A0">
        <w:t>made,</w:t>
      </w:r>
      <w:r w:rsidRPr="00EC20A0">
        <w:rPr>
          <w:spacing w:val="-3"/>
        </w:rPr>
        <w:t xml:space="preserve"> </w:t>
      </w:r>
      <w:r w:rsidRPr="00EC20A0">
        <w:t>for</w:t>
      </w:r>
      <w:r w:rsidRPr="00EC20A0">
        <w:rPr>
          <w:spacing w:val="-3"/>
        </w:rPr>
        <w:t xml:space="preserve"> </w:t>
      </w:r>
      <w:r w:rsidRPr="00EC20A0">
        <w:t>losses considered to be probable or reasonably possible.</w:t>
      </w:r>
    </w:p>
    <w:p w14:paraId="24D61F1C" w14:textId="77777777" w:rsidR="00245300" w:rsidRPr="00EC20A0" w:rsidRDefault="00F17249">
      <w:pPr>
        <w:pStyle w:val="ListParagraph"/>
        <w:numPr>
          <w:ilvl w:val="0"/>
          <w:numId w:val="63"/>
        </w:numPr>
        <w:tabs>
          <w:tab w:val="left" w:pos="559"/>
        </w:tabs>
        <w:spacing w:before="239"/>
        <w:ind w:left="559" w:right="815"/>
      </w:pPr>
      <w:r w:rsidRPr="00EC20A0">
        <w:t>The</w:t>
      </w:r>
      <w:r w:rsidRPr="00EC20A0">
        <w:rPr>
          <w:spacing w:val="-3"/>
        </w:rPr>
        <w:t xml:space="preserve"> </w:t>
      </w:r>
      <w:r w:rsidRPr="00EC20A0">
        <w:t>name</w:t>
      </w:r>
      <w:r w:rsidRPr="00EC20A0">
        <w:rPr>
          <w:spacing w:val="-3"/>
        </w:rPr>
        <w:t xml:space="preserve"> </w:t>
      </w:r>
      <w:r w:rsidRPr="00EC20A0">
        <w:t>of</w:t>
      </w:r>
      <w:r w:rsidRPr="00EC20A0">
        <w:rPr>
          <w:spacing w:val="-3"/>
        </w:rPr>
        <w:t xml:space="preserve"> </w:t>
      </w:r>
      <w:r w:rsidRPr="00EC20A0">
        <w:rPr>
          <w:b/>
        </w:rPr>
        <w:t>[Entity]</w:t>
      </w:r>
      <w:r w:rsidRPr="00EC20A0">
        <w:t>’s</w:t>
      </w:r>
      <w:r w:rsidRPr="00EC20A0">
        <w:rPr>
          <w:spacing w:val="-3"/>
        </w:rPr>
        <w:t xml:space="preserve"> </w:t>
      </w:r>
      <w:r w:rsidRPr="00EC20A0">
        <w:t>legal</w:t>
      </w:r>
      <w:r w:rsidRPr="00EC20A0">
        <w:rPr>
          <w:spacing w:val="-3"/>
        </w:rPr>
        <w:t xml:space="preserve"> </w:t>
      </w:r>
      <w:r w:rsidRPr="00EC20A0">
        <w:t>counsel</w:t>
      </w:r>
      <w:r w:rsidRPr="00EC20A0">
        <w:rPr>
          <w:spacing w:val="-3"/>
        </w:rPr>
        <w:t xml:space="preserve"> </w:t>
      </w:r>
      <w:r w:rsidRPr="00EC20A0">
        <w:t>handling</w:t>
      </w:r>
      <w:r w:rsidRPr="00EC20A0">
        <w:rPr>
          <w:spacing w:val="-3"/>
        </w:rPr>
        <w:t xml:space="preserve"> </w:t>
      </w:r>
      <w:r w:rsidRPr="00EC20A0">
        <w:t>the</w:t>
      </w:r>
      <w:r w:rsidRPr="00EC20A0">
        <w:rPr>
          <w:spacing w:val="-3"/>
        </w:rPr>
        <w:t xml:space="preserve"> </w:t>
      </w:r>
      <w:r w:rsidRPr="00EC20A0">
        <w:t>case</w:t>
      </w:r>
      <w:r w:rsidRPr="00EC20A0">
        <w:rPr>
          <w:spacing w:val="-3"/>
        </w:rPr>
        <w:t xml:space="preserve"> </w:t>
      </w:r>
      <w:r w:rsidRPr="00EC20A0">
        <w:t>and</w:t>
      </w:r>
      <w:r w:rsidRPr="00EC20A0">
        <w:rPr>
          <w:spacing w:val="-4"/>
        </w:rPr>
        <w:t xml:space="preserve"> </w:t>
      </w:r>
      <w:r w:rsidRPr="00EC20A0">
        <w:t>names</w:t>
      </w:r>
      <w:r w:rsidRPr="00EC20A0">
        <w:rPr>
          <w:spacing w:val="-3"/>
        </w:rPr>
        <w:t xml:space="preserve"> </w:t>
      </w:r>
      <w:r w:rsidRPr="00EC20A0">
        <w:t>of</w:t>
      </w:r>
      <w:r w:rsidRPr="00EC20A0">
        <w:rPr>
          <w:spacing w:val="-3"/>
        </w:rPr>
        <w:t xml:space="preserve"> </w:t>
      </w:r>
      <w:r w:rsidRPr="00EC20A0">
        <w:t>any</w:t>
      </w:r>
      <w:r w:rsidRPr="00EC20A0">
        <w:rPr>
          <w:spacing w:val="-3"/>
        </w:rPr>
        <w:t xml:space="preserve"> </w:t>
      </w:r>
      <w:r w:rsidRPr="00EC20A0">
        <w:t>external</w:t>
      </w:r>
      <w:r w:rsidRPr="00EC20A0">
        <w:rPr>
          <w:spacing w:val="-4"/>
        </w:rPr>
        <w:t xml:space="preserve"> </w:t>
      </w:r>
      <w:r w:rsidRPr="00EC20A0">
        <w:t>legal counsel/other lawyers representing or advising the government in the matter (e.g., the Department of Justice or external law firms).</w:t>
      </w:r>
    </w:p>
    <w:p w14:paraId="24D61F1D" w14:textId="77777777" w:rsidR="00245300" w:rsidRPr="00EC20A0" w:rsidRDefault="00F17249">
      <w:pPr>
        <w:pStyle w:val="BodyText"/>
        <w:spacing w:before="241"/>
        <w:ind w:left="199"/>
      </w:pPr>
      <w:r w:rsidRPr="00EC20A0">
        <w:t>Additionally,</w:t>
      </w:r>
      <w:r w:rsidRPr="00EC20A0">
        <w:rPr>
          <w:spacing w:val="-7"/>
        </w:rPr>
        <w:t xml:space="preserve"> </w:t>
      </w:r>
      <w:r w:rsidRPr="00EC20A0">
        <w:t>please</w:t>
      </w:r>
      <w:r w:rsidRPr="00EC20A0">
        <w:rPr>
          <w:spacing w:val="-6"/>
        </w:rPr>
        <w:t xml:space="preserve"> </w:t>
      </w:r>
      <w:r w:rsidRPr="00EC20A0">
        <w:t>provide</w:t>
      </w:r>
      <w:r w:rsidRPr="00EC20A0">
        <w:rPr>
          <w:spacing w:val="-6"/>
        </w:rPr>
        <w:t xml:space="preserve"> </w:t>
      </w:r>
      <w:r w:rsidRPr="00EC20A0">
        <w:t>a</w:t>
      </w:r>
      <w:r w:rsidRPr="00EC20A0">
        <w:rPr>
          <w:spacing w:val="-5"/>
        </w:rPr>
        <w:t xml:space="preserve"> </w:t>
      </w:r>
      <w:r w:rsidRPr="00EC20A0">
        <w:t>statement</w:t>
      </w:r>
      <w:r w:rsidRPr="00EC20A0">
        <w:rPr>
          <w:spacing w:val="-6"/>
        </w:rPr>
        <w:t xml:space="preserve"> </w:t>
      </w:r>
      <w:r w:rsidRPr="00EC20A0">
        <w:t>that</w:t>
      </w:r>
      <w:r w:rsidRPr="00EC20A0">
        <w:rPr>
          <w:spacing w:val="-6"/>
        </w:rPr>
        <w:t xml:space="preserve"> </w:t>
      </w:r>
      <w:r w:rsidRPr="00EC20A0">
        <w:t>the</w:t>
      </w:r>
      <w:r w:rsidRPr="00EC20A0">
        <w:rPr>
          <w:spacing w:val="-5"/>
        </w:rPr>
        <w:t xml:space="preserve"> </w:t>
      </w:r>
      <w:r w:rsidRPr="00EC20A0">
        <w:t>list</w:t>
      </w:r>
      <w:r w:rsidRPr="00EC20A0">
        <w:rPr>
          <w:spacing w:val="-6"/>
        </w:rPr>
        <w:t xml:space="preserve"> </w:t>
      </w:r>
      <w:r w:rsidRPr="00EC20A0">
        <w:t>of</w:t>
      </w:r>
      <w:r w:rsidRPr="00EC20A0">
        <w:rPr>
          <w:spacing w:val="-6"/>
        </w:rPr>
        <w:t xml:space="preserve"> </w:t>
      </w:r>
      <w:r w:rsidRPr="00EC20A0">
        <w:t>such</w:t>
      </w:r>
      <w:r w:rsidRPr="00EC20A0">
        <w:rPr>
          <w:spacing w:val="-6"/>
        </w:rPr>
        <w:t xml:space="preserve"> </w:t>
      </w:r>
      <w:r w:rsidRPr="00EC20A0">
        <w:t>matters</w:t>
      </w:r>
      <w:r w:rsidRPr="00EC20A0">
        <w:rPr>
          <w:spacing w:val="-6"/>
        </w:rPr>
        <w:t xml:space="preserve"> </w:t>
      </w:r>
      <w:r w:rsidRPr="00EC20A0">
        <w:t>is</w:t>
      </w:r>
      <w:r w:rsidRPr="00EC20A0">
        <w:rPr>
          <w:spacing w:val="-6"/>
        </w:rPr>
        <w:t xml:space="preserve"> </w:t>
      </w:r>
      <w:r w:rsidRPr="00EC20A0">
        <w:rPr>
          <w:spacing w:val="-2"/>
        </w:rPr>
        <w:t>complete.</w:t>
      </w:r>
    </w:p>
    <w:p w14:paraId="24D61F1E" w14:textId="77777777" w:rsidR="00245300" w:rsidRPr="00EC20A0" w:rsidRDefault="00F17249">
      <w:pPr>
        <w:pStyle w:val="BodyText"/>
        <w:spacing w:before="239"/>
        <w:ind w:left="199" w:right="464" w:hanging="1"/>
      </w:pPr>
      <w:r w:rsidRPr="00EC20A0">
        <w:t>We also request that you identify litigation reported in your prior-year response letter as pending</w:t>
      </w:r>
      <w:r w:rsidRPr="00EC20A0">
        <w:rPr>
          <w:spacing w:val="-3"/>
        </w:rPr>
        <w:t xml:space="preserve"> </w:t>
      </w:r>
      <w:r w:rsidRPr="00EC20A0">
        <w:t>or</w:t>
      </w:r>
      <w:r w:rsidRPr="00EC20A0">
        <w:rPr>
          <w:spacing w:val="-3"/>
        </w:rPr>
        <w:t xml:space="preserve"> </w:t>
      </w:r>
      <w:r w:rsidRPr="00EC20A0">
        <w:t>threatened</w:t>
      </w:r>
      <w:r w:rsidRPr="00EC20A0">
        <w:rPr>
          <w:spacing w:val="-3"/>
        </w:rPr>
        <w:t xml:space="preserve"> </w:t>
      </w:r>
      <w:r w:rsidRPr="00EC20A0">
        <w:t>that</w:t>
      </w:r>
      <w:r w:rsidRPr="00EC20A0">
        <w:rPr>
          <w:spacing w:val="-3"/>
        </w:rPr>
        <w:t xml:space="preserve"> </w:t>
      </w:r>
      <w:r w:rsidRPr="00EC20A0">
        <w:t>is</w:t>
      </w:r>
      <w:r w:rsidRPr="00EC20A0">
        <w:rPr>
          <w:spacing w:val="-3"/>
        </w:rPr>
        <w:t xml:space="preserve"> </w:t>
      </w:r>
      <w:r w:rsidRPr="00EC20A0">
        <w:t>no</w:t>
      </w:r>
      <w:r w:rsidRPr="00EC20A0">
        <w:rPr>
          <w:spacing w:val="-3"/>
        </w:rPr>
        <w:t xml:space="preserve"> </w:t>
      </w:r>
      <w:r w:rsidRPr="00EC20A0">
        <w:t>longer</w:t>
      </w:r>
      <w:r w:rsidRPr="00EC20A0">
        <w:rPr>
          <w:spacing w:val="-3"/>
        </w:rPr>
        <w:t xml:space="preserve"> </w:t>
      </w:r>
      <w:r w:rsidRPr="00EC20A0">
        <w:t>pending</w:t>
      </w:r>
      <w:r w:rsidRPr="00EC20A0">
        <w:rPr>
          <w:spacing w:val="-4"/>
        </w:rPr>
        <w:t xml:space="preserve"> </w:t>
      </w:r>
      <w:r w:rsidRPr="00EC20A0">
        <w:t>or</w:t>
      </w:r>
      <w:r w:rsidRPr="00EC20A0">
        <w:rPr>
          <w:spacing w:val="-3"/>
        </w:rPr>
        <w:t xml:space="preserve"> </w:t>
      </w:r>
      <w:r w:rsidRPr="00EC20A0">
        <w:t>threatened</w:t>
      </w:r>
      <w:r w:rsidRPr="00EC20A0">
        <w:rPr>
          <w:spacing w:val="-3"/>
        </w:rPr>
        <w:t xml:space="preserve"> </w:t>
      </w:r>
      <w:r w:rsidRPr="00EC20A0">
        <w:t>and</w:t>
      </w:r>
      <w:r w:rsidRPr="00EC20A0">
        <w:rPr>
          <w:spacing w:val="-2"/>
        </w:rPr>
        <w:t xml:space="preserve"> </w:t>
      </w:r>
      <w:r w:rsidRPr="00EC20A0">
        <w:t>a</w:t>
      </w:r>
      <w:r w:rsidRPr="00EC20A0">
        <w:rPr>
          <w:spacing w:val="-3"/>
        </w:rPr>
        <w:t xml:space="preserve"> </w:t>
      </w:r>
      <w:r w:rsidRPr="00EC20A0">
        <w:t>short</w:t>
      </w:r>
      <w:r w:rsidRPr="00EC20A0">
        <w:rPr>
          <w:spacing w:val="-3"/>
        </w:rPr>
        <w:t xml:space="preserve"> </w:t>
      </w:r>
      <w:r w:rsidRPr="00EC20A0">
        <w:t>description</w:t>
      </w:r>
      <w:r w:rsidRPr="00EC20A0">
        <w:rPr>
          <w:spacing w:val="-4"/>
        </w:rPr>
        <w:t xml:space="preserve"> </w:t>
      </w:r>
      <w:r w:rsidRPr="00EC20A0">
        <w:t>of</w:t>
      </w:r>
      <w:r w:rsidRPr="00EC20A0">
        <w:rPr>
          <w:spacing w:val="-3"/>
        </w:rPr>
        <w:t xml:space="preserve"> </w:t>
      </w:r>
      <w:r w:rsidRPr="00EC20A0">
        <w:t xml:space="preserve">the </w:t>
      </w:r>
      <w:r w:rsidRPr="00EC20A0">
        <w:rPr>
          <w:spacing w:val="-2"/>
        </w:rPr>
        <w:t>disposition.</w:t>
      </w:r>
    </w:p>
    <w:p w14:paraId="24D61F1F" w14:textId="77777777" w:rsidR="00245300" w:rsidRPr="00EC20A0" w:rsidRDefault="00F17249">
      <w:pPr>
        <w:pStyle w:val="Heading6"/>
        <w:spacing w:before="241"/>
        <w:ind w:right="345" w:hanging="1"/>
      </w:pPr>
      <w:r w:rsidRPr="00EC20A0">
        <w:t>Unasserted</w:t>
      </w:r>
      <w:r w:rsidRPr="00EC20A0">
        <w:rPr>
          <w:spacing w:val="-4"/>
        </w:rPr>
        <w:t xml:space="preserve"> </w:t>
      </w:r>
      <w:r w:rsidRPr="00EC20A0">
        <w:t>Claims</w:t>
      </w:r>
      <w:r w:rsidRPr="00EC20A0">
        <w:rPr>
          <w:spacing w:val="-4"/>
        </w:rPr>
        <w:t xml:space="preserve"> </w:t>
      </w:r>
      <w:r w:rsidRPr="00EC20A0">
        <w:t>and</w:t>
      </w:r>
      <w:r w:rsidRPr="00EC20A0">
        <w:rPr>
          <w:spacing w:val="-5"/>
        </w:rPr>
        <w:t xml:space="preserve"> </w:t>
      </w:r>
      <w:r w:rsidRPr="00EC20A0">
        <w:t>Assessments</w:t>
      </w:r>
      <w:r w:rsidRPr="00EC20A0">
        <w:rPr>
          <w:spacing w:val="-4"/>
        </w:rPr>
        <w:t xml:space="preserve"> </w:t>
      </w:r>
      <w:r w:rsidRPr="00EC20A0">
        <w:t>[Considered</w:t>
      </w:r>
      <w:r w:rsidRPr="00EC20A0">
        <w:rPr>
          <w:spacing w:val="-4"/>
        </w:rPr>
        <w:t xml:space="preserve"> </w:t>
      </w:r>
      <w:r w:rsidRPr="00EC20A0">
        <w:t>by</w:t>
      </w:r>
      <w:r w:rsidRPr="00EC20A0">
        <w:rPr>
          <w:spacing w:val="-5"/>
        </w:rPr>
        <w:t xml:space="preserve"> </w:t>
      </w:r>
      <w:r w:rsidRPr="00EC20A0">
        <w:t>management</w:t>
      </w:r>
      <w:r w:rsidRPr="00EC20A0">
        <w:rPr>
          <w:spacing w:val="-4"/>
        </w:rPr>
        <w:t xml:space="preserve"> </w:t>
      </w:r>
      <w:r w:rsidRPr="00EC20A0">
        <w:t>to</w:t>
      </w:r>
      <w:r w:rsidRPr="00EC20A0">
        <w:rPr>
          <w:spacing w:val="-5"/>
        </w:rPr>
        <w:t xml:space="preserve"> </w:t>
      </w:r>
      <w:r w:rsidRPr="00EC20A0">
        <w:t>be</w:t>
      </w:r>
      <w:r w:rsidRPr="00EC20A0">
        <w:rPr>
          <w:spacing w:val="-4"/>
        </w:rPr>
        <w:t xml:space="preserve"> </w:t>
      </w:r>
      <w:r w:rsidRPr="00EC20A0">
        <w:t>probable</w:t>
      </w:r>
      <w:r w:rsidRPr="00EC20A0">
        <w:rPr>
          <w:spacing w:val="-5"/>
        </w:rPr>
        <w:t xml:space="preserve"> </w:t>
      </w:r>
      <w:r w:rsidRPr="00EC20A0">
        <w:t>of assertion and that if asserted would have at least a reasonable possibility of an unfavorable outcome]</w:t>
      </w:r>
    </w:p>
    <w:p w14:paraId="24D61F20" w14:textId="77777777" w:rsidR="00245300" w:rsidRPr="00EC20A0" w:rsidRDefault="00F17249">
      <w:pPr>
        <w:spacing w:before="239"/>
        <w:ind w:left="200"/>
        <w:rPr>
          <w:b/>
        </w:rPr>
      </w:pPr>
      <w:r w:rsidRPr="00EC20A0">
        <w:rPr>
          <w:b/>
        </w:rPr>
        <w:t>(Note:</w:t>
      </w:r>
      <w:r w:rsidRPr="00EC20A0">
        <w:rPr>
          <w:b/>
          <w:spacing w:val="-6"/>
        </w:rPr>
        <w:t xml:space="preserve"> </w:t>
      </w:r>
      <w:r w:rsidRPr="00EC20A0">
        <w:rPr>
          <w:b/>
          <w:u w:val="single"/>
        </w:rPr>
        <w:t>If</w:t>
      </w:r>
      <w:r w:rsidRPr="00EC20A0">
        <w:rPr>
          <w:b/>
          <w:spacing w:val="-5"/>
          <w:u w:val="single"/>
        </w:rPr>
        <w:t xml:space="preserve"> </w:t>
      </w:r>
      <w:r w:rsidRPr="00EC20A0">
        <w:rPr>
          <w:b/>
          <w:u w:val="single"/>
        </w:rPr>
        <w:t>legal</w:t>
      </w:r>
      <w:r w:rsidRPr="00EC20A0">
        <w:rPr>
          <w:b/>
          <w:spacing w:val="-5"/>
          <w:u w:val="single"/>
        </w:rPr>
        <w:t xml:space="preserve"> </w:t>
      </w:r>
      <w:r w:rsidRPr="00EC20A0">
        <w:rPr>
          <w:b/>
          <w:u w:val="single"/>
        </w:rPr>
        <w:t>counsel</w:t>
      </w:r>
      <w:r w:rsidRPr="00EC20A0">
        <w:rPr>
          <w:b/>
          <w:spacing w:val="-6"/>
          <w:u w:val="single"/>
        </w:rPr>
        <w:t xml:space="preserve"> </w:t>
      </w:r>
      <w:r w:rsidRPr="00EC20A0">
        <w:rPr>
          <w:b/>
          <w:u w:val="single"/>
        </w:rPr>
        <w:t>is</w:t>
      </w:r>
      <w:r w:rsidRPr="00EC20A0">
        <w:rPr>
          <w:b/>
          <w:spacing w:val="-5"/>
          <w:u w:val="single"/>
        </w:rPr>
        <w:t xml:space="preserve"> </w:t>
      </w:r>
      <w:r w:rsidRPr="00EC20A0">
        <w:rPr>
          <w:b/>
          <w:u w:val="single"/>
        </w:rPr>
        <w:t>a</w:t>
      </w:r>
      <w:r w:rsidRPr="00EC20A0">
        <w:rPr>
          <w:b/>
          <w:spacing w:val="-5"/>
          <w:u w:val="single"/>
        </w:rPr>
        <w:t xml:space="preserve"> </w:t>
      </w:r>
      <w:r w:rsidRPr="00EC20A0">
        <w:rPr>
          <w:b/>
          <w:u w:val="single"/>
        </w:rPr>
        <w:t>part</w:t>
      </w:r>
      <w:r w:rsidRPr="00EC20A0">
        <w:rPr>
          <w:b/>
          <w:spacing w:val="-6"/>
          <w:u w:val="single"/>
        </w:rPr>
        <w:t xml:space="preserve"> </w:t>
      </w:r>
      <w:r w:rsidRPr="00EC20A0">
        <w:rPr>
          <w:b/>
          <w:u w:val="single"/>
        </w:rPr>
        <w:t>of</w:t>
      </w:r>
      <w:r w:rsidRPr="00EC20A0">
        <w:rPr>
          <w:b/>
          <w:spacing w:val="-5"/>
          <w:u w:val="single"/>
        </w:rPr>
        <w:t xml:space="preserve"> </w:t>
      </w:r>
      <w:r w:rsidRPr="00EC20A0">
        <w:rPr>
          <w:b/>
          <w:u w:val="single"/>
        </w:rPr>
        <w:t>management</w:t>
      </w:r>
      <w:r w:rsidRPr="00EC20A0">
        <w:rPr>
          <w:b/>
          <w:spacing w:val="-5"/>
          <w:u w:val="single"/>
        </w:rPr>
        <w:t xml:space="preserve"> </w:t>
      </w:r>
      <w:r w:rsidRPr="00EC20A0">
        <w:rPr>
          <w:b/>
          <w:u w:val="single"/>
        </w:rPr>
        <w:t>use</w:t>
      </w:r>
      <w:r w:rsidRPr="00EC20A0">
        <w:rPr>
          <w:b/>
          <w:spacing w:val="-5"/>
          <w:u w:val="single"/>
        </w:rPr>
        <w:t xml:space="preserve"> </w:t>
      </w:r>
      <w:r w:rsidRPr="00EC20A0">
        <w:rPr>
          <w:b/>
          <w:u w:val="single"/>
        </w:rPr>
        <w:t>this</w:t>
      </w:r>
      <w:r w:rsidRPr="00EC20A0">
        <w:rPr>
          <w:b/>
          <w:spacing w:val="-6"/>
          <w:u w:val="single"/>
        </w:rPr>
        <w:t xml:space="preserve"> </w:t>
      </w:r>
      <w:r w:rsidRPr="00EC20A0">
        <w:rPr>
          <w:b/>
          <w:u w:val="single"/>
        </w:rPr>
        <w:t>paragraph</w:t>
      </w:r>
      <w:r w:rsidRPr="00EC20A0">
        <w:rPr>
          <w:b/>
          <w:spacing w:val="-5"/>
          <w:u w:val="single"/>
        </w:rPr>
        <w:t xml:space="preserve"> </w:t>
      </w:r>
      <w:r w:rsidRPr="00EC20A0">
        <w:rPr>
          <w:b/>
          <w:u w:val="single"/>
        </w:rPr>
        <w:t>to</w:t>
      </w:r>
      <w:r w:rsidRPr="00EC20A0">
        <w:rPr>
          <w:b/>
          <w:spacing w:val="-5"/>
          <w:u w:val="single"/>
        </w:rPr>
        <w:t xml:space="preserve"> </w:t>
      </w:r>
      <w:r w:rsidRPr="00EC20A0">
        <w:rPr>
          <w:b/>
          <w:u w:val="single"/>
        </w:rPr>
        <w:t>request</w:t>
      </w:r>
      <w:r w:rsidRPr="00EC20A0">
        <w:rPr>
          <w:b/>
          <w:spacing w:val="-6"/>
          <w:u w:val="single"/>
        </w:rPr>
        <w:t xml:space="preserve"> </w:t>
      </w:r>
      <w:r w:rsidRPr="00EC20A0">
        <w:rPr>
          <w:b/>
          <w:u w:val="single"/>
        </w:rPr>
        <w:t>a</w:t>
      </w:r>
      <w:r w:rsidRPr="00EC20A0">
        <w:rPr>
          <w:b/>
          <w:spacing w:val="-5"/>
          <w:u w:val="single"/>
        </w:rPr>
        <w:t xml:space="preserve"> </w:t>
      </w:r>
      <w:r w:rsidRPr="00EC20A0">
        <w:rPr>
          <w:b/>
          <w:u w:val="single"/>
        </w:rPr>
        <w:t>list</w:t>
      </w:r>
      <w:r w:rsidRPr="00EC20A0">
        <w:rPr>
          <w:b/>
          <w:spacing w:val="-5"/>
          <w:u w:val="single"/>
        </w:rPr>
        <w:t xml:space="preserve"> of</w:t>
      </w:r>
    </w:p>
    <w:p w14:paraId="24D61F21" w14:textId="77777777" w:rsidR="00245300" w:rsidRPr="00EC20A0" w:rsidRDefault="00F17249">
      <w:pPr>
        <w:pStyle w:val="BodyText"/>
        <w:rPr>
          <w:b/>
          <w:sz w:val="19"/>
        </w:rPr>
      </w:pPr>
      <w:r w:rsidRPr="00EC20A0">
        <w:rPr>
          <w:noProof/>
        </w:rPr>
        <mc:AlternateContent>
          <mc:Choice Requires="wps">
            <w:drawing>
              <wp:anchor distT="0" distB="0" distL="0" distR="0" simplePos="0" relativeHeight="487727616" behindDoc="1" locked="0" layoutInCell="1" allowOverlap="1" wp14:anchorId="24D62CD7" wp14:editId="24D62CD8">
                <wp:simplePos x="0" y="0"/>
                <wp:positionH relativeFrom="page">
                  <wp:posOffset>914400</wp:posOffset>
                </wp:positionH>
                <wp:positionV relativeFrom="paragraph">
                  <wp:posOffset>154415</wp:posOffset>
                </wp:positionV>
                <wp:extent cx="1828800" cy="5715"/>
                <wp:effectExtent l="0" t="0" r="0" b="0"/>
                <wp:wrapTopAndBottom/>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D1A6A" id="Graphic 958" o:spid="_x0000_s1026" style="position:absolute;margin-left:1in;margin-top:12.15pt;width:2in;height:.45pt;z-index:-155888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" path="m1828800,l,,,5334r1828800,l1828800,xe" fillcolor="black" stroked="f">
                <v:path arrowok="t"/>
                <w10:wrap type="topAndBottom" anchorx="page"/>
              </v:shape>
            </w:pict>
          </mc:Fallback>
        </mc:AlternateContent>
      </w:r>
    </w:p>
    <w:p w14:paraId="24D61F22" w14:textId="77777777" w:rsidR="00245300" w:rsidRPr="00EC20A0" w:rsidRDefault="00245300">
      <w:pPr>
        <w:pStyle w:val="BodyText"/>
        <w:spacing w:before="8"/>
        <w:rPr>
          <w:b/>
          <w:sz w:val="18"/>
        </w:rPr>
      </w:pPr>
    </w:p>
    <w:p w14:paraId="24D61F23" w14:textId="77777777" w:rsidR="00245300" w:rsidRPr="00EC20A0" w:rsidRDefault="00F17249">
      <w:pPr>
        <w:spacing w:line="242" w:lineRule="auto"/>
        <w:ind w:left="199" w:right="944" w:hanging="86"/>
        <w:jc w:val="both"/>
        <w:rPr>
          <w:sz w:val="18"/>
        </w:rPr>
      </w:pPr>
      <w:bookmarkStart w:id="405" w:name="_bookmark225"/>
      <w:bookmarkEnd w:id="405"/>
      <w:r w:rsidRPr="00EC20A0">
        <w:rPr>
          <w:sz w:val="18"/>
          <w:vertAlign w:val="superscript"/>
        </w:rPr>
        <w:t>13</w:t>
      </w:r>
      <w:r w:rsidRPr="00EC20A0">
        <w:rPr>
          <w:sz w:val="18"/>
        </w:rPr>
        <w:t xml:space="preserve">This </w:t>
      </w:r>
      <w:r w:rsidRPr="00EC20A0">
        <w:rPr>
          <w:sz w:val="18"/>
        </w:rPr>
        <w:t>includes any cases that do not seek monetary damage awards but would require the government to use financial</w:t>
      </w:r>
      <w:r w:rsidRPr="00EC20A0">
        <w:rPr>
          <w:spacing w:val="-3"/>
          <w:sz w:val="18"/>
        </w:rPr>
        <w:t xml:space="preserve"> </w:t>
      </w:r>
      <w:r w:rsidRPr="00EC20A0">
        <w:rPr>
          <w:sz w:val="18"/>
        </w:rPr>
        <w:t>resources</w:t>
      </w:r>
      <w:r w:rsidRPr="00EC20A0">
        <w:rPr>
          <w:spacing w:val="-3"/>
          <w:sz w:val="18"/>
        </w:rPr>
        <w:t xml:space="preserve"> </w:t>
      </w:r>
      <w:r w:rsidRPr="00EC20A0">
        <w:rPr>
          <w:sz w:val="18"/>
        </w:rPr>
        <w:t>to</w:t>
      </w:r>
      <w:r w:rsidRPr="00EC20A0">
        <w:rPr>
          <w:spacing w:val="-3"/>
          <w:sz w:val="18"/>
        </w:rPr>
        <w:t xml:space="preserve"> </w:t>
      </w:r>
      <w:r w:rsidRPr="00EC20A0">
        <w:rPr>
          <w:sz w:val="18"/>
        </w:rPr>
        <w:t>implement</w:t>
      </w:r>
      <w:r w:rsidRPr="00EC20A0">
        <w:rPr>
          <w:spacing w:val="-3"/>
          <w:sz w:val="18"/>
        </w:rPr>
        <w:t xml:space="preserve"> </w:t>
      </w:r>
      <w:r w:rsidRPr="00EC20A0">
        <w:rPr>
          <w:sz w:val="18"/>
        </w:rPr>
        <w:t>remedies</w:t>
      </w:r>
      <w:r w:rsidRPr="00EC20A0">
        <w:rPr>
          <w:spacing w:val="-3"/>
          <w:sz w:val="18"/>
        </w:rPr>
        <w:t xml:space="preserve"> </w:t>
      </w:r>
      <w:r w:rsidRPr="00EC20A0">
        <w:rPr>
          <w:sz w:val="18"/>
        </w:rPr>
        <w:t>or</w:t>
      </w:r>
      <w:r w:rsidRPr="00EC20A0">
        <w:rPr>
          <w:spacing w:val="-3"/>
          <w:sz w:val="18"/>
        </w:rPr>
        <w:t xml:space="preserve"> </w:t>
      </w:r>
      <w:r w:rsidRPr="00EC20A0">
        <w:rPr>
          <w:sz w:val="18"/>
        </w:rPr>
        <w:t>actions</w:t>
      </w:r>
      <w:r w:rsidRPr="00EC20A0">
        <w:rPr>
          <w:spacing w:val="-3"/>
          <w:sz w:val="18"/>
        </w:rPr>
        <w:t xml:space="preserve"> </w:t>
      </w:r>
      <w:r w:rsidRPr="00EC20A0">
        <w:rPr>
          <w:sz w:val="18"/>
        </w:rPr>
        <w:t>sought</w:t>
      </w:r>
      <w:r w:rsidRPr="00EC20A0">
        <w:rPr>
          <w:spacing w:val="-3"/>
          <w:sz w:val="18"/>
        </w:rPr>
        <w:t xml:space="preserve"> </w:t>
      </w:r>
      <w:r w:rsidRPr="00EC20A0">
        <w:rPr>
          <w:sz w:val="18"/>
        </w:rPr>
        <w:t>by</w:t>
      </w:r>
      <w:r w:rsidRPr="00EC20A0">
        <w:rPr>
          <w:spacing w:val="-3"/>
          <w:sz w:val="18"/>
        </w:rPr>
        <w:t xml:space="preserve"> </w:t>
      </w:r>
      <w:r w:rsidRPr="00EC20A0">
        <w:rPr>
          <w:sz w:val="18"/>
        </w:rPr>
        <w:t>litigation</w:t>
      </w:r>
      <w:r w:rsidRPr="00EC20A0">
        <w:rPr>
          <w:spacing w:val="-2"/>
          <w:sz w:val="18"/>
        </w:rPr>
        <w:t xml:space="preserve"> </w:t>
      </w:r>
      <w:r w:rsidRPr="00EC20A0">
        <w:rPr>
          <w:sz w:val="18"/>
        </w:rPr>
        <w:t>or</w:t>
      </w:r>
      <w:r w:rsidRPr="00EC20A0">
        <w:rPr>
          <w:spacing w:val="-3"/>
          <w:sz w:val="18"/>
        </w:rPr>
        <w:t xml:space="preserve"> </w:t>
      </w:r>
      <w:r w:rsidRPr="00EC20A0">
        <w:rPr>
          <w:sz w:val="18"/>
        </w:rPr>
        <w:t>unasserted</w:t>
      </w:r>
      <w:r w:rsidRPr="00EC20A0">
        <w:rPr>
          <w:spacing w:val="-4"/>
          <w:sz w:val="18"/>
        </w:rPr>
        <w:t xml:space="preserve"> </w:t>
      </w:r>
      <w:r w:rsidRPr="00EC20A0">
        <w:rPr>
          <w:sz w:val="18"/>
        </w:rPr>
        <w:t>claims</w:t>
      </w:r>
      <w:r w:rsidRPr="00EC20A0">
        <w:rPr>
          <w:spacing w:val="-3"/>
          <w:sz w:val="18"/>
        </w:rPr>
        <w:t xml:space="preserve"> </w:t>
      </w:r>
      <w:r w:rsidRPr="00EC20A0">
        <w:rPr>
          <w:sz w:val="18"/>
        </w:rPr>
        <w:t>(for</w:t>
      </w:r>
      <w:r w:rsidRPr="00EC20A0">
        <w:rPr>
          <w:spacing w:val="-3"/>
          <w:sz w:val="18"/>
        </w:rPr>
        <w:t xml:space="preserve"> </w:t>
      </w:r>
      <w:r w:rsidRPr="00EC20A0">
        <w:rPr>
          <w:sz w:val="18"/>
        </w:rPr>
        <w:t>example,</w:t>
      </w:r>
      <w:r w:rsidRPr="00EC20A0">
        <w:rPr>
          <w:spacing w:val="-3"/>
          <w:sz w:val="18"/>
        </w:rPr>
        <w:t xml:space="preserve"> </w:t>
      </w:r>
      <w:r w:rsidRPr="00EC20A0">
        <w:rPr>
          <w:sz w:val="18"/>
        </w:rPr>
        <w:t xml:space="preserve">to increase the scope of, or change to a </w:t>
      </w:r>
      <w:r w:rsidRPr="00EC20A0">
        <w:rPr>
          <w:sz w:val="18"/>
        </w:rPr>
        <w:t>more costly methodology of, environmental restoration and cleanup).</w:t>
      </w:r>
    </w:p>
    <w:p w14:paraId="24D61F24" w14:textId="77777777" w:rsidR="00245300" w:rsidRPr="00EC20A0" w:rsidRDefault="00245300">
      <w:pPr>
        <w:spacing w:line="242" w:lineRule="auto"/>
        <w:jc w:val="both"/>
        <w:rPr>
          <w:sz w:val="18"/>
        </w:rPr>
        <w:sectPr w:rsidR="00245300" w:rsidRPr="00EC20A0">
          <w:pgSz w:w="12240" w:h="15840"/>
          <w:pgMar w:top="1340" w:right="1100" w:bottom="940" w:left="1240" w:header="721" w:footer="757" w:gutter="0"/>
          <w:cols w:space="720"/>
        </w:sectPr>
      </w:pPr>
    </w:p>
    <w:p w14:paraId="24D61F25" w14:textId="77777777" w:rsidR="00245300" w:rsidRPr="00EC20A0" w:rsidRDefault="00F17249">
      <w:pPr>
        <w:pStyle w:val="BodyText"/>
        <w:spacing w:before="121"/>
        <w:ind w:left="199" w:right="345"/>
      </w:pPr>
      <w:r w:rsidRPr="00EC20A0">
        <w:rPr>
          <w:b/>
          <w:u w:val="single"/>
        </w:rPr>
        <w:t>unasserted claims instead of the next paragraph.)</w:t>
      </w:r>
      <w:r w:rsidRPr="00EC20A0">
        <w:rPr>
          <w:b/>
        </w:rPr>
        <w:t xml:space="preserve"> </w:t>
      </w:r>
      <w:r w:rsidRPr="00EC20A0">
        <w:t>For all unasserted claims and assessments</w:t>
      </w:r>
      <w:r w:rsidRPr="00EC20A0">
        <w:rPr>
          <w:spacing w:val="-1"/>
        </w:rPr>
        <w:t xml:space="preserve"> </w:t>
      </w:r>
      <w:r w:rsidRPr="00EC20A0">
        <w:t>that</w:t>
      </w:r>
      <w:r w:rsidRPr="00EC20A0">
        <w:rPr>
          <w:spacing w:val="-1"/>
        </w:rPr>
        <w:t xml:space="preserve"> </w:t>
      </w:r>
      <w:r w:rsidRPr="00EC20A0">
        <w:t>you</w:t>
      </w:r>
      <w:r w:rsidRPr="00EC20A0">
        <w:rPr>
          <w:spacing w:val="-2"/>
        </w:rPr>
        <w:t xml:space="preserve"> </w:t>
      </w:r>
      <w:r w:rsidRPr="00EC20A0">
        <w:t>consider</w:t>
      </w:r>
      <w:r w:rsidRPr="00EC20A0">
        <w:rPr>
          <w:spacing w:val="-1"/>
        </w:rPr>
        <w:t xml:space="preserve"> </w:t>
      </w:r>
      <w:r w:rsidRPr="00EC20A0">
        <w:t>to</w:t>
      </w:r>
      <w:r w:rsidRPr="00EC20A0">
        <w:rPr>
          <w:spacing w:val="-1"/>
        </w:rPr>
        <w:t xml:space="preserve"> </w:t>
      </w:r>
      <w:r w:rsidRPr="00EC20A0">
        <w:t>be</w:t>
      </w:r>
      <w:r w:rsidRPr="00EC20A0">
        <w:rPr>
          <w:spacing w:val="-1"/>
        </w:rPr>
        <w:t xml:space="preserve"> </w:t>
      </w:r>
      <w:r w:rsidRPr="00EC20A0">
        <w:t>probable</w:t>
      </w:r>
      <w:r w:rsidRPr="00EC20A0">
        <w:rPr>
          <w:spacing w:val="-1"/>
        </w:rPr>
        <w:t xml:space="preserve"> </w:t>
      </w:r>
      <w:r w:rsidRPr="00EC20A0">
        <w:t>of</w:t>
      </w:r>
      <w:r w:rsidRPr="00EC20A0">
        <w:rPr>
          <w:spacing w:val="-1"/>
        </w:rPr>
        <w:t xml:space="preserve"> </w:t>
      </w:r>
      <w:r w:rsidRPr="00EC20A0">
        <w:t>assertion</w:t>
      </w:r>
      <w:r w:rsidRPr="00EC20A0">
        <w:rPr>
          <w:spacing w:val="-1"/>
        </w:rPr>
        <w:t xml:space="preserve"> </w:t>
      </w:r>
      <w:r w:rsidRPr="00EC20A0">
        <w:t>and</w:t>
      </w:r>
      <w:r w:rsidRPr="00EC20A0">
        <w:rPr>
          <w:spacing w:val="-1"/>
        </w:rPr>
        <w:t xml:space="preserve"> </w:t>
      </w:r>
      <w:r w:rsidRPr="00EC20A0">
        <w:t>that</w:t>
      </w:r>
      <w:r w:rsidRPr="00EC20A0">
        <w:rPr>
          <w:spacing w:val="-1"/>
        </w:rPr>
        <w:t xml:space="preserve"> </w:t>
      </w:r>
      <w:r w:rsidRPr="00EC20A0">
        <w:t>if</w:t>
      </w:r>
      <w:r w:rsidRPr="00EC20A0">
        <w:rPr>
          <w:spacing w:val="-1"/>
        </w:rPr>
        <w:t xml:space="preserve"> </w:t>
      </w:r>
      <w:r w:rsidRPr="00EC20A0">
        <w:t>asserted</w:t>
      </w:r>
      <w:r w:rsidRPr="00EC20A0">
        <w:rPr>
          <w:spacing w:val="-1"/>
        </w:rPr>
        <w:t xml:space="preserve"> </w:t>
      </w:r>
      <w:r w:rsidRPr="00EC20A0">
        <w:t>would</w:t>
      </w:r>
      <w:r w:rsidRPr="00EC20A0">
        <w:rPr>
          <w:spacing w:val="-1"/>
        </w:rPr>
        <w:t xml:space="preserve"> </w:t>
      </w:r>
      <w:r w:rsidRPr="00EC20A0">
        <w:t>have</w:t>
      </w:r>
      <w:r w:rsidRPr="00EC20A0">
        <w:rPr>
          <w:spacing w:val="-1"/>
        </w:rPr>
        <w:t xml:space="preserve"> </w:t>
      </w:r>
      <w:r w:rsidRPr="00EC20A0">
        <w:t>at least</w:t>
      </w:r>
      <w:r w:rsidRPr="00EC20A0">
        <w:rPr>
          <w:spacing w:val="-3"/>
        </w:rPr>
        <w:t xml:space="preserve"> </w:t>
      </w:r>
      <w:r w:rsidRPr="00EC20A0">
        <w:t>a</w:t>
      </w:r>
      <w:r w:rsidRPr="00EC20A0">
        <w:rPr>
          <w:spacing w:val="-3"/>
        </w:rPr>
        <w:t xml:space="preserve"> </w:t>
      </w:r>
      <w:r w:rsidRPr="00EC20A0">
        <w:t>reasonable</w:t>
      </w:r>
      <w:r w:rsidRPr="00EC20A0">
        <w:rPr>
          <w:spacing w:val="-3"/>
        </w:rPr>
        <w:t xml:space="preserve"> </w:t>
      </w:r>
      <w:r w:rsidRPr="00EC20A0">
        <w:t>possibility</w:t>
      </w:r>
      <w:r w:rsidRPr="00EC20A0">
        <w:rPr>
          <w:spacing w:val="-3"/>
        </w:rPr>
        <w:t xml:space="preserve"> </w:t>
      </w:r>
      <w:r w:rsidRPr="00EC20A0">
        <w:t>(more</w:t>
      </w:r>
      <w:r w:rsidRPr="00EC20A0">
        <w:rPr>
          <w:spacing w:val="-3"/>
        </w:rPr>
        <w:t xml:space="preserve"> </w:t>
      </w:r>
      <w:r w:rsidRPr="00EC20A0">
        <w:t>than</w:t>
      </w:r>
      <w:r w:rsidRPr="00EC20A0">
        <w:rPr>
          <w:spacing w:val="-3"/>
        </w:rPr>
        <w:t xml:space="preserve"> </w:t>
      </w:r>
      <w:r w:rsidRPr="00EC20A0">
        <w:t>remote)</w:t>
      </w:r>
      <w:r w:rsidRPr="00EC20A0">
        <w:rPr>
          <w:spacing w:val="-3"/>
        </w:rPr>
        <w:t xml:space="preserve"> </w:t>
      </w:r>
      <w:r w:rsidRPr="00EC20A0">
        <w:t>of</w:t>
      </w:r>
      <w:r w:rsidRPr="00EC20A0">
        <w:rPr>
          <w:spacing w:val="-3"/>
        </w:rPr>
        <w:t xml:space="preserve"> </w:t>
      </w:r>
      <w:r w:rsidRPr="00EC20A0">
        <w:t>an</w:t>
      </w:r>
      <w:r w:rsidRPr="00EC20A0">
        <w:rPr>
          <w:spacing w:val="-3"/>
        </w:rPr>
        <w:t xml:space="preserve"> </w:t>
      </w:r>
      <w:r w:rsidRPr="00EC20A0">
        <w:t>unfavorable</w:t>
      </w:r>
      <w:r w:rsidRPr="00EC20A0">
        <w:rPr>
          <w:spacing w:val="-3"/>
        </w:rPr>
        <w:t xml:space="preserve"> </w:t>
      </w:r>
      <w:r w:rsidRPr="00EC20A0">
        <w:t>outcome</w:t>
      </w:r>
      <w:r w:rsidRPr="00EC20A0">
        <w:rPr>
          <w:spacing w:val="-3"/>
        </w:rPr>
        <w:t xml:space="preserve"> </w:t>
      </w:r>
      <w:r w:rsidRPr="00EC20A0">
        <w:t>for</w:t>
      </w:r>
      <w:r w:rsidRPr="00EC20A0">
        <w:rPr>
          <w:spacing w:val="-3"/>
        </w:rPr>
        <w:t xml:space="preserve"> </w:t>
      </w:r>
      <w:r w:rsidRPr="00EC20A0">
        <w:t>which</w:t>
      </w:r>
      <w:r w:rsidRPr="00EC20A0">
        <w:rPr>
          <w:spacing w:val="-3"/>
        </w:rPr>
        <w:t xml:space="preserve"> </w:t>
      </w:r>
      <w:r w:rsidRPr="00EC20A0">
        <w:t>(1)</w:t>
      </w:r>
      <w:r w:rsidRPr="00EC20A0">
        <w:rPr>
          <w:spacing w:val="-3"/>
        </w:rPr>
        <w:t xml:space="preserve"> </w:t>
      </w:r>
      <w:r w:rsidRPr="00EC20A0">
        <w:t xml:space="preserve">the amount of potential loss exceeds </w:t>
      </w:r>
      <w:r w:rsidRPr="00EC20A0">
        <w:rPr>
          <w:b/>
        </w:rPr>
        <w:t>[$XX]</w:t>
      </w:r>
      <w:r w:rsidRPr="00EC20A0">
        <w:t>, individually or in the aggregate for similar cases, or</w:t>
      </w:r>
    </w:p>
    <w:p w14:paraId="24D61F26" w14:textId="77777777" w:rsidR="00245300" w:rsidRPr="00EC20A0" w:rsidRDefault="00F17249">
      <w:pPr>
        <w:pStyle w:val="BodyText"/>
        <w:ind w:left="199" w:right="345"/>
      </w:pPr>
      <w:r w:rsidRPr="00EC20A0">
        <w:t>(2)</w:t>
      </w:r>
      <w:r w:rsidRPr="00EC20A0">
        <w:rPr>
          <w:spacing w:val="-3"/>
        </w:rPr>
        <w:t xml:space="preserve"> </w:t>
      </w:r>
      <w:r w:rsidRPr="00EC20A0">
        <w:t>the</w:t>
      </w:r>
      <w:r w:rsidRPr="00EC20A0">
        <w:rPr>
          <w:spacing w:val="-3"/>
        </w:rPr>
        <w:t xml:space="preserve"> </w:t>
      </w:r>
      <w:r w:rsidRPr="00EC20A0">
        <w:t>amount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potential</w:t>
      </w:r>
      <w:r w:rsidRPr="00EC20A0">
        <w:rPr>
          <w:spacing w:val="-3"/>
        </w:rPr>
        <w:t xml:space="preserve"> </w:t>
      </w:r>
      <w:r w:rsidRPr="00EC20A0">
        <w:t>loss</w:t>
      </w:r>
      <w:r w:rsidRPr="00EC20A0">
        <w:rPr>
          <w:spacing w:val="-3"/>
        </w:rPr>
        <w:t xml:space="preserve"> </w:t>
      </w:r>
      <w:r w:rsidRPr="00EC20A0">
        <w:t>exceeds</w:t>
      </w:r>
      <w:r w:rsidRPr="00EC20A0">
        <w:rPr>
          <w:spacing w:val="-2"/>
        </w:rPr>
        <w:t xml:space="preserve"> </w:t>
      </w:r>
      <w:r w:rsidRPr="00EC20A0">
        <w:rPr>
          <w:b/>
        </w:rPr>
        <w:t>[$XXX]</w:t>
      </w:r>
      <w:r w:rsidRPr="00EC20A0">
        <w:rPr>
          <w:b/>
          <w:spacing w:val="-4"/>
        </w:rPr>
        <w:t xml:space="preserve"> </w:t>
      </w:r>
      <w:r w:rsidRPr="00EC20A0">
        <w:t>in</w:t>
      </w:r>
      <w:r w:rsidRPr="00EC20A0">
        <w:rPr>
          <w:spacing w:val="-3"/>
        </w:rPr>
        <w:t xml:space="preserve"> </w:t>
      </w:r>
      <w:r w:rsidRPr="00EC20A0">
        <w:t>the</w:t>
      </w:r>
      <w:r w:rsidRPr="00EC20A0">
        <w:rPr>
          <w:spacing w:val="-3"/>
        </w:rPr>
        <w:t xml:space="preserve"> </w:t>
      </w:r>
      <w:r w:rsidRPr="00EC20A0">
        <w:t>aggregate</w:t>
      </w:r>
      <w:r w:rsidRPr="00EC20A0">
        <w:rPr>
          <w:spacing w:val="-3"/>
        </w:rPr>
        <w:t xml:space="preserve"> </w:t>
      </w:r>
      <w:r w:rsidRPr="00EC20A0">
        <w:t>for</w:t>
      </w:r>
      <w:r w:rsidRPr="00EC20A0">
        <w:rPr>
          <w:spacing w:val="-3"/>
        </w:rPr>
        <w:t xml:space="preserve"> </w:t>
      </w:r>
      <w:r w:rsidRPr="00EC20A0">
        <w:t>cases</w:t>
      </w:r>
      <w:r w:rsidRPr="00EC20A0">
        <w:rPr>
          <w:spacing w:val="-3"/>
        </w:rPr>
        <w:t xml:space="preserve"> </w:t>
      </w:r>
      <w:r w:rsidRPr="00EC20A0">
        <w:t>not</w:t>
      </w:r>
      <w:r w:rsidRPr="00EC20A0">
        <w:rPr>
          <w:spacing w:val="-4"/>
        </w:rPr>
        <w:t xml:space="preserve"> </w:t>
      </w:r>
      <w:r w:rsidRPr="00EC20A0">
        <w:t>listed individually or as part of similar cases, please provide the following information:</w:t>
      </w:r>
    </w:p>
    <w:p w14:paraId="24D61F27" w14:textId="77777777" w:rsidR="00245300" w:rsidRPr="00EC20A0" w:rsidRDefault="00F17249">
      <w:pPr>
        <w:pStyle w:val="ListParagraph"/>
        <w:numPr>
          <w:ilvl w:val="0"/>
          <w:numId w:val="62"/>
        </w:numPr>
        <w:tabs>
          <w:tab w:val="left" w:pos="559"/>
        </w:tabs>
        <w:ind w:hanging="359"/>
      </w:pPr>
      <w:r w:rsidRPr="00EC20A0">
        <w:t>A</w:t>
      </w:r>
      <w:r w:rsidRPr="00EC20A0">
        <w:rPr>
          <w:spacing w:val="-5"/>
        </w:rPr>
        <w:t xml:space="preserve"> </w:t>
      </w:r>
      <w:r w:rsidRPr="00EC20A0">
        <w:t>description</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nature</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rPr>
          <w:spacing w:val="-2"/>
        </w:rPr>
        <w:t>matter.</w:t>
      </w:r>
    </w:p>
    <w:p w14:paraId="24D61F28" w14:textId="77777777" w:rsidR="00245300" w:rsidRPr="00EC20A0" w:rsidRDefault="00F17249">
      <w:pPr>
        <w:pStyle w:val="ListParagraph"/>
        <w:numPr>
          <w:ilvl w:val="0"/>
          <w:numId w:val="62"/>
        </w:numPr>
        <w:tabs>
          <w:tab w:val="left" w:pos="559"/>
        </w:tabs>
        <w:ind w:hanging="359"/>
      </w:pPr>
      <w:r w:rsidRPr="00EC20A0">
        <w:t>The</w:t>
      </w:r>
      <w:r w:rsidRPr="00EC20A0">
        <w:rPr>
          <w:spacing w:val="-7"/>
        </w:rPr>
        <w:t xml:space="preserve"> </w:t>
      </w:r>
      <w:r w:rsidRPr="00EC20A0">
        <w:t>government’s</w:t>
      </w:r>
      <w:r w:rsidRPr="00EC20A0">
        <w:rPr>
          <w:spacing w:val="-6"/>
        </w:rPr>
        <w:t xml:space="preserve"> </w:t>
      </w:r>
      <w:r w:rsidRPr="00EC20A0">
        <w:t>planned</w:t>
      </w:r>
      <w:r w:rsidRPr="00EC20A0">
        <w:rPr>
          <w:spacing w:val="-6"/>
        </w:rPr>
        <w:t xml:space="preserve"> </w:t>
      </w:r>
      <w:r w:rsidRPr="00EC20A0">
        <w:t>response</w:t>
      </w:r>
      <w:r w:rsidRPr="00EC20A0">
        <w:rPr>
          <w:spacing w:val="-6"/>
        </w:rPr>
        <w:t xml:space="preserve"> </w:t>
      </w:r>
      <w:r w:rsidRPr="00EC20A0">
        <w:t>if</w:t>
      </w:r>
      <w:r w:rsidRPr="00EC20A0">
        <w:rPr>
          <w:spacing w:val="-7"/>
        </w:rPr>
        <w:t xml:space="preserve"> </w:t>
      </w:r>
      <w:r w:rsidRPr="00EC20A0">
        <w:t>the</w:t>
      </w:r>
      <w:r w:rsidRPr="00EC20A0">
        <w:rPr>
          <w:spacing w:val="-6"/>
        </w:rPr>
        <w:t xml:space="preserve"> </w:t>
      </w:r>
      <w:r w:rsidRPr="00EC20A0">
        <w:t>claim</w:t>
      </w:r>
      <w:r w:rsidRPr="00EC20A0">
        <w:rPr>
          <w:spacing w:val="-7"/>
        </w:rPr>
        <w:t xml:space="preserve"> </w:t>
      </w:r>
      <w:r w:rsidRPr="00EC20A0">
        <w:t>is</w:t>
      </w:r>
      <w:r w:rsidRPr="00EC20A0">
        <w:rPr>
          <w:spacing w:val="-6"/>
        </w:rPr>
        <w:t xml:space="preserve"> </w:t>
      </w:r>
      <w:r w:rsidRPr="00EC20A0">
        <w:rPr>
          <w:spacing w:val="-2"/>
        </w:rPr>
        <w:t>asserted.</w:t>
      </w:r>
    </w:p>
    <w:p w14:paraId="24D61F29" w14:textId="77777777" w:rsidR="00245300" w:rsidRPr="00EC20A0" w:rsidRDefault="00F17249">
      <w:pPr>
        <w:pStyle w:val="ListParagraph"/>
        <w:numPr>
          <w:ilvl w:val="0"/>
          <w:numId w:val="62"/>
        </w:numPr>
        <w:tabs>
          <w:tab w:val="left" w:pos="558"/>
          <w:tab w:val="left" w:pos="560"/>
        </w:tabs>
        <w:spacing w:before="239"/>
        <w:ind w:left="560" w:right="375" w:hanging="361"/>
      </w:pPr>
      <w:r w:rsidRPr="00EC20A0">
        <w:t>An evaluation of the likelihood of an unfavorable outcome. (Categorize likelihood as probable</w:t>
      </w:r>
      <w:r w:rsidRPr="00EC20A0">
        <w:rPr>
          <w:spacing w:val="-3"/>
        </w:rPr>
        <w:t xml:space="preserve"> </w:t>
      </w:r>
      <w:r w:rsidRPr="00EC20A0">
        <w:t>(likely</w:t>
      </w:r>
      <w:r w:rsidRPr="00EC20A0">
        <w:rPr>
          <w:spacing w:val="-3"/>
        </w:rPr>
        <w:t xml:space="preserve"> </w:t>
      </w:r>
      <w:r w:rsidRPr="00EC20A0">
        <w:t>to</w:t>
      </w:r>
      <w:r w:rsidRPr="00EC20A0">
        <w:rPr>
          <w:spacing w:val="-3"/>
        </w:rPr>
        <w:t xml:space="preserve"> </w:t>
      </w:r>
      <w:r w:rsidRPr="00EC20A0">
        <w:t>occur)</w:t>
      </w:r>
      <w:r w:rsidRPr="00EC20A0">
        <w:rPr>
          <w:spacing w:val="-4"/>
        </w:rPr>
        <w:t xml:space="preserve"> </w:t>
      </w:r>
      <w:r w:rsidRPr="00EC20A0">
        <w:t>or</w:t>
      </w:r>
      <w:r w:rsidRPr="00EC20A0">
        <w:rPr>
          <w:spacing w:val="-3"/>
        </w:rPr>
        <w:t xml:space="preserve"> </w:t>
      </w:r>
      <w:r w:rsidRPr="00EC20A0">
        <w:t>reasonably</w:t>
      </w:r>
      <w:r w:rsidRPr="00EC20A0">
        <w:rPr>
          <w:spacing w:val="-3"/>
        </w:rPr>
        <w:t xml:space="preserve"> </w:t>
      </w:r>
      <w:r w:rsidRPr="00EC20A0">
        <w:t>possible</w:t>
      </w:r>
      <w:r w:rsidRPr="00EC20A0">
        <w:rPr>
          <w:spacing w:val="-4"/>
        </w:rPr>
        <w:t xml:space="preserve"> </w:t>
      </w:r>
      <w:r w:rsidRPr="00EC20A0">
        <w:t>(less</w:t>
      </w:r>
      <w:r w:rsidRPr="00EC20A0">
        <w:rPr>
          <w:spacing w:val="-3"/>
        </w:rPr>
        <w:t xml:space="preserve"> </w:t>
      </w:r>
      <w:r w:rsidRPr="00EC20A0">
        <w:t>than</w:t>
      </w:r>
      <w:r w:rsidRPr="00EC20A0">
        <w:rPr>
          <w:spacing w:val="-3"/>
        </w:rPr>
        <w:t xml:space="preserve"> </w:t>
      </w:r>
      <w:r w:rsidRPr="00EC20A0">
        <w:t>probable</w:t>
      </w:r>
      <w:r w:rsidRPr="00EC20A0">
        <w:rPr>
          <w:spacing w:val="-3"/>
        </w:rPr>
        <w:t xml:space="preserve"> </w:t>
      </w:r>
      <w:r w:rsidRPr="00EC20A0">
        <w:t>but</w:t>
      </w:r>
      <w:r w:rsidRPr="00EC20A0">
        <w:rPr>
          <w:spacing w:val="-4"/>
        </w:rPr>
        <w:t xml:space="preserve"> </w:t>
      </w:r>
      <w:r w:rsidRPr="00EC20A0">
        <w:t>more</w:t>
      </w:r>
      <w:r w:rsidRPr="00EC20A0">
        <w:rPr>
          <w:spacing w:val="-3"/>
        </w:rPr>
        <w:t xml:space="preserve"> </w:t>
      </w:r>
      <w:r w:rsidRPr="00EC20A0">
        <w:t>than</w:t>
      </w:r>
      <w:r w:rsidRPr="00EC20A0">
        <w:rPr>
          <w:spacing w:val="-3"/>
        </w:rPr>
        <w:t xml:space="preserve"> </w:t>
      </w:r>
      <w:r w:rsidRPr="00EC20A0">
        <w:t>remote).)</w:t>
      </w:r>
    </w:p>
    <w:p w14:paraId="24D61F2A" w14:textId="77777777" w:rsidR="00245300" w:rsidRPr="00EC20A0" w:rsidRDefault="00F17249">
      <w:pPr>
        <w:pStyle w:val="ListParagraph"/>
        <w:numPr>
          <w:ilvl w:val="0"/>
          <w:numId w:val="62"/>
        </w:numPr>
        <w:tabs>
          <w:tab w:val="left" w:pos="559"/>
        </w:tabs>
        <w:spacing w:before="241"/>
        <w:ind w:hanging="359"/>
      </w:pPr>
      <w:r w:rsidRPr="00EC20A0">
        <w:t>An</w:t>
      </w:r>
      <w:r w:rsidRPr="00EC20A0">
        <w:rPr>
          <w:spacing w:val="-5"/>
        </w:rPr>
        <w:t xml:space="preserve"> </w:t>
      </w:r>
      <w:r w:rsidRPr="00EC20A0">
        <w:t>estimate</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amount</w:t>
      </w:r>
      <w:r w:rsidRPr="00EC20A0">
        <w:rPr>
          <w:spacing w:val="-5"/>
        </w:rPr>
        <w:t xml:space="preserve"> </w:t>
      </w:r>
      <w:r w:rsidRPr="00EC20A0">
        <w:t>or</w:t>
      </w:r>
      <w:r w:rsidRPr="00EC20A0">
        <w:rPr>
          <w:spacing w:val="-4"/>
        </w:rPr>
        <w:t xml:space="preserve"> </w:t>
      </w:r>
      <w:r w:rsidRPr="00EC20A0">
        <w:t>range</w:t>
      </w:r>
      <w:r w:rsidRPr="00EC20A0">
        <w:rPr>
          <w:spacing w:val="-5"/>
        </w:rPr>
        <w:t xml:space="preserve"> </w:t>
      </w:r>
      <w:r w:rsidRPr="00EC20A0">
        <w:t>of</w:t>
      </w:r>
      <w:r w:rsidRPr="00EC20A0">
        <w:rPr>
          <w:spacing w:val="-4"/>
        </w:rPr>
        <w:t xml:space="preserve"> </w:t>
      </w:r>
      <w:r w:rsidRPr="00EC20A0">
        <w:t>potential</w:t>
      </w:r>
      <w:r w:rsidRPr="00EC20A0">
        <w:rPr>
          <w:spacing w:val="-5"/>
        </w:rPr>
        <w:t xml:space="preserve"> </w:t>
      </w:r>
      <w:r w:rsidRPr="00EC20A0">
        <w:t>loss,</w:t>
      </w:r>
      <w:r w:rsidRPr="00EC20A0">
        <w:rPr>
          <w:spacing w:val="-4"/>
        </w:rPr>
        <w:t xml:space="preserve"> </w:t>
      </w:r>
      <w:r w:rsidRPr="00EC20A0">
        <w:t>if</w:t>
      </w:r>
      <w:r w:rsidRPr="00EC20A0">
        <w:rPr>
          <w:spacing w:val="-4"/>
        </w:rPr>
        <w:t xml:space="preserve"> </w:t>
      </w:r>
      <w:r w:rsidRPr="00EC20A0">
        <w:t>one</w:t>
      </w:r>
      <w:r w:rsidRPr="00EC20A0">
        <w:rPr>
          <w:spacing w:val="-6"/>
        </w:rPr>
        <w:t xml:space="preserve"> </w:t>
      </w:r>
      <w:r w:rsidRPr="00EC20A0">
        <w:t>can</w:t>
      </w:r>
      <w:r w:rsidRPr="00EC20A0">
        <w:rPr>
          <w:spacing w:val="-4"/>
        </w:rPr>
        <w:t xml:space="preserve"> </w:t>
      </w:r>
      <w:r w:rsidRPr="00EC20A0">
        <w:t>be</w:t>
      </w:r>
      <w:r w:rsidRPr="00EC20A0">
        <w:rPr>
          <w:spacing w:val="-5"/>
        </w:rPr>
        <w:t xml:space="preserve"> </w:t>
      </w:r>
      <w:r w:rsidRPr="00EC20A0">
        <w:rPr>
          <w:spacing w:val="-2"/>
        </w:rPr>
        <w:t>made.</w:t>
      </w:r>
    </w:p>
    <w:p w14:paraId="24D61F2B" w14:textId="77777777" w:rsidR="00245300" w:rsidRPr="00EC20A0" w:rsidRDefault="00F17249">
      <w:pPr>
        <w:pStyle w:val="BodyText"/>
        <w:spacing w:before="240"/>
        <w:ind w:left="200"/>
      </w:pPr>
      <w:r w:rsidRPr="00EC20A0">
        <w:t>Also,</w:t>
      </w:r>
      <w:r w:rsidRPr="00EC20A0">
        <w:rPr>
          <w:spacing w:val="-5"/>
        </w:rPr>
        <w:t xml:space="preserve"> </w:t>
      </w:r>
      <w:r w:rsidRPr="00EC20A0">
        <w:t>please</w:t>
      </w:r>
      <w:r w:rsidRPr="00EC20A0">
        <w:rPr>
          <w:spacing w:val="-6"/>
        </w:rPr>
        <w:t xml:space="preserve"> </w:t>
      </w:r>
      <w:r w:rsidRPr="00EC20A0">
        <w:t>include</w:t>
      </w:r>
      <w:r w:rsidRPr="00EC20A0">
        <w:rPr>
          <w:spacing w:val="-5"/>
        </w:rPr>
        <w:t xml:space="preserve"> </w:t>
      </w:r>
      <w:r w:rsidRPr="00EC20A0">
        <w:t>a</w:t>
      </w:r>
      <w:r w:rsidRPr="00EC20A0">
        <w:rPr>
          <w:spacing w:val="-6"/>
        </w:rPr>
        <w:t xml:space="preserve"> </w:t>
      </w:r>
      <w:r w:rsidRPr="00EC20A0">
        <w:t>statement</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list</w:t>
      </w:r>
      <w:r w:rsidRPr="00EC20A0">
        <w:rPr>
          <w:spacing w:val="-5"/>
        </w:rPr>
        <w:t xml:space="preserve"> </w:t>
      </w:r>
      <w:r w:rsidRPr="00EC20A0">
        <w:t>of</w:t>
      </w:r>
      <w:r w:rsidRPr="00EC20A0">
        <w:rPr>
          <w:spacing w:val="-6"/>
        </w:rPr>
        <w:t xml:space="preserve"> </w:t>
      </w:r>
      <w:r w:rsidRPr="00EC20A0">
        <w:t>such</w:t>
      </w:r>
      <w:r w:rsidRPr="00EC20A0">
        <w:rPr>
          <w:spacing w:val="-5"/>
        </w:rPr>
        <w:t xml:space="preserve"> </w:t>
      </w:r>
      <w:r w:rsidRPr="00EC20A0">
        <w:t>matters</w:t>
      </w:r>
      <w:r w:rsidRPr="00EC20A0">
        <w:rPr>
          <w:spacing w:val="-5"/>
        </w:rPr>
        <w:t xml:space="preserve"> </w:t>
      </w:r>
      <w:r w:rsidRPr="00EC20A0">
        <w:t>is</w:t>
      </w:r>
      <w:r w:rsidRPr="00EC20A0">
        <w:rPr>
          <w:spacing w:val="-5"/>
        </w:rPr>
        <w:t xml:space="preserve"> </w:t>
      </w:r>
      <w:r w:rsidRPr="00EC20A0">
        <w:rPr>
          <w:spacing w:val="-2"/>
        </w:rPr>
        <w:t>complete.</w:t>
      </w:r>
    </w:p>
    <w:p w14:paraId="24D61F2C" w14:textId="77777777" w:rsidR="00245300" w:rsidRPr="00EC20A0" w:rsidRDefault="00F17249">
      <w:pPr>
        <w:pStyle w:val="BodyText"/>
        <w:spacing w:before="240"/>
        <w:ind w:left="199" w:right="345"/>
      </w:pPr>
      <w:r w:rsidRPr="00EC20A0">
        <w:rPr>
          <w:b/>
        </w:rPr>
        <w:t xml:space="preserve">(Note: </w:t>
      </w:r>
      <w:r w:rsidRPr="00EC20A0">
        <w:rPr>
          <w:b/>
          <w:u w:val="single"/>
        </w:rPr>
        <w:t>If legal counsel is not part of management, such as an external legal counsel, use</w:t>
      </w:r>
      <w:r w:rsidRPr="00EC20A0">
        <w:rPr>
          <w:b/>
        </w:rPr>
        <w:t xml:space="preserve"> </w:t>
      </w:r>
      <w:r w:rsidRPr="00EC20A0">
        <w:rPr>
          <w:b/>
          <w:u w:val="single"/>
        </w:rPr>
        <w:t>this paragraph instead of the previous paragraph and attach management’s listing of</w:t>
      </w:r>
      <w:r w:rsidRPr="00EC20A0">
        <w:rPr>
          <w:b/>
        </w:rPr>
        <w:t xml:space="preserve"> </w:t>
      </w:r>
      <w:r w:rsidRPr="00EC20A0">
        <w:rPr>
          <w:b/>
          <w:u w:val="single"/>
        </w:rPr>
        <w:t>unasserted claims.)</w:t>
      </w:r>
      <w:r w:rsidRPr="00EC20A0">
        <w:rPr>
          <w:b/>
        </w:rPr>
        <w:t xml:space="preserve"> </w:t>
      </w:r>
      <w:r w:rsidRPr="00EC20A0">
        <w:t xml:space="preserve">We have provided an </w:t>
      </w:r>
      <w:r w:rsidRPr="00EC20A0">
        <w:t>attachment to this request that lists the unasserted claims and</w:t>
      </w:r>
      <w:r w:rsidRPr="00EC20A0">
        <w:rPr>
          <w:spacing w:val="-1"/>
        </w:rPr>
        <w:t xml:space="preserve"> </w:t>
      </w:r>
      <w:r w:rsidRPr="00EC20A0">
        <w:t>assessments involving</w:t>
      </w:r>
      <w:r w:rsidRPr="00EC20A0">
        <w:rPr>
          <w:spacing w:val="-1"/>
        </w:rPr>
        <w:t xml:space="preserve"> </w:t>
      </w:r>
      <w:r w:rsidRPr="00EC20A0">
        <w:t>matters to which you have devoted</w:t>
      </w:r>
      <w:r w:rsidRPr="00EC20A0">
        <w:rPr>
          <w:spacing w:val="-1"/>
        </w:rPr>
        <w:t xml:space="preserve"> </w:t>
      </w:r>
      <w:r w:rsidRPr="00EC20A0">
        <w:t>substantive</w:t>
      </w:r>
      <w:r w:rsidRPr="00EC20A0">
        <w:rPr>
          <w:spacing w:val="-1"/>
        </w:rPr>
        <w:t xml:space="preserve"> </w:t>
      </w:r>
      <w:r w:rsidRPr="00EC20A0">
        <w:t xml:space="preserve">attention that we consider to be probable of assertion and that if asserted would have at least a reasonable possibility (more than remote) of an unfavorable outcome for which (1) the amount of potential loss exceeds </w:t>
      </w:r>
      <w:r w:rsidRPr="00EC20A0">
        <w:rPr>
          <w:b/>
        </w:rPr>
        <w:t>[$XX]</w:t>
      </w:r>
      <w:r w:rsidRPr="00EC20A0">
        <w:t xml:space="preserve">, individually or in the aggregate for similar cases, or (2) the amount of potential loss exceeds </w:t>
      </w:r>
      <w:r w:rsidRPr="00EC20A0">
        <w:rPr>
          <w:b/>
        </w:rPr>
        <w:t xml:space="preserve">[$XXX] </w:t>
      </w:r>
      <w:r w:rsidRPr="00EC20A0">
        <w:t>in the aggregate for cases not listed individually or</w:t>
      </w:r>
      <w:r w:rsidRPr="00EC20A0">
        <w:t xml:space="preserve"> as part of similar cases. Please provide to </w:t>
      </w:r>
      <w:r w:rsidRPr="00EC20A0">
        <w:rPr>
          <w:b/>
        </w:rPr>
        <w:t xml:space="preserve">[auditor] </w:t>
      </w:r>
      <w:r w:rsidRPr="00EC20A0">
        <w:t>information or explanations, if any, that you consider necessary to supplement the attached information, including an explanation for any matters for which your views differ from those stated in the attachment. Please provide the following information</w:t>
      </w:r>
      <w:r w:rsidRPr="00EC20A0">
        <w:rPr>
          <w:spacing w:val="-3"/>
        </w:rPr>
        <w:t xml:space="preserve"> </w:t>
      </w:r>
      <w:r w:rsidRPr="00EC20A0">
        <w:t>for</w:t>
      </w:r>
      <w:r w:rsidRPr="00EC20A0">
        <w:rPr>
          <w:spacing w:val="-3"/>
        </w:rPr>
        <w:t xml:space="preserve"> </w:t>
      </w:r>
      <w:r w:rsidRPr="00EC20A0">
        <w:t>any</w:t>
      </w:r>
      <w:r w:rsidRPr="00EC20A0">
        <w:rPr>
          <w:spacing w:val="-3"/>
        </w:rPr>
        <w:t xml:space="preserve"> </w:t>
      </w:r>
      <w:r w:rsidRPr="00EC20A0">
        <w:t>additional</w:t>
      </w:r>
      <w:r w:rsidRPr="00EC20A0">
        <w:rPr>
          <w:spacing w:val="-3"/>
        </w:rPr>
        <w:t xml:space="preserve"> </w:t>
      </w:r>
      <w:r w:rsidRPr="00EC20A0">
        <w:t>matters</w:t>
      </w:r>
      <w:r w:rsidRPr="00EC20A0">
        <w:rPr>
          <w:spacing w:val="-3"/>
        </w:rPr>
        <w:t xml:space="preserve"> </w:t>
      </w:r>
      <w:r w:rsidRPr="00EC20A0">
        <w:t>that</w:t>
      </w:r>
      <w:r w:rsidRPr="00EC20A0">
        <w:rPr>
          <w:spacing w:val="-3"/>
        </w:rPr>
        <w:t xml:space="preserve"> </w:t>
      </w:r>
      <w:r w:rsidRPr="00EC20A0">
        <w:t>you</w:t>
      </w:r>
      <w:r w:rsidRPr="00EC20A0">
        <w:rPr>
          <w:spacing w:val="-3"/>
        </w:rPr>
        <w:t xml:space="preserve"> </w:t>
      </w:r>
      <w:r w:rsidRPr="00EC20A0">
        <w:t>believe</w:t>
      </w:r>
      <w:r w:rsidRPr="00EC20A0">
        <w:rPr>
          <w:spacing w:val="-3"/>
        </w:rPr>
        <w:t xml:space="preserve"> </w:t>
      </w:r>
      <w:r w:rsidRPr="00EC20A0">
        <w:t>meet</w:t>
      </w:r>
      <w:r w:rsidRPr="00EC20A0">
        <w:rPr>
          <w:spacing w:val="-3"/>
        </w:rPr>
        <w:t xml:space="preserve"> </w:t>
      </w:r>
      <w:r w:rsidRPr="00EC20A0">
        <w:t>these</w:t>
      </w:r>
      <w:r w:rsidRPr="00EC20A0">
        <w:rPr>
          <w:spacing w:val="-3"/>
        </w:rPr>
        <w:t xml:space="preserve"> </w:t>
      </w:r>
      <w:r w:rsidRPr="00EC20A0">
        <w:t>criteria</w:t>
      </w:r>
      <w:r w:rsidRPr="00EC20A0">
        <w:rPr>
          <w:spacing w:val="-4"/>
        </w:rPr>
        <w:t xml:space="preserve"> </w:t>
      </w:r>
      <w:r w:rsidRPr="00EC20A0">
        <w:t>or</w:t>
      </w:r>
      <w:r w:rsidRPr="00EC20A0">
        <w:rPr>
          <w:spacing w:val="-3"/>
        </w:rPr>
        <w:t xml:space="preserve"> </w:t>
      </w:r>
      <w:r w:rsidRPr="00EC20A0">
        <w:t>include</w:t>
      </w:r>
      <w:r w:rsidRPr="00EC20A0">
        <w:rPr>
          <w:spacing w:val="-3"/>
        </w:rPr>
        <w:t xml:space="preserve"> </w:t>
      </w:r>
      <w:r w:rsidRPr="00EC20A0">
        <w:t>a</w:t>
      </w:r>
      <w:r w:rsidRPr="00EC20A0">
        <w:rPr>
          <w:spacing w:val="-4"/>
        </w:rPr>
        <w:t xml:space="preserve"> </w:t>
      </w:r>
      <w:r w:rsidRPr="00EC20A0">
        <w:t>statement that the list of such matters provided by management is complete:</w:t>
      </w:r>
    </w:p>
    <w:p w14:paraId="24D61F2D" w14:textId="77777777" w:rsidR="00245300" w:rsidRPr="00EC20A0" w:rsidRDefault="00F17249">
      <w:pPr>
        <w:pStyle w:val="ListParagraph"/>
        <w:numPr>
          <w:ilvl w:val="0"/>
          <w:numId w:val="61"/>
        </w:numPr>
        <w:tabs>
          <w:tab w:val="left" w:pos="559"/>
        </w:tabs>
        <w:spacing w:before="239"/>
        <w:ind w:hanging="359"/>
      </w:pPr>
      <w:r w:rsidRPr="00EC20A0">
        <w:t>A</w:t>
      </w:r>
      <w:r w:rsidRPr="00EC20A0">
        <w:rPr>
          <w:spacing w:val="-5"/>
        </w:rPr>
        <w:t xml:space="preserve"> </w:t>
      </w:r>
      <w:r w:rsidRPr="00EC20A0">
        <w:t>description</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t>nature</w:t>
      </w:r>
      <w:r w:rsidRPr="00EC20A0">
        <w:rPr>
          <w:spacing w:val="-4"/>
        </w:rPr>
        <w:t xml:space="preserve"> </w:t>
      </w:r>
      <w:r w:rsidRPr="00EC20A0">
        <w:t>of</w:t>
      </w:r>
      <w:r w:rsidRPr="00EC20A0">
        <w:rPr>
          <w:spacing w:val="-4"/>
        </w:rPr>
        <w:t xml:space="preserve"> </w:t>
      </w:r>
      <w:r w:rsidRPr="00EC20A0">
        <w:t>the</w:t>
      </w:r>
      <w:r w:rsidRPr="00EC20A0">
        <w:rPr>
          <w:spacing w:val="-5"/>
        </w:rPr>
        <w:t xml:space="preserve"> </w:t>
      </w:r>
      <w:r w:rsidRPr="00EC20A0">
        <w:rPr>
          <w:spacing w:val="-2"/>
        </w:rPr>
        <w:t>matter.</w:t>
      </w:r>
    </w:p>
    <w:p w14:paraId="24D61F2E" w14:textId="77777777" w:rsidR="00245300" w:rsidRPr="00EC20A0" w:rsidRDefault="00F17249">
      <w:pPr>
        <w:pStyle w:val="ListParagraph"/>
        <w:numPr>
          <w:ilvl w:val="0"/>
          <w:numId w:val="61"/>
        </w:numPr>
        <w:tabs>
          <w:tab w:val="left" w:pos="559"/>
        </w:tabs>
        <w:spacing w:before="241"/>
        <w:ind w:hanging="359"/>
      </w:pPr>
      <w:r w:rsidRPr="00EC20A0">
        <w:t>The</w:t>
      </w:r>
      <w:r w:rsidRPr="00EC20A0">
        <w:rPr>
          <w:spacing w:val="-7"/>
        </w:rPr>
        <w:t xml:space="preserve"> </w:t>
      </w:r>
      <w:r w:rsidRPr="00EC20A0">
        <w:t>government’s</w:t>
      </w:r>
      <w:r w:rsidRPr="00EC20A0">
        <w:rPr>
          <w:spacing w:val="-6"/>
        </w:rPr>
        <w:t xml:space="preserve"> </w:t>
      </w:r>
      <w:r w:rsidRPr="00EC20A0">
        <w:t>planned</w:t>
      </w:r>
      <w:r w:rsidRPr="00EC20A0">
        <w:rPr>
          <w:spacing w:val="-7"/>
        </w:rPr>
        <w:t xml:space="preserve"> </w:t>
      </w:r>
      <w:r w:rsidRPr="00EC20A0">
        <w:t>response</w:t>
      </w:r>
      <w:r w:rsidRPr="00EC20A0">
        <w:rPr>
          <w:spacing w:val="-6"/>
        </w:rPr>
        <w:t xml:space="preserve"> </w:t>
      </w:r>
      <w:r w:rsidRPr="00EC20A0">
        <w:t>if</w:t>
      </w:r>
      <w:r w:rsidRPr="00EC20A0">
        <w:rPr>
          <w:spacing w:val="-6"/>
        </w:rPr>
        <w:t xml:space="preserve"> </w:t>
      </w:r>
      <w:r w:rsidRPr="00EC20A0">
        <w:t>the</w:t>
      </w:r>
      <w:r w:rsidRPr="00EC20A0">
        <w:rPr>
          <w:spacing w:val="-7"/>
        </w:rPr>
        <w:t xml:space="preserve"> </w:t>
      </w:r>
      <w:r w:rsidRPr="00EC20A0">
        <w:t>claim</w:t>
      </w:r>
      <w:r w:rsidRPr="00EC20A0">
        <w:rPr>
          <w:spacing w:val="-7"/>
        </w:rPr>
        <w:t xml:space="preserve"> </w:t>
      </w:r>
      <w:r w:rsidRPr="00EC20A0">
        <w:t>is</w:t>
      </w:r>
      <w:r w:rsidRPr="00EC20A0">
        <w:rPr>
          <w:spacing w:val="-6"/>
        </w:rPr>
        <w:t xml:space="preserve"> </w:t>
      </w:r>
      <w:r w:rsidRPr="00EC20A0">
        <w:rPr>
          <w:spacing w:val="-2"/>
        </w:rPr>
        <w:t>asserted.</w:t>
      </w:r>
    </w:p>
    <w:p w14:paraId="24D61F2F" w14:textId="77777777" w:rsidR="00245300" w:rsidRPr="00EC20A0" w:rsidRDefault="00F17249">
      <w:pPr>
        <w:pStyle w:val="ListParagraph"/>
        <w:numPr>
          <w:ilvl w:val="0"/>
          <w:numId w:val="61"/>
        </w:numPr>
        <w:tabs>
          <w:tab w:val="left" w:pos="559"/>
        </w:tabs>
        <w:ind w:right="376"/>
      </w:pPr>
      <w:r w:rsidRPr="00EC20A0">
        <w:t>An evaluation of the likelihood of an unfavorable outcome. (Categorize likelihood as probable</w:t>
      </w:r>
      <w:r w:rsidRPr="00EC20A0">
        <w:rPr>
          <w:spacing w:val="-3"/>
        </w:rPr>
        <w:t xml:space="preserve"> </w:t>
      </w:r>
      <w:r w:rsidRPr="00EC20A0">
        <w:t>(likely</w:t>
      </w:r>
      <w:r w:rsidRPr="00EC20A0">
        <w:rPr>
          <w:spacing w:val="-3"/>
        </w:rPr>
        <w:t xml:space="preserve"> </w:t>
      </w:r>
      <w:r w:rsidRPr="00EC20A0">
        <w:t>to</w:t>
      </w:r>
      <w:r w:rsidRPr="00EC20A0">
        <w:rPr>
          <w:spacing w:val="-3"/>
        </w:rPr>
        <w:t xml:space="preserve"> </w:t>
      </w:r>
      <w:r w:rsidRPr="00EC20A0">
        <w:t>occur)</w:t>
      </w:r>
      <w:r w:rsidRPr="00EC20A0">
        <w:rPr>
          <w:spacing w:val="-4"/>
        </w:rPr>
        <w:t xml:space="preserve"> </w:t>
      </w:r>
      <w:r w:rsidRPr="00EC20A0">
        <w:t>or</w:t>
      </w:r>
      <w:r w:rsidRPr="00EC20A0">
        <w:rPr>
          <w:spacing w:val="-3"/>
        </w:rPr>
        <w:t xml:space="preserve"> </w:t>
      </w:r>
      <w:r w:rsidRPr="00EC20A0">
        <w:t>reasonably</w:t>
      </w:r>
      <w:r w:rsidRPr="00EC20A0">
        <w:rPr>
          <w:spacing w:val="-3"/>
        </w:rPr>
        <w:t xml:space="preserve"> </w:t>
      </w:r>
      <w:r w:rsidRPr="00EC20A0">
        <w:t>possible</w:t>
      </w:r>
      <w:r w:rsidRPr="00EC20A0">
        <w:rPr>
          <w:spacing w:val="-4"/>
        </w:rPr>
        <w:t xml:space="preserve"> </w:t>
      </w:r>
      <w:r w:rsidRPr="00EC20A0">
        <w:t>(less</w:t>
      </w:r>
      <w:r w:rsidRPr="00EC20A0">
        <w:rPr>
          <w:spacing w:val="-3"/>
        </w:rPr>
        <w:t xml:space="preserve"> </w:t>
      </w:r>
      <w:r w:rsidRPr="00EC20A0">
        <w:t>than</w:t>
      </w:r>
      <w:r w:rsidRPr="00EC20A0">
        <w:rPr>
          <w:spacing w:val="-3"/>
        </w:rPr>
        <w:t xml:space="preserve"> </w:t>
      </w:r>
      <w:r w:rsidRPr="00EC20A0">
        <w:t>probable</w:t>
      </w:r>
      <w:r w:rsidRPr="00EC20A0">
        <w:rPr>
          <w:spacing w:val="-3"/>
        </w:rPr>
        <w:t xml:space="preserve"> </w:t>
      </w:r>
      <w:r w:rsidRPr="00EC20A0">
        <w:t>but</w:t>
      </w:r>
      <w:r w:rsidRPr="00EC20A0">
        <w:rPr>
          <w:spacing w:val="-4"/>
        </w:rPr>
        <w:t xml:space="preserve"> </w:t>
      </w:r>
      <w:r w:rsidRPr="00EC20A0">
        <w:t>more</w:t>
      </w:r>
      <w:r w:rsidRPr="00EC20A0">
        <w:rPr>
          <w:spacing w:val="-3"/>
        </w:rPr>
        <w:t xml:space="preserve"> </w:t>
      </w:r>
      <w:r w:rsidRPr="00EC20A0">
        <w:t>than</w:t>
      </w:r>
      <w:r w:rsidRPr="00EC20A0">
        <w:rPr>
          <w:spacing w:val="-3"/>
        </w:rPr>
        <w:t xml:space="preserve"> </w:t>
      </w:r>
      <w:r w:rsidRPr="00EC20A0">
        <w:t>remote).)</w:t>
      </w:r>
    </w:p>
    <w:p w14:paraId="24D61F30" w14:textId="77777777" w:rsidR="00245300" w:rsidRPr="00EC20A0" w:rsidRDefault="00F17249">
      <w:pPr>
        <w:pStyle w:val="ListParagraph"/>
        <w:numPr>
          <w:ilvl w:val="0"/>
          <w:numId w:val="61"/>
        </w:numPr>
        <w:tabs>
          <w:tab w:val="left" w:pos="559"/>
        </w:tabs>
        <w:ind w:hanging="359"/>
      </w:pPr>
      <w:r w:rsidRPr="00EC20A0">
        <w:t>An</w:t>
      </w:r>
      <w:r w:rsidRPr="00EC20A0">
        <w:rPr>
          <w:spacing w:val="-5"/>
        </w:rPr>
        <w:t xml:space="preserve"> </w:t>
      </w:r>
      <w:r w:rsidRPr="00EC20A0">
        <w:t>estimate</w:t>
      </w:r>
      <w:r w:rsidRPr="00EC20A0">
        <w:rPr>
          <w:spacing w:val="-4"/>
        </w:rPr>
        <w:t xml:space="preserve"> </w:t>
      </w:r>
      <w:r w:rsidRPr="00EC20A0">
        <w:t>of</w:t>
      </w:r>
      <w:r w:rsidRPr="00EC20A0">
        <w:rPr>
          <w:spacing w:val="-5"/>
        </w:rPr>
        <w:t xml:space="preserve"> </w:t>
      </w:r>
      <w:r w:rsidRPr="00EC20A0">
        <w:t>the</w:t>
      </w:r>
      <w:r w:rsidRPr="00EC20A0">
        <w:rPr>
          <w:spacing w:val="-4"/>
        </w:rPr>
        <w:t xml:space="preserve"> </w:t>
      </w:r>
      <w:r w:rsidRPr="00EC20A0">
        <w:t>amount</w:t>
      </w:r>
      <w:r w:rsidRPr="00EC20A0">
        <w:rPr>
          <w:spacing w:val="-4"/>
        </w:rPr>
        <w:t xml:space="preserve"> </w:t>
      </w:r>
      <w:r w:rsidRPr="00EC20A0">
        <w:t>or</w:t>
      </w:r>
      <w:r w:rsidRPr="00EC20A0">
        <w:rPr>
          <w:spacing w:val="-5"/>
        </w:rPr>
        <w:t xml:space="preserve"> </w:t>
      </w:r>
      <w:r w:rsidRPr="00EC20A0">
        <w:t>range</w:t>
      </w:r>
      <w:r w:rsidRPr="00EC20A0">
        <w:rPr>
          <w:spacing w:val="-4"/>
        </w:rPr>
        <w:t xml:space="preserve"> </w:t>
      </w:r>
      <w:r w:rsidRPr="00EC20A0">
        <w:t>of</w:t>
      </w:r>
      <w:r w:rsidRPr="00EC20A0">
        <w:rPr>
          <w:spacing w:val="-5"/>
        </w:rPr>
        <w:t xml:space="preserve"> </w:t>
      </w:r>
      <w:r w:rsidRPr="00EC20A0">
        <w:t>potential</w:t>
      </w:r>
      <w:r w:rsidRPr="00EC20A0">
        <w:rPr>
          <w:spacing w:val="-4"/>
        </w:rPr>
        <w:t xml:space="preserve"> </w:t>
      </w:r>
      <w:r w:rsidRPr="00EC20A0">
        <w:t>loss,</w:t>
      </w:r>
      <w:r w:rsidRPr="00EC20A0">
        <w:rPr>
          <w:spacing w:val="-4"/>
        </w:rPr>
        <w:t xml:space="preserve"> </w:t>
      </w:r>
      <w:r w:rsidRPr="00EC20A0">
        <w:t>if</w:t>
      </w:r>
      <w:r w:rsidRPr="00EC20A0">
        <w:rPr>
          <w:spacing w:val="-5"/>
        </w:rPr>
        <w:t xml:space="preserve"> </w:t>
      </w:r>
      <w:r w:rsidRPr="00EC20A0">
        <w:t>one</w:t>
      </w:r>
      <w:r w:rsidRPr="00EC20A0">
        <w:rPr>
          <w:spacing w:val="-5"/>
        </w:rPr>
        <w:t xml:space="preserve"> </w:t>
      </w:r>
      <w:r w:rsidRPr="00EC20A0">
        <w:t>can</w:t>
      </w:r>
      <w:r w:rsidRPr="00EC20A0">
        <w:rPr>
          <w:spacing w:val="-4"/>
        </w:rPr>
        <w:t xml:space="preserve"> </w:t>
      </w:r>
      <w:r w:rsidRPr="00EC20A0">
        <w:t>be</w:t>
      </w:r>
      <w:r w:rsidRPr="00EC20A0">
        <w:rPr>
          <w:spacing w:val="-5"/>
        </w:rPr>
        <w:t xml:space="preserve"> </w:t>
      </w:r>
      <w:r w:rsidRPr="00EC20A0">
        <w:rPr>
          <w:spacing w:val="-2"/>
        </w:rPr>
        <w:t>made.</w:t>
      </w:r>
    </w:p>
    <w:p w14:paraId="24D61F31" w14:textId="77777777" w:rsidR="00245300" w:rsidRPr="00EC20A0" w:rsidRDefault="00F17249">
      <w:pPr>
        <w:pStyle w:val="BodyText"/>
        <w:spacing w:before="239"/>
        <w:ind w:left="199" w:right="345"/>
      </w:pPr>
      <w:r w:rsidRPr="00EC20A0">
        <w:t>We</w:t>
      </w:r>
      <w:r w:rsidRPr="00EC20A0">
        <w:rPr>
          <w:spacing w:val="-2"/>
        </w:rPr>
        <w:t xml:space="preserve"> </w:t>
      </w:r>
      <w:r w:rsidRPr="00EC20A0">
        <w:t>understand</w:t>
      </w:r>
      <w:r w:rsidRPr="00EC20A0">
        <w:rPr>
          <w:spacing w:val="-2"/>
        </w:rPr>
        <w:t xml:space="preserve"> </w:t>
      </w:r>
      <w:r w:rsidRPr="00EC20A0">
        <w:t>that</w:t>
      </w:r>
      <w:r w:rsidRPr="00EC20A0">
        <w:rPr>
          <w:spacing w:val="-2"/>
        </w:rPr>
        <w:t xml:space="preserve"> </w:t>
      </w:r>
      <w:r w:rsidRPr="00EC20A0">
        <w:t>whenever,</w:t>
      </w:r>
      <w:r w:rsidRPr="00EC20A0">
        <w:rPr>
          <w:spacing w:val="-2"/>
        </w:rPr>
        <w:t xml:space="preserve"> </w:t>
      </w:r>
      <w:r w:rsidRPr="00EC20A0">
        <w:t>in</w:t>
      </w:r>
      <w:r w:rsidRPr="00EC20A0">
        <w:rPr>
          <w:spacing w:val="-2"/>
        </w:rPr>
        <w:t xml:space="preserve"> </w:t>
      </w:r>
      <w:r w:rsidRPr="00EC20A0">
        <w:t>the</w:t>
      </w:r>
      <w:r w:rsidRPr="00EC20A0">
        <w:rPr>
          <w:spacing w:val="-2"/>
        </w:rPr>
        <w:t xml:space="preserve"> </w:t>
      </w:r>
      <w:r w:rsidRPr="00EC20A0">
        <w:t>course</w:t>
      </w:r>
      <w:r w:rsidRPr="00EC20A0">
        <w:rPr>
          <w:spacing w:val="-2"/>
        </w:rPr>
        <w:t xml:space="preserve"> </w:t>
      </w:r>
      <w:r w:rsidRPr="00EC20A0">
        <w:t>of</w:t>
      </w:r>
      <w:r w:rsidRPr="00EC20A0">
        <w:rPr>
          <w:spacing w:val="-3"/>
        </w:rPr>
        <w:t xml:space="preserve"> </w:t>
      </w:r>
      <w:r w:rsidRPr="00EC20A0">
        <w:t>performing</w:t>
      </w:r>
      <w:r w:rsidRPr="00EC20A0">
        <w:rPr>
          <w:spacing w:val="-2"/>
        </w:rPr>
        <w:t xml:space="preserve"> </w:t>
      </w:r>
      <w:r w:rsidRPr="00EC20A0">
        <w:t>legal</w:t>
      </w:r>
      <w:r w:rsidRPr="00EC20A0">
        <w:rPr>
          <w:spacing w:val="-2"/>
        </w:rPr>
        <w:t xml:space="preserve"> </w:t>
      </w:r>
      <w:r w:rsidRPr="00EC20A0">
        <w:t>services</w:t>
      </w:r>
      <w:r w:rsidRPr="00EC20A0">
        <w:rPr>
          <w:spacing w:val="-2"/>
        </w:rPr>
        <w:t xml:space="preserve"> </w:t>
      </w:r>
      <w:r w:rsidRPr="00EC20A0">
        <w:t>for</w:t>
      </w:r>
      <w:r w:rsidRPr="00EC20A0">
        <w:rPr>
          <w:spacing w:val="-2"/>
        </w:rPr>
        <w:t xml:space="preserve"> </w:t>
      </w:r>
      <w:r w:rsidRPr="00EC20A0">
        <w:t>us</w:t>
      </w:r>
      <w:r w:rsidRPr="00EC20A0">
        <w:rPr>
          <w:spacing w:val="-2"/>
        </w:rPr>
        <w:t xml:space="preserve"> </w:t>
      </w:r>
      <w:r w:rsidRPr="00EC20A0">
        <w:t>with</w:t>
      </w:r>
      <w:r w:rsidRPr="00EC20A0">
        <w:rPr>
          <w:spacing w:val="-3"/>
        </w:rPr>
        <w:t xml:space="preserve"> </w:t>
      </w:r>
      <w:r w:rsidRPr="00EC20A0">
        <w:t>respect</w:t>
      </w:r>
      <w:r w:rsidRPr="00EC20A0">
        <w:rPr>
          <w:spacing w:val="-2"/>
        </w:rPr>
        <w:t xml:space="preserve"> </w:t>
      </w:r>
      <w:r w:rsidRPr="00EC20A0">
        <w:t xml:space="preserve">to matters recognized to involve an unasserted possible claim or assessment that may call for </w:t>
      </w:r>
      <w:r w:rsidRPr="00EC20A0">
        <w:t>financial statement disclosure, you have formed a professional conclusion that we should disclose or consider disclosure concerning such possible claim or assessment, as a matter of professional responsibility to us, you will so advise us and will consult with us concerning the question</w:t>
      </w:r>
      <w:r w:rsidRPr="00EC20A0">
        <w:rPr>
          <w:spacing w:val="-3"/>
        </w:rPr>
        <w:t xml:space="preserve"> </w:t>
      </w:r>
      <w:r w:rsidRPr="00EC20A0">
        <w:t>of</w:t>
      </w:r>
      <w:r w:rsidRPr="00EC20A0">
        <w:rPr>
          <w:spacing w:val="-4"/>
        </w:rPr>
        <w:t xml:space="preserve"> </w:t>
      </w:r>
      <w:r w:rsidRPr="00EC20A0">
        <w:t>such</w:t>
      </w:r>
      <w:r w:rsidRPr="00EC20A0">
        <w:rPr>
          <w:spacing w:val="-3"/>
        </w:rPr>
        <w:t xml:space="preserve"> </w:t>
      </w:r>
      <w:r w:rsidRPr="00EC20A0">
        <w:t>disclosure</w:t>
      </w:r>
      <w:r w:rsidRPr="00EC20A0">
        <w:rPr>
          <w:spacing w:val="-3"/>
        </w:rPr>
        <w:t xml:space="preserve"> </w:t>
      </w:r>
      <w:r w:rsidRPr="00EC20A0">
        <w:t>and</w:t>
      </w:r>
      <w:r w:rsidRPr="00EC20A0">
        <w:rPr>
          <w:spacing w:val="-3"/>
        </w:rPr>
        <w:t xml:space="preserve"> </w:t>
      </w:r>
      <w:r w:rsidRPr="00EC20A0">
        <w:t>the</w:t>
      </w:r>
      <w:r w:rsidRPr="00EC20A0">
        <w:rPr>
          <w:spacing w:val="-4"/>
        </w:rPr>
        <w:t xml:space="preserve"> </w:t>
      </w:r>
      <w:r w:rsidRPr="00EC20A0">
        <w:t>applicable</w:t>
      </w:r>
      <w:r w:rsidRPr="00EC20A0">
        <w:rPr>
          <w:spacing w:val="-3"/>
        </w:rPr>
        <w:t xml:space="preserve"> </w:t>
      </w:r>
      <w:r w:rsidRPr="00EC20A0">
        <w:t>requirements</w:t>
      </w:r>
      <w:r w:rsidRPr="00EC20A0">
        <w:rPr>
          <w:spacing w:val="-3"/>
        </w:rPr>
        <w:t xml:space="preserve"> </w:t>
      </w:r>
      <w:r w:rsidRPr="00EC20A0">
        <w:t>of</w:t>
      </w:r>
      <w:r w:rsidRPr="00EC20A0">
        <w:rPr>
          <w:spacing w:val="-3"/>
        </w:rPr>
        <w:t xml:space="preserve"> </w:t>
      </w:r>
      <w:r w:rsidRPr="00EC20A0">
        <w:t>SFFAS</w:t>
      </w:r>
      <w:r w:rsidRPr="00EC20A0">
        <w:rPr>
          <w:spacing w:val="-4"/>
        </w:rPr>
        <w:t xml:space="preserve"> </w:t>
      </w:r>
      <w:r w:rsidRPr="00EC20A0">
        <w:t>5,</w:t>
      </w:r>
      <w:r w:rsidRPr="00EC20A0">
        <w:rPr>
          <w:spacing w:val="-3"/>
        </w:rPr>
        <w:t xml:space="preserve"> </w:t>
      </w:r>
      <w:r w:rsidRPr="00EC20A0">
        <w:t>as</w:t>
      </w:r>
      <w:r w:rsidRPr="00EC20A0">
        <w:rPr>
          <w:spacing w:val="-3"/>
        </w:rPr>
        <w:t xml:space="preserve"> </w:t>
      </w:r>
      <w:r w:rsidRPr="00EC20A0">
        <w:t>amended.</w:t>
      </w:r>
      <w:r w:rsidRPr="00EC20A0">
        <w:rPr>
          <w:spacing w:val="-3"/>
        </w:rPr>
        <w:t xml:space="preserve"> </w:t>
      </w:r>
      <w:r w:rsidRPr="00EC20A0">
        <w:t xml:space="preserve">Please specifically confirm to </w:t>
      </w:r>
      <w:r w:rsidRPr="00EC20A0">
        <w:rPr>
          <w:b/>
        </w:rPr>
        <w:t xml:space="preserve">[auditor] </w:t>
      </w:r>
      <w:r w:rsidRPr="00EC20A0">
        <w:t>that our understanding is correct.</w:t>
      </w:r>
    </w:p>
    <w:p w14:paraId="24D61F32" w14:textId="77777777" w:rsidR="00245300" w:rsidRPr="00EC20A0" w:rsidRDefault="00F17249">
      <w:pPr>
        <w:pStyle w:val="BodyText"/>
        <w:spacing w:before="241"/>
        <w:ind w:left="199"/>
      </w:pPr>
      <w:r w:rsidRPr="00EC20A0">
        <w:t>We</w:t>
      </w:r>
      <w:r w:rsidRPr="00EC20A0">
        <w:rPr>
          <w:spacing w:val="-7"/>
        </w:rPr>
        <w:t xml:space="preserve"> </w:t>
      </w:r>
      <w:r w:rsidRPr="00EC20A0">
        <w:t>request</w:t>
      </w:r>
      <w:r w:rsidRPr="00EC20A0">
        <w:rPr>
          <w:spacing w:val="-7"/>
        </w:rPr>
        <w:t xml:space="preserve"> </w:t>
      </w:r>
      <w:r w:rsidRPr="00EC20A0">
        <w:t>that</w:t>
      </w:r>
      <w:r w:rsidRPr="00EC20A0">
        <w:rPr>
          <w:spacing w:val="-6"/>
        </w:rPr>
        <w:t xml:space="preserve"> </w:t>
      </w:r>
      <w:r w:rsidRPr="00EC20A0">
        <w:t>you</w:t>
      </w:r>
      <w:r w:rsidRPr="00EC20A0">
        <w:rPr>
          <w:spacing w:val="-6"/>
        </w:rPr>
        <w:t xml:space="preserve"> </w:t>
      </w:r>
      <w:r w:rsidRPr="00EC20A0">
        <w:t>describe</w:t>
      </w:r>
      <w:r w:rsidRPr="00EC20A0">
        <w:rPr>
          <w:spacing w:val="-7"/>
        </w:rPr>
        <w:t xml:space="preserve"> </w:t>
      </w:r>
      <w:r w:rsidRPr="00EC20A0">
        <w:t>the</w:t>
      </w:r>
      <w:r w:rsidRPr="00EC20A0">
        <w:rPr>
          <w:spacing w:val="-6"/>
        </w:rPr>
        <w:t xml:space="preserve"> </w:t>
      </w:r>
      <w:r w:rsidRPr="00EC20A0">
        <w:t>cases</w:t>
      </w:r>
      <w:r w:rsidRPr="00EC20A0">
        <w:rPr>
          <w:spacing w:val="-6"/>
        </w:rPr>
        <w:t xml:space="preserve"> </w:t>
      </w:r>
      <w:r w:rsidRPr="00EC20A0">
        <w:t>using</w:t>
      </w:r>
      <w:r w:rsidRPr="00EC20A0">
        <w:rPr>
          <w:spacing w:val="-6"/>
        </w:rPr>
        <w:t xml:space="preserve"> </w:t>
      </w:r>
      <w:r w:rsidRPr="00EC20A0">
        <w:t>the</w:t>
      </w:r>
      <w:r w:rsidRPr="00EC20A0">
        <w:rPr>
          <w:spacing w:val="-7"/>
        </w:rPr>
        <w:t xml:space="preserve"> </w:t>
      </w:r>
      <w:r w:rsidRPr="00EC20A0">
        <w:t>following</w:t>
      </w:r>
      <w:r w:rsidRPr="00EC20A0">
        <w:rPr>
          <w:spacing w:val="-7"/>
        </w:rPr>
        <w:t xml:space="preserve"> </w:t>
      </w:r>
      <w:r w:rsidRPr="00EC20A0">
        <w:t>Department</w:t>
      </w:r>
      <w:r w:rsidRPr="00EC20A0">
        <w:rPr>
          <w:spacing w:val="-5"/>
        </w:rPr>
        <w:t xml:space="preserve"> </w:t>
      </w:r>
      <w:r w:rsidRPr="00EC20A0">
        <w:t>of</w:t>
      </w:r>
      <w:r w:rsidRPr="00EC20A0">
        <w:rPr>
          <w:spacing w:val="-6"/>
        </w:rPr>
        <w:t xml:space="preserve"> </w:t>
      </w:r>
      <w:r w:rsidRPr="00EC20A0">
        <w:t>Justice</w:t>
      </w:r>
      <w:r w:rsidRPr="00EC20A0">
        <w:rPr>
          <w:spacing w:val="-7"/>
        </w:rPr>
        <w:t xml:space="preserve"> </w:t>
      </w:r>
      <w:r w:rsidRPr="00EC20A0">
        <w:rPr>
          <w:spacing w:val="-2"/>
        </w:rPr>
        <w:t>forms:</w:t>
      </w:r>
    </w:p>
    <w:p w14:paraId="24D61F33" w14:textId="77777777" w:rsidR="00245300" w:rsidRPr="00EC20A0" w:rsidRDefault="00F17249">
      <w:pPr>
        <w:pStyle w:val="BodyText"/>
        <w:ind w:left="199" w:right="345"/>
      </w:pPr>
      <w:r w:rsidRPr="00EC20A0">
        <w:t>(1)</w:t>
      </w:r>
      <w:r w:rsidRPr="00EC20A0">
        <w:rPr>
          <w:spacing w:val="-4"/>
        </w:rPr>
        <w:t xml:space="preserve"> </w:t>
      </w:r>
      <w:r w:rsidRPr="00EC20A0">
        <w:t>Pending</w:t>
      </w:r>
      <w:r w:rsidRPr="00EC20A0">
        <w:rPr>
          <w:spacing w:val="-4"/>
        </w:rPr>
        <w:t xml:space="preserve"> </w:t>
      </w:r>
      <w:r w:rsidRPr="00EC20A0">
        <w:t>or</w:t>
      </w:r>
      <w:r w:rsidRPr="00EC20A0">
        <w:rPr>
          <w:spacing w:val="-4"/>
        </w:rPr>
        <w:t xml:space="preserve"> </w:t>
      </w:r>
      <w:r w:rsidRPr="00EC20A0">
        <w:t>Threatened</w:t>
      </w:r>
      <w:r w:rsidRPr="00EC20A0">
        <w:rPr>
          <w:spacing w:val="-4"/>
        </w:rPr>
        <w:t xml:space="preserve"> </w:t>
      </w:r>
      <w:r w:rsidRPr="00EC20A0">
        <w:t>Litigation,</w:t>
      </w:r>
      <w:r w:rsidRPr="00EC20A0">
        <w:rPr>
          <w:spacing w:val="-4"/>
        </w:rPr>
        <w:t xml:space="preserve"> </w:t>
      </w:r>
      <w:r w:rsidRPr="00EC20A0">
        <w:t>(2)</w:t>
      </w:r>
      <w:r w:rsidRPr="00EC20A0">
        <w:rPr>
          <w:spacing w:val="-4"/>
        </w:rPr>
        <w:t xml:space="preserve"> </w:t>
      </w:r>
      <w:r w:rsidRPr="00EC20A0">
        <w:t>Unasserted</w:t>
      </w:r>
      <w:r w:rsidRPr="00EC20A0">
        <w:rPr>
          <w:spacing w:val="-4"/>
        </w:rPr>
        <w:t xml:space="preserve"> </w:t>
      </w:r>
      <w:r w:rsidRPr="00EC20A0">
        <w:t>Claims</w:t>
      </w:r>
      <w:r w:rsidRPr="00EC20A0">
        <w:rPr>
          <w:spacing w:val="-4"/>
        </w:rPr>
        <w:t xml:space="preserve"> </w:t>
      </w:r>
      <w:r w:rsidRPr="00EC20A0">
        <w:t>and</w:t>
      </w:r>
      <w:r w:rsidRPr="00EC20A0">
        <w:rPr>
          <w:spacing w:val="-4"/>
        </w:rPr>
        <w:t xml:space="preserve"> </w:t>
      </w:r>
      <w:r w:rsidRPr="00EC20A0">
        <w:t>Assessments,</w:t>
      </w:r>
      <w:r w:rsidRPr="00EC20A0">
        <w:rPr>
          <w:spacing w:val="-4"/>
        </w:rPr>
        <w:t xml:space="preserve"> </w:t>
      </w:r>
      <w:r w:rsidRPr="00EC20A0">
        <w:t>and</w:t>
      </w:r>
      <w:r w:rsidRPr="00EC20A0">
        <w:rPr>
          <w:spacing w:val="-4"/>
        </w:rPr>
        <w:t xml:space="preserve"> </w:t>
      </w:r>
      <w:r w:rsidRPr="00EC20A0">
        <w:t>(3)</w:t>
      </w:r>
      <w:r w:rsidRPr="00EC20A0">
        <w:rPr>
          <w:spacing w:val="-4"/>
        </w:rPr>
        <w:t xml:space="preserve"> </w:t>
      </w:r>
      <w:r w:rsidRPr="00EC20A0">
        <w:t>Claims Reported in Prior Year That Are No Longer Pending. The current forms and instructions are</w:t>
      </w:r>
    </w:p>
    <w:p w14:paraId="24D61F34" w14:textId="77777777" w:rsidR="00245300" w:rsidRPr="00EC20A0" w:rsidRDefault="00245300">
      <w:pPr>
        <w:sectPr w:rsidR="00245300" w:rsidRPr="00EC20A0">
          <w:pgSz w:w="12240" w:h="15840"/>
          <w:pgMar w:top="1340" w:right="1100" w:bottom="940" w:left="1240" w:header="721" w:footer="757" w:gutter="0"/>
          <w:cols w:space="720"/>
        </w:sectPr>
      </w:pPr>
    </w:p>
    <w:p w14:paraId="24D61F35" w14:textId="77777777" w:rsidR="00245300" w:rsidRPr="00EC20A0" w:rsidRDefault="00F17249">
      <w:pPr>
        <w:spacing w:before="121"/>
        <w:ind w:left="200" w:right="345"/>
        <w:rPr>
          <w:b/>
        </w:rPr>
      </w:pPr>
      <w:r w:rsidRPr="00EC20A0">
        <w:t>available</w:t>
      </w:r>
      <w:r w:rsidRPr="00EC20A0">
        <w:rPr>
          <w:spacing w:val="-6"/>
        </w:rPr>
        <w:t xml:space="preserve"> </w:t>
      </w:r>
      <w:r w:rsidRPr="00EC20A0">
        <w:t>at</w:t>
      </w:r>
      <w:r w:rsidRPr="00EC20A0">
        <w:rPr>
          <w:spacing w:val="-7"/>
        </w:rPr>
        <w:t xml:space="preserve"> </w:t>
      </w:r>
      <w:hyperlink r:id="rId200">
        <w:r w:rsidRPr="00EC20A0">
          <w:rPr>
            <w:color w:val="0000FF"/>
            <w:u w:val="single" w:color="0000FF"/>
          </w:rPr>
          <w:t>https://www.justice.gov/civil/documents-and-forms</w:t>
        </w:r>
      </w:hyperlink>
      <w:r w:rsidRPr="00EC20A0">
        <w:rPr>
          <w:color w:val="0000FF"/>
          <w:spacing w:val="-5"/>
        </w:rPr>
        <w:t xml:space="preserve"> </w:t>
      </w:r>
      <w:r w:rsidRPr="00EC20A0">
        <w:t>(accessed</w:t>
      </w:r>
      <w:r w:rsidRPr="00EC20A0">
        <w:rPr>
          <w:spacing w:val="-7"/>
        </w:rPr>
        <w:t xml:space="preserve"> </w:t>
      </w:r>
      <w:r w:rsidRPr="00EC20A0">
        <w:t>June</w:t>
      </w:r>
      <w:r w:rsidRPr="00EC20A0">
        <w:rPr>
          <w:spacing w:val="-6"/>
        </w:rPr>
        <w:t xml:space="preserve"> </w:t>
      </w:r>
      <w:r w:rsidRPr="00EC20A0">
        <w:t>4,</w:t>
      </w:r>
      <w:r w:rsidRPr="00EC20A0">
        <w:rPr>
          <w:spacing w:val="-6"/>
        </w:rPr>
        <w:t xml:space="preserve"> </w:t>
      </w:r>
      <w:r w:rsidRPr="00EC20A0">
        <w:t>2024).</w:t>
      </w:r>
      <w:r w:rsidRPr="00EC20A0">
        <w:rPr>
          <w:spacing w:val="-6"/>
        </w:rPr>
        <w:t xml:space="preserve"> </w:t>
      </w:r>
      <w:r w:rsidRPr="00EC20A0">
        <w:rPr>
          <w:b/>
        </w:rPr>
        <w:t xml:space="preserve">(Note: </w:t>
      </w:r>
      <w:r w:rsidRPr="00EC20A0">
        <w:rPr>
          <w:b/>
          <w:u w:val="single"/>
        </w:rPr>
        <w:t>Update link as necessary.</w:t>
      </w:r>
      <w:r w:rsidRPr="00EC20A0">
        <w:rPr>
          <w:b/>
        </w:rPr>
        <w:t>)</w:t>
      </w:r>
    </w:p>
    <w:p w14:paraId="24D61F36" w14:textId="77777777" w:rsidR="00245300" w:rsidRPr="00EC20A0" w:rsidRDefault="00F17249">
      <w:pPr>
        <w:pStyle w:val="BodyText"/>
        <w:spacing w:before="239"/>
        <w:ind w:left="199" w:right="345"/>
      </w:pPr>
      <w:r w:rsidRPr="00EC20A0">
        <w:t xml:space="preserve">With respect to those matters that you have been engaged and to which you have devoted substantive attention on behalf of </w:t>
      </w:r>
      <w:r w:rsidRPr="00EC20A0">
        <w:rPr>
          <w:b/>
        </w:rPr>
        <w:t xml:space="preserve">[entity] </w:t>
      </w:r>
      <w:r w:rsidRPr="00EC20A0">
        <w:t>in the form of legal consultation or representation, please</w:t>
      </w:r>
      <w:r w:rsidRPr="00EC20A0">
        <w:rPr>
          <w:spacing w:val="-4"/>
        </w:rPr>
        <w:t xml:space="preserve"> </w:t>
      </w:r>
      <w:r w:rsidRPr="00EC20A0">
        <w:t>separately</w:t>
      </w:r>
      <w:r w:rsidRPr="00EC20A0">
        <w:rPr>
          <w:spacing w:val="-4"/>
        </w:rPr>
        <w:t xml:space="preserve"> </w:t>
      </w:r>
      <w:r w:rsidRPr="00EC20A0">
        <w:t>identify</w:t>
      </w:r>
      <w:r w:rsidRPr="00EC20A0">
        <w:rPr>
          <w:spacing w:val="-4"/>
        </w:rPr>
        <w:t xml:space="preserve"> </w:t>
      </w:r>
      <w:r w:rsidRPr="00EC20A0">
        <w:t>any</w:t>
      </w:r>
      <w:r w:rsidRPr="00EC20A0">
        <w:rPr>
          <w:spacing w:val="-3"/>
        </w:rPr>
        <w:t xml:space="preserve"> </w:t>
      </w:r>
      <w:r w:rsidRPr="00EC20A0">
        <w:t>pending</w:t>
      </w:r>
      <w:r w:rsidRPr="00EC20A0">
        <w:rPr>
          <w:spacing w:val="-4"/>
        </w:rPr>
        <w:t xml:space="preserve"> </w:t>
      </w:r>
      <w:r w:rsidRPr="00EC20A0">
        <w:t>or</w:t>
      </w:r>
      <w:r w:rsidRPr="00EC20A0">
        <w:rPr>
          <w:spacing w:val="-4"/>
        </w:rPr>
        <w:t xml:space="preserve"> </w:t>
      </w:r>
      <w:r w:rsidRPr="00EC20A0">
        <w:t>threatened</w:t>
      </w:r>
      <w:r w:rsidRPr="00EC20A0">
        <w:rPr>
          <w:spacing w:val="-4"/>
        </w:rPr>
        <w:t xml:space="preserve"> </w:t>
      </w:r>
      <w:r w:rsidRPr="00EC20A0">
        <w:t>litigation</w:t>
      </w:r>
      <w:r w:rsidRPr="00EC20A0">
        <w:rPr>
          <w:spacing w:val="-4"/>
        </w:rPr>
        <w:t xml:space="preserve"> </w:t>
      </w:r>
      <w:r w:rsidRPr="00EC20A0">
        <w:t>and</w:t>
      </w:r>
      <w:r w:rsidRPr="00EC20A0">
        <w:rPr>
          <w:spacing w:val="-4"/>
        </w:rPr>
        <w:t xml:space="preserve"> </w:t>
      </w:r>
      <w:r w:rsidRPr="00EC20A0">
        <w:t>unasserted</w:t>
      </w:r>
      <w:r w:rsidRPr="00EC20A0">
        <w:rPr>
          <w:spacing w:val="-4"/>
        </w:rPr>
        <w:t xml:space="preserve"> </w:t>
      </w:r>
      <w:r w:rsidRPr="00EC20A0">
        <w:t>claims,</w:t>
      </w:r>
      <w:r w:rsidRPr="00EC20A0">
        <w:rPr>
          <w:spacing w:val="-4"/>
        </w:rPr>
        <w:t xml:space="preserve"> </w:t>
      </w:r>
      <w:r w:rsidRPr="00EC20A0">
        <w:t>along</w:t>
      </w:r>
      <w:r w:rsidRPr="00EC20A0">
        <w:rPr>
          <w:spacing w:val="-4"/>
        </w:rPr>
        <w:t xml:space="preserve"> </w:t>
      </w:r>
      <w:r w:rsidRPr="00EC20A0">
        <w:t>with the name of the other governmental entity(s) that you believe to be defendants and responsible for any potential liability.</w:t>
      </w:r>
    </w:p>
    <w:p w14:paraId="24D61F37" w14:textId="77777777" w:rsidR="00245300" w:rsidRPr="00EC20A0" w:rsidRDefault="00F17249">
      <w:pPr>
        <w:pStyle w:val="BodyText"/>
        <w:spacing w:before="240"/>
        <w:ind w:left="199" w:right="345"/>
      </w:pPr>
      <w:r w:rsidRPr="00EC20A0">
        <w:t>Please</w:t>
      </w:r>
      <w:r w:rsidRPr="00EC20A0">
        <w:rPr>
          <w:spacing w:val="-3"/>
        </w:rPr>
        <w:t xml:space="preserve"> </w:t>
      </w:r>
      <w:r w:rsidRPr="00EC20A0">
        <w:t>specifically</w:t>
      </w:r>
      <w:r w:rsidRPr="00EC20A0">
        <w:rPr>
          <w:spacing w:val="-3"/>
        </w:rPr>
        <w:t xml:space="preserve"> </w:t>
      </w:r>
      <w:r w:rsidRPr="00EC20A0">
        <w:t>identify</w:t>
      </w:r>
      <w:r w:rsidRPr="00EC20A0">
        <w:rPr>
          <w:spacing w:val="-3"/>
        </w:rPr>
        <w:t xml:space="preserve"> </w:t>
      </w:r>
      <w:r w:rsidRPr="00EC20A0">
        <w:t>the</w:t>
      </w:r>
      <w:r w:rsidRPr="00EC20A0">
        <w:rPr>
          <w:spacing w:val="-3"/>
        </w:rPr>
        <w:t xml:space="preserve"> </w:t>
      </w:r>
      <w:r w:rsidRPr="00EC20A0">
        <w:t>nature</w:t>
      </w:r>
      <w:r w:rsidRPr="00EC20A0">
        <w:rPr>
          <w:spacing w:val="-4"/>
        </w:rPr>
        <w:t xml:space="preserve"> </w:t>
      </w:r>
      <w:r w:rsidRPr="00EC20A0">
        <w:t>of</w:t>
      </w:r>
      <w:r w:rsidRPr="00EC20A0">
        <w:rPr>
          <w:spacing w:val="-3"/>
        </w:rPr>
        <w:t xml:space="preserve"> </w:t>
      </w:r>
      <w:r w:rsidRPr="00EC20A0">
        <w:t>and</w:t>
      </w:r>
      <w:r w:rsidRPr="00EC20A0">
        <w:rPr>
          <w:spacing w:val="-3"/>
        </w:rPr>
        <w:t xml:space="preserve"> </w:t>
      </w:r>
      <w:r w:rsidRPr="00EC20A0">
        <w:t>reasons</w:t>
      </w:r>
      <w:r w:rsidRPr="00EC20A0">
        <w:rPr>
          <w:spacing w:val="-3"/>
        </w:rPr>
        <w:t xml:space="preserve"> </w:t>
      </w:r>
      <w:r w:rsidRPr="00EC20A0">
        <w:t>for</w:t>
      </w:r>
      <w:r w:rsidRPr="00EC20A0">
        <w:rPr>
          <w:spacing w:val="-3"/>
        </w:rPr>
        <w:t xml:space="preserve"> </w:t>
      </w:r>
      <w:r w:rsidRPr="00EC20A0">
        <w:t>any</w:t>
      </w:r>
      <w:r w:rsidRPr="00EC20A0">
        <w:rPr>
          <w:spacing w:val="-3"/>
        </w:rPr>
        <w:t xml:space="preserve"> </w:t>
      </w:r>
      <w:r w:rsidRPr="00EC20A0">
        <w:t>limitations</w:t>
      </w:r>
      <w:r w:rsidRPr="00EC20A0">
        <w:rPr>
          <w:spacing w:val="-3"/>
        </w:rPr>
        <w:t xml:space="preserve"> </w:t>
      </w:r>
      <w:r w:rsidRPr="00EC20A0">
        <w:t>in</w:t>
      </w:r>
      <w:r w:rsidRPr="00EC20A0">
        <w:rPr>
          <w:spacing w:val="-4"/>
        </w:rPr>
        <w:t xml:space="preserve"> </w:t>
      </w:r>
      <w:r w:rsidRPr="00EC20A0">
        <w:t>your</w:t>
      </w:r>
      <w:r w:rsidRPr="00EC20A0">
        <w:rPr>
          <w:spacing w:val="-3"/>
        </w:rPr>
        <w:t xml:space="preserve"> </w:t>
      </w:r>
      <w:r w:rsidRPr="00EC20A0">
        <w:t>response</w:t>
      </w:r>
      <w:r w:rsidRPr="00EC20A0">
        <w:rPr>
          <w:spacing w:val="-3"/>
        </w:rPr>
        <w:t xml:space="preserve"> </w:t>
      </w:r>
      <w:r w:rsidRPr="00EC20A0">
        <w:t>to</w:t>
      </w:r>
      <w:r w:rsidRPr="00EC20A0">
        <w:rPr>
          <w:spacing w:val="-3"/>
        </w:rPr>
        <w:t xml:space="preserve"> </w:t>
      </w:r>
      <w:r w:rsidRPr="00EC20A0">
        <w:t xml:space="preserve">this </w:t>
      </w:r>
      <w:r w:rsidRPr="00EC20A0">
        <w:rPr>
          <w:spacing w:val="-2"/>
        </w:rPr>
        <w:t>request.</w:t>
      </w:r>
    </w:p>
    <w:p w14:paraId="24D61F38" w14:textId="77777777" w:rsidR="00245300" w:rsidRPr="00EC20A0" w:rsidRDefault="00F17249">
      <w:pPr>
        <w:spacing w:before="240"/>
        <w:ind w:left="199" w:right="337"/>
      </w:pPr>
      <w:r w:rsidRPr="00EC20A0">
        <w:t xml:space="preserve">Please address your reply </w:t>
      </w:r>
      <w:r w:rsidRPr="00EC20A0">
        <w:rPr>
          <w:b/>
        </w:rPr>
        <w:t>to [Insert name, Director, GAO, or commensurate inspector general</w:t>
      </w:r>
      <w:r w:rsidRPr="00EC20A0">
        <w:rPr>
          <w:b/>
          <w:spacing w:val="-1"/>
        </w:rPr>
        <w:t xml:space="preserve"> </w:t>
      </w:r>
      <w:r w:rsidRPr="00EC20A0">
        <w:rPr>
          <w:b/>
        </w:rPr>
        <w:t>official]</w:t>
      </w:r>
      <w:r w:rsidRPr="00EC20A0">
        <w:t>,</w:t>
      </w:r>
      <w:r w:rsidRPr="00EC20A0">
        <w:rPr>
          <w:spacing w:val="-1"/>
        </w:rPr>
        <w:t xml:space="preserve"> </w:t>
      </w:r>
      <w:r w:rsidRPr="00EC20A0">
        <w:t>and</w:t>
      </w:r>
      <w:r w:rsidRPr="00EC20A0">
        <w:rPr>
          <w:spacing w:val="-1"/>
        </w:rPr>
        <w:t xml:space="preserve"> </w:t>
      </w:r>
      <w:r w:rsidRPr="00EC20A0">
        <w:t>contact</w:t>
      </w:r>
      <w:r w:rsidRPr="00EC20A0">
        <w:rPr>
          <w:spacing w:val="-1"/>
        </w:rPr>
        <w:t xml:space="preserve"> </w:t>
      </w:r>
      <w:r w:rsidRPr="00EC20A0">
        <w:rPr>
          <w:b/>
        </w:rPr>
        <w:t>[him/her]</w:t>
      </w:r>
      <w:r w:rsidRPr="00EC20A0">
        <w:rPr>
          <w:b/>
          <w:spacing w:val="-2"/>
        </w:rPr>
        <w:t xml:space="preserve"> </w:t>
      </w:r>
      <w:r w:rsidRPr="00EC20A0">
        <w:t>at</w:t>
      </w:r>
      <w:r w:rsidRPr="00EC20A0">
        <w:rPr>
          <w:spacing w:val="-1"/>
        </w:rPr>
        <w:t xml:space="preserve"> </w:t>
      </w:r>
      <w:r w:rsidRPr="00EC20A0">
        <w:rPr>
          <w:b/>
        </w:rPr>
        <w:t>[phone</w:t>
      </w:r>
      <w:r w:rsidRPr="00EC20A0">
        <w:rPr>
          <w:b/>
          <w:spacing w:val="-1"/>
        </w:rPr>
        <w:t xml:space="preserve"> </w:t>
      </w:r>
      <w:r w:rsidRPr="00EC20A0">
        <w:rPr>
          <w:b/>
        </w:rPr>
        <w:t>number]</w:t>
      </w:r>
      <w:r w:rsidRPr="00EC20A0">
        <w:t>,</w:t>
      </w:r>
      <w:r w:rsidRPr="00EC20A0">
        <w:rPr>
          <w:spacing w:val="-1"/>
        </w:rPr>
        <w:t xml:space="preserve"> </w:t>
      </w:r>
      <w:r w:rsidRPr="00EC20A0">
        <w:t>when</w:t>
      </w:r>
      <w:r w:rsidRPr="00EC20A0">
        <w:rPr>
          <w:spacing w:val="-1"/>
        </w:rPr>
        <w:t xml:space="preserve"> </w:t>
      </w:r>
      <w:r w:rsidRPr="00EC20A0">
        <w:t>your</w:t>
      </w:r>
      <w:r w:rsidRPr="00EC20A0">
        <w:rPr>
          <w:spacing w:val="-1"/>
        </w:rPr>
        <w:t xml:space="preserve"> </w:t>
      </w:r>
      <w:r w:rsidRPr="00EC20A0">
        <w:t>reply</w:t>
      </w:r>
      <w:r w:rsidRPr="00EC20A0">
        <w:rPr>
          <w:spacing w:val="-1"/>
        </w:rPr>
        <w:t xml:space="preserve"> </w:t>
      </w:r>
      <w:r w:rsidRPr="00EC20A0">
        <w:t>is</w:t>
      </w:r>
      <w:r w:rsidRPr="00EC20A0">
        <w:rPr>
          <w:spacing w:val="-1"/>
        </w:rPr>
        <w:t xml:space="preserve"> </w:t>
      </w:r>
      <w:r w:rsidRPr="00EC20A0">
        <w:t>available</w:t>
      </w:r>
      <w:r w:rsidRPr="00EC20A0">
        <w:rPr>
          <w:spacing w:val="-1"/>
        </w:rPr>
        <w:t xml:space="preserve"> </w:t>
      </w:r>
      <w:r w:rsidRPr="00EC20A0">
        <w:t>for pick</w:t>
      </w:r>
      <w:r w:rsidRPr="00EC20A0">
        <w:rPr>
          <w:spacing w:val="-2"/>
        </w:rPr>
        <w:t xml:space="preserve"> </w:t>
      </w:r>
      <w:r w:rsidRPr="00EC20A0">
        <w:t>up</w:t>
      </w:r>
      <w:r w:rsidRPr="00EC20A0">
        <w:rPr>
          <w:spacing w:val="-2"/>
        </w:rPr>
        <w:t xml:space="preserve"> </w:t>
      </w:r>
      <w:r w:rsidRPr="00EC20A0">
        <w:t>and</w:t>
      </w:r>
      <w:r w:rsidRPr="00EC20A0">
        <w:rPr>
          <w:spacing w:val="-3"/>
        </w:rPr>
        <w:t xml:space="preserve"> </w:t>
      </w:r>
      <w:r w:rsidRPr="00EC20A0">
        <w:t>send</w:t>
      </w:r>
      <w:r w:rsidRPr="00EC20A0">
        <w:rPr>
          <w:spacing w:val="-2"/>
        </w:rPr>
        <w:t xml:space="preserve"> </w:t>
      </w:r>
      <w:r w:rsidRPr="00EC20A0">
        <w:t>a</w:t>
      </w:r>
      <w:r w:rsidRPr="00EC20A0">
        <w:rPr>
          <w:spacing w:val="-2"/>
        </w:rPr>
        <w:t xml:space="preserve"> </w:t>
      </w:r>
      <w:r w:rsidRPr="00EC20A0">
        <w:t>copy</w:t>
      </w:r>
      <w:r w:rsidRPr="00EC20A0">
        <w:rPr>
          <w:spacing w:val="-3"/>
        </w:rPr>
        <w:t xml:space="preserve"> </w:t>
      </w:r>
      <w:r w:rsidRPr="00EC20A0">
        <w:t>of</w:t>
      </w:r>
      <w:r w:rsidRPr="00EC20A0">
        <w:rPr>
          <w:spacing w:val="-2"/>
        </w:rPr>
        <w:t xml:space="preserve"> </w:t>
      </w:r>
      <w:r w:rsidRPr="00EC20A0">
        <w:t>your</w:t>
      </w:r>
      <w:r w:rsidRPr="00EC20A0">
        <w:rPr>
          <w:spacing w:val="-2"/>
        </w:rPr>
        <w:t xml:space="preserve"> </w:t>
      </w:r>
      <w:r w:rsidRPr="00EC20A0">
        <w:t>reply</w:t>
      </w:r>
      <w:r w:rsidRPr="00EC20A0">
        <w:rPr>
          <w:spacing w:val="-2"/>
        </w:rPr>
        <w:t xml:space="preserve"> </w:t>
      </w:r>
      <w:r w:rsidRPr="00EC20A0">
        <w:t>to</w:t>
      </w:r>
      <w:r w:rsidRPr="00EC20A0">
        <w:rPr>
          <w:spacing w:val="-2"/>
        </w:rPr>
        <w:t xml:space="preserve"> </w:t>
      </w:r>
      <w:r w:rsidRPr="00EC20A0">
        <w:t>me.</w:t>
      </w:r>
      <w:r w:rsidRPr="00EC20A0">
        <w:rPr>
          <w:spacing w:val="-2"/>
        </w:rPr>
        <w:t xml:space="preserve"> </w:t>
      </w:r>
      <w:r w:rsidRPr="00EC20A0">
        <w:t>Do</w:t>
      </w:r>
      <w:r w:rsidRPr="00EC20A0">
        <w:rPr>
          <w:spacing w:val="-2"/>
        </w:rPr>
        <w:t xml:space="preserve"> </w:t>
      </w:r>
      <w:r w:rsidRPr="00EC20A0">
        <w:t>not</w:t>
      </w:r>
      <w:r w:rsidRPr="00EC20A0">
        <w:rPr>
          <w:spacing w:val="-2"/>
        </w:rPr>
        <w:t xml:space="preserve"> </w:t>
      </w:r>
      <w:r w:rsidRPr="00EC20A0">
        <w:t>hesitate</w:t>
      </w:r>
      <w:r w:rsidRPr="00EC20A0">
        <w:rPr>
          <w:spacing w:val="-3"/>
        </w:rPr>
        <w:t xml:space="preserve"> </w:t>
      </w:r>
      <w:r w:rsidRPr="00EC20A0">
        <w:t>to</w:t>
      </w:r>
      <w:r w:rsidRPr="00EC20A0">
        <w:rPr>
          <w:spacing w:val="-2"/>
        </w:rPr>
        <w:t xml:space="preserve"> </w:t>
      </w:r>
      <w:r w:rsidRPr="00EC20A0">
        <w:t>contact</w:t>
      </w:r>
      <w:r w:rsidRPr="00EC20A0">
        <w:rPr>
          <w:spacing w:val="-2"/>
        </w:rPr>
        <w:t xml:space="preserve"> </w:t>
      </w:r>
      <w:r w:rsidRPr="00EC20A0">
        <w:t>me</w:t>
      </w:r>
      <w:r w:rsidRPr="00EC20A0">
        <w:rPr>
          <w:spacing w:val="-2"/>
        </w:rPr>
        <w:t xml:space="preserve"> </w:t>
      </w:r>
      <w:r w:rsidRPr="00EC20A0">
        <w:t>or</w:t>
      </w:r>
      <w:r w:rsidRPr="00EC20A0">
        <w:rPr>
          <w:spacing w:val="-2"/>
        </w:rPr>
        <w:t xml:space="preserve"> </w:t>
      </w:r>
      <w:r w:rsidRPr="00EC20A0">
        <w:rPr>
          <w:b/>
        </w:rPr>
        <w:t>[auditor]</w:t>
      </w:r>
      <w:r w:rsidRPr="00EC20A0">
        <w:rPr>
          <w:b/>
          <w:spacing w:val="-2"/>
        </w:rPr>
        <w:t xml:space="preserve"> </w:t>
      </w:r>
      <w:r w:rsidRPr="00EC20A0">
        <w:t>if</w:t>
      </w:r>
      <w:r w:rsidRPr="00EC20A0">
        <w:rPr>
          <w:spacing w:val="-2"/>
        </w:rPr>
        <w:t xml:space="preserve"> </w:t>
      </w:r>
      <w:r w:rsidRPr="00EC20A0">
        <w:t>you have any questions about this request.</w:t>
      </w:r>
    </w:p>
    <w:p w14:paraId="24D61F39" w14:textId="77777777" w:rsidR="00245300" w:rsidRPr="00EC20A0" w:rsidRDefault="00245300">
      <w:pPr>
        <w:sectPr w:rsidR="00245300" w:rsidRPr="00EC20A0">
          <w:pgSz w:w="12240" w:h="15840"/>
          <w:pgMar w:top="1340" w:right="1100" w:bottom="940" w:left="1240" w:header="721" w:footer="757" w:gutter="0"/>
          <w:cols w:space="720"/>
        </w:sectPr>
      </w:pPr>
    </w:p>
    <w:p w14:paraId="24D61F3A" w14:textId="77777777" w:rsidR="00245300" w:rsidRPr="00EC20A0" w:rsidRDefault="00F17249">
      <w:pPr>
        <w:pStyle w:val="Heading3"/>
        <w:ind w:left="200"/>
        <w:rPr>
          <w:u w:val="none"/>
        </w:rPr>
      </w:pPr>
      <w:bookmarkStart w:id="406" w:name="1002_C_–_Example_Legal_Counsel_Response"/>
      <w:bookmarkStart w:id="407" w:name="_bookmark226"/>
      <w:bookmarkEnd w:id="406"/>
      <w:bookmarkEnd w:id="407"/>
      <w:r w:rsidRPr="00EC20A0">
        <w:t>1002</w:t>
      </w:r>
      <w:r w:rsidRPr="00EC20A0">
        <w:rPr>
          <w:spacing w:val="-5"/>
        </w:rPr>
        <w:t xml:space="preserve"> </w:t>
      </w:r>
      <w:r w:rsidRPr="00EC20A0">
        <w:t>C</w:t>
      </w:r>
      <w:r w:rsidRPr="00EC20A0">
        <w:rPr>
          <w:spacing w:val="-5"/>
        </w:rPr>
        <w:t xml:space="preserve"> </w:t>
      </w:r>
      <w:r w:rsidRPr="00EC20A0">
        <w:t>–</w:t>
      </w:r>
      <w:r w:rsidRPr="00EC20A0">
        <w:rPr>
          <w:spacing w:val="-3"/>
        </w:rPr>
        <w:t xml:space="preserve"> </w:t>
      </w:r>
      <w:r w:rsidRPr="00EC20A0">
        <w:t>Example</w:t>
      </w:r>
      <w:r w:rsidRPr="00EC20A0">
        <w:rPr>
          <w:spacing w:val="-2"/>
        </w:rPr>
        <w:t xml:space="preserve"> </w:t>
      </w:r>
      <w:r w:rsidRPr="00EC20A0">
        <w:t>Legal</w:t>
      </w:r>
      <w:r w:rsidRPr="00EC20A0">
        <w:rPr>
          <w:spacing w:val="-4"/>
        </w:rPr>
        <w:t xml:space="preserve"> </w:t>
      </w:r>
      <w:r w:rsidRPr="00EC20A0">
        <w:t>Counsel</w:t>
      </w:r>
      <w:r w:rsidRPr="00EC20A0">
        <w:rPr>
          <w:spacing w:val="-4"/>
        </w:rPr>
        <w:t xml:space="preserve"> </w:t>
      </w:r>
      <w:r w:rsidRPr="00EC20A0">
        <w:rPr>
          <w:spacing w:val="-2"/>
        </w:rPr>
        <w:t>Response</w:t>
      </w:r>
    </w:p>
    <w:p w14:paraId="24D61F3B" w14:textId="77777777" w:rsidR="00245300" w:rsidRPr="00EC20A0" w:rsidRDefault="00245300">
      <w:pPr>
        <w:pStyle w:val="BodyText"/>
        <w:spacing w:before="107"/>
        <w:rPr>
          <w:b/>
        </w:rPr>
      </w:pPr>
    </w:p>
    <w:p w14:paraId="24D61F3C" w14:textId="77777777" w:rsidR="00245300" w:rsidRPr="00EC20A0" w:rsidRDefault="00F17249">
      <w:pPr>
        <w:ind w:right="139"/>
        <w:jc w:val="center"/>
        <w:rPr>
          <w:b/>
        </w:rPr>
      </w:pPr>
      <w:r w:rsidRPr="00EC20A0">
        <w:rPr>
          <w:b/>
        </w:rPr>
        <w:t>[General</w:t>
      </w:r>
      <w:r w:rsidRPr="00EC20A0">
        <w:rPr>
          <w:b/>
          <w:spacing w:val="-10"/>
        </w:rPr>
        <w:t xml:space="preserve"> </w:t>
      </w:r>
      <w:r w:rsidRPr="00EC20A0">
        <w:rPr>
          <w:b/>
        </w:rPr>
        <w:t>Counsel</w:t>
      </w:r>
      <w:r w:rsidRPr="00EC20A0">
        <w:rPr>
          <w:b/>
          <w:spacing w:val="-9"/>
        </w:rPr>
        <w:t xml:space="preserve"> </w:t>
      </w:r>
      <w:r w:rsidRPr="00EC20A0">
        <w:rPr>
          <w:b/>
          <w:spacing w:val="-2"/>
        </w:rPr>
        <w:t>Letterhead]</w:t>
      </w:r>
    </w:p>
    <w:p w14:paraId="24D61F3D" w14:textId="77777777" w:rsidR="00245300" w:rsidRPr="00EC20A0" w:rsidRDefault="00F17249">
      <w:pPr>
        <w:spacing w:before="239"/>
        <w:ind w:left="200" w:right="8769"/>
        <w:rPr>
          <w:b/>
        </w:rPr>
      </w:pPr>
      <w:r w:rsidRPr="00EC20A0">
        <w:rPr>
          <w:b/>
          <w:spacing w:val="-2"/>
        </w:rPr>
        <w:t>[Date] [Auditor] [Title]</w:t>
      </w:r>
    </w:p>
    <w:p w14:paraId="24D61F3E" w14:textId="77777777" w:rsidR="00245300" w:rsidRPr="00EC20A0" w:rsidRDefault="00F17249">
      <w:pPr>
        <w:spacing w:before="1"/>
        <w:ind w:left="200" w:right="7141" w:hanging="1"/>
        <w:rPr>
          <w:b/>
        </w:rPr>
      </w:pPr>
      <w:r w:rsidRPr="00EC20A0">
        <w:rPr>
          <w:b/>
        </w:rPr>
        <w:t>[Entity</w:t>
      </w:r>
      <w:r w:rsidRPr="00EC20A0">
        <w:rPr>
          <w:b/>
          <w:spacing w:val="-13"/>
        </w:rPr>
        <w:t xml:space="preserve"> </w:t>
      </w:r>
      <w:r w:rsidRPr="00EC20A0">
        <w:rPr>
          <w:b/>
        </w:rPr>
        <w:t>or</w:t>
      </w:r>
      <w:r w:rsidRPr="00EC20A0">
        <w:rPr>
          <w:b/>
          <w:spacing w:val="-13"/>
        </w:rPr>
        <w:t xml:space="preserve"> </w:t>
      </w:r>
      <w:r w:rsidRPr="00EC20A0">
        <w:rPr>
          <w:b/>
        </w:rPr>
        <w:t>Firm</w:t>
      </w:r>
      <w:r w:rsidRPr="00EC20A0">
        <w:rPr>
          <w:b/>
          <w:spacing w:val="-13"/>
        </w:rPr>
        <w:t xml:space="preserve"> </w:t>
      </w:r>
      <w:r w:rsidRPr="00EC20A0">
        <w:rPr>
          <w:b/>
        </w:rPr>
        <w:t xml:space="preserve">Name] </w:t>
      </w:r>
      <w:r w:rsidRPr="00EC20A0">
        <w:rPr>
          <w:b/>
          <w:spacing w:val="-2"/>
        </w:rPr>
        <w:t>[City]</w:t>
      </w:r>
    </w:p>
    <w:p w14:paraId="24D61F3F" w14:textId="77777777" w:rsidR="00245300" w:rsidRPr="00EC20A0" w:rsidRDefault="00F17249">
      <w:pPr>
        <w:pStyle w:val="BodyText"/>
        <w:spacing w:before="239"/>
        <w:ind w:left="200" w:right="345"/>
        <w:rPr>
          <w:b/>
        </w:rPr>
      </w:pPr>
      <w:r w:rsidRPr="00EC20A0">
        <w:t>Subject:</w:t>
      </w:r>
      <w:r w:rsidRPr="00EC20A0">
        <w:rPr>
          <w:spacing w:val="-4"/>
        </w:rPr>
        <w:t xml:space="preserve"> </w:t>
      </w:r>
      <w:r w:rsidRPr="00EC20A0">
        <w:t>Legal</w:t>
      </w:r>
      <w:r w:rsidRPr="00EC20A0">
        <w:rPr>
          <w:spacing w:val="-4"/>
        </w:rPr>
        <w:t xml:space="preserve"> </w:t>
      </w:r>
      <w:r w:rsidRPr="00EC20A0">
        <w:t>Counsel</w:t>
      </w:r>
      <w:r w:rsidRPr="00EC20A0">
        <w:rPr>
          <w:spacing w:val="-5"/>
        </w:rPr>
        <w:t xml:space="preserve"> </w:t>
      </w:r>
      <w:r w:rsidRPr="00EC20A0">
        <w:t>Response</w:t>
      </w:r>
      <w:r w:rsidRPr="00EC20A0">
        <w:rPr>
          <w:spacing w:val="-4"/>
        </w:rPr>
        <w:t xml:space="preserve"> </w:t>
      </w:r>
      <w:r w:rsidRPr="00EC20A0">
        <w:t>in</w:t>
      </w:r>
      <w:r w:rsidRPr="00EC20A0">
        <w:rPr>
          <w:spacing w:val="-5"/>
        </w:rPr>
        <w:t xml:space="preserve"> </w:t>
      </w:r>
      <w:r w:rsidRPr="00EC20A0">
        <w:t>Connection</w:t>
      </w:r>
      <w:r w:rsidRPr="00EC20A0">
        <w:rPr>
          <w:spacing w:val="-5"/>
        </w:rPr>
        <w:t xml:space="preserve"> </w:t>
      </w:r>
      <w:r w:rsidRPr="00EC20A0">
        <w:t>with</w:t>
      </w:r>
      <w:r w:rsidRPr="00EC20A0">
        <w:rPr>
          <w:spacing w:val="-4"/>
        </w:rPr>
        <w:t xml:space="preserve"> </w:t>
      </w:r>
      <w:r w:rsidRPr="00EC20A0">
        <w:t>the</w:t>
      </w:r>
      <w:r w:rsidRPr="00EC20A0">
        <w:rPr>
          <w:spacing w:val="-4"/>
        </w:rPr>
        <w:t xml:space="preserve"> </w:t>
      </w:r>
      <w:r w:rsidRPr="00EC20A0">
        <w:t>20XX</w:t>
      </w:r>
      <w:r w:rsidRPr="00EC20A0">
        <w:rPr>
          <w:spacing w:val="-4"/>
        </w:rPr>
        <w:t xml:space="preserve"> </w:t>
      </w:r>
      <w:r w:rsidRPr="00EC20A0">
        <w:t>and</w:t>
      </w:r>
      <w:r w:rsidRPr="00EC20A0">
        <w:rPr>
          <w:spacing w:val="-4"/>
        </w:rPr>
        <w:t xml:space="preserve"> </w:t>
      </w:r>
      <w:r w:rsidRPr="00EC20A0">
        <w:t>20XX</w:t>
      </w:r>
      <w:r w:rsidRPr="00EC20A0">
        <w:rPr>
          <w:spacing w:val="-4"/>
        </w:rPr>
        <w:t xml:space="preserve"> </w:t>
      </w:r>
      <w:r w:rsidRPr="00EC20A0">
        <w:t>Financial</w:t>
      </w:r>
      <w:r w:rsidRPr="00EC20A0">
        <w:rPr>
          <w:spacing w:val="-5"/>
        </w:rPr>
        <w:t xml:space="preserve"> </w:t>
      </w:r>
      <w:r w:rsidRPr="00EC20A0">
        <w:t xml:space="preserve">Statement Audits of </w:t>
      </w:r>
      <w:r w:rsidRPr="00EC20A0">
        <w:rPr>
          <w:b/>
        </w:rPr>
        <w:t>[Entity]</w:t>
      </w:r>
    </w:p>
    <w:p w14:paraId="24D61F40" w14:textId="77777777" w:rsidR="00245300" w:rsidRPr="00EC20A0" w:rsidRDefault="00F17249">
      <w:pPr>
        <w:spacing w:before="241"/>
        <w:ind w:left="200"/>
      </w:pPr>
      <w:r w:rsidRPr="00EC20A0">
        <w:t>Dear</w:t>
      </w:r>
      <w:r w:rsidRPr="00EC20A0">
        <w:rPr>
          <w:spacing w:val="-6"/>
        </w:rPr>
        <w:t xml:space="preserve"> </w:t>
      </w:r>
      <w:r w:rsidRPr="00EC20A0">
        <w:rPr>
          <w:b/>
          <w:spacing w:val="-2"/>
        </w:rPr>
        <w:t>[Auditor]</w:t>
      </w:r>
      <w:r w:rsidRPr="00EC20A0">
        <w:rPr>
          <w:spacing w:val="-2"/>
        </w:rPr>
        <w:t>:</w:t>
      </w:r>
    </w:p>
    <w:p w14:paraId="24D61F41" w14:textId="77777777" w:rsidR="00245300" w:rsidRPr="00EC20A0" w:rsidRDefault="00F17249">
      <w:pPr>
        <w:spacing w:before="240"/>
        <w:ind w:left="200" w:right="337"/>
        <w:rPr>
          <w:b/>
        </w:rPr>
      </w:pPr>
      <w:r w:rsidRPr="00EC20A0">
        <w:t xml:space="preserve">As General Counsel of </w:t>
      </w:r>
      <w:r w:rsidRPr="00EC20A0">
        <w:rPr>
          <w:b/>
        </w:rPr>
        <w:t>[Entity]</w:t>
      </w:r>
      <w:r w:rsidRPr="00EC20A0">
        <w:t xml:space="preserve">, I am writing in response to the legal counsel request from </w:t>
      </w:r>
      <w:r w:rsidRPr="00EC20A0">
        <w:rPr>
          <w:b/>
        </w:rPr>
        <w:t>[Entity]</w:t>
      </w:r>
      <w:r w:rsidRPr="00EC20A0">
        <w:t>’s</w:t>
      </w:r>
      <w:r w:rsidRPr="00EC20A0">
        <w:rPr>
          <w:spacing w:val="-3"/>
        </w:rPr>
        <w:t xml:space="preserve"> </w:t>
      </w:r>
      <w:r w:rsidRPr="00EC20A0">
        <w:t>Chief</w:t>
      </w:r>
      <w:r w:rsidRPr="00EC20A0">
        <w:rPr>
          <w:spacing w:val="-3"/>
        </w:rPr>
        <w:t xml:space="preserve"> </w:t>
      </w:r>
      <w:r w:rsidRPr="00EC20A0">
        <w:t>Financial</w:t>
      </w:r>
      <w:r w:rsidRPr="00EC20A0">
        <w:rPr>
          <w:spacing w:val="-3"/>
        </w:rPr>
        <w:t xml:space="preserve"> </w:t>
      </w:r>
      <w:r w:rsidRPr="00EC20A0">
        <w:t>Officer</w:t>
      </w:r>
      <w:r w:rsidRPr="00EC20A0">
        <w:rPr>
          <w:spacing w:val="-3"/>
        </w:rPr>
        <w:t xml:space="preserve"> </w:t>
      </w:r>
      <w:r w:rsidRPr="00EC20A0">
        <w:t>(CFO)</w:t>
      </w:r>
      <w:r w:rsidRPr="00EC20A0">
        <w:rPr>
          <w:spacing w:val="-3"/>
        </w:rPr>
        <w:t xml:space="preserve"> </w:t>
      </w:r>
      <w:r w:rsidRPr="00EC20A0">
        <w:t>dated</w:t>
      </w:r>
      <w:r w:rsidRPr="00EC20A0">
        <w:rPr>
          <w:spacing w:val="-3"/>
        </w:rPr>
        <w:t xml:space="preserve"> </w:t>
      </w:r>
      <w:r w:rsidRPr="00EC20A0">
        <w:rPr>
          <w:b/>
        </w:rPr>
        <w:t>[date]</w:t>
      </w:r>
      <w:r w:rsidRPr="00EC20A0">
        <w:t>,</w:t>
      </w:r>
      <w:r w:rsidRPr="00EC20A0">
        <w:rPr>
          <w:spacing w:val="-3"/>
        </w:rPr>
        <w:t xml:space="preserve"> </w:t>
      </w:r>
      <w:r w:rsidRPr="00EC20A0">
        <w:t>in</w:t>
      </w:r>
      <w:r w:rsidRPr="00EC20A0">
        <w:rPr>
          <w:spacing w:val="-3"/>
        </w:rPr>
        <w:t xml:space="preserve"> </w:t>
      </w:r>
      <w:r w:rsidRPr="00EC20A0">
        <w:t>connection</w:t>
      </w:r>
      <w:r w:rsidRPr="00EC20A0">
        <w:rPr>
          <w:spacing w:val="-3"/>
        </w:rPr>
        <w:t xml:space="preserve"> </w:t>
      </w:r>
      <w:r w:rsidRPr="00EC20A0">
        <w:t>with</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of</w:t>
      </w:r>
      <w:r w:rsidRPr="00EC20A0">
        <w:rPr>
          <w:spacing w:val="-3"/>
        </w:rPr>
        <w:t xml:space="preserve"> </w:t>
      </w:r>
      <w:r w:rsidRPr="00EC20A0">
        <w:rPr>
          <w:b/>
        </w:rPr>
        <w:t>[Entity]</w:t>
      </w:r>
      <w:r w:rsidRPr="00EC20A0">
        <w:t xml:space="preserve">’s financial statements as of and for the years ended September 30, 20XX, and 20XX. </w:t>
      </w:r>
      <w:r w:rsidRPr="00EC20A0">
        <w:rPr>
          <w:b/>
        </w:rPr>
        <w:t>[In an interim response, add “I will, as further requested by the CFO, provide an updated response by [date].”]</w:t>
      </w:r>
    </w:p>
    <w:p w14:paraId="24D61F42" w14:textId="77777777" w:rsidR="00245300" w:rsidRPr="00EC20A0" w:rsidRDefault="00F17249">
      <w:pPr>
        <w:spacing w:before="240"/>
        <w:ind w:left="200" w:right="384"/>
      </w:pPr>
      <w:r w:rsidRPr="00EC20A0">
        <w:t xml:space="preserve">I call your attention to the fact that as General Counsel for </w:t>
      </w:r>
      <w:r w:rsidRPr="00EC20A0">
        <w:rPr>
          <w:b/>
        </w:rPr>
        <w:t>[Entity]</w:t>
      </w:r>
      <w:r w:rsidRPr="00EC20A0">
        <w:t xml:space="preserve">, I have general supervision of </w:t>
      </w:r>
      <w:r w:rsidRPr="00EC20A0">
        <w:rPr>
          <w:b/>
        </w:rPr>
        <w:t>[Entity]</w:t>
      </w:r>
      <w:r w:rsidRPr="00EC20A0">
        <w:t xml:space="preserve">’s legal affairs. </w:t>
      </w:r>
      <w:r w:rsidRPr="00EC20A0">
        <w:rPr>
          <w:b/>
        </w:rPr>
        <w:t>[If the general legal supervisory responsibilities of the person signing</w:t>
      </w:r>
      <w:r w:rsidRPr="00EC20A0">
        <w:rPr>
          <w:b/>
          <w:spacing w:val="-3"/>
        </w:rPr>
        <w:t xml:space="preserve"> </w:t>
      </w:r>
      <w:r w:rsidRPr="00EC20A0">
        <w:rPr>
          <w:b/>
        </w:rPr>
        <w:t>the</w:t>
      </w:r>
      <w:r w:rsidRPr="00EC20A0">
        <w:rPr>
          <w:b/>
          <w:spacing w:val="-3"/>
        </w:rPr>
        <w:t xml:space="preserve"> </w:t>
      </w:r>
      <w:r w:rsidRPr="00EC20A0">
        <w:rPr>
          <w:b/>
        </w:rPr>
        <w:t>response</w:t>
      </w:r>
      <w:r w:rsidRPr="00EC20A0">
        <w:rPr>
          <w:b/>
          <w:spacing w:val="-3"/>
        </w:rPr>
        <w:t xml:space="preserve"> </w:t>
      </w:r>
      <w:r w:rsidRPr="00EC20A0">
        <w:rPr>
          <w:b/>
        </w:rPr>
        <w:t>letter</w:t>
      </w:r>
      <w:r w:rsidRPr="00EC20A0">
        <w:rPr>
          <w:b/>
          <w:spacing w:val="-4"/>
        </w:rPr>
        <w:t xml:space="preserve"> </w:t>
      </w:r>
      <w:r w:rsidRPr="00EC20A0">
        <w:rPr>
          <w:b/>
        </w:rPr>
        <w:t>are</w:t>
      </w:r>
      <w:r w:rsidRPr="00EC20A0">
        <w:rPr>
          <w:b/>
          <w:spacing w:val="-3"/>
        </w:rPr>
        <w:t xml:space="preserve"> </w:t>
      </w:r>
      <w:r w:rsidRPr="00EC20A0">
        <w:rPr>
          <w:b/>
        </w:rPr>
        <w:t>limited,</w:t>
      </w:r>
      <w:r w:rsidRPr="00EC20A0">
        <w:rPr>
          <w:b/>
          <w:spacing w:val="-3"/>
        </w:rPr>
        <w:t xml:space="preserve"> </w:t>
      </w:r>
      <w:r w:rsidRPr="00EC20A0">
        <w:rPr>
          <w:b/>
        </w:rPr>
        <w:t>set</w:t>
      </w:r>
      <w:r w:rsidRPr="00EC20A0">
        <w:rPr>
          <w:b/>
          <w:spacing w:val="-3"/>
        </w:rPr>
        <w:t xml:space="preserve"> </w:t>
      </w:r>
      <w:r w:rsidRPr="00EC20A0">
        <w:rPr>
          <w:b/>
        </w:rPr>
        <w:t>forth</w:t>
      </w:r>
      <w:r w:rsidRPr="00EC20A0">
        <w:rPr>
          <w:b/>
          <w:spacing w:val="-3"/>
        </w:rPr>
        <w:t xml:space="preserve"> </w:t>
      </w:r>
      <w:r w:rsidRPr="00EC20A0">
        <w:rPr>
          <w:b/>
        </w:rPr>
        <w:t>a</w:t>
      </w:r>
      <w:r w:rsidRPr="00EC20A0">
        <w:rPr>
          <w:b/>
          <w:spacing w:val="-3"/>
        </w:rPr>
        <w:t xml:space="preserve"> </w:t>
      </w:r>
      <w:r w:rsidRPr="00EC20A0">
        <w:rPr>
          <w:b/>
        </w:rPr>
        <w:t>clear</w:t>
      </w:r>
      <w:r w:rsidRPr="00EC20A0">
        <w:rPr>
          <w:b/>
          <w:spacing w:val="-4"/>
        </w:rPr>
        <w:t xml:space="preserve"> </w:t>
      </w:r>
      <w:r w:rsidRPr="00EC20A0">
        <w:rPr>
          <w:b/>
        </w:rPr>
        <w:t>description</w:t>
      </w:r>
      <w:r w:rsidRPr="00EC20A0">
        <w:rPr>
          <w:b/>
          <w:spacing w:val="-3"/>
        </w:rPr>
        <w:t xml:space="preserve"> </w:t>
      </w:r>
      <w:r w:rsidRPr="00EC20A0">
        <w:rPr>
          <w:b/>
        </w:rPr>
        <w:t>of</w:t>
      </w:r>
      <w:r w:rsidRPr="00EC20A0">
        <w:rPr>
          <w:b/>
          <w:spacing w:val="-3"/>
        </w:rPr>
        <w:t xml:space="preserve"> </w:t>
      </w:r>
      <w:r w:rsidRPr="00EC20A0">
        <w:rPr>
          <w:b/>
        </w:rPr>
        <w:t>those</w:t>
      </w:r>
      <w:r w:rsidRPr="00EC20A0">
        <w:rPr>
          <w:b/>
          <w:spacing w:val="-3"/>
        </w:rPr>
        <w:t xml:space="preserve"> </w:t>
      </w:r>
      <w:r w:rsidRPr="00EC20A0">
        <w:rPr>
          <w:b/>
        </w:rPr>
        <w:t>legal</w:t>
      </w:r>
      <w:r w:rsidRPr="00EC20A0">
        <w:rPr>
          <w:b/>
          <w:spacing w:val="-3"/>
        </w:rPr>
        <w:t xml:space="preserve"> </w:t>
      </w:r>
      <w:r w:rsidRPr="00EC20A0">
        <w:rPr>
          <w:b/>
        </w:rPr>
        <w:t xml:space="preserve">matters over which the signer exercises general supervision, indicating exceptions to such supervision and situations where the auditor may primarily rely on other sources.] </w:t>
      </w:r>
      <w:r w:rsidRPr="00EC20A0">
        <w:t xml:space="preserve">In such capacity, I have reviewed litigation, claims, and assessments threatened or asserted involving </w:t>
      </w:r>
      <w:r w:rsidRPr="00EC20A0">
        <w:rPr>
          <w:b/>
        </w:rPr>
        <w:t xml:space="preserve">[Entity] </w:t>
      </w:r>
      <w:r w:rsidRPr="00EC20A0">
        <w:t>and have consulted with external legal counsel about them when I have deemed it appropriate.</w:t>
      </w:r>
    </w:p>
    <w:p w14:paraId="24D61F43" w14:textId="77777777" w:rsidR="00245300" w:rsidRPr="00EC20A0" w:rsidRDefault="00F17249">
      <w:pPr>
        <w:spacing w:before="239"/>
        <w:ind w:left="200" w:right="397"/>
      </w:pPr>
      <w:r w:rsidRPr="00EC20A0">
        <w:t>Subject</w:t>
      </w:r>
      <w:r w:rsidRPr="00EC20A0">
        <w:rPr>
          <w:spacing w:val="-2"/>
        </w:rPr>
        <w:t xml:space="preserve"> </w:t>
      </w:r>
      <w:r w:rsidRPr="00EC20A0">
        <w:t>to</w:t>
      </w:r>
      <w:r w:rsidRPr="00EC20A0">
        <w:rPr>
          <w:spacing w:val="-2"/>
        </w:rPr>
        <w:t xml:space="preserve"> </w:t>
      </w:r>
      <w:r w:rsidRPr="00EC20A0">
        <w:t>the</w:t>
      </w:r>
      <w:r w:rsidRPr="00EC20A0">
        <w:rPr>
          <w:spacing w:val="-2"/>
        </w:rPr>
        <w:t xml:space="preserve"> </w:t>
      </w:r>
      <w:r w:rsidRPr="00EC20A0">
        <w:t>foregoing</w:t>
      </w:r>
      <w:r w:rsidRPr="00EC20A0">
        <w:rPr>
          <w:spacing w:val="-3"/>
        </w:rPr>
        <w:t xml:space="preserve"> </w:t>
      </w:r>
      <w:r w:rsidRPr="00EC20A0">
        <w:t>and</w:t>
      </w:r>
      <w:r w:rsidRPr="00EC20A0">
        <w:rPr>
          <w:spacing w:val="-2"/>
        </w:rPr>
        <w:t xml:space="preserve"> </w:t>
      </w:r>
      <w:r w:rsidRPr="00EC20A0">
        <w:t>to</w:t>
      </w:r>
      <w:r w:rsidRPr="00EC20A0">
        <w:rPr>
          <w:spacing w:val="-2"/>
        </w:rPr>
        <w:t xml:space="preserve"> </w:t>
      </w:r>
      <w:r w:rsidRPr="00EC20A0">
        <w:t>the</w:t>
      </w:r>
      <w:r w:rsidRPr="00EC20A0">
        <w:rPr>
          <w:spacing w:val="-1"/>
        </w:rPr>
        <w:t xml:space="preserve"> </w:t>
      </w:r>
      <w:r w:rsidRPr="00EC20A0">
        <w:t>last</w:t>
      </w:r>
      <w:r w:rsidRPr="00EC20A0">
        <w:rPr>
          <w:spacing w:val="-2"/>
        </w:rPr>
        <w:t xml:space="preserve"> </w:t>
      </w:r>
      <w:r w:rsidRPr="00EC20A0">
        <w:t>paragraph</w:t>
      </w:r>
      <w:r w:rsidRPr="00EC20A0">
        <w:rPr>
          <w:spacing w:val="-2"/>
        </w:rPr>
        <w:t xml:space="preserve"> </w:t>
      </w:r>
      <w:r w:rsidRPr="00EC20A0">
        <w:t>of</w:t>
      </w:r>
      <w:r w:rsidRPr="00EC20A0">
        <w:rPr>
          <w:spacing w:val="-2"/>
        </w:rPr>
        <w:t xml:space="preserve"> </w:t>
      </w:r>
      <w:r w:rsidRPr="00EC20A0">
        <w:t>this</w:t>
      </w:r>
      <w:r w:rsidRPr="00EC20A0">
        <w:rPr>
          <w:spacing w:val="-2"/>
        </w:rPr>
        <w:t xml:space="preserve"> </w:t>
      </w:r>
      <w:r w:rsidRPr="00EC20A0">
        <w:t>response</w:t>
      </w:r>
      <w:r w:rsidRPr="00EC20A0">
        <w:rPr>
          <w:spacing w:val="-2"/>
        </w:rPr>
        <w:t xml:space="preserve"> </w:t>
      </w:r>
      <w:r w:rsidRPr="00EC20A0">
        <w:t>letter,</w:t>
      </w:r>
      <w:r w:rsidRPr="00EC20A0">
        <w:rPr>
          <w:spacing w:val="-4"/>
        </w:rPr>
        <w:t xml:space="preserve"> </w:t>
      </w:r>
      <w:r w:rsidRPr="00EC20A0">
        <w:t>I</w:t>
      </w:r>
      <w:r w:rsidRPr="00EC20A0">
        <w:rPr>
          <w:spacing w:val="-2"/>
        </w:rPr>
        <w:t xml:space="preserve"> </w:t>
      </w:r>
      <w:r w:rsidRPr="00EC20A0">
        <w:t>advise</w:t>
      </w:r>
      <w:r w:rsidRPr="00EC20A0">
        <w:rPr>
          <w:spacing w:val="-3"/>
        </w:rPr>
        <w:t xml:space="preserve"> </w:t>
      </w:r>
      <w:r w:rsidRPr="00EC20A0">
        <w:t>you</w:t>
      </w:r>
      <w:r w:rsidRPr="00EC20A0">
        <w:rPr>
          <w:spacing w:val="-2"/>
        </w:rPr>
        <w:t xml:space="preserve"> </w:t>
      </w:r>
      <w:r w:rsidRPr="00EC20A0">
        <w:t>that</w:t>
      </w:r>
      <w:r w:rsidRPr="00EC20A0">
        <w:rPr>
          <w:spacing w:val="-2"/>
        </w:rPr>
        <w:t xml:space="preserve"> </w:t>
      </w:r>
      <w:r w:rsidRPr="00EC20A0">
        <w:t xml:space="preserve">since [insert date of beginning of period under audit] neither I, nor any of the lawyers over whom I exercise general legal supervision, have given substantive attention to or represented </w:t>
      </w:r>
      <w:r w:rsidRPr="00EC20A0">
        <w:rPr>
          <w:b/>
        </w:rPr>
        <w:t xml:space="preserve">[Entity] </w:t>
      </w:r>
      <w:r w:rsidRPr="00EC20A0">
        <w:t xml:space="preserve">in connection with (1) loss contingencies </w:t>
      </w:r>
      <w:r w:rsidRPr="00EC20A0">
        <w:rPr>
          <w:b/>
        </w:rPr>
        <w:t>[over the amount of (state the legal counsel materiality</w:t>
      </w:r>
      <w:r w:rsidRPr="00EC20A0">
        <w:rPr>
          <w:b/>
          <w:spacing w:val="-3"/>
        </w:rPr>
        <w:t xml:space="preserve"> </w:t>
      </w:r>
      <w:r w:rsidRPr="00EC20A0">
        <w:rPr>
          <w:b/>
        </w:rPr>
        <w:t>agreed</w:t>
      </w:r>
      <w:r w:rsidRPr="00EC20A0">
        <w:rPr>
          <w:b/>
          <w:spacing w:val="-3"/>
        </w:rPr>
        <w:t xml:space="preserve"> </w:t>
      </w:r>
      <w:r w:rsidRPr="00EC20A0">
        <w:rPr>
          <w:b/>
        </w:rPr>
        <w:t>to</w:t>
      </w:r>
      <w:r w:rsidRPr="00EC20A0">
        <w:rPr>
          <w:b/>
          <w:spacing w:val="-3"/>
        </w:rPr>
        <w:t xml:space="preserve"> </w:t>
      </w:r>
      <w:r w:rsidRPr="00EC20A0">
        <w:rPr>
          <w:b/>
        </w:rPr>
        <w:t>with</w:t>
      </w:r>
      <w:r w:rsidRPr="00EC20A0">
        <w:rPr>
          <w:b/>
          <w:spacing w:val="-3"/>
        </w:rPr>
        <w:t xml:space="preserve"> </w:t>
      </w:r>
      <w:r w:rsidRPr="00EC20A0">
        <w:rPr>
          <w:b/>
        </w:rPr>
        <w:t>auditor</w:t>
      </w:r>
      <w:r w:rsidRPr="00EC20A0">
        <w:rPr>
          <w:b/>
          <w:spacing w:val="-4"/>
        </w:rPr>
        <w:t xml:space="preserve"> </w:t>
      </w:r>
      <w:r w:rsidRPr="00EC20A0">
        <w:rPr>
          <w:b/>
        </w:rPr>
        <w:t>and</w:t>
      </w:r>
      <w:r w:rsidRPr="00EC20A0">
        <w:rPr>
          <w:b/>
          <w:spacing w:val="-3"/>
        </w:rPr>
        <w:t xml:space="preserve"> </w:t>
      </w:r>
      <w:r w:rsidRPr="00EC20A0">
        <w:rPr>
          <w:b/>
        </w:rPr>
        <w:t>stated</w:t>
      </w:r>
      <w:r w:rsidRPr="00EC20A0">
        <w:rPr>
          <w:b/>
          <w:spacing w:val="-3"/>
        </w:rPr>
        <w:t xml:space="preserve"> </w:t>
      </w:r>
      <w:r w:rsidRPr="00EC20A0">
        <w:rPr>
          <w:b/>
        </w:rPr>
        <w:t>in</w:t>
      </w:r>
      <w:r w:rsidRPr="00EC20A0">
        <w:rPr>
          <w:b/>
          <w:spacing w:val="-3"/>
        </w:rPr>
        <w:t xml:space="preserve"> </w:t>
      </w:r>
      <w:r w:rsidRPr="00EC20A0">
        <w:rPr>
          <w:b/>
        </w:rPr>
        <w:t>the</w:t>
      </w:r>
      <w:r w:rsidRPr="00EC20A0">
        <w:rPr>
          <w:b/>
          <w:spacing w:val="-3"/>
        </w:rPr>
        <w:t xml:space="preserve"> </w:t>
      </w:r>
      <w:r w:rsidRPr="00EC20A0">
        <w:rPr>
          <w:b/>
        </w:rPr>
        <w:t>legal</w:t>
      </w:r>
      <w:r w:rsidRPr="00EC20A0">
        <w:rPr>
          <w:b/>
          <w:spacing w:val="-3"/>
        </w:rPr>
        <w:t xml:space="preserve"> </w:t>
      </w:r>
      <w:r w:rsidRPr="00EC20A0">
        <w:rPr>
          <w:b/>
        </w:rPr>
        <w:t>counsel</w:t>
      </w:r>
      <w:r w:rsidRPr="00EC20A0">
        <w:rPr>
          <w:b/>
          <w:spacing w:val="-3"/>
        </w:rPr>
        <w:t xml:space="preserve"> </w:t>
      </w:r>
      <w:r w:rsidRPr="00EC20A0">
        <w:rPr>
          <w:b/>
        </w:rPr>
        <w:t>request,</w:t>
      </w:r>
      <w:r w:rsidRPr="00EC20A0">
        <w:rPr>
          <w:b/>
          <w:spacing w:val="-3"/>
        </w:rPr>
        <w:t xml:space="preserve"> </w:t>
      </w:r>
      <w:r w:rsidRPr="00EC20A0">
        <w:rPr>
          <w:b/>
        </w:rPr>
        <w:t>for</w:t>
      </w:r>
      <w:r w:rsidRPr="00EC20A0">
        <w:rPr>
          <w:b/>
          <w:spacing w:val="-4"/>
        </w:rPr>
        <w:t xml:space="preserve"> </w:t>
      </w:r>
      <w:r w:rsidRPr="00EC20A0">
        <w:rPr>
          <w:b/>
        </w:rPr>
        <w:t>example,</w:t>
      </w:r>
      <w:r w:rsidRPr="00EC20A0">
        <w:rPr>
          <w:b/>
          <w:spacing w:val="-3"/>
        </w:rPr>
        <w:t xml:space="preserve"> </w:t>
      </w:r>
      <w:r w:rsidRPr="00EC20A0">
        <w:rPr>
          <w:b/>
        </w:rPr>
        <w:t>$1 million for cases listed individually or in the a</w:t>
      </w:r>
      <w:r w:rsidRPr="00EC20A0">
        <w:rPr>
          <w:b/>
        </w:rPr>
        <w:t>ggregate for similar cases)]</w:t>
      </w:r>
      <w:r w:rsidRPr="00EC20A0">
        <w:t xml:space="preserve">, or (2) loss contingencies that are less than or equal to </w:t>
      </w:r>
      <w:r w:rsidRPr="00EC20A0">
        <w:rPr>
          <w:b/>
        </w:rPr>
        <w:t xml:space="preserve">[for example, $1 million] </w:t>
      </w:r>
      <w:r w:rsidRPr="00EC20A0">
        <w:t xml:space="preserve">but in the aggregate exceed </w:t>
      </w:r>
      <w:r w:rsidRPr="00EC20A0">
        <w:rPr>
          <w:b/>
        </w:rPr>
        <w:t xml:space="preserve">[for example, $5 million for cases not listed individually or as part of similar cases] </w:t>
      </w:r>
      <w:r w:rsidRPr="00EC20A0">
        <w:t>coming within the scope of clause (a) of</w:t>
      </w:r>
      <w:r w:rsidRPr="00EC20A0">
        <w:rPr>
          <w:spacing w:val="-1"/>
        </w:rPr>
        <w:t xml:space="preserve"> </w:t>
      </w:r>
      <w:r w:rsidRPr="00EC20A0">
        <w:t>paragraph 5 of the Statement of Policy referred to in the last paragraph of this response letter, except as follows:</w:t>
      </w:r>
    </w:p>
    <w:p w14:paraId="24D61F44" w14:textId="77777777" w:rsidR="00245300" w:rsidRPr="00EC20A0" w:rsidRDefault="00F17249">
      <w:pPr>
        <w:spacing w:before="241"/>
        <w:ind w:left="199" w:right="565"/>
        <w:rPr>
          <w:b/>
        </w:rPr>
      </w:pPr>
      <w:r w:rsidRPr="00EC20A0">
        <w:rPr>
          <w:b/>
        </w:rPr>
        <w:t>[Describe litigation, claims, and assessments that fit the foregoing criteria as follows. General</w:t>
      </w:r>
      <w:r w:rsidRPr="00EC20A0">
        <w:rPr>
          <w:b/>
          <w:spacing w:val="-4"/>
        </w:rPr>
        <w:t xml:space="preserve"> </w:t>
      </w:r>
      <w:r w:rsidRPr="00EC20A0">
        <w:rPr>
          <w:b/>
        </w:rPr>
        <w:t>Counsel</w:t>
      </w:r>
      <w:r w:rsidRPr="00EC20A0">
        <w:rPr>
          <w:b/>
          <w:spacing w:val="-4"/>
        </w:rPr>
        <w:t xml:space="preserve"> </w:t>
      </w:r>
      <w:r w:rsidRPr="00EC20A0">
        <w:rPr>
          <w:b/>
        </w:rPr>
        <w:t>should</w:t>
      </w:r>
      <w:r w:rsidRPr="00EC20A0">
        <w:rPr>
          <w:b/>
          <w:spacing w:val="-4"/>
        </w:rPr>
        <w:t xml:space="preserve"> </w:t>
      </w:r>
      <w:r w:rsidRPr="00EC20A0">
        <w:rPr>
          <w:b/>
        </w:rPr>
        <w:t>use</w:t>
      </w:r>
      <w:r w:rsidRPr="00EC20A0">
        <w:rPr>
          <w:b/>
          <w:spacing w:val="-4"/>
        </w:rPr>
        <w:t xml:space="preserve"> </w:t>
      </w:r>
      <w:r w:rsidRPr="00EC20A0">
        <w:rPr>
          <w:b/>
        </w:rPr>
        <w:t>current</w:t>
      </w:r>
      <w:r w:rsidRPr="00EC20A0">
        <w:rPr>
          <w:b/>
          <w:spacing w:val="-4"/>
        </w:rPr>
        <w:t xml:space="preserve"> </w:t>
      </w:r>
      <w:r w:rsidRPr="00EC20A0">
        <w:rPr>
          <w:b/>
        </w:rPr>
        <w:t>Department</w:t>
      </w:r>
      <w:r w:rsidRPr="00EC20A0">
        <w:rPr>
          <w:b/>
          <w:spacing w:val="-4"/>
        </w:rPr>
        <w:t xml:space="preserve"> </w:t>
      </w:r>
      <w:r w:rsidRPr="00EC20A0">
        <w:rPr>
          <w:b/>
        </w:rPr>
        <w:t>of</w:t>
      </w:r>
      <w:r w:rsidRPr="00EC20A0">
        <w:rPr>
          <w:b/>
          <w:spacing w:val="-4"/>
        </w:rPr>
        <w:t xml:space="preserve"> </w:t>
      </w:r>
      <w:r w:rsidRPr="00EC20A0">
        <w:rPr>
          <w:b/>
        </w:rPr>
        <w:t>Justice</w:t>
      </w:r>
      <w:r w:rsidRPr="00EC20A0">
        <w:rPr>
          <w:b/>
          <w:spacing w:val="-4"/>
        </w:rPr>
        <w:t xml:space="preserve"> </w:t>
      </w:r>
      <w:r w:rsidRPr="00EC20A0">
        <w:rPr>
          <w:b/>
        </w:rPr>
        <w:t>forms</w:t>
      </w:r>
      <w:r w:rsidRPr="00EC20A0">
        <w:rPr>
          <w:b/>
          <w:spacing w:val="-4"/>
        </w:rPr>
        <w:t xml:space="preserve"> </w:t>
      </w:r>
      <w:r w:rsidRPr="00EC20A0">
        <w:rPr>
          <w:b/>
        </w:rPr>
        <w:t>to</w:t>
      </w:r>
      <w:r w:rsidRPr="00EC20A0">
        <w:rPr>
          <w:b/>
          <w:spacing w:val="-4"/>
        </w:rPr>
        <w:t xml:space="preserve"> </w:t>
      </w:r>
      <w:r w:rsidRPr="00EC20A0">
        <w:rPr>
          <w:b/>
        </w:rPr>
        <w:t>describe</w:t>
      </w:r>
      <w:r w:rsidRPr="00EC20A0">
        <w:rPr>
          <w:b/>
          <w:spacing w:val="-4"/>
        </w:rPr>
        <w:t xml:space="preserve"> </w:t>
      </w:r>
      <w:r w:rsidRPr="00EC20A0">
        <w:rPr>
          <w:b/>
        </w:rPr>
        <w:t>the</w:t>
      </w:r>
      <w:r w:rsidRPr="00EC20A0">
        <w:rPr>
          <w:b/>
          <w:spacing w:val="-4"/>
        </w:rPr>
        <w:t xml:space="preserve"> </w:t>
      </w:r>
      <w:r w:rsidRPr="00EC20A0">
        <w:rPr>
          <w:b/>
        </w:rPr>
        <w:t xml:space="preserve">cases (one for pending or threatened litigation, another for unasserted claims and assessments); see the Department of Justice website at </w:t>
      </w:r>
      <w:hyperlink r:id="rId201">
        <w:r w:rsidRPr="00EC20A0">
          <w:rPr>
            <w:b/>
            <w:color w:val="0000FF"/>
            <w:u w:val="single" w:color="0000FF"/>
          </w:rPr>
          <w:t>https://www.justice.gov/civil/documents-and-forms</w:t>
        </w:r>
      </w:hyperlink>
      <w:r w:rsidRPr="00EC20A0">
        <w:rPr>
          <w:b/>
          <w:color w:val="0000FF"/>
        </w:rPr>
        <w:t xml:space="preserve"> </w:t>
      </w:r>
      <w:r w:rsidRPr="00EC20A0">
        <w:rPr>
          <w:b/>
        </w:rPr>
        <w:t>(accessed June 4, 2024).</w:t>
      </w:r>
      <w:hyperlink w:anchor="_bookmark227" w:history="1">
        <w:r w:rsidRPr="00EC20A0">
          <w:rPr>
            <w:b/>
            <w:vertAlign w:val="superscript"/>
          </w:rPr>
          <w:t>14</w:t>
        </w:r>
      </w:hyperlink>
      <w:r w:rsidRPr="00EC20A0">
        <w:rPr>
          <w:b/>
        </w:rPr>
        <w:t>]</w:t>
      </w:r>
    </w:p>
    <w:p w14:paraId="24D61F45" w14:textId="77777777" w:rsidR="00245300" w:rsidRPr="00EC20A0" w:rsidRDefault="00245300">
      <w:pPr>
        <w:pStyle w:val="BodyText"/>
        <w:rPr>
          <w:b/>
          <w:sz w:val="20"/>
        </w:rPr>
      </w:pPr>
    </w:p>
    <w:p w14:paraId="24D61F46" w14:textId="77777777" w:rsidR="00245300" w:rsidRPr="00EC20A0" w:rsidRDefault="00F17249">
      <w:pPr>
        <w:pStyle w:val="BodyText"/>
        <w:spacing w:before="136"/>
        <w:rPr>
          <w:b/>
          <w:sz w:val="20"/>
        </w:rPr>
      </w:pPr>
      <w:r w:rsidRPr="00EC20A0">
        <w:rPr>
          <w:noProof/>
        </w:rPr>
        <mc:AlternateContent>
          <mc:Choice Requires="wps">
            <w:drawing>
              <wp:anchor distT="0" distB="0" distL="0" distR="0" simplePos="0" relativeHeight="487728128" behindDoc="1" locked="0" layoutInCell="1" allowOverlap="1" wp14:anchorId="24D62CD9" wp14:editId="24D62CDA">
                <wp:simplePos x="0" y="0"/>
                <wp:positionH relativeFrom="page">
                  <wp:posOffset>914400</wp:posOffset>
                </wp:positionH>
                <wp:positionV relativeFrom="paragraph">
                  <wp:posOffset>248200</wp:posOffset>
                </wp:positionV>
                <wp:extent cx="1828800" cy="5715"/>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C1B2A" id="Graphic 966" o:spid="_x0000_s1026" style="position:absolute;margin-left:1in;margin-top:19.55pt;width:2in;height:.45pt;z-index:-155883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" path="m1828800,l,,,5333r1828800,l1828800,xe" fillcolor="black" stroked="f">
                <v:path arrowok="t"/>
                <w10:wrap type="topAndBottom" anchorx="page"/>
              </v:shape>
            </w:pict>
          </mc:Fallback>
        </mc:AlternateContent>
      </w:r>
    </w:p>
    <w:p w14:paraId="24D61F47" w14:textId="77777777" w:rsidR="00245300" w:rsidRPr="00EC20A0" w:rsidRDefault="00F17249">
      <w:pPr>
        <w:spacing w:before="200"/>
        <w:ind w:left="200"/>
        <w:rPr>
          <w:sz w:val="18"/>
        </w:rPr>
      </w:pPr>
      <w:bookmarkStart w:id="408" w:name="_bookmark227"/>
      <w:bookmarkEnd w:id="408"/>
      <w:r w:rsidRPr="00EC20A0">
        <w:rPr>
          <w:position w:val="7"/>
          <w:sz w:val="14"/>
        </w:rPr>
        <w:t>14</w:t>
      </w:r>
      <w:r w:rsidRPr="00EC20A0">
        <w:rPr>
          <w:sz w:val="18"/>
        </w:rPr>
        <w:t>It</w:t>
      </w:r>
      <w:r w:rsidRPr="00EC20A0">
        <w:rPr>
          <w:spacing w:val="-5"/>
          <w:sz w:val="18"/>
        </w:rPr>
        <w:t xml:space="preserve"> </w:t>
      </w:r>
      <w:r w:rsidRPr="00EC20A0">
        <w:rPr>
          <w:sz w:val="18"/>
        </w:rPr>
        <w:t>is</w:t>
      </w:r>
      <w:r w:rsidRPr="00EC20A0">
        <w:rPr>
          <w:spacing w:val="-2"/>
          <w:sz w:val="18"/>
        </w:rPr>
        <w:t xml:space="preserve"> </w:t>
      </w:r>
      <w:r w:rsidRPr="00EC20A0">
        <w:rPr>
          <w:sz w:val="18"/>
        </w:rPr>
        <w:t>expected</w:t>
      </w:r>
      <w:r w:rsidRPr="00EC20A0">
        <w:rPr>
          <w:spacing w:val="-3"/>
          <w:sz w:val="18"/>
        </w:rPr>
        <w:t xml:space="preserve"> </w:t>
      </w:r>
      <w:r w:rsidRPr="00EC20A0">
        <w:rPr>
          <w:sz w:val="18"/>
        </w:rPr>
        <w:t>that</w:t>
      </w:r>
      <w:r w:rsidRPr="00EC20A0">
        <w:rPr>
          <w:spacing w:val="-3"/>
          <w:sz w:val="18"/>
        </w:rPr>
        <w:t xml:space="preserve"> </w:t>
      </w:r>
      <w:r w:rsidRPr="00EC20A0">
        <w:rPr>
          <w:sz w:val="18"/>
        </w:rPr>
        <w:t>cases</w:t>
      </w:r>
      <w:r w:rsidRPr="00EC20A0">
        <w:rPr>
          <w:spacing w:val="-2"/>
          <w:sz w:val="18"/>
        </w:rPr>
        <w:t xml:space="preserve"> </w:t>
      </w:r>
      <w:r w:rsidRPr="00EC20A0">
        <w:rPr>
          <w:sz w:val="18"/>
        </w:rPr>
        <w:t>or</w:t>
      </w:r>
      <w:r w:rsidRPr="00EC20A0">
        <w:rPr>
          <w:spacing w:val="-2"/>
          <w:sz w:val="18"/>
        </w:rPr>
        <w:t xml:space="preserve"> </w:t>
      </w:r>
      <w:r w:rsidRPr="00EC20A0">
        <w:rPr>
          <w:sz w:val="18"/>
        </w:rPr>
        <w:t>matters</w:t>
      </w:r>
      <w:r w:rsidRPr="00EC20A0">
        <w:rPr>
          <w:spacing w:val="-2"/>
          <w:sz w:val="18"/>
        </w:rPr>
        <w:t xml:space="preserve"> </w:t>
      </w:r>
      <w:r w:rsidRPr="00EC20A0">
        <w:rPr>
          <w:sz w:val="18"/>
        </w:rPr>
        <w:t>will</w:t>
      </w:r>
      <w:r w:rsidRPr="00EC20A0">
        <w:rPr>
          <w:spacing w:val="-3"/>
          <w:sz w:val="18"/>
        </w:rPr>
        <w:t xml:space="preserve"> </w:t>
      </w:r>
      <w:r w:rsidRPr="00EC20A0">
        <w:rPr>
          <w:sz w:val="18"/>
        </w:rPr>
        <w:t>be</w:t>
      </w:r>
      <w:r w:rsidRPr="00EC20A0">
        <w:rPr>
          <w:spacing w:val="-3"/>
          <w:sz w:val="18"/>
        </w:rPr>
        <w:t xml:space="preserve"> </w:t>
      </w:r>
      <w:r w:rsidRPr="00EC20A0">
        <w:rPr>
          <w:sz w:val="18"/>
        </w:rPr>
        <w:t>aggregated</w:t>
      </w:r>
      <w:r w:rsidRPr="00EC20A0">
        <w:rPr>
          <w:spacing w:val="-3"/>
          <w:sz w:val="18"/>
        </w:rPr>
        <w:t xml:space="preserve"> </w:t>
      </w:r>
      <w:r w:rsidRPr="00EC20A0">
        <w:rPr>
          <w:sz w:val="18"/>
        </w:rPr>
        <w:t>where</w:t>
      </w:r>
      <w:r w:rsidRPr="00EC20A0">
        <w:rPr>
          <w:spacing w:val="-3"/>
          <w:sz w:val="18"/>
        </w:rPr>
        <w:t xml:space="preserve"> </w:t>
      </w:r>
      <w:r w:rsidRPr="00EC20A0">
        <w:rPr>
          <w:spacing w:val="-2"/>
          <w:sz w:val="18"/>
        </w:rPr>
        <w:t>appropriate.</w:t>
      </w:r>
    </w:p>
    <w:p w14:paraId="24D61F48" w14:textId="77777777" w:rsidR="00245300" w:rsidRPr="00EC20A0" w:rsidRDefault="00245300">
      <w:pPr>
        <w:rPr>
          <w:sz w:val="18"/>
        </w:rPr>
        <w:sectPr w:rsidR="00245300" w:rsidRPr="00EC20A0">
          <w:headerReference w:type="default" r:id="rId202"/>
          <w:footerReference w:type="default" r:id="rId203"/>
          <w:pgSz w:w="12240" w:h="15840"/>
          <w:pgMar w:top="1340" w:right="1100" w:bottom="940" w:left="1240" w:header="721" w:footer="757" w:gutter="0"/>
          <w:pgNumType w:start="1"/>
          <w:cols w:space="720"/>
        </w:sectPr>
      </w:pPr>
    </w:p>
    <w:p w14:paraId="24D61F49" w14:textId="77777777" w:rsidR="00245300" w:rsidRPr="00EC20A0" w:rsidRDefault="00F17249">
      <w:pPr>
        <w:spacing w:before="121"/>
        <w:ind w:left="200"/>
        <w:rPr>
          <w:b/>
        </w:rPr>
      </w:pPr>
      <w:r w:rsidRPr="00EC20A0">
        <w:rPr>
          <w:b/>
          <w:u w:val="single"/>
        </w:rPr>
        <w:t>Pending</w:t>
      </w:r>
      <w:r w:rsidRPr="00EC20A0">
        <w:rPr>
          <w:b/>
          <w:spacing w:val="-8"/>
          <w:u w:val="single"/>
        </w:rPr>
        <w:t xml:space="preserve"> </w:t>
      </w:r>
      <w:r w:rsidRPr="00EC20A0">
        <w:rPr>
          <w:b/>
          <w:u w:val="single"/>
        </w:rPr>
        <w:t>or</w:t>
      </w:r>
      <w:r w:rsidRPr="00EC20A0">
        <w:rPr>
          <w:b/>
          <w:spacing w:val="-9"/>
          <w:u w:val="single"/>
        </w:rPr>
        <w:t xml:space="preserve"> </w:t>
      </w:r>
      <w:r w:rsidRPr="00EC20A0">
        <w:rPr>
          <w:b/>
          <w:u w:val="single"/>
        </w:rPr>
        <w:t>Threatened</w:t>
      </w:r>
      <w:r w:rsidRPr="00EC20A0">
        <w:rPr>
          <w:b/>
          <w:spacing w:val="-9"/>
          <w:u w:val="single"/>
        </w:rPr>
        <w:t xml:space="preserve"> </w:t>
      </w:r>
      <w:r w:rsidRPr="00EC20A0">
        <w:rPr>
          <w:b/>
          <w:u w:val="single"/>
        </w:rPr>
        <w:t>Litigation,</w:t>
      </w:r>
      <w:r w:rsidRPr="00EC20A0">
        <w:rPr>
          <w:b/>
          <w:spacing w:val="-8"/>
          <w:u w:val="single"/>
        </w:rPr>
        <w:t xml:space="preserve"> </w:t>
      </w:r>
      <w:r w:rsidRPr="00EC20A0">
        <w:rPr>
          <w:b/>
          <w:u w:val="single"/>
        </w:rPr>
        <w:t>Claims,</w:t>
      </w:r>
      <w:r w:rsidRPr="00EC20A0">
        <w:rPr>
          <w:b/>
          <w:spacing w:val="-8"/>
          <w:u w:val="single"/>
        </w:rPr>
        <w:t xml:space="preserve"> </w:t>
      </w:r>
      <w:r w:rsidRPr="00EC20A0">
        <w:rPr>
          <w:b/>
          <w:u w:val="single"/>
        </w:rPr>
        <w:t>and</w:t>
      </w:r>
      <w:r w:rsidRPr="00EC20A0">
        <w:rPr>
          <w:b/>
          <w:spacing w:val="-7"/>
          <w:u w:val="single"/>
        </w:rPr>
        <w:t xml:space="preserve"> </w:t>
      </w:r>
      <w:r w:rsidRPr="00EC20A0">
        <w:rPr>
          <w:b/>
          <w:spacing w:val="-2"/>
          <w:u w:val="single"/>
        </w:rPr>
        <w:t>Assessments</w:t>
      </w:r>
    </w:p>
    <w:p w14:paraId="24D61F4A" w14:textId="77777777" w:rsidR="00245300" w:rsidRPr="00EC20A0" w:rsidRDefault="00F17249">
      <w:pPr>
        <w:pStyle w:val="BodyText"/>
        <w:spacing w:before="240"/>
        <w:ind w:left="200"/>
      </w:pPr>
      <w:r w:rsidRPr="00EC20A0">
        <w:t>(Excluding</w:t>
      </w:r>
      <w:r w:rsidRPr="00EC20A0">
        <w:rPr>
          <w:spacing w:val="-9"/>
        </w:rPr>
        <w:t xml:space="preserve"> </w:t>
      </w:r>
      <w:r w:rsidRPr="00EC20A0">
        <w:t>unasserted</w:t>
      </w:r>
      <w:r w:rsidRPr="00EC20A0">
        <w:rPr>
          <w:spacing w:val="-9"/>
        </w:rPr>
        <w:t xml:space="preserve"> </w:t>
      </w:r>
      <w:r w:rsidRPr="00EC20A0">
        <w:t>claims</w:t>
      </w:r>
      <w:r w:rsidRPr="00EC20A0">
        <w:rPr>
          <w:spacing w:val="-9"/>
        </w:rPr>
        <w:t xml:space="preserve"> </w:t>
      </w:r>
      <w:r w:rsidRPr="00EC20A0">
        <w:t>and</w:t>
      </w:r>
      <w:r w:rsidRPr="00EC20A0">
        <w:rPr>
          <w:spacing w:val="-9"/>
        </w:rPr>
        <w:t xml:space="preserve"> </w:t>
      </w:r>
      <w:r w:rsidRPr="00EC20A0">
        <w:t>assessments,</w:t>
      </w:r>
      <w:r w:rsidRPr="00EC20A0">
        <w:rPr>
          <w:spacing w:val="-10"/>
        </w:rPr>
        <w:t xml:space="preserve"> </w:t>
      </w:r>
      <w:r w:rsidRPr="00EC20A0">
        <w:t>which</w:t>
      </w:r>
      <w:r w:rsidRPr="00EC20A0">
        <w:rPr>
          <w:spacing w:val="-9"/>
        </w:rPr>
        <w:t xml:space="preserve"> </w:t>
      </w:r>
      <w:r w:rsidRPr="00EC20A0">
        <w:t>are</w:t>
      </w:r>
      <w:r w:rsidRPr="00EC20A0">
        <w:rPr>
          <w:spacing w:val="-9"/>
        </w:rPr>
        <w:t xml:space="preserve"> </w:t>
      </w:r>
      <w:r w:rsidRPr="00EC20A0">
        <w:t>discussed</w:t>
      </w:r>
      <w:r w:rsidRPr="00EC20A0">
        <w:rPr>
          <w:spacing w:val="-10"/>
        </w:rPr>
        <w:t xml:space="preserve"> </w:t>
      </w:r>
      <w:r w:rsidRPr="00EC20A0">
        <w:rPr>
          <w:spacing w:val="-2"/>
        </w:rPr>
        <w:t>below.)</w:t>
      </w:r>
    </w:p>
    <w:p w14:paraId="24D61F4B" w14:textId="77777777" w:rsidR="00245300" w:rsidRPr="00EC20A0" w:rsidRDefault="00F17249">
      <w:pPr>
        <w:pStyle w:val="ListParagraph"/>
        <w:numPr>
          <w:ilvl w:val="0"/>
          <w:numId w:val="60"/>
        </w:numPr>
        <w:tabs>
          <w:tab w:val="left" w:pos="559"/>
        </w:tabs>
        <w:spacing w:before="239"/>
        <w:ind w:right="937"/>
      </w:pPr>
      <w:r w:rsidRPr="00EC20A0">
        <w:t>Nature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matter</w:t>
      </w:r>
      <w:r w:rsidRPr="00EC20A0">
        <w:rPr>
          <w:spacing w:val="-3"/>
        </w:rPr>
        <w:t xml:space="preserve"> </w:t>
      </w:r>
      <w:r w:rsidRPr="00EC20A0">
        <w:t>(include</w:t>
      </w:r>
      <w:r w:rsidRPr="00EC20A0">
        <w:rPr>
          <w:spacing w:val="-3"/>
        </w:rPr>
        <w:t xml:space="preserve"> </w:t>
      </w:r>
      <w:r w:rsidRPr="00EC20A0">
        <w:t>a</w:t>
      </w:r>
      <w:r w:rsidRPr="00EC20A0">
        <w:rPr>
          <w:spacing w:val="-3"/>
        </w:rPr>
        <w:t xml:space="preserve"> </w:t>
      </w:r>
      <w:r w:rsidRPr="00EC20A0">
        <w:t>description</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case</w:t>
      </w:r>
      <w:r w:rsidRPr="00EC20A0">
        <w:rPr>
          <w:spacing w:val="-3"/>
        </w:rPr>
        <w:t xml:space="preserve"> </w:t>
      </w:r>
      <w:r w:rsidRPr="00EC20A0">
        <w:t>or</w:t>
      </w:r>
      <w:r w:rsidRPr="00EC20A0">
        <w:rPr>
          <w:spacing w:val="-3"/>
        </w:rPr>
        <w:t xml:space="preserve"> </w:t>
      </w:r>
      <w:r w:rsidRPr="00EC20A0">
        <w:t>cases</w:t>
      </w:r>
      <w:r w:rsidRPr="00EC20A0">
        <w:rPr>
          <w:spacing w:val="-3"/>
        </w:rPr>
        <w:t xml:space="preserve"> </w:t>
      </w:r>
      <w:r w:rsidRPr="00EC20A0">
        <w:t>and</w:t>
      </w:r>
      <w:r w:rsidRPr="00EC20A0">
        <w:rPr>
          <w:spacing w:val="-3"/>
        </w:rPr>
        <w:t xml:space="preserve"> </w:t>
      </w:r>
      <w:r w:rsidRPr="00EC20A0">
        <w:t>amount</w:t>
      </w:r>
      <w:r w:rsidRPr="00EC20A0">
        <w:rPr>
          <w:spacing w:val="-3"/>
        </w:rPr>
        <w:t xml:space="preserve"> </w:t>
      </w:r>
      <w:r w:rsidRPr="00EC20A0">
        <w:t>claimed,</w:t>
      </w:r>
      <w:r w:rsidRPr="00EC20A0">
        <w:rPr>
          <w:spacing w:val="-4"/>
        </w:rPr>
        <w:t xml:space="preserve"> </w:t>
      </w:r>
      <w:r w:rsidRPr="00EC20A0">
        <w:t xml:space="preserve">if </w:t>
      </w:r>
      <w:r w:rsidRPr="00EC20A0">
        <w:rPr>
          <w:spacing w:val="-2"/>
        </w:rPr>
        <w:t>specified).</w:t>
      </w:r>
    </w:p>
    <w:p w14:paraId="24D61F4C" w14:textId="77777777" w:rsidR="00245300" w:rsidRPr="00EC20A0" w:rsidRDefault="00F17249">
      <w:pPr>
        <w:pStyle w:val="ListParagraph"/>
        <w:numPr>
          <w:ilvl w:val="0"/>
          <w:numId w:val="60"/>
        </w:numPr>
        <w:tabs>
          <w:tab w:val="left" w:pos="558"/>
        </w:tabs>
        <w:spacing w:before="241"/>
        <w:ind w:left="558" w:hanging="359"/>
      </w:pPr>
      <w:r w:rsidRPr="00EC20A0">
        <w:t>Progress</w:t>
      </w:r>
      <w:r w:rsidRPr="00EC20A0">
        <w:rPr>
          <w:spacing w:val="-5"/>
        </w:rPr>
        <w:t xml:space="preserve"> </w:t>
      </w:r>
      <w:r w:rsidRPr="00EC20A0">
        <w:t>of</w:t>
      </w:r>
      <w:r w:rsidRPr="00EC20A0">
        <w:rPr>
          <w:spacing w:val="-6"/>
        </w:rPr>
        <w:t xml:space="preserve"> </w:t>
      </w:r>
      <w:r w:rsidRPr="00EC20A0">
        <w:t>the</w:t>
      </w:r>
      <w:r w:rsidRPr="00EC20A0">
        <w:rPr>
          <w:spacing w:val="-4"/>
        </w:rPr>
        <w:t xml:space="preserve"> </w:t>
      </w:r>
      <w:r w:rsidRPr="00EC20A0">
        <w:t>case</w:t>
      </w:r>
      <w:r w:rsidRPr="00EC20A0">
        <w:rPr>
          <w:spacing w:val="-5"/>
        </w:rPr>
        <w:t xml:space="preserve"> </w:t>
      </w:r>
      <w:r w:rsidRPr="00EC20A0">
        <w:t>to</w:t>
      </w:r>
      <w:r w:rsidRPr="00EC20A0">
        <w:rPr>
          <w:spacing w:val="-6"/>
        </w:rPr>
        <w:t xml:space="preserve"> </w:t>
      </w:r>
      <w:r w:rsidRPr="00EC20A0">
        <w:rPr>
          <w:spacing w:val="-2"/>
        </w:rPr>
        <w:t>date.</w:t>
      </w:r>
    </w:p>
    <w:p w14:paraId="24D61F4D" w14:textId="77777777" w:rsidR="00245300" w:rsidRPr="00EC20A0" w:rsidRDefault="00F17249">
      <w:pPr>
        <w:pStyle w:val="ListParagraph"/>
        <w:numPr>
          <w:ilvl w:val="0"/>
          <w:numId w:val="60"/>
        </w:numPr>
        <w:tabs>
          <w:tab w:val="left" w:pos="558"/>
        </w:tabs>
        <w:ind w:left="558" w:hanging="359"/>
      </w:pPr>
      <w:r w:rsidRPr="00EC20A0">
        <w:t>Current</w:t>
      </w:r>
      <w:r w:rsidRPr="00EC20A0">
        <w:rPr>
          <w:spacing w:val="-7"/>
        </w:rPr>
        <w:t xml:space="preserve"> </w:t>
      </w:r>
      <w:r w:rsidRPr="00EC20A0">
        <w:t>or</w:t>
      </w:r>
      <w:r w:rsidRPr="00EC20A0">
        <w:rPr>
          <w:spacing w:val="-6"/>
        </w:rPr>
        <w:t xml:space="preserve"> </w:t>
      </w:r>
      <w:r w:rsidRPr="00EC20A0">
        <w:t>intended</w:t>
      </w:r>
      <w:r w:rsidRPr="00EC20A0">
        <w:rPr>
          <w:spacing w:val="-6"/>
        </w:rPr>
        <w:t xml:space="preserve"> </w:t>
      </w:r>
      <w:r w:rsidRPr="00EC20A0">
        <w:rPr>
          <w:spacing w:val="-2"/>
        </w:rPr>
        <w:t>response.</w:t>
      </w:r>
    </w:p>
    <w:p w14:paraId="24D61F4E" w14:textId="77777777" w:rsidR="00245300" w:rsidRPr="00EC20A0" w:rsidRDefault="00F17249">
      <w:pPr>
        <w:pStyle w:val="ListParagraph"/>
        <w:numPr>
          <w:ilvl w:val="0"/>
          <w:numId w:val="60"/>
        </w:numPr>
        <w:tabs>
          <w:tab w:val="left" w:pos="559"/>
        </w:tabs>
        <w:ind w:right="656"/>
      </w:pPr>
      <w:r w:rsidRPr="00EC20A0">
        <w:t>Evaluation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likelihood</w:t>
      </w:r>
      <w:r w:rsidRPr="00EC20A0">
        <w:rPr>
          <w:spacing w:val="-4"/>
        </w:rPr>
        <w:t xml:space="preserve"> </w:t>
      </w:r>
      <w:r w:rsidRPr="00EC20A0">
        <w:t>of</w:t>
      </w:r>
      <w:r w:rsidRPr="00EC20A0">
        <w:rPr>
          <w:spacing w:val="-4"/>
        </w:rPr>
        <w:t xml:space="preserve"> </w:t>
      </w:r>
      <w:r w:rsidRPr="00EC20A0">
        <w:t>an</w:t>
      </w:r>
      <w:r w:rsidRPr="00EC20A0">
        <w:rPr>
          <w:spacing w:val="-4"/>
        </w:rPr>
        <w:t xml:space="preserve"> </w:t>
      </w:r>
      <w:r w:rsidRPr="00EC20A0">
        <w:t>unfavorable</w:t>
      </w:r>
      <w:r w:rsidRPr="00EC20A0">
        <w:rPr>
          <w:spacing w:val="-4"/>
        </w:rPr>
        <w:t xml:space="preserve"> </w:t>
      </w:r>
      <w:r w:rsidRPr="00EC20A0">
        <w:t>outcome</w:t>
      </w:r>
      <w:r w:rsidRPr="00EC20A0">
        <w:rPr>
          <w:spacing w:val="-4"/>
        </w:rPr>
        <w:t xml:space="preserve"> </w:t>
      </w:r>
      <w:r w:rsidRPr="00EC20A0">
        <w:t>(categorize</w:t>
      </w:r>
      <w:r w:rsidRPr="00EC20A0">
        <w:rPr>
          <w:spacing w:val="-4"/>
        </w:rPr>
        <w:t xml:space="preserve"> </w:t>
      </w:r>
      <w:r w:rsidRPr="00EC20A0">
        <w:t>likelihood</w:t>
      </w:r>
      <w:r w:rsidRPr="00EC20A0">
        <w:rPr>
          <w:spacing w:val="-4"/>
        </w:rPr>
        <w:t xml:space="preserve"> </w:t>
      </w:r>
      <w:r w:rsidRPr="00EC20A0">
        <w:t>as</w:t>
      </w:r>
      <w:r w:rsidRPr="00EC20A0">
        <w:rPr>
          <w:spacing w:val="-4"/>
        </w:rPr>
        <w:t xml:space="preserve"> </w:t>
      </w:r>
      <w:r w:rsidRPr="00EC20A0">
        <w:t xml:space="preserve">probable, reasonably </w:t>
      </w:r>
      <w:r w:rsidRPr="00EC20A0">
        <w:t>possible, or remote).</w:t>
      </w:r>
    </w:p>
    <w:p w14:paraId="24D61F4F" w14:textId="77777777" w:rsidR="00245300" w:rsidRPr="00EC20A0" w:rsidRDefault="00F17249">
      <w:pPr>
        <w:pStyle w:val="ListParagraph"/>
        <w:numPr>
          <w:ilvl w:val="0"/>
          <w:numId w:val="60"/>
        </w:numPr>
        <w:tabs>
          <w:tab w:val="left" w:pos="559"/>
        </w:tabs>
        <w:spacing w:before="239"/>
        <w:ind w:right="779"/>
      </w:pPr>
      <w:r w:rsidRPr="00EC20A0">
        <w:t>Estimated</w:t>
      </w:r>
      <w:r w:rsidRPr="00EC20A0">
        <w:rPr>
          <w:spacing w:val="-3"/>
        </w:rPr>
        <w:t xml:space="preserve"> </w:t>
      </w:r>
      <w:r w:rsidRPr="00EC20A0">
        <w:t>amount</w:t>
      </w:r>
      <w:r w:rsidRPr="00EC20A0">
        <w:rPr>
          <w:spacing w:val="-3"/>
        </w:rPr>
        <w:t xml:space="preserve"> </w:t>
      </w:r>
      <w:r w:rsidRPr="00EC20A0">
        <w:t>or</w:t>
      </w:r>
      <w:r w:rsidRPr="00EC20A0">
        <w:rPr>
          <w:spacing w:val="-3"/>
        </w:rPr>
        <w:t xml:space="preserve"> </w:t>
      </w:r>
      <w:r w:rsidRPr="00EC20A0">
        <w:t>range</w:t>
      </w:r>
      <w:r w:rsidRPr="00EC20A0">
        <w:rPr>
          <w:spacing w:val="-3"/>
        </w:rPr>
        <w:t xml:space="preserve"> </w:t>
      </w:r>
      <w:r w:rsidRPr="00EC20A0">
        <w:t>of</w:t>
      </w:r>
      <w:r w:rsidRPr="00EC20A0">
        <w:rPr>
          <w:spacing w:val="-3"/>
        </w:rPr>
        <w:t xml:space="preserve"> </w:t>
      </w:r>
      <w:r w:rsidRPr="00EC20A0">
        <w:t>potential</w:t>
      </w:r>
      <w:r w:rsidRPr="00EC20A0">
        <w:rPr>
          <w:spacing w:val="-3"/>
        </w:rPr>
        <w:t xml:space="preserve"> </w:t>
      </w:r>
      <w:r w:rsidRPr="00EC20A0">
        <w:t>loss,</w:t>
      </w:r>
      <w:r w:rsidRPr="00EC20A0">
        <w:rPr>
          <w:spacing w:val="-3"/>
        </w:rPr>
        <w:t xml:space="preserve"> </w:t>
      </w:r>
      <w:r w:rsidRPr="00EC20A0">
        <w:t>if</w:t>
      </w:r>
      <w:r w:rsidRPr="00EC20A0">
        <w:rPr>
          <w:spacing w:val="-3"/>
        </w:rPr>
        <w:t xml:space="preserve"> </w:t>
      </w:r>
      <w:r w:rsidRPr="00EC20A0">
        <w:t>determinable,</w:t>
      </w:r>
      <w:r w:rsidRPr="00EC20A0">
        <w:rPr>
          <w:spacing w:val="-3"/>
        </w:rPr>
        <w:t xml:space="preserve"> </w:t>
      </w:r>
      <w:r w:rsidRPr="00EC20A0">
        <w:t>for</w:t>
      </w:r>
      <w:r w:rsidRPr="00EC20A0">
        <w:rPr>
          <w:spacing w:val="-3"/>
        </w:rPr>
        <w:t xml:space="preserve"> </w:t>
      </w:r>
      <w:r w:rsidRPr="00EC20A0">
        <w:t>losses</w:t>
      </w:r>
      <w:r w:rsidRPr="00EC20A0">
        <w:rPr>
          <w:spacing w:val="-3"/>
        </w:rPr>
        <w:t xml:space="preserve"> </w:t>
      </w:r>
      <w:r w:rsidRPr="00EC20A0">
        <w:t>considered</w:t>
      </w:r>
      <w:r w:rsidRPr="00EC20A0">
        <w:rPr>
          <w:spacing w:val="-3"/>
        </w:rPr>
        <w:t xml:space="preserve"> </w:t>
      </w:r>
      <w:r w:rsidRPr="00EC20A0">
        <w:t>to</w:t>
      </w:r>
      <w:r w:rsidRPr="00EC20A0">
        <w:rPr>
          <w:spacing w:val="-4"/>
        </w:rPr>
        <w:t xml:space="preserve"> </w:t>
      </w:r>
      <w:r w:rsidRPr="00EC20A0">
        <w:t>be probable or reasonably possible.</w:t>
      </w:r>
    </w:p>
    <w:p w14:paraId="24D61F50" w14:textId="77777777" w:rsidR="00245300" w:rsidRDefault="00F17249">
      <w:pPr>
        <w:pStyle w:val="ListParagraph"/>
        <w:numPr>
          <w:ilvl w:val="0"/>
          <w:numId w:val="60"/>
        </w:numPr>
        <w:tabs>
          <w:tab w:val="left" w:pos="559"/>
          <w:tab w:val="left" w:pos="565"/>
        </w:tabs>
        <w:spacing w:before="241"/>
        <w:ind w:right="391"/>
      </w:pPr>
      <w:r w:rsidRPr="00EC20A0">
        <w:t>Name of</w:t>
      </w:r>
      <w:r w:rsidRPr="00EC20A0">
        <w:rPr>
          <w:spacing w:val="-2"/>
        </w:rPr>
        <w:t xml:space="preserve"> </w:t>
      </w:r>
      <w:r w:rsidRPr="00EC20A0">
        <w:rPr>
          <w:b/>
        </w:rPr>
        <w:t>[Entity]</w:t>
      </w:r>
      <w:r w:rsidRPr="00EC20A0">
        <w:t>’s</w:t>
      </w:r>
      <w:r w:rsidRPr="00EC20A0">
        <w:rPr>
          <w:spacing w:val="-3"/>
        </w:rPr>
        <w:t xml:space="preserve"> </w:t>
      </w:r>
      <w:r w:rsidRPr="00EC20A0">
        <w:t>legal</w:t>
      </w:r>
      <w:r w:rsidRPr="00EC20A0">
        <w:rPr>
          <w:spacing w:val="-3"/>
        </w:rPr>
        <w:t xml:space="preserve"> </w:t>
      </w:r>
      <w:r w:rsidRPr="00EC20A0">
        <w:t>counsel</w:t>
      </w:r>
      <w:r w:rsidRPr="00EC20A0">
        <w:rPr>
          <w:spacing w:val="-4"/>
        </w:rPr>
        <w:t xml:space="preserve"> </w:t>
      </w:r>
      <w:r w:rsidRPr="00EC20A0">
        <w:t>handling</w:t>
      </w:r>
      <w:r w:rsidRPr="00EC20A0">
        <w:rPr>
          <w:spacing w:val="-3"/>
        </w:rPr>
        <w:t xml:space="preserve"> </w:t>
      </w:r>
      <w:r w:rsidRPr="00EC20A0">
        <w:t>the</w:t>
      </w:r>
      <w:r w:rsidRPr="00EC20A0">
        <w:rPr>
          <w:spacing w:val="-4"/>
        </w:rPr>
        <w:t xml:space="preserve"> </w:t>
      </w:r>
      <w:r w:rsidRPr="00EC20A0">
        <w:t>case</w:t>
      </w:r>
      <w:r w:rsidRPr="00EC20A0">
        <w:rPr>
          <w:spacing w:val="-3"/>
        </w:rPr>
        <w:t xml:space="preserve"> </w:t>
      </w:r>
      <w:r w:rsidRPr="00EC20A0">
        <w:t>and</w:t>
      </w:r>
      <w:r w:rsidRPr="00EC20A0">
        <w:rPr>
          <w:spacing w:val="-3"/>
        </w:rPr>
        <w:t xml:space="preserve"> </w:t>
      </w:r>
      <w:r w:rsidRPr="00EC20A0">
        <w:t>names</w:t>
      </w:r>
      <w:r w:rsidRPr="00EC20A0">
        <w:rPr>
          <w:spacing w:val="-3"/>
        </w:rPr>
        <w:t xml:space="preserve"> </w:t>
      </w:r>
      <w:r w:rsidRPr="00EC20A0">
        <w:t>of</w:t>
      </w:r>
      <w:r w:rsidRPr="00EC20A0">
        <w:rPr>
          <w:spacing w:val="-3"/>
        </w:rPr>
        <w:t xml:space="preserve"> </w:t>
      </w:r>
      <w:r w:rsidRPr="00EC20A0">
        <w:t>any</w:t>
      </w:r>
      <w:r w:rsidRPr="00EC20A0">
        <w:rPr>
          <w:spacing w:val="-3"/>
        </w:rPr>
        <w:t xml:space="preserve"> </w:t>
      </w:r>
      <w:r w:rsidRPr="00EC20A0">
        <w:t>external</w:t>
      </w:r>
      <w:r w:rsidRPr="00EC20A0">
        <w:rPr>
          <w:spacing w:val="-3"/>
        </w:rPr>
        <w:t xml:space="preserve"> </w:t>
      </w:r>
      <w:r w:rsidRPr="00EC20A0">
        <w:t>legal</w:t>
      </w:r>
      <w:r w:rsidRPr="00EC20A0">
        <w:rPr>
          <w:spacing w:val="-3"/>
        </w:rPr>
        <w:t xml:space="preserve"> </w:t>
      </w:r>
      <w:r w:rsidRPr="00EC20A0">
        <w:t xml:space="preserve">counsel </w:t>
      </w:r>
      <w:r w:rsidRPr="00EC20A0">
        <w:t>representing or advising the government in the matter.</w:t>
      </w:r>
    </w:p>
    <w:p w14:paraId="31F6AE3D" w14:textId="77777777" w:rsidR="007575FD" w:rsidRPr="00EC20A0" w:rsidRDefault="007575FD" w:rsidP="000D1F63">
      <w:pPr>
        <w:pStyle w:val="ListParagraph"/>
        <w:tabs>
          <w:tab w:val="left" w:pos="559"/>
          <w:tab w:val="left" w:pos="565"/>
        </w:tabs>
        <w:spacing w:before="60"/>
        <w:ind w:left="562" w:right="389" w:firstLine="0"/>
      </w:pPr>
    </w:p>
    <w:p w14:paraId="24D61F51" w14:textId="77777777" w:rsidR="00245300" w:rsidRPr="007575FD" w:rsidRDefault="00F17249" w:rsidP="007575FD">
      <w:pPr>
        <w:ind w:left="180"/>
        <w:rPr>
          <w:b/>
          <w:bCs/>
        </w:rPr>
      </w:pPr>
      <w:r w:rsidRPr="007575FD">
        <w:rPr>
          <w:b/>
          <w:bCs/>
        </w:rPr>
        <w:t>[Identify omission of any pending or threatened litigation, claims, and assessments or add a statement that the list of such matters is complete.]</w:t>
      </w:r>
    </w:p>
    <w:p w14:paraId="24D61F52" w14:textId="77777777" w:rsidR="00245300" w:rsidRDefault="00F17249">
      <w:pPr>
        <w:pStyle w:val="BodyText"/>
        <w:spacing w:before="239"/>
        <w:ind w:left="199" w:right="337"/>
      </w:pPr>
      <w:r w:rsidRPr="00EC20A0">
        <w:t>Pending</w:t>
      </w:r>
      <w:r w:rsidRPr="00EC20A0">
        <w:rPr>
          <w:spacing w:val="-3"/>
        </w:rPr>
        <w:t xml:space="preserve"> </w:t>
      </w:r>
      <w:r w:rsidRPr="00EC20A0">
        <w:t>or</w:t>
      </w:r>
      <w:r w:rsidRPr="00EC20A0">
        <w:rPr>
          <w:spacing w:val="-3"/>
        </w:rPr>
        <w:t xml:space="preserve"> </w:t>
      </w:r>
      <w:r w:rsidRPr="00EC20A0">
        <w:t>threatened</w:t>
      </w:r>
      <w:r w:rsidRPr="00EC20A0">
        <w:rPr>
          <w:spacing w:val="-3"/>
        </w:rPr>
        <w:t xml:space="preserve"> </w:t>
      </w:r>
      <w:r w:rsidRPr="00EC20A0">
        <w:t>litigation</w:t>
      </w:r>
      <w:r w:rsidRPr="00EC20A0">
        <w:rPr>
          <w:spacing w:val="-3"/>
        </w:rPr>
        <w:t xml:space="preserve"> </w:t>
      </w:r>
      <w:r w:rsidRPr="00EC20A0">
        <w:t>that</w:t>
      </w:r>
      <w:r w:rsidRPr="00EC20A0">
        <w:rPr>
          <w:spacing w:val="-4"/>
        </w:rPr>
        <w:t xml:space="preserve"> </w:t>
      </w:r>
      <w:r w:rsidRPr="00EC20A0">
        <w:t>was</w:t>
      </w:r>
      <w:r w:rsidRPr="00EC20A0">
        <w:rPr>
          <w:spacing w:val="-3"/>
        </w:rPr>
        <w:t xml:space="preserve"> </w:t>
      </w:r>
      <w:r w:rsidRPr="00EC20A0">
        <w:t>reported</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prior</w:t>
      </w:r>
      <w:r w:rsidRPr="00EC20A0">
        <w:rPr>
          <w:spacing w:val="-5"/>
        </w:rPr>
        <w:t xml:space="preserve"> </w:t>
      </w:r>
      <w:r w:rsidRPr="00EC20A0">
        <w:t>year’s</w:t>
      </w:r>
      <w:r w:rsidRPr="00EC20A0">
        <w:rPr>
          <w:spacing w:val="-3"/>
        </w:rPr>
        <w:t xml:space="preserve"> </w:t>
      </w:r>
      <w:r w:rsidRPr="00EC20A0">
        <w:t>response</w:t>
      </w:r>
      <w:r w:rsidRPr="00EC20A0">
        <w:rPr>
          <w:spacing w:val="-3"/>
        </w:rPr>
        <w:t xml:space="preserve"> </w:t>
      </w:r>
      <w:r w:rsidRPr="00EC20A0">
        <w:t>letter,</w:t>
      </w:r>
      <w:r w:rsidRPr="00EC20A0">
        <w:rPr>
          <w:spacing w:val="-4"/>
        </w:rPr>
        <w:t xml:space="preserve"> </w:t>
      </w:r>
      <w:r w:rsidRPr="00EC20A0">
        <w:t>which</w:t>
      </w:r>
      <w:r w:rsidRPr="00EC20A0">
        <w:rPr>
          <w:spacing w:val="-3"/>
        </w:rPr>
        <w:t xml:space="preserve"> </w:t>
      </w:r>
      <w:r w:rsidRPr="00EC20A0">
        <w:t>is</w:t>
      </w:r>
      <w:r w:rsidRPr="00EC20A0">
        <w:rPr>
          <w:spacing w:val="-3"/>
        </w:rPr>
        <w:t xml:space="preserve"> </w:t>
      </w:r>
      <w:r w:rsidRPr="00EC20A0">
        <w:t>no longer pending or threatened, is as follows:</w:t>
      </w:r>
    </w:p>
    <w:p w14:paraId="5ED4AD56" w14:textId="77777777" w:rsidR="007575FD" w:rsidRPr="00EC20A0" w:rsidRDefault="007575FD" w:rsidP="000D1F63">
      <w:pPr>
        <w:pStyle w:val="BodyText"/>
        <w:spacing w:before="60"/>
        <w:ind w:right="331"/>
      </w:pPr>
    </w:p>
    <w:p w14:paraId="24D61F53" w14:textId="77777777" w:rsidR="00245300" w:rsidRPr="007575FD" w:rsidRDefault="00F17249" w:rsidP="007575FD">
      <w:pPr>
        <w:ind w:left="180"/>
        <w:rPr>
          <w:b/>
          <w:bCs/>
        </w:rPr>
      </w:pPr>
      <w:r w:rsidRPr="007575FD">
        <w:rPr>
          <w:b/>
          <w:bCs/>
        </w:rPr>
        <w:t>[Identify litigation with a short description of its disposition.]</w:t>
      </w:r>
    </w:p>
    <w:p w14:paraId="24D61F54" w14:textId="77777777" w:rsidR="00245300" w:rsidRPr="00EC20A0" w:rsidRDefault="00F17249">
      <w:pPr>
        <w:pStyle w:val="BodyText"/>
        <w:spacing w:before="240" w:line="253" w:lineRule="exact"/>
        <w:ind w:left="199"/>
        <w:jc w:val="both"/>
      </w:pPr>
      <w:r w:rsidRPr="00EC20A0">
        <w:t>With</w:t>
      </w:r>
      <w:r w:rsidRPr="00EC20A0">
        <w:rPr>
          <w:spacing w:val="-7"/>
        </w:rPr>
        <w:t xml:space="preserve"> </w:t>
      </w:r>
      <w:r w:rsidRPr="00EC20A0">
        <w:t>respect</w:t>
      </w:r>
      <w:r w:rsidRPr="00EC20A0">
        <w:rPr>
          <w:spacing w:val="-7"/>
        </w:rPr>
        <w:t xml:space="preserve"> </w:t>
      </w:r>
      <w:r w:rsidRPr="00EC20A0">
        <w:t>to</w:t>
      </w:r>
      <w:r w:rsidRPr="00EC20A0">
        <w:rPr>
          <w:spacing w:val="-7"/>
        </w:rPr>
        <w:t xml:space="preserve"> </w:t>
      </w:r>
      <w:r w:rsidRPr="00EC20A0">
        <w:t>matters</w:t>
      </w:r>
      <w:r w:rsidRPr="00EC20A0">
        <w:rPr>
          <w:spacing w:val="-7"/>
        </w:rPr>
        <w:t xml:space="preserve"> </w:t>
      </w:r>
      <w:r w:rsidRPr="00EC20A0">
        <w:t>that</w:t>
      </w:r>
      <w:r w:rsidRPr="00EC20A0">
        <w:rPr>
          <w:spacing w:val="-6"/>
        </w:rPr>
        <w:t xml:space="preserve"> </w:t>
      </w:r>
      <w:r w:rsidRPr="00EC20A0">
        <w:t>have</w:t>
      </w:r>
      <w:r w:rsidRPr="00EC20A0">
        <w:rPr>
          <w:spacing w:val="-7"/>
        </w:rPr>
        <w:t xml:space="preserve"> </w:t>
      </w:r>
      <w:r w:rsidRPr="00EC20A0">
        <w:t>been</w:t>
      </w:r>
      <w:r w:rsidRPr="00EC20A0">
        <w:rPr>
          <w:spacing w:val="-6"/>
        </w:rPr>
        <w:t xml:space="preserve"> </w:t>
      </w:r>
      <w:r w:rsidRPr="00EC20A0">
        <w:t>specifically</w:t>
      </w:r>
      <w:r w:rsidRPr="00EC20A0">
        <w:rPr>
          <w:spacing w:val="-7"/>
        </w:rPr>
        <w:t xml:space="preserve"> </w:t>
      </w:r>
      <w:r w:rsidRPr="00EC20A0">
        <w:t>identified</w:t>
      </w:r>
      <w:r w:rsidRPr="00EC20A0">
        <w:rPr>
          <w:spacing w:val="-7"/>
        </w:rPr>
        <w:t xml:space="preserve"> </w:t>
      </w:r>
      <w:r w:rsidRPr="00EC20A0">
        <w:t>as</w:t>
      </w:r>
      <w:r w:rsidRPr="00EC20A0">
        <w:rPr>
          <w:spacing w:val="-7"/>
        </w:rPr>
        <w:t xml:space="preserve"> </w:t>
      </w:r>
      <w:r w:rsidRPr="00EC20A0">
        <w:t>contemplated</w:t>
      </w:r>
      <w:r w:rsidRPr="00EC20A0">
        <w:rPr>
          <w:spacing w:val="-6"/>
        </w:rPr>
        <w:t xml:space="preserve"> </w:t>
      </w:r>
      <w:r w:rsidRPr="00EC20A0">
        <w:t>by</w:t>
      </w:r>
      <w:r w:rsidRPr="00EC20A0">
        <w:rPr>
          <w:spacing w:val="-7"/>
        </w:rPr>
        <w:t xml:space="preserve"> </w:t>
      </w:r>
      <w:r w:rsidRPr="00EC20A0">
        <w:t>clauses</w:t>
      </w:r>
      <w:r w:rsidRPr="00EC20A0">
        <w:rPr>
          <w:spacing w:val="-6"/>
        </w:rPr>
        <w:t xml:space="preserve"> </w:t>
      </w:r>
      <w:r w:rsidRPr="00EC20A0">
        <w:t>(b)</w:t>
      </w:r>
      <w:r w:rsidRPr="00EC20A0">
        <w:rPr>
          <w:spacing w:val="-7"/>
        </w:rPr>
        <w:t xml:space="preserve"> </w:t>
      </w:r>
      <w:r w:rsidRPr="00EC20A0">
        <w:rPr>
          <w:spacing w:val="-5"/>
        </w:rPr>
        <w:t>or</w:t>
      </w:r>
    </w:p>
    <w:p w14:paraId="24D61F55" w14:textId="77777777" w:rsidR="00245300" w:rsidRPr="00EC20A0" w:rsidRDefault="00F17249">
      <w:pPr>
        <w:ind w:left="199" w:right="903" w:hanging="1"/>
        <w:jc w:val="both"/>
      </w:pPr>
      <w:r w:rsidRPr="00EC20A0">
        <w:t>(c)</w:t>
      </w:r>
      <w:r w:rsidRPr="00EC20A0">
        <w:rPr>
          <w:spacing w:val="-2"/>
        </w:rPr>
        <w:t xml:space="preserve"> </w:t>
      </w:r>
      <w:r w:rsidRPr="00EC20A0">
        <w:t>of</w:t>
      </w:r>
      <w:r w:rsidRPr="00EC20A0">
        <w:rPr>
          <w:spacing w:val="-2"/>
        </w:rPr>
        <w:t xml:space="preserve"> </w:t>
      </w:r>
      <w:r w:rsidRPr="00EC20A0">
        <w:t>paragraph</w:t>
      </w:r>
      <w:r w:rsidRPr="00EC20A0">
        <w:rPr>
          <w:spacing w:val="-2"/>
        </w:rPr>
        <w:t xml:space="preserve"> </w:t>
      </w:r>
      <w:r w:rsidRPr="00EC20A0">
        <w:t>5</w:t>
      </w:r>
      <w:r w:rsidRPr="00EC20A0">
        <w:rPr>
          <w:spacing w:val="-2"/>
        </w:rPr>
        <w:t xml:space="preserve"> </w:t>
      </w:r>
      <w:r w:rsidRPr="00EC20A0">
        <w:t>of</w:t>
      </w:r>
      <w:r w:rsidRPr="00EC20A0">
        <w:rPr>
          <w:spacing w:val="-2"/>
        </w:rPr>
        <w:t xml:space="preserve"> </w:t>
      </w:r>
      <w:r w:rsidRPr="00EC20A0">
        <w:t>the</w:t>
      </w:r>
      <w:r w:rsidRPr="00EC20A0">
        <w:rPr>
          <w:spacing w:val="-4"/>
        </w:rPr>
        <w:t xml:space="preserve"> </w:t>
      </w:r>
      <w:r w:rsidRPr="00EC20A0">
        <w:t>American</w:t>
      </w:r>
      <w:r w:rsidRPr="00EC20A0">
        <w:rPr>
          <w:spacing w:val="-2"/>
        </w:rPr>
        <w:t xml:space="preserve"> </w:t>
      </w:r>
      <w:r w:rsidRPr="00EC20A0">
        <w:t>Bar</w:t>
      </w:r>
      <w:r w:rsidRPr="00EC20A0">
        <w:rPr>
          <w:spacing w:val="-2"/>
        </w:rPr>
        <w:t xml:space="preserve"> </w:t>
      </w:r>
      <w:r w:rsidRPr="00EC20A0">
        <w:t>Association’s</w:t>
      </w:r>
      <w:r w:rsidRPr="00EC20A0">
        <w:rPr>
          <w:spacing w:val="-2"/>
        </w:rPr>
        <w:t xml:space="preserve"> </w:t>
      </w:r>
      <w:r w:rsidRPr="00EC20A0">
        <w:t>(ABA)</w:t>
      </w:r>
      <w:r w:rsidRPr="00EC20A0">
        <w:rPr>
          <w:spacing w:val="-2"/>
        </w:rPr>
        <w:t xml:space="preserve"> </w:t>
      </w:r>
      <w:r w:rsidRPr="00EC20A0">
        <w:rPr>
          <w:i/>
        </w:rPr>
        <w:t>Statement</w:t>
      </w:r>
      <w:r w:rsidRPr="00EC20A0">
        <w:rPr>
          <w:i/>
          <w:spacing w:val="-2"/>
        </w:rPr>
        <w:t xml:space="preserve"> </w:t>
      </w:r>
      <w:r w:rsidRPr="00EC20A0">
        <w:rPr>
          <w:i/>
        </w:rPr>
        <w:t>of</w:t>
      </w:r>
      <w:r w:rsidRPr="00EC20A0">
        <w:rPr>
          <w:i/>
          <w:spacing w:val="-2"/>
        </w:rPr>
        <w:t xml:space="preserve"> </w:t>
      </w:r>
      <w:r w:rsidRPr="00EC20A0">
        <w:rPr>
          <w:i/>
        </w:rPr>
        <w:t>Policy</w:t>
      </w:r>
      <w:r w:rsidRPr="00EC20A0">
        <w:rPr>
          <w:i/>
          <w:spacing w:val="-2"/>
        </w:rPr>
        <w:t xml:space="preserve"> </w:t>
      </w:r>
      <w:r w:rsidRPr="00EC20A0">
        <w:rPr>
          <w:i/>
        </w:rPr>
        <w:t>Regarding Lawyers’</w:t>
      </w:r>
      <w:r w:rsidRPr="00EC20A0">
        <w:rPr>
          <w:i/>
          <w:spacing w:val="-4"/>
        </w:rPr>
        <w:t xml:space="preserve"> </w:t>
      </w:r>
      <w:r w:rsidRPr="00EC20A0">
        <w:rPr>
          <w:i/>
        </w:rPr>
        <w:t>Responses</w:t>
      </w:r>
      <w:r w:rsidRPr="00EC20A0">
        <w:rPr>
          <w:i/>
          <w:spacing w:val="-3"/>
        </w:rPr>
        <w:t xml:space="preserve"> </w:t>
      </w:r>
      <w:r w:rsidRPr="00EC20A0">
        <w:rPr>
          <w:i/>
        </w:rPr>
        <w:t>to</w:t>
      </w:r>
      <w:r w:rsidRPr="00EC20A0">
        <w:rPr>
          <w:i/>
          <w:spacing w:val="-4"/>
        </w:rPr>
        <w:t xml:space="preserve"> </w:t>
      </w:r>
      <w:r w:rsidRPr="00EC20A0">
        <w:rPr>
          <w:i/>
        </w:rPr>
        <w:t>Auditors’</w:t>
      </w:r>
      <w:r w:rsidRPr="00EC20A0">
        <w:rPr>
          <w:i/>
          <w:spacing w:val="-4"/>
        </w:rPr>
        <w:t xml:space="preserve"> </w:t>
      </w:r>
      <w:r w:rsidRPr="00EC20A0">
        <w:rPr>
          <w:i/>
        </w:rPr>
        <w:t>Requests</w:t>
      </w:r>
      <w:r w:rsidRPr="00EC20A0">
        <w:rPr>
          <w:i/>
          <w:spacing w:val="-4"/>
        </w:rPr>
        <w:t xml:space="preserve"> </w:t>
      </w:r>
      <w:r w:rsidRPr="00EC20A0">
        <w:rPr>
          <w:i/>
        </w:rPr>
        <w:t>for</w:t>
      </w:r>
      <w:r w:rsidRPr="00EC20A0">
        <w:rPr>
          <w:i/>
          <w:spacing w:val="-4"/>
        </w:rPr>
        <w:t xml:space="preserve"> </w:t>
      </w:r>
      <w:r w:rsidRPr="00EC20A0">
        <w:rPr>
          <w:i/>
        </w:rPr>
        <w:t>Information</w:t>
      </w:r>
      <w:r w:rsidRPr="00EC20A0">
        <w:rPr>
          <w:i/>
          <w:spacing w:val="-4"/>
        </w:rPr>
        <w:t xml:space="preserve"> </w:t>
      </w:r>
      <w:r w:rsidRPr="00EC20A0">
        <w:t>(December</w:t>
      </w:r>
      <w:r w:rsidRPr="00EC20A0">
        <w:rPr>
          <w:spacing w:val="-4"/>
        </w:rPr>
        <w:t xml:space="preserve"> </w:t>
      </w:r>
      <w:r w:rsidRPr="00EC20A0">
        <w:t>1975),</w:t>
      </w:r>
      <w:r w:rsidRPr="00EC20A0">
        <w:rPr>
          <w:spacing w:val="-4"/>
        </w:rPr>
        <w:t xml:space="preserve"> </w:t>
      </w:r>
      <w:r w:rsidRPr="00EC20A0">
        <w:t>I</w:t>
      </w:r>
      <w:r w:rsidRPr="00EC20A0">
        <w:rPr>
          <w:spacing w:val="-4"/>
        </w:rPr>
        <w:t xml:space="preserve"> </w:t>
      </w:r>
      <w:r w:rsidRPr="00EC20A0">
        <w:t>advise</w:t>
      </w:r>
      <w:r w:rsidRPr="00EC20A0">
        <w:rPr>
          <w:spacing w:val="-4"/>
        </w:rPr>
        <w:t xml:space="preserve"> </w:t>
      </w:r>
      <w:r w:rsidRPr="00EC20A0">
        <w:t>you, subject to the last paragraph of this response letter, as follows.</w:t>
      </w:r>
    </w:p>
    <w:p w14:paraId="24D61F56" w14:textId="77777777" w:rsidR="00245300" w:rsidRPr="00EC20A0" w:rsidRDefault="00F17249">
      <w:pPr>
        <w:spacing w:before="240"/>
        <w:ind w:left="200"/>
        <w:rPr>
          <w:b/>
        </w:rPr>
      </w:pPr>
      <w:r w:rsidRPr="00EC20A0">
        <w:rPr>
          <w:b/>
          <w:u w:val="single"/>
        </w:rPr>
        <w:t>Unasserted</w:t>
      </w:r>
      <w:r w:rsidRPr="00EC20A0">
        <w:rPr>
          <w:b/>
          <w:spacing w:val="-8"/>
          <w:u w:val="single"/>
        </w:rPr>
        <w:t xml:space="preserve"> </w:t>
      </w:r>
      <w:r w:rsidRPr="00EC20A0">
        <w:rPr>
          <w:b/>
          <w:u w:val="single"/>
        </w:rPr>
        <w:t>Claims</w:t>
      </w:r>
      <w:r w:rsidRPr="00EC20A0">
        <w:rPr>
          <w:b/>
          <w:spacing w:val="-9"/>
          <w:u w:val="single"/>
        </w:rPr>
        <w:t xml:space="preserve"> </w:t>
      </w:r>
      <w:r w:rsidRPr="00EC20A0">
        <w:rPr>
          <w:b/>
          <w:u w:val="single"/>
        </w:rPr>
        <w:t>and</w:t>
      </w:r>
      <w:r w:rsidRPr="00EC20A0">
        <w:rPr>
          <w:b/>
          <w:spacing w:val="-9"/>
          <w:u w:val="single"/>
        </w:rPr>
        <w:t xml:space="preserve"> </w:t>
      </w:r>
      <w:r w:rsidRPr="00EC20A0">
        <w:rPr>
          <w:b/>
          <w:spacing w:val="-2"/>
          <w:u w:val="single"/>
        </w:rPr>
        <w:t>Assessments</w:t>
      </w:r>
    </w:p>
    <w:p w14:paraId="24D61F57" w14:textId="77777777" w:rsidR="00245300" w:rsidRPr="00EC20A0" w:rsidRDefault="00F17249">
      <w:pPr>
        <w:pStyle w:val="BodyText"/>
        <w:spacing w:before="240"/>
        <w:ind w:left="200" w:right="345"/>
      </w:pPr>
      <w:r w:rsidRPr="00EC20A0">
        <w:t>(Considered</w:t>
      </w:r>
      <w:r w:rsidRPr="00EC20A0">
        <w:rPr>
          <w:spacing w:val="-3"/>
        </w:rPr>
        <w:t xml:space="preserve"> </w:t>
      </w:r>
      <w:r w:rsidRPr="00EC20A0">
        <w:t>to</w:t>
      </w:r>
      <w:r w:rsidRPr="00EC20A0">
        <w:rPr>
          <w:spacing w:val="-3"/>
        </w:rPr>
        <w:t xml:space="preserve"> </w:t>
      </w:r>
      <w:r w:rsidRPr="00EC20A0">
        <w:t>be</w:t>
      </w:r>
      <w:r w:rsidRPr="00EC20A0">
        <w:rPr>
          <w:spacing w:val="-3"/>
        </w:rPr>
        <w:t xml:space="preserve"> </w:t>
      </w:r>
      <w:r w:rsidRPr="00EC20A0">
        <w:t>probable</w:t>
      </w:r>
      <w:r w:rsidRPr="00EC20A0">
        <w:rPr>
          <w:spacing w:val="-3"/>
        </w:rPr>
        <w:t xml:space="preserve"> </w:t>
      </w:r>
      <w:r w:rsidRPr="00EC20A0">
        <w:t>of</w:t>
      </w:r>
      <w:r w:rsidRPr="00EC20A0">
        <w:rPr>
          <w:spacing w:val="-3"/>
        </w:rPr>
        <w:t xml:space="preserve"> </w:t>
      </w:r>
      <w:r w:rsidRPr="00EC20A0">
        <w:t>assertion</w:t>
      </w:r>
      <w:r w:rsidRPr="00EC20A0">
        <w:rPr>
          <w:spacing w:val="-3"/>
        </w:rPr>
        <w:t xml:space="preserve"> </w:t>
      </w:r>
      <w:r w:rsidRPr="00EC20A0">
        <w:t>and</w:t>
      </w:r>
      <w:r w:rsidRPr="00EC20A0">
        <w:rPr>
          <w:spacing w:val="-3"/>
        </w:rPr>
        <w:t xml:space="preserve"> </w:t>
      </w:r>
      <w:r w:rsidRPr="00EC20A0">
        <w:t>that</w:t>
      </w:r>
      <w:r w:rsidRPr="00EC20A0">
        <w:rPr>
          <w:spacing w:val="-4"/>
        </w:rPr>
        <w:t xml:space="preserve"> </w:t>
      </w:r>
      <w:r w:rsidRPr="00EC20A0">
        <w:t>if</w:t>
      </w:r>
      <w:r w:rsidRPr="00EC20A0">
        <w:rPr>
          <w:spacing w:val="-3"/>
        </w:rPr>
        <w:t xml:space="preserve"> </w:t>
      </w:r>
      <w:r w:rsidRPr="00EC20A0">
        <w:t>asserted</w:t>
      </w:r>
      <w:r w:rsidRPr="00EC20A0">
        <w:rPr>
          <w:spacing w:val="-4"/>
        </w:rPr>
        <w:t xml:space="preserve"> </w:t>
      </w:r>
      <w:r w:rsidRPr="00EC20A0">
        <w:t>would</w:t>
      </w:r>
      <w:r w:rsidRPr="00EC20A0">
        <w:rPr>
          <w:spacing w:val="-3"/>
        </w:rPr>
        <w:t xml:space="preserve"> </w:t>
      </w:r>
      <w:r w:rsidRPr="00EC20A0">
        <w:t>have</w:t>
      </w:r>
      <w:r w:rsidRPr="00EC20A0">
        <w:rPr>
          <w:spacing w:val="-4"/>
        </w:rPr>
        <w:t xml:space="preserve"> </w:t>
      </w:r>
      <w:r w:rsidRPr="00EC20A0">
        <w:t>at</w:t>
      </w:r>
      <w:r w:rsidRPr="00EC20A0">
        <w:rPr>
          <w:spacing w:val="-3"/>
        </w:rPr>
        <w:t xml:space="preserve"> </w:t>
      </w:r>
      <w:r w:rsidRPr="00EC20A0">
        <w:t>least</w:t>
      </w:r>
      <w:r w:rsidRPr="00EC20A0">
        <w:rPr>
          <w:spacing w:val="-3"/>
        </w:rPr>
        <w:t xml:space="preserve"> </w:t>
      </w:r>
      <w:r w:rsidRPr="00EC20A0">
        <w:t>a</w:t>
      </w:r>
      <w:r w:rsidRPr="00EC20A0">
        <w:rPr>
          <w:spacing w:val="-3"/>
        </w:rPr>
        <w:t xml:space="preserve"> </w:t>
      </w:r>
      <w:r w:rsidRPr="00EC20A0">
        <w:t>reasonable possibility of an unfavorable outcome.)</w:t>
      </w:r>
    </w:p>
    <w:p w14:paraId="24D61F58" w14:textId="77777777" w:rsidR="00245300" w:rsidRPr="00EC20A0" w:rsidRDefault="00F17249">
      <w:pPr>
        <w:pStyle w:val="ListParagraph"/>
        <w:numPr>
          <w:ilvl w:val="0"/>
          <w:numId w:val="59"/>
        </w:numPr>
        <w:tabs>
          <w:tab w:val="left" w:pos="559"/>
        </w:tabs>
        <w:spacing w:before="241"/>
        <w:ind w:hanging="359"/>
      </w:pPr>
      <w:r w:rsidRPr="00EC20A0">
        <w:t>Nature</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rPr>
          <w:spacing w:val="-2"/>
        </w:rPr>
        <w:t>matter.</w:t>
      </w:r>
    </w:p>
    <w:p w14:paraId="24D61F59" w14:textId="77777777" w:rsidR="00245300" w:rsidRPr="00EC20A0" w:rsidRDefault="00F17249">
      <w:pPr>
        <w:pStyle w:val="ListParagraph"/>
        <w:numPr>
          <w:ilvl w:val="0"/>
          <w:numId w:val="59"/>
        </w:numPr>
        <w:tabs>
          <w:tab w:val="left" w:pos="559"/>
        </w:tabs>
        <w:spacing w:before="239"/>
        <w:ind w:hanging="359"/>
      </w:pPr>
      <w:r w:rsidRPr="00EC20A0">
        <w:t>Intended</w:t>
      </w:r>
      <w:r w:rsidRPr="00EC20A0">
        <w:rPr>
          <w:spacing w:val="-6"/>
        </w:rPr>
        <w:t xml:space="preserve"> </w:t>
      </w:r>
      <w:r w:rsidRPr="00EC20A0">
        <w:t>response</w:t>
      </w:r>
      <w:r w:rsidRPr="00EC20A0">
        <w:rPr>
          <w:spacing w:val="-6"/>
        </w:rPr>
        <w:t xml:space="preserve"> </w:t>
      </w:r>
      <w:r w:rsidRPr="00EC20A0">
        <w:t>if</w:t>
      </w:r>
      <w:r w:rsidRPr="00EC20A0">
        <w:rPr>
          <w:spacing w:val="-6"/>
        </w:rPr>
        <w:t xml:space="preserve"> </w:t>
      </w:r>
      <w:r w:rsidRPr="00EC20A0">
        <w:t>claim</w:t>
      </w:r>
      <w:r w:rsidRPr="00EC20A0">
        <w:rPr>
          <w:spacing w:val="-7"/>
        </w:rPr>
        <w:t xml:space="preserve"> </w:t>
      </w:r>
      <w:r w:rsidRPr="00EC20A0">
        <w:t>would</w:t>
      </w:r>
      <w:r w:rsidRPr="00EC20A0">
        <w:rPr>
          <w:spacing w:val="-6"/>
        </w:rPr>
        <w:t xml:space="preserve"> </w:t>
      </w:r>
      <w:r w:rsidRPr="00EC20A0">
        <w:t>be</w:t>
      </w:r>
      <w:r w:rsidRPr="00EC20A0">
        <w:rPr>
          <w:spacing w:val="-6"/>
        </w:rPr>
        <w:t xml:space="preserve"> </w:t>
      </w:r>
      <w:r w:rsidRPr="00EC20A0">
        <w:rPr>
          <w:spacing w:val="-2"/>
        </w:rPr>
        <w:t>asserted.</w:t>
      </w:r>
    </w:p>
    <w:p w14:paraId="24D61F5A" w14:textId="77777777" w:rsidR="00245300" w:rsidRPr="00EC20A0" w:rsidRDefault="00F17249">
      <w:pPr>
        <w:pStyle w:val="ListParagraph"/>
        <w:numPr>
          <w:ilvl w:val="0"/>
          <w:numId w:val="59"/>
        </w:numPr>
        <w:tabs>
          <w:tab w:val="left" w:pos="559"/>
        </w:tabs>
        <w:ind w:right="350"/>
      </w:pPr>
      <w:r w:rsidRPr="00EC20A0">
        <w:t>Evaluation</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likelihood</w:t>
      </w:r>
      <w:r w:rsidRPr="00EC20A0">
        <w:rPr>
          <w:spacing w:val="-4"/>
        </w:rPr>
        <w:t xml:space="preserve"> </w:t>
      </w:r>
      <w:r w:rsidRPr="00EC20A0">
        <w:t>of</w:t>
      </w:r>
      <w:r w:rsidRPr="00EC20A0">
        <w:rPr>
          <w:spacing w:val="-4"/>
        </w:rPr>
        <w:t xml:space="preserve"> </w:t>
      </w:r>
      <w:r w:rsidRPr="00EC20A0">
        <w:t>an</w:t>
      </w:r>
      <w:r w:rsidRPr="00EC20A0">
        <w:rPr>
          <w:spacing w:val="-4"/>
        </w:rPr>
        <w:t xml:space="preserve"> </w:t>
      </w:r>
      <w:r w:rsidRPr="00EC20A0">
        <w:t>unfavorable</w:t>
      </w:r>
      <w:r w:rsidRPr="00EC20A0">
        <w:rPr>
          <w:spacing w:val="-4"/>
        </w:rPr>
        <w:t xml:space="preserve"> </w:t>
      </w:r>
      <w:r w:rsidRPr="00EC20A0">
        <w:t>outcome.</w:t>
      </w:r>
      <w:r w:rsidRPr="00EC20A0">
        <w:rPr>
          <w:spacing w:val="-4"/>
        </w:rPr>
        <w:t xml:space="preserve"> </w:t>
      </w:r>
      <w:r w:rsidRPr="00EC20A0">
        <w:t>(Categorize</w:t>
      </w:r>
      <w:r w:rsidRPr="00EC20A0">
        <w:rPr>
          <w:spacing w:val="-4"/>
        </w:rPr>
        <w:t xml:space="preserve"> </w:t>
      </w:r>
      <w:r w:rsidRPr="00EC20A0">
        <w:t>likelihood</w:t>
      </w:r>
      <w:r w:rsidRPr="00EC20A0">
        <w:rPr>
          <w:spacing w:val="-4"/>
        </w:rPr>
        <w:t xml:space="preserve"> </w:t>
      </w:r>
      <w:r w:rsidRPr="00EC20A0">
        <w:t>as</w:t>
      </w:r>
      <w:r w:rsidRPr="00EC20A0">
        <w:rPr>
          <w:spacing w:val="-4"/>
        </w:rPr>
        <w:t xml:space="preserve"> </w:t>
      </w:r>
      <w:r w:rsidRPr="00EC20A0">
        <w:t>probable</w:t>
      </w:r>
      <w:r w:rsidRPr="00EC20A0">
        <w:rPr>
          <w:spacing w:val="-4"/>
        </w:rPr>
        <w:t xml:space="preserve"> </w:t>
      </w:r>
      <w:r w:rsidRPr="00EC20A0">
        <w:t>or reasonably possible.)</w:t>
      </w:r>
    </w:p>
    <w:p w14:paraId="24D61F5B" w14:textId="77777777" w:rsidR="00245300" w:rsidRPr="00EC20A0" w:rsidRDefault="00F17249">
      <w:pPr>
        <w:pStyle w:val="ListParagraph"/>
        <w:numPr>
          <w:ilvl w:val="0"/>
          <w:numId w:val="59"/>
        </w:numPr>
        <w:tabs>
          <w:tab w:val="left" w:pos="558"/>
        </w:tabs>
        <w:spacing w:before="241"/>
        <w:ind w:left="558" w:hanging="359"/>
      </w:pPr>
      <w:r w:rsidRPr="00EC20A0">
        <w:t>Estimated</w:t>
      </w:r>
      <w:r w:rsidRPr="00EC20A0">
        <w:rPr>
          <w:spacing w:val="-6"/>
        </w:rPr>
        <w:t xml:space="preserve"> </w:t>
      </w:r>
      <w:r w:rsidRPr="00EC20A0">
        <w:t>amount</w:t>
      </w:r>
      <w:r w:rsidRPr="00EC20A0">
        <w:rPr>
          <w:spacing w:val="-6"/>
        </w:rPr>
        <w:t xml:space="preserve"> </w:t>
      </w:r>
      <w:r w:rsidRPr="00EC20A0">
        <w:t>or</w:t>
      </w:r>
      <w:r w:rsidRPr="00EC20A0">
        <w:rPr>
          <w:spacing w:val="-6"/>
        </w:rPr>
        <w:t xml:space="preserve"> </w:t>
      </w:r>
      <w:r w:rsidRPr="00EC20A0">
        <w:t>range</w:t>
      </w:r>
      <w:r w:rsidRPr="00EC20A0">
        <w:rPr>
          <w:spacing w:val="-6"/>
        </w:rPr>
        <w:t xml:space="preserve"> </w:t>
      </w:r>
      <w:r w:rsidRPr="00EC20A0">
        <w:t>of</w:t>
      </w:r>
      <w:r w:rsidRPr="00EC20A0">
        <w:rPr>
          <w:spacing w:val="-6"/>
        </w:rPr>
        <w:t xml:space="preserve"> </w:t>
      </w:r>
      <w:r w:rsidRPr="00EC20A0">
        <w:t>potential</w:t>
      </w:r>
      <w:r w:rsidRPr="00EC20A0">
        <w:rPr>
          <w:spacing w:val="-5"/>
        </w:rPr>
        <w:t xml:space="preserve"> </w:t>
      </w:r>
      <w:r w:rsidRPr="00EC20A0">
        <w:t>loss,</w:t>
      </w:r>
      <w:r w:rsidRPr="00EC20A0">
        <w:rPr>
          <w:spacing w:val="-6"/>
        </w:rPr>
        <w:t xml:space="preserve"> </w:t>
      </w:r>
      <w:r w:rsidRPr="00EC20A0">
        <w:t>if</w:t>
      </w:r>
      <w:r w:rsidRPr="00EC20A0">
        <w:rPr>
          <w:spacing w:val="-6"/>
        </w:rPr>
        <w:t xml:space="preserve"> </w:t>
      </w:r>
      <w:r w:rsidRPr="00EC20A0">
        <w:rPr>
          <w:spacing w:val="-2"/>
        </w:rPr>
        <w:t>determinable.</w:t>
      </w:r>
    </w:p>
    <w:p w14:paraId="24D61F5C" w14:textId="77777777" w:rsidR="00245300" w:rsidRPr="00EC20A0" w:rsidRDefault="00245300">
      <w:pPr>
        <w:pStyle w:val="BodyText"/>
      </w:pPr>
    </w:p>
    <w:p w14:paraId="24D61F5D" w14:textId="77777777" w:rsidR="00245300" w:rsidRPr="00EC20A0" w:rsidRDefault="00245300">
      <w:pPr>
        <w:pStyle w:val="BodyText"/>
        <w:spacing w:before="226"/>
      </w:pPr>
    </w:p>
    <w:p w14:paraId="24D61F5E" w14:textId="77777777" w:rsidR="00245300" w:rsidRPr="00EC20A0" w:rsidRDefault="00F17249">
      <w:pPr>
        <w:ind w:right="138"/>
        <w:jc w:val="center"/>
      </w:pPr>
      <w:r w:rsidRPr="00EC20A0">
        <w:t>*</w:t>
      </w:r>
      <w:r w:rsidRPr="00EC20A0">
        <w:rPr>
          <w:spacing w:val="-2"/>
        </w:rPr>
        <w:t xml:space="preserve"> </w:t>
      </w:r>
      <w:r w:rsidRPr="00EC20A0">
        <w:t>*</w:t>
      </w:r>
      <w:r w:rsidRPr="00EC20A0">
        <w:rPr>
          <w:spacing w:val="-2"/>
        </w:rPr>
        <w:t xml:space="preserve"> </w:t>
      </w:r>
      <w:r w:rsidRPr="00EC20A0">
        <w:t>*</w:t>
      </w:r>
      <w:r w:rsidRPr="00EC20A0">
        <w:rPr>
          <w:spacing w:val="-2"/>
        </w:rPr>
        <w:t xml:space="preserve"> </w:t>
      </w:r>
      <w:r w:rsidRPr="00EC20A0">
        <w:t>*</w:t>
      </w:r>
      <w:r w:rsidRPr="00EC20A0">
        <w:rPr>
          <w:spacing w:val="-2"/>
        </w:rPr>
        <w:t xml:space="preserve"> </w:t>
      </w:r>
      <w:r w:rsidRPr="00EC20A0">
        <w:rPr>
          <w:spacing w:val="-10"/>
        </w:rPr>
        <w:t>*</w:t>
      </w:r>
    </w:p>
    <w:p w14:paraId="24D61F5F" w14:textId="77777777" w:rsidR="00245300" w:rsidRPr="00EC20A0" w:rsidRDefault="00245300">
      <w:pPr>
        <w:jc w:val="center"/>
        <w:sectPr w:rsidR="00245300" w:rsidRPr="00EC20A0">
          <w:pgSz w:w="12240" w:h="15840"/>
          <w:pgMar w:top="1340" w:right="1100" w:bottom="940" w:left="1240" w:header="721" w:footer="757" w:gutter="0"/>
          <w:cols w:space="720"/>
        </w:sectPr>
      </w:pPr>
    </w:p>
    <w:p w14:paraId="0E2542AA" w14:textId="77777777" w:rsidR="000D1F63" w:rsidRDefault="000D1F63" w:rsidP="000D1F63">
      <w:pPr>
        <w:ind w:left="180"/>
      </w:pPr>
    </w:p>
    <w:p w14:paraId="24D61F60" w14:textId="203AE30E" w:rsidR="00245300" w:rsidRPr="00EC20A0" w:rsidRDefault="00F17249" w:rsidP="000D1F63">
      <w:pPr>
        <w:ind w:left="187"/>
      </w:pPr>
      <w:r w:rsidRPr="00EC20A0">
        <w:t>The</w:t>
      </w:r>
      <w:r w:rsidRPr="00EC20A0">
        <w:rPr>
          <w:spacing w:val="-1"/>
        </w:rPr>
        <w:t xml:space="preserve"> </w:t>
      </w:r>
      <w:r w:rsidRPr="00EC20A0">
        <w:t>information</w:t>
      </w:r>
      <w:r w:rsidRPr="00EC20A0">
        <w:rPr>
          <w:spacing w:val="-1"/>
        </w:rPr>
        <w:t xml:space="preserve"> </w:t>
      </w:r>
      <w:r w:rsidRPr="00EC20A0">
        <w:t>set</w:t>
      </w:r>
      <w:r w:rsidRPr="00EC20A0">
        <w:rPr>
          <w:spacing w:val="-1"/>
        </w:rPr>
        <w:t xml:space="preserve"> </w:t>
      </w:r>
      <w:r w:rsidRPr="00EC20A0">
        <w:t>forth</w:t>
      </w:r>
      <w:r w:rsidRPr="00EC20A0">
        <w:rPr>
          <w:spacing w:val="-2"/>
        </w:rPr>
        <w:t xml:space="preserve"> </w:t>
      </w:r>
      <w:r w:rsidRPr="00EC20A0">
        <w:t>herein</w:t>
      </w:r>
      <w:r w:rsidRPr="00EC20A0">
        <w:rPr>
          <w:spacing w:val="-1"/>
        </w:rPr>
        <w:t xml:space="preserve"> </w:t>
      </w:r>
      <w:r w:rsidRPr="00EC20A0">
        <w:t>is</w:t>
      </w:r>
      <w:r w:rsidRPr="00EC20A0">
        <w:rPr>
          <w:spacing w:val="-1"/>
        </w:rPr>
        <w:t xml:space="preserve"> </w:t>
      </w:r>
      <w:r w:rsidRPr="00EC20A0">
        <w:t>as</w:t>
      </w:r>
      <w:r w:rsidRPr="00EC20A0">
        <w:rPr>
          <w:spacing w:val="-2"/>
        </w:rPr>
        <w:t xml:space="preserve"> </w:t>
      </w:r>
      <w:r w:rsidRPr="00EC20A0">
        <w:t>of</w:t>
      </w:r>
      <w:r w:rsidRPr="00EC20A0">
        <w:rPr>
          <w:spacing w:val="-1"/>
        </w:rPr>
        <w:t xml:space="preserve"> </w:t>
      </w:r>
      <w:r w:rsidRPr="00EC20A0">
        <w:t>the</w:t>
      </w:r>
      <w:r w:rsidRPr="00EC20A0">
        <w:rPr>
          <w:spacing w:val="-1"/>
        </w:rPr>
        <w:t xml:space="preserve"> </w:t>
      </w:r>
      <w:r w:rsidRPr="00EC20A0">
        <w:t>date</w:t>
      </w:r>
      <w:r w:rsidRPr="00EC20A0">
        <w:rPr>
          <w:spacing w:val="-2"/>
        </w:rPr>
        <w:t xml:space="preserve"> </w:t>
      </w:r>
      <w:r w:rsidRPr="00EC20A0">
        <w:t>of</w:t>
      </w:r>
      <w:r w:rsidRPr="00EC20A0">
        <w:rPr>
          <w:spacing w:val="-1"/>
        </w:rPr>
        <w:t xml:space="preserve"> </w:t>
      </w:r>
      <w:r w:rsidRPr="00EC20A0">
        <w:t>this</w:t>
      </w:r>
      <w:r w:rsidRPr="00EC20A0">
        <w:rPr>
          <w:spacing w:val="-1"/>
        </w:rPr>
        <w:t xml:space="preserve"> </w:t>
      </w:r>
      <w:r w:rsidRPr="00EC20A0">
        <w:t>response</w:t>
      </w:r>
      <w:r w:rsidRPr="00EC20A0">
        <w:rPr>
          <w:spacing w:val="-1"/>
        </w:rPr>
        <w:t xml:space="preserve"> </w:t>
      </w:r>
      <w:r w:rsidRPr="00EC20A0">
        <w:t>letter</w:t>
      </w:r>
      <w:r w:rsidRPr="00EC20A0">
        <w:rPr>
          <w:spacing w:val="-1"/>
        </w:rPr>
        <w:t xml:space="preserve"> </w:t>
      </w:r>
      <w:r w:rsidRPr="000D1F63">
        <w:rPr>
          <w:b/>
          <w:bCs/>
        </w:rPr>
        <w:t>OR</w:t>
      </w:r>
      <w:r w:rsidRPr="000D1F63">
        <w:rPr>
          <w:b/>
          <w:bCs/>
          <w:spacing w:val="-2"/>
        </w:rPr>
        <w:t xml:space="preserve"> </w:t>
      </w:r>
      <w:r w:rsidRPr="000D1F63">
        <w:rPr>
          <w:b/>
          <w:bCs/>
        </w:rPr>
        <w:t>[as</w:t>
      </w:r>
      <w:r w:rsidRPr="000D1F63">
        <w:rPr>
          <w:b/>
          <w:bCs/>
          <w:spacing w:val="-1"/>
        </w:rPr>
        <w:t xml:space="preserve"> </w:t>
      </w:r>
      <w:r w:rsidRPr="000D1F63">
        <w:rPr>
          <w:b/>
          <w:bCs/>
        </w:rPr>
        <w:t>of</w:t>
      </w:r>
      <w:r w:rsidRPr="000D1F63">
        <w:rPr>
          <w:b/>
          <w:bCs/>
          <w:spacing w:val="-1"/>
        </w:rPr>
        <w:t xml:space="preserve"> </w:t>
      </w:r>
      <w:r w:rsidRPr="000D1F63">
        <w:rPr>
          <w:b/>
          <w:bCs/>
        </w:rPr>
        <w:t>[insert</w:t>
      </w:r>
      <w:r w:rsidRPr="000D1F63">
        <w:rPr>
          <w:b/>
          <w:bCs/>
          <w:spacing w:val="-1"/>
        </w:rPr>
        <w:t xml:space="preserve"> </w:t>
      </w:r>
      <w:r w:rsidRPr="000D1F63">
        <w:rPr>
          <w:b/>
          <w:bCs/>
        </w:rPr>
        <w:t>date], the effective date on which we commenced our internal review procedures for purposes of</w:t>
      </w:r>
      <w:r w:rsidRPr="000D1F63">
        <w:rPr>
          <w:b/>
          <w:bCs/>
          <w:spacing w:val="-2"/>
        </w:rPr>
        <w:t xml:space="preserve"> </w:t>
      </w:r>
      <w:r w:rsidRPr="000D1F63">
        <w:rPr>
          <w:b/>
          <w:bCs/>
        </w:rPr>
        <w:t>preparing</w:t>
      </w:r>
      <w:r w:rsidRPr="000D1F63">
        <w:rPr>
          <w:b/>
          <w:bCs/>
          <w:spacing w:val="-2"/>
        </w:rPr>
        <w:t xml:space="preserve"> </w:t>
      </w:r>
      <w:r w:rsidRPr="000D1F63">
        <w:rPr>
          <w:b/>
          <w:bCs/>
        </w:rPr>
        <w:t>this</w:t>
      </w:r>
      <w:r w:rsidRPr="000D1F63">
        <w:rPr>
          <w:b/>
          <w:bCs/>
          <w:spacing w:val="-2"/>
        </w:rPr>
        <w:t xml:space="preserve"> </w:t>
      </w:r>
      <w:r w:rsidRPr="000D1F63">
        <w:rPr>
          <w:b/>
          <w:bCs/>
        </w:rPr>
        <w:t>response]</w:t>
      </w:r>
      <w:r w:rsidRPr="00EC20A0">
        <w:t>,</w:t>
      </w:r>
      <w:r w:rsidRPr="00EC20A0">
        <w:rPr>
          <w:spacing w:val="-2"/>
        </w:rPr>
        <w:t xml:space="preserve"> </w:t>
      </w:r>
      <w:r w:rsidRPr="00EC20A0">
        <w:t>except</w:t>
      </w:r>
      <w:r w:rsidRPr="00EC20A0">
        <w:rPr>
          <w:spacing w:val="-2"/>
        </w:rPr>
        <w:t xml:space="preserve"> </w:t>
      </w:r>
      <w:r w:rsidRPr="00EC20A0">
        <w:t>as</w:t>
      </w:r>
      <w:r w:rsidRPr="00EC20A0">
        <w:rPr>
          <w:spacing w:val="-2"/>
        </w:rPr>
        <w:t xml:space="preserve"> </w:t>
      </w:r>
      <w:r w:rsidRPr="00EC20A0">
        <w:t>otherwise</w:t>
      </w:r>
      <w:r w:rsidRPr="00EC20A0">
        <w:rPr>
          <w:spacing w:val="-2"/>
        </w:rPr>
        <w:t xml:space="preserve"> </w:t>
      </w:r>
      <w:r w:rsidRPr="00EC20A0">
        <w:t>noted.</w:t>
      </w:r>
      <w:r w:rsidRPr="00EC20A0">
        <w:rPr>
          <w:spacing w:val="-2"/>
        </w:rPr>
        <w:t xml:space="preserve"> </w:t>
      </w:r>
      <w:r w:rsidRPr="000D1F63">
        <w:rPr>
          <w:b/>
          <w:bCs/>
        </w:rPr>
        <w:t>[If</w:t>
      </w:r>
      <w:r w:rsidRPr="000D1F63">
        <w:rPr>
          <w:b/>
          <w:bCs/>
          <w:spacing w:val="-3"/>
        </w:rPr>
        <w:t xml:space="preserve"> </w:t>
      </w:r>
      <w:r w:rsidRPr="000D1F63">
        <w:rPr>
          <w:b/>
          <w:bCs/>
        </w:rPr>
        <w:t>an</w:t>
      </w:r>
      <w:r w:rsidRPr="000D1F63">
        <w:rPr>
          <w:b/>
          <w:bCs/>
          <w:spacing w:val="-2"/>
        </w:rPr>
        <w:t xml:space="preserve"> </w:t>
      </w:r>
      <w:r w:rsidRPr="000D1F63">
        <w:rPr>
          <w:b/>
          <w:bCs/>
        </w:rPr>
        <w:t>interim</w:t>
      </w:r>
      <w:r w:rsidRPr="000D1F63">
        <w:rPr>
          <w:b/>
          <w:bCs/>
          <w:spacing w:val="-2"/>
        </w:rPr>
        <w:t xml:space="preserve"> </w:t>
      </w:r>
      <w:r w:rsidRPr="000D1F63">
        <w:rPr>
          <w:b/>
          <w:bCs/>
        </w:rPr>
        <w:t>response,</w:t>
      </w:r>
      <w:r w:rsidRPr="000D1F63">
        <w:rPr>
          <w:b/>
          <w:bCs/>
          <w:spacing w:val="-2"/>
        </w:rPr>
        <w:t xml:space="preserve"> </w:t>
      </w:r>
      <w:r w:rsidRPr="000D1F63">
        <w:rPr>
          <w:b/>
          <w:bCs/>
        </w:rPr>
        <w:t>add</w:t>
      </w:r>
      <w:r w:rsidRPr="000D1F63">
        <w:rPr>
          <w:b/>
          <w:bCs/>
          <w:spacing w:val="-2"/>
        </w:rPr>
        <w:t xml:space="preserve"> </w:t>
      </w:r>
      <w:r w:rsidRPr="000D1F63">
        <w:rPr>
          <w:b/>
          <w:bCs/>
        </w:rPr>
        <w:t>“Upon receipt of a request to update the response, I will provide an updated response, which is due on [date],”] [If a final response: I disclaim any undertaking to advise you of changes that</w:t>
      </w:r>
      <w:r w:rsidRPr="000D1F63">
        <w:rPr>
          <w:b/>
          <w:bCs/>
          <w:spacing w:val="-3"/>
        </w:rPr>
        <w:t xml:space="preserve"> </w:t>
      </w:r>
      <w:r w:rsidRPr="000D1F63">
        <w:rPr>
          <w:b/>
          <w:bCs/>
        </w:rPr>
        <w:t>after</w:t>
      </w:r>
      <w:r w:rsidRPr="000D1F63">
        <w:rPr>
          <w:b/>
          <w:bCs/>
          <w:spacing w:val="-4"/>
        </w:rPr>
        <w:t xml:space="preserve"> </w:t>
      </w:r>
      <w:r w:rsidRPr="000D1F63">
        <w:rPr>
          <w:b/>
          <w:bCs/>
        </w:rPr>
        <w:t>the</w:t>
      </w:r>
      <w:r w:rsidRPr="000D1F63">
        <w:rPr>
          <w:b/>
          <w:bCs/>
          <w:spacing w:val="-3"/>
        </w:rPr>
        <w:t xml:space="preserve"> </w:t>
      </w:r>
      <w:r w:rsidRPr="000D1F63">
        <w:rPr>
          <w:b/>
          <w:bCs/>
        </w:rPr>
        <w:t>date</w:t>
      </w:r>
      <w:r w:rsidRPr="000D1F63">
        <w:rPr>
          <w:b/>
          <w:bCs/>
          <w:spacing w:val="-3"/>
        </w:rPr>
        <w:t xml:space="preserve"> </w:t>
      </w:r>
      <w:r w:rsidRPr="000D1F63">
        <w:rPr>
          <w:b/>
          <w:bCs/>
        </w:rPr>
        <w:t>of</w:t>
      </w:r>
      <w:r w:rsidRPr="000D1F63">
        <w:rPr>
          <w:b/>
          <w:bCs/>
          <w:spacing w:val="-3"/>
        </w:rPr>
        <w:t xml:space="preserve"> </w:t>
      </w:r>
      <w:r w:rsidRPr="000D1F63">
        <w:rPr>
          <w:b/>
          <w:bCs/>
        </w:rPr>
        <w:t>this</w:t>
      </w:r>
      <w:r w:rsidRPr="000D1F63">
        <w:rPr>
          <w:b/>
          <w:bCs/>
          <w:spacing w:val="-3"/>
        </w:rPr>
        <w:t xml:space="preserve"> </w:t>
      </w:r>
      <w:r w:rsidRPr="000D1F63">
        <w:rPr>
          <w:b/>
          <w:bCs/>
        </w:rPr>
        <w:t>response</w:t>
      </w:r>
      <w:r w:rsidRPr="000D1F63">
        <w:rPr>
          <w:b/>
          <w:bCs/>
          <w:spacing w:val="-3"/>
        </w:rPr>
        <w:t xml:space="preserve"> </w:t>
      </w:r>
      <w:r w:rsidRPr="000D1F63">
        <w:rPr>
          <w:b/>
          <w:bCs/>
        </w:rPr>
        <w:t>letter,</w:t>
      </w:r>
      <w:r w:rsidRPr="000D1F63">
        <w:rPr>
          <w:b/>
          <w:bCs/>
          <w:spacing w:val="-3"/>
        </w:rPr>
        <w:t xml:space="preserve"> </w:t>
      </w:r>
      <w:r w:rsidRPr="000D1F63">
        <w:rPr>
          <w:b/>
          <w:bCs/>
        </w:rPr>
        <w:t>may</w:t>
      </w:r>
      <w:r w:rsidRPr="000D1F63">
        <w:rPr>
          <w:b/>
          <w:bCs/>
          <w:spacing w:val="-3"/>
        </w:rPr>
        <w:t xml:space="preserve"> </w:t>
      </w:r>
      <w:r w:rsidRPr="000D1F63">
        <w:rPr>
          <w:b/>
          <w:bCs/>
        </w:rPr>
        <w:t>be</w:t>
      </w:r>
      <w:r w:rsidRPr="000D1F63">
        <w:rPr>
          <w:b/>
          <w:bCs/>
          <w:spacing w:val="-3"/>
        </w:rPr>
        <w:t xml:space="preserve"> </w:t>
      </w:r>
      <w:r w:rsidRPr="000D1F63">
        <w:rPr>
          <w:b/>
          <w:bCs/>
        </w:rPr>
        <w:t>brought</w:t>
      </w:r>
      <w:r w:rsidRPr="000D1F63">
        <w:rPr>
          <w:b/>
          <w:bCs/>
          <w:spacing w:val="-3"/>
        </w:rPr>
        <w:t xml:space="preserve"> </w:t>
      </w:r>
      <w:r w:rsidRPr="000D1F63">
        <w:rPr>
          <w:b/>
          <w:bCs/>
        </w:rPr>
        <w:t>to</w:t>
      </w:r>
      <w:r w:rsidRPr="000D1F63">
        <w:rPr>
          <w:b/>
          <w:bCs/>
          <w:spacing w:val="-3"/>
        </w:rPr>
        <w:t xml:space="preserve"> </w:t>
      </w:r>
      <w:r w:rsidRPr="000D1F63">
        <w:rPr>
          <w:b/>
          <w:bCs/>
        </w:rPr>
        <w:t>my</w:t>
      </w:r>
      <w:r w:rsidRPr="000D1F63">
        <w:rPr>
          <w:b/>
          <w:bCs/>
          <w:spacing w:val="-3"/>
        </w:rPr>
        <w:t xml:space="preserve"> </w:t>
      </w:r>
      <w:r w:rsidRPr="000D1F63">
        <w:rPr>
          <w:b/>
          <w:bCs/>
        </w:rPr>
        <w:t>attention</w:t>
      </w:r>
      <w:r w:rsidRPr="000D1F63">
        <w:rPr>
          <w:b/>
          <w:bCs/>
          <w:spacing w:val="-3"/>
        </w:rPr>
        <w:t xml:space="preserve"> </w:t>
      </w:r>
      <w:r w:rsidRPr="000D1F63">
        <w:rPr>
          <w:b/>
          <w:bCs/>
        </w:rPr>
        <w:t>or</w:t>
      </w:r>
      <w:r w:rsidRPr="000D1F63">
        <w:rPr>
          <w:b/>
          <w:bCs/>
          <w:spacing w:val="-4"/>
        </w:rPr>
        <w:t xml:space="preserve"> </w:t>
      </w:r>
      <w:r w:rsidRPr="000D1F63">
        <w:rPr>
          <w:b/>
          <w:bCs/>
        </w:rPr>
        <w:t>the</w:t>
      </w:r>
      <w:r w:rsidRPr="000D1F63">
        <w:rPr>
          <w:b/>
          <w:bCs/>
          <w:spacing w:val="-3"/>
        </w:rPr>
        <w:t xml:space="preserve"> </w:t>
      </w:r>
      <w:r w:rsidRPr="000D1F63">
        <w:rPr>
          <w:b/>
          <w:bCs/>
        </w:rPr>
        <w:t xml:space="preserve">attention of lawyers over whom </w:t>
      </w:r>
      <w:r w:rsidRPr="000D1F63">
        <w:rPr>
          <w:b/>
          <w:bCs/>
        </w:rPr>
        <w:t>I exercise general legal supervision.]</w:t>
      </w:r>
    </w:p>
    <w:p w14:paraId="24D61F61" w14:textId="77777777" w:rsidR="00245300" w:rsidRPr="00EC20A0" w:rsidRDefault="00F17249">
      <w:pPr>
        <w:pStyle w:val="BodyText"/>
        <w:spacing w:before="240"/>
        <w:ind w:left="200"/>
        <w:jc w:val="both"/>
      </w:pPr>
      <w:r w:rsidRPr="00EC20A0">
        <w:t>(The</w:t>
      </w:r>
      <w:r w:rsidRPr="00EC20A0">
        <w:rPr>
          <w:spacing w:val="-7"/>
        </w:rPr>
        <w:t xml:space="preserve"> </w:t>
      </w:r>
      <w:r w:rsidRPr="00EC20A0">
        <w:t>following</w:t>
      </w:r>
      <w:r w:rsidRPr="00EC20A0">
        <w:rPr>
          <w:spacing w:val="-7"/>
        </w:rPr>
        <w:t xml:space="preserve"> </w:t>
      </w:r>
      <w:r w:rsidRPr="00EC20A0">
        <w:t>language</w:t>
      </w:r>
      <w:r w:rsidRPr="00EC20A0">
        <w:rPr>
          <w:spacing w:val="-8"/>
        </w:rPr>
        <w:t xml:space="preserve"> </w:t>
      </w:r>
      <w:r w:rsidRPr="00EC20A0">
        <w:t>is</w:t>
      </w:r>
      <w:r w:rsidRPr="00EC20A0">
        <w:rPr>
          <w:spacing w:val="-7"/>
        </w:rPr>
        <w:t xml:space="preserve"> </w:t>
      </w:r>
      <w:r w:rsidRPr="00EC20A0">
        <w:t>generally</w:t>
      </w:r>
      <w:r w:rsidRPr="00EC20A0">
        <w:rPr>
          <w:spacing w:val="-8"/>
        </w:rPr>
        <w:t xml:space="preserve"> </w:t>
      </w:r>
      <w:r w:rsidRPr="00EC20A0">
        <w:t>consistent</w:t>
      </w:r>
      <w:r w:rsidRPr="00EC20A0">
        <w:rPr>
          <w:spacing w:val="-8"/>
        </w:rPr>
        <w:t xml:space="preserve"> </w:t>
      </w:r>
      <w:r w:rsidRPr="00EC20A0">
        <w:t>with</w:t>
      </w:r>
      <w:r w:rsidRPr="00EC20A0">
        <w:rPr>
          <w:spacing w:val="-7"/>
        </w:rPr>
        <w:t xml:space="preserve"> </w:t>
      </w:r>
      <w:r w:rsidRPr="00EC20A0">
        <w:t>AU-C</w:t>
      </w:r>
      <w:r w:rsidRPr="00EC20A0">
        <w:rPr>
          <w:spacing w:val="-8"/>
        </w:rPr>
        <w:t xml:space="preserve"> </w:t>
      </w:r>
      <w:r w:rsidRPr="00EC20A0">
        <w:t>501</w:t>
      </w:r>
      <w:r w:rsidRPr="00EC20A0">
        <w:rPr>
          <w:spacing w:val="-7"/>
        </w:rPr>
        <w:t xml:space="preserve"> </w:t>
      </w:r>
      <w:r w:rsidRPr="00EC20A0">
        <w:t>Exhibit</w:t>
      </w:r>
      <w:r w:rsidRPr="00EC20A0">
        <w:rPr>
          <w:spacing w:val="-7"/>
        </w:rPr>
        <w:t xml:space="preserve"> </w:t>
      </w:r>
      <w:r w:rsidRPr="00EC20A0">
        <w:rPr>
          <w:spacing w:val="-5"/>
        </w:rPr>
        <w:t>A.)</w:t>
      </w:r>
    </w:p>
    <w:p w14:paraId="24D61F62" w14:textId="77777777" w:rsidR="00245300" w:rsidRPr="00EC20A0" w:rsidRDefault="00F17249">
      <w:pPr>
        <w:pStyle w:val="BodyText"/>
        <w:spacing w:before="239"/>
        <w:ind w:left="201" w:right="381" w:hanging="1"/>
      </w:pPr>
      <w:r w:rsidRPr="00EC20A0">
        <w:t xml:space="preserve">This response is limited by, and in accordance with, the ABA </w:t>
      </w:r>
      <w:r w:rsidRPr="00EC20A0">
        <w:rPr>
          <w:i/>
        </w:rPr>
        <w:t xml:space="preserve">Statement of Policy Regarding Lawyers’ Responses to Auditors’ Requests for Information </w:t>
      </w:r>
      <w:r w:rsidRPr="00EC20A0">
        <w:t>(December 1975). Without limiting the generality of the foregoing, the limitations set forth in such statement on the scope and use of</w:t>
      </w:r>
      <w:r w:rsidRPr="00EC20A0">
        <w:rPr>
          <w:spacing w:val="-3"/>
        </w:rPr>
        <w:t xml:space="preserve"> </w:t>
      </w:r>
      <w:r w:rsidRPr="00EC20A0">
        <w:t>this</w:t>
      </w:r>
      <w:r w:rsidRPr="00EC20A0">
        <w:rPr>
          <w:spacing w:val="-3"/>
        </w:rPr>
        <w:t xml:space="preserve"> </w:t>
      </w:r>
      <w:r w:rsidRPr="00EC20A0">
        <w:t>response</w:t>
      </w:r>
      <w:r w:rsidRPr="00EC20A0">
        <w:rPr>
          <w:spacing w:val="-3"/>
        </w:rPr>
        <w:t xml:space="preserve"> </w:t>
      </w:r>
      <w:r w:rsidRPr="00EC20A0">
        <w:t>(paragraphs</w:t>
      </w:r>
      <w:r w:rsidRPr="00EC20A0">
        <w:rPr>
          <w:spacing w:val="-2"/>
        </w:rPr>
        <w:t xml:space="preserve"> </w:t>
      </w:r>
      <w:r w:rsidRPr="00EC20A0">
        <w:t>2</w:t>
      </w:r>
      <w:r w:rsidRPr="00EC20A0">
        <w:rPr>
          <w:spacing w:val="-3"/>
        </w:rPr>
        <w:t xml:space="preserve"> </w:t>
      </w:r>
      <w:r w:rsidRPr="00EC20A0">
        <w:t>and</w:t>
      </w:r>
      <w:r w:rsidRPr="00EC20A0">
        <w:rPr>
          <w:spacing w:val="-4"/>
        </w:rPr>
        <w:t xml:space="preserve"> </w:t>
      </w:r>
      <w:r w:rsidRPr="00EC20A0">
        <w:t>7)</w:t>
      </w:r>
      <w:r w:rsidRPr="00EC20A0">
        <w:rPr>
          <w:spacing w:val="-3"/>
        </w:rPr>
        <w:t xml:space="preserve"> </w:t>
      </w:r>
      <w:r w:rsidRPr="00EC20A0">
        <w:t>are</w:t>
      </w:r>
      <w:r w:rsidRPr="00EC20A0">
        <w:rPr>
          <w:spacing w:val="-3"/>
        </w:rPr>
        <w:t xml:space="preserve"> </w:t>
      </w:r>
      <w:r w:rsidRPr="00EC20A0">
        <w:t>specifically</w:t>
      </w:r>
      <w:r w:rsidRPr="00EC20A0">
        <w:rPr>
          <w:spacing w:val="-3"/>
        </w:rPr>
        <w:t xml:space="preserve"> </w:t>
      </w:r>
      <w:r w:rsidRPr="00EC20A0">
        <w:t>incorporated</w:t>
      </w:r>
      <w:r w:rsidRPr="00EC20A0">
        <w:rPr>
          <w:spacing w:val="-3"/>
        </w:rPr>
        <w:t xml:space="preserve"> </w:t>
      </w:r>
      <w:r w:rsidRPr="00EC20A0">
        <w:t>herein</w:t>
      </w:r>
      <w:r w:rsidRPr="00EC20A0">
        <w:rPr>
          <w:spacing w:val="-3"/>
        </w:rPr>
        <w:t xml:space="preserve"> </w:t>
      </w:r>
      <w:r w:rsidRPr="00EC20A0">
        <w:t>by</w:t>
      </w:r>
      <w:r w:rsidRPr="00EC20A0">
        <w:rPr>
          <w:spacing w:val="-3"/>
        </w:rPr>
        <w:t xml:space="preserve"> </w:t>
      </w:r>
      <w:r w:rsidRPr="00EC20A0">
        <w:t>reference,</w:t>
      </w:r>
      <w:r w:rsidRPr="00EC20A0">
        <w:rPr>
          <w:spacing w:val="-3"/>
        </w:rPr>
        <w:t xml:space="preserve"> </w:t>
      </w:r>
      <w:r w:rsidRPr="00EC20A0">
        <w:t>and</w:t>
      </w:r>
      <w:r w:rsidRPr="00EC20A0">
        <w:rPr>
          <w:spacing w:val="-3"/>
        </w:rPr>
        <w:t xml:space="preserve"> </w:t>
      </w:r>
      <w:r w:rsidRPr="00EC20A0">
        <w:t>any description herein of any “loss contingencies” is qualified in its entirety by paragraph 5 of the statement and the accompanying commentary (which is an integral part of the statement).</w:t>
      </w:r>
    </w:p>
    <w:p w14:paraId="24D61F63" w14:textId="77777777" w:rsidR="00245300" w:rsidRDefault="00F17249">
      <w:pPr>
        <w:spacing w:before="240"/>
        <w:ind w:left="201" w:right="352"/>
      </w:pPr>
      <w:r w:rsidRPr="00EC20A0">
        <w:t xml:space="preserve">Consistent with the last sentence of paragraph 6 of the ABA </w:t>
      </w:r>
      <w:r w:rsidRPr="00EC20A0">
        <w:rPr>
          <w:i/>
        </w:rPr>
        <w:t>Statement of Policy Regarding Lawyers’</w:t>
      </w:r>
      <w:r w:rsidRPr="00EC20A0">
        <w:rPr>
          <w:i/>
          <w:spacing w:val="-3"/>
        </w:rPr>
        <w:t xml:space="preserve"> </w:t>
      </w:r>
      <w:r w:rsidRPr="00EC20A0">
        <w:rPr>
          <w:i/>
        </w:rPr>
        <w:t>Responses</w:t>
      </w:r>
      <w:r w:rsidRPr="00EC20A0">
        <w:rPr>
          <w:i/>
          <w:spacing w:val="-3"/>
        </w:rPr>
        <w:t xml:space="preserve"> </w:t>
      </w:r>
      <w:r w:rsidRPr="00EC20A0">
        <w:rPr>
          <w:i/>
        </w:rPr>
        <w:t>to</w:t>
      </w:r>
      <w:r w:rsidRPr="00EC20A0">
        <w:rPr>
          <w:i/>
          <w:spacing w:val="-4"/>
        </w:rPr>
        <w:t xml:space="preserve"> </w:t>
      </w:r>
      <w:r w:rsidRPr="00EC20A0">
        <w:rPr>
          <w:i/>
        </w:rPr>
        <w:t>Auditors’</w:t>
      </w:r>
      <w:r w:rsidRPr="00EC20A0">
        <w:rPr>
          <w:i/>
          <w:spacing w:val="-3"/>
        </w:rPr>
        <w:t xml:space="preserve"> </w:t>
      </w:r>
      <w:r w:rsidRPr="00EC20A0">
        <w:rPr>
          <w:i/>
        </w:rPr>
        <w:t>Requests</w:t>
      </w:r>
      <w:r w:rsidRPr="00EC20A0">
        <w:rPr>
          <w:i/>
          <w:spacing w:val="-2"/>
        </w:rPr>
        <w:t xml:space="preserve"> </w:t>
      </w:r>
      <w:r w:rsidRPr="00EC20A0">
        <w:rPr>
          <w:i/>
        </w:rPr>
        <w:t>for</w:t>
      </w:r>
      <w:r w:rsidRPr="00EC20A0">
        <w:rPr>
          <w:i/>
          <w:spacing w:val="-3"/>
        </w:rPr>
        <w:t xml:space="preserve"> </w:t>
      </w:r>
      <w:r w:rsidRPr="00EC20A0">
        <w:rPr>
          <w:i/>
        </w:rPr>
        <w:t>Information</w:t>
      </w:r>
      <w:r w:rsidRPr="00EC20A0">
        <w:rPr>
          <w:i/>
          <w:spacing w:val="-3"/>
        </w:rPr>
        <w:t xml:space="preserve"> </w:t>
      </w:r>
      <w:r w:rsidRPr="00EC20A0">
        <w:t>(December</w:t>
      </w:r>
      <w:r w:rsidRPr="00EC20A0">
        <w:rPr>
          <w:spacing w:val="-3"/>
        </w:rPr>
        <w:t xml:space="preserve"> </w:t>
      </w:r>
      <w:r w:rsidRPr="00EC20A0">
        <w:t>1975),</w:t>
      </w:r>
      <w:r w:rsidRPr="00EC20A0">
        <w:rPr>
          <w:spacing w:val="-3"/>
        </w:rPr>
        <w:t xml:space="preserve"> </w:t>
      </w:r>
      <w:r w:rsidRPr="00EC20A0">
        <w:t>this</w:t>
      </w:r>
      <w:r w:rsidRPr="00EC20A0">
        <w:rPr>
          <w:spacing w:val="-3"/>
        </w:rPr>
        <w:t xml:space="preserve"> </w:t>
      </w:r>
      <w:r w:rsidRPr="00EC20A0">
        <w:t>will</w:t>
      </w:r>
      <w:r w:rsidRPr="00EC20A0">
        <w:rPr>
          <w:spacing w:val="-4"/>
        </w:rPr>
        <w:t xml:space="preserve"> </w:t>
      </w:r>
      <w:r w:rsidRPr="00EC20A0">
        <w:t>confirm</w:t>
      </w:r>
      <w:r w:rsidRPr="00EC20A0">
        <w:rPr>
          <w:spacing w:val="-4"/>
        </w:rPr>
        <w:t xml:space="preserve"> </w:t>
      </w:r>
      <w:r w:rsidRPr="00EC20A0">
        <w:t xml:space="preserve">as correct </w:t>
      </w:r>
      <w:r w:rsidRPr="00EC20A0">
        <w:rPr>
          <w:b/>
        </w:rPr>
        <w:t>[Entity]</w:t>
      </w:r>
      <w:r w:rsidRPr="00EC20A0">
        <w:t xml:space="preserve">’s understanding that whenever, in the course of performing legal services for </w:t>
      </w:r>
      <w:r w:rsidRPr="00EC20A0">
        <w:rPr>
          <w:b/>
        </w:rPr>
        <w:t xml:space="preserve">[Entity] </w:t>
      </w:r>
      <w:r w:rsidRPr="00EC20A0">
        <w:t xml:space="preserve">with respect to a matter recognized to involve an unasserted possible claim or assessment that may call for financial statement disclosure, I have formed a professional conclusion that </w:t>
      </w:r>
      <w:r w:rsidRPr="00EC20A0">
        <w:rPr>
          <w:b/>
        </w:rPr>
        <w:t xml:space="preserve">[Entity] </w:t>
      </w:r>
      <w:r w:rsidRPr="00EC20A0">
        <w:t xml:space="preserve">must disclose or consider disclosure concerning such possible claim or assessment. I, as a matter of professional responsibility to </w:t>
      </w:r>
      <w:r w:rsidRPr="00EC20A0">
        <w:rPr>
          <w:b/>
        </w:rPr>
        <w:t>[Entity]</w:t>
      </w:r>
      <w:r w:rsidRPr="00EC20A0">
        <w:t xml:space="preserve">, will so advise </w:t>
      </w:r>
      <w:r w:rsidRPr="00EC20A0">
        <w:rPr>
          <w:b/>
        </w:rPr>
        <w:t xml:space="preserve">[Entity] </w:t>
      </w:r>
      <w:r w:rsidRPr="00EC20A0">
        <w:t xml:space="preserve">and will consult with </w:t>
      </w:r>
      <w:r w:rsidRPr="00EC20A0">
        <w:rPr>
          <w:b/>
        </w:rPr>
        <w:t xml:space="preserve">[Entity] </w:t>
      </w:r>
      <w:r w:rsidRPr="00EC20A0">
        <w:t>concerning the question of such d</w:t>
      </w:r>
      <w:r w:rsidRPr="00EC20A0">
        <w:t xml:space="preserve">isclosure and the applicable requirements of Statement of Federal Financial Accounting Standards (SFFAS) 5, </w:t>
      </w:r>
      <w:r w:rsidRPr="00EC20A0">
        <w:rPr>
          <w:i/>
        </w:rPr>
        <w:t>Accounting for Liabilities</w:t>
      </w:r>
      <w:r w:rsidRPr="00EC20A0">
        <w:rPr>
          <w:i/>
          <w:spacing w:val="-1"/>
        </w:rPr>
        <w:t xml:space="preserve"> </w:t>
      </w:r>
      <w:r w:rsidRPr="00EC20A0">
        <w:rPr>
          <w:i/>
        </w:rPr>
        <w:t>of the Federal Government</w:t>
      </w:r>
      <w:r w:rsidRPr="00EC20A0">
        <w:t>, as amended by SFFAS 12, and Interpretation No. 2 of SFFAS 4 and 5.</w:t>
      </w:r>
    </w:p>
    <w:p w14:paraId="65974D05" w14:textId="77777777" w:rsidR="000D1F63" w:rsidRPr="00EC20A0" w:rsidRDefault="000D1F63" w:rsidP="000D1F63">
      <w:pPr>
        <w:spacing w:before="60"/>
        <w:ind w:left="202" w:right="346"/>
      </w:pPr>
    </w:p>
    <w:p w14:paraId="24D61F64" w14:textId="77777777" w:rsidR="00245300" w:rsidRPr="000D1F63" w:rsidRDefault="00F17249" w:rsidP="000D1F63">
      <w:pPr>
        <w:ind w:left="180"/>
        <w:rPr>
          <w:b/>
          <w:bCs/>
        </w:rPr>
      </w:pPr>
      <w:r w:rsidRPr="000D1F63">
        <w:rPr>
          <w:b/>
          <w:bCs/>
        </w:rPr>
        <w:t>[Describe any other or additional limitation as indicated by paragraph 4 of the statement.]</w:t>
      </w:r>
    </w:p>
    <w:p w14:paraId="24D61F65" w14:textId="77777777" w:rsidR="00245300" w:rsidRPr="00EC20A0" w:rsidRDefault="00F17249">
      <w:pPr>
        <w:pStyle w:val="BodyText"/>
        <w:spacing w:before="241"/>
        <w:ind w:left="200"/>
      </w:pPr>
      <w:r w:rsidRPr="00EC20A0">
        <w:rPr>
          <w:spacing w:val="-2"/>
        </w:rPr>
        <w:t>Sincerely,</w:t>
      </w:r>
    </w:p>
    <w:p w14:paraId="24D61F66" w14:textId="77777777" w:rsidR="00245300" w:rsidRPr="00EC20A0" w:rsidRDefault="00F17249">
      <w:pPr>
        <w:pStyle w:val="BodyText"/>
        <w:spacing w:before="229"/>
        <w:rPr>
          <w:sz w:val="20"/>
        </w:rPr>
      </w:pPr>
      <w:r w:rsidRPr="00EC20A0">
        <w:rPr>
          <w:noProof/>
        </w:rPr>
        <mc:AlternateContent>
          <mc:Choice Requires="wps">
            <w:drawing>
              <wp:anchor distT="0" distB="0" distL="0" distR="0" simplePos="0" relativeHeight="487728640" behindDoc="1" locked="0" layoutInCell="1" allowOverlap="1" wp14:anchorId="24D62CDB" wp14:editId="24D62CDC">
                <wp:simplePos x="0" y="0"/>
                <wp:positionH relativeFrom="page">
                  <wp:posOffset>914400</wp:posOffset>
                </wp:positionH>
                <wp:positionV relativeFrom="paragraph">
                  <wp:posOffset>306949</wp:posOffset>
                </wp:positionV>
                <wp:extent cx="3031490" cy="1270"/>
                <wp:effectExtent l="0" t="0" r="0" b="0"/>
                <wp:wrapTopAndBottom/>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1490" cy="1270"/>
                        </a:xfrm>
                        <a:custGeom>
                          <a:avLst/>
                          <a:gdLst/>
                          <a:ahLst/>
                          <a:cxnLst/>
                          <a:rect l="l" t="t" r="r" b="b"/>
                          <a:pathLst>
                            <a:path w="3031490">
                              <a:moveTo>
                                <a:pt x="0" y="0"/>
                              </a:moveTo>
                              <a:lnTo>
                                <a:pt x="3031158"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88F76A" id="Graphic 967" o:spid="_x0000_s1026" style="position:absolute;margin-left:1in;margin-top:24.15pt;width:238.7pt;height:.1pt;z-index:-15587840;visibility:visible;mso-wrap-style:square;mso-wrap-distance-left:0;mso-wrap-distance-top:0;mso-wrap-distance-right:0;mso-wrap-distance-bottom:0;mso-position-horizontal:absolute;mso-position-horizontal-relative:page;mso-position-vertical:absolute;mso-position-vertical-relative:text;v-text-anchor:top" coordsize="3031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" path="m,l3031158,e" filled="f" strokeweight=".24403mm">
                <v:path arrowok="t"/>
                <w10:wrap type="topAndBottom" anchorx="page"/>
              </v:shape>
            </w:pict>
          </mc:Fallback>
        </mc:AlternateContent>
      </w:r>
    </w:p>
    <w:p w14:paraId="333FB8FC" w14:textId="77777777" w:rsidR="0022160C" w:rsidRDefault="0022160C" w:rsidP="0022160C"/>
    <w:p w14:paraId="327AAED4" w14:textId="092A34FE" w:rsidR="0022160C" w:rsidRPr="0022160C" w:rsidRDefault="00F17249" w:rsidP="0022160C">
      <w:pPr>
        <w:ind w:left="180"/>
        <w:rPr>
          <w:b/>
          <w:bCs/>
        </w:rPr>
      </w:pPr>
      <w:r w:rsidRPr="0022160C">
        <w:rPr>
          <w:b/>
          <w:bCs/>
        </w:rPr>
        <w:t xml:space="preserve">[Name of General Counsel] </w:t>
      </w:r>
    </w:p>
    <w:p w14:paraId="24D61F67" w14:textId="77B33EBC" w:rsidR="00245300" w:rsidRPr="0022160C" w:rsidRDefault="00F17249" w:rsidP="0022160C">
      <w:pPr>
        <w:ind w:left="180"/>
        <w:rPr>
          <w:b/>
          <w:bCs/>
        </w:rPr>
      </w:pPr>
      <w:r w:rsidRPr="0022160C">
        <w:rPr>
          <w:b/>
          <w:bCs/>
          <w:spacing w:val="-2"/>
        </w:rPr>
        <w:t>[Title]</w:t>
      </w:r>
    </w:p>
    <w:p w14:paraId="24D61F68" w14:textId="77777777" w:rsidR="00245300" w:rsidRPr="00EC20A0" w:rsidRDefault="00F17249">
      <w:pPr>
        <w:pStyle w:val="BodyText"/>
        <w:spacing w:before="239"/>
        <w:ind w:left="200"/>
      </w:pPr>
      <w:r w:rsidRPr="00EC20A0">
        <w:t>cc:</w:t>
      </w:r>
      <w:r w:rsidRPr="00EC20A0">
        <w:rPr>
          <w:spacing w:val="-7"/>
        </w:rPr>
        <w:t xml:space="preserve"> </w:t>
      </w:r>
      <w:r w:rsidRPr="00EC20A0">
        <w:t>Chief</w:t>
      </w:r>
      <w:r w:rsidRPr="00EC20A0">
        <w:rPr>
          <w:spacing w:val="-6"/>
        </w:rPr>
        <w:t xml:space="preserve"> </w:t>
      </w:r>
      <w:r w:rsidRPr="00EC20A0">
        <w:t>Financial</w:t>
      </w:r>
      <w:r w:rsidRPr="00EC20A0">
        <w:rPr>
          <w:spacing w:val="-6"/>
        </w:rPr>
        <w:t xml:space="preserve"> </w:t>
      </w:r>
      <w:r w:rsidRPr="00EC20A0">
        <w:rPr>
          <w:spacing w:val="-2"/>
        </w:rPr>
        <w:t>Officer</w:t>
      </w:r>
    </w:p>
    <w:p w14:paraId="24D61F69" w14:textId="77777777" w:rsidR="00245300" w:rsidRPr="00EC20A0" w:rsidRDefault="00245300">
      <w:pPr>
        <w:pStyle w:val="BodyText"/>
      </w:pPr>
    </w:p>
    <w:p w14:paraId="24D61F6A" w14:textId="77777777" w:rsidR="00245300" w:rsidRPr="00EC20A0" w:rsidRDefault="00245300">
      <w:pPr>
        <w:pStyle w:val="BodyText"/>
        <w:spacing w:before="227"/>
      </w:pPr>
    </w:p>
    <w:p w14:paraId="24D61F6B" w14:textId="77777777" w:rsidR="00245300" w:rsidRPr="00EC20A0" w:rsidRDefault="00F17249">
      <w:pPr>
        <w:pStyle w:val="BodyText"/>
        <w:spacing w:before="1"/>
        <w:ind w:left="200"/>
      </w:pPr>
      <w:r w:rsidRPr="00EC20A0">
        <w:t>Attachments</w:t>
      </w:r>
      <w:r w:rsidRPr="00EC20A0">
        <w:rPr>
          <w:spacing w:val="-7"/>
        </w:rPr>
        <w:t xml:space="preserve"> </w:t>
      </w:r>
      <w:r w:rsidRPr="00EC20A0">
        <w:t>(DOJ</w:t>
      </w:r>
      <w:r w:rsidRPr="00EC20A0">
        <w:rPr>
          <w:spacing w:val="-7"/>
        </w:rPr>
        <w:t xml:space="preserve"> </w:t>
      </w:r>
      <w:r w:rsidRPr="00EC20A0">
        <w:t>forms</w:t>
      </w:r>
      <w:r w:rsidRPr="00EC20A0">
        <w:rPr>
          <w:spacing w:val="-5"/>
        </w:rPr>
        <w:t xml:space="preserve"> </w:t>
      </w:r>
      <w:r w:rsidRPr="00EC20A0">
        <w:t>or</w:t>
      </w:r>
      <w:r w:rsidRPr="00EC20A0">
        <w:rPr>
          <w:spacing w:val="-7"/>
        </w:rPr>
        <w:t xml:space="preserve"> </w:t>
      </w:r>
      <w:r w:rsidRPr="00EC20A0">
        <w:t>other</w:t>
      </w:r>
      <w:r w:rsidRPr="00EC20A0">
        <w:rPr>
          <w:spacing w:val="-6"/>
        </w:rPr>
        <w:t xml:space="preserve"> </w:t>
      </w:r>
      <w:r w:rsidRPr="00EC20A0">
        <w:t>case</w:t>
      </w:r>
      <w:r w:rsidRPr="00EC20A0">
        <w:rPr>
          <w:spacing w:val="-7"/>
        </w:rPr>
        <w:t xml:space="preserve"> </w:t>
      </w:r>
      <w:r w:rsidRPr="00EC20A0">
        <w:rPr>
          <w:spacing w:val="-2"/>
        </w:rPr>
        <w:t>information)</w:t>
      </w:r>
    </w:p>
    <w:p w14:paraId="24D61F6C" w14:textId="77777777" w:rsidR="00245300" w:rsidRPr="00EC20A0" w:rsidRDefault="00245300">
      <w:pPr>
        <w:sectPr w:rsidR="00245300" w:rsidRPr="00EC20A0">
          <w:pgSz w:w="12240" w:h="15840"/>
          <w:pgMar w:top="1340" w:right="1100" w:bottom="940" w:left="1240" w:header="721" w:footer="757" w:gutter="0"/>
          <w:cols w:space="720"/>
        </w:sectPr>
      </w:pPr>
    </w:p>
    <w:p w14:paraId="24D61F6D" w14:textId="77777777" w:rsidR="00245300" w:rsidRPr="00EC20A0" w:rsidRDefault="00F17249">
      <w:pPr>
        <w:pStyle w:val="Heading3"/>
        <w:spacing w:before="250"/>
        <w:rPr>
          <w:u w:val="none"/>
        </w:rPr>
      </w:pPr>
      <w:bookmarkStart w:id="409" w:name="1002_D_–_Example_Management_Schedule"/>
      <w:bookmarkStart w:id="410" w:name="_bookmark228"/>
      <w:bookmarkEnd w:id="409"/>
      <w:bookmarkEnd w:id="410"/>
      <w:r w:rsidRPr="00EC20A0">
        <w:t>1002</w:t>
      </w:r>
      <w:r w:rsidRPr="00EC20A0">
        <w:rPr>
          <w:spacing w:val="-6"/>
        </w:rPr>
        <w:t xml:space="preserve"> </w:t>
      </w:r>
      <w:r w:rsidRPr="00EC20A0">
        <w:t>D</w:t>
      </w:r>
      <w:r w:rsidRPr="00EC20A0">
        <w:rPr>
          <w:spacing w:val="-4"/>
        </w:rPr>
        <w:t xml:space="preserve"> </w:t>
      </w:r>
      <w:r w:rsidRPr="00EC20A0">
        <w:t>–</w:t>
      </w:r>
      <w:r w:rsidRPr="00EC20A0">
        <w:rPr>
          <w:spacing w:val="-3"/>
        </w:rPr>
        <w:t xml:space="preserve"> </w:t>
      </w:r>
      <w:r w:rsidRPr="00EC20A0">
        <w:t>Example</w:t>
      </w:r>
      <w:r w:rsidRPr="00EC20A0">
        <w:rPr>
          <w:spacing w:val="-3"/>
        </w:rPr>
        <w:t xml:space="preserve"> </w:t>
      </w:r>
      <w:r w:rsidRPr="00EC20A0">
        <w:t>Management</w:t>
      </w:r>
      <w:r w:rsidRPr="00EC20A0">
        <w:rPr>
          <w:spacing w:val="-4"/>
        </w:rPr>
        <w:t xml:space="preserve"> </w:t>
      </w:r>
      <w:r w:rsidRPr="00EC20A0">
        <w:rPr>
          <w:spacing w:val="-2"/>
        </w:rPr>
        <w:t>Schedule</w:t>
      </w:r>
    </w:p>
    <w:p w14:paraId="24D61F6E" w14:textId="77777777" w:rsidR="00245300" w:rsidRPr="00EC20A0" w:rsidRDefault="00245300">
      <w:pPr>
        <w:pStyle w:val="BodyText"/>
        <w:spacing w:before="106"/>
        <w:rPr>
          <w:b/>
        </w:rPr>
      </w:pPr>
    </w:p>
    <w:p w14:paraId="24D61F6F" w14:textId="77777777" w:rsidR="00245300" w:rsidRPr="00EC20A0" w:rsidRDefault="00F17249">
      <w:pPr>
        <w:pStyle w:val="BodyText"/>
        <w:ind w:left="209" w:right="156"/>
      </w:pPr>
      <w:r w:rsidRPr="00EC20A0">
        <w:t xml:space="preserve">OMB </w:t>
      </w:r>
      <w:r w:rsidRPr="00EC20A0">
        <w:t>audit guidance requires entity management to document in a schedule how the information contained in the legal counsel response was considered in preparing the financial statements. Management should include each case discussed in the legal counsel response and (1) indicate the amount accrued for probable cases and (2) include information to support the note disclosure for reasonably possible cases and “unable to determine” cases,</w:t>
      </w:r>
      <w:r w:rsidRPr="00EC20A0">
        <w:rPr>
          <w:spacing w:val="-2"/>
        </w:rPr>
        <w:t xml:space="preserve"> </w:t>
      </w:r>
      <w:r w:rsidRPr="00EC20A0">
        <w:t>probable</w:t>
      </w:r>
      <w:r w:rsidRPr="00EC20A0">
        <w:rPr>
          <w:spacing w:val="-2"/>
        </w:rPr>
        <w:t xml:space="preserve"> </w:t>
      </w:r>
      <w:r w:rsidRPr="00EC20A0">
        <w:t>cases</w:t>
      </w:r>
      <w:r w:rsidRPr="00EC20A0">
        <w:rPr>
          <w:spacing w:val="-2"/>
        </w:rPr>
        <w:t xml:space="preserve"> </w:t>
      </w:r>
      <w:r w:rsidRPr="00EC20A0">
        <w:t>where</w:t>
      </w:r>
      <w:r w:rsidRPr="00EC20A0">
        <w:rPr>
          <w:spacing w:val="-2"/>
        </w:rPr>
        <w:t xml:space="preserve"> </w:t>
      </w:r>
      <w:r w:rsidRPr="00EC20A0">
        <w:t>the</w:t>
      </w:r>
      <w:r w:rsidRPr="00EC20A0">
        <w:rPr>
          <w:spacing w:val="-2"/>
        </w:rPr>
        <w:t xml:space="preserve"> </w:t>
      </w:r>
      <w:r w:rsidRPr="00EC20A0">
        <w:t>amount</w:t>
      </w:r>
      <w:r w:rsidRPr="00EC20A0">
        <w:rPr>
          <w:spacing w:val="-2"/>
        </w:rPr>
        <w:t xml:space="preserve"> </w:t>
      </w:r>
      <w:r w:rsidRPr="00EC20A0">
        <w:t>cannot</w:t>
      </w:r>
      <w:r w:rsidRPr="00EC20A0">
        <w:rPr>
          <w:spacing w:val="-2"/>
        </w:rPr>
        <w:t xml:space="preserve"> </w:t>
      </w:r>
      <w:r w:rsidRPr="00EC20A0">
        <w:t>be</w:t>
      </w:r>
      <w:r w:rsidRPr="00EC20A0">
        <w:rPr>
          <w:spacing w:val="-2"/>
        </w:rPr>
        <w:t xml:space="preserve"> </w:t>
      </w:r>
      <w:r w:rsidRPr="00EC20A0">
        <w:t>estimated,</w:t>
      </w:r>
      <w:r w:rsidRPr="00EC20A0">
        <w:rPr>
          <w:spacing w:val="-2"/>
        </w:rPr>
        <w:t xml:space="preserve"> </w:t>
      </w:r>
      <w:r w:rsidRPr="00EC20A0">
        <w:t>and</w:t>
      </w:r>
      <w:r w:rsidRPr="00EC20A0">
        <w:rPr>
          <w:spacing w:val="-2"/>
        </w:rPr>
        <w:t xml:space="preserve"> </w:t>
      </w:r>
      <w:r w:rsidRPr="00EC20A0">
        <w:t>probable</w:t>
      </w:r>
      <w:r w:rsidRPr="00EC20A0">
        <w:rPr>
          <w:spacing w:val="-2"/>
        </w:rPr>
        <w:t xml:space="preserve"> </w:t>
      </w:r>
      <w:r w:rsidRPr="00EC20A0">
        <w:t>cases</w:t>
      </w:r>
      <w:r w:rsidRPr="00EC20A0">
        <w:rPr>
          <w:spacing w:val="-3"/>
        </w:rPr>
        <w:t xml:space="preserve"> </w:t>
      </w:r>
      <w:r w:rsidRPr="00EC20A0">
        <w:t>where</w:t>
      </w:r>
      <w:r w:rsidRPr="00EC20A0">
        <w:rPr>
          <w:spacing w:val="-2"/>
        </w:rPr>
        <w:t xml:space="preserve"> </w:t>
      </w:r>
      <w:r w:rsidRPr="00EC20A0">
        <w:t>a</w:t>
      </w:r>
      <w:r w:rsidRPr="00EC20A0">
        <w:rPr>
          <w:spacing w:val="-2"/>
        </w:rPr>
        <w:t xml:space="preserve"> </w:t>
      </w:r>
      <w:r w:rsidRPr="00EC20A0">
        <w:t>range</w:t>
      </w:r>
      <w:r w:rsidRPr="00EC20A0">
        <w:rPr>
          <w:spacing w:val="-2"/>
        </w:rPr>
        <w:t xml:space="preserve"> </w:t>
      </w:r>
      <w:r w:rsidRPr="00EC20A0">
        <w:t>of</w:t>
      </w:r>
      <w:r w:rsidRPr="00EC20A0">
        <w:rPr>
          <w:spacing w:val="-2"/>
        </w:rPr>
        <w:t xml:space="preserve"> </w:t>
      </w:r>
      <w:r w:rsidRPr="00EC20A0">
        <w:t>amounts</w:t>
      </w:r>
      <w:r w:rsidRPr="00EC20A0">
        <w:rPr>
          <w:spacing w:val="-2"/>
        </w:rPr>
        <w:t xml:space="preserve"> </w:t>
      </w:r>
      <w:r w:rsidRPr="00EC20A0">
        <w:t>above</w:t>
      </w:r>
      <w:r w:rsidRPr="00EC20A0">
        <w:rPr>
          <w:spacing w:val="-2"/>
        </w:rPr>
        <w:t xml:space="preserve"> </w:t>
      </w:r>
      <w:r w:rsidRPr="00EC20A0">
        <w:t>the</w:t>
      </w:r>
      <w:r w:rsidRPr="00EC20A0">
        <w:rPr>
          <w:spacing w:val="-2"/>
        </w:rPr>
        <w:t xml:space="preserve"> </w:t>
      </w:r>
      <w:r w:rsidRPr="00EC20A0">
        <w:t>accrued</w:t>
      </w:r>
      <w:r w:rsidRPr="00EC20A0">
        <w:rPr>
          <w:spacing w:val="-2"/>
        </w:rPr>
        <w:t xml:space="preserve"> </w:t>
      </w:r>
      <w:r w:rsidRPr="00EC20A0">
        <w:t>amount</w:t>
      </w:r>
      <w:r w:rsidRPr="00EC20A0">
        <w:rPr>
          <w:spacing w:val="-2"/>
        </w:rPr>
        <w:t xml:space="preserve"> </w:t>
      </w:r>
      <w:r w:rsidRPr="00EC20A0">
        <w:t>is</w:t>
      </w:r>
      <w:r w:rsidRPr="00EC20A0">
        <w:rPr>
          <w:spacing w:val="-2"/>
        </w:rPr>
        <w:t xml:space="preserve"> </w:t>
      </w:r>
      <w:r w:rsidRPr="00EC20A0">
        <w:t>estimated.</w:t>
      </w:r>
      <w:r w:rsidRPr="00EC20A0">
        <w:rPr>
          <w:spacing w:val="-2"/>
        </w:rPr>
        <w:t xml:space="preserve"> </w:t>
      </w:r>
      <w:r w:rsidRPr="00EC20A0">
        <w:t>The</w:t>
      </w:r>
      <w:r w:rsidRPr="00EC20A0">
        <w:rPr>
          <w:spacing w:val="-2"/>
        </w:rPr>
        <w:t xml:space="preserve"> </w:t>
      </w:r>
      <w:r w:rsidRPr="00EC20A0">
        <w:t>financial</w:t>
      </w:r>
      <w:r w:rsidRPr="00EC20A0">
        <w:rPr>
          <w:spacing w:val="-2"/>
        </w:rPr>
        <w:t xml:space="preserve"> </w:t>
      </w:r>
      <w:r w:rsidRPr="00EC20A0">
        <w:t>reporting</w:t>
      </w:r>
      <w:r w:rsidRPr="00EC20A0">
        <w:rPr>
          <w:spacing w:val="-2"/>
        </w:rPr>
        <w:t xml:space="preserve"> </w:t>
      </w:r>
      <w:r w:rsidRPr="00EC20A0">
        <w:t>treatment</w:t>
      </w:r>
      <w:r w:rsidRPr="00EC20A0">
        <w:rPr>
          <w:spacing w:val="-2"/>
        </w:rPr>
        <w:t xml:space="preserve"> </w:t>
      </w:r>
      <w:r w:rsidRPr="00EC20A0">
        <w:t>for</w:t>
      </w:r>
      <w:r w:rsidRPr="00EC20A0">
        <w:rPr>
          <w:spacing w:val="-2"/>
        </w:rPr>
        <w:t xml:space="preserve"> </w:t>
      </w:r>
      <w:r w:rsidRPr="00EC20A0">
        <w:t>cases</w:t>
      </w:r>
      <w:r w:rsidRPr="00EC20A0">
        <w:rPr>
          <w:spacing w:val="-2"/>
        </w:rPr>
        <w:t xml:space="preserve"> </w:t>
      </w:r>
      <w:r w:rsidRPr="00EC20A0">
        <w:t>where</w:t>
      </w:r>
      <w:r w:rsidRPr="00EC20A0">
        <w:rPr>
          <w:spacing w:val="-2"/>
        </w:rPr>
        <w:t xml:space="preserve"> </w:t>
      </w:r>
      <w:r w:rsidRPr="00EC20A0">
        <w:t>the</w:t>
      </w:r>
      <w:r w:rsidRPr="00EC20A0">
        <w:rPr>
          <w:spacing w:val="-2"/>
        </w:rPr>
        <w:t xml:space="preserve"> </w:t>
      </w:r>
      <w:r w:rsidRPr="00EC20A0">
        <w:t>likelihood</w:t>
      </w:r>
      <w:r w:rsidRPr="00EC20A0">
        <w:rPr>
          <w:spacing w:val="-2"/>
        </w:rPr>
        <w:t xml:space="preserve"> </w:t>
      </w:r>
      <w:r w:rsidRPr="00EC20A0">
        <w:t>of</w:t>
      </w:r>
      <w:r w:rsidRPr="00EC20A0">
        <w:rPr>
          <w:spacing w:val="-2"/>
        </w:rPr>
        <w:t xml:space="preserve"> </w:t>
      </w:r>
      <w:r w:rsidRPr="00EC20A0">
        <w:t xml:space="preserve">future outflow or other sacrifice of resources is assessed as “unable to determine” should be consistent with the disclosure requirements for reasonably possible cases. Per the </w:t>
      </w:r>
      <w:r w:rsidRPr="00EC20A0">
        <w:rPr>
          <w:i/>
        </w:rPr>
        <w:t>Treasury Financial Manual</w:t>
      </w:r>
      <w:r w:rsidRPr="00EC20A0">
        <w:t>, entities significant to the consolidated financial statements of the U.S. government should avoid excessive use (and misuse) of the “unable to determine” assessment. This likelihood should only be used to categorize cases for which the general counsel is unable to express an opinion because of inherent unce</w:t>
      </w:r>
      <w:r w:rsidRPr="00EC20A0">
        <w:t>rtainties.</w:t>
      </w:r>
    </w:p>
    <w:p w14:paraId="24D61F70" w14:textId="77777777" w:rsidR="00245300" w:rsidRPr="00EC20A0" w:rsidRDefault="00245300">
      <w:pPr>
        <w:pStyle w:val="BodyText"/>
      </w:pPr>
    </w:p>
    <w:p w14:paraId="24D61F71" w14:textId="77777777" w:rsidR="00245300" w:rsidRPr="00EC20A0" w:rsidRDefault="00245300">
      <w:pPr>
        <w:pStyle w:val="BodyText"/>
        <w:spacing w:before="200"/>
      </w:pPr>
    </w:p>
    <w:p w14:paraId="24D61F72" w14:textId="77777777" w:rsidR="00245300" w:rsidRPr="00EC20A0" w:rsidRDefault="00F17249">
      <w:pPr>
        <w:spacing w:line="348" w:lineRule="auto"/>
        <w:ind w:left="5428" w:right="9608"/>
        <w:jc w:val="center"/>
        <w:rPr>
          <w:b/>
          <w:sz w:val="18"/>
        </w:rPr>
      </w:pPr>
      <w:r w:rsidRPr="00EC20A0">
        <w:rPr>
          <w:b/>
          <w:sz w:val="18"/>
        </w:rPr>
        <w:t>Management's</w:t>
      </w:r>
      <w:r w:rsidRPr="00EC20A0">
        <w:rPr>
          <w:b/>
          <w:spacing w:val="-5"/>
          <w:sz w:val="18"/>
        </w:rPr>
        <w:t xml:space="preserve"> </w:t>
      </w:r>
      <w:r w:rsidRPr="00EC20A0">
        <w:rPr>
          <w:b/>
          <w:sz w:val="18"/>
        </w:rPr>
        <w:t>Schedule</w:t>
      </w:r>
      <w:r w:rsidRPr="00EC20A0">
        <w:rPr>
          <w:b/>
          <w:spacing w:val="-5"/>
          <w:sz w:val="18"/>
        </w:rPr>
        <w:t xml:space="preserve"> </w:t>
      </w:r>
      <w:r w:rsidRPr="00EC20A0">
        <w:rPr>
          <w:b/>
          <w:sz w:val="18"/>
        </w:rPr>
        <w:t>of</w:t>
      </w:r>
      <w:r w:rsidRPr="00EC20A0">
        <w:rPr>
          <w:b/>
          <w:spacing w:val="-5"/>
          <w:sz w:val="18"/>
        </w:rPr>
        <w:t xml:space="preserve"> </w:t>
      </w:r>
      <w:r w:rsidRPr="00EC20A0">
        <w:rPr>
          <w:b/>
          <w:sz w:val="18"/>
        </w:rPr>
        <w:t>Information</w:t>
      </w:r>
      <w:r w:rsidRPr="00EC20A0">
        <w:rPr>
          <w:b/>
          <w:spacing w:val="-4"/>
          <w:sz w:val="18"/>
        </w:rPr>
        <w:t xml:space="preserve"> </w:t>
      </w:r>
      <w:r w:rsidRPr="00EC20A0">
        <w:rPr>
          <w:b/>
          <w:sz w:val="18"/>
        </w:rPr>
        <w:t>Contained</w:t>
      </w:r>
      <w:r w:rsidRPr="00EC20A0">
        <w:rPr>
          <w:b/>
          <w:spacing w:val="-5"/>
          <w:sz w:val="18"/>
        </w:rPr>
        <w:t xml:space="preserve"> </w:t>
      </w:r>
      <w:r w:rsidRPr="00EC20A0">
        <w:rPr>
          <w:b/>
          <w:sz w:val="18"/>
        </w:rPr>
        <w:t>in</w:t>
      </w:r>
      <w:r w:rsidRPr="00EC20A0">
        <w:rPr>
          <w:b/>
          <w:spacing w:val="-4"/>
          <w:sz w:val="18"/>
        </w:rPr>
        <w:t xml:space="preserve"> </w:t>
      </w:r>
      <w:r w:rsidRPr="00EC20A0">
        <w:rPr>
          <w:b/>
          <w:sz w:val="18"/>
        </w:rPr>
        <w:t>the</w:t>
      </w:r>
      <w:r w:rsidRPr="00EC20A0">
        <w:rPr>
          <w:b/>
          <w:spacing w:val="-5"/>
          <w:sz w:val="18"/>
        </w:rPr>
        <w:t xml:space="preserve"> </w:t>
      </w:r>
      <w:r w:rsidRPr="00EC20A0">
        <w:rPr>
          <w:b/>
          <w:sz w:val="18"/>
        </w:rPr>
        <w:t>Legal</w:t>
      </w:r>
      <w:r w:rsidRPr="00EC20A0">
        <w:rPr>
          <w:b/>
          <w:spacing w:val="-4"/>
          <w:sz w:val="18"/>
        </w:rPr>
        <w:t xml:space="preserve"> </w:t>
      </w:r>
      <w:r w:rsidRPr="00EC20A0">
        <w:rPr>
          <w:b/>
          <w:sz w:val="18"/>
        </w:rPr>
        <w:t>Counsel</w:t>
      </w:r>
      <w:r w:rsidRPr="00EC20A0">
        <w:rPr>
          <w:b/>
          <w:spacing w:val="-4"/>
          <w:sz w:val="18"/>
        </w:rPr>
        <w:t xml:space="preserve"> </w:t>
      </w:r>
      <w:r w:rsidRPr="00EC20A0">
        <w:rPr>
          <w:b/>
          <w:sz w:val="18"/>
        </w:rPr>
        <w:t>Response for Financial Reporting Purposes</w:t>
      </w:r>
    </w:p>
    <w:p w14:paraId="24D61F73" w14:textId="77777777" w:rsidR="00245300" w:rsidRPr="00EC20A0" w:rsidRDefault="00F17249">
      <w:pPr>
        <w:spacing w:line="207" w:lineRule="exact"/>
        <w:ind w:left="5428" w:right="9608"/>
        <w:jc w:val="center"/>
        <w:rPr>
          <w:sz w:val="18"/>
        </w:rPr>
      </w:pPr>
      <w:r w:rsidRPr="00EC20A0">
        <w:rPr>
          <w:sz w:val="18"/>
        </w:rPr>
        <w:t>Effective</w:t>
      </w:r>
      <w:r w:rsidRPr="00EC20A0">
        <w:rPr>
          <w:spacing w:val="-3"/>
          <w:sz w:val="18"/>
        </w:rPr>
        <w:t xml:space="preserve"> </w:t>
      </w:r>
      <w:r w:rsidRPr="00EC20A0">
        <w:rPr>
          <w:spacing w:val="-2"/>
          <w:sz w:val="18"/>
        </w:rPr>
        <w:t>Date:</w:t>
      </w:r>
    </w:p>
    <w:p w14:paraId="24D61F74" w14:textId="77777777" w:rsidR="00245300" w:rsidRPr="00EC20A0" w:rsidRDefault="00F17249">
      <w:pPr>
        <w:spacing w:before="93"/>
        <w:ind w:left="5428" w:right="9608"/>
        <w:jc w:val="center"/>
        <w:rPr>
          <w:i/>
          <w:sz w:val="18"/>
        </w:rPr>
      </w:pPr>
      <w:r w:rsidRPr="00EC20A0">
        <w:rPr>
          <w:noProof/>
        </w:rPr>
        <mc:AlternateContent>
          <mc:Choice Requires="wps">
            <w:drawing>
              <wp:anchor distT="0" distB="0" distL="0" distR="0" simplePos="0" relativeHeight="15869952" behindDoc="0" locked="0" layoutInCell="1" allowOverlap="1" wp14:anchorId="24D62CDD" wp14:editId="24D62CDE">
                <wp:simplePos x="0" y="0"/>
                <wp:positionH relativeFrom="page">
                  <wp:posOffset>4473702</wp:posOffset>
                </wp:positionH>
                <wp:positionV relativeFrom="paragraph">
                  <wp:posOffset>190907</wp:posOffset>
                </wp:positionV>
                <wp:extent cx="7771765" cy="202311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765" cy="20231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439"/>
                              <w:gridCol w:w="1221"/>
                              <w:gridCol w:w="1201"/>
                              <w:gridCol w:w="1171"/>
                              <w:gridCol w:w="1171"/>
                              <w:gridCol w:w="1111"/>
                              <w:gridCol w:w="1112"/>
                              <w:gridCol w:w="1171"/>
                              <w:gridCol w:w="1081"/>
                            </w:tblGrid>
                            <w:tr w:rsidR="00245300" w14:paraId="24D631DB" w14:textId="77777777">
                              <w:trPr>
                                <w:trHeight w:val="759"/>
                              </w:trPr>
                              <w:tc>
                                <w:tcPr>
                                  <w:tcW w:w="1439" w:type="dxa"/>
                                </w:tcPr>
                                <w:p w14:paraId="24D631D1" w14:textId="77777777" w:rsidR="00245300" w:rsidRDefault="00F17249">
                                  <w:pPr>
                                    <w:pStyle w:val="TableParagraph"/>
                                    <w:spacing w:line="254" w:lineRule="exact"/>
                                    <w:ind w:left="107" w:right="97" w:firstLine="1"/>
                                    <w:jc w:val="center"/>
                                    <w:rPr>
                                      <w:b/>
                                    </w:rPr>
                                  </w:pPr>
                                  <w:r>
                                    <w:rPr>
                                      <w:b/>
                                    </w:rPr>
                                    <w:t xml:space="preserve">Name of </w:t>
                                  </w:r>
                                  <w:r>
                                    <w:rPr>
                                      <w:b/>
                                      <w:spacing w:val="-2"/>
                                    </w:rPr>
                                    <w:t xml:space="preserve">Component </w:t>
                                  </w:r>
                                  <w:r>
                                    <w:rPr>
                                      <w:b/>
                                      <w:spacing w:val="-10"/>
                                    </w:rPr>
                                    <w:t>A</w:t>
                                  </w:r>
                                </w:p>
                              </w:tc>
                              <w:tc>
                                <w:tcPr>
                                  <w:tcW w:w="1439" w:type="dxa"/>
                                </w:tcPr>
                                <w:p w14:paraId="24D631D2" w14:textId="77777777" w:rsidR="00245300" w:rsidRDefault="00F17249">
                                  <w:pPr>
                                    <w:pStyle w:val="TableParagraph"/>
                                    <w:spacing w:line="254" w:lineRule="exact"/>
                                    <w:ind w:left="107" w:right="97" w:firstLine="61"/>
                                    <w:jc w:val="center"/>
                                    <w:rPr>
                                      <w:b/>
                                    </w:rPr>
                                  </w:pPr>
                                  <w:r>
                                    <w:rPr>
                                      <w:b/>
                                    </w:rPr>
                                    <w:t xml:space="preserve">Name of </w:t>
                                  </w:r>
                                  <w:r>
                                    <w:rPr>
                                      <w:b/>
                                      <w:spacing w:val="-2"/>
                                    </w:rPr>
                                    <w:t xml:space="preserve">Component </w:t>
                                  </w:r>
                                  <w:r>
                                    <w:rPr>
                                      <w:b/>
                                      <w:spacing w:val="-10"/>
                                    </w:rPr>
                                    <w:t>B</w:t>
                                  </w:r>
                                </w:p>
                              </w:tc>
                              <w:tc>
                                <w:tcPr>
                                  <w:tcW w:w="1221" w:type="dxa"/>
                                </w:tcPr>
                                <w:p w14:paraId="24D631D3" w14:textId="77777777" w:rsidR="00245300" w:rsidRDefault="00245300">
                                  <w:pPr>
                                    <w:pStyle w:val="TableParagraph"/>
                                    <w:rPr>
                                      <w:rFonts w:ascii="Times New Roman"/>
                                      <w:sz w:val="20"/>
                                    </w:rPr>
                                  </w:pPr>
                                </w:p>
                              </w:tc>
                              <w:tc>
                                <w:tcPr>
                                  <w:tcW w:w="1201" w:type="dxa"/>
                                </w:tcPr>
                                <w:p w14:paraId="24D631D4" w14:textId="77777777" w:rsidR="00245300" w:rsidRDefault="00245300">
                                  <w:pPr>
                                    <w:pStyle w:val="TableParagraph"/>
                                    <w:rPr>
                                      <w:rFonts w:ascii="Times New Roman"/>
                                      <w:sz w:val="20"/>
                                    </w:rPr>
                                  </w:pPr>
                                </w:p>
                              </w:tc>
                              <w:tc>
                                <w:tcPr>
                                  <w:tcW w:w="1171" w:type="dxa"/>
                                </w:tcPr>
                                <w:p w14:paraId="24D631D5" w14:textId="77777777" w:rsidR="00245300" w:rsidRDefault="00245300">
                                  <w:pPr>
                                    <w:pStyle w:val="TableParagraph"/>
                                    <w:rPr>
                                      <w:rFonts w:ascii="Times New Roman"/>
                                      <w:sz w:val="20"/>
                                    </w:rPr>
                                  </w:pPr>
                                </w:p>
                              </w:tc>
                              <w:tc>
                                <w:tcPr>
                                  <w:tcW w:w="1171" w:type="dxa"/>
                                </w:tcPr>
                                <w:p w14:paraId="24D631D6" w14:textId="77777777" w:rsidR="00245300" w:rsidRDefault="00245300">
                                  <w:pPr>
                                    <w:pStyle w:val="TableParagraph"/>
                                    <w:rPr>
                                      <w:rFonts w:ascii="Times New Roman"/>
                                      <w:sz w:val="20"/>
                                    </w:rPr>
                                  </w:pPr>
                                </w:p>
                              </w:tc>
                              <w:tc>
                                <w:tcPr>
                                  <w:tcW w:w="1111" w:type="dxa"/>
                                </w:tcPr>
                                <w:p w14:paraId="24D631D7" w14:textId="77777777" w:rsidR="00245300" w:rsidRDefault="00245300">
                                  <w:pPr>
                                    <w:pStyle w:val="TableParagraph"/>
                                    <w:rPr>
                                      <w:rFonts w:ascii="Times New Roman"/>
                                      <w:sz w:val="20"/>
                                    </w:rPr>
                                  </w:pPr>
                                </w:p>
                              </w:tc>
                              <w:tc>
                                <w:tcPr>
                                  <w:tcW w:w="1112" w:type="dxa"/>
                                </w:tcPr>
                                <w:p w14:paraId="24D631D8" w14:textId="77777777" w:rsidR="00245300" w:rsidRDefault="00245300">
                                  <w:pPr>
                                    <w:pStyle w:val="TableParagraph"/>
                                    <w:rPr>
                                      <w:rFonts w:ascii="Times New Roman"/>
                                      <w:sz w:val="20"/>
                                    </w:rPr>
                                  </w:pPr>
                                </w:p>
                              </w:tc>
                              <w:tc>
                                <w:tcPr>
                                  <w:tcW w:w="1171" w:type="dxa"/>
                                </w:tcPr>
                                <w:p w14:paraId="24D631D9" w14:textId="77777777" w:rsidR="00245300" w:rsidRDefault="00245300">
                                  <w:pPr>
                                    <w:pStyle w:val="TableParagraph"/>
                                    <w:rPr>
                                      <w:rFonts w:ascii="Times New Roman"/>
                                      <w:sz w:val="20"/>
                                    </w:rPr>
                                  </w:pPr>
                                </w:p>
                              </w:tc>
                              <w:tc>
                                <w:tcPr>
                                  <w:tcW w:w="1081" w:type="dxa"/>
                                </w:tcPr>
                                <w:p w14:paraId="24D631DA" w14:textId="77777777" w:rsidR="00245300" w:rsidRDefault="00245300">
                                  <w:pPr>
                                    <w:pStyle w:val="TableParagraph"/>
                                    <w:rPr>
                                      <w:rFonts w:ascii="Times New Roman"/>
                                      <w:sz w:val="20"/>
                                    </w:rPr>
                                  </w:pPr>
                                </w:p>
                              </w:tc>
                            </w:tr>
                            <w:tr w:rsidR="00245300" w14:paraId="24D631E6" w14:textId="77777777">
                              <w:trPr>
                                <w:trHeight w:val="410"/>
                              </w:trPr>
                              <w:tc>
                                <w:tcPr>
                                  <w:tcW w:w="1439" w:type="dxa"/>
                                  <w:shd w:val="clear" w:color="auto" w:fill="D9D9D9"/>
                                </w:tcPr>
                                <w:p w14:paraId="24D631DC" w14:textId="77777777" w:rsidR="00245300" w:rsidRDefault="00245300">
                                  <w:pPr>
                                    <w:pStyle w:val="TableParagraph"/>
                                    <w:rPr>
                                      <w:rFonts w:ascii="Times New Roman"/>
                                      <w:sz w:val="20"/>
                                    </w:rPr>
                                  </w:pPr>
                                </w:p>
                              </w:tc>
                              <w:tc>
                                <w:tcPr>
                                  <w:tcW w:w="1439" w:type="dxa"/>
                                  <w:shd w:val="clear" w:color="auto" w:fill="D9D9D9"/>
                                </w:tcPr>
                                <w:p w14:paraId="24D631DD" w14:textId="77777777" w:rsidR="00245300" w:rsidRDefault="00245300">
                                  <w:pPr>
                                    <w:pStyle w:val="TableParagraph"/>
                                    <w:rPr>
                                      <w:rFonts w:ascii="Times New Roman"/>
                                      <w:sz w:val="20"/>
                                    </w:rPr>
                                  </w:pPr>
                                </w:p>
                              </w:tc>
                              <w:tc>
                                <w:tcPr>
                                  <w:tcW w:w="1221" w:type="dxa"/>
                                  <w:shd w:val="clear" w:color="auto" w:fill="D9D9D9"/>
                                </w:tcPr>
                                <w:p w14:paraId="24D631DE" w14:textId="77777777" w:rsidR="00245300" w:rsidRDefault="00245300">
                                  <w:pPr>
                                    <w:pStyle w:val="TableParagraph"/>
                                    <w:rPr>
                                      <w:rFonts w:ascii="Times New Roman"/>
                                      <w:sz w:val="20"/>
                                    </w:rPr>
                                  </w:pPr>
                                </w:p>
                              </w:tc>
                              <w:tc>
                                <w:tcPr>
                                  <w:tcW w:w="1201" w:type="dxa"/>
                                  <w:shd w:val="clear" w:color="auto" w:fill="D9D9D9"/>
                                </w:tcPr>
                                <w:p w14:paraId="24D631DF" w14:textId="77777777" w:rsidR="00245300" w:rsidRDefault="00245300">
                                  <w:pPr>
                                    <w:pStyle w:val="TableParagraph"/>
                                    <w:rPr>
                                      <w:rFonts w:ascii="Times New Roman"/>
                                      <w:sz w:val="20"/>
                                    </w:rPr>
                                  </w:pPr>
                                </w:p>
                              </w:tc>
                              <w:tc>
                                <w:tcPr>
                                  <w:tcW w:w="1171" w:type="dxa"/>
                                  <w:shd w:val="clear" w:color="auto" w:fill="D9D9D9"/>
                                </w:tcPr>
                                <w:p w14:paraId="24D631E0" w14:textId="77777777" w:rsidR="00245300" w:rsidRDefault="00245300">
                                  <w:pPr>
                                    <w:pStyle w:val="TableParagraph"/>
                                    <w:rPr>
                                      <w:rFonts w:ascii="Times New Roman"/>
                                      <w:sz w:val="20"/>
                                    </w:rPr>
                                  </w:pPr>
                                </w:p>
                              </w:tc>
                              <w:tc>
                                <w:tcPr>
                                  <w:tcW w:w="1171" w:type="dxa"/>
                                  <w:shd w:val="clear" w:color="auto" w:fill="D9D9D9"/>
                                </w:tcPr>
                                <w:p w14:paraId="24D631E1" w14:textId="77777777" w:rsidR="00245300" w:rsidRDefault="00245300">
                                  <w:pPr>
                                    <w:pStyle w:val="TableParagraph"/>
                                    <w:rPr>
                                      <w:rFonts w:ascii="Times New Roman"/>
                                      <w:sz w:val="20"/>
                                    </w:rPr>
                                  </w:pPr>
                                </w:p>
                              </w:tc>
                              <w:tc>
                                <w:tcPr>
                                  <w:tcW w:w="1111" w:type="dxa"/>
                                  <w:shd w:val="clear" w:color="auto" w:fill="D9D9D9"/>
                                </w:tcPr>
                                <w:p w14:paraId="24D631E2" w14:textId="77777777" w:rsidR="00245300" w:rsidRDefault="00245300">
                                  <w:pPr>
                                    <w:pStyle w:val="TableParagraph"/>
                                    <w:rPr>
                                      <w:rFonts w:ascii="Times New Roman"/>
                                      <w:sz w:val="20"/>
                                    </w:rPr>
                                  </w:pPr>
                                </w:p>
                              </w:tc>
                              <w:tc>
                                <w:tcPr>
                                  <w:tcW w:w="1112" w:type="dxa"/>
                                  <w:shd w:val="clear" w:color="auto" w:fill="D9D9D9"/>
                                </w:tcPr>
                                <w:p w14:paraId="24D631E3" w14:textId="77777777" w:rsidR="00245300" w:rsidRDefault="00245300">
                                  <w:pPr>
                                    <w:pStyle w:val="TableParagraph"/>
                                    <w:rPr>
                                      <w:rFonts w:ascii="Times New Roman"/>
                                      <w:sz w:val="20"/>
                                    </w:rPr>
                                  </w:pPr>
                                </w:p>
                              </w:tc>
                              <w:tc>
                                <w:tcPr>
                                  <w:tcW w:w="1171" w:type="dxa"/>
                                  <w:shd w:val="clear" w:color="auto" w:fill="D9D9D9"/>
                                </w:tcPr>
                                <w:p w14:paraId="24D631E4" w14:textId="77777777" w:rsidR="00245300" w:rsidRDefault="00245300">
                                  <w:pPr>
                                    <w:pStyle w:val="TableParagraph"/>
                                    <w:rPr>
                                      <w:rFonts w:ascii="Times New Roman"/>
                                      <w:sz w:val="20"/>
                                    </w:rPr>
                                  </w:pPr>
                                </w:p>
                              </w:tc>
                              <w:tc>
                                <w:tcPr>
                                  <w:tcW w:w="1081" w:type="dxa"/>
                                  <w:shd w:val="clear" w:color="auto" w:fill="D9D9D9"/>
                                </w:tcPr>
                                <w:p w14:paraId="24D631E5" w14:textId="77777777" w:rsidR="00245300" w:rsidRDefault="00245300">
                                  <w:pPr>
                                    <w:pStyle w:val="TableParagraph"/>
                                    <w:rPr>
                                      <w:rFonts w:ascii="Times New Roman"/>
                                      <w:sz w:val="20"/>
                                    </w:rPr>
                                  </w:pPr>
                                </w:p>
                              </w:tc>
                            </w:tr>
                            <w:tr w:rsidR="00245300" w14:paraId="24D631F1" w14:textId="77777777">
                              <w:trPr>
                                <w:trHeight w:val="395"/>
                              </w:trPr>
                              <w:tc>
                                <w:tcPr>
                                  <w:tcW w:w="1439" w:type="dxa"/>
                                </w:tcPr>
                                <w:p w14:paraId="24D631E7" w14:textId="77777777" w:rsidR="00245300" w:rsidRDefault="00245300">
                                  <w:pPr>
                                    <w:pStyle w:val="TableParagraph"/>
                                    <w:rPr>
                                      <w:rFonts w:ascii="Times New Roman"/>
                                      <w:sz w:val="20"/>
                                    </w:rPr>
                                  </w:pPr>
                                </w:p>
                              </w:tc>
                              <w:tc>
                                <w:tcPr>
                                  <w:tcW w:w="1439" w:type="dxa"/>
                                </w:tcPr>
                                <w:p w14:paraId="24D631E8" w14:textId="77777777" w:rsidR="00245300" w:rsidRDefault="00245300">
                                  <w:pPr>
                                    <w:pStyle w:val="TableParagraph"/>
                                    <w:rPr>
                                      <w:rFonts w:ascii="Times New Roman"/>
                                      <w:sz w:val="20"/>
                                    </w:rPr>
                                  </w:pPr>
                                </w:p>
                              </w:tc>
                              <w:tc>
                                <w:tcPr>
                                  <w:tcW w:w="1221" w:type="dxa"/>
                                </w:tcPr>
                                <w:p w14:paraId="24D631E9" w14:textId="77777777" w:rsidR="00245300" w:rsidRDefault="00245300">
                                  <w:pPr>
                                    <w:pStyle w:val="TableParagraph"/>
                                    <w:rPr>
                                      <w:rFonts w:ascii="Times New Roman"/>
                                      <w:sz w:val="20"/>
                                    </w:rPr>
                                  </w:pPr>
                                </w:p>
                              </w:tc>
                              <w:tc>
                                <w:tcPr>
                                  <w:tcW w:w="1201" w:type="dxa"/>
                                </w:tcPr>
                                <w:p w14:paraId="24D631EA" w14:textId="77777777" w:rsidR="00245300" w:rsidRDefault="00245300">
                                  <w:pPr>
                                    <w:pStyle w:val="TableParagraph"/>
                                    <w:rPr>
                                      <w:rFonts w:ascii="Times New Roman"/>
                                      <w:sz w:val="20"/>
                                    </w:rPr>
                                  </w:pPr>
                                </w:p>
                              </w:tc>
                              <w:tc>
                                <w:tcPr>
                                  <w:tcW w:w="1171" w:type="dxa"/>
                                </w:tcPr>
                                <w:p w14:paraId="24D631EB" w14:textId="77777777" w:rsidR="00245300" w:rsidRDefault="00245300">
                                  <w:pPr>
                                    <w:pStyle w:val="TableParagraph"/>
                                    <w:rPr>
                                      <w:rFonts w:ascii="Times New Roman"/>
                                      <w:sz w:val="20"/>
                                    </w:rPr>
                                  </w:pPr>
                                </w:p>
                              </w:tc>
                              <w:tc>
                                <w:tcPr>
                                  <w:tcW w:w="1171" w:type="dxa"/>
                                </w:tcPr>
                                <w:p w14:paraId="24D631EC" w14:textId="77777777" w:rsidR="00245300" w:rsidRDefault="00245300">
                                  <w:pPr>
                                    <w:pStyle w:val="TableParagraph"/>
                                    <w:rPr>
                                      <w:rFonts w:ascii="Times New Roman"/>
                                      <w:sz w:val="20"/>
                                    </w:rPr>
                                  </w:pPr>
                                </w:p>
                              </w:tc>
                              <w:tc>
                                <w:tcPr>
                                  <w:tcW w:w="1111" w:type="dxa"/>
                                </w:tcPr>
                                <w:p w14:paraId="24D631ED" w14:textId="77777777" w:rsidR="00245300" w:rsidRDefault="00245300">
                                  <w:pPr>
                                    <w:pStyle w:val="TableParagraph"/>
                                    <w:rPr>
                                      <w:rFonts w:ascii="Times New Roman"/>
                                      <w:sz w:val="20"/>
                                    </w:rPr>
                                  </w:pPr>
                                </w:p>
                              </w:tc>
                              <w:tc>
                                <w:tcPr>
                                  <w:tcW w:w="1112" w:type="dxa"/>
                                </w:tcPr>
                                <w:p w14:paraId="24D631EE" w14:textId="77777777" w:rsidR="00245300" w:rsidRDefault="00245300">
                                  <w:pPr>
                                    <w:pStyle w:val="TableParagraph"/>
                                    <w:rPr>
                                      <w:rFonts w:ascii="Times New Roman"/>
                                      <w:sz w:val="20"/>
                                    </w:rPr>
                                  </w:pPr>
                                </w:p>
                              </w:tc>
                              <w:tc>
                                <w:tcPr>
                                  <w:tcW w:w="1171" w:type="dxa"/>
                                </w:tcPr>
                                <w:p w14:paraId="24D631EF" w14:textId="77777777" w:rsidR="00245300" w:rsidRDefault="00245300">
                                  <w:pPr>
                                    <w:pStyle w:val="TableParagraph"/>
                                    <w:rPr>
                                      <w:rFonts w:ascii="Times New Roman"/>
                                      <w:sz w:val="20"/>
                                    </w:rPr>
                                  </w:pPr>
                                </w:p>
                              </w:tc>
                              <w:tc>
                                <w:tcPr>
                                  <w:tcW w:w="1081" w:type="dxa"/>
                                </w:tcPr>
                                <w:p w14:paraId="24D631F0" w14:textId="77777777" w:rsidR="00245300" w:rsidRDefault="00245300">
                                  <w:pPr>
                                    <w:pStyle w:val="TableParagraph"/>
                                    <w:rPr>
                                      <w:rFonts w:ascii="Times New Roman"/>
                                      <w:sz w:val="20"/>
                                    </w:rPr>
                                  </w:pPr>
                                </w:p>
                              </w:tc>
                            </w:tr>
                            <w:tr w:rsidR="00245300" w14:paraId="24D631FC" w14:textId="77777777">
                              <w:trPr>
                                <w:trHeight w:val="413"/>
                              </w:trPr>
                              <w:tc>
                                <w:tcPr>
                                  <w:tcW w:w="1439" w:type="dxa"/>
                                </w:tcPr>
                                <w:p w14:paraId="24D631F2" w14:textId="77777777" w:rsidR="00245300" w:rsidRDefault="00245300">
                                  <w:pPr>
                                    <w:pStyle w:val="TableParagraph"/>
                                    <w:rPr>
                                      <w:rFonts w:ascii="Times New Roman"/>
                                      <w:sz w:val="20"/>
                                    </w:rPr>
                                  </w:pPr>
                                </w:p>
                              </w:tc>
                              <w:tc>
                                <w:tcPr>
                                  <w:tcW w:w="1439" w:type="dxa"/>
                                </w:tcPr>
                                <w:p w14:paraId="24D631F3" w14:textId="77777777" w:rsidR="00245300" w:rsidRDefault="00245300">
                                  <w:pPr>
                                    <w:pStyle w:val="TableParagraph"/>
                                    <w:rPr>
                                      <w:rFonts w:ascii="Times New Roman"/>
                                      <w:sz w:val="20"/>
                                    </w:rPr>
                                  </w:pPr>
                                </w:p>
                              </w:tc>
                              <w:tc>
                                <w:tcPr>
                                  <w:tcW w:w="1221" w:type="dxa"/>
                                </w:tcPr>
                                <w:p w14:paraId="24D631F4" w14:textId="77777777" w:rsidR="00245300" w:rsidRDefault="00245300">
                                  <w:pPr>
                                    <w:pStyle w:val="TableParagraph"/>
                                    <w:rPr>
                                      <w:rFonts w:ascii="Times New Roman"/>
                                      <w:sz w:val="20"/>
                                    </w:rPr>
                                  </w:pPr>
                                </w:p>
                              </w:tc>
                              <w:tc>
                                <w:tcPr>
                                  <w:tcW w:w="1201" w:type="dxa"/>
                                </w:tcPr>
                                <w:p w14:paraId="24D631F5" w14:textId="77777777" w:rsidR="00245300" w:rsidRDefault="00245300">
                                  <w:pPr>
                                    <w:pStyle w:val="TableParagraph"/>
                                    <w:rPr>
                                      <w:rFonts w:ascii="Times New Roman"/>
                                      <w:sz w:val="20"/>
                                    </w:rPr>
                                  </w:pPr>
                                </w:p>
                              </w:tc>
                              <w:tc>
                                <w:tcPr>
                                  <w:tcW w:w="1171" w:type="dxa"/>
                                </w:tcPr>
                                <w:p w14:paraId="24D631F6" w14:textId="77777777" w:rsidR="00245300" w:rsidRDefault="00245300">
                                  <w:pPr>
                                    <w:pStyle w:val="TableParagraph"/>
                                    <w:rPr>
                                      <w:rFonts w:ascii="Times New Roman"/>
                                      <w:sz w:val="20"/>
                                    </w:rPr>
                                  </w:pPr>
                                </w:p>
                              </w:tc>
                              <w:tc>
                                <w:tcPr>
                                  <w:tcW w:w="1171" w:type="dxa"/>
                                </w:tcPr>
                                <w:p w14:paraId="24D631F7" w14:textId="77777777" w:rsidR="00245300" w:rsidRDefault="00245300">
                                  <w:pPr>
                                    <w:pStyle w:val="TableParagraph"/>
                                    <w:rPr>
                                      <w:rFonts w:ascii="Times New Roman"/>
                                      <w:sz w:val="20"/>
                                    </w:rPr>
                                  </w:pPr>
                                </w:p>
                              </w:tc>
                              <w:tc>
                                <w:tcPr>
                                  <w:tcW w:w="1111" w:type="dxa"/>
                                </w:tcPr>
                                <w:p w14:paraId="24D631F8" w14:textId="77777777" w:rsidR="00245300" w:rsidRDefault="00245300">
                                  <w:pPr>
                                    <w:pStyle w:val="TableParagraph"/>
                                    <w:rPr>
                                      <w:rFonts w:ascii="Times New Roman"/>
                                      <w:sz w:val="20"/>
                                    </w:rPr>
                                  </w:pPr>
                                </w:p>
                              </w:tc>
                              <w:tc>
                                <w:tcPr>
                                  <w:tcW w:w="1112" w:type="dxa"/>
                                </w:tcPr>
                                <w:p w14:paraId="24D631F9" w14:textId="77777777" w:rsidR="00245300" w:rsidRDefault="00245300">
                                  <w:pPr>
                                    <w:pStyle w:val="TableParagraph"/>
                                    <w:rPr>
                                      <w:rFonts w:ascii="Times New Roman"/>
                                      <w:sz w:val="20"/>
                                    </w:rPr>
                                  </w:pPr>
                                </w:p>
                              </w:tc>
                              <w:tc>
                                <w:tcPr>
                                  <w:tcW w:w="1171" w:type="dxa"/>
                                </w:tcPr>
                                <w:p w14:paraId="24D631FA" w14:textId="77777777" w:rsidR="00245300" w:rsidRDefault="00245300">
                                  <w:pPr>
                                    <w:pStyle w:val="TableParagraph"/>
                                    <w:rPr>
                                      <w:rFonts w:ascii="Times New Roman"/>
                                      <w:sz w:val="20"/>
                                    </w:rPr>
                                  </w:pPr>
                                </w:p>
                              </w:tc>
                              <w:tc>
                                <w:tcPr>
                                  <w:tcW w:w="1081" w:type="dxa"/>
                                </w:tcPr>
                                <w:p w14:paraId="24D631FB" w14:textId="77777777" w:rsidR="00245300" w:rsidRDefault="00245300">
                                  <w:pPr>
                                    <w:pStyle w:val="TableParagraph"/>
                                    <w:rPr>
                                      <w:rFonts w:ascii="Times New Roman"/>
                                      <w:sz w:val="20"/>
                                    </w:rPr>
                                  </w:pPr>
                                </w:p>
                              </w:tc>
                            </w:tr>
                            <w:tr w:rsidR="00245300" w14:paraId="24D631FE" w14:textId="77777777">
                              <w:trPr>
                                <w:trHeight w:val="300"/>
                              </w:trPr>
                              <w:tc>
                                <w:tcPr>
                                  <w:tcW w:w="12117" w:type="dxa"/>
                                  <w:gridSpan w:val="10"/>
                                  <w:shd w:val="clear" w:color="auto" w:fill="D9D9D9"/>
                                </w:tcPr>
                                <w:p w14:paraId="24D631FD" w14:textId="77777777" w:rsidR="00245300" w:rsidRDefault="00245300">
                                  <w:pPr>
                                    <w:pStyle w:val="TableParagraph"/>
                                    <w:rPr>
                                      <w:rFonts w:ascii="Times New Roman"/>
                                      <w:sz w:val="20"/>
                                    </w:rPr>
                                  </w:pPr>
                                </w:p>
                              </w:tc>
                            </w:tr>
                            <w:tr w:rsidR="00245300" w14:paraId="24D63200" w14:textId="77777777">
                              <w:trPr>
                                <w:trHeight w:val="413"/>
                              </w:trPr>
                              <w:tc>
                                <w:tcPr>
                                  <w:tcW w:w="12117" w:type="dxa"/>
                                  <w:gridSpan w:val="10"/>
                                </w:tcPr>
                                <w:p w14:paraId="24D631FF" w14:textId="77777777" w:rsidR="00245300" w:rsidRDefault="00245300">
                                  <w:pPr>
                                    <w:pStyle w:val="TableParagraph"/>
                                    <w:rPr>
                                      <w:rFonts w:ascii="Times New Roman"/>
                                      <w:sz w:val="20"/>
                                    </w:rPr>
                                  </w:pPr>
                                </w:p>
                              </w:tc>
                            </w:tr>
                            <w:tr w:rsidR="00245300" w14:paraId="24D63202" w14:textId="77777777">
                              <w:trPr>
                                <w:trHeight w:val="413"/>
                              </w:trPr>
                              <w:tc>
                                <w:tcPr>
                                  <w:tcW w:w="12117" w:type="dxa"/>
                                  <w:gridSpan w:val="10"/>
                                </w:tcPr>
                                <w:p w14:paraId="24D63201" w14:textId="77777777" w:rsidR="00245300" w:rsidRDefault="00245300">
                                  <w:pPr>
                                    <w:pStyle w:val="TableParagraph"/>
                                    <w:rPr>
                                      <w:rFonts w:ascii="Times New Roman"/>
                                      <w:sz w:val="20"/>
                                    </w:rPr>
                                  </w:pPr>
                                </w:p>
                              </w:tc>
                            </w:tr>
                          </w:tbl>
                          <w:p w14:paraId="24D63203" w14:textId="77777777" w:rsidR="00245300" w:rsidRDefault="00245300">
                            <w:pPr>
                              <w:pStyle w:val="BodyText"/>
                            </w:pPr>
                          </w:p>
                        </w:txbxContent>
                      </wps:txbx>
                      <wps:bodyPr wrap="square" lIns="0" tIns="0" rIns="0" bIns="0" rtlCol="0">
                        <a:noAutofit/>
                      </wps:bodyPr>
                    </wps:wsp>
                  </a:graphicData>
                </a:graphic>
              </wp:anchor>
            </w:drawing>
          </mc:Choice>
          <mc:Fallback>
            <w:pict>
              <v:shape w14:anchorId="24D62CDD" id="Textbox 975" o:spid="_x0000_s1027" type="#_x0000_t202" style="position:absolute;left:0;text-align:left;margin-left:352.25pt;margin-top:15.05pt;width:611.95pt;height:159.3pt;z-index:1586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439"/>
                        <w:gridCol w:w="1221"/>
                        <w:gridCol w:w="1201"/>
                        <w:gridCol w:w="1171"/>
                        <w:gridCol w:w="1171"/>
                        <w:gridCol w:w="1111"/>
                        <w:gridCol w:w="1112"/>
                        <w:gridCol w:w="1171"/>
                        <w:gridCol w:w="1081"/>
                      </w:tblGrid>
                      <w:tr w:rsidR="00245300" w14:paraId="24D631DB" w14:textId="77777777">
                        <w:trPr>
                          <w:trHeight w:val="759"/>
                        </w:trPr>
                        <w:tc>
                          <w:tcPr>
                            <w:tcW w:w="1439" w:type="dxa"/>
                          </w:tcPr>
                          <w:p w14:paraId="24D631D1" w14:textId="77777777" w:rsidR="00245300" w:rsidRDefault="00F17249">
                            <w:pPr>
                              <w:pStyle w:val="TableParagraph"/>
                              <w:spacing w:line="254" w:lineRule="exact"/>
                              <w:ind w:left="107" w:right="97" w:firstLine="1"/>
                              <w:jc w:val="center"/>
                              <w:rPr>
                                <w:b/>
                              </w:rPr>
                            </w:pPr>
                            <w:r>
                              <w:rPr>
                                <w:b/>
                              </w:rPr>
                              <w:t xml:space="preserve">Name of </w:t>
                            </w:r>
                            <w:r>
                              <w:rPr>
                                <w:b/>
                                <w:spacing w:val="-2"/>
                              </w:rPr>
                              <w:t xml:space="preserve">Component </w:t>
                            </w:r>
                            <w:r>
                              <w:rPr>
                                <w:b/>
                                <w:spacing w:val="-10"/>
                              </w:rPr>
                              <w:t>A</w:t>
                            </w:r>
                          </w:p>
                        </w:tc>
                        <w:tc>
                          <w:tcPr>
                            <w:tcW w:w="1439" w:type="dxa"/>
                          </w:tcPr>
                          <w:p w14:paraId="24D631D2" w14:textId="77777777" w:rsidR="00245300" w:rsidRDefault="00F17249">
                            <w:pPr>
                              <w:pStyle w:val="TableParagraph"/>
                              <w:spacing w:line="254" w:lineRule="exact"/>
                              <w:ind w:left="107" w:right="97" w:firstLine="61"/>
                              <w:jc w:val="center"/>
                              <w:rPr>
                                <w:b/>
                              </w:rPr>
                            </w:pPr>
                            <w:r>
                              <w:rPr>
                                <w:b/>
                              </w:rPr>
                              <w:t xml:space="preserve">Name of </w:t>
                            </w:r>
                            <w:r>
                              <w:rPr>
                                <w:b/>
                                <w:spacing w:val="-2"/>
                              </w:rPr>
                              <w:t xml:space="preserve">Component </w:t>
                            </w:r>
                            <w:r>
                              <w:rPr>
                                <w:b/>
                                <w:spacing w:val="-10"/>
                              </w:rPr>
                              <w:t>B</w:t>
                            </w:r>
                          </w:p>
                        </w:tc>
                        <w:tc>
                          <w:tcPr>
                            <w:tcW w:w="1221" w:type="dxa"/>
                          </w:tcPr>
                          <w:p w14:paraId="24D631D3" w14:textId="77777777" w:rsidR="00245300" w:rsidRDefault="00245300">
                            <w:pPr>
                              <w:pStyle w:val="TableParagraph"/>
                              <w:rPr>
                                <w:rFonts w:ascii="Times New Roman"/>
                                <w:sz w:val="20"/>
                              </w:rPr>
                            </w:pPr>
                          </w:p>
                        </w:tc>
                        <w:tc>
                          <w:tcPr>
                            <w:tcW w:w="1201" w:type="dxa"/>
                          </w:tcPr>
                          <w:p w14:paraId="24D631D4" w14:textId="77777777" w:rsidR="00245300" w:rsidRDefault="00245300">
                            <w:pPr>
                              <w:pStyle w:val="TableParagraph"/>
                              <w:rPr>
                                <w:rFonts w:ascii="Times New Roman"/>
                                <w:sz w:val="20"/>
                              </w:rPr>
                            </w:pPr>
                          </w:p>
                        </w:tc>
                        <w:tc>
                          <w:tcPr>
                            <w:tcW w:w="1171" w:type="dxa"/>
                          </w:tcPr>
                          <w:p w14:paraId="24D631D5" w14:textId="77777777" w:rsidR="00245300" w:rsidRDefault="00245300">
                            <w:pPr>
                              <w:pStyle w:val="TableParagraph"/>
                              <w:rPr>
                                <w:rFonts w:ascii="Times New Roman"/>
                                <w:sz w:val="20"/>
                              </w:rPr>
                            </w:pPr>
                          </w:p>
                        </w:tc>
                        <w:tc>
                          <w:tcPr>
                            <w:tcW w:w="1171" w:type="dxa"/>
                          </w:tcPr>
                          <w:p w14:paraId="24D631D6" w14:textId="77777777" w:rsidR="00245300" w:rsidRDefault="00245300">
                            <w:pPr>
                              <w:pStyle w:val="TableParagraph"/>
                              <w:rPr>
                                <w:rFonts w:ascii="Times New Roman"/>
                                <w:sz w:val="20"/>
                              </w:rPr>
                            </w:pPr>
                          </w:p>
                        </w:tc>
                        <w:tc>
                          <w:tcPr>
                            <w:tcW w:w="1111" w:type="dxa"/>
                          </w:tcPr>
                          <w:p w14:paraId="24D631D7" w14:textId="77777777" w:rsidR="00245300" w:rsidRDefault="00245300">
                            <w:pPr>
                              <w:pStyle w:val="TableParagraph"/>
                              <w:rPr>
                                <w:rFonts w:ascii="Times New Roman"/>
                                <w:sz w:val="20"/>
                              </w:rPr>
                            </w:pPr>
                          </w:p>
                        </w:tc>
                        <w:tc>
                          <w:tcPr>
                            <w:tcW w:w="1112" w:type="dxa"/>
                          </w:tcPr>
                          <w:p w14:paraId="24D631D8" w14:textId="77777777" w:rsidR="00245300" w:rsidRDefault="00245300">
                            <w:pPr>
                              <w:pStyle w:val="TableParagraph"/>
                              <w:rPr>
                                <w:rFonts w:ascii="Times New Roman"/>
                                <w:sz w:val="20"/>
                              </w:rPr>
                            </w:pPr>
                          </w:p>
                        </w:tc>
                        <w:tc>
                          <w:tcPr>
                            <w:tcW w:w="1171" w:type="dxa"/>
                          </w:tcPr>
                          <w:p w14:paraId="24D631D9" w14:textId="77777777" w:rsidR="00245300" w:rsidRDefault="00245300">
                            <w:pPr>
                              <w:pStyle w:val="TableParagraph"/>
                              <w:rPr>
                                <w:rFonts w:ascii="Times New Roman"/>
                                <w:sz w:val="20"/>
                              </w:rPr>
                            </w:pPr>
                          </w:p>
                        </w:tc>
                        <w:tc>
                          <w:tcPr>
                            <w:tcW w:w="1081" w:type="dxa"/>
                          </w:tcPr>
                          <w:p w14:paraId="24D631DA" w14:textId="77777777" w:rsidR="00245300" w:rsidRDefault="00245300">
                            <w:pPr>
                              <w:pStyle w:val="TableParagraph"/>
                              <w:rPr>
                                <w:rFonts w:ascii="Times New Roman"/>
                                <w:sz w:val="20"/>
                              </w:rPr>
                            </w:pPr>
                          </w:p>
                        </w:tc>
                      </w:tr>
                      <w:tr w:rsidR="00245300" w14:paraId="24D631E6" w14:textId="77777777">
                        <w:trPr>
                          <w:trHeight w:val="410"/>
                        </w:trPr>
                        <w:tc>
                          <w:tcPr>
                            <w:tcW w:w="1439" w:type="dxa"/>
                            <w:shd w:val="clear" w:color="auto" w:fill="D9D9D9"/>
                          </w:tcPr>
                          <w:p w14:paraId="24D631DC" w14:textId="77777777" w:rsidR="00245300" w:rsidRDefault="00245300">
                            <w:pPr>
                              <w:pStyle w:val="TableParagraph"/>
                              <w:rPr>
                                <w:rFonts w:ascii="Times New Roman"/>
                                <w:sz w:val="20"/>
                              </w:rPr>
                            </w:pPr>
                          </w:p>
                        </w:tc>
                        <w:tc>
                          <w:tcPr>
                            <w:tcW w:w="1439" w:type="dxa"/>
                            <w:shd w:val="clear" w:color="auto" w:fill="D9D9D9"/>
                          </w:tcPr>
                          <w:p w14:paraId="24D631DD" w14:textId="77777777" w:rsidR="00245300" w:rsidRDefault="00245300">
                            <w:pPr>
                              <w:pStyle w:val="TableParagraph"/>
                              <w:rPr>
                                <w:rFonts w:ascii="Times New Roman"/>
                                <w:sz w:val="20"/>
                              </w:rPr>
                            </w:pPr>
                          </w:p>
                        </w:tc>
                        <w:tc>
                          <w:tcPr>
                            <w:tcW w:w="1221" w:type="dxa"/>
                            <w:shd w:val="clear" w:color="auto" w:fill="D9D9D9"/>
                          </w:tcPr>
                          <w:p w14:paraId="24D631DE" w14:textId="77777777" w:rsidR="00245300" w:rsidRDefault="00245300">
                            <w:pPr>
                              <w:pStyle w:val="TableParagraph"/>
                              <w:rPr>
                                <w:rFonts w:ascii="Times New Roman"/>
                                <w:sz w:val="20"/>
                              </w:rPr>
                            </w:pPr>
                          </w:p>
                        </w:tc>
                        <w:tc>
                          <w:tcPr>
                            <w:tcW w:w="1201" w:type="dxa"/>
                            <w:shd w:val="clear" w:color="auto" w:fill="D9D9D9"/>
                          </w:tcPr>
                          <w:p w14:paraId="24D631DF" w14:textId="77777777" w:rsidR="00245300" w:rsidRDefault="00245300">
                            <w:pPr>
                              <w:pStyle w:val="TableParagraph"/>
                              <w:rPr>
                                <w:rFonts w:ascii="Times New Roman"/>
                                <w:sz w:val="20"/>
                              </w:rPr>
                            </w:pPr>
                          </w:p>
                        </w:tc>
                        <w:tc>
                          <w:tcPr>
                            <w:tcW w:w="1171" w:type="dxa"/>
                            <w:shd w:val="clear" w:color="auto" w:fill="D9D9D9"/>
                          </w:tcPr>
                          <w:p w14:paraId="24D631E0" w14:textId="77777777" w:rsidR="00245300" w:rsidRDefault="00245300">
                            <w:pPr>
                              <w:pStyle w:val="TableParagraph"/>
                              <w:rPr>
                                <w:rFonts w:ascii="Times New Roman"/>
                                <w:sz w:val="20"/>
                              </w:rPr>
                            </w:pPr>
                          </w:p>
                        </w:tc>
                        <w:tc>
                          <w:tcPr>
                            <w:tcW w:w="1171" w:type="dxa"/>
                            <w:shd w:val="clear" w:color="auto" w:fill="D9D9D9"/>
                          </w:tcPr>
                          <w:p w14:paraId="24D631E1" w14:textId="77777777" w:rsidR="00245300" w:rsidRDefault="00245300">
                            <w:pPr>
                              <w:pStyle w:val="TableParagraph"/>
                              <w:rPr>
                                <w:rFonts w:ascii="Times New Roman"/>
                                <w:sz w:val="20"/>
                              </w:rPr>
                            </w:pPr>
                          </w:p>
                        </w:tc>
                        <w:tc>
                          <w:tcPr>
                            <w:tcW w:w="1111" w:type="dxa"/>
                            <w:shd w:val="clear" w:color="auto" w:fill="D9D9D9"/>
                          </w:tcPr>
                          <w:p w14:paraId="24D631E2" w14:textId="77777777" w:rsidR="00245300" w:rsidRDefault="00245300">
                            <w:pPr>
                              <w:pStyle w:val="TableParagraph"/>
                              <w:rPr>
                                <w:rFonts w:ascii="Times New Roman"/>
                                <w:sz w:val="20"/>
                              </w:rPr>
                            </w:pPr>
                          </w:p>
                        </w:tc>
                        <w:tc>
                          <w:tcPr>
                            <w:tcW w:w="1112" w:type="dxa"/>
                            <w:shd w:val="clear" w:color="auto" w:fill="D9D9D9"/>
                          </w:tcPr>
                          <w:p w14:paraId="24D631E3" w14:textId="77777777" w:rsidR="00245300" w:rsidRDefault="00245300">
                            <w:pPr>
                              <w:pStyle w:val="TableParagraph"/>
                              <w:rPr>
                                <w:rFonts w:ascii="Times New Roman"/>
                                <w:sz w:val="20"/>
                              </w:rPr>
                            </w:pPr>
                          </w:p>
                        </w:tc>
                        <w:tc>
                          <w:tcPr>
                            <w:tcW w:w="1171" w:type="dxa"/>
                            <w:shd w:val="clear" w:color="auto" w:fill="D9D9D9"/>
                          </w:tcPr>
                          <w:p w14:paraId="24D631E4" w14:textId="77777777" w:rsidR="00245300" w:rsidRDefault="00245300">
                            <w:pPr>
                              <w:pStyle w:val="TableParagraph"/>
                              <w:rPr>
                                <w:rFonts w:ascii="Times New Roman"/>
                                <w:sz w:val="20"/>
                              </w:rPr>
                            </w:pPr>
                          </w:p>
                        </w:tc>
                        <w:tc>
                          <w:tcPr>
                            <w:tcW w:w="1081" w:type="dxa"/>
                            <w:shd w:val="clear" w:color="auto" w:fill="D9D9D9"/>
                          </w:tcPr>
                          <w:p w14:paraId="24D631E5" w14:textId="77777777" w:rsidR="00245300" w:rsidRDefault="00245300">
                            <w:pPr>
                              <w:pStyle w:val="TableParagraph"/>
                              <w:rPr>
                                <w:rFonts w:ascii="Times New Roman"/>
                                <w:sz w:val="20"/>
                              </w:rPr>
                            </w:pPr>
                          </w:p>
                        </w:tc>
                      </w:tr>
                      <w:tr w:rsidR="00245300" w14:paraId="24D631F1" w14:textId="77777777">
                        <w:trPr>
                          <w:trHeight w:val="395"/>
                        </w:trPr>
                        <w:tc>
                          <w:tcPr>
                            <w:tcW w:w="1439" w:type="dxa"/>
                          </w:tcPr>
                          <w:p w14:paraId="24D631E7" w14:textId="77777777" w:rsidR="00245300" w:rsidRDefault="00245300">
                            <w:pPr>
                              <w:pStyle w:val="TableParagraph"/>
                              <w:rPr>
                                <w:rFonts w:ascii="Times New Roman"/>
                                <w:sz w:val="20"/>
                              </w:rPr>
                            </w:pPr>
                          </w:p>
                        </w:tc>
                        <w:tc>
                          <w:tcPr>
                            <w:tcW w:w="1439" w:type="dxa"/>
                          </w:tcPr>
                          <w:p w14:paraId="24D631E8" w14:textId="77777777" w:rsidR="00245300" w:rsidRDefault="00245300">
                            <w:pPr>
                              <w:pStyle w:val="TableParagraph"/>
                              <w:rPr>
                                <w:rFonts w:ascii="Times New Roman"/>
                                <w:sz w:val="20"/>
                              </w:rPr>
                            </w:pPr>
                          </w:p>
                        </w:tc>
                        <w:tc>
                          <w:tcPr>
                            <w:tcW w:w="1221" w:type="dxa"/>
                          </w:tcPr>
                          <w:p w14:paraId="24D631E9" w14:textId="77777777" w:rsidR="00245300" w:rsidRDefault="00245300">
                            <w:pPr>
                              <w:pStyle w:val="TableParagraph"/>
                              <w:rPr>
                                <w:rFonts w:ascii="Times New Roman"/>
                                <w:sz w:val="20"/>
                              </w:rPr>
                            </w:pPr>
                          </w:p>
                        </w:tc>
                        <w:tc>
                          <w:tcPr>
                            <w:tcW w:w="1201" w:type="dxa"/>
                          </w:tcPr>
                          <w:p w14:paraId="24D631EA" w14:textId="77777777" w:rsidR="00245300" w:rsidRDefault="00245300">
                            <w:pPr>
                              <w:pStyle w:val="TableParagraph"/>
                              <w:rPr>
                                <w:rFonts w:ascii="Times New Roman"/>
                                <w:sz w:val="20"/>
                              </w:rPr>
                            </w:pPr>
                          </w:p>
                        </w:tc>
                        <w:tc>
                          <w:tcPr>
                            <w:tcW w:w="1171" w:type="dxa"/>
                          </w:tcPr>
                          <w:p w14:paraId="24D631EB" w14:textId="77777777" w:rsidR="00245300" w:rsidRDefault="00245300">
                            <w:pPr>
                              <w:pStyle w:val="TableParagraph"/>
                              <w:rPr>
                                <w:rFonts w:ascii="Times New Roman"/>
                                <w:sz w:val="20"/>
                              </w:rPr>
                            </w:pPr>
                          </w:p>
                        </w:tc>
                        <w:tc>
                          <w:tcPr>
                            <w:tcW w:w="1171" w:type="dxa"/>
                          </w:tcPr>
                          <w:p w14:paraId="24D631EC" w14:textId="77777777" w:rsidR="00245300" w:rsidRDefault="00245300">
                            <w:pPr>
                              <w:pStyle w:val="TableParagraph"/>
                              <w:rPr>
                                <w:rFonts w:ascii="Times New Roman"/>
                                <w:sz w:val="20"/>
                              </w:rPr>
                            </w:pPr>
                          </w:p>
                        </w:tc>
                        <w:tc>
                          <w:tcPr>
                            <w:tcW w:w="1111" w:type="dxa"/>
                          </w:tcPr>
                          <w:p w14:paraId="24D631ED" w14:textId="77777777" w:rsidR="00245300" w:rsidRDefault="00245300">
                            <w:pPr>
                              <w:pStyle w:val="TableParagraph"/>
                              <w:rPr>
                                <w:rFonts w:ascii="Times New Roman"/>
                                <w:sz w:val="20"/>
                              </w:rPr>
                            </w:pPr>
                          </w:p>
                        </w:tc>
                        <w:tc>
                          <w:tcPr>
                            <w:tcW w:w="1112" w:type="dxa"/>
                          </w:tcPr>
                          <w:p w14:paraId="24D631EE" w14:textId="77777777" w:rsidR="00245300" w:rsidRDefault="00245300">
                            <w:pPr>
                              <w:pStyle w:val="TableParagraph"/>
                              <w:rPr>
                                <w:rFonts w:ascii="Times New Roman"/>
                                <w:sz w:val="20"/>
                              </w:rPr>
                            </w:pPr>
                          </w:p>
                        </w:tc>
                        <w:tc>
                          <w:tcPr>
                            <w:tcW w:w="1171" w:type="dxa"/>
                          </w:tcPr>
                          <w:p w14:paraId="24D631EF" w14:textId="77777777" w:rsidR="00245300" w:rsidRDefault="00245300">
                            <w:pPr>
                              <w:pStyle w:val="TableParagraph"/>
                              <w:rPr>
                                <w:rFonts w:ascii="Times New Roman"/>
                                <w:sz w:val="20"/>
                              </w:rPr>
                            </w:pPr>
                          </w:p>
                        </w:tc>
                        <w:tc>
                          <w:tcPr>
                            <w:tcW w:w="1081" w:type="dxa"/>
                          </w:tcPr>
                          <w:p w14:paraId="24D631F0" w14:textId="77777777" w:rsidR="00245300" w:rsidRDefault="00245300">
                            <w:pPr>
                              <w:pStyle w:val="TableParagraph"/>
                              <w:rPr>
                                <w:rFonts w:ascii="Times New Roman"/>
                                <w:sz w:val="20"/>
                              </w:rPr>
                            </w:pPr>
                          </w:p>
                        </w:tc>
                      </w:tr>
                      <w:tr w:rsidR="00245300" w14:paraId="24D631FC" w14:textId="77777777">
                        <w:trPr>
                          <w:trHeight w:val="413"/>
                        </w:trPr>
                        <w:tc>
                          <w:tcPr>
                            <w:tcW w:w="1439" w:type="dxa"/>
                          </w:tcPr>
                          <w:p w14:paraId="24D631F2" w14:textId="77777777" w:rsidR="00245300" w:rsidRDefault="00245300">
                            <w:pPr>
                              <w:pStyle w:val="TableParagraph"/>
                              <w:rPr>
                                <w:rFonts w:ascii="Times New Roman"/>
                                <w:sz w:val="20"/>
                              </w:rPr>
                            </w:pPr>
                          </w:p>
                        </w:tc>
                        <w:tc>
                          <w:tcPr>
                            <w:tcW w:w="1439" w:type="dxa"/>
                          </w:tcPr>
                          <w:p w14:paraId="24D631F3" w14:textId="77777777" w:rsidR="00245300" w:rsidRDefault="00245300">
                            <w:pPr>
                              <w:pStyle w:val="TableParagraph"/>
                              <w:rPr>
                                <w:rFonts w:ascii="Times New Roman"/>
                                <w:sz w:val="20"/>
                              </w:rPr>
                            </w:pPr>
                          </w:p>
                        </w:tc>
                        <w:tc>
                          <w:tcPr>
                            <w:tcW w:w="1221" w:type="dxa"/>
                          </w:tcPr>
                          <w:p w14:paraId="24D631F4" w14:textId="77777777" w:rsidR="00245300" w:rsidRDefault="00245300">
                            <w:pPr>
                              <w:pStyle w:val="TableParagraph"/>
                              <w:rPr>
                                <w:rFonts w:ascii="Times New Roman"/>
                                <w:sz w:val="20"/>
                              </w:rPr>
                            </w:pPr>
                          </w:p>
                        </w:tc>
                        <w:tc>
                          <w:tcPr>
                            <w:tcW w:w="1201" w:type="dxa"/>
                          </w:tcPr>
                          <w:p w14:paraId="24D631F5" w14:textId="77777777" w:rsidR="00245300" w:rsidRDefault="00245300">
                            <w:pPr>
                              <w:pStyle w:val="TableParagraph"/>
                              <w:rPr>
                                <w:rFonts w:ascii="Times New Roman"/>
                                <w:sz w:val="20"/>
                              </w:rPr>
                            </w:pPr>
                          </w:p>
                        </w:tc>
                        <w:tc>
                          <w:tcPr>
                            <w:tcW w:w="1171" w:type="dxa"/>
                          </w:tcPr>
                          <w:p w14:paraId="24D631F6" w14:textId="77777777" w:rsidR="00245300" w:rsidRDefault="00245300">
                            <w:pPr>
                              <w:pStyle w:val="TableParagraph"/>
                              <w:rPr>
                                <w:rFonts w:ascii="Times New Roman"/>
                                <w:sz w:val="20"/>
                              </w:rPr>
                            </w:pPr>
                          </w:p>
                        </w:tc>
                        <w:tc>
                          <w:tcPr>
                            <w:tcW w:w="1171" w:type="dxa"/>
                          </w:tcPr>
                          <w:p w14:paraId="24D631F7" w14:textId="77777777" w:rsidR="00245300" w:rsidRDefault="00245300">
                            <w:pPr>
                              <w:pStyle w:val="TableParagraph"/>
                              <w:rPr>
                                <w:rFonts w:ascii="Times New Roman"/>
                                <w:sz w:val="20"/>
                              </w:rPr>
                            </w:pPr>
                          </w:p>
                        </w:tc>
                        <w:tc>
                          <w:tcPr>
                            <w:tcW w:w="1111" w:type="dxa"/>
                          </w:tcPr>
                          <w:p w14:paraId="24D631F8" w14:textId="77777777" w:rsidR="00245300" w:rsidRDefault="00245300">
                            <w:pPr>
                              <w:pStyle w:val="TableParagraph"/>
                              <w:rPr>
                                <w:rFonts w:ascii="Times New Roman"/>
                                <w:sz w:val="20"/>
                              </w:rPr>
                            </w:pPr>
                          </w:p>
                        </w:tc>
                        <w:tc>
                          <w:tcPr>
                            <w:tcW w:w="1112" w:type="dxa"/>
                          </w:tcPr>
                          <w:p w14:paraId="24D631F9" w14:textId="77777777" w:rsidR="00245300" w:rsidRDefault="00245300">
                            <w:pPr>
                              <w:pStyle w:val="TableParagraph"/>
                              <w:rPr>
                                <w:rFonts w:ascii="Times New Roman"/>
                                <w:sz w:val="20"/>
                              </w:rPr>
                            </w:pPr>
                          </w:p>
                        </w:tc>
                        <w:tc>
                          <w:tcPr>
                            <w:tcW w:w="1171" w:type="dxa"/>
                          </w:tcPr>
                          <w:p w14:paraId="24D631FA" w14:textId="77777777" w:rsidR="00245300" w:rsidRDefault="00245300">
                            <w:pPr>
                              <w:pStyle w:val="TableParagraph"/>
                              <w:rPr>
                                <w:rFonts w:ascii="Times New Roman"/>
                                <w:sz w:val="20"/>
                              </w:rPr>
                            </w:pPr>
                          </w:p>
                        </w:tc>
                        <w:tc>
                          <w:tcPr>
                            <w:tcW w:w="1081" w:type="dxa"/>
                          </w:tcPr>
                          <w:p w14:paraId="24D631FB" w14:textId="77777777" w:rsidR="00245300" w:rsidRDefault="00245300">
                            <w:pPr>
                              <w:pStyle w:val="TableParagraph"/>
                              <w:rPr>
                                <w:rFonts w:ascii="Times New Roman"/>
                                <w:sz w:val="20"/>
                              </w:rPr>
                            </w:pPr>
                          </w:p>
                        </w:tc>
                      </w:tr>
                      <w:tr w:rsidR="00245300" w14:paraId="24D631FE" w14:textId="77777777">
                        <w:trPr>
                          <w:trHeight w:val="300"/>
                        </w:trPr>
                        <w:tc>
                          <w:tcPr>
                            <w:tcW w:w="12117" w:type="dxa"/>
                            <w:gridSpan w:val="10"/>
                            <w:shd w:val="clear" w:color="auto" w:fill="D9D9D9"/>
                          </w:tcPr>
                          <w:p w14:paraId="24D631FD" w14:textId="77777777" w:rsidR="00245300" w:rsidRDefault="00245300">
                            <w:pPr>
                              <w:pStyle w:val="TableParagraph"/>
                              <w:rPr>
                                <w:rFonts w:ascii="Times New Roman"/>
                                <w:sz w:val="20"/>
                              </w:rPr>
                            </w:pPr>
                          </w:p>
                        </w:tc>
                      </w:tr>
                      <w:tr w:rsidR="00245300" w14:paraId="24D63200" w14:textId="77777777">
                        <w:trPr>
                          <w:trHeight w:val="413"/>
                        </w:trPr>
                        <w:tc>
                          <w:tcPr>
                            <w:tcW w:w="12117" w:type="dxa"/>
                            <w:gridSpan w:val="10"/>
                          </w:tcPr>
                          <w:p w14:paraId="24D631FF" w14:textId="77777777" w:rsidR="00245300" w:rsidRDefault="00245300">
                            <w:pPr>
                              <w:pStyle w:val="TableParagraph"/>
                              <w:rPr>
                                <w:rFonts w:ascii="Times New Roman"/>
                                <w:sz w:val="20"/>
                              </w:rPr>
                            </w:pPr>
                          </w:p>
                        </w:tc>
                      </w:tr>
                      <w:tr w:rsidR="00245300" w14:paraId="24D63202" w14:textId="77777777">
                        <w:trPr>
                          <w:trHeight w:val="413"/>
                        </w:trPr>
                        <w:tc>
                          <w:tcPr>
                            <w:tcW w:w="12117" w:type="dxa"/>
                            <w:gridSpan w:val="10"/>
                          </w:tcPr>
                          <w:p w14:paraId="24D63201" w14:textId="77777777" w:rsidR="00245300" w:rsidRDefault="00245300">
                            <w:pPr>
                              <w:pStyle w:val="TableParagraph"/>
                              <w:rPr>
                                <w:rFonts w:ascii="Times New Roman"/>
                                <w:sz w:val="20"/>
                              </w:rPr>
                            </w:pPr>
                          </w:p>
                        </w:tc>
                      </w:tr>
                    </w:tbl>
                    <w:p w14:paraId="24D63203" w14:textId="77777777" w:rsidR="00245300" w:rsidRDefault="00245300">
                      <w:pPr>
                        <w:pStyle w:val="BodyText"/>
                      </w:pPr>
                    </w:p>
                  </w:txbxContent>
                </v:textbox>
                <w10:wrap anchorx="page"/>
              </v:shape>
            </w:pict>
          </mc:Fallback>
        </mc:AlternateContent>
      </w:r>
      <w:r w:rsidRPr="00EC20A0">
        <w:rPr>
          <w:i/>
          <w:sz w:val="18"/>
        </w:rPr>
        <w:t>Reported</w:t>
      </w:r>
      <w:r w:rsidRPr="00EC20A0">
        <w:rPr>
          <w:i/>
          <w:spacing w:val="-4"/>
          <w:sz w:val="18"/>
        </w:rPr>
        <w:t xml:space="preserve"> </w:t>
      </w:r>
      <w:r w:rsidRPr="00EC20A0">
        <w:rPr>
          <w:i/>
          <w:sz w:val="18"/>
        </w:rPr>
        <w:t>in</w:t>
      </w:r>
      <w:r w:rsidRPr="00EC20A0">
        <w:rPr>
          <w:i/>
          <w:spacing w:val="-3"/>
          <w:sz w:val="18"/>
        </w:rPr>
        <w:t xml:space="preserve"> </w:t>
      </w:r>
      <w:r w:rsidRPr="00EC20A0">
        <w:rPr>
          <w:i/>
          <w:sz w:val="18"/>
        </w:rPr>
        <w:t>Actual</w:t>
      </w:r>
      <w:r w:rsidRPr="00EC20A0">
        <w:rPr>
          <w:i/>
          <w:spacing w:val="-2"/>
          <w:sz w:val="18"/>
        </w:rPr>
        <w:t xml:space="preserve"> Amounts</w:t>
      </w:r>
    </w:p>
    <w:p w14:paraId="24D61F75" w14:textId="77777777" w:rsidR="00245300" w:rsidRPr="00EC20A0" w:rsidRDefault="00245300">
      <w:pPr>
        <w:pStyle w:val="BodyText"/>
        <w:rPr>
          <w:i/>
          <w:sz w:val="18"/>
        </w:rPr>
      </w:pPr>
    </w:p>
    <w:p w14:paraId="24D61F76" w14:textId="77777777" w:rsidR="00245300" w:rsidRPr="00EC20A0" w:rsidRDefault="00245300">
      <w:pPr>
        <w:pStyle w:val="BodyText"/>
        <w:spacing w:before="148"/>
        <w:rPr>
          <w:i/>
          <w:sz w:val="18"/>
        </w:rPr>
      </w:pPr>
    </w:p>
    <w:p w14:paraId="24D61F77" w14:textId="77777777" w:rsidR="00245300" w:rsidRPr="00EC20A0" w:rsidRDefault="00F17249">
      <w:pPr>
        <w:spacing w:line="244" w:lineRule="auto"/>
        <w:ind w:left="227" w:right="16605"/>
        <w:rPr>
          <w:sz w:val="18"/>
        </w:rPr>
      </w:pPr>
      <w:r w:rsidRPr="00EC20A0">
        <w:rPr>
          <w:sz w:val="18"/>
        </w:rPr>
        <w:t>Entity</w:t>
      </w:r>
      <w:r w:rsidRPr="00EC20A0">
        <w:rPr>
          <w:spacing w:val="-5"/>
          <w:sz w:val="18"/>
        </w:rPr>
        <w:t xml:space="preserve"> </w:t>
      </w:r>
      <w:r w:rsidRPr="00EC20A0">
        <w:rPr>
          <w:sz w:val="18"/>
        </w:rPr>
        <w:t>(list</w:t>
      </w:r>
      <w:r w:rsidRPr="00EC20A0">
        <w:rPr>
          <w:spacing w:val="-5"/>
          <w:sz w:val="18"/>
        </w:rPr>
        <w:t xml:space="preserve"> </w:t>
      </w:r>
      <w:r w:rsidRPr="00EC20A0">
        <w:rPr>
          <w:sz w:val="18"/>
        </w:rPr>
        <w:t>component</w:t>
      </w:r>
      <w:r w:rsidRPr="00EC20A0">
        <w:rPr>
          <w:spacing w:val="-5"/>
          <w:sz w:val="18"/>
        </w:rPr>
        <w:t xml:space="preserve"> </w:t>
      </w:r>
      <w:r w:rsidRPr="00EC20A0">
        <w:rPr>
          <w:sz w:val="18"/>
        </w:rPr>
        <w:t>entities</w:t>
      </w:r>
      <w:r w:rsidRPr="00EC20A0">
        <w:rPr>
          <w:spacing w:val="-5"/>
          <w:sz w:val="18"/>
        </w:rPr>
        <w:t xml:space="preserve"> </w:t>
      </w:r>
      <w:r w:rsidRPr="00EC20A0">
        <w:rPr>
          <w:sz w:val="18"/>
        </w:rPr>
        <w:t>separately</w:t>
      </w:r>
      <w:r w:rsidRPr="00EC20A0">
        <w:rPr>
          <w:spacing w:val="-5"/>
          <w:sz w:val="18"/>
        </w:rPr>
        <w:t xml:space="preserve"> </w:t>
      </w:r>
      <w:r w:rsidRPr="00EC20A0">
        <w:rPr>
          <w:sz w:val="18"/>
        </w:rPr>
        <w:t>to</w:t>
      </w:r>
      <w:r w:rsidRPr="00EC20A0">
        <w:rPr>
          <w:spacing w:val="-6"/>
          <w:sz w:val="18"/>
        </w:rPr>
        <w:t xml:space="preserve"> </w:t>
      </w:r>
      <w:r w:rsidRPr="00EC20A0">
        <w:rPr>
          <w:sz w:val="18"/>
        </w:rPr>
        <w:t>the</w:t>
      </w:r>
      <w:r w:rsidRPr="00EC20A0">
        <w:rPr>
          <w:spacing w:val="-6"/>
          <w:sz w:val="18"/>
        </w:rPr>
        <w:t xml:space="preserve"> </w:t>
      </w:r>
      <w:r w:rsidRPr="00EC20A0">
        <w:rPr>
          <w:sz w:val="18"/>
        </w:rPr>
        <w:t>right,</w:t>
      </w:r>
      <w:r w:rsidRPr="00EC20A0">
        <w:rPr>
          <w:spacing w:val="-5"/>
          <w:sz w:val="18"/>
        </w:rPr>
        <w:t xml:space="preserve"> </w:t>
      </w:r>
      <w:r w:rsidRPr="00EC20A0">
        <w:rPr>
          <w:sz w:val="18"/>
        </w:rPr>
        <w:t>if</w:t>
      </w:r>
      <w:r w:rsidRPr="00EC20A0">
        <w:rPr>
          <w:spacing w:val="-5"/>
          <w:sz w:val="18"/>
        </w:rPr>
        <w:t xml:space="preserve"> </w:t>
      </w:r>
      <w:r w:rsidRPr="00EC20A0">
        <w:rPr>
          <w:sz w:val="18"/>
        </w:rPr>
        <w:t>applicable): Entity materiality level for reporting (ensure consistency with underlying legal counsel response):</w:t>
      </w:r>
    </w:p>
    <w:p w14:paraId="24D61F78" w14:textId="77777777" w:rsidR="00245300" w:rsidRPr="00EC20A0" w:rsidRDefault="00F17249">
      <w:pPr>
        <w:spacing w:before="76"/>
        <w:ind w:left="747"/>
        <w:rPr>
          <w:sz w:val="18"/>
        </w:rPr>
      </w:pPr>
      <w:r w:rsidRPr="00EC20A0">
        <w:rPr>
          <w:sz w:val="18"/>
        </w:rPr>
        <w:t>Individual</w:t>
      </w:r>
      <w:r w:rsidRPr="00EC20A0">
        <w:rPr>
          <w:spacing w:val="-3"/>
          <w:sz w:val="18"/>
        </w:rPr>
        <w:t xml:space="preserve"> </w:t>
      </w:r>
      <w:r w:rsidRPr="00EC20A0">
        <w:rPr>
          <w:sz w:val="18"/>
        </w:rPr>
        <w:t>cases</w:t>
      </w:r>
      <w:r w:rsidRPr="00EC20A0">
        <w:rPr>
          <w:spacing w:val="-2"/>
          <w:sz w:val="18"/>
        </w:rPr>
        <w:t xml:space="preserve"> </w:t>
      </w:r>
      <w:r w:rsidRPr="00EC20A0">
        <w:rPr>
          <w:sz w:val="18"/>
        </w:rPr>
        <w:t>or</w:t>
      </w:r>
      <w:r w:rsidRPr="00EC20A0">
        <w:rPr>
          <w:spacing w:val="-3"/>
          <w:sz w:val="18"/>
        </w:rPr>
        <w:t xml:space="preserve"> </w:t>
      </w:r>
      <w:r w:rsidRPr="00EC20A0">
        <w:rPr>
          <w:sz w:val="18"/>
        </w:rPr>
        <w:t>the</w:t>
      </w:r>
      <w:r w:rsidRPr="00EC20A0">
        <w:rPr>
          <w:spacing w:val="-3"/>
          <w:sz w:val="18"/>
        </w:rPr>
        <w:t xml:space="preserve"> </w:t>
      </w:r>
      <w:r w:rsidRPr="00EC20A0">
        <w:rPr>
          <w:sz w:val="18"/>
        </w:rPr>
        <w:t>aggregate</w:t>
      </w:r>
      <w:r w:rsidRPr="00EC20A0">
        <w:rPr>
          <w:spacing w:val="-4"/>
          <w:sz w:val="18"/>
        </w:rPr>
        <w:t xml:space="preserve"> </w:t>
      </w:r>
      <w:r w:rsidRPr="00EC20A0">
        <w:rPr>
          <w:sz w:val="18"/>
        </w:rPr>
        <w:t>for</w:t>
      </w:r>
      <w:r w:rsidRPr="00EC20A0">
        <w:rPr>
          <w:spacing w:val="-2"/>
          <w:sz w:val="18"/>
        </w:rPr>
        <w:t xml:space="preserve"> </w:t>
      </w:r>
      <w:r w:rsidRPr="00EC20A0">
        <w:rPr>
          <w:sz w:val="18"/>
        </w:rPr>
        <w:t>similar</w:t>
      </w:r>
      <w:r w:rsidRPr="00EC20A0">
        <w:rPr>
          <w:spacing w:val="-2"/>
          <w:sz w:val="18"/>
        </w:rPr>
        <w:t xml:space="preserve"> </w:t>
      </w:r>
      <w:r w:rsidRPr="00EC20A0">
        <w:rPr>
          <w:spacing w:val="-4"/>
          <w:sz w:val="18"/>
        </w:rPr>
        <w:t>cases</w:t>
      </w:r>
    </w:p>
    <w:p w14:paraId="24D61F79" w14:textId="77777777" w:rsidR="00245300" w:rsidRPr="00EC20A0" w:rsidRDefault="00F17249">
      <w:pPr>
        <w:spacing w:before="129"/>
        <w:ind w:left="748" w:right="16605"/>
        <w:rPr>
          <w:sz w:val="18"/>
        </w:rPr>
      </w:pPr>
      <w:r w:rsidRPr="00EC20A0">
        <w:rPr>
          <w:sz w:val="18"/>
        </w:rPr>
        <w:t>Cases</w:t>
      </w:r>
      <w:r w:rsidRPr="00EC20A0">
        <w:rPr>
          <w:spacing w:val="-4"/>
          <w:sz w:val="18"/>
        </w:rPr>
        <w:t xml:space="preserve"> </w:t>
      </w:r>
      <w:r w:rsidRPr="00EC20A0">
        <w:rPr>
          <w:sz w:val="18"/>
        </w:rPr>
        <w:t>not</w:t>
      </w:r>
      <w:r w:rsidRPr="00EC20A0">
        <w:rPr>
          <w:spacing w:val="-4"/>
          <w:sz w:val="18"/>
        </w:rPr>
        <w:t xml:space="preserve"> </w:t>
      </w:r>
      <w:r w:rsidRPr="00EC20A0">
        <w:rPr>
          <w:sz w:val="18"/>
        </w:rPr>
        <w:t>listed</w:t>
      </w:r>
      <w:r w:rsidRPr="00EC20A0">
        <w:rPr>
          <w:spacing w:val="-5"/>
          <w:sz w:val="18"/>
        </w:rPr>
        <w:t xml:space="preserve"> </w:t>
      </w:r>
      <w:r w:rsidRPr="00EC20A0">
        <w:rPr>
          <w:sz w:val="18"/>
        </w:rPr>
        <w:t>individually</w:t>
      </w:r>
      <w:r w:rsidRPr="00EC20A0">
        <w:rPr>
          <w:spacing w:val="-4"/>
          <w:sz w:val="18"/>
        </w:rPr>
        <w:t xml:space="preserve"> </w:t>
      </w:r>
      <w:r w:rsidRPr="00EC20A0">
        <w:rPr>
          <w:sz w:val="18"/>
        </w:rPr>
        <w:t>or</w:t>
      </w:r>
      <w:r w:rsidRPr="00EC20A0">
        <w:rPr>
          <w:spacing w:val="-4"/>
          <w:sz w:val="18"/>
        </w:rPr>
        <w:t xml:space="preserve"> </w:t>
      </w:r>
      <w:r w:rsidRPr="00EC20A0">
        <w:rPr>
          <w:sz w:val="18"/>
        </w:rPr>
        <w:t>as</w:t>
      </w:r>
      <w:r w:rsidRPr="00EC20A0">
        <w:rPr>
          <w:spacing w:val="-4"/>
          <w:sz w:val="18"/>
        </w:rPr>
        <w:t xml:space="preserve"> </w:t>
      </w:r>
      <w:r w:rsidRPr="00EC20A0">
        <w:rPr>
          <w:sz w:val="18"/>
        </w:rPr>
        <w:t>part</w:t>
      </w:r>
      <w:r w:rsidRPr="00EC20A0">
        <w:rPr>
          <w:spacing w:val="-4"/>
          <w:sz w:val="18"/>
        </w:rPr>
        <w:t xml:space="preserve"> </w:t>
      </w:r>
      <w:r w:rsidRPr="00EC20A0">
        <w:rPr>
          <w:sz w:val="18"/>
        </w:rPr>
        <w:t>of</w:t>
      </w:r>
      <w:r w:rsidRPr="00EC20A0">
        <w:rPr>
          <w:spacing w:val="-4"/>
          <w:sz w:val="18"/>
        </w:rPr>
        <w:t xml:space="preserve"> </w:t>
      </w:r>
      <w:r w:rsidRPr="00EC20A0">
        <w:rPr>
          <w:sz w:val="18"/>
        </w:rPr>
        <w:t>a</w:t>
      </w:r>
      <w:r w:rsidRPr="00EC20A0">
        <w:rPr>
          <w:spacing w:val="-5"/>
          <w:sz w:val="18"/>
        </w:rPr>
        <w:t xml:space="preserve"> </w:t>
      </w:r>
      <w:r w:rsidRPr="00EC20A0">
        <w:rPr>
          <w:sz w:val="18"/>
        </w:rPr>
        <w:t>group</w:t>
      </w:r>
      <w:r w:rsidRPr="00EC20A0">
        <w:rPr>
          <w:spacing w:val="-4"/>
          <w:sz w:val="18"/>
        </w:rPr>
        <w:t xml:space="preserve"> </w:t>
      </w:r>
      <w:r w:rsidRPr="00EC20A0">
        <w:rPr>
          <w:sz w:val="18"/>
        </w:rPr>
        <w:t>of</w:t>
      </w:r>
      <w:r w:rsidRPr="00EC20A0">
        <w:rPr>
          <w:spacing w:val="-4"/>
          <w:sz w:val="18"/>
        </w:rPr>
        <w:t xml:space="preserve"> </w:t>
      </w:r>
      <w:r w:rsidRPr="00EC20A0">
        <w:rPr>
          <w:sz w:val="18"/>
        </w:rPr>
        <w:t xml:space="preserve">similar </w:t>
      </w:r>
      <w:r w:rsidRPr="00EC20A0">
        <w:rPr>
          <w:spacing w:val="-2"/>
          <w:sz w:val="18"/>
        </w:rPr>
        <w:t>cases</w:t>
      </w:r>
    </w:p>
    <w:p w14:paraId="24D61F7A" w14:textId="77777777" w:rsidR="00245300" w:rsidRPr="00EC20A0" w:rsidRDefault="00F17249">
      <w:pPr>
        <w:spacing w:before="103"/>
        <w:ind w:left="227"/>
        <w:rPr>
          <w:sz w:val="18"/>
        </w:rPr>
      </w:pPr>
      <w:r w:rsidRPr="00EC20A0">
        <w:rPr>
          <w:sz w:val="18"/>
        </w:rPr>
        <w:t>Points</w:t>
      </w:r>
      <w:r w:rsidRPr="00EC20A0">
        <w:rPr>
          <w:spacing w:val="-3"/>
          <w:sz w:val="18"/>
        </w:rPr>
        <w:t xml:space="preserve"> </w:t>
      </w:r>
      <w:r w:rsidRPr="00EC20A0">
        <w:rPr>
          <w:sz w:val="18"/>
        </w:rPr>
        <w:t>of</w:t>
      </w:r>
      <w:r w:rsidRPr="00EC20A0">
        <w:rPr>
          <w:spacing w:val="-2"/>
          <w:sz w:val="18"/>
        </w:rPr>
        <w:t xml:space="preserve"> Contact:</w:t>
      </w:r>
    </w:p>
    <w:p w14:paraId="24D61F7B" w14:textId="77777777" w:rsidR="00245300" w:rsidRPr="00EC20A0" w:rsidRDefault="00F17249">
      <w:pPr>
        <w:spacing w:before="11"/>
        <w:ind w:left="748" w:right="16605" w:hanging="2"/>
        <w:rPr>
          <w:i/>
          <w:sz w:val="18"/>
        </w:rPr>
      </w:pPr>
      <w:r w:rsidRPr="00EC20A0">
        <w:rPr>
          <w:sz w:val="18"/>
        </w:rPr>
        <w:t>Management</w:t>
      </w:r>
      <w:r w:rsidRPr="00EC20A0">
        <w:rPr>
          <w:spacing w:val="-7"/>
          <w:sz w:val="18"/>
        </w:rPr>
        <w:t xml:space="preserve"> </w:t>
      </w:r>
      <w:r w:rsidRPr="00EC20A0">
        <w:rPr>
          <w:sz w:val="18"/>
        </w:rPr>
        <w:t>Schedule</w:t>
      </w:r>
      <w:r w:rsidRPr="00EC20A0">
        <w:rPr>
          <w:spacing w:val="-7"/>
          <w:sz w:val="18"/>
        </w:rPr>
        <w:t xml:space="preserve"> </w:t>
      </w:r>
      <w:r w:rsidRPr="00EC20A0">
        <w:rPr>
          <w:sz w:val="18"/>
        </w:rPr>
        <w:t>-</w:t>
      </w:r>
      <w:r w:rsidRPr="00EC20A0">
        <w:rPr>
          <w:spacing w:val="-7"/>
          <w:sz w:val="18"/>
        </w:rPr>
        <w:t xml:space="preserve"> </w:t>
      </w:r>
      <w:r w:rsidRPr="00EC20A0">
        <w:rPr>
          <w:i/>
          <w:sz w:val="18"/>
        </w:rPr>
        <w:t>Name,</w:t>
      </w:r>
      <w:r w:rsidRPr="00EC20A0">
        <w:rPr>
          <w:i/>
          <w:spacing w:val="-7"/>
          <w:sz w:val="18"/>
        </w:rPr>
        <w:t xml:space="preserve"> </w:t>
      </w:r>
      <w:r w:rsidRPr="00EC20A0">
        <w:rPr>
          <w:i/>
          <w:sz w:val="18"/>
        </w:rPr>
        <w:t>email</w:t>
      </w:r>
      <w:r w:rsidRPr="00EC20A0">
        <w:rPr>
          <w:i/>
          <w:spacing w:val="-7"/>
          <w:sz w:val="18"/>
        </w:rPr>
        <w:t xml:space="preserve"> </w:t>
      </w:r>
      <w:r w:rsidRPr="00EC20A0">
        <w:rPr>
          <w:i/>
          <w:sz w:val="18"/>
        </w:rPr>
        <w:t>address,</w:t>
      </w:r>
      <w:r w:rsidRPr="00EC20A0">
        <w:rPr>
          <w:i/>
          <w:spacing w:val="-7"/>
          <w:sz w:val="18"/>
        </w:rPr>
        <w:t xml:space="preserve"> </w:t>
      </w:r>
      <w:r w:rsidRPr="00EC20A0">
        <w:rPr>
          <w:i/>
          <w:sz w:val="18"/>
        </w:rPr>
        <w:t xml:space="preserve">phone </w:t>
      </w:r>
      <w:r w:rsidRPr="00EC20A0">
        <w:rPr>
          <w:i/>
          <w:spacing w:val="-2"/>
          <w:sz w:val="18"/>
        </w:rPr>
        <w:t>number</w:t>
      </w:r>
    </w:p>
    <w:p w14:paraId="24D61F7C" w14:textId="77777777" w:rsidR="00245300" w:rsidRPr="00EC20A0" w:rsidRDefault="00F17249">
      <w:pPr>
        <w:spacing w:before="9"/>
        <w:ind w:left="748" w:right="16605" w:hanging="2"/>
        <w:rPr>
          <w:i/>
          <w:sz w:val="18"/>
        </w:rPr>
      </w:pPr>
      <w:r w:rsidRPr="00EC20A0">
        <w:rPr>
          <w:sz w:val="18"/>
        </w:rPr>
        <w:t>Legal</w:t>
      </w:r>
      <w:r w:rsidRPr="00EC20A0">
        <w:rPr>
          <w:spacing w:val="-6"/>
          <w:sz w:val="18"/>
        </w:rPr>
        <w:t xml:space="preserve"> </w:t>
      </w:r>
      <w:r w:rsidRPr="00EC20A0">
        <w:rPr>
          <w:sz w:val="18"/>
        </w:rPr>
        <w:t>Counsel</w:t>
      </w:r>
      <w:r w:rsidRPr="00EC20A0">
        <w:rPr>
          <w:spacing w:val="-5"/>
          <w:sz w:val="18"/>
        </w:rPr>
        <w:t xml:space="preserve"> </w:t>
      </w:r>
      <w:r w:rsidRPr="00EC20A0">
        <w:rPr>
          <w:sz w:val="18"/>
        </w:rPr>
        <w:t>Response</w:t>
      </w:r>
      <w:r w:rsidRPr="00EC20A0">
        <w:rPr>
          <w:spacing w:val="-6"/>
          <w:sz w:val="18"/>
        </w:rPr>
        <w:t xml:space="preserve"> </w:t>
      </w:r>
      <w:r w:rsidRPr="00EC20A0">
        <w:rPr>
          <w:sz w:val="18"/>
        </w:rPr>
        <w:t>-</w:t>
      </w:r>
      <w:r w:rsidRPr="00EC20A0">
        <w:rPr>
          <w:spacing w:val="-6"/>
          <w:sz w:val="18"/>
        </w:rPr>
        <w:t xml:space="preserve"> </w:t>
      </w:r>
      <w:r w:rsidRPr="00EC20A0">
        <w:rPr>
          <w:i/>
          <w:sz w:val="18"/>
        </w:rPr>
        <w:t>Name,</w:t>
      </w:r>
      <w:r w:rsidRPr="00EC20A0">
        <w:rPr>
          <w:i/>
          <w:spacing w:val="-6"/>
          <w:sz w:val="18"/>
        </w:rPr>
        <w:t xml:space="preserve"> </w:t>
      </w:r>
      <w:r w:rsidRPr="00EC20A0">
        <w:rPr>
          <w:i/>
          <w:sz w:val="18"/>
        </w:rPr>
        <w:t>email</w:t>
      </w:r>
      <w:r w:rsidRPr="00EC20A0">
        <w:rPr>
          <w:i/>
          <w:spacing w:val="-6"/>
          <w:sz w:val="18"/>
        </w:rPr>
        <w:t xml:space="preserve"> </w:t>
      </w:r>
      <w:r w:rsidRPr="00EC20A0">
        <w:rPr>
          <w:i/>
          <w:sz w:val="18"/>
        </w:rPr>
        <w:t>address,</w:t>
      </w:r>
      <w:r w:rsidRPr="00EC20A0">
        <w:rPr>
          <w:i/>
          <w:spacing w:val="-6"/>
          <w:sz w:val="18"/>
        </w:rPr>
        <w:t xml:space="preserve"> </w:t>
      </w:r>
      <w:r w:rsidRPr="00EC20A0">
        <w:rPr>
          <w:i/>
          <w:sz w:val="18"/>
        </w:rPr>
        <w:t xml:space="preserve">phone </w:t>
      </w:r>
      <w:r w:rsidRPr="00EC20A0">
        <w:rPr>
          <w:i/>
          <w:spacing w:val="-2"/>
          <w:sz w:val="18"/>
        </w:rPr>
        <w:t>number</w:t>
      </w:r>
    </w:p>
    <w:p w14:paraId="24D61F7D" w14:textId="77777777" w:rsidR="00245300" w:rsidRPr="00EC20A0" w:rsidRDefault="00245300">
      <w:pPr>
        <w:rPr>
          <w:sz w:val="18"/>
        </w:rPr>
        <w:sectPr w:rsidR="00245300" w:rsidRPr="00EC20A0">
          <w:headerReference w:type="default" r:id="rId204"/>
          <w:footerReference w:type="default" r:id="rId205"/>
          <w:pgSz w:w="24480" w:h="15840" w:orient="landscape"/>
          <w:pgMar w:top="1460" w:right="1320" w:bottom="940" w:left="960" w:header="721" w:footer="757" w:gutter="0"/>
          <w:pgNumType w:start="1"/>
          <w:cols w:space="720"/>
        </w:sectPr>
      </w:pPr>
    </w:p>
    <w:p w14:paraId="24D61F7E" w14:textId="77777777" w:rsidR="00245300" w:rsidRPr="00EC20A0" w:rsidRDefault="00245300">
      <w:pPr>
        <w:pStyle w:val="BodyText"/>
        <w:spacing w:before="153"/>
        <w:rPr>
          <w:i/>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637"/>
        <w:gridCol w:w="720"/>
        <w:gridCol w:w="720"/>
        <w:gridCol w:w="720"/>
        <w:gridCol w:w="720"/>
        <w:gridCol w:w="1080"/>
        <w:gridCol w:w="630"/>
        <w:gridCol w:w="720"/>
        <w:gridCol w:w="900"/>
        <w:gridCol w:w="900"/>
        <w:gridCol w:w="1080"/>
        <w:gridCol w:w="540"/>
        <w:gridCol w:w="630"/>
        <w:gridCol w:w="630"/>
        <w:gridCol w:w="1170"/>
        <w:gridCol w:w="1260"/>
        <w:gridCol w:w="1890"/>
        <w:gridCol w:w="900"/>
        <w:gridCol w:w="630"/>
        <w:gridCol w:w="1800"/>
        <w:gridCol w:w="540"/>
        <w:gridCol w:w="1440"/>
        <w:gridCol w:w="630"/>
      </w:tblGrid>
      <w:tr w:rsidR="00245300" w:rsidRPr="00EC20A0" w14:paraId="24D61F93" w14:textId="77777777">
        <w:trPr>
          <w:trHeight w:val="413"/>
        </w:trPr>
        <w:tc>
          <w:tcPr>
            <w:tcW w:w="1075" w:type="dxa"/>
          </w:tcPr>
          <w:p w14:paraId="24D61F7F" w14:textId="77777777" w:rsidR="00245300" w:rsidRPr="00EC20A0" w:rsidRDefault="00F17249">
            <w:pPr>
              <w:pStyle w:val="TableParagraph"/>
              <w:spacing w:before="206" w:line="187" w:lineRule="exact"/>
              <w:ind w:left="9"/>
              <w:jc w:val="center"/>
              <w:rPr>
                <w:sz w:val="18"/>
              </w:rPr>
            </w:pPr>
            <w:r w:rsidRPr="00EC20A0">
              <w:rPr>
                <w:spacing w:val="-10"/>
                <w:sz w:val="18"/>
              </w:rPr>
              <w:t>1</w:t>
            </w:r>
          </w:p>
        </w:tc>
        <w:tc>
          <w:tcPr>
            <w:tcW w:w="637" w:type="dxa"/>
          </w:tcPr>
          <w:p w14:paraId="24D61F80" w14:textId="77777777" w:rsidR="00245300" w:rsidRPr="00EC20A0" w:rsidRDefault="00F17249">
            <w:pPr>
              <w:pStyle w:val="TableParagraph"/>
              <w:spacing w:before="206" w:line="187" w:lineRule="exact"/>
              <w:ind w:left="10"/>
              <w:jc w:val="center"/>
              <w:rPr>
                <w:sz w:val="18"/>
              </w:rPr>
            </w:pPr>
            <w:r w:rsidRPr="00EC20A0">
              <w:rPr>
                <w:spacing w:val="-10"/>
                <w:sz w:val="18"/>
              </w:rPr>
              <w:t>2</w:t>
            </w:r>
          </w:p>
        </w:tc>
        <w:tc>
          <w:tcPr>
            <w:tcW w:w="720" w:type="dxa"/>
          </w:tcPr>
          <w:p w14:paraId="24D61F81" w14:textId="77777777" w:rsidR="00245300" w:rsidRPr="00EC20A0" w:rsidRDefault="00F17249">
            <w:pPr>
              <w:pStyle w:val="TableParagraph"/>
              <w:spacing w:before="206" w:line="187" w:lineRule="exact"/>
              <w:ind w:left="9"/>
              <w:jc w:val="center"/>
              <w:rPr>
                <w:sz w:val="18"/>
              </w:rPr>
            </w:pPr>
            <w:r w:rsidRPr="00EC20A0">
              <w:rPr>
                <w:spacing w:val="-10"/>
                <w:sz w:val="18"/>
              </w:rPr>
              <w:t>3</w:t>
            </w:r>
          </w:p>
        </w:tc>
        <w:tc>
          <w:tcPr>
            <w:tcW w:w="1440" w:type="dxa"/>
            <w:gridSpan w:val="2"/>
          </w:tcPr>
          <w:p w14:paraId="24D61F82" w14:textId="77777777" w:rsidR="00245300" w:rsidRPr="00EC20A0" w:rsidRDefault="00F17249">
            <w:pPr>
              <w:pStyle w:val="TableParagraph"/>
              <w:spacing w:before="206" w:line="187" w:lineRule="exact"/>
              <w:ind w:left="9"/>
              <w:jc w:val="center"/>
              <w:rPr>
                <w:sz w:val="18"/>
              </w:rPr>
            </w:pPr>
            <w:r w:rsidRPr="00EC20A0">
              <w:rPr>
                <w:spacing w:val="-10"/>
                <w:sz w:val="18"/>
              </w:rPr>
              <w:t>4</w:t>
            </w:r>
          </w:p>
        </w:tc>
        <w:tc>
          <w:tcPr>
            <w:tcW w:w="720" w:type="dxa"/>
          </w:tcPr>
          <w:p w14:paraId="24D61F83" w14:textId="77777777" w:rsidR="00245300" w:rsidRPr="00EC20A0" w:rsidRDefault="00F17249">
            <w:pPr>
              <w:pStyle w:val="TableParagraph"/>
              <w:spacing w:before="206" w:line="187" w:lineRule="exact"/>
              <w:ind w:left="9"/>
              <w:jc w:val="center"/>
              <w:rPr>
                <w:sz w:val="18"/>
              </w:rPr>
            </w:pPr>
            <w:r w:rsidRPr="00EC20A0">
              <w:rPr>
                <w:spacing w:val="-10"/>
                <w:sz w:val="18"/>
              </w:rPr>
              <w:t>5</w:t>
            </w:r>
          </w:p>
        </w:tc>
        <w:tc>
          <w:tcPr>
            <w:tcW w:w="1080" w:type="dxa"/>
          </w:tcPr>
          <w:p w14:paraId="24D61F84" w14:textId="77777777" w:rsidR="00245300" w:rsidRPr="00EC20A0" w:rsidRDefault="00F17249">
            <w:pPr>
              <w:pStyle w:val="TableParagraph"/>
              <w:spacing w:before="206" w:line="187" w:lineRule="exact"/>
              <w:ind w:left="9"/>
              <w:jc w:val="center"/>
              <w:rPr>
                <w:sz w:val="18"/>
              </w:rPr>
            </w:pPr>
            <w:r w:rsidRPr="00EC20A0">
              <w:rPr>
                <w:spacing w:val="-10"/>
                <w:sz w:val="18"/>
              </w:rPr>
              <w:t>6</w:t>
            </w:r>
          </w:p>
        </w:tc>
        <w:tc>
          <w:tcPr>
            <w:tcW w:w="3150" w:type="dxa"/>
            <w:gridSpan w:val="4"/>
          </w:tcPr>
          <w:p w14:paraId="24D61F85" w14:textId="77777777" w:rsidR="00245300" w:rsidRPr="00EC20A0" w:rsidRDefault="00F17249">
            <w:pPr>
              <w:pStyle w:val="TableParagraph"/>
              <w:spacing w:before="206" w:line="187" w:lineRule="exact"/>
              <w:ind w:left="210" w:right="200"/>
              <w:jc w:val="center"/>
              <w:rPr>
                <w:sz w:val="18"/>
              </w:rPr>
            </w:pPr>
            <w:r w:rsidRPr="00EC20A0">
              <w:rPr>
                <w:spacing w:val="-10"/>
                <w:sz w:val="18"/>
              </w:rPr>
              <w:t>7</w:t>
            </w:r>
          </w:p>
        </w:tc>
        <w:tc>
          <w:tcPr>
            <w:tcW w:w="1080" w:type="dxa"/>
          </w:tcPr>
          <w:p w14:paraId="24D61F86" w14:textId="77777777" w:rsidR="00245300" w:rsidRPr="00EC20A0" w:rsidRDefault="00F17249">
            <w:pPr>
              <w:pStyle w:val="TableParagraph"/>
              <w:spacing w:before="206" w:line="187" w:lineRule="exact"/>
              <w:ind w:left="9"/>
              <w:jc w:val="center"/>
              <w:rPr>
                <w:sz w:val="18"/>
              </w:rPr>
            </w:pPr>
            <w:r w:rsidRPr="00EC20A0">
              <w:rPr>
                <w:spacing w:val="-10"/>
                <w:sz w:val="18"/>
              </w:rPr>
              <w:t>8</w:t>
            </w:r>
          </w:p>
        </w:tc>
        <w:tc>
          <w:tcPr>
            <w:tcW w:w="540" w:type="dxa"/>
          </w:tcPr>
          <w:p w14:paraId="24D61F87" w14:textId="77777777" w:rsidR="00245300" w:rsidRPr="00EC20A0" w:rsidRDefault="00F17249">
            <w:pPr>
              <w:pStyle w:val="TableParagraph"/>
              <w:spacing w:before="206" w:line="187" w:lineRule="exact"/>
              <w:ind w:left="9"/>
              <w:jc w:val="center"/>
              <w:rPr>
                <w:sz w:val="18"/>
              </w:rPr>
            </w:pPr>
            <w:r w:rsidRPr="00EC20A0">
              <w:rPr>
                <w:spacing w:val="-10"/>
                <w:sz w:val="18"/>
              </w:rPr>
              <w:t>9</w:t>
            </w:r>
          </w:p>
        </w:tc>
        <w:tc>
          <w:tcPr>
            <w:tcW w:w="630" w:type="dxa"/>
          </w:tcPr>
          <w:p w14:paraId="24D61F88" w14:textId="77777777" w:rsidR="00245300" w:rsidRPr="00EC20A0" w:rsidRDefault="00F17249">
            <w:pPr>
              <w:pStyle w:val="TableParagraph"/>
              <w:spacing w:before="206" w:line="187" w:lineRule="exact"/>
              <w:ind w:left="215"/>
              <w:rPr>
                <w:sz w:val="18"/>
              </w:rPr>
            </w:pPr>
            <w:r w:rsidRPr="00EC20A0">
              <w:rPr>
                <w:spacing w:val="-5"/>
                <w:sz w:val="18"/>
              </w:rPr>
              <w:t>10</w:t>
            </w:r>
          </w:p>
        </w:tc>
        <w:tc>
          <w:tcPr>
            <w:tcW w:w="630" w:type="dxa"/>
          </w:tcPr>
          <w:p w14:paraId="24D61F89" w14:textId="77777777" w:rsidR="00245300" w:rsidRPr="00EC20A0" w:rsidRDefault="00F17249">
            <w:pPr>
              <w:pStyle w:val="TableParagraph"/>
              <w:spacing w:before="206" w:line="187" w:lineRule="exact"/>
              <w:ind w:left="215"/>
              <w:rPr>
                <w:sz w:val="18"/>
              </w:rPr>
            </w:pPr>
            <w:r w:rsidRPr="00EC20A0">
              <w:rPr>
                <w:spacing w:val="-5"/>
                <w:sz w:val="18"/>
              </w:rPr>
              <w:t>11</w:t>
            </w:r>
          </w:p>
        </w:tc>
        <w:tc>
          <w:tcPr>
            <w:tcW w:w="1170" w:type="dxa"/>
          </w:tcPr>
          <w:p w14:paraId="24D61F8A" w14:textId="77777777" w:rsidR="00245300" w:rsidRPr="00EC20A0" w:rsidRDefault="00F17249">
            <w:pPr>
              <w:pStyle w:val="TableParagraph"/>
              <w:spacing w:before="206" w:line="187" w:lineRule="exact"/>
              <w:ind w:left="9"/>
              <w:jc w:val="center"/>
              <w:rPr>
                <w:sz w:val="18"/>
              </w:rPr>
            </w:pPr>
            <w:r w:rsidRPr="00EC20A0">
              <w:rPr>
                <w:spacing w:val="-5"/>
                <w:sz w:val="18"/>
              </w:rPr>
              <w:t>12</w:t>
            </w:r>
          </w:p>
        </w:tc>
        <w:tc>
          <w:tcPr>
            <w:tcW w:w="1260" w:type="dxa"/>
          </w:tcPr>
          <w:p w14:paraId="24D61F8B" w14:textId="77777777" w:rsidR="00245300" w:rsidRPr="00EC20A0" w:rsidRDefault="00F17249">
            <w:pPr>
              <w:pStyle w:val="TableParagraph"/>
              <w:spacing w:before="206" w:line="187" w:lineRule="exact"/>
              <w:ind w:left="7"/>
              <w:jc w:val="center"/>
              <w:rPr>
                <w:sz w:val="18"/>
              </w:rPr>
            </w:pPr>
            <w:r w:rsidRPr="00EC20A0">
              <w:rPr>
                <w:spacing w:val="-5"/>
                <w:sz w:val="18"/>
              </w:rPr>
              <w:t>13</w:t>
            </w:r>
          </w:p>
        </w:tc>
        <w:tc>
          <w:tcPr>
            <w:tcW w:w="1890" w:type="dxa"/>
          </w:tcPr>
          <w:p w14:paraId="24D61F8C" w14:textId="77777777" w:rsidR="00245300" w:rsidRPr="00EC20A0" w:rsidRDefault="00F17249">
            <w:pPr>
              <w:pStyle w:val="TableParagraph"/>
              <w:spacing w:before="206" w:line="187" w:lineRule="exact"/>
              <w:ind w:left="9"/>
              <w:jc w:val="center"/>
              <w:rPr>
                <w:sz w:val="18"/>
              </w:rPr>
            </w:pPr>
            <w:r w:rsidRPr="00EC20A0">
              <w:rPr>
                <w:spacing w:val="-5"/>
                <w:sz w:val="18"/>
              </w:rPr>
              <w:t>14</w:t>
            </w:r>
          </w:p>
        </w:tc>
        <w:tc>
          <w:tcPr>
            <w:tcW w:w="900" w:type="dxa"/>
          </w:tcPr>
          <w:p w14:paraId="24D61F8D" w14:textId="77777777" w:rsidR="00245300" w:rsidRPr="00EC20A0" w:rsidRDefault="00F17249">
            <w:pPr>
              <w:pStyle w:val="TableParagraph"/>
              <w:spacing w:before="206" w:line="187" w:lineRule="exact"/>
              <w:ind w:left="7"/>
              <w:jc w:val="center"/>
              <w:rPr>
                <w:sz w:val="18"/>
              </w:rPr>
            </w:pPr>
            <w:r w:rsidRPr="00EC20A0">
              <w:rPr>
                <w:spacing w:val="-5"/>
                <w:sz w:val="18"/>
              </w:rPr>
              <w:t>15</w:t>
            </w:r>
          </w:p>
        </w:tc>
        <w:tc>
          <w:tcPr>
            <w:tcW w:w="630" w:type="dxa"/>
          </w:tcPr>
          <w:p w14:paraId="24D61F8E" w14:textId="77777777" w:rsidR="00245300" w:rsidRPr="00EC20A0" w:rsidRDefault="00F17249">
            <w:pPr>
              <w:pStyle w:val="TableParagraph"/>
              <w:spacing w:before="206" w:line="187" w:lineRule="exact"/>
              <w:ind w:left="215"/>
              <w:rPr>
                <w:sz w:val="18"/>
              </w:rPr>
            </w:pPr>
            <w:r w:rsidRPr="00EC20A0">
              <w:rPr>
                <w:spacing w:val="-5"/>
                <w:sz w:val="18"/>
              </w:rPr>
              <w:t>16</w:t>
            </w:r>
          </w:p>
        </w:tc>
        <w:tc>
          <w:tcPr>
            <w:tcW w:w="1800" w:type="dxa"/>
          </w:tcPr>
          <w:p w14:paraId="24D61F8F" w14:textId="77777777" w:rsidR="00245300" w:rsidRPr="00EC20A0" w:rsidRDefault="00F17249">
            <w:pPr>
              <w:pStyle w:val="TableParagraph"/>
              <w:spacing w:before="206" w:line="187" w:lineRule="exact"/>
              <w:ind w:left="7"/>
              <w:jc w:val="center"/>
              <w:rPr>
                <w:sz w:val="18"/>
              </w:rPr>
            </w:pPr>
            <w:r w:rsidRPr="00EC20A0">
              <w:rPr>
                <w:spacing w:val="-5"/>
                <w:sz w:val="18"/>
              </w:rPr>
              <w:t>17</w:t>
            </w:r>
          </w:p>
        </w:tc>
        <w:tc>
          <w:tcPr>
            <w:tcW w:w="540" w:type="dxa"/>
          </w:tcPr>
          <w:p w14:paraId="24D61F90" w14:textId="77777777" w:rsidR="00245300" w:rsidRPr="00EC20A0" w:rsidRDefault="00F17249">
            <w:pPr>
              <w:pStyle w:val="TableParagraph"/>
              <w:spacing w:before="206" w:line="187" w:lineRule="exact"/>
              <w:ind w:left="169"/>
              <w:rPr>
                <w:sz w:val="18"/>
              </w:rPr>
            </w:pPr>
            <w:r w:rsidRPr="00EC20A0">
              <w:rPr>
                <w:spacing w:val="-5"/>
                <w:sz w:val="18"/>
              </w:rPr>
              <w:t>18</w:t>
            </w:r>
          </w:p>
        </w:tc>
        <w:tc>
          <w:tcPr>
            <w:tcW w:w="1440" w:type="dxa"/>
          </w:tcPr>
          <w:p w14:paraId="24D61F91" w14:textId="77777777" w:rsidR="00245300" w:rsidRPr="00EC20A0" w:rsidRDefault="00F17249">
            <w:pPr>
              <w:pStyle w:val="TableParagraph"/>
              <w:spacing w:before="206" w:line="187" w:lineRule="exact"/>
              <w:ind w:left="9" w:right="1"/>
              <w:jc w:val="center"/>
              <w:rPr>
                <w:sz w:val="18"/>
              </w:rPr>
            </w:pPr>
            <w:r w:rsidRPr="00EC20A0">
              <w:rPr>
                <w:spacing w:val="-5"/>
                <w:sz w:val="18"/>
              </w:rPr>
              <w:t>19</w:t>
            </w:r>
          </w:p>
        </w:tc>
        <w:tc>
          <w:tcPr>
            <w:tcW w:w="630" w:type="dxa"/>
          </w:tcPr>
          <w:p w14:paraId="24D61F92" w14:textId="77777777" w:rsidR="00245300" w:rsidRPr="00EC20A0" w:rsidRDefault="00F17249">
            <w:pPr>
              <w:pStyle w:val="TableParagraph"/>
              <w:spacing w:before="206" w:line="187" w:lineRule="exact"/>
              <w:ind w:left="215"/>
              <w:rPr>
                <w:sz w:val="18"/>
              </w:rPr>
            </w:pPr>
            <w:r w:rsidRPr="00EC20A0">
              <w:rPr>
                <w:spacing w:val="-5"/>
                <w:sz w:val="18"/>
              </w:rPr>
              <w:t>20</w:t>
            </w:r>
          </w:p>
        </w:tc>
      </w:tr>
      <w:tr w:rsidR="00245300" w:rsidRPr="00EC20A0" w14:paraId="24D61FAF" w14:textId="77777777">
        <w:trPr>
          <w:trHeight w:val="1295"/>
        </w:trPr>
        <w:tc>
          <w:tcPr>
            <w:tcW w:w="1075" w:type="dxa"/>
            <w:vMerge w:val="restart"/>
            <w:textDirection w:val="btLr"/>
          </w:tcPr>
          <w:p w14:paraId="24D61F94" w14:textId="77777777" w:rsidR="00245300" w:rsidRPr="00EC20A0" w:rsidRDefault="00F17249">
            <w:pPr>
              <w:pStyle w:val="TableParagraph"/>
              <w:spacing w:before="117" w:line="247" w:lineRule="auto"/>
              <w:ind w:left="93" w:right="91"/>
              <w:jc w:val="center"/>
              <w:rPr>
                <w:sz w:val="16"/>
              </w:rPr>
            </w:pPr>
            <w:r w:rsidRPr="00EC20A0">
              <w:rPr>
                <w:sz w:val="16"/>
              </w:rPr>
              <w:t>Fiscal</w:t>
            </w:r>
            <w:r w:rsidRPr="00EC20A0">
              <w:rPr>
                <w:spacing w:val="-8"/>
                <w:sz w:val="16"/>
              </w:rPr>
              <w:t xml:space="preserve"> </w:t>
            </w:r>
            <w:r w:rsidRPr="00EC20A0">
              <w:rPr>
                <w:sz w:val="16"/>
              </w:rPr>
              <w:t>Service</w:t>
            </w:r>
            <w:r w:rsidRPr="00EC20A0">
              <w:rPr>
                <w:spacing w:val="-8"/>
                <w:sz w:val="16"/>
              </w:rPr>
              <w:t xml:space="preserve"> </w:t>
            </w:r>
            <w:r w:rsidRPr="00EC20A0">
              <w:rPr>
                <w:sz w:val="16"/>
              </w:rPr>
              <w:t>reference</w:t>
            </w:r>
            <w:r w:rsidRPr="00EC20A0">
              <w:rPr>
                <w:spacing w:val="-8"/>
                <w:sz w:val="16"/>
              </w:rPr>
              <w:t xml:space="preserve"> </w:t>
            </w:r>
            <w:r w:rsidRPr="00EC20A0">
              <w:rPr>
                <w:sz w:val="16"/>
              </w:rPr>
              <w:t>key,</w:t>
            </w:r>
            <w:r w:rsidRPr="00EC20A0">
              <w:rPr>
                <w:spacing w:val="-8"/>
                <w:sz w:val="16"/>
              </w:rPr>
              <w:t xml:space="preserve"> </w:t>
            </w:r>
            <w:r w:rsidRPr="00EC20A0">
              <w:rPr>
                <w:sz w:val="16"/>
              </w:rPr>
              <w:t>if</w:t>
            </w:r>
            <w:r w:rsidRPr="00EC20A0">
              <w:rPr>
                <w:spacing w:val="-8"/>
                <w:sz w:val="16"/>
              </w:rPr>
              <w:t xml:space="preserve"> </w:t>
            </w:r>
            <w:r w:rsidRPr="00EC20A0">
              <w:rPr>
                <w:sz w:val="16"/>
              </w:rPr>
              <w:t>a significant entity</w:t>
            </w:r>
          </w:p>
          <w:p w14:paraId="24D61F95" w14:textId="77777777" w:rsidR="00245300" w:rsidRPr="00EC20A0" w:rsidRDefault="00F17249">
            <w:pPr>
              <w:pStyle w:val="TableParagraph"/>
              <w:spacing w:line="247" w:lineRule="auto"/>
              <w:ind w:left="93" w:right="93"/>
              <w:jc w:val="center"/>
              <w:rPr>
                <w:sz w:val="16"/>
              </w:rPr>
            </w:pPr>
            <w:r w:rsidRPr="00EC20A0">
              <w:rPr>
                <w:sz w:val="16"/>
              </w:rPr>
              <w:t>(</w:t>
            </w:r>
            <w:r w:rsidRPr="00EC20A0">
              <w:rPr>
                <w:i/>
                <w:sz w:val="16"/>
              </w:rPr>
              <w:t>must</w:t>
            </w:r>
            <w:r w:rsidRPr="00EC20A0">
              <w:rPr>
                <w:i/>
                <w:spacing w:val="-8"/>
                <w:sz w:val="16"/>
              </w:rPr>
              <w:t xml:space="preserve"> </w:t>
            </w:r>
            <w:r w:rsidRPr="00EC20A0">
              <w:rPr>
                <w:i/>
                <w:sz w:val="16"/>
              </w:rPr>
              <w:t>correspond</w:t>
            </w:r>
            <w:r w:rsidRPr="00EC20A0">
              <w:rPr>
                <w:i/>
                <w:spacing w:val="-8"/>
                <w:sz w:val="16"/>
              </w:rPr>
              <w:t xml:space="preserve"> </w:t>
            </w:r>
            <w:r w:rsidRPr="00EC20A0">
              <w:rPr>
                <w:i/>
                <w:sz w:val="16"/>
              </w:rPr>
              <w:t>to</w:t>
            </w:r>
            <w:r w:rsidRPr="00EC20A0">
              <w:rPr>
                <w:i/>
                <w:spacing w:val="-8"/>
                <w:sz w:val="16"/>
              </w:rPr>
              <w:t xml:space="preserve"> </w:t>
            </w:r>
            <w:r w:rsidRPr="00EC20A0">
              <w:rPr>
                <w:i/>
                <w:sz w:val="16"/>
              </w:rPr>
              <w:t>same</w:t>
            </w:r>
            <w:r w:rsidRPr="00EC20A0">
              <w:rPr>
                <w:i/>
                <w:spacing w:val="-8"/>
                <w:sz w:val="16"/>
              </w:rPr>
              <w:t xml:space="preserve"> </w:t>
            </w:r>
            <w:r w:rsidRPr="00EC20A0">
              <w:rPr>
                <w:i/>
                <w:sz w:val="16"/>
              </w:rPr>
              <w:t>case</w:t>
            </w:r>
            <w:r w:rsidRPr="00EC20A0">
              <w:rPr>
                <w:i/>
                <w:spacing w:val="-8"/>
                <w:sz w:val="16"/>
              </w:rPr>
              <w:t xml:space="preserve"> </w:t>
            </w:r>
            <w:r w:rsidRPr="00EC20A0">
              <w:rPr>
                <w:i/>
                <w:sz w:val="16"/>
              </w:rPr>
              <w:t>from interim to final</w:t>
            </w:r>
            <w:r w:rsidRPr="00EC20A0">
              <w:rPr>
                <w:sz w:val="16"/>
              </w:rPr>
              <w:t>)</w:t>
            </w:r>
          </w:p>
        </w:tc>
        <w:tc>
          <w:tcPr>
            <w:tcW w:w="637" w:type="dxa"/>
            <w:vMerge w:val="restart"/>
            <w:textDirection w:val="btLr"/>
          </w:tcPr>
          <w:p w14:paraId="24D61F96" w14:textId="77777777" w:rsidR="00245300" w:rsidRPr="00EC20A0" w:rsidRDefault="00F17249">
            <w:pPr>
              <w:pStyle w:val="TableParagraph"/>
              <w:spacing w:before="117"/>
              <w:ind w:left="836"/>
              <w:rPr>
                <w:sz w:val="16"/>
              </w:rPr>
            </w:pPr>
            <w:r w:rsidRPr="00EC20A0">
              <w:rPr>
                <w:sz w:val="16"/>
              </w:rPr>
              <w:t>Entity</w:t>
            </w:r>
            <w:r w:rsidRPr="00EC20A0">
              <w:rPr>
                <w:spacing w:val="-8"/>
                <w:sz w:val="16"/>
              </w:rPr>
              <w:t xml:space="preserve"> </w:t>
            </w:r>
            <w:r w:rsidRPr="00EC20A0">
              <w:rPr>
                <w:sz w:val="16"/>
              </w:rPr>
              <w:t>reference</w:t>
            </w:r>
            <w:r w:rsidRPr="00EC20A0">
              <w:rPr>
                <w:spacing w:val="-7"/>
                <w:sz w:val="16"/>
              </w:rPr>
              <w:t xml:space="preserve"> </w:t>
            </w:r>
            <w:r w:rsidRPr="00EC20A0">
              <w:rPr>
                <w:spacing w:val="-5"/>
                <w:sz w:val="16"/>
              </w:rPr>
              <w:t>key</w:t>
            </w:r>
          </w:p>
        </w:tc>
        <w:tc>
          <w:tcPr>
            <w:tcW w:w="720" w:type="dxa"/>
            <w:vMerge w:val="restart"/>
            <w:textDirection w:val="btLr"/>
          </w:tcPr>
          <w:p w14:paraId="24D61F97" w14:textId="77777777" w:rsidR="00245300" w:rsidRPr="00EC20A0" w:rsidRDefault="00F17249">
            <w:pPr>
              <w:pStyle w:val="TableParagraph"/>
              <w:spacing w:before="117" w:line="244" w:lineRule="auto"/>
              <w:ind w:left="1066" w:right="581" w:hanging="40"/>
              <w:rPr>
                <w:sz w:val="16"/>
              </w:rPr>
            </w:pPr>
            <w:r w:rsidRPr="00EC20A0">
              <w:rPr>
                <w:sz w:val="16"/>
              </w:rPr>
              <w:t>Name</w:t>
            </w:r>
            <w:r w:rsidRPr="00EC20A0">
              <w:rPr>
                <w:spacing w:val="-12"/>
                <w:sz w:val="16"/>
              </w:rPr>
              <w:t xml:space="preserve"> </w:t>
            </w:r>
            <w:r w:rsidRPr="00EC20A0">
              <w:rPr>
                <w:sz w:val="16"/>
              </w:rPr>
              <w:t>of</w:t>
            </w:r>
            <w:r w:rsidRPr="00EC20A0">
              <w:rPr>
                <w:spacing w:val="-11"/>
                <w:sz w:val="16"/>
              </w:rPr>
              <w:t xml:space="preserve"> </w:t>
            </w:r>
            <w:r w:rsidRPr="00EC20A0">
              <w:rPr>
                <w:sz w:val="16"/>
              </w:rPr>
              <w:t>case/ related</w:t>
            </w:r>
            <w:r w:rsidRPr="00EC20A0">
              <w:rPr>
                <w:spacing w:val="-11"/>
                <w:sz w:val="16"/>
              </w:rPr>
              <w:t xml:space="preserve"> </w:t>
            </w:r>
            <w:r w:rsidRPr="00EC20A0">
              <w:rPr>
                <w:spacing w:val="-2"/>
                <w:sz w:val="16"/>
              </w:rPr>
              <w:t>cases</w:t>
            </w:r>
          </w:p>
        </w:tc>
        <w:tc>
          <w:tcPr>
            <w:tcW w:w="720" w:type="dxa"/>
            <w:vMerge w:val="restart"/>
            <w:textDirection w:val="btLr"/>
          </w:tcPr>
          <w:p w14:paraId="24D61F98" w14:textId="77777777" w:rsidR="00245300" w:rsidRPr="00EC20A0" w:rsidRDefault="00F17249">
            <w:pPr>
              <w:pStyle w:val="TableParagraph"/>
              <w:spacing w:before="117" w:line="244" w:lineRule="auto"/>
              <w:ind w:left="506" w:right="335" w:firstLine="200"/>
              <w:rPr>
                <w:sz w:val="16"/>
              </w:rPr>
            </w:pPr>
            <w:r w:rsidRPr="00EC20A0">
              <w:rPr>
                <w:sz w:val="16"/>
              </w:rPr>
              <w:t>(a) Type of contingency (legal</w:t>
            </w:r>
            <w:r w:rsidRPr="00EC20A0">
              <w:rPr>
                <w:spacing w:val="-12"/>
                <w:sz w:val="16"/>
              </w:rPr>
              <w:t xml:space="preserve"> </w:t>
            </w:r>
            <w:r w:rsidRPr="00EC20A0">
              <w:rPr>
                <w:sz w:val="16"/>
              </w:rPr>
              <w:t>or</w:t>
            </w:r>
            <w:r w:rsidRPr="00EC20A0">
              <w:rPr>
                <w:spacing w:val="-11"/>
                <w:sz w:val="16"/>
              </w:rPr>
              <w:t xml:space="preserve"> </w:t>
            </w:r>
            <w:r w:rsidRPr="00EC20A0">
              <w:rPr>
                <w:sz w:val="16"/>
              </w:rPr>
              <w:t>legal-environmental)</w:t>
            </w:r>
          </w:p>
        </w:tc>
        <w:tc>
          <w:tcPr>
            <w:tcW w:w="720" w:type="dxa"/>
            <w:vMerge w:val="restart"/>
            <w:textDirection w:val="btLr"/>
          </w:tcPr>
          <w:p w14:paraId="24D61F99" w14:textId="77777777" w:rsidR="00245300" w:rsidRPr="00EC20A0" w:rsidRDefault="00F17249">
            <w:pPr>
              <w:pStyle w:val="TableParagraph"/>
              <w:spacing w:before="117"/>
              <w:ind w:left="466"/>
              <w:rPr>
                <w:sz w:val="16"/>
              </w:rPr>
            </w:pPr>
            <w:r w:rsidRPr="00EC20A0">
              <w:rPr>
                <w:sz w:val="16"/>
              </w:rPr>
              <w:t>(b)</w:t>
            </w:r>
            <w:r w:rsidRPr="00EC20A0">
              <w:rPr>
                <w:spacing w:val="-7"/>
                <w:sz w:val="16"/>
              </w:rPr>
              <w:t xml:space="preserve"> </w:t>
            </w:r>
            <w:r w:rsidRPr="00EC20A0">
              <w:rPr>
                <w:sz w:val="16"/>
              </w:rPr>
              <w:t>Description</w:t>
            </w:r>
            <w:r w:rsidRPr="00EC20A0">
              <w:rPr>
                <w:spacing w:val="-6"/>
                <w:sz w:val="16"/>
              </w:rPr>
              <w:t xml:space="preserve"> </w:t>
            </w:r>
            <w:r w:rsidRPr="00EC20A0">
              <w:rPr>
                <w:sz w:val="16"/>
              </w:rPr>
              <w:t>of</w:t>
            </w:r>
            <w:r w:rsidRPr="00EC20A0">
              <w:rPr>
                <w:spacing w:val="-5"/>
                <w:sz w:val="16"/>
              </w:rPr>
              <w:t xml:space="preserve"> </w:t>
            </w:r>
            <w:r w:rsidRPr="00EC20A0">
              <w:rPr>
                <w:spacing w:val="-2"/>
                <w:sz w:val="16"/>
              </w:rPr>
              <w:t>Contingency</w:t>
            </w:r>
          </w:p>
        </w:tc>
        <w:tc>
          <w:tcPr>
            <w:tcW w:w="720" w:type="dxa"/>
            <w:vMerge w:val="restart"/>
            <w:textDirection w:val="btLr"/>
          </w:tcPr>
          <w:p w14:paraId="24D61F9A" w14:textId="77777777" w:rsidR="00245300" w:rsidRPr="00EC20A0" w:rsidRDefault="00F17249">
            <w:pPr>
              <w:pStyle w:val="TableParagraph"/>
              <w:spacing w:before="117"/>
              <w:ind w:left="969"/>
              <w:rPr>
                <w:sz w:val="16"/>
              </w:rPr>
            </w:pPr>
            <w:r w:rsidRPr="00EC20A0">
              <w:rPr>
                <w:sz w:val="16"/>
              </w:rPr>
              <w:t>Amount</w:t>
            </w:r>
            <w:r w:rsidRPr="00EC20A0">
              <w:rPr>
                <w:spacing w:val="-7"/>
                <w:sz w:val="16"/>
              </w:rPr>
              <w:t xml:space="preserve"> </w:t>
            </w:r>
            <w:r w:rsidRPr="00EC20A0">
              <w:rPr>
                <w:spacing w:val="-2"/>
                <w:sz w:val="16"/>
              </w:rPr>
              <w:t>claimed</w:t>
            </w:r>
          </w:p>
        </w:tc>
        <w:tc>
          <w:tcPr>
            <w:tcW w:w="1080" w:type="dxa"/>
            <w:vMerge w:val="restart"/>
            <w:textDirection w:val="btLr"/>
          </w:tcPr>
          <w:p w14:paraId="24D61F9B" w14:textId="77777777" w:rsidR="00245300" w:rsidRPr="00EC20A0" w:rsidRDefault="00F17249">
            <w:pPr>
              <w:pStyle w:val="TableParagraph"/>
              <w:spacing w:before="117" w:line="247" w:lineRule="auto"/>
              <w:ind w:left="773" w:right="771" w:hanging="2"/>
              <w:jc w:val="center"/>
              <w:rPr>
                <w:sz w:val="16"/>
              </w:rPr>
            </w:pPr>
            <w:r w:rsidRPr="00EC20A0">
              <w:rPr>
                <w:sz w:val="16"/>
              </w:rPr>
              <w:t xml:space="preserve">Likelihood of loss </w:t>
            </w:r>
            <w:r w:rsidRPr="00EC20A0">
              <w:rPr>
                <w:spacing w:val="-2"/>
                <w:sz w:val="16"/>
              </w:rPr>
              <w:t>Probable/</w:t>
            </w:r>
            <w:r w:rsidRPr="00EC20A0">
              <w:rPr>
                <w:spacing w:val="40"/>
                <w:sz w:val="16"/>
              </w:rPr>
              <w:t xml:space="preserve"> </w:t>
            </w:r>
            <w:r w:rsidRPr="00EC20A0">
              <w:rPr>
                <w:sz w:val="16"/>
              </w:rPr>
              <w:t>Reasonably</w:t>
            </w:r>
            <w:r w:rsidRPr="00EC20A0">
              <w:rPr>
                <w:spacing w:val="-12"/>
                <w:sz w:val="16"/>
              </w:rPr>
              <w:t xml:space="preserve"> </w:t>
            </w:r>
            <w:r w:rsidRPr="00EC20A0">
              <w:rPr>
                <w:sz w:val="16"/>
              </w:rPr>
              <w:t xml:space="preserve">Possible/ </w:t>
            </w:r>
            <w:r w:rsidRPr="00EC20A0">
              <w:rPr>
                <w:spacing w:val="-2"/>
                <w:sz w:val="16"/>
              </w:rPr>
              <w:t>Remote/</w:t>
            </w:r>
          </w:p>
          <w:p w14:paraId="24D61F9C" w14:textId="77777777" w:rsidR="00245300" w:rsidRPr="00EC20A0" w:rsidRDefault="00F17249">
            <w:pPr>
              <w:pStyle w:val="TableParagraph"/>
              <w:spacing w:line="174" w:lineRule="exact"/>
              <w:ind w:left="93" w:right="94"/>
              <w:jc w:val="center"/>
              <w:rPr>
                <w:sz w:val="16"/>
              </w:rPr>
            </w:pPr>
            <w:r w:rsidRPr="00EC20A0">
              <w:rPr>
                <w:sz w:val="16"/>
              </w:rPr>
              <w:t>Unable</w:t>
            </w:r>
            <w:r w:rsidRPr="00EC20A0">
              <w:rPr>
                <w:spacing w:val="-7"/>
                <w:sz w:val="16"/>
              </w:rPr>
              <w:t xml:space="preserve"> </w:t>
            </w:r>
            <w:r w:rsidRPr="00EC20A0">
              <w:rPr>
                <w:sz w:val="16"/>
              </w:rPr>
              <w:t>to</w:t>
            </w:r>
            <w:r w:rsidRPr="00EC20A0">
              <w:rPr>
                <w:spacing w:val="-7"/>
                <w:sz w:val="16"/>
              </w:rPr>
              <w:t xml:space="preserve"> </w:t>
            </w:r>
            <w:r w:rsidRPr="00EC20A0">
              <w:rPr>
                <w:spacing w:val="-2"/>
                <w:sz w:val="16"/>
              </w:rPr>
              <w:t>Determine</w:t>
            </w:r>
          </w:p>
        </w:tc>
        <w:tc>
          <w:tcPr>
            <w:tcW w:w="3150" w:type="dxa"/>
            <w:gridSpan w:val="4"/>
          </w:tcPr>
          <w:p w14:paraId="24D61F9D" w14:textId="77777777" w:rsidR="00245300" w:rsidRPr="00EC20A0" w:rsidRDefault="00F17249">
            <w:pPr>
              <w:pStyle w:val="TableParagraph"/>
              <w:ind w:left="210" w:right="199"/>
              <w:jc w:val="center"/>
              <w:rPr>
                <w:sz w:val="16"/>
              </w:rPr>
            </w:pPr>
            <w:r w:rsidRPr="00EC20A0">
              <w:rPr>
                <w:sz w:val="16"/>
              </w:rPr>
              <w:t>Estimated</w:t>
            </w:r>
            <w:r w:rsidRPr="00EC20A0">
              <w:rPr>
                <w:spacing w:val="-10"/>
                <w:sz w:val="16"/>
              </w:rPr>
              <w:t xml:space="preserve"> </w:t>
            </w:r>
            <w:r w:rsidRPr="00EC20A0">
              <w:rPr>
                <w:sz w:val="16"/>
              </w:rPr>
              <w:t>Amount</w:t>
            </w:r>
            <w:r w:rsidRPr="00EC20A0">
              <w:rPr>
                <w:spacing w:val="-10"/>
                <w:sz w:val="16"/>
              </w:rPr>
              <w:t xml:space="preserve"> </w:t>
            </w:r>
            <w:r w:rsidRPr="00EC20A0">
              <w:rPr>
                <w:sz w:val="16"/>
              </w:rPr>
              <w:t>or</w:t>
            </w:r>
            <w:r w:rsidRPr="00EC20A0">
              <w:rPr>
                <w:spacing w:val="-10"/>
                <w:sz w:val="16"/>
              </w:rPr>
              <w:t xml:space="preserve"> </w:t>
            </w:r>
            <w:r w:rsidRPr="00EC20A0">
              <w:rPr>
                <w:sz w:val="16"/>
              </w:rPr>
              <w:t>Range</w:t>
            </w:r>
            <w:r w:rsidRPr="00EC20A0">
              <w:rPr>
                <w:spacing w:val="-10"/>
                <w:sz w:val="16"/>
              </w:rPr>
              <w:t xml:space="preserve"> </w:t>
            </w:r>
            <w:r w:rsidRPr="00EC20A0">
              <w:rPr>
                <w:sz w:val="16"/>
              </w:rPr>
              <w:t>of Potential Loss</w:t>
            </w:r>
          </w:p>
          <w:p w14:paraId="24D61F9E" w14:textId="77777777" w:rsidR="00245300" w:rsidRPr="00EC20A0" w:rsidRDefault="00F17249">
            <w:pPr>
              <w:pStyle w:val="TableParagraph"/>
              <w:ind w:left="87" w:right="76"/>
              <w:jc w:val="center"/>
              <w:rPr>
                <w:sz w:val="16"/>
              </w:rPr>
            </w:pPr>
            <w:r w:rsidRPr="00EC20A0">
              <w:rPr>
                <w:sz w:val="16"/>
              </w:rPr>
              <w:t>[</w:t>
            </w:r>
            <w:r w:rsidRPr="00EC20A0">
              <w:rPr>
                <w:i/>
                <w:sz w:val="16"/>
              </w:rPr>
              <w:t>enter</w:t>
            </w:r>
            <w:r w:rsidRPr="00EC20A0">
              <w:rPr>
                <w:i/>
                <w:spacing w:val="-6"/>
                <w:sz w:val="16"/>
              </w:rPr>
              <w:t xml:space="preserve"> </w:t>
            </w:r>
            <w:r w:rsidRPr="00EC20A0">
              <w:rPr>
                <w:i/>
                <w:sz w:val="16"/>
              </w:rPr>
              <w:t>single</w:t>
            </w:r>
            <w:r w:rsidRPr="00EC20A0">
              <w:rPr>
                <w:i/>
                <w:spacing w:val="-6"/>
                <w:sz w:val="16"/>
              </w:rPr>
              <w:t xml:space="preserve"> </w:t>
            </w:r>
            <w:r w:rsidRPr="00EC20A0">
              <w:rPr>
                <w:i/>
                <w:sz w:val="16"/>
              </w:rPr>
              <w:t>amount</w:t>
            </w:r>
            <w:r w:rsidRPr="00EC20A0">
              <w:rPr>
                <w:i/>
                <w:spacing w:val="-6"/>
                <w:sz w:val="16"/>
              </w:rPr>
              <w:t xml:space="preserve"> </w:t>
            </w:r>
            <w:r w:rsidRPr="00EC20A0">
              <w:rPr>
                <w:i/>
                <w:sz w:val="16"/>
              </w:rPr>
              <w:t>in</w:t>
            </w:r>
            <w:r w:rsidRPr="00EC20A0">
              <w:rPr>
                <w:i/>
                <w:spacing w:val="-6"/>
                <w:sz w:val="16"/>
              </w:rPr>
              <w:t xml:space="preserve"> </w:t>
            </w:r>
            <w:r w:rsidRPr="00EC20A0">
              <w:rPr>
                <w:i/>
                <w:sz w:val="16"/>
              </w:rPr>
              <w:t>dollars,</w:t>
            </w:r>
            <w:r w:rsidRPr="00EC20A0">
              <w:rPr>
                <w:i/>
                <w:spacing w:val="-6"/>
                <w:sz w:val="16"/>
              </w:rPr>
              <w:t xml:space="preserve"> </w:t>
            </w:r>
            <w:r w:rsidRPr="00EC20A0">
              <w:rPr>
                <w:i/>
                <w:sz w:val="16"/>
              </w:rPr>
              <w:t>or</w:t>
            </w:r>
            <w:r w:rsidRPr="00EC20A0">
              <w:rPr>
                <w:i/>
                <w:spacing w:val="-5"/>
                <w:sz w:val="16"/>
              </w:rPr>
              <w:t xml:space="preserve"> </w:t>
            </w:r>
            <w:r w:rsidRPr="00EC20A0">
              <w:rPr>
                <w:i/>
                <w:sz w:val="16"/>
              </w:rPr>
              <w:t>"U"</w:t>
            </w:r>
            <w:r w:rsidRPr="00EC20A0">
              <w:rPr>
                <w:i/>
                <w:spacing w:val="-6"/>
                <w:sz w:val="16"/>
              </w:rPr>
              <w:t xml:space="preserve"> </w:t>
            </w:r>
            <w:r w:rsidRPr="00EC20A0">
              <w:rPr>
                <w:i/>
                <w:sz w:val="16"/>
              </w:rPr>
              <w:t>in last column if Unknown</w:t>
            </w:r>
            <w:r w:rsidRPr="00EC20A0">
              <w:rPr>
                <w:sz w:val="16"/>
              </w:rPr>
              <w:t>]</w:t>
            </w:r>
          </w:p>
        </w:tc>
        <w:tc>
          <w:tcPr>
            <w:tcW w:w="1080" w:type="dxa"/>
            <w:vMerge w:val="restart"/>
            <w:textDirection w:val="btLr"/>
          </w:tcPr>
          <w:p w14:paraId="24D61F9F" w14:textId="77777777" w:rsidR="00245300" w:rsidRPr="00EC20A0" w:rsidRDefault="00F17249">
            <w:pPr>
              <w:pStyle w:val="TableParagraph"/>
              <w:spacing w:before="117" w:line="247" w:lineRule="auto"/>
              <w:ind w:left="185" w:right="185" w:hanging="1"/>
              <w:jc w:val="center"/>
              <w:rPr>
                <w:sz w:val="16"/>
              </w:rPr>
            </w:pPr>
            <w:r w:rsidRPr="00EC20A0">
              <w:rPr>
                <w:sz w:val="16"/>
              </w:rPr>
              <w:t>Is assessment of case(s) on the management</w:t>
            </w:r>
            <w:r w:rsidRPr="00EC20A0">
              <w:rPr>
                <w:spacing w:val="-12"/>
                <w:sz w:val="16"/>
              </w:rPr>
              <w:t xml:space="preserve"> </w:t>
            </w:r>
            <w:r w:rsidRPr="00EC20A0">
              <w:rPr>
                <w:sz w:val="16"/>
              </w:rPr>
              <w:t>schedule</w:t>
            </w:r>
            <w:r w:rsidRPr="00EC20A0">
              <w:rPr>
                <w:spacing w:val="-11"/>
                <w:sz w:val="16"/>
              </w:rPr>
              <w:t xml:space="preserve"> </w:t>
            </w:r>
            <w:r w:rsidRPr="00EC20A0">
              <w:rPr>
                <w:sz w:val="16"/>
              </w:rPr>
              <w:t>consistent</w:t>
            </w:r>
            <w:r w:rsidRPr="00EC20A0">
              <w:rPr>
                <w:spacing w:val="-11"/>
                <w:sz w:val="16"/>
              </w:rPr>
              <w:t xml:space="preserve"> </w:t>
            </w:r>
            <w:r w:rsidRPr="00EC20A0">
              <w:rPr>
                <w:sz w:val="16"/>
              </w:rPr>
              <w:t xml:space="preserve">with the assessment of case(s) by general counsel in the </w:t>
            </w:r>
            <w:r w:rsidRPr="00EC20A0">
              <w:rPr>
                <w:sz w:val="16"/>
              </w:rPr>
              <w:t>supporting interim or</w:t>
            </w:r>
          </w:p>
          <w:p w14:paraId="24D61FA0" w14:textId="77777777" w:rsidR="00245300" w:rsidRPr="00EC20A0" w:rsidRDefault="00F17249">
            <w:pPr>
              <w:pStyle w:val="TableParagraph"/>
              <w:spacing w:line="174" w:lineRule="exact"/>
              <w:ind w:left="93" w:right="94"/>
              <w:jc w:val="center"/>
              <w:rPr>
                <w:sz w:val="16"/>
              </w:rPr>
            </w:pPr>
            <w:r w:rsidRPr="00EC20A0">
              <w:rPr>
                <w:sz w:val="16"/>
              </w:rPr>
              <w:t>updated</w:t>
            </w:r>
            <w:r w:rsidRPr="00EC20A0">
              <w:rPr>
                <w:spacing w:val="-8"/>
                <w:sz w:val="16"/>
              </w:rPr>
              <w:t xml:space="preserve"> </w:t>
            </w:r>
            <w:r w:rsidRPr="00EC20A0">
              <w:rPr>
                <w:sz w:val="16"/>
              </w:rPr>
              <w:t>legal</w:t>
            </w:r>
            <w:r w:rsidRPr="00EC20A0">
              <w:rPr>
                <w:spacing w:val="-7"/>
                <w:sz w:val="16"/>
              </w:rPr>
              <w:t xml:space="preserve"> </w:t>
            </w:r>
            <w:r w:rsidRPr="00EC20A0">
              <w:rPr>
                <w:sz w:val="16"/>
              </w:rPr>
              <w:t>counsel</w:t>
            </w:r>
            <w:r w:rsidRPr="00EC20A0">
              <w:rPr>
                <w:spacing w:val="-7"/>
                <w:sz w:val="16"/>
              </w:rPr>
              <w:t xml:space="preserve"> </w:t>
            </w:r>
            <w:r w:rsidRPr="00EC20A0">
              <w:rPr>
                <w:spacing w:val="-2"/>
                <w:sz w:val="16"/>
              </w:rPr>
              <w:t>response?</w:t>
            </w:r>
          </w:p>
        </w:tc>
        <w:tc>
          <w:tcPr>
            <w:tcW w:w="540" w:type="dxa"/>
            <w:vMerge w:val="restart"/>
            <w:textDirection w:val="btLr"/>
          </w:tcPr>
          <w:p w14:paraId="24D61FA1" w14:textId="77777777" w:rsidR="00245300" w:rsidRPr="00EC20A0" w:rsidRDefault="00F17249">
            <w:pPr>
              <w:pStyle w:val="TableParagraph"/>
              <w:spacing w:before="117" w:line="244" w:lineRule="auto"/>
              <w:ind w:left="324" w:firstLine="204"/>
              <w:rPr>
                <w:sz w:val="16"/>
              </w:rPr>
            </w:pPr>
            <w:r w:rsidRPr="00EC20A0">
              <w:rPr>
                <w:sz w:val="16"/>
              </w:rPr>
              <w:t>Provide a brief description of inconsistencies</w:t>
            </w:r>
            <w:r w:rsidRPr="00EC20A0">
              <w:rPr>
                <w:spacing w:val="-10"/>
                <w:sz w:val="16"/>
              </w:rPr>
              <w:t xml:space="preserve"> </w:t>
            </w:r>
            <w:r w:rsidRPr="00EC20A0">
              <w:rPr>
                <w:sz w:val="16"/>
              </w:rPr>
              <w:t>noted</w:t>
            </w:r>
            <w:r w:rsidRPr="00EC20A0">
              <w:rPr>
                <w:spacing w:val="-10"/>
                <w:sz w:val="16"/>
              </w:rPr>
              <w:t xml:space="preserve"> </w:t>
            </w:r>
            <w:r w:rsidRPr="00EC20A0">
              <w:rPr>
                <w:sz w:val="16"/>
              </w:rPr>
              <w:t>in</w:t>
            </w:r>
            <w:r w:rsidRPr="00EC20A0">
              <w:rPr>
                <w:spacing w:val="-10"/>
                <w:sz w:val="16"/>
              </w:rPr>
              <w:t xml:space="preserve"> </w:t>
            </w:r>
            <w:r w:rsidRPr="00EC20A0">
              <w:rPr>
                <w:sz w:val="16"/>
              </w:rPr>
              <w:t>column</w:t>
            </w:r>
            <w:r w:rsidRPr="00EC20A0">
              <w:rPr>
                <w:spacing w:val="-10"/>
                <w:sz w:val="16"/>
              </w:rPr>
              <w:t xml:space="preserve"> </w:t>
            </w:r>
            <w:r w:rsidRPr="00EC20A0">
              <w:rPr>
                <w:sz w:val="16"/>
              </w:rPr>
              <w:t>8.</w:t>
            </w:r>
          </w:p>
        </w:tc>
        <w:tc>
          <w:tcPr>
            <w:tcW w:w="630" w:type="dxa"/>
            <w:vMerge w:val="restart"/>
            <w:textDirection w:val="btLr"/>
          </w:tcPr>
          <w:p w14:paraId="24D61FA2" w14:textId="77777777" w:rsidR="00245300" w:rsidRPr="00EC20A0" w:rsidRDefault="00F17249">
            <w:pPr>
              <w:pStyle w:val="TableParagraph"/>
              <w:spacing w:before="117" w:line="244" w:lineRule="auto"/>
              <w:ind w:left="629" w:right="188" w:hanging="441"/>
              <w:rPr>
                <w:sz w:val="16"/>
              </w:rPr>
            </w:pPr>
            <w:r w:rsidRPr="00EC20A0">
              <w:rPr>
                <w:sz w:val="16"/>
              </w:rPr>
              <w:t>Is</w:t>
            </w:r>
            <w:r w:rsidRPr="00EC20A0">
              <w:rPr>
                <w:spacing w:val="-6"/>
                <w:sz w:val="16"/>
              </w:rPr>
              <w:t xml:space="preserve"> </w:t>
            </w:r>
            <w:r w:rsidRPr="00EC20A0">
              <w:rPr>
                <w:sz w:val="16"/>
              </w:rPr>
              <w:t>the</w:t>
            </w:r>
            <w:r w:rsidRPr="00EC20A0">
              <w:rPr>
                <w:spacing w:val="-7"/>
                <w:sz w:val="16"/>
              </w:rPr>
              <w:t xml:space="preserve"> </w:t>
            </w:r>
            <w:r w:rsidRPr="00EC20A0">
              <w:rPr>
                <w:sz w:val="16"/>
              </w:rPr>
              <w:t>legal</w:t>
            </w:r>
            <w:r w:rsidRPr="00EC20A0">
              <w:rPr>
                <w:spacing w:val="-6"/>
                <w:sz w:val="16"/>
              </w:rPr>
              <w:t xml:space="preserve"> </w:t>
            </w:r>
            <w:r w:rsidRPr="00EC20A0">
              <w:rPr>
                <w:sz w:val="16"/>
              </w:rPr>
              <w:t>case</w:t>
            </w:r>
            <w:r w:rsidRPr="00EC20A0">
              <w:rPr>
                <w:spacing w:val="-7"/>
                <w:sz w:val="16"/>
              </w:rPr>
              <w:t xml:space="preserve"> </w:t>
            </w:r>
            <w:r w:rsidRPr="00EC20A0">
              <w:rPr>
                <w:sz w:val="16"/>
              </w:rPr>
              <w:t>considered</w:t>
            </w:r>
            <w:r w:rsidRPr="00EC20A0">
              <w:rPr>
                <w:spacing w:val="-7"/>
                <w:sz w:val="16"/>
              </w:rPr>
              <w:t xml:space="preserve"> </w:t>
            </w:r>
            <w:r w:rsidRPr="00EC20A0">
              <w:rPr>
                <w:sz w:val="16"/>
              </w:rPr>
              <w:t>a</w:t>
            </w:r>
            <w:r w:rsidRPr="00EC20A0">
              <w:rPr>
                <w:spacing w:val="-7"/>
                <w:sz w:val="16"/>
              </w:rPr>
              <w:t xml:space="preserve"> </w:t>
            </w:r>
            <w:r w:rsidRPr="00EC20A0">
              <w:rPr>
                <w:sz w:val="16"/>
              </w:rPr>
              <w:t>"shared case" with another entity?</w:t>
            </w:r>
          </w:p>
        </w:tc>
        <w:tc>
          <w:tcPr>
            <w:tcW w:w="630" w:type="dxa"/>
            <w:vMerge w:val="restart"/>
            <w:textDirection w:val="btLr"/>
          </w:tcPr>
          <w:p w14:paraId="24D61FA3" w14:textId="77777777" w:rsidR="00245300" w:rsidRPr="00EC20A0" w:rsidRDefault="00F17249">
            <w:pPr>
              <w:pStyle w:val="TableParagraph"/>
              <w:spacing w:before="117" w:line="244" w:lineRule="auto"/>
              <w:ind w:left="657" w:hanging="252"/>
              <w:rPr>
                <w:sz w:val="16"/>
              </w:rPr>
            </w:pPr>
            <w:r w:rsidRPr="00EC20A0">
              <w:rPr>
                <w:sz w:val="16"/>
              </w:rPr>
              <w:t>Is</w:t>
            </w:r>
            <w:r w:rsidRPr="00EC20A0">
              <w:rPr>
                <w:spacing w:val="-6"/>
                <w:sz w:val="16"/>
              </w:rPr>
              <w:t xml:space="preserve"> </w:t>
            </w:r>
            <w:r w:rsidRPr="00EC20A0">
              <w:rPr>
                <w:sz w:val="16"/>
              </w:rPr>
              <w:t>this</w:t>
            </w:r>
            <w:r w:rsidRPr="00EC20A0">
              <w:rPr>
                <w:spacing w:val="-6"/>
                <w:sz w:val="16"/>
              </w:rPr>
              <w:t xml:space="preserve"> </w:t>
            </w:r>
            <w:r w:rsidRPr="00EC20A0">
              <w:rPr>
                <w:sz w:val="16"/>
              </w:rPr>
              <w:t>case</w:t>
            </w:r>
            <w:r w:rsidRPr="00EC20A0">
              <w:rPr>
                <w:spacing w:val="-7"/>
                <w:sz w:val="16"/>
              </w:rPr>
              <w:t xml:space="preserve"> </w:t>
            </w:r>
            <w:r w:rsidRPr="00EC20A0">
              <w:rPr>
                <w:sz w:val="16"/>
              </w:rPr>
              <w:t>related</w:t>
            </w:r>
            <w:r w:rsidRPr="00EC20A0">
              <w:rPr>
                <w:spacing w:val="-7"/>
                <w:sz w:val="16"/>
              </w:rPr>
              <w:t xml:space="preserve"> </w:t>
            </w:r>
            <w:r w:rsidRPr="00EC20A0">
              <w:rPr>
                <w:sz w:val="16"/>
              </w:rPr>
              <w:t>to</w:t>
            </w:r>
            <w:r w:rsidRPr="00EC20A0">
              <w:rPr>
                <w:spacing w:val="-7"/>
                <w:sz w:val="16"/>
              </w:rPr>
              <w:t xml:space="preserve"> </w:t>
            </w:r>
            <w:r w:rsidRPr="00EC20A0">
              <w:rPr>
                <w:sz w:val="16"/>
              </w:rPr>
              <w:t>a</w:t>
            </w:r>
            <w:r w:rsidRPr="00EC20A0">
              <w:rPr>
                <w:spacing w:val="-7"/>
                <w:sz w:val="16"/>
              </w:rPr>
              <w:t xml:space="preserve"> </w:t>
            </w:r>
            <w:r w:rsidRPr="00EC20A0">
              <w:rPr>
                <w:sz w:val="16"/>
              </w:rPr>
              <w:t>treaty</w:t>
            </w:r>
            <w:r w:rsidRPr="00EC20A0">
              <w:rPr>
                <w:spacing w:val="-5"/>
                <w:sz w:val="16"/>
              </w:rPr>
              <w:t xml:space="preserve"> </w:t>
            </w:r>
            <w:r w:rsidRPr="00EC20A0">
              <w:rPr>
                <w:sz w:val="16"/>
              </w:rPr>
              <w:t>or international agreement?</w:t>
            </w:r>
          </w:p>
        </w:tc>
        <w:tc>
          <w:tcPr>
            <w:tcW w:w="2430" w:type="dxa"/>
            <w:gridSpan w:val="2"/>
          </w:tcPr>
          <w:p w14:paraId="24D61FA4" w14:textId="77777777" w:rsidR="00245300" w:rsidRPr="00EC20A0" w:rsidRDefault="00F17249">
            <w:pPr>
              <w:pStyle w:val="TableParagraph"/>
              <w:ind w:left="810" w:hanging="414"/>
              <w:rPr>
                <w:sz w:val="16"/>
              </w:rPr>
            </w:pPr>
            <w:r w:rsidRPr="00EC20A0">
              <w:rPr>
                <w:sz w:val="16"/>
              </w:rPr>
              <w:t>Disposition</w:t>
            </w:r>
            <w:r w:rsidRPr="00EC20A0">
              <w:rPr>
                <w:spacing w:val="-12"/>
                <w:sz w:val="16"/>
              </w:rPr>
              <w:t xml:space="preserve"> </w:t>
            </w:r>
            <w:r w:rsidRPr="00EC20A0">
              <w:rPr>
                <w:sz w:val="16"/>
              </w:rPr>
              <w:t>in</w:t>
            </w:r>
            <w:r w:rsidRPr="00EC20A0">
              <w:rPr>
                <w:spacing w:val="-11"/>
                <w:sz w:val="16"/>
              </w:rPr>
              <w:t xml:space="preserve"> </w:t>
            </w:r>
            <w:r w:rsidRPr="00EC20A0">
              <w:rPr>
                <w:sz w:val="16"/>
              </w:rPr>
              <w:t xml:space="preserve">Financial </w:t>
            </w:r>
            <w:r w:rsidRPr="00EC20A0">
              <w:rPr>
                <w:spacing w:val="-2"/>
                <w:sz w:val="16"/>
              </w:rPr>
              <w:t>Statements</w:t>
            </w:r>
          </w:p>
        </w:tc>
        <w:tc>
          <w:tcPr>
            <w:tcW w:w="1890" w:type="dxa"/>
            <w:vMerge w:val="restart"/>
            <w:textDirection w:val="btLr"/>
          </w:tcPr>
          <w:p w14:paraId="24D61FA5" w14:textId="77777777" w:rsidR="00245300" w:rsidRPr="00EC20A0" w:rsidRDefault="00F17249">
            <w:pPr>
              <w:pStyle w:val="TableParagraph"/>
              <w:spacing w:before="117" w:line="247" w:lineRule="auto"/>
              <w:ind w:left="93" w:right="91"/>
              <w:jc w:val="center"/>
              <w:rPr>
                <w:sz w:val="16"/>
              </w:rPr>
            </w:pPr>
            <w:r w:rsidRPr="00EC20A0">
              <w:rPr>
                <w:sz w:val="16"/>
              </w:rPr>
              <w:t>For</w:t>
            </w:r>
            <w:r w:rsidRPr="00EC20A0">
              <w:rPr>
                <w:spacing w:val="-4"/>
                <w:sz w:val="16"/>
              </w:rPr>
              <w:t xml:space="preserve"> </w:t>
            </w:r>
            <w:r w:rsidRPr="00EC20A0">
              <w:rPr>
                <w:sz w:val="16"/>
              </w:rPr>
              <w:t>amounts</w:t>
            </w:r>
            <w:r w:rsidRPr="00EC20A0">
              <w:rPr>
                <w:spacing w:val="-4"/>
                <w:sz w:val="16"/>
              </w:rPr>
              <w:t xml:space="preserve"> </w:t>
            </w:r>
            <w:r w:rsidRPr="00EC20A0">
              <w:rPr>
                <w:sz w:val="16"/>
              </w:rPr>
              <w:t>recorded</w:t>
            </w:r>
            <w:r w:rsidRPr="00EC20A0">
              <w:rPr>
                <w:spacing w:val="-4"/>
                <w:sz w:val="16"/>
              </w:rPr>
              <w:t xml:space="preserve"> </w:t>
            </w:r>
            <w:r w:rsidRPr="00EC20A0">
              <w:rPr>
                <w:sz w:val="16"/>
              </w:rPr>
              <w:t>in</w:t>
            </w:r>
            <w:r w:rsidRPr="00EC20A0">
              <w:rPr>
                <w:spacing w:val="-4"/>
                <w:sz w:val="16"/>
              </w:rPr>
              <w:t xml:space="preserve"> </w:t>
            </w:r>
            <w:r w:rsidRPr="00EC20A0">
              <w:rPr>
                <w:sz w:val="16"/>
              </w:rPr>
              <w:t>column</w:t>
            </w:r>
            <w:r w:rsidRPr="00EC20A0">
              <w:rPr>
                <w:spacing w:val="-3"/>
                <w:sz w:val="16"/>
              </w:rPr>
              <w:t xml:space="preserve"> </w:t>
            </w:r>
            <w:r w:rsidRPr="00EC20A0">
              <w:rPr>
                <w:sz w:val="16"/>
              </w:rPr>
              <w:t>12</w:t>
            </w:r>
            <w:r w:rsidRPr="00EC20A0">
              <w:rPr>
                <w:spacing w:val="-4"/>
                <w:sz w:val="16"/>
              </w:rPr>
              <w:t xml:space="preserve"> </w:t>
            </w:r>
            <w:r w:rsidRPr="00EC20A0">
              <w:rPr>
                <w:sz w:val="16"/>
              </w:rPr>
              <w:t>and note</w:t>
            </w:r>
            <w:r w:rsidRPr="00EC20A0">
              <w:rPr>
                <w:spacing w:val="-5"/>
                <w:sz w:val="16"/>
              </w:rPr>
              <w:t xml:space="preserve"> </w:t>
            </w:r>
            <w:r w:rsidRPr="00EC20A0">
              <w:rPr>
                <w:sz w:val="16"/>
              </w:rPr>
              <w:t>disclosures</w:t>
            </w:r>
            <w:r w:rsidRPr="00EC20A0">
              <w:rPr>
                <w:spacing w:val="-5"/>
                <w:sz w:val="16"/>
              </w:rPr>
              <w:t xml:space="preserve"> </w:t>
            </w:r>
            <w:r w:rsidRPr="00EC20A0">
              <w:rPr>
                <w:sz w:val="16"/>
              </w:rPr>
              <w:t>indicated</w:t>
            </w:r>
            <w:r w:rsidRPr="00EC20A0">
              <w:rPr>
                <w:spacing w:val="-5"/>
                <w:sz w:val="16"/>
              </w:rPr>
              <w:t xml:space="preserve"> </w:t>
            </w:r>
            <w:r w:rsidRPr="00EC20A0">
              <w:rPr>
                <w:sz w:val="16"/>
              </w:rPr>
              <w:t>in</w:t>
            </w:r>
            <w:r w:rsidRPr="00EC20A0">
              <w:rPr>
                <w:spacing w:val="-5"/>
                <w:sz w:val="16"/>
              </w:rPr>
              <w:t xml:space="preserve"> </w:t>
            </w:r>
            <w:r w:rsidRPr="00EC20A0">
              <w:rPr>
                <w:sz w:val="16"/>
              </w:rPr>
              <w:t>column</w:t>
            </w:r>
            <w:r w:rsidRPr="00EC20A0">
              <w:rPr>
                <w:spacing w:val="-5"/>
                <w:sz w:val="16"/>
              </w:rPr>
              <w:t xml:space="preserve"> </w:t>
            </w:r>
            <w:r w:rsidRPr="00EC20A0">
              <w:rPr>
                <w:sz w:val="16"/>
              </w:rPr>
              <w:t>13, did the entity record/disclose the estimated loss (i.e., dollar amounts) for probable</w:t>
            </w:r>
            <w:r w:rsidRPr="00EC20A0">
              <w:rPr>
                <w:spacing w:val="-10"/>
                <w:sz w:val="16"/>
              </w:rPr>
              <w:t xml:space="preserve"> </w:t>
            </w:r>
            <w:r w:rsidRPr="00EC20A0">
              <w:rPr>
                <w:sz w:val="16"/>
              </w:rPr>
              <w:t>and</w:t>
            </w:r>
            <w:r w:rsidRPr="00EC20A0">
              <w:rPr>
                <w:spacing w:val="-9"/>
                <w:sz w:val="16"/>
              </w:rPr>
              <w:t xml:space="preserve"> </w:t>
            </w:r>
            <w:r w:rsidRPr="00EC20A0">
              <w:rPr>
                <w:sz w:val="16"/>
              </w:rPr>
              <w:t>reasonably</w:t>
            </w:r>
            <w:r w:rsidRPr="00EC20A0">
              <w:rPr>
                <w:spacing w:val="-10"/>
                <w:sz w:val="16"/>
              </w:rPr>
              <w:t xml:space="preserve"> </w:t>
            </w:r>
            <w:r w:rsidRPr="00EC20A0">
              <w:rPr>
                <w:sz w:val="16"/>
              </w:rPr>
              <w:t>possible</w:t>
            </w:r>
            <w:r w:rsidRPr="00EC20A0">
              <w:rPr>
                <w:spacing w:val="-11"/>
                <w:sz w:val="16"/>
              </w:rPr>
              <w:t xml:space="preserve"> </w:t>
            </w:r>
            <w:r w:rsidRPr="00EC20A0">
              <w:rPr>
                <w:sz w:val="16"/>
              </w:rPr>
              <w:t>cases in accordance with requirements in SFFAS No. 5, paras. 38-41?</w:t>
            </w:r>
          </w:p>
        </w:tc>
        <w:tc>
          <w:tcPr>
            <w:tcW w:w="900" w:type="dxa"/>
            <w:vMerge w:val="restart"/>
            <w:textDirection w:val="btLr"/>
          </w:tcPr>
          <w:p w14:paraId="24D61FA6" w14:textId="77777777" w:rsidR="00245300" w:rsidRPr="00EC20A0" w:rsidRDefault="00F17249">
            <w:pPr>
              <w:pStyle w:val="TableParagraph"/>
              <w:spacing w:before="117" w:line="247" w:lineRule="auto"/>
              <w:ind w:left="144" w:right="143"/>
              <w:jc w:val="center"/>
              <w:rPr>
                <w:sz w:val="16"/>
              </w:rPr>
            </w:pPr>
            <w:r w:rsidRPr="00EC20A0">
              <w:rPr>
                <w:sz w:val="16"/>
              </w:rPr>
              <w:t>Do</w:t>
            </w:r>
            <w:r w:rsidRPr="00EC20A0">
              <w:rPr>
                <w:spacing w:val="-7"/>
                <w:sz w:val="16"/>
              </w:rPr>
              <w:t xml:space="preserve"> </w:t>
            </w:r>
            <w:r w:rsidRPr="00EC20A0">
              <w:rPr>
                <w:sz w:val="16"/>
              </w:rPr>
              <w:t>the</w:t>
            </w:r>
            <w:r w:rsidRPr="00EC20A0">
              <w:rPr>
                <w:spacing w:val="-7"/>
                <w:sz w:val="16"/>
              </w:rPr>
              <w:t xml:space="preserve"> </w:t>
            </w:r>
            <w:r w:rsidRPr="00EC20A0">
              <w:rPr>
                <w:sz w:val="16"/>
              </w:rPr>
              <w:t>amounts</w:t>
            </w:r>
            <w:r w:rsidRPr="00EC20A0">
              <w:rPr>
                <w:spacing w:val="-6"/>
                <w:sz w:val="16"/>
              </w:rPr>
              <w:t xml:space="preserve"> </w:t>
            </w:r>
            <w:r w:rsidRPr="00EC20A0">
              <w:rPr>
                <w:sz w:val="16"/>
              </w:rPr>
              <w:t>recorded</w:t>
            </w:r>
            <w:r w:rsidRPr="00EC20A0">
              <w:rPr>
                <w:spacing w:val="-6"/>
                <w:sz w:val="16"/>
              </w:rPr>
              <w:t xml:space="preserve"> </w:t>
            </w:r>
            <w:r w:rsidRPr="00EC20A0">
              <w:rPr>
                <w:sz w:val="16"/>
              </w:rPr>
              <w:t>in</w:t>
            </w:r>
            <w:r w:rsidRPr="00EC20A0">
              <w:rPr>
                <w:spacing w:val="-7"/>
                <w:sz w:val="16"/>
              </w:rPr>
              <w:t xml:space="preserve"> </w:t>
            </w:r>
            <w:r w:rsidRPr="00EC20A0">
              <w:rPr>
                <w:sz w:val="16"/>
              </w:rPr>
              <w:t>column</w:t>
            </w:r>
            <w:r w:rsidRPr="00EC20A0">
              <w:rPr>
                <w:spacing w:val="-7"/>
                <w:sz w:val="16"/>
              </w:rPr>
              <w:t xml:space="preserve"> </w:t>
            </w:r>
            <w:r w:rsidRPr="00EC20A0">
              <w:rPr>
                <w:sz w:val="16"/>
              </w:rPr>
              <w:t>12 and note disclosures indicated in column 13 agree with the amounts in</w:t>
            </w:r>
          </w:p>
          <w:p w14:paraId="24D61FA7" w14:textId="77777777" w:rsidR="00245300" w:rsidRPr="00EC20A0" w:rsidRDefault="00F17249">
            <w:pPr>
              <w:pStyle w:val="TableParagraph"/>
              <w:spacing w:line="182" w:lineRule="exact"/>
              <w:ind w:left="93" w:right="94"/>
              <w:jc w:val="center"/>
              <w:rPr>
                <w:sz w:val="16"/>
              </w:rPr>
            </w:pPr>
            <w:r w:rsidRPr="00EC20A0">
              <w:rPr>
                <w:sz w:val="16"/>
              </w:rPr>
              <w:t>column</w:t>
            </w:r>
            <w:r w:rsidRPr="00EC20A0">
              <w:rPr>
                <w:spacing w:val="-8"/>
                <w:sz w:val="16"/>
              </w:rPr>
              <w:t xml:space="preserve"> </w:t>
            </w:r>
            <w:r w:rsidRPr="00EC20A0">
              <w:rPr>
                <w:spacing w:val="-5"/>
                <w:sz w:val="16"/>
              </w:rPr>
              <w:t>7?</w:t>
            </w:r>
          </w:p>
        </w:tc>
        <w:tc>
          <w:tcPr>
            <w:tcW w:w="630" w:type="dxa"/>
            <w:vMerge w:val="restart"/>
            <w:textDirection w:val="btLr"/>
          </w:tcPr>
          <w:p w14:paraId="24D61FA8" w14:textId="77777777" w:rsidR="00245300" w:rsidRPr="00EC20A0" w:rsidRDefault="00F17249">
            <w:pPr>
              <w:pStyle w:val="TableParagraph"/>
              <w:spacing w:before="117" w:line="244" w:lineRule="auto"/>
              <w:ind w:left="275" w:firstLine="4"/>
              <w:rPr>
                <w:sz w:val="16"/>
              </w:rPr>
            </w:pPr>
            <w:r w:rsidRPr="00EC20A0">
              <w:rPr>
                <w:sz w:val="16"/>
              </w:rPr>
              <w:t>Provide</w:t>
            </w:r>
            <w:r w:rsidRPr="00EC20A0">
              <w:rPr>
                <w:spacing w:val="-7"/>
                <w:sz w:val="16"/>
              </w:rPr>
              <w:t xml:space="preserve"> </w:t>
            </w:r>
            <w:r w:rsidRPr="00EC20A0">
              <w:rPr>
                <w:sz w:val="16"/>
              </w:rPr>
              <w:t>an</w:t>
            </w:r>
            <w:r w:rsidRPr="00EC20A0">
              <w:rPr>
                <w:spacing w:val="-7"/>
                <w:sz w:val="16"/>
              </w:rPr>
              <w:t xml:space="preserve"> </w:t>
            </w:r>
            <w:r w:rsidRPr="00EC20A0">
              <w:rPr>
                <w:sz w:val="16"/>
              </w:rPr>
              <w:t>explanation</w:t>
            </w:r>
            <w:r w:rsidRPr="00EC20A0">
              <w:rPr>
                <w:spacing w:val="-7"/>
                <w:sz w:val="16"/>
              </w:rPr>
              <w:t xml:space="preserve"> </w:t>
            </w:r>
            <w:r w:rsidRPr="00EC20A0">
              <w:rPr>
                <w:sz w:val="16"/>
              </w:rPr>
              <w:t>for</w:t>
            </w:r>
            <w:r w:rsidRPr="00EC20A0">
              <w:rPr>
                <w:spacing w:val="-7"/>
                <w:sz w:val="16"/>
              </w:rPr>
              <w:t xml:space="preserve"> </w:t>
            </w:r>
            <w:r w:rsidRPr="00EC20A0">
              <w:rPr>
                <w:sz w:val="16"/>
              </w:rPr>
              <w:t>any</w:t>
            </w:r>
            <w:r w:rsidRPr="00EC20A0">
              <w:rPr>
                <w:spacing w:val="-6"/>
                <w:sz w:val="16"/>
              </w:rPr>
              <w:t xml:space="preserve"> </w:t>
            </w:r>
            <w:r w:rsidRPr="00EC20A0">
              <w:rPr>
                <w:sz w:val="16"/>
              </w:rPr>
              <w:t>"No" responses</w:t>
            </w:r>
            <w:r w:rsidRPr="00EC20A0">
              <w:rPr>
                <w:spacing w:val="-6"/>
                <w:sz w:val="16"/>
              </w:rPr>
              <w:t xml:space="preserve"> </w:t>
            </w:r>
            <w:r w:rsidRPr="00EC20A0">
              <w:rPr>
                <w:sz w:val="16"/>
              </w:rPr>
              <w:t>in</w:t>
            </w:r>
            <w:r w:rsidRPr="00EC20A0">
              <w:rPr>
                <w:spacing w:val="-6"/>
                <w:sz w:val="16"/>
              </w:rPr>
              <w:t xml:space="preserve"> </w:t>
            </w:r>
            <w:r w:rsidRPr="00EC20A0">
              <w:rPr>
                <w:sz w:val="16"/>
              </w:rPr>
              <w:t>columns</w:t>
            </w:r>
            <w:r w:rsidRPr="00EC20A0">
              <w:rPr>
                <w:spacing w:val="-5"/>
                <w:sz w:val="16"/>
              </w:rPr>
              <w:t xml:space="preserve"> </w:t>
            </w:r>
            <w:r w:rsidRPr="00EC20A0">
              <w:rPr>
                <w:sz w:val="16"/>
              </w:rPr>
              <w:t>14</w:t>
            </w:r>
            <w:r w:rsidRPr="00EC20A0">
              <w:rPr>
                <w:spacing w:val="-6"/>
                <w:sz w:val="16"/>
              </w:rPr>
              <w:t xml:space="preserve"> </w:t>
            </w:r>
            <w:r w:rsidRPr="00EC20A0">
              <w:rPr>
                <w:sz w:val="16"/>
              </w:rPr>
              <w:t>and/or</w:t>
            </w:r>
            <w:r w:rsidRPr="00EC20A0">
              <w:rPr>
                <w:spacing w:val="-3"/>
                <w:sz w:val="16"/>
              </w:rPr>
              <w:t xml:space="preserve"> </w:t>
            </w:r>
            <w:r w:rsidRPr="00EC20A0">
              <w:rPr>
                <w:spacing w:val="-5"/>
                <w:sz w:val="16"/>
              </w:rPr>
              <w:t>15.</w:t>
            </w:r>
          </w:p>
        </w:tc>
        <w:tc>
          <w:tcPr>
            <w:tcW w:w="1800" w:type="dxa"/>
            <w:vMerge w:val="restart"/>
            <w:textDirection w:val="btLr"/>
          </w:tcPr>
          <w:p w14:paraId="24D61FA9" w14:textId="77777777" w:rsidR="00245300" w:rsidRPr="00EC20A0" w:rsidRDefault="00F17249">
            <w:pPr>
              <w:pStyle w:val="TableParagraph"/>
              <w:spacing w:before="117" w:line="247" w:lineRule="auto"/>
              <w:ind w:left="182" w:right="180" w:hanging="2"/>
              <w:jc w:val="center"/>
              <w:rPr>
                <w:sz w:val="16"/>
              </w:rPr>
            </w:pPr>
            <w:r w:rsidRPr="00EC20A0">
              <w:rPr>
                <w:sz w:val="16"/>
              </w:rPr>
              <w:t xml:space="preserve">If updates to case(s) were </w:t>
            </w:r>
            <w:r w:rsidRPr="00EC20A0">
              <w:rPr>
                <w:sz w:val="16"/>
              </w:rPr>
              <w:t>provided in the final legal counsel response, were these updates related to likelihood of loss, estimated amount or range of potential loss, new case, no longer pending,</w:t>
            </w:r>
            <w:r w:rsidRPr="00EC20A0">
              <w:rPr>
                <w:spacing w:val="-9"/>
                <w:sz w:val="16"/>
              </w:rPr>
              <w:t xml:space="preserve"> </w:t>
            </w:r>
            <w:r w:rsidRPr="00EC20A0">
              <w:rPr>
                <w:sz w:val="16"/>
              </w:rPr>
              <w:t>progress</w:t>
            </w:r>
            <w:r w:rsidRPr="00EC20A0">
              <w:rPr>
                <w:spacing w:val="-8"/>
                <w:sz w:val="16"/>
              </w:rPr>
              <w:t xml:space="preserve"> </w:t>
            </w:r>
            <w:r w:rsidRPr="00EC20A0">
              <w:rPr>
                <w:sz w:val="16"/>
              </w:rPr>
              <w:t>update,</w:t>
            </w:r>
            <w:r w:rsidRPr="00EC20A0">
              <w:rPr>
                <w:spacing w:val="-8"/>
                <w:sz w:val="16"/>
              </w:rPr>
              <w:t xml:space="preserve"> </w:t>
            </w:r>
            <w:r w:rsidRPr="00EC20A0">
              <w:rPr>
                <w:sz w:val="16"/>
              </w:rPr>
              <w:t>other,</w:t>
            </w:r>
            <w:r w:rsidRPr="00EC20A0">
              <w:rPr>
                <w:spacing w:val="-7"/>
                <w:sz w:val="16"/>
              </w:rPr>
              <w:t xml:space="preserve"> </w:t>
            </w:r>
            <w:r w:rsidRPr="00EC20A0">
              <w:rPr>
                <w:sz w:val="16"/>
              </w:rPr>
              <w:t>or</w:t>
            </w:r>
            <w:r w:rsidRPr="00EC20A0">
              <w:rPr>
                <w:spacing w:val="-9"/>
                <w:sz w:val="16"/>
              </w:rPr>
              <w:t xml:space="preserve"> </w:t>
            </w:r>
            <w:r w:rsidRPr="00EC20A0">
              <w:rPr>
                <w:sz w:val="16"/>
              </w:rPr>
              <w:t>no updates since interim? (This requirement only applies to the final</w:t>
            </w:r>
          </w:p>
          <w:p w14:paraId="24D61FAA" w14:textId="77777777" w:rsidR="00245300" w:rsidRPr="00EC20A0" w:rsidRDefault="00F17249">
            <w:pPr>
              <w:pStyle w:val="TableParagraph"/>
              <w:spacing w:line="136" w:lineRule="exact"/>
              <w:ind w:left="93" w:right="93"/>
              <w:jc w:val="center"/>
              <w:rPr>
                <w:sz w:val="16"/>
              </w:rPr>
            </w:pPr>
            <w:r w:rsidRPr="00EC20A0">
              <w:rPr>
                <w:sz w:val="16"/>
              </w:rPr>
              <w:t>management</w:t>
            </w:r>
            <w:r w:rsidRPr="00EC20A0">
              <w:rPr>
                <w:spacing w:val="-11"/>
                <w:sz w:val="16"/>
              </w:rPr>
              <w:t xml:space="preserve"> </w:t>
            </w:r>
            <w:r w:rsidRPr="00EC20A0">
              <w:rPr>
                <w:spacing w:val="-2"/>
                <w:sz w:val="16"/>
              </w:rPr>
              <w:t>schedule.)</w:t>
            </w:r>
          </w:p>
        </w:tc>
        <w:tc>
          <w:tcPr>
            <w:tcW w:w="540" w:type="dxa"/>
            <w:vMerge w:val="restart"/>
            <w:textDirection w:val="btLr"/>
          </w:tcPr>
          <w:p w14:paraId="24D61FAB" w14:textId="77777777" w:rsidR="00245300" w:rsidRPr="00EC20A0" w:rsidRDefault="00F17249">
            <w:pPr>
              <w:pStyle w:val="TableParagraph"/>
              <w:spacing w:before="117" w:line="244" w:lineRule="auto"/>
              <w:ind w:left="772" w:hanging="644"/>
              <w:rPr>
                <w:sz w:val="16"/>
              </w:rPr>
            </w:pPr>
            <w:r w:rsidRPr="00EC20A0">
              <w:rPr>
                <w:sz w:val="16"/>
              </w:rPr>
              <w:t>Provide</w:t>
            </w:r>
            <w:r w:rsidRPr="00EC20A0">
              <w:rPr>
                <w:spacing w:val="-7"/>
                <w:sz w:val="16"/>
              </w:rPr>
              <w:t xml:space="preserve"> </w:t>
            </w:r>
            <w:r w:rsidRPr="00EC20A0">
              <w:rPr>
                <w:sz w:val="16"/>
              </w:rPr>
              <w:t>a</w:t>
            </w:r>
            <w:r w:rsidRPr="00EC20A0">
              <w:rPr>
                <w:spacing w:val="-7"/>
                <w:sz w:val="16"/>
              </w:rPr>
              <w:t xml:space="preserve"> </w:t>
            </w:r>
            <w:r w:rsidRPr="00EC20A0">
              <w:rPr>
                <w:sz w:val="16"/>
              </w:rPr>
              <w:t>brief</w:t>
            </w:r>
            <w:r w:rsidRPr="00EC20A0">
              <w:rPr>
                <w:spacing w:val="-7"/>
                <w:sz w:val="16"/>
              </w:rPr>
              <w:t xml:space="preserve"> </w:t>
            </w:r>
            <w:r w:rsidRPr="00EC20A0">
              <w:rPr>
                <w:sz w:val="16"/>
              </w:rPr>
              <w:t>description</w:t>
            </w:r>
            <w:r w:rsidRPr="00EC20A0">
              <w:rPr>
                <w:spacing w:val="-7"/>
                <w:sz w:val="16"/>
              </w:rPr>
              <w:t xml:space="preserve"> </w:t>
            </w:r>
            <w:r w:rsidRPr="00EC20A0">
              <w:rPr>
                <w:sz w:val="16"/>
              </w:rPr>
              <w:t>of</w:t>
            </w:r>
            <w:r w:rsidRPr="00EC20A0">
              <w:rPr>
                <w:spacing w:val="-7"/>
                <w:sz w:val="16"/>
              </w:rPr>
              <w:t xml:space="preserve"> </w:t>
            </w:r>
            <w:r w:rsidRPr="00EC20A0">
              <w:rPr>
                <w:sz w:val="16"/>
              </w:rPr>
              <w:t>the</w:t>
            </w:r>
            <w:r w:rsidRPr="00EC20A0">
              <w:rPr>
                <w:spacing w:val="-7"/>
                <w:sz w:val="16"/>
              </w:rPr>
              <w:t xml:space="preserve"> </w:t>
            </w:r>
            <w:r w:rsidRPr="00EC20A0">
              <w:rPr>
                <w:sz w:val="16"/>
              </w:rPr>
              <w:t>update entered in column 17.</w:t>
            </w:r>
          </w:p>
        </w:tc>
        <w:tc>
          <w:tcPr>
            <w:tcW w:w="1440" w:type="dxa"/>
            <w:vMerge w:val="restart"/>
            <w:textDirection w:val="btLr"/>
          </w:tcPr>
          <w:p w14:paraId="24D61FAC" w14:textId="77777777" w:rsidR="00245300" w:rsidRPr="00EC20A0" w:rsidRDefault="00F17249">
            <w:pPr>
              <w:pStyle w:val="TableParagraph"/>
              <w:spacing w:before="117" w:line="247" w:lineRule="auto"/>
              <w:ind w:left="130" w:right="130" w:hanging="1"/>
              <w:jc w:val="center"/>
              <w:rPr>
                <w:sz w:val="16"/>
              </w:rPr>
            </w:pPr>
            <w:r w:rsidRPr="00EC20A0">
              <w:rPr>
                <w:sz w:val="16"/>
              </w:rPr>
              <w:t>If the lead counsel for the case is external to the entity (e.g., DOJ), does the</w:t>
            </w:r>
            <w:r w:rsidRPr="00EC20A0">
              <w:rPr>
                <w:spacing w:val="-7"/>
                <w:sz w:val="16"/>
              </w:rPr>
              <w:t xml:space="preserve"> </w:t>
            </w:r>
            <w:r w:rsidRPr="00EC20A0">
              <w:rPr>
                <w:sz w:val="16"/>
              </w:rPr>
              <w:t>lead</w:t>
            </w:r>
            <w:r w:rsidRPr="00EC20A0">
              <w:rPr>
                <w:spacing w:val="-7"/>
                <w:sz w:val="16"/>
              </w:rPr>
              <w:t xml:space="preserve"> </w:t>
            </w:r>
            <w:r w:rsidRPr="00EC20A0">
              <w:rPr>
                <w:sz w:val="16"/>
              </w:rPr>
              <w:t>counsel</w:t>
            </w:r>
            <w:r w:rsidRPr="00EC20A0">
              <w:rPr>
                <w:spacing w:val="-6"/>
                <w:sz w:val="16"/>
              </w:rPr>
              <w:t xml:space="preserve"> </w:t>
            </w:r>
            <w:r w:rsidRPr="00EC20A0">
              <w:rPr>
                <w:sz w:val="16"/>
              </w:rPr>
              <w:t>concur</w:t>
            </w:r>
            <w:r w:rsidRPr="00EC20A0">
              <w:rPr>
                <w:spacing w:val="-7"/>
                <w:sz w:val="16"/>
              </w:rPr>
              <w:t xml:space="preserve"> </w:t>
            </w:r>
            <w:r w:rsidRPr="00EC20A0">
              <w:rPr>
                <w:sz w:val="16"/>
              </w:rPr>
              <w:t>with</w:t>
            </w:r>
            <w:r w:rsidRPr="00EC20A0">
              <w:rPr>
                <w:spacing w:val="-6"/>
                <w:sz w:val="16"/>
              </w:rPr>
              <w:t xml:space="preserve"> </w:t>
            </w:r>
            <w:r w:rsidRPr="00EC20A0">
              <w:rPr>
                <w:sz w:val="16"/>
              </w:rPr>
              <w:t>the</w:t>
            </w:r>
            <w:r w:rsidRPr="00EC20A0">
              <w:rPr>
                <w:spacing w:val="-7"/>
                <w:sz w:val="16"/>
              </w:rPr>
              <w:t xml:space="preserve"> </w:t>
            </w:r>
            <w:r w:rsidRPr="00EC20A0">
              <w:rPr>
                <w:sz w:val="16"/>
              </w:rPr>
              <w:t xml:space="preserve">entity's assessments of the likelihood of </w:t>
            </w:r>
            <w:r w:rsidRPr="00EC20A0">
              <w:rPr>
                <w:sz w:val="16"/>
              </w:rPr>
              <w:t>loss and estimated amount or range of potential</w:t>
            </w:r>
            <w:r w:rsidRPr="00EC20A0">
              <w:rPr>
                <w:spacing w:val="-1"/>
                <w:sz w:val="16"/>
              </w:rPr>
              <w:t xml:space="preserve"> </w:t>
            </w:r>
            <w:r w:rsidRPr="00EC20A0">
              <w:rPr>
                <w:sz w:val="16"/>
              </w:rPr>
              <w:t>loss?</w:t>
            </w:r>
            <w:r w:rsidRPr="00EC20A0">
              <w:rPr>
                <w:spacing w:val="-2"/>
                <w:sz w:val="16"/>
              </w:rPr>
              <w:t xml:space="preserve"> </w:t>
            </w:r>
            <w:r w:rsidRPr="00EC20A0">
              <w:rPr>
                <w:sz w:val="16"/>
              </w:rPr>
              <w:t>If</w:t>
            </w:r>
            <w:r w:rsidRPr="00EC20A0">
              <w:rPr>
                <w:spacing w:val="-2"/>
                <w:sz w:val="16"/>
              </w:rPr>
              <w:t xml:space="preserve"> </w:t>
            </w:r>
            <w:r w:rsidRPr="00EC20A0">
              <w:rPr>
                <w:sz w:val="16"/>
              </w:rPr>
              <w:t>the</w:t>
            </w:r>
            <w:r w:rsidRPr="00EC20A0">
              <w:rPr>
                <w:spacing w:val="-2"/>
                <w:sz w:val="16"/>
              </w:rPr>
              <w:t xml:space="preserve"> </w:t>
            </w:r>
            <w:r w:rsidRPr="00EC20A0">
              <w:rPr>
                <w:sz w:val="16"/>
              </w:rPr>
              <w:t>lead</w:t>
            </w:r>
            <w:r w:rsidRPr="00EC20A0">
              <w:rPr>
                <w:spacing w:val="-2"/>
                <w:sz w:val="16"/>
              </w:rPr>
              <w:t xml:space="preserve"> </w:t>
            </w:r>
            <w:r w:rsidRPr="00EC20A0">
              <w:rPr>
                <w:sz w:val="16"/>
              </w:rPr>
              <w:t>counsel</w:t>
            </w:r>
            <w:r w:rsidRPr="00EC20A0">
              <w:rPr>
                <w:spacing w:val="-1"/>
                <w:sz w:val="16"/>
              </w:rPr>
              <w:t xml:space="preserve"> </w:t>
            </w:r>
            <w:r w:rsidRPr="00EC20A0">
              <w:rPr>
                <w:sz w:val="16"/>
              </w:rPr>
              <w:t>is</w:t>
            </w:r>
            <w:r w:rsidRPr="00EC20A0">
              <w:rPr>
                <w:spacing w:val="-1"/>
                <w:sz w:val="16"/>
              </w:rPr>
              <w:t xml:space="preserve"> </w:t>
            </w:r>
            <w:r w:rsidRPr="00EC20A0">
              <w:rPr>
                <w:sz w:val="16"/>
              </w:rPr>
              <w:t>not</w:t>
            </w:r>
          </w:p>
          <w:p w14:paraId="24D61FAD" w14:textId="77777777" w:rsidR="00245300" w:rsidRPr="00EC20A0" w:rsidRDefault="00F17249">
            <w:pPr>
              <w:pStyle w:val="TableParagraph"/>
              <w:spacing w:line="155" w:lineRule="exact"/>
              <w:ind w:left="93" w:right="95"/>
              <w:jc w:val="center"/>
              <w:rPr>
                <w:sz w:val="16"/>
              </w:rPr>
            </w:pPr>
            <w:r w:rsidRPr="00EC20A0">
              <w:rPr>
                <w:sz w:val="16"/>
              </w:rPr>
              <w:t>external</w:t>
            </w:r>
            <w:r w:rsidRPr="00EC20A0">
              <w:rPr>
                <w:spacing w:val="-5"/>
                <w:sz w:val="16"/>
              </w:rPr>
              <w:t xml:space="preserve"> </w:t>
            </w:r>
            <w:r w:rsidRPr="00EC20A0">
              <w:rPr>
                <w:sz w:val="16"/>
              </w:rPr>
              <w:t>to</w:t>
            </w:r>
            <w:r w:rsidRPr="00EC20A0">
              <w:rPr>
                <w:spacing w:val="-6"/>
                <w:sz w:val="16"/>
              </w:rPr>
              <w:t xml:space="preserve"> </w:t>
            </w:r>
            <w:r w:rsidRPr="00EC20A0">
              <w:rPr>
                <w:sz w:val="16"/>
              </w:rPr>
              <w:t>the</w:t>
            </w:r>
            <w:r w:rsidRPr="00EC20A0">
              <w:rPr>
                <w:spacing w:val="-5"/>
                <w:sz w:val="16"/>
              </w:rPr>
              <w:t xml:space="preserve"> </w:t>
            </w:r>
            <w:r w:rsidRPr="00EC20A0">
              <w:rPr>
                <w:sz w:val="16"/>
              </w:rPr>
              <w:t>entity,</w:t>
            </w:r>
            <w:r w:rsidRPr="00EC20A0">
              <w:rPr>
                <w:spacing w:val="-6"/>
                <w:sz w:val="16"/>
              </w:rPr>
              <w:t xml:space="preserve"> </w:t>
            </w:r>
            <w:r w:rsidRPr="00EC20A0">
              <w:rPr>
                <w:sz w:val="16"/>
              </w:rPr>
              <w:t>input</w:t>
            </w:r>
            <w:r w:rsidRPr="00EC20A0">
              <w:rPr>
                <w:spacing w:val="-5"/>
                <w:sz w:val="16"/>
              </w:rPr>
              <w:t xml:space="preserve"> </w:t>
            </w:r>
            <w:r w:rsidRPr="00EC20A0">
              <w:rPr>
                <w:spacing w:val="-2"/>
                <w:sz w:val="16"/>
              </w:rPr>
              <w:t>"N/A."</w:t>
            </w:r>
          </w:p>
        </w:tc>
        <w:tc>
          <w:tcPr>
            <w:tcW w:w="630" w:type="dxa"/>
            <w:vMerge w:val="restart"/>
            <w:textDirection w:val="btLr"/>
          </w:tcPr>
          <w:p w14:paraId="24D61FAE" w14:textId="77777777" w:rsidR="00245300" w:rsidRPr="00EC20A0" w:rsidRDefault="00F17249">
            <w:pPr>
              <w:pStyle w:val="TableParagraph"/>
              <w:spacing w:before="117" w:line="244" w:lineRule="auto"/>
              <w:ind w:left="675" w:hanging="395"/>
              <w:rPr>
                <w:sz w:val="16"/>
              </w:rPr>
            </w:pPr>
            <w:r w:rsidRPr="00EC20A0">
              <w:rPr>
                <w:sz w:val="16"/>
              </w:rPr>
              <w:t>Provide</w:t>
            </w:r>
            <w:r w:rsidRPr="00EC20A0">
              <w:rPr>
                <w:spacing w:val="-8"/>
                <w:sz w:val="16"/>
              </w:rPr>
              <w:t xml:space="preserve"> </w:t>
            </w:r>
            <w:r w:rsidRPr="00EC20A0">
              <w:rPr>
                <w:sz w:val="16"/>
              </w:rPr>
              <w:t>an</w:t>
            </w:r>
            <w:r w:rsidRPr="00EC20A0">
              <w:rPr>
                <w:spacing w:val="-8"/>
                <w:sz w:val="16"/>
              </w:rPr>
              <w:t xml:space="preserve"> </w:t>
            </w:r>
            <w:r w:rsidRPr="00EC20A0">
              <w:rPr>
                <w:sz w:val="16"/>
              </w:rPr>
              <w:t>explanation</w:t>
            </w:r>
            <w:r w:rsidRPr="00EC20A0">
              <w:rPr>
                <w:spacing w:val="-9"/>
                <w:sz w:val="16"/>
              </w:rPr>
              <w:t xml:space="preserve"> </w:t>
            </w:r>
            <w:r w:rsidRPr="00EC20A0">
              <w:rPr>
                <w:sz w:val="16"/>
              </w:rPr>
              <w:t>for</w:t>
            </w:r>
            <w:r w:rsidRPr="00EC20A0">
              <w:rPr>
                <w:spacing w:val="-8"/>
                <w:sz w:val="16"/>
              </w:rPr>
              <w:t xml:space="preserve"> </w:t>
            </w:r>
            <w:r w:rsidRPr="00EC20A0">
              <w:rPr>
                <w:sz w:val="16"/>
              </w:rPr>
              <w:t>any</w:t>
            </w:r>
            <w:r w:rsidRPr="00EC20A0">
              <w:rPr>
                <w:spacing w:val="-8"/>
                <w:sz w:val="16"/>
              </w:rPr>
              <w:t xml:space="preserve"> </w:t>
            </w:r>
            <w:r w:rsidRPr="00EC20A0">
              <w:rPr>
                <w:sz w:val="16"/>
              </w:rPr>
              <w:t>"No" responses in column 19.</w:t>
            </w:r>
          </w:p>
        </w:tc>
      </w:tr>
      <w:tr w:rsidR="00245300" w:rsidRPr="00EC20A0" w14:paraId="24D61FC8" w14:textId="77777777">
        <w:trPr>
          <w:trHeight w:val="1780"/>
        </w:trPr>
        <w:tc>
          <w:tcPr>
            <w:tcW w:w="1075" w:type="dxa"/>
            <w:vMerge/>
            <w:tcBorders>
              <w:top w:val="nil"/>
            </w:tcBorders>
            <w:textDirection w:val="btLr"/>
          </w:tcPr>
          <w:p w14:paraId="24D61FB0" w14:textId="77777777" w:rsidR="00245300" w:rsidRPr="00EC20A0" w:rsidRDefault="00245300">
            <w:pPr>
              <w:rPr>
                <w:sz w:val="2"/>
                <w:szCs w:val="2"/>
              </w:rPr>
            </w:pPr>
          </w:p>
        </w:tc>
        <w:tc>
          <w:tcPr>
            <w:tcW w:w="637" w:type="dxa"/>
            <w:vMerge/>
            <w:tcBorders>
              <w:top w:val="nil"/>
            </w:tcBorders>
            <w:textDirection w:val="btLr"/>
          </w:tcPr>
          <w:p w14:paraId="24D61FB1" w14:textId="77777777" w:rsidR="00245300" w:rsidRPr="00EC20A0" w:rsidRDefault="00245300">
            <w:pPr>
              <w:rPr>
                <w:sz w:val="2"/>
                <w:szCs w:val="2"/>
              </w:rPr>
            </w:pPr>
          </w:p>
        </w:tc>
        <w:tc>
          <w:tcPr>
            <w:tcW w:w="720" w:type="dxa"/>
            <w:vMerge/>
            <w:tcBorders>
              <w:top w:val="nil"/>
            </w:tcBorders>
            <w:textDirection w:val="btLr"/>
          </w:tcPr>
          <w:p w14:paraId="24D61FB2" w14:textId="77777777" w:rsidR="00245300" w:rsidRPr="00EC20A0" w:rsidRDefault="00245300">
            <w:pPr>
              <w:rPr>
                <w:sz w:val="2"/>
                <w:szCs w:val="2"/>
              </w:rPr>
            </w:pPr>
          </w:p>
        </w:tc>
        <w:tc>
          <w:tcPr>
            <w:tcW w:w="720" w:type="dxa"/>
            <w:vMerge/>
            <w:tcBorders>
              <w:top w:val="nil"/>
            </w:tcBorders>
            <w:textDirection w:val="btLr"/>
          </w:tcPr>
          <w:p w14:paraId="24D61FB3" w14:textId="77777777" w:rsidR="00245300" w:rsidRPr="00EC20A0" w:rsidRDefault="00245300">
            <w:pPr>
              <w:rPr>
                <w:sz w:val="2"/>
                <w:szCs w:val="2"/>
              </w:rPr>
            </w:pPr>
          </w:p>
        </w:tc>
        <w:tc>
          <w:tcPr>
            <w:tcW w:w="720" w:type="dxa"/>
            <w:vMerge/>
            <w:tcBorders>
              <w:top w:val="nil"/>
            </w:tcBorders>
            <w:textDirection w:val="btLr"/>
          </w:tcPr>
          <w:p w14:paraId="24D61FB4" w14:textId="77777777" w:rsidR="00245300" w:rsidRPr="00EC20A0" w:rsidRDefault="00245300">
            <w:pPr>
              <w:rPr>
                <w:sz w:val="2"/>
                <w:szCs w:val="2"/>
              </w:rPr>
            </w:pPr>
          </w:p>
        </w:tc>
        <w:tc>
          <w:tcPr>
            <w:tcW w:w="720" w:type="dxa"/>
            <w:vMerge/>
            <w:tcBorders>
              <w:top w:val="nil"/>
            </w:tcBorders>
            <w:textDirection w:val="btLr"/>
          </w:tcPr>
          <w:p w14:paraId="24D61FB5" w14:textId="77777777" w:rsidR="00245300" w:rsidRPr="00EC20A0" w:rsidRDefault="00245300">
            <w:pPr>
              <w:rPr>
                <w:sz w:val="2"/>
                <w:szCs w:val="2"/>
              </w:rPr>
            </w:pPr>
          </w:p>
        </w:tc>
        <w:tc>
          <w:tcPr>
            <w:tcW w:w="1080" w:type="dxa"/>
            <w:vMerge/>
            <w:tcBorders>
              <w:top w:val="nil"/>
            </w:tcBorders>
            <w:textDirection w:val="btLr"/>
          </w:tcPr>
          <w:p w14:paraId="24D61FB6" w14:textId="77777777" w:rsidR="00245300" w:rsidRPr="00EC20A0" w:rsidRDefault="00245300">
            <w:pPr>
              <w:rPr>
                <w:sz w:val="2"/>
                <w:szCs w:val="2"/>
              </w:rPr>
            </w:pPr>
          </w:p>
        </w:tc>
        <w:tc>
          <w:tcPr>
            <w:tcW w:w="630" w:type="dxa"/>
          </w:tcPr>
          <w:p w14:paraId="24D61FB7" w14:textId="77777777" w:rsidR="00245300" w:rsidRPr="00EC20A0" w:rsidRDefault="00F17249">
            <w:pPr>
              <w:pStyle w:val="TableParagraph"/>
              <w:spacing w:line="184" w:lineRule="exact"/>
              <w:ind w:left="141"/>
              <w:rPr>
                <w:sz w:val="16"/>
              </w:rPr>
            </w:pPr>
            <w:r w:rsidRPr="00EC20A0">
              <w:rPr>
                <w:sz w:val="16"/>
              </w:rPr>
              <w:t>(a)</w:t>
            </w:r>
            <w:r w:rsidRPr="00EC20A0">
              <w:rPr>
                <w:spacing w:val="-4"/>
                <w:sz w:val="16"/>
              </w:rPr>
              <w:t xml:space="preserve"> </w:t>
            </w:r>
            <w:r w:rsidRPr="00EC20A0">
              <w:rPr>
                <w:spacing w:val="-12"/>
                <w:sz w:val="16"/>
              </w:rPr>
              <w:t>P</w:t>
            </w:r>
          </w:p>
        </w:tc>
        <w:tc>
          <w:tcPr>
            <w:tcW w:w="720" w:type="dxa"/>
          </w:tcPr>
          <w:p w14:paraId="24D61FB8" w14:textId="77777777" w:rsidR="00245300" w:rsidRPr="00EC20A0" w:rsidRDefault="00F17249">
            <w:pPr>
              <w:pStyle w:val="TableParagraph"/>
              <w:spacing w:line="184" w:lineRule="exact"/>
              <w:ind w:left="128"/>
              <w:rPr>
                <w:sz w:val="16"/>
              </w:rPr>
            </w:pPr>
            <w:r w:rsidRPr="00EC20A0">
              <w:rPr>
                <w:sz w:val="16"/>
              </w:rPr>
              <w:t>(b)</w:t>
            </w:r>
            <w:r w:rsidRPr="00EC20A0">
              <w:rPr>
                <w:spacing w:val="-4"/>
                <w:sz w:val="16"/>
              </w:rPr>
              <w:t xml:space="preserve"> </w:t>
            </w:r>
            <w:r w:rsidRPr="00EC20A0">
              <w:rPr>
                <w:spacing w:val="-7"/>
                <w:sz w:val="16"/>
              </w:rPr>
              <w:t>RP</w:t>
            </w:r>
          </w:p>
        </w:tc>
        <w:tc>
          <w:tcPr>
            <w:tcW w:w="900" w:type="dxa"/>
          </w:tcPr>
          <w:p w14:paraId="24D61FB9" w14:textId="77777777" w:rsidR="00245300" w:rsidRPr="00EC20A0" w:rsidRDefault="00F17249">
            <w:pPr>
              <w:pStyle w:val="TableParagraph"/>
              <w:spacing w:line="184" w:lineRule="exact"/>
              <w:ind w:left="116"/>
              <w:rPr>
                <w:sz w:val="16"/>
              </w:rPr>
            </w:pPr>
            <w:r w:rsidRPr="00EC20A0">
              <w:rPr>
                <w:sz w:val="16"/>
              </w:rPr>
              <w:t>(c)</w:t>
            </w:r>
            <w:r w:rsidRPr="00EC20A0">
              <w:rPr>
                <w:spacing w:val="-4"/>
                <w:sz w:val="16"/>
              </w:rPr>
              <w:t xml:space="preserve"> </w:t>
            </w:r>
            <w:r w:rsidRPr="00EC20A0">
              <w:rPr>
                <w:spacing w:val="-2"/>
                <w:sz w:val="16"/>
              </w:rPr>
              <w:t>Upper</w:t>
            </w:r>
          </w:p>
        </w:tc>
        <w:tc>
          <w:tcPr>
            <w:tcW w:w="900" w:type="dxa"/>
          </w:tcPr>
          <w:p w14:paraId="24D61FBA" w14:textId="77777777" w:rsidR="00245300" w:rsidRPr="00EC20A0" w:rsidRDefault="00F17249">
            <w:pPr>
              <w:pStyle w:val="TableParagraph"/>
              <w:ind w:left="116" w:right="100" w:firstLine="236"/>
              <w:rPr>
                <w:sz w:val="16"/>
              </w:rPr>
            </w:pPr>
            <w:r w:rsidRPr="00EC20A0">
              <w:rPr>
                <w:spacing w:val="-4"/>
                <w:sz w:val="16"/>
              </w:rPr>
              <w:t xml:space="preserve">(d) </w:t>
            </w:r>
            <w:r w:rsidRPr="00EC20A0">
              <w:rPr>
                <w:spacing w:val="-2"/>
                <w:sz w:val="16"/>
              </w:rPr>
              <w:t>Unknown</w:t>
            </w:r>
          </w:p>
        </w:tc>
        <w:tc>
          <w:tcPr>
            <w:tcW w:w="1080" w:type="dxa"/>
            <w:vMerge/>
            <w:tcBorders>
              <w:top w:val="nil"/>
            </w:tcBorders>
            <w:textDirection w:val="btLr"/>
          </w:tcPr>
          <w:p w14:paraId="24D61FBB" w14:textId="77777777" w:rsidR="00245300" w:rsidRPr="00EC20A0" w:rsidRDefault="00245300">
            <w:pPr>
              <w:rPr>
                <w:sz w:val="2"/>
                <w:szCs w:val="2"/>
              </w:rPr>
            </w:pPr>
          </w:p>
        </w:tc>
        <w:tc>
          <w:tcPr>
            <w:tcW w:w="540" w:type="dxa"/>
            <w:vMerge/>
            <w:tcBorders>
              <w:top w:val="nil"/>
            </w:tcBorders>
            <w:textDirection w:val="btLr"/>
          </w:tcPr>
          <w:p w14:paraId="24D61FBC" w14:textId="77777777" w:rsidR="00245300" w:rsidRPr="00EC20A0" w:rsidRDefault="00245300">
            <w:pPr>
              <w:rPr>
                <w:sz w:val="2"/>
                <w:szCs w:val="2"/>
              </w:rPr>
            </w:pPr>
          </w:p>
        </w:tc>
        <w:tc>
          <w:tcPr>
            <w:tcW w:w="630" w:type="dxa"/>
            <w:vMerge/>
            <w:tcBorders>
              <w:top w:val="nil"/>
            </w:tcBorders>
            <w:textDirection w:val="btLr"/>
          </w:tcPr>
          <w:p w14:paraId="24D61FBD" w14:textId="77777777" w:rsidR="00245300" w:rsidRPr="00EC20A0" w:rsidRDefault="00245300">
            <w:pPr>
              <w:rPr>
                <w:sz w:val="2"/>
                <w:szCs w:val="2"/>
              </w:rPr>
            </w:pPr>
          </w:p>
        </w:tc>
        <w:tc>
          <w:tcPr>
            <w:tcW w:w="630" w:type="dxa"/>
            <w:vMerge/>
            <w:tcBorders>
              <w:top w:val="nil"/>
            </w:tcBorders>
            <w:textDirection w:val="btLr"/>
          </w:tcPr>
          <w:p w14:paraId="24D61FBE" w14:textId="77777777" w:rsidR="00245300" w:rsidRPr="00EC20A0" w:rsidRDefault="00245300">
            <w:pPr>
              <w:rPr>
                <w:sz w:val="2"/>
                <w:szCs w:val="2"/>
              </w:rPr>
            </w:pPr>
          </w:p>
        </w:tc>
        <w:tc>
          <w:tcPr>
            <w:tcW w:w="1170" w:type="dxa"/>
          </w:tcPr>
          <w:p w14:paraId="24D61FBF" w14:textId="77777777" w:rsidR="00245300" w:rsidRPr="00EC20A0" w:rsidRDefault="00F17249">
            <w:pPr>
              <w:pStyle w:val="TableParagraph"/>
              <w:ind w:left="158" w:right="145" w:hanging="2"/>
              <w:jc w:val="center"/>
              <w:rPr>
                <w:sz w:val="16"/>
              </w:rPr>
            </w:pPr>
            <w:r w:rsidRPr="00EC20A0">
              <w:rPr>
                <w:spacing w:val="-2"/>
                <w:sz w:val="16"/>
              </w:rPr>
              <w:t xml:space="preserve">Amount </w:t>
            </w:r>
            <w:r w:rsidRPr="00EC20A0">
              <w:rPr>
                <w:sz w:val="16"/>
              </w:rPr>
              <w:t>recorded</w:t>
            </w:r>
            <w:r w:rsidRPr="00EC20A0">
              <w:rPr>
                <w:spacing w:val="-12"/>
                <w:sz w:val="16"/>
              </w:rPr>
              <w:t xml:space="preserve"> </w:t>
            </w:r>
            <w:r w:rsidRPr="00EC20A0">
              <w:rPr>
                <w:sz w:val="16"/>
              </w:rPr>
              <w:t xml:space="preserve">on </w:t>
            </w:r>
            <w:r w:rsidRPr="00EC20A0">
              <w:rPr>
                <w:spacing w:val="-2"/>
                <w:sz w:val="16"/>
              </w:rPr>
              <w:t>Balance Sheet</w:t>
            </w:r>
          </w:p>
        </w:tc>
        <w:tc>
          <w:tcPr>
            <w:tcW w:w="1260" w:type="dxa"/>
          </w:tcPr>
          <w:p w14:paraId="24D61FC0" w14:textId="77777777" w:rsidR="00245300" w:rsidRPr="00EC20A0" w:rsidRDefault="00F17249">
            <w:pPr>
              <w:pStyle w:val="TableParagraph"/>
              <w:ind w:left="153" w:right="143"/>
              <w:jc w:val="center"/>
              <w:rPr>
                <w:sz w:val="16"/>
              </w:rPr>
            </w:pPr>
            <w:r w:rsidRPr="00EC20A0">
              <w:rPr>
                <w:spacing w:val="-4"/>
                <w:sz w:val="16"/>
              </w:rPr>
              <w:t xml:space="preserve">Note </w:t>
            </w:r>
            <w:r w:rsidRPr="00EC20A0">
              <w:rPr>
                <w:spacing w:val="-2"/>
                <w:sz w:val="16"/>
              </w:rPr>
              <w:t>disclosure (</w:t>
            </w:r>
            <w:r w:rsidRPr="00EC20A0">
              <w:rPr>
                <w:i/>
                <w:spacing w:val="-2"/>
                <w:sz w:val="16"/>
              </w:rPr>
              <w:t xml:space="preserve">enter financial statement </w:t>
            </w:r>
            <w:r w:rsidRPr="00EC20A0">
              <w:rPr>
                <w:i/>
                <w:sz w:val="16"/>
              </w:rPr>
              <w:t>note</w:t>
            </w:r>
            <w:r w:rsidRPr="00EC20A0">
              <w:rPr>
                <w:i/>
                <w:spacing w:val="-12"/>
                <w:sz w:val="16"/>
              </w:rPr>
              <w:t xml:space="preserve"> </w:t>
            </w:r>
            <w:r w:rsidRPr="00EC20A0">
              <w:rPr>
                <w:i/>
                <w:sz w:val="16"/>
              </w:rPr>
              <w:t>number</w:t>
            </w:r>
            <w:r w:rsidRPr="00EC20A0">
              <w:rPr>
                <w:sz w:val="16"/>
              </w:rPr>
              <w:t>)</w:t>
            </w:r>
          </w:p>
        </w:tc>
        <w:tc>
          <w:tcPr>
            <w:tcW w:w="1890" w:type="dxa"/>
            <w:vMerge/>
            <w:tcBorders>
              <w:top w:val="nil"/>
            </w:tcBorders>
            <w:textDirection w:val="btLr"/>
          </w:tcPr>
          <w:p w14:paraId="24D61FC1" w14:textId="77777777" w:rsidR="00245300" w:rsidRPr="00EC20A0" w:rsidRDefault="00245300">
            <w:pPr>
              <w:rPr>
                <w:sz w:val="2"/>
                <w:szCs w:val="2"/>
              </w:rPr>
            </w:pPr>
          </w:p>
        </w:tc>
        <w:tc>
          <w:tcPr>
            <w:tcW w:w="900" w:type="dxa"/>
            <w:vMerge/>
            <w:tcBorders>
              <w:top w:val="nil"/>
            </w:tcBorders>
            <w:textDirection w:val="btLr"/>
          </w:tcPr>
          <w:p w14:paraId="24D61FC2" w14:textId="77777777" w:rsidR="00245300" w:rsidRPr="00EC20A0" w:rsidRDefault="00245300">
            <w:pPr>
              <w:rPr>
                <w:sz w:val="2"/>
                <w:szCs w:val="2"/>
              </w:rPr>
            </w:pPr>
          </w:p>
        </w:tc>
        <w:tc>
          <w:tcPr>
            <w:tcW w:w="630" w:type="dxa"/>
            <w:vMerge/>
            <w:tcBorders>
              <w:top w:val="nil"/>
            </w:tcBorders>
            <w:textDirection w:val="btLr"/>
          </w:tcPr>
          <w:p w14:paraId="24D61FC3" w14:textId="77777777" w:rsidR="00245300" w:rsidRPr="00EC20A0" w:rsidRDefault="00245300">
            <w:pPr>
              <w:rPr>
                <w:sz w:val="2"/>
                <w:szCs w:val="2"/>
              </w:rPr>
            </w:pPr>
          </w:p>
        </w:tc>
        <w:tc>
          <w:tcPr>
            <w:tcW w:w="1800" w:type="dxa"/>
            <w:vMerge/>
            <w:tcBorders>
              <w:top w:val="nil"/>
            </w:tcBorders>
            <w:textDirection w:val="btLr"/>
          </w:tcPr>
          <w:p w14:paraId="24D61FC4" w14:textId="77777777" w:rsidR="00245300" w:rsidRPr="00EC20A0" w:rsidRDefault="00245300">
            <w:pPr>
              <w:rPr>
                <w:sz w:val="2"/>
                <w:szCs w:val="2"/>
              </w:rPr>
            </w:pPr>
          </w:p>
        </w:tc>
        <w:tc>
          <w:tcPr>
            <w:tcW w:w="540" w:type="dxa"/>
            <w:vMerge/>
            <w:tcBorders>
              <w:top w:val="nil"/>
            </w:tcBorders>
            <w:textDirection w:val="btLr"/>
          </w:tcPr>
          <w:p w14:paraId="24D61FC5" w14:textId="77777777" w:rsidR="00245300" w:rsidRPr="00EC20A0" w:rsidRDefault="00245300">
            <w:pPr>
              <w:rPr>
                <w:sz w:val="2"/>
                <w:szCs w:val="2"/>
              </w:rPr>
            </w:pPr>
          </w:p>
        </w:tc>
        <w:tc>
          <w:tcPr>
            <w:tcW w:w="1440" w:type="dxa"/>
            <w:vMerge/>
            <w:tcBorders>
              <w:top w:val="nil"/>
            </w:tcBorders>
            <w:textDirection w:val="btLr"/>
          </w:tcPr>
          <w:p w14:paraId="24D61FC6" w14:textId="77777777" w:rsidR="00245300" w:rsidRPr="00EC20A0" w:rsidRDefault="00245300">
            <w:pPr>
              <w:rPr>
                <w:sz w:val="2"/>
                <w:szCs w:val="2"/>
              </w:rPr>
            </w:pPr>
          </w:p>
        </w:tc>
        <w:tc>
          <w:tcPr>
            <w:tcW w:w="630" w:type="dxa"/>
            <w:vMerge/>
            <w:tcBorders>
              <w:top w:val="nil"/>
            </w:tcBorders>
            <w:textDirection w:val="btLr"/>
          </w:tcPr>
          <w:p w14:paraId="24D61FC7" w14:textId="77777777" w:rsidR="00245300" w:rsidRPr="00EC20A0" w:rsidRDefault="00245300">
            <w:pPr>
              <w:rPr>
                <w:sz w:val="2"/>
                <w:szCs w:val="2"/>
              </w:rPr>
            </w:pPr>
          </w:p>
        </w:tc>
      </w:tr>
      <w:tr w:rsidR="00245300" w:rsidRPr="00EC20A0" w14:paraId="24D61FCA" w14:textId="77777777">
        <w:trPr>
          <w:trHeight w:val="299"/>
        </w:trPr>
        <w:tc>
          <w:tcPr>
            <w:tcW w:w="21962" w:type="dxa"/>
            <w:gridSpan w:val="24"/>
            <w:shd w:val="clear" w:color="auto" w:fill="D9D9D9"/>
          </w:tcPr>
          <w:p w14:paraId="24D61FC9" w14:textId="77777777" w:rsidR="00245300" w:rsidRPr="00EC20A0" w:rsidRDefault="00F17249">
            <w:pPr>
              <w:pStyle w:val="TableParagraph"/>
              <w:spacing w:line="206" w:lineRule="exact"/>
              <w:ind w:left="115"/>
              <w:rPr>
                <w:b/>
                <w:sz w:val="18"/>
              </w:rPr>
            </w:pPr>
            <w:r w:rsidRPr="00EC20A0">
              <w:rPr>
                <w:b/>
                <w:spacing w:val="-2"/>
                <w:sz w:val="18"/>
              </w:rPr>
              <w:t>Probable</w:t>
            </w:r>
          </w:p>
        </w:tc>
      </w:tr>
      <w:tr w:rsidR="00245300" w:rsidRPr="00EC20A0" w14:paraId="24D61FE3" w14:textId="77777777">
        <w:trPr>
          <w:trHeight w:val="300"/>
        </w:trPr>
        <w:tc>
          <w:tcPr>
            <w:tcW w:w="1075" w:type="dxa"/>
          </w:tcPr>
          <w:p w14:paraId="24D61FCB" w14:textId="77777777" w:rsidR="00245300" w:rsidRPr="00EC20A0" w:rsidRDefault="00F17249">
            <w:pPr>
              <w:pStyle w:val="TableParagraph"/>
              <w:spacing w:before="92" w:line="188" w:lineRule="exact"/>
              <w:ind w:right="102"/>
              <w:jc w:val="right"/>
              <w:rPr>
                <w:sz w:val="18"/>
              </w:rPr>
            </w:pPr>
            <w:r w:rsidRPr="00EC20A0">
              <w:rPr>
                <w:spacing w:val="-10"/>
                <w:sz w:val="18"/>
              </w:rPr>
              <w:t>1</w:t>
            </w:r>
          </w:p>
        </w:tc>
        <w:tc>
          <w:tcPr>
            <w:tcW w:w="637" w:type="dxa"/>
          </w:tcPr>
          <w:p w14:paraId="24D61FCC" w14:textId="77777777" w:rsidR="00245300" w:rsidRPr="00EC20A0" w:rsidRDefault="00245300">
            <w:pPr>
              <w:pStyle w:val="TableParagraph"/>
              <w:rPr>
                <w:sz w:val="16"/>
              </w:rPr>
            </w:pPr>
          </w:p>
        </w:tc>
        <w:tc>
          <w:tcPr>
            <w:tcW w:w="720" w:type="dxa"/>
          </w:tcPr>
          <w:p w14:paraId="24D61FCD" w14:textId="77777777" w:rsidR="00245300" w:rsidRPr="00EC20A0" w:rsidRDefault="00245300">
            <w:pPr>
              <w:pStyle w:val="TableParagraph"/>
              <w:rPr>
                <w:sz w:val="16"/>
              </w:rPr>
            </w:pPr>
          </w:p>
        </w:tc>
        <w:tc>
          <w:tcPr>
            <w:tcW w:w="720" w:type="dxa"/>
          </w:tcPr>
          <w:p w14:paraId="24D61FCE" w14:textId="77777777" w:rsidR="00245300" w:rsidRPr="00EC20A0" w:rsidRDefault="00245300">
            <w:pPr>
              <w:pStyle w:val="TableParagraph"/>
              <w:rPr>
                <w:sz w:val="16"/>
              </w:rPr>
            </w:pPr>
          </w:p>
        </w:tc>
        <w:tc>
          <w:tcPr>
            <w:tcW w:w="720" w:type="dxa"/>
          </w:tcPr>
          <w:p w14:paraId="24D61FCF" w14:textId="77777777" w:rsidR="00245300" w:rsidRPr="00EC20A0" w:rsidRDefault="00245300">
            <w:pPr>
              <w:pStyle w:val="TableParagraph"/>
              <w:rPr>
                <w:sz w:val="16"/>
              </w:rPr>
            </w:pPr>
          </w:p>
        </w:tc>
        <w:tc>
          <w:tcPr>
            <w:tcW w:w="720" w:type="dxa"/>
          </w:tcPr>
          <w:p w14:paraId="24D61FD0" w14:textId="77777777" w:rsidR="00245300" w:rsidRPr="00EC20A0" w:rsidRDefault="00245300">
            <w:pPr>
              <w:pStyle w:val="TableParagraph"/>
              <w:rPr>
                <w:sz w:val="16"/>
              </w:rPr>
            </w:pPr>
          </w:p>
        </w:tc>
        <w:tc>
          <w:tcPr>
            <w:tcW w:w="1080" w:type="dxa"/>
          </w:tcPr>
          <w:p w14:paraId="24D61FD1" w14:textId="77777777" w:rsidR="00245300" w:rsidRPr="00EC20A0" w:rsidRDefault="00245300">
            <w:pPr>
              <w:pStyle w:val="TableParagraph"/>
              <w:rPr>
                <w:sz w:val="16"/>
              </w:rPr>
            </w:pPr>
          </w:p>
        </w:tc>
        <w:tc>
          <w:tcPr>
            <w:tcW w:w="630" w:type="dxa"/>
          </w:tcPr>
          <w:p w14:paraId="24D61FD2" w14:textId="77777777" w:rsidR="00245300" w:rsidRPr="00EC20A0" w:rsidRDefault="00245300">
            <w:pPr>
              <w:pStyle w:val="TableParagraph"/>
              <w:rPr>
                <w:sz w:val="16"/>
              </w:rPr>
            </w:pPr>
          </w:p>
        </w:tc>
        <w:tc>
          <w:tcPr>
            <w:tcW w:w="720" w:type="dxa"/>
          </w:tcPr>
          <w:p w14:paraId="24D61FD3" w14:textId="77777777" w:rsidR="00245300" w:rsidRPr="00EC20A0" w:rsidRDefault="00245300">
            <w:pPr>
              <w:pStyle w:val="TableParagraph"/>
              <w:rPr>
                <w:sz w:val="16"/>
              </w:rPr>
            </w:pPr>
          </w:p>
        </w:tc>
        <w:tc>
          <w:tcPr>
            <w:tcW w:w="900" w:type="dxa"/>
          </w:tcPr>
          <w:p w14:paraId="24D61FD4" w14:textId="77777777" w:rsidR="00245300" w:rsidRPr="00EC20A0" w:rsidRDefault="00245300">
            <w:pPr>
              <w:pStyle w:val="TableParagraph"/>
              <w:rPr>
                <w:sz w:val="16"/>
              </w:rPr>
            </w:pPr>
          </w:p>
        </w:tc>
        <w:tc>
          <w:tcPr>
            <w:tcW w:w="900" w:type="dxa"/>
          </w:tcPr>
          <w:p w14:paraId="24D61FD5" w14:textId="77777777" w:rsidR="00245300" w:rsidRPr="00EC20A0" w:rsidRDefault="00245300">
            <w:pPr>
              <w:pStyle w:val="TableParagraph"/>
              <w:rPr>
                <w:sz w:val="16"/>
              </w:rPr>
            </w:pPr>
          </w:p>
        </w:tc>
        <w:tc>
          <w:tcPr>
            <w:tcW w:w="1080" w:type="dxa"/>
          </w:tcPr>
          <w:p w14:paraId="24D61FD6" w14:textId="77777777" w:rsidR="00245300" w:rsidRPr="00EC20A0" w:rsidRDefault="00245300">
            <w:pPr>
              <w:pStyle w:val="TableParagraph"/>
              <w:rPr>
                <w:sz w:val="16"/>
              </w:rPr>
            </w:pPr>
          </w:p>
        </w:tc>
        <w:tc>
          <w:tcPr>
            <w:tcW w:w="540" w:type="dxa"/>
          </w:tcPr>
          <w:p w14:paraId="24D61FD7" w14:textId="77777777" w:rsidR="00245300" w:rsidRPr="00EC20A0" w:rsidRDefault="00245300">
            <w:pPr>
              <w:pStyle w:val="TableParagraph"/>
              <w:rPr>
                <w:sz w:val="16"/>
              </w:rPr>
            </w:pPr>
          </w:p>
        </w:tc>
        <w:tc>
          <w:tcPr>
            <w:tcW w:w="630" w:type="dxa"/>
          </w:tcPr>
          <w:p w14:paraId="24D61FD8" w14:textId="77777777" w:rsidR="00245300" w:rsidRPr="00EC20A0" w:rsidRDefault="00245300">
            <w:pPr>
              <w:pStyle w:val="TableParagraph"/>
              <w:rPr>
                <w:sz w:val="16"/>
              </w:rPr>
            </w:pPr>
          </w:p>
        </w:tc>
        <w:tc>
          <w:tcPr>
            <w:tcW w:w="630" w:type="dxa"/>
          </w:tcPr>
          <w:p w14:paraId="24D61FD9" w14:textId="77777777" w:rsidR="00245300" w:rsidRPr="00EC20A0" w:rsidRDefault="00245300">
            <w:pPr>
              <w:pStyle w:val="TableParagraph"/>
              <w:rPr>
                <w:sz w:val="16"/>
              </w:rPr>
            </w:pPr>
          </w:p>
        </w:tc>
        <w:tc>
          <w:tcPr>
            <w:tcW w:w="1170" w:type="dxa"/>
          </w:tcPr>
          <w:p w14:paraId="24D61FDA" w14:textId="77777777" w:rsidR="00245300" w:rsidRPr="00EC20A0" w:rsidRDefault="00245300">
            <w:pPr>
              <w:pStyle w:val="TableParagraph"/>
              <w:rPr>
                <w:sz w:val="16"/>
              </w:rPr>
            </w:pPr>
          </w:p>
        </w:tc>
        <w:tc>
          <w:tcPr>
            <w:tcW w:w="1260" w:type="dxa"/>
          </w:tcPr>
          <w:p w14:paraId="24D61FDB" w14:textId="77777777" w:rsidR="00245300" w:rsidRPr="00EC20A0" w:rsidRDefault="00245300">
            <w:pPr>
              <w:pStyle w:val="TableParagraph"/>
              <w:rPr>
                <w:sz w:val="16"/>
              </w:rPr>
            </w:pPr>
          </w:p>
        </w:tc>
        <w:tc>
          <w:tcPr>
            <w:tcW w:w="1890" w:type="dxa"/>
          </w:tcPr>
          <w:p w14:paraId="24D61FDC" w14:textId="77777777" w:rsidR="00245300" w:rsidRPr="00EC20A0" w:rsidRDefault="00245300">
            <w:pPr>
              <w:pStyle w:val="TableParagraph"/>
              <w:rPr>
                <w:sz w:val="16"/>
              </w:rPr>
            </w:pPr>
          </w:p>
        </w:tc>
        <w:tc>
          <w:tcPr>
            <w:tcW w:w="900" w:type="dxa"/>
          </w:tcPr>
          <w:p w14:paraId="24D61FDD" w14:textId="77777777" w:rsidR="00245300" w:rsidRPr="00EC20A0" w:rsidRDefault="00245300">
            <w:pPr>
              <w:pStyle w:val="TableParagraph"/>
              <w:rPr>
                <w:sz w:val="16"/>
              </w:rPr>
            </w:pPr>
          </w:p>
        </w:tc>
        <w:tc>
          <w:tcPr>
            <w:tcW w:w="630" w:type="dxa"/>
          </w:tcPr>
          <w:p w14:paraId="24D61FDE" w14:textId="77777777" w:rsidR="00245300" w:rsidRPr="00EC20A0" w:rsidRDefault="00245300">
            <w:pPr>
              <w:pStyle w:val="TableParagraph"/>
              <w:rPr>
                <w:sz w:val="16"/>
              </w:rPr>
            </w:pPr>
          </w:p>
        </w:tc>
        <w:tc>
          <w:tcPr>
            <w:tcW w:w="1800" w:type="dxa"/>
          </w:tcPr>
          <w:p w14:paraId="24D61FDF" w14:textId="77777777" w:rsidR="00245300" w:rsidRPr="00EC20A0" w:rsidRDefault="00245300">
            <w:pPr>
              <w:pStyle w:val="TableParagraph"/>
              <w:rPr>
                <w:sz w:val="16"/>
              </w:rPr>
            </w:pPr>
          </w:p>
        </w:tc>
        <w:tc>
          <w:tcPr>
            <w:tcW w:w="540" w:type="dxa"/>
          </w:tcPr>
          <w:p w14:paraId="24D61FE0" w14:textId="77777777" w:rsidR="00245300" w:rsidRPr="00EC20A0" w:rsidRDefault="00245300">
            <w:pPr>
              <w:pStyle w:val="TableParagraph"/>
              <w:rPr>
                <w:sz w:val="16"/>
              </w:rPr>
            </w:pPr>
          </w:p>
        </w:tc>
        <w:tc>
          <w:tcPr>
            <w:tcW w:w="1440" w:type="dxa"/>
          </w:tcPr>
          <w:p w14:paraId="24D61FE1" w14:textId="77777777" w:rsidR="00245300" w:rsidRPr="00EC20A0" w:rsidRDefault="00245300">
            <w:pPr>
              <w:pStyle w:val="TableParagraph"/>
              <w:rPr>
                <w:sz w:val="16"/>
              </w:rPr>
            </w:pPr>
          </w:p>
        </w:tc>
        <w:tc>
          <w:tcPr>
            <w:tcW w:w="630" w:type="dxa"/>
          </w:tcPr>
          <w:p w14:paraId="24D61FE2" w14:textId="77777777" w:rsidR="00245300" w:rsidRPr="00EC20A0" w:rsidRDefault="00245300">
            <w:pPr>
              <w:pStyle w:val="TableParagraph"/>
              <w:rPr>
                <w:sz w:val="16"/>
              </w:rPr>
            </w:pPr>
          </w:p>
        </w:tc>
      </w:tr>
      <w:tr w:rsidR="00245300" w:rsidRPr="00EC20A0" w14:paraId="24D61FFC" w14:textId="77777777">
        <w:trPr>
          <w:trHeight w:val="299"/>
        </w:trPr>
        <w:tc>
          <w:tcPr>
            <w:tcW w:w="1075" w:type="dxa"/>
          </w:tcPr>
          <w:p w14:paraId="24D61FE4" w14:textId="77777777" w:rsidR="00245300" w:rsidRPr="00EC20A0" w:rsidRDefault="00F17249">
            <w:pPr>
              <w:pStyle w:val="TableParagraph"/>
              <w:spacing w:before="92" w:line="187" w:lineRule="exact"/>
              <w:ind w:right="102"/>
              <w:jc w:val="right"/>
              <w:rPr>
                <w:sz w:val="18"/>
              </w:rPr>
            </w:pPr>
            <w:r w:rsidRPr="00EC20A0">
              <w:rPr>
                <w:spacing w:val="-10"/>
                <w:sz w:val="18"/>
              </w:rPr>
              <w:t>2</w:t>
            </w:r>
          </w:p>
        </w:tc>
        <w:tc>
          <w:tcPr>
            <w:tcW w:w="637" w:type="dxa"/>
          </w:tcPr>
          <w:p w14:paraId="24D61FE5" w14:textId="77777777" w:rsidR="00245300" w:rsidRPr="00EC20A0" w:rsidRDefault="00245300">
            <w:pPr>
              <w:pStyle w:val="TableParagraph"/>
              <w:rPr>
                <w:sz w:val="16"/>
              </w:rPr>
            </w:pPr>
          </w:p>
        </w:tc>
        <w:tc>
          <w:tcPr>
            <w:tcW w:w="720" w:type="dxa"/>
          </w:tcPr>
          <w:p w14:paraId="24D61FE6" w14:textId="77777777" w:rsidR="00245300" w:rsidRPr="00EC20A0" w:rsidRDefault="00245300">
            <w:pPr>
              <w:pStyle w:val="TableParagraph"/>
              <w:rPr>
                <w:sz w:val="16"/>
              </w:rPr>
            </w:pPr>
          </w:p>
        </w:tc>
        <w:tc>
          <w:tcPr>
            <w:tcW w:w="720" w:type="dxa"/>
          </w:tcPr>
          <w:p w14:paraId="24D61FE7" w14:textId="77777777" w:rsidR="00245300" w:rsidRPr="00EC20A0" w:rsidRDefault="00245300">
            <w:pPr>
              <w:pStyle w:val="TableParagraph"/>
              <w:rPr>
                <w:sz w:val="16"/>
              </w:rPr>
            </w:pPr>
          </w:p>
        </w:tc>
        <w:tc>
          <w:tcPr>
            <w:tcW w:w="720" w:type="dxa"/>
          </w:tcPr>
          <w:p w14:paraId="24D61FE8" w14:textId="77777777" w:rsidR="00245300" w:rsidRPr="00EC20A0" w:rsidRDefault="00245300">
            <w:pPr>
              <w:pStyle w:val="TableParagraph"/>
              <w:rPr>
                <w:sz w:val="16"/>
              </w:rPr>
            </w:pPr>
          </w:p>
        </w:tc>
        <w:tc>
          <w:tcPr>
            <w:tcW w:w="720" w:type="dxa"/>
          </w:tcPr>
          <w:p w14:paraId="24D61FE9" w14:textId="77777777" w:rsidR="00245300" w:rsidRPr="00EC20A0" w:rsidRDefault="00245300">
            <w:pPr>
              <w:pStyle w:val="TableParagraph"/>
              <w:rPr>
                <w:sz w:val="16"/>
              </w:rPr>
            </w:pPr>
          </w:p>
        </w:tc>
        <w:tc>
          <w:tcPr>
            <w:tcW w:w="1080" w:type="dxa"/>
          </w:tcPr>
          <w:p w14:paraId="24D61FEA" w14:textId="77777777" w:rsidR="00245300" w:rsidRPr="00EC20A0" w:rsidRDefault="00245300">
            <w:pPr>
              <w:pStyle w:val="TableParagraph"/>
              <w:rPr>
                <w:sz w:val="16"/>
              </w:rPr>
            </w:pPr>
          </w:p>
        </w:tc>
        <w:tc>
          <w:tcPr>
            <w:tcW w:w="630" w:type="dxa"/>
          </w:tcPr>
          <w:p w14:paraId="24D61FEB" w14:textId="77777777" w:rsidR="00245300" w:rsidRPr="00EC20A0" w:rsidRDefault="00245300">
            <w:pPr>
              <w:pStyle w:val="TableParagraph"/>
              <w:rPr>
                <w:sz w:val="16"/>
              </w:rPr>
            </w:pPr>
          </w:p>
        </w:tc>
        <w:tc>
          <w:tcPr>
            <w:tcW w:w="720" w:type="dxa"/>
          </w:tcPr>
          <w:p w14:paraId="24D61FEC" w14:textId="77777777" w:rsidR="00245300" w:rsidRPr="00EC20A0" w:rsidRDefault="00245300">
            <w:pPr>
              <w:pStyle w:val="TableParagraph"/>
              <w:rPr>
                <w:sz w:val="16"/>
              </w:rPr>
            </w:pPr>
          </w:p>
        </w:tc>
        <w:tc>
          <w:tcPr>
            <w:tcW w:w="900" w:type="dxa"/>
          </w:tcPr>
          <w:p w14:paraId="24D61FED" w14:textId="77777777" w:rsidR="00245300" w:rsidRPr="00EC20A0" w:rsidRDefault="00245300">
            <w:pPr>
              <w:pStyle w:val="TableParagraph"/>
              <w:rPr>
                <w:sz w:val="16"/>
              </w:rPr>
            </w:pPr>
          </w:p>
        </w:tc>
        <w:tc>
          <w:tcPr>
            <w:tcW w:w="900" w:type="dxa"/>
          </w:tcPr>
          <w:p w14:paraId="24D61FEE" w14:textId="77777777" w:rsidR="00245300" w:rsidRPr="00EC20A0" w:rsidRDefault="00245300">
            <w:pPr>
              <w:pStyle w:val="TableParagraph"/>
              <w:rPr>
                <w:sz w:val="16"/>
              </w:rPr>
            </w:pPr>
          </w:p>
        </w:tc>
        <w:tc>
          <w:tcPr>
            <w:tcW w:w="1080" w:type="dxa"/>
          </w:tcPr>
          <w:p w14:paraId="24D61FEF" w14:textId="77777777" w:rsidR="00245300" w:rsidRPr="00EC20A0" w:rsidRDefault="00245300">
            <w:pPr>
              <w:pStyle w:val="TableParagraph"/>
              <w:rPr>
                <w:sz w:val="16"/>
              </w:rPr>
            </w:pPr>
          </w:p>
        </w:tc>
        <w:tc>
          <w:tcPr>
            <w:tcW w:w="540" w:type="dxa"/>
          </w:tcPr>
          <w:p w14:paraId="24D61FF0" w14:textId="77777777" w:rsidR="00245300" w:rsidRPr="00EC20A0" w:rsidRDefault="00245300">
            <w:pPr>
              <w:pStyle w:val="TableParagraph"/>
              <w:rPr>
                <w:sz w:val="16"/>
              </w:rPr>
            </w:pPr>
          </w:p>
        </w:tc>
        <w:tc>
          <w:tcPr>
            <w:tcW w:w="630" w:type="dxa"/>
          </w:tcPr>
          <w:p w14:paraId="24D61FF1" w14:textId="77777777" w:rsidR="00245300" w:rsidRPr="00EC20A0" w:rsidRDefault="00245300">
            <w:pPr>
              <w:pStyle w:val="TableParagraph"/>
              <w:rPr>
                <w:sz w:val="16"/>
              </w:rPr>
            </w:pPr>
          </w:p>
        </w:tc>
        <w:tc>
          <w:tcPr>
            <w:tcW w:w="630" w:type="dxa"/>
          </w:tcPr>
          <w:p w14:paraId="24D61FF2" w14:textId="77777777" w:rsidR="00245300" w:rsidRPr="00EC20A0" w:rsidRDefault="00245300">
            <w:pPr>
              <w:pStyle w:val="TableParagraph"/>
              <w:rPr>
                <w:sz w:val="16"/>
              </w:rPr>
            </w:pPr>
          </w:p>
        </w:tc>
        <w:tc>
          <w:tcPr>
            <w:tcW w:w="1170" w:type="dxa"/>
          </w:tcPr>
          <w:p w14:paraId="24D61FF3" w14:textId="77777777" w:rsidR="00245300" w:rsidRPr="00EC20A0" w:rsidRDefault="00245300">
            <w:pPr>
              <w:pStyle w:val="TableParagraph"/>
              <w:rPr>
                <w:sz w:val="16"/>
              </w:rPr>
            </w:pPr>
          </w:p>
        </w:tc>
        <w:tc>
          <w:tcPr>
            <w:tcW w:w="1260" w:type="dxa"/>
          </w:tcPr>
          <w:p w14:paraId="24D61FF4" w14:textId="77777777" w:rsidR="00245300" w:rsidRPr="00EC20A0" w:rsidRDefault="00245300">
            <w:pPr>
              <w:pStyle w:val="TableParagraph"/>
              <w:rPr>
                <w:sz w:val="16"/>
              </w:rPr>
            </w:pPr>
          </w:p>
        </w:tc>
        <w:tc>
          <w:tcPr>
            <w:tcW w:w="1890" w:type="dxa"/>
          </w:tcPr>
          <w:p w14:paraId="24D61FF5" w14:textId="77777777" w:rsidR="00245300" w:rsidRPr="00EC20A0" w:rsidRDefault="00245300">
            <w:pPr>
              <w:pStyle w:val="TableParagraph"/>
              <w:rPr>
                <w:sz w:val="16"/>
              </w:rPr>
            </w:pPr>
          </w:p>
        </w:tc>
        <w:tc>
          <w:tcPr>
            <w:tcW w:w="900" w:type="dxa"/>
          </w:tcPr>
          <w:p w14:paraId="24D61FF6" w14:textId="77777777" w:rsidR="00245300" w:rsidRPr="00EC20A0" w:rsidRDefault="00245300">
            <w:pPr>
              <w:pStyle w:val="TableParagraph"/>
              <w:rPr>
                <w:sz w:val="16"/>
              </w:rPr>
            </w:pPr>
          </w:p>
        </w:tc>
        <w:tc>
          <w:tcPr>
            <w:tcW w:w="630" w:type="dxa"/>
          </w:tcPr>
          <w:p w14:paraId="24D61FF7" w14:textId="77777777" w:rsidR="00245300" w:rsidRPr="00EC20A0" w:rsidRDefault="00245300">
            <w:pPr>
              <w:pStyle w:val="TableParagraph"/>
              <w:rPr>
                <w:sz w:val="16"/>
              </w:rPr>
            </w:pPr>
          </w:p>
        </w:tc>
        <w:tc>
          <w:tcPr>
            <w:tcW w:w="1800" w:type="dxa"/>
          </w:tcPr>
          <w:p w14:paraId="24D61FF8" w14:textId="77777777" w:rsidR="00245300" w:rsidRPr="00EC20A0" w:rsidRDefault="00245300">
            <w:pPr>
              <w:pStyle w:val="TableParagraph"/>
              <w:rPr>
                <w:sz w:val="16"/>
              </w:rPr>
            </w:pPr>
          </w:p>
        </w:tc>
        <w:tc>
          <w:tcPr>
            <w:tcW w:w="540" w:type="dxa"/>
          </w:tcPr>
          <w:p w14:paraId="24D61FF9" w14:textId="77777777" w:rsidR="00245300" w:rsidRPr="00EC20A0" w:rsidRDefault="00245300">
            <w:pPr>
              <w:pStyle w:val="TableParagraph"/>
              <w:rPr>
                <w:sz w:val="16"/>
              </w:rPr>
            </w:pPr>
          </w:p>
        </w:tc>
        <w:tc>
          <w:tcPr>
            <w:tcW w:w="1440" w:type="dxa"/>
          </w:tcPr>
          <w:p w14:paraId="24D61FFA" w14:textId="77777777" w:rsidR="00245300" w:rsidRPr="00EC20A0" w:rsidRDefault="00245300">
            <w:pPr>
              <w:pStyle w:val="TableParagraph"/>
              <w:rPr>
                <w:sz w:val="16"/>
              </w:rPr>
            </w:pPr>
          </w:p>
        </w:tc>
        <w:tc>
          <w:tcPr>
            <w:tcW w:w="630" w:type="dxa"/>
          </w:tcPr>
          <w:p w14:paraId="24D61FFB" w14:textId="77777777" w:rsidR="00245300" w:rsidRPr="00EC20A0" w:rsidRDefault="00245300">
            <w:pPr>
              <w:pStyle w:val="TableParagraph"/>
              <w:rPr>
                <w:sz w:val="16"/>
              </w:rPr>
            </w:pPr>
          </w:p>
        </w:tc>
      </w:tr>
      <w:tr w:rsidR="00245300" w:rsidRPr="00EC20A0" w14:paraId="24D62015" w14:textId="77777777">
        <w:trPr>
          <w:trHeight w:val="299"/>
        </w:trPr>
        <w:tc>
          <w:tcPr>
            <w:tcW w:w="1075" w:type="dxa"/>
          </w:tcPr>
          <w:p w14:paraId="24D61FFD" w14:textId="77777777" w:rsidR="00245300" w:rsidRPr="00EC20A0" w:rsidRDefault="00F17249">
            <w:pPr>
              <w:pStyle w:val="TableParagraph"/>
              <w:spacing w:before="92" w:line="187" w:lineRule="exact"/>
              <w:ind w:right="102"/>
              <w:jc w:val="right"/>
              <w:rPr>
                <w:sz w:val="18"/>
              </w:rPr>
            </w:pPr>
            <w:r w:rsidRPr="00EC20A0">
              <w:rPr>
                <w:spacing w:val="-10"/>
                <w:sz w:val="18"/>
              </w:rPr>
              <w:t>3</w:t>
            </w:r>
          </w:p>
        </w:tc>
        <w:tc>
          <w:tcPr>
            <w:tcW w:w="637" w:type="dxa"/>
          </w:tcPr>
          <w:p w14:paraId="24D61FFE" w14:textId="77777777" w:rsidR="00245300" w:rsidRPr="00EC20A0" w:rsidRDefault="00245300">
            <w:pPr>
              <w:pStyle w:val="TableParagraph"/>
              <w:rPr>
                <w:sz w:val="16"/>
              </w:rPr>
            </w:pPr>
          </w:p>
        </w:tc>
        <w:tc>
          <w:tcPr>
            <w:tcW w:w="720" w:type="dxa"/>
          </w:tcPr>
          <w:p w14:paraId="24D61FFF" w14:textId="77777777" w:rsidR="00245300" w:rsidRPr="00EC20A0" w:rsidRDefault="00245300">
            <w:pPr>
              <w:pStyle w:val="TableParagraph"/>
              <w:rPr>
                <w:sz w:val="16"/>
              </w:rPr>
            </w:pPr>
          </w:p>
        </w:tc>
        <w:tc>
          <w:tcPr>
            <w:tcW w:w="720" w:type="dxa"/>
          </w:tcPr>
          <w:p w14:paraId="24D62000" w14:textId="77777777" w:rsidR="00245300" w:rsidRPr="00EC20A0" w:rsidRDefault="00245300">
            <w:pPr>
              <w:pStyle w:val="TableParagraph"/>
              <w:rPr>
                <w:sz w:val="16"/>
              </w:rPr>
            </w:pPr>
          </w:p>
        </w:tc>
        <w:tc>
          <w:tcPr>
            <w:tcW w:w="720" w:type="dxa"/>
          </w:tcPr>
          <w:p w14:paraId="24D62001" w14:textId="77777777" w:rsidR="00245300" w:rsidRPr="00EC20A0" w:rsidRDefault="00245300">
            <w:pPr>
              <w:pStyle w:val="TableParagraph"/>
              <w:rPr>
                <w:sz w:val="16"/>
              </w:rPr>
            </w:pPr>
          </w:p>
        </w:tc>
        <w:tc>
          <w:tcPr>
            <w:tcW w:w="720" w:type="dxa"/>
          </w:tcPr>
          <w:p w14:paraId="24D62002" w14:textId="77777777" w:rsidR="00245300" w:rsidRPr="00EC20A0" w:rsidRDefault="00245300">
            <w:pPr>
              <w:pStyle w:val="TableParagraph"/>
              <w:rPr>
                <w:sz w:val="16"/>
              </w:rPr>
            </w:pPr>
          </w:p>
        </w:tc>
        <w:tc>
          <w:tcPr>
            <w:tcW w:w="1080" w:type="dxa"/>
          </w:tcPr>
          <w:p w14:paraId="24D62003" w14:textId="77777777" w:rsidR="00245300" w:rsidRPr="00EC20A0" w:rsidRDefault="00245300">
            <w:pPr>
              <w:pStyle w:val="TableParagraph"/>
              <w:rPr>
                <w:sz w:val="16"/>
              </w:rPr>
            </w:pPr>
          </w:p>
        </w:tc>
        <w:tc>
          <w:tcPr>
            <w:tcW w:w="630" w:type="dxa"/>
          </w:tcPr>
          <w:p w14:paraId="24D62004" w14:textId="77777777" w:rsidR="00245300" w:rsidRPr="00EC20A0" w:rsidRDefault="00245300">
            <w:pPr>
              <w:pStyle w:val="TableParagraph"/>
              <w:rPr>
                <w:sz w:val="16"/>
              </w:rPr>
            </w:pPr>
          </w:p>
        </w:tc>
        <w:tc>
          <w:tcPr>
            <w:tcW w:w="720" w:type="dxa"/>
          </w:tcPr>
          <w:p w14:paraId="24D62005" w14:textId="77777777" w:rsidR="00245300" w:rsidRPr="00EC20A0" w:rsidRDefault="00245300">
            <w:pPr>
              <w:pStyle w:val="TableParagraph"/>
              <w:rPr>
                <w:sz w:val="16"/>
              </w:rPr>
            </w:pPr>
          </w:p>
        </w:tc>
        <w:tc>
          <w:tcPr>
            <w:tcW w:w="900" w:type="dxa"/>
          </w:tcPr>
          <w:p w14:paraId="24D62006" w14:textId="77777777" w:rsidR="00245300" w:rsidRPr="00EC20A0" w:rsidRDefault="00245300">
            <w:pPr>
              <w:pStyle w:val="TableParagraph"/>
              <w:rPr>
                <w:sz w:val="16"/>
              </w:rPr>
            </w:pPr>
          </w:p>
        </w:tc>
        <w:tc>
          <w:tcPr>
            <w:tcW w:w="900" w:type="dxa"/>
          </w:tcPr>
          <w:p w14:paraId="24D62007" w14:textId="77777777" w:rsidR="00245300" w:rsidRPr="00EC20A0" w:rsidRDefault="00245300">
            <w:pPr>
              <w:pStyle w:val="TableParagraph"/>
              <w:rPr>
                <w:sz w:val="16"/>
              </w:rPr>
            </w:pPr>
          </w:p>
        </w:tc>
        <w:tc>
          <w:tcPr>
            <w:tcW w:w="1080" w:type="dxa"/>
          </w:tcPr>
          <w:p w14:paraId="24D62008" w14:textId="77777777" w:rsidR="00245300" w:rsidRPr="00EC20A0" w:rsidRDefault="00245300">
            <w:pPr>
              <w:pStyle w:val="TableParagraph"/>
              <w:rPr>
                <w:sz w:val="16"/>
              </w:rPr>
            </w:pPr>
          </w:p>
        </w:tc>
        <w:tc>
          <w:tcPr>
            <w:tcW w:w="540" w:type="dxa"/>
          </w:tcPr>
          <w:p w14:paraId="24D62009" w14:textId="77777777" w:rsidR="00245300" w:rsidRPr="00EC20A0" w:rsidRDefault="00245300">
            <w:pPr>
              <w:pStyle w:val="TableParagraph"/>
              <w:rPr>
                <w:sz w:val="16"/>
              </w:rPr>
            </w:pPr>
          </w:p>
        </w:tc>
        <w:tc>
          <w:tcPr>
            <w:tcW w:w="630" w:type="dxa"/>
          </w:tcPr>
          <w:p w14:paraId="24D6200A" w14:textId="77777777" w:rsidR="00245300" w:rsidRPr="00EC20A0" w:rsidRDefault="00245300">
            <w:pPr>
              <w:pStyle w:val="TableParagraph"/>
              <w:rPr>
                <w:sz w:val="16"/>
              </w:rPr>
            </w:pPr>
          </w:p>
        </w:tc>
        <w:tc>
          <w:tcPr>
            <w:tcW w:w="630" w:type="dxa"/>
          </w:tcPr>
          <w:p w14:paraId="24D6200B" w14:textId="77777777" w:rsidR="00245300" w:rsidRPr="00EC20A0" w:rsidRDefault="00245300">
            <w:pPr>
              <w:pStyle w:val="TableParagraph"/>
              <w:rPr>
                <w:sz w:val="16"/>
              </w:rPr>
            </w:pPr>
          </w:p>
        </w:tc>
        <w:tc>
          <w:tcPr>
            <w:tcW w:w="1170" w:type="dxa"/>
          </w:tcPr>
          <w:p w14:paraId="24D6200C" w14:textId="77777777" w:rsidR="00245300" w:rsidRPr="00EC20A0" w:rsidRDefault="00245300">
            <w:pPr>
              <w:pStyle w:val="TableParagraph"/>
              <w:rPr>
                <w:sz w:val="16"/>
              </w:rPr>
            </w:pPr>
          </w:p>
        </w:tc>
        <w:tc>
          <w:tcPr>
            <w:tcW w:w="1260" w:type="dxa"/>
          </w:tcPr>
          <w:p w14:paraId="24D6200D" w14:textId="77777777" w:rsidR="00245300" w:rsidRPr="00EC20A0" w:rsidRDefault="00245300">
            <w:pPr>
              <w:pStyle w:val="TableParagraph"/>
              <w:rPr>
                <w:sz w:val="16"/>
              </w:rPr>
            </w:pPr>
          </w:p>
        </w:tc>
        <w:tc>
          <w:tcPr>
            <w:tcW w:w="1890" w:type="dxa"/>
          </w:tcPr>
          <w:p w14:paraId="24D6200E" w14:textId="77777777" w:rsidR="00245300" w:rsidRPr="00EC20A0" w:rsidRDefault="00245300">
            <w:pPr>
              <w:pStyle w:val="TableParagraph"/>
              <w:rPr>
                <w:sz w:val="16"/>
              </w:rPr>
            </w:pPr>
          </w:p>
        </w:tc>
        <w:tc>
          <w:tcPr>
            <w:tcW w:w="900" w:type="dxa"/>
          </w:tcPr>
          <w:p w14:paraId="24D6200F" w14:textId="77777777" w:rsidR="00245300" w:rsidRPr="00EC20A0" w:rsidRDefault="00245300">
            <w:pPr>
              <w:pStyle w:val="TableParagraph"/>
              <w:rPr>
                <w:sz w:val="16"/>
              </w:rPr>
            </w:pPr>
          </w:p>
        </w:tc>
        <w:tc>
          <w:tcPr>
            <w:tcW w:w="630" w:type="dxa"/>
          </w:tcPr>
          <w:p w14:paraId="24D62010" w14:textId="77777777" w:rsidR="00245300" w:rsidRPr="00EC20A0" w:rsidRDefault="00245300">
            <w:pPr>
              <w:pStyle w:val="TableParagraph"/>
              <w:rPr>
                <w:sz w:val="16"/>
              </w:rPr>
            </w:pPr>
          </w:p>
        </w:tc>
        <w:tc>
          <w:tcPr>
            <w:tcW w:w="1800" w:type="dxa"/>
          </w:tcPr>
          <w:p w14:paraId="24D62011" w14:textId="77777777" w:rsidR="00245300" w:rsidRPr="00EC20A0" w:rsidRDefault="00245300">
            <w:pPr>
              <w:pStyle w:val="TableParagraph"/>
              <w:rPr>
                <w:sz w:val="16"/>
              </w:rPr>
            </w:pPr>
          </w:p>
        </w:tc>
        <w:tc>
          <w:tcPr>
            <w:tcW w:w="540" w:type="dxa"/>
          </w:tcPr>
          <w:p w14:paraId="24D62012" w14:textId="77777777" w:rsidR="00245300" w:rsidRPr="00EC20A0" w:rsidRDefault="00245300">
            <w:pPr>
              <w:pStyle w:val="TableParagraph"/>
              <w:rPr>
                <w:sz w:val="16"/>
              </w:rPr>
            </w:pPr>
          </w:p>
        </w:tc>
        <w:tc>
          <w:tcPr>
            <w:tcW w:w="1440" w:type="dxa"/>
          </w:tcPr>
          <w:p w14:paraId="24D62013" w14:textId="77777777" w:rsidR="00245300" w:rsidRPr="00EC20A0" w:rsidRDefault="00245300">
            <w:pPr>
              <w:pStyle w:val="TableParagraph"/>
              <w:rPr>
                <w:sz w:val="16"/>
              </w:rPr>
            </w:pPr>
          </w:p>
        </w:tc>
        <w:tc>
          <w:tcPr>
            <w:tcW w:w="630" w:type="dxa"/>
          </w:tcPr>
          <w:p w14:paraId="24D62014" w14:textId="77777777" w:rsidR="00245300" w:rsidRPr="00EC20A0" w:rsidRDefault="00245300">
            <w:pPr>
              <w:pStyle w:val="TableParagraph"/>
              <w:rPr>
                <w:sz w:val="16"/>
              </w:rPr>
            </w:pPr>
          </w:p>
        </w:tc>
      </w:tr>
      <w:tr w:rsidR="00245300" w:rsidRPr="00EC20A0" w14:paraId="24D6202A" w14:textId="77777777">
        <w:trPr>
          <w:trHeight w:val="300"/>
        </w:trPr>
        <w:tc>
          <w:tcPr>
            <w:tcW w:w="3872" w:type="dxa"/>
            <w:gridSpan w:val="5"/>
          </w:tcPr>
          <w:p w14:paraId="24D62016" w14:textId="77777777" w:rsidR="00245300" w:rsidRPr="00EC20A0" w:rsidRDefault="00F17249">
            <w:pPr>
              <w:pStyle w:val="TableParagraph"/>
              <w:ind w:left="530"/>
              <w:rPr>
                <w:i/>
                <w:sz w:val="18"/>
              </w:rPr>
            </w:pPr>
            <w:r w:rsidRPr="00EC20A0">
              <w:rPr>
                <w:i/>
                <w:sz w:val="18"/>
              </w:rPr>
              <w:t>***insert</w:t>
            </w:r>
            <w:r w:rsidRPr="00EC20A0">
              <w:rPr>
                <w:i/>
                <w:spacing w:val="-3"/>
                <w:sz w:val="18"/>
              </w:rPr>
              <w:t xml:space="preserve"> </w:t>
            </w:r>
            <w:r w:rsidRPr="00EC20A0">
              <w:rPr>
                <w:i/>
                <w:sz w:val="18"/>
              </w:rPr>
              <w:t>rows</w:t>
            </w:r>
            <w:r w:rsidRPr="00EC20A0">
              <w:rPr>
                <w:i/>
                <w:spacing w:val="-3"/>
                <w:sz w:val="18"/>
              </w:rPr>
              <w:t xml:space="preserve"> </w:t>
            </w:r>
            <w:r w:rsidRPr="00EC20A0">
              <w:rPr>
                <w:i/>
                <w:sz w:val="18"/>
              </w:rPr>
              <w:t>here</w:t>
            </w:r>
            <w:r w:rsidRPr="00EC20A0">
              <w:rPr>
                <w:i/>
                <w:spacing w:val="-3"/>
                <w:sz w:val="18"/>
              </w:rPr>
              <w:t xml:space="preserve"> </w:t>
            </w:r>
            <w:r w:rsidRPr="00EC20A0">
              <w:rPr>
                <w:i/>
                <w:sz w:val="18"/>
              </w:rPr>
              <w:t>as</w:t>
            </w:r>
            <w:r w:rsidRPr="00EC20A0">
              <w:rPr>
                <w:i/>
                <w:spacing w:val="-3"/>
                <w:sz w:val="18"/>
              </w:rPr>
              <w:t xml:space="preserve"> </w:t>
            </w:r>
            <w:r w:rsidRPr="00EC20A0">
              <w:rPr>
                <w:i/>
                <w:spacing w:val="-2"/>
                <w:sz w:val="18"/>
              </w:rPr>
              <w:t>necessary***</w:t>
            </w:r>
          </w:p>
        </w:tc>
        <w:tc>
          <w:tcPr>
            <w:tcW w:w="720" w:type="dxa"/>
          </w:tcPr>
          <w:p w14:paraId="24D62017" w14:textId="77777777" w:rsidR="00245300" w:rsidRPr="00EC20A0" w:rsidRDefault="00245300">
            <w:pPr>
              <w:pStyle w:val="TableParagraph"/>
              <w:rPr>
                <w:sz w:val="16"/>
              </w:rPr>
            </w:pPr>
          </w:p>
        </w:tc>
        <w:tc>
          <w:tcPr>
            <w:tcW w:w="1080" w:type="dxa"/>
          </w:tcPr>
          <w:p w14:paraId="24D62018" w14:textId="77777777" w:rsidR="00245300" w:rsidRPr="00EC20A0" w:rsidRDefault="00245300">
            <w:pPr>
              <w:pStyle w:val="TableParagraph"/>
              <w:rPr>
                <w:sz w:val="16"/>
              </w:rPr>
            </w:pPr>
          </w:p>
        </w:tc>
        <w:tc>
          <w:tcPr>
            <w:tcW w:w="630" w:type="dxa"/>
          </w:tcPr>
          <w:p w14:paraId="24D62019" w14:textId="77777777" w:rsidR="00245300" w:rsidRPr="00EC20A0" w:rsidRDefault="00245300">
            <w:pPr>
              <w:pStyle w:val="TableParagraph"/>
              <w:rPr>
                <w:sz w:val="16"/>
              </w:rPr>
            </w:pPr>
          </w:p>
        </w:tc>
        <w:tc>
          <w:tcPr>
            <w:tcW w:w="720" w:type="dxa"/>
          </w:tcPr>
          <w:p w14:paraId="24D6201A" w14:textId="77777777" w:rsidR="00245300" w:rsidRPr="00EC20A0" w:rsidRDefault="00245300">
            <w:pPr>
              <w:pStyle w:val="TableParagraph"/>
              <w:rPr>
                <w:sz w:val="16"/>
              </w:rPr>
            </w:pPr>
          </w:p>
        </w:tc>
        <w:tc>
          <w:tcPr>
            <w:tcW w:w="900" w:type="dxa"/>
          </w:tcPr>
          <w:p w14:paraId="24D6201B" w14:textId="77777777" w:rsidR="00245300" w:rsidRPr="00EC20A0" w:rsidRDefault="00245300">
            <w:pPr>
              <w:pStyle w:val="TableParagraph"/>
              <w:rPr>
                <w:sz w:val="16"/>
              </w:rPr>
            </w:pPr>
          </w:p>
        </w:tc>
        <w:tc>
          <w:tcPr>
            <w:tcW w:w="900" w:type="dxa"/>
          </w:tcPr>
          <w:p w14:paraId="24D6201C" w14:textId="77777777" w:rsidR="00245300" w:rsidRPr="00EC20A0" w:rsidRDefault="00245300">
            <w:pPr>
              <w:pStyle w:val="TableParagraph"/>
              <w:rPr>
                <w:sz w:val="16"/>
              </w:rPr>
            </w:pPr>
          </w:p>
        </w:tc>
        <w:tc>
          <w:tcPr>
            <w:tcW w:w="1080" w:type="dxa"/>
          </w:tcPr>
          <w:p w14:paraId="24D6201D" w14:textId="77777777" w:rsidR="00245300" w:rsidRPr="00EC20A0" w:rsidRDefault="00245300">
            <w:pPr>
              <w:pStyle w:val="TableParagraph"/>
              <w:rPr>
                <w:sz w:val="16"/>
              </w:rPr>
            </w:pPr>
          </w:p>
        </w:tc>
        <w:tc>
          <w:tcPr>
            <w:tcW w:w="540" w:type="dxa"/>
          </w:tcPr>
          <w:p w14:paraId="24D6201E" w14:textId="77777777" w:rsidR="00245300" w:rsidRPr="00EC20A0" w:rsidRDefault="00245300">
            <w:pPr>
              <w:pStyle w:val="TableParagraph"/>
              <w:rPr>
                <w:sz w:val="16"/>
              </w:rPr>
            </w:pPr>
          </w:p>
        </w:tc>
        <w:tc>
          <w:tcPr>
            <w:tcW w:w="630" w:type="dxa"/>
          </w:tcPr>
          <w:p w14:paraId="24D6201F" w14:textId="77777777" w:rsidR="00245300" w:rsidRPr="00EC20A0" w:rsidRDefault="00245300">
            <w:pPr>
              <w:pStyle w:val="TableParagraph"/>
              <w:rPr>
                <w:sz w:val="16"/>
              </w:rPr>
            </w:pPr>
          </w:p>
        </w:tc>
        <w:tc>
          <w:tcPr>
            <w:tcW w:w="630" w:type="dxa"/>
          </w:tcPr>
          <w:p w14:paraId="24D62020" w14:textId="77777777" w:rsidR="00245300" w:rsidRPr="00EC20A0" w:rsidRDefault="00245300">
            <w:pPr>
              <w:pStyle w:val="TableParagraph"/>
              <w:rPr>
                <w:sz w:val="16"/>
              </w:rPr>
            </w:pPr>
          </w:p>
        </w:tc>
        <w:tc>
          <w:tcPr>
            <w:tcW w:w="1170" w:type="dxa"/>
          </w:tcPr>
          <w:p w14:paraId="24D62021" w14:textId="77777777" w:rsidR="00245300" w:rsidRPr="00EC20A0" w:rsidRDefault="00245300">
            <w:pPr>
              <w:pStyle w:val="TableParagraph"/>
              <w:rPr>
                <w:sz w:val="16"/>
              </w:rPr>
            </w:pPr>
          </w:p>
        </w:tc>
        <w:tc>
          <w:tcPr>
            <w:tcW w:w="1260" w:type="dxa"/>
          </w:tcPr>
          <w:p w14:paraId="24D62022" w14:textId="77777777" w:rsidR="00245300" w:rsidRPr="00EC20A0" w:rsidRDefault="00245300">
            <w:pPr>
              <w:pStyle w:val="TableParagraph"/>
              <w:rPr>
                <w:sz w:val="16"/>
              </w:rPr>
            </w:pPr>
          </w:p>
        </w:tc>
        <w:tc>
          <w:tcPr>
            <w:tcW w:w="1890" w:type="dxa"/>
          </w:tcPr>
          <w:p w14:paraId="24D62023" w14:textId="77777777" w:rsidR="00245300" w:rsidRPr="00EC20A0" w:rsidRDefault="00245300">
            <w:pPr>
              <w:pStyle w:val="TableParagraph"/>
              <w:rPr>
                <w:sz w:val="16"/>
              </w:rPr>
            </w:pPr>
          </w:p>
        </w:tc>
        <w:tc>
          <w:tcPr>
            <w:tcW w:w="900" w:type="dxa"/>
          </w:tcPr>
          <w:p w14:paraId="24D62024" w14:textId="77777777" w:rsidR="00245300" w:rsidRPr="00EC20A0" w:rsidRDefault="00245300">
            <w:pPr>
              <w:pStyle w:val="TableParagraph"/>
              <w:rPr>
                <w:sz w:val="16"/>
              </w:rPr>
            </w:pPr>
          </w:p>
        </w:tc>
        <w:tc>
          <w:tcPr>
            <w:tcW w:w="630" w:type="dxa"/>
          </w:tcPr>
          <w:p w14:paraId="24D62025" w14:textId="77777777" w:rsidR="00245300" w:rsidRPr="00EC20A0" w:rsidRDefault="00245300">
            <w:pPr>
              <w:pStyle w:val="TableParagraph"/>
              <w:rPr>
                <w:sz w:val="16"/>
              </w:rPr>
            </w:pPr>
          </w:p>
        </w:tc>
        <w:tc>
          <w:tcPr>
            <w:tcW w:w="1800" w:type="dxa"/>
          </w:tcPr>
          <w:p w14:paraId="24D62026" w14:textId="77777777" w:rsidR="00245300" w:rsidRPr="00EC20A0" w:rsidRDefault="00245300">
            <w:pPr>
              <w:pStyle w:val="TableParagraph"/>
              <w:rPr>
                <w:sz w:val="16"/>
              </w:rPr>
            </w:pPr>
          </w:p>
        </w:tc>
        <w:tc>
          <w:tcPr>
            <w:tcW w:w="540" w:type="dxa"/>
          </w:tcPr>
          <w:p w14:paraId="24D62027" w14:textId="77777777" w:rsidR="00245300" w:rsidRPr="00EC20A0" w:rsidRDefault="00245300">
            <w:pPr>
              <w:pStyle w:val="TableParagraph"/>
              <w:rPr>
                <w:sz w:val="16"/>
              </w:rPr>
            </w:pPr>
          </w:p>
        </w:tc>
        <w:tc>
          <w:tcPr>
            <w:tcW w:w="1440" w:type="dxa"/>
          </w:tcPr>
          <w:p w14:paraId="24D62028" w14:textId="77777777" w:rsidR="00245300" w:rsidRPr="00EC20A0" w:rsidRDefault="00245300">
            <w:pPr>
              <w:pStyle w:val="TableParagraph"/>
              <w:rPr>
                <w:sz w:val="16"/>
              </w:rPr>
            </w:pPr>
          </w:p>
        </w:tc>
        <w:tc>
          <w:tcPr>
            <w:tcW w:w="630" w:type="dxa"/>
          </w:tcPr>
          <w:p w14:paraId="24D62029" w14:textId="77777777" w:rsidR="00245300" w:rsidRPr="00EC20A0" w:rsidRDefault="00245300">
            <w:pPr>
              <w:pStyle w:val="TableParagraph"/>
              <w:rPr>
                <w:sz w:val="16"/>
              </w:rPr>
            </w:pPr>
          </w:p>
        </w:tc>
      </w:tr>
      <w:tr w:rsidR="00245300" w:rsidRPr="00EC20A0" w14:paraId="24D62040" w14:textId="77777777">
        <w:trPr>
          <w:trHeight w:val="413"/>
        </w:trPr>
        <w:tc>
          <w:tcPr>
            <w:tcW w:w="1075" w:type="dxa"/>
            <w:shd w:val="clear" w:color="auto" w:fill="D9E0F1"/>
          </w:tcPr>
          <w:p w14:paraId="24D6202B" w14:textId="77777777" w:rsidR="00245300" w:rsidRPr="00EC20A0" w:rsidRDefault="00F17249">
            <w:pPr>
              <w:pStyle w:val="TableParagraph"/>
              <w:spacing w:line="208" w:lineRule="exact"/>
              <w:ind w:left="115"/>
              <w:rPr>
                <w:sz w:val="18"/>
              </w:rPr>
            </w:pPr>
            <w:r w:rsidRPr="00EC20A0">
              <w:rPr>
                <w:sz w:val="18"/>
              </w:rPr>
              <w:t>Total</w:t>
            </w:r>
            <w:r w:rsidRPr="00EC20A0">
              <w:rPr>
                <w:spacing w:val="-15"/>
                <w:sz w:val="18"/>
              </w:rPr>
              <w:t xml:space="preserve"> </w:t>
            </w:r>
            <w:r w:rsidRPr="00EC20A0">
              <w:rPr>
                <w:sz w:val="18"/>
              </w:rPr>
              <w:t>#</w:t>
            </w:r>
            <w:r w:rsidRPr="00EC20A0">
              <w:rPr>
                <w:spacing w:val="-12"/>
                <w:sz w:val="18"/>
              </w:rPr>
              <w:t xml:space="preserve"> </w:t>
            </w:r>
            <w:r w:rsidRPr="00EC20A0">
              <w:rPr>
                <w:sz w:val="18"/>
              </w:rPr>
              <w:t>of cases</w:t>
            </w:r>
            <w:r w:rsidRPr="00EC20A0">
              <w:rPr>
                <w:spacing w:val="-2"/>
                <w:sz w:val="18"/>
              </w:rPr>
              <w:t xml:space="preserve"> </w:t>
            </w:r>
            <w:r w:rsidRPr="00EC20A0">
              <w:rPr>
                <w:sz w:val="18"/>
              </w:rPr>
              <w:t>-</w:t>
            </w:r>
            <w:r w:rsidRPr="00EC20A0">
              <w:rPr>
                <w:spacing w:val="-2"/>
                <w:sz w:val="18"/>
              </w:rPr>
              <w:t xml:space="preserve"> </w:t>
            </w:r>
            <w:r w:rsidRPr="00EC20A0">
              <w:rPr>
                <w:spacing w:val="-10"/>
                <w:sz w:val="18"/>
              </w:rPr>
              <w:t>3</w:t>
            </w:r>
          </w:p>
        </w:tc>
        <w:tc>
          <w:tcPr>
            <w:tcW w:w="2797" w:type="dxa"/>
            <w:gridSpan w:val="4"/>
            <w:shd w:val="clear" w:color="auto" w:fill="D9E0F1"/>
          </w:tcPr>
          <w:p w14:paraId="24D6202C" w14:textId="77777777" w:rsidR="00245300" w:rsidRPr="00EC20A0" w:rsidRDefault="00F17249">
            <w:pPr>
              <w:pStyle w:val="TableParagraph"/>
              <w:spacing w:before="206" w:line="187" w:lineRule="exact"/>
              <w:ind w:left="1510"/>
              <w:rPr>
                <w:sz w:val="18"/>
              </w:rPr>
            </w:pPr>
            <w:r w:rsidRPr="00EC20A0">
              <w:rPr>
                <w:sz w:val="18"/>
              </w:rPr>
              <w:t>Total</w:t>
            </w:r>
            <w:r w:rsidRPr="00EC20A0">
              <w:rPr>
                <w:spacing w:val="-4"/>
                <w:sz w:val="18"/>
              </w:rPr>
              <w:t xml:space="preserve"> </w:t>
            </w:r>
            <w:r w:rsidRPr="00EC20A0">
              <w:rPr>
                <w:spacing w:val="-2"/>
                <w:sz w:val="18"/>
              </w:rPr>
              <w:t>Probable</w:t>
            </w:r>
          </w:p>
        </w:tc>
        <w:tc>
          <w:tcPr>
            <w:tcW w:w="720" w:type="dxa"/>
          </w:tcPr>
          <w:p w14:paraId="24D6202D" w14:textId="77777777" w:rsidR="00245300" w:rsidRPr="00EC20A0" w:rsidRDefault="00245300">
            <w:pPr>
              <w:pStyle w:val="TableParagraph"/>
              <w:rPr>
                <w:sz w:val="16"/>
              </w:rPr>
            </w:pPr>
          </w:p>
        </w:tc>
        <w:tc>
          <w:tcPr>
            <w:tcW w:w="1080" w:type="dxa"/>
          </w:tcPr>
          <w:p w14:paraId="24D6202E" w14:textId="77777777" w:rsidR="00245300" w:rsidRPr="00EC20A0" w:rsidRDefault="00245300">
            <w:pPr>
              <w:pStyle w:val="TableParagraph"/>
              <w:rPr>
                <w:sz w:val="16"/>
              </w:rPr>
            </w:pPr>
          </w:p>
        </w:tc>
        <w:tc>
          <w:tcPr>
            <w:tcW w:w="630" w:type="dxa"/>
          </w:tcPr>
          <w:p w14:paraId="24D6202F" w14:textId="77777777" w:rsidR="00245300" w:rsidRPr="00EC20A0" w:rsidRDefault="00245300">
            <w:pPr>
              <w:pStyle w:val="TableParagraph"/>
              <w:rPr>
                <w:sz w:val="16"/>
              </w:rPr>
            </w:pPr>
          </w:p>
        </w:tc>
        <w:tc>
          <w:tcPr>
            <w:tcW w:w="720" w:type="dxa"/>
          </w:tcPr>
          <w:p w14:paraId="24D62030" w14:textId="77777777" w:rsidR="00245300" w:rsidRPr="00EC20A0" w:rsidRDefault="00245300">
            <w:pPr>
              <w:pStyle w:val="TableParagraph"/>
              <w:rPr>
                <w:sz w:val="16"/>
              </w:rPr>
            </w:pPr>
          </w:p>
        </w:tc>
        <w:tc>
          <w:tcPr>
            <w:tcW w:w="900" w:type="dxa"/>
          </w:tcPr>
          <w:p w14:paraId="24D62031" w14:textId="77777777" w:rsidR="00245300" w:rsidRPr="00EC20A0" w:rsidRDefault="00245300">
            <w:pPr>
              <w:pStyle w:val="TableParagraph"/>
              <w:rPr>
                <w:sz w:val="16"/>
              </w:rPr>
            </w:pPr>
          </w:p>
        </w:tc>
        <w:tc>
          <w:tcPr>
            <w:tcW w:w="900" w:type="dxa"/>
          </w:tcPr>
          <w:p w14:paraId="24D62032" w14:textId="77777777" w:rsidR="00245300" w:rsidRPr="00EC20A0" w:rsidRDefault="00245300">
            <w:pPr>
              <w:pStyle w:val="TableParagraph"/>
              <w:rPr>
                <w:sz w:val="16"/>
              </w:rPr>
            </w:pPr>
          </w:p>
        </w:tc>
        <w:tc>
          <w:tcPr>
            <w:tcW w:w="1080" w:type="dxa"/>
          </w:tcPr>
          <w:p w14:paraId="24D62033" w14:textId="77777777" w:rsidR="00245300" w:rsidRPr="00EC20A0" w:rsidRDefault="00245300">
            <w:pPr>
              <w:pStyle w:val="TableParagraph"/>
              <w:rPr>
                <w:sz w:val="16"/>
              </w:rPr>
            </w:pPr>
          </w:p>
        </w:tc>
        <w:tc>
          <w:tcPr>
            <w:tcW w:w="540" w:type="dxa"/>
          </w:tcPr>
          <w:p w14:paraId="24D62034" w14:textId="77777777" w:rsidR="00245300" w:rsidRPr="00EC20A0" w:rsidRDefault="00245300">
            <w:pPr>
              <w:pStyle w:val="TableParagraph"/>
              <w:rPr>
                <w:sz w:val="16"/>
              </w:rPr>
            </w:pPr>
          </w:p>
        </w:tc>
        <w:tc>
          <w:tcPr>
            <w:tcW w:w="630" w:type="dxa"/>
          </w:tcPr>
          <w:p w14:paraId="24D62035" w14:textId="77777777" w:rsidR="00245300" w:rsidRPr="00EC20A0" w:rsidRDefault="00245300">
            <w:pPr>
              <w:pStyle w:val="TableParagraph"/>
              <w:rPr>
                <w:sz w:val="16"/>
              </w:rPr>
            </w:pPr>
          </w:p>
        </w:tc>
        <w:tc>
          <w:tcPr>
            <w:tcW w:w="630" w:type="dxa"/>
          </w:tcPr>
          <w:p w14:paraId="24D62036" w14:textId="77777777" w:rsidR="00245300" w:rsidRPr="00EC20A0" w:rsidRDefault="00245300">
            <w:pPr>
              <w:pStyle w:val="TableParagraph"/>
              <w:rPr>
                <w:sz w:val="16"/>
              </w:rPr>
            </w:pPr>
          </w:p>
        </w:tc>
        <w:tc>
          <w:tcPr>
            <w:tcW w:w="1170" w:type="dxa"/>
          </w:tcPr>
          <w:p w14:paraId="24D62037" w14:textId="77777777" w:rsidR="00245300" w:rsidRPr="00EC20A0" w:rsidRDefault="00245300">
            <w:pPr>
              <w:pStyle w:val="TableParagraph"/>
              <w:rPr>
                <w:sz w:val="16"/>
              </w:rPr>
            </w:pPr>
          </w:p>
        </w:tc>
        <w:tc>
          <w:tcPr>
            <w:tcW w:w="1260" w:type="dxa"/>
          </w:tcPr>
          <w:p w14:paraId="24D62038" w14:textId="77777777" w:rsidR="00245300" w:rsidRPr="00EC20A0" w:rsidRDefault="00245300">
            <w:pPr>
              <w:pStyle w:val="TableParagraph"/>
              <w:rPr>
                <w:sz w:val="16"/>
              </w:rPr>
            </w:pPr>
          </w:p>
        </w:tc>
        <w:tc>
          <w:tcPr>
            <w:tcW w:w="1890" w:type="dxa"/>
          </w:tcPr>
          <w:p w14:paraId="24D62039" w14:textId="77777777" w:rsidR="00245300" w:rsidRPr="00EC20A0" w:rsidRDefault="00245300">
            <w:pPr>
              <w:pStyle w:val="TableParagraph"/>
              <w:rPr>
                <w:sz w:val="16"/>
              </w:rPr>
            </w:pPr>
          </w:p>
        </w:tc>
        <w:tc>
          <w:tcPr>
            <w:tcW w:w="900" w:type="dxa"/>
          </w:tcPr>
          <w:p w14:paraId="24D6203A" w14:textId="77777777" w:rsidR="00245300" w:rsidRPr="00EC20A0" w:rsidRDefault="00245300">
            <w:pPr>
              <w:pStyle w:val="TableParagraph"/>
              <w:rPr>
                <w:sz w:val="16"/>
              </w:rPr>
            </w:pPr>
          </w:p>
        </w:tc>
        <w:tc>
          <w:tcPr>
            <w:tcW w:w="630" w:type="dxa"/>
          </w:tcPr>
          <w:p w14:paraId="24D6203B" w14:textId="77777777" w:rsidR="00245300" w:rsidRPr="00EC20A0" w:rsidRDefault="00245300">
            <w:pPr>
              <w:pStyle w:val="TableParagraph"/>
              <w:rPr>
                <w:sz w:val="16"/>
              </w:rPr>
            </w:pPr>
          </w:p>
        </w:tc>
        <w:tc>
          <w:tcPr>
            <w:tcW w:w="1800" w:type="dxa"/>
          </w:tcPr>
          <w:p w14:paraId="24D6203C" w14:textId="77777777" w:rsidR="00245300" w:rsidRPr="00EC20A0" w:rsidRDefault="00245300">
            <w:pPr>
              <w:pStyle w:val="TableParagraph"/>
              <w:rPr>
                <w:sz w:val="16"/>
              </w:rPr>
            </w:pPr>
          </w:p>
        </w:tc>
        <w:tc>
          <w:tcPr>
            <w:tcW w:w="540" w:type="dxa"/>
          </w:tcPr>
          <w:p w14:paraId="24D6203D" w14:textId="77777777" w:rsidR="00245300" w:rsidRPr="00EC20A0" w:rsidRDefault="00245300">
            <w:pPr>
              <w:pStyle w:val="TableParagraph"/>
              <w:rPr>
                <w:sz w:val="16"/>
              </w:rPr>
            </w:pPr>
          </w:p>
        </w:tc>
        <w:tc>
          <w:tcPr>
            <w:tcW w:w="1440" w:type="dxa"/>
          </w:tcPr>
          <w:p w14:paraId="24D6203E" w14:textId="77777777" w:rsidR="00245300" w:rsidRPr="00EC20A0" w:rsidRDefault="00245300">
            <w:pPr>
              <w:pStyle w:val="TableParagraph"/>
              <w:rPr>
                <w:sz w:val="16"/>
              </w:rPr>
            </w:pPr>
          </w:p>
        </w:tc>
        <w:tc>
          <w:tcPr>
            <w:tcW w:w="630" w:type="dxa"/>
          </w:tcPr>
          <w:p w14:paraId="24D6203F" w14:textId="77777777" w:rsidR="00245300" w:rsidRPr="00EC20A0" w:rsidRDefault="00245300">
            <w:pPr>
              <w:pStyle w:val="TableParagraph"/>
              <w:rPr>
                <w:sz w:val="16"/>
              </w:rPr>
            </w:pPr>
          </w:p>
        </w:tc>
      </w:tr>
      <w:tr w:rsidR="00245300" w:rsidRPr="00EC20A0" w14:paraId="24D62042" w14:textId="77777777">
        <w:trPr>
          <w:trHeight w:val="297"/>
        </w:trPr>
        <w:tc>
          <w:tcPr>
            <w:tcW w:w="21962" w:type="dxa"/>
            <w:gridSpan w:val="24"/>
            <w:shd w:val="clear" w:color="auto" w:fill="D9D9D9"/>
          </w:tcPr>
          <w:p w14:paraId="24D62041" w14:textId="77777777" w:rsidR="00245300" w:rsidRPr="00EC20A0" w:rsidRDefault="00F17249">
            <w:pPr>
              <w:pStyle w:val="TableParagraph"/>
              <w:spacing w:line="204" w:lineRule="exact"/>
              <w:ind w:left="115"/>
              <w:rPr>
                <w:b/>
                <w:sz w:val="18"/>
              </w:rPr>
            </w:pPr>
            <w:r w:rsidRPr="00EC20A0">
              <w:rPr>
                <w:b/>
                <w:sz w:val="18"/>
              </w:rPr>
              <w:t>Reasonably</w:t>
            </w:r>
            <w:r w:rsidRPr="00EC20A0">
              <w:rPr>
                <w:b/>
                <w:spacing w:val="-7"/>
                <w:sz w:val="18"/>
              </w:rPr>
              <w:t xml:space="preserve"> </w:t>
            </w:r>
            <w:r w:rsidRPr="00EC20A0">
              <w:rPr>
                <w:b/>
                <w:spacing w:val="-2"/>
                <w:sz w:val="18"/>
              </w:rPr>
              <w:t>Possible</w:t>
            </w:r>
          </w:p>
        </w:tc>
      </w:tr>
      <w:tr w:rsidR="00245300" w:rsidRPr="00EC20A0" w14:paraId="24D6205B" w14:textId="77777777">
        <w:trPr>
          <w:trHeight w:val="300"/>
        </w:trPr>
        <w:tc>
          <w:tcPr>
            <w:tcW w:w="1075" w:type="dxa"/>
          </w:tcPr>
          <w:p w14:paraId="24D62043" w14:textId="77777777" w:rsidR="00245300" w:rsidRPr="00EC20A0" w:rsidRDefault="00F17249">
            <w:pPr>
              <w:pStyle w:val="TableParagraph"/>
              <w:spacing w:before="92" w:line="188" w:lineRule="exact"/>
              <w:ind w:right="102"/>
              <w:jc w:val="right"/>
              <w:rPr>
                <w:sz w:val="18"/>
              </w:rPr>
            </w:pPr>
            <w:r w:rsidRPr="00EC20A0">
              <w:rPr>
                <w:spacing w:val="-10"/>
                <w:sz w:val="18"/>
              </w:rPr>
              <w:t>4</w:t>
            </w:r>
          </w:p>
        </w:tc>
        <w:tc>
          <w:tcPr>
            <w:tcW w:w="637" w:type="dxa"/>
          </w:tcPr>
          <w:p w14:paraId="24D62044" w14:textId="77777777" w:rsidR="00245300" w:rsidRPr="00EC20A0" w:rsidRDefault="00245300">
            <w:pPr>
              <w:pStyle w:val="TableParagraph"/>
              <w:rPr>
                <w:sz w:val="16"/>
              </w:rPr>
            </w:pPr>
          </w:p>
        </w:tc>
        <w:tc>
          <w:tcPr>
            <w:tcW w:w="720" w:type="dxa"/>
          </w:tcPr>
          <w:p w14:paraId="24D62045" w14:textId="77777777" w:rsidR="00245300" w:rsidRPr="00EC20A0" w:rsidRDefault="00245300">
            <w:pPr>
              <w:pStyle w:val="TableParagraph"/>
              <w:rPr>
                <w:sz w:val="16"/>
              </w:rPr>
            </w:pPr>
          </w:p>
        </w:tc>
        <w:tc>
          <w:tcPr>
            <w:tcW w:w="720" w:type="dxa"/>
          </w:tcPr>
          <w:p w14:paraId="24D62046" w14:textId="77777777" w:rsidR="00245300" w:rsidRPr="00EC20A0" w:rsidRDefault="00245300">
            <w:pPr>
              <w:pStyle w:val="TableParagraph"/>
              <w:rPr>
                <w:sz w:val="16"/>
              </w:rPr>
            </w:pPr>
          </w:p>
        </w:tc>
        <w:tc>
          <w:tcPr>
            <w:tcW w:w="720" w:type="dxa"/>
          </w:tcPr>
          <w:p w14:paraId="24D62047" w14:textId="77777777" w:rsidR="00245300" w:rsidRPr="00EC20A0" w:rsidRDefault="00245300">
            <w:pPr>
              <w:pStyle w:val="TableParagraph"/>
              <w:rPr>
                <w:sz w:val="16"/>
              </w:rPr>
            </w:pPr>
          </w:p>
        </w:tc>
        <w:tc>
          <w:tcPr>
            <w:tcW w:w="720" w:type="dxa"/>
          </w:tcPr>
          <w:p w14:paraId="24D62048" w14:textId="77777777" w:rsidR="00245300" w:rsidRPr="00EC20A0" w:rsidRDefault="00245300">
            <w:pPr>
              <w:pStyle w:val="TableParagraph"/>
              <w:rPr>
                <w:sz w:val="16"/>
              </w:rPr>
            </w:pPr>
          </w:p>
        </w:tc>
        <w:tc>
          <w:tcPr>
            <w:tcW w:w="1080" w:type="dxa"/>
          </w:tcPr>
          <w:p w14:paraId="24D62049" w14:textId="77777777" w:rsidR="00245300" w:rsidRPr="00EC20A0" w:rsidRDefault="00245300">
            <w:pPr>
              <w:pStyle w:val="TableParagraph"/>
              <w:rPr>
                <w:sz w:val="16"/>
              </w:rPr>
            </w:pPr>
          </w:p>
        </w:tc>
        <w:tc>
          <w:tcPr>
            <w:tcW w:w="630" w:type="dxa"/>
          </w:tcPr>
          <w:p w14:paraId="24D6204A" w14:textId="77777777" w:rsidR="00245300" w:rsidRPr="00EC20A0" w:rsidRDefault="00245300">
            <w:pPr>
              <w:pStyle w:val="TableParagraph"/>
              <w:rPr>
                <w:sz w:val="16"/>
              </w:rPr>
            </w:pPr>
          </w:p>
        </w:tc>
        <w:tc>
          <w:tcPr>
            <w:tcW w:w="720" w:type="dxa"/>
          </w:tcPr>
          <w:p w14:paraId="24D6204B" w14:textId="77777777" w:rsidR="00245300" w:rsidRPr="00EC20A0" w:rsidRDefault="00245300">
            <w:pPr>
              <w:pStyle w:val="TableParagraph"/>
              <w:rPr>
                <w:sz w:val="16"/>
              </w:rPr>
            </w:pPr>
          </w:p>
        </w:tc>
        <w:tc>
          <w:tcPr>
            <w:tcW w:w="900" w:type="dxa"/>
          </w:tcPr>
          <w:p w14:paraId="24D6204C" w14:textId="77777777" w:rsidR="00245300" w:rsidRPr="00EC20A0" w:rsidRDefault="00245300">
            <w:pPr>
              <w:pStyle w:val="TableParagraph"/>
              <w:rPr>
                <w:sz w:val="16"/>
              </w:rPr>
            </w:pPr>
          </w:p>
        </w:tc>
        <w:tc>
          <w:tcPr>
            <w:tcW w:w="900" w:type="dxa"/>
          </w:tcPr>
          <w:p w14:paraId="24D6204D" w14:textId="77777777" w:rsidR="00245300" w:rsidRPr="00EC20A0" w:rsidRDefault="00245300">
            <w:pPr>
              <w:pStyle w:val="TableParagraph"/>
              <w:rPr>
                <w:sz w:val="16"/>
              </w:rPr>
            </w:pPr>
          </w:p>
        </w:tc>
        <w:tc>
          <w:tcPr>
            <w:tcW w:w="1080" w:type="dxa"/>
          </w:tcPr>
          <w:p w14:paraId="24D6204E" w14:textId="77777777" w:rsidR="00245300" w:rsidRPr="00EC20A0" w:rsidRDefault="00245300">
            <w:pPr>
              <w:pStyle w:val="TableParagraph"/>
              <w:rPr>
                <w:sz w:val="16"/>
              </w:rPr>
            </w:pPr>
          </w:p>
        </w:tc>
        <w:tc>
          <w:tcPr>
            <w:tcW w:w="540" w:type="dxa"/>
          </w:tcPr>
          <w:p w14:paraId="24D6204F" w14:textId="77777777" w:rsidR="00245300" w:rsidRPr="00EC20A0" w:rsidRDefault="00245300">
            <w:pPr>
              <w:pStyle w:val="TableParagraph"/>
              <w:rPr>
                <w:sz w:val="16"/>
              </w:rPr>
            </w:pPr>
          </w:p>
        </w:tc>
        <w:tc>
          <w:tcPr>
            <w:tcW w:w="630" w:type="dxa"/>
          </w:tcPr>
          <w:p w14:paraId="24D62050" w14:textId="77777777" w:rsidR="00245300" w:rsidRPr="00EC20A0" w:rsidRDefault="00245300">
            <w:pPr>
              <w:pStyle w:val="TableParagraph"/>
              <w:rPr>
                <w:sz w:val="16"/>
              </w:rPr>
            </w:pPr>
          </w:p>
        </w:tc>
        <w:tc>
          <w:tcPr>
            <w:tcW w:w="630" w:type="dxa"/>
          </w:tcPr>
          <w:p w14:paraId="24D62051" w14:textId="77777777" w:rsidR="00245300" w:rsidRPr="00EC20A0" w:rsidRDefault="00245300">
            <w:pPr>
              <w:pStyle w:val="TableParagraph"/>
              <w:rPr>
                <w:sz w:val="16"/>
              </w:rPr>
            </w:pPr>
          </w:p>
        </w:tc>
        <w:tc>
          <w:tcPr>
            <w:tcW w:w="1170" w:type="dxa"/>
          </w:tcPr>
          <w:p w14:paraId="24D62052" w14:textId="77777777" w:rsidR="00245300" w:rsidRPr="00EC20A0" w:rsidRDefault="00245300">
            <w:pPr>
              <w:pStyle w:val="TableParagraph"/>
              <w:rPr>
                <w:sz w:val="16"/>
              </w:rPr>
            </w:pPr>
          </w:p>
        </w:tc>
        <w:tc>
          <w:tcPr>
            <w:tcW w:w="1260" w:type="dxa"/>
          </w:tcPr>
          <w:p w14:paraId="24D62053" w14:textId="77777777" w:rsidR="00245300" w:rsidRPr="00EC20A0" w:rsidRDefault="00245300">
            <w:pPr>
              <w:pStyle w:val="TableParagraph"/>
              <w:rPr>
                <w:sz w:val="16"/>
              </w:rPr>
            </w:pPr>
          </w:p>
        </w:tc>
        <w:tc>
          <w:tcPr>
            <w:tcW w:w="1890" w:type="dxa"/>
          </w:tcPr>
          <w:p w14:paraId="24D62054" w14:textId="77777777" w:rsidR="00245300" w:rsidRPr="00EC20A0" w:rsidRDefault="00245300">
            <w:pPr>
              <w:pStyle w:val="TableParagraph"/>
              <w:rPr>
                <w:sz w:val="16"/>
              </w:rPr>
            </w:pPr>
          </w:p>
        </w:tc>
        <w:tc>
          <w:tcPr>
            <w:tcW w:w="900" w:type="dxa"/>
          </w:tcPr>
          <w:p w14:paraId="24D62055" w14:textId="77777777" w:rsidR="00245300" w:rsidRPr="00EC20A0" w:rsidRDefault="00245300">
            <w:pPr>
              <w:pStyle w:val="TableParagraph"/>
              <w:rPr>
                <w:sz w:val="16"/>
              </w:rPr>
            </w:pPr>
          </w:p>
        </w:tc>
        <w:tc>
          <w:tcPr>
            <w:tcW w:w="630" w:type="dxa"/>
          </w:tcPr>
          <w:p w14:paraId="24D62056" w14:textId="77777777" w:rsidR="00245300" w:rsidRPr="00EC20A0" w:rsidRDefault="00245300">
            <w:pPr>
              <w:pStyle w:val="TableParagraph"/>
              <w:rPr>
                <w:sz w:val="16"/>
              </w:rPr>
            </w:pPr>
          </w:p>
        </w:tc>
        <w:tc>
          <w:tcPr>
            <w:tcW w:w="1800" w:type="dxa"/>
          </w:tcPr>
          <w:p w14:paraId="24D62057" w14:textId="77777777" w:rsidR="00245300" w:rsidRPr="00EC20A0" w:rsidRDefault="00245300">
            <w:pPr>
              <w:pStyle w:val="TableParagraph"/>
              <w:rPr>
                <w:sz w:val="16"/>
              </w:rPr>
            </w:pPr>
          </w:p>
        </w:tc>
        <w:tc>
          <w:tcPr>
            <w:tcW w:w="540" w:type="dxa"/>
          </w:tcPr>
          <w:p w14:paraId="24D62058" w14:textId="77777777" w:rsidR="00245300" w:rsidRPr="00EC20A0" w:rsidRDefault="00245300">
            <w:pPr>
              <w:pStyle w:val="TableParagraph"/>
              <w:rPr>
                <w:sz w:val="16"/>
              </w:rPr>
            </w:pPr>
          </w:p>
        </w:tc>
        <w:tc>
          <w:tcPr>
            <w:tcW w:w="1440" w:type="dxa"/>
          </w:tcPr>
          <w:p w14:paraId="24D62059" w14:textId="77777777" w:rsidR="00245300" w:rsidRPr="00EC20A0" w:rsidRDefault="00245300">
            <w:pPr>
              <w:pStyle w:val="TableParagraph"/>
              <w:rPr>
                <w:sz w:val="16"/>
              </w:rPr>
            </w:pPr>
          </w:p>
        </w:tc>
        <w:tc>
          <w:tcPr>
            <w:tcW w:w="630" w:type="dxa"/>
          </w:tcPr>
          <w:p w14:paraId="24D6205A" w14:textId="77777777" w:rsidR="00245300" w:rsidRPr="00EC20A0" w:rsidRDefault="00245300">
            <w:pPr>
              <w:pStyle w:val="TableParagraph"/>
              <w:rPr>
                <w:sz w:val="16"/>
              </w:rPr>
            </w:pPr>
          </w:p>
        </w:tc>
      </w:tr>
      <w:tr w:rsidR="00245300" w:rsidRPr="00EC20A0" w14:paraId="24D62074" w14:textId="77777777">
        <w:trPr>
          <w:trHeight w:val="299"/>
        </w:trPr>
        <w:tc>
          <w:tcPr>
            <w:tcW w:w="1075" w:type="dxa"/>
          </w:tcPr>
          <w:p w14:paraId="24D6205C" w14:textId="77777777" w:rsidR="00245300" w:rsidRPr="00EC20A0" w:rsidRDefault="00F17249">
            <w:pPr>
              <w:pStyle w:val="TableParagraph"/>
              <w:spacing w:before="92" w:line="187" w:lineRule="exact"/>
              <w:ind w:right="102"/>
              <w:jc w:val="right"/>
              <w:rPr>
                <w:sz w:val="18"/>
              </w:rPr>
            </w:pPr>
            <w:r w:rsidRPr="00EC20A0">
              <w:rPr>
                <w:spacing w:val="-10"/>
                <w:sz w:val="18"/>
              </w:rPr>
              <w:t>5</w:t>
            </w:r>
          </w:p>
        </w:tc>
        <w:tc>
          <w:tcPr>
            <w:tcW w:w="637" w:type="dxa"/>
          </w:tcPr>
          <w:p w14:paraId="24D6205D" w14:textId="77777777" w:rsidR="00245300" w:rsidRPr="00EC20A0" w:rsidRDefault="00245300">
            <w:pPr>
              <w:pStyle w:val="TableParagraph"/>
              <w:rPr>
                <w:sz w:val="16"/>
              </w:rPr>
            </w:pPr>
          </w:p>
        </w:tc>
        <w:tc>
          <w:tcPr>
            <w:tcW w:w="720" w:type="dxa"/>
          </w:tcPr>
          <w:p w14:paraId="24D6205E" w14:textId="77777777" w:rsidR="00245300" w:rsidRPr="00EC20A0" w:rsidRDefault="00245300">
            <w:pPr>
              <w:pStyle w:val="TableParagraph"/>
              <w:rPr>
                <w:sz w:val="16"/>
              </w:rPr>
            </w:pPr>
          </w:p>
        </w:tc>
        <w:tc>
          <w:tcPr>
            <w:tcW w:w="720" w:type="dxa"/>
          </w:tcPr>
          <w:p w14:paraId="24D6205F" w14:textId="77777777" w:rsidR="00245300" w:rsidRPr="00EC20A0" w:rsidRDefault="00245300">
            <w:pPr>
              <w:pStyle w:val="TableParagraph"/>
              <w:rPr>
                <w:sz w:val="16"/>
              </w:rPr>
            </w:pPr>
          </w:p>
        </w:tc>
        <w:tc>
          <w:tcPr>
            <w:tcW w:w="720" w:type="dxa"/>
          </w:tcPr>
          <w:p w14:paraId="24D62060" w14:textId="77777777" w:rsidR="00245300" w:rsidRPr="00EC20A0" w:rsidRDefault="00245300">
            <w:pPr>
              <w:pStyle w:val="TableParagraph"/>
              <w:rPr>
                <w:sz w:val="16"/>
              </w:rPr>
            </w:pPr>
          </w:p>
        </w:tc>
        <w:tc>
          <w:tcPr>
            <w:tcW w:w="720" w:type="dxa"/>
          </w:tcPr>
          <w:p w14:paraId="24D62061" w14:textId="77777777" w:rsidR="00245300" w:rsidRPr="00EC20A0" w:rsidRDefault="00245300">
            <w:pPr>
              <w:pStyle w:val="TableParagraph"/>
              <w:rPr>
                <w:sz w:val="16"/>
              </w:rPr>
            </w:pPr>
          </w:p>
        </w:tc>
        <w:tc>
          <w:tcPr>
            <w:tcW w:w="1080" w:type="dxa"/>
          </w:tcPr>
          <w:p w14:paraId="24D62062" w14:textId="77777777" w:rsidR="00245300" w:rsidRPr="00EC20A0" w:rsidRDefault="00245300">
            <w:pPr>
              <w:pStyle w:val="TableParagraph"/>
              <w:rPr>
                <w:sz w:val="16"/>
              </w:rPr>
            </w:pPr>
          </w:p>
        </w:tc>
        <w:tc>
          <w:tcPr>
            <w:tcW w:w="630" w:type="dxa"/>
          </w:tcPr>
          <w:p w14:paraId="24D62063" w14:textId="77777777" w:rsidR="00245300" w:rsidRPr="00EC20A0" w:rsidRDefault="00245300">
            <w:pPr>
              <w:pStyle w:val="TableParagraph"/>
              <w:rPr>
                <w:sz w:val="16"/>
              </w:rPr>
            </w:pPr>
          </w:p>
        </w:tc>
        <w:tc>
          <w:tcPr>
            <w:tcW w:w="720" w:type="dxa"/>
          </w:tcPr>
          <w:p w14:paraId="24D62064" w14:textId="77777777" w:rsidR="00245300" w:rsidRPr="00EC20A0" w:rsidRDefault="00245300">
            <w:pPr>
              <w:pStyle w:val="TableParagraph"/>
              <w:rPr>
                <w:sz w:val="16"/>
              </w:rPr>
            </w:pPr>
          </w:p>
        </w:tc>
        <w:tc>
          <w:tcPr>
            <w:tcW w:w="900" w:type="dxa"/>
          </w:tcPr>
          <w:p w14:paraId="24D62065" w14:textId="77777777" w:rsidR="00245300" w:rsidRPr="00EC20A0" w:rsidRDefault="00245300">
            <w:pPr>
              <w:pStyle w:val="TableParagraph"/>
              <w:rPr>
                <w:sz w:val="16"/>
              </w:rPr>
            </w:pPr>
          </w:p>
        </w:tc>
        <w:tc>
          <w:tcPr>
            <w:tcW w:w="900" w:type="dxa"/>
          </w:tcPr>
          <w:p w14:paraId="24D62066" w14:textId="77777777" w:rsidR="00245300" w:rsidRPr="00EC20A0" w:rsidRDefault="00245300">
            <w:pPr>
              <w:pStyle w:val="TableParagraph"/>
              <w:rPr>
                <w:sz w:val="16"/>
              </w:rPr>
            </w:pPr>
          </w:p>
        </w:tc>
        <w:tc>
          <w:tcPr>
            <w:tcW w:w="1080" w:type="dxa"/>
          </w:tcPr>
          <w:p w14:paraId="24D62067" w14:textId="77777777" w:rsidR="00245300" w:rsidRPr="00EC20A0" w:rsidRDefault="00245300">
            <w:pPr>
              <w:pStyle w:val="TableParagraph"/>
              <w:rPr>
                <w:sz w:val="16"/>
              </w:rPr>
            </w:pPr>
          </w:p>
        </w:tc>
        <w:tc>
          <w:tcPr>
            <w:tcW w:w="540" w:type="dxa"/>
          </w:tcPr>
          <w:p w14:paraId="24D62068" w14:textId="77777777" w:rsidR="00245300" w:rsidRPr="00EC20A0" w:rsidRDefault="00245300">
            <w:pPr>
              <w:pStyle w:val="TableParagraph"/>
              <w:rPr>
                <w:sz w:val="16"/>
              </w:rPr>
            </w:pPr>
          </w:p>
        </w:tc>
        <w:tc>
          <w:tcPr>
            <w:tcW w:w="630" w:type="dxa"/>
          </w:tcPr>
          <w:p w14:paraId="24D62069" w14:textId="77777777" w:rsidR="00245300" w:rsidRPr="00EC20A0" w:rsidRDefault="00245300">
            <w:pPr>
              <w:pStyle w:val="TableParagraph"/>
              <w:rPr>
                <w:sz w:val="16"/>
              </w:rPr>
            </w:pPr>
          </w:p>
        </w:tc>
        <w:tc>
          <w:tcPr>
            <w:tcW w:w="630" w:type="dxa"/>
          </w:tcPr>
          <w:p w14:paraId="24D6206A" w14:textId="77777777" w:rsidR="00245300" w:rsidRPr="00EC20A0" w:rsidRDefault="00245300">
            <w:pPr>
              <w:pStyle w:val="TableParagraph"/>
              <w:rPr>
                <w:sz w:val="16"/>
              </w:rPr>
            </w:pPr>
          </w:p>
        </w:tc>
        <w:tc>
          <w:tcPr>
            <w:tcW w:w="1170" w:type="dxa"/>
          </w:tcPr>
          <w:p w14:paraId="24D6206B" w14:textId="77777777" w:rsidR="00245300" w:rsidRPr="00EC20A0" w:rsidRDefault="00245300">
            <w:pPr>
              <w:pStyle w:val="TableParagraph"/>
              <w:rPr>
                <w:sz w:val="16"/>
              </w:rPr>
            </w:pPr>
          </w:p>
        </w:tc>
        <w:tc>
          <w:tcPr>
            <w:tcW w:w="1260" w:type="dxa"/>
          </w:tcPr>
          <w:p w14:paraId="24D6206C" w14:textId="77777777" w:rsidR="00245300" w:rsidRPr="00EC20A0" w:rsidRDefault="00245300">
            <w:pPr>
              <w:pStyle w:val="TableParagraph"/>
              <w:rPr>
                <w:sz w:val="16"/>
              </w:rPr>
            </w:pPr>
          </w:p>
        </w:tc>
        <w:tc>
          <w:tcPr>
            <w:tcW w:w="1890" w:type="dxa"/>
          </w:tcPr>
          <w:p w14:paraId="24D6206D" w14:textId="77777777" w:rsidR="00245300" w:rsidRPr="00EC20A0" w:rsidRDefault="00245300">
            <w:pPr>
              <w:pStyle w:val="TableParagraph"/>
              <w:rPr>
                <w:sz w:val="16"/>
              </w:rPr>
            </w:pPr>
          </w:p>
        </w:tc>
        <w:tc>
          <w:tcPr>
            <w:tcW w:w="900" w:type="dxa"/>
          </w:tcPr>
          <w:p w14:paraId="24D6206E" w14:textId="77777777" w:rsidR="00245300" w:rsidRPr="00EC20A0" w:rsidRDefault="00245300">
            <w:pPr>
              <w:pStyle w:val="TableParagraph"/>
              <w:rPr>
                <w:sz w:val="16"/>
              </w:rPr>
            </w:pPr>
          </w:p>
        </w:tc>
        <w:tc>
          <w:tcPr>
            <w:tcW w:w="630" w:type="dxa"/>
          </w:tcPr>
          <w:p w14:paraId="24D6206F" w14:textId="77777777" w:rsidR="00245300" w:rsidRPr="00EC20A0" w:rsidRDefault="00245300">
            <w:pPr>
              <w:pStyle w:val="TableParagraph"/>
              <w:rPr>
                <w:sz w:val="16"/>
              </w:rPr>
            </w:pPr>
          </w:p>
        </w:tc>
        <w:tc>
          <w:tcPr>
            <w:tcW w:w="1800" w:type="dxa"/>
          </w:tcPr>
          <w:p w14:paraId="24D62070" w14:textId="77777777" w:rsidR="00245300" w:rsidRPr="00EC20A0" w:rsidRDefault="00245300">
            <w:pPr>
              <w:pStyle w:val="TableParagraph"/>
              <w:rPr>
                <w:sz w:val="16"/>
              </w:rPr>
            </w:pPr>
          </w:p>
        </w:tc>
        <w:tc>
          <w:tcPr>
            <w:tcW w:w="540" w:type="dxa"/>
          </w:tcPr>
          <w:p w14:paraId="24D62071" w14:textId="77777777" w:rsidR="00245300" w:rsidRPr="00EC20A0" w:rsidRDefault="00245300">
            <w:pPr>
              <w:pStyle w:val="TableParagraph"/>
              <w:rPr>
                <w:sz w:val="16"/>
              </w:rPr>
            </w:pPr>
          </w:p>
        </w:tc>
        <w:tc>
          <w:tcPr>
            <w:tcW w:w="1440" w:type="dxa"/>
          </w:tcPr>
          <w:p w14:paraId="24D62072" w14:textId="77777777" w:rsidR="00245300" w:rsidRPr="00EC20A0" w:rsidRDefault="00245300">
            <w:pPr>
              <w:pStyle w:val="TableParagraph"/>
              <w:rPr>
                <w:sz w:val="16"/>
              </w:rPr>
            </w:pPr>
          </w:p>
        </w:tc>
        <w:tc>
          <w:tcPr>
            <w:tcW w:w="630" w:type="dxa"/>
          </w:tcPr>
          <w:p w14:paraId="24D62073" w14:textId="77777777" w:rsidR="00245300" w:rsidRPr="00EC20A0" w:rsidRDefault="00245300">
            <w:pPr>
              <w:pStyle w:val="TableParagraph"/>
              <w:rPr>
                <w:sz w:val="16"/>
              </w:rPr>
            </w:pPr>
          </w:p>
        </w:tc>
      </w:tr>
      <w:tr w:rsidR="00245300" w:rsidRPr="00EC20A0" w14:paraId="24D6208D" w14:textId="77777777">
        <w:trPr>
          <w:trHeight w:val="299"/>
        </w:trPr>
        <w:tc>
          <w:tcPr>
            <w:tcW w:w="1075" w:type="dxa"/>
          </w:tcPr>
          <w:p w14:paraId="24D62075" w14:textId="77777777" w:rsidR="00245300" w:rsidRPr="00EC20A0" w:rsidRDefault="00F17249">
            <w:pPr>
              <w:pStyle w:val="TableParagraph"/>
              <w:spacing w:before="92" w:line="187" w:lineRule="exact"/>
              <w:ind w:right="102"/>
              <w:jc w:val="right"/>
              <w:rPr>
                <w:sz w:val="18"/>
              </w:rPr>
            </w:pPr>
            <w:r w:rsidRPr="00EC20A0">
              <w:rPr>
                <w:spacing w:val="-10"/>
                <w:sz w:val="18"/>
              </w:rPr>
              <w:t>6</w:t>
            </w:r>
          </w:p>
        </w:tc>
        <w:tc>
          <w:tcPr>
            <w:tcW w:w="637" w:type="dxa"/>
          </w:tcPr>
          <w:p w14:paraId="24D62076" w14:textId="77777777" w:rsidR="00245300" w:rsidRPr="00EC20A0" w:rsidRDefault="00245300">
            <w:pPr>
              <w:pStyle w:val="TableParagraph"/>
              <w:rPr>
                <w:sz w:val="16"/>
              </w:rPr>
            </w:pPr>
          </w:p>
        </w:tc>
        <w:tc>
          <w:tcPr>
            <w:tcW w:w="720" w:type="dxa"/>
          </w:tcPr>
          <w:p w14:paraId="24D62077" w14:textId="77777777" w:rsidR="00245300" w:rsidRPr="00EC20A0" w:rsidRDefault="00245300">
            <w:pPr>
              <w:pStyle w:val="TableParagraph"/>
              <w:rPr>
                <w:sz w:val="16"/>
              </w:rPr>
            </w:pPr>
          </w:p>
        </w:tc>
        <w:tc>
          <w:tcPr>
            <w:tcW w:w="720" w:type="dxa"/>
          </w:tcPr>
          <w:p w14:paraId="24D62078" w14:textId="77777777" w:rsidR="00245300" w:rsidRPr="00EC20A0" w:rsidRDefault="00245300">
            <w:pPr>
              <w:pStyle w:val="TableParagraph"/>
              <w:rPr>
                <w:sz w:val="16"/>
              </w:rPr>
            </w:pPr>
          </w:p>
        </w:tc>
        <w:tc>
          <w:tcPr>
            <w:tcW w:w="720" w:type="dxa"/>
          </w:tcPr>
          <w:p w14:paraId="24D62079" w14:textId="77777777" w:rsidR="00245300" w:rsidRPr="00EC20A0" w:rsidRDefault="00245300">
            <w:pPr>
              <w:pStyle w:val="TableParagraph"/>
              <w:rPr>
                <w:sz w:val="16"/>
              </w:rPr>
            </w:pPr>
          </w:p>
        </w:tc>
        <w:tc>
          <w:tcPr>
            <w:tcW w:w="720" w:type="dxa"/>
          </w:tcPr>
          <w:p w14:paraId="24D6207A" w14:textId="77777777" w:rsidR="00245300" w:rsidRPr="00EC20A0" w:rsidRDefault="00245300">
            <w:pPr>
              <w:pStyle w:val="TableParagraph"/>
              <w:rPr>
                <w:sz w:val="16"/>
              </w:rPr>
            </w:pPr>
          </w:p>
        </w:tc>
        <w:tc>
          <w:tcPr>
            <w:tcW w:w="1080" w:type="dxa"/>
          </w:tcPr>
          <w:p w14:paraId="24D6207B" w14:textId="77777777" w:rsidR="00245300" w:rsidRPr="00EC20A0" w:rsidRDefault="00245300">
            <w:pPr>
              <w:pStyle w:val="TableParagraph"/>
              <w:rPr>
                <w:sz w:val="16"/>
              </w:rPr>
            </w:pPr>
          </w:p>
        </w:tc>
        <w:tc>
          <w:tcPr>
            <w:tcW w:w="630" w:type="dxa"/>
          </w:tcPr>
          <w:p w14:paraId="24D6207C" w14:textId="77777777" w:rsidR="00245300" w:rsidRPr="00EC20A0" w:rsidRDefault="00245300">
            <w:pPr>
              <w:pStyle w:val="TableParagraph"/>
              <w:rPr>
                <w:sz w:val="16"/>
              </w:rPr>
            </w:pPr>
          </w:p>
        </w:tc>
        <w:tc>
          <w:tcPr>
            <w:tcW w:w="720" w:type="dxa"/>
          </w:tcPr>
          <w:p w14:paraId="24D6207D" w14:textId="77777777" w:rsidR="00245300" w:rsidRPr="00EC20A0" w:rsidRDefault="00245300">
            <w:pPr>
              <w:pStyle w:val="TableParagraph"/>
              <w:rPr>
                <w:sz w:val="16"/>
              </w:rPr>
            </w:pPr>
          </w:p>
        </w:tc>
        <w:tc>
          <w:tcPr>
            <w:tcW w:w="900" w:type="dxa"/>
          </w:tcPr>
          <w:p w14:paraId="24D6207E" w14:textId="77777777" w:rsidR="00245300" w:rsidRPr="00EC20A0" w:rsidRDefault="00245300">
            <w:pPr>
              <w:pStyle w:val="TableParagraph"/>
              <w:rPr>
                <w:sz w:val="16"/>
              </w:rPr>
            </w:pPr>
          </w:p>
        </w:tc>
        <w:tc>
          <w:tcPr>
            <w:tcW w:w="900" w:type="dxa"/>
          </w:tcPr>
          <w:p w14:paraId="24D6207F" w14:textId="77777777" w:rsidR="00245300" w:rsidRPr="00EC20A0" w:rsidRDefault="00245300">
            <w:pPr>
              <w:pStyle w:val="TableParagraph"/>
              <w:rPr>
                <w:sz w:val="16"/>
              </w:rPr>
            </w:pPr>
          </w:p>
        </w:tc>
        <w:tc>
          <w:tcPr>
            <w:tcW w:w="1080" w:type="dxa"/>
          </w:tcPr>
          <w:p w14:paraId="24D62080" w14:textId="77777777" w:rsidR="00245300" w:rsidRPr="00EC20A0" w:rsidRDefault="00245300">
            <w:pPr>
              <w:pStyle w:val="TableParagraph"/>
              <w:rPr>
                <w:sz w:val="16"/>
              </w:rPr>
            </w:pPr>
          </w:p>
        </w:tc>
        <w:tc>
          <w:tcPr>
            <w:tcW w:w="540" w:type="dxa"/>
          </w:tcPr>
          <w:p w14:paraId="24D62081" w14:textId="77777777" w:rsidR="00245300" w:rsidRPr="00EC20A0" w:rsidRDefault="00245300">
            <w:pPr>
              <w:pStyle w:val="TableParagraph"/>
              <w:rPr>
                <w:sz w:val="16"/>
              </w:rPr>
            </w:pPr>
          </w:p>
        </w:tc>
        <w:tc>
          <w:tcPr>
            <w:tcW w:w="630" w:type="dxa"/>
          </w:tcPr>
          <w:p w14:paraId="24D62082" w14:textId="77777777" w:rsidR="00245300" w:rsidRPr="00EC20A0" w:rsidRDefault="00245300">
            <w:pPr>
              <w:pStyle w:val="TableParagraph"/>
              <w:rPr>
                <w:sz w:val="16"/>
              </w:rPr>
            </w:pPr>
          </w:p>
        </w:tc>
        <w:tc>
          <w:tcPr>
            <w:tcW w:w="630" w:type="dxa"/>
          </w:tcPr>
          <w:p w14:paraId="24D62083" w14:textId="77777777" w:rsidR="00245300" w:rsidRPr="00EC20A0" w:rsidRDefault="00245300">
            <w:pPr>
              <w:pStyle w:val="TableParagraph"/>
              <w:rPr>
                <w:sz w:val="16"/>
              </w:rPr>
            </w:pPr>
          </w:p>
        </w:tc>
        <w:tc>
          <w:tcPr>
            <w:tcW w:w="1170" w:type="dxa"/>
          </w:tcPr>
          <w:p w14:paraId="24D62084" w14:textId="77777777" w:rsidR="00245300" w:rsidRPr="00EC20A0" w:rsidRDefault="00245300">
            <w:pPr>
              <w:pStyle w:val="TableParagraph"/>
              <w:rPr>
                <w:sz w:val="16"/>
              </w:rPr>
            </w:pPr>
          </w:p>
        </w:tc>
        <w:tc>
          <w:tcPr>
            <w:tcW w:w="1260" w:type="dxa"/>
          </w:tcPr>
          <w:p w14:paraId="24D62085" w14:textId="77777777" w:rsidR="00245300" w:rsidRPr="00EC20A0" w:rsidRDefault="00245300">
            <w:pPr>
              <w:pStyle w:val="TableParagraph"/>
              <w:rPr>
                <w:sz w:val="16"/>
              </w:rPr>
            </w:pPr>
          </w:p>
        </w:tc>
        <w:tc>
          <w:tcPr>
            <w:tcW w:w="1890" w:type="dxa"/>
          </w:tcPr>
          <w:p w14:paraId="24D62086" w14:textId="77777777" w:rsidR="00245300" w:rsidRPr="00EC20A0" w:rsidRDefault="00245300">
            <w:pPr>
              <w:pStyle w:val="TableParagraph"/>
              <w:rPr>
                <w:sz w:val="16"/>
              </w:rPr>
            </w:pPr>
          </w:p>
        </w:tc>
        <w:tc>
          <w:tcPr>
            <w:tcW w:w="900" w:type="dxa"/>
          </w:tcPr>
          <w:p w14:paraId="24D62087" w14:textId="77777777" w:rsidR="00245300" w:rsidRPr="00EC20A0" w:rsidRDefault="00245300">
            <w:pPr>
              <w:pStyle w:val="TableParagraph"/>
              <w:rPr>
                <w:sz w:val="16"/>
              </w:rPr>
            </w:pPr>
          </w:p>
        </w:tc>
        <w:tc>
          <w:tcPr>
            <w:tcW w:w="630" w:type="dxa"/>
          </w:tcPr>
          <w:p w14:paraId="24D62088" w14:textId="77777777" w:rsidR="00245300" w:rsidRPr="00EC20A0" w:rsidRDefault="00245300">
            <w:pPr>
              <w:pStyle w:val="TableParagraph"/>
              <w:rPr>
                <w:sz w:val="16"/>
              </w:rPr>
            </w:pPr>
          </w:p>
        </w:tc>
        <w:tc>
          <w:tcPr>
            <w:tcW w:w="1800" w:type="dxa"/>
          </w:tcPr>
          <w:p w14:paraId="24D62089" w14:textId="77777777" w:rsidR="00245300" w:rsidRPr="00EC20A0" w:rsidRDefault="00245300">
            <w:pPr>
              <w:pStyle w:val="TableParagraph"/>
              <w:rPr>
                <w:sz w:val="16"/>
              </w:rPr>
            </w:pPr>
          </w:p>
        </w:tc>
        <w:tc>
          <w:tcPr>
            <w:tcW w:w="540" w:type="dxa"/>
          </w:tcPr>
          <w:p w14:paraId="24D6208A" w14:textId="77777777" w:rsidR="00245300" w:rsidRPr="00EC20A0" w:rsidRDefault="00245300">
            <w:pPr>
              <w:pStyle w:val="TableParagraph"/>
              <w:rPr>
                <w:sz w:val="16"/>
              </w:rPr>
            </w:pPr>
          </w:p>
        </w:tc>
        <w:tc>
          <w:tcPr>
            <w:tcW w:w="1440" w:type="dxa"/>
          </w:tcPr>
          <w:p w14:paraId="24D6208B" w14:textId="77777777" w:rsidR="00245300" w:rsidRPr="00EC20A0" w:rsidRDefault="00245300">
            <w:pPr>
              <w:pStyle w:val="TableParagraph"/>
              <w:rPr>
                <w:sz w:val="16"/>
              </w:rPr>
            </w:pPr>
          </w:p>
        </w:tc>
        <w:tc>
          <w:tcPr>
            <w:tcW w:w="630" w:type="dxa"/>
          </w:tcPr>
          <w:p w14:paraId="24D6208C" w14:textId="77777777" w:rsidR="00245300" w:rsidRPr="00EC20A0" w:rsidRDefault="00245300">
            <w:pPr>
              <w:pStyle w:val="TableParagraph"/>
              <w:rPr>
                <w:sz w:val="16"/>
              </w:rPr>
            </w:pPr>
          </w:p>
        </w:tc>
      </w:tr>
      <w:tr w:rsidR="00245300" w:rsidRPr="00EC20A0" w14:paraId="24D620A2" w14:textId="77777777">
        <w:trPr>
          <w:trHeight w:val="300"/>
        </w:trPr>
        <w:tc>
          <w:tcPr>
            <w:tcW w:w="3872" w:type="dxa"/>
            <w:gridSpan w:val="5"/>
          </w:tcPr>
          <w:p w14:paraId="24D6208E" w14:textId="77777777" w:rsidR="00245300" w:rsidRPr="00EC20A0" w:rsidRDefault="00F17249">
            <w:pPr>
              <w:pStyle w:val="TableParagraph"/>
              <w:ind w:left="530"/>
              <w:rPr>
                <w:i/>
                <w:sz w:val="18"/>
              </w:rPr>
            </w:pPr>
            <w:r w:rsidRPr="00EC20A0">
              <w:rPr>
                <w:i/>
                <w:sz w:val="18"/>
              </w:rPr>
              <w:t>***insert</w:t>
            </w:r>
            <w:r w:rsidRPr="00EC20A0">
              <w:rPr>
                <w:i/>
                <w:spacing w:val="-3"/>
                <w:sz w:val="18"/>
              </w:rPr>
              <w:t xml:space="preserve"> </w:t>
            </w:r>
            <w:r w:rsidRPr="00EC20A0">
              <w:rPr>
                <w:i/>
                <w:sz w:val="18"/>
              </w:rPr>
              <w:t>rows</w:t>
            </w:r>
            <w:r w:rsidRPr="00EC20A0">
              <w:rPr>
                <w:i/>
                <w:spacing w:val="-2"/>
                <w:sz w:val="18"/>
              </w:rPr>
              <w:t xml:space="preserve"> </w:t>
            </w:r>
            <w:r w:rsidRPr="00EC20A0">
              <w:rPr>
                <w:i/>
                <w:sz w:val="18"/>
              </w:rPr>
              <w:t>here</w:t>
            </w:r>
            <w:r w:rsidRPr="00EC20A0">
              <w:rPr>
                <w:i/>
                <w:spacing w:val="-4"/>
                <w:sz w:val="18"/>
              </w:rPr>
              <w:t xml:space="preserve"> </w:t>
            </w:r>
            <w:r w:rsidRPr="00EC20A0">
              <w:rPr>
                <w:i/>
                <w:sz w:val="18"/>
              </w:rPr>
              <w:t>as</w:t>
            </w:r>
            <w:r w:rsidRPr="00EC20A0">
              <w:rPr>
                <w:i/>
                <w:spacing w:val="-2"/>
                <w:sz w:val="18"/>
              </w:rPr>
              <w:t xml:space="preserve"> necessary***</w:t>
            </w:r>
          </w:p>
        </w:tc>
        <w:tc>
          <w:tcPr>
            <w:tcW w:w="720" w:type="dxa"/>
          </w:tcPr>
          <w:p w14:paraId="24D6208F" w14:textId="77777777" w:rsidR="00245300" w:rsidRPr="00EC20A0" w:rsidRDefault="00245300">
            <w:pPr>
              <w:pStyle w:val="TableParagraph"/>
              <w:rPr>
                <w:sz w:val="16"/>
              </w:rPr>
            </w:pPr>
          </w:p>
        </w:tc>
        <w:tc>
          <w:tcPr>
            <w:tcW w:w="1080" w:type="dxa"/>
          </w:tcPr>
          <w:p w14:paraId="24D62090" w14:textId="77777777" w:rsidR="00245300" w:rsidRPr="00EC20A0" w:rsidRDefault="00245300">
            <w:pPr>
              <w:pStyle w:val="TableParagraph"/>
              <w:rPr>
                <w:sz w:val="16"/>
              </w:rPr>
            </w:pPr>
          </w:p>
        </w:tc>
        <w:tc>
          <w:tcPr>
            <w:tcW w:w="630" w:type="dxa"/>
          </w:tcPr>
          <w:p w14:paraId="24D62091" w14:textId="77777777" w:rsidR="00245300" w:rsidRPr="00EC20A0" w:rsidRDefault="00245300">
            <w:pPr>
              <w:pStyle w:val="TableParagraph"/>
              <w:rPr>
                <w:sz w:val="16"/>
              </w:rPr>
            </w:pPr>
          </w:p>
        </w:tc>
        <w:tc>
          <w:tcPr>
            <w:tcW w:w="720" w:type="dxa"/>
          </w:tcPr>
          <w:p w14:paraId="24D62092" w14:textId="77777777" w:rsidR="00245300" w:rsidRPr="00EC20A0" w:rsidRDefault="00245300">
            <w:pPr>
              <w:pStyle w:val="TableParagraph"/>
              <w:rPr>
                <w:sz w:val="16"/>
              </w:rPr>
            </w:pPr>
          </w:p>
        </w:tc>
        <w:tc>
          <w:tcPr>
            <w:tcW w:w="900" w:type="dxa"/>
          </w:tcPr>
          <w:p w14:paraId="24D62093" w14:textId="77777777" w:rsidR="00245300" w:rsidRPr="00EC20A0" w:rsidRDefault="00245300">
            <w:pPr>
              <w:pStyle w:val="TableParagraph"/>
              <w:rPr>
                <w:sz w:val="16"/>
              </w:rPr>
            </w:pPr>
          </w:p>
        </w:tc>
        <w:tc>
          <w:tcPr>
            <w:tcW w:w="900" w:type="dxa"/>
          </w:tcPr>
          <w:p w14:paraId="24D62094" w14:textId="77777777" w:rsidR="00245300" w:rsidRPr="00EC20A0" w:rsidRDefault="00245300">
            <w:pPr>
              <w:pStyle w:val="TableParagraph"/>
              <w:rPr>
                <w:sz w:val="16"/>
              </w:rPr>
            </w:pPr>
          </w:p>
        </w:tc>
        <w:tc>
          <w:tcPr>
            <w:tcW w:w="1080" w:type="dxa"/>
          </w:tcPr>
          <w:p w14:paraId="24D62095" w14:textId="77777777" w:rsidR="00245300" w:rsidRPr="00EC20A0" w:rsidRDefault="00245300">
            <w:pPr>
              <w:pStyle w:val="TableParagraph"/>
              <w:rPr>
                <w:sz w:val="16"/>
              </w:rPr>
            </w:pPr>
          </w:p>
        </w:tc>
        <w:tc>
          <w:tcPr>
            <w:tcW w:w="540" w:type="dxa"/>
          </w:tcPr>
          <w:p w14:paraId="24D62096" w14:textId="77777777" w:rsidR="00245300" w:rsidRPr="00EC20A0" w:rsidRDefault="00245300">
            <w:pPr>
              <w:pStyle w:val="TableParagraph"/>
              <w:rPr>
                <w:sz w:val="16"/>
              </w:rPr>
            </w:pPr>
          </w:p>
        </w:tc>
        <w:tc>
          <w:tcPr>
            <w:tcW w:w="630" w:type="dxa"/>
          </w:tcPr>
          <w:p w14:paraId="24D62097" w14:textId="77777777" w:rsidR="00245300" w:rsidRPr="00EC20A0" w:rsidRDefault="00245300">
            <w:pPr>
              <w:pStyle w:val="TableParagraph"/>
              <w:rPr>
                <w:sz w:val="16"/>
              </w:rPr>
            </w:pPr>
          </w:p>
        </w:tc>
        <w:tc>
          <w:tcPr>
            <w:tcW w:w="630" w:type="dxa"/>
          </w:tcPr>
          <w:p w14:paraId="24D62098" w14:textId="77777777" w:rsidR="00245300" w:rsidRPr="00EC20A0" w:rsidRDefault="00245300">
            <w:pPr>
              <w:pStyle w:val="TableParagraph"/>
              <w:rPr>
                <w:sz w:val="16"/>
              </w:rPr>
            </w:pPr>
          </w:p>
        </w:tc>
        <w:tc>
          <w:tcPr>
            <w:tcW w:w="1170" w:type="dxa"/>
          </w:tcPr>
          <w:p w14:paraId="24D62099" w14:textId="77777777" w:rsidR="00245300" w:rsidRPr="00EC20A0" w:rsidRDefault="00245300">
            <w:pPr>
              <w:pStyle w:val="TableParagraph"/>
              <w:rPr>
                <w:sz w:val="16"/>
              </w:rPr>
            </w:pPr>
          </w:p>
        </w:tc>
        <w:tc>
          <w:tcPr>
            <w:tcW w:w="1260" w:type="dxa"/>
          </w:tcPr>
          <w:p w14:paraId="24D6209A" w14:textId="77777777" w:rsidR="00245300" w:rsidRPr="00EC20A0" w:rsidRDefault="00245300">
            <w:pPr>
              <w:pStyle w:val="TableParagraph"/>
              <w:rPr>
                <w:sz w:val="16"/>
              </w:rPr>
            </w:pPr>
          </w:p>
        </w:tc>
        <w:tc>
          <w:tcPr>
            <w:tcW w:w="1890" w:type="dxa"/>
          </w:tcPr>
          <w:p w14:paraId="24D6209B" w14:textId="77777777" w:rsidR="00245300" w:rsidRPr="00EC20A0" w:rsidRDefault="00245300">
            <w:pPr>
              <w:pStyle w:val="TableParagraph"/>
              <w:rPr>
                <w:sz w:val="16"/>
              </w:rPr>
            </w:pPr>
          </w:p>
        </w:tc>
        <w:tc>
          <w:tcPr>
            <w:tcW w:w="900" w:type="dxa"/>
          </w:tcPr>
          <w:p w14:paraId="24D6209C" w14:textId="77777777" w:rsidR="00245300" w:rsidRPr="00EC20A0" w:rsidRDefault="00245300">
            <w:pPr>
              <w:pStyle w:val="TableParagraph"/>
              <w:rPr>
                <w:sz w:val="16"/>
              </w:rPr>
            </w:pPr>
          </w:p>
        </w:tc>
        <w:tc>
          <w:tcPr>
            <w:tcW w:w="630" w:type="dxa"/>
          </w:tcPr>
          <w:p w14:paraId="24D6209D" w14:textId="77777777" w:rsidR="00245300" w:rsidRPr="00EC20A0" w:rsidRDefault="00245300">
            <w:pPr>
              <w:pStyle w:val="TableParagraph"/>
              <w:rPr>
                <w:sz w:val="16"/>
              </w:rPr>
            </w:pPr>
          </w:p>
        </w:tc>
        <w:tc>
          <w:tcPr>
            <w:tcW w:w="1800" w:type="dxa"/>
          </w:tcPr>
          <w:p w14:paraId="24D6209E" w14:textId="77777777" w:rsidR="00245300" w:rsidRPr="00EC20A0" w:rsidRDefault="00245300">
            <w:pPr>
              <w:pStyle w:val="TableParagraph"/>
              <w:rPr>
                <w:sz w:val="16"/>
              </w:rPr>
            </w:pPr>
          </w:p>
        </w:tc>
        <w:tc>
          <w:tcPr>
            <w:tcW w:w="540" w:type="dxa"/>
          </w:tcPr>
          <w:p w14:paraId="24D6209F" w14:textId="77777777" w:rsidR="00245300" w:rsidRPr="00EC20A0" w:rsidRDefault="00245300">
            <w:pPr>
              <w:pStyle w:val="TableParagraph"/>
              <w:rPr>
                <w:sz w:val="16"/>
              </w:rPr>
            </w:pPr>
          </w:p>
        </w:tc>
        <w:tc>
          <w:tcPr>
            <w:tcW w:w="1440" w:type="dxa"/>
          </w:tcPr>
          <w:p w14:paraId="24D620A0" w14:textId="77777777" w:rsidR="00245300" w:rsidRPr="00EC20A0" w:rsidRDefault="00245300">
            <w:pPr>
              <w:pStyle w:val="TableParagraph"/>
              <w:rPr>
                <w:sz w:val="16"/>
              </w:rPr>
            </w:pPr>
          </w:p>
        </w:tc>
        <w:tc>
          <w:tcPr>
            <w:tcW w:w="630" w:type="dxa"/>
          </w:tcPr>
          <w:p w14:paraId="24D620A1" w14:textId="77777777" w:rsidR="00245300" w:rsidRPr="00EC20A0" w:rsidRDefault="00245300">
            <w:pPr>
              <w:pStyle w:val="TableParagraph"/>
              <w:rPr>
                <w:sz w:val="16"/>
              </w:rPr>
            </w:pPr>
          </w:p>
        </w:tc>
      </w:tr>
      <w:tr w:rsidR="00245300" w:rsidRPr="00EC20A0" w14:paraId="24D620B8" w14:textId="77777777">
        <w:trPr>
          <w:trHeight w:val="413"/>
        </w:trPr>
        <w:tc>
          <w:tcPr>
            <w:tcW w:w="1075" w:type="dxa"/>
            <w:shd w:val="clear" w:color="auto" w:fill="D9E0F1"/>
          </w:tcPr>
          <w:p w14:paraId="24D620A3" w14:textId="77777777" w:rsidR="00245300" w:rsidRPr="00EC20A0" w:rsidRDefault="00F17249">
            <w:pPr>
              <w:pStyle w:val="TableParagraph"/>
              <w:spacing w:line="208" w:lineRule="exact"/>
              <w:ind w:left="115"/>
              <w:rPr>
                <w:sz w:val="18"/>
              </w:rPr>
            </w:pPr>
            <w:r w:rsidRPr="00EC20A0">
              <w:rPr>
                <w:sz w:val="18"/>
              </w:rPr>
              <w:t>Total</w:t>
            </w:r>
            <w:r w:rsidRPr="00EC20A0">
              <w:rPr>
                <w:spacing w:val="-15"/>
                <w:sz w:val="18"/>
              </w:rPr>
              <w:t xml:space="preserve"> </w:t>
            </w:r>
            <w:r w:rsidRPr="00EC20A0">
              <w:rPr>
                <w:sz w:val="18"/>
              </w:rPr>
              <w:t>#</w:t>
            </w:r>
            <w:r w:rsidRPr="00EC20A0">
              <w:rPr>
                <w:spacing w:val="-12"/>
                <w:sz w:val="18"/>
              </w:rPr>
              <w:t xml:space="preserve"> </w:t>
            </w:r>
            <w:r w:rsidRPr="00EC20A0">
              <w:rPr>
                <w:sz w:val="18"/>
              </w:rPr>
              <w:t>of cases</w:t>
            </w:r>
            <w:r w:rsidRPr="00EC20A0">
              <w:rPr>
                <w:spacing w:val="-2"/>
                <w:sz w:val="18"/>
              </w:rPr>
              <w:t xml:space="preserve"> </w:t>
            </w:r>
            <w:r w:rsidRPr="00EC20A0">
              <w:rPr>
                <w:sz w:val="18"/>
              </w:rPr>
              <w:t>-</w:t>
            </w:r>
            <w:r w:rsidRPr="00EC20A0">
              <w:rPr>
                <w:spacing w:val="-2"/>
                <w:sz w:val="18"/>
              </w:rPr>
              <w:t xml:space="preserve"> </w:t>
            </w:r>
            <w:r w:rsidRPr="00EC20A0">
              <w:rPr>
                <w:spacing w:val="-10"/>
                <w:sz w:val="18"/>
              </w:rPr>
              <w:t>3</w:t>
            </w:r>
          </w:p>
        </w:tc>
        <w:tc>
          <w:tcPr>
            <w:tcW w:w="2797" w:type="dxa"/>
            <w:gridSpan w:val="4"/>
            <w:shd w:val="clear" w:color="auto" w:fill="D9E0F1"/>
          </w:tcPr>
          <w:p w14:paraId="24D620A4" w14:textId="77777777" w:rsidR="00245300" w:rsidRPr="00EC20A0" w:rsidRDefault="00F17249">
            <w:pPr>
              <w:pStyle w:val="TableParagraph"/>
              <w:spacing w:before="206" w:line="187" w:lineRule="exact"/>
              <w:ind w:left="550"/>
              <w:rPr>
                <w:sz w:val="18"/>
              </w:rPr>
            </w:pPr>
            <w:r w:rsidRPr="00EC20A0">
              <w:rPr>
                <w:sz w:val="18"/>
              </w:rPr>
              <w:t>Total</w:t>
            </w:r>
            <w:r w:rsidRPr="00EC20A0">
              <w:rPr>
                <w:spacing w:val="-4"/>
                <w:sz w:val="18"/>
              </w:rPr>
              <w:t xml:space="preserve"> </w:t>
            </w:r>
            <w:r w:rsidRPr="00EC20A0">
              <w:rPr>
                <w:sz w:val="18"/>
              </w:rPr>
              <w:t>Reasonably</w:t>
            </w:r>
            <w:r w:rsidRPr="00EC20A0">
              <w:rPr>
                <w:spacing w:val="-3"/>
                <w:sz w:val="18"/>
              </w:rPr>
              <w:t xml:space="preserve"> </w:t>
            </w:r>
            <w:r w:rsidRPr="00EC20A0">
              <w:rPr>
                <w:spacing w:val="-2"/>
                <w:sz w:val="18"/>
              </w:rPr>
              <w:t>Possible</w:t>
            </w:r>
          </w:p>
        </w:tc>
        <w:tc>
          <w:tcPr>
            <w:tcW w:w="720" w:type="dxa"/>
          </w:tcPr>
          <w:p w14:paraId="24D620A5" w14:textId="77777777" w:rsidR="00245300" w:rsidRPr="00EC20A0" w:rsidRDefault="00245300">
            <w:pPr>
              <w:pStyle w:val="TableParagraph"/>
              <w:rPr>
                <w:sz w:val="16"/>
              </w:rPr>
            </w:pPr>
          </w:p>
        </w:tc>
        <w:tc>
          <w:tcPr>
            <w:tcW w:w="1080" w:type="dxa"/>
          </w:tcPr>
          <w:p w14:paraId="24D620A6" w14:textId="77777777" w:rsidR="00245300" w:rsidRPr="00EC20A0" w:rsidRDefault="00245300">
            <w:pPr>
              <w:pStyle w:val="TableParagraph"/>
              <w:rPr>
                <w:sz w:val="16"/>
              </w:rPr>
            </w:pPr>
          </w:p>
        </w:tc>
        <w:tc>
          <w:tcPr>
            <w:tcW w:w="630" w:type="dxa"/>
          </w:tcPr>
          <w:p w14:paraId="24D620A7" w14:textId="77777777" w:rsidR="00245300" w:rsidRPr="00EC20A0" w:rsidRDefault="00245300">
            <w:pPr>
              <w:pStyle w:val="TableParagraph"/>
              <w:rPr>
                <w:sz w:val="16"/>
              </w:rPr>
            </w:pPr>
          </w:p>
        </w:tc>
        <w:tc>
          <w:tcPr>
            <w:tcW w:w="720" w:type="dxa"/>
          </w:tcPr>
          <w:p w14:paraId="24D620A8" w14:textId="77777777" w:rsidR="00245300" w:rsidRPr="00EC20A0" w:rsidRDefault="00245300">
            <w:pPr>
              <w:pStyle w:val="TableParagraph"/>
              <w:rPr>
                <w:sz w:val="16"/>
              </w:rPr>
            </w:pPr>
          </w:p>
        </w:tc>
        <w:tc>
          <w:tcPr>
            <w:tcW w:w="900" w:type="dxa"/>
          </w:tcPr>
          <w:p w14:paraId="24D620A9" w14:textId="77777777" w:rsidR="00245300" w:rsidRPr="00EC20A0" w:rsidRDefault="00245300">
            <w:pPr>
              <w:pStyle w:val="TableParagraph"/>
              <w:rPr>
                <w:sz w:val="16"/>
              </w:rPr>
            </w:pPr>
          </w:p>
        </w:tc>
        <w:tc>
          <w:tcPr>
            <w:tcW w:w="900" w:type="dxa"/>
          </w:tcPr>
          <w:p w14:paraId="24D620AA" w14:textId="77777777" w:rsidR="00245300" w:rsidRPr="00EC20A0" w:rsidRDefault="00245300">
            <w:pPr>
              <w:pStyle w:val="TableParagraph"/>
              <w:rPr>
                <w:sz w:val="16"/>
              </w:rPr>
            </w:pPr>
          </w:p>
        </w:tc>
        <w:tc>
          <w:tcPr>
            <w:tcW w:w="1080" w:type="dxa"/>
          </w:tcPr>
          <w:p w14:paraId="24D620AB" w14:textId="77777777" w:rsidR="00245300" w:rsidRPr="00EC20A0" w:rsidRDefault="00245300">
            <w:pPr>
              <w:pStyle w:val="TableParagraph"/>
              <w:rPr>
                <w:sz w:val="16"/>
              </w:rPr>
            </w:pPr>
          </w:p>
        </w:tc>
        <w:tc>
          <w:tcPr>
            <w:tcW w:w="540" w:type="dxa"/>
          </w:tcPr>
          <w:p w14:paraId="24D620AC" w14:textId="77777777" w:rsidR="00245300" w:rsidRPr="00EC20A0" w:rsidRDefault="00245300">
            <w:pPr>
              <w:pStyle w:val="TableParagraph"/>
              <w:rPr>
                <w:sz w:val="16"/>
              </w:rPr>
            </w:pPr>
          </w:p>
        </w:tc>
        <w:tc>
          <w:tcPr>
            <w:tcW w:w="630" w:type="dxa"/>
          </w:tcPr>
          <w:p w14:paraId="24D620AD" w14:textId="77777777" w:rsidR="00245300" w:rsidRPr="00EC20A0" w:rsidRDefault="00245300">
            <w:pPr>
              <w:pStyle w:val="TableParagraph"/>
              <w:rPr>
                <w:sz w:val="16"/>
              </w:rPr>
            </w:pPr>
          </w:p>
        </w:tc>
        <w:tc>
          <w:tcPr>
            <w:tcW w:w="630" w:type="dxa"/>
          </w:tcPr>
          <w:p w14:paraId="24D620AE" w14:textId="77777777" w:rsidR="00245300" w:rsidRPr="00EC20A0" w:rsidRDefault="00245300">
            <w:pPr>
              <w:pStyle w:val="TableParagraph"/>
              <w:rPr>
                <w:sz w:val="16"/>
              </w:rPr>
            </w:pPr>
          </w:p>
        </w:tc>
        <w:tc>
          <w:tcPr>
            <w:tcW w:w="1170" w:type="dxa"/>
          </w:tcPr>
          <w:p w14:paraId="24D620AF" w14:textId="77777777" w:rsidR="00245300" w:rsidRPr="00EC20A0" w:rsidRDefault="00245300">
            <w:pPr>
              <w:pStyle w:val="TableParagraph"/>
              <w:rPr>
                <w:sz w:val="16"/>
              </w:rPr>
            </w:pPr>
          </w:p>
        </w:tc>
        <w:tc>
          <w:tcPr>
            <w:tcW w:w="1260" w:type="dxa"/>
          </w:tcPr>
          <w:p w14:paraId="24D620B0" w14:textId="77777777" w:rsidR="00245300" w:rsidRPr="00EC20A0" w:rsidRDefault="00245300">
            <w:pPr>
              <w:pStyle w:val="TableParagraph"/>
              <w:rPr>
                <w:sz w:val="16"/>
              </w:rPr>
            </w:pPr>
          </w:p>
        </w:tc>
        <w:tc>
          <w:tcPr>
            <w:tcW w:w="1890" w:type="dxa"/>
          </w:tcPr>
          <w:p w14:paraId="24D620B1" w14:textId="77777777" w:rsidR="00245300" w:rsidRPr="00EC20A0" w:rsidRDefault="00245300">
            <w:pPr>
              <w:pStyle w:val="TableParagraph"/>
              <w:rPr>
                <w:sz w:val="16"/>
              </w:rPr>
            </w:pPr>
          </w:p>
        </w:tc>
        <w:tc>
          <w:tcPr>
            <w:tcW w:w="900" w:type="dxa"/>
          </w:tcPr>
          <w:p w14:paraId="24D620B2" w14:textId="77777777" w:rsidR="00245300" w:rsidRPr="00EC20A0" w:rsidRDefault="00245300">
            <w:pPr>
              <w:pStyle w:val="TableParagraph"/>
              <w:rPr>
                <w:sz w:val="16"/>
              </w:rPr>
            </w:pPr>
          </w:p>
        </w:tc>
        <w:tc>
          <w:tcPr>
            <w:tcW w:w="630" w:type="dxa"/>
          </w:tcPr>
          <w:p w14:paraId="24D620B3" w14:textId="77777777" w:rsidR="00245300" w:rsidRPr="00EC20A0" w:rsidRDefault="00245300">
            <w:pPr>
              <w:pStyle w:val="TableParagraph"/>
              <w:rPr>
                <w:sz w:val="16"/>
              </w:rPr>
            </w:pPr>
          </w:p>
        </w:tc>
        <w:tc>
          <w:tcPr>
            <w:tcW w:w="1800" w:type="dxa"/>
          </w:tcPr>
          <w:p w14:paraId="24D620B4" w14:textId="77777777" w:rsidR="00245300" w:rsidRPr="00EC20A0" w:rsidRDefault="00245300">
            <w:pPr>
              <w:pStyle w:val="TableParagraph"/>
              <w:rPr>
                <w:sz w:val="16"/>
              </w:rPr>
            </w:pPr>
          </w:p>
        </w:tc>
        <w:tc>
          <w:tcPr>
            <w:tcW w:w="540" w:type="dxa"/>
          </w:tcPr>
          <w:p w14:paraId="24D620B5" w14:textId="77777777" w:rsidR="00245300" w:rsidRPr="00EC20A0" w:rsidRDefault="00245300">
            <w:pPr>
              <w:pStyle w:val="TableParagraph"/>
              <w:rPr>
                <w:sz w:val="16"/>
              </w:rPr>
            </w:pPr>
          </w:p>
        </w:tc>
        <w:tc>
          <w:tcPr>
            <w:tcW w:w="1440" w:type="dxa"/>
          </w:tcPr>
          <w:p w14:paraId="24D620B6" w14:textId="77777777" w:rsidR="00245300" w:rsidRPr="00EC20A0" w:rsidRDefault="00245300">
            <w:pPr>
              <w:pStyle w:val="TableParagraph"/>
              <w:rPr>
                <w:sz w:val="16"/>
              </w:rPr>
            </w:pPr>
          </w:p>
        </w:tc>
        <w:tc>
          <w:tcPr>
            <w:tcW w:w="630" w:type="dxa"/>
          </w:tcPr>
          <w:p w14:paraId="24D620B7" w14:textId="77777777" w:rsidR="00245300" w:rsidRPr="00EC20A0" w:rsidRDefault="00245300">
            <w:pPr>
              <w:pStyle w:val="TableParagraph"/>
              <w:rPr>
                <w:sz w:val="16"/>
              </w:rPr>
            </w:pPr>
          </w:p>
        </w:tc>
      </w:tr>
      <w:tr w:rsidR="00245300" w:rsidRPr="00EC20A0" w14:paraId="24D620BA" w14:textId="77777777">
        <w:trPr>
          <w:trHeight w:val="297"/>
        </w:trPr>
        <w:tc>
          <w:tcPr>
            <w:tcW w:w="21962" w:type="dxa"/>
            <w:gridSpan w:val="24"/>
            <w:shd w:val="clear" w:color="auto" w:fill="D9D9D9"/>
          </w:tcPr>
          <w:p w14:paraId="24D620B9" w14:textId="77777777" w:rsidR="00245300" w:rsidRPr="00EC20A0" w:rsidRDefault="00F17249">
            <w:pPr>
              <w:pStyle w:val="TableParagraph"/>
              <w:spacing w:line="204" w:lineRule="exact"/>
              <w:ind w:left="115"/>
              <w:rPr>
                <w:b/>
                <w:sz w:val="18"/>
              </w:rPr>
            </w:pPr>
            <w:r w:rsidRPr="00EC20A0">
              <w:rPr>
                <w:b/>
                <w:spacing w:val="-2"/>
                <w:sz w:val="18"/>
              </w:rPr>
              <w:t>Remote</w:t>
            </w:r>
          </w:p>
        </w:tc>
      </w:tr>
      <w:tr w:rsidR="00245300" w:rsidRPr="00EC20A0" w14:paraId="24D620D3" w14:textId="77777777">
        <w:trPr>
          <w:trHeight w:val="300"/>
        </w:trPr>
        <w:tc>
          <w:tcPr>
            <w:tcW w:w="1075" w:type="dxa"/>
          </w:tcPr>
          <w:p w14:paraId="24D620BB" w14:textId="77777777" w:rsidR="00245300" w:rsidRPr="00EC20A0" w:rsidRDefault="00F17249">
            <w:pPr>
              <w:pStyle w:val="TableParagraph"/>
              <w:spacing w:before="92" w:line="188" w:lineRule="exact"/>
              <w:ind w:right="102"/>
              <w:jc w:val="right"/>
              <w:rPr>
                <w:sz w:val="18"/>
              </w:rPr>
            </w:pPr>
            <w:r w:rsidRPr="00EC20A0">
              <w:rPr>
                <w:spacing w:val="-10"/>
                <w:sz w:val="18"/>
              </w:rPr>
              <w:t>7</w:t>
            </w:r>
          </w:p>
        </w:tc>
        <w:tc>
          <w:tcPr>
            <w:tcW w:w="637" w:type="dxa"/>
          </w:tcPr>
          <w:p w14:paraId="24D620BC" w14:textId="77777777" w:rsidR="00245300" w:rsidRPr="00EC20A0" w:rsidRDefault="00245300">
            <w:pPr>
              <w:pStyle w:val="TableParagraph"/>
              <w:rPr>
                <w:sz w:val="16"/>
              </w:rPr>
            </w:pPr>
          </w:p>
        </w:tc>
        <w:tc>
          <w:tcPr>
            <w:tcW w:w="720" w:type="dxa"/>
          </w:tcPr>
          <w:p w14:paraId="24D620BD" w14:textId="77777777" w:rsidR="00245300" w:rsidRPr="00EC20A0" w:rsidRDefault="00245300">
            <w:pPr>
              <w:pStyle w:val="TableParagraph"/>
              <w:rPr>
                <w:sz w:val="16"/>
              </w:rPr>
            </w:pPr>
          </w:p>
        </w:tc>
        <w:tc>
          <w:tcPr>
            <w:tcW w:w="720" w:type="dxa"/>
          </w:tcPr>
          <w:p w14:paraId="24D620BE" w14:textId="77777777" w:rsidR="00245300" w:rsidRPr="00EC20A0" w:rsidRDefault="00245300">
            <w:pPr>
              <w:pStyle w:val="TableParagraph"/>
              <w:rPr>
                <w:sz w:val="16"/>
              </w:rPr>
            </w:pPr>
          </w:p>
        </w:tc>
        <w:tc>
          <w:tcPr>
            <w:tcW w:w="720" w:type="dxa"/>
          </w:tcPr>
          <w:p w14:paraId="24D620BF" w14:textId="77777777" w:rsidR="00245300" w:rsidRPr="00EC20A0" w:rsidRDefault="00245300">
            <w:pPr>
              <w:pStyle w:val="TableParagraph"/>
              <w:rPr>
                <w:sz w:val="16"/>
              </w:rPr>
            </w:pPr>
          </w:p>
        </w:tc>
        <w:tc>
          <w:tcPr>
            <w:tcW w:w="720" w:type="dxa"/>
          </w:tcPr>
          <w:p w14:paraId="24D620C0" w14:textId="77777777" w:rsidR="00245300" w:rsidRPr="00EC20A0" w:rsidRDefault="00245300">
            <w:pPr>
              <w:pStyle w:val="TableParagraph"/>
              <w:rPr>
                <w:sz w:val="16"/>
              </w:rPr>
            </w:pPr>
          </w:p>
        </w:tc>
        <w:tc>
          <w:tcPr>
            <w:tcW w:w="1080" w:type="dxa"/>
          </w:tcPr>
          <w:p w14:paraId="24D620C1" w14:textId="77777777" w:rsidR="00245300" w:rsidRPr="00EC20A0" w:rsidRDefault="00245300">
            <w:pPr>
              <w:pStyle w:val="TableParagraph"/>
              <w:rPr>
                <w:sz w:val="16"/>
              </w:rPr>
            </w:pPr>
          </w:p>
        </w:tc>
        <w:tc>
          <w:tcPr>
            <w:tcW w:w="630" w:type="dxa"/>
          </w:tcPr>
          <w:p w14:paraId="24D620C2" w14:textId="77777777" w:rsidR="00245300" w:rsidRPr="00EC20A0" w:rsidRDefault="00245300">
            <w:pPr>
              <w:pStyle w:val="TableParagraph"/>
              <w:rPr>
                <w:sz w:val="16"/>
              </w:rPr>
            </w:pPr>
          </w:p>
        </w:tc>
        <w:tc>
          <w:tcPr>
            <w:tcW w:w="720" w:type="dxa"/>
          </w:tcPr>
          <w:p w14:paraId="24D620C3" w14:textId="77777777" w:rsidR="00245300" w:rsidRPr="00EC20A0" w:rsidRDefault="00245300">
            <w:pPr>
              <w:pStyle w:val="TableParagraph"/>
              <w:rPr>
                <w:sz w:val="16"/>
              </w:rPr>
            </w:pPr>
          </w:p>
        </w:tc>
        <w:tc>
          <w:tcPr>
            <w:tcW w:w="900" w:type="dxa"/>
          </w:tcPr>
          <w:p w14:paraId="24D620C4" w14:textId="77777777" w:rsidR="00245300" w:rsidRPr="00EC20A0" w:rsidRDefault="00245300">
            <w:pPr>
              <w:pStyle w:val="TableParagraph"/>
              <w:rPr>
                <w:sz w:val="16"/>
              </w:rPr>
            </w:pPr>
          </w:p>
        </w:tc>
        <w:tc>
          <w:tcPr>
            <w:tcW w:w="900" w:type="dxa"/>
          </w:tcPr>
          <w:p w14:paraId="24D620C5" w14:textId="77777777" w:rsidR="00245300" w:rsidRPr="00EC20A0" w:rsidRDefault="00245300">
            <w:pPr>
              <w:pStyle w:val="TableParagraph"/>
              <w:rPr>
                <w:sz w:val="16"/>
              </w:rPr>
            </w:pPr>
          </w:p>
        </w:tc>
        <w:tc>
          <w:tcPr>
            <w:tcW w:w="1080" w:type="dxa"/>
          </w:tcPr>
          <w:p w14:paraId="24D620C6" w14:textId="77777777" w:rsidR="00245300" w:rsidRPr="00EC20A0" w:rsidRDefault="00245300">
            <w:pPr>
              <w:pStyle w:val="TableParagraph"/>
              <w:rPr>
                <w:sz w:val="16"/>
              </w:rPr>
            </w:pPr>
          </w:p>
        </w:tc>
        <w:tc>
          <w:tcPr>
            <w:tcW w:w="540" w:type="dxa"/>
          </w:tcPr>
          <w:p w14:paraId="24D620C7" w14:textId="77777777" w:rsidR="00245300" w:rsidRPr="00EC20A0" w:rsidRDefault="00245300">
            <w:pPr>
              <w:pStyle w:val="TableParagraph"/>
              <w:rPr>
                <w:sz w:val="16"/>
              </w:rPr>
            </w:pPr>
          </w:p>
        </w:tc>
        <w:tc>
          <w:tcPr>
            <w:tcW w:w="630" w:type="dxa"/>
          </w:tcPr>
          <w:p w14:paraId="24D620C8" w14:textId="77777777" w:rsidR="00245300" w:rsidRPr="00EC20A0" w:rsidRDefault="00245300">
            <w:pPr>
              <w:pStyle w:val="TableParagraph"/>
              <w:rPr>
                <w:sz w:val="16"/>
              </w:rPr>
            </w:pPr>
          </w:p>
        </w:tc>
        <w:tc>
          <w:tcPr>
            <w:tcW w:w="630" w:type="dxa"/>
          </w:tcPr>
          <w:p w14:paraId="24D620C9" w14:textId="77777777" w:rsidR="00245300" w:rsidRPr="00EC20A0" w:rsidRDefault="00245300">
            <w:pPr>
              <w:pStyle w:val="TableParagraph"/>
              <w:rPr>
                <w:sz w:val="16"/>
              </w:rPr>
            </w:pPr>
          </w:p>
        </w:tc>
        <w:tc>
          <w:tcPr>
            <w:tcW w:w="1170" w:type="dxa"/>
          </w:tcPr>
          <w:p w14:paraId="24D620CA" w14:textId="77777777" w:rsidR="00245300" w:rsidRPr="00EC20A0" w:rsidRDefault="00245300">
            <w:pPr>
              <w:pStyle w:val="TableParagraph"/>
              <w:rPr>
                <w:sz w:val="16"/>
              </w:rPr>
            </w:pPr>
          </w:p>
        </w:tc>
        <w:tc>
          <w:tcPr>
            <w:tcW w:w="1260" w:type="dxa"/>
          </w:tcPr>
          <w:p w14:paraId="24D620CB" w14:textId="77777777" w:rsidR="00245300" w:rsidRPr="00EC20A0" w:rsidRDefault="00245300">
            <w:pPr>
              <w:pStyle w:val="TableParagraph"/>
              <w:rPr>
                <w:sz w:val="16"/>
              </w:rPr>
            </w:pPr>
          </w:p>
        </w:tc>
        <w:tc>
          <w:tcPr>
            <w:tcW w:w="1890" w:type="dxa"/>
          </w:tcPr>
          <w:p w14:paraId="24D620CC" w14:textId="77777777" w:rsidR="00245300" w:rsidRPr="00EC20A0" w:rsidRDefault="00245300">
            <w:pPr>
              <w:pStyle w:val="TableParagraph"/>
              <w:rPr>
                <w:sz w:val="16"/>
              </w:rPr>
            </w:pPr>
          </w:p>
        </w:tc>
        <w:tc>
          <w:tcPr>
            <w:tcW w:w="900" w:type="dxa"/>
          </w:tcPr>
          <w:p w14:paraId="24D620CD" w14:textId="77777777" w:rsidR="00245300" w:rsidRPr="00EC20A0" w:rsidRDefault="00245300">
            <w:pPr>
              <w:pStyle w:val="TableParagraph"/>
              <w:rPr>
                <w:sz w:val="16"/>
              </w:rPr>
            </w:pPr>
          </w:p>
        </w:tc>
        <w:tc>
          <w:tcPr>
            <w:tcW w:w="630" w:type="dxa"/>
          </w:tcPr>
          <w:p w14:paraId="24D620CE" w14:textId="77777777" w:rsidR="00245300" w:rsidRPr="00EC20A0" w:rsidRDefault="00245300">
            <w:pPr>
              <w:pStyle w:val="TableParagraph"/>
              <w:rPr>
                <w:sz w:val="16"/>
              </w:rPr>
            </w:pPr>
          </w:p>
        </w:tc>
        <w:tc>
          <w:tcPr>
            <w:tcW w:w="1800" w:type="dxa"/>
          </w:tcPr>
          <w:p w14:paraId="24D620CF" w14:textId="77777777" w:rsidR="00245300" w:rsidRPr="00EC20A0" w:rsidRDefault="00245300">
            <w:pPr>
              <w:pStyle w:val="TableParagraph"/>
              <w:rPr>
                <w:sz w:val="16"/>
              </w:rPr>
            </w:pPr>
          </w:p>
        </w:tc>
        <w:tc>
          <w:tcPr>
            <w:tcW w:w="540" w:type="dxa"/>
          </w:tcPr>
          <w:p w14:paraId="24D620D0" w14:textId="77777777" w:rsidR="00245300" w:rsidRPr="00EC20A0" w:rsidRDefault="00245300">
            <w:pPr>
              <w:pStyle w:val="TableParagraph"/>
              <w:rPr>
                <w:sz w:val="16"/>
              </w:rPr>
            </w:pPr>
          </w:p>
        </w:tc>
        <w:tc>
          <w:tcPr>
            <w:tcW w:w="1440" w:type="dxa"/>
          </w:tcPr>
          <w:p w14:paraId="24D620D1" w14:textId="77777777" w:rsidR="00245300" w:rsidRPr="00EC20A0" w:rsidRDefault="00245300">
            <w:pPr>
              <w:pStyle w:val="TableParagraph"/>
              <w:rPr>
                <w:sz w:val="16"/>
              </w:rPr>
            </w:pPr>
          </w:p>
        </w:tc>
        <w:tc>
          <w:tcPr>
            <w:tcW w:w="630" w:type="dxa"/>
          </w:tcPr>
          <w:p w14:paraId="24D620D2" w14:textId="77777777" w:rsidR="00245300" w:rsidRPr="00EC20A0" w:rsidRDefault="00245300">
            <w:pPr>
              <w:pStyle w:val="TableParagraph"/>
              <w:rPr>
                <w:sz w:val="16"/>
              </w:rPr>
            </w:pPr>
          </w:p>
        </w:tc>
      </w:tr>
      <w:tr w:rsidR="00245300" w:rsidRPr="00EC20A0" w14:paraId="24D620EC" w14:textId="77777777">
        <w:trPr>
          <w:trHeight w:val="299"/>
        </w:trPr>
        <w:tc>
          <w:tcPr>
            <w:tcW w:w="1075" w:type="dxa"/>
          </w:tcPr>
          <w:p w14:paraId="24D620D4" w14:textId="77777777" w:rsidR="00245300" w:rsidRPr="00EC20A0" w:rsidRDefault="00F17249">
            <w:pPr>
              <w:pStyle w:val="TableParagraph"/>
              <w:spacing w:before="92" w:line="187" w:lineRule="exact"/>
              <w:ind w:right="102"/>
              <w:jc w:val="right"/>
              <w:rPr>
                <w:sz w:val="18"/>
              </w:rPr>
            </w:pPr>
            <w:r w:rsidRPr="00EC20A0">
              <w:rPr>
                <w:spacing w:val="-10"/>
                <w:sz w:val="18"/>
              </w:rPr>
              <w:t>8</w:t>
            </w:r>
          </w:p>
        </w:tc>
        <w:tc>
          <w:tcPr>
            <w:tcW w:w="637" w:type="dxa"/>
          </w:tcPr>
          <w:p w14:paraId="24D620D5" w14:textId="77777777" w:rsidR="00245300" w:rsidRPr="00EC20A0" w:rsidRDefault="00245300">
            <w:pPr>
              <w:pStyle w:val="TableParagraph"/>
              <w:rPr>
                <w:sz w:val="16"/>
              </w:rPr>
            </w:pPr>
          </w:p>
        </w:tc>
        <w:tc>
          <w:tcPr>
            <w:tcW w:w="720" w:type="dxa"/>
          </w:tcPr>
          <w:p w14:paraId="24D620D6" w14:textId="77777777" w:rsidR="00245300" w:rsidRPr="00EC20A0" w:rsidRDefault="00245300">
            <w:pPr>
              <w:pStyle w:val="TableParagraph"/>
              <w:rPr>
                <w:sz w:val="16"/>
              </w:rPr>
            </w:pPr>
          </w:p>
        </w:tc>
        <w:tc>
          <w:tcPr>
            <w:tcW w:w="720" w:type="dxa"/>
          </w:tcPr>
          <w:p w14:paraId="24D620D7" w14:textId="77777777" w:rsidR="00245300" w:rsidRPr="00EC20A0" w:rsidRDefault="00245300">
            <w:pPr>
              <w:pStyle w:val="TableParagraph"/>
              <w:rPr>
                <w:sz w:val="16"/>
              </w:rPr>
            </w:pPr>
          </w:p>
        </w:tc>
        <w:tc>
          <w:tcPr>
            <w:tcW w:w="720" w:type="dxa"/>
          </w:tcPr>
          <w:p w14:paraId="24D620D8" w14:textId="77777777" w:rsidR="00245300" w:rsidRPr="00EC20A0" w:rsidRDefault="00245300">
            <w:pPr>
              <w:pStyle w:val="TableParagraph"/>
              <w:rPr>
                <w:sz w:val="16"/>
              </w:rPr>
            </w:pPr>
          </w:p>
        </w:tc>
        <w:tc>
          <w:tcPr>
            <w:tcW w:w="720" w:type="dxa"/>
          </w:tcPr>
          <w:p w14:paraId="24D620D9" w14:textId="77777777" w:rsidR="00245300" w:rsidRPr="00EC20A0" w:rsidRDefault="00245300">
            <w:pPr>
              <w:pStyle w:val="TableParagraph"/>
              <w:rPr>
                <w:sz w:val="16"/>
              </w:rPr>
            </w:pPr>
          </w:p>
        </w:tc>
        <w:tc>
          <w:tcPr>
            <w:tcW w:w="1080" w:type="dxa"/>
          </w:tcPr>
          <w:p w14:paraId="24D620DA" w14:textId="77777777" w:rsidR="00245300" w:rsidRPr="00EC20A0" w:rsidRDefault="00245300">
            <w:pPr>
              <w:pStyle w:val="TableParagraph"/>
              <w:rPr>
                <w:sz w:val="16"/>
              </w:rPr>
            </w:pPr>
          </w:p>
        </w:tc>
        <w:tc>
          <w:tcPr>
            <w:tcW w:w="630" w:type="dxa"/>
          </w:tcPr>
          <w:p w14:paraId="24D620DB" w14:textId="77777777" w:rsidR="00245300" w:rsidRPr="00EC20A0" w:rsidRDefault="00245300">
            <w:pPr>
              <w:pStyle w:val="TableParagraph"/>
              <w:rPr>
                <w:sz w:val="16"/>
              </w:rPr>
            </w:pPr>
          </w:p>
        </w:tc>
        <w:tc>
          <w:tcPr>
            <w:tcW w:w="720" w:type="dxa"/>
          </w:tcPr>
          <w:p w14:paraId="24D620DC" w14:textId="77777777" w:rsidR="00245300" w:rsidRPr="00EC20A0" w:rsidRDefault="00245300">
            <w:pPr>
              <w:pStyle w:val="TableParagraph"/>
              <w:rPr>
                <w:sz w:val="16"/>
              </w:rPr>
            </w:pPr>
          </w:p>
        </w:tc>
        <w:tc>
          <w:tcPr>
            <w:tcW w:w="900" w:type="dxa"/>
          </w:tcPr>
          <w:p w14:paraId="24D620DD" w14:textId="77777777" w:rsidR="00245300" w:rsidRPr="00EC20A0" w:rsidRDefault="00245300">
            <w:pPr>
              <w:pStyle w:val="TableParagraph"/>
              <w:rPr>
                <w:sz w:val="16"/>
              </w:rPr>
            </w:pPr>
          </w:p>
        </w:tc>
        <w:tc>
          <w:tcPr>
            <w:tcW w:w="900" w:type="dxa"/>
          </w:tcPr>
          <w:p w14:paraId="24D620DE" w14:textId="77777777" w:rsidR="00245300" w:rsidRPr="00EC20A0" w:rsidRDefault="00245300">
            <w:pPr>
              <w:pStyle w:val="TableParagraph"/>
              <w:rPr>
                <w:sz w:val="16"/>
              </w:rPr>
            </w:pPr>
          </w:p>
        </w:tc>
        <w:tc>
          <w:tcPr>
            <w:tcW w:w="1080" w:type="dxa"/>
          </w:tcPr>
          <w:p w14:paraId="24D620DF" w14:textId="77777777" w:rsidR="00245300" w:rsidRPr="00EC20A0" w:rsidRDefault="00245300">
            <w:pPr>
              <w:pStyle w:val="TableParagraph"/>
              <w:rPr>
                <w:sz w:val="16"/>
              </w:rPr>
            </w:pPr>
          </w:p>
        </w:tc>
        <w:tc>
          <w:tcPr>
            <w:tcW w:w="540" w:type="dxa"/>
          </w:tcPr>
          <w:p w14:paraId="24D620E0" w14:textId="77777777" w:rsidR="00245300" w:rsidRPr="00EC20A0" w:rsidRDefault="00245300">
            <w:pPr>
              <w:pStyle w:val="TableParagraph"/>
              <w:rPr>
                <w:sz w:val="16"/>
              </w:rPr>
            </w:pPr>
          </w:p>
        </w:tc>
        <w:tc>
          <w:tcPr>
            <w:tcW w:w="630" w:type="dxa"/>
          </w:tcPr>
          <w:p w14:paraId="24D620E1" w14:textId="77777777" w:rsidR="00245300" w:rsidRPr="00EC20A0" w:rsidRDefault="00245300">
            <w:pPr>
              <w:pStyle w:val="TableParagraph"/>
              <w:rPr>
                <w:sz w:val="16"/>
              </w:rPr>
            </w:pPr>
          </w:p>
        </w:tc>
        <w:tc>
          <w:tcPr>
            <w:tcW w:w="630" w:type="dxa"/>
          </w:tcPr>
          <w:p w14:paraId="24D620E2" w14:textId="77777777" w:rsidR="00245300" w:rsidRPr="00EC20A0" w:rsidRDefault="00245300">
            <w:pPr>
              <w:pStyle w:val="TableParagraph"/>
              <w:rPr>
                <w:sz w:val="16"/>
              </w:rPr>
            </w:pPr>
          </w:p>
        </w:tc>
        <w:tc>
          <w:tcPr>
            <w:tcW w:w="1170" w:type="dxa"/>
          </w:tcPr>
          <w:p w14:paraId="24D620E3" w14:textId="77777777" w:rsidR="00245300" w:rsidRPr="00EC20A0" w:rsidRDefault="00245300">
            <w:pPr>
              <w:pStyle w:val="TableParagraph"/>
              <w:rPr>
                <w:sz w:val="16"/>
              </w:rPr>
            </w:pPr>
          </w:p>
        </w:tc>
        <w:tc>
          <w:tcPr>
            <w:tcW w:w="1260" w:type="dxa"/>
          </w:tcPr>
          <w:p w14:paraId="24D620E4" w14:textId="77777777" w:rsidR="00245300" w:rsidRPr="00EC20A0" w:rsidRDefault="00245300">
            <w:pPr>
              <w:pStyle w:val="TableParagraph"/>
              <w:rPr>
                <w:sz w:val="16"/>
              </w:rPr>
            </w:pPr>
          </w:p>
        </w:tc>
        <w:tc>
          <w:tcPr>
            <w:tcW w:w="1890" w:type="dxa"/>
          </w:tcPr>
          <w:p w14:paraId="24D620E5" w14:textId="77777777" w:rsidR="00245300" w:rsidRPr="00EC20A0" w:rsidRDefault="00245300">
            <w:pPr>
              <w:pStyle w:val="TableParagraph"/>
              <w:rPr>
                <w:sz w:val="16"/>
              </w:rPr>
            </w:pPr>
          </w:p>
        </w:tc>
        <w:tc>
          <w:tcPr>
            <w:tcW w:w="900" w:type="dxa"/>
          </w:tcPr>
          <w:p w14:paraId="24D620E6" w14:textId="77777777" w:rsidR="00245300" w:rsidRPr="00EC20A0" w:rsidRDefault="00245300">
            <w:pPr>
              <w:pStyle w:val="TableParagraph"/>
              <w:rPr>
                <w:sz w:val="16"/>
              </w:rPr>
            </w:pPr>
          </w:p>
        </w:tc>
        <w:tc>
          <w:tcPr>
            <w:tcW w:w="630" w:type="dxa"/>
          </w:tcPr>
          <w:p w14:paraId="24D620E7" w14:textId="77777777" w:rsidR="00245300" w:rsidRPr="00EC20A0" w:rsidRDefault="00245300">
            <w:pPr>
              <w:pStyle w:val="TableParagraph"/>
              <w:rPr>
                <w:sz w:val="16"/>
              </w:rPr>
            </w:pPr>
          </w:p>
        </w:tc>
        <w:tc>
          <w:tcPr>
            <w:tcW w:w="1800" w:type="dxa"/>
          </w:tcPr>
          <w:p w14:paraId="24D620E8" w14:textId="77777777" w:rsidR="00245300" w:rsidRPr="00EC20A0" w:rsidRDefault="00245300">
            <w:pPr>
              <w:pStyle w:val="TableParagraph"/>
              <w:rPr>
                <w:sz w:val="16"/>
              </w:rPr>
            </w:pPr>
          </w:p>
        </w:tc>
        <w:tc>
          <w:tcPr>
            <w:tcW w:w="540" w:type="dxa"/>
          </w:tcPr>
          <w:p w14:paraId="24D620E9" w14:textId="77777777" w:rsidR="00245300" w:rsidRPr="00EC20A0" w:rsidRDefault="00245300">
            <w:pPr>
              <w:pStyle w:val="TableParagraph"/>
              <w:rPr>
                <w:sz w:val="16"/>
              </w:rPr>
            </w:pPr>
          </w:p>
        </w:tc>
        <w:tc>
          <w:tcPr>
            <w:tcW w:w="1440" w:type="dxa"/>
          </w:tcPr>
          <w:p w14:paraId="24D620EA" w14:textId="77777777" w:rsidR="00245300" w:rsidRPr="00EC20A0" w:rsidRDefault="00245300">
            <w:pPr>
              <w:pStyle w:val="TableParagraph"/>
              <w:rPr>
                <w:sz w:val="16"/>
              </w:rPr>
            </w:pPr>
          </w:p>
        </w:tc>
        <w:tc>
          <w:tcPr>
            <w:tcW w:w="630" w:type="dxa"/>
          </w:tcPr>
          <w:p w14:paraId="24D620EB" w14:textId="77777777" w:rsidR="00245300" w:rsidRPr="00EC20A0" w:rsidRDefault="00245300">
            <w:pPr>
              <w:pStyle w:val="TableParagraph"/>
              <w:rPr>
                <w:sz w:val="16"/>
              </w:rPr>
            </w:pPr>
          </w:p>
        </w:tc>
      </w:tr>
      <w:tr w:rsidR="00245300" w:rsidRPr="00EC20A0" w14:paraId="24D62105" w14:textId="77777777">
        <w:trPr>
          <w:trHeight w:val="299"/>
        </w:trPr>
        <w:tc>
          <w:tcPr>
            <w:tcW w:w="1075" w:type="dxa"/>
          </w:tcPr>
          <w:p w14:paraId="24D620ED" w14:textId="77777777" w:rsidR="00245300" w:rsidRPr="00EC20A0" w:rsidRDefault="00F17249">
            <w:pPr>
              <w:pStyle w:val="TableParagraph"/>
              <w:spacing w:before="92" w:line="187" w:lineRule="exact"/>
              <w:ind w:right="102"/>
              <w:jc w:val="right"/>
              <w:rPr>
                <w:sz w:val="18"/>
              </w:rPr>
            </w:pPr>
            <w:r w:rsidRPr="00EC20A0">
              <w:rPr>
                <w:spacing w:val="-10"/>
                <w:sz w:val="18"/>
              </w:rPr>
              <w:t>9</w:t>
            </w:r>
          </w:p>
        </w:tc>
        <w:tc>
          <w:tcPr>
            <w:tcW w:w="637" w:type="dxa"/>
          </w:tcPr>
          <w:p w14:paraId="24D620EE" w14:textId="77777777" w:rsidR="00245300" w:rsidRPr="00EC20A0" w:rsidRDefault="00245300">
            <w:pPr>
              <w:pStyle w:val="TableParagraph"/>
              <w:rPr>
                <w:sz w:val="16"/>
              </w:rPr>
            </w:pPr>
          </w:p>
        </w:tc>
        <w:tc>
          <w:tcPr>
            <w:tcW w:w="720" w:type="dxa"/>
          </w:tcPr>
          <w:p w14:paraId="24D620EF" w14:textId="77777777" w:rsidR="00245300" w:rsidRPr="00EC20A0" w:rsidRDefault="00245300">
            <w:pPr>
              <w:pStyle w:val="TableParagraph"/>
              <w:rPr>
                <w:sz w:val="16"/>
              </w:rPr>
            </w:pPr>
          </w:p>
        </w:tc>
        <w:tc>
          <w:tcPr>
            <w:tcW w:w="720" w:type="dxa"/>
          </w:tcPr>
          <w:p w14:paraId="24D620F0" w14:textId="77777777" w:rsidR="00245300" w:rsidRPr="00EC20A0" w:rsidRDefault="00245300">
            <w:pPr>
              <w:pStyle w:val="TableParagraph"/>
              <w:rPr>
                <w:sz w:val="16"/>
              </w:rPr>
            </w:pPr>
          </w:p>
        </w:tc>
        <w:tc>
          <w:tcPr>
            <w:tcW w:w="720" w:type="dxa"/>
          </w:tcPr>
          <w:p w14:paraId="24D620F1" w14:textId="77777777" w:rsidR="00245300" w:rsidRPr="00EC20A0" w:rsidRDefault="00245300">
            <w:pPr>
              <w:pStyle w:val="TableParagraph"/>
              <w:rPr>
                <w:sz w:val="16"/>
              </w:rPr>
            </w:pPr>
          </w:p>
        </w:tc>
        <w:tc>
          <w:tcPr>
            <w:tcW w:w="720" w:type="dxa"/>
          </w:tcPr>
          <w:p w14:paraId="24D620F2" w14:textId="77777777" w:rsidR="00245300" w:rsidRPr="00EC20A0" w:rsidRDefault="00245300">
            <w:pPr>
              <w:pStyle w:val="TableParagraph"/>
              <w:rPr>
                <w:sz w:val="16"/>
              </w:rPr>
            </w:pPr>
          </w:p>
        </w:tc>
        <w:tc>
          <w:tcPr>
            <w:tcW w:w="1080" w:type="dxa"/>
          </w:tcPr>
          <w:p w14:paraId="24D620F3" w14:textId="77777777" w:rsidR="00245300" w:rsidRPr="00EC20A0" w:rsidRDefault="00245300">
            <w:pPr>
              <w:pStyle w:val="TableParagraph"/>
              <w:rPr>
                <w:sz w:val="16"/>
              </w:rPr>
            </w:pPr>
          </w:p>
        </w:tc>
        <w:tc>
          <w:tcPr>
            <w:tcW w:w="630" w:type="dxa"/>
          </w:tcPr>
          <w:p w14:paraId="24D620F4" w14:textId="77777777" w:rsidR="00245300" w:rsidRPr="00EC20A0" w:rsidRDefault="00245300">
            <w:pPr>
              <w:pStyle w:val="TableParagraph"/>
              <w:rPr>
                <w:sz w:val="16"/>
              </w:rPr>
            </w:pPr>
          </w:p>
        </w:tc>
        <w:tc>
          <w:tcPr>
            <w:tcW w:w="720" w:type="dxa"/>
          </w:tcPr>
          <w:p w14:paraId="24D620F5" w14:textId="77777777" w:rsidR="00245300" w:rsidRPr="00EC20A0" w:rsidRDefault="00245300">
            <w:pPr>
              <w:pStyle w:val="TableParagraph"/>
              <w:rPr>
                <w:sz w:val="16"/>
              </w:rPr>
            </w:pPr>
          </w:p>
        </w:tc>
        <w:tc>
          <w:tcPr>
            <w:tcW w:w="900" w:type="dxa"/>
          </w:tcPr>
          <w:p w14:paraId="24D620F6" w14:textId="77777777" w:rsidR="00245300" w:rsidRPr="00EC20A0" w:rsidRDefault="00245300">
            <w:pPr>
              <w:pStyle w:val="TableParagraph"/>
              <w:rPr>
                <w:sz w:val="16"/>
              </w:rPr>
            </w:pPr>
          </w:p>
        </w:tc>
        <w:tc>
          <w:tcPr>
            <w:tcW w:w="900" w:type="dxa"/>
          </w:tcPr>
          <w:p w14:paraId="24D620F7" w14:textId="77777777" w:rsidR="00245300" w:rsidRPr="00EC20A0" w:rsidRDefault="00245300">
            <w:pPr>
              <w:pStyle w:val="TableParagraph"/>
              <w:rPr>
                <w:sz w:val="16"/>
              </w:rPr>
            </w:pPr>
          </w:p>
        </w:tc>
        <w:tc>
          <w:tcPr>
            <w:tcW w:w="1080" w:type="dxa"/>
          </w:tcPr>
          <w:p w14:paraId="24D620F8" w14:textId="77777777" w:rsidR="00245300" w:rsidRPr="00EC20A0" w:rsidRDefault="00245300">
            <w:pPr>
              <w:pStyle w:val="TableParagraph"/>
              <w:rPr>
                <w:sz w:val="16"/>
              </w:rPr>
            </w:pPr>
          </w:p>
        </w:tc>
        <w:tc>
          <w:tcPr>
            <w:tcW w:w="540" w:type="dxa"/>
          </w:tcPr>
          <w:p w14:paraId="24D620F9" w14:textId="77777777" w:rsidR="00245300" w:rsidRPr="00EC20A0" w:rsidRDefault="00245300">
            <w:pPr>
              <w:pStyle w:val="TableParagraph"/>
              <w:rPr>
                <w:sz w:val="16"/>
              </w:rPr>
            </w:pPr>
          </w:p>
        </w:tc>
        <w:tc>
          <w:tcPr>
            <w:tcW w:w="630" w:type="dxa"/>
          </w:tcPr>
          <w:p w14:paraId="24D620FA" w14:textId="77777777" w:rsidR="00245300" w:rsidRPr="00EC20A0" w:rsidRDefault="00245300">
            <w:pPr>
              <w:pStyle w:val="TableParagraph"/>
              <w:rPr>
                <w:sz w:val="16"/>
              </w:rPr>
            </w:pPr>
          </w:p>
        </w:tc>
        <w:tc>
          <w:tcPr>
            <w:tcW w:w="630" w:type="dxa"/>
          </w:tcPr>
          <w:p w14:paraId="24D620FB" w14:textId="77777777" w:rsidR="00245300" w:rsidRPr="00EC20A0" w:rsidRDefault="00245300">
            <w:pPr>
              <w:pStyle w:val="TableParagraph"/>
              <w:rPr>
                <w:sz w:val="16"/>
              </w:rPr>
            </w:pPr>
          </w:p>
        </w:tc>
        <w:tc>
          <w:tcPr>
            <w:tcW w:w="1170" w:type="dxa"/>
          </w:tcPr>
          <w:p w14:paraId="24D620FC" w14:textId="77777777" w:rsidR="00245300" w:rsidRPr="00EC20A0" w:rsidRDefault="00245300">
            <w:pPr>
              <w:pStyle w:val="TableParagraph"/>
              <w:rPr>
                <w:sz w:val="16"/>
              </w:rPr>
            </w:pPr>
          </w:p>
        </w:tc>
        <w:tc>
          <w:tcPr>
            <w:tcW w:w="1260" w:type="dxa"/>
          </w:tcPr>
          <w:p w14:paraId="24D620FD" w14:textId="77777777" w:rsidR="00245300" w:rsidRPr="00EC20A0" w:rsidRDefault="00245300">
            <w:pPr>
              <w:pStyle w:val="TableParagraph"/>
              <w:rPr>
                <w:sz w:val="16"/>
              </w:rPr>
            </w:pPr>
          </w:p>
        </w:tc>
        <w:tc>
          <w:tcPr>
            <w:tcW w:w="1890" w:type="dxa"/>
          </w:tcPr>
          <w:p w14:paraId="24D620FE" w14:textId="77777777" w:rsidR="00245300" w:rsidRPr="00EC20A0" w:rsidRDefault="00245300">
            <w:pPr>
              <w:pStyle w:val="TableParagraph"/>
              <w:rPr>
                <w:sz w:val="16"/>
              </w:rPr>
            </w:pPr>
          </w:p>
        </w:tc>
        <w:tc>
          <w:tcPr>
            <w:tcW w:w="900" w:type="dxa"/>
          </w:tcPr>
          <w:p w14:paraId="24D620FF" w14:textId="77777777" w:rsidR="00245300" w:rsidRPr="00EC20A0" w:rsidRDefault="00245300">
            <w:pPr>
              <w:pStyle w:val="TableParagraph"/>
              <w:rPr>
                <w:sz w:val="16"/>
              </w:rPr>
            </w:pPr>
          </w:p>
        </w:tc>
        <w:tc>
          <w:tcPr>
            <w:tcW w:w="630" w:type="dxa"/>
          </w:tcPr>
          <w:p w14:paraId="24D62100" w14:textId="77777777" w:rsidR="00245300" w:rsidRPr="00EC20A0" w:rsidRDefault="00245300">
            <w:pPr>
              <w:pStyle w:val="TableParagraph"/>
              <w:rPr>
                <w:sz w:val="16"/>
              </w:rPr>
            </w:pPr>
          </w:p>
        </w:tc>
        <w:tc>
          <w:tcPr>
            <w:tcW w:w="1800" w:type="dxa"/>
          </w:tcPr>
          <w:p w14:paraId="24D62101" w14:textId="77777777" w:rsidR="00245300" w:rsidRPr="00EC20A0" w:rsidRDefault="00245300">
            <w:pPr>
              <w:pStyle w:val="TableParagraph"/>
              <w:rPr>
                <w:sz w:val="16"/>
              </w:rPr>
            </w:pPr>
          </w:p>
        </w:tc>
        <w:tc>
          <w:tcPr>
            <w:tcW w:w="540" w:type="dxa"/>
          </w:tcPr>
          <w:p w14:paraId="24D62102" w14:textId="77777777" w:rsidR="00245300" w:rsidRPr="00EC20A0" w:rsidRDefault="00245300">
            <w:pPr>
              <w:pStyle w:val="TableParagraph"/>
              <w:rPr>
                <w:sz w:val="16"/>
              </w:rPr>
            </w:pPr>
          </w:p>
        </w:tc>
        <w:tc>
          <w:tcPr>
            <w:tcW w:w="1440" w:type="dxa"/>
          </w:tcPr>
          <w:p w14:paraId="24D62103" w14:textId="77777777" w:rsidR="00245300" w:rsidRPr="00EC20A0" w:rsidRDefault="00245300">
            <w:pPr>
              <w:pStyle w:val="TableParagraph"/>
              <w:rPr>
                <w:sz w:val="16"/>
              </w:rPr>
            </w:pPr>
          </w:p>
        </w:tc>
        <w:tc>
          <w:tcPr>
            <w:tcW w:w="630" w:type="dxa"/>
          </w:tcPr>
          <w:p w14:paraId="24D62104" w14:textId="77777777" w:rsidR="00245300" w:rsidRPr="00EC20A0" w:rsidRDefault="00245300">
            <w:pPr>
              <w:pStyle w:val="TableParagraph"/>
              <w:rPr>
                <w:sz w:val="16"/>
              </w:rPr>
            </w:pPr>
          </w:p>
        </w:tc>
      </w:tr>
      <w:tr w:rsidR="00245300" w:rsidRPr="00EC20A0" w14:paraId="24D6211A" w14:textId="77777777">
        <w:trPr>
          <w:trHeight w:val="300"/>
        </w:trPr>
        <w:tc>
          <w:tcPr>
            <w:tcW w:w="3872" w:type="dxa"/>
            <w:gridSpan w:val="5"/>
          </w:tcPr>
          <w:p w14:paraId="24D62106" w14:textId="77777777" w:rsidR="00245300" w:rsidRPr="00EC20A0" w:rsidRDefault="00F17249">
            <w:pPr>
              <w:pStyle w:val="TableParagraph"/>
              <w:ind w:left="530"/>
              <w:rPr>
                <w:i/>
                <w:sz w:val="18"/>
              </w:rPr>
            </w:pPr>
            <w:r w:rsidRPr="00EC20A0">
              <w:rPr>
                <w:i/>
                <w:sz w:val="18"/>
              </w:rPr>
              <w:t>***insert</w:t>
            </w:r>
            <w:r w:rsidRPr="00EC20A0">
              <w:rPr>
                <w:i/>
                <w:spacing w:val="-3"/>
                <w:sz w:val="18"/>
              </w:rPr>
              <w:t xml:space="preserve"> </w:t>
            </w:r>
            <w:r w:rsidRPr="00EC20A0">
              <w:rPr>
                <w:i/>
                <w:sz w:val="18"/>
              </w:rPr>
              <w:t>rows</w:t>
            </w:r>
            <w:r w:rsidRPr="00EC20A0">
              <w:rPr>
                <w:i/>
                <w:spacing w:val="-2"/>
                <w:sz w:val="18"/>
              </w:rPr>
              <w:t xml:space="preserve"> </w:t>
            </w:r>
            <w:r w:rsidRPr="00EC20A0">
              <w:rPr>
                <w:i/>
                <w:sz w:val="18"/>
              </w:rPr>
              <w:t>here</w:t>
            </w:r>
            <w:r w:rsidRPr="00EC20A0">
              <w:rPr>
                <w:i/>
                <w:spacing w:val="-3"/>
                <w:sz w:val="18"/>
              </w:rPr>
              <w:t xml:space="preserve"> </w:t>
            </w:r>
            <w:r w:rsidRPr="00EC20A0">
              <w:rPr>
                <w:i/>
                <w:sz w:val="18"/>
              </w:rPr>
              <w:t>as</w:t>
            </w:r>
            <w:r w:rsidRPr="00EC20A0">
              <w:rPr>
                <w:i/>
                <w:spacing w:val="-2"/>
                <w:sz w:val="18"/>
              </w:rPr>
              <w:t xml:space="preserve"> necessary***</w:t>
            </w:r>
          </w:p>
        </w:tc>
        <w:tc>
          <w:tcPr>
            <w:tcW w:w="720" w:type="dxa"/>
          </w:tcPr>
          <w:p w14:paraId="24D62107" w14:textId="77777777" w:rsidR="00245300" w:rsidRPr="00EC20A0" w:rsidRDefault="00245300">
            <w:pPr>
              <w:pStyle w:val="TableParagraph"/>
              <w:rPr>
                <w:sz w:val="16"/>
              </w:rPr>
            </w:pPr>
          </w:p>
        </w:tc>
        <w:tc>
          <w:tcPr>
            <w:tcW w:w="1080" w:type="dxa"/>
          </w:tcPr>
          <w:p w14:paraId="24D62108" w14:textId="77777777" w:rsidR="00245300" w:rsidRPr="00EC20A0" w:rsidRDefault="00245300">
            <w:pPr>
              <w:pStyle w:val="TableParagraph"/>
              <w:rPr>
                <w:sz w:val="16"/>
              </w:rPr>
            </w:pPr>
          </w:p>
        </w:tc>
        <w:tc>
          <w:tcPr>
            <w:tcW w:w="630" w:type="dxa"/>
          </w:tcPr>
          <w:p w14:paraId="24D62109" w14:textId="77777777" w:rsidR="00245300" w:rsidRPr="00EC20A0" w:rsidRDefault="00245300">
            <w:pPr>
              <w:pStyle w:val="TableParagraph"/>
              <w:rPr>
                <w:sz w:val="16"/>
              </w:rPr>
            </w:pPr>
          </w:p>
        </w:tc>
        <w:tc>
          <w:tcPr>
            <w:tcW w:w="720" w:type="dxa"/>
          </w:tcPr>
          <w:p w14:paraId="24D6210A" w14:textId="77777777" w:rsidR="00245300" w:rsidRPr="00EC20A0" w:rsidRDefault="00245300">
            <w:pPr>
              <w:pStyle w:val="TableParagraph"/>
              <w:rPr>
                <w:sz w:val="16"/>
              </w:rPr>
            </w:pPr>
          </w:p>
        </w:tc>
        <w:tc>
          <w:tcPr>
            <w:tcW w:w="900" w:type="dxa"/>
          </w:tcPr>
          <w:p w14:paraId="24D6210B" w14:textId="77777777" w:rsidR="00245300" w:rsidRPr="00EC20A0" w:rsidRDefault="00245300">
            <w:pPr>
              <w:pStyle w:val="TableParagraph"/>
              <w:rPr>
                <w:sz w:val="16"/>
              </w:rPr>
            </w:pPr>
          </w:p>
        </w:tc>
        <w:tc>
          <w:tcPr>
            <w:tcW w:w="900" w:type="dxa"/>
          </w:tcPr>
          <w:p w14:paraId="24D6210C" w14:textId="77777777" w:rsidR="00245300" w:rsidRPr="00EC20A0" w:rsidRDefault="00245300">
            <w:pPr>
              <w:pStyle w:val="TableParagraph"/>
              <w:rPr>
                <w:sz w:val="16"/>
              </w:rPr>
            </w:pPr>
          </w:p>
        </w:tc>
        <w:tc>
          <w:tcPr>
            <w:tcW w:w="1080" w:type="dxa"/>
          </w:tcPr>
          <w:p w14:paraId="24D6210D" w14:textId="77777777" w:rsidR="00245300" w:rsidRPr="00EC20A0" w:rsidRDefault="00245300">
            <w:pPr>
              <w:pStyle w:val="TableParagraph"/>
              <w:rPr>
                <w:sz w:val="16"/>
              </w:rPr>
            </w:pPr>
          </w:p>
        </w:tc>
        <w:tc>
          <w:tcPr>
            <w:tcW w:w="540" w:type="dxa"/>
          </w:tcPr>
          <w:p w14:paraId="24D6210E" w14:textId="77777777" w:rsidR="00245300" w:rsidRPr="00EC20A0" w:rsidRDefault="00245300">
            <w:pPr>
              <w:pStyle w:val="TableParagraph"/>
              <w:rPr>
                <w:sz w:val="16"/>
              </w:rPr>
            </w:pPr>
          </w:p>
        </w:tc>
        <w:tc>
          <w:tcPr>
            <w:tcW w:w="630" w:type="dxa"/>
          </w:tcPr>
          <w:p w14:paraId="24D6210F" w14:textId="77777777" w:rsidR="00245300" w:rsidRPr="00EC20A0" w:rsidRDefault="00245300">
            <w:pPr>
              <w:pStyle w:val="TableParagraph"/>
              <w:rPr>
                <w:sz w:val="16"/>
              </w:rPr>
            </w:pPr>
          </w:p>
        </w:tc>
        <w:tc>
          <w:tcPr>
            <w:tcW w:w="630" w:type="dxa"/>
          </w:tcPr>
          <w:p w14:paraId="24D62110" w14:textId="77777777" w:rsidR="00245300" w:rsidRPr="00EC20A0" w:rsidRDefault="00245300">
            <w:pPr>
              <w:pStyle w:val="TableParagraph"/>
              <w:rPr>
                <w:sz w:val="16"/>
              </w:rPr>
            </w:pPr>
          </w:p>
        </w:tc>
        <w:tc>
          <w:tcPr>
            <w:tcW w:w="1170" w:type="dxa"/>
          </w:tcPr>
          <w:p w14:paraId="24D62111" w14:textId="77777777" w:rsidR="00245300" w:rsidRPr="00EC20A0" w:rsidRDefault="00245300">
            <w:pPr>
              <w:pStyle w:val="TableParagraph"/>
              <w:rPr>
                <w:sz w:val="16"/>
              </w:rPr>
            </w:pPr>
          </w:p>
        </w:tc>
        <w:tc>
          <w:tcPr>
            <w:tcW w:w="1260" w:type="dxa"/>
          </w:tcPr>
          <w:p w14:paraId="24D62112" w14:textId="77777777" w:rsidR="00245300" w:rsidRPr="00EC20A0" w:rsidRDefault="00245300">
            <w:pPr>
              <w:pStyle w:val="TableParagraph"/>
              <w:rPr>
                <w:sz w:val="16"/>
              </w:rPr>
            </w:pPr>
          </w:p>
        </w:tc>
        <w:tc>
          <w:tcPr>
            <w:tcW w:w="1890" w:type="dxa"/>
          </w:tcPr>
          <w:p w14:paraId="24D62113" w14:textId="77777777" w:rsidR="00245300" w:rsidRPr="00EC20A0" w:rsidRDefault="00245300">
            <w:pPr>
              <w:pStyle w:val="TableParagraph"/>
              <w:rPr>
                <w:sz w:val="16"/>
              </w:rPr>
            </w:pPr>
          </w:p>
        </w:tc>
        <w:tc>
          <w:tcPr>
            <w:tcW w:w="900" w:type="dxa"/>
          </w:tcPr>
          <w:p w14:paraId="24D62114" w14:textId="77777777" w:rsidR="00245300" w:rsidRPr="00EC20A0" w:rsidRDefault="00245300">
            <w:pPr>
              <w:pStyle w:val="TableParagraph"/>
              <w:rPr>
                <w:sz w:val="16"/>
              </w:rPr>
            </w:pPr>
          </w:p>
        </w:tc>
        <w:tc>
          <w:tcPr>
            <w:tcW w:w="630" w:type="dxa"/>
          </w:tcPr>
          <w:p w14:paraId="24D62115" w14:textId="77777777" w:rsidR="00245300" w:rsidRPr="00EC20A0" w:rsidRDefault="00245300">
            <w:pPr>
              <w:pStyle w:val="TableParagraph"/>
              <w:rPr>
                <w:sz w:val="16"/>
              </w:rPr>
            </w:pPr>
          </w:p>
        </w:tc>
        <w:tc>
          <w:tcPr>
            <w:tcW w:w="1800" w:type="dxa"/>
          </w:tcPr>
          <w:p w14:paraId="24D62116" w14:textId="77777777" w:rsidR="00245300" w:rsidRPr="00EC20A0" w:rsidRDefault="00245300">
            <w:pPr>
              <w:pStyle w:val="TableParagraph"/>
              <w:rPr>
                <w:sz w:val="16"/>
              </w:rPr>
            </w:pPr>
          </w:p>
        </w:tc>
        <w:tc>
          <w:tcPr>
            <w:tcW w:w="540" w:type="dxa"/>
          </w:tcPr>
          <w:p w14:paraId="24D62117" w14:textId="77777777" w:rsidR="00245300" w:rsidRPr="00EC20A0" w:rsidRDefault="00245300">
            <w:pPr>
              <w:pStyle w:val="TableParagraph"/>
              <w:rPr>
                <w:sz w:val="16"/>
              </w:rPr>
            </w:pPr>
          </w:p>
        </w:tc>
        <w:tc>
          <w:tcPr>
            <w:tcW w:w="1440" w:type="dxa"/>
          </w:tcPr>
          <w:p w14:paraId="24D62118" w14:textId="77777777" w:rsidR="00245300" w:rsidRPr="00EC20A0" w:rsidRDefault="00245300">
            <w:pPr>
              <w:pStyle w:val="TableParagraph"/>
              <w:rPr>
                <w:sz w:val="16"/>
              </w:rPr>
            </w:pPr>
          </w:p>
        </w:tc>
        <w:tc>
          <w:tcPr>
            <w:tcW w:w="630" w:type="dxa"/>
          </w:tcPr>
          <w:p w14:paraId="24D62119" w14:textId="77777777" w:rsidR="00245300" w:rsidRPr="00EC20A0" w:rsidRDefault="00245300">
            <w:pPr>
              <w:pStyle w:val="TableParagraph"/>
              <w:rPr>
                <w:sz w:val="16"/>
              </w:rPr>
            </w:pPr>
          </w:p>
        </w:tc>
      </w:tr>
      <w:tr w:rsidR="00245300" w:rsidRPr="00EC20A0" w14:paraId="24D62130" w14:textId="77777777">
        <w:trPr>
          <w:trHeight w:val="413"/>
        </w:trPr>
        <w:tc>
          <w:tcPr>
            <w:tcW w:w="1075" w:type="dxa"/>
            <w:shd w:val="clear" w:color="auto" w:fill="D9E0F1"/>
          </w:tcPr>
          <w:p w14:paraId="24D6211B" w14:textId="77777777" w:rsidR="00245300" w:rsidRPr="00EC20A0" w:rsidRDefault="00F17249">
            <w:pPr>
              <w:pStyle w:val="TableParagraph"/>
              <w:spacing w:line="208" w:lineRule="exact"/>
              <w:ind w:left="115"/>
              <w:rPr>
                <w:sz w:val="18"/>
              </w:rPr>
            </w:pPr>
            <w:r w:rsidRPr="00EC20A0">
              <w:rPr>
                <w:sz w:val="18"/>
              </w:rPr>
              <w:t>Total</w:t>
            </w:r>
            <w:r w:rsidRPr="00EC20A0">
              <w:rPr>
                <w:spacing w:val="-15"/>
                <w:sz w:val="18"/>
              </w:rPr>
              <w:t xml:space="preserve"> </w:t>
            </w:r>
            <w:r w:rsidRPr="00EC20A0">
              <w:rPr>
                <w:sz w:val="18"/>
              </w:rPr>
              <w:t>#</w:t>
            </w:r>
            <w:r w:rsidRPr="00EC20A0">
              <w:rPr>
                <w:spacing w:val="-12"/>
                <w:sz w:val="18"/>
              </w:rPr>
              <w:t xml:space="preserve"> </w:t>
            </w:r>
            <w:r w:rsidRPr="00EC20A0">
              <w:rPr>
                <w:sz w:val="18"/>
              </w:rPr>
              <w:t>of cases</w:t>
            </w:r>
            <w:r w:rsidRPr="00EC20A0">
              <w:rPr>
                <w:spacing w:val="-1"/>
                <w:sz w:val="18"/>
              </w:rPr>
              <w:t xml:space="preserve"> </w:t>
            </w:r>
            <w:r w:rsidRPr="00EC20A0">
              <w:rPr>
                <w:sz w:val="18"/>
              </w:rPr>
              <w:t>-</w:t>
            </w:r>
            <w:r w:rsidRPr="00EC20A0">
              <w:rPr>
                <w:spacing w:val="-1"/>
                <w:sz w:val="18"/>
              </w:rPr>
              <w:t xml:space="preserve"> </w:t>
            </w:r>
            <w:r w:rsidRPr="00EC20A0">
              <w:rPr>
                <w:spacing w:val="-10"/>
                <w:sz w:val="18"/>
              </w:rPr>
              <w:t>3</w:t>
            </w:r>
          </w:p>
        </w:tc>
        <w:tc>
          <w:tcPr>
            <w:tcW w:w="2797" w:type="dxa"/>
            <w:gridSpan w:val="4"/>
            <w:shd w:val="clear" w:color="auto" w:fill="D9E0F1"/>
          </w:tcPr>
          <w:p w14:paraId="24D6211C" w14:textId="77777777" w:rsidR="00245300" w:rsidRPr="00EC20A0" w:rsidRDefault="00F17249">
            <w:pPr>
              <w:pStyle w:val="TableParagraph"/>
              <w:spacing w:before="206" w:line="187" w:lineRule="exact"/>
              <w:ind w:left="1602"/>
              <w:rPr>
                <w:sz w:val="18"/>
              </w:rPr>
            </w:pPr>
            <w:r w:rsidRPr="00EC20A0">
              <w:rPr>
                <w:sz w:val="18"/>
              </w:rPr>
              <w:t>Total</w:t>
            </w:r>
            <w:r w:rsidRPr="00EC20A0">
              <w:rPr>
                <w:spacing w:val="-4"/>
                <w:sz w:val="18"/>
              </w:rPr>
              <w:t xml:space="preserve"> </w:t>
            </w:r>
            <w:r w:rsidRPr="00EC20A0">
              <w:rPr>
                <w:spacing w:val="-2"/>
                <w:sz w:val="18"/>
              </w:rPr>
              <w:t>Remote</w:t>
            </w:r>
          </w:p>
        </w:tc>
        <w:tc>
          <w:tcPr>
            <w:tcW w:w="720" w:type="dxa"/>
          </w:tcPr>
          <w:p w14:paraId="24D6211D" w14:textId="77777777" w:rsidR="00245300" w:rsidRPr="00EC20A0" w:rsidRDefault="00245300">
            <w:pPr>
              <w:pStyle w:val="TableParagraph"/>
              <w:rPr>
                <w:sz w:val="16"/>
              </w:rPr>
            </w:pPr>
          </w:p>
        </w:tc>
        <w:tc>
          <w:tcPr>
            <w:tcW w:w="1080" w:type="dxa"/>
          </w:tcPr>
          <w:p w14:paraId="24D6211E" w14:textId="77777777" w:rsidR="00245300" w:rsidRPr="00EC20A0" w:rsidRDefault="00245300">
            <w:pPr>
              <w:pStyle w:val="TableParagraph"/>
              <w:rPr>
                <w:sz w:val="16"/>
              </w:rPr>
            </w:pPr>
          </w:p>
        </w:tc>
        <w:tc>
          <w:tcPr>
            <w:tcW w:w="630" w:type="dxa"/>
          </w:tcPr>
          <w:p w14:paraId="24D6211F" w14:textId="77777777" w:rsidR="00245300" w:rsidRPr="00EC20A0" w:rsidRDefault="00245300">
            <w:pPr>
              <w:pStyle w:val="TableParagraph"/>
              <w:rPr>
                <w:sz w:val="16"/>
              </w:rPr>
            </w:pPr>
          </w:p>
        </w:tc>
        <w:tc>
          <w:tcPr>
            <w:tcW w:w="720" w:type="dxa"/>
          </w:tcPr>
          <w:p w14:paraId="24D62120" w14:textId="77777777" w:rsidR="00245300" w:rsidRPr="00EC20A0" w:rsidRDefault="00245300">
            <w:pPr>
              <w:pStyle w:val="TableParagraph"/>
              <w:rPr>
                <w:sz w:val="16"/>
              </w:rPr>
            </w:pPr>
          </w:p>
        </w:tc>
        <w:tc>
          <w:tcPr>
            <w:tcW w:w="900" w:type="dxa"/>
          </w:tcPr>
          <w:p w14:paraId="24D62121" w14:textId="77777777" w:rsidR="00245300" w:rsidRPr="00EC20A0" w:rsidRDefault="00245300">
            <w:pPr>
              <w:pStyle w:val="TableParagraph"/>
              <w:rPr>
                <w:sz w:val="16"/>
              </w:rPr>
            </w:pPr>
          </w:p>
        </w:tc>
        <w:tc>
          <w:tcPr>
            <w:tcW w:w="900" w:type="dxa"/>
          </w:tcPr>
          <w:p w14:paraId="24D62122" w14:textId="77777777" w:rsidR="00245300" w:rsidRPr="00EC20A0" w:rsidRDefault="00245300">
            <w:pPr>
              <w:pStyle w:val="TableParagraph"/>
              <w:rPr>
                <w:sz w:val="16"/>
              </w:rPr>
            </w:pPr>
          </w:p>
        </w:tc>
        <w:tc>
          <w:tcPr>
            <w:tcW w:w="1080" w:type="dxa"/>
          </w:tcPr>
          <w:p w14:paraId="24D62123" w14:textId="77777777" w:rsidR="00245300" w:rsidRPr="00EC20A0" w:rsidRDefault="00245300">
            <w:pPr>
              <w:pStyle w:val="TableParagraph"/>
              <w:rPr>
                <w:sz w:val="16"/>
              </w:rPr>
            </w:pPr>
          </w:p>
        </w:tc>
        <w:tc>
          <w:tcPr>
            <w:tcW w:w="540" w:type="dxa"/>
          </w:tcPr>
          <w:p w14:paraId="24D62124" w14:textId="77777777" w:rsidR="00245300" w:rsidRPr="00EC20A0" w:rsidRDefault="00245300">
            <w:pPr>
              <w:pStyle w:val="TableParagraph"/>
              <w:rPr>
                <w:sz w:val="16"/>
              </w:rPr>
            </w:pPr>
          </w:p>
        </w:tc>
        <w:tc>
          <w:tcPr>
            <w:tcW w:w="630" w:type="dxa"/>
          </w:tcPr>
          <w:p w14:paraId="24D62125" w14:textId="77777777" w:rsidR="00245300" w:rsidRPr="00EC20A0" w:rsidRDefault="00245300">
            <w:pPr>
              <w:pStyle w:val="TableParagraph"/>
              <w:rPr>
                <w:sz w:val="16"/>
              </w:rPr>
            </w:pPr>
          </w:p>
        </w:tc>
        <w:tc>
          <w:tcPr>
            <w:tcW w:w="630" w:type="dxa"/>
          </w:tcPr>
          <w:p w14:paraId="24D62126" w14:textId="77777777" w:rsidR="00245300" w:rsidRPr="00EC20A0" w:rsidRDefault="00245300">
            <w:pPr>
              <w:pStyle w:val="TableParagraph"/>
              <w:rPr>
                <w:sz w:val="16"/>
              </w:rPr>
            </w:pPr>
          </w:p>
        </w:tc>
        <w:tc>
          <w:tcPr>
            <w:tcW w:w="1170" w:type="dxa"/>
          </w:tcPr>
          <w:p w14:paraId="24D62127" w14:textId="77777777" w:rsidR="00245300" w:rsidRPr="00EC20A0" w:rsidRDefault="00245300">
            <w:pPr>
              <w:pStyle w:val="TableParagraph"/>
              <w:rPr>
                <w:sz w:val="16"/>
              </w:rPr>
            </w:pPr>
          </w:p>
        </w:tc>
        <w:tc>
          <w:tcPr>
            <w:tcW w:w="1260" w:type="dxa"/>
          </w:tcPr>
          <w:p w14:paraId="24D62128" w14:textId="77777777" w:rsidR="00245300" w:rsidRPr="00EC20A0" w:rsidRDefault="00245300">
            <w:pPr>
              <w:pStyle w:val="TableParagraph"/>
              <w:rPr>
                <w:sz w:val="16"/>
              </w:rPr>
            </w:pPr>
          </w:p>
        </w:tc>
        <w:tc>
          <w:tcPr>
            <w:tcW w:w="1890" w:type="dxa"/>
          </w:tcPr>
          <w:p w14:paraId="24D62129" w14:textId="77777777" w:rsidR="00245300" w:rsidRPr="00EC20A0" w:rsidRDefault="00245300">
            <w:pPr>
              <w:pStyle w:val="TableParagraph"/>
              <w:rPr>
                <w:sz w:val="16"/>
              </w:rPr>
            </w:pPr>
          </w:p>
        </w:tc>
        <w:tc>
          <w:tcPr>
            <w:tcW w:w="900" w:type="dxa"/>
          </w:tcPr>
          <w:p w14:paraId="24D6212A" w14:textId="77777777" w:rsidR="00245300" w:rsidRPr="00EC20A0" w:rsidRDefault="00245300">
            <w:pPr>
              <w:pStyle w:val="TableParagraph"/>
              <w:rPr>
                <w:sz w:val="16"/>
              </w:rPr>
            </w:pPr>
          </w:p>
        </w:tc>
        <w:tc>
          <w:tcPr>
            <w:tcW w:w="630" w:type="dxa"/>
          </w:tcPr>
          <w:p w14:paraId="24D6212B" w14:textId="77777777" w:rsidR="00245300" w:rsidRPr="00EC20A0" w:rsidRDefault="00245300">
            <w:pPr>
              <w:pStyle w:val="TableParagraph"/>
              <w:rPr>
                <w:sz w:val="16"/>
              </w:rPr>
            </w:pPr>
          </w:p>
        </w:tc>
        <w:tc>
          <w:tcPr>
            <w:tcW w:w="1800" w:type="dxa"/>
          </w:tcPr>
          <w:p w14:paraId="24D6212C" w14:textId="77777777" w:rsidR="00245300" w:rsidRPr="00EC20A0" w:rsidRDefault="00245300">
            <w:pPr>
              <w:pStyle w:val="TableParagraph"/>
              <w:rPr>
                <w:sz w:val="16"/>
              </w:rPr>
            </w:pPr>
          </w:p>
        </w:tc>
        <w:tc>
          <w:tcPr>
            <w:tcW w:w="540" w:type="dxa"/>
          </w:tcPr>
          <w:p w14:paraId="24D6212D" w14:textId="77777777" w:rsidR="00245300" w:rsidRPr="00EC20A0" w:rsidRDefault="00245300">
            <w:pPr>
              <w:pStyle w:val="TableParagraph"/>
              <w:rPr>
                <w:sz w:val="16"/>
              </w:rPr>
            </w:pPr>
          </w:p>
        </w:tc>
        <w:tc>
          <w:tcPr>
            <w:tcW w:w="1440" w:type="dxa"/>
          </w:tcPr>
          <w:p w14:paraId="24D6212E" w14:textId="77777777" w:rsidR="00245300" w:rsidRPr="00EC20A0" w:rsidRDefault="00245300">
            <w:pPr>
              <w:pStyle w:val="TableParagraph"/>
              <w:rPr>
                <w:sz w:val="16"/>
              </w:rPr>
            </w:pPr>
          </w:p>
        </w:tc>
        <w:tc>
          <w:tcPr>
            <w:tcW w:w="630" w:type="dxa"/>
          </w:tcPr>
          <w:p w14:paraId="24D6212F" w14:textId="77777777" w:rsidR="00245300" w:rsidRPr="00EC20A0" w:rsidRDefault="00245300">
            <w:pPr>
              <w:pStyle w:val="TableParagraph"/>
              <w:rPr>
                <w:sz w:val="16"/>
              </w:rPr>
            </w:pPr>
          </w:p>
        </w:tc>
      </w:tr>
      <w:tr w:rsidR="00245300" w:rsidRPr="00EC20A0" w14:paraId="24D62132" w14:textId="77777777">
        <w:trPr>
          <w:trHeight w:val="297"/>
        </w:trPr>
        <w:tc>
          <w:tcPr>
            <w:tcW w:w="21962" w:type="dxa"/>
            <w:gridSpan w:val="24"/>
            <w:shd w:val="clear" w:color="auto" w:fill="D9D9D9"/>
          </w:tcPr>
          <w:p w14:paraId="24D62131" w14:textId="77777777" w:rsidR="00245300" w:rsidRPr="00EC20A0" w:rsidRDefault="00F17249">
            <w:pPr>
              <w:pStyle w:val="TableParagraph"/>
              <w:spacing w:line="204" w:lineRule="exact"/>
              <w:ind w:left="115"/>
              <w:rPr>
                <w:b/>
                <w:sz w:val="18"/>
              </w:rPr>
            </w:pPr>
            <w:r w:rsidRPr="00EC20A0">
              <w:rPr>
                <w:b/>
                <w:sz w:val="18"/>
              </w:rPr>
              <w:t>Unable</w:t>
            </w:r>
            <w:r w:rsidRPr="00EC20A0">
              <w:rPr>
                <w:b/>
                <w:spacing w:val="-2"/>
                <w:sz w:val="18"/>
              </w:rPr>
              <w:t xml:space="preserve"> </w:t>
            </w:r>
            <w:r w:rsidRPr="00EC20A0">
              <w:rPr>
                <w:b/>
                <w:sz w:val="18"/>
              </w:rPr>
              <w:t>to</w:t>
            </w:r>
            <w:r w:rsidRPr="00EC20A0">
              <w:rPr>
                <w:b/>
                <w:spacing w:val="-1"/>
                <w:sz w:val="18"/>
              </w:rPr>
              <w:t xml:space="preserve"> </w:t>
            </w:r>
            <w:r w:rsidRPr="00EC20A0">
              <w:rPr>
                <w:b/>
                <w:spacing w:val="-2"/>
                <w:sz w:val="18"/>
              </w:rPr>
              <w:t>Determine</w:t>
            </w:r>
          </w:p>
        </w:tc>
      </w:tr>
      <w:tr w:rsidR="00245300" w:rsidRPr="00EC20A0" w14:paraId="24D6214B" w14:textId="77777777">
        <w:trPr>
          <w:trHeight w:val="300"/>
        </w:trPr>
        <w:tc>
          <w:tcPr>
            <w:tcW w:w="1075" w:type="dxa"/>
          </w:tcPr>
          <w:p w14:paraId="24D62133" w14:textId="77777777" w:rsidR="00245300" w:rsidRPr="00EC20A0" w:rsidRDefault="00F17249">
            <w:pPr>
              <w:pStyle w:val="TableParagraph"/>
              <w:spacing w:before="92" w:line="188" w:lineRule="exact"/>
              <w:ind w:right="104"/>
              <w:jc w:val="right"/>
              <w:rPr>
                <w:sz w:val="18"/>
              </w:rPr>
            </w:pPr>
            <w:r w:rsidRPr="00EC20A0">
              <w:rPr>
                <w:spacing w:val="-5"/>
                <w:sz w:val="18"/>
              </w:rPr>
              <w:t>10</w:t>
            </w:r>
          </w:p>
        </w:tc>
        <w:tc>
          <w:tcPr>
            <w:tcW w:w="637" w:type="dxa"/>
          </w:tcPr>
          <w:p w14:paraId="24D62134" w14:textId="77777777" w:rsidR="00245300" w:rsidRPr="00EC20A0" w:rsidRDefault="00245300">
            <w:pPr>
              <w:pStyle w:val="TableParagraph"/>
              <w:rPr>
                <w:sz w:val="16"/>
              </w:rPr>
            </w:pPr>
          </w:p>
        </w:tc>
        <w:tc>
          <w:tcPr>
            <w:tcW w:w="720" w:type="dxa"/>
          </w:tcPr>
          <w:p w14:paraId="24D62135" w14:textId="77777777" w:rsidR="00245300" w:rsidRPr="00EC20A0" w:rsidRDefault="00245300">
            <w:pPr>
              <w:pStyle w:val="TableParagraph"/>
              <w:rPr>
                <w:sz w:val="16"/>
              </w:rPr>
            </w:pPr>
          </w:p>
        </w:tc>
        <w:tc>
          <w:tcPr>
            <w:tcW w:w="720" w:type="dxa"/>
          </w:tcPr>
          <w:p w14:paraId="24D62136" w14:textId="77777777" w:rsidR="00245300" w:rsidRPr="00EC20A0" w:rsidRDefault="00245300">
            <w:pPr>
              <w:pStyle w:val="TableParagraph"/>
              <w:rPr>
                <w:sz w:val="16"/>
              </w:rPr>
            </w:pPr>
          </w:p>
        </w:tc>
        <w:tc>
          <w:tcPr>
            <w:tcW w:w="720" w:type="dxa"/>
          </w:tcPr>
          <w:p w14:paraId="24D62137" w14:textId="77777777" w:rsidR="00245300" w:rsidRPr="00EC20A0" w:rsidRDefault="00245300">
            <w:pPr>
              <w:pStyle w:val="TableParagraph"/>
              <w:rPr>
                <w:sz w:val="16"/>
              </w:rPr>
            </w:pPr>
          </w:p>
        </w:tc>
        <w:tc>
          <w:tcPr>
            <w:tcW w:w="720" w:type="dxa"/>
          </w:tcPr>
          <w:p w14:paraId="24D62138" w14:textId="77777777" w:rsidR="00245300" w:rsidRPr="00EC20A0" w:rsidRDefault="00245300">
            <w:pPr>
              <w:pStyle w:val="TableParagraph"/>
              <w:rPr>
                <w:sz w:val="16"/>
              </w:rPr>
            </w:pPr>
          </w:p>
        </w:tc>
        <w:tc>
          <w:tcPr>
            <w:tcW w:w="1080" w:type="dxa"/>
          </w:tcPr>
          <w:p w14:paraId="24D62139" w14:textId="77777777" w:rsidR="00245300" w:rsidRPr="00EC20A0" w:rsidRDefault="00245300">
            <w:pPr>
              <w:pStyle w:val="TableParagraph"/>
              <w:rPr>
                <w:sz w:val="16"/>
              </w:rPr>
            </w:pPr>
          </w:p>
        </w:tc>
        <w:tc>
          <w:tcPr>
            <w:tcW w:w="630" w:type="dxa"/>
          </w:tcPr>
          <w:p w14:paraId="24D6213A" w14:textId="77777777" w:rsidR="00245300" w:rsidRPr="00EC20A0" w:rsidRDefault="00245300">
            <w:pPr>
              <w:pStyle w:val="TableParagraph"/>
              <w:rPr>
                <w:sz w:val="16"/>
              </w:rPr>
            </w:pPr>
          </w:p>
        </w:tc>
        <w:tc>
          <w:tcPr>
            <w:tcW w:w="720" w:type="dxa"/>
          </w:tcPr>
          <w:p w14:paraId="24D6213B" w14:textId="77777777" w:rsidR="00245300" w:rsidRPr="00EC20A0" w:rsidRDefault="00245300">
            <w:pPr>
              <w:pStyle w:val="TableParagraph"/>
              <w:rPr>
                <w:sz w:val="16"/>
              </w:rPr>
            </w:pPr>
          </w:p>
        </w:tc>
        <w:tc>
          <w:tcPr>
            <w:tcW w:w="900" w:type="dxa"/>
          </w:tcPr>
          <w:p w14:paraId="24D6213C" w14:textId="77777777" w:rsidR="00245300" w:rsidRPr="00EC20A0" w:rsidRDefault="00245300">
            <w:pPr>
              <w:pStyle w:val="TableParagraph"/>
              <w:rPr>
                <w:sz w:val="16"/>
              </w:rPr>
            </w:pPr>
          </w:p>
        </w:tc>
        <w:tc>
          <w:tcPr>
            <w:tcW w:w="900" w:type="dxa"/>
          </w:tcPr>
          <w:p w14:paraId="24D6213D" w14:textId="77777777" w:rsidR="00245300" w:rsidRPr="00EC20A0" w:rsidRDefault="00245300">
            <w:pPr>
              <w:pStyle w:val="TableParagraph"/>
              <w:rPr>
                <w:sz w:val="16"/>
              </w:rPr>
            </w:pPr>
          </w:p>
        </w:tc>
        <w:tc>
          <w:tcPr>
            <w:tcW w:w="1080" w:type="dxa"/>
          </w:tcPr>
          <w:p w14:paraId="24D6213E" w14:textId="77777777" w:rsidR="00245300" w:rsidRPr="00EC20A0" w:rsidRDefault="00245300">
            <w:pPr>
              <w:pStyle w:val="TableParagraph"/>
              <w:rPr>
                <w:sz w:val="16"/>
              </w:rPr>
            </w:pPr>
          </w:p>
        </w:tc>
        <w:tc>
          <w:tcPr>
            <w:tcW w:w="540" w:type="dxa"/>
          </w:tcPr>
          <w:p w14:paraId="24D6213F" w14:textId="77777777" w:rsidR="00245300" w:rsidRPr="00EC20A0" w:rsidRDefault="00245300">
            <w:pPr>
              <w:pStyle w:val="TableParagraph"/>
              <w:rPr>
                <w:sz w:val="16"/>
              </w:rPr>
            </w:pPr>
          </w:p>
        </w:tc>
        <w:tc>
          <w:tcPr>
            <w:tcW w:w="630" w:type="dxa"/>
          </w:tcPr>
          <w:p w14:paraId="24D62140" w14:textId="77777777" w:rsidR="00245300" w:rsidRPr="00EC20A0" w:rsidRDefault="00245300">
            <w:pPr>
              <w:pStyle w:val="TableParagraph"/>
              <w:rPr>
                <w:sz w:val="16"/>
              </w:rPr>
            </w:pPr>
          </w:p>
        </w:tc>
        <w:tc>
          <w:tcPr>
            <w:tcW w:w="630" w:type="dxa"/>
          </w:tcPr>
          <w:p w14:paraId="24D62141" w14:textId="77777777" w:rsidR="00245300" w:rsidRPr="00EC20A0" w:rsidRDefault="00245300">
            <w:pPr>
              <w:pStyle w:val="TableParagraph"/>
              <w:rPr>
                <w:sz w:val="16"/>
              </w:rPr>
            </w:pPr>
          </w:p>
        </w:tc>
        <w:tc>
          <w:tcPr>
            <w:tcW w:w="1170" w:type="dxa"/>
          </w:tcPr>
          <w:p w14:paraId="24D62142" w14:textId="77777777" w:rsidR="00245300" w:rsidRPr="00EC20A0" w:rsidRDefault="00245300">
            <w:pPr>
              <w:pStyle w:val="TableParagraph"/>
              <w:rPr>
                <w:sz w:val="16"/>
              </w:rPr>
            </w:pPr>
          </w:p>
        </w:tc>
        <w:tc>
          <w:tcPr>
            <w:tcW w:w="1260" w:type="dxa"/>
          </w:tcPr>
          <w:p w14:paraId="24D62143" w14:textId="77777777" w:rsidR="00245300" w:rsidRPr="00EC20A0" w:rsidRDefault="00245300">
            <w:pPr>
              <w:pStyle w:val="TableParagraph"/>
              <w:rPr>
                <w:sz w:val="16"/>
              </w:rPr>
            </w:pPr>
          </w:p>
        </w:tc>
        <w:tc>
          <w:tcPr>
            <w:tcW w:w="1890" w:type="dxa"/>
          </w:tcPr>
          <w:p w14:paraId="24D62144" w14:textId="77777777" w:rsidR="00245300" w:rsidRPr="00EC20A0" w:rsidRDefault="00245300">
            <w:pPr>
              <w:pStyle w:val="TableParagraph"/>
              <w:rPr>
                <w:sz w:val="16"/>
              </w:rPr>
            </w:pPr>
          </w:p>
        </w:tc>
        <w:tc>
          <w:tcPr>
            <w:tcW w:w="900" w:type="dxa"/>
          </w:tcPr>
          <w:p w14:paraId="24D62145" w14:textId="77777777" w:rsidR="00245300" w:rsidRPr="00EC20A0" w:rsidRDefault="00245300">
            <w:pPr>
              <w:pStyle w:val="TableParagraph"/>
              <w:rPr>
                <w:sz w:val="16"/>
              </w:rPr>
            </w:pPr>
          </w:p>
        </w:tc>
        <w:tc>
          <w:tcPr>
            <w:tcW w:w="630" w:type="dxa"/>
          </w:tcPr>
          <w:p w14:paraId="24D62146" w14:textId="77777777" w:rsidR="00245300" w:rsidRPr="00EC20A0" w:rsidRDefault="00245300">
            <w:pPr>
              <w:pStyle w:val="TableParagraph"/>
              <w:rPr>
                <w:sz w:val="16"/>
              </w:rPr>
            </w:pPr>
          </w:p>
        </w:tc>
        <w:tc>
          <w:tcPr>
            <w:tcW w:w="1800" w:type="dxa"/>
          </w:tcPr>
          <w:p w14:paraId="24D62147" w14:textId="77777777" w:rsidR="00245300" w:rsidRPr="00EC20A0" w:rsidRDefault="00245300">
            <w:pPr>
              <w:pStyle w:val="TableParagraph"/>
              <w:rPr>
                <w:sz w:val="16"/>
              </w:rPr>
            </w:pPr>
          </w:p>
        </w:tc>
        <w:tc>
          <w:tcPr>
            <w:tcW w:w="540" w:type="dxa"/>
          </w:tcPr>
          <w:p w14:paraId="24D62148" w14:textId="77777777" w:rsidR="00245300" w:rsidRPr="00EC20A0" w:rsidRDefault="00245300">
            <w:pPr>
              <w:pStyle w:val="TableParagraph"/>
              <w:rPr>
                <w:sz w:val="16"/>
              </w:rPr>
            </w:pPr>
          </w:p>
        </w:tc>
        <w:tc>
          <w:tcPr>
            <w:tcW w:w="1440" w:type="dxa"/>
          </w:tcPr>
          <w:p w14:paraId="24D62149" w14:textId="77777777" w:rsidR="00245300" w:rsidRPr="00EC20A0" w:rsidRDefault="00245300">
            <w:pPr>
              <w:pStyle w:val="TableParagraph"/>
              <w:rPr>
                <w:sz w:val="16"/>
              </w:rPr>
            </w:pPr>
          </w:p>
        </w:tc>
        <w:tc>
          <w:tcPr>
            <w:tcW w:w="630" w:type="dxa"/>
          </w:tcPr>
          <w:p w14:paraId="24D6214A" w14:textId="77777777" w:rsidR="00245300" w:rsidRPr="00EC20A0" w:rsidRDefault="00245300">
            <w:pPr>
              <w:pStyle w:val="TableParagraph"/>
              <w:rPr>
                <w:sz w:val="16"/>
              </w:rPr>
            </w:pPr>
          </w:p>
        </w:tc>
      </w:tr>
      <w:tr w:rsidR="00245300" w:rsidRPr="00EC20A0" w14:paraId="24D62164" w14:textId="77777777">
        <w:trPr>
          <w:trHeight w:val="299"/>
        </w:trPr>
        <w:tc>
          <w:tcPr>
            <w:tcW w:w="1075" w:type="dxa"/>
          </w:tcPr>
          <w:p w14:paraId="24D6214C" w14:textId="77777777" w:rsidR="00245300" w:rsidRPr="00EC20A0" w:rsidRDefault="00F17249">
            <w:pPr>
              <w:pStyle w:val="TableParagraph"/>
              <w:spacing w:before="92" w:line="187" w:lineRule="exact"/>
              <w:ind w:right="103"/>
              <w:jc w:val="right"/>
              <w:rPr>
                <w:sz w:val="18"/>
              </w:rPr>
            </w:pPr>
            <w:r w:rsidRPr="00EC20A0">
              <w:rPr>
                <w:spacing w:val="-5"/>
                <w:sz w:val="18"/>
              </w:rPr>
              <w:t>11</w:t>
            </w:r>
          </w:p>
        </w:tc>
        <w:tc>
          <w:tcPr>
            <w:tcW w:w="637" w:type="dxa"/>
          </w:tcPr>
          <w:p w14:paraId="24D6214D" w14:textId="77777777" w:rsidR="00245300" w:rsidRPr="00EC20A0" w:rsidRDefault="00245300">
            <w:pPr>
              <w:pStyle w:val="TableParagraph"/>
              <w:rPr>
                <w:sz w:val="16"/>
              </w:rPr>
            </w:pPr>
          </w:p>
        </w:tc>
        <w:tc>
          <w:tcPr>
            <w:tcW w:w="720" w:type="dxa"/>
          </w:tcPr>
          <w:p w14:paraId="24D6214E" w14:textId="77777777" w:rsidR="00245300" w:rsidRPr="00EC20A0" w:rsidRDefault="00245300">
            <w:pPr>
              <w:pStyle w:val="TableParagraph"/>
              <w:rPr>
                <w:sz w:val="16"/>
              </w:rPr>
            </w:pPr>
          </w:p>
        </w:tc>
        <w:tc>
          <w:tcPr>
            <w:tcW w:w="720" w:type="dxa"/>
          </w:tcPr>
          <w:p w14:paraId="24D6214F" w14:textId="77777777" w:rsidR="00245300" w:rsidRPr="00EC20A0" w:rsidRDefault="00245300">
            <w:pPr>
              <w:pStyle w:val="TableParagraph"/>
              <w:rPr>
                <w:sz w:val="16"/>
              </w:rPr>
            </w:pPr>
          </w:p>
        </w:tc>
        <w:tc>
          <w:tcPr>
            <w:tcW w:w="720" w:type="dxa"/>
          </w:tcPr>
          <w:p w14:paraId="24D62150" w14:textId="77777777" w:rsidR="00245300" w:rsidRPr="00EC20A0" w:rsidRDefault="00245300">
            <w:pPr>
              <w:pStyle w:val="TableParagraph"/>
              <w:rPr>
                <w:sz w:val="16"/>
              </w:rPr>
            </w:pPr>
          </w:p>
        </w:tc>
        <w:tc>
          <w:tcPr>
            <w:tcW w:w="720" w:type="dxa"/>
          </w:tcPr>
          <w:p w14:paraId="24D62151" w14:textId="77777777" w:rsidR="00245300" w:rsidRPr="00EC20A0" w:rsidRDefault="00245300">
            <w:pPr>
              <w:pStyle w:val="TableParagraph"/>
              <w:rPr>
                <w:sz w:val="16"/>
              </w:rPr>
            </w:pPr>
          </w:p>
        </w:tc>
        <w:tc>
          <w:tcPr>
            <w:tcW w:w="1080" w:type="dxa"/>
          </w:tcPr>
          <w:p w14:paraId="24D62152" w14:textId="77777777" w:rsidR="00245300" w:rsidRPr="00EC20A0" w:rsidRDefault="00245300">
            <w:pPr>
              <w:pStyle w:val="TableParagraph"/>
              <w:rPr>
                <w:sz w:val="16"/>
              </w:rPr>
            </w:pPr>
          </w:p>
        </w:tc>
        <w:tc>
          <w:tcPr>
            <w:tcW w:w="630" w:type="dxa"/>
          </w:tcPr>
          <w:p w14:paraId="24D62153" w14:textId="77777777" w:rsidR="00245300" w:rsidRPr="00EC20A0" w:rsidRDefault="00245300">
            <w:pPr>
              <w:pStyle w:val="TableParagraph"/>
              <w:rPr>
                <w:sz w:val="16"/>
              </w:rPr>
            </w:pPr>
          </w:p>
        </w:tc>
        <w:tc>
          <w:tcPr>
            <w:tcW w:w="720" w:type="dxa"/>
          </w:tcPr>
          <w:p w14:paraId="24D62154" w14:textId="77777777" w:rsidR="00245300" w:rsidRPr="00EC20A0" w:rsidRDefault="00245300">
            <w:pPr>
              <w:pStyle w:val="TableParagraph"/>
              <w:rPr>
                <w:sz w:val="16"/>
              </w:rPr>
            </w:pPr>
          </w:p>
        </w:tc>
        <w:tc>
          <w:tcPr>
            <w:tcW w:w="900" w:type="dxa"/>
          </w:tcPr>
          <w:p w14:paraId="24D62155" w14:textId="77777777" w:rsidR="00245300" w:rsidRPr="00EC20A0" w:rsidRDefault="00245300">
            <w:pPr>
              <w:pStyle w:val="TableParagraph"/>
              <w:rPr>
                <w:sz w:val="16"/>
              </w:rPr>
            </w:pPr>
          </w:p>
        </w:tc>
        <w:tc>
          <w:tcPr>
            <w:tcW w:w="900" w:type="dxa"/>
          </w:tcPr>
          <w:p w14:paraId="24D62156" w14:textId="77777777" w:rsidR="00245300" w:rsidRPr="00EC20A0" w:rsidRDefault="00245300">
            <w:pPr>
              <w:pStyle w:val="TableParagraph"/>
              <w:rPr>
                <w:sz w:val="16"/>
              </w:rPr>
            </w:pPr>
          </w:p>
        </w:tc>
        <w:tc>
          <w:tcPr>
            <w:tcW w:w="1080" w:type="dxa"/>
          </w:tcPr>
          <w:p w14:paraId="24D62157" w14:textId="77777777" w:rsidR="00245300" w:rsidRPr="00EC20A0" w:rsidRDefault="00245300">
            <w:pPr>
              <w:pStyle w:val="TableParagraph"/>
              <w:rPr>
                <w:sz w:val="16"/>
              </w:rPr>
            </w:pPr>
          </w:p>
        </w:tc>
        <w:tc>
          <w:tcPr>
            <w:tcW w:w="540" w:type="dxa"/>
          </w:tcPr>
          <w:p w14:paraId="24D62158" w14:textId="77777777" w:rsidR="00245300" w:rsidRPr="00EC20A0" w:rsidRDefault="00245300">
            <w:pPr>
              <w:pStyle w:val="TableParagraph"/>
              <w:rPr>
                <w:sz w:val="16"/>
              </w:rPr>
            </w:pPr>
          </w:p>
        </w:tc>
        <w:tc>
          <w:tcPr>
            <w:tcW w:w="630" w:type="dxa"/>
          </w:tcPr>
          <w:p w14:paraId="24D62159" w14:textId="77777777" w:rsidR="00245300" w:rsidRPr="00EC20A0" w:rsidRDefault="00245300">
            <w:pPr>
              <w:pStyle w:val="TableParagraph"/>
              <w:rPr>
                <w:sz w:val="16"/>
              </w:rPr>
            </w:pPr>
          </w:p>
        </w:tc>
        <w:tc>
          <w:tcPr>
            <w:tcW w:w="630" w:type="dxa"/>
          </w:tcPr>
          <w:p w14:paraId="24D6215A" w14:textId="77777777" w:rsidR="00245300" w:rsidRPr="00EC20A0" w:rsidRDefault="00245300">
            <w:pPr>
              <w:pStyle w:val="TableParagraph"/>
              <w:rPr>
                <w:sz w:val="16"/>
              </w:rPr>
            </w:pPr>
          </w:p>
        </w:tc>
        <w:tc>
          <w:tcPr>
            <w:tcW w:w="1170" w:type="dxa"/>
          </w:tcPr>
          <w:p w14:paraId="24D6215B" w14:textId="77777777" w:rsidR="00245300" w:rsidRPr="00EC20A0" w:rsidRDefault="00245300">
            <w:pPr>
              <w:pStyle w:val="TableParagraph"/>
              <w:rPr>
                <w:sz w:val="16"/>
              </w:rPr>
            </w:pPr>
          </w:p>
        </w:tc>
        <w:tc>
          <w:tcPr>
            <w:tcW w:w="1260" w:type="dxa"/>
          </w:tcPr>
          <w:p w14:paraId="24D6215C" w14:textId="77777777" w:rsidR="00245300" w:rsidRPr="00EC20A0" w:rsidRDefault="00245300">
            <w:pPr>
              <w:pStyle w:val="TableParagraph"/>
              <w:rPr>
                <w:sz w:val="16"/>
              </w:rPr>
            </w:pPr>
          </w:p>
        </w:tc>
        <w:tc>
          <w:tcPr>
            <w:tcW w:w="1890" w:type="dxa"/>
          </w:tcPr>
          <w:p w14:paraId="24D6215D" w14:textId="77777777" w:rsidR="00245300" w:rsidRPr="00EC20A0" w:rsidRDefault="00245300">
            <w:pPr>
              <w:pStyle w:val="TableParagraph"/>
              <w:rPr>
                <w:sz w:val="16"/>
              </w:rPr>
            </w:pPr>
          </w:p>
        </w:tc>
        <w:tc>
          <w:tcPr>
            <w:tcW w:w="900" w:type="dxa"/>
          </w:tcPr>
          <w:p w14:paraId="24D6215E" w14:textId="77777777" w:rsidR="00245300" w:rsidRPr="00EC20A0" w:rsidRDefault="00245300">
            <w:pPr>
              <w:pStyle w:val="TableParagraph"/>
              <w:rPr>
                <w:sz w:val="16"/>
              </w:rPr>
            </w:pPr>
          </w:p>
        </w:tc>
        <w:tc>
          <w:tcPr>
            <w:tcW w:w="630" w:type="dxa"/>
          </w:tcPr>
          <w:p w14:paraId="24D6215F" w14:textId="77777777" w:rsidR="00245300" w:rsidRPr="00EC20A0" w:rsidRDefault="00245300">
            <w:pPr>
              <w:pStyle w:val="TableParagraph"/>
              <w:rPr>
                <w:sz w:val="16"/>
              </w:rPr>
            </w:pPr>
          </w:p>
        </w:tc>
        <w:tc>
          <w:tcPr>
            <w:tcW w:w="1800" w:type="dxa"/>
          </w:tcPr>
          <w:p w14:paraId="24D62160" w14:textId="77777777" w:rsidR="00245300" w:rsidRPr="00EC20A0" w:rsidRDefault="00245300">
            <w:pPr>
              <w:pStyle w:val="TableParagraph"/>
              <w:rPr>
                <w:sz w:val="16"/>
              </w:rPr>
            </w:pPr>
          </w:p>
        </w:tc>
        <w:tc>
          <w:tcPr>
            <w:tcW w:w="540" w:type="dxa"/>
          </w:tcPr>
          <w:p w14:paraId="24D62161" w14:textId="77777777" w:rsidR="00245300" w:rsidRPr="00EC20A0" w:rsidRDefault="00245300">
            <w:pPr>
              <w:pStyle w:val="TableParagraph"/>
              <w:rPr>
                <w:sz w:val="16"/>
              </w:rPr>
            </w:pPr>
          </w:p>
        </w:tc>
        <w:tc>
          <w:tcPr>
            <w:tcW w:w="1440" w:type="dxa"/>
          </w:tcPr>
          <w:p w14:paraId="24D62162" w14:textId="77777777" w:rsidR="00245300" w:rsidRPr="00EC20A0" w:rsidRDefault="00245300">
            <w:pPr>
              <w:pStyle w:val="TableParagraph"/>
              <w:rPr>
                <w:sz w:val="16"/>
              </w:rPr>
            </w:pPr>
          </w:p>
        </w:tc>
        <w:tc>
          <w:tcPr>
            <w:tcW w:w="630" w:type="dxa"/>
          </w:tcPr>
          <w:p w14:paraId="24D62163" w14:textId="77777777" w:rsidR="00245300" w:rsidRPr="00EC20A0" w:rsidRDefault="00245300">
            <w:pPr>
              <w:pStyle w:val="TableParagraph"/>
              <w:rPr>
                <w:sz w:val="16"/>
              </w:rPr>
            </w:pPr>
          </w:p>
        </w:tc>
      </w:tr>
      <w:tr w:rsidR="00245300" w:rsidRPr="00EC20A0" w14:paraId="24D6217D" w14:textId="77777777">
        <w:trPr>
          <w:trHeight w:val="299"/>
        </w:trPr>
        <w:tc>
          <w:tcPr>
            <w:tcW w:w="1075" w:type="dxa"/>
          </w:tcPr>
          <w:p w14:paraId="24D62165" w14:textId="77777777" w:rsidR="00245300" w:rsidRPr="00EC20A0" w:rsidRDefault="00F17249">
            <w:pPr>
              <w:pStyle w:val="TableParagraph"/>
              <w:spacing w:before="92" w:line="187" w:lineRule="exact"/>
              <w:ind w:right="104"/>
              <w:jc w:val="right"/>
              <w:rPr>
                <w:sz w:val="18"/>
              </w:rPr>
            </w:pPr>
            <w:r w:rsidRPr="00EC20A0">
              <w:rPr>
                <w:spacing w:val="-5"/>
                <w:sz w:val="18"/>
              </w:rPr>
              <w:t>12</w:t>
            </w:r>
          </w:p>
        </w:tc>
        <w:tc>
          <w:tcPr>
            <w:tcW w:w="637" w:type="dxa"/>
          </w:tcPr>
          <w:p w14:paraId="24D62166" w14:textId="77777777" w:rsidR="00245300" w:rsidRPr="00EC20A0" w:rsidRDefault="00245300">
            <w:pPr>
              <w:pStyle w:val="TableParagraph"/>
              <w:rPr>
                <w:sz w:val="16"/>
              </w:rPr>
            </w:pPr>
          </w:p>
        </w:tc>
        <w:tc>
          <w:tcPr>
            <w:tcW w:w="720" w:type="dxa"/>
          </w:tcPr>
          <w:p w14:paraId="24D62167" w14:textId="77777777" w:rsidR="00245300" w:rsidRPr="00EC20A0" w:rsidRDefault="00245300">
            <w:pPr>
              <w:pStyle w:val="TableParagraph"/>
              <w:rPr>
                <w:sz w:val="16"/>
              </w:rPr>
            </w:pPr>
          </w:p>
        </w:tc>
        <w:tc>
          <w:tcPr>
            <w:tcW w:w="720" w:type="dxa"/>
          </w:tcPr>
          <w:p w14:paraId="24D62168" w14:textId="77777777" w:rsidR="00245300" w:rsidRPr="00EC20A0" w:rsidRDefault="00245300">
            <w:pPr>
              <w:pStyle w:val="TableParagraph"/>
              <w:rPr>
                <w:sz w:val="16"/>
              </w:rPr>
            </w:pPr>
          </w:p>
        </w:tc>
        <w:tc>
          <w:tcPr>
            <w:tcW w:w="720" w:type="dxa"/>
          </w:tcPr>
          <w:p w14:paraId="24D62169" w14:textId="77777777" w:rsidR="00245300" w:rsidRPr="00EC20A0" w:rsidRDefault="00245300">
            <w:pPr>
              <w:pStyle w:val="TableParagraph"/>
              <w:rPr>
                <w:sz w:val="16"/>
              </w:rPr>
            </w:pPr>
          </w:p>
        </w:tc>
        <w:tc>
          <w:tcPr>
            <w:tcW w:w="720" w:type="dxa"/>
          </w:tcPr>
          <w:p w14:paraId="24D6216A" w14:textId="77777777" w:rsidR="00245300" w:rsidRPr="00EC20A0" w:rsidRDefault="00245300">
            <w:pPr>
              <w:pStyle w:val="TableParagraph"/>
              <w:rPr>
                <w:sz w:val="16"/>
              </w:rPr>
            </w:pPr>
          </w:p>
        </w:tc>
        <w:tc>
          <w:tcPr>
            <w:tcW w:w="1080" w:type="dxa"/>
          </w:tcPr>
          <w:p w14:paraId="24D6216B" w14:textId="77777777" w:rsidR="00245300" w:rsidRPr="00EC20A0" w:rsidRDefault="00245300">
            <w:pPr>
              <w:pStyle w:val="TableParagraph"/>
              <w:rPr>
                <w:sz w:val="16"/>
              </w:rPr>
            </w:pPr>
          </w:p>
        </w:tc>
        <w:tc>
          <w:tcPr>
            <w:tcW w:w="630" w:type="dxa"/>
          </w:tcPr>
          <w:p w14:paraId="24D6216C" w14:textId="77777777" w:rsidR="00245300" w:rsidRPr="00EC20A0" w:rsidRDefault="00245300">
            <w:pPr>
              <w:pStyle w:val="TableParagraph"/>
              <w:rPr>
                <w:sz w:val="16"/>
              </w:rPr>
            </w:pPr>
          </w:p>
        </w:tc>
        <w:tc>
          <w:tcPr>
            <w:tcW w:w="720" w:type="dxa"/>
          </w:tcPr>
          <w:p w14:paraId="24D6216D" w14:textId="77777777" w:rsidR="00245300" w:rsidRPr="00EC20A0" w:rsidRDefault="00245300">
            <w:pPr>
              <w:pStyle w:val="TableParagraph"/>
              <w:rPr>
                <w:sz w:val="16"/>
              </w:rPr>
            </w:pPr>
          </w:p>
        </w:tc>
        <w:tc>
          <w:tcPr>
            <w:tcW w:w="900" w:type="dxa"/>
          </w:tcPr>
          <w:p w14:paraId="24D6216E" w14:textId="77777777" w:rsidR="00245300" w:rsidRPr="00EC20A0" w:rsidRDefault="00245300">
            <w:pPr>
              <w:pStyle w:val="TableParagraph"/>
              <w:rPr>
                <w:sz w:val="16"/>
              </w:rPr>
            </w:pPr>
          </w:p>
        </w:tc>
        <w:tc>
          <w:tcPr>
            <w:tcW w:w="900" w:type="dxa"/>
          </w:tcPr>
          <w:p w14:paraId="24D6216F" w14:textId="77777777" w:rsidR="00245300" w:rsidRPr="00EC20A0" w:rsidRDefault="00245300">
            <w:pPr>
              <w:pStyle w:val="TableParagraph"/>
              <w:rPr>
                <w:sz w:val="16"/>
              </w:rPr>
            </w:pPr>
          </w:p>
        </w:tc>
        <w:tc>
          <w:tcPr>
            <w:tcW w:w="1080" w:type="dxa"/>
          </w:tcPr>
          <w:p w14:paraId="24D62170" w14:textId="77777777" w:rsidR="00245300" w:rsidRPr="00EC20A0" w:rsidRDefault="00245300">
            <w:pPr>
              <w:pStyle w:val="TableParagraph"/>
              <w:rPr>
                <w:sz w:val="16"/>
              </w:rPr>
            </w:pPr>
          </w:p>
        </w:tc>
        <w:tc>
          <w:tcPr>
            <w:tcW w:w="540" w:type="dxa"/>
          </w:tcPr>
          <w:p w14:paraId="24D62171" w14:textId="77777777" w:rsidR="00245300" w:rsidRPr="00EC20A0" w:rsidRDefault="00245300">
            <w:pPr>
              <w:pStyle w:val="TableParagraph"/>
              <w:rPr>
                <w:sz w:val="16"/>
              </w:rPr>
            </w:pPr>
          </w:p>
        </w:tc>
        <w:tc>
          <w:tcPr>
            <w:tcW w:w="630" w:type="dxa"/>
          </w:tcPr>
          <w:p w14:paraId="24D62172" w14:textId="77777777" w:rsidR="00245300" w:rsidRPr="00EC20A0" w:rsidRDefault="00245300">
            <w:pPr>
              <w:pStyle w:val="TableParagraph"/>
              <w:rPr>
                <w:sz w:val="16"/>
              </w:rPr>
            </w:pPr>
          </w:p>
        </w:tc>
        <w:tc>
          <w:tcPr>
            <w:tcW w:w="630" w:type="dxa"/>
          </w:tcPr>
          <w:p w14:paraId="24D62173" w14:textId="77777777" w:rsidR="00245300" w:rsidRPr="00EC20A0" w:rsidRDefault="00245300">
            <w:pPr>
              <w:pStyle w:val="TableParagraph"/>
              <w:rPr>
                <w:sz w:val="16"/>
              </w:rPr>
            </w:pPr>
          </w:p>
        </w:tc>
        <w:tc>
          <w:tcPr>
            <w:tcW w:w="1170" w:type="dxa"/>
          </w:tcPr>
          <w:p w14:paraId="24D62174" w14:textId="77777777" w:rsidR="00245300" w:rsidRPr="00EC20A0" w:rsidRDefault="00245300">
            <w:pPr>
              <w:pStyle w:val="TableParagraph"/>
              <w:rPr>
                <w:sz w:val="16"/>
              </w:rPr>
            </w:pPr>
          </w:p>
        </w:tc>
        <w:tc>
          <w:tcPr>
            <w:tcW w:w="1260" w:type="dxa"/>
          </w:tcPr>
          <w:p w14:paraId="24D62175" w14:textId="77777777" w:rsidR="00245300" w:rsidRPr="00EC20A0" w:rsidRDefault="00245300">
            <w:pPr>
              <w:pStyle w:val="TableParagraph"/>
              <w:rPr>
                <w:sz w:val="16"/>
              </w:rPr>
            </w:pPr>
          </w:p>
        </w:tc>
        <w:tc>
          <w:tcPr>
            <w:tcW w:w="1890" w:type="dxa"/>
          </w:tcPr>
          <w:p w14:paraId="24D62176" w14:textId="77777777" w:rsidR="00245300" w:rsidRPr="00EC20A0" w:rsidRDefault="00245300">
            <w:pPr>
              <w:pStyle w:val="TableParagraph"/>
              <w:rPr>
                <w:sz w:val="16"/>
              </w:rPr>
            </w:pPr>
          </w:p>
        </w:tc>
        <w:tc>
          <w:tcPr>
            <w:tcW w:w="900" w:type="dxa"/>
          </w:tcPr>
          <w:p w14:paraId="24D62177" w14:textId="77777777" w:rsidR="00245300" w:rsidRPr="00EC20A0" w:rsidRDefault="00245300">
            <w:pPr>
              <w:pStyle w:val="TableParagraph"/>
              <w:rPr>
                <w:sz w:val="16"/>
              </w:rPr>
            </w:pPr>
          </w:p>
        </w:tc>
        <w:tc>
          <w:tcPr>
            <w:tcW w:w="630" w:type="dxa"/>
          </w:tcPr>
          <w:p w14:paraId="24D62178" w14:textId="77777777" w:rsidR="00245300" w:rsidRPr="00EC20A0" w:rsidRDefault="00245300">
            <w:pPr>
              <w:pStyle w:val="TableParagraph"/>
              <w:rPr>
                <w:sz w:val="16"/>
              </w:rPr>
            </w:pPr>
          </w:p>
        </w:tc>
        <w:tc>
          <w:tcPr>
            <w:tcW w:w="1800" w:type="dxa"/>
          </w:tcPr>
          <w:p w14:paraId="24D62179" w14:textId="77777777" w:rsidR="00245300" w:rsidRPr="00EC20A0" w:rsidRDefault="00245300">
            <w:pPr>
              <w:pStyle w:val="TableParagraph"/>
              <w:rPr>
                <w:sz w:val="16"/>
              </w:rPr>
            </w:pPr>
          </w:p>
        </w:tc>
        <w:tc>
          <w:tcPr>
            <w:tcW w:w="540" w:type="dxa"/>
          </w:tcPr>
          <w:p w14:paraId="24D6217A" w14:textId="77777777" w:rsidR="00245300" w:rsidRPr="00EC20A0" w:rsidRDefault="00245300">
            <w:pPr>
              <w:pStyle w:val="TableParagraph"/>
              <w:rPr>
                <w:sz w:val="16"/>
              </w:rPr>
            </w:pPr>
          </w:p>
        </w:tc>
        <w:tc>
          <w:tcPr>
            <w:tcW w:w="1440" w:type="dxa"/>
          </w:tcPr>
          <w:p w14:paraId="24D6217B" w14:textId="77777777" w:rsidR="00245300" w:rsidRPr="00EC20A0" w:rsidRDefault="00245300">
            <w:pPr>
              <w:pStyle w:val="TableParagraph"/>
              <w:rPr>
                <w:sz w:val="16"/>
              </w:rPr>
            </w:pPr>
          </w:p>
        </w:tc>
        <w:tc>
          <w:tcPr>
            <w:tcW w:w="630" w:type="dxa"/>
          </w:tcPr>
          <w:p w14:paraId="24D6217C" w14:textId="77777777" w:rsidR="00245300" w:rsidRPr="00EC20A0" w:rsidRDefault="00245300">
            <w:pPr>
              <w:pStyle w:val="TableParagraph"/>
              <w:rPr>
                <w:sz w:val="16"/>
              </w:rPr>
            </w:pPr>
          </w:p>
        </w:tc>
      </w:tr>
      <w:tr w:rsidR="00245300" w:rsidRPr="00EC20A0" w14:paraId="24D62192" w14:textId="77777777">
        <w:trPr>
          <w:trHeight w:val="300"/>
        </w:trPr>
        <w:tc>
          <w:tcPr>
            <w:tcW w:w="3872" w:type="dxa"/>
            <w:gridSpan w:val="5"/>
          </w:tcPr>
          <w:p w14:paraId="24D6217E" w14:textId="77777777" w:rsidR="00245300" w:rsidRPr="00EC20A0" w:rsidRDefault="00F17249">
            <w:pPr>
              <w:pStyle w:val="TableParagraph"/>
              <w:ind w:left="530"/>
              <w:rPr>
                <w:i/>
                <w:sz w:val="18"/>
              </w:rPr>
            </w:pPr>
            <w:r w:rsidRPr="00EC20A0">
              <w:rPr>
                <w:i/>
                <w:sz w:val="18"/>
              </w:rPr>
              <w:t>***insert</w:t>
            </w:r>
            <w:r w:rsidRPr="00EC20A0">
              <w:rPr>
                <w:i/>
                <w:spacing w:val="-3"/>
                <w:sz w:val="18"/>
              </w:rPr>
              <w:t xml:space="preserve"> </w:t>
            </w:r>
            <w:r w:rsidRPr="00EC20A0">
              <w:rPr>
                <w:i/>
                <w:sz w:val="18"/>
              </w:rPr>
              <w:t>rows</w:t>
            </w:r>
            <w:r w:rsidRPr="00EC20A0">
              <w:rPr>
                <w:i/>
                <w:spacing w:val="-2"/>
                <w:sz w:val="18"/>
              </w:rPr>
              <w:t xml:space="preserve"> </w:t>
            </w:r>
            <w:r w:rsidRPr="00EC20A0">
              <w:rPr>
                <w:i/>
                <w:sz w:val="18"/>
              </w:rPr>
              <w:t>here</w:t>
            </w:r>
            <w:r w:rsidRPr="00EC20A0">
              <w:rPr>
                <w:i/>
                <w:spacing w:val="-3"/>
                <w:sz w:val="18"/>
              </w:rPr>
              <w:t xml:space="preserve"> </w:t>
            </w:r>
            <w:r w:rsidRPr="00EC20A0">
              <w:rPr>
                <w:i/>
                <w:sz w:val="18"/>
              </w:rPr>
              <w:t>as</w:t>
            </w:r>
            <w:r w:rsidRPr="00EC20A0">
              <w:rPr>
                <w:i/>
                <w:spacing w:val="-2"/>
                <w:sz w:val="18"/>
              </w:rPr>
              <w:t xml:space="preserve"> necessary***</w:t>
            </w:r>
          </w:p>
        </w:tc>
        <w:tc>
          <w:tcPr>
            <w:tcW w:w="720" w:type="dxa"/>
          </w:tcPr>
          <w:p w14:paraId="24D6217F" w14:textId="77777777" w:rsidR="00245300" w:rsidRPr="00EC20A0" w:rsidRDefault="00245300">
            <w:pPr>
              <w:pStyle w:val="TableParagraph"/>
              <w:rPr>
                <w:sz w:val="16"/>
              </w:rPr>
            </w:pPr>
          </w:p>
        </w:tc>
        <w:tc>
          <w:tcPr>
            <w:tcW w:w="1080" w:type="dxa"/>
          </w:tcPr>
          <w:p w14:paraId="24D62180" w14:textId="77777777" w:rsidR="00245300" w:rsidRPr="00EC20A0" w:rsidRDefault="00245300">
            <w:pPr>
              <w:pStyle w:val="TableParagraph"/>
              <w:rPr>
                <w:sz w:val="16"/>
              </w:rPr>
            </w:pPr>
          </w:p>
        </w:tc>
        <w:tc>
          <w:tcPr>
            <w:tcW w:w="630" w:type="dxa"/>
          </w:tcPr>
          <w:p w14:paraId="24D62181" w14:textId="77777777" w:rsidR="00245300" w:rsidRPr="00EC20A0" w:rsidRDefault="00245300">
            <w:pPr>
              <w:pStyle w:val="TableParagraph"/>
              <w:rPr>
                <w:sz w:val="16"/>
              </w:rPr>
            </w:pPr>
          </w:p>
        </w:tc>
        <w:tc>
          <w:tcPr>
            <w:tcW w:w="720" w:type="dxa"/>
          </w:tcPr>
          <w:p w14:paraId="24D62182" w14:textId="77777777" w:rsidR="00245300" w:rsidRPr="00EC20A0" w:rsidRDefault="00245300">
            <w:pPr>
              <w:pStyle w:val="TableParagraph"/>
              <w:rPr>
                <w:sz w:val="16"/>
              </w:rPr>
            </w:pPr>
          </w:p>
        </w:tc>
        <w:tc>
          <w:tcPr>
            <w:tcW w:w="900" w:type="dxa"/>
          </w:tcPr>
          <w:p w14:paraId="24D62183" w14:textId="77777777" w:rsidR="00245300" w:rsidRPr="00EC20A0" w:rsidRDefault="00245300">
            <w:pPr>
              <w:pStyle w:val="TableParagraph"/>
              <w:rPr>
                <w:sz w:val="16"/>
              </w:rPr>
            </w:pPr>
          </w:p>
        </w:tc>
        <w:tc>
          <w:tcPr>
            <w:tcW w:w="900" w:type="dxa"/>
          </w:tcPr>
          <w:p w14:paraId="24D62184" w14:textId="77777777" w:rsidR="00245300" w:rsidRPr="00EC20A0" w:rsidRDefault="00245300">
            <w:pPr>
              <w:pStyle w:val="TableParagraph"/>
              <w:rPr>
                <w:sz w:val="16"/>
              </w:rPr>
            </w:pPr>
          </w:p>
        </w:tc>
        <w:tc>
          <w:tcPr>
            <w:tcW w:w="1080" w:type="dxa"/>
          </w:tcPr>
          <w:p w14:paraId="24D62185" w14:textId="77777777" w:rsidR="00245300" w:rsidRPr="00EC20A0" w:rsidRDefault="00245300">
            <w:pPr>
              <w:pStyle w:val="TableParagraph"/>
              <w:rPr>
                <w:sz w:val="16"/>
              </w:rPr>
            </w:pPr>
          </w:p>
        </w:tc>
        <w:tc>
          <w:tcPr>
            <w:tcW w:w="540" w:type="dxa"/>
          </w:tcPr>
          <w:p w14:paraId="24D62186" w14:textId="77777777" w:rsidR="00245300" w:rsidRPr="00EC20A0" w:rsidRDefault="00245300">
            <w:pPr>
              <w:pStyle w:val="TableParagraph"/>
              <w:rPr>
                <w:sz w:val="16"/>
              </w:rPr>
            </w:pPr>
          </w:p>
        </w:tc>
        <w:tc>
          <w:tcPr>
            <w:tcW w:w="630" w:type="dxa"/>
          </w:tcPr>
          <w:p w14:paraId="24D62187" w14:textId="77777777" w:rsidR="00245300" w:rsidRPr="00EC20A0" w:rsidRDefault="00245300">
            <w:pPr>
              <w:pStyle w:val="TableParagraph"/>
              <w:rPr>
                <w:sz w:val="16"/>
              </w:rPr>
            </w:pPr>
          </w:p>
        </w:tc>
        <w:tc>
          <w:tcPr>
            <w:tcW w:w="630" w:type="dxa"/>
          </w:tcPr>
          <w:p w14:paraId="24D62188" w14:textId="77777777" w:rsidR="00245300" w:rsidRPr="00EC20A0" w:rsidRDefault="00245300">
            <w:pPr>
              <w:pStyle w:val="TableParagraph"/>
              <w:rPr>
                <w:sz w:val="16"/>
              </w:rPr>
            </w:pPr>
          </w:p>
        </w:tc>
        <w:tc>
          <w:tcPr>
            <w:tcW w:w="1170" w:type="dxa"/>
          </w:tcPr>
          <w:p w14:paraId="24D62189" w14:textId="77777777" w:rsidR="00245300" w:rsidRPr="00EC20A0" w:rsidRDefault="00245300">
            <w:pPr>
              <w:pStyle w:val="TableParagraph"/>
              <w:rPr>
                <w:sz w:val="16"/>
              </w:rPr>
            </w:pPr>
          </w:p>
        </w:tc>
        <w:tc>
          <w:tcPr>
            <w:tcW w:w="1260" w:type="dxa"/>
          </w:tcPr>
          <w:p w14:paraId="24D6218A" w14:textId="77777777" w:rsidR="00245300" w:rsidRPr="00EC20A0" w:rsidRDefault="00245300">
            <w:pPr>
              <w:pStyle w:val="TableParagraph"/>
              <w:rPr>
                <w:sz w:val="16"/>
              </w:rPr>
            </w:pPr>
          </w:p>
        </w:tc>
        <w:tc>
          <w:tcPr>
            <w:tcW w:w="1890" w:type="dxa"/>
          </w:tcPr>
          <w:p w14:paraId="24D6218B" w14:textId="77777777" w:rsidR="00245300" w:rsidRPr="00EC20A0" w:rsidRDefault="00245300">
            <w:pPr>
              <w:pStyle w:val="TableParagraph"/>
              <w:rPr>
                <w:sz w:val="16"/>
              </w:rPr>
            </w:pPr>
          </w:p>
        </w:tc>
        <w:tc>
          <w:tcPr>
            <w:tcW w:w="900" w:type="dxa"/>
          </w:tcPr>
          <w:p w14:paraId="24D6218C" w14:textId="77777777" w:rsidR="00245300" w:rsidRPr="00EC20A0" w:rsidRDefault="00245300">
            <w:pPr>
              <w:pStyle w:val="TableParagraph"/>
              <w:rPr>
                <w:sz w:val="16"/>
              </w:rPr>
            </w:pPr>
          </w:p>
        </w:tc>
        <w:tc>
          <w:tcPr>
            <w:tcW w:w="630" w:type="dxa"/>
          </w:tcPr>
          <w:p w14:paraId="24D6218D" w14:textId="77777777" w:rsidR="00245300" w:rsidRPr="00EC20A0" w:rsidRDefault="00245300">
            <w:pPr>
              <w:pStyle w:val="TableParagraph"/>
              <w:rPr>
                <w:sz w:val="16"/>
              </w:rPr>
            </w:pPr>
          </w:p>
        </w:tc>
        <w:tc>
          <w:tcPr>
            <w:tcW w:w="1800" w:type="dxa"/>
          </w:tcPr>
          <w:p w14:paraId="24D6218E" w14:textId="77777777" w:rsidR="00245300" w:rsidRPr="00EC20A0" w:rsidRDefault="00245300">
            <w:pPr>
              <w:pStyle w:val="TableParagraph"/>
              <w:rPr>
                <w:sz w:val="16"/>
              </w:rPr>
            </w:pPr>
          </w:p>
        </w:tc>
        <w:tc>
          <w:tcPr>
            <w:tcW w:w="540" w:type="dxa"/>
          </w:tcPr>
          <w:p w14:paraId="24D6218F" w14:textId="77777777" w:rsidR="00245300" w:rsidRPr="00EC20A0" w:rsidRDefault="00245300">
            <w:pPr>
              <w:pStyle w:val="TableParagraph"/>
              <w:rPr>
                <w:sz w:val="16"/>
              </w:rPr>
            </w:pPr>
          </w:p>
        </w:tc>
        <w:tc>
          <w:tcPr>
            <w:tcW w:w="1440" w:type="dxa"/>
          </w:tcPr>
          <w:p w14:paraId="24D62190" w14:textId="77777777" w:rsidR="00245300" w:rsidRPr="00EC20A0" w:rsidRDefault="00245300">
            <w:pPr>
              <w:pStyle w:val="TableParagraph"/>
              <w:rPr>
                <w:sz w:val="16"/>
              </w:rPr>
            </w:pPr>
          </w:p>
        </w:tc>
        <w:tc>
          <w:tcPr>
            <w:tcW w:w="630" w:type="dxa"/>
          </w:tcPr>
          <w:p w14:paraId="24D62191" w14:textId="77777777" w:rsidR="00245300" w:rsidRPr="00EC20A0" w:rsidRDefault="00245300">
            <w:pPr>
              <w:pStyle w:val="TableParagraph"/>
              <w:rPr>
                <w:sz w:val="16"/>
              </w:rPr>
            </w:pPr>
          </w:p>
        </w:tc>
      </w:tr>
      <w:tr w:rsidR="00245300" w:rsidRPr="00EC20A0" w14:paraId="24D621A8" w14:textId="77777777">
        <w:trPr>
          <w:trHeight w:val="413"/>
        </w:trPr>
        <w:tc>
          <w:tcPr>
            <w:tcW w:w="1075" w:type="dxa"/>
            <w:shd w:val="clear" w:color="auto" w:fill="D9E0F1"/>
          </w:tcPr>
          <w:p w14:paraId="24D62193" w14:textId="77777777" w:rsidR="00245300" w:rsidRPr="00EC20A0" w:rsidRDefault="00F17249">
            <w:pPr>
              <w:pStyle w:val="TableParagraph"/>
              <w:spacing w:line="206" w:lineRule="exact"/>
              <w:ind w:left="115"/>
              <w:rPr>
                <w:sz w:val="18"/>
              </w:rPr>
            </w:pPr>
            <w:r w:rsidRPr="00EC20A0">
              <w:rPr>
                <w:sz w:val="18"/>
              </w:rPr>
              <w:t>Total</w:t>
            </w:r>
            <w:r w:rsidRPr="00EC20A0">
              <w:rPr>
                <w:spacing w:val="-15"/>
                <w:sz w:val="18"/>
              </w:rPr>
              <w:t xml:space="preserve"> </w:t>
            </w:r>
            <w:r w:rsidRPr="00EC20A0">
              <w:rPr>
                <w:sz w:val="18"/>
              </w:rPr>
              <w:t>#</w:t>
            </w:r>
            <w:r w:rsidRPr="00EC20A0">
              <w:rPr>
                <w:spacing w:val="-12"/>
                <w:sz w:val="18"/>
              </w:rPr>
              <w:t xml:space="preserve"> </w:t>
            </w:r>
            <w:r w:rsidRPr="00EC20A0">
              <w:rPr>
                <w:sz w:val="18"/>
              </w:rPr>
              <w:t>of cases</w:t>
            </w:r>
            <w:r w:rsidRPr="00EC20A0">
              <w:rPr>
                <w:spacing w:val="-2"/>
                <w:sz w:val="18"/>
              </w:rPr>
              <w:t xml:space="preserve"> </w:t>
            </w:r>
            <w:r w:rsidRPr="00EC20A0">
              <w:rPr>
                <w:sz w:val="18"/>
              </w:rPr>
              <w:t>-</w:t>
            </w:r>
            <w:r w:rsidRPr="00EC20A0">
              <w:rPr>
                <w:spacing w:val="-2"/>
                <w:sz w:val="18"/>
              </w:rPr>
              <w:t xml:space="preserve"> </w:t>
            </w:r>
            <w:r w:rsidRPr="00EC20A0">
              <w:rPr>
                <w:spacing w:val="-10"/>
                <w:sz w:val="18"/>
              </w:rPr>
              <w:t>3</w:t>
            </w:r>
          </w:p>
        </w:tc>
        <w:tc>
          <w:tcPr>
            <w:tcW w:w="2797" w:type="dxa"/>
            <w:gridSpan w:val="4"/>
            <w:shd w:val="clear" w:color="auto" w:fill="D9E0F1"/>
          </w:tcPr>
          <w:p w14:paraId="24D62194" w14:textId="77777777" w:rsidR="00245300" w:rsidRPr="00EC20A0" w:rsidRDefault="00F17249">
            <w:pPr>
              <w:pStyle w:val="TableParagraph"/>
              <w:spacing w:line="206" w:lineRule="exact"/>
              <w:ind w:left="580"/>
              <w:rPr>
                <w:sz w:val="18"/>
              </w:rPr>
            </w:pPr>
            <w:r w:rsidRPr="00EC20A0">
              <w:rPr>
                <w:sz w:val="18"/>
              </w:rPr>
              <w:t>Total</w:t>
            </w:r>
            <w:r w:rsidRPr="00EC20A0">
              <w:rPr>
                <w:spacing w:val="-2"/>
                <w:sz w:val="18"/>
              </w:rPr>
              <w:t xml:space="preserve"> </w:t>
            </w:r>
            <w:r w:rsidRPr="00EC20A0">
              <w:rPr>
                <w:sz w:val="18"/>
              </w:rPr>
              <w:t>Unable</w:t>
            </w:r>
            <w:r w:rsidRPr="00EC20A0">
              <w:rPr>
                <w:spacing w:val="-3"/>
                <w:sz w:val="18"/>
              </w:rPr>
              <w:t xml:space="preserve"> </w:t>
            </w:r>
            <w:r w:rsidRPr="00EC20A0">
              <w:rPr>
                <w:sz w:val="18"/>
              </w:rPr>
              <w:t>to</w:t>
            </w:r>
            <w:r w:rsidRPr="00EC20A0">
              <w:rPr>
                <w:spacing w:val="-1"/>
                <w:sz w:val="18"/>
              </w:rPr>
              <w:t xml:space="preserve"> </w:t>
            </w:r>
            <w:r w:rsidRPr="00EC20A0">
              <w:rPr>
                <w:spacing w:val="-2"/>
                <w:sz w:val="18"/>
              </w:rPr>
              <w:t>Determine</w:t>
            </w:r>
          </w:p>
        </w:tc>
        <w:tc>
          <w:tcPr>
            <w:tcW w:w="720" w:type="dxa"/>
          </w:tcPr>
          <w:p w14:paraId="24D62195" w14:textId="77777777" w:rsidR="00245300" w:rsidRPr="00EC20A0" w:rsidRDefault="00245300">
            <w:pPr>
              <w:pStyle w:val="TableParagraph"/>
              <w:rPr>
                <w:sz w:val="16"/>
              </w:rPr>
            </w:pPr>
          </w:p>
        </w:tc>
        <w:tc>
          <w:tcPr>
            <w:tcW w:w="1080" w:type="dxa"/>
          </w:tcPr>
          <w:p w14:paraId="24D62196" w14:textId="77777777" w:rsidR="00245300" w:rsidRPr="00EC20A0" w:rsidRDefault="00245300">
            <w:pPr>
              <w:pStyle w:val="TableParagraph"/>
              <w:rPr>
                <w:sz w:val="16"/>
              </w:rPr>
            </w:pPr>
          </w:p>
        </w:tc>
        <w:tc>
          <w:tcPr>
            <w:tcW w:w="630" w:type="dxa"/>
          </w:tcPr>
          <w:p w14:paraId="24D62197" w14:textId="77777777" w:rsidR="00245300" w:rsidRPr="00EC20A0" w:rsidRDefault="00245300">
            <w:pPr>
              <w:pStyle w:val="TableParagraph"/>
              <w:rPr>
                <w:sz w:val="16"/>
              </w:rPr>
            </w:pPr>
          </w:p>
        </w:tc>
        <w:tc>
          <w:tcPr>
            <w:tcW w:w="720" w:type="dxa"/>
          </w:tcPr>
          <w:p w14:paraId="24D62198" w14:textId="77777777" w:rsidR="00245300" w:rsidRPr="00EC20A0" w:rsidRDefault="00245300">
            <w:pPr>
              <w:pStyle w:val="TableParagraph"/>
              <w:rPr>
                <w:sz w:val="16"/>
              </w:rPr>
            </w:pPr>
          </w:p>
        </w:tc>
        <w:tc>
          <w:tcPr>
            <w:tcW w:w="900" w:type="dxa"/>
          </w:tcPr>
          <w:p w14:paraId="24D62199" w14:textId="77777777" w:rsidR="00245300" w:rsidRPr="00EC20A0" w:rsidRDefault="00245300">
            <w:pPr>
              <w:pStyle w:val="TableParagraph"/>
              <w:rPr>
                <w:sz w:val="16"/>
              </w:rPr>
            </w:pPr>
          </w:p>
        </w:tc>
        <w:tc>
          <w:tcPr>
            <w:tcW w:w="900" w:type="dxa"/>
          </w:tcPr>
          <w:p w14:paraId="24D6219A" w14:textId="77777777" w:rsidR="00245300" w:rsidRPr="00EC20A0" w:rsidRDefault="00245300">
            <w:pPr>
              <w:pStyle w:val="TableParagraph"/>
              <w:rPr>
                <w:sz w:val="16"/>
              </w:rPr>
            </w:pPr>
          </w:p>
        </w:tc>
        <w:tc>
          <w:tcPr>
            <w:tcW w:w="1080" w:type="dxa"/>
          </w:tcPr>
          <w:p w14:paraId="24D6219B" w14:textId="77777777" w:rsidR="00245300" w:rsidRPr="00EC20A0" w:rsidRDefault="00245300">
            <w:pPr>
              <w:pStyle w:val="TableParagraph"/>
              <w:rPr>
                <w:sz w:val="16"/>
              </w:rPr>
            </w:pPr>
          </w:p>
        </w:tc>
        <w:tc>
          <w:tcPr>
            <w:tcW w:w="540" w:type="dxa"/>
          </w:tcPr>
          <w:p w14:paraId="24D6219C" w14:textId="77777777" w:rsidR="00245300" w:rsidRPr="00EC20A0" w:rsidRDefault="00245300">
            <w:pPr>
              <w:pStyle w:val="TableParagraph"/>
              <w:rPr>
                <w:sz w:val="16"/>
              </w:rPr>
            </w:pPr>
          </w:p>
        </w:tc>
        <w:tc>
          <w:tcPr>
            <w:tcW w:w="630" w:type="dxa"/>
          </w:tcPr>
          <w:p w14:paraId="24D6219D" w14:textId="77777777" w:rsidR="00245300" w:rsidRPr="00EC20A0" w:rsidRDefault="00245300">
            <w:pPr>
              <w:pStyle w:val="TableParagraph"/>
              <w:rPr>
                <w:sz w:val="16"/>
              </w:rPr>
            </w:pPr>
          </w:p>
        </w:tc>
        <w:tc>
          <w:tcPr>
            <w:tcW w:w="630" w:type="dxa"/>
          </w:tcPr>
          <w:p w14:paraId="24D6219E" w14:textId="77777777" w:rsidR="00245300" w:rsidRPr="00EC20A0" w:rsidRDefault="00245300">
            <w:pPr>
              <w:pStyle w:val="TableParagraph"/>
              <w:rPr>
                <w:sz w:val="16"/>
              </w:rPr>
            </w:pPr>
          </w:p>
        </w:tc>
        <w:tc>
          <w:tcPr>
            <w:tcW w:w="1170" w:type="dxa"/>
          </w:tcPr>
          <w:p w14:paraId="24D6219F" w14:textId="77777777" w:rsidR="00245300" w:rsidRPr="00EC20A0" w:rsidRDefault="00245300">
            <w:pPr>
              <w:pStyle w:val="TableParagraph"/>
              <w:rPr>
                <w:sz w:val="16"/>
              </w:rPr>
            </w:pPr>
          </w:p>
        </w:tc>
        <w:tc>
          <w:tcPr>
            <w:tcW w:w="1260" w:type="dxa"/>
          </w:tcPr>
          <w:p w14:paraId="24D621A0" w14:textId="77777777" w:rsidR="00245300" w:rsidRPr="00EC20A0" w:rsidRDefault="00245300">
            <w:pPr>
              <w:pStyle w:val="TableParagraph"/>
              <w:rPr>
                <w:sz w:val="16"/>
              </w:rPr>
            </w:pPr>
          </w:p>
        </w:tc>
        <w:tc>
          <w:tcPr>
            <w:tcW w:w="1890" w:type="dxa"/>
          </w:tcPr>
          <w:p w14:paraId="24D621A1" w14:textId="77777777" w:rsidR="00245300" w:rsidRPr="00EC20A0" w:rsidRDefault="00245300">
            <w:pPr>
              <w:pStyle w:val="TableParagraph"/>
              <w:rPr>
                <w:sz w:val="16"/>
              </w:rPr>
            </w:pPr>
          </w:p>
        </w:tc>
        <w:tc>
          <w:tcPr>
            <w:tcW w:w="900" w:type="dxa"/>
          </w:tcPr>
          <w:p w14:paraId="24D621A2" w14:textId="77777777" w:rsidR="00245300" w:rsidRPr="00EC20A0" w:rsidRDefault="00245300">
            <w:pPr>
              <w:pStyle w:val="TableParagraph"/>
              <w:rPr>
                <w:sz w:val="16"/>
              </w:rPr>
            </w:pPr>
          </w:p>
        </w:tc>
        <w:tc>
          <w:tcPr>
            <w:tcW w:w="630" w:type="dxa"/>
          </w:tcPr>
          <w:p w14:paraId="24D621A3" w14:textId="77777777" w:rsidR="00245300" w:rsidRPr="00EC20A0" w:rsidRDefault="00245300">
            <w:pPr>
              <w:pStyle w:val="TableParagraph"/>
              <w:rPr>
                <w:sz w:val="16"/>
              </w:rPr>
            </w:pPr>
          </w:p>
        </w:tc>
        <w:tc>
          <w:tcPr>
            <w:tcW w:w="1800" w:type="dxa"/>
          </w:tcPr>
          <w:p w14:paraId="24D621A4" w14:textId="77777777" w:rsidR="00245300" w:rsidRPr="00EC20A0" w:rsidRDefault="00245300">
            <w:pPr>
              <w:pStyle w:val="TableParagraph"/>
              <w:rPr>
                <w:sz w:val="16"/>
              </w:rPr>
            </w:pPr>
          </w:p>
        </w:tc>
        <w:tc>
          <w:tcPr>
            <w:tcW w:w="540" w:type="dxa"/>
          </w:tcPr>
          <w:p w14:paraId="24D621A5" w14:textId="77777777" w:rsidR="00245300" w:rsidRPr="00EC20A0" w:rsidRDefault="00245300">
            <w:pPr>
              <w:pStyle w:val="TableParagraph"/>
              <w:rPr>
                <w:sz w:val="16"/>
              </w:rPr>
            </w:pPr>
          </w:p>
        </w:tc>
        <w:tc>
          <w:tcPr>
            <w:tcW w:w="1440" w:type="dxa"/>
          </w:tcPr>
          <w:p w14:paraId="24D621A6" w14:textId="77777777" w:rsidR="00245300" w:rsidRPr="00EC20A0" w:rsidRDefault="00245300">
            <w:pPr>
              <w:pStyle w:val="TableParagraph"/>
              <w:rPr>
                <w:sz w:val="16"/>
              </w:rPr>
            </w:pPr>
          </w:p>
        </w:tc>
        <w:tc>
          <w:tcPr>
            <w:tcW w:w="630" w:type="dxa"/>
          </w:tcPr>
          <w:p w14:paraId="24D621A7" w14:textId="77777777" w:rsidR="00245300" w:rsidRPr="00EC20A0" w:rsidRDefault="00245300">
            <w:pPr>
              <w:pStyle w:val="TableParagraph"/>
              <w:rPr>
                <w:sz w:val="16"/>
              </w:rPr>
            </w:pPr>
          </w:p>
        </w:tc>
      </w:tr>
      <w:tr w:rsidR="00245300" w:rsidRPr="00EC20A0" w14:paraId="24D621AA" w14:textId="77777777">
        <w:trPr>
          <w:trHeight w:val="299"/>
        </w:trPr>
        <w:tc>
          <w:tcPr>
            <w:tcW w:w="21962" w:type="dxa"/>
            <w:gridSpan w:val="24"/>
            <w:shd w:val="clear" w:color="auto" w:fill="D9D9D9"/>
          </w:tcPr>
          <w:p w14:paraId="24D621A9" w14:textId="77777777" w:rsidR="00245300" w:rsidRPr="00EC20A0" w:rsidRDefault="00F17249">
            <w:pPr>
              <w:pStyle w:val="TableParagraph"/>
              <w:spacing w:line="206" w:lineRule="exact"/>
              <w:ind w:left="115"/>
              <w:rPr>
                <w:b/>
                <w:sz w:val="18"/>
              </w:rPr>
            </w:pPr>
            <w:r w:rsidRPr="00EC20A0">
              <w:rPr>
                <w:b/>
                <w:sz w:val="18"/>
              </w:rPr>
              <w:t>Unasserted</w:t>
            </w:r>
            <w:r w:rsidRPr="00EC20A0">
              <w:rPr>
                <w:b/>
                <w:spacing w:val="-4"/>
                <w:sz w:val="18"/>
              </w:rPr>
              <w:t xml:space="preserve"> </w:t>
            </w:r>
            <w:r w:rsidRPr="00EC20A0">
              <w:rPr>
                <w:b/>
                <w:sz w:val="18"/>
              </w:rPr>
              <w:t>Claims</w:t>
            </w:r>
            <w:r w:rsidRPr="00EC20A0">
              <w:rPr>
                <w:b/>
                <w:spacing w:val="-3"/>
                <w:sz w:val="18"/>
              </w:rPr>
              <w:t xml:space="preserve"> </w:t>
            </w:r>
            <w:r w:rsidRPr="00EC20A0">
              <w:rPr>
                <w:b/>
                <w:sz w:val="18"/>
              </w:rPr>
              <w:t>and</w:t>
            </w:r>
            <w:r w:rsidRPr="00EC20A0">
              <w:rPr>
                <w:b/>
                <w:spacing w:val="-3"/>
                <w:sz w:val="18"/>
              </w:rPr>
              <w:t xml:space="preserve"> </w:t>
            </w:r>
            <w:r w:rsidRPr="00EC20A0">
              <w:rPr>
                <w:b/>
                <w:spacing w:val="-2"/>
                <w:sz w:val="18"/>
              </w:rPr>
              <w:t>Assessments</w:t>
            </w:r>
          </w:p>
        </w:tc>
      </w:tr>
      <w:tr w:rsidR="00245300" w:rsidRPr="00EC20A0" w14:paraId="24D621C3" w14:textId="77777777">
        <w:trPr>
          <w:trHeight w:val="300"/>
        </w:trPr>
        <w:tc>
          <w:tcPr>
            <w:tcW w:w="1075" w:type="dxa"/>
          </w:tcPr>
          <w:p w14:paraId="24D621AB" w14:textId="77777777" w:rsidR="00245300" w:rsidRPr="00EC20A0" w:rsidRDefault="00F17249">
            <w:pPr>
              <w:pStyle w:val="TableParagraph"/>
              <w:spacing w:before="92" w:line="188" w:lineRule="exact"/>
              <w:ind w:right="104"/>
              <w:jc w:val="right"/>
              <w:rPr>
                <w:sz w:val="18"/>
              </w:rPr>
            </w:pPr>
            <w:r w:rsidRPr="00EC20A0">
              <w:rPr>
                <w:spacing w:val="-5"/>
                <w:sz w:val="18"/>
              </w:rPr>
              <w:t>13</w:t>
            </w:r>
          </w:p>
        </w:tc>
        <w:tc>
          <w:tcPr>
            <w:tcW w:w="637" w:type="dxa"/>
          </w:tcPr>
          <w:p w14:paraId="24D621AC" w14:textId="77777777" w:rsidR="00245300" w:rsidRPr="00EC20A0" w:rsidRDefault="00245300">
            <w:pPr>
              <w:pStyle w:val="TableParagraph"/>
              <w:rPr>
                <w:sz w:val="16"/>
              </w:rPr>
            </w:pPr>
          </w:p>
        </w:tc>
        <w:tc>
          <w:tcPr>
            <w:tcW w:w="720" w:type="dxa"/>
          </w:tcPr>
          <w:p w14:paraId="24D621AD" w14:textId="77777777" w:rsidR="00245300" w:rsidRPr="00EC20A0" w:rsidRDefault="00245300">
            <w:pPr>
              <w:pStyle w:val="TableParagraph"/>
              <w:rPr>
                <w:sz w:val="16"/>
              </w:rPr>
            </w:pPr>
          </w:p>
        </w:tc>
        <w:tc>
          <w:tcPr>
            <w:tcW w:w="720" w:type="dxa"/>
          </w:tcPr>
          <w:p w14:paraId="24D621AE" w14:textId="77777777" w:rsidR="00245300" w:rsidRPr="00EC20A0" w:rsidRDefault="00245300">
            <w:pPr>
              <w:pStyle w:val="TableParagraph"/>
              <w:rPr>
                <w:sz w:val="16"/>
              </w:rPr>
            </w:pPr>
          </w:p>
        </w:tc>
        <w:tc>
          <w:tcPr>
            <w:tcW w:w="720" w:type="dxa"/>
          </w:tcPr>
          <w:p w14:paraId="24D621AF" w14:textId="77777777" w:rsidR="00245300" w:rsidRPr="00EC20A0" w:rsidRDefault="00245300">
            <w:pPr>
              <w:pStyle w:val="TableParagraph"/>
              <w:rPr>
                <w:sz w:val="16"/>
              </w:rPr>
            </w:pPr>
          </w:p>
        </w:tc>
        <w:tc>
          <w:tcPr>
            <w:tcW w:w="720" w:type="dxa"/>
          </w:tcPr>
          <w:p w14:paraId="24D621B0" w14:textId="77777777" w:rsidR="00245300" w:rsidRPr="00EC20A0" w:rsidRDefault="00245300">
            <w:pPr>
              <w:pStyle w:val="TableParagraph"/>
              <w:rPr>
                <w:sz w:val="16"/>
              </w:rPr>
            </w:pPr>
          </w:p>
        </w:tc>
        <w:tc>
          <w:tcPr>
            <w:tcW w:w="1080" w:type="dxa"/>
          </w:tcPr>
          <w:p w14:paraId="24D621B1" w14:textId="77777777" w:rsidR="00245300" w:rsidRPr="00EC20A0" w:rsidRDefault="00245300">
            <w:pPr>
              <w:pStyle w:val="TableParagraph"/>
              <w:rPr>
                <w:sz w:val="16"/>
              </w:rPr>
            </w:pPr>
          </w:p>
        </w:tc>
        <w:tc>
          <w:tcPr>
            <w:tcW w:w="630" w:type="dxa"/>
          </w:tcPr>
          <w:p w14:paraId="24D621B2" w14:textId="77777777" w:rsidR="00245300" w:rsidRPr="00EC20A0" w:rsidRDefault="00245300">
            <w:pPr>
              <w:pStyle w:val="TableParagraph"/>
              <w:rPr>
                <w:sz w:val="16"/>
              </w:rPr>
            </w:pPr>
          </w:p>
        </w:tc>
        <w:tc>
          <w:tcPr>
            <w:tcW w:w="720" w:type="dxa"/>
          </w:tcPr>
          <w:p w14:paraId="24D621B3" w14:textId="77777777" w:rsidR="00245300" w:rsidRPr="00EC20A0" w:rsidRDefault="00245300">
            <w:pPr>
              <w:pStyle w:val="TableParagraph"/>
              <w:rPr>
                <w:sz w:val="16"/>
              </w:rPr>
            </w:pPr>
          </w:p>
        </w:tc>
        <w:tc>
          <w:tcPr>
            <w:tcW w:w="900" w:type="dxa"/>
          </w:tcPr>
          <w:p w14:paraId="24D621B4" w14:textId="77777777" w:rsidR="00245300" w:rsidRPr="00EC20A0" w:rsidRDefault="00245300">
            <w:pPr>
              <w:pStyle w:val="TableParagraph"/>
              <w:rPr>
                <w:sz w:val="16"/>
              </w:rPr>
            </w:pPr>
          </w:p>
        </w:tc>
        <w:tc>
          <w:tcPr>
            <w:tcW w:w="900" w:type="dxa"/>
          </w:tcPr>
          <w:p w14:paraId="24D621B5" w14:textId="77777777" w:rsidR="00245300" w:rsidRPr="00EC20A0" w:rsidRDefault="00245300">
            <w:pPr>
              <w:pStyle w:val="TableParagraph"/>
              <w:rPr>
                <w:sz w:val="16"/>
              </w:rPr>
            </w:pPr>
          </w:p>
        </w:tc>
        <w:tc>
          <w:tcPr>
            <w:tcW w:w="1080" w:type="dxa"/>
          </w:tcPr>
          <w:p w14:paraId="24D621B6" w14:textId="77777777" w:rsidR="00245300" w:rsidRPr="00EC20A0" w:rsidRDefault="00245300">
            <w:pPr>
              <w:pStyle w:val="TableParagraph"/>
              <w:rPr>
                <w:sz w:val="16"/>
              </w:rPr>
            </w:pPr>
          </w:p>
        </w:tc>
        <w:tc>
          <w:tcPr>
            <w:tcW w:w="540" w:type="dxa"/>
          </w:tcPr>
          <w:p w14:paraId="24D621B7" w14:textId="77777777" w:rsidR="00245300" w:rsidRPr="00EC20A0" w:rsidRDefault="00245300">
            <w:pPr>
              <w:pStyle w:val="TableParagraph"/>
              <w:rPr>
                <w:sz w:val="16"/>
              </w:rPr>
            </w:pPr>
          </w:p>
        </w:tc>
        <w:tc>
          <w:tcPr>
            <w:tcW w:w="630" w:type="dxa"/>
          </w:tcPr>
          <w:p w14:paraId="24D621B8" w14:textId="77777777" w:rsidR="00245300" w:rsidRPr="00EC20A0" w:rsidRDefault="00245300">
            <w:pPr>
              <w:pStyle w:val="TableParagraph"/>
              <w:rPr>
                <w:sz w:val="16"/>
              </w:rPr>
            </w:pPr>
          </w:p>
        </w:tc>
        <w:tc>
          <w:tcPr>
            <w:tcW w:w="630" w:type="dxa"/>
          </w:tcPr>
          <w:p w14:paraId="24D621B9" w14:textId="77777777" w:rsidR="00245300" w:rsidRPr="00EC20A0" w:rsidRDefault="00245300">
            <w:pPr>
              <w:pStyle w:val="TableParagraph"/>
              <w:rPr>
                <w:sz w:val="16"/>
              </w:rPr>
            </w:pPr>
          </w:p>
        </w:tc>
        <w:tc>
          <w:tcPr>
            <w:tcW w:w="1170" w:type="dxa"/>
          </w:tcPr>
          <w:p w14:paraId="24D621BA" w14:textId="77777777" w:rsidR="00245300" w:rsidRPr="00EC20A0" w:rsidRDefault="00245300">
            <w:pPr>
              <w:pStyle w:val="TableParagraph"/>
              <w:rPr>
                <w:sz w:val="16"/>
              </w:rPr>
            </w:pPr>
          </w:p>
        </w:tc>
        <w:tc>
          <w:tcPr>
            <w:tcW w:w="1260" w:type="dxa"/>
          </w:tcPr>
          <w:p w14:paraId="24D621BB" w14:textId="77777777" w:rsidR="00245300" w:rsidRPr="00EC20A0" w:rsidRDefault="00245300">
            <w:pPr>
              <w:pStyle w:val="TableParagraph"/>
              <w:rPr>
                <w:sz w:val="16"/>
              </w:rPr>
            </w:pPr>
          </w:p>
        </w:tc>
        <w:tc>
          <w:tcPr>
            <w:tcW w:w="1890" w:type="dxa"/>
          </w:tcPr>
          <w:p w14:paraId="24D621BC" w14:textId="77777777" w:rsidR="00245300" w:rsidRPr="00EC20A0" w:rsidRDefault="00245300">
            <w:pPr>
              <w:pStyle w:val="TableParagraph"/>
              <w:rPr>
                <w:sz w:val="16"/>
              </w:rPr>
            </w:pPr>
          </w:p>
        </w:tc>
        <w:tc>
          <w:tcPr>
            <w:tcW w:w="900" w:type="dxa"/>
          </w:tcPr>
          <w:p w14:paraId="24D621BD" w14:textId="77777777" w:rsidR="00245300" w:rsidRPr="00EC20A0" w:rsidRDefault="00245300">
            <w:pPr>
              <w:pStyle w:val="TableParagraph"/>
              <w:rPr>
                <w:sz w:val="16"/>
              </w:rPr>
            </w:pPr>
          </w:p>
        </w:tc>
        <w:tc>
          <w:tcPr>
            <w:tcW w:w="630" w:type="dxa"/>
          </w:tcPr>
          <w:p w14:paraId="24D621BE" w14:textId="77777777" w:rsidR="00245300" w:rsidRPr="00EC20A0" w:rsidRDefault="00245300">
            <w:pPr>
              <w:pStyle w:val="TableParagraph"/>
              <w:rPr>
                <w:sz w:val="16"/>
              </w:rPr>
            </w:pPr>
          </w:p>
        </w:tc>
        <w:tc>
          <w:tcPr>
            <w:tcW w:w="1800" w:type="dxa"/>
          </w:tcPr>
          <w:p w14:paraId="24D621BF" w14:textId="77777777" w:rsidR="00245300" w:rsidRPr="00EC20A0" w:rsidRDefault="00245300">
            <w:pPr>
              <w:pStyle w:val="TableParagraph"/>
              <w:rPr>
                <w:sz w:val="16"/>
              </w:rPr>
            </w:pPr>
          </w:p>
        </w:tc>
        <w:tc>
          <w:tcPr>
            <w:tcW w:w="540" w:type="dxa"/>
          </w:tcPr>
          <w:p w14:paraId="24D621C0" w14:textId="77777777" w:rsidR="00245300" w:rsidRPr="00EC20A0" w:rsidRDefault="00245300">
            <w:pPr>
              <w:pStyle w:val="TableParagraph"/>
              <w:rPr>
                <w:sz w:val="16"/>
              </w:rPr>
            </w:pPr>
          </w:p>
        </w:tc>
        <w:tc>
          <w:tcPr>
            <w:tcW w:w="1440" w:type="dxa"/>
          </w:tcPr>
          <w:p w14:paraId="24D621C1" w14:textId="77777777" w:rsidR="00245300" w:rsidRPr="00EC20A0" w:rsidRDefault="00245300">
            <w:pPr>
              <w:pStyle w:val="TableParagraph"/>
              <w:rPr>
                <w:sz w:val="16"/>
              </w:rPr>
            </w:pPr>
          </w:p>
        </w:tc>
        <w:tc>
          <w:tcPr>
            <w:tcW w:w="630" w:type="dxa"/>
          </w:tcPr>
          <w:p w14:paraId="24D621C2" w14:textId="77777777" w:rsidR="00245300" w:rsidRPr="00EC20A0" w:rsidRDefault="00245300">
            <w:pPr>
              <w:pStyle w:val="TableParagraph"/>
              <w:rPr>
                <w:sz w:val="16"/>
              </w:rPr>
            </w:pPr>
          </w:p>
        </w:tc>
      </w:tr>
      <w:tr w:rsidR="00245300" w:rsidRPr="00EC20A0" w14:paraId="24D621DC" w14:textId="77777777">
        <w:trPr>
          <w:trHeight w:val="299"/>
        </w:trPr>
        <w:tc>
          <w:tcPr>
            <w:tcW w:w="1075" w:type="dxa"/>
          </w:tcPr>
          <w:p w14:paraId="24D621C4" w14:textId="77777777" w:rsidR="00245300" w:rsidRPr="00EC20A0" w:rsidRDefault="00F17249">
            <w:pPr>
              <w:pStyle w:val="TableParagraph"/>
              <w:spacing w:before="91" w:line="188" w:lineRule="exact"/>
              <w:ind w:right="104"/>
              <w:jc w:val="right"/>
              <w:rPr>
                <w:sz w:val="18"/>
              </w:rPr>
            </w:pPr>
            <w:r w:rsidRPr="00EC20A0">
              <w:rPr>
                <w:spacing w:val="-5"/>
                <w:sz w:val="18"/>
              </w:rPr>
              <w:t>14</w:t>
            </w:r>
          </w:p>
        </w:tc>
        <w:tc>
          <w:tcPr>
            <w:tcW w:w="637" w:type="dxa"/>
          </w:tcPr>
          <w:p w14:paraId="24D621C5" w14:textId="77777777" w:rsidR="00245300" w:rsidRPr="00EC20A0" w:rsidRDefault="00245300">
            <w:pPr>
              <w:pStyle w:val="TableParagraph"/>
              <w:rPr>
                <w:sz w:val="16"/>
              </w:rPr>
            </w:pPr>
          </w:p>
        </w:tc>
        <w:tc>
          <w:tcPr>
            <w:tcW w:w="720" w:type="dxa"/>
          </w:tcPr>
          <w:p w14:paraId="24D621C6" w14:textId="77777777" w:rsidR="00245300" w:rsidRPr="00EC20A0" w:rsidRDefault="00245300">
            <w:pPr>
              <w:pStyle w:val="TableParagraph"/>
              <w:rPr>
                <w:sz w:val="16"/>
              </w:rPr>
            </w:pPr>
          </w:p>
        </w:tc>
        <w:tc>
          <w:tcPr>
            <w:tcW w:w="720" w:type="dxa"/>
          </w:tcPr>
          <w:p w14:paraId="24D621C7" w14:textId="77777777" w:rsidR="00245300" w:rsidRPr="00EC20A0" w:rsidRDefault="00245300">
            <w:pPr>
              <w:pStyle w:val="TableParagraph"/>
              <w:rPr>
                <w:sz w:val="16"/>
              </w:rPr>
            </w:pPr>
          </w:p>
        </w:tc>
        <w:tc>
          <w:tcPr>
            <w:tcW w:w="720" w:type="dxa"/>
          </w:tcPr>
          <w:p w14:paraId="24D621C8" w14:textId="77777777" w:rsidR="00245300" w:rsidRPr="00EC20A0" w:rsidRDefault="00245300">
            <w:pPr>
              <w:pStyle w:val="TableParagraph"/>
              <w:rPr>
                <w:sz w:val="16"/>
              </w:rPr>
            </w:pPr>
          </w:p>
        </w:tc>
        <w:tc>
          <w:tcPr>
            <w:tcW w:w="720" w:type="dxa"/>
          </w:tcPr>
          <w:p w14:paraId="24D621C9" w14:textId="77777777" w:rsidR="00245300" w:rsidRPr="00EC20A0" w:rsidRDefault="00245300">
            <w:pPr>
              <w:pStyle w:val="TableParagraph"/>
              <w:rPr>
                <w:sz w:val="16"/>
              </w:rPr>
            </w:pPr>
          </w:p>
        </w:tc>
        <w:tc>
          <w:tcPr>
            <w:tcW w:w="1080" w:type="dxa"/>
          </w:tcPr>
          <w:p w14:paraId="24D621CA" w14:textId="77777777" w:rsidR="00245300" w:rsidRPr="00EC20A0" w:rsidRDefault="00245300">
            <w:pPr>
              <w:pStyle w:val="TableParagraph"/>
              <w:rPr>
                <w:sz w:val="16"/>
              </w:rPr>
            </w:pPr>
          </w:p>
        </w:tc>
        <w:tc>
          <w:tcPr>
            <w:tcW w:w="630" w:type="dxa"/>
          </w:tcPr>
          <w:p w14:paraId="24D621CB" w14:textId="77777777" w:rsidR="00245300" w:rsidRPr="00EC20A0" w:rsidRDefault="00245300">
            <w:pPr>
              <w:pStyle w:val="TableParagraph"/>
              <w:rPr>
                <w:sz w:val="16"/>
              </w:rPr>
            </w:pPr>
          </w:p>
        </w:tc>
        <w:tc>
          <w:tcPr>
            <w:tcW w:w="720" w:type="dxa"/>
          </w:tcPr>
          <w:p w14:paraId="24D621CC" w14:textId="77777777" w:rsidR="00245300" w:rsidRPr="00EC20A0" w:rsidRDefault="00245300">
            <w:pPr>
              <w:pStyle w:val="TableParagraph"/>
              <w:rPr>
                <w:sz w:val="16"/>
              </w:rPr>
            </w:pPr>
          </w:p>
        </w:tc>
        <w:tc>
          <w:tcPr>
            <w:tcW w:w="900" w:type="dxa"/>
          </w:tcPr>
          <w:p w14:paraId="24D621CD" w14:textId="77777777" w:rsidR="00245300" w:rsidRPr="00EC20A0" w:rsidRDefault="00245300">
            <w:pPr>
              <w:pStyle w:val="TableParagraph"/>
              <w:rPr>
                <w:sz w:val="16"/>
              </w:rPr>
            </w:pPr>
          </w:p>
        </w:tc>
        <w:tc>
          <w:tcPr>
            <w:tcW w:w="900" w:type="dxa"/>
          </w:tcPr>
          <w:p w14:paraId="24D621CE" w14:textId="77777777" w:rsidR="00245300" w:rsidRPr="00EC20A0" w:rsidRDefault="00245300">
            <w:pPr>
              <w:pStyle w:val="TableParagraph"/>
              <w:rPr>
                <w:sz w:val="16"/>
              </w:rPr>
            </w:pPr>
          </w:p>
        </w:tc>
        <w:tc>
          <w:tcPr>
            <w:tcW w:w="1080" w:type="dxa"/>
          </w:tcPr>
          <w:p w14:paraId="24D621CF" w14:textId="77777777" w:rsidR="00245300" w:rsidRPr="00EC20A0" w:rsidRDefault="00245300">
            <w:pPr>
              <w:pStyle w:val="TableParagraph"/>
              <w:rPr>
                <w:sz w:val="16"/>
              </w:rPr>
            </w:pPr>
          </w:p>
        </w:tc>
        <w:tc>
          <w:tcPr>
            <w:tcW w:w="540" w:type="dxa"/>
          </w:tcPr>
          <w:p w14:paraId="24D621D0" w14:textId="77777777" w:rsidR="00245300" w:rsidRPr="00EC20A0" w:rsidRDefault="00245300">
            <w:pPr>
              <w:pStyle w:val="TableParagraph"/>
              <w:rPr>
                <w:sz w:val="16"/>
              </w:rPr>
            </w:pPr>
          </w:p>
        </w:tc>
        <w:tc>
          <w:tcPr>
            <w:tcW w:w="630" w:type="dxa"/>
          </w:tcPr>
          <w:p w14:paraId="24D621D1" w14:textId="77777777" w:rsidR="00245300" w:rsidRPr="00EC20A0" w:rsidRDefault="00245300">
            <w:pPr>
              <w:pStyle w:val="TableParagraph"/>
              <w:rPr>
                <w:sz w:val="16"/>
              </w:rPr>
            </w:pPr>
          </w:p>
        </w:tc>
        <w:tc>
          <w:tcPr>
            <w:tcW w:w="630" w:type="dxa"/>
          </w:tcPr>
          <w:p w14:paraId="24D621D2" w14:textId="77777777" w:rsidR="00245300" w:rsidRPr="00EC20A0" w:rsidRDefault="00245300">
            <w:pPr>
              <w:pStyle w:val="TableParagraph"/>
              <w:rPr>
                <w:sz w:val="16"/>
              </w:rPr>
            </w:pPr>
          </w:p>
        </w:tc>
        <w:tc>
          <w:tcPr>
            <w:tcW w:w="1170" w:type="dxa"/>
          </w:tcPr>
          <w:p w14:paraId="24D621D3" w14:textId="77777777" w:rsidR="00245300" w:rsidRPr="00EC20A0" w:rsidRDefault="00245300">
            <w:pPr>
              <w:pStyle w:val="TableParagraph"/>
              <w:rPr>
                <w:sz w:val="16"/>
              </w:rPr>
            </w:pPr>
          </w:p>
        </w:tc>
        <w:tc>
          <w:tcPr>
            <w:tcW w:w="1260" w:type="dxa"/>
          </w:tcPr>
          <w:p w14:paraId="24D621D4" w14:textId="77777777" w:rsidR="00245300" w:rsidRPr="00EC20A0" w:rsidRDefault="00245300">
            <w:pPr>
              <w:pStyle w:val="TableParagraph"/>
              <w:rPr>
                <w:sz w:val="16"/>
              </w:rPr>
            </w:pPr>
          </w:p>
        </w:tc>
        <w:tc>
          <w:tcPr>
            <w:tcW w:w="1890" w:type="dxa"/>
          </w:tcPr>
          <w:p w14:paraId="24D621D5" w14:textId="77777777" w:rsidR="00245300" w:rsidRPr="00EC20A0" w:rsidRDefault="00245300">
            <w:pPr>
              <w:pStyle w:val="TableParagraph"/>
              <w:rPr>
                <w:sz w:val="16"/>
              </w:rPr>
            </w:pPr>
          </w:p>
        </w:tc>
        <w:tc>
          <w:tcPr>
            <w:tcW w:w="900" w:type="dxa"/>
          </w:tcPr>
          <w:p w14:paraId="24D621D6" w14:textId="77777777" w:rsidR="00245300" w:rsidRPr="00EC20A0" w:rsidRDefault="00245300">
            <w:pPr>
              <w:pStyle w:val="TableParagraph"/>
              <w:rPr>
                <w:sz w:val="16"/>
              </w:rPr>
            </w:pPr>
          </w:p>
        </w:tc>
        <w:tc>
          <w:tcPr>
            <w:tcW w:w="630" w:type="dxa"/>
          </w:tcPr>
          <w:p w14:paraId="24D621D7" w14:textId="77777777" w:rsidR="00245300" w:rsidRPr="00EC20A0" w:rsidRDefault="00245300">
            <w:pPr>
              <w:pStyle w:val="TableParagraph"/>
              <w:rPr>
                <w:sz w:val="16"/>
              </w:rPr>
            </w:pPr>
          </w:p>
        </w:tc>
        <w:tc>
          <w:tcPr>
            <w:tcW w:w="1800" w:type="dxa"/>
          </w:tcPr>
          <w:p w14:paraId="24D621D8" w14:textId="77777777" w:rsidR="00245300" w:rsidRPr="00EC20A0" w:rsidRDefault="00245300">
            <w:pPr>
              <w:pStyle w:val="TableParagraph"/>
              <w:rPr>
                <w:sz w:val="16"/>
              </w:rPr>
            </w:pPr>
          </w:p>
        </w:tc>
        <w:tc>
          <w:tcPr>
            <w:tcW w:w="540" w:type="dxa"/>
          </w:tcPr>
          <w:p w14:paraId="24D621D9" w14:textId="77777777" w:rsidR="00245300" w:rsidRPr="00EC20A0" w:rsidRDefault="00245300">
            <w:pPr>
              <w:pStyle w:val="TableParagraph"/>
              <w:rPr>
                <w:sz w:val="16"/>
              </w:rPr>
            </w:pPr>
          </w:p>
        </w:tc>
        <w:tc>
          <w:tcPr>
            <w:tcW w:w="1440" w:type="dxa"/>
          </w:tcPr>
          <w:p w14:paraId="24D621DA" w14:textId="77777777" w:rsidR="00245300" w:rsidRPr="00EC20A0" w:rsidRDefault="00245300">
            <w:pPr>
              <w:pStyle w:val="TableParagraph"/>
              <w:rPr>
                <w:sz w:val="16"/>
              </w:rPr>
            </w:pPr>
          </w:p>
        </w:tc>
        <w:tc>
          <w:tcPr>
            <w:tcW w:w="630" w:type="dxa"/>
          </w:tcPr>
          <w:p w14:paraId="24D621DB" w14:textId="77777777" w:rsidR="00245300" w:rsidRPr="00EC20A0" w:rsidRDefault="00245300">
            <w:pPr>
              <w:pStyle w:val="TableParagraph"/>
              <w:rPr>
                <w:sz w:val="16"/>
              </w:rPr>
            </w:pPr>
          </w:p>
        </w:tc>
      </w:tr>
      <w:tr w:rsidR="00245300" w:rsidRPr="00EC20A0" w14:paraId="24D621F5" w14:textId="77777777">
        <w:trPr>
          <w:trHeight w:val="300"/>
        </w:trPr>
        <w:tc>
          <w:tcPr>
            <w:tcW w:w="1075" w:type="dxa"/>
          </w:tcPr>
          <w:p w14:paraId="24D621DD" w14:textId="77777777" w:rsidR="00245300" w:rsidRPr="00EC20A0" w:rsidRDefault="00F17249">
            <w:pPr>
              <w:pStyle w:val="TableParagraph"/>
              <w:spacing w:before="92" w:line="188" w:lineRule="exact"/>
              <w:ind w:right="104"/>
              <w:jc w:val="right"/>
              <w:rPr>
                <w:sz w:val="18"/>
              </w:rPr>
            </w:pPr>
            <w:r w:rsidRPr="00EC20A0">
              <w:rPr>
                <w:spacing w:val="-5"/>
                <w:sz w:val="18"/>
              </w:rPr>
              <w:t>15</w:t>
            </w:r>
          </w:p>
        </w:tc>
        <w:tc>
          <w:tcPr>
            <w:tcW w:w="637" w:type="dxa"/>
          </w:tcPr>
          <w:p w14:paraId="24D621DE" w14:textId="77777777" w:rsidR="00245300" w:rsidRPr="00EC20A0" w:rsidRDefault="00245300">
            <w:pPr>
              <w:pStyle w:val="TableParagraph"/>
              <w:rPr>
                <w:sz w:val="16"/>
              </w:rPr>
            </w:pPr>
          </w:p>
        </w:tc>
        <w:tc>
          <w:tcPr>
            <w:tcW w:w="720" w:type="dxa"/>
          </w:tcPr>
          <w:p w14:paraId="24D621DF" w14:textId="77777777" w:rsidR="00245300" w:rsidRPr="00EC20A0" w:rsidRDefault="00245300">
            <w:pPr>
              <w:pStyle w:val="TableParagraph"/>
              <w:rPr>
                <w:sz w:val="16"/>
              </w:rPr>
            </w:pPr>
          </w:p>
        </w:tc>
        <w:tc>
          <w:tcPr>
            <w:tcW w:w="720" w:type="dxa"/>
          </w:tcPr>
          <w:p w14:paraId="24D621E0" w14:textId="77777777" w:rsidR="00245300" w:rsidRPr="00EC20A0" w:rsidRDefault="00245300">
            <w:pPr>
              <w:pStyle w:val="TableParagraph"/>
              <w:rPr>
                <w:sz w:val="16"/>
              </w:rPr>
            </w:pPr>
          </w:p>
        </w:tc>
        <w:tc>
          <w:tcPr>
            <w:tcW w:w="720" w:type="dxa"/>
          </w:tcPr>
          <w:p w14:paraId="24D621E1" w14:textId="77777777" w:rsidR="00245300" w:rsidRPr="00EC20A0" w:rsidRDefault="00245300">
            <w:pPr>
              <w:pStyle w:val="TableParagraph"/>
              <w:rPr>
                <w:sz w:val="16"/>
              </w:rPr>
            </w:pPr>
          </w:p>
        </w:tc>
        <w:tc>
          <w:tcPr>
            <w:tcW w:w="720" w:type="dxa"/>
          </w:tcPr>
          <w:p w14:paraId="24D621E2" w14:textId="77777777" w:rsidR="00245300" w:rsidRPr="00EC20A0" w:rsidRDefault="00245300">
            <w:pPr>
              <w:pStyle w:val="TableParagraph"/>
              <w:rPr>
                <w:sz w:val="16"/>
              </w:rPr>
            </w:pPr>
          </w:p>
        </w:tc>
        <w:tc>
          <w:tcPr>
            <w:tcW w:w="1080" w:type="dxa"/>
          </w:tcPr>
          <w:p w14:paraId="24D621E3" w14:textId="77777777" w:rsidR="00245300" w:rsidRPr="00EC20A0" w:rsidRDefault="00245300">
            <w:pPr>
              <w:pStyle w:val="TableParagraph"/>
              <w:rPr>
                <w:sz w:val="16"/>
              </w:rPr>
            </w:pPr>
          </w:p>
        </w:tc>
        <w:tc>
          <w:tcPr>
            <w:tcW w:w="630" w:type="dxa"/>
          </w:tcPr>
          <w:p w14:paraId="24D621E4" w14:textId="77777777" w:rsidR="00245300" w:rsidRPr="00EC20A0" w:rsidRDefault="00245300">
            <w:pPr>
              <w:pStyle w:val="TableParagraph"/>
              <w:rPr>
                <w:sz w:val="16"/>
              </w:rPr>
            </w:pPr>
          </w:p>
        </w:tc>
        <w:tc>
          <w:tcPr>
            <w:tcW w:w="720" w:type="dxa"/>
          </w:tcPr>
          <w:p w14:paraId="24D621E5" w14:textId="77777777" w:rsidR="00245300" w:rsidRPr="00EC20A0" w:rsidRDefault="00245300">
            <w:pPr>
              <w:pStyle w:val="TableParagraph"/>
              <w:rPr>
                <w:sz w:val="16"/>
              </w:rPr>
            </w:pPr>
          </w:p>
        </w:tc>
        <w:tc>
          <w:tcPr>
            <w:tcW w:w="900" w:type="dxa"/>
          </w:tcPr>
          <w:p w14:paraId="24D621E6" w14:textId="77777777" w:rsidR="00245300" w:rsidRPr="00EC20A0" w:rsidRDefault="00245300">
            <w:pPr>
              <w:pStyle w:val="TableParagraph"/>
              <w:rPr>
                <w:sz w:val="16"/>
              </w:rPr>
            </w:pPr>
          </w:p>
        </w:tc>
        <w:tc>
          <w:tcPr>
            <w:tcW w:w="900" w:type="dxa"/>
          </w:tcPr>
          <w:p w14:paraId="24D621E7" w14:textId="77777777" w:rsidR="00245300" w:rsidRPr="00EC20A0" w:rsidRDefault="00245300">
            <w:pPr>
              <w:pStyle w:val="TableParagraph"/>
              <w:rPr>
                <w:sz w:val="16"/>
              </w:rPr>
            </w:pPr>
          </w:p>
        </w:tc>
        <w:tc>
          <w:tcPr>
            <w:tcW w:w="1080" w:type="dxa"/>
          </w:tcPr>
          <w:p w14:paraId="24D621E8" w14:textId="77777777" w:rsidR="00245300" w:rsidRPr="00EC20A0" w:rsidRDefault="00245300">
            <w:pPr>
              <w:pStyle w:val="TableParagraph"/>
              <w:rPr>
                <w:sz w:val="16"/>
              </w:rPr>
            </w:pPr>
          </w:p>
        </w:tc>
        <w:tc>
          <w:tcPr>
            <w:tcW w:w="540" w:type="dxa"/>
          </w:tcPr>
          <w:p w14:paraId="24D621E9" w14:textId="77777777" w:rsidR="00245300" w:rsidRPr="00EC20A0" w:rsidRDefault="00245300">
            <w:pPr>
              <w:pStyle w:val="TableParagraph"/>
              <w:rPr>
                <w:sz w:val="16"/>
              </w:rPr>
            </w:pPr>
          </w:p>
        </w:tc>
        <w:tc>
          <w:tcPr>
            <w:tcW w:w="630" w:type="dxa"/>
          </w:tcPr>
          <w:p w14:paraId="24D621EA" w14:textId="77777777" w:rsidR="00245300" w:rsidRPr="00EC20A0" w:rsidRDefault="00245300">
            <w:pPr>
              <w:pStyle w:val="TableParagraph"/>
              <w:rPr>
                <w:sz w:val="16"/>
              </w:rPr>
            </w:pPr>
          </w:p>
        </w:tc>
        <w:tc>
          <w:tcPr>
            <w:tcW w:w="630" w:type="dxa"/>
          </w:tcPr>
          <w:p w14:paraId="24D621EB" w14:textId="77777777" w:rsidR="00245300" w:rsidRPr="00EC20A0" w:rsidRDefault="00245300">
            <w:pPr>
              <w:pStyle w:val="TableParagraph"/>
              <w:rPr>
                <w:sz w:val="16"/>
              </w:rPr>
            </w:pPr>
          </w:p>
        </w:tc>
        <w:tc>
          <w:tcPr>
            <w:tcW w:w="1170" w:type="dxa"/>
          </w:tcPr>
          <w:p w14:paraId="24D621EC" w14:textId="77777777" w:rsidR="00245300" w:rsidRPr="00EC20A0" w:rsidRDefault="00245300">
            <w:pPr>
              <w:pStyle w:val="TableParagraph"/>
              <w:rPr>
                <w:sz w:val="16"/>
              </w:rPr>
            </w:pPr>
          </w:p>
        </w:tc>
        <w:tc>
          <w:tcPr>
            <w:tcW w:w="1260" w:type="dxa"/>
          </w:tcPr>
          <w:p w14:paraId="24D621ED" w14:textId="77777777" w:rsidR="00245300" w:rsidRPr="00EC20A0" w:rsidRDefault="00245300">
            <w:pPr>
              <w:pStyle w:val="TableParagraph"/>
              <w:rPr>
                <w:sz w:val="16"/>
              </w:rPr>
            </w:pPr>
          </w:p>
        </w:tc>
        <w:tc>
          <w:tcPr>
            <w:tcW w:w="1890" w:type="dxa"/>
          </w:tcPr>
          <w:p w14:paraId="24D621EE" w14:textId="77777777" w:rsidR="00245300" w:rsidRPr="00EC20A0" w:rsidRDefault="00245300">
            <w:pPr>
              <w:pStyle w:val="TableParagraph"/>
              <w:rPr>
                <w:sz w:val="16"/>
              </w:rPr>
            </w:pPr>
          </w:p>
        </w:tc>
        <w:tc>
          <w:tcPr>
            <w:tcW w:w="900" w:type="dxa"/>
          </w:tcPr>
          <w:p w14:paraId="24D621EF" w14:textId="77777777" w:rsidR="00245300" w:rsidRPr="00EC20A0" w:rsidRDefault="00245300">
            <w:pPr>
              <w:pStyle w:val="TableParagraph"/>
              <w:rPr>
                <w:sz w:val="16"/>
              </w:rPr>
            </w:pPr>
          </w:p>
        </w:tc>
        <w:tc>
          <w:tcPr>
            <w:tcW w:w="630" w:type="dxa"/>
          </w:tcPr>
          <w:p w14:paraId="24D621F0" w14:textId="77777777" w:rsidR="00245300" w:rsidRPr="00EC20A0" w:rsidRDefault="00245300">
            <w:pPr>
              <w:pStyle w:val="TableParagraph"/>
              <w:rPr>
                <w:sz w:val="16"/>
              </w:rPr>
            </w:pPr>
          </w:p>
        </w:tc>
        <w:tc>
          <w:tcPr>
            <w:tcW w:w="1800" w:type="dxa"/>
          </w:tcPr>
          <w:p w14:paraId="24D621F1" w14:textId="77777777" w:rsidR="00245300" w:rsidRPr="00EC20A0" w:rsidRDefault="00245300">
            <w:pPr>
              <w:pStyle w:val="TableParagraph"/>
              <w:rPr>
                <w:sz w:val="16"/>
              </w:rPr>
            </w:pPr>
          </w:p>
        </w:tc>
        <w:tc>
          <w:tcPr>
            <w:tcW w:w="540" w:type="dxa"/>
          </w:tcPr>
          <w:p w14:paraId="24D621F2" w14:textId="77777777" w:rsidR="00245300" w:rsidRPr="00EC20A0" w:rsidRDefault="00245300">
            <w:pPr>
              <w:pStyle w:val="TableParagraph"/>
              <w:rPr>
                <w:sz w:val="16"/>
              </w:rPr>
            </w:pPr>
          </w:p>
        </w:tc>
        <w:tc>
          <w:tcPr>
            <w:tcW w:w="1440" w:type="dxa"/>
          </w:tcPr>
          <w:p w14:paraId="24D621F3" w14:textId="77777777" w:rsidR="00245300" w:rsidRPr="00EC20A0" w:rsidRDefault="00245300">
            <w:pPr>
              <w:pStyle w:val="TableParagraph"/>
              <w:rPr>
                <w:sz w:val="16"/>
              </w:rPr>
            </w:pPr>
          </w:p>
        </w:tc>
        <w:tc>
          <w:tcPr>
            <w:tcW w:w="630" w:type="dxa"/>
          </w:tcPr>
          <w:p w14:paraId="24D621F4" w14:textId="77777777" w:rsidR="00245300" w:rsidRPr="00EC20A0" w:rsidRDefault="00245300">
            <w:pPr>
              <w:pStyle w:val="TableParagraph"/>
              <w:rPr>
                <w:sz w:val="16"/>
              </w:rPr>
            </w:pPr>
          </w:p>
        </w:tc>
      </w:tr>
    </w:tbl>
    <w:p w14:paraId="24D621F6" w14:textId="77777777" w:rsidR="00245300" w:rsidRPr="00EC20A0" w:rsidRDefault="00245300">
      <w:pPr>
        <w:rPr>
          <w:sz w:val="16"/>
        </w:rPr>
        <w:sectPr w:rsidR="00245300" w:rsidRPr="00EC20A0">
          <w:pgSz w:w="24480" w:h="15840" w:orient="landscape"/>
          <w:pgMar w:top="1460" w:right="1320" w:bottom="1201" w:left="960" w:header="721" w:footer="757"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797"/>
        <w:gridCol w:w="720"/>
        <w:gridCol w:w="1080"/>
        <w:gridCol w:w="630"/>
        <w:gridCol w:w="720"/>
        <w:gridCol w:w="900"/>
        <w:gridCol w:w="900"/>
        <w:gridCol w:w="1080"/>
        <w:gridCol w:w="540"/>
        <w:gridCol w:w="630"/>
        <w:gridCol w:w="630"/>
        <w:gridCol w:w="1170"/>
        <w:gridCol w:w="1260"/>
        <w:gridCol w:w="1890"/>
        <w:gridCol w:w="900"/>
        <w:gridCol w:w="630"/>
        <w:gridCol w:w="1800"/>
        <w:gridCol w:w="540"/>
        <w:gridCol w:w="1440"/>
        <w:gridCol w:w="630"/>
      </w:tblGrid>
      <w:tr w:rsidR="00245300" w:rsidRPr="00EC20A0" w14:paraId="24D6220B" w14:textId="77777777">
        <w:trPr>
          <w:trHeight w:val="299"/>
        </w:trPr>
        <w:tc>
          <w:tcPr>
            <w:tcW w:w="3872" w:type="dxa"/>
            <w:gridSpan w:val="2"/>
          </w:tcPr>
          <w:p w14:paraId="24D621F7" w14:textId="77777777" w:rsidR="00245300" w:rsidRPr="00EC20A0" w:rsidRDefault="00F17249">
            <w:pPr>
              <w:pStyle w:val="TableParagraph"/>
              <w:spacing w:line="206" w:lineRule="exact"/>
              <w:ind w:left="530"/>
              <w:rPr>
                <w:i/>
                <w:sz w:val="18"/>
              </w:rPr>
            </w:pPr>
            <w:r w:rsidRPr="00EC20A0">
              <w:rPr>
                <w:i/>
                <w:sz w:val="18"/>
              </w:rPr>
              <w:t>***insert</w:t>
            </w:r>
            <w:r w:rsidRPr="00EC20A0">
              <w:rPr>
                <w:i/>
                <w:spacing w:val="-3"/>
                <w:sz w:val="18"/>
              </w:rPr>
              <w:t xml:space="preserve"> </w:t>
            </w:r>
            <w:r w:rsidRPr="00EC20A0">
              <w:rPr>
                <w:i/>
                <w:sz w:val="18"/>
              </w:rPr>
              <w:t>rows</w:t>
            </w:r>
            <w:r w:rsidRPr="00EC20A0">
              <w:rPr>
                <w:i/>
                <w:spacing w:val="-2"/>
                <w:sz w:val="18"/>
              </w:rPr>
              <w:t xml:space="preserve"> </w:t>
            </w:r>
            <w:r w:rsidRPr="00EC20A0">
              <w:rPr>
                <w:i/>
                <w:sz w:val="18"/>
              </w:rPr>
              <w:t>here</w:t>
            </w:r>
            <w:r w:rsidRPr="00EC20A0">
              <w:rPr>
                <w:i/>
                <w:spacing w:val="-3"/>
                <w:sz w:val="18"/>
              </w:rPr>
              <w:t xml:space="preserve"> </w:t>
            </w:r>
            <w:r w:rsidRPr="00EC20A0">
              <w:rPr>
                <w:i/>
                <w:sz w:val="18"/>
              </w:rPr>
              <w:t>as</w:t>
            </w:r>
            <w:r w:rsidRPr="00EC20A0">
              <w:rPr>
                <w:i/>
                <w:spacing w:val="-2"/>
                <w:sz w:val="18"/>
              </w:rPr>
              <w:t xml:space="preserve"> necessary***</w:t>
            </w:r>
          </w:p>
        </w:tc>
        <w:tc>
          <w:tcPr>
            <w:tcW w:w="720" w:type="dxa"/>
          </w:tcPr>
          <w:p w14:paraId="24D621F8" w14:textId="77777777" w:rsidR="00245300" w:rsidRPr="00EC20A0" w:rsidRDefault="00245300">
            <w:pPr>
              <w:pStyle w:val="TableParagraph"/>
              <w:rPr>
                <w:sz w:val="18"/>
              </w:rPr>
            </w:pPr>
          </w:p>
        </w:tc>
        <w:tc>
          <w:tcPr>
            <w:tcW w:w="1080" w:type="dxa"/>
          </w:tcPr>
          <w:p w14:paraId="24D621F9" w14:textId="77777777" w:rsidR="00245300" w:rsidRPr="00EC20A0" w:rsidRDefault="00245300">
            <w:pPr>
              <w:pStyle w:val="TableParagraph"/>
              <w:rPr>
                <w:sz w:val="18"/>
              </w:rPr>
            </w:pPr>
          </w:p>
        </w:tc>
        <w:tc>
          <w:tcPr>
            <w:tcW w:w="630" w:type="dxa"/>
          </w:tcPr>
          <w:p w14:paraId="24D621FA" w14:textId="77777777" w:rsidR="00245300" w:rsidRPr="00EC20A0" w:rsidRDefault="00245300">
            <w:pPr>
              <w:pStyle w:val="TableParagraph"/>
              <w:rPr>
                <w:sz w:val="18"/>
              </w:rPr>
            </w:pPr>
          </w:p>
        </w:tc>
        <w:tc>
          <w:tcPr>
            <w:tcW w:w="720" w:type="dxa"/>
          </w:tcPr>
          <w:p w14:paraId="24D621FB" w14:textId="77777777" w:rsidR="00245300" w:rsidRPr="00EC20A0" w:rsidRDefault="00245300">
            <w:pPr>
              <w:pStyle w:val="TableParagraph"/>
              <w:rPr>
                <w:sz w:val="18"/>
              </w:rPr>
            </w:pPr>
          </w:p>
        </w:tc>
        <w:tc>
          <w:tcPr>
            <w:tcW w:w="900" w:type="dxa"/>
          </w:tcPr>
          <w:p w14:paraId="24D621FC" w14:textId="77777777" w:rsidR="00245300" w:rsidRPr="00EC20A0" w:rsidRDefault="00245300">
            <w:pPr>
              <w:pStyle w:val="TableParagraph"/>
              <w:rPr>
                <w:sz w:val="18"/>
              </w:rPr>
            </w:pPr>
          </w:p>
        </w:tc>
        <w:tc>
          <w:tcPr>
            <w:tcW w:w="900" w:type="dxa"/>
          </w:tcPr>
          <w:p w14:paraId="24D621FD" w14:textId="77777777" w:rsidR="00245300" w:rsidRPr="00EC20A0" w:rsidRDefault="00245300">
            <w:pPr>
              <w:pStyle w:val="TableParagraph"/>
              <w:rPr>
                <w:sz w:val="18"/>
              </w:rPr>
            </w:pPr>
          </w:p>
        </w:tc>
        <w:tc>
          <w:tcPr>
            <w:tcW w:w="1080" w:type="dxa"/>
          </w:tcPr>
          <w:p w14:paraId="24D621FE" w14:textId="77777777" w:rsidR="00245300" w:rsidRPr="00EC20A0" w:rsidRDefault="00245300">
            <w:pPr>
              <w:pStyle w:val="TableParagraph"/>
              <w:rPr>
                <w:sz w:val="18"/>
              </w:rPr>
            </w:pPr>
          </w:p>
        </w:tc>
        <w:tc>
          <w:tcPr>
            <w:tcW w:w="540" w:type="dxa"/>
          </w:tcPr>
          <w:p w14:paraId="24D621FF" w14:textId="77777777" w:rsidR="00245300" w:rsidRPr="00EC20A0" w:rsidRDefault="00245300">
            <w:pPr>
              <w:pStyle w:val="TableParagraph"/>
              <w:rPr>
                <w:sz w:val="18"/>
              </w:rPr>
            </w:pPr>
          </w:p>
        </w:tc>
        <w:tc>
          <w:tcPr>
            <w:tcW w:w="630" w:type="dxa"/>
          </w:tcPr>
          <w:p w14:paraId="24D62200" w14:textId="77777777" w:rsidR="00245300" w:rsidRPr="00EC20A0" w:rsidRDefault="00245300">
            <w:pPr>
              <w:pStyle w:val="TableParagraph"/>
              <w:rPr>
                <w:sz w:val="18"/>
              </w:rPr>
            </w:pPr>
          </w:p>
        </w:tc>
        <w:tc>
          <w:tcPr>
            <w:tcW w:w="630" w:type="dxa"/>
          </w:tcPr>
          <w:p w14:paraId="24D62201" w14:textId="77777777" w:rsidR="00245300" w:rsidRPr="00EC20A0" w:rsidRDefault="00245300">
            <w:pPr>
              <w:pStyle w:val="TableParagraph"/>
              <w:rPr>
                <w:sz w:val="18"/>
              </w:rPr>
            </w:pPr>
          </w:p>
        </w:tc>
        <w:tc>
          <w:tcPr>
            <w:tcW w:w="1170" w:type="dxa"/>
          </w:tcPr>
          <w:p w14:paraId="24D62202" w14:textId="77777777" w:rsidR="00245300" w:rsidRPr="00EC20A0" w:rsidRDefault="00245300">
            <w:pPr>
              <w:pStyle w:val="TableParagraph"/>
              <w:rPr>
                <w:sz w:val="18"/>
              </w:rPr>
            </w:pPr>
          </w:p>
        </w:tc>
        <w:tc>
          <w:tcPr>
            <w:tcW w:w="1260" w:type="dxa"/>
          </w:tcPr>
          <w:p w14:paraId="24D62203" w14:textId="77777777" w:rsidR="00245300" w:rsidRPr="00EC20A0" w:rsidRDefault="00245300">
            <w:pPr>
              <w:pStyle w:val="TableParagraph"/>
              <w:rPr>
                <w:sz w:val="18"/>
              </w:rPr>
            </w:pPr>
          </w:p>
        </w:tc>
        <w:tc>
          <w:tcPr>
            <w:tcW w:w="1890" w:type="dxa"/>
          </w:tcPr>
          <w:p w14:paraId="24D62204" w14:textId="77777777" w:rsidR="00245300" w:rsidRPr="00EC20A0" w:rsidRDefault="00245300">
            <w:pPr>
              <w:pStyle w:val="TableParagraph"/>
              <w:rPr>
                <w:sz w:val="18"/>
              </w:rPr>
            </w:pPr>
          </w:p>
        </w:tc>
        <w:tc>
          <w:tcPr>
            <w:tcW w:w="900" w:type="dxa"/>
          </w:tcPr>
          <w:p w14:paraId="24D62205" w14:textId="77777777" w:rsidR="00245300" w:rsidRPr="00EC20A0" w:rsidRDefault="00245300">
            <w:pPr>
              <w:pStyle w:val="TableParagraph"/>
              <w:rPr>
                <w:sz w:val="18"/>
              </w:rPr>
            </w:pPr>
          </w:p>
        </w:tc>
        <w:tc>
          <w:tcPr>
            <w:tcW w:w="630" w:type="dxa"/>
          </w:tcPr>
          <w:p w14:paraId="24D62206" w14:textId="77777777" w:rsidR="00245300" w:rsidRPr="00EC20A0" w:rsidRDefault="00245300">
            <w:pPr>
              <w:pStyle w:val="TableParagraph"/>
              <w:rPr>
                <w:sz w:val="18"/>
              </w:rPr>
            </w:pPr>
          </w:p>
        </w:tc>
        <w:tc>
          <w:tcPr>
            <w:tcW w:w="1800" w:type="dxa"/>
          </w:tcPr>
          <w:p w14:paraId="24D62207" w14:textId="77777777" w:rsidR="00245300" w:rsidRPr="00EC20A0" w:rsidRDefault="00245300">
            <w:pPr>
              <w:pStyle w:val="TableParagraph"/>
              <w:rPr>
                <w:sz w:val="18"/>
              </w:rPr>
            </w:pPr>
          </w:p>
        </w:tc>
        <w:tc>
          <w:tcPr>
            <w:tcW w:w="540" w:type="dxa"/>
          </w:tcPr>
          <w:p w14:paraId="24D62208" w14:textId="77777777" w:rsidR="00245300" w:rsidRPr="00EC20A0" w:rsidRDefault="00245300">
            <w:pPr>
              <w:pStyle w:val="TableParagraph"/>
              <w:rPr>
                <w:sz w:val="18"/>
              </w:rPr>
            </w:pPr>
          </w:p>
        </w:tc>
        <w:tc>
          <w:tcPr>
            <w:tcW w:w="1440" w:type="dxa"/>
          </w:tcPr>
          <w:p w14:paraId="24D62209" w14:textId="77777777" w:rsidR="00245300" w:rsidRPr="00EC20A0" w:rsidRDefault="00245300">
            <w:pPr>
              <w:pStyle w:val="TableParagraph"/>
              <w:rPr>
                <w:sz w:val="18"/>
              </w:rPr>
            </w:pPr>
          </w:p>
        </w:tc>
        <w:tc>
          <w:tcPr>
            <w:tcW w:w="630" w:type="dxa"/>
          </w:tcPr>
          <w:p w14:paraId="24D6220A" w14:textId="77777777" w:rsidR="00245300" w:rsidRPr="00EC20A0" w:rsidRDefault="00245300">
            <w:pPr>
              <w:pStyle w:val="TableParagraph"/>
              <w:rPr>
                <w:sz w:val="18"/>
              </w:rPr>
            </w:pPr>
          </w:p>
        </w:tc>
      </w:tr>
      <w:tr w:rsidR="00245300" w:rsidRPr="00EC20A0" w14:paraId="24D62222" w14:textId="77777777">
        <w:trPr>
          <w:trHeight w:val="414"/>
        </w:trPr>
        <w:tc>
          <w:tcPr>
            <w:tcW w:w="1075" w:type="dxa"/>
            <w:shd w:val="clear" w:color="auto" w:fill="D9E0F1"/>
          </w:tcPr>
          <w:p w14:paraId="24D6220C" w14:textId="77777777" w:rsidR="00245300" w:rsidRPr="00EC20A0" w:rsidRDefault="00F17249">
            <w:pPr>
              <w:pStyle w:val="TableParagraph"/>
              <w:spacing w:line="206" w:lineRule="exact"/>
              <w:ind w:left="115" w:right="173"/>
              <w:rPr>
                <w:sz w:val="18"/>
              </w:rPr>
            </w:pPr>
            <w:r w:rsidRPr="00EC20A0">
              <w:rPr>
                <w:sz w:val="18"/>
              </w:rPr>
              <w:t>Total</w:t>
            </w:r>
            <w:r w:rsidRPr="00EC20A0">
              <w:rPr>
                <w:spacing w:val="-9"/>
                <w:sz w:val="18"/>
              </w:rPr>
              <w:t xml:space="preserve"> </w:t>
            </w:r>
            <w:r w:rsidRPr="00EC20A0">
              <w:rPr>
                <w:sz w:val="18"/>
              </w:rPr>
              <w:t>#</w:t>
            </w:r>
            <w:r w:rsidRPr="00EC20A0">
              <w:rPr>
                <w:spacing w:val="-10"/>
                <w:sz w:val="18"/>
              </w:rPr>
              <w:t xml:space="preserve"> </w:t>
            </w:r>
            <w:r w:rsidRPr="00EC20A0">
              <w:rPr>
                <w:sz w:val="18"/>
              </w:rPr>
              <w:t>of claims</w:t>
            </w:r>
            <w:r w:rsidRPr="00EC20A0">
              <w:rPr>
                <w:spacing w:val="-2"/>
                <w:sz w:val="18"/>
              </w:rPr>
              <w:t xml:space="preserve"> </w:t>
            </w:r>
            <w:r w:rsidRPr="00EC20A0">
              <w:rPr>
                <w:sz w:val="18"/>
              </w:rPr>
              <w:t>-</w:t>
            </w:r>
            <w:r w:rsidRPr="00EC20A0">
              <w:rPr>
                <w:spacing w:val="-2"/>
                <w:sz w:val="18"/>
              </w:rPr>
              <w:t xml:space="preserve"> </w:t>
            </w:r>
            <w:r w:rsidRPr="00EC20A0">
              <w:rPr>
                <w:spacing w:val="-10"/>
                <w:sz w:val="18"/>
              </w:rPr>
              <w:t>3</w:t>
            </w:r>
          </w:p>
        </w:tc>
        <w:tc>
          <w:tcPr>
            <w:tcW w:w="2797" w:type="dxa"/>
            <w:shd w:val="clear" w:color="auto" w:fill="D9E0F1"/>
          </w:tcPr>
          <w:p w14:paraId="24D6220D" w14:textId="77777777" w:rsidR="00245300" w:rsidRPr="00EC20A0" w:rsidRDefault="00F17249">
            <w:pPr>
              <w:pStyle w:val="TableParagraph"/>
              <w:spacing w:line="207" w:lineRule="exact"/>
              <w:ind w:right="102"/>
              <w:jc w:val="right"/>
              <w:rPr>
                <w:sz w:val="18"/>
              </w:rPr>
            </w:pPr>
            <w:r w:rsidRPr="00EC20A0">
              <w:rPr>
                <w:sz w:val="18"/>
              </w:rPr>
              <w:t>Total</w:t>
            </w:r>
            <w:r w:rsidRPr="00EC20A0">
              <w:rPr>
                <w:spacing w:val="-4"/>
                <w:sz w:val="18"/>
              </w:rPr>
              <w:t xml:space="preserve"> </w:t>
            </w:r>
            <w:r w:rsidRPr="00EC20A0">
              <w:rPr>
                <w:sz w:val="18"/>
              </w:rPr>
              <w:t>Unasserted</w:t>
            </w:r>
            <w:r w:rsidRPr="00EC20A0">
              <w:rPr>
                <w:spacing w:val="-3"/>
                <w:sz w:val="18"/>
              </w:rPr>
              <w:t xml:space="preserve"> </w:t>
            </w:r>
            <w:r w:rsidRPr="00EC20A0">
              <w:rPr>
                <w:sz w:val="18"/>
              </w:rPr>
              <w:t>Claims</w:t>
            </w:r>
            <w:r w:rsidRPr="00EC20A0">
              <w:rPr>
                <w:spacing w:val="-3"/>
                <w:sz w:val="18"/>
              </w:rPr>
              <w:t xml:space="preserve"> </w:t>
            </w:r>
            <w:r w:rsidRPr="00EC20A0">
              <w:rPr>
                <w:spacing w:val="-5"/>
                <w:sz w:val="18"/>
              </w:rPr>
              <w:t>and</w:t>
            </w:r>
          </w:p>
          <w:p w14:paraId="24D6220E" w14:textId="77777777" w:rsidR="00245300" w:rsidRPr="00EC20A0" w:rsidRDefault="00F17249">
            <w:pPr>
              <w:pStyle w:val="TableParagraph"/>
              <w:spacing w:line="188" w:lineRule="exact"/>
              <w:ind w:right="104"/>
              <w:jc w:val="right"/>
              <w:rPr>
                <w:sz w:val="18"/>
              </w:rPr>
            </w:pPr>
            <w:r w:rsidRPr="00EC20A0">
              <w:rPr>
                <w:spacing w:val="-2"/>
                <w:sz w:val="18"/>
              </w:rPr>
              <w:t>Assessments</w:t>
            </w:r>
          </w:p>
        </w:tc>
        <w:tc>
          <w:tcPr>
            <w:tcW w:w="720" w:type="dxa"/>
          </w:tcPr>
          <w:p w14:paraId="24D6220F" w14:textId="77777777" w:rsidR="00245300" w:rsidRPr="00EC20A0" w:rsidRDefault="00245300">
            <w:pPr>
              <w:pStyle w:val="TableParagraph"/>
              <w:rPr>
                <w:sz w:val="18"/>
              </w:rPr>
            </w:pPr>
          </w:p>
        </w:tc>
        <w:tc>
          <w:tcPr>
            <w:tcW w:w="1080" w:type="dxa"/>
          </w:tcPr>
          <w:p w14:paraId="24D62210" w14:textId="77777777" w:rsidR="00245300" w:rsidRPr="00EC20A0" w:rsidRDefault="00245300">
            <w:pPr>
              <w:pStyle w:val="TableParagraph"/>
              <w:rPr>
                <w:sz w:val="18"/>
              </w:rPr>
            </w:pPr>
          </w:p>
        </w:tc>
        <w:tc>
          <w:tcPr>
            <w:tcW w:w="630" w:type="dxa"/>
          </w:tcPr>
          <w:p w14:paraId="24D62211" w14:textId="77777777" w:rsidR="00245300" w:rsidRPr="00EC20A0" w:rsidRDefault="00245300">
            <w:pPr>
              <w:pStyle w:val="TableParagraph"/>
              <w:rPr>
                <w:sz w:val="18"/>
              </w:rPr>
            </w:pPr>
          </w:p>
        </w:tc>
        <w:tc>
          <w:tcPr>
            <w:tcW w:w="720" w:type="dxa"/>
          </w:tcPr>
          <w:p w14:paraId="24D62212" w14:textId="77777777" w:rsidR="00245300" w:rsidRPr="00EC20A0" w:rsidRDefault="00245300">
            <w:pPr>
              <w:pStyle w:val="TableParagraph"/>
              <w:rPr>
                <w:sz w:val="18"/>
              </w:rPr>
            </w:pPr>
          </w:p>
        </w:tc>
        <w:tc>
          <w:tcPr>
            <w:tcW w:w="900" w:type="dxa"/>
          </w:tcPr>
          <w:p w14:paraId="24D62213" w14:textId="77777777" w:rsidR="00245300" w:rsidRPr="00EC20A0" w:rsidRDefault="00245300">
            <w:pPr>
              <w:pStyle w:val="TableParagraph"/>
              <w:rPr>
                <w:sz w:val="18"/>
              </w:rPr>
            </w:pPr>
          </w:p>
        </w:tc>
        <w:tc>
          <w:tcPr>
            <w:tcW w:w="900" w:type="dxa"/>
          </w:tcPr>
          <w:p w14:paraId="24D62214" w14:textId="77777777" w:rsidR="00245300" w:rsidRPr="00EC20A0" w:rsidRDefault="00245300">
            <w:pPr>
              <w:pStyle w:val="TableParagraph"/>
              <w:rPr>
                <w:sz w:val="18"/>
              </w:rPr>
            </w:pPr>
          </w:p>
        </w:tc>
        <w:tc>
          <w:tcPr>
            <w:tcW w:w="1080" w:type="dxa"/>
          </w:tcPr>
          <w:p w14:paraId="24D62215" w14:textId="77777777" w:rsidR="00245300" w:rsidRPr="00EC20A0" w:rsidRDefault="00245300">
            <w:pPr>
              <w:pStyle w:val="TableParagraph"/>
              <w:rPr>
                <w:sz w:val="18"/>
              </w:rPr>
            </w:pPr>
          </w:p>
        </w:tc>
        <w:tc>
          <w:tcPr>
            <w:tcW w:w="540" w:type="dxa"/>
          </w:tcPr>
          <w:p w14:paraId="24D62216" w14:textId="77777777" w:rsidR="00245300" w:rsidRPr="00EC20A0" w:rsidRDefault="00245300">
            <w:pPr>
              <w:pStyle w:val="TableParagraph"/>
              <w:rPr>
                <w:sz w:val="18"/>
              </w:rPr>
            </w:pPr>
          </w:p>
        </w:tc>
        <w:tc>
          <w:tcPr>
            <w:tcW w:w="630" w:type="dxa"/>
          </w:tcPr>
          <w:p w14:paraId="24D62217" w14:textId="77777777" w:rsidR="00245300" w:rsidRPr="00EC20A0" w:rsidRDefault="00245300">
            <w:pPr>
              <w:pStyle w:val="TableParagraph"/>
              <w:rPr>
                <w:sz w:val="18"/>
              </w:rPr>
            </w:pPr>
          </w:p>
        </w:tc>
        <w:tc>
          <w:tcPr>
            <w:tcW w:w="630" w:type="dxa"/>
          </w:tcPr>
          <w:p w14:paraId="24D62218" w14:textId="77777777" w:rsidR="00245300" w:rsidRPr="00EC20A0" w:rsidRDefault="00245300">
            <w:pPr>
              <w:pStyle w:val="TableParagraph"/>
              <w:rPr>
                <w:sz w:val="18"/>
              </w:rPr>
            </w:pPr>
          </w:p>
        </w:tc>
        <w:tc>
          <w:tcPr>
            <w:tcW w:w="1170" w:type="dxa"/>
          </w:tcPr>
          <w:p w14:paraId="24D62219" w14:textId="77777777" w:rsidR="00245300" w:rsidRPr="00EC20A0" w:rsidRDefault="00245300">
            <w:pPr>
              <w:pStyle w:val="TableParagraph"/>
              <w:rPr>
                <w:sz w:val="18"/>
              </w:rPr>
            </w:pPr>
          </w:p>
        </w:tc>
        <w:tc>
          <w:tcPr>
            <w:tcW w:w="1260" w:type="dxa"/>
          </w:tcPr>
          <w:p w14:paraId="24D6221A" w14:textId="77777777" w:rsidR="00245300" w:rsidRPr="00EC20A0" w:rsidRDefault="00245300">
            <w:pPr>
              <w:pStyle w:val="TableParagraph"/>
              <w:rPr>
                <w:sz w:val="18"/>
              </w:rPr>
            </w:pPr>
          </w:p>
        </w:tc>
        <w:tc>
          <w:tcPr>
            <w:tcW w:w="1890" w:type="dxa"/>
          </w:tcPr>
          <w:p w14:paraId="24D6221B" w14:textId="77777777" w:rsidR="00245300" w:rsidRPr="00EC20A0" w:rsidRDefault="00245300">
            <w:pPr>
              <w:pStyle w:val="TableParagraph"/>
              <w:rPr>
                <w:sz w:val="18"/>
              </w:rPr>
            </w:pPr>
          </w:p>
        </w:tc>
        <w:tc>
          <w:tcPr>
            <w:tcW w:w="900" w:type="dxa"/>
          </w:tcPr>
          <w:p w14:paraId="24D6221C" w14:textId="77777777" w:rsidR="00245300" w:rsidRPr="00EC20A0" w:rsidRDefault="00245300">
            <w:pPr>
              <w:pStyle w:val="TableParagraph"/>
              <w:rPr>
                <w:sz w:val="18"/>
              </w:rPr>
            </w:pPr>
          </w:p>
        </w:tc>
        <w:tc>
          <w:tcPr>
            <w:tcW w:w="630" w:type="dxa"/>
          </w:tcPr>
          <w:p w14:paraId="24D6221D" w14:textId="77777777" w:rsidR="00245300" w:rsidRPr="00EC20A0" w:rsidRDefault="00245300">
            <w:pPr>
              <w:pStyle w:val="TableParagraph"/>
              <w:rPr>
                <w:sz w:val="18"/>
              </w:rPr>
            </w:pPr>
          </w:p>
        </w:tc>
        <w:tc>
          <w:tcPr>
            <w:tcW w:w="1800" w:type="dxa"/>
          </w:tcPr>
          <w:p w14:paraId="24D6221E" w14:textId="77777777" w:rsidR="00245300" w:rsidRPr="00EC20A0" w:rsidRDefault="00245300">
            <w:pPr>
              <w:pStyle w:val="TableParagraph"/>
              <w:rPr>
                <w:sz w:val="18"/>
              </w:rPr>
            </w:pPr>
          </w:p>
        </w:tc>
        <w:tc>
          <w:tcPr>
            <w:tcW w:w="540" w:type="dxa"/>
          </w:tcPr>
          <w:p w14:paraId="24D6221F" w14:textId="77777777" w:rsidR="00245300" w:rsidRPr="00EC20A0" w:rsidRDefault="00245300">
            <w:pPr>
              <w:pStyle w:val="TableParagraph"/>
              <w:rPr>
                <w:sz w:val="18"/>
              </w:rPr>
            </w:pPr>
          </w:p>
        </w:tc>
        <w:tc>
          <w:tcPr>
            <w:tcW w:w="1440" w:type="dxa"/>
          </w:tcPr>
          <w:p w14:paraId="24D62220" w14:textId="77777777" w:rsidR="00245300" w:rsidRPr="00EC20A0" w:rsidRDefault="00245300">
            <w:pPr>
              <w:pStyle w:val="TableParagraph"/>
              <w:rPr>
                <w:sz w:val="18"/>
              </w:rPr>
            </w:pPr>
          </w:p>
        </w:tc>
        <w:tc>
          <w:tcPr>
            <w:tcW w:w="630" w:type="dxa"/>
          </w:tcPr>
          <w:p w14:paraId="24D62221" w14:textId="77777777" w:rsidR="00245300" w:rsidRPr="00EC20A0" w:rsidRDefault="00245300">
            <w:pPr>
              <w:pStyle w:val="TableParagraph"/>
              <w:rPr>
                <w:sz w:val="18"/>
              </w:rPr>
            </w:pPr>
          </w:p>
        </w:tc>
      </w:tr>
      <w:tr w:rsidR="00245300" w:rsidRPr="00EC20A0" w14:paraId="24D62224" w14:textId="77777777">
        <w:trPr>
          <w:trHeight w:val="299"/>
        </w:trPr>
        <w:tc>
          <w:tcPr>
            <w:tcW w:w="21962" w:type="dxa"/>
            <w:gridSpan w:val="21"/>
            <w:shd w:val="clear" w:color="auto" w:fill="D9D9D9"/>
          </w:tcPr>
          <w:p w14:paraId="24D62223" w14:textId="77777777" w:rsidR="00245300" w:rsidRPr="00EC20A0" w:rsidRDefault="00245300">
            <w:pPr>
              <w:pStyle w:val="TableParagraph"/>
              <w:rPr>
                <w:sz w:val="18"/>
              </w:rPr>
            </w:pPr>
          </w:p>
        </w:tc>
      </w:tr>
    </w:tbl>
    <w:p w14:paraId="24D62225" w14:textId="77777777" w:rsidR="00245300" w:rsidRPr="00EC20A0" w:rsidRDefault="00245300">
      <w:pPr>
        <w:pStyle w:val="BodyText"/>
        <w:rPr>
          <w:i/>
          <w:sz w:val="20"/>
        </w:rPr>
      </w:pPr>
    </w:p>
    <w:p w14:paraId="24D62226" w14:textId="77777777" w:rsidR="00245300" w:rsidRPr="00EC20A0" w:rsidRDefault="00245300">
      <w:pPr>
        <w:pStyle w:val="BodyText"/>
        <w:spacing w:before="44" w:after="1"/>
        <w:rPr>
          <w:i/>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0"/>
        <w:gridCol w:w="2700"/>
        <w:gridCol w:w="2700"/>
        <w:gridCol w:w="2700"/>
        <w:gridCol w:w="5320"/>
      </w:tblGrid>
      <w:tr w:rsidR="00245300" w:rsidRPr="00EC20A0" w14:paraId="24D62234" w14:textId="77777777">
        <w:trPr>
          <w:trHeight w:val="920"/>
        </w:trPr>
        <w:tc>
          <w:tcPr>
            <w:tcW w:w="4980" w:type="dxa"/>
          </w:tcPr>
          <w:p w14:paraId="24D62227" w14:textId="77777777" w:rsidR="00245300" w:rsidRPr="00EC20A0" w:rsidRDefault="00F17249">
            <w:pPr>
              <w:pStyle w:val="TableParagraph"/>
              <w:ind w:left="107"/>
              <w:rPr>
                <w:sz w:val="20"/>
              </w:rPr>
            </w:pPr>
            <w:r w:rsidRPr="00EC20A0">
              <w:rPr>
                <w:sz w:val="20"/>
              </w:rPr>
              <w:t>Reconciliation</w:t>
            </w:r>
            <w:r w:rsidRPr="00EC20A0">
              <w:rPr>
                <w:spacing w:val="-8"/>
                <w:sz w:val="20"/>
              </w:rPr>
              <w:t xml:space="preserve"> </w:t>
            </w:r>
            <w:r w:rsidRPr="00EC20A0">
              <w:rPr>
                <w:sz w:val="20"/>
              </w:rPr>
              <w:t>-</w:t>
            </w:r>
            <w:r w:rsidRPr="00EC20A0">
              <w:rPr>
                <w:spacing w:val="-7"/>
                <w:sz w:val="20"/>
              </w:rPr>
              <w:t xml:space="preserve"> </w:t>
            </w:r>
            <w:r w:rsidRPr="00EC20A0">
              <w:rPr>
                <w:sz w:val="20"/>
              </w:rPr>
              <w:t>Management</w:t>
            </w:r>
            <w:r w:rsidRPr="00EC20A0">
              <w:rPr>
                <w:spacing w:val="-8"/>
                <w:sz w:val="20"/>
              </w:rPr>
              <w:t xml:space="preserve"> </w:t>
            </w:r>
            <w:r w:rsidRPr="00EC20A0">
              <w:rPr>
                <w:sz w:val="20"/>
              </w:rPr>
              <w:t>Schedule</w:t>
            </w:r>
            <w:r w:rsidRPr="00EC20A0">
              <w:rPr>
                <w:spacing w:val="-8"/>
                <w:sz w:val="20"/>
              </w:rPr>
              <w:t xml:space="preserve"> </w:t>
            </w:r>
            <w:r w:rsidRPr="00EC20A0">
              <w:rPr>
                <w:sz w:val="20"/>
              </w:rPr>
              <w:t>to</w:t>
            </w:r>
            <w:r w:rsidRPr="00EC20A0">
              <w:rPr>
                <w:spacing w:val="-8"/>
                <w:sz w:val="20"/>
              </w:rPr>
              <w:t xml:space="preserve"> </w:t>
            </w:r>
            <w:r w:rsidRPr="00EC20A0">
              <w:rPr>
                <w:sz w:val="20"/>
              </w:rPr>
              <w:t xml:space="preserve">Financial </w:t>
            </w:r>
            <w:r w:rsidRPr="00EC20A0">
              <w:rPr>
                <w:spacing w:val="-2"/>
                <w:sz w:val="20"/>
              </w:rPr>
              <w:t>Statements</w:t>
            </w:r>
          </w:p>
        </w:tc>
        <w:tc>
          <w:tcPr>
            <w:tcW w:w="2700" w:type="dxa"/>
          </w:tcPr>
          <w:p w14:paraId="24D62228" w14:textId="77777777" w:rsidR="00245300" w:rsidRPr="00EC20A0" w:rsidRDefault="00245300">
            <w:pPr>
              <w:pStyle w:val="TableParagraph"/>
              <w:spacing w:before="210"/>
              <w:rPr>
                <w:i/>
                <w:sz w:val="20"/>
              </w:rPr>
            </w:pPr>
          </w:p>
          <w:p w14:paraId="24D62229" w14:textId="77777777" w:rsidR="00245300" w:rsidRPr="00EC20A0" w:rsidRDefault="00F17249">
            <w:pPr>
              <w:pStyle w:val="TableParagraph"/>
              <w:spacing w:line="230" w:lineRule="atLeast"/>
              <w:ind w:left="1111" w:right="307" w:hanging="791"/>
              <w:rPr>
                <w:sz w:val="20"/>
              </w:rPr>
            </w:pPr>
            <w:r w:rsidRPr="00EC20A0">
              <w:rPr>
                <w:sz w:val="20"/>
              </w:rPr>
              <w:t>Management</w:t>
            </w:r>
            <w:r w:rsidRPr="00EC20A0">
              <w:rPr>
                <w:spacing w:val="-14"/>
                <w:sz w:val="20"/>
              </w:rPr>
              <w:t xml:space="preserve"> </w:t>
            </w:r>
            <w:r w:rsidRPr="00EC20A0">
              <w:rPr>
                <w:sz w:val="20"/>
              </w:rPr>
              <w:t xml:space="preserve">Schedule </w:t>
            </w:r>
            <w:r w:rsidRPr="00EC20A0">
              <w:rPr>
                <w:spacing w:val="-2"/>
                <w:sz w:val="20"/>
              </w:rPr>
              <w:t>totals</w:t>
            </w:r>
          </w:p>
        </w:tc>
        <w:tc>
          <w:tcPr>
            <w:tcW w:w="2700" w:type="dxa"/>
          </w:tcPr>
          <w:p w14:paraId="24D6222A" w14:textId="77777777" w:rsidR="00245300" w:rsidRPr="00EC20A0" w:rsidRDefault="00245300">
            <w:pPr>
              <w:pStyle w:val="TableParagraph"/>
              <w:spacing w:before="210"/>
              <w:rPr>
                <w:i/>
                <w:sz w:val="20"/>
              </w:rPr>
            </w:pPr>
          </w:p>
          <w:p w14:paraId="24D6222B" w14:textId="77777777" w:rsidR="00245300" w:rsidRPr="00EC20A0" w:rsidRDefault="00F17249">
            <w:pPr>
              <w:pStyle w:val="TableParagraph"/>
              <w:spacing w:line="230" w:lineRule="atLeast"/>
              <w:ind w:left="854" w:right="288" w:hanging="556"/>
              <w:rPr>
                <w:sz w:val="20"/>
              </w:rPr>
            </w:pPr>
            <w:r w:rsidRPr="00EC20A0">
              <w:rPr>
                <w:sz w:val="20"/>
              </w:rPr>
              <w:t>Financial</w:t>
            </w:r>
            <w:r w:rsidRPr="00EC20A0">
              <w:rPr>
                <w:spacing w:val="-14"/>
                <w:sz w:val="20"/>
              </w:rPr>
              <w:t xml:space="preserve"> </w:t>
            </w:r>
            <w:r w:rsidRPr="00EC20A0">
              <w:rPr>
                <w:sz w:val="20"/>
              </w:rPr>
              <w:t>Statements</w:t>
            </w:r>
            <w:r w:rsidRPr="00EC20A0">
              <w:rPr>
                <w:spacing w:val="-14"/>
                <w:sz w:val="20"/>
              </w:rPr>
              <w:t xml:space="preserve"> </w:t>
            </w:r>
            <w:r w:rsidRPr="00EC20A0">
              <w:rPr>
                <w:sz w:val="20"/>
              </w:rPr>
              <w:t xml:space="preserve">or other </w:t>
            </w:r>
            <w:r w:rsidRPr="00EC20A0">
              <w:rPr>
                <w:sz w:val="20"/>
              </w:rPr>
              <w:t>totals</w:t>
            </w:r>
          </w:p>
        </w:tc>
        <w:tc>
          <w:tcPr>
            <w:tcW w:w="2700" w:type="dxa"/>
          </w:tcPr>
          <w:p w14:paraId="24D6222C" w14:textId="77777777" w:rsidR="00245300" w:rsidRPr="00EC20A0" w:rsidRDefault="00245300">
            <w:pPr>
              <w:pStyle w:val="TableParagraph"/>
              <w:rPr>
                <w:i/>
                <w:sz w:val="20"/>
              </w:rPr>
            </w:pPr>
          </w:p>
          <w:p w14:paraId="24D6222D" w14:textId="77777777" w:rsidR="00245300" w:rsidRPr="00EC20A0" w:rsidRDefault="00245300">
            <w:pPr>
              <w:pStyle w:val="TableParagraph"/>
              <w:rPr>
                <w:i/>
                <w:sz w:val="20"/>
              </w:rPr>
            </w:pPr>
          </w:p>
          <w:p w14:paraId="24D6222E" w14:textId="77777777" w:rsidR="00245300" w:rsidRPr="00EC20A0" w:rsidRDefault="00245300">
            <w:pPr>
              <w:pStyle w:val="TableParagraph"/>
              <w:rPr>
                <w:i/>
                <w:sz w:val="20"/>
              </w:rPr>
            </w:pPr>
          </w:p>
          <w:p w14:paraId="24D6222F" w14:textId="77777777" w:rsidR="00245300" w:rsidRPr="00EC20A0" w:rsidRDefault="00F17249">
            <w:pPr>
              <w:pStyle w:val="TableParagraph"/>
              <w:spacing w:line="209" w:lineRule="exact"/>
              <w:ind w:left="10"/>
              <w:jc w:val="center"/>
              <w:rPr>
                <w:sz w:val="20"/>
              </w:rPr>
            </w:pPr>
            <w:r w:rsidRPr="00EC20A0">
              <w:rPr>
                <w:spacing w:val="-2"/>
                <w:sz w:val="20"/>
              </w:rPr>
              <w:t>Variance</w:t>
            </w:r>
          </w:p>
        </w:tc>
        <w:tc>
          <w:tcPr>
            <w:tcW w:w="5320" w:type="dxa"/>
          </w:tcPr>
          <w:p w14:paraId="24D62230" w14:textId="77777777" w:rsidR="00245300" w:rsidRPr="00EC20A0" w:rsidRDefault="00245300">
            <w:pPr>
              <w:pStyle w:val="TableParagraph"/>
              <w:rPr>
                <w:i/>
                <w:sz w:val="20"/>
              </w:rPr>
            </w:pPr>
          </w:p>
          <w:p w14:paraId="24D62231" w14:textId="77777777" w:rsidR="00245300" w:rsidRPr="00EC20A0" w:rsidRDefault="00245300">
            <w:pPr>
              <w:pStyle w:val="TableParagraph"/>
              <w:rPr>
                <w:i/>
                <w:sz w:val="20"/>
              </w:rPr>
            </w:pPr>
          </w:p>
          <w:p w14:paraId="24D62232" w14:textId="77777777" w:rsidR="00245300" w:rsidRPr="00EC20A0" w:rsidRDefault="00245300">
            <w:pPr>
              <w:pStyle w:val="TableParagraph"/>
              <w:rPr>
                <w:i/>
                <w:sz w:val="20"/>
              </w:rPr>
            </w:pPr>
          </w:p>
          <w:p w14:paraId="24D62233" w14:textId="77777777" w:rsidR="00245300" w:rsidRPr="00EC20A0" w:rsidRDefault="00F17249">
            <w:pPr>
              <w:pStyle w:val="TableParagraph"/>
              <w:spacing w:line="209" w:lineRule="exact"/>
              <w:ind w:left="107"/>
              <w:rPr>
                <w:sz w:val="20"/>
              </w:rPr>
            </w:pPr>
            <w:r w:rsidRPr="00EC20A0">
              <w:rPr>
                <w:sz w:val="20"/>
              </w:rPr>
              <w:t>Explanation</w:t>
            </w:r>
            <w:r w:rsidRPr="00EC20A0">
              <w:rPr>
                <w:spacing w:val="-5"/>
                <w:sz w:val="20"/>
              </w:rPr>
              <w:t xml:space="preserve"> </w:t>
            </w:r>
            <w:r w:rsidRPr="00EC20A0">
              <w:rPr>
                <w:sz w:val="20"/>
              </w:rPr>
              <w:t>for</w:t>
            </w:r>
            <w:r w:rsidRPr="00EC20A0">
              <w:rPr>
                <w:spacing w:val="-3"/>
                <w:sz w:val="20"/>
              </w:rPr>
              <w:t xml:space="preserve"> </w:t>
            </w:r>
            <w:r w:rsidRPr="00EC20A0">
              <w:rPr>
                <w:spacing w:val="-2"/>
                <w:sz w:val="20"/>
              </w:rPr>
              <w:t>variance</w:t>
            </w:r>
          </w:p>
        </w:tc>
      </w:tr>
      <w:tr w:rsidR="00245300" w:rsidRPr="00EC20A0" w14:paraId="24D6223A" w14:textId="77777777">
        <w:trPr>
          <w:trHeight w:val="333"/>
        </w:trPr>
        <w:tc>
          <w:tcPr>
            <w:tcW w:w="4980" w:type="dxa"/>
            <w:tcBorders>
              <w:bottom w:val="nil"/>
            </w:tcBorders>
          </w:tcPr>
          <w:p w14:paraId="24D62235" w14:textId="77777777" w:rsidR="00245300" w:rsidRPr="00EC20A0" w:rsidRDefault="00F17249">
            <w:pPr>
              <w:pStyle w:val="TableParagraph"/>
              <w:spacing w:before="70"/>
              <w:ind w:left="107"/>
              <w:rPr>
                <w:sz w:val="20"/>
              </w:rPr>
            </w:pPr>
            <w:r w:rsidRPr="00EC20A0">
              <w:rPr>
                <w:sz w:val="20"/>
              </w:rPr>
              <w:t>Accrued</w:t>
            </w:r>
            <w:r w:rsidRPr="00EC20A0">
              <w:rPr>
                <w:spacing w:val="-5"/>
                <w:sz w:val="20"/>
              </w:rPr>
              <w:t xml:space="preserve"> </w:t>
            </w:r>
            <w:r w:rsidRPr="00EC20A0">
              <w:rPr>
                <w:spacing w:val="-2"/>
                <w:sz w:val="20"/>
              </w:rPr>
              <w:t>probable</w:t>
            </w:r>
          </w:p>
        </w:tc>
        <w:tc>
          <w:tcPr>
            <w:tcW w:w="2700" w:type="dxa"/>
            <w:vMerge w:val="restart"/>
          </w:tcPr>
          <w:p w14:paraId="24D62236" w14:textId="77777777" w:rsidR="00245300" w:rsidRPr="00EC20A0" w:rsidRDefault="00245300">
            <w:pPr>
              <w:pStyle w:val="TableParagraph"/>
              <w:rPr>
                <w:sz w:val="18"/>
              </w:rPr>
            </w:pPr>
          </w:p>
        </w:tc>
        <w:tc>
          <w:tcPr>
            <w:tcW w:w="2700" w:type="dxa"/>
            <w:vMerge w:val="restart"/>
          </w:tcPr>
          <w:p w14:paraId="24D62237" w14:textId="77777777" w:rsidR="00245300" w:rsidRPr="00EC20A0" w:rsidRDefault="00245300">
            <w:pPr>
              <w:pStyle w:val="TableParagraph"/>
              <w:rPr>
                <w:sz w:val="18"/>
              </w:rPr>
            </w:pPr>
          </w:p>
        </w:tc>
        <w:tc>
          <w:tcPr>
            <w:tcW w:w="2700" w:type="dxa"/>
            <w:vMerge w:val="restart"/>
          </w:tcPr>
          <w:p w14:paraId="24D62238" w14:textId="77777777" w:rsidR="00245300" w:rsidRPr="00EC20A0" w:rsidRDefault="00245300">
            <w:pPr>
              <w:pStyle w:val="TableParagraph"/>
              <w:rPr>
                <w:sz w:val="18"/>
              </w:rPr>
            </w:pPr>
          </w:p>
        </w:tc>
        <w:tc>
          <w:tcPr>
            <w:tcW w:w="5320" w:type="dxa"/>
            <w:vMerge w:val="restart"/>
          </w:tcPr>
          <w:p w14:paraId="24D62239" w14:textId="77777777" w:rsidR="00245300" w:rsidRPr="00EC20A0" w:rsidRDefault="00245300">
            <w:pPr>
              <w:pStyle w:val="TableParagraph"/>
              <w:rPr>
                <w:sz w:val="18"/>
              </w:rPr>
            </w:pPr>
          </w:p>
        </w:tc>
      </w:tr>
      <w:tr w:rsidR="00245300" w:rsidRPr="00EC20A0" w14:paraId="24D62240" w14:textId="77777777">
        <w:trPr>
          <w:trHeight w:val="290"/>
        </w:trPr>
        <w:tc>
          <w:tcPr>
            <w:tcW w:w="4980" w:type="dxa"/>
            <w:tcBorders>
              <w:top w:val="nil"/>
              <w:bottom w:val="nil"/>
            </w:tcBorders>
          </w:tcPr>
          <w:p w14:paraId="24D6223B" w14:textId="77777777" w:rsidR="00245300" w:rsidRPr="00EC20A0" w:rsidRDefault="00F17249">
            <w:pPr>
              <w:pStyle w:val="TableParagraph"/>
              <w:spacing w:before="27"/>
              <w:ind w:left="107"/>
              <w:rPr>
                <w:sz w:val="20"/>
              </w:rPr>
            </w:pPr>
            <w:r w:rsidRPr="00EC20A0">
              <w:rPr>
                <w:sz w:val="20"/>
              </w:rPr>
              <w:t>Probable</w:t>
            </w:r>
            <w:r w:rsidRPr="00EC20A0">
              <w:rPr>
                <w:spacing w:val="-3"/>
                <w:sz w:val="20"/>
              </w:rPr>
              <w:t xml:space="preserve"> </w:t>
            </w:r>
            <w:r w:rsidRPr="00EC20A0">
              <w:rPr>
                <w:sz w:val="20"/>
              </w:rPr>
              <w:t>low</w:t>
            </w:r>
            <w:r w:rsidRPr="00EC20A0">
              <w:rPr>
                <w:spacing w:val="-3"/>
                <w:sz w:val="20"/>
              </w:rPr>
              <w:t xml:space="preserve"> </w:t>
            </w:r>
            <w:r w:rsidRPr="00EC20A0">
              <w:rPr>
                <w:sz w:val="20"/>
              </w:rPr>
              <w:t>end</w:t>
            </w:r>
            <w:r w:rsidRPr="00EC20A0">
              <w:rPr>
                <w:spacing w:val="-2"/>
                <w:sz w:val="20"/>
              </w:rPr>
              <w:t xml:space="preserve"> </w:t>
            </w:r>
            <w:r w:rsidRPr="00EC20A0">
              <w:rPr>
                <w:sz w:val="20"/>
              </w:rPr>
              <w:t>of</w:t>
            </w:r>
            <w:r w:rsidRPr="00EC20A0">
              <w:rPr>
                <w:spacing w:val="-2"/>
                <w:sz w:val="20"/>
              </w:rPr>
              <w:t xml:space="preserve"> range</w:t>
            </w:r>
          </w:p>
        </w:tc>
        <w:tc>
          <w:tcPr>
            <w:tcW w:w="2700" w:type="dxa"/>
            <w:vMerge/>
            <w:tcBorders>
              <w:top w:val="nil"/>
            </w:tcBorders>
          </w:tcPr>
          <w:p w14:paraId="24D6223C" w14:textId="77777777" w:rsidR="00245300" w:rsidRPr="00EC20A0" w:rsidRDefault="00245300">
            <w:pPr>
              <w:rPr>
                <w:sz w:val="2"/>
                <w:szCs w:val="2"/>
              </w:rPr>
            </w:pPr>
          </w:p>
        </w:tc>
        <w:tc>
          <w:tcPr>
            <w:tcW w:w="2700" w:type="dxa"/>
            <w:vMerge/>
            <w:tcBorders>
              <w:top w:val="nil"/>
            </w:tcBorders>
          </w:tcPr>
          <w:p w14:paraId="24D6223D" w14:textId="77777777" w:rsidR="00245300" w:rsidRPr="00EC20A0" w:rsidRDefault="00245300">
            <w:pPr>
              <w:rPr>
                <w:sz w:val="2"/>
                <w:szCs w:val="2"/>
              </w:rPr>
            </w:pPr>
          </w:p>
        </w:tc>
        <w:tc>
          <w:tcPr>
            <w:tcW w:w="2700" w:type="dxa"/>
            <w:vMerge/>
            <w:tcBorders>
              <w:top w:val="nil"/>
            </w:tcBorders>
          </w:tcPr>
          <w:p w14:paraId="24D6223E" w14:textId="77777777" w:rsidR="00245300" w:rsidRPr="00EC20A0" w:rsidRDefault="00245300">
            <w:pPr>
              <w:rPr>
                <w:sz w:val="2"/>
                <w:szCs w:val="2"/>
              </w:rPr>
            </w:pPr>
          </w:p>
        </w:tc>
        <w:tc>
          <w:tcPr>
            <w:tcW w:w="5320" w:type="dxa"/>
            <w:vMerge/>
            <w:tcBorders>
              <w:top w:val="nil"/>
            </w:tcBorders>
          </w:tcPr>
          <w:p w14:paraId="24D6223F" w14:textId="77777777" w:rsidR="00245300" w:rsidRPr="00EC20A0" w:rsidRDefault="00245300">
            <w:pPr>
              <w:rPr>
                <w:sz w:val="2"/>
                <w:szCs w:val="2"/>
              </w:rPr>
            </w:pPr>
          </w:p>
        </w:tc>
      </w:tr>
      <w:tr w:rsidR="00245300" w:rsidRPr="00EC20A0" w14:paraId="24D62246" w14:textId="77777777">
        <w:trPr>
          <w:trHeight w:val="440"/>
        </w:trPr>
        <w:tc>
          <w:tcPr>
            <w:tcW w:w="4980" w:type="dxa"/>
            <w:tcBorders>
              <w:top w:val="nil"/>
              <w:bottom w:val="nil"/>
            </w:tcBorders>
          </w:tcPr>
          <w:p w14:paraId="24D62241" w14:textId="77777777" w:rsidR="00245300" w:rsidRPr="00EC20A0" w:rsidRDefault="00F17249">
            <w:pPr>
              <w:pStyle w:val="TableParagraph"/>
              <w:spacing w:before="27"/>
              <w:ind w:left="107"/>
              <w:rPr>
                <w:sz w:val="20"/>
              </w:rPr>
            </w:pPr>
            <w:r w:rsidRPr="00EC20A0">
              <w:rPr>
                <w:sz w:val="20"/>
              </w:rPr>
              <w:t>Probable</w:t>
            </w:r>
            <w:r w:rsidRPr="00EC20A0">
              <w:rPr>
                <w:spacing w:val="-3"/>
                <w:sz w:val="20"/>
              </w:rPr>
              <w:t xml:space="preserve"> </w:t>
            </w:r>
            <w:r w:rsidRPr="00EC20A0">
              <w:rPr>
                <w:sz w:val="20"/>
              </w:rPr>
              <w:t>high</w:t>
            </w:r>
            <w:r w:rsidRPr="00EC20A0">
              <w:rPr>
                <w:spacing w:val="-3"/>
                <w:sz w:val="20"/>
              </w:rPr>
              <w:t xml:space="preserve"> </w:t>
            </w:r>
            <w:r w:rsidRPr="00EC20A0">
              <w:rPr>
                <w:sz w:val="20"/>
              </w:rPr>
              <w:t>end</w:t>
            </w:r>
            <w:r w:rsidRPr="00EC20A0">
              <w:rPr>
                <w:spacing w:val="-3"/>
                <w:sz w:val="20"/>
              </w:rPr>
              <w:t xml:space="preserve"> </w:t>
            </w:r>
            <w:r w:rsidRPr="00EC20A0">
              <w:rPr>
                <w:sz w:val="20"/>
              </w:rPr>
              <w:t>of</w:t>
            </w:r>
            <w:r w:rsidRPr="00EC20A0">
              <w:rPr>
                <w:spacing w:val="-2"/>
                <w:sz w:val="20"/>
              </w:rPr>
              <w:t xml:space="preserve"> range</w:t>
            </w:r>
          </w:p>
        </w:tc>
        <w:tc>
          <w:tcPr>
            <w:tcW w:w="2700" w:type="dxa"/>
            <w:vMerge/>
            <w:tcBorders>
              <w:top w:val="nil"/>
            </w:tcBorders>
          </w:tcPr>
          <w:p w14:paraId="24D62242" w14:textId="77777777" w:rsidR="00245300" w:rsidRPr="00EC20A0" w:rsidRDefault="00245300">
            <w:pPr>
              <w:rPr>
                <w:sz w:val="2"/>
                <w:szCs w:val="2"/>
              </w:rPr>
            </w:pPr>
          </w:p>
        </w:tc>
        <w:tc>
          <w:tcPr>
            <w:tcW w:w="2700" w:type="dxa"/>
            <w:vMerge/>
            <w:tcBorders>
              <w:top w:val="nil"/>
            </w:tcBorders>
          </w:tcPr>
          <w:p w14:paraId="24D62243" w14:textId="77777777" w:rsidR="00245300" w:rsidRPr="00EC20A0" w:rsidRDefault="00245300">
            <w:pPr>
              <w:rPr>
                <w:sz w:val="2"/>
                <w:szCs w:val="2"/>
              </w:rPr>
            </w:pPr>
          </w:p>
        </w:tc>
        <w:tc>
          <w:tcPr>
            <w:tcW w:w="2700" w:type="dxa"/>
            <w:vMerge/>
            <w:tcBorders>
              <w:top w:val="nil"/>
            </w:tcBorders>
          </w:tcPr>
          <w:p w14:paraId="24D62244" w14:textId="77777777" w:rsidR="00245300" w:rsidRPr="00EC20A0" w:rsidRDefault="00245300">
            <w:pPr>
              <w:rPr>
                <w:sz w:val="2"/>
                <w:szCs w:val="2"/>
              </w:rPr>
            </w:pPr>
          </w:p>
        </w:tc>
        <w:tc>
          <w:tcPr>
            <w:tcW w:w="5320" w:type="dxa"/>
            <w:vMerge/>
            <w:tcBorders>
              <w:top w:val="nil"/>
            </w:tcBorders>
          </w:tcPr>
          <w:p w14:paraId="24D62245" w14:textId="77777777" w:rsidR="00245300" w:rsidRPr="00EC20A0" w:rsidRDefault="00245300">
            <w:pPr>
              <w:rPr>
                <w:sz w:val="2"/>
                <w:szCs w:val="2"/>
              </w:rPr>
            </w:pPr>
          </w:p>
        </w:tc>
      </w:tr>
      <w:tr w:rsidR="00245300" w:rsidRPr="00EC20A0" w14:paraId="24D6224C" w14:textId="77777777">
        <w:trPr>
          <w:trHeight w:val="440"/>
        </w:trPr>
        <w:tc>
          <w:tcPr>
            <w:tcW w:w="4980" w:type="dxa"/>
            <w:tcBorders>
              <w:top w:val="nil"/>
              <w:bottom w:val="nil"/>
            </w:tcBorders>
          </w:tcPr>
          <w:p w14:paraId="24D62247" w14:textId="77777777" w:rsidR="00245300" w:rsidRPr="00EC20A0" w:rsidRDefault="00F17249">
            <w:pPr>
              <w:pStyle w:val="TableParagraph"/>
              <w:spacing w:before="177"/>
              <w:ind w:left="107"/>
              <w:rPr>
                <w:sz w:val="20"/>
              </w:rPr>
            </w:pPr>
            <w:r w:rsidRPr="00EC20A0">
              <w:rPr>
                <w:sz w:val="20"/>
              </w:rPr>
              <w:t>Reasonably</w:t>
            </w:r>
            <w:r w:rsidRPr="00EC20A0">
              <w:rPr>
                <w:spacing w:val="-4"/>
                <w:sz w:val="20"/>
              </w:rPr>
              <w:t xml:space="preserve"> </w:t>
            </w:r>
            <w:r w:rsidRPr="00EC20A0">
              <w:rPr>
                <w:sz w:val="20"/>
              </w:rPr>
              <w:t>possible</w:t>
            </w:r>
            <w:r w:rsidRPr="00EC20A0">
              <w:rPr>
                <w:spacing w:val="-4"/>
                <w:sz w:val="20"/>
              </w:rPr>
              <w:t xml:space="preserve"> </w:t>
            </w:r>
            <w:r w:rsidRPr="00EC20A0">
              <w:rPr>
                <w:sz w:val="20"/>
              </w:rPr>
              <w:t>low</w:t>
            </w:r>
            <w:r w:rsidRPr="00EC20A0">
              <w:rPr>
                <w:spacing w:val="-3"/>
                <w:sz w:val="20"/>
              </w:rPr>
              <w:t xml:space="preserve"> </w:t>
            </w:r>
            <w:r w:rsidRPr="00EC20A0">
              <w:rPr>
                <w:sz w:val="20"/>
              </w:rPr>
              <w:t>end</w:t>
            </w:r>
            <w:r w:rsidRPr="00EC20A0">
              <w:rPr>
                <w:spacing w:val="-4"/>
                <w:sz w:val="20"/>
              </w:rPr>
              <w:t xml:space="preserve"> </w:t>
            </w:r>
            <w:r w:rsidRPr="00EC20A0">
              <w:rPr>
                <w:sz w:val="20"/>
              </w:rPr>
              <w:t>of</w:t>
            </w:r>
            <w:r w:rsidRPr="00EC20A0">
              <w:rPr>
                <w:spacing w:val="-4"/>
                <w:sz w:val="20"/>
              </w:rPr>
              <w:t xml:space="preserve"> </w:t>
            </w:r>
            <w:r w:rsidRPr="00EC20A0">
              <w:rPr>
                <w:spacing w:val="-2"/>
                <w:sz w:val="20"/>
              </w:rPr>
              <w:t>range</w:t>
            </w:r>
          </w:p>
        </w:tc>
        <w:tc>
          <w:tcPr>
            <w:tcW w:w="2700" w:type="dxa"/>
            <w:vMerge/>
            <w:tcBorders>
              <w:top w:val="nil"/>
            </w:tcBorders>
          </w:tcPr>
          <w:p w14:paraId="24D62248" w14:textId="77777777" w:rsidR="00245300" w:rsidRPr="00EC20A0" w:rsidRDefault="00245300">
            <w:pPr>
              <w:rPr>
                <w:sz w:val="2"/>
                <w:szCs w:val="2"/>
              </w:rPr>
            </w:pPr>
          </w:p>
        </w:tc>
        <w:tc>
          <w:tcPr>
            <w:tcW w:w="2700" w:type="dxa"/>
            <w:vMerge/>
            <w:tcBorders>
              <w:top w:val="nil"/>
            </w:tcBorders>
          </w:tcPr>
          <w:p w14:paraId="24D62249" w14:textId="77777777" w:rsidR="00245300" w:rsidRPr="00EC20A0" w:rsidRDefault="00245300">
            <w:pPr>
              <w:rPr>
                <w:sz w:val="2"/>
                <w:szCs w:val="2"/>
              </w:rPr>
            </w:pPr>
          </w:p>
        </w:tc>
        <w:tc>
          <w:tcPr>
            <w:tcW w:w="2700" w:type="dxa"/>
            <w:vMerge/>
            <w:tcBorders>
              <w:top w:val="nil"/>
            </w:tcBorders>
          </w:tcPr>
          <w:p w14:paraId="24D6224A" w14:textId="77777777" w:rsidR="00245300" w:rsidRPr="00EC20A0" w:rsidRDefault="00245300">
            <w:pPr>
              <w:rPr>
                <w:sz w:val="2"/>
                <w:szCs w:val="2"/>
              </w:rPr>
            </w:pPr>
          </w:p>
        </w:tc>
        <w:tc>
          <w:tcPr>
            <w:tcW w:w="5320" w:type="dxa"/>
            <w:vMerge/>
            <w:tcBorders>
              <w:top w:val="nil"/>
            </w:tcBorders>
          </w:tcPr>
          <w:p w14:paraId="24D6224B" w14:textId="77777777" w:rsidR="00245300" w:rsidRPr="00EC20A0" w:rsidRDefault="00245300">
            <w:pPr>
              <w:rPr>
                <w:sz w:val="2"/>
                <w:szCs w:val="2"/>
              </w:rPr>
            </w:pPr>
          </w:p>
        </w:tc>
      </w:tr>
      <w:tr w:rsidR="00245300" w:rsidRPr="00EC20A0" w14:paraId="24D62252" w14:textId="77777777">
        <w:trPr>
          <w:trHeight w:val="556"/>
        </w:trPr>
        <w:tc>
          <w:tcPr>
            <w:tcW w:w="4980" w:type="dxa"/>
            <w:tcBorders>
              <w:top w:val="nil"/>
            </w:tcBorders>
          </w:tcPr>
          <w:p w14:paraId="24D6224D" w14:textId="77777777" w:rsidR="00245300" w:rsidRPr="00EC20A0" w:rsidRDefault="00F17249">
            <w:pPr>
              <w:pStyle w:val="TableParagraph"/>
              <w:spacing w:before="27"/>
              <w:ind w:left="107"/>
              <w:rPr>
                <w:sz w:val="20"/>
              </w:rPr>
            </w:pPr>
            <w:r w:rsidRPr="00EC20A0">
              <w:rPr>
                <w:sz w:val="20"/>
              </w:rPr>
              <w:t>Reasonably</w:t>
            </w:r>
            <w:r w:rsidRPr="00EC20A0">
              <w:rPr>
                <w:spacing w:val="-4"/>
                <w:sz w:val="20"/>
              </w:rPr>
              <w:t xml:space="preserve"> </w:t>
            </w:r>
            <w:r w:rsidRPr="00EC20A0">
              <w:rPr>
                <w:sz w:val="20"/>
              </w:rPr>
              <w:t>possible</w:t>
            </w:r>
            <w:r w:rsidRPr="00EC20A0">
              <w:rPr>
                <w:spacing w:val="-4"/>
                <w:sz w:val="20"/>
              </w:rPr>
              <w:t xml:space="preserve"> </w:t>
            </w:r>
            <w:r w:rsidRPr="00EC20A0">
              <w:rPr>
                <w:sz w:val="20"/>
              </w:rPr>
              <w:t>high</w:t>
            </w:r>
            <w:r w:rsidRPr="00EC20A0">
              <w:rPr>
                <w:spacing w:val="-4"/>
                <w:sz w:val="20"/>
              </w:rPr>
              <w:t xml:space="preserve"> </w:t>
            </w:r>
            <w:r w:rsidRPr="00EC20A0">
              <w:rPr>
                <w:sz w:val="20"/>
              </w:rPr>
              <w:t>end</w:t>
            </w:r>
            <w:r w:rsidRPr="00EC20A0">
              <w:rPr>
                <w:spacing w:val="-4"/>
                <w:sz w:val="20"/>
              </w:rPr>
              <w:t xml:space="preserve"> </w:t>
            </w:r>
            <w:r w:rsidRPr="00EC20A0">
              <w:rPr>
                <w:sz w:val="20"/>
              </w:rPr>
              <w:t>of</w:t>
            </w:r>
            <w:r w:rsidRPr="00EC20A0">
              <w:rPr>
                <w:spacing w:val="-3"/>
                <w:sz w:val="20"/>
              </w:rPr>
              <w:t xml:space="preserve"> </w:t>
            </w:r>
            <w:r w:rsidRPr="00EC20A0">
              <w:rPr>
                <w:spacing w:val="-2"/>
                <w:sz w:val="20"/>
              </w:rPr>
              <w:t>range</w:t>
            </w:r>
          </w:p>
        </w:tc>
        <w:tc>
          <w:tcPr>
            <w:tcW w:w="2700" w:type="dxa"/>
            <w:vMerge/>
            <w:tcBorders>
              <w:top w:val="nil"/>
            </w:tcBorders>
          </w:tcPr>
          <w:p w14:paraId="24D6224E" w14:textId="77777777" w:rsidR="00245300" w:rsidRPr="00EC20A0" w:rsidRDefault="00245300">
            <w:pPr>
              <w:rPr>
                <w:sz w:val="2"/>
                <w:szCs w:val="2"/>
              </w:rPr>
            </w:pPr>
          </w:p>
        </w:tc>
        <w:tc>
          <w:tcPr>
            <w:tcW w:w="2700" w:type="dxa"/>
            <w:vMerge/>
            <w:tcBorders>
              <w:top w:val="nil"/>
            </w:tcBorders>
          </w:tcPr>
          <w:p w14:paraId="24D6224F" w14:textId="77777777" w:rsidR="00245300" w:rsidRPr="00EC20A0" w:rsidRDefault="00245300">
            <w:pPr>
              <w:rPr>
                <w:sz w:val="2"/>
                <w:szCs w:val="2"/>
              </w:rPr>
            </w:pPr>
          </w:p>
        </w:tc>
        <w:tc>
          <w:tcPr>
            <w:tcW w:w="2700" w:type="dxa"/>
            <w:vMerge/>
            <w:tcBorders>
              <w:top w:val="nil"/>
            </w:tcBorders>
          </w:tcPr>
          <w:p w14:paraId="24D62250" w14:textId="77777777" w:rsidR="00245300" w:rsidRPr="00EC20A0" w:rsidRDefault="00245300">
            <w:pPr>
              <w:rPr>
                <w:sz w:val="2"/>
                <w:szCs w:val="2"/>
              </w:rPr>
            </w:pPr>
          </w:p>
        </w:tc>
        <w:tc>
          <w:tcPr>
            <w:tcW w:w="5320" w:type="dxa"/>
            <w:vMerge/>
            <w:tcBorders>
              <w:top w:val="nil"/>
            </w:tcBorders>
          </w:tcPr>
          <w:p w14:paraId="24D62251" w14:textId="77777777" w:rsidR="00245300" w:rsidRPr="00EC20A0" w:rsidRDefault="00245300">
            <w:pPr>
              <w:rPr>
                <w:sz w:val="2"/>
                <w:szCs w:val="2"/>
              </w:rPr>
            </w:pPr>
          </w:p>
        </w:tc>
      </w:tr>
    </w:tbl>
    <w:p w14:paraId="24D62253" w14:textId="77777777" w:rsidR="00245300" w:rsidRPr="00EC20A0" w:rsidRDefault="00245300">
      <w:pPr>
        <w:pStyle w:val="BodyText"/>
        <w:spacing w:before="186"/>
        <w:rPr>
          <w:i/>
          <w:sz w:val="18"/>
        </w:rPr>
      </w:pPr>
    </w:p>
    <w:p w14:paraId="24D62254" w14:textId="77777777" w:rsidR="00245300" w:rsidRPr="00EC20A0" w:rsidRDefault="00F17249">
      <w:pPr>
        <w:ind w:left="227"/>
        <w:rPr>
          <w:b/>
          <w:sz w:val="18"/>
        </w:rPr>
      </w:pPr>
      <w:r w:rsidRPr="00EC20A0">
        <w:rPr>
          <w:b/>
          <w:sz w:val="18"/>
        </w:rPr>
        <w:t>Instructions</w:t>
      </w:r>
      <w:r w:rsidRPr="00EC20A0">
        <w:rPr>
          <w:b/>
          <w:spacing w:val="-6"/>
          <w:sz w:val="18"/>
        </w:rPr>
        <w:t xml:space="preserve"> </w:t>
      </w:r>
      <w:r w:rsidRPr="00EC20A0">
        <w:rPr>
          <w:b/>
          <w:sz w:val="18"/>
        </w:rPr>
        <w:t>for</w:t>
      </w:r>
      <w:r w:rsidRPr="00EC20A0">
        <w:rPr>
          <w:b/>
          <w:spacing w:val="-4"/>
          <w:sz w:val="18"/>
        </w:rPr>
        <w:t xml:space="preserve"> </w:t>
      </w:r>
      <w:r w:rsidRPr="00EC20A0">
        <w:rPr>
          <w:b/>
          <w:sz w:val="18"/>
        </w:rPr>
        <w:t>Management</w:t>
      </w:r>
      <w:r w:rsidRPr="00EC20A0">
        <w:rPr>
          <w:b/>
          <w:spacing w:val="-3"/>
          <w:sz w:val="18"/>
        </w:rPr>
        <w:t xml:space="preserve"> </w:t>
      </w:r>
      <w:r w:rsidRPr="00EC20A0">
        <w:rPr>
          <w:b/>
          <w:sz w:val="18"/>
        </w:rPr>
        <w:t>Schedule</w:t>
      </w:r>
      <w:r w:rsidRPr="00EC20A0">
        <w:rPr>
          <w:b/>
          <w:spacing w:val="-4"/>
          <w:sz w:val="18"/>
        </w:rPr>
        <w:t xml:space="preserve"> </w:t>
      </w:r>
      <w:r w:rsidRPr="00EC20A0">
        <w:rPr>
          <w:b/>
          <w:sz w:val="18"/>
        </w:rPr>
        <w:t>Completion</w:t>
      </w:r>
      <w:r w:rsidRPr="00EC20A0">
        <w:rPr>
          <w:b/>
          <w:spacing w:val="-4"/>
          <w:sz w:val="18"/>
        </w:rPr>
        <w:t xml:space="preserve"> </w:t>
      </w:r>
      <w:r w:rsidRPr="00EC20A0">
        <w:rPr>
          <w:b/>
          <w:sz w:val="18"/>
        </w:rPr>
        <w:t>(by</w:t>
      </w:r>
      <w:r w:rsidRPr="00EC20A0">
        <w:rPr>
          <w:b/>
          <w:spacing w:val="-4"/>
          <w:sz w:val="18"/>
        </w:rPr>
        <w:t xml:space="preserve"> </w:t>
      </w:r>
      <w:r w:rsidRPr="00EC20A0">
        <w:rPr>
          <w:b/>
          <w:spacing w:val="-2"/>
          <w:sz w:val="18"/>
        </w:rPr>
        <w:t>column):</w:t>
      </w:r>
    </w:p>
    <w:p w14:paraId="24D62255" w14:textId="77777777" w:rsidR="00245300" w:rsidRPr="00EC20A0" w:rsidRDefault="00245300">
      <w:pPr>
        <w:pStyle w:val="BodyText"/>
        <w:rPr>
          <w:b/>
          <w:sz w:val="18"/>
        </w:rPr>
      </w:pPr>
    </w:p>
    <w:p w14:paraId="24D62256" w14:textId="77777777" w:rsidR="00245300" w:rsidRPr="00EC20A0" w:rsidRDefault="00245300">
      <w:pPr>
        <w:pStyle w:val="BodyText"/>
        <w:spacing w:before="12"/>
        <w:rPr>
          <w:b/>
          <w:sz w:val="18"/>
        </w:rPr>
      </w:pPr>
    </w:p>
    <w:p w14:paraId="24D62257" w14:textId="77777777" w:rsidR="00245300" w:rsidRPr="00EC20A0" w:rsidRDefault="00F17249">
      <w:pPr>
        <w:pStyle w:val="ListParagraph"/>
        <w:numPr>
          <w:ilvl w:val="0"/>
          <w:numId w:val="58"/>
        </w:numPr>
        <w:tabs>
          <w:tab w:val="left" w:pos="495"/>
          <w:tab w:val="left" w:pos="753"/>
        </w:tabs>
        <w:spacing w:before="0"/>
        <w:ind w:right="1162" w:hanging="526"/>
        <w:rPr>
          <w:sz w:val="18"/>
        </w:rPr>
      </w:pPr>
      <w:r w:rsidRPr="00EC20A0">
        <w:rPr>
          <w:sz w:val="18"/>
        </w:rPr>
        <w:t>Fiscal</w:t>
      </w:r>
      <w:r w:rsidRPr="00EC20A0">
        <w:rPr>
          <w:spacing w:val="-1"/>
          <w:sz w:val="18"/>
        </w:rPr>
        <w:t xml:space="preserve"> </w:t>
      </w:r>
      <w:r w:rsidRPr="00EC20A0">
        <w:rPr>
          <w:sz w:val="18"/>
        </w:rPr>
        <w:t>Service</w:t>
      </w:r>
      <w:r w:rsidRPr="00EC20A0">
        <w:rPr>
          <w:spacing w:val="-2"/>
          <w:sz w:val="18"/>
        </w:rPr>
        <w:t xml:space="preserve"> </w:t>
      </w:r>
      <w:r w:rsidRPr="00EC20A0">
        <w:rPr>
          <w:sz w:val="18"/>
        </w:rPr>
        <w:t>Reference Key</w:t>
      </w:r>
      <w:r w:rsidRPr="00EC20A0">
        <w:rPr>
          <w:spacing w:val="-1"/>
          <w:sz w:val="18"/>
        </w:rPr>
        <w:t xml:space="preserve"> </w:t>
      </w:r>
      <w:r w:rsidRPr="00EC20A0">
        <w:rPr>
          <w:sz w:val="18"/>
        </w:rPr>
        <w:t>(if</w:t>
      </w:r>
      <w:r w:rsidRPr="00EC20A0">
        <w:rPr>
          <w:spacing w:val="-1"/>
          <w:sz w:val="18"/>
        </w:rPr>
        <w:t xml:space="preserve"> </w:t>
      </w:r>
      <w:r w:rsidRPr="00EC20A0">
        <w:rPr>
          <w:sz w:val="18"/>
        </w:rPr>
        <w:t>a</w:t>
      </w:r>
      <w:r w:rsidRPr="00EC20A0">
        <w:rPr>
          <w:spacing w:val="-2"/>
          <w:sz w:val="18"/>
        </w:rPr>
        <w:t xml:space="preserve"> </w:t>
      </w:r>
      <w:r w:rsidRPr="00EC20A0">
        <w:rPr>
          <w:sz w:val="18"/>
        </w:rPr>
        <w:t>significant entity)</w:t>
      </w:r>
      <w:r w:rsidRPr="00EC20A0">
        <w:rPr>
          <w:spacing w:val="-1"/>
          <w:sz w:val="18"/>
        </w:rPr>
        <w:t xml:space="preserve"> </w:t>
      </w:r>
      <w:r w:rsidRPr="00EC20A0">
        <w:rPr>
          <w:sz w:val="18"/>
        </w:rPr>
        <w:t>-</w:t>
      </w:r>
      <w:r w:rsidRPr="00EC20A0">
        <w:rPr>
          <w:spacing w:val="-1"/>
          <w:sz w:val="18"/>
        </w:rPr>
        <w:t xml:space="preserve"> </w:t>
      </w:r>
      <w:r w:rsidRPr="00EC20A0">
        <w:rPr>
          <w:sz w:val="18"/>
        </w:rPr>
        <w:t>Assign</w:t>
      </w:r>
      <w:r w:rsidRPr="00EC20A0">
        <w:rPr>
          <w:spacing w:val="-2"/>
          <w:sz w:val="18"/>
        </w:rPr>
        <w:t xml:space="preserve"> </w:t>
      </w:r>
      <w:r w:rsidRPr="00EC20A0">
        <w:rPr>
          <w:sz w:val="18"/>
        </w:rPr>
        <w:t>a</w:t>
      </w:r>
      <w:r w:rsidRPr="00EC20A0">
        <w:rPr>
          <w:spacing w:val="-2"/>
          <w:sz w:val="18"/>
        </w:rPr>
        <w:t xml:space="preserve"> </w:t>
      </w:r>
      <w:r w:rsidRPr="00EC20A0">
        <w:rPr>
          <w:sz w:val="18"/>
        </w:rPr>
        <w:t>numeric</w:t>
      </w:r>
      <w:r w:rsidRPr="00EC20A0">
        <w:rPr>
          <w:spacing w:val="-1"/>
          <w:sz w:val="18"/>
        </w:rPr>
        <w:t xml:space="preserve"> </w:t>
      </w:r>
      <w:r w:rsidRPr="00EC20A0">
        <w:rPr>
          <w:sz w:val="18"/>
        </w:rPr>
        <w:t>value</w:t>
      </w:r>
      <w:r w:rsidRPr="00EC20A0">
        <w:rPr>
          <w:spacing w:val="-2"/>
          <w:sz w:val="18"/>
        </w:rPr>
        <w:t xml:space="preserve"> </w:t>
      </w:r>
      <w:r w:rsidRPr="00EC20A0">
        <w:rPr>
          <w:sz w:val="18"/>
        </w:rPr>
        <w:t>to</w:t>
      </w:r>
      <w:r w:rsidRPr="00EC20A0">
        <w:rPr>
          <w:spacing w:val="-2"/>
          <w:sz w:val="18"/>
        </w:rPr>
        <w:t xml:space="preserve"> </w:t>
      </w:r>
      <w:r w:rsidRPr="00EC20A0">
        <w:rPr>
          <w:sz w:val="18"/>
        </w:rPr>
        <w:t>each case</w:t>
      </w:r>
      <w:r w:rsidRPr="00EC20A0">
        <w:rPr>
          <w:spacing w:val="-2"/>
          <w:sz w:val="18"/>
        </w:rPr>
        <w:t xml:space="preserve"> </w:t>
      </w:r>
      <w:r w:rsidRPr="00EC20A0">
        <w:rPr>
          <w:sz w:val="18"/>
        </w:rPr>
        <w:t>that</w:t>
      </w:r>
      <w:r w:rsidRPr="00EC20A0">
        <w:rPr>
          <w:spacing w:val="-1"/>
          <w:sz w:val="18"/>
        </w:rPr>
        <w:t xml:space="preserve"> </w:t>
      </w:r>
      <w:r w:rsidRPr="00EC20A0">
        <w:rPr>
          <w:sz w:val="18"/>
        </w:rPr>
        <w:t>will be</w:t>
      </w:r>
      <w:r w:rsidRPr="00EC20A0">
        <w:rPr>
          <w:spacing w:val="-2"/>
          <w:sz w:val="18"/>
        </w:rPr>
        <w:t xml:space="preserve"> </w:t>
      </w:r>
      <w:r w:rsidRPr="00EC20A0">
        <w:rPr>
          <w:sz w:val="18"/>
        </w:rPr>
        <w:t>used</w:t>
      </w:r>
      <w:r w:rsidRPr="00EC20A0">
        <w:rPr>
          <w:spacing w:val="-2"/>
          <w:sz w:val="18"/>
        </w:rPr>
        <w:t xml:space="preserve"> </w:t>
      </w:r>
      <w:r w:rsidRPr="00EC20A0">
        <w:rPr>
          <w:sz w:val="18"/>
        </w:rPr>
        <w:t>by</w:t>
      </w:r>
      <w:r w:rsidRPr="00EC20A0">
        <w:rPr>
          <w:spacing w:val="-1"/>
          <w:sz w:val="18"/>
        </w:rPr>
        <w:t xml:space="preserve"> </w:t>
      </w:r>
      <w:r w:rsidRPr="00EC20A0">
        <w:rPr>
          <w:sz w:val="18"/>
        </w:rPr>
        <w:t>the Department</w:t>
      </w:r>
      <w:r w:rsidRPr="00EC20A0">
        <w:rPr>
          <w:spacing w:val="-1"/>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Treasury’s Bureau</w:t>
      </w:r>
      <w:r w:rsidRPr="00EC20A0">
        <w:rPr>
          <w:spacing w:val="-2"/>
          <w:sz w:val="18"/>
        </w:rPr>
        <w:t xml:space="preserve"> </w:t>
      </w:r>
      <w:r w:rsidRPr="00EC20A0">
        <w:rPr>
          <w:sz w:val="18"/>
        </w:rPr>
        <w:t>of</w:t>
      </w:r>
      <w:r w:rsidRPr="00EC20A0">
        <w:rPr>
          <w:spacing w:val="-1"/>
          <w:sz w:val="18"/>
        </w:rPr>
        <w:t xml:space="preserve"> </w:t>
      </w:r>
      <w:r w:rsidRPr="00EC20A0">
        <w:rPr>
          <w:sz w:val="18"/>
        </w:rPr>
        <w:t>the Fiscal</w:t>
      </w:r>
      <w:r w:rsidRPr="00EC20A0">
        <w:rPr>
          <w:spacing w:val="-1"/>
          <w:sz w:val="18"/>
        </w:rPr>
        <w:t xml:space="preserve"> </w:t>
      </w:r>
      <w:r w:rsidRPr="00EC20A0">
        <w:rPr>
          <w:sz w:val="18"/>
        </w:rPr>
        <w:t>Service</w:t>
      </w:r>
      <w:r w:rsidRPr="00EC20A0">
        <w:rPr>
          <w:spacing w:val="-2"/>
          <w:sz w:val="18"/>
        </w:rPr>
        <w:t xml:space="preserve"> </w:t>
      </w:r>
      <w:r w:rsidRPr="00EC20A0">
        <w:rPr>
          <w:sz w:val="18"/>
        </w:rPr>
        <w:t>to</w:t>
      </w:r>
      <w:r w:rsidRPr="00EC20A0">
        <w:rPr>
          <w:spacing w:val="-2"/>
          <w:sz w:val="18"/>
        </w:rPr>
        <w:t xml:space="preserve"> </w:t>
      </w:r>
      <w:r w:rsidRPr="00EC20A0">
        <w:rPr>
          <w:sz w:val="18"/>
        </w:rPr>
        <w:t>identify</w:t>
      </w:r>
      <w:r w:rsidRPr="00EC20A0">
        <w:rPr>
          <w:spacing w:val="-1"/>
          <w:sz w:val="18"/>
        </w:rPr>
        <w:t xml:space="preserve"> </w:t>
      </w:r>
      <w:r w:rsidRPr="00EC20A0">
        <w:rPr>
          <w:sz w:val="18"/>
        </w:rPr>
        <w:t>the</w:t>
      </w:r>
      <w:r w:rsidRPr="00EC20A0">
        <w:rPr>
          <w:spacing w:val="-2"/>
          <w:sz w:val="18"/>
        </w:rPr>
        <w:t xml:space="preserve"> </w:t>
      </w:r>
      <w:r w:rsidRPr="00EC20A0">
        <w:rPr>
          <w:sz w:val="18"/>
        </w:rPr>
        <w:t>matter</w:t>
      </w:r>
      <w:r w:rsidRPr="00EC20A0">
        <w:rPr>
          <w:spacing w:val="-1"/>
          <w:sz w:val="18"/>
        </w:rPr>
        <w:t xml:space="preserve"> </w:t>
      </w:r>
      <w:r w:rsidRPr="00EC20A0">
        <w:rPr>
          <w:sz w:val="18"/>
        </w:rPr>
        <w:t>throughout</w:t>
      </w:r>
      <w:r w:rsidRPr="00EC20A0">
        <w:rPr>
          <w:spacing w:val="-1"/>
          <w:sz w:val="18"/>
        </w:rPr>
        <w:t xml:space="preserve"> </w:t>
      </w:r>
      <w:r w:rsidRPr="00EC20A0">
        <w:rPr>
          <w:sz w:val="18"/>
        </w:rPr>
        <w:t>the</w:t>
      </w:r>
      <w:r w:rsidRPr="00EC20A0">
        <w:rPr>
          <w:spacing w:val="-2"/>
          <w:sz w:val="18"/>
        </w:rPr>
        <w:t xml:space="preserve"> </w:t>
      </w:r>
      <w:r w:rsidRPr="00EC20A0">
        <w:rPr>
          <w:sz w:val="18"/>
        </w:rPr>
        <w:t>legal</w:t>
      </w:r>
      <w:r w:rsidRPr="00EC20A0">
        <w:rPr>
          <w:spacing w:val="-1"/>
          <w:sz w:val="18"/>
        </w:rPr>
        <w:t xml:space="preserve"> </w:t>
      </w:r>
      <w:r w:rsidRPr="00EC20A0">
        <w:rPr>
          <w:sz w:val="18"/>
        </w:rPr>
        <w:t>counsel</w:t>
      </w:r>
      <w:r w:rsidRPr="00EC20A0">
        <w:rPr>
          <w:spacing w:val="-1"/>
          <w:sz w:val="18"/>
        </w:rPr>
        <w:t xml:space="preserve"> </w:t>
      </w:r>
      <w:r w:rsidRPr="00EC20A0">
        <w:rPr>
          <w:sz w:val="18"/>
        </w:rPr>
        <w:t>response</w:t>
      </w:r>
      <w:r w:rsidRPr="00EC20A0">
        <w:rPr>
          <w:spacing w:val="-1"/>
          <w:sz w:val="18"/>
        </w:rPr>
        <w:t xml:space="preserve"> </w:t>
      </w:r>
      <w:r w:rsidRPr="00EC20A0">
        <w:rPr>
          <w:sz w:val="18"/>
        </w:rPr>
        <w:t>reporting</w:t>
      </w:r>
      <w:r w:rsidRPr="00EC20A0">
        <w:rPr>
          <w:spacing w:val="-2"/>
          <w:sz w:val="18"/>
        </w:rPr>
        <w:t xml:space="preserve"> </w:t>
      </w:r>
      <w:r w:rsidRPr="00EC20A0">
        <w:rPr>
          <w:sz w:val="18"/>
        </w:rPr>
        <w:t>process</w:t>
      </w:r>
      <w:r w:rsidRPr="00EC20A0">
        <w:rPr>
          <w:spacing w:val="-1"/>
          <w:sz w:val="18"/>
        </w:rPr>
        <w:t xml:space="preserve"> </w:t>
      </w:r>
      <w:r w:rsidRPr="00EC20A0">
        <w:rPr>
          <w:sz w:val="18"/>
        </w:rPr>
        <w:t>for</w:t>
      </w:r>
      <w:r w:rsidRPr="00EC20A0">
        <w:rPr>
          <w:spacing w:val="-1"/>
          <w:sz w:val="18"/>
        </w:rPr>
        <w:t xml:space="preserve"> </w:t>
      </w:r>
      <w:r w:rsidRPr="00EC20A0">
        <w:rPr>
          <w:sz w:val="18"/>
        </w:rPr>
        <w:t>the current fiscal year. This value will not change from interim through the final legal counsel response update.</w:t>
      </w:r>
    </w:p>
    <w:p w14:paraId="24D62258" w14:textId="77777777" w:rsidR="00245300" w:rsidRPr="00EC20A0" w:rsidRDefault="00F17249">
      <w:pPr>
        <w:pStyle w:val="ListParagraph"/>
        <w:numPr>
          <w:ilvl w:val="0"/>
          <w:numId w:val="58"/>
        </w:numPr>
        <w:tabs>
          <w:tab w:val="left" w:pos="495"/>
        </w:tabs>
        <w:spacing w:before="117"/>
        <w:ind w:left="495" w:hanging="268"/>
        <w:rPr>
          <w:sz w:val="18"/>
        </w:rPr>
      </w:pPr>
      <w:r w:rsidRPr="00EC20A0">
        <w:rPr>
          <w:sz w:val="18"/>
        </w:rPr>
        <w:t>Entity</w:t>
      </w:r>
      <w:r w:rsidRPr="00EC20A0">
        <w:rPr>
          <w:spacing w:val="-3"/>
          <w:sz w:val="18"/>
        </w:rPr>
        <w:t xml:space="preserve"> </w:t>
      </w:r>
      <w:r w:rsidRPr="00EC20A0">
        <w:rPr>
          <w:sz w:val="18"/>
        </w:rPr>
        <w:t>Reference</w:t>
      </w:r>
      <w:r w:rsidRPr="00EC20A0">
        <w:rPr>
          <w:spacing w:val="-3"/>
          <w:sz w:val="18"/>
        </w:rPr>
        <w:t xml:space="preserve"> </w:t>
      </w:r>
      <w:r w:rsidRPr="00EC20A0">
        <w:rPr>
          <w:sz w:val="18"/>
        </w:rPr>
        <w:t>Key</w:t>
      </w:r>
      <w:r w:rsidRPr="00EC20A0">
        <w:rPr>
          <w:spacing w:val="-2"/>
          <w:sz w:val="18"/>
        </w:rPr>
        <w:t xml:space="preserve"> </w:t>
      </w:r>
      <w:r w:rsidRPr="00EC20A0">
        <w:rPr>
          <w:sz w:val="18"/>
        </w:rPr>
        <w:t>-</w:t>
      </w:r>
      <w:r w:rsidRPr="00EC20A0">
        <w:rPr>
          <w:spacing w:val="-2"/>
          <w:sz w:val="18"/>
        </w:rPr>
        <w:t xml:space="preserve"> </w:t>
      </w:r>
      <w:r w:rsidRPr="00EC20A0">
        <w:rPr>
          <w:sz w:val="18"/>
        </w:rPr>
        <w:t>Enter</w:t>
      </w:r>
      <w:r w:rsidRPr="00EC20A0">
        <w:rPr>
          <w:spacing w:val="-3"/>
          <w:sz w:val="18"/>
        </w:rPr>
        <w:t xml:space="preserve"> </w:t>
      </w:r>
      <w:r w:rsidRPr="00EC20A0">
        <w:rPr>
          <w:sz w:val="18"/>
        </w:rPr>
        <w:t>the</w:t>
      </w:r>
      <w:r w:rsidRPr="00EC20A0">
        <w:rPr>
          <w:spacing w:val="-3"/>
          <w:sz w:val="18"/>
        </w:rPr>
        <w:t xml:space="preserve"> </w:t>
      </w:r>
      <w:r w:rsidRPr="00EC20A0">
        <w:rPr>
          <w:sz w:val="18"/>
        </w:rPr>
        <w:t>entity's</w:t>
      </w:r>
      <w:r w:rsidRPr="00EC20A0">
        <w:rPr>
          <w:spacing w:val="-2"/>
          <w:sz w:val="18"/>
        </w:rPr>
        <w:t xml:space="preserve"> </w:t>
      </w:r>
      <w:r w:rsidRPr="00EC20A0">
        <w:rPr>
          <w:sz w:val="18"/>
        </w:rPr>
        <w:t>reference</w:t>
      </w:r>
      <w:r w:rsidRPr="00EC20A0">
        <w:rPr>
          <w:spacing w:val="-3"/>
          <w:sz w:val="18"/>
        </w:rPr>
        <w:t xml:space="preserve"> </w:t>
      </w:r>
      <w:r w:rsidRPr="00EC20A0">
        <w:rPr>
          <w:sz w:val="18"/>
        </w:rPr>
        <w:t>number</w:t>
      </w:r>
      <w:r w:rsidRPr="00EC20A0">
        <w:rPr>
          <w:spacing w:val="-3"/>
          <w:sz w:val="18"/>
        </w:rPr>
        <w:t xml:space="preserve"> </w:t>
      </w:r>
      <w:r w:rsidRPr="00EC20A0">
        <w:rPr>
          <w:sz w:val="18"/>
        </w:rPr>
        <w:t>for</w:t>
      </w:r>
      <w:r w:rsidRPr="00EC20A0">
        <w:rPr>
          <w:spacing w:val="-2"/>
          <w:sz w:val="18"/>
        </w:rPr>
        <w:t xml:space="preserve"> </w:t>
      </w:r>
      <w:r w:rsidRPr="00EC20A0">
        <w:rPr>
          <w:sz w:val="18"/>
        </w:rPr>
        <w:t>identifying</w:t>
      </w:r>
      <w:r w:rsidRPr="00EC20A0">
        <w:rPr>
          <w:spacing w:val="-3"/>
          <w:sz w:val="18"/>
        </w:rPr>
        <w:t xml:space="preserve"> </w:t>
      </w:r>
      <w:r w:rsidRPr="00EC20A0">
        <w:rPr>
          <w:sz w:val="18"/>
        </w:rPr>
        <w:t>the</w:t>
      </w:r>
      <w:r w:rsidRPr="00EC20A0">
        <w:rPr>
          <w:spacing w:val="-3"/>
          <w:sz w:val="18"/>
        </w:rPr>
        <w:t xml:space="preserve"> </w:t>
      </w:r>
      <w:r w:rsidRPr="00EC20A0">
        <w:rPr>
          <w:sz w:val="18"/>
        </w:rPr>
        <w:t>case(s)</w:t>
      </w:r>
      <w:r w:rsidRPr="00EC20A0">
        <w:rPr>
          <w:spacing w:val="-3"/>
          <w:sz w:val="18"/>
        </w:rPr>
        <w:t xml:space="preserve"> </w:t>
      </w:r>
      <w:r w:rsidRPr="00EC20A0">
        <w:rPr>
          <w:sz w:val="18"/>
        </w:rPr>
        <w:t>listed</w:t>
      </w:r>
      <w:r w:rsidRPr="00EC20A0">
        <w:rPr>
          <w:spacing w:val="-3"/>
          <w:sz w:val="18"/>
        </w:rPr>
        <w:t xml:space="preserve"> </w:t>
      </w:r>
      <w:r w:rsidRPr="00EC20A0">
        <w:rPr>
          <w:sz w:val="18"/>
        </w:rPr>
        <w:t>on</w:t>
      </w:r>
      <w:r w:rsidRPr="00EC20A0">
        <w:rPr>
          <w:spacing w:val="-3"/>
          <w:sz w:val="18"/>
        </w:rPr>
        <w:t xml:space="preserve"> </w:t>
      </w:r>
      <w:r w:rsidRPr="00EC20A0">
        <w:rPr>
          <w:sz w:val="18"/>
        </w:rPr>
        <w:t>each</w:t>
      </w:r>
      <w:r w:rsidRPr="00EC20A0">
        <w:rPr>
          <w:spacing w:val="-3"/>
          <w:sz w:val="18"/>
        </w:rPr>
        <w:t xml:space="preserve"> </w:t>
      </w:r>
      <w:r w:rsidRPr="00EC20A0">
        <w:rPr>
          <w:sz w:val="18"/>
        </w:rPr>
        <w:t>line.</w:t>
      </w:r>
      <w:r w:rsidRPr="00EC20A0">
        <w:rPr>
          <w:spacing w:val="-3"/>
          <w:sz w:val="18"/>
        </w:rPr>
        <w:t xml:space="preserve"> </w:t>
      </w:r>
      <w:r w:rsidRPr="00EC20A0">
        <w:rPr>
          <w:sz w:val="18"/>
        </w:rPr>
        <w:t>This</w:t>
      </w:r>
      <w:r w:rsidRPr="00EC20A0">
        <w:rPr>
          <w:spacing w:val="-2"/>
          <w:sz w:val="18"/>
        </w:rPr>
        <w:t xml:space="preserve"> </w:t>
      </w:r>
      <w:r w:rsidRPr="00EC20A0">
        <w:rPr>
          <w:sz w:val="18"/>
        </w:rPr>
        <w:t>represents</w:t>
      </w:r>
      <w:r w:rsidRPr="00EC20A0">
        <w:rPr>
          <w:spacing w:val="-2"/>
          <w:sz w:val="18"/>
        </w:rPr>
        <w:t xml:space="preserve"> </w:t>
      </w:r>
      <w:r w:rsidRPr="00EC20A0">
        <w:rPr>
          <w:sz w:val="18"/>
        </w:rPr>
        <w:t>the</w:t>
      </w:r>
      <w:r w:rsidRPr="00EC20A0">
        <w:rPr>
          <w:spacing w:val="-3"/>
          <w:sz w:val="18"/>
        </w:rPr>
        <w:t xml:space="preserve"> </w:t>
      </w:r>
      <w:r w:rsidRPr="00EC20A0">
        <w:rPr>
          <w:sz w:val="18"/>
        </w:rPr>
        <w:t>page</w:t>
      </w:r>
      <w:r w:rsidRPr="00EC20A0">
        <w:rPr>
          <w:spacing w:val="-2"/>
          <w:sz w:val="18"/>
        </w:rPr>
        <w:t xml:space="preserve"> </w:t>
      </w:r>
      <w:r w:rsidRPr="00EC20A0">
        <w:rPr>
          <w:sz w:val="18"/>
        </w:rPr>
        <w:t>number</w:t>
      </w:r>
      <w:r w:rsidRPr="00EC20A0">
        <w:rPr>
          <w:spacing w:val="-2"/>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legal</w:t>
      </w:r>
      <w:r w:rsidRPr="00EC20A0">
        <w:rPr>
          <w:spacing w:val="-3"/>
          <w:sz w:val="18"/>
        </w:rPr>
        <w:t xml:space="preserve"> </w:t>
      </w:r>
      <w:r w:rsidRPr="00EC20A0">
        <w:rPr>
          <w:sz w:val="18"/>
        </w:rPr>
        <w:t>counsel</w:t>
      </w:r>
      <w:r w:rsidRPr="00EC20A0">
        <w:rPr>
          <w:spacing w:val="-2"/>
          <w:sz w:val="18"/>
        </w:rPr>
        <w:t xml:space="preserve"> </w:t>
      </w:r>
      <w:r w:rsidRPr="00EC20A0">
        <w:rPr>
          <w:sz w:val="18"/>
        </w:rPr>
        <w:t>response</w:t>
      </w:r>
      <w:r w:rsidRPr="00EC20A0">
        <w:rPr>
          <w:spacing w:val="-2"/>
          <w:sz w:val="18"/>
        </w:rPr>
        <w:t xml:space="preserve"> </w:t>
      </w:r>
      <w:r w:rsidRPr="00EC20A0">
        <w:rPr>
          <w:sz w:val="18"/>
        </w:rPr>
        <w:t>obtained</w:t>
      </w:r>
      <w:r w:rsidRPr="00EC20A0">
        <w:rPr>
          <w:spacing w:val="-3"/>
          <w:sz w:val="18"/>
        </w:rPr>
        <w:t xml:space="preserve"> </w:t>
      </w:r>
      <w:r w:rsidRPr="00EC20A0">
        <w:rPr>
          <w:sz w:val="18"/>
        </w:rPr>
        <w:t>from</w:t>
      </w:r>
      <w:r w:rsidRPr="00EC20A0">
        <w:rPr>
          <w:spacing w:val="-3"/>
          <w:sz w:val="18"/>
        </w:rPr>
        <w:t xml:space="preserve"> </w:t>
      </w:r>
      <w:r w:rsidRPr="00EC20A0">
        <w:rPr>
          <w:sz w:val="18"/>
        </w:rPr>
        <w:t>general</w:t>
      </w:r>
      <w:r w:rsidRPr="00EC20A0">
        <w:rPr>
          <w:spacing w:val="-1"/>
          <w:sz w:val="18"/>
        </w:rPr>
        <w:t xml:space="preserve"> </w:t>
      </w:r>
      <w:r w:rsidRPr="00EC20A0">
        <w:rPr>
          <w:sz w:val="18"/>
        </w:rPr>
        <w:t>counsel</w:t>
      </w:r>
      <w:r w:rsidRPr="00EC20A0">
        <w:rPr>
          <w:spacing w:val="-2"/>
          <w:sz w:val="18"/>
        </w:rPr>
        <w:t xml:space="preserve"> </w:t>
      </w:r>
      <w:r w:rsidRPr="00EC20A0">
        <w:rPr>
          <w:sz w:val="18"/>
        </w:rPr>
        <w:t>discussing</w:t>
      </w:r>
      <w:r w:rsidRPr="00EC20A0">
        <w:rPr>
          <w:spacing w:val="-3"/>
          <w:sz w:val="18"/>
        </w:rPr>
        <w:t xml:space="preserve"> </w:t>
      </w:r>
      <w:r w:rsidRPr="00EC20A0">
        <w:rPr>
          <w:sz w:val="18"/>
        </w:rPr>
        <w:t>the</w:t>
      </w:r>
      <w:r w:rsidRPr="00EC20A0">
        <w:rPr>
          <w:spacing w:val="-4"/>
          <w:sz w:val="18"/>
        </w:rPr>
        <w:t xml:space="preserve"> </w:t>
      </w:r>
      <w:r w:rsidRPr="00EC20A0">
        <w:rPr>
          <w:sz w:val="18"/>
        </w:rPr>
        <w:t>case,</w:t>
      </w:r>
      <w:r w:rsidRPr="00EC20A0">
        <w:rPr>
          <w:spacing w:val="-2"/>
          <w:sz w:val="18"/>
        </w:rPr>
        <w:t xml:space="preserve"> </w:t>
      </w:r>
      <w:r w:rsidRPr="00EC20A0">
        <w:rPr>
          <w:sz w:val="18"/>
        </w:rPr>
        <w:t>or</w:t>
      </w:r>
      <w:r w:rsidRPr="00EC20A0">
        <w:rPr>
          <w:spacing w:val="-2"/>
          <w:sz w:val="18"/>
        </w:rPr>
        <w:t xml:space="preserve"> </w:t>
      </w:r>
      <w:r w:rsidRPr="00EC20A0">
        <w:rPr>
          <w:sz w:val="18"/>
        </w:rPr>
        <w:t>other</w:t>
      </w:r>
      <w:r w:rsidRPr="00EC20A0">
        <w:rPr>
          <w:spacing w:val="-2"/>
          <w:sz w:val="18"/>
        </w:rPr>
        <w:t xml:space="preserve"> </w:t>
      </w:r>
      <w:r w:rsidRPr="00EC20A0">
        <w:rPr>
          <w:sz w:val="18"/>
        </w:rPr>
        <w:t>reference</w:t>
      </w:r>
      <w:r w:rsidRPr="00EC20A0">
        <w:rPr>
          <w:spacing w:val="-3"/>
          <w:sz w:val="18"/>
        </w:rPr>
        <w:t xml:space="preserve"> </w:t>
      </w:r>
      <w:r w:rsidRPr="00EC20A0">
        <w:rPr>
          <w:spacing w:val="-2"/>
          <w:sz w:val="18"/>
        </w:rPr>
        <w:t>information.</w:t>
      </w:r>
    </w:p>
    <w:p w14:paraId="24D62259" w14:textId="77777777" w:rsidR="00245300" w:rsidRPr="00EC20A0" w:rsidRDefault="00F17249">
      <w:pPr>
        <w:pStyle w:val="ListParagraph"/>
        <w:numPr>
          <w:ilvl w:val="0"/>
          <w:numId w:val="58"/>
        </w:numPr>
        <w:tabs>
          <w:tab w:val="left" w:pos="495"/>
          <w:tab w:val="left" w:pos="753"/>
        </w:tabs>
        <w:spacing w:before="81"/>
        <w:ind w:right="1181" w:hanging="526"/>
        <w:rPr>
          <w:sz w:val="18"/>
        </w:rPr>
      </w:pPr>
      <w:r w:rsidRPr="00EC20A0">
        <w:rPr>
          <w:sz w:val="18"/>
        </w:rPr>
        <w:t>Name</w:t>
      </w:r>
      <w:r w:rsidRPr="00EC20A0">
        <w:rPr>
          <w:spacing w:val="-2"/>
          <w:sz w:val="18"/>
        </w:rPr>
        <w:t xml:space="preserve"> </w:t>
      </w:r>
      <w:r w:rsidRPr="00EC20A0">
        <w:rPr>
          <w:sz w:val="18"/>
        </w:rPr>
        <w:t>of</w:t>
      </w:r>
      <w:r w:rsidRPr="00EC20A0">
        <w:rPr>
          <w:spacing w:val="-1"/>
          <w:sz w:val="18"/>
        </w:rPr>
        <w:t xml:space="preserve"> </w:t>
      </w:r>
      <w:r w:rsidRPr="00EC20A0">
        <w:rPr>
          <w:sz w:val="18"/>
        </w:rPr>
        <w:t>case/related</w:t>
      </w:r>
      <w:r w:rsidRPr="00EC20A0">
        <w:rPr>
          <w:spacing w:val="-1"/>
          <w:sz w:val="18"/>
        </w:rPr>
        <w:t xml:space="preserve"> </w:t>
      </w:r>
      <w:r w:rsidRPr="00EC20A0">
        <w:rPr>
          <w:sz w:val="18"/>
        </w:rPr>
        <w:t>cases</w:t>
      </w:r>
      <w:r w:rsidRPr="00EC20A0">
        <w:rPr>
          <w:spacing w:val="-1"/>
          <w:sz w:val="18"/>
        </w:rPr>
        <w:t xml:space="preserve"> </w:t>
      </w:r>
      <w:r w:rsidRPr="00EC20A0">
        <w:rPr>
          <w:sz w:val="18"/>
        </w:rPr>
        <w:t>-</w:t>
      </w:r>
      <w:r w:rsidRPr="00EC20A0">
        <w:rPr>
          <w:spacing w:val="-1"/>
          <w:sz w:val="18"/>
        </w:rPr>
        <w:t xml:space="preserve"> </w:t>
      </w:r>
      <w:r w:rsidRPr="00EC20A0">
        <w:rPr>
          <w:sz w:val="18"/>
        </w:rPr>
        <w:t>Enter</w:t>
      </w:r>
      <w:r w:rsidRPr="00EC20A0">
        <w:rPr>
          <w:spacing w:val="-1"/>
          <w:sz w:val="18"/>
        </w:rPr>
        <w:t xml:space="preserve"> </w:t>
      </w:r>
      <w:r w:rsidRPr="00EC20A0">
        <w:rPr>
          <w:sz w:val="18"/>
        </w:rPr>
        <w:t>the</w:t>
      </w:r>
      <w:r w:rsidRPr="00EC20A0">
        <w:rPr>
          <w:spacing w:val="-2"/>
          <w:sz w:val="18"/>
        </w:rPr>
        <w:t xml:space="preserve"> </w:t>
      </w:r>
      <w:r w:rsidRPr="00EC20A0">
        <w:rPr>
          <w:sz w:val="18"/>
        </w:rPr>
        <w:t>case</w:t>
      </w:r>
      <w:r w:rsidRPr="00EC20A0">
        <w:rPr>
          <w:spacing w:val="-2"/>
          <w:sz w:val="18"/>
        </w:rPr>
        <w:t xml:space="preserve"> </w:t>
      </w:r>
      <w:r w:rsidRPr="00EC20A0">
        <w:rPr>
          <w:sz w:val="18"/>
        </w:rPr>
        <w:t>name</w:t>
      </w:r>
      <w:r w:rsidRPr="00EC20A0">
        <w:rPr>
          <w:spacing w:val="-2"/>
          <w:sz w:val="18"/>
        </w:rPr>
        <w:t xml:space="preserve"> </w:t>
      </w:r>
      <w:r w:rsidRPr="00EC20A0">
        <w:rPr>
          <w:sz w:val="18"/>
        </w:rPr>
        <w:t>or</w:t>
      </w:r>
      <w:r w:rsidRPr="00EC20A0">
        <w:rPr>
          <w:spacing w:val="-1"/>
          <w:sz w:val="18"/>
        </w:rPr>
        <w:t xml:space="preserve"> </w:t>
      </w:r>
      <w:r w:rsidRPr="00EC20A0">
        <w:rPr>
          <w:sz w:val="18"/>
        </w:rPr>
        <w:t>name</w:t>
      </w:r>
      <w:r w:rsidRPr="00EC20A0">
        <w:rPr>
          <w:spacing w:val="-2"/>
          <w:sz w:val="18"/>
        </w:rPr>
        <w:t xml:space="preserve"> </w:t>
      </w:r>
      <w:r w:rsidRPr="00EC20A0">
        <w:rPr>
          <w:sz w:val="18"/>
        </w:rPr>
        <w:t>of</w:t>
      </w:r>
      <w:r w:rsidRPr="00EC20A0">
        <w:rPr>
          <w:spacing w:val="-1"/>
          <w:sz w:val="18"/>
        </w:rPr>
        <w:t xml:space="preserve"> </w:t>
      </w:r>
      <w:r w:rsidRPr="00EC20A0">
        <w:rPr>
          <w:sz w:val="18"/>
        </w:rPr>
        <w:t>aggregated</w:t>
      </w:r>
      <w:r w:rsidRPr="00EC20A0">
        <w:rPr>
          <w:spacing w:val="-2"/>
          <w:sz w:val="18"/>
        </w:rPr>
        <w:t xml:space="preserve"> </w:t>
      </w:r>
      <w:r w:rsidRPr="00EC20A0">
        <w:rPr>
          <w:sz w:val="18"/>
        </w:rPr>
        <w:t>cases</w:t>
      </w:r>
      <w:r w:rsidRPr="00EC20A0">
        <w:rPr>
          <w:spacing w:val="-1"/>
          <w:sz w:val="18"/>
        </w:rPr>
        <w:t xml:space="preserve"> </w:t>
      </w:r>
      <w:r w:rsidRPr="00EC20A0">
        <w:rPr>
          <w:sz w:val="18"/>
        </w:rPr>
        <w:t xml:space="preserve">from </w:t>
      </w:r>
      <w:r w:rsidRPr="00EC20A0">
        <w:rPr>
          <w:sz w:val="18"/>
        </w:rPr>
        <w:t>field</w:t>
      </w:r>
      <w:r w:rsidRPr="00EC20A0">
        <w:rPr>
          <w:spacing w:val="-2"/>
          <w:sz w:val="18"/>
        </w:rPr>
        <w:t xml:space="preserve"> </w:t>
      </w:r>
      <w:r w:rsidRPr="00EC20A0">
        <w:rPr>
          <w:sz w:val="18"/>
        </w:rPr>
        <w:t>1</w:t>
      </w:r>
      <w:r w:rsidRPr="00EC20A0">
        <w:rPr>
          <w:spacing w:val="-2"/>
          <w:sz w:val="18"/>
        </w:rPr>
        <w:t xml:space="preserve"> </w:t>
      </w:r>
      <w:r w:rsidRPr="00EC20A0">
        <w:rPr>
          <w:sz w:val="18"/>
        </w:rPr>
        <w:t>on</w:t>
      </w:r>
      <w:r w:rsidRPr="00EC20A0">
        <w:rPr>
          <w:spacing w:val="-2"/>
          <w:sz w:val="18"/>
        </w:rPr>
        <w:t xml:space="preserve"> </w:t>
      </w:r>
      <w:r w:rsidRPr="00EC20A0">
        <w:rPr>
          <w:sz w:val="18"/>
        </w:rPr>
        <w:t>DOJ’s</w:t>
      </w:r>
      <w:r w:rsidRPr="00EC20A0">
        <w:rPr>
          <w:spacing w:val="-1"/>
          <w:sz w:val="18"/>
        </w:rPr>
        <w:t xml:space="preserve"> </w:t>
      </w:r>
      <w:r w:rsidRPr="00EC20A0">
        <w:rPr>
          <w:sz w:val="18"/>
        </w:rPr>
        <w:t>“Pending</w:t>
      </w:r>
      <w:r w:rsidRPr="00EC20A0">
        <w:rPr>
          <w:spacing w:val="-2"/>
          <w:sz w:val="18"/>
        </w:rPr>
        <w:t xml:space="preserve"> </w:t>
      </w:r>
      <w:r w:rsidRPr="00EC20A0">
        <w:rPr>
          <w:sz w:val="18"/>
        </w:rPr>
        <w:t>or Threatened</w:t>
      </w:r>
      <w:r w:rsidRPr="00EC20A0">
        <w:rPr>
          <w:spacing w:val="-2"/>
          <w:sz w:val="18"/>
        </w:rPr>
        <w:t xml:space="preserve"> </w:t>
      </w:r>
      <w:r w:rsidRPr="00EC20A0">
        <w:rPr>
          <w:sz w:val="18"/>
        </w:rPr>
        <w:t>Litigation”</w:t>
      </w:r>
      <w:r w:rsidRPr="00EC20A0">
        <w:rPr>
          <w:spacing w:val="-1"/>
          <w:sz w:val="18"/>
        </w:rPr>
        <w:t xml:space="preserve"> </w:t>
      </w:r>
      <w:r w:rsidRPr="00EC20A0">
        <w:rPr>
          <w:sz w:val="18"/>
        </w:rPr>
        <w:t>form</w:t>
      </w:r>
      <w:r w:rsidRPr="00EC20A0">
        <w:rPr>
          <w:spacing w:val="-1"/>
          <w:sz w:val="18"/>
        </w:rPr>
        <w:t xml:space="preserve"> </w:t>
      </w:r>
      <w:r w:rsidRPr="00EC20A0">
        <w:rPr>
          <w:sz w:val="18"/>
        </w:rPr>
        <w:t>or</w:t>
      </w:r>
      <w:r w:rsidRPr="00EC20A0">
        <w:rPr>
          <w:spacing w:val="-1"/>
          <w:sz w:val="18"/>
        </w:rPr>
        <w:t xml:space="preserve"> </w:t>
      </w:r>
      <w:r w:rsidRPr="00EC20A0">
        <w:rPr>
          <w:sz w:val="18"/>
        </w:rPr>
        <w:t>for</w:t>
      </w:r>
      <w:r w:rsidRPr="00EC20A0">
        <w:rPr>
          <w:spacing w:val="-1"/>
          <w:sz w:val="18"/>
        </w:rPr>
        <w:t xml:space="preserve"> </w:t>
      </w:r>
      <w:r w:rsidRPr="00EC20A0">
        <w:rPr>
          <w:sz w:val="18"/>
        </w:rPr>
        <w:t>unasserted claims</w:t>
      </w:r>
      <w:r w:rsidRPr="00EC20A0">
        <w:rPr>
          <w:spacing w:val="-1"/>
          <w:sz w:val="18"/>
        </w:rPr>
        <w:t xml:space="preserve"> </w:t>
      </w:r>
      <w:r w:rsidRPr="00EC20A0">
        <w:rPr>
          <w:sz w:val="18"/>
        </w:rPr>
        <w:t>and</w:t>
      </w:r>
      <w:r w:rsidRPr="00EC20A0">
        <w:rPr>
          <w:spacing w:val="-2"/>
          <w:sz w:val="18"/>
        </w:rPr>
        <w:t xml:space="preserve"> </w:t>
      </w:r>
      <w:r w:rsidRPr="00EC20A0">
        <w:rPr>
          <w:sz w:val="18"/>
        </w:rPr>
        <w:t>assessments,</w:t>
      </w:r>
      <w:r w:rsidRPr="00EC20A0">
        <w:rPr>
          <w:spacing w:val="-1"/>
          <w:sz w:val="18"/>
        </w:rPr>
        <w:t xml:space="preserve"> </w:t>
      </w:r>
      <w:r w:rsidRPr="00EC20A0">
        <w:rPr>
          <w:sz w:val="18"/>
        </w:rPr>
        <w:t>enter</w:t>
      </w:r>
      <w:r w:rsidRPr="00EC20A0">
        <w:rPr>
          <w:spacing w:val="-1"/>
          <w:sz w:val="18"/>
        </w:rPr>
        <w:t xml:space="preserve"> </w:t>
      </w:r>
      <w:r w:rsidRPr="00EC20A0">
        <w:rPr>
          <w:sz w:val="18"/>
        </w:rPr>
        <w:t>the</w:t>
      </w:r>
      <w:r w:rsidRPr="00EC20A0">
        <w:rPr>
          <w:spacing w:val="-2"/>
          <w:sz w:val="18"/>
        </w:rPr>
        <w:t xml:space="preserve"> </w:t>
      </w:r>
      <w:r w:rsidRPr="00EC20A0">
        <w:rPr>
          <w:sz w:val="18"/>
        </w:rPr>
        <w:t>name</w:t>
      </w:r>
      <w:r w:rsidRPr="00EC20A0">
        <w:rPr>
          <w:spacing w:val="-2"/>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matter</w:t>
      </w:r>
      <w:r w:rsidRPr="00EC20A0">
        <w:rPr>
          <w:spacing w:val="-1"/>
          <w:sz w:val="18"/>
        </w:rPr>
        <w:t xml:space="preserve"> </w:t>
      </w:r>
      <w:r w:rsidRPr="00EC20A0">
        <w:rPr>
          <w:sz w:val="18"/>
        </w:rPr>
        <w:t>from</w:t>
      </w:r>
      <w:r w:rsidRPr="00EC20A0">
        <w:rPr>
          <w:spacing w:val="-1"/>
          <w:sz w:val="18"/>
        </w:rPr>
        <w:t xml:space="preserve"> </w:t>
      </w:r>
      <w:r w:rsidRPr="00EC20A0">
        <w:rPr>
          <w:sz w:val="18"/>
        </w:rPr>
        <w:t>field</w:t>
      </w:r>
      <w:r w:rsidRPr="00EC20A0">
        <w:rPr>
          <w:spacing w:val="-2"/>
          <w:sz w:val="18"/>
        </w:rPr>
        <w:t xml:space="preserve"> </w:t>
      </w:r>
      <w:r w:rsidRPr="00EC20A0">
        <w:rPr>
          <w:sz w:val="18"/>
        </w:rPr>
        <w:t>1</w:t>
      </w:r>
      <w:r w:rsidRPr="00EC20A0">
        <w:rPr>
          <w:spacing w:val="-2"/>
          <w:sz w:val="18"/>
        </w:rPr>
        <w:t xml:space="preserve"> </w:t>
      </w:r>
      <w:r w:rsidRPr="00EC20A0">
        <w:rPr>
          <w:sz w:val="18"/>
        </w:rPr>
        <w:t>on</w:t>
      </w:r>
      <w:r w:rsidRPr="00EC20A0">
        <w:rPr>
          <w:spacing w:val="-2"/>
          <w:sz w:val="18"/>
        </w:rPr>
        <w:t xml:space="preserve"> </w:t>
      </w:r>
      <w:r w:rsidRPr="00EC20A0">
        <w:rPr>
          <w:sz w:val="18"/>
        </w:rPr>
        <w:t>DOJ’s</w:t>
      </w:r>
      <w:r w:rsidRPr="00EC20A0">
        <w:rPr>
          <w:spacing w:val="-1"/>
          <w:sz w:val="18"/>
        </w:rPr>
        <w:t xml:space="preserve"> </w:t>
      </w:r>
      <w:r w:rsidRPr="00EC20A0">
        <w:rPr>
          <w:sz w:val="18"/>
        </w:rPr>
        <w:t>“Unasserted</w:t>
      </w:r>
      <w:r w:rsidRPr="00EC20A0">
        <w:rPr>
          <w:spacing w:val="-2"/>
          <w:sz w:val="18"/>
        </w:rPr>
        <w:t xml:space="preserve"> </w:t>
      </w:r>
      <w:r w:rsidRPr="00EC20A0">
        <w:rPr>
          <w:sz w:val="18"/>
        </w:rPr>
        <w:t>Claims and Assessments” form.</w:t>
      </w:r>
    </w:p>
    <w:p w14:paraId="24D6225A" w14:textId="77777777" w:rsidR="00245300" w:rsidRPr="00EC20A0" w:rsidRDefault="00F17249">
      <w:pPr>
        <w:pStyle w:val="ListParagraph"/>
        <w:numPr>
          <w:ilvl w:val="0"/>
          <w:numId w:val="58"/>
        </w:numPr>
        <w:tabs>
          <w:tab w:val="left" w:pos="699"/>
        </w:tabs>
        <w:spacing w:before="171" w:line="207" w:lineRule="exact"/>
        <w:ind w:left="699" w:hanging="472"/>
        <w:rPr>
          <w:sz w:val="18"/>
        </w:rPr>
      </w:pPr>
      <w:r w:rsidRPr="00EC20A0">
        <w:rPr>
          <w:sz w:val="18"/>
        </w:rPr>
        <w:t>(a)</w:t>
      </w:r>
      <w:r w:rsidRPr="00EC20A0">
        <w:rPr>
          <w:spacing w:val="-4"/>
          <w:sz w:val="18"/>
        </w:rPr>
        <w:t xml:space="preserve"> </w:t>
      </w:r>
      <w:r w:rsidRPr="00EC20A0">
        <w:rPr>
          <w:sz w:val="18"/>
        </w:rPr>
        <w:t>Type</w:t>
      </w:r>
      <w:r w:rsidRPr="00EC20A0">
        <w:rPr>
          <w:spacing w:val="-3"/>
          <w:sz w:val="18"/>
        </w:rPr>
        <w:t xml:space="preserve"> </w:t>
      </w:r>
      <w:r w:rsidRPr="00EC20A0">
        <w:rPr>
          <w:sz w:val="18"/>
        </w:rPr>
        <w:t>of</w:t>
      </w:r>
      <w:r w:rsidRPr="00EC20A0">
        <w:rPr>
          <w:spacing w:val="-3"/>
          <w:sz w:val="18"/>
        </w:rPr>
        <w:t xml:space="preserve"> </w:t>
      </w:r>
      <w:r w:rsidRPr="00EC20A0">
        <w:rPr>
          <w:sz w:val="18"/>
        </w:rPr>
        <w:t>contingency</w:t>
      </w:r>
      <w:r w:rsidRPr="00EC20A0">
        <w:rPr>
          <w:spacing w:val="-1"/>
          <w:sz w:val="18"/>
        </w:rPr>
        <w:t xml:space="preserve"> </w:t>
      </w:r>
      <w:r w:rsidRPr="00EC20A0">
        <w:rPr>
          <w:sz w:val="18"/>
        </w:rPr>
        <w:t>–</w:t>
      </w:r>
      <w:r w:rsidRPr="00EC20A0">
        <w:rPr>
          <w:spacing w:val="-4"/>
          <w:sz w:val="18"/>
        </w:rPr>
        <w:t xml:space="preserve"> </w:t>
      </w:r>
      <w:r w:rsidRPr="00EC20A0">
        <w:rPr>
          <w:sz w:val="18"/>
        </w:rPr>
        <w:t>Enter</w:t>
      </w:r>
      <w:r w:rsidRPr="00EC20A0">
        <w:rPr>
          <w:spacing w:val="-2"/>
          <w:sz w:val="18"/>
        </w:rPr>
        <w:t xml:space="preserve"> </w:t>
      </w:r>
      <w:r w:rsidRPr="00EC20A0">
        <w:rPr>
          <w:sz w:val="18"/>
        </w:rPr>
        <w:t>either</w:t>
      </w:r>
      <w:r w:rsidRPr="00EC20A0">
        <w:rPr>
          <w:spacing w:val="-3"/>
          <w:sz w:val="18"/>
        </w:rPr>
        <w:t xml:space="preserve"> </w:t>
      </w:r>
      <w:r w:rsidRPr="00EC20A0">
        <w:rPr>
          <w:sz w:val="18"/>
        </w:rPr>
        <w:t>“legal”</w:t>
      </w:r>
      <w:r w:rsidRPr="00EC20A0">
        <w:rPr>
          <w:spacing w:val="-2"/>
          <w:sz w:val="18"/>
        </w:rPr>
        <w:t xml:space="preserve"> </w:t>
      </w:r>
      <w:r w:rsidRPr="00EC20A0">
        <w:rPr>
          <w:sz w:val="18"/>
        </w:rPr>
        <w:t>or</w:t>
      </w:r>
      <w:r w:rsidRPr="00EC20A0">
        <w:rPr>
          <w:spacing w:val="-2"/>
          <w:sz w:val="18"/>
        </w:rPr>
        <w:t xml:space="preserve"> </w:t>
      </w:r>
      <w:r w:rsidRPr="00EC20A0">
        <w:rPr>
          <w:sz w:val="18"/>
        </w:rPr>
        <w:t>“legal-</w:t>
      </w:r>
      <w:r w:rsidRPr="00EC20A0">
        <w:rPr>
          <w:spacing w:val="-2"/>
          <w:sz w:val="18"/>
        </w:rPr>
        <w:t>environmental”</w:t>
      </w:r>
    </w:p>
    <w:p w14:paraId="24D6225B" w14:textId="77777777" w:rsidR="00245300" w:rsidRPr="00EC20A0" w:rsidRDefault="00F17249">
      <w:pPr>
        <w:spacing w:line="207" w:lineRule="exact"/>
        <w:ind w:left="729"/>
        <w:rPr>
          <w:sz w:val="18"/>
        </w:rPr>
      </w:pPr>
      <w:r w:rsidRPr="00EC20A0">
        <w:rPr>
          <w:sz w:val="18"/>
        </w:rPr>
        <w:t>(b)</w:t>
      </w:r>
      <w:r w:rsidRPr="00EC20A0">
        <w:rPr>
          <w:spacing w:val="-3"/>
          <w:sz w:val="18"/>
        </w:rPr>
        <w:t xml:space="preserve"> </w:t>
      </w:r>
      <w:r w:rsidRPr="00EC20A0">
        <w:rPr>
          <w:sz w:val="18"/>
        </w:rPr>
        <w:t>Description</w:t>
      </w:r>
      <w:r w:rsidRPr="00EC20A0">
        <w:rPr>
          <w:spacing w:val="-3"/>
          <w:sz w:val="18"/>
        </w:rPr>
        <w:t xml:space="preserve"> </w:t>
      </w:r>
      <w:r w:rsidRPr="00EC20A0">
        <w:rPr>
          <w:sz w:val="18"/>
        </w:rPr>
        <w:t>of</w:t>
      </w:r>
      <w:r w:rsidRPr="00EC20A0">
        <w:rPr>
          <w:spacing w:val="-3"/>
          <w:sz w:val="18"/>
        </w:rPr>
        <w:t xml:space="preserve"> </w:t>
      </w:r>
      <w:r w:rsidRPr="00EC20A0">
        <w:rPr>
          <w:sz w:val="18"/>
        </w:rPr>
        <w:t>contingency</w:t>
      </w:r>
      <w:r w:rsidRPr="00EC20A0">
        <w:rPr>
          <w:spacing w:val="-2"/>
          <w:sz w:val="18"/>
        </w:rPr>
        <w:t xml:space="preserve"> </w:t>
      </w:r>
      <w:r w:rsidRPr="00EC20A0">
        <w:rPr>
          <w:sz w:val="18"/>
        </w:rPr>
        <w:t>-</w:t>
      </w:r>
      <w:r w:rsidRPr="00EC20A0">
        <w:rPr>
          <w:spacing w:val="-3"/>
          <w:sz w:val="18"/>
        </w:rPr>
        <w:t xml:space="preserve"> </w:t>
      </w:r>
      <w:r w:rsidRPr="00EC20A0">
        <w:rPr>
          <w:sz w:val="18"/>
        </w:rPr>
        <w:t>Enter</w:t>
      </w:r>
      <w:r w:rsidRPr="00EC20A0">
        <w:rPr>
          <w:spacing w:val="-2"/>
          <w:sz w:val="18"/>
        </w:rPr>
        <w:t xml:space="preserve"> </w:t>
      </w:r>
      <w:r w:rsidRPr="00EC20A0">
        <w:rPr>
          <w:sz w:val="18"/>
        </w:rPr>
        <w:t>a</w:t>
      </w:r>
      <w:r w:rsidRPr="00EC20A0">
        <w:rPr>
          <w:spacing w:val="-2"/>
          <w:sz w:val="18"/>
        </w:rPr>
        <w:t xml:space="preserve"> </w:t>
      </w:r>
      <w:r w:rsidRPr="00EC20A0">
        <w:rPr>
          <w:sz w:val="18"/>
        </w:rPr>
        <w:t>description</w:t>
      </w:r>
      <w:r w:rsidRPr="00EC20A0">
        <w:rPr>
          <w:spacing w:val="-4"/>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case(s)</w:t>
      </w:r>
      <w:r w:rsidRPr="00EC20A0">
        <w:rPr>
          <w:spacing w:val="-3"/>
          <w:sz w:val="18"/>
        </w:rPr>
        <w:t xml:space="preserve"> </w:t>
      </w:r>
      <w:r w:rsidRPr="00EC20A0">
        <w:rPr>
          <w:sz w:val="18"/>
        </w:rPr>
        <w:t>from</w:t>
      </w:r>
      <w:r w:rsidRPr="00EC20A0">
        <w:rPr>
          <w:spacing w:val="-2"/>
          <w:sz w:val="18"/>
        </w:rPr>
        <w:t xml:space="preserve"> </w:t>
      </w:r>
      <w:r w:rsidRPr="00EC20A0">
        <w:rPr>
          <w:sz w:val="18"/>
        </w:rPr>
        <w:t>field</w:t>
      </w:r>
      <w:r w:rsidRPr="00EC20A0">
        <w:rPr>
          <w:spacing w:val="-4"/>
          <w:sz w:val="18"/>
        </w:rPr>
        <w:t xml:space="preserve"> </w:t>
      </w:r>
      <w:r w:rsidRPr="00EC20A0">
        <w:rPr>
          <w:sz w:val="18"/>
        </w:rPr>
        <w:t>2</w:t>
      </w:r>
      <w:r w:rsidRPr="00EC20A0">
        <w:rPr>
          <w:spacing w:val="-3"/>
          <w:sz w:val="18"/>
        </w:rPr>
        <w:t xml:space="preserve"> </w:t>
      </w:r>
      <w:r w:rsidRPr="00EC20A0">
        <w:rPr>
          <w:sz w:val="18"/>
        </w:rPr>
        <w:t>on</w:t>
      </w:r>
      <w:r w:rsidRPr="00EC20A0">
        <w:rPr>
          <w:spacing w:val="-4"/>
          <w:sz w:val="18"/>
        </w:rPr>
        <w:t xml:space="preserve"> </w:t>
      </w:r>
      <w:r w:rsidRPr="00EC20A0">
        <w:rPr>
          <w:sz w:val="18"/>
        </w:rPr>
        <w:t>DOJ’s</w:t>
      </w:r>
      <w:r w:rsidRPr="00EC20A0">
        <w:rPr>
          <w:spacing w:val="-2"/>
          <w:sz w:val="18"/>
        </w:rPr>
        <w:t xml:space="preserve"> </w:t>
      </w:r>
      <w:r w:rsidRPr="00EC20A0">
        <w:rPr>
          <w:sz w:val="18"/>
        </w:rPr>
        <w:t>“Pending</w:t>
      </w:r>
      <w:r w:rsidRPr="00EC20A0">
        <w:rPr>
          <w:spacing w:val="-2"/>
          <w:sz w:val="18"/>
        </w:rPr>
        <w:t xml:space="preserve"> </w:t>
      </w:r>
      <w:r w:rsidRPr="00EC20A0">
        <w:rPr>
          <w:sz w:val="18"/>
        </w:rPr>
        <w:t>or</w:t>
      </w:r>
      <w:r w:rsidRPr="00EC20A0">
        <w:rPr>
          <w:spacing w:val="-2"/>
          <w:sz w:val="18"/>
        </w:rPr>
        <w:t xml:space="preserve"> </w:t>
      </w:r>
      <w:r w:rsidRPr="00EC20A0">
        <w:rPr>
          <w:sz w:val="18"/>
        </w:rPr>
        <w:t>Threatened</w:t>
      </w:r>
      <w:r w:rsidRPr="00EC20A0">
        <w:rPr>
          <w:spacing w:val="-2"/>
          <w:sz w:val="18"/>
        </w:rPr>
        <w:t xml:space="preserve"> </w:t>
      </w:r>
      <w:r w:rsidRPr="00EC20A0">
        <w:rPr>
          <w:sz w:val="18"/>
        </w:rPr>
        <w:t>Litigation”</w:t>
      </w:r>
      <w:r w:rsidRPr="00EC20A0">
        <w:rPr>
          <w:spacing w:val="-3"/>
          <w:sz w:val="18"/>
        </w:rPr>
        <w:t xml:space="preserve"> </w:t>
      </w:r>
      <w:r w:rsidRPr="00EC20A0">
        <w:rPr>
          <w:sz w:val="18"/>
        </w:rPr>
        <w:t>form</w:t>
      </w:r>
      <w:r w:rsidRPr="00EC20A0">
        <w:rPr>
          <w:spacing w:val="-1"/>
          <w:sz w:val="18"/>
        </w:rPr>
        <w:t xml:space="preserve"> </w:t>
      </w:r>
      <w:r w:rsidRPr="00EC20A0">
        <w:rPr>
          <w:sz w:val="18"/>
        </w:rPr>
        <w:t>or</w:t>
      </w:r>
      <w:r w:rsidRPr="00EC20A0">
        <w:rPr>
          <w:spacing w:val="-3"/>
          <w:sz w:val="18"/>
        </w:rPr>
        <w:t xml:space="preserve"> </w:t>
      </w:r>
      <w:r w:rsidRPr="00EC20A0">
        <w:rPr>
          <w:sz w:val="18"/>
        </w:rPr>
        <w:t>from</w:t>
      </w:r>
      <w:r w:rsidRPr="00EC20A0">
        <w:rPr>
          <w:spacing w:val="-2"/>
          <w:sz w:val="18"/>
        </w:rPr>
        <w:t xml:space="preserve"> </w:t>
      </w:r>
      <w:r w:rsidRPr="00EC20A0">
        <w:rPr>
          <w:sz w:val="18"/>
        </w:rPr>
        <w:t>DOJ’s</w:t>
      </w:r>
      <w:r w:rsidRPr="00EC20A0">
        <w:rPr>
          <w:spacing w:val="-4"/>
          <w:sz w:val="18"/>
        </w:rPr>
        <w:t xml:space="preserve"> </w:t>
      </w:r>
      <w:r w:rsidRPr="00EC20A0">
        <w:rPr>
          <w:sz w:val="18"/>
        </w:rPr>
        <w:t>“Unasserted</w:t>
      </w:r>
      <w:r w:rsidRPr="00EC20A0">
        <w:rPr>
          <w:spacing w:val="-3"/>
          <w:sz w:val="18"/>
        </w:rPr>
        <w:t xml:space="preserve"> </w:t>
      </w:r>
      <w:r w:rsidRPr="00EC20A0">
        <w:rPr>
          <w:sz w:val="18"/>
        </w:rPr>
        <w:t>Claims</w:t>
      </w:r>
      <w:r w:rsidRPr="00EC20A0">
        <w:rPr>
          <w:spacing w:val="-3"/>
          <w:sz w:val="18"/>
        </w:rPr>
        <w:t xml:space="preserve"> </w:t>
      </w:r>
      <w:r w:rsidRPr="00EC20A0">
        <w:rPr>
          <w:sz w:val="18"/>
        </w:rPr>
        <w:t>and</w:t>
      </w:r>
      <w:r w:rsidRPr="00EC20A0">
        <w:rPr>
          <w:spacing w:val="-3"/>
          <w:sz w:val="18"/>
        </w:rPr>
        <w:t xml:space="preserve"> </w:t>
      </w:r>
      <w:r w:rsidRPr="00EC20A0">
        <w:rPr>
          <w:sz w:val="18"/>
        </w:rPr>
        <w:t>Assessments”</w:t>
      </w:r>
      <w:r w:rsidRPr="00EC20A0">
        <w:rPr>
          <w:spacing w:val="-2"/>
          <w:sz w:val="18"/>
        </w:rPr>
        <w:t xml:space="preserve"> form.</w:t>
      </w:r>
    </w:p>
    <w:p w14:paraId="24D6225C" w14:textId="77777777" w:rsidR="00245300" w:rsidRPr="00EC20A0" w:rsidRDefault="00F17249">
      <w:pPr>
        <w:pStyle w:val="ListParagraph"/>
        <w:numPr>
          <w:ilvl w:val="0"/>
          <w:numId w:val="58"/>
        </w:numPr>
        <w:tabs>
          <w:tab w:val="left" w:pos="496"/>
        </w:tabs>
        <w:spacing w:before="153"/>
        <w:ind w:left="496" w:hanging="269"/>
        <w:rPr>
          <w:sz w:val="18"/>
        </w:rPr>
      </w:pPr>
      <w:r w:rsidRPr="00EC20A0">
        <w:rPr>
          <w:sz w:val="18"/>
        </w:rPr>
        <w:t>Amount</w:t>
      </w:r>
      <w:r w:rsidRPr="00EC20A0">
        <w:rPr>
          <w:spacing w:val="-3"/>
          <w:sz w:val="18"/>
        </w:rPr>
        <w:t xml:space="preserve"> </w:t>
      </w:r>
      <w:r w:rsidRPr="00EC20A0">
        <w:rPr>
          <w:sz w:val="18"/>
        </w:rPr>
        <w:t>claimed</w:t>
      </w:r>
      <w:r w:rsidRPr="00EC20A0">
        <w:rPr>
          <w:spacing w:val="-4"/>
          <w:sz w:val="18"/>
        </w:rPr>
        <w:t xml:space="preserve"> </w:t>
      </w:r>
      <w:r w:rsidRPr="00EC20A0">
        <w:rPr>
          <w:sz w:val="18"/>
        </w:rPr>
        <w:t>-</w:t>
      </w:r>
      <w:r w:rsidRPr="00EC20A0">
        <w:rPr>
          <w:spacing w:val="-2"/>
          <w:sz w:val="18"/>
        </w:rPr>
        <w:t xml:space="preserve"> </w:t>
      </w:r>
      <w:r w:rsidRPr="00EC20A0">
        <w:rPr>
          <w:sz w:val="18"/>
        </w:rPr>
        <w:t>If</w:t>
      </w:r>
      <w:r w:rsidRPr="00EC20A0">
        <w:rPr>
          <w:spacing w:val="-3"/>
          <w:sz w:val="18"/>
        </w:rPr>
        <w:t xml:space="preserve"> </w:t>
      </w:r>
      <w:r w:rsidRPr="00EC20A0">
        <w:rPr>
          <w:sz w:val="18"/>
        </w:rPr>
        <w:t>specified,</w:t>
      </w:r>
      <w:r w:rsidRPr="00EC20A0">
        <w:rPr>
          <w:spacing w:val="-2"/>
          <w:sz w:val="18"/>
        </w:rPr>
        <w:t xml:space="preserve"> </w:t>
      </w:r>
      <w:r w:rsidRPr="00EC20A0">
        <w:rPr>
          <w:sz w:val="18"/>
        </w:rPr>
        <w:t>enter</w:t>
      </w:r>
      <w:r w:rsidRPr="00EC20A0">
        <w:rPr>
          <w:spacing w:val="-3"/>
          <w:sz w:val="18"/>
        </w:rPr>
        <w:t xml:space="preserve"> </w:t>
      </w:r>
      <w:r w:rsidRPr="00EC20A0">
        <w:rPr>
          <w:sz w:val="18"/>
        </w:rPr>
        <w:t>the</w:t>
      </w:r>
      <w:r w:rsidRPr="00EC20A0">
        <w:rPr>
          <w:spacing w:val="-3"/>
          <w:sz w:val="18"/>
        </w:rPr>
        <w:t xml:space="preserve"> </w:t>
      </w:r>
      <w:r w:rsidRPr="00EC20A0">
        <w:rPr>
          <w:sz w:val="18"/>
        </w:rPr>
        <w:t>claim</w:t>
      </w:r>
      <w:r w:rsidRPr="00EC20A0">
        <w:rPr>
          <w:spacing w:val="-3"/>
          <w:sz w:val="18"/>
        </w:rPr>
        <w:t xml:space="preserve"> </w:t>
      </w:r>
      <w:r w:rsidRPr="00EC20A0">
        <w:rPr>
          <w:sz w:val="18"/>
        </w:rPr>
        <w:t>amount</w:t>
      </w:r>
      <w:r w:rsidRPr="00EC20A0">
        <w:rPr>
          <w:spacing w:val="-2"/>
          <w:sz w:val="18"/>
        </w:rPr>
        <w:t xml:space="preserve"> </w:t>
      </w:r>
      <w:r w:rsidRPr="00EC20A0">
        <w:rPr>
          <w:sz w:val="18"/>
        </w:rPr>
        <w:t>(single</w:t>
      </w:r>
      <w:r w:rsidRPr="00EC20A0">
        <w:rPr>
          <w:spacing w:val="-4"/>
          <w:sz w:val="18"/>
        </w:rPr>
        <w:t xml:space="preserve"> </w:t>
      </w:r>
      <w:r w:rsidRPr="00EC20A0">
        <w:rPr>
          <w:sz w:val="18"/>
        </w:rPr>
        <w:t>dollar</w:t>
      </w:r>
      <w:r w:rsidRPr="00EC20A0">
        <w:rPr>
          <w:spacing w:val="-2"/>
          <w:sz w:val="18"/>
        </w:rPr>
        <w:t xml:space="preserve"> </w:t>
      </w:r>
      <w:r w:rsidRPr="00EC20A0">
        <w:rPr>
          <w:sz w:val="18"/>
        </w:rPr>
        <w:t>estimate)</w:t>
      </w:r>
      <w:r w:rsidRPr="00EC20A0">
        <w:rPr>
          <w:spacing w:val="-3"/>
          <w:sz w:val="18"/>
        </w:rPr>
        <w:t xml:space="preserve"> </w:t>
      </w:r>
      <w:r w:rsidRPr="00EC20A0">
        <w:rPr>
          <w:sz w:val="18"/>
        </w:rPr>
        <w:t>for</w:t>
      </w:r>
      <w:r w:rsidRPr="00EC20A0">
        <w:rPr>
          <w:spacing w:val="-3"/>
          <w:sz w:val="18"/>
        </w:rPr>
        <w:t xml:space="preserve"> </w:t>
      </w:r>
      <w:r w:rsidRPr="00EC20A0">
        <w:rPr>
          <w:sz w:val="18"/>
        </w:rPr>
        <w:t>the</w:t>
      </w:r>
      <w:r w:rsidRPr="00EC20A0">
        <w:rPr>
          <w:spacing w:val="-2"/>
          <w:sz w:val="18"/>
        </w:rPr>
        <w:t xml:space="preserve"> </w:t>
      </w:r>
      <w:r w:rsidRPr="00EC20A0">
        <w:rPr>
          <w:sz w:val="18"/>
        </w:rPr>
        <w:t>litigation,</w:t>
      </w:r>
      <w:r w:rsidRPr="00EC20A0">
        <w:rPr>
          <w:spacing w:val="-3"/>
          <w:sz w:val="18"/>
        </w:rPr>
        <w:t xml:space="preserve"> </w:t>
      </w:r>
      <w:r w:rsidRPr="00EC20A0">
        <w:rPr>
          <w:sz w:val="18"/>
        </w:rPr>
        <w:t>claim,</w:t>
      </w:r>
      <w:r w:rsidRPr="00EC20A0">
        <w:rPr>
          <w:spacing w:val="-1"/>
          <w:sz w:val="18"/>
        </w:rPr>
        <w:t xml:space="preserve"> </w:t>
      </w:r>
      <w:r w:rsidRPr="00EC20A0">
        <w:rPr>
          <w:sz w:val="18"/>
        </w:rPr>
        <w:t>or</w:t>
      </w:r>
      <w:r w:rsidRPr="00EC20A0">
        <w:rPr>
          <w:spacing w:val="-3"/>
          <w:sz w:val="18"/>
        </w:rPr>
        <w:t xml:space="preserve"> </w:t>
      </w:r>
      <w:r w:rsidRPr="00EC20A0">
        <w:rPr>
          <w:sz w:val="18"/>
        </w:rPr>
        <w:t>assessment</w:t>
      </w:r>
      <w:r w:rsidRPr="00EC20A0">
        <w:rPr>
          <w:spacing w:val="-2"/>
          <w:sz w:val="18"/>
        </w:rPr>
        <w:t xml:space="preserve"> </w:t>
      </w:r>
      <w:r w:rsidRPr="00EC20A0">
        <w:rPr>
          <w:sz w:val="18"/>
        </w:rPr>
        <w:t>as</w:t>
      </w:r>
      <w:r w:rsidRPr="00EC20A0">
        <w:rPr>
          <w:spacing w:val="-3"/>
          <w:sz w:val="18"/>
        </w:rPr>
        <w:t xml:space="preserve"> </w:t>
      </w:r>
      <w:r w:rsidRPr="00EC20A0">
        <w:rPr>
          <w:sz w:val="18"/>
        </w:rPr>
        <w:t>specified</w:t>
      </w:r>
      <w:r w:rsidRPr="00EC20A0">
        <w:rPr>
          <w:spacing w:val="-2"/>
          <w:sz w:val="18"/>
        </w:rPr>
        <w:t xml:space="preserve"> </w:t>
      </w:r>
      <w:r w:rsidRPr="00EC20A0">
        <w:rPr>
          <w:sz w:val="18"/>
        </w:rPr>
        <w:t>on</w:t>
      </w:r>
      <w:r w:rsidRPr="00EC20A0">
        <w:rPr>
          <w:spacing w:val="-2"/>
          <w:sz w:val="18"/>
        </w:rPr>
        <w:t xml:space="preserve"> </w:t>
      </w:r>
      <w:r w:rsidRPr="00EC20A0">
        <w:rPr>
          <w:sz w:val="18"/>
        </w:rPr>
        <w:t>the</w:t>
      </w:r>
      <w:r w:rsidRPr="00EC20A0">
        <w:rPr>
          <w:spacing w:val="-4"/>
          <w:sz w:val="18"/>
        </w:rPr>
        <w:t xml:space="preserve"> </w:t>
      </w:r>
      <w:r w:rsidRPr="00EC20A0">
        <w:rPr>
          <w:sz w:val="18"/>
        </w:rPr>
        <w:t>supporting</w:t>
      </w:r>
      <w:r w:rsidRPr="00EC20A0">
        <w:rPr>
          <w:spacing w:val="-1"/>
          <w:sz w:val="18"/>
        </w:rPr>
        <w:t xml:space="preserve"> </w:t>
      </w:r>
      <w:r w:rsidRPr="00EC20A0">
        <w:rPr>
          <w:sz w:val="18"/>
        </w:rPr>
        <w:t>legal</w:t>
      </w:r>
      <w:r w:rsidRPr="00EC20A0">
        <w:rPr>
          <w:spacing w:val="-3"/>
          <w:sz w:val="18"/>
        </w:rPr>
        <w:t xml:space="preserve"> </w:t>
      </w:r>
      <w:r w:rsidRPr="00EC20A0">
        <w:rPr>
          <w:sz w:val="18"/>
        </w:rPr>
        <w:t>counsel</w:t>
      </w:r>
      <w:r w:rsidRPr="00EC20A0">
        <w:rPr>
          <w:spacing w:val="-2"/>
          <w:sz w:val="18"/>
        </w:rPr>
        <w:t xml:space="preserve"> </w:t>
      </w:r>
      <w:r w:rsidRPr="00EC20A0">
        <w:rPr>
          <w:sz w:val="18"/>
        </w:rPr>
        <w:t>response</w:t>
      </w:r>
      <w:r w:rsidRPr="00EC20A0">
        <w:rPr>
          <w:spacing w:val="-3"/>
          <w:sz w:val="18"/>
        </w:rPr>
        <w:t xml:space="preserve"> </w:t>
      </w:r>
      <w:r w:rsidRPr="00EC20A0">
        <w:rPr>
          <w:sz w:val="18"/>
        </w:rPr>
        <w:t>prepared</w:t>
      </w:r>
      <w:r w:rsidRPr="00EC20A0">
        <w:rPr>
          <w:spacing w:val="-3"/>
          <w:sz w:val="18"/>
        </w:rPr>
        <w:t xml:space="preserve"> </w:t>
      </w:r>
      <w:r w:rsidRPr="00EC20A0">
        <w:rPr>
          <w:sz w:val="18"/>
        </w:rPr>
        <w:t>by</w:t>
      </w:r>
      <w:r w:rsidRPr="00EC20A0">
        <w:rPr>
          <w:spacing w:val="-3"/>
          <w:sz w:val="18"/>
        </w:rPr>
        <w:t xml:space="preserve"> </w:t>
      </w:r>
      <w:r w:rsidRPr="00EC20A0">
        <w:rPr>
          <w:sz w:val="18"/>
        </w:rPr>
        <w:t>the</w:t>
      </w:r>
      <w:r w:rsidRPr="00EC20A0">
        <w:rPr>
          <w:spacing w:val="-3"/>
          <w:sz w:val="18"/>
        </w:rPr>
        <w:t xml:space="preserve"> </w:t>
      </w:r>
      <w:r w:rsidRPr="00EC20A0">
        <w:rPr>
          <w:sz w:val="18"/>
        </w:rPr>
        <w:t>entity's</w:t>
      </w:r>
      <w:r w:rsidRPr="00EC20A0">
        <w:rPr>
          <w:spacing w:val="-3"/>
          <w:sz w:val="18"/>
        </w:rPr>
        <w:t xml:space="preserve"> </w:t>
      </w:r>
      <w:r w:rsidRPr="00EC20A0">
        <w:rPr>
          <w:sz w:val="18"/>
        </w:rPr>
        <w:t>general</w:t>
      </w:r>
      <w:r w:rsidRPr="00EC20A0">
        <w:rPr>
          <w:spacing w:val="-2"/>
          <w:sz w:val="18"/>
        </w:rPr>
        <w:t xml:space="preserve"> counsel.</w:t>
      </w:r>
    </w:p>
    <w:p w14:paraId="24D6225D" w14:textId="77777777" w:rsidR="00245300" w:rsidRPr="00EC20A0" w:rsidRDefault="00F17249">
      <w:pPr>
        <w:pStyle w:val="ListParagraph"/>
        <w:numPr>
          <w:ilvl w:val="0"/>
          <w:numId w:val="58"/>
        </w:numPr>
        <w:tabs>
          <w:tab w:val="left" w:pos="496"/>
          <w:tab w:val="left" w:pos="753"/>
        </w:tabs>
        <w:spacing w:before="1"/>
        <w:ind w:right="1085" w:hanging="526"/>
        <w:rPr>
          <w:sz w:val="18"/>
        </w:rPr>
      </w:pPr>
      <w:r w:rsidRPr="00EC20A0">
        <w:rPr>
          <w:sz w:val="18"/>
        </w:rPr>
        <w:t xml:space="preserve">Likelihood of loss - Indicate management’s evaluation of the likelihood of loss on </w:t>
      </w:r>
      <w:r w:rsidRPr="00EC20A0">
        <w:rPr>
          <w:sz w:val="18"/>
        </w:rPr>
        <w:t>individual or aggregated cases. Input “Probable” (</w:t>
      </w:r>
      <w:proofErr w:type="spellStart"/>
      <w:r w:rsidRPr="00EC20A0">
        <w:rPr>
          <w:sz w:val="18"/>
        </w:rPr>
        <w:t>loss</w:t>
      </w:r>
      <w:proofErr w:type="spellEnd"/>
      <w:r w:rsidRPr="00EC20A0">
        <w:rPr>
          <w:sz w:val="18"/>
        </w:rPr>
        <w:t xml:space="preserve"> more likely than not to occur, except for pending/threatened ligation and unasserted claims for which loss is likely to occur), “Reasonably Possible” (the chance of loss is less than probable, but more than remote), “Remote” (the chance of loss is slight), or “Unable to Determine” (per the </w:t>
      </w:r>
      <w:r w:rsidRPr="00EC20A0">
        <w:rPr>
          <w:i/>
          <w:sz w:val="18"/>
        </w:rPr>
        <w:t>Treasury Financial Manual</w:t>
      </w:r>
      <w:r w:rsidRPr="00EC20A0">
        <w:rPr>
          <w:sz w:val="18"/>
        </w:rPr>
        <w:t>, entities significant to the consolidated financial statements of the U.S.</w:t>
      </w:r>
      <w:r w:rsidRPr="00EC20A0">
        <w:rPr>
          <w:spacing w:val="-1"/>
          <w:sz w:val="18"/>
        </w:rPr>
        <w:t xml:space="preserve"> </w:t>
      </w:r>
      <w:r w:rsidRPr="00EC20A0">
        <w:rPr>
          <w:sz w:val="18"/>
        </w:rPr>
        <w:t>government should</w:t>
      </w:r>
      <w:r w:rsidRPr="00EC20A0">
        <w:rPr>
          <w:spacing w:val="-2"/>
          <w:sz w:val="18"/>
        </w:rPr>
        <w:t xml:space="preserve"> </w:t>
      </w:r>
      <w:r w:rsidRPr="00EC20A0">
        <w:rPr>
          <w:sz w:val="18"/>
        </w:rPr>
        <w:t>avoid excessive</w:t>
      </w:r>
      <w:r w:rsidRPr="00EC20A0">
        <w:rPr>
          <w:spacing w:val="-1"/>
          <w:sz w:val="18"/>
        </w:rPr>
        <w:t xml:space="preserve"> </w:t>
      </w:r>
      <w:r w:rsidRPr="00EC20A0">
        <w:rPr>
          <w:sz w:val="18"/>
        </w:rPr>
        <w:t>use and</w:t>
      </w:r>
      <w:r w:rsidRPr="00EC20A0">
        <w:rPr>
          <w:spacing w:val="-2"/>
          <w:sz w:val="18"/>
        </w:rPr>
        <w:t xml:space="preserve"> </w:t>
      </w:r>
      <w:r w:rsidRPr="00EC20A0">
        <w:rPr>
          <w:sz w:val="18"/>
        </w:rPr>
        <w:t>misuse</w:t>
      </w:r>
      <w:r w:rsidRPr="00EC20A0">
        <w:rPr>
          <w:spacing w:val="-2"/>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“unable</w:t>
      </w:r>
      <w:r w:rsidRPr="00EC20A0">
        <w:rPr>
          <w:spacing w:val="-2"/>
          <w:sz w:val="18"/>
        </w:rPr>
        <w:t xml:space="preserve"> </w:t>
      </w:r>
      <w:r w:rsidRPr="00EC20A0">
        <w:rPr>
          <w:sz w:val="18"/>
        </w:rPr>
        <w:t>t</w:t>
      </w:r>
      <w:r w:rsidRPr="00EC20A0">
        <w:rPr>
          <w:sz w:val="18"/>
        </w:rPr>
        <w:t>o</w:t>
      </w:r>
      <w:r w:rsidRPr="00EC20A0">
        <w:rPr>
          <w:spacing w:val="-2"/>
          <w:sz w:val="18"/>
        </w:rPr>
        <w:t xml:space="preserve"> </w:t>
      </w:r>
      <w:r w:rsidRPr="00EC20A0">
        <w:rPr>
          <w:sz w:val="18"/>
        </w:rPr>
        <w:t>determine”</w:t>
      </w:r>
      <w:r w:rsidRPr="00EC20A0">
        <w:rPr>
          <w:spacing w:val="-1"/>
          <w:sz w:val="18"/>
        </w:rPr>
        <w:t xml:space="preserve"> </w:t>
      </w:r>
      <w:r w:rsidRPr="00EC20A0">
        <w:rPr>
          <w:sz w:val="18"/>
        </w:rPr>
        <w:t>assessment;</w:t>
      </w:r>
      <w:r w:rsidRPr="00EC20A0">
        <w:rPr>
          <w:spacing w:val="-1"/>
          <w:sz w:val="18"/>
        </w:rPr>
        <w:t xml:space="preserve"> </w:t>
      </w:r>
      <w:r w:rsidRPr="00EC20A0">
        <w:rPr>
          <w:sz w:val="18"/>
        </w:rPr>
        <w:t>this</w:t>
      </w:r>
      <w:r w:rsidRPr="00EC20A0">
        <w:rPr>
          <w:spacing w:val="-1"/>
          <w:sz w:val="18"/>
        </w:rPr>
        <w:t xml:space="preserve"> </w:t>
      </w:r>
      <w:r w:rsidRPr="00EC20A0">
        <w:rPr>
          <w:sz w:val="18"/>
        </w:rPr>
        <w:t>likelihood</w:t>
      </w:r>
      <w:r w:rsidRPr="00EC20A0">
        <w:rPr>
          <w:spacing w:val="-2"/>
          <w:sz w:val="18"/>
        </w:rPr>
        <w:t xml:space="preserve"> </w:t>
      </w:r>
      <w:r w:rsidRPr="00EC20A0">
        <w:rPr>
          <w:sz w:val="18"/>
        </w:rPr>
        <w:t>should</w:t>
      </w:r>
      <w:r w:rsidRPr="00EC20A0">
        <w:rPr>
          <w:spacing w:val="-2"/>
          <w:sz w:val="18"/>
        </w:rPr>
        <w:t xml:space="preserve"> </w:t>
      </w:r>
      <w:r w:rsidRPr="00EC20A0">
        <w:rPr>
          <w:sz w:val="18"/>
        </w:rPr>
        <w:t>only</w:t>
      </w:r>
      <w:r w:rsidRPr="00EC20A0">
        <w:rPr>
          <w:spacing w:val="-1"/>
          <w:sz w:val="18"/>
        </w:rPr>
        <w:t xml:space="preserve"> </w:t>
      </w:r>
      <w:r w:rsidRPr="00EC20A0">
        <w:rPr>
          <w:sz w:val="18"/>
        </w:rPr>
        <w:t>be</w:t>
      </w:r>
      <w:r w:rsidRPr="00EC20A0">
        <w:rPr>
          <w:spacing w:val="-2"/>
          <w:sz w:val="18"/>
        </w:rPr>
        <w:t xml:space="preserve"> </w:t>
      </w:r>
      <w:r w:rsidRPr="00EC20A0">
        <w:rPr>
          <w:sz w:val="18"/>
        </w:rPr>
        <w:t>used</w:t>
      </w:r>
      <w:r w:rsidRPr="00EC20A0">
        <w:rPr>
          <w:spacing w:val="-2"/>
          <w:sz w:val="18"/>
        </w:rPr>
        <w:t xml:space="preserve"> </w:t>
      </w:r>
      <w:r w:rsidRPr="00EC20A0">
        <w:rPr>
          <w:sz w:val="18"/>
        </w:rPr>
        <w:t>to</w:t>
      </w:r>
      <w:r w:rsidRPr="00EC20A0">
        <w:rPr>
          <w:spacing w:val="-2"/>
          <w:sz w:val="18"/>
        </w:rPr>
        <w:t xml:space="preserve"> </w:t>
      </w:r>
      <w:r w:rsidRPr="00EC20A0">
        <w:rPr>
          <w:sz w:val="18"/>
        </w:rPr>
        <w:t>categorize</w:t>
      </w:r>
      <w:r w:rsidRPr="00EC20A0">
        <w:rPr>
          <w:spacing w:val="-2"/>
          <w:sz w:val="18"/>
        </w:rPr>
        <w:t xml:space="preserve"> </w:t>
      </w:r>
      <w:r w:rsidRPr="00EC20A0">
        <w:rPr>
          <w:sz w:val="18"/>
        </w:rPr>
        <w:t>cases</w:t>
      </w:r>
      <w:r w:rsidRPr="00EC20A0">
        <w:rPr>
          <w:spacing w:val="-1"/>
          <w:sz w:val="18"/>
        </w:rPr>
        <w:t xml:space="preserve"> </w:t>
      </w:r>
      <w:r w:rsidRPr="00EC20A0">
        <w:rPr>
          <w:sz w:val="18"/>
        </w:rPr>
        <w:t>for</w:t>
      </w:r>
      <w:r w:rsidRPr="00EC20A0">
        <w:rPr>
          <w:spacing w:val="-1"/>
          <w:sz w:val="18"/>
        </w:rPr>
        <w:t xml:space="preserve"> </w:t>
      </w:r>
      <w:r w:rsidRPr="00EC20A0">
        <w:rPr>
          <w:sz w:val="18"/>
        </w:rPr>
        <w:t>which</w:t>
      </w:r>
      <w:r w:rsidRPr="00EC20A0">
        <w:rPr>
          <w:spacing w:val="-2"/>
          <w:sz w:val="18"/>
        </w:rPr>
        <w:t xml:space="preserve"> </w:t>
      </w:r>
      <w:r w:rsidRPr="00EC20A0">
        <w:rPr>
          <w:sz w:val="18"/>
        </w:rPr>
        <w:t>the</w:t>
      </w:r>
      <w:r w:rsidRPr="00EC20A0">
        <w:rPr>
          <w:spacing w:val="-1"/>
          <w:sz w:val="18"/>
        </w:rPr>
        <w:t xml:space="preserve"> </w:t>
      </w:r>
      <w:r w:rsidRPr="00EC20A0">
        <w:rPr>
          <w:sz w:val="18"/>
        </w:rPr>
        <w:t>general</w:t>
      </w:r>
      <w:r w:rsidRPr="00EC20A0">
        <w:rPr>
          <w:spacing w:val="-1"/>
          <w:sz w:val="18"/>
        </w:rPr>
        <w:t xml:space="preserve"> </w:t>
      </w:r>
      <w:r w:rsidRPr="00EC20A0">
        <w:rPr>
          <w:sz w:val="18"/>
        </w:rPr>
        <w:t>counsel</w:t>
      </w:r>
      <w:r w:rsidRPr="00EC20A0">
        <w:rPr>
          <w:spacing w:val="-1"/>
          <w:sz w:val="18"/>
        </w:rPr>
        <w:t xml:space="preserve"> </w:t>
      </w:r>
      <w:r w:rsidRPr="00EC20A0">
        <w:rPr>
          <w:sz w:val="18"/>
        </w:rPr>
        <w:t>is</w:t>
      </w:r>
      <w:r w:rsidRPr="00EC20A0">
        <w:rPr>
          <w:spacing w:val="-1"/>
          <w:sz w:val="18"/>
        </w:rPr>
        <w:t xml:space="preserve"> </w:t>
      </w:r>
      <w:r w:rsidRPr="00EC20A0">
        <w:rPr>
          <w:sz w:val="18"/>
        </w:rPr>
        <w:t>unable to</w:t>
      </w:r>
      <w:r w:rsidRPr="00EC20A0">
        <w:rPr>
          <w:spacing w:val="-2"/>
          <w:sz w:val="18"/>
        </w:rPr>
        <w:t xml:space="preserve"> </w:t>
      </w:r>
      <w:r w:rsidRPr="00EC20A0">
        <w:rPr>
          <w:sz w:val="18"/>
        </w:rPr>
        <w:t>express</w:t>
      </w:r>
      <w:r w:rsidRPr="00EC20A0">
        <w:rPr>
          <w:spacing w:val="-1"/>
          <w:sz w:val="18"/>
        </w:rPr>
        <w:t xml:space="preserve"> </w:t>
      </w:r>
      <w:r w:rsidRPr="00EC20A0">
        <w:rPr>
          <w:sz w:val="18"/>
        </w:rPr>
        <w:t>an opinion</w:t>
      </w:r>
      <w:r w:rsidRPr="00EC20A0">
        <w:rPr>
          <w:spacing w:val="-2"/>
          <w:sz w:val="18"/>
        </w:rPr>
        <w:t xml:space="preserve"> </w:t>
      </w:r>
      <w:r w:rsidRPr="00EC20A0">
        <w:rPr>
          <w:sz w:val="18"/>
        </w:rPr>
        <w:t>because</w:t>
      </w:r>
      <w:r w:rsidRPr="00EC20A0">
        <w:rPr>
          <w:spacing w:val="-2"/>
          <w:sz w:val="18"/>
        </w:rPr>
        <w:t xml:space="preserve"> </w:t>
      </w:r>
      <w:r w:rsidRPr="00EC20A0">
        <w:rPr>
          <w:sz w:val="18"/>
        </w:rPr>
        <w:t>of inherent</w:t>
      </w:r>
      <w:r w:rsidRPr="00EC20A0">
        <w:rPr>
          <w:spacing w:val="-1"/>
          <w:sz w:val="18"/>
        </w:rPr>
        <w:t xml:space="preserve"> </w:t>
      </w:r>
      <w:r w:rsidRPr="00EC20A0">
        <w:rPr>
          <w:sz w:val="18"/>
        </w:rPr>
        <w:t>uncertainties).</w:t>
      </w:r>
      <w:r w:rsidRPr="00EC20A0">
        <w:rPr>
          <w:spacing w:val="-1"/>
          <w:sz w:val="18"/>
        </w:rPr>
        <w:t xml:space="preserve"> </w:t>
      </w:r>
      <w:r w:rsidRPr="00EC20A0">
        <w:rPr>
          <w:sz w:val="18"/>
        </w:rPr>
        <w:t xml:space="preserve">The evaluation should be consistent with the supporting legal counsel </w:t>
      </w:r>
      <w:r w:rsidRPr="00EC20A0">
        <w:rPr>
          <w:sz w:val="18"/>
        </w:rPr>
        <w:t>response prepared by the entity’s general counsel.</w:t>
      </w:r>
    </w:p>
    <w:p w14:paraId="24D6225E" w14:textId="77777777" w:rsidR="00245300" w:rsidRPr="00EC20A0" w:rsidRDefault="00F17249">
      <w:pPr>
        <w:pStyle w:val="ListParagraph"/>
        <w:numPr>
          <w:ilvl w:val="0"/>
          <w:numId w:val="58"/>
        </w:numPr>
        <w:tabs>
          <w:tab w:val="left" w:pos="496"/>
        </w:tabs>
        <w:spacing w:before="189"/>
        <w:ind w:left="496" w:hanging="269"/>
        <w:rPr>
          <w:sz w:val="18"/>
        </w:rPr>
      </w:pPr>
      <w:r w:rsidRPr="00EC20A0">
        <w:rPr>
          <w:sz w:val="18"/>
        </w:rPr>
        <w:t>Estimated</w:t>
      </w:r>
      <w:r w:rsidRPr="00EC20A0">
        <w:rPr>
          <w:spacing w:val="-6"/>
          <w:sz w:val="18"/>
        </w:rPr>
        <w:t xml:space="preserve"> </w:t>
      </w:r>
      <w:r w:rsidRPr="00EC20A0">
        <w:rPr>
          <w:sz w:val="18"/>
        </w:rPr>
        <w:t>amount</w:t>
      </w:r>
      <w:r w:rsidRPr="00EC20A0">
        <w:rPr>
          <w:spacing w:val="-2"/>
          <w:sz w:val="18"/>
        </w:rPr>
        <w:t xml:space="preserve"> </w:t>
      </w:r>
      <w:r w:rsidRPr="00EC20A0">
        <w:rPr>
          <w:sz w:val="18"/>
        </w:rPr>
        <w:t>or</w:t>
      </w:r>
      <w:r w:rsidRPr="00EC20A0">
        <w:rPr>
          <w:spacing w:val="-3"/>
          <w:sz w:val="18"/>
        </w:rPr>
        <w:t xml:space="preserve"> </w:t>
      </w:r>
      <w:r w:rsidRPr="00EC20A0">
        <w:rPr>
          <w:sz w:val="18"/>
        </w:rPr>
        <w:t>range</w:t>
      </w:r>
      <w:r w:rsidRPr="00EC20A0">
        <w:rPr>
          <w:spacing w:val="-1"/>
          <w:sz w:val="18"/>
        </w:rPr>
        <w:t xml:space="preserve"> </w:t>
      </w:r>
      <w:r w:rsidRPr="00EC20A0">
        <w:rPr>
          <w:sz w:val="18"/>
        </w:rPr>
        <w:t>of</w:t>
      </w:r>
      <w:r w:rsidRPr="00EC20A0">
        <w:rPr>
          <w:spacing w:val="-3"/>
          <w:sz w:val="18"/>
        </w:rPr>
        <w:t xml:space="preserve"> </w:t>
      </w:r>
      <w:r w:rsidRPr="00EC20A0">
        <w:rPr>
          <w:sz w:val="18"/>
        </w:rPr>
        <w:t>potential</w:t>
      </w:r>
      <w:r w:rsidRPr="00EC20A0">
        <w:rPr>
          <w:spacing w:val="-2"/>
          <w:sz w:val="18"/>
        </w:rPr>
        <w:t xml:space="preserve"> </w:t>
      </w:r>
      <w:r w:rsidRPr="00EC20A0">
        <w:rPr>
          <w:sz w:val="18"/>
        </w:rPr>
        <w:t>loss</w:t>
      </w:r>
      <w:r w:rsidRPr="00EC20A0">
        <w:rPr>
          <w:spacing w:val="-3"/>
          <w:sz w:val="18"/>
        </w:rPr>
        <w:t xml:space="preserve"> </w:t>
      </w:r>
      <w:r w:rsidRPr="00EC20A0">
        <w:rPr>
          <w:sz w:val="18"/>
        </w:rPr>
        <w:t>(should</w:t>
      </w:r>
      <w:r w:rsidRPr="00EC20A0">
        <w:rPr>
          <w:spacing w:val="-3"/>
          <w:sz w:val="18"/>
        </w:rPr>
        <w:t xml:space="preserve"> </w:t>
      </w:r>
      <w:r w:rsidRPr="00EC20A0">
        <w:rPr>
          <w:sz w:val="18"/>
        </w:rPr>
        <w:t>be</w:t>
      </w:r>
      <w:r w:rsidRPr="00EC20A0">
        <w:rPr>
          <w:spacing w:val="-3"/>
          <w:sz w:val="18"/>
        </w:rPr>
        <w:t xml:space="preserve"> </w:t>
      </w:r>
      <w:r w:rsidRPr="00EC20A0">
        <w:rPr>
          <w:sz w:val="18"/>
        </w:rPr>
        <w:t>consistent</w:t>
      </w:r>
      <w:r w:rsidRPr="00EC20A0">
        <w:rPr>
          <w:spacing w:val="-3"/>
          <w:sz w:val="18"/>
        </w:rPr>
        <w:t xml:space="preserve"> </w:t>
      </w:r>
      <w:r w:rsidRPr="00EC20A0">
        <w:rPr>
          <w:sz w:val="18"/>
        </w:rPr>
        <w:t>with</w:t>
      </w:r>
      <w:r w:rsidRPr="00EC20A0">
        <w:rPr>
          <w:spacing w:val="-3"/>
          <w:sz w:val="18"/>
        </w:rPr>
        <w:t xml:space="preserve"> </w:t>
      </w:r>
      <w:r w:rsidRPr="00EC20A0">
        <w:rPr>
          <w:sz w:val="18"/>
        </w:rPr>
        <w:t>the</w:t>
      </w:r>
      <w:r w:rsidRPr="00EC20A0">
        <w:rPr>
          <w:spacing w:val="-4"/>
          <w:sz w:val="18"/>
        </w:rPr>
        <w:t xml:space="preserve"> </w:t>
      </w:r>
      <w:r w:rsidRPr="00EC20A0">
        <w:rPr>
          <w:sz w:val="18"/>
        </w:rPr>
        <w:t>supporting</w:t>
      </w:r>
      <w:r w:rsidRPr="00EC20A0">
        <w:rPr>
          <w:spacing w:val="-2"/>
          <w:sz w:val="18"/>
        </w:rPr>
        <w:t xml:space="preserve"> </w:t>
      </w:r>
      <w:r w:rsidRPr="00EC20A0">
        <w:rPr>
          <w:sz w:val="18"/>
        </w:rPr>
        <w:t>legal</w:t>
      </w:r>
      <w:r w:rsidRPr="00EC20A0">
        <w:rPr>
          <w:spacing w:val="-2"/>
          <w:sz w:val="18"/>
        </w:rPr>
        <w:t xml:space="preserve"> </w:t>
      </w:r>
      <w:r w:rsidRPr="00EC20A0">
        <w:rPr>
          <w:sz w:val="18"/>
        </w:rPr>
        <w:t>counsel</w:t>
      </w:r>
      <w:r w:rsidRPr="00EC20A0">
        <w:rPr>
          <w:spacing w:val="-3"/>
          <w:sz w:val="18"/>
        </w:rPr>
        <w:t xml:space="preserve"> </w:t>
      </w:r>
      <w:r w:rsidRPr="00EC20A0">
        <w:rPr>
          <w:sz w:val="18"/>
        </w:rPr>
        <w:t>response</w:t>
      </w:r>
      <w:r w:rsidRPr="00EC20A0">
        <w:rPr>
          <w:spacing w:val="-2"/>
          <w:sz w:val="18"/>
        </w:rPr>
        <w:t xml:space="preserve"> </w:t>
      </w:r>
      <w:r w:rsidRPr="00EC20A0">
        <w:rPr>
          <w:sz w:val="18"/>
        </w:rPr>
        <w:t>prepared</w:t>
      </w:r>
      <w:r w:rsidRPr="00EC20A0">
        <w:rPr>
          <w:spacing w:val="-4"/>
          <w:sz w:val="18"/>
        </w:rPr>
        <w:t xml:space="preserve"> </w:t>
      </w:r>
      <w:r w:rsidRPr="00EC20A0">
        <w:rPr>
          <w:sz w:val="18"/>
        </w:rPr>
        <w:t>by</w:t>
      </w:r>
      <w:r w:rsidRPr="00EC20A0">
        <w:rPr>
          <w:spacing w:val="-2"/>
          <w:sz w:val="18"/>
        </w:rPr>
        <w:t xml:space="preserve"> </w:t>
      </w:r>
      <w:r w:rsidRPr="00EC20A0">
        <w:rPr>
          <w:sz w:val="18"/>
        </w:rPr>
        <w:t>the</w:t>
      </w:r>
      <w:r w:rsidRPr="00EC20A0">
        <w:rPr>
          <w:spacing w:val="-4"/>
          <w:sz w:val="18"/>
        </w:rPr>
        <w:t xml:space="preserve"> </w:t>
      </w:r>
      <w:r w:rsidRPr="00EC20A0">
        <w:rPr>
          <w:sz w:val="18"/>
        </w:rPr>
        <w:t>entity’s</w:t>
      </w:r>
      <w:r w:rsidRPr="00EC20A0">
        <w:rPr>
          <w:spacing w:val="-2"/>
          <w:sz w:val="18"/>
        </w:rPr>
        <w:t xml:space="preserve"> </w:t>
      </w:r>
      <w:r w:rsidRPr="00EC20A0">
        <w:rPr>
          <w:sz w:val="18"/>
        </w:rPr>
        <w:t>general</w:t>
      </w:r>
      <w:r w:rsidRPr="00EC20A0">
        <w:rPr>
          <w:spacing w:val="-2"/>
          <w:sz w:val="18"/>
        </w:rPr>
        <w:t xml:space="preserve"> counsel):</w:t>
      </w:r>
    </w:p>
    <w:p w14:paraId="24D6225F" w14:textId="77777777" w:rsidR="00245300" w:rsidRPr="00EC20A0" w:rsidRDefault="00F17249">
      <w:pPr>
        <w:pStyle w:val="ListParagraph"/>
        <w:numPr>
          <w:ilvl w:val="1"/>
          <w:numId w:val="58"/>
        </w:numPr>
        <w:tabs>
          <w:tab w:val="left" w:pos="1021"/>
        </w:tabs>
        <w:spacing w:before="63"/>
        <w:ind w:left="1021" w:hanging="268"/>
        <w:rPr>
          <w:sz w:val="18"/>
        </w:rPr>
      </w:pPr>
      <w:r w:rsidRPr="00EC20A0">
        <w:rPr>
          <w:sz w:val="18"/>
        </w:rPr>
        <w:t>Probable</w:t>
      </w:r>
      <w:r w:rsidRPr="00EC20A0">
        <w:rPr>
          <w:spacing w:val="-3"/>
          <w:sz w:val="18"/>
        </w:rPr>
        <w:t xml:space="preserve"> </w:t>
      </w:r>
      <w:r w:rsidRPr="00EC20A0">
        <w:rPr>
          <w:sz w:val="18"/>
        </w:rPr>
        <w:t>-</w:t>
      </w:r>
      <w:r w:rsidRPr="00EC20A0">
        <w:rPr>
          <w:spacing w:val="-1"/>
          <w:sz w:val="18"/>
        </w:rPr>
        <w:t xml:space="preserve"> </w:t>
      </w:r>
      <w:r w:rsidRPr="00EC20A0">
        <w:rPr>
          <w:sz w:val="18"/>
        </w:rPr>
        <w:t>For</w:t>
      </w:r>
      <w:r w:rsidRPr="00EC20A0">
        <w:rPr>
          <w:spacing w:val="-2"/>
          <w:sz w:val="18"/>
        </w:rPr>
        <w:t xml:space="preserve"> </w:t>
      </w:r>
      <w:r w:rsidRPr="00EC20A0">
        <w:rPr>
          <w:sz w:val="18"/>
        </w:rPr>
        <w:t>single</w:t>
      </w:r>
      <w:r w:rsidRPr="00EC20A0">
        <w:rPr>
          <w:spacing w:val="-3"/>
          <w:sz w:val="18"/>
        </w:rPr>
        <w:t xml:space="preserve"> </w:t>
      </w:r>
      <w:r w:rsidRPr="00EC20A0">
        <w:rPr>
          <w:sz w:val="18"/>
        </w:rPr>
        <w:t>estimate,</w:t>
      </w:r>
      <w:r w:rsidRPr="00EC20A0">
        <w:rPr>
          <w:spacing w:val="-2"/>
          <w:sz w:val="18"/>
        </w:rPr>
        <w:t xml:space="preserve"> </w:t>
      </w:r>
      <w:r w:rsidRPr="00EC20A0">
        <w:rPr>
          <w:sz w:val="18"/>
        </w:rPr>
        <w:t>enter</w:t>
      </w:r>
      <w:r w:rsidRPr="00EC20A0">
        <w:rPr>
          <w:spacing w:val="-2"/>
          <w:sz w:val="18"/>
        </w:rPr>
        <w:t xml:space="preserve"> </w:t>
      </w:r>
      <w:r w:rsidRPr="00EC20A0">
        <w:rPr>
          <w:sz w:val="18"/>
        </w:rPr>
        <w:t>single</w:t>
      </w:r>
      <w:r w:rsidRPr="00EC20A0">
        <w:rPr>
          <w:spacing w:val="-2"/>
          <w:sz w:val="18"/>
        </w:rPr>
        <w:t xml:space="preserve"> </w:t>
      </w:r>
      <w:r w:rsidRPr="00EC20A0">
        <w:rPr>
          <w:sz w:val="18"/>
        </w:rPr>
        <w:t>estimate</w:t>
      </w:r>
      <w:r w:rsidRPr="00EC20A0">
        <w:rPr>
          <w:spacing w:val="-3"/>
          <w:sz w:val="18"/>
        </w:rPr>
        <w:t xml:space="preserve"> </w:t>
      </w:r>
      <w:r w:rsidRPr="00EC20A0">
        <w:rPr>
          <w:sz w:val="18"/>
        </w:rPr>
        <w:t>in</w:t>
      </w:r>
      <w:r w:rsidRPr="00EC20A0">
        <w:rPr>
          <w:spacing w:val="-1"/>
          <w:sz w:val="18"/>
        </w:rPr>
        <w:t xml:space="preserve"> </w:t>
      </w:r>
      <w:r w:rsidRPr="00EC20A0">
        <w:rPr>
          <w:sz w:val="18"/>
        </w:rPr>
        <w:t>Column</w:t>
      </w:r>
      <w:r w:rsidRPr="00EC20A0">
        <w:rPr>
          <w:spacing w:val="-3"/>
          <w:sz w:val="18"/>
        </w:rPr>
        <w:t xml:space="preserve"> </w:t>
      </w:r>
      <w:r w:rsidRPr="00EC20A0">
        <w:rPr>
          <w:sz w:val="18"/>
        </w:rPr>
        <w:t>7(a)</w:t>
      </w:r>
      <w:r w:rsidRPr="00EC20A0">
        <w:rPr>
          <w:spacing w:val="-2"/>
          <w:sz w:val="18"/>
        </w:rPr>
        <w:t xml:space="preserve"> </w:t>
      </w:r>
      <w:r w:rsidRPr="00EC20A0">
        <w:rPr>
          <w:b/>
          <w:sz w:val="18"/>
          <w:u w:val="single"/>
        </w:rPr>
        <w:t>and</w:t>
      </w:r>
      <w:r w:rsidRPr="00EC20A0">
        <w:rPr>
          <w:b/>
          <w:spacing w:val="-2"/>
          <w:sz w:val="18"/>
        </w:rPr>
        <w:t xml:space="preserve"> </w:t>
      </w:r>
      <w:r w:rsidRPr="00EC20A0">
        <w:rPr>
          <w:sz w:val="18"/>
        </w:rPr>
        <w:t>Column</w:t>
      </w:r>
      <w:r w:rsidRPr="00EC20A0">
        <w:rPr>
          <w:spacing w:val="-3"/>
          <w:sz w:val="18"/>
        </w:rPr>
        <w:t xml:space="preserve"> </w:t>
      </w:r>
      <w:r w:rsidRPr="00EC20A0">
        <w:rPr>
          <w:sz w:val="18"/>
        </w:rPr>
        <w:t>7(c).</w:t>
      </w:r>
      <w:r w:rsidRPr="00EC20A0">
        <w:rPr>
          <w:spacing w:val="-1"/>
          <w:sz w:val="18"/>
        </w:rPr>
        <w:t xml:space="preserve"> </w:t>
      </w:r>
      <w:r w:rsidRPr="00EC20A0">
        <w:rPr>
          <w:sz w:val="18"/>
        </w:rPr>
        <w:t>For</w:t>
      </w:r>
      <w:r w:rsidRPr="00EC20A0">
        <w:rPr>
          <w:spacing w:val="-2"/>
          <w:sz w:val="18"/>
        </w:rPr>
        <w:t xml:space="preserve"> </w:t>
      </w:r>
      <w:r w:rsidRPr="00EC20A0">
        <w:rPr>
          <w:sz w:val="18"/>
        </w:rPr>
        <w:t>estimated</w:t>
      </w:r>
      <w:r w:rsidRPr="00EC20A0">
        <w:rPr>
          <w:spacing w:val="-3"/>
          <w:sz w:val="18"/>
        </w:rPr>
        <w:t xml:space="preserve"> </w:t>
      </w:r>
      <w:r w:rsidRPr="00EC20A0">
        <w:rPr>
          <w:sz w:val="18"/>
        </w:rPr>
        <w:t>range,</w:t>
      </w:r>
      <w:r w:rsidRPr="00EC20A0">
        <w:rPr>
          <w:spacing w:val="-2"/>
          <w:sz w:val="18"/>
        </w:rPr>
        <w:t xml:space="preserve"> </w:t>
      </w:r>
      <w:r w:rsidRPr="00EC20A0">
        <w:rPr>
          <w:sz w:val="18"/>
        </w:rPr>
        <w:t>enter</w:t>
      </w:r>
      <w:r w:rsidRPr="00EC20A0">
        <w:rPr>
          <w:spacing w:val="-2"/>
          <w:sz w:val="18"/>
        </w:rPr>
        <w:t xml:space="preserve"> </w:t>
      </w:r>
      <w:r w:rsidRPr="00EC20A0">
        <w:rPr>
          <w:sz w:val="18"/>
        </w:rPr>
        <w:t>low</w:t>
      </w:r>
      <w:r w:rsidRPr="00EC20A0">
        <w:rPr>
          <w:spacing w:val="-2"/>
          <w:sz w:val="18"/>
        </w:rPr>
        <w:t xml:space="preserve"> </w:t>
      </w:r>
      <w:r w:rsidRPr="00EC20A0">
        <w:rPr>
          <w:sz w:val="18"/>
        </w:rPr>
        <w:t>end</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2"/>
          <w:sz w:val="18"/>
        </w:rPr>
        <w:t xml:space="preserve"> </w:t>
      </w:r>
      <w:r w:rsidRPr="00EC20A0">
        <w:rPr>
          <w:sz w:val="18"/>
        </w:rPr>
        <w:t>range</w:t>
      </w:r>
      <w:r w:rsidRPr="00EC20A0">
        <w:rPr>
          <w:spacing w:val="-3"/>
          <w:sz w:val="18"/>
        </w:rPr>
        <w:t xml:space="preserve"> </w:t>
      </w:r>
      <w:r w:rsidRPr="00EC20A0">
        <w:rPr>
          <w:sz w:val="18"/>
        </w:rPr>
        <w:t>in</w:t>
      </w:r>
      <w:r w:rsidRPr="00EC20A0">
        <w:rPr>
          <w:spacing w:val="-3"/>
          <w:sz w:val="18"/>
        </w:rPr>
        <w:t xml:space="preserve"> </w:t>
      </w:r>
      <w:r w:rsidRPr="00EC20A0">
        <w:rPr>
          <w:sz w:val="18"/>
        </w:rPr>
        <w:t>Column</w:t>
      </w:r>
      <w:r w:rsidRPr="00EC20A0">
        <w:rPr>
          <w:spacing w:val="-3"/>
          <w:sz w:val="18"/>
        </w:rPr>
        <w:t xml:space="preserve"> </w:t>
      </w:r>
      <w:r w:rsidRPr="00EC20A0">
        <w:rPr>
          <w:sz w:val="18"/>
        </w:rPr>
        <w:t>7(a)</w:t>
      </w:r>
      <w:r w:rsidRPr="00EC20A0">
        <w:rPr>
          <w:spacing w:val="-2"/>
          <w:sz w:val="18"/>
        </w:rPr>
        <w:t xml:space="preserve"> </w:t>
      </w:r>
      <w:r w:rsidRPr="00EC20A0">
        <w:rPr>
          <w:sz w:val="18"/>
        </w:rPr>
        <w:t>and</w:t>
      </w:r>
      <w:r w:rsidRPr="00EC20A0">
        <w:rPr>
          <w:spacing w:val="-3"/>
          <w:sz w:val="18"/>
        </w:rPr>
        <w:t xml:space="preserve"> </w:t>
      </w:r>
      <w:r w:rsidRPr="00EC20A0">
        <w:rPr>
          <w:sz w:val="18"/>
        </w:rPr>
        <w:t>upper</w:t>
      </w:r>
      <w:r w:rsidRPr="00EC20A0">
        <w:rPr>
          <w:spacing w:val="-1"/>
          <w:sz w:val="18"/>
        </w:rPr>
        <w:t xml:space="preserve"> </w:t>
      </w:r>
      <w:r w:rsidRPr="00EC20A0">
        <w:rPr>
          <w:sz w:val="18"/>
        </w:rPr>
        <w:t>end</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range</w:t>
      </w:r>
      <w:r w:rsidRPr="00EC20A0">
        <w:rPr>
          <w:spacing w:val="-3"/>
          <w:sz w:val="18"/>
        </w:rPr>
        <w:t xml:space="preserve"> </w:t>
      </w:r>
      <w:r w:rsidRPr="00EC20A0">
        <w:rPr>
          <w:sz w:val="18"/>
        </w:rPr>
        <w:t>in</w:t>
      </w:r>
      <w:r w:rsidRPr="00EC20A0">
        <w:rPr>
          <w:spacing w:val="-3"/>
          <w:sz w:val="18"/>
        </w:rPr>
        <w:t xml:space="preserve"> </w:t>
      </w:r>
      <w:r w:rsidRPr="00EC20A0">
        <w:rPr>
          <w:sz w:val="18"/>
        </w:rPr>
        <w:t xml:space="preserve">Column </w:t>
      </w:r>
      <w:r w:rsidRPr="00EC20A0">
        <w:rPr>
          <w:spacing w:val="-2"/>
          <w:sz w:val="18"/>
        </w:rPr>
        <w:t>7(c).</w:t>
      </w:r>
    </w:p>
    <w:p w14:paraId="24D62260" w14:textId="77777777" w:rsidR="00245300" w:rsidRPr="00EC20A0" w:rsidRDefault="00F17249">
      <w:pPr>
        <w:pStyle w:val="ListParagraph"/>
        <w:numPr>
          <w:ilvl w:val="1"/>
          <w:numId w:val="58"/>
        </w:numPr>
        <w:tabs>
          <w:tab w:val="left" w:pos="1022"/>
        </w:tabs>
        <w:spacing w:before="0" w:line="207" w:lineRule="exact"/>
        <w:ind w:left="1022" w:hanging="269"/>
        <w:rPr>
          <w:sz w:val="18"/>
        </w:rPr>
      </w:pPr>
      <w:r w:rsidRPr="00EC20A0">
        <w:rPr>
          <w:sz w:val="18"/>
        </w:rPr>
        <w:t>Reasonably</w:t>
      </w:r>
      <w:r w:rsidRPr="00EC20A0">
        <w:rPr>
          <w:spacing w:val="-2"/>
          <w:sz w:val="18"/>
        </w:rPr>
        <w:t xml:space="preserve"> </w:t>
      </w:r>
      <w:r w:rsidRPr="00EC20A0">
        <w:rPr>
          <w:sz w:val="18"/>
        </w:rPr>
        <w:t>Possible</w:t>
      </w:r>
      <w:r w:rsidRPr="00EC20A0">
        <w:rPr>
          <w:spacing w:val="-2"/>
          <w:sz w:val="18"/>
        </w:rPr>
        <w:t xml:space="preserve"> </w:t>
      </w:r>
      <w:r w:rsidRPr="00EC20A0">
        <w:rPr>
          <w:sz w:val="18"/>
        </w:rPr>
        <w:t>-</w:t>
      </w:r>
      <w:r w:rsidRPr="00EC20A0">
        <w:rPr>
          <w:spacing w:val="-2"/>
          <w:sz w:val="18"/>
        </w:rPr>
        <w:t xml:space="preserve"> </w:t>
      </w:r>
      <w:r w:rsidRPr="00EC20A0">
        <w:rPr>
          <w:sz w:val="18"/>
        </w:rPr>
        <w:t>For</w:t>
      </w:r>
      <w:r w:rsidRPr="00EC20A0">
        <w:rPr>
          <w:spacing w:val="-2"/>
          <w:sz w:val="18"/>
        </w:rPr>
        <w:t xml:space="preserve"> </w:t>
      </w:r>
      <w:r w:rsidRPr="00EC20A0">
        <w:rPr>
          <w:sz w:val="18"/>
        </w:rPr>
        <w:t>single</w:t>
      </w:r>
      <w:r w:rsidRPr="00EC20A0">
        <w:rPr>
          <w:spacing w:val="-3"/>
          <w:sz w:val="18"/>
        </w:rPr>
        <w:t xml:space="preserve"> </w:t>
      </w:r>
      <w:r w:rsidRPr="00EC20A0">
        <w:rPr>
          <w:sz w:val="18"/>
        </w:rPr>
        <w:t>estimate,</w:t>
      </w:r>
      <w:r w:rsidRPr="00EC20A0">
        <w:rPr>
          <w:spacing w:val="-2"/>
          <w:sz w:val="18"/>
        </w:rPr>
        <w:t xml:space="preserve"> </w:t>
      </w:r>
      <w:r w:rsidRPr="00EC20A0">
        <w:rPr>
          <w:sz w:val="18"/>
        </w:rPr>
        <w:t>enter</w:t>
      </w:r>
      <w:r w:rsidRPr="00EC20A0">
        <w:rPr>
          <w:spacing w:val="-2"/>
          <w:sz w:val="18"/>
        </w:rPr>
        <w:t xml:space="preserve"> </w:t>
      </w:r>
      <w:r w:rsidRPr="00EC20A0">
        <w:rPr>
          <w:sz w:val="18"/>
        </w:rPr>
        <w:t>single</w:t>
      </w:r>
      <w:r w:rsidRPr="00EC20A0">
        <w:rPr>
          <w:spacing w:val="-3"/>
          <w:sz w:val="18"/>
        </w:rPr>
        <w:t xml:space="preserve"> </w:t>
      </w:r>
      <w:r w:rsidRPr="00EC20A0">
        <w:rPr>
          <w:sz w:val="18"/>
        </w:rPr>
        <w:t>estimate</w:t>
      </w:r>
      <w:r w:rsidRPr="00EC20A0">
        <w:rPr>
          <w:spacing w:val="-3"/>
          <w:sz w:val="18"/>
        </w:rPr>
        <w:t xml:space="preserve"> </w:t>
      </w:r>
      <w:r w:rsidRPr="00EC20A0">
        <w:rPr>
          <w:sz w:val="18"/>
        </w:rPr>
        <w:t>in</w:t>
      </w:r>
      <w:r w:rsidRPr="00EC20A0">
        <w:rPr>
          <w:spacing w:val="-3"/>
          <w:sz w:val="18"/>
        </w:rPr>
        <w:t xml:space="preserve"> </w:t>
      </w:r>
      <w:r w:rsidRPr="00EC20A0">
        <w:rPr>
          <w:sz w:val="18"/>
        </w:rPr>
        <w:t>Column</w:t>
      </w:r>
      <w:r w:rsidRPr="00EC20A0">
        <w:rPr>
          <w:spacing w:val="-3"/>
          <w:sz w:val="18"/>
        </w:rPr>
        <w:t xml:space="preserve"> </w:t>
      </w:r>
      <w:r w:rsidRPr="00EC20A0">
        <w:rPr>
          <w:sz w:val="18"/>
        </w:rPr>
        <w:t>7(b)</w:t>
      </w:r>
      <w:r w:rsidRPr="00EC20A0">
        <w:rPr>
          <w:spacing w:val="-2"/>
          <w:sz w:val="18"/>
        </w:rPr>
        <w:t xml:space="preserve"> </w:t>
      </w:r>
      <w:r w:rsidRPr="00EC20A0">
        <w:rPr>
          <w:b/>
          <w:sz w:val="18"/>
          <w:u w:val="single"/>
        </w:rPr>
        <w:t>and</w:t>
      </w:r>
      <w:r w:rsidRPr="00EC20A0">
        <w:rPr>
          <w:b/>
          <w:spacing w:val="-1"/>
          <w:sz w:val="18"/>
        </w:rPr>
        <w:t xml:space="preserve"> </w:t>
      </w:r>
      <w:r w:rsidRPr="00EC20A0">
        <w:rPr>
          <w:sz w:val="18"/>
        </w:rPr>
        <w:t>Column</w:t>
      </w:r>
      <w:r w:rsidRPr="00EC20A0">
        <w:rPr>
          <w:spacing w:val="-3"/>
          <w:sz w:val="18"/>
        </w:rPr>
        <w:t xml:space="preserve"> </w:t>
      </w:r>
      <w:r w:rsidRPr="00EC20A0">
        <w:rPr>
          <w:sz w:val="18"/>
        </w:rPr>
        <w:t>7(c).</w:t>
      </w:r>
      <w:r w:rsidRPr="00EC20A0">
        <w:rPr>
          <w:spacing w:val="-2"/>
          <w:sz w:val="18"/>
        </w:rPr>
        <w:t xml:space="preserve"> </w:t>
      </w:r>
      <w:r w:rsidRPr="00EC20A0">
        <w:rPr>
          <w:sz w:val="18"/>
        </w:rPr>
        <w:t>For</w:t>
      </w:r>
      <w:r w:rsidRPr="00EC20A0">
        <w:rPr>
          <w:spacing w:val="-2"/>
          <w:sz w:val="18"/>
        </w:rPr>
        <w:t xml:space="preserve"> </w:t>
      </w:r>
      <w:r w:rsidRPr="00EC20A0">
        <w:rPr>
          <w:sz w:val="18"/>
        </w:rPr>
        <w:t>estimated</w:t>
      </w:r>
      <w:r w:rsidRPr="00EC20A0">
        <w:rPr>
          <w:spacing w:val="-3"/>
          <w:sz w:val="18"/>
        </w:rPr>
        <w:t xml:space="preserve"> </w:t>
      </w:r>
      <w:r w:rsidRPr="00EC20A0">
        <w:rPr>
          <w:sz w:val="18"/>
        </w:rPr>
        <w:t>range,</w:t>
      </w:r>
      <w:r w:rsidRPr="00EC20A0">
        <w:rPr>
          <w:spacing w:val="-2"/>
          <w:sz w:val="18"/>
        </w:rPr>
        <w:t xml:space="preserve"> </w:t>
      </w:r>
      <w:r w:rsidRPr="00EC20A0">
        <w:rPr>
          <w:sz w:val="18"/>
        </w:rPr>
        <w:t>enter</w:t>
      </w:r>
      <w:r w:rsidRPr="00EC20A0">
        <w:rPr>
          <w:spacing w:val="-2"/>
          <w:sz w:val="18"/>
        </w:rPr>
        <w:t xml:space="preserve"> </w:t>
      </w:r>
      <w:r w:rsidRPr="00EC20A0">
        <w:rPr>
          <w:sz w:val="18"/>
        </w:rPr>
        <w:t>low</w:t>
      </w:r>
      <w:r w:rsidRPr="00EC20A0">
        <w:rPr>
          <w:spacing w:val="-2"/>
          <w:sz w:val="18"/>
        </w:rPr>
        <w:t xml:space="preserve"> </w:t>
      </w:r>
      <w:r w:rsidRPr="00EC20A0">
        <w:rPr>
          <w:sz w:val="18"/>
        </w:rPr>
        <w:t>end</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range</w:t>
      </w:r>
      <w:r w:rsidRPr="00EC20A0">
        <w:rPr>
          <w:spacing w:val="-1"/>
          <w:sz w:val="18"/>
        </w:rPr>
        <w:t xml:space="preserve"> </w:t>
      </w:r>
      <w:r w:rsidRPr="00EC20A0">
        <w:rPr>
          <w:sz w:val="18"/>
        </w:rPr>
        <w:t>in</w:t>
      </w:r>
      <w:r w:rsidRPr="00EC20A0">
        <w:rPr>
          <w:spacing w:val="-3"/>
          <w:sz w:val="18"/>
        </w:rPr>
        <w:t xml:space="preserve"> </w:t>
      </w:r>
      <w:r w:rsidRPr="00EC20A0">
        <w:rPr>
          <w:sz w:val="18"/>
        </w:rPr>
        <w:t>Column</w:t>
      </w:r>
      <w:r w:rsidRPr="00EC20A0">
        <w:rPr>
          <w:spacing w:val="-3"/>
          <w:sz w:val="18"/>
        </w:rPr>
        <w:t xml:space="preserve"> </w:t>
      </w:r>
      <w:r w:rsidRPr="00EC20A0">
        <w:rPr>
          <w:sz w:val="18"/>
        </w:rPr>
        <w:t>7(b)</w:t>
      </w:r>
      <w:r w:rsidRPr="00EC20A0">
        <w:rPr>
          <w:spacing w:val="-2"/>
          <w:sz w:val="18"/>
        </w:rPr>
        <w:t xml:space="preserve"> </w:t>
      </w:r>
      <w:r w:rsidRPr="00EC20A0">
        <w:rPr>
          <w:sz w:val="18"/>
        </w:rPr>
        <w:t>and</w:t>
      </w:r>
      <w:r w:rsidRPr="00EC20A0">
        <w:rPr>
          <w:spacing w:val="-2"/>
          <w:sz w:val="18"/>
        </w:rPr>
        <w:t xml:space="preserve"> </w:t>
      </w:r>
      <w:r w:rsidRPr="00EC20A0">
        <w:rPr>
          <w:sz w:val="18"/>
        </w:rPr>
        <w:t>upper</w:t>
      </w:r>
      <w:r w:rsidRPr="00EC20A0">
        <w:rPr>
          <w:spacing w:val="-2"/>
          <w:sz w:val="18"/>
        </w:rPr>
        <w:t xml:space="preserve"> </w:t>
      </w:r>
      <w:r w:rsidRPr="00EC20A0">
        <w:rPr>
          <w:sz w:val="18"/>
        </w:rPr>
        <w:t>end</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3"/>
          <w:sz w:val="18"/>
        </w:rPr>
        <w:t xml:space="preserve"> </w:t>
      </w:r>
      <w:r w:rsidRPr="00EC20A0">
        <w:rPr>
          <w:sz w:val="18"/>
        </w:rPr>
        <w:t>range</w:t>
      </w:r>
      <w:r w:rsidRPr="00EC20A0">
        <w:rPr>
          <w:spacing w:val="-3"/>
          <w:sz w:val="18"/>
        </w:rPr>
        <w:t xml:space="preserve"> </w:t>
      </w:r>
      <w:r w:rsidRPr="00EC20A0">
        <w:rPr>
          <w:sz w:val="18"/>
        </w:rPr>
        <w:t>in</w:t>
      </w:r>
      <w:r w:rsidRPr="00EC20A0">
        <w:rPr>
          <w:spacing w:val="-3"/>
          <w:sz w:val="18"/>
        </w:rPr>
        <w:t xml:space="preserve"> </w:t>
      </w:r>
      <w:r w:rsidRPr="00EC20A0">
        <w:rPr>
          <w:sz w:val="18"/>
        </w:rPr>
        <w:t>Column</w:t>
      </w:r>
      <w:r w:rsidRPr="00EC20A0">
        <w:rPr>
          <w:spacing w:val="-2"/>
          <w:sz w:val="18"/>
        </w:rPr>
        <w:t xml:space="preserve"> 7(c).</w:t>
      </w:r>
    </w:p>
    <w:p w14:paraId="24D62261" w14:textId="77777777" w:rsidR="00245300" w:rsidRPr="00EC20A0" w:rsidRDefault="00F17249">
      <w:pPr>
        <w:pStyle w:val="ListParagraph"/>
        <w:numPr>
          <w:ilvl w:val="1"/>
          <w:numId w:val="58"/>
        </w:numPr>
        <w:tabs>
          <w:tab w:val="left" w:pos="1012"/>
        </w:tabs>
        <w:spacing w:before="0" w:line="207" w:lineRule="exact"/>
        <w:ind w:left="1012" w:hanging="259"/>
        <w:rPr>
          <w:sz w:val="18"/>
        </w:rPr>
      </w:pPr>
      <w:r w:rsidRPr="00EC20A0">
        <w:rPr>
          <w:sz w:val="18"/>
        </w:rPr>
        <w:t>Upper</w:t>
      </w:r>
      <w:r w:rsidRPr="00EC20A0">
        <w:rPr>
          <w:spacing w:val="-5"/>
          <w:sz w:val="18"/>
        </w:rPr>
        <w:t xml:space="preserve"> </w:t>
      </w:r>
      <w:r w:rsidRPr="00EC20A0">
        <w:rPr>
          <w:sz w:val="18"/>
        </w:rPr>
        <w:t>-</w:t>
      </w:r>
      <w:r w:rsidRPr="00EC20A0">
        <w:rPr>
          <w:spacing w:val="-2"/>
          <w:sz w:val="18"/>
        </w:rPr>
        <w:t xml:space="preserve"> </w:t>
      </w:r>
      <w:r w:rsidRPr="00EC20A0">
        <w:rPr>
          <w:sz w:val="18"/>
        </w:rPr>
        <w:t>Enter</w:t>
      </w:r>
      <w:r w:rsidRPr="00EC20A0">
        <w:rPr>
          <w:spacing w:val="-2"/>
          <w:sz w:val="18"/>
        </w:rPr>
        <w:t xml:space="preserve"> </w:t>
      </w:r>
      <w:r w:rsidRPr="00EC20A0">
        <w:rPr>
          <w:sz w:val="18"/>
        </w:rPr>
        <w:t>the</w:t>
      </w:r>
      <w:r w:rsidRPr="00EC20A0">
        <w:rPr>
          <w:spacing w:val="-3"/>
          <w:sz w:val="18"/>
        </w:rPr>
        <w:t xml:space="preserve"> </w:t>
      </w:r>
      <w:r w:rsidRPr="00EC20A0">
        <w:rPr>
          <w:sz w:val="18"/>
        </w:rPr>
        <w:t>single</w:t>
      </w:r>
      <w:r w:rsidRPr="00EC20A0">
        <w:rPr>
          <w:spacing w:val="-3"/>
          <w:sz w:val="18"/>
        </w:rPr>
        <w:t xml:space="preserve"> </w:t>
      </w:r>
      <w:r w:rsidRPr="00EC20A0">
        <w:rPr>
          <w:sz w:val="18"/>
        </w:rPr>
        <w:t>estimate</w:t>
      </w:r>
      <w:r w:rsidRPr="00EC20A0">
        <w:rPr>
          <w:spacing w:val="-3"/>
          <w:sz w:val="18"/>
        </w:rPr>
        <w:t xml:space="preserve"> </w:t>
      </w:r>
      <w:r w:rsidRPr="00EC20A0">
        <w:rPr>
          <w:b/>
          <w:sz w:val="18"/>
          <w:u w:val="single"/>
        </w:rPr>
        <w:t>or</w:t>
      </w:r>
      <w:r w:rsidRPr="00EC20A0">
        <w:rPr>
          <w:b/>
          <w:spacing w:val="-2"/>
          <w:sz w:val="18"/>
        </w:rPr>
        <w:t xml:space="preserve"> </w:t>
      </w:r>
      <w:r w:rsidRPr="00EC20A0">
        <w:rPr>
          <w:sz w:val="18"/>
        </w:rPr>
        <w:t>the</w:t>
      </w:r>
      <w:r w:rsidRPr="00EC20A0">
        <w:rPr>
          <w:spacing w:val="-4"/>
          <w:sz w:val="18"/>
        </w:rPr>
        <w:t xml:space="preserve"> </w:t>
      </w:r>
      <w:r w:rsidRPr="00EC20A0">
        <w:rPr>
          <w:sz w:val="18"/>
        </w:rPr>
        <w:t>upper</w:t>
      </w:r>
      <w:r w:rsidRPr="00EC20A0">
        <w:rPr>
          <w:spacing w:val="-2"/>
          <w:sz w:val="18"/>
        </w:rPr>
        <w:t xml:space="preserve"> </w:t>
      </w:r>
      <w:r w:rsidRPr="00EC20A0">
        <w:rPr>
          <w:sz w:val="18"/>
        </w:rPr>
        <w:t>end</w:t>
      </w:r>
      <w:r w:rsidRPr="00EC20A0">
        <w:rPr>
          <w:spacing w:val="-3"/>
          <w:sz w:val="18"/>
        </w:rPr>
        <w:t xml:space="preserve"> </w:t>
      </w:r>
      <w:r w:rsidRPr="00EC20A0">
        <w:rPr>
          <w:sz w:val="18"/>
        </w:rPr>
        <w:t>of</w:t>
      </w:r>
      <w:r w:rsidRPr="00EC20A0">
        <w:rPr>
          <w:spacing w:val="-2"/>
          <w:sz w:val="18"/>
        </w:rPr>
        <w:t xml:space="preserve"> </w:t>
      </w:r>
      <w:r w:rsidRPr="00EC20A0">
        <w:rPr>
          <w:sz w:val="18"/>
        </w:rPr>
        <w:t>the</w:t>
      </w:r>
      <w:r w:rsidRPr="00EC20A0">
        <w:rPr>
          <w:spacing w:val="-1"/>
          <w:sz w:val="18"/>
        </w:rPr>
        <w:t xml:space="preserve"> </w:t>
      </w:r>
      <w:r w:rsidRPr="00EC20A0">
        <w:rPr>
          <w:sz w:val="18"/>
        </w:rPr>
        <w:t>range</w:t>
      </w:r>
      <w:r w:rsidRPr="00EC20A0">
        <w:rPr>
          <w:spacing w:val="-3"/>
          <w:sz w:val="18"/>
        </w:rPr>
        <w:t xml:space="preserve"> </w:t>
      </w:r>
      <w:r w:rsidRPr="00EC20A0">
        <w:rPr>
          <w:sz w:val="18"/>
        </w:rPr>
        <w:t>of</w:t>
      </w:r>
      <w:r w:rsidRPr="00EC20A0">
        <w:rPr>
          <w:spacing w:val="-2"/>
          <w:sz w:val="18"/>
        </w:rPr>
        <w:t xml:space="preserve"> </w:t>
      </w:r>
      <w:r w:rsidRPr="00EC20A0">
        <w:rPr>
          <w:sz w:val="18"/>
        </w:rPr>
        <w:t>potential</w:t>
      </w:r>
      <w:r w:rsidRPr="00EC20A0">
        <w:rPr>
          <w:spacing w:val="-3"/>
          <w:sz w:val="18"/>
        </w:rPr>
        <w:t xml:space="preserve"> </w:t>
      </w:r>
      <w:r w:rsidRPr="00EC20A0">
        <w:rPr>
          <w:sz w:val="18"/>
        </w:rPr>
        <w:t>loss</w:t>
      </w:r>
      <w:r w:rsidRPr="00EC20A0">
        <w:rPr>
          <w:spacing w:val="-2"/>
          <w:sz w:val="18"/>
        </w:rPr>
        <w:t xml:space="preserve"> </w:t>
      </w:r>
      <w:r w:rsidRPr="00EC20A0">
        <w:rPr>
          <w:sz w:val="18"/>
        </w:rPr>
        <w:t>for</w:t>
      </w:r>
      <w:r w:rsidRPr="00EC20A0">
        <w:rPr>
          <w:spacing w:val="-2"/>
          <w:sz w:val="18"/>
        </w:rPr>
        <w:t xml:space="preserve"> </w:t>
      </w:r>
      <w:r w:rsidRPr="00EC20A0">
        <w:rPr>
          <w:sz w:val="18"/>
        </w:rPr>
        <w:t>probable</w:t>
      </w:r>
      <w:r w:rsidRPr="00EC20A0">
        <w:rPr>
          <w:spacing w:val="-2"/>
          <w:sz w:val="18"/>
        </w:rPr>
        <w:t xml:space="preserve"> </w:t>
      </w:r>
      <w:r w:rsidRPr="00EC20A0">
        <w:rPr>
          <w:sz w:val="18"/>
        </w:rPr>
        <w:t>and</w:t>
      </w:r>
      <w:r w:rsidRPr="00EC20A0">
        <w:rPr>
          <w:spacing w:val="-3"/>
          <w:sz w:val="18"/>
        </w:rPr>
        <w:t xml:space="preserve"> </w:t>
      </w:r>
      <w:r w:rsidRPr="00EC20A0">
        <w:rPr>
          <w:sz w:val="18"/>
        </w:rPr>
        <w:t>reasonably</w:t>
      </w:r>
      <w:r w:rsidRPr="00EC20A0">
        <w:rPr>
          <w:spacing w:val="-2"/>
          <w:sz w:val="18"/>
        </w:rPr>
        <w:t xml:space="preserve"> </w:t>
      </w:r>
      <w:r w:rsidRPr="00EC20A0">
        <w:rPr>
          <w:sz w:val="18"/>
        </w:rPr>
        <w:t>possible</w:t>
      </w:r>
      <w:r w:rsidRPr="00EC20A0">
        <w:rPr>
          <w:spacing w:val="-3"/>
          <w:sz w:val="18"/>
        </w:rPr>
        <w:t xml:space="preserve"> </w:t>
      </w:r>
      <w:r w:rsidRPr="00EC20A0">
        <w:rPr>
          <w:spacing w:val="-2"/>
          <w:sz w:val="18"/>
        </w:rPr>
        <w:t>cases.</w:t>
      </w:r>
    </w:p>
    <w:p w14:paraId="24D62262" w14:textId="77777777" w:rsidR="00245300" w:rsidRPr="00EC20A0" w:rsidRDefault="00F17249">
      <w:pPr>
        <w:pStyle w:val="ListParagraph"/>
        <w:numPr>
          <w:ilvl w:val="1"/>
          <w:numId w:val="58"/>
        </w:numPr>
        <w:tabs>
          <w:tab w:val="left" w:pos="1022"/>
        </w:tabs>
        <w:spacing w:before="1"/>
        <w:ind w:left="1022" w:hanging="269"/>
        <w:rPr>
          <w:sz w:val="18"/>
        </w:rPr>
      </w:pPr>
      <w:r w:rsidRPr="00EC20A0">
        <w:rPr>
          <w:sz w:val="18"/>
        </w:rPr>
        <w:t>Unknown</w:t>
      </w:r>
      <w:r w:rsidRPr="00EC20A0">
        <w:rPr>
          <w:spacing w:val="-5"/>
          <w:sz w:val="18"/>
        </w:rPr>
        <w:t xml:space="preserve"> </w:t>
      </w:r>
      <w:r w:rsidRPr="00EC20A0">
        <w:rPr>
          <w:sz w:val="18"/>
        </w:rPr>
        <w:t>-</w:t>
      </w:r>
      <w:r w:rsidRPr="00EC20A0">
        <w:rPr>
          <w:spacing w:val="-1"/>
          <w:sz w:val="18"/>
        </w:rPr>
        <w:t xml:space="preserve"> </w:t>
      </w:r>
      <w:r w:rsidRPr="00EC20A0">
        <w:rPr>
          <w:sz w:val="18"/>
        </w:rPr>
        <w:t>Enter</w:t>
      </w:r>
      <w:r w:rsidRPr="00EC20A0">
        <w:rPr>
          <w:spacing w:val="-2"/>
          <w:sz w:val="18"/>
        </w:rPr>
        <w:t xml:space="preserve"> </w:t>
      </w:r>
      <w:r w:rsidRPr="00EC20A0">
        <w:rPr>
          <w:sz w:val="18"/>
        </w:rPr>
        <w:t>“U”</w:t>
      </w:r>
      <w:r w:rsidRPr="00EC20A0">
        <w:rPr>
          <w:spacing w:val="-2"/>
          <w:sz w:val="18"/>
        </w:rPr>
        <w:t xml:space="preserve"> </w:t>
      </w:r>
      <w:r w:rsidRPr="00EC20A0">
        <w:rPr>
          <w:sz w:val="18"/>
        </w:rPr>
        <w:t>if</w:t>
      </w:r>
      <w:r w:rsidRPr="00EC20A0">
        <w:rPr>
          <w:spacing w:val="-2"/>
          <w:sz w:val="18"/>
        </w:rPr>
        <w:t xml:space="preserve"> </w:t>
      </w:r>
      <w:r w:rsidRPr="00EC20A0">
        <w:rPr>
          <w:sz w:val="18"/>
        </w:rPr>
        <w:t>estimated</w:t>
      </w:r>
      <w:r w:rsidRPr="00EC20A0">
        <w:rPr>
          <w:spacing w:val="-3"/>
          <w:sz w:val="18"/>
        </w:rPr>
        <w:t xml:space="preserve"> </w:t>
      </w:r>
      <w:r w:rsidRPr="00EC20A0">
        <w:rPr>
          <w:sz w:val="18"/>
        </w:rPr>
        <w:t>amount</w:t>
      </w:r>
      <w:r w:rsidRPr="00EC20A0">
        <w:rPr>
          <w:spacing w:val="-2"/>
          <w:sz w:val="18"/>
        </w:rPr>
        <w:t xml:space="preserve"> </w:t>
      </w:r>
      <w:r w:rsidRPr="00EC20A0">
        <w:rPr>
          <w:sz w:val="18"/>
        </w:rPr>
        <w:t>or</w:t>
      </w:r>
      <w:r w:rsidRPr="00EC20A0">
        <w:rPr>
          <w:spacing w:val="-2"/>
          <w:sz w:val="18"/>
        </w:rPr>
        <w:t xml:space="preserve"> </w:t>
      </w:r>
      <w:r w:rsidRPr="00EC20A0">
        <w:rPr>
          <w:sz w:val="18"/>
        </w:rPr>
        <w:t>range</w:t>
      </w:r>
      <w:r w:rsidRPr="00EC20A0">
        <w:rPr>
          <w:spacing w:val="-3"/>
          <w:sz w:val="18"/>
        </w:rPr>
        <w:t xml:space="preserve"> </w:t>
      </w:r>
      <w:r w:rsidRPr="00EC20A0">
        <w:rPr>
          <w:sz w:val="18"/>
        </w:rPr>
        <w:t>of</w:t>
      </w:r>
      <w:r w:rsidRPr="00EC20A0">
        <w:rPr>
          <w:spacing w:val="-2"/>
          <w:sz w:val="18"/>
        </w:rPr>
        <w:t xml:space="preserve"> </w:t>
      </w:r>
      <w:r w:rsidRPr="00EC20A0">
        <w:rPr>
          <w:sz w:val="18"/>
        </w:rPr>
        <w:t>potential</w:t>
      </w:r>
      <w:r w:rsidRPr="00EC20A0">
        <w:rPr>
          <w:spacing w:val="-2"/>
          <w:sz w:val="18"/>
        </w:rPr>
        <w:t xml:space="preserve"> </w:t>
      </w:r>
      <w:r w:rsidRPr="00EC20A0">
        <w:rPr>
          <w:sz w:val="18"/>
        </w:rPr>
        <w:t>loss</w:t>
      </w:r>
      <w:r w:rsidRPr="00EC20A0">
        <w:rPr>
          <w:spacing w:val="-2"/>
          <w:sz w:val="18"/>
        </w:rPr>
        <w:t xml:space="preserve"> </w:t>
      </w:r>
      <w:r w:rsidRPr="00EC20A0">
        <w:rPr>
          <w:sz w:val="18"/>
        </w:rPr>
        <w:t>cannot</w:t>
      </w:r>
      <w:r w:rsidRPr="00EC20A0">
        <w:rPr>
          <w:spacing w:val="-2"/>
          <w:sz w:val="18"/>
        </w:rPr>
        <w:t xml:space="preserve"> </w:t>
      </w:r>
      <w:r w:rsidRPr="00EC20A0">
        <w:rPr>
          <w:sz w:val="18"/>
        </w:rPr>
        <w:t>be</w:t>
      </w:r>
      <w:r w:rsidRPr="00EC20A0">
        <w:rPr>
          <w:spacing w:val="-3"/>
          <w:sz w:val="18"/>
        </w:rPr>
        <w:t xml:space="preserve"> </w:t>
      </w:r>
      <w:r w:rsidRPr="00EC20A0">
        <w:rPr>
          <w:spacing w:val="-2"/>
          <w:sz w:val="18"/>
        </w:rPr>
        <w:t>determined.</w:t>
      </w:r>
    </w:p>
    <w:p w14:paraId="24D62263" w14:textId="77777777" w:rsidR="00245300" w:rsidRPr="00EC20A0" w:rsidRDefault="00F17249">
      <w:pPr>
        <w:pStyle w:val="ListParagraph"/>
        <w:numPr>
          <w:ilvl w:val="0"/>
          <w:numId w:val="58"/>
        </w:numPr>
        <w:tabs>
          <w:tab w:val="left" w:pos="495"/>
          <w:tab w:val="left" w:pos="753"/>
        </w:tabs>
        <w:spacing w:before="189"/>
        <w:ind w:right="1186" w:hanging="526"/>
        <w:rPr>
          <w:sz w:val="18"/>
        </w:rPr>
      </w:pPr>
      <w:r w:rsidRPr="00EC20A0">
        <w:rPr>
          <w:sz w:val="18"/>
        </w:rPr>
        <w:t xml:space="preserve">Is assessment of case(s) on the management schedule consistent with the assessment of case(s) by general counsel in supporting the interim or updated legal counsel response? - Indicate whether the likelihood of loss (Column 6) </w:t>
      </w:r>
      <w:r w:rsidRPr="00EC20A0">
        <w:rPr>
          <w:b/>
          <w:sz w:val="18"/>
          <w:u w:val="single"/>
        </w:rPr>
        <w:t>and</w:t>
      </w:r>
      <w:r w:rsidRPr="00EC20A0">
        <w:rPr>
          <w:b/>
          <w:sz w:val="18"/>
        </w:rPr>
        <w:t xml:space="preserve"> </w:t>
      </w:r>
      <w:r w:rsidRPr="00EC20A0">
        <w:rPr>
          <w:sz w:val="18"/>
        </w:rPr>
        <w:t>estimated amount or range</w:t>
      </w:r>
      <w:r w:rsidRPr="00EC20A0">
        <w:rPr>
          <w:spacing w:val="-2"/>
          <w:sz w:val="18"/>
        </w:rPr>
        <w:t xml:space="preserve"> </w:t>
      </w:r>
      <w:r w:rsidRPr="00EC20A0">
        <w:rPr>
          <w:sz w:val="18"/>
        </w:rPr>
        <w:t>of</w:t>
      </w:r>
      <w:r w:rsidRPr="00EC20A0">
        <w:rPr>
          <w:spacing w:val="-1"/>
          <w:sz w:val="18"/>
        </w:rPr>
        <w:t xml:space="preserve"> </w:t>
      </w:r>
      <w:r w:rsidRPr="00EC20A0">
        <w:rPr>
          <w:sz w:val="18"/>
        </w:rPr>
        <w:t>potential</w:t>
      </w:r>
      <w:r w:rsidRPr="00EC20A0">
        <w:rPr>
          <w:spacing w:val="-1"/>
          <w:sz w:val="18"/>
        </w:rPr>
        <w:t xml:space="preserve"> </w:t>
      </w:r>
      <w:r w:rsidRPr="00EC20A0">
        <w:rPr>
          <w:sz w:val="18"/>
        </w:rPr>
        <w:t>loss</w:t>
      </w:r>
      <w:r w:rsidRPr="00EC20A0">
        <w:rPr>
          <w:spacing w:val="-1"/>
          <w:sz w:val="18"/>
        </w:rPr>
        <w:t xml:space="preserve"> </w:t>
      </w:r>
      <w:r w:rsidRPr="00EC20A0">
        <w:rPr>
          <w:sz w:val="18"/>
        </w:rPr>
        <w:t>(Column</w:t>
      </w:r>
      <w:r w:rsidRPr="00EC20A0">
        <w:rPr>
          <w:spacing w:val="-2"/>
          <w:sz w:val="18"/>
        </w:rPr>
        <w:t xml:space="preserve"> </w:t>
      </w:r>
      <w:r w:rsidRPr="00EC20A0">
        <w:rPr>
          <w:sz w:val="18"/>
        </w:rPr>
        <w:t>7)</w:t>
      </w:r>
      <w:r w:rsidRPr="00EC20A0">
        <w:rPr>
          <w:spacing w:val="-1"/>
          <w:sz w:val="18"/>
        </w:rPr>
        <w:t xml:space="preserve"> </w:t>
      </w:r>
      <w:r w:rsidRPr="00EC20A0">
        <w:rPr>
          <w:sz w:val="18"/>
        </w:rPr>
        <w:t>for</w:t>
      </w:r>
      <w:r w:rsidRPr="00EC20A0">
        <w:rPr>
          <w:spacing w:val="-1"/>
          <w:sz w:val="18"/>
        </w:rPr>
        <w:t xml:space="preserve"> </w:t>
      </w:r>
      <w:r w:rsidRPr="00EC20A0">
        <w:rPr>
          <w:sz w:val="18"/>
        </w:rPr>
        <w:t>the</w:t>
      </w:r>
      <w:r w:rsidRPr="00EC20A0">
        <w:rPr>
          <w:spacing w:val="-2"/>
          <w:sz w:val="18"/>
        </w:rPr>
        <w:t xml:space="preserve"> </w:t>
      </w:r>
      <w:r w:rsidRPr="00EC20A0">
        <w:rPr>
          <w:sz w:val="18"/>
        </w:rPr>
        <w:t>case(s)</w:t>
      </w:r>
      <w:r w:rsidRPr="00EC20A0">
        <w:rPr>
          <w:spacing w:val="-1"/>
          <w:sz w:val="18"/>
        </w:rPr>
        <w:t xml:space="preserve"> </w:t>
      </w:r>
      <w:r w:rsidRPr="00EC20A0">
        <w:rPr>
          <w:sz w:val="18"/>
        </w:rPr>
        <w:t>is</w:t>
      </w:r>
      <w:r w:rsidRPr="00EC20A0">
        <w:rPr>
          <w:spacing w:val="-1"/>
          <w:sz w:val="18"/>
        </w:rPr>
        <w:t xml:space="preserve"> </w:t>
      </w:r>
      <w:r w:rsidRPr="00EC20A0">
        <w:rPr>
          <w:sz w:val="18"/>
        </w:rPr>
        <w:t>consistent</w:t>
      </w:r>
      <w:r w:rsidRPr="00EC20A0">
        <w:rPr>
          <w:spacing w:val="-1"/>
          <w:sz w:val="18"/>
        </w:rPr>
        <w:t xml:space="preserve"> </w:t>
      </w:r>
      <w:r w:rsidRPr="00EC20A0">
        <w:rPr>
          <w:sz w:val="18"/>
        </w:rPr>
        <w:t>with</w:t>
      </w:r>
      <w:r w:rsidRPr="00EC20A0">
        <w:rPr>
          <w:spacing w:val="-2"/>
          <w:sz w:val="18"/>
        </w:rPr>
        <w:t xml:space="preserve"> </w:t>
      </w:r>
      <w:r w:rsidRPr="00EC20A0">
        <w:rPr>
          <w:sz w:val="18"/>
        </w:rPr>
        <w:t>the</w:t>
      </w:r>
      <w:r w:rsidRPr="00EC20A0">
        <w:rPr>
          <w:spacing w:val="-2"/>
          <w:sz w:val="18"/>
        </w:rPr>
        <w:t xml:space="preserve"> </w:t>
      </w:r>
      <w:r w:rsidRPr="00EC20A0">
        <w:rPr>
          <w:sz w:val="18"/>
        </w:rPr>
        <w:t>supporting</w:t>
      </w:r>
      <w:r w:rsidRPr="00EC20A0">
        <w:rPr>
          <w:spacing w:val="-2"/>
          <w:sz w:val="18"/>
        </w:rPr>
        <w:t xml:space="preserve"> </w:t>
      </w:r>
      <w:r w:rsidRPr="00EC20A0">
        <w:rPr>
          <w:sz w:val="18"/>
        </w:rPr>
        <w:t>interim or</w:t>
      </w:r>
      <w:r w:rsidRPr="00EC20A0">
        <w:rPr>
          <w:spacing w:val="-1"/>
          <w:sz w:val="18"/>
        </w:rPr>
        <w:t xml:space="preserve"> </w:t>
      </w:r>
      <w:r w:rsidRPr="00EC20A0">
        <w:rPr>
          <w:sz w:val="18"/>
        </w:rPr>
        <w:t>updated</w:t>
      </w:r>
      <w:r w:rsidRPr="00EC20A0">
        <w:rPr>
          <w:spacing w:val="-2"/>
          <w:sz w:val="18"/>
        </w:rPr>
        <w:t xml:space="preserve"> </w:t>
      </w:r>
      <w:r w:rsidRPr="00EC20A0">
        <w:rPr>
          <w:sz w:val="18"/>
        </w:rPr>
        <w:t>legal</w:t>
      </w:r>
      <w:r w:rsidRPr="00EC20A0">
        <w:rPr>
          <w:spacing w:val="-1"/>
          <w:sz w:val="18"/>
        </w:rPr>
        <w:t xml:space="preserve"> </w:t>
      </w:r>
      <w:r w:rsidRPr="00EC20A0">
        <w:rPr>
          <w:sz w:val="18"/>
        </w:rPr>
        <w:t>counsel response</w:t>
      </w:r>
      <w:r w:rsidRPr="00EC20A0">
        <w:rPr>
          <w:spacing w:val="-1"/>
          <w:sz w:val="18"/>
        </w:rPr>
        <w:t xml:space="preserve"> </w:t>
      </w:r>
      <w:r w:rsidRPr="00EC20A0">
        <w:rPr>
          <w:sz w:val="18"/>
        </w:rPr>
        <w:t>prepared by</w:t>
      </w:r>
      <w:r w:rsidRPr="00EC20A0">
        <w:rPr>
          <w:spacing w:val="-1"/>
          <w:sz w:val="18"/>
        </w:rPr>
        <w:t xml:space="preserve"> </w:t>
      </w:r>
      <w:r w:rsidRPr="00EC20A0">
        <w:rPr>
          <w:sz w:val="18"/>
        </w:rPr>
        <w:t>the</w:t>
      </w:r>
      <w:r w:rsidRPr="00EC20A0">
        <w:rPr>
          <w:spacing w:val="-2"/>
          <w:sz w:val="18"/>
        </w:rPr>
        <w:t xml:space="preserve"> </w:t>
      </w:r>
      <w:r w:rsidRPr="00EC20A0">
        <w:rPr>
          <w:sz w:val="18"/>
        </w:rPr>
        <w:t>entity’s general</w:t>
      </w:r>
      <w:r w:rsidRPr="00EC20A0">
        <w:rPr>
          <w:spacing w:val="-1"/>
          <w:sz w:val="18"/>
        </w:rPr>
        <w:t xml:space="preserve"> </w:t>
      </w:r>
      <w:r w:rsidRPr="00EC20A0">
        <w:rPr>
          <w:sz w:val="18"/>
        </w:rPr>
        <w:t>counsel</w:t>
      </w:r>
      <w:r w:rsidRPr="00EC20A0">
        <w:rPr>
          <w:spacing w:val="-1"/>
          <w:sz w:val="18"/>
        </w:rPr>
        <w:t xml:space="preserve"> </w:t>
      </w:r>
      <w:r w:rsidRPr="00EC20A0">
        <w:rPr>
          <w:sz w:val="18"/>
        </w:rPr>
        <w:t>(i.e.,</w:t>
      </w:r>
      <w:r w:rsidRPr="00EC20A0">
        <w:rPr>
          <w:spacing w:val="-1"/>
          <w:sz w:val="18"/>
        </w:rPr>
        <w:t xml:space="preserve"> </w:t>
      </w:r>
      <w:r w:rsidRPr="00EC20A0">
        <w:rPr>
          <w:sz w:val="18"/>
        </w:rPr>
        <w:t>responses</w:t>
      </w:r>
      <w:r w:rsidRPr="00EC20A0">
        <w:rPr>
          <w:spacing w:val="-1"/>
          <w:sz w:val="18"/>
        </w:rPr>
        <w:t xml:space="preserve"> </w:t>
      </w:r>
      <w:r w:rsidRPr="00EC20A0">
        <w:rPr>
          <w:sz w:val="18"/>
        </w:rPr>
        <w:t>to</w:t>
      </w:r>
      <w:r w:rsidRPr="00EC20A0">
        <w:rPr>
          <w:spacing w:val="-2"/>
          <w:sz w:val="18"/>
        </w:rPr>
        <w:t xml:space="preserve"> </w:t>
      </w:r>
      <w:r w:rsidRPr="00EC20A0">
        <w:rPr>
          <w:sz w:val="18"/>
        </w:rPr>
        <w:t>fields</w:t>
      </w:r>
      <w:r w:rsidRPr="00EC20A0">
        <w:rPr>
          <w:spacing w:val="-1"/>
          <w:sz w:val="18"/>
        </w:rPr>
        <w:t xml:space="preserve"> </w:t>
      </w:r>
      <w:r w:rsidRPr="00EC20A0">
        <w:rPr>
          <w:sz w:val="18"/>
        </w:rPr>
        <w:t>5-6</w:t>
      </w:r>
      <w:r w:rsidRPr="00EC20A0">
        <w:rPr>
          <w:spacing w:val="-2"/>
          <w:sz w:val="18"/>
        </w:rPr>
        <w:t xml:space="preserve"> </w:t>
      </w:r>
      <w:r w:rsidRPr="00EC20A0">
        <w:rPr>
          <w:sz w:val="18"/>
        </w:rPr>
        <w:t>on</w:t>
      </w:r>
      <w:r w:rsidRPr="00EC20A0">
        <w:rPr>
          <w:spacing w:val="-1"/>
          <w:sz w:val="18"/>
        </w:rPr>
        <w:t xml:space="preserve"> </w:t>
      </w:r>
      <w:r w:rsidRPr="00EC20A0">
        <w:rPr>
          <w:sz w:val="18"/>
        </w:rPr>
        <w:t>DOJ’s</w:t>
      </w:r>
      <w:r w:rsidRPr="00EC20A0">
        <w:rPr>
          <w:spacing w:val="-1"/>
          <w:sz w:val="18"/>
        </w:rPr>
        <w:t xml:space="preserve"> </w:t>
      </w:r>
      <w:r w:rsidRPr="00EC20A0">
        <w:rPr>
          <w:sz w:val="18"/>
        </w:rPr>
        <w:t>“Pending</w:t>
      </w:r>
      <w:r w:rsidRPr="00EC20A0">
        <w:rPr>
          <w:spacing w:val="-1"/>
          <w:sz w:val="18"/>
        </w:rPr>
        <w:t xml:space="preserve"> </w:t>
      </w:r>
      <w:r w:rsidRPr="00EC20A0">
        <w:rPr>
          <w:sz w:val="18"/>
        </w:rPr>
        <w:t>or</w:t>
      </w:r>
      <w:r w:rsidRPr="00EC20A0">
        <w:rPr>
          <w:spacing w:val="-1"/>
          <w:sz w:val="18"/>
        </w:rPr>
        <w:t xml:space="preserve"> </w:t>
      </w:r>
      <w:r w:rsidRPr="00EC20A0">
        <w:rPr>
          <w:sz w:val="18"/>
        </w:rPr>
        <w:t>Threatened</w:t>
      </w:r>
      <w:r w:rsidRPr="00EC20A0">
        <w:rPr>
          <w:spacing w:val="-2"/>
          <w:sz w:val="18"/>
        </w:rPr>
        <w:t xml:space="preserve"> </w:t>
      </w:r>
      <w:r w:rsidRPr="00EC20A0">
        <w:rPr>
          <w:sz w:val="18"/>
        </w:rPr>
        <w:t>Litigation”</w:t>
      </w:r>
      <w:r w:rsidRPr="00EC20A0">
        <w:rPr>
          <w:spacing w:val="-1"/>
          <w:sz w:val="18"/>
        </w:rPr>
        <w:t xml:space="preserve"> </w:t>
      </w:r>
      <w:r w:rsidRPr="00EC20A0">
        <w:rPr>
          <w:sz w:val="18"/>
        </w:rPr>
        <w:t>form</w:t>
      </w:r>
      <w:r w:rsidRPr="00EC20A0">
        <w:rPr>
          <w:spacing w:val="-1"/>
          <w:sz w:val="18"/>
        </w:rPr>
        <w:t xml:space="preserve"> </w:t>
      </w:r>
      <w:r w:rsidRPr="00EC20A0">
        <w:rPr>
          <w:sz w:val="18"/>
        </w:rPr>
        <w:t>or</w:t>
      </w:r>
      <w:r w:rsidRPr="00EC20A0">
        <w:rPr>
          <w:spacing w:val="-1"/>
          <w:sz w:val="18"/>
        </w:rPr>
        <w:t xml:space="preserve"> </w:t>
      </w:r>
      <w:r w:rsidRPr="00EC20A0">
        <w:rPr>
          <w:sz w:val="18"/>
        </w:rPr>
        <w:t>to</w:t>
      </w:r>
      <w:r w:rsidRPr="00EC20A0">
        <w:rPr>
          <w:spacing w:val="-2"/>
          <w:sz w:val="18"/>
        </w:rPr>
        <w:t xml:space="preserve"> </w:t>
      </w:r>
      <w:r w:rsidRPr="00EC20A0">
        <w:rPr>
          <w:sz w:val="18"/>
        </w:rPr>
        <w:t>fields 4-5 on DOJ’s “Unasserted Claims and Assessments” form) by entering “Yes – Interim legal counsel response,” “Yes – Updated legal counsel response,” or “No.”</w:t>
      </w:r>
    </w:p>
    <w:p w14:paraId="24D62264" w14:textId="77777777" w:rsidR="00245300" w:rsidRPr="00EC20A0" w:rsidRDefault="00F17249">
      <w:pPr>
        <w:pStyle w:val="ListParagraph"/>
        <w:numPr>
          <w:ilvl w:val="0"/>
          <w:numId w:val="58"/>
        </w:numPr>
        <w:tabs>
          <w:tab w:val="left" w:pos="495"/>
          <w:tab w:val="left" w:pos="753"/>
        </w:tabs>
        <w:spacing w:before="141"/>
        <w:ind w:right="1182" w:hanging="526"/>
        <w:rPr>
          <w:sz w:val="18"/>
        </w:rPr>
      </w:pPr>
      <w:r w:rsidRPr="00EC20A0">
        <w:rPr>
          <w:sz w:val="18"/>
        </w:rPr>
        <w:t>Provide</w:t>
      </w:r>
      <w:r w:rsidRPr="00EC20A0">
        <w:rPr>
          <w:spacing w:val="-2"/>
          <w:sz w:val="18"/>
        </w:rPr>
        <w:t xml:space="preserve"> </w:t>
      </w:r>
      <w:r w:rsidRPr="00EC20A0">
        <w:rPr>
          <w:sz w:val="18"/>
        </w:rPr>
        <w:t>a</w:t>
      </w:r>
      <w:r w:rsidRPr="00EC20A0">
        <w:rPr>
          <w:spacing w:val="-2"/>
          <w:sz w:val="18"/>
        </w:rPr>
        <w:t xml:space="preserve"> </w:t>
      </w:r>
      <w:r w:rsidRPr="00EC20A0">
        <w:rPr>
          <w:sz w:val="18"/>
        </w:rPr>
        <w:t>brief</w:t>
      </w:r>
      <w:r w:rsidRPr="00EC20A0">
        <w:rPr>
          <w:spacing w:val="-1"/>
          <w:sz w:val="18"/>
        </w:rPr>
        <w:t xml:space="preserve"> </w:t>
      </w:r>
      <w:r w:rsidRPr="00EC20A0">
        <w:rPr>
          <w:sz w:val="18"/>
        </w:rPr>
        <w:t>description of</w:t>
      </w:r>
      <w:r w:rsidRPr="00EC20A0">
        <w:rPr>
          <w:spacing w:val="-1"/>
          <w:sz w:val="18"/>
        </w:rPr>
        <w:t xml:space="preserve"> </w:t>
      </w:r>
      <w:r w:rsidRPr="00EC20A0">
        <w:rPr>
          <w:sz w:val="18"/>
        </w:rPr>
        <w:t>inconsistencies</w:t>
      </w:r>
      <w:r w:rsidRPr="00EC20A0">
        <w:rPr>
          <w:spacing w:val="-1"/>
          <w:sz w:val="18"/>
        </w:rPr>
        <w:t xml:space="preserve"> </w:t>
      </w:r>
      <w:r w:rsidRPr="00EC20A0">
        <w:rPr>
          <w:sz w:val="18"/>
        </w:rPr>
        <w:t>noted</w:t>
      </w:r>
      <w:r w:rsidRPr="00EC20A0">
        <w:rPr>
          <w:spacing w:val="-2"/>
          <w:sz w:val="18"/>
        </w:rPr>
        <w:t xml:space="preserve"> </w:t>
      </w:r>
      <w:r w:rsidRPr="00EC20A0">
        <w:rPr>
          <w:sz w:val="18"/>
        </w:rPr>
        <w:t>in</w:t>
      </w:r>
      <w:r w:rsidRPr="00EC20A0">
        <w:rPr>
          <w:spacing w:val="-2"/>
          <w:sz w:val="18"/>
        </w:rPr>
        <w:t xml:space="preserve"> </w:t>
      </w:r>
      <w:r w:rsidRPr="00EC20A0">
        <w:rPr>
          <w:sz w:val="18"/>
        </w:rPr>
        <w:t>column</w:t>
      </w:r>
      <w:r w:rsidRPr="00EC20A0">
        <w:rPr>
          <w:spacing w:val="-2"/>
          <w:sz w:val="18"/>
        </w:rPr>
        <w:t xml:space="preserve"> </w:t>
      </w:r>
      <w:r w:rsidRPr="00EC20A0">
        <w:rPr>
          <w:sz w:val="18"/>
        </w:rPr>
        <w:t>8.</w:t>
      </w:r>
      <w:r w:rsidRPr="00EC20A0">
        <w:rPr>
          <w:spacing w:val="-1"/>
          <w:sz w:val="18"/>
        </w:rPr>
        <w:t xml:space="preserve"> </w:t>
      </w:r>
      <w:r w:rsidRPr="00EC20A0">
        <w:rPr>
          <w:sz w:val="18"/>
        </w:rPr>
        <w:t>-</w:t>
      </w:r>
      <w:r w:rsidRPr="00EC20A0">
        <w:rPr>
          <w:spacing w:val="-1"/>
          <w:sz w:val="18"/>
        </w:rPr>
        <w:t xml:space="preserve"> </w:t>
      </w:r>
      <w:r w:rsidRPr="00EC20A0">
        <w:rPr>
          <w:sz w:val="18"/>
        </w:rPr>
        <w:t>If</w:t>
      </w:r>
      <w:r w:rsidRPr="00EC20A0">
        <w:rPr>
          <w:spacing w:val="-1"/>
          <w:sz w:val="18"/>
        </w:rPr>
        <w:t xml:space="preserve"> </w:t>
      </w:r>
      <w:r w:rsidRPr="00EC20A0">
        <w:rPr>
          <w:sz w:val="18"/>
        </w:rPr>
        <w:t>entity</w:t>
      </w:r>
      <w:r w:rsidRPr="00EC20A0">
        <w:rPr>
          <w:spacing w:val="-1"/>
          <w:sz w:val="18"/>
        </w:rPr>
        <w:t xml:space="preserve"> </w:t>
      </w:r>
      <w:r w:rsidRPr="00EC20A0">
        <w:rPr>
          <w:sz w:val="18"/>
        </w:rPr>
        <w:t>management’s</w:t>
      </w:r>
      <w:r w:rsidRPr="00EC20A0">
        <w:rPr>
          <w:spacing w:val="-1"/>
          <w:sz w:val="18"/>
        </w:rPr>
        <w:t xml:space="preserve"> </w:t>
      </w:r>
      <w:r w:rsidRPr="00EC20A0">
        <w:rPr>
          <w:sz w:val="18"/>
        </w:rPr>
        <w:t>assessment</w:t>
      </w:r>
      <w:r w:rsidRPr="00EC20A0">
        <w:rPr>
          <w:spacing w:val="-1"/>
          <w:sz w:val="18"/>
        </w:rPr>
        <w:t xml:space="preserve"> </w:t>
      </w:r>
      <w:r w:rsidRPr="00EC20A0">
        <w:rPr>
          <w:sz w:val="18"/>
        </w:rPr>
        <w:t>of</w:t>
      </w:r>
      <w:r w:rsidRPr="00EC20A0">
        <w:rPr>
          <w:spacing w:val="-1"/>
          <w:sz w:val="18"/>
        </w:rPr>
        <w:t xml:space="preserve"> </w:t>
      </w:r>
      <w:r w:rsidRPr="00EC20A0">
        <w:rPr>
          <w:sz w:val="18"/>
        </w:rPr>
        <w:t>likelihood</w:t>
      </w:r>
      <w:r w:rsidRPr="00EC20A0">
        <w:rPr>
          <w:spacing w:val="-1"/>
          <w:sz w:val="18"/>
        </w:rPr>
        <w:t xml:space="preserve"> </w:t>
      </w:r>
      <w:r w:rsidRPr="00EC20A0">
        <w:rPr>
          <w:sz w:val="18"/>
        </w:rPr>
        <w:t>of loss</w:t>
      </w:r>
      <w:r w:rsidRPr="00EC20A0">
        <w:rPr>
          <w:spacing w:val="-1"/>
          <w:sz w:val="18"/>
        </w:rPr>
        <w:t xml:space="preserve"> </w:t>
      </w:r>
      <w:r w:rsidRPr="00EC20A0">
        <w:rPr>
          <w:sz w:val="18"/>
        </w:rPr>
        <w:t>(Column</w:t>
      </w:r>
      <w:r w:rsidRPr="00EC20A0">
        <w:rPr>
          <w:spacing w:val="-2"/>
          <w:sz w:val="18"/>
        </w:rPr>
        <w:t xml:space="preserve"> </w:t>
      </w:r>
      <w:r w:rsidRPr="00EC20A0">
        <w:rPr>
          <w:sz w:val="18"/>
        </w:rPr>
        <w:t>6)</w:t>
      </w:r>
      <w:r w:rsidRPr="00EC20A0">
        <w:rPr>
          <w:spacing w:val="-1"/>
          <w:sz w:val="18"/>
        </w:rPr>
        <w:t xml:space="preserve"> </w:t>
      </w:r>
      <w:r w:rsidRPr="00EC20A0">
        <w:rPr>
          <w:b/>
          <w:sz w:val="18"/>
          <w:u w:val="single"/>
        </w:rPr>
        <w:t>and</w:t>
      </w:r>
      <w:r w:rsidRPr="00EC20A0">
        <w:rPr>
          <w:b/>
          <w:spacing w:val="-1"/>
          <w:sz w:val="18"/>
        </w:rPr>
        <w:t xml:space="preserve"> </w:t>
      </w:r>
      <w:r w:rsidRPr="00EC20A0">
        <w:rPr>
          <w:sz w:val="18"/>
        </w:rPr>
        <w:t>estimated</w:t>
      </w:r>
      <w:r w:rsidRPr="00EC20A0">
        <w:rPr>
          <w:spacing w:val="-2"/>
          <w:sz w:val="18"/>
        </w:rPr>
        <w:t xml:space="preserve"> </w:t>
      </w:r>
      <w:r w:rsidRPr="00EC20A0">
        <w:rPr>
          <w:sz w:val="18"/>
        </w:rPr>
        <w:t>amount</w:t>
      </w:r>
      <w:r w:rsidRPr="00EC20A0">
        <w:rPr>
          <w:spacing w:val="-1"/>
          <w:sz w:val="18"/>
        </w:rPr>
        <w:t xml:space="preserve"> </w:t>
      </w:r>
      <w:r w:rsidRPr="00EC20A0">
        <w:rPr>
          <w:sz w:val="18"/>
        </w:rPr>
        <w:t>or</w:t>
      </w:r>
      <w:r w:rsidRPr="00EC20A0">
        <w:rPr>
          <w:spacing w:val="-1"/>
          <w:sz w:val="18"/>
        </w:rPr>
        <w:t xml:space="preserve"> </w:t>
      </w:r>
      <w:r w:rsidRPr="00EC20A0">
        <w:rPr>
          <w:sz w:val="18"/>
        </w:rPr>
        <w:t>range</w:t>
      </w:r>
      <w:r w:rsidRPr="00EC20A0">
        <w:rPr>
          <w:spacing w:val="-2"/>
          <w:sz w:val="18"/>
        </w:rPr>
        <w:t xml:space="preserve"> </w:t>
      </w:r>
      <w:r w:rsidRPr="00EC20A0">
        <w:rPr>
          <w:sz w:val="18"/>
        </w:rPr>
        <w:t>of</w:t>
      </w:r>
      <w:r w:rsidRPr="00EC20A0">
        <w:rPr>
          <w:spacing w:val="-1"/>
          <w:sz w:val="18"/>
        </w:rPr>
        <w:t xml:space="preserve"> </w:t>
      </w:r>
      <w:r w:rsidRPr="00EC20A0">
        <w:rPr>
          <w:sz w:val="18"/>
        </w:rPr>
        <w:t>potential</w:t>
      </w:r>
      <w:r w:rsidRPr="00EC20A0">
        <w:rPr>
          <w:spacing w:val="-1"/>
          <w:sz w:val="18"/>
        </w:rPr>
        <w:t xml:space="preserve"> </w:t>
      </w:r>
      <w:r w:rsidRPr="00EC20A0">
        <w:rPr>
          <w:sz w:val="18"/>
        </w:rPr>
        <w:t>loss</w:t>
      </w:r>
      <w:r w:rsidRPr="00EC20A0">
        <w:rPr>
          <w:spacing w:val="-1"/>
          <w:sz w:val="18"/>
        </w:rPr>
        <w:t xml:space="preserve"> </w:t>
      </w:r>
      <w:r w:rsidRPr="00EC20A0">
        <w:rPr>
          <w:sz w:val="18"/>
        </w:rPr>
        <w:t>(Column 7)</w:t>
      </w:r>
      <w:r w:rsidRPr="00EC20A0">
        <w:rPr>
          <w:spacing w:val="-1"/>
          <w:sz w:val="18"/>
        </w:rPr>
        <w:t xml:space="preserve"> </w:t>
      </w:r>
      <w:r w:rsidRPr="00EC20A0">
        <w:rPr>
          <w:sz w:val="18"/>
        </w:rPr>
        <w:t>differs</w:t>
      </w:r>
      <w:r w:rsidRPr="00EC20A0">
        <w:rPr>
          <w:spacing w:val="-1"/>
          <w:sz w:val="18"/>
        </w:rPr>
        <w:t xml:space="preserve"> </w:t>
      </w:r>
      <w:r w:rsidRPr="00EC20A0">
        <w:rPr>
          <w:sz w:val="18"/>
        </w:rPr>
        <w:t>from</w:t>
      </w:r>
      <w:r w:rsidRPr="00EC20A0">
        <w:rPr>
          <w:spacing w:val="-1"/>
          <w:sz w:val="18"/>
        </w:rPr>
        <w:t xml:space="preserve"> </w:t>
      </w:r>
      <w:r w:rsidRPr="00EC20A0">
        <w:rPr>
          <w:sz w:val="18"/>
        </w:rPr>
        <w:t>that</w:t>
      </w:r>
      <w:r w:rsidRPr="00EC20A0">
        <w:rPr>
          <w:spacing w:val="-1"/>
          <w:sz w:val="18"/>
        </w:rPr>
        <w:t xml:space="preserve"> </w:t>
      </w:r>
      <w:r w:rsidRPr="00EC20A0">
        <w:rPr>
          <w:sz w:val="18"/>
        </w:rPr>
        <w:t>of the</w:t>
      </w:r>
      <w:r w:rsidRPr="00EC20A0">
        <w:rPr>
          <w:spacing w:val="-2"/>
          <w:sz w:val="18"/>
        </w:rPr>
        <w:t xml:space="preserve"> </w:t>
      </w:r>
      <w:r w:rsidRPr="00EC20A0">
        <w:rPr>
          <w:sz w:val="18"/>
        </w:rPr>
        <w:t>entity’s</w:t>
      </w:r>
      <w:r w:rsidRPr="00EC20A0">
        <w:rPr>
          <w:spacing w:val="-1"/>
          <w:sz w:val="18"/>
        </w:rPr>
        <w:t xml:space="preserve"> </w:t>
      </w:r>
      <w:r w:rsidRPr="00EC20A0">
        <w:rPr>
          <w:sz w:val="18"/>
        </w:rPr>
        <w:t>general</w:t>
      </w:r>
      <w:r w:rsidRPr="00EC20A0">
        <w:rPr>
          <w:spacing w:val="-1"/>
          <w:sz w:val="18"/>
        </w:rPr>
        <w:t xml:space="preserve"> </w:t>
      </w:r>
      <w:r w:rsidRPr="00EC20A0">
        <w:rPr>
          <w:sz w:val="18"/>
        </w:rPr>
        <w:t>counsel’s</w:t>
      </w:r>
      <w:r w:rsidRPr="00EC20A0">
        <w:rPr>
          <w:spacing w:val="-1"/>
          <w:sz w:val="18"/>
        </w:rPr>
        <w:t xml:space="preserve"> </w:t>
      </w:r>
      <w:r w:rsidRPr="00EC20A0">
        <w:rPr>
          <w:sz w:val="18"/>
        </w:rPr>
        <w:t>(i.e.,</w:t>
      </w:r>
      <w:r w:rsidRPr="00EC20A0">
        <w:rPr>
          <w:spacing w:val="-1"/>
          <w:sz w:val="18"/>
        </w:rPr>
        <w:t xml:space="preserve"> </w:t>
      </w:r>
      <w:r w:rsidRPr="00EC20A0">
        <w:rPr>
          <w:sz w:val="18"/>
        </w:rPr>
        <w:t xml:space="preserve">responses to fields 5-6 on DOJ’s “Pending or Threatened Litigation” form or to fields 4-5 on </w:t>
      </w:r>
      <w:r w:rsidRPr="00EC20A0">
        <w:rPr>
          <w:sz w:val="18"/>
        </w:rPr>
        <w:t>DOJ's "Unasserted Claims and Assessments" form), provide a brief description of and explanation for the inconsistency.</w:t>
      </w:r>
    </w:p>
    <w:p w14:paraId="24D62265" w14:textId="77777777" w:rsidR="00245300" w:rsidRPr="00EC20A0" w:rsidRDefault="00F17249">
      <w:pPr>
        <w:pStyle w:val="ListParagraph"/>
        <w:numPr>
          <w:ilvl w:val="0"/>
          <w:numId w:val="58"/>
        </w:numPr>
        <w:tabs>
          <w:tab w:val="left" w:pos="595"/>
          <w:tab w:val="left" w:pos="753"/>
        </w:tabs>
        <w:spacing w:before="206"/>
        <w:ind w:right="1050" w:hanging="526"/>
        <w:rPr>
          <w:sz w:val="18"/>
        </w:rPr>
      </w:pPr>
      <w:r w:rsidRPr="00EC20A0">
        <w:rPr>
          <w:sz w:val="18"/>
        </w:rPr>
        <w:t>In</w:t>
      </w:r>
      <w:r w:rsidRPr="00EC20A0">
        <w:rPr>
          <w:spacing w:val="-2"/>
          <w:sz w:val="18"/>
        </w:rPr>
        <w:t xml:space="preserve"> </w:t>
      </w:r>
      <w:r w:rsidRPr="00EC20A0">
        <w:rPr>
          <w:sz w:val="18"/>
        </w:rPr>
        <w:t>cases</w:t>
      </w:r>
      <w:r w:rsidRPr="00EC20A0">
        <w:rPr>
          <w:spacing w:val="-1"/>
          <w:sz w:val="18"/>
        </w:rPr>
        <w:t xml:space="preserve"> </w:t>
      </w:r>
      <w:r w:rsidRPr="00EC20A0">
        <w:rPr>
          <w:sz w:val="18"/>
        </w:rPr>
        <w:t>in</w:t>
      </w:r>
      <w:r w:rsidRPr="00EC20A0">
        <w:rPr>
          <w:spacing w:val="-2"/>
          <w:sz w:val="18"/>
        </w:rPr>
        <w:t xml:space="preserve"> </w:t>
      </w:r>
      <w:r w:rsidRPr="00EC20A0">
        <w:rPr>
          <w:sz w:val="18"/>
        </w:rPr>
        <w:t>which</w:t>
      </w:r>
      <w:r w:rsidRPr="00EC20A0">
        <w:rPr>
          <w:spacing w:val="-2"/>
          <w:sz w:val="18"/>
        </w:rPr>
        <w:t xml:space="preserve"> </w:t>
      </w:r>
      <w:r w:rsidRPr="00EC20A0">
        <w:rPr>
          <w:sz w:val="18"/>
        </w:rPr>
        <w:t>more</w:t>
      </w:r>
      <w:r w:rsidRPr="00EC20A0">
        <w:rPr>
          <w:spacing w:val="-1"/>
          <w:sz w:val="18"/>
        </w:rPr>
        <w:t xml:space="preserve"> </w:t>
      </w:r>
      <w:r w:rsidRPr="00EC20A0">
        <w:rPr>
          <w:sz w:val="18"/>
        </w:rPr>
        <w:t>than</w:t>
      </w:r>
      <w:r w:rsidRPr="00EC20A0">
        <w:rPr>
          <w:spacing w:val="-2"/>
          <w:sz w:val="18"/>
        </w:rPr>
        <w:t xml:space="preserve"> </w:t>
      </w:r>
      <w:r w:rsidRPr="00EC20A0">
        <w:rPr>
          <w:sz w:val="18"/>
        </w:rPr>
        <w:t>one</w:t>
      </w:r>
      <w:r w:rsidRPr="00EC20A0">
        <w:rPr>
          <w:spacing w:val="-2"/>
          <w:sz w:val="18"/>
        </w:rPr>
        <w:t xml:space="preserve"> </w:t>
      </w:r>
      <w:r w:rsidRPr="00EC20A0">
        <w:rPr>
          <w:sz w:val="18"/>
        </w:rPr>
        <w:t>entity</w:t>
      </w:r>
      <w:r w:rsidRPr="00EC20A0">
        <w:rPr>
          <w:spacing w:val="-1"/>
          <w:sz w:val="18"/>
        </w:rPr>
        <w:t xml:space="preserve"> </w:t>
      </w:r>
      <w:r w:rsidRPr="00EC20A0">
        <w:rPr>
          <w:sz w:val="18"/>
        </w:rPr>
        <w:t>is</w:t>
      </w:r>
      <w:r w:rsidRPr="00EC20A0">
        <w:rPr>
          <w:spacing w:val="-1"/>
          <w:sz w:val="18"/>
        </w:rPr>
        <w:t xml:space="preserve"> </w:t>
      </w:r>
      <w:r w:rsidRPr="00EC20A0">
        <w:rPr>
          <w:sz w:val="18"/>
        </w:rPr>
        <w:t>affected, entities</w:t>
      </w:r>
      <w:r w:rsidRPr="00EC20A0">
        <w:rPr>
          <w:spacing w:val="-1"/>
          <w:sz w:val="18"/>
        </w:rPr>
        <w:t xml:space="preserve"> </w:t>
      </w:r>
      <w:r w:rsidRPr="00EC20A0">
        <w:rPr>
          <w:sz w:val="18"/>
        </w:rPr>
        <w:t>must</w:t>
      </w:r>
      <w:r w:rsidRPr="00EC20A0">
        <w:rPr>
          <w:spacing w:val="-1"/>
          <w:sz w:val="18"/>
        </w:rPr>
        <w:t xml:space="preserve"> </w:t>
      </w:r>
      <w:r w:rsidRPr="00EC20A0">
        <w:rPr>
          <w:sz w:val="18"/>
        </w:rPr>
        <w:t>collaborate</w:t>
      </w:r>
      <w:r w:rsidRPr="00EC20A0">
        <w:rPr>
          <w:spacing w:val="-2"/>
          <w:sz w:val="18"/>
        </w:rPr>
        <w:t xml:space="preserve"> </w:t>
      </w:r>
      <w:r w:rsidRPr="00EC20A0">
        <w:rPr>
          <w:sz w:val="18"/>
        </w:rPr>
        <w:t>with</w:t>
      </w:r>
      <w:r w:rsidRPr="00EC20A0">
        <w:rPr>
          <w:spacing w:val="-2"/>
          <w:sz w:val="18"/>
        </w:rPr>
        <w:t xml:space="preserve"> </w:t>
      </w:r>
      <w:r w:rsidRPr="00EC20A0">
        <w:rPr>
          <w:sz w:val="18"/>
        </w:rPr>
        <w:t>each other</w:t>
      </w:r>
      <w:r w:rsidRPr="00EC20A0">
        <w:rPr>
          <w:spacing w:val="-1"/>
          <w:sz w:val="18"/>
        </w:rPr>
        <w:t xml:space="preserve"> </w:t>
      </w:r>
      <w:r w:rsidRPr="00EC20A0">
        <w:rPr>
          <w:sz w:val="18"/>
        </w:rPr>
        <w:t>on</w:t>
      </w:r>
      <w:r w:rsidRPr="00EC20A0">
        <w:rPr>
          <w:spacing w:val="-2"/>
          <w:sz w:val="18"/>
        </w:rPr>
        <w:t xml:space="preserve"> </w:t>
      </w:r>
      <w:r w:rsidRPr="00EC20A0">
        <w:rPr>
          <w:sz w:val="18"/>
        </w:rPr>
        <w:t>shared</w:t>
      </w:r>
      <w:r w:rsidRPr="00EC20A0">
        <w:rPr>
          <w:spacing w:val="-2"/>
          <w:sz w:val="18"/>
        </w:rPr>
        <w:t xml:space="preserve"> </w:t>
      </w:r>
      <w:r w:rsidRPr="00EC20A0">
        <w:rPr>
          <w:sz w:val="18"/>
        </w:rPr>
        <w:t>cases</w:t>
      </w:r>
      <w:r w:rsidRPr="00EC20A0">
        <w:rPr>
          <w:spacing w:val="-1"/>
          <w:sz w:val="18"/>
        </w:rPr>
        <w:t xml:space="preserve"> </w:t>
      </w:r>
      <w:r w:rsidRPr="00EC20A0">
        <w:rPr>
          <w:sz w:val="18"/>
        </w:rPr>
        <w:t>to</w:t>
      </w:r>
      <w:r w:rsidRPr="00EC20A0">
        <w:rPr>
          <w:spacing w:val="-2"/>
          <w:sz w:val="18"/>
        </w:rPr>
        <w:t xml:space="preserve"> </w:t>
      </w:r>
      <w:r w:rsidRPr="00EC20A0">
        <w:rPr>
          <w:sz w:val="18"/>
        </w:rPr>
        <w:t>ensure</w:t>
      </w:r>
      <w:r w:rsidRPr="00EC20A0">
        <w:rPr>
          <w:spacing w:val="-2"/>
          <w:sz w:val="18"/>
        </w:rPr>
        <w:t xml:space="preserve"> </w:t>
      </w:r>
      <w:r w:rsidRPr="00EC20A0">
        <w:rPr>
          <w:sz w:val="18"/>
        </w:rPr>
        <w:t>appropriate reporting.</w:t>
      </w:r>
      <w:r w:rsidRPr="00EC20A0">
        <w:rPr>
          <w:spacing w:val="-1"/>
          <w:sz w:val="18"/>
        </w:rPr>
        <w:t xml:space="preserve"> </w:t>
      </w:r>
      <w:r w:rsidRPr="00EC20A0">
        <w:rPr>
          <w:sz w:val="18"/>
        </w:rPr>
        <w:t>Responsibility</w:t>
      </w:r>
      <w:r w:rsidRPr="00EC20A0">
        <w:rPr>
          <w:spacing w:val="-1"/>
          <w:sz w:val="18"/>
        </w:rPr>
        <w:t xml:space="preserve"> </w:t>
      </w:r>
      <w:r w:rsidRPr="00EC20A0">
        <w:rPr>
          <w:sz w:val="18"/>
        </w:rPr>
        <w:t>for</w:t>
      </w:r>
      <w:r w:rsidRPr="00EC20A0">
        <w:rPr>
          <w:spacing w:val="-1"/>
          <w:sz w:val="18"/>
        </w:rPr>
        <w:t xml:space="preserve"> </w:t>
      </w:r>
      <w:r w:rsidRPr="00EC20A0">
        <w:rPr>
          <w:sz w:val="18"/>
        </w:rPr>
        <w:t>the</w:t>
      </w:r>
      <w:r w:rsidRPr="00EC20A0">
        <w:rPr>
          <w:spacing w:val="-1"/>
          <w:sz w:val="18"/>
        </w:rPr>
        <w:t xml:space="preserve"> </w:t>
      </w:r>
      <w:r w:rsidRPr="00EC20A0">
        <w:rPr>
          <w:sz w:val="18"/>
        </w:rPr>
        <w:t>case</w:t>
      </w:r>
      <w:r w:rsidRPr="00EC20A0">
        <w:rPr>
          <w:spacing w:val="-2"/>
          <w:sz w:val="18"/>
        </w:rPr>
        <w:t xml:space="preserve"> </w:t>
      </w:r>
      <w:r w:rsidRPr="00EC20A0">
        <w:rPr>
          <w:sz w:val="18"/>
        </w:rPr>
        <w:t>must</w:t>
      </w:r>
      <w:r w:rsidRPr="00EC20A0">
        <w:rPr>
          <w:spacing w:val="-1"/>
          <w:sz w:val="18"/>
        </w:rPr>
        <w:t xml:space="preserve"> </w:t>
      </w:r>
      <w:r w:rsidRPr="00EC20A0">
        <w:rPr>
          <w:sz w:val="18"/>
        </w:rPr>
        <w:t>be</w:t>
      </w:r>
      <w:r w:rsidRPr="00EC20A0">
        <w:rPr>
          <w:spacing w:val="-1"/>
          <w:sz w:val="18"/>
        </w:rPr>
        <w:t xml:space="preserve"> </w:t>
      </w:r>
      <w:r w:rsidRPr="00EC20A0">
        <w:rPr>
          <w:sz w:val="18"/>
        </w:rPr>
        <w:t>allocated</w:t>
      </w:r>
      <w:r w:rsidRPr="00EC20A0">
        <w:rPr>
          <w:spacing w:val="-2"/>
          <w:sz w:val="18"/>
        </w:rPr>
        <w:t xml:space="preserve"> </w:t>
      </w:r>
      <w:r w:rsidRPr="00EC20A0">
        <w:rPr>
          <w:sz w:val="18"/>
        </w:rPr>
        <w:t>among</w:t>
      </w:r>
      <w:r w:rsidRPr="00EC20A0">
        <w:rPr>
          <w:spacing w:val="-2"/>
          <w:sz w:val="18"/>
        </w:rPr>
        <w:t xml:space="preserve"> </w:t>
      </w:r>
      <w:r w:rsidRPr="00EC20A0">
        <w:rPr>
          <w:sz w:val="18"/>
        </w:rPr>
        <w:t>affected</w:t>
      </w:r>
      <w:r w:rsidRPr="00EC20A0">
        <w:rPr>
          <w:spacing w:val="-1"/>
          <w:sz w:val="18"/>
        </w:rPr>
        <w:t xml:space="preserve"> </w:t>
      </w:r>
      <w:r w:rsidRPr="00EC20A0">
        <w:rPr>
          <w:sz w:val="18"/>
        </w:rPr>
        <w:t>entities</w:t>
      </w:r>
      <w:r w:rsidRPr="00EC20A0">
        <w:rPr>
          <w:spacing w:val="-1"/>
          <w:sz w:val="18"/>
        </w:rPr>
        <w:t xml:space="preserve"> </w:t>
      </w:r>
      <w:r w:rsidRPr="00EC20A0">
        <w:rPr>
          <w:sz w:val="18"/>
        </w:rPr>
        <w:t>to</w:t>
      </w:r>
      <w:r w:rsidRPr="00EC20A0">
        <w:rPr>
          <w:spacing w:val="-2"/>
          <w:sz w:val="18"/>
        </w:rPr>
        <w:t xml:space="preserve"> </w:t>
      </w:r>
      <w:r w:rsidRPr="00EC20A0">
        <w:rPr>
          <w:sz w:val="18"/>
        </w:rPr>
        <w:t>ensure</w:t>
      </w:r>
      <w:r w:rsidRPr="00EC20A0">
        <w:rPr>
          <w:spacing w:val="-2"/>
          <w:sz w:val="18"/>
        </w:rPr>
        <w:t xml:space="preserve"> </w:t>
      </w:r>
      <w:r w:rsidRPr="00EC20A0">
        <w:rPr>
          <w:sz w:val="18"/>
        </w:rPr>
        <w:t>that</w:t>
      </w:r>
      <w:r w:rsidRPr="00EC20A0">
        <w:rPr>
          <w:spacing w:val="-1"/>
          <w:sz w:val="18"/>
        </w:rPr>
        <w:t xml:space="preserve"> </w:t>
      </w:r>
      <w:r w:rsidRPr="00EC20A0">
        <w:rPr>
          <w:sz w:val="18"/>
        </w:rPr>
        <w:t>100</w:t>
      </w:r>
      <w:r w:rsidRPr="00EC20A0">
        <w:rPr>
          <w:spacing w:val="-1"/>
          <w:sz w:val="18"/>
        </w:rPr>
        <w:t xml:space="preserve"> </w:t>
      </w:r>
      <w:r w:rsidRPr="00EC20A0">
        <w:rPr>
          <w:sz w:val="18"/>
        </w:rPr>
        <w:t>percent</w:t>
      </w:r>
      <w:r w:rsidRPr="00EC20A0">
        <w:rPr>
          <w:spacing w:val="-1"/>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contingency</w:t>
      </w:r>
      <w:r w:rsidRPr="00EC20A0">
        <w:rPr>
          <w:spacing w:val="-1"/>
          <w:sz w:val="18"/>
        </w:rPr>
        <w:t xml:space="preserve"> </w:t>
      </w:r>
      <w:r w:rsidRPr="00EC20A0">
        <w:rPr>
          <w:sz w:val="18"/>
        </w:rPr>
        <w:t>is accounted for. Is the legal case considered a "shared case" with another entity?</w:t>
      </w:r>
    </w:p>
    <w:p w14:paraId="24D62266" w14:textId="77777777" w:rsidR="00245300" w:rsidRPr="00EC20A0" w:rsidRDefault="00245300">
      <w:pPr>
        <w:pStyle w:val="BodyText"/>
        <w:spacing w:before="1"/>
        <w:rPr>
          <w:sz w:val="18"/>
        </w:rPr>
      </w:pPr>
    </w:p>
    <w:p w14:paraId="24D62267" w14:textId="77777777" w:rsidR="00245300" w:rsidRPr="00EC20A0" w:rsidRDefault="00F17249">
      <w:pPr>
        <w:pStyle w:val="ListParagraph"/>
        <w:numPr>
          <w:ilvl w:val="0"/>
          <w:numId w:val="58"/>
        </w:numPr>
        <w:tabs>
          <w:tab w:val="left" w:pos="595"/>
        </w:tabs>
        <w:spacing w:before="0"/>
        <w:ind w:left="595" w:hanging="368"/>
        <w:rPr>
          <w:sz w:val="18"/>
        </w:rPr>
      </w:pPr>
      <w:r w:rsidRPr="00EC20A0">
        <w:rPr>
          <w:sz w:val="18"/>
        </w:rPr>
        <w:t>Is</w:t>
      </w:r>
      <w:r w:rsidRPr="00EC20A0">
        <w:rPr>
          <w:spacing w:val="-2"/>
          <w:sz w:val="18"/>
        </w:rPr>
        <w:t xml:space="preserve"> </w:t>
      </w:r>
      <w:r w:rsidRPr="00EC20A0">
        <w:rPr>
          <w:sz w:val="18"/>
        </w:rPr>
        <w:t>this</w:t>
      </w:r>
      <w:r w:rsidRPr="00EC20A0">
        <w:rPr>
          <w:spacing w:val="-2"/>
          <w:sz w:val="18"/>
        </w:rPr>
        <w:t xml:space="preserve"> </w:t>
      </w:r>
      <w:r w:rsidRPr="00EC20A0">
        <w:rPr>
          <w:sz w:val="18"/>
        </w:rPr>
        <w:t>case</w:t>
      </w:r>
      <w:r w:rsidRPr="00EC20A0">
        <w:rPr>
          <w:spacing w:val="-3"/>
          <w:sz w:val="18"/>
        </w:rPr>
        <w:t xml:space="preserve"> </w:t>
      </w:r>
      <w:r w:rsidRPr="00EC20A0">
        <w:rPr>
          <w:sz w:val="18"/>
        </w:rPr>
        <w:t>related</w:t>
      </w:r>
      <w:r w:rsidRPr="00EC20A0">
        <w:rPr>
          <w:spacing w:val="-3"/>
          <w:sz w:val="18"/>
        </w:rPr>
        <w:t xml:space="preserve"> </w:t>
      </w:r>
      <w:r w:rsidRPr="00EC20A0">
        <w:rPr>
          <w:sz w:val="18"/>
        </w:rPr>
        <w:t>to</w:t>
      </w:r>
      <w:r w:rsidRPr="00EC20A0">
        <w:rPr>
          <w:spacing w:val="-3"/>
          <w:sz w:val="18"/>
        </w:rPr>
        <w:t xml:space="preserve"> </w:t>
      </w:r>
      <w:r w:rsidRPr="00EC20A0">
        <w:rPr>
          <w:sz w:val="18"/>
        </w:rPr>
        <w:t>a</w:t>
      </w:r>
      <w:r w:rsidRPr="00EC20A0">
        <w:rPr>
          <w:spacing w:val="-3"/>
          <w:sz w:val="18"/>
        </w:rPr>
        <w:t xml:space="preserve"> </w:t>
      </w:r>
      <w:r w:rsidRPr="00EC20A0">
        <w:rPr>
          <w:sz w:val="18"/>
        </w:rPr>
        <w:t>treaty</w:t>
      </w:r>
      <w:r w:rsidRPr="00EC20A0">
        <w:rPr>
          <w:spacing w:val="-1"/>
          <w:sz w:val="18"/>
        </w:rPr>
        <w:t xml:space="preserve"> </w:t>
      </w:r>
      <w:r w:rsidRPr="00EC20A0">
        <w:rPr>
          <w:sz w:val="18"/>
        </w:rPr>
        <w:t>or</w:t>
      </w:r>
      <w:r w:rsidRPr="00EC20A0">
        <w:rPr>
          <w:spacing w:val="-2"/>
          <w:sz w:val="18"/>
        </w:rPr>
        <w:t xml:space="preserve"> </w:t>
      </w:r>
      <w:r w:rsidRPr="00EC20A0">
        <w:rPr>
          <w:sz w:val="18"/>
        </w:rPr>
        <w:t>international</w:t>
      </w:r>
      <w:r w:rsidRPr="00EC20A0">
        <w:rPr>
          <w:spacing w:val="-2"/>
          <w:sz w:val="18"/>
        </w:rPr>
        <w:t xml:space="preserve"> </w:t>
      </w:r>
      <w:r w:rsidRPr="00EC20A0">
        <w:rPr>
          <w:sz w:val="18"/>
        </w:rPr>
        <w:t>agreement?</w:t>
      </w:r>
      <w:r w:rsidRPr="00EC20A0">
        <w:rPr>
          <w:spacing w:val="-2"/>
          <w:sz w:val="18"/>
        </w:rPr>
        <w:t xml:space="preserve"> </w:t>
      </w:r>
      <w:r w:rsidRPr="00EC20A0">
        <w:rPr>
          <w:sz w:val="18"/>
        </w:rPr>
        <w:t>-</w:t>
      </w:r>
      <w:r w:rsidRPr="00EC20A0">
        <w:rPr>
          <w:spacing w:val="-2"/>
          <w:sz w:val="18"/>
        </w:rPr>
        <w:t xml:space="preserve"> </w:t>
      </w:r>
      <w:r w:rsidRPr="00EC20A0">
        <w:rPr>
          <w:sz w:val="18"/>
        </w:rPr>
        <w:t>Enter</w:t>
      </w:r>
      <w:r w:rsidRPr="00EC20A0">
        <w:rPr>
          <w:spacing w:val="-2"/>
          <w:sz w:val="18"/>
        </w:rPr>
        <w:t xml:space="preserve"> </w:t>
      </w:r>
      <w:r w:rsidRPr="00EC20A0">
        <w:rPr>
          <w:sz w:val="18"/>
        </w:rPr>
        <w:t>“Yes”</w:t>
      </w:r>
      <w:r w:rsidRPr="00EC20A0">
        <w:rPr>
          <w:spacing w:val="-2"/>
          <w:sz w:val="18"/>
        </w:rPr>
        <w:t xml:space="preserve"> </w:t>
      </w:r>
      <w:r w:rsidRPr="00EC20A0">
        <w:rPr>
          <w:sz w:val="18"/>
        </w:rPr>
        <w:t>or</w:t>
      </w:r>
      <w:r w:rsidRPr="00EC20A0">
        <w:rPr>
          <w:spacing w:val="-1"/>
          <w:sz w:val="18"/>
        </w:rPr>
        <w:t xml:space="preserve"> </w:t>
      </w:r>
      <w:r w:rsidRPr="00EC20A0">
        <w:rPr>
          <w:spacing w:val="-2"/>
          <w:sz w:val="18"/>
        </w:rPr>
        <w:t>“No.”</w:t>
      </w:r>
    </w:p>
    <w:p w14:paraId="24D62268" w14:textId="77777777" w:rsidR="00245300" w:rsidRPr="00EC20A0" w:rsidRDefault="00F17249">
      <w:pPr>
        <w:pStyle w:val="ListParagraph"/>
        <w:numPr>
          <w:ilvl w:val="0"/>
          <w:numId w:val="58"/>
        </w:numPr>
        <w:tabs>
          <w:tab w:val="left" w:pos="595"/>
        </w:tabs>
        <w:spacing w:before="117"/>
        <w:ind w:left="595" w:hanging="368"/>
        <w:rPr>
          <w:sz w:val="18"/>
        </w:rPr>
      </w:pPr>
      <w:r w:rsidRPr="00EC20A0">
        <w:rPr>
          <w:sz w:val="18"/>
        </w:rPr>
        <w:t>Disposition</w:t>
      </w:r>
      <w:r w:rsidRPr="00EC20A0">
        <w:rPr>
          <w:spacing w:val="-4"/>
          <w:sz w:val="18"/>
        </w:rPr>
        <w:t xml:space="preserve"> </w:t>
      </w:r>
      <w:r w:rsidRPr="00EC20A0">
        <w:rPr>
          <w:sz w:val="18"/>
        </w:rPr>
        <w:t>in</w:t>
      </w:r>
      <w:r w:rsidRPr="00EC20A0">
        <w:rPr>
          <w:spacing w:val="-3"/>
          <w:sz w:val="18"/>
        </w:rPr>
        <w:t xml:space="preserve"> </w:t>
      </w:r>
      <w:r w:rsidRPr="00EC20A0">
        <w:rPr>
          <w:sz w:val="18"/>
        </w:rPr>
        <w:t>Financial</w:t>
      </w:r>
      <w:r w:rsidRPr="00EC20A0">
        <w:rPr>
          <w:spacing w:val="-3"/>
          <w:sz w:val="18"/>
        </w:rPr>
        <w:t xml:space="preserve"> </w:t>
      </w:r>
      <w:r w:rsidRPr="00EC20A0">
        <w:rPr>
          <w:sz w:val="18"/>
        </w:rPr>
        <w:t>Statements:</w:t>
      </w:r>
      <w:r w:rsidRPr="00EC20A0">
        <w:rPr>
          <w:spacing w:val="-2"/>
          <w:sz w:val="18"/>
        </w:rPr>
        <w:t xml:space="preserve"> </w:t>
      </w:r>
      <w:r w:rsidRPr="00EC20A0">
        <w:rPr>
          <w:sz w:val="18"/>
        </w:rPr>
        <w:t>amount</w:t>
      </w:r>
      <w:r w:rsidRPr="00EC20A0">
        <w:rPr>
          <w:spacing w:val="-2"/>
          <w:sz w:val="18"/>
        </w:rPr>
        <w:t xml:space="preserve"> </w:t>
      </w:r>
      <w:r w:rsidRPr="00EC20A0">
        <w:rPr>
          <w:sz w:val="18"/>
        </w:rPr>
        <w:t>recorded</w:t>
      </w:r>
      <w:r w:rsidRPr="00EC20A0">
        <w:rPr>
          <w:spacing w:val="-4"/>
          <w:sz w:val="18"/>
        </w:rPr>
        <w:t xml:space="preserve"> </w:t>
      </w:r>
      <w:r w:rsidRPr="00EC20A0">
        <w:rPr>
          <w:sz w:val="18"/>
        </w:rPr>
        <w:t>as</w:t>
      </w:r>
      <w:r w:rsidRPr="00EC20A0">
        <w:rPr>
          <w:spacing w:val="-2"/>
          <w:sz w:val="18"/>
        </w:rPr>
        <w:t xml:space="preserve"> </w:t>
      </w:r>
      <w:r w:rsidRPr="00EC20A0">
        <w:rPr>
          <w:sz w:val="18"/>
        </w:rPr>
        <w:t>a</w:t>
      </w:r>
      <w:r w:rsidRPr="00EC20A0">
        <w:rPr>
          <w:spacing w:val="-4"/>
          <w:sz w:val="18"/>
        </w:rPr>
        <w:t xml:space="preserve"> </w:t>
      </w:r>
      <w:r w:rsidRPr="00EC20A0">
        <w:rPr>
          <w:sz w:val="18"/>
        </w:rPr>
        <w:t>liability</w:t>
      </w:r>
      <w:r w:rsidRPr="00EC20A0">
        <w:rPr>
          <w:spacing w:val="-2"/>
          <w:sz w:val="18"/>
        </w:rPr>
        <w:t xml:space="preserve"> </w:t>
      </w:r>
      <w:r w:rsidRPr="00EC20A0">
        <w:rPr>
          <w:sz w:val="18"/>
        </w:rPr>
        <w:t>on</w:t>
      </w:r>
      <w:r w:rsidRPr="00EC20A0">
        <w:rPr>
          <w:spacing w:val="-3"/>
          <w:sz w:val="18"/>
        </w:rPr>
        <w:t xml:space="preserve"> </w:t>
      </w:r>
      <w:r w:rsidRPr="00EC20A0">
        <w:rPr>
          <w:sz w:val="18"/>
        </w:rPr>
        <w:t>the</w:t>
      </w:r>
      <w:r w:rsidRPr="00EC20A0">
        <w:rPr>
          <w:spacing w:val="-4"/>
          <w:sz w:val="18"/>
        </w:rPr>
        <w:t xml:space="preserve"> </w:t>
      </w:r>
      <w:r w:rsidRPr="00EC20A0">
        <w:rPr>
          <w:sz w:val="18"/>
        </w:rPr>
        <w:t>balance</w:t>
      </w:r>
      <w:r w:rsidRPr="00EC20A0">
        <w:rPr>
          <w:spacing w:val="-1"/>
          <w:sz w:val="18"/>
        </w:rPr>
        <w:t xml:space="preserve"> </w:t>
      </w:r>
      <w:r w:rsidRPr="00EC20A0">
        <w:rPr>
          <w:sz w:val="18"/>
        </w:rPr>
        <w:t>sheet</w:t>
      </w:r>
      <w:r w:rsidRPr="00EC20A0">
        <w:rPr>
          <w:spacing w:val="-3"/>
          <w:sz w:val="18"/>
        </w:rPr>
        <w:t xml:space="preserve"> </w:t>
      </w:r>
      <w:r w:rsidRPr="00EC20A0">
        <w:rPr>
          <w:sz w:val="18"/>
        </w:rPr>
        <w:t>-</w:t>
      </w:r>
      <w:r w:rsidRPr="00EC20A0">
        <w:rPr>
          <w:spacing w:val="-2"/>
          <w:sz w:val="18"/>
        </w:rPr>
        <w:t xml:space="preserve"> </w:t>
      </w:r>
      <w:r w:rsidRPr="00EC20A0">
        <w:rPr>
          <w:sz w:val="18"/>
        </w:rPr>
        <w:t>For</w:t>
      </w:r>
      <w:r w:rsidRPr="00EC20A0">
        <w:rPr>
          <w:spacing w:val="-2"/>
          <w:sz w:val="18"/>
        </w:rPr>
        <w:t xml:space="preserve"> </w:t>
      </w:r>
      <w:r w:rsidRPr="00EC20A0">
        <w:rPr>
          <w:sz w:val="18"/>
        </w:rPr>
        <w:t>probable</w:t>
      </w:r>
      <w:r w:rsidRPr="00EC20A0">
        <w:rPr>
          <w:spacing w:val="-4"/>
          <w:sz w:val="18"/>
        </w:rPr>
        <w:t xml:space="preserve"> </w:t>
      </w:r>
      <w:r w:rsidRPr="00EC20A0">
        <w:rPr>
          <w:sz w:val="18"/>
        </w:rPr>
        <w:t>contingencies</w:t>
      </w:r>
      <w:r w:rsidRPr="00EC20A0">
        <w:rPr>
          <w:spacing w:val="-2"/>
          <w:sz w:val="18"/>
        </w:rPr>
        <w:t xml:space="preserve"> </w:t>
      </w:r>
      <w:r w:rsidRPr="00EC20A0">
        <w:rPr>
          <w:sz w:val="18"/>
        </w:rPr>
        <w:t>that</w:t>
      </w:r>
      <w:r w:rsidRPr="00EC20A0">
        <w:rPr>
          <w:spacing w:val="-3"/>
          <w:sz w:val="18"/>
        </w:rPr>
        <w:t xml:space="preserve"> </w:t>
      </w:r>
      <w:r w:rsidRPr="00EC20A0">
        <w:rPr>
          <w:sz w:val="18"/>
        </w:rPr>
        <w:t>are</w:t>
      </w:r>
      <w:r w:rsidRPr="00EC20A0">
        <w:rPr>
          <w:spacing w:val="-1"/>
          <w:sz w:val="18"/>
        </w:rPr>
        <w:t xml:space="preserve"> </w:t>
      </w:r>
      <w:r w:rsidRPr="00EC20A0">
        <w:rPr>
          <w:sz w:val="18"/>
        </w:rPr>
        <w:t>reasonably</w:t>
      </w:r>
      <w:r w:rsidRPr="00EC20A0">
        <w:rPr>
          <w:spacing w:val="-2"/>
          <w:sz w:val="18"/>
        </w:rPr>
        <w:t xml:space="preserve"> </w:t>
      </w:r>
      <w:r w:rsidRPr="00EC20A0">
        <w:rPr>
          <w:sz w:val="18"/>
        </w:rPr>
        <w:t>estimable,</w:t>
      </w:r>
      <w:r w:rsidRPr="00EC20A0">
        <w:rPr>
          <w:spacing w:val="-2"/>
          <w:sz w:val="18"/>
        </w:rPr>
        <w:t xml:space="preserve"> </w:t>
      </w:r>
      <w:r w:rsidRPr="00EC20A0">
        <w:rPr>
          <w:sz w:val="18"/>
        </w:rPr>
        <w:t>enter</w:t>
      </w:r>
      <w:r w:rsidRPr="00EC20A0">
        <w:rPr>
          <w:spacing w:val="-2"/>
          <w:sz w:val="18"/>
        </w:rPr>
        <w:t xml:space="preserve"> </w:t>
      </w:r>
      <w:r w:rsidRPr="00EC20A0">
        <w:rPr>
          <w:sz w:val="18"/>
        </w:rPr>
        <w:t>the</w:t>
      </w:r>
      <w:r w:rsidRPr="00EC20A0">
        <w:rPr>
          <w:spacing w:val="-4"/>
          <w:sz w:val="18"/>
        </w:rPr>
        <w:t xml:space="preserve"> </w:t>
      </w:r>
      <w:r w:rsidRPr="00EC20A0">
        <w:rPr>
          <w:sz w:val="18"/>
        </w:rPr>
        <w:t>single</w:t>
      </w:r>
      <w:r w:rsidRPr="00EC20A0">
        <w:rPr>
          <w:spacing w:val="-1"/>
          <w:sz w:val="18"/>
        </w:rPr>
        <w:t xml:space="preserve"> </w:t>
      </w:r>
      <w:r w:rsidRPr="00EC20A0">
        <w:rPr>
          <w:sz w:val="18"/>
        </w:rPr>
        <w:t>estimate</w:t>
      </w:r>
      <w:r w:rsidRPr="00EC20A0">
        <w:rPr>
          <w:spacing w:val="-4"/>
          <w:sz w:val="18"/>
        </w:rPr>
        <w:t xml:space="preserve"> </w:t>
      </w:r>
      <w:r w:rsidRPr="00EC20A0">
        <w:rPr>
          <w:sz w:val="18"/>
        </w:rPr>
        <w:t>amount</w:t>
      </w:r>
      <w:r w:rsidRPr="00EC20A0">
        <w:rPr>
          <w:spacing w:val="-1"/>
          <w:sz w:val="18"/>
        </w:rPr>
        <w:t xml:space="preserve"> </w:t>
      </w:r>
      <w:r w:rsidRPr="00EC20A0">
        <w:rPr>
          <w:sz w:val="18"/>
        </w:rPr>
        <w:t>or</w:t>
      </w:r>
      <w:r w:rsidRPr="00EC20A0">
        <w:rPr>
          <w:spacing w:val="-3"/>
          <w:sz w:val="18"/>
        </w:rPr>
        <w:t xml:space="preserve"> </w:t>
      </w:r>
      <w:r w:rsidRPr="00EC20A0">
        <w:rPr>
          <w:sz w:val="18"/>
        </w:rPr>
        <w:t>low</w:t>
      </w:r>
      <w:r w:rsidRPr="00EC20A0">
        <w:rPr>
          <w:spacing w:val="-2"/>
          <w:sz w:val="18"/>
        </w:rPr>
        <w:t xml:space="preserve"> </w:t>
      </w:r>
      <w:r w:rsidRPr="00EC20A0">
        <w:rPr>
          <w:sz w:val="18"/>
        </w:rPr>
        <w:t>end</w:t>
      </w:r>
      <w:r w:rsidRPr="00EC20A0">
        <w:rPr>
          <w:spacing w:val="-2"/>
          <w:sz w:val="18"/>
        </w:rPr>
        <w:t xml:space="preserve"> </w:t>
      </w:r>
      <w:r w:rsidRPr="00EC20A0">
        <w:rPr>
          <w:sz w:val="18"/>
        </w:rPr>
        <w:t>of</w:t>
      </w:r>
      <w:r w:rsidRPr="00EC20A0">
        <w:rPr>
          <w:spacing w:val="-3"/>
          <w:sz w:val="18"/>
        </w:rPr>
        <w:t xml:space="preserve"> </w:t>
      </w:r>
      <w:r w:rsidRPr="00EC20A0">
        <w:rPr>
          <w:sz w:val="18"/>
        </w:rPr>
        <w:t>the</w:t>
      </w:r>
      <w:r w:rsidRPr="00EC20A0">
        <w:rPr>
          <w:spacing w:val="-3"/>
          <w:sz w:val="18"/>
        </w:rPr>
        <w:t xml:space="preserve"> </w:t>
      </w:r>
      <w:r w:rsidRPr="00EC20A0">
        <w:rPr>
          <w:sz w:val="18"/>
        </w:rPr>
        <w:t>range</w:t>
      </w:r>
      <w:r w:rsidRPr="00EC20A0">
        <w:rPr>
          <w:spacing w:val="-4"/>
          <w:sz w:val="18"/>
        </w:rPr>
        <w:t xml:space="preserve"> </w:t>
      </w:r>
      <w:r w:rsidRPr="00EC20A0">
        <w:rPr>
          <w:sz w:val="18"/>
        </w:rPr>
        <w:t>recorded</w:t>
      </w:r>
      <w:r w:rsidRPr="00EC20A0">
        <w:rPr>
          <w:spacing w:val="-1"/>
          <w:sz w:val="18"/>
        </w:rPr>
        <w:t xml:space="preserve"> </w:t>
      </w:r>
      <w:r w:rsidRPr="00EC20A0">
        <w:rPr>
          <w:sz w:val="18"/>
        </w:rPr>
        <w:t>on</w:t>
      </w:r>
      <w:r w:rsidRPr="00EC20A0">
        <w:rPr>
          <w:spacing w:val="-3"/>
          <w:sz w:val="18"/>
        </w:rPr>
        <w:t xml:space="preserve"> </w:t>
      </w:r>
      <w:r w:rsidRPr="00EC20A0">
        <w:rPr>
          <w:sz w:val="18"/>
        </w:rPr>
        <w:t>the</w:t>
      </w:r>
      <w:r w:rsidRPr="00EC20A0">
        <w:rPr>
          <w:spacing w:val="-4"/>
          <w:sz w:val="18"/>
        </w:rPr>
        <w:t xml:space="preserve"> </w:t>
      </w:r>
      <w:r w:rsidRPr="00EC20A0">
        <w:rPr>
          <w:sz w:val="18"/>
        </w:rPr>
        <w:t>entity’s</w:t>
      </w:r>
      <w:r w:rsidRPr="00EC20A0">
        <w:rPr>
          <w:spacing w:val="-2"/>
          <w:sz w:val="18"/>
        </w:rPr>
        <w:t xml:space="preserve"> </w:t>
      </w:r>
      <w:r w:rsidRPr="00EC20A0">
        <w:rPr>
          <w:sz w:val="18"/>
        </w:rPr>
        <w:t>balance</w:t>
      </w:r>
      <w:r w:rsidRPr="00EC20A0">
        <w:rPr>
          <w:spacing w:val="-3"/>
          <w:sz w:val="18"/>
        </w:rPr>
        <w:t xml:space="preserve"> </w:t>
      </w:r>
      <w:r w:rsidRPr="00EC20A0">
        <w:rPr>
          <w:spacing w:val="-2"/>
          <w:sz w:val="18"/>
        </w:rPr>
        <w:t>sheet.</w:t>
      </w:r>
    </w:p>
    <w:p w14:paraId="24D62269" w14:textId="77777777" w:rsidR="00245300" w:rsidRPr="00EC20A0" w:rsidRDefault="00245300">
      <w:pPr>
        <w:rPr>
          <w:sz w:val="18"/>
        </w:rPr>
        <w:sectPr w:rsidR="00245300" w:rsidRPr="00EC20A0">
          <w:type w:val="continuous"/>
          <w:pgSz w:w="24480" w:h="15840" w:orient="landscape"/>
          <w:pgMar w:top="1460" w:right="1320" w:bottom="940" w:left="960" w:header="721" w:footer="757" w:gutter="0"/>
          <w:cols w:space="720"/>
        </w:sectPr>
      </w:pPr>
    </w:p>
    <w:p w14:paraId="24D6226A" w14:textId="77777777" w:rsidR="00245300" w:rsidRPr="00EC20A0" w:rsidRDefault="00245300">
      <w:pPr>
        <w:pStyle w:val="BodyText"/>
        <w:spacing w:before="6"/>
        <w:rPr>
          <w:sz w:val="18"/>
        </w:rPr>
      </w:pPr>
    </w:p>
    <w:tbl>
      <w:tblPr>
        <w:tblW w:w="0" w:type="auto"/>
        <w:tblInd w:w="185" w:type="dxa"/>
        <w:tblLayout w:type="fixed"/>
        <w:tblCellMar>
          <w:left w:w="0" w:type="dxa"/>
          <w:right w:w="0" w:type="dxa"/>
        </w:tblCellMar>
        <w:tblLook w:val="01E0" w:firstRow="1" w:lastRow="1" w:firstColumn="1" w:lastColumn="1" w:noHBand="0" w:noVBand="0"/>
      </w:tblPr>
      <w:tblGrid>
        <w:gridCol w:w="21022"/>
      </w:tblGrid>
      <w:tr w:rsidR="00245300" w:rsidRPr="00EC20A0" w14:paraId="24D6226C" w14:textId="77777777">
        <w:trPr>
          <w:trHeight w:val="1090"/>
        </w:trPr>
        <w:tc>
          <w:tcPr>
            <w:tcW w:w="21022" w:type="dxa"/>
          </w:tcPr>
          <w:p w14:paraId="24D6226B" w14:textId="77777777" w:rsidR="00245300" w:rsidRPr="00EC20A0" w:rsidRDefault="00F17249">
            <w:pPr>
              <w:pStyle w:val="TableParagraph"/>
              <w:ind w:left="574" w:right="66" w:hanging="525"/>
              <w:rPr>
                <w:sz w:val="18"/>
              </w:rPr>
            </w:pPr>
            <w:r w:rsidRPr="00EC20A0">
              <w:rPr>
                <w:sz w:val="18"/>
              </w:rPr>
              <w:t>(13) Disposition in Financial Statements: note disclosure - For probable contingencies where the estimated loss is a range of amounts, provide the financial statement note number where the entity discloses the range and a description of the nature of the contingency (SFFAS 5, para.</w:t>
            </w:r>
            <w:r w:rsidRPr="00EC20A0">
              <w:rPr>
                <w:spacing w:val="-1"/>
                <w:sz w:val="18"/>
              </w:rPr>
              <w:t xml:space="preserve"> </w:t>
            </w:r>
            <w:r w:rsidRPr="00EC20A0">
              <w:rPr>
                <w:sz w:val="18"/>
              </w:rPr>
              <w:t>39). For reasonably possible</w:t>
            </w:r>
            <w:r w:rsidRPr="00EC20A0">
              <w:rPr>
                <w:spacing w:val="-1"/>
                <w:sz w:val="18"/>
              </w:rPr>
              <w:t xml:space="preserve"> </w:t>
            </w:r>
            <w:r w:rsidRPr="00EC20A0">
              <w:rPr>
                <w:sz w:val="18"/>
              </w:rPr>
              <w:t>contingencies where the estimated</w:t>
            </w:r>
            <w:r w:rsidRPr="00EC20A0">
              <w:rPr>
                <w:spacing w:val="-1"/>
                <w:sz w:val="18"/>
              </w:rPr>
              <w:t xml:space="preserve"> </w:t>
            </w:r>
            <w:r w:rsidRPr="00EC20A0">
              <w:rPr>
                <w:sz w:val="18"/>
              </w:rPr>
              <w:t>loss amount or range</w:t>
            </w:r>
            <w:r w:rsidRPr="00EC20A0">
              <w:rPr>
                <w:spacing w:val="-1"/>
                <w:sz w:val="18"/>
              </w:rPr>
              <w:t xml:space="preserve"> </w:t>
            </w:r>
            <w:r w:rsidRPr="00EC20A0">
              <w:rPr>
                <w:sz w:val="18"/>
              </w:rPr>
              <w:t>can</w:t>
            </w:r>
            <w:r w:rsidRPr="00EC20A0">
              <w:rPr>
                <w:spacing w:val="-1"/>
                <w:sz w:val="18"/>
              </w:rPr>
              <w:t xml:space="preserve"> </w:t>
            </w:r>
            <w:r w:rsidRPr="00EC20A0">
              <w:rPr>
                <w:sz w:val="18"/>
              </w:rPr>
              <w:t>be</w:t>
            </w:r>
            <w:r w:rsidRPr="00EC20A0">
              <w:rPr>
                <w:spacing w:val="-1"/>
                <w:sz w:val="18"/>
              </w:rPr>
              <w:t xml:space="preserve"> </w:t>
            </w:r>
            <w:r w:rsidRPr="00EC20A0">
              <w:rPr>
                <w:sz w:val="18"/>
              </w:rPr>
              <w:t>reasonably measured, provide</w:t>
            </w:r>
            <w:r w:rsidRPr="00EC20A0">
              <w:rPr>
                <w:spacing w:val="-1"/>
                <w:sz w:val="18"/>
              </w:rPr>
              <w:t xml:space="preserve"> </w:t>
            </w:r>
            <w:r w:rsidRPr="00EC20A0">
              <w:rPr>
                <w:sz w:val="18"/>
              </w:rPr>
              <w:t>the</w:t>
            </w:r>
            <w:r w:rsidRPr="00EC20A0">
              <w:rPr>
                <w:spacing w:val="-1"/>
                <w:sz w:val="18"/>
              </w:rPr>
              <w:t xml:space="preserve"> </w:t>
            </w:r>
            <w:r w:rsidRPr="00EC20A0">
              <w:rPr>
                <w:sz w:val="18"/>
              </w:rPr>
              <w:t>financial statement note</w:t>
            </w:r>
            <w:r w:rsidRPr="00EC20A0">
              <w:rPr>
                <w:spacing w:val="-1"/>
                <w:sz w:val="18"/>
              </w:rPr>
              <w:t xml:space="preserve"> </w:t>
            </w:r>
            <w:r w:rsidRPr="00EC20A0">
              <w:rPr>
                <w:sz w:val="18"/>
              </w:rPr>
              <w:t xml:space="preserve">number </w:t>
            </w:r>
            <w:r w:rsidRPr="00EC20A0">
              <w:rPr>
                <w:sz w:val="18"/>
              </w:rPr>
              <w:t>where</w:t>
            </w:r>
            <w:r w:rsidRPr="00EC20A0">
              <w:rPr>
                <w:spacing w:val="-1"/>
                <w:sz w:val="18"/>
              </w:rPr>
              <w:t xml:space="preserve"> </w:t>
            </w:r>
            <w:r w:rsidRPr="00EC20A0">
              <w:rPr>
                <w:sz w:val="18"/>
              </w:rPr>
              <w:t>the</w:t>
            </w:r>
            <w:r w:rsidRPr="00EC20A0">
              <w:rPr>
                <w:spacing w:val="-1"/>
                <w:sz w:val="18"/>
              </w:rPr>
              <w:t xml:space="preserve"> </w:t>
            </w:r>
            <w:r w:rsidRPr="00EC20A0">
              <w:rPr>
                <w:sz w:val="18"/>
              </w:rPr>
              <w:t>entity discloses the</w:t>
            </w:r>
            <w:r w:rsidRPr="00EC20A0">
              <w:rPr>
                <w:spacing w:val="-1"/>
                <w:sz w:val="18"/>
              </w:rPr>
              <w:t xml:space="preserve"> </w:t>
            </w:r>
            <w:r w:rsidRPr="00EC20A0">
              <w:rPr>
                <w:sz w:val="18"/>
              </w:rPr>
              <w:t>nature</w:t>
            </w:r>
            <w:r w:rsidRPr="00EC20A0">
              <w:rPr>
                <w:spacing w:val="-1"/>
                <w:sz w:val="18"/>
              </w:rPr>
              <w:t xml:space="preserve"> </w:t>
            </w:r>
            <w:r w:rsidRPr="00EC20A0">
              <w:rPr>
                <w:sz w:val="18"/>
              </w:rPr>
              <w:t>of the contingency and</w:t>
            </w:r>
            <w:r w:rsidRPr="00EC20A0">
              <w:rPr>
                <w:spacing w:val="-1"/>
                <w:sz w:val="18"/>
              </w:rPr>
              <w:t xml:space="preserve"> </w:t>
            </w:r>
            <w:r w:rsidRPr="00EC20A0">
              <w:rPr>
                <w:sz w:val="18"/>
              </w:rPr>
              <w:t>an estimate of the possible liability (SFFAS No. 5, paras. 40–41). For probable and reasonably possible contingencies where the estimated loss amount cannot be reasonably measured, provide the financial statement note number where the entity discloses the</w:t>
            </w:r>
            <w:r w:rsidRPr="00EC20A0">
              <w:rPr>
                <w:spacing w:val="-2"/>
                <w:sz w:val="18"/>
              </w:rPr>
              <w:t xml:space="preserve"> </w:t>
            </w:r>
            <w:r w:rsidRPr="00EC20A0">
              <w:rPr>
                <w:sz w:val="18"/>
              </w:rPr>
              <w:t>nature of</w:t>
            </w:r>
            <w:r w:rsidRPr="00EC20A0">
              <w:rPr>
                <w:spacing w:val="-1"/>
                <w:sz w:val="18"/>
              </w:rPr>
              <w:t xml:space="preserve"> </w:t>
            </w:r>
            <w:r w:rsidRPr="00EC20A0">
              <w:rPr>
                <w:sz w:val="18"/>
              </w:rPr>
              <w:t>the</w:t>
            </w:r>
            <w:r w:rsidRPr="00EC20A0">
              <w:rPr>
                <w:spacing w:val="-2"/>
                <w:sz w:val="18"/>
              </w:rPr>
              <w:t xml:space="preserve"> </w:t>
            </w:r>
            <w:r w:rsidRPr="00EC20A0">
              <w:rPr>
                <w:sz w:val="18"/>
              </w:rPr>
              <w:t>contingency</w:t>
            </w:r>
            <w:r w:rsidRPr="00EC20A0">
              <w:rPr>
                <w:spacing w:val="-1"/>
                <w:sz w:val="18"/>
              </w:rPr>
              <w:t xml:space="preserve"> </w:t>
            </w:r>
            <w:r w:rsidRPr="00EC20A0">
              <w:rPr>
                <w:sz w:val="18"/>
              </w:rPr>
              <w:t>and</w:t>
            </w:r>
            <w:r w:rsidRPr="00EC20A0">
              <w:rPr>
                <w:spacing w:val="-2"/>
                <w:sz w:val="18"/>
              </w:rPr>
              <w:t xml:space="preserve"> </w:t>
            </w:r>
            <w:r w:rsidRPr="00EC20A0">
              <w:rPr>
                <w:sz w:val="18"/>
              </w:rPr>
              <w:t>a</w:t>
            </w:r>
            <w:r w:rsidRPr="00EC20A0">
              <w:rPr>
                <w:spacing w:val="-2"/>
                <w:sz w:val="18"/>
              </w:rPr>
              <w:t xml:space="preserve"> </w:t>
            </w:r>
            <w:r w:rsidRPr="00EC20A0">
              <w:rPr>
                <w:sz w:val="18"/>
              </w:rPr>
              <w:t>statement</w:t>
            </w:r>
            <w:r w:rsidRPr="00EC20A0">
              <w:rPr>
                <w:spacing w:val="-1"/>
                <w:sz w:val="18"/>
              </w:rPr>
              <w:t xml:space="preserve"> </w:t>
            </w:r>
            <w:r w:rsidRPr="00EC20A0">
              <w:rPr>
                <w:sz w:val="18"/>
              </w:rPr>
              <w:t>that</w:t>
            </w:r>
            <w:r w:rsidRPr="00EC20A0">
              <w:rPr>
                <w:spacing w:val="-1"/>
                <w:sz w:val="18"/>
              </w:rPr>
              <w:t xml:space="preserve"> </w:t>
            </w:r>
            <w:r w:rsidRPr="00EC20A0">
              <w:rPr>
                <w:sz w:val="18"/>
              </w:rPr>
              <w:t>an</w:t>
            </w:r>
            <w:r w:rsidRPr="00EC20A0">
              <w:rPr>
                <w:spacing w:val="-2"/>
                <w:sz w:val="18"/>
              </w:rPr>
              <w:t xml:space="preserve"> </w:t>
            </w:r>
            <w:r w:rsidRPr="00EC20A0">
              <w:rPr>
                <w:sz w:val="18"/>
              </w:rPr>
              <w:t>estimate</w:t>
            </w:r>
            <w:r w:rsidRPr="00EC20A0">
              <w:rPr>
                <w:spacing w:val="-2"/>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potential</w:t>
            </w:r>
            <w:r w:rsidRPr="00EC20A0">
              <w:rPr>
                <w:spacing w:val="-1"/>
                <w:sz w:val="18"/>
              </w:rPr>
              <w:t xml:space="preserve"> </w:t>
            </w:r>
            <w:r w:rsidRPr="00EC20A0">
              <w:rPr>
                <w:sz w:val="18"/>
              </w:rPr>
              <w:t>loss</w:t>
            </w:r>
            <w:r w:rsidRPr="00EC20A0">
              <w:rPr>
                <w:spacing w:val="-1"/>
                <w:sz w:val="18"/>
              </w:rPr>
              <w:t xml:space="preserve"> </w:t>
            </w:r>
            <w:r w:rsidRPr="00EC20A0">
              <w:rPr>
                <w:sz w:val="18"/>
              </w:rPr>
              <w:t>amount</w:t>
            </w:r>
            <w:r w:rsidRPr="00EC20A0">
              <w:rPr>
                <w:spacing w:val="-1"/>
                <w:sz w:val="18"/>
              </w:rPr>
              <w:t xml:space="preserve"> </w:t>
            </w:r>
            <w:r w:rsidRPr="00EC20A0">
              <w:rPr>
                <w:sz w:val="18"/>
              </w:rPr>
              <w:t>cannot</w:t>
            </w:r>
            <w:r w:rsidRPr="00EC20A0">
              <w:rPr>
                <w:spacing w:val="-1"/>
                <w:sz w:val="18"/>
              </w:rPr>
              <w:t xml:space="preserve"> </w:t>
            </w:r>
            <w:r w:rsidRPr="00EC20A0">
              <w:rPr>
                <w:sz w:val="18"/>
              </w:rPr>
              <w:t>be made</w:t>
            </w:r>
            <w:r w:rsidRPr="00EC20A0">
              <w:rPr>
                <w:spacing w:val="-2"/>
                <w:sz w:val="18"/>
              </w:rPr>
              <w:t xml:space="preserve"> </w:t>
            </w:r>
            <w:r w:rsidRPr="00EC20A0">
              <w:rPr>
                <w:sz w:val="18"/>
              </w:rPr>
              <w:t>(SFFAS</w:t>
            </w:r>
            <w:r w:rsidRPr="00EC20A0">
              <w:rPr>
                <w:spacing w:val="-1"/>
                <w:sz w:val="18"/>
              </w:rPr>
              <w:t xml:space="preserve"> </w:t>
            </w:r>
            <w:r w:rsidRPr="00EC20A0">
              <w:rPr>
                <w:sz w:val="18"/>
              </w:rPr>
              <w:t>No.</w:t>
            </w:r>
            <w:r w:rsidRPr="00EC20A0">
              <w:rPr>
                <w:spacing w:val="-1"/>
                <w:sz w:val="18"/>
              </w:rPr>
              <w:t xml:space="preserve"> </w:t>
            </w:r>
            <w:r w:rsidRPr="00EC20A0">
              <w:rPr>
                <w:sz w:val="18"/>
              </w:rPr>
              <w:t>5,</w:t>
            </w:r>
            <w:r w:rsidRPr="00EC20A0">
              <w:rPr>
                <w:spacing w:val="-1"/>
                <w:sz w:val="18"/>
              </w:rPr>
              <w:t xml:space="preserve"> </w:t>
            </w:r>
            <w:r w:rsidRPr="00EC20A0">
              <w:rPr>
                <w:sz w:val="18"/>
              </w:rPr>
              <w:t>paras.</w:t>
            </w:r>
            <w:r w:rsidRPr="00EC20A0">
              <w:rPr>
                <w:spacing w:val="-1"/>
                <w:sz w:val="18"/>
              </w:rPr>
              <w:t xml:space="preserve"> </w:t>
            </w:r>
            <w:r w:rsidRPr="00EC20A0">
              <w:rPr>
                <w:sz w:val="18"/>
              </w:rPr>
              <w:t>40–41).</w:t>
            </w:r>
            <w:r w:rsidRPr="00EC20A0">
              <w:rPr>
                <w:spacing w:val="-1"/>
                <w:sz w:val="18"/>
              </w:rPr>
              <w:t xml:space="preserve"> </w:t>
            </w:r>
            <w:r w:rsidRPr="00EC20A0">
              <w:rPr>
                <w:sz w:val="18"/>
              </w:rPr>
              <w:t>For</w:t>
            </w:r>
            <w:r w:rsidRPr="00EC20A0">
              <w:rPr>
                <w:spacing w:val="-1"/>
                <w:sz w:val="18"/>
              </w:rPr>
              <w:t xml:space="preserve"> </w:t>
            </w:r>
            <w:r w:rsidRPr="00EC20A0">
              <w:rPr>
                <w:sz w:val="18"/>
              </w:rPr>
              <w:t>contingencies</w:t>
            </w:r>
            <w:r w:rsidRPr="00EC20A0">
              <w:rPr>
                <w:spacing w:val="-1"/>
                <w:sz w:val="18"/>
              </w:rPr>
              <w:t xml:space="preserve"> </w:t>
            </w:r>
            <w:r w:rsidRPr="00EC20A0">
              <w:rPr>
                <w:sz w:val="18"/>
              </w:rPr>
              <w:t>where</w:t>
            </w:r>
            <w:r w:rsidRPr="00EC20A0">
              <w:rPr>
                <w:spacing w:val="-2"/>
                <w:sz w:val="18"/>
              </w:rPr>
              <w:t xml:space="preserve"> </w:t>
            </w:r>
            <w:r w:rsidRPr="00EC20A0">
              <w:rPr>
                <w:sz w:val="18"/>
              </w:rPr>
              <w:t>the</w:t>
            </w:r>
            <w:r w:rsidRPr="00EC20A0">
              <w:rPr>
                <w:spacing w:val="-2"/>
                <w:sz w:val="18"/>
              </w:rPr>
              <w:t xml:space="preserve"> </w:t>
            </w:r>
            <w:r w:rsidRPr="00EC20A0">
              <w:rPr>
                <w:sz w:val="18"/>
              </w:rPr>
              <w:t>likelihood of</w:t>
            </w:r>
            <w:r w:rsidRPr="00EC20A0">
              <w:rPr>
                <w:spacing w:val="-1"/>
                <w:sz w:val="18"/>
              </w:rPr>
              <w:t xml:space="preserve"> </w:t>
            </w:r>
            <w:r w:rsidRPr="00EC20A0">
              <w:rPr>
                <w:sz w:val="18"/>
              </w:rPr>
              <w:t>loss</w:t>
            </w:r>
            <w:r w:rsidRPr="00EC20A0">
              <w:rPr>
                <w:spacing w:val="-1"/>
                <w:sz w:val="18"/>
              </w:rPr>
              <w:t xml:space="preserve"> </w:t>
            </w:r>
            <w:r w:rsidRPr="00EC20A0">
              <w:rPr>
                <w:sz w:val="18"/>
              </w:rPr>
              <w:t>is</w:t>
            </w:r>
            <w:r w:rsidRPr="00EC20A0">
              <w:rPr>
                <w:spacing w:val="-1"/>
                <w:sz w:val="18"/>
              </w:rPr>
              <w:t xml:space="preserve"> </w:t>
            </w:r>
            <w:r w:rsidRPr="00EC20A0">
              <w:rPr>
                <w:sz w:val="18"/>
              </w:rPr>
              <w:t>not</w:t>
            </w:r>
            <w:r w:rsidRPr="00EC20A0">
              <w:rPr>
                <w:spacing w:val="-1"/>
                <w:sz w:val="18"/>
              </w:rPr>
              <w:t xml:space="preserve"> </w:t>
            </w:r>
            <w:r w:rsidRPr="00EC20A0">
              <w:rPr>
                <w:sz w:val="18"/>
              </w:rPr>
              <w:t>able</w:t>
            </w:r>
            <w:r w:rsidRPr="00EC20A0">
              <w:rPr>
                <w:spacing w:val="-2"/>
                <w:sz w:val="18"/>
              </w:rPr>
              <w:t xml:space="preserve"> </w:t>
            </w:r>
            <w:r w:rsidRPr="00EC20A0">
              <w:rPr>
                <w:sz w:val="18"/>
              </w:rPr>
              <w:t>to</w:t>
            </w:r>
            <w:r w:rsidRPr="00EC20A0">
              <w:rPr>
                <w:spacing w:val="-2"/>
                <w:sz w:val="18"/>
              </w:rPr>
              <w:t xml:space="preserve"> </w:t>
            </w:r>
            <w:r w:rsidRPr="00EC20A0">
              <w:rPr>
                <w:sz w:val="18"/>
              </w:rPr>
              <w:t>b</w:t>
            </w:r>
            <w:r w:rsidRPr="00EC20A0">
              <w:rPr>
                <w:sz w:val="18"/>
              </w:rPr>
              <w:t>e determined</w:t>
            </w:r>
            <w:r w:rsidRPr="00EC20A0">
              <w:rPr>
                <w:spacing w:val="-2"/>
                <w:sz w:val="18"/>
              </w:rPr>
              <w:t xml:space="preserve"> </w:t>
            </w:r>
            <w:r w:rsidRPr="00EC20A0">
              <w:rPr>
                <w:sz w:val="18"/>
              </w:rPr>
              <w:t>and</w:t>
            </w:r>
            <w:r w:rsidRPr="00EC20A0">
              <w:rPr>
                <w:spacing w:val="-2"/>
                <w:sz w:val="18"/>
              </w:rPr>
              <w:t xml:space="preserve"> </w:t>
            </w:r>
            <w:r w:rsidRPr="00EC20A0">
              <w:rPr>
                <w:sz w:val="18"/>
              </w:rPr>
              <w:t>the</w:t>
            </w:r>
            <w:r w:rsidRPr="00EC20A0">
              <w:rPr>
                <w:spacing w:val="-2"/>
                <w:sz w:val="18"/>
              </w:rPr>
              <w:t xml:space="preserve"> </w:t>
            </w:r>
            <w:r w:rsidRPr="00EC20A0">
              <w:rPr>
                <w:sz w:val="18"/>
              </w:rPr>
              <w:t>estimated</w:t>
            </w:r>
            <w:r w:rsidRPr="00EC20A0">
              <w:rPr>
                <w:spacing w:val="-2"/>
                <w:sz w:val="18"/>
              </w:rPr>
              <w:t xml:space="preserve"> </w:t>
            </w:r>
            <w:r w:rsidRPr="00EC20A0">
              <w:rPr>
                <w:sz w:val="18"/>
              </w:rPr>
              <w:t>loss</w:t>
            </w:r>
            <w:r w:rsidRPr="00EC20A0">
              <w:rPr>
                <w:spacing w:val="-1"/>
                <w:sz w:val="18"/>
              </w:rPr>
              <w:t xml:space="preserve"> </w:t>
            </w:r>
            <w:r w:rsidRPr="00EC20A0">
              <w:rPr>
                <w:sz w:val="18"/>
              </w:rPr>
              <w:t>amount</w:t>
            </w:r>
            <w:r w:rsidRPr="00EC20A0">
              <w:rPr>
                <w:spacing w:val="-1"/>
                <w:sz w:val="18"/>
              </w:rPr>
              <w:t xml:space="preserve"> </w:t>
            </w:r>
            <w:r w:rsidRPr="00EC20A0">
              <w:rPr>
                <w:sz w:val="18"/>
              </w:rPr>
              <w:t>cannot</w:t>
            </w:r>
            <w:r w:rsidRPr="00EC20A0">
              <w:rPr>
                <w:spacing w:val="-1"/>
                <w:sz w:val="18"/>
              </w:rPr>
              <w:t xml:space="preserve"> </w:t>
            </w:r>
            <w:r w:rsidRPr="00EC20A0">
              <w:rPr>
                <w:sz w:val="18"/>
              </w:rPr>
              <w:t>be reasonably measured, provide the financial statement note number where the entity discloses the nature of the contingency and a statement that an estimate of the potential loss amount cannot be made.</w:t>
            </w:r>
          </w:p>
        </w:tc>
      </w:tr>
      <w:tr w:rsidR="00245300" w:rsidRPr="00EC20A0" w14:paraId="24D6226E" w14:textId="77777777">
        <w:trPr>
          <w:trHeight w:val="782"/>
        </w:trPr>
        <w:tc>
          <w:tcPr>
            <w:tcW w:w="21022" w:type="dxa"/>
          </w:tcPr>
          <w:p w14:paraId="24D6226D" w14:textId="77777777" w:rsidR="00245300" w:rsidRPr="00EC20A0" w:rsidRDefault="00F17249">
            <w:pPr>
              <w:pStyle w:val="TableParagraph"/>
              <w:spacing w:before="55"/>
              <w:ind w:left="575" w:right="66" w:hanging="526"/>
              <w:rPr>
                <w:sz w:val="18"/>
              </w:rPr>
            </w:pPr>
            <w:r w:rsidRPr="00EC20A0">
              <w:rPr>
                <w:sz w:val="18"/>
              </w:rPr>
              <w:t>(14) For amounts recorded in column 12 and note disclosures indicated in column 13, did the entity record/disclose the estimated loss, that is, dollar amounts, for probable and reasonably possible cases in accordance with requirements in SFFAS No. 5, paras. 38–41,</w:t>
            </w:r>
            <w:r w:rsidRPr="00EC20A0">
              <w:rPr>
                <w:spacing w:val="-1"/>
                <w:sz w:val="18"/>
              </w:rPr>
              <w:t xml:space="preserve"> </w:t>
            </w:r>
            <w:r w:rsidRPr="00EC20A0">
              <w:rPr>
                <w:sz w:val="18"/>
              </w:rPr>
              <w:t>-</w:t>
            </w:r>
            <w:r w:rsidRPr="00EC20A0">
              <w:rPr>
                <w:spacing w:val="-1"/>
                <w:sz w:val="18"/>
              </w:rPr>
              <w:t xml:space="preserve"> </w:t>
            </w:r>
            <w:r w:rsidRPr="00EC20A0">
              <w:rPr>
                <w:sz w:val="18"/>
              </w:rPr>
              <w:t>For</w:t>
            </w:r>
            <w:r w:rsidRPr="00EC20A0">
              <w:rPr>
                <w:spacing w:val="-1"/>
                <w:sz w:val="18"/>
              </w:rPr>
              <w:t xml:space="preserve"> </w:t>
            </w:r>
            <w:r w:rsidRPr="00EC20A0">
              <w:rPr>
                <w:sz w:val="18"/>
              </w:rPr>
              <w:t>probable and</w:t>
            </w:r>
            <w:r w:rsidRPr="00EC20A0">
              <w:rPr>
                <w:spacing w:val="-2"/>
                <w:sz w:val="18"/>
              </w:rPr>
              <w:t xml:space="preserve"> </w:t>
            </w:r>
            <w:r w:rsidRPr="00EC20A0">
              <w:rPr>
                <w:sz w:val="18"/>
              </w:rPr>
              <w:t>reasonably</w:t>
            </w:r>
            <w:r w:rsidRPr="00EC20A0">
              <w:rPr>
                <w:spacing w:val="-1"/>
                <w:sz w:val="18"/>
              </w:rPr>
              <w:t xml:space="preserve"> </w:t>
            </w:r>
            <w:r w:rsidRPr="00EC20A0">
              <w:rPr>
                <w:sz w:val="18"/>
              </w:rPr>
              <w:t>possible</w:t>
            </w:r>
            <w:r w:rsidRPr="00EC20A0">
              <w:rPr>
                <w:spacing w:val="-2"/>
                <w:sz w:val="18"/>
              </w:rPr>
              <w:t xml:space="preserve"> </w:t>
            </w:r>
            <w:r w:rsidRPr="00EC20A0">
              <w:rPr>
                <w:sz w:val="18"/>
              </w:rPr>
              <w:t>contingencies,</w:t>
            </w:r>
            <w:r w:rsidRPr="00EC20A0">
              <w:rPr>
                <w:spacing w:val="-1"/>
                <w:sz w:val="18"/>
              </w:rPr>
              <w:t xml:space="preserve"> </w:t>
            </w:r>
            <w:r w:rsidRPr="00EC20A0">
              <w:rPr>
                <w:sz w:val="18"/>
              </w:rPr>
              <w:t>indicate</w:t>
            </w:r>
            <w:r w:rsidRPr="00EC20A0">
              <w:rPr>
                <w:spacing w:val="-2"/>
                <w:sz w:val="18"/>
              </w:rPr>
              <w:t xml:space="preserve"> </w:t>
            </w:r>
            <w:r w:rsidRPr="00EC20A0">
              <w:rPr>
                <w:sz w:val="18"/>
              </w:rPr>
              <w:t>whether</w:t>
            </w:r>
            <w:r w:rsidRPr="00EC20A0">
              <w:rPr>
                <w:spacing w:val="-1"/>
                <w:sz w:val="18"/>
              </w:rPr>
              <w:t xml:space="preserve"> </w:t>
            </w:r>
            <w:r w:rsidRPr="00EC20A0">
              <w:rPr>
                <w:sz w:val="18"/>
              </w:rPr>
              <w:t>the</w:t>
            </w:r>
            <w:r w:rsidRPr="00EC20A0">
              <w:rPr>
                <w:spacing w:val="-2"/>
                <w:sz w:val="18"/>
              </w:rPr>
              <w:t xml:space="preserve"> </w:t>
            </w:r>
            <w:r w:rsidRPr="00EC20A0">
              <w:rPr>
                <w:sz w:val="18"/>
              </w:rPr>
              <w:t>entity</w:t>
            </w:r>
            <w:r w:rsidRPr="00EC20A0">
              <w:rPr>
                <w:spacing w:val="-1"/>
                <w:sz w:val="18"/>
              </w:rPr>
              <w:t xml:space="preserve"> </w:t>
            </w:r>
            <w:r w:rsidRPr="00EC20A0">
              <w:rPr>
                <w:sz w:val="18"/>
              </w:rPr>
              <w:t>reports,</w:t>
            </w:r>
            <w:r w:rsidRPr="00EC20A0">
              <w:rPr>
                <w:spacing w:val="-1"/>
                <w:sz w:val="18"/>
              </w:rPr>
              <w:t xml:space="preserve"> </w:t>
            </w:r>
            <w:r w:rsidRPr="00EC20A0">
              <w:rPr>
                <w:sz w:val="18"/>
              </w:rPr>
              <w:t>discloses,</w:t>
            </w:r>
            <w:r w:rsidRPr="00EC20A0">
              <w:rPr>
                <w:spacing w:val="-1"/>
                <w:sz w:val="18"/>
              </w:rPr>
              <w:t xml:space="preserve"> </w:t>
            </w:r>
            <w:r w:rsidRPr="00EC20A0">
              <w:rPr>
                <w:sz w:val="18"/>
              </w:rPr>
              <w:t>or</w:t>
            </w:r>
            <w:r w:rsidRPr="00EC20A0">
              <w:rPr>
                <w:spacing w:val="-1"/>
                <w:sz w:val="18"/>
              </w:rPr>
              <w:t xml:space="preserve"> </w:t>
            </w:r>
            <w:r w:rsidRPr="00EC20A0">
              <w:rPr>
                <w:sz w:val="18"/>
              </w:rPr>
              <w:t>both</w:t>
            </w:r>
            <w:r w:rsidRPr="00EC20A0">
              <w:rPr>
                <w:spacing w:val="-2"/>
                <w:sz w:val="18"/>
              </w:rPr>
              <w:t xml:space="preserve"> </w:t>
            </w:r>
            <w:r w:rsidRPr="00EC20A0">
              <w:rPr>
                <w:sz w:val="18"/>
              </w:rPr>
              <w:t>the amounts</w:t>
            </w:r>
            <w:r w:rsidRPr="00EC20A0">
              <w:rPr>
                <w:spacing w:val="-1"/>
                <w:sz w:val="18"/>
              </w:rPr>
              <w:t xml:space="preserve"> </w:t>
            </w:r>
            <w:r w:rsidRPr="00EC20A0">
              <w:rPr>
                <w:sz w:val="18"/>
              </w:rPr>
              <w:t>of</w:t>
            </w:r>
            <w:r w:rsidRPr="00EC20A0">
              <w:rPr>
                <w:spacing w:val="-1"/>
                <w:sz w:val="18"/>
              </w:rPr>
              <w:t xml:space="preserve"> </w:t>
            </w:r>
            <w:r w:rsidRPr="00EC20A0">
              <w:rPr>
                <w:sz w:val="18"/>
              </w:rPr>
              <w:t>potential</w:t>
            </w:r>
            <w:r w:rsidRPr="00EC20A0">
              <w:rPr>
                <w:spacing w:val="-1"/>
                <w:sz w:val="18"/>
              </w:rPr>
              <w:t xml:space="preserve"> </w:t>
            </w:r>
            <w:r w:rsidRPr="00EC20A0">
              <w:rPr>
                <w:sz w:val="18"/>
              </w:rPr>
              <w:t>loss</w:t>
            </w:r>
            <w:r w:rsidRPr="00EC20A0">
              <w:rPr>
                <w:spacing w:val="-1"/>
                <w:sz w:val="18"/>
              </w:rPr>
              <w:t xml:space="preserve"> </w:t>
            </w:r>
            <w:r w:rsidRPr="00EC20A0">
              <w:rPr>
                <w:sz w:val="18"/>
              </w:rPr>
              <w:t>(dollar</w:t>
            </w:r>
            <w:r w:rsidRPr="00EC20A0">
              <w:rPr>
                <w:spacing w:val="-1"/>
                <w:sz w:val="18"/>
              </w:rPr>
              <w:t xml:space="preserve"> </w:t>
            </w:r>
            <w:r w:rsidRPr="00EC20A0">
              <w:rPr>
                <w:sz w:val="18"/>
              </w:rPr>
              <w:t>amounts)</w:t>
            </w:r>
            <w:r w:rsidRPr="00EC20A0">
              <w:rPr>
                <w:spacing w:val="-1"/>
                <w:sz w:val="18"/>
              </w:rPr>
              <w:t xml:space="preserve"> </w:t>
            </w:r>
            <w:r w:rsidRPr="00EC20A0">
              <w:rPr>
                <w:sz w:val="18"/>
              </w:rPr>
              <w:t>on the</w:t>
            </w:r>
            <w:r w:rsidRPr="00EC20A0">
              <w:rPr>
                <w:spacing w:val="-2"/>
                <w:sz w:val="18"/>
              </w:rPr>
              <w:t xml:space="preserve"> </w:t>
            </w:r>
            <w:r w:rsidRPr="00EC20A0">
              <w:rPr>
                <w:sz w:val="18"/>
              </w:rPr>
              <w:t>financial</w:t>
            </w:r>
            <w:r w:rsidRPr="00EC20A0">
              <w:rPr>
                <w:spacing w:val="-1"/>
                <w:sz w:val="18"/>
              </w:rPr>
              <w:t xml:space="preserve"> </w:t>
            </w:r>
            <w:r w:rsidRPr="00EC20A0">
              <w:rPr>
                <w:sz w:val="18"/>
              </w:rPr>
              <w:t>statements,</w:t>
            </w:r>
            <w:r w:rsidRPr="00EC20A0">
              <w:rPr>
                <w:spacing w:val="-1"/>
                <w:sz w:val="18"/>
              </w:rPr>
              <w:t xml:space="preserve"> </w:t>
            </w:r>
            <w:r w:rsidRPr="00EC20A0">
              <w:rPr>
                <w:sz w:val="18"/>
              </w:rPr>
              <w:t>in</w:t>
            </w:r>
            <w:r w:rsidRPr="00EC20A0">
              <w:rPr>
                <w:spacing w:val="-2"/>
                <w:sz w:val="18"/>
              </w:rPr>
              <w:t xml:space="preserve"> </w:t>
            </w:r>
            <w:r w:rsidRPr="00EC20A0">
              <w:rPr>
                <w:sz w:val="18"/>
              </w:rPr>
              <w:t>the</w:t>
            </w:r>
            <w:r w:rsidRPr="00EC20A0">
              <w:rPr>
                <w:spacing w:val="-2"/>
                <w:sz w:val="18"/>
              </w:rPr>
              <w:t xml:space="preserve"> </w:t>
            </w:r>
            <w:r w:rsidRPr="00EC20A0">
              <w:rPr>
                <w:sz w:val="18"/>
              </w:rPr>
              <w:t>notes</w:t>
            </w:r>
            <w:r w:rsidRPr="00EC20A0">
              <w:rPr>
                <w:spacing w:val="-1"/>
                <w:sz w:val="18"/>
              </w:rPr>
              <w:t xml:space="preserve"> </w:t>
            </w:r>
            <w:r w:rsidRPr="00EC20A0">
              <w:rPr>
                <w:sz w:val="18"/>
              </w:rPr>
              <w:t>to</w:t>
            </w:r>
            <w:r w:rsidRPr="00EC20A0">
              <w:rPr>
                <w:spacing w:val="-2"/>
                <w:sz w:val="18"/>
              </w:rPr>
              <w:t xml:space="preserve"> </w:t>
            </w:r>
            <w:r w:rsidRPr="00EC20A0">
              <w:rPr>
                <w:sz w:val="18"/>
              </w:rPr>
              <w:t>the</w:t>
            </w:r>
            <w:r w:rsidRPr="00EC20A0">
              <w:rPr>
                <w:spacing w:val="-2"/>
                <w:sz w:val="18"/>
              </w:rPr>
              <w:t xml:space="preserve"> </w:t>
            </w:r>
            <w:r w:rsidRPr="00EC20A0">
              <w:rPr>
                <w:sz w:val="18"/>
              </w:rPr>
              <w:t>financial</w:t>
            </w:r>
            <w:r w:rsidRPr="00EC20A0">
              <w:rPr>
                <w:spacing w:val="-1"/>
                <w:sz w:val="18"/>
              </w:rPr>
              <w:t xml:space="preserve"> </w:t>
            </w:r>
            <w:r w:rsidRPr="00EC20A0">
              <w:rPr>
                <w:sz w:val="18"/>
              </w:rPr>
              <w:t>statements,</w:t>
            </w:r>
            <w:r w:rsidRPr="00EC20A0">
              <w:rPr>
                <w:spacing w:val="-1"/>
                <w:sz w:val="18"/>
              </w:rPr>
              <w:t xml:space="preserve"> </w:t>
            </w:r>
            <w:r w:rsidRPr="00EC20A0">
              <w:rPr>
                <w:sz w:val="18"/>
              </w:rPr>
              <w:t>or</w:t>
            </w:r>
            <w:r w:rsidRPr="00EC20A0">
              <w:rPr>
                <w:spacing w:val="-1"/>
                <w:sz w:val="18"/>
              </w:rPr>
              <w:t xml:space="preserve"> </w:t>
            </w:r>
            <w:r w:rsidRPr="00EC20A0">
              <w:rPr>
                <w:sz w:val="18"/>
              </w:rPr>
              <w:t>both</w:t>
            </w:r>
            <w:r w:rsidRPr="00EC20A0">
              <w:rPr>
                <w:spacing w:val="-2"/>
                <w:sz w:val="18"/>
              </w:rPr>
              <w:t xml:space="preserve"> </w:t>
            </w:r>
            <w:r w:rsidRPr="00EC20A0">
              <w:rPr>
                <w:sz w:val="18"/>
              </w:rPr>
              <w:t>in alignment</w:t>
            </w:r>
            <w:r w:rsidRPr="00EC20A0">
              <w:rPr>
                <w:spacing w:val="-1"/>
                <w:sz w:val="18"/>
              </w:rPr>
              <w:t xml:space="preserve"> </w:t>
            </w:r>
            <w:r w:rsidRPr="00EC20A0">
              <w:rPr>
                <w:sz w:val="18"/>
              </w:rPr>
              <w:t>with guidance in SFFAS No. 5, paras. 38–41.</w:t>
            </w:r>
          </w:p>
        </w:tc>
      </w:tr>
      <w:tr w:rsidR="00245300" w:rsidRPr="00EC20A0" w14:paraId="24D62272" w14:textId="77777777">
        <w:trPr>
          <w:trHeight w:val="998"/>
        </w:trPr>
        <w:tc>
          <w:tcPr>
            <w:tcW w:w="21022" w:type="dxa"/>
          </w:tcPr>
          <w:p w14:paraId="24D6226F" w14:textId="77777777" w:rsidR="00245300" w:rsidRPr="00EC20A0" w:rsidRDefault="00F17249">
            <w:pPr>
              <w:pStyle w:val="TableParagraph"/>
              <w:numPr>
                <w:ilvl w:val="0"/>
                <w:numId w:val="57"/>
              </w:numPr>
              <w:tabs>
                <w:tab w:val="left" w:pos="417"/>
              </w:tabs>
              <w:spacing w:before="100"/>
              <w:ind w:left="417" w:hanging="367"/>
              <w:rPr>
                <w:sz w:val="18"/>
              </w:rPr>
            </w:pPr>
            <w:r w:rsidRPr="00EC20A0">
              <w:rPr>
                <w:sz w:val="18"/>
              </w:rPr>
              <w:t>Do</w:t>
            </w:r>
            <w:r w:rsidRPr="00EC20A0">
              <w:rPr>
                <w:spacing w:val="-5"/>
                <w:sz w:val="18"/>
              </w:rPr>
              <w:t xml:space="preserve"> </w:t>
            </w:r>
            <w:r w:rsidRPr="00EC20A0">
              <w:rPr>
                <w:sz w:val="18"/>
              </w:rPr>
              <w:t>the</w:t>
            </w:r>
            <w:r w:rsidRPr="00EC20A0">
              <w:rPr>
                <w:spacing w:val="-3"/>
                <w:sz w:val="18"/>
              </w:rPr>
              <w:t xml:space="preserve"> </w:t>
            </w:r>
            <w:r w:rsidRPr="00EC20A0">
              <w:rPr>
                <w:sz w:val="18"/>
              </w:rPr>
              <w:t>amounts</w:t>
            </w:r>
            <w:r w:rsidRPr="00EC20A0">
              <w:rPr>
                <w:spacing w:val="-2"/>
                <w:sz w:val="18"/>
              </w:rPr>
              <w:t xml:space="preserve"> </w:t>
            </w:r>
            <w:r w:rsidRPr="00EC20A0">
              <w:rPr>
                <w:sz w:val="18"/>
              </w:rPr>
              <w:t>recorded in</w:t>
            </w:r>
            <w:r w:rsidRPr="00EC20A0">
              <w:rPr>
                <w:spacing w:val="-3"/>
                <w:sz w:val="18"/>
              </w:rPr>
              <w:t xml:space="preserve"> </w:t>
            </w:r>
            <w:r w:rsidRPr="00EC20A0">
              <w:rPr>
                <w:sz w:val="18"/>
              </w:rPr>
              <w:t>column</w:t>
            </w:r>
            <w:r w:rsidRPr="00EC20A0">
              <w:rPr>
                <w:spacing w:val="-3"/>
                <w:sz w:val="18"/>
              </w:rPr>
              <w:t xml:space="preserve"> </w:t>
            </w:r>
            <w:r w:rsidRPr="00EC20A0">
              <w:rPr>
                <w:sz w:val="18"/>
              </w:rPr>
              <w:t>12</w:t>
            </w:r>
            <w:r w:rsidRPr="00EC20A0">
              <w:rPr>
                <w:spacing w:val="-1"/>
                <w:sz w:val="18"/>
              </w:rPr>
              <w:t xml:space="preserve"> </w:t>
            </w:r>
            <w:r w:rsidRPr="00EC20A0">
              <w:rPr>
                <w:sz w:val="18"/>
              </w:rPr>
              <w:t>and</w:t>
            </w:r>
            <w:r w:rsidRPr="00EC20A0">
              <w:rPr>
                <w:spacing w:val="-3"/>
                <w:sz w:val="18"/>
              </w:rPr>
              <w:t xml:space="preserve"> </w:t>
            </w:r>
            <w:r w:rsidRPr="00EC20A0">
              <w:rPr>
                <w:sz w:val="18"/>
              </w:rPr>
              <w:t>note</w:t>
            </w:r>
            <w:r w:rsidRPr="00EC20A0">
              <w:rPr>
                <w:spacing w:val="-1"/>
                <w:sz w:val="18"/>
              </w:rPr>
              <w:t xml:space="preserve"> </w:t>
            </w:r>
            <w:r w:rsidRPr="00EC20A0">
              <w:rPr>
                <w:sz w:val="18"/>
              </w:rPr>
              <w:t>disclosures</w:t>
            </w:r>
            <w:r w:rsidRPr="00EC20A0">
              <w:rPr>
                <w:spacing w:val="-2"/>
                <w:sz w:val="18"/>
              </w:rPr>
              <w:t xml:space="preserve"> </w:t>
            </w:r>
            <w:r w:rsidRPr="00EC20A0">
              <w:rPr>
                <w:sz w:val="18"/>
              </w:rPr>
              <w:t>indicated</w:t>
            </w:r>
            <w:r w:rsidRPr="00EC20A0">
              <w:rPr>
                <w:spacing w:val="-2"/>
                <w:sz w:val="18"/>
              </w:rPr>
              <w:t xml:space="preserve"> </w:t>
            </w:r>
            <w:r w:rsidRPr="00EC20A0">
              <w:rPr>
                <w:sz w:val="18"/>
              </w:rPr>
              <w:t>in</w:t>
            </w:r>
            <w:r w:rsidRPr="00EC20A0">
              <w:rPr>
                <w:spacing w:val="-3"/>
                <w:sz w:val="18"/>
              </w:rPr>
              <w:t xml:space="preserve"> </w:t>
            </w:r>
            <w:r w:rsidRPr="00EC20A0">
              <w:rPr>
                <w:sz w:val="18"/>
              </w:rPr>
              <w:t>column</w:t>
            </w:r>
            <w:r w:rsidRPr="00EC20A0">
              <w:rPr>
                <w:spacing w:val="-3"/>
                <w:sz w:val="18"/>
              </w:rPr>
              <w:t xml:space="preserve"> </w:t>
            </w:r>
            <w:r w:rsidRPr="00EC20A0">
              <w:rPr>
                <w:sz w:val="18"/>
              </w:rPr>
              <w:t>13</w:t>
            </w:r>
            <w:r w:rsidRPr="00EC20A0">
              <w:rPr>
                <w:spacing w:val="-1"/>
                <w:sz w:val="18"/>
              </w:rPr>
              <w:t xml:space="preserve"> </w:t>
            </w:r>
            <w:r w:rsidRPr="00EC20A0">
              <w:rPr>
                <w:sz w:val="18"/>
              </w:rPr>
              <w:t>agree</w:t>
            </w:r>
            <w:r w:rsidRPr="00EC20A0">
              <w:rPr>
                <w:spacing w:val="-3"/>
                <w:sz w:val="18"/>
              </w:rPr>
              <w:t xml:space="preserve"> </w:t>
            </w:r>
            <w:r w:rsidRPr="00EC20A0">
              <w:rPr>
                <w:sz w:val="18"/>
              </w:rPr>
              <w:t>with</w:t>
            </w:r>
            <w:r w:rsidRPr="00EC20A0">
              <w:rPr>
                <w:spacing w:val="-2"/>
                <w:sz w:val="18"/>
              </w:rPr>
              <w:t xml:space="preserve"> </w:t>
            </w:r>
            <w:r w:rsidRPr="00EC20A0">
              <w:rPr>
                <w:sz w:val="18"/>
              </w:rPr>
              <w:t>the</w:t>
            </w:r>
            <w:r w:rsidRPr="00EC20A0">
              <w:rPr>
                <w:spacing w:val="-1"/>
                <w:sz w:val="18"/>
              </w:rPr>
              <w:t xml:space="preserve"> </w:t>
            </w:r>
            <w:r w:rsidRPr="00EC20A0">
              <w:rPr>
                <w:sz w:val="18"/>
              </w:rPr>
              <w:t>amounts</w:t>
            </w:r>
            <w:r w:rsidRPr="00EC20A0">
              <w:rPr>
                <w:spacing w:val="-2"/>
                <w:sz w:val="18"/>
              </w:rPr>
              <w:t xml:space="preserve"> </w:t>
            </w:r>
            <w:r w:rsidRPr="00EC20A0">
              <w:rPr>
                <w:sz w:val="18"/>
              </w:rPr>
              <w:t>in</w:t>
            </w:r>
            <w:r w:rsidRPr="00EC20A0">
              <w:rPr>
                <w:spacing w:val="-3"/>
                <w:sz w:val="18"/>
              </w:rPr>
              <w:t xml:space="preserve"> </w:t>
            </w:r>
            <w:r w:rsidRPr="00EC20A0">
              <w:rPr>
                <w:sz w:val="18"/>
              </w:rPr>
              <w:t>column</w:t>
            </w:r>
            <w:r w:rsidRPr="00EC20A0">
              <w:rPr>
                <w:spacing w:val="-2"/>
                <w:sz w:val="18"/>
              </w:rPr>
              <w:t xml:space="preserve"> </w:t>
            </w:r>
            <w:r w:rsidRPr="00EC20A0">
              <w:rPr>
                <w:spacing w:val="-5"/>
                <w:sz w:val="18"/>
              </w:rPr>
              <w:t>7?</w:t>
            </w:r>
          </w:p>
          <w:p w14:paraId="24D62270" w14:textId="77777777" w:rsidR="00245300" w:rsidRPr="00EC20A0" w:rsidRDefault="00245300">
            <w:pPr>
              <w:pStyle w:val="TableParagraph"/>
              <w:rPr>
                <w:sz w:val="18"/>
              </w:rPr>
            </w:pPr>
          </w:p>
          <w:p w14:paraId="24D62271" w14:textId="77777777" w:rsidR="00245300" w:rsidRPr="00EC20A0" w:rsidRDefault="00F17249">
            <w:pPr>
              <w:pStyle w:val="TableParagraph"/>
              <w:numPr>
                <w:ilvl w:val="0"/>
                <w:numId w:val="57"/>
              </w:numPr>
              <w:tabs>
                <w:tab w:val="left" w:pos="417"/>
                <w:tab w:val="left" w:pos="575"/>
              </w:tabs>
              <w:ind w:left="575" w:right="80" w:hanging="526"/>
              <w:rPr>
                <w:sz w:val="18"/>
              </w:rPr>
            </w:pPr>
            <w:r w:rsidRPr="00EC20A0">
              <w:rPr>
                <w:sz w:val="18"/>
              </w:rPr>
              <w:t>Provide</w:t>
            </w:r>
            <w:r w:rsidRPr="00EC20A0">
              <w:rPr>
                <w:spacing w:val="-2"/>
                <w:sz w:val="18"/>
              </w:rPr>
              <w:t xml:space="preserve"> </w:t>
            </w:r>
            <w:r w:rsidRPr="00EC20A0">
              <w:rPr>
                <w:sz w:val="18"/>
              </w:rPr>
              <w:t>an</w:t>
            </w:r>
            <w:r w:rsidRPr="00EC20A0">
              <w:rPr>
                <w:spacing w:val="-2"/>
                <w:sz w:val="18"/>
              </w:rPr>
              <w:t xml:space="preserve"> </w:t>
            </w:r>
            <w:r w:rsidRPr="00EC20A0">
              <w:rPr>
                <w:sz w:val="18"/>
              </w:rPr>
              <w:t>explanation</w:t>
            </w:r>
            <w:r w:rsidRPr="00EC20A0">
              <w:rPr>
                <w:spacing w:val="-2"/>
                <w:sz w:val="18"/>
              </w:rPr>
              <w:t xml:space="preserve"> </w:t>
            </w:r>
            <w:r w:rsidRPr="00EC20A0">
              <w:rPr>
                <w:sz w:val="18"/>
              </w:rPr>
              <w:t>for</w:t>
            </w:r>
            <w:r w:rsidRPr="00EC20A0">
              <w:rPr>
                <w:spacing w:val="-1"/>
                <w:sz w:val="18"/>
              </w:rPr>
              <w:t xml:space="preserve"> </w:t>
            </w:r>
            <w:r w:rsidRPr="00EC20A0">
              <w:rPr>
                <w:sz w:val="18"/>
              </w:rPr>
              <w:t>any</w:t>
            </w:r>
            <w:r w:rsidRPr="00EC20A0">
              <w:rPr>
                <w:spacing w:val="-1"/>
                <w:sz w:val="18"/>
              </w:rPr>
              <w:t xml:space="preserve"> </w:t>
            </w:r>
            <w:r w:rsidRPr="00EC20A0">
              <w:rPr>
                <w:sz w:val="18"/>
              </w:rPr>
              <w:t>“No”</w:t>
            </w:r>
            <w:r w:rsidRPr="00EC20A0">
              <w:rPr>
                <w:spacing w:val="-1"/>
                <w:sz w:val="18"/>
              </w:rPr>
              <w:t xml:space="preserve"> </w:t>
            </w:r>
            <w:r w:rsidRPr="00EC20A0">
              <w:rPr>
                <w:sz w:val="18"/>
              </w:rPr>
              <w:t>responses</w:t>
            </w:r>
            <w:r w:rsidRPr="00EC20A0">
              <w:rPr>
                <w:spacing w:val="-1"/>
                <w:sz w:val="18"/>
              </w:rPr>
              <w:t xml:space="preserve"> </w:t>
            </w:r>
            <w:r w:rsidRPr="00EC20A0">
              <w:rPr>
                <w:sz w:val="18"/>
              </w:rPr>
              <w:t>in</w:t>
            </w:r>
            <w:r w:rsidRPr="00EC20A0">
              <w:rPr>
                <w:spacing w:val="-2"/>
                <w:sz w:val="18"/>
              </w:rPr>
              <w:t xml:space="preserve"> </w:t>
            </w:r>
            <w:r w:rsidRPr="00EC20A0">
              <w:rPr>
                <w:sz w:val="18"/>
              </w:rPr>
              <w:t>column</w:t>
            </w:r>
            <w:r w:rsidRPr="00EC20A0">
              <w:rPr>
                <w:spacing w:val="-1"/>
                <w:sz w:val="18"/>
              </w:rPr>
              <w:t xml:space="preserve"> </w:t>
            </w:r>
            <w:r w:rsidRPr="00EC20A0">
              <w:rPr>
                <w:sz w:val="18"/>
              </w:rPr>
              <w:t>14,</w:t>
            </w:r>
            <w:r w:rsidRPr="00EC20A0">
              <w:rPr>
                <w:spacing w:val="-1"/>
                <w:sz w:val="18"/>
              </w:rPr>
              <w:t xml:space="preserve"> </w:t>
            </w:r>
            <w:r w:rsidRPr="00EC20A0">
              <w:rPr>
                <w:sz w:val="18"/>
              </w:rPr>
              <w:t>column 15,</w:t>
            </w:r>
            <w:r w:rsidRPr="00EC20A0">
              <w:rPr>
                <w:spacing w:val="-1"/>
                <w:sz w:val="18"/>
              </w:rPr>
              <w:t xml:space="preserve"> </w:t>
            </w:r>
            <w:r w:rsidRPr="00EC20A0">
              <w:rPr>
                <w:sz w:val="18"/>
              </w:rPr>
              <w:t>or</w:t>
            </w:r>
            <w:r w:rsidRPr="00EC20A0">
              <w:rPr>
                <w:spacing w:val="-1"/>
                <w:sz w:val="18"/>
              </w:rPr>
              <w:t xml:space="preserve"> </w:t>
            </w:r>
            <w:r w:rsidRPr="00EC20A0">
              <w:rPr>
                <w:sz w:val="18"/>
              </w:rPr>
              <w:t>both.</w:t>
            </w:r>
            <w:r w:rsidRPr="00EC20A0">
              <w:rPr>
                <w:spacing w:val="-1"/>
                <w:sz w:val="18"/>
              </w:rPr>
              <w:t xml:space="preserve"> </w:t>
            </w:r>
            <w:r w:rsidRPr="00EC20A0">
              <w:rPr>
                <w:sz w:val="18"/>
              </w:rPr>
              <w:t>-</w:t>
            </w:r>
            <w:r w:rsidRPr="00EC20A0">
              <w:rPr>
                <w:spacing w:val="-1"/>
                <w:sz w:val="18"/>
              </w:rPr>
              <w:t xml:space="preserve"> </w:t>
            </w:r>
            <w:r w:rsidRPr="00EC20A0">
              <w:rPr>
                <w:sz w:val="18"/>
              </w:rPr>
              <w:t>Provide</w:t>
            </w:r>
            <w:r w:rsidRPr="00EC20A0">
              <w:rPr>
                <w:spacing w:val="-2"/>
                <w:sz w:val="18"/>
              </w:rPr>
              <w:t xml:space="preserve"> </w:t>
            </w:r>
            <w:r w:rsidRPr="00EC20A0">
              <w:rPr>
                <w:sz w:val="18"/>
              </w:rPr>
              <w:t>an</w:t>
            </w:r>
            <w:r w:rsidRPr="00EC20A0">
              <w:rPr>
                <w:spacing w:val="-1"/>
                <w:sz w:val="18"/>
              </w:rPr>
              <w:t xml:space="preserve"> </w:t>
            </w:r>
            <w:r w:rsidRPr="00EC20A0">
              <w:rPr>
                <w:sz w:val="18"/>
              </w:rPr>
              <w:t>explanation</w:t>
            </w:r>
            <w:r w:rsidRPr="00EC20A0">
              <w:rPr>
                <w:spacing w:val="-1"/>
                <w:sz w:val="18"/>
              </w:rPr>
              <w:t xml:space="preserve"> </w:t>
            </w:r>
            <w:r w:rsidRPr="00EC20A0">
              <w:rPr>
                <w:sz w:val="18"/>
              </w:rPr>
              <w:t>for</w:t>
            </w:r>
            <w:r w:rsidRPr="00EC20A0">
              <w:rPr>
                <w:spacing w:val="-1"/>
                <w:sz w:val="18"/>
              </w:rPr>
              <w:t xml:space="preserve"> </w:t>
            </w:r>
            <w:r w:rsidRPr="00EC20A0">
              <w:rPr>
                <w:sz w:val="18"/>
              </w:rPr>
              <w:t>any</w:t>
            </w:r>
            <w:r w:rsidRPr="00EC20A0">
              <w:rPr>
                <w:spacing w:val="-1"/>
                <w:sz w:val="18"/>
              </w:rPr>
              <w:t xml:space="preserve"> </w:t>
            </w:r>
            <w:r w:rsidRPr="00EC20A0">
              <w:rPr>
                <w:sz w:val="18"/>
              </w:rPr>
              <w:t>instances</w:t>
            </w:r>
            <w:r w:rsidRPr="00EC20A0">
              <w:rPr>
                <w:spacing w:val="-1"/>
                <w:sz w:val="18"/>
              </w:rPr>
              <w:t xml:space="preserve"> </w:t>
            </w:r>
            <w:r w:rsidRPr="00EC20A0">
              <w:rPr>
                <w:sz w:val="18"/>
              </w:rPr>
              <w:t>in</w:t>
            </w:r>
            <w:r w:rsidRPr="00EC20A0">
              <w:rPr>
                <w:spacing w:val="-2"/>
                <w:sz w:val="18"/>
              </w:rPr>
              <w:t xml:space="preserve"> </w:t>
            </w:r>
            <w:r w:rsidRPr="00EC20A0">
              <w:rPr>
                <w:sz w:val="18"/>
              </w:rPr>
              <w:t>which</w:t>
            </w:r>
            <w:r w:rsidRPr="00EC20A0">
              <w:rPr>
                <w:spacing w:val="-2"/>
                <w:sz w:val="18"/>
              </w:rPr>
              <w:t xml:space="preserve"> </w:t>
            </w:r>
            <w:r w:rsidRPr="00EC20A0">
              <w:rPr>
                <w:sz w:val="18"/>
              </w:rPr>
              <w:t>the</w:t>
            </w:r>
            <w:r w:rsidRPr="00EC20A0">
              <w:rPr>
                <w:spacing w:val="-2"/>
                <w:sz w:val="18"/>
              </w:rPr>
              <w:t xml:space="preserve"> </w:t>
            </w:r>
            <w:r w:rsidRPr="00EC20A0">
              <w:rPr>
                <w:sz w:val="18"/>
              </w:rPr>
              <w:t>entity</w:t>
            </w:r>
            <w:r w:rsidRPr="00EC20A0">
              <w:rPr>
                <w:spacing w:val="-1"/>
                <w:sz w:val="18"/>
              </w:rPr>
              <w:t xml:space="preserve"> </w:t>
            </w:r>
            <w:r w:rsidRPr="00EC20A0">
              <w:rPr>
                <w:sz w:val="18"/>
              </w:rPr>
              <w:t>did</w:t>
            </w:r>
            <w:r w:rsidRPr="00EC20A0">
              <w:rPr>
                <w:spacing w:val="-2"/>
                <w:sz w:val="18"/>
              </w:rPr>
              <w:t xml:space="preserve"> </w:t>
            </w:r>
            <w:r w:rsidRPr="00EC20A0">
              <w:rPr>
                <w:sz w:val="18"/>
              </w:rPr>
              <w:t>not</w:t>
            </w:r>
            <w:r w:rsidRPr="00EC20A0">
              <w:rPr>
                <w:spacing w:val="-1"/>
                <w:sz w:val="18"/>
              </w:rPr>
              <w:t xml:space="preserve"> </w:t>
            </w:r>
            <w:r w:rsidRPr="00EC20A0">
              <w:rPr>
                <w:sz w:val="18"/>
              </w:rPr>
              <w:t>record</w:t>
            </w:r>
            <w:r w:rsidRPr="00EC20A0">
              <w:rPr>
                <w:spacing w:val="-2"/>
                <w:sz w:val="18"/>
              </w:rPr>
              <w:t xml:space="preserve"> </w:t>
            </w:r>
            <w:r w:rsidRPr="00EC20A0">
              <w:rPr>
                <w:sz w:val="18"/>
              </w:rPr>
              <w:t>on</w:t>
            </w:r>
            <w:r w:rsidRPr="00EC20A0">
              <w:rPr>
                <w:spacing w:val="-2"/>
                <w:sz w:val="18"/>
              </w:rPr>
              <w:t xml:space="preserve"> </w:t>
            </w:r>
            <w:r w:rsidRPr="00EC20A0">
              <w:rPr>
                <w:sz w:val="18"/>
              </w:rPr>
              <w:t>the</w:t>
            </w:r>
            <w:r w:rsidRPr="00EC20A0">
              <w:rPr>
                <w:spacing w:val="-2"/>
                <w:sz w:val="18"/>
              </w:rPr>
              <w:t xml:space="preserve"> </w:t>
            </w:r>
            <w:r w:rsidRPr="00EC20A0">
              <w:rPr>
                <w:sz w:val="18"/>
              </w:rPr>
              <w:t>financial</w:t>
            </w:r>
            <w:r w:rsidRPr="00EC20A0">
              <w:rPr>
                <w:spacing w:val="-1"/>
                <w:sz w:val="18"/>
              </w:rPr>
              <w:t xml:space="preserve"> </w:t>
            </w:r>
            <w:r w:rsidRPr="00EC20A0">
              <w:rPr>
                <w:sz w:val="18"/>
              </w:rPr>
              <w:t>statements</w:t>
            </w:r>
            <w:r w:rsidRPr="00EC20A0">
              <w:rPr>
                <w:spacing w:val="-1"/>
                <w:sz w:val="18"/>
              </w:rPr>
              <w:t xml:space="preserve"> </w:t>
            </w:r>
            <w:r w:rsidRPr="00EC20A0">
              <w:rPr>
                <w:sz w:val="18"/>
              </w:rPr>
              <w:t>or</w:t>
            </w:r>
            <w:r w:rsidRPr="00EC20A0">
              <w:rPr>
                <w:spacing w:val="-1"/>
                <w:sz w:val="18"/>
              </w:rPr>
              <w:t xml:space="preserve"> </w:t>
            </w:r>
            <w:r w:rsidRPr="00EC20A0">
              <w:rPr>
                <w:sz w:val="18"/>
              </w:rPr>
              <w:t>disclose</w:t>
            </w:r>
            <w:r w:rsidRPr="00EC20A0">
              <w:rPr>
                <w:spacing w:val="-2"/>
                <w:sz w:val="18"/>
              </w:rPr>
              <w:t xml:space="preserve"> </w:t>
            </w:r>
            <w:r w:rsidRPr="00EC20A0">
              <w:rPr>
                <w:sz w:val="18"/>
              </w:rPr>
              <w:t>in</w:t>
            </w:r>
            <w:r w:rsidRPr="00EC20A0">
              <w:rPr>
                <w:spacing w:val="-2"/>
                <w:sz w:val="18"/>
              </w:rPr>
              <w:t xml:space="preserve"> </w:t>
            </w:r>
            <w:r w:rsidRPr="00EC20A0">
              <w:rPr>
                <w:sz w:val="18"/>
              </w:rPr>
              <w:t>the</w:t>
            </w:r>
            <w:r w:rsidRPr="00EC20A0">
              <w:rPr>
                <w:spacing w:val="-2"/>
                <w:sz w:val="18"/>
              </w:rPr>
              <w:t xml:space="preserve"> </w:t>
            </w:r>
            <w:r w:rsidRPr="00EC20A0">
              <w:rPr>
                <w:sz w:val="18"/>
              </w:rPr>
              <w:t>notes</w:t>
            </w:r>
            <w:r w:rsidRPr="00EC20A0">
              <w:rPr>
                <w:spacing w:val="-1"/>
                <w:sz w:val="18"/>
              </w:rPr>
              <w:t xml:space="preserve"> </w:t>
            </w:r>
            <w:r w:rsidRPr="00EC20A0">
              <w:rPr>
                <w:sz w:val="18"/>
              </w:rPr>
              <w:t>to</w:t>
            </w:r>
            <w:r w:rsidRPr="00EC20A0">
              <w:rPr>
                <w:spacing w:val="-1"/>
                <w:sz w:val="18"/>
              </w:rPr>
              <w:t xml:space="preserve"> </w:t>
            </w:r>
            <w:r w:rsidRPr="00EC20A0">
              <w:rPr>
                <w:sz w:val="18"/>
              </w:rPr>
              <w:t>the</w:t>
            </w:r>
            <w:r w:rsidRPr="00EC20A0">
              <w:rPr>
                <w:spacing w:val="-2"/>
                <w:sz w:val="18"/>
              </w:rPr>
              <w:t xml:space="preserve"> </w:t>
            </w:r>
            <w:r w:rsidRPr="00EC20A0">
              <w:rPr>
                <w:sz w:val="18"/>
              </w:rPr>
              <w:t>financial</w:t>
            </w:r>
            <w:r w:rsidRPr="00EC20A0">
              <w:rPr>
                <w:spacing w:val="-1"/>
                <w:sz w:val="18"/>
              </w:rPr>
              <w:t xml:space="preserve"> </w:t>
            </w:r>
            <w:r w:rsidRPr="00EC20A0">
              <w:rPr>
                <w:sz w:val="18"/>
              </w:rPr>
              <w:t>statements</w:t>
            </w:r>
            <w:r w:rsidRPr="00EC20A0">
              <w:rPr>
                <w:spacing w:val="-1"/>
                <w:sz w:val="18"/>
              </w:rPr>
              <w:t xml:space="preserve"> </w:t>
            </w:r>
            <w:r w:rsidRPr="00EC20A0">
              <w:rPr>
                <w:sz w:val="18"/>
              </w:rPr>
              <w:t>contingencies</w:t>
            </w:r>
            <w:r w:rsidRPr="00EC20A0">
              <w:rPr>
                <w:spacing w:val="-1"/>
                <w:sz w:val="18"/>
              </w:rPr>
              <w:t xml:space="preserve"> </w:t>
            </w:r>
            <w:r w:rsidRPr="00EC20A0">
              <w:rPr>
                <w:sz w:val="18"/>
              </w:rPr>
              <w:t xml:space="preserve">meeting the criteria for recognition and/or disclosure in SFFAS No. 5, pars. </w:t>
            </w:r>
            <w:r w:rsidRPr="00EC20A0">
              <w:rPr>
                <w:sz w:val="18"/>
              </w:rPr>
              <w:t>39-41.</w:t>
            </w:r>
          </w:p>
        </w:tc>
      </w:tr>
      <w:tr w:rsidR="00245300" w:rsidRPr="00EC20A0" w14:paraId="24D62274" w14:textId="77777777">
        <w:trPr>
          <w:trHeight w:val="755"/>
        </w:trPr>
        <w:tc>
          <w:tcPr>
            <w:tcW w:w="21022" w:type="dxa"/>
          </w:tcPr>
          <w:p w14:paraId="24D62273" w14:textId="77777777" w:rsidR="00245300" w:rsidRPr="00EC20A0" w:rsidRDefault="00F17249">
            <w:pPr>
              <w:pStyle w:val="TableParagraph"/>
              <w:spacing w:before="64"/>
              <w:ind w:left="575" w:right="66" w:hanging="526"/>
              <w:rPr>
                <w:sz w:val="18"/>
              </w:rPr>
            </w:pPr>
            <w:r w:rsidRPr="00EC20A0">
              <w:rPr>
                <w:sz w:val="18"/>
              </w:rPr>
              <w:t>(17)</w:t>
            </w:r>
            <w:r w:rsidRPr="00EC20A0">
              <w:rPr>
                <w:spacing w:val="-1"/>
                <w:sz w:val="18"/>
              </w:rPr>
              <w:t xml:space="preserve"> </w:t>
            </w:r>
            <w:r w:rsidRPr="00EC20A0">
              <w:rPr>
                <w:sz w:val="18"/>
              </w:rPr>
              <w:t>If</w:t>
            </w:r>
            <w:r w:rsidRPr="00EC20A0">
              <w:rPr>
                <w:spacing w:val="-1"/>
                <w:sz w:val="18"/>
              </w:rPr>
              <w:t xml:space="preserve"> </w:t>
            </w:r>
            <w:r w:rsidRPr="00EC20A0">
              <w:rPr>
                <w:sz w:val="18"/>
              </w:rPr>
              <w:t>updates to</w:t>
            </w:r>
            <w:r w:rsidRPr="00EC20A0">
              <w:rPr>
                <w:spacing w:val="-1"/>
                <w:sz w:val="18"/>
              </w:rPr>
              <w:t xml:space="preserve"> </w:t>
            </w:r>
            <w:r w:rsidRPr="00EC20A0">
              <w:rPr>
                <w:sz w:val="18"/>
              </w:rPr>
              <w:t>case(s)</w:t>
            </w:r>
            <w:r w:rsidRPr="00EC20A0">
              <w:rPr>
                <w:spacing w:val="-1"/>
                <w:sz w:val="18"/>
              </w:rPr>
              <w:t xml:space="preserve"> </w:t>
            </w:r>
            <w:r w:rsidRPr="00EC20A0">
              <w:rPr>
                <w:sz w:val="18"/>
              </w:rPr>
              <w:t>were</w:t>
            </w:r>
            <w:r w:rsidRPr="00EC20A0">
              <w:rPr>
                <w:spacing w:val="-2"/>
                <w:sz w:val="18"/>
              </w:rPr>
              <w:t xml:space="preserve"> </w:t>
            </w:r>
            <w:r w:rsidRPr="00EC20A0">
              <w:rPr>
                <w:sz w:val="18"/>
              </w:rPr>
              <w:t>provided</w:t>
            </w:r>
            <w:r w:rsidRPr="00EC20A0">
              <w:rPr>
                <w:spacing w:val="-2"/>
                <w:sz w:val="18"/>
              </w:rPr>
              <w:t xml:space="preserve"> </w:t>
            </w:r>
            <w:r w:rsidRPr="00EC20A0">
              <w:rPr>
                <w:sz w:val="18"/>
              </w:rPr>
              <w:t>in</w:t>
            </w:r>
            <w:r w:rsidRPr="00EC20A0">
              <w:rPr>
                <w:spacing w:val="-2"/>
                <w:sz w:val="18"/>
              </w:rPr>
              <w:t xml:space="preserve"> </w:t>
            </w:r>
            <w:r w:rsidRPr="00EC20A0">
              <w:rPr>
                <w:sz w:val="18"/>
              </w:rPr>
              <w:t>the</w:t>
            </w:r>
            <w:r w:rsidRPr="00EC20A0">
              <w:rPr>
                <w:spacing w:val="-1"/>
                <w:sz w:val="18"/>
              </w:rPr>
              <w:t xml:space="preserve"> </w:t>
            </w:r>
            <w:r w:rsidRPr="00EC20A0">
              <w:rPr>
                <w:sz w:val="18"/>
              </w:rPr>
              <w:t>final</w:t>
            </w:r>
            <w:r w:rsidRPr="00EC20A0">
              <w:rPr>
                <w:spacing w:val="-1"/>
                <w:sz w:val="18"/>
              </w:rPr>
              <w:t xml:space="preserve"> </w:t>
            </w:r>
            <w:r w:rsidRPr="00EC20A0">
              <w:rPr>
                <w:sz w:val="18"/>
              </w:rPr>
              <w:t>legal</w:t>
            </w:r>
            <w:r w:rsidRPr="00EC20A0">
              <w:rPr>
                <w:spacing w:val="-1"/>
                <w:sz w:val="18"/>
              </w:rPr>
              <w:t xml:space="preserve"> </w:t>
            </w:r>
            <w:r w:rsidRPr="00EC20A0">
              <w:rPr>
                <w:sz w:val="18"/>
              </w:rPr>
              <w:t>counsel</w:t>
            </w:r>
            <w:r w:rsidRPr="00EC20A0">
              <w:rPr>
                <w:spacing w:val="-1"/>
                <w:sz w:val="18"/>
              </w:rPr>
              <w:t xml:space="preserve"> </w:t>
            </w:r>
            <w:r w:rsidRPr="00EC20A0">
              <w:rPr>
                <w:sz w:val="18"/>
              </w:rPr>
              <w:t>response,</w:t>
            </w:r>
            <w:r w:rsidRPr="00EC20A0">
              <w:rPr>
                <w:spacing w:val="-1"/>
                <w:sz w:val="18"/>
              </w:rPr>
              <w:t xml:space="preserve"> </w:t>
            </w:r>
            <w:r w:rsidRPr="00EC20A0">
              <w:rPr>
                <w:sz w:val="18"/>
              </w:rPr>
              <w:t>were</w:t>
            </w:r>
            <w:r w:rsidRPr="00EC20A0">
              <w:rPr>
                <w:spacing w:val="-2"/>
                <w:sz w:val="18"/>
              </w:rPr>
              <w:t xml:space="preserve"> </w:t>
            </w:r>
            <w:r w:rsidRPr="00EC20A0">
              <w:rPr>
                <w:sz w:val="18"/>
              </w:rPr>
              <w:t>these updates</w:t>
            </w:r>
            <w:r w:rsidRPr="00EC20A0">
              <w:rPr>
                <w:spacing w:val="-1"/>
                <w:sz w:val="18"/>
              </w:rPr>
              <w:t xml:space="preserve"> </w:t>
            </w:r>
            <w:r w:rsidRPr="00EC20A0">
              <w:rPr>
                <w:sz w:val="18"/>
              </w:rPr>
              <w:t>related</w:t>
            </w:r>
            <w:r w:rsidRPr="00EC20A0">
              <w:rPr>
                <w:spacing w:val="-2"/>
                <w:sz w:val="18"/>
              </w:rPr>
              <w:t xml:space="preserve"> </w:t>
            </w:r>
            <w:r w:rsidRPr="00EC20A0">
              <w:rPr>
                <w:sz w:val="18"/>
              </w:rPr>
              <w:t>to</w:t>
            </w:r>
            <w:r w:rsidRPr="00EC20A0">
              <w:rPr>
                <w:spacing w:val="-2"/>
                <w:sz w:val="18"/>
              </w:rPr>
              <w:t xml:space="preserve"> </w:t>
            </w:r>
            <w:r w:rsidRPr="00EC20A0">
              <w:rPr>
                <w:sz w:val="18"/>
              </w:rPr>
              <w:t>likelihood of</w:t>
            </w:r>
            <w:r w:rsidRPr="00EC20A0">
              <w:rPr>
                <w:spacing w:val="-1"/>
                <w:sz w:val="18"/>
              </w:rPr>
              <w:t xml:space="preserve"> </w:t>
            </w:r>
            <w:r w:rsidRPr="00EC20A0">
              <w:rPr>
                <w:sz w:val="18"/>
              </w:rPr>
              <w:t>loss,</w:t>
            </w:r>
            <w:r w:rsidRPr="00EC20A0">
              <w:rPr>
                <w:spacing w:val="-1"/>
                <w:sz w:val="18"/>
              </w:rPr>
              <w:t xml:space="preserve"> </w:t>
            </w:r>
            <w:r w:rsidRPr="00EC20A0">
              <w:rPr>
                <w:sz w:val="18"/>
              </w:rPr>
              <w:t>estimated</w:t>
            </w:r>
            <w:r w:rsidRPr="00EC20A0">
              <w:rPr>
                <w:spacing w:val="-2"/>
                <w:sz w:val="18"/>
              </w:rPr>
              <w:t xml:space="preserve"> </w:t>
            </w:r>
            <w:r w:rsidRPr="00EC20A0">
              <w:rPr>
                <w:sz w:val="18"/>
              </w:rPr>
              <w:t>amount or</w:t>
            </w:r>
            <w:r w:rsidRPr="00EC20A0">
              <w:rPr>
                <w:spacing w:val="-1"/>
                <w:sz w:val="18"/>
              </w:rPr>
              <w:t xml:space="preserve"> </w:t>
            </w:r>
            <w:r w:rsidRPr="00EC20A0">
              <w:rPr>
                <w:sz w:val="18"/>
              </w:rPr>
              <w:t>range</w:t>
            </w:r>
            <w:r w:rsidRPr="00EC20A0">
              <w:rPr>
                <w:spacing w:val="-2"/>
                <w:sz w:val="18"/>
              </w:rPr>
              <w:t xml:space="preserve"> </w:t>
            </w:r>
            <w:r w:rsidRPr="00EC20A0">
              <w:rPr>
                <w:sz w:val="18"/>
              </w:rPr>
              <w:t>of</w:t>
            </w:r>
            <w:r w:rsidRPr="00EC20A0">
              <w:rPr>
                <w:spacing w:val="-1"/>
                <w:sz w:val="18"/>
              </w:rPr>
              <w:t xml:space="preserve"> </w:t>
            </w:r>
            <w:r w:rsidRPr="00EC20A0">
              <w:rPr>
                <w:sz w:val="18"/>
              </w:rPr>
              <w:t>potential</w:t>
            </w:r>
            <w:r w:rsidRPr="00EC20A0">
              <w:rPr>
                <w:spacing w:val="-1"/>
                <w:sz w:val="18"/>
              </w:rPr>
              <w:t xml:space="preserve"> </w:t>
            </w:r>
            <w:r w:rsidRPr="00EC20A0">
              <w:rPr>
                <w:sz w:val="18"/>
              </w:rPr>
              <w:t>loss,</w:t>
            </w:r>
            <w:r w:rsidRPr="00EC20A0">
              <w:rPr>
                <w:spacing w:val="-1"/>
                <w:sz w:val="18"/>
              </w:rPr>
              <w:t xml:space="preserve"> </w:t>
            </w:r>
            <w:r w:rsidRPr="00EC20A0">
              <w:rPr>
                <w:sz w:val="18"/>
              </w:rPr>
              <w:t>new</w:t>
            </w:r>
            <w:r w:rsidRPr="00EC20A0">
              <w:rPr>
                <w:spacing w:val="-1"/>
                <w:sz w:val="18"/>
              </w:rPr>
              <w:t xml:space="preserve"> </w:t>
            </w:r>
            <w:r w:rsidRPr="00EC20A0">
              <w:rPr>
                <w:sz w:val="18"/>
              </w:rPr>
              <w:t>case,</w:t>
            </w:r>
            <w:r w:rsidRPr="00EC20A0">
              <w:rPr>
                <w:spacing w:val="-1"/>
                <w:sz w:val="18"/>
              </w:rPr>
              <w:t xml:space="preserve"> </w:t>
            </w:r>
            <w:r w:rsidRPr="00EC20A0">
              <w:rPr>
                <w:sz w:val="18"/>
              </w:rPr>
              <w:t>no</w:t>
            </w:r>
            <w:r w:rsidRPr="00EC20A0">
              <w:rPr>
                <w:spacing w:val="-2"/>
                <w:sz w:val="18"/>
              </w:rPr>
              <w:t xml:space="preserve"> </w:t>
            </w:r>
            <w:r w:rsidRPr="00EC20A0">
              <w:rPr>
                <w:sz w:val="18"/>
              </w:rPr>
              <w:t>longer</w:t>
            </w:r>
            <w:r w:rsidRPr="00EC20A0">
              <w:rPr>
                <w:spacing w:val="-1"/>
                <w:sz w:val="18"/>
              </w:rPr>
              <w:t xml:space="preserve"> </w:t>
            </w:r>
            <w:r w:rsidRPr="00EC20A0">
              <w:rPr>
                <w:sz w:val="18"/>
              </w:rPr>
              <w:t>pending,</w:t>
            </w:r>
            <w:r w:rsidRPr="00EC20A0">
              <w:rPr>
                <w:spacing w:val="-1"/>
                <w:sz w:val="18"/>
              </w:rPr>
              <w:t xml:space="preserve"> </w:t>
            </w:r>
            <w:r w:rsidRPr="00EC20A0">
              <w:rPr>
                <w:sz w:val="18"/>
              </w:rPr>
              <w:t>progress</w:t>
            </w:r>
            <w:r w:rsidRPr="00EC20A0">
              <w:rPr>
                <w:spacing w:val="-1"/>
                <w:sz w:val="18"/>
              </w:rPr>
              <w:t xml:space="preserve"> </w:t>
            </w:r>
            <w:r w:rsidRPr="00EC20A0">
              <w:rPr>
                <w:sz w:val="18"/>
              </w:rPr>
              <w:t>update, other,</w:t>
            </w:r>
            <w:r w:rsidRPr="00EC20A0">
              <w:rPr>
                <w:spacing w:val="-1"/>
                <w:sz w:val="18"/>
              </w:rPr>
              <w:t xml:space="preserve"> </w:t>
            </w:r>
            <w:r w:rsidRPr="00EC20A0">
              <w:rPr>
                <w:sz w:val="18"/>
              </w:rPr>
              <w:t>or</w:t>
            </w:r>
            <w:r w:rsidRPr="00EC20A0">
              <w:rPr>
                <w:spacing w:val="-1"/>
                <w:sz w:val="18"/>
              </w:rPr>
              <w:t xml:space="preserve"> </w:t>
            </w:r>
            <w:r w:rsidRPr="00EC20A0">
              <w:rPr>
                <w:sz w:val="18"/>
              </w:rPr>
              <w:t>no</w:t>
            </w:r>
            <w:r w:rsidRPr="00EC20A0">
              <w:rPr>
                <w:spacing w:val="-1"/>
                <w:sz w:val="18"/>
              </w:rPr>
              <w:t xml:space="preserve"> </w:t>
            </w:r>
            <w:r w:rsidRPr="00EC20A0">
              <w:rPr>
                <w:sz w:val="18"/>
              </w:rPr>
              <w:t>updates</w:t>
            </w:r>
            <w:r w:rsidRPr="00EC20A0">
              <w:rPr>
                <w:spacing w:val="-1"/>
                <w:sz w:val="18"/>
              </w:rPr>
              <w:t xml:space="preserve"> </w:t>
            </w:r>
            <w:r w:rsidRPr="00EC20A0">
              <w:rPr>
                <w:sz w:val="18"/>
              </w:rPr>
              <w:t>since</w:t>
            </w:r>
            <w:r w:rsidRPr="00EC20A0">
              <w:rPr>
                <w:spacing w:val="-2"/>
                <w:sz w:val="18"/>
              </w:rPr>
              <w:t xml:space="preserve"> </w:t>
            </w:r>
            <w:r w:rsidRPr="00EC20A0">
              <w:rPr>
                <w:sz w:val="18"/>
              </w:rPr>
              <w:t>interim?</w:t>
            </w:r>
            <w:r w:rsidRPr="00EC20A0">
              <w:rPr>
                <w:spacing w:val="-2"/>
                <w:sz w:val="18"/>
              </w:rPr>
              <w:t xml:space="preserve"> </w:t>
            </w:r>
            <w:r w:rsidRPr="00EC20A0">
              <w:rPr>
                <w:sz w:val="18"/>
              </w:rPr>
              <w:t>-</w:t>
            </w:r>
            <w:r w:rsidRPr="00EC20A0">
              <w:rPr>
                <w:spacing w:val="-1"/>
                <w:sz w:val="18"/>
              </w:rPr>
              <w:t xml:space="preserve"> </w:t>
            </w:r>
            <w:r w:rsidRPr="00EC20A0">
              <w:rPr>
                <w:sz w:val="18"/>
              </w:rPr>
              <w:t xml:space="preserve">Indicate whether there were updates to case(s) between the entity’s interim and final legal counsel responses. If there is more than one type of update from interim, input one type of update (i.e., likelihood of loss, estimated amount or range of potential loss, new case, no longer pending, progress update, or other) and describe </w:t>
            </w:r>
            <w:r w:rsidRPr="00EC20A0">
              <w:rPr>
                <w:b/>
                <w:sz w:val="18"/>
                <w:u w:val="single"/>
              </w:rPr>
              <w:t>all</w:t>
            </w:r>
            <w:r w:rsidRPr="00EC20A0">
              <w:rPr>
                <w:b/>
                <w:sz w:val="18"/>
              </w:rPr>
              <w:t xml:space="preserve"> </w:t>
            </w:r>
            <w:r w:rsidRPr="00EC20A0">
              <w:rPr>
                <w:sz w:val="18"/>
              </w:rPr>
              <w:t>applicable updates in column 18. This requirement only applies to the final management schedule.</w:t>
            </w:r>
          </w:p>
        </w:tc>
      </w:tr>
      <w:tr w:rsidR="00245300" w:rsidRPr="00EC20A0" w14:paraId="24D62276" w14:textId="77777777">
        <w:trPr>
          <w:trHeight w:val="589"/>
        </w:trPr>
        <w:tc>
          <w:tcPr>
            <w:tcW w:w="21022" w:type="dxa"/>
          </w:tcPr>
          <w:p w14:paraId="24D62275" w14:textId="77777777" w:rsidR="00245300" w:rsidRPr="00EC20A0" w:rsidRDefault="00F17249">
            <w:pPr>
              <w:pStyle w:val="TableParagraph"/>
              <w:spacing w:before="64"/>
              <w:ind w:left="575" w:right="66" w:hanging="526"/>
              <w:rPr>
                <w:sz w:val="18"/>
              </w:rPr>
            </w:pPr>
            <w:r w:rsidRPr="00EC20A0">
              <w:rPr>
                <w:sz w:val="18"/>
              </w:rPr>
              <w:t>(18)</w:t>
            </w:r>
            <w:r w:rsidRPr="00EC20A0">
              <w:rPr>
                <w:spacing w:val="-1"/>
                <w:sz w:val="18"/>
              </w:rPr>
              <w:t xml:space="preserve"> </w:t>
            </w:r>
            <w:r w:rsidRPr="00EC20A0">
              <w:rPr>
                <w:sz w:val="18"/>
              </w:rPr>
              <w:t>Provide</w:t>
            </w:r>
            <w:r w:rsidRPr="00EC20A0">
              <w:rPr>
                <w:spacing w:val="-2"/>
                <w:sz w:val="18"/>
              </w:rPr>
              <w:t xml:space="preserve"> </w:t>
            </w:r>
            <w:r w:rsidRPr="00EC20A0">
              <w:rPr>
                <w:sz w:val="18"/>
              </w:rPr>
              <w:t>a brief</w:t>
            </w:r>
            <w:r w:rsidRPr="00EC20A0">
              <w:rPr>
                <w:spacing w:val="-1"/>
                <w:sz w:val="18"/>
              </w:rPr>
              <w:t xml:space="preserve"> </w:t>
            </w:r>
            <w:r w:rsidRPr="00EC20A0">
              <w:rPr>
                <w:sz w:val="18"/>
              </w:rPr>
              <w:t>description</w:t>
            </w:r>
            <w:r w:rsidRPr="00EC20A0">
              <w:rPr>
                <w:spacing w:val="-2"/>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update entered</w:t>
            </w:r>
            <w:r w:rsidRPr="00EC20A0">
              <w:rPr>
                <w:spacing w:val="-2"/>
                <w:sz w:val="18"/>
              </w:rPr>
              <w:t xml:space="preserve"> </w:t>
            </w:r>
            <w:r w:rsidRPr="00EC20A0">
              <w:rPr>
                <w:sz w:val="18"/>
              </w:rPr>
              <w:t>in</w:t>
            </w:r>
            <w:r w:rsidRPr="00EC20A0">
              <w:rPr>
                <w:spacing w:val="-2"/>
                <w:sz w:val="18"/>
              </w:rPr>
              <w:t xml:space="preserve"> </w:t>
            </w:r>
            <w:r w:rsidRPr="00EC20A0">
              <w:rPr>
                <w:sz w:val="18"/>
              </w:rPr>
              <w:t>column</w:t>
            </w:r>
            <w:r w:rsidRPr="00EC20A0">
              <w:rPr>
                <w:spacing w:val="-2"/>
                <w:sz w:val="18"/>
              </w:rPr>
              <w:t xml:space="preserve"> </w:t>
            </w:r>
            <w:r w:rsidRPr="00EC20A0">
              <w:rPr>
                <w:sz w:val="18"/>
              </w:rPr>
              <w:t>17.</w:t>
            </w:r>
            <w:r w:rsidRPr="00EC20A0">
              <w:rPr>
                <w:spacing w:val="-1"/>
                <w:sz w:val="18"/>
              </w:rPr>
              <w:t xml:space="preserve"> </w:t>
            </w:r>
            <w:r w:rsidRPr="00EC20A0">
              <w:rPr>
                <w:sz w:val="18"/>
              </w:rPr>
              <w:t>-</w:t>
            </w:r>
            <w:r w:rsidRPr="00EC20A0">
              <w:rPr>
                <w:spacing w:val="-1"/>
                <w:sz w:val="18"/>
              </w:rPr>
              <w:t xml:space="preserve"> </w:t>
            </w:r>
            <w:r w:rsidRPr="00EC20A0">
              <w:rPr>
                <w:sz w:val="18"/>
              </w:rPr>
              <w:t>Describe</w:t>
            </w:r>
            <w:r w:rsidRPr="00EC20A0">
              <w:rPr>
                <w:spacing w:val="-2"/>
                <w:sz w:val="18"/>
              </w:rPr>
              <w:t xml:space="preserve"> </w:t>
            </w:r>
            <w:r w:rsidRPr="00EC20A0">
              <w:rPr>
                <w:sz w:val="18"/>
              </w:rPr>
              <w:t>updates</w:t>
            </w:r>
            <w:r w:rsidRPr="00EC20A0">
              <w:rPr>
                <w:spacing w:val="-1"/>
                <w:sz w:val="18"/>
              </w:rPr>
              <w:t xml:space="preserve"> </w:t>
            </w:r>
            <w:r w:rsidRPr="00EC20A0">
              <w:rPr>
                <w:sz w:val="18"/>
              </w:rPr>
              <w:t>to</w:t>
            </w:r>
            <w:r w:rsidRPr="00EC20A0">
              <w:rPr>
                <w:spacing w:val="-2"/>
                <w:sz w:val="18"/>
              </w:rPr>
              <w:t xml:space="preserve"> </w:t>
            </w:r>
            <w:r w:rsidRPr="00EC20A0">
              <w:rPr>
                <w:sz w:val="18"/>
              </w:rPr>
              <w:t>likelihood</w:t>
            </w:r>
            <w:r w:rsidRPr="00EC20A0">
              <w:rPr>
                <w:spacing w:val="-2"/>
                <w:sz w:val="18"/>
              </w:rPr>
              <w:t xml:space="preserve"> </w:t>
            </w:r>
            <w:r w:rsidRPr="00EC20A0">
              <w:rPr>
                <w:sz w:val="18"/>
              </w:rPr>
              <w:t>of</w:t>
            </w:r>
            <w:r w:rsidRPr="00EC20A0">
              <w:rPr>
                <w:spacing w:val="-1"/>
                <w:sz w:val="18"/>
              </w:rPr>
              <w:t xml:space="preserve"> </w:t>
            </w:r>
            <w:r w:rsidRPr="00EC20A0">
              <w:rPr>
                <w:sz w:val="18"/>
              </w:rPr>
              <w:t>loss,</w:t>
            </w:r>
            <w:r w:rsidRPr="00EC20A0">
              <w:rPr>
                <w:spacing w:val="-1"/>
                <w:sz w:val="18"/>
              </w:rPr>
              <w:t xml:space="preserve"> </w:t>
            </w:r>
            <w:r w:rsidRPr="00EC20A0">
              <w:rPr>
                <w:sz w:val="18"/>
              </w:rPr>
              <w:t>estimated</w:t>
            </w:r>
            <w:r w:rsidRPr="00EC20A0">
              <w:rPr>
                <w:spacing w:val="-2"/>
                <w:sz w:val="18"/>
              </w:rPr>
              <w:t xml:space="preserve"> </w:t>
            </w:r>
            <w:r w:rsidRPr="00EC20A0">
              <w:rPr>
                <w:sz w:val="18"/>
              </w:rPr>
              <w:t>amount</w:t>
            </w:r>
            <w:r w:rsidRPr="00EC20A0">
              <w:rPr>
                <w:spacing w:val="-1"/>
                <w:sz w:val="18"/>
              </w:rPr>
              <w:t xml:space="preserve"> </w:t>
            </w:r>
            <w:r w:rsidRPr="00EC20A0">
              <w:rPr>
                <w:sz w:val="18"/>
              </w:rPr>
              <w:t>or range of</w:t>
            </w:r>
            <w:r w:rsidRPr="00EC20A0">
              <w:rPr>
                <w:spacing w:val="-1"/>
                <w:sz w:val="18"/>
              </w:rPr>
              <w:t xml:space="preserve"> </w:t>
            </w:r>
            <w:r w:rsidRPr="00EC20A0">
              <w:rPr>
                <w:sz w:val="18"/>
              </w:rPr>
              <w:t>potential</w:t>
            </w:r>
            <w:r w:rsidRPr="00EC20A0">
              <w:rPr>
                <w:spacing w:val="-1"/>
                <w:sz w:val="18"/>
              </w:rPr>
              <w:t xml:space="preserve"> </w:t>
            </w:r>
            <w:r w:rsidRPr="00EC20A0">
              <w:rPr>
                <w:sz w:val="18"/>
              </w:rPr>
              <w:t>loss,</w:t>
            </w:r>
            <w:r w:rsidRPr="00EC20A0">
              <w:rPr>
                <w:spacing w:val="-1"/>
                <w:sz w:val="18"/>
              </w:rPr>
              <w:t xml:space="preserve"> </w:t>
            </w:r>
            <w:r w:rsidRPr="00EC20A0">
              <w:rPr>
                <w:sz w:val="18"/>
              </w:rPr>
              <w:t>and/or</w:t>
            </w:r>
            <w:r w:rsidRPr="00EC20A0">
              <w:rPr>
                <w:spacing w:val="-1"/>
                <w:sz w:val="18"/>
              </w:rPr>
              <w:t xml:space="preserve"> </w:t>
            </w:r>
            <w:r w:rsidRPr="00EC20A0">
              <w:rPr>
                <w:sz w:val="18"/>
              </w:rPr>
              <w:t>other change</w:t>
            </w:r>
            <w:r w:rsidRPr="00EC20A0">
              <w:rPr>
                <w:spacing w:val="-2"/>
                <w:sz w:val="18"/>
              </w:rPr>
              <w:t xml:space="preserve"> </w:t>
            </w:r>
            <w:r w:rsidRPr="00EC20A0">
              <w:rPr>
                <w:sz w:val="18"/>
              </w:rPr>
              <w:t>indicated</w:t>
            </w:r>
            <w:r w:rsidRPr="00EC20A0">
              <w:rPr>
                <w:spacing w:val="-2"/>
                <w:sz w:val="18"/>
              </w:rPr>
              <w:t xml:space="preserve"> </w:t>
            </w:r>
            <w:r w:rsidRPr="00EC20A0">
              <w:rPr>
                <w:sz w:val="18"/>
              </w:rPr>
              <w:t>in</w:t>
            </w:r>
            <w:r w:rsidRPr="00EC20A0">
              <w:rPr>
                <w:spacing w:val="-2"/>
                <w:sz w:val="18"/>
              </w:rPr>
              <w:t xml:space="preserve"> </w:t>
            </w:r>
            <w:r w:rsidRPr="00EC20A0">
              <w:rPr>
                <w:sz w:val="18"/>
              </w:rPr>
              <w:t>column 17.</w:t>
            </w:r>
            <w:r w:rsidRPr="00EC20A0">
              <w:rPr>
                <w:spacing w:val="-1"/>
                <w:sz w:val="18"/>
              </w:rPr>
              <w:t xml:space="preserve"> </w:t>
            </w:r>
            <w:r w:rsidRPr="00EC20A0">
              <w:rPr>
                <w:sz w:val="18"/>
              </w:rPr>
              <w:t>At</w:t>
            </w:r>
            <w:r w:rsidRPr="00EC20A0">
              <w:rPr>
                <w:spacing w:val="-1"/>
                <w:sz w:val="18"/>
              </w:rPr>
              <w:t xml:space="preserve"> </w:t>
            </w:r>
            <w:r w:rsidRPr="00EC20A0">
              <w:rPr>
                <w:sz w:val="18"/>
              </w:rPr>
              <w:t>a</w:t>
            </w:r>
            <w:r w:rsidRPr="00EC20A0">
              <w:rPr>
                <w:spacing w:val="-2"/>
                <w:sz w:val="18"/>
              </w:rPr>
              <w:t xml:space="preserve"> </w:t>
            </w:r>
            <w:r w:rsidRPr="00EC20A0">
              <w:rPr>
                <w:sz w:val="18"/>
              </w:rPr>
              <w:t>minimum,</w:t>
            </w:r>
            <w:r w:rsidRPr="00EC20A0">
              <w:rPr>
                <w:spacing w:val="-1"/>
                <w:sz w:val="18"/>
              </w:rPr>
              <w:t xml:space="preserve"> </w:t>
            </w:r>
            <w:r w:rsidRPr="00EC20A0">
              <w:rPr>
                <w:sz w:val="18"/>
              </w:rPr>
              <w:t>be</w:t>
            </w:r>
            <w:r w:rsidRPr="00EC20A0">
              <w:rPr>
                <w:spacing w:val="-2"/>
                <w:sz w:val="18"/>
              </w:rPr>
              <w:t xml:space="preserve"> </w:t>
            </w:r>
            <w:r w:rsidRPr="00EC20A0">
              <w:rPr>
                <w:sz w:val="18"/>
              </w:rPr>
              <w:t>sure</w:t>
            </w:r>
            <w:r w:rsidRPr="00EC20A0">
              <w:rPr>
                <w:spacing w:val="-1"/>
                <w:sz w:val="18"/>
              </w:rPr>
              <w:t xml:space="preserve"> </w:t>
            </w:r>
            <w:r w:rsidRPr="00EC20A0">
              <w:rPr>
                <w:sz w:val="18"/>
              </w:rPr>
              <w:t>to</w:t>
            </w:r>
            <w:r w:rsidRPr="00EC20A0">
              <w:rPr>
                <w:spacing w:val="-2"/>
                <w:sz w:val="18"/>
              </w:rPr>
              <w:t xml:space="preserve"> </w:t>
            </w:r>
            <w:r w:rsidRPr="00EC20A0">
              <w:rPr>
                <w:sz w:val="18"/>
              </w:rPr>
              <w:t>include</w:t>
            </w:r>
            <w:r w:rsidRPr="00EC20A0">
              <w:rPr>
                <w:spacing w:val="-2"/>
                <w:sz w:val="18"/>
              </w:rPr>
              <w:t xml:space="preserve"> </w:t>
            </w:r>
            <w:r w:rsidRPr="00EC20A0">
              <w:rPr>
                <w:sz w:val="18"/>
              </w:rPr>
              <w:t>any</w:t>
            </w:r>
            <w:r w:rsidRPr="00EC20A0">
              <w:rPr>
                <w:spacing w:val="-1"/>
                <w:sz w:val="18"/>
              </w:rPr>
              <w:t xml:space="preserve"> </w:t>
            </w:r>
            <w:r w:rsidRPr="00EC20A0">
              <w:rPr>
                <w:sz w:val="18"/>
              </w:rPr>
              <w:t>updates</w:t>
            </w:r>
            <w:r w:rsidRPr="00EC20A0">
              <w:rPr>
                <w:spacing w:val="-1"/>
                <w:sz w:val="18"/>
              </w:rPr>
              <w:t xml:space="preserve"> </w:t>
            </w:r>
            <w:r w:rsidRPr="00EC20A0">
              <w:rPr>
                <w:sz w:val="18"/>
              </w:rPr>
              <w:t>to</w:t>
            </w:r>
            <w:r w:rsidRPr="00EC20A0">
              <w:rPr>
                <w:spacing w:val="-2"/>
                <w:sz w:val="18"/>
              </w:rPr>
              <w:t xml:space="preserve"> </w:t>
            </w:r>
            <w:r w:rsidRPr="00EC20A0">
              <w:rPr>
                <w:sz w:val="18"/>
              </w:rPr>
              <w:t>likelihood</w:t>
            </w:r>
            <w:r w:rsidRPr="00EC20A0">
              <w:rPr>
                <w:spacing w:val="-2"/>
                <w:sz w:val="18"/>
              </w:rPr>
              <w:t xml:space="preserve"> </w:t>
            </w:r>
            <w:r w:rsidRPr="00EC20A0">
              <w:rPr>
                <w:sz w:val="18"/>
              </w:rPr>
              <w:t>of</w:t>
            </w:r>
            <w:r w:rsidRPr="00EC20A0">
              <w:rPr>
                <w:spacing w:val="-1"/>
                <w:sz w:val="18"/>
              </w:rPr>
              <w:t xml:space="preserve"> </w:t>
            </w:r>
            <w:r w:rsidRPr="00EC20A0">
              <w:rPr>
                <w:sz w:val="18"/>
              </w:rPr>
              <w:t xml:space="preserve">loss and estimated amount or range of </w:t>
            </w:r>
            <w:r w:rsidRPr="00EC20A0">
              <w:rPr>
                <w:sz w:val="18"/>
              </w:rPr>
              <w:t>potential loss. This requirement only applies to the final management schedule.</w:t>
            </w:r>
          </w:p>
        </w:tc>
      </w:tr>
      <w:tr w:rsidR="00245300" w:rsidRPr="00EC20A0" w14:paraId="24D62279" w14:textId="77777777">
        <w:trPr>
          <w:trHeight w:val="837"/>
        </w:trPr>
        <w:tc>
          <w:tcPr>
            <w:tcW w:w="21022" w:type="dxa"/>
          </w:tcPr>
          <w:p w14:paraId="24D62277" w14:textId="77777777" w:rsidR="00245300" w:rsidRPr="00EC20A0" w:rsidRDefault="00F17249">
            <w:pPr>
              <w:pStyle w:val="TableParagraph"/>
              <w:spacing w:before="104"/>
              <w:ind w:left="50"/>
              <w:rPr>
                <w:sz w:val="18"/>
              </w:rPr>
            </w:pPr>
            <w:r w:rsidRPr="00EC20A0">
              <w:rPr>
                <w:sz w:val="18"/>
              </w:rPr>
              <w:t>(19)</w:t>
            </w:r>
            <w:r w:rsidRPr="00EC20A0">
              <w:rPr>
                <w:spacing w:val="-2"/>
                <w:sz w:val="18"/>
              </w:rPr>
              <w:t xml:space="preserve"> </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lead</w:t>
            </w:r>
            <w:r w:rsidRPr="00EC20A0">
              <w:rPr>
                <w:spacing w:val="-1"/>
                <w:sz w:val="18"/>
              </w:rPr>
              <w:t xml:space="preserve"> </w:t>
            </w:r>
            <w:r w:rsidRPr="00EC20A0">
              <w:rPr>
                <w:sz w:val="18"/>
              </w:rPr>
              <w:t>counsel</w:t>
            </w:r>
            <w:r w:rsidRPr="00EC20A0">
              <w:rPr>
                <w:spacing w:val="-2"/>
                <w:sz w:val="18"/>
              </w:rPr>
              <w:t xml:space="preserve"> </w:t>
            </w:r>
            <w:r w:rsidRPr="00EC20A0">
              <w:rPr>
                <w:sz w:val="18"/>
              </w:rPr>
              <w:t>for</w:t>
            </w:r>
            <w:r w:rsidRPr="00EC20A0">
              <w:rPr>
                <w:spacing w:val="-2"/>
                <w:sz w:val="18"/>
              </w:rPr>
              <w:t xml:space="preserve"> </w:t>
            </w:r>
            <w:r w:rsidRPr="00EC20A0">
              <w:rPr>
                <w:sz w:val="18"/>
              </w:rPr>
              <w:t>the</w:t>
            </w:r>
            <w:r w:rsidRPr="00EC20A0">
              <w:rPr>
                <w:spacing w:val="-1"/>
                <w:sz w:val="18"/>
              </w:rPr>
              <w:t xml:space="preserve"> </w:t>
            </w:r>
            <w:r w:rsidRPr="00EC20A0">
              <w:rPr>
                <w:sz w:val="18"/>
              </w:rPr>
              <w:t>case</w:t>
            </w:r>
            <w:r w:rsidRPr="00EC20A0">
              <w:rPr>
                <w:spacing w:val="-3"/>
                <w:sz w:val="18"/>
              </w:rPr>
              <w:t xml:space="preserve"> </w:t>
            </w:r>
            <w:r w:rsidRPr="00EC20A0">
              <w:rPr>
                <w:sz w:val="18"/>
              </w:rPr>
              <w:t>is</w:t>
            </w:r>
            <w:r w:rsidRPr="00EC20A0">
              <w:rPr>
                <w:spacing w:val="-1"/>
                <w:sz w:val="18"/>
              </w:rPr>
              <w:t xml:space="preserve"> </w:t>
            </w:r>
            <w:r w:rsidRPr="00EC20A0">
              <w:rPr>
                <w:sz w:val="18"/>
              </w:rPr>
              <w:t>external</w:t>
            </w:r>
            <w:r w:rsidRPr="00EC20A0">
              <w:rPr>
                <w:spacing w:val="-2"/>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entity</w:t>
            </w:r>
            <w:r w:rsidRPr="00EC20A0">
              <w:rPr>
                <w:spacing w:val="-1"/>
                <w:sz w:val="18"/>
              </w:rPr>
              <w:t xml:space="preserve"> </w:t>
            </w:r>
            <w:r w:rsidRPr="00EC20A0">
              <w:rPr>
                <w:sz w:val="18"/>
              </w:rPr>
              <w:t>(e.g.,</w:t>
            </w:r>
            <w:r w:rsidRPr="00EC20A0">
              <w:rPr>
                <w:spacing w:val="-2"/>
                <w:sz w:val="18"/>
              </w:rPr>
              <w:t xml:space="preserve"> </w:t>
            </w:r>
            <w:r w:rsidRPr="00EC20A0">
              <w:rPr>
                <w:sz w:val="18"/>
              </w:rPr>
              <w:t>DOJ),</w:t>
            </w:r>
            <w:r w:rsidRPr="00EC20A0">
              <w:rPr>
                <w:spacing w:val="-2"/>
                <w:sz w:val="18"/>
              </w:rPr>
              <w:t xml:space="preserve"> </w:t>
            </w:r>
            <w:r w:rsidRPr="00EC20A0">
              <w:rPr>
                <w:sz w:val="18"/>
              </w:rPr>
              <w:t>does</w:t>
            </w:r>
            <w:r w:rsidRPr="00EC20A0">
              <w:rPr>
                <w:spacing w:val="-2"/>
                <w:sz w:val="18"/>
              </w:rPr>
              <w:t xml:space="preserve"> </w:t>
            </w:r>
            <w:r w:rsidRPr="00EC20A0">
              <w:rPr>
                <w:sz w:val="18"/>
              </w:rPr>
              <w:t>the</w:t>
            </w:r>
            <w:r w:rsidRPr="00EC20A0">
              <w:rPr>
                <w:spacing w:val="-2"/>
                <w:sz w:val="18"/>
              </w:rPr>
              <w:t xml:space="preserve"> </w:t>
            </w:r>
            <w:r w:rsidRPr="00EC20A0">
              <w:rPr>
                <w:sz w:val="18"/>
              </w:rPr>
              <w:t>lead</w:t>
            </w:r>
            <w:r w:rsidRPr="00EC20A0">
              <w:rPr>
                <w:spacing w:val="-3"/>
                <w:sz w:val="18"/>
              </w:rPr>
              <w:t xml:space="preserve"> </w:t>
            </w:r>
            <w:r w:rsidRPr="00EC20A0">
              <w:rPr>
                <w:sz w:val="18"/>
              </w:rPr>
              <w:t>counsel</w:t>
            </w:r>
            <w:r w:rsidRPr="00EC20A0">
              <w:rPr>
                <w:spacing w:val="-2"/>
                <w:sz w:val="18"/>
              </w:rPr>
              <w:t xml:space="preserve"> </w:t>
            </w:r>
            <w:r w:rsidRPr="00EC20A0">
              <w:rPr>
                <w:sz w:val="18"/>
              </w:rPr>
              <w:t>concur</w:t>
            </w:r>
            <w:r w:rsidRPr="00EC20A0">
              <w:rPr>
                <w:spacing w:val="-2"/>
                <w:sz w:val="18"/>
              </w:rPr>
              <w:t xml:space="preserve"> </w:t>
            </w:r>
            <w:r w:rsidRPr="00EC20A0">
              <w:rPr>
                <w:sz w:val="18"/>
              </w:rPr>
              <w:t>with</w:t>
            </w:r>
            <w:r w:rsidRPr="00EC20A0">
              <w:rPr>
                <w:spacing w:val="-3"/>
                <w:sz w:val="18"/>
              </w:rPr>
              <w:t xml:space="preserve"> </w:t>
            </w:r>
            <w:r w:rsidRPr="00EC20A0">
              <w:rPr>
                <w:sz w:val="18"/>
              </w:rPr>
              <w:t>the</w:t>
            </w:r>
            <w:r w:rsidRPr="00EC20A0">
              <w:rPr>
                <w:spacing w:val="-3"/>
                <w:sz w:val="18"/>
              </w:rPr>
              <w:t xml:space="preserve"> </w:t>
            </w:r>
            <w:r w:rsidRPr="00EC20A0">
              <w:rPr>
                <w:sz w:val="18"/>
              </w:rPr>
              <w:t>entity's</w:t>
            </w:r>
            <w:r w:rsidRPr="00EC20A0">
              <w:rPr>
                <w:spacing w:val="-2"/>
                <w:sz w:val="18"/>
              </w:rPr>
              <w:t xml:space="preserve"> </w:t>
            </w:r>
            <w:r w:rsidRPr="00EC20A0">
              <w:rPr>
                <w:sz w:val="18"/>
              </w:rPr>
              <w:t>assessments</w:t>
            </w:r>
            <w:r w:rsidRPr="00EC20A0">
              <w:rPr>
                <w:spacing w:val="-2"/>
                <w:sz w:val="18"/>
              </w:rPr>
              <w:t xml:space="preserve"> </w:t>
            </w:r>
            <w:r w:rsidRPr="00EC20A0">
              <w:rPr>
                <w:sz w:val="18"/>
              </w:rPr>
              <w:t>of</w:t>
            </w:r>
            <w:r w:rsidRPr="00EC20A0">
              <w:rPr>
                <w:spacing w:val="-1"/>
                <w:sz w:val="18"/>
              </w:rPr>
              <w:t xml:space="preserve"> </w:t>
            </w:r>
            <w:r w:rsidRPr="00EC20A0">
              <w:rPr>
                <w:sz w:val="18"/>
              </w:rPr>
              <w:t>the</w:t>
            </w:r>
            <w:r w:rsidRPr="00EC20A0">
              <w:rPr>
                <w:spacing w:val="-3"/>
                <w:sz w:val="18"/>
              </w:rPr>
              <w:t xml:space="preserve"> </w:t>
            </w:r>
            <w:r w:rsidRPr="00EC20A0">
              <w:rPr>
                <w:sz w:val="18"/>
              </w:rPr>
              <w:t>likelihood</w:t>
            </w:r>
            <w:r w:rsidRPr="00EC20A0">
              <w:rPr>
                <w:spacing w:val="-3"/>
                <w:sz w:val="18"/>
              </w:rPr>
              <w:t xml:space="preserve"> </w:t>
            </w:r>
            <w:r w:rsidRPr="00EC20A0">
              <w:rPr>
                <w:sz w:val="18"/>
              </w:rPr>
              <w:t>of</w:t>
            </w:r>
            <w:r w:rsidRPr="00EC20A0">
              <w:rPr>
                <w:spacing w:val="-2"/>
                <w:sz w:val="18"/>
              </w:rPr>
              <w:t xml:space="preserve"> </w:t>
            </w:r>
            <w:r w:rsidRPr="00EC20A0">
              <w:rPr>
                <w:sz w:val="18"/>
              </w:rPr>
              <w:t>loss</w:t>
            </w:r>
            <w:r w:rsidRPr="00EC20A0">
              <w:rPr>
                <w:spacing w:val="-2"/>
                <w:sz w:val="18"/>
              </w:rPr>
              <w:t xml:space="preserve"> </w:t>
            </w:r>
            <w:r w:rsidRPr="00EC20A0">
              <w:rPr>
                <w:sz w:val="18"/>
              </w:rPr>
              <w:t>and</w:t>
            </w:r>
            <w:r w:rsidRPr="00EC20A0">
              <w:rPr>
                <w:spacing w:val="-3"/>
                <w:sz w:val="18"/>
              </w:rPr>
              <w:t xml:space="preserve"> </w:t>
            </w:r>
            <w:r w:rsidRPr="00EC20A0">
              <w:rPr>
                <w:sz w:val="18"/>
              </w:rPr>
              <w:t>estimated</w:t>
            </w:r>
            <w:r w:rsidRPr="00EC20A0">
              <w:rPr>
                <w:spacing w:val="-3"/>
                <w:sz w:val="18"/>
              </w:rPr>
              <w:t xml:space="preserve"> </w:t>
            </w:r>
            <w:r w:rsidRPr="00EC20A0">
              <w:rPr>
                <w:sz w:val="18"/>
              </w:rPr>
              <w:t>amount or</w:t>
            </w:r>
            <w:r w:rsidRPr="00EC20A0">
              <w:rPr>
                <w:spacing w:val="-1"/>
                <w:sz w:val="18"/>
              </w:rPr>
              <w:t xml:space="preserve"> </w:t>
            </w:r>
            <w:r w:rsidRPr="00EC20A0">
              <w:rPr>
                <w:sz w:val="18"/>
              </w:rPr>
              <w:t>range</w:t>
            </w:r>
            <w:r w:rsidRPr="00EC20A0">
              <w:rPr>
                <w:spacing w:val="-3"/>
                <w:sz w:val="18"/>
              </w:rPr>
              <w:t xml:space="preserve"> </w:t>
            </w:r>
            <w:r w:rsidRPr="00EC20A0">
              <w:rPr>
                <w:sz w:val="18"/>
              </w:rPr>
              <w:t>of</w:t>
            </w:r>
            <w:r w:rsidRPr="00EC20A0">
              <w:rPr>
                <w:spacing w:val="-2"/>
                <w:sz w:val="18"/>
              </w:rPr>
              <w:t xml:space="preserve"> </w:t>
            </w:r>
            <w:r w:rsidRPr="00EC20A0">
              <w:rPr>
                <w:sz w:val="18"/>
              </w:rPr>
              <w:t>potential</w:t>
            </w:r>
            <w:r w:rsidRPr="00EC20A0">
              <w:rPr>
                <w:spacing w:val="-2"/>
                <w:sz w:val="18"/>
              </w:rPr>
              <w:t xml:space="preserve"> </w:t>
            </w:r>
            <w:r w:rsidRPr="00EC20A0">
              <w:rPr>
                <w:sz w:val="18"/>
              </w:rPr>
              <w:t>loss?</w:t>
            </w:r>
            <w:r w:rsidRPr="00EC20A0">
              <w:rPr>
                <w:spacing w:val="-3"/>
                <w:sz w:val="18"/>
              </w:rPr>
              <w:t xml:space="preserve"> </w:t>
            </w:r>
            <w:r w:rsidRPr="00EC20A0">
              <w:rPr>
                <w:sz w:val="18"/>
              </w:rPr>
              <w:t>If</w:t>
            </w:r>
            <w:r w:rsidRPr="00EC20A0">
              <w:rPr>
                <w:spacing w:val="-2"/>
                <w:sz w:val="18"/>
              </w:rPr>
              <w:t xml:space="preserve"> </w:t>
            </w:r>
            <w:r w:rsidRPr="00EC20A0">
              <w:rPr>
                <w:sz w:val="18"/>
              </w:rPr>
              <w:t>the</w:t>
            </w:r>
            <w:r w:rsidRPr="00EC20A0">
              <w:rPr>
                <w:spacing w:val="-3"/>
                <w:sz w:val="18"/>
              </w:rPr>
              <w:t xml:space="preserve"> </w:t>
            </w:r>
            <w:r w:rsidRPr="00EC20A0">
              <w:rPr>
                <w:sz w:val="18"/>
              </w:rPr>
              <w:t>lead</w:t>
            </w:r>
            <w:r w:rsidRPr="00EC20A0">
              <w:rPr>
                <w:spacing w:val="-2"/>
                <w:sz w:val="18"/>
              </w:rPr>
              <w:t xml:space="preserve"> </w:t>
            </w:r>
            <w:r w:rsidRPr="00EC20A0">
              <w:rPr>
                <w:sz w:val="18"/>
              </w:rPr>
              <w:t>counsel</w:t>
            </w:r>
            <w:r w:rsidRPr="00EC20A0">
              <w:rPr>
                <w:spacing w:val="-2"/>
                <w:sz w:val="18"/>
              </w:rPr>
              <w:t xml:space="preserve"> </w:t>
            </w:r>
            <w:r w:rsidRPr="00EC20A0">
              <w:rPr>
                <w:sz w:val="18"/>
              </w:rPr>
              <w:t>is</w:t>
            </w:r>
            <w:r w:rsidRPr="00EC20A0">
              <w:rPr>
                <w:spacing w:val="-2"/>
                <w:sz w:val="18"/>
              </w:rPr>
              <w:t xml:space="preserve"> </w:t>
            </w:r>
            <w:r w:rsidRPr="00EC20A0">
              <w:rPr>
                <w:sz w:val="18"/>
              </w:rPr>
              <w:t>not</w:t>
            </w:r>
            <w:r w:rsidRPr="00EC20A0">
              <w:rPr>
                <w:spacing w:val="-2"/>
                <w:sz w:val="18"/>
              </w:rPr>
              <w:t xml:space="preserve"> </w:t>
            </w:r>
            <w:r w:rsidRPr="00EC20A0">
              <w:rPr>
                <w:sz w:val="18"/>
              </w:rPr>
              <w:t>external</w:t>
            </w:r>
            <w:r w:rsidRPr="00EC20A0">
              <w:rPr>
                <w:spacing w:val="-1"/>
                <w:sz w:val="18"/>
              </w:rPr>
              <w:t xml:space="preserve"> </w:t>
            </w:r>
            <w:r w:rsidRPr="00EC20A0">
              <w:rPr>
                <w:sz w:val="18"/>
              </w:rPr>
              <w:t>to</w:t>
            </w:r>
            <w:r w:rsidRPr="00EC20A0">
              <w:rPr>
                <w:spacing w:val="-3"/>
                <w:sz w:val="18"/>
              </w:rPr>
              <w:t xml:space="preserve"> </w:t>
            </w:r>
            <w:r w:rsidRPr="00EC20A0">
              <w:rPr>
                <w:sz w:val="18"/>
              </w:rPr>
              <w:t>the</w:t>
            </w:r>
            <w:r w:rsidRPr="00EC20A0">
              <w:rPr>
                <w:spacing w:val="-3"/>
                <w:sz w:val="18"/>
              </w:rPr>
              <w:t xml:space="preserve"> </w:t>
            </w:r>
            <w:r w:rsidRPr="00EC20A0">
              <w:rPr>
                <w:sz w:val="18"/>
              </w:rPr>
              <w:t>entity,</w:t>
            </w:r>
            <w:r w:rsidRPr="00EC20A0">
              <w:rPr>
                <w:spacing w:val="-2"/>
                <w:sz w:val="18"/>
              </w:rPr>
              <w:t xml:space="preserve"> </w:t>
            </w:r>
            <w:r w:rsidRPr="00EC20A0">
              <w:rPr>
                <w:sz w:val="18"/>
              </w:rPr>
              <w:t>input</w:t>
            </w:r>
            <w:r w:rsidRPr="00EC20A0">
              <w:rPr>
                <w:spacing w:val="-1"/>
                <w:sz w:val="18"/>
              </w:rPr>
              <w:t xml:space="preserve"> </w:t>
            </w:r>
            <w:r w:rsidRPr="00EC20A0">
              <w:rPr>
                <w:spacing w:val="-2"/>
                <w:sz w:val="18"/>
              </w:rPr>
              <w:t>“N/A.”</w:t>
            </w:r>
          </w:p>
          <w:p w14:paraId="24D62278" w14:textId="77777777" w:rsidR="00245300" w:rsidRPr="00EC20A0" w:rsidRDefault="00F17249">
            <w:pPr>
              <w:pStyle w:val="TableParagraph"/>
              <w:spacing w:before="1"/>
              <w:ind w:left="575" w:hanging="2"/>
              <w:rPr>
                <w:sz w:val="18"/>
              </w:rPr>
            </w:pPr>
            <w:r w:rsidRPr="00EC20A0">
              <w:rPr>
                <w:sz w:val="18"/>
              </w:rPr>
              <w:t>-</w:t>
            </w:r>
            <w:r w:rsidRPr="00EC20A0">
              <w:rPr>
                <w:spacing w:val="-1"/>
                <w:sz w:val="18"/>
              </w:rPr>
              <w:t xml:space="preserve"> </w:t>
            </w:r>
            <w:r w:rsidRPr="00EC20A0">
              <w:rPr>
                <w:sz w:val="18"/>
              </w:rPr>
              <w:t>For</w:t>
            </w:r>
            <w:r w:rsidRPr="00EC20A0">
              <w:rPr>
                <w:spacing w:val="-1"/>
                <w:sz w:val="18"/>
              </w:rPr>
              <w:t xml:space="preserve"> </w:t>
            </w:r>
            <w:r w:rsidRPr="00EC20A0">
              <w:rPr>
                <w:sz w:val="18"/>
              </w:rPr>
              <w:t>circumstances</w:t>
            </w:r>
            <w:r w:rsidRPr="00EC20A0">
              <w:rPr>
                <w:spacing w:val="-1"/>
                <w:sz w:val="18"/>
              </w:rPr>
              <w:t xml:space="preserve"> </w:t>
            </w:r>
            <w:r w:rsidRPr="00EC20A0">
              <w:rPr>
                <w:sz w:val="18"/>
              </w:rPr>
              <w:t>where</w:t>
            </w:r>
            <w:r w:rsidRPr="00EC20A0">
              <w:rPr>
                <w:spacing w:val="-2"/>
                <w:sz w:val="18"/>
              </w:rPr>
              <w:t xml:space="preserve"> </w:t>
            </w:r>
            <w:r w:rsidRPr="00EC20A0">
              <w:rPr>
                <w:sz w:val="18"/>
              </w:rPr>
              <w:t>the lead</w:t>
            </w:r>
            <w:r w:rsidRPr="00EC20A0">
              <w:rPr>
                <w:spacing w:val="-2"/>
                <w:sz w:val="18"/>
              </w:rPr>
              <w:t xml:space="preserve"> </w:t>
            </w:r>
            <w:r w:rsidRPr="00EC20A0">
              <w:rPr>
                <w:sz w:val="18"/>
              </w:rPr>
              <w:t>representation</w:t>
            </w:r>
            <w:r w:rsidRPr="00EC20A0">
              <w:rPr>
                <w:spacing w:val="-2"/>
                <w:sz w:val="18"/>
              </w:rPr>
              <w:t xml:space="preserve"> </w:t>
            </w:r>
            <w:r w:rsidRPr="00EC20A0">
              <w:rPr>
                <w:sz w:val="18"/>
              </w:rPr>
              <w:t>is</w:t>
            </w:r>
            <w:r w:rsidRPr="00EC20A0">
              <w:rPr>
                <w:spacing w:val="-1"/>
                <w:sz w:val="18"/>
              </w:rPr>
              <w:t xml:space="preserve"> </w:t>
            </w:r>
            <w:r w:rsidRPr="00EC20A0">
              <w:rPr>
                <w:sz w:val="18"/>
              </w:rPr>
              <w:t>external</w:t>
            </w:r>
            <w:r w:rsidRPr="00EC20A0">
              <w:rPr>
                <w:spacing w:val="-1"/>
                <w:sz w:val="18"/>
              </w:rPr>
              <w:t xml:space="preserve"> </w:t>
            </w:r>
            <w:r w:rsidRPr="00EC20A0">
              <w:rPr>
                <w:sz w:val="18"/>
              </w:rPr>
              <w:t>to</w:t>
            </w:r>
            <w:r w:rsidRPr="00EC20A0">
              <w:rPr>
                <w:spacing w:val="-2"/>
                <w:sz w:val="18"/>
              </w:rPr>
              <w:t xml:space="preserve"> </w:t>
            </w:r>
            <w:r w:rsidRPr="00EC20A0">
              <w:rPr>
                <w:sz w:val="18"/>
              </w:rPr>
              <w:t>the</w:t>
            </w:r>
            <w:r w:rsidRPr="00EC20A0">
              <w:rPr>
                <w:spacing w:val="-2"/>
                <w:sz w:val="18"/>
              </w:rPr>
              <w:t xml:space="preserve"> </w:t>
            </w:r>
            <w:r w:rsidRPr="00EC20A0">
              <w:rPr>
                <w:sz w:val="18"/>
              </w:rPr>
              <w:t>entity</w:t>
            </w:r>
            <w:r w:rsidRPr="00EC20A0">
              <w:rPr>
                <w:spacing w:val="-1"/>
                <w:sz w:val="18"/>
              </w:rPr>
              <w:t xml:space="preserve"> </w:t>
            </w:r>
            <w:r w:rsidRPr="00EC20A0">
              <w:rPr>
                <w:sz w:val="18"/>
              </w:rPr>
              <w:t>(e.g.,</w:t>
            </w:r>
            <w:r w:rsidRPr="00EC20A0">
              <w:rPr>
                <w:spacing w:val="-1"/>
                <w:sz w:val="18"/>
              </w:rPr>
              <w:t xml:space="preserve"> </w:t>
            </w:r>
            <w:r w:rsidRPr="00EC20A0">
              <w:rPr>
                <w:sz w:val="18"/>
              </w:rPr>
              <w:t>DOJ),</w:t>
            </w:r>
            <w:r w:rsidRPr="00EC20A0">
              <w:rPr>
                <w:spacing w:val="-1"/>
                <w:sz w:val="18"/>
              </w:rPr>
              <w:t xml:space="preserve"> </w:t>
            </w:r>
            <w:r w:rsidRPr="00EC20A0">
              <w:rPr>
                <w:sz w:val="18"/>
              </w:rPr>
              <w:t>indicate</w:t>
            </w:r>
            <w:r w:rsidRPr="00EC20A0">
              <w:rPr>
                <w:spacing w:val="-2"/>
                <w:sz w:val="18"/>
              </w:rPr>
              <w:t xml:space="preserve"> </w:t>
            </w:r>
            <w:r w:rsidRPr="00EC20A0">
              <w:rPr>
                <w:sz w:val="18"/>
              </w:rPr>
              <w:t>whether</w:t>
            </w:r>
            <w:r w:rsidRPr="00EC20A0">
              <w:rPr>
                <w:spacing w:val="-1"/>
                <w:sz w:val="18"/>
              </w:rPr>
              <w:t xml:space="preserve"> </w:t>
            </w:r>
            <w:r w:rsidRPr="00EC20A0">
              <w:rPr>
                <w:sz w:val="18"/>
              </w:rPr>
              <w:t>the</w:t>
            </w:r>
            <w:r w:rsidRPr="00EC20A0">
              <w:rPr>
                <w:spacing w:val="-1"/>
                <w:sz w:val="18"/>
              </w:rPr>
              <w:t xml:space="preserve"> </w:t>
            </w:r>
            <w:r w:rsidRPr="00EC20A0">
              <w:rPr>
                <w:sz w:val="18"/>
              </w:rPr>
              <w:t>lead</w:t>
            </w:r>
            <w:r w:rsidRPr="00EC20A0">
              <w:rPr>
                <w:spacing w:val="-2"/>
                <w:sz w:val="18"/>
              </w:rPr>
              <w:t xml:space="preserve"> </w:t>
            </w:r>
            <w:r w:rsidRPr="00EC20A0">
              <w:rPr>
                <w:sz w:val="18"/>
              </w:rPr>
              <w:t>attorney</w:t>
            </w:r>
            <w:r w:rsidRPr="00EC20A0">
              <w:rPr>
                <w:spacing w:val="-1"/>
                <w:sz w:val="18"/>
              </w:rPr>
              <w:t xml:space="preserve"> </w:t>
            </w:r>
            <w:r w:rsidRPr="00EC20A0">
              <w:rPr>
                <w:sz w:val="18"/>
              </w:rPr>
              <w:t>concurs</w:t>
            </w:r>
            <w:r w:rsidRPr="00EC20A0">
              <w:rPr>
                <w:spacing w:val="-1"/>
                <w:sz w:val="18"/>
              </w:rPr>
              <w:t xml:space="preserve"> </w:t>
            </w:r>
            <w:r w:rsidRPr="00EC20A0">
              <w:rPr>
                <w:sz w:val="18"/>
              </w:rPr>
              <w:t>with the</w:t>
            </w:r>
            <w:r w:rsidRPr="00EC20A0">
              <w:rPr>
                <w:spacing w:val="-2"/>
                <w:sz w:val="18"/>
              </w:rPr>
              <w:t xml:space="preserve"> </w:t>
            </w:r>
            <w:r w:rsidRPr="00EC20A0">
              <w:rPr>
                <w:sz w:val="18"/>
              </w:rPr>
              <w:t>entity's</w:t>
            </w:r>
            <w:r w:rsidRPr="00EC20A0">
              <w:rPr>
                <w:spacing w:val="-1"/>
                <w:sz w:val="18"/>
              </w:rPr>
              <w:t xml:space="preserve"> </w:t>
            </w:r>
            <w:r w:rsidRPr="00EC20A0">
              <w:rPr>
                <w:sz w:val="18"/>
              </w:rPr>
              <w:t>general</w:t>
            </w:r>
            <w:r w:rsidRPr="00EC20A0">
              <w:rPr>
                <w:spacing w:val="-1"/>
                <w:sz w:val="18"/>
              </w:rPr>
              <w:t xml:space="preserve"> </w:t>
            </w:r>
            <w:r w:rsidRPr="00EC20A0">
              <w:rPr>
                <w:sz w:val="18"/>
              </w:rPr>
              <w:t>counsel’s assessments</w:t>
            </w:r>
            <w:r w:rsidRPr="00EC20A0">
              <w:rPr>
                <w:spacing w:val="-1"/>
                <w:sz w:val="18"/>
              </w:rPr>
              <w:t xml:space="preserve"> </w:t>
            </w:r>
            <w:r w:rsidRPr="00EC20A0">
              <w:rPr>
                <w:sz w:val="18"/>
              </w:rPr>
              <w:t>of</w:t>
            </w:r>
            <w:r w:rsidRPr="00EC20A0">
              <w:rPr>
                <w:spacing w:val="-1"/>
                <w:sz w:val="18"/>
              </w:rPr>
              <w:t xml:space="preserve"> </w:t>
            </w:r>
            <w:r w:rsidRPr="00EC20A0">
              <w:rPr>
                <w:sz w:val="18"/>
              </w:rPr>
              <w:t>the</w:t>
            </w:r>
            <w:r w:rsidRPr="00EC20A0">
              <w:rPr>
                <w:spacing w:val="-2"/>
                <w:sz w:val="18"/>
              </w:rPr>
              <w:t xml:space="preserve"> </w:t>
            </w:r>
            <w:r w:rsidRPr="00EC20A0">
              <w:rPr>
                <w:sz w:val="18"/>
              </w:rPr>
              <w:t>case's</w:t>
            </w:r>
            <w:r w:rsidRPr="00EC20A0">
              <w:rPr>
                <w:spacing w:val="-1"/>
                <w:sz w:val="18"/>
              </w:rPr>
              <w:t xml:space="preserve"> </w:t>
            </w:r>
            <w:r w:rsidRPr="00EC20A0">
              <w:rPr>
                <w:sz w:val="18"/>
              </w:rPr>
              <w:t>likelihood</w:t>
            </w:r>
            <w:r w:rsidRPr="00EC20A0">
              <w:rPr>
                <w:spacing w:val="-2"/>
                <w:sz w:val="18"/>
              </w:rPr>
              <w:t xml:space="preserve"> </w:t>
            </w:r>
            <w:r w:rsidRPr="00EC20A0">
              <w:rPr>
                <w:sz w:val="18"/>
              </w:rPr>
              <w:t>of</w:t>
            </w:r>
            <w:r w:rsidRPr="00EC20A0">
              <w:rPr>
                <w:spacing w:val="-1"/>
                <w:sz w:val="18"/>
              </w:rPr>
              <w:t xml:space="preserve"> </w:t>
            </w:r>
            <w:r w:rsidRPr="00EC20A0">
              <w:rPr>
                <w:sz w:val="18"/>
              </w:rPr>
              <w:t>loss</w:t>
            </w:r>
            <w:r w:rsidRPr="00EC20A0">
              <w:rPr>
                <w:spacing w:val="-1"/>
                <w:sz w:val="18"/>
              </w:rPr>
              <w:t xml:space="preserve"> </w:t>
            </w:r>
            <w:r w:rsidRPr="00EC20A0">
              <w:rPr>
                <w:b/>
                <w:sz w:val="18"/>
                <w:u w:val="single"/>
              </w:rPr>
              <w:t>and</w:t>
            </w:r>
            <w:r w:rsidRPr="00EC20A0">
              <w:rPr>
                <w:b/>
                <w:spacing w:val="-1"/>
                <w:sz w:val="18"/>
              </w:rPr>
              <w:t xml:space="preserve"> </w:t>
            </w:r>
            <w:r w:rsidRPr="00EC20A0">
              <w:rPr>
                <w:sz w:val="18"/>
              </w:rPr>
              <w:t>estimated</w:t>
            </w:r>
            <w:r w:rsidRPr="00EC20A0">
              <w:rPr>
                <w:spacing w:val="-2"/>
                <w:sz w:val="18"/>
              </w:rPr>
              <w:t xml:space="preserve"> </w:t>
            </w:r>
            <w:r w:rsidRPr="00EC20A0">
              <w:rPr>
                <w:sz w:val="18"/>
              </w:rPr>
              <w:t>amount</w:t>
            </w:r>
            <w:r w:rsidRPr="00EC20A0">
              <w:rPr>
                <w:spacing w:val="-1"/>
                <w:sz w:val="18"/>
              </w:rPr>
              <w:t xml:space="preserve"> </w:t>
            </w:r>
            <w:r w:rsidRPr="00EC20A0">
              <w:rPr>
                <w:sz w:val="18"/>
              </w:rPr>
              <w:t>or</w:t>
            </w:r>
            <w:r w:rsidRPr="00EC20A0">
              <w:rPr>
                <w:spacing w:val="-1"/>
                <w:sz w:val="18"/>
              </w:rPr>
              <w:t xml:space="preserve"> </w:t>
            </w:r>
            <w:r w:rsidRPr="00EC20A0">
              <w:rPr>
                <w:sz w:val="18"/>
              </w:rPr>
              <w:t>range of</w:t>
            </w:r>
            <w:r w:rsidRPr="00EC20A0">
              <w:rPr>
                <w:spacing w:val="-1"/>
                <w:sz w:val="18"/>
              </w:rPr>
              <w:t xml:space="preserve"> </w:t>
            </w:r>
            <w:r w:rsidRPr="00EC20A0">
              <w:rPr>
                <w:sz w:val="18"/>
              </w:rPr>
              <w:t>potential</w:t>
            </w:r>
            <w:r w:rsidRPr="00EC20A0">
              <w:rPr>
                <w:spacing w:val="-1"/>
                <w:sz w:val="18"/>
              </w:rPr>
              <w:t xml:space="preserve"> </w:t>
            </w:r>
            <w:r w:rsidRPr="00EC20A0">
              <w:rPr>
                <w:sz w:val="18"/>
              </w:rPr>
              <w:t xml:space="preserve">loss (i.e., responses to fields 5-6 on DOJ’s “Pending or Threatened Litigation” form or to fields 4-5 on DOJ’s “Unasserted Claims and </w:t>
            </w:r>
            <w:r w:rsidRPr="00EC20A0">
              <w:rPr>
                <w:sz w:val="18"/>
              </w:rPr>
              <w:t>Assessments” form).</w:t>
            </w:r>
          </w:p>
        </w:tc>
      </w:tr>
      <w:tr w:rsidR="00245300" w:rsidRPr="00EC20A0" w14:paraId="24D6227B" w14:textId="77777777">
        <w:trPr>
          <w:trHeight w:val="518"/>
        </w:trPr>
        <w:tc>
          <w:tcPr>
            <w:tcW w:w="21022" w:type="dxa"/>
          </w:tcPr>
          <w:p w14:paraId="24D6227A" w14:textId="77777777" w:rsidR="00245300" w:rsidRPr="00EC20A0" w:rsidRDefault="00F17249">
            <w:pPr>
              <w:pStyle w:val="TableParagraph"/>
              <w:spacing w:before="86" w:line="206" w:lineRule="exact"/>
              <w:ind w:left="575" w:right="66" w:hanging="526"/>
              <w:rPr>
                <w:sz w:val="18"/>
              </w:rPr>
            </w:pPr>
            <w:r w:rsidRPr="00EC20A0">
              <w:rPr>
                <w:sz w:val="18"/>
              </w:rPr>
              <w:t>(20)</w:t>
            </w:r>
            <w:r w:rsidRPr="00EC20A0">
              <w:rPr>
                <w:spacing w:val="-1"/>
                <w:sz w:val="18"/>
              </w:rPr>
              <w:t xml:space="preserve"> </w:t>
            </w:r>
            <w:r w:rsidRPr="00EC20A0">
              <w:rPr>
                <w:sz w:val="18"/>
              </w:rPr>
              <w:t>Provide</w:t>
            </w:r>
            <w:r w:rsidRPr="00EC20A0">
              <w:rPr>
                <w:spacing w:val="-2"/>
                <w:sz w:val="18"/>
              </w:rPr>
              <w:t xml:space="preserve"> </w:t>
            </w:r>
            <w:r w:rsidRPr="00EC20A0">
              <w:rPr>
                <w:sz w:val="18"/>
              </w:rPr>
              <w:t>an</w:t>
            </w:r>
            <w:r w:rsidRPr="00EC20A0">
              <w:rPr>
                <w:spacing w:val="-2"/>
                <w:sz w:val="18"/>
              </w:rPr>
              <w:t xml:space="preserve"> </w:t>
            </w:r>
            <w:r w:rsidRPr="00EC20A0">
              <w:rPr>
                <w:sz w:val="18"/>
              </w:rPr>
              <w:t>explanation</w:t>
            </w:r>
            <w:r w:rsidRPr="00EC20A0">
              <w:rPr>
                <w:spacing w:val="-2"/>
                <w:sz w:val="18"/>
              </w:rPr>
              <w:t xml:space="preserve"> </w:t>
            </w:r>
            <w:r w:rsidRPr="00EC20A0">
              <w:rPr>
                <w:sz w:val="18"/>
              </w:rPr>
              <w:t>for</w:t>
            </w:r>
            <w:r w:rsidRPr="00EC20A0">
              <w:rPr>
                <w:spacing w:val="-1"/>
                <w:sz w:val="18"/>
              </w:rPr>
              <w:t xml:space="preserve"> </w:t>
            </w:r>
            <w:r w:rsidRPr="00EC20A0">
              <w:rPr>
                <w:sz w:val="18"/>
              </w:rPr>
              <w:t>any</w:t>
            </w:r>
            <w:r w:rsidRPr="00EC20A0">
              <w:rPr>
                <w:spacing w:val="-1"/>
                <w:sz w:val="18"/>
              </w:rPr>
              <w:t xml:space="preserve"> </w:t>
            </w:r>
            <w:r w:rsidRPr="00EC20A0">
              <w:rPr>
                <w:sz w:val="18"/>
              </w:rPr>
              <w:t>“No”</w:t>
            </w:r>
            <w:r w:rsidRPr="00EC20A0">
              <w:rPr>
                <w:spacing w:val="-1"/>
                <w:sz w:val="18"/>
              </w:rPr>
              <w:t xml:space="preserve"> </w:t>
            </w:r>
            <w:r w:rsidRPr="00EC20A0">
              <w:rPr>
                <w:sz w:val="18"/>
              </w:rPr>
              <w:t>responses</w:t>
            </w:r>
            <w:r w:rsidRPr="00EC20A0">
              <w:rPr>
                <w:spacing w:val="-1"/>
                <w:sz w:val="18"/>
              </w:rPr>
              <w:t xml:space="preserve"> </w:t>
            </w:r>
            <w:r w:rsidRPr="00EC20A0">
              <w:rPr>
                <w:sz w:val="18"/>
              </w:rPr>
              <w:t>in</w:t>
            </w:r>
            <w:r w:rsidRPr="00EC20A0">
              <w:rPr>
                <w:spacing w:val="-2"/>
                <w:sz w:val="18"/>
              </w:rPr>
              <w:t xml:space="preserve"> </w:t>
            </w:r>
            <w:r w:rsidRPr="00EC20A0">
              <w:rPr>
                <w:sz w:val="18"/>
              </w:rPr>
              <w:t>column</w:t>
            </w:r>
            <w:r w:rsidRPr="00EC20A0">
              <w:rPr>
                <w:spacing w:val="-2"/>
                <w:sz w:val="18"/>
              </w:rPr>
              <w:t xml:space="preserve"> </w:t>
            </w:r>
            <w:r w:rsidRPr="00EC20A0">
              <w:rPr>
                <w:sz w:val="18"/>
              </w:rPr>
              <w:t>19.</w:t>
            </w:r>
            <w:r w:rsidRPr="00EC20A0">
              <w:rPr>
                <w:spacing w:val="-1"/>
                <w:sz w:val="18"/>
              </w:rPr>
              <w:t xml:space="preserve"> </w:t>
            </w:r>
            <w:r w:rsidRPr="00EC20A0">
              <w:rPr>
                <w:sz w:val="18"/>
              </w:rPr>
              <w:t>-</w:t>
            </w:r>
            <w:r w:rsidRPr="00EC20A0">
              <w:rPr>
                <w:spacing w:val="-1"/>
                <w:sz w:val="18"/>
              </w:rPr>
              <w:t xml:space="preserve"> </w:t>
            </w:r>
            <w:r w:rsidRPr="00EC20A0">
              <w:rPr>
                <w:sz w:val="18"/>
              </w:rPr>
              <w:t>Provide</w:t>
            </w:r>
            <w:r w:rsidRPr="00EC20A0">
              <w:rPr>
                <w:spacing w:val="-2"/>
                <w:sz w:val="18"/>
              </w:rPr>
              <w:t xml:space="preserve"> </w:t>
            </w:r>
            <w:r w:rsidRPr="00EC20A0">
              <w:rPr>
                <w:sz w:val="18"/>
              </w:rPr>
              <w:t>an</w:t>
            </w:r>
            <w:r w:rsidRPr="00EC20A0">
              <w:rPr>
                <w:spacing w:val="-2"/>
                <w:sz w:val="18"/>
              </w:rPr>
              <w:t xml:space="preserve"> </w:t>
            </w:r>
            <w:r w:rsidRPr="00EC20A0">
              <w:rPr>
                <w:sz w:val="18"/>
              </w:rPr>
              <w:t>explanation</w:t>
            </w:r>
            <w:r w:rsidRPr="00EC20A0">
              <w:rPr>
                <w:spacing w:val="-2"/>
                <w:sz w:val="18"/>
              </w:rPr>
              <w:t xml:space="preserve"> </w:t>
            </w:r>
            <w:r w:rsidRPr="00EC20A0">
              <w:rPr>
                <w:sz w:val="18"/>
              </w:rPr>
              <w:t>for</w:t>
            </w:r>
            <w:r w:rsidRPr="00EC20A0">
              <w:rPr>
                <w:spacing w:val="-1"/>
                <w:sz w:val="18"/>
              </w:rPr>
              <w:t xml:space="preserve"> </w:t>
            </w:r>
            <w:r w:rsidRPr="00EC20A0">
              <w:rPr>
                <w:sz w:val="18"/>
              </w:rPr>
              <w:t>any</w:t>
            </w:r>
            <w:r w:rsidRPr="00EC20A0">
              <w:rPr>
                <w:spacing w:val="-1"/>
                <w:sz w:val="18"/>
              </w:rPr>
              <w:t xml:space="preserve"> </w:t>
            </w:r>
            <w:r w:rsidRPr="00EC20A0">
              <w:rPr>
                <w:sz w:val="18"/>
              </w:rPr>
              <w:t>circumstances</w:t>
            </w:r>
            <w:r w:rsidRPr="00EC20A0">
              <w:rPr>
                <w:spacing w:val="-1"/>
                <w:sz w:val="18"/>
              </w:rPr>
              <w:t xml:space="preserve"> </w:t>
            </w:r>
            <w:r w:rsidRPr="00EC20A0">
              <w:rPr>
                <w:sz w:val="18"/>
              </w:rPr>
              <w:t>where</w:t>
            </w:r>
            <w:r w:rsidRPr="00EC20A0">
              <w:rPr>
                <w:spacing w:val="-2"/>
                <w:sz w:val="18"/>
              </w:rPr>
              <w:t xml:space="preserve"> </w:t>
            </w:r>
            <w:r w:rsidRPr="00EC20A0">
              <w:rPr>
                <w:sz w:val="18"/>
              </w:rPr>
              <w:t>the</w:t>
            </w:r>
            <w:r w:rsidRPr="00EC20A0">
              <w:rPr>
                <w:spacing w:val="-2"/>
                <w:sz w:val="18"/>
              </w:rPr>
              <w:t xml:space="preserve"> </w:t>
            </w:r>
            <w:r w:rsidRPr="00EC20A0">
              <w:rPr>
                <w:sz w:val="18"/>
              </w:rPr>
              <w:t>entity’s</w:t>
            </w:r>
            <w:r w:rsidRPr="00EC20A0">
              <w:rPr>
                <w:spacing w:val="-1"/>
                <w:sz w:val="18"/>
              </w:rPr>
              <w:t xml:space="preserve"> </w:t>
            </w:r>
            <w:r w:rsidRPr="00EC20A0">
              <w:rPr>
                <w:sz w:val="18"/>
              </w:rPr>
              <w:t>general</w:t>
            </w:r>
            <w:r w:rsidRPr="00EC20A0">
              <w:rPr>
                <w:spacing w:val="-1"/>
                <w:sz w:val="18"/>
              </w:rPr>
              <w:t xml:space="preserve"> </w:t>
            </w:r>
            <w:r w:rsidRPr="00EC20A0">
              <w:rPr>
                <w:sz w:val="18"/>
              </w:rPr>
              <w:t>counsel’s</w:t>
            </w:r>
            <w:r w:rsidRPr="00EC20A0">
              <w:rPr>
                <w:spacing w:val="-1"/>
                <w:sz w:val="18"/>
              </w:rPr>
              <w:t xml:space="preserve"> </w:t>
            </w:r>
            <w:r w:rsidRPr="00EC20A0">
              <w:rPr>
                <w:sz w:val="18"/>
              </w:rPr>
              <w:t>assessments of</w:t>
            </w:r>
            <w:r w:rsidRPr="00EC20A0">
              <w:rPr>
                <w:spacing w:val="-1"/>
                <w:sz w:val="18"/>
              </w:rPr>
              <w:t xml:space="preserve"> </w:t>
            </w:r>
            <w:r w:rsidRPr="00EC20A0">
              <w:rPr>
                <w:sz w:val="18"/>
              </w:rPr>
              <w:t>a</w:t>
            </w:r>
            <w:r w:rsidRPr="00EC20A0">
              <w:rPr>
                <w:spacing w:val="-2"/>
                <w:sz w:val="18"/>
              </w:rPr>
              <w:t xml:space="preserve"> </w:t>
            </w:r>
            <w:r w:rsidRPr="00EC20A0">
              <w:rPr>
                <w:sz w:val="18"/>
              </w:rPr>
              <w:t>case</w:t>
            </w:r>
            <w:r w:rsidRPr="00EC20A0">
              <w:rPr>
                <w:spacing w:val="-2"/>
                <w:sz w:val="18"/>
              </w:rPr>
              <w:t xml:space="preserve"> </w:t>
            </w:r>
            <w:r w:rsidRPr="00EC20A0">
              <w:rPr>
                <w:sz w:val="18"/>
              </w:rPr>
              <w:t>(e.g.,</w:t>
            </w:r>
            <w:r w:rsidRPr="00EC20A0">
              <w:rPr>
                <w:spacing w:val="-1"/>
                <w:sz w:val="18"/>
              </w:rPr>
              <w:t xml:space="preserve"> </w:t>
            </w:r>
            <w:r w:rsidRPr="00EC20A0">
              <w:rPr>
                <w:sz w:val="18"/>
              </w:rPr>
              <w:t>likelihood</w:t>
            </w:r>
            <w:r w:rsidRPr="00EC20A0">
              <w:rPr>
                <w:spacing w:val="-2"/>
                <w:sz w:val="18"/>
              </w:rPr>
              <w:t xml:space="preserve"> </w:t>
            </w:r>
            <w:r w:rsidRPr="00EC20A0">
              <w:rPr>
                <w:sz w:val="18"/>
              </w:rPr>
              <w:t>of</w:t>
            </w:r>
            <w:r w:rsidRPr="00EC20A0">
              <w:rPr>
                <w:spacing w:val="-1"/>
                <w:sz w:val="18"/>
              </w:rPr>
              <w:t xml:space="preserve"> </w:t>
            </w:r>
            <w:r w:rsidRPr="00EC20A0">
              <w:rPr>
                <w:sz w:val="18"/>
              </w:rPr>
              <w:t>loss,</w:t>
            </w:r>
            <w:r w:rsidRPr="00EC20A0">
              <w:rPr>
                <w:spacing w:val="-1"/>
                <w:sz w:val="18"/>
              </w:rPr>
              <w:t xml:space="preserve"> </w:t>
            </w:r>
            <w:r w:rsidRPr="00EC20A0">
              <w:rPr>
                <w:sz w:val="18"/>
              </w:rPr>
              <w:t>estimated amount</w:t>
            </w:r>
            <w:r w:rsidRPr="00EC20A0">
              <w:rPr>
                <w:spacing w:val="-1"/>
                <w:sz w:val="18"/>
              </w:rPr>
              <w:t xml:space="preserve"> </w:t>
            </w:r>
            <w:r w:rsidRPr="00EC20A0">
              <w:rPr>
                <w:sz w:val="18"/>
              </w:rPr>
              <w:t>or</w:t>
            </w:r>
            <w:r w:rsidRPr="00EC20A0">
              <w:rPr>
                <w:spacing w:val="-1"/>
                <w:sz w:val="18"/>
              </w:rPr>
              <w:t xml:space="preserve"> </w:t>
            </w:r>
            <w:r w:rsidRPr="00EC20A0">
              <w:rPr>
                <w:sz w:val="18"/>
              </w:rPr>
              <w:t>range</w:t>
            </w:r>
            <w:r w:rsidRPr="00EC20A0">
              <w:rPr>
                <w:spacing w:val="-2"/>
                <w:sz w:val="18"/>
              </w:rPr>
              <w:t xml:space="preserve"> </w:t>
            </w:r>
            <w:r w:rsidRPr="00EC20A0">
              <w:rPr>
                <w:sz w:val="18"/>
              </w:rPr>
              <w:t>of</w:t>
            </w:r>
            <w:r w:rsidRPr="00EC20A0">
              <w:rPr>
                <w:spacing w:val="-1"/>
                <w:sz w:val="18"/>
              </w:rPr>
              <w:t xml:space="preserve"> </w:t>
            </w:r>
            <w:r w:rsidRPr="00EC20A0">
              <w:rPr>
                <w:sz w:val="18"/>
              </w:rPr>
              <w:t>potential</w:t>
            </w:r>
            <w:r w:rsidRPr="00EC20A0">
              <w:rPr>
                <w:spacing w:val="-1"/>
                <w:sz w:val="18"/>
              </w:rPr>
              <w:t xml:space="preserve"> </w:t>
            </w:r>
            <w:r w:rsidRPr="00EC20A0">
              <w:rPr>
                <w:sz w:val="18"/>
              </w:rPr>
              <w:t>loss,</w:t>
            </w:r>
            <w:r w:rsidRPr="00EC20A0">
              <w:rPr>
                <w:spacing w:val="-1"/>
                <w:sz w:val="18"/>
              </w:rPr>
              <w:t xml:space="preserve"> </w:t>
            </w:r>
            <w:r w:rsidRPr="00EC20A0">
              <w:rPr>
                <w:sz w:val="18"/>
              </w:rPr>
              <w:t>or</w:t>
            </w:r>
            <w:r w:rsidRPr="00EC20A0">
              <w:rPr>
                <w:spacing w:val="-1"/>
                <w:sz w:val="18"/>
              </w:rPr>
              <w:t xml:space="preserve"> </w:t>
            </w:r>
            <w:r w:rsidRPr="00EC20A0">
              <w:rPr>
                <w:sz w:val="18"/>
              </w:rPr>
              <w:t>both)</w:t>
            </w:r>
            <w:r w:rsidRPr="00EC20A0">
              <w:rPr>
                <w:spacing w:val="-1"/>
                <w:sz w:val="18"/>
              </w:rPr>
              <w:t xml:space="preserve"> </w:t>
            </w:r>
            <w:r w:rsidRPr="00EC20A0">
              <w:rPr>
                <w:sz w:val="18"/>
              </w:rPr>
              <w:t>differ</w:t>
            </w:r>
            <w:r w:rsidRPr="00EC20A0">
              <w:rPr>
                <w:spacing w:val="-1"/>
                <w:sz w:val="18"/>
              </w:rPr>
              <w:t xml:space="preserve"> </w:t>
            </w:r>
            <w:r w:rsidRPr="00EC20A0">
              <w:rPr>
                <w:sz w:val="18"/>
              </w:rPr>
              <w:t>from those of the lead counsel handling the case.</w:t>
            </w:r>
          </w:p>
        </w:tc>
      </w:tr>
    </w:tbl>
    <w:p w14:paraId="24D6227C" w14:textId="77777777" w:rsidR="00245300" w:rsidRPr="00EC20A0" w:rsidRDefault="00245300">
      <w:pPr>
        <w:spacing w:line="206" w:lineRule="exact"/>
        <w:rPr>
          <w:sz w:val="18"/>
        </w:rPr>
        <w:sectPr w:rsidR="00245300" w:rsidRPr="00EC20A0">
          <w:pgSz w:w="24480" w:h="15840" w:orient="landscape"/>
          <w:pgMar w:top="1460" w:right="1320" w:bottom="940" w:left="960" w:header="721" w:footer="757" w:gutter="0"/>
          <w:cols w:space="720"/>
        </w:sectPr>
      </w:pPr>
    </w:p>
    <w:p w14:paraId="24D6227D" w14:textId="77777777" w:rsidR="00245300" w:rsidRPr="00EC20A0" w:rsidRDefault="00F17249">
      <w:pPr>
        <w:pStyle w:val="Heading3"/>
        <w:ind w:left="880"/>
        <w:rPr>
          <w:u w:val="none"/>
        </w:rPr>
      </w:pPr>
      <w:bookmarkStart w:id="411" w:name="1003_–_Financial_Statement_Audit_Complet"/>
      <w:bookmarkStart w:id="412" w:name="_bookmark229"/>
      <w:bookmarkEnd w:id="411"/>
      <w:bookmarkEnd w:id="412"/>
      <w:r w:rsidRPr="00EC20A0">
        <w:t>1003</w:t>
      </w:r>
      <w:r w:rsidRPr="00EC20A0">
        <w:rPr>
          <w:spacing w:val="-7"/>
        </w:rPr>
        <w:t xml:space="preserve"> </w:t>
      </w:r>
      <w:r w:rsidRPr="00EC20A0">
        <w:t>–</w:t>
      </w:r>
      <w:r w:rsidRPr="00EC20A0">
        <w:rPr>
          <w:spacing w:val="-6"/>
        </w:rPr>
        <w:t xml:space="preserve"> </w:t>
      </w:r>
      <w:r w:rsidRPr="00EC20A0">
        <w:t>Financial</w:t>
      </w:r>
      <w:r w:rsidRPr="00EC20A0">
        <w:rPr>
          <w:spacing w:val="-5"/>
        </w:rPr>
        <w:t xml:space="preserve"> </w:t>
      </w:r>
      <w:r w:rsidRPr="00EC20A0">
        <w:t>Statement</w:t>
      </w:r>
      <w:r w:rsidRPr="00EC20A0">
        <w:rPr>
          <w:spacing w:val="-17"/>
        </w:rPr>
        <w:t xml:space="preserve"> </w:t>
      </w:r>
      <w:r w:rsidRPr="00EC20A0">
        <w:t>Audit</w:t>
      </w:r>
      <w:r w:rsidRPr="00EC20A0">
        <w:rPr>
          <w:spacing w:val="-6"/>
        </w:rPr>
        <w:t xml:space="preserve"> </w:t>
      </w:r>
      <w:r w:rsidRPr="00EC20A0">
        <w:t>Completion</w:t>
      </w:r>
      <w:r w:rsidRPr="00EC20A0">
        <w:rPr>
          <w:spacing w:val="-5"/>
        </w:rPr>
        <w:t xml:space="preserve"> </w:t>
      </w:r>
      <w:r w:rsidRPr="00EC20A0">
        <w:rPr>
          <w:spacing w:val="-2"/>
        </w:rPr>
        <w:t>Checklist</w:t>
      </w:r>
    </w:p>
    <w:p w14:paraId="24D6227E" w14:textId="77777777" w:rsidR="00245300" w:rsidRPr="00EC20A0" w:rsidRDefault="00245300">
      <w:pPr>
        <w:pStyle w:val="BodyText"/>
        <w:spacing w:before="47"/>
        <w:rPr>
          <w:b/>
        </w:rPr>
      </w:pPr>
    </w:p>
    <w:p w14:paraId="24D6227F" w14:textId="77777777" w:rsidR="00245300" w:rsidRPr="00EC20A0" w:rsidRDefault="00F17249">
      <w:pPr>
        <w:pStyle w:val="BodyText"/>
        <w:tabs>
          <w:tab w:val="left" w:pos="10083"/>
        </w:tabs>
        <w:spacing w:line="352" w:lineRule="auto"/>
        <w:ind w:left="880" w:right="1129" w:hanging="1"/>
        <w:jc w:val="both"/>
      </w:pPr>
      <w:r w:rsidRPr="00EC20A0">
        <w:t>Entity:</w:t>
      </w:r>
      <w:r w:rsidRPr="00EC20A0">
        <w:rPr>
          <w:spacing w:val="90"/>
        </w:rPr>
        <w:t xml:space="preserve"> </w:t>
      </w:r>
      <w:r w:rsidRPr="00EC20A0">
        <w:rPr>
          <w:u w:val="single"/>
        </w:rPr>
        <w:tab/>
      </w:r>
      <w:r w:rsidRPr="00EC20A0">
        <w:t xml:space="preserve"> Job Code:</w:t>
      </w:r>
      <w:r w:rsidRPr="00EC20A0">
        <w:rPr>
          <w:spacing w:val="66"/>
        </w:rPr>
        <w:t xml:space="preserve"> </w:t>
      </w:r>
      <w:r w:rsidRPr="00EC20A0">
        <w:rPr>
          <w:u w:val="single"/>
        </w:rPr>
        <w:tab/>
      </w:r>
      <w:r w:rsidRPr="00EC20A0">
        <w:t xml:space="preserve"> Principal Report:</w:t>
      </w:r>
      <w:r w:rsidRPr="00EC20A0">
        <w:rPr>
          <w:spacing w:val="177"/>
        </w:rPr>
        <w:t xml:space="preserve"> </w:t>
      </w:r>
      <w:r w:rsidRPr="00EC20A0">
        <w:rPr>
          <w:u w:val="single"/>
        </w:rPr>
        <w:tab/>
      </w:r>
      <w:r w:rsidRPr="00EC20A0">
        <w:t xml:space="preserve"> Other Reports (including separate reports to management and testimonies):</w:t>
      </w:r>
      <w:r w:rsidRPr="00EC20A0">
        <w:rPr>
          <w:spacing w:val="65"/>
        </w:rPr>
        <w:t xml:space="preserve"> </w:t>
      </w:r>
      <w:r w:rsidRPr="00EC20A0">
        <w:rPr>
          <w:u w:val="single"/>
        </w:rPr>
        <w:tab/>
      </w:r>
    </w:p>
    <w:p w14:paraId="24D62280" w14:textId="77777777" w:rsidR="00245300" w:rsidRPr="00EC20A0" w:rsidRDefault="00F17249">
      <w:pPr>
        <w:pStyle w:val="BodyText"/>
        <w:spacing w:before="5"/>
        <w:rPr>
          <w:sz w:val="19"/>
        </w:rPr>
      </w:pPr>
      <w:r w:rsidRPr="00EC20A0">
        <w:rPr>
          <w:noProof/>
        </w:rPr>
        <mc:AlternateContent>
          <mc:Choice Requires="wps">
            <w:drawing>
              <wp:anchor distT="0" distB="0" distL="0" distR="0" simplePos="0" relativeHeight="487729664" behindDoc="1" locked="0" layoutInCell="1" allowOverlap="1" wp14:anchorId="24D62CDF" wp14:editId="24D62CE0">
                <wp:simplePos x="0" y="0"/>
                <wp:positionH relativeFrom="page">
                  <wp:posOffset>932946</wp:posOffset>
                </wp:positionH>
                <wp:positionV relativeFrom="paragraph">
                  <wp:posOffset>157242</wp:posOffset>
                </wp:positionV>
                <wp:extent cx="5825490" cy="1270"/>
                <wp:effectExtent l="0" t="0" r="0" b="0"/>
                <wp:wrapTopAndBottom/>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5490" cy="1270"/>
                        </a:xfrm>
                        <a:custGeom>
                          <a:avLst/>
                          <a:gdLst/>
                          <a:ahLst/>
                          <a:cxnLst/>
                          <a:rect l="l" t="t" r="r" b="b"/>
                          <a:pathLst>
                            <a:path w="5825490">
                              <a:moveTo>
                                <a:pt x="0" y="0"/>
                              </a:moveTo>
                              <a:lnTo>
                                <a:pt x="5825356"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375A0A" id="Graphic 983" o:spid="_x0000_s1026" style="position:absolute;margin-left:73.45pt;margin-top:12.4pt;width:458.7pt;height:.1pt;z-index:-15586816;visibility:visible;mso-wrap-style:square;mso-wrap-distance-left:0;mso-wrap-distance-top:0;mso-wrap-distance-right:0;mso-wrap-distance-bottom:0;mso-position-horizontal:absolute;mso-position-horizontal-relative:page;mso-position-vertical:absolute;mso-position-vertical-relative:text;v-text-anchor:top" coordsize="5825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" path="m,l5825356,e" filled="f" strokeweight=".24403mm">
                <v:path arrowok="t"/>
                <w10:wrap type="topAndBottom" anchorx="page"/>
              </v:shape>
            </w:pict>
          </mc:Fallback>
        </mc:AlternateContent>
      </w:r>
    </w:p>
    <w:p w14:paraId="26B02D97" w14:textId="77777777" w:rsidR="0022160C" w:rsidRDefault="0022160C" w:rsidP="0022160C">
      <w:pPr>
        <w:rPr>
          <w:b/>
          <w:bCs/>
        </w:rPr>
      </w:pPr>
    </w:p>
    <w:p w14:paraId="24D62281" w14:textId="6ABE6EDE" w:rsidR="00245300" w:rsidRPr="0022160C" w:rsidRDefault="00F17249" w:rsidP="0022160C">
      <w:pPr>
        <w:ind w:left="900"/>
        <w:rPr>
          <w:b/>
          <w:bCs/>
        </w:rPr>
      </w:pPr>
      <w:r w:rsidRPr="0022160C">
        <w:rPr>
          <w:b/>
          <w:bCs/>
        </w:rPr>
        <w:t>Instructions</w:t>
      </w:r>
    </w:p>
    <w:p w14:paraId="24D62282" w14:textId="77777777" w:rsidR="00245300" w:rsidRPr="00EC20A0" w:rsidRDefault="00F17249">
      <w:pPr>
        <w:pStyle w:val="BodyText"/>
        <w:spacing w:before="239"/>
        <w:ind w:left="879" w:right="1154"/>
      </w:pPr>
      <w:r w:rsidRPr="00EC20A0">
        <w:t xml:space="preserve">This checklist is intended to help financial statement auditors determine whether they have complied with GAGAS, AICPA’s </w:t>
      </w:r>
      <w:r w:rsidRPr="00EC20A0">
        <w:rPr>
          <w:i/>
        </w:rPr>
        <w:t xml:space="preserve">Auditing Standards [Clarified] </w:t>
      </w:r>
      <w:r w:rsidRPr="00EC20A0">
        <w:t>(AU-C), and the FAM. The auditor-in-charge</w:t>
      </w:r>
      <w:r w:rsidRPr="00EC20A0">
        <w:rPr>
          <w:spacing w:val="-1"/>
        </w:rPr>
        <w:t xml:space="preserve"> </w:t>
      </w:r>
      <w:r w:rsidRPr="00EC20A0">
        <w:t>(AIC)</w:t>
      </w:r>
      <w:r w:rsidRPr="00EC20A0">
        <w:rPr>
          <w:spacing w:val="-1"/>
        </w:rPr>
        <w:t xml:space="preserve"> </w:t>
      </w:r>
      <w:r w:rsidRPr="00EC20A0">
        <w:t>should</w:t>
      </w:r>
      <w:r w:rsidRPr="00EC20A0">
        <w:rPr>
          <w:spacing w:val="-1"/>
        </w:rPr>
        <w:t xml:space="preserve"> </w:t>
      </w:r>
      <w:r w:rsidRPr="00EC20A0">
        <w:t>ensure</w:t>
      </w:r>
      <w:r w:rsidRPr="00EC20A0">
        <w:rPr>
          <w:spacing w:val="-1"/>
        </w:rPr>
        <w:t xml:space="preserve"> </w:t>
      </w:r>
      <w:r w:rsidRPr="00EC20A0">
        <w:t>that</w:t>
      </w:r>
      <w:r w:rsidRPr="00EC20A0">
        <w:rPr>
          <w:spacing w:val="-1"/>
        </w:rPr>
        <w:t xml:space="preserve"> </w:t>
      </w:r>
      <w:r w:rsidRPr="00EC20A0">
        <w:t>this</w:t>
      </w:r>
      <w:r w:rsidRPr="00EC20A0">
        <w:rPr>
          <w:spacing w:val="-2"/>
        </w:rPr>
        <w:t xml:space="preserve"> </w:t>
      </w:r>
      <w:r w:rsidRPr="00EC20A0">
        <w:t>checklist</w:t>
      </w:r>
      <w:r w:rsidRPr="00EC20A0">
        <w:rPr>
          <w:spacing w:val="-1"/>
        </w:rPr>
        <w:t xml:space="preserve"> </w:t>
      </w:r>
      <w:r w:rsidRPr="00EC20A0">
        <w:t>is</w:t>
      </w:r>
      <w:r w:rsidRPr="00EC20A0">
        <w:rPr>
          <w:spacing w:val="-1"/>
        </w:rPr>
        <w:t xml:space="preserve"> </w:t>
      </w:r>
      <w:r w:rsidRPr="00EC20A0">
        <w:t>prepared</w:t>
      </w:r>
      <w:r w:rsidRPr="00EC20A0">
        <w:rPr>
          <w:spacing w:val="-1"/>
        </w:rPr>
        <w:t xml:space="preserve"> </w:t>
      </w:r>
      <w:r w:rsidRPr="00EC20A0">
        <w:t>before</w:t>
      </w:r>
      <w:r w:rsidRPr="00EC20A0">
        <w:rPr>
          <w:spacing w:val="-1"/>
        </w:rPr>
        <w:t xml:space="preserve"> </w:t>
      </w:r>
      <w:r w:rsidRPr="00EC20A0">
        <w:t>the</w:t>
      </w:r>
      <w:r w:rsidRPr="00EC20A0">
        <w:rPr>
          <w:spacing w:val="-1"/>
        </w:rPr>
        <w:t xml:space="preserve"> </w:t>
      </w:r>
      <w:r w:rsidRPr="00EC20A0">
        <w:t>auditor’s</w:t>
      </w:r>
      <w:r w:rsidRPr="00EC20A0">
        <w:rPr>
          <w:spacing w:val="-1"/>
        </w:rPr>
        <w:t xml:space="preserve"> </w:t>
      </w:r>
      <w:r w:rsidRPr="00EC20A0">
        <w:t>report date</w:t>
      </w:r>
      <w:r w:rsidRPr="00EC20A0">
        <w:rPr>
          <w:spacing w:val="-3"/>
        </w:rPr>
        <w:t xml:space="preserve"> </w:t>
      </w:r>
      <w:r w:rsidRPr="00EC20A0">
        <w:t>(i.e.,</w:t>
      </w:r>
      <w:r w:rsidRPr="00EC20A0">
        <w:rPr>
          <w:spacing w:val="-3"/>
        </w:rPr>
        <w:t xml:space="preserve"> </w:t>
      </w:r>
      <w:r w:rsidRPr="00EC20A0">
        <w:t>audit</w:t>
      </w:r>
      <w:r w:rsidRPr="00EC20A0">
        <w:rPr>
          <w:spacing w:val="-3"/>
        </w:rPr>
        <w:t xml:space="preserve"> </w:t>
      </w:r>
      <w:r w:rsidRPr="00EC20A0">
        <w:t>completion</w:t>
      </w:r>
      <w:r w:rsidRPr="00EC20A0">
        <w:rPr>
          <w:spacing w:val="-3"/>
        </w:rPr>
        <w:t xml:space="preserve"> </w:t>
      </w:r>
      <w:r w:rsidRPr="00EC20A0">
        <w:t>date)</w:t>
      </w:r>
      <w:r w:rsidRPr="00EC20A0">
        <w:rPr>
          <w:spacing w:val="-3"/>
        </w:rPr>
        <w:t xml:space="preserve"> </w:t>
      </w:r>
      <w:r w:rsidRPr="00EC20A0">
        <w:t>and</w:t>
      </w:r>
      <w:r w:rsidRPr="00EC20A0">
        <w:rPr>
          <w:spacing w:val="-3"/>
        </w:rPr>
        <w:t xml:space="preserve"> </w:t>
      </w:r>
      <w:r w:rsidRPr="00EC20A0">
        <w:t>sign</w:t>
      </w:r>
      <w:r w:rsidRPr="00EC20A0">
        <w:rPr>
          <w:spacing w:val="-3"/>
        </w:rPr>
        <w:t xml:space="preserve"> </w:t>
      </w:r>
      <w:r w:rsidRPr="00EC20A0">
        <w:t>in</w:t>
      </w:r>
      <w:r w:rsidRPr="00EC20A0">
        <w:rPr>
          <w:spacing w:val="-4"/>
        </w:rPr>
        <w:t xml:space="preserve"> </w:t>
      </w:r>
      <w:r w:rsidRPr="00EC20A0">
        <w:t>section</w:t>
      </w:r>
      <w:r w:rsidRPr="00EC20A0">
        <w:rPr>
          <w:spacing w:val="-3"/>
        </w:rPr>
        <w:t xml:space="preserve"> </w:t>
      </w:r>
      <w:r w:rsidRPr="00EC20A0">
        <w:t>VII.</w:t>
      </w:r>
      <w:r w:rsidRPr="00EC20A0">
        <w:rPr>
          <w:spacing w:val="-3"/>
        </w:rPr>
        <w:t xml:space="preserve"> </w:t>
      </w:r>
      <w:r w:rsidRPr="00EC20A0">
        <w:t>The</w:t>
      </w:r>
      <w:r w:rsidRPr="00EC20A0">
        <w:rPr>
          <w:spacing w:val="-4"/>
        </w:rPr>
        <w:t xml:space="preserve"> </w:t>
      </w:r>
      <w:r w:rsidRPr="00EC20A0">
        <w:t>assistant</w:t>
      </w:r>
      <w:r w:rsidRPr="00EC20A0">
        <w:rPr>
          <w:spacing w:val="-3"/>
        </w:rPr>
        <w:t xml:space="preserve"> </w:t>
      </w:r>
      <w:r w:rsidRPr="00EC20A0">
        <w:t>director</w:t>
      </w:r>
      <w:r w:rsidRPr="00EC20A0">
        <w:rPr>
          <w:spacing w:val="-3"/>
        </w:rPr>
        <w:t xml:space="preserve"> </w:t>
      </w:r>
      <w:r w:rsidRPr="00EC20A0">
        <w:t>and</w:t>
      </w:r>
      <w:r w:rsidRPr="00EC20A0">
        <w:rPr>
          <w:spacing w:val="-3"/>
        </w:rPr>
        <w:t xml:space="preserve"> </w:t>
      </w:r>
      <w:r w:rsidRPr="00EC20A0">
        <w:t>first</w:t>
      </w:r>
      <w:r w:rsidRPr="00EC20A0">
        <w:rPr>
          <w:spacing w:val="-3"/>
        </w:rPr>
        <w:t xml:space="preserve"> </w:t>
      </w:r>
      <w:r w:rsidRPr="00EC20A0">
        <w:t xml:space="preserve">partner (audit director) should review this </w:t>
      </w:r>
      <w:r w:rsidRPr="00EC20A0">
        <w:t>checklist before the auditor’s report date and also sign in section VII. The reviewer (second partner) should review the checklist and sign in section VIII when the engagement quality control review (second partner review) is completed before the report release date. While parts of the checklist are useful in audit planning, no signatures are required on the checklist in the planning phase.</w:t>
      </w:r>
    </w:p>
    <w:p w14:paraId="24D62283" w14:textId="77777777" w:rsidR="00245300" w:rsidRPr="00EC20A0" w:rsidRDefault="00F17249">
      <w:pPr>
        <w:pStyle w:val="BodyText"/>
        <w:spacing w:before="241"/>
        <w:ind w:left="879" w:right="1154"/>
      </w:pPr>
      <w:r w:rsidRPr="00EC20A0">
        <w:t>The</w:t>
      </w:r>
      <w:r w:rsidRPr="00EC20A0">
        <w:rPr>
          <w:spacing w:val="-4"/>
        </w:rPr>
        <w:t xml:space="preserve"> </w:t>
      </w:r>
      <w:r w:rsidRPr="00EC20A0">
        <w:t>checklist</w:t>
      </w:r>
      <w:r w:rsidRPr="00EC20A0">
        <w:rPr>
          <w:spacing w:val="-4"/>
        </w:rPr>
        <w:t xml:space="preserve"> </w:t>
      </w:r>
      <w:r w:rsidRPr="00EC20A0">
        <w:t>is</w:t>
      </w:r>
      <w:r w:rsidRPr="00EC20A0">
        <w:rPr>
          <w:spacing w:val="-4"/>
        </w:rPr>
        <w:t xml:space="preserve"> </w:t>
      </w:r>
      <w:r w:rsidRPr="00EC20A0">
        <w:t>a</w:t>
      </w:r>
      <w:r w:rsidRPr="00EC20A0">
        <w:rPr>
          <w:spacing w:val="-4"/>
        </w:rPr>
        <w:t xml:space="preserve"> </w:t>
      </w:r>
      <w:r w:rsidRPr="00EC20A0">
        <w:t>combination</w:t>
      </w:r>
      <w:r w:rsidRPr="00EC20A0">
        <w:rPr>
          <w:spacing w:val="-4"/>
        </w:rPr>
        <w:t xml:space="preserve"> </w:t>
      </w:r>
      <w:r w:rsidRPr="00EC20A0">
        <w:t>of</w:t>
      </w:r>
      <w:r w:rsidRPr="00EC20A0">
        <w:rPr>
          <w:spacing w:val="-4"/>
        </w:rPr>
        <w:t xml:space="preserve"> </w:t>
      </w:r>
      <w:r w:rsidRPr="00EC20A0">
        <w:t>auditing</w:t>
      </w:r>
      <w:r w:rsidRPr="00EC20A0">
        <w:rPr>
          <w:spacing w:val="-4"/>
        </w:rPr>
        <w:t xml:space="preserve"> </w:t>
      </w:r>
      <w:r w:rsidRPr="00EC20A0">
        <w:t>standard</w:t>
      </w:r>
      <w:r w:rsidRPr="00EC20A0">
        <w:rPr>
          <w:spacing w:val="-4"/>
        </w:rPr>
        <w:t xml:space="preserve"> </w:t>
      </w:r>
      <w:r w:rsidRPr="00EC20A0">
        <w:t>objectives</w:t>
      </w:r>
      <w:r w:rsidRPr="00EC20A0">
        <w:rPr>
          <w:spacing w:val="-4"/>
        </w:rPr>
        <w:t xml:space="preserve"> </w:t>
      </w:r>
      <w:r w:rsidRPr="00EC20A0">
        <w:t>and</w:t>
      </w:r>
      <w:r w:rsidRPr="00EC20A0">
        <w:rPr>
          <w:spacing w:val="-4"/>
        </w:rPr>
        <w:t xml:space="preserve"> </w:t>
      </w:r>
      <w:r w:rsidRPr="00EC20A0">
        <w:t>selected</w:t>
      </w:r>
      <w:r w:rsidRPr="00EC20A0">
        <w:rPr>
          <w:spacing w:val="-4"/>
        </w:rPr>
        <w:t xml:space="preserve"> </w:t>
      </w:r>
      <w:r w:rsidRPr="00EC20A0">
        <w:t>procedures</w:t>
      </w:r>
      <w:r w:rsidRPr="00EC20A0">
        <w:rPr>
          <w:spacing w:val="-4"/>
        </w:rPr>
        <w:t xml:space="preserve"> </w:t>
      </w:r>
      <w:r w:rsidRPr="00EC20A0">
        <w:t>related to the objectives. The checklist does not contain all procedures that should be performed to meet the audit objectives, and the auditor still has the responsibility to ensure that all FAM requirements are met.</w:t>
      </w:r>
    </w:p>
    <w:p w14:paraId="24D62284" w14:textId="77777777" w:rsidR="00245300" w:rsidRPr="00EC20A0" w:rsidRDefault="00F17249">
      <w:pPr>
        <w:pStyle w:val="BodyText"/>
        <w:spacing w:before="240"/>
        <w:ind w:left="880" w:right="956"/>
      </w:pPr>
      <w:r w:rsidRPr="00EC20A0">
        <w:t>The</w:t>
      </w:r>
      <w:r w:rsidRPr="00EC20A0">
        <w:rPr>
          <w:spacing w:val="-3"/>
        </w:rPr>
        <w:t xml:space="preserve"> </w:t>
      </w:r>
      <w:r w:rsidRPr="00EC20A0">
        <w:t>detailed</w:t>
      </w:r>
      <w:r w:rsidRPr="00EC20A0">
        <w:rPr>
          <w:spacing w:val="-4"/>
        </w:rPr>
        <w:t xml:space="preserve"> </w:t>
      </w:r>
      <w:r w:rsidRPr="00EC20A0">
        <w:t>questions</w:t>
      </w:r>
      <w:r w:rsidRPr="00EC20A0">
        <w:rPr>
          <w:spacing w:val="-4"/>
        </w:rPr>
        <w:t xml:space="preserve"> </w:t>
      </w:r>
      <w:r w:rsidRPr="00EC20A0">
        <w:t>in</w:t>
      </w:r>
      <w:r w:rsidRPr="00EC20A0">
        <w:rPr>
          <w:spacing w:val="-3"/>
        </w:rPr>
        <w:t xml:space="preserve"> </w:t>
      </w:r>
      <w:r w:rsidRPr="00EC20A0">
        <w:t>this</w:t>
      </w:r>
      <w:r w:rsidRPr="00EC20A0">
        <w:rPr>
          <w:spacing w:val="-3"/>
        </w:rPr>
        <w:t xml:space="preserve"> </w:t>
      </w:r>
      <w:r w:rsidRPr="00EC20A0">
        <w:t>checklist</w:t>
      </w:r>
      <w:r w:rsidRPr="00EC20A0">
        <w:rPr>
          <w:spacing w:val="-3"/>
        </w:rPr>
        <w:t xml:space="preserve"> </w:t>
      </w:r>
      <w:r w:rsidRPr="00EC20A0">
        <w:t>are</w:t>
      </w:r>
      <w:r w:rsidRPr="00EC20A0">
        <w:rPr>
          <w:spacing w:val="-3"/>
        </w:rPr>
        <w:t xml:space="preserve"> </w:t>
      </w:r>
      <w:r w:rsidRPr="00EC20A0">
        <w:t>to</w:t>
      </w:r>
      <w:r w:rsidRPr="00EC20A0">
        <w:rPr>
          <w:spacing w:val="-3"/>
        </w:rPr>
        <w:t xml:space="preserve"> </w:t>
      </w:r>
      <w:r w:rsidRPr="00EC20A0">
        <w:t>be</w:t>
      </w:r>
      <w:r w:rsidRPr="00EC20A0">
        <w:rPr>
          <w:spacing w:val="-4"/>
        </w:rPr>
        <w:t xml:space="preserve"> </w:t>
      </w:r>
      <w:r w:rsidRPr="00EC20A0">
        <w:t>answered</w:t>
      </w:r>
      <w:r w:rsidRPr="00EC20A0">
        <w:rPr>
          <w:spacing w:val="-3"/>
        </w:rPr>
        <w:t xml:space="preserve"> </w:t>
      </w:r>
      <w:r w:rsidRPr="00EC20A0">
        <w:t>“Yes,”</w:t>
      </w:r>
      <w:r w:rsidRPr="00EC20A0">
        <w:rPr>
          <w:spacing w:val="-3"/>
        </w:rPr>
        <w:t xml:space="preserve"> </w:t>
      </w:r>
      <w:r w:rsidRPr="00EC20A0">
        <w:t>“No,”</w:t>
      </w:r>
      <w:r w:rsidRPr="00EC20A0">
        <w:rPr>
          <w:spacing w:val="-3"/>
        </w:rPr>
        <w:t xml:space="preserve"> </w:t>
      </w:r>
      <w:r w:rsidRPr="00EC20A0">
        <w:t>or</w:t>
      </w:r>
      <w:r w:rsidRPr="00EC20A0">
        <w:rPr>
          <w:spacing w:val="-3"/>
        </w:rPr>
        <w:t xml:space="preserve"> </w:t>
      </w:r>
      <w:r w:rsidRPr="00EC20A0">
        <w:t>“N/A</w:t>
      </w:r>
      <w:r w:rsidRPr="00EC20A0">
        <w:rPr>
          <w:spacing w:val="-3"/>
        </w:rPr>
        <w:t xml:space="preserve"> </w:t>
      </w:r>
      <w:r w:rsidRPr="00EC20A0">
        <w:t>(not</w:t>
      </w:r>
      <w:r w:rsidRPr="00EC20A0">
        <w:rPr>
          <w:spacing w:val="-3"/>
        </w:rPr>
        <w:t xml:space="preserve"> </w:t>
      </w:r>
      <w:r w:rsidRPr="00EC20A0">
        <w:t>applicable).” For most questions, “No” answers indicate departures from professional standards or from the FAM. The auditor should explain all “No” answers in section VI of this checklist and determine the effects and significance of “No” answers, including any effects on the auditor’s report.</w:t>
      </w:r>
    </w:p>
    <w:p w14:paraId="24D62285" w14:textId="77777777" w:rsidR="00245300" w:rsidRPr="00EC20A0" w:rsidRDefault="00F17249">
      <w:pPr>
        <w:pStyle w:val="BodyText"/>
        <w:ind w:left="880" w:right="956"/>
      </w:pPr>
      <w:r w:rsidRPr="00EC20A0">
        <w:t>Auditors</w:t>
      </w:r>
      <w:r w:rsidRPr="00EC20A0">
        <w:rPr>
          <w:spacing w:val="-2"/>
        </w:rPr>
        <w:t xml:space="preserve"> </w:t>
      </w:r>
      <w:r w:rsidRPr="00EC20A0">
        <w:t>should</w:t>
      </w:r>
      <w:r w:rsidRPr="00EC20A0">
        <w:rPr>
          <w:spacing w:val="-2"/>
        </w:rPr>
        <w:t xml:space="preserve"> </w:t>
      </w:r>
      <w:r w:rsidRPr="00EC20A0">
        <w:t>enter</w:t>
      </w:r>
      <w:r w:rsidRPr="00EC20A0">
        <w:rPr>
          <w:spacing w:val="-2"/>
        </w:rPr>
        <w:t xml:space="preserve"> </w:t>
      </w:r>
      <w:r w:rsidRPr="00EC20A0">
        <w:t>“N/A”</w:t>
      </w:r>
      <w:r w:rsidRPr="00EC20A0">
        <w:rPr>
          <w:spacing w:val="-2"/>
        </w:rPr>
        <w:t xml:space="preserve"> </w:t>
      </w:r>
      <w:r w:rsidRPr="00EC20A0">
        <w:t>when</w:t>
      </w:r>
      <w:r w:rsidRPr="00EC20A0">
        <w:rPr>
          <w:spacing w:val="-2"/>
        </w:rPr>
        <w:t xml:space="preserve"> </w:t>
      </w:r>
      <w:r w:rsidRPr="00EC20A0">
        <w:t>an</w:t>
      </w:r>
      <w:r w:rsidRPr="00EC20A0">
        <w:rPr>
          <w:spacing w:val="-2"/>
        </w:rPr>
        <w:t xml:space="preserve"> </w:t>
      </w:r>
      <w:r w:rsidRPr="00EC20A0">
        <w:t>item</w:t>
      </w:r>
      <w:r w:rsidRPr="00EC20A0">
        <w:rPr>
          <w:spacing w:val="-3"/>
        </w:rPr>
        <w:t xml:space="preserve"> </w:t>
      </w:r>
      <w:r w:rsidRPr="00EC20A0">
        <w:t>does</w:t>
      </w:r>
      <w:r w:rsidRPr="00EC20A0">
        <w:rPr>
          <w:spacing w:val="-2"/>
        </w:rPr>
        <w:t xml:space="preserve"> </w:t>
      </w:r>
      <w:r w:rsidRPr="00EC20A0">
        <w:t>not</w:t>
      </w:r>
      <w:r w:rsidRPr="00EC20A0">
        <w:rPr>
          <w:spacing w:val="-2"/>
        </w:rPr>
        <w:t xml:space="preserve"> </w:t>
      </w:r>
      <w:r w:rsidRPr="00EC20A0">
        <w:t>exist</w:t>
      </w:r>
      <w:r w:rsidRPr="00EC20A0">
        <w:rPr>
          <w:spacing w:val="-2"/>
        </w:rPr>
        <w:t xml:space="preserve"> </w:t>
      </w:r>
      <w:r w:rsidRPr="00EC20A0">
        <w:t>or</w:t>
      </w:r>
      <w:r w:rsidRPr="00EC20A0">
        <w:rPr>
          <w:spacing w:val="-2"/>
        </w:rPr>
        <w:t xml:space="preserve"> </w:t>
      </w:r>
      <w:r w:rsidRPr="00EC20A0">
        <w:t>when</w:t>
      </w:r>
      <w:r w:rsidRPr="00EC20A0">
        <w:rPr>
          <w:spacing w:val="-2"/>
        </w:rPr>
        <w:t xml:space="preserve"> </w:t>
      </w:r>
      <w:r w:rsidRPr="00EC20A0">
        <w:t>the</w:t>
      </w:r>
      <w:r w:rsidRPr="00EC20A0">
        <w:rPr>
          <w:spacing w:val="-2"/>
        </w:rPr>
        <w:t xml:space="preserve"> </w:t>
      </w:r>
      <w:r w:rsidRPr="00EC20A0">
        <w:t>item</w:t>
      </w:r>
      <w:r w:rsidRPr="00EC20A0">
        <w:rPr>
          <w:spacing w:val="-3"/>
        </w:rPr>
        <w:t xml:space="preserve"> </w:t>
      </w:r>
      <w:r w:rsidRPr="00EC20A0">
        <w:t>exists</w:t>
      </w:r>
      <w:r w:rsidRPr="00EC20A0">
        <w:rPr>
          <w:spacing w:val="-2"/>
        </w:rPr>
        <w:t xml:space="preserve"> </w:t>
      </w:r>
      <w:r w:rsidRPr="00EC20A0">
        <w:t>but</w:t>
      </w:r>
      <w:r w:rsidRPr="00EC20A0">
        <w:rPr>
          <w:spacing w:val="-2"/>
        </w:rPr>
        <w:t xml:space="preserve"> </w:t>
      </w:r>
      <w:r w:rsidRPr="00EC20A0">
        <w:t>is</w:t>
      </w:r>
      <w:r w:rsidRPr="00EC20A0">
        <w:rPr>
          <w:spacing w:val="-3"/>
        </w:rPr>
        <w:t xml:space="preserve"> </w:t>
      </w:r>
      <w:r w:rsidRPr="00EC20A0">
        <w:t>judged</w:t>
      </w:r>
      <w:r w:rsidRPr="00EC20A0">
        <w:rPr>
          <w:spacing w:val="-2"/>
        </w:rPr>
        <w:t xml:space="preserve"> </w:t>
      </w:r>
      <w:r w:rsidRPr="00EC20A0">
        <w:t xml:space="preserve">to be immaterial. Because the checklist is designed for a wide range of financial </w:t>
      </w:r>
      <w:r w:rsidRPr="00EC20A0">
        <w:t>statement audits, there</w:t>
      </w:r>
      <w:r w:rsidRPr="00EC20A0">
        <w:rPr>
          <w:spacing w:val="-2"/>
        </w:rPr>
        <w:t xml:space="preserve"> </w:t>
      </w:r>
      <w:r w:rsidRPr="00EC20A0">
        <w:t>may</w:t>
      </w:r>
      <w:r w:rsidRPr="00EC20A0">
        <w:rPr>
          <w:spacing w:val="-2"/>
        </w:rPr>
        <w:t xml:space="preserve"> </w:t>
      </w:r>
      <w:r w:rsidRPr="00EC20A0">
        <w:t>be</w:t>
      </w:r>
      <w:r w:rsidRPr="00EC20A0">
        <w:rPr>
          <w:spacing w:val="-2"/>
        </w:rPr>
        <w:t xml:space="preserve"> </w:t>
      </w:r>
      <w:r w:rsidRPr="00EC20A0">
        <w:t>many</w:t>
      </w:r>
      <w:r w:rsidRPr="00EC20A0">
        <w:rPr>
          <w:spacing w:val="-2"/>
        </w:rPr>
        <w:t xml:space="preserve"> </w:t>
      </w:r>
      <w:r w:rsidRPr="00EC20A0">
        <w:t>“N/A”</w:t>
      </w:r>
      <w:r w:rsidRPr="00EC20A0">
        <w:rPr>
          <w:spacing w:val="-2"/>
        </w:rPr>
        <w:t xml:space="preserve"> </w:t>
      </w:r>
      <w:r w:rsidRPr="00EC20A0">
        <w:t>answers.</w:t>
      </w:r>
      <w:r w:rsidRPr="00EC20A0">
        <w:rPr>
          <w:spacing w:val="-2"/>
        </w:rPr>
        <w:t xml:space="preserve"> </w:t>
      </w:r>
      <w:r w:rsidRPr="00EC20A0">
        <w:t>If</w:t>
      </w:r>
      <w:r w:rsidRPr="00EC20A0">
        <w:rPr>
          <w:spacing w:val="-3"/>
        </w:rPr>
        <w:t xml:space="preserve"> </w:t>
      </w:r>
      <w:r w:rsidRPr="00EC20A0">
        <w:t>the</w:t>
      </w:r>
      <w:r w:rsidRPr="00EC20A0">
        <w:rPr>
          <w:spacing w:val="-2"/>
        </w:rPr>
        <w:t xml:space="preserve"> </w:t>
      </w:r>
      <w:r w:rsidRPr="00EC20A0">
        <w:t>reason</w:t>
      </w:r>
      <w:r w:rsidRPr="00EC20A0">
        <w:rPr>
          <w:spacing w:val="-3"/>
        </w:rPr>
        <w:t xml:space="preserve"> </w:t>
      </w:r>
      <w:r w:rsidRPr="00EC20A0">
        <w:t>why</w:t>
      </w:r>
      <w:r w:rsidRPr="00EC20A0">
        <w:rPr>
          <w:spacing w:val="-2"/>
        </w:rPr>
        <w:t xml:space="preserve"> </w:t>
      </w:r>
      <w:r w:rsidRPr="00EC20A0">
        <w:t>a</w:t>
      </w:r>
      <w:r w:rsidRPr="00EC20A0">
        <w:rPr>
          <w:spacing w:val="-2"/>
        </w:rPr>
        <w:t xml:space="preserve"> </w:t>
      </w:r>
      <w:r w:rsidRPr="00EC20A0">
        <w:t>question</w:t>
      </w:r>
      <w:r w:rsidRPr="00EC20A0">
        <w:rPr>
          <w:spacing w:val="-2"/>
        </w:rPr>
        <w:t xml:space="preserve"> </w:t>
      </w:r>
      <w:r w:rsidRPr="00EC20A0">
        <w:t>is</w:t>
      </w:r>
      <w:r w:rsidRPr="00EC20A0">
        <w:rPr>
          <w:spacing w:val="-2"/>
        </w:rPr>
        <w:t xml:space="preserve"> </w:t>
      </w:r>
      <w:r w:rsidRPr="00EC20A0">
        <w:t>not</w:t>
      </w:r>
      <w:r w:rsidRPr="00EC20A0">
        <w:rPr>
          <w:spacing w:val="-2"/>
        </w:rPr>
        <w:t xml:space="preserve"> </w:t>
      </w:r>
      <w:r w:rsidRPr="00EC20A0">
        <w:t>applicable</w:t>
      </w:r>
      <w:r w:rsidRPr="00EC20A0">
        <w:rPr>
          <w:spacing w:val="-3"/>
        </w:rPr>
        <w:t xml:space="preserve"> </w:t>
      </w:r>
      <w:r w:rsidRPr="00EC20A0">
        <w:t>is</w:t>
      </w:r>
      <w:r w:rsidRPr="00EC20A0">
        <w:rPr>
          <w:spacing w:val="-2"/>
        </w:rPr>
        <w:t xml:space="preserve"> </w:t>
      </w:r>
      <w:r w:rsidRPr="00EC20A0">
        <w:t>not</w:t>
      </w:r>
      <w:r w:rsidRPr="00EC20A0">
        <w:rPr>
          <w:spacing w:val="-2"/>
        </w:rPr>
        <w:t xml:space="preserve"> </w:t>
      </w:r>
      <w:r w:rsidRPr="00EC20A0">
        <w:t>obvious, the</w:t>
      </w:r>
      <w:r w:rsidRPr="00EC20A0">
        <w:rPr>
          <w:spacing w:val="-1"/>
        </w:rPr>
        <w:t xml:space="preserve"> </w:t>
      </w:r>
      <w:r w:rsidRPr="00EC20A0">
        <w:t>auditor</w:t>
      </w:r>
      <w:r w:rsidRPr="00EC20A0">
        <w:rPr>
          <w:spacing w:val="-1"/>
        </w:rPr>
        <w:t xml:space="preserve"> </w:t>
      </w:r>
      <w:r w:rsidRPr="00EC20A0">
        <w:t>should</w:t>
      </w:r>
      <w:r w:rsidRPr="00EC20A0">
        <w:rPr>
          <w:spacing w:val="-1"/>
        </w:rPr>
        <w:t xml:space="preserve"> </w:t>
      </w:r>
      <w:r w:rsidRPr="00EC20A0">
        <w:t>document</w:t>
      </w:r>
      <w:r w:rsidRPr="00EC20A0">
        <w:rPr>
          <w:spacing w:val="-1"/>
        </w:rPr>
        <w:t xml:space="preserve"> </w:t>
      </w:r>
      <w:r w:rsidRPr="00EC20A0">
        <w:t>the</w:t>
      </w:r>
      <w:r w:rsidRPr="00EC20A0">
        <w:rPr>
          <w:spacing w:val="-1"/>
        </w:rPr>
        <w:t xml:space="preserve"> </w:t>
      </w:r>
      <w:r w:rsidRPr="00EC20A0">
        <w:t>reason</w:t>
      </w:r>
      <w:r w:rsidRPr="00EC20A0">
        <w:rPr>
          <w:spacing w:val="-1"/>
        </w:rPr>
        <w:t xml:space="preserve"> </w:t>
      </w:r>
      <w:r w:rsidRPr="00EC20A0">
        <w:t>on</w:t>
      </w:r>
      <w:r w:rsidRPr="00EC20A0">
        <w:rPr>
          <w:spacing w:val="-1"/>
        </w:rPr>
        <w:t xml:space="preserve"> </w:t>
      </w:r>
      <w:r w:rsidRPr="00EC20A0">
        <w:t>the</w:t>
      </w:r>
      <w:r w:rsidRPr="00EC20A0">
        <w:rPr>
          <w:spacing w:val="-2"/>
        </w:rPr>
        <w:t xml:space="preserve"> </w:t>
      </w:r>
      <w:r w:rsidRPr="00EC20A0">
        <w:t>checklist</w:t>
      </w:r>
      <w:r w:rsidRPr="00EC20A0">
        <w:rPr>
          <w:spacing w:val="-1"/>
        </w:rPr>
        <w:t xml:space="preserve"> </w:t>
      </w:r>
      <w:r w:rsidRPr="00EC20A0">
        <w:t>or</w:t>
      </w:r>
      <w:r w:rsidRPr="00EC20A0">
        <w:rPr>
          <w:spacing w:val="-1"/>
        </w:rPr>
        <w:t xml:space="preserve"> </w:t>
      </w:r>
      <w:r w:rsidRPr="00EC20A0">
        <w:t>in</w:t>
      </w:r>
      <w:r w:rsidRPr="00EC20A0">
        <w:rPr>
          <w:spacing w:val="-1"/>
        </w:rPr>
        <w:t xml:space="preserve"> </w:t>
      </w:r>
      <w:r w:rsidRPr="00EC20A0">
        <w:t>an</w:t>
      </w:r>
      <w:r w:rsidRPr="00EC20A0">
        <w:rPr>
          <w:spacing w:val="-1"/>
        </w:rPr>
        <w:t xml:space="preserve"> </w:t>
      </w:r>
      <w:r w:rsidRPr="00EC20A0">
        <w:t>attachment.</w:t>
      </w:r>
      <w:r w:rsidRPr="00EC20A0">
        <w:rPr>
          <w:spacing w:val="-1"/>
        </w:rPr>
        <w:t xml:space="preserve"> </w:t>
      </w:r>
      <w:r w:rsidRPr="00EC20A0">
        <w:t>It</w:t>
      </w:r>
      <w:r w:rsidRPr="00EC20A0">
        <w:rPr>
          <w:spacing w:val="-1"/>
        </w:rPr>
        <w:t xml:space="preserve"> </w:t>
      </w:r>
      <w:r w:rsidRPr="00EC20A0">
        <w:t>is</w:t>
      </w:r>
      <w:r w:rsidRPr="00EC20A0">
        <w:rPr>
          <w:spacing w:val="-1"/>
        </w:rPr>
        <w:t xml:space="preserve"> </w:t>
      </w:r>
      <w:r w:rsidRPr="00EC20A0">
        <w:t>not</w:t>
      </w:r>
      <w:r w:rsidRPr="00EC20A0">
        <w:rPr>
          <w:spacing w:val="-1"/>
        </w:rPr>
        <w:t xml:space="preserve"> </w:t>
      </w:r>
      <w:r w:rsidRPr="00EC20A0">
        <w:t>necessary to create additional documentation to support the “Yes” answers, but a column is provided to insert a reference to related audit documentation (“Ref.”). The questions are summarized. For most questions, there is a reference to professional literature that provides more detail.</w:t>
      </w:r>
    </w:p>
    <w:p w14:paraId="24D62286" w14:textId="77777777" w:rsidR="00245300" w:rsidRPr="00EC20A0" w:rsidRDefault="00F17249">
      <w:pPr>
        <w:pStyle w:val="BodyText"/>
        <w:spacing w:before="240"/>
        <w:ind w:left="880"/>
      </w:pPr>
      <w:r w:rsidRPr="00EC20A0">
        <w:t>Section</w:t>
      </w:r>
      <w:r w:rsidRPr="00EC20A0">
        <w:rPr>
          <w:spacing w:val="-7"/>
        </w:rPr>
        <w:t xml:space="preserve"> </w:t>
      </w:r>
      <w:r w:rsidRPr="00EC20A0">
        <w:t>V</w:t>
      </w:r>
      <w:r w:rsidRPr="00EC20A0">
        <w:rPr>
          <w:spacing w:val="-7"/>
        </w:rPr>
        <w:t xml:space="preserve"> </w:t>
      </w:r>
      <w:r w:rsidRPr="00EC20A0">
        <w:t>has</w:t>
      </w:r>
      <w:r w:rsidRPr="00EC20A0">
        <w:rPr>
          <w:spacing w:val="-7"/>
        </w:rPr>
        <w:t xml:space="preserve"> </w:t>
      </w:r>
      <w:r w:rsidRPr="00EC20A0">
        <w:t>questions</w:t>
      </w:r>
      <w:r w:rsidRPr="00EC20A0">
        <w:rPr>
          <w:spacing w:val="-7"/>
        </w:rPr>
        <w:t xml:space="preserve"> </w:t>
      </w:r>
      <w:r w:rsidRPr="00EC20A0">
        <w:t>on</w:t>
      </w:r>
      <w:r w:rsidRPr="00EC20A0">
        <w:rPr>
          <w:spacing w:val="-6"/>
        </w:rPr>
        <w:t xml:space="preserve"> </w:t>
      </w:r>
      <w:r w:rsidRPr="00EC20A0">
        <w:t>GAO’s</w:t>
      </w:r>
      <w:r w:rsidRPr="00EC20A0">
        <w:rPr>
          <w:spacing w:val="-7"/>
        </w:rPr>
        <w:t xml:space="preserve"> </w:t>
      </w:r>
      <w:r w:rsidRPr="00EC20A0">
        <w:t>quality</w:t>
      </w:r>
      <w:r w:rsidRPr="00EC20A0">
        <w:rPr>
          <w:spacing w:val="-7"/>
        </w:rPr>
        <w:t xml:space="preserve"> </w:t>
      </w:r>
      <w:r w:rsidRPr="00EC20A0">
        <w:t>control.</w:t>
      </w:r>
      <w:r w:rsidRPr="00EC20A0">
        <w:rPr>
          <w:spacing w:val="-7"/>
        </w:rPr>
        <w:t xml:space="preserve"> </w:t>
      </w:r>
      <w:r w:rsidRPr="00EC20A0">
        <w:t>GAO</w:t>
      </w:r>
      <w:r w:rsidRPr="00EC20A0">
        <w:rPr>
          <w:spacing w:val="-7"/>
        </w:rPr>
        <w:t xml:space="preserve"> </w:t>
      </w:r>
      <w:r w:rsidRPr="00EC20A0">
        <w:t>auditors</w:t>
      </w:r>
      <w:r w:rsidRPr="00EC20A0">
        <w:rPr>
          <w:spacing w:val="-7"/>
        </w:rPr>
        <w:t xml:space="preserve"> </w:t>
      </w:r>
      <w:r w:rsidRPr="00EC20A0">
        <w:t>should</w:t>
      </w:r>
      <w:r w:rsidRPr="00EC20A0">
        <w:rPr>
          <w:spacing w:val="-8"/>
        </w:rPr>
        <w:t xml:space="preserve"> </w:t>
      </w:r>
      <w:r w:rsidRPr="00EC20A0">
        <w:t>complete</w:t>
      </w:r>
      <w:r w:rsidRPr="00EC20A0">
        <w:rPr>
          <w:spacing w:val="-7"/>
        </w:rPr>
        <w:t xml:space="preserve"> </w:t>
      </w:r>
      <w:r w:rsidRPr="00EC20A0">
        <w:t>this</w:t>
      </w:r>
      <w:r w:rsidRPr="00EC20A0">
        <w:rPr>
          <w:spacing w:val="-6"/>
        </w:rPr>
        <w:t xml:space="preserve"> </w:t>
      </w:r>
      <w:r w:rsidRPr="00EC20A0">
        <w:rPr>
          <w:spacing w:val="-2"/>
        </w:rPr>
        <w:t>section.</w:t>
      </w:r>
    </w:p>
    <w:p w14:paraId="24D62287" w14:textId="77777777" w:rsidR="00245300" w:rsidRPr="00EC20A0" w:rsidRDefault="00F17249">
      <w:pPr>
        <w:spacing w:before="240"/>
        <w:ind w:left="880"/>
        <w:rPr>
          <w:b/>
        </w:rPr>
      </w:pPr>
      <w:r w:rsidRPr="00EC20A0">
        <w:rPr>
          <w:b/>
          <w:spacing w:val="-2"/>
          <w:u w:val="single"/>
        </w:rPr>
        <w:t>References</w:t>
      </w:r>
    </w:p>
    <w:p w14:paraId="24D62288" w14:textId="77777777" w:rsidR="00245300" w:rsidRPr="00EC20A0" w:rsidRDefault="00F17249">
      <w:pPr>
        <w:tabs>
          <w:tab w:val="left" w:leader="dot" w:pos="9612"/>
        </w:tabs>
        <w:spacing w:before="240" w:line="253" w:lineRule="exact"/>
        <w:ind w:left="880"/>
      </w:pPr>
      <w:r w:rsidRPr="00EC20A0">
        <w:t>AICPA’s</w:t>
      </w:r>
      <w:r w:rsidRPr="00EC20A0">
        <w:rPr>
          <w:spacing w:val="-11"/>
        </w:rPr>
        <w:t xml:space="preserve"> </w:t>
      </w:r>
      <w:r w:rsidRPr="00EC20A0">
        <w:rPr>
          <w:i/>
        </w:rPr>
        <w:t>Auditing</w:t>
      </w:r>
      <w:r w:rsidRPr="00EC20A0">
        <w:rPr>
          <w:i/>
          <w:spacing w:val="-10"/>
        </w:rPr>
        <w:t xml:space="preserve"> </w:t>
      </w:r>
      <w:r w:rsidRPr="00EC20A0">
        <w:rPr>
          <w:i/>
        </w:rPr>
        <w:t>Standards</w:t>
      </w:r>
      <w:r w:rsidRPr="00EC20A0">
        <w:rPr>
          <w:i/>
          <w:spacing w:val="-10"/>
        </w:rPr>
        <w:t xml:space="preserve"> </w:t>
      </w:r>
      <w:r w:rsidRPr="00EC20A0">
        <w:rPr>
          <w:i/>
          <w:spacing w:val="-2"/>
        </w:rPr>
        <w:t>[Clarified]</w:t>
      </w:r>
      <w:r w:rsidRPr="00EC20A0">
        <w:rPr>
          <w:i/>
        </w:rPr>
        <w:tab/>
      </w:r>
      <w:r w:rsidRPr="00EC20A0">
        <w:rPr>
          <w:spacing w:val="-4"/>
        </w:rPr>
        <w:t>AU-</w:t>
      </w:r>
      <w:r w:rsidRPr="00EC20A0">
        <w:rPr>
          <w:spacing w:val="-10"/>
        </w:rPr>
        <w:t>C</w:t>
      </w:r>
    </w:p>
    <w:p w14:paraId="24D62289" w14:textId="77777777" w:rsidR="00245300" w:rsidRPr="00EC20A0" w:rsidRDefault="00F17249">
      <w:pPr>
        <w:tabs>
          <w:tab w:val="left" w:leader="dot" w:pos="9685"/>
        </w:tabs>
        <w:spacing w:line="253" w:lineRule="exact"/>
        <w:ind w:left="880"/>
      </w:pPr>
      <w:r w:rsidRPr="00EC20A0">
        <w:t>GAO/CIGIE</w:t>
      </w:r>
      <w:r w:rsidRPr="00EC20A0">
        <w:rPr>
          <w:spacing w:val="-11"/>
        </w:rPr>
        <w:t xml:space="preserve"> </w:t>
      </w:r>
      <w:r w:rsidRPr="00EC20A0">
        <w:rPr>
          <w:i/>
        </w:rPr>
        <w:t>Financial</w:t>
      </w:r>
      <w:r w:rsidRPr="00EC20A0">
        <w:rPr>
          <w:i/>
          <w:spacing w:val="-11"/>
        </w:rPr>
        <w:t xml:space="preserve"> </w:t>
      </w:r>
      <w:r w:rsidRPr="00EC20A0">
        <w:rPr>
          <w:i/>
        </w:rPr>
        <w:t>Audit</w:t>
      </w:r>
      <w:r w:rsidRPr="00EC20A0">
        <w:rPr>
          <w:i/>
          <w:spacing w:val="-10"/>
        </w:rPr>
        <w:t xml:space="preserve"> </w:t>
      </w:r>
      <w:r w:rsidRPr="00EC20A0">
        <w:rPr>
          <w:i/>
          <w:spacing w:val="-2"/>
        </w:rPr>
        <w:t>Manual</w:t>
      </w:r>
      <w:r w:rsidRPr="00EC20A0">
        <w:rPr>
          <w:i/>
        </w:rPr>
        <w:tab/>
      </w:r>
      <w:r w:rsidRPr="00EC20A0">
        <w:rPr>
          <w:spacing w:val="-5"/>
        </w:rPr>
        <w:t>FAM</w:t>
      </w:r>
    </w:p>
    <w:p w14:paraId="24D6228A" w14:textId="77777777" w:rsidR="00245300" w:rsidRPr="00EC20A0" w:rsidRDefault="00F17249">
      <w:pPr>
        <w:tabs>
          <w:tab w:val="left" w:leader="dot" w:pos="9368"/>
        </w:tabs>
        <w:ind w:left="880"/>
      </w:pPr>
      <w:r w:rsidRPr="00EC20A0">
        <w:rPr>
          <w:i/>
        </w:rPr>
        <w:t>Government</w:t>
      </w:r>
      <w:r w:rsidRPr="00EC20A0">
        <w:rPr>
          <w:i/>
          <w:spacing w:val="-10"/>
        </w:rPr>
        <w:t xml:space="preserve"> </w:t>
      </w:r>
      <w:r w:rsidRPr="00EC20A0">
        <w:rPr>
          <w:i/>
        </w:rPr>
        <w:t>Auditing</w:t>
      </w:r>
      <w:r w:rsidRPr="00EC20A0">
        <w:rPr>
          <w:i/>
          <w:spacing w:val="-10"/>
        </w:rPr>
        <w:t xml:space="preserve"> </w:t>
      </w:r>
      <w:r w:rsidRPr="00EC20A0">
        <w:rPr>
          <w:i/>
        </w:rPr>
        <w:t>Standards</w:t>
      </w:r>
      <w:r w:rsidRPr="00EC20A0">
        <w:rPr>
          <w:i/>
          <w:spacing w:val="-11"/>
        </w:rPr>
        <w:t xml:space="preserve"> </w:t>
      </w:r>
      <w:r w:rsidRPr="00EC20A0">
        <w:t>(2018</w:t>
      </w:r>
      <w:r w:rsidRPr="00EC20A0">
        <w:rPr>
          <w:spacing w:val="-10"/>
        </w:rPr>
        <w:t xml:space="preserve"> </w:t>
      </w:r>
      <w:r w:rsidRPr="00EC20A0">
        <w:rPr>
          <w:spacing w:val="-2"/>
        </w:rPr>
        <w:t>revision)</w:t>
      </w:r>
      <w:r w:rsidRPr="00EC20A0">
        <w:tab/>
      </w:r>
      <w:r w:rsidRPr="00EC20A0">
        <w:rPr>
          <w:spacing w:val="-2"/>
        </w:rPr>
        <w:t>GAGAS</w:t>
      </w:r>
    </w:p>
    <w:p w14:paraId="24D6228B" w14:textId="77777777" w:rsidR="00245300" w:rsidRPr="00EC20A0" w:rsidRDefault="00245300">
      <w:pPr>
        <w:sectPr w:rsidR="00245300" w:rsidRPr="00EC20A0">
          <w:headerReference w:type="default" r:id="rId206"/>
          <w:footerReference w:type="default" r:id="rId207"/>
          <w:pgSz w:w="12240" w:h="15840"/>
          <w:pgMar w:top="1340" w:right="460" w:bottom="940" w:left="560" w:header="721" w:footer="757" w:gutter="0"/>
          <w:pgNumType w:start="1"/>
          <w:cols w:space="720"/>
        </w:sectPr>
      </w:pPr>
    </w:p>
    <w:p w14:paraId="24D6228C" w14:textId="77777777" w:rsidR="00245300" w:rsidRPr="00EC20A0" w:rsidRDefault="00F17249">
      <w:pPr>
        <w:pStyle w:val="Heading4"/>
        <w:spacing w:before="301"/>
        <w:ind w:left="880"/>
      </w:pPr>
      <w:bookmarkStart w:id="413" w:name="Section_I:_Planning_and_Risk_Assessment"/>
      <w:bookmarkEnd w:id="413"/>
      <w:r w:rsidRPr="00EC20A0">
        <w:t>Section</w:t>
      </w:r>
      <w:r w:rsidRPr="00EC20A0">
        <w:rPr>
          <w:spacing w:val="-10"/>
        </w:rPr>
        <w:t xml:space="preserve"> </w:t>
      </w:r>
      <w:r w:rsidRPr="00EC20A0">
        <w:t>I:</w:t>
      </w:r>
      <w:r w:rsidRPr="00EC20A0">
        <w:rPr>
          <w:spacing w:val="-8"/>
        </w:rPr>
        <w:t xml:space="preserve"> </w:t>
      </w:r>
      <w:r w:rsidRPr="00EC20A0">
        <w:t>Planning</w:t>
      </w:r>
      <w:r w:rsidRPr="00EC20A0">
        <w:rPr>
          <w:spacing w:val="-9"/>
        </w:rPr>
        <w:t xml:space="preserve"> </w:t>
      </w:r>
      <w:r w:rsidRPr="00EC20A0">
        <w:t>and</w:t>
      </w:r>
      <w:r w:rsidRPr="00EC20A0">
        <w:rPr>
          <w:spacing w:val="-9"/>
        </w:rPr>
        <w:t xml:space="preserve"> </w:t>
      </w:r>
      <w:r w:rsidRPr="00EC20A0">
        <w:t>Risk</w:t>
      </w:r>
      <w:r w:rsidRPr="00EC20A0">
        <w:rPr>
          <w:spacing w:val="-8"/>
        </w:rPr>
        <w:t xml:space="preserve"> </w:t>
      </w:r>
      <w:r w:rsidRPr="00EC20A0">
        <w:rPr>
          <w:spacing w:val="-2"/>
        </w:rPr>
        <w:t>Assessment</w:t>
      </w:r>
    </w:p>
    <w:p w14:paraId="24D6228D" w14:textId="77777777" w:rsidR="00245300" w:rsidRPr="00EC20A0" w:rsidRDefault="00245300">
      <w:pPr>
        <w:pStyle w:val="BodyText"/>
        <w:spacing w:before="10"/>
        <w:rPr>
          <w:b/>
          <w:sz w:val="16"/>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245300" w:rsidRPr="00EC20A0" w14:paraId="24D62294" w14:textId="77777777">
        <w:trPr>
          <w:trHeight w:val="938"/>
        </w:trPr>
        <w:tc>
          <w:tcPr>
            <w:tcW w:w="7380" w:type="dxa"/>
            <w:tcBorders>
              <w:bottom w:val="single" w:sz="6" w:space="0" w:color="000000"/>
              <w:right w:val="single" w:sz="6" w:space="0" w:color="000000"/>
            </w:tcBorders>
            <w:shd w:val="clear" w:color="auto" w:fill="A6A6A6"/>
          </w:tcPr>
          <w:p w14:paraId="24D6228E" w14:textId="77777777" w:rsidR="00245300" w:rsidRPr="00EC20A0" w:rsidRDefault="00245300">
            <w:pPr>
              <w:pStyle w:val="TableParagraph"/>
              <w:spacing w:before="267"/>
              <w:rPr>
                <w:b/>
                <w:sz w:val="24"/>
              </w:rPr>
            </w:pPr>
          </w:p>
          <w:p w14:paraId="24D6228F" w14:textId="77777777" w:rsidR="00245300" w:rsidRPr="00EC20A0" w:rsidRDefault="00F17249">
            <w:pPr>
              <w:pStyle w:val="TableParagraph"/>
              <w:ind w:left="123"/>
              <w:rPr>
                <w:b/>
                <w:sz w:val="24"/>
              </w:rPr>
            </w:pPr>
            <w:r w:rsidRPr="00EC20A0">
              <w:rPr>
                <w:b/>
                <w:sz w:val="24"/>
              </w:rPr>
              <w:t>Section</w:t>
            </w:r>
            <w:r w:rsidRPr="00EC20A0">
              <w:rPr>
                <w:b/>
                <w:spacing w:val="-3"/>
                <w:sz w:val="24"/>
              </w:rPr>
              <w:t xml:space="preserve"> </w:t>
            </w:r>
            <w:r w:rsidRPr="00EC20A0">
              <w:rPr>
                <w:b/>
                <w:sz w:val="24"/>
              </w:rPr>
              <w:t>I:</w:t>
            </w:r>
            <w:r w:rsidRPr="00EC20A0">
              <w:rPr>
                <w:b/>
                <w:spacing w:val="-4"/>
                <w:sz w:val="24"/>
              </w:rPr>
              <w:t xml:space="preserve"> </w:t>
            </w:r>
            <w:r w:rsidRPr="00EC20A0">
              <w:rPr>
                <w:b/>
                <w:sz w:val="24"/>
              </w:rPr>
              <w:t>Planning</w:t>
            </w:r>
            <w:r w:rsidRPr="00EC20A0">
              <w:rPr>
                <w:b/>
                <w:spacing w:val="-2"/>
                <w:sz w:val="24"/>
              </w:rPr>
              <w:t xml:space="preserve"> </w:t>
            </w:r>
            <w:r w:rsidRPr="00EC20A0">
              <w:rPr>
                <w:b/>
                <w:sz w:val="24"/>
              </w:rPr>
              <w:t>and</w:t>
            </w:r>
            <w:r w:rsidRPr="00EC20A0">
              <w:rPr>
                <w:b/>
                <w:spacing w:val="-3"/>
                <w:sz w:val="24"/>
              </w:rPr>
              <w:t xml:space="preserve"> </w:t>
            </w:r>
            <w:r w:rsidRPr="00EC20A0">
              <w:rPr>
                <w:b/>
                <w:sz w:val="24"/>
              </w:rPr>
              <w:t>Risk</w:t>
            </w:r>
            <w:r w:rsidRPr="00EC20A0">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24D62290" w14:textId="77777777" w:rsidR="00245300" w:rsidRPr="00EC20A0" w:rsidRDefault="00F17249">
            <w:pPr>
              <w:pStyle w:val="TableParagraph"/>
              <w:spacing w:before="121"/>
              <w:ind w:left="138" w:right="201"/>
              <w:jc w:val="both"/>
              <w:rPr>
                <w:b/>
              </w:rPr>
            </w:pPr>
            <w:r w:rsidRPr="00EC20A0">
              <w:rPr>
                <w:b/>
                <w:spacing w:val="-4"/>
              </w:rPr>
              <w:t>Yes, No,* N/A</w:t>
            </w:r>
          </w:p>
        </w:tc>
        <w:tc>
          <w:tcPr>
            <w:tcW w:w="1309" w:type="dxa"/>
            <w:tcBorders>
              <w:left w:val="single" w:sz="6" w:space="0" w:color="000000"/>
              <w:bottom w:val="single" w:sz="6" w:space="0" w:color="000000"/>
            </w:tcBorders>
            <w:shd w:val="clear" w:color="auto" w:fill="A6A6A6"/>
          </w:tcPr>
          <w:p w14:paraId="24D62291" w14:textId="77777777" w:rsidR="00245300" w:rsidRPr="00EC20A0" w:rsidRDefault="00245300">
            <w:pPr>
              <w:pStyle w:val="TableParagraph"/>
              <w:rPr>
                <w:b/>
              </w:rPr>
            </w:pPr>
          </w:p>
          <w:p w14:paraId="24D62292" w14:textId="77777777" w:rsidR="00245300" w:rsidRPr="00EC20A0" w:rsidRDefault="00245300">
            <w:pPr>
              <w:pStyle w:val="TableParagraph"/>
              <w:spacing w:before="120"/>
              <w:rPr>
                <w:b/>
              </w:rPr>
            </w:pPr>
          </w:p>
          <w:p w14:paraId="24D62293" w14:textId="77777777" w:rsidR="00245300" w:rsidRPr="00EC20A0" w:rsidRDefault="00F17249">
            <w:pPr>
              <w:pStyle w:val="TableParagraph"/>
              <w:ind w:left="214"/>
              <w:rPr>
                <w:b/>
              </w:rPr>
            </w:pPr>
            <w:r w:rsidRPr="00EC20A0">
              <w:rPr>
                <w:b/>
              </w:rPr>
              <w:t>Doc.</w:t>
            </w:r>
            <w:r w:rsidRPr="00EC20A0">
              <w:rPr>
                <w:b/>
                <w:spacing w:val="-6"/>
              </w:rPr>
              <w:t xml:space="preserve"> </w:t>
            </w:r>
            <w:r w:rsidRPr="00EC20A0">
              <w:rPr>
                <w:b/>
                <w:spacing w:val="-4"/>
              </w:rPr>
              <w:t>ref.</w:t>
            </w:r>
          </w:p>
        </w:tc>
      </w:tr>
      <w:tr w:rsidR="00245300" w:rsidRPr="00EC20A0" w14:paraId="24D62298" w14:textId="77777777">
        <w:trPr>
          <w:trHeight w:val="492"/>
        </w:trPr>
        <w:tc>
          <w:tcPr>
            <w:tcW w:w="7380" w:type="dxa"/>
            <w:tcBorders>
              <w:top w:val="single" w:sz="6" w:space="0" w:color="000000"/>
              <w:bottom w:val="single" w:sz="6" w:space="0" w:color="000000"/>
              <w:right w:val="single" w:sz="6" w:space="0" w:color="000000"/>
            </w:tcBorders>
          </w:tcPr>
          <w:p w14:paraId="24D62295" w14:textId="77777777" w:rsidR="00245300" w:rsidRPr="00EC20A0" w:rsidRDefault="00F17249">
            <w:pPr>
              <w:pStyle w:val="TableParagraph"/>
              <w:spacing w:before="119"/>
              <w:ind w:left="483"/>
            </w:pPr>
            <w:r w:rsidRPr="00EC20A0">
              <w:t>1.</w:t>
            </w:r>
            <w:r w:rsidRPr="00EC20A0">
              <w:rPr>
                <w:spacing w:val="73"/>
                <w:w w:val="150"/>
              </w:rPr>
              <w:t xml:space="preserve"> </w:t>
            </w:r>
            <w:r w:rsidRPr="00EC20A0">
              <w:t>Has</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documented</w:t>
            </w:r>
            <w:r w:rsidRPr="00EC20A0">
              <w:rPr>
                <w:spacing w:val="-4"/>
              </w:rPr>
              <w:t xml:space="preserve"> </w:t>
            </w:r>
            <w:r w:rsidRPr="00EC20A0">
              <w:t>that</w:t>
            </w:r>
            <w:r w:rsidRPr="00EC20A0">
              <w:rPr>
                <w:spacing w:val="-4"/>
              </w:rPr>
              <w:t xml:space="preserve"> </w:t>
            </w:r>
            <w:r w:rsidRPr="00EC20A0">
              <w:t>it</w:t>
            </w:r>
            <w:r w:rsidRPr="00EC20A0">
              <w:rPr>
                <w:spacing w:val="-3"/>
              </w:rPr>
              <w:t xml:space="preserve"> </w:t>
            </w:r>
            <w:r w:rsidRPr="00EC20A0">
              <w:rPr>
                <w:spacing w:val="-5"/>
              </w:rPr>
              <w:t>has</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296"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shd w:val="clear" w:color="auto" w:fill="BEBEBE"/>
          </w:tcPr>
          <w:p w14:paraId="24D62297" w14:textId="77777777" w:rsidR="00245300" w:rsidRPr="00EC20A0" w:rsidRDefault="00245300">
            <w:pPr>
              <w:pStyle w:val="TableParagraph"/>
            </w:pPr>
          </w:p>
        </w:tc>
      </w:tr>
      <w:tr w:rsidR="00245300" w:rsidRPr="00EC20A0" w14:paraId="24D6229C" w14:textId="77777777">
        <w:trPr>
          <w:trHeight w:val="2010"/>
        </w:trPr>
        <w:tc>
          <w:tcPr>
            <w:tcW w:w="7380" w:type="dxa"/>
            <w:tcBorders>
              <w:top w:val="single" w:sz="6" w:space="0" w:color="000000"/>
              <w:bottom w:val="single" w:sz="6" w:space="0" w:color="000000"/>
              <w:right w:val="single" w:sz="6" w:space="0" w:color="000000"/>
            </w:tcBorders>
          </w:tcPr>
          <w:p w14:paraId="24D62299" w14:textId="77777777" w:rsidR="00245300" w:rsidRPr="00EC20A0" w:rsidRDefault="00F17249">
            <w:pPr>
              <w:pStyle w:val="TableParagraph"/>
              <w:spacing w:before="119"/>
              <w:ind w:left="1248" w:right="141" w:hanging="360"/>
            </w:pPr>
            <w:r w:rsidRPr="00EC20A0">
              <w:t>a.</w:t>
            </w:r>
            <w:r w:rsidRPr="00EC20A0">
              <w:rPr>
                <w:spacing w:val="80"/>
              </w:rPr>
              <w:t xml:space="preserve"> </w:t>
            </w:r>
            <w:r w:rsidRPr="00EC20A0">
              <w:t xml:space="preserve">established an understanding with the entity’s management and, when appropriate, those charged with governance on the terms of the engagement, including the </w:t>
            </w:r>
            <w:r w:rsidRPr="00EC20A0">
              <w:t>objectives and scope of the work; management’s responsibilities; auditors’ responsibilities;</w:t>
            </w:r>
            <w:r w:rsidRPr="00EC20A0">
              <w:rPr>
                <w:spacing w:val="-5"/>
              </w:rPr>
              <w:t xml:space="preserve"> </w:t>
            </w:r>
            <w:r w:rsidRPr="00EC20A0">
              <w:t>and</w:t>
            </w:r>
            <w:r w:rsidRPr="00EC20A0">
              <w:rPr>
                <w:spacing w:val="-5"/>
              </w:rPr>
              <w:t xml:space="preserve"> </w:t>
            </w:r>
            <w:r w:rsidRPr="00EC20A0">
              <w:t>the</w:t>
            </w:r>
            <w:r w:rsidRPr="00EC20A0">
              <w:rPr>
                <w:spacing w:val="-6"/>
              </w:rPr>
              <w:t xml:space="preserve"> </w:t>
            </w:r>
            <w:r w:rsidRPr="00EC20A0">
              <w:t>expected</w:t>
            </w:r>
            <w:r w:rsidRPr="00EC20A0">
              <w:rPr>
                <w:spacing w:val="-5"/>
              </w:rPr>
              <w:t xml:space="preserve"> </w:t>
            </w:r>
            <w:r w:rsidRPr="00EC20A0">
              <w:t>form</w:t>
            </w:r>
            <w:r w:rsidRPr="00EC20A0">
              <w:rPr>
                <w:spacing w:val="-6"/>
              </w:rPr>
              <w:t xml:space="preserve"> </w:t>
            </w:r>
            <w:r w:rsidRPr="00EC20A0">
              <w:t>and</w:t>
            </w:r>
            <w:r w:rsidRPr="00EC20A0">
              <w:rPr>
                <w:spacing w:val="-5"/>
              </w:rPr>
              <w:t xml:space="preserve"> </w:t>
            </w:r>
            <w:r w:rsidRPr="00EC20A0">
              <w:t>content</w:t>
            </w:r>
            <w:r w:rsidRPr="00EC20A0">
              <w:rPr>
                <w:spacing w:val="-5"/>
              </w:rPr>
              <w:t xml:space="preserve"> </w:t>
            </w:r>
            <w:r w:rsidRPr="00EC20A0">
              <w:t>of</w:t>
            </w:r>
            <w:r w:rsidRPr="00EC20A0">
              <w:rPr>
                <w:spacing w:val="-5"/>
              </w:rPr>
              <w:t xml:space="preserve"> </w:t>
            </w:r>
            <w:r w:rsidRPr="00EC20A0">
              <w:t xml:space="preserve">reports on the financial statements, internal control, and compliance </w:t>
            </w:r>
            <w:r w:rsidRPr="00EC20A0">
              <w:rPr>
                <w:spacing w:val="-4"/>
              </w:rPr>
              <w:t>and</w:t>
            </w:r>
          </w:p>
        </w:tc>
        <w:tc>
          <w:tcPr>
            <w:tcW w:w="810" w:type="dxa"/>
            <w:tcBorders>
              <w:top w:val="single" w:sz="6" w:space="0" w:color="000000"/>
              <w:left w:val="single" w:sz="6" w:space="0" w:color="000000"/>
              <w:bottom w:val="single" w:sz="6" w:space="0" w:color="000000"/>
              <w:right w:val="single" w:sz="6" w:space="0" w:color="000000"/>
            </w:tcBorders>
          </w:tcPr>
          <w:p w14:paraId="24D6229A"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9B" w14:textId="77777777" w:rsidR="00245300" w:rsidRPr="00EC20A0" w:rsidRDefault="00245300">
            <w:pPr>
              <w:pStyle w:val="TableParagraph"/>
            </w:pPr>
          </w:p>
        </w:tc>
      </w:tr>
      <w:tr w:rsidR="00245300" w:rsidRPr="00EC20A0" w14:paraId="24D622A0" w14:textId="77777777">
        <w:trPr>
          <w:trHeight w:val="1252"/>
        </w:trPr>
        <w:tc>
          <w:tcPr>
            <w:tcW w:w="7380" w:type="dxa"/>
            <w:tcBorders>
              <w:top w:val="single" w:sz="6" w:space="0" w:color="000000"/>
              <w:bottom w:val="single" w:sz="6" w:space="0" w:color="000000"/>
              <w:right w:val="single" w:sz="6" w:space="0" w:color="000000"/>
            </w:tcBorders>
          </w:tcPr>
          <w:p w14:paraId="24D6229D" w14:textId="77777777" w:rsidR="00245300" w:rsidRPr="00EC20A0" w:rsidRDefault="00F17249">
            <w:pPr>
              <w:pStyle w:val="TableParagraph"/>
              <w:spacing w:before="119"/>
              <w:ind w:left="1249" w:hanging="360"/>
            </w:pPr>
            <w:r w:rsidRPr="00EC20A0">
              <w:t>b.</w:t>
            </w:r>
            <w:r w:rsidRPr="00EC20A0">
              <w:rPr>
                <w:spacing w:val="80"/>
              </w:rPr>
              <w:t xml:space="preserve"> </w:t>
            </w:r>
            <w:r w:rsidRPr="00EC20A0">
              <w:t xml:space="preserve">issued an audit engagement letter or other suitable form of written agreement to describe the terms of the engagement and obtained agreement from management that it </w:t>
            </w:r>
            <w:r w:rsidRPr="00EC20A0">
              <w:t>acknowledges</w:t>
            </w:r>
            <w:r w:rsidRPr="00EC20A0">
              <w:rPr>
                <w:spacing w:val="-7"/>
              </w:rPr>
              <w:t xml:space="preserve"> </w:t>
            </w:r>
            <w:r w:rsidRPr="00EC20A0">
              <w:t>and</w:t>
            </w:r>
            <w:r w:rsidRPr="00EC20A0">
              <w:rPr>
                <w:spacing w:val="-7"/>
              </w:rPr>
              <w:t xml:space="preserve"> </w:t>
            </w:r>
            <w:r w:rsidRPr="00EC20A0">
              <w:t>understands</w:t>
            </w:r>
            <w:r w:rsidRPr="00EC20A0">
              <w:rPr>
                <w:spacing w:val="-7"/>
              </w:rPr>
              <w:t xml:space="preserve"> </w:t>
            </w:r>
            <w:r w:rsidRPr="00EC20A0">
              <w:t>its</w:t>
            </w:r>
            <w:r w:rsidRPr="00EC20A0">
              <w:rPr>
                <w:spacing w:val="-7"/>
              </w:rPr>
              <w:t xml:space="preserve"> </w:t>
            </w:r>
            <w:r w:rsidRPr="00EC20A0">
              <w:t>responsibility?</w:t>
            </w:r>
            <w:r w:rsidRPr="00EC20A0">
              <w:rPr>
                <w:spacing w:val="-6"/>
              </w:rPr>
              <w:t xml:space="preserve"> </w:t>
            </w:r>
            <w:r w:rsidRPr="00EC20A0">
              <w:t>(FAM</w:t>
            </w:r>
            <w:r w:rsidRPr="00EC20A0">
              <w:rPr>
                <w:spacing w:val="-8"/>
              </w:rPr>
              <w:t xml:space="preserve"> </w:t>
            </w:r>
            <w:r w:rsidRPr="00EC20A0">
              <w:t>215)</w:t>
            </w:r>
          </w:p>
        </w:tc>
        <w:tc>
          <w:tcPr>
            <w:tcW w:w="810" w:type="dxa"/>
            <w:tcBorders>
              <w:top w:val="single" w:sz="6" w:space="0" w:color="000000"/>
              <w:left w:val="single" w:sz="6" w:space="0" w:color="000000"/>
              <w:bottom w:val="single" w:sz="6" w:space="0" w:color="000000"/>
              <w:right w:val="single" w:sz="6" w:space="0" w:color="000000"/>
            </w:tcBorders>
          </w:tcPr>
          <w:p w14:paraId="24D6229E"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9F" w14:textId="77777777" w:rsidR="00245300" w:rsidRPr="00EC20A0" w:rsidRDefault="00245300">
            <w:pPr>
              <w:pStyle w:val="TableParagraph"/>
            </w:pPr>
          </w:p>
        </w:tc>
      </w:tr>
      <w:tr w:rsidR="00245300" w:rsidRPr="00EC20A0" w14:paraId="24D622A4" w14:textId="77777777">
        <w:trPr>
          <w:trHeight w:val="1252"/>
        </w:trPr>
        <w:tc>
          <w:tcPr>
            <w:tcW w:w="7380" w:type="dxa"/>
            <w:tcBorders>
              <w:top w:val="single" w:sz="6" w:space="0" w:color="000000"/>
              <w:bottom w:val="single" w:sz="6" w:space="0" w:color="000000"/>
              <w:right w:val="single" w:sz="6" w:space="0" w:color="000000"/>
            </w:tcBorders>
          </w:tcPr>
          <w:p w14:paraId="24D622A1" w14:textId="77777777" w:rsidR="00245300" w:rsidRPr="00EC20A0" w:rsidRDefault="00F17249">
            <w:pPr>
              <w:pStyle w:val="TableParagraph"/>
              <w:spacing w:before="119"/>
              <w:ind w:left="843" w:hanging="360"/>
            </w:pPr>
            <w:r w:rsidRPr="00EC20A0">
              <w:t>2.</w:t>
            </w:r>
            <w:r w:rsidRPr="00EC20A0">
              <w:rPr>
                <w:spacing w:val="80"/>
              </w:rPr>
              <w:t xml:space="preserve"> </w:t>
            </w:r>
            <w:r w:rsidRPr="00EC20A0">
              <w:t>If, prior to completing the engagement, the terms of the audit engagement</w:t>
            </w:r>
            <w:r w:rsidRPr="00EC20A0">
              <w:rPr>
                <w:spacing w:val="-2"/>
              </w:rPr>
              <w:t xml:space="preserve"> </w:t>
            </w:r>
            <w:r w:rsidRPr="00EC20A0">
              <w:t>are</w:t>
            </w:r>
            <w:r w:rsidRPr="00EC20A0">
              <w:rPr>
                <w:spacing w:val="-2"/>
              </w:rPr>
              <w:t xml:space="preserve"> </w:t>
            </w:r>
            <w:r w:rsidRPr="00EC20A0">
              <w:t>changed,</w:t>
            </w:r>
            <w:r w:rsidRPr="00EC20A0">
              <w:rPr>
                <w:spacing w:val="-2"/>
              </w:rPr>
              <w:t xml:space="preserve"> </w:t>
            </w:r>
            <w:r w:rsidRPr="00EC20A0">
              <w:t>does</w:t>
            </w:r>
            <w:r w:rsidRPr="00EC20A0">
              <w:rPr>
                <w:spacing w:val="-2"/>
              </w:rPr>
              <w:t xml:space="preserve"> </w:t>
            </w:r>
            <w:r w:rsidRPr="00EC20A0">
              <w:t>the</w:t>
            </w:r>
            <w:r w:rsidRPr="00EC20A0">
              <w:rPr>
                <w:spacing w:val="-3"/>
              </w:rPr>
              <w:t xml:space="preserve"> </w:t>
            </w:r>
            <w:r w:rsidRPr="00EC20A0">
              <w:t>engagement</w:t>
            </w:r>
            <w:r w:rsidRPr="00EC20A0">
              <w:rPr>
                <w:spacing w:val="-2"/>
              </w:rPr>
              <w:t xml:space="preserve"> </w:t>
            </w:r>
            <w:r w:rsidRPr="00EC20A0">
              <w:t>letter</w:t>
            </w:r>
            <w:r w:rsidRPr="00EC20A0">
              <w:rPr>
                <w:spacing w:val="-2"/>
              </w:rPr>
              <w:t xml:space="preserve"> </w:t>
            </w:r>
            <w:r w:rsidRPr="00EC20A0">
              <w:t>or</w:t>
            </w:r>
            <w:r w:rsidRPr="00EC20A0">
              <w:rPr>
                <w:spacing w:val="-2"/>
              </w:rPr>
              <w:t xml:space="preserve"> </w:t>
            </w:r>
            <w:r w:rsidRPr="00EC20A0">
              <w:t>other suitable</w:t>
            </w:r>
            <w:r w:rsidRPr="00EC20A0">
              <w:rPr>
                <w:spacing w:val="-4"/>
              </w:rPr>
              <w:t xml:space="preserve"> </w:t>
            </w:r>
            <w:r w:rsidRPr="00EC20A0">
              <w:t>form</w:t>
            </w:r>
            <w:r w:rsidRPr="00EC20A0">
              <w:rPr>
                <w:spacing w:val="-5"/>
              </w:rPr>
              <w:t xml:space="preserve"> </w:t>
            </w:r>
            <w:r w:rsidRPr="00EC20A0">
              <w:t>of</w:t>
            </w:r>
            <w:r w:rsidRPr="00EC20A0">
              <w:rPr>
                <w:spacing w:val="-4"/>
              </w:rPr>
              <w:t xml:space="preserve"> </w:t>
            </w:r>
            <w:r w:rsidRPr="00EC20A0">
              <w:t>written</w:t>
            </w:r>
            <w:r w:rsidRPr="00EC20A0">
              <w:rPr>
                <w:spacing w:val="-4"/>
              </w:rPr>
              <w:t xml:space="preserve"> </w:t>
            </w:r>
            <w:r w:rsidRPr="00EC20A0">
              <w:t>agreement</w:t>
            </w:r>
            <w:r w:rsidRPr="00EC20A0">
              <w:rPr>
                <w:spacing w:val="-4"/>
              </w:rPr>
              <w:t xml:space="preserve"> </w:t>
            </w:r>
            <w:r w:rsidRPr="00EC20A0">
              <w:t>contain</w:t>
            </w:r>
            <w:r w:rsidRPr="00EC20A0">
              <w:rPr>
                <w:spacing w:val="-4"/>
              </w:rPr>
              <w:t xml:space="preserve"> </w:t>
            </w:r>
            <w:r w:rsidRPr="00EC20A0">
              <w:t>the</w:t>
            </w:r>
            <w:r w:rsidRPr="00EC20A0">
              <w:rPr>
                <w:spacing w:val="-4"/>
              </w:rPr>
              <w:t xml:space="preserve"> </w:t>
            </w:r>
            <w:r w:rsidRPr="00EC20A0">
              <w:t>new</w:t>
            </w:r>
            <w:r w:rsidRPr="00EC20A0">
              <w:rPr>
                <w:spacing w:val="-5"/>
              </w:rPr>
              <w:t xml:space="preserve"> </w:t>
            </w:r>
            <w:r w:rsidRPr="00EC20A0">
              <w:t>terms</w:t>
            </w:r>
            <w:r w:rsidRPr="00EC20A0">
              <w:rPr>
                <w:spacing w:val="-4"/>
              </w:rPr>
              <w:t xml:space="preserve"> </w:t>
            </w:r>
            <w:r w:rsidRPr="00EC20A0">
              <w:t>of</w:t>
            </w:r>
            <w:r w:rsidRPr="00EC20A0">
              <w:rPr>
                <w:spacing w:val="-4"/>
              </w:rPr>
              <w:t xml:space="preserve"> </w:t>
            </w:r>
            <w:r w:rsidRPr="00EC20A0">
              <w:t xml:space="preserve">the </w:t>
            </w:r>
            <w:r w:rsidRPr="00EC20A0">
              <w:t>engagement? (FAM 215)</w:t>
            </w:r>
          </w:p>
        </w:tc>
        <w:tc>
          <w:tcPr>
            <w:tcW w:w="810" w:type="dxa"/>
            <w:tcBorders>
              <w:top w:val="single" w:sz="6" w:space="0" w:color="000000"/>
              <w:left w:val="single" w:sz="6" w:space="0" w:color="000000"/>
              <w:bottom w:val="single" w:sz="6" w:space="0" w:color="000000"/>
              <w:right w:val="single" w:sz="6" w:space="0" w:color="000000"/>
            </w:tcBorders>
          </w:tcPr>
          <w:p w14:paraId="24D622A2"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A3" w14:textId="77777777" w:rsidR="00245300" w:rsidRPr="00EC20A0" w:rsidRDefault="00245300">
            <w:pPr>
              <w:pStyle w:val="TableParagraph"/>
            </w:pPr>
          </w:p>
        </w:tc>
      </w:tr>
      <w:tr w:rsidR="00245300" w:rsidRPr="00EC20A0" w14:paraId="24D622A8" w14:textId="77777777">
        <w:trPr>
          <w:trHeight w:val="492"/>
        </w:trPr>
        <w:tc>
          <w:tcPr>
            <w:tcW w:w="7380" w:type="dxa"/>
            <w:tcBorders>
              <w:top w:val="single" w:sz="6" w:space="0" w:color="000000"/>
              <w:bottom w:val="single" w:sz="6" w:space="0" w:color="000000"/>
              <w:right w:val="single" w:sz="6" w:space="0" w:color="000000"/>
            </w:tcBorders>
          </w:tcPr>
          <w:p w14:paraId="24D622A5" w14:textId="77777777" w:rsidR="00245300" w:rsidRPr="00EC20A0" w:rsidRDefault="00F17249">
            <w:pPr>
              <w:pStyle w:val="TableParagraph"/>
              <w:spacing w:before="119"/>
              <w:ind w:left="483"/>
            </w:pPr>
            <w:r w:rsidRPr="00EC20A0">
              <w:t>3.</w:t>
            </w:r>
            <w:r w:rsidRPr="00EC20A0">
              <w:rPr>
                <w:spacing w:val="70"/>
                <w:w w:val="150"/>
              </w:rPr>
              <w:t xml:space="preserve"> </w:t>
            </w:r>
            <w:r w:rsidRPr="00EC20A0">
              <w:t>Was</w:t>
            </w:r>
            <w:r w:rsidRPr="00EC20A0">
              <w:rPr>
                <w:spacing w:val="-4"/>
              </w:rPr>
              <w:t xml:space="preserve"> </w:t>
            </w:r>
            <w:r w:rsidRPr="00EC20A0">
              <w:t>an</w:t>
            </w:r>
            <w:r w:rsidRPr="00EC20A0">
              <w:rPr>
                <w:spacing w:val="-5"/>
              </w:rPr>
              <w:t xml:space="preserve"> </w:t>
            </w:r>
            <w:r w:rsidRPr="00EC20A0">
              <w:t>entrance</w:t>
            </w:r>
            <w:r w:rsidRPr="00EC20A0">
              <w:rPr>
                <w:spacing w:val="-5"/>
              </w:rPr>
              <w:t xml:space="preserve"> </w:t>
            </w:r>
            <w:r w:rsidRPr="00EC20A0">
              <w:t>conference</w:t>
            </w:r>
            <w:r w:rsidRPr="00EC20A0">
              <w:rPr>
                <w:spacing w:val="-5"/>
              </w:rPr>
              <w:t xml:space="preserve"> </w:t>
            </w:r>
            <w:r w:rsidRPr="00EC20A0">
              <w:t>held</w:t>
            </w:r>
            <w:r w:rsidRPr="00EC20A0">
              <w:rPr>
                <w:spacing w:val="-3"/>
              </w:rPr>
              <w:t xml:space="preserve"> </w:t>
            </w:r>
            <w:r w:rsidRPr="00EC20A0">
              <w:t>and</w:t>
            </w:r>
            <w:r w:rsidRPr="00EC20A0">
              <w:rPr>
                <w:spacing w:val="-5"/>
              </w:rPr>
              <w:t xml:space="preserve"> </w:t>
            </w:r>
            <w:r w:rsidRPr="00EC20A0">
              <w:rPr>
                <w:spacing w:val="-2"/>
              </w:rPr>
              <w:t>documented?</w:t>
            </w:r>
          </w:p>
        </w:tc>
        <w:tc>
          <w:tcPr>
            <w:tcW w:w="810" w:type="dxa"/>
            <w:tcBorders>
              <w:top w:val="single" w:sz="6" w:space="0" w:color="000000"/>
              <w:left w:val="single" w:sz="6" w:space="0" w:color="000000"/>
              <w:bottom w:val="single" w:sz="6" w:space="0" w:color="000000"/>
              <w:right w:val="single" w:sz="6" w:space="0" w:color="000000"/>
            </w:tcBorders>
          </w:tcPr>
          <w:p w14:paraId="24D622A6"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A7" w14:textId="77777777" w:rsidR="00245300" w:rsidRPr="00EC20A0" w:rsidRDefault="00245300">
            <w:pPr>
              <w:pStyle w:val="TableParagraph"/>
            </w:pPr>
          </w:p>
        </w:tc>
      </w:tr>
      <w:tr w:rsidR="00245300" w:rsidRPr="00EC20A0" w14:paraId="24D622AC" w14:textId="77777777">
        <w:trPr>
          <w:trHeight w:val="1504"/>
        </w:trPr>
        <w:tc>
          <w:tcPr>
            <w:tcW w:w="7380" w:type="dxa"/>
            <w:tcBorders>
              <w:top w:val="single" w:sz="6" w:space="0" w:color="000000"/>
              <w:bottom w:val="single" w:sz="6" w:space="0" w:color="000000"/>
              <w:right w:val="single" w:sz="6" w:space="0" w:color="000000"/>
            </w:tcBorders>
          </w:tcPr>
          <w:p w14:paraId="24D622A9" w14:textId="77777777" w:rsidR="00245300" w:rsidRPr="00EC20A0" w:rsidRDefault="00F17249">
            <w:pPr>
              <w:pStyle w:val="TableParagraph"/>
              <w:spacing w:before="119"/>
              <w:ind w:left="843" w:right="197" w:hanging="360"/>
            </w:pPr>
            <w:r w:rsidRPr="00EC20A0">
              <w:t>4.</w:t>
            </w:r>
            <w:r w:rsidRPr="00EC20A0">
              <w:rPr>
                <w:spacing w:val="80"/>
              </w:rPr>
              <w:t xml:space="preserve"> </w:t>
            </w:r>
            <w:r w:rsidRPr="00EC20A0">
              <w:t xml:space="preserve">Does the audit documentation contain an understanding of the entity and its environment, the applicable financial reporting framework (generally U.S. GAAP), and the </w:t>
            </w:r>
            <w:r w:rsidRPr="00EC20A0">
              <w:t>entity’s internal control</w:t>
            </w:r>
            <w:r w:rsidRPr="00EC20A0">
              <w:rPr>
                <w:spacing w:val="-5"/>
              </w:rPr>
              <w:t xml:space="preserve"> </w:t>
            </w:r>
            <w:r w:rsidRPr="00EC20A0">
              <w:t>sufficient</w:t>
            </w:r>
            <w:r w:rsidRPr="00EC20A0">
              <w:rPr>
                <w:spacing w:val="-5"/>
              </w:rPr>
              <w:t xml:space="preserve"> </w:t>
            </w:r>
            <w:r w:rsidRPr="00EC20A0">
              <w:t>for</w:t>
            </w:r>
            <w:r w:rsidRPr="00EC20A0">
              <w:rPr>
                <w:spacing w:val="-5"/>
              </w:rPr>
              <w:t xml:space="preserve"> </w:t>
            </w:r>
            <w:r w:rsidRPr="00EC20A0">
              <w:t>assessing</w:t>
            </w:r>
            <w:r w:rsidRPr="00EC20A0">
              <w:rPr>
                <w:spacing w:val="-5"/>
              </w:rPr>
              <w:t xml:space="preserve"> </w:t>
            </w:r>
            <w:r w:rsidRPr="00EC20A0">
              <w:t>risk</w:t>
            </w:r>
            <w:r w:rsidRPr="00EC20A0">
              <w:rPr>
                <w:spacing w:val="-5"/>
              </w:rPr>
              <w:t xml:space="preserve"> </w:t>
            </w:r>
            <w:r w:rsidRPr="00EC20A0">
              <w:t>and</w:t>
            </w:r>
            <w:r w:rsidRPr="00EC20A0">
              <w:rPr>
                <w:spacing w:val="-5"/>
              </w:rPr>
              <w:t xml:space="preserve"> </w:t>
            </w:r>
            <w:r w:rsidRPr="00EC20A0">
              <w:t>planning</w:t>
            </w:r>
            <w:r w:rsidRPr="00EC20A0">
              <w:rPr>
                <w:spacing w:val="-6"/>
              </w:rPr>
              <w:t xml:space="preserve"> </w:t>
            </w:r>
            <w:r w:rsidRPr="00EC20A0">
              <w:t>the</w:t>
            </w:r>
            <w:r w:rsidRPr="00EC20A0">
              <w:rPr>
                <w:spacing w:val="-5"/>
              </w:rPr>
              <w:t xml:space="preserve"> </w:t>
            </w:r>
            <w:r w:rsidRPr="00EC20A0">
              <w:t>audit?</w:t>
            </w:r>
            <w:r w:rsidRPr="00EC20A0">
              <w:rPr>
                <w:spacing w:val="-5"/>
              </w:rPr>
              <w:t xml:space="preserve"> </w:t>
            </w:r>
            <w:r w:rsidRPr="00EC20A0">
              <w:t>(FAM 290 and 390)</w:t>
            </w:r>
          </w:p>
        </w:tc>
        <w:tc>
          <w:tcPr>
            <w:tcW w:w="810" w:type="dxa"/>
            <w:tcBorders>
              <w:top w:val="single" w:sz="6" w:space="0" w:color="000000"/>
              <w:left w:val="single" w:sz="6" w:space="0" w:color="000000"/>
              <w:bottom w:val="single" w:sz="6" w:space="0" w:color="000000"/>
              <w:right w:val="single" w:sz="6" w:space="0" w:color="000000"/>
            </w:tcBorders>
          </w:tcPr>
          <w:p w14:paraId="24D622AA"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AB" w14:textId="77777777" w:rsidR="00245300" w:rsidRPr="00EC20A0" w:rsidRDefault="00245300">
            <w:pPr>
              <w:pStyle w:val="TableParagraph"/>
            </w:pPr>
          </w:p>
        </w:tc>
      </w:tr>
      <w:tr w:rsidR="00245300" w:rsidRPr="00EC20A0" w14:paraId="24D622B0" w14:textId="77777777">
        <w:trPr>
          <w:trHeight w:val="747"/>
        </w:trPr>
        <w:tc>
          <w:tcPr>
            <w:tcW w:w="7380" w:type="dxa"/>
            <w:tcBorders>
              <w:top w:val="single" w:sz="6" w:space="0" w:color="000000"/>
              <w:bottom w:val="single" w:sz="6" w:space="0" w:color="000000"/>
              <w:right w:val="single" w:sz="6" w:space="0" w:color="000000"/>
            </w:tcBorders>
          </w:tcPr>
          <w:p w14:paraId="24D622AD" w14:textId="77777777" w:rsidR="00245300" w:rsidRPr="00EC20A0" w:rsidRDefault="00F17249">
            <w:pPr>
              <w:pStyle w:val="TableParagraph"/>
              <w:spacing w:before="121"/>
              <w:ind w:left="844" w:hanging="361"/>
            </w:pPr>
            <w:r w:rsidRPr="00EC20A0">
              <w:t>5.</w:t>
            </w:r>
            <w:r w:rsidRPr="00EC20A0">
              <w:rPr>
                <w:spacing w:val="80"/>
              </w:rPr>
              <w:t xml:space="preserve"> </w:t>
            </w:r>
            <w:r w:rsidRPr="00EC20A0">
              <w:t>Does</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documentation</w:t>
            </w:r>
            <w:r w:rsidRPr="00EC20A0">
              <w:rPr>
                <w:spacing w:val="-4"/>
              </w:rPr>
              <w:t xml:space="preserve"> </w:t>
            </w:r>
            <w:r w:rsidRPr="00EC20A0">
              <w:t>contain</w:t>
            </w:r>
            <w:r w:rsidRPr="00EC20A0">
              <w:rPr>
                <w:spacing w:val="-4"/>
              </w:rPr>
              <w:t xml:space="preserve"> </w:t>
            </w:r>
            <w:r w:rsidRPr="00EC20A0">
              <w:t>an</w:t>
            </w:r>
            <w:r w:rsidRPr="00EC20A0">
              <w:rPr>
                <w:spacing w:val="-4"/>
              </w:rPr>
              <w:t xml:space="preserve"> </w:t>
            </w:r>
            <w:r w:rsidRPr="00EC20A0">
              <w:t>adequate</w:t>
            </w:r>
            <w:r w:rsidRPr="00EC20A0">
              <w:rPr>
                <w:spacing w:val="-4"/>
              </w:rPr>
              <w:t xml:space="preserve"> </w:t>
            </w:r>
            <w:r w:rsidRPr="00EC20A0">
              <w:t>audit</w:t>
            </w:r>
            <w:r w:rsidRPr="00EC20A0">
              <w:rPr>
                <w:spacing w:val="-4"/>
              </w:rPr>
              <w:t xml:space="preserve"> </w:t>
            </w:r>
            <w:r w:rsidRPr="00EC20A0">
              <w:t>strategy and audit plan? (FAM 290)</w:t>
            </w:r>
          </w:p>
        </w:tc>
        <w:tc>
          <w:tcPr>
            <w:tcW w:w="810" w:type="dxa"/>
            <w:tcBorders>
              <w:top w:val="single" w:sz="6" w:space="0" w:color="000000"/>
              <w:left w:val="single" w:sz="6" w:space="0" w:color="000000"/>
              <w:bottom w:val="single" w:sz="6" w:space="0" w:color="000000"/>
              <w:right w:val="single" w:sz="6" w:space="0" w:color="000000"/>
            </w:tcBorders>
          </w:tcPr>
          <w:p w14:paraId="24D622AE"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AF" w14:textId="77777777" w:rsidR="00245300" w:rsidRPr="00EC20A0" w:rsidRDefault="00245300">
            <w:pPr>
              <w:pStyle w:val="TableParagraph"/>
            </w:pPr>
          </w:p>
        </w:tc>
      </w:tr>
      <w:tr w:rsidR="00245300" w:rsidRPr="00EC20A0" w14:paraId="24D622B4" w14:textId="77777777">
        <w:trPr>
          <w:trHeight w:val="745"/>
        </w:trPr>
        <w:tc>
          <w:tcPr>
            <w:tcW w:w="7380" w:type="dxa"/>
            <w:tcBorders>
              <w:top w:val="single" w:sz="6" w:space="0" w:color="000000"/>
              <w:bottom w:val="single" w:sz="6" w:space="0" w:color="000000"/>
              <w:right w:val="single" w:sz="6" w:space="0" w:color="000000"/>
            </w:tcBorders>
          </w:tcPr>
          <w:p w14:paraId="24D622B1" w14:textId="77777777" w:rsidR="00245300" w:rsidRPr="00EC20A0" w:rsidRDefault="00F17249">
            <w:pPr>
              <w:pStyle w:val="TableParagraph"/>
              <w:spacing w:before="119"/>
              <w:ind w:left="843" w:hanging="360"/>
            </w:pPr>
            <w:r w:rsidRPr="00EC20A0">
              <w:t>6.</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adequately</w:t>
            </w:r>
            <w:r w:rsidRPr="00EC20A0">
              <w:rPr>
                <w:spacing w:val="-4"/>
              </w:rPr>
              <w:t xml:space="preserve"> </w:t>
            </w:r>
            <w:r w:rsidRPr="00EC20A0">
              <w:t>plan</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including</w:t>
            </w:r>
            <w:r w:rsidRPr="00EC20A0">
              <w:rPr>
                <w:spacing w:val="-4"/>
              </w:rPr>
              <w:t xml:space="preserve"> </w:t>
            </w:r>
            <w:r w:rsidRPr="00EC20A0">
              <w:t>the</w:t>
            </w:r>
            <w:r w:rsidRPr="00EC20A0">
              <w:rPr>
                <w:spacing w:val="-4"/>
              </w:rPr>
              <w:t xml:space="preserve"> </w:t>
            </w:r>
            <w:r w:rsidRPr="00EC20A0">
              <w:t>following steps: (FAM 290)</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2B2"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shd w:val="clear" w:color="auto" w:fill="BEBEBE"/>
          </w:tcPr>
          <w:p w14:paraId="24D622B3" w14:textId="77777777" w:rsidR="00245300" w:rsidRPr="00EC20A0" w:rsidRDefault="00245300">
            <w:pPr>
              <w:pStyle w:val="TableParagraph"/>
            </w:pPr>
          </w:p>
        </w:tc>
      </w:tr>
      <w:tr w:rsidR="00245300" w:rsidRPr="00EC20A0" w14:paraId="24D622B8" w14:textId="77777777">
        <w:trPr>
          <w:trHeight w:val="998"/>
        </w:trPr>
        <w:tc>
          <w:tcPr>
            <w:tcW w:w="7380" w:type="dxa"/>
            <w:tcBorders>
              <w:top w:val="single" w:sz="6" w:space="0" w:color="000000"/>
              <w:bottom w:val="single" w:sz="6" w:space="0" w:color="000000"/>
              <w:right w:val="single" w:sz="6" w:space="0" w:color="000000"/>
            </w:tcBorders>
          </w:tcPr>
          <w:p w14:paraId="24D622B5" w14:textId="77777777" w:rsidR="00245300" w:rsidRPr="00EC20A0" w:rsidRDefault="00F17249">
            <w:pPr>
              <w:pStyle w:val="TableParagraph"/>
              <w:spacing w:before="119"/>
              <w:ind w:left="1249" w:hanging="360"/>
            </w:pPr>
            <w:r w:rsidRPr="00EC20A0">
              <w:t>a.</w:t>
            </w:r>
            <w:r w:rsidRPr="00EC20A0">
              <w:rPr>
                <w:spacing w:val="80"/>
              </w:rPr>
              <w:t xml:space="preserve"> </w:t>
            </w:r>
            <w:r w:rsidRPr="00EC20A0">
              <w:t>Determine</w:t>
            </w:r>
            <w:r w:rsidRPr="00EC20A0">
              <w:rPr>
                <w:spacing w:val="-3"/>
              </w:rPr>
              <w:t xml:space="preserve"> </w:t>
            </w:r>
            <w:r w:rsidRPr="00EC20A0">
              <w:t>whether</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can</w:t>
            </w:r>
            <w:r w:rsidRPr="00EC20A0">
              <w:rPr>
                <w:spacing w:val="-4"/>
              </w:rPr>
              <w:t xml:space="preserve"> </w:t>
            </w:r>
            <w:r w:rsidRPr="00EC20A0">
              <w:t>comply</w:t>
            </w:r>
            <w:r w:rsidRPr="00EC20A0">
              <w:rPr>
                <w:spacing w:val="-4"/>
              </w:rPr>
              <w:t xml:space="preserve"> </w:t>
            </w:r>
            <w:r w:rsidRPr="00EC20A0">
              <w:t>with relevant ethical requirements, including independence requirements? (FAM 215)</w:t>
            </w:r>
          </w:p>
        </w:tc>
        <w:tc>
          <w:tcPr>
            <w:tcW w:w="810" w:type="dxa"/>
            <w:tcBorders>
              <w:top w:val="single" w:sz="6" w:space="0" w:color="000000"/>
              <w:left w:val="single" w:sz="6" w:space="0" w:color="000000"/>
              <w:bottom w:val="single" w:sz="6" w:space="0" w:color="000000"/>
              <w:right w:val="single" w:sz="6" w:space="0" w:color="000000"/>
            </w:tcBorders>
          </w:tcPr>
          <w:p w14:paraId="24D622B6"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B7" w14:textId="77777777" w:rsidR="00245300" w:rsidRPr="00EC20A0" w:rsidRDefault="00245300">
            <w:pPr>
              <w:pStyle w:val="TableParagraph"/>
            </w:pPr>
          </w:p>
        </w:tc>
      </w:tr>
      <w:tr w:rsidR="00245300" w:rsidRPr="00EC20A0" w14:paraId="24D622BC" w14:textId="77777777">
        <w:trPr>
          <w:trHeight w:val="492"/>
        </w:trPr>
        <w:tc>
          <w:tcPr>
            <w:tcW w:w="7380" w:type="dxa"/>
            <w:tcBorders>
              <w:top w:val="single" w:sz="6" w:space="0" w:color="000000"/>
              <w:bottom w:val="single" w:sz="6" w:space="0" w:color="000000"/>
              <w:right w:val="single" w:sz="6" w:space="0" w:color="000000"/>
            </w:tcBorders>
          </w:tcPr>
          <w:p w14:paraId="24D622B9" w14:textId="77777777" w:rsidR="00245300" w:rsidRPr="00EC20A0" w:rsidRDefault="00F17249">
            <w:pPr>
              <w:pStyle w:val="TableParagraph"/>
              <w:spacing w:before="119"/>
              <w:ind w:left="889"/>
            </w:pPr>
            <w:r w:rsidRPr="00EC20A0">
              <w:t>b.</w:t>
            </w:r>
            <w:r w:rsidRPr="00EC20A0">
              <w:rPr>
                <w:spacing w:val="65"/>
                <w:w w:val="150"/>
              </w:rPr>
              <w:t xml:space="preserve"> </w:t>
            </w:r>
            <w:r w:rsidRPr="00EC20A0">
              <w:t>Perform</w:t>
            </w:r>
            <w:r w:rsidRPr="00EC20A0">
              <w:rPr>
                <w:spacing w:val="-8"/>
              </w:rPr>
              <w:t xml:space="preserve"> </w:t>
            </w:r>
            <w:r w:rsidRPr="00EC20A0">
              <w:t>preliminary</w:t>
            </w:r>
            <w:r w:rsidRPr="00EC20A0">
              <w:rPr>
                <w:spacing w:val="-6"/>
              </w:rPr>
              <w:t xml:space="preserve"> </w:t>
            </w:r>
            <w:r w:rsidRPr="00EC20A0">
              <w:t>analytical</w:t>
            </w:r>
            <w:r w:rsidRPr="00EC20A0">
              <w:rPr>
                <w:spacing w:val="-7"/>
              </w:rPr>
              <w:t xml:space="preserve"> </w:t>
            </w:r>
            <w:r w:rsidRPr="00EC20A0">
              <w:t>procedures?</w:t>
            </w:r>
            <w:r w:rsidRPr="00EC20A0">
              <w:rPr>
                <w:spacing w:val="-7"/>
              </w:rPr>
              <w:t xml:space="preserve"> </w:t>
            </w:r>
            <w:r w:rsidRPr="00EC20A0">
              <w:t>(FAM</w:t>
            </w:r>
            <w:r w:rsidRPr="00EC20A0">
              <w:rPr>
                <w:spacing w:val="-6"/>
              </w:rPr>
              <w:t xml:space="preserve"> </w:t>
            </w:r>
            <w:r w:rsidRPr="00EC20A0">
              <w:rPr>
                <w:spacing w:val="-4"/>
              </w:rPr>
              <w:t>225)</w:t>
            </w:r>
          </w:p>
        </w:tc>
        <w:tc>
          <w:tcPr>
            <w:tcW w:w="810" w:type="dxa"/>
            <w:tcBorders>
              <w:top w:val="single" w:sz="6" w:space="0" w:color="000000"/>
              <w:left w:val="single" w:sz="6" w:space="0" w:color="000000"/>
              <w:bottom w:val="single" w:sz="6" w:space="0" w:color="000000"/>
              <w:right w:val="single" w:sz="6" w:space="0" w:color="000000"/>
            </w:tcBorders>
          </w:tcPr>
          <w:p w14:paraId="24D622BA"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BB" w14:textId="77777777" w:rsidR="00245300" w:rsidRPr="00EC20A0" w:rsidRDefault="00245300">
            <w:pPr>
              <w:pStyle w:val="TableParagraph"/>
            </w:pPr>
          </w:p>
        </w:tc>
      </w:tr>
      <w:tr w:rsidR="00245300" w:rsidRPr="00EC20A0" w14:paraId="24D622C0" w14:textId="77777777">
        <w:trPr>
          <w:trHeight w:val="492"/>
        </w:trPr>
        <w:tc>
          <w:tcPr>
            <w:tcW w:w="7380" w:type="dxa"/>
            <w:tcBorders>
              <w:top w:val="single" w:sz="6" w:space="0" w:color="000000"/>
              <w:bottom w:val="single" w:sz="6" w:space="0" w:color="000000"/>
              <w:right w:val="single" w:sz="6" w:space="0" w:color="000000"/>
            </w:tcBorders>
          </w:tcPr>
          <w:p w14:paraId="24D622BD" w14:textId="77777777" w:rsidR="00245300" w:rsidRPr="00EC20A0" w:rsidRDefault="00F17249">
            <w:pPr>
              <w:pStyle w:val="TableParagraph"/>
              <w:spacing w:before="121"/>
              <w:ind w:left="889"/>
            </w:pPr>
            <w:r w:rsidRPr="00EC20A0">
              <w:t>c.</w:t>
            </w:r>
            <w:r w:rsidRPr="00EC20A0">
              <w:rPr>
                <w:spacing w:val="79"/>
                <w:w w:val="150"/>
              </w:rPr>
              <w:t xml:space="preserve"> </w:t>
            </w:r>
            <w:r w:rsidRPr="00EC20A0">
              <w:t>Determine</w:t>
            </w:r>
            <w:r w:rsidRPr="00EC20A0">
              <w:rPr>
                <w:spacing w:val="-4"/>
              </w:rPr>
              <w:t xml:space="preserve"> </w:t>
            </w:r>
            <w:r w:rsidRPr="00EC20A0">
              <w:t>materiality?</w:t>
            </w:r>
            <w:r w:rsidRPr="00EC20A0">
              <w:rPr>
                <w:spacing w:val="-6"/>
              </w:rPr>
              <w:t xml:space="preserve"> </w:t>
            </w:r>
            <w:r w:rsidRPr="00EC20A0">
              <w:t>(FAM</w:t>
            </w:r>
            <w:r w:rsidRPr="00EC20A0">
              <w:rPr>
                <w:spacing w:val="-7"/>
              </w:rPr>
              <w:t xml:space="preserve"> </w:t>
            </w:r>
            <w:r w:rsidRPr="00EC20A0">
              <w:rPr>
                <w:spacing w:val="-4"/>
              </w:rPr>
              <w:t>230)</w:t>
            </w:r>
          </w:p>
        </w:tc>
        <w:tc>
          <w:tcPr>
            <w:tcW w:w="810" w:type="dxa"/>
            <w:tcBorders>
              <w:top w:val="single" w:sz="6" w:space="0" w:color="000000"/>
              <w:left w:val="single" w:sz="6" w:space="0" w:color="000000"/>
              <w:bottom w:val="single" w:sz="6" w:space="0" w:color="000000"/>
              <w:right w:val="single" w:sz="6" w:space="0" w:color="000000"/>
            </w:tcBorders>
          </w:tcPr>
          <w:p w14:paraId="24D622BE"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BF" w14:textId="77777777" w:rsidR="00245300" w:rsidRPr="00EC20A0" w:rsidRDefault="00245300">
            <w:pPr>
              <w:pStyle w:val="TableParagraph"/>
            </w:pPr>
          </w:p>
        </w:tc>
      </w:tr>
      <w:tr w:rsidR="00245300" w:rsidRPr="00EC20A0" w14:paraId="24D622C4" w14:textId="77777777">
        <w:trPr>
          <w:trHeight w:val="687"/>
        </w:trPr>
        <w:tc>
          <w:tcPr>
            <w:tcW w:w="7380" w:type="dxa"/>
            <w:tcBorders>
              <w:top w:val="single" w:sz="6" w:space="0" w:color="000000"/>
              <w:right w:val="single" w:sz="6" w:space="0" w:color="000000"/>
            </w:tcBorders>
          </w:tcPr>
          <w:p w14:paraId="24D622C1" w14:textId="77777777" w:rsidR="00245300" w:rsidRPr="00EC20A0" w:rsidRDefault="00F17249">
            <w:pPr>
              <w:pStyle w:val="TableParagraph"/>
              <w:spacing w:before="61"/>
              <w:ind w:left="1608" w:right="161" w:hanging="290"/>
            </w:pPr>
            <w:r w:rsidRPr="00EC20A0">
              <w:t>i.</w:t>
            </w:r>
            <w:r w:rsidRPr="00EC20A0">
              <w:rPr>
                <w:spacing w:val="40"/>
              </w:rPr>
              <w:t xml:space="preserve"> </w:t>
            </w:r>
            <w:r w:rsidRPr="00EC20A0">
              <w:t>Did</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consider</w:t>
            </w:r>
            <w:r w:rsidRPr="00EC20A0">
              <w:rPr>
                <w:spacing w:val="-6"/>
              </w:rPr>
              <w:t xml:space="preserve"> </w:t>
            </w:r>
            <w:r w:rsidRPr="00EC20A0">
              <w:t>intragovernmental</w:t>
            </w:r>
            <w:r w:rsidRPr="00EC20A0">
              <w:rPr>
                <w:spacing w:val="-5"/>
              </w:rPr>
              <w:t xml:space="preserve"> </w:t>
            </w:r>
            <w:r w:rsidRPr="00EC20A0">
              <w:t>and</w:t>
            </w:r>
            <w:r w:rsidRPr="00EC20A0">
              <w:rPr>
                <w:spacing w:val="-5"/>
              </w:rPr>
              <w:t xml:space="preserve"> </w:t>
            </w:r>
            <w:r w:rsidRPr="00EC20A0">
              <w:t>offsetting balances when determining materiality?</w:t>
            </w:r>
          </w:p>
        </w:tc>
        <w:tc>
          <w:tcPr>
            <w:tcW w:w="810" w:type="dxa"/>
            <w:tcBorders>
              <w:top w:val="single" w:sz="6" w:space="0" w:color="000000"/>
              <w:left w:val="single" w:sz="6" w:space="0" w:color="000000"/>
              <w:right w:val="single" w:sz="6" w:space="0" w:color="000000"/>
            </w:tcBorders>
          </w:tcPr>
          <w:p w14:paraId="24D622C2" w14:textId="77777777" w:rsidR="00245300" w:rsidRPr="00EC20A0" w:rsidRDefault="00245300">
            <w:pPr>
              <w:pStyle w:val="TableParagraph"/>
            </w:pPr>
          </w:p>
        </w:tc>
        <w:tc>
          <w:tcPr>
            <w:tcW w:w="1309" w:type="dxa"/>
            <w:tcBorders>
              <w:top w:val="single" w:sz="6" w:space="0" w:color="000000"/>
              <w:left w:val="single" w:sz="6" w:space="0" w:color="000000"/>
            </w:tcBorders>
          </w:tcPr>
          <w:p w14:paraId="24D622C3" w14:textId="77777777" w:rsidR="00245300" w:rsidRPr="00EC20A0" w:rsidRDefault="00245300">
            <w:pPr>
              <w:pStyle w:val="TableParagraph"/>
            </w:pPr>
          </w:p>
        </w:tc>
      </w:tr>
    </w:tbl>
    <w:p w14:paraId="24D622C5" w14:textId="77777777" w:rsidR="00245300" w:rsidRPr="00EC20A0" w:rsidRDefault="00245300">
      <w:pPr>
        <w:sectPr w:rsidR="00245300" w:rsidRPr="00EC20A0">
          <w:pgSz w:w="12240" w:h="15840"/>
          <w:pgMar w:top="1340" w:right="460" w:bottom="940" w:left="560" w:header="721" w:footer="757" w:gutter="0"/>
          <w:cols w:space="720"/>
        </w:sectPr>
      </w:pPr>
    </w:p>
    <w:p w14:paraId="24D622C6"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245300" w:rsidRPr="00EC20A0" w14:paraId="24D622CD" w14:textId="77777777">
        <w:trPr>
          <w:trHeight w:val="937"/>
        </w:trPr>
        <w:tc>
          <w:tcPr>
            <w:tcW w:w="7380" w:type="dxa"/>
            <w:tcBorders>
              <w:bottom w:val="single" w:sz="6" w:space="0" w:color="000000"/>
              <w:right w:val="single" w:sz="6" w:space="0" w:color="000000"/>
            </w:tcBorders>
            <w:shd w:val="clear" w:color="auto" w:fill="A6A6A6"/>
          </w:tcPr>
          <w:p w14:paraId="24D622C7" w14:textId="77777777" w:rsidR="00245300" w:rsidRPr="00EC20A0" w:rsidRDefault="00245300">
            <w:pPr>
              <w:pStyle w:val="TableParagraph"/>
              <w:spacing w:before="266"/>
              <w:rPr>
                <w:b/>
                <w:sz w:val="24"/>
              </w:rPr>
            </w:pPr>
          </w:p>
          <w:p w14:paraId="24D622C8" w14:textId="77777777" w:rsidR="00245300" w:rsidRPr="00EC20A0" w:rsidRDefault="00F17249">
            <w:pPr>
              <w:pStyle w:val="TableParagraph"/>
              <w:ind w:left="123"/>
              <w:rPr>
                <w:b/>
                <w:sz w:val="24"/>
              </w:rPr>
            </w:pPr>
            <w:r w:rsidRPr="00EC20A0">
              <w:rPr>
                <w:b/>
                <w:sz w:val="24"/>
              </w:rPr>
              <w:t>Section</w:t>
            </w:r>
            <w:r w:rsidRPr="00EC20A0">
              <w:rPr>
                <w:b/>
                <w:spacing w:val="-3"/>
                <w:sz w:val="24"/>
              </w:rPr>
              <w:t xml:space="preserve"> </w:t>
            </w:r>
            <w:r w:rsidRPr="00EC20A0">
              <w:rPr>
                <w:b/>
                <w:sz w:val="24"/>
              </w:rPr>
              <w:t>I:</w:t>
            </w:r>
            <w:r w:rsidRPr="00EC20A0">
              <w:rPr>
                <w:b/>
                <w:spacing w:val="-4"/>
                <w:sz w:val="24"/>
              </w:rPr>
              <w:t xml:space="preserve"> </w:t>
            </w:r>
            <w:r w:rsidRPr="00EC20A0">
              <w:rPr>
                <w:b/>
                <w:sz w:val="24"/>
              </w:rPr>
              <w:t>Planning</w:t>
            </w:r>
            <w:r w:rsidRPr="00EC20A0">
              <w:rPr>
                <w:b/>
                <w:spacing w:val="-2"/>
                <w:sz w:val="24"/>
              </w:rPr>
              <w:t xml:space="preserve"> </w:t>
            </w:r>
            <w:r w:rsidRPr="00EC20A0">
              <w:rPr>
                <w:b/>
                <w:sz w:val="24"/>
              </w:rPr>
              <w:t>and</w:t>
            </w:r>
            <w:r w:rsidRPr="00EC20A0">
              <w:rPr>
                <w:b/>
                <w:spacing w:val="-3"/>
                <w:sz w:val="24"/>
              </w:rPr>
              <w:t xml:space="preserve"> </w:t>
            </w:r>
            <w:r w:rsidRPr="00EC20A0">
              <w:rPr>
                <w:b/>
                <w:sz w:val="24"/>
              </w:rPr>
              <w:t>Risk</w:t>
            </w:r>
            <w:r w:rsidRPr="00EC20A0">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24D622C9" w14:textId="77777777" w:rsidR="00245300" w:rsidRPr="00EC20A0" w:rsidRDefault="00F17249">
            <w:pPr>
              <w:pStyle w:val="TableParagraph"/>
              <w:spacing w:before="120"/>
              <w:ind w:left="138" w:right="201"/>
              <w:jc w:val="both"/>
              <w:rPr>
                <w:b/>
              </w:rPr>
            </w:pPr>
            <w:r w:rsidRPr="00EC20A0">
              <w:rPr>
                <w:b/>
                <w:spacing w:val="-4"/>
              </w:rPr>
              <w:t>Yes, No,* N/A</w:t>
            </w:r>
          </w:p>
        </w:tc>
        <w:tc>
          <w:tcPr>
            <w:tcW w:w="1309" w:type="dxa"/>
            <w:tcBorders>
              <w:left w:val="single" w:sz="6" w:space="0" w:color="000000"/>
              <w:bottom w:val="single" w:sz="6" w:space="0" w:color="000000"/>
            </w:tcBorders>
            <w:shd w:val="clear" w:color="auto" w:fill="A6A6A6"/>
          </w:tcPr>
          <w:p w14:paraId="24D622CA" w14:textId="77777777" w:rsidR="00245300" w:rsidRPr="00EC20A0" w:rsidRDefault="00245300">
            <w:pPr>
              <w:pStyle w:val="TableParagraph"/>
              <w:rPr>
                <w:b/>
              </w:rPr>
            </w:pPr>
          </w:p>
          <w:p w14:paraId="24D622CB" w14:textId="77777777" w:rsidR="00245300" w:rsidRPr="00EC20A0" w:rsidRDefault="00245300">
            <w:pPr>
              <w:pStyle w:val="TableParagraph"/>
              <w:spacing w:before="120"/>
              <w:rPr>
                <w:b/>
              </w:rPr>
            </w:pPr>
          </w:p>
          <w:p w14:paraId="24D622CC" w14:textId="77777777" w:rsidR="00245300" w:rsidRPr="00EC20A0" w:rsidRDefault="00F17249">
            <w:pPr>
              <w:pStyle w:val="TableParagraph"/>
              <w:ind w:left="214"/>
              <w:rPr>
                <w:b/>
              </w:rPr>
            </w:pPr>
            <w:r w:rsidRPr="00EC20A0">
              <w:rPr>
                <w:b/>
              </w:rPr>
              <w:t>Doc.</w:t>
            </w:r>
            <w:r w:rsidRPr="00EC20A0">
              <w:rPr>
                <w:b/>
                <w:spacing w:val="-6"/>
              </w:rPr>
              <w:t xml:space="preserve"> </w:t>
            </w:r>
            <w:r w:rsidRPr="00EC20A0">
              <w:rPr>
                <w:b/>
                <w:spacing w:val="-4"/>
              </w:rPr>
              <w:t>ref.</w:t>
            </w:r>
          </w:p>
        </w:tc>
      </w:tr>
      <w:tr w:rsidR="00245300" w:rsidRPr="00EC20A0" w14:paraId="24D622D1" w14:textId="77777777">
        <w:trPr>
          <w:trHeight w:val="998"/>
        </w:trPr>
        <w:tc>
          <w:tcPr>
            <w:tcW w:w="7380" w:type="dxa"/>
            <w:tcBorders>
              <w:top w:val="single" w:sz="6" w:space="0" w:color="000000"/>
              <w:bottom w:val="single" w:sz="6" w:space="0" w:color="000000"/>
              <w:right w:val="single" w:sz="6" w:space="0" w:color="000000"/>
            </w:tcBorders>
          </w:tcPr>
          <w:p w14:paraId="24D622CE" w14:textId="77777777" w:rsidR="00245300" w:rsidRPr="00EC20A0" w:rsidRDefault="00F17249">
            <w:pPr>
              <w:pStyle w:val="TableParagraph"/>
              <w:spacing w:before="121"/>
              <w:ind w:left="1249" w:right="141" w:hanging="360"/>
            </w:pPr>
            <w:r w:rsidRPr="00EC20A0">
              <w:t>d.</w:t>
            </w:r>
            <w:r w:rsidRPr="00EC20A0">
              <w:rPr>
                <w:spacing w:val="80"/>
              </w:rPr>
              <w:t xml:space="preserve"> </w:t>
            </w:r>
            <w:r w:rsidRPr="00EC20A0">
              <w:t xml:space="preserve">Identify material line </w:t>
            </w:r>
            <w:r w:rsidRPr="00EC20A0">
              <w:t>items, accounts, note disclosures, classes</w:t>
            </w:r>
            <w:r w:rsidRPr="00EC20A0">
              <w:rPr>
                <w:spacing w:val="-7"/>
              </w:rPr>
              <w:t xml:space="preserve"> </w:t>
            </w:r>
            <w:r w:rsidRPr="00EC20A0">
              <w:t>of</w:t>
            </w:r>
            <w:r w:rsidRPr="00EC20A0">
              <w:rPr>
                <w:spacing w:val="-7"/>
              </w:rPr>
              <w:t xml:space="preserve"> </w:t>
            </w:r>
            <w:r w:rsidRPr="00EC20A0">
              <w:t>transactions;</w:t>
            </w:r>
            <w:r w:rsidRPr="00EC20A0">
              <w:rPr>
                <w:spacing w:val="-7"/>
              </w:rPr>
              <w:t xml:space="preserve"> </w:t>
            </w:r>
            <w:r w:rsidRPr="00EC20A0">
              <w:t>applicable</w:t>
            </w:r>
            <w:r w:rsidRPr="00EC20A0">
              <w:rPr>
                <w:spacing w:val="-7"/>
              </w:rPr>
              <w:t xml:space="preserve"> </w:t>
            </w:r>
            <w:r w:rsidRPr="00EC20A0">
              <w:t>assertions;</w:t>
            </w:r>
            <w:r w:rsidRPr="00EC20A0">
              <w:rPr>
                <w:spacing w:val="-7"/>
              </w:rPr>
              <w:t xml:space="preserve"> </w:t>
            </w:r>
            <w:r w:rsidRPr="00EC20A0">
              <w:t>and</w:t>
            </w:r>
            <w:r w:rsidRPr="00EC20A0">
              <w:rPr>
                <w:spacing w:val="-7"/>
              </w:rPr>
              <w:t xml:space="preserve"> </w:t>
            </w:r>
            <w:r w:rsidRPr="00EC20A0">
              <w:t>significant financial management systems? (FAM 235)</w:t>
            </w:r>
          </w:p>
        </w:tc>
        <w:tc>
          <w:tcPr>
            <w:tcW w:w="810" w:type="dxa"/>
            <w:tcBorders>
              <w:top w:val="single" w:sz="6" w:space="0" w:color="000000"/>
              <w:left w:val="single" w:sz="6" w:space="0" w:color="000000"/>
              <w:bottom w:val="single" w:sz="6" w:space="0" w:color="000000"/>
              <w:right w:val="single" w:sz="6" w:space="0" w:color="000000"/>
            </w:tcBorders>
          </w:tcPr>
          <w:p w14:paraId="24D622CF"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D0" w14:textId="77777777" w:rsidR="00245300" w:rsidRPr="00EC20A0" w:rsidRDefault="00245300">
            <w:pPr>
              <w:pStyle w:val="TableParagraph"/>
            </w:pPr>
          </w:p>
        </w:tc>
      </w:tr>
      <w:tr w:rsidR="00245300" w:rsidRPr="00EC20A0" w14:paraId="24D622D5" w14:textId="77777777">
        <w:trPr>
          <w:trHeight w:val="745"/>
        </w:trPr>
        <w:tc>
          <w:tcPr>
            <w:tcW w:w="7380" w:type="dxa"/>
            <w:tcBorders>
              <w:top w:val="single" w:sz="6" w:space="0" w:color="000000"/>
              <w:bottom w:val="single" w:sz="6" w:space="0" w:color="000000"/>
              <w:right w:val="single" w:sz="6" w:space="0" w:color="000000"/>
            </w:tcBorders>
          </w:tcPr>
          <w:p w14:paraId="24D622D2" w14:textId="77777777" w:rsidR="00245300" w:rsidRPr="00EC20A0" w:rsidRDefault="00F17249">
            <w:pPr>
              <w:pStyle w:val="TableParagraph"/>
              <w:spacing w:before="121"/>
              <w:ind w:left="1248" w:hanging="360"/>
            </w:pPr>
            <w:r w:rsidRPr="00EC20A0">
              <w:t>e.</w:t>
            </w:r>
            <w:r w:rsidRPr="00EC20A0">
              <w:rPr>
                <w:spacing w:val="80"/>
              </w:rPr>
              <w:t xml:space="preserve"> </w:t>
            </w:r>
            <w:r w:rsidRPr="00EC20A0">
              <w:t>Identify</w:t>
            </w:r>
            <w:r w:rsidRPr="00EC20A0">
              <w:rPr>
                <w:spacing w:val="-5"/>
              </w:rPr>
              <w:t xml:space="preserve"> </w:t>
            </w:r>
            <w:r w:rsidRPr="00EC20A0">
              <w:t>significant</w:t>
            </w:r>
            <w:r w:rsidRPr="00EC20A0">
              <w:rPr>
                <w:spacing w:val="-5"/>
              </w:rPr>
              <w:t xml:space="preserve"> </w:t>
            </w:r>
            <w:r w:rsidRPr="00EC20A0">
              <w:t>provisions</w:t>
            </w:r>
            <w:r w:rsidRPr="00EC20A0">
              <w:rPr>
                <w:spacing w:val="-5"/>
              </w:rPr>
              <w:t xml:space="preserve"> </w:t>
            </w:r>
            <w:r w:rsidRPr="00EC20A0">
              <w:t>of</w:t>
            </w:r>
            <w:r w:rsidRPr="00EC20A0">
              <w:rPr>
                <w:spacing w:val="-5"/>
              </w:rPr>
              <w:t xml:space="preserve"> </w:t>
            </w:r>
            <w:r w:rsidRPr="00EC20A0">
              <w:t>applicable</w:t>
            </w:r>
            <w:r w:rsidRPr="00EC20A0">
              <w:rPr>
                <w:spacing w:val="-5"/>
              </w:rPr>
              <w:t xml:space="preserve"> </w:t>
            </w:r>
            <w:r w:rsidRPr="00EC20A0">
              <w:t>laws</w:t>
            </w:r>
            <w:r w:rsidRPr="00EC20A0">
              <w:rPr>
                <w:spacing w:val="-5"/>
              </w:rPr>
              <w:t xml:space="preserve"> </w:t>
            </w:r>
            <w:r w:rsidRPr="00EC20A0">
              <w:t>and regulations? (FAM 245)</w:t>
            </w:r>
          </w:p>
        </w:tc>
        <w:tc>
          <w:tcPr>
            <w:tcW w:w="810" w:type="dxa"/>
            <w:tcBorders>
              <w:top w:val="single" w:sz="6" w:space="0" w:color="000000"/>
              <w:left w:val="single" w:sz="6" w:space="0" w:color="000000"/>
              <w:bottom w:val="single" w:sz="6" w:space="0" w:color="000000"/>
              <w:right w:val="single" w:sz="6" w:space="0" w:color="000000"/>
            </w:tcBorders>
          </w:tcPr>
          <w:p w14:paraId="24D622D3"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D4" w14:textId="77777777" w:rsidR="00245300" w:rsidRPr="00EC20A0" w:rsidRDefault="00245300">
            <w:pPr>
              <w:pStyle w:val="TableParagraph"/>
            </w:pPr>
          </w:p>
        </w:tc>
      </w:tr>
      <w:tr w:rsidR="00245300" w:rsidRPr="00EC20A0" w14:paraId="24D622D9" w14:textId="77777777">
        <w:trPr>
          <w:trHeight w:val="745"/>
        </w:trPr>
        <w:tc>
          <w:tcPr>
            <w:tcW w:w="7380" w:type="dxa"/>
            <w:tcBorders>
              <w:top w:val="single" w:sz="6" w:space="0" w:color="000000"/>
              <w:bottom w:val="single" w:sz="6" w:space="0" w:color="000000"/>
              <w:right w:val="single" w:sz="6" w:space="0" w:color="000000"/>
            </w:tcBorders>
          </w:tcPr>
          <w:p w14:paraId="24D622D6" w14:textId="77777777" w:rsidR="00245300" w:rsidRPr="00EC20A0" w:rsidRDefault="00F17249">
            <w:pPr>
              <w:pStyle w:val="TableParagraph"/>
              <w:tabs>
                <w:tab w:val="left" w:pos="1249"/>
              </w:tabs>
              <w:spacing w:before="121"/>
              <w:ind w:left="1249" w:right="197" w:hanging="360"/>
            </w:pPr>
            <w:r w:rsidRPr="00EC20A0">
              <w:rPr>
                <w:spacing w:val="-6"/>
              </w:rPr>
              <w:t>f.</w:t>
            </w:r>
            <w:r w:rsidRPr="00EC20A0">
              <w:tab/>
              <w:t>Determine</w:t>
            </w:r>
            <w:r w:rsidRPr="00EC20A0">
              <w:rPr>
                <w:spacing w:val="-6"/>
              </w:rPr>
              <w:t xml:space="preserve"> </w:t>
            </w:r>
            <w:r w:rsidRPr="00EC20A0">
              <w:t>the</w:t>
            </w:r>
            <w:r w:rsidRPr="00EC20A0">
              <w:rPr>
                <w:spacing w:val="-6"/>
              </w:rPr>
              <w:t xml:space="preserve"> </w:t>
            </w:r>
            <w:r w:rsidRPr="00EC20A0">
              <w:t>approach</w:t>
            </w:r>
            <w:r w:rsidRPr="00EC20A0">
              <w:rPr>
                <w:spacing w:val="-7"/>
              </w:rPr>
              <w:t xml:space="preserve"> </w:t>
            </w:r>
            <w:r w:rsidRPr="00EC20A0">
              <w:t>for</w:t>
            </w:r>
            <w:r w:rsidRPr="00EC20A0">
              <w:rPr>
                <w:spacing w:val="-6"/>
              </w:rPr>
              <w:t xml:space="preserve"> </w:t>
            </w:r>
            <w:r w:rsidRPr="00EC20A0">
              <w:t>identifying</w:t>
            </w:r>
            <w:r w:rsidRPr="00EC20A0">
              <w:rPr>
                <w:spacing w:val="-6"/>
              </w:rPr>
              <w:t xml:space="preserve"> </w:t>
            </w:r>
            <w:r w:rsidRPr="00EC20A0">
              <w:t>and</w:t>
            </w:r>
            <w:r w:rsidRPr="00EC20A0">
              <w:rPr>
                <w:spacing w:val="-6"/>
              </w:rPr>
              <w:t xml:space="preserve"> </w:t>
            </w:r>
            <w:r w:rsidRPr="00EC20A0">
              <w:t>testing</w:t>
            </w:r>
            <w:r w:rsidRPr="00EC20A0">
              <w:rPr>
                <w:spacing w:val="-6"/>
              </w:rPr>
              <w:t xml:space="preserve"> </w:t>
            </w:r>
            <w:r w:rsidRPr="00EC20A0">
              <w:t>significant provisions of contracts and grant agreements? (FAM 245)</w:t>
            </w:r>
          </w:p>
        </w:tc>
        <w:tc>
          <w:tcPr>
            <w:tcW w:w="810" w:type="dxa"/>
            <w:tcBorders>
              <w:top w:val="single" w:sz="6" w:space="0" w:color="000000"/>
              <w:left w:val="single" w:sz="6" w:space="0" w:color="000000"/>
              <w:bottom w:val="single" w:sz="6" w:space="0" w:color="000000"/>
              <w:right w:val="single" w:sz="6" w:space="0" w:color="000000"/>
            </w:tcBorders>
          </w:tcPr>
          <w:p w14:paraId="24D622D7"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D8" w14:textId="77777777" w:rsidR="00245300" w:rsidRPr="00EC20A0" w:rsidRDefault="00245300">
            <w:pPr>
              <w:pStyle w:val="TableParagraph"/>
            </w:pPr>
          </w:p>
        </w:tc>
      </w:tr>
      <w:tr w:rsidR="00245300" w:rsidRPr="00EC20A0" w14:paraId="24D622DD" w14:textId="77777777">
        <w:trPr>
          <w:trHeight w:val="493"/>
        </w:trPr>
        <w:tc>
          <w:tcPr>
            <w:tcW w:w="7380" w:type="dxa"/>
            <w:tcBorders>
              <w:top w:val="single" w:sz="6" w:space="0" w:color="000000"/>
              <w:bottom w:val="single" w:sz="6" w:space="0" w:color="000000"/>
              <w:right w:val="single" w:sz="6" w:space="0" w:color="000000"/>
            </w:tcBorders>
          </w:tcPr>
          <w:p w14:paraId="24D622DA" w14:textId="77777777" w:rsidR="00245300" w:rsidRPr="00EC20A0" w:rsidRDefault="00F17249">
            <w:pPr>
              <w:pStyle w:val="TableParagraph"/>
              <w:spacing w:before="121"/>
              <w:ind w:left="889"/>
            </w:pPr>
            <w:r w:rsidRPr="00EC20A0">
              <w:t>g.</w:t>
            </w:r>
            <w:r w:rsidRPr="00EC20A0">
              <w:rPr>
                <w:spacing w:val="68"/>
                <w:w w:val="150"/>
              </w:rPr>
              <w:t xml:space="preserve"> </w:t>
            </w:r>
            <w:r w:rsidRPr="00EC20A0">
              <w:t>Identify</w:t>
            </w:r>
            <w:r w:rsidRPr="00EC20A0">
              <w:rPr>
                <w:spacing w:val="-6"/>
              </w:rPr>
              <w:t xml:space="preserve"> </w:t>
            </w:r>
            <w:r w:rsidRPr="00EC20A0">
              <w:t>relevant</w:t>
            </w:r>
            <w:r w:rsidRPr="00EC20A0">
              <w:rPr>
                <w:spacing w:val="-5"/>
              </w:rPr>
              <w:t xml:space="preserve"> </w:t>
            </w:r>
            <w:r w:rsidRPr="00EC20A0">
              <w:t>budget</w:t>
            </w:r>
            <w:r w:rsidRPr="00EC20A0">
              <w:rPr>
                <w:spacing w:val="-7"/>
              </w:rPr>
              <w:t xml:space="preserve"> </w:t>
            </w:r>
            <w:r w:rsidRPr="00EC20A0">
              <w:t>restrictions?</w:t>
            </w:r>
            <w:r w:rsidRPr="00EC20A0">
              <w:rPr>
                <w:spacing w:val="-6"/>
              </w:rPr>
              <w:t xml:space="preserve"> </w:t>
            </w:r>
            <w:r w:rsidRPr="00EC20A0">
              <w:t>(FAM</w:t>
            </w:r>
            <w:r w:rsidRPr="00EC20A0">
              <w:rPr>
                <w:spacing w:val="-7"/>
              </w:rPr>
              <w:t xml:space="preserve"> </w:t>
            </w:r>
            <w:r w:rsidRPr="00EC20A0">
              <w:rPr>
                <w:spacing w:val="-4"/>
              </w:rPr>
              <w:t>250)</w:t>
            </w:r>
          </w:p>
        </w:tc>
        <w:tc>
          <w:tcPr>
            <w:tcW w:w="810" w:type="dxa"/>
            <w:tcBorders>
              <w:top w:val="single" w:sz="6" w:space="0" w:color="000000"/>
              <w:left w:val="single" w:sz="6" w:space="0" w:color="000000"/>
              <w:bottom w:val="single" w:sz="6" w:space="0" w:color="000000"/>
              <w:right w:val="single" w:sz="6" w:space="0" w:color="000000"/>
            </w:tcBorders>
          </w:tcPr>
          <w:p w14:paraId="24D622DB"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DC" w14:textId="77777777" w:rsidR="00245300" w:rsidRPr="00EC20A0" w:rsidRDefault="00245300">
            <w:pPr>
              <w:pStyle w:val="TableParagraph"/>
            </w:pPr>
          </w:p>
        </w:tc>
      </w:tr>
      <w:tr w:rsidR="00245300" w:rsidRPr="00EC20A0" w14:paraId="24D622E1" w14:textId="77777777">
        <w:trPr>
          <w:trHeight w:val="998"/>
        </w:trPr>
        <w:tc>
          <w:tcPr>
            <w:tcW w:w="7380" w:type="dxa"/>
            <w:tcBorders>
              <w:top w:val="single" w:sz="6" w:space="0" w:color="000000"/>
              <w:bottom w:val="single" w:sz="6" w:space="0" w:color="000000"/>
              <w:right w:val="single" w:sz="6" w:space="0" w:color="000000"/>
            </w:tcBorders>
          </w:tcPr>
          <w:p w14:paraId="24D622DE" w14:textId="77777777" w:rsidR="00245300" w:rsidRPr="00EC20A0" w:rsidRDefault="00F17249">
            <w:pPr>
              <w:pStyle w:val="TableParagraph"/>
              <w:spacing w:before="119"/>
              <w:ind w:left="1248" w:hanging="360"/>
            </w:pPr>
            <w:r w:rsidRPr="00EC20A0">
              <w:t>h.</w:t>
            </w:r>
            <w:r w:rsidRPr="00EC20A0">
              <w:rPr>
                <w:spacing w:val="80"/>
              </w:rPr>
              <w:t xml:space="preserve"> </w:t>
            </w:r>
            <w:r w:rsidRPr="00EC20A0">
              <w:t>Evaluate</w:t>
            </w:r>
            <w:r w:rsidRPr="00EC20A0">
              <w:rPr>
                <w:spacing w:val="-3"/>
              </w:rPr>
              <w:t xml:space="preserve"> </w:t>
            </w:r>
            <w:r w:rsidRPr="00EC20A0">
              <w:t>the</w:t>
            </w:r>
            <w:r w:rsidRPr="00EC20A0">
              <w:rPr>
                <w:spacing w:val="-4"/>
              </w:rPr>
              <w:t xml:space="preserve"> </w:t>
            </w:r>
            <w:r w:rsidRPr="00EC20A0">
              <w:t>design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five</w:t>
            </w:r>
            <w:r w:rsidRPr="00EC20A0">
              <w:rPr>
                <w:spacing w:val="-3"/>
              </w:rPr>
              <w:t xml:space="preserve"> </w:t>
            </w:r>
            <w:r w:rsidRPr="00EC20A0">
              <w:t>components</w:t>
            </w:r>
            <w:r w:rsidRPr="00EC20A0">
              <w:rPr>
                <w:spacing w:val="-3"/>
              </w:rPr>
              <w:t xml:space="preserve"> </w:t>
            </w:r>
            <w:r w:rsidRPr="00EC20A0">
              <w:t>of</w:t>
            </w:r>
            <w:r w:rsidRPr="00EC20A0">
              <w:rPr>
                <w:spacing w:val="-3"/>
              </w:rPr>
              <w:t xml:space="preserve"> </w:t>
            </w:r>
            <w:r w:rsidRPr="00EC20A0">
              <w:t>internal</w:t>
            </w:r>
            <w:r w:rsidRPr="00EC20A0">
              <w:rPr>
                <w:spacing w:val="-3"/>
              </w:rPr>
              <w:t xml:space="preserve"> </w:t>
            </w:r>
            <w:r w:rsidRPr="00EC20A0">
              <w:t xml:space="preserve">control and determine whether they have been implemented? (FAM </w:t>
            </w:r>
            <w:r w:rsidRPr="00EC20A0">
              <w:rPr>
                <w:spacing w:val="-4"/>
              </w:rPr>
              <w:t>260)</w:t>
            </w:r>
          </w:p>
        </w:tc>
        <w:tc>
          <w:tcPr>
            <w:tcW w:w="810" w:type="dxa"/>
            <w:tcBorders>
              <w:top w:val="single" w:sz="6" w:space="0" w:color="000000"/>
              <w:left w:val="single" w:sz="6" w:space="0" w:color="000000"/>
              <w:bottom w:val="single" w:sz="6" w:space="0" w:color="000000"/>
              <w:right w:val="single" w:sz="6" w:space="0" w:color="000000"/>
            </w:tcBorders>
          </w:tcPr>
          <w:p w14:paraId="24D622DF"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E0" w14:textId="77777777" w:rsidR="00245300" w:rsidRPr="00EC20A0" w:rsidRDefault="00245300">
            <w:pPr>
              <w:pStyle w:val="TableParagraph"/>
            </w:pPr>
          </w:p>
        </w:tc>
      </w:tr>
      <w:tr w:rsidR="00245300" w:rsidRPr="00EC20A0" w14:paraId="24D622E5" w14:textId="77777777">
        <w:trPr>
          <w:trHeight w:val="1251"/>
        </w:trPr>
        <w:tc>
          <w:tcPr>
            <w:tcW w:w="7380" w:type="dxa"/>
            <w:tcBorders>
              <w:top w:val="single" w:sz="6" w:space="0" w:color="000000"/>
              <w:bottom w:val="single" w:sz="6" w:space="0" w:color="000000"/>
              <w:right w:val="single" w:sz="6" w:space="0" w:color="000000"/>
            </w:tcBorders>
          </w:tcPr>
          <w:p w14:paraId="24D622E2" w14:textId="77777777" w:rsidR="00245300" w:rsidRPr="00EC20A0" w:rsidRDefault="00F17249">
            <w:pPr>
              <w:pStyle w:val="TableParagraph"/>
              <w:tabs>
                <w:tab w:val="left" w:pos="1249"/>
              </w:tabs>
              <w:spacing w:before="119"/>
              <w:ind w:left="1249" w:right="350" w:hanging="361"/>
            </w:pPr>
            <w:r w:rsidRPr="00EC20A0">
              <w:rPr>
                <w:spacing w:val="-6"/>
              </w:rPr>
              <w:t>i.</w:t>
            </w:r>
            <w:r w:rsidRPr="00EC20A0">
              <w:tab/>
              <w:t>Design the audit to achieve an acceptable level of audit assurance</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as</w:t>
            </w:r>
            <w:r w:rsidRPr="00EC20A0">
              <w:rPr>
                <w:spacing w:val="-5"/>
              </w:rPr>
              <w:t xml:space="preserve"> </w:t>
            </w:r>
            <w:r w:rsidRPr="00EC20A0">
              <w:t>a</w:t>
            </w:r>
            <w:r w:rsidRPr="00EC20A0">
              <w:rPr>
                <w:spacing w:val="-5"/>
              </w:rPr>
              <w:t xml:space="preserve"> </w:t>
            </w:r>
            <w:r w:rsidRPr="00EC20A0">
              <w:t>whole</w:t>
            </w:r>
            <w:r w:rsidRPr="00EC20A0">
              <w:rPr>
                <w:spacing w:val="-5"/>
              </w:rPr>
              <w:t xml:space="preserve"> </w:t>
            </w:r>
            <w:r w:rsidRPr="00EC20A0">
              <w:t>are</w:t>
            </w:r>
            <w:r w:rsidRPr="00EC20A0">
              <w:rPr>
                <w:spacing w:val="-5"/>
              </w:rPr>
              <w:t xml:space="preserve"> </w:t>
            </w:r>
            <w:r w:rsidRPr="00EC20A0">
              <w:t xml:space="preserve">free from material misstatement, whether due to fraud or error? </w:t>
            </w:r>
            <w:r w:rsidRPr="00EC20A0">
              <w:t>(GAO uses 95 percent.) (FAM 265)</w:t>
            </w:r>
          </w:p>
        </w:tc>
        <w:tc>
          <w:tcPr>
            <w:tcW w:w="810" w:type="dxa"/>
            <w:tcBorders>
              <w:top w:val="single" w:sz="6" w:space="0" w:color="000000"/>
              <w:left w:val="single" w:sz="6" w:space="0" w:color="000000"/>
              <w:bottom w:val="single" w:sz="6" w:space="0" w:color="000000"/>
              <w:right w:val="single" w:sz="6" w:space="0" w:color="000000"/>
            </w:tcBorders>
          </w:tcPr>
          <w:p w14:paraId="24D622E3"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E4" w14:textId="77777777" w:rsidR="00245300" w:rsidRPr="00EC20A0" w:rsidRDefault="00245300">
            <w:pPr>
              <w:pStyle w:val="TableParagraph"/>
            </w:pPr>
          </w:p>
        </w:tc>
      </w:tr>
      <w:tr w:rsidR="00245300" w:rsidRPr="00EC20A0" w14:paraId="24D622E9" w14:textId="77777777">
        <w:trPr>
          <w:trHeight w:val="2263"/>
        </w:trPr>
        <w:tc>
          <w:tcPr>
            <w:tcW w:w="7380" w:type="dxa"/>
            <w:tcBorders>
              <w:top w:val="single" w:sz="6" w:space="0" w:color="000000"/>
              <w:bottom w:val="single" w:sz="6" w:space="0" w:color="000000"/>
              <w:right w:val="single" w:sz="6" w:space="0" w:color="000000"/>
            </w:tcBorders>
          </w:tcPr>
          <w:p w14:paraId="24D622E6" w14:textId="77777777" w:rsidR="00245300" w:rsidRPr="00EC20A0" w:rsidRDefault="00F17249">
            <w:pPr>
              <w:pStyle w:val="TableParagraph"/>
              <w:tabs>
                <w:tab w:val="left" w:pos="1249"/>
              </w:tabs>
              <w:spacing w:before="121"/>
              <w:ind w:left="1249" w:right="130" w:hanging="361"/>
            </w:pPr>
            <w:r w:rsidRPr="00EC20A0">
              <w:rPr>
                <w:spacing w:val="-6"/>
              </w:rPr>
              <w:t>j.</w:t>
            </w:r>
            <w:r w:rsidRPr="00EC20A0">
              <w:tab/>
              <w:t>Brainstorm</w:t>
            </w:r>
            <w:r w:rsidRPr="00EC20A0">
              <w:rPr>
                <w:spacing w:val="-7"/>
              </w:rPr>
              <w:t xml:space="preserve"> </w:t>
            </w:r>
            <w:r w:rsidRPr="00EC20A0">
              <w:rPr>
                <w:color w:val="242424"/>
              </w:rPr>
              <w:t>among</w:t>
            </w:r>
            <w:r w:rsidRPr="00EC20A0">
              <w:rPr>
                <w:color w:val="242424"/>
                <w:spacing w:val="-6"/>
              </w:rPr>
              <w:t xml:space="preserve"> </w:t>
            </w:r>
            <w:r w:rsidRPr="00EC20A0">
              <w:rPr>
                <w:color w:val="242424"/>
              </w:rPr>
              <w:t>the</w:t>
            </w:r>
            <w:r w:rsidRPr="00EC20A0">
              <w:rPr>
                <w:color w:val="242424"/>
                <w:spacing w:val="-6"/>
              </w:rPr>
              <w:t xml:space="preserve"> </w:t>
            </w:r>
            <w:r w:rsidRPr="00EC20A0">
              <w:rPr>
                <w:color w:val="242424"/>
              </w:rPr>
              <w:t>engagement</w:t>
            </w:r>
            <w:r w:rsidRPr="00EC20A0">
              <w:rPr>
                <w:color w:val="242424"/>
                <w:spacing w:val="-6"/>
              </w:rPr>
              <w:t xml:space="preserve"> </w:t>
            </w:r>
            <w:r w:rsidRPr="00EC20A0">
              <w:rPr>
                <w:color w:val="242424"/>
              </w:rPr>
              <w:t>team</w:t>
            </w:r>
            <w:r w:rsidRPr="00EC20A0">
              <w:rPr>
                <w:color w:val="242424"/>
                <w:spacing w:val="-7"/>
              </w:rPr>
              <w:t xml:space="preserve"> </w:t>
            </w:r>
            <w:r w:rsidRPr="00EC20A0">
              <w:rPr>
                <w:color w:val="242424"/>
              </w:rPr>
              <w:t>members,</w:t>
            </w:r>
            <w:r w:rsidRPr="00EC20A0">
              <w:rPr>
                <w:color w:val="242424"/>
                <w:spacing w:val="-6"/>
              </w:rPr>
              <w:t xml:space="preserve"> </w:t>
            </w:r>
            <w:r w:rsidRPr="00EC20A0">
              <w:rPr>
                <w:color w:val="242424"/>
              </w:rPr>
              <w:t xml:space="preserve">including the first/engagement partner, about how and where the entity’s financial statements (at the financial statement and assertion levels) might be susceptible to material misstatement due to fraud or error, how management could perpetrate and conceal fraudulent financial reporting, and how assets of the entity could be misappropriated? </w:t>
            </w:r>
            <w:r w:rsidRPr="00EC20A0">
              <w:t xml:space="preserve">(FAM </w:t>
            </w:r>
            <w:r w:rsidRPr="00EC20A0">
              <w:rPr>
                <w:spacing w:val="-4"/>
              </w:rPr>
              <w:t>265)</w:t>
            </w:r>
          </w:p>
        </w:tc>
        <w:tc>
          <w:tcPr>
            <w:tcW w:w="810" w:type="dxa"/>
            <w:tcBorders>
              <w:top w:val="single" w:sz="6" w:space="0" w:color="000000"/>
              <w:left w:val="single" w:sz="6" w:space="0" w:color="000000"/>
              <w:bottom w:val="single" w:sz="6" w:space="0" w:color="000000"/>
              <w:right w:val="single" w:sz="6" w:space="0" w:color="000000"/>
            </w:tcBorders>
          </w:tcPr>
          <w:p w14:paraId="24D622E7"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E8" w14:textId="77777777" w:rsidR="00245300" w:rsidRPr="00EC20A0" w:rsidRDefault="00245300">
            <w:pPr>
              <w:pStyle w:val="TableParagraph"/>
            </w:pPr>
          </w:p>
        </w:tc>
      </w:tr>
      <w:tr w:rsidR="00245300" w:rsidRPr="00EC20A0" w14:paraId="24D622ED" w14:textId="77777777">
        <w:trPr>
          <w:trHeight w:val="2011"/>
        </w:trPr>
        <w:tc>
          <w:tcPr>
            <w:tcW w:w="7380" w:type="dxa"/>
            <w:tcBorders>
              <w:top w:val="single" w:sz="6" w:space="0" w:color="000000"/>
              <w:bottom w:val="single" w:sz="6" w:space="0" w:color="000000"/>
              <w:right w:val="single" w:sz="6" w:space="0" w:color="000000"/>
            </w:tcBorders>
          </w:tcPr>
          <w:p w14:paraId="24D622EA" w14:textId="77777777" w:rsidR="00245300" w:rsidRPr="00EC20A0" w:rsidRDefault="00F17249">
            <w:pPr>
              <w:pStyle w:val="TableParagraph"/>
              <w:spacing w:before="121"/>
              <w:ind w:left="1249" w:right="197" w:hanging="360"/>
            </w:pPr>
            <w:r w:rsidRPr="00EC20A0">
              <w:t>k.</w:t>
            </w:r>
            <w:r w:rsidRPr="00EC20A0">
              <w:rPr>
                <w:spacing w:val="80"/>
              </w:rPr>
              <w:t xml:space="preserve"> </w:t>
            </w:r>
            <w:r w:rsidRPr="00EC20A0">
              <w:t>Identify the risks of material misstatements due to error or fraud at the financial statement and assertion levels, including</w:t>
            </w:r>
            <w:r w:rsidRPr="00EC20A0">
              <w:rPr>
                <w:spacing w:val="-7"/>
              </w:rPr>
              <w:t xml:space="preserve"> </w:t>
            </w:r>
            <w:r w:rsidRPr="00EC20A0">
              <w:t>any</w:t>
            </w:r>
            <w:r w:rsidRPr="00EC20A0">
              <w:rPr>
                <w:spacing w:val="-7"/>
              </w:rPr>
              <w:t xml:space="preserve"> </w:t>
            </w:r>
            <w:r w:rsidRPr="00EC20A0">
              <w:t>related</w:t>
            </w:r>
            <w:r w:rsidRPr="00EC20A0">
              <w:rPr>
                <w:spacing w:val="-7"/>
              </w:rPr>
              <w:t xml:space="preserve"> </w:t>
            </w:r>
            <w:r w:rsidRPr="00EC20A0">
              <w:t>to</w:t>
            </w:r>
            <w:r w:rsidRPr="00EC20A0">
              <w:rPr>
                <w:spacing w:val="-7"/>
              </w:rPr>
              <w:t xml:space="preserve"> </w:t>
            </w:r>
            <w:r w:rsidRPr="00EC20A0">
              <w:t>revenue</w:t>
            </w:r>
            <w:r w:rsidRPr="00EC20A0">
              <w:rPr>
                <w:spacing w:val="-7"/>
              </w:rPr>
              <w:t xml:space="preserve"> </w:t>
            </w:r>
            <w:r w:rsidRPr="00EC20A0">
              <w:t>recognition,</w:t>
            </w:r>
            <w:r w:rsidRPr="00EC20A0">
              <w:rPr>
                <w:spacing w:val="-6"/>
              </w:rPr>
              <w:t xml:space="preserve"> </w:t>
            </w:r>
            <w:r w:rsidRPr="00EC20A0">
              <w:t>management override of controls, significant unusual transactions, disclosure entities, related parties, and public-private partnerships; and exercise professional skepticism throughout the audit? (FAM 265 and FAM 290)</w:t>
            </w:r>
          </w:p>
        </w:tc>
        <w:tc>
          <w:tcPr>
            <w:tcW w:w="810" w:type="dxa"/>
            <w:tcBorders>
              <w:top w:val="single" w:sz="6" w:space="0" w:color="000000"/>
              <w:left w:val="single" w:sz="6" w:space="0" w:color="000000"/>
              <w:bottom w:val="single" w:sz="6" w:space="0" w:color="000000"/>
              <w:right w:val="single" w:sz="6" w:space="0" w:color="000000"/>
            </w:tcBorders>
          </w:tcPr>
          <w:p w14:paraId="24D622EB"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EC" w14:textId="77777777" w:rsidR="00245300" w:rsidRPr="00EC20A0" w:rsidRDefault="00245300">
            <w:pPr>
              <w:pStyle w:val="TableParagraph"/>
            </w:pPr>
          </w:p>
        </w:tc>
      </w:tr>
      <w:tr w:rsidR="00245300" w:rsidRPr="00EC20A0" w14:paraId="24D622F1" w14:textId="77777777">
        <w:trPr>
          <w:trHeight w:val="998"/>
        </w:trPr>
        <w:tc>
          <w:tcPr>
            <w:tcW w:w="7380" w:type="dxa"/>
            <w:tcBorders>
              <w:top w:val="single" w:sz="6" w:space="0" w:color="000000"/>
              <w:bottom w:val="single" w:sz="6" w:space="0" w:color="000000"/>
              <w:right w:val="single" w:sz="6" w:space="0" w:color="000000"/>
            </w:tcBorders>
          </w:tcPr>
          <w:p w14:paraId="24D622EE" w14:textId="77777777" w:rsidR="00245300" w:rsidRPr="00EC20A0" w:rsidRDefault="00F17249">
            <w:pPr>
              <w:pStyle w:val="TableParagraph"/>
              <w:tabs>
                <w:tab w:val="left" w:pos="1249"/>
              </w:tabs>
              <w:spacing w:before="119"/>
              <w:ind w:left="1248" w:right="485" w:hanging="360"/>
            </w:pPr>
            <w:r w:rsidRPr="00EC20A0">
              <w:rPr>
                <w:spacing w:val="-6"/>
              </w:rPr>
              <w:t>l.</w:t>
            </w:r>
            <w:r w:rsidRPr="00EC20A0">
              <w:tab/>
            </w:r>
            <w:r w:rsidRPr="00EC20A0">
              <w:t>Assess</w:t>
            </w:r>
            <w:r w:rsidRPr="00EC20A0">
              <w:rPr>
                <w:spacing w:val="-4"/>
              </w:rPr>
              <w:t xml:space="preserve"> </w:t>
            </w:r>
            <w:r w:rsidRPr="00EC20A0">
              <w:t>the</w:t>
            </w:r>
            <w:r w:rsidRPr="00EC20A0">
              <w:rPr>
                <w:spacing w:val="-4"/>
              </w:rPr>
              <w:t xml:space="preserve"> </w:t>
            </w:r>
            <w:r w:rsidRPr="00EC20A0">
              <w:t>risks</w:t>
            </w:r>
            <w:r w:rsidRPr="00EC20A0">
              <w:rPr>
                <w:spacing w:val="-4"/>
              </w:rPr>
              <w:t xml:space="preserve"> </w:t>
            </w:r>
            <w:r w:rsidRPr="00EC20A0">
              <w:t>of</w:t>
            </w:r>
            <w:r w:rsidRPr="00EC20A0">
              <w:rPr>
                <w:spacing w:val="-5"/>
              </w:rPr>
              <w:t xml:space="preserve"> </w:t>
            </w:r>
            <w:r w:rsidRPr="00EC20A0">
              <w:t>material</w:t>
            </w:r>
            <w:r w:rsidRPr="00EC20A0">
              <w:rPr>
                <w:spacing w:val="-4"/>
              </w:rPr>
              <w:t xml:space="preserve"> </w:t>
            </w:r>
            <w:r w:rsidRPr="00EC20A0">
              <w:t>misstatements</w:t>
            </w:r>
            <w:r w:rsidRPr="00EC20A0">
              <w:rPr>
                <w:spacing w:val="-4"/>
              </w:rPr>
              <w:t xml:space="preserve"> </w:t>
            </w:r>
            <w:r w:rsidRPr="00EC20A0">
              <w:t>due</w:t>
            </w:r>
            <w:r w:rsidRPr="00EC20A0">
              <w:rPr>
                <w:spacing w:val="-4"/>
              </w:rPr>
              <w:t xml:space="preserve"> </w:t>
            </w:r>
            <w:r w:rsidRPr="00EC20A0">
              <w:t>to</w:t>
            </w:r>
            <w:r w:rsidRPr="00EC20A0">
              <w:rPr>
                <w:spacing w:val="-4"/>
              </w:rPr>
              <w:t xml:space="preserve"> </w:t>
            </w:r>
            <w:r w:rsidRPr="00EC20A0">
              <w:t>error</w:t>
            </w:r>
            <w:r w:rsidRPr="00EC20A0">
              <w:rPr>
                <w:spacing w:val="-4"/>
              </w:rPr>
              <w:t xml:space="preserve"> </w:t>
            </w:r>
            <w:r w:rsidRPr="00EC20A0">
              <w:t>or fraud at the financial statement level and design overall responses to address them? (FAM 265 and FAM 290)</w:t>
            </w:r>
          </w:p>
        </w:tc>
        <w:tc>
          <w:tcPr>
            <w:tcW w:w="810" w:type="dxa"/>
            <w:tcBorders>
              <w:top w:val="single" w:sz="6" w:space="0" w:color="000000"/>
              <w:left w:val="single" w:sz="6" w:space="0" w:color="000000"/>
              <w:bottom w:val="single" w:sz="6" w:space="0" w:color="000000"/>
              <w:right w:val="single" w:sz="6" w:space="0" w:color="000000"/>
            </w:tcBorders>
          </w:tcPr>
          <w:p w14:paraId="24D622EF"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2F0" w14:textId="77777777" w:rsidR="00245300" w:rsidRPr="00EC20A0" w:rsidRDefault="00245300">
            <w:pPr>
              <w:pStyle w:val="TableParagraph"/>
            </w:pPr>
          </w:p>
        </w:tc>
      </w:tr>
      <w:tr w:rsidR="00245300" w:rsidRPr="00EC20A0" w14:paraId="24D622F5" w14:textId="77777777">
        <w:trPr>
          <w:trHeight w:val="895"/>
        </w:trPr>
        <w:tc>
          <w:tcPr>
            <w:tcW w:w="7380" w:type="dxa"/>
            <w:tcBorders>
              <w:top w:val="single" w:sz="6" w:space="0" w:color="000000"/>
              <w:right w:val="single" w:sz="6" w:space="0" w:color="000000"/>
            </w:tcBorders>
          </w:tcPr>
          <w:p w14:paraId="24D622F2" w14:textId="77777777" w:rsidR="00245300" w:rsidRPr="00EC20A0" w:rsidRDefault="00F17249">
            <w:pPr>
              <w:pStyle w:val="TableParagraph"/>
              <w:spacing w:before="119"/>
              <w:ind w:left="1249" w:hanging="360"/>
            </w:pPr>
            <w:r w:rsidRPr="00EC20A0">
              <w:t>m.</w:t>
            </w:r>
            <w:r w:rsidRPr="00EC20A0">
              <w:rPr>
                <w:spacing w:val="40"/>
              </w:rPr>
              <w:t xml:space="preserve"> </w:t>
            </w:r>
            <w:r w:rsidRPr="00EC20A0">
              <w:t>Assess</w:t>
            </w:r>
            <w:r w:rsidRPr="00EC20A0">
              <w:rPr>
                <w:spacing w:val="-4"/>
              </w:rPr>
              <w:t xml:space="preserve"> </w:t>
            </w:r>
            <w:r w:rsidRPr="00EC20A0">
              <w:t>inherent</w:t>
            </w:r>
            <w:r w:rsidRPr="00EC20A0">
              <w:rPr>
                <w:spacing w:val="-4"/>
              </w:rPr>
              <w:t xml:space="preserve"> </w:t>
            </w:r>
            <w:r w:rsidRPr="00EC20A0">
              <w:t>risk</w:t>
            </w:r>
            <w:r w:rsidRPr="00EC20A0">
              <w:rPr>
                <w:spacing w:val="-4"/>
              </w:rPr>
              <w:t xml:space="preserve"> </w:t>
            </w:r>
            <w:r w:rsidRPr="00EC20A0">
              <w:t>for</w:t>
            </w:r>
            <w:r w:rsidRPr="00EC20A0">
              <w:rPr>
                <w:spacing w:val="-5"/>
              </w:rPr>
              <w:t xml:space="preserve"> </w:t>
            </w:r>
            <w:r w:rsidRPr="00EC20A0">
              <w:t>each</w:t>
            </w:r>
            <w:r w:rsidRPr="00EC20A0">
              <w:rPr>
                <w:spacing w:val="-4"/>
              </w:rPr>
              <w:t xml:space="preserve"> </w:t>
            </w:r>
            <w:r w:rsidRPr="00EC20A0">
              <w:t>identified</w:t>
            </w:r>
            <w:r w:rsidRPr="00EC20A0">
              <w:rPr>
                <w:spacing w:val="-4"/>
              </w:rPr>
              <w:t xml:space="preserve"> </w:t>
            </w:r>
            <w:r w:rsidRPr="00EC20A0">
              <w:t>risk</w:t>
            </w:r>
            <w:r w:rsidRPr="00EC20A0">
              <w:rPr>
                <w:spacing w:val="-4"/>
              </w:rPr>
              <w:t xml:space="preserve"> </w:t>
            </w:r>
            <w:r w:rsidRPr="00EC20A0">
              <w:t>of</w:t>
            </w:r>
            <w:r w:rsidRPr="00EC20A0">
              <w:rPr>
                <w:spacing w:val="-4"/>
              </w:rPr>
              <w:t xml:space="preserve"> </w:t>
            </w:r>
            <w:r w:rsidRPr="00EC20A0">
              <w:t xml:space="preserve">material misstatement at the </w:t>
            </w:r>
            <w:r w:rsidRPr="00EC20A0">
              <w:t>assertion level? (FAM 265)</w:t>
            </w:r>
          </w:p>
        </w:tc>
        <w:tc>
          <w:tcPr>
            <w:tcW w:w="810" w:type="dxa"/>
            <w:tcBorders>
              <w:top w:val="single" w:sz="6" w:space="0" w:color="000000"/>
              <w:left w:val="single" w:sz="6" w:space="0" w:color="000000"/>
              <w:right w:val="single" w:sz="6" w:space="0" w:color="000000"/>
            </w:tcBorders>
          </w:tcPr>
          <w:p w14:paraId="24D622F3" w14:textId="77777777" w:rsidR="00245300" w:rsidRPr="00EC20A0" w:rsidRDefault="00245300">
            <w:pPr>
              <w:pStyle w:val="TableParagraph"/>
            </w:pPr>
          </w:p>
        </w:tc>
        <w:tc>
          <w:tcPr>
            <w:tcW w:w="1309" w:type="dxa"/>
            <w:tcBorders>
              <w:top w:val="single" w:sz="6" w:space="0" w:color="000000"/>
              <w:left w:val="single" w:sz="6" w:space="0" w:color="000000"/>
            </w:tcBorders>
          </w:tcPr>
          <w:p w14:paraId="24D622F4" w14:textId="77777777" w:rsidR="00245300" w:rsidRPr="00EC20A0" w:rsidRDefault="00245300">
            <w:pPr>
              <w:pStyle w:val="TableParagraph"/>
            </w:pPr>
          </w:p>
        </w:tc>
      </w:tr>
    </w:tbl>
    <w:p w14:paraId="24D622F6" w14:textId="77777777" w:rsidR="00245300" w:rsidRPr="00EC20A0" w:rsidRDefault="00245300">
      <w:pPr>
        <w:sectPr w:rsidR="00245300" w:rsidRPr="00EC20A0">
          <w:pgSz w:w="12240" w:h="15840"/>
          <w:pgMar w:top="1340" w:right="460" w:bottom="940" w:left="560" w:header="721" w:footer="757" w:gutter="0"/>
          <w:cols w:space="720"/>
        </w:sectPr>
      </w:pPr>
    </w:p>
    <w:p w14:paraId="24D622F7"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245300" w:rsidRPr="00EC20A0" w14:paraId="24D622FE" w14:textId="77777777">
        <w:trPr>
          <w:trHeight w:val="937"/>
        </w:trPr>
        <w:tc>
          <w:tcPr>
            <w:tcW w:w="7380" w:type="dxa"/>
            <w:tcBorders>
              <w:bottom w:val="single" w:sz="6" w:space="0" w:color="000000"/>
              <w:right w:val="single" w:sz="6" w:space="0" w:color="000000"/>
            </w:tcBorders>
            <w:shd w:val="clear" w:color="auto" w:fill="A6A6A6"/>
          </w:tcPr>
          <w:p w14:paraId="24D622F8" w14:textId="77777777" w:rsidR="00245300" w:rsidRPr="00EC20A0" w:rsidRDefault="00245300">
            <w:pPr>
              <w:pStyle w:val="TableParagraph"/>
              <w:spacing w:before="266"/>
              <w:rPr>
                <w:b/>
                <w:sz w:val="24"/>
              </w:rPr>
            </w:pPr>
          </w:p>
          <w:p w14:paraId="24D622F9" w14:textId="77777777" w:rsidR="00245300" w:rsidRPr="00EC20A0" w:rsidRDefault="00F17249">
            <w:pPr>
              <w:pStyle w:val="TableParagraph"/>
              <w:ind w:left="123"/>
              <w:rPr>
                <w:b/>
                <w:sz w:val="24"/>
              </w:rPr>
            </w:pPr>
            <w:r w:rsidRPr="00EC20A0">
              <w:rPr>
                <w:b/>
                <w:sz w:val="24"/>
              </w:rPr>
              <w:t>Section</w:t>
            </w:r>
            <w:r w:rsidRPr="00EC20A0">
              <w:rPr>
                <w:b/>
                <w:spacing w:val="-3"/>
                <w:sz w:val="24"/>
              </w:rPr>
              <w:t xml:space="preserve"> </w:t>
            </w:r>
            <w:r w:rsidRPr="00EC20A0">
              <w:rPr>
                <w:b/>
                <w:sz w:val="24"/>
              </w:rPr>
              <w:t>I:</w:t>
            </w:r>
            <w:r w:rsidRPr="00EC20A0">
              <w:rPr>
                <w:b/>
                <w:spacing w:val="-4"/>
                <w:sz w:val="24"/>
              </w:rPr>
              <w:t xml:space="preserve"> </w:t>
            </w:r>
            <w:r w:rsidRPr="00EC20A0">
              <w:rPr>
                <w:b/>
                <w:sz w:val="24"/>
              </w:rPr>
              <w:t>Planning</w:t>
            </w:r>
            <w:r w:rsidRPr="00EC20A0">
              <w:rPr>
                <w:b/>
                <w:spacing w:val="-2"/>
                <w:sz w:val="24"/>
              </w:rPr>
              <w:t xml:space="preserve"> </w:t>
            </w:r>
            <w:r w:rsidRPr="00EC20A0">
              <w:rPr>
                <w:b/>
                <w:sz w:val="24"/>
              </w:rPr>
              <w:t>and</w:t>
            </w:r>
            <w:r w:rsidRPr="00EC20A0">
              <w:rPr>
                <w:b/>
                <w:spacing w:val="-3"/>
                <w:sz w:val="24"/>
              </w:rPr>
              <w:t xml:space="preserve"> </w:t>
            </w:r>
            <w:r w:rsidRPr="00EC20A0">
              <w:rPr>
                <w:b/>
                <w:sz w:val="24"/>
              </w:rPr>
              <w:t>Risk</w:t>
            </w:r>
            <w:r w:rsidRPr="00EC20A0">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24D622FA" w14:textId="77777777" w:rsidR="00245300" w:rsidRPr="00EC20A0" w:rsidRDefault="00F17249">
            <w:pPr>
              <w:pStyle w:val="TableParagraph"/>
              <w:spacing w:before="120"/>
              <w:ind w:left="138" w:right="201"/>
              <w:jc w:val="both"/>
              <w:rPr>
                <w:b/>
              </w:rPr>
            </w:pPr>
            <w:r w:rsidRPr="00EC20A0">
              <w:rPr>
                <w:b/>
                <w:spacing w:val="-4"/>
              </w:rPr>
              <w:t>Yes, No,* N/A</w:t>
            </w:r>
          </w:p>
        </w:tc>
        <w:tc>
          <w:tcPr>
            <w:tcW w:w="1309" w:type="dxa"/>
            <w:tcBorders>
              <w:left w:val="single" w:sz="6" w:space="0" w:color="000000"/>
              <w:bottom w:val="single" w:sz="6" w:space="0" w:color="000000"/>
            </w:tcBorders>
            <w:shd w:val="clear" w:color="auto" w:fill="A6A6A6"/>
          </w:tcPr>
          <w:p w14:paraId="24D622FB" w14:textId="77777777" w:rsidR="00245300" w:rsidRPr="00EC20A0" w:rsidRDefault="00245300">
            <w:pPr>
              <w:pStyle w:val="TableParagraph"/>
              <w:rPr>
                <w:b/>
              </w:rPr>
            </w:pPr>
          </w:p>
          <w:p w14:paraId="24D622FC" w14:textId="77777777" w:rsidR="00245300" w:rsidRPr="00EC20A0" w:rsidRDefault="00245300">
            <w:pPr>
              <w:pStyle w:val="TableParagraph"/>
              <w:spacing w:before="120"/>
              <w:rPr>
                <w:b/>
              </w:rPr>
            </w:pPr>
          </w:p>
          <w:p w14:paraId="24D622FD" w14:textId="77777777" w:rsidR="00245300" w:rsidRPr="00EC20A0" w:rsidRDefault="00F17249">
            <w:pPr>
              <w:pStyle w:val="TableParagraph"/>
              <w:ind w:left="214"/>
              <w:rPr>
                <w:b/>
              </w:rPr>
            </w:pPr>
            <w:r w:rsidRPr="00EC20A0">
              <w:rPr>
                <w:b/>
              </w:rPr>
              <w:t>Doc.</w:t>
            </w:r>
            <w:r w:rsidRPr="00EC20A0">
              <w:rPr>
                <w:b/>
                <w:spacing w:val="-6"/>
              </w:rPr>
              <w:t xml:space="preserve"> </w:t>
            </w:r>
            <w:r w:rsidRPr="00EC20A0">
              <w:rPr>
                <w:b/>
                <w:spacing w:val="-4"/>
              </w:rPr>
              <w:t>ref.</w:t>
            </w:r>
          </w:p>
        </w:tc>
      </w:tr>
      <w:tr w:rsidR="00245300" w:rsidRPr="00EC20A0" w14:paraId="24D62302" w14:textId="77777777">
        <w:trPr>
          <w:trHeight w:val="745"/>
        </w:trPr>
        <w:tc>
          <w:tcPr>
            <w:tcW w:w="7380" w:type="dxa"/>
            <w:tcBorders>
              <w:top w:val="single" w:sz="6" w:space="0" w:color="000000"/>
              <w:bottom w:val="single" w:sz="6" w:space="0" w:color="000000"/>
              <w:right w:val="single" w:sz="6" w:space="0" w:color="000000"/>
            </w:tcBorders>
          </w:tcPr>
          <w:p w14:paraId="24D622FF" w14:textId="77777777" w:rsidR="00245300" w:rsidRPr="00EC20A0" w:rsidRDefault="00F17249">
            <w:pPr>
              <w:pStyle w:val="TableParagraph"/>
              <w:spacing w:before="121"/>
              <w:ind w:left="1249" w:right="197" w:hanging="360"/>
            </w:pPr>
            <w:r w:rsidRPr="00EC20A0">
              <w:t>n.</w:t>
            </w:r>
            <w:r w:rsidRPr="00EC20A0">
              <w:rPr>
                <w:spacing w:val="80"/>
              </w:rPr>
              <w:t xml:space="preserve"> </w:t>
            </w:r>
            <w:r w:rsidRPr="00EC20A0">
              <w:t>Consider</w:t>
            </w:r>
            <w:r w:rsidRPr="00EC20A0">
              <w:rPr>
                <w:spacing w:val="-4"/>
              </w:rPr>
              <w:t xml:space="preserve"> </w:t>
            </w:r>
            <w:r w:rsidRPr="00EC20A0">
              <w:t>the</w:t>
            </w:r>
            <w:r w:rsidRPr="00EC20A0">
              <w:rPr>
                <w:spacing w:val="-4"/>
              </w:rPr>
              <w:t xml:space="preserve"> </w:t>
            </w:r>
            <w:r w:rsidRPr="00EC20A0">
              <w:t>likelihood</w:t>
            </w:r>
            <w:r w:rsidRPr="00EC20A0">
              <w:rPr>
                <w:spacing w:val="-5"/>
              </w:rPr>
              <w:t xml:space="preserve"> </w:t>
            </w:r>
            <w:r w:rsidRPr="00EC20A0">
              <w:t>of</w:t>
            </w:r>
            <w:r w:rsidRPr="00EC20A0">
              <w:rPr>
                <w:spacing w:val="-4"/>
              </w:rPr>
              <w:t xml:space="preserve"> </w:t>
            </w:r>
            <w:r w:rsidRPr="00EC20A0">
              <w:t>effective</w:t>
            </w:r>
            <w:r w:rsidRPr="00EC20A0">
              <w:rPr>
                <w:spacing w:val="-5"/>
              </w:rPr>
              <w:t xml:space="preserve"> </w:t>
            </w:r>
            <w:r w:rsidRPr="00EC20A0">
              <w:t>information</w:t>
            </w:r>
            <w:r w:rsidRPr="00EC20A0">
              <w:rPr>
                <w:spacing w:val="-4"/>
              </w:rPr>
              <w:t xml:space="preserve"> </w:t>
            </w:r>
            <w:r w:rsidRPr="00EC20A0">
              <w:t>system controls (IS controls)? (FAM 270)</w:t>
            </w:r>
          </w:p>
        </w:tc>
        <w:tc>
          <w:tcPr>
            <w:tcW w:w="810" w:type="dxa"/>
            <w:tcBorders>
              <w:top w:val="single" w:sz="6" w:space="0" w:color="000000"/>
              <w:left w:val="single" w:sz="6" w:space="0" w:color="000000"/>
              <w:bottom w:val="single" w:sz="6" w:space="0" w:color="000000"/>
              <w:right w:val="single" w:sz="6" w:space="0" w:color="000000"/>
            </w:tcBorders>
          </w:tcPr>
          <w:p w14:paraId="24D62300"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01" w14:textId="77777777" w:rsidR="00245300" w:rsidRPr="00EC20A0" w:rsidRDefault="00245300">
            <w:pPr>
              <w:pStyle w:val="TableParagraph"/>
            </w:pPr>
          </w:p>
        </w:tc>
      </w:tr>
      <w:tr w:rsidR="00245300" w:rsidRPr="00EC20A0" w14:paraId="24D62306" w14:textId="77777777">
        <w:trPr>
          <w:trHeight w:val="1505"/>
        </w:trPr>
        <w:tc>
          <w:tcPr>
            <w:tcW w:w="7380" w:type="dxa"/>
            <w:tcBorders>
              <w:top w:val="single" w:sz="6" w:space="0" w:color="000000"/>
              <w:bottom w:val="single" w:sz="6" w:space="0" w:color="000000"/>
              <w:right w:val="single" w:sz="6" w:space="0" w:color="000000"/>
            </w:tcBorders>
          </w:tcPr>
          <w:p w14:paraId="24D62303" w14:textId="77777777" w:rsidR="00245300" w:rsidRPr="00EC20A0" w:rsidRDefault="00F17249">
            <w:pPr>
              <w:pStyle w:val="TableParagraph"/>
              <w:spacing w:before="121"/>
              <w:ind w:left="1249" w:right="161" w:hanging="361"/>
            </w:pPr>
            <w:r w:rsidRPr="00EC20A0">
              <w:t>o.</w:t>
            </w:r>
            <w:r w:rsidRPr="00EC20A0">
              <w:rPr>
                <w:spacing w:val="80"/>
              </w:rPr>
              <w:t xml:space="preserve"> </w:t>
            </w:r>
            <w:r w:rsidRPr="00EC20A0">
              <w:t xml:space="preserve">Identify the methodology used to assess IS controls and document the basis for believing that the methodology used is appropriate? (GAO auditors should use the </w:t>
            </w:r>
            <w:r w:rsidRPr="00EC20A0">
              <w:rPr>
                <w:i/>
              </w:rPr>
              <w:t>Federal Information</w:t>
            </w:r>
            <w:r w:rsidRPr="00EC20A0">
              <w:rPr>
                <w:i/>
                <w:spacing w:val="-7"/>
              </w:rPr>
              <w:t xml:space="preserve"> </w:t>
            </w:r>
            <w:r w:rsidRPr="00EC20A0">
              <w:rPr>
                <w:i/>
              </w:rPr>
              <w:t>System</w:t>
            </w:r>
            <w:r w:rsidRPr="00EC20A0">
              <w:rPr>
                <w:i/>
                <w:spacing w:val="-8"/>
              </w:rPr>
              <w:t xml:space="preserve"> </w:t>
            </w:r>
            <w:r w:rsidRPr="00EC20A0">
              <w:rPr>
                <w:i/>
              </w:rPr>
              <w:t>Controls</w:t>
            </w:r>
            <w:r w:rsidRPr="00EC20A0">
              <w:rPr>
                <w:i/>
                <w:spacing w:val="-7"/>
              </w:rPr>
              <w:t xml:space="preserve"> </w:t>
            </w:r>
            <w:r w:rsidRPr="00EC20A0">
              <w:rPr>
                <w:i/>
              </w:rPr>
              <w:t>Audit</w:t>
            </w:r>
            <w:r w:rsidRPr="00EC20A0">
              <w:rPr>
                <w:i/>
                <w:spacing w:val="-7"/>
              </w:rPr>
              <w:t xml:space="preserve"> </w:t>
            </w:r>
            <w:r w:rsidRPr="00EC20A0">
              <w:rPr>
                <w:i/>
              </w:rPr>
              <w:t>Manual</w:t>
            </w:r>
            <w:r w:rsidRPr="00EC20A0">
              <w:rPr>
                <w:i/>
                <w:spacing w:val="-7"/>
              </w:rPr>
              <w:t xml:space="preserve"> </w:t>
            </w:r>
            <w:r w:rsidRPr="00EC20A0">
              <w:rPr>
                <w:i/>
              </w:rPr>
              <w:t>(</w:t>
            </w:r>
            <w:r w:rsidRPr="00EC20A0">
              <w:t>FISCAM).)</w:t>
            </w:r>
            <w:r w:rsidRPr="00EC20A0">
              <w:rPr>
                <w:spacing w:val="-7"/>
              </w:rPr>
              <w:t xml:space="preserve"> </w:t>
            </w:r>
            <w:r w:rsidRPr="00EC20A0">
              <w:t xml:space="preserve">(FAM </w:t>
            </w:r>
            <w:r w:rsidRPr="00EC20A0">
              <w:rPr>
                <w:spacing w:val="-4"/>
              </w:rPr>
              <w:t>270)</w:t>
            </w:r>
          </w:p>
        </w:tc>
        <w:tc>
          <w:tcPr>
            <w:tcW w:w="810" w:type="dxa"/>
            <w:tcBorders>
              <w:top w:val="single" w:sz="6" w:space="0" w:color="000000"/>
              <w:left w:val="single" w:sz="6" w:space="0" w:color="000000"/>
              <w:bottom w:val="single" w:sz="6" w:space="0" w:color="000000"/>
              <w:right w:val="single" w:sz="6" w:space="0" w:color="000000"/>
            </w:tcBorders>
          </w:tcPr>
          <w:p w14:paraId="24D62304"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05" w14:textId="77777777" w:rsidR="00245300" w:rsidRPr="00EC20A0" w:rsidRDefault="00245300">
            <w:pPr>
              <w:pStyle w:val="TableParagraph"/>
            </w:pPr>
          </w:p>
        </w:tc>
      </w:tr>
      <w:tr w:rsidR="00245300" w:rsidRPr="00EC20A0" w14:paraId="24D6230A" w14:textId="77777777">
        <w:trPr>
          <w:trHeight w:val="492"/>
        </w:trPr>
        <w:tc>
          <w:tcPr>
            <w:tcW w:w="7380" w:type="dxa"/>
            <w:tcBorders>
              <w:top w:val="single" w:sz="6" w:space="0" w:color="000000"/>
              <w:bottom w:val="single" w:sz="6" w:space="0" w:color="000000"/>
              <w:right w:val="single" w:sz="6" w:space="0" w:color="000000"/>
            </w:tcBorders>
          </w:tcPr>
          <w:p w14:paraId="24D62307" w14:textId="77777777" w:rsidR="00245300" w:rsidRPr="00EC20A0" w:rsidRDefault="00F17249">
            <w:pPr>
              <w:pStyle w:val="TableParagraph"/>
              <w:spacing w:before="119"/>
              <w:ind w:left="889"/>
            </w:pPr>
            <w:r w:rsidRPr="00EC20A0">
              <w:t>p.</w:t>
            </w:r>
            <w:r w:rsidRPr="00EC20A0">
              <w:rPr>
                <w:spacing w:val="70"/>
                <w:w w:val="150"/>
              </w:rPr>
              <w:t xml:space="preserve"> </w:t>
            </w:r>
            <w:r w:rsidRPr="00EC20A0">
              <w:t>Consider</w:t>
            </w:r>
            <w:r w:rsidRPr="00EC20A0">
              <w:rPr>
                <w:spacing w:val="-5"/>
              </w:rPr>
              <w:t xml:space="preserve"> </w:t>
            </w:r>
            <w:r w:rsidRPr="00EC20A0">
              <w:t>operations</w:t>
            </w:r>
            <w:r w:rsidRPr="00EC20A0">
              <w:rPr>
                <w:spacing w:val="-5"/>
              </w:rPr>
              <w:t xml:space="preserve"> </w:t>
            </w:r>
            <w:r w:rsidRPr="00EC20A0">
              <w:t>controls</w:t>
            </w:r>
            <w:r w:rsidRPr="00EC20A0">
              <w:rPr>
                <w:spacing w:val="-5"/>
              </w:rPr>
              <w:t xml:space="preserve"> </w:t>
            </w:r>
            <w:r w:rsidRPr="00EC20A0">
              <w:t>to</w:t>
            </w:r>
            <w:r w:rsidRPr="00EC20A0">
              <w:rPr>
                <w:spacing w:val="-5"/>
              </w:rPr>
              <w:t xml:space="preserve"> </w:t>
            </w:r>
            <w:r w:rsidRPr="00EC20A0">
              <w:t>test?</w:t>
            </w:r>
            <w:r w:rsidRPr="00EC20A0">
              <w:rPr>
                <w:spacing w:val="-6"/>
              </w:rPr>
              <w:t xml:space="preserve"> </w:t>
            </w:r>
            <w:r w:rsidRPr="00EC20A0">
              <w:t>(FAM</w:t>
            </w:r>
            <w:r w:rsidRPr="00EC20A0">
              <w:rPr>
                <w:spacing w:val="-6"/>
              </w:rPr>
              <w:t xml:space="preserve"> </w:t>
            </w:r>
            <w:r w:rsidRPr="00EC20A0">
              <w:rPr>
                <w:spacing w:val="-4"/>
              </w:rPr>
              <w:t>275)</w:t>
            </w:r>
          </w:p>
        </w:tc>
        <w:tc>
          <w:tcPr>
            <w:tcW w:w="810" w:type="dxa"/>
            <w:tcBorders>
              <w:top w:val="single" w:sz="6" w:space="0" w:color="000000"/>
              <w:left w:val="single" w:sz="6" w:space="0" w:color="000000"/>
              <w:bottom w:val="single" w:sz="6" w:space="0" w:color="000000"/>
              <w:right w:val="single" w:sz="6" w:space="0" w:color="000000"/>
            </w:tcBorders>
          </w:tcPr>
          <w:p w14:paraId="24D62308"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09" w14:textId="77777777" w:rsidR="00245300" w:rsidRPr="00EC20A0" w:rsidRDefault="00245300">
            <w:pPr>
              <w:pStyle w:val="TableParagraph"/>
            </w:pPr>
          </w:p>
        </w:tc>
      </w:tr>
      <w:tr w:rsidR="00245300" w:rsidRPr="00EC20A0" w14:paraId="24D6230E" w14:textId="77777777">
        <w:trPr>
          <w:trHeight w:val="1252"/>
        </w:trPr>
        <w:tc>
          <w:tcPr>
            <w:tcW w:w="7380" w:type="dxa"/>
            <w:tcBorders>
              <w:top w:val="single" w:sz="6" w:space="0" w:color="000000"/>
              <w:bottom w:val="single" w:sz="6" w:space="0" w:color="000000"/>
              <w:right w:val="single" w:sz="6" w:space="0" w:color="000000"/>
            </w:tcBorders>
          </w:tcPr>
          <w:p w14:paraId="24D6230B" w14:textId="77777777" w:rsidR="00245300" w:rsidRPr="00EC20A0" w:rsidRDefault="00F17249">
            <w:pPr>
              <w:pStyle w:val="TableParagraph"/>
              <w:spacing w:before="121"/>
              <w:ind w:left="1249" w:right="214" w:hanging="360"/>
            </w:pPr>
            <w:r w:rsidRPr="00EC20A0">
              <w:t>q.</w:t>
            </w:r>
            <w:r w:rsidRPr="00EC20A0">
              <w:rPr>
                <w:spacing w:val="80"/>
              </w:rPr>
              <w:t xml:space="preserve"> </w:t>
            </w:r>
            <w:r w:rsidRPr="00EC20A0">
              <w:t>Plan other procedures (e.g., legal inquiries, management representations, RSI, other information, and relationships and</w:t>
            </w:r>
            <w:r w:rsidRPr="00EC20A0">
              <w:rPr>
                <w:spacing w:val="-5"/>
              </w:rPr>
              <w:t xml:space="preserve"> </w:t>
            </w:r>
            <w:r w:rsidRPr="00EC20A0">
              <w:t>transactions</w:t>
            </w:r>
            <w:r w:rsidRPr="00EC20A0">
              <w:rPr>
                <w:spacing w:val="-5"/>
              </w:rPr>
              <w:t xml:space="preserve"> </w:t>
            </w:r>
            <w:r w:rsidRPr="00EC20A0">
              <w:t>with</w:t>
            </w:r>
            <w:r w:rsidRPr="00EC20A0">
              <w:rPr>
                <w:spacing w:val="-5"/>
              </w:rPr>
              <w:t xml:space="preserve"> </w:t>
            </w:r>
            <w:r w:rsidRPr="00EC20A0">
              <w:t>disclosure</w:t>
            </w:r>
            <w:r w:rsidRPr="00EC20A0">
              <w:rPr>
                <w:spacing w:val="-5"/>
              </w:rPr>
              <w:t xml:space="preserve"> </w:t>
            </w:r>
            <w:r w:rsidRPr="00EC20A0">
              <w:t>entities,</w:t>
            </w:r>
            <w:r w:rsidRPr="00EC20A0">
              <w:rPr>
                <w:spacing w:val="-5"/>
              </w:rPr>
              <w:t xml:space="preserve"> </w:t>
            </w:r>
            <w:r w:rsidRPr="00EC20A0">
              <w:t>related</w:t>
            </w:r>
            <w:r w:rsidRPr="00EC20A0">
              <w:rPr>
                <w:spacing w:val="-6"/>
              </w:rPr>
              <w:t xml:space="preserve"> </w:t>
            </w:r>
            <w:r w:rsidRPr="00EC20A0">
              <w:t>parties,</w:t>
            </w:r>
            <w:r w:rsidRPr="00EC20A0">
              <w:rPr>
                <w:spacing w:val="-5"/>
              </w:rPr>
              <w:t xml:space="preserve"> </w:t>
            </w:r>
            <w:r w:rsidRPr="00EC20A0">
              <w:t xml:space="preserve">and public-private </w:t>
            </w:r>
            <w:r w:rsidRPr="00EC20A0">
              <w:t>partnerships)? (FAM 280)</w:t>
            </w:r>
          </w:p>
        </w:tc>
        <w:tc>
          <w:tcPr>
            <w:tcW w:w="810" w:type="dxa"/>
            <w:tcBorders>
              <w:top w:val="single" w:sz="6" w:space="0" w:color="000000"/>
              <w:left w:val="single" w:sz="6" w:space="0" w:color="000000"/>
              <w:bottom w:val="single" w:sz="6" w:space="0" w:color="000000"/>
              <w:right w:val="single" w:sz="6" w:space="0" w:color="000000"/>
            </w:tcBorders>
          </w:tcPr>
          <w:p w14:paraId="24D6230C"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0D" w14:textId="77777777" w:rsidR="00245300" w:rsidRPr="00EC20A0" w:rsidRDefault="00245300">
            <w:pPr>
              <w:pStyle w:val="TableParagraph"/>
            </w:pPr>
          </w:p>
        </w:tc>
      </w:tr>
      <w:tr w:rsidR="00245300" w:rsidRPr="00EC20A0" w14:paraId="24D62312" w14:textId="77777777">
        <w:trPr>
          <w:trHeight w:val="745"/>
        </w:trPr>
        <w:tc>
          <w:tcPr>
            <w:tcW w:w="7380" w:type="dxa"/>
            <w:tcBorders>
              <w:top w:val="single" w:sz="6" w:space="0" w:color="000000"/>
              <w:bottom w:val="single" w:sz="6" w:space="0" w:color="000000"/>
              <w:right w:val="single" w:sz="6" w:space="0" w:color="000000"/>
            </w:tcBorders>
          </w:tcPr>
          <w:p w14:paraId="24D6230F" w14:textId="77777777" w:rsidR="00245300" w:rsidRPr="00EC20A0" w:rsidRDefault="00F17249">
            <w:pPr>
              <w:pStyle w:val="TableParagraph"/>
              <w:tabs>
                <w:tab w:val="left" w:pos="1249"/>
              </w:tabs>
              <w:spacing w:before="119"/>
              <w:ind w:left="1249" w:right="302" w:hanging="361"/>
            </w:pPr>
            <w:r w:rsidRPr="00EC20A0">
              <w:rPr>
                <w:spacing w:val="-6"/>
              </w:rPr>
              <w:t>r.</w:t>
            </w:r>
            <w:r w:rsidRPr="00EC20A0">
              <w:tab/>
              <w:t>Consider</w:t>
            </w:r>
            <w:r w:rsidRPr="00EC20A0">
              <w:rPr>
                <w:spacing w:val="-7"/>
              </w:rPr>
              <w:t xml:space="preserve"> </w:t>
            </w:r>
            <w:r w:rsidRPr="00EC20A0">
              <w:t>the</w:t>
            </w:r>
            <w:r w:rsidRPr="00EC20A0">
              <w:rPr>
                <w:spacing w:val="-7"/>
              </w:rPr>
              <w:t xml:space="preserve"> </w:t>
            </w:r>
            <w:r w:rsidRPr="00EC20A0">
              <w:t>appropriateness</w:t>
            </w:r>
            <w:r w:rsidRPr="00EC20A0">
              <w:rPr>
                <w:spacing w:val="-7"/>
              </w:rPr>
              <w:t xml:space="preserve"> </w:t>
            </w:r>
            <w:r w:rsidRPr="00EC20A0">
              <w:t>of</w:t>
            </w:r>
            <w:r w:rsidRPr="00EC20A0">
              <w:rPr>
                <w:spacing w:val="-7"/>
              </w:rPr>
              <w:t xml:space="preserve"> </w:t>
            </w:r>
            <w:r w:rsidRPr="00EC20A0">
              <w:t>performing</w:t>
            </w:r>
            <w:r w:rsidRPr="00EC20A0">
              <w:rPr>
                <w:spacing w:val="-7"/>
              </w:rPr>
              <w:t xml:space="preserve"> </w:t>
            </w:r>
            <w:r w:rsidRPr="00EC20A0">
              <w:t>interim</w:t>
            </w:r>
            <w:r w:rsidRPr="00EC20A0">
              <w:rPr>
                <w:spacing w:val="-8"/>
              </w:rPr>
              <w:t xml:space="preserve"> </w:t>
            </w:r>
            <w:r w:rsidRPr="00EC20A0">
              <w:t>testing? (FAM 295 D)</w:t>
            </w:r>
          </w:p>
        </w:tc>
        <w:tc>
          <w:tcPr>
            <w:tcW w:w="810" w:type="dxa"/>
            <w:tcBorders>
              <w:top w:val="single" w:sz="6" w:space="0" w:color="000000"/>
              <w:left w:val="single" w:sz="6" w:space="0" w:color="000000"/>
              <w:bottom w:val="single" w:sz="6" w:space="0" w:color="000000"/>
              <w:right w:val="single" w:sz="6" w:space="0" w:color="000000"/>
            </w:tcBorders>
          </w:tcPr>
          <w:p w14:paraId="24D62310"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11" w14:textId="77777777" w:rsidR="00245300" w:rsidRPr="00EC20A0" w:rsidRDefault="00245300">
            <w:pPr>
              <w:pStyle w:val="TableParagraph"/>
            </w:pPr>
          </w:p>
        </w:tc>
      </w:tr>
      <w:tr w:rsidR="00245300" w:rsidRPr="00EC20A0" w14:paraId="24D62316" w14:textId="77777777">
        <w:trPr>
          <w:trHeight w:val="492"/>
        </w:trPr>
        <w:tc>
          <w:tcPr>
            <w:tcW w:w="7380" w:type="dxa"/>
            <w:tcBorders>
              <w:top w:val="single" w:sz="6" w:space="0" w:color="000000"/>
              <w:bottom w:val="single" w:sz="6" w:space="0" w:color="000000"/>
              <w:right w:val="single" w:sz="6" w:space="0" w:color="000000"/>
            </w:tcBorders>
          </w:tcPr>
          <w:p w14:paraId="24D62313" w14:textId="77777777" w:rsidR="00245300" w:rsidRPr="00EC20A0" w:rsidRDefault="00F17249">
            <w:pPr>
              <w:pStyle w:val="TableParagraph"/>
              <w:spacing w:before="121"/>
              <w:ind w:left="889"/>
            </w:pPr>
            <w:r w:rsidRPr="00EC20A0">
              <w:t>s.</w:t>
            </w:r>
            <w:r w:rsidRPr="00EC20A0">
              <w:rPr>
                <w:spacing w:val="25"/>
              </w:rPr>
              <w:t xml:space="preserve">  </w:t>
            </w:r>
            <w:r w:rsidRPr="00EC20A0">
              <w:t>Determine</w:t>
            </w:r>
            <w:r w:rsidRPr="00EC20A0">
              <w:rPr>
                <w:spacing w:val="-4"/>
              </w:rPr>
              <w:t xml:space="preserve"> </w:t>
            </w:r>
            <w:r w:rsidRPr="00EC20A0">
              <w:t>locations</w:t>
            </w:r>
            <w:r w:rsidRPr="00EC20A0">
              <w:rPr>
                <w:spacing w:val="-4"/>
              </w:rPr>
              <w:t xml:space="preserve"> </w:t>
            </w:r>
            <w:r w:rsidRPr="00EC20A0">
              <w:t>to</w:t>
            </w:r>
            <w:r w:rsidRPr="00EC20A0">
              <w:rPr>
                <w:spacing w:val="-6"/>
              </w:rPr>
              <w:t xml:space="preserve"> </w:t>
            </w:r>
            <w:r w:rsidRPr="00EC20A0">
              <w:t>be</w:t>
            </w:r>
            <w:r w:rsidRPr="00EC20A0">
              <w:rPr>
                <w:spacing w:val="-5"/>
              </w:rPr>
              <w:t xml:space="preserve"> </w:t>
            </w:r>
            <w:r w:rsidRPr="00EC20A0">
              <w:t>tested?</w:t>
            </w:r>
            <w:r w:rsidRPr="00EC20A0">
              <w:rPr>
                <w:spacing w:val="-4"/>
              </w:rPr>
              <w:t xml:space="preserve"> </w:t>
            </w:r>
            <w:r w:rsidRPr="00EC20A0">
              <w:t>(FAM</w:t>
            </w:r>
            <w:r w:rsidRPr="00EC20A0">
              <w:rPr>
                <w:spacing w:val="-6"/>
              </w:rPr>
              <w:t xml:space="preserve"> </w:t>
            </w:r>
            <w:r w:rsidRPr="00EC20A0">
              <w:rPr>
                <w:spacing w:val="-4"/>
              </w:rPr>
              <w:t>285)</w:t>
            </w:r>
          </w:p>
        </w:tc>
        <w:tc>
          <w:tcPr>
            <w:tcW w:w="810" w:type="dxa"/>
            <w:tcBorders>
              <w:top w:val="single" w:sz="6" w:space="0" w:color="000000"/>
              <w:left w:val="single" w:sz="6" w:space="0" w:color="000000"/>
              <w:bottom w:val="single" w:sz="6" w:space="0" w:color="000000"/>
              <w:right w:val="single" w:sz="6" w:space="0" w:color="000000"/>
            </w:tcBorders>
          </w:tcPr>
          <w:p w14:paraId="24D62314"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15" w14:textId="77777777" w:rsidR="00245300" w:rsidRPr="00EC20A0" w:rsidRDefault="00245300">
            <w:pPr>
              <w:pStyle w:val="TableParagraph"/>
            </w:pPr>
          </w:p>
        </w:tc>
      </w:tr>
      <w:tr w:rsidR="00245300" w:rsidRPr="00EC20A0" w14:paraId="24D6231A" w14:textId="77777777">
        <w:trPr>
          <w:trHeight w:val="493"/>
        </w:trPr>
        <w:tc>
          <w:tcPr>
            <w:tcW w:w="7380" w:type="dxa"/>
            <w:tcBorders>
              <w:top w:val="single" w:sz="6" w:space="0" w:color="000000"/>
              <w:bottom w:val="single" w:sz="6" w:space="0" w:color="000000"/>
              <w:right w:val="single" w:sz="6" w:space="0" w:color="000000"/>
            </w:tcBorders>
          </w:tcPr>
          <w:p w14:paraId="24D62317" w14:textId="77777777" w:rsidR="00245300" w:rsidRPr="00EC20A0" w:rsidRDefault="00F17249">
            <w:pPr>
              <w:pStyle w:val="TableParagraph"/>
              <w:tabs>
                <w:tab w:val="left" w:pos="359"/>
              </w:tabs>
              <w:spacing w:before="121"/>
              <w:ind w:right="622"/>
              <w:jc w:val="right"/>
            </w:pPr>
            <w:r w:rsidRPr="00EC20A0">
              <w:rPr>
                <w:spacing w:val="-5"/>
              </w:rPr>
              <w:t>t.</w:t>
            </w:r>
            <w:r w:rsidRPr="00EC20A0">
              <w:tab/>
              <w:t>Determine</w:t>
            </w:r>
            <w:r w:rsidRPr="00EC20A0">
              <w:rPr>
                <w:spacing w:val="-10"/>
              </w:rPr>
              <w:t xml:space="preserve"> </w:t>
            </w:r>
            <w:r w:rsidRPr="00EC20A0">
              <w:t>staffing</w:t>
            </w:r>
            <w:r w:rsidRPr="00EC20A0">
              <w:rPr>
                <w:spacing w:val="-9"/>
              </w:rPr>
              <w:t xml:space="preserve"> </w:t>
            </w:r>
            <w:r w:rsidRPr="00EC20A0">
              <w:t>and</w:t>
            </w:r>
            <w:r w:rsidRPr="00EC20A0">
              <w:rPr>
                <w:spacing w:val="-9"/>
              </w:rPr>
              <w:t xml:space="preserve"> </w:t>
            </w:r>
            <w:r w:rsidRPr="00EC20A0">
              <w:t>review</w:t>
            </w:r>
            <w:r w:rsidRPr="00EC20A0">
              <w:rPr>
                <w:spacing w:val="-10"/>
              </w:rPr>
              <w:t xml:space="preserve"> </w:t>
            </w:r>
            <w:r w:rsidRPr="00EC20A0">
              <w:t>requirements?</w:t>
            </w:r>
            <w:r w:rsidRPr="00EC20A0">
              <w:rPr>
                <w:spacing w:val="-9"/>
              </w:rPr>
              <w:t xml:space="preserve"> </w:t>
            </w:r>
            <w:r w:rsidRPr="00EC20A0">
              <w:t>(FAM</w:t>
            </w:r>
            <w:r w:rsidRPr="00EC20A0">
              <w:rPr>
                <w:spacing w:val="-10"/>
              </w:rPr>
              <w:t xml:space="preserve"> </w:t>
            </w:r>
            <w:r w:rsidRPr="00EC20A0">
              <w:rPr>
                <w:spacing w:val="-4"/>
              </w:rPr>
              <w:t>290)</w:t>
            </w:r>
          </w:p>
        </w:tc>
        <w:tc>
          <w:tcPr>
            <w:tcW w:w="810" w:type="dxa"/>
            <w:tcBorders>
              <w:top w:val="single" w:sz="6" w:space="0" w:color="000000"/>
              <w:left w:val="single" w:sz="6" w:space="0" w:color="000000"/>
              <w:bottom w:val="single" w:sz="6" w:space="0" w:color="000000"/>
              <w:right w:val="single" w:sz="6" w:space="0" w:color="000000"/>
            </w:tcBorders>
          </w:tcPr>
          <w:p w14:paraId="24D62318"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19" w14:textId="77777777" w:rsidR="00245300" w:rsidRPr="00EC20A0" w:rsidRDefault="00245300">
            <w:pPr>
              <w:pStyle w:val="TableParagraph"/>
            </w:pPr>
          </w:p>
        </w:tc>
      </w:tr>
      <w:tr w:rsidR="00245300" w:rsidRPr="00EC20A0" w14:paraId="24D6231E" w14:textId="77777777">
        <w:trPr>
          <w:trHeight w:val="492"/>
        </w:trPr>
        <w:tc>
          <w:tcPr>
            <w:tcW w:w="7380" w:type="dxa"/>
            <w:tcBorders>
              <w:top w:val="single" w:sz="6" w:space="0" w:color="000000"/>
              <w:bottom w:val="single" w:sz="6" w:space="0" w:color="000000"/>
              <w:right w:val="single" w:sz="6" w:space="0" w:color="000000"/>
            </w:tcBorders>
          </w:tcPr>
          <w:p w14:paraId="24D6231B" w14:textId="77777777" w:rsidR="00245300" w:rsidRPr="00EC20A0" w:rsidRDefault="00F17249">
            <w:pPr>
              <w:pStyle w:val="TableParagraph"/>
              <w:spacing w:before="119"/>
              <w:ind w:right="572"/>
              <w:jc w:val="right"/>
            </w:pPr>
            <w:r w:rsidRPr="00EC20A0">
              <w:t>u.</w:t>
            </w:r>
            <w:r w:rsidRPr="00EC20A0">
              <w:rPr>
                <w:spacing w:val="66"/>
                <w:w w:val="150"/>
              </w:rPr>
              <w:t xml:space="preserve"> </w:t>
            </w:r>
            <w:r w:rsidRPr="00EC20A0">
              <w:t>Determine</w:t>
            </w:r>
            <w:r w:rsidRPr="00EC20A0">
              <w:rPr>
                <w:spacing w:val="-7"/>
              </w:rPr>
              <w:t xml:space="preserve"> </w:t>
            </w:r>
            <w:r w:rsidRPr="00EC20A0">
              <w:t>audit</w:t>
            </w:r>
            <w:r w:rsidRPr="00EC20A0">
              <w:rPr>
                <w:spacing w:val="-6"/>
              </w:rPr>
              <w:t xml:space="preserve"> </w:t>
            </w:r>
            <w:r w:rsidRPr="00EC20A0">
              <w:t>timing,</w:t>
            </w:r>
            <w:r w:rsidRPr="00EC20A0">
              <w:rPr>
                <w:spacing w:val="-6"/>
              </w:rPr>
              <w:t xml:space="preserve"> </w:t>
            </w:r>
            <w:r w:rsidRPr="00EC20A0">
              <w:t>including</w:t>
            </w:r>
            <w:r w:rsidRPr="00EC20A0">
              <w:rPr>
                <w:spacing w:val="-7"/>
              </w:rPr>
              <w:t xml:space="preserve"> </w:t>
            </w:r>
            <w:r w:rsidRPr="00EC20A0">
              <w:t>milestones?</w:t>
            </w:r>
            <w:r w:rsidRPr="00EC20A0">
              <w:rPr>
                <w:spacing w:val="-6"/>
              </w:rPr>
              <w:t xml:space="preserve"> </w:t>
            </w:r>
            <w:r w:rsidRPr="00EC20A0">
              <w:t>(FAM</w:t>
            </w:r>
            <w:r w:rsidRPr="00EC20A0">
              <w:rPr>
                <w:spacing w:val="-7"/>
              </w:rPr>
              <w:t xml:space="preserve"> </w:t>
            </w:r>
            <w:r w:rsidRPr="00EC20A0">
              <w:rPr>
                <w:spacing w:val="-4"/>
              </w:rPr>
              <w:t>290)</w:t>
            </w:r>
          </w:p>
        </w:tc>
        <w:tc>
          <w:tcPr>
            <w:tcW w:w="810" w:type="dxa"/>
            <w:tcBorders>
              <w:top w:val="single" w:sz="6" w:space="0" w:color="000000"/>
              <w:left w:val="single" w:sz="6" w:space="0" w:color="000000"/>
              <w:bottom w:val="single" w:sz="6" w:space="0" w:color="000000"/>
              <w:right w:val="single" w:sz="6" w:space="0" w:color="000000"/>
            </w:tcBorders>
          </w:tcPr>
          <w:p w14:paraId="24D6231C"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1D" w14:textId="77777777" w:rsidR="00245300" w:rsidRPr="00EC20A0" w:rsidRDefault="00245300">
            <w:pPr>
              <w:pStyle w:val="TableParagraph"/>
            </w:pPr>
          </w:p>
        </w:tc>
      </w:tr>
      <w:tr w:rsidR="00245300" w:rsidRPr="00EC20A0" w14:paraId="24D62322" w14:textId="77777777">
        <w:trPr>
          <w:trHeight w:val="745"/>
        </w:trPr>
        <w:tc>
          <w:tcPr>
            <w:tcW w:w="7380" w:type="dxa"/>
            <w:tcBorders>
              <w:top w:val="single" w:sz="6" w:space="0" w:color="000000"/>
              <w:bottom w:val="single" w:sz="6" w:space="0" w:color="000000"/>
              <w:right w:val="single" w:sz="6" w:space="0" w:color="000000"/>
            </w:tcBorders>
          </w:tcPr>
          <w:p w14:paraId="24D6231F" w14:textId="77777777" w:rsidR="00245300" w:rsidRPr="00EC20A0" w:rsidRDefault="00F17249">
            <w:pPr>
              <w:pStyle w:val="TableParagraph"/>
              <w:spacing w:before="119"/>
              <w:ind w:left="1249" w:right="485" w:hanging="360"/>
            </w:pPr>
            <w:r w:rsidRPr="00EC20A0">
              <w:t>v.</w:t>
            </w:r>
            <w:r w:rsidRPr="00EC20A0">
              <w:rPr>
                <w:spacing w:val="80"/>
              </w:rPr>
              <w:t xml:space="preserve"> </w:t>
            </w:r>
            <w:r w:rsidRPr="00EC20A0">
              <w:t>Determine</w:t>
            </w:r>
            <w:r w:rsidRPr="00EC20A0">
              <w:rPr>
                <w:spacing w:val="-4"/>
              </w:rPr>
              <w:t xml:space="preserve"> </w:t>
            </w:r>
            <w:r w:rsidRPr="00EC20A0">
              <w:t>extent</w:t>
            </w:r>
            <w:r w:rsidRPr="00EC20A0">
              <w:rPr>
                <w:spacing w:val="-4"/>
              </w:rPr>
              <w:t xml:space="preserve"> </w:t>
            </w:r>
            <w:r w:rsidRPr="00EC20A0">
              <w:t>of</w:t>
            </w:r>
            <w:r w:rsidRPr="00EC20A0">
              <w:rPr>
                <w:spacing w:val="-4"/>
              </w:rPr>
              <w:t xml:space="preserve"> </w:t>
            </w:r>
            <w:r w:rsidRPr="00EC20A0">
              <w:t>assistance</w:t>
            </w:r>
            <w:r w:rsidRPr="00EC20A0">
              <w:rPr>
                <w:spacing w:val="-4"/>
              </w:rPr>
              <w:t xml:space="preserve"> </w:t>
            </w:r>
            <w:r w:rsidRPr="00EC20A0">
              <w:t>from</w:t>
            </w:r>
            <w:r w:rsidRPr="00EC20A0">
              <w:rPr>
                <w:spacing w:val="-5"/>
              </w:rPr>
              <w:t xml:space="preserve"> </w:t>
            </w:r>
            <w:r w:rsidRPr="00EC20A0">
              <w:t>entity</w:t>
            </w:r>
            <w:r w:rsidRPr="00EC20A0">
              <w:rPr>
                <w:spacing w:val="-4"/>
              </w:rPr>
              <w:t xml:space="preserve"> </w:t>
            </w:r>
            <w:r w:rsidRPr="00EC20A0">
              <w:t>personnel? (FAM 290)</w:t>
            </w:r>
          </w:p>
        </w:tc>
        <w:tc>
          <w:tcPr>
            <w:tcW w:w="810" w:type="dxa"/>
            <w:tcBorders>
              <w:top w:val="single" w:sz="6" w:space="0" w:color="000000"/>
              <w:left w:val="single" w:sz="6" w:space="0" w:color="000000"/>
              <w:bottom w:val="single" w:sz="6" w:space="0" w:color="000000"/>
              <w:right w:val="single" w:sz="6" w:space="0" w:color="000000"/>
            </w:tcBorders>
          </w:tcPr>
          <w:p w14:paraId="24D62320"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21" w14:textId="77777777" w:rsidR="00245300" w:rsidRPr="00EC20A0" w:rsidRDefault="00245300">
            <w:pPr>
              <w:pStyle w:val="TableParagraph"/>
            </w:pPr>
          </w:p>
        </w:tc>
      </w:tr>
      <w:tr w:rsidR="00245300" w:rsidRPr="00EC20A0" w14:paraId="24D62326" w14:textId="77777777">
        <w:trPr>
          <w:trHeight w:val="998"/>
        </w:trPr>
        <w:tc>
          <w:tcPr>
            <w:tcW w:w="7380" w:type="dxa"/>
            <w:tcBorders>
              <w:top w:val="single" w:sz="6" w:space="0" w:color="000000"/>
              <w:bottom w:val="single" w:sz="6" w:space="0" w:color="000000"/>
              <w:right w:val="single" w:sz="6" w:space="0" w:color="000000"/>
            </w:tcBorders>
          </w:tcPr>
          <w:p w14:paraId="24D62323" w14:textId="77777777" w:rsidR="00245300" w:rsidRPr="00EC20A0" w:rsidRDefault="00F17249">
            <w:pPr>
              <w:pStyle w:val="TableParagraph"/>
              <w:spacing w:before="121"/>
              <w:ind w:left="843" w:right="197" w:hanging="360"/>
            </w:pPr>
            <w:r w:rsidRPr="00EC20A0">
              <w:t>7.</w:t>
            </w:r>
            <w:r w:rsidRPr="00EC20A0">
              <w:rPr>
                <w:spacing w:val="80"/>
              </w:rPr>
              <w:t xml:space="preserve"> </w:t>
            </w:r>
            <w:r w:rsidRPr="00EC20A0">
              <w:t>Does</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strategy</w:t>
            </w:r>
            <w:r w:rsidRPr="00EC20A0">
              <w:rPr>
                <w:spacing w:val="-5"/>
              </w:rPr>
              <w:t xml:space="preserve"> </w:t>
            </w:r>
            <w:r w:rsidRPr="00EC20A0">
              <w:t>consider</w:t>
            </w:r>
            <w:r w:rsidRPr="00EC20A0">
              <w:rPr>
                <w:spacing w:val="-4"/>
              </w:rPr>
              <w:t xml:space="preserve"> </w:t>
            </w:r>
            <w:r w:rsidRPr="00EC20A0">
              <w:t>findings</w:t>
            </w:r>
            <w:r w:rsidRPr="00EC20A0">
              <w:rPr>
                <w:spacing w:val="-3"/>
              </w:rPr>
              <w:t xml:space="preserve"> </w:t>
            </w:r>
            <w:r w:rsidRPr="00EC20A0">
              <w:t>and</w:t>
            </w:r>
            <w:r w:rsidRPr="00EC20A0">
              <w:rPr>
                <w:spacing w:val="-4"/>
              </w:rPr>
              <w:t xml:space="preserve"> </w:t>
            </w:r>
            <w:r w:rsidRPr="00EC20A0">
              <w:t xml:space="preserve">recommendations from previous audits that could affect the current audit objectives? (GAGAS </w:t>
            </w:r>
            <w:r w:rsidRPr="00EC20A0">
              <w:t>(2018) 6.11)</w:t>
            </w:r>
          </w:p>
        </w:tc>
        <w:tc>
          <w:tcPr>
            <w:tcW w:w="810" w:type="dxa"/>
            <w:tcBorders>
              <w:top w:val="single" w:sz="6" w:space="0" w:color="000000"/>
              <w:left w:val="single" w:sz="6" w:space="0" w:color="000000"/>
              <w:bottom w:val="single" w:sz="6" w:space="0" w:color="000000"/>
              <w:right w:val="single" w:sz="6" w:space="0" w:color="000000"/>
            </w:tcBorders>
          </w:tcPr>
          <w:p w14:paraId="24D62324"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25" w14:textId="77777777" w:rsidR="00245300" w:rsidRPr="00EC20A0" w:rsidRDefault="00245300">
            <w:pPr>
              <w:pStyle w:val="TableParagraph"/>
            </w:pPr>
          </w:p>
        </w:tc>
      </w:tr>
      <w:tr w:rsidR="00245300" w:rsidRPr="00EC20A0" w14:paraId="24D6232A" w14:textId="77777777">
        <w:trPr>
          <w:trHeight w:val="1000"/>
        </w:trPr>
        <w:tc>
          <w:tcPr>
            <w:tcW w:w="7380" w:type="dxa"/>
            <w:tcBorders>
              <w:top w:val="single" w:sz="6" w:space="0" w:color="000000"/>
              <w:right w:val="single" w:sz="6" w:space="0" w:color="000000"/>
            </w:tcBorders>
          </w:tcPr>
          <w:p w14:paraId="24D62327" w14:textId="77777777" w:rsidR="00245300" w:rsidRPr="00EC20A0" w:rsidRDefault="00F17249">
            <w:pPr>
              <w:pStyle w:val="TableParagraph"/>
              <w:spacing w:before="119"/>
              <w:ind w:left="843" w:hanging="360"/>
            </w:pPr>
            <w:r w:rsidRPr="00EC20A0">
              <w:t>8.</w:t>
            </w:r>
            <w:r w:rsidRPr="00EC20A0">
              <w:rPr>
                <w:spacing w:val="80"/>
              </w:rPr>
              <w:t xml:space="preserve"> </w:t>
            </w:r>
            <w:r w:rsidRPr="00EC20A0">
              <w:t>Did the auditor identify compliance controls over significant provisions</w:t>
            </w:r>
            <w:r w:rsidRPr="00EC20A0">
              <w:rPr>
                <w:spacing w:val="-6"/>
              </w:rPr>
              <w:t xml:space="preserve"> </w:t>
            </w:r>
            <w:r w:rsidRPr="00EC20A0">
              <w:t>of</w:t>
            </w:r>
            <w:r w:rsidRPr="00EC20A0">
              <w:rPr>
                <w:spacing w:val="-6"/>
              </w:rPr>
              <w:t xml:space="preserve"> </w:t>
            </w:r>
            <w:r w:rsidRPr="00EC20A0">
              <w:t>applicable</w:t>
            </w:r>
            <w:r w:rsidRPr="00EC20A0">
              <w:rPr>
                <w:spacing w:val="-6"/>
              </w:rPr>
              <w:t xml:space="preserve"> </w:t>
            </w:r>
            <w:r w:rsidRPr="00EC20A0">
              <w:t>laws,</w:t>
            </w:r>
            <w:r w:rsidRPr="00EC20A0">
              <w:rPr>
                <w:spacing w:val="-6"/>
              </w:rPr>
              <w:t xml:space="preserve"> </w:t>
            </w:r>
            <w:r w:rsidRPr="00EC20A0">
              <w:t>regulations,</w:t>
            </w:r>
            <w:r w:rsidRPr="00EC20A0">
              <w:rPr>
                <w:spacing w:val="-6"/>
              </w:rPr>
              <w:t xml:space="preserve"> </w:t>
            </w:r>
            <w:r w:rsidRPr="00EC20A0">
              <w:t>contracts,</w:t>
            </w:r>
            <w:r w:rsidRPr="00EC20A0">
              <w:rPr>
                <w:spacing w:val="-7"/>
              </w:rPr>
              <w:t xml:space="preserve"> </w:t>
            </w:r>
            <w:r w:rsidRPr="00EC20A0">
              <w:t>and</w:t>
            </w:r>
            <w:r w:rsidRPr="00EC20A0">
              <w:rPr>
                <w:spacing w:val="-6"/>
              </w:rPr>
              <w:t xml:space="preserve"> </w:t>
            </w:r>
            <w:r w:rsidRPr="00EC20A0">
              <w:t>grant agreements? (FAM 245, 310, and 330)</w:t>
            </w:r>
          </w:p>
        </w:tc>
        <w:tc>
          <w:tcPr>
            <w:tcW w:w="810" w:type="dxa"/>
            <w:tcBorders>
              <w:top w:val="single" w:sz="6" w:space="0" w:color="000000"/>
              <w:left w:val="single" w:sz="6" w:space="0" w:color="000000"/>
              <w:right w:val="single" w:sz="6" w:space="0" w:color="000000"/>
            </w:tcBorders>
          </w:tcPr>
          <w:p w14:paraId="24D62328" w14:textId="77777777" w:rsidR="00245300" w:rsidRPr="00EC20A0" w:rsidRDefault="00245300">
            <w:pPr>
              <w:pStyle w:val="TableParagraph"/>
            </w:pPr>
          </w:p>
        </w:tc>
        <w:tc>
          <w:tcPr>
            <w:tcW w:w="1309" w:type="dxa"/>
            <w:tcBorders>
              <w:top w:val="single" w:sz="6" w:space="0" w:color="000000"/>
              <w:left w:val="single" w:sz="6" w:space="0" w:color="000000"/>
            </w:tcBorders>
          </w:tcPr>
          <w:p w14:paraId="24D62329" w14:textId="77777777" w:rsidR="00245300" w:rsidRPr="00EC20A0" w:rsidRDefault="00245300">
            <w:pPr>
              <w:pStyle w:val="TableParagraph"/>
            </w:pPr>
          </w:p>
        </w:tc>
      </w:tr>
    </w:tbl>
    <w:p w14:paraId="24D6232B" w14:textId="77777777" w:rsidR="00245300" w:rsidRPr="00EC20A0" w:rsidRDefault="00245300">
      <w:pPr>
        <w:sectPr w:rsidR="00245300" w:rsidRPr="00EC20A0">
          <w:pgSz w:w="12240" w:h="15840"/>
          <w:pgMar w:top="1340" w:right="460" w:bottom="940" w:left="560" w:header="721" w:footer="757" w:gutter="0"/>
          <w:cols w:space="720"/>
        </w:sectPr>
      </w:pPr>
    </w:p>
    <w:p w14:paraId="24D6232C"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245300" w:rsidRPr="00EC20A0" w14:paraId="24D62333" w14:textId="77777777">
        <w:trPr>
          <w:trHeight w:val="937"/>
        </w:trPr>
        <w:tc>
          <w:tcPr>
            <w:tcW w:w="7380" w:type="dxa"/>
            <w:tcBorders>
              <w:bottom w:val="single" w:sz="6" w:space="0" w:color="000000"/>
              <w:right w:val="single" w:sz="6" w:space="0" w:color="000000"/>
            </w:tcBorders>
            <w:shd w:val="clear" w:color="auto" w:fill="A6A6A6"/>
          </w:tcPr>
          <w:p w14:paraId="24D6232D" w14:textId="77777777" w:rsidR="00245300" w:rsidRPr="00EC20A0" w:rsidRDefault="00245300">
            <w:pPr>
              <w:pStyle w:val="TableParagraph"/>
              <w:spacing w:before="266"/>
              <w:rPr>
                <w:b/>
                <w:sz w:val="24"/>
              </w:rPr>
            </w:pPr>
          </w:p>
          <w:p w14:paraId="24D6232E" w14:textId="77777777" w:rsidR="00245300" w:rsidRPr="00EC20A0" w:rsidRDefault="00F17249">
            <w:pPr>
              <w:pStyle w:val="TableParagraph"/>
              <w:ind w:left="123"/>
              <w:rPr>
                <w:b/>
                <w:sz w:val="24"/>
              </w:rPr>
            </w:pPr>
            <w:r w:rsidRPr="00EC20A0">
              <w:rPr>
                <w:b/>
                <w:sz w:val="24"/>
              </w:rPr>
              <w:t>Section</w:t>
            </w:r>
            <w:r w:rsidRPr="00EC20A0">
              <w:rPr>
                <w:b/>
                <w:spacing w:val="-3"/>
                <w:sz w:val="24"/>
              </w:rPr>
              <w:t xml:space="preserve"> </w:t>
            </w:r>
            <w:r w:rsidRPr="00EC20A0">
              <w:rPr>
                <w:b/>
                <w:sz w:val="24"/>
              </w:rPr>
              <w:t>I:</w:t>
            </w:r>
            <w:r w:rsidRPr="00EC20A0">
              <w:rPr>
                <w:b/>
                <w:spacing w:val="-4"/>
                <w:sz w:val="24"/>
              </w:rPr>
              <w:t xml:space="preserve"> </w:t>
            </w:r>
            <w:r w:rsidRPr="00EC20A0">
              <w:rPr>
                <w:b/>
                <w:sz w:val="24"/>
              </w:rPr>
              <w:t>Planning</w:t>
            </w:r>
            <w:r w:rsidRPr="00EC20A0">
              <w:rPr>
                <w:b/>
                <w:spacing w:val="-2"/>
                <w:sz w:val="24"/>
              </w:rPr>
              <w:t xml:space="preserve"> </w:t>
            </w:r>
            <w:r w:rsidRPr="00EC20A0">
              <w:rPr>
                <w:b/>
                <w:sz w:val="24"/>
              </w:rPr>
              <w:t>and</w:t>
            </w:r>
            <w:r w:rsidRPr="00EC20A0">
              <w:rPr>
                <w:b/>
                <w:spacing w:val="-3"/>
                <w:sz w:val="24"/>
              </w:rPr>
              <w:t xml:space="preserve"> </w:t>
            </w:r>
            <w:r w:rsidRPr="00EC20A0">
              <w:rPr>
                <w:b/>
                <w:sz w:val="24"/>
              </w:rPr>
              <w:t>Risk</w:t>
            </w:r>
            <w:r w:rsidRPr="00EC20A0">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24D6232F" w14:textId="77777777" w:rsidR="00245300" w:rsidRPr="00EC20A0" w:rsidRDefault="00F17249">
            <w:pPr>
              <w:pStyle w:val="TableParagraph"/>
              <w:spacing w:before="120"/>
              <w:ind w:left="138" w:right="201"/>
              <w:jc w:val="both"/>
              <w:rPr>
                <w:b/>
              </w:rPr>
            </w:pPr>
            <w:r w:rsidRPr="00EC20A0">
              <w:rPr>
                <w:b/>
                <w:spacing w:val="-4"/>
              </w:rPr>
              <w:t xml:space="preserve">Yes, No,* </w:t>
            </w:r>
            <w:r w:rsidRPr="00EC20A0">
              <w:rPr>
                <w:b/>
                <w:spacing w:val="-4"/>
              </w:rPr>
              <w:t>N/A</w:t>
            </w:r>
          </w:p>
        </w:tc>
        <w:tc>
          <w:tcPr>
            <w:tcW w:w="1309" w:type="dxa"/>
            <w:tcBorders>
              <w:left w:val="single" w:sz="6" w:space="0" w:color="000000"/>
              <w:bottom w:val="single" w:sz="6" w:space="0" w:color="000000"/>
            </w:tcBorders>
            <w:shd w:val="clear" w:color="auto" w:fill="A6A6A6"/>
          </w:tcPr>
          <w:p w14:paraId="24D62330" w14:textId="77777777" w:rsidR="00245300" w:rsidRPr="00EC20A0" w:rsidRDefault="00245300">
            <w:pPr>
              <w:pStyle w:val="TableParagraph"/>
              <w:rPr>
                <w:b/>
              </w:rPr>
            </w:pPr>
          </w:p>
          <w:p w14:paraId="24D62331" w14:textId="77777777" w:rsidR="00245300" w:rsidRPr="00EC20A0" w:rsidRDefault="00245300">
            <w:pPr>
              <w:pStyle w:val="TableParagraph"/>
              <w:spacing w:before="120"/>
              <w:rPr>
                <w:b/>
              </w:rPr>
            </w:pPr>
          </w:p>
          <w:p w14:paraId="24D62332" w14:textId="77777777" w:rsidR="00245300" w:rsidRPr="00EC20A0" w:rsidRDefault="00F17249">
            <w:pPr>
              <w:pStyle w:val="TableParagraph"/>
              <w:ind w:left="214"/>
              <w:rPr>
                <w:b/>
              </w:rPr>
            </w:pPr>
            <w:r w:rsidRPr="00EC20A0">
              <w:rPr>
                <w:b/>
              </w:rPr>
              <w:t>Doc.</w:t>
            </w:r>
            <w:r w:rsidRPr="00EC20A0">
              <w:rPr>
                <w:b/>
                <w:spacing w:val="-6"/>
              </w:rPr>
              <w:t xml:space="preserve"> </w:t>
            </w:r>
            <w:r w:rsidRPr="00EC20A0">
              <w:rPr>
                <w:b/>
                <w:spacing w:val="-4"/>
              </w:rPr>
              <w:t>ref.</w:t>
            </w:r>
          </w:p>
        </w:tc>
      </w:tr>
      <w:tr w:rsidR="00245300" w:rsidRPr="00EC20A0" w14:paraId="24D62337" w14:textId="77777777">
        <w:trPr>
          <w:trHeight w:val="1697"/>
        </w:trPr>
        <w:tc>
          <w:tcPr>
            <w:tcW w:w="7380" w:type="dxa"/>
            <w:tcBorders>
              <w:top w:val="single" w:sz="6" w:space="0" w:color="000000"/>
              <w:bottom w:val="single" w:sz="6" w:space="0" w:color="000000"/>
              <w:right w:val="single" w:sz="6" w:space="0" w:color="000000"/>
            </w:tcBorders>
          </w:tcPr>
          <w:p w14:paraId="24D62334" w14:textId="77777777" w:rsidR="00245300" w:rsidRPr="00EC20A0" w:rsidRDefault="00F17249">
            <w:pPr>
              <w:pStyle w:val="TableParagraph"/>
              <w:spacing w:before="121"/>
              <w:ind w:left="843" w:right="141" w:hanging="360"/>
            </w:pPr>
            <w:r w:rsidRPr="00EC20A0">
              <w:t>9.</w:t>
            </w:r>
            <w:r w:rsidRPr="00EC20A0">
              <w:rPr>
                <w:spacing w:val="80"/>
              </w:rPr>
              <w:t xml:space="preserve"> </w:t>
            </w:r>
            <w:r w:rsidRPr="00EC20A0">
              <w:t>If expertise in a field other than accounting or auditing is necessary</w:t>
            </w:r>
            <w:r w:rsidRPr="00EC20A0">
              <w:rPr>
                <w:spacing w:val="-6"/>
              </w:rPr>
              <w:t xml:space="preserve"> </w:t>
            </w:r>
            <w:r w:rsidRPr="00EC20A0">
              <w:t>to</w:t>
            </w:r>
            <w:r w:rsidRPr="00EC20A0">
              <w:rPr>
                <w:spacing w:val="-5"/>
              </w:rPr>
              <w:t xml:space="preserve"> </w:t>
            </w:r>
            <w:r w:rsidRPr="00EC20A0">
              <w:t>obtain</w:t>
            </w:r>
            <w:r w:rsidRPr="00EC20A0">
              <w:rPr>
                <w:spacing w:val="-5"/>
              </w:rPr>
              <w:t xml:space="preserve"> </w:t>
            </w:r>
            <w:r w:rsidRPr="00EC20A0">
              <w:t>sufficient</w:t>
            </w:r>
            <w:r w:rsidRPr="00EC20A0">
              <w:rPr>
                <w:spacing w:val="-5"/>
              </w:rPr>
              <w:t xml:space="preserve"> </w:t>
            </w:r>
            <w:r w:rsidRPr="00EC20A0">
              <w:t>appropriate</w:t>
            </w:r>
            <w:r w:rsidRPr="00EC20A0">
              <w:rPr>
                <w:spacing w:val="-5"/>
              </w:rPr>
              <w:t xml:space="preserve"> </w:t>
            </w:r>
            <w:r w:rsidRPr="00EC20A0">
              <w:t>audit</w:t>
            </w:r>
            <w:r w:rsidRPr="00EC20A0">
              <w:rPr>
                <w:spacing w:val="-6"/>
              </w:rPr>
              <w:t xml:space="preserve"> </w:t>
            </w:r>
            <w:r w:rsidRPr="00EC20A0">
              <w:t>evidence,</w:t>
            </w:r>
            <w:r w:rsidRPr="00EC20A0">
              <w:rPr>
                <w:spacing w:val="-5"/>
              </w:rPr>
              <w:t xml:space="preserve"> </w:t>
            </w:r>
            <w:r w:rsidRPr="00EC20A0">
              <w:t>did</w:t>
            </w:r>
            <w:r w:rsidRPr="00EC20A0">
              <w:rPr>
                <w:spacing w:val="-5"/>
              </w:rPr>
              <w:t xml:space="preserve"> </w:t>
            </w:r>
            <w:r w:rsidRPr="00EC20A0">
              <w:t xml:space="preserve">the auditor plan to use the work of an auditor’s specialist (e.g., information technology specialist, </w:t>
            </w:r>
            <w:r w:rsidRPr="00EC20A0">
              <w:t>actuaries, or those who value assets)? (FAM 620) Also, see section III of this checklist.</w:t>
            </w:r>
          </w:p>
        </w:tc>
        <w:tc>
          <w:tcPr>
            <w:tcW w:w="810" w:type="dxa"/>
            <w:tcBorders>
              <w:top w:val="single" w:sz="6" w:space="0" w:color="000000"/>
              <w:left w:val="single" w:sz="6" w:space="0" w:color="000000"/>
              <w:bottom w:val="single" w:sz="6" w:space="0" w:color="000000"/>
              <w:right w:val="single" w:sz="6" w:space="0" w:color="000000"/>
            </w:tcBorders>
          </w:tcPr>
          <w:p w14:paraId="24D62335" w14:textId="77777777" w:rsidR="00245300" w:rsidRPr="00EC20A0" w:rsidRDefault="00245300">
            <w:pPr>
              <w:pStyle w:val="TableParagraph"/>
              <w:rPr>
                <w:sz w:val="20"/>
              </w:rPr>
            </w:pPr>
          </w:p>
        </w:tc>
        <w:tc>
          <w:tcPr>
            <w:tcW w:w="1309" w:type="dxa"/>
            <w:tcBorders>
              <w:top w:val="single" w:sz="6" w:space="0" w:color="000000"/>
              <w:left w:val="single" w:sz="6" w:space="0" w:color="000000"/>
              <w:bottom w:val="single" w:sz="6" w:space="0" w:color="000000"/>
            </w:tcBorders>
          </w:tcPr>
          <w:p w14:paraId="24D62336" w14:textId="77777777" w:rsidR="00245300" w:rsidRPr="00EC20A0" w:rsidRDefault="00245300">
            <w:pPr>
              <w:pStyle w:val="TableParagraph"/>
              <w:rPr>
                <w:sz w:val="20"/>
              </w:rPr>
            </w:pPr>
          </w:p>
        </w:tc>
      </w:tr>
      <w:tr w:rsidR="00245300" w:rsidRPr="00EC20A0" w14:paraId="24D6233B" w14:textId="77777777">
        <w:trPr>
          <w:trHeight w:val="998"/>
        </w:trPr>
        <w:tc>
          <w:tcPr>
            <w:tcW w:w="7380" w:type="dxa"/>
            <w:tcBorders>
              <w:top w:val="single" w:sz="6" w:space="0" w:color="000000"/>
              <w:bottom w:val="single" w:sz="6" w:space="0" w:color="000000"/>
              <w:right w:val="single" w:sz="6" w:space="0" w:color="000000"/>
            </w:tcBorders>
          </w:tcPr>
          <w:p w14:paraId="24D62338" w14:textId="77777777" w:rsidR="00245300" w:rsidRPr="00EC20A0" w:rsidRDefault="00F17249">
            <w:pPr>
              <w:pStyle w:val="TableParagraph"/>
              <w:spacing w:before="119"/>
              <w:ind w:left="843" w:right="364" w:hanging="360"/>
              <w:rPr>
                <w:sz w:val="14"/>
              </w:rPr>
            </w:pPr>
            <w:r w:rsidRPr="00EC20A0">
              <w:t>10. In addition to the questions above, answer the following regarding</w:t>
            </w:r>
            <w:r w:rsidRPr="00EC20A0">
              <w:rPr>
                <w:spacing w:val="-6"/>
              </w:rPr>
              <w:t xml:space="preserve"> </w:t>
            </w:r>
            <w:r w:rsidRPr="00EC20A0">
              <w:t>whether</w:t>
            </w:r>
            <w:r w:rsidRPr="00EC20A0">
              <w:rPr>
                <w:spacing w:val="-6"/>
              </w:rPr>
              <w:t xml:space="preserve"> </w:t>
            </w:r>
            <w:r w:rsidRPr="00EC20A0">
              <w:t>the</w:t>
            </w:r>
            <w:r w:rsidRPr="00EC20A0">
              <w:rPr>
                <w:spacing w:val="-6"/>
              </w:rPr>
              <w:t xml:space="preserve"> </w:t>
            </w:r>
            <w:r w:rsidRPr="00EC20A0">
              <w:t>auditor</w:t>
            </w:r>
            <w:r w:rsidRPr="00EC20A0">
              <w:rPr>
                <w:spacing w:val="-6"/>
              </w:rPr>
              <w:t xml:space="preserve"> </w:t>
            </w:r>
            <w:r w:rsidRPr="00EC20A0">
              <w:t>achieved</w:t>
            </w:r>
            <w:r w:rsidRPr="00EC20A0">
              <w:rPr>
                <w:spacing w:val="-6"/>
              </w:rPr>
              <w:t xml:space="preserve"> </w:t>
            </w:r>
            <w:r w:rsidRPr="00EC20A0">
              <w:t>the</w:t>
            </w:r>
            <w:r w:rsidRPr="00EC20A0">
              <w:rPr>
                <w:spacing w:val="-6"/>
              </w:rPr>
              <w:t xml:space="preserve"> </w:t>
            </w:r>
            <w:r w:rsidRPr="00EC20A0">
              <w:t>following</w:t>
            </w:r>
            <w:r w:rsidRPr="00EC20A0">
              <w:rPr>
                <w:spacing w:val="-6"/>
              </w:rPr>
              <w:t xml:space="preserve"> </w:t>
            </w:r>
            <w:r w:rsidRPr="00EC20A0">
              <w:t>objectives (AU-C 200.23):</w:t>
            </w:r>
            <w:hyperlink w:anchor="_bookmark230" w:history="1">
              <w:r w:rsidRPr="00EC20A0">
                <w:rPr>
                  <w:position w:val="7"/>
                  <w:sz w:val="14"/>
                </w:rPr>
                <w:t>15</w:t>
              </w:r>
            </w:hyperlink>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339" w14:textId="77777777" w:rsidR="00245300" w:rsidRPr="00EC20A0" w:rsidRDefault="00245300">
            <w:pPr>
              <w:pStyle w:val="TableParagraph"/>
              <w:rPr>
                <w:sz w:val="20"/>
              </w:rPr>
            </w:pPr>
          </w:p>
        </w:tc>
        <w:tc>
          <w:tcPr>
            <w:tcW w:w="1309" w:type="dxa"/>
            <w:tcBorders>
              <w:top w:val="single" w:sz="6" w:space="0" w:color="000000"/>
              <w:left w:val="single" w:sz="6" w:space="0" w:color="000000"/>
              <w:bottom w:val="single" w:sz="6" w:space="0" w:color="000000"/>
            </w:tcBorders>
            <w:shd w:val="clear" w:color="auto" w:fill="BEBEBE"/>
          </w:tcPr>
          <w:p w14:paraId="24D6233A" w14:textId="77777777" w:rsidR="00245300" w:rsidRPr="00EC20A0" w:rsidRDefault="00245300">
            <w:pPr>
              <w:pStyle w:val="TableParagraph"/>
              <w:rPr>
                <w:sz w:val="20"/>
              </w:rPr>
            </w:pPr>
          </w:p>
        </w:tc>
      </w:tr>
      <w:tr w:rsidR="00245300" w:rsidRPr="00EC20A0" w14:paraId="24D62341" w14:textId="77777777">
        <w:trPr>
          <w:trHeight w:val="2541"/>
        </w:trPr>
        <w:tc>
          <w:tcPr>
            <w:tcW w:w="7380" w:type="dxa"/>
            <w:tcBorders>
              <w:top w:val="single" w:sz="6" w:space="0" w:color="000000"/>
              <w:bottom w:val="single" w:sz="6" w:space="0" w:color="000000"/>
              <w:right w:val="single" w:sz="6" w:space="0" w:color="000000"/>
            </w:tcBorders>
          </w:tcPr>
          <w:p w14:paraId="24D6233C" w14:textId="77777777" w:rsidR="00245300" w:rsidRPr="00EC20A0" w:rsidRDefault="00F17249">
            <w:pPr>
              <w:pStyle w:val="TableParagraph"/>
              <w:numPr>
                <w:ilvl w:val="0"/>
                <w:numId w:val="56"/>
              </w:numPr>
              <w:tabs>
                <w:tab w:val="left" w:pos="1248"/>
              </w:tabs>
              <w:spacing w:before="119"/>
              <w:ind w:left="1248" w:hanging="359"/>
            </w:pPr>
            <w:r w:rsidRPr="00EC20A0">
              <w:t>For</w:t>
            </w:r>
            <w:r w:rsidRPr="00EC20A0">
              <w:rPr>
                <w:spacing w:val="-5"/>
              </w:rPr>
              <w:t xml:space="preserve"> </w:t>
            </w:r>
            <w:r w:rsidRPr="00EC20A0">
              <w:t>a</w:t>
            </w:r>
            <w:r w:rsidRPr="00EC20A0">
              <w:rPr>
                <w:spacing w:val="-4"/>
              </w:rPr>
              <w:t xml:space="preserve"> </w:t>
            </w:r>
            <w:r w:rsidRPr="00EC20A0">
              <w:t>new</w:t>
            </w:r>
            <w:r w:rsidRPr="00EC20A0">
              <w:rPr>
                <w:spacing w:val="-4"/>
              </w:rPr>
              <w:t xml:space="preserve"> </w:t>
            </w:r>
            <w:r w:rsidRPr="00EC20A0">
              <w:t>or</w:t>
            </w:r>
            <w:r w:rsidRPr="00EC20A0">
              <w:rPr>
                <w:spacing w:val="-4"/>
              </w:rPr>
              <w:t xml:space="preserve"> </w:t>
            </w:r>
            <w:r w:rsidRPr="00EC20A0">
              <w:t>existing</w:t>
            </w:r>
            <w:r w:rsidRPr="00EC20A0">
              <w:rPr>
                <w:spacing w:val="-5"/>
              </w:rPr>
              <w:t xml:space="preserve"> </w:t>
            </w:r>
            <w:r w:rsidRPr="00EC20A0">
              <w:t>audit</w:t>
            </w:r>
            <w:r w:rsidRPr="00EC20A0">
              <w:rPr>
                <w:spacing w:val="-4"/>
              </w:rPr>
              <w:t xml:space="preserve"> </w:t>
            </w:r>
            <w:r w:rsidRPr="00EC20A0">
              <w:t>client,</w:t>
            </w:r>
            <w:r w:rsidRPr="00EC20A0">
              <w:rPr>
                <w:spacing w:val="-4"/>
              </w:rPr>
              <w:t xml:space="preserve"> </w:t>
            </w:r>
            <w:r w:rsidRPr="00EC20A0">
              <w:t>did</w:t>
            </w:r>
            <w:r w:rsidRPr="00EC20A0">
              <w:rPr>
                <w:spacing w:val="-5"/>
              </w:rPr>
              <w:t xml:space="preserve"> </w:t>
            </w:r>
            <w:r w:rsidRPr="00EC20A0">
              <w:t>the</w:t>
            </w:r>
            <w:r w:rsidRPr="00EC20A0">
              <w:rPr>
                <w:spacing w:val="-4"/>
              </w:rPr>
              <w:t xml:space="preserve"> </w:t>
            </w:r>
            <w:r w:rsidRPr="00EC20A0">
              <w:rPr>
                <w:spacing w:val="-2"/>
              </w:rPr>
              <w:t>auditor:</w:t>
            </w:r>
          </w:p>
          <w:p w14:paraId="24D6233D" w14:textId="77777777" w:rsidR="00245300" w:rsidRPr="00EC20A0" w:rsidRDefault="00F17249">
            <w:pPr>
              <w:pStyle w:val="TableParagraph"/>
              <w:numPr>
                <w:ilvl w:val="1"/>
                <w:numId w:val="56"/>
              </w:numPr>
              <w:tabs>
                <w:tab w:val="left" w:pos="1610"/>
              </w:tabs>
              <w:spacing w:before="240"/>
              <w:ind w:right="750"/>
            </w:pPr>
            <w:r w:rsidRPr="00EC20A0">
              <w:t>establish</w:t>
            </w:r>
            <w:r w:rsidRPr="00EC20A0">
              <w:rPr>
                <w:spacing w:val="-7"/>
              </w:rPr>
              <w:t xml:space="preserve"> </w:t>
            </w:r>
            <w:r w:rsidRPr="00EC20A0">
              <w:t>whether</w:t>
            </w:r>
            <w:r w:rsidRPr="00EC20A0">
              <w:rPr>
                <w:spacing w:val="-6"/>
              </w:rPr>
              <w:t xml:space="preserve"> </w:t>
            </w:r>
            <w:r w:rsidRPr="00EC20A0">
              <w:t>the</w:t>
            </w:r>
            <w:r w:rsidRPr="00EC20A0">
              <w:rPr>
                <w:spacing w:val="-6"/>
              </w:rPr>
              <w:t xml:space="preserve"> </w:t>
            </w:r>
            <w:r w:rsidRPr="00EC20A0">
              <w:t>preconditions</w:t>
            </w:r>
            <w:r w:rsidRPr="00EC20A0">
              <w:rPr>
                <w:spacing w:val="-6"/>
              </w:rPr>
              <w:t xml:space="preserve"> </w:t>
            </w:r>
            <w:r w:rsidRPr="00EC20A0">
              <w:t>for</w:t>
            </w:r>
            <w:r w:rsidRPr="00EC20A0">
              <w:rPr>
                <w:spacing w:val="-6"/>
              </w:rPr>
              <w:t xml:space="preserve"> </w:t>
            </w:r>
            <w:r w:rsidRPr="00EC20A0">
              <w:t>an</w:t>
            </w:r>
            <w:r w:rsidRPr="00EC20A0">
              <w:rPr>
                <w:spacing w:val="-6"/>
              </w:rPr>
              <w:t xml:space="preserve"> </w:t>
            </w:r>
            <w:r w:rsidRPr="00EC20A0">
              <w:t>audit</w:t>
            </w:r>
            <w:r w:rsidRPr="00EC20A0">
              <w:rPr>
                <w:spacing w:val="-7"/>
              </w:rPr>
              <w:t xml:space="preserve"> </w:t>
            </w:r>
            <w:r w:rsidRPr="00EC20A0">
              <w:t>are present and</w:t>
            </w:r>
          </w:p>
          <w:p w14:paraId="24D6233E" w14:textId="77777777" w:rsidR="00245300" w:rsidRPr="00EC20A0" w:rsidRDefault="00F17249">
            <w:pPr>
              <w:pStyle w:val="TableParagraph"/>
              <w:numPr>
                <w:ilvl w:val="1"/>
                <w:numId w:val="56"/>
              </w:numPr>
              <w:tabs>
                <w:tab w:val="left" w:pos="1609"/>
              </w:tabs>
              <w:spacing w:before="241" w:line="237" w:lineRule="auto"/>
              <w:ind w:left="1609" w:right="211"/>
              <w:rPr>
                <w:sz w:val="24"/>
              </w:rPr>
            </w:pPr>
            <w:r w:rsidRPr="00EC20A0">
              <w:t>confirm</w:t>
            </w:r>
            <w:r w:rsidRPr="00EC20A0">
              <w:rPr>
                <w:spacing w:val="-5"/>
              </w:rPr>
              <w:t xml:space="preserve"> </w:t>
            </w:r>
            <w:r w:rsidRPr="00EC20A0">
              <w:t>that</w:t>
            </w:r>
            <w:r w:rsidRPr="00EC20A0">
              <w:rPr>
                <w:spacing w:val="-5"/>
              </w:rPr>
              <w:t xml:space="preserve"> </w:t>
            </w:r>
            <w:r w:rsidRPr="00EC20A0">
              <w:t>a</w:t>
            </w:r>
            <w:r w:rsidRPr="00EC20A0">
              <w:rPr>
                <w:spacing w:val="-5"/>
              </w:rPr>
              <w:t xml:space="preserve"> </w:t>
            </w:r>
            <w:r w:rsidRPr="00EC20A0">
              <w:t>common</w:t>
            </w:r>
            <w:r w:rsidRPr="00EC20A0">
              <w:rPr>
                <w:spacing w:val="-5"/>
              </w:rPr>
              <w:t xml:space="preserve"> </w:t>
            </w:r>
            <w:r w:rsidRPr="00EC20A0">
              <w:t>understanding</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terms</w:t>
            </w:r>
            <w:r w:rsidRPr="00EC20A0">
              <w:rPr>
                <w:spacing w:val="-5"/>
              </w:rPr>
              <w:t xml:space="preserve"> </w:t>
            </w:r>
            <w:r w:rsidRPr="00EC20A0">
              <w:t>of</w:t>
            </w:r>
            <w:r w:rsidRPr="00EC20A0">
              <w:rPr>
                <w:spacing w:val="-5"/>
              </w:rPr>
              <w:t xml:space="preserve"> </w:t>
            </w:r>
            <w:r w:rsidRPr="00EC20A0">
              <w:t xml:space="preserve">the audit engagement exists between the </w:t>
            </w:r>
            <w:r w:rsidRPr="00EC20A0">
              <w:t>auditor and management</w:t>
            </w:r>
            <w:r w:rsidRPr="00EC20A0">
              <w:rPr>
                <w:spacing w:val="-3"/>
              </w:rPr>
              <w:t xml:space="preserve"> </w:t>
            </w:r>
            <w:r w:rsidRPr="00EC20A0">
              <w:t>and,</w:t>
            </w:r>
            <w:r w:rsidRPr="00EC20A0">
              <w:rPr>
                <w:spacing w:val="-3"/>
              </w:rPr>
              <w:t xml:space="preserve"> </w:t>
            </w:r>
            <w:r w:rsidRPr="00EC20A0">
              <w:t>when</w:t>
            </w:r>
            <w:r w:rsidRPr="00EC20A0">
              <w:rPr>
                <w:spacing w:val="-3"/>
              </w:rPr>
              <w:t xml:space="preserve"> </w:t>
            </w:r>
            <w:r w:rsidRPr="00EC20A0">
              <w:t>appropriate,</w:t>
            </w:r>
            <w:r w:rsidRPr="00EC20A0">
              <w:rPr>
                <w:spacing w:val="-4"/>
              </w:rPr>
              <w:t xml:space="preserve"> </w:t>
            </w:r>
            <w:r w:rsidRPr="00EC20A0">
              <w:t>those</w:t>
            </w:r>
            <w:r w:rsidRPr="00EC20A0">
              <w:rPr>
                <w:spacing w:val="-3"/>
              </w:rPr>
              <w:t xml:space="preserve"> </w:t>
            </w:r>
            <w:r w:rsidRPr="00EC20A0">
              <w:t>charged</w:t>
            </w:r>
            <w:r w:rsidRPr="00EC20A0">
              <w:rPr>
                <w:spacing w:val="-3"/>
              </w:rPr>
              <w:t xml:space="preserve"> </w:t>
            </w:r>
            <w:r w:rsidRPr="00EC20A0">
              <w:t>with governance? (AU-C 210)</w:t>
            </w:r>
          </w:p>
        </w:tc>
        <w:tc>
          <w:tcPr>
            <w:tcW w:w="810" w:type="dxa"/>
            <w:tcBorders>
              <w:top w:val="single" w:sz="6" w:space="0" w:color="000000"/>
              <w:left w:val="single" w:sz="6" w:space="0" w:color="000000"/>
              <w:bottom w:val="single" w:sz="6" w:space="0" w:color="000000"/>
              <w:right w:val="single" w:sz="6" w:space="0" w:color="000000"/>
            </w:tcBorders>
          </w:tcPr>
          <w:p w14:paraId="24D6233F" w14:textId="77777777" w:rsidR="00245300" w:rsidRPr="00EC20A0" w:rsidRDefault="00245300">
            <w:pPr>
              <w:pStyle w:val="TableParagraph"/>
              <w:rPr>
                <w:sz w:val="20"/>
              </w:rPr>
            </w:pPr>
          </w:p>
        </w:tc>
        <w:tc>
          <w:tcPr>
            <w:tcW w:w="1309" w:type="dxa"/>
            <w:tcBorders>
              <w:top w:val="single" w:sz="6" w:space="0" w:color="000000"/>
              <w:left w:val="single" w:sz="6" w:space="0" w:color="000000"/>
              <w:bottom w:val="single" w:sz="6" w:space="0" w:color="000000"/>
            </w:tcBorders>
          </w:tcPr>
          <w:p w14:paraId="24D62340" w14:textId="77777777" w:rsidR="00245300" w:rsidRPr="00EC20A0" w:rsidRDefault="00245300">
            <w:pPr>
              <w:pStyle w:val="TableParagraph"/>
              <w:rPr>
                <w:sz w:val="20"/>
              </w:rPr>
            </w:pPr>
          </w:p>
        </w:tc>
      </w:tr>
      <w:tr w:rsidR="00245300" w:rsidRPr="00EC20A0" w14:paraId="24D62345" w14:textId="77777777">
        <w:trPr>
          <w:trHeight w:val="998"/>
        </w:trPr>
        <w:tc>
          <w:tcPr>
            <w:tcW w:w="7380" w:type="dxa"/>
            <w:tcBorders>
              <w:top w:val="single" w:sz="6" w:space="0" w:color="000000"/>
              <w:bottom w:val="single" w:sz="6" w:space="0" w:color="000000"/>
              <w:right w:val="single" w:sz="6" w:space="0" w:color="000000"/>
            </w:tcBorders>
          </w:tcPr>
          <w:p w14:paraId="24D62342" w14:textId="77777777" w:rsidR="00245300" w:rsidRPr="00EC20A0" w:rsidRDefault="00F17249">
            <w:pPr>
              <w:pStyle w:val="TableParagraph"/>
              <w:spacing w:before="119"/>
              <w:ind w:left="1249" w:right="768" w:hanging="361"/>
              <w:jc w:val="both"/>
            </w:pPr>
            <w:r w:rsidRPr="00EC20A0">
              <w:t>b.</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identify</w:t>
            </w:r>
            <w:r w:rsidRPr="00EC20A0">
              <w:rPr>
                <w:spacing w:val="-4"/>
              </w:rPr>
              <w:t xml:space="preserve"> </w:t>
            </w:r>
            <w:r w:rsidRPr="00EC20A0">
              <w:t>and</w:t>
            </w:r>
            <w:r w:rsidRPr="00EC20A0">
              <w:rPr>
                <w:spacing w:val="-4"/>
              </w:rPr>
              <w:t xml:space="preserve"> </w:t>
            </w:r>
            <w:r w:rsidRPr="00EC20A0">
              <w:t>assess</w:t>
            </w:r>
            <w:r w:rsidRPr="00EC20A0">
              <w:rPr>
                <w:spacing w:val="-4"/>
              </w:rPr>
              <w:t xml:space="preserve"> </w:t>
            </w:r>
            <w:r w:rsidRPr="00EC20A0">
              <w:t>the</w:t>
            </w:r>
            <w:r w:rsidRPr="00EC20A0">
              <w:rPr>
                <w:spacing w:val="-4"/>
              </w:rPr>
              <w:t xml:space="preserve"> </w:t>
            </w:r>
            <w:r w:rsidRPr="00EC20A0">
              <w:t>risks</w:t>
            </w:r>
            <w:r w:rsidRPr="00EC20A0">
              <w:rPr>
                <w:spacing w:val="-4"/>
              </w:rPr>
              <w:t xml:space="preserve"> </w:t>
            </w:r>
            <w:r w:rsidRPr="00EC20A0">
              <w:t>of</w:t>
            </w:r>
            <w:r w:rsidRPr="00EC20A0">
              <w:rPr>
                <w:spacing w:val="-4"/>
              </w:rPr>
              <w:t xml:space="preserve"> </w:t>
            </w:r>
            <w:r w:rsidRPr="00EC20A0">
              <w:t>material misstatement of the financial statements due to fraud? (AU-C 240.10a)</w:t>
            </w:r>
          </w:p>
        </w:tc>
        <w:tc>
          <w:tcPr>
            <w:tcW w:w="810" w:type="dxa"/>
            <w:tcBorders>
              <w:top w:val="single" w:sz="6" w:space="0" w:color="000000"/>
              <w:left w:val="single" w:sz="6" w:space="0" w:color="000000"/>
              <w:bottom w:val="single" w:sz="6" w:space="0" w:color="000000"/>
              <w:right w:val="single" w:sz="6" w:space="0" w:color="000000"/>
            </w:tcBorders>
          </w:tcPr>
          <w:p w14:paraId="24D62343" w14:textId="77777777" w:rsidR="00245300" w:rsidRPr="00EC20A0" w:rsidRDefault="00245300">
            <w:pPr>
              <w:pStyle w:val="TableParagraph"/>
              <w:rPr>
                <w:sz w:val="20"/>
              </w:rPr>
            </w:pPr>
          </w:p>
        </w:tc>
        <w:tc>
          <w:tcPr>
            <w:tcW w:w="1309" w:type="dxa"/>
            <w:tcBorders>
              <w:top w:val="single" w:sz="6" w:space="0" w:color="000000"/>
              <w:left w:val="single" w:sz="6" w:space="0" w:color="000000"/>
              <w:bottom w:val="single" w:sz="6" w:space="0" w:color="000000"/>
            </w:tcBorders>
          </w:tcPr>
          <w:p w14:paraId="24D62344" w14:textId="77777777" w:rsidR="00245300" w:rsidRPr="00EC20A0" w:rsidRDefault="00245300">
            <w:pPr>
              <w:pStyle w:val="TableParagraph"/>
              <w:rPr>
                <w:sz w:val="20"/>
              </w:rPr>
            </w:pPr>
          </w:p>
        </w:tc>
      </w:tr>
      <w:tr w:rsidR="00245300" w:rsidRPr="00EC20A0" w14:paraId="24D6234B" w14:textId="77777777">
        <w:trPr>
          <w:trHeight w:val="2794"/>
        </w:trPr>
        <w:tc>
          <w:tcPr>
            <w:tcW w:w="7380" w:type="dxa"/>
            <w:tcBorders>
              <w:top w:val="single" w:sz="6" w:space="0" w:color="000000"/>
              <w:right w:val="single" w:sz="6" w:space="0" w:color="000000"/>
            </w:tcBorders>
          </w:tcPr>
          <w:p w14:paraId="24D62346" w14:textId="77777777" w:rsidR="00245300" w:rsidRPr="00EC20A0" w:rsidRDefault="00F17249">
            <w:pPr>
              <w:pStyle w:val="TableParagraph"/>
              <w:numPr>
                <w:ilvl w:val="0"/>
                <w:numId w:val="55"/>
              </w:numPr>
              <w:tabs>
                <w:tab w:val="left" w:pos="1248"/>
              </w:tabs>
              <w:spacing w:before="119"/>
              <w:ind w:left="1248" w:hanging="359"/>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347" w14:textId="77777777" w:rsidR="00245300" w:rsidRPr="00EC20A0" w:rsidRDefault="00F17249">
            <w:pPr>
              <w:pStyle w:val="TableParagraph"/>
              <w:numPr>
                <w:ilvl w:val="1"/>
                <w:numId w:val="55"/>
              </w:numPr>
              <w:tabs>
                <w:tab w:val="left" w:pos="1608"/>
              </w:tabs>
              <w:spacing w:before="240"/>
              <w:ind w:right="161"/>
            </w:pPr>
            <w:r w:rsidRPr="00EC20A0">
              <w:t>communicate</w:t>
            </w:r>
            <w:r w:rsidRPr="00EC20A0">
              <w:rPr>
                <w:spacing w:val="-6"/>
              </w:rPr>
              <w:t xml:space="preserve"> </w:t>
            </w:r>
            <w:r w:rsidRPr="00EC20A0">
              <w:t>clearly</w:t>
            </w:r>
            <w:r w:rsidRPr="00EC20A0">
              <w:rPr>
                <w:spacing w:val="-6"/>
              </w:rPr>
              <w:t xml:space="preserve"> </w:t>
            </w:r>
            <w:r w:rsidRPr="00EC20A0">
              <w:t>with</w:t>
            </w:r>
            <w:r w:rsidRPr="00EC20A0">
              <w:rPr>
                <w:spacing w:val="-6"/>
              </w:rPr>
              <w:t xml:space="preserve"> </w:t>
            </w:r>
            <w:r w:rsidRPr="00EC20A0">
              <w:t>those</w:t>
            </w:r>
            <w:r w:rsidRPr="00EC20A0">
              <w:rPr>
                <w:spacing w:val="-6"/>
              </w:rPr>
              <w:t xml:space="preserve"> </w:t>
            </w:r>
            <w:r w:rsidRPr="00EC20A0">
              <w:t>charged</w:t>
            </w:r>
            <w:r w:rsidRPr="00EC20A0">
              <w:rPr>
                <w:spacing w:val="-6"/>
              </w:rPr>
              <w:t xml:space="preserve"> </w:t>
            </w:r>
            <w:r w:rsidRPr="00EC20A0">
              <w:t>with</w:t>
            </w:r>
            <w:r w:rsidRPr="00EC20A0">
              <w:rPr>
                <w:spacing w:val="-6"/>
              </w:rPr>
              <w:t xml:space="preserve"> </w:t>
            </w:r>
            <w:r w:rsidRPr="00EC20A0">
              <w:t>governance the responsibilities of the auditor regarding the financial statement audit and an overview of the planned scope and timing of the audit, including significant risks identified by the auditor, and</w:t>
            </w:r>
          </w:p>
          <w:p w14:paraId="24D62348" w14:textId="77777777" w:rsidR="00245300" w:rsidRPr="00EC20A0" w:rsidRDefault="00F17249">
            <w:pPr>
              <w:pStyle w:val="TableParagraph"/>
              <w:numPr>
                <w:ilvl w:val="1"/>
                <w:numId w:val="55"/>
              </w:numPr>
              <w:tabs>
                <w:tab w:val="left" w:pos="1609"/>
              </w:tabs>
              <w:spacing w:before="243" w:line="235" w:lineRule="auto"/>
              <w:ind w:left="1609" w:right="371"/>
              <w:rPr>
                <w:sz w:val="24"/>
              </w:rPr>
            </w:pPr>
            <w:r w:rsidRPr="00EC20A0">
              <w:t>obtain</w:t>
            </w:r>
            <w:r w:rsidRPr="00EC20A0">
              <w:rPr>
                <w:spacing w:val="-7"/>
              </w:rPr>
              <w:t xml:space="preserve"> </w:t>
            </w:r>
            <w:r w:rsidRPr="00EC20A0">
              <w:t>from</w:t>
            </w:r>
            <w:r w:rsidRPr="00EC20A0">
              <w:rPr>
                <w:spacing w:val="-8"/>
              </w:rPr>
              <w:t xml:space="preserve"> </w:t>
            </w:r>
            <w:r w:rsidRPr="00EC20A0">
              <w:t>those</w:t>
            </w:r>
            <w:r w:rsidRPr="00EC20A0">
              <w:rPr>
                <w:spacing w:val="-7"/>
              </w:rPr>
              <w:t xml:space="preserve"> </w:t>
            </w:r>
            <w:r w:rsidRPr="00EC20A0">
              <w:t>charged</w:t>
            </w:r>
            <w:r w:rsidRPr="00EC20A0">
              <w:rPr>
                <w:spacing w:val="-7"/>
              </w:rPr>
              <w:t xml:space="preserve"> </w:t>
            </w:r>
            <w:r w:rsidRPr="00EC20A0">
              <w:t>with</w:t>
            </w:r>
            <w:r w:rsidRPr="00EC20A0">
              <w:rPr>
                <w:spacing w:val="-7"/>
              </w:rPr>
              <w:t xml:space="preserve"> </w:t>
            </w:r>
            <w:r w:rsidRPr="00EC20A0">
              <w:t>governance</w:t>
            </w:r>
            <w:r w:rsidRPr="00EC20A0">
              <w:rPr>
                <w:spacing w:val="-7"/>
              </w:rPr>
              <w:t xml:space="preserve"> </w:t>
            </w:r>
            <w:r w:rsidRPr="00EC20A0">
              <w:t>information relevant to the audit? (AU-C 260)</w:t>
            </w:r>
          </w:p>
        </w:tc>
        <w:tc>
          <w:tcPr>
            <w:tcW w:w="810" w:type="dxa"/>
            <w:tcBorders>
              <w:top w:val="single" w:sz="6" w:space="0" w:color="000000"/>
              <w:left w:val="single" w:sz="6" w:space="0" w:color="000000"/>
              <w:right w:val="single" w:sz="6" w:space="0" w:color="000000"/>
            </w:tcBorders>
          </w:tcPr>
          <w:p w14:paraId="24D62349" w14:textId="77777777" w:rsidR="00245300" w:rsidRPr="00EC20A0" w:rsidRDefault="00245300">
            <w:pPr>
              <w:pStyle w:val="TableParagraph"/>
              <w:rPr>
                <w:sz w:val="20"/>
              </w:rPr>
            </w:pPr>
          </w:p>
        </w:tc>
        <w:tc>
          <w:tcPr>
            <w:tcW w:w="1309" w:type="dxa"/>
            <w:tcBorders>
              <w:top w:val="single" w:sz="6" w:space="0" w:color="000000"/>
              <w:left w:val="single" w:sz="6" w:space="0" w:color="000000"/>
            </w:tcBorders>
          </w:tcPr>
          <w:p w14:paraId="24D6234A" w14:textId="77777777" w:rsidR="00245300" w:rsidRPr="00EC20A0" w:rsidRDefault="00245300">
            <w:pPr>
              <w:pStyle w:val="TableParagraph"/>
              <w:rPr>
                <w:sz w:val="20"/>
              </w:rPr>
            </w:pPr>
          </w:p>
        </w:tc>
      </w:tr>
    </w:tbl>
    <w:p w14:paraId="24D6234C" w14:textId="77777777" w:rsidR="00245300" w:rsidRPr="00EC20A0" w:rsidRDefault="00245300">
      <w:pPr>
        <w:pStyle w:val="BodyText"/>
        <w:rPr>
          <w:b/>
          <w:sz w:val="20"/>
        </w:rPr>
      </w:pPr>
    </w:p>
    <w:p w14:paraId="24D6234D" w14:textId="77777777" w:rsidR="00245300" w:rsidRPr="00EC20A0" w:rsidRDefault="00245300">
      <w:pPr>
        <w:pStyle w:val="BodyText"/>
        <w:rPr>
          <w:b/>
          <w:sz w:val="20"/>
        </w:rPr>
      </w:pPr>
    </w:p>
    <w:p w14:paraId="24D6234E" w14:textId="77777777" w:rsidR="00245300" w:rsidRPr="00EC20A0" w:rsidRDefault="00245300">
      <w:pPr>
        <w:pStyle w:val="BodyText"/>
        <w:rPr>
          <w:b/>
          <w:sz w:val="20"/>
        </w:rPr>
      </w:pPr>
    </w:p>
    <w:p w14:paraId="24D6234F" w14:textId="77777777" w:rsidR="00245300" w:rsidRPr="00EC20A0" w:rsidRDefault="00245300">
      <w:pPr>
        <w:pStyle w:val="BodyText"/>
        <w:rPr>
          <w:b/>
          <w:sz w:val="20"/>
        </w:rPr>
      </w:pPr>
    </w:p>
    <w:p w14:paraId="24D62350" w14:textId="77777777" w:rsidR="00245300" w:rsidRPr="00EC20A0" w:rsidRDefault="00245300">
      <w:pPr>
        <w:pStyle w:val="BodyText"/>
        <w:rPr>
          <w:b/>
          <w:sz w:val="20"/>
        </w:rPr>
      </w:pPr>
    </w:p>
    <w:p w14:paraId="24D62351" w14:textId="77777777" w:rsidR="00245300" w:rsidRPr="00EC20A0" w:rsidRDefault="00245300">
      <w:pPr>
        <w:pStyle w:val="BodyText"/>
        <w:rPr>
          <w:b/>
          <w:sz w:val="20"/>
        </w:rPr>
      </w:pPr>
    </w:p>
    <w:p w14:paraId="24D62352" w14:textId="77777777" w:rsidR="00245300" w:rsidRPr="00EC20A0" w:rsidRDefault="00F17249">
      <w:pPr>
        <w:pStyle w:val="BodyText"/>
        <w:spacing w:before="22"/>
        <w:rPr>
          <w:b/>
          <w:sz w:val="20"/>
        </w:rPr>
      </w:pPr>
      <w:r w:rsidRPr="00EC20A0">
        <w:rPr>
          <w:noProof/>
        </w:rPr>
        <mc:AlternateContent>
          <mc:Choice Requires="wps">
            <w:drawing>
              <wp:anchor distT="0" distB="0" distL="0" distR="0" simplePos="0" relativeHeight="487730176" behindDoc="1" locked="0" layoutInCell="1" allowOverlap="1" wp14:anchorId="24D62CE1" wp14:editId="24D62CE2">
                <wp:simplePos x="0" y="0"/>
                <wp:positionH relativeFrom="page">
                  <wp:posOffset>914400</wp:posOffset>
                </wp:positionH>
                <wp:positionV relativeFrom="paragraph">
                  <wp:posOffset>175588</wp:posOffset>
                </wp:positionV>
                <wp:extent cx="1828800" cy="5715"/>
                <wp:effectExtent l="0" t="0" r="0" b="0"/>
                <wp:wrapTopAndBottom/>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9E4147" id="Graphic 984" o:spid="_x0000_s1026" style="position:absolute;margin-left:1in;margin-top:13.85pt;width:2in;height:.45pt;z-index:-155863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B8YCkk3wAAAAkBAAAPAAAAAAAAAAAAAAAAAHgEAABkcnMvZG93bnJldi54&#10;bWxQSwUGAAAAAAQABADzAAAAhAUAAAAA&#10;" path="m1828800,l,,,5333r1828800,l1828800,xe" fillcolor="black" stroked="f">
                <v:path arrowok="t"/>
                <w10:wrap type="topAndBottom" anchorx="page"/>
              </v:shape>
            </w:pict>
          </mc:Fallback>
        </mc:AlternateContent>
      </w:r>
    </w:p>
    <w:p w14:paraId="24D62353" w14:textId="77777777" w:rsidR="00245300" w:rsidRPr="00EC20A0" w:rsidRDefault="00F17249">
      <w:pPr>
        <w:spacing w:before="200" w:line="242" w:lineRule="auto"/>
        <w:ind w:left="880" w:right="1154" w:hanging="1"/>
        <w:rPr>
          <w:sz w:val="18"/>
        </w:rPr>
      </w:pPr>
      <w:bookmarkStart w:id="414" w:name="_bookmark230"/>
      <w:bookmarkEnd w:id="414"/>
      <w:r w:rsidRPr="00EC20A0">
        <w:rPr>
          <w:position w:val="7"/>
          <w:sz w:val="14"/>
        </w:rPr>
        <w:t>15</w:t>
      </w:r>
      <w:r w:rsidRPr="00EC20A0">
        <w:rPr>
          <w:sz w:val="18"/>
        </w:rPr>
        <w:t>AU-C</w:t>
      </w:r>
      <w:r w:rsidRPr="00EC20A0">
        <w:rPr>
          <w:spacing w:val="-2"/>
          <w:sz w:val="18"/>
        </w:rPr>
        <w:t xml:space="preserve"> </w:t>
      </w:r>
      <w:r w:rsidRPr="00EC20A0">
        <w:rPr>
          <w:sz w:val="18"/>
        </w:rPr>
        <w:t>200.23</w:t>
      </w:r>
      <w:r w:rsidRPr="00EC20A0">
        <w:rPr>
          <w:spacing w:val="-3"/>
          <w:sz w:val="18"/>
        </w:rPr>
        <w:t xml:space="preserve"> </w:t>
      </w:r>
      <w:r w:rsidRPr="00EC20A0">
        <w:rPr>
          <w:sz w:val="18"/>
        </w:rPr>
        <w:t>states</w:t>
      </w:r>
      <w:r w:rsidRPr="00EC20A0">
        <w:rPr>
          <w:spacing w:val="-2"/>
          <w:sz w:val="18"/>
        </w:rPr>
        <w:t xml:space="preserve"> </w:t>
      </w:r>
      <w:r w:rsidRPr="00EC20A0">
        <w:rPr>
          <w:sz w:val="18"/>
        </w:rPr>
        <w:t>that</w:t>
      </w:r>
      <w:r w:rsidRPr="00EC20A0">
        <w:rPr>
          <w:spacing w:val="-2"/>
          <w:sz w:val="18"/>
        </w:rPr>
        <w:t xml:space="preserve"> </w:t>
      </w:r>
      <w:r w:rsidRPr="00EC20A0">
        <w:rPr>
          <w:sz w:val="18"/>
        </w:rPr>
        <w:t>the</w:t>
      </w:r>
      <w:r w:rsidRPr="00EC20A0">
        <w:rPr>
          <w:spacing w:val="-1"/>
          <w:sz w:val="18"/>
        </w:rPr>
        <w:t xml:space="preserve"> </w:t>
      </w:r>
      <w:r w:rsidRPr="00EC20A0">
        <w:rPr>
          <w:sz w:val="18"/>
        </w:rPr>
        <w:t>auditor</w:t>
      </w:r>
      <w:r w:rsidRPr="00EC20A0">
        <w:rPr>
          <w:spacing w:val="-1"/>
          <w:sz w:val="18"/>
        </w:rPr>
        <w:t xml:space="preserve"> </w:t>
      </w:r>
      <w:r w:rsidRPr="00EC20A0">
        <w:rPr>
          <w:sz w:val="18"/>
        </w:rPr>
        <w:t>should</w:t>
      </w:r>
      <w:r w:rsidRPr="00EC20A0">
        <w:rPr>
          <w:spacing w:val="-3"/>
          <w:sz w:val="18"/>
        </w:rPr>
        <w:t xml:space="preserve"> </w:t>
      </w:r>
      <w:r w:rsidRPr="00EC20A0">
        <w:rPr>
          <w:sz w:val="18"/>
        </w:rPr>
        <w:t>use</w:t>
      </w:r>
      <w:r w:rsidRPr="00EC20A0">
        <w:rPr>
          <w:spacing w:val="-2"/>
          <w:sz w:val="18"/>
        </w:rPr>
        <w:t xml:space="preserve"> </w:t>
      </w:r>
      <w:r w:rsidRPr="00EC20A0">
        <w:rPr>
          <w:sz w:val="18"/>
        </w:rPr>
        <w:t>the</w:t>
      </w:r>
      <w:r w:rsidRPr="00EC20A0">
        <w:rPr>
          <w:spacing w:val="-3"/>
          <w:sz w:val="18"/>
        </w:rPr>
        <w:t xml:space="preserve"> </w:t>
      </w:r>
      <w:r w:rsidRPr="00EC20A0">
        <w:rPr>
          <w:sz w:val="18"/>
        </w:rPr>
        <w:t>objectives</w:t>
      </w:r>
      <w:r w:rsidRPr="00EC20A0">
        <w:rPr>
          <w:spacing w:val="-1"/>
          <w:sz w:val="18"/>
        </w:rPr>
        <w:t xml:space="preserve"> </w:t>
      </w:r>
      <w:r w:rsidRPr="00EC20A0">
        <w:rPr>
          <w:sz w:val="18"/>
        </w:rPr>
        <w:t>stated</w:t>
      </w:r>
      <w:r w:rsidRPr="00EC20A0">
        <w:rPr>
          <w:spacing w:val="-1"/>
          <w:sz w:val="18"/>
        </w:rPr>
        <w:t xml:space="preserve"> </w:t>
      </w:r>
      <w:r w:rsidRPr="00EC20A0">
        <w:rPr>
          <w:sz w:val="18"/>
        </w:rPr>
        <w:t>in</w:t>
      </w:r>
      <w:r w:rsidRPr="00EC20A0">
        <w:rPr>
          <w:spacing w:val="-1"/>
          <w:sz w:val="18"/>
        </w:rPr>
        <w:t xml:space="preserve"> </w:t>
      </w:r>
      <w:r w:rsidRPr="00EC20A0">
        <w:rPr>
          <w:sz w:val="18"/>
        </w:rPr>
        <w:t>individual</w:t>
      </w:r>
      <w:r w:rsidRPr="00EC20A0">
        <w:rPr>
          <w:spacing w:val="-7"/>
          <w:sz w:val="18"/>
        </w:rPr>
        <w:t xml:space="preserve"> </w:t>
      </w:r>
      <w:r w:rsidRPr="00EC20A0">
        <w:rPr>
          <w:sz w:val="18"/>
        </w:rPr>
        <w:t>AU-C sections in</w:t>
      </w:r>
      <w:r w:rsidRPr="00EC20A0">
        <w:rPr>
          <w:spacing w:val="-3"/>
          <w:sz w:val="18"/>
        </w:rPr>
        <w:t xml:space="preserve"> </w:t>
      </w:r>
      <w:r w:rsidRPr="00EC20A0">
        <w:rPr>
          <w:sz w:val="18"/>
        </w:rPr>
        <w:t xml:space="preserve">planning and performing the audit, considering the </w:t>
      </w:r>
      <w:r w:rsidRPr="00EC20A0">
        <w:rPr>
          <w:sz w:val="18"/>
        </w:rPr>
        <w:t>interrelationships within U.S. generally accepted auditing standards to (a) determine</w:t>
      </w:r>
      <w:r w:rsidRPr="00EC20A0">
        <w:rPr>
          <w:spacing w:val="-6"/>
          <w:sz w:val="18"/>
        </w:rPr>
        <w:t xml:space="preserve"> </w:t>
      </w:r>
      <w:r w:rsidRPr="00EC20A0">
        <w:rPr>
          <w:sz w:val="18"/>
        </w:rPr>
        <w:t>whether</w:t>
      </w:r>
      <w:r w:rsidRPr="00EC20A0">
        <w:rPr>
          <w:spacing w:val="-5"/>
          <w:sz w:val="18"/>
        </w:rPr>
        <w:t xml:space="preserve"> </w:t>
      </w:r>
      <w:r w:rsidRPr="00EC20A0">
        <w:rPr>
          <w:sz w:val="18"/>
        </w:rPr>
        <w:t>any</w:t>
      </w:r>
      <w:r w:rsidRPr="00EC20A0">
        <w:rPr>
          <w:spacing w:val="-6"/>
          <w:sz w:val="18"/>
        </w:rPr>
        <w:t xml:space="preserve"> </w:t>
      </w:r>
      <w:r w:rsidRPr="00EC20A0">
        <w:rPr>
          <w:sz w:val="18"/>
        </w:rPr>
        <w:t>audit</w:t>
      </w:r>
      <w:r w:rsidRPr="00EC20A0">
        <w:rPr>
          <w:spacing w:val="-5"/>
          <w:sz w:val="18"/>
        </w:rPr>
        <w:t xml:space="preserve"> </w:t>
      </w:r>
      <w:r w:rsidRPr="00EC20A0">
        <w:rPr>
          <w:sz w:val="18"/>
        </w:rPr>
        <w:t>procedures</w:t>
      </w:r>
      <w:r w:rsidRPr="00EC20A0">
        <w:rPr>
          <w:spacing w:val="-6"/>
          <w:sz w:val="18"/>
        </w:rPr>
        <w:t xml:space="preserve"> </w:t>
      </w:r>
      <w:r w:rsidRPr="00EC20A0">
        <w:rPr>
          <w:sz w:val="18"/>
        </w:rPr>
        <w:t>in</w:t>
      </w:r>
      <w:r w:rsidRPr="00EC20A0">
        <w:rPr>
          <w:spacing w:val="-5"/>
          <w:sz w:val="18"/>
        </w:rPr>
        <w:t xml:space="preserve"> </w:t>
      </w:r>
      <w:r w:rsidRPr="00EC20A0">
        <w:rPr>
          <w:sz w:val="18"/>
        </w:rPr>
        <w:t>addition</w:t>
      </w:r>
      <w:r w:rsidRPr="00EC20A0">
        <w:rPr>
          <w:spacing w:val="-6"/>
          <w:sz w:val="18"/>
        </w:rPr>
        <w:t xml:space="preserve"> </w:t>
      </w:r>
      <w:r w:rsidRPr="00EC20A0">
        <w:rPr>
          <w:sz w:val="18"/>
        </w:rPr>
        <w:t>to</w:t>
      </w:r>
      <w:r w:rsidRPr="00EC20A0">
        <w:rPr>
          <w:spacing w:val="-5"/>
          <w:sz w:val="18"/>
        </w:rPr>
        <w:t xml:space="preserve"> </w:t>
      </w:r>
      <w:r w:rsidRPr="00EC20A0">
        <w:rPr>
          <w:sz w:val="18"/>
        </w:rPr>
        <w:t>those</w:t>
      </w:r>
      <w:r w:rsidRPr="00EC20A0">
        <w:rPr>
          <w:spacing w:val="-4"/>
          <w:sz w:val="18"/>
        </w:rPr>
        <w:t xml:space="preserve"> </w:t>
      </w:r>
      <w:r w:rsidRPr="00EC20A0">
        <w:rPr>
          <w:sz w:val="18"/>
        </w:rPr>
        <w:t>required</w:t>
      </w:r>
      <w:r w:rsidRPr="00EC20A0">
        <w:rPr>
          <w:spacing w:val="-6"/>
          <w:sz w:val="18"/>
        </w:rPr>
        <w:t xml:space="preserve"> </w:t>
      </w:r>
      <w:r w:rsidRPr="00EC20A0">
        <w:rPr>
          <w:sz w:val="18"/>
        </w:rPr>
        <w:t>by</w:t>
      </w:r>
      <w:r w:rsidRPr="00EC20A0">
        <w:rPr>
          <w:spacing w:val="-5"/>
          <w:sz w:val="18"/>
        </w:rPr>
        <w:t xml:space="preserve"> </w:t>
      </w:r>
      <w:r w:rsidRPr="00EC20A0">
        <w:rPr>
          <w:sz w:val="18"/>
        </w:rPr>
        <w:t>individual</w:t>
      </w:r>
      <w:r w:rsidRPr="00EC20A0">
        <w:rPr>
          <w:spacing w:val="-11"/>
          <w:sz w:val="18"/>
        </w:rPr>
        <w:t xml:space="preserve"> </w:t>
      </w:r>
      <w:r w:rsidRPr="00EC20A0">
        <w:rPr>
          <w:sz w:val="18"/>
        </w:rPr>
        <w:t>AU-C</w:t>
      </w:r>
      <w:r w:rsidRPr="00EC20A0">
        <w:rPr>
          <w:spacing w:val="-4"/>
          <w:sz w:val="18"/>
        </w:rPr>
        <w:t xml:space="preserve"> </w:t>
      </w:r>
      <w:r w:rsidRPr="00EC20A0">
        <w:rPr>
          <w:sz w:val="18"/>
        </w:rPr>
        <w:t>sections</w:t>
      </w:r>
      <w:r w:rsidRPr="00EC20A0">
        <w:rPr>
          <w:spacing w:val="-2"/>
          <w:sz w:val="18"/>
        </w:rPr>
        <w:t xml:space="preserve"> </w:t>
      </w:r>
      <w:r w:rsidRPr="00EC20A0">
        <w:rPr>
          <w:sz w:val="18"/>
        </w:rPr>
        <w:t>are</w:t>
      </w:r>
      <w:r w:rsidRPr="00EC20A0">
        <w:rPr>
          <w:spacing w:val="-3"/>
          <w:sz w:val="18"/>
        </w:rPr>
        <w:t xml:space="preserve"> </w:t>
      </w:r>
      <w:r w:rsidRPr="00EC20A0">
        <w:rPr>
          <w:sz w:val="18"/>
        </w:rPr>
        <w:t>necessary</w:t>
      </w:r>
      <w:r w:rsidRPr="00EC20A0">
        <w:rPr>
          <w:spacing w:val="-2"/>
          <w:sz w:val="18"/>
        </w:rPr>
        <w:t xml:space="preserve"> </w:t>
      </w:r>
      <w:r w:rsidRPr="00EC20A0">
        <w:rPr>
          <w:sz w:val="18"/>
        </w:rPr>
        <w:t>in pursuance</w:t>
      </w:r>
      <w:r w:rsidRPr="00EC20A0">
        <w:rPr>
          <w:spacing w:val="38"/>
          <w:sz w:val="18"/>
        </w:rPr>
        <w:t xml:space="preserve"> </w:t>
      </w:r>
      <w:r w:rsidRPr="00EC20A0">
        <w:rPr>
          <w:sz w:val="18"/>
        </w:rPr>
        <w:t xml:space="preserve">of the objectives stated in each AU-C section and (b) </w:t>
      </w:r>
      <w:r w:rsidRPr="00EC20A0">
        <w:rPr>
          <w:sz w:val="18"/>
        </w:rPr>
        <w:t>evaluate</w:t>
      </w:r>
      <w:r w:rsidRPr="00EC20A0">
        <w:rPr>
          <w:spacing w:val="-6"/>
          <w:sz w:val="18"/>
        </w:rPr>
        <w:t xml:space="preserve"> </w:t>
      </w:r>
      <w:r w:rsidRPr="00EC20A0">
        <w:rPr>
          <w:sz w:val="18"/>
        </w:rPr>
        <w:t>whether</w:t>
      </w:r>
      <w:r w:rsidRPr="00EC20A0">
        <w:rPr>
          <w:spacing w:val="-6"/>
          <w:sz w:val="18"/>
        </w:rPr>
        <w:t xml:space="preserve"> </w:t>
      </w:r>
      <w:r w:rsidRPr="00EC20A0">
        <w:rPr>
          <w:sz w:val="18"/>
        </w:rPr>
        <w:t>sufficient</w:t>
      </w:r>
      <w:r w:rsidRPr="00EC20A0">
        <w:rPr>
          <w:spacing w:val="-5"/>
          <w:sz w:val="18"/>
        </w:rPr>
        <w:t xml:space="preserve"> </w:t>
      </w:r>
      <w:r w:rsidRPr="00EC20A0">
        <w:rPr>
          <w:sz w:val="18"/>
        </w:rPr>
        <w:t>appropriate</w:t>
      </w:r>
      <w:r w:rsidRPr="00EC20A0">
        <w:rPr>
          <w:spacing w:val="-5"/>
          <w:sz w:val="18"/>
        </w:rPr>
        <w:t xml:space="preserve"> </w:t>
      </w:r>
      <w:r w:rsidRPr="00EC20A0">
        <w:rPr>
          <w:sz w:val="18"/>
        </w:rPr>
        <w:t>audit evidence has been obtained.</w:t>
      </w:r>
    </w:p>
    <w:p w14:paraId="24D62354" w14:textId="77777777" w:rsidR="00245300" w:rsidRPr="00EC20A0" w:rsidRDefault="00245300">
      <w:pPr>
        <w:spacing w:line="242" w:lineRule="auto"/>
        <w:rPr>
          <w:sz w:val="18"/>
        </w:rPr>
        <w:sectPr w:rsidR="00245300" w:rsidRPr="00EC20A0">
          <w:pgSz w:w="12240" w:h="15840"/>
          <w:pgMar w:top="1340" w:right="460" w:bottom="940" w:left="560" w:header="721" w:footer="757" w:gutter="0"/>
          <w:cols w:space="720"/>
        </w:sectPr>
      </w:pPr>
    </w:p>
    <w:p w14:paraId="24D62355" w14:textId="77777777" w:rsidR="00245300" w:rsidRPr="00EC20A0" w:rsidRDefault="00245300">
      <w:pPr>
        <w:pStyle w:val="BodyText"/>
        <w:spacing w:before="9"/>
        <w:rPr>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245300" w:rsidRPr="00EC20A0" w14:paraId="24D6235C" w14:textId="77777777">
        <w:trPr>
          <w:trHeight w:val="937"/>
        </w:trPr>
        <w:tc>
          <w:tcPr>
            <w:tcW w:w="7380" w:type="dxa"/>
            <w:tcBorders>
              <w:bottom w:val="single" w:sz="6" w:space="0" w:color="000000"/>
              <w:right w:val="single" w:sz="6" w:space="0" w:color="000000"/>
            </w:tcBorders>
            <w:shd w:val="clear" w:color="auto" w:fill="A6A6A6"/>
          </w:tcPr>
          <w:p w14:paraId="24D62356" w14:textId="77777777" w:rsidR="00245300" w:rsidRPr="00EC20A0" w:rsidRDefault="00245300">
            <w:pPr>
              <w:pStyle w:val="TableParagraph"/>
              <w:spacing w:before="266"/>
              <w:rPr>
                <w:sz w:val="24"/>
              </w:rPr>
            </w:pPr>
          </w:p>
          <w:p w14:paraId="24D62357" w14:textId="77777777" w:rsidR="00245300" w:rsidRPr="00EC20A0" w:rsidRDefault="00F17249">
            <w:pPr>
              <w:pStyle w:val="TableParagraph"/>
              <w:ind w:left="123"/>
              <w:rPr>
                <w:b/>
                <w:sz w:val="24"/>
              </w:rPr>
            </w:pPr>
            <w:r w:rsidRPr="00EC20A0">
              <w:rPr>
                <w:b/>
                <w:sz w:val="24"/>
              </w:rPr>
              <w:t>Section</w:t>
            </w:r>
            <w:r w:rsidRPr="00EC20A0">
              <w:rPr>
                <w:b/>
                <w:spacing w:val="-3"/>
                <w:sz w:val="24"/>
              </w:rPr>
              <w:t xml:space="preserve"> </w:t>
            </w:r>
            <w:r w:rsidRPr="00EC20A0">
              <w:rPr>
                <w:b/>
                <w:sz w:val="24"/>
              </w:rPr>
              <w:t>I:</w:t>
            </w:r>
            <w:r w:rsidRPr="00EC20A0">
              <w:rPr>
                <w:b/>
                <w:spacing w:val="-4"/>
                <w:sz w:val="24"/>
              </w:rPr>
              <w:t xml:space="preserve"> </w:t>
            </w:r>
            <w:r w:rsidRPr="00EC20A0">
              <w:rPr>
                <w:b/>
                <w:sz w:val="24"/>
              </w:rPr>
              <w:t>Planning</w:t>
            </w:r>
            <w:r w:rsidRPr="00EC20A0">
              <w:rPr>
                <w:b/>
                <w:spacing w:val="-2"/>
                <w:sz w:val="24"/>
              </w:rPr>
              <w:t xml:space="preserve"> </w:t>
            </w:r>
            <w:r w:rsidRPr="00EC20A0">
              <w:rPr>
                <w:b/>
                <w:sz w:val="24"/>
              </w:rPr>
              <w:t>and</w:t>
            </w:r>
            <w:r w:rsidRPr="00EC20A0">
              <w:rPr>
                <w:b/>
                <w:spacing w:val="-3"/>
                <w:sz w:val="24"/>
              </w:rPr>
              <w:t xml:space="preserve"> </w:t>
            </w:r>
            <w:r w:rsidRPr="00EC20A0">
              <w:rPr>
                <w:b/>
                <w:sz w:val="24"/>
              </w:rPr>
              <w:t>Risk</w:t>
            </w:r>
            <w:r w:rsidRPr="00EC20A0">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24D62358" w14:textId="77777777" w:rsidR="00245300" w:rsidRPr="00EC20A0" w:rsidRDefault="00F17249">
            <w:pPr>
              <w:pStyle w:val="TableParagraph"/>
              <w:spacing w:before="120"/>
              <w:ind w:left="138" w:right="201"/>
              <w:jc w:val="both"/>
              <w:rPr>
                <w:b/>
              </w:rPr>
            </w:pPr>
            <w:r w:rsidRPr="00EC20A0">
              <w:rPr>
                <w:b/>
                <w:spacing w:val="-4"/>
              </w:rPr>
              <w:t>Yes, No,* N/A</w:t>
            </w:r>
          </w:p>
        </w:tc>
        <w:tc>
          <w:tcPr>
            <w:tcW w:w="1309" w:type="dxa"/>
            <w:tcBorders>
              <w:left w:val="single" w:sz="6" w:space="0" w:color="000000"/>
              <w:bottom w:val="single" w:sz="6" w:space="0" w:color="000000"/>
            </w:tcBorders>
            <w:shd w:val="clear" w:color="auto" w:fill="A6A6A6"/>
          </w:tcPr>
          <w:p w14:paraId="24D62359" w14:textId="77777777" w:rsidR="00245300" w:rsidRPr="00EC20A0" w:rsidRDefault="00245300">
            <w:pPr>
              <w:pStyle w:val="TableParagraph"/>
            </w:pPr>
          </w:p>
          <w:p w14:paraId="24D6235A" w14:textId="77777777" w:rsidR="00245300" w:rsidRPr="00EC20A0" w:rsidRDefault="00245300">
            <w:pPr>
              <w:pStyle w:val="TableParagraph"/>
              <w:spacing w:before="120"/>
            </w:pPr>
          </w:p>
          <w:p w14:paraId="24D6235B" w14:textId="77777777" w:rsidR="00245300" w:rsidRPr="00EC20A0" w:rsidRDefault="00F17249">
            <w:pPr>
              <w:pStyle w:val="TableParagraph"/>
              <w:ind w:left="214"/>
              <w:rPr>
                <w:b/>
              </w:rPr>
            </w:pPr>
            <w:r w:rsidRPr="00EC20A0">
              <w:rPr>
                <w:b/>
              </w:rPr>
              <w:t>Doc.</w:t>
            </w:r>
            <w:r w:rsidRPr="00EC20A0">
              <w:rPr>
                <w:b/>
                <w:spacing w:val="-6"/>
              </w:rPr>
              <w:t xml:space="preserve"> </w:t>
            </w:r>
            <w:r w:rsidRPr="00EC20A0">
              <w:rPr>
                <w:b/>
                <w:spacing w:val="-4"/>
              </w:rPr>
              <w:t>ref.</w:t>
            </w:r>
          </w:p>
        </w:tc>
      </w:tr>
      <w:tr w:rsidR="00245300" w:rsidRPr="00EC20A0" w14:paraId="24D62360" w14:textId="77777777">
        <w:trPr>
          <w:trHeight w:val="2263"/>
        </w:trPr>
        <w:tc>
          <w:tcPr>
            <w:tcW w:w="7380" w:type="dxa"/>
            <w:tcBorders>
              <w:top w:val="single" w:sz="6" w:space="0" w:color="000000"/>
              <w:bottom w:val="single" w:sz="6" w:space="0" w:color="000000"/>
              <w:right w:val="single" w:sz="6" w:space="0" w:color="000000"/>
            </w:tcBorders>
          </w:tcPr>
          <w:p w14:paraId="24D6235D" w14:textId="77777777" w:rsidR="00245300" w:rsidRPr="00EC20A0" w:rsidRDefault="00F17249">
            <w:pPr>
              <w:pStyle w:val="TableParagraph"/>
              <w:spacing w:before="121"/>
              <w:ind w:left="1247" w:hanging="359"/>
            </w:pPr>
            <w:r w:rsidRPr="00EC20A0">
              <w:t>d.</w:t>
            </w:r>
            <w:r w:rsidRPr="00EC20A0">
              <w:rPr>
                <w:spacing w:val="80"/>
              </w:rPr>
              <w:t xml:space="preserve"> </w:t>
            </w:r>
            <w:r w:rsidRPr="00EC20A0">
              <w:t>Did the auditor identify and assess the risks of material misstatement,</w:t>
            </w:r>
            <w:r w:rsidRPr="00EC20A0">
              <w:rPr>
                <w:spacing w:val="-3"/>
              </w:rPr>
              <w:t xml:space="preserve"> </w:t>
            </w:r>
            <w:r w:rsidRPr="00EC20A0">
              <w:t>whether</w:t>
            </w:r>
            <w:r w:rsidRPr="00EC20A0">
              <w:rPr>
                <w:spacing w:val="-3"/>
              </w:rPr>
              <w:t xml:space="preserve"> </w:t>
            </w:r>
            <w:r w:rsidRPr="00EC20A0">
              <w:t>due</w:t>
            </w:r>
            <w:r w:rsidRPr="00EC20A0">
              <w:rPr>
                <w:spacing w:val="-3"/>
              </w:rPr>
              <w:t xml:space="preserve"> </w:t>
            </w:r>
            <w:r w:rsidRPr="00EC20A0">
              <w:t>to</w:t>
            </w:r>
            <w:r w:rsidRPr="00EC20A0">
              <w:rPr>
                <w:spacing w:val="-3"/>
              </w:rPr>
              <w:t xml:space="preserve"> </w:t>
            </w:r>
            <w:r w:rsidRPr="00EC20A0">
              <w:t>fraud</w:t>
            </w:r>
            <w:r w:rsidRPr="00EC20A0">
              <w:rPr>
                <w:spacing w:val="-4"/>
              </w:rPr>
              <w:t xml:space="preserve"> </w:t>
            </w:r>
            <w:r w:rsidRPr="00EC20A0">
              <w:t>or</w:t>
            </w:r>
            <w:r w:rsidRPr="00EC20A0">
              <w:rPr>
                <w:spacing w:val="-3"/>
              </w:rPr>
              <w:t xml:space="preserve"> </w:t>
            </w:r>
            <w:r w:rsidRPr="00EC20A0">
              <w:t>error,</w:t>
            </w:r>
            <w:r w:rsidRPr="00EC20A0">
              <w:rPr>
                <w:spacing w:val="-3"/>
              </w:rPr>
              <w:t xml:space="preserve"> </w:t>
            </w:r>
            <w:r w:rsidRPr="00EC20A0">
              <w:t>at</w:t>
            </w:r>
            <w:r w:rsidRPr="00EC20A0">
              <w:rPr>
                <w:spacing w:val="-3"/>
              </w:rPr>
              <w:t xml:space="preserve"> </w:t>
            </w:r>
            <w:r w:rsidRPr="00EC20A0">
              <w:t>the</w:t>
            </w:r>
            <w:r w:rsidRPr="00EC20A0">
              <w:rPr>
                <w:spacing w:val="-3"/>
              </w:rPr>
              <w:t xml:space="preserve"> </w:t>
            </w:r>
            <w:r w:rsidRPr="00EC20A0">
              <w:t>financial statement and assertion levels through understanding the entity</w:t>
            </w:r>
            <w:r w:rsidRPr="00EC20A0">
              <w:rPr>
                <w:spacing w:val="-5"/>
              </w:rPr>
              <w:t xml:space="preserve"> </w:t>
            </w:r>
            <w:r w:rsidRPr="00EC20A0">
              <w:t>and</w:t>
            </w:r>
            <w:r w:rsidRPr="00EC20A0">
              <w:rPr>
                <w:spacing w:val="-5"/>
              </w:rPr>
              <w:t xml:space="preserve"> </w:t>
            </w:r>
            <w:r w:rsidRPr="00EC20A0">
              <w:t>its</w:t>
            </w:r>
            <w:r w:rsidRPr="00EC20A0">
              <w:rPr>
                <w:spacing w:val="-5"/>
              </w:rPr>
              <w:t xml:space="preserve"> </w:t>
            </w:r>
            <w:r w:rsidRPr="00EC20A0">
              <w:t>environment,</w:t>
            </w:r>
            <w:r w:rsidRPr="00EC20A0">
              <w:rPr>
                <w:spacing w:val="-5"/>
              </w:rPr>
              <w:t xml:space="preserve"> </w:t>
            </w:r>
            <w:r w:rsidRPr="00EC20A0">
              <w:t>the</w:t>
            </w:r>
            <w:r w:rsidRPr="00EC20A0">
              <w:rPr>
                <w:spacing w:val="-5"/>
              </w:rPr>
              <w:t xml:space="preserve"> </w:t>
            </w:r>
            <w:r w:rsidRPr="00EC20A0">
              <w:t>applicable</w:t>
            </w:r>
            <w:r w:rsidRPr="00EC20A0">
              <w:rPr>
                <w:spacing w:val="-5"/>
              </w:rPr>
              <w:t xml:space="preserve"> </w:t>
            </w:r>
            <w:r w:rsidRPr="00EC20A0">
              <w:t>financial</w:t>
            </w:r>
            <w:r w:rsidRPr="00EC20A0">
              <w:rPr>
                <w:spacing w:val="-5"/>
              </w:rPr>
              <w:t xml:space="preserve"> </w:t>
            </w:r>
            <w:r w:rsidRPr="00EC20A0">
              <w:t>reporting framework (generally U.S. GAAP), and the entity’s internal control, thereby providing a basis for designing and implementing responses to the assessed risks of material misstatement? (AU-C 315)</w:t>
            </w:r>
          </w:p>
        </w:tc>
        <w:tc>
          <w:tcPr>
            <w:tcW w:w="810" w:type="dxa"/>
            <w:tcBorders>
              <w:top w:val="single" w:sz="6" w:space="0" w:color="000000"/>
              <w:left w:val="single" w:sz="6" w:space="0" w:color="000000"/>
              <w:bottom w:val="single" w:sz="6" w:space="0" w:color="000000"/>
              <w:right w:val="single" w:sz="6" w:space="0" w:color="000000"/>
            </w:tcBorders>
          </w:tcPr>
          <w:p w14:paraId="24D6235E"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5F" w14:textId="77777777" w:rsidR="00245300" w:rsidRPr="00EC20A0" w:rsidRDefault="00245300">
            <w:pPr>
              <w:pStyle w:val="TableParagraph"/>
            </w:pPr>
          </w:p>
        </w:tc>
      </w:tr>
      <w:tr w:rsidR="00245300" w:rsidRPr="00EC20A0" w14:paraId="24D62364" w14:textId="77777777">
        <w:trPr>
          <w:trHeight w:val="745"/>
        </w:trPr>
        <w:tc>
          <w:tcPr>
            <w:tcW w:w="7380" w:type="dxa"/>
            <w:tcBorders>
              <w:top w:val="single" w:sz="6" w:space="0" w:color="000000"/>
              <w:bottom w:val="single" w:sz="6" w:space="0" w:color="000000"/>
              <w:right w:val="single" w:sz="6" w:space="0" w:color="000000"/>
            </w:tcBorders>
          </w:tcPr>
          <w:p w14:paraId="24D62361" w14:textId="77777777" w:rsidR="00245300" w:rsidRPr="00EC20A0" w:rsidRDefault="00F17249">
            <w:pPr>
              <w:pStyle w:val="TableParagraph"/>
              <w:spacing w:before="121"/>
              <w:ind w:left="1249" w:right="350" w:hanging="360"/>
            </w:pPr>
            <w:r w:rsidRPr="00EC20A0">
              <w:t>e.</w:t>
            </w:r>
            <w:r w:rsidRPr="00EC20A0">
              <w:rPr>
                <w:spacing w:val="80"/>
              </w:rPr>
              <w:t xml:space="preserve"> </w:t>
            </w:r>
            <w:r w:rsidRPr="00EC20A0">
              <w:t>Did</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plan</w:t>
            </w:r>
            <w:r w:rsidRPr="00EC20A0">
              <w:rPr>
                <w:spacing w:val="-3"/>
              </w:rPr>
              <w:t xml:space="preserve"> </w:t>
            </w:r>
            <w:r w:rsidRPr="00EC20A0">
              <w:t>the</w:t>
            </w:r>
            <w:r w:rsidRPr="00EC20A0">
              <w:rPr>
                <w:spacing w:val="-4"/>
              </w:rPr>
              <w:t xml:space="preserve"> </w:t>
            </w:r>
            <w:r w:rsidRPr="00EC20A0">
              <w:t>audit</w:t>
            </w:r>
            <w:r w:rsidRPr="00EC20A0">
              <w:rPr>
                <w:spacing w:val="-3"/>
              </w:rPr>
              <w:t xml:space="preserve"> </w:t>
            </w:r>
            <w:r w:rsidRPr="00EC20A0">
              <w:t>so</w:t>
            </w:r>
            <w:r w:rsidRPr="00EC20A0">
              <w:rPr>
                <w:spacing w:val="-3"/>
              </w:rPr>
              <w:t xml:space="preserve"> </w:t>
            </w:r>
            <w:r w:rsidRPr="00EC20A0">
              <w:t>that</w:t>
            </w:r>
            <w:r w:rsidRPr="00EC20A0">
              <w:rPr>
                <w:spacing w:val="-4"/>
              </w:rPr>
              <w:t xml:space="preserve"> </w:t>
            </w:r>
            <w:r w:rsidRPr="00EC20A0">
              <w:t>it</w:t>
            </w:r>
            <w:r w:rsidRPr="00EC20A0">
              <w:rPr>
                <w:spacing w:val="-3"/>
              </w:rPr>
              <w:t xml:space="preserve"> </w:t>
            </w:r>
            <w:r w:rsidRPr="00EC20A0">
              <w:t>will</w:t>
            </w:r>
            <w:r w:rsidRPr="00EC20A0">
              <w:rPr>
                <w:spacing w:val="-3"/>
              </w:rPr>
              <w:t xml:space="preserve"> </w:t>
            </w:r>
            <w:r w:rsidRPr="00EC20A0">
              <w:t>be</w:t>
            </w:r>
            <w:r w:rsidRPr="00EC20A0">
              <w:rPr>
                <w:spacing w:val="-3"/>
              </w:rPr>
              <w:t xml:space="preserve"> </w:t>
            </w:r>
            <w:r w:rsidRPr="00EC20A0">
              <w:t>performed</w:t>
            </w:r>
            <w:r w:rsidRPr="00EC20A0">
              <w:rPr>
                <w:spacing w:val="-2"/>
              </w:rPr>
              <w:t xml:space="preserve"> </w:t>
            </w:r>
            <w:r w:rsidRPr="00EC20A0">
              <w:t>in an effective manner? (AU-C 300)</w:t>
            </w:r>
          </w:p>
        </w:tc>
        <w:tc>
          <w:tcPr>
            <w:tcW w:w="810" w:type="dxa"/>
            <w:tcBorders>
              <w:top w:val="single" w:sz="6" w:space="0" w:color="000000"/>
              <w:left w:val="single" w:sz="6" w:space="0" w:color="000000"/>
              <w:bottom w:val="single" w:sz="6" w:space="0" w:color="000000"/>
              <w:right w:val="single" w:sz="6" w:space="0" w:color="000000"/>
            </w:tcBorders>
          </w:tcPr>
          <w:p w14:paraId="24D62362"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63" w14:textId="77777777" w:rsidR="00245300" w:rsidRPr="00EC20A0" w:rsidRDefault="00245300">
            <w:pPr>
              <w:pStyle w:val="TableParagraph"/>
            </w:pPr>
          </w:p>
        </w:tc>
      </w:tr>
      <w:tr w:rsidR="00245300" w:rsidRPr="00EC20A0" w14:paraId="24D62368" w14:textId="77777777">
        <w:trPr>
          <w:trHeight w:val="746"/>
        </w:trPr>
        <w:tc>
          <w:tcPr>
            <w:tcW w:w="7380" w:type="dxa"/>
            <w:tcBorders>
              <w:top w:val="single" w:sz="6" w:space="0" w:color="000000"/>
              <w:bottom w:val="single" w:sz="6" w:space="0" w:color="000000"/>
              <w:right w:val="single" w:sz="6" w:space="0" w:color="000000"/>
            </w:tcBorders>
          </w:tcPr>
          <w:p w14:paraId="24D62365" w14:textId="77777777" w:rsidR="00245300" w:rsidRPr="00EC20A0" w:rsidRDefault="00F17249">
            <w:pPr>
              <w:pStyle w:val="TableParagraph"/>
              <w:tabs>
                <w:tab w:val="left" w:pos="1249"/>
              </w:tabs>
              <w:spacing w:before="121"/>
              <w:ind w:left="1249" w:right="240" w:hanging="361"/>
            </w:pPr>
            <w:r w:rsidRPr="00EC20A0">
              <w:rPr>
                <w:spacing w:val="-6"/>
              </w:rPr>
              <w:t>f.</w:t>
            </w:r>
            <w:r w:rsidRPr="00EC20A0">
              <w:tab/>
              <w:t>Did</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apply</w:t>
            </w:r>
            <w:r w:rsidRPr="00EC20A0">
              <w:rPr>
                <w:spacing w:val="-4"/>
              </w:rPr>
              <w:t xml:space="preserve"> </w:t>
            </w:r>
            <w:r w:rsidRPr="00EC20A0">
              <w:t>the</w:t>
            </w:r>
            <w:r w:rsidRPr="00EC20A0">
              <w:rPr>
                <w:spacing w:val="-6"/>
              </w:rPr>
              <w:t xml:space="preserve"> </w:t>
            </w:r>
            <w:r w:rsidRPr="00EC20A0">
              <w:t>concept</w:t>
            </w:r>
            <w:r w:rsidRPr="00EC20A0">
              <w:rPr>
                <w:spacing w:val="-5"/>
              </w:rPr>
              <w:t xml:space="preserve"> </w:t>
            </w:r>
            <w:r w:rsidRPr="00EC20A0">
              <w:t>of</w:t>
            </w:r>
            <w:r w:rsidRPr="00EC20A0">
              <w:rPr>
                <w:spacing w:val="-6"/>
              </w:rPr>
              <w:t xml:space="preserve"> </w:t>
            </w:r>
            <w:r w:rsidRPr="00EC20A0">
              <w:t>materiality</w:t>
            </w:r>
            <w:r w:rsidRPr="00EC20A0">
              <w:rPr>
                <w:spacing w:val="-5"/>
              </w:rPr>
              <w:t xml:space="preserve"> </w:t>
            </w:r>
            <w:r w:rsidRPr="00EC20A0">
              <w:t>appropriately in planning and performing the audit? (AU-C 320)</w:t>
            </w:r>
          </w:p>
        </w:tc>
        <w:tc>
          <w:tcPr>
            <w:tcW w:w="810" w:type="dxa"/>
            <w:tcBorders>
              <w:top w:val="single" w:sz="6" w:space="0" w:color="000000"/>
              <w:left w:val="single" w:sz="6" w:space="0" w:color="000000"/>
              <w:bottom w:val="single" w:sz="6" w:space="0" w:color="000000"/>
              <w:right w:val="single" w:sz="6" w:space="0" w:color="000000"/>
            </w:tcBorders>
          </w:tcPr>
          <w:p w14:paraId="24D62366" w14:textId="77777777" w:rsidR="00245300" w:rsidRPr="00EC20A0" w:rsidRDefault="00245300">
            <w:pPr>
              <w:pStyle w:val="TableParagraph"/>
            </w:pPr>
          </w:p>
        </w:tc>
        <w:tc>
          <w:tcPr>
            <w:tcW w:w="1309" w:type="dxa"/>
            <w:tcBorders>
              <w:top w:val="single" w:sz="6" w:space="0" w:color="000000"/>
              <w:left w:val="single" w:sz="6" w:space="0" w:color="000000"/>
              <w:bottom w:val="single" w:sz="6" w:space="0" w:color="000000"/>
            </w:tcBorders>
          </w:tcPr>
          <w:p w14:paraId="24D62367" w14:textId="77777777" w:rsidR="00245300" w:rsidRPr="00EC20A0" w:rsidRDefault="00245300">
            <w:pPr>
              <w:pStyle w:val="TableParagraph"/>
            </w:pPr>
          </w:p>
        </w:tc>
      </w:tr>
      <w:tr w:rsidR="00245300" w:rsidRPr="00EC20A0" w14:paraId="24D6236C" w14:textId="77777777">
        <w:trPr>
          <w:trHeight w:val="1506"/>
        </w:trPr>
        <w:tc>
          <w:tcPr>
            <w:tcW w:w="7380" w:type="dxa"/>
            <w:tcBorders>
              <w:top w:val="single" w:sz="6" w:space="0" w:color="000000"/>
              <w:right w:val="single" w:sz="6" w:space="0" w:color="000000"/>
            </w:tcBorders>
          </w:tcPr>
          <w:p w14:paraId="24D62369" w14:textId="77777777" w:rsidR="00245300" w:rsidRPr="00EC20A0" w:rsidRDefault="00F17249">
            <w:pPr>
              <w:pStyle w:val="TableParagraph"/>
              <w:spacing w:before="119"/>
              <w:ind w:left="1248" w:right="167" w:hanging="360"/>
            </w:pPr>
            <w:r w:rsidRPr="00EC20A0">
              <w:t>g.</w:t>
            </w:r>
            <w:r w:rsidRPr="00EC20A0">
              <w:rPr>
                <w:spacing w:val="80"/>
              </w:rPr>
              <w:t xml:space="preserve"> </w:t>
            </w:r>
            <w:r w:rsidRPr="00EC20A0">
              <w:t xml:space="preserve">Did the auditor obtain an understanding of the nature and significance of the services provided by the entity’s service organization(s) and their effect on the </w:t>
            </w:r>
            <w:r w:rsidRPr="00EC20A0">
              <w:t>entity’s internal controls</w:t>
            </w:r>
            <w:r w:rsidRPr="00EC20A0">
              <w:rPr>
                <w:spacing w:val="-4"/>
              </w:rPr>
              <w:t xml:space="preserve"> </w:t>
            </w:r>
            <w:r w:rsidRPr="00EC20A0">
              <w:t>relevant</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sufficient</w:t>
            </w:r>
            <w:r w:rsidRPr="00EC20A0">
              <w:rPr>
                <w:spacing w:val="-4"/>
              </w:rPr>
              <w:t xml:space="preserve"> </w:t>
            </w:r>
            <w:r w:rsidRPr="00EC20A0">
              <w:t>to</w:t>
            </w:r>
            <w:r w:rsidRPr="00EC20A0">
              <w:rPr>
                <w:spacing w:val="-4"/>
              </w:rPr>
              <w:t xml:space="preserve"> </w:t>
            </w:r>
            <w:r w:rsidRPr="00EC20A0">
              <w:t>identify</w:t>
            </w:r>
            <w:r w:rsidRPr="00EC20A0">
              <w:rPr>
                <w:spacing w:val="-5"/>
              </w:rPr>
              <w:t xml:space="preserve"> </w:t>
            </w:r>
            <w:r w:rsidRPr="00EC20A0">
              <w:t>and</w:t>
            </w:r>
            <w:r w:rsidRPr="00EC20A0">
              <w:rPr>
                <w:spacing w:val="-4"/>
              </w:rPr>
              <w:t xml:space="preserve"> </w:t>
            </w:r>
            <w:r w:rsidRPr="00EC20A0">
              <w:t>assess the risks of material misstatement? (AU-C 402)</w:t>
            </w:r>
          </w:p>
        </w:tc>
        <w:tc>
          <w:tcPr>
            <w:tcW w:w="810" w:type="dxa"/>
            <w:tcBorders>
              <w:top w:val="single" w:sz="6" w:space="0" w:color="000000"/>
              <w:left w:val="single" w:sz="6" w:space="0" w:color="000000"/>
              <w:right w:val="single" w:sz="6" w:space="0" w:color="000000"/>
            </w:tcBorders>
          </w:tcPr>
          <w:p w14:paraId="24D6236A" w14:textId="77777777" w:rsidR="00245300" w:rsidRPr="00EC20A0" w:rsidRDefault="00245300">
            <w:pPr>
              <w:pStyle w:val="TableParagraph"/>
            </w:pPr>
          </w:p>
        </w:tc>
        <w:tc>
          <w:tcPr>
            <w:tcW w:w="1309" w:type="dxa"/>
            <w:tcBorders>
              <w:top w:val="single" w:sz="6" w:space="0" w:color="000000"/>
              <w:left w:val="single" w:sz="6" w:space="0" w:color="000000"/>
            </w:tcBorders>
          </w:tcPr>
          <w:p w14:paraId="24D6236B" w14:textId="77777777" w:rsidR="00245300" w:rsidRPr="00EC20A0" w:rsidRDefault="00245300">
            <w:pPr>
              <w:pStyle w:val="TableParagraph"/>
            </w:pPr>
          </w:p>
        </w:tc>
      </w:tr>
    </w:tbl>
    <w:p w14:paraId="24D6236D" w14:textId="77777777" w:rsidR="00245300" w:rsidRPr="00EC20A0" w:rsidRDefault="00245300">
      <w:pPr>
        <w:sectPr w:rsidR="00245300" w:rsidRPr="00EC20A0">
          <w:pgSz w:w="12240" w:h="15840"/>
          <w:pgMar w:top="1340" w:right="460" w:bottom="940" w:left="560" w:header="721" w:footer="757" w:gutter="0"/>
          <w:cols w:space="720"/>
        </w:sectPr>
      </w:pPr>
    </w:p>
    <w:p w14:paraId="24D6236E" w14:textId="77777777" w:rsidR="00245300" w:rsidRPr="00EC20A0" w:rsidRDefault="00F17249" w:rsidP="0022160C">
      <w:pPr>
        <w:pStyle w:val="Heading4"/>
        <w:ind w:left="900"/>
      </w:pPr>
      <w:bookmarkStart w:id="415" w:name="Section_II:_Performing_the_Engagement"/>
      <w:bookmarkEnd w:id="415"/>
      <w:r w:rsidRPr="00EC20A0">
        <w:t>Section</w:t>
      </w:r>
      <w:r w:rsidRPr="00EC20A0">
        <w:rPr>
          <w:spacing w:val="-11"/>
        </w:rPr>
        <w:t xml:space="preserve"> </w:t>
      </w:r>
      <w:r w:rsidRPr="00EC20A0">
        <w:t>II:</w:t>
      </w:r>
      <w:r w:rsidRPr="00EC20A0">
        <w:rPr>
          <w:spacing w:val="-10"/>
        </w:rPr>
        <w:t xml:space="preserve"> </w:t>
      </w:r>
      <w:r w:rsidRPr="00EC20A0">
        <w:t>Performing</w:t>
      </w:r>
      <w:r w:rsidRPr="00EC20A0">
        <w:rPr>
          <w:spacing w:val="-10"/>
        </w:rPr>
        <w:t xml:space="preserve"> </w:t>
      </w:r>
      <w:r w:rsidRPr="00EC20A0">
        <w:t>the</w:t>
      </w:r>
      <w:r w:rsidRPr="00EC20A0">
        <w:rPr>
          <w:spacing w:val="-9"/>
        </w:rPr>
        <w:t xml:space="preserve"> </w:t>
      </w:r>
      <w:r w:rsidRPr="00EC20A0">
        <w:rPr>
          <w:spacing w:val="-2"/>
        </w:rPr>
        <w:t>Engagement</w:t>
      </w:r>
    </w:p>
    <w:p w14:paraId="24D6236F" w14:textId="77777777" w:rsidR="00245300" w:rsidRPr="00EC20A0" w:rsidRDefault="00245300">
      <w:pPr>
        <w:pStyle w:val="BodyText"/>
        <w:spacing w:before="7" w:after="1"/>
        <w:rPr>
          <w:b/>
          <w:sz w:val="16"/>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376" w14:textId="77777777">
        <w:trPr>
          <w:trHeight w:val="937"/>
        </w:trPr>
        <w:tc>
          <w:tcPr>
            <w:tcW w:w="7380" w:type="dxa"/>
            <w:tcBorders>
              <w:right w:val="single" w:sz="8" w:space="0" w:color="000000"/>
            </w:tcBorders>
            <w:shd w:val="clear" w:color="auto" w:fill="A6A6A6"/>
          </w:tcPr>
          <w:p w14:paraId="24D62370" w14:textId="77777777" w:rsidR="00245300" w:rsidRPr="00EC20A0" w:rsidRDefault="00245300">
            <w:pPr>
              <w:pStyle w:val="TableParagraph"/>
              <w:spacing w:before="267"/>
              <w:rPr>
                <w:b/>
                <w:sz w:val="24"/>
              </w:rPr>
            </w:pPr>
          </w:p>
          <w:p w14:paraId="24D62371"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372" w14:textId="77777777" w:rsidR="00245300" w:rsidRPr="00EC20A0" w:rsidRDefault="00F17249">
            <w:pPr>
              <w:pStyle w:val="TableParagraph"/>
              <w:spacing w:before="121"/>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373" w14:textId="77777777" w:rsidR="00245300" w:rsidRPr="00EC20A0" w:rsidRDefault="00245300">
            <w:pPr>
              <w:pStyle w:val="TableParagraph"/>
              <w:rPr>
                <w:b/>
              </w:rPr>
            </w:pPr>
          </w:p>
          <w:p w14:paraId="24D62374" w14:textId="77777777" w:rsidR="00245300" w:rsidRPr="00EC20A0" w:rsidRDefault="00245300">
            <w:pPr>
              <w:pStyle w:val="TableParagraph"/>
              <w:spacing w:before="120"/>
              <w:rPr>
                <w:b/>
              </w:rPr>
            </w:pPr>
          </w:p>
          <w:p w14:paraId="24D62375"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37A" w14:textId="77777777">
        <w:trPr>
          <w:trHeight w:val="1251"/>
        </w:trPr>
        <w:tc>
          <w:tcPr>
            <w:tcW w:w="7380" w:type="dxa"/>
            <w:tcBorders>
              <w:bottom w:val="single" w:sz="8" w:space="0" w:color="000000"/>
              <w:right w:val="single" w:sz="8" w:space="0" w:color="000000"/>
            </w:tcBorders>
          </w:tcPr>
          <w:p w14:paraId="24D62377" w14:textId="77777777" w:rsidR="00245300" w:rsidRPr="00EC20A0" w:rsidRDefault="00F17249">
            <w:pPr>
              <w:pStyle w:val="TableParagraph"/>
              <w:spacing w:before="120"/>
              <w:ind w:left="843" w:right="172" w:hanging="360"/>
            </w:pPr>
            <w:r w:rsidRPr="00EC20A0">
              <w:t>1.</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prepare</w:t>
            </w:r>
            <w:r w:rsidRPr="00EC20A0">
              <w:rPr>
                <w:spacing w:val="-4"/>
              </w:rPr>
              <w:t xml:space="preserve"> </w:t>
            </w:r>
            <w:r w:rsidRPr="00EC20A0">
              <w:t>the</w:t>
            </w:r>
            <w:r w:rsidRPr="00EC20A0">
              <w:rPr>
                <w:spacing w:val="-4"/>
              </w:rPr>
              <w:t xml:space="preserve"> </w:t>
            </w:r>
            <w:r w:rsidRPr="00EC20A0">
              <w:t>following</w:t>
            </w:r>
            <w:r w:rsidRPr="00EC20A0">
              <w:rPr>
                <w:spacing w:val="-5"/>
              </w:rPr>
              <w:t xml:space="preserve"> </w:t>
            </w:r>
            <w:r w:rsidRPr="00EC20A0">
              <w:t>documentation</w:t>
            </w:r>
            <w:r w:rsidRPr="00EC20A0">
              <w:rPr>
                <w:spacing w:val="-4"/>
              </w:rPr>
              <w:t xml:space="preserve"> </w:t>
            </w:r>
            <w:r w:rsidRPr="00EC20A0">
              <w:t>or</w:t>
            </w:r>
            <w:r w:rsidRPr="00EC20A0">
              <w:rPr>
                <w:spacing w:val="-4"/>
              </w:rPr>
              <w:t xml:space="preserve"> </w:t>
            </w:r>
            <w:r w:rsidRPr="00EC20A0">
              <w:t>equivalent summarizing considerations in planning and performing audit procedures for material line items, accounts, note disclosures, and classes of transactions:</w:t>
            </w:r>
          </w:p>
        </w:tc>
        <w:tc>
          <w:tcPr>
            <w:tcW w:w="811" w:type="dxa"/>
            <w:tcBorders>
              <w:left w:val="single" w:sz="8" w:space="0" w:color="000000"/>
              <w:bottom w:val="single" w:sz="8" w:space="0" w:color="000000"/>
              <w:right w:val="single" w:sz="8" w:space="0" w:color="000000"/>
            </w:tcBorders>
            <w:shd w:val="clear" w:color="auto" w:fill="BEBEBE"/>
          </w:tcPr>
          <w:p w14:paraId="24D62378" w14:textId="77777777" w:rsidR="00245300" w:rsidRPr="00EC20A0" w:rsidRDefault="00245300">
            <w:pPr>
              <w:pStyle w:val="TableParagraph"/>
            </w:pPr>
          </w:p>
        </w:tc>
        <w:tc>
          <w:tcPr>
            <w:tcW w:w="1349" w:type="dxa"/>
            <w:tcBorders>
              <w:left w:val="single" w:sz="8" w:space="0" w:color="000000"/>
              <w:bottom w:val="single" w:sz="8" w:space="0" w:color="000000"/>
            </w:tcBorders>
            <w:shd w:val="clear" w:color="auto" w:fill="BEBEBE"/>
          </w:tcPr>
          <w:p w14:paraId="24D62379" w14:textId="77777777" w:rsidR="00245300" w:rsidRPr="00EC20A0" w:rsidRDefault="00245300">
            <w:pPr>
              <w:pStyle w:val="TableParagraph"/>
            </w:pPr>
          </w:p>
        </w:tc>
      </w:tr>
      <w:tr w:rsidR="00245300" w:rsidRPr="00EC20A0" w14:paraId="24D6237E" w14:textId="77777777">
        <w:trPr>
          <w:trHeight w:val="1251"/>
        </w:trPr>
        <w:tc>
          <w:tcPr>
            <w:tcW w:w="7380" w:type="dxa"/>
            <w:tcBorders>
              <w:top w:val="single" w:sz="8" w:space="0" w:color="000000"/>
              <w:bottom w:val="single" w:sz="8" w:space="0" w:color="000000"/>
              <w:right w:val="single" w:sz="8" w:space="0" w:color="000000"/>
            </w:tcBorders>
          </w:tcPr>
          <w:p w14:paraId="24D6237B" w14:textId="77777777" w:rsidR="00245300" w:rsidRPr="00EC20A0" w:rsidRDefault="00F17249">
            <w:pPr>
              <w:pStyle w:val="TableParagraph"/>
              <w:spacing w:before="121"/>
              <w:ind w:left="1249" w:hanging="360"/>
            </w:pPr>
            <w:r w:rsidRPr="00EC20A0">
              <w:t>a.</w:t>
            </w:r>
            <w:r w:rsidRPr="00EC20A0">
              <w:rPr>
                <w:spacing w:val="80"/>
              </w:rPr>
              <w:t xml:space="preserve"> </w:t>
            </w:r>
            <w:r w:rsidRPr="00EC20A0">
              <w:t xml:space="preserve">Cycle matrix that links </w:t>
            </w:r>
            <w:r w:rsidRPr="00EC20A0">
              <w:t>material line items, accounts, note disclosures, and classes of transactions to the related significant financial management systems, line item risk analysis</w:t>
            </w:r>
            <w:r w:rsidRPr="00EC20A0">
              <w:rPr>
                <w:spacing w:val="-5"/>
              </w:rPr>
              <w:t xml:space="preserve"> </w:t>
            </w:r>
            <w:r w:rsidRPr="00EC20A0">
              <w:t>(LIRA)</w:t>
            </w:r>
            <w:r w:rsidRPr="00EC20A0">
              <w:rPr>
                <w:spacing w:val="-5"/>
              </w:rPr>
              <w:t xml:space="preserve"> </w:t>
            </w:r>
            <w:r w:rsidRPr="00EC20A0">
              <w:t>forms,</w:t>
            </w:r>
            <w:r w:rsidRPr="00EC20A0">
              <w:rPr>
                <w:spacing w:val="-4"/>
              </w:rPr>
              <w:t xml:space="preserve"> </w:t>
            </w:r>
            <w:r w:rsidRPr="00EC20A0">
              <w:t>and</w:t>
            </w:r>
            <w:r w:rsidRPr="00EC20A0">
              <w:rPr>
                <w:spacing w:val="-5"/>
              </w:rPr>
              <w:t xml:space="preserve"> </w:t>
            </w:r>
            <w:r w:rsidRPr="00EC20A0">
              <w:t>cycles,</w:t>
            </w:r>
            <w:r w:rsidRPr="00EC20A0">
              <w:rPr>
                <w:spacing w:val="-6"/>
              </w:rPr>
              <w:t xml:space="preserve"> </w:t>
            </w:r>
            <w:r w:rsidRPr="00EC20A0">
              <w:t>as</w:t>
            </w:r>
            <w:r w:rsidRPr="00EC20A0">
              <w:rPr>
                <w:spacing w:val="-5"/>
              </w:rPr>
              <w:t xml:space="preserve"> </w:t>
            </w:r>
            <w:r w:rsidRPr="00EC20A0">
              <w:t>applicable?</w:t>
            </w:r>
            <w:r w:rsidRPr="00EC20A0">
              <w:rPr>
                <w:spacing w:val="-5"/>
              </w:rPr>
              <w:t xml:space="preserve"> </w:t>
            </w:r>
            <w:r w:rsidRPr="00EC20A0">
              <w:t>(FAM</w:t>
            </w:r>
            <w:r w:rsidRPr="00EC20A0">
              <w:rPr>
                <w:spacing w:val="-6"/>
              </w:rPr>
              <w:t xml:space="preserve"> </w:t>
            </w:r>
            <w:r w:rsidRPr="00EC20A0">
              <w:t>290)</w:t>
            </w:r>
          </w:p>
        </w:tc>
        <w:tc>
          <w:tcPr>
            <w:tcW w:w="811" w:type="dxa"/>
            <w:tcBorders>
              <w:top w:val="single" w:sz="8" w:space="0" w:color="000000"/>
              <w:left w:val="single" w:sz="8" w:space="0" w:color="000000"/>
              <w:bottom w:val="single" w:sz="8" w:space="0" w:color="000000"/>
              <w:right w:val="single" w:sz="8" w:space="0" w:color="000000"/>
            </w:tcBorders>
          </w:tcPr>
          <w:p w14:paraId="24D6237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7D" w14:textId="77777777" w:rsidR="00245300" w:rsidRPr="00EC20A0" w:rsidRDefault="00245300">
            <w:pPr>
              <w:pStyle w:val="TableParagraph"/>
            </w:pPr>
          </w:p>
        </w:tc>
      </w:tr>
      <w:tr w:rsidR="00245300" w:rsidRPr="00EC20A0" w14:paraId="24D62382" w14:textId="77777777">
        <w:trPr>
          <w:trHeight w:val="493"/>
        </w:trPr>
        <w:tc>
          <w:tcPr>
            <w:tcW w:w="7380" w:type="dxa"/>
            <w:tcBorders>
              <w:top w:val="single" w:sz="8" w:space="0" w:color="000000"/>
              <w:bottom w:val="single" w:sz="8" w:space="0" w:color="000000"/>
              <w:right w:val="single" w:sz="8" w:space="0" w:color="000000"/>
            </w:tcBorders>
          </w:tcPr>
          <w:p w14:paraId="24D6237F" w14:textId="77777777" w:rsidR="00245300" w:rsidRPr="00EC20A0" w:rsidRDefault="00F17249">
            <w:pPr>
              <w:pStyle w:val="TableParagraph"/>
              <w:spacing w:before="121"/>
              <w:ind w:left="889"/>
            </w:pPr>
            <w:r w:rsidRPr="00EC20A0">
              <w:t>b.</w:t>
            </w:r>
            <w:r w:rsidRPr="00EC20A0">
              <w:rPr>
                <w:spacing w:val="74"/>
                <w:w w:val="150"/>
              </w:rPr>
              <w:t xml:space="preserve"> </w:t>
            </w:r>
            <w:r w:rsidRPr="00EC20A0">
              <w:t>LIRA</w:t>
            </w:r>
            <w:r w:rsidRPr="00EC20A0">
              <w:rPr>
                <w:spacing w:val="-4"/>
              </w:rPr>
              <w:t xml:space="preserve"> </w:t>
            </w:r>
            <w:r w:rsidRPr="00EC20A0">
              <w:t>forms?</w:t>
            </w:r>
            <w:r w:rsidRPr="00EC20A0">
              <w:rPr>
                <w:spacing w:val="-2"/>
              </w:rPr>
              <w:t xml:space="preserve"> </w:t>
            </w:r>
            <w:r w:rsidRPr="00EC20A0">
              <w:t>(FAM</w:t>
            </w:r>
            <w:r w:rsidRPr="00EC20A0">
              <w:rPr>
                <w:spacing w:val="-5"/>
              </w:rPr>
              <w:t xml:space="preserve"> </w:t>
            </w:r>
            <w:r w:rsidRPr="00EC20A0">
              <w:t>395</w:t>
            </w:r>
            <w:r w:rsidRPr="00EC20A0">
              <w:rPr>
                <w:spacing w:val="-3"/>
              </w:rPr>
              <w:t xml:space="preserve"> </w:t>
            </w:r>
            <w:r w:rsidRPr="00EC20A0">
              <w:rPr>
                <w:spacing w:val="-5"/>
              </w:rPr>
              <w:t>H)</w:t>
            </w:r>
          </w:p>
        </w:tc>
        <w:tc>
          <w:tcPr>
            <w:tcW w:w="811" w:type="dxa"/>
            <w:tcBorders>
              <w:top w:val="single" w:sz="8" w:space="0" w:color="000000"/>
              <w:left w:val="single" w:sz="8" w:space="0" w:color="000000"/>
              <w:bottom w:val="single" w:sz="8" w:space="0" w:color="000000"/>
              <w:right w:val="single" w:sz="8" w:space="0" w:color="000000"/>
            </w:tcBorders>
          </w:tcPr>
          <w:p w14:paraId="24D62380"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81" w14:textId="77777777" w:rsidR="00245300" w:rsidRPr="00EC20A0" w:rsidRDefault="00245300">
            <w:pPr>
              <w:pStyle w:val="TableParagraph"/>
            </w:pPr>
          </w:p>
        </w:tc>
      </w:tr>
      <w:tr w:rsidR="00245300" w:rsidRPr="00EC20A0" w14:paraId="24D62386" w14:textId="77777777">
        <w:trPr>
          <w:trHeight w:val="492"/>
        </w:trPr>
        <w:tc>
          <w:tcPr>
            <w:tcW w:w="7380" w:type="dxa"/>
            <w:tcBorders>
              <w:top w:val="single" w:sz="8" w:space="0" w:color="000000"/>
              <w:bottom w:val="single" w:sz="8" w:space="0" w:color="000000"/>
              <w:right w:val="single" w:sz="8" w:space="0" w:color="000000"/>
            </w:tcBorders>
          </w:tcPr>
          <w:p w14:paraId="24D62383" w14:textId="77777777" w:rsidR="00245300" w:rsidRPr="00EC20A0" w:rsidRDefault="00F17249">
            <w:pPr>
              <w:pStyle w:val="TableParagraph"/>
              <w:spacing w:before="119"/>
              <w:ind w:left="889"/>
            </w:pPr>
            <w:r w:rsidRPr="00EC20A0">
              <w:t>c.</w:t>
            </w:r>
            <w:r w:rsidRPr="00EC20A0">
              <w:rPr>
                <w:spacing w:val="25"/>
              </w:rPr>
              <w:t xml:space="preserve">  </w:t>
            </w:r>
            <w:r w:rsidRPr="00EC20A0">
              <w:t>Cycle</w:t>
            </w:r>
            <w:r w:rsidRPr="00EC20A0">
              <w:rPr>
                <w:spacing w:val="-4"/>
              </w:rPr>
              <w:t xml:space="preserve"> </w:t>
            </w:r>
            <w:r w:rsidRPr="00EC20A0">
              <w:t>memorandum?</w:t>
            </w:r>
            <w:r w:rsidRPr="00EC20A0">
              <w:rPr>
                <w:spacing w:val="-5"/>
              </w:rPr>
              <w:t xml:space="preserve"> </w:t>
            </w:r>
            <w:r w:rsidRPr="00EC20A0">
              <w:t>(FAM</w:t>
            </w:r>
            <w:r w:rsidRPr="00EC20A0">
              <w:rPr>
                <w:spacing w:val="-6"/>
              </w:rPr>
              <w:t xml:space="preserve"> </w:t>
            </w:r>
            <w:r w:rsidRPr="00EC20A0">
              <w:rPr>
                <w:spacing w:val="-4"/>
              </w:rPr>
              <w:t>390)</w:t>
            </w:r>
          </w:p>
        </w:tc>
        <w:tc>
          <w:tcPr>
            <w:tcW w:w="811" w:type="dxa"/>
            <w:tcBorders>
              <w:top w:val="single" w:sz="8" w:space="0" w:color="000000"/>
              <w:left w:val="single" w:sz="8" w:space="0" w:color="000000"/>
              <w:bottom w:val="single" w:sz="8" w:space="0" w:color="000000"/>
              <w:right w:val="single" w:sz="8" w:space="0" w:color="000000"/>
            </w:tcBorders>
          </w:tcPr>
          <w:p w14:paraId="24D62384"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85" w14:textId="77777777" w:rsidR="00245300" w:rsidRPr="00EC20A0" w:rsidRDefault="00245300">
            <w:pPr>
              <w:pStyle w:val="TableParagraph"/>
            </w:pPr>
          </w:p>
        </w:tc>
      </w:tr>
      <w:tr w:rsidR="00245300" w:rsidRPr="00EC20A0" w14:paraId="24D6238A" w14:textId="77777777">
        <w:trPr>
          <w:trHeight w:val="493"/>
        </w:trPr>
        <w:tc>
          <w:tcPr>
            <w:tcW w:w="7380" w:type="dxa"/>
            <w:tcBorders>
              <w:top w:val="single" w:sz="8" w:space="0" w:color="000000"/>
              <w:bottom w:val="single" w:sz="8" w:space="0" w:color="000000"/>
              <w:right w:val="single" w:sz="8" w:space="0" w:color="000000"/>
            </w:tcBorders>
          </w:tcPr>
          <w:p w14:paraId="24D62387" w14:textId="77777777" w:rsidR="00245300" w:rsidRPr="00EC20A0" w:rsidRDefault="00F17249">
            <w:pPr>
              <w:pStyle w:val="TableParagraph"/>
              <w:spacing w:before="121"/>
              <w:ind w:left="889"/>
            </w:pPr>
            <w:r w:rsidRPr="00EC20A0">
              <w:t>d.</w:t>
            </w:r>
            <w:r w:rsidRPr="00EC20A0">
              <w:rPr>
                <w:spacing w:val="65"/>
                <w:w w:val="150"/>
              </w:rPr>
              <w:t xml:space="preserve"> </w:t>
            </w:r>
            <w:r w:rsidRPr="00EC20A0">
              <w:t>Specific</w:t>
            </w:r>
            <w:r w:rsidRPr="00EC20A0">
              <w:rPr>
                <w:spacing w:val="-6"/>
              </w:rPr>
              <w:t xml:space="preserve"> </w:t>
            </w:r>
            <w:r w:rsidRPr="00EC20A0">
              <w:t>control</w:t>
            </w:r>
            <w:r w:rsidRPr="00EC20A0">
              <w:rPr>
                <w:spacing w:val="-7"/>
              </w:rPr>
              <w:t xml:space="preserve"> </w:t>
            </w:r>
            <w:r w:rsidRPr="00EC20A0">
              <w:t>evaluation</w:t>
            </w:r>
            <w:r w:rsidRPr="00EC20A0">
              <w:rPr>
                <w:spacing w:val="-6"/>
              </w:rPr>
              <w:t xml:space="preserve"> </w:t>
            </w:r>
            <w:r w:rsidRPr="00EC20A0">
              <w:t>(SCE)</w:t>
            </w:r>
            <w:r w:rsidRPr="00EC20A0">
              <w:rPr>
                <w:spacing w:val="-6"/>
              </w:rPr>
              <w:t xml:space="preserve"> </w:t>
            </w:r>
            <w:r w:rsidRPr="00EC20A0">
              <w:t>worksheets?</w:t>
            </w:r>
            <w:r w:rsidRPr="00EC20A0">
              <w:rPr>
                <w:spacing w:val="-7"/>
              </w:rPr>
              <w:t xml:space="preserve"> </w:t>
            </w:r>
            <w:r w:rsidRPr="00EC20A0">
              <w:t>(FAM</w:t>
            </w:r>
            <w:r w:rsidRPr="00EC20A0">
              <w:rPr>
                <w:spacing w:val="-7"/>
              </w:rPr>
              <w:t xml:space="preserve"> </w:t>
            </w:r>
            <w:r w:rsidRPr="00EC20A0">
              <w:t>395</w:t>
            </w:r>
            <w:r w:rsidRPr="00EC20A0">
              <w:rPr>
                <w:spacing w:val="-7"/>
              </w:rPr>
              <w:t xml:space="preserve"> </w:t>
            </w:r>
            <w:r w:rsidRPr="00EC20A0">
              <w:rPr>
                <w:spacing w:val="-5"/>
              </w:rPr>
              <w:t>G)</w:t>
            </w:r>
          </w:p>
        </w:tc>
        <w:tc>
          <w:tcPr>
            <w:tcW w:w="811" w:type="dxa"/>
            <w:tcBorders>
              <w:top w:val="single" w:sz="8" w:space="0" w:color="000000"/>
              <w:left w:val="single" w:sz="8" w:space="0" w:color="000000"/>
              <w:bottom w:val="single" w:sz="8" w:space="0" w:color="000000"/>
              <w:right w:val="single" w:sz="8" w:space="0" w:color="000000"/>
            </w:tcBorders>
          </w:tcPr>
          <w:p w14:paraId="24D6238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89" w14:textId="77777777" w:rsidR="00245300" w:rsidRPr="00EC20A0" w:rsidRDefault="00245300">
            <w:pPr>
              <w:pStyle w:val="TableParagraph"/>
            </w:pPr>
          </w:p>
        </w:tc>
      </w:tr>
      <w:tr w:rsidR="00245300" w:rsidRPr="00EC20A0" w14:paraId="24D6238E" w14:textId="77777777">
        <w:trPr>
          <w:trHeight w:val="492"/>
        </w:trPr>
        <w:tc>
          <w:tcPr>
            <w:tcW w:w="7380" w:type="dxa"/>
            <w:tcBorders>
              <w:top w:val="single" w:sz="8" w:space="0" w:color="000000"/>
              <w:bottom w:val="single" w:sz="8" w:space="0" w:color="000000"/>
              <w:right w:val="single" w:sz="8" w:space="0" w:color="000000"/>
            </w:tcBorders>
          </w:tcPr>
          <w:p w14:paraId="24D6238B" w14:textId="77777777" w:rsidR="00245300" w:rsidRPr="00EC20A0" w:rsidRDefault="00F17249">
            <w:pPr>
              <w:pStyle w:val="TableParagraph"/>
              <w:spacing w:before="119"/>
              <w:ind w:left="889"/>
            </w:pPr>
            <w:r w:rsidRPr="00EC20A0">
              <w:t>e.</w:t>
            </w:r>
            <w:r w:rsidRPr="00EC20A0">
              <w:rPr>
                <w:spacing w:val="70"/>
                <w:w w:val="150"/>
              </w:rPr>
              <w:t xml:space="preserve"> </w:t>
            </w:r>
            <w:r w:rsidRPr="00EC20A0">
              <w:t>Written</w:t>
            </w:r>
            <w:r w:rsidRPr="00EC20A0">
              <w:rPr>
                <w:spacing w:val="-4"/>
              </w:rPr>
              <w:t xml:space="preserve"> </w:t>
            </w:r>
            <w:r w:rsidRPr="00EC20A0">
              <w:t>audit</w:t>
            </w:r>
            <w:r w:rsidRPr="00EC20A0">
              <w:rPr>
                <w:spacing w:val="-5"/>
              </w:rPr>
              <w:t xml:space="preserve"> </w:t>
            </w:r>
            <w:r w:rsidRPr="00EC20A0">
              <w:t>plan</w:t>
            </w:r>
            <w:r w:rsidRPr="00EC20A0">
              <w:rPr>
                <w:spacing w:val="-5"/>
              </w:rPr>
              <w:t xml:space="preserve"> </w:t>
            </w:r>
            <w:r w:rsidRPr="00EC20A0">
              <w:t>and</w:t>
            </w:r>
            <w:r w:rsidRPr="00EC20A0">
              <w:rPr>
                <w:spacing w:val="-5"/>
              </w:rPr>
              <w:t xml:space="preserve"> </w:t>
            </w:r>
            <w:r w:rsidRPr="00EC20A0">
              <w:t>procedures?</w:t>
            </w:r>
            <w:r w:rsidRPr="00EC20A0">
              <w:rPr>
                <w:spacing w:val="-4"/>
              </w:rPr>
              <w:t xml:space="preserve"> </w:t>
            </w:r>
            <w:r w:rsidRPr="00EC20A0">
              <w:t>(FAM</w:t>
            </w:r>
            <w:r w:rsidRPr="00EC20A0">
              <w:rPr>
                <w:spacing w:val="-6"/>
              </w:rPr>
              <w:t xml:space="preserve"> </w:t>
            </w:r>
            <w:r w:rsidRPr="00EC20A0">
              <w:t>290</w:t>
            </w:r>
            <w:r w:rsidRPr="00EC20A0">
              <w:rPr>
                <w:spacing w:val="-5"/>
              </w:rPr>
              <w:t xml:space="preserve"> </w:t>
            </w:r>
            <w:r w:rsidRPr="00EC20A0">
              <w:t>and</w:t>
            </w:r>
            <w:r w:rsidRPr="00EC20A0">
              <w:rPr>
                <w:spacing w:val="-4"/>
              </w:rPr>
              <w:t xml:space="preserve"> 390)</w:t>
            </w:r>
          </w:p>
        </w:tc>
        <w:tc>
          <w:tcPr>
            <w:tcW w:w="811" w:type="dxa"/>
            <w:tcBorders>
              <w:top w:val="single" w:sz="8" w:space="0" w:color="000000"/>
              <w:left w:val="single" w:sz="8" w:space="0" w:color="000000"/>
              <w:bottom w:val="single" w:sz="8" w:space="0" w:color="000000"/>
              <w:right w:val="single" w:sz="8" w:space="0" w:color="000000"/>
            </w:tcBorders>
          </w:tcPr>
          <w:p w14:paraId="24D6238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8D" w14:textId="77777777" w:rsidR="00245300" w:rsidRPr="00EC20A0" w:rsidRDefault="00245300">
            <w:pPr>
              <w:pStyle w:val="TableParagraph"/>
            </w:pPr>
          </w:p>
        </w:tc>
      </w:tr>
      <w:tr w:rsidR="00245300" w:rsidRPr="00EC20A0" w14:paraId="24D62392" w14:textId="77777777">
        <w:trPr>
          <w:trHeight w:val="1252"/>
        </w:trPr>
        <w:tc>
          <w:tcPr>
            <w:tcW w:w="7380" w:type="dxa"/>
            <w:tcBorders>
              <w:top w:val="single" w:sz="8" w:space="0" w:color="000000"/>
              <w:bottom w:val="single" w:sz="8" w:space="0" w:color="000000"/>
              <w:right w:val="single" w:sz="8" w:space="0" w:color="000000"/>
            </w:tcBorders>
          </w:tcPr>
          <w:p w14:paraId="24D6238F" w14:textId="77777777" w:rsidR="00245300" w:rsidRPr="00EC20A0" w:rsidRDefault="00F17249">
            <w:pPr>
              <w:pStyle w:val="TableParagraph"/>
              <w:spacing w:before="121"/>
              <w:ind w:left="843" w:right="172" w:hanging="360"/>
            </w:pPr>
            <w:r w:rsidRPr="00EC20A0">
              <w:t>2.</w:t>
            </w:r>
            <w:r w:rsidRPr="00EC20A0">
              <w:rPr>
                <w:spacing w:val="80"/>
              </w:rPr>
              <w:t xml:space="preserve"> </w:t>
            </w:r>
            <w:r w:rsidRPr="00EC20A0">
              <w:t>If</w:t>
            </w:r>
            <w:r w:rsidRPr="00EC20A0">
              <w:rPr>
                <w:spacing w:val="-3"/>
              </w:rPr>
              <w:t xml:space="preserve"> </w:t>
            </w:r>
            <w:r w:rsidRPr="00EC20A0">
              <w:t>conditions</w:t>
            </w:r>
            <w:r w:rsidRPr="00EC20A0">
              <w:rPr>
                <w:spacing w:val="-4"/>
              </w:rPr>
              <w:t xml:space="preserve"> </w:t>
            </w:r>
            <w:r w:rsidRPr="00EC20A0">
              <w:t>changed</w:t>
            </w:r>
            <w:r w:rsidRPr="00EC20A0">
              <w:rPr>
                <w:spacing w:val="-3"/>
              </w:rPr>
              <w:t xml:space="preserve"> </w:t>
            </w:r>
            <w:r w:rsidRPr="00EC20A0">
              <w:t>during</w:t>
            </w:r>
            <w:r w:rsidRPr="00EC20A0">
              <w:rPr>
                <w:spacing w:val="-3"/>
              </w:rPr>
              <w:t xml:space="preserve"> </w:t>
            </w:r>
            <w:r w:rsidRPr="00EC20A0">
              <w:t>the</w:t>
            </w:r>
            <w:r w:rsidRPr="00EC20A0">
              <w:rPr>
                <w:spacing w:val="-3"/>
              </w:rPr>
              <w:t xml:space="preserve"> </w:t>
            </w:r>
            <w:r w:rsidRPr="00EC20A0">
              <w:t>course</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were</w:t>
            </w:r>
            <w:r w:rsidRPr="00EC20A0">
              <w:rPr>
                <w:spacing w:val="-3"/>
              </w:rPr>
              <w:t xml:space="preserve"> </w:t>
            </w:r>
            <w:r w:rsidRPr="00EC20A0">
              <w:t xml:space="preserve">the audit strategy, audit plans, and </w:t>
            </w:r>
            <w:r w:rsidRPr="00EC20A0">
              <w:t>procedures modified as appropriate in the circumstances, including evidence of first partner (audit director) approval? (FAM 210)</w:t>
            </w:r>
          </w:p>
        </w:tc>
        <w:tc>
          <w:tcPr>
            <w:tcW w:w="811" w:type="dxa"/>
            <w:tcBorders>
              <w:top w:val="single" w:sz="8" w:space="0" w:color="000000"/>
              <w:left w:val="single" w:sz="8" w:space="0" w:color="000000"/>
              <w:bottom w:val="single" w:sz="8" w:space="0" w:color="000000"/>
              <w:right w:val="single" w:sz="8" w:space="0" w:color="000000"/>
            </w:tcBorders>
          </w:tcPr>
          <w:p w14:paraId="24D62390"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91" w14:textId="77777777" w:rsidR="00245300" w:rsidRPr="00EC20A0" w:rsidRDefault="00245300">
            <w:pPr>
              <w:pStyle w:val="TableParagraph"/>
            </w:pPr>
          </w:p>
        </w:tc>
      </w:tr>
      <w:tr w:rsidR="00245300" w:rsidRPr="00EC20A0" w14:paraId="24D62396" w14:textId="77777777">
        <w:trPr>
          <w:trHeight w:val="998"/>
        </w:trPr>
        <w:tc>
          <w:tcPr>
            <w:tcW w:w="7380" w:type="dxa"/>
            <w:tcBorders>
              <w:top w:val="single" w:sz="8" w:space="0" w:color="000000"/>
              <w:bottom w:val="single" w:sz="8" w:space="0" w:color="000000"/>
              <w:right w:val="single" w:sz="8" w:space="0" w:color="000000"/>
            </w:tcBorders>
          </w:tcPr>
          <w:p w14:paraId="24D62393" w14:textId="77777777" w:rsidR="00245300" w:rsidRPr="00EC20A0" w:rsidRDefault="00F17249">
            <w:pPr>
              <w:pStyle w:val="TableParagraph"/>
              <w:spacing w:before="121"/>
              <w:ind w:left="843" w:hanging="360"/>
            </w:pPr>
            <w:r w:rsidRPr="00EC20A0">
              <w:t>3.</w:t>
            </w:r>
            <w:r w:rsidRPr="00EC20A0">
              <w:rPr>
                <w:spacing w:val="80"/>
              </w:rPr>
              <w:t xml:space="preserve"> </w:t>
            </w:r>
            <w:r w:rsidRPr="00EC20A0">
              <w:t>Has the audit director determined that communications have occurred</w:t>
            </w:r>
            <w:r w:rsidRPr="00EC20A0">
              <w:rPr>
                <w:spacing w:val="-5"/>
              </w:rPr>
              <w:t xml:space="preserve"> </w:t>
            </w:r>
            <w:r w:rsidRPr="00EC20A0">
              <w:t>among</w:t>
            </w:r>
            <w:r w:rsidRPr="00EC20A0">
              <w:rPr>
                <w:spacing w:val="-5"/>
              </w:rPr>
              <w:t xml:space="preserve"> </w:t>
            </w:r>
            <w:r w:rsidRPr="00EC20A0">
              <w:t>the</w:t>
            </w:r>
            <w:r w:rsidRPr="00EC20A0">
              <w:rPr>
                <w:spacing w:val="-5"/>
              </w:rPr>
              <w:t xml:space="preserve"> </w:t>
            </w:r>
            <w:r w:rsidRPr="00EC20A0">
              <w:t>engagement</w:t>
            </w:r>
            <w:r w:rsidRPr="00EC20A0">
              <w:rPr>
                <w:spacing w:val="-5"/>
              </w:rPr>
              <w:t xml:space="preserve"> </w:t>
            </w:r>
            <w:r w:rsidRPr="00EC20A0">
              <w:t>team</w:t>
            </w:r>
            <w:r w:rsidRPr="00EC20A0">
              <w:rPr>
                <w:spacing w:val="-6"/>
              </w:rPr>
              <w:t xml:space="preserve"> </w:t>
            </w:r>
            <w:r w:rsidRPr="00EC20A0">
              <w:t>regarding</w:t>
            </w:r>
            <w:r w:rsidRPr="00EC20A0">
              <w:rPr>
                <w:spacing w:val="-5"/>
              </w:rPr>
              <w:t xml:space="preserve"> </w:t>
            </w:r>
            <w:r w:rsidRPr="00EC20A0">
              <w:t>fraud</w:t>
            </w:r>
            <w:r w:rsidRPr="00EC20A0">
              <w:rPr>
                <w:spacing w:val="-5"/>
              </w:rPr>
              <w:t xml:space="preserve"> </w:t>
            </w:r>
            <w:r w:rsidRPr="00EC20A0">
              <w:t>risks</w:t>
            </w:r>
            <w:r w:rsidRPr="00EC20A0">
              <w:rPr>
                <w:spacing w:val="-6"/>
              </w:rPr>
              <w:t xml:space="preserve"> </w:t>
            </w:r>
            <w:r w:rsidRPr="00EC20A0">
              <w:t>and error risks? (FAM 265 and FAM 290)</w:t>
            </w:r>
          </w:p>
        </w:tc>
        <w:tc>
          <w:tcPr>
            <w:tcW w:w="811" w:type="dxa"/>
            <w:tcBorders>
              <w:top w:val="single" w:sz="8" w:space="0" w:color="000000"/>
              <w:left w:val="single" w:sz="8" w:space="0" w:color="000000"/>
              <w:bottom w:val="single" w:sz="8" w:space="0" w:color="000000"/>
              <w:right w:val="single" w:sz="8" w:space="0" w:color="000000"/>
            </w:tcBorders>
          </w:tcPr>
          <w:p w14:paraId="24D62394"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95" w14:textId="77777777" w:rsidR="00245300" w:rsidRPr="00EC20A0" w:rsidRDefault="00245300">
            <w:pPr>
              <w:pStyle w:val="TableParagraph"/>
            </w:pPr>
          </w:p>
        </w:tc>
      </w:tr>
      <w:tr w:rsidR="00245300" w:rsidRPr="00EC20A0" w14:paraId="24D6239A" w14:textId="77777777">
        <w:trPr>
          <w:trHeight w:val="746"/>
        </w:trPr>
        <w:tc>
          <w:tcPr>
            <w:tcW w:w="7380" w:type="dxa"/>
            <w:tcBorders>
              <w:top w:val="single" w:sz="8" w:space="0" w:color="000000"/>
              <w:bottom w:val="single" w:sz="8" w:space="0" w:color="000000"/>
              <w:right w:val="single" w:sz="8" w:space="0" w:color="000000"/>
            </w:tcBorders>
          </w:tcPr>
          <w:p w14:paraId="24D62397" w14:textId="77777777" w:rsidR="00245300" w:rsidRPr="00EC20A0" w:rsidRDefault="00F17249">
            <w:pPr>
              <w:pStyle w:val="TableParagraph"/>
              <w:spacing w:before="121"/>
              <w:ind w:left="843" w:right="172" w:hanging="360"/>
            </w:pPr>
            <w:r w:rsidRPr="00EC20A0">
              <w:t>4.</w:t>
            </w:r>
            <w:r w:rsidRPr="00EC20A0">
              <w:rPr>
                <w:spacing w:val="80"/>
              </w:rPr>
              <w:t xml:space="preserve"> </w:t>
            </w:r>
            <w:r w:rsidRPr="00EC20A0">
              <w:t>When</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performed</w:t>
            </w:r>
            <w:r w:rsidRPr="00EC20A0">
              <w:rPr>
                <w:spacing w:val="-4"/>
              </w:rPr>
              <w:t xml:space="preserve"> </w:t>
            </w:r>
            <w:r w:rsidRPr="00EC20A0">
              <w:t>audit</w:t>
            </w:r>
            <w:r w:rsidRPr="00EC20A0">
              <w:rPr>
                <w:spacing w:val="-4"/>
              </w:rPr>
              <w:t xml:space="preserve"> </w:t>
            </w:r>
            <w:r w:rsidRPr="00EC20A0">
              <w:t>sampling,</w:t>
            </w:r>
            <w:r w:rsidRPr="00EC20A0">
              <w:rPr>
                <w:spacing w:val="-4"/>
              </w:rPr>
              <w:t xml:space="preserve"> </w:t>
            </w:r>
            <w:r w:rsidRPr="00EC20A0">
              <w:t>did</w:t>
            </w:r>
            <w:r w:rsidRPr="00EC20A0">
              <w:rPr>
                <w:spacing w:val="-4"/>
              </w:rPr>
              <w:t xml:space="preserve"> </w:t>
            </w:r>
            <w:r w:rsidRPr="00EC20A0">
              <w:t>the</w:t>
            </w:r>
            <w:r w:rsidRPr="00EC20A0">
              <w:rPr>
                <w:spacing w:val="-4"/>
              </w:rPr>
              <w:t xml:space="preserve"> </w:t>
            </w:r>
            <w:r w:rsidRPr="00EC20A0">
              <w:t>auditor properly determine and document the</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39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399" w14:textId="77777777" w:rsidR="00245300" w:rsidRPr="00EC20A0" w:rsidRDefault="00245300">
            <w:pPr>
              <w:pStyle w:val="TableParagraph"/>
            </w:pPr>
          </w:p>
        </w:tc>
      </w:tr>
      <w:tr w:rsidR="00245300" w:rsidRPr="00EC20A0" w14:paraId="24D6239E" w14:textId="77777777">
        <w:trPr>
          <w:trHeight w:val="998"/>
        </w:trPr>
        <w:tc>
          <w:tcPr>
            <w:tcW w:w="7380" w:type="dxa"/>
            <w:tcBorders>
              <w:top w:val="single" w:sz="8" w:space="0" w:color="000000"/>
              <w:bottom w:val="single" w:sz="8" w:space="0" w:color="000000"/>
              <w:right w:val="single" w:sz="8" w:space="0" w:color="000000"/>
            </w:tcBorders>
          </w:tcPr>
          <w:p w14:paraId="24D6239B" w14:textId="77777777" w:rsidR="00245300" w:rsidRPr="00EC20A0" w:rsidRDefault="00F17249">
            <w:pPr>
              <w:pStyle w:val="TableParagraph"/>
              <w:spacing w:before="119"/>
              <w:ind w:left="1249" w:right="263" w:hanging="361"/>
              <w:jc w:val="both"/>
            </w:pPr>
            <w:r w:rsidRPr="00EC20A0">
              <w:t>a.</w:t>
            </w:r>
            <w:r w:rsidRPr="00EC20A0">
              <w:rPr>
                <w:spacing w:val="80"/>
              </w:rPr>
              <w:t xml:space="preserve"> </w:t>
            </w:r>
            <w:r w:rsidRPr="00EC20A0">
              <w:t>method</w:t>
            </w:r>
            <w:r w:rsidRPr="00EC20A0">
              <w:rPr>
                <w:spacing w:val="-3"/>
              </w:rPr>
              <w:t xml:space="preserve"> </w:t>
            </w:r>
            <w:r w:rsidRPr="00EC20A0">
              <w:t>used</w:t>
            </w:r>
            <w:r w:rsidRPr="00EC20A0">
              <w:rPr>
                <w:spacing w:val="-3"/>
              </w:rPr>
              <w:t xml:space="preserve"> </w:t>
            </w:r>
            <w:r w:rsidRPr="00EC20A0">
              <w:t>in</w:t>
            </w:r>
            <w:r w:rsidRPr="00EC20A0">
              <w:rPr>
                <w:spacing w:val="-3"/>
              </w:rPr>
              <w:t xml:space="preserve"> </w:t>
            </w:r>
            <w:r w:rsidRPr="00EC20A0">
              <w:t>relation</w:t>
            </w:r>
            <w:r w:rsidRPr="00EC20A0">
              <w:rPr>
                <w:spacing w:val="-4"/>
              </w:rPr>
              <w:t xml:space="preserve"> </w:t>
            </w:r>
            <w:r w:rsidRPr="00EC20A0">
              <w:t>to</w:t>
            </w:r>
            <w:r w:rsidRPr="00EC20A0">
              <w:rPr>
                <w:spacing w:val="-3"/>
              </w:rPr>
              <w:t xml:space="preserve"> </w:t>
            </w:r>
            <w:r w:rsidRPr="00EC20A0">
              <w:t>test</w:t>
            </w:r>
            <w:r w:rsidRPr="00EC20A0">
              <w:rPr>
                <w:spacing w:val="-3"/>
              </w:rPr>
              <w:t xml:space="preserve"> </w:t>
            </w:r>
            <w:r w:rsidRPr="00EC20A0">
              <w:t>objectives,</w:t>
            </w:r>
            <w:r w:rsidRPr="00EC20A0">
              <w:rPr>
                <w:spacing w:val="-4"/>
              </w:rPr>
              <w:t xml:space="preserve"> </w:t>
            </w:r>
            <w:r w:rsidRPr="00EC20A0">
              <w:t>such</w:t>
            </w:r>
            <w:r w:rsidRPr="00EC20A0">
              <w:rPr>
                <w:spacing w:val="-3"/>
              </w:rPr>
              <w:t xml:space="preserve"> </w:t>
            </w:r>
            <w:r w:rsidRPr="00EC20A0">
              <w:t>as</w:t>
            </w:r>
            <w:r w:rsidRPr="00EC20A0">
              <w:rPr>
                <w:spacing w:val="-3"/>
              </w:rPr>
              <w:t xml:space="preserve"> </w:t>
            </w:r>
            <w:r w:rsidRPr="00EC20A0">
              <w:t>statistical sampling</w:t>
            </w:r>
            <w:r w:rsidRPr="00EC20A0">
              <w:rPr>
                <w:spacing w:val="-3"/>
              </w:rPr>
              <w:t xml:space="preserve"> </w:t>
            </w:r>
            <w:r w:rsidRPr="00EC20A0">
              <w:t>(e.g.,</w:t>
            </w:r>
            <w:r w:rsidRPr="00EC20A0">
              <w:rPr>
                <w:spacing w:val="-3"/>
              </w:rPr>
              <w:t xml:space="preserve"> </w:t>
            </w:r>
            <w:r w:rsidRPr="00EC20A0">
              <w:t>monetary</w:t>
            </w:r>
            <w:r w:rsidRPr="00EC20A0">
              <w:rPr>
                <w:spacing w:val="-3"/>
              </w:rPr>
              <w:t xml:space="preserve"> </w:t>
            </w:r>
            <w:r w:rsidRPr="00EC20A0">
              <w:t>unit</w:t>
            </w:r>
            <w:r w:rsidRPr="00EC20A0">
              <w:rPr>
                <w:spacing w:val="-3"/>
              </w:rPr>
              <w:t xml:space="preserve"> </w:t>
            </w:r>
            <w:r w:rsidRPr="00EC20A0">
              <w:t>sample</w:t>
            </w:r>
            <w:r w:rsidRPr="00EC20A0">
              <w:rPr>
                <w:spacing w:val="-4"/>
              </w:rPr>
              <w:t xml:space="preserve"> </w:t>
            </w:r>
            <w:r w:rsidRPr="00EC20A0">
              <w:t>or</w:t>
            </w:r>
            <w:r w:rsidRPr="00EC20A0">
              <w:rPr>
                <w:spacing w:val="-3"/>
              </w:rPr>
              <w:t xml:space="preserve"> </w:t>
            </w:r>
            <w:r w:rsidRPr="00EC20A0">
              <w:t>attribute</w:t>
            </w:r>
            <w:r w:rsidRPr="00EC20A0">
              <w:rPr>
                <w:spacing w:val="-4"/>
              </w:rPr>
              <w:t xml:space="preserve"> </w:t>
            </w:r>
            <w:r w:rsidRPr="00EC20A0">
              <w:t>sample)</w:t>
            </w:r>
            <w:r w:rsidRPr="00EC20A0">
              <w:rPr>
                <w:spacing w:val="-3"/>
              </w:rPr>
              <w:t xml:space="preserve"> </w:t>
            </w:r>
            <w:r w:rsidRPr="00EC20A0">
              <w:t>or nonstatistical sampling;</w:t>
            </w:r>
          </w:p>
        </w:tc>
        <w:tc>
          <w:tcPr>
            <w:tcW w:w="811" w:type="dxa"/>
            <w:tcBorders>
              <w:top w:val="single" w:sz="8" w:space="0" w:color="000000"/>
              <w:left w:val="single" w:sz="8" w:space="0" w:color="000000"/>
              <w:bottom w:val="single" w:sz="8" w:space="0" w:color="000000"/>
              <w:right w:val="single" w:sz="8" w:space="0" w:color="000000"/>
            </w:tcBorders>
          </w:tcPr>
          <w:p w14:paraId="24D6239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9D" w14:textId="77777777" w:rsidR="00245300" w:rsidRPr="00EC20A0" w:rsidRDefault="00245300">
            <w:pPr>
              <w:pStyle w:val="TableParagraph"/>
            </w:pPr>
          </w:p>
        </w:tc>
      </w:tr>
      <w:tr w:rsidR="00245300" w:rsidRPr="00EC20A0" w14:paraId="24D623A2" w14:textId="77777777">
        <w:trPr>
          <w:trHeight w:val="745"/>
        </w:trPr>
        <w:tc>
          <w:tcPr>
            <w:tcW w:w="7380" w:type="dxa"/>
            <w:tcBorders>
              <w:top w:val="single" w:sz="8" w:space="0" w:color="000000"/>
              <w:bottom w:val="single" w:sz="8" w:space="0" w:color="000000"/>
              <w:right w:val="single" w:sz="8" w:space="0" w:color="000000"/>
            </w:tcBorders>
          </w:tcPr>
          <w:p w14:paraId="24D6239F" w14:textId="77777777" w:rsidR="00245300" w:rsidRPr="00EC20A0" w:rsidRDefault="00F17249">
            <w:pPr>
              <w:pStyle w:val="TableParagraph"/>
              <w:spacing w:before="119"/>
              <w:ind w:left="1249" w:right="172" w:hanging="361"/>
            </w:pPr>
            <w:r w:rsidRPr="00EC20A0">
              <w:t>b.</w:t>
            </w:r>
            <w:r w:rsidRPr="00EC20A0">
              <w:rPr>
                <w:spacing w:val="80"/>
              </w:rPr>
              <w:t xml:space="preserve"> </w:t>
            </w:r>
            <w:r w:rsidRPr="00EC20A0">
              <w:t>sample</w:t>
            </w:r>
            <w:r w:rsidRPr="00EC20A0">
              <w:rPr>
                <w:spacing w:val="-4"/>
              </w:rPr>
              <w:t xml:space="preserve"> </w:t>
            </w:r>
            <w:r w:rsidRPr="00EC20A0">
              <w:t>size</w:t>
            </w:r>
            <w:r w:rsidRPr="00EC20A0">
              <w:rPr>
                <w:spacing w:val="-5"/>
              </w:rPr>
              <w:t xml:space="preserve"> </w:t>
            </w:r>
            <w:r w:rsidRPr="00EC20A0">
              <w:t>and</w:t>
            </w:r>
            <w:r w:rsidRPr="00EC20A0">
              <w:rPr>
                <w:spacing w:val="-4"/>
              </w:rPr>
              <w:t xml:space="preserve"> </w:t>
            </w:r>
            <w:r w:rsidRPr="00EC20A0">
              <w:t>method</w:t>
            </w:r>
            <w:r w:rsidRPr="00EC20A0">
              <w:rPr>
                <w:spacing w:val="-4"/>
              </w:rPr>
              <w:t xml:space="preserve"> </w:t>
            </w:r>
            <w:r w:rsidRPr="00EC20A0">
              <w:t>(i.e.,</w:t>
            </w:r>
            <w:r w:rsidRPr="00EC20A0">
              <w:rPr>
                <w:spacing w:val="-4"/>
              </w:rPr>
              <w:t xml:space="preserve"> </w:t>
            </w:r>
            <w:r w:rsidRPr="00EC20A0">
              <w:t>IDEA)</w:t>
            </w:r>
            <w:r w:rsidRPr="00EC20A0">
              <w:rPr>
                <w:spacing w:val="-4"/>
              </w:rPr>
              <w:t xml:space="preserve"> </w:t>
            </w:r>
            <w:r w:rsidRPr="00EC20A0">
              <w:t>of</w:t>
            </w:r>
            <w:r w:rsidRPr="00EC20A0">
              <w:rPr>
                <w:spacing w:val="-4"/>
              </w:rPr>
              <w:t xml:space="preserve"> </w:t>
            </w:r>
            <w:r w:rsidRPr="00EC20A0">
              <w:t>determining</w:t>
            </w:r>
            <w:r w:rsidRPr="00EC20A0">
              <w:rPr>
                <w:spacing w:val="-4"/>
              </w:rPr>
              <w:t xml:space="preserve"> </w:t>
            </w:r>
            <w:r w:rsidRPr="00EC20A0">
              <w:t>the sample size;</w:t>
            </w:r>
          </w:p>
        </w:tc>
        <w:tc>
          <w:tcPr>
            <w:tcW w:w="811" w:type="dxa"/>
            <w:tcBorders>
              <w:top w:val="single" w:sz="8" w:space="0" w:color="000000"/>
              <w:left w:val="single" w:sz="8" w:space="0" w:color="000000"/>
              <w:bottom w:val="single" w:sz="8" w:space="0" w:color="000000"/>
              <w:right w:val="single" w:sz="8" w:space="0" w:color="000000"/>
            </w:tcBorders>
          </w:tcPr>
          <w:p w14:paraId="24D623A0"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A1" w14:textId="77777777" w:rsidR="00245300" w:rsidRPr="00EC20A0" w:rsidRDefault="00245300">
            <w:pPr>
              <w:pStyle w:val="TableParagraph"/>
            </w:pPr>
          </w:p>
        </w:tc>
      </w:tr>
      <w:tr w:rsidR="00245300" w:rsidRPr="00EC20A0" w14:paraId="24D623A6" w14:textId="77777777">
        <w:trPr>
          <w:trHeight w:val="492"/>
        </w:trPr>
        <w:tc>
          <w:tcPr>
            <w:tcW w:w="7380" w:type="dxa"/>
            <w:tcBorders>
              <w:top w:val="single" w:sz="8" w:space="0" w:color="000000"/>
              <w:bottom w:val="single" w:sz="8" w:space="0" w:color="000000"/>
              <w:right w:val="single" w:sz="8" w:space="0" w:color="000000"/>
            </w:tcBorders>
          </w:tcPr>
          <w:p w14:paraId="24D623A3" w14:textId="77777777" w:rsidR="00245300" w:rsidRPr="00EC20A0" w:rsidRDefault="00F17249">
            <w:pPr>
              <w:pStyle w:val="TableParagraph"/>
              <w:spacing w:before="121"/>
              <w:ind w:left="889"/>
            </w:pPr>
            <w:r w:rsidRPr="00EC20A0">
              <w:t>c.</w:t>
            </w:r>
            <w:r w:rsidRPr="00EC20A0">
              <w:rPr>
                <w:spacing w:val="30"/>
              </w:rPr>
              <w:t xml:space="preserve">  </w:t>
            </w:r>
            <w:r w:rsidRPr="00EC20A0">
              <w:t>tests</w:t>
            </w:r>
            <w:r w:rsidRPr="00EC20A0">
              <w:rPr>
                <w:spacing w:val="-1"/>
              </w:rPr>
              <w:t xml:space="preserve"> </w:t>
            </w:r>
            <w:r w:rsidRPr="00EC20A0">
              <w:rPr>
                <w:spacing w:val="-2"/>
              </w:rPr>
              <w:t>performed;</w:t>
            </w:r>
          </w:p>
        </w:tc>
        <w:tc>
          <w:tcPr>
            <w:tcW w:w="811" w:type="dxa"/>
            <w:tcBorders>
              <w:top w:val="single" w:sz="8" w:space="0" w:color="000000"/>
              <w:left w:val="single" w:sz="8" w:space="0" w:color="000000"/>
              <w:bottom w:val="single" w:sz="8" w:space="0" w:color="000000"/>
              <w:right w:val="single" w:sz="8" w:space="0" w:color="000000"/>
            </w:tcBorders>
          </w:tcPr>
          <w:p w14:paraId="24D623A4"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A5" w14:textId="77777777" w:rsidR="00245300" w:rsidRPr="00EC20A0" w:rsidRDefault="00245300">
            <w:pPr>
              <w:pStyle w:val="TableParagraph"/>
            </w:pPr>
          </w:p>
        </w:tc>
      </w:tr>
      <w:tr w:rsidR="00245300" w:rsidRPr="00EC20A0" w14:paraId="24D623AA" w14:textId="77777777">
        <w:trPr>
          <w:trHeight w:val="493"/>
        </w:trPr>
        <w:tc>
          <w:tcPr>
            <w:tcW w:w="7380" w:type="dxa"/>
            <w:tcBorders>
              <w:top w:val="single" w:sz="8" w:space="0" w:color="000000"/>
              <w:bottom w:val="single" w:sz="8" w:space="0" w:color="000000"/>
              <w:right w:val="single" w:sz="8" w:space="0" w:color="000000"/>
            </w:tcBorders>
          </w:tcPr>
          <w:p w14:paraId="24D623A7" w14:textId="77777777" w:rsidR="00245300" w:rsidRPr="00EC20A0" w:rsidRDefault="00F17249">
            <w:pPr>
              <w:pStyle w:val="TableParagraph"/>
              <w:spacing w:before="121"/>
              <w:ind w:left="889"/>
            </w:pPr>
            <w:r w:rsidRPr="00EC20A0">
              <w:t>d.</w:t>
            </w:r>
            <w:r w:rsidRPr="00EC20A0">
              <w:rPr>
                <w:spacing w:val="66"/>
                <w:w w:val="150"/>
              </w:rPr>
              <w:t xml:space="preserve"> </w:t>
            </w:r>
            <w:r w:rsidRPr="00EC20A0">
              <w:t>results</w:t>
            </w:r>
            <w:r w:rsidRPr="00EC20A0">
              <w:rPr>
                <w:spacing w:val="-6"/>
              </w:rPr>
              <w:t xml:space="preserve"> </w:t>
            </w:r>
            <w:r w:rsidRPr="00EC20A0">
              <w:t>(misstatements</w:t>
            </w:r>
            <w:r w:rsidRPr="00EC20A0">
              <w:rPr>
                <w:spacing w:val="-6"/>
              </w:rPr>
              <w:t xml:space="preserve"> </w:t>
            </w:r>
            <w:r w:rsidRPr="00EC20A0">
              <w:t>and</w:t>
            </w:r>
            <w:r w:rsidRPr="00EC20A0">
              <w:rPr>
                <w:spacing w:val="-6"/>
              </w:rPr>
              <w:t xml:space="preserve"> </w:t>
            </w:r>
            <w:r w:rsidRPr="00EC20A0">
              <w:t>deviations</w:t>
            </w:r>
            <w:r w:rsidRPr="00EC20A0">
              <w:rPr>
                <w:spacing w:val="-6"/>
              </w:rPr>
              <w:t xml:space="preserve"> </w:t>
            </w:r>
            <w:r w:rsidRPr="00EC20A0">
              <w:rPr>
                <w:spacing w:val="-2"/>
              </w:rPr>
              <w:t>found);</w:t>
            </w:r>
          </w:p>
        </w:tc>
        <w:tc>
          <w:tcPr>
            <w:tcW w:w="811" w:type="dxa"/>
            <w:tcBorders>
              <w:top w:val="single" w:sz="8" w:space="0" w:color="000000"/>
              <w:left w:val="single" w:sz="8" w:space="0" w:color="000000"/>
              <w:bottom w:val="single" w:sz="8" w:space="0" w:color="000000"/>
              <w:right w:val="single" w:sz="8" w:space="0" w:color="000000"/>
            </w:tcBorders>
          </w:tcPr>
          <w:p w14:paraId="24D623A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A9" w14:textId="77777777" w:rsidR="00245300" w:rsidRPr="00EC20A0" w:rsidRDefault="00245300">
            <w:pPr>
              <w:pStyle w:val="TableParagraph"/>
            </w:pPr>
          </w:p>
        </w:tc>
      </w:tr>
      <w:tr w:rsidR="00245300" w:rsidRPr="00EC20A0" w14:paraId="24D623AE" w14:textId="77777777">
        <w:trPr>
          <w:trHeight w:val="746"/>
        </w:trPr>
        <w:tc>
          <w:tcPr>
            <w:tcW w:w="7380" w:type="dxa"/>
            <w:tcBorders>
              <w:top w:val="single" w:sz="8" w:space="0" w:color="000000"/>
              <w:bottom w:val="single" w:sz="8" w:space="0" w:color="000000"/>
              <w:right w:val="single" w:sz="8" w:space="0" w:color="000000"/>
            </w:tcBorders>
          </w:tcPr>
          <w:p w14:paraId="24D623AB" w14:textId="77777777" w:rsidR="00245300" w:rsidRPr="00EC20A0" w:rsidRDefault="00F17249">
            <w:pPr>
              <w:pStyle w:val="TableParagraph"/>
              <w:spacing w:before="119"/>
              <w:ind w:left="1249" w:hanging="360"/>
            </w:pPr>
            <w:r w:rsidRPr="00EC20A0">
              <w:t>e.</w:t>
            </w:r>
            <w:r w:rsidRPr="00EC20A0">
              <w:rPr>
                <w:spacing w:val="80"/>
              </w:rPr>
              <w:t xml:space="preserve"> </w:t>
            </w:r>
            <w:r w:rsidRPr="00EC20A0">
              <w:t>evaluation</w:t>
            </w:r>
            <w:r w:rsidRPr="00EC20A0">
              <w:rPr>
                <w:spacing w:val="-4"/>
              </w:rPr>
              <w:t xml:space="preserve"> </w:t>
            </w:r>
            <w:r w:rsidRPr="00EC20A0">
              <w:t>(including</w:t>
            </w:r>
            <w:r w:rsidRPr="00EC20A0">
              <w:rPr>
                <w:spacing w:val="-4"/>
              </w:rPr>
              <w:t xml:space="preserve"> </w:t>
            </w:r>
            <w:r w:rsidRPr="00EC20A0">
              <w:t>projection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population</w:t>
            </w:r>
            <w:r w:rsidRPr="00EC20A0">
              <w:rPr>
                <w:spacing w:val="-5"/>
              </w:rPr>
              <w:t xml:space="preserve"> </w:t>
            </w:r>
            <w:r w:rsidRPr="00EC20A0">
              <w:t>if</w:t>
            </w:r>
            <w:r w:rsidRPr="00EC20A0">
              <w:rPr>
                <w:spacing w:val="-4"/>
              </w:rPr>
              <w:t xml:space="preserve"> </w:t>
            </w:r>
            <w:r w:rsidRPr="00EC20A0">
              <w:t>statistical sampling was used);</w:t>
            </w:r>
          </w:p>
        </w:tc>
        <w:tc>
          <w:tcPr>
            <w:tcW w:w="811" w:type="dxa"/>
            <w:tcBorders>
              <w:top w:val="single" w:sz="8" w:space="0" w:color="000000"/>
              <w:left w:val="single" w:sz="8" w:space="0" w:color="000000"/>
              <w:bottom w:val="single" w:sz="8" w:space="0" w:color="000000"/>
              <w:right w:val="single" w:sz="8" w:space="0" w:color="000000"/>
            </w:tcBorders>
          </w:tcPr>
          <w:p w14:paraId="24D623A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AD" w14:textId="77777777" w:rsidR="00245300" w:rsidRPr="00EC20A0" w:rsidRDefault="00245300">
            <w:pPr>
              <w:pStyle w:val="TableParagraph"/>
            </w:pPr>
          </w:p>
        </w:tc>
      </w:tr>
    </w:tbl>
    <w:p w14:paraId="24D623AF" w14:textId="77777777" w:rsidR="00245300" w:rsidRPr="00EC20A0" w:rsidRDefault="00245300">
      <w:pPr>
        <w:sectPr w:rsidR="00245300" w:rsidRPr="00EC20A0">
          <w:pgSz w:w="12240" w:h="15840"/>
          <w:pgMar w:top="1340" w:right="460" w:bottom="940" w:left="560" w:header="721" w:footer="757" w:gutter="0"/>
          <w:cols w:space="720"/>
        </w:sectPr>
      </w:pPr>
    </w:p>
    <w:p w14:paraId="24D623B0"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3B7" w14:textId="77777777">
        <w:trPr>
          <w:trHeight w:val="936"/>
        </w:trPr>
        <w:tc>
          <w:tcPr>
            <w:tcW w:w="7380" w:type="dxa"/>
            <w:tcBorders>
              <w:right w:val="single" w:sz="8" w:space="0" w:color="000000"/>
            </w:tcBorders>
            <w:shd w:val="clear" w:color="auto" w:fill="A6A6A6"/>
          </w:tcPr>
          <w:p w14:paraId="24D623B1" w14:textId="77777777" w:rsidR="00245300" w:rsidRPr="00EC20A0" w:rsidRDefault="00245300">
            <w:pPr>
              <w:pStyle w:val="TableParagraph"/>
              <w:spacing w:before="266"/>
              <w:rPr>
                <w:b/>
                <w:sz w:val="24"/>
              </w:rPr>
            </w:pPr>
          </w:p>
          <w:p w14:paraId="24D623B2"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3B3"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3B4" w14:textId="77777777" w:rsidR="00245300" w:rsidRPr="00EC20A0" w:rsidRDefault="00245300">
            <w:pPr>
              <w:pStyle w:val="TableParagraph"/>
              <w:rPr>
                <w:b/>
              </w:rPr>
            </w:pPr>
          </w:p>
          <w:p w14:paraId="24D623B5" w14:textId="77777777" w:rsidR="00245300" w:rsidRPr="00EC20A0" w:rsidRDefault="00245300">
            <w:pPr>
              <w:pStyle w:val="TableParagraph"/>
              <w:spacing w:before="120"/>
              <w:rPr>
                <w:b/>
              </w:rPr>
            </w:pPr>
          </w:p>
          <w:p w14:paraId="24D623B6"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3BB" w14:textId="77777777">
        <w:trPr>
          <w:trHeight w:val="494"/>
        </w:trPr>
        <w:tc>
          <w:tcPr>
            <w:tcW w:w="7380" w:type="dxa"/>
            <w:tcBorders>
              <w:bottom w:val="single" w:sz="8" w:space="0" w:color="000000"/>
              <w:right w:val="single" w:sz="8" w:space="0" w:color="000000"/>
            </w:tcBorders>
          </w:tcPr>
          <w:p w14:paraId="24D623B8" w14:textId="77777777" w:rsidR="00245300" w:rsidRPr="00EC20A0" w:rsidRDefault="00F17249">
            <w:pPr>
              <w:pStyle w:val="TableParagraph"/>
              <w:tabs>
                <w:tab w:val="left" w:pos="1249"/>
              </w:tabs>
              <w:spacing w:before="121"/>
              <w:ind w:left="889"/>
            </w:pPr>
            <w:r w:rsidRPr="00EC20A0">
              <w:rPr>
                <w:spacing w:val="-5"/>
              </w:rPr>
              <w:t>f.</w:t>
            </w:r>
            <w:r w:rsidRPr="00EC20A0">
              <w:tab/>
              <w:t>conclusions;</w:t>
            </w:r>
            <w:r w:rsidRPr="00EC20A0">
              <w:rPr>
                <w:spacing w:val="-15"/>
              </w:rPr>
              <w:t xml:space="preserve"> </w:t>
            </w:r>
            <w:r w:rsidRPr="00EC20A0">
              <w:rPr>
                <w:spacing w:val="-5"/>
              </w:rPr>
              <w:t>and</w:t>
            </w:r>
          </w:p>
        </w:tc>
        <w:tc>
          <w:tcPr>
            <w:tcW w:w="811" w:type="dxa"/>
            <w:tcBorders>
              <w:left w:val="single" w:sz="8" w:space="0" w:color="000000"/>
              <w:bottom w:val="single" w:sz="8" w:space="0" w:color="000000"/>
              <w:right w:val="single" w:sz="8" w:space="0" w:color="000000"/>
            </w:tcBorders>
          </w:tcPr>
          <w:p w14:paraId="24D623B9"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3BA" w14:textId="77777777" w:rsidR="00245300" w:rsidRPr="00EC20A0" w:rsidRDefault="00245300">
            <w:pPr>
              <w:pStyle w:val="TableParagraph"/>
            </w:pPr>
          </w:p>
        </w:tc>
      </w:tr>
      <w:tr w:rsidR="00245300" w:rsidRPr="00EC20A0" w14:paraId="24D623BF" w14:textId="77777777">
        <w:trPr>
          <w:trHeight w:val="745"/>
        </w:trPr>
        <w:tc>
          <w:tcPr>
            <w:tcW w:w="7380" w:type="dxa"/>
            <w:tcBorders>
              <w:top w:val="single" w:sz="8" w:space="0" w:color="000000"/>
              <w:bottom w:val="single" w:sz="8" w:space="0" w:color="000000"/>
              <w:right w:val="single" w:sz="8" w:space="0" w:color="000000"/>
            </w:tcBorders>
          </w:tcPr>
          <w:p w14:paraId="24D623BC" w14:textId="77777777" w:rsidR="00245300" w:rsidRPr="00EC20A0" w:rsidRDefault="00F17249">
            <w:pPr>
              <w:pStyle w:val="TableParagraph"/>
              <w:spacing w:before="119"/>
              <w:ind w:left="1249" w:right="172" w:hanging="361"/>
            </w:pPr>
            <w:r w:rsidRPr="00EC20A0">
              <w:t>g.</w:t>
            </w:r>
            <w:r w:rsidRPr="00EC20A0">
              <w:rPr>
                <w:spacing w:val="80"/>
              </w:rPr>
              <w:t xml:space="preserve"> </w:t>
            </w:r>
            <w:r w:rsidRPr="00EC20A0">
              <w:t>requirements described in section III, item 4, of this checklist—consulting</w:t>
            </w:r>
            <w:r w:rsidRPr="00EC20A0">
              <w:rPr>
                <w:spacing w:val="-6"/>
              </w:rPr>
              <w:t xml:space="preserve"> </w:t>
            </w:r>
            <w:r w:rsidRPr="00EC20A0">
              <w:t>with</w:t>
            </w:r>
            <w:r w:rsidRPr="00EC20A0">
              <w:rPr>
                <w:spacing w:val="-6"/>
              </w:rPr>
              <w:t xml:space="preserve"> </w:t>
            </w:r>
            <w:r w:rsidRPr="00EC20A0">
              <w:t>the</w:t>
            </w:r>
            <w:r w:rsidRPr="00EC20A0">
              <w:rPr>
                <w:spacing w:val="-6"/>
              </w:rPr>
              <w:t xml:space="preserve"> </w:t>
            </w:r>
            <w:r w:rsidRPr="00EC20A0">
              <w:t>auditing</w:t>
            </w:r>
            <w:r w:rsidRPr="00EC20A0">
              <w:rPr>
                <w:spacing w:val="-6"/>
              </w:rPr>
              <w:t xml:space="preserve"> </w:t>
            </w:r>
            <w:r w:rsidRPr="00EC20A0">
              <w:t>specialist?</w:t>
            </w:r>
            <w:r w:rsidRPr="00EC20A0">
              <w:rPr>
                <w:spacing w:val="-7"/>
              </w:rPr>
              <w:t xml:space="preserve"> </w:t>
            </w:r>
            <w:r w:rsidRPr="00EC20A0">
              <w:t>(FAM</w:t>
            </w:r>
            <w:r w:rsidRPr="00EC20A0">
              <w:rPr>
                <w:spacing w:val="-7"/>
              </w:rPr>
              <w:t xml:space="preserve"> </w:t>
            </w:r>
            <w:r w:rsidRPr="00EC20A0">
              <w:t>490)</w:t>
            </w:r>
          </w:p>
        </w:tc>
        <w:tc>
          <w:tcPr>
            <w:tcW w:w="811" w:type="dxa"/>
            <w:tcBorders>
              <w:top w:val="single" w:sz="8" w:space="0" w:color="000000"/>
              <w:left w:val="single" w:sz="8" w:space="0" w:color="000000"/>
              <w:bottom w:val="single" w:sz="8" w:space="0" w:color="000000"/>
              <w:right w:val="single" w:sz="8" w:space="0" w:color="000000"/>
            </w:tcBorders>
          </w:tcPr>
          <w:p w14:paraId="24D623B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BE" w14:textId="77777777" w:rsidR="00245300" w:rsidRPr="00EC20A0" w:rsidRDefault="00245300">
            <w:pPr>
              <w:pStyle w:val="TableParagraph"/>
            </w:pPr>
          </w:p>
        </w:tc>
      </w:tr>
      <w:tr w:rsidR="00245300" w:rsidRPr="00EC20A0" w14:paraId="24D623C3" w14:textId="77777777">
        <w:trPr>
          <w:trHeight w:val="745"/>
        </w:trPr>
        <w:tc>
          <w:tcPr>
            <w:tcW w:w="7380" w:type="dxa"/>
            <w:tcBorders>
              <w:top w:val="single" w:sz="8" w:space="0" w:color="000000"/>
              <w:bottom w:val="single" w:sz="8" w:space="0" w:color="000000"/>
              <w:right w:val="single" w:sz="8" w:space="0" w:color="000000"/>
            </w:tcBorders>
          </w:tcPr>
          <w:p w14:paraId="24D623C0" w14:textId="77777777" w:rsidR="00245300" w:rsidRPr="00EC20A0" w:rsidRDefault="00F17249">
            <w:pPr>
              <w:pStyle w:val="TableParagraph"/>
              <w:spacing w:before="119"/>
              <w:ind w:left="843" w:hanging="360"/>
            </w:pPr>
            <w:r w:rsidRPr="00EC20A0">
              <w:t>5.</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properly</w:t>
            </w:r>
            <w:r w:rsidRPr="00EC20A0">
              <w:rPr>
                <w:spacing w:val="-5"/>
              </w:rPr>
              <w:t xml:space="preserve"> </w:t>
            </w:r>
            <w:r w:rsidRPr="00EC20A0">
              <w:t>perform</w:t>
            </w:r>
            <w:r w:rsidRPr="00EC20A0">
              <w:rPr>
                <w:spacing w:val="-5"/>
              </w:rPr>
              <w:t xml:space="preserve"> </w:t>
            </w:r>
            <w:r w:rsidRPr="00EC20A0">
              <w:t>and</w:t>
            </w:r>
            <w:r w:rsidRPr="00EC20A0">
              <w:rPr>
                <w:spacing w:val="-4"/>
              </w:rPr>
              <w:t xml:space="preserve"> </w:t>
            </w:r>
            <w:r w:rsidRPr="00EC20A0">
              <w:t>document</w:t>
            </w:r>
            <w:r w:rsidRPr="00EC20A0">
              <w:rPr>
                <w:spacing w:val="-4"/>
              </w:rPr>
              <w:t xml:space="preserve"> </w:t>
            </w:r>
            <w:r w:rsidRPr="00EC20A0">
              <w:t>its</w:t>
            </w:r>
            <w:r w:rsidRPr="00EC20A0">
              <w:rPr>
                <w:spacing w:val="-4"/>
              </w:rPr>
              <w:t xml:space="preserve"> </w:t>
            </w:r>
            <w:r w:rsidRPr="00EC20A0">
              <w:t>substantive analytical procedures? (FAM 475 and 490)</w:t>
            </w:r>
          </w:p>
        </w:tc>
        <w:tc>
          <w:tcPr>
            <w:tcW w:w="811" w:type="dxa"/>
            <w:tcBorders>
              <w:top w:val="single" w:sz="8" w:space="0" w:color="000000"/>
              <w:left w:val="single" w:sz="8" w:space="0" w:color="000000"/>
              <w:bottom w:val="single" w:sz="8" w:space="0" w:color="000000"/>
              <w:right w:val="single" w:sz="8" w:space="0" w:color="000000"/>
            </w:tcBorders>
          </w:tcPr>
          <w:p w14:paraId="24D623C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C2" w14:textId="77777777" w:rsidR="00245300" w:rsidRPr="00EC20A0" w:rsidRDefault="00245300">
            <w:pPr>
              <w:pStyle w:val="TableParagraph"/>
            </w:pPr>
          </w:p>
        </w:tc>
      </w:tr>
      <w:tr w:rsidR="00245300" w:rsidRPr="00EC20A0" w14:paraId="24D623C7" w14:textId="77777777">
        <w:trPr>
          <w:trHeight w:val="493"/>
        </w:trPr>
        <w:tc>
          <w:tcPr>
            <w:tcW w:w="7380" w:type="dxa"/>
            <w:tcBorders>
              <w:top w:val="single" w:sz="8" w:space="0" w:color="000000"/>
              <w:bottom w:val="single" w:sz="8" w:space="0" w:color="000000"/>
              <w:right w:val="single" w:sz="8" w:space="0" w:color="000000"/>
            </w:tcBorders>
          </w:tcPr>
          <w:p w14:paraId="24D623C4" w14:textId="77777777" w:rsidR="00245300" w:rsidRPr="00EC20A0" w:rsidRDefault="00F17249">
            <w:pPr>
              <w:pStyle w:val="TableParagraph"/>
              <w:spacing w:before="121"/>
              <w:ind w:left="483"/>
            </w:pPr>
            <w:r w:rsidRPr="00EC20A0">
              <w:t>6.</w:t>
            </w:r>
            <w:r w:rsidRPr="00EC20A0">
              <w:rPr>
                <w:spacing w:val="70"/>
                <w:w w:val="150"/>
              </w:rPr>
              <w:t xml:space="preserve"> </w:t>
            </w:r>
            <w:r w:rsidRPr="00EC20A0">
              <w:t>When</w:t>
            </w:r>
            <w:r w:rsidRPr="00EC20A0">
              <w:rPr>
                <w:spacing w:val="-5"/>
              </w:rPr>
              <w:t xml:space="preserve"> </w:t>
            </w:r>
            <w:r w:rsidRPr="00EC20A0">
              <w:t>the</w:t>
            </w:r>
            <w:r w:rsidRPr="00EC20A0">
              <w:rPr>
                <w:spacing w:val="-4"/>
              </w:rPr>
              <w:t xml:space="preserve"> </w:t>
            </w:r>
            <w:r w:rsidRPr="00EC20A0">
              <w:t>auditor</w:t>
            </w:r>
            <w:r w:rsidRPr="00EC20A0">
              <w:rPr>
                <w:spacing w:val="-5"/>
              </w:rPr>
              <w:t xml:space="preserve"> </w:t>
            </w:r>
            <w:r w:rsidRPr="00EC20A0">
              <w:t>performed</w:t>
            </w:r>
            <w:r w:rsidRPr="00EC20A0">
              <w:rPr>
                <w:spacing w:val="-5"/>
              </w:rPr>
              <w:t xml:space="preserve"> </w:t>
            </w:r>
            <w:r w:rsidRPr="00EC20A0">
              <w:t>interim</w:t>
            </w:r>
            <w:r w:rsidRPr="00EC20A0">
              <w:rPr>
                <w:spacing w:val="-5"/>
              </w:rPr>
              <w:t xml:space="preserve"> </w:t>
            </w:r>
            <w:r w:rsidRPr="00EC20A0">
              <w:t>testing,</w:t>
            </w:r>
            <w:r w:rsidRPr="00EC20A0">
              <w:rPr>
                <w:spacing w:val="-5"/>
              </w:rPr>
              <w:t xml:space="preserve"> </w:t>
            </w:r>
            <w:r w:rsidRPr="00EC20A0">
              <w:t>did</w:t>
            </w:r>
            <w:r w:rsidRPr="00EC20A0">
              <w:rPr>
                <w:spacing w:val="-4"/>
              </w:rPr>
              <w:t xml:space="preserve"> </w:t>
            </w:r>
            <w:r w:rsidRPr="00EC20A0">
              <w:t>the</w:t>
            </w:r>
            <w:r w:rsidRPr="00EC20A0">
              <w:rPr>
                <w:spacing w:val="-5"/>
              </w:rPr>
              <w:t xml:space="preserve"> </w:t>
            </w:r>
            <w:r w:rsidRPr="00EC20A0">
              <w:rPr>
                <w:spacing w:val="-2"/>
              </w:rPr>
              <w:t>auditor</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3C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3C6" w14:textId="77777777" w:rsidR="00245300" w:rsidRPr="00EC20A0" w:rsidRDefault="00245300">
            <w:pPr>
              <w:pStyle w:val="TableParagraph"/>
            </w:pPr>
          </w:p>
        </w:tc>
      </w:tr>
      <w:tr w:rsidR="00245300" w:rsidRPr="00EC20A0" w14:paraId="24D623CB" w14:textId="77777777">
        <w:trPr>
          <w:trHeight w:val="492"/>
        </w:trPr>
        <w:tc>
          <w:tcPr>
            <w:tcW w:w="7380" w:type="dxa"/>
            <w:tcBorders>
              <w:top w:val="single" w:sz="8" w:space="0" w:color="000000"/>
              <w:bottom w:val="single" w:sz="8" w:space="0" w:color="000000"/>
              <w:right w:val="single" w:sz="8" w:space="0" w:color="000000"/>
            </w:tcBorders>
          </w:tcPr>
          <w:p w14:paraId="24D623C8" w14:textId="77777777" w:rsidR="00245300" w:rsidRPr="00EC20A0" w:rsidRDefault="00F17249">
            <w:pPr>
              <w:pStyle w:val="TableParagraph"/>
              <w:spacing w:before="119"/>
              <w:ind w:left="889"/>
            </w:pPr>
            <w:r w:rsidRPr="00EC20A0">
              <w:t>a.</w:t>
            </w:r>
            <w:r w:rsidRPr="00EC20A0">
              <w:rPr>
                <w:spacing w:val="71"/>
                <w:w w:val="150"/>
              </w:rPr>
              <w:t xml:space="preserve"> </w:t>
            </w:r>
            <w:r w:rsidRPr="00EC20A0">
              <w:t>test</w:t>
            </w:r>
            <w:r w:rsidRPr="00EC20A0">
              <w:rPr>
                <w:spacing w:val="-4"/>
              </w:rPr>
              <w:t xml:space="preserve"> </w:t>
            </w:r>
            <w:r w:rsidRPr="00EC20A0">
              <w:t>the</w:t>
            </w:r>
            <w:r w:rsidRPr="00EC20A0">
              <w:rPr>
                <w:spacing w:val="-5"/>
              </w:rPr>
              <w:t xml:space="preserve"> </w:t>
            </w:r>
            <w:r w:rsidRPr="00EC20A0">
              <w:t>roll-forward</w:t>
            </w:r>
            <w:r w:rsidRPr="00EC20A0">
              <w:rPr>
                <w:spacing w:val="-4"/>
              </w:rPr>
              <w:t xml:space="preserve"> </w:t>
            </w:r>
            <w:r w:rsidRPr="00EC20A0">
              <w:t>period</w:t>
            </w:r>
            <w:r w:rsidRPr="00EC20A0">
              <w:rPr>
                <w:spacing w:val="-5"/>
              </w:rPr>
              <w:t xml:space="preserve"> and</w:t>
            </w:r>
          </w:p>
        </w:tc>
        <w:tc>
          <w:tcPr>
            <w:tcW w:w="811" w:type="dxa"/>
            <w:tcBorders>
              <w:top w:val="single" w:sz="8" w:space="0" w:color="000000"/>
              <w:left w:val="single" w:sz="8" w:space="0" w:color="000000"/>
              <w:bottom w:val="single" w:sz="8" w:space="0" w:color="000000"/>
              <w:right w:val="single" w:sz="8" w:space="0" w:color="000000"/>
            </w:tcBorders>
          </w:tcPr>
          <w:p w14:paraId="24D623C9"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CA" w14:textId="77777777" w:rsidR="00245300" w:rsidRPr="00EC20A0" w:rsidRDefault="00245300">
            <w:pPr>
              <w:pStyle w:val="TableParagraph"/>
            </w:pPr>
          </w:p>
        </w:tc>
      </w:tr>
      <w:tr w:rsidR="00245300" w:rsidRPr="00EC20A0" w14:paraId="24D623CF" w14:textId="77777777">
        <w:trPr>
          <w:trHeight w:val="493"/>
        </w:trPr>
        <w:tc>
          <w:tcPr>
            <w:tcW w:w="7380" w:type="dxa"/>
            <w:tcBorders>
              <w:top w:val="single" w:sz="8" w:space="0" w:color="000000"/>
              <w:bottom w:val="single" w:sz="8" w:space="0" w:color="000000"/>
              <w:right w:val="single" w:sz="8" w:space="0" w:color="000000"/>
            </w:tcBorders>
          </w:tcPr>
          <w:p w14:paraId="24D623CC" w14:textId="77777777" w:rsidR="00245300" w:rsidRPr="00EC20A0" w:rsidRDefault="00F17249">
            <w:pPr>
              <w:pStyle w:val="TableParagraph"/>
              <w:spacing w:before="121"/>
              <w:ind w:left="889"/>
            </w:pPr>
            <w:r w:rsidRPr="00EC20A0">
              <w:t>b.</w:t>
            </w:r>
            <w:r w:rsidRPr="00EC20A0">
              <w:rPr>
                <w:spacing w:val="69"/>
                <w:w w:val="150"/>
              </w:rPr>
              <w:t xml:space="preserve"> </w:t>
            </w:r>
            <w:r w:rsidRPr="00EC20A0">
              <w:t>properly</w:t>
            </w:r>
            <w:r w:rsidRPr="00EC20A0">
              <w:rPr>
                <w:spacing w:val="-5"/>
              </w:rPr>
              <w:t xml:space="preserve"> </w:t>
            </w:r>
            <w:r w:rsidRPr="00EC20A0">
              <w:t>document</w:t>
            </w:r>
            <w:r w:rsidRPr="00EC20A0">
              <w:rPr>
                <w:spacing w:val="-4"/>
              </w:rPr>
              <w:t xml:space="preserve"> </w:t>
            </w:r>
            <w:r w:rsidRPr="00EC20A0">
              <w:rPr>
                <w:spacing w:val="-5"/>
              </w:rPr>
              <w:t>the</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3C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3CE" w14:textId="77777777" w:rsidR="00245300" w:rsidRPr="00EC20A0" w:rsidRDefault="00245300">
            <w:pPr>
              <w:pStyle w:val="TableParagraph"/>
            </w:pPr>
          </w:p>
        </w:tc>
      </w:tr>
      <w:tr w:rsidR="00245300" w:rsidRPr="00EC20A0" w14:paraId="24D623D3" w14:textId="77777777">
        <w:trPr>
          <w:trHeight w:val="998"/>
        </w:trPr>
        <w:tc>
          <w:tcPr>
            <w:tcW w:w="7380" w:type="dxa"/>
            <w:tcBorders>
              <w:top w:val="single" w:sz="8" w:space="0" w:color="000000"/>
              <w:bottom w:val="single" w:sz="8" w:space="0" w:color="000000"/>
              <w:right w:val="single" w:sz="8" w:space="0" w:color="000000"/>
            </w:tcBorders>
          </w:tcPr>
          <w:p w14:paraId="24D623D0" w14:textId="77777777" w:rsidR="00245300" w:rsidRPr="00EC20A0" w:rsidRDefault="00F17249">
            <w:pPr>
              <w:pStyle w:val="TableParagraph"/>
              <w:spacing w:before="119"/>
              <w:ind w:left="1609" w:right="222" w:hanging="291"/>
            </w:pPr>
            <w:r w:rsidRPr="00EC20A0">
              <w:t>i.</w:t>
            </w:r>
            <w:r w:rsidRPr="00EC20A0">
              <w:rPr>
                <w:spacing w:val="40"/>
              </w:rPr>
              <w:t xml:space="preserve"> </w:t>
            </w:r>
            <w:r w:rsidRPr="00EC20A0">
              <w:t>basis for using interim testing and the line items, accounts,</w:t>
            </w:r>
            <w:r w:rsidRPr="00EC20A0">
              <w:rPr>
                <w:spacing w:val="-6"/>
              </w:rPr>
              <w:t xml:space="preserve"> </w:t>
            </w:r>
            <w:r w:rsidRPr="00EC20A0">
              <w:t>note</w:t>
            </w:r>
            <w:r w:rsidRPr="00EC20A0">
              <w:rPr>
                <w:spacing w:val="-6"/>
              </w:rPr>
              <w:t xml:space="preserve"> </w:t>
            </w:r>
            <w:r w:rsidRPr="00EC20A0">
              <w:t>disclosures,</w:t>
            </w:r>
            <w:r w:rsidRPr="00EC20A0">
              <w:rPr>
                <w:spacing w:val="-6"/>
              </w:rPr>
              <w:t xml:space="preserve"> </w:t>
            </w:r>
            <w:r w:rsidRPr="00EC20A0">
              <w:t>classes</w:t>
            </w:r>
            <w:r w:rsidRPr="00EC20A0">
              <w:rPr>
                <w:spacing w:val="-7"/>
              </w:rPr>
              <w:t xml:space="preserve"> </w:t>
            </w:r>
            <w:r w:rsidRPr="00EC20A0">
              <w:t>of</w:t>
            </w:r>
            <w:r w:rsidRPr="00EC20A0">
              <w:rPr>
                <w:spacing w:val="-6"/>
              </w:rPr>
              <w:t xml:space="preserve"> </w:t>
            </w:r>
            <w:r w:rsidRPr="00EC20A0">
              <w:t>transactions,</w:t>
            </w:r>
            <w:r w:rsidRPr="00EC20A0">
              <w:rPr>
                <w:spacing w:val="-6"/>
              </w:rPr>
              <w:t xml:space="preserve"> </w:t>
            </w:r>
            <w:r w:rsidRPr="00EC20A0">
              <w:t>and assertions tested, as applicable,</w:t>
            </w:r>
          </w:p>
        </w:tc>
        <w:tc>
          <w:tcPr>
            <w:tcW w:w="811" w:type="dxa"/>
            <w:tcBorders>
              <w:top w:val="single" w:sz="8" w:space="0" w:color="000000"/>
              <w:left w:val="single" w:sz="8" w:space="0" w:color="000000"/>
              <w:bottom w:val="single" w:sz="8" w:space="0" w:color="000000"/>
              <w:right w:val="single" w:sz="8" w:space="0" w:color="000000"/>
            </w:tcBorders>
          </w:tcPr>
          <w:p w14:paraId="24D623D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D2" w14:textId="77777777" w:rsidR="00245300" w:rsidRPr="00EC20A0" w:rsidRDefault="00245300">
            <w:pPr>
              <w:pStyle w:val="TableParagraph"/>
            </w:pPr>
          </w:p>
        </w:tc>
      </w:tr>
      <w:tr w:rsidR="00245300" w:rsidRPr="00EC20A0" w14:paraId="24D623D7" w14:textId="77777777">
        <w:trPr>
          <w:trHeight w:val="492"/>
        </w:trPr>
        <w:tc>
          <w:tcPr>
            <w:tcW w:w="7380" w:type="dxa"/>
            <w:tcBorders>
              <w:top w:val="single" w:sz="8" w:space="0" w:color="000000"/>
              <w:bottom w:val="single" w:sz="8" w:space="0" w:color="000000"/>
              <w:right w:val="single" w:sz="8" w:space="0" w:color="000000"/>
            </w:tcBorders>
          </w:tcPr>
          <w:p w14:paraId="24D623D4" w14:textId="77777777" w:rsidR="00245300" w:rsidRPr="00EC20A0" w:rsidRDefault="00F17249">
            <w:pPr>
              <w:pStyle w:val="TableParagraph"/>
              <w:spacing w:before="119"/>
              <w:ind w:left="1269"/>
            </w:pPr>
            <w:r w:rsidRPr="00EC20A0">
              <w:t>ii.</w:t>
            </w:r>
            <w:r w:rsidRPr="00EC20A0">
              <w:rPr>
                <w:spacing w:val="60"/>
              </w:rPr>
              <w:t xml:space="preserve"> </w:t>
            </w:r>
            <w:r w:rsidRPr="00EC20A0">
              <w:t>procedures</w:t>
            </w:r>
            <w:r w:rsidRPr="00EC20A0">
              <w:rPr>
                <w:spacing w:val="-7"/>
              </w:rPr>
              <w:t xml:space="preserve"> </w:t>
            </w:r>
            <w:r w:rsidRPr="00EC20A0">
              <w:t>performed,</w:t>
            </w:r>
            <w:r w:rsidRPr="00EC20A0">
              <w:rPr>
                <w:spacing w:val="-6"/>
              </w:rPr>
              <w:t xml:space="preserve"> </w:t>
            </w:r>
            <w:r w:rsidRPr="00EC20A0">
              <w:rPr>
                <w:spacing w:val="-5"/>
              </w:rPr>
              <w:t>and</w:t>
            </w:r>
          </w:p>
        </w:tc>
        <w:tc>
          <w:tcPr>
            <w:tcW w:w="811" w:type="dxa"/>
            <w:tcBorders>
              <w:top w:val="single" w:sz="8" w:space="0" w:color="000000"/>
              <w:left w:val="single" w:sz="8" w:space="0" w:color="000000"/>
              <w:bottom w:val="single" w:sz="8" w:space="0" w:color="000000"/>
              <w:right w:val="single" w:sz="8" w:space="0" w:color="000000"/>
            </w:tcBorders>
          </w:tcPr>
          <w:p w14:paraId="24D623D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D6" w14:textId="77777777" w:rsidR="00245300" w:rsidRPr="00EC20A0" w:rsidRDefault="00245300">
            <w:pPr>
              <w:pStyle w:val="TableParagraph"/>
            </w:pPr>
          </w:p>
        </w:tc>
      </w:tr>
      <w:tr w:rsidR="00245300" w:rsidRPr="00EC20A0" w14:paraId="24D623DB" w14:textId="77777777">
        <w:trPr>
          <w:trHeight w:val="493"/>
        </w:trPr>
        <w:tc>
          <w:tcPr>
            <w:tcW w:w="7380" w:type="dxa"/>
            <w:tcBorders>
              <w:top w:val="single" w:sz="8" w:space="0" w:color="000000"/>
              <w:bottom w:val="single" w:sz="8" w:space="0" w:color="000000"/>
              <w:right w:val="single" w:sz="8" w:space="0" w:color="000000"/>
            </w:tcBorders>
          </w:tcPr>
          <w:p w14:paraId="24D623D8" w14:textId="77777777" w:rsidR="00245300" w:rsidRPr="00EC20A0" w:rsidRDefault="00F17249">
            <w:pPr>
              <w:pStyle w:val="TableParagraph"/>
              <w:spacing w:before="121"/>
              <w:ind w:left="1220"/>
            </w:pPr>
            <w:r w:rsidRPr="00EC20A0">
              <w:t>iii.</w:t>
            </w:r>
            <w:r w:rsidRPr="00EC20A0">
              <w:rPr>
                <w:spacing w:val="60"/>
              </w:rPr>
              <w:t xml:space="preserve"> </w:t>
            </w:r>
            <w:r w:rsidRPr="00EC20A0">
              <w:t>effects</w:t>
            </w:r>
            <w:r w:rsidRPr="00EC20A0">
              <w:rPr>
                <w:spacing w:val="-5"/>
              </w:rPr>
              <w:t xml:space="preserve"> </w:t>
            </w:r>
            <w:r w:rsidRPr="00EC20A0">
              <w:t>of</w:t>
            </w:r>
            <w:r w:rsidRPr="00EC20A0">
              <w:rPr>
                <w:spacing w:val="-5"/>
              </w:rPr>
              <w:t xml:space="preserve"> </w:t>
            </w:r>
            <w:r w:rsidRPr="00EC20A0">
              <w:t>any</w:t>
            </w:r>
            <w:r w:rsidRPr="00EC20A0">
              <w:rPr>
                <w:spacing w:val="-6"/>
              </w:rPr>
              <w:t xml:space="preserve"> </w:t>
            </w:r>
            <w:r w:rsidRPr="00EC20A0">
              <w:t>misstatements</w:t>
            </w:r>
            <w:r w:rsidRPr="00EC20A0">
              <w:rPr>
                <w:spacing w:val="-5"/>
              </w:rPr>
              <w:t xml:space="preserve"> </w:t>
            </w:r>
            <w:r w:rsidRPr="00EC20A0">
              <w:t>found?</w:t>
            </w:r>
            <w:r w:rsidRPr="00EC20A0">
              <w:rPr>
                <w:spacing w:val="-6"/>
              </w:rPr>
              <w:t xml:space="preserve"> </w:t>
            </w:r>
            <w:r w:rsidRPr="00EC20A0">
              <w:t>(FAM</w:t>
            </w:r>
            <w:r w:rsidRPr="00EC20A0">
              <w:rPr>
                <w:spacing w:val="-6"/>
              </w:rPr>
              <w:t xml:space="preserve"> </w:t>
            </w:r>
            <w:r w:rsidRPr="00EC20A0">
              <w:t>495</w:t>
            </w:r>
            <w:r w:rsidRPr="00EC20A0">
              <w:rPr>
                <w:spacing w:val="-5"/>
              </w:rPr>
              <w:t xml:space="preserve"> C)</w:t>
            </w:r>
          </w:p>
        </w:tc>
        <w:tc>
          <w:tcPr>
            <w:tcW w:w="811" w:type="dxa"/>
            <w:tcBorders>
              <w:top w:val="single" w:sz="8" w:space="0" w:color="000000"/>
              <w:left w:val="single" w:sz="8" w:space="0" w:color="000000"/>
              <w:bottom w:val="single" w:sz="8" w:space="0" w:color="000000"/>
              <w:right w:val="single" w:sz="8" w:space="0" w:color="000000"/>
            </w:tcBorders>
          </w:tcPr>
          <w:p w14:paraId="24D623D9"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DA" w14:textId="77777777" w:rsidR="00245300" w:rsidRPr="00EC20A0" w:rsidRDefault="00245300">
            <w:pPr>
              <w:pStyle w:val="TableParagraph"/>
            </w:pPr>
          </w:p>
        </w:tc>
      </w:tr>
      <w:tr w:rsidR="00245300" w:rsidRPr="00EC20A0" w14:paraId="24D623DF" w14:textId="77777777">
        <w:trPr>
          <w:trHeight w:val="745"/>
        </w:trPr>
        <w:tc>
          <w:tcPr>
            <w:tcW w:w="7380" w:type="dxa"/>
            <w:tcBorders>
              <w:top w:val="single" w:sz="8" w:space="0" w:color="000000"/>
              <w:bottom w:val="single" w:sz="8" w:space="0" w:color="000000"/>
              <w:right w:val="single" w:sz="8" w:space="0" w:color="000000"/>
            </w:tcBorders>
          </w:tcPr>
          <w:p w14:paraId="24D623DC" w14:textId="77777777" w:rsidR="00245300" w:rsidRPr="00EC20A0" w:rsidRDefault="00F17249">
            <w:pPr>
              <w:pStyle w:val="TableParagraph"/>
              <w:spacing w:before="119"/>
              <w:ind w:left="843" w:hanging="360"/>
            </w:pPr>
            <w:r w:rsidRPr="00EC20A0">
              <w:t>7.</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evaluate</w:t>
            </w:r>
            <w:r w:rsidRPr="00EC20A0">
              <w:rPr>
                <w:spacing w:val="-5"/>
              </w:rPr>
              <w:t xml:space="preserve"> </w:t>
            </w:r>
            <w:r w:rsidRPr="00EC20A0">
              <w:t>the</w:t>
            </w:r>
            <w:r w:rsidRPr="00EC20A0">
              <w:rPr>
                <w:spacing w:val="-4"/>
              </w:rPr>
              <w:t xml:space="preserve"> </w:t>
            </w:r>
            <w:r w:rsidRPr="00EC20A0">
              <w:t>reasonableness</w:t>
            </w:r>
            <w:r w:rsidRPr="00EC20A0">
              <w:rPr>
                <w:spacing w:val="-4"/>
              </w:rPr>
              <w:t xml:space="preserve"> </w:t>
            </w:r>
            <w:r w:rsidRPr="00EC20A0">
              <w:t>of</w:t>
            </w:r>
            <w:r w:rsidRPr="00EC20A0">
              <w:rPr>
                <w:spacing w:val="-5"/>
              </w:rPr>
              <w:t xml:space="preserve"> </w:t>
            </w:r>
            <w:r w:rsidRPr="00EC20A0">
              <w:t>significant accounting estimates made by management? (FAM 905)</w:t>
            </w:r>
          </w:p>
        </w:tc>
        <w:tc>
          <w:tcPr>
            <w:tcW w:w="811" w:type="dxa"/>
            <w:tcBorders>
              <w:top w:val="single" w:sz="8" w:space="0" w:color="000000"/>
              <w:left w:val="single" w:sz="8" w:space="0" w:color="000000"/>
              <w:bottom w:val="single" w:sz="8" w:space="0" w:color="000000"/>
              <w:right w:val="single" w:sz="8" w:space="0" w:color="000000"/>
            </w:tcBorders>
          </w:tcPr>
          <w:p w14:paraId="24D623D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DE" w14:textId="77777777" w:rsidR="00245300" w:rsidRPr="00EC20A0" w:rsidRDefault="00245300">
            <w:pPr>
              <w:pStyle w:val="TableParagraph"/>
            </w:pPr>
          </w:p>
        </w:tc>
      </w:tr>
      <w:tr w:rsidR="00245300" w:rsidRPr="00EC20A0" w14:paraId="24D623E3" w14:textId="77777777">
        <w:trPr>
          <w:trHeight w:val="998"/>
        </w:trPr>
        <w:tc>
          <w:tcPr>
            <w:tcW w:w="7380" w:type="dxa"/>
            <w:tcBorders>
              <w:top w:val="single" w:sz="8" w:space="0" w:color="000000"/>
              <w:bottom w:val="single" w:sz="8" w:space="0" w:color="000000"/>
              <w:right w:val="single" w:sz="8" w:space="0" w:color="000000"/>
            </w:tcBorders>
          </w:tcPr>
          <w:p w14:paraId="24D623E0" w14:textId="77777777" w:rsidR="00245300" w:rsidRPr="00EC20A0" w:rsidRDefault="00F17249">
            <w:pPr>
              <w:pStyle w:val="TableParagraph"/>
              <w:spacing w:before="119"/>
              <w:ind w:left="843" w:right="314" w:hanging="360"/>
              <w:jc w:val="both"/>
            </w:pPr>
            <w:r w:rsidRPr="00EC20A0">
              <w:t>8.</w:t>
            </w:r>
            <w:r w:rsidRPr="00EC20A0">
              <w:rPr>
                <w:spacing w:val="80"/>
              </w:rPr>
              <w:t xml:space="preserve"> </w:t>
            </w:r>
            <w:r w:rsidRPr="00EC20A0">
              <w:t>Did</w:t>
            </w:r>
            <w:r w:rsidRPr="00EC20A0">
              <w:rPr>
                <w:spacing w:val="-4"/>
              </w:rPr>
              <w:t xml:space="preserve"> </w:t>
            </w:r>
            <w:r w:rsidRPr="00EC20A0">
              <w:t>an</w:t>
            </w:r>
            <w:r w:rsidRPr="00EC20A0">
              <w:rPr>
                <w:spacing w:val="-4"/>
              </w:rPr>
              <w:t xml:space="preserve"> </w:t>
            </w:r>
            <w:r w:rsidRPr="00EC20A0">
              <w:t>IS</w:t>
            </w:r>
            <w:r w:rsidRPr="00EC20A0">
              <w:rPr>
                <w:spacing w:val="-4"/>
              </w:rPr>
              <w:t xml:space="preserve"> </w:t>
            </w:r>
            <w:r w:rsidRPr="00EC20A0">
              <w:t>controls</w:t>
            </w:r>
            <w:r w:rsidRPr="00EC20A0">
              <w:rPr>
                <w:spacing w:val="-4"/>
              </w:rPr>
              <w:t xml:space="preserve"> </w:t>
            </w:r>
            <w:r w:rsidRPr="00EC20A0">
              <w:t>auditor</w:t>
            </w:r>
            <w:r w:rsidRPr="00EC20A0">
              <w:rPr>
                <w:spacing w:val="-4"/>
              </w:rPr>
              <w:t xml:space="preserve"> </w:t>
            </w:r>
            <w:r w:rsidRPr="00EC20A0">
              <w:t>concur</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identification of</w:t>
            </w:r>
            <w:r w:rsidRPr="00EC20A0">
              <w:rPr>
                <w:spacing w:val="-4"/>
              </w:rPr>
              <w:t xml:space="preserve"> </w:t>
            </w:r>
            <w:r w:rsidRPr="00EC20A0">
              <w:t>IS</w:t>
            </w:r>
            <w:r w:rsidRPr="00EC20A0">
              <w:rPr>
                <w:spacing w:val="-5"/>
              </w:rPr>
              <w:t xml:space="preserve"> </w:t>
            </w:r>
            <w:r w:rsidRPr="00EC20A0">
              <w:t>controls</w:t>
            </w:r>
            <w:r w:rsidRPr="00EC20A0">
              <w:rPr>
                <w:spacing w:val="-4"/>
              </w:rPr>
              <w:t xml:space="preserve"> </w:t>
            </w:r>
            <w:r w:rsidRPr="00EC20A0">
              <w:t>that</w:t>
            </w:r>
            <w:r w:rsidRPr="00EC20A0">
              <w:rPr>
                <w:spacing w:val="-4"/>
              </w:rPr>
              <w:t xml:space="preserve"> </w:t>
            </w:r>
            <w:r w:rsidRPr="00EC20A0">
              <w:t>will</w:t>
            </w:r>
            <w:r w:rsidRPr="00EC20A0">
              <w:rPr>
                <w:spacing w:val="-4"/>
              </w:rPr>
              <w:t xml:space="preserve"> </w:t>
            </w:r>
            <w:r w:rsidRPr="00EC20A0">
              <w:t>be</w:t>
            </w:r>
            <w:r w:rsidRPr="00EC20A0">
              <w:rPr>
                <w:spacing w:val="-5"/>
              </w:rPr>
              <w:t xml:space="preserve"> </w:t>
            </w:r>
            <w:r w:rsidRPr="00EC20A0">
              <w:t>tested</w:t>
            </w:r>
            <w:r w:rsidRPr="00EC20A0">
              <w:rPr>
                <w:spacing w:val="-4"/>
              </w:rPr>
              <w:t xml:space="preserve"> </w:t>
            </w:r>
            <w:r w:rsidRPr="00EC20A0">
              <w:t>(including</w:t>
            </w:r>
            <w:r w:rsidRPr="00EC20A0">
              <w:rPr>
                <w:spacing w:val="-4"/>
              </w:rPr>
              <w:t xml:space="preserve"> </w:t>
            </w:r>
            <w:r w:rsidRPr="00EC20A0">
              <w:t>controls</w:t>
            </w:r>
            <w:r w:rsidRPr="00EC20A0">
              <w:rPr>
                <w:spacing w:val="-4"/>
              </w:rPr>
              <w:t xml:space="preserve"> </w:t>
            </w:r>
            <w:r w:rsidRPr="00EC20A0">
              <w:t>performed</w:t>
            </w:r>
            <w:r w:rsidRPr="00EC20A0">
              <w:rPr>
                <w:spacing w:val="-4"/>
              </w:rPr>
              <w:t xml:space="preserve"> </w:t>
            </w:r>
            <w:r w:rsidRPr="00EC20A0">
              <w:t>at service organizations used by the entity)? (FAM 350)</w:t>
            </w:r>
          </w:p>
        </w:tc>
        <w:tc>
          <w:tcPr>
            <w:tcW w:w="811" w:type="dxa"/>
            <w:tcBorders>
              <w:top w:val="single" w:sz="8" w:space="0" w:color="000000"/>
              <w:left w:val="single" w:sz="8" w:space="0" w:color="000000"/>
              <w:bottom w:val="single" w:sz="8" w:space="0" w:color="000000"/>
              <w:right w:val="single" w:sz="8" w:space="0" w:color="000000"/>
            </w:tcBorders>
          </w:tcPr>
          <w:p w14:paraId="24D623E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E2" w14:textId="77777777" w:rsidR="00245300" w:rsidRPr="00EC20A0" w:rsidRDefault="00245300">
            <w:pPr>
              <w:pStyle w:val="TableParagraph"/>
            </w:pPr>
          </w:p>
        </w:tc>
      </w:tr>
      <w:tr w:rsidR="00245300" w:rsidRPr="00EC20A0" w14:paraId="24D623E7" w14:textId="77777777">
        <w:trPr>
          <w:trHeight w:val="998"/>
        </w:trPr>
        <w:tc>
          <w:tcPr>
            <w:tcW w:w="7380" w:type="dxa"/>
            <w:tcBorders>
              <w:top w:val="single" w:sz="8" w:space="0" w:color="000000"/>
              <w:bottom w:val="single" w:sz="8" w:space="0" w:color="000000"/>
              <w:right w:val="single" w:sz="8" w:space="0" w:color="000000"/>
            </w:tcBorders>
          </w:tcPr>
          <w:p w14:paraId="24D623E4" w14:textId="77777777" w:rsidR="00245300" w:rsidRPr="00EC20A0" w:rsidRDefault="00F17249">
            <w:pPr>
              <w:pStyle w:val="TableParagraph"/>
              <w:spacing w:before="121"/>
              <w:ind w:left="843" w:right="172" w:hanging="360"/>
            </w:pPr>
            <w:r w:rsidRPr="00EC20A0">
              <w:t>9.</w:t>
            </w:r>
            <w:r w:rsidRPr="00EC20A0">
              <w:rPr>
                <w:spacing w:val="80"/>
              </w:rPr>
              <w:t xml:space="preserve"> </w:t>
            </w:r>
            <w:r w:rsidRPr="00EC20A0">
              <w:t>For any identified budget controls, did the auditor perform sufficient</w:t>
            </w:r>
            <w:r w:rsidRPr="00EC20A0">
              <w:rPr>
                <w:spacing w:val="-5"/>
              </w:rPr>
              <w:t xml:space="preserve"> </w:t>
            </w:r>
            <w:r w:rsidRPr="00EC20A0">
              <w:t>work</w:t>
            </w:r>
            <w:r w:rsidRPr="00EC20A0">
              <w:rPr>
                <w:spacing w:val="-5"/>
              </w:rPr>
              <w:t xml:space="preserve"> </w:t>
            </w:r>
            <w:r w:rsidRPr="00EC20A0">
              <w:t>to</w:t>
            </w:r>
            <w:r w:rsidRPr="00EC20A0">
              <w:rPr>
                <w:spacing w:val="-5"/>
              </w:rPr>
              <w:t xml:space="preserve"> </w:t>
            </w:r>
            <w:r w:rsidRPr="00EC20A0">
              <w:t>support</w:t>
            </w:r>
            <w:r w:rsidRPr="00EC20A0">
              <w:rPr>
                <w:spacing w:val="-6"/>
              </w:rPr>
              <w:t xml:space="preserve"> </w:t>
            </w:r>
            <w:r w:rsidRPr="00EC20A0">
              <w:t>the</w:t>
            </w:r>
            <w:r w:rsidRPr="00EC20A0">
              <w:rPr>
                <w:spacing w:val="-5"/>
              </w:rPr>
              <w:t xml:space="preserve"> </w:t>
            </w:r>
            <w:r w:rsidRPr="00EC20A0">
              <w:t>conclusions</w:t>
            </w:r>
            <w:r w:rsidRPr="00EC20A0">
              <w:rPr>
                <w:spacing w:val="-5"/>
              </w:rPr>
              <w:t xml:space="preserve"> </w:t>
            </w:r>
            <w:r w:rsidRPr="00EC20A0">
              <w:t>on</w:t>
            </w:r>
            <w:r w:rsidRPr="00EC20A0">
              <w:rPr>
                <w:spacing w:val="-5"/>
              </w:rPr>
              <w:t xml:space="preserve"> </w:t>
            </w:r>
            <w:r w:rsidRPr="00EC20A0">
              <w:t>internal</w:t>
            </w:r>
            <w:r w:rsidRPr="00EC20A0">
              <w:rPr>
                <w:spacing w:val="-5"/>
              </w:rPr>
              <w:t xml:space="preserve"> </w:t>
            </w:r>
            <w:r w:rsidRPr="00EC20A0">
              <w:t>control? (FAM 250, 330, and 460)</w:t>
            </w:r>
          </w:p>
        </w:tc>
        <w:tc>
          <w:tcPr>
            <w:tcW w:w="811" w:type="dxa"/>
            <w:tcBorders>
              <w:top w:val="single" w:sz="8" w:space="0" w:color="000000"/>
              <w:left w:val="single" w:sz="8" w:space="0" w:color="000000"/>
              <w:bottom w:val="single" w:sz="8" w:space="0" w:color="000000"/>
              <w:right w:val="single" w:sz="8" w:space="0" w:color="000000"/>
            </w:tcBorders>
          </w:tcPr>
          <w:p w14:paraId="24D623E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E6" w14:textId="77777777" w:rsidR="00245300" w:rsidRPr="00EC20A0" w:rsidRDefault="00245300">
            <w:pPr>
              <w:pStyle w:val="TableParagraph"/>
            </w:pPr>
          </w:p>
        </w:tc>
      </w:tr>
      <w:tr w:rsidR="00245300" w:rsidRPr="00EC20A0" w14:paraId="24D623EB" w14:textId="77777777">
        <w:trPr>
          <w:trHeight w:val="998"/>
        </w:trPr>
        <w:tc>
          <w:tcPr>
            <w:tcW w:w="7380" w:type="dxa"/>
            <w:tcBorders>
              <w:top w:val="single" w:sz="8" w:space="0" w:color="000000"/>
              <w:bottom w:val="single" w:sz="8" w:space="0" w:color="000000"/>
              <w:right w:val="single" w:sz="8" w:space="0" w:color="000000"/>
            </w:tcBorders>
          </w:tcPr>
          <w:p w14:paraId="24D623E8" w14:textId="77777777" w:rsidR="00245300" w:rsidRPr="00EC20A0" w:rsidRDefault="00F17249">
            <w:pPr>
              <w:pStyle w:val="TableParagraph"/>
              <w:spacing w:before="121"/>
              <w:ind w:left="843" w:right="172" w:hanging="360"/>
            </w:pPr>
            <w:r w:rsidRPr="00EC20A0">
              <w:t>10.</w:t>
            </w:r>
            <w:r w:rsidRPr="00EC20A0">
              <w:rPr>
                <w:spacing w:val="-11"/>
              </w:rPr>
              <w:t xml:space="preserve"> </w:t>
            </w:r>
            <w:r w:rsidRPr="00EC20A0">
              <w:t>For</w:t>
            </w:r>
            <w:r w:rsidRPr="00EC20A0">
              <w:rPr>
                <w:spacing w:val="-5"/>
              </w:rPr>
              <w:t xml:space="preserve"> </w:t>
            </w:r>
            <w:r w:rsidRPr="00EC20A0">
              <w:t>any</w:t>
            </w:r>
            <w:r w:rsidRPr="00EC20A0">
              <w:rPr>
                <w:spacing w:val="-5"/>
              </w:rPr>
              <w:t xml:space="preserve"> </w:t>
            </w:r>
            <w:r w:rsidRPr="00EC20A0">
              <w:t>identified</w:t>
            </w:r>
            <w:r w:rsidRPr="00EC20A0">
              <w:rPr>
                <w:spacing w:val="-5"/>
              </w:rPr>
              <w:t xml:space="preserve"> </w:t>
            </w:r>
            <w:r w:rsidRPr="00EC20A0">
              <w:t>compliance</w:t>
            </w:r>
            <w:r w:rsidRPr="00EC20A0">
              <w:rPr>
                <w:spacing w:val="-5"/>
              </w:rPr>
              <w:t xml:space="preserve"> </w:t>
            </w:r>
            <w:r w:rsidRPr="00EC20A0">
              <w:t>controls,</w:t>
            </w:r>
            <w:r w:rsidRPr="00EC20A0">
              <w:rPr>
                <w:spacing w:val="-5"/>
              </w:rPr>
              <w:t xml:space="preserve"> </w:t>
            </w:r>
            <w:r w:rsidRPr="00EC20A0">
              <w:t>did</w:t>
            </w:r>
            <w:r w:rsidRPr="00EC20A0">
              <w:rPr>
                <w:spacing w:val="-5"/>
              </w:rPr>
              <w:t xml:space="preserve"> </w:t>
            </w:r>
            <w:r w:rsidRPr="00EC20A0">
              <w:t>the</w:t>
            </w:r>
            <w:r w:rsidRPr="00EC20A0">
              <w:rPr>
                <w:spacing w:val="-5"/>
              </w:rPr>
              <w:t xml:space="preserve"> </w:t>
            </w:r>
            <w:r w:rsidRPr="00EC20A0">
              <w:t>auditor</w:t>
            </w:r>
            <w:r w:rsidRPr="00EC20A0">
              <w:rPr>
                <w:spacing w:val="-4"/>
              </w:rPr>
              <w:t xml:space="preserve"> </w:t>
            </w:r>
            <w:r w:rsidRPr="00EC20A0">
              <w:t>perform sufficient work to support the conclusions on internal control? (FAM 245, 330, and 460)</w:t>
            </w:r>
          </w:p>
        </w:tc>
        <w:tc>
          <w:tcPr>
            <w:tcW w:w="811" w:type="dxa"/>
            <w:tcBorders>
              <w:top w:val="single" w:sz="8" w:space="0" w:color="000000"/>
              <w:left w:val="single" w:sz="8" w:space="0" w:color="000000"/>
              <w:bottom w:val="single" w:sz="8" w:space="0" w:color="000000"/>
              <w:right w:val="single" w:sz="8" w:space="0" w:color="000000"/>
            </w:tcBorders>
          </w:tcPr>
          <w:p w14:paraId="24D623E9"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3EA" w14:textId="77777777" w:rsidR="00245300" w:rsidRPr="00EC20A0" w:rsidRDefault="00245300">
            <w:pPr>
              <w:pStyle w:val="TableParagraph"/>
            </w:pPr>
          </w:p>
        </w:tc>
      </w:tr>
      <w:tr w:rsidR="00245300" w:rsidRPr="00EC20A0" w14:paraId="24D623EF" w14:textId="77777777">
        <w:trPr>
          <w:trHeight w:val="1252"/>
        </w:trPr>
        <w:tc>
          <w:tcPr>
            <w:tcW w:w="7380" w:type="dxa"/>
            <w:tcBorders>
              <w:top w:val="single" w:sz="8" w:space="0" w:color="000000"/>
              <w:bottom w:val="single" w:sz="8" w:space="0" w:color="000000"/>
              <w:right w:val="single" w:sz="8" w:space="0" w:color="000000"/>
            </w:tcBorders>
          </w:tcPr>
          <w:p w14:paraId="24D623EC" w14:textId="77777777" w:rsidR="00245300" w:rsidRPr="00EC20A0" w:rsidRDefault="00F17249">
            <w:pPr>
              <w:pStyle w:val="TableParagraph"/>
              <w:spacing w:before="121"/>
              <w:ind w:left="123" w:right="172"/>
              <w:rPr>
                <w:b/>
              </w:rPr>
            </w:pPr>
            <w:r w:rsidRPr="00EC20A0">
              <w:rPr>
                <w:b/>
              </w:rPr>
              <w:t>Based</w:t>
            </w:r>
            <w:r w:rsidRPr="00EC20A0">
              <w:rPr>
                <w:b/>
                <w:spacing w:val="-4"/>
              </w:rPr>
              <w:t xml:space="preserve"> </w:t>
            </w:r>
            <w:r w:rsidRPr="00EC20A0">
              <w:rPr>
                <w:b/>
              </w:rPr>
              <w:t>on</w:t>
            </w:r>
            <w:r w:rsidRPr="00EC20A0">
              <w:rPr>
                <w:b/>
                <w:spacing w:val="-4"/>
              </w:rPr>
              <w:t xml:space="preserve"> </w:t>
            </w:r>
            <w:r w:rsidRPr="00EC20A0">
              <w:rPr>
                <w:b/>
              </w:rPr>
              <w:t>the</w:t>
            </w:r>
            <w:r w:rsidRPr="00EC20A0">
              <w:rPr>
                <w:b/>
                <w:spacing w:val="-4"/>
              </w:rPr>
              <w:t xml:space="preserve"> </w:t>
            </w:r>
            <w:r w:rsidRPr="00EC20A0">
              <w:rPr>
                <w:b/>
              </w:rPr>
              <w:t>risk</w:t>
            </w:r>
            <w:r w:rsidRPr="00EC20A0">
              <w:rPr>
                <w:b/>
                <w:spacing w:val="-4"/>
              </w:rPr>
              <w:t xml:space="preserve"> </w:t>
            </w:r>
            <w:r w:rsidRPr="00EC20A0">
              <w:rPr>
                <w:b/>
              </w:rPr>
              <w:t>of</w:t>
            </w:r>
            <w:r w:rsidRPr="00EC20A0">
              <w:rPr>
                <w:b/>
                <w:spacing w:val="-4"/>
              </w:rPr>
              <w:t xml:space="preserve"> </w:t>
            </w:r>
            <w:r w:rsidRPr="00EC20A0">
              <w:rPr>
                <w:b/>
              </w:rPr>
              <w:t>material</w:t>
            </w:r>
            <w:r w:rsidRPr="00EC20A0">
              <w:rPr>
                <w:b/>
                <w:spacing w:val="-4"/>
              </w:rPr>
              <w:t xml:space="preserve"> </w:t>
            </w:r>
            <w:r w:rsidRPr="00EC20A0">
              <w:rPr>
                <w:b/>
              </w:rPr>
              <w:t>misstatement,</w:t>
            </w:r>
            <w:r w:rsidRPr="00EC20A0">
              <w:rPr>
                <w:b/>
                <w:spacing w:val="-4"/>
              </w:rPr>
              <w:t xml:space="preserve"> </w:t>
            </w:r>
            <w:r w:rsidRPr="00EC20A0">
              <w:rPr>
                <w:b/>
              </w:rPr>
              <w:t>did</w:t>
            </w:r>
            <w:r w:rsidRPr="00EC20A0">
              <w:rPr>
                <w:b/>
                <w:spacing w:val="-4"/>
              </w:rPr>
              <w:t xml:space="preserve"> </w:t>
            </w:r>
            <w:r w:rsidRPr="00EC20A0">
              <w:rPr>
                <w:b/>
              </w:rPr>
              <w:t>the</w:t>
            </w:r>
            <w:r w:rsidRPr="00EC20A0">
              <w:rPr>
                <w:b/>
                <w:spacing w:val="-4"/>
              </w:rPr>
              <w:t xml:space="preserve"> </w:t>
            </w:r>
            <w:r w:rsidRPr="00EC20A0">
              <w:rPr>
                <w:b/>
              </w:rPr>
              <w:t>auditor</w:t>
            </w:r>
            <w:r w:rsidRPr="00EC20A0">
              <w:rPr>
                <w:b/>
                <w:spacing w:val="-5"/>
              </w:rPr>
              <w:t xml:space="preserve"> </w:t>
            </w:r>
            <w:r w:rsidRPr="00EC20A0">
              <w:rPr>
                <w:b/>
              </w:rPr>
              <w:t xml:space="preserve">perform adequate substantive audit </w:t>
            </w:r>
            <w:r w:rsidRPr="00EC20A0">
              <w:rPr>
                <w:b/>
              </w:rPr>
              <w:t>procedures for material line items, accounts, note disclosures, and classes of transactions for items 11 through 19? (If not a material area, check N/A.)</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3E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3EE" w14:textId="77777777" w:rsidR="00245300" w:rsidRPr="00EC20A0" w:rsidRDefault="00245300">
            <w:pPr>
              <w:pStyle w:val="TableParagraph"/>
            </w:pPr>
          </w:p>
        </w:tc>
      </w:tr>
      <w:tr w:rsidR="00245300" w:rsidRPr="00EC20A0" w14:paraId="24D623F3" w14:textId="77777777">
        <w:trPr>
          <w:trHeight w:val="493"/>
        </w:trPr>
        <w:tc>
          <w:tcPr>
            <w:tcW w:w="7380" w:type="dxa"/>
            <w:tcBorders>
              <w:top w:val="single" w:sz="8" w:space="0" w:color="000000"/>
              <w:bottom w:val="single" w:sz="8" w:space="0" w:color="000000"/>
              <w:right w:val="single" w:sz="8" w:space="0" w:color="000000"/>
            </w:tcBorders>
          </w:tcPr>
          <w:p w14:paraId="24D623F0" w14:textId="77777777" w:rsidR="00245300" w:rsidRPr="00EC20A0" w:rsidRDefault="00F17249">
            <w:pPr>
              <w:pStyle w:val="TableParagraph"/>
              <w:spacing w:before="121"/>
              <w:ind w:left="483"/>
              <w:rPr>
                <w:b/>
              </w:rPr>
            </w:pPr>
            <w:r w:rsidRPr="00EC20A0">
              <w:t>11.</w:t>
            </w:r>
            <w:r w:rsidRPr="00EC20A0">
              <w:rPr>
                <w:spacing w:val="-16"/>
              </w:rPr>
              <w:t xml:space="preserve"> </w:t>
            </w:r>
            <w:r w:rsidRPr="00EC20A0">
              <w:rPr>
                <w:b/>
              </w:rPr>
              <w:t>Intragovernmental</w:t>
            </w:r>
            <w:r w:rsidRPr="00EC20A0">
              <w:rPr>
                <w:b/>
                <w:spacing w:val="-9"/>
              </w:rPr>
              <w:t xml:space="preserve"> </w:t>
            </w:r>
            <w:r w:rsidRPr="00EC20A0">
              <w:rPr>
                <w:b/>
              </w:rPr>
              <w:t>Activity</w:t>
            </w:r>
            <w:r w:rsidRPr="00EC20A0">
              <w:rPr>
                <w:b/>
                <w:spacing w:val="-9"/>
              </w:rPr>
              <w:t xml:space="preserve"> </w:t>
            </w:r>
            <w:r w:rsidRPr="00EC20A0">
              <w:rPr>
                <w:b/>
              </w:rPr>
              <w:t>and</w:t>
            </w:r>
            <w:r w:rsidRPr="00EC20A0">
              <w:rPr>
                <w:b/>
                <w:spacing w:val="-9"/>
              </w:rPr>
              <w:t xml:space="preserve"> </w:t>
            </w:r>
            <w:r w:rsidRPr="00EC20A0">
              <w:rPr>
                <w:b/>
              </w:rPr>
              <w:t>Balances</w:t>
            </w:r>
            <w:r w:rsidRPr="00EC20A0">
              <w:rPr>
                <w:b/>
                <w:spacing w:val="-10"/>
              </w:rPr>
              <w:t xml:space="preserve"> </w:t>
            </w:r>
            <w:r w:rsidRPr="00EC20A0">
              <w:rPr>
                <w:b/>
              </w:rPr>
              <w:t>(FAM</w:t>
            </w:r>
            <w:r w:rsidRPr="00EC20A0">
              <w:rPr>
                <w:b/>
                <w:spacing w:val="-9"/>
              </w:rPr>
              <w:t xml:space="preserve"> </w:t>
            </w:r>
            <w:r w:rsidRPr="00EC20A0">
              <w:rPr>
                <w:b/>
                <w:spacing w:val="-4"/>
              </w:rPr>
              <w:t>902)</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3F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3F2" w14:textId="77777777" w:rsidR="00245300" w:rsidRPr="00EC20A0" w:rsidRDefault="00245300">
            <w:pPr>
              <w:pStyle w:val="TableParagraph"/>
            </w:pPr>
          </w:p>
        </w:tc>
      </w:tr>
      <w:tr w:rsidR="00245300" w:rsidRPr="00EC20A0" w14:paraId="24D623F7" w14:textId="77777777">
        <w:trPr>
          <w:trHeight w:val="493"/>
        </w:trPr>
        <w:tc>
          <w:tcPr>
            <w:tcW w:w="7380" w:type="dxa"/>
            <w:tcBorders>
              <w:top w:val="single" w:sz="8" w:space="0" w:color="000000"/>
              <w:bottom w:val="single" w:sz="8" w:space="0" w:color="000000"/>
              <w:right w:val="single" w:sz="8" w:space="0" w:color="000000"/>
            </w:tcBorders>
          </w:tcPr>
          <w:p w14:paraId="24D623F4" w14:textId="77777777" w:rsidR="00245300" w:rsidRPr="00EC20A0" w:rsidRDefault="00F17249">
            <w:pPr>
              <w:pStyle w:val="TableParagraph"/>
              <w:spacing w:before="119"/>
              <w:ind w:left="843"/>
            </w:pPr>
            <w:r w:rsidRPr="00EC20A0">
              <w:t>Did</w:t>
            </w:r>
            <w:r w:rsidRPr="00EC20A0">
              <w:rPr>
                <w:spacing w:val="-5"/>
              </w:rPr>
              <w:t xml:space="preserve"> </w:t>
            </w:r>
            <w:r w:rsidRPr="00EC20A0">
              <w:t>the</w:t>
            </w:r>
            <w:r w:rsidRPr="00EC20A0">
              <w:rPr>
                <w:spacing w:val="-4"/>
              </w:rPr>
              <w:t xml:space="preserve"> </w:t>
            </w:r>
            <w:r w:rsidRPr="00EC20A0">
              <w:t>auditor</w:t>
            </w:r>
            <w:r w:rsidRPr="00EC20A0">
              <w:rPr>
                <w:spacing w:val="-4"/>
              </w:rPr>
              <w:t xml:space="preserve"> </w:t>
            </w:r>
            <w:r w:rsidRPr="00EC20A0">
              <w:t>do</w:t>
            </w:r>
            <w:r w:rsidRPr="00EC20A0">
              <w:rPr>
                <w:spacing w:val="-4"/>
              </w:rPr>
              <w:t xml:space="preserve"> </w:t>
            </w:r>
            <w:r w:rsidRPr="00EC20A0">
              <w:t>the</w:t>
            </w:r>
            <w:r w:rsidRPr="00EC20A0">
              <w:rPr>
                <w:spacing w:val="-4"/>
              </w:rPr>
              <w:t xml:space="preserve"> </w:t>
            </w:r>
            <w:r w:rsidRPr="00EC20A0">
              <w:rPr>
                <w:spacing w:val="-2"/>
              </w:rPr>
              <w:t>following:</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3F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3F6" w14:textId="77777777" w:rsidR="00245300" w:rsidRPr="00EC20A0" w:rsidRDefault="00245300">
            <w:pPr>
              <w:pStyle w:val="TableParagraph"/>
            </w:pPr>
          </w:p>
        </w:tc>
      </w:tr>
    </w:tbl>
    <w:p w14:paraId="24D623F8" w14:textId="77777777" w:rsidR="00245300" w:rsidRPr="00EC20A0" w:rsidRDefault="00245300">
      <w:pPr>
        <w:sectPr w:rsidR="00245300" w:rsidRPr="00EC20A0">
          <w:pgSz w:w="12240" w:h="15840"/>
          <w:pgMar w:top="1340" w:right="460" w:bottom="940" w:left="560" w:header="721" w:footer="757" w:gutter="0"/>
          <w:cols w:space="720"/>
        </w:sectPr>
      </w:pPr>
    </w:p>
    <w:p w14:paraId="24D623F9"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400" w14:textId="77777777">
        <w:trPr>
          <w:trHeight w:val="936"/>
        </w:trPr>
        <w:tc>
          <w:tcPr>
            <w:tcW w:w="7380" w:type="dxa"/>
            <w:tcBorders>
              <w:right w:val="single" w:sz="8" w:space="0" w:color="000000"/>
            </w:tcBorders>
            <w:shd w:val="clear" w:color="auto" w:fill="A6A6A6"/>
          </w:tcPr>
          <w:p w14:paraId="24D623FA" w14:textId="77777777" w:rsidR="00245300" w:rsidRPr="00EC20A0" w:rsidRDefault="00245300">
            <w:pPr>
              <w:pStyle w:val="TableParagraph"/>
              <w:spacing w:before="266"/>
              <w:rPr>
                <w:b/>
                <w:sz w:val="24"/>
              </w:rPr>
            </w:pPr>
          </w:p>
          <w:p w14:paraId="24D623FB"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3FC"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3FD" w14:textId="77777777" w:rsidR="00245300" w:rsidRPr="00EC20A0" w:rsidRDefault="00245300">
            <w:pPr>
              <w:pStyle w:val="TableParagraph"/>
              <w:rPr>
                <w:b/>
              </w:rPr>
            </w:pPr>
          </w:p>
          <w:p w14:paraId="24D623FE" w14:textId="77777777" w:rsidR="00245300" w:rsidRPr="00EC20A0" w:rsidRDefault="00245300">
            <w:pPr>
              <w:pStyle w:val="TableParagraph"/>
              <w:spacing w:before="120"/>
              <w:rPr>
                <w:b/>
              </w:rPr>
            </w:pPr>
          </w:p>
          <w:p w14:paraId="24D623FF"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404" w14:textId="77777777">
        <w:trPr>
          <w:trHeight w:val="1252"/>
        </w:trPr>
        <w:tc>
          <w:tcPr>
            <w:tcW w:w="7380" w:type="dxa"/>
            <w:tcBorders>
              <w:bottom w:val="single" w:sz="8" w:space="0" w:color="000000"/>
              <w:right w:val="single" w:sz="8" w:space="0" w:color="000000"/>
            </w:tcBorders>
          </w:tcPr>
          <w:p w14:paraId="24D62401" w14:textId="77777777" w:rsidR="00245300" w:rsidRPr="00EC20A0" w:rsidRDefault="00F17249">
            <w:pPr>
              <w:pStyle w:val="TableParagraph"/>
              <w:spacing w:before="121"/>
              <w:ind w:left="1249" w:hanging="360"/>
            </w:pPr>
            <w:r w:rsidRPr="00EC20A0">
              <w:t>a.</w:t>
            </w:r>
            <w:r w:rsidRPr="00EC20A0">
              <w:rPr>
                <w:spacing w:val="80"/>
              </w:rPr>
              <w:t xml:space="preserve"> </w:t>
            </w:r>
            <w:r w:rsidRPr="00EC20A0">
              <w:t>Determine whether the entity resolved (i.e., reconciled and adjusted</w:t>
            </w:r>
            <w:r w:rsidRPr="00EC20A0">
              <w:rPr>
                <w:spacing w:val="-5"/>
              </w:rPr>
              <w:t xml:space="preserve"> </w:t>
            </w:r>
            <w:r w:rsidRPr="00EC20A0">
              <w:t>the</w:t>
            </w:r>
            <w:r w:rsidRPr="00EC20A0">
              <w:rPr>
                <w:spacing w:val="-6"/>
              </w:rPr>
              <w:t xml:space="preserve"> </w:t>
            </w:r>
            <w:r w:rsidRPr="00EC20A0">
              <w:t>accounting</w:t>
            </w:r>
            <w:r w:rsidRPr="00EC20A0">
              <w:rPr>
                <w:spacing w:val="-6"/>
              </w:rPr>
              <w:t xml:space="preserve"> </w:t>
            </w:r>
            <w:r w:rsidRPr="00EC20A0">
              <w:t>records</w:t>
            </w:r>
            <w:r w:rsidRPr="00EC20A0">
              <w:rPr>
                <w:spacing w:val="-5"/>
              </w:rPr>
              <w:t xml:space="preserve"> </w:t>
            </w:r>
            <w:r w:rsidRPr="00EC20A0">
              <w:t>resulting</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difference</w:t>
            </w:r>
            <w:r w:rsidRPr="00EC20A0">
              <w:rPr>
                <w:spacing w:val="-5"/>
              </w:rPr>
              <w:t xml:space="preserve"> </w:t>
            </w:r>
            <w:r w:rsidRPr="00EC20A0">
              <w:t xml:space="preserve">no longer existing) all </w:t>
            </w:r>
            <w:r w:rsidRPr="00EC20A0">
              <w:t>material intragovernmental differences quarterly and, most importantly, at year-end?</w:t>
            </w:r>
          </w:p>
        </w:tc>
        <w:tc>
          <w:tcPr>
            <w:tcW w:w="811" w:type="dxa"/>
            <w:tcBorders>
              <w:left w:val="single" w:sz="8" w:space="0" w:color="000000"/>
              <w:bottom w:val="single" w:sz="8" w:space="0" w:color="000000"/>
              <w:right w:val="single" w:sz="8" w:space="0" w:color="000000"/>
            </w:tcBorders>
          </w:tcPr>
          <w:p w14:paraId="24D62402"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403" w14:textId="77777777" w:rsidR="00245300" w:rsidRPr="00EC20A0" w:rsidRDefault="00245300">
            <w:pPr>
              <w:pStyle w:val="TableParagraph"/>
            </w:pPr>
          </w:p>
        </w:tc>
      </w:tr>
      <w:tr w:rsidR="00245300" w:rsidRPr="00EC20A0" w14:paraId="24D62408" w14:textId="77777777">
        <w:trPr>
          <w:trHeight w:val="745"/>
        </w:trPr>
        <w:tc>
          <w:tcPr>
            <w:tcW w:w="7380" w:type="dxa"/>
            <w:tcBorders>
              <w:top w:val="single" w:sz="8" w:space="0" w:color="000000"/>
              <w:bottom w:val="single" w:sz="8" w:space="0" w:color="000000"/>
              <w:right w:val="single" w:sz="8" w:space="0" w:color="000000"/>
            </w:tcBorders>
          </w:tcPr>
          <w:p w14:paraId="24D62405" w14:textId="77777777" w:rsidR="00245300" w:rsidRPr="00EC20A0" w:rsidRDefault="00F17249">
            <w:pPr>
              <w:pStyle w:val="TableParagraph"/>
              <w:spacing w:before="119"/>
              <w:ind w:left="1249" w:hanging="360"/>
            </w:pPr>
            <w:r w:rsidRPr="00EC20A0">
              <w:t>b.</w:t>
            </w:r>
            <w:r w:rsidRPr="00EC20A0">
              <w:rPr>
                <w:spacing w:val="80"/>
              </w:rPr>
              <w:t xml:space="preserve"> </w:t>
            </w:r>
            <w:r w:rsidRPr="00EC20A0">
              <w:t>Assess</w:t>
            </w:r>
            <w:r w:rsidRPr="00EC20A0">
              <w:rPr>
                <w:spacing w:val="-4"/>
              </w:rPr>
              <w:t xml:space="preserve"> </w:t>
            </w:r>
            <w:r w:rsidRPr="00EC20A0">
              <w:t>(at</w:t>
            </w:r>
            <w:r w:rsidRPr="00EC20A0">
              <w:rPr>
                <w:spacing w:val="-4"/>
              </w:rPr>
              <w:t xml:space="preserve"> </w:t>
            </w:r>
            <w:r w:rsidRPr="00EC20A0">
              <w:t>absolute</w:t>
            </w:r>
            <w:r w:rsidRPr="00EC20A0">
              <w:rPr>
                <w:spacing w:val="-4"/>
              </w:rPr>
              <w:t xml:space="preserve"> </w:t>
            </w:r>
            <w:r w:rsidRPr="00EC20A0">
              <w:t>value)</w:t>
            </w:r>
            <w:r w:rsidRPr="00EC20A0">
              <w:rPr>
                <w:spacing w:val="-4"/>
              </w:rPr>
              <w:t xml:space="preserve"> </w:t>
            </w:r>
            <w:r w:rsidRPr="00EC20A0">
              <w:t>the</w:t>
            </w:r>
            <w:r w:rsidRPr="00EC20A0">
              <w:rPr>
                <w:spacing w:val="-4"/>
              </w:rPr>
              <w:t xml:space="preserve"> </w:t>
            </w:r>
            <w:r w:rsidRPr="00EC20A0">
              <w:t>materiality</w:t>
            </w:r>
            <w:r w:rsidRPr="00EC20A0">
              <w:rPr>
                <w:spacing w:val="-4"/>
              </w:rPr>
              <w:t xml:space="preserve"> </w:t>
            </w:r>
            <w:r w:rsidRPr="00EC20A0">
              <w:t>of</w:t>
            </w:r>
            <w:r w:rsidRPr="00EC20A0">
              <w:rPr>
                <w:spacing w:val="-5"/>
              </w:rPr>
              <w:t xml:space="preserve"> </w:t>
            </w:r>
            <w:r w:rsidRPr="00EC20A0">
              <w:t>unresolved differences at year-end?</w:t>
            </w:r>
          </w:p>
        </w:tc>
        <w:tc>
          <w:tcPr>
            <w:tcW w:w="811" w:type="dxa"/>
            <w:tcBorders>
              <w:top w:val="single" w:sz="8" w:space="0" w:color="000000"/>
              <w:left w:val="single" w:sz="8" w:space="0" w:color="000000"/>
              <w:bottom w:val="single" w:sz="8" w:space="0" w:color="000000"/>
              <w:right w:val="single" w:sz="8" w:space="0" w:color="000000"/>
            </w:tcBorders>
          </w:tcPr>
          <w:p w14:paraId="24D6240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07" w14:textId="77777777" w:rsidR="00245300" w:rsidRPr="00EC20A0" w:rsidRDefault="00245300">
            <w:pPr>
              <w:pStyle w:val="TableParagraph"/>
            </w:pPr>
          </w:p>
        </w:tc>
      </w:tr>
      <w:tr w:rsidR="00245300" w:rsidRPr="00EC20A0" w14:paraId="24D6240D" w14:textId="77777777">
        <w:trPr>
          <w:trHeight w:val="2516"/>
        </w:trPr>
        <w:tc>
          <w:tcPr>
            <w:tcW w:w="7380" w:type="dxa"/>
            <w:tcBorders>
              <w:top w:val="single" w:sz="8" w:space="0" w:color="000000"/>
              <w:bottom w:val="single" w:sz="8" w:space="0" w:color="000000"/>
              <w:right w:val="single" w:sz="8" w:space="0" w:color="000000"/>
            </w:tcBorders>
          </w:tcPr>
          <w:p w14:paraId="24D62409" w14:textId="77777777" w:rsidR="00245300" w:rsidRPr="00EC20A0" w:rsidRDefault="00F17249">
            <w:pPr>
              <w:pStyle w:val="TableParagraph"/>
              <w:spacing w:before="121"/>
              <w:ind w:left="1249" w:right="172" w:hanging="360"/>
            </w:pPr>
            <w:r w:rsidRPr="00EC20A0">
              <w:t>c.</w:t>
            </w:r>
            <w:r w:rsidRPr="00EC20A0">
              <w:rPr>
                <w:spacing w:val="80"/>
              </w:rPr>
              <w:t xml:space="preserve"> </w:t>
            </w:r>
            <w:r w:rsidRPr="00EC20A0">
              <w:t>Determine (1) whether the entity reviewed journal vouchers that</w:t>
            </w:r>
            <w:r w:rsidRPr="00EC20A0">
              <w:rPr>
                <w:spacing w:val="-4"/>
              </w:rPr>
              <w:t xml:space="preserve"> </w:t>
            </w:r>
            <w:r w:rsidRPr="00EC20A0">
              <w:t>Treasury</w:t>
            </w:r>
            <w:r w:rsidRPr="00EC20A0">
              <w:rPr>
                <w:spacing w:val="-3"/>
              </w:rPr>
              <w:t xml:space="preserve"> </w:t>
            </w:r>
            <w:r w:rsidRPr="00EC20A0">
              <w:t>recorded</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data</w:t>
            </w:r>
            <w:r w:rsidRPr="00EC20A0">
              <w:rPr>
                <w:spacing w:val="-4"/>
              </w:rPr>
              <w:t xml:space="preserve"> </w:t>
            </w:r>
            <w:r w:rsidRPr="00EC20A0">
              <w:t>in</w:t>
            </w:r>
            <w:r w:rsidRPr="00EC20A0">
              <w:rPr>
                <w:spacing w:val="-4"/>
              </w:rPr>
              <w:t xml:space="preserve"> </w:t>
            </w:r>
            <w:r w:rsidRPr="00EC20A0">
              <w:t>order</w:t>
            </w:r>
            <w:r w:rsidRPr="00EC20A0">
              <w:rPr>
                <w:spacing w:val="-4"/>
              </w:rPr>
              <w:t xml:space="preserve"> </w:t>
            </w:r>
            <w:r w:rsidRPr="00EC20A0">
              <w:t>to</w:t>
            </w:r>
            <w:r w:rsidRPr="00EC20A0">
              <w:rPr>
                <w:spacing w:val="-4"/>
              </w:rPr>
              <w:t xml:space="preserve"> </w:t>
            </w:r>
            <w:r w:rsidRPr="00EC20A0">
              <w:t>remove intragovernmental differences in preparing the prior-year</w:t>
            </w:r>
          </w:p>
          <w:p w14:paraId="24D6240A" w14:textId="77777777" w:rsidR="00245300" w:rsidRPr="00EC20A0" w:rsidRDefault="00F17249">
            <w:pPr>
              <w:pStyle w:val="TableParagraph"/>
              <w:ind w:left="1249"/>
            </w:pPr>
            <w:r w:rsidRPr="00EC20A0">
              <w:t>U.S.</w:t>
            </w:r>
            <w:r w:rsidRPr="00EC20A0">
              <w:rPr>
                <w:spacing w:val="-7"/>
              </w:rPr>
              <w:t xml:space="preserve"> </w:t>
            </w:r>
            <w:r w:rsidRPr="00EC20A0">
              <w:t>government’s</w:t>
            </w:r>
            <w:r w:rsidRPr="00EC20A0">
              <w:rPr>
                <w:spacing w:val="-7"/>
              </w:rPr>
              <w:t xml:space="preserve"> </w:t>
            </w:r>
            <w:r w:rsidRPr="00EC20A0">
              <w:t>consolidated</w:t>
            </w:r>
            <w:r w:rsidRPr="00EC20A0">
              <w:rPr>
                <w:spacing w:val="-7"/>
              </w:rPr>
              <w:t xml:space="preserve"> </w:t>
            </w:r>
            <w:r w:rsidRPr="00EC20A0">
              <w:t>financial</w:t>
            </w:r>
            <w:r w:rsidRPr="00EC20A0">
              <w:rPr>
                <w:spacing w:val="-7"/>
              </w:rPr>
              <w:t xml:space="preserve"> </w:t>
            </w:r>
            <w:r w:rsidRPr="00EC20A0">
              <w:t>statements;</w:t>
            </w:r>
            <w:r w:rsidRPr="00EC20A0">
              <w:rPr>
                <w:spacing w:val="-7"/>
              </w:rPr>
              <w:t xml:space="preserve"> </w:t>
            </w:r>
            <w:r w:rsidRPr="00EC20A0">
              <w:t>(2)</w:t>
            </w:r>
            <w:r w:rsidRPr="00EC20A0">
              <w:rPr>
                <w:spacing w:val="-7"/>
              </w:rPr>
              <w:t xml:space="preserve"> </w:t>
            </w:r>
            <w:r w:rsidRPr="00EC20A0">
              <w:t xml:space="preserve">why the entity did not resolve these differences (even though Treasury was able </w:t>
            </w:r>
            <w:r w:rsidRPr="00EC20A0">
              <w:t>to reconcile and remove them); and (3) if appropriate, whether the entity fixed the causes of these differences</w:t>
            </w:r>
            <w:r w:rsidRPr="00EC20A0">
              <w:rPr>
                <w:spacing w:val="-1"/>
              </w:rPr>
              <w:t xml:space="preserve"> </w:t>
            </w:r>
            <w:r w:rsidRPr="00EC20A0">
              <w:t>so that they</w:t>
            </w:r>
            <w:r w:rsidRPr="00EC20A0">
              <w:rPr>
                <w:spacing w:val="-1"/>
              </w:rPr>
              <w:t xml:space="preserve"> </w:t>
            </w:r>
            <w:r w:rsidRPr="00EC20A0">
              <w:t>will not exist</w:t>
            </w:r>
            <w:r w:rsidRPr="00EC20A0">
              <w:rPr>
                <w:spacing w:val="-1"/>
              </w:rPr>
              <w:t xml:space="preserve"> </w:t>
            </w:r>
            <w:r w:rsidRPr="00EC20A0">
              <w:t xml:space="preserve">at the end of the current </w:t>
            </w:r>
            <w:r w:rsidRPr="00EC20A0">
              <w:rPr>
                <w:spacing w:val="-2"/>
              </w:rPr>
              <w:t>year?</w:t>
            </w:r>
          </w:p>
        </w:tc>
        <w:tc>
          <w:tcPr>
            <w:tcW w:w="811" w:type="dxa"/>
            <w:tcBorders>
              <w:top w:val="single" w:sz="8" w:space="0" w:color="000000"/>
              <w:left w:val="single" w:sz="8" w:space="0" w:color="000000"/>
              <w:bottom w:val="single" w:sz="8" w:space="0" w:color="000000"/>
              <w:right w:val="single" w:sz="8" w:space="0" w:color="000000"/>
            </w:tcBorders>
          </w:tcPr>
          <w:p w14:paraId="24D6240B"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0C" w14:textId="77777777" w:rsidR="00245300" w:rsidRPr="00EC20A0" w:rsidRDefault="00245300">
            <w:pPr>
              <w:pStyle w:val="TableParagraph"/>
            </w:pPr>
          </w:p>
        </w:tc>
      </w:tr>
      <w:tr w:rsidR="00245300" w:rsidRPr="00EC20A0" w14:paraId="24D62412" w14:textId="77777777">
        <w:trPr>
          <w:trHeight w:val="1238"/>
        </w:trPr>
        <w:tc>
          <w:tcPr>
            <w:tcW w:w="7380" w:type="dxa"/>
            <w:tcBorders>
              <w:top w:val="single" w:sz="8" w:space="0" w:color="000000"/>
              <w:bottom w:val="single" w:sz="8" w:space="0" w:color="000000"/>
              <w:right w:val="single" w:sz="8" w:space="0" w:color="000000"/>
            </w:tcBorders>
          </w:tcPr>
          <w:p w14:paraId="24D6240E" w14:textId="77777777" w:rsidR="00245300" w:rsidRPr="00EC20A0" w:rsidRDefault="00F17249">
            <w:pPr>
              <w:pStyle w:val="TableParagraph"/>
              <w:spacing w:before="121"/>
              <w:ind w:left="483"/>
              <w:rPr>
                <w:b/>
              </w:rPr>
            </w:pPr>
            <w:r w:rsidRPr="00EC20A0">
              <w:t>12.</w:t>
            </w:r>
            <w:r w:rsidRPr="00EC20A0">
              <w:rPr>
                <w:spacing w:val="-14"/>
              </w:rPr>
              <w:t xml:space="preserve"> </w:t>
            </w:r>
            <w:r w:rsidRPr="00EC20A0">
              <w:rPr>
                <w:b/>
              </w:rPr>
              <w:t>Fund</w:t>
            </w:r>
            <w:r w:rsidRPr="00EC20A0">
              <w:rPr>
                <w:b/>
                <w:spacing w:val="-6"/>
              </w:rPr>
              <w:t xml:space="preserve"> </w:t>
            </w:r>
            <w:r w:rsidRPr="00EC20A0">
              <w:rPr>
                <w:b/>
              </w:rPr>
              <w:t>Balance</w:t>
            </w:r>
            <w:r w:rsidRPr="00EC20A0">
              <w:rPr>
                <w:b/>
                <w:spacing w:val="-7"/>
              </w:rPr>
              <w:t xml:space="preserve"> </w:t>
            </w:r>
            <w:r w:rsidRPr="00EC20A0">
              <w:rPr>
                <w:b/>
              </w:rPr>
              <w:t>with</w:t>
            </w:r>
            <w:r w:rsidRPr="00EC20A0">
              <w:rPr>
                <w:b/>
                <w:spacing w:val="-7"/>
              </w:rPr>
              <w:t xml:space="preserve"> </w:t>
            </w:r>
            <w:r w:rsidRPr="00EC20A0">
              <w:rPr>
                <w:b/>
              </w:rPr>
              <w:t>Treasury</w:t>
            </w:r>
            <w:r w:rsidRPr="00EC20A0">
              <w:rPr>
                <w:b/>
                <w:spacing w:val="-7"/>
              </w:rPr>
              <w:t xml:space="preserve"> </w:t>
            </w:r>
            <w:r w:rsidRPr="00EC20A0">
              <w:rPr>
                <w:b/>
              </w:rPr>
              <w:t>(FBWT)</w:t>
            </w:r>
            <w:r w:rsidRPr="00EC20A0">
              <w:rPr>
                <w:b/>
                <w:spacing w:val="-7"/>
              </w:rPr>
              <w:t xml:space="preserve"> </w:t>
            </w:r>
            <w:r w:rsidRPr="00EC20A0">
              <w:rPr>
                <w:b/>
              </w:rPr>
              <w:t>(FAM</w:t>
            </w:r>
            <w:r w:rsidRPr="00EC20A0">
              <w:rPr>
                <w:b/>
                <w:spacing w:val="-6"/>
              </w:rPr>
              <w:t xml:space="preserve"> </w:t>
            </w:r>
            <w:r w:rsidRPr="00EC20A0">
              <w:rPr>
                <w:b/>
                <w:spacing w:val="-4"/>
              </w:rPr>
              <w:t>921)</w:t>
            </w:r>
          </w:p>
          <w:p w14:paraId="24D6240F" w14:textId="77777777" w:rsidR="00245300" w:rsidRPr="00EC20A0" w:rsidRDefault="00F17249">
            <w:pPr>
              <w:pStyle w:val="TableParagraph"/>
              <w:spacing w:before="240"/>
              <w:ind w:left="843"/>
            </w:pPr>
            <w:r w:rsidRPr="00EC20A0">
              <w:t>Note:</w:t>
            </w:r>
            <w:r w:rsidRPr="00EC20A0">
              <w:rPr>
                <w:spacing w:val="-6"/>
              </w:rPr>
              <w:t xml:space="preserve"> </w:t>
            </w:r>
            <w:r w:rsidRPr="00EC20A0">
              <w:t>Although</w:t>
            </w:r>
            <w:r w:rsidRPr="00EC20A0">
              <w:rPr>
                <w:spacing w:val="-6"/>
              </w:rPr>
              <w:t xml:space="preserve"> </w:t>
            </w:r>
            <w:r w:rsidRPr="00EC20A0">
              <w:t>FBWT</w:t>
            </w:r>
            <w:r w:rsidRPr="00EC20A0">
              <w:rPr>
                <w:spacing w:val="-6"/>
              </w:rPr>
              <w:t xml:space="preserve"> </w:t>
            </w:r>
            <w:r w:rsidRPr="00EC20A0">
              <w:t>is</w:t>
            </w:r>
            <w:r w:rsidRPr="00EC20A0">
              <w:rPr>
                <w:spacing w:val="-7"/>
              </w:rPr>
              <w:t xml:space="preserve"> </w:t>
            </w:r>
            <w:r w:rsidRPr="00EC20A0">
              <w:t>intragovernmental,</w:t>
            </w:r>
            <w:r w:rsidRPr="00EC20A0">
              <w:rPr>
                <w:spacing w:val="-6"/>
              </w:rPr>
              <w:t xml:space="preserve"> </w:t>
            </w:r>
            <w:r w:rsidRPr="00EC20A0">
              <w:t>FBWT</w:t>
            </w:r>
            <w:r w:rsidRPr="00EC20A0">
              <w:rPr>
                <w:spacing w:val="-6"/>
              </w:rPr>
              <w:t xml:space="preserve"> </w:t>
            </w:r>
            <w:r w:rsidRPr="00EC20A0">
              <w:t>is</w:t>
            </w:r>
            <w:r w:rsidRPr="00EC20A0">
              <w:rPr>
                <w:spacing w:val="-6"/>
              </w:rPr>
              <w:t xml:space="preserve"> </w:t>
            </w:r>
            <w:r w:rsidRPr="00EC20A0">
              <w:t>separately addressed because of its significance.</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10"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11" w14:textId="77777777" w:rsidR="00245300" w:rsidRPr="00EC20A0" w:rsidRDefault="00245300">
            <w:pPr>
              <w:pStyle w:val="TableParagraph"/>
            </w:pPr>
          </w:p>
        </w:tc>
      </w:tr>
      <w:tr w:rsidR="00245300" w:rsidRPr="00EC20A0" w14:paraId="24D62416" w14:textId="77777777">
        <w:trPr>
          <w:trHeight w:val="493"/>
        </w:trPr>
        <w:tc>
          <w:tcPr>
            <w:tcW w:w="7380" w:type="dxa"/>
            <w:tcBorders>
              <w:top w:val="single" w:sz="8" w:space="0" w:color="000000"/>
              <w:bottom w:val="single" w:sz="8" w:space="0" w:color="000000"/>
              <w:right w:val="single" w:sz="8" w:space="0" w:color="000000"/>
            </w:tcBorders>
          </w:tcPr>
          <w:p w14:paraId="24D62413" w14:textId="77777777" w:rsidR="00245300" w:rsidRPr="00EC20A0" w:rsidRDefault="00F17249">
            <w:pPr>
              <w:pStyle w:val="TableParagraph"/>
              <w:spacing w:before="121"/>
              <w:ind w:left="889"/>
            </w:pPr>
            <w:r w:rsidRPr="00EC20A0">
              <w:t>a.</w:t>
            </w:r>
            <w:r w:rsidRPr="00EC20A0">
              <w:rPr>
                <w:spacing w:val="74"/>
                <w:w w:val="15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3"/>
              </w:rPr>
              <w:t xml:space="preserve"> </w:t>
            </w:r>
            <w:r w:rsidRPr="00EC20A0">
              <w:t>determine</w:t>
            </w:r>
            <w:r w:rsidRPr="00EC20A0">
              <w:rPr>
                <w:spacing w:val="-4"/>
              </w:rPr>
              <w:t xml:space="preserve"> </w:t>
            </w:r>
            <w:r w:rsidRPr="00EC20A0">
              <w:t>if</w:t>
            </w:r>
            <w:r w:rsidRPr="00EC20A0">
              <w:rPr>
                <w:spacing w:val="-3"/>
              </w:rPr>
              <w:t xml:space="preserve"> </w:t>
            </w:r>
            <w:r w:rsidRPr="00EC20A0">
              <w:t>the</w:t>
            </w:r>
            <w:r w:rsidRPr="00EC20A0">
              <w:rPr>
                <w:spacing w:val="-4"/>
              </w:rPr>
              <w:t xml:space="preserve"> </w:t>
            </w:r>
            <w:r w:rsidRPr="00EC20A0">
              <w:rPr>
                <w:spacing w:val="-2"/>
              </w:rPr>
              <w:t>entity</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14"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15" w14:textId="77777777" w:rsidR="00245300" w:rsidRPr="00EC20A0" w:rsidRDefault="00245300">
            <w:pPr>
              <w:pStyle w:val="TableParagraph"/>
            </w:pPr>
          </w:p>
        </w:tc>
      </w:tr>
      <w:tr w:rsidR="00245300" w:rsidRPr="00EC20A0" w14:paraId="24D6241A" w14:textId="77777777">
        <w:trPr>
          <w:trHeight w:val="745"/>
        </w:trPr>
        <w:tc>
          <w:tcPr>
            <w:tcW w:w="7380" w:type="dxa"/>
            <w:tcBorders>
              <w:top w:val="single" w:sz="8" w:space="0" w:color="000000"/>
              <w:bottom w:val="single" w:sz="8" w:space="0" w:color="000000"/>
              <w:right w:val="single" w:sz="8" w:space="0" w:color="000000"/>
            </w:tcBorders>
          </w:tcPr>
          <w:p w14:paraId="24D62417" w14:textId="77777777" w:rsidR="00245300" w:rsidRPr="00EC20A0" w:rsidRDefault="00F17249">
            <w:pPr>
              <w:pStyle w:val="TableParagraph"/>
              <w:spacing w:before="119"/>
              <w:ind w:left="1609" w:hanging="291"/>
            </w:pPr>
            <w:r w:rsidRPr="00EC20A0">
              <w:t>i.</w:t>
            </w:r>
            <w:r w:rsidRPr="00EC20A0">
              <w:rPr>
                <w:spacing w:val="40"/>
              </w:rPr>
              <w:t xml:space="preserve"> </w:t>
            </w:r>
            <w:r w:rsidRPr="00EC20A0">
              <w:t>properly</w:t>
            </w:r>
            <w:r w:rsidRPr="00EC20A0">
              <w:rPr>
                <w:spacing w:val="-4"/>
              </w:rPr>
              <w:t xml:space="preserve"> </w:t>
            </w:r>
            <w:r w:rsidRPr="00EC20A0">
              <w:t>and</w:t>
            </w:r>
            <w:r w:rsidRPr="00EC20A0">
              <w:rPr>
                <w:spacing w:val="-5"/>
              </w:rPr>
              <w:t xml:space="preserve"> </w:t>
            </w:r>
            <w:r w:rsidRPr="00EC20A0">
              <w:t>timely</w:t>
            </w:r>
            <w:r w:rsidRPr="00EC20A0">
              <w:rPr>
                <w:spacing w:val="-4"/>
              </w:rPr>
              <w:t xml:space="preserve"> </w:t>
            </w:r>
            <w:r w:rsidRPr="00EC20A0">
              <w:t>recorded</w:t>
            </w:r>
            <w:r w:rsidRPr="00EC20A0">
              <w:rPr>
                <w:spacing w:val="-4"/>
              </w:rPr>
              <w:t xml:space="preserve"> </w:t>
            </w:r>
            <w:r w:rsidRPr="00EC20A0">
              <w:t>and</w:t>
            </w:r>
            <w:r w:rsidRPr="00EC20A0">
              <w:rPr>
                <w:spacing w:val="-4"/>
              </w:rPr>
              <w:t xml:space="preserve"> </w:t>
            </w:r>
            <w:r w:rsidRPr="00EC20A0">
              <w:t>reported</w:t>
            </w:r>
            <w:r w:rsidRPr="00EC20A0">
              <w:rPr>
                <w:spacing w:val="-4"/>
              </w:rPr>
              <w:t xml:space="preserve"> </w:t>
            </w:r>
            <w:r w:rsidRPr="00EC20A0">
              <w:t>collection</w:t>
            </w:r>
            <w:r w:rsidRPr="00EC20A0">
              <w:rPr>
                <w:spacing w:val="-4"/>
              </w:rPr>
              <w:t xml:space="preserve"> </w:t>
            </w:r>
            <w:r w:rsidRPr="00EC20A0">
              <w:t>and disbursement activity in its FBWT accounts;</w:t>
            </w:r>
          </w:p>
        </w:tc>
        <w:tc>
          <w:tcPr>
            <w:tcW w:w="811" w:type="dxa"/>
            <w:tcBorders>
              <w:top w:val="single" w:sz="8" w:space="0" w:color="000000"/>
              <w:left w:val="single" w:sz="8" w:space="0" w:color="000000"/>
              <w:bottom w:val="single" w:sz="8" w:space="0" w:color="000000"/>
              <w:right w:val="single" w:sz="8" w:space="0" w:color="000000"/>
            </w:tcBorders>
          </w:tcPr>
          <w:p w14:paraId="24D6241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19" w14:textId="77777777" w:rsidR="00245300" w:rsidRPr="00EC20A0" w:rsidRDefault="00245300">
            <w:pPr>
              <w:pStyle w:val="TableParagraph"/>
            </w:pPr>
          </w:p>
        </w:tc>
      </w:tr>
      <w:tr w:rsidR="00245300" w:rsidRPr="00EC20A0" w14:paraId="24D6241E" w14:textId="77777777">
        <w:trPr>
          <w:trHeight w:val="1251"/>
        </w:trPr>
        <w:tc>
          <w:tcPr>
            <w:tcW w:w="7380" w:type="dxa"/>
            <w:tcBorders>
              <w:top w:val="single" w:sz="8" w:space="0" w:color="000000"/>
              <w:bottom w:val="single" w:sz="8" w:space="0" w:color="000000"/>
              <w:right w:val="single" w:sz="8" w:space="0" w:color="000000"/>
            </w:tcBorders>
          </w:tcPr>
          <w:p w14:paraId="24D6241B" w14:textId="77777777" w:rsidR="00245300" w:rsidRPr="00EC20A0" w:rsidRDefault="00F17249">
            <w:pPr>
              <w:pStyle w:val="TableParagraph"/>
              <w:spacing w:before="121"/>
              <w:ind w:left="1608" w:hanging="339"/>
            </w:pPr>
            <w:r w:rsidRPr="00EC20A0">
              <w:t>ii.</w:t>
            </w:r>
            <w:r w:rsidRPr="00EC20A0">
              <w:rPr>
                <w:spacing w:val="40"/>
              </w:rPr>
              <w:t xml:space="preserve"> </w:t>
            </w:r>
            <w:r w:rsidRPr="00EC20A0">
              <w:t xml:space="preserve">timely </w:t>
            </w:r>
            <w:r w:rsidRPr="00EC20A0">
              <w:t>investigated FBWT balances recorded to clearing Treasury account symbols (TAS) and classified the balances</w:t>
            </w:r>
            <w:r w:rsidRPr="00EC20A0">
              <w:rPr>
                <w:spacing w:val="-4"/>
              </w:rPr>
              <w:t xml:space="preserve"> </w:t>
            </w:r>
            <w:r w:rsidRPr="00EC20A0">
              <w:t>to</w:t>
            </w:r>
            <w:r w:rsidRPr="00EC20A0">
              <w:rPr>
                <w:spacing w:val="-5"/>
              </w:rPr>
              <w:t xml:space="preserve"> </w:t>
            </w:r>
            <w:r w:rsidRPr="00EC20A0">
              <w:t>the</w:t>
            </w:r>
            <w:r w:rsidRPr="00EC20A0">
              <w:rPr>
                <w:spacing w:val="-4"/>
              </w:rPr>
              <w:t xml:space="preserve"> </w:t>
            </w:r>
            <w:r w:rsidRPr="00EC20A0">
              <w:t>proper</w:t>
            </w:r>
            <w:r w:rsidRPr="00EC20A0">
              <w:rPr>
                <w:spacing w:val="-4"/>
              </w:rPr>
              <w:t xml:space="preserve"> </w:t>
            </w:r>
            <w:r w:rsidRPr="00EC20A0">
              <w:t>TASs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general</w:t>
            </w:r>
            <w:r w:rsidRPr="00EC20A0">
              <w:rPr>
                <w:spacing w:val="-4"/>
              </w:rPr>
              <w:t xml:space="preserve"> </w:t>
            </w:r>
            <w:r w:rsidRPr="00EC20A0">
              <w:t>ledger and the Central Accounting Reporting System;</w:t>
            </w:r>
          </w:p>
        </w:tc>
        <w:tc>
          <w:tcPr>
            <w:tcW w:w="811" w:type="dxa"/>
            <w:tcBorders>
              <w:top w:val="single" w:sz="8" w:space="0" w:color="000000"/>
              <w:left w:val="single" w:sz="8" w:space="0" w:color="000000"/>
              <w:bottom w:val="single" w:sz="8" w:space="0" w:color="000000"/>
              <w:right w:val="single" w:sz="8" w:space="0" w:color="000000"/>
            </w:tcBorders>
          </w:tcPr>
          <w:p w14:paraId="24D6241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1D" w14:textId="77777777" w:rsidR="00245300" w:rsidRPr="00EC20A0" w:rsidRDefault="00245300">
            <w:pPr>
              <w:pStyle w:val="TableParagraph"/>
            </w:pPr>
          </w:p>
        </w:tc>
      </w:tr>
      <w:tr w:rsidR="00245300" w:rsidRPr="00EC20A0" w14:paraId="24D62422" w14:textId="77777777">
        <w:trPr>
          <w:trHeight w:val="745"/>
        </w:trPr>
        <w:tc>
          <w:tcPr>
            <w:tcW w:w="7380" w:type="dxa"/>
            <w:tcBorders>
              <w:top w:val="single" w:sz="8" w:space="0" w:color="000000"/>
              <w:bottom w:val="single" w:sz="8" w:space="0" w:color="000000"/>
              <w:right w:val="single" w:sz="8" w:space="0" w:color="000000"/>
            </w:tcBorders>
          </w:tcPr>
          <w:p w14:paraId="24D6241F" w14:textId="77777777" w:rsidR="00245300" w:rsidRPr="00EC20A0" w:rsidRDefault="00F17249">
            <w:pPr>
              <w:pStyle w:val="TableParagraph"/>
              <w:spacing w:before="121"/>
              <w:ind w:left="1609" w:hanging="389"/>
            </w:pPr>
            <w:r w:rsidRPr="00EC20A0">
              <w:t>iii.</w:t>
            </w:r>
            <w:r w:rsidRPr="00EC20A0">
              <w:rPr>
                <w:spacing w:val="40"/>
              </w:rPr>
              <w:t xml:space="preserve"> </w:t>
            </w:r>
            <w:r w:rsidRPr="00EC20A0">
              <w:t>reconciled</w:t>
            </w:r>
            <w:r w:rsidRPr="00EC20A0">
              <w:rPr>
                <w:spacing w:val="-6"/>
              </w:rPr>
              <w:t xml:space="preserve"> </w:t>
            </w:r>
            <w:r w:rsidRPr="00EC20A0">
              <w:t>its</w:t>
            </w:r>
            <w:r w:rsidRPr="00EC20A0">
              <w:rPr>
                <w:spacing w:val="-5"/>
              </w:rPr>
              <w:t xml:space="preserve"> </w:t>
            </w:r>
            <w:r w:rsidRPr="00EC20A0">
              <w:t>FBWT</w:t>
            </w:r>
            <w:r w:rsidRPr="00EC20A0">
              <w:rPr>
                <w:spacing w:val="-5"/>
              </w:rPr>
              <w:t xml:space="preserve"> </w:t>
            </w:r>
            <w:r w:rsidRPr="00EC20A0">
              <w:t>account</w:t>
            </w:r>
            <w:r w:rsidRPr="00EC20A0">
              <w:rPr>
                <w:spacing w:val="-5"/>
              </w:rPr>
              <w:t xml:space="preserve"> </w:t>
            </w:r>
            <w:r w:rsidRPr="00EC20A0">
              <w:t>balance</w:t>
            </w:r>
            <w:r w:rsidRPr="00EC20A0">
              <w:rPr>
                <w:spacing w:val="-5"/>
              </w:rPr>
              <w:t xml:space="preserve"> </w:t>
            </w:r>
            <w:r w:rsidRPr="00EC20A0">
              <w:t>and</w:t>
            </w:r>
            <w:r w:rsidRPr="00EC20A0">
              <w:rPr>
                <w:spacing w:val="-5"/>
              </w:rPr>
              <w:t xml:space="preserve"> </w:t>
            </w:r>
            <w:r w:rsidRPr="00EC20A0">
              <w:t>activity periodically and at year-end;</w:t>
            </w:r>
          </w:p>
        </w:tc>
        <w:tc>
          <w:tcPr>
            <w:tcW w:w="811" w:type="dxa"/>
            <w:tcBorders>
              <w:top w:val="single" w:sz="8" w:space="0" w:color="000000"/>
              <w:left w:val="single" w:sz="8" w:space="0" w:color="000000"/>
              <w:bottom w:val="single" w:sz="8" w:space="0" w:color="000000"/>
              <w:right w:val="single" w:sz="8" w:space="0" w:color="000000"/>
            </w:tcBorders>
          </w:tcPr>
          <w:p w14:paraId="24D62420"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21" w14:textId="77777777" w:rsidR="00245300" w:rsidRPr="00EC20A0" w:rsidRDefault="00245300">
            <w:pPr>
              <w:pStyle w:val="TableParagraph"/>
            </w:pPr>
          </w:p>
        </w:tc>
      </w:tr>
      <w:tr w:rsidR="00245300" w:rsidRPr="00EC20A0" w14:paraId="24D62426" w14:textId="77777777">
        <w:trPr>
          <w:trHeight w:val="746"/>
        </w:trPr>
        <w:tc>
          <w:tcPr>
            <w:tcW w:w="7380" w:type="dxa"/>
            <w:tcBorders>
              <w:top w:val="single" w:sz="8" w:space="0" w:color="000000"/>
              <w:bottom w:val="single" w:sz="8" w:space="0" w:color="000000"/>
              <w:right w:val="single" w:sz="8" w:space="0" w:color="000000"/>
            </w:tcBorders>
          </w:tcPr>
          <w:p w14:paraId="24D62423" w14:textId="77777777" w:rsidR="00245300" w:rsidRPr="00EC20A0" w:rsidRDefault="00F17249">
            <w:pPr>
              <w:pStyle w:val="TableParagraph"/>
              <w:spacing w:before="121"/>
              <w:ind w:left="1609" w:hanging="401"/>
            </w:pPr>
            <w:r w:rsidRPr="00EC20A0">
              <w:t>iv.</w:t>
            </w:r>
            <w:r w:rsidRPr="00EC20A0">
              <w:rPr>
                <w:spacing w:val="40"/>
              </w:rPr>
              <w:t xml:space="preserve"> </w:t>
            </w:r>
            <w:r w:rsidRPr="00EC20A0">
              <w:t>appropriately</w:t>
            </w:r>
            <w:r w:rsidRPr="00EC20A0">
              <w:rPr>
                <w:spacing w:val="-5"/>
              </w:rPr>
              <w:t xml:space="preserve"> </w:t>
            </w:r>
            <w:r w:rsidRPr="00EC20A0">
              <w:t>recorded</w:t>
            </w:r>
            <w:r w:rsidRPr="00EC20A0">
              <w:rPr>
                <w:spacing w:val="-5"/>
              </w:rPr>
              <w:t xml:space="preserve"> </w:t>
            </w:r>
            <w:r w:rsidRPr="00EC20A0">
              <w:t>and</w:t>
            </w:r>
            <w:r w:rsidRPr="00EC20A0">
              <w:rPr>
                <w:spacing w:val="-5"/>
              </w:rPr>
              <w:t xml:space="preserve"> </w:t>
            </w:r>
            <w:r w:rsidRPr="00EC20A0">
              <w:t>reviewed</w:t>
            </w:r>
            <w:r w:rsidRPr="00EC20A0">
              <w:rPr>
                <w:spacing w:val="-5"/>
              </w:rPr>
              <w:t xml:space="preserve"> </w:t>
            </w:r>
            <w:r w:rsidRPr="00EC20A0">
              <w:t>any</w:t>
            </w:r>
            <w:r w:rsidRPr="00EC20A0">
              <w:rPr>
                <w:spacing w:val="-5"/>
              </w:rPr>
              <w:t xml:space="preserve"> </w:t>
            </w:r>
            <w:r w:rsidRPr="00EC20A0">
              <w:t>adjusting</w:t>
            </w:r>
            <w:r w:rsidRPr="00EC20A0">
              <w:rPr>
                <w:spacing w:val="-5"/>
              </w:rPr>
              <w:t xml:space="preserve"> </w:t>
            </w:r>
            <w:r w:rsidRPr="00EC20A0">
              <w:t>journal vouchers recorded to FBWT accounts;</w:t>
            </w:r>
          </w:p>
        </w:tc>
        <w:tc>
          <w:tcPr>
            <w:tcW w:w="811" w:type="dxa"/>
            <w:tcBorders>
              <w:top w:val="single" w:sz="8" w:space="0" w:color="000000"/>
              <w:left w:val="single" w:sz="8" w:space="0" w:color="000000"/>
              <w:bottom w:val="single" w:sz="8" w:space="0" w:color="000000"/>
              <w:right w:val="single" w:sz="8" w:space="0" w:color="000000"/>
            </w:tcBorders>
          </w:tcPr>
          <w:p w14:paraId="24D62424"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25" w14:textId="77777777" w:rsidR="00245300" w:rsidRPr="00EC20A0" w:rsidRDefault="00245300">
            <w:pPr>
              <w:pStyle w:val="TableParagraph"/>
            </w:pPr>
          </w:p>
        </w:tc>
      </w:tr>
      <w:tr w:rsidR="00245300" w:rsidRPr="00EC20A0" w14:paraId="24D6242A" w14:textId="77777777">
        <w:trPr>
          <w:trHeight w:val="999"/>
        </w:trPr>
        <w:tc>
          <w:tcPr>
            <w:tcW w:w="7380" w:type="dxa"/>
            <w:tcBorders>
              <w:top w:val="single" w:sz="8" w:space="0" w:color="000000"/>
              <w:bottom w:val="single" w:sz="8" w:space="0" w:color="000000"/>
              <w:right w:val="single" w:sz="8" w:space="0" w:color="000000"/>
            </w:tcBorders>
          </w:tcPr>
          <w:p w14:paraId="24D62427" w14:textId="77777777" w:rsidR="00245300" w:rsidRPr="00EC20A0" w:rsidRDefault="00F17249">
            <w:pPr>
              <w:pStyle w:val="TableParagraph"/>
              <w:spacing w:before="119"/>
              <w:ind w:left="1609" w:right="292" w:hanging="352"/>
              <w:jc w:val="both"/>
            </w:pPr>
            <w:r w:rsidRPr="00EC20A0">
              <w:t>v.</w:t>
            </w:r>
            <w:r w:rsidRPr="00EC20A0">
              <w:rPr>
                <w:spacing w:val="40"/>
              </w:rPr>
              <w:t xml:space="preserve"> </w:t>
            </w:r>
            <w:r w:rsidRPr="00EC20A0">
              <w:t>disclosed</w:t>
            </w:r>
            <w:r w:rsidRPr="00EC20A0">
              <w:rPr>
                <w:spacing w:val="-1"/>
              </w:rPr>
              <w:t xml:space="preserve"> </w:t>
            </w:r>
            <w:r w:rsidRPr="00EC20A0">
              <w:t>the</w:t>
            </w:r>
            <w:r w:rsidRPr="00EC20A0">
              <w:rPr>
                <w:spacing w:val="-1"/>
              </w:rPr>
              <w:t xml:space="preserve"> </w:t>
            </w:r>
            <w:r w:rsidRPr="00EC20A0">
              <w:t>status</w:t>
            </w:r>
            <w:r w:rsidRPr="00EC20A0">
              <w:rPr>
                <w:spacing w:val="-1"/>
              </w:rPr>
              <w:t xml:space="preserve"> </w:t>
            </w:r>
            <w:r w:rsidRPr="00EC20A0">
              <w:t>of</w:t>
            </w:r>
            <w:r w:rsidRPr="00EC20A0">
              <w:rPr>
                <w:spacing w:val="-1"/>
              </w:rPr>
              <w:t xml:space="preserve"> </w:t>
            </w:r>
            <w:r w:rsidRPr="00EC20A0">
              <w:t>accounts,</w:t>
            </w:r>
            <w:r w:rsidRPr="00EC20A0">
              <w:rPr>
                <w:spacing w:val="-2"/>
              </w:rPr>
              <w:t xml:space="preserve"> </w:t>
            </w:r>
            <w:r w:rsidRPr="00EC20A0">
              <w:t>such</w:t>
            </w:r>
            <w:r w:rsidRPr="00EC20A0">
              <w:rPr>
                <w:spacing w:val="-1"/>
              </w:rPr>
              <w:t xml:space="preserve"> </w:t>
            </w:r>
            <w:r w:rsidRPr="00EC20A0">
              <w:t>as</w:t>
            </w:r>
            <w:r w:rsidRPr="00EC20A0">
              <w:rPr>
                <w:spacing w:val="-1"/>
              </w:rPr>
              <w:t xml:space="preserve"> </w:t>
            </w:r>
            <w:r w:rsidRPr="00EC20A0">
              <w:t>open,</w:t>
            </w:r>
            <w:r w:rsidRPr="00EC20A0">
              <w:rPr>
                <w:spacing w:val="-1"/>
              </w:rPr>
              <w:t xml:space="preserve"> </w:t>
            </w:r>
            <w:r w:rsidRPr="00EC20A0">
              <w:t>expired, or</w:t>
            </w:r>
            <w:r w:rsidRPr="00EC20A0">
              <w:rPr>
                <w:spacing w:val="-6"/>
              </w:rPr>
              <w:t xml:space="preserve"> </w:t>
            </w:r>
            <w:r w:rsidRPr="00EC20A0">
              <w:t>cancelled,</w:t>
            </w:r>
            <w:r w:rsidRPr="00EC20A0">
              <w:rPr>
                <w:spacing w:val="-6"/>
              </w:rPr>
              <w:t xml:space="preserve"> </w:t>
            </w:r>
            <w:r w:rsidRPr="00EC20A0">
              <w:t>and</w:t>
            </w:r>
            <w:r w:rsidRPr="00EC20A0">
              <w:rPr>
                <w:spacing w:val="-6"/>
              </w:rPr>
              <w:t xml:space="preserve"> </w:t>
            </w:r>
            <w:r w:rsidRPr="00EC20A0">
              <w:t>whether</w:t>
            </w:r>
            <w:r w:rsidRPr="00EC20A0">
              <w:rPr>
                <w:spacing w:val="-6"/>
              </w:rPr>
              <w:t xml:space="preserve"> </w:t>
            </w:r>
            <w:r w:rsidRPr="00EC20A0">
              <w:t>each</w:t>
            </w:r>
            <w:r w:rsidRPr="00EC20A0">
              <w:rPr>
                <w:spacing w:val="-6"/>
              </w:rPr>
              <w:t xml:space="preserve"> </w:t>
            </w:r>
            <w:r w:rsidRPr="00EC20A0">
              <w:t>account</w:t>
            </w:r>
            <w:r w:rsidRPr="00EC20A0">
              <w:rPr>
                <w:spacing w:val="-6"/>
              </w:rPr>
              <w:t xml:space="preserve"> </w:t>
            </w:r>
            <w:r w:rsidRPr="00EC20A0">
              <w:t>is</w:t>
            </w:r>
            <w:r w:rsidRPr="00EC20A0">
              <w:rPr>
                <w:spacing w:val="-6"/>
              </w:rPr>
              <w:t xml:space="preserve"> </w:t>
            </w:r>
            <w:r w:rsidRPr="00EC20A0">
              <w:t>appropriately included in the FBWT line item; and</w:t>
            </w:r>
          </w:p>
        </w:tc>
        <w:tc>
          <w:tcPr>
            <w:tcW w:w="811" w:type="dxa"/>
            <w:tcBorders>
              <w:top w:val="single" w:sz="8" w:space="0" w:color="000000"/>
              <w:left w:val="single" w:sz="8" w:space="0" w:color="000000"/>
              <w:bottom w:val="single" w:sz="8" w:space="0" w:color="000000"/>
              <w:right w:val="single" w:sz="8" w:space="0" w:color="000000"/>
            </w:tcBorders>
          </w:tcPr>
          <w:p w14:paraId="24D6242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29" w14:textId="77777777" w:rsidR="00245300" w:rsidRPr="00EC20A0" w:rsidRDefault="00245300">
            <w:pPr>
              <w:pStyle w:val="TableParagraph"/>
            </w:pPr>
          </w:p>
        </w:tc>
      </w:tr>
    </w:tbl>
    <w:p w14:paraId="24D6242B" w14:textId="77777777" w:rsidR="00245300" w:rsidRPr="00EC20A0" w:rsidRDefault="00245300">
      <w:pPr>
        <w:sectPr w:rsidR="00245300" w:rsidRPr="00EC20A0">
          <w:pgSz w:w="12240" w:h="15840"/>
          <w:pgMar w:top="1340" w:right="460" w:bottom="940" w:left="560" w:header="721" w:footer="757" w:gutter="0"/>
          <w:cols w:space="720"/>
        </w:sectPr>
      </w:pPr>
    </w:p>
    <w:p w14:paraId="24D6242C"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433" w14:textId="77777777">
        <w:trPr>
          <w:trHeight w:val="936"/>
        </w:trPr>
        <w:tc>
          <w:tcPr>
            <w:tcW w:w="7380" w:type="dxa"/>
            <w:tcBorders>
              <w:right w:val="single" w:sz="8" w:space="0" w:color="000000"/>
            </w:tcBorders>
            <w:shd w:val="clear" w:color="auto" w:fill="A6A6A6"/>
          </w:tcPr>
          <w:p w14:paraId="24D6242D" w14:textId="77777777" w:rsidR="00245300" w:rsidRPr="00EC20A0" w:rsidRDefault="00245300">
            <w:pPr>
              <w:pStyle w:val="TableParagraph"/>
              <w:spacing w:before="266"/>
              <w:rPr>
                <w:b/>
                <w:sz w:val="24"/>
              </w:rPr>
            </w:pPr>
          </w:p>
          <w:p w14:paraId="24D6242E"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42F"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430" w14:textId="77777777" w:rsidR="00245300" w:rsidRPr="00EC20A0" w:rsidRDefault="00245300">
            <w:pPr>
              <w:pStyle w:val="TableParagraph"/>
              <w:rPr>
                <w:b/>
              </w:rPr>
            </w:pPr>
          </w:p>
          <w:p w14:paraId="24D62431" w14:textId="77777777" w:rsidR="00245300" w:rsidRPr="00EC20A0" w:rsidRDefault="00245300">
            <w:pPr>
              <w:pStyle w:val="TableParagraph"/>
              <w:spacing w:before="120"/>
              <w:rPr>
                <w:b/>
              </w:rPr>
            </w:pPr>
          </w:p>
          <w:p w14:paraId="24D62432"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437" w14:textId="77777777">
        <w:trPr>
          <w:trHeight w:val="1252"/>
        </w:trPr>
        <w:tc>
          <w:tcPr>
            <w:tcW w:w="7380" w:type="dxa"/>
            <w:tcBorders>
              <w:bottom w:val="single" w:sz="8" w:space="0" w:color="000000"/>
              <w:right w:val="single" w:sz="8" w:space="0" w:color="000000"/>
            </w:tcBorders>
          </w:tcPr>
          <w:p w14:paraId="24D62434" w14:textId="77777777" w:rsidR="00245300" w:rsidRPr="00EC20A0" w:rsidRDefault="00F17249">
            <w:pPr>
              <w:pStyle w:val="TableParagraph"/>
              <w:spacing w:before="121"/>
              <w:ind w:left="1609" w:right="53" w:hanging="401"/>
            </w:pPr>
            <w:r w:rsidRPr="00EC20A0">
              <w:t>vi.</w:t>
            </w:r>
            <w:r w:rsidRPr="00EC20A0">
              <w:rPr>
                <w:spacing w:val="40"/>
              </w:rPr>
              <w:t xml:space="preserve"> </w:t>
            </w:r>
            <w:r w:rsidRPr="00EC20A0">
              <w:t xml:space="preserve">disclosed in the notes to the financial statements (a) material unreconciled differences, (b) material </w:t>
            </w:r>
            <w:r w:rsidRPr="00EC20A0">
              <w:t>unreconciled</w:t>
            </w:r>
            <w:r w:rsidRPr="00EC20A0">
              <w:rPr>
                <w:spacing w:val="-5"/>
              </w:rPr>
              <w:t xml:space="preserve"> </w:t>
            </w:r>
            <w:r w:rsidRPr="00EC20A0">
              <w:t>differences</w:t>
            </w:r>
            <w:r w:rsidRPr="00EC20A0">
              <w:rPr>
                <w:spacing w:val="-5"/>
              </w:rPr>
              <w:t xml:space="preserve"> </w:t>
            </w:r>
            <w:r w:rsidRPr="00EC20A0">
              <w:t>that</w:t>
            </w:r>
            <w:r w:rsidRPr="00EC20A0">
              <w:rPr>
                <w:spacing w:val="-5"/>
              </w:rPr>
              <w:t xml:space="preserve"> </w:t>
            </w:r>
            <w:r w:rsidRPr="00EC20A0">
              <w:t>were</w:t>
            </w:r>
            <w:r w:rsidRPr="00EC20A0">
              <w:rPr>
                <w:spacing w:val="-5"/>
              </w:rPr>
              <w:t xml:space="preserve"> </w:t>
            </w:r>
            <w:r w:rsidRPr="00EC20A0">
              <w:t>written</w:t>
            </w:r>
            <w:r w:rsidRPr="00EC20A0">
              <w:rPr>
                <w:spacing w:val="-5"/>
              </w:rPr>
              <w:t xml:space="preserve"> </w:t>
            </w:r>
            <w:r w:rsidRPr="00EC20A0">
              <w:t>off</w:t>
            </w:r>
            <w:r w:rsidRPr="00EC20A0">
              <w:rPr>
                <w:spacing w:val="-5"/>
              </w:rPr>
              <w:t xml:space="preserve"> </w:t>
            </w:r>
            <w:r w:rsidRPr="00EC20A0">
              <w:t>by</w:t>
            </w:r>
            <w:r w:rsidRPr="00EC20A0">
              <w:rPr>
                <w:spacing w:val="-5"/>
              </w:rPr>
              <w:t xml:space="preserve"> </w:t>
            </w:r>
            <w:r w:rsidRPr="00EC20A0">
              <w:t>the</w:t>
            </w:r>
            <w:r w:rsidRPr="00EC20A0">
              <w:rPr>
                <w:spacing w:val="-5"/>
              </w:rPr>
              <w:t xml:space="preserve"> </w:t>
            </w:r>
            <w:r w:rsidRPr="00EC20A0">
              <w:t>entity during the year, and (c) material restrictions?</w:t>
            </w:r>
          </w:p>
        </w:tc>
        <w:tc>
          <w:tcPr>
            <w:tcW w:w="811" w:type="dxa"/>
            <w:tcBorders>
              <w:left w:val="single" w:sz="8" w:space="0" w:color="000000"/>
              <w:bottom w:val="single" w:sz="8" w:space="0" w:color="000000"/>
              <w:right w:val="single" w:sz="8" w:space="0" w:color="000000"/>
            </w:tcBorders>
          </w:tcPr>
          <w:p w14:paraId="24D62435"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436" w14:textId="77777777" w:rsidR="00245300" w:rsidRPr="00EC20A0" w:rsidRDefault="00245300">
            <w:pPr>
              <w:pStyle w:val="TableParagraph"/>
            </w:pPr>
          </w:p>
        </w:tc>
      </w:tr>
      <w:tr w:rsidR="00245300" w:rsidRPr="00EC20A0" w14:paraId="24D6243B" w14:textId="77777777">
        <w:trPr>
          <w:trHeight w:val="1252"/>
        </w:trPr>
        <w:tc>
          <w:tcPr>
            <w:tcW w:w="7380" w:type="dxa"/>
            <w:tcBorders>
              <w:top w:val="single" w:sz="8" w:space="0" w:color="000000"/>
              <w:bottom w:val="single" w:sz="8" w:space="0" w:color="000000"/>
              <w:right w:val="single" w:sz="8" w:space="0" w:color="000000"/>
            </w:tcBorders>
          </w:tcPr>
          <w:p w14:paraId="24D62438" w14:textId="77777777" w:rsidR="00245300" w:rsidRPr="00EC20A0" w:rsidRDefault="00F17249">
            <w:pPr>
              <w:pStyle w:val="TableParagraph"/>
              <w:spacing w:before="119"/>
              <w:ind w:left="1249" w:right="172" w:hanging="360"/>
            </w:pPr>
            <w:r w:rsidRPr="00EC20A0">
              <w:t>b.</w:t>
            </w:r>
            <w:r w:rsidRPr="00EC20A0">
              <w:rPr>
                <w:spacing w:val="80"/>
              </w:rPr>
              <w:t xml:space="preserve"> </w:t>
            </w:r>
            <w:r w:rsidRPr="00EC20A0">
              <w:t>Did the auditor determine the materiality of gross unreconciled differences and clearing account balances by analyzing</w:t>
            </w:r>
            <w:r w:rsidRPr="00EC20A0">
              <w:rPr>
                <w:spacing w:val="-6"/>
              </w:rPr>
              <w:t xml:space="preserve"> </w:t>
            </w:r>
            <w:r w:rsidRPr="00EC20A0">
              <w:t>the</w:t>
            </w:r>
            <w:r w:rsidRPr="00EC20A0">
              <w:rPr>
                <w:spacing w:val="-6"/>
              </w:rPr>
              <w:t xml:space="preserve"> </w:t>
            </w:r>
            <w:r w:rsidRPr="00EC20A0">
              <w:t>aggregate</w:t>
            </w:r>
            <w:r w:rsidRPr="00EC20A0">
              <w:rPr>
                <w:spacing w:val="-5"/>
              </w:rPr>
              <w:t xml:space="preserve"> </w:t>
            </w:r>
            <w:r w:rsidRPr="00EC20A0">
              <w:t>absolute</w:t>
            </w:r>
            <w:r w:rsidRPr="00EC20A0">
              <w:rPr>
                <w:spacing w:val="-6"/>
              </w:rPr>
              <w:t xml:space="preserve"> </w:t>
            </w:r>
            <w:r w:rsidRPr="00EC20A0">
              <w:t>values</w:t>
            </w:r>
            <w:r w:rsidRPr="00EC20A0">
              <w:rPr>
                <w:spacing w:val="-6"/>
              </w:rPr>
              <w:t xml:space="preserve"> </w:t>
            </w:r>
            <w:r w:rsidRPr="00EC20A0">
              <w:t>and</w:t>
            </w:r>
            <w:r w:rsidRPr="00EC20A0">
              <w:rPr>
                <w:spacing w:val="-6"/>
              </w:rPr>
              <w:t xml:space="preserve"> </w:t>
            </w:r>
            <w:r w:rsidRPr="00EC20A0">
              <w:t>resulting</w:t>
            </w:r>
            <w:r w:rsidRPr="00EC20A0">
              <w:rPr>
                <w:spacing w:val="-6"/>
              </w:rPr>
              <w:t xml:space="preserve"> </w:t>
            </w:r>
            <w:r w:rsidRPr="00EC20A0">
              <w:t>effect on the financial statements?</w:t>
            </w:r>
          </w:p>
        </w:tc>
        <w:tc>
          <w:tcPr>
            <w:tcW w:w="811" w:type="dxa"/>
            <w:tcBorders>
              <w:top w:val="single" w:sz="8" w:space="0" w:color="000000"/>
              <w:left w:val="single" w:sz="8" w:space="0" w:color="000000"/>
              <w:bottom w:val="single" w:sz="8" w:space="0" w:color="000000"/>
              <w:right w:val="single" w:sz="8" w:space="0" w:color="000000"/>
            </w:tcBorders>
          </w:tcPr>
          <w:p w14:paraId="24D62439"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3A" w14:textId="77777777" w:rsidR="00245300" w:rsidRPr="00EC20A0" w:rsidRDefault="00245300">
            <w:pPr>
              <w:pStyle w:val="TableParagraph"/>
            </w:pPr>
          </w:p>
        </w:tc>
      </w:tr>
      <w:tr w:rsidR="00245300" w:rsidRPr="00EC20A0" w14:paraId="24D62440" w14:textId="77777777">
        <w:trPr>
          <w:trHeight w:val="925"/>
        </w:trPr>
        <w:tc>
          <w:tcPr>
            <w:tcW w:w="7380" w:type="dxa"/>
            <w:tcBorders>
              <w:top w:val="single" w:sz="8" w:space="0" w:color="000000"/>
              <w:bottom w:val="single" w:sz="8" w:space="0" w:color="000000"/>
              <w:right w:val="single" w:sz="8" w:space="0" w:color="000000"/>
            </w:tcBorders>
          </w:tcPr>
          <w:p w14:paraId="24D6243C" w14:textId="77777777" w:rsidR="00245300" w:rsidRPr="00EC20A0" w:rsidRDefault="00F17249">
            <w:pPr>
              <w:pStyle w:val="TableParagraph"/>
              <w:spacing w:before="121"/>
              <w:ind w:left="483"/>
              <w:rPr>
                <w:b/>
              </w:rPr>
            </w:pPr>
            <w:r w:rsidRPr="00EC20A0">
              <w:t>13.</w:t>
            </w:r>
            <w:r w:rsidRPr="00EC20A0">
              <w:rPr>
                <w:spacing w:val="-11"/>
              </w:rPr>
              <w:t xml:space="preserve"> </w:t>
            </w:r>
            <w:r w:rsidRPr="00EC20A0">
              <w:rPr>
                <w:b/>
                <w:spacing w:val="-2"/>
              </w:rPr>
              <w:t>Receivables</w:t>
            </w:r>
          </w:p>
          <w:p w14:paraId="24D6243D" w14:textId="77777777" w:rsidR="00245300" w:rsidRPr="00EC20A0" w:rsidRDefault="00F17249">
            <w:pPr>
              <w:pStyle w:val="TableParagraph"/>
              <w:spacing w:before="179"/>
              <w:ind w:left="843"/>
            </w:pPr>
            <w:r w:rsidRPr="00EC20A0">
              <w:t>Consider</w:t>
            </w:r>
            <w:r w:rsidRPr="00EC20A0">
              <w:rPr>
                <w:spacing w:val="-9"/>
              </w:rPr>
              <w:t xml:space="preserve"> </w:t>
            </w:r>
            <w:r w:rsidRPr="00EC20A0">
              <w:t>these</w:t>
            </w:r>
            <w:r w:rsidRPr="00EC20A0">
              <w:rPr>
                <w:spacing w:val="-8"/>
              </w:rPr>
              <w:t xml:space="preserve"> </w:t>
            </w:r>
            <w:r w:rsidRPr="00EC20A0">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3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3F" w14:textId="77777777" w:rsidR="00245300" w:rsidRPr="00EC20A0" w:rsidRDefault="00245300">
            <w:pPr>
              <w:pStyle w:val="TableParagraph"/>
            </w:pPr>
          </w:p>
        </w:tc>
      </w:tr>
      <w:tr w:rsidR="00245300" w:rsidRPr="00EC20A0" w14:paraId="24D62444" w14:textId="77777777">
        <w:trPr>
          <w:trHeight w:val="998"/>
        </w:trPr>
        <w:tc>
          <w:tcPr>
            <w:tcW w:w="7380" w:type="dxa"/>
            <w:tcBorders>
              <w:top w:val="single" w:sz="8" w:space="0" w:color="000000"/>
              <w:bottom w:val="single" w:sz="8" w:space="0" w:color="000000"/>
              <w:right w:val="single" w:sz="8" w:space="0" w:color="000000"/>
            </w:tcBorders>
          </w:tcPr>
          <w:p w14:paraId="24D62441" w14:textId="77777777" w:rsidR="00245300" w:rsidRPr="00EC20A0" w:rsidRDefault="00F17249">
            <w:pPr>
              <w:pStyle w:val="TableParagraph"/>
              <w:spacing w:before="121"/>
              <w:ind w:left="1249" w:right="177" w:hanging="360"/>
              <w:jc w:val="both"/>
            </w:pPr>
            <w:r w:rsidRPr="00EC20A0">
              <w:t>a.</w:t>
            </w:r>
            <w:r w:rsidRPr="00EC20A0">
              <w:rPr>
                <w:spacing w:val="80"/>
              </w:rPr>
              <w:t xml:space="preserve"> </w:t>
            </w:r>
            <w:r w:rsidRPr="00EC20A0">
              <w:t>Were receivables confirmed and appropriate follow-up steps taken,</w:t>
            </w:r>
            <w:r w:rsidRPr="00EC20A0">
              <w:rPr>
                <w:spacing w:val="-7"/>
              </w:rPr>
              <w:t xml:space="preserve"> </w:t>
            </w:r>
            <w:r w:rsidRPr="00EC20A0">
              <w:t>including</w:t>
            </w:r>
            <w:r w:rsidRPr="00EC20A0">
              <w:rPr>
                <w:spacing w:val="-7"/>
              </w:rPr>
              <w:t xml:space="preserve"> </w:t>
            </w:r>
            <w:r w:rsidRPr="00EC20A0">
              <w:t>second</w:t>
            </w:r>
            <w:r w:rsidRPr="00EC20A0">
              <w:rPr>
                <w:spacing w:val="-8"/>
              </w:rPr>
              <w:t xml:space="preserve"> </w:t>
            </w:r>
            <w:r w:rsidRPr="00EC20A0">
              <w:t>requests</w:t>
            </w:r>
            <w:r w:rsidRPr="00EC20A0">
              <w:rPr>
                <w:spacing w:val="-7"/>
              </w:rPr>
              <w:t xml:space="preserve"> </w:t>
            </w:r>
            <w:r w:rsidRPr="00EC20A0">
              <w:t>and</w:t>
            </w:r>
            <w:r w:rsidRPr="00EC20A0">
              <w:rPr>
                <w:spacing w:val="-7"/>
              </w:rPr>
              <w:t xml:space="preserve"> </w:t>
            </w:r>
            <w:r w:rsidRPr="00EC20A0">
              <w:t>subsequent</w:t>
            </w:r>
            <w:r w:rsidRPr="00EC20A0">
              <w:rPr>
                <w:spacing w:val="-7"/>
              </w:rPr>
              <w:t xml:space="preserve"> </w:t>
            </w:r>
            <w:r w:rsidRPr="00EC20A0">
              <w:t>collections (AU-C 505)?</w:t>
            </w:r>
          </w:p>
        </w:tc>
        <w:tc>
          <w:tcPr>
            <w:tcW w:w="811" w:type="dxa"/>
            <w:tcBorders>
              <w:top w:val="single" w:sz="8" w:space="0" w:color="000000"/>
              <w:left w:val="single" w:sz="8" w:space="0" w:color="000000"/>
              <w:bottom w:val="single" w:sz="8" w:space="0" w:color="000000"/>
              <w:right w:val="single" w:sz="8" w:space="0" w:color="000000"/>
            </w:tcBorders>
          </w:tcPr>
          <w:p w14:paraId="24D6244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43" w14:textId="77777777" w:rsidR="00245300" w:rsidRPr="00EC20A0" w:rsidRDefault="00245300">
            <w:pPr>
              <w:pStyle w:val="TableParagraph"/>
            </w:pPr>
          </w:p>
        </w:tc>
      </w:tr>
      <w:tr w:rsidR="00245300" w:rsidRPr="00EC20A0" w14:paraId="24D62448" w14:textId="77777777">
        <w:trPr>
          <w:trHeight w:val="746"/>
        </w:trPr>
        <w:tc>
          <w:tcPr>
            <w:tcW w:w="7380" w:type="dxa"/>
            <w:tcBorders>
              <w:top w:val="single" w:sz="8" w:space="0" w:color="000000"/>
              <w:bottom w:val="single" w:sz="8" w:space="0" w:color="000000"/>
              <w:right w:val="single" w:sz="8" w:space="0" w:color="000000"/>
            </w:tcBorders>
          </w:tcPr>
          <w:p w14:paraId="24D62445" w14:textId="77777777" w:rsidR="00245300" w:rsidRPr="00EC20A0" w:rsidRDefault="00F17249">
            <w:pPr>
              <w:pStyle w:val="TableParagraph"/>
              <w:spacing w:before="121"/>
              <w:ind w:left="1249" w:right="172" w:hanging="360"/>
            </w:pPr>
            <w:r w:rsidRPr="00EC20A0">
              <w:t>b.</w:t>
            </w:r>
            <w:r w:rsidRPr="00EC20A0">
              <w:rPr>
                <w:spacing w:val="80"/>
              </w:rPr>
              <w:t xml:space="preserve"> </w:t>
            </w:r>
            <w:r w:rsidRPr="00EC20A0">
              <w:t>Are</w:t>
            </w:r>
            <w:r w:rsidRPr="00EC20A0">
              <w:rPr>
                <w:spacing w:val="-4"/>
              </w:rPr>
              <w:t xml:space="preserve"> </w:t>
            </w:r>
            <w:r w:rsidRPr="00EC20A0">
              <w:t>receivables</w:t>
            </w:r>
            <w:r w:rsidRPr="00EC20A0">
              <w:rPr>
                <w:spacing w:val="-4"/>
              </w:rPr>
              <w:t xml:space="preserve"> </w:t>
            </w:r>
            <w:r w:rsidRPr="00EC20A0">
              <w:t>stated</w:t>
            </w:r>
            <w:r w:rsidRPr="00EC20A0">
              <w:rPr>
                <w:spacing w:val="-5"/>
              </w:rPr>
              <w:t xml:space="preserve"> </w:t>
            </w:r>
            <w:r w:rsidRPr="00EC20A0">
              <w:t>at</w:t>
            </w:r>
            <w:r w:rsidRPr="00EC20A0">
              <w:rPr>
                <w:spacing w:val="-4"/>
              </w:rPr>
              <w:t xml:space="preserve"> </w:t>
            </w:r>
            <w:r w:rsidRPr="00EC20A0">
              <w:t>net</w:t>
            </w:r>
            <w:r w:rsidRPr="00EC20A0">
              <w:rPr>
                <w:spacing w:val="-4"/>
              </w:rPr>
              <w:t xml:space="preserve"> </w:t>
            </w:r>
            <w:r w:rsidRPr="00EC20A0">
              <w:t>realizable</w:t>
            </w:r>
            <w:r w:rsidRPr="00EC20A0">
              <w:rPr>
                <w:spacing w:val="-4"/>
              </w:rPr>
              <w:t xml:space="preserve"> </w:t>
            </w:r>
            <w:r w:rsidRPr="00EC20A0">
              <w:t>value</w:t>
            </w:r>
            <w:r w:rsidRPr="00EC20A0">
              <w:rPr>
                <w:spacing w:val="-4"/>
              </w:rPr>
              <w:t xml:space="preserve"> </w:t>
            </w:r>
            <w:r w:rsidRPr="00EC20A0">
              <w:t>after</w:t>
            </w:r>
            <w:r w:rsidRPr="00EC20A0">
              <w:rPr>
                <w:spacing w:val="-4"/>
              </w:rPr>
              <w:t xml:space="preserve"> </w:t>
            </w:r>
            <w:r w:rsidRPr="00EC20A0">
              <w:t>allowance for uncollectible accounts (AU-C 540)?</w:t>
            </w:r>
          </w:p>
        </w:tc>
        <w:tc>
          <w:tcPr>
            <w:tcW w:w="811" w:type="dxa"/>
            <w:tcBorders>
              <w:top w:val="single" w:sz="8" w:space="0" w:color="000000"/>
              <w:left w:val="single" w:sz="8" w:space="0" w:color="000000"/>
              <w:bottom w:val="single" w:sz="8" w:space="0" w:color="000000"/>
              <w:right w:val="single" w:sz="8" w:space="0" w:color="000000"/>
            </w:tcBorders>
          </w:tcPr>
          <w:p w14:paraId="24D6244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47" w14:textId="77777777" w:rsidR="00245300" w:rsidRPr="00EC20A0" w:rsidRDefault="00245300">
            <w:pPr>
              <w:pStyle w:val="TableParagraph"/>
            </w:pPr>
          </w:p>
        </w:tc>
      </w:tr>
      <w:tr w:rsidR="00245300" w:rsidRPr="00EC20A0" w14:paraId="24D6244C" w14:textId="77777777">
        <w:trPr>
          <w:trHeight w:val="745"/>
        </w:trPr>
        <w:tc>
          <w:tcPr>
            <w:tcW w:w="7380" w:type="dxa"/>
            <w:tcBorders>
              <w:top w:val="single" w:sz="8" w:space="0" w:color="000000"/>
              <w:bottom w:val="single" w:sz="8" w:space="0" w:color="000000"/>
              <w:right w:val="single" w:sz="8" w:space="0" w:color="000000"/>
            </w:tcBorders>
          </w:tcPr>
          <w:p w14:paraId="24D62449" w14:textId="77777777" w:rsidR="00245300" w:rsidRPr="00EC20A0" w:rsidRDefault="00F17249">
            <w:pPr>
              <w:pStyle w:val="TableParagraph"/>
              <w:spacing w:before="119"/>
              <w:ind w:left="844" w:hanging="361"/>
              <w:rPr>
                <w:b/>
              </w:rPr>
            </w:pPr>
            <w:r w:rsidRPr="00EC20A0">
              <w:t>14.</w:t>
            </w:r>
            <w:r w:rsidRPr="00EC20A0">
              <w:rPr>
                <w:spacing w:val="-12"/>
              </w:rPr>
              <w:t xml:space="preserve"> </w:t>
            </w:r>
            <w:r w:rsidRPr="00EC20A0">
              <w:rPr>
                <w:b/>
              </w:rPr>
              <w:t>Valuation</w:t>
            </w:r>
            <w:r w:rsidRPr="00EC20A0">
              <w:rPr>
                <w:b/>
                <w:spacing w:val="-6"/>
              </w:rPr>
              <w:t xml:space="preserve"> </w:t>
            </w:r>
            <w:r w:rsidRPr="00EC20A0">
              <w:rPr>
                <w:b/>
              </w:rPr>
              <w:t>of</w:t>
            </w:r>
            <w:r w:rsidRPr="00EC20A0">
              <w:rPr>
                <w:b/>
                <w:spacing w:val="-6"/>
              </w:rPr>
              <w:t xml:space="preserve"> </w:t>
            </w:r>
            <w:r w:rsidRPr="00EC20A0">
              <w:rPr>
                <w:b/>
              </w:rPr>
              <w:t>Investments</w:t>
            </w:r>
            <w:r w:rsidRPr="00EC20A0">
              <w:rPr>
                <w:b/>
                <w:spacing w:val="-6"/>
              </w:rPr>
              <w:t xml:space="preserve"> </w:t>
            </w:r>
            <w:r w:rsidRPr="00EC20A0">
              <w:rPr>
                <w:b/>
              </w:rPr>
              <w:t>in</w:t>
            </w:r>
            <w:r w:rsidRPr="00EC20A0">
              <w:rPr>
                <w:b/>
                <w:spacing w:val="-6"/>
              </w:rPr>
              <w:t xml:space="preserve"> </w:t>
            </w:r>
            <w:r w:rsidRPr="00EC20A0">
              <w:rPr>
                <w:b/>
              </w:rPr>
              <w:t>Securities</w:t>
            </w:r>
            <w:r w:rsidRPr="00EC20A0">
              <w:rPr>
                <w:b/>
                <w:spacing w:val="-6"/>
              </w:rPr>
              <w:t xml:space="preserve"> </w:t>
            </w:r>
            <w:r w:rsidRPr="00EC20A0">
              <w:rPr>
                <w:b/>
              </w:rPr>
              <w:t>and</w:t>
            </w:r>
            <w:r w:rsidRPr="00EC20A0">
              <w:rPr>
                <w:b/>
                <w:spacing w:val="-6"/>
              </w:rPr>
              <w:t xml:space="preserve"> </w:t>
            </w:r>
            <w:r w:rsidRPr="00EC20A0">
              <w:rPr>
                <w:b/>
              </w:rPr>
              <w:t>Derivative Instruments (AU-C 501)</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4A"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4B" w14:textId="77777777" w:rsidR="00245300" w:rsidRPr="00EC20A0" w:rsidRDefault="00245300">
            <w:pPr>
              <w:pStyle w:val="TableParagraph"/>
            </w:pPr>
          </w:p>
        </w:tc>
      </w:tr>
      <w:tr w:rsidR="00245300" w:rsidRPr="00EC20A0" w14:paraId="24D62450" w14:textId="77777777">
        <w:trPr>
          <w:trHeight w:val="1757"/>
        </w:trPr>
        <w:tc>
          <w:tcPr>
            <w:tcW w:w="7380" w:type="dxa"/>
            <w:tcBorders>
              <w:top w:val="single" w:sz="8" w:space="0" w:color="000000"/>
              <w:bottom w:val="single" w:sz="8" w:space="0" w:color="000000"/>
              <w:right w:val="single" w:sz="8" w:space="0" w:color="000000"/>
            </w:tcBorders>
          </w:tcPr>
          <w:p w14:paraId="24D6244D" w14:textId="77777777" w:rsidR="00245300" w:rsidRPr="00EC20A0" w:rsidRDefault="00F17249">
            <w:pPr>
              <w:pStyle w:val="TableParagraph"/>
              <w:spacing w:before="119"/>
              <w:ind w:left="1248" w:hanging="360"/>
            </w:pPr>
            <w:r w:rsidRPr="00EC20A0">
              <w:t>a.</w:t>
            </w:r>
            <w:r w:rsidRPr="00EC20A0">
              <w:rPr>
                <w:spacing w:val="80"/>
              </w:rPr>
              <w:t xml:space="preserve"> </w:t>
            </w:r>
            <w:r w:rsidRPr="00EC20A0">
              <w:rPr>
                <w:color w:val="242424"/>
              </w:rPr>
              <w:t xml:space="preserve">When investments in securities are valued based on an </w:t>
            </w:r>
            <w:r w:rsidRPr="00EC20A0">
              <w:rPr>
                <w:color w:val="242424"/>
              </w:rPr>
              <w:t>investee’s</w:t>
            </w:r>
            <w:r w:rsidRPr="00EC20A0">
              <w:rPr>
                <w:color w:val="242424"/>
                <w:spacing w:val="-7"/>
              </w:rPr>
              <w:t xml:space="preserve"> </w:t>
            </w:r>
            <w:r w:rsidRPr="00EC20A0">
              <w:rPr>
                <w:color w:val="242424"/>
              </w:rPr>
              <w:t>financial</w:t>
            </w:r>
            <w:r w:rsidRPr="00EC20A0">
              <w:rPr>
                <w:color w:val="242424"/>
                <w:spacing w:val="-8"/>
              </w:rPr>
              <w:t xml:space="preserve"> </w:t>
            </w:r>
            <w:r w:rsidRPr="00EC20A0">
              <w:rPr>
                <w:color w:val="242424"/>
              </w:rPr>
              <w:t>results,</w:t>
            </w:r>
            <w:r w:rsidRPr="00EC20A0">
              <w:rPr>
                <w:color w:val="242424"/>
                <w:spacing w:val="-8"/>
              </w:rPr>
              <w:t xml:space="preserve"> </w:t>
            </w:r>
            <w:r w:rsidRPr="00EC20A0">
              <w:rPr>
                <w:color w:val="242424"/>
              </w:rPr>
              <w:t>excluding</w:t>
            </w:r>
            <w:r w:rsidRPr="00EC20A0">
              <w:rPr>
                <w:color w:val="242424"/>
                <w:spacing w:val="-8"/>
              </w:rPr>
              <w:t xml:space="preserve"> </w:t>
            </w:r>
            <w:r w:rsidRPr="00EC20A0">
              <w:rPr>
                <w:color w:val="242424"/>
              </w:rPr>
              <w:t>investments</w:t>
            </w:r>
            <w:r w:rsidRPr="00EC20A0">
              <w:rPr>
                <w:color w:val="242424"/>
                <w:spacing w:val="-8"/>
              </w:rPr>
              <w:t xml:space="preserve"> </w:t>
            </w:r>
            <w:r w:rsidRPr="00EC20A0">
              <w:rPr>
                <w:color w:val="242424"/>
              </w:rPr>
              <w:t>accounted for using the equity method of accounting, did the auditor obtain sufficient appropriate audit evidence regarding the investee’s financial results, including as applicable in the circumstances, performing the following procedures: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4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4F" w14:textId="77777777" w:rsidR="00245300" w:rsidRPr="00EC20A0" w:rsidRDefault="00245300">
            <w:pPr>
              <w:pStyle w:val="TableParagraph"/>
            </w:pPr>
          </w:p>
        </w:tc>
      </w:tr>
      <w:tr w:rsidR="00245300" w:rsidRPr="00EC20A0" w14:paraId="24D62454" w14:textId="77777777">
        <w:trPr>
          <w:trHeight w:val="1251"/>
        </w:trPr>
        <w:tc>
          <w:tcPr>
            <w:tcW w:w="7380" w:type="dxa"/>
            <w:tcBorders>
              <w:top w:val="single" w:sz="8" w:space="0" w:color="000000"/>
              <w:bottom w:val="single" w:sz="8" w:space="0" w:color="000000"/>
              <w:right w:val="single" w:sz="8" w:space="0" w:color="000000"/>
            </w:tcBorders>
          </w:tcPr>
          <w:p w14:paraId="24D62451" w14:textId="77777777" w:rsidR="00245300" w:rsidRPr="00EC20A0" w:rsidRDefault="00F17249">
            <w:pPr>
              <w:pStyle w:val="TableParagraph"/>
              <w:spacing w:before="121"/>
              <w:ind w:left="1519" w:right="172" w:hanging="201"/>
            </w:pPr>
            <w:r w:rsidRPr="00EC20A0">
              <w:rPr>
                <w:color w:val="242424"/>
              </w:rPr>
              <w:t>i.</w:t>
            </w:r>
            <w:r w:rsidRPr="00EC20A0">
              <w:rPr>
                <w:color w:val="242424"/>
                <w:spacing w:val="22"/>
              </w:rPr>
              <w:t xml:space="preserve"> </w:t>
            </w:r>
            <w:r w:rsidRPr="00EC20A0">
              <w:rPr>
                <w:color w:val="242424"/>
              </w:rPr>
              <w:t>Obtain</w:t>
            </w:r>
            <w:r w:rsidRPr="00EC20A0">
              <w:rPr>
                <w:color w:val="242424"/>
                <w:spacing w:val="-5"/>
              </w:rPr>
              <w:t xml:space="preserve"> </w:t>
            </w:r>
            <w:r w:rsidRPr="00EC20A0">
              <w:rPr>
                <w:color w:val="242424"/>
              </w:rPr>
              <w:t>and</w:t>
            </w:r>
            <w:r w:rsidRPr="00EC20A0">
              <w:rPr>
                <w:color w:val="242424"/>
                <w:spacing w:val="-5"/>
              </w:rPr>
              <w:t xml:space="preserve"> </w:t>
            </w:r>
            <w:r w:rsidRPr="00EC20A0">
              <w:rPr>
                <w:color w:val="242424"/>
              </w:rPr>
              <w:t>read</w:t>
            </w:r>
            <w:r w:rsidRPr="00EC20A0">
              <w:rPr>
                <w:color w:val="242424"/>
                <w:spacing w:val="-5"/>
              </w:rPr>
              <w:t xml:space="preserve"> </w:t>
            </w:r>
            <w:r w:rsidRPr="00EC20A0">
              <w:rPr>
                <w:color w:val="242424"/>
              </w:rPr>
              <w:t>available</w:t>
            </w:r>
            <w:r w:rsidRPr="00EC20A0">
              <w:rPr>
                <w:color w:val="242424"/>
                <w:spacing w:val="-4"/>
              </w:rPr>
              <w:t xml:space="preserve"> </w:t>
            </w:r>
            <w:r w:rsidRPr="00EC20A0">
              <w:rPr>
                <w:color w:val="242424"/>
              </w:rPr>
              <w:t>financial</w:t>
            </w:r>
            <w:r w:rsidRPr="00EC20A0">
              <w:rPr>
                <w:color w:val="242424"/>
                <w:spacing w:val="-6"/>
              </w:rPr>
              <w:t xml:space="preserve"> </w:t>
            </w:r>
            <w:r w:rsidRPr="00EC20A0">
              <w:rPr>
                <w:color w:val="242424"/>
              </w:rPr>
              <w:t>statements</w:t>
            </w:r>
            <w:r w:rsidRPr="00EC20A0">
              <w:rPr>
                <w:color w:val="242424"/>
                <w:spacing w:val="-5"/>
              </w:rPr>
              <w:t xml:space="preserve"> </w:t>
            </w:r>
            <w:r w:rsidRPr="00EC20A0">
              <w:rPr>
                <w:color w:val="242424"/>
              </w:rPr>
              <w:t>of</w:t>
            </w:r>
            <w:r w:rsidRPr="00EC20A0">
              <w:rPr>
                <w:color w:val="242424"/>
                <w:spacing w:val="-5"/>
              </w:rPr>
              <w:t xml:space="preserve"> </w:t>
            </w:r>
            <w:r w:rsidRPr="00EC20A0">
              <w:rPr>
                <w:color w:val="242424"/>
              </w:rPr>
              <w:t>the investee and the accompanying audit report, if any, including</w:t>
            </w:r>
            <w:r w:rsidRPr="00EC20A0">
              <w:rPr>
                <w:color w:val="242424"/>
                <w:spacing w:val="-2"/>
              </w:rPr>
              <w:t xml:space="preserve"> </w:t>
            </w:r>
            <w:r w:rsidRPr="00EC20A0">
              <w:rPr>
                <w:color w:val="242424"/>
              </w:rPr>
              <w:t>determining</w:t>
            </w:r>
            <w:r w:rsidRPr="00EC20A0">
              <w:rPr>
                <w:color w:val="242424"/>
                <w:spacing w:val="-2"/>
              </w:rPr>
              <w:t xml:space="preserve"> </w:t>
            </w:r>
            <w:r w:rsidRPr="00EC20A0">
              <w:rPr>
                <w:color w:val="242424"/>
              </w:rPr>
              <w:t>whether</w:t>
            </w:r>
            <w:r w:rsidRPr="00EC20A0">
              <w:rPr>
                <w:color w:val="242424"/>
                <w:spacing w:val="-2"/>
              </w:rPr>
              <w:t xml:space="preserve"> </w:t>
            </w:r>
            <w:r w:rsidRPr="00EC20A0">
              <w:rPr>
                <w:color w:val="242424"/>
              </w:rPr>
              <w:t>the</w:t>
            </w:r>
            <w:r w:rsidRPr="00EC20A0">
              <w:rPr>
                <w:color w:val="242424"/>
                <w:spacing w:val="-2"/>
              </w:rPr>
              <w:t xml:space="preserve"> </w:t>
            </w:r>
            <w:r w:rsidRPr="00EC20A0">
              <w:rPr>
                <w:color w:val="242424"/>
              </w:rPr>
              <w:t>report</w:t>
            </w:r>
            <w:r w:rsidRPr="00EC20A0">
              <w:rPr>
                <w:color w:val="242424"/>
                <w:spacing w:val="-2"/>
              </w:rPr>
              <w:t xml:space="preserve"> </w:t>
            </w:r>
            <w:r w:rsidRPr="00EC20A0">
              <w:rPr>
                <w:color w:val="242424"/>
              </w:rPr>
              <w:t>of</w:t>
            </w:r>
            <w:r w:rsidRPr="00EC20A0">
              <w:rPr>
                <w:color w:val="242424"/>
                <w:spacing w:val="-2"/>
              </w:rPr>
              <w:t xml:space="preserve"> </w:t>
            </w:r>
            <w:r w:rsidRPr="00EC20A0">
              <w:rPr>
                <w:color w:val="242424"/>
              </w:rPr>
              <w:t>the</w:t>
            </w:r>
            <w:r w:rsidRPr="00EC20A0">
              <w:rPr>
                <w:color w:val="242424"/>
                <w:spacing w:val="-3"/>
              </w:rPr>
              <w:t xml:space="preserve"> </w:t>
            </w:r>
            <w:r w:rsidRPr="00EC20A0">
              <w:rPr>
                <w:color w:val="242424"/>
              </w:rPr>
              <w:t>other auditor is satisfactory for this purpose?</w:t>
            </w:r>
          </w:p>
        </w:tc>
        <w:tc>
          <w:tcPr>
            <w:tcW w:w="811" w:type="dxa"/>
            <w:tcBorders>
              <w:top w:val="single" w:sz="8" w:space="0" w:color="000000"/>
              <w:left w:val="single" w:sz="8" w:space="0" w:color="000000"/>
              <w:bottom w:val="single" w:sz="8" w:space="0" w:color="000000"/>
              <w:right w:val="single" w:sz="8" w:space="0" w:color="000000"/>
            </w:tcBorders>
          </w:tcPr>
          <w:p w14:paraId="24D6245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53" w14:textId="77777777" w:rsidR="00245300" w:rsidRPr="00EC20A0" w:rsidRDefault="00245300">
            <w:pPr>
              <w:pStyle w:val="TableParagraph"/>
            </w:pPr>
          </w:p>
        </w:tc>
      </w:tr>
      <w:tr w:rsidR="00245300" w:rsidRPr="00EC20A0" w14:paraId="24D62458" w14:textId="77777777">
        <w:trPr>
          <w:trHeight w:val="2264"/>
        </w:trPr>
        <w:tc>
          <w:tcPr>
            <w:tcW w:w="7380" w:type="dxa"/>
            <w:tcBorders>
              <w:top w:val="single" w:sz="8" w:space="0" w:color="000000"/>
              <w:bottom w:val="single" w:sz="8" w:space="0" w:color="000000"/>
              <w:right w:val="single" w:sz="8" w:space="0" w:color="000000"/>
            </w:tcBorders>
          </w:tcPr>
          <w:p w14:paraId="24D62455" w14:textId="77777777" w:rsidR="00245300" w:rsidRPr="00EC20A0" w:rsidRDefault="00F17249">
            <w:pPr>
              <w:pStyle w:val="TableParagraph"/>
              <w:spacing w:before="121"/>
              <w:ind w:left="1517" w:right="172" w:hanging="248"/>
            </w:pPr>
            <w:r w:rsidRPr="00EC20A0">
              <w:rPr>
                <w:color w:val="242424"/>
              </w:rPr>
              <w:t>ii.</w:t>
            </w:r>
            <w:r w:rsidRPr="00EC20A0">
              <w:rPr>
                <w:color w:val="242424"/>
                <w:spacing w:val="23"/>
              </w:rPr>
              <w:t xml:space="preserve"> </w:t>
            </w:r>
            <w:r w:rsidRPr="00EC20A0">
              <w:rPr>
                <w:color w:val="242424"/>
              </w:rPr>
              <w:t>If</w:t>
            </w:r>
            <w:r w:rsidRPr="00EC20A0">
              <w:rPr>
                <w:color w:val="242424"/>
                <w:spacing w:val="-4"/>
              </w:rPr>
              <w:t xml:space="preserve"> </w:t>
            </w:r>
            <w:r w:rsidRPr="00EC20A0">
              <w:rPr>
                <w:color w:val="242424"/>
              </w:rPr>
              <w:t>the</w:t>
            </w:r>
            <w:r w:rsidRPr="00EC20A0">
              <w:rPr>
                <w:color w:val="242424"/>
                <w:spacing w:val="-4"/>
              </w:rPr>
              <w:t xml:space="preserve"> </w:t>
            </w:r>
            <w:r w:rsidRPr="00EC20A0">
              <w:rPr>
                <w:color w:val="242424"/>
              </w:rPr>
              <w:t>investee’s</w:t>
            </w:r>
            <w:r w:rsidRPr="00EC20A0">
              <w:rPr>
                <w:color w:val="242424"/>
                <w:spacing w:val="-4"/>
              </w:rPr>
              <w:t xml:space="preserve"> </w:t>
            </w:r>
            <w:r w:rsidRPr="00EC20A0">
              <w:rPr>
                <w:color w:val="242424"/>
              </w:rPr>
              <w:t>financial</w:t>
            </w:r>
            <w:r w:rsidRPr="00EC20A0">
              <w:rPr>
                <w:color w:val="242424"/>
                <w:spacing w:val="-4"/>
              </w:rPr>
              <w:t xml:space="preserve"> </w:t>
            </w:r>
            <w:r w:rsidRPr="00EC20A0">
              <w:rPr>
                <w:color w:val="242424"/>
              </w:rPr>
              <w:t>statements</w:t>
            </w:r>
            <w:r w:rsidRPr="00EC20A0">
              <w:rPr>
                <w:color w:val="242424"/>
                <w:spacing w:val="-5"/>
              </w:rPr>
              <w:t xml:space="preserve"> </w:t>
            </w:r>
            <w:r w:rsidRPr="00EC20A0">
              <w:rPr>
                <w:color w:val="242424"/>
              </w:rPr>
              <w:t>are</w:t>
            </w:r>
            <w:r w:rsidRPr="00EC20A0">
              <w:rPr>
                <w:color w:val="242424"/>
                <w:spacing w:val="-4"/>
              </w:rPr>
              <w:t xml:space="preserve"> </w:t>
            </w:r>
            <w:r w:rsidRPr="00EC20A0">
              <w:rPr>
                <w:color w:val="242424"/>
              </w:rPr>
              <w:t>not</w:t>
            </w:r>
            <w:r w:rsidRPr="00EC20A0">
              <w:rPr>
                <w:color w:val="242424"/>
                <w:spacing w:val="-4"/>
              </w:rPr>
              <w:t xml:space="preserve"> </w:t>
            </w:r>
            <w:r w:rsidRPr="00EC20A0">
              <w:rPr>
                <w:color w:val="242424"/>
              </w:rPr>
              <w:t>audited,</w:t>
            </w:r>
            <w:r w:rsidRPr="00EC20A0">
              <w:rPr>
                <w:color w:val="242424"/>
                <w:spacing w:val="-4"/>
              </w:rPr>
              <w:t xml:space="preserve"> </w:t>
            </w:r>
            <w:r w:rsidRPr="00EC20A0">
              <w:rPr>
                <w:color w:val="242424"/>
              </w:rPr>
              <w:t>or</w:t>
            </w:r>
            <w:r w:rsidRPr="00EC20A0">
              <w:rPr>
                <w:color w:val="242424"/>
                <w:spacing w:val="-4"/>
              </w:rPr>
              <w:t xml:space="preserve"> </w:t>
            </w:r>
            <w:r w:rsidRPr="00EC20A0">
              <w:rPr>
                <w:color w:val="242424"/>
              </w:rPr>
              <w:t>if the audit report on such financial statements is not satisfactory to the auditor, apply—or request that the investor entity arrange with the investee to have another auditor apply—appropriate auditing procedures to such financial statements, considering the materiality of the investment in relation to the financial statements of the investor entity?</w:t>
            </w:r>
          </w:p>
        </w:tc>
        <w:tc>
          <w:tcPr>
            <w:tcW w:w="811" w:type="dxa"/>
            <w:tcBorders>
              <w:top w:val="single" w:sz="8" w:space="0" w:color="000000"/>
              <w:left w:val="single" w:sz="8" w:space="0" w:color="000000"/>
              <w:bottom w:val="single" w:sz="8" w:space="0" w:color="000000"/>
              <w:right w:val="single" w:sz="8" w:space="0" w:color="000000"/>
            </w:tcBorders>
          </w:tcPr>
          <w:p w14:paraId="24D6245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57" w14:textId="77777777" w:rsidR="00245300" w:rsidRPr="00EC20A0" w:rsidRDefault="00245300">
            <w:pPr>
              <w:pStyle w:val="TableParagraph"/>
            </w:pPr>
          </w:p>
        </w:tc>
      </w:tr>
    </w:tbl>
    <w:p w14:paraId="24D62459" w14:textId="77777777" w:rsidR="00245300" w:rsidRPr="00EC20A0" w:rsidRDefault="00245300">
      <w:pPr>
        <w:sectPr w:rsidR="00245300" w:rsidRPr="00EC20A0">
          <w:pgSz w:w="12240" w:h="15840"/>
          <w:pgMar w:top="1340" w:right="460" w:bottom="940" w:left="560" w:header="721" w:footer="757" w:gutter="0"/>
          <w:cols w:space="720"/>
        </w:sectPr>
      </w:pPr>
    </w:p>
    <w:p w14:paraId="24D6245A"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461" w14:textId="77777777">
        <w:trPr>
          <w:trHeight w:val="936"/>
        </w:trPr>
        <w:tc>
          <w:tcPr>
            <w:tcW w:w="7380" w:type="dxa"/>
            <w:tcBorders>
              <w:right w:val="single" w:sz="8" w:space="0" w:color="000000"/>
            </w:tcBorders>
            <w:shd w:val="clear" w:color="auto" w:fill="A6A6A6"/>
          </w:tcPr>
          <w:p w14:paraId="24D6245B" w14:textId="77777777" w:rsidR="00245300" w:rsidRPr="00EC20A0" w:rsidRDefault="00245300">
            <w:pPr>
              <w:pStyle w:val="TableParagraph"/>
              <w:spacing w:before="266"/>
              <w:rPr>
                <w:b/>
                <w:sz w:val="24"/>
              </w:rPr>
            </w:pPr>
          </w:p>
          <w:p w14:paraId="24D6245C"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45D"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45E" w14:textId="77777777" w:rsidR="00245300" w:rsidRPr="00EC20A0" w:rsidRDefault="00245300">
            <w:pPr>
              <w:pStyle w:val="TableParagraph"/>
              <w:rPr>
                <w:b/>
              </w:rPr>
            </w:pPr>
          </w:p>
          <w:p w14:paraId="24D6245F" w14:textId="77777777" w:rsidR="00245300" w:rsidRPr="00EC20A0" w:rsidRDefault="00245300">
            <w:pPr>
              <w:pStyle w:val="TableParagraph"/>
              <w:spacing w:before="120"/>
              <w:rPr>
                <w:b/>
              </w:rPr>
            </w:pPr>
          </w:p>
          <w:p w14:paraId="24D62460"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465" w14:textId="77777777">
        <w:trPr>
          <w:trHeight w:val="1759"/>
        </w:trPr>
        <w:tc>
          <w:tcPr>
            <w:tcW w:w="7380" w:type="dxa"/>
            <w:tcBorders>
              <w:bottom w:val="single" w:sz="8" w:space="0" w:color="000000"/>
              <w:right w:val="single" w:sz="8" w:space="0" w:color="000000"/>
            </w:tcBorders>
          </w:tcPr>
          <w:p w14:paraId="24D62462" w14:textId="77777777" w:rsidR="00245300" w:rsidRPr="00EC20A0" w:rsidRDefault="00F17249">
            <w:pPr>
              <w:pStyle w:val="TableParagraph"/>
              <w:spacing w:before="121"/>
              <w:ind w:left="1518" w:right="172" w:hanging="298"/>
            </w:pPr>
            <w:r w:rsidRPr="00EC20A0">
              <w:rPr>
                <w:color w:val="242424"/>
              </w:rPr>
              <w:t>iii.</w:t>
            </w:r>
            <w:r w:rsidRPr="00EC20A0">
              <w:rPr>
                <w:color w:val="242424"/>
                <w:spacing w:val="22"/>
              </w:rPr>
              <w:t xml:space="preserve"> </w:t>
            </w:r>
            <w:r w:rsidRPr="00EC20A0">
              <w:rPr>
                <w:color w:val="242424"/>
              </w:rPr>
              <w:t>If</w:t>
            </w:r>
            <w:r w:rsidRPr="00EC20A0">
              <w:rPr>
                <w:color w:val="242424"/>
                <w:spacing w:val="-4"/>
              </w:rPr>
              <w:t xml:space="preserve"> </w:t>
            </w:r>
            <w:r w:rsidRPr="00EC20A0">
              <w:rPr>
                <w:color w:val="242424"/>
              </w:rPr>
              <w:t>the</w:t>
            </w:r>
            <w:r w:rsidRPr="00EC20A0">
              <w:rPr>
                <w:color w:val="242424"/>
                <w:spacing w:val="-4"/>
              </w:rPr>
              <w:t xml:space="preserve"> </w:t>
            </w:r>
            <w:r w:rsidRPr="00EC20A0">
              <w:rPr>
                <w:color w:val="242424"/>
              </w:rPr>
              <w:t>carrying</w:t>
            </w:r>
            <w:r w:rsidRPr="00EC20A0">
              <w:rPr>
                <w:color w:val="242424"/>
                <w:spacing w:val="-4"/>
              </w:rPr>
              <w:t xml:space="preserve"> </w:t>
            </w:r>
            <w:r w:rsidRPr="00EC20A0">
              <w:rPr>
                <w:color w:val="242424"/>
              </w:rPr>
              <w:t>amount</w:t>
            </w:r>
            <w:r w:rsidRPr="00EC20A0">
              <w:rPr>
                <w:color w:val="242424"/>
                <w:spacing w:val="-4"/>
              </w:rPr>
              <w:t xml:space="preserve"> </w:t>
            </w:r>
            <w:r w:rsidRPr="00EC20A0">
              <w:rPr>
                <w:color w:val="242424"/>
              </w:rPr>
              <w:t>of</w:t>
            </w:r>
            <w:r w:rsidRPr="00EC20A0">
              <w:rPr>
                <w:color w:val="242424"/>
                <w:spacing w:val="-4"/>
              </w:rPr>
              <w:t xml:space="preserve"> </w:t>
            </w:r>
            <w:r w:rsidRPr="00EC20A0">
              <w:rPr>
                <w:color w:val="242424"/>
              </w:rPr>
              <w:t>the</w:t>
            </w:r>
            <w:r w:rsidRPr="00EC20A0">
              <w:rPr>
                <w:color w:val="242424"/>
                <w:spacing w:val="-4"/>
              </w:rPr>
              <w:t xml:space="preserve"> </w:t>
            </w:r>
            <w:r w:rsidRPr="00EC20A0">
              <w:rPr>
                <w:color w:val="242424"/>
              </w:rPr>
              <w:t>investment</w:t>
            </w:r>
            <w:r w:rsidRPr="00EC20A0">
              <w:rPr>
                <w:color w:val="242424"/>
                <w:spacing w:val="-4"/>
              </w:rPr>
              <w:t xml:space="preserve"> </w:t>
            </w:r>
            <w:r w:rsidRPr="00EC20A0">
              <w:rPr>
                <w:color w:val="242424"/>
              </w:rPr>
              <w:t>reflects</w:t>
            </w:r>
            <w:r w:rsidRPr="00EC20A0">
              <w:rPr>
                <w:color w:val="242424"/>
                <w:spacing w:val="-4"/>
              </w:rPr>
              <w:t xml:space="preserve"> </w:t>
            </w:r>
            <w:r w:rsidRPr="00EC20A0">
              <w:rPr>
                <w:color w:val="242424"/>
              </w:rPr>
              <w:t xml:space="preserve">factors that are not recognized in the investee’s financial statements or fair values of assets that are materially different from the investee’s carrying amounts, obtain sufficient appropriate audit evidence regarding such </w:t>
            </w:r>
            <w:r w:rsidRPr="00EC20A0">
              <w:rPr>
                <w:color w:val="242424"/>
                <w:spacing w:val="-2"/>
              </w:rPr>
              <w:t>amounts?</w:t>
            </w:r>
          </w:p>
        </w:tc>
        <w:tc>
          <w:tcPr>
            <w:tcW w:w="811" w:type="dxa"/>
            <w:tcBorders>
              <w:left w:val="single" w:sz="8" w:space="0" w:color="000000"/>
              <w:bottom w:val="single" w:sz="8" w:space="0" w:color="000000"/>
              <w:right w:val="single" w:sz="8" w:space="0" w:color="000000"/>
            </w:tcBorders>
          </w:tcPr>
          <w:p w14:paraId="24D62463"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464" w14:textId="77777777" w:rsidR="00245300" w:rsidRPr="00EC20A0" w:rsidRDefault="00245300">
            <w:pPr>
              <w:pStyle w:val="TableParagraph"/>
            </w:pPr>
          </w:p>
        </w:tc>
      </w:tr>
      <w:tr w:rsidR="00245300" w:rsidRPr="00EC20A0" w14:paraId="24D62469" w14:textId="77777777">
        <w:trPr>
          <w:trHeight w:val="1757"/>
        </w:trPr>
        <w:tc>
          <w:tcPr>
            <w:tcW w:w="7380" w:type="dxa"/>
            <w:tcBorders>
              <w:top w:val="single" w:sz="8" w:space="0" w:color="000000"/>
              <w:bottom w:val="single" w:sz="8" w:space="0" w:color="000000"/>
              <w:right w:val="single" w:sz="8" w:space="0" w:color="000000"/>
            </w:tcBorders>
          </w:tcPr>
          <w:p w14:paraId="24D62466" w14:textId="77777777" w:rsidR="00245300" w:rsidRPr="00EC20A0" w:rsidRDefault="00F17249">
            <w:pPr>
              <w:pStyle w:val="TableParagraph"/>
              <w:spacing w:before="119"/>
              <w:ind w:left="1519" w:right="172" w:hanging="311"/>
            </w:pPr>
            <w:r w:rsidRPr="00EC20A0">
              <w:rPr>
                <w:color w:val="242424"/>
              </w:rPr>
              <w:t>iv.</w:t>
            </w:r>
            <w:r w:rsidRPr="00EC20A0">
              <w:rPr>
                <w:color w:val="242424"/>
                <w:spacing w:val="32"/>
              </w:rPr>
              <w:t xml:space="preserve"> </w:t>
            </w:r>
            <w:r w:rsidRPr="00EC20A0">
              <w:rPr>
                <w:color w:val="242424"/>
              </w:rPr>
              <w:t>If the difference between the financial statement period of the entity and the investee has or could have a material effect on the entity’s financial statements, determine whether</w:t>
            </w:r>
            <w:r w:rsidRPr="00EC20A0">
              <w:rPr>
                <w:color w:val="242424"/>
                <w:spacing w:val="-7"/>
              </w:rPr>
              <w:t xml:space="preserve"> </w:t>
            </w:r>
            <w:r w:rsidRPr="00EC20A0">
              <w:rPr>
                <w:color w:val="242424"/>
              </w:rPr>
              <w:t>the</w:t>
            </w:r>
            <w:r w:rsidRPr="00EC20A0">
              <w:rPr>
                <w:color w:val="242424"/>
                <w:spacing w:val="-7"/>
              </w:rPr>
              <w:t xml:space="preserve"> </w:t>
            </w:r>
            <w:r w:rsidRPr="00EC20A0">
              <w:rPr>
                <w:color w:val="242424"/>
              </w:rPr>
              <w:t>entity’s</w:t>
            </w:r>
            <w:r w:rsidRPr="00EC20A0">
              <w:rPr>
                <w:color w:val="242424"/>
                <w:spacing w:val="-7"/>
              </w:rPr>
              <w:t xml:space="preserve"> </w:t>
            </w:r>
            <w:r w:rsidRPr="00EC20A0">
              <w:rPr>
                <w:color w:val="242424"/>
              </w:rPr>
              <w:t>management</w:t>
            </w:r>
            <w:r w:rsidRPr="00EC20A0">
              <w:rPr>
                <w:color w:val="242424"/>
                <w:spacing w:val="-7"/>
              </w:rPr>
              <w:t xml:space="preserve"> </w:t>
            </w:r>
            <w:r w:rsidRPr="00EC20A0">
              <w:rPr>
                <w:color w:val="242424"/>
              </w:rPr>
              <w:t>has</w:t>
            </w:r>
            <w:r w:rsidRPr="00EC20A0">
              <w:rPr>
                <w:color w:val="242424"/>
                <w:spacing w:val="-7"/>
              </w:rPr>
              <w:t xml:space="preserve"> </w:t>
            </w:r>
            <w:r w:rsidRPr="00EC20A0">
              <w:rPr>
                <w:color w:val="242424"/>
              </w:rPr>
              <w:t>properly</w:t>
            </w:r>
            <w:r w:rsidRPr="00EC20A0">
              <w:rPr>
                <w:color w:val="242424"/>
                <w:spacing w:val="-6"/>
              </w:rPr>
              <w:t xml:space="preserve"> </w:t>
            </w:r>
            <w:r w:rsidRPr="00EC20A0">
              <w:rPr>
                <w:color w:val="242424"/>
              </w:rPr>
              <w:t>considered the lack of comparability and determine the effect, if any, on the auditor’s report?</w:t>
            </w:r>
          </w:p>
        </w:tc>
        <w:tc>
          <w:tcPr>
            <w:tcW w:w="811" w:type="dxa"/>
            <w:tcBorders>
              <w:top w:val="single" w:sz="8" w:space="0" w:color="000000"/>
              <w:left w:val="single" w:sz="8" w:space="0" w:color="000000"/>
              <w:bottom w:val="single" w:sz="8" w:space="0" w:color="000000"/>
              <w:right w:val="single" w:sz="8" w:space="0" w:color="000000"/>
            </w:tcBorders>
          </w:tcPr>
          <w:p w14:paraId="24D62467"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68" w14:textId="77777777" w:rsidR="00245300" w:rsidRPr="00EC20A0" w:rsidRDefault="00245300">
            <w:pPr>
              <w:pStyle w:val="TableParagraph"/>
            </w:pPr>
          </w:p>
        </w:tc>
      </w:tr>
      <w:tr w:rsidR="00245300" w:rsidRPr="00EC20A0" w14:paraId="24D6246D" w14:textId="77777777">
        <w:trPr>
          <w:trHeight w:val="2516"/>
        </w:trPr>
        <w:tc>
          <w:tcPr>
            <w:tcW w:w="7380" w:type="dxa"/>
            <w:tcBorders>
              <w:top w:val="single" w:sz="8" w:space="0" w:color="000000"/>
              <w:bottom w:val="single" w:sz="8" w:space="0" w:color="000000"/>
              <w:right w:val="single" w:sz="8" w:space="0" w:color="000000"/>
            </w:tcBorders>
          </w:tcPr>
          <w:p w14:paraId="24D6246A" w14:textId="77777777" w:rsidR="00245300" w:rsidRPr="00EC20A0" w:rsidRDefault="00F17249">
            <w:pPr>
              <w:pStyle w:val="TableParagraph"/>
              <w:spacing w:before="121"/>
              <w:ind w:left="1248" w:right="172" w:hanging="360"/>
            </w:pPr>
            <w:r w:rsidRPr="00EC20A0">
              <w:t>b.</w:t>
            </w:r>
            <w:r w:rsidRPr="00EC20A0">
              <w:rPr>
                <w:spacing w:val="80"/>
              </w:rPr>
              <w:t xml:space="preserve"> </w:t>
            </w:r>
            <w:r w:rsidRPr="00EC20A0">
              <w:rPr>
                <w:color w:val="242424"/>
              </w:rPr>
              <w:t>With respect to subsequent events and transactions of the investee occurring after the date of the investee’s financial statements</w:t>
            </w:r>
            <w:r w:rsidRPr="00EC20A0">
              <w:rPr>
                <w:color w:val="242424"/>
                <w:spacing w:val="-3"/>
              </w:rPr>
              <w:t xml:space="preserve"> </w:t>
            </w:r>
            <w:r w:rsidRPr="00EC20A0">
              <w:rPr>
                <w:color w:val="242424"/>
              </w:rPr>
              <w:t>but</w:t>
            </w:r>
            <w:r w:rsidRPr="00EC20A0">
              <w:rPr>
                <w:color w:val="242424"/>
                <w:spacing w:val="-3"/>
              </w:rPr>
              <w:t xml:space="preserve"> </w:t>
            </w:r>
            <w:r w:rsidRPr="00EC20A0">
              <w:rPr>
                <w:color w:val="242424"/>
              </w:rPr>
              <w:t>before</w:t>
            </w:r>
            <w:r w:rsidRPr="00EC20A0">
              <w:rPr>
                <w:color w:val="242424"/>
                <w:spacing w:val="-3"/>
              </w:rPr>
              <w:t xml:space="preserve"> </w:t>
            </w:r>
            <w:r w:rsidRPr="00EC20A0">
              <w:rPr>
                <w:color w:val="242424"/>
              </w:rPr>
              <w:t>the</w:t>
            </w:r>
            <w:r w:rsidRPr="00EC20A0">
              <w:rPr>
                <w:color w:val="242424"/>
                <w:spacing w:val="-3"/>
              </w:rPr>
              <w:t xml:space="preserve"> </w:t>
            </w:r>
            <w:r w:rsidRPr="00EC20A0">
              <w:rPr>
                <w:color w:val="242424"/>
              </w:rPr>
              <w:t>date</w:t>
            </w:r>
            <w:r w:rsidRPr="00EC20A0">
              <w:rPr>
                <w:color w:val="242424"/>
                <w:spacing w:val="-3"/>
              </w:rPr>
              <w:t xml:space="preserve"> </w:t>
            </w:r>
            <w:r w:rsidRPr="00EC20A0">
              <w:rPr>
                <w:color w:val="242424"/>
              </w:rPr>
              <w:t>of</w:t>
            </w:r>
            <w:r w:rsidRPr="00EC20A0">
              <w:rPr>
                <w:color w:val="242424"/>
                <w:spacing w:val="-3"/>
              </w:rPr>
              <w:t xml:space="preserve"> </w:t>
            </w:r>
            <w:r w:rsidRPr="00EC20A0">
              <w:rPr>
                <w:color w:val="242424"/>
              </w:rPr>
              <w:t>the</w:t>
            </w:r>
            <w:r w:rsidRPr="00EC20A0">
              <w:rPr>
                <w:color w:val="242424"/>
                <w:spacing w:val="-3"/>
              </w:rPr>
              <w:t xml:space="preserve"> </w:t>
            </w:r>
            <w:r w:rsidRPr="00EC20A0">
              <w:rPr>
                <w:color w:val="242424"/>
              </w:rPr>
              <w:t>auditor’s</w:t>
            </w:r>
            <w:r w:rsidRPr="00EC20A0">
              <w:rPr>
                <w:color w:val="242424"/>
                <w:spacing w:val="-3"/>
              </w:rPr>
              <w:t xml:space="preserve"> </w:t>
            </w:r>
            <w:r w:rsidRPr="00EC20A0">
              <w:rPr>
                <w:color w:val="242424"/>
              </w:rPr>
              <w:t>report,</w:t>
            </w:r>
            <w:r w:rsidRPr="00EC20A0">
              <w:rPr>
                <w:color w:val="242424"/>
                <w:spacing w:val="-3"/>
              </w:rPr>
              <w:t xml:space="preserve"> </w:t>
            </w:r>
            <w:r w:rsidRPr="00EC20A0">
              <w:rPr>
                <w:color w:val="242424"/>
              </w:rPr>
              <w:t>did</w:t>
            </w:r>
            <w:r w:rsidRPr="00EC20A0">
              <w:rPr>
                <w:color w:val="242424"/>
                <w:spacing w:val="-3"/>
              </w:rPr>
              <w:t xml:space="preserve"> </w:t>
            </w:r>
            <w:r w:rsidRPr="00EC20A0">
              <w:rPr>
                <w:color w:val="242424"/>
              </w:rPr>
              <w:t>the auditor</w:t>
            </w:r>
            <w:r w:rsidRPr="00EC20A0">
              <w:rPr>
                <w:color w:val="242424"/>
                <w:spacing w:val="-6"/>
              </w:rPr>
              <w:t xml:space="preserve"> </w:t>
            </w:r>
            <w:r w:rsidRPr="00EC20A0">
              <w:rPr>
                <w:color w:val="242424"/>
              </w:rPr>
              <w:t>obtain</w:t>
            </w:r>
            <w:r w:rsidRPr="00EC20A0">
              <w:rPr>
                <w:color w:val="242424"/>
                <w:spacing w:val="-6"/>
              </w:rPr>
              <w:t xml:space="preserve"> </w:t>
            </w:r>
            <w:r w:rsidRPr="00EC20A0">
              <w:rPr>
                <w:color w:val="242424"/>
              </w:rPr>
              <w:t>and</w:t>
            </w:r>
            <w:r w:rsidRPr="00EC20A0">
              <w:rPr>
                <w:color w:val="242424"/>
                <w:spacing w:val="-6"/>
              </w:rPr>
              <w:t xml:space="preserve"> </w:t>
            </w:r>
            <w:r w:rsidRPr="00EC20A0">
              <w:rPr>
                <w:color w:val="242424"/>
              </w:rPr>
              <w:t>read</w:t>
            </w:r>
            <w:r w:rsidRPr="00EC20A0">
              <w:rPr>
                <w:color w:val="242424"/>
                <w:spacing w:val="-6"/>
              </w:rPr>
              <w:t xml:space="preserve"> </w:t>
            </w:r>
            <w:r w:rsidRPr="00EC20A0">
              <w:rPr>
                <w:color w:val="242424"/>
              </w:rPr>
              <w:t>available</w:t>
            </w:r>
            <w:r w:rsidRPr="00EC20A0">
              <w:rPr>
                <w:color w:val="242424"/>
                <w:spacing w:val="-7"/>
              </w:rPr>
              <w:t xml:space="preserve"> </w:t>
            </w:r>
            <w:r w:rsidRPr="00EC20A0">
              <w:rPr>
                <w:color w:val="242424"/>
              </w:rPr>
              <w:t>interim</w:t>
            </w:r>
            <w:r w:rsidRPr="00EC20A0">
              <w:rPr>
                <w:color w:val="242424"/>
                <w:spacing w:val="-7"/>
              </w:rPr>
              <w:t xml:space="preserve"> </w:t>
            </w:r>
            <w:r w:rsidRPr="00EC20A0">
              <w:rPr>
                <w:color w:val="242424"/>
              </w:rPr>
              <w:t>financial</w:t>
            </w:r>
            <w:r w:rsidRPr="00EC20A0">
              <w:rPr>
                <w:color w:val="242424"/>
                <w:spacing w:val="-6"/>
              </w:rPr>
              <w:t xml:space="preserve"> </w:t>
            </w:r>
            <w:r w:rsidRPr="00EC20A0">
              <w:rPr>
                <w:color w:val="242424"/>
              </w:rPr>
              <w:t>statements of the investee and make appropriate inquiries of management of the investor to identify such events and transactions that may be material to the investor’s financial statements and that may need to be</w:t>
            </w:r>
            <w:r w:rsidRPr="00EC20A0">
              <w:rPr>
                <w:color w:val="242424"/>
                <w:spacing w:val="-1"/>
              </w:rPr>
              <w:t xml:space="preserve"> </w:t>
            </w:r>
            <w:r w:rsidRPr="00EC20A0">
              <w:rPr>
                <w:color w:val="242424"/>
              </w:rPr>
              <w:t>recognized</w:t>
            </w:r>
            <w:r w:rsidRPr="00EC20A0">
              <w:rPr>
                <w:color w:val="242424"/>
                <w:spacing w:val="-1"/>
              </w:rPr>
              <w:t xml:space="preserve"> </w:t>
            </w:r>
            <w:r w:rsidRPr="00EC20A0">
              <w:rPr>
                <w:color w:val="242424"/>
              </w:rPr>
              <w:t>or disclosed in the investor’s financial statements?</w:t>
            </w:r>
          </w:p>
        </w:tc>
        <w:tc>
          <w:tcPr>
            <w:tcW w:w="811" w:type="dxa"/>
            <w:tcBorders>
              <w:top w:val="single" w:sz="8" w:space="0" w:color="000000"/>
              <w:left w:val="single" w:sz="8" w:space="0" w:color="000000"/>
              <w:bottom w:val="single" w:sz="8" w:space="0" w:color="000000"/>
              <w:right w:val="single" w:sz="8" w:space="0" w:color="000000"/>
            </w:tcBorders>
          </w:tcPr>
          <w:p w14:paraId="24D6246B"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6C" w14:textId="77777777" w:rsidR="00245300" w:rsidRPr="00EC20A0" w:rsidRDefault="00245300">
            <w:pPr>
              <w:pStyle w:val="TableParagraph"/>
            </w:pPr>
          </w:p>
        </w:tc>
      </w:tr>
      <w:tr w:rsidR="00245300" w:rsidRPr="00EC20A0" w14:paraId="24D62471" w14:textId="77777777">
        <w:trPr>
          <w:trHeight w:val="493"/>
        </w:trPr>
        <w:tc>
          <w:tcPr>
            <w:tcW w:w="7380" w:type="dxa"/>
            <w:tcBorders>
              <w:top w:val="single" w:sz="8" w:space="0" w:color="000000"/>
              <w:bottom w:val="single" w:sz="8" w:space="0" w:color="000000"/>
              <w:right w:val="single" w:sz="8" w:space="0" w:color="000000"/>
            </w:tcBorders>
          </w:tcPr>
          <w:p w14:paraId="24D6246E" w14:textId="77777777" w:rsidR="00245300" w:rsidRPr="00EC20A0" w:rsidRDefault="00F17249">
            <w:pPr>
              <w:pStyle w:val="TableParagraph"/>
              <w:spacing w:before="121"/>
              <w:ind w:left="483"/>
              <w:rPr>
                <w:b/>
              </w:rPr>
            </w:pPr>
            <w:r w:rsidRPr="00EC20A0">
              <w:t>15.</w:t>
            </w:r>
            <w:r w:rsidRPr="00EC20A0">
              <w:rPr>
                <w:spacing w:val="-15"/>
              </w:rPr>
              <w:t xml:space="preserve"> </w:t>
            </w:r>
            <w:r w:rsidRPr="00EC20A0">
              <w:rPr>
                <w:b/>
              </w:rPr>
              <w:t>Inventories</w:t>
            </w:r>
            <w:r w:rsidRPr="00EC20A0">
              <w:rPr>
                <w:b/>
                <w:spacing w:val="-8"/>
              </w:rPr>
              <w:t xml:space="preserve"> </w:t>
            </w:r>
            <w:r w:rsidRPr="00EC20A0">
              <w:rPr>
                <w:b/>
              </w:rPr>
              <w:t>(AU-C</w:t>
            </w:r>
            <w:r w:rsidRPr="00EC20A0">
              <w:rPr>
                <w:b/>
                <w:spacing w:val="-9"/>
              </w:rPr>
              <w:t xml:space="preserve"> </w:t>
            </w:r>
            <w:r w:rsidRPr="00EC20A0">
              <w:rPr>
                <w:b/>
                <w:spacing w:val="-4"/>
              </w:rPr>
              <w:t>501)</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6F"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70" w14:textId="77777777" w:rsidR="00245300" w:rsidRPr="00EC20A0" w:rsidRDefault="00245300">
            <w:pPr>
              <w:pStyle w:val="TableParagraph"/>
            </w:pPr>
          </w:p>
        </w:tc>
      </w:tr>
      <w:tr w:rsidR="00245300" w:rsidRPr="00EC20A0" w14:paraId="24D62475" w14:textId="77777777">
        <w:trPr>
          <w:trHeight w:val="2264"/>
        </w:trPr>
        <w:tc>
          <w:tcPr>
            <w:tcW w:w="7380" w:type="dxa"/>
            <w:tcBorders>
              <w:top w:val="single" w:sz="8" w:space="0" w:color="000000"/>
              <w:bottom w:val="single" w:sz="8" w:space="0" w:color="000000"/>
              <w:right w:val="single" w:sz="8" w:space="0" w:color="000000"/>
            </w:tcBorders>
          </w:tcPr>
          <w:p w14:paraId="24D62472" w14:textId="77777777" w:rsidR="00245300" w:rsidRPr="00EC20A0" w:rsidRDefault="00F17249">
            <w:pPr>
              <w:pStyle w:val="TableParagraph"/>
              <w:spacing w:before="119"/>
              <w:ind w:left="1203" w:right="172" w:hanging="360"/>
            </w:pPr>
            <w:r w:rsidRPr="00EC20A0">
              <w:rPr>
                <w:color w:val="242424"/>
              </w:rPr>
              <w:t>a.</w:t>
            </w:r>
            <w:r w:rsidRPr="00EC20A0">
              <w:rPr>
                <w:color w:val="242424"/>
                <w:spacing w:val="80"/>
              </w:rPr>
              <w:t xml:space="preserve"> </w:t>
            </w:r>
            <w:r w:rsidRPr="00EC20A0">
              <w:rPr>
                <w:color w:val="242424"/>
              </w:rPr>
              <w:t xml:space="preserve">Did the auditor consider the effects of </w:t>
            </w:r>
            <w:r w:rsidRPr="00EC20A0">
              <w:t xml:space="preserve">SFFAS 48, Opening Balances for Inventory, Operating Materials and </w:t>
            </w:r>
            <w:r w:rsidRPr="00EC20A0">
              <w:t>Supplies, and</w:t>
            </w:r>
            <w:r w:rsidRPr="00EC20A0">
              <w:rPr>
                <w:spacing w:val="-4"/>
              </w:rPr>
              <w:t xml:space="preserve"> </w:t>
            </w:r>
            <w:r w:rsidRPr="00EC20A0">
              <w:t>Stockpile</w:t>
            </w:r>
            <w:r w:rsidRPr="00EC20A0">
              <w:rPr>
                <w:spacing w:val="-4"/>
              </w:rPr>
              <w:t xml:space="preserve"> </w:t>
            </w:r>
            <w:r w:rsidRPr="00EC20A0">
              <w:t>Materials</w:t>
            </w:r>
            <w:r w:rsidRPr="00EC20A0">
              <w:rPr>
                <w:spacing w:val="-4"/>
              </w:rPr>
              <w:t xml:space="preserve"> </w:t>
            </w:r>
            <w:r w:rsidRPr="00EC20A0">
              <w:t>if</w:t>
            </w:r>
            <w:r w:rsidRPr="00EC20A0">
              <w:rPr>
                <w:spacing w:val="-4"/>
              </w:rPr>
              <w:t xml:space="preserve"> </w:t>
            </w:r>
            <w:r w:rsidRPr="00EC20A0">
              <w:t>applied</w:t>
            </w:r>
            <w:r w:rsidRPr="00EC20A0">
              <w:rPr>
                <w:spacing w:val="-4"/>
              </w:rPr>
              <w:t xml:space="preserve"> </w:t>
            </w:r>
            <w:r w:rsidRPr="00EC20A0">
              <w:t>by</w:t>
            </w:r>
            <w:r w:rsidRPr="00EC20A0">
              <w:rPr>
                <w:spacing w:val="-5"/>
              </w:rPr>
              <w:t xml:space="preserve"> </w:t>
            </w:r>
            <w:r w:rsidRPr="00EC20A0">
              <w:t>the</w:t>
            </w:r>
            <w:r w:rsidRPr="00EC20A0">
              <w:rPr>
                <w:spacing w:val="-4"/>
              </w:rPr>
              <w:t xml:space="preserve"> </w:t>
            </w:r>
            <w:r w:rsidRPr="00EC20A0">
              <w:t>entity?</w:t>
            </w:r>
            <w:r w:rsidRPr="00EC20A0">
              <w:rPr>
                <w:spacing w:val="-4"/>
              </w:rPr>
              <w:t xml:space="preserve"> </w:t>
            </w:r>
            <w:r w:rsidRPr="00EC20A0">
              <w:t>SFFAS</w:t>
            </w:r>
            <w:r w:rsidRPr="00EC20A0">
              <w:rPr>
                <w:spacing w:val="-4"/>
              </w:rPr>
              <w:t xml:space="preserve"> </w:t>
            </w:r>
            <w:r w:rsidRPr="00EC20A0">
              <w:t>48</w:t>
            </w:r>
            <w:r w:rsidRPr="00EC20A0">
              <w:rPr>
                <w:spacing w:val="-4"/>
              </w:rPr>
              <w:t xml:space="preserve"> </w:t>
            </w:r>
            <w:r w:rsidRPr="00EC20A0">
              <w:t>is intended to provide an alternative valuation method to adoption</w:t>
            </w:r>
            <w:r w:rsidRPr="00EC20A0">
              <w:rPr>
                <w:spacing w:val="-2"/>
              </w:rPr>
              <w:t xml:space="preserve"> </w:t>
            </w:r>
            <w:r w:rsidRPr="00EC20A0">
              <w:t>of</w:t>
            </w:r>
            <w:r w:rsidRPr="00EC20A0">
              <w:rPr>
                <w:spacing w:val="-3"/>
              </w:rPr>
              <w:t xml:space="preserve"> </w:t>
            </w:r>
            <w:r w:rsidRPr="00EC20A0">
              <w:t>U.S.</w:t>
            </w:r>
            <w:r w:rsidRPr="00EC20A0">
              <w:rPr>
                <w:spacing w:val="-2"/>
              </w:rPr>
              <w:t xml:space="preserve"> </w:t>
            </w:r>
            <w:r w:rsidRPr="00EC20A0">
              <w:t>GAAP</w:t>
            </w:r>
            <w:r w:rsidRPr="00EC20A0">
              <w:rPr>
                <w:spacing w:val="-1"/>
              </w:rPr>
              <w:t xml:space="preserve"> </w:t>
            </w:r>
            <w:r w:rsidRPr="00EC20A0">
              <w:t>when</w:t>
            </w:r>
            <w:r w:rsidRPr="00EC20A0">
              <w:rPr>
                <w:spacing w:val="-2"/>
              </w:rPr>
              <w:t xml:space="preserve"> </w:t>
            </w:r>
            <w:r w:rsidRPr="00EC20A0">
              <w:t>historical</w:t>
            </w:r>
            <w:r w:rsidRPr="00EC20A0">
              <w:rPr>
                <w:spacing w:val="-2"/>
              </w:rPr>
              <w:t xml:space="preserve"> </w:t>
            </w:r>
            <w:r w:rsidRPr="00EC20A0">
              <w:t>records</w:t>
            </w:r>
            <w:r w:rsidRPr="00EC20A0">
              <w:rPr>
                <w:spacing w:val="-3"/>
              </w:rPr>
              <w:t xml:space="preserve"> </w:t>
            </w:r>
            <w:r w:rsidRPr="00EC20A0">
              <w:t>and</w:t>
            </w:r>
            <w:r w:rsidRPr="00EC20A0">
              <w:rPr>
                <w:spacing w:val="-2"/>
              </w:rPr>
              <w:t xml:space="preserve"> </w:t>
            </w:r>
            <w:r w:rsidRPr="00EC20A0">
              <w:t xml:space="preserve">systems do not provide a basis for valuation of opening balances in </w:t>
            </w:r>
            <w:r w:rsidRPr="00EC20A0">
              <w:t>accordance with SFFAS 3, Accounting for Inventory and Related Property.</w:t>
            </w:r>
          </w:p>
        </w:tc>
        <w:tc>
          <w:tcPr>
            <w:tcW w:w="811" w:type="dxa"/>
            <w:tcBorders>
              <w:top w:val="single" w:sz="8" w:space="0" w:color="000000"/>
              <w:left w:val="single" w:sz="8" w:space="0" w:color="000000"/>
              <w:bottom w:val="single" w:sz="8" w:space="0" w:color="000000"/>
              <w:right w:val="single" w:sz="8" w:space="0" w:color="000000"/>
            </w:tcBorders>
          </w:tcPr>
          <w:p w14:paraId="24D62473"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74" w14:textId="77777777" w:rsidR="00245300" w:rsidRPr="00EC20A0" w:rsidRDefault="00245300">
            <w:pPr>
              <w:pStyle w:val="TableParagraph"/>
            </w:pPr>
          </w:p>
        </w:tc>
      </w:tr>
    </w:tbl>
    <w:p w14:paraId="24D62476" w14:textId="77777777" w:rsidR="00245300" w:rsidRPr="00EC20A0" w:rsidRDefault="00245300">
      <w:pPr>
        <w:sectPr w:rsidR="00245300" w:rsidRPr="00EC20A0">
          <w:pgSz w:w="12240" w:h="15840"/>
          <w:pgMar w:top="1340" w:right="460" w:bottom="940" w:left="560" w:header="721" w:footer="757" w:gutter="0"/>
          <w:cols w:space="720"/>
        </w:sectPr>
      </w:pPr>
    </w:p>
    <w:p w14:paraId="24D62477"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47E" w14:textId="77777777">
        <w:trPr>
          <w:trHeight w:val="936"/>
        </w:trPr>
        <w:tc>
          <w:tcPr>
            <w:tcW w:w="7380" w:type="dxa"/>
            <w:tcBorders>
              <w:right w:val="single" w:sz="8" w:space="0" w:color="000000"/>
            </w:tcBorders>
            <w:shd w:val="clear" w:color="auto" w:fill="A6A6A6"/>
          </w:tcPr>
          <w:p w14:paraId="24D62478" w14:textId="77777777" w:rsidR="00245300" w:rsidRPr="00EC20A0" w:rsidRDefault="00245300">
            <w:pPr>
              <w:pStyle w:val="TableParagraph"/>
              <w:spacing w:before="266"/>
              <w:rPr>
                <w:b/>
                <w:sz w:val="24"/>
              </w:rPr>
            </w:pPr>
          </w:p>
          <w:p w14:paraId="24D62479"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47A"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47B" w14:textId="77777777" w:rsidR="00245300" w:rsidRPr="00EC20A0" w:rsidRDefault="00245300">
            <w:pPr>
              <w:pStyle w:val="TableParagraph"/>
              <w:rPr>
                <w:b/>
              </w:rPr>
            </w:pPr>
          </w:p>
          <w:p w14:paraId="24D6247C" w14:textId="77777777" w:rsidR="00245300" w:rsidRPr="00EC20A0" w:rsidRDefault="00245300">
            <w:pPr>
              <w:pStyle w:val="TableParagraph"/>
              <w:spacing w:before="120"/>
              <w:rPr>
                <w:b/>
              </w:rPr>
            </w:pPr>
          </w:p>
          <w:p w14:paraId="24D6247D"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488" w14:textId="77777777">
        <w:trPr>
          <w:trHeight w:val="5282"/>
        </w:trPr>
        <w:tc>
          <w:tcPr>
            <w:tcW w:w="7380" w:type="dxa"/>
            <w:tcBorders>
              <w:bottom w:val="single" w:sz="8" w:space="0" w:color="000000"/>
              <w:right w:val="single" w:sz="8" w:space="0" w:color="000000"/>
            </w:tcBorders>
          </w:tcPr>
          <w:p w14:paraId="24D6247F" w14:textId="77777777" w:rsidR="00245300" w:rsidRPr="00EC20A0" w:rsidRDefault="00F17249">
            <w:pPr>
              <w:pStyle w:val="TableParagraph"/>
              <w:numPr>
                <w:ilvl w:val="0"/>
                <w:numId w:val="54"/>
              </w:numPr>
              <w:tabs>
                <w:tab w:val="left" w:pos="1202"/>
                <w:tab w:val="left" w:pos="1204"/>
              </w:tabs>
              <w:spacing w:before="121"/>
              <w:ind w:right="466" w:hanging="361"/>
            </w:pPr>
            <w:r w:rsidRPr="00EC20A0">
              <w:rPr>
                <w:color w:val="242424"/>
              </w:rPr>
              <w:t>Did</w:t>
            </w:r>
            <w:r w:rsidRPr="00EC20A0">
              <w:rPr>
                <w:color w:val="242424"/>
                <w:spacing w:val="-5"/>
              </w:rPr>
              <w:t xml:space="preserve"> </w:t>
            </w:r>
            <w:r w:rsidRPr="00EC20A0">
              <w:rPr>
                <w:color w:val="242424"/>
              </w:rPr>
              <w:t>the</w:t>
            </w:r>
            <w:r w:rsidRPr="00EC20A0">
              <w:rPr>
                <w:color w:val="242424"/>
                <w:spacing w:val="-5"/>
              </w:rPr>
              <w:t xml:space="preserve"> </w:t>
            </w:r>
            <w:r w:rsidRPr="00EC20A0">
              <w:rPr>
                <w:color w:val="242424"/>
              </w:rPr>
              <w:t>auditor</w:t>
            </w:r>
            <w:r w:rsidRPr="00EC20A0">
              <w:rPr>
                <w:color w:val="242424"/>
                <w:spacing w:val="-5"/>
              </w:rPr>
              <w:t xml:space="preserve"> </w:t>
            </w:r>
            <w:r w:rsidRPr="00EC20A0">
              <w:rPr>
                <w:color w:val="242424"/>
              </w:rPr>
              <w:t>obtain</w:t>
            </w:r>
            <w:r w:rsidRPr="00EC20A0">
              <w:rPr>
                <w:color w:val="242424"/>
                <w:spacing w:val="-5"/>
              </w:rPr>
              <w:t xml:space="preserve"> </w:t>
            </w:r>
            <w:r w:rsidRPr="00EC20A0">
              <w:rPr>
                <w:color w:val="242424"/>
              </w:rPr>
              <w:t>sufficient</w:t>
            </w:r>
            <w:r w:rsidRPr="00EC20A0">
              <w:rPr>
                <w:color w:val="242424"/>
                <w:spacing w:val="-5"/>
              </w:rPr>
              <w:t xml:space="preserve"> </w:t>
            </w:r>
            <w:r w:rsidRPr="00EC20A0">
              <w:rPr>
                <w:color w:val="242424"/>
              </w:rPr>
              <w:t>appropriate</w:t>
            </w:r>
            <w:r w:rsidRPr="00EC20A0">
              <w:rPr>
                <w:color w:val="242424"/>
                <w:spacing w:val="-5"/>
              </w:rPr>
              <w:t xml:space="preserve"> </w:t>
            </w:r>
            <w:r w:rsidRPr="00EC20A0">
              <w:rPr>
                <w:color w:val="242424"/>
              </w:rPr>
              <w:t>audit</w:t>
            </w:r>
            <w:r w:rsidRPr="00EC20A0">
              <w:rPr>
                <w:color w:val="242424"/>
                <w:spacing w:val="-6"/>
              </w:rPr>
              <w:t xml:space="preserve"> </w:t>
            </w:r>
            <w:r w:rsidRPr="00EC20A0">
              <w:rPr>
                <w:color w:val="242424"/>
              </w:rPr>
              <w:t xml:space="preserve">evidence regarding the existence and </w:t>
            </w:r>
            <w:r w:rsidRPr="00EC20A0">
              <w:rPr>
                <w:color w:val="242424"/>
              </w:rPr>
              <w:t>condition of inventory by</w:t>
            </w:r>
          </w:p>
          <w:p w14:paraId="24D62480" w14:textId="77777777" w:rsidR="00245300" w:rsidRPr="00EC20A0" w:rsidRDefault="00F17249">
            <w:pPr>
              <w:pStyle w:val="TableParagraph"/>
              <w:numPr>
                <w:ilvl w:val="1"/>
                <w:numId w:val="54"/>
              </w:numPr>
              <w:tabs>
                <w:tab w:val="left" w:pos="1518"/>
                <w:tab w:val="left" w:pos="1520"/>
              </w:tabs>
              <w:spacing w:before="239"/>
              <w:ind w:right="1457"/>
            </w:pPr>
            <w:r w:rsidRPr="00EC20A0">
              <w:rPr>
                <w:color w:val="242424"/>
              </w:rPr>
              <w:t>attending</w:t>
            </w:r>
            <w:r w:rsidRPr="00EC20A0">
              <w:rPr>
                <w:color w:val="242424"/>
                <w:spacing w:val="-9"/>
              </w:rPr>
              <w:t xml:space="preserve"> </w:t>
            </w:r>
            <w:r w:rsidRPr="00EC20A0">
              <w:rPr>
                <w:color w:val="242424"/>
              </w:rPr>
              <w:t>physical</w:t>
            </w:r>
            <w:r w:rsidRPr="00EC20A0">
              <w:rPr>
                <w:color w:val="242424"/>
                <w:spacing w:val="-9"/>
              </w:rPr>
              <w:t xml:space="preserve"> </w:t>
            </w:r>
            <w:r w:rsidRPr="00EC20A0">
              <w:rPr>
                <w:color w:val="242424"/>
              </w:rPr>
              <w:t>inventory</w:t>
            </w:r>
            <w:r w:rsidRPr="00EC20A0">
              <w:rPr>
                <w:color w:val="242424"/>
                <w:spacing w:val="-9"/>
              </w:rPr>
              <w:t xml:space="preserve"> </w:t>
            </w:r>
            <w:r w:rsidRPr="00EC20A0">
              <w:rPr>
                <w:color w:val="242424"/>
              </w:rPr>
              <w:t>counting,</w:t>
            </w:r>
            <w:r w:rsidRPr="00EC20A0">
              <w:rPr>
                <w:color w:val="242424"/>
                <w:spacing w:val="-9"/>
              </w:rPr>
              <w:t xml:space="preserve"> </w:t>
            </w:r>
            <w:r w:rsidRPr="00EC20A0">
              <w:rPr>
                <w:color w:val="242424"/>
              </w:rPr>
              <w:t>unless impracticable, to</w:t>
            </w:r>
          </w:p>
          <w:p w14:paraId="24D62481" w14:textId="77777777" w:rsidR="00245300" w:rsidRPr="00EC20A0" w:rsidRDefault="00F17249">
            <w:pPr>
              <w:pStyle w:val="TableParagraph"/>
              <w:numPr>
                <w:ilvl w:val="2"/>
                <w:numId w:val="54"/>
              </w:numPr>
              <w:tabs>
                <w:tab w:val="left" w:pos="1969"/>
              </w:tabs>
              <w:spacing w:before="240"/>
              <w:ind w:right="215"/>
              <w:jc w:val="both"/>
            </w:pPr>
            <w:r w:rsidRPr="00EC20A0">
              <w:rPr>
                <w:color w:val="242424"/>
              </w:rPr>
              <w:t>evaluate management’s instructions and procedures for</w:t>
            </w:r>
            <w:r w:rsidRPr="00EC20A0">
              <w:rPr>
                <w:color w:val="242424"/>
                <w:spacing w:val="-5"/>
              </w:rPr>
              <w:t xml:space="preserve"> </w:t>
            </w:r>
            <w:r w:rsidRPr="00EC20A0">
              <w:rPr>
                <w:color w:val="242424"/>
              </w:rPr>
              <w:t>recording</w:t>
            </w:r>
            <w:r w:rsidRPr="00EC20A0">
              <w:rPr>
                <w:color w:val="242424"/>
                <w:spacing w:val="-5"/>
              </w:rPr>
              <w:t xml:space="preserve"> </w:t>
            </w:r>
            <w:r w:rsidRPr="00EC20A0">
              <w:rPr>
                <w:color w:val="242424"/>
              </w:rPr>
              <w:t>and</w:t>
            </w:r>
            <w:r w:rsidRPr="00EC20A0">
              <w:rPr>
                <w:color w:val="242424"/>
                <w:spacing w:val="-5"/>
              </w:rPr>
              <w:t xml:space="preserve"> </w:t>
            </w:r>
            <w:r w:rsidRPr="00EC20A0">
              <w:rPr>
                <w:color w:val="242424"/>
              </w:rPr>
              <w:t>controlling</w:t>
            </w:r>
            <w:r w:rsidRPr="00EC20A0">
              <w:rPr>
                <w:color w:val="242424"/>
                <w:spacing w:val="-5"/>
              </w:rPr>
              <w:t xml:space="preserve"> </w:t>
            </w:r>
            <w:r w:rsidRPr="00EC20A0">
              <w:rPr>
                <w:color w:val="242424"/>
              </w:rPr>
              <w:t>the</w:t>
            </w:r>
            <w:r w:rsidRPr="00EC20A0">
              <w:rPr>
                <w:color w:val="242424"/>
                <w:spacing w:val="-5"/>
              </w:rPr>
              <w:t xml:space="preserve"> </w:t>
            </w:r>
            <w:r w:rsidRPr="00EC20A0">
              <w:rPr>
                <w:color w:val="242424"/>
              </w:rPr>
              <w:t>results</w:t>
            </w:r>
            <w:r w:rsidRPr="00EC20A0">
              <w:rPr>
                <w:color w:val="242424"/>
                <w:spacing w:val="-5"/>
              </w:rPr>
              <w:t xml:space="preserve"> </w:t>
            </w:r>
            <w:r w:rsidRPr="00EC20A0">
              <w:rPr>
                <w:color w:val="242424"/>
              </w:rPr>
              <w:t>of</w:t>
            </w:r>
            <w:r w:rsidRPr="00EC20A0">
              <w:rPr>
                <w:color w:val="242424"/>
                <w:spacing w:val="-5"/>
              </w:rPr>
              <w:t xml:space="preserve"> </w:t>
            </w:r>
            <w:r w:rsidRPr="00EC20A0">
              <w:rPr>
                <w:color w:val="242424"/>
              </w:rPr>
              <w:t>the</w:t>
            </w:r>
            <w:r w:rsidRPr="00EC20A0">
              <w:rPr>
                <w:color w:val="242424"/>
                <w:spacing w:val="-5"/>
              </w:rPr>
              <w:t xml:space="preserve"> </w:t>
            </w:r>
            <w:r w:rsidRPr="00EC20A0">
              <w:rPr>
                <w:color w:val="242424"/>
              </w:rPr>
              <w:t>entity’s physical inventory counting,</w:t>
            </w:r>
          </w:p>
          <w:p w14:paraId="24D62482" w14:textId="77777777" w:rsidR="00245300" w:rsidRPr="00EC20A0" w:rsidRDefault="00F17249">
            <w:pPr>
              <w:pStyle w:val="TableParagraph"/>
              <w:numPr>
                <w:ilvl w:val="2"/>
                <w:numId w:val="54"/>
              </w:numPr>
              <w:tabs>
                <w:tab w:val="left" w:pos="1969"/>
              </w:tabs>
              <w:spacing w:before="239"/>
              <w:ind w:right="583" w:hanging="361"/>
            </w:pPr>
            <w:r w:rsidRPr="00EC20A0">
              <w:rPr>
                <w:color w:val="242424"/>
              </w:rPr>
              <w:t>observe</w:t>
            </w:r>
            <w:r w:rsidRPr="00EC20A0">
              <w:rPr>
                <w:color w:val="242424"/>
                <w:spacing w:val="-8"/>
              </w:rPr>
              <w:t xml:space="preserve"> </w:t>
            </w:r>
            <w:r w:rsidRPr="00EC20A0">
              <w:rPr>
                <w:color w:val="242424"/>
              </w:rPr>
              <w:t>the</w:t>
            </w:r>
            <w:r w:rsidRPr="00EC20A0">
              <w:rPr>
                <w:color w:val="242424"/>
                <w:spacing w:val="-9"/>
              </w:rPr>
              <w:t xml:space="preserve"> </w:t>
            </w:r>
            <w:r w:rsidRPr="00EC20A0">
              <w:rPr>
                <w:color w:val="242424"/>
              </w:rPr>
              <w:t>performance</w:t>
            </w:r>
            <w:r w:rsidRPr="00EC20A0">
              <w:rPr>
                <w:color w:val="242424"/>
                <w:spacing w:val="-8"/>
              </w:rPr>
              <w:t xml:space="preserve"> </w:t>
            </w:r>
            <w:r w:rsidRPr="00EC20A0">
              <w:rPr>
                <w:color w:val="242424"/>
              </w:rPr>
              <w:t>of</w:t>
            </w:r>
            <w:r w:rsidRPr="00EC20A0">
              <w:rPr>
                <w:color w:val="242424"/>
                <w:spacing w:val="-8"/>
              </w:rPr>
              <w:t xml:space="preserve"> </w:t>
            </w:r>
            <w:r w:rsidRPr="00EC20A0">
              <w:rPr>
                <w:color w:val="242424"/>
              </w:rPr>
              <w:t>management’s</w:t>
            </w:r>
            <w:r w:rsidRPr="00EC20A0">
              <w:rPr>
                <w:color w:val="242424"/>
                <w:spacing w:val="-8"/>
              </w:rPr>
              <w:t xml:space="preserve"> </w:t>
            </w:r>
            <w:r w:rsidRPr="00EC20A0">
              <w:rPr>
                <w:color w:val="242424"/>
              </w:rPr>
              <w:t xml:space="preserve">count </w:t>
            </w:r>
            <w:r w:rsidRPr="00EC20A0">
              <w:rPr>
                <w:color w:val="242424"/>
                <w:spacing w:val="-2"/>
              </w:rPr>
              <w:t>procedures,</w:t>
            </w:r>
          </w:p>
          <w:p w14:paraId="24D62483" w14:textId="77777777" w:rsidR="00245300" w:rsidRPr="00EC20A0" w:rsidRDefault="00F17249">
            <w:pPr>
              <w:pStyle w:val="TableParagraph"/>
              <w:numPr>
                <w:ilvl w:val="2"/>
                <w:numId w:val="54"/>
              </w:numPr>
              <w:tabs>
                <w:tab w:val="left" w:pos="1969"/>
              </w:tabs>
              <w:spacing w:before="238"/>
            </w:pPr>
            <w:r w:rsidRPr="00EC20A0">
              <w:rPr>
                <w:color w:val="242424"/>
              </w:rPr>
              <w:t>inspect</w:t>
            </w:r>
            <w:r w:rsidRPr="00EC20A0">
              <w:rPr>
                <w:color w:val="242424"/>
                <w:spacing w:val="-7"/>
              </w:rPr>
              <w:t xml:space="preserve"> </w:t>
            </w:r>
            <w:r w:rsidRPr="00EC20A0">
              <w:rPr>
                <w:color w:val="242424"/>
              </w:rPr>
              <w:t>the</w:t>
            </w:r>
            <w:r w:rsidRPr="00EC20A0">
              <w:rPr>
                <w:color w:val="242424"/>
                <w:spacing w:val="-8"/>
              </w:rPr>
              <w:t xml:space="preserve"> </w:t>
            </w:r>
            <w:r w:rsidRPr="00EC20A0">
              <w:rPr>
                <w:color w:val="242424"/>
              </w:rPr>
              <w:t>inventory,</w:t>
            </w:r>
            <w:r w:rsidRPr="00EC20A0">
              <w:rPr>
                <w:color w:val="242424"/>
                <w:spacing w:val="-7"/>
              </w:rPr>
              <w:t xml:space="preserve"> </w:t>
            </w:r>
            <w:r w:rsidRPr="00EC20A0">
              <w:rPr>
                <w:color w:val="242424"/>
                <w:spacing w:val="-5"/>
              </w:rPr>
              <w:t>and</w:t>
            </w:r>
          </w:p>
          <w:p w14:paraId="24D62484" w14:textId="77777777" w:rsidR="00245300" w:rsidRPr="00EC20A0" w:rsidRDefault="00F17249">
            <w:pPr>
              <w:pStyle w:val="TableParagraph"/>
              <w:numPr>
                <w:ilvl w:val="2"/>
                <w:numId w:val="54"/>
              </w:numPr>
              <w:tabs>
                <w:tab w:val="left" w:pos="1969"/>
              </w:tabs>
              <w:spacing w:before="238"/>
            </w:pPr>
            <w:r w:rsidRPr="00EC20A0">
              <w:rPr>
                <w:color w:val="242424"/>
              </w:rPr>
              <w:t>perform</w:t>
            </w:r>
            <w:r w:rsidRPr="00EC20A0">
              <w:rPr>
                <w:color w:val="242424"/>
                <w:spacing w:val="-7"/>
              </w:rPr>
              <w:t xml:space="preserve"> </w:t>
            </w:r>
            <w:r w:rsidRPr="00EC20A0">
              <w:rPr>
                <w:color w:val="242424"/>
              </w:rPr>
              <w:t>test</w:t>
            </w:r>
            <w:r w:rsidRPr="00EC20A0">
              <w:rPr>
                <w:color w:val="242424"/>
                <w:spacing w:val="-6"/>
              </w:rPr>
              <w:t xml:space="preserve"> </w:t>
            </w:r>
            <w:r w:rsidRPr="00EC20A0">
              <w:rPr>
                <w:color w:val="242424"/>
                <w:spacing w:val="-2"/>
              </w:rPr>
              <w:t>counts?</w:t>
            </w:r>
          </w:p>
          <w:p w14:paraId="24D62485" w14:textId="77777777" w:rsidR="00245300" w:rsidRPr="00EC20A0" w:rsidRDefault="00F17249">
            <w:pPr>
              <w:pStyle w:val="TableParagraph"/>
              <w:numPr>
                <w:ilvl w:val="1"/>
                <w:numId w:val="54"/>
              </w:numPr>
              <w:tabs>
                <w:tab w:val="left" w:pos="1563"/>
              </w:tabs>
              <w:spacing w:before="238"/>
              <w:ind w:left="1563" w:right="681" w:hanging="384"/>
            </w:pPr>
            <w:r w:rsidRPr="00EC20A0">
              <w:rPr>
                <w:color w:val="242424"/>
              </w:rPr>
              <w:t>performing audit procedures over the entity’s final inventory</w:t>
            </w:r>
            <w:r w:rsidRPr="00EC20A0">
              <w:rPr>
                <w:color w:val="242424"/>
                <w:spacing w:val="-6"/>
              </w:rPr>
              <w:t xml:space="preserve"> </w:t>
            </w:r>
            <w:r w:rsidRPr="00EC20A0">
              <w:rPr>
                <w:color w:val="242424"/>
              </w:rPr>
              <w:t>records</w:t>
            </w:r>
            <w:r w:rsidRPr="00EC20A0">
              <w:rPr>
                <w:color w:val="242424"/>
                <w:spacing w:val="-6"/>
              </w:rPr>
              <w:t xml:space="preserve"> </w:t>
            </w:r>
            <w:r w:rsidRPr="00EC20A0">
              <w:rPr>
                <w:color w:val="242424"/>
              </w:rPr>
              <w:t>to</w:t>
            </w:r>
            <w:r w:rsidRPr="00EC20A0">
              <w:rPr>
                <w:color w:val="242424"/>
                <w:spacing w:val="-6"/>
              </w:rPr>
              <w:t xml:space="preserve"> </w:t>
            </w:r>
            <w:r w:rsidRPr="00EC20A0">
              <w:rPr>
                <w:color w:val="242424"/>
              </w:rPr>
              <w:t>determine</w:t>
            </w:r>
            <w:r w:rsidRPr="00EC20A0">
              <w:rPr>
                <w:color w:val="242424"/>
                <w:spacing w:val="-6"/>
              </w:rPr>
              <w:t xml:space="preserve"> </w:t>
            </w:r>
            <w:r w:rsidRPr="00EC20A0">
              <w:rPr>
                <w:color w:val="242424"/>
              </w:rPr>
              <w:t>whether</w:t>
            </w:r>
            <w:r w:rsidRPr="00EC20A0">
              <w:rPr>
                <w:color w:val="242424"/>
                <w:spacing w:val="-6"/>
              </w:rPr>
              <w:t xml:space="preserve"> </w:t>
            </w:r>
            <w:r w:rsidRPr="00EC20A0">
              <w:rPr>
                <w:color w:val="242424"/>
              </w:rPr>
              <w:t>they</w:t>
            </w:r>
            <w:r w:rsidRPr="00EC20A0">
              <w:rPr>
                <w:color w:val="242424"/>
                <w:spacing w:val="-6"/>
              </w:rPr>
              <w:t xml:space="preserve"> </w:t>
            </w:r>
            <w:r w:rsidRPr="00EC20A0">
              <w:rPr>
                <w:color w:val="242424"/>
              </w:rPr>
              <w:t>actually reflect actual inventory count results?</w:t>
            </w:r>
          </w:p>
        </w:tc>
        <w:tc>
          <w:tcPr>
            <w:tcW w:w="811" w:type="dxa"/>
            <w:tcBorders>
              <w:left w:val="single" w:sz="8" w:space="0" w:color="000000"/>
              <w:bottom w:val="single" w:sz="8" w:space="0" w:color="000000"/>
              <w:right w:val="single" w:sz="8" w:space="0" w:color="000000"/>
            </w:tcBorders>
          </w:tcPr>
          <w:p w14:paraId="24D62486"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487" w14:textId="77777777" w:rsidR="00245300" w:rsidRPr="00EC20A0" w:rsidRDefault="00245300">
            <w:pPr>
              <w:pStyle w:val="TableParagraph"/>
            </w:pPr>
          </w:p>
        </w:tc>
      </w:tr>
      <w:tr w:rsidR="00245300" w:rsidRPr="00EC20A0" w14:paraId="24D6248C" w14:textId="77777777">
        <w:trPr>
          <w:trHeight w:val="1757"/>
        </w:trPr>
        <w:tc>
          <w:tcPr>
            <w:tcW w:w="7380" w:type="dxa"/>
            <w:tcBorders>
              <w:top w:val="single" w:sz="8" w:space="0" w:color="000000"/>
              <w:bottom w:val="single" w:sz="8" w:space="0" w:color="000000"/>
              <w:right w:val="single" w:sz="8" w:space="0" w:color="000000"/>
            </w:tcBorders>
          </w:tcPr>
          <w:p w14:paraId="24D62489" w14:textId="77777777" w:rsidR="00245300" w:rsidRPr="00EC20A0" w:rsidRDefault="00F17249">
            <w:pPr>
              <w:pStyle w:val="TableParagraph"/>
              <w:spacing w:before="119"/>
              <w:ind w:left="1203" w:right="172" w:hanging="360"/>
            </w:pPr>
            <w:r w:rsidRPr="00EC20A0">
              <w:t>c.</w:t>
            </w:r>
            <w:r w:rsidRPr="00EC20A0">
              <w:rPr>
                <w:spacing w:val="80"/>
              </w:rPr>
              <w:t xml:space="preserve"> </w:t>
            </w:r>
            <w:r w:rsidRPr="00EC20A0">
              <w:t xml:space="preserve">If </w:t>
            </w:r>
            <w:r w:rsidRPr="00EC20A0">
              <w:t>physical inventory counting was conducted at a date other than the date of the financial statements, did the auditor, in addition</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procedures</w:t>
            </w:r>
            <w:r w:rsidRPr="00EC20A0">
              <w:rPr>
                <w:spacing w:val="-5"/>
              </w:rPr>
              <w:t xml:space="preserve"> </w:t>
            </w:r>
            <w:r w:rsidRPr="00EC20A0">
              <w:t>required</w:t>
            </w:r>
            <w:r w:rsidRPr="00EC20A0">
              <w:rPr>
                <w:spacing w:val="-5"/>
              </w:rPr>
              <w:t xml:space="preserve"> </w:t>
            </w:r>
            <w:r w:rsidRPr="00EC20A0">
              <w:t>in</w:t>
            </w:r>
            <w:r w:rsidRPr="00EC20A0">
              <w:rPr>
                <w:spacing w:val="-5"/>
              </w:rPr>
              <w:t xml:space="preserve"> </w:t>
            </w:r>
            <w:r w:rsidRPr="00EC20A0">
              <w:t>b</w:t>
            </w:r>
            <w:r w:rsidRPr="00EC20A0">
              <w:rPr>
                <w:spacing w:val="-4"/>
              </w:rPr>
              <w:t xml:space="preserve"> </w:t>
            </w:r>
            <w:r w:rsidRPr="00EC20A0">
              <w:t>above,</w:t>
            </w:r>
            <w:r w:rsidRPr="00EC20A0">
              <w:rPr>
                <w:spacing w:val="-5"/>
              </w:rPr>
              <w:t xml:space="preserve"> </w:t>
            </w:r>
            <w:r w:rsidRPr="00EC20A0">
              <w:t>perform</w:t>
            </w:r>
            <w:r w:rsidRPr="00EC20A0">
              <w:rPr>
                <w:spacing w:val="-6"/>
              </w:rPr>
              <w:t xml:space="preserve"> </w:t>
            </w:r>
            <w:r w:rsidRPr="00EC20A0">
              <w:t>audit procedures to obtain audit evidence about whether changes in inventory between the count date and the date of the financial statements are recorded properly? (AU-C 501.13)</w:t>
            </w:r>
          </w:p>
        </w:tc>
        <w:tc>
          <w:tcPr>
            <w:tcW w:w="811" w:type="dxa"/>
            <w:tcBorders>
              <w:top w:val="single" w:sz="8" w:space="0" w:color="000000"/>
              <w:left w:val="single" w:sz="8" w:space="0" w:color="000000"/>
              <w:bottom w:val="single" w:sz="8" w:space="0" w:color="000000"/>
              <w:right w:val="single" w:sz="8" w:space="0" w:color="000000"/>
            </w:tcBorders>
          </w:tcPr>
          <w:p w14:paraId="24D6248A"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8B" w14:textId="77777777" w:rsidR="00245300" w:rsidRPr="00EC20A0" w:rsidRDefault="00245300">
            <w:pPr>
              <w:pStyle w:val="TableParagraph"/>
            </w:pPr>
          </w:p>
        </w:tc>
      </w:tr>
      <w:tr w:rsidR="00245300" w:rsidRPr="00EC20A0" w14:paraId="24D62490" w14:textId="77777777">
        <w:trPr>
          <w:trHeight w:val="1505"/>
        </w:trPr>
        <w:tc>
          <w:tcPr>
            <w:tcW w:w="7380" w:type="dxa"/>
            <w:tcBorders>
              <w:top w:val="single" w:sz="8" w:space="0" w:color="000000"/>
              <w:bottom w:val="single" w:sz="8" w:space="0" w:color="000000"/>
              <w:right w:val="single" w:sz="8" w:space="0" w:color="000000"/>
            </w:tcBorders>
          </w:tcPr>
          <w:p w14:paraId="24D6248D" w14:textId="77777777" w:rsidR="00245300" w:rsidRPr="00EC20A0" w:rsidRDefault="00F17249">
            <w:pPr>
              <w:pStyle w:val="TableParagraph"/>
              <w:spacing w:before="121"/>
              <w:ind w:left="1203" w:hanging="360"/>
            </w:pPr>
            <w:r w:rsidRPr="00EC20A0">
              <w:t>d.</w:t>
            </w:r>
            <w:r w:rsidRPr="00EC20A0">
              <w:rPr>
                <w:spacing w:val="80"/>
              </w:rPr>
              <w:t xml:space="preserve"> </w:t>
            </w:r>
            <w:r w:rsidRPr="00EC20A0">
              <w:t>If</w:t>
            </w:r>
            <w:r w:rsidRPr="00EC20A0">
              <w:rPr>
                <w:spacing w:val="-3"/>
              </w:rPr>
              <w:t xml:space="preserve"> </w:t>
            </w:r>
            <w:r w:rsidRPr="00EC20A0">
              <w:t>the</w:t>
            </w:r>
            <w:r w:rsidRPr="00EC20A0">
              <w:rPr>
                <w:spacing w:val="-3"/>
              </w:rPr>
              <w:t xml:space="preserve"> </w:t>
            </w:r>
            <w:r w:rsidRPr="00EC20A0">
              <w:t>auditor</w:t>
            </w:r>
            <w:r w:rsidRPr="00EC20A0">
              <w:rPr>
                <w:spacing w:val="-4"/>
              </w:rPr>
              <w:t xml:space="preserve"> </w:t>
            </w:r>
            <w:r w:rsidRPr="00EC20A0">
              <w:t>was</w:t>
            </w:r>
            <w:r w:rsidRPr="00EC20A0">
              <w:rPr>
                <w:spacing w:val="-3"/>
              </w:rPr>
              <w:t xml:space="preserve"> </w:t>
            </w:r>
            <w:r w:rsidRPr="00EC20A0">
              <w:t>unable</w:t>
            </w:r>
            <w:r w:rsidRPr="00EC20A0">
              <w:rPr>
                <w:spacing w:val="-4"/>
              </w:rPr>
              <w:t xml:space="preserve"> </w:t>
            </w:r>
            <w:r w:rsidRPr="00EC20A0">
              <w:t>to</w:t>
            </w:r>
            <w:r w:rsidRPr="00EC20A0">
              <w:rPr>
                <w:spacing w:val="-3"/>
              </w:rPr>
              <w:t xml:space="preserve"> </w:t>
            </w:r>
            <w:r w:rsidRPr="00EC20A0">
              <w:t>attend</w:t>
            </w:r>
            <w:r w:rsidRPr="00EC20A0">
              <w:rPr>
                <w:spacing w:val="-3"/>
              </w:rPr>
              <w:t xml:space="preserve"> </w:t>
            </w:r>
            <w:r w:rsidRPr="00EC20A0">
              <w:t>physical</w:t>
            </w:r>
            <w:r w:rsidRPr="00EC20A0">
              <w:rPr>
                <w:spacing w:val="-3"/>
              </w:rPr>
              <w:t xml:space="preserve"> </w:t>
            </w:r>
            <w:r w:rsidRPr="00EC20A0">
              <w:t>inventory</w:t>
            </w:r>
            <w:r w:rsidRPr="00EC20A0">
              <w:rPr>
                <w:spacing w:val="-3"/>
              </w:rPr>
              <w:t xml:space="preserve"> </w:t>
            </w:r>
            <w:r w:rsidRPr="00EC20A0">
              <w:t xml:space="preserve">counting due to unforeseen circumstances, did the auditor make or observe some physical counts on an alternative date and perform audit procedures on intervening transactions? (AU-C </w:t>
            </w:r>
            <w:r w:rsidRPr="00EC20A0">
              <w:rPr>
                <w:spacing w:val="-2"/>
              </w:rPr>
              <w:t>501.14)</w:t>
            </w:r>
          </w:p>
        </w:tc>
        <w:tc>
          <w:tcPr>
            <w:tcW w:w="811" w:type="dxa"/>
            <w:tcBorders>
              <w:top w:val="single" w:sz="8" w:space="0" w:color="000000"/>
              <w:left w:val="single" w:sz="8" w:space="0" w:color="000000"/>
              <w:bottom w:val="single" w:sz="8" w:space="0" w:color="000000"/>
              <w:right w:val="single" w:sz="8" w:space="0" w:color="000000"/>
            </w:tcBorders>
          </w:tcPr>
          <w:p w14:paraId="24D6248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8F" w14:textId="77777777" w:rsidR="00245300" w:rsidRPr="00EC20A0" w:rsidRDefault="00245300">
            <w:pPr>
              <w:pStyle w:val="TableParagraph"/>
            </w:pPr>
          </w:p>
        </w:tc>
      </w:tr>
      <w:tr w:rsidR="00245300" w:rsidRPr="00EC20A0" w14:paraId="24D62494" w14:textId="77777777">
        <w:trPr>
          <w:trHeight w:val="1758"/>
        </w:trPr>
        <w:tc>
          <w:tcPr>
            <w:tcW w:w="7380" w:type="dxa"/>
            <w:tcBorders>
              <w:top w:val="single" w:sz="8" w:space="0" w:color="000000"/>
              <w:bottom w:val="single" w:sz="8" w:space="0" w:color="000000"/>
              <w:right w:val="single" w:sz="8" w:space="0" w:color="000000"/>
            </w:tcBorders>
          </w:tcPr>
          <w:p w14:paraId="24D62491" w14:textId="77777777" w:rsidR="00245300" w:rsidRPr="00EC20A0" w:rsidRDefault="00F17249">
            <w:pPr>
              <w:pStyle w:val="TableParagraph"/>
              <w:spacing w:before="119"/>
              <w:ind w:left="1203" w:hanging="360"/>
            </w:pPr>
            <w:r w:rsidRPr="00EC20A0">
              <w:t>e.</w:t>
            </w:r>
            <w:r w:rsidRPr="00EC20A0">
              <w:rPr>
                <w:spacing w:val="80"/>
              </w:rPr>
              <w:t xml:space="preserve"> </w:t>
            </w:r>
            <w:r w:rsidRPr="00EC20A0">
              <w:t>If</w:t>
            </w:r>
            <w:r w:rsidRPr="00EC20A0">
              <w:rPr>
                <w:spacing w:val="-4"/>
              </w:rPr>
              <w:t xml:space="preserve"> </w:t>
            </w:r>
            <w:r w:rsidRPr="00EC20A0">
              <w:t>attending</w:t>
            </w:r>
            <w:r w:rsidRPr="00EC20A0">
              <w:rPr>
                <w:spacing w:val="-5"/>
              </w:rPr>
              <w:t xml:space="preserve"> </w:t>
            </w:r>
            <w:r w:rsidRPr="00EC20A0">
              <w:t>physical</w:t>
            </w:r>
            <w:r w:rsidRPr="00EC20A0">
              <w:rPr>
                <w:spacing w:val="-4"/>
              </w:rPr>
              <w:t xml:space="preserve"> </w:t>
            </w:r>
            <w:r w:rsidRPr="00EC20A0">
              <w:t>inventory</w:t>
            </w:r>
            <w:r w:rsidRPr="00EC20A0">
              <w:rPr>
                <w:spacing w:val="-4"/>
              </w:rPr>
              <w:t xml:space="preserve"> </w:t>
            </w:r>
            <w:r w:rsidRPr="00EC20A0">
              <w:t>counting</w:t>
            </w:r>
            <w:r w:rsidRPr="00EC20A0">
              <w:rPr>
                <w:spacing w:val="-4"/>
              </w:rPr>
              <w:t xml:space="preserve"> </w:t>
            </w:r>
            <w:r w:rsidRPr="00EC20A0">
              <w:t>was</w:t>
            </w:r>
            <w:r w:rsidRPr="00EC20A0">
              <w:rPr>
                <w:spacing w:val="-4"/>
              </w:rPr>
              <w:t xml:space="preserve"> </w:t>
            </w:r>
            <w:r w:rsidRPr="00EC20A0">
              <w:t>impracticable,</w:t>
            </w:r>
            <w:r w:rsidRPr="00EC20A0">
              <w:rPr>
                <w:spacing w:val="-5"/>
              </w:rPr>
              <w:t xml:space="preserve"> </w:t>
            </w:r>
            <w:r w:rsidRPr="00EC20A0">
              <w:t>did the auditor perform alternative audit procedures to obtain sufficient appropriate audit evidence regarding the existence and condition of inventory? If it was not possible to do so, did the auditor modify the opinion in the auditor’s report, in accordance with AU-C 705? (AU-C 501.15)</w:t>
            </w:r>
          </w:p>
        </w:tc>
        <w:tc>
          <w:tcPr>
            <w:tcW w:w="811" w:type="dxa"/>
            <w:tcBorders>
              <w:top w:val="single" w:sz="8" w:space="0" w:color="000000"/>
              <w:left w:val="single" w:sz="8" w:space="0" w:color="000000"/>
              <w:bottom w:val="single" w:sz="8" w:space="0" w:color="000000"/>
              <w:right w:val="single" w:sz="8" w:space="0" w:color="000000"/>
            </w:tcBorders>
          </w:tcPr>
          <w:p w14:paraId="24D6249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93" w14:textId="77777777" w:rsidR="00245300" w:rsidRPr="00EC20A0" w:rsidRDefault="00245300">
            <w:pPr>
              <w:pStyle w:val="TableParagraph"/>
            </w:pPr>
          </w:p>
        </w:tc>
      </w:tr>
    </w:tbl>
    <w:p w14:paraId="24D62495" w14:textId="77777777" w:rsidR="00245300" w:rsidRPr="00EC20A0" w:rsidRDefault="00245300">
      <w:pPr>
        <w:sectPr w:rsidR="00245300" w:rsidRPr="00EC20A0">
          <w:pgSz w:w="12240" w:h="15840"/>
          <w:pgMar w:top="1340" w:right="460" w:bottom="940" w:left="560" w:header="721" w:footer="757" w:gutter="0"/>
          <w:cols w:space="720"/>
        </w:sectPr>
      </w:pPr>
    </w:p>
    <w:p w14:paraId="24D62496"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49D" w14:textId="77777777">
        <w:trPr>
          <w:trHeight w:val="936"/>
        </w:trPr>
        <w:tc>
          <w:tcPr>
            <w:tcW w:w="7380" w:type="dxa"/>
            <w:tcBorders>
              <w:right w:val="single" w:sz="8" w:space="0" w:color="000000"/>
            </w:tcBorders>
            <w:shd w:val="clear" w:color="auto" w:fill="A6A6A6"/>
          </w:tcPr>
          <w:p w14:paraId="24D62497" w14:textId="77777777" w:rsidR="00245300" w:rsidRPr="00EC20A0" w:rsidRDefault="00245300">
            <w:pPr>
              <w:pStyle w:val="TableParagraph"/>
              <w:spacing w:before="266"/>
              <w:rPr>
                <w:b/>
                <w:sz w:val="24"/>
              </w:rPr>
            </w:pPr>
          </w:p>
          <w:p w14:paraId="24D62498"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499"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49A" w14:textId="77777777" w:rsidR="00245300" w:rsidRPr="00EC20A0" w:rsidRDefault="00245300">
            <w:pPr>
              <w:pStyle w:val="TableParagraph"/>
              <w:rPr>
                <w:b/>
              </w:rPr>
            </w:pPr>
          </w:p>
          <w:p w14:paraId="24D6249B" w14:textId="77777777" w:rsidR="00245300" w:rsidRPr="00EC20A0" w:rsidRDefault="00245300">
            <w:pPr>
              <w:pStyle w:val="TableParagraph"/>
              <w:spacing w:before="120"/>
              <w:rPr>
                <w:b/>
              </w:rPr>
            </w:pPr>
          </w:p>
          <w:p w14:paraId="24D6249C"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4A3" w14:textId="77777777">
        <w:trPr>
          <w:trHeight w:val="3029"/>
        </w:trPr>
        <w:tc>
          <w:tcPr>
            <w:tcW w:w="7380" w:type="dxa"/>
            <w:tcBorders>
              <w:bottom w:val="single" w:sz="8" w:space="0" w:color="000000"/>
              <w:right w:val="single" w:sz="8" w:space="0" w:color="000000"/>
            </w:tcBorders>
          </w:tcPr>
          <w:p w14:paraId="24D6249E" w14:textId="77777777" w:rsidR="00245300" w:rsidRPr="00EC20A0" w:rsidRDefault="00F17249">
            <w:pPr>
              <w:pStyle w:val="TableParagraph"/>
              <w:numPr>
                <w:ilvl w:val="0"/>
                <w:numId w:val="53"/>
              </w:numPr>
              <w:tabs>
                <w:tab w:val="left" w:pos="1203"/>
              </w:tabs>
              <w:spacing w:before="121"/>
              <w:ind w:right="185"/>
            </w:pPr>
            <w:r w:rsidRPr="00EC20A0">
              <w:t>If</w:t>
            </w:r>
            <w:r w:rsidRPr="00EC20A0">
              <w:rPr>
                <w:spacing w:val="-4"/>
              </w:rPr>
              <w:t xml:space="preserve"> </w:t>
            </w:r>
            <w:r w:rsidRPr="00EC20A0">
              <w:t>inventory</w:t>
            </w:r>
            <w:r w:rsidRPr="00EC20A0">
              <w:rPr>
                <w:spacing w:val="-5"/>
              </w:rPr>
              <w:t xml:space="preserve"> </w:t>
            </w:r>
            <w:r w:rsidRPr="00EC20A0">
              <w:t>under</w:t>
            </w:r>
            <w:r w:rsidRPr="00EC20A0">
              <w:rPr>
                <w:spacing w:val="-4"/>
              </w:rPr>
              <w:t xml:space="preserve"> </w:t>
            </w:r>
            <w:r w:rsidRPr="00EC20A0">
              <w:t>the</w:t>
            </w:r>
            <w:r w:rsidRPr="00EC20A0">
              <w:rPr>
                <w:spacing w:val="-4"/>
              </w:rPr>
              <w:t xml:space="preserve"> </w:t>
            </w:r>
            <w:r w:rsidRPr="00EC20A0">
              <w:t>custody</w:t>
            </w:r>
            <w:r w:rsidRPr="00EC20A0">
              <w:rPr>
                <w:spacing w:val="-4"/>
              </w:rPr>
              <w:t xml:space="preserve"> </w:t>
            </w:r>
            <w:r w:rsidRPr="00EC20A0">
              <w:t>and</w:t>
            </w:r>
            <w:r w:rsidRPr="00EC20A0">
              <w:rPr>
                <w:spacing w:val="-4"/>
              </w:rPr>
              <w:t xml:space="preserve"> </w:t>
            </w:r>
            <w:r w:rsidRPr="00EC20A0">
              <w:t>control</w:t>
            </w:r>
            <w:r w:rsidRPr="00EC20A0">
              <w:rPr>
                <w:spacing w:val="-4"/>
              </w:rPr>
              <w:t xml:space="preserve"> </w:t>
            </w:r>
            <w:r w:rsidRPr="00EC20A0">
              <w:t>of</w:t>
            </w:r>
            <w:r w:rsidRPr="00EC20A0">
              <w:rPr>
                <w:spacing w:val="-4"/>
              </w:rPr>
              <w:t xml:space="preserve"> </w:t>
            </w:r>
            <w:r w:rsidRPr="00EC20A0">
              <w:t>a</w:t>
            </w:r>
            <w:r w:rsidRPr="00EC20A0">
              <w:rPr>
                <w:spacing w:val="-4"/>
              </w:rPr>
              <w:t xml:space="preserve"> </w:t>
            </w:r>
            <w:r w:rsidRPr="00EC20A0">
              <w:t>third</w:t>
            </w:r>
            <w:r w:rsidRPr="00EC20A0">
              <w:rPr>
                <w:spacing w:val="-4"/>
              </w:rPr>
              <w:t xml:space="preserve"> </w:t>
            </w:r>
            <w:r w:rsidRPr="00EC20A0">
              <w:t>party</w:t>
            </w:r>
            <w:r w:rsidRPr="00EC20A0">
              <w:rPr>
                <w:spacing w:val="-4"/>
              </w:rPr>
              <w:t xml:space="preserve"> </w:t>
            </w:r>
            <w:r w:rsidRPr="00EC20A0">
              <w:t xml:space="preserve">was material to the financial statements, did the auditor </w:t>
            </w:r>
            <w:r w:rsidRPr="00EC20A0">
              <w:t>obtain sufficient appropriate audit evidence regarding the existence and condition of that inventory by performing one or both of the following:</w:t>
            </w:r>
          </w:p>
          <w:p w14:paraId="24D6249F" w14:textId="77777777" w:rsidR="00245300" w:rsidRPr="00EC20A0" w:rsidRDefault="00F17249">
            <w:pPr>
              <w:pStyle w:val="TableParagraph"/>
              <w:numPr>
                <w:ilvl w:val="1"/>
                <w:numId w:val="53"/>
              </w:numPr>
              <w:tabs>
                <w:tab w:val="left" w:pos="1514"/>
              </w:tabs>
              <w:spacing w:before="120"/>
              <w:ind w:right="264"/>
              <w:jc w:val="left"/>
            </w:pPr>
            <w:r w:rsidRPr="00EC20A0">
              <w:t>Request confirmation from the third party regarding the quantities</w:t>
            </w:r>
            <w:r w:rsidRPr="00EC20A0">
              <w:rPr>
                <w:spacing w:val="-4"/>
              </w:rPr>
              <w:t xml:space="preserve"> </w:t>
            </w:r>
            <w:r w:rsidRPr="00EC20A0">
              <w:t>and</w:t>
            </w:r>
            <w:r w:rsidRPr="00EC20A0">
              <w:rPr>
                <w:spacing w:val="-4"/>
              </w:rPr>
              <w:t xml:space="preserve"> </w:t>
            </w:r>
            <w:r w:rsidRPr="00EC20A0">
              <w:t>condition</w:t>
            </w:r>
            <w:r w:rsidRPr="00EC20A0">
              <w:rPr>
                <w:spacing w:val="-5"/>
              </w:rPr>
              <w:t xml:space="preserve"> </w:t>
            </w:r>
            <w:r w:rsidRPr="00EC20A0">
              <w:t>of</w:t>
            </w:r>
            <w:r w:rsidRPr="00EC20A0">
              <w:rPr>
                <w:spacing w:val="-4"/>
              </w:rPr>
              <w:t xml:space="preserve"> </w:t>
            </w:r>
            <w:r w:rsidRPr="00EC20A0">
              <w:t>inventory</w:t>
            </w:r>
            <w:r w:rsidRPr="00EC20A0">
              <w:rPr>
                <w:spacing w:val="-5"/>
              </w:rPr>
              <w:t xml:space="preserve"> </w:t>
            </w:r>
            <w:r w:rsidRPr="00EC20A0">
              <w:t>held</w:t>
            </w:r>
            <w:r w:rsidRPr="00EC20A0">
              <w:rPr>
                <w:spacing w:val="-4"/>
              </w:rPr>
              <w:t xml:space="preserve"> </w:t>
            </w:r>
            <w:r w:rsidRPr="00EC20A0">
              <w:t>on</w:t>
            </w:r>
            <w:r w:rsidRPr="00EC20A0">
              <w:rPr>
                <w:spacing w:val="-4"/>
              </w:rPr>
              <w:t xml:space="preserve"> </w:t>
            </w:r>
            <w:r w:rsidRPr="00EC20A0">
              <w:t>behalf</w:t>
            </w:r>
            <w:r w:rsidRPr="00EC20A0">
              <w:rPr>
                <w:spacing w:val="-4"/>
              </w:rPr>
              <w:t xml:space="preserve"> </w:t>
            </w:r>
            <w:r w:rsidRPr="00EC20A0">
              <w:t>of</w:t>
            </w:r>
            <w:r w:rsidRPr="00EC20A0">
              <w:rPr>
                <w:spacing w:val="-4"/>
              </w:rPr>
              <w:t xml:space="preserve"> </w:t>
            </w:r>
            <w:r w:rsidRPr="00EC20A0">
              <w:t xml:space="preserve">the </w:t>
            </w:r>
            <w:proofErr w:type="gramStart"/>
            <w:r w:rsidRPr="00EC20A0">
              <w:rPr>
                <w:spacing w:val="-2"/>
              </w:rPr>
              <w:t>entity?</w:t>
            </w:r>
            <w:proofErr w:type="gramEnd"/>
          </w:p>
          <w:p w14:paraId="24D624A0" w14:textId="77777777" w:rsidR="00245300" w:rsidRPr="00EC20A0" w:rsidRDefault="00F17249">
            <w:pPr>
              <w:pStyle w:val="TableParagraph"/>
              <w:numPr>
                <w:ilvl w:val="1"/>
                <w:numId w:val="53"/>
              </w:numPr>
              <w:tabs>
                <w:tab w:val="left" w:pos="1511"/>
                <w:tab w:val="left" w:pos="1514"/>
              </w:tabs>
              <w:spacing w:before="121" w:line="237" w:lineRule="auto"/>
              <w:ind w:right="304" w:hanging="350"/>
              <w:jc w:val="left"/>
              <w:rPr>
                <w:sz w:val="24"/>
              </w:rPr>
            </w:pPr>
            <w:r w:rsidRPr="00EC20A0">
              <w:t>Perform</w:t>
            </w:r>
            <w:r w:rsidRPr="00EC20A0">
              <w:rPr>
                <w:spacing w:val="-7"/>
              </w:rPr>
              <w:t xml:space="preserve"> </w:t>
            </w:r>
            <w:r w:rsidRPr="00EC20A0">
              <w:t>inspection</w:t>
            </w:r>
            <w:r w:rsidRPr="00EC20A0">
              <w:rPr>
                <w:spacing w:val="-6"/>
              </w:rPr>
              <w:t xml:space="preserve"> </w:t>
            </w:r>
            <w:r w:rsidRPr="00EC20A0">
              <w:t>or</w:t>
            </w:r>
            <w:r w:rsidRPr="00EC20A0">
              <w:rPr>
                <w:spacing w:val="-6"/>
              </w:rPr>
              <w:t xml:space="preserve"> </w:t>
            </w:r>
            <w:r w:rsidRPr="00EC20A0">
              <w:t>other</w:t>
            </w:r>
            <w:r w:rsidRPr="00EC20A0">
              <w:rPr>
                <w:spacing w:val="-6"/>
              </w:rPr>
              <w:t xml:space="preserve"> </w:t>
            </w:r>
            <w:r w:rsidRPr="00EC20A0">
              <w:t>audit</w:t>
            </w:r>
            <w:r w:rsidRPr="00EC20A0">
              <w:rPr>
                <w:spacing w:val="-6"/>
              </w:rPr>
              <w:t xml:space="preserve"> </w:t>
            </w:r>
            <w:r w:rsidRPr="00EC20A0">
              <w:t>procedures</w:t>
            </w:r>
            <w:r w:rsidRPr="00EC20A0">
              <w:rPr>
                <w:spacing w:val="-6"/>
              </w:rPr>
              <w:t xml:space="preserve"> </w:t>
            </w:r>
            <w:r w:rsidRPr="00EC20A0">
              <w:t>appropriate in the circumstances? (AU-C 501.16)</w:t>
            </w:r>
          </w:p>
        </w:tc>
        <w:tc>
          <w:tcPr>
            <w:tcW w:w="811" w:type="dxa"/>
            <w:tcBorders>
              <w:left w:val="single" w:sz="8" w:space="0" w:color="000000"/>
              <w:bottom w:val="single" w:sz="8" w:space="0" w:color="000000"/>
              <w:right w:val="single" w:sz="8" w:space="0" w:color="000000"/>
            </w:tcBorders>
          </w:tcPr>
          <w:p w14:paraId="24D624A1"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4A2" w14:textId="77777777" w:rsidR="00245300" w:rsidRPr="00EC20A0" w:rsidRDefault="00245300">
            <w:pPr>
              <w:pStyle w:val="TableParagraph"/>
            </w:pPr>
          </w:p>
        </w:tc>
      </w:tr>
      <w:tr w:rsidR="00245300" w:rsidRPr="00EC20A0" w14:paraId="24D624A8" w14:textId="77777777">
        <w:trPr>
          <w:trHeight w:val="985"/>
        </w:trPr>
        <w:tc>
          <w:tcPr>
            <w:tcW w:w="7380" w:type="dxa"/>
            <w:tcBorders>
              <w:top w:val="single" w:sz="8" w:space="0" w:color="000000"/>
              <w:bottom w:val="single" w:sz="8" w:space="0" w:color="000000"/>
              <w:right w:val="single" w:sz="8" w:space="0" w:color="000000"/>
            </w:tcBorders>
          </w:tcPr>
          <w:p w14:paraId="24D624A4" w14:textId="77777777" w:rsidR="00245300" w:rsidRPr="00EC20A0" w:rsidRDefault="00F17249">
            <w:pPr>
              <w:pStyle w:val="TableParagraph"/>
              <w:spacing w:before="119"/>
              <w:ind w:left="483"/>
              <w:rPr>
                <w:b/>
              </w:rPr>
            </w:pPr>
            <w:r w:rsidRPr="00EC20A0">
              <w:t>16.</w:t>
            </w:r>
            <w:r w:rsidRPr="00EC20A0">
              <w:rPr>
                <w:spacing w:val="-13"/>
              </w:rPr>
              <w:t xml:space="preserve"> </w:t>
            </w:r>
            <w:r w:rsidRPr="00EC20A0">
              <w:rPr>
                <w:b/>
              </w:rPr>
              <w:t>Property,</w:t>
            </w:r>
            <w:r w:rsidRPr="00EC20A0">
              <w:rPr>
                <w:b/>
                <w:spacing w:val="-6"/>
              </w:rPr>
              <w:t xml:space="preserve"> </w:t>
            </w:r>
            <w:r w:rsidRPr="00EC20A0">
              <w:rPr>
                <w:b/>
              </w:rPr>
              <w:t>Plant,</w:t>
            </w:r>
            <w:r w:rsidRPr="00EC20A0">
              <w:rPr>
                <w:b/>
                <w:spacing w:val="-7"/>
              </w:rPr>
              <w:t xml:space="preserve"> </w:t>
            </w:r>
            <w:r w:rsidRPr="00EC20A0">
              <w:rPr>
                <w:b/>
              </w:rPr>
              <w:t>and</w:t>
            </w:r>
            <w:r w:rsidRPr="00EC20A0">
              <w:rPr>
                <w:b/>
                <w:spacing w:val="-6"/>
              </w:rPr>
              <w:t xml:space="preserve"> </w:t>
            </w:r>
            <w:r w:rsidRPr="00EC20A0">
              <w:rPr>
                <w:b/>
                <w:spacing w:val="-2"/>
              </w:rPr>
              <w:t>Equipment</w:t>
            </w:r>
          </w:p>
          <w:p w14:paraId="24D624A5" w14:textId="77777777" w:rsidR="00245300" w:rsidRPr="00EC20A0" w:rsidRDefault="00F17249">
            <w:pPr>
              <w:pStyle w:val="TableParagraph"/>
              <w:spacing w:before="241"/>
              <w:ind w:left="844"/>
            </w:pPr>
            <w:r w:rsidRPr="00EC20A0">
              <w:t>Consider</w:t>
            </w:r>
            <w:r w:rsidRPr="00EC20A0">
              <w:rPr>
                <w:spacing w:val="-9"/>
              </w:rPr>
              <w:t xml:space="preserve"> </w:t>
            </w:r>
            <w:r w:rsidRPr="00EC20A0">
              <w:t>these</w:t>
            </w:r>
            <w:r w:rsidRPr="00EC20A0">
              <w:rPr>
                <w:spacing w:val="-8"/>
              </w:rPr>
              <w:t xml:space="preserve"> </w:t>
            </w:r>
            <w:r w:rsidRPr="00EC20A0">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A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A7" w14:textId="77777777" w:rsidR="00245300" w:rsidRPr="00EC20A0" w:rsidRDefault="00245300">
            <w:pPr>
              <w:pStyle w:val="TableParagraph"/>
            </w:pPr>
          </w:p>
        </w:tc>
      </w:tr>
      <w:tr w:rsidR="00245300" w:rsidRPr="00EC20A0" w14:paraId="24D624AC" w14:textId="77777777">
        <w:trPr>
          <w:trHeight w:val="998"/>
        </w:trPr>
        <w:tc>
          <w:tcPr>
            <w:tcW w:w="7380" w:type="dxa"/>
            <w:tcBorders>
              <w:top w:val="single" w:sz="8" w:space="0" w:color="000000"/>
              <w:bottom w:val="single" w:sz="8" w:space="0" w:color="000000"/>
              <w:right w:val="single" w:sz="8" w:space="0" w:color="000000"/>
            </w:tcBorders>
          </w:tcPr>
          <w:p w14:paraId="24D624A9" w14:textId="77777777" w:rsidR="00245300" w:rsidRPr="00EC20A0" w:rsidRDefault="00F17249">
            <w:pPr>
              <w:pStyle w:val="TableParagraph"/>
              <w:spacing w:before="119"/>
              <w:ind w:left="1249" w:hanging="360"/>
            </w:pPr>
            <w:r w:rsidRPr="00EC20A0">
              <w:t>a.</w:t>
            </w:r>
            <w:r w:rsidRPr="00EC20A0">
              <w:rPr>
                <w:spacing w:val="80"/>
              </w:rPr>
              <w:t xml:space="preserve"> </w:t>
            </w:r>
            <w:r w:rsidRPr="00EC20A0">
              <w:t>Was a summary schedule prepared (or obtained) to show beginning</w:t>
            </w:r>
            <w:r w:rsidRPr="00EC20A0">
              <w:rPr>
                <w:spacing w:val="-6"/>
              </w:rPr>
              <w:t xml:space="preserve"> </w:t>
            </w:r>
            <w:r w:rsidRPr="00EC20A0">
              <w:t>balances,</w:t>
            </w:r>
            <w:r w:rsidRPr="00EC20A0">
              <w:rPr>
                <w:spacing w:val="-7"/>
              </w:rPr>
              <w:t xml:space="preserve"> </w:t>
            </w:r>
            <w:r w:rsidRPr="00EC20A0">
              <w:t>changes</w:t>
            </w:r>
            <w:r w:rsidRPr="00EC20A0">
              <w:rPr>
                <w:spacing w:val="-6"/>
              </w:rPr>
              <w:t xml:space="preserve"> </w:t>
            </w:r>
            <w:r w:rsidRPr="00EC20A0">
              <w:t>during</w:t>
            </w:r>
            <w:r w:rsidRPr="00EC20A0">
              <w:rPr>
                <w:spacing w:val="-6"/>
              </w:rPr>
              <w:t xml:space="preserve"> </w:t>
            </w:r>
            <w:r w:rsidRPr="00EC20A0">
              <w:t>the</w:t>
            </w:r>
            <w:r w:rsidRPr="00EC20A0">
              <w:rPr>
                <w:spacing w:val="-6"/>
              </w:rPr>
              <w:t xml:space="preserve"> </w:t>
            </w:r>
            <w:r w:rsidRPr="00EC20A0">
              <w:t>period,</w:t>
            </w:r>
            <w:r w:rsidRPr="00EC20A0">
              <w:rPr>
                <w:spacing w:val="-7"/>
              </w:rPr>
              <w:t xml:space="preserve"> </w:t>
            </w:r>
            <w:r w:rsidRPr="00EC20A0">
              <w:t>and</w:t>
            </w:r>
            <w:r w:rsidRPr="00EC20A0">
              <w:rPr>
                <w:spacing w:val="-6"/>
              </w:rPr>
              <w:t xml:space="preserve"> </w:t>
            </w:r>
            <w:r w:rsidRPr="00EC20A0">
              <w:t>ending balances for</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AA"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AB" w14:textId="77777777" w:rsidR="00245300" w:rsidRPr="00EC20A0" w:rsidRDefault="00245300">
            <w:pPr>
              <w:pStyle w:val="TableParagraph"/>
            </w:pPr>
          </w:p>
        </w:tc>
      </w:tr>
      <w:tr w:rsidR="00245300" w:rsidRPr="00EC20A0" w14:paraId="24D624B0" w14:textId="77777777">
        <w:trPr>
          <w:trHeight w:val="492"/>
        </w:trPr>
        <w:tc>
          <w:tcPr>
            <w:tcW w:w="7380" w:type="dxa"/>
            <w:tcBorders>
              <w:top w:val="single" w:sz="8" w:space="0" w:color="000000"/>
              <w:bottom w:val="single" w:sz="8" w:space="0" w:color="000000"/>
              <w:right w:val="single" w:sz="8" w:space="0" w:color="000000"/>
            </w:tcBorders>
          </w:tcPr>
          <w:p w14:paraId="24D624AD" w14:textId="77777777" w:rsidR="00245300" w:rsidRPr="00EC20A0" w:rsidRDefault="00F17249">
            <w:pPr>
              <w:pStyle w:val="TableParagraph"/>
              <w:spacing w:before="121"/>
              <w:ind w:left="1319"/>
            </w:pPr>
            <w:r w:rsidRPr="00EC20A0">
              <w:t>i.</w:t>
            </w:r>
            <w:r w:rsidRPr="00EC20A0">
              <w:rPr>
                <w:spacing w:val="61"/>
              </w:rPr>
              <w:t xml:space="preserve"> </w:t>
            </w:r>
            <w:r w:rsidRPr="00EC20A0">
              <w:t>property,</w:t>
            </w:r>
            <w:r w:rsidRPr="00EC20A0">
              <w:rPr>
                <w:spacing w:val="-6"/>
              </w:rPr>
              <w:t xml:space="preserve"> </w:t>
            </w:r>
            <w:r w:rsidRPr="00EC20A0">
              <w:t>plant,</w:t>
            </w:r>
            <w:r w:rsidRPr="00EC20A0">
              <w:rPr>
                <w:spacing w:val="-5"/>
              </w:rPr>
              <w:t xml:space="preserve"> </w:t>
            </w:r>
            <w:r w:rsidRPr="00EC20A0">
              <w:t>and</w:t>
            </w:r>
            <w:r w:rsidRPr="00EC20A0">
              <w:rPr>
                <w:spacing w:val="-5"/>
              </w:rPr>
              <w:t xml:space="preserve"> </w:t>
            </w:r>
            <w:r w:rsidRPr="00EC20A0">
              <w:t>equipment</w:t>
            </w:r>
            <w:r w:rsidRPr="00EC20A0">
              <w:rPr>
                <w:spacing w:val="-6"/>
              </w:rPr>
              <w:t xml:space="preserve"> </w:t>
            </w:r>
            <w:r w:rsidRPr="00EC20A0">
              <w:rPr>
                <w:spacing w:val="-5"/>
              </w:rPr>
              <w:t>and</w:t>
            </w:r>
          </w:p>
        </w:tc>
        <w:tc>
          <w:tcPr>
            <w:tcW w:w="811" w:type="dxa"/>
            <w:tcBorders>
              <w:top w:val="single" w:sz="8" w:space="0" w:color="000000"/>
              <w:left w:val="single" w:sz="8" w:space="0" w:color="000000"/>
              <w:bottom w:val="single" w:sz="8" w:space="0" w:color="000000"/>
              <w:right w:val="single" w:sz="8" w:space="0" w:color="000000"/>
            </w:tcBorders>
          </w:tcPr>
          <w:p w14:paraId="24D624A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AF" w14:textId="77777777" w:rsidR="00245300" w:rsidRPr="00EC20A0" w:rsidRDefault="00245300">
            <w:pPr>
              <w:pStyle w:val="TableParagraph"/>
            </w:pPr>
          </w:p>
        </w:tc>
      </w:tr>
      <w:tr w:rsidR="00245300" w:rsidRPr="00EC20A0" w14:paraId="24D624B4" w14:textId="77777777">
        <w:trPr>
          <w:trHeight w:val="493"/>
        </w:trPr>
        <w:tc>
          <w:tcPr>
            <w:tcW w:w="7380" w:type="dxa"/>
            <w:tcBorders>
              <w:top w:val="single" w:sz="8" w:space="0" w:color="000000"/>
              <w:bottom w:val="single" w:sz="8" w:space="0" w:color="000000"/>
              <w:right w:val="single" w:sz="8" w:space="0" w:color="000000"/>
            </w:tcBorders>
          </w:tcPr>
          <w:p w14:paraId="24D624B1" w14:textId="77777777" w:rsidR="00245300" w:rsidRPr="00EC20A0" w:rsidRDefault="00F17249">
            <w:pPr>
              <w:pStyle w:val="TableParagraph"/>
              <w:spacing w:before="121"/>
              <w:ind w:left="1269"/>
            </w:pPr>
            <w:r w:rsidRPr="00EC20A0">
              <w:t>ii.</w:t>
            </w:r>
            <w:r w:rsidRPr="00EC20A0">
              <w:rPr>
                <w:spacing w:val="75"/>
                <w:w w:val="150"/>
              </w:rPr>
              <w:t xml:space="preserve"> </w:t>
            </w:r>
            <w:r w:rsidRPr="00EC20A0">
              <w:t>accumulated</w:t>
            </w:r>
            <w:r w:rsidRPr="00EC20A0">
              <w:rPr>
                <w:spacing w:val="-4"/>
              </w:rPr>
              <w:t xml:space="preserve"> </w:t>
            </w:r>
            <w:r w:rsidRPr="00EC20A0">
              <w:rPr>
                <w:spacing w:val="-2"/>
              </w:rPr>
              <w:t>depreciation?</w:t>
            </w:r>
          </w:p>
        </w:tc>
        <w:tc>
          <w:tcPr>
            <w:tcW w:w="811" w:type="dxa"/>
            <w:tcBorders>
              <w:top w:val="single" w:sz="8" w:space="0" w:color="000000"/>
              <w:left w:val="single" w:sz="8" w:space="0" w:color="000000"/>
              <w:bottom w:val="single" w:sz="8" w:space="0" w:color="000000"/>
              <w:right w:val="single" w:sz="8" w:space="0" w:color="000000"/>
            </w:tcBorders>
          </w:tcPr>
          <w:p w14:paraId="24D624B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B3" w14:textId="77777777" w:rsidR="00245300" w:rsidRPr="00EC20A0" w:rsidRDefault="00245300">
            <w:pPr>
              <w:pStyle w:val="TableParagraph"/>
            </w:pPr>
          </w:p>
        </w:tc>
      </w:tr>
      <w:tr w:rsidR="00245300" w:rsidRPr="00EC20A0" w14:paraId="24D624B8" w14:textId="77777777">
        <w:trPr>
          <w:trHeight w:val="2010"/>
        </w:trPr>
        <w:tc>
          <w:tcPr>
            <w:tcW w:w="7380" w:type="dxa"/>
            <w:tcBorders>
              <w:top w:val="single" w:sz="8" w:space="0" w:color="000000"/>
              <w:bottom w:val="single" w:sz="8" w:space="0" w:color="000000"/>
              <w:right w:val="single" w:sz="8" w:space="0" w:color="000000"/>
            </w:tcBorders>
          </w:tcPr>
          <w:p w14:paraId="24D624B5" w14:textId="77777777" w:rsidR="00245300" w:rsidRPr="00EC20A0" w:rsidRDefault="00F17249">
            <w:pPr>
              <w:pStyle w:val="TableParagraph"/>
              <w:spacing w:before="119"/>
              <w:ind w:left="1249" w:right="222" w:hanging="360"/>
            </w:pPr>
            <w:r w:rsidRPr="00EC20A0">
              <w:t>b.</w:t>
            </w:r>
            <w:r w:rsidRPr="00EC20A0">
              <w:rPr>
                <w:spacing w:val="80"/>
              </w:rPr>
              <w:t xml:space="preserve"> </w:t>
            </w:r>
            <w:r w:rsidRPr="00EC20A0">
              <w:t>Did the auditor consider the effects of SFFAS 50, Establishing</w:t>
            </w:r>
            <w:r w:rsidRPr="00EC20A0">
              <w:rPr>
                <w:spacing w:val="-1"/>
              </w:rPr>
              <w:t xml:space="preserve"> </w:t>
            </w:r>
            <w:r w:rsidRPr="00EC20A0">
              <w:t>Opening Balances for General Property, Plant, and</w:t>
            </w:r>
            <w:r w:rsidRPr="00EC20A0">
              <w:rPr>
                <w:spacing w:val="-4"/>
              </w:rPr>
              <w:t xml:space="preserve"> </w:t>
            </w:r>
            <w:r w:rsidRPr="00EC20A0">
              <w:t>Equipment,</w:t>
            </w:r>
            <w:r w:rsidRPr="00EC20A0">
              <w:rPr>
                <w:spacing w:val="-4"/>
              </w:rPr>
              <w:t xml:space="preserve"> </w:t>
            </w:r>
            <w:r w:rsidRPr="00EC20A0">
              <w:t>if</w:t>
            </w:r>
            <w:r w:rsidRPr="00EC20A0">
              <w:rPr>
                <w:spacing w:val="-4"/>
              </w:rPr>
              <w:t xml:space="preserve"> </w:t>
            </w:r>
            <w:r w:rsidRPr="00EC20A0">
              <w:t>applied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entity?</w:t>
            </w:r>
            <w:r w:rsidRPr="00EC20A0">
              <w:rPr>
                <w:spacing w:val="-4"/>
              </w:rPr>
              <w:t xml:space="preserve"> </w:t>
            </w:r>
            <w:r w:rsidRPr="00EC20A0">
              <w:t>SFFAS</w:t>
            </w:r>
            <w:r w:rsidRPr="00EC20A0">
              <w:rPr>
                <w:spacing w:val="-5"/>
              </w:rPr>
              <w:t xml:space="preserve"> </w:t>
            </w:r>
            <w:r w:rsidRPr="00EC20A0">
              <w:t>50</w:t>
            </w:r>
            <w:r w:rsidRPr="00EC20A0">
              <w:rPr>
                <w:spacing w:val="-4"/>
              </w:rPr>
              <w:t xml:space="preserve"> </w:t>
            </w:r>
            <w:r w:rsidRPr="00EC20A0">
              <w:t>provides implementation guidance to allow a reporting entity, under specific conditions, to apply alternative methods in establishing opening balances for general property, plant, and equipment.</w:t>
            </w:r>
          </w:p>
        </w:tc>
        <w:tc>
          <w:tcPr>
            <w:tcW w:w="811" w:type="dxa"/>
            <w:tcBorders>
              <w:top w:val="single" w:sz="8" w:space="0" w:color="000000"/>
              <w:left w:val="single" w:sz="8" w:space="0" w:color="000000"/>
              <w:bottom w:val="single" w:sz="8" w:space="0" w:color="000000"/>
              <w:right w:val="single" w:sz="8" w:space="0" w:color="000000"/>
            </w:tcBorders>
          </w:tcPr>
          <w:p w14:paraId="24D624B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B7" w14:textId="77777777" w:rsidR="00245300" w:rsidRPr="00EC20A0" w:rsidRDefault="00245300">
            <w:pPr>
              <w:pStyle w:val="TableParagraph"/>
            </w:pPr>
          </w:p>
        </w:tc>
      </w:tr>
      <w:tr w:rsidR="00245300" w:rsidRPr="00EC20A0" w14:paraId="24D624BC" w14:textId="77777777">
        <w:trPr>
          <w:trHeight w:val="746"/>
        </w:trPr>
        <w:tc>
          <w:tcPr>
            <w:tcW w:w="7380" w:type="dxa"/>
            <w:tcBorders>
              <w:top w:val="single" w:sz="8" w:space="0" w:color="000000"/>
              <w:bottom w:val="single" w:sz="8" w:space="0" w:color="000000"/>
              <w:right w:val="single" w:sz="8" w:space="0" w:color="000000"/>
            </w:tcBorders>
          </w:tcPr>
          <w:p w14:paraId="24D624B9" w14:textId="77777777" w:rsidR="00245300" w:rsidRPr="00EC20A0" w:rsidRDefault="00F17249">
            <w:pPr>
              <w:pStyle w:val="TableParagraph"/>
              <w:spacing w:before="121"/>
              <w:ind w:left="1249" w:hanging="360"/>
            </w:pPr>
            <w:r w:rsidRPr="00EC20A0">
              <w:t>c.</w:t>
            </w:r>
            <w:r w:rsidRPr="00EC20A0">
              <w:rPr>
                <w:spacing w:val="80"/>
              </w:rPr>
              <w:t xml:space="preserve"> </w:t>
            </w:r>
            <w:r w:rsidRPr="00EC20A0">
              <w:t>Were</w:t>
            </w:r>
            <w:r w:rsidRPr="00EC20A0">
              <w:rPr>
                <w:spacing w:val="-4"/>
              </w:rPr>
              <w:t xml:space="preserve"> </w:t>
            </w:r>
            <w:r w:rsidRPr="00EC20A0">
              <w:t>significant</w:t>
            </w:r>
            <w:r w:rsidRPr="00EC20A0">
              <w:rPr>
                <w:spacing w:val="-4"/>
              </w:rPr>
              <w:t xml:space="preserve"> </w:t>
            </w:r>
            <w:r w:rsidRPr="00EC20A0">
              <w:t>activity</w:t>
            </w:r>
            <w:r w:rsidRPr="00EC20A0">
              <w:rPr>
                <w:spacing w:val="-5"/>
              </w:rPr>
              <w:t xml:space="preserve"> </w:t>
            </w:r>
            <w:r w:rsidRPr="00EC20A0">
              <w:t>and</w:t>
            </w:r>
            <w:r w:rsidRPr="00EC20A0">
              <w:rPr>
                <w:spacing w:val="-4"/>
              </w:rPr>
              <w:t xml:space="preserve"> </w:t>
            </w:r>
            <w:r w:rsidRPr="00EC20A0">
              <w:t>balances</w:t>
            </w:r>
            <w:r w:rsidRPr="00EC20A0">
              <w:rPr>
                <w:spacing w:val="-4"/>
              </w:rPr>
              <w:t xml:space="preserve"> </w:t>
            </w:r>
            <w:r w:rsidRPr="00EC20A0">
              <w:t>tested,</w:t>
            </w:r>
            <w:r w:rsidRPr="00EC20A0">
              <w:rPr>
                <w:spacing w:val="-4"/>
              </w:rPr>
              <w:t xml:space="preserve"> </w:t>
            </w:r>
            <w:r w:rsidRPr="00EC20A0">
              <w:t>particularly</w:t>
            </w:r>
            <w:r w:rsidRPr="00EC20A0">
              <w:rPr>
                <w:spacing w:val="-4"/>
              </w:rPr>
              <w:t xml:space="preserve"> </w:t>
            </w:r>
            <w:r w:rsidRPr="00EC20A0">
              <w:t>for existence and other significant assertions?</w:t>
            </w:r>
          </w:p>
        </w:tc>
        <w:tc>
          <w:tcPr>
            <w:tcW w:w="811" w:type="dxa"/>
            <w:tcBorders>
              <w:top w:val="single" w:sz="8" w:space="0" w:color="000000"/>
              <w:left w:val="single" w:sz="8" w:space="0" w:color="000000"/>
              <w:bottom w:val="single" w:sz="8" w:space="0" w:color="000000"/>
              <w:right w:val="single" w:sz="8" w:space="0" w:color="000000"/>
            </w:tcBorders>
          </w:tcPr>
          <w:p w14:paraId="24D624BA"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BB" w14:textId="77777777" w:rsidR="00245300" w:rsidRPr="00EC20A0" w:rsidRDefault="00245300">
            <w:pPr>
              <w:pStyle w:val="TableParagraph"/>
            </w:pPr>
          </w:p>
        </w:tc>
      </w:tr>
      <w:tr w:rsidR="00245300" w:rsidRPr="00EC20A0" w14:paraId="24D624C0" w14:textId="77777777">
        <w:trPr>
          <w:trHeight w:val="745"/>
        </w:trPr>
        <w:tc>
          <w:tcPr>
            <w:tcW w:w="7380" w:type="dxa"/>
            <w:tcBorders>
              <w:top w:val="single" w:sz="8" w:space="0" w:color="000000"/>
              <w:bottom w:val="single" w:sz="8" w:space="0" w:color="000000"/>
              <w:right w:val="single" w:sz="8" w:space="0" w:color="000000"/>
            </w:tcBorders>
          </w:tcPr>
          <w:p w14:paraId="24D624BD" w14:textId="77777777" w:rsidR="00245300" w:rsidRPr="00EC20A0" w:rsidRDefault="00F17249">
            <w:pPr>
              <w:pStyle w:val="TableParagraph"/>
              <w:spacing w:before="119"/>
              <w:ind w:left="1249" w:right="172" w:hanging="360"/>
            </w:pPr>
            <w:r w:rsidRPr="00EC20A0">
              <w:t>d.</w:t>
            </w:r>
            <w:r w:rsidRPr="00EC20A0">
              <w:rPr>
                <w:spacing w:val="80"/>
              </w:rPr>
              <w:t xml:space="preserve"> </w:t>
            </w:r>
            <w:r w:rsidRPr="00EC20A0">
              <w:t>Were</w:t>
            </w:r>
            <w:r w:rsidRPr="00EC20A0">
              <w:rPr>
                <w:spacing w:val="-4"/>
              </w:rPr>
              <w:t xml:space="preserve"> </w:t>
            </w:r>
            <w:r w:rsidRPr="00EC20A0">
              <w:t>property</w:t>
            </w:r>
            <w:r w:rsidRPr="00EC20A0">
              <w:rPr>
                <w:spacing w:val="-4"/>
              </w:rPr>
              <w:t xml:space="preserve"> </w:t>
            </w:r>
            <w:r w:rsidRPr="00EC20A0">
              <w:t>items</w:t>
            </w:r>
            <w:r w:rsidRPr="00EC20A0">
              <w:rPr>
                <w:spacing w:val="-4"/>
              </w:rPr>
              <w:t xml:space="preserve"> </w:t>
            </w:r>
            <w:r w:rsidRPr="00EC20A0">
              <w:t>capitalized</w:t>
            </w:r>
            <w:r w:rsidRPr="00EC20A0">
              <w:rPr>
                <w:spacing w:val="-4"/>
              </w:rPr>
              <w:t xml:space="preserve"> </w:t>
            </w:r>
            <w:r w:rsidRPr="00EC20A0">
              <w:t>or</w:t>
            </w:r>
            <w:r w:rsidRPr="00EC20A0">
              <w:rPr>
                <w:spacing w:val="-4"/>
              </w:rPr>
              <w:t xml:space="preserve"> </w:t>
            </w:r>
            <w:r w:rsidRPr="00EC20A0">
              <w:t>expensed</w:t>
            </w:r>
            <w:r w:rsidRPr="00EC20A0">
              <w:rPr>
                <w:spacing w:val="-4"/>
              </w:rPr>
              <w:t xml:space="preserve"> </w:t>
            </w:r>
            <w:r w:rsidRPr="00EC20A0">
              <w:t>in</w:t>
            </w:r>
            <w:r w:rsidRPr="00EC20A0">
              <w:rPr>
                <w:spacing w:val="-4"/>
              </w:rPr>
              <w:t xml:space="preserve"> </w:t>
            </w:r>
            <w:r w:rsidRPr="00EC20A0">
              <w:t>accordance with consistent capitalization limits?</w:t>
            </w:r>
          </w:p>
        </w:tc>
        <w:tc>
          <w:tcPr>
            <w:tcW w:w="811" w:type="dxa"/>
            <w:tcBorders>
              <w:top w:val="single" w:sz="8" w:space="0" w:color="000000"/>
              <w:left w:val="single" w:sz="8" w:space="0" w:color="000000"/>
              <w:bottom w:val="single" w:sz="8" w:space="0" w:color="000000"/>
              <w:right w:val="single" w:sz="8" w:space="0" w:color="000000"/>
            </w:tcBorders>
          </w:tcPr>
          <w:p w14:paraId="24D624B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BF" w14:textId="77777777" w:rsidR="00245300" w:rsidRPr="00EC20A0" w:rsidRDefault="00245300">
            <w:pPr>
              <w:pStyle w:val="TableParagraph"/>
            </w:pPr>
          </w:p>
        </w:tc>
      </w:tr>
      <w:tr w:rsidR="00245300" w:rsidRPr="00EC20A0" w14:paraId="24D624C4" w14:textId="77777777">
        <w:trPr>
          <w:trHeight w:val="745"/>
        </w:trPr>
        <w:tc>
          <w:tcPr>
            <w:tcW w:w="7380" w:type="dxa"/>
            <w:tcBorders>
              <w:top w:val="single" w:sz="8" w:space="0" w:color="000000"/>
              <w:bottom w:val="single" w:sz="8" w:space="0" w:color="000000"/>
              <w:right w:val="single" w:sz="8" w:space="0" w:color="000000"/>
            </w:tcBorders>
          </w:tcPr>
          <w:p w14:paraId="24D624C1" w14:textId="77777777" w:rsidR="00245300" w:rsidRPr="00EC20A0" w:rsidRDefault="00F17249">
            <w:pPr>
              <w:pStyle w:val="TableParagraph"/>
              <w:spacing w:before="119"/>
              <w:ind w:left="1249" w:right="222" w:hanging="360"/>
            </w:pPr>
            <w:r w:rsidRPr="00EC20A0">
              <w:t>e.</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perform</w:t>
            </w:r>
            <w:r w:rsidRPr="00EC20A0">
              <w:rPr>
                <w:spacing w:val="-5"/>
              </w:rPr>
              <w:t xml:space="preserve"> </w:t>
            </w:r>
            <w:r w:rsidRPr="00EC20A0">
              <w:t>tests</w:t>
            </w:r>
            <w:r w:rsidRPr="00EC20A0">
              <w:rPr>
                <w:spacing w:val="-4"/>
              </w:rPr>
              <w:t xml:space="preserve"> </w:t>
            </w:r>
            <w:r w:rsidRPr="00EC20A0">
              <w:t>of</w:t>
            </w:r>
            <w:r w:rsidRPr="00EC20A0">
              <w:rPr>
                <w:spacing w:val="-4"/>
              </w:rPr>
              <w:t xml:space="preserve"> </w:t>
            </w:r>
            <w:r w:rsidRPr="00EC20A0">
              <w:t>completeness,</w:t>
            </w:r>
            <w:r w:rsidRPr="00EC20A0">
              <w:rPr>
                <w:spacing w:val="-5"/>
              </w:rPr>
              <w:t xml:space="preserve"> </w:t>
            </w:r>
            <w:r w:rsidRPr="00EC20A0">
              <w:t>such</w:t>
            </w:r>
            <w:r w:rsidRPr="00EC20A0">
              <w:rPr>
                <w:spacing w:val="-4"/>
              </w:rPr>
              <w:t xml:space="preserve"> </w:t>
            </w:r>
            <w:r w:rsidRPr="00EC20A0">
              <w:t>as testing from disbursements to property records?</w:t>
            </w:r>
          </w:p>
        </w:tc>
        <w:tc>
          <w:tcPr>
            <w:tcW w:w="811" w:type="dxa"/>
            <w:tcBorders>
              <w:top w:val="single" w:sz="8" w:space="0" w:color="000000"/>
              <w:left w:val="single" w:sz="8" w:space="0" w:color="000000"/>
              <w:bottom w:val="single" w:sz="8" w:space="0" w:color="000000"/>
              <w:right w:val="single" w:sz="8" w:space="0" w:color="000000"/>
            </w:tcBorders>
          </w:tcPr>
          <w:p w14:paraId="24D624C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C3" w14:textId="77777777" w:rsidR="00245300" w:rsidRPr="00EC20A0" w:rsidRDefault="00245300">
            <w:pPr>
              <w:pStyle w:val="TableParagraph"/>
            </w:pPr>
          </w:p>
        </w:tc>
      </w:tr>
      <w:tr w:rsidR="00245300" w:rsidRPr="00EC20A0" w14:paraId="24D624C9" w14:textId="77777777">
        <w:trPr>
          <w:trHeight w:val="986"/>
        </w:trPr>
        <w:tc>
          <w:tcPr>
            <w:tcW w:w="7380" w:type="dxa"/>
            <w:tcBorders>
              <w:top w:val="single" w:sz="8" w:space="0" w:color="000000"/>
              <w:bottom w:val="single" w:sz="8" w:space="0" w:color="000000"/>
              <w:right w:val="single" w:sz="8" w:space="0" w:color="000000"/>
            </w:tcBorders>
          </w:tcPr>
          <w:p w14:paraId="24D624C5" w14:textId="77777777" w:rsidR="00245300" w:rsidRPr="00EC20A0" w:rsidRDefault="00F17249">
            <w:pPr>
              <w:pStyle w:val="TableParagraph"/>
              <w:spacing w:before="121"/>
              <w:ind w:left="483"/>
              <w:rPr>
                <w:b/>
              </w:rPr>
            </w:pPr>
            <w:r w:rsidRPr="00EC20A0">
              <w:t>17.</w:t>
            </w:r>
            <w:r w:rsidRPr="00EC20A0">
              <w:rPr>
                <w:spacing w:val="-11"/>
              </w:rPr>
              <w:t xml:space="preserve"> </w:t>
            </w:r>
            <w:r w:rsidRPr="00EC20A0">
              <w:rPr>
                <w:b/>
                <w:spacing w:val="-2"/>
              </w:rPr>
              <w:t>Liabilities</w:t>
            </w:r>
          </w:p>
          <w:p w14:paraId="24D624C6" w14:textId="77777777" w:rsidR="00245300" w:rsidRPr="00EC20A0" w:rsidRDefault="00F17249">
            <w:pPr>
              <w:pStyle w:val="TableParagraph"/>
              <w:spacing w:before="240"/>
              <w:ind w:left="843"/>
            </w:pPr>
            <w:r w:rsidRPr="00EC20A0">
              <w:t>Consider</w:t>
            </w:r>
            <w:r w:rsidRPr="00EC20A0">
              <w:rPr>
                <w:spacing w:val="-9"/>
              </w:rPr>
              <w:t xml:space="preserve"> </w:t>
            </w:r>
            <w:r w:rsidRPr="00EC20A0">
              <w:t>these</w:t>
            </w:r>
            <w:r w:rsidRPr="00EC20A0">
              <w:rPr>
                <w:spacing w:val="-8"/>
              </w:rPr>
              <w:t xml:space="preserve"> </w:t>
            </w:r>
            <w:r w:rsidRPr="00EC20A0">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C7"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C8" w14:textId="77777777" w:rsidR="00245300" w:rsidRPr="00EC20A0" w:rsidRDefault="00245300">
            <w:pPr>
              <w:pStyle w:val="TableParagraph"/>
            </w:pPr>
          </w:p>
        </w:tc>
      </w:tr>
    </w:tbl>
    <w:p w14:paraId="24D624CA" w14:textId="77777777" w:rsidR="00245300" w:rsidRPr="00EC20A0" w:rsidRDefault="00245300">
      <w:pPr>
        <w:sectPr w:rsidR="00245300" w:rsidRPr="00EC20A0">
          <w:pgSz w:w="12240" w:h="15840"/>
          <w:pgMar w:top="1340" w:right="460" w:bottom="940" w:left="560" w:header="721" w:footer="757" w:gutter="0"/>
          <w:cols w:space="720"/>
        </w:sectPr>
      </w:pPr>
    </w:p>
    <w:p w14:paraId="24D624CB"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4D2" w14:textId="77777777">
        <w:trPr>
          <w:trHeight w:val="936"/>
        </w:trPr>
        <w:tc>
          <w:tcPr>
            <w:tcW w:w="7380" w:type="dxa"/>
            <w:tcBorders>
              <w:right w:val="single" w:sz="8" w:space="0" w:color="000000"/>
            </w:tcBorders>
            <w:shd w:val="clear" w:color="auto" w:fill="A6A6A6"/>
          </w:tcPr>
          <w:p w14:paraId="24D624CC" w14:textId="77777777" w:rsidR="00245300" w:rsidRPr="00EC20A0" w:rsidRDefault="00245300">
            <w:pPr>
              <w:pStyle w:val="TableParagraph"/>
              <w:spacing w:before="266"/>
              <w:rPr>
                <w:b/>
                <w:sz w:val="24"/>
              </w:rPr>
            </w:pPr>
          </w:p>
          <w:p w14:paraId="24D624CD"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4CE"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4CF" w14:textId="77777777" w:rsidR="00245300" w:rsidRPr="00EC20A0" w:rsidRDefault="00245300">
            <w:pPr>
              <w:pStyle w:val="TableParagraph"/>
              <w:rPr>
                <w:b/>
              </w:rPr>
            </w:pPr>
          </w:p>
          <w:p w14:paraId="24D624D0" w14:textId="77777777" w:rsidR="00245300" w:rsidRPr="00EC20A0" w:rsidRDefault="00245300">
            <w:pPr>
              <w:pStyle w:val="TableParagraph"/>
              <w:spacing w:before="120"/>
              <w:rPr>
                <w:b/>
              </w:rPr>
            </w:pPr>
          </w:p>
          <w:p w14:paraId="24D624D1"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4D6" w14:textId="77777777">
        <w:trPr>
          <w:trHeight w:val="746"/>
        </w:trPr>
        <w:tc>
          <w:tcPr>
            <w:tcW w:w="7380" w:type="dxa"/>
            <w:tcBorders>
              <w:bottom w:val="single" w:sz="8" w:space="0" w:color="000000"/>
              <w:right w:val="single" w:sz="8" w:space="0" w:color="000000"/>
            </w:tcBorders>
          </w:tcPr>
          <w:p w14:paraId="24D624D3" w14:textId="77777777" w:rsidR="00245300" w:rsidRPr="00EC20A0" w:rsidRDefault="00F17249">
            <w:pPr>
              <w:pStyle w:val="TableParagraph"/>
              <w:spacing w:before="121"/>
              <w:ind w:left="1159" w:hanging="360"/>
            </w:pPr>
            <w:r w:rsidRPr="00EC20A0">
              <w:t>a.</w:t>
            </w:r>
            <w:r w:rsidRPr="00EC20A0">
              <w:rPr>
                <w:spacing w:val="78"/>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perform</w:t>
            </w:r>
            <w:r w:rsidRPr="00EC20A0">
              <w:rPr>
                <w:spacing w:val="-5"/>
              </w:rPr>
              <w:t xml:space="preserve"> </w:t>
            </w:r>
            <w:r w:rsidRPr="00EC20A0">
              <w:t>an</w:t>
            </w:r>
            <w:r w:rsidRPr="00EC20A0">
              <w:rPr>
                <w:spacing w:val="-4"/>
              </w:rPr>
              <w:t xml:space="preserve"> </w:t>
            </w:r>
            <w:r w:rsidRPr="00EC20A0">
              <w:t>adequate</w:t>
            </w:r>
            <w:r w:rsidRPr="00EC20A0">
              <w:rPr>
                <w:spacing w:val="-5"/>
              </w:rPr>
              <w:t xml:space="preserve"> </w:t>
            </w:r>
            <w:r w:rsidRPr="00EC20A0">
              <w:t>search</w:t>
            </w:r>
            <w:r w:rsidRPr="00EC20A0">
              <w:rPr>
                <w:spacing w:val="-4"/>
              </w:rPr>
              <w:t xml:space="preserve"> </w:t>
            </w:r>
            <w:r w:rsidRPr="00EC20A0">
              <w:t>for</w:t>
            </w:r>
            <w:r w:rsidRPr="00EC20A0">
              <w:rPr>
                <w:spacing w:val="-4"/>
              </w:rPr>
              <w:t xml:space="preserve"> </w:t>
            </w:r>
            <w:r w:rsidRPr="00EC20A0">
              <w:t>unrecorded liabilities as close as possible to the opinion date?</w:t>
            </w:r>
          </w:p>
        </w:tc>
        <w:tc>
          <w:tcPr>
            <w:tcW w:w="811" w:type="dxa"/>
            <w:tcBorders>
              <w:left w:val="single" w:sz="8" w:space="0" w:color="000000"/>
              <w:bottom w:val="single" w:sz="8" w:space="0" w:color="000000"/>
              <w:right w:val="single" w:sz="8" w:space="0" w:color="000000"/>
            </w:tcBorders>
          </w:tcPr>
          <w:p w14:paraId="24D624D4"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4D5" w14:textId="77777777" w:rsidR="00245300" w:rsidRPr="00EC20A0" w:rsidRDefault="00245300">
            <w:pPr>
              <w:pStyle w:val="TableParagraph"/>
            </w:pPr>
          </w:p>
        </w:tc>
      </w:tr>
      <w:tr w:rsidR="00245300" w:rsidRPr="00EC20A0" w14:paraId="24D624DA" w14:textId="77777777">
        <w:trPr>
          <w:trHeight w:val="1505"/>
        </w:trPr>
        <w:tc>
          <w:tcPr>
            <w:tcW w:w="7380" w:type="dxa"/>
            <w:tcBorders>
              <w:top w:val="single" w:sz="8" w:space="0" w:color="000000"/>
              <w:bottom w:val="single" w:sz="8" w:space="0" w:color="000000"/>
              <w:right w:val="single" w:sz="8" w:space="0" w:color="000000"/>
            </w:tcBorders>
          </w:tcPr>
          <w:p w14:paraId="24D624D7" w14:textId="77777777" w:rsidR="00245300" w:rsidRPr="00EC20A0" w:rsidRDefault="00F17249">
            <w:pPr>
              <w:pStyle w:val="TableParagraph"/>
              <w:spacing w:before="121"/>
              <w:ind w:left="1158" w:hanging="360"/>
            </w:pPr>
            <w:r w:rsidRPr="00EC20A0">
              <w:t>b.</w:t>
            </w:r>
            <w:r w:rsidRPr="00EC20A0">
              <w:rPr>
                <w:spacing w:val="80"/>
              </w:rPr>
              <w:t xml:space="preserve"> </w:t>
            </w:r>
            <w:r w:rsidRPr="00EC20A0">
              <w:t>Did the auditor consider expenses that might require accrual (e.g.,</w:t>
            </w:r>
            <w:r w:rsidRPr="00EC20A0">
              <w:rPr>
                <w:spacing w:val="-8"/>
              </w:rPr>
              <w:t xml:space="preserve"> </w:t>
            </w:r>
            <w:r w:rsidRPr="00EC20A0">
              <w:t>pensions,</w:t>
            </w:r>
            <w:r w:rsidRPr="00EC20A0">
              <w:rPr>
                <w:spacing w:val="-8"/>
              </w:rPr>
              <w:t xml:space="preserve"> </w:t>
            </w:r>
            <w:r w:rsidRPr="00EC20A0">
              <w:t>compensated</w:t>
            </w:r>
            <w:r w:rsidRPr="00EC20A0">
              <w:rPr>
                <w:spacing w:val="-8"/>
              </w:rPr>
              <w:t xml:space="preserve"> </w:t>
            </w:r>
            <w:r w:rsidRPr="00EC20A0">
              <w:t>absences,</w:t>
            </w:r>
            <w:r w:rsidRPr="00EC20A0">
              <w:rPr>
                <w:spacing w:val="-8"/>
              </w:rPr>
              <w:t xml:space="preserve"> </w:t>
            </w:r>
            <w:r w:rsidRPr="00EC20A0">
              <w:t>other</w:t>
            </w:r>
            <w:r w:rsidRPr="00EC20A0">
              <w:rPr>
                <w:spacing w:val="-8"/>
              </w:rPr>
              <w:t xml:space="preserve"> </w:t>
            </w:r>
            <w:r w:rsidRPr="00EC20A0">
              <w:t xml:space="preserve">postretirement benefits, or postemployment benefits provided to former or </w:t>
            </w:r>
            <w:r w:rsidRPr="00EC20A0">
              <w:t>inactive employees prior to retirement) and whether accrued expenses were reasonably stated?</w:t>
            </w:r>
          </w:p>
        </w:tc>
        <w:tc>
          <w:tcPr>
            <w:tcW w:w="811" w:type="dxa"/>
            <w:tcBorders>
              <w:top w:val="single" w:sz="8" w:space="0" w:color="000000"/>
              <w:left w:val="single" w:sz="8" w:space="0" w:color="000000"/>
              <w:bottom w:val="single" w:sz="8" w:space="0" w:color="000000"/>
              <w:right w:val="single" w:sz="8" w:space="0" w:color="000000"/>
            </w:tcBorders>
          </w:tcPr>
          <w:p w14:paraId="24D624D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D9" w14:textId="77777777" w:rsidR="00245300" w:rsidRPr="00EC20A0" w:rsidRDefault="00245300">
            <w:pPr>
              <w:pStyle w:val="TableParagraph"/>
            </w:pPr>
          </w:p>
        </w:tc>
      </w:tr>
      <w:tr w:rsidR="00245300" w:rsidRPr="00EC20A0" w14:paraId="24D624DF" w14:textId="77777777">
        <w:trPr>
          <w:trHeight w:val="925"/>
        </w:trPr>
        <w:tc>
          <w:tcPr>
            <w:tcW w:w="7380" w:type="dxa"/>
            <w:tcBorders>
              <w:top w:val="single" w:sz="8" w:space="0" w:color="000000"/>
              <w:bottom w:val="single" w:sz="8" w:space="0" w:color="000000"/>
              <w:right w:val="single" w:sz="8" w:space="0" w:color="000000"/>
            </w:tcBorders>
          </w:tcPr>
          <w:p w14:paraId="24D624DB" w14:textId="77777777" w:rsidR="00245300" w:rsidRPr="00EC20A0" w:rsidRDefault="00F17249">
            <w:pPr>
              <w:pStyle w:val="TableParagraph"/>
              <w:spacing w:before="121"/>
              <w:ind w:left="483"/>
              <w:rPr>
                <w:b/>
              </w:rPr>
            </w:pPr>
            <w:r w:rsidRPr="00EC20A0">
              <w:t>18.</w:t>
            </w:r>
            <w:r w:rsidRPr="00EC20A0">
              <w:rPr>
                <w:spacing w:val="-13"/>
              </w:rPr>
              <w:t xml:space="preserve"> </w:t>
            </w:r>
            <w:r w:rsidRPr="00EC20A0">
              <w:rPr>
                <w:b/>
              </w:rPr>
              <w:t>Revenue</w:t>
            </w:r>
            <w:r w:rsidRPr="00EC20A0">
              <w:rPr>
                <w:b/>
                <w:spacing w:val="-6"/>
              </w:rPr>
              <w:t xml:space="preserve"> </w:t>
            </w:r>
            <w:r w:rsidRPr="00EC20A0">
              <w:rPr>
                <w:b/>
              </w:rPr>
              <w:t>and</w:t>
            </w:r>
            <w:r w:rsidRPr="00EC20A0">
              <w:rPr>
                <w:b/>
                <w:spacing w:val="-6"/>
              </w:rPr>
              <w:t xml:space="preserve"> </w:t>
            </w:r>
            <w:r w:rsidRPr="00EC20A0">
              <w:rPr>
                <w:b/>
                <w:spacing w:val="-2"/>
              </w:rPr>
              <w:t>Expenses</w:t>
            </w:r>
          </w:p>
          <w:p w14:paraId="24D624DC" w14:textId="77777777" w:rsidR="00245300" w:rsidRPr="00EC20A0" w:rsidRDefault="00F17249">
            <w:pPr>
              <w:pStyle w:val="TableParagraph"/>
              <w:spacing w:before="180"/>
              <w:ind w:left="843"/>
            </w:pPr>
            <w:r w:rsidRPr="00EC20A0">
              <w:t>Consider</w:t>
            </w:r>
            <w:r w:rsidRPr="00EC20A0">
              <w:rPr>
                <w:spacing w:val="-9"/>
              </w:rPr>
              <w:t xml:space="preserve"> </w:t>
            </w:r>
            <w:r w:rsidRPr="00EC20A0">
              <w:t>these</w:t>
            </w:r>
            <w:r w:rsidRPr="00EC20A0">
              <w:rPr>
                <w:spacing w:val="-8"/>
              </w:rPr>
              <w:t xml:space="preserve"> </w:t>
            </w:r>
            <w:r w:rsidRPr="00EC20A0">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D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DE" w14:textId="77777777" w:rsidR="00245300" w:rsidRPr="00EC20A0" w:rsidRDefault="00245300">
            <w:pPr>
              <w:pStyle w:val="TableParagraph"/>
            </w:pPr>
          </w:p>
        </w:tc>
      </w:tr>
      <w:tr w:rsidR="00245300" w:rsidRPr="00EC20A0" w14:paraId="24D624E3" w14:textId="77777777">
        <w:trPr>
          <w:trHeight w:val="940"/>
        </w:trPr>
        <w:tc>
          <w:tcPr>
            <w:tcW w:w="7380" w:type="dxa"/>
            <w:tcBorders>
              <w:top w:val="single" w:sz="8" w:space="0" w:color="000000"/>
              <w:bottom w:val="single" w:sz="8" w:space="0" w:color="000000"/>
              <w:right w:val="single" w:sz="8" w:space="0" w:color="000000"/>
            </w:tcBorders>
          </w:tcPr>
          <w:p w14:paraId="24D624E0" w14:textId="77777777" w:rsidR="00245300" w:rsidRPr="00EC20A0" w:rsidRDefault="00F17249">
            <w:pPr>
              <w:pStyle w:val="TableParagraph"/>
              <w:spacing w:before="61"/>
              <w:ind w:left="1249" w:right="222" w:hanging="360"/>
            </w:pPr>
            <w:r w:rsidRPr="00EC20A0">
              <w:t>a.</w:t>
            </w:r>
            <w:r w:rsidRPr="00EC20A0">
              <w:rPr>
                <w:spacing w:val="80"/>
              </w:rPr>
              <w:t xml:space="preserve"> </w:t>
            </w:r>
            <w:r w:rsidRPr="00EC20A0">
              <w:t>Did the auditor compare revenue and expenses for the period</w:t>
            </w:r>
            <w:r w:rsidRPr="00EC20A0">
              <w:rPr>
                <w:spacing w:val="-4"/>
              </w:rPr>
              <w:t xml:space="preserve"> </w:t>
            </w:r>
            <w:r w:rsidRPr="00EC20A0">
              <w:t>to</w:t>
            </w:r>
            <w:r w:rsidRPr="00EC20A0">
              <w:rPr>
                <w:spacing w:val="-4"/>
              </w:rPr>
              <w:t xml:space="preserve"> </w:t>
            </w:r>
            <w:r w:rsidRPr="00EC20A0">
              <w:t>expectations,</w:t>
            </w:r>
            <w:r w:rsidRPr="00EC20A0">
              <w:rPr>
                <w:spacing w:val="-5"/>
              </w:rPr>
              <w:t xml:space="preserve"> </w:t>
            </w:r>
            <w:r w:rsidRPr="00EC20A0">
              <w:t>based</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budget</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results of the preceding period?</w:t>
            </w:r>
          </w:p>
        </w:tc>
        <w:tc>
          <w:tcPr>
            <w:tcW w:w="811" w:type="dxa"/>
            <w:tcBorders>
              <w:top w:val="single" w:sz="8" w:space="0" w:color="000000"/>
              <w:left w:val="single" w:sz="8" w:space="0" w:color="000000"/>
              <w:bottom w:val="single" w:sz="8" w:space="0" w:color="000000"/>
              <w:right w:val="single" w:sz="8" w:space="0" w:color="000000"/>
            </w:tcBorders>
          </w:tcPr>
          <w:p w14:paraId="24D624E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E2" w14:textId="77777777" w:rsidR="00245300" w:rsidRPr="00EC20A0" w:rsidRDefault="00245300">
            <w:pPr>
              <w:pStyle w:val="TableParagraph"/>
            </w:pPr>
          </w:p>
        </w:tc>
      </w:tr>
      <w:tr w:rsidR="00245300" w:rsidRPr="00EC20A0" w14:paraId="24D624E7" w14:textId="77777777">
        <w:trPr>
          <w:trHeight w:val="1443"/>
        </w:trPr>
        <w:tc>
          <w:tcPr>
            <w:tcW w:w="7380" w:type="dxa"/>
            <w:tcBorders>
              <w:top w:val="single" w:sz="8" w:space="0" w:color="000000"/>
              <w:bottom w:val="single" w:sz="8" w:space="0" w:color="000000"/>
              <w:right w:val="single" w:sz="8" w:space="0" w:color="000000"/>
            </w:tcBorders>
          </w:tcPr>
          <w:p w14:paraId="24D624E4" w14:textId="77777777" w:rsidR="00245300" w:rsidRPr="00EC20A0" w:rsidRDefault="00F17249">
            <w:pPr>
              <w:pStyle w:val="TableParagraph"/>
              <w:spacing w:before="59"/>
              <w:ind w:left="1249" w:right="53" w:hanging="360"/>
            </w:pPr>
            <w:r w:rsidRPr="00EC20A0">
              <w:t>b.</w:t>
            </w:r>
            <w:r w:rsidRPr="00EC20A0">
              <w:rPr>
                <w:spacing w:val="80"/>
              </w:rPr>
              <w:t xml:space="preserve"> </w:t>
            </w:r>
            <w:r w:rsidRPr="00EC20A0">
              <w:t>For significant variances and fluctuations from expectations, were management’s explanations corroborated with other audit</w:t>
            </w:r>
            <w:r w:rsidRPr="00EC20A0">
              <w:rPr>
                <w:spacing w:val="-5"/>
              </w:rPr>
              <w:t xml:space="preserve"> </w:t>
            </w:r>
            <w:r w:rsidRPr="00EC20A0">
              <w:t>evidence,</w:t>
            </w:r>
            <w:r w:rsidRPr="00EC20A0">
              <w:rPr>
                <w:spacing w:val="-5"/>
              </w:rPr>
              <w:t xml:space="preserve"> </w:t>
            </w:r>
            <w:r w:rsidRPr="00EC20A0">
              <w:t>or</w:t>
            </w:r>
            <w:r w:rsidRPr="00EC20A0">
              <w:rPr>
                <w:spacing w:val="-5"/>
              </w:rPr>
              <w:t xml:space="preserve"> </w:t>
            </w:r>
            <w:r w:rsidRPr="00EC20A0">
              <w:t>if</w:t>
            </w:r>
            <w:r w:rsidRPr="00EC20A0">
              <w:rPr>
                <w:spacing w:val="-5"/>
              </w:rPr>
              <w:t xml:space="preserve"> </w:t>
            </w:r>
            <w:r w:rsidRPr="00EC20A0">
              <w:t>explanations</w:t>
            </w:r>
            <w:r w:rsidRPr="00EC20A0">
              <w:rPr>
                <w:spacing w:val="-4"/>
              </w:rPr>
              <w:t xml:space="preserve"> </w:t>
            </w:r>
            <w:r w:rsidRPr="00EC20A0">
              <w:t>could</w:t>
            </w:r>
            <w:r w:rsidRPr="00EC20A0">
              <w:rPr>
                <w:spacing w:val="-5"/>
              </w:rPr>
              <w:t xml:space="preserve"> </w:t>
            </w:r>
            <w:r w:rsidRPr="00EC20A0">
              <w:t>not</w:t>
            </w:r>
            <w:r w:rsidRPr="00EC20A0">
              <w:rPr>
                <w:spacing w:val="-5"/>
              </w:rPr>
              <w:t xml:space="preserve"> </w:t>
            </w:r>
            <w:r w:rsidRPr="00EC20A0">
              <w:t>be</w:t>
            </w:r>
            <w:r w:rsidRPr="00EC20A0">
              <w:rPr>
                <w:spacing w:val="-5"/>
              </w:rPr>
              <w:t xml:space="preserve"> </w:t>
            </w:r>
            <w:r w:rsidRPr="00EC20A0">
              <w:t>obtained,</w:t>
            </w:r>
            <w:r w:rsidRPr="00EC20A0">
              <w:rPr>
                <w:spacing w:val="-5"/>
              </w:rPr>
              <w:t xml:space="preserve"> </w:t>
            </w:r>
            <w:r w:rsidRPr="00EC20A0">
              <w:t xml:space="preserve">were other audit procedures </w:t>
            </w:r>
            <w:r w:rsidRPr="00EC20A0">
              <w:t>performed to determine whether the variance is a misstatement?</w:t>
            </w:r>
          </w:p>
        </w:tc>
        <w:tc>
          <w:tcPr>
            <w:tcW w:w="811" w:type="dxa"/>
            <w:tcBorders>
              <w:top w:val="single" w:sz="8" w:space="0" w:color="000000"/>
              <w:left w:val="single" w:sz="8" w:space="0" w:color="000000"/>
              <w:bottom w:val="single" w:sz="8" w:space="0" w:color="000000"/>
              <w:right w:val="single" w:sz="8" w:space="0" w:color="000000"/>
            </w:tcBorders>
          </w:tcPr>
          <w:p w14:paraId="24D624E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E6" w14:textId="77777777" w:rsidR="00245300" w:rsidRPr="00EC20A0" w:rsidRDefault="00245300">
            <w:pPr>
              <w:pStyle w:val="TableParagraph"/>
            </w:pPr>
          </w:p>
        </w:tc>
      </w:tr>
      <w:tr w:rsidR="00245300" w:rsidRPr="00EC20A0" w14:paraId="24D624EB" w14:textId="77777777">
        <w:trPr>
          <w:trHeight w:val="493"/>
        </w:trPr>
        <w:tc>
          <w:tcPr>
            <w:tcW w:w="7380" w:type="dxa"/>
            <w:tcBorders>
              <w:top w:val="single" w:sz="8" w:space="0" w:color="000000"/>
              <w:bottom w:val="single" w:sz="8" w:space="0" w:color="000000"/>
              <w:right w:val="single" w:sz="8" w:space="0" w:color="000000"/>
            </w:tcBorders>
          </w:tcPr>
          <w:p w14:paraId="24D624E8" w14:textId="77777777" w:rsidR="00245300" w:rsidRPr="00EC20A0" w:rsidRDefault="00F17249">
            <w:pPr>
              <w:pStyle w:val="TableParagraph"/>
              <w:spacing w:before="61"/>
              <w:ind w:left="889"/>
            </w:pPr>
            <w:r w:rsidRPr="00EC20A0">
              <w:t>c.</w:t>
            </w:r>
            <w:r w:rsidRPr="00EC20A0">
              <w:rPr>
                <w:spacing w:val="31"/>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3"/>
              </w:rPr>
              <w:t xml:space="preserve"> </w:t>
            </w:r>
            <w:r w:rsidRPr="00EC20A0">
              <w:rPr>
                <w:spacing w:val="-2"/>
              </w:rPr>
              <w:t>consider</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E9"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EA" w14:textId="77777777" w:rsidR="00245300" w:rsidRPr="00EC20A0" w:rsidRDefault="00245300">
            <w:pPr>
              <w:pStyle w:val="TableParagraph"/>
            </w:pPr>
          </w:p>
        </w:tc>
      </w:tr>
      <w:tr w:rsidR="00245300" w:rsidRPr="00EC20A0" w14:paraId="24D624EF" w14:textId="77777777">
        <w:trPr>
          <w:trHeight w:val="492"/>
        </w:trPr>
        <w:tc>
          <w:tcPr>
            <w:tcW w:w="7380" w:type="dxa"/>
            <w:tcBorders>
              <w:top w:val="single" w:sz="8" w:space="0" w:color="000000"/>
              <w:bottom w:val="single" w:sz="8" w:space="0" w:color="000000"/>
              <w:right w:val="single" w:sz="8" w:space="0" w:color="000000"/>
            </w:tcBorders>
          </w:tcPr>
          <w:p w14:paraId="24D624EC" w14:textId="77777777" w:rsidR="00245300" w:rsidRPr="00EC20A0" w:rsidRDefault="00F17249">
            <w:pPr>
              <w:pStyle w:val="TableParagraph"/>
              <w:spacing w:before="119"/>
              <w:ind w:left="1319"/>
            </w:pPr>
            <w:r w:rsidRPr="00EC20A0">
              <w:t>i.</w:t>
            </w:r>
            <w:r w:rsidRPr="00EC20A0">
              <w:rPr>
                <w:spacing w:val="73"/>
                <w:w w:val="150"/>
              </w:rPr>
              <w:t xml:space="preserve"> </w:t>
            </w:r>
            <w:r w:rsidRPr="00EC20A0">
              <w:t>the</w:t>
            </w:r>
            <w:r w:rsidRPr="00EC20A0">
              <w:rPr>
                <w:spacing w:val="-5"/>
              </w:rPr>
              <w:t xml:space="preserve"> </w:t>
            </w:r>
            <w:r w:rsidRPr="00EC20A0">
              <w:t>entity’s</w:t>
            </w:r>
            <w:r w:rsidRPr="00EC20A0">
              <w:rPr>
                <w:spacing w:val="-5"/>
              </w:rPr>
              <w:t xml:space="preserve"> </w:t>
            </w:r>
            <w:r w:rsidRPr="00EC20A0">
              <w:t>revenue</w:t>
            </w:r>
            <w:r w:rsidRPr="00EC20A0">
              <w:rPr>
                <w:spacing w:val="-5"/>
              </w:rPr>
              <w:t xml:space="preserve"> </w:t>
            </w:r>
            <w:r w:rsidRPr="00EC20A0">
              <w:t>recognition</w:t>
            </w:r>
            <w:r w:rsidRPr="00EC20A0">
              <w:rPr>
                <w:spacing w:val="-5"/>
              </w:rPr>
              <w:t xml:space="preserve"> </w:t>
            </w:r>
            <w:r w:rsidRPr="00EC20A0">
              <w:rPr>
                <w:spacing w:val="-2"/>
              </w:rPr>
              <w:t>policy,</w:t>
            </w:r>
          </w:p>
        </w:tc>
        <w:tc>
          <w:tcPr>
            <w:tcW w:w="811" w:type="dxa"/>
            <w:tcBorders>
              <w:top w:val="single" w:sz="8" w:space="0" w:color="000000"/>
              <w:left w:val="single" w:sz="8" w:space="0" w:color="000000"/>
              <w:bottom w:val="single" w:sz="8" w:space="0" w:color="000000"/>
              <w:right w:val="single" w:sz="8" w:space="0" w:color="000000"/>
            </w:tcBorders>
          </w:tcPr>
          <w:p w14:paraId="24D624E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EE" w14:textId="77777777" w:rsidR="00245300" w:rsidRPr="00EC20A0" w:rsidRDefault="00245300">
            <w:pPr>
              <w:pStyle w:val="TableParagraph"/>
            </w:pPr>
          </w:p>
        </w:tc>
      </w:tr>
      <w:tr w:rsidR="00245300" w:rsidRPr="00EC20A0" w14:paraId="24D624F3" w14:textId="77777777">
        <w:trPr>
          <w:trHeight w:val="493"/>
        </w:trPr>
        <w:tc>
          <w:tcPr>
            <w:tcW w:w="7380" w:type="dxa"/>
            <w:tcBorders>
              <w:top w:val="single" w:sz="8" w:space="0" w:color="000000"/>
              <w:bottom w:val="single" w:sz="8" w:space="0" w:color="000000"/>
              <w:right w:val="single" w:sz="8" w:space="0" w:color="000000"/>
            </w:tcBorders>
          </w:tcPr>
          <w:p w14:paraId="24D624F0" w14:textId="77777777" w:rsidR="00245300" w:rsidRPr="00EC20A0" w:rsidRDefault="00F17249">
            <w:pPr>
              <w:pStyle w:val="TableParagraph"/>
              <w:spacing w:before="121"/>
              <w:ind w:left="1269"/>
            </w:pPr>
            <w:r w:rsidRPr="00EC20A0">
              <w:t>ii.</w:t>
            </w:r>
            <w:r w:rsidRPr="00EC20A0">
              <w:rPr>
                <w:spacing w:val="73"/>
                <w:w w:val="150"/>
              </w:rPr>
              <w:t xml:space="preserve"> </w:t>
            </w:r>
            <w:r w:rsidRPr="00EC20A0">
              <w:t>unusual</w:t>
            </w:r>
            <w:r w:rsidRPr="00EC20A0">
              <w:rPr>
                <w:spacing w:val="-5"/>
              </w:rPr>
              <w:t xml:space="preserve"> </w:t>
            </w:r>
            <w:r w:rsidRPr="00EC20A0">
              <w:t>transactions,</w:t>
            </w:r>
            <w:r w:rsidRPr="00EC20A0">
              <w:rPr>
                <w:spacing w:val="-5"/>
              </w:rPr>
              <w:t xml:space="preserve"> and</w:t>
            </w:r>
          </w:p>
        </w:tc>
        <w:tc>
          <w:tcPr>
            <w:tcW w:w="811" w:type="dxa"/>
            <w:tcBorders>
              <w:top w:val="single" w:sz="8" w:space="0" w:color="000000"/>
              <w:left w:val="single" w:sz="8" w:space="0" w:color="000000"/>
              <w:bottom w:val="single" w:sz="8" w:space="0" w:color="000000"/>
              <w:right w:val="single" w:sz="8" w:space="0" w:color="000000"/>
            </w:tcBorders>
          </w:tcPr>
          <w:p w14:paraId="24D624F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F2" w14:textId="77777777" w:rsidR="00245300" w:rsidRPr="00EC20A0" w:rsidRDefault="00245300">
            <w:pPr>
              <w:pStyle w:val="TableParagraph"/>
            </w:pPr>
          </w:p>
        </w:tc>
      </w:tr>
      <w:tr w:rsidR="00245300" w:rsidRPr="00EC20A0" w14:paraId="24D624F7" w14:textId="77777777">
        <w:trPr>
          <w:trHeight w:val="492"/>
        </w:trPr>
        <w:tc>
          <w:tcPr>
            <w:tcW w:w="7380" w:type="dxa"/>
            <w:tcBorders>
              <w:top w:val="single" w:sz="8" w:space="0" w:color="000000"/>
              <w:bottom w:val="single" w:sz="8" w:space="0" w:color="000000"/>
              <w:right w:val="single" w:sz="8" w:space="0" w:color="000000"/>
            </w:tcBorders>
          </w:tcPr>
          <w:p w14:paraId="24D624F4" w14:textId="77777777" w:rsidR="00245300" w:rsidRPr="00EC20A0" w:rsidRDefault="00F17249">
            <w:pPr>
              <w:pStyle w:val="TableParagraph"/>
              <w:spacing w:before="119"/>
              <w:ind w:left="1220"/>
            </w:pPr>
            <w:r w:rsidRPr="00EC20A0">
              <w:t>iii.</w:t>
            </w:r>
            <w:r w:rsidRPr="00EC20A0">
              <w:rPr>
                <w:spacing w:val="25"/>
              </w:rPr>
              <w:t xml:space="preserve">  </w:t>
            </w:r>
            <w:r w:rsidRPr="00EC20A0">
              <w:t>fraud</w:t>
            </w:r>
            <w:r w:rsidRPr="00EC20A0">
              <w:rPr>
                <w:spacing w:val="-1"/>
              </w:rPr>
              <w:t xml:space="preserve"> </w:t>
            </w:r>
            <w:r w:rsidRPr="00EC20A0">
              <w:rPr>
                <w:spacing w:val="-2"/>
              </w:rPr>
              <w:t>risks?</w:t>
            </w:r>
          </w:p>
        </w:tc>
        <w:tc>
          <w:tcPr>
            <w:tcW w:w="811" w:type="dxa"/>
            <w:tcBorders>
              <w:top w:val="single" w:sz="8" w:space="0" w:color="000000"/>
              <w:left w:val="single" w:sz="8" w:space="0" w:color="000000"/>
              <w:bottom w:val="single" w:sz="8" w:space="0" w:color="000000"/>
              <w:right w:val="single" w:sz="8" w:space="0" w:color="000000"/>
            </w:tcBorders>
          </w:tcPr>
          <w:p w14:paraId="24D624F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4F6" w14:textId="77777777" w:rsidR="00245300" w:rsidRPr="00EC20A0" w:rsidRDefault="00245300">
            <w:pPr>
              <w:pStyle w:val="TableParagraph"/>
            </w:pPr>
          </w:p>
        </w:tc>
      </w:tr>
      <w:tr w:rsidR="00245300" w:rsidRPr="00EC20A0" w14:paraId="24D624FC" w14:textId="77777777">
        <w:trPr>
          <w:trHeight w:val="925"/>
        </w:trPr>
        <w:tc>
          <w:tcPr>
            <w:tcW w:w="7380" w:type="dxa"/>
            <w:tcBorders>
              <w:top w:val="single" w:sz="8" w:space="0" w:color="000000"/>
              <w:bottom w:val="single" w:sz="8" w:space="0" w:color="000000"/>
              <w:right w:val="single" w:sz="8" w:space="0" w:color="000000"/>
            </w:tcBorders>
          </w:tcPr>
          <w:p w14:paraId="24D624F8" w14:textId="77777777" w:rsidR="00245300" w:rsidRPr="00EC20A0" w:rsidRDefault="00F17249">
            <w:pPr>
              <w:pStyle w:val="TableParagraph"/>
              <w:spacing w:before="121"/>
              <w:ind w:left="483"/>
              <w:rPr>
                <w:b/>
              </w:rPr>
            </w:pPr>
            <w:r w:rsidRPr="00EC20A0">
              <w:t>19.</w:t>
            </w:r>
            <w:r w:rsidRPr="00EC20A0">
              <w:rPr>
                <w:spacing w:val="-15"/>
              </w:rPr>
              <w:t xml:space="preserve"> </w:t>
            </w:r>
            <w:r w:rsidRPr="00EC20A0">
              <w:rPr>
                <w:b/>
              </w:rPr>
              <w:t>Statement</w:t>
            </w:r>
            <w:r w:rsidRPr="00EC20A0">
              <w:rPr>
                <w:b/>
                <w:spacing w:val="-9"/>
              </w:rPr>
              <w:t xml:space="preserve"> </w:t>
            </w:r>
            <w:r w:rsidRPr="00EC20A0">
              <w:rPr>
                <w:b/>
              </w:rPr>
              <w:t>of</w:t>
            </w:r>
            <w:r w:rsidRPr="00EC20A0">
              <w:rPr>
                <w:b/>
                <w:spacing w:val="-9"/>
              </w:rPr>
              <w:t xml:space="preserve"> </w:t>
            </w:r>
            <w:r w:rsidRPr="00EC20A0">
              <w:rPr>
                <w:b/>
              </w:rPr>
              <w:t>Budgetary</w:t>
            </w:r>
            <w:r w:rsidRPr="00EC20A0">
              <w:rPr>
                <w:b/>
                <w:spacing w:val="-9"/>
              </w:rPr>
              <w:t xml:space="preserve"> </w:t>
            </w:r>
            <w:r w:rsidRPr="00EC20A0">
              <w:rPr>
                <w:b/>
              </w:rPr>
              <w:t>Resources</w:t>
            </w:r>
            <w:r w:rsidRPr="00EC20A0">
              <w:rPr>
                <w:b/>
                <w:spacing w:val="-9"/>
              </w:rPr>
              <w:t xml:space="preserve"> </w:t>
            </w:r>
            <w:r w:rsidRPr="00EC20A0">
              <w:rPr>
                <w:b/>
                <w:spacing w:val="-4"/>
              </w:rPr>
              <w:t>(SBR)</w:t>
            </w:r>
          </w:p>
          <w:p w14:paraId="24D624F9" w14:textId="77777777" w:rsidR="00245300" w:rsidRPr="00EC20A0" w:rsidRDefault="00F17249">
            <w:pPr>
              <w:pStyle w:val="TableParagraph"/>
              <w:spacing w:before="180"/>
              <w:ind w:left="843"/>
            </w:pPr>
            <w:r w:rsidRPr="00EC20A0">
              <w:t>Consider</w:t>
            </w:r>
            <w:r w:rsidRPr="00EC20A0">
              <w:rPr>
                <w:spacing w:val="-9"/>
              </w:rPr>
              <w:t xml:space="preserve"> </w:t>
            </w:r>
            <w:r w:rsidRPr="00EC20A0">
              <w:t>these</w:t>
            </w:r>
            <w:r w:rsidRPr="00EC20A0">
              <w:rPr>
                <w:spacing w:val="-8"/>
              </w:rPr>
              <w:t xml:space="preserve"> </w:t>
            </w:r>
            <w:r w:rsidRPr="00EC20A0">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FA"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FB" w14:textId="77777777" w:rsidR="00245300" w:rsidRPr="00EC20A0" w:rsidRDefault="00245300">
            <w:pPr>
              <w:pStyle w:val="TableParagraph"/>
            </w:pPr>
          </w:p>
        </w:tc>
      </w:tr>
      <w:tr w:rsidR="00245300" w:rsidRPr="00EC20A0" w14:paraId="24D62500" w14:textId="77777777">
        <w:trPr>
          <w:trHeight w:val="493"/>
        </w:trPr>
        <w:tc>
          <w:tcPr>
            <w:tcW w:w="7380" w:type="dxa"/>
            <w:tcBorders>
              <w:top w:val="single" w:sz="8" w:space="0" w:color="000000"/>
              <w:bottom w:val="single" w:sz="8" w:space="0" w:color="000000"/>
              <w:right w:val="single" w:sz="8" w:space="0" w:color="000000"/>
            </w:tcBorders>
          </w:tcPr>
          <w:p w14:paraId="24D624FD" w14:textId="77777777" w:rsidR="00245300" w:rsidRPr="00EC20A0" w:rsidRDefault="00F17249">
            <w:pPr>
              <w:pStyle w:val="TableParagraph"/>
              <w:tabs>
                <w:tab w:val="left" w:pos="1339"/>
              </w:tabs>
              <w:spacing w:before="61"/>
              <w:ind w:left="889"/>
            </w:pPr>
            <w:r w:rsidRPr="00EC20A0">
              <w:rPr>
                <w:spacing w:val="-5"/>
              </w:rPr>
              <w:t>a.</w:t>
            </w:r>
            <w:r w:rsidRPr="00EC20A0">
              <w:tab/>
              <w:t>Were</w:t>
            </w:r>
            <w:r w:rsidRPr="00EC20A0">
              <w:rPr>
                <w:spacing w:val="-9"/>
              </w:rPr>
              <w:t xml:space="preserve"> </w:t>
            </w:r>
            <w:r w:rsidRPr="00EC20A0">
              <w:t>appropriate</w:t>
            </w:r>
            <w:r w:rsidRPr="00EC20A0">
              <w:rPr>
                <w:spacing w:val="-8"/>
              </w:rPr>
              <w:t xml:space="preserve"> </w:t>
            </w:r>
            <w:r w:rsidRPr="00EC20A0">
              <w:t>procedures</w:t>
            </w:r>
            <w:r w:rsidRPr="00EC20A0">
              <w:rPr>
                <w:spacing w:val="-9"/>
              </w:rPr>
              <w:t xml:space="preserve"> </w:t>
            </w:r>
            <w:r w:rsidRPr="00EC20A0">
              <w:t>applied,</w:t>
            </w:r>
            <w:r w:rsidRPr="00EC20A0">
              <w:rPr>
                <w:spacing w:val="-8"/>
              </w:rPr>
              <w:t xml:space="preserve"> </w:t>
            </w:r>
            <w:r w:rsidRPr="00EC20A0">
              <w:t>such</w:t>
            </w:r>
            <w:r w:rsidRPr="00EC20A0">
              <w:rPr>
                <w:spacing w:val="-8"/>
              </w:rPr>
              <w:t xml:space="preserve"> </w:t>
            </w:r>
            <w:r w:rsidRPr="00EC20A0">
              <w:rPr>
                <w:spacing w:val="-5"/>
              </w:rPr>
              <w:t>as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4F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4FF" w14:textId="77777777" w:rsidR="00245300" w:rsidRPr="00EC20A0" w:rsidRDefault="00245300">
            <w:pPr>
              <w:pStyle w:val="TableParagraph"/>
            </w:pPr>
          </w:p>
        </w:tc>
      </w:tr>
      <w:tr w:rsidR="00245300" w:rsidRPr="00EC20A0" w14:paraId="24D62504" w14:textId="77777777">
        <w:trPr>
          <w:trHeight w:val="685"/>
        </w:trPr>
        <w:tc>
          <w:tcPr>
            <w:tcW w:w="7380" w:type="dxa"/>
            <w:tcBorders>
              <w:top w:val="single" w:sz="8" w:space="0" w:color="000000"/>
              <w:bottom w:val="single" w:sz="8" w:space="0" w:color="000000"/>
              <w:right w:val="single" w:sz="8" w:space="0" w:color="000000"/>
            </w:tcBorders>
          </w:tcPr>
          <w:p w14:paraId="24D62501" w14:textId="77777777" w:rsidR="00245300" w:rsidRPr="00EC20A0" w:rsidRDefault="00F17249">
            <w:pPr>
              <w:pStyle w:val="TableParagraph"/>
              <w:spacing w:before="59"/>
              <w:ind w:left="1699" w:right="480" w:hanging="291"/>
            </w:pPr>
            <w:r w:rsidRPr="00EC20A0">
              <w:t>i.</w:t>
            </w:r>
            <w:r w:rsidRPr="00EC20A0">
              <w:rPr>
                <w:spacing w:val="80"/>
              </w:rPr>
              <w:t xml:space="preserve"> </w:t>
            </w:r>
            <w:r w:rsidRPr="00EC20A0">
              <w:t>understanding</w:t>
            </w:r>
            <w:r w:rsidRPr="00EC20A0">
              <w:rPr>
                <w:spacing w:val="-5"/>
              </w:rPr>
              <w:t xml:space="preserve"> </w:t>
            </w:r>
            <w:r w:rsidRPr="00EC20A0">
              <w:t>and</w:t>
            </w:r>
            <w:r w:rsidRPr="00EC20A0">
              <w:rPr>
                <w:spacing w:val="-5"/>
              </w:rPr>
              <w:t xml:space="preserve"> </w:t>
            </w:r>
            <w:r w:rsidRPr="00EC20A0">
              <w:t>testing</w:t>
            </w:r>
            <w:r w:rsidRPr="00EC20A0">
              <w:rPr>
                <w:spacing w:val="-5"/>
              </w:rPr>
              <w:t xml:space="preserve"> </w:t>
            </w:r>
            <w:r w:rsidRPr="00EC20A0">
              <w:t>the</w:t>
            </w:r>
            <w:r w:rsidRPr="00EC20A0">
              <w:rPr>
                <w:spacing w:val="-5"/>
              </w:rPr>
              <w:t xml:space="preserve"> </w:t>
            </w:r>
            <w:r w:rsidRPr="00EC20A0">
              <w:t>budget</w:t>
            </w:r>
            <w:r w:rsidRPr="00EC20A0">
              <w:rPr>
                <w:spacing w:val="-5"/>
              </w:rPr>
              <w:t xml:space="preserve"> </w:t>
            </w:r>
            <w:r w:rsidRPr="00EC20A0">
              <w:t xml:space="preserve">execution </w:t>
            </w:r>
            <w:r w:rsidRPr="00EC20A0">
              <w:rPr>
                <w:spacing w:val="-2"/>
              </w:rPr>
              <w:t>controls;</w:t>
            </w:r>
          </w:p>
        </w:tc>
        <w:tc>
          <w:tcPr>
            <w:tcW w:w="811" w:type="dxa"/>
            <w:tcBorders>
              <w:top w:val="single" w:sz="8" w:space="0" w:color="000000"/>
              <w:left w:val="single" w:sz="8" w:space="0" w:color="000000"/>
              <w:bottom w:val="single" w:sz="8" w:space="0" w:color="000000"/>
              <w:right w:val="single" w:sz="8" w:space="0" w:color="000000"/>
            </w:tcBorders>
          </w:tcPr>
          <w:p w14:paraId="24D6250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03" w14:textId="77777777" w:rsidR="00245300" w:rsidRPr="00EC20A0" w:rsidRDefault="00245300">
            <w:pPr>
              <w:pStyle w:val="TableParagraph"/>
            </w:pPr>
          </w:p>
        </w:tc>
      </w:tr>
      <w:tr w:rsidR="00245300" w:rsidRPr="00EC20A0" w14:paraId="24D62508" w14:textId="77777777">
        <w:trPr>
          <w:trHeight w:val="939"/>
        </w:trPr>
        <w:tc>
          <w:tcPr>
            <w:tcW w:w="7380" w:type="dxa"/>
            <w:tcBorders>
              <w:top w:val="single" w:sz="8" w:space="0" w:color="000000"/>
              <w:bottom w:val="single" w:sz="8" w:space="0" w:color="000000"/>
              <w:right w:val="single" w:sz="8" w:space="0" w:color="000000"/>
            </w:tcBorders>
          </w:tcPr>
          <w:p w14:paraId="24D62505" w14:textId="77777777" w:rsidR="00245300" w:rsidRPr="00EC20A0" w:rsidRDefault="00F17249">
            <w:pPr>
              <w:pStyle w:val="TableParagraph"/>
              <w:spacing w:before="61"/>
              <w:ind w:left="1699" w:right="222" w:hanging="340"/>
            </w:pPr>
            <w:r w:rsidRPr="00EC20A0">
              <w:t>ii.</w:t>
            </w:r>
            <w:r w:rsidRPr="00EC20A0">
              <w:rPr>
                <w:spacing w:val="80"/>
              </w:rPr>
              <w:t xml:space="preserve"> </w:t>
            </w:r>
            <w:r w:rsidRPr="00EC20A0">
              <w:t>tests</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process</w:t>
            </w:r>
            <w:r w:rsidRPr="00EC20A0">
              <w:rPr>
                <w:spacing w:val="-3"/>
              </w:rPr>
              <w:t xml:space="preserve"> </w:t>
            </w:r>
            <w:r w:rsidRPr="00EC20A0">
              <w:t>of</w:t>
            </w:r>
            <w:r w:rsidRPr="00EC20A0">
              <w:rPr>
                <w:spacing w:val="-3"/>
              </w:rPr>
              <w:t xml:space="preserve"> </w:t>
            </w:r>
            <w:r w:rsidRPr="00EC20A0">
              <w:t>preparing</w:t>
            </w:r>
            <w:r w:rsidRPr="00EC20A0">
              <w:rPr>
                <w:spacing w:val="-3"/>
              </w:rPr>
              <w:t xml:space="preserve"> </w:t>
            </w:r>
            <w:r w:rsidRPr="00EC20A0">
              <w:t>the</w:t>
            </w:r>
            <w:r w:rsidRPr="00EC20A0">
              <w:rPr>
                <w:spacing w:val="-4"/>
              </w:rPr>
              <w:t xml:space="preserve"> </w:t>
            </w:r>
            <w:r w:rsidRPr="00EC20A0">
              <w:t>SBR</w:t>
            </w:r>
            <w:r w:rsidRPr="00EC20A0">
              <w:rPr>
                <w:spacing w:val="-4"/>
              </w:rPr>
              <w:t xml:space="preserve"> </w:t>
            </w:r>
            <w:r w:rsidRPr="00EC20A0">
              <w:t>and</w:t>
            </w:r>
            <w:r w:rsidRPr="00EC20A0">
              <w:rPr>
                <w:spacing w:val="-3"/>
              </w:rPr>
              <w:t xml:space="preserve"> </w:t>
            </w:r>
            <w:r w:rsidRPr="00EC20A0">
              <w:t xml:space="preserve">controls for ensuring validity of undelivered order (UDO) </w:t>
            </w:r>
            <w:r w:rsidRPr="00EC20A0">
              <w:rPr>
                <w:spacing w:val="-2"/>
              </w:rPr>
              <w:t>balances;</w:t>
            </w:r>
          </w:p>
        </w:tc>
        <w:tc>
          <w:tcPr>
            <w:tcW w:w="811" w:type="dxa"/>
            <w:tcBorders>
              <w:top w:val="single" w:sz="8" w:space="0" w:color="000000"/>
              <w:left w:val="single" w:sz="8" w:space="0" w:color="000000"/>
              <w:bottom w:val="single" w:sz="8" w:space="0" w:color="000000"/>
              <w:right w:val="single" w:sz="8" w:space="0" w:color="000000"/>
            </w:tcBorders>
          </w:tcPr>
          <w:p w14:paraId="24D6250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07" w14:textId="77777777" w:rsidR="00245300" w:rsidRPr="00EC20A0" w:rsidRDefault="00245300">
            <w:pPr>
              <w:pStyle w:val="TableParagraph"/>
            </w:pPr>
          </w:p>
        </w:tc>
      </w:tr>
    </w:tbl>
    <w:p w14:paraId="24D62509" w14:textId="77777777" w:rsidR="00245300" w:rsidRPr="00EC20A0" w:rsidRDefault="00245300">
      <w:pPr>
        <w:sectPr w:rsidR="00245300" w:rsidRPr="00EC20A0">
          <w:pgSz w:w="12240" w:h="15840"/>
          <w:pgMar w:top="1340" w:right="460" w:bottom="940" w:left="560" w:header="721" w:footer="757" w:gutter="0"/>
          <w:cols w:space="720"/>
        </w:sectPr>
      </w:pPr>
    </w:p>
    <w:p w14:paraId="24D6250A"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511" w14:textId="77777777">
        <w:trPr>
          <w:trHeight w:val="936"/>
        </w:trPr>
        <w:tc>
          <w:tcPr>
            <w:tcW w:w="7380" w:type="dxa"/>
            <w:tcBorders>
              <w:right w:val="single" w:sz="8" w:space="0" w:color="000000"/>
            </w:tcBorders>
            <w:shd w:val="clear" w:color="auto" w:fill="A6A6A6"/>
          </w:tcPr>
          <w:p w14:paraId="24D6250B" w14:textId="77777777" w:rsidR="00245300" w:rsidRPr="00EC20A0" w:rsidRDefault="00245300">
            <w:pPr>
              <w:pStyle w:val="TableParagraph"/>
              <w:spacing w:before="266"/>
              <w:rPr>
                <w:b/>
                <w:sz w:val="24"/>
              </w:rPr>
            </w:pPr>
          </w:p>
          <w:p w14:paraId="24D6250C"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50D"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50E" w14:textId="77777777" w:rsidR="00245300" w:rsidRPr="00EC20A0" w:rsidRDefault="00245300">
            <w:pPr>
              <w:pStyle w:val="TableParagraph"/>
              <w:rPr>
                <w:b/>
              </w:rPr>
            </w:pPr>
          </w:p>
          <w:p w14:paraId="24D6250F" w14:textId="77777777" w:rsidR="00245300" w:rsidRPr="00EC20A0" w:rsidRDefault="00245300">
            <w:pPr>
              <w:pStyle w:val="TableParagraph"/>
              <w:spacing w:before="120"/>
              <w:rPr>
                <w:b/>
              </w:rPr>
            </w:pPr>
          </w:p>
          <w:p w14:paraId="24D62510"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515" w14:textId="77777777">
        <w:trPr>
          <w:trHeight w:val="1699"/>
        </w:trPr>
        <w:tc>
          <w:tcPr>
            <w:tcW w:w="7380" w:type="dxa"/>
            <w:tcBorders>
              <w:bottom w:val="single" w:sz="8" w:space="0" w:color="000000"/>
              <w:right w:val="single" w:sz="8" w:space="0" w:color="000000"/>
            </w:tcBorders>
          </w:tcPr>
          <w:p w14:paraId="24D62512" w14:textId="77777777" w:rsidR="00245300" w:rsidRPr="00EC20A0" w:rsidRDefault="00F17249">
            <w:pPr>
              <w:pStyle w:val="TableParagraph"/>
              <w:spacing w:before="61"/>
              <w:ind w:left="1698" w:right="172" w:hanging="389"/>
            </w:pPr>
            <w:r w:rsidRPr="00EC20A0">
              <w:t>iii.</w:t>
            </w:r>
            <w:r w:rsidRPr="00EC20A0">
              <w:rPr>
                <w:spacing w:val="80"/>
              </w:rPr>
              <w:t xml:space="preserve"> </w:t>
            </w:r>
            <w:r w:rsidRPr="00EC20A0">
              <w:t>tests</w:t>
            </w:r>
            <w:r w:rsidRPr="00EC20A0">
              <w:rPr>
                <w:spacing w:val="-4"/>
              </w:rPr>
              <w:t xml:space="preserve"> </w:t>
            </w:r>
            <w:r w:rsidRPr="00EC20A0">
              <w:t>of</w:t>
            </w:r>
            <w:r w:rsidRPr="00EC20A0">
              <w:rPr>
                <w:spacing w:val="-4"/>
              </w:rPr>
              <w:t xml:space="preserve"> </w:t>
            </w:r>
            <w:r w:rsidRPr="00EC20A0">
              <w:t>budgetary</w:t>
            </w:r>
            <w:r w:rsidRPr="00EC20A0">
              <w:rPr>
                <w:spacing w:val="-4"/>
              </w:rPr>
              <w:t xml:space="preserve"> </w:t>
            </w:r>
            <w:r w:rsidRPr="00EC20A0">
              <w:t>resources</w:t>
            </w:r>
            <w:r w:rsidRPr="00EC20A0">
              <w:rPr>
                <w:spacing w:val="-4"/>
              </w:rPr>
              <w:t xml:space="preserve"> </w:t>
            </w:r>
            <w:r w:rsidRPr="00EC20A0">
              <w:t>reported</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SBR,</w:t>
            </w:r>
            <w:r w:rsidRPr="00EC20A0">
              <w:rPr>
                <w:spacing w:val="-4"/>
              </w:rPr>
              <w:t xml:space="preserve"> </w:t>
            </w:r>
            <w:r w:rsidRPr="00EC20A0">
              <w:t xml:space="preserve">such as appropriations and recoveries from </w:t>
            </w:r>
            <w:r w:rsidRPr="00EC20A0">
              <w:t>downward adjustments to prior-year UDOs, and including the consistency</w:t>
            </w:r>
            <w:r w:rsidRPr="00EC20A0">
              <w:rPr>
                <w:spacing w:val="-5"/>
              </w:rPr>
              <w:t xml:space="preserve"> </w:t>
            </w:r>
            <w:r w:rsidRPr="00EC20A0">
              <w:t>of</w:t>
            </w:r>
            <w:r w:rsidRPr="00EC20A0">
              <w:rPr>
                <w:spacing w:val="-4"/>
              </w:rPr>
              <w:t xml:space="preserve"> </w:t>
            </w:r>
            <w:r w:rsidRPr="00EC20A0">
              <w:t>recorded</w:t>
            </w:r>
            <w:r w:rsidRPr="00EC20A0">
              <w:rPr>
                <w:spacing w:val="-5"/>
              </w:rPr>
              <w:t xml:space="preserve"> </w:t>
            </w:r>
            <w:r w:rsidRPr="00EC20A0">
              <w:t>offsetting</w:t>
            </w:r>
            <w:r w:rsidRPr="00EC20A0">
              <w:rPr>
                <w:spacing w:val="-4"/>
              </w:rPr>
              <w:t xml:space="preserve"> </w:t>
            </w:r>
            <w:r w:rsidRPr="00EC20A0">
              <w:t>collections</w:t>
            </w:r>
            <w:r w:rsidRPr="00EC20A0">
              <w:rPr>
                <w:spacing w:val="-4"/>
              </w:rPr>
              <w:t xml:space="preserve"> </w:t>
            </w:r>
            <w:r w:rsidRPr="00EC20A0">
              <w:t>to</w:t>
            </w:r>
            <w:r w:rsidRPr="00EC20A0">
              <w:rPr>
                <w:spacing w:val="-4"/>
              </w:rPr>
              <w:t xml:space="preserve"> </w:t>
            </w:r>
            <w:r w:rsidRPr="00EC20A0">
              <w:t>related assets, liabilities, revenues, and expended and unexpended appropriation accounts;</w:t>
            </w:r>
          </w:p>
        </w:tc>
        <w:tc>
          <w:tcPr>
            <w:tcW w:w="811" w:type="dxa"/>
            <w:tcBorders>
              <w:left w:val="single" w:sz="8" w:space="0" w:color="000000"/>
              <w:bottom w:val="single" w:sz="8" w:space="0" w:color="000000"/>
              <w:right w:val="single" w:sz="8" w:space="0" w:color="000000"/>
            </w:tcBorders>
          </w:tcPr>
          <w:p w14:paraId="24D62513"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514" w14:textId="77777777" w:rsidR="00245300" w:rsidRPr="00EC20A0" w:rsidRDefault="00245300">
            <w:pPr>
              <w:pStyle w:val="TableParagraph"/>
            </w:pPr>
          </w:p>
        </w:tc>
      </w:tr>
      <w:tr w:rsidR="00245300" w:rsidRPr="00EC20A0" w14:paraId="24D62519" w14:textId="77777777">
        <w:trPr>
          <w:trHeight w:val="685"/>
        </w:trPr>
        <w:tc>
          <w:tcPr>
            <w:tcW w:w="7380" w:type="dxa"/>
            <w:tcBorders>
              <w:top w:val="single" w:sz="8" w:space="0" w:color="000000"/>
              <w:bottom w:val="single" w:sz="8" w:space="0" w:color="000000"/>
              <w:right w:val="single" w:sz="8" w:space="0" w:color="000000"/>
            </w:tcBorders>
          </w:tcPr>
          <w:p w14:paraId="24D62516" w14:textId="77777777" w:rsidR="00245300" w:rsidRPr="00EC20A0" w:rsidRDefault="00F17249">
            <w:pPr>
              <w:pStyle w:val="TableParagraph"/>
              <w:spacing w:before="59"/>
              <w:ind w:left="1699" w:hanging="401"/>
            </w:pPr>
            <w:r w:rsidRPr="00EC20A0">
              <w:t>iv.</w:t>
            </w:r>
            <w:r w:rsidRPr="00EC20A0">
              <w:rPr>
                <w:spacing w:val="80"/>
              </w:rPr>
              <w:t xml:space="preserve"> </w:t>
            </w:r>
            <w:r w:rsidRPr="00EC20A0">
              <w:t>tests</w:t>
            </w:r>
            <w:r w:rsidRPr="00EC20A0">
              <w:rPr>
                <w:spacing w:val="-4"/>
              </w:rPr>
              <w:t xml:space="preserve"> </w:t>
            </w:r>
            <w:r w:rsidRPr="00EC20A0">
              <w:t>of</w:t>
            </w:r>
            <w:r w:rsidRPr="00EC20A0">
              <w:rPr>
                <w:spacing w:val="-4"/>
              </w:rPr>
              <w:t xml:space="preserve"> </w:t>
            </w:r>
            <w:r w:rsidRPr="00EC20A0">
              <w:t>obligations</w:t>
            </w:r>
            <w:r w:rsidRPr="00EC20A0">
              <w:rPr>
                <w:spacing w:val="-4"/>
              </w:rPr>
              <w:t xml:space="preserve"> </w:t>
            </w:r>
            <w:r w:rsidRPr="00EC20A0">
              <w:t>incurred,</w:t>
            </w:r>
            <w:r w:rsidRPr="00EC20A0">
              <w:rPr>
                <w:spacing w:val="-4"/>
              </w:rPr>
              <w:t xml:space="preserve"> </w:t>
            </w:r>
            <w:r w:rsidRPr="00EC20A0">
              <w:t>and</w:t>
            </w:r>
            <w:r w:rsidRPr="00EC20A0">
              <w:rPr>
                <w:spacing w:val="-4"/>
              </w:rPr>
              <w:t xml:space="preserve"> </w:t>
            </w:r>
            <w:r w:rsidRPr="00EC20A0">
              <w:t>upward</w:t>
            </w:r>
            <w:r w:rsidRPr="00EC20A0">
              <w:rPr>
                <w:spacing w:val="-4"/>
              </w:rPr>
              <w:t xml:space="preserve"> </w:t>
            </w:r>
            <w:r w:rsidRPr="00EC20A0">
              <w:t>and</w:t>
            </w:r>
            <w:r w:rsidRPr="00EC20A0">
              <w:rPr>
                <w:spacing w:val="-4"/>
              </w:rPr>
              <w:t xml:space="preserve"> </w:t>
            </w:r>
            <w:r w:rsidRPr="00EC20A0">
              <w:t>downward adjustments to obligations, for the fiscal year;</w:t>
            </w:r>
          </w:p>
        </w:tc>
        <w:tc>
          <w:tcPr>
            <w:tcW w:w="811" w:type="dxa"/>
            <w:tcBorders>
              <w:top w:val="single" w:sz="8" w:space="0" w:color="000000"/>
              <w:left w:val="single" w:sz="8" w:space="0" w:color="000000"/>
              <w:bottom w:val="single" w:sz="8" w:space="0" w:color="000000"/>
              <w:right w:val="single" w:sz="8" w:space="0" w:color="000000"/>
            </w:tcBorders>
          </w:tcPr>
          <w:p w14:paraId="24D62517"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18" w14:textId="77777777" w:rsidR="00245300" w:rsidRPr="00EC20A0" w:rsidRDefault="00245300">
            <w:pPr>
              <w:pStyle w:val="TableParagraph"/>
            </w:pPr>
          </w:p>
        </w:tc>
      </w:tr>
      <w:tr w:rsidR="00245300" w:rsidRPr="00EC20A0" w14:paraId="24D6251D" w14:textId="77777777">
        <w:trPr>
          <w:trHeight w:val="492"/>
        </w:trPr>
        <w:tc>
          <w:tcPr>
            <w:tcW w:w="7380" w:type="dxa"/>
            <w:tcBorders>
              <w:top w:val="single" w:sz="8" w:space="0" w:color="000000"/>
              <w:bottom w:val="single" w:sz="8" w:space="0" w:color="000000"/>
              <w:right w:val="single" w:sz="8" w:space="0" w:color="000000"/>
            </w:tcBorders>
          </w:tcPr>
          <w:p w14:paraId="24D6251A" w14:textId="77777777" w:rsidR="00245300" w:rsidRPr="00EC20A0" w:rsidRDefault="00F17249">
            <w:pPr>
              <w:pStyle w:val="TableParagraph"/>
              <w:spacing w:before="61"/>
              <w:ind w:left="1347"/>
            </w:pPr>
            <w:r w:rsidRPr="00EC20A0">
              <w:t>v.</w:t>
            </w:r>
            <w:r w:rsidRPr="00EC20A0">
              <w:rPr>
                <w:spacing w:val="76"/>
                <w:w w:val="150"/>
              </w:rPr>
              <w:t xml:space="preserve"> </w:t>
            </w:r>
            <w:r w:rsidRPr="00EC20A0">
              <w:t>tests</w:t>
            </w:r>
            <w:r w:rsidRPr="00EC20A0">
              <w:rPr>
                <w:spacing w:val="-4"/>
              </w:rPr>
              <w:t xml:space="preserve"> </w:t>
            </w:r>
            <w:r w:rsidRPr="00EC20A0">
              <w:t>of</w:t>
            </w:r>
            <w:r w:rsidRPr="00EC20A0">
              <w:rPr>
                <w:spacing w:val="-4"/>
              </w:rPr>
              <w:t xml:space="preserve"> </w:t>
            </w:r>
            <w:r w:rsidRPr="00EC20A0">
              <w:t>UDO</w:t>
            </w:r>
            <w:r w:rsidRPr="00EC20A0">
              <w:rPr>
                <w:spacing w:val="-5"/>
              </w:rPr>
              <w:t xml:space="preserve"> </w:t>
            </w:r>
            <w:r w:rsidRPr="00EC20A0">
              <w:t>balances,</w:t>
            </w:r>
            <w:r w:rsidRPr="00EC20A0">
              <w:rPr>
                <w:spacing w:val="-4"/>
              </w:rPr>
              <w:t xml:space="preserve"> </w:t>
            </w:r>
            <w:r w:rsidRPr="00EC20A0">
              <w:t>as</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reporting</w:t>
            </w:r>
            <w:r w:rsidRPr="00EC20A0">
              <w:rPr>
                <w:spacing w:val="-3"/>
              </w:rPr>
              <w:t xml:space="preserve"> </w:t>
            </w:r>
            <w:r w:rsidRPr="00EC20A0">
              <w:rPr>
                <w:spacing w:val="-2"/>
              </w:rPr>
              <w:t>date;</w:t>
            </w:r>
          </w:p>
        </w:tc>
        <w:tc>
          <w:tcPr>
            <w:tcW w:w="811" w:type="dxa"/>
            <w:tcBorders>
              <w:top w:val="single" w:sz="8" w:space="0" w:color="000000"/>
              <w:left w:val="single" w:sz="8" w:space="0" w:color="000000"/>
              <w:bottom w:val="single" w:sz="8" w:space="0" w:color="000000"/>
              <w:right w:val="single" w:sz="8" w:space="0" w:color="000000"/>
            </w:tcBorders>
          </w:tcPr>
          <w:p w14:paraId="24D6251B"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1C" w14:textId="77777777" w:rsidR="00245300" w:rsidRPr="00EC20A0" w:rsidRDefault="00245300">
            <w:pPr>
              <w:pStyle w:val="TableParagraph"/>
            </w:pPr>
          </w:p>
        </w:tc>
      </w:tr>
      <w:tr w:rsidR="00245300" w:rsidRPr="00EC20A0" w14:paraId="24D62521" w14:textId="77777777">
        <w:trPr>
          <w:trHeight w:val="1191"/>
        </w:trPr>
        <w:tc>
          <w:tcPr>
            <w:tcW w:w="7380" w:type="dxa"/>
            <w:tcBorders>
              <w:top w:val="single" w:sz="8" w:space="0" w:color="000000"/>
              <w:bottom w:val="single" w:sz="8" w:space="0" w:color="000000"/>
              <w:right w:val="single" w:sz="8" w:space="0" w:color="000000"/>
            </w:tcBorders>
          </w:tcPr>
          <w:p w14:paraId="24D6251E" w14:textId="77777777" w:rsidR="00245300" w:rsidRPr="00EC20A0" w:rsidRDefault="00F17249">
            <w:pPr>
              <w:pStyle w:val="TableParagraph"/>
              <w:spacing w:before="61"/>
              <w:ind w:left="1699" w:right="172" w:hanging="401"/>
            </w:pPr>
            <w:r w:rsidRPr="00EC20A0">
              <w:t>vi.</w:t>
            </w:r>
            <w:r w:rsidRPr="00EC20A0">
              <w:rPr>
                <w:spacing w:val="80"/>
              </w:rPr>
              <w:t xml:space="preserve"> </w:t>
            </w:r>
            <w:r w:rsidRPr="00EC20A0">
              <w:t>tests</w:t>
            </w:r>
            <w:r w:rsidRPr="00EC20A0">
              <w:rPr>
                <w:spacing w:val="-4"/>
              </w:rPr>
              <w:t xml:space="preserve"> </w:t>
            </w:r>
            <w:r w:rsidRPr="00EC20A0">
              <w:t>of</w:t>
            </w:r>
            <w:r w:rsidRPr="00EC20A0">
              <w:rPr>
                <w:spacing w:val="-4"/>
              </w:rPr>
              <w:t xml:space="preserve"> </w:t>
            </w:r>
            <w:r w:rsidRPr="00EC20A0">
              <w:t>budgetary</w:t>
            </w:r>
            <w:r w:rsidRPr="00EC20A0">
              <w:rPr>
                <w:spacing w:val="-4"/>
              </w:rPr>
              <w:t xml:space="preserve"> </w:t>
            </w:r>
            <w:r w:rsidRPr="00EC20A0">
              <w:t>balances</w:t>
            </w:r>
            <w:r w:rsidRPr="00EC20A0">
              <w:rPr>
                <w:spacing w:val="-4"/>
              </w:rPr>
              <w:t xml:space="preserve"> </w:t>
            </w:r>
            <w:r w:rsidRPr="00EC20A0">
              <w:t>for</w:t>
            </w:r>
            <w:r w:rsidRPr="00EC20A0">
              <w:rPr>
                <w:spacing w:val="-4"/>
              </w:rPr>
              <w:t xml:space="preserve"> </w:t>
            </w:r>
            <w:r w:rsidRPr="00EC20A0">
              <w:t>ending</w:t>
            </w:r>
            <w:r w:rsidRPr="00EC20A0">
              <w:rPr>
                <w:spacing w:val="-4"/>
              </w:rPr>
              <w:t xml:space="preserve"> </w:t>
            </w:r>
            <w:r w:rsidRPr="00EC20A0">
              <w:t>obligations,</w:t>
            </w:r>
            <w:r w:rsidRPr="00EC20A0">
              <w:rPr>
                <w:spacing w:val="-4"/>
              </w:rPr>
              <w:t xml:space="preserve"> </w:t>
            </w:r>
            <w:r w:rsidRPr="00EC20A0">
              <w:t xml:space="preserve">such as delivered orders unpaid, delivered orders paid, and unobligated </w:t>
            </w:r>
            <w:r w:rsidRPr="00EC20A0">
              <w:t>balances, among others, to related components of the FBWT account for consistency; and</w:t>
            </w:r>
          </w:p>
        </w:tc>
        <w:tc>
          <w:tcPr>
            <w:tcW w:w="811" w:type="dxa"/>
            <w:tcBorders>
              <w:top w:val="single" w:sz="8" w:space="0" w:color="000000"/>
              <w:left w:val="single" w:sz="8" w:space="0" w:color="000000"/>
              <w:bottom w:val="single" w:sz="8" w:space="0" w:color="000000"/>
              <w:right w:val="single" w:sz="8" w:space="0" w:color="000000"/>
            </w:tcBorders>
          </w:tcPr>
          <w:p w14:paraId="24D6251F"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20" w14:textId="77777777" w:rsidR="00245300" w:rsidRPr="00EC20A0" w:rsidRDefault="00245300">
            <w:pPr>
              <w:pStyle w:val="TableParagraph"/>
            </w:pPr>
          </w:p>
        </w:tc>
      </w:tr>
      <w:tr w:rsidR="00245300" w:rsidRPr="00EC20A0" w14:paraId="24D62525" w14:textId="77777777">
        <w:trPr>
          <w:trHeight w:val="686"/>
        </w:trPr>
        <w:tc>
          <w:tcPr>
            <w:tcW w:w="7380" w:type="dxa"/>
            <w:tcBorders>
              <w:top w:val="single" w:sz="8" w:space="0" w:color="000000"/>
              <w:bottom w:val="single" w:sz="8" w:space="0" w:color="000000"/>
              <w:right w:val="single" w:sz="8" w:space="0" w:color="000000"/>
            </w:tcBorders>
          </w:tcPr>
          <w:p w14:paraId="24D62522" w14:textId="77777777" w:rsidR="00245300" w:rsidRPr="00EC20A0" w:rsidRDefault="00F17249">
            <w:pPr>
              <w:pStyle w:val="TableParagraph"/>
              <w:spacing w:before="61"/>
              <w:ind w:left="1699" w:hanging="450"/>
            </w:pPr>
            <w:r w:rsidRPr="00EC20A0">
              <w:t>vii.</w:t>
            </w:r>
            <w:r w:rsidRPr="00EC20A0">
              <w:rPr>
                <w:spacing w:val="80"/>
              </w:rPr>
              <w:t xml:space="preserve"> </w:t>
            </w:r>
            <w:r w:rsidRPr="00EC20A0">
              <w:t>review</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reconciliation</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prior-year</w:t>
            </w:r>
            <w:r w:rsidRPr="00EC20A0">
              <w:rPr>
                <w:spacing w:val="-3"/>
              </w:rPr>
              <w:t xml:space="preserve"> </w:t>
            </w:r>
            <w:r w:rsidRPr="00EC20A0">
              <w:t>SBR</w:t>
            </w:r>
            <w:r w:rsidRPr="00EC20A0">
              <w:rPr>
                <w:spacing w:val="-2"/>
              </w:rPr>
              <w:t xml:space="preserve"> </w:t>
            </w:r>
            <w:r w:rsidRPr="00EC20A0">
              <w:t>to</w:t>
            </w:r>
            <w:r w:rsidRPr="00EC20A0">
              <w:rPr>
                <w:spacing w:val="-3"/>
              </w:rPr>
              <w:t xml:space="preserve"> </w:t>
            </w:r>
            <w:r w:rsidRPr="00EC20A0">
              <w:t>the President’s Budget?</w:t>
            </w:r>
          </w:p>
        </w:tc>
        <w:tc>
          <w:tcPr>
            <w:tcW w:w="811" w:type="dxa"/>
            <w:tcBorders>
              <w:top w:val="single" w:sz="8" w:space="0" w:color="000000"/>
              <w:left w:val="single" w:sz="8" w:space="0" w:color="000000"/>
              <w:bottom w:val="single" w:sz="8" w:space="0" w:color="000000"/>
              <w:right w:val="single" w:sz="8" w:space="0" w:color="000000"/>
            </w:tcBorders>
          </w:tcPr>
          <w:p w14:paraId="24D62523"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24" w14:textId="77777777" w:rsidR="00245300" w:rsidRPr="00EC20A0" w:rsidRDefault="00245300">
            <w:pPr>
              <w:pStyle w:val="TableParagraph"/>
            </w:pPr>
          </w:p>
        </w:tc>
      </w:tr>
      <w:tr w:rsidR="00245300" w:rsidRPr="00EC20A0" w14:paraId="24D62529" w14:textId="77777777">
        <w:trPr>
          <w:trHeight w:val="1503"/>
        </w:trPr>
        <w:tc>
          <w:tcPr>
            <w:tcW w:w="7380" w:type="dxa"/>
            <w:tcBorders>
              <w:top w:val="single" w:sz="8" w:space="0" w:color="000000"/>
              <w:bottom w:val="single" w:sz="8" w:space="0" w:color="000000"/>
              <w:right w:val="single" w:sz="8" w:space="0" w:color="000000"/>
            </w:tcBorders>
          </w:tcPr>
          <w:p w14:paraId="24D62526" w14:textId="77777777" w:rsidR="00245300" w:rsidRPr="00EC20A0" w:rsidRDefault="00F17249">
            <w:pPr>
              <w:pStyle w:val="TableParagraph"/>
              <w:spacing w:before="119"/>
              <w:ind w:left="843" w:right="172" w:hanging="360"/>
            </w:pPr>
            <w:r w:rsidRPr="00EC20A0">
              <w:t xml:space="preserve">20. Did the auditor identify and determine whether the entity </w:t>
            </w:r>
            <w:r w:rsidRPr="00EC20A0">
              <w:t>implemented relevant control activities that relate to services provided by service organization(s), including those that are applied</w:t>
            </w:r>
            <w:r w:rsidRPr="00EC20A0">
              <w:rPr>
                <w:spacing w:val="-6"/>
              </w:rPr>
              <w:t xml:space="preserve"> </w:t>
            </w:r>
            <w:r w:rsidRPr="00EC20A0">
              <w:t>to</w:t>
            </w:r>
            <w:r w:rsidRPr="00EC20A0">
              <w:rPr>
                <w:spacing w:val="-6"/>
              </w:rPr>
              <w:t xml:space="preserve"> </w:t>
            </w:r>
            <w:r w:rsidRPr="00EC20A0">
              <w:t>transactions</w:t>
            </w:r>
            <w:r w:rsidRPr="00EC20A0">
              <w:rPr>
                <w:spacing w:val="-7"/>
              </w:rPr>
              <w:t xml:space="preserve"> </w:t>
            </w:r>
            <w:r w:rsidRPr="00EC20A0">
              <w:t>processed</w:t>
            </w:r>
            <w:r w:rsidRPr="00EC20A0">
              <w:rPr>
                <w:spacing w:val="-6"/>
              </w:rPr>
              <w:t xml:space="preserve"> </w:t>
            </w:r>
            <w:r w:rsidRPr="00EC20A0">
              <w:t>by</w:t>
            </w:r>
            <w:r w:rsidRPr="00EC20A0">
              <w:rPr>
                <w:spacing w:val="-6"/>
              </w:rPr>
              <w:t xml:space="preserve"> </w:t>
            </w:r>
            <w:r w:rsidRPr="00EC20A0">
              <w:t>the</w:t>
            </w:r>
            <w:r w:rsidRPr="00EC20A0">
              <w:rPr>
                <w:spacing w:val="-6"/>
              </w:rPr>
              <w:t xml:space="preserve"> </w:t>
            </w:r>
            <w:r w:rsidRPr="00EC20A0">
              <w:t>service</w:t>
            </w:r>
            <w:r w:rsidRPr="00EC20A0">
              <w:rPr>
                <w:spacing w:val="-6"/>
              </w:rPr>
              <w:t xml:space="preserve"> </w:t>
            </w:r>
            <w:r w:rsidRPr="00EC20A0">
              <w:t>organization? (FAM 640)</w:t>
            </w:r>
          </w:p>
        </w:tc>
        <w:tc>
          <w:tcPr>
            <w:tcW w:w="811" w:type="dxa"/>
            <w:tcBorders>
              <w:top w:val="single" w:sz="8" w:space="0" w:color="000000"/>
              <w:left w:val="single" w:sz="8" w:space="0" w:color="000000"/>
              <w:bottom w:val="single" w:sz="8" w:space="0" w:color="000000"/>
              <w:right w:val="single" w:sz="8" w:space="0" w:color="000000"/>
            </w:tcBorders>
          </w:tcPr>
          <w:p w14:paraId="24D62527"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28" w14:textId="77777777" w:rsidR="00245300" w:rsidRPr="00EC20A0" w:rsidRDefault="00245300">
            <w:pPr>
              <w:pStyle w:val="TableParagraph"/>
            </w:pPr>
          </w:p>
        </w:tc>
      </w:tr>
      <w:tr w:rsidR="00245300" w:rsidRPr="00EC20A0" w14:paraId="24D6252D" w14:textId="77777777">
        <w:trPr>
          <w:trHeight w:val="998"/>
        </w:trPr>
        <w:tc>
          <w:tcPr>
            <w:tcW w:w="7380" w:type="dxa"/>
            <w:tcBorders>
              <w:top w:val="single" w:sz="8" w:space="0" w:color="000000"/>
              <w:bottom w:val="single" w:sz="8" w:space="0" w:color="000000"/>
              <w:right w:val="single" w:sz="8" w:space="0" w:color="000000"/>
            </w:tcBorders>
          </w:tcPr>
          <w:p w14:paraId="24D6252A" w14:textId="77777777" w:rsidR="00245300" w:rsidRPr="00EC20A0" w:rsidRDefault="00F17249">
            <w:pPr>
              <w:pStyle w:val="TableParagraph"/>
              <w:spacing w:before="121"/>
              <w:ind w:left="843" w:right="172" w:hanging="360"/>
            </w:pPr>
            <w:r w:rsidRPr="00EC20A0">
              <w:t xml:space="preserve">21. Does the documentation indicate that the </w:t>
            </w:r>
            <w:r w:rsidRPr="00EC20A0">
              <w:t>auditor properly performed</w:t>
            </w:r>
            <w:r w:rsidRPr="00EC20A0">
              <w:rPr>
                <w:spacing w:val="-5"/>
              </w:rPr>
              <w:t xml:space="preserve"> </w:t>
            </w:r>
            <w:r w:rsidRPr="00EC20A0">
              <w:t>procedures</w:t>
            </w:r>
            <w:r w:rsidRPr="00EC20A0">
              <w:rPr>
                <w:spacing w:val="-5"/>
              </w:rPr>
              <w:t xml:space="preserve"> </w:t>
            </w:r>
            <w:r w:rsidRPr="00EC20A0">
              <w:t>in</w:t>
            </w:r>
            <w:r w:rsidRPr="00EC20A0">
              <w:rPr>
                <w:spacing w:val="-6"/>
              </w:rPr>
              <w:t xml:space="preserve"> </w:t>
            </w:r>
            <w:r w:rsidRPr="00EC20A0">
              <w:t>the</w:t>
            </w:r>
            <w:r w:rsidRPr="00EC20A0">
              <w:rPr>
                <w:spacing w:val="-5"/>
              </w:rPr>
              <w:t xml:space="preserve"> </w:t>
            </w:r>
            <w:r w:rsidRPr="00EC20A0">
              <w:t>reporting</w:t>
            </w:r>
            <w:r w:rsidRPr="00EC20A0">
              <w:rPr>
                <w:spacing w:val="-5"/>
              </w:rPr>
              <w:t xml:space="preserve"> </w:t>
            </w:r>
            <w:r w:rsidRPr="00EC20A0">
              <w:t>phase</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audit</w:t>
            </w:r>
            <w:r w:rsidRPr="00EC20A0">
              <w:rPr>
                <w:spacing w:val="-5"/>
              </w:rPr>
              <w:t xml:space="preserve"> </w:t>
            </w:r>
            <w:r w:rsidRPr="00EC20A0">
              <w:t>(FAM 590) as follows: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52B"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52C" w14:textId="77777777" w:rsidR="00245300" w:rsidRPr="00EC20A0" w:rsidRDefault="00245300">
            <w:pPr>
              <w:pStyle w:val="TableParagraph"/>
            </w:pPr>
          </w:p>
        </w:tc>
      </w:tr>
      <w:tr w:rsidR="00245300" w:rsidRPr="00EC20A0" w14:paraId="24D62531" w14:textId="77777777">
        <w:trPr>
          <w:trHeight w:val="493"/>
        </w:trPr>
        <w:tc>
          <w:tcPr>
            <w:tcW w:w="7380" w:type="dxa"/>
            <w:tcBorders>
              <w:top w:val="single" w:sz="8" w:space="0" w:color="000000"/>
              <w:bottom w:val="single" w:sz="8" w:space="0" w:color="000000"/>
              <w:right w:val="single" w:sz="8" w:space="0" w:color="000000"/>
            </w:tcBorders>
          </w:tcPr>
          <w:p w14:paraId="24D6252E" w14:textId="77777777" w:rsidR="00245300" w:rsidRPr="00EC20A0" w:rsidRDefault="00F17249">
            <w:pPr>
              <w:pStyle w:val="TableParagraph"/>
              <w:spacing w:before="121"/>
              <w:ind w:left="889"/>
            </w:pPr>
            <w:r w:rsidRPr="00EC20A0">
              <w:t>a.</w:t>
            </w:r>
            <w:r w:rsidRPr="00EC20A0">
              <w:rPr>
                <w:spacing w:val="67"/>
                <w:w w:val="150"/>
              </w:rPr>
              <w:t xml:space="preserve"> </w:t>
            </w:r>
            <w:r w:rsidRPr="00EC20A0">
              <w:t>Perform</w:t>
            </w:r>
            <w:r w:rsidRPr="00EC20A0">
              <w:rPr>
                <w:spacing w:val="-7"/>
              </w:rPr>
              <w:t xml:space="preserve"> </w:t>
            </w:r>
            <w:r w:rsidRPr="00EC20A0">
              <w:t>overall</w:t>
            </w:r>
            <w:r w:rsidRPr="00EC20A0">
              <w:rPr>
                <w:spacing w:val="-6"/>
              </w:rPr>
              <w:t xml:space="preserve"> </w:t>
            </w:r>
            <w:r w:rsidRPr="00EC20A0">
              <w:t>analytical</w:t>
            </w:r>
            <w:r w:rsidRPr="00EC20A0">
              <w:rPr>
                <w:spacing w:val="-6"/>
              </w:rPr>
              <w:t xml:space="preserve"> </w:t>
            </w:r>
            <w:r w:rsidRPr="00EC20A0">
              <w:t>procedures?</w:t>
            </w:r>
            <w:r w:rsidRPr="00EC20A0">
              <w:rPr>
                <w:spacing w:val="-6"/>
              </w:rPr>
              <w:t xml:space="preserve"> </w:t>
            </w:r>
            <w:r w:rsidRPr="00EC20A0">
              <w:t>(FAM</w:t>
            </w:r>
            <w:r w:rsidRPr="00EC20A0">
              <w:rPr>
                <w:spacing w:val="-7"/>
              </w:rPr>
              <w:t xml:space="preserve"> </w:t>
            </w:r>
            <w:r w:rsidRPr="00EC20A0">
              <w:rPr>
                <w:spacing w:val="-4"/>
              </w:rPr>
              <w:t>520)</w:t>
            </w:r>
          </w:p>
        </w:tc>
        <w:tc>
          <w:tcPr>
            <w:tcW w:w="811" w:type="dxa"/>
            <w:tcBorders>
              <w:top w:val="single" w:sz="8" w:space="0" w:color="000000"/>
              <w:left w:val="single" w:sz="8" w:space="0" w:color="000000"/>
              <w:bottom w:val="single" w:sz="8" w:space="0" w:color="000000"/>
              <w:right w:val="single" w:sz="8" w:space="0" w:color="000000"/>
            </w:tcBorders>
          </w:tcPr>
          <w:p w14:paraId="24D6252F"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30" w14:textId="77777777" w:rsidR="00245300" w:rsidRPr="00EC20A0" w:rsidRDefault="00245300">
            <w:pPr>
              <w:pStyle w:val="TableParagraph"/>
            </w:pPr>
          </w:p>
        </w:tc>
      </w:tr>
      <w:tr w:rsidR="00245300" w:rsidRPr="00EC20A0" w14:paraId="24D62535" w14:textId="77777777">
        <w:trPr>
          <w:trHeight w:val="745"/>
        </w:trPr>
        <w:tc>
          <w:tcPr>
            <w:tcW w:w="7380" w:type="dxa"/>
            <w:tcBorders>
              <w:top w:val="single" w:sz="8" w:space="0" w:color="000000"/>
              <w:bottom w:val="single" w:sz="8" w:space="0" w:color="000000"/>
              <w:right w:val="single" w:sz="8" w:space="0" w:color="000000"/>
            </w:tcBorders>
          </w:tcPr>
          <w:p w14:paraId="24D62532" w14:textId="77777777" w:rsidR="00245300" w:rsidRPr="00EC20A0" w:rsidRDefault="00F17249">
            <w:pPr>
              <w:pStyle w:val="TableParagraph"/>
              <w:spacing w:before="119"/>
              <w:ind w:left="1248" w:right="172" w:hanging="360"/>
            </w:pPr>
            <w:r w:rsidRPr="00EC20A0">
              <w:t>b.</w:t>
            </w:r>
            <w:r w:rsidRPr="00EC20A0">
              <w:rPr>
                <w:spacing w:val="80"/>
              </w:rPr>
              <w:t xml:space="preserve"> </w:t>
            </w:r>
            <w:r w:rsidRPr="00EC20A0">
              <w:t>Reassess</w:t>
            </w:r>
            <w:r w:rsidRPr="00EC20A0">
              <w:rPr>
                <w:spacing w:val="-5"/>
              </w:rPr>
              <w:t xml:space="preserve"> </w:t>
            </w:r>
            <w:r w:rsidRPr="00EC20A0">
              <w:t>materiality</w:t>
            </w:r>
            <w:r w:rsidRPr="00EC20A0">
              <w:rPr>
                <w:spacing w:val="-5"/>
              </w:rPr>
              <w:t xml:space="preserve"> </w:t>
            </w:r>
            <w:r w:rsidRPr="00EC20A0">
              <w:t>and</w:t>
            </w:r>
            <w:r w:rsidRPr="00EC20A0">
              <w:rPr>
                <w:spacing w:val="-5"/>
              </w:rPr>
              <w:t xml:space="preserve"> </w:t>
            </w:r>
            <w:r w:rsidRPr="00EC20A0">
              <w:t>risks</w:t>
            </w:r>
            <w:r w:rsidRPr="00EC20A0">
              <w:rPr>
                <w:spacing w:val="-5"/>
              </w:rPr>
              <w:t xml:space="preserve"> </w:t>
            </w:r>
            <w:r w:rsidRPr="00EC20A0">
              <w:t>of</w:t>
            </w:r>
            <w:r w:rsidRPr="00EC20A0">
              <w:rPr>
                <w:spacing w:val="-5"/>
              </w:rPr>
              <w:t xml:space="preserve"> </w:t>
            </w:r>
            <w:r w:rsidRPr="00EC20A0">
              <w:t>material</w:t>
            </w:r>
            <w:r w:rsidRPr="00EC20A0">
              <w:rPr>
                <w:spacing w:val="-5"/>
              </w:rPr>
              <w:t xml:space="preserve"> </w:t>
            </w:r>
            <w:r w:rsidRPr="00EC20A0">
              <w:t>misstatement? (FAM 530)</w:t>
            </w:r>
          </w:p>
        </w:tc>
        <w:tc>
          <w:tcPr>
            <w:tcW w:w="811" w:type="dxa"/>
            <w:tcBorders>
              <w:top w:val="single" w:sz="8" w:space="0" w:color="000000"/>
              <w:left w:val="single" w:sz="8" w:space="0" w:color="000000"/>
              <w:bottom w:val="single" w:sz="8" w:space="0" w:color="000000"/>
              <w:right w:val="single" w:sz="8" w:space="0" w:color="000000"/>
            </w:tcBorders>
          </w:tcPr>
          <w:p w14:paraId="24D62533"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34" w14:textId="77777777" w:rsidR="00245300" w:rsidRPr="00EC20A0" w:rsidRDefault="00245300">
            <w:pPr>
              <w:pStyle w:val="TableParagraph"/>
            </w:pPr>
          </w:p>
        </w:tc>
      </w:tr>
      <w:tr w:rsidR="00245300" w:rsidRPr="00EC20A0" w14:paraId="24D62539" w14:textId="77777777">
        <w:trPr>
          <w:trHeight w:val="998"/>
        </w:trPr>
        <w:tc>
          <w:tcPr>
            <w:tcW w:w="7380" w:type="dxa"/>
            <w:tcBorders>
              <w:top w:val="single" w:sz="8" w:space="0" w:color="000000"/>
              <w:bottom w:val="single" w:sz="8" w:space="0" w:color="000000"/>
              <w:right w:val="single" w:sz="8" w:space="0" w:color="000000"/>
            </w:tcBorders>
          </w:tcPr>
          <w:p w14:paraId="24D62536" w14:textId="77777777" w:rsidR="00245300" w:rsidRPr="00EC20A0" w:rsidRDefault="00F17249">
            <w:pPr>
              <w:pStyle w:val="TableParagraph"/>
              <w:spacing w:before="121"/>
              <w:ind w:left="1249" w:hanging="361"/>
            </w:pPr>
            <w:r w:rsidRPr="00EC20A0">
              <w:t>c.</w:t>
            </w:r>
            <w:r w:rsidRPr="00EC20A0">
              <w:rPr>
                <w:spacing w:val="80"/>
              </w:rPr>
              <w:t xml:space="preserve"> </w:t>
            </w:r>
            <w:r w:rsidRPr="00EC20A0">
              <w:t xml:space="preserve">Evaluate the </w:t>
            </w:r>
            <w:r w:rsidRPr="00EC20A0">
              <w:t>effects of both uncorrected and corrected misstatements</w:t>
            </w:r>
            <w:r w:rsidRPr="00EC20A0">
              <w:rPr>
                <w:spacing w:val="-6"/>
              </w:rPr>
              <w:t xml:space="preserve"> </w:t>
            </w:r>
            <w:r w:rsidRPr="00EC20A0">
              <w:t>on</w:t>
            </w:r>
            <w:r w:rsidRPr="00EC20A0">
              <w:rPr>
                <w:spacing w:val="-6"/>
              </w:rPr>
              <w:t xml:space="preserve"> </w:t>
            </w:r>
            <w:r w:rsidRPr="00EC20A0">
              <w:t>the</w:t>
            </w:r>
            <w:r w:rsidRPr="00EC20A0">
              <w:rPr>
                <w:spacing w:val="-6"/>
              </w:rPr>
              <w:t xml:space="preserve"> </w:t>
            </w:r>
            <w:r w:rsidRPr="00EC20A0">
              <w:t>financial</w:t>
            </w:r>
            <w:r w:rsidRPr="00EC20A0">
              <w:rPr>
                <w:spacing w:val="-6"/>
              </w:rPr>
              <w:t xml:space="preserve"> </w:t>
            </w:r>
            <w:r w:rsidRPr="00EC20A0">
              <w:t>statements</w:t>
            </w:r>
            <w:r w:rsidRPr="00EC20A0">
              <w:rPr>
                <w:spacing w:val="-5"/>
              </w:rPr>
              <w:t xml:space="preserve"> </w:t>
            </w:r>
            <w:r w:rsidRPr="00EC20A0">
              <w:t>and</w:t>
            </w:r>
            <w:r w:rsidRPr="00EC20A0">
              <w:rPr>
                <w:spacing w:val="-6"/>
              </w:rPr>
              <w:t xml:space="preserve"> </w:t>
            </w:r>
            <w:r w:rsidRPr="00EC20A0">
              <w:t>notes?</w:t>
            </w:r>
            <w:r w:rsidRPr="00EC20A0">
              <w:rPr>
                <w:spacing w:val="-6"/>
              </w:rPr>
              <w:t xml:space="preserve"> </w:t>
            </w:r>
            <w:r w:rsidRPr="00EC20A0">
              <w:t xml:space="preserve">(FAM </w:t>
            </w:r>
            <w:r w:rsidRPr="00EC20A0">
              <w:rPr>
                <w:spacing w:val="-4"/>
              </w:rPr>
              <w:t>540)</w:t>
            </w:r>
          </w:p>
        </w:tc>
        <w:tc>
          <w:tcPr>
            <w:tcW w:w="811" w:type="dxa"/>
            <w:tcBorders>
              <w:top w:val="single" w:sz="8" w:space="0" w:color="000000"/>
              <w:left w:val="single" w:sz="8" w:space="0" w:color="000000"/>
              <w:bottom w:val="single" w:sz="8" w:space="0" w:color="000000"/>
              <w:right w:val="single" w:sz="8" w:space="0" w:color="000000"/>
            </w:tcBorders>
          </w:tcPr>
          <w:p w14:paraId="24D62537"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38" w14:textId="77777777" w:rsidR="00245300" w:rsidRPr="00EC20A0" w:rsidRDefault="00245300">
            <w:pPr>
              <w:pStyle w:val="TableParagraph"/>
            </w:pPr>
          </w:p>
        </w:tc>
      </w:tr>
      <w:tr w:rsidR="00245300" w:rsidRPr="00EC20A0" w14:paraId="24D6253D" w14:textId="77777777">
        <w:trPr>
          <w:trHeight w:val="1000"/>
        </w:trPr>
        <w:tc>
          <w:tcPr>
            <w:tcW w:w="7380" w:type="dxa"/>
            <w:tcBorders>
              <w:top w:val="single" w:sz="8" w:space="0" w:color="000000"/>
              <w:bottom w:val="single" w:sz="8" w:space="0" w:color="000000"/>
              <w:right w:val="single" w:sz="8" w:space="0" w:color="000000"/>
            </w:tcBorders>
          </w:tcPr>
          <w:p w14:paraId="24D6253A" w14:textId="77777777" w:rsidR="00245300" w:rsidRPr="00EC20A0" w:rsidRDefault="00F17249">
            <w:pPr>
              <w:pStyle w:val="TableParagraph"/>
              <w:spacing w:before="121"/>
              <w:ind w:left="1248" w:right="397" w:hanging="360"/>
              <w:jc w:val="both"/>
            </w:pPr>
            <w:r w:rsidRPr="00EC20A0">
              <w:t>d.</w:t>
            </w:r>
            <w:r w:rsidRPr="00EC20A0">
              <w:rPr>
                <w:spacing w:val="80"/>
              </w:rPr>
              <w:t xml:space="preserve"> </w:t>
            </w:r>
            <w:r w:rsidRPr="00EC20A0">
              <w:t>Document all misstatements accumulated during the audit (other</w:t>
            </w:r>
            <w:r w:rsidRPr="00EC20A0">
              <w:rPr>
                <w:spacing w:val="-4"/>
              </w:rPr>
              <w:t xml:space="preserve"> </w:t>
            </w:r>
            <w:r w:rsidRPr="00EC20A0">
              <w:t>than</w:t>
            </w:r>
            <w:r w:rsidRPr="00EC20A0">
              <w:rPr>
                <w:spacing w:val="-4"/>
              </w:rPr>
              <w:t xml:space="preserve"> </w:t>
            </w:r>
            <w:r w:rsidRPr="00EC20A0">
              <w:t>clearly</w:t>
            </w:r>
            <w:r w:rsidRPr="00EC20A0">
              <w:rPr>
                <w:spacing w:val="-4"/>
              </w:rPr>
              <w:t xml:space="preserve"> </w:t>
            </w:r>
            <w:r w:rsidRPr="00EC20A0">
              <w:t>trivial</w:t>
            </w:r>
            <w:r w:rsidRPr="00EC20A0">
              <w:rPr>
                <w:spacing w:val="-5"/>
              </w:rPr>
              <w:t xml:space="preserve"> </w:t>
            </w:r>
            <w:r w:rsidRPr="00EC20A0">
              <w:t>ones)</w:t>
            </w:r>
            <w:r w:rsidRPr="00EC20A0">
              <w:rPr>
                <w:spacing w:val="-4"/>
              </w:rPr>
              <w:t xml:space="preserve"> </w:t>
            </w:r>
            <w:r w:rsidRPr="00EC20A0">
              <w:t>and</w:t>
            </w:r>
            <w:r w:rsidRPr="00EC20A0">
              <w:rPr>
                <w:spacing w:val="-4"/>
              </w:rPr>
              <w:t xml:space="preserve"> </w:t>
            </w:r>
            <w:r w:rsidRPr="00EC20A0">
              <w:t>identify</w:t>
            </w:r>
            <w:r w:rsidRPr="00EC20A0">
              <w:rPr>
                <w:spacing w:val="-4"/>
              </w:rPr>
              <w:t xml:space="preserve"> </w:t>
            </w:r>
            <w:r w:rsidRPr="00EC20A0">
              <w:t>those</w:t>
            </w:r>
            <w:r w:rsidRPr="00EC20A0">
              <w:rPr>
                <w:spacing w:val="-4"/>
              </w:rPr>
              <w:t xml:space="preserve"> </w:t>
            </w:r>
            <w:r w:rsidRPr="00EC20A0">
              <w:t>that</w:t>
            </w:r>
            <w:r w:rsidRPr="00EC20A0">
              <w:rPr>
                <w:spacing w:val="-4"/>
              </w:rPr>
              <w:t xml:space="preserve"> </w:t>
            </w:r>
            <w:r w:rsidRPr="00EC20A0">
              <w:t xml:space="preserve">were not corrected? (FAM </w:t>
            </w:r>
            <w:r w:rsidRPr="00EC20A0">
              <w:t>540)</w:t>
            </w:r>
          </w:p>
        </w:tc>
        <w:tc>
          <w:tcPr>
            <w:tcW w:w="811" w:type="dxa"/>
            <w:tcBorders>
              <w:top w:val="single" w:sz="8" w:space="0" w:color="000000"/>
              <w:left w:val="single" w:sz="8" w:space="0" w:color="000000"/>
              <w:bottom w:val="single" w:sz="8" w:space="0" w:color="000000"/>
              <w:right w:val="single" w:sz="8" w:space="0" w:color="000000"/>
            </w:tcBorders>
          </w:tcPr>
          <w:p w14:paraId="24D6253B"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3C" w14:textId="77777777" w:rsidR="00245300" w:rsidRPr="00EC20A0" w:rsidRDefault="00245300">
            <w:pPr>
              <w:pStyle w:val="TableParagraph"/>
            </w:pPr>
          </w:p>
        </w:tc>
      </w:tr>
    </w:tbl>
    <w:p w14:paraId="24D6253E" w14:textId="77777777" w:rsidR="00245300" w:rsidRPr="00EC20A0" w:rsidRDefault="00245300">
      <w:pPr>
        <w:sectPr w:rsidR="00245300" w:rsidRPr="00EC20A0">
          <w:pgSz w:w="12240" w:h="15840"/>
          <w:pgMar w:top="1340" w:right="460" w:bottom="940" w:left="560" w:header="721" w:footer="757" w:gutter="0"/>
          <w:cols w:space="720"/>
        </w:sectPr>
      </w:pPr>
    </w:p>
    <w:p w14:paraId="24D6253F"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546" w14:textId="77777777">
        <w:trPr>
          <w:trHeight w:val="936"/>
        </w:trPr>
        <w:tc>
          <w:tcPr>
            <w:tcW w:w="7380" w:type="dxa"/>
            <w:tcBorders>
              <w:right w:val="single" w:sz="8" w:space="0" w:color="000000"/>
            </w:tcBorders>
            <w:shd w:val="clear" w:color="auto" w:fill="A6A6A6"/>
          </w:tcPr>
          <w:p w14:paraId="24D62540" w14:textId="77777777" w:rsidR="00245300" w:rsidRPr="00EC20A0" w:rsidRDefault="00245300">
            <w:pPr>
              <w:pStyle w:val="TableParagraph"/>
              <w:spacing w:before="266"/>
              <w:rPr>
                <w:b/>
                <w:sz w:val="24"/>
              </w:rPr>
            </w:pPr>
          </w:p>
          <w:p w14:paraId="24D62541"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542"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543" w14:textId="77777777" w:rsidR="00245300" w:rsidRPr="00EC20A0" w:rsidRDefault="00245300">
            <w:pPr>
              <w:pStyle w:val="TableParagraph"/>
              <w:rPr>
                <w:b/>
              </w:rPr>
            </w:pPr>
          </w:p>
          <w:p w14:paraId="24D62544" w14:textId="77777777" w:rsidR="00245300" w:rsidRPr="00EC20A0" w:rsidRDefault="00245300">
            <w:pPr>
              <w:pStyle w:val="TableParagraph"/>
              <w:spacing w:before="120"/>
              <w:rPr>
                <w:b/>
              </w:rPr>
            </w:pPr>
          </w:p>
          <w:p w14:paraId="24D62545"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54A" w14:textId="77777777">
        <w:trPr>
          <w:trHeight w:val="1759"/>
        </w:trPr>
        <w:tc>
          <w:tcPr>
            <w:tcW w:w="7380" w:type="dxa"/>
            <w:tcBorders>
              <w:bottom w:val="single" w:sz="8" w:space="0" w:color="000000"/>
              <w:right w:val="single" w:sz="8" w:space="0" w:color="000000"/>
            </w:tcBorders>
          </w:tcPr>
          <w:p w14:paraId="24D62547" w14:textId="77777777" w:rsidR="00245300" w:rsidRPr="00EC20A0" w:rsidRDefault="00F17249">
            <w:pPr>
              <w:pStyle w:val="TableParagraph"/>
              <w:spacing w:before="121"/>
              <w:ind w:left="1248" w:hanging="360"/>
            </w:pPr>
            <w:r w:rsidRPr="00EC20A0">
              <w:t>e.</w:t>
            </w:r>
            <w:r w:rsidRPr="00EC20A0">
              <w:rPr>
                <w:spacing w:val="80"/>
              </w:rPr>
              <w:t xml:space="preserve"> </w:t>
            </w:r>
            <w:r w:rsidRPr="00EC20A0">
              <w:t>Classify the uncorrected misstatements identified in step d above</w:t>
            </w:r>
            <w:r w:rsidRPr="00EC20A0">
              <w:rPr>
                <w:spacing w:val="-4"/>
              </w:rPr>
              <w:t xml:space="preserve"> </w:t>
            </w:r>
            <w:r w:rsidRPr="00EC20A0">
              <w:t>as</w:t>
            </w:r>
            <w:r w:rsidRPr="00EC20A0">
              <w:rPr>
                <w:spacing w:val="-4"/>
              </w:rPr>
              <w:t xml:space="preserve"> </w:t>
            </w:r>
            <w:r w:rsidRPr="00EC20A0">
              <w:t>either</w:t>
            </w:r>
            <w:r w:rsidRPr="00EC20A0">
              <w:rPr>
                <w:spacing w:val="-4"/>
              </w:rPr>
              <w:t xml:space="preserve"> </w:t>
            </w:r>
            <w:r w:rsidRPr="00EC20A0">
              <w:t>factual,</w:t>
            </w:r>
            <w:r w:rsidRPr="00EC20A0">
              <w:rPr>
                <w:spacing w:val="-4"/>
              </w:rPr>
              <w:t xml:space="preserve"> </w:t>
            </w:r>
            <w:r w:rsidRPr="00EC20A0">
              <w:t>judgmental,</w:t>
            </w:r>
            <w:r w:rsidRPr="00EC20A0">
              <w:rPr>
                <w:spacing w:val="-4"/>
              </w:rPr>
              <w:t xml:space="preserve"> </w:t>
            </w:r>
            <w:r w:rsidRPr="00EC20A0">
              <w:t>or</w:t>
            </w:r>
            <w:r w:rsidRPr="00EC20A0">
              <w:rPr>
                <w:spacing w:val="-4"/>
              </w:rPr>
              <w:t xml:space="preserve"> </w:t>
            </w:r>
            <w:r w:rsidRPr="00EC20A0">
              <w:t>projected</w:t>
            </w:r>
            <w:r w:rsidRPr="00EC20A0">
              <w:rPr>
                <w:spacing w:val="-5"/>
              </w:rPr>
              <w:t xml:space="preserve"> </w:t>
            </w:r>
            <w:r w:rsidRPr="00EC20A0">
              <w:t>on</w:t>
            </w:r>
            <w:r w:rsidRPr="00EC20A0">
              <w:rPr>
                <w:spacing w:val="-4"/>
              </w:rPr>
              <w:t xml:space="preserve"> </w:t>
            </w:r>
            <w:r w:rsidRPr="00EC20A0">
              <w:t>the</w:t>
            </w:r>
            <w:r w:rsidRPr="00EC20A0">
              <w:rPr>
                <w:spacing w:val="-4"/>
              </w:rPr>
              <w:t xml:space="preserve"> </w:t>
            </w:r>
            <w:r w:rsidRPr="00EC20A0">
              <w:t>list</w:t>
            </w:r>
            <w:r w:rsidRPr="00EC20A0">
              <w:rPr>
                <w:spacing w:val="-4"/>
              </w:rPr>
              <w:t xml:space="preserve"> </w:t>
            </w:r>
            <w:r w:rsidRPr="00EC20A0">
              <w:t xml:space="preserve">of adjusting entries needed to </w:t>
            </w:r>
            <w:r w:rsidRPr="00EC20A0">
              <w:t>correct the uncorrected misstatements (FAM 540 and FAM 595 C) and bring them to the attention of entity management and those charged with governance? (FAM 540 and FAM 550)</w:t>
            </w:r>
          </w:p>
        </w:tc>
        <w:tc>
          <w:tcPr>
            <w:tcW w:w="811" w:type="dxa"/>
            <w:tcBorders>
              <w:left w:val="single" w:sz="8" w:space="0" w:color="000000"/>
              <w:bottom w:val="single" w:sz="8" w:space="0" w:color="000000"/>
              <w:right w:val="single" w:sz="8" w:space="0" w:color="000000"/>
            </w:tcBorders>
          </w:tcPr>
          <w:p w14:paraId="24D62548"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549" w14:textId="77777777" w:rsidR="00245300" w:rsidRPr="00EC20A0" w:rsidRDefault="00245300">
            <w:pPr>
              <w:pStyle w:val="TableParagraph"/>
            </w:pPr>
          </w:p>
        </w:tc>
      </w:tr>
      <w:tr w:rsidR="00245300" w:rsidRPr="00EC20A0" w14:paraId="24D6254E" w14:textId="77777777">
        <w:trPr>
          <w:trHeight w:val="2010"/>
        </w:trPr>
        <w:tc>
          <w:tcPr>
            <w:tcW w:w="7380" w:type="dxa"/>
            <w:tcBorders>
              <w:top w:val="single" w:sz="8" w:space="0" w:color="000000"/>
              <w:bottom w:val="single" w:sz="8" w:space="0" w:color="000000"/>
              <w:right w:val="single" w:sz="8" w:space="0" w:color="000000"/>
            </w:tcBorders>
          </w:tcPr>
          <w:p w14:paraId="24D6254B" w14:textId="77777777" w:rsidR="00245300" w:rsidRPr="00EC20A0" w:rsidRDefault="00F17249">
            <w:pPr>
              <w:pStyle w:val="TableParagraph"/>
              <w:tabs>
                <w:tab w:val="left" w:pos="1249"/>
              </w:tabs>
              <w:spacing w:before="119"/>
              <w:ind w:left="1249" w:right="480" w:hanging="361"/>
            </w:pPr>
            <w:r w:rsidRPr="00EC20A0">
              <w:rPr>
                <w:spacing w:val="-6"/>
              </w:rPr>
              <w:t>f.</w:t>
            </w:r>
            <w:r w:rsidRPr="00EC20A0">
              <w:tab/>
              <w:t xml:space="preserve">Evaluate audit exposure, including uncorrected misstatements, </w:t>
            </w:r>
            <w:r w:rsidRPr="00EC20A0">
              <w:t>potential undetected misstatements (e.g., untested amounts, sampling precision, imprecision of analytical procedures upon which complete substantive reliance was placed), and qualitative considerations, and determine</w:t>
            </w:r>
            <w:r w:rsidRPr="00EC20A0">
              <w:rPr>
                <w:spacing w:val="-5"/>
              </w:rPr>
              <w:t xml:space="preserve"> </w:t>
            </w:r>
            <w:r w:rsidRPr="00EC20A0">
              <w:t>the</w:t>
            </w:r>
            <w:r w:rsidRPr="00EC20A0">
              <w:rPr>
                <w:spacing w:val="-5"/>
              </w:rPr>
              <w:t xml:space="preserve"> </w:t>
            </w:r>
            <w:r w:rsidRPr="00EC20A0">
              <w:t>effect</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financial</w:t>
            </w:r>
            <w:r w:rsidRPr="00EC20A0">
              <w:rPr>
                <w:spacing w:val="-6"/>
              </w:rPr>
              <w:t xml:space="preserve"> </w:t>
            </w:r>
            <w:r w:rsidRPr="00EC20A0">
              <w:t>statements,</w:t>
            </w:r>
            <w:r w:rsidRPr="00EC20A0">
              <w:rPr>
                <w:spacing w:val="-5"/>
              </w:rPr>
              <w:t xml:space="preserve"> </w:t>
            </w:r>
            <w:r w:rsidRPr="00EC20A0">
              <w:t>including note disclosures? (FAM 545)</w:t>
            </w:r>
          </w:p>
        </w:tc>
        <w:tc>
          <w:tcPr>
            <w:tcW w:w="811" w:type="dxa"/>
            <w:tcBorders>
              <w:top w:val="single" w:sz="8" w:space="0" w:color="000000"/>
              <w:left w:val="single" w:sz="8" w:space="0" w:color="000000"/>
              <w:bottom w:val="single" w:sz="8" w:space="0" w:color="000000"/>
              <w:right w:val="single" w:sz="8" w:space="0" w:color="000000"/>
            </w:tcBorders>
          </w:tcPr>
          <w:p w14:paraId="24D6254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4D" w14:textId="77777777" w:rsidR="00245300" w:rsidRPr="00EC20A0" w:rsidRDefault="00245300">
            <w:pPr>
              <w:pStyle w:val="TableParagraph"/>
            </w:pPr>
          </w:p>
        </w:tc>
      </w:tr>
      <w:tr w:rsidR="00245300" w:rsidRPr="00EC20A0" w14:paraId="24D62552" w14:textId="77777777">
        <w:trPr>
          <w:trHeight w:val="745"/>
        </w:trPr>
        <w:tc>
          <w:tcPr>
            <w:tcW w:w="7380" w:type="dxa"/>
            <w:tcBorders>
              <w:top w:val="single" w:sz="8" w:space="0" w:color="000000"/>
              <w:bottom w:val="single" w:sz="8" w:space="0" w:color="000000"/>
              <w:right w:val="single" w:sz="8" w:space="0" w:color="000000"/>
            </w:tcBorders>
          </w:tcPr>
          <w:p w14:paraId="24D6254F" w14:textId="77777777" w:rsidR="00245300" w:rsidRPr="00EC20A0" w:rsidRDefault="00F17249">
            <w:pPr>
              <w:pStyle w:val="TableParagraph"/>
              <w:spacing w:before="119"/>
              <w:ind w:left="1249" w:right="172" w:hanging="360"/>
            </w:pPr>
            <w:r w:rsidRPr="00EC20A0">
              <w:t>g.</w:t>
            </w:r>
            <w:r w:rsidRPr="00EC20A0">
              <w:rPr>
                <w:spacing w:val="80"/>
              </w:rPr>
              <w:t xml:space="preserve"> </w:t>
            </w:r>
            <w:r w:rsidRPr="00EC20A0">
              <w:t>Directly</w:t>
            </w:r>
            <w:r w:rsidRPr="00EC20A0">
              <w:rPr>
                <w:spacing w:val="-4"/>
              </w:rPr>
              <w:t xml:space="preserve"> </w:t>
            </w:r>
            <w:r w:rsidRPr="00EC20A0">
              <w:t>obtain</w:t>
            </w:r>
            <w:r w:rsidRPr="00EC20A0">
              <w:rPr>
                <w:spacing w:val="-4"/>
              </w:rPr>
              <w:t xml:space="preserve"> </w:t>
            </w:r>
            <w:r w:rsidRPr="00EC20A0">
              <w:t>the</w:t>
            </w:r>
            <w:r w:rsidRPr="00EC20A0">
              <w:rPr>
                <w:spacing w:val="-4"/>
              </w:rPr>
              <w:t xml:space="preserve"> </w:t>
            </w:r>
            <w:r w:rsidRPr="00EC20A0">
              <w:t>legal</w:t>
            </w:r>
            <w:r w:rsidRPr="00EC20A0">
              <w:rPr>
                <w:spacing w:val="-5"/>
              </w:rPr>
              <w:t xml:space="preserve"> </w:t>
            </w:r>
            <w:r w:rsidRPr="00EC20A0">
              <w:t>counsel</w:t>
            </w:r>
            <w:r w:rsidRPr="00EC20A0">
              <w:rPr>
                <w:spacing w:val="-4"/>
              </w:rPr>
              <w:t xml:space="preserve"> </w:t>
            </w:r>
            <w:r w:rsidRPr="00EC20A0">
              <w:t>response?</w:t>
            </w:r>
            <w:r w:rsidRPr="00EC20A0">
              <w:rPr>
                <w:spacing w:val="-4"/>
              </w:rPr>
              <w:t xml:space="preserve"> </w:t>
            </w:r>
            <w:r w:rsidRPr="00EC20A0">
              <w:t>(FAM</w:t>
            </w:r>
            <w:r w:rsidRPr="00EC20A0">
              <w:rPr>
                <w:spacing w:val="-5"/>
              </w:rPr>
              <w:t xml:space="preserve"> </w:t>
            </w:r>
            <w:r w:rsidRPr="00EC20A0">
              <w:t>550</w:t>
            </w:r>
            <w:r w:rsidRPr="00EC20A0">
              <w:rPr>
                <w:spacing w:val="-4"/>
              </w:rPr>
              <w:t xml:space="preserve"> </w:t>
            </w:r>
            <w:r w:rsidRPr="00EC20A0">
              <w:t>and FAM 1002)</w:t>
            </w:r>
          </w:p>
        </w:tc>
        <w:tc>
          <w:tcPr>
            <w:tcW w:w="811" w:type="dxa"/>
            <w:tcBorders>
              <w:top w:val="single" w:sz="8" w:space="0" w:color="000000"/>
              <w:left w:val="single" w:sz="8" w:space="0" w:color="000000"/>
              <w:bottom w:val="single" w:sz="8" w:space="0" w:color="000000"/>
              <w:right w:val="single" w:sz="8" w:space="0" w:color="000000"/>
            </w:tcBorders>
          </w:tcPr>
          <w:p w14:paraId="24D62550"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51" w14:textId="77777777" w:rsidR="00245300" w:rsidRPr="00EC20A0" w:rsidRDefault="00245300">
            <w:pPr>
              <w:pStyle w:val="TableParagraph"/>
            </w:pPr>
          </w:p>
        </w:tc>
      </w:tr>
      <w:tr w:rsidR="00245300" w:rsidRPr="00EC20A0" w14:paraId="24D62556" w14:textId="77777777">
        <w:trPr>
          <w:trHeight w:val="746"/>
        </w:trPr>
        <w:tc>
          <w:tcPr>
            <w:tcW w:w="7380" w:type="dxa"/>
            <w:tcBorders>
              <w:top w:val="single" w:sz="8" w:space="0" w:color="000000"/>
              <w:bottom w:val="single" w:sz="8" w:space="0" w:color="000000"/>
              <w:right w:val="single" w:sz="8" w:space="0" w:color="000000"/>
            </w:tcBorders>
          </w:tcPr>
          <w:p w14:paraId="24D62553" w14:textId="77777777" w:rsidR="00245300" w:rsidRPr="00EC20A0" w:rsidRDefault="00F17249">
            <w:pPr>
              <w:pStyle w:val="TableParagraph"/>
              <w:spacing w:before="121"/>
              <w:ind w:left="1249" w:hanging="361"/>
            </w:pPr>
            <w:r w:rsidRPr="00EC20A0">
              <w:t>h.</w:t>
            </w:r>
            <w:r w:rsidRPr="00EC20A0">
              <w:rPr>
                <w:spacing w:val="80"/>
              </w:rPr>
              <w:t xml:space="preserve"> </w:t>
            </w:r>
            <w:r w:rsidRPr="00EC20A0">
              <w:t>Perform</w:t>
            </w:r>
            <w:r w:rsidRPr="00EC20A0">
              <w:rPr>
                <w:spacing w:val="-5"/>
              </w:rPr>
              <w:t xml:space="preserve"> </w:t>
            </w:r>
            <w:r w:rsidRPr="00EC20A0">
              <w:t>procedures</w:t>
            </w:r>
            <w:r w:rsidRPr="00EC20A0">
              <w:rPr>
                <w:spacing w:val="-4"/>
              </w:rPr>
              <w:t xml:space="preserve"> </w:t>
            </w:r>
            <w:r w:rsidRPr="00EC20A0">
              <w:t>to</w:t>
            </w:r>
            <w:r w:rsidRPr="00EC20A0">
              <w:rPr>
                <w:spacing w:val="-4"/>
              </w:rPr>
              <w:t xml:space="preserve"> </w:t>
            </w:r>
            <w:r w:rsidRPr="00EC20A0">
              <w:t>identify</w:t>
            </w:r>
            <w:r w:rsidRPr="00EC20A0">
              <w:rPr>
                <w:spacing w:val="-4"/>
              </w:rPr>
              <w:t xml:space="preserve"> </w:t>
            </w:r>
            <w:r w:rsidRPr="00EC20A0">
              <w:t>material</w:t>
            </w:r>
            <w:r w:rsidRPr="00EC20A0">
              <w:rPr>
                <w:spacing w:val="-4"/>
              </w:rPr>
              <w:t xml:space="preserve"> </w:t>
            </w:r>
            <w:r w:rsidRPr="00EC20A0">
              <w:t>subsequent</w:t>
            </w:r>
            <w:r w:rsidRPr="00EC20A0">
              <w:rPr>
                <w:spacing w:val="-4"/>
              </w:rPr>
              <w:t xml:space="preserve"> </w:t>
            </w:r>
            <w:r w:rsidRPr="00EC20A0">
              <w:t>events? (FAM 550 and FAM 1005)</w:t>
            </w:r>
          </w:p>
        </w:tc>
        <w:tc>
          <w:tcPr>
            <w:tcW w:w="811" w:type="dxa"/>
            <w:tcBorders>
              <w:top w:val="single" w:sz="8" w:space="0" w:color="000000"/>
              <w:left w:val="single" w:sz="8" w:space="0" w:color="000000"/>
              <w:bottom w:val="single" w:sz="8" w:space="0" w:color="000000"/>
              <w:right w:val="single" w:sz="8" w:space="0" w:color="000000"/>
            </w:tcBorders>
          </w:tcPr>
          <w:p w14:paraId="24D62554"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55" w14:textId="77777777" w:rsidR="00245300" w:rsidRPr="00EC20A0" w:rsidRDefault="00245300">
            <w:pPr>
              <w:pStyle w:val="TableParagraph"/>
            </w:pPr>
          </w:p>
        </w:tc>
      </w:tr>
      <w:tr w:rsidR="00245300" w:rsidRPr="00EC20A0" w14:paraId="24D6255A" w14:textId="77777777">
        <w:trPr>
          <w:trHeight w:val="745"/>
        </w:trPr>
        <w:tc>
          <w:tcPr>
            <w:tcW w:w="7380" w:type="dxa"/>
            <w:tcBorders>
              <w:top w:val="single" w:sz="8" w:space="0" w:color="000000"/>
              <w:bottom w:val="single" w:sz="8" w:space="0" w:color="000000"/>
              <w:right w:val="single" w:sz="8" w:space="0" w:color="000000"/>
            </w:tcBorders>
          </w:tcPr>
          <w:p w14:paraId="24D62557" w14:textId="77777777" w:rsidR="00245300" w:rsidRPr="00EC20A0" w:rsidRDefault="00F17249">
            <w:pPr>
              <w:pStyle w:val="TableParagraph"/>
              <w:tabs>
                <w:tab w:val="left" w:pos="1249"/>
              </w:tabs>
              <w:spacing w:before="119"/>
              <w:ind w:left="1249" w:right="949" w:hanging="361"/>
            </w:pPr>
            <w:r w:rsidRPr="00EC20A0">
              <w:rPr>
                <w:spacing w:val="-6"/>
              </w:rPr>
              <w:t>i.</w:t>
            </w:r>
            <w:r w:rsidRPr="00EC20A0">
              <w:tab/>
              <w:t>Obtain</w:t>
            </w:r>
            <w:r w:rsidRPr="00EC20A0">
              <w:rPr>
                <w:spacing w:val="-8"/>
              </w:rPr>
              <w:t xml:space="preserve"> </w:t>
            </w:r>
            <w:r w:rsidRPr="00EC20A0">
              <w:t>management</w:t>
            </w:r>
            <w:r w:rsidRPr="00EC20A0">
              <w:rPr>
                <w:spacing w:val="-8"/>
              </w:rPr>
              <w:t xml:space="preserve"> </w:t>
            </w:r>
            <w:r w:rsidRPr="00EC20A0">
              <w:t>representations?</w:t>
            </w:r>
            <w:r w:rsidRPr="00EC20A0">
              <w:rPr>
                <w:spacing w:val="-8"/>
              </w:rPr>
              <w:t xml:space="preserve"> </w:t>
            </w:r>
            <w:r w:rsidRPr="00EC20A0">
              <w:t>(FAM</w:t>
            </w:r>
            <w:r w:rsidRPr="00EC20A0">
              <w:rPr>
                <w:spacing w:val="-9"/>
              </w:rPr>
              <w:t xml:space="preserve"> </w:t>
            </w:r>
            <w:r w:rsidRPr="00EC20A0">
              <w:t>550</w:t>
            </w:r>
            <w:r w:rsidRPr="00EC20A0">
              <w:rPr>
                <w:spacing w:val="-8"/>
              </w:rPr>
              <w:t xml:space="preserve"> </w:t>
            </w:r>
            <w:r w:rsidRPr="00EC20A0">
              <w:t>and FAM 1001)</w:t>
            </w:r>
          </w:p>
        </w:tc>
        <w:tc>
          <w:tcPr>
            <w:tcW w:w="811" w:type="dxa"/>
            <w:tcBorders>
              <w:top w:val="single" w:sz="8" w:space="0" w:color="000000"/>
              <w:left w:val="single" w:sz="8" w:space="0" w:color="000000"/>
              <w:bottom w:val="single" w:sz="8" w:space="0" w:color="000000"/>
              <w:right w:val="single" w:sz="8" w:space="0" w:color="000000"/>
            </w:tcBorders>
          </w:tcPr>
          <w:p w14:paraId="24D6255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59" w14:textId="77777777" w:rsidR="00245300" w:rsidRPr="00EC20A0" w:rsidRDefault="00245300">
            <w:pPr>
              <w:pStyle w:val="TableParagraph"/>
            </w:pPr>
          </w:p>
        </w:tc>
      </w:tr>
      <w:tr w:rsidR="00245300" w:rsidRPr="00EC20A0" w14:paraId="24D6255E" w14:textId="77777777">
        <w:trPr>
          <w:trHeight w:val="998"/>
        </w:trPr>
        <w:tc>
          <w:tcPr>
            <w:tcW w:w="7380" w:type="dxa"/>
            <w:tcBorders>
              <w:top w:val="single" w:sz="8" w:space="0" w:color="000000"/>
              <w:bottom w:val="single" w:sz="8" w:space="0" w:color="000000"/>
              <w:right w:val="single" w:sz="8" w:space="0" w:color="000000"/>
            </w:tcBorders>
          </w:tcPr>
          <w:p w14:paraId="24D6255B" w14:textId="77777777" w:rsidR="00245300" w:rsidRPr="00EC20A0" w:rsidRDefault="00F17249">
            <w:pPr>
              <w:pStyle w:val="TableParagraph"/>
              <w:tabs>
                <w:tab w:val="left" w:pos="1249"/>
              </w:tabs>
              <w:spacing w:before="119"/>
              <w:ind w:left="1250" w:right="640" w:hanging="361"/>
            </w:pPr>
            <w:r w:rsidRPr="00EC20A0">
              <w:rPr>
                <w:spacing w:val="-6"/>
              </w:rPr>
              <w:t>j.</w:t>
            </w:r>
            <w:r w:rsidRPr="00EC20A0">
              <w:tab/>
              <w:t>Identify</w:t>
            </w:r>
            <w:r w:rsidRPr="00EC20A0">
              <w:rPr>
                <w:spacing w:val="-6"/>
              </w:rPr>
              <w:t xml:space="preserve"> </w:t>
            </w:r>
            <w:r w:rsidRPr="00EC20A0">
              <w:t>and</w:t>
            </w:r>
            <w:r w:rsidRPr="00EC20A0">
              <w:rPr>
                <w:spacing w:val="-7"/>
              </w:rPr>
              <w:t xml:space="preserve"> </w:t>
            </w:r>
            <w:r w:rsidRPr="00EC20A0">
              <w:t>evaluate</w:t>
            </w:r>
            <w:r w:rsidRPr="00EC20A0">
              <w:rPr>
                <w:spacing w:val="-6"/>
              </w:rPr>
              <w:t xml:space="preserve"> </w:t>
            </w:r>
            <w:r w:rsidRPr="00EC20A0">
              <w:t>relationships</w:t>
            </w:r>
            <w:r w:rsidRPr="00EC20A0">
              <w:rPr>
                <w:spacing w:val="-7"/>
              </w:rPr>
              <w:t xml:space="preserve"> </w:t>
            </w:r>
            <w:r w:rsidRPr="00EC20A0">
              <w:t>and</w:t>
            </w:r>
            <w:r w:rsidRPr="00EC20A0">
              <w:rPr>
                <w:spacing w:val="-6"/>
              </w:rPr>
              <w:t xml:space="preserve"> </w:t>
            </w:r>
            <w:r w:rsidRPr="00EC20A0">
              <w:t>transactions</w:t>
            </w:r>
            <w:r w:rsidRPr="00EC20A0">
              <w:rPr>
                <w:spacing w:val="-6"/>
              </w:rPr>
              <w:t xml:space="preserve"> </w:t>
            </w:r>
            <w:r w:rsidRPr="00EC20A0">
              <w:t>with related parties, disclosure entities, and public-private partnerships? (FAM 550 and FAM 904)</w:t>
            </w:r>
          </w:p>
        </w:tc>
        <w:tc>
          <w:tcPr>
            <w:tcW w:w="811" w:type="dxa"/>
            <w:tcBorders>
              <w:top w:val="single" w:sz="8" w:space="0" w:color="000000"/>
              <w:left w:val="single" w:sz="8" w:space="0" w:color="000000"/>
              <w:bottom w:val="single" w:sz="8" w:space="0" w:color="000000"/>
              <w:right w:val="single" w:sz="8" w:space="0" w:color="000000"/>
            </w:tcBorders>
          </w:tcPr>
          <w:p w14:paraId="24D6255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5D" w14:textId="77777777" w:rsidR="00245300" w:rsidRPr="00EC20A0" w:rsidRDefault="00245300">
            <w:pPr>
              <w:pStyle w:val="TableParagraph"/>
            </w:pPr>
          </w:p>
        </w:tc>
      </w:tr>
      <w:tr w:rsidR="00245300" w:rsidRPr="00EC20A0" w14:paraId="24D62562" w14:textId="77777777">
        <w:trPr>
          <w:trHeight w:val="745"/>
        </w:trPr>
        <w:tc>
          <w:tcPr>
            <w:tcW w:w="7380" w:type="dxa"/>
            <w:tcBorders>
              <w:top w:val="single" w:sz="8" w:space="0" w:color="000000"/>
              <w:bottom w:val="single" w:sz="8" w:space="0" w:color="000000"/>
              <w:right w:val="single" w:sz="8" w:space="0" w:color="000000"/>
            </w:tcBorders>
          </w:tcPr>
          <w:p w14:paraId="24D6255F" w14:textId="77777777" w:rsidR="00245300" w:rsidRPr="00EC20A0" w:rsidRDefault="00F17249">
            <w:pPr>
              <w:pStyle w:val="TableParagraph"/>
              <w:spacing w:before="119"/>
              <w:ind w:left="1249" w:right="172" w:hanging="360"/>
            </w:pPr>
            <w:r w:rsidRPr="00EC20A0">
              <w:t>k.</w:t>
            </w:r>
            <w:r w:rsidRPr="00EC20A0">
              <w:rPr>
                <w:spacing w:val="80"/>
              </w:rPr>
              <w:t xml:space="preserve"> </w:t>
            </w:r>
            <w:r w:rsidRPr="00EC20A0">
              <w:t>Communicate</w:t>
            </w:r>
            <w:r w:rsidRPr="00EC20A0">
              <w:rPr>
                <w:spacing w:val="-5"/>
              </w:rPr>
              <w:t xml:space="preserve"> </w:t>
            </w:r>
            <w:r w:rsidRPr="00EC20A0">
              <w:t>with</w:t>
            </w:r>
            <w:r w:rsidRPr="00EC20A0">
              <w:rPr>
                <w:spacing w:val="-5"/>
              </w:rPr>
              <w:t xml:space="preserve"> </w:t>
            </w:r>
            <w:r w:rsidRPr="00EC20A0">
              <w:t>those</w:t>
            </w:r>
            <w:r w:rsidRPr="00EC20A0">
              <w:rPr>
                <w:spacing w:val="-5"/>
              </w:rPr>
              <w:t xml:space="preserve"> </w:t>
            </w:r>
            <w:r w:rsidRPr="00EC20A0">
              <w:t>charged</w:t>
            </w:r>
            <w:r w:rsidRPr="00EC20A0">
              <w:rPr>
                <w:spacing w:val="-5"/>
              </w:rPr>
              <w:t xml:space="preserve"> </w:t>
            </w:r>
            <w:r w:rsidRPr="00EC20A0">
              <w:t>with</w:t>
            </w:r>
            <w:r w:rsidRPr="00EC20A0">
              <w:rPr>
                <w:spacing w:val="-5"/>
              </w:rPr>
              <w:t xml:space="preserve"> </w:t>
            </w:r>
            <w:r w:rsidRPr="00EC20A0">
              <w:t>governance?</w:t>
            </w:r>
            <w:r w:rsidRPr="00EC20A0">
              <w:rPr>
                <w:spacing w:val="-5"/>
              </w:rPr>
              <w:t xml:space="preserve"> </w:t>
            </w:r>
            <w:r w:rsidRPr="00EC20A0">
              <w:t xml:space="preserve">(FAM </w:t>
            </w:r>
            <w:r w:rsidRPr="00EC20A0">
              <w:rPr>
                <w:spacing w:val="-4"/>
              </w:rPr>
              <w:t>550)</w:t>
            </w:r>
          </w:p>
        </w:tc>
        <w:tc>
          <w:tcPr>
            <w:tcW w:w="811" w:type="dxa"/>
            <w:tcBorders>
              <w:top w:val="single" w:sz="8" w:space="0" w:color="000000"/>
              <w:left w:val="single" w:sz="8" w:space="0" w:color="000000"/>
              <w:bottom w:val="single" w:sz="8" w:space="0" w:color="000000"/>
              <w:right w:val="single" w:sz="8" w:space="0" w:color="000000"/>
            </w:tcBorders>
          </w:tcPr>
          <w:p w14:paraId="24D62560"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61" w14:textId="77777777" w:rsidR="00245300" w:rsidRPr="00EC20A0" w:rsidRDefault="00245300">
            <w:pPr>
              <w:pStyle w:val="TableParagraph"/>
            </w:pPr>
          </w:p>
        </w:tc>
      </w:tr>
      <w:tr w:rsidR="00245300" w:rsidRPr="00EC20A0" w14:paraId="24D62566" w14:textId="77777777">
        <w:trPr>
          <w:trHeight w:val="1505"/>
        </w:trPr>
        <w:tc>
          <w:tcPr>
            <w:tcW w:w="7380" w:type="dxa"/>
            <w:tcBorders>
              <w:top w:val="single" w:sz="8" w:space="0" w:color="000000"/>
              <w:bottom w:val="single" w:sz="8" w:space="0" w:color="000000"/>
              <w:right w:val="single" w:sz="8" w:space="0" w:color="000000"/>
            </w:tcBorders>
          </w:tcPr>
          <w:p w14:paraId="24D62563" w14:textId="77777777" w:rsidR="00245300" w:rsidRPr="00EC20A0" w:rsidRDefault="00F17249">
            <w:pPr>
              <w:pStyle w:val="TableParagraph"/>
              <w:tabs>
                <w:tab w:val="left" w:pos="1249"/>
              </w:tabs>
              <w:spacing w:before="121"/>
              <w:ind w:left="1248" w:right="387" w:hanging="360"/>
            </w:pPr>
            <w:r w:rsidRPr="00EC20A0">
              <w:rPr>
                <w:spacing w:val="-6"/>
              </w:rPr>
              <w:t>l.</w:t>
            </w:r>
            <w:r w:rsidRPr="00EC20A0">
              <w:tab/>
              <w:t>Assess and conclude on procedures performed for RSI, including</w:t>
            </w:r>
            <w:r w:rsidRPr="00EC20A0">
              <w:rPr>
                <w:spacing w:val="-8"/>
              </w:rPr>
              <w:t xml:space="preserve"> </w:t>
            </w:r>
            <w:r w:rsidRPr="00EC20A0">
              <w:t>Management’s</w:t>
            </w:r>
            <w:r w:rsidRPr="00EC20A0">
              <w:rPr>
                <w:spacing w:val="-8"/>
              </w:rPr>
              <w:t xml:space="preserve"> </w:t>
            </w:r>
            <w:r w:rsidRPr="00EC20A0">
              <w:t>Discussion</w:t>
            </w:r>
            <w:r w:rsidRPr="00EC20A0">
              <w:rPr>
                <w:spacing w:val="-8"/>
              </w:rPr>
              <w:t xml:space="preserve"> </w:t>
            </w:r>
            <w:r w:rsidRPr="00EC20A0">
              <w:t>and</w:t>
            </w:r>
            <w:r w:rsidRPr="00EC20A0">
              <w:rPr>
                <w:spacing w:val="-8"/>
              </w:rPr>
              <w:t xml:space="preserve"> </w:t>
            </w:r>
            <w:r w:rsidRPr="00EC20A0">
              <w:t>Analysis</w:t>
            </w:r>
            <w:r w:rsidRPr="00EC20A0">
              <w:rPr>
                <w:spacing w:val="-8"/>
              </w:rPr>
              <w:t xml:space="preserve"> </w:t>
            </w:r>
            <w:r w:rsidRPr="00EC20A0">
              <w:t xml:space="preserve">(MD&amp;A), and other information in the entity’s annual report (e.g., performance and accountability report or agency </w:t>
            </w:r>
            <w:r w:rsidRPr="00EC20A0">
              <w:t>financial report)? (FAM 550)</w:t>
            </w:r>
          </w:p>
        </w:tc>
        <w:tc>
          <w:tcPr>
            <w:tcW w:w="811" w:type="dxa"/>
            <w:tcBorders>
              <w:top w:val="single" w:sz="8" w:space="0" w:color="000000"/>
              <w:left w:val="single" w:sz="8" w:space="0" w:color="000000"/>
              <w:bottom w:val="single" w:sz="8" w:space="0" w:color="000000"/>
              <w:right w:val="single" w:sz="8" w:space="0" w:color="000000"/>
            </w:tcBorders>
          </w:tcPr>
          <w:p w14:paraId="24D62564"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65" w14:textId="77777777" w:rsidR="00245300" w:rsidRPr="00EC20A0" w:rsidRDefault="00245300">
            <w:pPr>
              <w:pStyle w:val="TableParagraph"/>
            </w:pPr>
          </w:p>
        </w:tc>
      </w:tr>
      <w:tr w:rsidR="00245300" w:rsidRPr="00EC20A0" w14:paraId="24D6256A" w14:textId="77777777">
        <w:trPr>
          <w:trHeight w:val="1251"/>
        </w:trPr>
        <w:tc>
          <w:tcPr>
            <w:tcW w:w="7380" w:type="dxa"/>
            <w:tcBorders>
              <w:top w:val="single" w:sz="8" w:space="0" w:color="000000"/>
              <w:bottom w:val="single" w:sz="8" w:space="0" w:color="000000"/>
              <w:right w:val="single" w:sz="8" w:space="0" w:color="000000"/>
            </w:tcBorders>
          </w:tcPr>
          <w:p w14:paraId="24D62567" w14:textId="77777777" w:rsidR="00245300" w:rsidRPr="00EC20A0" w:rsidRDefault="00F17249">
            <w:pPr>
              <w:pStyle w:val="TableParagraph"/>
              <w:spacing w:before="121"/>
              <w:ind w:left="843" w:right="172" w:hanging="360"/>
            </w:pPr>
            <w:r w:rsidRPr="00EC20A0">
              <w:t>22. Did the auditor evaluate the severity of each internal control deficiency identified and determine whether the deficiency, individually</w:t>
            </w:r>
            <w:r w:rsidRPr="00EC20A0">
              <w:rPr>
                <w:spacing w:val="-5"/>
              </w:rPr>
              <w:t xml:space="preserve"> </w:t>
            </w:r>
            <w:r w:rsidRPr="00EC20A0">
              <w:t>or</w:t>
            </w:r>
            <w:r w:rsidRPr="00EC20A0">
              <w:rPr>
                <w:spacing w:val="-4"/>
              </w:rPr>
              <w:t xml:space="preserve"> </w:t>
            </w:r>
            <w:r w:rsidRPr="00EC20A0">
              <w:t>in</w:t>
            </w:r>
            <w:r w:rsidRPr="00EC20A0">
              <w:rPr>
                <w:spacing w:val="-4"/>
              </w:rPr>
              <w:t xml:space="preserve"> </w:t>
            </w:r>
            <w:r w:rsidRPr="00EC20A0">
              <w:t>combination</w:t>
            </w:r>
            <w:r w:rsidRPr="00EC20A0">
              <w:rPr>
                <w:spacing w:val="-4"/>
              </w:rPr>
              <w:t xml:space="preserve"> </w:t>
            </w:r>
            <w:r w:rsidRPr="00EC20A0">
              <w:t>with</w:t>
            </w:r>
            <w:r w:rsidRPr="00EC20A0">
              <w:rPr>
                <w:spacing w:val="-4"/>
              </w:rPr>
              <w:t xml:space="preserve"> </w:t>
            </w:r>
            <w:r w:rsidRPr="00EC20A0">
              <w:t>others,</w:t>
            </w:r>
            <w:r w:rsidRPr="00EC20A0">
              <w:rPr>
                <w:spacing w:val="-4"/>
              </w:rPr>
              <w:t xml:space="preserve"> </w:t>
            </w:r>
            <w:r w:rsidRPr="00EC20A0">
              <w:t>is</w:t>
            </w:r>
            <w:r w:rsidRPr="00EC20A0">
              <w:rPr>
                <w:spacing w:val="-4"/>
              </w:rPr>
              <w:t xml:space="preserve"> </w:t>
            </w:r>
            <w:r w:rsidRPr="00EC20A0">
              <w:t>a</w:t>
            </w:r>
            <w:r w:rsidRPr="00EC20A0">
              <w:rPr>
                <w:spacing w:val="-4"/>
              </w:rPr>
              <w:t xml:space="preserve"> </w:t>
            </w:r>
            <w:r w:rsidRPr="00EC20A0">
              <w:t>material</w:t>
            </w:r>
            <w:r w:rsidRPr="00EC20A0">
              <w:rPr>
                <w:spacing w:val="-4"/>
              </w:rPr>
              <w:t xml:space="preserve"> </w:t>
            </w:r>
            <w:r w:rsidRPr="00EC20A0">
              <w:t xml:space="preserve">weakness or a significant </w:t>
            </w:r>
            <w:r w:rsidRPr="00EC20A0">
              <w:t>deficiency? (FAM 580)</w:t>
            </w:r>
          </w:p>
        </w:tc>
        <w:tc>
          <w:tcPr>
            <w:tcW w:w="811" w:type="dxa"/>
            <w:tcBorders>
              <w:top w:val="single" w:sz="8" w:space="0" w:color="000000"/>
              <w:left w:val="single" w:sz="8" w:space="0" w:color="000000"/>
              <w:bottom w:val="single" w:sz="8" w:space="0" w:color="000000"/>
              <w:right w:val="single" w:sz="8" w:space="0" w:color="000000"/>
            </w:tcBorders>
          </w:tcPr>
          <w:p w14:paraId="24D62568"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69" w14:textId="77777777" w:rsidR="00245300" w:rsidRPr="00EC20A0" w:rsidRDefault="00245300">
            <w:pPr>
              <w:pStyle w:val="TableParagraph"/>
            </w:pPr>
          </w:p>
        </w:tc>
      </w:tr>
      <w:tr w:rsidR="00245300" w:rsidRPr="00EC20A0" w14:paraId="24D6256E" w14:textId="77777777">
        <w:trPr>
          <w:trHeight w:val="1253"/>
        </w:trPr>
        <w:tc>
          <w:tcPr>
            <w:tcW w:w="7380" w:type="dxa"/>
            <w:tcBorders>
              <w:top w:val="single" w:sz="8" w:space="0" w:color="000000"/>
              <w:bottom w:val="single" w:sz="8" w:space="0" w:color="000000"/>
              <w:right w:val="single" w:sz="8" w:space="0" w:color="000000"/>
            </w:tcBorders>
          </w:tcPr>
          <w:p w14:paraId="24D6256B" w14:textId="77777777" w:rsidR="00245300" w:rsidRPr="00EC20A0" w:rsidRDefault="00F17249">
            <w:pPr>
              <w:pStyle w:val="TableParagraph"/>
              <w:spacing w:before="119"/>
              <w:ind w:left="843" w:right="485" w:hanging="360"/>
              <w:jc w:val="both"/>
            </w:pPr>
            <w:r w:rsidRPr="00EC20A0">
              <w:t>23.</w:t>
            </w:r>
            <w:r w:rsidRPr="00EC20A0">
              <w:rPr>
                <w:spacing w:val="-7"/>
              </w:rPr>
              <w:t xml:space="preserve"> </w:t>
            </w:r>
            <w:r w:rsidRPr="00EC20A0">
              <w:t>Does the audit summary memorandum</w:t>
            </w:r>
            <w:r w:rsidRPr="00EC20A0">
              <w:rPr>
                <w:spacing w:val="-1"/>
              </w:rPr>
              <w:t xml:space="preserve"> </w:t>
            </w:r>
            <w:r w:rsidRPr="00EC20A0">
              <w:t>or equivalent properly summarize</w:t>
            </w:r>
            <w:r w:rsidRPr="00EC20A0">
              <w:rPr>
                <w:spacing w:val="-6"/>
              </w:rPr>
              <w:t xml:space="preserve"> </w:t>
            </w:r>
            <w:r w:rsidRPr="00EC20A0">
              <w:t>or</w:t>
            </w:r>
            <w:r w:rsidRPr="00EC20A0">
              <w:rPr>
                <w:spacing w:val="-6"/>
              </w:rPr>
              <w:t xml:space="preserve"> </w:t>
            </w:r>
            <w:r w:rsidRPr="00EC20A0">
              <w:t>refer</w:t>
            </w:r>
            <w:r w:rsidRPr="00EC20A0">
              <w:rPr>
                <w:spacing w:val="-6"/>
              </w:rPr>
              <w:t xml:space="preserve"> </w:t>
            </w:r>
            <w:r w:rsidRPr="00EC20A0">
              <w:t>to</w:t>
            </w:r>
            <w:r w:rsidRPr="00EC20A0">
              <w:rPr>
                <w:spacing w:val="-6"/>
              </w:rPr>
              <w:t xml:space="preserve"> </w:t>
            </w:r>
            <w:r w:rsidRPr="00EC20A0">
              <w:t>documentation</w:t>
            </w:r>
            <w:r w:rsidRPr="00EC20A0">
              <w:rPr>
                <w:spacing w:val="-6"/>
              </w:rPr>
              <w:t xml:space="preserve"> </w:t>
            </w:r>
            <w:r w:rsidRPr="00EC20A0">
              <w:t>addressing</w:t>
            </w:r>
            <w:r w:rsidRPr="00EC20A0">
              <w:rPr>
                <w:spacing w:val="-6"/>
              </w:rPr>
              <w:t xml:space="preserve"> </w:t>
            </w:r>
            <w:r w:rsidRPr="00EC20A0">
              <w:t>the</w:t>
            </w:r>
            <w:r w:rsidRPr="00EC20A0">
              <w:rPr>
                <w:spacing w:val="-6"/>
              </w:rPr>
              <w:t xml:space="preserve"> </w:t>
            </w:r>
            <w:r w:rsidRPr="00EC20A0">
              <w:t>following (FAM 590)? (Note: If the situation or issue did not occur, then answer N/A.)</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24D6256C"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shd w:val="clear" w:color="auto" w:fill="BEBEBE"/>
          </w:tcPr>
          <w:p w14:paraId="24D6256D" w14:textId="77777777" w:rsidR="00245300" w:rsidRPr="00EC20A0" w:rsidRDefault="00245300">
            <w:pPr>
              <w:pStyle w:val="TableParagraph"/>
            </w:pPr>
          </w:p>
        </w:tc>
      </w:tr>
    </w:tbl>
    <w:p w14:paraId="24D6256F" w14:textId="77777777" w:rsidR="00245300" w:rsidRPr="00EC20A0" w:rsidRDefault="00245300">
      <w:pPr>
        <w:sectPr w:rsidR="00245300" w:rsidRPr="00EC20A0">
          <w:pgSz w:w="12240" w:h="15840"/>
          <w:pgMar w:top="1340" w:right="460" w:bottom="940" w:left="560" w:header="721" w:footer="757" w:gutter="0"/>
          <w:cols w:space="720"/>
        </w:sectPr>
      </w:pPr>
    </w:p>
    <w:p w14:paraId="24D62570"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577" w14:textId="77777777">
        <w:trPr>
          <w:trHeight w:val="936"/>
        </w:trPr>
        <w:tc>
          <w:tcPr>
            <w:tcW w:w="7380" w:type="dxa"/>
            <w:tcBorders>
              <w:right w:val="single" w:sz="8" w:space="0" w:color="000000"/>
            </w:tcBorders>
            <w:shd w:val="clear" w:color="auto" w:fill="A6A6A6"/>
          </w:tcPr>
          <w:p w14:paraId="24D62571" w14:textId="77777777" w:rsidR="00245300" w:rsidRPr="00EC20A0" w:rsidRDefault="00245300">
            <w:pPr>
              <w:pStyle w:val="TableParagraph"/>
              <w:spacing w:before="266"/>
              <w:rPr>
                <w:b/>
                <w:sz w:val="24"/>
              </w:rPr>
            </w:pPr>
          </w:p>
          <w:p w14:paraId="24D62572"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573"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574" w14:textId="77777777" w:rsidR="00245300" w:rsidRPr="00EC20A0" w:rsidRDefault="00245300">
            <w:pPr>
              <w:pStyle w:val="TableParagraph"/>
              <w:rPr>
                <w:b/>
              </w:rPr>
            </w:pPr>
          </w:p>
          <w:p w14:paraId="24D62575" w14:textId="77777777" w:rsidR="00245300" w:rsidRPr="00EC20A0" w:rsidRDefault="00245300">
            <w:pPr>
              <w:pStyle w:val="TableParagraph"/>
              <w:spacing w:before="120"/>
              <w:rPr>
                <w:b/>
              </w:rPr>
            </w:pPr>
          </w:p>
          <w:p w14:paraId="24D62576"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57B" w14:textId="77777777">
        <w:trPr>
          <w:trHeight w:val="999"/>
        </w:trPr>
        <w:tc>
          <w:tcPr>
            <w:tcW w:w="7380" w:type="dxa"/>
            <w:tcBorders>
              <w:bottom w:val="single" w:sz="8" w:space="0" w:color="000000"/>
              <w:right w:val="single" w:sz="8" w:space="0" w:color="000000"/>
            </w:tcBorders>
          </w:tcPr>
          <w:p w14:paraId="24D62578" w14:textId="77777777" w:rsidR="00245300" w:rsidRPr="00EC20A0" w:rsidRDefault="00F17249">
            <w:pPr>
              <w:pStyle w:val="TableParagraph"/>
              <w:spacing w:before="121"/>
              <w:ind w:left="1249" w:right="172" w:hanging="360"/>
            </w:pPr>
            <w:r w:rsidRPr="00EC20A0">
              <w:t>a.</w:t>
            </w:r>
            <w:r w:rsidRPr="00EC20A0">
              <w:rPr>
                <w:spacing w:val="80"/>
              </w:rPr>
              <w:t xml:space="preserve"> </w:t>
            </w:r>
            <w:r w:rsidRPr="00EC20A0">
              <w:t>Any significant changes from the auditor’s original assessment</w:t>
            </w:r>
            <w:r w:rsidRPr="00EC20A0">
              <w:rPr>
                <w:spacing w:val="-6"/>
              </w:rPr>
              <w:t xml:space="preserve"> </w:t>
            </w:r>
            <w:r w:rsidRPr="00EC20A0">
              <w:t>of</w:t>
            </w:r>
            <w:r w:rsidRPr="00EC20A0">
              <w:rPr>
                <w:spacing w:val="-5"/>
              </w:rPr>
              <w:t xml:space="preserve"> </w:t>
            </w:r>
            <w:r w:rsidRPr="00EC20A0">
              <w:t>materiality</w:t>
            </w:r>
            <w:r w:rsidRPr="00EC20A0">
              <w:rPr>
                <w:spacing w:val="-5"/>
              </w:rPr>
              <w:t xml:space="preserve"> </w:t>
            </w:r>
            <w:r w:rsidRPr="00EC20A0">
              <w:t>for</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as</w:t>
            </w:r>
            <w:r w:rsidRPr="00EC20A0">
              <w:rPr>
                <w:spacing w:val="-4"/>
              </w:rPr>
              <w:t xml:space="preserve"> </w:t>
            </w:r>
            <w:r w:rsidRPr="00EC20A0">
              <w:t>a whole and the risks of material misstatement.</w:t>
            </w:r>
          </w:p>
        </w:tc>
        <w:tc>
          <w:tcPr>
            <w:tcW w:w="811" w:type="dxa"/>
            <w:tcBorders>
              <w:left w:val="single" w:sz="8" w:space="0" w:color="000000"/>
              <w:bottom w:val="single" w:sz="8" w:space="0" w:color="000000"/>
              <w:right w:val="single" w:sz="8" w:space="0" w:color="000000"/>
            </w:tcBorders>
          </w:tcPr>
          <w:p w14:paraId="24D62579"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57A" w14:textId="77777777" w:rsidR="00245300" w:rsidRPr="00EC20A0" w:rsidRDefault="00245300">
            <w:pPr>
              <w:pStyle w:val="TableParagraph"/>
            </w:pPr>
          </w:p>
        </w:tc>
      </w:tr>
      <w:tr w:rsidR="00245300" w:rsidRPr="00EC20A0" w14:paraId="24D6257F" w14:textId="77777777">
        <w:trPr>
          <w:trHeight w:val="1758"/>
        </w:trPr>
        <w:tc>
          <w:tcPr>
            <w:tcW w:w="7380" w:type="dxa"/>
            <w:tcBorders>
              <w:top w:val="single" w:sz="8" w:space="0" w:color="000000"/>
              <w:bottom w:val="single" w:sz="8" w:space="0" w:color="000000"/>
              <w:right w:val="single" w:sz="8" w:space="0" w:color="000000"/>
            </w:tcBorders>
          </w:tcPr>
          <w:p w14:paraId="24D6257C" w14:textId="77777777" w:rsidR="00245300" w:rsidRPr="00EC20A0" w:rsidRDefault="00F17249">
            <w:pPr>
              <w:pStyle w:val="TableParagraph"/>
              <w:spacing w:before="121"/>
              <w:ind w:left="1249" w:right="140" w:hanging="360"/>
            </w:pPr>
            <w:r w:rsidRPr="00EC20A0">
              <w:t>b.</w:t>
            </w:r>
            <w:r w:rsidRPr="00EC20A0">
              <w:rPr>
                <w:spacing w:val="80"/>
              </w:rPr>
              <w:t xml:space="preserve"> </w:t>
            </w:r>
            <w:r w:rsidRPr="00EC20A0">
              <w:t xml:space="preserve">Any additional </w:t>
            </w:r>
            <w:r w:rsidRPr="00EC20A0">
              <w:t>fraud risks or other conditions beyond those considered in planning (FAM 265), including analytical relationships identified during the audit that caused the auditor to believe that additional audit procedures or any other</w:t>
            </w:r>
            <w:r w:rsidRPr="00EC20A0">
              <w:rPr>
                <w:spacing w:val="-5"/>
              </w:rPr>
              <w:t xml:space="preserve"> </w:t>
            </w:r>
            <w:r w:rsidRPr="00EC20A0">
              <w:t>response</w:t>
            </w:r>
            <w:r w:rsidRPr="00EC20A0">
              <w:rPr>
                <w:spacing w:val="-5"/>
              </w:rPr>
              <w:t xml:space="preserve"> </w:t>
            </w:r>
            <w:r w:rsidRPr="00EC20A0">
              <w:t>was</w:t>
            </w:r>
            <w:r w:rsidRPr="00EC20A0">
              <w:rPr>
                <w:spacing w:val="-5"/>
              </w:rPr>
              <w:t xml:space="preserve"> </w:t>
            </w:r>
            <w:r w:rsidRPr="00EC20A0">
              <w:t>required,</w:t>
            </w:r>
            <w:r w:rsidRPr="00EC20A0">
              <w:rPr>
                <w:spacing w:val="-5"/>
              </w:rPr>
              <w:t xml:space="preserve"> </w:t>
            </w:r>
            <w:r w:rsidRPr="00EC20A0">
              <w:t>as</w:t>
            </w:r>
            <w:r w:rsidRPr="00EC20A0">
              <w:rPr>
                <w:spacing w:val="-5"/>
              </w:rPr>
              <w:t xml:space="preserve"> </w:t>
            </w:r>
            <w:r w:rsidRPr="00EC20A0">
              <w:t>well</w:t>
            </w:r>
            <w:r w:rsidRPr="00EC20A0">
              <w:rPr>
                <w:spacing w:val="-5"/>
              </w:rPr>
              <w:t xml:space="preserve"> </w:t>
            </w:r>
            <w:r w:rsidRPr="00EC20A0">
              <w:t>as</w:t>
            </w:r>
            <w:r w:rsidRPr="00EC20A0">
              <w:rPr>
                <w:spacing w:val="-5"/>
              </w:rPr>
              <w:t xml:space="preserve"> </w:t>
            </w:r>
            <w:r w:rsidRPr="00EC20A0">
              <w:t>any</w:t>
            </w:r>
            <w:r w:rsidRPr="00EC20A0">
              <w:rPr>
                <w:spacing w:val="-6"/>
              </w:rPr>
              <w:t xml:space="preserve"> </w:t>
            </w:r>
            <w:r w:rsidRPr="00EC20A0">
              <w:t>further</w:t>
            </w:r>
            <w:r w:rsidRPr="00EC20A0">
              <w:rPr>
                <w:spacing w:val="-5"/>
              </w:rPr>
              <w:t xml:space="preserve"> </w:t>
            </w:r>
            <w:r w:rsidRPr="00EC20A0">
              <w:t>response that the auditor concluded was appropriate.</w:t>
            </w:r>
          </w:p>
        </w:tc>
        <w:tc>
          <w:tcPr>
            <w:tcW w:w="811" w:type="dxa"/>
            <w:tcBorders>
              <w:top w:val="single" w:sz="8" w:space="0" w:color="000000"/>
              <w:left w:val="single" w:sz="8" w:space="0" w:color="000000"/>
              <w:bottom w:val="single" w:sz="8" w:space="0" w:color="000000"/>
              <w:right w:val="single" w:sz="8" w:space="0" w:color="000000"/>
            </w:tcBorders>
          </w:tcPr>
          <w:p w14:paraId="24D6257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7E" w14:textId="77777777" w:rsidR="00245300" w:rsidRPr="00EC20A0" w:rsidRDefault="00245300">
            <w:pPr>
              <w:pStyle w:val="TableParagraph"/>
            </w:pPr>
          </w:p>
        </w:tc>
      </w:tr>
      <w:tr w:rsidR="00245300" w:rsidRPr="00EC20A0" w14:paraId="24D62583" w14:textId="77777777">
        <w:trPr>
          <w:trHeight w:val="1504"/>
        </w:trPr>
        <w:tc>
          <w:tcPr>
            <w:tcW w:w="7380" w:type="dxa"/>
            <w:tcBorders>
              <w:top w:val="single" w:sz="8" w:space="0" w:color="000000"/>
              <w:bottom w:val="single" w:sz="8" w:space="0" w:color="000000"/>
              <w:right w:val="single" w:sz="8" w:space="0" w:color="000000"/>
            </w:tcBorders>
          </w:tcPr>
          <w:p w14:paraId="24D62580" w14:textId="77777777" w:rsidR="00245300" w:rsidRPr="00EC20A0" w:rsidRDefault="00F17249">
            <w:pPr>
              <w:pStyle w:val="TableParagraph"/>
              <w:spacing w:before="119"/>
              <w:ind w:left="1249" w:right="172" w:hanging="360"/>
            </w:pPr>
            <w:r w:rsidRPr="00EC20A0">
              <w:t>c.</w:t>
            </w:r>
            <w:r w:rsidRPr="00EC20A0">
              <w:rPr>
                <w:spacing w:val="80"/>
              </w:rPr>
              <w:t xml:space="preserve"> </w:t>
            </w:r>
            <w:r w:rsidRPr="00EC20A0">
              <w:t xml:space="preserve">The results of the procedures performed to specifically address the risk of management override of controls, including the consideration of the qualitative aspects of the </w:t>
            </w:r>
            <w:r w:rsidRPr="00EC20A0">
              <w:t>entity’s</w:t>
            </w:r>
            <w:r w:rsidRPr="00EC20A0">
              <w:rPr>
                <w:spacing w:val="-7"/>
              </w:rPr>
              <w:t xml:space="preserve"> </w:t>
            </w:r>
            <w:r w:rsidRPr="00EC20A0">
              <w:t>accounting</w:t>
            </w:r>
            <w:r w:rsidRPr="00EC20A0">
              <w:rPr>
                <w:spacing w:val="-6"/>
              </w:rPr>
              <w:t xml:space="preserve"> </w:t>
            </w:r>
            <w:r w:rsidRPr="00EC20A0">
              <w:t>practices,</w:t>
            </w:r>
            <w:r w:rsidRPr="00EC20A0">
              <w:rPr>
                <w:spacing w:val="-6"/>
              </w:rPr>
              <w:t xml:space="preserve"> </w:t>
            </w:r>
            <w:r w:rsidRPr="00EC20A0">
              <w:t>including</w:t>
            </w:r>
            <w:r w:rsidRPr="00EC20A0">
              <w:rPr>
                <w:spacing w:val="-6"/>
              </w:rPr>
              <w:t xml:space="preserve"> </w:t>
            </w:r>
            <w:r w:rsidRPr="00EC20A0">
              <w:t>indicators</w:t>
            </w:r>
            <w:r w:rsidRPr="00EC20A0">
              <w:rPr>
                <w:spacing w:val="-7"/>
              </w:rPr>
              <w:t xml:space="preserve"> </w:t>
            </w:r>
            <w:r w:rsidRPr="00EC20A0">
              <w:t>of</w:t>
            </w:r>
            <w:r w:rsidRPr="00EC20A0">
              <w:rPr>
                <w:spacing w:val="-6"/>
              </w:rPr>
              <w:t xml:space="preserve"> </w:t>
            </w:r>
            <w:r w:rsidRPr="00EC20A0">
              <w:t>possible bias in management’s judgments.</w:t>
            </w:r>
          </w:p>
        </w:tc>
        <w:tc>
          <w:tcPr>
            <w:tcW w:w="811" w:type="dxa"/>
            <w:tcBorders>
              <w:top w:val="single" w:sz="8" w:space="0" w:color="000000"/>
              <w:left w:val="single" w:sz="8" w:space="0" w:color="000000"/>
              <w:bottom w:val="single" w:sz="8" w:space="0" w:color="000000"/>
              <w:right w:val="single" w:sz="8" w:space="0" w:color="000000"/>
            </w:tcBorders>
          </w:tcPr>
          <w:p w14:paraId="24D6258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82" w14:textId="77777777" w:rsidR="00245300" w:rsidRPr="00EC20A0" w:rsidRDefault="00245300">
            <w:pPr>
              <w:pStyle w:val="TableParagraph"/>
            </w:pPr>
          </w:p>
        </w:tc>
      </w:tr>
      <w:tr w:rsidR="00245300" w:rsidRPr="00EC20A0" w14:paraId="24D62587" w14:textId="77777777">
        <w:trPr>
          <w:trHeight w:val="1505"/>
        </w:trPr>
        <w:tc>
          <w:tcPr>
            <w:tcW w:w="7380" w:type="dxa"/>
            <w:tcBorders>
              <w:top w:val="single" w:sz="8" w:space="0" w:color="000000"/>
              <w:bottom w:val="single" w:sz="8" w:space="0" w:color="000000"/>
              <w:right w:val="single" w:sz="8" w:space="0" w:color="000000"/>
            </w:tcBorders>
          </w:tcPr>
          <w:p w14:paraId="24D62584" w14:textId="77777777" w:rsidR="00245300" w:rsidRPr="00EC20A0" w:rsidRDefault="00F17249">
            <w:pPr>
              <w:pStyle w:val="TableParagraph"/>
              <w:spacing w:before="121"/>
              <w:ind w:left="1249" w:hanging="360"/>
            </w:pPr>
            <w:r w:rsidRPr="00EC20A0">
              <w:t>d.</w:t>
            </w:r>
            <w:r w:rsidRPr="00EC20A0">
              <w:rPr>
                <w:spacing w:val="80"/>
              </w:rPr>
              <w:t xml:space="preserve"> </w:t>
            </w:r>
            <w:r w:rsidRPr="00EC20A0">
              <w:t>The</w:t>
            </w:r>
            <w:r w:rsidRPr="00EC20A0">
              <w:rPr>
                <w:spacing w:val="-4"/>
              </w:rPr>
              <w:t xml:space="preserve"> </w:t>
            </w:r>
            <w:r w:rsidRPr="00EC20A0">
              <w:t>work</w:t>
            </w:r>
            <w:r w:rsidRPr="00EC20A0">
              <w:rPr>
                <w:spacing w:val="-4"/>
              </w:rPr>
              <w:t xml:space="preserve"> </w:t>
            </w:r>
            <w:r w:rsidRPr="00EC20A0">
              <w:t>performed</w:t>
            </w:r>
            <w:r w:rsidRPr="00EC20A0">
              <w:rPr>
                <w:spacing w:val="-4"/>
              </w:rPr>
              <w:t xml:space="preserve"> </w:t>
            </w:r>
            <w:r w:rsidRPr="00EC20A0">
              <w:t>that</w:t>
            </w:r>
            <w:r w:rsidRPr="00EC20A0">
              <w:rPr>
                <w:spacing w:val="-4"/>
              </w:rPr>
              <w:t xml:space="preserve"> </w:t>
            </w:r>
            <w:r w:rsidRPr="00EC20A0">
              <w:t>demonstrates</w:t>
            </w:r>
            <w:r w:rsidRPr="00EC20A0">
              <w:rPr>
                <w:spacing w:val="-4"/>
              </w:rPr>
              <w:t xml:space="preserve"> </w:t>
            </w:r>
            <w:r w:rsidRPr="00EC20A0">
              <w:t>that</w:t>
            </w:r>
            <w:r w:rsidRPr="00EC20A0">
              <w:rPr>
                <w:spacing w:val="-4"/>
              </w:rPr>
              <w:t xml:space="preserve"> </w:t>
            </w:r>
            <w:r w:rsidRPr="00EC20A0">
              <w:t>information</w:t>
            </w:r>
            <w:r w:rsidRPr="00EC20A0">
              <w:rPr>
                <w:spacing w:val="-4"/>
              </w:rPr>
              <w:t xml:space="preserve"> </w:t>
            </w:r>
            <w:r w:rsidRPr="00EC20A0">
              <w:t>in</w:t>
            </w:r>
            <w:r w:rsidRPr="00EC20A0">
              <w:rPr>
                <w:spacing w:val="-4"/>
              </w:rPr>
              <w:t xml:space="preserve"> </w:t>
            </w:r>
            <w:r w:rsidRPr="00EC20A0">
              <w:t xml:space="preserve">the financial statements agrees or reconciles with the underlying accounting records, </w:t>
            </w:r>
            <w:r w:rsidRPr="00EC20A0">
              <w:t>including agreeing or reconciling note disclosures,</w:t>
            </w:r>
            <w:r w:rsidRPr="00EC20A0">
              <w:rPr>
                <w:spacing w:val="-1"/>
              </w:rPr>
              <w:t xml:space="preserve"> </w:t>
            </w:r>
            <w:r w:rsidRPr="00EC20A0">
              <w:t>whether such information is obtained from</w:t>
            </w:r>
            <w:r w:rsidRPr="00EC20A0">
              <w:rPr>
                <w:spacing w:val="-1"/>
              </w:rPr>
              <w:t xml:space="preserve"> </w:t>
            </w:r>
            <w:r w:rsidRPr="00EC20A0">
              <w:t>within or outside of the general and subsidiary ledgers.</w:t>
            </w:r>
          </w:p>
        </w:tc>
        <w:tc>
          <w:tcPr>
            <w:tcW w:w="811" w:type="dxa"/>
            <w:tcBorders>
              <w:top w:val="single" w:sz="8" w:space="0" w:color="000000"/>
              <w:left w:val="single" w:sz="8" w:space="0" w:color="000000"/>
              <w:bottom w:val="single" w:sz="8" w:space="0" w:color="000000"/>
              <w:right w:val="single" w:sz="8" w:space="0" w:color="000000"/>
            </w:tcBorders>
          </w:tcPr>
          <w:p w14:paraId="24D6258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86" w14:textId="77777777" w:rsidR="00245300" w:rsidRPr="00EC20A0" w:rsidRDefault="00245300">
            <w:pPr>
              <w:pStyle w:val="TableParagraph"/>
            </w:pPr>
          </w:p>
        </w:tc>
      </w:tr>
      <w:tr w:rsidR="00245300" w:rsidRPr="00EC20A0" w14:paraId="24D6258B" w14:textId="77777777">
        <w:trPr>
          <w:trHeight w:val="746"/>
        </w:trPr>
        <w:tc>
          <w:tcPr>
            <w:tcW w:w="7380" w:type="dxa"/>
            <w:tcBorders>
              <w:top w:val="single" w:sz="8" w:space="0" w:color="000000"/>
              <w:bottom w:val="single" w:sz="8" w:space="0" w:color="000000"/>
              <w:right w:val="single" w:sz="8" w:space="0" w:color="000000"/>
            </w:tcBorders>
          </w:tcPr>
          <w:p w14:paraId="24D62588" w14:textId="77777777" w:rsidR="00245300" w:rsidRPr="00EC20A0" w:rsidRDefault="00F17249">
            <w:pPr>
              <w:pStyle w:val="TableParagraph"/>
              <w:spacing w:before="121"/>
              <w:ind w:left="1249" w:hanging="360"/>
            </w:pPr>
            <w:r w:rsidRPr="00EC20A0">
              <w:t>e.</w:t>
            </w:r>
            <w:r w:rsidRPr="00EC20A0">
              <w:rPr>
                <w:spacing w:val="80"/>
              </w:rPr>
              <w:t xml:space="preserve"> </w:t>
            </w:r>
            <w:r w:rsidRPr="00EC20A0">
              <w:t>The</w:t>
            </w:r>
            <w:r w:rsidRPr="00EC20A0">
              <w:rPr>
                <w:spacing w:val="-4"/>
              </w:rPr>
              <w:t xml:space="preserve"> </w:t>
            </w:r>
            <w:r w:rsidRPr="00EC20A0">
              <w:t>auditor’s</w:t>
            </w:r>
            <w:r w:rsidRPr="00EC20A0">
              <w:rPr>
                <w:spacing w:val="-4"/>
              </w:rPr>
              <w:t xml:space="preserve"> </w:t>
            </w:r>
            <w:r w:rsidRPr="00EC20A0">
              <w:t>evaluation</w:t>
            </w:r>
            <w:r w:rsidRPr="00EC20A0">
              <w:rPr>
                <w:spacing w:val="-5"/>
              </w:rPr>
              <w:t xml:space="preserve"> </w:t>
            </w:r>
            <w:r w:rsidRPr="00EC20A0">
              <w:t>of</w:t>
            </w:r>
            <w:r w:rsidRPr="00EC20A0">
              <w:rPr>
                <w:spacing w:val="-4"/>
              </w:rPr>
              <w:t xml:space="preserve"> </w:t>
            </w:r>
            <w:r w:rsidRPr="00EC20A0">
              <w:t>misstatements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 xml:space="preserve">auditor believes are or might be the </w:t>
            </w:r>
            <w:r w:rsidRPr="00EC20A0">
              <w:t>result of fraud.</w:t>
            </w:r>
          </w:p>
        </w:tc>
        <w:tc>
          <w:tcPr>
            <w:tcW w:w="811" w:type="dxa"/>
            <w:tcBorders>
              <w:top w:val="single" w:sz="8" w:space="0" w:color="000000"/>
              <w:left w:val="single" w:sz="8" w:space="0" w:color="000000"/>
              <w:bottom w:val="single" w:sz="8" w:space="0" w:color="000000"/>
              <w:right w:val="single" w:sz="8" w:space="0" w:color="000000"/>
            </w:tcBorders>
          </w:tcPr>
          <w:p w14:paraId="24D62589"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8A" w14:textId="77777777" w:rsidR="00245300" w:rsidRPr="00EC20A0" w:rsidRDefault="00245300">
            <w:pPr>
              <w:pStyle w:val="TableParagraph"/>
            </w:pPr>
          </w:p>
        </w:tc>
      </w:tr>
      <w:tr w:rsidR="00245300" w:rsidRPr="00EC20A0" w14:paraId="24D6258F" w14:textId="77777777">
        <w:trPr>
          <w:trHeight w:val="1250"/>
        </w:trPr>
        <w:tc>
          <w:tcPr>
            <w:tcW w:w="7380" w:type="dxa"/>
            <w:tcBorders>
              <w:top w:val="single" w:sz="8" w:space="0" w:color="000000"/>
              <w:bottom w:val="single" w:sz="8" w:space="0" w:color="000000"/>
              <w:right w:val="single" w:sz="8" w:space="0" w:color="000000"/>
            </w:tcBorders>
          </w:tcPr>
          <w:p w14:paraId="24D6258C" w14:textId="77777777" w:rsidR="00245300" w:rsidRPr="00EC20A0" w:rsidRDefault="00F17249">
            <w:pPr>
              <w:pStyle w:val="TableParagraph"/>
              <w:tabs>
                <w:tab w:val="left" w:pos="1249"/>
              </w:tabs>
              <w:spacing w:before="119"/>
              <w:ind w:left="1249" w:right="421" w:hanging="360"/>
            </w:pPr>
            <w:r w:rsidRPr="00EC20A0">
              <w:rPr>
                <w:spacing w:val="-6"/>
              </w:rPr>
              <w:t>f.</w:t>
            </w:r>
            <w:r w:rsidRPr="00EC20A0">
              <w:tab/>
              <w:t>The</w:t>
            </w:r>
            <w:r w:rsidRPr="00EC20A0">
              <w:rPr>
                <w:spacing w:val="-5"/>
              </w:rPr>
              <w:t xml:space="preserve"> </w:t>
            </w:r>
            <w:r w:rsidRPr="00EC20A0">
              <w:t>nature</w:t>
            </w:r>
            <w:r w:rsidRPr="00EC20A0">
              <w:rPr>
                <w:spacing w:val="-5"/>
              </w:rPr>
              <w:t xml:space="preserve"> </w:t>
            </w:r>
            <w:r w:rsidRPr="00EC20A0">
              <w:t>of</w:t>
            </w:r>
            <w:r w:rsidRPr="00EC20A0">
              <w:rPr>
                <w:spacing w:val="-5"/>
              </w:rPr>
              <w:t xml:space="preserve"> </w:t>
            </w:r>
            <w:r w:rsidRPr="00EC20A0">
              <w:t>any</w:t>
            </w:r>
            <w:r w:rsidRPr="00EC20A0">
              <w:rPr>
                <w:spacing w:val="-5"/>
              </w:rPr>
              <w:t xml:space="preserve"> </w:t>
            </w:r>
            <w:r w:rsidRPr="00EC20A0">
              <w:t>communications</w:t>
            </w:r>
            <w:r w:rsidRPr="00EC20A0">
              <w:rPr>
                <w:spacing w:val="-5"/>
              </w:rPr>
              <w:t xml:space="preserve"> </w:t>
            </w:r>
            <w:r w:rsidRPr="00EC20A0">
              <w:t>about</w:t>
            </w:r>
            <w:r w:rsidRPr="00EC20A0">
              <w:rPr>
                <w:spacing w:val="-5"/>
              </w:rPr>
              <w:t xml:space="preserve"> </w:t>
            </w:r>
            <w:r w:rsidRPr="00EC20A0">
              <w:t>fraud</w:t>
            </w:r>
            <w:r w:rsidRPr="00EC20A0">
              <w:rPr>
                <w:spacing w:val="-6"/>
              </w:rPr>
              <w:t xml:space="preserve"> </w:t>
            </w:r>
            <w:r w:rsidRPr="00EC20A0">
              <w:t>or</w:t>
            </w:r>
            <w:r w:rsidRPr="00EC20A0">
              <w:rPr>
                <w:spacing w:val="-5"/>
              </w:rPr>
              <w:t xml:space="preserve"> </w:t>
            </w:r>
            <w:r w:rsidRPr="00EC20A0">
              <w:t>possible fraud (and any significant abuse) made to management, those charged with governance, the Special Investigator Unit, the Office of Inspector General, or others.</w:t>
            </w:r>
          </w:p>
        </w:tc>
        <w:tc>
          <w:tcPr>
            <w:tcW w:w="811" w:type="dxa"/>
            <w:tcBorders>
              <w:top w:val="single" w:sz="8" w:space="0" w:color="000000"/>
              <w:left w:val="single" w:sz="8" w:space="0" w:color="000000"/>
              <w:bottom w:val="single" w:sz="8" w:space="0" w:color="000000"/>
              <w:right w:val="single" w:sz="8" w:space="0" w:color="000000"/>
            </w:tcBorders>
          </w:tcPr>
          <w:p w14:paraId="24D6258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8E" w14:textId="77777777" w:rsidR="00245300" w:rsidRPr="00EC20A0" w:rsidRDefault="00245300">
            <w:pPr>
              <w:pStyle w:val="TableParagraph"/>
            </w:pPr>
          </w:p>
        </w:tc>
      </w:tr>
      <w:tr w:rsidR="00245300" w:rsidRPr="00EC20A0" w14:paraId="24D62593" w14:textId="77777777">
        <w:trPr>
          <w:trHeight w:val="746"/>
        </w:trPr>
        <w:tc>
          <w:tcPr>
            <w:tcW w:w="7380" w:type="dxa"/>
            <w:tcBorders>
              <w:top w:val="single" w:sz="8" w:space="0" w:color="000000"/>
              <w:bottom w:val="single" w:sz="8" w:space="0" w:color="000000"/>
              <w:right w:val="single" w:sz="8" w:space="0" w:color="000000"/>
            </w:tcBorders>
          </w:tcPr>
          <w:p w14:paraId="24D62590" w14:textId="77777777" w:rsidR="00245300" w:rsidRPr="00EC20A0" w:rsidRDefault="00F17249">
            <w:pPr>
              <w:pStyle w:val="TableParagraph"/>
              <w:spacing w:before="121"/>
              <w:ind w:left="1249" w:right="172" w:hanging="361"/>
            </w:pPr>
            <w:r w:rsidRPr="00EC20A0">
              <w:t>g.</w:t>
            </w:r>
            <w:r w:rsidRPr="00EC20A0">
              <w:rPr>
                <w:spacing w:val="80"/>
              </w:rPr>
              <w:t xml:space="preserve"> </w:t>
            </w:r>
            <w:r w:rsidRPr="00EC20A0">
              <w:t>The</w:t>
            </w:r>
            <w:r w:rsidRPr="00EC20A0">
              <w:rPr>
                <w:spacing w:val="-5"/>
              </w:rPr>
              <w:t xml:space="preserve"> </w:t>
            </w:r>
            <w:r w:rsidRPr="00EC20A0">
              <w:t>auditor’s</w:t>
            </w:r>
            <w:r w:rsidRPr="00EC20A0">
              <w:rPr>
                <w:spacing w:val="-4"/>
              </w:rPr>
              <w:t xml:space="preserve"> </w:t>
            </w:r>
            <w:r w:rsidRPr="00EC20A0">
              <w:t>summary</w:t>
            </w:r>
            <w:r w:rsidRPr="00EC20A0">
              <w:rPr>
                <w:spacing w:val="-5"/>
              </w:rPr>
              <w:t xml:space="preserve"> </w:t>
            </w:r>
            <w:r w:rsidRPr="00EC20A0">
              <w:t>conclusions</w:t>
            </w:r>
            <w:r w:rsidRPr="00EC20A0">
              <w:rPr>
                <w:spacing w:val="-6"/>
              </w:rPr>
              <w:t xml:space="preserve"> </w:t>
            </w:r>
            <w:r w:rsidRPr="00EC20A0">
              <w:t>related</w:t>
            </w:r>
            <w:r w:rsidRPr="00EC20A0">
              <w:rPr>
                <w:spacing w:val="-5"/>
              </w:rPr>
              <w:t xml:space="preserve"> </w:t>
            </w:r>
            <w:r w:rsidRPr="00EC20A0">
              <w:t>to</w:t>
            </w:r>
            <w:r w:rsidRPr="00EC20A0">
              <w:rPr>
                <w:spacing w:val="-5"/>
              </w:rPr>
              <w:t xml:space="preserve"> </w:t>
            </w:r>
            <w:r w:rsidRPr="00EC20A0">
              <w:t>the consideration of fraud.</w:t>
            </w:r>
          </w:p>
        </w:tc>
        <w:tc>
          <w:tcPr>
            <w:tcW w:w="811" w:type="dxa"/>
            <w:tcBorders>
              <w:top w:val="single" w:sz="8" w:space="0" w:color="000000"/>
              <w:left w:val="single" w:sz="8" w:space="0" w:color="000000"/>
              <w:bottom w:val="single" w:sz="8" w:space="0" w:color="000000"/>
              <w:right w:val="single" w:sz="8" w:space="0" w:color="000000"/>
            </w:tcBorders>
          </w:tcPr>
          <w:p w14:paraId="24D62591"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92" w14:textId="77777777" w:rsidR="00245300" w:rsidRPr="00EC20A0" w:rsidRDefault="00245300">
            <w:pPr>
              <w:pStyle w:val="TableParagraph"/>
            </w:pPr>
          </w:p>
        </w:tc>
      </w:tr>
      <w:tr w:rsidR="00245300" w:rsidRPr="00EC20A0" w14:paraId="24D62597" w14:textId="77777777">
        <w:trPr>
          <w:trHeight w:val="492"/>
        </w:trPr>
        <w:tc>
          <w:tcPr>
            <w:tcW w:w="7380" w:type="dxa"/>
            <w:tcBorders>
              <w:top w:val="single" w:sz="8" w:space="0" w:color="000000"/>
              <w:bottom w:val="single" w:sz="8" w:space="0" w:color="000000"/>
              <w:right w:val="single" w:sz="8" w:space="0" w:color="000000"/>
            </w:tcBorders>
          </w:tcPr>
          <w:p w14:paraId="24D62594" w14:textId="77777777" w:rsidR="00245300" w:rsidRPr="00EC20A0" w:rsidRDefault="00F17249">
            <w:pPr>
              <w:pStyle w:val="TableParagraph"/>
              <w:spacing w:before="119"/>
              <w:ind w:left="889"/>
            </w:pPr>
            <w:r w:rsidRPr="00EC20A0">
              <w:t>h.</w:t>
            </w:r>
            <w:r w:rsidRPr="00EC20A0">
              <w:rPr>
                <w:spacing w:val="67"/>
                <w:w w:val="150"/>
              </w:rPr>
              <w:t xml:space="preserve"> </w:t>
            </w:r>
            <w:r w:rsidRPr="00EC20A0">
              <w:t>Significant</w:t>
            </w:r>
            <w:r w:rsidRPr="00EC20A0">
              <w:rPr>
                <w:spacing w:val="-5"/>
              </w:rPr>
              <w:t xml:space="preserve"> </w:t>
            </w:r>
            <w:r w:rsidRPr="00EC20A0">
              <w:t>accounting,</w:t>
            </w:r>
            <w:r w:rsidRPr="00EC20A0">
              <w:rPr>
                <w:spacing w:val="-6"/>
              </w:rPr>
              <w:t xml:space="preserve"> </w:t>
            </w:r>
            <w:r w:rsidRPr="00EC20A0">
              <w:t>auditing,</w:t>
            </w:r>
            <w:r w:rsidRPr="00EC20A0">
              <w:rPr>
                <w:spacing w:val="-6"/>
              </w:rPr>
              <w:t xml:space="preserve"> </w:t>
            </w:r>
            <w:r w:rsidRPr="00EC20A0">
              <w:t>or</w:t>
            </w:r>
            <w:r w:rsidRPr="00EC20A0">
              <w:rPr>
                <w:spacing w:val="-6"/>
              </w:rPr>
              <w:t xml:space="preserve"> </w:t>
            </w:r>
            <w:r w:rsidRPr="00EC20A0">
              <w:t>reporting</w:t>
            </w:r>
            <w:r w:rsidRPr="00EC20A0">
              <w:rPr>
                <w:spacing w:val="-5"/>
              </w:rPr>
              <w:t xml:space="preserve"> </w:t>
            </w:r>
            <w:r w:rsidRPr="00EC20A0">
              <w:rPr>
                <w:spacing w:val="-2"/>
              </w:rPr>
              <w:t>issues.</w:t>
            </w:r>
          </w:p>
        </w:tc>
        <w:tc>
          <w:tcPr>
            <w:tcW w:w="811" w:type="dxa"/>
            <w:tcBorders>
              <w:top w:val="single" w:sz="8" w:space="0" w:color="000000"/>
              <w:left w:val="single" w:sz="8" w:space="0" w:color="000000"/>
              <w:bottom w:val="single" w:sz="8" w:space="0" w:color="000000"/>
              <w:right w:val="single" w:sz="8" w:space="0" w:color="000000"/>
            </w:tcBorders>
          </w:tcPr>
          <w:p w14:paraId="24D62595"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96" w14:textId="77777777" w:rsidR="00245300" w:rsidRPr="00EC20A0" w:rsidRDefault="00245300">
            <w:pPr>
              <w:pStyle w:val="TableParagraph"/>
            </w:pPr>
          </w:p>
        </w:tc>
      </w:tr>
      <w:tr w:rsidR="00245300" w:rsidRPr="00EC20A0" w14:paraId="24D6259B" w14:textId="77777777">
        <w:trPr>
          <w:trHeight w:val="998"/>
        </w:trPr>
        <w:tc>
          <w:tcPr>
            <w:tcW w:w="7380" w:type="dxa"/>
            <w:tcBorders>
              <w:top w:val="single" w:sz="8" w:space="0" w:color="000000"/>
              <w:bottom w:val="single" w:sz="8" w:space="0" w:color="000000"/>
              <w:right w:val="single" w:sz="8" w:space="0" w:color="000000"/>
            </w:tcBorders>
          </w:tcPr>
          <w:p w14:paraId="24D62598" w14:textId="77777777" w:rsidR="00245300" w:rsidRPr="00EC20A0" w:rsidRDefault="00F17249">
            <w:pPr>
              <w:pStyle w:val="TableParagraph"/>
              <w:tabs>
                <w:tab w:val="left" w:pos="1249"/>
              </w:tabs>
              <w:spacing w:before="121"/>
              <w:ind w:left="1249" w:right="152" w:hanging="360"/>
            </w:pPr>
            <w:r w:rsidRPr="00EC20A0">
              <w:rPr>
                <w:spacing w:val="-6"/>
              </w:rPr>
              <w:t>i.</w:t>
            </w:r>
            <w:r w:rsidRPr="00EC20A0">
              <w:tab/>
              <w:t>If the auditor identified information that is inconsistent with the</w:t>
            </w:r>
            <w:r w:rsidRPr="00EC20A0">
              <w:rPr>
                <w:spacing w:val="-5"/>
              </w:rPr>
              <w:t xml:space="preserve"> </w:t>
            </w:r>
            <w:r w:rsidRPr="00EC20A0">
              <w:t>auditor’s</w:t>
            </w:r>
            <w:r w:rsidRPr="00EC20A0">
              <w:rPr>
                <w:spacing w:val="-6"/>
              </w:rPr>
              <w:t xml:space="preserve"> </w:t>
            </w:r>
            <w:r w:rsidRPr="00EC20A0">
              <w:t>final</w:t>
            </w:r>
            <w:r w:rsidRPr="00EC20A0">
              <w:rPr>
                <w:spacing w:val="-5"/>
              </w:rPr>
              <w:t xml:space="preserve"> </w:t>
            </w:r>
            <w:r w:rsidRPr="00EC20A0">
              <w:t>conclusion</w:t>
            </w:r>
            <w:r w:rsidRPr="00EC20A0">
              <w:rPr>
                <w:spacing w:val="-5"/>
              </w:rPr>
              <w:t xml:space="preserve"> </w:t>
            </w:r>
            <w:r w:rsidRPr="00EC20A0">
              <w:t>regarding</w:t>
            </w:r>
            <w:r w:rsidRPr="00EC20A0">
              <w:rPr>
                <w:spacing w:val="-5"/>
              </w:rPr>
              <w:t xml:space="preserve"> </w:t>
            </w:r>
            <w:r w:rsidRPr="00EC20A0">
              <w:t>a</w:t>
            </w:r>
            <w:r w:rsidRPr="00EC20A0">
              <w:rPr>
                <w:spacing w:val="-5"/>
              </w:rPr>
              <w:t xml:space="preserve"> </w:t>
            </w:r>
            <w:r w:rsidRPr="00EC20A0">
              <w:t>significant</w:t>
            </w:r>
            <w:r w:rsidRPr="00EC20A0">
              <w:rPr>
                <w:spacing w:val="-5"/>
              </w:rPr>
              <w:t xml:space="preserve"> </w:t>
            </w:r>
            <w:r w:rsidRPr="00EC20A0">
              <w:t>finding</w:t>
            </w:r>
            <w:r w:rsidRPr="00EC20A0">
              <w:rPr>
                <w:spacing w:val="-5"/>
              </w:rPr>
              <w:t xml:space="preserve"> </w:t>
            </w:r>
            <w:r w:rsidRPr="00EC20A0">
              <w:t>or issue, how the auditor addressed the inconsistencies.</w:t>
            </w:r>
          </w:p>
        </w:tc>
        <w:tc>
          <w:tcPr>
            <w:tcW w:w="811" w:type="dxa"/>
            <w:tcBorders>
              <w:top w:val="single" w:sz="8" w:space="0" w:color="000000"/>
              <w:left w:val="single" w:sz="8" w:space="0" w:color="000000"/>
              <w:bottom w:val="single" w:sz="8" w:space="0" w:color="000000"/>
              <w:right w:val="single" w:sz="8" w:space="0" w:color="000000"/>
            </w:tcBorders>
          </w:tcPr>
          <w:p w14:paraId="24D62599"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9A" w14:textId="77777777" w:rsidR="00245300" w:rsidRPr="00EC20A0" w:rsidRDefault="00245300">
            <w:pPr>
              <w:pStyle w:val="TableParagraph"/>
            </w:pPr>
          </w:p>
        </w:tc>
      </w:tr>
      <w:tr w:rsidR="00245300" w:rsidRPr="00EC20A0" w14:paraId="24D6259F" w14:textId="77777777">
        <w:trPr>
          <w:trHeight w:val="494"/>
        </w:trPr>
        <w:tc>
          <w:tcPr>
            <w:tcW w:w="7380" w:type="dxa"/>
            <w:tcBorders>
              <w:top w:val="single" w:sz="8" w:space="0" w:color="000000"/>
              <w:bottom w:val="single" w:sz="8" w:space="0" w:color="000000"/>
              <w:right w:val="single" w:sz="8" w:space="0" w:color="000000"/>
            </w:tcBorders>
          </w:tcPr>
          <w:p w14:paraId="24D6259C" w14:textId="77777777" w:rsidR="00245300" w:rsidRPr="00EC20A0" w:rsidRDefault="00F17249">
            <w:pPr>
              <w:pStyle w:val="TableParagraph"/>
              <w:tabs>
                <w:tab w:val="left" w:pos="1249"/>
              </w:tabs>
              <w:spacing w:before="121"/>
              <w:ind w:left="889"/>
            </w:pPr>
            <w:r w:rsidRPr="00EC20A0">
              <w:rPr>
                <w:spacing w:val="-5"/>
              </w:rPr>
              <w:t>j.</w:t>
            </w:r>
            <w:r w:rsidRPr="00EC20A0">
              <w:tab/>
              <w:t>Any</w:t>
            </w:r>
            <w:r w:rsidRPr="00EC20A0">
              <w:rPr>
                <w:spacing w:val="-6"/>
              </w:rPr>
              <w:t xml:space="preserve"> </w:t>
            </w:r>
            <w:r w:rsidRPr="00EC20A0">
              <w:t>limitations</w:t>
            </w:r>
            <w:r w:rsidRPr="00EC20A0">
              <w:rPr>
                <w:spacing w:val="-6"/>
              </w:rPr>
              <w:t xml:space="preserve"> </w:t>
            </w:r>
            <w:r w:rsidRPr="00EC20A0">
              <w:t>on</w:t>
            </w:r>
            <w:r w:rsidRPr="00EC20A0">
              <w:rPr>
                <w:spacing w:val="-5"/>
              </w:rPr>
              <w:t xml:space="preserve"> </w:t>
            </w:r>
            <w:r w:rsidRPr="00EC20A0">
              <w:t>the</w:t>
            </w:r>
            <w:r w:rsidRPr="00EC20A0">
              <w:rPr>
                <w:spacing w:val="-6"/>
              </w:rPr>
              <w:t xml:space="preserve"> </w:t>
            </w:r>
            <w:r w:rsidRPr="00EC20A0">
              <w:t>audit</w:t>
            </w:r>
            <w:r w:rsidRPr="00EC20A0">
              <w:rPr>
                <w:spacing w:val="-5"/>
              </w:rPr>
              <w:t xml:space="preserve"> </w:t>
            </w:r>
            <w:r w:rsidRPr="00EC20A0">
              <w:rPr>
                <w:spacing w:val="-2"/>
              </w:rPr>
              <w:t>scope.</w:t>
            </w:r>
          </w:p>
        </w:tc>
        <w:tc>
          <w:tcPr>
            <w:tcW w:w="811" w:type="dxa"/>
            <w:tcBorders>
              <w:top w:val="single" w:sz="8" w:space="0" w:color="000000"/>
              <w:left w:val="single" w:sz="8" w:space="0" w:color="000000"/>
              <w:bottom w:val="single" w:sz="8" w:space="0" w:color="000000"/>
              <w:right w:val="single" w:sz="8" w:space="0" w:color="000000"/>
            </w:tcBorders>
          </w:tcPr>
          <w:p w14:paraId="24D6259D"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9E" w14:textId="77777777" w:rsidR="00245300" w:rsidRPr="00EC20A0" w:rsidRDefault="00245300">
            <w:pPr>
              <w:pStyle w:val="TableParagraph"/>
            </w:pPr>
          </w:p>
        </w:tc>
      </w:tr>
    </w:tbl>
    <w:p w14:paraId="24D625A0" w14:textId="77777777" w:rsidR="00245300" w:rsidRPr="00EC20A0" w:rsidRDefault="00245300">
      <w:pPr>
        <w:sectPr w:rsidR="00245300" w:rsidRPr="00EC20A0">
          <w:pgSz w:w="12240" w:h="15840"/>
          <w:pgMar w:top="1340" w:right="460" w:bottom="940" w:left="560" w:header="721" w:footer="757" w:gutter="0"/>
          <w:cols w:space="720"/>
        </w:sectPr>
      </w:pPr>
    </w:p>
    <w:p w14:paraId="24D625A1"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5A8" w14:textId="77777777">
        <w:trPr>
          <w:trHeight w:val="936"/>
        </w:trPr>
        <w:tc>
          <w:tcPr>
            <w:tcW w:w="7380" w:type="dxa"/>
            <w:tcBorders>
              <w:right w:val="single" w:sz="8" w:space="0" w:color="000000"/>
            </w:tcBorders>
            <w:shd w:val="clear" w:color="auto" w:fill="A6A6A6"/>
          </w:tcPr>
          <w:p w14:paraId="24D625A2" w14:textId="77777777" w:rsidR="00245300" w:rsidRPr="00EC20A0" w:rsidRDefault="00245300">
            <w:pPr>
              <w:pStyle w:val="TableParagraph"/>
              <w:spacing w:before="266"/>
              <w:rPr>
                <w:b/>
                <w:sz w:val="24"/>
              </w:rPr>
            </w:pPr>
          </w:p>
          <w:p w14:paraId="24D625A3"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5A4"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5A5" w14:textId="77777777" w:rsidR="00245300" w:rsidRPr="00EC20A0" w:rsidRDefault="00245300">
            <w:pPr>
              <w:pStyle w:val="TableParagraph"/>
              <w:rPr>
                <w:b/>
              </w:rPr>
            </w:pPr>
          </w:p>
          <w:p w14:paraId="24D625A6" w14:textId="77777777" w:rsidR="00245300" w:rsidRPr="00EC20A0" w:rsidRDefault="00245300">
            <w:pPr>
              <w:pStyle w:val="TableParagraph"/>
              <w:spacing w:before="120"/>
              <w:rPr>
                <w:b/>
              </w:rPr>
            </w:pPr>
          </w:p>
          <w:p w14:paraId="24D625A7"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5AC" w14:textId="77777777">
        <w:trPr>
          <w:trHeight w:val="2517"/>
        </w:trPr>
        <w:tc>
          <w:tcPr>
            <w:tcW w:w="7380" w:type="dxa"/>
            <w:tcBorders>
              <w:bottom w:val="single" w:sz="8" w:space="0" w:color="000000"/>
              <w:right w:val="single" w:sz="8" w:space="0" w:color="000000"/>
            </w:tcBorders>
          </w:tcPr>
          <w:p w14:paraId="24D625A9" w14:textId="77777777" w:rsidR="00245300" w:rsidRPr="00EC20A0" w:rsidRDefault="00F17249">
            <w:pPr>
              <w:pStyle w:val="TableParagraph"/>
              <w:spacing w:before="121"/>
              <w:ind w:left="1248" w:right="222" w:hanging="360"/>
            </w:pPr>
            <w:r w:rsidRPr="00EC20A0">
              <w:t>k.</w:t>
            </w:r>
            <w:r w:rsidRPr="00EC20A0">
              <w:rPr>
                <w:spacing w:val="80"/>
              </w:rPr>
              <w:t xml:space="preserve"> </w:t>
            </w:r>
            <w:r w:rsidRPr="00EC20A0">
              <w:t xml:space="preserve">The auditor’s conclusions on whether the </w:t>
            </w:r>
            <w:r w:rsidRPr="00EC20A0">
              <w:t>audit evidence obtained is sufficient and appropriate, and supports the auditor’s reports on the financial statements; RSI (including MD&amp;A), and other information included in the annual report; internal control over financial reporting; financial management</w:t>
            </w:r>
            <w:r w:rsidRPr="00EC20A0">
              <w:rPr>
                <w:spacing w:val="-6"/>
              </w:rPr>
              <w:t xml:space="preserve"> </w:t>
            </w:r>
            <w:r w:rsidRPr="00EC20A0">
              <w:t>systems’</w:t>
            </w:r>
            <w:r w:rsidRPr="00EC20A0">
              <w:rPr>
                <w:spacing w:val="-7"/>
              </w:rPr>
              <w:t xml:space="preserve"> </w:t>
            </w:r>
            <w:r w:rsidRPr="00EC20A0">
              <w:t>substantial</w:t>
            </w:r>
            <w:r w:rsidRPr="00EC20A0">
              <w:rPr>
                <w:spacing w:val="-7"/>
              </w:rPr>
              <w:t xml:space="preserve"> </w:t>
            </w:r>
            <w:r w:rsidRPr="00EC20A0">
              <w:t>compliance</w:t>
            </w:r>
            <w:r w:rsidRPr="00EC20A0">
              <w:rPr>
                <w:spacing w:val="-6"/>
              </w:rPr>
              <w:t xml:space="preserve"> </w:t>
            </w:r>
            <w:r w:rsidRPr="00EC20A0">
              <w:t>with</w:t>
            </w:r>
            <w:r w:rsidRPr="00EC20A0">
              <w:rPr>
                <w:spacing w:val="-6"/>
              </w:rPr>
              <w:t xml:space="preserve"> </w:t>
            </w:r>
            <w:r w:rsidRPr="00EC20A0">
              <w:t>the</w:t>
            </w:r>
            <w:r w:rsidRPr="00EC20A0">
              <w:rPr>
                <w:spacing w:val="-6"/>
              </w:rPr>
              <w:t xml:space="preserve"> </w:t>
            </w:r>
            <w:r w:rsidRPr="00EC20A0">
              <w:t>three FFMIA requirements (for CFO Act agencies); and compliance with significant provisions of applicable laws, regulations, contracts, and grant agreements.</w:t>
            </w:r>
          </w:p>
        </w:tc>
        <w:tc>
          <w:tcPr>
            <w:tcW w:w="811" w:type="dxa"/>
            <w:tcBorders>
              <w:left w:val="single" w:sz="8" w:space="0" w:color="000000"/>
              <w:bottom w:val="single" w:sz="8" w:space="0" w:color="000000"/>
              <w:right w:val="single" w:sz="8" w:space="0" w:color="000000"/>
            </w:tcBorders>
          </w:tcPr>
          <w:p w14:paraId="24D625AA"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5AB" w14:textId="77777777" w:rsidR="00245300" w:rsidRPr="00EC20A0" w:rsidRDefault="00245300">
            <w:pPr>
              <w:pStyle w:val="TableParagraph"/>
            </w:pPr>
          </w:p>
        </w:tc>
      </w:tr>
      <w:tr w:rsidR="00245300" w:rsidRPr="00EC20A0" w14:paraId="24D625B0" w14:textId="77777777">
        <w:trPr>
          <w:trHeight w:val="998"/>
        </w:trPr>
        <w:tc>
          <w:tcPr>
            <w:tcW w:w="7380" w:type="dxa"/>
            <w:tcBorders>
              <w:top w:val="single" w:sz="8" w:space="0" w:color="000000"/>
              <w:bottom w:val="single" w:sz="8" w:space="0" w:color="000000"/>
              <w:right w:val="single" w:sz="8" w:space="0" w:color="000000"/>
            </w:tcBorders>
          </w:tcPr>
          <w:p w14:paraId="24D625AD" w14:textId="77777777" w:rsidR="00245300" w:rsidRPr="00EC20A0" w:rsidRDefault="00F17249">
            <w:pPr>
              <w:pStyle w:val="TableParagraph"/>
              <w:tabs>
                <w:tab w:val="left" w:pos="1249"/>
              </w:tabs>
              <w:spacing w:before="121"/>
              <w:ind w:left="1249" w:right="362" w:hanging="361"/>
            </w:pPr>
            <w:r w:rsidRPr="00EC20A0">
              <w:rPr>
                <w:spacing w:val="-6"/>
              </w:rPr>
              <w:t>l.</w:t>
            </w:r>
            <w:r w:rsidRPr="00EC20A0">
              <w:tab/>
              <w:t>The</w:t>
            </w:r>
            <w:r w:rsidRPr="00EC20A0">
              <w:rPr>
                <w:spacing w:val="-7"/>
              </w:rPr>
              <w:t xml:space="preserve"> </w:t>
            </w:r>
            <w:r w:rsidRPr="00EC20A0">
              <w:t>auditor’s</w:t>
            </w:r>
            <w:r w:rsidRPr="00EC20A0">
              <w:rPr>
                <w:spacing w:val="-7"/>
              </w:rPr>
              <w:t xml:space="preserve"> </w:t>
            </w:r>
            <w:r w:rsidRPr="00EC20A0">
              <w:t>conclusions</w:t>
            </w:r>
            <w:r w:rsidRPr="00EC20A0">
              <w:rPr>
                <w:spacing w:val="-7"/>
              </w:rPr>
              <w:t xml:space="preserve"> </w:t>
            </w:r>
            <w:r w:rsidRPr="00EC20A0">
              <w:t>on</w:t>
            </w:r>
            <w:r w:rsidRPr="00EC20A0">
              <w:rPr>
                <w:spacing w:val="-7"/>
              </w:rPr>
              <w:t xml:space="preserve"> </w:t>
            </w:r>
            <w:r w:rsidRPr="00EC20A0">
              <w:t>whether</w:t>
            </w:r>
            <w:r w:rsidRPr="00EC20A0">
              <w:rPr>
                <w:spacing w:val="-7"/>
              </w:rPr>
              <w:t xml:space="preserve"> </w:t>
            </w:r>
            <w:r w:rsidRPr="00EC20A0">
              <w:t>sufficient</w:t>
            </w:r>
            <w:r w:rsidRPr="00EC20A0">
              <w:rPr>
                <w:spacing w:val="-7"/>
              </w:rPr>
              <w:t xml:space="preserve"> </w:t>
            </w:r>
            <w:r w:rsidRPr="00EC20A0">
              <w:t>appropriate audit evidence was obtained to reduce audit risk to an appropriately low level.</w:t>
            </w:r>
          </w:p>
        </w:tc>
        <w:tc>
          <w:tcPr>
            <w:tcW w:w="811" w:type="dxa"/>
            <w:tcBorders>
              <w:top w:val="single" w:sz="8" w:space="0" w:color="000000"/>
              <w:left w:val="single" w:sz="8" w:space="0" w:color="000000"/>
              <w:bottom w:val="single" w:sz="8" w:space="0" w:color="000000"/>
              <w:right w:val="single" w:sz="8" w:space="0" w:color="000000"/>
            </w:tcBorders>
          </w:tcPr>
          <w:p w14:paraId="24D625A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AF" w14:textId="77777777" w:rsidR="00245300" w:rsidRPr="00EC20A0" w:rsidRDefault="00245300">
            <w:pPr>
              <w:pStyle w:val="TableParagraph"/>
            </w:pPr>
          </w:p>
        </w:tc>
      </w:tr>
      <w:tr w:rsidR="00245300" w:rsidRPr="00EC20A0" w14:paraId="24D625B4" w14:textId="77777777">
        <w:trPr>
          <w:trHeight w:val="1251"/>
        </w:trPr>
        <w:tc>
          <w:tcPr>
            <w:tcW w:w="7380" w:type="dxa"/>
            <w:tcBorders>
              <w:top w:val="single" w:sz="8" w:space="0" w:color="000000"/>
              <w:bottom w:val="single" w:sz="8" w:space="0" w:color="000000"/>
              <w:right w:val="single" w:sz="8" w:space="0" w:color="000000"/>
            </w:tcBorders>
          </w:tcPr>
          <w:p w14:paraId="24D625B1" w14:textId="77777777" w:rsidR="00245300" w:rsidRPr="00EC20A0" w:rsidRDefault="00F17249">
            <w:pPr>
              <w:pStyle w:val="TableParagraph"/>
              <w:spacing w:before="121"/>
              <w:ind w:left="1249" w:right="53" w:hanging="361"/>
            </w:pPr>
            <w:r w:rsidRPr="00EC20A0">
              <w:t>m.</w:t>
            </w:r>
            <w:r w:rsidRPr="00EC20A0">
              <w:rPr>
                <w:spacing w:val="40"/>
              </w:rPr>
              <w:t xml:space="preserve"> </w:t>
            </w:r>
            <w:r w:rsidRPr="00EC20A0">
              <w:t>The</w:t>
            </w:r>
            <w:r w:rsidRPr="00EC20A0">
              <w:rPr>
                <w:spacing w:val="-4"/>
              </w:rPr>
              <w:t xml:space="preserve"> </w:t>
            </w:r>
            <w:r w:rsidRPr="00EC20A0">
              <w:t>auditor’s</w:t>
            </w:r>
            <w:r w:rsidRPr="00EC20A0">
              <w:rPr>
                <w:spacing w:val="-4"/>
              </w:rPr>
              <w:t xml:space="preserve"> </w:t>
            </w:r>
            <w:r w:rsidRPr="00EC20A0">
              <w:t>conclusion</w:t>
            </w:r>
            <w:r w:rsidRPr="00EC20A0">
              <w:rPr>
                <w:spacing w:val="-5"/>
              </w:rPr>
              <w:t xml:space="preserve"> </w:t>
            </w:r>
            <w:r w:rsidRPr="00EC20A0">
              <w:t>on</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was</w:t>
            </w:r>
            <w:r w:rsidRPr="00EC20A0">
              <w:rPr>
                <w:spacing w:val="-3"/>
              </w:rPr>
              <w:t xml:space="preserve"> </w:t>
            </w:r>
            <w:r w:rsidRPr="00EC20A0">
              <w:t xml:space="preserve">performed in accordance with GAGAS; OMB audit guidance, if applicable; and the FAM, and whether the report is </w:t>
            </w:r>
            <w:r w:rsidRPr="00EC20A0">
              <w:rPr>
                <w:spacing w:val="-2"/>
              </w:rPr>
              <w:t>appropriate.</w:t>
            </w:r>
          </w:p>
        </w:tc>
        <w:tc>
          <w:tcPr>
            <w:tcW w:w="811" w:type="dxa"/>
            <w:tcBorders>
              <w:top w:val="single" w:sz="8" w:space="0" w:color="000000"/>
              <w:left w:val="single" w:sz="8" w:space="0" w:color="000000"/>
              <w:bottom w:val="single" w:sz="8" w:space="0" w:color="000000"/>
              <w:right w:val="single" w:sz="8" w:space="0" w:color="000000"/>
            </w:tcBorders>
          </w:tcPr>
          <w:p w14:paraId="24D625B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B3" w14:textId="77777777" w:rsidR="00245300" w:rsidRPr="00EC20A0" w:rsidRDefault="00245300">
            <w:pPr>
              <w:pStyle w:val="TableParagraph"/>
            </w:pPr>
          </w:p>
        </w:tc>
      </w:tr>
      <w:tr w:rsidR="00245300" w:rsidRPr="00EC20A0" w14:paraId="24D625B8" w14:textId="77777777">
        <w:trPr>
          <w:trHeight w:val="745"/>
        </w:trPr>
        <w:tc>
          <w:tcPr>
            <w:tcW w:w="7380" w:type="dxa"/>
            <w:tcBorders>
              <w:top w:val="single" w:sz="8" w:space="0" w:color="000000"/>
              <w:bottom w:val="single" w:sz="8" w:space="0" w:color="000000"/>
              <w:right w:val="single" w:sz="8" w:space="0" w:color="000000"/>
            </w:tcBorders>
          </w:tcPr>
          <w:p w14:paraId="24D625B5" w14:textId="77777777" w:rsidR="00245300" w:rsidRPr="00EC20A0" w:rsidRDefault="00F17249">
            <w:pPr>
              <w:pStyle w:val="TableParagraph"/>
              <w:spacing w:before="121"/>
              <w:ind w:left="1249" w:hanging="360"/>
            </w:pPr>
            <w:r w:rsidRPr="00EC20A0">
              <w:t>n.</w:t>
            </w:r>
            <w:r w:rsidRPr="00EC20A0">
              <w:rPr>
                <w:spacing w:val="80"/>
              </w:rPr>
              <w:t xml:space="preserve"> </w:t>
            </w:r>
            <w:r w:rsidRPr="00EC20A0">
              <w:t>The</w:t>
            </w:r>
            <w:r w:rsidRPr="00EC20A0">
              <w:rPr>
                <w:spacing w:val="-4"/>
              </w:rPr>
              <w:t xml:space="preserve"> </w:t>
            </w:r>
            <w:r w:rsidRPr="00EC20A0">
              <w:t>auditor’s</w:t>
            </w:r>
            <w:r w:rsidRPr="00EC20A0">
              <w:rPr>
                <w:spacing w:val="-4"/>
              </w:rPr>
              <w:t xml:space="preserve"> </w:t>
            </w:r>
            <w:r w:rsidRPr="00EC20A0">
              <w:t>conclusion</w:t>
            </w:r>
            <w:r w:rsidRPr="00EC20A0">
              <w:rPr>
                <w:spacing w:val="-5"/>
              </w:rPr>
              <w:t xml:space="preserve"> </w:t>
            </w:r>
            <w:r w:rsidRPr="00EC20A0">
              <w:t>on</w:t>
            </w:r>
            <w:r w:rsidRPr="00EC20A0">
              <w:rPr>
                <w:spacing w:val="-4"/>
              </w:rPr>
              <w:t xml:space="preserve"> </w:t>
            </w:r>
            <w:r w:rsidRPr="00EC20A0">
              <w:t>whether</w:t>
            </w:r>
            <w:r w:rsidRPr="00EC20A0">
              <w:rPr>
                <w:spacing w:val="-4"/>
              </w:rPr>
              <w:t xml:space="preserve"> </w:t>
            </w:r>
            <w:r w:rsidRPr="00EC20A0">
              <w:t>the</w:t>
            </w:r>
            <w:r w:rsidRPr="00EC20A0">
              <w:rPr>
                <w:spacing w:val="-4"/>
              </w:rPr>
              <w:t xml:space="preserve"> </w:t>
            </w:r>
            <w:r w:rsidRPr="00EC20A0">
              <w:t>entity’s</w:t>
            </w:r>
            <w:r w:rsidRPr="00EC20A0">
              <w:rPr>
                <w:spacing w:val="-4"/>
              </w:rPr>
              <w:t xml:space="preserve"> </w:t>
            </w:r>
            <w:r w:rsidRPr="00EC20A0">
              <w:t>financial statements are in accordance with U.S. GAAP.</w:t>
            </w:r>
          </w:p>
        </w:tc>
        <w:tc>
          <w:tcPr>
            <w:tcW w:w="811" w:type="dxa"/>
            <w:tcBorders>
              <w:top w:val="single" w:sz="8" w:space="0" w:color="000000"/>
              <w:left w:val="single" w:sz="8" w:space="0" w:color="000000"/>
              <w:bottom w:val="single" w:sz="8" w:space="0" w:color="000000"/>
              <w:right w:val="single" w:sz="8" w:space="0" w:color="000000"/>
            </w:tcBorders>
          </w:tcPr>
          <w:p w14:paraId="24D625B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B7" w14:textId="77777777" w:rsidR="00245300" w:rsidRPr="00EC20A0" w:rsidRDefault="00245300">
            <w:pPr>
              <w:pStyle w:val="TableParagraph"/>
            </w:pPr>
          </w:p>
        </w:tc>
      </w:tr>
      <w:tr w:rsidR="00245300" w:rsidRPr="00EC20A0" w14:paraId="24D625BC" w14:textId="77777777">
        <w:trPr>
          <w:trHeight w:val="493"/>
        </w:trPr>
        <w:tc>
          <w:tcPr>
            <w:tcW w:w="7380" w:type="dxa"/>
            <w:tcBorders>
              <w:top w:val="single" w:sz="8" w:space="0" w:color="000000"/>
              <w:bottom w:val="single" w:sz="8" w:space="0" w:color="000000"/>
              <w:right w:val="single" w:sz="8" w:space="0" w:color="000000"/>
            </w:tcBorders>
          </w:tcPr>
          <w:p w14:paraId="24D625B9" w14:textId="77777777" w:rsidR="00245300" w:rsidRPr="00EC20A0" w:rsidRDefault="00F17249">
            <w:pPr>
              <w:pStyle w:val="TableParagraph"/>
              <w:spacing w:before="121"/>
              <w:ind w:left="889"/>
            </w:pPr>
            <w:r w:rsidRPr="00EC20A0">
              <w:t>o.</w:t>
            </w:r>
            <w:r w:rsidRPr="00EC20A0">
              <w:rPr>
                <w:spacing w:val="69"/>
                <w:w w:val="150"/>
              </w:rPr>
              <w:t xml:space="preserve"> </w:t>
            </w:r>
            <w:r w:rsidRPr="00EC20A0">
              <w:t>Significant</w:t>
            </w:r>
            <w:r w:rsidRPr="00EC20A0">
              <w:rPr>
                <w:spacing w:val="-6"/>
              </w:rPr>
              <w:t xml:space="preserve"> </w:t>
            </w:r>
            <w:r w:rsidRPr="00EC20A0">
              <w:t>subsequent</w:t>
            </w:r>
            <w:r w:rsidRPr="00EC20A0">
              <w:rPr>
                <w:spacing w:val="-5"/>
              </w:rPr>
              <w:t xml:space="preserve"> </w:t>
            </w:r>
            <w:r w:rsidRPr="00EC20A0">
              <w:t>events,</w:t>
            </w:r>
            <w:r w:rsidRPr="00EC20A0">
              <w:rPr>
                <w:spacing w:val="-5"/>
              </w:rPr>
              <w:t xml:space="preserve"> </w:t>
            </w:r>
            <w:r w:rsidRPr="00EC20A0">
              <w:t>if</w:t>
            </w:r>
            <w:r w:rsidRPr="00EC20A0">
              <w:rPr>
                <w:spacing w:val="-5"/>
              </w:rPr>
              <w:t xml:space="preserve"> </w:t>
            </w:r>
            <w:r w:rsidRPr="00EC20A0">
              <w:rPr>
                <w:spacing w:val="-4"/>
              </w:rPr>
              <w:t>any.</w:t>
            </w:r>
          </w:p>
        </w:tc>
        <w:tc>
          <w:tcPr>
            <w:tcW w:w="811" w:type="dxa"/>
            <w:tcBorders>
              <w:top w:val="single" w:sz="8" w:space="0" w:color="000000"/>
              <w:left w:val="single" w:sz="8" w:space="0" w:color="000000"/>
              <w:bottom w:val="single" w:sz="8" w:space="0" w:color="000000"/>
              <w:right w:val="single" w:sz="8" w:space="0" w:color="000000"/>
            </w:tcBorders>
          </w:tcPr>
          <w:p w14:paraId="24D625BA"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BB" w14:textId="77777777" w:rsidR="00245300" w:rsidRPr="00EC20A0" w:rsidRDefault="00245300">
            <w:pPr>
              <w:pStyle w:val="TableParagraph"/>
            </w:pPr>
          </w:p>
        </w:tc>
      </w:tr>
      <w:tr w:rsidR="00245300" w:rsidRPr="00EC20A0" w14:paraId="24D625C0" w14:textId="77777777">
        <w:trPr>
          <w:trHeight w:val="998"/>
        </w:trPr>
        <w:tc>
          <w:tcPr>
            <w:tcW w:w="7380" w:type="dxa"/>
            <w:tcBorders>
              <w:top w:val="single" w:sz="8" w:space="0" w:color="000000"/>
              <w:bottom w:val="single" w:sz="8" w:space="0" w:color="000000"/>
              <w:right w:val="single" w:sz="8" w:space="0" w:color="000000"/>
            </w:tcBorders>
          </w:tcPr>
          <w:p w14:paraId="24D625BD" w14:textId="77777777" w:rsidR="00245300" w:rsidRPr="00EC20A0" w:rsidRDefault="00F17249">
            <w:pPr>
              <w:pStyle w:val="TableParagraph"/>
              <w:spacing w:before="119"/>
              <w:ind w:left="1249" w:right="214" w:hanging="360"/>
              <w:jc w:val="both"/>
            </w:pPr>
            <w:r w:rsidRPr="00EC20A0">
              <w:t>p.</w:t>
            </w:r>
            <w:r w:rsidRPr="00EC20A0">
              <w:rPr>
                <w:spacing w:val="80"/>
              </w:rPr>
              <w:t xml:space="preserve"> </w:t>
            </w:r>
            <w:r w:rsidRPr="00EC20A0">
              <w:t>Findings</w:t>
            </w:r>
            <w:r w:rsidRPr="00EC20A0">
              <w:rPr>
                <w:spacing w:val="-4"/>
              </w:rPr>
              <w:t xml:space="preserve"> </w:t>
            </w:r>
            <w:r w:rsidRPr="00EC20A0">
              <w:t>with</w:t>
            </w:r>
            <w:r w:rsidRPr="00EC20A0">
              <w:rPr>
                <w:spacing w:val="-4"/>
              </w:rPr>
              <w:t xml:space="preserve"> </w:t>
            </w:r>
            <w:r w:rsidRPr="00EC20A0">
              <w:t>respect</w:t>
            </w:r>
            <w:r w:rsidRPr="00EC20A0">
              <w:rPr>
                <w:spacing w:val="-4"/>
              </w:rPr>
              <w:t xml:space="preserve"> </w:t>
            </w:r>
            <w:r w:rsidRPr="00EC20A0">
              <w:t>to</w:t>
            </w:r>
            <w:r w:rsidRPr="00EC20A0">
              <w:rPr>
                <w:spacing w:val="-5"/>
              </w:rPr>
              <w:t xml:space="preserve"> </w:t>
            </w:r>
            <w:r w:rsidRPr="00EC20A0">
              <w:t>transactions</w:t>
            </w:r>
            <w:r w:rsidRPr="00EC20A0">
              <w:rPr>
                <w:spacing w:val="-5"/>
              </w:rPr>
              <w:t xml:space="preserve"> </w:t>
            </w:r>
            <w:r w:rsidRPr="00EC20A0">
              <w:t>with</w:t>
            </w:r>
            <w:r w:rsidRPr="00EC20A0">
              <w:rPr>
                <w:spacing w:val="-4"/>
              </w:rPr>
              <w:t xml:space="preserve"> </w:t>
            </w:r>
            <w:r w:rsidRPr="00EC20A0">
              <w:t>disclosure</w:t>
            </w:r>
            <w:r w:rsidRPr="00EC20A0">
              <w:rPr>
                <w:spacing w:val="-4"/>
              </w:rPr>
              <w:t xml:space="preserve"> </w:t>
            </w:r>
            <w:r w:rsidRPr="00EC20A0">
              <w:t>entities, related parties, and public-private partnerships and complex or unusual transactions.</w:t>
            </w:r>
          </w:p>
        </w:tc>
        <w:tc>
          <w:tcPr>
            <w:tcW w:w="811" w:type="dxa"/>
            <w:tcBorders>
              <w:top w:val="single" w:sz="8" w:space="0" w:color="000000"/>
              <w:left w:val="single" w:sz="8" w:space="0" w:color="000000"/>
              <w:bottom w:val="single" w:sz="8" w:space="0" w:color="000000"/>
              <w:right w:val="single" w:sz="8" w:space="0" w:color="000000"/>
            </w:tcBorders>
          </w:tcPr>
          <w:p w14:paraId="24D625BE"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BF" w14:textId="77777777" w:rsidR="00245300" w:rsidRPr="00EC20A0" w:rsidRDefault="00245300">
            <w:pPr>
              <w:pStyle w:val="TableParagraph"/>
            </w:pPr>
          </w:p>
        </w:tc>
      </w:tr>
      <w:tr w:rsidR="00245300" w:rsidRPr="00EC20A0" w14:paraId="24D625C4" w14:textId="77777777">
        <w:trPr>
          <w:trHeight w:val="1252"/>
        </w:trPr>
        <w:tc>
          <w:tcPr>
            <w:tcW w:w="7380" w:type="dxa"/>
            <w:tcBorders>
              <w:top w:val="single" w:sz="8" w:space="0" w:color="000000"/>
              <w:bottom w:val="single" w:sz="8" w:space="0" w:color="000000"/>
              <w:right w:val="single" w:sz="8" w:space="0" w:color="000000"/>
            </w:tcBorders>
          </w:tcPr>
          <w:p w14:paraId="24D625C1" w14:textId="77777777" w:rsidR="00245300" w:rsidRPr="00EC20A0" w:rsidRDefault="00F17249">
            <w:pPr>
              <w:pStyle w:val="TableParagraph"/>
              <w:spacing w:before="119"/>
              <w:ind w:left="1249" w:right="222" w:hanging="360"/>
            </w:pPr>
            <w:r w:rsidRPr="00EC20A0">
              <w:t>q.</w:t>
            </w:r>
            <w:r w:rsidRPr="00EC20A0">
              <w:rPr>
                <w:spacing w:val="80"/>
              </w:rPr>
              <w:t xml:space="preserve"> </w:t>
            </w:r>
            <w:r w:rsidRPr="00EC20A0">
              <w:t>The</w:t>
            </w:r>
            <w:r w:rsidRPr="00EC20A0">
              <w:rPr>
                <w:spacing w:val="-4"/>
              </w:rPr>
              <w:t xml:space="preserve"> </w:t>
            </w:r>
            <w:r w:rsidRPr="00EC20A0">
              <w:t>summary</w:t>
            </w:r>
            <w:r w:rsidRPr="00EC20A0">
              <w:rPr>
                <w:spacing w:val="-4"/>
              </w:rPr>
              <w:t xml:space="preserve"> </w:t>
            </w:r>
            <w:r w:rsidRPr="00EC20A0">
              <w:t>of</w:t>
            </w:r>
            <w:r w:rsidRPr="00EC20A0">
              <w:rPr>
                <w:spacing w:val="-4"/>
              </w:rPr>
              <w:t xml:space="preserve"> </w:t>
            </w:r>
            <w:r w:rsidRPr="00EC20A0">
              <w:t>uncorrected</w:t>
            </w:r>
            <w:r w:rsidRPr="00EC20A0">
              <w:rPr>
                <w:spacing w:val="-4"/>
              </w:rPr>
              <w:t xml:space="preserve"> </w:t>
            </w:r>
            <w:r w:rsidRPr="00EC20A0">
              <w:t>misstatements</w:t>
            </w:r>
            <w:r w:rsidRPr="00EC20A0">
              <w:rPr>
                <w:spacing w:val="-4"/>
              </w:rPr>
              <w:t xml:space="preserve"> </w:t>
            </w:r>
            <w:r w:rsidRPr="00EC20A0">
              <w:t>(FAM</w:t>
            </w:r>
            <w:r w:rsidRPr="00EC20A0">
              <w:rPr>
                <w:spacing w:val="-5"/>
              </w:rPr>
              <w:t xml:space="preserve"> </w:t>
            </w:r>
            <w:r w:rsidRPr="00EC20A0">
              <w:t>595</w:t>
            </w:r>
            <w:r w:rsidRPr="00EC20A0">
              <w:rPr>
                <w:spacing w:val="-4"/>
              </w:rPr>
              <w:t xml:space="preserve"> </w:t>
            </w:r>
            <w:r w:rsidRPr="00EC20A0">
              <w:t xml:space="preserve">C) and communication of factual, judgmental, and projected misstatements to management and those charged with </w:t>
            </w:r>
            <w:r w:rsidRPr="00EC20A0">
              <w:rPr>
                <w:spacing w:val="-2"/>
              </w:rPr>
              <w:t>governance.</w:t>
            </w:r>
          </w:p>
        </w:tc>
        <w:tc>
          <w:tcPr>
            <w:tcW w:w="811" w:type="dxa"/>
            <w:tcBorders>
              <w:top w:val="single" w:sz="8" w:space="0" w:color="000000"/>
              <w:left w:val="single" w:sz="8" w:space="0" w:color="000000"/>
              <w:bottom w:val="single" w:sz="8" w:space="0" w:color="000000"/>
              <w:right w:val="single" w:sz="8" w:space="0" w:color="000000"/>
            </w:tcBorders>
          </w:tcPr>
          <w:p w14:paraId="24D625C2"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C3" w14:textId="77777777" w:rsidR="00245300" w:rsidRPr="00EC20A0" w:rsidRDefault="00245300">
            <w:pPr>
              <w:pStyle w:val="TableParagraph"/>
            </w:pPr>
          </w:p>
        </w:tc>
      </w:tr>
      <w:tr w:rsidR="00245300" w:rsidRPr="00EC20A0" w14:paraId="24D625C8" w14:textId="77777777">
        <w:trPr>
          <w:trHeight w:val="1758"/>
        </w:trPr>
        <w:tc>
          <w:tcPr>
            <w:tcW w:w="7380" w:type="dxa"/>
            <w:tcBorders>
              <w:top w:val="single" w:sz="8" w:space="0" w:color="000000"/>
              <w:bottom w:val="single" w:sz="8" w:space="0" w:color="000000"/>
              <w:right w:val="single" w:sz="8" w:space="0" w:color="000000"/>
            </w:tcBorders>
          </w:tcPr>
          <w:p w14:paraId="24D625C5" w14:textId="77777777" w:rsidR="00245300" w:rsidRPr="00EC20A0" w:rsidRDefault="00F17249">
            <w:pPr>
              <w:pStyle w:val="TableParagraph"/>
              <w:tabs>
                <w:tab w:val="left" w:pos="1249"/>
              </w:tabs>
              <w:spacing w:before="119"/>
              <w:ind w:left="1249" w:right="421" w:hanging="360"/>
            </w:pPr>
            <w:r w:rsidRPr="00EC20A0">
              <w:rPr>
                <w:spacing w:val="-6"/>
              </w:rPr>
              <w:t>r.</w:t>
            </w:r>
            <w:r w:rsidRPr="00EC20A0">
              <w:tab/>
              <w:t xml:space="preserve">A summary of internal control deficiencies classified as material weaknesses, significant deficiencies, and other control </w:t>
            </w:r>
            <w:r w:rsidRPr="00EC20A0">
              <w:t>deficiencies, and a comparison of material weaknesses that the auditor found to the material weaknesses</w:t>
            </w:r>
            <w:r w:rsidRPr="00EC20A0">
              <w:rPr>
                <w:spacing w:val="-9"/>
              </w:rPr>
              <w:t xml:space="preserve"> </w:t>
            </w:r>
            <w:r w:rsidRPr="00EC20A0">
              <w:t>reported</w:t>
            </w:r>
            <w:r w:rsidRPr="00EC20A0">
              <w:rPr>
                <w:spacing w:val="-8"/>
              </w:rPr>
              <w:t xml:space="preserve"> </w:t>
            </w:r>
            <w:r w:rsidRPr="00EC20A0">
              <w:t>in</w:t>
            </w:r>
            <w:r w:rsidRPr="00EC20A0">
              <w:rPr>
                <w:spacing w:val="-9"/>
              </w:rPr>
              <w:t xml:space="preserve"> </w:t>
            </w:r>
            <w:r w:rsidRPr="00EC20A0">
              <w:t>management’s</w:t>
            </w:r>
            <w:r w:rsidRPr="00EC20A0">
              <w:rPr>
                <w:spacing w:val="-7"/>
              </w:rPr>
              <w:t xml:space="preserve"> </w:t>
            </w:r>
            <w:r w:rsidRPr="00EC20A0">
              <w:t>assessment</w:t>
            </w:r>
            <w:r w:rsidRPr="00EC20A0">
              <w:rPr>
                <w:spacing w:val="-8"/>
              </w:rPr>
              <w:t xml:space="preserve"> </w:t>
            </w:r>
            <w:r w:rsidRPr="00EC20A0">
              <w:t>about the effectiveness of internal control.</w:t>
            </w:r>
          </w:p>
        </w:tc>
        <w:tc>
          <w:tcPr>
            <w:tcW w:w="811" w:type="dxa"/>
            <w:tcBorders>
              <w:top w:val="single" w:sz="8" w:space="0" w:color="000000"/>
              <w:left w:val="single" w:sz="8" w:space="0" w:color="000000"/>
              <w:bottom w:val="single" w:sz="8" w:space="0" w:color="000000"/>
              <w:right w:val="single" w:sz="8" w:space="0" w:color="000000"/>
            </w:tcBorders>
          </w:tcPr>
          <w:p w14:paraId="24D625C6"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C7" w14:textId="77777777" w:rsidR="00245300" w:rsidRPr="00EC20A0" w:rsidRDefault="00245300">
            <w:pPr>
              <w:pStyle w:val="TableParagraph"/>
            </w:pPr>
          </w:p>
        </w:tc>
      </w:tr>
      <w:tr w:rsidR="00245300" w:rsidRPr="00EC20A0" w14:paraId="24D625CC" w14:textId="77777777">
        <w:trPr>
          <w:trHeight w:val="1251"/>
        </w:trPr>
        <w:tc>
          <w:tcPr>
            <w:tcW w:w="7380" w:type="dxa"/>
            <w:tcBorders>
              <w:top w:val="single" w:sz="8" w:space="0" w:color="000000"/>
              <w:bottom w:val="single" w:sz="8" w:space="0" w:color="000000"/>
              <w:right w:val="single" w:sz="8" w:space="0" w:color="000000"/>
            </w:tcBorders>
          </w:tcPr>
          <w:p w14:paraId="24D625C9" w14:textId="77777777" w:rsidR="00245300" w:rsidRPr="00EC20A0" w:rsidRDefault="00F17249">
            <w:pPr>
              <w:pStyle w:val="TableParagraph"/>
              <w:spacing w:before="119"/>
              <w:ind w:left="1248" w:right="222" w:hanging="360"/>
            </w:pPr>
            <w:r w:rsidRPr="00EC20A0">
              <w:t>s.</w:t>
            </w:r>
            <w:r w:rsidRPr="00EC20A0">
              <w:rPr>
                <w:spacing w:val="80"/>
              </w:rPr>
              <w:t xml:space="preserve"> </w:t>
            </w:r>
            <w:r w:rsidRPr="00EC20A0">
              <w:t>A</w:t>
            </w:r>
            <w:r w:rsidRPr="00EC20A0">
              <w:rPr>
                <w:spacing w:val="-3"/>
              </w:rPr>
              <w:t xml:space="preserve"> </w:t>
            </w:r>
            <w:r w:rsidRPr="00EC20A0">
              <w:t>summary</w:t>
            </w:r>
            <w:r w:rsidRPr="00EC20A0">
              <w:rPr>
                <w:spacing w:val="-2"/>
              </w:rPr>
              <w:t xml:space="preserve"> </w:t>
            </w:r>
            <w:r w:rsidRPr="00EC20A0">
              <w:t>of</w:t>
            </w:r>
            <w:r w:rsidRPr="00EC20A0">
              <w:rPr>
                <w:spacing w:val="-3"/>
              </w:rPr>
              <w:t xml:space="preserve"> </w:t>
            </w:r>
            <w:r w:rsidRPr="00EC20A0">
              <w:t>instances</w:t>
            </w:r>
            <w:r w:rsidRPr="00EC20A0">
              <w:rPr>
                <w:spacing w:val="-4"/>
              </w:rPr>
              <w:t xml:space="preserve"> </w:t>
            </w:r>
            <w:r w:rsidRPr="00EC20A0">
              <w:t>of</w:t>
            </w:r>
            <w:r w:rsidRPr="00EC20A0">
              <w:rPr>
                <w:spacing w:val="-3"/>
              </w:rPr>
              <w:t xml:space="preserve"> </w:t>
            </w:r>
            <w:r w:rsidRPr="00EC20A0">
              <w:t>the</w:t>
            </w:r>
            <w:r w:rsidRPr="00EC20A0">
              <w:rPr>
                <w:spacing w:val="-3"/>
              </w:rPr>
              <w:t xml:space="preserve"> </w:t>
            </w:r>
            <w:r w:rsidRPr="00EC20A0">
              <w:t>systems’</w:t>
            </w:r>
            <w:r w:rsidRPr="00EC20A0">
              <w:rPr>
                <w:spacing w:val="-3"/>
              </w:rPr>
              <w:t xml:space="preserve"> </w:t>
            </w:r>
            <w:r w:rsidRPr="00EC20A0">
              <w:t>lack</w:t>
            </w:r>
            <w:r w:rsidRPr="00EC20A0">
              <w:rPr>
                <w:spacing w:val="-3"/>
              </w:rPr>
              <w:t xml:space="preserve"> </w:t>
            </w:r>
            <w:r w:rsidRPr="00EC20A0">
              <w:t>of</w:t>
            </w:r>
            <w:r w:rsidRPr="00EC20A0">
              <w:rPr>
                <w:spacing w:val="-4"/>
              </w:rPr>
              <w:t xml:space="preserve"> </w:t>
            </w:r>
            <w:r w:rsidRPr="00EC20A0">
              <w:t>substantial compliance with FFMIA requirements, as well as areas in which there is substantial but not full compliance (for CFO Act agencies).</w:t>
            </w:r>
          </w:p>
        </w:tc>
        <w:tc>
          <w:tcPr>
            <w:tcW w:w="811" w:type="dxa"/>
            <w:tcBorders>
              <w:top w:val="single" w:sz="8" w:space="0" w:color="000000"/>
              <w:left w:val="single" w:sz="8" w:space="0" w:color="000000"/>
              <w:bottom w:val="single" w:sz="8" w:space="0" w:color="000000"/>
              <w:right w:val="single" w:sz="8" w:space="0" w:color="000000"/>
            </w:tcBorders>
          </w:tcPr>
          <w:p w14:paraId="24D625CA"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CB" w14:textId="77777777" w:rsidR="00245300" w:rsidRPr="00EC20A0" w:rsidRDefault="00245300">
            <w:pPr>
              <w:pStyle w:val="TableParagraph"/>
            </w:pPr>
          </w:p>
        </w:tc>
      </w:tr>
    </w:tbl>
    <w:p w14:paraId="24D625CD" w14:textId="77777777" w:rsidR="00245300" w:rsidRPr="00EC20A0" w:rsidRDefault="00245300">
      <w:pPr>
        <w:sectPr w:rsidR="00245300" w:rsidRPr="00EC20A0">
          <w:pgSz w:w="12240" w:h="15840"/>
          <w:pgMar w:top="1340" w:right="460" w:bottom="940" w:left="560" w:header="721" w:footer="757" w:gutter="0"/>
          <w:cols w:space="720"/>
        </w:sectPr>
      </w:pPr>
    </w:p>
    <w:p w14:paraId="24D625CE"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5D5" w14:textId="77777777">
        <w:trPr>
          <w:trHeight w:val="936"/>
        </w:trPr>
        <w:tc>
          <w:tcPr>
            <w:tcW w:w="7380" w:type="dxa"/>
            <w:tcBorders>
              <w:right w:val="single" w:sz="8" w:space="0" w:color="000000"/>
            </w:tcBorders>
            <w:shd w:val="clear" w:color="auto" w:fill="A6A6A6"/>
          </w:tcPr>
          <w:p w14:paraId="24D625CF" w14:textId="77777777" w:rsidR="00245300" w:rsidRPr="00EC20A0" w:rsidRDefault="00245300">
            <w:pPr>
              <w:pStyle w:val="TableParagraph"/>
              <w:spacing w:before="266"/>
              <w:rPr>
                <w:b/>
                <w:sz w:val="24"/>
              </w:rPr>
            </w:pPr>
          </w:p>
          <w:p w14:paraId="24D625D0"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5D1"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5D2" w14:textId="77777777" w:rsidR="00245300" w:rsidRPr="00EC20A0" w:rsidRDefault="00245300">
            <w:pPr>
              <w:pStyle w:val="TableParagraph"/>
              <w:rPr>
                <w:b/>
              </w:rPr>
            </w:pPr>
          </w:p>
          <w:p w14:paraId="24D625D3" w14:textId="77777777" w:rsidR="00245300" w:rsidRPr="00EC20A0" w:rsidRDefault="00245300">
            <w:pPr>
              <w:pStyle w:val="TableParagraph"/>
              <w:spacing w:before="120"/>
              <w:rPr>
                <w:b/>
              </w:rPr>
            </w:pPr>
          </w:p>
          <w:p w14:paraId="24D625D4"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5D9" w14:textId="77777777">
        <w:trPr>
          <w:trHeight w:val="999"/>
        </w:trPr>
        <w:tc>
          <w:tcPr>
            <w:tcW w:w="7380" w:type="dxa"/>
            <w:tcBorders>
              <w:bottom w:val="single" w:sz="8" w:space="0" w:color="000000"/>
              <w:right w:val="single" w:sz="8" w:space="0" w:color="000000"/>
            </w:tcBorders>
          </w:tcPr>
          <w:p w14:paraId="24D625D6" w14:textId="77777777" w:rsidR="00245300" w:rsidRPr="00EC20A0" w:rsidRDefault="00F17249">
            <w:pPr>
              <w:pStyle w:val="TableParagraph"/>
              <w:tabs>
                <w:tab w:val="left" w:pos="1249"/>
              </w:tabs>
              <w:spacing w:before="121"/>
              <w:ind w:left="1249" w:right="470" w:hanging="360"/>
            </w:pPr>
            <w:r w:rsidRPr="00EC20A0">
              <w:rPr>
                <w:spacing w:val="-6"/>
              </w:rPr>
              <w:t>t.</w:t>
            </w:r>
            <w:r w:rsidRPr="00EC20A0">
              <w:tab/>
              <w:t>A</w:t>
            </w:r>
            <w:r w:rsidRPr="00EC20A0">
              <w:rPr>
                <w:spacing w:val="-6"/>
              </w:rPr>
              <w:t xml:space="preserve"> </w:t>
            </w:r>
            <w:r w:rsidRPr="00EC20A0">
              <w:t>summary</w:t>
            </w:r>
            <w:r w:rsidRPr="00EC20A0">
              <w:rPr>
                <w:spacing w:val="-5"/>
              </w:rPr>
              <w:t xml:space="preserve"> </w:t>
            </w:r>
            <w:r w:rsidRPr="00EC20A0">
              <w:t>of</w:t>
            </w:r>
            <w:r w:rsidRPr="00EC20A0">
              <w:rPr>
                <w:spacing w:val="-6"/>
              </w:rPr>
              <w:t xml:space="preserve"> </w:t>
            </w:r>
            <w:r w:rsidRPr="00EC20A0">
              <w:t>instances</w:t>
            </w:r>
            <w:r w:rsidRPr="00EC20A0">
              <w:rPr>
                <w:spacing w:val="-6"/>
              </w:rPr>
              <w:t xml:space="preserve"> </w:t>
            </w:r>
            <w:r w:rsidRPr="00EC20A0">
              <w:t>of</w:t>
            </w:r>
            <w:r w:rsidRPr="00EC20A0">
              <w:rPr>
                <w:spacing w:val="-6"/>
              </w:rPr>
              <w:t xml:space="preserve"> </w:t>
            </w:r>
            <w:r w:rsidRPr="00EC20A0">
              <w:t>noncompliance</w:t>
            </w:r>
            <w:r w:rsidRPr="00EC20A0">
              <w:rPr>
                <w:spacing w:val="-6"/>
              </w:rPr>
              <w:t xml:space="preserve"> </w:t>
            </w:r>
            <w:r w:rsidRPr="00EC20A0">
              <w:t>with</w:t>
            </w:r>
            <w:r w:rsidRPr="00EC20A0">
              <w:rPr>
                <w:spacing w:val="-6"/>
              </w:rPr>
              <w:t xml:space="preserve"> </w:t>
            </w:r>
            <w:r w:rsidRPr="00EC20A0">
              <w:t>significant provisions of applicable laws, regulations, contracts, and grant agreements.</w:t>
            </w:r>
          </w:p>
        </w:tc>
        <w:tc>
          <w:tcPr>
            <w:tcW w:w="811" w:type="dxa"/>
            <w:tcBorders>
              <w:left w:val="single" w:sz="8" w:space="0" w:color="000000"/>
              <w:bottom w:val="single" w:sz="8" w:space="0" w:color="000000"/>
              <w:right w:val="single" w:sz="8" w:space="0" w:color="000000"/>
            </w:tcBorders>
          </w:tcPr>
          <w:p w14:paraId="24D625D7" w14:textId="77777777" w:rsidR="00245300" w:rsidRPr="00EC20A0" w:rsidRDefault="00245300">
            <w:pPr>
              <w:pStyle w:val="TableParagraph"/>
            </w:pPr>
          </w:p>
        </w:tc>
        <w:tc>
          <w:tcPr>
            <w:tcW w:w="1349" w:type="dxa"/>
            <w:tcBorders>
              <w:left w:val="single" w:sz="8" w:space="0" w:color="000000"/>
              <w:bottom w:val="single" w:sz="8" w:space="0" w:color="000000"/>
            </w:tcBorders>
          </w:tcPr>
          <w:p w14:paraId="24D625D8" w14:textId="77777777" w:rsidR="00245300" w:rsidRPr="00EC20A0" w:rsidRDefault="00245300">
            <w:pPr>
              <w:pStyle w:val="TableParagraph"/>
            </w:pPr>
          </w:p>
        </w:tc>
      </w:tr>
      <w:tr w:rsidR="00245300" w:rsidRPr="00EC20A0" w14:paraId="24D625DD" w14:textId="77777777">
        <w:trPr>
          <w:trHeight w:val="493"/>
        </w:trPr>
        <w:tc>
          <w:tcPr>
            <w:tcW w:w="7380" w:type="dxa"/>
            <w:tcBorders>
              <w:top w:val="single" w:sz="8" w:space="0" w:color="000000"/>
              <w:bottom w:val="single" w:sz="8" w:space="0" w:color="000000"/>
              <w:right w:val="single" w:sz="8" w:space="0" w:color="000000"/>
            </w:tcBorders>
          </w:tcPr>
          <w:p w14:paraId="24D625DA" w14:textId="77777777" w:rsidR="00245300" w:rsidRPr="00EC20A0" w:rsidRDefault="00F17249">
            <w:pPr>
              <w:pStyle w:val="TableParagraph"/>
              <w:spacing w:before="121"/>
              <w:ind w:left="889"/>
            </w:pPr>
            <w:r w:rsidRPr="00EC20A0">
              <w:t>u.</w:t>
            </w:r>
            <w:r w:rsidRPr="00EC20A0">
              <w:rPr>
                <w:spacing w:val="68"/>
                <w:w w:val="150"/>
              </w:rPr>
              <w:t xml:space="preserve"> </w:t>
            </w:r>
            <w:r w:rsidRPr="00EC20A0">
              <w:t>Documentation</w:t>
            </w:r>
            <w:r w:rsidRPr="00EC20A0">
              <w:rPr>
                <w:spacing w:val="-6"/>
              </w:rPr>
              <w:t xml:space="preserve"> </w:t>
            </w:r>
            <w:r w:rsidRPr="00EC20A0">
              <w:t>of</w:t>
            </w:r>
            <w:r w:rsidRPr="00EC20A0">
              <w:rPr>
                <w:spacing w:val="-5"/>
              </w:rPr>
              <w:t xml:space="preserve"> </w:t>
            </w:r>
            <w:r w:rsidRPr="00EC20A0">
              <w:t>overall</w:t>
            </w:r>
            <w:r w:rsidRPr="00EC20A0">
              <w:rPr>
                <w:spacing w:val="-6"/>
              </w:rPr>
              <w:t xml:space="preserve"> </w:t>
            </w:r>
            <w:r w:rsidRPr="00EC20A0">
              <w:t>analytical</w:t>
            </w:r>
            <w:r w:rsidRPr="00EC20A0">
              <w:rPr>
                <w:spacing w:val="-5"/>
              </w:rPr>
              <w:t xml:space="preserve"> </w:t>
            </w:r>
            <w:r w:rsidRPr="00EC20A0">
              <w:rPr>
                <w:spacing w:val="-2"/>
              </w:rPr>
              <w:t>procedures.</w:t>
            </w:r>
          </w:p>
        </w:tc>
        <w:tc>
          <w:tcPr>
            <w:tcW w:w="811" w:type="dxa"/>
            <w:tcBorders>
              <w:top w:val="single" w:sz="8" w:space="0" w:color="000000"/>
              <w:left w:val="single" w:sz="8" w:space="0" w:color="000000"/>
              <w:bottom w:val="single" w:sz="8" w:space="0" w:color="000000"/>
              <w:right w:val="single" w:sz="8" w:space="0" w:color="000000"/>
            </w:tcBorders>
          </w:tcPr>
          <w:p w14:paraId="24D625DB"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DC" w14:textId="77777777" w:rsidR="00245300" w:rsidRPr="00EC20A0" w:rsidRDefault="00245300">
            <w:pPr>
              <w:pStyle w:val="TableParagraph"/>
            </w:pPr>
          </w:p>
        </w:tc>
      </w:tr>
      <w:tr w:rsidR="00245300" w:rsidRPr="00EC20A0" w14:paraId="24D625E1" w14:textId="77777777">
        <w:trPr>
          <w:trHeight w:val="1503"/>
        </w:trPr>
        <w:tc>
          <w:tcPr>
            <w:tcW w:w="7380" w:type="dxa"/>
            <w:tcBorders>
              <w:top w:val="single" w:sz="8" w:space="0" w:color="000000"/>
              <w:bottom w:val="single" w:sz="8" w:space="0" w:color="000000"/>
              <w:right w:val="single" w:sz="8" w:space="0" w:color="000000"/>
            </w:tcBorders>
          </w:tcPr>
          <w:p w14:paraId="24D625DE" w14:textId="77777777" w:rsidR="00245300" w:rsidRPr="00EC20A0" w:rsidRDefault="00F17249">
            <w:pPr>
              <w:pStyle w:val="TableParagraph"/>
              <w:spacing w:before="119"/>
              <w:ind w:left="1248" w:right="222" w:hanging="360"/>
            </w:pPr>
            <w:r w:rsidRPr="00EC20A0">
              <w:t>v.</w:t>
            </w:r>
            <w:r w:rsidRPr="00EC20A0">
              <w:rPr>
                <w:spacing w:val="80"/>
              </w:rPr>
              <w:t xml:space="preserve"> </w:t>
            </w:r>
            <w:r w:rsidRPr="00EC20A0">
              <w:t>Documentation</w:t>
            </w:r>
            <w:r w:rsidRPr="00EC20A0">
              <w:rPr>
                <w:spacing w:val="-4"/>
              </w:rPr>
              <w:t xml:space="preserve"> </w:t>
            </w:r>
            <w:r w:rsidRPr="00EC20A0">
              <w:t>of</w:t>
            </w:r>
            <w:r w:rsidRPr="00EC20A0">
              <w:rPr>
                <w:spacing w:val="-4"/>
              </w:rPr>
              <w:t xml:space="preserve"> </w:t>
            </w:r>
            <w:r w:rsidRPr="00EC20A0">
              <w:t>oral</w:t>
            </w:r>
            <w:r w:rsidRPr="00EC20A0">
              <w:rPr>
                <w:spacing w:val="-4"/>
              </w:rPr>
              <w:t xml:space="preserve"> </w:t>
            </w:r>
            <w:r w:rsidRPr="00EC20A0">
              <w:t>or</w:t>
            </w:r>
            <w:r w:rsidRPr="00EC20A0">
              <w:rPr>
                <w:spacing w:val="-5"/>
              </w:rPr>
              <w:t xml:space="preserve"> </w:t>
            </w:r>
            <w:r w:rsidRPr="00EC20A0">
              <w:t>written</w:t>
            </w:r>
            <w:r w:rsidRPr="00EC20A0">
              <w:rPr>
                <w:spacing w:val="-4"/>
              </w:rPr>
              <w:t xml:space="preserve"> </w:t>
            </w:r>
            <w:r w:rsidRPr="00EC20A0">
              <w:t>communication</w:t>
            </w:r>
            <w:r w:rsidRPr="00EC20A0">
              <w:rPr>
                <w:spacing w:val="-4"/>
              </w:rPr>
              <w:t xml:space="preserve"> </w:t>
            </w:r>
            <w:r w:rsidRPr="00EC20A0">
              <w:t>required</w:t>
            </w:r>
            <w:r w:rsidRPr="00EC20A0">
              <w:rPr>
                <w:spacing w:val="-4"/>
              </w:rPr>
              <w:t xml:space="preserve"> </w:t>
            </w:r>
            <w:r w:rsidRPr="00EC20A0">
              <w:t xml:space="preserve">to be </w:t>
            </w:r>
            <w:r w:rsidRPr="00EC20A0">
              <w:t>communicated with management, those charged with governance, and others, including the nature of the significant</w:t>
            </w:r>
            <w:r w:rsidRPr="00EC20A0">
              <w:rPr>
                <w:spacing w:val="-1"/>
              </w:rPr>
              <w:t xml:space="preserve"> </w:t>
            </w:r>
            <w:r w:rsidRPr="00EC20A0">
              <w:t>findings</w:t>
            </w:r>
            <w:r w:rsidRPr="00EC20A0">
              <w:rPr>
                <w:spacing w:val="-1"/>
              </w:rPr>
              <w:t xml:space="preserve"> </w:t>
            </w:r>
            <w:r w:rsidRPr="00EC20A0">
              <w:t>or</w:t>
            </w:r>
            <w:r w:rsidRPr="00EC20A0">
              <w:rPr>
                <w:spacing w:val="-1"/>
              </w:rPr>
              <w:t xml:space="preserve"> </w:t>
            </w:r>
            <w:r w:rsidRPr="00EC20A0">
              <w:t>issues discussed,</w:t>
            </w:r>
            <w:r w:rsidRPr="00EC20A0">
              <w:rPr>
                <w:spacing w:val="-1"/>
              </w:rPr>
              <w:t xml:space="preserve"> </w:t>
            </w:r>
            <w:r w:rsidRPr="00EC20A0">
              <w:t>and</w:t>
            </w:r>
            <w:r w:rsidRPr="00EC20A0">
              <w:rPr>
                <w:spacing w:val="-1"/>
              </w:rPr>
              <w:t xml:space="preserve"> </w:t>
            </w:r>
            <w:r w:rsidRPr="00EC20A0">
              <w:t>when</w:t>
            </w:r>
            <w:r w:rsidRPr="00EC20A0">
              <w:rPr>
                <w:spacing w:val="-1"/>
              </w:rPr>
              <w:t xml:space="preserve"> </w:t>
            </w:r>
            <w:r w:rsidRPr="00EC20A0">
              <w:t>and</w:t>
            </w:r>
            <w:r w:rsidRPr="00EC20A0">
              <w:rPr>
                <w:spacing w:val="-1"/>
              </w:rPr>
              <w:t xml:space="preserve"> </w:t>
            </w:r>
            <w:r w:rsidRPr="00EC20A0">
              <w:t>with whom the discussions took place.</w:t>
            </w:r>
          </w:p>
        </w:tc>
        <w:tc>
          <w:tcPr>
            <w:tcW w:w="811" w:type="dxa"/>
            <w:tcBorders>
              <w:top w:val="single" w:sz="8" w:space="0" w:color="000000"/>
              <w:left w:val="single" w:sz="8" w:space="0" w:color="000000"/>
              <w:bottom w:val="single" w:sz="8" w:space="0" w:color="000000"/>
              <w:right w:val="single" w:sz="8" w:space="0" w:color="000000"/>
            </w:tcBorders>
          </w:tcPr>
          <w:p w14:paraId="24D625DF"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E0" w14:textId="77777777" w:rsidR="00245300" w:rsidRPr="00EC20A0" w:rsidRDefault="00245300">
            <w:pPr>
              <w:pStyle w:val="TableParagraph"/>
            </w:pPr>
          </w:p>
        </w:tc>
      </w:tr>
      <w:tr w:rsidR="00245300" w:rsidRPr="00EC20A0" w14:paraId="24D625E5" w14:textId="77777777">
        <w:trPr>
          <w:trHeight w:val="2011"/>
        </w:trPr>
        <w:tc>
          <w:tcPr>
            <w:tcW w:w="7380" w:type="dxa"/>
            <w:tcBorders>
              <w:top w:val="single" w:sz="8" w:space="0" w:color="000000"/>
              <w:bottom w:val="single" w:sz="8" w:space="0" w:color="000000"/>
              <w:right w:val="single" w:sz="8" w:space="0" w:color="000000"/>
            </w:tcBorders>
          </w:tcPr>
          <w:p w14:paraId="24D625E2" w14:textId="77777777" w:rsidR="00245300" w:rsidRPr="00EC20A0" w:rsidRDefault="00F17249">
            <w:pPr>
              <w:pStyle w:val="TableParagraph"/>
              <w:spacing w:before="121"/>
              <w:ind w:left="1249" w:right="172" w:hanging="360"/>
            </w:pPr>
            <w:r w:rsidRPr="00EC20A0">
              <w:t>w.</w:t>
            </w:r>
            <w:r w:rsidRPr="00EC20A0">
              <w:rPr>
                <w:spacing w:val="80"/>
              </w:rPr>
              <w:t xml:space="preserve"> </w:t>
            </w:r>
            <w:r w:rsidRPr="00EC20A0">
              <w:t xml:space="preserve">A copy or summary of management’s </w:t>
            </w:r>
            <w:r w:rsidRPr="00EC20A0">
              <w:t>communications provided to those charged with governance if, as part of its communication to those charged with governance, management communicated some or all of the matters the auditor is required to communicate, and as a result, the auditor</w:t>
            </w:r>
            <w:r w:rsidRPr="00EC20A0">
              <w:rPr>
                <w:spacing w:val="-5"/>
              </w:rPr>
              <w:t xml:space="preserve"> </w:t>
            </w:r>
            <w:r w:rsidRPr="00EC20A0">
              <w:t>did</w:t>
            </w:r>
            <w:r w:rsidRPr="00EC20A0">
              <w:rPr>
                <w:spacing w:val="-5"/>
              </w:rPr>
              <w:t xml:space="preserve"> </w:t>
            </w:r>
            <w:r w:rsidRPr="00EC20A0">
              <w:t>not</w:t>
            </w:r>
            <w:r w:rsidRPr="00EC20A0">
              <w:rPr>
                <w:spacing w:val="-5"/>
              </w:rPr>
              <w:t xml:space="preserve"> </w:t>
            </w:r>
            <w:r w:rsidRPr="00EC20A0">
              <w:t>communicate</w:t>
            </w:r>
            <w:r w:rsidRPr="00EC20A0">
              <w:rPr>
                <w:spacing w:val="-5"/>
              </w:rPr>
              <w:t xml:space="preserve"> </w:t>
            </w:r>
            <w:r w:rsidRPr="00EC20A0">
              <w:t>these</w:t>
            </w:r>
            <w:r w:rsidRPr="00EC20A0">
              <w:rPr>
                <w:spacing w:val="-6"/>
              </w:rPr>
              <w:t xml:space="preserve"> </w:t>
            </w:r>
            <w:r w:rsidRPr="00EC20A0">
              <w:t>matters</w:t>
            </w:r>
            <w:r w:rsidRPr="00EC20A0">
              <w:rPr>
                <w:spacing w:val="-5"/>
              </w:rPr>
              <w:t xml:space="preserve"> </w:t>
            </w:r>
            <w:r w:rsidRPr="00EC20A0">
              <w:t>at</w:t>
            </w:r>
            <w:r w:rsidRPr="00EC20A0">
              <w:rPr>
                <w:spacing w:val="-5"/>
              </w:rPr>
              <w:t xml:space="preserve"> </w:t>
            </w:r>
            <w:r w:rsidRPr="00EC20A0">
              <w:t>the</w:t>
            </w:r>
            <w:r w:rsidRPr="00EC20A0">
              <w:rPr>
                <w:spacing w:val="-5"/>
              </w:rPr>
              <w:t xml:space="preserve"> </w:t>
            </w:r>
            <w:r w:rsidRPr="00EC20A0">
              <w:t>same</w:t>
            </w:r>
            <w:r w:rsidRPr="00EC20A0">
              <w:rPr>
                <w:spacing w:val="-5"/>
              </w:rPr>
              <w:t xml:space="preserve"> </w:t>
            </w:r>
            <w:r w:rsidRPr="00EC20A0">
              <w:t>level of detail as management.</w:t>
            </w:r>
          </w:p>
        </w:tc>
        <w:tc>
          <w:tcPr>
            <w:tcW w:w="811" w:type="dxa"/>
            <w:tcBorders>
              <w:top w:val="single" w:sz="8" w:space="0" w:color="000000"/>
              <w:left w:val="single" w:sz="8" w:space="0" w:color="000000"/>
              <w:bottom w:val="single" w:sz="8" w:space="0" w:color="000000"/>
              <w:right w:val="single" w:sz="8" w:space="0" w:color="000000"/>
            </w:tcBorders>
          </w:tcPr>
          <w:p w14:paraId="24D625E3"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E4" w14:textId="77777777" w:rsidR="00245300" w:rsidRPr="00EC20A0" w:rsidRDefault="00245300">
            <w:pPr>
              <w:pStyle w:val="TableParagraph"/>
            </w:pPr>
          </w:p>
        </w:tc>
      </w:tr>
      <w:tr w:rsidR="00245300" w:rsidRPr="00EC20A0" w14:paraId="24D625E9" w14:textId="77777777">
        <w:trPr>
          <w:trHeight w:val="745"/>
        </w:trPr>
        <w:tc>
          <w:tcPr>
            <w:tcW w:w="7380" w:type="dxa"/>
            <w:tcBorders>
              <w:top w:val="single" w:sz="8" w:space="0" w:color="000000"/>
              <w:bottom w:val="single" w:sz="8" w:space="0" w:color="000000"/>
              <w:right w:val="single" w:sz="8" w:space="0" w:color="000000"/>
            </w:tcBorders>
          </w:tcPr>
          <w:p w14:paraId="24D625E6" w14:textId="77777777" w:rsidR="00245300" w:rsidRPr="00EC20A0" w:rsidRDefault="00F17249">
            <w:pPr>
              <w:pStyle w:val="TableParagraph"/>
              <w:spacing w:before="119"/>
              <w:ind w:left="1249" w:hanging="361"/>
            </w:pPr>
            <w:r w:rsidRPr="00EC20A0">
              <w:t>x.</w:t>
            </w:r>
            <w:r w:rsidRPr="00EC20A0">
              <w:rPr>
                <w:spacing w:val="80"/>
              </w:rPr>
              <w:t xml:space="preserve"> </w:t>
            </w:r>
            <w:r w:rsidRPr="00EC20A0">
              <w:t>The</w:t>
            </w:r>
            <w:r w:rsidRPr="00EC20A0">
              <w:rPr>
                <w:spacing w:val="-4"/>
              </w:rPr>
              <w:t xml:space="preserve"> </w:t>
            </w:r>
            <w:r w:rsidRPr="00EC20A0">
              <w:t>auditor’s</w:t>
            </w:r>
            <w:r w:rsidRPr="00EC20A0">
              <w:rPr>
                <w:spacing w:val="-4"/>
              </w:rPr>
              <w:t xml:space="preserve"> </w:t>
            </w:r>
            <w:r w:rsidRPr="00EC20A0">
              <w:t>conclusion</w:t>
            </w:r>
            <w:r w:rsidRPr="00EC20A0">
              <w:rPr>
                <w:spacing w:val="-5"/>
              </w:rPr>
              <w:t xml:space="preserve"> </w:t>
            </w:r>
            <w:r w:rsidRPr="00EC20A0">
              <w:t>on</w:t>
            </w:r>
            <w:r w:rsidRPr="00EC20A0">
              <w:rPr>
                <w:spacing w:val="-4"/>
              </w:rPr>
              <w:t xml:space="preserve"> </w:t>
            </w:r>
            <w:r w:rsidRPr="00EC20A0">
              <w:t>the</w:t>
            </w:r>
            <w:r w:rsidRPr="00EC20A0">
              <w:rPr>
                <w:spacing w:val="-4"/>
              </w:rPr>
              <w:t xml:space="preserve"> </w:t>
            </w:r>
            <w:r w:rsidRPr="00EC20A0">
              <w:t>adequacy</w:t>
            </w:r>
            <w:r w:rsidRPr="00EC20A0">
              <w:rPr>
                <w:spacing w:val="-4"/>
              </w:rPr>
              <w:t xml:space="preserve"> </w:t>
            </w:r>
            <w:r w:rsidRPr="00EC20A0">
              <w:t>of</w:t>
            </w:r>
            <w:r w:rsidRPr="00EC20A0">
              <w:rPr>
                <w:spacing w:val="-4"/>
              </w:rPr>
              <w:t xml:space="preserve"> </w:t>
            </w:r>
            <w:r w:rsidRPr="00EC20A0">
              <w:t>two-way communication with those charged with governance.</w:t>
            </w:r>
          </w:p>
        </w:tc>
        <w:tc>
          <w:tcPr>
            <w:tcW w:w="811" w:type="dxa"/>
            <w:tcBorders>
              <w:top w:val="single" w:sz="8" w:space="0" w:color="000000"/>
              <w:left w:val="single" w:sz="8" w:space="0" w:color="000000"/>
              <w:bottom w:val="single" w:sz="8" w:space="0" w:color="000000"/>
              <w:right w:val="single" w:sz="8" w:space="0" w:color="000000"/>
            </w:tcBorders>
          </w:tcPr>
          <w:p w14:paraId="24D625E7"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E8" w14:textId="77777777" w:rsidR="00245300" w:rsidRPr="00EC20A0" w:rsidRDefault="00245300">
            <w:pPr>
              <w:pStyle w:val="TableParagraph"/>
            </w:pPr>
          </w:p>
        </w:tc>
      </w:tr>
      <w:tr w:rsidR="00245300" w:rsidRPr="00EC20A0" w14:paraId="24D625ED" w14:textId="77777777">
        <w:trPr>
          <w:trHeight w:val="998"/>
        </w:trPr>
        <w:tc>
          <w:tcPr>
            <w:tcW w:w="7380" w:type="dxa"/>
            <w:tcBorders>
              <w:top w:val="single" w:sz="8" w:space="0" w:color="000000"/>
              <w:bottom w:val="single" w:sz="8" w:space="0" w:color="000000"/>
              <w:right w:val="single" w:sz="8" w:space="0" w:color="000000"/>
            </w:tcBorders>
          </w:tcPr>
          <w:p w14:paraId="24D625EA" w14:textId="77777777" w:rsidR="00245300" w:rsidRPr="00EC20A0" w:rsidRDefault="00F17249">
            <w:pPr>
              <w:pStyle w:val="TableParagraph"/>
              <w:spacing w:before="121"/>
              <w:ind w:left="1249" w:hanging="360"/>
            </w:pPr>
            <w:r w:rsidRPr="00EC20A0">
              <w:t>y.</w:t>
            </w:r>
            <w:r w:rsidRPr="00EC20A0">
              <w:rPr>
                <w:spacing w:val="80"/>
              </w:rPr>
              <w:t xml:space="preserve"> </w:t>
            </w:r>
            <w:r w:rsidRPr="00EC20A0">
              <w:t>Whether</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director</w:t>
            </w:r>
            <w:r w:rsidRPr="00EC20A0">
              <w:rPr>
                <w:spacing w:val="-4"/>
              </w:rPr>
              <w:t xml:space="preserve"> </w:t>
            </w:r>
            <w:r w:rsidRPr="00EC20A0">
              <w:t>approved</w:t>
            </w:r>
            <w:r w:rsidRPr="00EC20A0">
              <w:rPr>
                <w:spacing w:val="-5"/>
              </w:rPr>
              <w:t xml:space="preserve"> </w:t>
            </w:r>
            <w:r w:rsidRPr="00EC20A0">
              <w:t>any</w:t>
            </w:r>
            <w:r w:rsidRPr="00EC20A0">
              <w:rPr>
                <w:spacing w:val="-4"/>
              </w:rPr>
              <w:t xml:space="preserve"> </w:t>
            </w:r>
            <w:r w:rsidRPr="00EC20A0">
              <w:t>departures</w:t>
            </w:r>
            <w:r w:rsidRPr="00EC20A0">
              <w:rPr>
                <w:spacing w:val="-4"/>
              </w:rPr>
              <w:t xml:space="preserve"> </w:t>
            </w:r>
            <w:r w:rsidRPr="00EC20A0">
              <w:t>from</w:t>
            </w:r>
            <w:r w:rsidRPr="00EC20A0">
              <w:rPr>
                <w:spacing w:val="-5"/>
              </w:rPr>
              <w:t xml:space="preserve"> </w:t>
            </w:r>
            <w:r w:rsidRPr="00EC20A0">
              <w:t xml:space="preserve">the applicable “should” procedures in the FAM and the basis for </w:t>
            </w:r>
            <w:r w:rsidRPr="00EC20A0">
              <w:rPr>
                <w:spacing w:val="-2"/>
              </w:rPr>
              <w:t>them.</w:t>
            </w:r>
          </w:p>
        </w:tc>
        <w:tc>
          <w:tcPr>
            <w:tcW w:w="811" w:type="dxa"/>
            <w:tcBorders>
              <w:top w:val="single" w:sz="8" w:space="0" w:color="000000"/>
              <w:left w:val="single" w:sz="8" w:space="0" w:color="000000"/>
              <w:bottom w:val="single" w:sz="8" w:space="0" w:color="000000"/>
              <w:right w:val="single" w:sz="8" w:space="0" w:color="000000"/>
            </w:tcBorders>
          </w:tcPr>
          <w:p w14:paraId="24D625EB" w14:textId="77777777" w:rsidR="00245300" w:rsidRPr="00EC20A0" w:rsidRDefault="00245300">
            <w:pPr>
              <w:pStyle w:val="TableParagraph"/>
            </w:pPr>
          </w:p>
        </w:tc>
        <w:tc>
          <w:tcPr>
            <w:tcW w:w="1349" w:type="dxa"/>
            <w:tcBorders>
              <w:top w:val="single" w:sz="8" w:space="0" w:color="000000"/>
              <w:left w:val="single" w:sz="8" w:space="0" w:color="000000"/>
              <w:bottom w:val="single" w:sz="8" w:space="0" w:color="000000"/>
            </w:tcBorders>
          </w:tcPr>
          <w:p w14:paraId="24D625EC" w14:textId="77777777" w:rsidR="00245300" w:rsidRPr="00EC20A0" w:rsidRDefault="00245300">
            <w:pPr>
              <w:pStyle w:val="TableParagraph"/>
            </w:pPr>
          </w:p>
        </w:tc>
      </w:tr>
      <w:tr w:rsidR="00245300" w:rsidRPr="00EC20A0" w14:paraId="24D625F1" w14:textId="77777777">
        <w:trPr>
          <w:trHeight w:val="745"/>
        </w:trPr>
        <w:tc>
          <w:tcPr>
            <w:tcW w:w="7380" w:type="dxa"/>
            <w:tcBorders>
              <w:top w:val="single" w:sz="8" w:space="0" w:color="000000"/>
              <w:bottom w:val="single" w:sz="6" w:space="0" w:color="000000"/>
              <w:right w:val="single" w:sz="6" w:space="0" w:color="000000"/>
            </w:tcBorders>
          </w:tcPr>
          <w:p w14:paraId="24D625EE" w14:textId="77777777" w:rsidR="00245300" w:rsidRPr="00EC20A0" w:rsidRDefault="00F17249">
            <w:pPr>
              <w:pStyle w:val="TableParagraph"/>
              <w:spacing w:before="121"/>
              <w:ind w:left="843" w:right="141" w:hanging="360"/>
            </w:pPr>
            <w:r w:rsidRPr="00EC20A0">
              <w:t>24.</w:t>
            </w:r>
            <w:r w:rsidRPr="00EC20A0">
              <w:rPr>
                <w:spacing w:val="-11"/>
              </w:rPr>
              <w:t xml:space="preserve"> </w:t>
            </w:r>
            <w:r w:rsidRPr="00EC20A0">
              <w:t>In</w:t>
            </w:r>
            <w:r w:rsidRPr="00EC20A0">
              <w:rPr>
                <w:spacing w:val="-4"/>
              </w:rPr>
              <w:t xml:space="preserve"> </w:t>
            </w:r>
            <w:r w:rsidRPr="00EC20A0">
              <w:t>addition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questions</w:t>
            </w:r>
            <w:r w:rsidRPr="00EC20A0">
              <w:rPr>
                <w:spacing w:val="-4"/>
              </w:rPr>
              <w:t xml:space="preserve"> </w:t>
            </w:r>
            <w:r w:rsidRPr="00EC20A0">
              <w:t>above,</w:t>
            </w:r>
            <w:r w:rsidRPr="00EC20A0">
              <w:rPr>
                <w:spacing w:val="-5"/>
              </w:rPr>
              <w:t xml:space="preserve"> </w:t>
            </w:r>
            <w:r w:rsidRPr="00EC20A0">
              <w:t>determine</w:t>
            </w:r>
            <w:r w:rsidRPr="00EC20A0">
              <w:rPr>
                <w:spacing w:val="-4"/>
              </w:rPr>
              <w:t xml:space="preserve"> </w:t>
            </w:r>
            <w:r w:rsidRPr="00EC20A0">
              <w:t>whether</w:t>
            </w:r>
            <w:r w:rsidRPr="00EC20A0">
              <w:rPr>
                <w:spacing w:val="-4"/>
              </w:rPr>
              <w:t xml:space="preserve"> </w:t>
            </w:r>
            <w:r w:rsidRPr="00EC20A0">
              <w:t>the following objectives were achieved (AU-C 200.23).</w:t>
            </w:r>
          </w:p>
        </w:tc>
        <w:tc>
          <w:tcPr>
            <w:tcW w:w="811" w:type="dxa"/>
            <w:tcBorders>
              <w:top w:val="single" w:sz="8" w:space="0" w:color="000000"/>
              <w:left w:val="single" w:sz="6" w:space="0" w:color="000000"/>
              <w:bottom w:val="single" w:sz="6" w:space="0" w:color="000000"/>
              <w:right w:val="single" w:sz="6" w:space="0" w:color="000000"/>
            </w:tcBorders>
            <w:shd w:val="clear" w:color="auto" w:fill="BEBEBE"/>
          </w:tcPr>
          <w:p w14:paraId="24D625EF" w14:textId="77777777" w:rsidR="00245300" w:rsidRPr="00EC20A0" w:rsidRDefault="00245300">
            <w:pPr>
              <w:pStyle w:val="TableParagraph"/>
            </w:pPr>
          </w:p>
        </w:tc>
        <w:tc>
          <w:tcPr>
            <w:tcW w:w="1349" w:type="dxa"/>
            <w:tcBorders>
              <w:top w:val="single" w:sz="8" w:space="0" w:color="000000"/>
              <w:left w:val="single" w:sz="6" w:space="0" w:color="000000"/>
              <w:bottom w:val="single" w:sz="6" w:space="0" w:color="000000"/>
            </w:tcBorders>
            <w:shd w:val="clear" w:color="auto" w:fill="BEBEBE"/>
          </w:tcPr>
          <w:p w14:paraId="24D625F0" w14:textId="77777777" w:rsidR="00245300" w:rsidRPr="00EC20A0" w:rsidRDefault="00245300">
            <w:pPr>
              <w:pStyle w:val="TableParagraph"/>
            </w:pPr>
          </w:p>
        </w:tc>
      </w:tr>
      <w:tr w:rsidR="00245300" w:rsidRPr="00EC20A0" w14:paraId="24D625F7" w14:textId="77777777">
        <w:trPr>
          <w:trHeight w:val="2268"/>
        </w:trPr>
        <w:tc>
          <w:tcPr>
            <w:tcW w:w="7380" w:type="dxa"/>
            <w:tcBorders>
              <w:top w:val="single" w:sz="6" w:space="0" w:color="000000"/>
              <w:bottom w:val="single" w:sz="6" w:space="0" w:color="000000"/>
              <w:right w:val="single" w:sz="6" w:space="0" w:color="000000"/>
            </w:tcBorders>
          </w:tcPr>
          <w:p w14:paraId="24D625F2" w14:textId="77777777" w:rsidR="00245300" w:rsidRPr="00EC20A0" w:rsidRDefault="00F17249">
            <w:pPr>
              <w:pStyle w:val="TableParagraph"/>
              <w:numPr>
                <w:ilvl w:val="0"/>
                <w:numId w:val="52"/>
              </w:numPr>
              <w:tabs>
                <w:tab w:val="left" w:pos="1202"/>
              </w:tabs>
              <w:spacing w:before="121"/>
              <w:ind w:left="1202" w:hanging="359"/>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5F3" w14:textId="77777777" w:rsidR="00245300" w:rsidRPr="00EC20A0" w:rsidRDefault="00F17249">
            <w:pPr>
              <w:pStyle w:val="TableParagraph"/>
              <w:numPr>
                <w:ilvl w:val="1"/>
                <w:numId w:val="52"/>
              </w:numPr>
              <w:tabs>
                <w:tab w:val="left" w:pos="1514"/>
              </w:tabs>
              <w:spacing w:before="239"/>
              <w:ind w:right="293"/>
            </w:pPr>
            <w:r w:rsidRPr="00EC20A0">
              <w:t>obtain</w:t>
            </w:r>
            <w:r w:rsidRPr="00EC20A0">
              <w:rPr>
                <w:spacing w:val="-7"/>
              </w:rPr>
              <w:t xml:space="preserve"> </w:t>
            </w:r>
            <w:r w:rsidRPr="00EC20A0">
              <w:t>sufficient</w:t>
            </w:r>
            <w:r w:rsidRPr="00EC20A0">
              <w:rPr>
                <w:spacing w:val="-7"/>
              </w:rPr>
              <w:t xml:space="preserve"> </w:t>
            </w:r>
            <w:r w:rsidRPr="00EC20A0">
              <w:t>appropriate</w:t>
            </w:r>
            <w:r w:rsidRPr="00EC20A0">
              <w:rPr>
                <w:spacing w:val="-7"/>
              </w:rPr>
              <w:t xml:space="preserve"> </w:t>
            </w:r>
            <w:r w:rsidRPr="00EC20A0">
              <w:t>audit</w:t>
            </w:r>
            <w:r w:rsidRPr="00EC20A0">
              <w:rPr>
                <w:spacing w:val="-7"/>
              </w:rPr>
              <w:t xml:space="preserve"> </w:t>
            </w:r>
            <w:r w:rsidRPr="00EC20A0">
              <w:t>evidence</w:t>
            </w:r>
            <w:r w:rsidRPr="00EC20A0">
              <w:rPr>
                <w:spacing w:val="-7"/>
              </w:rPr>
              <w:t xml:space="preserve"> </w:t>
            </w:r>
            <w:r w:rsidRPr="00EC20A0">
              <w:t>regarding</w:t>
            </w:r>
            <w:r w:rsidRPr="00EC20A0">
              <w:rPr>
                <w:spacing w:val="-7"/>
              </w:rPr>
              <w:t xml:space="preserve"> </w:t>
            </w:r>
            <w:r w:rsidRPr="00EC20A0">
              <w:t>the risks of material misstatement due to fraud, through designing and implementing appropriate responses, and</w:t>
            </w:r>
          </w:p>
          <w:p w14:paraId="24D625F4" w14:textId="77777777" w:rsidR="00245300" w:rsidRPr="00EC20A0" w:rsidRDefault="00F17249">
            <w:pPr>
              <w:pStyle w:val="TableParagraph"/>
              <w:numPr>
                <w:ilvl w:val="1"/>
                <w:numId w:val="52"/>
              </w:numPr>
              <w:tabs>
                <w:tab w:val="left" w:pos="1512"/>
                <w:tab w:val="left" w:pos="1514"/>
              </w:tabs>
              <w:spacing w:before="239"/>
              <w:ind w:right="1015" w:hanging="271"/>
            </w:pPr>
            <w:r w:rsidRPr="00EC20A0">
              <w:t>respond</w:t>
            </w:r>
            <w:r w:rsidRPr="00EC20A0">
              <w:rPr>
                <w:spacing w:val="-6"/>
              </w:rPr>
              <w:t xml:space="preserve"> </w:t>
            </w:r>
            <w:r w:rsidRPr="00EC20A0">
              <w:t>appropriately</w:t>
            </w:r>
            <w:r w:rsidRPr="00EC20A0">
              <w:rPr>
                <w:spacing w:val="-6"/>
              </w:rPr>
              <w:t xml:space="preserve"> </w:t>
            </w:r>
            <w:r w:rsidRPr="00EC20A0">
              <w:t>to</w:t>
            </w:r>
            <w:r w:rsidRPr="00EC20A0">
              <w:rPr>
                <w:spacing w:val="-7"/>
              </w:rPr>
              <w:t xml:space="preserve"> </w:t>
            </w:r>
            <w:r w:rsidRPr="00EC20A0">
              <w:t>fraud</w:t>
            </w:r>
            <w:r w:rsidRPr="00EC20A0">
              <w:rPr>
                <w:spacing w:val="-6"/>
              </w:rPr>
              <w:t xml:space="preserve"> </w:t>
            </w:r>
            <w:r w:rsidRPr="00EC20A0">
              <w:t>or</w:t>
            </w:r>
            <w:r w:rsidRPr="00EC20A0">
              <w:rPr>
                <w:spacing w:val="-6"/>
              </w:rPr>
              <w:t xml:space="preserve"> </w:t>
            </w:r>
            <w:r w:rsidRPr="00EC20A0">
              <w:t>suspected</w:t>
            </w:r>
            <w:r w:rsidRPr="00EC20A0">
              <w:rPr>
                <w:spacing w:val="-6"/>
              </w:rPr>
              <w:t xml:space="preserve"> </w:t>
            </w:r>
            <w:r w:rsidRPr="00EC20A0">
              <w:t>fraud identified during the audit? (AU-C 240)</w:t>
            </w:r>
          </w:p>
        </w:tc>
        <w:tc>
          <w:tcPr>
            <w:tcW w:w="811" w:type="dxa"/>
            <w:tcBorders>
              <w:top w:val="single" w:sz="6" w:space="0" w:color="000000"/>
              <w:left w:val="single" w:sz="6" w:space="0" w:color="000000"/>
              <w:bottom w:val="single" w:sz="6" w:space="0" w:color="000000"/>
              <w:right w:val="single" w:sz="6" w:space="0" w:color="000000"/>
            </w:tcBorders>
          </w:tcPr>
          <w:p w14:paraId="24D625F5"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5F6" w14:textId="77777777" w:rsidR="00245300" w:rsidRPr="00EC20A0" w:rsidRDefault="00245300">
            <w:pPr>
              <w:pStyle w:val="TableParagraph"/>
            </w:pPr>
          </w:p>
        </w:tc>
      </w:tr>
    </w:tbl>
    <w:p w14:paraId="24D625F8" w14:textId="77777777" w:rsidR="00245300" w:rsidRPr="00EC20A0" w:rsidRDefault="00245300">
      <w:pPr>
        <w:sectPr w:rsidR="00245300" w:rsidRPr="00EC20A0">
          <w:pgSz w:w="12240" w:h="15840"/>
          <w:pgMar w:top="1340" w:right="460" w:bottom="940" w:left="560" w:header="721" w:footer="757" w:gutter="0"/>
          <w:cols w:space="720"/>
        </w:sectPr>
      </w:pPr>
    </w:p>
    <w:p w14:paraId="24D625F9"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600" w14:textId="77777777">
        <w:trPr>
          <w:trHeight w:val="936"/>
        </w:trPr>
        <w:tc>
          <w:tcPr>
            <w:tcW w:w="7380" w:type="dxa"/>
            <w:tcBorders>
              <w:right w:val="single" w:sz="8" w:space="0" w:color="000000"/>
            </w:tcBorders>
            <w:shd w:val="clear" w:color="auto" w:fill="A6A6A6"/>
          </w:tcPr>
          <w:p w14:paraId="24D625FA" w14:textId="77777777" w:rsidR="00245300" w:rsidRPr="00EC20A0" w:rsidRDefault="00245300">
            <w:pPr>
              <w:pStyle w:val="TableParagraph"/>
              <w:spacing w:before="266"/>
              <w:rPr>
                <w:b/>
                <w:sz w:val="24"/>
              </w:rPr>
            </w:pPr>
          </w:p>
          <w:p w14:paraId="24D625FB"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5FC"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5FD" w14:textId="77777777" w:rsidR="00245300" w:rsidRPr="00EC20A0" w:rsidRDefault="00245300">
            <w:pPr>
              <w:pStyle w:val="TableParagraph"/>
              <w:rPr>
                <w:b/>
              </w:rPr>
            </w:pPr>
          </w:p>
          <w:p w14:paraId="24D625FE" w14:textId="77777777" w:rsidR="00245300" w:rsidRPr="00EC20A0" w:rsidRDefault="00245300">
            <w:pPr>
              <w:pStyle w:val="TableParagraph"/>
              <w:spacing w:before="120"/>
              <w:rPr>
                <w:b/>
              </w:rPr>
            </w:pPr>
          </w:p>
          <w:p w14:paraId="24D625FF"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607" w14:textId="77777777">
        <w:trPr>
          <w:trHeight w:val="4279"/>
        </w:trPr>
        <w:tc>
          <w:tcPr>
            <w:tcW w:w="7380" w:type="dxa"/>
            <w:tcBorders>
              <w:bottom w:val="single" w:sz="6" w:space="0" w:color="000000"/>
              <w:right w:val="single" w:sz="6" w:space="0" w:color="000000"/>
            </w:tcBorders>
          </w:tcPr>
          <w:p w14:paraId="24D62601" w14:textId="77777777" w:rsidR="00245300" w:rsidRPr="00EC20A0" w:rsidRDefault="00F17249">
            <w:pPr>
              <w:pStyle w:val="TableParagraph"/>
              <w:numPr>
                <w:ilvl w:val="0"/>
                <w:numId w:val="51"/>
              </w:numPr>
              <w:tabs>
                <w:tab w:val="left" w:pos="1202"/>
              </w:tabs>
              <w:spacing w:before="121"/>
              <w:ind w:left="1202" w:hanging="359"/>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602" w14:textId="77777777" w:rsidR="00245300" w:rsidRPr="00EC20A0" w:rsidRDefault="00F17249">
            <w:pPr>
              <w:pStyle w:val="TableParagraph"/>
              <w:numPr>
                <w:ilvl w:val="1"/>
                <w:numId w:val="51"/>
              </w:numPr>
              <w:tabs>
                <w:tab w:val="left" w:pos="1514"/>
              </w:tabs>
              <w:spacing w:before="240"/>
              <w:ind w:right="169"/>
            </w:pPr>
            <w:r w:rsidRPr="00EC20A0">
              <w:t>obtain sufficient appropriate audit evidence regarding material amounts and disclosures in the financial statements that are determined by the provisions of those laws</w:t>
            </w:r>
            <w:r w:rsidRPr="00EC20A0">
              <w:rPr>
                <w:spacing w:val="-5"/>
              </w:rPr>
              <w:t xml:space="preserve"> </w:t>
            </w:r>
            <w:r w:rsidRPr="00EC20A0">
              <w:t>and</w:t>
            </w:r>
            <w:r w:rsidRPr="00EC20A0">
              <w:rPr>
                <w:spacing w:val="-5"/>
              </w:rPr>
              <w:t xml:space="preserve"> </w:t>
            </w:r>
            <w:r w:rsidRPr="00EC20A0">
              <w:t>regulations</w:t>
            </w:r>
            <w:r w:rsidRPr="00EC20A0">
              <w:rPr>
                <w:spacing w:val="-5"/>
              </w:rPr>
              <w:t xml:space="preserve"> </w:t>
            </w:r>
            <w:r w:rsidRPr="00EC20A0">
              <w:t>generally</w:t>
            </w:r>
            <w:r w:rsidRPr="00EC20A0">
              <w:rPr>
                <w:spacing w:val="-5"/>
              </w:rPr>
              <w:t xml:space="preserve"> </w:t>
            </w:r>
            <w:r w:rsidRPr="00EC20A0">
              <w:t>recognized</w:t>
            </w:r>
            <w:r w:rsidRPr="00EC20A0">
              <w:rPr>
                <w:spacing w:val="-5"/>
              </w:rPr>
              <w:t xml:space="preserve"> </w:t>
            </w:r>
            <w:r w:rsidRPr="00EC20A0">
              <w:t>to</w:t>
            </w:r>
            <w:r w:rsidRPr="00EC20A0">
              <w:rPr>
                <w:spacing w:val="-5"/>
              </w:rPr>
              <w:t xml:space="preserve"> </w:t>
            </w:r>
            <w:r w:rsidRPr="00EC20A0">
              <w:t>have</w:t>
            </w:r>
            <w:r w:rsidRPr="00EC20A0">
              <w:rPr>
                <w:spacing w:val="-5"/>
              </w:rPr>
              <w:t xml:space="preserve"> </w:t>
            </w:r>
            <w:r w:rsidRPr="00EC20A0">
              <w:t>a</w:t>
            </w:r>
            <w:r w:rsidRPr="00EC20A0">
              <w:rPr>
                <w:spacing w:val="-5"/>
              </w:rPr>
              <w:t xml:space="preserve"> </w:t>
            </w:r>
            <w:r w:rsidRPr="00EC20A0">
              <w:t>direct effect on their determination?</w:t>
            </w:r>
          </w:p>
          <w:p w14:paraId="24D62603" w14:textId="77777777" w:rsidR="00245300" w:rsidRPr="00EC20A0" w:rsidRDefault="00F17249">
            <w:pPr>
              <w:pStyle w:val="TableParagraph"/>
              <w:numPr>
                <w:ilvl w:val="1"/>
                <w:numId w:val="51"/>
              </w:numPr>
              <w:tabs>
                <w:tab w:val="left" w:pos="1513"/>
              </w:tabs>
              <w:spacing w:before="238"/>
              <w:ind w:left="1513" w:right="307"/>
            </w:pPr>
            <w:r w:rsidRPr="00EC20A0">
              <w:t>perform specified audit procedures that may identify instances</w:t>
            </w:r>
            <w:r w:rsidRPr="00EC20A0">
              <w:rPr>
                <w:spacing w:val="-6"/>
              </w:rPr>
              <w:t xml:space="preserve"> </w:t>
            </w:r>
            <w:r w:rsidRPr="00EC20A0">
              <w:t>of</w:t>
            </w:r>
            <w:r w:rsidRPr="00EC20A0">
              <w:rPr>
                <w:spacing w:val="-7"/>
              </w:rPr>
              <w:t xml:space="preserve"> </w:t>
            </w:r>
            <w:r w:rsidRPr="00EC20A0">
              <w:t>noncompliance</w:t>
            </w:r>
            <w:r w:rsidRPr="00EC20A0">
              <w:rPr>
                <w:spacing w:val="-6"/>
              </w:rPr>
              <w:t xml:space="preserve"> </w:t>
            </w:r>
            <w:r w:rsidRPr="00EC20A0">
              <w:t>with</w:t>
            </w:r>
            <w:r w:rsidRPr="00EC20A0">
              <w:rPr>
                <w:spacing w:val="-6"/>
              </w:rPr>
              <w:t xml:space="preserve"> </w:t>
            </w:r>
            <w:r w:rsidRPr="00EC20A0">
              <w:t>provisions</w:t>
            </w:r>
            <w:r w:rsidRPr="00EC20A0">
              <w:rPr>
                <w:spacing w:val="-6"/>
              </w:rPr>
              <w:t xml:space="preserve"> </w:t>
            </w:r>
            <w:r w:rsidRPr="00EC20A0">
              <w:t>of</w:t>
            </w:r>
            <w:r w:rsidRPr="00EC20A0">
              <w:rPr>
                <w:spacing w:val="-6"/>
              </w:rPr>
              <w:t xml:space="preserve"> </w:t>
            </w:r>
            <w:r w:rsidRPr="00EC20A0">
              <w:t>other</w:t>
            </w:r>
            <w:r w:rsidRPr="00EC20A0">
              <w:rPr>
                <w:spacing w:val="-6"/>
              </w:rPr>
              <w:t xml:space="preserve"> </w:t>
            </w:r>
            <w:r w:rsidRPr="00EC20A0">
              <w:t xml:space="preserve">laws and regulations that may have a material effect on the </w:t>
            </w:r>
            <w:r w:rsidRPr="00EC20A0">
              <w:t>financial statements?</w:t>
            </w:r>
          </w:p>
          <w:p w14:paraId="24D62604" w14:textId="77777777" w:rsidR="00245300" w:rsidRPr="00EC20A0" w:rsidRDefault="00F17249">
            <w:pPr>
              <w:pStyle w:val="TableParagraph"/>
              <w:numPr>
                <w:ilvl w:val="1"/>
                <w:numId w:val="51"/>
              </w:numPr>
              <w:tabs>
                <w:tab w:val="left" w:pos="1514"/>
              </w:tabs>
              <w:spacing w:before="238"/>
              <w:ind w:right="537"/>
              <w:jc w:val="both"/>
              <w:rPr>
                <w:sz w:val="20"/>
              </w:rPr>
            </w:pPr>
            <w:r w:rsidRPr="00EC20A0">
              <w:t>respond appropriately to noncompliance or suspected noncompliance</w:t>
            </w:r>
            <w:r w:rsidRPr="00EC20A0">
              <w:rPr>
                <w:spacing w:val="-7"/>
              </w:rPr>
              <w:t xml:space="preserve"> </w:t>
            </w:r>
            <w:r w:rsidRPr="00EC20A0">
              <w:t>with</w:t>
            </w:r>
            <w:r w:rsidRPr="00EC20A0">
              <w:rPr>
                <w:spacing w:val="-7"/>
              </w:rPr>
              <w:t xml:space="preserve"> </w:t>
            </w:r>
            <w:r w:rsidRPr="00EC20A0">
              <w:t>provisions</w:t>
            </w:r>
            <w:r w:rsidRPr="00EC20A0">
              <w:rPr>
                <w:spacing w:val="-7"/>
              </w:rPr>
              <w:t xml:space="preserve"> </w:t>
            </w:r>
            <w:r w:rsidRPr="00EC20A0">
              <w:t>of</w:t>
            </w:r>
            <w:r w:rsidRPr="00EC20A0">
              <w:rPr>
                <w:spacing w:val="-7"/>
              </w:rPr>
              <w:t xml:space="preserve"> </w:t>
            </w:r>
            <w:r w:rsidRPr="00EC20A0">
              <w:t>laws</w:t>
            </w:r>
            <w:r w:rsidRPr="00EC20A0">
              <w:rPr>
                <w:spacing w:val="-7"/>
              </w:rPr>
              <w:t xml:space="preserve"> </w:t>
            </w:r>
            <w:r w:rsidRPr="00EC20A0">
              <w:t>and</w:t>
            </w:r>
            <w:r w:rsidRPr="00EC20A0">
              <w:rPr>
                <w:spacing w:val="-7"/>
              </w:rPr>
              <w:t xml:space="preserve"> </w:t>
            </w:r>
            <w:r w:rsidRPr="00EC20A0">
              <w:t>regulations identified during the audit? (AU-C 250)</w:t>
            </w:r>
          </w:p>
        </w:tc>
        <w:tc>
          <w:tcPr>
            <w:tcW w:w="811" w:type="dxa"/>
            <w:tcBorders>
              <w:left w:val="single" w:sz="6" w:space="0" w:color="000000"/>
              <w:bottom w:val="single" w:sz="6" w:space="0" w:color="000000"/>
              <w:right w:val="single" w:sz="6" w:space="0" w:color="000000"/>
            </w:tcBorders>
          </w:tcPr>
          <w:p w14:paraId="24D62605" w14:textId="77777777" w:rsidR="00245300" w:rsidRPr="00EC20A0" w:rsidRDefault="00245300">
            <w:pPr>
              <w:pStyle w:val="TableParagraph"/>
            </w:pPr>
          </w:p>
        </w:tc>
        <w:tc>
          <w:tcPr>
            <w:tcW w:w="1349" w:type="dxa"/>
            <w:tcBorders>
              <w:left w:val="single" w:sz="6" w:space="0" w:color="000000"/>
              <w:bottom w:val="single" w:sz="6" w:space="0" w:color="000000"/>
            </w:tcBorders>
            <w:shd w:val="clear" w:color="auto" w:fill="BEBEBE"/>
          </w:tcPr>
          <w:p w14:paraId="24D62606" w14:textId="77777777" w:rsidR="00245300" w:rsidRPr="00EC20A0" w:rsidRDefault="00245300">
            <w:pPr>
              <w:pStyle w:val="TableParagraph"/>
            </w:pPr>
          </w:p>
        </w:tc>
      </w:tr>
      <w:tr w:rsidR="00245300" w:rsidRPr="00EC20A0" w14:paraId="24D6260B" w14:textId="77777777">
        <w:trPr>
          <w:trHeight w:val="2010"/>
        </w:trPr>
        <w:tc>
          <w:tcPr>
            <w:tcW w:w="7380" w:type="dxa"/>
            <w:tcBorders>
              <w:top w:val="single" w:sz="6" w:space="0" w:color="000000"/>
              <w:bottom w:val="single" w:sz="6" w:space="0" w:color="000000"/>
              <w:right w:val="single" w:sz="6" w:space="0" w:color="000000"/>
            </w:tcBorders>
          </w:tcPr>
          <w:p w14:paraId="24D62608" w14:textId="77777777" w:rsidR="00245300" w:rsidRPr="00EC20A0" w:rsidRDefault="00F17249">
            <w:pPr>
              <w:pStyle w:val="TableParagraph"/>
              <w:spacing w:before="119"/>
              <w:ind w:left="1202" w:right="141" w:hanging="359"/>
            </w:pPr>
            <w:r w:rsidRPr="00EC20A0">
              <w:t>c.</w:t>
            </w:r>
            <w:r w:rsidRPr="00EC20A0">
              <w:rPr>
                <w:spacing w:val="80"/>
              </w:rPr>
              <w:t xml:space="preserve"> </w:t>
            </w:r>
            <w:r w:rsidRPr="00EC20A0">
              <w:t>In</w:t>
            </w:r>
            <w:r w:rsidRPr="00EC20A0">
              <w:rPr>
                <w:spacing w:val="-4"/>
              </w:rPr>
              <w:t xml:space="preserve"> </w:t>
            </w:r>
            <w:r w:rsidRPr="00EC20A0">
              <w:t>addition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AICPA</w:t>
            </w:r>
            <w:r w:rsidRPr="00EC20A0">
              <w:rPr>
                <w:spacing w:val="-3"/>
              </w:rPr>
              <w:t xml:space="preserve"> </w:t>
            </w:r>
            <w:r w:rsidRPr="00EC20A0">
              <w:t>requirements</w:t>
            </w:r>
            <w:r w:rsidRPr="00EC20A0">
              <w:rPr>
                <w:spacing w:val="-4"/>
              </w:rPr>
              <w:t xml:space="preserve"> </w:t>
            </w:r>
            <w:r w:rsidRPr="00EC20A0">
              <w:t>(AU-C</w:t>
            </w:r>
            <w:r w:rsidRPr="00EC20A0">
              <w:rPr>
                <w:spacing w:val="-5"/>
              </w:rPr>
              <w:t xml:space="preserve"> </w:t>
            </w:r>
            <w:r w:rsidRPr="00EC20A0">
              <w:t>250)</w:t>
            </w:r>
            <w:r w:rsidRPr="00EC20A0">
              <w:rPr>
                <w:spacing w:val="-4"/>
              </w:rPr>
              <w:t xml:space="preserve"> </w:t>
            </w:r>
            <w:r w:rsidRPr="00EC20A0">
              <w:t xml:space="preserve">concerning fraud and </w:t>
            </w:r>
            <w:r w:rsidRPr="00EC20A0">
              <w:t>noncompliance with provisions of applicable laws and regulations, when performing a GAGAS financial audit, did the auditor extend the AICPA requirements pertaining to the auditor’s responsibilities for laws and regulations to also apply to consideration of compliance with provisions of contracts or grant agreements? (GAGAS (2018) 6.15)</w:t>
            </w:r>
          </w:p>
        </w:tc>
        <w:tc>
          <w:tcPr>
            <w:tcW w:w="811" w:type="dxa"/>
            <w:tcBorders>
              <w:top w:val="single" w:sz="6" w:space="0" w:color="000000"/>
              <w:left w:val="single" w:sz="6" w:space="0" w:color="000000"/>
              <w:bottom w:val="single" w:sz="6" w:space="0" w:color="000000"/>
              <w:right w:val="single" w:sz="6" w:space="0" w:color="000000"/>
            </w:tcBorders>
          </w:tcPr>
          <w:p w14:paraId="24D62609"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0A" w14:textId="77777777" w:rsidR="00245300" w:rsidRPr="00EC20A0" w:rsidRDefault="00245300">
            <w:pPr>
              <w:pStyle w:val="TableParagraph"/>
            </w:pPr>
          </w:p>
        </w:tc>
      </w:tr>
      <w:tr w:rsidR="00245300" w:rsidRPr="00EC20A0" w14:paraId="24D6260F" w14:textId="77777777">
        <w:trPr>
          <w:trHeight w:val="1252"/>
        </w:trPr>
        <w:tc>
          <w:tcPr>
            <w:tcW w:w="7380" w:type="dxa"/>
            <w:tcBorders>
              <w:top w:val="single" w:sz="6" w:space="0" w:color="000000"/>
              <w:bottom w:val="single" w:sz="6" w:space="0" w:color="000000"/>
              <w:right w:val="single" w:sz="6" w:space="0" w:color="000000"/>
            </w:tcBorders>
          </w:tcPr>
          <w:p w14:paraId="24D6260C" w14:textId="77777777" w:rsidR="00245300" w:rsidRPr="00EC20A0" w:rsidRDefault="00F17249">
            <w:pPr>
              <w:pStyle w:val="TableParagraph"/>
              <w:spacing w:before="121"/>
              <w:ind w:left="1203" w:right="197" w:hanging="360"/>
            </w:pPr>
            <w:r w:rsidRPr="00EC20A0">
              <w:t>d.</w:t>
            </w:r>
            <w:r w:rsidRPr="00EC20A0">
              <w:rPr>
                <w:spacing w:val="80"/>
              </w:rPr>
              <w:t xml:space="preserve"> </w:t>
            </w:r>
            <w:r w:rsidRPr="00EC20A0">
              <w:t>Did the auditor obtain sufficient appropriate audit evidence regarding the risks of material misstatement through designing</w:t>
            </w:r>
            <w:r w:rsidRPr="00EC20A0">
              <w:rPr>
                <w:spacing w:val="-6"/>
              </w:rPr>
              <w:t xml:space="preserve"> </w:t>
            </w:r>
            <w:r w:rsidRPr="00EC20A0">
              <w:t>and</w:t>
            </w:r>
            <w:r w:rsidRPr="00EC20A0">
              <w:rPr>
                <w:spacing w:val="-6"/>
              </w:rPr>
              <w:t xml:space="preserve"> </w:t>
            </w:r>
            <w:r w:rsidRPr="00EC20A0">
              <w:t>implementing</w:t>
            </w:r>
            <w:r w:rsidRPr="00EC20A0">
              <w:rPr>
                <w:spacing w:val="-6"/>
              </w:rPr>
              <w:t xml:space="preserve"> </w:t>
            </w:r>
            <w:r w:rsidRPr="00EC20A0">
              <w:t>appropriate</w:t>
            </w:r>
            <w:r w:rsidRPr="00EC20A0">
              <w:rPr>
                <w:spacing w:val="-6"/>
              </w:rPr>
              <w:t xml:space="preserve"> </w:t>
            </w:r>
            <w:r w:rsidRPr="00EC20A0">
              <w:t>responses</w:t>
            </w:r>
            <w:r w:rsidRPr="00EC20A0">
              <w:rPr>
                <w:spacing w:val="-6"/>
              </w:rPr>
              <w:t xml:space="preserve"> </w:t>
            </w:r>
            <w:r w:rsidRPr="00EC20A0">
              <w:t>to</w:t>
            </w:r>
            <w:r w:rsidRPr="00EC20A0">
              <w:rPr>
                <w:spacing w:val="-6"/>
              </w:rPr>
              <w:t xml:space="preserve"> </w:t>
            </w:r>
            <w:r w:rsidRPr="00EC20A0">
              <w:t>those risks? (AU-C 330)</w:t>
            </w:r>
          </w:p>
        </w:tc>
        <w:tc>
          <w:tcPr>
            <w:tcW w:w="811" w:type="dxa"/>
            <w:tcBorders>
              <w:top w:val="single" w:sz="6" w:space="0" w:color="000000"/>
              <w:left w:val="single" w:sz="6" w:space="0" w:color="000000"/>
              <w:bottom w:val="single" w:sz="6" w:space="0" w:color="000000"/>
              <w:right w:val="single" w:sz="6" w:space="0" w:color="000000"/>
            </w:tcBorders>
          </w:tcPr>
          <w:p w14:paraId="24D6260D"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0E" w14:textId="77777777" w:rsidR="00245300" w:rsidRPr="00EC20A0" w:rsidRDefault="00245300">
            <w:pPr>
              <w:pStyle w:val="TableParagraph"/>
            </w:pPr>
          </w:p>
        </w:tc>
      </w:tr>
      <w:tr w:rsidR="00245300" w:rsidRPr="00EC20A0" w14:paraId="24D62613" w14:textId="77777777">
        <w:trPr>
          <w:trHeight w:val="998"/>
        </w:trPr>
        <w:tc>
          <w:tcPr>
            <w:tcW w:w="7380" w:type="dxa"/>
            <w:tcBorders>
              <w:top w:val="single" w:sz="6" w:space="0" w:color="000000"/>
              <w:bottom w:val="single" w:sz="6" w:space="0" w:color="000000"/>
              <w:right w:val="single" w:sz="6" w:space="0" w:color="000000"/>
            </w:tcBorders>
          </w:tcPr>
          <w:p w14:paraId="24D62610" w14:textId="77777777" w:rsidR="00245300" w:rsidRPr="00EC20A0" w:rsidRDefault="00F17249">
            <w:pPr>
              <w:pStyle w:val="TableParagraph"/>
              <w:spacing w:before="119"/>
              <w:ind w:left="1203" w:right="141" w:hanging="360"/>
            </w:pPr>
            <w:r w:rsidRPr="00EC20A0">
              <w:t>e.</w:t>
            </w:r>
            <w:r w:rsidRPr="00EC20A0">
              <w:rPr>
                <w:spacing w:val="80"/>
              </w:rPr>
              <w:t xml:space="preserve"> </w:t>
            </w:r>
            <w:r w:rsidRPr="00EC20A0">
              <w:t>When</w:t>
            </w:r>
            <w:r w:rsidRPr="00EC20A0">
              <w:rPr>
                <w:spacing w:val="-3"/>
              </w:rPr>
              <w:t xml:space="preserve"> </w:t>
            </w:r>
            <w:r w:rsidRPr="00EC20A0">
              <w:t>the</w:t>
            </w:r>
            <w:r w:rsidRPr="00EC20A0">
              <w:rPr>
                <w:spacing w:val="-3"/>
              </w:rPr>
              <w:t xml:space="preserve"> </w:t>
            </w:r>
            <w:r w:rsidRPr="00EC20A0">
              <w:t>entity</w:t>
            </w:r>
            <w:r w:rsidRPr="00EC20A0">
              <w:rPr>
                <w:spacing w:val="-3"/>
              </w:rPr>
              <w:t xml:space="preserve"> </w:t>
            </w:r>
            <w:r w:rsidRPr="00EC20A0">
              <w:t>used</w:t>
            </w:r>
            <w:r w:rsidRPr="00EC20A0">
              <w:rPr>
                <w:spacing w:val="-3"/>
              </w:rPr>
              <w:t xml:space="preserve"> </w:t>
            </w:r>
            <w:r w:rsidRPr="00EC20A0">
              <w:t>the</w:t>
            </w:r>
            <w:r w:rsidRPr="00EC20A0">
              <w:rPr>
                <w:spacing w:val="-3"/>
              </w:rPr>
              <w:t xml:space="preserve"> </w:t>
            </w:r>
            <w:r w:rsidRPr="00EC20A0">
              <w:t>services</w:t>
            </w:r>
            <w:r w:rsidRPr="00EC20A0">
              <w:rPr>
                <w:spacing w:val="-3"/>
              </w:rPr>
              <w:t xml:space="preserve"> </w:t>
            </w:r>
            <w:r w:rsidRPr="00EC20A0">
              <w:t>of</w:t>
            </w:r>
            <w:r w:rsidRPr="00EC20A0">
              <w:rPr>
                <w:spacing w:val="-3"/>
              </w:rPr>
              <w:t xml:space="preserve"> </w:t>
            </w:r>
            <w:r w:rsidRPr="00EC20A0">
              <w:t>a</w:t>
            </w:r>
            <w:r w:rsidRPr="00EC20A0">
              <w:rPr>
                <w:spacing w:val="-3"/>
              </w:rPr>
              <w:t xml:space="preserve"> </w:t>
            </w:r>
            <w:r w:rsidRPr="00EC20A0">
              <w:t>service</w:t>
            </w:r>
            <w:r w:rsidRPr="00EC20A0">
              <w:rPr>
                <w:spacing w:val="-3"/>
              </w:rPr>
              <w:t xml:space="preserve"> </w:t>
            </w:r>
            <w:r w:rsidRPr="00EC20A0">
              <w:t>organization, did the auditor design and perform audit procedures responsive to those risks? (AU-C 402)</w:t>
            </w:r>
          </w:p>
        </w:tc>
        <w:tc>
          <w:tcPr>
            <w:tcW w:w="811" w:type="dxa"/>
            <w:tcBorders>
              <w:top w:val="single" w:sz="6" w:space="0" w:color="000000"/>
              <w:left w:val="single" w:sz="6" w:space="0" w:color="000000"/>
              <w:bottom w:val="single" w:sz="6" w:space="0" w:color="000000"/>
              <w:right w:val="single" w:sz="6" w:space="0" w:color="000000"/>
            </w:tcBorders>
          </w:tcPr>
          <w:p w14:paraId="24D62611"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12" w14:textId="77777777" w:rsidR="00245300" w:rsidRPr="00EC20A0" w:rsidRDefault="00245300">
            <w:pPr>
              <w:pStyle w:val="TableParagraph"/>
            </w:pPr>
          </w:p>
        </w:tc>
      </w:tr>
      <w:tr w:rsidR="00245300" w:rsidRPr="00EC20A0" w14:paraId="24D62617" w14:textId="77777777">
        <w:trPr>
          <w:trHeight w:val="1252"/>
        </w:trPr>
        <w:tc>
          <w:tcPr>
            <w:tcW w:w="7380" w:type="dxa"/>
            <w:tcBorders>
              <w:top w:val="single" w:sz="6" w:space="0" w:color="000000"/>
              <w:bottom w:val="single" w:sz="6" w:space="0" w:color="000000"/>
              <w:right w:val="single" w:sz="6" w:space="0" w:color="000000"/>
            </w:tcBorders>
          </w:tcPr>
          <w:p w14:paraId="24D62614" w14:textId="77777777" w:rsidR="00245300" w:rsidRPr="00EC20A0" w:rsidRDefault="00F17249">
            <w:pPr>
              <w:pStyle w:val="TableParagraph"/>
              <w:tabs>
                <w:tab w:val="left" w:pos="1203"/>
              </w:tabs>
              <w:spacing w:before="119"/>
              <w:ind w:left="1203" w:right="350" w:hanging="360"/>
            </w:pPr>
            <w:r w:rsidRPr="00EC20A0">
              <w:rPr>
                <w:spacing w:val="-6"/>
              </w:rPr>
              <w:t>f.</w:t>
            </w:r>
            <w:r w:rsidRPr="00EC20A0">
              <w:tab/>
              <w:t xml:space="preserve">Did the auditor evaluate the effect of (a) </w:t>
            </w:r>
            <w:r w:rsidRPr="00EC20A0">
              <w:t>identified misstatements on the audit and (b) uncorrected misstatements,</w:t>
            </w:r>
            <w:r w:rsidRPr="00EC20A0">
              <w:rPr>
                <w:spacing w:val="-6"/>
              </w:rPr>
              <w:t xml:space="preserve"> </w:t>
            </w:r>
            <w:r w:rsidRPr="00EC20A0">
              <w:t>if</w:t>
            </w:r>
            <w:r w:rsidRPr="00EC20A0">
              <w:rPr>
                <w:spacing w:val="-6"/>
              </w:rPr>
              <w:t xml:space="preserve"> </w:t>
            </w:r>
            <w:r w:rsidRPr="00EC20A0">
              <w:t>any,</w:t>
            </w:r>
            <w:r w:rsidRPr="00EC20A0">
              <w:rPr>
                <w:spacing w:val="-6"/>
              </w:rPr>
              <w:t xml:space="preserve"> </w:t>
            </w:r>
            <w:r w:rsidRPr="00EC20A0">
              <w:t>on</w:t>
            </w:r>
            <w:r w:rsidRPr="00EC20A0">
              <w:rPr>
                <w:spacing w:val="-6"/>
              </w:rPr>
              <w:t xml:space="preserve"> </w:t>
            </w:r>
            <w:r w:rsidRPr="00EC20A0">
              <w:t>the</w:t>
            </w:r>
            <w:r w:rsidRPr="00EC20A0">
              <w:rPr>
                <w:spacing w:val="-6"/>
              </w:rPr>
              <w:t xml:space="preserve"> </w:t>
            </w:r>
            <w:r w:rsidRPr="00EC20A0">
              <w:t>financial</w:t>
            </w:r>
            <w:r w:rsidRPr="00EC20A0">
              <w:rPr>
                <w:spacing w:val="-6"/>
              </w:rPr>
              <w:t xml:space="preserve"> </w:t>
            </w:r>
            <w:r w:rsidRPr="00EC20A0">
              <w:t>statements,</w:t>
            </w:r>
            <w:r w:rsidRPr="00EC20A0">
              <w:rPr>
                <w:spacing w:val="-6"/>
              </w:rPr>
              <w:t xml:space="preserve"> </w:t>
            </w:r>
            <w:r w:rsidRPr="00EC20A0">
              <w:t>including note disclosures? (AU-C 450.03a and .03b)</w:t>
            </w:r>
          </w:p>
        </w:tc>
        <w:tc>
          <w:tcPr>
            <w:tcW w:w="811" w:type="dxa"/>
            <w:tcBorders>
              <w:top w:val="single" w:sz="6" w:space="0" w:color="000000"/>
              <w:left w:val="single" w:sz="6" w:space="0" w:color="000000"/>
              <w:bottom w:val="single" w:sz="6" w:space="0" w:color="000000"/>
              <w:right w:val="single" w:sz="6" w:space="0" w:color="000000"/>
            </w:tcBorders>
          </w:tcPr>
          <w:p w14:paraId="24D62615"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16" w14:textId="77777777" w:rsidR="00245300" w:rsidRPr="00EC20A0" w:rsidRDefault="00245300">
            <w:pPr>
              <w:pStyle w:val="TableParagraph"/>
            </w:pPr>
          </w:p>
        </w:tc>
      </w:tr>
      <w:tr w:rsidR="00245300" w:rsidRPr="00EC20A0" w14:paraId="24D6261B" w14:textId="77777777">
        <w:trPr>
          <w:trHeight w:val="1252"/>
        </w:trPr>
        <w:tc>
          <w:tcPr>
            <w:tcW w:w="7380" w:type="dxa"/>
            <w:tcBorders>
              <w:top w:val="single" w:sz="6" w:space="0" w:color="000000"/>
              <w:bottom w:val="single" w:sz="6" w:space="0" w:color="000000"/>
              <w:right w:val="single" w:sz="6" w:space="0" w:color="000000"/>
            </w:tcBorders>
          </w:tcPr>
          <w:p w14:paraId="24D62618" w14:textId="77777777" w:rsidR="00245300" w:rsidRPr="00EC20A0" w:rsidRDefault="00F17249">
            <w:pPr>
              <w:pStyle w:val="TableParagraph"/>
              <w:spacing w:before="119"/>
              <w:ind w:left="1203" w:right="141" w:hanging="360"/>
            </w:pPr>
            <w:r w:rsidRPr="00EC20A0">
              <w:t>g.</w:t>
            </w:r>
            <w:r w:rsidRPr="00EC20A0">
              <w:rPr>
                <w:spacing w:val="80"/>
              </w:rPr>
              <w:t xml:space="preserve"> </w:t>
            </w:r>
            <w:r w:rsidRPr="00EC20A0">
              <w:t xml:space="preserve">Did the auditor design and perform audit procedures that enable the auditor to </w:t>
            </w:r>
            <w:r w:rsidRPr="00EC20A0">
              <w:t>obtain sufficient appropriate audit evidence</w:t>
            </w:r>
            <w:r w:rsidRPr="00EC20A0">
              <w:rPr>
                <w:spacing w:val="-5"/>
              </w:rPr>
              <w:t xml:space="preserve"> </w:t>
            </w:r>
            <w:r w:rsidRPr="00EC20A0">
              <w:t>to</w:t>
            </w:r>
            <w:r w:rsidRPr="00EC20A0">
              <w:rPr>
                <w:spacing w:val="-6"/>
              </w:rPr>
              <w:t xml:space="preserve"> </w:t>
            </w:r>
            <w:r w:rsidRPr="00EC20A0">
              <w:t>be</w:t>
            </w:r>
            <w:r w:rsidRPr="00EC20A0">
              <w:rPr>
                <w:spacing w:val="-5"/>
              </w:rPr>
              <w:t xml:space="preserve"> </w:t>
            </w:r>
            <w:r w:rsidRPr="00EC20A0">
              <w:t>able</w:t>
            </w:r>
            <w:r w:rsidRPr="00EC20A0">
              <w:rPr>
                <w:spacing w:val="-5"/>
              </w:rPr>
              <w:t xml:space="preserve"> </w:t>
            </w:r>
            <w:r w:rsidRPr="00EC20A0">
              <w:t>to</w:t>
            </w:r>
            <w:r w:rsidRPr="00EC20A0">
              <w:rPr>
                <w:spacing w:val="-5"/>
              </w:rPr>
              <w:t xml:space="preserve"> </w:t>
            </w:r>
            <w:r w:rsidRPr="00EC20A0">
              <w:t>draw</w:t>
            </w:r>
            <w:r w:rsidRPr="00EC20A0">
              <w:rPr>
                <w:spacing w:val="-5"/>
              </w:rPr>
              <w:t xml:space="preserve"> </w:t>
            </w:r>
            <w:r w:rsidRPr="00EC20A0">
              <w:t>reasonable</w:t>
            </w:r>
            <w:r w:rsidRPr="00EC20A0">
              <w:rPr>
                <w:spacing w:val="-5"/>
              </w:rPr>
              <w:t xml:space="preserve"> </w:t>
            </w:r>
            <w:r w:rsidRPr="00EC20A0">
              <w:t>conclusions</w:t>
            </w:r>
            <w:r w:rsidRPr="00EC20A0">
              <w:rPr>
                <w:spacing w:val="-5"/>
              </w:rPr>
              <w:t xml:space="preserve"> </w:t>
            </w:r>
            <w:r w:rsidRPr="00EC20A0">
              <w:t>on</w:t>
            </w:r>
            <w:r w:rsidRPr="00EC20A0">
              <w:rPr>
                <w:spacing w:val="-5"/>
              </w:rPr>
              <w:t xml:space="preserve"> </w:t>
            </w:r>
            <w:r w:rsidRPr="00EC20A0">
              <w:t>which to base the auditor’s opinion? (AU-C 500)</w:t>
            </w:r>
          </w:p>
        </w:tc>
        <w:tc>
          <w:tcPr>
            <w:tcW w:w="811" w:type="dxa"/>
            <w:tcBorders>
              <w:top w:val="single" w:sz="6" w:space="0" w:color="000000"/>
              <w:left w:val="single" w:sz="6" w:space="0" w:color="000000"/>
              <w:bottom w:val="single" w:sz="6" w:space="0" w:color="000000"/>
              <w:right w:val="single" w:sz="6" w:space="0" w:color="000000"/>
            </w:tcBorders>
          </w:tcPr>
          <w:p w14:paraId="24D62619"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1A" w14:textId="77777777" w:rsidR="00245300" w:rsidRPr="00EC20A0" w:rsidRDefault="00245300">
            <w:pPr>
              <w:pStyle w:val="TableParagraph"/>
            </w:pPr>
          </w:p>
        </w:tc>
      </w:tr>
    </w:tbl>
    <w:p w14:paraId="24D6261C" w14:textId="77777777" w:rsidR="00245300" w:rsidRPr="00EC20A0" w:rsidRDefault="00245300">
      <w:pPr>
        <w:sectPr w:rsidR="00245300" w:rsidRPr="00EC20A0">
          <w:pgSz w:w="12240" w:h="15840"/>
          <w:pgMar w:top="1340" w:right="460" w:bottom="940" w:left="560" w:header="721" w:footer="757" w:gutter="0"/>
          <w:cols w:space="720"/>
        </w:sectPr>
      </w:pPr>
    </w:p>
    <w:p w14:paraId="24D6261D"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624" w14:textId="77777777">
        <w:trPr>
          <w:trHeight w:val="936"/>
        </w:trPr>
        <w:tc>
          <w:tcPr>
            <w:tcW w:w="7380" w:type="dxa"/>
            <w:tcBorders>
              <w:right w:val="single" w:sz="8" w:space="0" w:color="000000"/>
            </w:tcBorders>
            <w:shd w:val="clear" w:color="auto" w:fill="A6A6A6"/>
          </w:tcPr>
          <w:p w14:paraId="24D6261E" w14:textId="77777777" w:rsidR="00245300" w:rsidRPr="00EC20A0" w:rsidRDefault="00245300">
            <w:pPr>
              <w:pStyle w:val="TableParagraph"/>
              <w:spacing w:before="266"/>
              <w:rPr>
                <w:b/>
                <w:sz w:val="24"/>
              </w:rPr>
            </w:pPr>
          </w:p>
          <w:p w14:paraId="24D6261F"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620"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621" w14:textId="77777777" w:rsidR="00245300" w:rsidRPr="00EC20A0" w:rsidRDefault="00245300">
            <w:pPr>
              <w:pStyle w:val="TableParagraph"/>
              <w:rPr>
                <w:b/>
              </w:rPr>
            </w:pPr>
          </w:p>
          <w:p w14:paraId="24D62622" w14:textId="77777777" w:rsidR="00245300" w:rsidRPr="00EC20A0" w:rsidRDefault="00245300">
            <w:pPr>
              <w:pStyle w:val="TableParagraph"/>
              <w:spacing w:before="120"/>
              <w:rPr>
                <w:b/>
              </w:rPr>
            </w:pPr>
          </w:p>
          <w:p w14:paraId="24D62623"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62D" w14:textId="77777777">
        <w:trPr>
          <w:trHeight w:val="4338"/>
        </w:trPr>
        <w:tc>
          <w:tcPr>
            <w:tcW w:w="7380" w:type="dxa"/>
            <w:tcBorders>
              <w:bottom w:val="single" w:sz="6" w:space="0" w:color="000000"/>
              <w:right w:val="single" w:sz="6" w:space="0" w:color="000000"/>
            </w:tcBorders>
          </w:tcPr>
          <w:p w14:paraId="24D62625" w14:textId="77777777" w:rsidR="00245300" w:rsidRPr="00EC20A0" w:rsidRDefault="00F17249">
            <w:pPr>
              <w:pStyle w:val="TableParagraph"/>
              <w:numPr>
                <w:ilvl w:val="0"/>
                <w:numId w:val="50"/>
              </w:numPr>
              <w:tabs>
                <w:tab w:val="left" w:pos="1203"/>
              </w:tabs>
              <w:spacing w:before="121"/>
              <w:ind w:right="984"/>
            </w:pPr>
            <w:r w:rsidRPr="00EC20A0">
              <w:t>Did</w:t>
            </w:r>
            <w:r w:rsidRPr="00EC20A0">
              <w:rPr>
                <w:spacing w:val="-6"/>
              </w:rPr>
              <w:t xml:space="preserve"> </w:t>
            </w:r>
            <w:r w:rsidRPr="00EC20A0">
              <w:t>the</w:t>
            </w:r>
            <w:r w:rsidRPr="00EC20A0">
              <w:rPr>
                <w:spacing w:val="-6"/>
              </w:rPr>
              <w:t xml:space="preserve"> </w:t>
            </w:r>
            <w:r w:rsidRPr="00EC20A0">
              <w:t>auditor</w:t>
            </w:r>
            <w:r w:rsidRPr="00EC20A0">
              <w:rPr>
                <w:spacing w:val="-6"/>
              </w:rPr>
              <w:t xml:space="preserve"> </w:t>
            </w:r>
            <w:r w:rsidRPr="00EC20A0">
              <w:t>obtain</w:t>
            </w:r>
            <w:r w:rsidRPr="00EC20A0">
              <w:rPr>
                <w:spacing w:val="-6"/>
              </w:rPr>
              <w:t xml:space="preserve"> </w:t>
            </w:r>
            <w:r w:rsidRPr="00EC20A0">
              <w:t>sufficient</w:t>
            </w:r>
            <w:r w:rsidRPr="00EC20A0">
              <w:rPr>
                <w:spacing w:val="-6"/>
              </w:rPr>
              <w:t xml:space="preserve"> </w:t>
            </w:r>
            <w:r w:rsidRPr="00EC20A0">
              <w:t>and</w:t>
            </w:r>
            <w:r w:rsidRPr="00EC20A0">
              <w:rPr>
                <w:spacing w:val="-7"/>
              </w:rPr>
              <w:t xml:space="preserve"> </w:t>
            </w:r>
            <w:r w:rsidRPr="00EC20A0">
              <w:t>appropriate</w:t>
            </w:r>
            <w:r w:rsidRPr="00EC20A0">
              <w:rPr>
                <w:spacing w:val="-7"/>
              </w:rPr>
              <w:t xml:space="preserve"> </w:t>
            </w:r>
            <w:r w:rsidRPr="00EC20A0">
              <w:t>audit evidence regarding the</w:t>
            </w:r>
          </w:p>
          <w:p w14:paraId="24D62626" w14:textId="77777777" w:rsidR="00245300" w:rsidRPr="00EC20A0" w:rsidRDefault="00F17249">
            <w:pPr>
              <w:pStyle w:val="TableParagraph"/>
              <w:numPr>
                <w:ilvl w:val="1"/>
                <w:numId w:val="50"/>
              </w:numPr>
              <w:tabs>
                <w:tab w:val="left" w:pos="1514"/>
              </w:tabs>
              <w:spacing w:before="239"/>
              <w:ind w:right="819"/>
            </w:pPr>
            <w:r w:rsidRPr="00EC20A0">
              <w:t>valuation</w:t>
            </w:r>
            <w:r w:rsidRPr="00EC20A0">
              <w:rPr>
                <w:spacing w:val="-6"/>
              </w:rPr>
              <w:t xml:space="preserve"> </w:t>
            </w:r>
            <w:r w:rsidRPr="00EC20A0">
              <w:t>of</w:t>
            </w:r>
            <w:r w:rsidRPr="00EC20A0">
              <w:rPr>
                <w:spacing w:val="-7"/>
              </w:rPr>
              <w:t xml:space="preserve"> </w:t>
            </w:r>
            <w:r w:rsidRPr="00EC20A0">
              <w:t>investments</w:t>
            </w:r>
            <w:r w:rsidRPr="00EC20A0">
              <w:rPr>
                <w:spacing w:val="-7"/>
              </w:rPr>
              <w:t xml:space="preserve"> </w:t>
            </w:r>
            <w:r w:rsidRPr="00EC20A0">
              <w:t>in</w:t>
            </w:r>
            <w:r w:rsidRPr="00EC20A0">
              <w:rPr>
                <w:spacing w:val="-6"/>
              </w:rPr>
              <w:t xml:space="preserve"> </w:t>
            </w:r>
            <w:r w:rsidRPr="00EC20A0">
              <w:t>securities</w:t>
            </w:r>
            <w:r w:rsidRPr="00EC20A0">
              <w:rPr>
                <w:spacing w:val="-7"/>
              </w:rPr>
              <w:t xml:space="preserve"> </w:t>
            </w:r>
            <w:r w:rsidRPr="00EC20A0">
              <w:t>and</w:t>
            </w:r>
            <w:r w:rsidRPr="00EC20A0">
              <w:rPr>
                <w:spacing w:val="-6"/>
              </w:rPr>
              <w:t xml:space="preserve"> </w:t>
            </w:r>
            <w:r w:rsidRPr="00EC20A0">
              <w:t xml:space="preserve">derivative </w:t>
            </w:r>
            <w:r w:rsidRPr="00EC20A0">
              <w:rPr>
                <w:spacing w:val="-2"/>
              </w:rPr>
              <w:t>instruments;</w:t>
            </w:r>
          </w:p>
          <w:p w14:paraId="24D62627" w14:textId="77777777" w:rsidR="00245300" w:rsidRPr="00EC20A0" w:rsidRDefault="00F17249">
            <w:pPr>
              <w:pStyle w:val="TableParagraph"/>
              <w:numPr>
                <w:ilvl w:val="1"/>
                <w:numId w:val="50"/>
              </w:numPr>
              <w:tabs>
                <w:tab w:val="left" w:pos="1513"/>
              </w:tabs>
              <w:spacing w:before="238"/>
              <w:ind w:left="1513" w:hanging="269"/>
            </w:pPr>
            <w:r w:rsidRPr="00EC20A0">
              <w:t>existence</w:t>
            </w:r>
            <w:r w:rsidRPr="00EC20A0">
              <w:rPr>
                <w:spacing w:val="-7"/>
              </w:rPr>
              <w:t xml:space="preserve"> </w:t>
            </w:r>
            <w:r w:rsidRPr="00EC20A0">
              <w:t>and</w:t>
            </w:r>
            <w:r w:rsidRPr="00EC20A0">
              <w:rPr>
                <w:spacing w:val="-6"/>
              </w:rPr>
              <w:t xml:space="preserve"> </w:t>
            </w:r>
            <w:r w:rsidRPr="00EC20A0">
              <w:t>condition</w:t>
            </w:r>
            <w:r w:rsidRPr="00EC20A0">
              <w:rPr>
                <w:spacing w:val="-8"/>
              </w:rPr>
              <w:t xml:space="preserve"> </w:t>
            </w:r>
            <w:r w:rsidRPr="00EC20A0">
              <w:t>of</w:t>
            </w:r>
            <w:r w:rsidRPr="00EC20A0">
              <w:rPr>
                <w:spacing w:val="-6"/>
              </w:rPr>
              <w:t xml:space="preserve"> </w:t>
            </w:r>
            <w:r w:rsidRPr="00EC20A0">
              <w:rPr>
                <w:spacing w:val="-2"/>
              </w:rPr>
              <w:t>inventory;</w:t>
            </w:r>
          </w:p>
          <w:p w14:paraId="24D62628" w14:textId="77777777" w:rsidR="00245300" w:rsidRPr="00EC20A0" w:rsidRDefault="00F17249">
            <w:pPr>
              <w:pStyle w:val="TableParagraph"/>
              <w:numPr>
                <w:ilvl w:val="1"/>
                <w:numId w:val="50"/>
              </w:numPr>
              <w:tabs>
                <w:tab w:val="left" w:pos="1514"/>
              </w:tabs>
              <w:spacing w:before="240"/>
              <w:ind w:right="783"/>
            </w:pPr>
            <w:r w:rsidRPr="00EC20A0">
              <w:t>completeness</w:t>
            </w:r>
            <w:r w:rsidRPr="00EC20A0">
              <w:rPr>
                <w:spacing w:val="-8"/>
              </w:rPr>
              <w:t xml:space="preserve"> </w:t>
            </w:r>
            <w:r w:rsidRPr="00EC20A0">
              <w:t>of</w:t>
            </w:r>
            <w:r w:rsidRPr="00EC20A0">
              <w:rPr>
                <w:spacing w:val="-8"/>
              </w:rPr>
              <w:t xml:space="preserve"> </w:t>
            </w:r>
            <w:r w:rsidRPr="00EC20A0">
              <w:t>litigation,</w:t>
            </w:r>
            <w:r w:rsidRPr="00EC20A0">
              <w:rPr>
                <w:spacing w:val="-8"/>
              </w:rPr>
              <w:t xml:space="preserve"> </w:t>
            </w:r>
            <w:r w:rsidRPr="00EC20A0">
              <w:t>claims,</w:t>
            </w:r>
            <w:r w:rsidRPr="00EC20A0">
              <w:rPr>
                <w:spacing w:val="-8"/>
              </w:rPr>
              <w:t xml:space="preserve"> </w:t>
            </w:r>
            <w:r w:rsidRPr="00EC20A0">
              <w:t>and</w:t>
            </w:r>
            <w:r w:rsidRPr="00EC20A0">
              <w:rPr>
                <w:spacing w:val="-8"/>
              </w:rPr>
              <w:t xml:space="preserve"> </w:t>
            </w:r>
            <w:r w:rsidRPr="00EC20A0">
              <w:t>assessments involving the entity;</w:t>
            </w:r>
          </w:p>
          <w:p w14:paraId="24D62629" w14:textId="77777777" w:rsidR="00245300" w:rsidRPr="00EC20A0" w:rsidRDefault="00F17249">
            <w:pPr>
              <w:pStyle w:val="TableParagraph"/>
              <w:numPr>
                <w:ilvl w:val="1"/>
                <w:numId w:val="50"/>
              </w:numPr>
              <w:tabs>
                <w:tab w:val="left" w:pos="1514"/>
              </w:tabs>
              <w:spacing w:before="239" w:line="237" w:lineRule="auto"/>
              <w:ind w:right="549"/>
              <w:rPr>
                <w:sz w:val="24"/>
              </w:rPr>
            </w:pPr>
            <w:r w:rsidRPr="00EC20A0">
              <w:t>presentation</w:t>
            </w:r>
            <w:r w:rsidRPr="00EC20A0">
              <w:rPr>
                <w:spacing w:val="-7"/>
              </w:rPr>
              <w:t xml:space="preserve"> </w:t>
            </w:r>
            <w:r w:rsidRPr="00EC20A0">
              <w:t>and</w:t>
            </w:r>
            <w:r w:rsidRPr="00EC20A0">
              <w:rPr>
                <w:spacing w:val="-6"/>
              </w:rPr>
              <w:t xml:space="preserve"> </w:t>
            </w:r>
            <w:r w:rsidRPr="00EC20A0">
              <w:t>disclosure</w:t>
            </w:r>
            <w:r w:rsidRPr="00EC20A0">
              <w:rPr>
                <w:spacing w:val="-6"/>
              </w:rPr>
              <w:t xml:space="preserve"> </w:t>
            </w:r>
            <w:r w:rsidRPr="00EC20A0">
              <w:t>of</w:t>
            </w:r>
            <w:r w:rsidRPr="00EC20A0">
              <w:rPr>
                <w:spacing w:val="-6"/>
              </w:rPr>
              <w:t xml:space="preserve"> </w:t>
            </w:r>
            <w:r w:rsidRPr="00EC20A0">
              <w:t>segment</w:t>
            </w:r>
            <w:r w:rsidRPr="00EC20A0">
              <w:rPr>
                <w:spacing w:val="-6"/>
              </w:rPr>
              <w:t xml:space="preserve"> </w:t>
            </w:r>
            <w:r w:rsidRPr="00EC20A0">
              <w:t>information,</w:t>
            </w:r>
            <w:r w:rsidRPr="00EC20A0">
              <w:rPr>
                <w:spacing w:val="-6"/>
              </w:rPr>
              <w:t xml:space="preserve"> </w:t>
            </w:r>
            <w:r w:rsidRPr="00EC20A0">
              <w:t>in accordance with the applicable financial reporting framework (generally U.S. GAAP); and</w:t>
            </w:r>
          </w:p>
          <w:p w14:paraId="24D6262A" w14:textId="77777777" w:rsidR="00245300" w:rsidRPr="00EC20A0" w:rsidRDefault="00F17249">
            <w:pPr>
              <w:pStyle w:val="TableParagraph"/>
              <w:numPr>
                <w:ilvl w:val="1"/>
                <w:numId w:val="50"/>
              </w:numPr>
              <w:tabs>
                <w:tab w:val="left" w:pos="1513"/>
              </w:tabs>
              <w:spacing w:before="240"/>
              <w:ind w:left="1513" w:hanging="269"/>
              <w:rPr>
                <w:sz w:val="24"/>
              </w:rPr>
            </w:pPr>
            <w:r w:rsidRPr="00EC20A0">
              <w:t>work</w:t>
            </w:r>
            <w:r w:rsidRPr="00EC20A0">
              <w:rPr>
                <w:spacing w:val="-10"/>
              </w:rPr>
              <w:t xml:space="preserve"> </w:t>
            </w:r>
            <w:r w:rsidRPr="00EC20A0">
              <w:t>of</w:t>
            </w:r>
            <w:r w:rsidRPr="00EC20A0">
              <w:rPr>
                <w:spacing w:val="-10"/>
              </w:rPr>
              <w:t xml:space="preserve"> </w:t>
            </w:r>
            <w:r w:rsidRPr="00EC20A0">
              <w:t>management’s</w:t>
            </w:r>
            <w:r w:rsidRPr="00EC20A0">
              <w:rPr>
                <w:spacing w:val="-9"/>
              </w:rPr>
              <w:t xml:space="preserve"> </w:t>
            </w:r>
            <w:r w:rsidRPr="00EC20A0">
              <w:t>specialists?</w:t>
            </w:r>
            <w:r w:rsidRPr="00EC20A0">
              <w:rPr>
                <w:spacing w:val="-10"/>
              </w:rPr>
              <w:t xml:space="preserve"> </w:t>
            </w:r>
            <w:r w:rsidRPr="00EC20A0">
              <w:t>(AU-C</w:t>
            </w:r>
            <w:r w:rsidRPr="00EC20A0">
              <w:rPr>
                <w:spacing w:val="-10"/>
              </w:rPr>
              <w:t xml:space="preserve"> </w:t>
            </w:r>
            <w:r w:rsidRPr="00EC20A0">
              <w:rPr>
                <w:spacing w:val="-4"/>
              </w:rPr>
              <w:t>501)</w:t>
            </w:r>
          </w:p>
        </w:tc>
        <w:tc>
          <w:tcPr>
            <w:tcW w:w="811" w:type="dxa"/>
            <w:tcBorders>
              <w:left w:val="single" w:sz="6" w:space="0" w:color="000000"/>
              <w:bottom w:val="single" w:sz="6" w:space="0" w:color="000000"/>
              <w:right w:val="single" w:sz="6" w:space="0" w:color="000000"/>
            </w:tcBorders>
          </w:tcPr>
          <w:p w14:paraId="24D6262B" w14:textId="77777777" w:rsidR="00245300" w:rsidRPr="00EC20A0" w:rsidRDefault="00245300">
            <w:pPr>
              <w:pStyle w:val="TableParagraph"/>
            </w:pPr>
          </w:p>
        </w:tc>
        <w:tc>
          <w:tcPr>
            <w:tcW w:w="1349" w:type="dxa"/>
            <w:tcBorders>
              <w:left w:val="single" w:sz="6" w:space="0" w:color="000000"/>
              <w:bottom w:val="single" w:sz="6" w:space="0" w:color="000000"/>
            </w:tcBorders>
            <w:shd w:val="clear" w:color="auto" w:fill="BEBEBE"/>
          </w:tcPr>
          <w:p w14:paraId="24D6262C" w14:textId="77777777" w:rsidR="00245300" w:rsidRPr="00EC20A0" w:rsidRDefault="00245300">
            <w:pPr>
              <w:pStyle w:val="TableParagraph"/>
            </w:pPr>
          </w:p>
        </w:tc>
      </w:tr>
      <w:tr w:rsidR="00245300" w:rsidRPr="00EC20A0" w14:paraId="24D62631" w14:textId="77777777">
        <w:trPr>
          <w:trHeight w:val="998"/>
        </w:trPr>
        <w:tc>
          <w:tcPr>
            <w:tcW w:w="7380" w:type="dxa"/>
            <w:tcBorders>
              <w:top w:val="single" w:sz="6" w:space="0" w:color="000000"/>
              <w:bottom w:val="single" w:sz="6" w:space="0" w:color="000000"/>
              <w:right w:val="single" w:sz="6" w:space="0" w:color="000000"/>
            </w:tcBorders>
          </w:tcPr>
          <w:p w14:paraId="24D6262E" w14:textId="77777777" w:rsidR="00245300" w:rsidRPr="00EC20A0" w:rsidRDefault="00F17249">
            <w:pPr>
              <w:pStyle w:val="TableParagraph"/>
              <w:tabs>
                <w:tab w:val="left" w:pos="1203"/>
              </w:tabs>
              <w:spacing w:before="119"/>
              <w:ind w:left="1203" w:right="150" w:hanging="360"/>
            </w:pPr>
            <w:r w:rsidRPr="00EC20A0">
              <w:rPr>
                <w:spacing w:val="-6"/>
              </w:rPr>
              <w:t>i.</w:t>
            </w:r>
            <w:r w:rsidRPr="00EC20A0">
              <w:tab/>
              <w:t>Did</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when</w:t>
            </w:r>
            <w:r w:rsidRPr="00EC20A0">
              <w:rPr>
                <w:spacing w:val="-5"/>
              </w:rPr>
              <w:t xml:space="preserve"> </w:t>
            </w:r>
            <w:r w:rsidRPr="00EC20A0">
              <w:t>using</w:t>
            </w:r>
            <w:r w:rsidRPr="00EC20A0">
              <w:rPr>
                <w:spacing w:val="-5"/>
              </w:rPr>
              <w:t xml:space="preserve"> </w:t>
            </w:r>
            <w:r w:rsidRPr="00EC20A0">
              <w:t>external</w:t>
            </w:r>
            <w:r w:rsidRPr="00EC20A0">
              <w:rPr>
                <w:spacing w:val="-6"/>
              </w:rPr>
              <w:t xml:space="preserve"> </w:t>
            </w:r>
            <w:r w:rsidRPr="00EC20A0">
              <w:t>confirmation</w:t>
            </w:r>
            <w:r w:rsidRPr="00EC20A0">
              <w:rPr>
                <w:spacing w:val="-5"/>
              </w:rPr>
              <w:t xml:space="preserve"> </w:t>
            </w:r>
            <w:r w:rsidRPr="00EC20A0">
              <w:t xml:space="preserve">procedures, design and </w:t>
            </w:r>
            <w:r w:rsidRPr="00EC20A0">
              <w:t>perform such procedures to obtain relevant and reliable audit evidence?</w:t>
            </w:r>
          </w:p>
        </w:tc>
        <w:tc>
          <w:tcPr>
            <w:tcW w:w="811" w:type="dxa"/>
            <w:tcBorders>
              <w:top w:val="single" w:sz="6" w:space="0" w:color="000000"/>
              <w:left w:val="single" w:sz="6" w:space="0" w:color="000000"/>
              <w:bottom w:val="single" w:sz="6" w:space="0" w:color="000000"/>
              <w:right w:val="single" w:sz="6" w:space="0" w:color="000000"/>
            </w:tcBorders>
          </w:tcPr>
          <w:p w14:paraId="24D6262F"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30" w14:textId="77777777" w:rsidR="00245300" w:rsidRPr="00EC20A0" w:rsidRDefault="00245300">
            <w:pPr>
              <w:pStyle w:val="TableParagraph"/>
            </w:pPr>
          </w:p>
        </w:tc>
      </w:tr>
      <w:tr w:rsidR="00245300" w:rsidRPr="00EC20A0" w14:paraId="24D62637" w14:textId="77777777">
        <w:trPr>
          <w:trHeight w:val="4312"/>
        </w:trPr>
        <w:tc>
          <w:tcPr>
            <w:tcW w:w="7380" w:type="dxa"/>
            <w:tcBorders>
              <w:top w:val="single" w:sz="6" w:space="0" w:color="000000"/>
              <w:bottom w:val="single" w:sz="6" w:space="0" w:color="000000"/>
              <w:right w:val="single" w:sz="6" w:space="0" w:color="000000"/>
            </w:tcBorders>
          </w:tcPr>
          <w:p w14:paraId="24D62632" w14:textId="77777777" w:rsidR="00245300" w:rsidRPr="00EC20A0" w:rsidRDefault="00F17249">
            <w:pPr>
              <w:pStyle w:val="TableParagraph"/>
              <w:numPr>
                <w:ilvl w:val="0"/>
                <w:numId w:val="49"/>
              </w:numPr>
              <w:tabs>
                <w:tab w:val="left" w:pos="1203"/>
              </w:tabs>
              <w:spacing w:before="119"/>
              <w:ind w:right="163" w:hanging="360"/>
            </w:pPr>
            <w:r w:rsidRPr="00EC20A0">
              <w:t xml:space="preserve">Did the auditor, in conducting an initial audit engagement, including a reaudit engagement (an initial audit engagement to audit financial statements that have been </w:t>
            </w:r>
            <w:r w:rsidRPr="00EC20A0">
              <w:t>previously audited by a predecessor auditor), obtain sufficient appropriate</w:t>
            </w:r>
            <w:r w:rsidRPr="00EC20A0">
              <w:rPr>
                <w:spacing w:val="-7"/>
              </w:rPr>
              <w:t xml:space="preserve"> </w:t>
            </w:r>
            <w:r w:rsidRPr="00EC20A0">
              <w:t>audit</w:t>
            </w:r>
            <w:r w:rsidRPr="00EC20A0">
              <w:rPr>
                <w:spacing w:val="-6"/>
              </w:rPr>
              <w:t xml:space="preserve"> </w:t>
            </w:r>
            <w:r w:rsidRPr="00EC20A0">
              <w:t>evidence</w:t>
            </w:r>
            <w:r w:rsidRPr="00EC20A0">
              <w:rPr>
                <w:spacing w:val="-6"/>
              </w:rPr>
              <w:t xml:space="preserve"> </w:t>
            </w:r>
            <w:r w:rsidRPr="00EC20A0">
              <w:t>regarding</w:t>
            </w:r>
            <w:r w:rsidRPr="00EC20A0">
              <w:rPr>
                <w:spacing w:val="-7"/>
              </w:rPr>
              <w:t xml:space="preserve"> </w:t>
            </w:r>
            <w:r w:rsidRPr="00EC20A0">
              <w:t>opening</w:t>
            </w:r>
            <w:r w:rsidRPr="00EC20A0">
              <w:rPr>
                <w:spacing w:val="-6"/>
              </w:rPr>
              <w:t xml:space="preserve"> </w:t>
            </w:r>
            <w:r w:rsidRPr="00EC20A0">
              <w:t>balances</w:t>
            </w:r>
            <w:r w:rsidRPr="00EC20A0">
              <w:rPr>
                <w:spacing w:val="-6"/>
              </w:rPr>
              <w:t xml:space="preserve"> </w:t>
            </w:r>
            <w:r w:rsidRPr="00EC20A0">
              <w:t xml:space="preserve">about </w:t>
            </w:r>
            <w:r w:rsidRPr="00EC20A0">
              <w:rPr>
                <w:spacing w:val="-2"/>
              </w:rPr>
              <w:t>whether</w:t>
            </w:r>
          </w:p>
          <w:p w14:paraId="24D62633" w14:textId="77777777" w:rsidR="00245300" w:rsidRPr="00EC20A0" w:rsidRDefault="00F17249">
            <w:pPr>
              <w:pStyle w:val="TableParagraph"/>
              <w:numPr>
                <w:ilvl w:val="1"/>
                <w:numId w:val="49"/>
              </w:numPr>
              <w:tabs>
                <w:tab w:val="left" w:pos="1512"/>
                <w:tab w:val="left" w:pos="1514"/>
              </w:tabs>
              <w:spacing w:before="240"/>
              <w:ind w:right="428" w:hanging="271"/>
            </w:pPr>
            <w:r w:rsidRPr="00EC20A0">
              <w:t>opening</w:t>
            </w:r>
            <w:r w:rsidRPr="00EC20A0">
              <w:rPr>
                <w:spacing w:val="-8"/>
              </w:rPr>
              <w:t xml:space="preserve"> </w:t>
            </w:r>
            <w:r w:rsidRPr="00EC20A0">
              <w:t>balances</w:t>
            </w:r>
            <w:r w:rsidRPr="00EC20A0">
              <w:rPr>
                <w:spacing w:val="-8"/>
              </w:rPr>
              <w:t xml:space="preserve"> </w:t>
            </w:r>
            <w:r w:rsidRPr="00EC20A0">
              <w:t>contain</w:t>
            </w:r>
            <w:r w:rsidRPr="00EC20A0">
              <w:rPr>
                <w:spacing w:val="-8"/>
              </w:rPr>
              <w:t xml:space="preserve"> </w:t>
            </w:r>
            <w:r w:rsidRPr="00EC20A0">
              <w:t>misstatements</w:t>
            </w:r>
            <w:r w:rsidRPr="00EC20A0">
              <w:rPr>
                <w:spacing w:val="-8"/>
              </w:rPr>
              <w:t xml:space="preserve"> </w:t>
            </w:r>
            <w:r w:rsidRPr="00EC20A0">
              <w:t>that</w:t>
            </w:r>
            <w:r w:rsidRPr="00EC20A0">
              <w:rPr>
                <w:spacing w:val="-8"/>
              </w:rPr>
              <w:t xml:space="preserve"> </w:t>
            </w:r>
            <w:r w:rsidRPr="00EC20A0">
              <w:t>materially affect the current period’s financial statements and</w:t>
            </w:r>
          </w:p>
          <w:p w14:paraId="24D62634" w14:textId="77777777" w:rsidR="00245300" w:rsidRPr="00EC20A0" w:rsidRDefault="00F17249">
            <w:pPr>
              <w:pStyle w:val="TableParagraph"/>
              <w:numPr>
                <w:ilvl w:val="1"/>
                <w:numId w:val="49"/>
              </w:numPr>
              <w:tabs>
                <w:tab w:val="left" w:pos="1514"/>
              </w:tabs>
              <w:spacing w:before="239"/>
              <w:ind w:right="134"/>
              <w:rPr>
                <w:sz w:val="24"/>
              </w:rPr>
            </w:pPr>
            <w:r w:rsidRPr="00EC20A0">
              <w:t>appropriate accounting policies reflected in the opening balances have been consistently applied in the current period’s financial statements, or changes thereto are appropriately</w:t>
            </w:r>
            <w:r w:rsidRPr="00EC20A0">
              <w:rPr>
                <w:spacing w:val="-7"/>
              </w:rPr>
              <w:t xml:space="preserve"> </w:t>
            </w:r>
            <w:r w:rsidRPr="00EC20A0">
              <w:t>accounted</w:t>
            </w:r>
            <w:r w:rsidRPr="00EC20A0">
              <w:rPr>
                <w:spacing w:val="-8"/>
              </w:rPr>
              <w:t xml:space="preserve"> </w:t>
            </w:r>
            <w:r w:rsidRPr="00EC20A0">
              <w:t>for</w:t>
            </w:r>
            <w:r w:rsidRPr="00EC20A0">
              <w:rPr>
                <w:spacing w:val="-7"/>
              </w:rPr>
              <w:t xml:space="preserve"> </w:t>
            </w:r>
            <w:r w:rsidRPr="00EC20A0">
              <w:t>and</w:t>
            </w:r>
            <w:r w:rsidRPr="00EC20A0">
              <w:rPr>
                <w:spacing w:val="-7"/>
              </w:rPr>
              <w:t xml:space="preserve"> </w:t>
            </w:r>
            <w:r w:rsidRPr="00EC20A0">
              <w:t>adequately</w:t>
            </w:r>
            <w:r w:rsidRPr="00EC20A0">
              <w:rPr>
                <w:spacing w:val="-7"/>
              </w:rPr>
              <w:t xml:space="preserve"> </w:t>
            </w:r>
            <w:r w:rsidRPr="00EC20A0">
              <w:t>presented</w:t>
            </w:r>
            <w:r w:rsidRPr="00EC20A0">
              <w:rPr>
                <w:spacing w:val="-7"/>
              </w:rPr>
              <w:t xml:space="preserve"> </w:t>
            </w:r>
            <w:r w:rsidRPr="00EC20A0">
              <w:t>and disclosed in accordance with the applicable financial reporting framework (generally U.S. GAAP)? (AU-C 510)</w:t>
            </w:r>
          </w:p>
        </w:tc>
        <w:tc>
          <w:tcPr>
            <w:tcW w:w="811" w:type="dxa"/>
            <w:tcBorders>
              <w:top w:val="single" w:sz="6" w:space="0" w:color="000000"/>
              <w:left w:val="single" w:sz="6" w:space="0" w:color="000000"/>
              <w:bottom w:val="single" w:sz="6" w:space="0" w:color="000000"/>
              <w:right w:val="single" w:sz="6" w:space="0" w:color="000000"/>
            </w:tcBorders>
          </w:tcPr>
          <w:p w14:paraId="24D62635"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36" w14:textId="77777777" w:rsidR="00245300" w:rsidRPr="00EC20A0" w:rsidRDefault="00245300">
            <w:pPr>
              <w:pStyle w:val="TableParagraph"/>
            </w:pPr>
          </w:p>
        </w:tc>
      </w:tr>
    </w:tbl>
    <w:p w14:paraId="24D62638" w14:textId="77777777" w:rsidR="00245300" w:rsidRPr="00EC20A0" w:rsidRDefault="00245300">
      <w:pPr>
        <w:sectPr w:rsidR="00245300" w:rsidRPr="00EC20A0">
          <w:pgSz w:w="12240" w:h="15840"/>
          <w:pgMar w:top="1340" w:right="460" w:bottom="940" w:left="560" w:header="721" w:footer="757" w:gutter="0"/>
          <w:cols w:space="720"/>
        </w:sectPr>
      </w:pPr>
    </w:p>
    <w:p w14:paraId="24D62639"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640" w14:textId="77777777">
        <w:trPr>
          <w:trHeight w:val="936"/>
        </w:trPr>
        <w:tc>
          <w:tcPr>
            <w:tcW w:w="7380" w:type="dxa"/>
            <w:tcBorders>
              <w:right w:val="single" w:sz="8" w:space="0" w:color="000000"/>
            </w:tcBorders>
            <w:shd w:val="clear" w:color="auto" w:fill="A6A6A6"/>
          </w:tcPr>
          <w:p w14:paraId="24D6263A" w14:textId="77777777" w:rsidR="00245300" w:rsidRPr="00EC20A0" w:rsidRDefault="00245300">
            <w:pPr>
              <w:pStyle w:val="TableParagraph"/>
              <w:spacing w:before="266"/>
              <w:rPr>
                <w:b/>
                <w:sz w:val="24"/>
              </w:rPr>
            </w:pPr>
          </w:p>
          <w:p w14:paraId="24D6263B"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63C"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63D" w14:textId="77777777" w:rsidR="00245300" w:rsidRPr="00EC20A0" w:rsidRDefault="00245300">
            <w:pPr>
              <w:pStyle w:val="TableParagraph"/>
              <w:rPr>
                <w:b/>
              </w:rPr>
            </w:pPr>
          </w:p>
          <w:p w14:paraId="24D6263E" w14:textId="77777777" w:rsidR="00245300" w:rsidRPr="00EC20A0" w:rsidRDefault="00245300">
            <w:pPr>
              <w:pStyle w:val="TableParagraph"/>
              <w:spacing w:before="120"/>
              <w:rPr>
                <w:b/>
              </w:rPr>
            </w:pPr>
          </w:p>
          <w:p w14:paraId="24D6263F"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646" w14:textId="77777777">
        <w:trPr>
          <w:trHeight w:val="2794"/>
        </w:trPr>
        <w:tc>
          <w:tcPr>
            <w:tcW w:w="7380" w:type="dxa"/>
            <w:tcBorders>
              <w:bottom w:val="single" w:sz="6" w:space="0" w:color="000000"/>
              <w:right w:val="single" w:sz="6" w:space="0" w:color="000000"/>
            </w:tcBorders>
          </w:tcPr>
          <w:p w14:paraId="24D62641" w14:textId="77777777" w:rsidR="00245300" w:rsidRPr="00EC20A0" w:rsidRDefault="00F17249">
            <w:pPr>
              <w:pStyle w:val="TableParagraph"/>
              <w:numPr>
                <w:ilvl w:val="0"/>
                <w:numId w:val="48"/>
              </w:numPr>
              <w:tabs>
                <w:tab w:val="left" w:pos="1202"/>
              </w:tabs>
              <w:spacing w:before="121"/>
              <w:ind w:left="1202" w:hanging="359"/>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642" w14:textId="77777777" w:rsidR="00245300" w:rsidRPr="00EC20A0" w:rsidRDefault="00F17249">
            <w:pPr>
              <w:pStyle w:val="TableParagraph"/>
              <w:numPr>
                <w:ilvl w:val="1"/>
                <w:numId w:val="48"/>
              </w:numPr>
              <w:tabs>
                <w:tab w:val="left" w:pos="1512"/>
                <w:tab w:val="left" w:pos="1514"/>
              </w:tabs>
              <w:spacing w:before="240"/>
              <w:ind w:right="537" w:hanging="271"/>
            </w:pPr>
            <w:r w:rsidRPr="00EC20A0">
              <w:t>obtain</w:t>
            </w:r>
            <w:r w:rsidRPr="00EC20A0">
              <w:rPr>
                <w:spacing w:val="-6"/>
              </w:rPr>
              <w:t xml:space="preserve"> </w:t>
            </w:r>
            <w:r w:rsidRPr="00EC20A0">
              <w:t>relevant</w:t>
            </w:r>
            <w:r w:rsidRPr="00EC20A0">
              <w:rPr>
                <w:spacing w:val="-6"/>
              </w:rPr>
              <w:t xml:space="preserve"> </w:t>
            </w:r>
            <w:r w:rsidRPr="00EC20A0">
              <w:t>and</w:t>
            </w:r>
            <w:r w:rsidRPr="00EC20A0">
              <w:rPr>
                <w:spacing w:val="-6"/>
              </w:rPr>
              <w:t xml:space="preserve"> </w:t>
            </w:r>
            <w:r w:rsidRPr="00EC20A0">
              <w:t>reliable</w:t>
            </w:r>
            <w:r w:rsidRPr="00EC20A0">
              <w:rPr>
                <w:spacing w:val="-6"/>
              </w:rPr>
              <w:t xml:space="preserve"> </w:t>
            </w:r>
            <w:r w:rsidRPr="00EC20A0">
              <w:t>audit</w:t>
            </w:r>
            <w:r w:rsidRPr="00EC20A0">
              <w:rPr>
                <w:spacing w:val="-6"/>
              </w:rPr>
              <w:t xml:space="preserve"> </w:t>
            </w:r>
            <w:r w:rsidRPr="00EC20A0">
              <w:t>evidence</w:t>
            </w:r>
            <w:r w:rsidRPr="00EC20A0">
              <w:rPr>
                <w:spacing w:val="-6"/>
              </w:rPr>
              <w:t xml:space="preserve"> </w:t>
            </w:r>
            <w:r w:rsidRPr="00EC20A0">
              <w:t>when</w:t>
            </w:r>
            <w:r w:rsidRPr="00EC20A0">
              <w:rPr>
                <w:spacing w:val="-6"/>
              </w:rPr>
              <w:t xml:space="preserve"> </w:t>
            </w:r>
            <w:r w:rsidRPr="00EC20A0">
              <w:t xml:space="preserve">using substantive analytical </w:t>
            </w:r>
            <w:r w:rsidRPr="00EC20A0">
              <w:t>procedures and</w:t>
            </w:r>
          </w:p>
          <w:p w14:paraId="24D62643" w14:textId="77777777" w:rsidR="00245300" w:rsidRPr="00EC20A0" w:rsidRDefault="00F17249">
            <w:pPr>
              <w:pStyle w:val="TableParagraph"/>
              <w:numPr>
                <w:ilvl w:val="1"/>
                <w:numId w:val="48"/>
              </w:numPr>
              <w:tabs>
                <w:tab w:val="left" w:pos="1514"/>
              </w:tabs>
              <w:spacing w:before="240" w:line="237" w:lineRule="auto"/>
              <w:ind w:right="256"/>
              <w:rPr>
                <w:sz w:val="24"/>
              </w:rPr>
            </w:pPr>
            <w:r w:rsidRPr="00EC20A0">
              <w:t>design</w:t>
            </w:r>
            <w:r w:rsidRPr="00EC20A0">
              <w:rPr>
                <w:spacing w:val="-5"/>
              </w:rPr>
              <w:t xml:space="preserve"> </w:t>
            </w:r>
            <w:r w:rsidRPr="00EC20A0">
              <w:t>and</w:t>
            </w:r>
            <w:r w:rsidRPr="00EC20A0">
              <w:rPr>
                <w:spacing w:val="-6"/>
              </w:rPr>
              <w:t xml:space="preserve"> </w:t>
            </w:r>
            <w:r w:rsidRPr="00EC20A0">
              <w:t>perform</w:t>
            </w:r>
            <w:r w:rsidRPr="00EC20A0">
              <w:rPr>
                <w:spacing w:val="-5"/>
              </w:rPr>
              <w:t xml:space="preserve"> </w:t>
            </w:r>
            <w:r w:rsidRPr="00EC20A0">
              <w:t>analytical</w:t>
            </w:r>
            <w:r w:rsidRPr="00EC20A0">
              <w:rPr>
                <w:spacing w:val="-5"/>
              </w:rPr>
              <w:t xml:space="preserve"> </w:t>
            </w:r>
            <w:r w:rsidRPr="00EC20A0">
              <w:t>procedures</w:t>
            </w:r>
            <w:r w:rsidRPr="00EC20A0">
              <w:rPr>
                <w:spacing w:val="-5"/>
              </w:rPr>
              <w:t xml:space="preserve"> </w:t>
            </w:r>
            <w:r w:rsidRPr="00EC20A0">
              <w:t>near</w:t>
            </w:r>
            <w:r w:rsidRPr="00EC20A0">
              <w:rPr>
                <w:spacing w:val="-5"/>
              </w:rPr>
              <w:t xml:space="preserve"> </w:t>
            </w:r>
            <w:r w:rsidRPr="00EC20A0">
              <w:t>the</w:t>
            </w:r>
            <w:r w:rsidRPr="00EC20A0">
              <w:rPr>
                <w:spacing w:val="-5"/>
              </w:rPr>
              <w:t xml:space="preserve"> </w:t>
            </w:r>
            <w:r w:rsidRPr="00EC20A0">
              <w:t>end</w:t>
            </w:r>
            <w:r w:rsidRPr="00EC20A0">
              <w:rPr>
                <w:spacing w:val="-5"/>
              </w:rPr>
              <w:t xml:space="preserve"> </w:t>
            </w:r>
            <w:r w:rsidRPr="00EC20A0">
              <w:t>of the audit that assist the auditor when forming an overall conclusion about whether the financial statements are consistent with the auditor's understanding of the entity? (AU-C 520)</w:t>
            </w:r>
          </w:p>
        </w:tc>
        <w:tc>
          <w:tcPr>
            <w:tcW w:w="811" w:type="dxa"/>
            <w:tcBorders>
              <w:left w:val="single" w:sz="6" w:space="0" w:color="000000"/>
              <w:bottom w:val="single" w:sz="6" w:space="0" w:color="000000"/>
              <w:right w:val="single" w:sz="6" w:space="0" w:color="000000"/>
            </w:tcBorders>
          </w:tcPr>
          <w:p w14:paraId="24D62644" w14:textId="77777777" w:rsidR="00245300" w:rsidRPr="00EC20A0" w:rsidRDefault="00245300">
            <w:pPr>
              <w:pStyle w:val="TableParagraph"/>
            </w:pPr>
          </w:p>
        </w:tc>
        <w:tc>
          <w:tcPr>
            <w:tcW w:w="1349" w:type="dxa"/>
            <w:tcBorders>
              <w:left w:val="single" w:sz="6" w:space="0" w:color="000000"/>
              <w:bottom w:val="single" w:sz="6" w:space="0" w:color="000000"/>
            </w:tcBorders>
            <w:shd w:val="clear" w:color="auto" w:fill="BEBEBE"/>
          </w:tcPr>
          <w:p w14:paraId="24D62645" w14:textId="77777777" w:rsidR="00245300" w:rsidRPr="00EC20A0" w:rsidRDefault="00245300">
            <w:pPr>
              <w:pStyle w:val="TableParagraph"/>
            </w:pPr>
          </w:p>
        </w:tc>
      </w:tr>
      <w:tr w:rsidR="00245300" w:rsidRPr="00EC20A0" w14:paraId="24D6264A" w14:textId="77777777">
        <w:trPr>
          <w:trHeight w:val="1251"/>
        </w:trPr>
        <w:tc>
          <w:tcPr>
            <w:tcW w:w="7380" w:type="dxa"/>
            <w:tcBorders>
              <w:top w:val="single" w:sz="6" w:space="0" w:color="000000"/>
              <w:bottom w:val="single" w:sz="6" w:space="0" w:color="000000"/>
              <w:right w:val="single" w:sz="6" w:space="0" w:color="000000"/>
            </w:tcBorders>
          </w:tcPr>
          <w:p w14:paraId="24D62647" w14:textId="77777777" w:rsidR="00245300" w:rsidRPr="00EC20A0" w:rsidRDefault="00F17249">
            <w:pPr>
              <w:pStyle w:val="TableParagraph"/>
              <w:tabs>
                <w:tab w:val="left" w:pos="1203"/>
              </w:tabs>
              <w:spacing w:before="119"/>
              <w:ind w:left="1203" w:right="455" w:hanging="360"/>
            </w:pPr>
            <w:r w:rsidRPr="00EC20A0">
              <w:rPr>
                <w:spacing w:val="-6"/>
              </w:rPr>
              <w:t>l.</w:t>
            </w:r>
            <w:r w:rsidRPr="00EC20A0">
              <w:tab/>
              <w:t>Did the auditor, when using audit sampling, provide a reasonable</w:t>
            </w:r>
            <w:r w:rsidRPr="00EC20A0">
              <w:rPr>
                <w:spacing w:val="-6"/>
              </w:rPr>
              <w:t xml:space="preserve"> </w:t>
            </w:r>
            <w:r w:rsidRPr="00EC20A0">
              <w:t>basis</w:t>
            </w:r>
            <w:r w:rsidRPr="00EC20A0">
              <w:rPr>
                <w:spacing w:val="-4"/>
              </w:rPr>
              <w:t xml:space="preserve"> </w:t>
            </w:r>
            <w:r w:rsidRPr="00EC20A0">
              <w:t>for</w:t>
            </w:r>
            <w:r w:rsidRPr="00EC20A0">
              <w:rPr>
                <w:spacing w:val="-5"/>
              </w:rPr>
              <w:t xml:space="preserve"> </w:t>
            </w:r>
            <w:r w:rsidRPr="00EC20A0">
              <w:t>the</w:t>
            </w:r>
            <w:r w:rsidRPr="00EC20A0">
              <w:rPr>
                <w:spacing w:val="-6"/>
              </w:rPr>
              <w:t xml:space="preserve"> </w:t>
            </w:r>
            <w:r w:rsidRPr="00EC20A0">
              <w:t>auditor</w:t>
            </w:r>
            <w:r w:rsidRPr="00EC20A0">
              <w:rPr>
                <w:spacing w:val="-5"/>
              </w:rPr>
              <w:t xml:space="preserve"> </w:t>
            </w:r>
            <w:r w:rsidRPr="00EC20A0">
              <w:t>to</w:t>
            </w:r>
            <w:r w:rsidRPr="00EC20A0">
              <w:rPr>
                <w:spacing w:val="-5"/>
              </w:rPr>
              <w:t xml:space="preserve"> </w:t>
            </w:r>
            <w:r w:rsidRPr="00EC20A0">
              <w:t>draw</w:t>
            </w:r>
            <w:r w:rsidRPr="00EC20A0">
              <w:rPr>
                <w:spacing w:val="-6"/>
              </w:rPr>
              <w:t xml:space="preserve"> </w:t>
            </w:r>
            <w:r w:rsidRPr="00EC20A0">
              <w:t>conclusions</w:t>
            </w:r>
            <w:r w:rsidRPr="00EC20A0">
              <w:rPr>
                <w:spacing w:val="-5"/>
              </w:rPr>
              <w:t xml:space="preserve"> </w:t>
            </w:r>
            <w:r w:rsidRPr="00EC20A0">
              <w:t xml:space="preserve">about the population from which the sample is selected? (AU-C </w:t>
            </w:r>
            <w:r w:rsidRPr="00EC20A0">
              <w:rPr>
                <w:spacing w:val="-4"/>
              </w:rPr>
              <w:t>530)</w:t>
            </w:r>
          </w:p>
        </w:tc>
        <w:tc>
          <w:tcPr>
            <w:tcW w:w="811" w:type="dxa"/>
            <w:tcBorders>
              <w:top w:val="single" w:sz="6" w:space="0" w:color="000000"/>
              <w:left w:val="single" w:sz="6" w:space="0" w:color="000000"/>
              <w:bottom w:val="single" w:sz="6" w:space="0" w:color="000000"/>
              <w:right w:val="single" w:sz="6" w:space="0" w:color="000000"/>
            </w:tcBorders>
          </w:tcPr>
          <w:p w14:paraId="24D62648"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49" w14:textId="77777777" w:rsidR="00245300" w:rsidRPr="00EC20A0" w:rsidRDefault="00245300">
            <w:pPr>
              <w:pStyle w:val="TableParagraph"/>
            </w:pPr>
          </w:p>
        </w:tc>
      </w:tr>
      <w:tr w:rsidR="00245300" w:rsidRPr="00EC20A0" w14:paraId="24D6264E" w14:textId="77777777">
        <w:trPr>
          <w:trHeight w:val="1505"/>
        </w:trPr>
        <w:tc>
          <w:tcPr>
            <w:tcW w:w="7380" w:type="dxa"/>
            <w:tcBorders>
              <w:top w:val="single" w:sz="6" w:space="0" w:color="000000"/>
              <w:bottom w:val="single" w:sz="6" w:space="0" w:color="000000"/>
              <w:right w:val="single" w:sz="6" w:space="0" w:color="000000"/>
            </w:tcBorders>
          </w:tcPr>
          <w:p w14:paraId="24D6264B" w14:textId="77777777" w:rsidR="00245300" w:rsidRPr="00EC20A0" w:rsidRDefault="00F17249">
            <w:pPr>
              <w:pStyle w:val="TableParagraph"/>
              <w:spacing w:before="121"/>
              <w:ind w:left="1203" w:hanging="360"/>
            </w:pPr>
            <w:r w:rsidRPr="00EC20A0">
              <w:t>m.</w:t>
            </w:r>
            <w:r w:rsidRPr="00EC20A0">
              <w:rPr>
                <w:spacing w:val="40"/>
              </w:rPr>
              <w:t xml:space="preserve"> </w:t>
            </w:r>
            <w:r w:rsidRPr="00EC20A0">
              <w:t xml:space="preserve">Did the auditor obtain sufficient appropriate audit evidence about </w:t>
            </w:r>
            <w:r w:rsidRPr="00EC20A0">
              <w:t>whether accounting estimates and related note disclosures</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are</w:t>
            </w:r>
            <w:r w:rsidRPr="00EC20A0">
              <w:rPr>
                <w:spacing w:val="-5"/>
              </w:rPr>
              <w:t xml:space="preserve"> </w:t>
            </w:r>
            <w:r w:rsidRPr="00EC20A0">
              <w:t>reasonable,</w:t>
            </w:r>
            <w:r w:rsidRPr="00EC20A0">
              <w:rPr>
                <w:spacing w:val="-5"/>
              </w:rPr>
              <w:t xml:space="preserve"> </w:t>
            </w:r>
            <w:r w:rsidRPr="00EC20A0">
              <w:t>in</w:t>
            </w:r>
            <w:r w:rsidRPr="00EC20A0">
              <w:rPr>
                <w:spacing w:val="-5"/>
              </w:rPr>
              <w:t xml:space="preserve"> </w:t>
            </w:r>
            <w:r w:rsidRPr="00EC20A0">
              <w:t>the context of the applicable financial reporting framework (generally U.S. GAAP)</w:t>
            </w:r>
            <w:r w:rsidRPr="00EC20A0">
              <w:rPr>
                <w:spacing w:val="40"/>
              </w:rPr>
              <w:t xml:space="preserve"> </w:t>
            </w:r>
            <w:r w:rsidRPr="00EC20A0">
              <w:t>(AU-C 540)</w:t>
            </w:r>
          </w:p>
        </w:tc>
        <w:tc>
          <w:tcPr>
            <w:tcW w:w="811" w:type="dxa"/>
            <w:tcBorders>
              <w:top w:val="single" w:sz="6" w:space="0" w:color="000000"/>
              <w:left w:val="single" w:sz="6" w:space="0" w:color="000000"/>
              <w:bottom w:val="single" w:sz="6" w:space="0" w:color="000000"/>
              <w:right w:val="single" w:sz="6" w:space="0" w:color="000000"/>
            </w:tcBorders>
          </w:tcPr>
          <w:p w14:paraId="24D6264C"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4D" w14:textId="77777777" w:rsidR="00245300" w:rsidRPr="00EC20A0" w:rsidRDefault="00245300">
            <w:pPr>
              <w:pStyle w:val="TableParagraph"/>
            </w:pPr>
          </w:p>
        </w:tc>
      </w:tr>
      <w:tr w:rsidR="00245300" w:rsidRPr="00EC20A0" w14:paraId="24D62656" w14:textId="77777777">
        <w:trPr>
          <w:trHeight w:val="5607"/>
        </w:trPr>
        <w:tc>
          <w:tcPr>
            <w:tcW w:w="7380" w:type="dxa"/>
            <w:tcBorders>
              <w:top w:val="single" w:sz="6" w:space="0" w:color="000000"/>
              <w:bottom w:val="single" w:sz="6" w:space="0" w:color="000000"/>
              <w:right w:val="single" w:sz="6" w:space="0" w:color="000000"/>
            </w:tcBorders>
          </w:tcPr>
          <w:p w14:paraId="24D6264F" w14:textId="77777777" w:rsidR="00245300" w:rsidRPr="00EC20A0" w:rsidRDefault="00F17249">
            <w:pPr>
              <w:pStyle w:val="TableParagraph"/>
              <w:numPr>
                <w:ilvl w:val="0"/>
                <w:numId w:val="47"/>
              </w:numPr>
              <w:tabs>
                <w:tab w:val="left" w:pos="1202"/>
              </w:tabs>
              <w:spacing w:before="121"/>
              <w:ind w:left="1202" w:hanging="359"/>
            </w:pPr>
            <w:r w:rsidRPr="00EC20A0">
              <w:t>Did</w:t>
            </w:r>
            <w:r w:rsidRPr="00EC20A0">
              <w:rPr>
                <w:spacing w:val="-5"/>
              </w:rPr>
              <w:t xml:space="preserve"> </w:t>
            </w:r>
            <w:r w:rsidRPr="00EC20A0">
              <w:t>the</w:t>
            </w:r>
            <w:r w:rsidRPr="00EC20A0">
              <w:rPr>
                <w:spacing w:val="-4"/>
              </w:rPr>
              <w:t xml:space="preserve"> </w:t>
            </w:r>
            <w:r w:rsidRPr="00EC20A0">
              <w:t>auditor</w:t>
            </w:r>
            <w:r w:rsidRPr="00EC20A0">
              <w:rPr>
                <w:spacing w:val="-4"/>
              </w:rPr>
              <w:t xml:space="preserve"> </w:t>
            </w:r>
            <w:r w:rsidRPr="00EC20A0">
              <w:t>do</w:t>
            </w:r>
            <w:r w:rsidRPr="00EC20A0">
              <w:rPr>
                <w:spacing w:val="-4"/>
              </w:rPr>
              <w:t xml:space="preserve"> </w:t>
            </w:r>
            <w:r w:rsidRPr="00EC20A0">
              <w:t>the</w:t>
            </w:r>
            <w:r w:rsidRPr="00EC20A0">
              <w:rPr>
                <w:spacing w:val="-4"/>
              </w:rPr>
              <w:t xml:space="preserve"> </w:t>
            </w:r>
            <w:r w:rsidRPr="00EC20A0">
              <w:rPr>
                <w:spacing w:val="-2"/>
              </w:rPr>
              <w:t>following:</w:t>
            </w:r>
          </w:p>
          <w:p w14:paraId="24D62650" w14:textId="77777777" w:rsidR="00245300" w:rsidRPr="00EC20A0" w:rsidRDefault="00F17249">
            <w:pPr>
              <w:pStyle w:val="TableParagraph"/>
              <w:numPr>
                <w:ilvl w:val="1"/>
                <w:numId w:val="47"/>
              </w:numPr>
              <w:tabs>
                <w:tab w:val="left" w:pos="1514"/>
              </w:tabs>
              <w:spacing w:before="238"/>
              <w:ind w:right="208"/>
              <w:jc w:val="both"/>
            </w:pPr>
            <w:r w:rsidRPr="00EC20A0">
              <w:t>Obtain</w:t>
            </w:r>
            <w:r w:rsidRPr="00EC20A0">
              <w:rPr>
                <w:spacing w:val="-7"/>
              </w:rPr>
              <w:t xml:space="preserve"> </w:t>
            </w:r>
            <w:r w:rsidRPr="00EC20A0">
              <w:t>an</w:t>
            </w:r>
            <w:r w:rsidRPr="00EC20A0">
              <w:rPr>
                <w:spacing w:val="-7"/>
              </w:rPr>
              <w:t xml:space="preserve"> </w:t>
            </w:r>
            <w:r w:rsidRPr="00EC20A0">
              <w:t>understanding</w:t>
            </w:r>
            <w:r w:rsidRPr="00EC20A0">
              <w:rPr>
                <w:spacing w:val="-7"/>
              </w:rPr>
              <w:t xml:space="preserve"> </w:t>
            </w:r>
            <w:r w:rsidRPr="00EC20A0">
              <w:t>of</w:t>
            </w:r>
            <w:r w:rsidRPr="00EC20A0">
              <w:rPr>
                <w:spacing w:val="-7"/>
              </w:rPr>
              <w:t xml:space="preserve"> </w:t>
            </w:r>
            <w:r w:rsidRPr="00EC20A0">
              <w:t>relationships</w:t>
            </w:r>
            <w:r w:rsidRPr="00EC20A0">
              <w:rPr>
                <w:spacing w:val="-7"/>
              </w:rPr>
              <w:t xml:space="preserve"> </w:t>
            </w:r>
            <w:r w:rsidRPr="00EC20A0">
              <w:t>and</w:t>
            </w:r>
            <w:r w:rsidRPr="00EC20A0">
              <w:rPr>
                <w:spacing w:val="-7"/>
              </w:rPr>
              <w:t xml:space="preserve"> </w:t>
            </w:r>
            <w:r w:rsidRPr="00EC20A0">
              <w:t>transactions with disclosure entities, related parties, and public-private partnerships sufficient to be able to</w:t>
            </w:r>
          </w:p>
          <w:p w14:paraId="24D62651" w14:textId="77777777" w:rsidR="00245300" w:rsidRPr="00EC20A0" w:rsidRDefault="00F17249">
            <w:pPr>
              <w:pStyle w:val="TableParagraph"/>
              <w:spacing w:before="246"/>
              <w:ind w:left="1877" w:hanging="360"/>
            </w:pPr>
            <w:r w:rsidRPr="00EC20A0">
              <w:t>º</w:t>
            </w:r>
            <w:r w:rsidRPr="00EC20A0">
              <w:rPr>
                <w:spacing w:val="40"/>
              </w:rPr>
              <w:t xml:space="preserve"> </w:t>
            </w:r>
            <w:r w:rsidRPr="00EC20A0">
              <w:t>recognize</w:t>
            </w:r>
            <w:r w:rsidRPr="00EC20A0">
              <w:rPr>
                <w:spacing w:val="-4"/>
              </w:rPr>
              <w:t xml:space="preserve"> </w:t>
            </w:r>
            <w:r w:rsidRPr="00EC20A0">
              <w:t>fraud</w:t>
            </w:r>
            <w:r w:rsidRPr="00EC20A0">
              <w:rPr>
                <w:spacing w:val="-4"/>
              </w:rPr>
              <w:t xml:space="preserve"> </w:t>
            </w:r>
            <w:r w:rsidRPr="00EC20A0">
              <w:t>risk</w:t>
            </w:r>
            <w:r w:rsidRPr="00EC20A0">
              <w:rPr>
                <w:spacing w:val="-4"/>
              </w:rPr>
              <w:t xml:space="preserve"> </w:t>
            </w:r>
            <w:r w:rsidRPr="00EC20A0">
              <w:t>factors,</w:t>
            </w:r>
            <w:r w:rsidRPr="00EC20A0">
              <w:rPr>
                <w:spacing w:val="-4"/>
              </w:rPr>
              <w:t xml:space="preserve"> </w:t>
            </w:r>
            <w:r w:rsidRPr="00EC20A0">
              <w:t>if</w:t>
            </w:r>
            <w:r w:rsidRPr="00EC20A0">
              <w:rPr>
                <w:spacing w:val="-4"/>
              </w:rPr>
              <w:t xml:space="preserve"> </w:t>
            </w:r>
            <w:r w:rsidRPr="00EC20A0">
              <w:t>any,</w:t>
            </w:r>
            <w:r w:rsidRPr="00EC20A0">
              <w:rPr>
                <w:spacing w:val="-4"/>
              </w:rPr>
              <w:t xml:space="preserve"> </w:t>
            </w:r>
            <w:r w:rsidRPr="00EC20A0">
              <w:t>arising</w:t>
            </w:r>
            <w:r w:rsidRPr="00EC20A0">
              <w:rPr>
                <w:spacing w:val="-4"/>
              </w:rPr>
              <w:t xml:space="preserve"> </w:t>
            </w:r>
            <w:r w:rsidRPr="00EC20A0">
              <w:t>from</w:t>
            </w:r>
            <w:r w:rsidRPr="00EC20A0">
              <w:rPr>
                <w:spacing w:val="-4"/>
              </w:rPr>
              <w:t xml:space="preserve"> </w:t>
            </w:r>
            <w:r w:rsidRPr="00EC20A0">
              <w:t>such relationships and transactions that are relevant to identifying and assessing the risks of material misstatement due to fraud and</w:t>
            </w:r>
          </w:p>
          <w:p w14:paraId="24D62652" w14:textId="77777777" w:rsidR="00245300" w:rsidRPr="00EC20A0" w:rsidRDefault="00F17249">
            <w:pPr>
              <w:pStyle w:val="TableParagraph"/>
              <w:spacing w:before="250"/>
              <w:ind w:left="1877" w:right="141" w:hanging="360"/>
            </w:pPr>
            <w:r w:rsidRPr="00EC20A0">
              <w:t>º</w:t>
            </w:r>
            <w:r w:rsidRPr="00EC20A0">
              <w:rPr>
                <w:spacing w:val="40"/>
              </w:rPr>
              <w:t xml:space="preserve"> </w:t>
            </w:r>
            <w:r w:rsidRPr="00EC20A0">
              <w:t>conclude, based on the audit evidence obtained, whether</w:t>
            </w:r>
            <w:r w:rsidRPr="00EC20A0">
              <w:rPr>
                <w:spacing w:val="-6"/>
              </w:rPr>
              <w:t xml:space="preserve"> </w:t>
            </w:r>
            <w:r w:rsidRPr="00EC20A0">
              <w:t>the</w:t>
            </w:r>
            <w:r w:rsidRPr="00EC20A0">
              <w:rPr>
                <w:spacing w:val="-6"/>
              </w:rPr>
              <w:t xml:space="preserve"> </w:t>
            </w:r>
            <w:r w:rsidRPr="00EC20A0">
              <w:t>financial</w:t>
            </w:r>
            <w:r w:rsidRPr="00EC20A0">
              <w:rPr>
                <w:spacing w:val="-7"/>
              </w:rPr>
              <w:t xml:space="preserve"> </w:t>
            </w:r>
            <w:r w:rsidRPr="00EC20A0">
              <w:t>statements,</w:t>
            </w:r>
            <w:r w:rsidRPr="00EC20A0">
              <w:rPr>
                <w:spacing w:val="-6"/>
              </w:rPr>
              <w:t xml:space="preserve"> </w:t>
            </w:r>
            <w:r w:rsidRPr="00EC20A0">
              <w:t>insofar</w:t>
            </w:r>
            <w:r w:rsidRPr="00EC20A0">
              <w:rPr>
                <w:spacing w:val="-6"/>
              </w:rPr>
              <w:t xml:space="preserve"> </w:t>
            </w:r>
            <w:r w:rsidRPr="00EC20A0">
              <w:t>as</w:t>
            </w:r>
            <w:r w:rsidRPr="00EC20A0">
              <w:rPr>
                <w:spacing w:val="-6"/>
              </w:rPr>
              <w:t xml:space="preserve"> </w:t>
            </w:r>
            <w:r w:rsidRPr="00EC20A0">
              <w:t>they</w:t>
            </w:r>
            <w:r w:rsidRPr="00EC20A0">
              <w:rPr>
                <w:spacing w:val="-7"/>
              </w:rPr>
              <w:t xml:space="preserve"> </w:t>
            </w:r>
            <w:r w:rsidRPr="00EC20A0">
              <w:t xml:space="preserve">are affected by those relationships and transactions, achieve fair </w:t>
            </w:r>
            <w:r w:rsidRPr="00EC20A0">
              <w:t>presentation?</w:t>
            </w:r>
          </w:p>
          <w:p w14:paraId="24D62653" w14:textId="77777777" w:rsidR="00245300" w:rsidRPr="00EC20A0" w:rsidRDefault="00F17249">
            <w:pPr>
              <w:pStyle w:val="TableParagraph"/>
              <w:numPr>
                <w:ilvl w:val="1"/>
                <w:numId w:val="47"/>
              </w:numPr>
              <w:tabs>
                <w:tab w:val="left" w:pos="1514"/>
              </w:tabs>
              <w:spacing w:before="242" w:line="237" w:lineRule="auto"/>
              <w:ind w:right="146"/>
              <w:rPr>
                <w:sz w:val="24"/>
              </w:rPr>
            </w:pPr>
            <w:r w:rsidRPr="00EC20A0">
              <w:t>Obtain</w:t>
            </w:r>
            <w:r w:rsidRPr="00EC20A0">
              <w:rPr>
                <w:spacing w:val="-7"/>
              </w:rPr>
              <w:t xml:space="preserve"> </w:t>
            </w:r>
            <w:r w:rsidRPr="00EC20A0">
              <w:t>sufficient</w:t>
            </w:r>
            <w:r w:rsidRPr="00EC20A0">
              <w:rPr>
                <w:spacing w:val="-7"/>
              </w:rPr>
              <w:t xml:space="preserve"> </w:t>
            </w:r>
            <w:r w:rsidRPr="00EC20A0">
              <w:t>appropriate</w:t>
            </w:r>
            <w:r w:rsidRPr="00EC20A0">
              <w:rPr>
                <w:spacing w:val="-7"/>
              </w:rPr>
              <w:t xml:space="preserve"> </w:t>
            </w:r>
            <w:r w:rsidRPr="00EC20A0">
              <w:t>audit</w:t>
            </w:r>
            <w:r w:rsidRPr="00EC20A0">
              <w:rPr>
                <w:spacing w:val="-7"/>
              </w:rPr>
              <w:t xml:space="preserve"> </w:t>
            </w:r>
            <w:r w:rsidRPr="00EC20A0">
              <w:t>evidence</w:t>
            </w:r>
            <w:r w:rsidRPr="00EC20A0">
              <w:rPr>
                <w:spacing w:val="-7"/>
              </w:rPr>
              <w:t xml:space="preserve"> </w:t>
            </w:r>
            <w:r w:rsidRPr="00EC20A0">
              <w:t>about</w:t>
            </w:r>
            <w:r w:rsidRPr="00EC20A0">
              <w:rPr>
                <w:spacing w:val="-7"/>
              </w:rPr>
              <w:t xml:space="preserve"> </w:t>
            </w:r>
            <w:r w:rsidRPr="00EC20A0">
              <w:t>whether relationships and transactions with disclosure entities, related parties, and public-private partnerships have been appropriately identified, accounted for, and disclosed in the financial statements? (AU-C 550)</w:t>
            </w:r>
          </w:p>
        </w:tc>
        <w:tc>
          <w:tcPr>
            <w:tcW w:w="811" w:type="dxa"/>
            <w:tcBorders>
              <w:top w:val="single" w:sz="6" w:space="0" w:color="000000"/>
              <w:left w:val="single" w:sz="6" w:space="0" w:color="000000"/>
              <w:bottom w:val="single" w:sz="6" w:space="0" w:color="000000"/>
              <w:right w:val="single" w:sz="6" w:space="0" w:color="000000"/>
            </w:tcBorders>
          </w:tcPr>
          <w:p w14:paraId="24D62654"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55" w14:textId="77777777" w:rsidR="00245300" w:rsidRPr="00EC20A0" w:rsidRDefault="00245300">
            <w:pPr>
              <w:pStyle w:val="TableParagraph"/>
            </w:pPr>
          </w:p>
        </w:tc>
      </w:tr>
    </w:tbl>
    <w:p w14:paraId="24D62657" w14:textId="77777777" w:rsidR="00245300" w:rsidRPr="00EC20A0" w:rsidRDefault="00245300">
      <w:pPr>
        <w:sectPr w:rsidR="00245300" w:rsidRPr="00EC20A0">
          <w:pgSz w:w="12240" w:h="15840"/>
          <w:pgMar w:top="1340" w:right="460" w:bottom="940" w:left="560" w:header="721" w:footer="757" w:gutter="0"/>
          <w:cols w:space="720"/>
        </w:sectPr>
      </w:pPr>
    </w:p>
    <w:p w14:paraId="24D62658"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65F" w14:textId="77777777">
        <w:trPr>
          <w:trHeight w:val="936"/>
        </w:trPr>
        <w:tc>
          <w:tcPr>
            <w:tcW w:w="7380" w:type="dxa"/>
            <w:tcBorders>
              <w:right w:val="single" w:sz="8" w:space="0" w:color="000000"/>
            </w:tcBorders>
            <w:shd w:val="clear" w:color="auto" w:fill="A6A6A6"/>
          </w:tcPr>
          <w:p w14:paraId="24D62659" w14:textId="77777777" w:rsidR="00245300" w:rsidRPr="00EC20A0" w:rsidRDefault="00245300">
            <w:pPr>
              <w:pStyle w:val="TableParagraph"/>
              <w:spacing w:before="266"/>
              <w:rPr>
                <w:b/>
                <w:sz w:val="24"/>
              </w:rPr>
            </w:pPr>
          </w:p>
          <w:p w14:paraId="24D6265A"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65B"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65C" w14:textId="77777777" w:rsidR="00245300" w:rsidRPr="00EC20A0" w:rsidRDefault="00245300">
            <w:pPr>
              <w:pStyle w:val="TableParagraph"/>
              <w:rPr>
                <w:b/>
              </w:rPr>
            </w:pPr>
          </w:p>
          <w:p w14:paraId="24D6265D" w14:textId="77777777" w:rsidR="00245300" w:rsidRPr="00EC20A0" w:rsidRDefault="00245300">
            <w:pPr>
              <w:pStyle w:val="TableParagraph"/>
              <w:spacing w:before="120"/>
              <w:rPr>
                <w:b/>
              </w:rPr>
            </w:pPr>
          </w:p>
          <w:p w14:paraId="24D6265E"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665" w14:textId="77777777">
        <w:trPr>
          <w:trHeight w:val="3806"/>
        </w:trPr>
        <w:tc>
          <w:tcPr>
            <w:tcW w:w="7380" w:type="dxa"/>
            <w:tcBorders>
              <w:bottom w:val="single" w:sz="6" w:space="0" w:color="000000"/>
              <w:right w:val="single" w:sz="6" w:space="0" w:color="000000"/>
            </w:tcBorders>
          </w:tcPr>
          <w:p w14:paraId="24D62660" w14:textId="77777777" w:rsidR="00245300" w:rsidRPr="00EC20A0" w:rsidRDefault="00F17249">
            <w:pPr>
              <w:pStyle w:val="TableParagraph"/>
              <w:numPr>
                <w:ilvl w:val="0"/>
                <w:numId w:val="46"/>
              </w:numPr>
              <w:tabs>
                <w:tab w:val="left" w:pos="1202"/>
              </w:tabs>
              <w:spacing w:before="121"/>
              <w:ind w:left="1202" w:hanging="359"/>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661" w14:textId="77777777" w:rsidR="00245300" w:rsidRPr="00EC20A0" w:rsidRDefault="00F17249">
            <w:pPr>
              <w:pStyle w:val="TableParagraph"/>
              <w:numPr>
                <w:ilvl w:val="1"/>
                <w:numId w:val="46"/>
              </w:numPr>
              <w:tabs>
                <w:tab w:val="left" w:pos="1513"/>
              </w:tabs>
              <w:spacing w:before="240"/>
              <w:ind w:right="159"/>
            </w:pPr>
            <w:r w:rsidRPr="00EC20A0">
              <w:t>obtain sufficient appropriate audit evidence about</w:t>
            </w:r>
            <w:r w:rsidRPr="00EC20A0">
              <w:rPr>
                <w:spacing w:val="-1"/>
              </w:rPr>
              <w:t xml:space="preserve"> </w:t>
            </w:r>
            <w:r w:rsidRPr="00EC20A0">
              <w:t xml:space="preserve">whether events occurring between the date of the financial </w:t>
            </w:r>
            <w:r w:rsidRPr="00EC20A0">
              <w:t>statements</w:t>
            </w:r>
            <w:r w:rsidRPr="00EC20A0">
              <w:rPr>
                <w:spacing w:val="-4"/>
              </w:rPr>
              <w:t xml:space="preserve"> </w:t>
            </w:r>
            <w:r w:rsidRPr="00EC20A0">
              <w:t>and</w:t>
            </w:r>
            <w:r w:rsidRPr="00EC20A0">
              <w:rPr>
                <w:spacing w:val="-4"/>
              </w:rPr>
              <w:t xml:space="preserve"> </w:t>
            </w:r>
            <w:r w:rsidRPr="00EC20A0">
              <w:t>the</w:t>
            </w:r>
            <w:r w:rsidRPr="00EC20A0">
              <w:rPr>
                <w:spacing w:val="-4"/>
              </w:rPr>
              <w:t xml:space="preserve"> </w:t>
            </w:r>
            <w:r w:rsidRPr="00EC20A0">
              <w:t>date</w:t>
            </w:r>
            <w:r w:rsidRPr="00EC20A0">
              <w:rPr>
                <w:spacing w:val="-5"/>
              </w:rPr>
              <w:t xml:space="preserve"> </w:t>
            </w:r>
            <w:r w:rsidRPr="00EC20A0">
              <w:t>of</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t>that</w:t>
            </w:r>
            <w:r w:rsidRPr="00EC20A0">
              <w:rPr>
                <w:spacing w:val="-4"/>
              </w:rPr>
              <w:t xml:space="preserve"> </w:t>
            </w:r>
            <w:r w:rsidRPr="00EC20A0">
              <w:t>require adjustment of, or disclosure in, the financial statements are appropriately reflected in those financial statements in accordance with the applicable financial reporting framework (generally U.S. GAAP) and</w:t>
            </w:r>
          </w:p>
          <w:p w14:paraId="24D62662" w14:textId="77777777" w:rsidR="00245300" w:rsidRPr="00EC20A0" w:rsidRDefault="00F17249">
            <w:pPr>
              <w:pStyle w:val="TableParagraph"/>
              <w:numPr>
                <w:ilvl w:val="1"/>
                <w:numId w:val="46"/>
              </w:numPr>
              <w:tabs>
                <w:tab w:val="left" w:pos="1514"/>
              </w:tabs>
              <w:spacing w:before="241" w:line="237" w:lineRule="auto"/>
              <w:ind w:left="1514" w:right="292"/>
              <w:jc w:val="both"/>
              <w:rPr>
                <w:sz w:val="24"/>
              </w:rPr>
            </w:pPr>
            <w:r w:rsidRPr="00EC20A0">
              <w:t>respond appropriately to facts that become known to the auditor after</w:t>
            </w:r>
            <w:r w:rsidRPr="00EC20A0">
              <w:rPr>
                <w:spacing w:val="-1"/>
              </w:rPr>
              <w:t xml:space="preserve"> </w:t>
            </w:r>
            <w:r w:rsidRPr="00EC20A0">
              <w:t>the date of the auditor’s</w:t>
            </w:r>
            <w:r w:rsidRPr="00EC20A0">
              <w:rPr>
                <w:spacing w:val="-1"/>
              </w:rPr>
              <w:t xml:space="preserve"> </w:t>
            </w:r>
            <w:r w:rsidRPr="00EC20A0">
              <w:t>report that had they been</w:t>
            </w:r>
            <w:r w:rsidRPr="00EC20A0">
              <w:rPr>
                <w:spacing w:val="-4"/>
              </w:rPr>
              <w:t xml:space="preserve"> </w:t>
            </w:r>
            <w:r w:rsidRPr="00EC20A0">
              <w:t>known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at</w:t>
            </w:r>
            <w:r w:rsidRPr="00EC20A0">
              <w:rPr>
                <w:spacing w:val="-4"/>
              </w:rPr>
              <w:t xml:space="preserve"> </w:t>
            </w:r>
            <w:r w:rsidRPr="00EC20A0">
              <w:t>that</w:t>
            </w:r>
            <w:r w:rsidRPr="00EC20A0">
              <w:rPr>
                <w:spacing w:val="-4"/>
              </w:rPr>
              <w:t xml:space="preserve"> </w:t>
            </w:r>
            <w:r w:rsidRPr="00EC20A0">
              <w:t>date,</w:t>
            </w:r>
            <w:r w:rsidRPr="00EC20A0">
              <w:rPr>
                <w:spacing w:val="-4"/>
              </w:rPr>
              <w:t xml:space="preserve"> </w:t>
            </w:r>
            <w:r w:rsidRPr="00EC20A0">
              <w:t>may</w:t>
            </w:r>
            <w:r w:rsidRPr="00EC20A0">
              <w:rPr>
                <w:spacing w:val="-4"/>
              </w:rPr>
              <w:t xml:space="preserve"> </w:t>
            </w:r>
            <w:r w:rsidRPr="00EC20A0">
              <w:t>have</w:t>
            </w:r>
            <w:r w:rsidRPr="00EC20A0">
              <w:rPr>
                <w:spacing w:val="-4"/>
              </w:rPr>
              <w:t xml:space="preserve"> </w:t>
            </w:r>
            <w:r w:rsidRPr="00EC20A0">
              <w:t>caused the auditor to revise the auditor’s report? (AU-C 560)</w:t>
            </w:r>
          </w:p>
        </w:tc>
        <w:tc>
          <w:tcPr>
            <w:tcW w:w="811" w:type="dxa"/>
            <w:tcBorders>
              <w:left w:val="single" w:sz="6" w:space="0" w:color="000000"/>
              <w:bottom w:val="single" w:sz="6" w:space="0" w:color="000000"/>
              <w:right w:val="single" w:sz="6" w:space="0" w:color="000000"/>
            </w:tcBorders>
          </w:tcPr>
          <w:p w14:paraId="24D62663" w14:textId="77777777" w:rsidR="00245300" w:rsidRPr="00EC20A0" w:rsidRDefault="00245300">
            <w:pPr>
              <w:pStyle w:val="TableParagraph"/>
            </w:pPr>
          </w:p>
        </w:tc>
        <w:tc>
          <w:tcPr>
            <w:tcW w:w="1349" w:type="dxa"/>
            <w:tcBorders>
              <w:left w:val="single" w:sz="6" w:space="0" w:color="000000"/>
              <w:bottom w:val="single" w:sz="6" w:space="0" w:color="000000"/>
            </w:tcBorders>
            <w:shd w:val="clear" w:color="auto" w:fill="BEBEBE"/>
          </w:tcPr>
          <w:p w14:paraId="24D62664" w14:textId="77777777" w:rsidR="00245300" w:rsidRPr="00EC20A0" w:rsidRDefault="00245300">
            <w:pPr>
              <w:pStyle w:val="TableParagraph"/>
            </w:pPr>
          </w:p>
        </w:tc>
      </w:tr>
      <w:tr w:rsidR="00245300" w:rsidRPr="00EC20A0" w14:paraId="24D62669" w14:textId="77777777">
        <w:trPr>
          <w:trHeight w:val="2010"/>
        </w:trPr>
        <w:tc>
          <w:tcPr>
            <w:tcW w:w="7380" w:type="dxa"/>
            <w:tcBorders>
              <w:top w:val="single" w:sz="6" w:space="0" w:color="000000"/>
              <w:bottom w:val="single" w:sz="6" w:space="0" w:color="000000"/>
              <w:right w:val="single" w:sz="6" w:space="0" w:color="000000"/>
            </w:tcBorders>
          </w:tcPr>
          <w:p w14:paraId="24D62666" w14:textId="77777777" w:rsidR="00245300" w:rsidRPr="00EC20A0" w:rsidRDefault="00F17249">
            <w:pPr>
              <w:pStyle w:val="TableParagraph"/>
              <w:spacing w:before="119"/>
              <w:ind w:left="1203" w:right="197" w:hanging="360"/>
            </w:pPr>
            <w:r w:rsidRPr="00EC20A0">
              <w:t>p.</w:t>
            </w:r>
            <w:r w:rsidRPr="00EC20A0">
              <w:rPr>
                <w:spacing w:val="80"/>
              </w:rPr>
              <w:t xml:space="preserve"> </w:t>
            </w:r>
            <w:r w:rsidRPr="00EC20A0">
              <w:t xml:space="preserve">If the </w:t>
            </w:r>
            <w:r w:rsidRPr="00EC20A0">
              <w:t>auditor is a predecessor auditor who is requested to reissue a previously issued auditor’s report on financial statements that are to be presented on a comparative basis with</w:t>
            </w:r>
            <w:r w:rsidRPr="00EC20A0">
              <w:rPr>
                <w:spacing w:val="-5"/>
              </w:rPr>
              <w:t xml:space="preserve"> </w:t>
            </w:r>
            <w:r w:rsidRPr="00EC20A0">
              <w:t>audited</w:t>
            </w:r>
            <w:r w:rsidRPr="00EC20A0">
              <w:rPr>
                <w:spacing w:val="-6"/>
              </w:rPr>
              <w:t xml:space="preserve"> </w:t>
            </w:r>
            <w:r w:rsidRPr="00EC20A0">
              <w:t>financial</w:t>
            </w:r>
            <w:r w:rsidRPr="00EC20A0">
              <w:rPr>
                <w:spacing w:val="-6"/>
              </w:rPr>
              <w:t xml:space="preserve"> </w:t>
            </w:r>
            <w:r w:rsidRPr="00EC20A0">
              <w:t>statements</w:t>
            </w:r>
            <w:r w:rsidRPr="00EC20A0">
              <w:rPr>
                <w:spacing w:val="-5"/>
              </w:rPr>
              <w:t xml:space="preserve"> </w:t>
            </w:r>
            <w:r w:rsidRPr="00EC20A0">
              <w:t>of</w:t>
            </w:r>
            <w:r w:rsidRPr="00EC20A0">
              <w:rPr>
                <w:spacing w:val="-5"/>
              </w:rPr>
              <w:t xml:space="preserve"> </w:t>
            </w:r>
            <w:r w:rsidRPr="00EC20A0">
              <w:t>a</w:t>
            </w:r>
            <w:r w:rsidRPr="00EC20A0">
              <w:rPr>
                <w:spacing w:val="-5"/>
              </w:rPr>
              <w:t xml:space="preserve"> </w:t>
            </w:r>
            <w:r w:rsidRPr="00EC20A0">
              <w:t>subsequent</w:t>
            </w:r>
            <w:r w:rsidRPr="00EC20A0">
              <w:rPr>
                <w:spacing w:val="-6"/>
              </w:rPr>
              <w:t xml:space="preserve"> </w:t>
            </w:r>
            <w:r w:rsidRPr="00EC20A0">
              <w:t>period,</w:t>
            </w:r>
            <w:r w:rsidRPr="00EC20A0">
              <w:rPr>
                <w:spacing w:val="-5"/>
              </w:rPr>
              <w:t xml:space="preserve"> </w:t>
            </w:r>
            <w:r w:rsidRPr="00EC20A0">
              <w:t>did the auditor perform specified procedures to determine whether the previously issued auditor’s report is still appropriate before such report is reissued? (AU-C 560)</w:t>
            </w:r>
          </w:p>
        </w:tc>
        <w:tc>
          <w:tcPr>
            <w:tcW w:w="811" w:type="dxa"/>
            <w:tcBorders>
              <w:top w:val="single" w:sz="6" w:space="0" w:color="000000"/>
              <w:left w:val="single" w:sz="6" w:space="0" w:color="000000"/>
              <w:bottom w:val="single" w:sz="6" w:space="0" w:color="000000"/>
              <w:right w:val="single" w:sz="6" w:space="0" w:color="000000"/>
            </w:tcBorders>
          </w:tcPr>
          <w:p w14:paraId="24D62667"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68" w14:textId="77777777" w:rsidR="00245300" w:rsidRPr="00EC20A0" w:rsidRDefault="00245300">
            <w:pPr>
              <w:pStyle w:val="TableParagraph"/>
            </w:pPr>
          </w:p>
        </w:tc>
      </w:tr>
      <w:tr w:rsidR="00245300" w:rsidRPr="00EC20A0" w14:paraId="24D62670" w14:textId="77777777">
        <w:trPr>
          <w:trHeight w:val="3808"/>
        </w:trPr>
        <w:tc>
          <w:tcPr>
            <w:tcW w:w="7380" w:type="dxa"/>
            <w:tcBorders>
              <w:top w:val="single" w:sz="6" w:space="0" w:color="000000"/>
              <w:bottom w:val="single" w:sz="6" w:space="0" w:color="000000"/>
              <w:right w:val="single" w:sz="6" w:space="0" w:color="000000"/>
            </w:tcBorders>
          </w:tcPr>
          <w:p w14:paraId="24D6266A" w14:textId="77777777" w:rsidR="00245300" w:rsidRPr="00EC20A0" w:rsidRDefault="00F17249">
            <w:pPr>
              <w:pStyle w:val="TableParagraph"/>
              <w:numPr>
                <w:ilvl w:val="0"/>
                <w:numId w:val="45"/>
              </w:numPr>
              <w:tabs>
                <w:tab w:val="left" w:pos="1202"/>
              </w:tabs>
              <w:spacing w:before="121"/>
              <w:ind w:left="1202" w:hanging="359"/>
            </w:pPr>
            <w:r w:rsidRPr="00EC20A0">
              <w:t>For</w:t>
            </w:r>
            <w:r w:rsidRPr="00EC20A0">
              <w:rPr>
                <w:spacing w:val="-6"/>
              </w:rPr>
              <w:t xml:space="preserve"> </w:t>
            </w:r>
            <w:r w:rsidRPr="00EC20A0">
              <w:t>entities</w:t>
            </w:r>
            <w:r w:rsidRPr="00EC20A0">
              <w:rPr>
                <w:spacing w:val="-6"/>
              </w:rPr>
              <w:t xml:space="preserve"> </w:t>
            </w:r>
            <w:r w:rsidRPr="00EC20A0">
              <w:t>that</w:t>
            </w:r>
            <w:r w:rsidRPr="00EC20A0">
              <w:rPr>
                <w:spacing w:val="-5"/>
              </w:rPr>
              <w:t xml:space="preserve"> </w:t>
            </w:r>
            <w:r w:rsidRPr="00EC20A0">
              <w:t>conform</w:t>
            </w:r>
            <w:r w:rsidRPr="00EC20A0">
              <w:rPr>
                <w:spacing w:val="-7"/>
              </w:rPr>
              <w:t xml:space="preserve"> </w:t>
            </w:r>
            <w:r w:rsidRPr="00EC20A0">
              <w:t>to</w:t>
            </w:r>
            <w:r w:rsidRPr="00EC20A0">
              <w:rPr>
                <w:spacing w:val="-5"/>
              </w:rPr>
              <w:t xml:space="preserve"> </w:t>
            </w:r>
            <w:r w:rsidRPr="00EC20A0">
              <w:t>FASB</w:t>
            </w:r>
            <w:r w:rsidRPr="00EC20A0">
              <w:rPr>
                <w:spacing w:val="-6"/>
              </w:rPr>
              <w:t xml:space="preserve"> </w:t>
            </w:r>
            <w:r w:rsidRPr="00EC20A0">
              <w:t>standards,</w:t>
            </w:r>
            <w:r w:rsidRPr="00EC20A0">
              <w:rPr>
                <w:spacing w:val="-5"/>
              </w:rPr>
              <w:t xml:space="preserve"> </w:t>
            </w:r>
            <w:r w:rsidRPr="00EC20A0">
              <w:t>did</w:t>
            </w:r>
            <w:r w:rsidRPr="00EC20A0">
              <w:rPr>
                <w:spacing w:val="-6"/>
              </w:rPr>
              <w:t xml:space="preserve"> </w:t>
            </w:r>
            <w:r w:rsidRPr="00EC20A0">
              <w:t>the</w:t>
            </w:r>
            <w:r w:rsidRPr="00EC20A0">
              <w:rPr>
                <w:spacing w:val="-5"/>
              </w:rPr>
              <w:t xml:space="preserve"> </w:t>
            </w:r>
            <w:r w:rsidRPr="00EC20A0">
              <w:rPr>
                <w:spacing w:val="-2"/>
              </w:rPr>
              <w:t>auditor</w:t>
            </w:r>
          </w:p>
          <w:p w14:paraId="24D6266B" w14:textId="77777777" w:rsidR="00245300" w:rsidRPr="00EC20A0" w:rsidRDefault="00F17249">
            <w:pPr>
              <w:pStyle w:val="TableParagraph"/>
              <w:numPr>
                <w:ilvl w:val="1"/>
                <w:numId w:val="45"/>
              </w:numPr>
              <w:tabs>
                <w:tab w:val="left" w:pos="1512"/>
                <w:tab w:val="left" w:pos="1514"/>
              </w:tabs>
              <w:spacing w:before="239"/>
              <w:ind w:right="598" w:hanging="271"/>
            </w:pPr>
            <w:r w:rsidRPr="00EC20A0">
              <w:t xml:space="preserve">evaluate and conclude, based on the audit </w:t>
            </w:r>
            <w:r w:rsidRPr="00EC20A0">
              <w:t>evidence obtained,</w:t>
            </w:r>
            <w:r w:rsidRPr="00EC20A0">
              <w:rPr>
                <w:spacing w:val="-6"/>
              </w:rPr>
              <w:t xml:space="preserve"> </w:t>
            </w:r>
            <w:r w:rsidRPr="00EC20A0">
              <w:t>whether</w:t>
            </w:r>
            <w:r w:rsidRPr="00EC20A0">
              <w:rPr>
                <w:spacing w:val="-6"/>
              </w:rPr>
              <w:t xml:space="preserve"> </w:t>
            </w:r>
            <w:r w:rsidRPr="00EC20A0">
              <w:t>there</w:t>
            </w:r>
            <w:r w:rsidRPr="00EC20A0">
              <w:rPr>
                <w:spacing w:val="-6"/>
              </w:rPr>
              <w:t xml:space="preserve"> </w:t>
            </w:r>
            <w:r w:rsidRPr="00EC20A0">
              <w:t>is</w:t>
            </w:r>
            <w:r w:rsidRPr="00EC20A0">
              <w:rPr>
                <w:spacing w:val="-6"/>
              </w:rPr>
              <w:t xml:space="preserve"> </w:t>
            </w:r>
            <w:r w:rsidRPr="00EC20A0">
              <w:t>substantial</w:t>
            </w:r>
            <w:r w:rsidRPr="00EC20A0">
              <w:rPr>
                <w:spacing w:val="-6"/>
              </w:rPr>
              <w:t xml:space="preserve"> </w:t>
            </w:r>
            <w:r w:rsidRPr="00EC20A0">
              <w:t>doubt</w:t>
            </w:r>
            <w:r w:rsidRPr="00EC20A0">
              <w:rPr>
                <w:spacing w:val="-6"/>
              </w:rPr>
              <w:t xml:space="preserve"> </w:t>
            </w:r>
            <w:r w:rsidRPr="00EC20A0">
              <w:t>about</w:t>
            </w:r>
            <w:r w:rsidRPr="00EC20A0">
              <w:rPr>
                <w:spacing w:val="-6"/>
              </w:rPr>
              <w:t xml:space="preserve"> </w:t>
            </w:r>
            <w:r w:rsidRPr="00EC20A0">
              <w:t>the entity’s ability to continue as a going concern for a reasonable period of time;</w:t>
            </w:r>
          </w:p>
          <w:p w14:paraId="24D6266C" w14:textId="77777777" w:rsidR="00245300" w:rsidRPr="00EC20A0" w:rsidRDefault="00F17249">
            <w:pPr>
              <w:pStyle w:val="TableParagraph"/>
              <w:numPr>
                <w:ilvl w:val="1"/>
                <w:numId w:val="45"/>
              </w:numPr>
              <w:tabs>
                <w:tab w:val="left" w:pos="1514"/>
              </w:tabs>
              <w:spacing w:before="238"/>
              <w:ind w:right="304"/>
            </w:pPr>
            <w:r w:rsidRPr="00EC20A0">
              <w:t>assess</w:t>
            </w:r>
            <w:r w:rsidRPr="00EC20A0">
              <w:rPr>
                <w:spacing w:val="-5"/>
              </w:rPr>
              <w:t xml:space="preserve"> </w:t>
            </w:r>
            <w:r w:rsidRPr="00EC20A0">
              <w:t>the</w:t>
            </w:r>
            <w:r w:rsidRPr="00EC20A0">
              <w:rPr>
                <w:spacing w:val="-5"/>
              </w:rPr>
              <w:t xml:space="preserve"> </w:t>
            </w:r>
            <w:r w:rsidRPr="00EC20A0">
              <w:t>possible</w:t>
            </w:r>
            <w:r w:rsidRPr="00EC20A0">
              <w:rPr>
                <w:spacing w:val="-5"/>
              </w:rPr>
              <w:t xml:space="preserve"> </w:t>
            </w:r>
            <w:r w:rsidRPr="00EC20A0">
              <w:t>financial</w:t>
            </w:r>
            <w:r w:rsidRPr="00EC20A0">
              <w:rPr>
                <w:spacing w:val="-4"/>
              </w:rPr>
              <w:t xml:space="preserve"> </w:t>
            </w:r>
            <w:r w:rsidRPr="00EC20A0">
              <w:t>statement</w:t>
            </w:r>
            <w:r w:rsidRPr="00EC20A0">
              <w:rPr>
                <w:spacing w:val="-4"/>
              </w:rPr>
              <w:t xml:space="preserve"> </w:t>
            </w:r>
            <w:r w:rsidRPr="00EC20A0">
              <w:t>effects,</w:t>
            </w:r>
            <w:r w:rsidRPr="00EC20A0">
              <w:rPr>
                <w:spacing w:val="-5"/>
              </w:rPr>
              <w:t xml:space="preserve"> </w:t>
            </w:r>
            <w:r w:rsidRPr="00EC20A0">
              <w:t>including the</w:t>
            </w:r>
            <w:r w:rsidRPr="00EC20A0">
              <w:rPr>
                <w:spacing w:val="-7"/>
              </w:rPr>
              <w:t xml:space="preserve"> </w:t>
            </w:r>
            <w:r w:rsidRPr="00EC20A0">
              <w:t>adequacy</w:t>
            </w:r>
            <w:r w:rsidRPr="00EC20A0">
              <w:rPr>
                <w:spacing w:val="-7"/>
              </w:rPr>
              <w:t xml:space="preserve"> </w:t>
            </w:r>
            <w:r w:rsidRPr="00EC20A0">
              <w:t>of</w:t>
            </w:r>
            <w:r w:rsidRPr="00EC20A0">
              <w:rPr>
                <w:spacing w:val="-7"/>
              </w:rPr>
              <w:t xml:space="preserve"> </w:t>
            </w:r>
            <w:r w:rsidRPr="00EC20A0">
              <w:t>disclosure</w:t>
            </w:r>
            <w:r w:rsidRPr="00EC20A0">
              <w:rPr>
                <w:spacing w:val="-7"/>
              </w:rPr>
              <w:t xml:space="preserve"> </w:t>
            </w:r>
            <w:r w:rsidRPr="00EC20A0">
              <w:t>regarding</w:t>
            </w:r>
            <w:r w:rsidRPr="00EC20A0">
              <w:rPr>
                <w:spacing w:val="-7"/>
              </w:rPr>
              <w:t xml:space="preserve"> </w:t>
            </w:r>
            <w:r w:rsidRPr="00EC20A0">
              <w:t>uncertainties</w:t>
            </w:r>
            <w:r w:rsidRPr="00EC20A0">
              <w:rPr>
                <w:spacing w:val="-7"/>
              </w:rPr>
              <w:t xml:space="preserve"> </w:t>
            </w:r>
            <w:r w:rsidRPr="00EC20A0">
              <w:t>about the entity’s ability to continue as a going concern for a reasonable period of time; and</w:t>
            </w:r>
          </w:p>
          <w:p w14:paraId="24D6266D" w14:textId="77777777" w:rsidR="00245300" w:rsidRPr="00EC20A0" w:rsidRDefault="00F17249">
            <w:pPr>
              <w:pStyle w:val="TableParagraph"/>
              <w:numPr>
                <w:ilvl w:val="1"/>
                <w:numId w:val="45"/>
              </w:numPr>
              <w:tabs>
                <w:tab w:val="left" w:pos="1514"/>
              </w:tabs>
              <w:spacing w:before="244" w:line="235" w:lineRule="auto"/>
              <w:ind w:right="271"/>
              <w:rPr>
                <w:sz w:val="24"/>
              </w:rPr>
            </w:pPr>
            <w:r w:rsidRPr="00EC20A0">
              <w:t>determine</w:t>
            </w:r>
            <w:r w:rsidRPr="00EC20A0">
              <w:rPr>
                <w:spacing w:val="-6"/>
              </w:rPr>
              <w:t xml:space="preserve"> </w:t>
            </w:r>
            <w:r w:rsidRPr="00EC20A0">
              <w:t>the</w:t>
            </w:r>
            <w:r w:rsidRPr="00EC20A0">
              <w:rPr>
                <w:spacing w:val="-6"/>
              </w:rPr>
              <w:t xml:space="preserve"> </w:t>
            </w:r>
            <w:r w:rsidRPr="00EC20A0">
              <w:t>implications</w:t>
            </w:r>
            <w:r w:rsidRPr="00EC20A0">
              <w:rPr>
                <w:spacing w:val="-6"/>
              </w:rPr>
              <w:t xml:space="preserve"> </w:t>
            </w:r>
            <w:r w:rsidRPr="00EC20A0">
              <w:t>for</w:t>
            </w:r>
            <w:r w:rsidRPr="00EC20A0">
              <w:rPr>
                <w:spacing w:val="-6"/>
              </w:rPr>
              <w:t xml:space="preserve"> </w:t>
            </w:r>
            <w:r w:rsidRPr="00EC20A0">
              <w:t>the</w:t>
            </w:r>
            <w:r w:rsidRPr="00EC20A0">
              <w:rPr>
                <w:spacing w:val="-6"/>
              </w:rPr>
              <w:t xml:space="preserve"> </w:t>
            </w:r>
            <w:r w:rsidRPr="00EC20A0">
              <w:t>auditor’s</w:t>
            </w:r>
            <w:r w:rsidRPr="00EC20A0">
              <w:rPr>
                <w:spacing w:val="-6"/>
              </w:rPr>
              <w:t xml:space="preserve"> </w:t>
            </w:r>
            <w:r w:rsidRPr="00EC20A0">
              <w:t>report?</w:t>
            </w:r>
            <w:r w:rsidRPr="00EC20A0">
              <w:rPr>
                <w:spacing w:val="-7"/>
              </w:rPr>
              <w:t xml:space="preserve"> </w:t>
            </w:r>
            <w:r w:rsidRPr="00EC20A0">
              <w:t xml:space="preserve">(AU-C </w:t>
            </w:r>
            <w:r w:rsidRPr="00EC20A0">
              <w:rPr>
                <w:spacing w:val="-4"/>
              </w:rPr>
              <w:t>570)</w:t>
            </w:r>
          </w:p>
        </w:tc>
        <w:tc>
          <w:tcPr>
            <w:tcW w:w="811" w:type="dxa"/>
            <w:tcBorders>
              <w:top w:val="single" w:sz="6" w:space="0" w:color="000000"/>
              <w:left w:val="single" w:sz="6" w:space="0" w:color="000000"/>
              <w:bottom w:val="single" w:sz="6" w:space="0" w:color="000000"/>
              <w:right w:val="single" w:sz="6" w:space="0" w:color="000000"/>
            </w:tcBorders>
          </w:tcPr>
          <w:p w14:paraId="24D6266E" w14:textId="77777777" w:rsidR="00245300" w:rsidRPr="00EC20A0" w:rsidRDefault="00245300">
            <w:pPr>
              <w:pStyle w:val="TableParagraph"/>
            </w:pPr>
          </w:p>
        </w:tc>
        <w:tc>
          <w:tcPr>
            <w:tcW w:w="1349" w:type="dxa"/>
            <w:tcBorders>
              <w:top w:val="single" w:sz="6" w:space="0" w:color="000000"/>
              <w:left w:val="single" w:sz="6" w:space="0" w:color="000000"/>
              <w:bottom w:val="single" w:sz="6" w:space="0" w:color="000000"/>
            </w:tcBorders>
            <w:shd w:val="clear" w:color="auto" w:fill="BEBEBE"/>
          </w:tcPr>
          <w:p w14:paraId="24D6266F" w14:textId="77777777" w:rsidR="00245300" w:rsidRPr="00EC20A0" w:rsidRDefault="00245300">
            <w:pPr>
              <w:pStyle w:val="TableParagraph"/>
            </w:pPr>
          </w:p>
        </w:tc>
      </w:tr>
    </w:tbl>
    <w:p w14:paraId="24D62671" w14:textId="77777777" w:rsidR="00245300" w:rsidRPr="00EC20A0" w:rsidRDefault="00245300">
      <w:pPr>
        <w:sectPr w:rsidR="00245300" w:rsidRPr="00EC20A0">
          <w:pgSz w:w="12240" w:h="15840"/>
          <w:pgMar w:top="1340" w:right="460" w:bottom="940" w:left="560" w:header="721" w:footer="757" w:gutter="0"/>
          <w:cols w:space="720"/>
        </w:sectPr>
      </w:pPr>
    </w:p>
    <w:p w14:paraId="24D62672"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245300" w:rsidRPr="00EC20A0" w14:paraId="24D62679" w14:textId="77777777">
        <w:trPr>
          <w:trHeight w:val="936"/>
        </w:trPr>
        <w:tc>
          <w:tcPr>
            <w:tcW w:w="7380" w:type="dxa"/>
            <w:tcBorders>
              <w:right w:val="single" w:sz="8" w:space="0" w:color="000000"/>
            </w:tcBorders>
            <w:shd w:val="clear" w:color="auto" w:fill="A6A6A6"/>
          </w:tcPr>
          <w:p w14:paraId="24D62673" w14:textId="77777777" w:rsidR="00245300" w:rsidRPr="00EC20A0" w:rsidRDefault="00245300">
            <w:pPr>
              <w:pStyle w:val="TableParagraph"/>
              <w:spacing w:before="266"/>
              <w:rPr>
                <w:b/>
                <w:sz w:val="24"/>
              </w:rPr>
            </w:pPr>
          </w:p>
          <w:p w14:paraId="24D62674" w14:textId="77777777" w:rsidR="00245300" w:rsidRPr="00EC20A0" w:rsidRDefault="00F17249">
            <w:pPr>
              <w:pStyle w:val="TableParagraph"/>
              <w:ind w:left="123"/>
              <w:rPr>
                <w:b/>
                <w:sz w:val="24"/>
              </w:rPr>
            </w:pPr>
            <w:r w:rsidRPr="00EC20A0">
              <w:rPr>
                <w:b/>
                <w:sz w:val="24"/>
              </w:rPr>
              <w:t>Section</w:t>
            </w:r>
            <w:r w:rsidRPr="00EC20A0">
              <w:rPr>
                <w:b/>
                <w:spacing w:val="-5"/>
                <w:sz w:val="24"/>
              </w:rPr>
              <w:t xml:space="preserve"> </w:t>
            </w:r>
            <w:r w:rsidRPr="00EC20A0">
              <w:rPr>
                <w:b/>
                <w:sz w:val="24"/>
              </w:rPr>
              <w:t>II:</w:t>
            </w:r>
            <w:r w:rsidRPr="00EC20A0">
              <w:rPr>
                <w:b/>
                <w:spacing w:val="-4"/>
                <w:sz w:val="24"/>
              </w:rPr>
              <w:t xml:space="preserve"> </w:t>
            </w:r>
            <w:r w:rsidRPr="00EC20A0">
              <w:rPr>
                <w:b/>
                <w:sz w:val="24"/>
              </w:rPr>
              <w:t>Performing</w:t>
            </w:r>
            <w:r w:rsidRPr="00EC20A0">
              <w:rPr>
                <w:b/>
                <w:spacing w:val="-2"/>
                <w:sz w:val="24"/>
              </w:rPr>
              <w:t xml:space="preserve"> </w:t>
            </w:r>
            <w:r w:rsidRPr="00EC20A0">
              <w:rPr>
                <w:b/>
                <w:sz w:val="24"/>
              </w:rPr>
              <w:t>the</w:t>
            </w:r>
            <w:r w:rsidRPr="00EC20A0">
              <w:rPr>
                <w:b/>
                <w:spacing w:val="-2"/>
                <w:sz w:val="24"/>
              </w:rPr>
              <w:t xml:space="preserve"> Engagement</w:t>
            </w:r>
          </w:p>
        </w:tc>
        <w:tc>
          <w:tcPr>
            <w:tcW w:w="811" w:type="dxa"/>
            <w:tcBorders>
              <w:left w:val="single" w:sz="8" w:space="0" w:color="000000"/>
              <w:right w:val="single" w:sz="8" w:space="0" w:color="000000"/>
            </w:tcBorders>
            <w:shd w:val="clear" w:color="auto" w:fill="A6A6A6"/>
          </w:tcPr>
          <w:p w14:paraId="24D62675" w14:textId="77777777" w:rsidR="00245300" w:rsidRPr="00EC20A0" w:rsidRDefault="00F17249">
            <w:pPr>
              <w:pStyle w:val="TableParagraph"/>
              <w:spacing w:before="120"/>
              <w:ind w:left="183" w:right="160" w:hanging="8"/>
              <w:jc w:val="both"/>
              <w:rPr>
                <w:b/>
              </w:rPr>
            </w:pPr>
            <w:r w:rsidRPr="00EC20A0">
              <w:rPr>
                <w:b/>
                <w:spacing w:val="-4"/>
              </w:rPr>
              <w:t>Yes, No,* N/A</w:t>
            </w:r>
          </w:p>
        </w:tc>
        <w:tc>
          <w:tcPr>
            <w:tcW w:w="1349" w:type="dxa"/>
            <w:tcBorders>
              <w:left w:val="single" w:sz="8" w:space="0" w:color="000000"/>
            </w:tcBorders>
            <w:shd w:val="clear" w:color="auto" w:fill="A6A6A6"/>
          </w:tcPr>
          <w:p w14:paraId="24D62676" w14:textId="77777777" w:rsidR="00245300" w:rsidRPr="00EC20A0" w:rsidRDefault="00245300">
            <w:pPr>
              <w:pStyle w:val="TableParagraph"/>
              <w:rPr>
                <w:b/>
              </w:rPr>
            </w:pPr>
          </w:p>
          <w:p w14:paraId="24D62677" w14:textId="77777777" w:rsidR="00245300" w:rsidRPr="00EC20A0" w:rsidRDefault="00245300">
            <w:pPr>
              <w:pStyle w:val="TableParagraph"/>
              <w:spacing w:before="120"/>
              <w:rPr>
                <w:b/>
              </w:rPr>
            </w:pPr>
          </w:p>
          <w:p w14:paraId="24D62678"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680" w14:textId="77777777">
        <w:trPr>
          <w:trHeight w:val="5073"/>
        </w:trPr>
        <w:tc>
          <w:tcPr>
            <w:tcW w:w="7380" w:type="dxa"/>
            <w:tcBorders>
              <w:bottom w:val="single" w:sz="6" w:space="0" w:color="000000"/>
              <w:right w:val="single" w:sz="6" w:space="0" w:color="000000"/>
            </w:tcBorders>
          </w:tcPr>
          <w:p w14:paraId="24D6267A" w14:textId="77777777" w:rsidR="00245300" w:rsidRPr="00EC20A0" w:rsidRDefault="00F17249">
            <w:pPr>
              <w:pStyle w:val="TableParagraph"/>
              <w:numPr>
                <w:ilvl w:val="0"/>
                <w:numId w:val="44"/>
              </w:numPr>
              <w:tabs>
                <w:tab w:val="left" w:pos="1203"/>
              </w:tabs>
              <w:spacing w:before="121"/>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67B" w14:textId="77777777" w:rsidR="00245300" w:rsidRPr="00EC20A0" w:rsidRDefault="00F17249">
            <w:pPr>
              <w:pStyle w:val="TableParagraph"/>
              <w:numPr>
                <w:ilvl w:val="1"/>
                <w:numId w:val="44"/>
              </w:numPr>
              <w:tabs>
                <w:tab w:val="left" w:pos="1512"/>
                <w:tab w:val="left" w:pos="1514"/>
              </w:tabs>
              <w:spacing w:before="240"/>
              <w:ind w:right="158" w:hanging="271"/>
            </w:pPr>
            <w:r w:rsidRPr="00EC20A0">
              <w:t>obtain written representations from management and, when appropriate, those charged with governance that they</w:t>
            </w:r>
            <w:r w:rsidRPr="00EC20A0">
              <w:rPr>
                <w:spacing w:val="-5"/>
              </w:rPr>
              <w:t xml:space="preserve"> </w:t>
            </w:r>
            <w:r w:rsidRPr="00EC20A0">
              <w:t>believe</w:t>
            </w:r>
            <w:r w:rsidRPr="00EC20A0">
              <w:rPr>
                <w:spacing w:val="-6"/>
              </w:rPr>
              <w:t xml:space="preserve"> </w:t>
            </w:r>
            <w:r w:rsidRPr="00EC20A0">
              <w:t>that</w:t>
            </w:r>
            <w:r w:rsidRPr="00EC20A0">
              <w:rPr>
                <w:spacing w:val="-5"/>
              </w:rPr>
              <w:t xml:space="preserve"> </w:t>
            </w:r>
            <w:r w:rsidRPr="00EC20A0">
              <w:t>they</w:t>
            </w:r>
            <w:r w:rsidRPr="00EC20A0">
              <w:rPr>
                <w:spacing w:val="-5"/>
              </w:rPr>
              <w:t xml:space="preserve"> </w:t>
            </w:r>
            <w:r w:rsidRPr="00EC20A0">
              <w:t>have</w:t>
            </w:r>
            <w:r w:rsidRPr="00EC20A0">
              <w:rPr>
                <w:spacing w:val="-5"/>
              </w:rPr>
              <w:t xml:space="preserve"> </w:t>
            </w:r>
            <w:r w:rsidRPr="00EC20A0">
              <w:t>fulfilled</w:t>
            </w:r>
            <w:r w:rsidRPr="00EC20A0">
              <w:rPr>
                <w:spacing w:val="-5"/>
              </w:rPr>
              <w:t xml:space="preserve"> </w:t>
            </w:r>
            <w:r w:rsidRPr="00EC20A0">
              <w:t>their</w:t>
            </w:r>
            <w:r w:rsidRPr="00EC20A0">
              <w:rPr>
                <w:spacing w:val="-5"/>
              </w:rPr>
              <w:t xml:space="preserve"> </w:t>
            </w:r>
            <w:r w:rsidRPr="00EC20A0">
              <w:t>responsibilities</w:t>
            </w:r>
            <w:r w:rsidRPr="00EC20A0">
              <w:rPr>
                <w:spacing w:val="-5"/>
              </w:rPr>
              <w:t xml:space="preserve"> </w:t>
            </w:r>
            <w:r w:rsidRPr="00EC20A0">
              <w:t>for the preparation and fair presentation of the financial statements and for the completeness of the information provided to the auditor;</w:t>
            </w:r>
          </w:p>
          <w:p w14:paraId="24D6267C" w14:textId="77777777" w:rsidR="00245300" w:rsidRPr="00EC20A0" w:rsidRDefault="00F17249">
            <w:pPr>
              <w:pStyle w:val="TableParagraph"/>
              <w:numPr>
                <w:ilvl w:val="1"/>
                <w:numId w:val="44"/>
              </w:numPr>
              <w:tabs>
                <w:tab w:val="left" w:pos="1514"/>
              </w:tabs>
              <w:spacing w:before="238"/>
              <w:ind w:right="330"/>
            </w:pPr>
            <w:r w:rsidRPr="00EC20A0">
              <w:t>support other audit evidence relevant to the financial statements or specific assertions in the financial statements</w:t>
            </w:r>
            <w:r w:rsidRPr="00EC20A0">
              <w:rPr>
                <w:spacing w:val="-8"/>
              </w:rPr>
              <w:t xml:space="preserve"> </w:t>
            </w:r>
            <w:r w:rsidRPr="00EC20A0">
              <w:t>through</w:t>
            </w:r>
            <w:r w:rsidRPr="00EC20A0">
              <w:rPr>
                <w:spacing w:val="-8"/>
              </w:rPr>
              <w:t xml:space="preserve"> </w:t>
            </w:r>
            <w:r w:rsidRPr="00EC20A0">
              <w:t>written</w:t>
            </w:r>
            <w:r w:rsidRPr="00EC20A0">
              <w:rPr>
                <w:spacing w:val="-8"/>
              </w:rPr>
              <w:t xml:space="preserve"> </w:t>
            </w:r>
            <w:r w:rsidRPr="00EC20A0">
              <w:t>representations</w:t>
            </w:r>
            <w:r w:rsidRPr="00EC20A0">
              <w:rPr>
                <w:spacing w:val="-8"/>
              </w:rPr>
              <w:t xml:space="preserve"> </w:t>
            </w:r>
            <w:r w:rsidRPr="00EC20A0">
              <w:t>if</w:t>
            </w:r>
            <w:r w:rsidRPr="00EC20A0">
              <w:rPr>
                <w:spacing w:val="-8"/>
              </w:rPr>
              <w:t xml:space="preserve"> </w:t>
            </w:r>
            <w:r w:rsidRPr="00EC20A0">
              <w:t>determined necessary by the auditor or required by other AU-C sections; and</w:t>
            </w:r>
          </w:p>
          <w:p w14:paraId="24D6267D" w14:textId="77777777" w:rsidR="00245300" w:rsidRPr="00EC20A0" w:rsidRDefault="00F17249">
            <w:pPr>
              <w:pStyle w:val="TableParagraph"/>
              <w:numPr>
                <w:ilvl w:val="1"/>
                <w:numId w:val="44"/>
              </w:numPr>
              <w:tabs>
                <w:tab w:val="left" w:pos="1514"/>
              </w:tabs>
              <w:spacing w:before="240" w:line="237" w:lineRule="auto"/>
              <w:ind w:right="123"/>
              <w:rPr>
                <w:sz w:val="24"/>
              </w:rPr>
            </w:pPr>
            <w:r w:rsidRPr="00EC20A0">
              <w:t>respond appropriately if the auditor has doubts about the reliability of the written representations provided or if the requested</w:t>
            </w:r>
            <w:r w:rsidRPr="00EC20A0">
              <w:rPr>
                <w:spacing w:val="-7"/>
              </w:rPr>
              <w:t xml:space="preserve"> </w:t>
            </w:r>
            <w:r w:rsidRPr="00EC20A0">
              <w:t>written</w:t>
            </w:r>
            <w:r w:rsidRPr="00EC20A0">
              <w:rPr>
                <w:spacing w:val="-7"/>
              </w:rPr>
              <w:t xml:space="preserve"> </w:t>
            </w:r>
            <w:r w:rsidRPr="00EC20A0">
              <w:t>representations</w:t>
            </w:r>
            <w:r w:rsidRPr="00EC20A0">
              <w:rPr>
                <w:spacing w:val="-7"/>
              </w:rPr>
              <w:t xml:space="preserve"> </w:t>
            </w:r>
            <w:r w:rsidRPr="00EC20A0">
              <w:t>were</w:t>
            </w:r>
            <w:r w:rsidRPr="00EC20A0">
              <w:rPr>
                <w:spacing w:val="-7"/>
              </w:rPr>
              <w:t xml:space="preserve"> </w:t>
            </w:r>
            <w:r w:rsidRPr="00EC20A0">
              <w:t>not</w:t>
            </w:r>
            <w:r w:rsidRPr="00EC20A0">
              <w:rPr>
                <w:spacing w:val="-7"/>
              </w:rPr>
              <w:t xml:space="preserve"> </w:t>
            </w:r>
            <w:r w:rsidRPr="00EC20A0">
              <w:t>provided?</w:t>
            </w:r>
            <w:r w:rsidRPr="00EC20A0">
              <w:rPr>
                <w:spacing w:val="-7"/>
              </w:rPr>
              <w:t xml:space="preserve"> </w:t>
            </w:r>
            <w:r w:rsidRPr="00EC20A0">
              <w:t>(AU- C 580)</w:t>
            </w:r>
          </w:p>
        </w:tc>
        <w:tc>
          <w:tcPr>
            <w:tcW w:w="811" w:type="dxa"/>
            <w:tcBorders>
              <w:left w:val="single" w:sz="6" w:space="0" w:color="000000"/>
              <w:bottom w:val="single" w:sz="6" w:space="0" w:color="000000"/>
              <w:right w:val="single" w:sz="6" w:space="0" w:color="000000"/>
            </w:tcBorders>
          </w:tcPr>
          <w:p w14:paraId="24D6267E" w14:textId="77777777" w:rsidR="00245300" w:rsidRPr="00EC20A0" w:rsidRDefault="00245300">
            <w:pPr>
              <w:pStyle w:val="TableParagraph"/>
            </w:pPr>
          </w:p>
        </w:tc>
        <w:tc>
          <w:tcPr>
            <w:tcW w:w="1349" w:type="dxa"/>
            <w:tcBorders>
              <w:left w:val="single" w:sz="6" w:space="0" w:color="000000"/>
              <w:bottom w:val="single" w:sz="6" w:space="0" w:color="000000"/>
            </w:tcBorders>
            <w:shd w:val="clear" w:color="auto" w:fill="BEBEBE"/>
          </w:tcPr>
          <w:p w14:paraId="24D6267F" w14:textId="77777777" w:rsidR="00245300" w:rsidRPr="00EC20A0" w:rsidRDefault="00245300">
            <w:pPr>
              <w:pStyle w:val="TableParagraph"/>
            </w:pPr>
          </w:p>
        </w:tc>
      </w:tr>
      <w:tr w:rsidR="00245300" w:rsidRPr="00EC20A0" w14:paraId="24D62684" w14:textId="77777777">
        <w:trPr>
          <w:trHeight w:val="1252"/>
        </w:trPr>
        <w:tc>
          <w:tcPr>
            <w:tcW w:w="7380" w:type="dxa"/>
            <w:tcBorders>
              <w:top w:val="single" w:sz="6" w:space="0" w:color="000000"/>
              <w:right w:val="single" w:sz="6" w:space="0" w:color="000000"/>
            </w:tcBorders>
          </w:tcPr>
          <w:p w14:paraId="24D62681" w14:textId="77777777" w:rsidR="00245300" w:rsidRPr="00EC20A0" w:rsidRDefault="00F17249">
            <w:pPr>
              <w:pStyle w:val="TableParagraph"/>
              <w:spacing w:before="119"/>
              <w:ind w:left="1203" w:right="141" w:hanging="360"/>
            </w:pPr>
            <w:r w:rsidRPr="00EC20A0">
              <w:t>s.</w:t>
            </w:r>
            <w:r w:rsidRPr="00EC20A0">
              <w:rPr>
                <w:spacing w:val="80"/>
              </w:rPr>
              <w:t xml:space="preserve"> </w:t>
            </w:r>
            <w:r w:rsidRPr="00EC20A0">
              <w:t xml:space="preserve">Did the auditor assess the </w:t>
            </w:r>
            <w:r w:rsidRPr="00EC20A0">
              <w:t>effect of omitted procedures of which the auditor becomes aware on the auditor’s present ability to support the previously expressed opinion on the financial</w:t>
            </w:r>
            <w:r w:rsidRPr="00EC20A0">
              <w:rPr>
                <w:spacing w:val="-7"/>
              </w:rPr>
              <w:t xml:space="preserve"> </w:t>
            </w:r>
            <w:r w:rsidRPr="00EC20A0">
              <w:t>statements</w:t>
            </w:r>
            <w:r w:rsidRPr="00EC20A0">
              <w:rPr>
                <w:spacing w:val="-6"/>
              </w:rPr>
              <w:t xml:space="preserve"> </w:t>
            </w:r>
            <w:r w:rsidRPr="00EC20A0">
              <w:t>and</w:t>
            </w:r>
            <w:r w:rsidRPr="00EC20A0">
              <w:rPr>
                <w:spacing w:val="-6"/>
              </w:rPr>
              <w:t xml:space="preserve"> </w:t>
            </w:r>
            <w:r w:rsidRPr="00EC20A0">
              <w:t>respond</w:t>
            </w:r>
            <w:r w:rsidRPr="00EC20A0">
              <w:rPr>
                <w:spacing w:val="-6"/>
              </w:rPr>
              <w:t xml:space="preserve"> </w:t>
            </w:r>
            <w:r w:rsidRPr="00EC20A0">
              <w:t>appropriately?</w:t>
            </w:r>
            <w:r w:rsidRPr="00EC20A0">
              <w:rPr>
                <w:spacing w:val="-6"/>
              </w:rPr>
              <w:t xml:space="preserve"> </w:t>
            </w:r>
            <w:r w:rsidRPr="00EC20A0">
              <w:t>(AU-C</w:t>
            </w:r>
            <w:r w:rsidRPr="00EC20A0">
              <w:rPr>
                <w:spacing w:val="-7"/>
              </w:rPr>
              <w:t xml:space="preserve"> </w:t>
            </w:r>
            <w:r w:rsidRPr="00EC20A0">
              <w:t>585)</w:t>
            </w:r>
          </w:p>
        </w:tc>
        <w:tc>
          <w:tcPr>
            <w:tcW w:w="811" w:type="dxa"/>
            <w:tcBorders>
              <w:top w:val="single" w:sz="6" w:space="0" w:color="000000"/>
              <w:left w:val="single" w:sz="6" w:space="0" w:color="000000"/>
              <w:right w:val="single" w:sz="6" w:space="0" w:color="000000"/>
            </w:tcBorders>
          </w:tcPr>
          <w:p w14:paraId="24D62682" w14:textId="77777777" w:rsidR="00245300" w:rsidRPr="00EC20A0" w:rsidRDefault="00245300">
            <w:pPr>
              <w:pStyle w:val="TableParagraph"/>
            </w:pPr>
          </w:p>
        </w:tc>
        <w:tc>
          <w:tcPr>
            <w:tcW w:w="1349" w:type="dxa"/>
            <w:tcBorders>
              <w:top w:val="single" w:sz="6" w:space="0" w:color="000000"/>
              <w:left w:val="single" w:sz="6" w:space="0" w:color="000000"/>
            </w:tcBorders>
            <w:shd w:val="clear" w:color="auto" w:fill="BEBEBE"/>
          </w:tcPr>
          <w:p w14:paraId="24D62683" w14:textId="77777777" w:rsidR="00245300" w:rsidRPr="00EC20A0" w:rsidRDefault="00245300">
            <w:pPr>
              <w:pStyle w:val="TableParagraph"/>
            </w:pPr>
          </w:p>
        </w:tc>
      </w:tr>
    </w:tbl>
    <w:p w14:paraId="24D62685" w14:textId="77777777" w:rsidR="00245300" w:rsidRPr="00EC20A0" w:rsidRDefault="00245300">
      <w:pPr>
        <w:sectPr w:rsidR="00245300" w:rsidRPr="00EC20A0">
          <w:pgSz w:w="12240" w:h="15840"/>
          <w:pgMar w:top="1340" w:right="460" w:bottom="940" w:left="560" w:header="721" w:footer="757" w:gutter="0"/>
          <w:cols w:space="720"/>
        </w:sectPr>
      </w:pPr>
    </w:p>
    <w:p w14:paraId="24D62686" w14:textId="77777777" w:rsidR="00245300" w:rsidRPr="00EC20A0" w:rsidRDefault="00F17249" w:rsidP="0022160C">
      <w:pPr>
        <w:pStyle w:val="Heading4"/>
        <w:ind w:left="810"/>
      </w:pPr>
      <w:bookmarkStart w:id="416" w:name="Section_III:_Communicating_with_Auditor’"/>
      <w:bookmarkEnd w:id="416"/>
      <w:r w:rsidRPr="00EC20A0">
        <w:t>Section</w:t>
      </w:r>
      <w:r w:rsidRPr="00EC20A0">
        <w:rPr>
          <w:spacing w:val="-14"/>
        </w:rPr>
        <w:t xml:space="preserve"> </w:t>
      </w:r>
      <w:r w:rsidRPr="00EC20A0">
        <w:t>III:</w:t>
      </w:r>
      <w:r w:rsidRPr="00EC20A0">
        <w:rPr>
          <w:spacing w:val="-12"/>
        </w:rPr>
        <w:t xml:space="preserve"> </w:t>
      </w:r>
      <w:r w:rsidRPr="00EC20A0">
        <w:t>Communicating</w:t>
      </w:r>
      <w:r w:rsidRPr="00EC20A0">
        <w:rPr>
          <w:spacing w:val="-14"/>
        </w:rPr>
        <w:t xml:space="preserve"> </w:t>
      </w:r>
      <w:r w:rsidRPr="00EC20A0">
        <w:t>with</w:t>
      </w:r>
      <w:r w:rsidRPr="00EC20A0">
        <w:rPr>
          <w:spacing w:val="-13"/>
        </w:rPr>
        <w:t xml:space="preserve"> </w:t>
      </w:r>
      <w:r w:rsidRPr="00EC20A0">
        <w:t>Auditor’s</w:t>
      </w:r>
      <w:r w:rsidRPr="00EC20A0">
        <w:rPr>
          <w:spacing w:val="-13"/>
        </w:rPr>
        <w:t xml:space="preserve"> </w:t>
      </w:r>
      <w:r w:rsidRPr="00EC20A0">
        <w:t>Specialists</w:t>
      </w:r>
      <w:r w:rsidRPr="00EC20A0">
        <w:rPr>
          <w:spacing w:val="-12"/>
        </w:rPr>
        <w:t xml:space="preserve"> </w:t>
      </w:r>
      <w:r w:rsidRPr="00EC20A0">
        <w:t>and</w:t>
      </w:r>
      <w:r w:rsidRPr="00EC20A0">
        <w:rPr>
          <w:spacing w:val="-14"/>
        </w:rPr>
        <w:t xml:space="preserve"> </w:t>
      </w:r>
      <w:r w:rsidRPr="00EC20A0">
        <w:rPr>
          <w:spacing w:val="-2"/>
        </w:rPr>
        <w:t>Reviewer</w:t>
      </w:r>
    </w:p>
    <w:p w14:paraId="24D62687" w14:textId="77777777" w:rsidR="00245300" w:rsidRPr="00EC20A0" w:rsidRDefault="00245300">
      <w:pPr>
        <w:pStyle w:val="BodyText"/>
        <w:spacing w:before="7" w:after="1"/>
        <w:rPr>
          <w:b/>
          <w:sz w:val="16"/>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260"/>
      </w:tblGrid>
      <w:tr w:rsidR="00245300" w:rsidRPr="00EC20A0" w14:paraId="24D6268D" w14:textId="77777777">
        <w:trPr>
          <w:trHeight w:val="938"/>
        </w:trPr>
        <w:tc>
          <w:tcPr>
            <w:tcW w:w="7380" w:type="dxa"/>
            <w:tcBorders>
              <w:bottom w:val="single" w:sz="6" w:space="0" w:color="000000"/>
              <w:right w:val="single" w:sz="8" w:space="0" w:color="000000"/>
            </w:tcBorders>
            <w:shd w:val="clear" w:color="auto" w:fill="A6A6A6"/>
          </w:tcPr>
          <w:p w14:paraId="24D62688" w14:textId="77777777" w:rsidR="00245300" w:rsidRPr="00EC20A0" w:rsidRDefault="00F17249">
            <w:pPr>
              <w:pStyle w:val="TableParagraph"/>
              <w:spacing w:before="267"/>
              <w:ind w:left="123"/>
              <w:rPr>
                <w:b/>
                <w:sz w:val="24"/>
              </w:rPr>
            </w:pPr>
            <w:r w:rsidRPr="00EC20A0">
              <w:rPr>
                <w:b/>
                <w:sz w:val="24"/>
              </w:rPr>
              <w:t>Section</w:t>
            </w:r>
            <w:r w:rsidRPr="00EC20A0">
              <w:rPr>
                <w:b/>
                <w:spacing w:val="-7"/>
                <w:sz w:val="24"/>
              </w:rPr>
              <w:t xml:space="preserve"> </w:t>
            </w:r>
            <w:r w:rsidRPr="00EC20A0">
              <w:rPr>
                <w:b/>
                <w:sz w:val="24"/>
              </w:rPr>
              <w:t>III:</w:t>
            </w:r>
            <w:r w:rsidRPr="00EC20A0">
              <w:rPr>
                <w:b/>
                <w:spacing w:val="-8"/>
                <w:sz w:val="24"/>
              </w:rPr>
              <w:t xml:space="preserve"> </w:t>
            </w:r>
            <w:r w:rsidRPr="00EC20A0">
              <w:rPr>
                <w:b/>
                <w:sz w:val="24"/>
              </w:rPr>
              <w:t>Communicating</w:t>
            </w:r>
            <w:r w:rsidRPr="00EC20A0">
              <w:rPr>
                <w:b/>
                <w:spacing w:val="-7"/>
                <w:sz w:val="24"/>
              </w:rPr>
              <w:t xml:space="preserve"> </w:t>
            </w:r>
            <w:r w:rsidRPr="00EC20A0">
              <w:rPr>
                <w:b/>
                <w:sz w:val="24"/>
              </w:rPr>
              <w:t>with</w:t>
            </w:r>
            <w:r w:rsidRPr="00EC20A0">
              <w:rPr>
                <w:b/>
                <w:spacing w:val="-7"/>
                <w:sz w:val="24"/>
              </w:rPr>
              <w:t xml:space="preserve"> </w:t>
            </w:r>
            <w:r w:rsidRPr="00EC20A0">
              <w:rPr>
                <w:b/>
                <w:sz w:val="24"/>
              </w:rPr>
              <w:t>Auditor’s</w:t>
            </w:r>
            <w:r w:rsidRPr="00EC20A0">
              <w:rPr>
                <w:b/>
                <w:spacing w:val="-7"/>
                <w:sz w:val="24"/>
              </w:rPr>
              <w:t xml:space="preserve"> </w:t>
            </w:r>
            <w:r w:rsidRPr="00EC20A0">
              <w:rPr>
                <w:b/>
                <w:sz w:val="24"/>
              </w:rPr>
              <w:t>Specialists</w:t>
            </w:r>
            <w:r w:rsidRPr="00EC20A0">
              <w:rPr>
                <w:b/>
                <w:spacing w:val="-7"/>
                <w:sz w:val="24"/>
              </w:rPr>
              <w:t xml:space="preserve"> </w:t>
            </w:r>
            <w:r w:rsidRPr="00EC20A0">
              <w:rPr>
                <w:b/>
                <w:sz w:val="24"/>
              </w:rPr>
              <w:t xml:space="preserve">and </w:t>
            </w:r>
            <w:r w:rsidRPr="00EC20A0">
              <w:rPr>
                <w:b/>
                <w:spacing w:val="-2"/>
                <w:sz w:val="24"/>
              </w:rPr>
              <w:t>Reviewer</w:t>
            </w:r>
          </w:p>
        </w:tc>
        <w:tc>
          <w:tcPr>
            <w:tcW w:w="810" w:type="dxa"/>
            <w:tcBorders>
              <w:left w:val="single" w:sz="8" w:space="0" w:color="000000"/>
              <w:bottom w:val="single" w:sz="6" w:space="0" w:color="000000"/>
              <w:right w:val="single" w:sz="8" w:space="0" w:color="000000"/>
            </w:tcBorders>
            <w:shd w:val="clear" w:color="auto" w:fill="A6A6A6"/>
          </w:tcPr>
          <w:p w14:paraId="24D62689" w14:textId="77777777" w:rsidR="00245300" w:rsidRPr="00EC20A0" w:rsidRDefault="00F17249">
            <w:pPr>
              <w:pStyle w:val="TableParagraph"/>
              <w:spacing w:before="121"/>
              <w:ind w:left="182" w:right="159" w:hanging="6"/>
              <w:jc w:val="both"/>
              <w:rPr>
                <w:b/>
              </w:rPr>
            </w:pPr>
            <w:r w:rsidRPr="00EC20A0">
              <w:rPr>
                <w:b/>
                <w:spacing w:val="-4"/>
              </w:rPr>
              <w:t>Yes, No,* N/A</w:t>
            </w:r>
          </w:p>
        </w:tc>
        <w:tc>
          <w:tcPr>
            <w:tcW w:w="1260" w:type="dxa"/>
            <w:tcBorders>
              <w:left w:val="single" w:sz="8" w:space="0" w:color="000000"/>
              <w:bottom w:val="single" w:sz="6" w:space="0" w:color="000000"/>
            </w:tcBorders>
            <w:shd w:val="clear" w:color="auto" w:fill="A6A6A6"/>
          </w:tcPr>
          <w:p w14:paraId="24D6268A" w14:textId="77777777" w:rsidR="00245300" w:rsidRPr="00EC20A0" w:rsidRDefault="00245300">
            <w:pPr>
              <w:pStyle w:val="TableParagraph"/>
              <w:rPr>
                <w:b/>
              </w:rPr>
            </w:pPr>
          </w:p>
          <w:p w14:paraId="24D6268B" w14:textId="77777777" w:rsidR="00245300" w:rsidRPr="00EC20A0" w:rsidRDefault="00245300">
            <w:pPr>
              <w:pStyle w:val="TableParagraph"/>
              <w:spacing w:before="120"/>
              <w:rPr>
                <w:b/>
              </w:rPr>
            </w:pPr>
          </w:p>
          <w:p w14:paraId="24D6268C" w14:textId="77777777" w:rsidR="00245300" w:rsidRPr="00EC20A0" w:rsidRDefault="00F17249">
            <w:pPr>
              <w:pStyle w:val="TableParagraph"/>
              <w:ind w:left="186"/>
              <w:rPr>
                <w:b/>
              </w:rPr>
            </w:pPr>
            <w:r w:rsidRPr="00EC20A0">
              <w:rPr>
                <w:b/>
              </w:rPr>
              <w:t>Doc.</w:t>
            </w:r>
            <w:r w:rsidRPr="00EC20A0">
              <w:rPr>
                <w:b/>
                <w:spacing w:val="-6"/>
              </w:rPr>
              <w:t xml:space="preserve"> </w:t>
            </w:r>
            <w:r w:rsidRPr="00EC20A0">
              <w:rPr>
                <w:b/>
                <w:spacing w:val="-4"/>
              </w:rPr>
              <w:t>ref.</w:t>
            </w:r>
          </w:p>
        </w:tc>
      </w:tr>
      <w:tr w:rsidR="00245300" w:rsidRPr="00EC20A0" w14:paraId="24D62691" w14:textId="77777777">
        <w:trPr>
          <w:trHeight w:val="1504"/>
        </w:trPr>
        <w:tc>
          <w:tcPr>
            <w:tcW w:w="7380" w:type="dxa"/>
            <w:tcBorders>
              <w:top w:val="single" w:sz="6" w:space="0" w:color="000000"/>
              <w:bottom w:val="single" w:sz="8" w:space="0" w:color="000000"/>
              <w:right w:val="single" w:sz="8" w:space="0" w:color="000000"/>
            </w:tcBorders>
          </w:tcPr>
          <w:p w14:paraId="24D6268E" w14:textId="77777777" w:rsidR="00245300" w:rsidRPr="00EC20A0" w:rsidRDefault="00F17249">
            <w:pPr>
              <w:pStyle w:val="TableParagraph"/>
              <w:spacing w:before="119"/>
              <w:ind w:left="843" w:right="172" w:hanging="360"/>
            </w:pPr>
            <w:r w:rsidRPr="00EC20A0">
              <w:t>1.</w:t>
            </w:r>
            <w:r w:rsidRPr="00EC20A0">
              <w:rPr>
                <w:spacing w:val="80"/>
              </w:rPr>
              <w:t xml:space="preserve"> </w:t>
            </w:r>
            <w:r w:rsidRPr="00EC20A0">
              <w:t>If expertise in a field other than accounting or auditing is necessary</w:t>
            </w:r>
            <w:r w:rsidRPr="00EC20A0">
              <w:rPr>
                <w:spacing w:val="-6"/>
              </w:rPr>
              <w:t xml:space="preserve"> </w:t>
            </w:r>
            <w:r w:rsidRPr="00EC20A0">
              <w:t>to</w:t>
            </w:r>
            <w:r w:rsidRPr="00EC20A0">
              <w:rPr>
                <w:spacing w:val="-5"/>
              </w:rPr>
              <w:t xml:space="preserve"> </w:t>
            </w:r>
            <w:r w:rsidRPr="00EC20A0">
              <w:t>obtain</w:t>
            </w:r>
            <w:r w:rsidRPr="00EC20A0">
              <w:rPr>
                <w:spacing w:val="-5"/>
              </w:rPr>
              <w:t xml:space="preserve"> </w:t>
            </w:r>
            <w:r w:rsidRPr="00EC20A0">
              <w:t>sufficient</w:t>
            </w:r>
            <w:r w:rsidRPr="00EC20A0">
              <w:rPr>
                <w:spacing w:val="-5"/>
              </w:rPr>
              <w:t xml:space="preserve"> </w:t>
            </w:r>
            <w:r w:rsidRPr="00EC20A0">
              <w:t>appropriate</w:t>
            </w:r>
            <w:r w:rsidRPr="00EC20A0">
              <w:rPr>
                <w:spacing w:val="-5"/>
              </w:rPr>
              <w:t xml:space="preserve"> </w:t>
            </w:r>
            <w:r w:rsidRPr="00EC20A0">
              <w:t>audit</w:t>
            </w:r>
            <w:r w:rsidRPr="00EC20A0">
              <w:rPr>
                <w:spacing w:val="-6"/>
              </w:rPr>
              <w:t xml:space="preserve"> </w:t>
            </w:r>
            <w:r w:rsidRPr="00EC20A0">
              <w:t>evidence,</w:t>
            </w:r>
            <w:r w:rsidRPr="00EC20A0">
              <w:rPr>
                <w:spacing w:val="-5"/>
              </w:rPr>
              <w:t xml:space="preserve"> </w:t>
            </w:r>
            <w:r w:rsidRPr="00EC20A0">
              <w:t>did</w:t>
            </w:r>
            <w:r w:rsidRPr="00EC20A0">
              <w:rPr>
                <w:spacing w:val="-5"/>
              </w:rPr>
              <w:t xml:space="preserve"> </w:t>
            </w:r>
            <w:r w:rsidRPr="00EC20A0">
              <w:t>the auditor use the work of an auditor’s specialist (information technology specialists, actuaries, and those who value assets)? (FAM 620)</w:t>
            </w:r>
          </w:p>
        </w:tc>
        <w:tc>
          <w:tcPr>
            <w:tcW w:w="810" w:type="dxa"/>
            <w:tcBorders>
              <w:top w:val="single" w:sz="6" w:space="0" w:color="000000"/>
              <w:left w:val="single" w:sz="8" w:space="0" w:color="000000"/>
              <w:bottom w:val="single" w:sz="8" w:space="0" w:color="000000"/>
              <w:right w:val="single" w:sz="8" w:space="0" w:color="000000"/>
            </w:tcBorders>
          </w:tcPr>
          <w:p w14:paraId="24D6268F" w14:textId="77777777" w:rsidR="00245300" w:rsidRPr="00EC20A0" w:rsidRDefault="00245300">
            <w:pPr>
              <w:pStyle w:val="TableParagraph"/>
            </w:pPr>
          </w:p>
        </w:tc>
        <w:tc>
          <w:tcPr>
            <w:tcW w:w="1260" w:type="dxa"/>
            <w:tcBorders>
              <w:top w:val="single" w:sz="6" w:space="0" w:color="000000"/>
              <w:left w:val="single" w:sz="8" w:space="0" w:color="000000"/>
              <w:bottom w:val="single" w:sz="8" w:space="0" w:color="000000"/>
            </w:tcBorders>
          </w:tcPr>
          <w:p w14:paraId="24D62690" w14:textId="77777777" w:rsidR="00245300" w:rsidRPr="00EC20A0" w:rsidRDefault="00245300">
            <w:pPr>
              <w:pStyle w:val="TableParagraph"/>
            </w:pPr>
          </w:p>
        </w:tc>
      </w:tr>
      <w:tr w:rsidR="00245300" w:rsidRPr="00EC20A0" w14:paraId="24D62695" w14:textId="77777777">
        <w:trPr>
          <w:trHeight w:val="745"/>
        </w:trPr>
        <w:tc>
          <w:tcPr>
            <w:tcW w:w="7380" w:type="dxa"/>
            <w:tcBorders>
              <w:top w:val="single" w:sz="8" w:space="0" w:color="000000"/>
              <w:bottom w:val="single" w:sz="8" w:space="0" w:color="000000"/>
              <w:right w:val="single" w:sz="8" w:space="0" w:color="000000"/>
            </w:tcBorders>
          </w:tcPr>
          <w:p w14:paraId="24D62692" w14:textId="77777777" w:rsidR="00245300" w:rsidRPr="00EC20A0" w:rsidRDefault="00F17249">
            <w:pPr>
              <w:pStyle w:val="TableParagraph"/>
              <w:spacing w:before="121"/>
              <w:ind w:left="844" w:hanging="361"/>
            </w:pPr>
            <w:r w:rsidRPr="00EC20A0">
              <w:t>2.</w:t>
            </w:r>
            <w:r w:rsidRPr="00EC20A0">
              <w:rPr>
                <w:spacing w:val="80"/>
              </w:rPr>
              <w:t xml:space="preserve"> </w:t>
            </w:r>
            <w:r w:rsidRPr="00EC20A0">
              <w:t>When</w:t>
            </w:r>
            <w:r w:rsidRPr="00EC20A0">
              <w:rPr>
                <w:spacing w:val="-3"/>
              </w:rPr>
              <w:t xml:space="preserve"> </w:t>
            </w:r>
            <w:r w:rsidRPr="00EC20A0">
              <w:t>applicable,</w:t>
            </w:r>
            <w:r w:rsidRPr="00EC20A0">
              <w:rPr>
                <w:spacing w:val="-3"/>
              </w:rPr>
              <w:t xml:space="preserve"> </w:t>
            </w:r>
            <w:r w:rsidRPr="00EC20A0">
              <w:t>did</w:t>
            </w:r>
            <w:r w:rsidRPr="00EC20A0">
              <w:rPr>
                <w:spacing w:val="-3"/>
              </w:rPr>
              <w:t xml:space="preserve"> </w:t>
            </w:r>
            <w:r w:rsidRPr="00EC20A0">
              <w:t>the</w:t>
            </w:r>
            <w:r w:rsidRPr="00EC20A0">
              <w:rPr>
                <w:spacing w:val="-4"/>
              </w:rPr>
              <w:t xml:space="preserve"> </w:t>
            </w:r>
            <w:r w:rsidRPr="00EC20A0">
              <w:t>auditor</w:t>
            </w:r>
            <w:r w:rsidRPr="00EC20A0">
              <w:rPr>
                <w:spacing w:val="-3"/>
              </w:rPr>
              <w:t xml:space="preserve"> </w:t>
            </w:r>
            <w:r w:rsidRPr="00EC20A0">
              <w:t>consult</w:t>
            </w:r>
            <w:r w:rsidRPr="00EC20A0">
              <w:rPr>
                <w:spacing w:val="-3"/>
              </w:rPr>
              <w:t xml:space="preserve"> </w:t>
            </w:r>
            <w:r w:rsidRPr="00EC20A0">
              <w:t>with</w:t>
            </w:r>
            <w:r w:rsidRPr="00EC20A0">
              <w:rPr>
                <w:spacing w:val="-3"/>
              </w:rPr>
              <w:t xml:space="preserve"> </w:t>
            </w:r>
            <w:r w:rsidRPr="00EC20A0">
              <w:t>the</w:t>
            </w:r>
            <w:r w:rsidRPr="00EC20A0">
              <w:rPr>
                <w:spacing w:val="-4"/>
              </w:rPr>
              <w:t xml:space="preserve"> </w:t>
            </w:r>
            <w:r w:rsidRPr="00EC20A0">
              <w:t>audit</w:t>
            </w:r>
            <w:r w:rsidRPr="00EC20A0">
              <w:rPr>
                <w:spacing w:val="-3"/>
              </w:rPr>
              <w:t xml:space="preserve"> </w:t>
            </w:r>
            <w:r w:rsidRPr="00EC20A0">
              <w:t xml:space="preserve">sampling </w:t>
            </w:r>
            <w:r w:rsidRPr="00EC20A0">
              <w:t>specialist when taking the following steps:</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24D6269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shd w:val="clear" w:color="auto" w:fill="BEBEBE"/>
          </w:tcPr>
          <w:p w14:paraId="24D62694" w14:textId="77777777" w:rsidR="00245300" w:rsidRPr="00EC20A0" w:rsidRDefault="00245300">
            <w:pPr>
              <w:pStyle w:val="TableParagraph"/>
            </w:pPr>
          </w:p>
        </w:tc>
      </w:tr>
      <w:tr w:rsidR="00245300" w:rsidRPr="00EC20A0" w14:paraId="24D62699" w14:textId="77777777">
        <w:trPr>
          <w:trHeight w:val="1000"/>
        </w:trPr>
        <w:tc>
          <w:tcPr>
            <w:tcW w:w="7380" w:type="dxa"/>
            <w:tcBorders>
              <w:top w:val="single" w:sz="8" w:space="0" w:color="000000"/>
              <w:bottom w:val="single" w:sz="8" w:space="0" w:color="000000"/>
              <w:right w:val="single" w:sz="8" w:space="0" w:color="000000"/>
            </w:tcBorders>
          </w:tcPr>
          <w:p w14:paraId="24D62696" w14:textId="77777777" w:rsidR="00245300" w:rsidRPr="00EC20A0" w:rsidRDefault="00F17249">
            <w:pPr>
              <w:pStyle w:val="TableParagraph"/>
              <w:tabs>
                <w:tab w:val="left" w:pos="1334"/>
              </w:tabs>
              <w:spacing w:before="121"/>
              <w:ind w:left="1294" w:right="180" w:hanging="361"/>
            </w:pPr>
            <w:r w:rsidRPr="00EC20A0">
              <w:rPr>
                <w:spacing w:val="-6"/>
              </w:rPr>
              <w:t>a.</w:t>
            </w:r>
            <w:r w:rsidRPr="00EC20A0">
              <w:tab/>
            </w:r>
            <w:r w:rsidRPr="00EC20A0">
              <w:tab/>
              <w:t>Designing and evaluating audit samples and determining the</w:t>
            </w:r>
            <w:r w:rsidRPr="00EC20A0">
              <w:rPr>
                <w:spacing w:val="-5"/>
              </w:rPr>
              <w:t xml:space="preserve"> </w:t>
            </w:r>
            <w:r w:rsidRPr="00EC20A0">
              <w:t>costs</w:t>
            </w:r>
            <w:r w:rsidRPr="00EC20A0">
              <w:rPr>
                <w:spacing w:val="-5"/>
              </w:rPr>
              <w:t xml:space="preserve"> </w:t>
            </w:r>
            <w:r w:rsidRPr="00EC20A0">
              <w:t>and</w:t>
            </w:r>
            <w:r w:rsidRPr="00EC20A0">
              <w:rPr>
                <w:spacing w:val="-5"/>
              </w:rPr>
              <w:t xml:space="preserve"> </w:t>
            </w:r>
            <w:r w:rsidRPr="00EC20A0">
              <w:t>benefits</w:t>
            </w:r>
            <w:r w:rsidRPr="00EC20A0">
              <w:rPr>
                <w:spacing w:val="-5"/>
              </w:rPr>
              <w:t xml:space="preserve"> </w:t>
            </w:r>
            <w:r w:rsidRPr="00EC20A0">
              <w:t>when</w:t>
            </w:r>
            <w:r w:rsidRPr="00EC20A0">
              <w:rPr>
                <w:spacing w:val="-5"/>
              </w:rPr>
              <w:t xml:space="preserve"> </w:t>
            </w:r>
            <w:r w:rsidRPr="00EC20A0">
              <w:t>deciding</w:t>
            </w:r>
            <w:r w:rsidRPr="00EC20A0">
              <w:rPr>
                <w:spacing w:val="-5"/>
              </w:rPr>
              <w:t xml:space="preserve"> </w:t>
            </w:r>
            <w:r w:rsidRPr="00EC20A0">
              <w:t>the</w:t>
            </w:r>
            <w:r w:rsidRPr="00EC20A0">
              <w:rPr>
                <w:spacing w:val="-5"/>
              </w:rPr>
              <w:t xml:space="preserve"> </w:t>
            </w:r>
            <w:r w:rsidRPr="00EC20A0">
              <w:t>appropriate</w:t>
            </w:r>
            <w:r w:rsidRPr="00EC20A0">
              <w:rPr>
                <w:spacing w:val="-5"/>
              </w:rPr>
              <w:t xml:space="preserve"> </w:t>
            </w:r>
            <w:r w:rsidRPr="00EC20A0">
              <w:t>type</w:t>
            </w:r>
            <w:r w:rsidRPr="00EC20A0">
              <w:rPr>
                <w:spacing w:val="-5"/>
              </w:rPr>
              <w:t xml:space="preserve"> </w:t>
            </w:r>
            <w:r w:rsidRPr="00EC20A0">
              <w:t>of audit sampling to use? (FAM 400)</w:t>
            </w:r>
          </w:p>
        </w:tc>
        <w:tc>
          <w:tcPr>
            <w:tcW w:w="810" w:type="dxa"/>
            <w:tcBorders>
              <w:top w:val="single" w:sz="8" w:space="0" w:color="000000"/>
              <w:left w:val="single" w:sz="8" w:space="0" w:color="000000"/>
              <w:bottom w:val="single" w:sz="8" w:space="0" w:color="000000"/>
              <w:right w:val="single" w:sz="8" w:space="0" w:color="000000"/>
            </w:tcBorders>
          </w:tcPr>
          <w:p w14:paraId="24D62697"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98" w14:textId="77777777" w:rsidR="00245300" w:rsidRPr="00EC20A0" w:rsidRDefault="00245300">
            <w:pPr>
              <w:pStyle w:val="TableParagraph"/>
            </w:pPr>
          </w:p>
        </w:tc>
      </w:tr>
      <w:tr w:rsidR="00245300" w:rsidRPr="00EC20A0" w14:paraId="24D6269D" w14:textId="77777777">
        <w:trPr>
          <w:trHeight w:val="745"/>
        </w:trPr>
        <w:tc>
          <w:tcPr>
            <w:tcW w:w="7380" w:type="dxa"/>
            <w:tcBorders>
              <w:top w:val="single" w:sz="8" w:space="0" w:color="000000"/>
              <w:bottom w:val="single" w:sz="8" w:space="0" w:color="000000"/>
              <w:right w:val="single" w:sz="8" w:space="0" w:color="000000"/>
            </w:tcBorders>
          </w:tcPr>
          <w:p w14:paraId="24D6269A" w14:textId="77777777" w:rsidR="00245300" w:rsidRPr="00EC20A0" w:rsidRDefault="00F17249">
            <w:pPr>
              <w:pStyle w:val="TableParagraph"/>
              <w:tabs>
                <w:tab w:val="left" w:pos="1338"/>
              </w:tabs>
              <w:spacing w:before="119"/>
              <w:ind w:left="1294" w:right="540" w:hanging="361"/>
            </w:pPr>
            <w:r w:rsidRPr="00EC20A0">
              <w:rPr>
                <w:spacing w:val="-6"/>
              </w:rPr>
              <w:t>b.</w:t>
            </w:r>
            <w:r w:rsidRPr="00EC20A0">
              <w:tab/>
            </w:r>
            <w:r w:rsidRPr="00EC20A0">
              <w:tab/>
              <w:t>Combining</w:t>
            </w:r>
            <w:r w:rsidRPr="00EC20A0">
              <w:rPr>
                <w:spacing w:val="-8"/>
              </w:rPr>
              <w:t xml:space="preserve"> </w:t>
            </w:r>
            <w:r w:rsidRPr="00EC20A0">
              <w:t>sampling</w:t>
            </w:r>
            <w:r w:rsidRPr="00EC20A0">
              <w:rPr>
                <w:spacing w:val="-8"/>
              </w:rPr>
              <w:t xml:space="preserve"> </w:t>
            </w:r>
            <w:r w:rsidRPr="00EC20A0">
              <w:t>precision</w:t>
            </w:r>
            <w:r w:rsidRPr="00EC20A0">
              <w:rPr>
                <w:spacing w:val="-8"/>
              </w:rPr>
              <w:t xml:space="preserve"> </w:t>
            </w:r>
            <w:r w:rsidRPr="00EC20A0">
              <w:t>associated</w:t>
            </w:r>
            <w:r w:rsidRPr="00EC20A0">
              <w:rPr>
                <w:spacing w:val="-8"/>
              </w:rPr>
              <w:t xml:space="preserve"> </w:t>
            </w:r>
            <w:r w:rsidRPr="00EC20A0">
              <w:t>with</w:t>
            </w:r>
            <w:r w:rsidRPr="00EC20A0">
              <w:rPr>
                <w:spacing w:val="-8"/>
              </w:rPr>
              <w:t xml:space="preserve"> </w:t>
            </w:r>
            <w:r w:rsidRPr="00EC20A0">
              <w:t>statistical samples, as appropriate? (FAM 545)</w:t>
            </w:r>
          </w:p>
        </w:tc>
        <w:tc>
          <w:tcPr>
            <w:tcW w:w="810" w:type="dxa"/>
            <w:tcBorders>
              <w:top w:val="single" w:sz="8" w:space="0" w:color="000000"/>
              <w:left w:val="single" w:sz="8" w:space="0" w:color="000000"/>
              <w:bottom w:val="single" w:sz="8" w:space="0" w:color="000000"/>
              <w:right w:val="single" w:sz="8" w:space="0" w:color="000000"/>
            </w:tcBorders>
          </w:tcPr>
          <w:p w14:paraId="24D6269B"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9C" w14:textId="77777777" w:rsidR="00245300" w:rsidRPr="00EC20A0" w:rsidRDefault="00245300">
            <w:pPr>
              <w:pStyle w:val="TableParagraph"/>
            </w:pPr>
          </w:p>
        </w:tc>
      </w:tr>
      <w:tr w:rsidR="00245300" w:rsidRPr="00EC20A0" w14:paraId="24D626A1" w14:textId="77777777">
        <w:trPr>
          <w:trHeight w:val="745"/>
        </w:trPr>
        <w:tc>
          <w:tcPr>
            <w:tcW w:w="7380" w:type="dxa"/>
            <w:tcBorders>
              <w:top w:val="single" w:sz="8" w:space="0" w:color="000000"/>
              <w:bottom w:val="single" w:sz="8" w:space="0" w:color="000000"/>
              <w:right w:val="single" w:sz="8" w:space="0" w:color="000000"/>
            </w:tcBorders>
          </w:tcPr>
          <w:p w14:paraId="24D6269E" w14:textId="77777777" w:rsidR="00245300" w:rsidRPr="00EC20A0" w:rsidRDefault="00F17249">
            <w:pPr>
              <w:pStyle w:val="TableParagraph"/>
              <w:tabs>
                <w:tab w:val="left" w:pos="1334"/>
              </w:tabs>
              <w:spacing w:before="119"/>
              <w:ind w:left="1294" w:right="470" w:hanging="361"/>
            </w:pPr>
            <w:r w:rsidRPr="00EC20A0">
              <w:rPr>
                <w:spacing w:val="-6"/>
              </w:rPr>
              <w:t>c.</w:t>
            </w:r>
            <w:r w:rsidRPr="00EC20A0">
              <w:tab/>
            </w:r>
            <w:r w:rsidRPr="00EC20A0">
              <w:tab/>
              <w:t>Expanding</w:t>
            </w:r>
            <w:r w:rsidRPr="00EC20A0">
              <w:rPr>
                <w:spacing w:val="-5"/>
              </w:rPr>
              <w:t xml:space="preserve"> </w:t>
            </w:r>
            <w:r w:rsidRPr="00EC20A0">
              <w:t>the</w:t>
            </w:r>
            <w:r w:rsidRPr="00EC20A0">
              <w:rPr>
                <w:spacing w:val="-5"/>
              </w:rPr>
              <w:t xml:space="preserve"> </w:t>
            </w:r>
            <w:r w:rsidRPr="00EC20A0">
              <w:t>audit</w:t>
            </w:r>
            <w:r w:rsidRPr="00EC20A0">
              <w:rPr>
                <w:spacing w:val="-5"/>
              </w:rPr>
              <w:t xml:space="preserve"> </w:t>
            </w:r>
            <w:r w:rsidRPr="00EC20A0">
              <w:t>sample</w:t>
            </w:r>
            <w:r w:rsidRPr="00EC20A0">
              <w:rPr>
                <w:spacing w:val="-5"/>
              </w:rPr>
              <w:t xml:space="preserve"> </w:t>
            </w:r>
            <w:r w:rsidRPr="00EC20A0">
              <w:t>size</w:t>
            </w:r>
            <w:r w:rsidRPr="00EC20A0">
              <w:rPr>
                <w:spacing w:val="-5"/>
              </w:rPr>
              <w:t xml:space="preserve"> </w:t>
            </w:r>
            <w:r w:rsidRPr="00EC20A0">
              <w:t>to</w:t>
            </w:r>
            <w:r w:rsidRPr="00EC20A0">
              <w:rPr>
                <w:spacing w:val="-6"/>
              </w:rPr>
              <w:t xml:space="preserve"> </w:t>
            </w:r>
            <w:r w:rsidRPr="00EC20A0">
              <w:t>test</w:t>
            </w:r>
            <w:r w:rsidRPr="00EC20A0">
              <w:rPr>
                <w:spacing w:val="-5"/>
              </w:rPr>
              <w:t xml:space="preserve"> </w:t>
            </w:r>
            <w:r w:rsidRPr="00EC20A0">
              <w:t>additional</w:t>
            </w:r>
            <w:r w:rsidRPr="00EC20A0">
              <w:rPr>
                <w:spacing w:val="-5"/>
              </w:rPr>
              <w:t xml:space="preserve"> </w:t>
            </w:r>
            <w:r w:rsidRPr="00EC20A0">
              <w:t>items? (FAM 440, 450, 460, and 480)</w:t>
            </w:r>
          </w:p>
        </w:tc>
        <w:tc>
          <w:tcPr>
            <w:tcW w:w="810" w:type="dxa"/>
            <w:tcBorders>
              <w:top w:val="single" w:sz="8" w:space="0" w:color="000000"/>
              <w:left w:val="single" w:sz="8" w:space="0" w:color="000000"/>
              <w:bottom w:val="single" w:sz="8" w:space="0" w:color="000000"/>
              <w:right w:val="single" w:sz="8" w:space="0" w:color="000000"/>
            </w:tcBorders>
          </w:tcPr>
          <w:p w14:paraId="24D6269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A0" w14:textId="77777777" w:rsidR="00245300" w:rsidRPr="00EC20A0" w:rsidRDefault="00245300">
            <w:pPr>
              <w:pStyle w:val="TableParagraph"/>
            </w:pPr>
          </w:p>
        </w:tc>
      </w:tr>
      <w:tr w:rsidR="00245300" w:rsidRPr="00EC20A0" w14:paraId="24D626A5" w14:textId="77777777">
        <w:trPr>
          <w:trHeight w:val="745"/>
        </w:trPr>
        <w:tc>
          <w:tcPr>
            <w:tcW w:w="7380" w:type="dxa"/>
            <w:tcBorders>
              <w:top w:val="single" w:sz="8" w:space="0" w:color="000000"/>
              <w:bottom w:val="single" w:sz="8" w:space="0" w:color="000000"/>
              <w:right w:val="single" w:sz="8" w:space="0" w:color="000000"/>
            </w:tcBorders>
          </w:tcPr>
          <w:p w14:paraId="24D626A2" w14:textId="77777777" w:rsidR="00245300" w:rsidRPr="00EC20A0" w:rsidRDefault="00F17249">
            <w:pPr>
              <w:pStyle w:val="TableParagraph"/>
              <w:tabs>
                <w:tab w:val="left" w:pos="1334"/>
              </w:tabs>
              <w:spacing w:before="121"/>
              <w:ind w:left="1293" w:right="273" w:hanging="360"/>
            </w:pPr>
            <w:r w:rsidRPr="00EC20A0">
              <w:rPr>
                <w:spacing w:val="-6"/>
              </w:rPr>
              <w:t>d.</w:t>
            </w:r>
            <w:r w:rsidRPr="00EC20A0">
              <w:tab/>
            </w:r>
            <w:r w:rsidRPr="00EC20A0">
              <w:tab/>
              <w:t>Continuing</w:t>
            </w:r>
            <w:r w:rsidRPr="00EC20A0">
              <w:rPr>
                <w:spacing w:val="-5"/>
              </w:rPr>
              <w:t xml:space="preserve"> </w:t>
            </w:r>
            <w:r w:rsidRPr="00EC20A0">
              <w:t>to</w:t>
            </w:r>
            <w:r w:rsidRPr="00EC20A0">
              <w:rPr>
                <w:spacing w:val="-5"/>
              </w:rPr>
              <w:t xml:space="preserve"> </w:t>
            </w:r>
            <w:r w:rsidRPr="00EC20A0">
              <w:t>test</w:t>
            </w:r>
            <w:r w:rsidRPr="00EC20A0">
              <w:rPr>
                <w:spacing w:val="-5"/>
              </w:rPr>
              <w:t xml:space="preserve"> </w:t>
            </w:r>
            <w:r w:rsidRPr="00EC20A0">
              <w:t>an</w:t>
            </w:r>
            <w:r w:rsidRPr="00EC20A0">
              <w:rPr>
                <w:spacing w:val="-5"/>
              </w:rPr>
              <w:t xml:space="preserve"> </w:t>
            </w:r>
            <w:r w:rsidRPr="00EC20A0">
              <w:t>audit</w:t>
            </w:r>
            <w:r w:rsidRPr="00EC20A0">
              <w:rPr>
                <w:spacing w:val="-5"/>
              </w:rPr>
              <w:t xml:space="preserve"> </w:t>
            </w:r>
            <w:r w:rsidRPr="00EC20A0">
              <w:t>sample</w:t>
            </w:r>
            <w:r w:rsidRPr="00EC20A0">
              <w:rPr>
                <w:spacing w:val="-5"/>
              </w:rPr>
              <w:t xml:space="preserve"> </w:t>
            </w:r>
            <w:r w:rsidRPr="00EC20A0">
              <w:t>when</w:t>
            </w:r>
            <w:r w:rsidRPr="00EC20A0">
              <w:rPr>
                <w:spacing w:val="-5"/>
              </w:rPr>
              <w:t xml:space="preserve"> </w:t>
            </w:r>
            <w:r w:rsidRPr="00EC20A0">
              <w:t>deviations</w:t>
            </w:r>
            <w:r w:rsidRPr="00EC20A0">
              <w:rPr>
                <w:spacing w:val="-5"/>
              </w:rPr>
              <w:t xml:space="preserve"> </w:t>
            </w:r>
            <w:r w:rsidRPr="00EC20A0">
              <w:t>exceed the acceptable number? (FAM 450)</w:t>
            </w:r>
          </w:p>
        </w:tc>
        <w:tc>
          <w:tcPr>
            <w:tcW w:w="810" w:type="dxa"/>
            <w:tcBorders>
              <w:top w:val="single" w:sz="8" w:space="0" w:color="000000"/>
              <w:left w:val="single" w:sz="8" w:space="0" w:color="000000"/>
              <w:bottom w:val="single" w:sz="8" w:space="0" w:color="000000"/>
              <w:right w:val="single" w:sz="8" w:space="0" w:color="000000"/>
            </w:tcBorders>
          </w:tcPr>
          <w:p w14:paraId="24D626A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A4" w14:textId="77777777" w:rsidR="00245300" w:rsidRPr="00EC20A0" w:rsidRDefault="00245300">
            <w:pPr>
              <w:pStyle w:val="TableParagraph"/>
            </w:pPr>
          </w:p>
        </w:tc>
      </w:tr>
      <w:tr w:rsidR="00245300" w:rsidRPr="00EC20A0" w14:paraId="24D626A9" w14:textId="77777777">
        <w:trPr>
          <w:trHeight w:val="493"/>
        </w:trPr>
        <w:tc>
          <w:tcPr>
            <w:tcW w:w="7380" w:type="dxa"/>
            <w:tcBorders>
              <w:top w:val="single" w:sz="8" w:space="0" w:color="000000"/>
              <w:bottom w:val="single" w:sz="8" w:space="0" w:color="000000"/>
              <w:right w:val="single" w:sz="8" w:space="0" w:color="000000"/>
            </w:tcBorders>
          </w:tcPr>
          <w:p w14:paraId="24D626A6" w14:textId="77777777" w:rsidR="00245300" w:rsidRPr="00EC20A0" w:rsidRDefault="00F17249">
            <w:pPr>
              <w:pStyle w:val="TableParagraph"/>
              <w:tabs>
                <w:tab w:val="left" w:pos="1334"/>
              </w:tabs>
              <w:spacing w:before="121"/>
              <w:ind w:left="933"/>
            </w:pPr>
            <w:r w:rsidRPr="00EC20A0">
              <w:rPr>
                <w:spacing w:val="-5"/>
              </w:rPr>
              <w:t>e.</w:t>
            </w:r>
            <w:r w:rsidRPr="00EC20A0">
              <w:tab/>
            </w:r>
            <w:r w:rsidRPr="00EC20A0">
              <w:t>Deciding</w:t>
            </w:r>
            <w:r w:rsidRPr="00EC20A0">
              <w:rPr>
                <w:spacing w:val="-9"/>
              </w:rPr>
              <w:t xml:space="preserve"> </w:t>
            </w:r>
            <w:r w:rsidRPr="00EC20A0">
              <w:t>to</w:t>
            </w:r>
            <w:r w:rsidRPr="00EC20A0">
              <w:rPr>
                <w:spacing w:val="-10"/>
              </w:rPr>
              <w:t xml:space="preserve"> </w:t>
            </w:r>
            <w:r w:rsidRPr="00EC20A0">
              <w:t>perform</w:t>
            </w:r>
            <w:r w:rsidRPr="00EC20A0">
              <w:rPr>
                <w:spacing w:val="-9"/>
              </w:rPr>
              <w:t xml:space="preserve"> </w:t>
            </w:r>
            <w:r w:rsidRPr="00EC20A0">
              <w:t>nonstatistical</w:t>
            </w:r>
            <w:r w:rsidRPr="00EC20A0">
              <w:rPr>
                <w:spacing w:val="-10"/>
              </w:rPr>
              <w:t xml:space="preserve"> </w:t>
            </w:r>
            <w:r w:rsidRPr="00EC20A0">
              <w:t>sampling?</w:t>
            </w:r>
            <w:r w:rsidRPr="00EC20A0">
              <w:rPr>
                <w:spacing w:val="-8"/>
              </w:rPr>
              <w:t xml:space="preserve"> </w:t>
            </w:r>
            <w:r w:rsidRPr="00EC20A0">
              <w:t>(FAM</w:t>
            </w:r>
            <w:r w:rsidRPr="00EC20A0">
              <w:rPr>
                <w:spacing w:val="-10"/>
              </w:rPr>
              <w:t xml:space="preserve"> </w:t>
            </w:r>
            <w:r w:rsidRPr="00EC20A0">
              <w:rPr>
                <w:spacing w:val="-4"/>
              </w:rPr>
              <w:t>480)</w:t>
            </w:r>
          </w:p>
        </w:tc>
        <w:tc>
          <w:tcPr>
            <w:tcW w:w="810" w:type="dxa"/>
            <w:tcBorders>
              <w:top w:val="single" w:sz="8" w:space="0" w:color="000000"/>
              <w:left w:val="single" w:sz="8" w:space="0" w:color="000000"/>
              <w:bottom w:val="single" w:sz="8" w:space="0" w:color="000000"/>
              <w:right w:val="single" w:sz="8" w:space="0" w:color="000000"/>
            </w:tcBorders>
          </w:tcPr>
          <w:p w14:paraId="24D626A7"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A8" w14:textId="77777777" w:rsidR="00245300" w:rsidRPr="00EC20A0" w:rsidRDefault="00245300">
            <w:pPr>
              <w:pStyle w:val="TableParagraph"/>
            </w:pPr>
          </w:p>
        </w:tc>
      </w:tr>
      <w:tr w:rsidR="00245300" w:rsidRPr="00EC20A0" w14:paraId="24D626AD" w14:textId="77777777">
        <w:trPr>
          <w:trHeight w:val="745"/>
        </w:trPr>
        <w:tc>
          <w:tcPr>
            <w:tcW w:w="7380" w:type="dxa"/>
            <w:tcBorders>
              <w:top w:val="single" w:sz="8" w:space="0" w:color="000000"/>
              <w:bottom w:val="single" w:sz="8" w:space="0" w:color="000000"/>
              <w:right w:val="single" w:sz="8" w:space="0" w:color="000000"/>
            </w:tcBorders>
          </w:tcPr>
          <w:p w14:paraId="24D626AA" w14:textId="77777777" w:rsidR="00245300" w:rsidRPr="00EC20A0" w:rsidRDefault="00F17249">
            <w:pPr>
              <w:pStyle w:val="TableParagraph"/>
              <w:tabs>
                <w:tab w:val="left" w:pos="1334"/>
              </w:tabs>
              <w:spacing w:before="119"/>
              <w:ind w:left="1293" w:right="923" w:hanging="360"/>
            </w:pPr>
            <w:r w:rsidRPr="00EC20A0">
              <w:rPr>
                <w:spacing w:val="-6"/>
              </w:rPr>
              <w:t>f.</w:t>
            </w:r>
            <w:r w:rsidRPr="00EC20A0">
              <w:tab/>
            </w:r>
            <w:r w:rsidRPr="00EC20A0">
              <w:tab/>
              <w:t>Using</w:t>
            </w:r>
            <w:r w:rsidRPr="00EC20A0">
              <w:rPr>
                <w:spacing w:val="-8"/>
              </w:rPr>
              <w:t xml:space="preserve"> </w:t>
            </w:r>
            <w:r w:rsidRPr="00EC20A0">
              <w:t>regression</w:t>
            </w:r>
            <w:r w:rsidRPr="00EC20A0">
              <w:rPr>
                <w:spacing w:val="-8"/>
              </w:rPr>
              <w:t xml:space="preserve"> </w:t>
            </w:r>
            <w:r w:rsidRPr="00EC20A0">
              <w:t>analysis</w:t>
            </w:r>
            <w:r w:rsidRPr="00EC20A0">
              <w:rPr>
                <w:spacing w:val="-8"/>
              </w:rPr>
              <w:t xml:space="preserve"> </w:t>
            </w:r>
            <w:r w:rsidRPr="00EC20A0">
              <w:t>for</w:t>
            </w:r>
            <w:r w:rsidRPr="00EC20A0">
              <w:rPr>
                <w:spacing w:val="-8"/>
              </w:rPr>
              <w:t xml:space="preserve"> </w:t>
            </w:r>
            <w:r w:rsidRPr="00EC20A0">
              <w:t>analytical</w:t>
            </w:r>
            <w:r w:rsidRPr="00EC20A0">
              <w:rPr>
                <w:spacing w:val="-8"/>
              </w:rPr>
              <w:t xml:space="preserve"> </w:t>
            </w:r>
            <w:r w:rsidRPr="00EC20A0">
              <w:t>procedures? (FAM 495 A)</w:t>
            </w:r>
          </w:p>
        </w:tc>
        <w:tc>
          <w:tcPr>
            <w:tcW w:w="810" w:type="dxa"/>
            <w:tcBorders>
              <w:top w:val="single" w:sz="8" w:space="0" w:color="000000"/>
              <w:left w:val="single" w:sz="8" w:space="0" w:color="000000"/>
              <w:bottom w:val="single" w:sz="8" w:space="0" w:color="000000"/>
              <w:right w:val="single" w:sz="8" w:space="0" w:color="000000"/>
            </w:tcBorders>
          </w:tcPr>
          <w:p w14:paraId="24D626AB"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AC" w14:textId="77777777" w:rsidR="00245300" w:rsidRPr="00EC20A0" w:rsidRDefault="00245300">
            <w:pPr>
              <w:pStyle w:val="TableParagraph"/>
            </w:pPr>
          </w:p>
        </w:tc>
      </w:tr>
      <w:tr w:rsidR="00245300" w:rsidRPr="00EC20A0" w14:paraId="24D626B1" w14:textId="77777777">
        <w:trPr>
          <w:trHeight w:val="746"/>
        </w:trPr>
        <w:tc>
          <w:tcPr>
            <w:tcW w:w="7380" w:type="dxa"/>
            <w:tcBorders>
              <w:top w:val="single" w:sz="8" w:space="0" w:color="000000"/>
              <w:bottom w:val="single" w:sz="8" w:space="0" w:color="000000"/>
              <w:right w:val="single" w:sz="8" w:space="0" w:color="000000"/>
            </w:tcBorders>
          </w:tcPr>
          <w:p w14:paraId="24D626AE" w14:textId="77777777" w:rsidR="00245300" w:rsidRPr="00EC20A0" w:rsidRDefault="00F17249">
            <w:pPr>
              <w:pStyle w:val="TableParagraph"/>
              <w:spacing w:before="121"/>
              <w:ind w:left="843" w:right="480" w:hanging="360"/>
            </w:pPr>
            <w:r w:rsidRPr="00EC20A0">
              <w:t>3.</w:t>
            </w:r>
            <w:r w:rsidRPr="00EC20A0">
              <w:rPr>
                <w:spacing w:val="80"/>
              </w:rPr>
              <w:t xml:space="preserve"> </w:t>
            </w:r>
            <w:r w:rsidRPr="00EC20A0">
              <w:t>When</w:t>
            </w:r>
            <w:r w:rsidRPr="00EC20A0">
              <w:rPr>
                <w:spacing w:val="-4"/>
              </w:rPr>
              <w:t xml:space="preserve"> </w:t>
            </w:r>
            <w:r w:rsidRPr="00EC20A0">
              <w:t>applicable,</w:t>
            </w:r>
            <w:r w:rsidRPr="00EC20A0">
              <w:rPr>
                <w:spacing w:val="-4"/>
              </w:rPr>
              <w:t xml:space="preserve"> </w:t>
            </w:r>
            <w:r w:rsidRPr="00EC20A0">
              <w:t>did</w:t>
            </w:r>
            <w:r w:rsidRPr="00EC20A0">
              <w:rPr>
                <w:spacing w:val="-4"/>
              </w:rPr>
              <w:t xml:space="preserve"> </w:t>
            </w:r>
            <w:r w:rsidRPr="00EC20A0">
              <w:t>the</w:t>
            </w:r>
            <w:r w:rsidRPr="00EC20A0">
              <w:rPr>
                <w:spacing w:val="-5"/>
              </w:rPr>
              <w:t xml:space="preserve"> </w:t>
            </w:r>
            <w:r w:rsidRPr="00EC20A0">
              <w:t>engagement</w:t>
            </w:r>
            <w:r w:rsidRPr="00EC20A0">
              <w:rPr>
                <w:spacing w:val="-4"/>
              </w:rPr>
              <w:t xml:space="preserve"> </w:t>
            </w:r>
            <w:r w:rsidRPr="00EC20A0">
              <w:t>team</w:t>
            </w:r>
            <w:r w:rsidRPr="00EC20A0">
              <w:rPr>
                <w:spacing w:val="-5"/>
              </w:rPr>
              <w:t xml:space="preserve"> </w:t>
            </w:r>
            <w:r w:rsidRPr="00EC20A0">
              <w:t>consult</w:t>
            </w:r>
            <w:r w:rsidRPr="00EC20A0">
              <w:rPr>
                <w:spacing w:val="-4"/>
              </w:rPr>
              <w:t xml:space="preserve"> </w:t>
            </w:r>
            <w:r w:rsidRPr="00EC20A0">
              <w:t>with</w:t>
            </w:r>
            <w:r w:rsidRPr="00EC20A0">
              <w:rPr>
                <w:spacing w:val="-4"/>
              </w:rPr>
              <w:t xml:space="preserve"> </w:t>
            </w:r>
            <w:r w:rsidRPr="00EC20A0">
              <w:t>the OGC when taking the following steps:</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24D626A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shd w:val="clear" w:color="auto" w:fill="BEBEBE"/>
          </w:tcPr>
          <w:p w14:paraId="24D626B0" w14:textId="77777777" w:rsidR="00245300" w:rsidRPr="00EC20A0" w:rsidRDefault="00245300">
            <w:pPr>
              <w:pStyle w:val="TableParagraph"/>
            </w:pPr>
          </w:p>
        </w:tc>
      </w:tr>
      <w:tr w:rsidR="00245300" w:rsidRPr="00EC20A0" w14:paraId="24D626B5" w14:textId="77777777">
        <w:trPr>
          <w:trHeight w:val="998"/>
        </w:trPr>
        <w:tc>
          <w:tcPr>
            <w:tcW w:w="7380" w:type="dxa"/>
            <w:tcBorders>
              <w:top w:val="single" w:sz="8" w:space="0" w:color="000000"/>
              <w:bottom w:val="single" w:sz="8" w:space="0" w:color="000000"/>
              <w:right w:val="single" w:sz="8" w:space="0" w:color="000000"/>
            </w:tcBorders>
          </w:tcPr>
          <w:p w14:paraId="24D626B2" w14:textId="77777777" w:rsidR="00245300" w:rsidRPr="00EC20A0" w:rsidRDefault="00F17249">
            <w:pPr>
              <w:pStyle w:val="TableParagraph"/>
              <w:tabs>
                <w:tab w:val="left" w:pos="1334"/>
              </w:tabs>
              <w:spacing w:before="119"/>
              <w:ind w:left="1293" w:right="424" w:hanging="360"/>
            </w:pPr>
            <w:r w:rsidRPr="00EC20A0">
              <w:rPr>
                <w:spacing w:val="-6"/>
              </w:rPr>
              <w:t>a.</w:t>
            </w:r>
            <w:r w:rsidRPr="00EC20A0">
              <w:tab/>
            </w:r>
            <w:r w:rsidRPr="00EC20A0">
              <w:tab/>
            </w:r>
            <w:r w:rsidRPr="00EC20A0">
              <w:t>Identifying provisions of laws and regulations that have a direct</w:t>
            </w:r>
            <w:r w:rsidRPr="00EC20A0">
              <w:rPr>
                <w:spacing w:val="-5"/>
              </w:rPr>
              <w:t xml:space="preserve"> </w:t>
            </w:r>
            <w:r w:rsidRPr="00EC20A0">
              <w:t>effect</w:t>
            </w:r>
            <w:r w:rsidRPr="00EC20A0">
              <w:rPr>
                <w:spacing w:val="-6"/>
              </w:rPr>
              <w:t xml:space="preserve"> </w:t>
            </w:r>
            <w:r w:rsidRPr="00EC20A0">
              <w:t>on</w:t>
            </w:r>
            <w:r w:rsidRPr="00EC20A0">
              <w:rPr>
                <w:spacing w:val="-5"/>
              </w:rPr>
              <w:t xml:space="preserve"> </w:t>
            </w:r>
            <w:r w:rsidRPr="00EC20A0">
              <w:t>the</w:t>
            </w:r>
            <w:r w:rsidRPr="00EC20A0">
              <w:rPr>
                <w:spacing w:val="-5"/>
              </w:rPr>
              <w:t xml:space="preserve"> </w:t>
            </w:r>
            <w:r w:rsidRPr="00EC20A0">
              <w:t>determination</w:t>
            </w:r>
            <w:r w:rsidRPr="00EC20A0">
              <w:rPr>
                <w:spacing w:val="-5"/>
              </w:rPr>
              <w:t xml:space="preserve"> </w:t>
            </w:r>
            <w:r w:rsidRPr="00EC20A0">
              <w:t>of</w:t>
            </w:r>
            <w:r w:rsidRPr="00EC20A0">
              <w:rPr>
                <w:spacing w:val="-4"/>
              </w:rPr>
              <w:t xml:space="preserve"> </w:t>
            </w:r>
            <w:r w:rsidRPr="00EC20A0">
              <w:t>material</w:t>
            </w:r>
            <w:r w:rsidRPr="00EC20A0">
              <w:rPr>
                <w:spacing w:val="-5"/>
              </w:rPr>
              <w:t xml:space="preserve"> </w:t>
            </w:r>
            <w:r w:rsidRPr="00EC20A0">
              <w:t>amounts</w:t>
            </w:r>
            <w:r w:rsidRPr="00EC20A0">
              <w:rPr>
                <w:spacing w:val="-5"/>
              </w:rPr>
              <w:t xml:space="preserve"> </w:t>
            </w:r>
            <w:r w:rsidRPr="00EC20A0">
              <w:t>and disclosures in the financial statements? (FAM 245)</w:t>
            </w:r>
          </w:p>
        </w:tc>
        <w:tc>
          <w:tcPr>
            <w:tcW w:w="810" w:type="dxa"/>
            <w:tcBorders>
              <w:top w:val="single" w:sz="8" w:space="0" w:color="000000"/>
              <w:left w:val="single" w:sz="8" w:space="0" w:color="000000"/>
              <w:bottom w:val="single" w:sz="8" w:space="0" w:color="000000"/>
              <w:right w:val="single" w:sz="8" w:space="0" w:color="000000"/>
            </w:tcBorders>
          </w:tcPr>
          <w:p w14:paraId="24D626B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B4" w14:textId="77777777" w:rsidR="00245300" w:rsidRPr="00EC20A0" w:rsidRDefault="00245300">
            <w:pPr>
              <w:pStyle w:val="TableParagraph"/>
            </w:pPr>
          </w:p>
        </w:tc>
      </w:tr>
      <w:tr w:rsidR="00245300" w:rsidRPr="00EC20A0" w14:paraId="24D626B9" w14:textId="77777777">
        <w:trPr>
          <w:trHeight w:val="492"/>
        </w:trPr>
        <w:tc>
          <w:tcPr>
            <w:tcW w:w="7380" w:type="dxa"/>
            <w:tcBorders>
              <w:top w:val="single" w:sz="8" w:space="0" w:color="000000"/>
              <w:bottom w:val="single" w:sz="8" w:space="0" w:color="000000"/>
              <w:right w:val="single" w:sz="8" w:space="0" w:color="000000"/>
            </w:tcBorders>
          </w:tcPr>
          <w:p w14:paraId="24D626B6" w14:textId="77777777" w:rsidR="00245300" w:rsidRPr="00EC20A0" w:rsidRDefault="00F17249">
            <w:pPr>
              <w:pStyle w:val="TableParagraph"/>
              <w:tabs>
                <w:tab w:val="left" w:pos="1334"/>
              </w:tabs>
              <w:spacing w:before="119"/>
              <w:ind w:left="933"/>
            </w:pPr>
            <w:r w:rsidRPr="00EC20A0">
              <w:rPr>
                <w:spacing w:val="-5"/>
              </w:rPr>
              <w:t>b.</w:t>
            </w:r>
            <w:r w:rsidRPr="00EC20A0">
              <w:tab/>
              <w:t>Identifying</w:t>
            </w:r>
            <w:r w:rsidRPr="00EC20A0">
              <w:rPr>
                <w:spacing w:val="-10"/>
              </w:rPr>
              <w:t xml:space="preserve"> </w:t>
            </w:r>
            <w:r w:rsidRPr="00EC20A0">
              <w:t>relevant</w:t>
            </w:r>
            <w:r w:rsidRPr="00EC20A0">
              <w:rPr>
                <w:spacing w:val="-9"/>
              </w:rPr>
              <w:t xml:space="preserve"> </w:t>
            </w:r>
            <w:r w:rsidRPr="00EC20A0">
              <w:t>budget</w:t>
            </w:r>
            <w:r w:rsidRPr="00EC20A0">
              <w:rPr>
                <w:spacing w:val="-10"/>
              </w:rPr>
              <w:t xml:space="preserve"> </w:t>
            </w:r>
            <w:r w:rsidRPr="00EC20A0">
              <w:t>restrictions?</w:t>
            </w:r>
            <w:r w:rsidRPr="00EC20A0">
              <w:rPr>
                <w:spacing w:val="-9"/>
              </w:rPr>
              <w:t xml:space="preserve"> </w:t>
            </w:r>
            <w:r w:rsidRPr="00EC20A0">
              <w:t>(FAM</w:t>
            </w:r>
            <w:r w:rsidRPr="00EC20A0">
              <w:rPr>
                <w:spacing w:val="-10"/>
              </w:rPr>
              <w:t xml:space="preserve"> </w:t>
            </w:r>
            <w:r w:rsidRPr="00EC20A0">
              <w:rPr>
                <w:spacing w:val="-4"/>
              </w:rPr>
              <w:t>250)</w:t>
            </w:r>
          </w:p>
        </w:tc>
        <w:tc>
          <w:tcPr>
            <w:tcW w:w="810" w:type="dxa"/>
            <w:tcBorders>
              <w:top w:val="single" w:sz="8" w:space="0" w:color="000000"/>
              <w:left w:val="single" w:sz="8" w:space="0" w:color="000000"/>
              <w:bottom w:val="single" w:sz="8" w:space="0" w:color="000000"/>
              <w:right w:val="single" w:sz="8" w:space="0" w:color="000000"/>
            </w:tcBorders>
          </w:tcPr>
          <w:p w14:paraId="24D626B7"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B8" w14:textId="77777777" w:rsidR="00245300" w:rsidRPr="00EC20A0" w:rsidRDefault="00245300">
            <w:pPr>
              <w:pStyle w:val="TableParagraph"/>
            </w:pPr>
          </w:p>
        </w:tc>
      </w:tr>
      <w:tr w:rsidR="00245300" w:rsidRPr="00EC20A0" w14:paraId="24D626BD" w14:textId="77777777">
        <w:trPr>
          <w:trHeight w:val="745"/>
        </w:trPr>
        <w:tc>
          <w:tcPr>
            <w:tcW w:w="7380" w:type="dxa"/>
            <w:tcBorders>
              <w:top w:val="single" w:sz="8" w:space="0" w:color="000000"/>
              <w:bottom w:val="single" w:sz="8" w:space="0" w:color="000000"/>
              <w:right w:val="single" w:sz="8" w:space="0" w:color="000000"/>
            </w:tcBorders>
          </w:tcPr>
          <w:p w14:paraId="24D626BA" w14:textId="77777777" w:rsidR="00245300" w:rsidRPr="00EC20A0" w:rsidRDefault="00F17249">
            <w:pPr>
              <w:pStyle w:val="TableParagraph"/>
              <w:tabs>
                <w:tab w:val="left" w:pos="1334"/>
              </w:tabs>
              <w:spacing w:before="121"/>
              <w:ind w:left="1293" w:right="140" w:hanging="360"/>
            </w:pPr>
            <w:r w:rsidRPr="00EC20A0">
              <w:rPr>
                <w:spacing w:val="-6"/>
              </w:rPr>
              <w:t>c.</w:t>
            </w:r>
            <w:r w:rsidRPr="00EC20A0">
              <w:tab/>
            </w:r>
            <w:r w:rsidRPr="00EC20A0">
              <w:tab/>
              <w:t>Identifying</w:t>
            </w:r>
            <w:r w:rsidRPr="00EC20A0">
              <w:rPr>
                <w:spacing w:val="-5"/>
              </w:rPr>
              <w:t xml:space="preserve"> </w:t>
            </w:r>
            <w:r w:rsidRPr="00EC20A0">
              <w:t>any</w:t>
            </w:r>
            <w:r w:rsidRPr="00EC20A0">
              <w:rPr>
                <w:spacing w:val="-5"/>
              </w:rPr>
              <w:t xml:space="preserve"> </w:t>
            </w:r>
            <w:r w:rsidRPr="00EC20A0">
              <w:t>impoundments</w:t>
            </w:r>
            <w:r w:rsidRPr="00EC20A0">
              <w:rPr>
                <w:spacing w:val="-5"/>
              </w:rPr>
              <w:t xml:space="preserve"> </w:t>
            </w:r>
            <w:r w:rsidRPr="00EC20A0">
              <w:t>(rescissions</w:t>
            </w:r>
            <w:r w:rsidRPr="00EC20A0">
              <w:rPr>
                <w:spacing w:val="-5"/>
              </w:rPr>
              <w:t xml:space="preserve"> </w:t>
            </w:r>
            <w:r w:rsidRPr="00EC20A0">
              <w:t>or</w:t>
            </w:r>
            <w:r w:rsidRPr="00EC20A0">
              <w:rPr>
                <w:spacing w:val="-7"/>
              </w:rPr>
              <w:t xml:space="preserve"> </w:t>
            </w:r>
            <w:r w:rsidRPr="00EC20A0">
              <w:t>deferrals)</w:t>
            </w:r>
            <w:r w:rsidRPr="00EC20A0">
              <w:rPr>
                <w:spacing w:val="-5"/>
              </w:rPr>
              <w:t xml:space="preserve"> </w:t>
            </w:r>
            <w:r w:rsidRPr="00EC20A0">
              <w:t>as</w:t>
            </w:r>
            <w:r w:rsidRPr="00EC20A0">
              <w:rPr>
                <w:spacing w:val="-5"/>
              </w:rPr>
              <w:t xml:space="preserve"> </w:t>
            </w:r>
            <w:r w:rsidRPr="00EC20A0">
              <w:t>a result of evaluating budgetary controls? (FAM 395 F)</w:t>
            </w:r>
          </w:p>
        </w:tc>
        <w:tc>
          <w:tcPr>
            <w:tcW w:w="810" w:type="dxa"/>
            <w:tcBorders>
              <w:top w:val="single" w:sz="8" w:space="0" w:color="000000"/>
              <w:left w:val="single" w:sz="8" w:space="0" w:color="000000"/>
              <w:bottom w:val="single" w:sz="8" w:space="0" w:color="000000"/>
              <w:right w:val="single" w:sz="8" w:space="0" w:color="000000"/>
            </w:tcBorders>
          </w:tcPr>
          <w:p w14:paraId="24D626BB"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BC" w14:textId="77777777" w:rsidR="00245300" w:rsidRPr="00EC20A0" w:rsidRDefault="00245300">
            <w:pPr>
              <w:pStyle w:val="TableParagraph"/>
            </w:pPr>
          </w:p>
        </w:tc>
      </w:tr>
      <w:tr w:rsidR="00245300" w:rsidRPr="00EC20A0" w14:paraId="24D626C1" w14:textId="77777777">
        <w:trPr>
          <w:trHeight w:val="1000"/>
        </w:trPr>
        <w:tc>
          <w:tcPr>
            <w:tcW w:w="7380" w:type="dxa"/>
            <w:tcBorders>
              <w:top w:val="single" w:sz="8" w:space="0" w:color="000000"/>
              <w:bottom w:val="single" w:sz="8" w:space="0" w:color="000000"/>
              <w:right w:val="single" w:sz="8" w:space="0" w:color="000000"/>
            </w:tcBorders>
          </w:tcPr>
          <w:p w14:paraId="24D626BE" w14:textId="77777777" w:rsidR="00245300" w:rsidRPr="00EC20A0" w:rsidRDefault="00F17249">
            <w:pPr>
              <w:pStyle w:val="TableParagraph"/>
              <w:tabs>
                <w:tab w:val="left" w:pos="1334"/>
              </w:tabs>
              <w:spacing w:before="121"/>
              <w:ind w:left="1293" w:right="494" w:hanging="360"/>
            </w:pPr>
            <w:r w:rsidRPr="00EC20A0">
              <w:rPr>
                <w:spacing w:val="-6"/>
              </w:rPr>
              <w:t>d.</w:t>
            </w:r>
            <w:r w:rsidRPr="00EC20A0">
              <w:tab/>
            </w:r>
            <w:r w:rsidRPr="00EC20A0">
              <w:tab/>
              <w:t>Evaluating</w:t>
            </w:r>
            <w:r w:rsidRPr="00EC20A0">
              <w:rPr>
                <w:spacing w:val="-6"/>
              </w:rPr>
              <w:t xml:space="preserve"> </w:t>
            </w:r>
            <w:r w:rsidRPr="00EC20A0">
              <w:t>possible</w:t>
            </w:r>
            <w:r w:rsidRPr="00EC20A0">
              <w:rPr>
                <w:spacing w:val="-7"/>
              </w:rPr>
              <w:t xml:space="preserve"> </w:t>
            </w:r>
            <w:r w:rsidRPr="00EC20A0">
              <w:t>instances</w:t>
            </w:r>
            <w:r w:rsidRPr="00EC20A0">
              <w:rPr>
                <w:spacing w:val="-6"/>
              </w:rPr>
              <w:t xml:space="preserve"> </w:t>
            </w:r>
            <w:r w:rsidRPr="00EC20A0">
              <w:t>of</w:t>
            </w:r>
            <w:r w:rsidRPr="00EC20A0">
              <w:rPr>
                <w:spacing w:val="-6"/>
              </w:rPr>
              <w:t xml:space="preserve"> </w:t>
            </w:r>
            <w:r w:rsidRPr="00EC20A0">
              <w:t>noncompliance</w:t>
            </w:r>
            <w:r w:rsidRPr="00EC20A0">
              <w:rPr>
                <w:spacing w:val="-7"/>
              </w:rPr>
              <w:t xml:space="preserve"> </w:t>
            </w:r>
            <w:r w:rsidRPr="00EC20A0">
              <w:t>noted</w:t>
            </w:r>
            <w:r w:rsidRPr="00EC20A0">
              <w:rPr>
                <w:spacing w:val="-6"/>
              </w:rPr>
              <w:t xml:space="preserve"> </w:t>
            </w:r>
            <w:r w:rsidRPr="00EC20A0">
              <w:t xml:space="preserve">in connection with compliance testing (including testing of contracts and grant </w:t>
            </w:r>
            <w:r w:rsidRPr="00EC20A0">
              <w:t>agreements)? (FAM 460)</w:t>
            </w:r>
          </w:p>
        </w:tc>
        <w:tc>
          <w:tcPr>
            <w:tcW w:w="810" w:type="dxa"/>
            <w:tcBorders>
              <w:top w:val="single" w:sz="8" w:space="0" w:color="000000"/>
              <w:left w:val="single" w:sz="8" w:space="0" w:color="000000"/>
              <w:bottom w:val="single" w:sz="8" w:space="0" w:color="000000"/>
              <w:right w:val="single" w:sz="8" w:space="0" w:color="000000"/>
            </w:tcBorders>
          </w:tcPr>
          <w:p w14:paraId="24D626B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C0" w14:textId="77777777" w:rsidR="00245300" w:rsidRPr="00EC20A0" w:rsidRDefault="00245300">
            <w:pPr>
              <w:pStyle w:val="TableParagraph"/>
            </w:pPr>
          </w:p>
        </w:tc>
      </w:tr>
    </w:tbl>
    <w:p w14:paraId="24D626C2" w14:textId="77777777" w:rsidR="00245300" w:rsidRPr="00EC20A0" w:rsidRDefault="00245300">
      <w:pPr>
        <w:sectPr w:rsidR="00245300" w:rsidRPr="00EC20A0">
          <w:pgSz w:w="12240" w:h="15840"/>
          <w:pgMar w:top="1340" w:right="460" w:bottom="940" w:left="560" w:header="721" w:footer="757" w:gutter="0"/>
          <w:cols w:space="720"/>
        </w:sectPr>
      </w:pPr>
    </w:p>
    <w:p w14:paraId="24D626C3" w14:textId="77777777" w:rsidR="00245300" w:rsidRPr="00EC20A0" w:rsidRDefault="00245300">
      <w:pPr>
        <w:pStyle w:val="BodyText"/>
        <w:spacing w:before="6"/>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260"/>
      </w:tblGrid>
      <w:tr w:rsidR="00245300" w:rsidRPr="00EC20A0" w14:paraId="24D626C9" w14:textId="77777777">
        <w:trPr>
          <w:trHeight w:val="937"/>
        </w:trPr>
        <w:tc>
          <w:tcPr>
            <w:tcW w:w="7380" w:type="dxa"/>
            <w:tcBorders>
              <w:bottom w:val="single" w:sz="8" w:space="0" w:color="000000"/>
              <w:right w:val="single" w:sz="8" w:space="0" w:color="000000"/>
            </w:tcBorders>
            <w:shd w:val="clear" w:color="auto" w:fill="A6A6A6"/>
          </w:tcPr>
          <w:p w14:paraId="24D626C4" w14:textId="77777777" w:rsidR="00245300" w:rsidRPr="00EC20A0" w:rsidRDefault="00F17249">
            <w:pPr>
              <w:pStyle w:val="TableParagraph"/>
              <w:spacing w:before="266"/>
              <w:ind w:left="123"/>
              <w:rPr>
                <w:b/>
                <w:sz w:val="24"/>
              </w:rPr>
            </w:pPr>
            <w:r w:rsidRPr="00EC20A0">
              <w:rPr>
                <w:b/>
                <w:sz w:val="24"/>
              </w:rPr>
              <w:t>Section</w:t>
            </w:r>
            <w:r w:rsidRPr="00EC20A0">
              <w:rPr>
                <w:b/>
                <w:spacing w:val="-7"/>
                <w:sz w:val="24"/>
              </w:rPr>
              <w:t xml:space="preserve"> </w:t>
            </w:r>
            <w:r w:rsidRPr="00EC20A0">
              <w:rPr>
                <w:b/>
                <w:sz w:val="24"/>
              </w:rPr>
              <w:t>III:</w:t>
            </w:r>
            <w:r w:rsidRPr="00EC20A0">
              <w:rPr>
                <w:b/>
                <w:spacing w:val="-8"/>
                <w:sz w:val="24"/>
              </w:rPr>
              <w:t xml:space="preserve"> </w:t>
            </w:r>
            <w:r w:rsidRPr="00EC20A0">
              <w:rPr>
                <w:b/>
                <w:sz w:val="24"/>
              </w:rPr>
              <w:t>Communicating</w:t>
            </w:r>
            <w:r w:rsidRPr="00EC20A0">
              <w:rPr>
                <w:b/>
                <w:spacing w:val="-7"/>
                <w:sz w:val="24"/>
              </w:rPr>
              <w:t xml:space="preserve"> </w:t>
            </w:r>
            <w:r w:rsidRPr="00EC20A0">
              <w:rPr>
                <w:b/>
                <w:sz w:val="24"/>
              </w:rPr>
              <w:t>with</w:t>
            </w:r>
            <w:r w:rsidRPr="00EC20A0">
              <w:rPr>
                <w:b/>
                <w:spacing w:val="-7"/>
                <w:sz w:val="24"/>
              </w:rPr>
              <w:t xml:space="preserve"> </w:t>
            </w:r>
            <w:r w:rsidRPr="00EC20A0">
              <w:rPr>
                <w:b/>
                <w:sz w:val="24"/>
              </w:rPr>
              <w:t>Auditor’s</w:t>
            </w:r>
            <w:r w:rsidRPr="00EC20A0">
              <w:rPr>
                <w:b/>
                <w:spacing w:val="-7"/>
                <w:sz w:val="24"/>
              </w:rPr>
              <w:t xml:space="preserve"> </w:t>
            </w:r>
            <w:r w:rsidRPr="00EC20A0">
              <w:rPr>
                <w:b/>
                <w:sz w:val="24"/>
              </w:rPr>
              <w:t>Specialists</w:t>
            </w:r>
            <w:r w:rsidRPr="00EC20A0">
              <w:rPr>
                <w:b/>
                <w:spacing w:val="-7"/>
                <w:sz w:val="24"/>
              </w:rPr>
              <w:t xml:space="preserve"> </w:t>
            </w:r>
            <w:r w:rsidRPr="00EC20A0">
              <w:rPr>
                <w:b/>
                <w:sz w:val="24"/>
              </w:rPr>
              <w:t xml:space="preserve">and </w:t>
            </w:r>
            <w:r w:rsidRPr="00EC20A0">
              <w:rPr>
                <w:b/>
                <w:spacing w:val="-2"/>
                <w:sz w:val="24"/>
              </w:rPr>
              <w:t>Reviewer</w:t>
            </w:r>
          </w:p>
        </w:tc>
        <w:tc>
          <w:tcPr>
            <w:tcW w:w="810" w:type="dxa"/>
            <w:tcBorders>
              <w:left w:val="single" w:sz="8" w:space="0" w:color="000000"/>
              <w:bottom w:val="single" w:sz="8" w:space="0" w:color="000000"/>
              <w:right w:val="single" w:sz="8" w:space="0" w:color="000000"/>
            </w:tcBorders>
            <w:shd w:val="clear" w:color="auto" w:fill="A6A6A6"/>
          </w:tcPr>
          <w:p w14:paraId="24D626C5" w14:textId="77777777" w:rsidR="00245300" w:rsidRPr="00EC20A0" w:rsidRDefault="00F17249">
            <w:pPr>
              <w:pStyle w:val="TableParagraph"/>
              <w:spacing w:before="120"/>
              <w:ind w:left="182" w:right="159" w:hanging="6"/>
              <w:jc w:val="both"/>
              <w:rPr>
                <w:b/>
              </w:rPr>
            </w:pPr>
            <w:r w:rsidRPr="00EC20A0">
              <w:rPr>
                <w:b/>
                <w:spacing w:val="-4"/>
              </w:rPr>
              <w:t>Yes, No,* N/A</w:t>
            </w:r>
          </w:p>
        </w:tc>
        <w:tc>
          <w:tcPr>
            <w:tcW w:w="1260" w:type="dxa"/>
            <w:tcBorders>
              <w:left w:val="single" w:sz="8" w:space="0" w:color="000000"/>
              <w:bottom w:val="single" w:sz="8" w:space="0" w:color="000000"/>
            </w:tcBorders>
            <w:shd w:val="clear" w:color="auto" w:fill="A6A6A6"/>
          </w:tcPr>
          <w:p w14:paraId="24D626C6" w14:textId="77777777" w:rsidR="00245300" w:rsidRPr="00EC20A0" w:rsidRDefault="00245300">
            <w:pPr>
              <w:pStyle w:val="TableParagraph"/>
              <w:rPr>
                <w:b/>
              </w:rPr>
            </w:pPr>
          </w:p>
          <w:p w14:paraId="24D626C7" w14:textId="77777777" w:rsidR="00245300" w:rsidRPr="00EC20A0" w:rsidRDefault="00245300">
            <w:pPr>
              <w:pStyle w:val="TableParagraph"/>
              <w:spacing w:before="120"/>
              <w:rPr>
                <w:b/>
              </w:rPr>
            </w:pPr>
          </w:p>
          <w:p w14:paraId="24D626C8" w14:textId="77777777" w:rsidR="00245300" w:rsidRPr="00EC20A0" w:rsidRDefault="00F17249">
            <w:pPr>
              <w:pStyle w:val="TableParagraph"/>
              <w:ind w:left="186"/>
              <w:rPr>
                <w:b/>
              </w:rPr>
            </w:pPr>
            <w:r w:rsidRPr="00EC20A0">
              <w:rPr>
                <w:b/>
              </w:rPr>
              <w:t>Doc.</w:t>
            </w:r>
            <w:r w:rsidRPr="00EC20A0">
              <w:rPr>
                <w:b/>
                <w:spacing w:val="-6"/>
              </w:rPr>
              <w:t xml:space="preserve"> </w:t>
            </w:r>
            <w:r w:rsidRPr="00EC20A0">
              <w:rPr>
                <w:b/>
                <w:spacing w:val="-4"/>
              </w:rPr>
              <w:t>ref.</w:t>
            </w:r>
          </w:p>
        </w:tc>
      </w:tr>
      <w:tr w:rsidR="00245300" w:rsidRPr="00EC20A0" w14:paraId="24D626CD" w14:textId="77777777">
        <w:trPr>
          <w:trHeight w:val="746"/>
        </w:trPr>
        <w:tc>
          <w:tcPr>
            <w:tcW w:w="7380" w:type="dxa"/>
            <w:tcBorders>
              <w:top w:val="single" w:sz="8" w:space="0" w:color="000000"/>
              <w:bottom w:val="single" w:sz="8" w:space="0" w:color="000000"/>
              <w:right w:val="single" w:sz="8" w:space="0" w:color="000000"/>
            </w:tcBorders>
          </w:tcPr>
          <w:p w14:paraId="24D626CA" w14:textId="77777777" w:rsidR="00245300" w:rsidRPr="00EC20A0" w:rsidRDefault="00F17249">
            <w:pPr>
              <w:pStyle w:val="TableParagraph"/>
              <w:tabs>
                <w:tab w:val="left" w:pos="1334"/>
              </w:tabs>
              <w:spacing w:before="121"/>
              <w:ind w:left="1293" w:right="458" w:hanging="360"/>
            </w:pPr>
            <w:r w:rsidRPr="00EC20A0">
              <w:rPr>
                <w:spacing w:val="-6"/>
              </w:rPr>
              <w:t>e.</w:t>
            </w:r>
            <w:r w:rsidRPr="00EC20A0">
              <w:tab/>
            </w:r>
            <w:r w:rsidRPr="00EC20A0">
              <w:tab/>
              <w:t>After</w:t>
            </w:r>
            <w:r w:rsidRPr="00EC20A0">
              <w:rPr>
                <w:spacing w:val="-5"/>
              </w:rPr>
              <w:t xml:space="preserve"> </w:t>
            </w:r>
            <w:r w:rsidRPr="00EC20A0">
              <w:t>consulting</w:t>
            </w:r>
            <w:r w:rsidRPr="00EC20A0">
              <w:rPr>
                <w:spacing w:val="-5"/>
              </w:rPr>
              <w:t xml:space="preserve"> </w:t>
            </w:r>
            <w:r w:rsidRPr="00EC20A0">
              <w:t>with</w:t>
            </w:r>
            <w:r w:rsidRPr="00EC20A0">
              <w:rPr>
                <w:spacing w:val="-5"/>
              </w:rPr>
              <w:t xml:space="preserve"> </w:t>
            </w:r>
            <w:r w:rsidRPr="00EC20A0">
              <w:t>the</w:t>
            </w:r>
            <w:r w:rsidRPr="00EC20A0">
              <w:rPr>
                <w:spacing w:val="-6"/>
              </w:rPr>
              <w:t xml:space="preserve"> </w:t>
            </w:r>
            <w:r w:rsidRPr="00EC20A0">
              <w:t>audit</w:t>
            </w:r>
            <w:r w:rsidRPr="00EC20A0">
              <w:rPr>
                <w:spacing w:val="-5"/>
              </w:rPr>
              <w:t xml:space="preserve"> </w:t>
            </w:r>
            <w:r w:rsidRPr="00EC20A0">
              <w:t>director,</w:t>
            </w:r>
            <w:r w:rsidRPr="00EC20A0">
              <w:rPr>
                <w:spacing w:val="-5"/>
              </w:rPr>
              <w:t xml:space="preserve"> </w:t>
            </w:r>
            <w:r w:rsidRPr="00EC20A0">
              <w:t>determining</w:t>
            </w:r>
            <w:r w:rsidRPr="00EC20A0">
              <w:rPr>
                <w:spacing w:val="-5"/>
              </w:rPr>
              <w:t xml:space="preserve"> </w:t>
            </w:r>
            <w:r w:rsidRPr="00EC20A0">
              <w:t>that</w:t>
            </w:r>
            <w:r w:rsidRPr="00EC20A0">
              <w:rPr>
                <w:spacing w:val="-5"/>
              </w:rPr>
              <w:t xml:space="preserve"> </w:t>
            </w:r>
            <w:r w:rsidRPr="00EC20A0">
              <w:t xml:space="preserve">a misstatement is or might be a result of fraud? (FAM </w:t>
            </w:r>
            <w:r w:rsidRPr="00EC20A0">
              <w:t>540)</w:t>
            </w:r>
          </w:p>
        </w:tc>
        <w:tc>
          <w:tcPr>
            <w:tcW w:w="810" w:type="dxa"/>
            <w:tcBorders>
              <w:top w:val="single" w:sz="8" w:space="0" w:color="000000"/>
              <w:left w:val="single" w:sz="8" w:space="0" w:color="000000"/>
              <w:bottom w:val="single" w:sz="8" w:space="0" w:color="000000"/>
              <w:right w:val="single" w:sz="8" w:space="0" w:color="000000"/>
            </w:tcBorders>
          </w:tcPr>
          <w:p w14:paraId="24D626CB"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CC" w14:textId="77777777" w:rsidR="00245300" w:rsidRPr="00EC20A0" w:rsidRDefault="00245300">
            <w:pPr>
              <w:pStyle w:val="TableParagraph"/>
            </w:pPr>
          </w:p>
        </w:tc>
      </w:tr>
      <w:tr w:rsidR="00245300" w:rsidRPr="00EC20A0" w14:paraId="24D626D1" w14:textId="77777777">
        <w:trPr>
          <w:trHeight w:val="745"/>
        </w:trPr>
        <w:tc>
          <w:tcPr>
            <w:tcW w:w="7380" w:type="dxa"/>
            <w:tcBorders>
              <w:top w:val="single" w:sz="8" w:space="0" w:color="000000"/>
              <w:bottom w:val="single" w:sz="8" w:space="0" w:color="000000"/>
              <w:right w:val="single" w:sz="8" w:space="0" w:color="000000"/>
            </w:tcBorders>
          </w:tcPr>
          <w:p w14:paraId="24D626CE" w14:textId="77777777" w:rsidR="00245300" w:rsidRPr="00EC20A0" w:rsidRDefault="00F17249">
            <w:pPr>
              <w:pStyle w:val="TableParagraph"/>
              <w:tabs>
                <w:tab w:val="left" w:pos="1334"/>
              </w:tabs>
              <w:spacing w:before="119"/>
              <w:ind w:left="1294" w:right="480" w:hanging="361"/>
            </w:pPr>
            <w:r w:rsidRPr="00EC20A0">
              <w:rPr>
                <w:spacing w:val="-6"/>
              </w:rPr>
              <w:t>f.</w:t>
            </w:r>
            <w:r w:rsidRPr="00EC20A0">
              <w:tab/>
            </w:r>
            <w:r w:rsidRPr="00EC20A0">
              <w:tab/>
              <w:t>Concluding on any noncompliance with significant provisions</w:t>
            </w:r>
            <w:r w:rsidRPr="00EC20A0">
              <w:rPr>
                <w:spacing w:val="-6"/>
              </w:rPr>
              <w:t xml:space="preserve"> </w:t>
            </w:r>
            <w:r w:rsidRPr="00EC20A0">
              <w:t>of</w:t>
            </w:r>
            <w:r w:rsidRPr="00EC20A0">
              <w:rPr>
                <w:spacing w:val="-6"/>
              </w:rPr>
              <w:t xml:space="preserve"> </w:t>
            </w:r>
            <w:r w:rsidRPr="00EC20A0">
              <w:t>applicable</w:t>
            </w:r>
            <w:r w:rsidRPr="00EC20A0">
              <w:rPr>
                <w:spacing w:val="-6"/>
              </w:rPr>
              <w:t xml:space="preserve"> </w:t>
            </w:r>
            <w:r w:rsidRPr="00EC20A0">
              <w:t>laws</w:t>
            </w:r>
            <w:r w:rsidRPr="00EC20A0">
              <w:rPr>
                <w:spacing w:val="-6"/>
              </w:rPr>
              <w:t xml:space="preserve"> </w:t>
            </w:r>
            <w:r w:rsidRPr="00EC20A0">
              <w:t>and</w:t>
            </w:r>
            <w:r w:rsidRPr="00EC20A0">
              <w:rPr>
                <w:spacing w:val="-6"/>
              </w:rPr>
              <w:t xml:space="preserve"> </w:t>
            </w:r>
            <w:r w:rsidRPr="00EC20A0">
              <w:t>regulations?</w:t>
            </w:r>
            <w:r w:rsidRPr="00EC20A0">
              <w:rPr>
                <w:spacing w:val="-6"/>
              </w:rPr>
              <w:t xml:space="preserve"> </w:t>
            </w:r>
            <w:r w:rsidRPr="00EC20A0">
              <w:t>(FAM</w:t>
            </w:r>
            <w:r w:rsidRPr="00EC20A0">
              <w:rPr>
                <w:spacing w:val="-7"/>
              </w:rPr>
              <w:t xml:space="preserve"> </w:t>
            </w:r>
            <w:r w:rsidRPr="00EC20A0">
              <w:t>580)</w:t>
            </w:r>
          </w:p>
        </w:tc>
        <w:tc>
          <w:tcPr>
            <w:tcW w:w="810" w:type="dxa"/>
            <w:tcBorders>
              <w:top w:val="single" w:sz="8" w:space="0" w:color="000000"/>
              <w:left w:val="single" w:sz="8" w:space="0" w:color="000000"/>
              <w:bottom w:val="single" w:sz="8" w:space="0" w:color="000000"/>
              <w:right w:val="single" w:sz="8" w:space="0" w:color="000000"/>
            </w:tcBorders>
          </w:tcPr>
          <w:p w14:paraId="24D626C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D0" w14:textId="77777777" w:rsidR="00245300" w:rsidRPr="00EC20A0" w:rsidRDefault="00245300">
            <w:pPr>
              <w:pStyle w:val="TableParagraph"/>
            </w:pPr>
          </w:p>
        </w:tc>
      </w:tr>
      <w:tr w:rsidR="00245300" w:rsidRPr="00EC20A0" w14:paraId="24D626D5" w14:textId="77777777">
        <w:trPr>
          <w:trHeight w:val="998"/>
        </w:trPr>
        <w:tc>
          <w:tcPr>
            <w:tcW w:w="7380" w:type="dxa"/>
            <w:tcBorders>
              <w:top w:val="single" w:sz="8" w:space="0" w:color="000000"/>
              <w:bottom w:val="single" w:sz="8" w:space="0" w:color="000000"/>
              <w:right w:val="single" w:sz="8" w:space="0" w:color="000000"/>
            </w:tcBorders>
          </w:tcPr>
          <w:p w14:paraId="24D626D2" w14:textId="77777777" w:rsidR="00245300" w:rsidRPr="00EC20A0" w:rsidRDefault="00F17249">
            <w:pPr>
              <w:pStyle w:val="TableParagraph"/>
              <w:tabs>
                <w:tab w:val="left" w:pos="1334"/>
              </w:tabs>
              <w:spacing w:before="119"/>
              <w:ind w:left="1293" w:right="740" w:hanging="360"/>
            </w:pPr>
            <w:r w:rsidRPr="00EC20A0">
              <w:rPr>
                <w:spacing w:val="-6"/>
              </w:rPr>
              <w:t>g.</w:t>
            </w:r>
            <w:r w:rsidRPr="00EC20A0">
              <w:tab/>
            </w:r>
            <w:r w:rsidRPr="00EC20A0">
              <w:tab/>
              <w:t>Concluding</w:t>
            </w:r>
            <w:r w:rsidRPr="00EC20A0">
              <w:rPr>
                <w:spacing w:val="-9"/>
              </w:rPr>
              <w:t xml:space="preserve"> </w:t>
            </w:r>
            <w:r w:rsidRPr="00EC20A0">
              <w:t>whether</w:t>
            </w:r>
            <w:r w:rsidRPr="00EC20A0">
              <w:rPr>
                <w:spacing w:val="-8"/>
              </w:rPr>
              <w:t xml:space="preserve"> </w:t>
            </w:r>
            <w:r w:rsidRPr="00EC20A0">
              <w:t>the</w:t>
            </w:r>
            <w:r w:rsidRPr="00EC20A0">
              <w:rPr>
                <w:spacing w:val="-8"/>
              </w:rPr>
              <w:t xml:space="preserve"> </w:t>
            </w:r>
            <w:r w:rsidRPr="00EC20A0">
              <w:t>entity’s</w:t>
            </w:r>
            <w:r w:rsidRPr="00EC20A0">
              <w:rPr>
                <w:spacing w:val="-9"/>
              </w:rPr>
              <w:t xml:space="preserve"> </w:t>
            </w:r>
            <w:r w:rsidRPr="00EC20A0">
              <w:t>financial</w:t>
            </w:r>
            <w:r w:rsidRPr="00EC20A0">
              <w:rPr>
                <w:spacing w:val="-8"/>
              </w:rPr>
              <w:t xml:space="preserve"> </w:t>
            </w:r>
            <w:r w:rsidRPr="00EC20A0">
              <w:t>management systems comply substantially with the requirements of FFMIA? (FAM 580)</w:t>
            </w:r>
          </w:p>
        </w:tc>
        <w:tc>
          <w:tcPr>
            <w:tcW w:w="810" w:type="dxa"/>
            <w:tcBorders>
              <w:top w:val="single" w:sz="8" w:space="0" w:color="000000"/>
              <w:left w:val="single" w:sz="8" w:space="0" w:color="000000"/>
              <w:bottom w:val="single" w:sz="8" w:space="0" w:color="000000"/>
              <w:right w:val="single" w:sz="8" w:space="0" w:color="000000"/>
            </w:tcBorders>
          </w:tcPr>
          <w:p w14:paraId="24D626D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D4" w14:textId="77777777" w:rsidR="00245300" w:rsidRPr="00EC20A0" w:rsidRDefault="00245300">
            <w:pPr>
              <w:pStyle w:val="TableParagraph"/>
            </w:pPr>
          </w:p>
        </w:tc>
      </w:tr>
      <w:tr w:rsidR="00245300" w:rsidRPr="00EC20A0" w14:paraId="24D626D9" w14:textId="77777777">
        <w:trPr>
          <w:trHeight w:val="998"/>
        </w:trPr>
        <w:tc>
          <w:tcPr>
            <w:tcW w:w="7380" w:type="dxa"/>
            <w:tcBorders>
              <w:top w:val="single" w:sz="8" w:space="0" w:color="000000"/>
              <w:bottom w:val="single" w:sz="8" w:space="0" w:color="000000"/>
              <w:right w:val="single" w:sz="8" w:space="0" w:color="000000"/>
            </w:tcBorders>
          </w:tcPr>
          <w:p w14:paraId="24D626D6" w14:textId="77777777" w:rsidR="00245300" w:rsidRPr="00EC20A0" w:rsidRDefault="00F17249">
            <w:pPr>
              <w:pStyle w:val="TableParagraph"/>
              <w:tabs>
                <w:tab w:val="left" w:pos="1334"/>
              </w:tabs>
              <w:spacing w:before="119"/>
              <w:ind w:left="1293" w:right="830" w:hanging="360"/>
            </w:pPr>
            <w:r w:rsidRPr="00EC20A0">
              <w:rPr>
                <w:spacing w:val="-6"/>
              </w:rPr>
              <w:t>h.</w:t>
            </w:r>
            <w:r w:rsidRPr="00EC20A0">
              <w:tab/>
            </w:r>
            <w:r w:rsidRPr="00EC20A0">
              <w:tab/>
              <w:t>Determining the effects on the auditor’s report if weaknesses are found in compliance controls but no instances</w:t>
            </w:r>
            <w:r w:rsidRPr="00EC20A0">
              <w:rPr>
                <w:spacing w:val="-6"/>
              </w:rPr>
              <w:t xml:space="preserve"> </w:t>
            </w:r>
            <w:r w:rsidRPr="00EC20A0">
              <w:t>of</w:t>
            </w:r>
            <w:r w:rsidRPr="00EC20A0">
              <w:rPr>
                <w:spacing w:val="-7"/>
              </w:rPr>
              <w:t xml:space="preserve"> </w:t>
            </w:r>
            <w:r w:rsidRPr="00EC20A0">
              <w:t>noncompliance</w:t>
            </w:r>
            <w:r w:rsidRPr="00EC20A0">
              <w:rPr>
                <w:spacing w:val="-6"/>
              </w:rPr>
              <w:t xml:space="preserve"> </w:t>
            </w:r>
            <w:r w:rsidRPr="00EC20A0">
              <w:t>are</w:t>
            </w:r>
            <w:r w:rsidRPr="00EC20A0">
              <w:rPr>
                <w:spacing w:val="-6"/>
              </w:rPr>
              <w:t xml:space="preserve"> </w:t>
            </w:r>
            <w:r w:rsidRPr="00EC20A0">
              <w:t>detected?</w:t>
            </w:r>
            <w:r w:rsidRPr="00EC20A0">
              <w:rPr>
                <w:spacing w:val="-6"/>
              </w:rPr>
              <w:t xml:space="preserve"> </w:t>
            </w:r>
            <w:r w:rsidRPr="00EC20A0">
              <w:t>(FAM</w:t>
            </w:r>
            <w:r w:rsidRPr="00EC20A0">
              <w:rPr>
                <w:spacing w:val="-7"/>
              </w:rPr>
              <w:t xml:space="preserve"> </w:t>
            </w:r>
            <w:r w:rsidRPr="00EC20A0">
              <w:t>580)</w:t>
            </w:r>
          </w:p>
        </w:tc>
        <w:tc>
          <w:tcPr>
            <w:tcW w:w="810" w:type="dxa"/>
            <w:tcBorders>
              <w:top w:val="single" w:sz="8" w:space="0" w:color="000000"/>
              <w:left w:val="single" w:sz="8" w:space="0" w:color="000000"/>
              <w:bottom w:val="single" w:sz="8" w:space="0" w:color="000000"/>
              <w:right w:val="single" w:sz="8" w:space="0" w:color="000000"/>
            </w:tcBorders>
          </w:tcPr>
          <w:p w14:paraId="24D626D7"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D8" w14:textId="77777777" w:rsidR="00245300" w:rsidRPr="00EC20A0" w:rsidRDefault="00245300">
            <w:pPr>
              <w:pStyle w:val="TableParagraph"/>
            </w:pPr>
          </w:p>
        </w:tc>
      </w:tr>
      <w:tr w:rsidR="00245300" w:rsidRPr="00EC20A0" w14:paraId="24D626DD" w14:textId="77777777">
        <w:trPr>
          <w:trHeight w:val="998"/>
        </w:trPr>
        <w:tc>
          <w:tcPr>
            <w:tcW w:w="7380" w:type="dxa"/>
            <w:tcBorders>
              <w:top w:val="single" w:sz="8" w:space="0" w:color="000000"/>
              <w:bottom w:val="single" w:sz="8" w:space="0" w:color="000000"/>
              <w:right w:val="single" w:sz="8" w:space="0" w:color="000000"/>
            </w:tcBorders>
          </w:tcPr>
          <w:p w14:paraId="24D626DA" w14:textId="77777777" w:rsidR="00245300" w:rsidRPr="00EC20A0" w:rsidRDefault="00F17249">
            <w:pPr>
              <w:pStyle w:val="TableParagraph"/>
              <w:spacing w:before="121"/>
              <w:ind w:left="843" w:right="216" w:hanging="360"/>
              <w:jc w:val="both"/>
            </w:pPr>
            <w:r w:rsidRPr="00EC20A0">
              <w:t>4.</w:t>
            </w:r>
            <w:r w:rsidRPr="00EC20A0">
              <w:rPr>
                <w:spacing w:val="80"/>
              </w:rPr>
              <w:t xml:space="preserve"> </w:t>
            </w:r>
            <w:r w:rsidRPr="00EC20A0">
              <w:t>When</w:t>
            </w:r>
            <w:r w:rsidRPr="00EC20A0">
              <w:rPr>
                <w:spacing w:val="-4"/>
              </w:rPr>
              <w:t xml:space="preserve"> </w:t>
            </w:r>
            <w:r w:rsidRPr="00EC20A0">
              <w:t>applicable,</w:t>
            </w:r>
            <w:r w:rsidRPr="00EC20A0">
              <w:rPr>
                <w:spacing w:val="-4"/>
              </w:rPr>
              <w:t xml:space="preserve"> </w:t>
            </w:r>
            <w:r w:rsidRPr="00EC20A0">
              <w:t>did</w:t>
            </w:r>
            <w:r w:rsidRPr="00EC20A0">
              <w:rPr>
                <w:spacing w:val="-4"/>
              </w:rPr>
              <w:t xml:space="preserve"> </w:t>
            </w:r>
            <w:r w:rsidRPr="00EC20A0">
              <w:t>the</w:t>
            </w:r>
            <w:r w:rsidRPr="00EC20A0">
              <w:rPr>
                <w:spacing w:val="-5"/>
              </w:rPr>
              <w:t xml:space="preserve"> </w:t>
            </w:r>
            <w:r w:rsidRPr="00EC20A0">
              <w:t>engagement</w:t>
            </w:r>
            <w:r w:rsidRPr="00EC20A0">
              <w:rPr>
                <w:spacing w:val="-4"/>
              </w:rPr>
              <w:t xml:space="preserve"> </w:t>
            </w:r>
            <w:r w:rsidRPr="00EC20A0">
              <w:t>team</w:t>
            </w:r>
            <w:r w:rsidRPr="00EC20A0">
              <w:rPr>
                <w:spacing w:val="-5"/>
              </w:rPr>
              <w:t xml:space="preserve"> </w:t>
            </w:r>
            <w:r w:rsidRPr="00EC20A0">
              <w:t>provide</w:t>
            </w:r>
            <w:r w:rsidRPr="00EC20A0">
              <w:rPr>
                <w:spacing w:val="-4"/>
              </w:rPr>
              <w:t xml:space="preserve"> </w:t>
            </w:r>
            <w:r w:rsidRPr="00EC20A0">
              <w:t>the</w:t>
            </w:r>
            <w:r w:rsidRPr="00EC20A0">
              <w:rPr>
                <w:spacing w:val="-4"/>
              </w:rPr>
              <w:t xml:space="preserve"> </w:t>
            </w:r>
            <w:r w:rsidRPr="00EC20A0">
              <w:t>reviewer with</w:t>
            </w:r>
            <w:r w:rsidRPr="00EC20A0">
              <w:rPr>
                <w:spacing w:val="-2"/>
              </w:rPr>
              <w:t xml:space="preserve"> </w:t>
            </w:r>
            <w:r w:rsidRPr="00EC20A0">
              <w:t>documentation</w:t>
            </w:r>
            <w:r w:rsidRPr="00EC20A0">
              <w:rPr>
                <w:spacing w:val="-2"/>
              </w:rPr>
              <w:t xml:space="preserve"> </w:t>
            </w:r>
            <w:r w:rsidRPr="00EC20A0">
              <w:t>related</w:t>
            </w:r>
            <w:r w:rsidRPr="00EC20A0">
              <w:rPr>
                <w:spacing w:val="-2"/>
              </w:rPr>
              <w:t xml:space="preserve"> </w:t>
            </w:r>
            <w:r w:rsidRPr="00EC20A0">
              <w:t>to</w:t>
            </w:r>
            <w:r w:rsidRPr="00EC20A0">
              <w:rPr>
                <w:spacing w:val="-2"/>
              </w:rPr>
              <w:t xml:space="preserve"> </w:t>
            </w:r>
            <w:r w:rsidRPr="00EC20A0">
              <w:t>the</w:t>
            </w:r>
            <w:r w:rsidRPr="00EC20A0">
              <w:rPr>
                <w:spacing w:val="-2"/>
              </w:rPr>
              <w:t xml:space="preserve"> </w:t>
            </w:r>
            <w:r w:rsidRPr="00EC20A0">
              <w:t>following</w:t>
            </w:r>
            <w:r w:rsidRPr="00EC20A0">
              <w:rPr>
                <w:spacing w:val="-2"/>
              </w:rPr>
              <w:t xml:space="preserve"> </w:t>
            </w:r>
            <w:r w:rsidRPr="00EC20A0">
              <w:t>in</w:t>
            </w:r>
            <w:r w:rsidRPr="00EC20A0">
              <w:rPr>
                <w:spacing w:val="-2"/>
              </w:rPr>
              <w:t xml:space="preserve"> </w:t>
            </w:r>
            <w:r w:rsidRPr="00EC20A0">
              <w:t>a</w:t>
            </w:r>
            <w:r w:rsidRPr="00EC20A0">
              <w:rPr>
                <w:spacing w:val="-2"/>
              </w:rPr>
              <w:t xml:space="preserve"> </w:t>
            </w:r>
            <w:r w:rsidRPr="00EC20A0">
              <w:t>timely</w:t>
            </w:r>
            <w:r w:rsidRPr="00EC20A0">
              <w:rPr>
                <w:spacing w:val="-2"/>
              </w:rPr>
              <w:t xml:space="preserve"> </w:t>
            </w:r>
            <w:r w:rsidRPr="00EC20A0">
              <w:t>manner</w:t>
            </w:r>
            <w:r w:rsidRPr="00EC20A0">
              <w:rPr>
                <w:spacing w:val="-2"/>
              </w:rPr>
              <w:t xml:space="preserve"> </w:t>
            </w:r>
            <w:r w:rsidRPr="00EC20A0">
              <w:t>to allow any issues to be promptly identified and resolved:</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24D626DB"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shd w:val="clear" w:color="auto" w:fill="BEBEBE"/>
          </w:tcPr>
          <w:p w14:paraId="24D626DC" w14:textId="77777777" w:rsidR="00245300" w:rsidRPr="00EC20A0" w:rsidRDefault="00245300">
            <w:pPr>
              <w:pStyle w:val="TableParagraph"/>
            </w:pPr>
          </w:p>
        </w:tc>
      </w:tr>
      <w:tr w:rsidR="00245300" w:rsidRPr="00EC20A0" w14:paraId="24D626E1" w14:textId="77777777">
        <w:trPr>
          <w:trHeight w:val="998"/>
        </w:trPr>
        <w:tc>
          <w:tcPr>
            <w:tcW w:w="7380" w:type="dxa"/>
            <w:tcBorders>
              <w:top w:val="single" w:sz="8" w:space="0" w:color="000000"/>
              <w:bottom w:val="single" w:sz="8" w:space="0" w:color="000000"/>
              <w:right w:val="single" w:sz="8" w:space="0" w:color="000000"/>
            </w:tcBorders>
          </w:tcPr>
          <w:p w14:paraId="24D626DE" w14:textId="77777777" w:rsidR="00245300" w:rsidRPr="00EC20A0" w:rsidRDefault="00F17249">
            <w:pPr>
              <w:pStyle w:val="TableParagraph"/>
              <w:spacing w:before="121"/>
              <w:ind w:left="1244" w:hanging="361"/>
            </w:pPr>
            <w:r w:rsidRPr="00EC20A0">
              <w:t>a.</w:t>
            </w:r>
            <w:r w:rsidRPr="00EC20A0">
              <w:rPr>
                <w:spacing w:val="80"/>
              </w:rPr>
              <w:t xml:space="preserve"> </w:t>
            </w:r>
            <w:r w:rsidRPr="00EC20A0">
              <w:t>Using</w:t>
            </w:r>
            <w:r w:rsidRPr="00EC20A0">
              <w:rPr>
                <w:spacing w:val="-4"/>
              </w:rPr>
              <w:t xml:space="preserve"> </w:t>
            </w:r>
            <w:r w:rsidRPr="00EC20A0">
              <w:t>nonstatistical</w:t>
            </w:r>
            <w:r w:rsidRPr="00EC20A0">
              <w:rPr>
                <w:spacing w:val="-4"/>
              </w:rPr>
              <w:t xml:space="preserve"> </w:t>
            </w:r>
            <w:r w:rsidRPr="00EC20A0">
              <w:t>sampling?</w:t>
            </w:r>
            <w:r w:rsidRPr="00EC20A0">
              <w:rPr>
                <w:spacing w:val="-3"/>
              </w:rPr>
              <w:t xml:space="preserve"> </w:t>
            </w:r>
            <w:r w:rsidRPr="00EC20A0">
              <w:t>(This</w:t>
            </w:r>
            <w:r w:rsidRPr="00EC20A0">
              <w:rPr>
                <w:spacing w:val="-5"/>
              </w:rPr>
              <w:t xml:space="preserve"> </w:t>
            </w:r>
            <w:r w:rsidRPr="00EC20A0">
              <w:t>is</w:t>
            </w:r>
            <w:r w:rsidRPr="00EC20A0">
              <w:rPr>
                <w:spacing w:val="-4"/>
              </w:rPr>
              <w:t xml:space="preserve"> </w:t>
            </w:r>
            <w:r w:rsidRPr="00EC20A0">
              <w:t>not</w:t>
            </w:r>
            <w:r w:rsidRPr="00EC20A0">
              <w:rPr>
                <w:spacing w:val="-4"/>
              </w:rPr>
              <w:t xml:space="preserve"> </w:t>
            </w:r>
            <w:r w:rsidRPr="00EC20A0">
              <w:t>the</w:t>
            </w:r>
            <w:r w:rsidRPr="00EC20A0">
              <w:rPr>
                <w:spacing w:val="-4"/>
              </w:rPr>
              <w:t xml:space="preserve"> </w:t>
            </w:r>
            <w:r w:rsidRPr="00EC20A0">
              <w:t>same</w:t>
            </w:r>
            <w:r w:rsidRPr="00EC20A0">
              <w:rPr>
                <w:spacing w:val="-4"/>
              </w:rPr>
              <w:t xml:space="preserve"> </w:t>
            </w:r>
            <w:r w:rsidRPr="00EC20A0">
              <w:t>as nonstatistical selection, which is not intended to be representative of the population.) (FAM 480)</w:t>
            </w:r>
          </w:p>
        </w:tc>
        <w:tc>
          <w:tcPr>
            <w:tcW w:w="810" w:type="dxa"/>
            <w:tcBorders>
              <w:top w:val="single" w:sz="8" w:space="0" w:color="000000"/>
              <w:left w:val="single" w:sz="8" w:space="0" w:color="000000"/>
              <w:bottom w:val="single" w:sz="8" w:space="0" w:color="000000"/>
              <w:right w:val="single" w:sz="8" w:space="0" w:color="000000"/>
            </w:tcBorders>
          </w:tcPr>
          <w:p w14:paraId="24D626D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E0" w14:textId="77777777" w:rsidR="00245300" w:rsidRPr="00EC20A0" w:rsidRDefault="00245300">
            <w:pPr>
              <w:pStyle w:val="TableParagraph"/>
            </w:pPr>
          </w:p>
        </w:tc>
      </w:tr>
      <w:tr w:rsidR="00245300" w:rsidRPr="00EC20A0" w14:paraId="24D626E5" w14:textId="77777777">
        <w:trPr>
          <w:trHeight w:val="998"/>
        </w:trPr>
        <w:tc>
          <w:tcPr>
            <w:tcW w:w="7380" w:type="dxa"/>
            <w:tcBorders>
              <w:top w:val="single" w:sz="8" w:space="0" w:color="000000"/>
              <w:bottom w:val="single" w:sz="8" w:space="0" w:color="000000"/>
              <w:right w:val="single" w:sz="8" w:space="0" w:color="000000"/>
            </w:tcBorders>
          </w:tcPr>
          <w:p w14:paraId="24D626E2" w14:textId="77777777" w:rsidR="00245300" w:rsidRPr="00EC20A0" w:rsidRDefault="00F17249">
            <w:pPr>
              <w:pStyle w:val="TableParagraph"/>
              <w:spacing w:before="121"/>
              <w:ind w:left="1244" w:right="245" w:hanging="361"/>
              <w:jc w:val="both"/>
            </w:pPr>
            <w:r w:rsidRPr="00EC20A0">
              <w:t>b.</w:t>
            </w:r>
            <w:r w:rsidRPr="00EC20A0">
              <w:rPr>
                <w:spacing w:val="80"/>
              </w:rPr>
              <w:t xml:space="preserve"> </w:t>
            </w:r>
            <w:r w:rsidRPr="00EC20A0">
              <w:t>Determining</w:t>
            </w:r>
            <w:r w:rsidRPr="00EC20A0">
              <w:rPr>
                <w:spacing w:val="-3"/>
              </w:rPr>
              <w:t xml:space="preserve"> </w:t>
            </w:r>
            <w:r w:rsidRPr="00EC20A0">
              <w:t>the</w:t>
            </w:r>
            <w:r w:rsidRPr="00EC20A0">
              <w:rPr>
                <w:spacing w:val="-3"/>
              </w:rPr>
              <w:t xml:space="preserve"> </w:t>
            </w:r>
            <w:r w:rsidRPr="00EC20A0">
              <w:t>adequacy</w:t>
            </w:r>
            <w:r w:rsidRPr="00EC20A0">
              <w:rPr>
                <w:spacing w:val="-3"/>
              </w:rPr>
              <w:t xml:space="preserve"> </w:t>
            </w:r>
            <w:r w:rsidRPr="00EC20A0">
              <w:t>of</w:t>
            </w:r>
            <w:r w:rsidRPr="00EC20A0">
              <w:rPr>
                <w:spacing w:val="-3"/>
              </w:rPr>
              <w:t xml:space="preserve"> </w:t>
            </w:r>
            <w:r w:rsidRPr="00EC20A0">
              <w:t>substantive</w:t>
            </w:r>
            <w:r w:rsidRPr="00EC20A0">
              <w:rPr>
                <w:spacing w:val="-3"/>
              </w:rPr>
              <w:t xml:space="preserve"> </w:t>
            </w:r>
            <w:r w:rsidRPr="00EC20A0">
              <w:t>procedures</w:t>
            </w:r>
            <w:r w:rsidRPr="00EC20A0">
              <w:rPr>
                <w:spacing w:val="-2"/>
              </w:rPr>
              <w:t xml:space="preserve"> </w:t>
            </w:r>
            <w:r w:rsidRPr="00EC20A0">
              <w:t>in</w:t>
            </w:r>
            <w:r w:rsidRPr="00EC20A0">
              <w:rPr>
                <w:spacing w:val="-3"/>
              </w:rPr>
              <w:t xml:space="preserve"> </w:t>
            </w:r>
            <w:r w:rsidRPr="00EC20A0">
              <w:t>light of</w:t>
            </w:r>
            <w:r w:rsidRPr="00EC20A0">
              <w:rPr>
                <w:spacing w:val="-5"/>
              </w:rPr>
              <w:t xml:space="preserve"> </w:t>
            </w:r>
            <w:r w:rsidRPr="00EC20A0">
              <w:t>any</w:t>
            </w:r>
            <w:r w:rsidRPr="00EC20A0">
              <w:rPr>
                <w:spacing w:val="-5"/>
              </w:rPr>
              <w:t xml:space="preserve"> </w:t>
            </w:r>
            <w:r w:rsidRPr="00EC20A0">
              <w:t>reassessment</w:t>
            </w:r>
            <w:r w:rsidRPr="00EC20A0">
              <w:rPr>
                <w:spacing w:val="-5"/>
              </w:rPr>
              <w:t xml:space="preserve"> </w:t>
            </w:r>
            <w:r w:rsidRPr="00EC20A0">
              <w:t>of</w:t>
            </w:r>
            <w:r w:rsidRPr="00EC20A0">
              <w:rPr>
                <w:spacing w:val="-5"/>
              </w:rPr>
              <w:t xml:space="preserve"> </w:t>
            </w:r>
            <w:r w:rsidRPr="00EC20A0">
              <w:t>risk</w:t>
            </w:r>
            <w:r w:rsidRPr="00EC20A0">
              <w:rPr>
                <w:spacing w:val="-5"/>
              </w:rPr>
              <w:t xml:space="preserve"> </w:t>
            </w:r>
            <w:r w:rsidRPr="00EC20A0">
              <w:t>of</w:t>
            </w:r>
            <w:r w:rsidRPr="00EC20A0">
              <w:rPr>
                <w:spacing w:val="-5"/>
              </w:rPr>
              <w:t xml:space="preserve"> </w:t>
            </w:r>
            <w:r w:rsidRPr="00EC20A0">
              <w:t>material</w:t>
            </w:r>
            <w:r w:rsidRPr="00EC20A0">
              <w:rPr>
                <w:spacing w:val="-5"/>
              </w:rPr>
              <w:t xml:space="preserve"> </w:t>
            </w:r>
            <w:r w:rsidRPr="00EC20A0">
              <w:t>misstatement?</w:t>
            </w:r>
            <w:r w:rsidRPr="00EC20A0">
              <w:rPr>
                <w:spacing w:val="-5"/>
              </w:rPr>
              <w:t xml:space="preserve"> </w:t>
            </w:r>
            <w:r w:rsidRPr="00EC20A0">
              <w:t xml:space="preserve">(FAM </w:t>
            </w:r>
            <w:r w:rsidRPr="00EC20A0">
              <w:rPr>
                <w:spacing w:val="-4"/>
              </w:rPr>
              <w:t>530)</w:t>
            </w:r>
          </w:p>
        </w:tc>
        <w:tc>
          <w:tcPr>
            <w:tcW w:w="810" w:type="dxa"/>
            <w:tcBorders>
              <w:top w:val="single" w:sz="8" w:space="0" w:color="000000"/>
              <w:left w:val="single" w:sz="8" w:space="0" w:color="000000"/>
              <w:bottom w:val="single" w:sz="8" w:space="0" w:color="000000"/>
              <w:right w:val="single" w:sz="8" w:space="0" w:color="000000"/>
            </w:tcBorders>
          </w:tcPr>
          <w:p w14:paraId="24D626E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E4" w14:textId="77777777" w:rsidR="00245300" w:rsidRPr="00EC20A0" w:rsidRDefault="00245300">
            <w:pPr>
              <w:pStyle w:val="TableParagraph"/>
            </w:pPr>
          </w:p>
        </w:tc>
      </w:tr>
      <w:tr w:rsidR="00245300" w:rsidRPr="00EC20A0" w14:paraId="24D626E9" w14:textId="77777777">
        <w:trPr>
          <w:trHeight w:val="999"/>
        </w:trPr>
        <w:tc>
          <w:tcPr>
            <w:tcW w:w="7380" w:type="dxa"/>
            <w:tcBorders>
              <w:top w:val="single" w:sz="8" w:space="0" w:color="000000"/>
              <w:bottom w:val="single" w:sz="8" w:space="0" w:color="000000"/>
              <w:right w:val="single" w:sz="8" w:space="0" w:color="000000"/>
            </w:tcBorders>
          </w:tcPr>
          <w:p w14:paraId="24D626E6" w14:textId="77777777" w:rsidR="00245300" w:rsidRPr="00EC20A0" w:rsidRDefault="00F17249">
            <w:pPr>
              <w:pStyle w:val="TableParagraph"/>
              <w:spacing w:before="121"/>
              <w:ind w:left="1244" w:hanging="360"/>
            </w:pPr>
            <w:r w:rsidRPr="00EC20A0">
              <w:t>c.</w:t>
            </w:r>
            <w:r w:rsidRPr="00EC20A0">
              <w:rPr>
                <w:spacing w:val="80"/>
              </w:rPr>
              <w:t xml:space="preserve"> </w:t>
            </w:r>
            <w:r w:rsidRPr="00EC20A0">
              <w:t>Determining</w:t>
            </w:r>
            <w:r w:rsidRPr="00EC20A0">
              <w:rPr>
                <w:spacing w:val="-4"/>
              </w:rPr>
              <w:t xml:space="preserve"> </w:t>
            </w:r>
            <w:r w:rsidRPr="00EC20A0">
              <w:t>the</w:t>
            </w:r>
            <w:r w:rsidRPr="00EC20A0">
              <w:rPr>
                <w:spacing w:val="-4"/>
              </w:rPr>
              <w:t xml:space="preserve"> </w:t>
            </w:r>
            <w:r w:rsidRPr="00EC20A0">
              <w:t>need</w:t>
            </w:r>
            <w:r w:rsidRPr="00EC20A0">
              <w:rPr>
                <w:spacing w:val="-4"/>
              </w:rPr>
              <w:t xml:space="preserve"> </w:t>
            </w:r>
            <w:r w:rsidRPr="00EC20A0">
              <w:t>to</w:t>
            </w:r>
            <w:r w:rsidRPr="00EC20A0">
              <w:rPr>
                <w:spacing w:val="-5"/>
              </w:rPr>
              <w:t xml:space="preserve"> </w:t>
            </w:r>
            <w:r w:rsidRPr="00EC20A0">
              <w:t>perform</w:t>
            </w:r>
            <w:r w:rsidRPr="00EC20A0">
              <w:rPr>
                <w:spacing w:val="-4"/>
              </w:rPr>
              <w:t xml:space="preserve"> </w:t>
            </w:r>
            <w:r w:rsidRPr="00EC20A0">
              <w:t>additional</w:t>
            </w:r>
            <w:r w:rsidRPr="00EC20A0">
              <w:rPr>
                <w:spacing w:val="-4"/>
              </w:rPr>
              <w:t xml:space="preserve"> </w:t>
            </w:r>
            <w:r w:rsidRPr="00EC20A0">
              <w:t>procedures</w:t>
            </w:r>
            <w:r w:rsidRPr="00EC20A0">
              <w:rPr>
                <w:spacing w:val="-4"/>
              </w:rPr>
              <w:t xml:space="preserve"> </w:t>
            </w:r>
            <w:r w:rsidRPr="00EC20A0">
              <w:t>when there are questions about the adequacy of work performed? (FAM 530)</w:t>
            </w:r>
          </w:p>
        </w:tc>
        <w:tc>
          <w:tcPr>
            <w:tcW w:w="810" w:type="dxa"/>
            <w:tcBorders>
              <w:top w:val="single" w:sz="8" w:space="0" w:color="000000"/>
              <w:left w:val="single" w:sz="8" w:space="0" w:color="000000"/>
              <w:bottom w:val="single" w:sz="8" w:space="0" w:color="000000"/>
              <w:right w:val="single" w:sz="8" w:space="0" w:color="000000"/>
            </w:tcBorders>
          </w:tcPr>
          <w:p w14:paraId="24D626E7"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E8" w14:textId="77777777" w:rsidR="00245300" w:rsidRPr="00EC20A0" w:rsidRDefault="00245300">
            <w:pPr>
              <w:pStyle w:val="TableParagraph"/>
            </w:pPr>
          </w:p>
        </w:tc>
      </w:tr>
      <w:tr w:rsidR="00245300" w:rsidRPr="00EC20A0" w14:paraId="24D626ED" w14:textId="77777777">
        <w:trPr>
          <w:trHeight w:val="2010"/>
        </w:trPr>
        <w:tc>
          <w:tcPr>
            <w:tcW w:w="7380" w:type="dxa"/>
            <w:tcBorders>
              <w:top w:val="single" w:sz="8" w:space="0" w:color="000000"/>
              <w:bottom w:val="single" w:sz="8" w:space="0" w:color="000000"/>
              <w:right w:val="single" w:sz="8" w:space="0" w:color="000000"/>
            </w:tcBorders>
          </w:tcPr>
          <w:p w14:paraId="24D626EA" w14:textId="77777777" w:rsidR="00245300" w:rsidRPr="00EC20A0" w:rsidRDefault="00F17249">
            <w:pPr>
              <w:pStyle w:val="TableParagraph"/>
              <w:spacing w:before="119"/>
              <w:ind w:left="1244" w:right="172" w:hanging="360"/>
            </w:pPr>
            <w:r w:rsidRPr="00EC20A0">
              <w:t>d.</w:t>
            </w:r>
            <w:r w:rsidRPr="00EC20A0">
              <w:rPr>
                <w:spacing w:val="80"/>
              </w:rPr>
              <w:t xml:space="preserve"> </w:t>
            </w:r>
            <w:r w:rsidRPr="00EC20A0">
              <w:t xml:space="preserve">Evaluating audit exposure, including uncorrected misstatements, potential undetected misstatements (e.g., untested amounts, sampling precision, and imprecision of analytical procedures upon which complete substantive reliance was placed), and </w:t>
            </w:r>
            <w:r w:rsidRPr="00EC20A0">
              <w:t>qualitative considerations, and determining</w:t>
            </w:r>
            <w:r w:rsidRPr="00EC20A0">
              <w:rPr>
                <w:spacing w:val="-5"/>
              </w:rPr>
              <w:t xml:space="preserve"> </w:t>
            </w:r>
            <w:r w:rsidRPr="00EC20A0">
              <w:t>its</w:t>
            </w:r>
            <w:r w:rsidRPr="00EC20A0">
              <w:rPr>
                <w:spacing w:val="-5"/>
              </w:rPr>
              <w:t xml:space="preserve"> </w:t>
            </w:r>
            <w:r w:rsidRPr="00EC20A0">
              <w:t>effect</w:t>
            </w:r>
            <w:r w:rsidRPr="00EC20A0">
              <w:rPr>
                <w:spacing w:val="-5"/>
              </w:rPr>
              <w:t xml:space="preserve"> </w:t>
            </w:r>
            <w:r w:rsidRPr="00EC20A0">
              <w:t>on</w:t>
            </w:r>
            <w:r w:rsidRPr="00EC20A0">
              <w:rPr>
                <w:spacing w:val="-6"/>
              </w:rPr>
              <w:t xml:space="preserve"> </w:t>
            </w:r>
            <w:r w:rsidRPr="00EC20A0">
              <w:t>the</w:t>
            </w:r>
            <w:r w:rsidRPr="00EC20A0">
              <w:rPr>
                <w:spacing w:val="-5"/>
              </w:rPr>
              <w:t xml:space="preserve"> </w:t>
            </w:r>
            <w:r w:rsidRPr="00EC20A0">
              <w:t>financial</w:t>
            </w:r>
            <w:r w:rsidRPr="00EC20A0">
              <w:rPr>
                <w:spacing w:val="-6"/>
              </w:rPr>
              <w:t xml:space="preserve"> </w:t>
            </w:r>
            <w:r w:rsidRPr="00EC20A0">
              <w:t>statements,</w:t>
            </w:r>
            <w:r w:rsidRPr="00EC20A0">
              <w:rPr>
                <w:spacing w:val="-5"/>
              </w:rPr>
              <w:t xml:space="preserve"> </w:t>
            </w:r>
            <w:r w:rsidRPr="00EC20A0">
              <w:t>including note disclosures? (FAM 545)</w:t>
            </w:r>
          </w:p>
        </w:tc>
        <w:tc>
          <w:tcPr>
            <w:tcW w:w="810" w:type="dxa"/>
            <w:tcBorders>
              <w:top w:val="single" w:sz="8" w:space="0" w:color="000000"/>
              <w:left w:val="single" w:sz="8" w:space="0" w:color="000000"/>
              <w:bottom w:val="single" w:sz="8" w:space="0" w:color="000000"/>
              <w:right w:val="single" w:sz="8" w:space="0" w:color="000000"/>
            </w:tcBorders>
          </w:tcPr>
          <w:p w14:paraId="24D626EB"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EC" w14:textId="77777777" w:rsidR="00245300" w:rsidRPr="00EC20A0" w:rsidRDefault="00245300">
            <w:pPr>
              <w:pStyle w:val="TableParagraph"/>
            </w:pPr>
          </w:p>
        </w:tc>
      </w:tr>
      <w:tr w:rsidR="00245300" w:rsidRPr="00EC20A0" w14:paraId="24D626F1" w14:textId="77777777">
        <w:trPr>
          <w:trHeight w:val="1252"/>
        </w:trPr>
        <w:tc>
          <w:tcPr>
            <w:tcW w:w="7380" w:type="dxa"/>
            <w:tcBorders>
              <w:top w:val="single" w:sz="8" w:space="0" w:color="000000"/>
              <w:bottom w:val="single" w:sz="8" w:space="0" w:color="000000"/>
              <w:right w:val="single" w:sz="8" w:space="0" w:color="000000"/>
            </w:tcBorders>
          </w:tcPr>
          <w:p w14:paraId="24D626EE" w14:textId="77777777" w:rsidR="00245300" w:rsidRPr="00EC20A0" w:rsidRDefault="00F17249">
            <w:pPr>
              <w:pStyle w:val="TableParagraph"/>
              <w:spacing w:before="119"/>
              <w:ind w:left="1244" w:right="172" w:hanging="360"/>
            </w:pPr>
            <w:r w:rsidRPr="00EC20A0">
              <w:t>e.</w:t>
            </w:r>
            <w:r w:rsidRPr="00EC20A0">
              <w:rPr>
                <w:spacing w:val="80"/>
              </w:rPr>
              <w:t xml:space="preserve"> </w:t>
            </w:r>
            <w:r w:rsidRPr="00EC20A0">
              <w:t>Determining the effects on the auditor’s report and current- period</w:t>
            </w:r>
            <w:r w:rsidRPr="00EC20A0">
              <w:rPr>
                <w:spacing w:val="-6"/>
              </w:rPr>
              <w:t xml:space="preserve"> </w:t>
            </w:r>
            <w:r w:rsidRPr="00EC20A0">
              <w:t>statements,</w:t>
            </w:r>
            <w:r w:rsidRPr="00EC20A0">
              <w:rPr>
                <w:spacing w:val="-6"/>
              </w:rPr>
              <w:t xml:space="preserve"> </w:t>
            </w:r>
            <w:r w:rsidRPr="00EC20A0">
              <w:t>if</w:t>
            </w:r>
            <w:r w:rsidRPr="00EC20A0">
              <w:rPr>
                <w:spacing w:val="-6"/>
              </w:rPr>
              <w:t xml:space="preserve"> </w:t>
            </w:r>
            <w:r w:rsidRPr="00EC20A0">
              <w:t>any,</w:t>
            </w:r>
            <w:r w:rsidRPr="00EC20A0">
              <w:rPr>
                <w:spacing w:val="-6"/>
              </w:rPr>
              <w:t xml:space="preserve"> </w:t>
            </w:r>
            <w:r w:rsidRPr="00EC20A0">
              <w:t>of</w:t>
            </w:r>
            <w:r w:rsidRPr="00EC20A0">
              <w:rPr>
                <w:spacing w:val="-6"/>
              </w:rPr>
              <w:t xml:space="preserve"> </w:t>
            </w:r>
            <w:r w:rsidRPr="00EC20A0">
              <w:t>material</w:t>
            </w:r>
            <w:r w:rsidRPr="00EC20A0">
              <w:rPr>
                <w:spacing w:val="-6"/>
              </w:rPr>
              <w:t xml:space="preserve"> </w:t>
            </w:r>
            <w:r w:rsidRPr="00EC20A0">
              <w:t>misstatements</w:t>
            </w:r>
            <w:r w:rsidRPr="00EC20A0">
              <w:rPr>
                <w:spacing w:val="-6"/>
              </w:rPr>
              <w:t xml:space="preserve"> </w:t>
            </w:r>
            <w:r w:rsidRPr="00EC20A0">
              <w:t>detected in the current year that arose during prior periods but were not detected during prior audits? (FAM 540)</w:t>
            </w:r>
          </w:p>
        </w:tc>
        <w:tc>
          <w:tcPr>
            <w:tcW w:w="810" w:type="dxa"/>
            <w:tcBorders>
              <w:top w:val="single" w:sz="8" w:space="0" w:color="000000"/>
              <w:left w:val="single" w:sz="8" w:space="0" w:color="000000"/>
              <w:bottom w:val="single" w:sz="8" w:space="0" w:color="000000"/>
              <w:right w:val="single" w:sz="8" w:space="0" w:color="000000"/>
            </w:tcBorders>
          </w:tcPr>
          <w:p w14:paraId="24D626E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F0" w14:textId="77777777" w:rsidR="00245300" w:rsidRPr="00EC20A0" w:rsidRDefault="00245300">
            <w:pPr>
              <w:pStyle w:val="TableParagraph"/>
            </w:pPr>
          </w:p>
        </w:tc>
      </w:tr>
      <w:tr w:rsidR="00245300" w:rsidRPr="00EC20A0" w14:paraId="24D626F5" w14:textId="77777777">
        <w:trPr>
          <w:trHeight w:val="1000"/>
        </w:trPr>
        <w:tc>
          <w:tcPr>
            <w:tcW w:w="7380" w:type="dxa"/>
            <w:tcBorders>
              <w:top w:val="single" w:sz="8" w:space="0" w:color="000000"/>
              <w:bottom w:val="single" w:sz="8" w:space="0" w:color="000000"/>
              <w:right w:val="single" w:sz="8" w:space="0" w:color="000000"/>
            </w:tcBorders>
          </w:tcPr>
          <w:p w14:paraId="24D626F2" w14:textId="77777777" w:rsidR="00245300" w:rsidRPr="00EC20A0" w:rsidRDefault="00F17249">
            <w:pPr>
              <w:pStyle w:val="TableParagraph"/>
              <w:tabs>
                <w:tab w:val="left" w:pos="1244"/>
              </w:tabs>
              <w:spacing w:before="119"/>
              <w:ind w:left="1244" w:right="403" w:hanging="360"/>
            </w:pPr>
            <w:r w:rsidRPr="00EC20A0">
              <w:rPr>
                <w:spacing w:val="-6"/>
              </w:rPr>
              <w:t>f.</w:t>
            </w:r>
            <w:r w:rsidRPr="00EC20A0">
              <w:tab/>
              <w:t>Deciding to perform additional procedures to increase assurance</w:t>
            </w:r>
            <w:r w:rsidRPr="00EC20A0">
              <w:rPr>
                <w:spacing w:val="-6"/>
              </w:rPr>
              <w:t xml:space="preserve"> </w:t>
            </w:r>
            <w:r w:rsidRPr="00EC20A0">
              <w:t>of</w:t>
            </w:r>
            <w:r w:rsidRPr="00EC20A0">
              <w:rPr>
                <w:spacing w:val="-6"/>
              </w:rPr>
              <w:t xml:space="preserve"> </w:t>
            </w:r>
            <w:r w:rsidRPr="00EC20A0">
              <w:t>any</w:t>
            </w:r>
            <w:r w:rsidRPr="00EC20A0">
              <w:rPr>
                <w:spacing w:val="-6"/>
              </w:rPr>
              <w:t xml:space="preserve"> </w:t>
            </w:r>
            <w:r w:rsidRPr="00EC20A0">
              <w:t>projected</w:t>
            </w:r>
            <w:r w:rsidRPr="00EC20A0">
              <w:rPr>
                <w:spacing w:val="-6"/>
              </w:rPr>
              <w:t xml:space="preserve"> </w:t>
            </w:r>
            <w:r w:rsidRPr="00EC20A0">
              <w:t>misstatements?</w:t>
            </w:r>
            <w:r w:rsidRPr="00EC20A0">
              <w:rPr>
                <w:spacing w:val="-6"/>
              </w:rPr>
              <w:t xml:space="preserve"> </w:t>
            </w:r>
            <w:r w:rsidRPr="00EC20A0">
              <w:t>(FAM</w:t>
            </w:r>
            <w:r w:rsidRPr="00EC20A0">
              <w:rPr>
                <w:spacing w:val="-7"/>
              </w:rPr>
              <w:t xml:space="preserve"> </w:t>
            </w:r>
            <w:r w:rsidRPr="00EC20A0">
              <w:t>440</w:t>
            </w:r>
            <w:r w:rsidRPr="00EC20A0">
              <w:rPr>
                <w:spacing w:val="-6"/>
              </w:rPr>
              <w:t xml:space="preserve"> </w:t>
            </w:r>
            <w:r w:rsidRPr="00EC20A0">
              <w:t xml:space="preserve">and </w:t>
            </w:r>
            <w:r w:rsidRPr="00EC20A0">
              <w:rPr>
                <w:spacing w:val="-4"/>
              </w:rPr>
              <w:t>480)</w:t>
            </w:r>
          </w:p>
        </w:tc>
        <w:tc>
          <w:tcPr>
            <w:tcW w:w="810" w:type="dxa"/>
            <w:tcBorders>
              <w:top w:val="single" w:sz="8" w:space="0" w:color="000000"/>
              <w:left w:val="single" w:sz="8" w:space="0" w:color="000000"/>
              <w:bottom w:val="single" w:sz="8" w:space="0" w:color="000000"/>
              <w:right w:val="single" w:sz="8" w:space="0" w:color="000000"/>
            </w:tcBorders>
          </w:tcPr>
          <w:p w14:paraId="24D626F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6F4" w14:textId="77777777" w:rsidR="00245300" w:rsidRPr="00EC20A0" w:rsidRDefault="00245300">
            <w:pPr>
              <w:pStyle w:val="TableParagraph"/>
            </w:pPr>
          </w:p>
        </w:tc>
      </w:tr>
    </w:tbl>
    <w:p w14:paraId="24D626F6" w14:textId="77777777" w:rsidR="00245300" w:rsidRPr="00EC20A0" w:rsidRDefault="00245300">
      <w:pPr>
        <w:sectPr w:rsidR="00245300" w:rsidRPr="00EC20A0">
          <w:pgSz w:w="12240" w:h="15840"/>
          <w:pgMar w:top="1340" w:right="460" w:bottom="940" w:left="560" w:header="721" w:footer="757" w:gutter="0"/>
          <w:cols w:space="720"/>
        </w:sectPr>
      </w:pPr>
    </w:p>
    <w:p w14:paraId="24D626F7"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260"/>
      </w:tblGrid>
      <w:tr w:rsidR="00245300" w:rsidRPr="00EC20A0" w14:paraId="24D626FD" w14:textId="77777777">
        <w:trPr>
          <w:trHeight w:val="937"/>
        </w:trPr>
        <w:tc>
          <w:tcPr>
            <w:tcW w:w="7380" w:type="dxa"/>
            <w:tcBorders>
              <w:bottom w:val="single" w:sz="8" w:space="0" w:color="000000"/>
              <w:right w:val="single" w:sz="8" w:space="0" w:color="000000"/>
            </w:tcBorders>
            <w:shd w:val="clear" w:color="auto" w:fill="A6A6A6"/>
          </w:tcPr>
          <w:p w14:paraId="24D626F8" w14:textId="77777777" w:rsidR="00245300" w:rsidRPr="00EC20A0" w:rsidRDefault="00F17249">
            <w:pPr>
              <w:pStyle w:val="TableParagraph"/>
              <w:spacing w:before="266"/>
              <w:ind w:left="123"/>
              <w:rPr>
                <w:b/>
                <w:sz w:val="24"/>
              </w:rPr>
            </w:pPr>
            <w:r w:rsidRPr="00EC20A0">
              <w:rPr>
                <w:b/>
                <w:sz w:val="24"/>
              </w:rPr>
              <w:t>Section</w:t>
            </w:r>
            <w:r w:rsidRPr="00EC20A0">
              <w:rPr>
                <w:b/>
                <w:spacing w:val="-7"/>
                <w:sz w:val="24"/>
              </w:rPr>
              <w:t xml:space="preserve"> </w:t>
            </w:r>
            <w:r w:rsidRPr="00EC20A0">
              <w:rPr>
                <w:b/>
                <w:sz w:val="24"/>
              </w:rPr>
              <w:t>III:</w:t>
            </w:r>
            <w:r w:rsidRPr="00EC20A0">
              <w:rPr>
                <w:b/>
                <w:spacing w:val="-8"/>
                <w:sz w:val="24"/>
              </w:rPr>
              <w:t xml:space="preserve"> </w:t>
            </w:r>
            <w:r w:rsidRPr="00EC20A0">
              <w:rPr>
                <w:b/>
                <w:sz w:val="24"/>
              </w:rPr>
              <w:t>Communicating</w:t>
            </w:r>
            <w:r w:rsidRPr="00EC20A0">
              <w:rPr>
                <w:b/>
                <w:spacing w:val="-7"/>
                <w:sz w:val="24"/>
              </w:rPr>
              <w:t xml:space="preserve"> </w:t>
            </w:r>
            <w:r w:rsidRPr="00EC20A0">
              <w:rPr>
                <w:b/>
                <w:sz w:val="24"/>
              </w:rPr>
              <w:t>with</w:t>
            </w:r>
            <w:r w:rsidRPr="00EC20A0">
              <w:rPr>
                <w:b/>
                <w:spacing w:val="-7"/>
                <w:sz w:val="24"/>
              </w:rPr>
              <w:t xml:space="preserve"> </w:t>
            </w:r>
            <w:r w:rsidRPr="00EC20A0">
              <w:rPr>
                <w:b/>
                <w:sz w:val="24"/>
              </w:rPr>
              <w:t>Auditor’s</w:t>
            </w:r>
            <w:r w:rsidRPr="00EC20A0">
              <w:rPr>
                <w:b/>
                <w:spacing w:val="-7"/>
                <w:sz w:val="24"/>
              </w:rPr>
              <w:t xml:space="preserve"> </w:t>
            </w:r>
            <w:r w:rsidRPr="00EC20A0">
              <w:rPr>
                <w:b/>
                <w:sz w:val="24"/>
              </w:rPr>
              <w:t>Specialists</w:t>
            </w:r>
            <w:r w:rsidRPr="00EC20A0">
              <w:rPr>
                <w:b/>
                <w:spacing w:val="-7"/>
                <w:sz w:val="24"/>
              </w:rPr>
              <w:t xml:space="preserve"> </w:t>
            </w:r>
            <w:r w:rsidRPr="00EC20A0">
              <w:rPr>
                <w:b/>
                <w:sz w:val="24"/>
              </w:rPr>
              <w:t xml:space="preserve">and </w:t>
            </w:r>
            <w:r w:rsidRPr="00EC20A0">
              <w:rPr>
                <w:b/>
                <w:spacing w:val="-2"/>
                <w:sz w:val="24"/>
              </w:rPr>
              <w:t>Reviewer</w:t>
            </w:r>
          </w:p>
        </w:tc>
        <w:tc>
          <w:tcPr>
            <w:tcW w:w="810" w:type="dxa"/>
            <w:tcBorders>
              <w:left w:val="single" w:sz="8" w:space="0" w:color="000000"/>
              <w:bottom w:val="single" w:sz="8" w:space="0" w:color="000000"/>
              <w:right w:val="single" w:sz="8" w:space="0" w:color="000000"/>
            </w:tcBorders>
            <w:shd w:val="clear" w:color="auto" w:fill="A6A6A6"/>
          </w:tcPr>
          <w:p w14:paraId="24D626F9" w14:textId="77777777" w:rsidR="00245300" w:rsidRPr="00EC20A0" w:rsidRDefault="00F17249">
            <w:pPr>
              <w:pStyle w:val="TableParagraph"/>
              <w:spacing w:before="120"/>
              <w:ind w:left="182" w:right="159" w:hanging="6"/>
              <w:jc w:val="both"/>
              <w:rPr>
                <w:b/>
              </w:rPr>
            </w:pPr>
            <w:r w:rsidRPr="00EC20A0">
              <w:rPr>
                <w:b/>
                <w:spacing w:val="-4"/>
              </w:rPr>
              <w:t>Yes, No,* N/A</w:t>
            </w:r>
          </w:p>
        </w:tc>
        <w:tc>
          <w:tcPr>
            <w:tcW w:w="1260" w:type="dxa"/>
            <w:tcBorders>
              <w:left w:val="single" w:sz="8" w:space="0" w:color="000000"/>
              <w:bottom w:val="single" w:sz="8" w:space="0" w:color="000000"/>
            </w:tcBorders>
            <w:shd w:val="clear" w:color="auto" w:fill="A6A6A6"/>
          </w:tcPr>
          <w:p w14:paraId="24D626FA" w14:textId="77777777" w:rsidR="00245300" w:rsidRPr="00EC20A0" w:rsidRDefault="00245300">
            <w:pPr>
              <w:pStyle w:val="TableParagraph"/>
              <w:rPr>
                <w:b/>
              </w:rPr>
            </w:pPr>
          </w:p>
          <w:p w14:paraId="24D626FB" w14:textId="77777777" w:rsidR="00245300" w:rsidRPr="00EC20A0" w:rsidRDefault="00245300">
            <w:pPr>
              <w:pStyle w:val="TableParagraph"/>
              <w:spacing w:before="120"/>
              <w:rPr>
                <w:b/>
              </w:rPr>
            </w:pPr>
          </w:p>
          <w:p w14:paraId="24D626FC" w14:textId="77777777" w:rsidR="00245300" w:rsidRPr="00EC20A0" w:rsidRDefault="00F17249">
            <w:pPr>
              <w:pStyle w:val="TableParagraph"/>
              <w:ind w:left="186"/>
              <w:rPr>
                <w:b/>
              </w:rPr>
            </w:pPr>
            <w:r w:rsidRPr="00EC20A0">
              <w:rPr>
                <w:b/>
              </w:rPr>
              <w:t>Doc.</w:t>
            </w:r>
            <w:r w:rsidRPr="00EC20A0">
              <w:rPr>
                <w:b/>
                <w:spacing w:val="-6"/>
              </w:rPr>
              <w:t xml:space="preserve"> </w:t>
            </w:r>
            <w:r w:rsidRPr="00EC20A0">
              <w:rPr>
                <w:b/>
                <w:spacing w:val="-4"/>
              </w:rPr>
              <w:t>ref.</w:t>
            </w:r>
          </w:p>
        </w:tc>
      </w:tr>
      <w:tr w:rsidR="00245300" w:rsidRPr="00EC20A0" w14:paraId="24D62701" w14:textId="77777777">
        <w:trPr>
          <w:trHeight w:val="746"/>
        </w:trPr>
        <w:tc>
          <w:tcPr>
            <w:tcW w:w="7380" w:type="dxa"/>
            <w:tcBorders>
              <w:top w:val="single" w:sz="8" w:space="0" w:color="000000"/>
              <w:bottom w:val="single" w:sz="8" w:space="0" w:color="000000"/>
              <w:right w:val="single" w:sz="8" w:space="0" w:color="000000"/>
            </w:tcBorders>
          </w:tcPr>
          <w:p w14:paraId="24D626FE" w14:textId="77777777" w:rsidR="00245300" w:rsidRPr="00EC20A0" w:rsidRDefault="00F17249">
            <w:pPr>
              <w:pStyle w:val="TableParagraph"/>
              <w:spacing w:before="121"/>
              <w:ind w:left="1244" w:hanging="360"/>
            </w:pPr>
            <w:r w:rsidRPr="00EC20A0">
              <w:t>g.</w:t>
            </w:r>
            <w:r w:rsidRPr="00EC20A0">
              <w:rPr>
                <w:spacing w:val="80"/>
              </w:rPr>
              <w:t xml:space="preserve"> </w:t>
            </w:r>
            <w:r w:rsidRPr="00EC20A0">
              <w:t>The</w:t>
            </w:r>
            <w:r w:rsidRPr="00EC20A0">
              <w:rPr>
                <w:spacing w:val="-4"/>
              </w:rPr>
              <w:t xml:space="preserve"> </w:t>
            </w:r>
            <w:r w:rsidRPr="00EC20A0">
              <w:t>engagement</w:t>
            </w:r>
            <w:r w:rsidRPr="00EC20A0">
              <w:rPr>
                <w:spacing w:val="-4"/>
              </w:rPr>
              <w:t xml:space="preserve"> </w:t>
            </w:r>
            <w:r w:rsidRPr="00EC20A0">
              <w:t>team</w:t>
            </w:r>
            <w:r w:rsidRPr="00EC20A0">
              <w:rPr>
                <w:spacing w:val="-5"/>
              </w:rPr>
              <w:t xml:space="preserve"> </w:t>
            </w:r>
            <w:r w:rsidRPr="00EC20A0">
              <w:t>believes</w:t>
            </w:r>
            <w:r w:rsidRPr="00EC20A0">
              <w:rPr>
                <w:spacing w:val="-4"/>
              </w:rPr>
              <w:t xml:space="preserve"> </w:t>
            </w:r>
            <w:r w:rsidRPr="00EC20A0">
              <w:t>a</w:t>
            </w:r>
            <w:r w:rsidRPr="00EC20A0">
              <w:rPr>
                <w:spacing w:val="-5"/>
              </w:rPr>
              <w:t xml:space="preserve"> </w:t>
            </w:r>
            <w:r w:rsidRPr="00EC20A0">
              <w:t>misstatement</w:t>
            </w:r>
            <w:r w:rsidRPr="00EC20A0">
              <w:rPr>
                <w:spacing w:val="-4"/>
              </w:rPr>
              <w:t xml:space="preserve"> </w:t>
            </w:r>
            <w:r w:rsidRPr="00EC20A0">
              <w:t>may</w:t>
            </w:r>
            <w:r w:rsidRPr="00EC20A0">
              <w:rPr>
                <w:spacing w:val="-4"/>
              </w:rPr>
              <w:t xml:space="preserve"> </w:t>
            </w:r>
            <w:r w:rsidRPr="00EC20A0">
              <w:t>be</w:t>
            </w:r>
            <w:r w:rsidRPr="00EC20A0">
              <w:rPr>
                <w:spacing w:val="-4"/>
              </w:rPr>
              <w:t xml:space="preserve"> </w:t>
            </w:r>
            <w:r w:rsidRPr="00EC20A0">
              <w:t>the result of fraud? (FAM 540)</w:t>
            </w:r>
          </w:p>
        </w:tc>
        <w:tc>
          <w:tcPr>
            <w:tcW w:w="810" w:type="dxa"/>
            <w:tcBorders>
              <w:top w:val="single" w:sz="8" w:space="0" w:color="000000"/>
              <w:left w:val="single" w:sz="8" w:space="0" w:color="000000"/>
              <w:bottom w:val="single" w:sz="8" w:space="0" w:color="000000"/>
              <w:right w:val="single" w:sz="8" w:space="0" w:color="000000"/>
            </w:tcBorders>
          </w:tcPr>
          <w:p w14:paraId="24D626F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700" w14:textId="77777777" w:rsidR="00245300" w:rsidRPr="00EC20A0" w:rsidRDefault="00245300">
            <w:pPr>
              <w:pStyle w:val="TableParagraph"/>
            </w:pPr>
          </w:p>
        </w:tc>
      </w:tr>
      <w:tr w:rsidR="00245300" w:rsidRPr="00EC20A0" w14:paraId="24D62705" w14:textId="77777777">
        <w:trPr>
          <w:trHeight w:val="998"/>
        </w:trPr>
        <w:tc>
          <w:tcPr>
            <w:tcW w:w="7380" w:type="dxa"/>
            <w:tcBorders>
              <w:top w:val="single" w:sz="8" w:space="0" w:color="000000"/>
              <w:bottom w:val="single" w:sz="8" w:space="0" w:color="000000"/>
              <w:right w:val="single" w:sz="8" w:space="0" w:color="000000"/>
            </w:tcBorders>
          </w:tcPr>
          <w:p w14:paraId="24D62702" w14:textId="77777777" w:rsidR="00245300" w:rsidRPr="00EC20A0" w:rsidRDefault="00F17249">
            <w:pPr>
              <w:pStyle w:val="TableParagraph"/>
              <w:spacing w:before="119"/>
              <w:ind w:left="1244" w:right="390" w:hanging="360"/>
              <w:jc w:val="both"/>
            </w:pPr>
            <w:r w:rsidRPr="00EC20A0">
              <w:t>h.</w:t>
            </w:r>
            <w:r w:rsidRPr="00EC20A0">
              <w:rPr>
                <w:spacing w:val="80"/>
              </w:rPr>
              <w:t xml:space="preserve"> </w:t>
            </w:r>
            <w:r w:rsidRPr="00EC20A0">
              <w:t>Deciding</w:t>
            </w:r>
            <w:r w:rsidRPr="00EC20A0">
              <w:rPr>
                <w:spacing w:val="-3"/>
              </w:rPr>
              <w:t xml:space="preserve"> </w:t>
            </w:r>
            <w:r w:rsidRPr="00EC20A0">
              <w:t>to</w:t>
            </w:r>
            <w:r w:rsidRPr="00EC20A0">
              <w:rPr>
                <w:spacing w:val="-3"/>
              </w:rPr>
              <w:t xml:space="preserve"> </w:t>
            </w:r>
            <w:r w:rsidRPr="00EC20A0">
              <w:t>include</w:t>
            </w:r>
            <w:r w:rsidRPr="00EC20A0">
              <w:rPr>
                <w:spacing w:val="-3"/>
              </w:rPr>
              <w:t xml:space="preserve"> </w:t>
            </w:r>
            <w:r w:rsidRPr="00EC20A0">
              <w:t>a</w:t>
            </w:r>
            <w:r w:rsidRPr="00EC20A0">
              <w:rPr>
                <w:spacing w:val="-3"/>
              </w:rPr>
              <w:t xml:space="preserve"> </w:t>
            </w:r>
            <w:r w:rsidRPr="00EC20A0">
              <w:t>discussion</w:t>
            </w:r>
            <w:r w:rsidRPr="00EC20A0">
              <w:rPr>
                <w:spacing w:val="-4"/>
              </w:rPr>
              <w:t xml:space="preserve"> </w:t>
            </w:r>
            <w:r w:rsidRPr="00EC20A0">
              <w:t>of</w:t>
            </w:r>
            <w:r w:rsidRPr="00EC20A0">
              <w:rPr>
                <w:spacing w:val="-3"/>
              </w:rPr>
              <w:t xml:space="preserve"> </w:t>
            </w:r>
            <w:r w:rsidRPr="00EC20A0">
              <w:t>fraud</w:t>
            </w:r>
            <w:r w:rsidRPr="00EC20A0">
              <w:rPr>
                <w:spacing w:val="-3"/>
              </w:rPr>
              <w:t xml:space="preserve"> </w:t>
            </w:r>
            <w:r w:rsidRPr="00EC20A0">
              <w:t>in</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report that</w:t>
            </w:r>
            <w:r w:rsidRPr="00EC20A0">
              <w:rPr>
                <w:spacing w:val="-3"/>
              </w:rPr>
              <w:t xml:space="preserve"> </w:t>
            </w:r>
            <w:r w:rsidRPr="00EC20A0">
              <w:t>involves</w:t>
            </w:r>
            <w:r w:rsidRPr="00EC20A0">
              <w:rPr>
                <w:spacing w:val="-4"/>
              </w:rPr>
              <w:t xml:space="preserve"> </w:t>
            </w:r>
            <w:r w:rsidRPr="00EC20A0">
              <w:t>senior</w:t>
            </w:r>
            <w:r w:rsidRPr="00EC20A0">
              <w:rPr>
                <w:spacing w:val="-3"/>
              </w:rPr>
              <w:t xml:space="preserve"> </w:t>
            </w:r>
            <w:r w:rsidRPr="00EC20A0">
              <w:t>management</w:t>
            </w:r>
            <w:r w:rsidRPr="00EC20A0">
              <w:rPr>
                <w:spacing w:val="-3"/>
              </w:rPr>
              <w:t xml:space="preserve"> </w:t>
            </w:r>
            <w:r w:rsidRPr="00EC20A0">
              <w:t>or</w:t>
            </w:r>
            <w:r w:rsidRPr="00EC20A0">
              <w:rPr>
                <w:spacing w:val="-3"/>
              </w:rPr>
              <w:t xml:space="preserve"> </w:t>
            </w:r>
            <w:r w:rsidRPr="00EC20A0">
              <w:t>that</w:t>
            </w:r>
            <w:r w:rsidRPr="00EC20A0">
              <w:rPr>
                <w:spacing w:val="-3"/>
              </w:rPr>
              <w:t xml:space="preserve"> </w:t>
            </w:r>
            <w:r w:rsidRPr="00EC20A0">
              <w:t>causes</w:t>
            </w:r>
            <w:r w:rsidRPr="00EC20A0">
              <w:rPr>
                <w:spacing w:val="-4"/>
              </w:rPr>
              <w:t xml:space="preserve"> </w:t>
            </w:r>
            <w:r w:rsidRPr="00EC20A0">
              <w:t>a</w:t>
            </w:r>
            <w:r w:rsidRPr="00EC20A0">
              <w:rPr>
                <w:spacing w:val="-3"/>
              </w:rPr>
              <w:t xml:space="preserve"> </w:t>
            </w:r>
            <w:r w:rsidRPr="00EC20A0">
              <w:t>material misstatement of the financial statements? (FAM 540)</w:t>
            </w:r>
          </w:p>
        </w:tc>
        <w:tc>
          <w:tcPr>
            <w:tcW w:w="810" w:type="dxa"/>
            <w:tcBorders>
              <w:top w:val="single" w:sz="8" w:space="0" w:color="000000"/>
              <w:left w:val="single" w:sz="8" w:space="0" w:color="000000"/>
              <w:bottom w:val="single" w:sz="8" w:space="0" w:color="000000"/>
              <w:right w:val="single" w:sz="8" w:space="0" w:color="000000"/>
            </w:tcBorders>
          </w:tcPr>
          <w:p w14:paraId="24D6270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704" w14:textId="77777777" w:rsidR="00245300" w:rsidRPr="00EC20A0" w:rsidRDefault="00245300">
            <w:pPr>
              <w:pStyle w:val="TableParagraph"/>
            </w:pPr>
          </w:p>
        </w:tc>
      </w:tr>
      <w:tr w:rsidR="00245300" w:rsidRPr="00EC20A0" w14:paraId="24D62709" w14:textId="77777777">
        <w:trPr>
          <w:trHeight w:val="998"/>
        </w:trPr>
        <w:tc>
          <w:tcPr>
            <w:tcW w:w="7380" w:type="dxa"/>
            <w:tcBorders>
              <w:top w:val="single" w:sz="8" w:space="0" w:color="000000"/>
              <w:bottom w:val="single" w:sz="8" w:space="0" w:color="000000"/>
              <w:right w:val="single" w:sz="8" w:space="0" w:color="000000"/>
            </w:tcBorders>
          </w:tcPr>
          <w:p w14:paraId="24D62706" w14:textId="77777777" w:rsidR="00245300" w:rsidRPr="00EC20A0" w:rsidRDefault="00F17249">
            <w:pPr>
              <w:pStyle w:val="TableParagraph"/>
              <w:tabs>
                <w:tab w:val="left" w:pos="1244"/>
              </w:tabs>
              <w:spacing w:before="119"/>
              <w:ind w:left="1245" w:right="452" w:hanging="361"/>
            </w:pPr>
            <w:r w:rsidRPr="00EC20A0">
              <w:rPr>
                <w:spacing w:val="-6"/>
              </w:rPr>
              <w:t>i.</w:t>
            </w:r>
            <w:r w:rsidRPr="00EC20A0">
              <w:tab/>
              <w:t>Concluding on whether the financial statements are materially</w:t>
            </w:r>
            <w:r w:rsidRPr="00EC20A0">
              <w:rPr>
                <w:spacing w:val="-5"/>
              </w:rPr>
              <w:t xml:space="preserve"> </w:t>
            </w:r>
            <w:r w:rsidRPr="00EC20A0">
              <w:t>affected</w:t>
            </w:r>
            <w:r w:rsidRPr="00EC20A0">
              <w:rPr>
                <w:spacing w:val="-5"/>
              </w:rPr>
              <w:t xml:space="preserve"> </w:t>
            </w:r>
            <w:r w:rsidRPr="00EC20A0">
              <w:t>by</w:t>
            </w:r>
            <w:r w:rsidRPr="00EC20A0">
              <w:rPr>
                <w:spacing w:val="-5"/>
              </w:rPr>
              <w:t xml:space="preserve"> </w:t>
            </w:r>
            <w:r w:rsidRPr="00EC20A0">
              <w:t>a</w:t>
            </w:r>
            <w:r w:rsidRPr="00EC20A0">
              <w:rPr>
                <w:spacing w:val="-6"/>
              </w:rPr>
              <w:t xml:space="preserve"> </w:t>
            </w:r>
            <w:r w:rsidRPr="00EC20A0">
              <w:t>departure</w:t>
            </w:r>
            <w:r w:rsidRPr="00EC20A0">
              <w:rPr>
                <w:spacing w:val="-5"/>
              </w:rPr>
              <w:t xml:space="preserve"> </w:t>
            </w:r>
            <w:r w:rsidRPr="00EC20A0">
              <w:t>from</w:t>
            </w:r>
            <w:r w:rsidRPr="00EC20A0">
              <w:rPr>
                <w:spacing w:val="-6"/>
              </w:rPr>
              <w:t xml:space="preserve"> </w:t>
            </w:r>
            <w:r w:rsidRPr="00EC20A0">
              <w:t>U.S.</w:t>
            </w:r>
            <w:r w:rsidRPr="00EC20A0">
              <w:rPr>
                <w:spacing w:val="-4"/>
              </w:rPr>
              <w:t xml:space="preserve"> </w:t>
            </w:r>
            <w:r w:rsidRPr="00EC20A0">
              <w:t>GAAP?</w:t>
            </w:r>
            <w:r w:rsidRPr="00EC20A0">
              <w:rPr>
                <w:spacing w:val="-5"/>
              </w:rPr>
              <w:t xml:space="preserve"> </w:t>
            </w:r>
            <w:r w:rsidRPr="00EC20A0">
              <w:t xml:space="preserve">(FAM </w:t>
            </w:r>
            <w:r w:rsidRPr="00EC20A0">
              <w:rPr>
                <w:spacing w:val="-4"/>
              </w:rPr>
              <w:t>580)</w:t>
            </w:r>
          </w:p>
        </w:tc>
        <w:tc>
          <w:tcPr>
            <w:tcW w:w="810" w:type="dxa"/>
            <w:tcBorders>
              <w:top w:val="single" w:sz="8" w:space="0" w:color="000000"/>
              <w:left w:val="single" w:sz="8" w:space="0" w:color="000000"/>
              <w:bottom w:val="single" w:sz="8" w:space="0" w:color="000000"/>
              <w:right w:val="single" w:sz="8" w:space="0" w:color="000000"/>
            </w:tcBorders>
          </w:tcPr>
          <w:p w14:paraId="24D62707"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708" w14:textId="77777777" w:rsidR="00245300" w:rsidRPr="00EC20A0" w:rsidRDefault="00245300">
            <w:pPr>
              <w:pStyle w:val="TableParagraph"/>
            </w:pPr>
          </w:p>
        </w:tc>
      </w:tr>
      <w:tr w:rsidR="00245300" w:rsidRPr="00EC20A0" w14:paraId="24D6270D" w14:textId="77777777">
        <w:trPr>
          <w:trHeight w:val="745"/>
        </w:trPr>
        <w:tc>
          <w:tcPr>
            <w:tcW w:w="7380" w:type="dxa"/>
            <w:tcBorders>
              <w:top w:val="single" w:sz="8" w:space="0" w:color="000000"/>
              <w:bottom w:val="single" w:sz="8" w:space="0" w:color="000000"/>
              <w:right w:val="single" w:sz="8" w:space="0" w:color="000000"/>
            </w:tcBorders>
          </w:tcPr>
          <w:p w14:paraId="24D6270A" w14:textId="77777777" w:rsidR="00245300" w:rsidRPr="00EC20A0" w:rsidRDefault="00F17249">
            <w:pPr>
              <w:pStyle w:val="TableParagraph"/>
              <w:tabs>
                <w:tab w:val="left" w:pos="1244"/>
              </w:tabs>
              <w:spacing w:before="119"/>
              <w:ind w:left="1244" w:right="792" w:hanging="360"/>
            </w:pPr>
            <w:r w:rsidRPr="00EC20A0">
              <w:rPr>
                <w:spacing w:val="-6"/>
              </w:rPr>
              <w:t>j.</w:t>
            </w:r>
            <w:r w:rsidRPr="00EC20A0">
              <w:tab/>
              <w:t>Determining</w:t>
            </w:r>
            <w:r w:rsidRPr="00EC20A0">
              <w:rPr>
                <w:spacing w:val="-6"/>
              </w:rPr>
              <w:t xml:space="preserve"> </w:t>
            </w:r>
            <w:r w:rsidRPr="00EC20A0">
              <w:t>the</w:t>
            </w:r>
            <w:r w:rsidRPr="00EC20A0">
              <w:rPr>
                <w:spacing w:val="-6"/>
              </w:rPr>
              <w:t xml:space="preserve"> </w:t>
            </w:r>
            <w:r w:rsidRPr="00EC20A0">
              <w:t>appropriate</w:t>
            </w:r>
            <w:r w:rsidRPr="00EC20A0">
              <w:rPr>
                <w:spacing w:val="-6"/>
              </w:rPr>
              <w:t xml:space="preserve"> </w:t>
            </w:r>
            <w:r w:rsidRPr="00EC20A0">
              <w:t>type</w:t>
            </w:r>
            <w:r w:rsidRPr="00EC20A0">
              <w:rPr>
                <w:spacing w:val="-6"/>
              </w:rPr>
              <w:t xml:space="preserve"> </w:t>
            </w:r>
            <w:r w:rsidRPr="00EC20A0">
              <w:t>of</w:t>
            </w:r>
            <w:r w:rsidRPr="00EC20A0">
              <w:rPr>
                <w:spacing w:val="-6"/>
              </w:rPr>
              <w:t xml:space="preserve"> </w:t>
            </w:r>
            <w:r w:rsidRPr="00EC20A0">
              <w:t>opinion</w:t>
            </w:r>
            <w:r w:rsidRPr="00EC20A0">
              <w:rPr>
                <w:spacing w:val="-6"/>
              </w:rPr>
              <w:t xml:space="preserve"> </w:t>
            </w:r>
            <w:r w:rsidRPr="00EC20A0">
              <w:t>on</w:t>
            </w:r>
            <w:r w:rsidRPr="00EC20A0">
              <w:rPr>
                <w:spacing w:val="-6"/>
              </w:rPr>
              <w:t xml:space="preserve"> </w:t>
            </w:r>
            <w:r w:rsidRPr="00EC20A0">
              <w:t>internal control when there is a scope limitation? (FAM 580)</w:t>
            </w:r>
          </w:p>
        </w:tc>
        <w:tc>
          <w:tcPr>
            <w:tcW w:w="810" w:type="dxa"/>
            <w:tcBorders>
              <w:top w:val="single" w:sz="8" w:space="0" w:color="000000"/>
              <w:left w:val="single" w:sz="8" w:space="0" w:color="000000"/>
              <w:bottom w:val="single" w:sz="8" w:space="0" w:color="000000"/>
              <w:right w:val="single" w:sz="8" w:space="0" w:color="000000"/>
            </w:tcBorders>
          </w:tcPr>
          <w:p w14:paraId="24D6270B"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70C" w14:textId="77777777" w:rsidR="00245300" w:rsidRPr="00EC20A0" w:rsidRDefault="00245300">
            <w:pPr>
              <w:pStyle w:val="TableParagraph"/>
            </w:pPr>
          </w:p>
        </w:tc>
      </w:tr>
      <w:tr w:rsidR="00245300" w:rsidRPr="00EC20A0" w14:paraId="24D62711" w14:textId="77777777">
        <w:trPr>
          <w:trHeight w:val="998"/>
        </w:trPr>
        <w:tc>
          <w:tcPr>
            <w:tcW w:w="7380" w:type="dxa"/>
            <w:tcBorders>
              <w:top w:val="single" w:sz="8" w:space="0" w:color="000000"/>
              <w:bottom w:val="single" w:sz="8" w:space="0" w:color="000000"/>
              <w:right w:val="single" w:sz="8" w:space="0" w:color="000000"/>
            </w:tcBorders>
          </w:tcPr>
          <w:p w14:paraId="24D6270E" w14:textId="77777777" w:rsidR="00245300" w:rsidRPr="00EC20A0" w:rsidRDefault="00F17249">
            <w:pPr>
              <w:pStyle w:val="TableParagraph"/>
              <w:spacing w:before="121"/>
              <w:ind w:left="1244" w:hanging="360"/>
            </w:pPr>
            <w:r w:rsidRPr="00EC20A0">
              <w:t>k.</w:t>
            </w:r>
            <w:r w:rsidRPr="00EC20A0">
              <w:rPr>
                <w:spacing w:val="80"/>
              </w:rPr>
              <w:t xml:space="preserve"> </w:t>
            </w:r>
            <w:r w:rsidRPr="00EC20A0">
              <w:t>Determining</w:t>
            </w:r>
            <w:r w:rsidRPr="00EC20A0">
              <w:rPr>
                <w:spacing w:val="-4"/>
              </w:rPr>
              <w:t xml:space="preserve"> </w:t>
            </w:r>
            <w:r w:rsidRPr="00EC20A0">
              <w:t>the</w:t>
            </w:r>
            <w:r w:rsidRPr="00EC20A0">
              <w:rPr>
                <w:spacing w:val="-4"/>
              </w:rPr>
              <w:t xml:space="preserve"> </w:t>
            </w:r>
            <w:r w:rsidRPr="00EC20A0">
              <w:t>effects</w:t>
            </w:r>
            <w:r w:rsidRPr="00EC20A0">
              <w:rPr>
                <w:spacing w:val="-4"/>
              </w:rPr>
              <w:t xml:space="preserve"> </w:t>
            </w:r>
            <w:r w:rsidRPr="00EC20A0">
              <w:t>on</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t>if</w:t>
            </w:r>
            <w:r w:rsidRPr="00EC20A0">
              <w:rPr>
                <w:spacing w:val="-4"/>
              </w:rPr>
              <w:t xml:space="preserve"> </w:t>
            </w:r>
            <w:r w:rsidRPr="00EC20A0">
              <w:t>weaknesses are found in compliance controls but no instances of noncompliance are detected? (FAM 580)</w:t>
            </w:r>
          </w:p>
        </w:tc>
        <w:tc>
          <w:tcPr>
            <w:tcW w:w="810" w:type="dxa"/>
            <w:tcBorders>
              <w:top w:val="single" w:sz="8" w:space="0" w:color="000000"/>
              <w:left w:val="single" w:sz="8" w:space="0" w:color="000000"/>
              <w:bottom w:val="single" w:sz="8" w:space="0" w:color="000000"/>
              <w:right w:val="single" w:sz="8" w:space="0" w:color="000000"/>
            </w:tcBorders>
          </w:tcPr>
          <w:p w14:paraId="24D6270F"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710" w14:textId="77777777" w:rsidR="00245300" w:rsidRPr="00EC20A0" w:rsidRDefault="00245300">
            <w:pPr>
              <w:pStyle w:val="TableParagraph"/>
            </w:pPr>
          </w:p>
        </w:tc>
      </w:tr>
      <w:tr w:rsidR="00245300" w:rsidRPr="00EC20A0" w14:paraId="24D62715" w14:textId="77777777">
        <w:trPr>
          <w:trHeight w:val="745"/>
        </w:trPr>
        <w:tc>
          <w:tcPr>
            <w:tcW w:w="7380" w:type="dxa"/>
            <w:tcBorders>
              <w:top w:val="single" w:sz="8" w:space="0" w:color="000000"/>
              <w:bottom w:val="single" w:sz="8" w:space="0" w:color="000000"/>
              <w:right w:val="single" w:sz="8" w:space="0" w:color="000000"/>
            </w:tcBorders>
          </w:tcPr>
          <w:p w14:paraId="24D62712" w14:textId="77777777" w:rsidR="00245300" w:rsidRPr="00EC20A0" w:rsidRDefault="00F17249">
            <w:pPr>
              <w:pStyle w:val="TableParagraph"/>
              <w:tabs>
                <w:tab w:val="left" w:pos="1244"/>
              </w:tabs>
              <w:spacing w:before="121"/>
              <w:ind w:left="1244" w:right="608" w:hanging="361"/>
            </w:pPr>
            <w:r w:rsidRPr="00EC20A0">
              <w:rPr>
                <w:spacing w:val="-6"/>
              </w:rPr>
              <w:t>l.</w:t>
            </w:r>
            <w:r w:rsidRPr="00EC20A0">
              <w:tab/>
              <w:t>Departing</w:t>
            </w:r>
            <w:r w:rsidRPr="00EC20A0">
              <w:rPr>
                <w:spacing w:val="-6"/>
              </w:rPr>
              <w:t xml:space="preserve"> </w:t>
            </w:r>
            <w:r w:rsidRPr="00EC20A0">
              <w:t>from</w:t>
            </w:r>
            <w:r w:rsidRPr="00EC20A0">
              <w:rPr>
                <w:spacing w:val="-6"/>
              </w:rPr>
              <w:t xml:space="preserve"> </w:t>
            </w:r>
            <w:r w:rsidRPr="00EC20A0">
              <w:t>the</w:t>
            </w:r>
            <w:r w:rsidRPr="00EC20A0">
              <w:rPr>
                <w:spacing w:val="-6"/>
              </w:rPr>
              <w:t xml:space="preserve"> </w:t>
            </w:r>
            <w:r w:rsidRPr="00EC20A0">
              <w:t>applicable</w:t>
            </w:r>
            <w:r w:rsidRPr="00EC20A0">
              <w:rPr>
                <w:spacing w:val="-6"/>
              </w:rPr>
              <w:t xml:space="preserve"> </w:t>
            </w:r>
            <w:r w:rsidRPr="00EC20A0">
              <w:t>“should”</w:t>
            </w:r>
            <w:r w:rsidRPr="00EC20A0">
              <w:rPr>
                <w:spacing w:val="-6"/>
              </w:rPr>
              <w:t xml:space="preserve"> </w:t>
            </w:r>
            <w:r w:rsidRPr="00EC20A0">
              <w:t>procedures</w:t>
            </w:r>
            <w:r w:rsidRPr="00EC20A0">
              <w:rPr>
                <w:spacing w:val="-5"/>
              </w:rPr>
              <w:t xml:space="preserve"> </w:t>
            </w:r>
            <w:r w:rsidRPr="00EC20A0">
              <w:t>in</w:t>
            </w:r>
            <w:r w:rsidRPr="00EC20A0">
              <w:rPr>
                <w:spacing w:val="-6"/>
              </w:rPr>
              <w:t xml:space="preserve"> </w:t>
            </w:r>
            <w:r w:rsidRPr="00EC20A0">
              <w:t>the FAM and documenting the basis for the departure?</w:t>
            </w:r>
          </w:p>
        </w:tc>
        <w:tc>
          <w:tcPr>
            <w:tcW w:w="810" w:type="dxa"/>
            <w:tcBorders>
              <w:top w:val="single" w:sz="8" w:space="0" w:color="000000"/>
              <w:left w:val="single" w:sz="8" w:space="0" w:color="000000"/>
              <w:bottom w:val="single" w:sz="8" w:space="0" w:color="000000"/>
              <w:right w:val="single" w:sz="8" w:space="0" w:color="000000"/>
            </w:tcBorders>
          </w:tcPr>
          <w:p w14:paraId="24D62713"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tcPr>
          <w:p w14:paraId="24D62714" w14:textId="77777777" w:rsidR="00245300" w:rsidRPr="00EC20A0" w:rsidRDefault="00245300">
            <w:pPr>
              <w:pStyle w:val="TableParagraph"/>
            </w:pPr>
          </w:p>
        </w:tc>
      </w:tr>
      <w:tr w:rsidR="00245300" w:rsidRPr="00EC20A0" w14:paraId="24D62719" w14:textId="77777777">
        <w:trPr>
          <w:trHeight w:val="1000"/>
        </w:trPr>
        <w:tc>
          <w:tcPr>
            <w:tcW w:w="7380" w:type="dxa"/>
            <w:tcBorders>
              <w:top w:val="single" w:sz="8" w:space="0" w:color="000000"/>
              <w:bottom w:val="single" w:sz="8" w:space="0" w:color="000000"/>
              <w:right w:val="single" w:sz="8" w:space="0" w:color="000000"/>
            </w:tcBorders>
          </w:tcPr>
          <w:p w14:paraId="24D62716" w14:textId="77777777" w:rsidR="00245300" w:rsidRPr="00EC20A0" w:rsidRDefault="00F17249">
            <w:pPr>
              <w:pStyle w:val="TableParagraph"/>
              <w:spacing w:before="121"/>
              <w:ind w:left="843" w:right="362" w:hanging="360"/>
            </w:pPr>
            <w:r w:rsidRPr="00EC20A0">
              <w:t>5.</w:t>
            </w:r>
            <w:r w:rsidRPr="00EC20A0">
              <w:rPr>
                <w:spacing w:val="80"/>
              </w:rPr>
              <w:t xml:space="preserve"> </w:t>
            </w:r>
            <w:r w:rsidRPr="00EC20A0">
              <w:t>In addition to the questions above, answer the following regarding</w:t>
            </w:r>
            <w:r w:rsidRPr="00EC20A0">
              <w:rPr>
                <w:spacing w:val="-6"/>
              </w:rPr>
              <w:t xml:space="preserve"> </w:t>
            </w:r>
            <w:r w:rsidRPr="00EC20A0">
              <w:t>whether</w:t>
            </w:r>
            <w:r w:rsidRPr="00EC20A0">
              <w:rPr>
                <w:spacing w:val="-6"/>
              </w:rPr>
              <w:t xml:space="preserve"> </w:t>
            </w:r>
            <w:r w:rsidRPr="00EC20A0">
              <w:t>the</w:t>
            </w:r>
            <w:r w:rsidRPr="00EC20A0">
              <w:rPr>
                <w:spacing w:val="-6"/>
              </w:rPr>
              <w:t xml:space="preserve"> </w:t>
            </w:r>
            <w:r w:rsidRPr="00EC20A0">
              <w:t>auditor</w:t>
            </w:r>
            <w:r w:rsidRPr="00EC20A0">
              <w:rPr>
                <w:spacing w:val="-6"/>
              </w:rPr>
              <w:t xml:space="preserve"> </w:t>
            </w:r>
            <w:r w:rsidRPr="00EC20A0">
              <w:t>achieved</w:t>
            </w:r>
            <w:r w:rsidRPr="00EC20A0">
              <w:rPr>
                <w:spacing w:val="-6"/>
              </w:rPr>
              <w:t xml:space="preserve"> </w:t>
            </w:r>
            <w:r w:rsidRPr="00EC20A0">
              <w:t>the</w:t>
            </w:r>
            <w:r w:rsidRPr="00EC20A0">
              <w:rPr>
                <w:spacing w:val="-6"/>
              </w:rPr>
              <w:t xml:space="preserve"> </w:t>
            </w:r>
            <w:r w:rsidRPr="00EC20A0">
              <w:t>following</w:t>
            </w:r>
            <w:r w:rsidRPr="00EC20A0">
              <w:rPr>
                <w:spacing w:val="-6"/>
              </w:rPr>
              <w:t xml:space="preserve"> </w:t>
            </w:r>
            <w:r w:rsidRPr="00EC20A0">
              <w:t xml:space="preserve">objectives (AU-C </w:t>
            </w:r>
            <w:r w:rsidRPr="00EC20A0">
              <w:t>200.23).</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24D62717" w14:textId="77777777" w:rsidR="00245300" w:rsidRPr="00EC20A0" w:rsidRDefault="00245300">
            <w:pPr>
              <w:pStyle w:val="TableParagraph"/>
            </w:pPr>
          </w:p>
        </w:tc>
        <w:tc>
          <w:tcPr>
            <w:tcW w:w="1260" w:type="dxa"/>
            <w:tcBorders>
              <w:top w:val="single" w:sz="8" w:space="0" w:color="000000"/>
              <w:left w:val="single" w:sz="8" w:space="0" w:color="000000"/>
              <w:bottom w:val="single" w:sz="8" w:space="0" w:color="000000"/>
            </w:tcBorders>
            <w:shd w:val="clear" w:color="auto" w:fill="BEBEBE"/>
          </w:tcPr>
          <w:p w14:paraId="24D62718" w14:textId="77777777" w:rsidR="00245300" w:rsidRPr="00EC20A0" w:rsidRDefault="00245300">
            <w:pPr>
              <w:pStyle w:val="TableParagraph"/>
            </w:pPr>
          </w:p>
        </w:tc>
      </w:tr>
      <w:tr w:rsidR="00245300" w:rsidRPr="00EC20A0" w14:paraId="24D6271F" w14:textId="77777777">
        <w:trPr>
          <w:trHeight w:val="1989"/>
        </w:trPr>
        <w:tc>
          <w:tcPr>
            <w:tcW w:w="7380" w:type="dxa"/>
            <w:tcBorders>
              <w:top w:val="single" w:sz="8" w:space="0" w:color="000000"/>
              <w:right w:val="single" w:sz="8" w:space="0" w:color="000000"/>
            </w:tcBorders>
          </w:tcPr>
          <w:p w14:paraId="24D6271A" w14:textId="77777777" w:rsidR="00245300" w:rsidRPr="00EC20A0" w:rsidRDefault="00F17249">
            <w:pPr>
              <w:pStyle w:val="TableParagraph"/>
              <w:spacing w:before="119"/>
              <w:ind w:left="843"/>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71B" w14:textId="77777777" w:rsidR="00245300" w:rsidRPr="00EC20A0" w:rsidRDefault="00F17249">
            <w:pPr>
              <w:pStyle w:val="TableParagraph"/>
              <w:numPr>
                <w:ilvl w:val="0"/>
                <w:numId w:val="43"/>
              </w:numPr>
              <w:tabs>
                <w:tab w:val="left" w:pos="1204"/>
              </w:tabs>
              <w:spacing w:before="220" w:line="247" w:lineRule="auto"/>
              <w:ind w:right="355" w:hanging="361"/>
            </w:pPr>
            <w:r w:rsidRPr="00EC20A0">
              <w:t>determine</w:t>
            </w:r>
            <w:r w:rsidRPr="00EC20A0">
              <w:rPr>
                <w:spacing w:val="-5"/>
              </w:rPr>
              <w:t xml:space="preserve"> </w:t>
            </w:r>
            <w:r w:rsidRPr="00EC20A0">
              <w:t>whether</w:t>
            </w:r>
            <w:r w:rsidRPr="00EC20A0">
              <w:rPr>
                <w:spacing w:val="-5"/>
              </w:rPr>
              <w:t xml:space="preserve"> </w:t>
            </w:r>
            <w:r w:rsidRPr="00EC20A0">
              <w:t>to</w:t>
            </w:r>
            <w:r w:rsidRPr="00EC20A0">
              <w:rPr>
                <w:spacing w:val="-5"/>
              </w:rPr>
              <w:t xml:space="preserve"> </w:t>
            </w:r>
            <w:r w:rsidRPr="00EC20A0">
              <w:t>use</w:t>
            </w:r>
            <w:r w:rsidRPr="00EC20A0">
              <w:rPr>
                <w:spacing w:val="-5"/>
              </w:rPr>
              <w:t xml:space="preserve"> </w:t>
            </w:r>
            <w:r w:rsidRPr="00EC20A0">
              <w:t>the</w:t>
            </w:r>
            <w:r w:rsidRPr="00EC20A0">
              <w:rPr>
                <w:spacing w:val="-5"/>
              </w:rPr>
              <w:t xml:space="preserve"> </w:t>
            </w:r>
            <w:r w:rsidRPr="00EC20A0">
              <w:t>work</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auditor’s</w:t>
            </w:r>
            <w:r w:rsidRPr="00EC20A0">
              <w:rPr>
                <w:spacing w:val="-4"/>
              </w:rPr>
              <w:t xml:space="preserve"> </w:t>
            </w:r>
            <w:r w:rsidRPr="00EC20A0">
              <w:t xml:space="preserve">specialist </w:t>
            </w:r>
            <w:r w:rsidRPr="00EC20A0">
              <w:rPr>
                <w:spacing w:val="-4"/>
              </w:rPr>
              <w:t>and</w:t>
            </w:r>
          </w:p>
          <w:p w14:paraId="24D6271C" w14:textId="77777777" w:rsidR="00245300" w:rsidRPr="00EC20A0" w:rsidRDefault="00F17249">
            <w:pPr>
              <w:pStyle w:val="TableParagraph"/>
              <w:numPr>
                <w:ilvl w:val="0"/>
                <w:numId w:val="43"/>
              </w:numPr>
              <w:tabs>
                <w:tab w:val="left" w:pos="1204"/>
              </w:tabs>
              <w:spacing w:before="209"/>
              <w:ind w:right="198" w:hanging="361"/>
              <w:rPr>
                <w:sz w:val="24"/>
              </w:rPr>
            </w:pPr>
            <w:r w:rsidRPr="00EC20A0">
              <w:t>if</w:t>
            </w:r>
            <w:r w:rsidRPr="00EC20A0">
              <w:rPr>
                <w:spacing w:val="-5"/>
              </w:rPr>
              <w:t xml:space="preserve"> </w:t>
            </w:r>
            <w:r w:rsidRPr="00EC20A0">
              <w:t>using</w:t>
            </w:r>
            <w:r w:rsidRPr="00EC20A0">
              <w:rPr>
                <w:spacing w:val="-5"/>
              </w:rPr>
              <w:t xml:space="preserve"> </w:t>
            </w:r>
            <w:r w:rsidRPr="00EC20A0">
              <w:t>the</w:t>
            </w:r>
            <w:r w:rsidRPr="00EC20A0">
              <w:rPr>
                <w:spacing w:val="-6"/>
              </w:rPr>
              <w:t xml:space="preserve"> </w:t>
            </w:r>
            <w:r w:rsidRPr="00EC20A0">
              <w:t>work</w:t>
            </w:r>
            <w:r w:rsidRPr="00EC20A0">
              <w:rPr>
                <w:spacing w:val="-5"/>
              </w:rPr>
              <w:t xml:space="preserve"> </w:t>
            </w:r>
            <w:r w:rsidRPr="00EC20A0">
              <w:t>of</w:t>
            </w:r>
            <w:r w:rsidRPr="00EC20A0">
              <w:rPr>
                <w:spacing w:val="-5"/>
              </w:rPr>
              <w:t xml:space="preserve"> </w:t>
            </w:r>
            <w:r w:rsidRPr="00EC20A0">
              <w:t>an</w:t>
            </w:r>
            <w:r w:rsidRPr="00EC20A0">
              <w:rPr>
                <w:spacing w:val="-5"/>
              </w:rPr>
              <w:t xml:space="preserve"> </w:t>
            </w:r>
            <w:r w:rsidRPr="00EC20A0">
              <w:t>auditor’s</w:t>
            </w:r>
            <w:r w:rsidRPr="00EC20A0">
              <w:rPr>
                <w:spacing w:val="-5"/>
              </w:rPr>
              <w:t xml:space="preserve"> </w:t>
            </w:r>
            <w:r w:rsidRPr="00EC20A0">
              <w:t>specialist,</w:t>
            </w:r>
            <w:r w:rsidRPr="00EC20A0">
              <w:rPr>
                <w:spacing w:val="-5"/>
              </w:rPr>
              <w:t xml:space="preserve"> </w:t>
            </w:r>
            <w:r w:rsidRPr="00EC20A0">
              <w:t>determine</w:t>
            </w:r>
            <w:r w:rsidRPr="00EC20A0">
              <w:rPr>
                <w:spacing w:val="-5"/>
              </w:rPr>
              <w:t xml:space="preserve"> </w:t>
            </w:r>
            <w:r w:rsidRPr="00EC20A0">
              <w:t>whether that</w:t>
            </w:r>
            <w:r w:rsidRPr="00EC20A0">
              <w:rPr>
                <w:spacing w:val="-3"/>
              </w:rPr>
              <w:t xml:space="preserve"> </w:t>
            </w:r>
            <w:r w:rsidRPr="00EC20A0">
              <w:t>work</w:t>
            </w:r>
            <w:r w:rsidRPr="00EC20A0">
              <w:rPr>
                <w:spacing w:val="-3"/>
              </w:rPr>
              <w:t xml:space="preserve"> </w:t>
            </w:r>
            <w:r w:rsidRPr="00EC20A0">
              <w:t>is</w:t>
            </w:r>
            <w:r w:rsidRPr="00EC20A0">
              <w:rPr>
                <w:spacing w:val="-4"/>
              </w:rPr>
              <w:t xml:space="preserve"> </w:t>
            </w:r>
            <w:r w:rsidRPr="00EC20A0">
              <w:t>adequate</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purposes?</w:t>
            </w:r>
            <w:r w:rsidRPr="00EC20A0">
              <w:rPr>
                <w:spacing w:val="-4"/>
              </w:rPr>
              <w:t xml:space="preserve"> </w:t>
            </w:r>
            <w:r w:rsidRPr="00EC20A0">
              <w:t>(AU-C</w:t>
            </w:r>
            <w:r w:rsidRPr="00EC20A0">
              <w:rPr>
                <w:spacing w:val="-3"/>
              </w:rPr>
              <w:t xml:space="preserve"> </w:t>
            </w:r>
            <w:r w:rsidRPr="00EC20A0">
              <w:t>620)</w:t>
            </w:r>
          </w:p>
        </w:tc>
        <w:tc>
          <w:tcPr>
            <w:tcW w:w="810" w:type="dxa"/>
            <w:tcBorders>
              <w:top w:val="single" w:sz="8" w:space="0" w:color="000000"/>
              <w:left w:val="single" w:sz="8" w:space="0" w:color="000000"/>
              <w:right w:val="single" w:sz="8" w:space="0" w:color="000000"/>
            </w:tcBorders>
          </w:tcPr>
          <w:p w14:paraId="24D6271D" w14:textId="77777777" w:rsidR="00245300" w:rsidRPr="00EC20A0" w:rsidRDefault="00245300">
            <w:pPr>
              <w:pStyle w:val="TableParagraph"/>
            </w:pPr>
          </w:p>
        </w:tc>
        <w:tc>
          <w:tcPr>
            <w:tcW w:w="1260" w:type="dxa"/>
            <w:tcBorders>
              <w:top w:val="single" w:sz="8" w:space="0" w:color="000000"/>
              <w:left w:val="single" w:sz="8" w:space="0" w:color="000000"/>
            </w:tcBorders>
            <w:shd w:val="clear" w:color="auto" w:fill="BEBEBE"/>
          </w:tcPr>
          <w:p w14:paraId="24D6271E" w14:textId="77777777" w:rsidR="00245300" w:rsidRPr="00EC20A0" w:rsidRDefault="00245300">
            <w:pPr>
              <w:pStyle w:val="TableParagraph"/>
            </w:pPr>
          </w:p>
        </w:tc>
      </w:tr>
    </w:tbl>
    <w:p w14:paraId="24D62720" w14:textId="77777777" w:rsidR="00245300" w:rsidRPr="00EC20A0" w:rsidRDefault="00245300">
      <w:pPr>
        <w:sectPr w:rsidR="00245300" w:rsidRPr="00EC20A0">
          <w:pgSz w:w="12240" w:h="15840"/>
          <w:pgMar w:top="1340" w:right="460" w:bottom="940" w:left="560" w:header="721" w:footer="757" w:gutter="0"/>
          <w:cols w:space="720"/>
        </w:sectPr>
      </w:pPr>
    </w:p>
    <w:p w14:paraId="24D62721" w14:textId="77777777" w:rsidR="00245300" w:rsidRPr="00EC20A0" w:rsidRDefault="00F17249" w:rsidP="0022160C">
      <w:pPr>
        <w:pStyle w:val="Heading4"/>
        <w:ind w:left="900"/>
      </w:pPr>
      <w:bookmarkStart w:id="417" w:name="Section_IV:_Communicating_and_Reporting_"/>
      <w:bookmarkEnd w:id="417"/>
      <w:r w:rsidRPr="00EC20A0">
        <w:t>Section</w:t>
      </w:r>
      <w:r w:rsidRPr="00EC20A0">
        <w:rPr>
          <w:spacing w:val="-14"/>
        </w:rPr>
        <w:t xml:space="preserve"> </w:t>
      </w:r>
      <w:r w:rsidRPr="00EC20A0">
        <w:t>IV:</w:t>
      </w:r>
      <w:r w:rsidRPr="00EC20A0">
        <w:rPr>
          <w:spacing w:val="-13"/>
        </w:rPr>
        <w:t xml:space="preserve"> </w:t>
      </w:r>
      <w:r w:rsidRPr="00EC20A0">
        <w:t>Communicating</w:t>
      </w:r>
      <w:r w:rsidRPr="00EC20A0">
        <w:rPr>
          <w:spacing w:val="-14"/>
        </w:rPr>
        <w:t xml:space="preserve"> </w:t>
      </w:r>
      <w:r w:rsidRPr="00EC20A0">
        <w:t>and</w:t>
      </w:r>
      <w:r w:rsidRPr="00EC20A0">
        <w:rPr>
          <w:spacing w:val="-14"/>
        </w:rPr>
        <w:t xml:space="preserve"> </w:t>
      </w:r>
      <w:r w:rsidRPr="00EC20A0">
        <w:t>Reporting</w:t>
      </w:r>
      <w:r w:rsidRPr="00EC20A0">
        <w:rPr>
          <w:spacing w:val="-13"/>
        </w:rPr>
        <w:t xml:space="preserve"> </w:t>
      </w:r>
      <w:r w:rsidRPr="00EC20A0">
        <w:rPr>
          <w:spacing w:val="-2"/>
        </w:rPr>
        <w:t>Results</w:t>
      </w:r>
    </w:p>
    <w:p w14:paraId="24D62722" w14:textId="77777777" w:rsidR="00245300" w:rsidRPr="00EC20A0" w:rsidRDefault="00245300">
      <w:pPr>
        <w:pStyle w:val="BodyText"/>
        <w:spacing w:before="10"/>
        <w:rPr>
          <w:b/>
          <w:sz w:val="16"/>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245300" w:rsidRPr="00EC20A0" w14:paraId="24D6272A" w14:textId="77777777">
        <w:trPr>
          <w:trHeight w:val="998"/>
        </w:trPr>
        <w:tc>
          <w:tcPr>
            <w:tcW w:w="7380" w:type="dxa"/>
            <w:tcBorders>
              <w:right w:val="single" w:sz="8" w:space="0" w:color="000000"/>
            </w:tcBorders>
            <w:shd w:val="clear" w:color="auto" w:fill="A6A6A6"/>
          </w:tcPr>
          <w:p w14:paraId="24D62723" w14:textId="77777777" w:rsidR="00245300" w:rsidRPr="00EC20A0" w:rsidRDefault="00245300">
            <w:pPr>
              <w:pStyle w:val="TableParagraph"/>
              <w:rPr>
                <w:b/>
                <w:sz w:val="24"/>
              </w:rPr>
            </w:pPr>
          </w:p>
          <w:p w14:paraId="24D62724" w14:textId="77777777" w:rsidR="00245300" w:rsidRPr="00EC20A0" w:rsidRDefault="00245300">
            <w:pPr>
              <w:pStyle w:val="TableParagraph"/>
              <w:spacing w:before="74"/>
              <w:rPr>
                <w:b/>
                <w:sz w:val="24"/>
              </w:rPr>
            </w:pPr>
          </w:p>
          <w:p w14:paraId="24D62725" w14:textId="77777777" w:rsidR="00245300" w:rsidRPr="00EC20A0" w:rsidRDefault="00F17249">
            <w:pPr>
              <w:pStyle w:val="TableParagraph"/>
              <w:ind w:left="123"/>
              <w:rPr>
                <w:b/>
                <w:sz w:val="24"/>
              </w:rPr>
            </w:pPr>
            <w:r w:rsidRPr="00EC20A0">
              <w:rPr>
                <w:b/>
                <w:sz w:val="24"/>
              </w:rPr>
              <w:t>Section</w:t>
            </w:r>
            <w:r w:rsidRPr="00EC20A0">
              <w:rPr>
                <w:b/>
                <w:spacing w:val="-4"/>
                <w:sz w:val="24"/>
              </w:rPr>
              <w:t xml:space="preserve"> </w:t>
            </w:r>
            <w:r w:rsidRPr="00EC20A0">
              <w:rPr>
                <w:b/>
                <w:sz w:val="24"/>
              </w:rPr>
              <w:t>IV:</w:t>
            </w:r>
            <w:r w:rsidRPr="00EC20A0">
              <w:rPr>
                <w:b/>
                <w:spacing w:val="-4"/>
                <w:sz w:val="24"/>
              </w:rPr>
              <w:t xml:space="preserve"> </w:t>
            </w:r>
            <w:r w:rsidRPr="00EC20A0">
              <w:rPr>
                <w:b/>
                <w:sz w:val="24"/>
              </w:rPr>
              <w:t>Communicating</w:t>
            </w:r>
            <w:r w:rsidRPr="00EC20A0">
              <w:rPr>
                <w:b/>
                <w:spacing w:val="-4"/>
                <w:sz w:val="24"/>
              </w:rPr>
              <w:t xml:space="preserve"> </w:t>
            </w:r>
            <w:r w:rsidRPr="00EC20A0">
              <w:rPr>
                <w:b/>
                <w:sz w:val="24"/>
              </w:rPr>
              <w:t>and</w:t>
            </w:r>
            <w:r w:rsidRPr="00EC20A0">
              <w:rPr>
                <w:b/>
                <w:spacing w:val="-4"/>
                <w:sz w:val="24"/>
              </w:rPr>
              <w:t xml:space="preserve"> </w:t>
            </w:r>
            <w:r w:rsidRPr="00EC20A0">
              <w:rPr>
                <w:b/>
                <w:sz w:val="24"/>
              </w:rPr>
              <w:t>Reporting</w:t>
            </w:r>
            <w:r w:rsidRPr="00EC20A0">
              <w:rPr>
                <w:b/>
                <w:spacing w:val="-3"/>
                <w:sz w:val="24"/>
              </w:rPr>
              <w:t xml:space="preserve"> </w:t>
            </w:r>
            <w:r w:rsidRPr="00EC20A0">
              <w:rPr>
                <w:b/>
                <w:spacing w:val="-2"/>
                <w:sz w:val="24"/>
              </w:rPr>
              <w:t>Results</w:t>
            </w:r>
          </w:p>
        </w:tc>
        <w:tc>
          <w:tcPr>
            <w:tcW w:w="810" w:type="dxa"/>
            <w:tcBorders>
              <w:left w:val="single" w:sz="8" w:space="0" w:color="000000"/>
              <w:right w:val="single" w:sz="8" w:space="0" w:color="000000"/>
            </w:tcBorders>
            <w:shd w:val="clear" w:color="auto" w:fill="A6A6A6"/>
          </w:tcPr>
          <w:p w14:paraId="24D62726" w14:textId="77777777" w:rsidR="00245300" w:rsidRPr="00EC20A0" w:rsidRDefault="00F17249">
            <w:pPr>
              <w:pStyle w:val="TableParagraph"/>
              <w:spacing w:before="121"/>
              <w:ind w:left="136" w:right="199"/>
              <w:jc w:val="both"/>
              <w:rPr>
                <w:b/>
              </w:rPr>
            </w:pPr>
            <w:r w:rsidRPr="00EC20A0">
              <w:rPr>
                <w:b/>
                <w:spacing w:val="-4"/>
              </w:rPr>
              <w:t>Yes, No,* N/A</w:t>
            </w:r>
          </w:p>
        </w:tc>
        <w:tc>
          <w:tcPr>
            <w:tcW w:w="1350" w:type="dxa"/>
            <w:tcBorders>
              <w:left w:val="single" w:sz="8" w:space="0" w:color="000000"/>
            </w:tcBorders>
            <w:shd w:val="clear" w:color="auto" w:fill="A6A6A6"/>
          </w:tcPr>
          <w:p w14:paraId="24D62727" w14:textId="77777777" w:rsidR="00245300" w:rsidRPr="00EC20A0" w:rsidRDefault="00245300">
            <w:pPr>
              <w:pStyle w:val="TableParagraph"/>
              <w:rPr>
                <w:b/>
              </w:rPr>
            </w:pPr>
          </w:p>
          <w:p w14:paraId="24D62728" w14:textId="77777777" w:rsidR="00245300" w:rsidRPr="00EC20A0" w:rsidRDefault="00245300">
            <w:pPr>
              <w:pStyle w:val="TableParagraph"/>
              <w:spacing w:before="120"/>
              <w:rPr>
                <w:b/>
              </w:rPr>
            </w:pPr>
          </w:p>
          <w:p w14:paraId="24D62729"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72E" w14:textId="77777777">
        <w:trPr>
          <w:trHeight w:val="493"/>
        </w:trPr>
        <w:tc>
          <w:tcPr>
            <w:tcW w:w="7380" w:type="dxa"/>
            <w:tcBorders>
              <w:bottom w:val="single" w:sz="8" w:space="0" w:color="000000"/>
              <w:right w:val="single" w:sz="8" w:space="0" w:color="000000"/>
            </w:tcBorders>
          </w:tcPr>
          <w:p w14:paraId="24D6272B" w14:textId="77777777" w:rsidR="00245300" w:rsidRPr="00EC20A0" w:rsidRDefault="00F17249">
            <w:pPr>
              <w:pStyle w:val="TableParagraph"/>
              <w:spacing w:before="121"/>
              <w:ind w:left="555"/>
            </w:pPr>
            <w:r w:rsidRPr="00EC20A0">
              <w:t>1.</w:t>
            </w:r>
            <w:r w:rsidRPr="00EC20A0">
              <w:rPr>
                <w:spacing w:val="71"/>
                <w:w w:val="150"/>
              </w:rPr>
              <w:t xml:space="preserve"> </w:t>
            </w:r>
            <w:r w:rsidRPr="00EC20A0">
              <w:t>Is</w:t>
            </w:r>
            <w:r w:rsidRPr="00EC20A0">
              <w:rPr>
                <w:spacing w:val="-4"/>
              </w:rPr>
              <w:t xml:space="preserve"> </w:t>
            </w:r>
            <w:r w:rsidRPr="00EC20A0">
              <w:t>the</w:t>
            </w:r>
            <w:r w:rsidRPr="00EC20A0">
              <w:rPr>
                <w:spacing w:val="-5"/>
              </w:rPr>
              <w:t xml:space="preserve"> </w:t>
            </w:r>
            <w:r w:rsidRPr="00EC20A0">
              <w:t>auditor’s</w:t>
            </w:r>
            <w:r w:rsidRPr="00EC20A0">
              <w:rPr>
                <w:spacing w:val="-4"/>
              </w:rPr>
              <w:t xml:space="preserve"> </w:t>
            </w:r>
            <w:r w:rsidRPr="00EC20A0">
              <w:t>report</w:t>
            </w:r>
            <w:r w:rsidRPr="00EC20A0">
              <w:rPr>
                <w:spacing w:val="-5"/>
              </w:rPr>
              <w:t xml:space="preserve"> </w:t>
            </w:r>
            <w:r w:rsidRPr="00EC20A0">
              <w:t>appropriate</w:t>
            </w:r>
            <w:r w:rsidRPr="00EC20A0">
              <w:rPr>
                <w:spacing w:val="-4"/>
              </w:rPr>
              <w:t xml:space="preserve"> </w:t>
            </w:r>
            <w:r w:rsidRPr="00EC20A0">
              <w:t>as</w:t>
            </w:r>
            <w:r w:rsidRPr="00EC20A0">
              <w:rPr>
                <w:spacing w:val="-5"/>
              </w:rPr>
              <w:t xml:space="preserve"> </w:t>
            </w:r>
            <w:r w:rsidRPr="00EC20A0">
              <w:t>to</w:t>
            </w:r>
            <w:r w:rsidRPr="00EC20A0">
              <w:rPr>
                <w:spacing w:val="-5"/>
              </w:rPr>
              <w:t xml:space="preserve"> </w:t>
            </w:r>
            <w:r w:rsidRPr="00EC20A0">
              <w:t>the</w:t>
            </w:r>
            <w:r w:rsidRPr="00EC20A0">
              <w:rPr>
                <w:spacing w:val="-4"/>
              </w:rPr>
              <w:t xml:space="preserve"> </w:t>
            </w:r>
            <w:r w:rsidRPr="00EC20A0">
              <w:t>following</w:t>
            </w:r>
            <w:r w:rsidRPr="00EC20A0">
              <w:rPr>
                <w:spacing w:val="-5"/>
              </w:rPr>
              <w:t xml:space="preserve"> </w:t>
            </w:r>
            <w:r w:rsidRPr="00EC20A0">
              <w:t>(FAM</w:t>
            </w:r>
            <w:r w:rsidRPr="00EC20A0">
              <w:rPr>
                <w:spacing w:val="-5"/>
              </w:rPr>
              <w:t xml:space="preserve"> </w:t>
            </w:r>
            <w:r w:rsidRPr="00EC20A0">
              <w:rPr>
                <w:spacing w:val="-2"/>
              </w:rPr>
              <w:t>580):</w:t>
            </w:r>
          </w:p>
        </w:tc>
        <w:tc>
          <w:tcPr>
            <w:tcW w:w="810" w:type="dxa"/>
            <w:tcBorders>
              <w:left w:val="single" w:sz="8" w:space="0" w:color="000000"/>
              <w:bottom w:val="single" w:sz="8" w:space="0" w:color="000000"/>
              <w:right w:val="single" w:sz="8" w:space="0" w:color="000000"/>
            </w:tcBorders>
            <w:shd w:val="clear" w:color="auto" w:fill="BEBEBE"/>
          </w:tcPr>
          <w:p w14:paraId="24D6272C" w14:textId="77777777" w:rsidR="00245300" w:rsidRPr="00EC20A0" w:rsidRDefault="00245300">
            <w:pPr>
              <w:pStyle w:val="TableParagraph"/>
            </w:pPr>
          </w:p>
        </w:tc>
        <w:tc>
          <w:tcPr>
            <w:tcW w:w="1350" w:type="dxa"/>
            <w:tcBorders>
              <w:left w:val="single" w:sz="8" w:space="0" w:color="000000"/>
              <w:bottom w:val="single" w:sz="8" w:space="0" w:color="000000"/>
            </w:tcBorders>
            <w:shd w:val="clear" w:color="auto" w:fill="BEBEBE"/>
          </w:tcPr>
          <w:p w14:paraId="24D6272D" w14:textId="77777777" w:rsidR="00245300" w:rsidRPr="00EC20A0" w:rsidRDefault="00245300">
            <w:pPr>
              <w:pStyle w:val="TableParagraph"/>
            </w:pPr>
          </w:p>
        </w:tc>
      </w:tr>
      <w:tr w:rsidR="00245300" w:rsidRPr="00EC20A0" w14:paraId="24D62732" w14:textId="77777777">
        <w:trPr>
          <w:trHeight w:val="493"/>
        </w:trPr>
        <w:tc>
          <w:tcPr>
            <w:tcW w:w="7380" w:type="dxa"/>
            <w:tcBorders>
              <w:top w:val="single" w:sz="8" w:space="0" w:color="000000"/>
              <w:bottom w:val="single" w:sz="6" w:space="0" w:color="000000"/>
              <w:right w:val="single" w:sz="6" w:space="0" w:color="000000"/>
            </w:tcBorders>
          </w:tcPr>
          <w:p w14:paraId="24D6272F" w14:textId="77777777" w:rsidR="00245300" w:rsidRPr="00EC20A0" w:rsidRDefault="00F17249">
            <w:pPr>
              <w:pStyle w:val="TableParagraph"/>
              <w:tabs>
                <w:tab w:val="left" w:pos="1334"/>
              </w:tabs>
              <w:spacing w:before="121"/>
              <w:ind w:left="943"/>
            </w:pPr>
            <w:r w:rsidRPr="00EC20A0">
              <w:rPr>
                <w:spacing w:val="-5"/>
              </w:rPr>
              <w:t>a.</w:t>
            </w:r>
            <w:r w:rsidRPr="00EC20A0">
              <w:tab/>
              <w:t>Format,</w:t>
            </w:r>
            <w:r w:rsidRPr="00EC20A0">
              <w:rPr>
                <w:spacing w:val="-8"/>
              </w:rPr>
              <w:t xml:space="preserve"> </w:t>
            </w:r>
            <w:r w:rsidRPr="00EC20A0">
              <w:t>including</w:t>
            </w:r>
            <w:r w:rsidRPr="00EC20A0">
              <w:rPr>
                <w:spacing w:val="-7"/>
              </w:rPr>
              <w:t xml:space="preserve"> </w:t>
            </w:r>
            <w:r w:rsidRPr="00EC20A0">
              <w:t>section</w:t>
            </w:r>
            <w:r w:rsidRPr="00EC20A0">
              <w:rPr>
                <w:spacing w:val="-7"/>
              </w:rPr>
              <w:t xml:space="preserve"> </w:t>
            </w:r>
            <w:r w:rsidRPr="00EC20A0">
              <w:t>titles</w:t>
            </w:r>
            <w:r w:rsidRPr="00EC20A0">
              <w:rPr>
                <w:spacing w:val="-7"/>
              </w:rPr>
              <w:t xml:space="preserve"> </w:t>
            </w:r>
            <w:r w:rsidRPr="00EC20A0">
              <w:t>and</w:t>
            </w:r>
            <w:r w:rsidRPr="00EC20A0">
              <w:rPr>
                <w:spacing w:val="-8"/>
              </w:rPr>
              <w:t xml:space="preserve"> </w:t>
            </w:r>
            <w:r w:rsidRPr="00EC20A0">
              <w:rPr>
                <w:spacing w:val="-2"/>
              </w:rPr>
              <w:t>organization?</w:t>
            </w:r>
          </w:p>
        </w:tc>
        <w:tc>
          <w:tcPr>
            <w:tcW w:w="810" w:type="dxa"/>
            <w:tcBorders>
              <w:top w:val="single" w:sz="8" w:space="0" w:color="000000"/>
              <w:left w:val="single" w:sz="6" w:space="0" w:color="000000"/>
              <w:bottom w:val="single" w:sz="6" w:space="0" w:color="000000"/>
              <w:right w:val="single" w:sz="6" w:space="0" w:color="000000"/>
            </w:tcBorders>
          </w:tcPr>
          <w:p w14:paraId="24D62730" w14:textId="77777777" w:rsidR="00245300" w:rsidRPr="00EC20A0" w:rsidRDefault="00245300">
            <w:pPr>
              <w:pStyle w:val="TableParagraph"/>
            </w:pPr>
          </w:p>
        </w:tc>
        <w:tc>
          <w:tcPr>
            <w:tcW w:w="1350" w:type="dxa"/>
            <w:tcBorders>
              <w:top w:val="single" w:sz="8" w:space="0" w:color="000000"/>
              <w:left w:val="single" w:sz="6" w:space="0" w:color="000000"/>
              <w:bottom w:val="single" w:sz="6" w:space="0" w:color="000000"/>
            </w:tcBorders>
          </w:tcPr>
          <w:p w14:paraId="24D62731" w14:textId="77777777" w:rsidR="00245300" w:rsidRPr="00EC20A0" w:rsidRDefault="00245300">
            <w:pPr>
              <w:pStyle w:val="TableParagraph"/>
            </w:pPr>
          </w:p>
        </w:tc>
      </w:tr>
      <w:tr w:rsidR="00245300" w:rsidRPr="00EC20A0" w14:paraId="24D62736" w14:textId="77777777">
        <w:trPr>
          <w:trHeight w:val="745"/>
        </w:trPr>
        <w:tc>
          <w:tcPr>
            <w:tcW w:w="7380" w:type="dxa"/>
            <w:tcBorders>
              <w:top w:val="single" w:sz="6" w:space="0" w:color="000000"/>
              <w:bottom w:val="single" w:sz="6" w:space="0" w:color="000000"/>
              <w:right w:val="single" w:sz="6" w:space="0" w:color="000000"/>
            </w:tcBorders>
          </w:tcPr>
          <w:p w14:paraId="24D62733" w14:textId="77777777" w:rsidR="00245300" w:rsidRPr="00EC20A0" w:rsidRDefault="00F17249">
            <w:pPr>
              <w:pStyle w:val="TableParagraph"/>
              <w:tabs>
                <w:tab w:val="left" w:pos="1334"/>
              </w:tabs>
              <w:spacing w:before="119"/>
              <w:ind w:left="1303" w:right="471" w:hanging="360"/>
            </w:pPr>
            <w:r w:rsidRPr="00EC20A0">
              <w:rPr>
                <w:spacing w:val="-6"/>
              </w:rPr>
              <w:t>b.</w:t>
            </w:r>
            <w:r w:rsidRPr="00EC20A0">
              <w:tab/>
            </w:r>
            <w:r w:rsidRPr="00EC20A0">
              <w:tab/>
            </w:r>
            <w:r w:rsidRPr="00EC20A0">
              <w:t>Opinion</w:t>
            </w:r>
            <w:r w:rsidRPr="00EC20A0">
              <w:rPr>
                <w:spacing w:val="-4"/>
              </w:rPr>
              <w:t xml:space="preserve"> </w:t>
            </w:r>
            <w:r w:rsidRPr="00EC20A0">
              <w:t>and</w:t>
            </w:r>
            <w:r w:rsidRPr="00EC20A0">
              <w:rPr>
                <w:spacing w:val="-4"/>
              </w:rPr>
              <w:t xml:space="preserve"> </w:t>
            </w:r>
            <w:r w:rsidRPr="00EC20A0">
              <w:t>basis</w:t>
            </w:r>
            <w:r w:rsidRPr="00EC20A0">
              <w:rPr>
                <w:spacing w:val="-4"/>
              </w:rPr>
              <w:t xml:space="preserve"> </w:t>
            </w:r>
            <w:r w:rsidRPr="00EC20A0">
              <w:t>for</w:t>
            </w:r>
            <w:r w:rsidRPr="00EC20A0">
              <w:rPr>
                <w:spacing w:val="-4"/>
              </w:rPr>
              <w:t xml:space="preserve"> </w:t>
            </w:r>
            <w:r w:rsidRPr="00EC20A0">
              <w:t>opinion,</w:t>
            </w:r>
            <w:r w:rsidRPr="00EC20A0">
              <w:rPr>
                <w:spacing w:val="-4"/>
              </w:rPr>
              <w:t xml:space="preserve"> </w:t>
            </w:r>
            <w:r w:rsidRPr="00EC20A0">
              <w:t>or</w:t>
            </w:r>
            <w:r w:rsidRPr="00EC20A0">
              <w:rPr>
                <w:spacing w:val="-4"/>
              </w:rPr>
              <w:t xml:space="preserve"> </w:t>
            </w:r>
            <w:r w:rsidRPr="00EC20A0">
              <w:t>disclaimer</w:t>
            </w:r>
            <w:r w:rsidRPr="00EC20A0">
              <w:rPr>
                <w:spacing w:val="-4"/>
              </w:rPr>
              <w:t xml:space="preserve"> </w:t>
            </w:r>
            <w:r w:rsidRPr="00EC20A0">
              <w:t>and</w:t>
            </w:r>
            <w:r w:rsidRPr="00EC20A0">
              <w:rPr>
                <w:spacing w:val="-4"/>
              </w:rPr>
              <w:t xml:space="preserve"> </w:t>
            </w:r>
            <w:r w:rsidRPr="00EC20A0">
              <w:t>basis</w:t>
            </w:r>
            <w:r w:rsidRPr="00EC20A0">
              <w:rPr>
                <w:spacing w:val="-4"/>
              </w:rPr>
              <w:t xml:space="preserve"> </w:t>
            </w:r>
            <w:r w:rsidRPr="00EC20A0">
              <w:t>for disclaimer, on the financial statements?</w:t>
            </w:r>
          </w:p>
        </w:tc>
        <w:tc>
          <w:tcPr>
            <w:tcW w:w="810" w:type="dxa"/>
            <w:tcBorders>
              <w:top w:val="single" w:sz="6" w:space="0" w:color="000000"/>
              <w:left w:val="single" w:sz="6" w:space="0" w:color="000000"/>
              <w:bottom w:val="single" w:sz="6" w:space="0" w:color="000000"/>
              <w:right w:val="single" w:sz="6" w:space="0" w:color="000000"/>
            </w:tcBorders>
          </w:tcPr>
          <w:p w14:paraId="24D62734"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35" w14:textId="77777777" w:rsidR="00245300" w:rsidRPr="00EC20A0" w:rsidRDefault="00245300">
            <w:pPr>
              <w:pStyle w:val="TableParagraph"/>
            </w:pPr>
          </w:p>
        </w:tc>
      </w:tr>
      <w:tr w:rsidR="00245300" w:rsidRPr="00EC20A0" w14:paraId="24D6273A" w14:textId="77777777">
        <w:trPr>
          <w:trHeight w:val="999"/>
        </w:trPr>
        <w:tc>
          <w:tcPr>
            <w:tcW w:w="7380" w:type="dxa"/>
            <w:tcBorders>
              <w:top w:val="single" w:sz="6" w:space="0" w:color="000000"/>
              <w:bottom w:val="single" w:sz="6" w:space="0" w:color="000000"/>
              <w:right w:val="single" w:sz="6" w:space="0" w:color="000000"/>
            </w:tcBorders>
          </w:tcPr>
          <w:p w14:paraId="24D62737" w14:textId="77777777" w:rsidR="00245300" w:rsidRPr="00EC20A0" w:rsidRDefault="00F17249">
            <w:pPr>
              <w:pStyle w:val="TableParagraph"/>
              <w:tabs>
                <w:tab w:val="left" w:pos="1334"/>
              </w:tabs>
              <w:spacing w:before="119"/>
              <w:ind w:left="1303" w:right="344" w:hanging="361"/>
            </w:pPr>
            <w:r w:rsidRPr="00EC20A0">
              <w:rPr>
                <w:spacing w:val="-6"/>
              </w:rPr>
              <w:t>c.</w:t>
            </w:r>
            <w:r w:rsidRPr="00EC20A0">
              <w:tab/>
            </w:r>
            <w:r w:rsidRPr="00EC20A0">
              <w:tab/>
              <w:t>Opinion and basis for opinion on internal control over financial reporting, or results of consideration of internal control</w:t>
            </w:r>
            <w:r w:rsidRPr="00EC20A0">
              <w:rPr>
                <w:spacing w:val="-5"/>
              </w:rPr>
              <w:t xml:space="preserve"> </w:t>
            </w:r>
            <w:r w:rsidRPr="00EC20A0">
              <w:t>over</w:t>
            </w:r>
            <w:r w:rsidRPr="00EC20A0">
              <w:rPr>
                <w:spacing w:val="-6"/>
              </w:rPr>
              <w:t xml:space="preserve"> </w:t>
            </w:r>
            <w:r w:rsidRPr="00EC20A0">
              <w:t>financial</w:t>
            </w:r>
            <w:r w:rsidRPr="00EC20A0">
              <w:rPr>
                <w:spacing w:val="-5"/>
              </w:rPr>
              <w:t xml:space="preserve"> </w:t>
            </w:r>
            <w:r w:rsidRPr="00EC20A0">
              <w:t>reporting</w:t>
            </w:r>
            <w:r w:rsidRPr="00EC20A0">
              <w:rPr>
                <w:spacing w:val="-5"/>
              </w:rPr>
              <w:t xml:space="preserve"> </w:t>
            </w:r>
            <w:r w:rsidRPr="00EC20A0">
              <w:t>and</w:t>
            </w:r>
            <w:r w:rsidRPr="00EC20A0">
              <w:rPr>
                <w:spacing w:val="-5"/>
              </w:rPr>
              <w:t xml:space="preserve"> </w:t>
            </w:r>
            <w:r w:rsidRPr="00EC20A0">
              <w:t>basis</w:t>
            </w:r>
            <w:r w:rsidRPr="00EC20A0">
              <w:rPr>
                <w:spacing w:val="-5"/>
              </w:rPr>
              <w:t xml:space="preserve"> </w:t>
            </w:r>
            <w:r w:rsidRPr="00EC20A0">
              <w:t>for</w:t>
            </w:r>
            <w:r w:rsidRPr="00EC20A0">
              <w:rPr>
                <w:spacing w:val="-5"/>
              </w:rPr>
              <w:t xml:space="preserve"> </w:t>
            </w:r>
            <w:r w:rsidRPr="00EC20A0">
              <w:t>those</w:t>
            </w:r>
            <w:r w:rsidRPr="00EC20A0">
              <w:rPr>
                <w:spacing w:val="-5"/>
              </w:rPr>
              <w:t xml:space="preserve"> </w:t>
            </w:r>
            <w:r w:rsidRPr="00EC20A0">
              <w:t>results?</w:t>
            </w:r>
          </w:p>
        </w:tc>
        <w:tc>
          <w:tcPr>
            <w:tcW w:w="810" w:type="dxa"/>
            <w:tcBorders>
              <w:top w:val="single" w:sz="6" w:space="0" w:color="000000"/>
              <w:left w:val="single" w:sz="6" w:space="0" w:color="000000"/>
              <w:bottom w:val="single" w:sz="6" w:space="0" w:color="000000"/>
              <w:right w:val="single" w:sz="6" w:space="0" w:color="000000"/>
            </w:tcBorders>
          </w:tcPr>
          <w:p w14:paraId="24D62738"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39" w14:textId="77777777" w:rsidR="00245300" w:rsidRPr="00EC20A0" w:rsidRDefault="00245300">
            <w:pPr>
              <w:pStyle w:val="TableParagraph"/>
            </w:pPr>
          </w:p>
        </w:tc>
      </w:tr>
      <w:tr w:rsidR="00245300" w:rsidRPr="00EC20A0" w14:paraId="24D6273E" w14:textId="77777777">
        <w:trPr>
          <w:trHeight w:val="492"/>
        </w:trPr>
        <w:tc>
          <w:tcPr>
            <w:tcW w:w="7380" w:type="dxa"/>
            <w:tcBorders>
              <w:top w:val="single" w:sz="6" w:space="0" w:color="000000"/>
              <w:bottom w:val="single" w:sz="6" w:space="0" w:color="000000"/>
              <w:right w:val="single" w:sz="6" w:space="0" w:color="000000"/>
            </w:tcBorders>
          </w:tcPr>
          <w:p w14:paraId="24D6273B" w14:textId="77777777" w:rsidR="00245300" w:rsidRPr="00EC20A0" w:rsidRDefault="00F17249">
            <w:pPr>
              <w:pStyle w:val="TableParagraph"/>
              <w:tabs>
                <w:tab w:val="left" w:pos="1334"/>
              </w:tabs>
              <w:spacing w:before="121"/>
              <w:ind w:left="943"/>
            </w:pPr>
            <w:r w:rsidRPr="00EC20A0">
              <w:rPr>
                <w:spacing w:val="-5"/>
              </w:rPr>
              <w:t>d.</w:t>
            </w:r>
            <w:r w:rsidRPr="00EC20A0">
              <w:tab/>
            </w:r>
            <w:r w:rsidRPr="00EC20A0">
              <w:rPr>
                <w:spacing w:val="-2"/>
              </w:rPr>
              <w:t>Management’s</w:t>
            </w:r>
            <w:r w:rsidRPr="00EC20A0">
              <w:rPr>
                <w:spacing w:val="8"/>
              </w:rPr>
              <w:t xml:space="preserve"> </w:t>
            </w:r>
            <w:r w:rsidRPr="00EC20A0">
              <w:rPr>
                <w:spacing w:val="-2"/>
              </w:rPr>
              <w:t>responsibilities?</w:t>
            </w:r>
          </w:p>
        </w:tc>
        <w:tc>
          <w:tcPr>
            <w:tcW w:w="810" w:type="dxa"/>
            <w:tcBorders>
              <w:top w:val="single" w:sz="6" w:space="0" w:color="000000"/>
              <w:left w:val="single" w:sz="6" w:space="0" w:color="000000"/>
              <w:bottom w:val="single" w:sz="6" w:space="0" w:color="000000"/>
              <w:right w:val="single" w:sz="6" w:space="0" w:color="000000"/>
            </w:tcBorders>
          </w:tcPr>
          <w:p w14:paraId="24D6273C"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3D" w14:textId="77777777" w:rsidR="00245300" w:rsidRPr="00EC20A0" w:rsidRDefault="00245300">
            <w:pPr>
              <w:pStyle w:val="TableParagraph"/>
            </w:pPr>
          </w:p>
        </w:tc>
      </w:tr>
      <w:tr w:rsidR="00245300" w:rsidRPr="00EC20A0" w14:paraId="24D62742" w14:textId="77777777">
        <w:trPr>
          <w:trHeight w:val="493"/>
        </w:trPr>
        <w:tc>
          <w:tcPr>
            <w:tcW w:w="7380" w:type="dxa"/>
            <w:tcBorders>
              <w:top w:val="single" w:sz="6" w:space="0" w:color="000000"/>
              <w:bottom w:val="single" w:sz="6" w:space="0" w:color="000000"/>
              <w:right w:val="single" w:sz="6" w:space="0" w:color="000000"/>
            </w:tcBorders>
          </w:tcPr>
          <w:p w14:paraId="24D6273F" w14:textId="77777777" w:rsidR="00245300" w:rsidRPr="00EC20A0" w:rsidRDefault="00F17249">
            <w:pPr>
              <w:pStyle w:val="TableParagraph"/>
              <w:tabs>
                <w:tab w:val="left" w:pos="1334"/>
              </w:tabs>
              <w:spacing w:before="121"/>
              <w:ind w:left="943"/>
            </w:pPr>
            <w:r w:rsidRPr="00EC20A0">
              <w:rPr>
                <w:spacing w:val="-5"/>
              </w:rPr>
              <w:t>e.</w:t>
            </w:r>
            <w:r w:rsidRPr="00EC20A0">
              <w:tab/>
              <w:t>Auditor’s</w:t>
            </w:r>
            <w:r w:rsidRPr="00EC20A0">
              <w:rPr>
                <w:spacing w:val="-10"/>
              </w:rPr>
              <w:t xml:space="preserve"> </w:t>
            </w:r>
            <w:r w:rsidRPr="00EC20A0">
              <w:rPr>
                <w:spacing w:val="-2"/>
              </w:rPr>
              <w:t>responsibilities?</w:t>
            </w:r>
          </w:p>
        </w:tc>
        <w:tc>
          <w:tcPr>
            <w:tcW w:w="810" w:type="dxa"/>
            <w:tcBorders>
              <w:top w:val="single" w:sz="6" w:space="0" w:color="000000"/>
              <w:left w:val="single" w:sz="6" w:space="0" w:color="000000"/>
              <w:bottom w:val="single" w:sz="6" w:space="0" w:color="000000"/>
              <w:right w:val="single" w:sz="6" w:space="0" w:color="000000"/>
            </w:tcBorders>
          </w:tcPr>
          <w:p w14:paraId="24D62740"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41" w14:textId="77777777" w:rsidR="00245300" w:rsidRPr="00EC20A0" w:rsidRDefault="00245300">
            <w:pPr>
              <w:pStyle w:val="TableParagraph"/>
            </w:pPr>
          </w:p>
        </w:tc>
      </w:tr>
      <w:tr w:rsidR="00245300" w:rsidRPr="00EC20A0" w14:paraId="24D62746" w14:textId="77777777">
        <w:trPr>
          <w:trHeight w:val="745"/>
        </w:trPr>
        <w:tc>
          <w:tcPr>
            <w:tcW w:w="7380" w:type="dxa"/>
            <w:tcBorders>
              <w:top w:val="single" w:sz="6" w:space="0" w:color="000000"/>
              <w:bottom w:val="single" w:sz="6" w:space="0" w:color="000000"/>
              <w:right w:val="single" w:sz="6" w:space="0" w:color="000000"/>
            </w:tcBorders>
          </w:tcPr>
          <w:p w14:paraId="24D62743" w14:textId="77777777" w:rsidR="00245300" w:rsidRPr="00EC20A0" w:rsidRDefault="00F17249">
            <w:pPr>
              <w:pStyle w:val="TableParagraph"/>
              <w:tabs>
                <w:tab w:val="left" w:pos="1303"/>
              </w:tabs>
              <w:spacing w:before="119"/>
              <w:ind w:left="1303" w:right="566" w:hanging="360"/>
            </w:pPr>
            <w:r w:rsidRPr="00EC20A0">
              <w:rPr>
                <w:spacing w:val="-6"/>
              </w:rPr>
              <w:t>f.</w:t>
            </w:r>
            <w:r w:rsidRPr="00EC20A0">
              <w:tab/>
              <w:t>Definition</w:t>
            </w:r>
            <w:r w:rsidRPr="00EC20A0">
              <w:rPr>
                <w:spacing w:val="-6"/>
              </w:rPr>
              <w:t xml:space="preserve"> </w:t>
            </w:r>
            <w:r w:rsidRPr="00EC20A0">
              <w:t>and</w:t>
            </w:r>
            <w:r w:rsidRPr="00EC20A0">
              <w:rPr>
                <w:spacing w:val="-6"/>
              </w:rPr>
              <w:t xml:space="preserve"> </w:t>
            </w:r>
            <w:r w:rsidRPr="00EC20A0">
              <w:t>inherent</w:t>
            </w:r>
            <w:r w:rsidRPr="00EC20A0">
              <w:rPr>
                <w:spacing w:val="-6"/>
              </w:rPr>
              <w:t xml:space="preserve"> </w:t>
            </w:r>
            <w:r w:rsidRPr="00EC20A0">
              <w:t>limitations</w:t>
            </w:r>
            <w:r w:rsidRPr="00EC20A0">
              <w:rPr>
                <w:spacing w:val="-6"/>
              </w:rPr>
              <w:t xml:space="preserve"> </w:t>
            </w:r>
            <w:r w:rsidRPr="00EC20A0">
              <w:t>of</w:t>
            </w:r>
            <w:r w:rsidRPr="00EC20A0">
              <w:rPr>
                <w:spacing w:val="-7"/>
              </w:rPr>
              <w:t xml:space="preserve"> </w:t>
            </w:r>
            <w:r w:rsidRPr="00EC20A0">
              <w:t>internal</w:t>
            </w:r>
            <w:r w:rsidRPr="00EC20A0">
              <w:rPr>
                <w:spacing w:val="-6"/>
              </w:rPr>
              <w:t xml:space="preserve"> </w:t>
            </w:r>
            <w:r w:rsidRPr="00EC20A0">
              <w:t>control</w:t>
            </w:r>
            <w:r w:rsidRPr="00EC20A0">
              <w:rPr>
                <w:spacing w:val="-6"/>
              </w:rPr>
              <w:t xml:space="preserve"> </w:t>
            </w:r>
            <w:r w:rsidRPr="00EC20A0">
              <w:t>over financial reporting</w:t>
            </w:r>
          </w:p>
        </w:tc>
        <w:tc>
          <w:tcPr>
            <w:tcW w:w="810" w:type="dxa"/>
            <w:tcBorders>
              <w:top w:val="single" w:sz="6" w:space="0" w:color="000000"/>
              <w:left w:val="single" w:sz="6" w:space="0" w:color="000000"/>
              <w:bottom w:val="single" w:sz="6" w:space="0" w:color="000000"/>
              <w:right w:val="single" w:sz="6" w:space="0" w:color="000000"/>
            </w:tcBorders>
          </w:tcPr>
          <w:p w14:paraId="24D62744"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45" w14:textId="77777777" w:rsidR="00245300" w:rsidRPr="00EC20A0" w:rsidRDefault="00245300">
            <w:pPr>
              <w:pStyle w:val="TableParagraph"/>
            </w:pPr>
          </w:p>
        </w:tc>
      </w:tr>
      <w:tr w:rsidR="00245300" w:rsidRPr="00EC20A0" w14:paraId="24D6274A" w14:textId="77777777">
        <w:trPr>
          <w:trHeight w:val="492"/>
        </w:trPr>
        <w:tc>
          <w:tcPr>
            <w:tcW w:w="7380" w:type="dxa"/>
            <w:tcBorders>
              <w:top w:val="single" w:sz="6" w:space="0" w:color="000000"/>
              <w:bottom w:val="single" w:sz="6" w:space="0" w:color="000000"/>
              <w:right w:val="single" w:sz="6" w:space="0" w:color="000000"/>
            </w:tcBorders>
          </w:tcPr>
          <w:p w14:paraId="24D62747" w14:textId="77777777" w:rsidR="00245300" w:rsidRPr="00EC20A0" w:rsidRDefault="00F17249">
            <w:pPr>
              <w:pStyle w:val="TableParagraph"/>
              <w:tabs>
                <w:tab w:val="left" w:pos="1334"/>
              </w:tabs>
              <w:spacing w:before="119"/>
              <w:ind w:left="943"/>
            </w:pPr>
            <w:r w:rsidRPr="00EC20A0">
              <w:rPr>
                <w:spacing w:val="-5"/>
              </w:rPr>
              <w:t>g.</w:t>
            </w:r>
            <w:r w:rsidRPr="00EC20A0">
              <w:tab/>
              <w:t>Reporting</w:t>
            </w:r>
            <w:r w:rsidRPr="00EC20A0">
              <w:rPr>
                <w:spacing w:val="-6"/>
              </w:rPr>
              <w:t xml:space="preserve"> </w:t>
            </w:r>
            <w:r w:rsidRPr="00EC20A0">
              <w:t>on</w:t>
            </w:r>
            <w:r w:rsidRPr="00EC20A0">
              <w:rPr>
                <w:spacing w:val="-5"/>
              </w:rPr>
              <w:t xml:space="preserve"> </w:t>
            </w:r>
            <w:r w:rsidRPr="00EC20A0">
              <w:t>RSI</w:t>
            </w:r>
            <w:r w:rsidRPr="00EC20A0">
              <w:rPr>
                <w:spacing w:val="-5"/>
              </w:rPr>
              <w:t xml:space="preserve"> </w:t>
            </w:r>
            <w:r w:rsidRPr="00EC20A0">
              <w:t>and</w:t>
            </w:r>
            <w:r w:rsidRPr="00EC20A0">
              <w:rPr>
                <w:spacing w:val="-6"/>
              </w:rPr>
              <w:t xml:space="preserve"> </w:t>
            </w:r>
            <w:r w:rsidRPr="00EC20A0">
              <w:t>other</w:t>
            </w:r>
            <w:r w:rsidRPr="00EC20A0">
              <w:rPr>
                <w:spacing w:val="-5"/>
              </w:rPr>
              <w:t xml:space="preserve"> </w:t>
            </w:r>
            <w:r w:rsidRPr="00EC20A0">
              <w:rPr>
                <w:spacing w:val="-2"/>
              </w:rPr>
              <w:t>information?</w:t>
            </w:r>
          </w:p>
        </w:tc>
        <w:tc>
          <w:tcPr>
            <w:tcW w:w="810" w:type="dxa"/>
            <w:tcBorders>
              <w:top w:val="single" w:sz="6" w:space="0" w:color="000000"/>
              <w:left w:val="single" w:sz="6" w:space="0" w:color="000000"/>
              <w:bottom w:val="single" w:sz="6" w:space="0" w:color="000000"/>
              <w:right w:val="single" w:sz="6" w:space="0" w:color="000000"/>
            </w:tcBorders>
          </w:tcPr>
          <w:p w14:paraId="24D62748"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49" w14:textId="77777777" w:rsidR="00245300" w:rsidRPr="00EC20A0" w:rsidRDefault="00245300">
            <w:pPr>
              <w:pStyle w:val="TableParagraph"/>
            </w:pPr>
          </w:p>
        </w:tc>
      </w:tr>
      <w:tr w:rsidR="00245300" w:rsidRPr="00EC20A0" w14:paraId="24D6274E" w14:textId="77777777">
        <w:trPr>
          <w:trHeight w:val="999"/>
        </w:trPr>
        <w:tc>
          <w:tcPr>
            <w:tcW w:w="7380" w:type="dxa"/>
            <w:tcBorders>
              <w:top w:val="single" w:sz="6" w:space="0" w:color="000000"/>
              <w:bottom w:val="single" w:sz="6" w:space="0" w:color="000000"/>
              <w:right w:val="single" w:sz="6" w:space="0" w:color="000000"/>
            </w:tcBorders>
          </w:tcPr>
          <w:p w14:paraId="24D6274B" w14:textId="77777777" w:rsidR="00245300" w:rsidRPr="00EC20A0" w:rsidRDefault="00F17249">
            <w:pPr>
              <w:pStyle w:val="TableParagraph"/>
              <w:tabs>
                <w:tab w:val="left" w:pos="1334"/>
              </w:tabs>
              <w:spacing w:before="119"/>
              <w:ind w:left="1303" w:right="791" w:hanging="360"/>
            </w:pPr>
            <w:r w:rsidRPr="00EC20A0">
              <w:rPr>
                <w:spacing w:val="-6"/>
              </w:rPr>
              <w:t>h.</w:t>
            </w:r>
            <w:r w:rsidRPr="00EC20A0">
              <w:tab/>
            </w:r>
            <w:r w:rsidRPr="00EC20A0">
              <w:tab/>
            </w:r>
            <w:r w:rsidRPr="00EC20A0">
              <w:t>Reporting</w:t>
            </w:r>
            <w:r w:rsidRPr="00EC20A0">
              <w:rPr>
                <w:spacing w:val="-7"/>
              </w:rPr>
              <w:t xml:space="preserve"> </w:t>
            </w:r>
            <w:r w:rsidRPr="00EC20A0">
              <w:t>on</w:t>
            </w:r>
            <w:r w:rsidRPr="00EC20A0">
              <w:rPr>
                <w:spacing w:val="-7"/>
              </w:rPr>
              <w:t xml:space="preserve"> </w:t>
            </w:r>
            <w:r w:rsidRPr="00EC20A0">
              <w:t>compliance</w:t>
            </w:r>
            <w:r w:rsidRPr="00EC20A0">
              <w:rPr>
                <w:spacing w:val="-7"/>
              </w:rPr>
              <w:t xml:space="preserve"> </w:t>
            </w:r>
            <w:r w:rsidRPr="00EC20A0">
              <w:t>with</w:t>
            </w:r>
            <w:r w:rsidRPr="00EC20A0">
              <w:rPr>
                <w:spacing w:val="-7"/>
              </w:rPr>
              <w:t xml:space="preserve"> </w:t>
            </w:r>
            <w:r w:rsidRPr="00EC20A0">
              <w:t>significant</w:t>
            </w:r>
            <w:r w:rsidRPr="00EC20A0">
              <w:rPr>
                <w:spacing w:val="-7"/>
              </w:rPr>
              <w:t xml:space="preserve"> </w:t>
            </w:r>
            <w:r w:rsidRPr="00EC20A0">
              <w:t>provisions</w:t>
            </w:r>
            <w:r w:rsidRPr="00EC20A0">
              <w:rPr>
                <w:spacing w:val="-7"/>
              </w:rPr>
              <w:t xml:space="preserve"> </w:t>
            </w:r>
            <w:r w:rsidRPr="00EC20A0">
              <w:t xml:space="preserve">of applicable laws, regulations, contracts, and grant </w:t>
            </w:r>
            <w:r w:rsidRPr="00EC20A0">
              <w:rPr>
                <w:spacing w:val="-2"/>
              </w:rPr>
              <w:t>agreements?</w:t>
            </w:r>
          </w:p>
        </w:tc>
        <w:tc>
          <w:tcPr>
            <w:tcW w:w="810" w:type="dxa"/>
            <w:tcBorders>
              <w:top w:val="single" w:sz="6" w:space="0" w:color="000000"/>
              <w:left w:val="single" w:sz="6" w:space="0" w:color="000000"/>
              <w:bottom w:val="single" w:sz="6" w:space="0" w:color="000000"/>
              <w:right w:val="single" w:sz="6" w:space="0" w:color="000000"/>
            </w:tcBorders>
          </w:tcPr>
          <w:p w14:paraId="24D6274C"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4D" w14:textId="77777777" w:rsidR="00245300" w:rsidRPr="00EC20A0" w:rsidRDefault="00245300">
            <w:pPr>
              <w:pStyle w:val="TableParagraph"/>
            </w:pPr>
          </w:p>
        </w:tc>
      </w:tr>
      <w:tr w:rsidR="00245300" w:rsidRPr="00EC20A0" w14:paraId="24D62752" w14:textId="77777777">
        <w:trPr>
          <w:trHeight w:val="998"/>
        </w:trPr>
        <w:tc>
          <w:tcPr>
            <w:tcW w:w="7380" w:type="dxa"/>
            <w:tcBorders>
              <w:top w:val="single" w:sz="6" w:space="0" w:color="000000"/>
              <w:bottom w:val="single" w:sz="6" w:space="0" w:color="000000"/>
              <w:right w:val="single" w:sz="6" w:space="0" w:color="000000"/>
            </w:tcBorders>
          </w:tcPr>
          <w:p w14:paraId="24D6274F" w14:textId="77777777" w:rsidR="00245300" w:rsidRPr="00EC20A0" w:rsidRDefault="00F17249">
            <w:pPr>
              <w:pStyle w:val="TableParagraph"/>
              <w:tabs>
                <w:tab w:val="left" w:pos="1334"/>
              </w:tabs>
              <w:spacing w:before="119"/>
              <w:ind w:left="1303" w:right="338" w:hanging="360"/>
            </w:pPr>
            <w:r w:rsidRPr="00EC20A0">
              <w:rPr>
                <w:spacing w:val="-6"/>
              </w:rPr>
              <w:t>i.</w:t>
            </w:r>
            <w:r w:rsidRPr="00EC20A0">
              <w:tab/>
            </w:r>
            <w:r w:rsidRPr="00EC20A0">
              <w:tab/>
              <w:t>Conclusions</w:t>
            </w:r>
            <w:r w:rsidRPr="00EC20A0">
              <w:rPr>
                <w:spacing w:val="-7"/>
              </w:rPr>
              <w:t xml:space="preserve"> </w:t>
            </w:r>
            <w:r w:rsidRPr="00EC20A0">
              <w:t>on</w:t>
            </w:r>
            <w:r w:rsidRPr="00EC20A0">
              <w:rPr>
                <w:spacing w:val="-6"/>
              </w:rPr>
              <w:t xml:space="preserve"> </w:t>
            </w:r>
            <w:r w:rsidRPr="00EC20A0">
              <w:t>whether</w:t>
            </w:r>
            <w:r w:rsidRPr="00EC20A0">
              <w:rPr>
                <w:spacing w:val="-6"/>
              </w:rPr>
              <w:t xml:space="preserve"> </w:t>
            </w:r>
            <w:r w:rsidRPr="00EC20A0">
              <w:t>the</w:t>
            </w:r>
            <w:r w:rsidRPr="00EC20A0">
              <w:rPr>
                <w:spacing w:val="-6"/>
              </w:rPr>
              <w:t xml:space="preserve"> </w:t>
            </w:r>
            <w:r w:rsidRPr="00EC20A0">
              <w:t>entity’s</w:t>
            </w:r>
            <w:r w:rsidRPr="00EC20A0">
              <w:rPr>
                <w:spacing w:val="-6"/>
              </w:rPr>
              <w:t xml:space="preserve"> </w:t>
            </w:r>
            <w:r w:rsidRPr="00EC20A0">
              <w:t>financial</w:t>
            </w:r>
            <w:r w:rsidRPr="00EC20A0">
              <w:rPr>
                <w:spacing w:val="-6"/>
              </w:rPr>
              <w:t xml:space="preserve"> </w:t>
            </w:r>
            <w:r w:rsidRPr="00EC20A0">
              <w:t xml:space="preserve">management systems comply substantially with the requirements of FFMIA (for CFO </w:t>
            </w:r>
            <w:r w:rsidRPr="00EC20A0">
              <w:t>Act agencies)?</w:t>
            </w:r>
          </w:p>
        </w:tc>
        <w:tc>
          <w:tcPr>
            <w:tcW w:w="810" w:type="dxa"/>
            <w:tcBorders>
              <w:top w:val="single" w:sz="6" w:space="0" w:color="000000"/>
              <w:left w:val="single" w:sz="6" w:space="0" w:color="000000"/>
              <w:bottom w:val="single" w:sz="6" w:space="0" w:color="000000"/>
              <w:right w:val="single" w:sz="6" w:space="0" w:color="000000"/>
            </w:tcBorders>
          </w:tcPr>
          <w:p w14:paraId="24D62750"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51" w14:textId="77777777" w:rsidR="00245300" w:rsidRPr="00EC20A0" w:rsidRDefault="00245300">
            <w:pPr>
              <w:pStyle w:val="TableParagraph"/>
            </w:pPr>
          </w:p>
        </w:tc>
      </w:tr>
      <w:tr w:rsidR="00245300" w:rsidRPr="00EC20A0" w14:paraId="24D62756" w14:textId="77777777">
        <w:trPr>
          <w:trHeight w:val="745"/>
        </w:trPr>
        <w:tc>
          <w:tcPr>
            <w:tcW w:w="7380" w:type="dxa"/>
            <w:tcBorders>
              <w:top w:val="single" w:sz="6" w:space="0" w:color="000000"/>
              <w:bottom w:val="single" w:sz="6" w:space="0" w:color="000000"/>
              <w:right w:val="single" w:sz="6" w:space="0" w:color="000000"/>
            </w:tcBorders>
          </w:tcPr>
          <w:p w14:paraId="24D62753" w14:textId="77777777" w:rsidR="00245300" w:rsidRPr="00EC20A0" w:rsidRDefault="00F17249">
            <w:pPr>
              <w:pStyle w:val="TableParagraph"/>
              <w:tabs>
                <w:tab w:val="left" w:pos="1303"/>
              </w:tabs>
              <w:spacing w:before="119"/>
              <w:ind w:left="1303" w:right="910" w:hanging="360"/>
            </w:pPr>
            <w:r w:rsidRPr="00EC20A0">
              <w:rPr>
                <w:spacing w:val="-6"/>
              </w:rPr>
              <w:t>j.</w:t>
            </w:r>
            <w:r w:rsidRPr="00EC20A0">
              <w:tab/>
              <w:t>Emphasis-of-matter</w:t>
            </w:r>
            <w:r w:rsidRPr="00EC20A0">
              <w:rPr>
                <w:spacing w:val="-10"/>
              </w:rPr>
              <w:t xml:space="preserve"> </w:t>
            </w:r>
            <w:r w:rsidRPr="00EC20A0">
              <w:t>and</w:t>
            </w:r>
            <w:r w:rsidRPr="00EC20A0">
              <w:rPr>
                <w:spacing w:val="-10"/>
              </w:rPr>
              <w:t xml:space="preserve"> </w:t>
            </w:r>
            <w:r w:rsidRPr="00EC20A0">
              <w:t>other-matter</w:t>
            </w:r>
            <w:r w:rsidRPr="00EC20A0">
              <w:rPr>
                <w:spacing w:val="-10"/>
              </w:rPr>
              <w:t xml:space="preserve"> </w:t>
            </w:r>
            <w:r w:rsidRPr="00EC20A0">
              <w:t>paragraphs,</w:t>
            </w:r>
            <w:r w:rsidRPr="00EC20A0">
              <w:rPr>
                <w:spacing w:val="-10"/>
              </w:rPr>
              <w:t xml:space="preserve"> </w:t>
            </w:r>
            <w:r w:rsidRPr="00EC20A0">
              <w:t xml:space="preserve">as </w:t>
            </w:r>
            <w:r w:rsidRPr="00EC20A0">
              <w:rPr>
                <w:spacing w:val="-2"/>
              </w:rPr>
              <w:t>applicable?</w:t>
            </w:r>
          </w:p>
        </w:tc>
        <w:tc>
          <w:tcPr>
            <w:tcW w:w="810" w:type="dxa"/>
            <w:tcBorders>
              <w:top w:val="single" w:sz="6" w:space="0" w:color="000000"/>
              <w:left w:val="single" w:sz="6" w:space="0" w:color="000000"/>
              <w:bottom w:val="single" w:sz="6" w:space="0" w:color="000000"/>
              <w:right w:val="single" w:sz="6" w:space="0" w:color="000000"/>
            </w:tcBorders>
          </w:tcPr>
          <w:p w14:paraId="24D62754"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55" w14:textId="77777777" w:rsidR="00245300" w:rsidRPr="00EC20A0" w:rsidRDefault="00245300">
            <w:pPr>
              <w:pStyle w:val="TableParagraph"/>
            </w:pPr>
          </w:p>
        </w:tc>
      </w:tr>
      <w:tr w:rsidR="00245300" w:rsidRPr="00EC20A0" w14:paraId="24D6275A" w14:textId="77777777">
        <w:trPr>
          <w:trHeight w:val="493"/>
        </w:trPr>
        <w:tc>
          <w:tcPr>
            <w:tcW w:w="7380" w:type="dxa"/>
            <w:tcBorders>
              <w:top w:val="single" w:sz="6" w:space="0" w:color="000000"/>
              <w:bottom w:val="single" w:sz="6" w:space="0" w:color="000000"/>
              <w:right w:val="single" w:sz="6" w:space="0" w:color="000000"/>
            </w:tcBorders>
          </w:tcPr>
          <w:p w14:paraId="24D62757" w14:textId="77777777" w:rsidR="00245300" w:rsidRPr="00EC20A0" w:rsidRDefault="00F17249">
            <w:pPr>
              <w:pStyle w:val="TableParagraph"/>
              <w:spacing w:before="121"/>
              <w:ind w:left="943"/>
            </w:pPr>
            <w:r w:rsidRPr="00EC20A0">
              <w:t>k.</w:t>
            </w:r>
            <w:r w:rsidRPr="00EC20A0">
              <w:rPr>
                <w:spacing w:val="29"/>
              </w:rPr>
              <w:t xml:space="preserve">  </w:t>
            </w:r>
            <w:r w:rsidRPr="00EC20A0">
              <w:t>Agency</w:t>
            </w:r>
            <w:r w:rsidRPr="00EC20A0">
              <w:rPr>
                <w:spacing w:val="-3"/>
              </w:rPr>
              <w:t xml:space="preserve"> </w:t>
            </w:r>
            <w:r w:rsidRPr="00EC20A0">
              <w:rPr>
                <w:spacing w:val="-2"/>
              </w:rPr>
              <w:t>comments?</w:t>
            </w:r>
          </w:p>
        </w:tc>
        <w:tc>
          <w:tcPr>
            <w:tcW w:w="810" w:type="dxa"/>
            <w:tcBorders>
              <w:top w:val="single" w:sz="6" w:space="0" w:color="000000"/>
              <w:left w:val="single" w:sz="6" w:space="0" w:color="000000"/>
              <w:bottom w:val="single" w:sz="6" w:space="0" w:color="000000"/>
              <w:right w:val="single" w:sz="6" w:space="0" w:color="000000"/>
            </w:tcBorders>
          </w:tcPr>
          <w:p w14:paraId="24D62758"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59" w14:textId="77777777" w:rsidR="00245300" w:rsidRPr="00EC20A0" w:rsidRDefault="00245300">
            <w:pPr>
              <w:pStyle w:val="TableParagraph"/>
            </w:pPr>
          </w:p>
        </w:tc>
      </w:tr>
      <w:tr w:rsidR="00245300" w:rsidRPr="00EC20A0" w14:paraId="24D6275E" w14:textId="77777777">
        <w:trPr>
          <w:trHeight w:val="745"/>
        </w:trPr>
        <w:tc>
          <w:tcPr>
            <w:tcW w:w="7380" w:type="dxa"/>
            <w:tcBorders>
              <w:top w:val="single" w:sz="6" w:space="0" w:color="000000"/>
              <w:bottom w:val="single" w:sz="6" w:space="0" w:color="000000"/>
              <w:right w:val="single" w:sz="6" w:space="0" w:color="000000"/>
            </w:tcBorders>
          </w:tcPr>
          <w:p w14:paraId="24D6275B" w14:textId="77777777" w:rsidR="00245300" w:rsidRPr="00EC20A0" w:rsidRDefault="00F17249">
            <w:pPr>
              <w:pStyle w:val="TableParagraph"/>
              <w:spacing w:before="119"/>
              <w:ind w:left="916" w:hanging="361"/>
            </w:pPr>
            <w:r w:rsidRPr="00EC20A0">
              <w:t>2.</w:t>
            </w:r>
            <w:r w:rsidRPr="00EC20A0">
              <w:rPr>
                <w:spacing w:val="80"/>
              </w:rPr>
              <w:t xml:space="preserve"> </w:t>
            </w:r>
            <w:r w:rsidRPr="00EC20A0">
              <w:t>Is</w:t>
            </w:r>
            <w:r w:rsidRPr="00EC20A0">
              <w:rPr>
                <w:spacing w:val="-4"/>
              </w:rPr>
              <w:t xml:space="preserve"> </w:t>
            </w:r>
            <w:r w:rsidRPr="00EC20A0">
              <w:t>background</w:t>
            </w:r>
            <w:r w:rsidRPr="00EC20A0">
              <w:rPr>
                <w:spacing w:val="-4"/>
              </w:rPr>
              <w:t xml:space="preserve"> </w:t>
            </w:r>
            <w:r w:rsidRPr="00EC20A0">
              <w:t>material</w:t>
            </w:r>
            <w:r w:rsidRPr="00EC20A0">
              <w:rPr>
                <w:spacing w:val="-3"/>
              </w:rPr>
              <w:t xml:space="preserve"> </w:t>
            </w:r>
            <w:r w:rsidRPr="00EC20A0">
              <w:t>(purpose,</w:t>
            </w:r>
            <w:r w:rsidRPr="00EC20A0">
              <w:rPr>
                <w:spacing w:val="-4"/>
              </w:rPr>
              <w:t xml:space="preserve"> </w:t>
            </w:r>
            <w:r w:rsidRPr="00EC20A0">
              <w:t>authority,</w:t>
            </w:r>
            <w:r w:rsidRPr="00EC20A0">
              <w:rPr>
                <w:spacing w:val="-4"/>
              </w:rPr>
              <w:t xml:space="preserve"> </w:t>
            </w:r>
            <w:r w:rsidRPr="00EC20A0">
              <w:t>and</w:t>
            </w:r>
            <w:r w:rsidRPr="00EC20A0">
              <w:rPr>
                <w:spacing w:val="-4"/>
              </w:rPr>
              <w:t xml:space="preserve"> </w:t>
            </w:r>
            <w:r w:rsidRPr="00EC20A0">
              <w:t>functions</w:t>
            </w:r>
            <w:r w:rsidRPr="00EC20A0">
              <w:rPr>
                <w:spacing w:val="-4"/>
              </w:rPr>
              <w:t xml:space="preserve"> </w:t>
            </w:r>
            <w:r w:rsidRPr="00EC20A0">
              <w:t>of programs or activities) limited to what is necessary?</w:t>
            </w:r>
          </w:p>
        </w:tc>
        <w:tc>
          <w:tcPr>
            <w:tcW w:w="810" w:type="dxa"/>
            <w:tcBorders>
              <w:top w:val="single" w:sz="6" w:space="0" w:color="000000"/>
              <w:left w:val="single" w:sz="6" w:space="0" w:color="000000"/>
              <w:bottom w:val="single" w:sz="6" w:space="0" w:color="000000"/>
              <w:right w:val="single" w:sz="6" w:space="0" w:color="000000"/>
            </w:tcBorders>
          </w:tcPr>
          <w:p w14:paraId="24D6275C"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5D" w14:textId="77777777" w:rsidR="00245300" w:rsidRPr="00EC20A0" w:rsidRDefault="00245300">
            <w:pPr>
              <w:pStyle w:val="TableParagraph"/>
            </w:pPr>
          </w:p>
        </w:tc>
      </w:tr>
      <w:tr w:rsidR="00245300" w:rsidRPr="00EC20A0" w14:paraId="24D62762" w14:textId="77777777">
        <w:trPr>
          <w:trHeight w:val="1251"/>
        </w:trPr>
        <w:tc>
          <w:tcPr>
            <w:tcW w:w="7380" w:type="dxa"/>
            <w:tcBorders>
              <w:top w:val="single" w:sz="6" w:space="0" w:color="000000"/>
              <w:bottom w:val="single" w:sz="6" w:space="0" w:color="000000"/>
              <w:right w:val="single" w:sz="6" w:space="0" w:color="000000"/>
            </w:tcBorders>
          </w:tcPr>
          <w:p w14:paraId="24D6275F" w14:textId="77777777" w:rsidR="00245300" w:rsidRPr="00EC20A0" w:rsidRDefault="00F17249">
            <w:pPr>
              <w:pStyle w:val="TableParagraph"/>
              <w:spacing w:before="119"/>
              <w:ind w:left="915" w:right="141" w:hanging="360"/>
            </w:pPr>
            <w:r w:rsidRPr="00EC20A0">
              <w:t>3.</w:t>
            </w:r>
            <w:r w:rsidRPr="00EC20A0">
              <w:rPr>
                <w:spacing w:val="80"/>
              </w:rPr>
              <w:t xml:space="preserve"> </w:t>
            </w:r>
            <w:r w:rsidRPr="00EC20A0">
              <w:t>Were</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report</w:t>
            </w:r>
            <w:r w:rsidRPr="00EC20A0">
              <w:rPr>
                <w:spacing w:val="-5"/>
              </w:rPr>
              <w:t xml:space="preserve"> </w:t>
            </w:r>
            <w:r w:rsidRPr="00EC20A0">
              <w:t>and</w:t>
            </w:r>
            <w:r w:rsidRPr="00EC20A0">
              <w:rPr>
                <w:spacing w:val="-4"/>
              </w:rPr>
              <w:t xml:space="preserve"> </w:t>
            </w:r>
            <w:r w:rsidRPr="00EC20A0">
              <w:t>the</w:t>
            </w:r>
            <w:r w:rsidRPr="00EC20A0">
              <w:rPr>
                <w:spacing w:val="-4"/>
              </w:rPr>
              <w:t xml:space="preserve"> </w:t>
            </w:r>
            <w:r w:rsidRPr="00EC20A0">
              <w:t>management</w:t>
            </w:r>
            <w:r w:rsidRPr="00EC20A0">
              <w:rPr>
                <w:spacing w:val="-4"/>
              </w:rPr>
              <w:t xml:space="preserve"> </w:t>
            </w:r>
            <w:r w:rsidRPr="00EC20A0">
              <w:t>representation letter dated when all appropriate, sufficient audit evidence is obtained to</w:t>
            </w:r>
            <w:r w:rsidRPr="00EC20A0">
              <w:rPr>
                <w:spacing w:val="-1"/>
              </w:rPr>
              <w:t xml:space="preserve"> </w:t>
            </w:r>
            <w:r w:rsidRPr="00EC20A0">
              <w:t>support the</w:t>
            </w:r>
            <w:r w:rsidRPr="00EC20A0">
              <w:rPr>
                <w:spacing w:val="-1"/>
              </w:rPr>
              <w:t xml:space="preserve"> </w:t>
            </w:r>
            <w:r w:rsidRPr="00EC20A0">
              <w:t>opinion and</w:t>
            </w:r>
            <w:r w:rsidRPr="00EC20A0">
              <w:rPr>
                <w:spacing w:val="-1"/>
              </w:rPr>
              <w:t xml:space="preserve"> </w:t>
            </w:r>
            <w:r w:rsidRPr="00EC20A0">
              <w:t>all significant issues</w:t>
            </w:r>
            <w:r w:rsidRPr="00EC20A0">
              <w:rPr>
                <w:spacing w:val="-1"/>
              </w:rPr>
              <w:t xml:space="preserve"> </w:t>
            </w:r>
            <w:r w:rsidRPr="00EC20A0">
              <w:t>have been resolved? (FAM 550 and FAM 580)</w:t>
            </w:r>
          </w:p>
        </w:tc>
        <w:tc>
          <w:tcPr>
            <w:tcW w:w="810" w:type="dxa"/>
            <w:tcBorders>
              <w:top w:val="single" w:sz="6" w:space="0" w:color="000000"/>
              <w:left w:val="single" w:sz="6" w:space="0" w:color="000000"/>
              <w:bottom w:val="single" w:sz="6" w:space="0" w:color="000000"/>
              <w:right w:val="single" w:sz="6" w:space="0" w:color="000000"/>
            </w:tcBorders>
          </w:tcPr>
          <w:p w14:paraId="24D62760"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61" w14:textId="77777777" w:rsidR="00245300" w:rsidRPr="00EC20A0" w:rsidRDefault="00245300">
            <w:pPr>
              <w:pStyle w:val="TableParagraph"/>
            </w:pPr>
          </w:p>
        </w:tc>
      </w:tr>
      <w:tr w:rsidR="00245300" w:rsidRPr="00EC20A0" w14:paraId="24D62767" w14:textId="77777777">
        <w:trPr>
          <w:trHeight w:val="880"/>
        </w:trPr>
        <w:tc>
          <w:tcPr>
            <w:tcW w:w="7380" w:type="dxa"/>
            <w:tcBorders>
              <w:top w:val="single" w:sz="6" w:space="0" w:color="000000"/>
              <w:bottom w:val="single" w:sz="6" w:space="0" w:color="000000"/>
              <w:right w:val="single" w:sz="6" w:space="0" w:color="000000"/>
            </w:tcBorders>
          </w:tcPr>
          <w:p w14:paraId="24D62763" w14:textId="77777777" w:rsidR="00245300" w:rsidRPr="00EC20A0" w:rsidRDefault="00F17249">
            <w:pPr>
              <w:pStyle w:val="TableParagraph"/>
              <w:spacing w:before="121"/>
              <w:ind w:left="555"/>
            </w:pPr>
            <w:r w:rsidRPr="00EC20A0">
              <w:t>4.</w:t>
            </w:r>
            <w:r w:rsidRPr="00EC20A0">
              <w:rPr>
                <w:spacing w:val="71"/>
                <w:w w:val="150"/>
              </w:rPr>
              <w:t xml:space="preserve"> </w:t>
            </w:r>
            <w:r w:rsidRPr="00EC20A0">
              <w:t>If</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of</w:t>
            </w:r>
            <w:r w:rsidRPr="00EC20A0">
              <w:rPr>
                <w:spacing w:val="-5"/>
              </w:rPr>
              <w:t xml:space="preserve"> </w:t>
            </w:r>
            <w:r w:rsidRPr="00EC20A0">
              <w:t>a</w:t>
            </w:r>
            <w:r w:rsidRPr="00EC20A0">
              <w:rPr>
                <w:spacing w:val="-4"/>
              </w:rPr>
              <w:t xml:space="preserve"> </w:t>
            </w:r>
            <w:r w:rsidRPr="00EC20A0">
              <w:t>prior</w:t>
            </w:r>
            <w:r w:rsidRPr="00EC20A0">
              <w:rPr>
                <w:spacing w:val="-4"/>
              </w:rPr>
              <w:t xml:space="preserve"> </w:t>
            </w:r>
            <w:r w:rsidRPr="00EC20A0">
              <w:t>period</w:t>
            </w:r>
            <w:r w:rsidRPr="00EC20A0">
              <w:rPr>
                <w:spacing w:val="-5"/>
              </w:rPr>
              <w:t xml:space="preserve"> </w:t>
            </w:r>
            <w:r w:rsidRPr="00EC20A0">
              <w:t>are</w:t>
            </w:r>
            <w:r w:rsidRPr="00EC20A0">
              <w:rPr>
                <w:spacing w:val="-4"/>
              </w:rPr>
              <w:t xml:space="preserve"> </w:t>
            </w:r>
            <w:r w:rsidRPr="00EC20A0">
              <w:t>presented</w:t>
            </w:r>
            <w:r w:rsidRPr="00EC20A0">
              <w:rPr>
                <w:spacing w:val="-5"/>
              </w:rPr>
              <w:t xml:space="preserve"> and</w:t>
            </w:r>
          </w:p>
          <w:p w14:paraId="24D62764" w14:textId="77777777" w:rsidR="00245300" w:rsidRPr="00EC20A0" w:rsidRDefault="00F17249">
            <w:pPr>
              <w:pStyle w:val="TableParagraph"/>
              <w:spacing w:line="252" w:lineRule="exact"/>
              <w:ind w:left="915" w:hanging="1"/>
            </w:pPr>
            <w:r w:rsidRPr="00EC20A0">
              <w:t>have</w:t>
            </w:r>
            <w:r w:rsidRPr="00EC20A0">
              <w:rPr>
                <w:spacing w:val="-4"/>
              </w:rPr>
              <w:t xml:space="preserve"> </w:t>
            </w:r>
            <w:r w:rsidRPr="00EC20A0">
              <w:t>been</w:t>
            </w:r>
            <w:r w:rsidRPr="00EC20A0">
              <w:rPr>
                <w:spacing w:val="-4"/>
              </w:rPr>
              <w:t xml:space="preserve"> </w:t>
            </w:r>
            <w:r w:rsidRPr="00EC20A0">
              <w:t>audited</w:t>
            </w:r>
            <w:r w:rsidRPr="00EC20A0">
              <w:rPr>
                <w:spacing w:val="-4"/>
              </w:rPr>
              <w:t xml:space="preserve"> </w:t>
            </w:r>
            <w:r w:rsidRPr="00EC20A0">
              <w:t>by</w:t>
            </w:r>
            <w:r w:rsidRPr="00EC20A0">
              <w:rPr>
                <w:spacing w:val="-4"/>
              </w:rPr>
              <w:t xml:space="preserve"> </w:t>
            </w:r>
            <w:r w:rsidRPr="00EC20A0">
              <w:t>a</w:t>
            </w:r>
            <w:r w:rsidRPr="00EC20A0">
              <w:rPr>
                <w:spacing w:val="-5"/>
              </w:rPr>
              <w:t xml:space="preserve"> </w:t>
            </w:r>
            <w:r w:rsidRPr="00EC20A0">
              <w:t>predecessor</w:t>
            </w:r>
            <w:r w:rsidRPr="00EC20A0">
              <w:rPr>
                <w:spacing w:val="-5"/>
              </w:rPr>
              <w:t xml:space="preserve"> </w:t>
            </w:r>
            <w:r w:rsidRPr="00EC20A0">
              <w:t>auditor</w:t>
            </w:r>
            <w:r w:rsidRPr="00EC20A0">
              <w:rPr>
                <w:spacing w:val="-4"/>
              </w:rPr>
              <w:t xml:space="preserve"> </w:t>
            </w:r>
            <w:r w:rsidRPr="00EC20A0">
              <w:t>whose</w:t>
            </w:r>
            <w:r w:rsidRPr="00EC20A0">
              <w:rPr>
                <w:spacing w:val="-4"/>
              </w:rPr>
              <w:t xml:space="preserve"> </w:t>
            </w:r>
            <w:r w:rsidRPr="00EC20A0">
              <w:t>report</w:t>
            </w:r>
            <w:r w:rsidRPr="00EC20A0">
              <w:rPr>
                <w:spacing w:val="-4"/>
              </w:rPr>
              <w:t xml:space="preserve"> </w:t>
            </w:r>
            <w:r w:rsidRPr="00EC20A0">
              <w:t>is</w:t>
            </w:r>
            <w:r w:rsidRPr="00EC20A0">
              <w:rPr>
                <w:spacing w:val="-5"/>
              </w:rPr>
              <w:t xml:space="preserve"> </w:t>
            </w:r>
            <w:r w:rsidRPr="00EC20A0">
              <w:t>not presented, does the auditor’s report refer to the predecessor</w:t>
            </w:r>
          </w:p>
        </w:tc>
        <w:tc>
          <w:tcPr>
            <w:tcW w:w="810" w:type="dxa"/>
            <w:tcBorders>
              <w:top w:val="single" w:sz="6" w:space="0" w:color="000000"/>
              <w:left w:val="single" w:sz="6" w:space="0" w:color="000000"/>
              <w:bottom w:val="single" w:sz="6" w:space="0" w:color="000000"/>
              <w:right w:val="single" w:sz="6" w:space="0" w:color="000000"/>
            </w:tcBorders>
          </w:tcPr>
          <w:p w14:paraId="24D62765"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66" w14:textId="77777777" w:rsidR="00245300" w:rsidRPr="00EC20A0" w:rsidRDefault="00245300">
            <w:pPr>
              <w:pStyle w:val="TableParagraph"/>
            </w:pPr>
          </w:p>
        </w:tc>
      </w:tr>
    </w:tbl>
    <w:p w14:paraId="24D62768" w14:textId="77777777" w:rsidR="00245300" w:rsidRPr="00EC20A0" w:rsidRDefault="00245300">
      <w:pPr>
        <w:sectPr w:rsidR="00245300" w:rsidRPr="00EC20A0">
          <w:pgSz w:w="12240" w:h="15840"/>
          <w:pgMar w:top="1340" w:right="460" w:bottom="940" w:left="560" w:header="721" w:footer="757" w:gutter="0"/>
          <w:cols w:space="720"/>
        </w:sectPr>
      </w:pPr>
    </w:p>
    <w:p w14:paraId="24D62769"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245300" w:rsidRPr="00EC20A0" w14:paraId="24D62771" w14:textId="77777777">
        <w:trPr>
          <w:trHeight w:val="998"/>
        </w:trPr>
        <w:tc>
          <w:tcPr>
            <w:tcW w:w="7380" w:type="dxa"/>
            <w:tcBorders>
              <w:right w:val="single" w:sz="8" w:space="0" w:color="000000"/>
            </w:tcBorders>
            <w:shd w:val="clear" w:color="auto" w:fill="A6A6A6"/>
          </w:tcPr>
          <w:p w14:paraId="24D6276A" w14:textId="77777777" w:rsidR="00245300" w:rsidRPr="00EC20A0" w:rsidRDefault="00245300">
            <w:pPr>
              <w:pStyle w:val="TableParagraph"/>
              <w:rPr>
                <w:b/>
                <w:sz w:val="24"/>
              </w:rPr>
            </w:pPr>
          </w:p>
          <w:p w14:paraId="24D6276B" w14:textId="77777777" w:rsidR="00245300" w:rsidRPr="00EC20A0" w:rsidRDefault="00245300">
            <w:pPr>
              <w:pStyle w:val="TableParagraph"/>
              <w:spacing w:before="72"/>
              <w:rPr>
                <w:b/>
                <w:sz w:val="24"/>
              </w:rPr>
            </w:pPr>
          </w:p>
          <w:p w14:paraId="24D6276C" w14:textId="77777777" w:rsidR="00245300" w:rsidRPr="00EC20A0" w:rsidRDefault="00F17249">
            <w:pPr>
              <w:pStyle w:val="TableParagraph"/>
              <w:spacing w:before="1"/>
              <w:ind w:left="123"/>
              <w:rPr>
                <w:b/>
                <w:sz w:val="24"/>
              </w:rPr>
            </w:pPr>
            <w:r w:rsidRPr="00EC20A0">
              <w:rPr>
                <w:b/>
                <w:sz w:val="24"/>
              </w:rPr>
              <w:t>Section</w:t>
            </w:r>
            <w:r w:rsidRPr="00EC20A0">
              <w:rPr>
                <w:b/>
                <w:spacing w:val="-4"/>
                <w:sz w:val="24"/>
              </w:rPr>
              <w:t xml:space="preserve"> </w:t>
            </w:r>
            <w:r w:rsidRPr="00EC20A0">
              <w:rPr>
                <w:b/>
                <w:sz w:val="24"/>
              </w:rPr>
              <w:t>IV:</w:t>
            </w:r>
            <w:r w:rsidRPr="00EC20A0">
              <w:rPr>
                <w:b/>
                <w:spacing w:val="-4"/>
                <w:sz w:val="24"/>
              </w:rPr>
              <w:t xml:space="preserve"> </w:t>
            </w:r>
            <w:r w:rsidRPr="00EC20A0">
              <w:rPr>
                <w:b/>
                <w:sz w:val="24"/>
              </w:rPr>
              <w:t>Communicating</w:t>
            </w:r>
            <w:r w:rsidRPr="00EC20A0">
              <w:rPr>
                <w:b/>
                <w:spacing w:val="-4"/>
                <w:sz w:val="24"/>
              </w:rPr>
              <w:t xml:space="preserve"> </w:t>
            </w:r>
            <w:r w:rsidRPr="00EC20A0">
              <w:rPr>
                <w:b/>
                <w:sz w:val="24"/>
              </w:rPr>
              <w:t>and</w:t>
            </w:r>
            <w:r w:rsidRPr="00EC20A0">
              <w:rPr>
                <w:b/>
                <w:spacing w:val="-4"/>
                <w:sz w:val="24"/>
              </w:rPr>
              <w:t xml:space="preserve"> </w:t>
            </w:r>
            <w:r w:rsidRPr="00EC20A0">
              <w:rPr>
                <w:b/>
                <w:sz w:val="24"/>
              </w:rPr>
              <w:t>Reporting</w:t>
            </w:r>
            <w:r w:rsidRPr="00EC20A0">
              <w:rPr>
                <w:b/>
                <w:spacing w:val="-3"/>
                <w:sz w:val="24"/>
              </w:rPr>
              <w:t xml:space="preserve"> </w:t>
            </w:r>
            <w:r w:rsidRPr="00EC20A0">
              <w:rPr>
                <w:b/>
                <w:spacing w:val="-2"/>
                <w:sz w:val="24"/>
              </w:rPr>
              <w:t>Results</w:t>
            </w:r>
          </w:p>
        </w:tc>
        <w:tc>
          <w:tcPr>
            <w:tcW w:w="810" w:type="dxa"/>
            <w:tcBorders>
              <w:left w:val="single" w:sz="8" w:space="0" w:color="000000"/>
              <w:right w:val="single" w:sz="8" w:space="0" w:color="000000"/>
            </w:tcBorders>
            <w:shd w:val="clear" w:color="auto" w:fill="A6A6A6"/>
          </w:tcPr>
          <w:p w14:paraId="24D6276D" w14:textId="77777777" w:rsidR="00245300" w:rsidRPr="00EC20A0" w:rsidRDefault="00F17249">
            <w:pPr>
              <w:pStyle w:val="TableParagraph"/>
              <w:spacing w:before="120"/>
              <w:ind w:left="136" w:right="199"/>
              <w:jc w:val="both"/>
              <w:rPr>
                <w:b/>
              </w:rPr>
            </w:pPr>
            <w:r w:rsidRPr="00EC20A0">
              <w:rPr>
                <w:b/>
                <w:spacing w:val="-4"/>
              </w:rPr>
              <w:t>Yes, No,* N/A</w:t>
            </w:r>
          </w:p>
        </w:tc>
        <w:tc>
          <w:tcPr>
            <w:tcW w:w="1350" w:type="dxa"/>
            <w:tcBorders>
              <w:left w:val="single" w:sz="8" w:space="0" w:color="000000"/>
            </w:tcBorders>
            <w:shd w:val="clear" w:color="auto" w:fill="A6A6A6"/>
          </w:tcPr>
          <w:p w14:paraId="24D6276E" w14:textId="77777777" w:rsidR="00245300" w:rsidRPr="00EC20A0" w:rsidRDefault="00245300">
            <w:pPr>
              <w:pStyle w:val="TableParagraph"/>
              <w:rPr>
                <w:b/>
              </w:rPr>
            </w:pPr>
          </w:p>
          <w:p w14:paraId="24D6276F" w14:textId="77777777" w:rsidR="00245300" w:rsidRPr="00EC20A0" w:rsidRDefault="00245300">
            <w:pPr>
              <w:pStyle w:val="TableParagraph"/>
              <w:spacing w:before="120"/>
              <w:rPr>
                <w:b/>
              </w:rPr>
            </w:pPr>
          </w:p>
          <w:p w14:paraId="24D62770"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775" w14:textId="77777777">
        <w:trPr>
          <w:trHeight w:val="373"/>
        </w:trPr>
        <w:tc>
          <w:tcPr>
            <w:tcW w:w="7380" w:type="dxa"/>
            <w:tcBorders>
              <w:bottom w:val="single" w:sz="6" w:space="0" w:color="000000"/>
              <w:right w:val="single" w:sz="6" w:space="0" w:color="000000"/>
            </w:tcBorders>
          </w:tcPr>
          <w:p w14:paraId="24D62772" w14:textId="77777777" w:rsidR="00245300" w:rsidRPr="00EC20A0" w:rsidRDefault="00F17249">
            <w:pPr>
              <w:pStyle w:val="TableParagraph"/>
              <w:ind w:left="915"/>
            </w:pPr>
            <w:r w:rsidRPr="00EC20A0">
              <w:t>auditor’s</w:t>
            </w:r>
            <w:r w:rsidRPr="00EC20A0">
              <w:rPr>
                <w:spacing w:val="-8"/>
              </w:rPr>
              <w:t xml:space="preserve"> </w:t>
            </w:r>
            <w:r w:rsidRPr="00EC20A0">
              <w:t>report?</w:t>
            </w:r>
            <w:r w:rsidRPr="00EC20A0">
              <w:rPr>
                <w:spacing w:val="-8"/>
              </w:rPr>
              <w:t xml:space="preserve"> </w:t>
            </w:r>
            <w:r w:rsidRPr="00EC20A0">
              <w:t>(FAM</w:t>
            </w:r>
            <w:r w:rsidRPr="00EC20A0">
              <w:rPr>
                <w:spacing w:val="-8"/>
              </w:rPr>
              <w:t xml:space="preserve"> </w:t>
            </w:r>
            <w:r w:rsidRPr="00EC20A0">
              <w:rPr>
                <w:spacing w:val="-4"/>
              </w:rPr>
              <w:t>580)</w:t>
            </w:r>
          </w:p>
        </w:tc>
        <w:tc>
          <w:tcPr>
            <w:tcW w:w="810" w:type="dxa"/>
            <w:tcBorders>
              <w:left w:val="single" w:sz="6" w:space="0" w:color="000000"/>
              <w:bottom w:val="single" w:sz="6" w:space="0" w:color="000000"/>
              <w:right w:val="single" w:sz="6" w:space="0" w:color="000000"/>
            </w:tcBorders>
          </w:tcPr>
          <w:p w14:paraId="24D62773" w14:textId="77777777" w:rsidR="00245300" w:rsidRPr="00EC20A0" w:rsidRDefault="00245300">
            <w:pPr>
              <w:pStyle w:val="TableParagraph"/>
            </w:pPr>
          </w:p>
        </w:tc>
        <w:tc>
          <w:tcPr>
            <w:tcW w:w="1350" w:type="dxa"/>
            <w:tcBorders>
              <w:left w:val="single" w:sz="6" w:space="0" w:color="000000"/>
              <w:bottom w:val="single" w:sz="6" w:space="0" w:color="000000"/>
            </w:tcBorders>
          </w:tcPr>
          <w:p w14:paraId="24D62774" w14:textId="77777777" w:rsidR="00245300" w:rsidRPr="00EC20A0" w:rsidRDefault="00245300">
            <w:pPr>
              <w:pStyle w:val="TableParagraph"/>
            </w:pPr>
          </w:p>
        </w:tc>
      </w:tr>
      <w:tr w:rsidR="00245300" w:rsidRPr="00EC20A0" w14:paraId="24D62779" w14:textId="77777777">
        <w:trPr>
          <w:trHeight w:val="745"/>
        </w:trPr>
        <w:tc>
          <w:tcPr>
            <w:tcW w:w="7380" w:type="dxa"/>
            <w:tcBorders>
              <w:top w:val="single" w:sz="6" w:space="0" w:color="000000"/>
              <w:bottom w:val="single" w:sz="6" w:space="0" w:color="000000"/>
              <w:right w:val="single" w:sz="6" w:space="0" w:color="000000"/>
            </w:tcBorders>
          </w:tcPr>
          <w:p w14:paraId="24D62776" w14:textId="77777777" w:rsidR="00245300" w:rsidRPr="00EC20A0" w:rsidRDefault="00F17249">
            <w:pPr>
              <w:pStyle w:val="TableParagraph"/>
              <w:spacing w:before="121"/>
              <w:ind w:left="915" w:hanging="360"/>
            </w:pPr>
            <w:r w:rsidRPr="00EC20A0">
              <w:t>5.</w:t>
            </w:r>
            <w:r w:rsidRPr="00EC20A0">
              <w:rPr>
                <w:spacing w:val="80"/>
              </w:rPr>
              <w:t xml:space="preserve"> </w:t>
            </w:r>
            <w:r w:rsidRPr="00EC20A0">
              <w:t>When</w:t>
            </w:r>
            <w:r w:rsidRPr="00EC20A0">
              <w:rPr>
                <w:spacing w:val="-4"/>
              </w:rPr>
              <w:t xml:space="preserve"> </w:t>
            </w:r>
            <w:r w:rsidRPr="00EC20A0">
              <w:t>illegal</w:t>
            </w:r>
            <w:r w:rsidRPr="00EC20A0">
              <w:rPr>
                <w:spacing w:val="-5"/>
              </w:rPr>
              <w:t xml:space="preserve"> </w:t>
            </w:r>
            <w:r w:rsidRPr="00EC20A0">
              <w:t>acts</w:t>
            </w:r>
            <w:r w:rsidRPr="00EC20A0">
              <w:rPr>
                <w:spacing w:val="-4"/>
              </w:rPr>
              <w:t xml:space="preserve"> </w:t>
            </w:r>
            <w:proofErr w:type="gramStart"/>
            <w:r w:rsidRPr="00EC20A0">
              <w:t>occurred</w:t>
            </w:r>
            <w:proofErr w:type="gramEnd"/>
            <w:r w:rsidRPr="00EC20A0">
              <w:rPr>
                <w:spacing w:val="-4"/>
              </w:rPr>
              <w:t xml:space="preserve"> </w:t>
            </w:r>
            <w:r w:rsidRPr="00EC20A0">
              <w:t>involving</w:t>
            </w:r>
            <w:r w:rsidRPr="00EC20A0">
              <w:rPr>
                <w:spacing w:val="-5"/>
              </w:rPr>
              <w:t xml:space="preserve"> </w:t>
            </w:r>
            <w:r w:rsidRPr="00EC20A0">
              <w:t>funds</w:t>
            </w:r>
            <w:r w:rsidRPr="00EC20A0">
              <w:rPr>
                <w:spacing w:val="-4"/>
              </w:rPr>
              <w:t xml:space="preserve"> </w:t>
            </w:r>
            <w:r w:rsidRPr="00EC20A0">
              <w:t>received</w:t>
            </w:r>
            <w:r w:rsidRPr="00EC20A0">
              <w:rPr>
                <w:spacing w:val="-4"/>
              </w:rPr>
              <w:t xml:space="preserve"> </w:t>
            </w:r>
            <w:r w:rsidRPr="00EC20A0">
              <w:t>from</w:t>
            </w:r>
            <w:r w:rsidRPr="00EC20A0">
              <w:rPr>
                <w:spacing w:val="-5"/>
              </w:rPr>
              <w:t xml:space="preserve"> </w:t>
            </w:r>
            <w:r w:rsidRPr="00EC20A0">
              <w:t>other governmental entities, did the auditor</w:t>
            </w:r>
          </w:p>
        </w:tc>
        <w:tc>
          <w:tcPr>
            <w:tcW w:w="810" w:type="dxa"/>
            <w:tcBorders>
              <w:top w:val="single" w:sz="6" w:space="0" w:color="000000"/>
              <w:left w:val="single" w:sz="6" w:space="0" w:color="000000"/>
              <w:bottom w:val="single" w:sz="6" w:space="0" w:color="000000"/>
              <w:right w:val="single" w:sz="6" w:space="0" w:color="000000"/>
            </w:tcBorders>
          </w:tcPr>
          <w:p w14:paraId="24D62777"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78" w14:textId="77777777" w:rsidR="00245300" w:rsidRPr="00EC20A0" w:rsidRDefault="00245300">
            <w:pPr>
              <w:pStyle w:val="TableParagraph"/>
            </w:pPr>
          </w:p>
        </w:tc>
      </w:tr>
      <w:tr w:rsidR="00245300" w:rsidRPr="00EC20A0" w14:paraId="24D6277D" w14:textId="77777777">
        <w:trPr>
          <w:trHeight w:val="745"/>
        </w:trPr>
        <w:tc>
          <w:tcPr>
            <w:tcW w:w="7380" w:type="dxa"/>
            <w:tcBorders>
              <w:top w:val="single" w:sz="6" w:space="0" w:color="000000"/>
              <w:bottom w:val="single" w:sz="6" w:space="0" w:color="000000"/>
              <w:right w:val="single" w:sz="6" w:space="0" w:color="000000"/>
            </w:tcBorders>
          </w:tcPr>
          <w:p w14:paraId="24D6277A" w14:textId="77777777" w:rsidR="00245300" w:rsidRPr="00EC20A0" w:rsidRDefault="00F17249">
            <w:pPr>
              <w:pStyle w:val="TableParagraph"/>
              <w:spacing w:before="121"/>
              <w:ind w:left="1334" w:right="350" w:hanging="360"/>
            </w:pPr>
            <w:r w:rsidRPr="00EC20A0">
              <w:t>a.</w:t>
            </w:r>
            <w:r w:rsidRPr="00EC20A0">
              <w:rPr>
                <w:spacing w:val="80"/>
              </w:rPr>
              <w:t xml:space="preserve"> </w:t>
            </w:r>
            <w:r w:rsidRPr="00EC20A0">
              <w:t>satisfy itself that the audited entity notified the proper officials</w:t>
            </w:r>
            <w:r w:rsidRPr="00EC20A0">
              <w:rPr>
                <w:spacing w:val="-5"/>
              </w:rPr>
              <w:t xml:space="preserve"> </w:t>
            </w:r>
            <w:r w:rsidRPr="00EC20A0">
              <w:t>of</w:t>
            </w:r>
            <w:r w:rsidRPr="00EC20A0">
              <w:rPr>
                <w:spacing w:val="-5"/>
              </w:rPr>
              <w:t xml:space="preserve"> </w:t>
            </w:r>
            <w:r w:rsidRPr="00EC20A0">
              <w:t>those</w:t>
            </w:r>
            <w:r w:rsidRPr="00EC20A0">
              <w:rPr>
                <w:spacing w:val="-5"/>
              </w:rPr>
              <w:t xml:space="preserve"> </w:t>
            </w:r>
            <w:r w:rsidRPr="00EC20A0">
              <w:t>entities</w:t>
            </w:r>
            <w:r w:rsidRPr="00EC20A0">
              <w:rPr>
                <w:spacing w:val="-6"/>
              </w:rPr>
              <w:t xml:space="preserve"> </w:t>
            </w:r>
            <w:r w:rsidRPr="00EC20A0">
              <w:t>within</w:t>
            </w:r>
            <w:r w:rsidRPr="00EC20A0">
              <w:rPr>
                <w:spacing w:val="-5"/>
              </w:rPr>
              <w:t xml:space="preserve"> </w:t>
            </w:r>
            <w:r w:rsidRPr="00EC20A0">
              <w:t>a</w:t>
            </w:r>
            <w:r w:rsidRPr="00EC20A0">
              <w:rPr>
                <w:spacing w:val="-5"/>
              </w:rPr>
              <w:t xml:space="preserve"> </w:t>
            </w:r>
            <w:r w:rsidRPr="00EC20A0">
              <w:t>reasonable</w:t>
            </w:r>
            <w:r w:rsidRPr="00EC20A0">
              <w:rPr>
                <w:spacing w:val="-5"/>
              </w:rPr>
              <w:t xml:space="preserve"> </w:t>
            </w:r>
            <w:r w:rsidRPr="00EC20A0">
              <w:t>time</w:t>
            </w:r>
            <w:r w:rsidRPr="00EC20A0">
              <w:rPr>
                <w:spacing w:val="-5"/>
              </w:rPr>
              <w:t xml:space="preserve"> </w:t>
            </w:r>
            <w:r w:rsidRPr="00EC20A0">
              <w:t>and</w:t>
            </w:r>
          </w:p>
        </w:tc>
        <w:tc>
          <w:tcPr>
            <w:tcW w:w="810" w:type="dxa"/>
            <w:tcBorders>
              <w:top w:val="single" w:sz="6" w:space="0" w:color="000000"/>
              <w:left w:val="single" w:sz="6" w:space="0" w:color="000000"/>
              <w:bottom w:val="single" w:sz="6" w:space="0" w:color="000000"/>
              <w:right w:val="single" w:sz="6" w:space="0" w:color="000000"/>
            </w:tcBorders>
          </w:tcPr>
          <w:p w14:paraId="24D6277B"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7C" w14:textId="77777777" w:rsidR="00245300" w:rsidRPr="00EC20A0" w:rsidRDefault="00245300">
            <w:pPr>
              <w:pStyle w:val="TableParagraph"/>
            </w:pPr>
          </w:p>
        </w:tc>
      </w:tr>
      <w:tr w:rsidR="00245300" w:rsidRPr="00EC20A0" w14:paraId="24D62781" w14:textId="77777777">
        <w:trPr>
          <w:trHeight w:val="999"/>
        </w:trPr>
        <w:tc>
          <w:tcPr>
            <w:tcW w:w="7380" w:type="dxa"/>
            <w:tcBorders>
              <w:top w:val="single" w:sz="6" w:space="0" w:color="000000"/>
              <w:bottom w:val="single" w:sz="6" w:space="0" w:color="000000"/>
              <w:right w:val="single" w:sz="6" w:space="0" w:color="000000"/>
            </w:tcBorders>
          </w:tcPr>
          <w:p w14:paraId="24D6277E" w14:textId="77777777" w:rsidR="00245300" w:rsidRPr="00EC20A0" w:rsidRDefault="00F17249">
            <w:pPr>
              <w:pStyle w:val="TableParagraph"/>
              <w:spacing w:before="121"/>
              <w:ind w:left="1334" w:hanging="361"/>
            </w:pPr>
            <w:r w:rsidRPr="00EC20A0">
              <w:t>b.</w:t>
            </w:r>
            <w:r w:rsidRPr="00EC20A0">
              <w:rPr>
                <w:spacing w:val="80"/>
              </w:rPr>
              <w:t xml:space="preserve"> </w:t>
            </w:r>
            <w:r w:rsidRPr="00EC20A0">
              <w:t>report</w:t>
            </w:r>
            <w:r w:rsidRPr="00EC20A0">
              <w:rPr>
                <w:spacing w:val="-3"/>
              </w:rPr>
              <w:t xml:space="preserve"> </w:t>
            </w:r>
            <w:r w:rsidRPr="00EC20A0">
              <w:t>these</w:t>
            </w:r>
            <w:r w:rsidRPr="00EC20A0">
              <w:rPr>
                <w:spacing w:val="-4"/>
              </w:rPr>
              <w:t xml:space="preserve"> </w:t>
            </w:r>
            <w:r w:rsidRPr="00EC20A0">
              <w:t>acts</w:t>
            </w:r>
            <w:r w:rsidRPr="00EC20A0">
              <w:rPr>
                <w:spacing w:val="-3"/>
              </w:rPr>
              <w:t xml:space="preserve"> </w:t>
            </w:r>
            <w:r w:rsidRPr="00EC20A0">
              <w:t>to</w:t>
            </w:r>
            <w:r w:rsidRPr="00EC20A0">
              <w:rPr>
                <w:spacing w:val="-3"/>
              </w:rPr>
              <w:t xml:space="preserve"> </w:t>
            </w:r>
            <w:r w:rsidRPr="00EC20A0">
              <w:t>the</w:t>
            </w:r>
            <w:r w:rsidRPr="00EC20A0">
              <w:rPr>
                <w:spacing w:val="-4"/>
              </w:rPr>
              <w:t xml:space="preserve"> </w:t>
            </w:r>
            <w:r w:rsidRPr="00EC20A0">
              <w:t>officials</w:t>
            </w:r>
            <w:r w:rsidRPr="00EC20A0">
              <w:rPr>
                <w:spacing w:val="-3"/>
              </w:rPr>
              <w:t xml:space="preserve"> </w:t>
            </w:r>
            <w:r w:rsidRPr="00EC20A0">
              <w:t>of</w:t>
            </w:r>
            <w:r w:rsidRPr="00EC20A0">
              <w:rPr>
                <w:spacing w:val="-3"/>
              </w:rPr>
              <w:t xml:space="preserve"> </w:t>
            </w:r>
            <w:r w:rsidRPr="00EC20A0">
              <w:t>those</w:t>
            </w:r>
            <w:r w:rsidRPr="00EC20A0">
              <w:rPr>
                <w:spacing w:val="-3"/>
              </w:rPr>
              <w:t xml:space="preserve"> </w:t>
            </w:r>
            <w:r w:rsidRPr="00EC20A0">
              <w:t>other</w:t>
            </w:r>
            <w:r w:rsidRPr="00EC20A0">
              <w:rPr>
                <w:spacing w:val="-3"/>
              </w:rPr>
              <w:t xml:space="preserve"> </w:t>
            </w:r>
            <w:r w:rsidRPr="00EC20A0">
              <w:t>governmental entities if the entity did not, or was unable to do so because the top official was involved? (GAGAS (2018) 6.53)</w:t>
            </w:r>
          </w:p>
        </w:tc>
        <w:tc>
          <w:tcPr>
            <w:tcW w:w="810" w:type="dxa"/>
            <w:tcBorders>
              <w:top w:val="single" w:sz="6" w:space="0" w:color="000000"/>
              <w:left w:val="single" w:sz="6" w:space="0" w:color="000000"/>
              <w:bottom w:val="single" w:sz="6" w:space="0" w:color="000000"/>
              <w:right w:val="single" w:sz="6" w:space="0" w:color="000000"/>
            </w:tcBorders>
          </w:tcPr>
          <w:p w14:paraId="24D6277F"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80" w14:textId="77777777" w:rsidR="00245300" w:rsidRPr="00EC20A0" w:rsidRDefault="00245300">
            <w:pPr>
              <w:pStyle w:val="TableParagraph"/>
            </w:pPr>
          </w:p>
        </w:tc>
      </w:tr>
      <w:tr w:rsidR="00245300" w:rsidRPr="00EC20A0" w14:paraId="24D62785" w14:textId="77777777">
        <w:trPr>
          <w:trHeight w:val="493"/>
        </w:trPr>
        <w:tc>
          <w:tcPr>
            <w:tcW w:w="7380" w:type="dxa"/>
            <w:tcBorders>
              <w:top w:val="single" w:sz="6" w:space="0" w:color="000000"/>
              <w:bottom w:val="single" w:sz="6" w:space="0" w:color="000000"/>
              <w:right w:val="single" w:sz="6" w:space="0" w:color="000000"/>
            </w:tcBorders>
          </w:tcPr>
          <w:p w14:paraId="24D62782" w14:textId="77777777" w:rsidR="00245300" w:rsidRPr="00EC20A0" w:rsidRDefault="00F17249">
            <w:pPr>
              <w:pStyle w:val="TableParagraph"/>
              <w:spacing w:before="121"/>
              <w:ind w:left="555"/>
            </w:pPr>
            <w:r w:rsidRPr="00EC20A0">
              <w:t>6.</w:t>
            </w:r>
            <w:r w:rsidRPr="00EC20A0">
              <w:rPr>
                <w:spacing w:val="73"/>
                <w:w w:val="150"/>
              </w:rPr>
              <w:t xml:space="preserve"> </w:t>
            </w:r>
            <w:r w:rsidRPr="00EC20A0">
              <w:t>Does</w:t>
            </w:r>
            <w:r w:rsidRPr="00EC20A0">
              <w:rPr>
                <w:spacing w:val="-3"/>
              </w:rPr>
              <w:t xml:space="preserve"> </w:t>
            </w:r>
            <w:r w:rsidRPr="00EC20A0">
              <w:t>the</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rPr>
                <w:spacing w:val="-2"/>
              </w:rPr>
              <w:t>include</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783"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784" w14:textId="77777777" w:rsidR="00245300" w:rsidRPr="00EC20A0" w:rsidRDefault="00245300">
            <w:pPr>
              <w:pStyle w:val="TableParagraph"/>
            </w:pPr>
          </w:p>
        </w:tc>
      </w:tr>
      <w:tr w:rsidR="00245300" w:rsidRPr="00EC20A0" w14:paraId="24D62789" w14:textId="77777777">
        <w:trPr>
          <w:trHeight w:val="745"/>
        </w:trPr>
        <w:tc>
          <w:tcPr>
            <w:tcW w:w="7380" w:type="dxa"/>
            <w:tcBorders>
              <w:top w:val="single" w:sz="6" w:space="0" w:color="000000"/>
              <w:bottom w:val="single" w:sz="6" w:space="0" w:color="000000"/>
              <w:right w:val="single" w:sz="6" w:space="0" w:color="000000"/>
            </w:tcBorders>
          </w:tcPr>
          <w:p w14:paraId="24D62786" w14:textId="77777777" w:rsidR="00245300" w:rsidRPr="00EC20A0" w:rsidRDefault="00F17249">
            <w:pPr>
              <w:pStyle w:val="TableParagraph"/>
              <w:tabs>
                <w:tab w:val="left" w:pos="1334"/>
              </w:tabs>
              <w:spacing w:before="119"/>
              <w:ind w:left="1303" w:right="1024" w:hanging="361"/>
            </w:pPr>
            <w:r w:rsidRPr="00EC20A0">
              <w:rPr>
                <w:spacing w:val="-6"/>
              </w:rPr>
              <w:t>a.</w:t>
            </w:r>
            <w:r w:rsidRPr="00EC20A0">
              <w:tab/>
            </w:r>
            <w:r w:rsidRPr="00EC20A0">
              <w:tab/>
            </w:r>
            <w:r w:rsidRPr="00EC20A0">
              <w:t>identification</w:t>
            </w:r>
            <w:r w:rsidRPr="00EC20A0">
              <w:rPr>
                <w:spacing w:val="-9"/>
              </w:rPr>
              <w:t xml:space="preserve"> </w:t>
            </w:r>
            <w:r w:rsidRPr="00EC20A0">
              <w:t>of</w:t>
            </w:r>
            <w:r w:rsidRPr="00EC20A0">
              <w:rPr>
                <w:spacing w:val="-8"/>
              </w:rPr>
              <w:t xml:space="preserve"> </w:t>
            </w:r>
            <w:r w:rsidRPr="00EC20A0">
              <w:t>significant</w:t>
            </w:r>
            <w:r w:rsidRPr="00EC20A0">
              <w:rPr>
                <w:spacing w:val="-8"/>
              </w:rPr>
              <w:t xml:space="preserve"> </w:t>
            </w:r>
            <w:r w:rsidRPr="00EC20A0">
              <w:t>deficiencies</w:t>
            </w:r>
            <w:r w:rsidRPr="00EC20A0">
              <w:rPr>
                <w:spacing w:val="-8"/>
              </w:rPr>
              <w:t xml:space="preserve"> </w:t>
            </w:r>
            <w:r w:rsidRPr="00EC20A0">
              <w:t>and</w:t>
            </w:r>
            <w:r w:rsidRPr="00EC20A0">
              <w:rPr>
                <w:spacing w:val="-8"/>
              </w:rPr>
              <w:t xml:space="preserve"> </w:t>
            </w:r>
            <w:r w:rsidRPr="00EC20A0">
              <w:t>material weaknesses (GAGAS (2018) 6.40);</w:t>
            </w:r>
          </w:p>
        </w:tc>
        <w:tc>
          <w:tcPr>
            <w:tcW w:w="810" w:type="dxa"/>
            <w:tcBorders>
              <w:top w:val="single" w:sz="6" w:space="0" w:color="000000"/>
              <w:left w:val="single" w:sz="6" w:space="0" w:color="000000"/>
              <w:bottom w:val="single" w:sz="6" w:space="0" w:color="000000"/>
              <w:right w:val="single" w:sz="6" w:space="0" w:color="000000"/>
            </w:tcBorders>
          </w:tcPr>
          <w:p w14:paraId="24D62787"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88" w14:textId="77777777" w:rsidR="00245300" w:rsidRPr="00EC20A0" w:rsidRDefault="00245300">
            <w:pPr>
              <w:pStyle w:val="TableParagraph"/>
            </w:pPr>
          </w:p>
        </w:tc>
      </w:tr>
      <w:tr w:rsidR="00245300" w:rsidRPr="00EC20A0" w14:paraId="24D6278D" w14:textId="77777777">
        <w:trPr>
          <w:trHeight w:val="1504"/>
        </w:trPr>
        <w:tc>
          <w:tcPr>
            <w:tcW w:w="7380" w:type="dxa"/>
            <w:tcBorders>
              <w:top w:val="single" w:sz="6" w:space="0" w:color="000000"/>
              <w:bottom w:val="single" w:sz="6" w:space="0" w:color="000000"/>
              <w:right w:val="single" w:sz="6" w:space="0" w:color="000000"/>
            </w:tcBorders>
          </w:tcPr>
          <w:p w14:paraId="24D6278A" w14:textId="77777777" w:rsidR="00245300" w:rsidRPr="00EC20A0" w:rsidRDefault="00F17249">
            <w:pPr>
              <w:pStyle w:val="TableParagraph"/>
              <w:spacing w:before="119"/>
              <w:ind w:left="1303" w:right="161" w:hanging="360"/>
            </w:pPr>
            <w:r w:rsidRPr="00EC20A0">
              <w:t>b.</w:t>
            </w:r>
            <w:r w:rsidRPr="00EC20A0">
              <w:rPr>
                <w:spacing w:val="80"/>
              </w:rPr>
              <w:t xml:space="preserve"> </w:t>
            </w:r>
            <w:r w:rsidRPr="00EC20A0">
              <w:t>[for</w:t>
            </w:r>
            <w:r w:rsidRPr="00EC20A0">
              <w:rPr>
                <w:spacing w:val="-4"/>
              </w:rPr>
              <w:t xml:space="preserve"> </w:t>
            </w:r>
            <w:r w:rsidRPr="00EC20A0">
              <w:t>audits</w:t>
            </w:r>
            <w:r w:rsidRPr="00EC20A0">
              <w:rPr>
                <w:spacing w:val="-4"/>
              </w:rPr>
              <w:t xml:space="preserve"> </w:t>
            </w:r>
            <w:r w:rsidRPr="00EC20A0">
              <w:t>where</w:t>
            </w:r>
            <w:r w:rsidRPr="00EC20A0">
              <w:rPr>
                <w:spacing w:val="-4"/>
              </w:rPr>
              <w:t xml:space="preserve"> </w:t>
            </w:r>
            <w:r w:rsidRPr="00EC20A0">
              <w:t>no</w:t>
            </w:r>
            <w:r w:rsidRPr="00EC20A0">
              <w:rPr>
                <w:spacing w:val="-4"/>
              </w:rPr>
              <w:t xml:space="preserve"> </w:t>
            </w:r>
            <w:r w:rsidRPr="00EC20A0">
              <w:t>opinion</w:t>
            </w:r>
            <w:r w:rsidRPr="00EC20A0">
              <w:rPr>
                <w:spacing w:val="-4"/>
              </w:rPr>
              <w:t xml:space="preserve"> </w:t>
            </w:r>
            <w:r w:rsidRPr="00EC20A0">
              <w:t>on</w:t>
            </w:r>
            <w:r w:rsidRPr="00EC20A0">
              <w:rPr>
                <w:spacing w:val="-4"/>
              </w:rPr>
              <w:t xml:space="preserve"> </w:t>
            </w:r>
            <w:r w:rsidRPr="00EC20A0">
              <w:t>internal</w:t>
            </w:r>
            <w:r w:rsidRPr="00EC20A0">
              <w:rPr>
                <w:spacing w:val="-4"/>
              </w:rPr>
              <w:t xml:space="preserve"> </w:t>
            </w:r>
            <w:r w:rsidRPr="00EC20A0">
              <w:t>control</w:t>
            </w:r>
            <w:r w:rsidRPr="00EC20A0">
              <w:rPr>
                <w:spacing w:val="-4"/>
              </w:rPr>
              <w:t xml:space="preserve"> </w:t>
            </w:r>
            <w:r w:rsidRPr="00EC20A0">
              <w:t>over</w:t>
            </w:r>
            <w:r w:rsidRPr="00EC20A0">
              <w:rPr>
                <w:spacing w:val="-4"/>
              </w:rPr>
              <w:t xml:space="preserve"> </w:t>
            </w:r>
            <w:r w:rsidRPr="00EC20A0">
              <w:t xml:space="preserve">financial reporting is expressed] a statement that the auditor did not identify any deficiencies in </w:t>
            </w:r>
            <w:r w:rsidRPr="00EC20A0">
              <w:t>internal control over financial reporting</w:t>
            </w:r>
            <w:r w:rsidRPr="00EC20A0">
              <w:rPr>
                <w:spacing w:val="-5"/>
              </w:rPr>
              <w:t xml:space="preserve"> </w:t>
            </w:r>
            <w:r w:rsidRPr="00EC20A0">
              <w:t>that</w:t>
            </w:r>
            <w:r w:rsidRPr="00EC20A0">
              <w:rPr>
                <w:spacing w:val="-5"/>
              </w:rPr>
              <w:t xml:space="preserve"> </w:t>
            </w:r>
            <w:r w:rsidRPr="00EC20A0">
              <w:t>were</w:t>
            </w:r>
            <w:r w:rsidRPr="00EC20A0">
              <w:rPr>
                <w:spacing w:val="-5"/>
              </w:rPr>
              <w:t xml:space="preserve"> </w:t>
            </w:r>
            <w:r w:rsidRPr="00EC20A0">
              <w:t>considered</w:t>
            </w:r>
            <w:r w:rsidRPr="00EC20A0">
              <w:rPr>
                <w:spacing w:val="-5"/>
              </w:rPr>
              <w:t xml:space="preserve"> </w:t>
            </w:r>
            <w:r w:rsidRPr="00EC20A0">
              <w:t>to</w:t>
            </w:r>
            <w:r w:rsidRPr="00EC20A0">
              <w:rPr>
                <w:spacing w:val="-5"/>
              </w:rPr>
              <w:t xml:space="preserve"> </w:t>
            </w:r>
            <w:r w:rsidRPr="00EC20A0">
              <w:t>be</w:t>
            </w:r>
            <w:r w:rsidRPr="00EC20A0">
              <w:rPr>
                <w:spacing w:val="-5"/>
              </w:rPr>
              <w:t xml:space="preserve"> </w:t>
            </w:r>
            <w:r w:rsidRPr="00EC20A0">
              <w:t>material</w:t>
            </w:r>
            <w:r w:rsidRPr="00EC20A0">
              <w:rPr>
                <w:spacing w:val="-5"/>
              </w:rPr>
              <w:t xml:space="preserve"> </w:t>
            </w:r>
            <w:r w:rsidRPr="00EC20A0">
              <w:t>weaknesses,</w:t>
            </w:r>
            <w:r w:rsidRPr="00EC20A0">
              <w:rPr>
                <w:spacing w:val="-5"/>
              </w:rPr>
              <w:t xml:space="preserve"> </w:t>
            </w:r>
            <w:r w:rsidRPr="00EC20A0">
              <w:t>if such were true (OMB audit guidance); and</w:t>
            </w:r>
          </w:p>
        </w:tc>
        <w:tc>
          <w:tcPr>
            <w:tcW w:w="810" w:type="dxa"/>
            <w:tcBorders>
              <w:top w:val="single" w:sz="6" w:space="0" w:color="000000"/>
              <w:left w:val="single" w:sz="6" w:space="0" w:color="000000"/>
              <w:bottom w:val="single" w:sz="6" w:space="0" w:color="000000"/>
              <w:right w:val="single" w:sz="6" w:space="0" w:color="000000"/>
            </w:tcBorders>
          </w:tcPr>
          <w:p w14:paraId="24D6278B"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8C" w14:textId="77777777" w:rsidR="00245300" w:rsidRPr="00EC20A0" w:rsidRDefault="00245300">
            <w:pPr>
              <w:pStyle w:val="TableParagraph"/>
            </w:pPr>
          </w:p>
        </w:tc>
      </w:tr>
      <w:tr w:rsidR="00245300" w:rsidRPr="00EC20A0" w14:paraId="24D62791" w14:textId="77777777">
        <w:trPr>
          <w:trHeight w:val="1252"/>
        </w:trPr>
        <w:tc>
          <w:tcPr>
            <w:tcW w:w="7380" w:type="dxa"/>
            <w:tcBorders>
              <w:top w:val="single" w:sz="6" w:space="0" w:color="000000"/>
              <w:bottom w:val="single" w:sz="6" w:space="0" w:color="000000"/>
              <w:right w:val="single" w:sz="6" w:space="0" w:color="000000"/>
            </w:tcBorders>
          </w:tcPr>
          <w:p w14:paraId="24D6278E" w14:textId="77777777" w:rsidR="00245300" w:rsidRPr="00EC20A0" w:rsidRDefault="00F17249">
            <w:pPr>
              <w:pStyle w:val="TableParagraph"/>
              <w:spacing w:before="121"/>
              <w:ind w:left="1303" w:hanging="360"/>
            </w:pPr>
            <w:r w:rsidRPr="00EC20A0">
              <w:t>c.</w:t>
            </w:r>
            <w:r w:rsidRPr="00EC20A0">
              <w:rPr>
                <w:spacing w:val="80"/>
              </w:rPr>
              <w:t xml:space="preserve"> </w:t>
            </w:r>
            <w:r w:rsidRPr="00EC20A0">
              <w:t>presentation</w:t>
            </w:r>
            <w:r w:rsidRPr="00EC20A0">
              <w:rPr>
                <w:spacing w:val="-4"/>
              </w:rPr>
              <w:t xml:space="preserve"> </w:t>
            </w:r>
            <w:r w:rsidRPr="00EC20A0">
              <w:t>of</w:t>
            </w:r>
            <w:r w:rsidRPr="00EC20A0">
              <w:rPr>
                <w:spacing w:val="-3"/>
              </w:rPr>
              <w:t xml:space="preserve"> </w:t>
            </w:r>
            <w:r w:rsidRPr="00EC20A0">
              <w:t>all</w:t>
            </w:r>
            <w:r w:rsidRPr="00EC20A0">
              <w:rPr>
                <w:spacing w:val="-3"/>
              </w:rPr>
              <w:t xml:space="preserve"> </w:t>
            </w:r>
            <w:r w:rsidRPr="00EC20A0">
              <w:t>identified</w:t>
            </w:r>
            <w:r w:rsidRPr="00EC20A0">
              <w:rPr>
                <w:spacing w:val="-3"/>
              </w:rPr>
              <w:t xml:space="preserve"> </w:t>
            </w:r>
            <w:r w:rsidRPr="00EC20A0">
              <w:t>(1)</w:t>
            </w:r>
            <w:r w:rsidRPr="00EC20A0">
              <w:rPr>
                <w:spacing w:val="-3"/>
              </w:rPr>
              <w:t xml:space="preserve"> </w:t>
            </w:r>
            <w:r w:rsidRPr="00EC20A0">
              <w:t>instances</w:t>
            </w:r>
            <w:r w:rsidRPr="00EC20A0">
              <w:rPr>
                <w:spacing w:val="-3"/>
              </w:rPr>
              <w:t xml:space="preserve"> </w:t>
            </w:r>
            <w:r w:rsidRPr="00EC20A0">
              <w:t>of</w:t>
            </w:r>
            <w:r w:rsidRPr="00EC20A0">
              <w:rPr>
                <w:spacing w:val="-3"/>
              </w:rPr>
              <w:t xml:space="preserve"> </w:t>
            </w:r>
            <w:r w:rsidRPr="00EC20A0">
              <w:t>fraud</w:t>
            </w:r>
            <w:r w:rsidRPr="00EC20A0">
              <w:rPr>
                <w:spacing w:val="-4"/>
              </w:rPr>
              <w:t xml:space="preserve"> </w:t>
            </w:r>
            <w:r w:rsidRPr="00EC20A0">
              <w:t>and</w:t>
            </w:r>
            <w:r w:rsidRPr="00EC20A0">
              <w:rPr>
                <w:spacing w:val="-3"/>
              </w:rPr>
              <w:t xml:space="preserve"> </w:t>
            </w:r>
            <w:r w:rsidRPr="00EC20A0">
              <w:t xml:space="preserve">illegal acts that are more than </w:t>
            </w:r>
            <w:r w:rsidRPr="00EC20A0">
              <w:t>inconsequential and (2) material violations of provisions of contracts or grant agreements? (GAGAS (2018) 6.41)</w:t>
            </w:r>
          </w:p>
        </w:tc>
        <w:tc>
          <w:tcPr>
            <w:tcW w:w="810" w:type="dxa"/>
            <w:tcBorders>
              <w:top w:val="single" w:sz="6" w:space="0" w:color="000000"/>
              <w:left w:val="single" w:sz="6" w:space="0" w:color="000000"/>
              <w:bottom w:val="single" w:sz="6" w:space="0" w:color="000000"/>
              <w:right w:val="single" w:sz="6" w:space="0" w:color="000000"/>
            </w:tcBorders>
          </w:tcPr>
          <w:p w14:paraId="24D6278F"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90" w14:textId="77777777" w:rsidR="00245300" w:rsidRPr="00EC20A0" w:rsidRDefault="00245300">
            <w:pPr>
              <w:pStyle w:val="TableParagraph"/>
            </w:pPr>
          </w:p>
        </w:tc>
      </w:tr>
      <w:tr w:rsidR="00245300" w:rsidRPr="00EC20A0" w14:paraId="24D62795" w14:textId="77777777">
        <w:trPr>
          <w:trHeight w:val="998"/>
        </w:trPr>
        <w:tc>
          <w:tcPr>
            <w:tcW w:w="7380" w:type="dxa"/>
            <w:tcBorders>
              <w:top w:val="single" w:sz="6" w:space="0" w:color="000000"/>
              <w:bottom w:val="single" w:sz="6" w:space="0" w:color="000000"/>
              <w:right w:val="single" w:sz="6" w:space="0" w:color="000000"/>
            </w:tcBorders>
          </w:tcPr>
          <w:p w14:paraId="24D62792" w14:textId="77777777" w:rsidR="00245300" w:rsidRPr="00EC20A0" w:rsidRDefault="00F17249">
            <w:pPr>
              <w:pStyle w:val="TableParagraph"/>
              <w:spacing w:before="121"/>
              <w:ind w:left="915" w:right="197" w:hanging="360"/>
            </w:pPr>
            <w:r w:rsidRPr="00EC20A0">
              <w:t>7.</w:t>
            </w:r>
            <w:r w:rsidRPr="00EC20A0">
              <w:rPr>
                <w:spacing w:val="80"/>
              </w:rPr>
              <w:t xml:space="preserve"> </w:t>
            </w:r>
            <w:r w:rsidRPr="00EC20A0">
              <w:t>When</w:t>
            </w:r>
            <w:r w:rsidRPr="00EC20A0">
              <w:rPr>
                <w:spacing w:val="-4"/>
              </w:rPr>
              <w:t xml:space="preserve"> </w:t>
            </w:r>
            <w:r w:rsidRPr="00EC20A0">
              <w:t>appropriate,</w:t>
            </w:r>
            <w:r w:rsidRPr="00EC20A0">
              <w:rPr>
                <w:spacing w:val="-4"/>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report</w:t>
            </w:r>
            <w:r w:rsidRPr="00EC20A0">
              <w:rPr>
                <w:spacing w:val="-4"/>
              </w:rPr>
              <w:t xml:space="preserve"> </w:t>
            </w:r>
            <w:r w:rsidRPr="00EC20A0">
              <w:t>directly</w:t>
            </w:r>
            <w:r w:rsidRPr="00EC20A0">
              <w:rPr>
                <w:spacing w:val="-6"/>
              </w:rPr>
              <w:t xml:space="preserve"> </w:t>
            </w:r>
            <w:r w:rsidRPr="00EC20A0">
              <w:t>to</w:t>
            </w:r>
            <w:r w:rsidRPr="00EC20A0">
              <w:rPr>
                <w:spacing w:val="-4"/>
              </w:rPr>
              <w:t xml:space="preserve"> </w:t>
            </w:r>
            <w:r w:rsidRPr="00EC20A0">
              <w:t xml:space="preserve">outside parties on fraud, illegal acts, or violations of provisions of </w:t>
            </w:r>
            <w:r w:rsidRPr="00EC20A0">
              <w:t>contracts or grant agreements? (GAGAS (2018) 6.53)</w:t>
            </w:r>
          </w:p>
        </w:tc>
        <w:tc>
          <w:tcPr>
            <w:tcW w:w="810" w:type="dxa"/>
            <w:tcBorders>
              <w:top w:val="single" w:sz="6" w:space="0" w:color="000000"/>
              <w:left w:val="single" w:sz="6" w:space="0" w:color="000000"/>
              <w:bottom w:val="single" w:sz="6" w:space="0" w:color="000000"/>
              <w:right w:val="single" w:sz="6" w:space="0" w:color="000000"/>
            </w:tcBorders>
          </w:tcPr>
          <w:p w14:paraId="24D62793"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94" w14:textId="77777777" w:rsidR="00245300" w:rsidRPr="00EC20A0" w:rsidRDefault="00245300">
            <w:pPr>
              <w:pStyle w:val="TableParagraph"/>
            </w:pPr>
          </w:p>
        </w:tc>
      </w:tr>
      <w:tr w:rsidR="00245300" w:rsidRPr="00EC20A0" w14:paraId="24D62799" w14:textId="77777777">
        <w:trPr>
          <w:trHeight w:val="1758"/>
        </w:trPr>
        <w:tc>
          <w:tcPr>
            <w:tcW w:w="7380" w:type="dxa"/>
            <w:tcBorders>
              <w:top w:val="single" w:sz="6" w:space="0" w:color="000000"/>
              <w:bottom w:val="single" w:sz="6" w:space="0" w:color="000000"/>
              <w:right w:val="single" w:sz="6" w:space="0" w:color="000000"/>
            </w:tcBorders>
          </w:tcPr>
          <w:p w14:paraId="24D62796" w14:textId="77777777" w:rsidR="00245300" w:rsidRPr="00EC20A0" w:rsidRDefault="00F17249">
            <w:pPr>
              <w:pStyle w:val="TableParagraph"/>
              <w:spacing w:before="119"/>
              <w:ind w:left="915" w:right="390" w:hanging="360"/>
            </w:pPr>
            <w:r w:rsidRPr="00EC20A0">
              <w:t>8.</w:t>
            </w:r>
            <w:r w:rsidRPr="00EC20A0">
              <w:rPr>
                <w:spacing w:val="80"/>
              </w:rPr>
              <w:t xml:space="preserve"> </w:t>
            </w:r>
            <w:r w:rsidRPr="00EC20A0">
              <w:t>Did the auditor consider the status of all known significant findings</w:t>
            </w:r>
            <w:r w:rsidRPr="00EC20A0">
              <w:rPr>
                <w:spacing w:val="-5"/>
              </w:rPr>
              <w:t xml:space="preserve"> </w:t>
            </w:r>
            <w:r w:rsidRPr="00EC20A0">
              <w:t>and</w:t>
            </w:r>
            <w:r w:rsidRPr="00EC20A0">
              <w:rPr>
                <w:spacing w:val="-6"/>
              </w:rPr>
              <w:t xml:space="preserve"> </w:t>
            </w:r>
            <w:r w:rsidRPr="00EC20A0">
              <w:t>recommendations</w:t>
            </w:r>
            <w:r w:rsidRPr="00EC20A0">
              <w:rPr>
                <w:spacing w:val="-5"/>
              </w:rPr>
              <w:t xml:space="preserve"> </w:t>
            </w:r>
            <w:r w:rsidRPr="00EC20A0">
              <w:t>from</w:t>
            </w:r>
            <w:r w:rsidRPr="00EC20A0">
              <w:rPr>
                <w:spacing w:val="-6"/>
              </w:rPr>
              <w:t xml:space="preserve"> </w:t>
            </w:r>
            <w:r w:rsidRPr="00EC20A0">
              <w:t>prior</w:t>
            </w:r>
            <w:r w:rsidRPr="00EC20A0">
              <w:rPr>
                <w:spacing w:val="-5"/>
              </w:rPr>
              <w:t xml:space="preserve"> </w:t>
            </w:r>
            <w:r w:rsidRPr="00EC20A0">
              <w:t>audits</w:t>
            </w:r>
            <w:r w:rsidRPr="00EC20A0">
              <w:rPr>
                <w:spacing w:val="-5"/>
              </w:rPr>
              <w:t xml:space="preserve"> </w:t>
            </w:r>
            <w:r w:rsidRPr="00EC20A0">
              <w:t>that</w:t>
            </w:r>
            <w:r w:rsidRPr="00EC20A0">
              <w:rPr>
                <w:spacing w:val="-5"/>
              </w:rPr>
              <w:t xml:space="preserve"> </w:t>
            </w:r>
            <w:r w:rsidRPr="00EC20A0">
              <w:t>affect</w:t>
            </w:r>
            <w:r w:rsidRPr="00EC20A0">
              <w:rPr>
                <w:spacing w:val="-5"/>
              </w:rPr>
              <w:t xml:space="preserve"> </w:t>
            </w:r>
            <w:r w:rsidRPr="00EC20A0">
              <w:t xml:space="preserve">the current-year report, including whether any failure to correct previously identified deficiencies in internal control is a significant deficiency or material weakness? (GAGAS (2018) </w:t>
            </w:r>
            <w:r w:rsidRPr="00EC20A0">
              <w:rPr>
                <w:spacing w:val="-2"/>
              </w:rPr>
              <w:t>6.11)</w:t>
            </w:r>
          </w:p>
        </w:tc>
        <w:tc>
          <w:tcPr>
            <w:tcW w:w="810" w:type="dxa"/>
            <w:tcBorders>
              <w:top w:val="single" w:sz="6" w:space="0" w:color="000000"/>
              <w:left w:val="single" w:sz="6" w:space="0" w:color="000000"/>
              <w:bottom w:val="single" w:sz="6" w:space="0" w:color="000000"/>
              <w:right w:val="single" w:sz="6" w:space="0" w:color="000000"/>
            </w:tcBorders>
          </w:tcPr>
          <w:p w14:paraId="24D62797"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98" w14:textId="77777777" w:rsidR="00245300" w:rsidRPr="00EC20A0" w:rsidRDefault="00245300">
            <w:pPr>
              <w:pStyle w:val="TableParagraph"/>
            </w:pPr>
          </w:p>
        </w:tc>
      </w:tr>
      <w:tr w:rsidR="00245300" w:rsidRPr="00EC20A0" w14:paraId="24D6279D" w14:textId="77777777">
        <w:trPr>
          <w:trHeight w:val="492"/>
        </w:trPr>
        <w:tc>
          <w:tcPr>
            <w:tcW w:w="7380" w:type="dxa"/>
            <w:tcBorders>
              <w:top w:val="single" w:sz="6" w:space="0" w:color="000000"/>
              <w:bottom w:val="single" w:sz="6" w:space="0" w:color="000000"/>
              <w:right w:val="single" w:sz="6" w:space="0" w:color="000000"/>
            </w:tcBorders>
          </w:tcPr>
          <w:p w14:paraId="24D6279A" w14:textId="77777777" w:rsidR="00245300" w:rsidRPr="00EC20A0" w:rsidRDefault="00F17249">
            <w:pPr>
              <w:pStyle w:val="TableParagraph"/>
              <w:spacing w:before="119"/>
              <w:ind w:right="528"/>
              <w:jc w:val="right"/>
            </w:pPr>
            <w:r w:rsidRPr="00EC20A0">
              <w:t>9.</w:t>
            </w:r>
            <w:r w:rsidRPr="00EC20A0">
              <w:rPr>
                <w:spacing w:val="71"/>
                <w:w w:val="150"/>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5"/>
              </w:rPr>
              <w:t xml:space="preserve"> </w:t>
            </w:r>
            <w:r w:rsidRPr="00EC20A0">
              <w:t>document</w:t>
            </w:r>
            <w:r w:rsidRPr="00EC20A0">
              <w:rPr>
                <w:spacing w:val="-4"/>
              </w:rPr>
              <w:t xml:space="preserve"> </w:t>
            </w:r>
            <w:r w:rsidRPr="00EC20A0">
              <w:t>the</w:t>
            </w:r>
            <w:r w:rsidRPr="00EC20A0">
              <w:rPr>
                <w:spacing w:val="-5"/>
              </w:rPr>
              <w:t xml:space="preserve"> </w:t>
            </w:r>
            <w:r w:rsidRPr="00EC20A0">
              <w:t>basis</w:t>
            </w:r>
            <w:r w:rsidRPr="00EC20A0">
              <w:rPr>
                <w:spacing w:val="-5"/>
              </w:rPr>
              <w:t xml:space="preserve"> </w:t>
            </w:r>
            <w:r w:rsidRPr="00EC20A0">
              <w:t>to</w:t>
            </w:r>
            <w:r w:rsidRPr="00EC20A0">
              <w:rPr>
                <w:spacing w:val="-4"/>
              </w:rPr>
              <w:t xml:space="preserve"> </w:t>
            </w:r>
            <w:r w:rsidRPr="00EC20A0">
              <w:t>support</w:t>
            </w:r>
            <w:r w:rsidRPr="00EC20A0">
              <w:rPr>
                <w:spacing w:val="-5"/>
              </w:rPr>
              <w:t xml:space="preserve"> </w:t>
            </w:r>
            <w:r w:rsidRPr="00EC20A0">
              <w:t>the</w:t>
            </w:r>
            <w:r w:rsidRPr="00EC20A0">
              <w:rPr>
                <w:spacing w:val="-4"/>
              </w:rPr>
              <w:t xml:space="preserve"> </w:t>
            </w:r>
            <w:r w:rsidRPr="00EC20A0">
              <w:t>(FAM</w:t>
            </w:r>
            <w:r w:rsidRPr="00EC20A0">
              <w:rPr>
                <w:spacing w:val="-5"/>
              </w:rPr>
              <w:t xml:space="preserve"> </w:t>
            </w:r>
            <w:r w:rsidRPr="00EC20A0">
              <w:rPr>
                <w:spacing w:val="-4"/>
              </w:rPr>
              <w:t>590)</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79B"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79C" w14:textId="77777777" w:rsidR="00245300" w:rsidRPr="00EC20A0" w:rsidRDefault="00245300">
            <w:pPr>
              <w:pStyle w:val="TableParagraph"/>
            </w:pPr>
          </w:p>
        </w:tc>
      </w:tr>
      <w:tr w:rsidR="00245300" w:rsidRPr="00EC20A0" w14:paraId="24D627A1" w14:textId="77777777">
        <w:trPr>
          <w:trHeight w:val="745"/>
        </w:trPr>
        <w:tc>
          <w:tcPr>
            <w:tcW w:w="7380" w:type="dxa"/>
            <w:tcBorders>
              <w:top w:val="single" w:sz="6" w:space="0" w:color="000000"/>
              <w:bottom w:val="single" w:sz="6" w:space="0" w:color="000000"/>
              <w:right w:val="single" w:sz="6" w:space="0" w:color="000000"/>
            </w:tcBorders>
          </w:tcPr>
          <w:p w14:paraId="24D6279E" w14:textId="77777777" w:rsidR="00245300" w:rsidRPr="00EC20A0" w:rsidRDefault="00F17249">
            <w:pPr>
              <w:pStyle w:val="TableParagraph"/>
              <w:spacing w:before="119"/>
              <w:ind w:left="1244" w:hanging="361"/>
            </w:pPr>
            <w:r w:rsidRPr="00EC20A0">
              <w:t>a.</w:t>
            </w:r>
            <w:r w:rsidRPr="00EC20A0">
              <w:rPr>
                <w:spacing w:val="80"/>
              </w:rPr>
              <w:t xml:space="preserve"> </w:t>
            </w:r>
            <w:r w:rsidRPr="00EC20A0">
              <w:t>opinion about whether the financial statements and note disclosures</w:t>
            </w:r>
            <w:r w:rsidRPr="00EC20A0">
              <w:rPr>
                <w:spacing w:val="-6"/>
              </w:rPr>
              <w:t xml:space="preserve"> </w:t>
            </w:r>
            <w:r w:rsidRPr="00EC20A0">
              <w:t>comply</w:t>
            </w:r>
            <w:r w:rsidRPr="00EC20A0">
              <w:rPr>
                <w:spacing w:val="-5"/>
              </w:rPr>
              <w:t xml:space="preserve"> </w:t>
            </w:r>
            <w:r w:rsidRPr="00EC20A0">
              <w:t>in</w:t>
            </w:r>
            <w:r w:rsidRPr="00EC20A0">
              <w:rPr>
                <w:spacing w:val="-5"/>
              </w:rPr>
              <w:t xml:space="preserve"> </w:t>
            </w:r>
            <w:r w:rsidRPr="00EC20A0">
              <w:t>all</w:t>
            </w:r>
            <w:r w:rsidRPr="00EC20A0">
              <w:rPr>
                <w:spacing w:val="-6"/>
              </w:rPr>
              <w:t xml:space="preserve"> </w:t>
            </w:r>
            <w:r w:rsidRPr="00EC20A0">
              <w:t>material</w:t>
            </w:r>
            <w:r w:rsidRPr="00EC20A0">
              <w:rPr>
                <w:spacing w:val="-5"/>
              </w:rPr>
              <w:t xml:space="preserve"> </w:t>
            </w:r>
            <w:r w:rsidRPr="00EC20A0">
              <w:t>respects</w:t>
            </w:r>
            <w:r w:rsidRPr="00EC20A0">
              <w:rPr>
                <w:spacing w:val="-5"/>
              </w:rPr>
              <w:t xml:space="preserve"> </w:t>
            </w:r>
            <w:r w:rsidRPr="00EC20A0">
              <w:t>with</w:t>
            </w:r>
            <w:r w:rsidRPr="00EC20A0">
              <w:rPr>
                <w:spacing w:val="-5"/>
              </w:rPr>
              <w:t xml:space="preserve"> </w:t>
            </w:r>
            <w:r w:rsidRPr="00EC20A0">
              <w:t>U.S.</w:t>
            </w:r>
            <w:r w:rsidRPr="00EC20A0">
              <w:rPr>
                <w:spacing w:val="-5"/>
              </w:rPr>
              <w:t xml:space="preserve"> </w:t>
            </w:r>
            <w:r w:rsidRPr="00EC20A0">
              <w:t>GAAP;</w:t>
            </w:r>
          </w:p>
        </w:tc>
        <w:tc>
          <w:tcPr>
            <w:tcW w:w="810" w:type="dxa"/>
            <w:tcBorders>
              <w:top w:val="single" w:sz="6" w:space="0" w:color="000000"/>
              <w:left w:val="single" w:sz="6" w:space="0" w:color="000000"/>
              <w:bottom w:val="single" w:sz="6" w:space="0" w:color="000000"/>
              <w:right w:val="single" w:sz="6" w:space="0" w:color="000000"/>
            </w:tcBorders>
          </w:tcPr>
          <w:p w14:paraId="24D6279F"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A0" w14:textId="77777777" w:rsidR="00245300" w:rsidRPr="00EC20A0" w:rsidRDefault="00245300">
            <w:pPr>
              <w:pStyle w:val="TableParagraph"/>
            </w:pPr>
          </w:p>
        </w:tc>
      </w:tr>
      <w:tr w:rsidR="00245300" w:rsidRPr="00EC20A0" w14:paraId="24D627A5" w14:textId="77777777">
        <w:trPr>
          <w:trHeight w:val="492"/>
        </w:trPr>
        <w:tc>
          <w:tcPr>
            <w:tcW w:w="7380" w:type="dxa"/>
            <w:tcBorders>
              <w:top w:val="single" w:sz="6" w:space="0" w:color="000000"/>
              <w:bottom w:val="single" w:sz="6" w:space="0" w:color="000000"/>
              <w:right w:val="single" w:sz="6" w:space="0" w:color="000000"/>
            </w:tcBorders>
          </w:tcPr>
          <w:p w14:paraId="24D627A2" w14:textId="77777777" w:rsidR="00245300" w:rsidRPr="00EC20A0" w:rsidRDefault="00F17249">
            <w:pPr>
              <w:pStyle w:val="TableParagraph"/>
              <w:spacing w:before="121"/>
              <w:ind w:left="884"/>
            </w:pPr>
            <w:r w:rsidRPr="00EC20A0">
              <w:t>b.</w:t>
            </w:r>
            <w:r w:rsidRPr="00EC20A0">
              <w:rPr>
                <w:spacing w:val="72"/>
                <w:w w:val="150"/>
              </w:rPr>
              <w:t xml:space="preserve"> </w:t>
            </w:r>
            <w:r w:rsidRPr="00EC20A0">
              <w:t>opinion</w:t>
            </w:r>
            <w:r w:rsidRPr="00EC20A0">
              <w:rPr>
                <w:spacing w:val="-4"/>
              </w:rPr>
              <w:t xml:space="preserve"> </w:t>
            </w:r>
            <w:r w:rsidRPr="00EC20A0">
              <w:t>or</w:t>
            </w:r>
            <w:r w:rsidRPr="00EC20A0">
              <w:rPr>
                <w:spacing w:val="-4"/>
              </w:rPr>
              <w:t xml:space="preserve"> </w:t>
            </w:r>
            <w:r w:rsidRPr="00EC20A0">
              <w:t>conclusion</w:t>
            </w:r>
            <w:r w:rsidRPr="00EC20A0">
              <w:rPr>
                <w:spacing w:val="-6"/>
              </w:rPr>
              <w:t xml:space="preserve"> </w:t>
            </w:r>
            <w:r w:rsidRPr="00EC20A0">
              <w:t>on</w:t>
            </w:r>
            <w:r w:rsidRPr="00EC20A0">
              <w:rPr>
                <w:spacing w:val="-4"/>
              </w:rPr>
              <w:t xml:space="preserve"> </w:t>
            </w:r>
            <w:r w:rsidRPr="00EC20A0">
              <w:t>internal</w:t>
            </w:r>
            <w:r w:rsidRPr="00EC20A0">
              <w:rPr>
                <w:spacing w:val="-4"/>
              </w:rPr>
              <w:t xml:space="preserve"> </w:t>
            </w:r>
            <w:r w:rsidRPr="00EC20A0">
              <w:rPr>
                <w:spacing w:val="-2"/>
              </w:rPr>
              <w:t>control,</w:t>
            </w:r>
          </w:p>
        </w:tc>
        <w:tc>
          <w:tcPr>
            <w:tcW w:w="810" w:type="dxa"/>
            <w:tcBorders>
              <w:top w:val="single" w:sz="6" w:space="0" w:color="000000"/>
              <w:left w:val="single" w:sz="6" w:space="0" w:color="000000"/>
              <w:bottom w:val="single" w:sz="6" w:space="0" w:color="000000"/>
              <w:right w:val="single" w:sz="6" w:space="0" w:color="000000"/>
            </w:tcBorders>
          </w:tcPr>
          <w:p w14:paraId="24D627A3"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A4" w14:textId="77777777" w:rsidR="00245300" w:rsidRPr="00EC20A0" w:rsidRDefault="00245300">
            <w:pPr>
              <w:pStyle w:val="TableParagraph"/>
            </w:pPr>
          </w:p>
        </w:tc>
      </w:tr>
      <w:tr w:rsidR="00245300" w:rsidRPr="00EC20A0" w14:paraId="24D627A9" w14:textId="77777777">
        <w:trPr>
          <w:trHeight w:val="493"/>
        </w:trPr>
        <w:tc>
          <w:tcPr>
            <w:tcW w:w="7380" w:type="dxa"/>
            <w:tcBorders>
              <w:top w:val="single" w:sz="6" w:space="0" w:color="000000"/>
              <w:bottom w:val="single" w:sz="6" w:space="0" w:color="000000"/>
              <w:right w:val="single" w:sz="6" w:space="0" w:color="000000"/>
            </w:tcBorders>
          </w:tcPr>
          <w:p w14:paraId="24D627A6" w14:textId="77777777" w:rsidR="00245300" w:rsidRPr="00EC20A0" w:rsidRDefault="00F17249">
            <w:pPr>
              <w:pStyle w:val="TableParagraph"/>
              <w:spacing w:before="121"/>
              <w:ind w:right="588"/>
              <w:jc w:val="right"/>
            </w:pPr>
            <w:r w:rsidRPr="00EC20A0">
              <w:t>c.</w:t>
            </w:r>
            <w:r w:rsidRPr="00EC20A0">
              <w:rPr>
                <w:spacing w:val="25"/>
              </w:rPr>
              <w:t xml:space="preserve">  </w:t>
            </w:r>
            <w:r w:rsidRPr="00EC20A0">
              <w:t>conclusion</w:t>
            </w:r>
            <w:r w:rsidRPr="00EC20A0">
              <w:rPr>
                <w:spacing w:val="-5"/>
              </w:rPr>
              <w:t xml:space="preserve"> </w:t>
            </w:r>
            <w:r w:rsidRPr="00EC20A0">
              <w:t>on</w:t>
            </w:r>
            <w:r w:rsidRPr="00EC20A0">
              <w:rPr>
                <w:spacing w:val="-5"/>
              </w:rPr>
              <w:t xml:space="preserve"> </w:t>
            </w:r>
            <w:r w:rsidRPr="00EC20A0">
              <w:t>whether</w:t>
            </w:r>
            <w:r w:rsidRPr="00EC20A0">
              <w:rPr>
                <w:spacing w:val="-5"/>
              </w:rPr>
              <w:t xml:space="preserve"> </w:t>
            </w:r>
            <w:r w:rsidRPr="00EC20A0">
              <w:t>the</w:t>
            </w:r>
            <w:r w:rsidRPr="00EC20A0">
              <w:rPr>
                <w:spacing w:val="-5"/>
              </w:rPr>
              <w:t xml:space="preserve"> </w:t>
            </w:r>
            <w:r w:rsidRPr="00EC20A0">
              <w:t>entity’s</w:t>
            </w:r>
            <w:r w:rsidRPr="00EC20A0">
              <w:rPr>
                <w:spacing w:val="-5"/>
              </w:rPr>
              <w:t xml:space="preserve"> </w:t>
            </w:r>
            <w:r w:rsidRPr="00EC20A0">
              <w:t>financial</w:t>
            </w:r>
            <w:r w:rsidRPr="00EC20A0">
              <w:rPr>
                <w:spacing w:val="-5"/>
              </w:rPr>
              <w:t xml:space="preserve"> </w:t>
            </w:r>
            <w:r w:rsidRPr="00EC20A0">
              <w:rPr>
                <w:spacing w:val="-2"/>
              </w:rPr>
              <w:t>management</w:t>
            </w:r>
          </w:p>
        </w:tc>
        <w:tc>
          <w:tcPr>
            <w:tcW w:w="810" w:type="dxa"/>
            <w:tcBorders>
              <w:top w:val="single" w:sz="6" w:space="0" w:color="000000"/>
              <w:left w:val="single" w:sz="6" w:space="0" w:color="000000"/>
              <w:bottom w:val="single" w:sz="6" w:space="0" w:color="000000"/>
              <w:right w:val="single" w:sz="6" w:space="0" w:color="000000"/>
            </w:tcBorders>
          </w:tcPr>
          <w:p w14:paraId="24D627A7"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A8" w14:textId="77777777" w:rsidR="00245300" w:rsidRPr="00EC20A0" w:rsidRDefault="00245300">
            <w:pPr>
              <w:pStyle w:val="TableParagraph"/>
            </w:pPr>
          </w:p>
        </w:tc>
      </w:tr>
    </w:tbl>
    <w:p w14:paraId="24D627AA" w14:textId="77777777" w:rsidR="00245300" w:rsidRPr="00EC20A0" w:rsidRDefault="00245300">
      <w:pPr>
        <w:sectPr w:rsidR="00245300" w:rsidRPr="00EC20A0">
          <w:pgSz w:w="12240" w:h="15840"/>
          <w:pgMar w:top="1340" w:right="460" w:bottom="940" w:left="560" w:header="721" w:footer="757" w:gutter="0"/>
          <w:cols w:space="720"/>
        </w:sectPr>
      </w:pPr>
    </w:p>
    <w:p w14:paraId="24D627AB"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245300" w:rsidRPr="00EC20A0" w14:paraId="24D627B3" w14:textId="77777777">
        <w:trPr>
          <w:trHeight w:val="998"/>
        </w:trPr>
        <w:tc>
          <w:tcPr>
            <w:tcW w:w="7380" w:type="dxa"/>
            <w:tcBorders>
              <w:right w:val="single" w:sz="8" w:space="0" w:color="000000"/>
            </w:tcBorders>
            <w:shd w:val="clear" w:color="auto" w:fill="A6A6A6"/>
          </w:tcPr>
          <w:p w14:paraId="24D627AC" w14:textId="77777777" w:rsidR="00245300" w:rsidRPr="00EC20A0" w:rsidRDefault="00245300">
            <w:pPr>
              <w:pStyle w:val="TableParagraph"/>
              <w:rPr>
                <w:b/>
                <w:sz w:val="24"/>
              </w:rPr>
            </w:pPr>
          </w:p>
          <w:p w14:paraId="24D627AD" w14:textId="77777777" w:rsidR="00245300" w:rsidRPr="00EC20A0" w:rsidRDefault="00245300">
            <w:pPr>
              <w:pStyle w:val="TableParagraph"/>
              <w:spacing w:before="72"/>
              <w:rPr>
                <w:b/>
                <w:sz w:val="24"/>
              </w:rPr>
            </w:pPr>
          </w:p>
          <w:p w14:paraId="24D627AE" w14:textId="77777777" w:rsidR="00245300" w:rsidRPr="00EC20A0" w:rsidRDefault="00F17249">
            <w:pPr>
              <w:pStyle w:val="TableParagraph"/>
              <w:spacing w:before="1"/>
              <w:ind w:left="123"/>
              <w:rPr>
                <w:b/>
                <w:sz w:val="24"/>
              </w:rPr>
            </w:pPr>
            <w:r w:rsidRPr="00EC20A0">
              <w:rPr>
                <w:b/>
                <w:sz w:val="24"/>
              </w:rPr>
              <w:t>Section</w:t>
            </w:r>
            <w:r w:rsidRPr="00EC20A0">
              <w:rPr>
                <w:b/>
                <w:spacing w:val="-4"/>
                <w:sz w:val="24"/>
              </w:rPr>
              <w:t xml:space="preserve"> </w:t>
            </w:r>
            <w:r w:rsidRPr="00EC20A0">
              <w:rPr>
                <w:b/>
                <w:sz w:val="24"/>
              </w:rPr>
              <w:t>IV:</w:t>
            </w:r>
            <w:r w:rsidRPr="00EC20A0">
              <w:rPr>
                <w:b/>
                <w:spacing w:val="-4"/>
                <w:sz w:val="24"/>
              </w:rPr>
              <w:t xml:space="preserve"> </w:t>
            </w:r>
            <w:r w:rsidRPr="00EC20A0">
              <w:rPr>
                <w:b/>
                <w:sz w:val="24"/>
              </w:rPr>
              <w:t>Communicating</w:t>
            </w:r>
            <w:r w:rsidRPr="00EC20A0">
              <w:rPr>
                <w:b/>
                <w:spacing w:val="-4"/>
                <w:sz w:val="24"/>
              </w:rPr>
              <w:t xml:space="preserve"> </w:t>
            </w:r>
            <w:r w:rsidRPr="00EC20A0">
              <w:rPr>
                <w:b/>
                <w:sz w:val="24"/>
              </w:rPr>
              <w:t>and</w:t>
            </w:r>
            <w:r w:rsidRPr="00EC20A0">
              <w:rPr>
                <w:b/>
                <w:spacing w:val="-4"/>
                <w:sz w:val="24"/>
              </w:rPr>
              <w:t xml:space="preserve"> </w:t>
            </w:r>
            <w:r w:rsidRPr="00EC20A0">
              <w:rPr>
                <w:b/>
                <w:sz w:val="24"/>
              </w:rPr>
              <w:t>Reporting</w:t>
            </w:r>
            <w:r w:rsidRPr="00EC20A0">
              <w:rPr>
                <w:b/>
                <w:spacing w:val="-3"/>
                <w:sz w:val="24"/>
              </w:rPr>
              <w:t xml:space="preserve"> </w:t>
            </w:r>
            <w:r w:rsidRPr="00EC20A0">
              <w:rPr>
                <w:b/>
                <w:spacing w:val="-2"/>
                <w:sz w:val="24"/>
              </w:rPr>
              <w:t>Results</w:t>
            </w:r>
          </w:p>
        </w:tc>
        <w:tc>
          <w:tcPr>
            <w:tcW w:w="810" w:type="dxa"/>
            <w:tcBorders>
              <w:left w:val="single" w:sz="8" w:space="0" w:color="000000"/>
              <w:right w:val="single" w:sz="8" w:space="0" w:color="000000"/>
            </w:tcBorders>
            <w:shd w:val="clear" w:color="auto" w:fill="A6A6A6"/>
          </w:tcPr>
          <w:p w14:paraId="24D627AF" w14:textId="77777777" w:rsidR="00245300" w:rsidRPr="00EC20A0" w:rsidRDefault="00F17249">
            <w:pPr>
              <w:pStyle w:val="TableParagraph"/>
              <w:spacing w:before="120"/>
              <w:ind w:left="136" w:right="199"/>
              <w:jc w:val="both"/>
              <w:rPr>
                <w:b/>
              </w:rPr>
            </w:pPr>
            <w:r w:rsidRPr="00EC20A0">
              <w:rPr>
                <w:b/>
                <w:spacing w:val="-4"/>
              </w:rPr>
              <w:t>Yes, No,* N/A</w:t>
            </w:r>
          </w:p>
        </w:tc>
        <w:tc>
          <w:tcPr>
            <w:tcW w:w="1350" w:type="dxa"/>
            <w:tcBorders>
              <w:left w:val="single" w:sz="8" w:space="0" w:color="000000"/>
            </w:tcBorders>
            <w:shd w:val="clear" w:color="auto" w:fill="A6A6A6"/>
          </w:tcPr>
          <w:p w14:paraId="24D627B0" w14:textId="77777777" w:rsidR="00245300" w:rsidRPr="00EC20A0" w:rsidRDefault="00245300">
            <w:pPr>
              <w:pStyle w:val="TableParagraph"/>
              <w:rPr>
                <w:b/>
              </w:rPr>
            </w:pPr>
          </w:p>
          <w:p w14:paraId="24D627B1" w14:textId="77777777" w:rsidR="00245300" w:rsidRPr="00EC20A0" w:rsidRDefault="00245300">
            <w:pPr>
              <w:pStyle w:val="TableParagraph"/>
              <w:spacing w:before="120"/>
              <w:rPr>
                <w:b/>
              </w:rPr>
            </w:pPr>
          </w:p>
          <w:p w14:paraId="24D627B2"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7B7" w14:textId="77777777">
        <w:trPr>
          <w:trHeight w:val="626"/>
        </w:trPr>
        <w:tc>
          <w:tcPr>
            <w:tcW w:w="7380" w:type="dxa"/>
            <w:tcBorders>
              <w:bottom w:val="single" w:sz="6" w:space="0" w:color="000000"/>
              <w:right w:val="single" w:sz="6" w:space="0" w:color="000000"/>
            </w:tcBorders>
          </w:tcPr>
          <w:p w14:paraId="24D627B4" w14:textId="77777777" w:rsidR="00245300" w:rsidRPr="00EC20A0" w:rsidRDefault="00F17249">
            <w:pPr>
              <w:pStyle w:val="TableParagraph"/>
              <w:ind w:left="1244"/>
            </w:pPr>
            <w:r w:rsidRPr="00EC20A0">
              <w:t>systems</w:t>
            </w:r>
            <w:r w:rsidRPr="00EC20A0">
              <w:rPr>
                <w:spacing w:val="-6"/>
              </w:rPr>
              <w:t xml:space="preserve"> </w:t>
            </w:r>
            <w:r w:rsidRPr="00EC20A0">
              <w:t>comply</w:t>
            </w:r>
            <w:r w:rsidRPr="00EC20A0">
              <w:rPr>
                <w:spacing w:val="-6"/>
              </w:rPr>
              <w:t xml:space="preserve"> </w:t>
            </w:r>
            <w:r w:rsidRPr="00EC20A0">
              <w:t>substantially</w:t>
            </w:r>
            <w:r w:rsidRPr="00EC20A0">
              <w:rPr>
                <w:spacing w:val="-6"/>
              </w:rPr>
              <w:t xml:space="preserve"> </w:t>
            </w:r>
            <w:r w:rsidRPr="00EC20A0">
              <w:t>with</w:t>
            </w:r>
            <w:r w:rsidRPr="00EC20A0">
              <w:rPr>
                <w:spacing w:val="-6"/>
              </w:rPr>
              <w:t xml:space="preserve"> </w:t>
            </w:r>
            <w:r w:rsidRPr="00EC20A0">
              <w:t>the</w:t>
            </w:r>
            <w:r w:rsidRPr="00EC20A0">
              <w:rPr>
                <w:spacing w:val="-6"/>
              </w:rPr>
              <w:t xml:space="preserve"> </w:t>
            </w:r>
            <w:r w:rsidRPr="00EC20A0">
              <w:t>requirements</w:t>
            </w:r>
            <w:r w:rsidRPr="00EC20A0">
              <w:rPr>
                <w:spacing w:val="-6"/>
              </w:rPr>
              <w:t xml:space="preserve"> </w:t>
            </w:r>
            <w:r w:rsidRPr="00EC20A0">
              <w:t>of</w:t>
            </w:r>
            <w:r w:rsidRPr="00EC20A0">
              <w:rPr>
                <w:spacing w:val="-6"/>
              </w:rPr>
              <w:t xml:space="preserve"> </w:t>
            </w:r>
            <w:r w:rsidRPr="00EC20A0">
              <w:t>FFMIA (for CFO Act agencies); and</w:t>
            </w:r>
          </w:p>
        </w:tc>
        <w:tc>
          <w:tcPr>
            <w:tcW w:w="810" w:type="dxa"/>
            <w:tcBorders>
              <w:left w:val="single" w:sz="6" w:space="0" w:color="000000"/>
              <w:bottom w:val="single" w:sz="6" w:space="0" w:color="000000"/>
              <w:right w:val="single" w:sz="6" w:space="0" w:color="000000"/>
            </w:tcBorders>
          </w:tcPr>
          <w:p w14:paraId="24D627B5" w14:textId="77777777" w:rsidR="00245300" w:rsidRPr="00EC20A0" w:rsidRDefault="00245300">
            <w:pPr>
              <w:pStyle w:val="TableParagraph"/>
            </w:pPr>
          </w:p>
        </w:tc>
        <w:tc>
          <w:tcPr>
            <w:tcW w:w="1350" w:type="dxa"/>
            <w:tcBorders>
              <w:left w:val="single" w:sz="6" w:space="0" w:color="000000"/>
              <w:bottom w:val="single" w:sz="6" w:space="0" w:color="000000"/>
            </w:tcBorders>
          </w:tcPr>
          <w:p w14:paraId="24D627B6" w14:textId="77777777" w:rsidR="00245300" w:rsidRPr="00EC20A0" w:rsidRDefault="00245300">
            <w:pPr>
              <w:pStyle w:val="TableParagraph"/>
            </w:pPr>
          </w:p>
        </w:tc>
      </w:tr>
      <w:tr w:rsidR="00245300" w:rsidRPr="00EC20A0" w14:paraId="24D627BB" w14:textId="77777777">
        <w:trPr>
          <w:trHeight w:val="999"/>
        </w:trPr>
        <w:tc>
          <w:tcPr>
            <w:tcW w:w="7380" w:type="dxa"/>
            <w:tcBorders>
              <w:top w:val="single" w:sz="6" w:space="0" w:color="000000"/>
              <w:bottom w:val="single" w:sz="6" w:space="0" w:color="000000"/>
              <w:right w:val="single" w:sz="6" w:space="0" w:color="000000"/>
            </w:tcBorders>
          </w:tcPr>
          <w:p w14:paraId="24D627B8" w14:textId="77777777" w:rsidR="00245300" w:rsidRPr="00EC20A0" w:rsidRDefault="00F17249">
            <w:pPr>
              <w:pStyle w:val="TableParagraph"/>
              <w:spacing w:before="119"/>
              <w:ind w:left="1244" w:right="141" w:hanging="360"/>
            </w:pPr>
            <w:r w:rsidRPr="00EC20A0">
              <w:t>d.</w:t>
            </w:r>
            <w:r w:rsidRPr="00EC20A0">
              <w:rPr>
                <w:spacing w:val="80"/>
              </w:rPr>
              <w:t xml:space="preserve"> </w:t>
            </w:r>
            <w:r w:rsidRPr="00EC20A0">
              <w:t>conclusion</w:t>
            </w:r>
            <w:r w:rsidRPr="00EC20A0">
              <w:rPr>
                <w:spacing w:val="-5"/>
              </w:rPr>
              <w:t xml:space="preserve"> </w:t>
            </w:r>
            <w:r w:rsidRPr="00EC20A0">
              <w:t>on</w:t>
            </w:r>
            <w:r w:rsidRPr="00EC20A0">
              <w:rPr>
                <w:spacing w:val="-5"/>
              </w:rPr>
              <w:t xml:space="preserve"> </w:t>
            </w:r>
            <w:r w:rsidRPr="00EC20A0">
              <w:t>compliance</w:t>
            </w:r>
            <w:r w:rsidRPr="00EC20A0">
              <w:rPr>
                <w:spacing w:val="-5"/>
              </w:rPr>
              <w:t xml:space="preserve"> </w:t>
            </w:r>
            <w:r w:rsidRPr="00EC20A0">
              <w:t>with</w:t>
            </w:r>
            <w:r w:rsidRPr="00EC20A0">
              <w:rPr>
                <w:spacing w:val="-5"/>
              </w:rPr>
              <w:t xml:space="preserve"> </w:t>
            </w:r>
            <w:r w:rsidRPr="00EC20A0">
              <w:t>significant</w:t>
            </w:r>
            <w:r w:rsidRPr="00EC20A0">
              <w:rPr>
                <w:spacing w:val="-5"/>
              </w:rPr>
              <w:t xml:space="preserve"> </w:t>
            </w:r>
            <w:r w:rsidRPr="00EC20A0">
              <w:t>provisions</w:t>
            </w:r>
            <w:r w:rsidRPr="00EC20A0">
              <w:rPr>
                <w:spacing w:val="-5"/>
              </w:rPr>
              <w:t xml:space="preserve"> </w:t>
            </w:r>
            <w:r w:rsidRPr="00EC20A0">
              <w:t xml:space="preserve">of applicable laws, regulations, contracts, and grant </w:t>
            </w:r>
            <w:r w:rsidRPr="00EC20A0">
              <w:rPr>
                <w:spacing w:val="-2"/>
              </w:rPr>
              <w:t>agreements?</w:t>
            </w:r>
          </w:p>
        </w:tc>
        <w:tc>
          <w:tcPr>
            <w:tcW w:w="810" w:type="dxa"/>
            <w:tcBorders>
              <w:top w:val="single" w:sz="6" w:space="0" w:color="000000"/>
              <w:left w:val="single" w:sz="6" w:space="0" w:color="000000"/>
              <w:bottom w:val="single" w:sz="6" w:space="0" w:color="000000"/>
              <w:right w:val="single" w:sz="6" w:space="0" w:color="000000"/>
            </w:tcBorders>
          </w:tcPr>
          <w:p w14:paraId="24D627B9"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BA" w14:textId="77777777" w:rsidR="00245300" w:rsidRPr="00EC20A0" w:rsidRDefault="00245300">
            <w:pPr>
              <w:pStyle w:val="TableParagraph"/>
            </w:pPr>
          </w:p>
        </w:tc>
      </w:tr>
      <w:tr w:rsidR="00245300" w:rsidRPr="00EC20A0" w14:paraId="24D627BF" w14:textId="77777777">
        <w:trPr>
          <w:trHeight w:val="492"/>
        </w:trPr>
        <w:tc>
          <w:tcPr>
            <w:tcW w:w="7380" w:type="dxa"/>
            <w:tcBorders>
              <w:top w:val="single" w:sz="6" w:space="0" w:color="000000"/>
              <w:bottom w:val="single" w:sz="6" w:space="0" w:color="000000"/>
              <w:right w:val="single" w:sz="6" w:space="0" w:color="000000"/>
            </w:tcBorders>
          </w:tcPr>
          <w:p w14:paraId="24D627BC" w14:textId="77777777" w:rsidR="00245300" w:rsidRPr="00EC20A0" w:rsidRDefault="00F17249">
            <w:pPr>
              <w:pStyle w:val="TableParagraph"/>
              <w:spacing w:before="119"/>
              <w:ind w:left="555"/>
            </w:pPr>
            <w:r w:rsidRPr="00EC20A0">
              <w:t>10.</w:t>
            </w:r>
            <w:r w:rsidRPr="00EC20A0">
              <w:rPr>
                <w:spacing w:val="-13"/>
              </w:rPr>
              <w:t xml:space="preserve"> </w:t>
            </w:r>
            <w:r w:rsidRPr="00EC20A0">
              <w:t>Did</w:t>
            </w:r>
            <w:r w:rsidRPr="00EC20A0">
              <w:rPr>
                <w:spacing w:val="-6"/>
              </w:rPr>
              <w:t xml:space="preserve"> </w:t>
            </w:r>
            <w:r w:rsidRPr="00EC20A0">
              <w:t>the</w:t>
            </w:r>
            <w:r w:rsidRPr="00EC20A0">
              <w:rPr>
                <w:spacing w:val="-6"/>
              </w:rPr>
              <w:t xml:space="preserve"> </w:t>
            </w:r>
            <w:r w:rsidRPr="00EC20A0">
              <w:t>auditor</w:t>
            </w:r>
            <w:r w:rsidRPr="00EC20A0">
              <w:rPr>
                <w:spacing w:val="-5"/>
              </w:rPr>
              <w:t xml:space="preserve"> </w:t>
            </w:r>
            <w:r w:rsidRPr="00EC20A0">
              <w:t>document</w:t>
            </w:r>
            <w:r w:rsidRPr="00EC20A0">
              <w:rPr>
                <w:spacing w:val="-6"/>
              </w:rPr>
              <w:t xml:space="preserve"> </w:t>
            </w:r>
            <w:r w:rsidRPr="00EC20A0">
              <w:t>the</w:t>
            </w:r>
            <w:r w:rsidRPr="00EC20A0">
              <w:rPr>
                <w:spacing w:val="-6"/>
              </w:rPr>
              <w:t xml:space="preserve"> </w:t>
            </w:r>
            <w:r w:rsidRPr="00EC20A0">
              <w:t>basis</w:t>
            </w:r>
            <w:r w:rsidRPr="00EC20A0">
              <w:rPr>
                <w:spacing w:val="-7"/>
              </w:rPr>
              <w:t xml:space="preserve"> </w:t>
            </w:r>
            <w:r w:rsidRPr="00EC20A0">
              <w:t>for</w:t>
            </w:r>
            <w:r w:rsidRPr="00EC20A0">
              <w:rPr>
                <w:spacing w:val="-6"/>
              </w:rPr>
              <w:t xml:space="preserve"> </w:t>
            </w:r>
            <w:r w:rsidRPr="00EC20A0">
              <w:t>reported</w:t>
            </w:r>
            <w:r w:rsidRPr="00EC20A0">
              <w:rPr>
                <w:spacing w:val="-6"/>
              </w:rPr>
              <w:t xml:space="preserve"> </w:t>
            </w:r>
            <w:r w:rsidRPr="00EC20A0">
              <w:t>findings</w:t>
            </w:r>
            <w:r w:rsidRPr="00EC20A0">
              <w:rPr>
                <w:spacing w:val="-6"/>
              </w:rPr>
              <w:t xml:space="preserve"> </w:t>
            </w:r>
            <w:r w:rsidRPr="00EC20A0">
              <w:rPr>
                <w:spacing w:val="-5"/>
              </w:rPr>
              <w:t>on</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7BD"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7BE" w14:textId="77777777" w:rsidR="00245300" w:rsidRPr="00EC20A0" w:rsidRDefault="00245300">
            <w:pPr>
              <w:pStyle w:val="TableParagraph"/>
            </w:pPr>
          </w:p>
        </w:tc>
      </w:tr>
      <w:tr w:rsidR="00245300" w:rsidRPr="00EC20A0" w14:paraId="24D627C3" w14:textId="77777777">
        <w:trPr>
          <w:trHeight w:val="998"/>
        </w:trPr>
        <w:tc>
          <w:tcPr>
            <w:tcW w:w="7380" w:type="dxa"/>
            <w:tcBorders>
              <w:top w:val="single" w:sz="6" w:space="0" w:color="000000"/>
              <w:bottom w:val="single" w:sz="6" w:space="0" w:color="000000"/>
              <w:right w:val="single" w:sz="6" w:space="0" w:color="000000"/>
            </w:tcBorders>
          </w:tcPr>
          <w:p w14:paraId="24D627C0" w14:textId="77777777" w:rsidR="00245300" w:rsidRPr="00EC20A0" w:rsidRDefault="00F17249">
            <w:pPr>
              <w:pStyle w:val="TableParagraph"/>
              <w:spacing w:before="121"/>
              <w:ind w:left="1243" w:right="171" w:hanging="360"/>
              <w:jc w:val="both"/>
            </w:pPr>
            <w:r w:rsidRPr="00EC20A0">
              <w:t>a.</w:t>
            </w:r>
            <w:r w:rsidRPr="00EC20A0">
              <w:rPr>
                <w:spacing w:val="80"/>
              </w:rPr>
              <w:t xml:space="preserve"> </w:t>
            </w:r>
            <w:r w:rsidRPr="00EC20A0">
              <w:t>internal</w:t>
            </w:r>
            <w:r w:rsidRPr="00EC20A0">
              <w:rPr>
                <w:spacing w:val="-3"/>
              </w:rPr>
              <w:t xml:space="preserve"> </w:t>
            </w:r>
            <w:r w:rsidRPr="00EC20A0">
              <w:t>control</w:t>
            </w:r>
            <w:r w:rsidRPr="00EC20A0">
              <w:rPr>
                <w:spacing w:val="-3"/>
              </w:rPr>
              <w:t xml:space="preserve"> </w:t>
            </w:r>
            <w:r w:rsidRPr="00EC20A0">
              <w:t>deficiencies,</w:t>
            </w:r>
            <w:r w:rsidRPr="00EC20A0">
              <w:rPr>
                <w:spacing w:val="-3"/>
              </w:rPr>
              <w:t xml:space="preserve"> </w:t>
            </w:r>
            <w:r w:rsidRPr="00EC20A0">
              <w:t>including</w:t>
            </w:r>
            <w:r w:rsidRPr="00EC20A0">
              <w:rPr>
                <w:spacing w:val="-4"/>
              </w:rPr>
              <w:t xml:space="preserve"> </w:t>
            </w:r>
            <w:r w:rsidRPr="00EC20A0">
              <w:t>classification</w:t>
            </w:r>
            <w:r w:rsidRPr="00EC20A0">
              <w:rPr>
                <w:spacing w:val="-3"/>
              </w:rPr>
              <w:t xml:space="preserve"> </w:t>
            </w:r>
            <w:r w:rsidRPr="00EC20A0">
              <w:t>of</w:t>
            </w:r>
            <w:r w:rsidRPr="00EC20A0">
              <w:rPr>
                <w:spacing w:val="-3"/>
              </w:rPr>
              <w:t xml:space="preserve"> </w:t>
            </w:r>
            <w:r w:rsidRPr="00EC20A0">
              <w:t>control deficiencies</w:t>
            </w:r>
            <w:r w:rsidRPr="00EC20A0">
              <w:rPr>
                <w:spacing w:val="-8"/>
              </w:rPr>
              <w:t xml:space="preserve"> </w:t>
            </w:r>
            <w:r w:rsidRPr="00EC20A0">
              <w:t>as</w:t>
            </w:r>
            <w:r w:rsidRPr="00EC20A0">
              <w:rPr>
                <w:spacing w:val="-7"/>
              </w:rPr>
              <w:t xml:space="preserve"> </w:t>
            </w:r>
            <w:r w:rsidRPr="00EC20A0">
              <w:t>material</w:t>
            </w:r>
            <w:r w:rsidRPr="00EC20A0">
              <w:rPr>
                <w:spacing w:val="-7"/>
              </w:rPr>
              <w:t xml:space="preserve"> </w:t>
            </w:r>
            <w:r w:rsidRPr="00EC20A0">
              <w:t>weaknesses,</w:t>
            </w:r>
            <w:r w:rsidRPr="00EC20A0">
              <w:rPr>
                <w:spacing w:val="-7"/>
              </w:rPr>
              <w:t xml:space="preserve"> </w:t>
            </w:r>
            <w:r w:rsidRPr="00EC20A0">
              <w:t>significant</w:t>
            </w:r>
            <w:r w:rsidRPr="00EC20A0">
              <w:rPr>
                <w:spacing w:val="-8"/>
              </w:rPr>
              <w:t xml:space="preserve"> </w:t>
            </w:r>
            <w:r w:rsidRPr="00EC20A0">
              <w:t>deficiencies, or other control deficiencies (FAM 590);</w:t>
            </w:r>
          </w:p>
        </w:tc>
        <w:tc>
          <w:tcPr>
            <w:tcW w:w="810" w:type="dxa"/>
            <w:tcBorders>
              <w:top w:val="single" w:sz="6" w:space="0" w:color="000000"/>
              <w:left w:val="single" w:sz="6" w:space="0" w:color="000000"/>
              <w:bottom w:val="single" w:sz="6" w:space="0" w:color="000000"/>
              <w:right w:val="single" w:sz="6" w:space="0" w:color="000000"/>
            </w:tcBorders>
          </w:tcPr>
          <w:p w14:paraId="24D627C1"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C2" w14:textId="77777777" w:rsidR="00245300" w:rsidRPr="00EC20A0" w:rsidRDefault="00245300">
            <w:pPr>
              <w:pStyle w:val="TableParagraph"/>
            </w:pPr>
          </w:p>
        </w:tc>
      </w:tr>
      <w:tr w:rsidR="00245300" w:rsidRPr="00EC20A0" w14:paraId="24D627C7" w14:textId="77777777">
        <w:trPr>
          <w:trHeight w:val="998"/>
        </w:trPr>
        <w:tc>
          <w:tcPr>
            <w:tcW w:w="7380" w:type="dxa"/>
            <w:tcBorders>
              <w:top w:val="single" w:sz="6" w:space="0" w:color="000000"/>
              <w:bottom w:val="single" w:sz="6" w:space="0" w:color="000000"/>
              <w:right w:val="single" w:sz="6" w:space="0" w:color="000000"/>
            </w:tcBorders>
          </w:tcPr>
          <w:p w14:paraId="24D627C4" w14:textId="77777777" w:rsidR="00245300" w:rsidRPr="00EC20A0" w:rsidRDefault="00F17249">
            <w:pPr>
              <w:pStyle w:val="TableParagraph"/>
              <w:spacing w:before="121"/>
              <w:ind w:left="1244" w:hanging="360"/>
            </w:pPr>
            <w:r w:rsidRPr="00EC20A0">
              <w:t>b.</w:t>
            </w:r>
            <w:r w:rsidRPr="00EC20A0">
              <w:rPr>
                <w:spacing w:val="80"/>
              </w:rPr>
              <w:t xml:space="preserve"> </w:t>
            </w:r>
            <w:r w:rsidRPr="00EC20A0">
              <w:t>the entity’s financial management systems not complying substantially</w:t>
            </w:r>
            <w:r w:rsidRPr="00EC20A0">
              <w:rPr>
                <w:spacing w:val="-6"/>
              </w:rPr>
              <w:t xml:space="preserve"> </w:t>
            </w:r>
            <w:r w:rsidRPr="00EC20A0">
              <w:t>with</w:t>
            </w:r>
            <w:r w:rsidRPr="00EC20A0">
              <w:rPr>
                <w:spacing w:val="-5"/>
              </w:rPr>
              <w:t xml:space="preserve"> </w:t>
            </w:r>
            <w:r w:rsidRPr="00EC20A0">
              <w:t>the</w:t>
            </w:r>
            <w:r w:rsidRPr="00EC20A0">
              <w:rPr>
                <w:spacing w:val="-5"/>
              </w:rPr>
              <w:t xml:space="preserve"> </w:t>
            </w:r>
            <w:r w:rsidRPr="00EC20A0">
              <w:t>requirements</w:t>
            </w:r>
            <w:r w:rsidRPr="00EC20A0">
              <w:rPr>
                <w:spacing w:val="-5"/>
              </w:rPr>
              <w:t xml:space="preserve"> </w:t>
            </w:r>
            <w:r w:rsidRPr="00EC20A0">
              <w:t>of</w:t>
            </w:r>
            <w:r w:rsidRPr="00EC20A0">
              <w:rPr>
                <w:spacing w:val="-5"/>
              </w:rPr>
              <w:t xml:space="preserve"> </w:t>
            </w:r>
            <w:r w:rsidRPr="00EC20A0">
              <w:t>FFMIA</w:t>
            </w:r>
            <w:r w:rsidRPr="00EC20A0">
              <w:rPr>
                <w:spacing w:val="-5"/>
              </w:rPr>
              <w:t xml:space="preserve"> </w:t>
            </w:r>
            <w:r w:rsidRPr="00EC20A0">
              <w:t>(for</w:t>
            </w:r>
            <w:r w:rsidRPr="00EC20A0">
              <w:rPr>
                <w:spacing w:val="-4"/>
              </w:rPr>
              <w:t xml:space="preserve"> </w:t>
            </w:r>
            <w:r w:rsidRPr="00EC20A0">
              <w:t>CFO</w:t>
            </w:r>
            <w:r w:rsidRPr="00EC20A0">
              <w:rPr>
                <w:spacing w:val="-6"/>
              </w:rPr>
              <w:t xml:space="preserve"> </w:t>
            </w:r>
            <w:r w:rsidRPr="00EC20A0">
              <w:t>Act agencies) (FAM 590); and</w:t>
            </w:r>
          </w:p>
        </w:tc>
        <w:tc>
          <w:tcPr>
            <w:tcW w:w="810" w:type="dxa"/>
            <w:tcBorders>
              <w:top w:val="single" w:sz="6" w:space="0" w:color="000000"/>
              <w:left w:val="single" w:sz="6" w:space="0" w:color="000000"/>
              <w:bottom w:val="single" w:sz="6" w:space="0" w:color="000000"/>
              <w:right w:val="single" w:sz="6" w:space="0" w:color="000000"/>
            </w:tcBorders>
          </w:tcPr>
          <w:p w14:paraId="24D627C5"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C6" w14:textId="77777777" w:rsidR="00245300" w:rsidRPr="00EC20A0" w:rsidRDefault="00245300">
            <w:pPr>
              <w:pStyle w:val="TableParagraph"/>
            </w:pPr>
          </w:p>
        </w:tc>
      </w:tr>
      <w:tr w:rsidR="00245300" w:rsidRPr="00EC20A0" w14:paraId="24D627CB" w14:textId="77777777">
        <w:trPr>
          <w:trHeight w:val="998"/>
        </w:trPr>
        <w:tc>
          <w:tcPr>
            <w:tcW w:w="7380" w:type="dxa"/>
            <w:tcBorders>
              <w:top w:val="single" w:sz="6" w:space="0" w:color="000000"/>
              <w:bottom w:val="single" w:sz="6" w:space="0" w:color="000000"/>
              <w:right w:val="single" w:sz="6" w:space="0" w:color="000000"/>
            </w:tcBorders>
          </w:tcPr>
          <w:p w14:paraId="24D627C8" w14:textId="77777777" w:rsidR="00245300" w:rsidRPr="00EC20A0" w:rsidRDefault="00F17249">
            <w:pPr>
              <w:pStyle w:val="TableParagraph"/>
              <w:spacing w:before="121"/>
              <w:ind w:left="1244" w:hanging="360"/>
            </w:pPr>
            <w:r w:rsidRPr="00EC20A0">
              <w:t>c.</w:t>
            </w:r>
            <w:r w:rsidRPr="00EC20A0">
              <w:rPr>
                <w:spacing w:val="80"/>
              </w:rPr>
              <w:t xml:space="preserve"> </w:t>
            </w:r>
            <w:r w:rsidRPr="00EC20A0">
              <w:t>noncompliance</w:t>
            </w:r>
            <w:r w:rsidRPr="00EC20A0">
              <w:rPr>
                <w:spacing w:val="-4"/>
              </w:rPr>
              <w:t xml:space="preserve"> </w:t>
            </w:r>
            <w:r w:rsidRPr="00EC20A0">
              <w:t>with</w:t>
            </w:r>
            <w:r w:rsidRPr="00EC20A0">
              <w:rPr>
                <w:spacing w:val="-4"/>
              </w:rPr>
              <w:t xml:space="preserve"> </w:t>
            </w:r>
            <w:r w:rsidRPr="00EC20A0">
              <w:t>significant</w:t>
            </w:r>
            <w:r w:rsidRPr="00EC20A0">
              <w:rPr>
                <w:spacing w:val="-4"/>
              </w:rPr>
              <w:t xml:space="preserve"> </w:t>
            </w:r>
            <w:r w:rsidRPr="00EC20A0">
              <w:t>provisions</w:t>
            </w:r>
            <w:r w:rsidRPr="00EC20A0">
              <w:rPr>
                <w:spacing w:val="-4"/>
              </w:rPr>
              <w:t xml:space="preserve"> </w:t>
            </w:r>
            <w:r w:rsidRPr="00EC20A0">
              <w:t>of</w:t>
            </w:r>
            <w:r w:rsidRPr="00EC20A0">
              <w:rPr>
                <w:spacing w:val="-5"/>
              </w:rPr>
              <w:t xml:space="preserve"> </w:t>
            </w:r>
            <w:r w:rsidRPr="00EC20A0">
              <w:t>applicable</w:t>
            </w:r>
            <w:r w:rsidRPr="00EC20A0">
              <w:rPr>
                <w:spacing w:val="-5"/>
              </w:rPr>
              <w:t xml:space="preserve"> </w:t>
            </w:r>
            <w:r w:rsidRPr="00EC20A0">
              <w:t xml:space="preserve">laws, regulations, contracts, and grant agreements (FAM 590), if </w:t>
            </w:r>
            <w:r w:rsidRPr="00EC20A0">
              <w:rPr>
                <w:spacing w:val="-4"/>
              </w:rPr>
              <w:t>any?</w:t>
            </w:r>
          </w:p>
        </w:tc>
        <w:tc>
          <w:tcPr>
            <w:tcW w:w="810" w:type="dxa"/>
            <w:tcBorders>
              <w:top w:val="single" w:sz="6" w:space="0" w:color="000000"/>
              <w:left w:val="single" w:sz="6" w:space="0" w:color="000000"/>
              <w:bottom w:val="single" w:sz="6" w:space="0" w:color="000000"/>
              <w:right w:val="single" w:sz="6" w:space="0" w:color="000000"/>
            </w:tcBorders>
          </w:tcPr>
          <w:p w14:paraId="24D627C9"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CA" w14:textId="77777777" w:rsidR="00245300" w:rsidRPr="00EC20A0" w:rsidRDefault="00245300">
            <w:pPr>
              <w:pStyle w:val="TableParagraph"/>
            </w:pPr>
          </w:p>
        </w:tc>
      </w:tr>
      <w:tr w:rsidR="00245300" w:rsidRPr="00EC20A0" w14:paraId="24D627CF" w14:textId="77777777">
        <w:trPr>
          <w:trHeight w:val="745"/>
        </w:trPr>
        <w:tc>
          <w:tcPr>
            <w:tcW w:w="7380" w:type="dxa"/>
            <w:tcBorders>
              <w:top w:val="single" w:sz="6" w:space="0" w:color="000000"/>
              <w:bottom w:val="single" w:sz="6" w:space="0" w:color="000000"/>
              <w:right w:val="single" w:sz="6" w:space="0" w:color="000000"/>
            </w:tcBorders>
          </w:tcPr>
          <w:p w14:paraId="24D627CC" w14:textId="77777777" w:rsidR="00245300" w:rsidRPr="00EC20A0" w:rsidRDefault="00F17249">
            <w:pPr>
              <w:pStyle w:val="TableParagraph"/>
              <w:spacing w:before="119"/>
              <w:ind w:left="915" w:hanging="360"/>
            </w:pPr>
            <w:r w:rsidRPr="00EC20A0">
              <w:t>11.</w:t>
            </w:r>
            <w:r w:rsidRPr="00EC20A0">
              <w:rPr>
                <w:spacing w:val="-11"/>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develop</w:t>
            </w:r>
            <w:r w:rsidRPr="00EC20A0">
              <w:rPr>
                <w:spacing w:val="-4"/>
              </w:rPr>
              <w:t xml:space="preserve"> </w:t>
            </w:r>
            <w:r w:rsidRPr="00EC20A0">
              <w:t>the</w:t>
            </w:r>
            <w:r w:rsidRPr="00EC20A0">
              <w:rPr>
                <w:spacing w:val="-4"/>
              </w:rPr>
              <w:t xml:space="preserve"> </w:t>
            </w:r>
            <w:r w:rsidRPr="00EC20A0">
              <w:t>elements</w:t>
            </w:r>
            <w:r w:rsidRPr="00EC20A0">
              <w:rPr>
                <w:spacing w:val="-4"/>
              </w:rPr>
              <w:t xml:space="preserve"> </w:t>
            </w:r>
            <w:r w:rsidRPr="00EC20A0">
              <w:t>of</w:t>
            </w:r>
            <w:r w:rsidRPr="00EC20A0">
              <w:rPr>
                <w:spacing w:val="-4"/>
              </w:rPr>
              <w:t xml:space="preserve"> </w:t>
            </w:r>
            <w:r w:rsidRPr="00EC20A0">
              <w:t>audit</w:t>
            </w:r>
            <w:r w:rsidRPr="00EC20A0">
              <w:rPr>
                <w:spacing w:val="-4"/>
              </w:rPr>
              <w:t xml:space="preserve"> </w:t>
            </w:r>
            <w:r w:rsidRPr="00EC20A0">
              <w:t>findings</w:t>
            </w:r>
            <w:r w:rsidRPr="00EC20A0">
              <w:rPr>
                <w:spacing w:val="-4"/>
              </w:rPr>
              <w:t xml:space="preserve"> </w:t>
            </w:r>
            <w:r w:rsidRPr="00EC20A0">
              <w:t>to</w:t>
            </w:r>
            <w:r w:rsidRPr="00EC20A0">
              <w:rPr>
                <w:spacing w:val="-4"/>
              </w:rPr>
              <w:t xml:space="preserve"> </w:t>
            </w:r>
            <w:r w:rsidRPr="00EC20A0">
              <w:t>include (where appropriate and known) the</w:t>
            </w:r>
          </w:p>
        </w:tc>
        <w:tc>
          <w:tcPr>
            <w:tcW w:w="810" w:type="dxa"/>
            <w:tcBorders>
              <w:top w:val="single" w:sz="6" w:space="0" w:color="000000"/>
              <w:left w:val="single" w:sz="6" w:space="0" w:color="000000"/>
              <w:bottom w:val="single" w:sz="6" w:space="0" w:color="000000"/>
              <w:right w:val="single" w:sz="6" w:space="0" w:color="000000"/>
            </w:tcBorders>
            <w:shd w:val="clear" w:color="auto" w:fill="A6A6A6"/>
          </w:tcPr>
          <w:p w14:paraId="24D627CD"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A6A6A6"/>
          </w:tcPr>
          <w:p w14:paraId="24D627CE" w14:textId="77777777" w:rsidR="00245300" w:rsidRPr="00EC20A0" w:rsidRDefault="00245300">
            <w:pPr>
              <w:pStyle w:val="TableParagraph"/>
            </w:pPr>
          </w:p>
        </w:tc>
      </w:tr>
      <w:tr w:rsidR="00245300" w:rsidRPr="00EC20A0" w14:paraId="24D627D3" w14:textId="77777777">
        <w:trPr>
          <w:trHeight w:val="493"/>
        </w:trPr>
        <w:tc>
          <w:tcPr>
            <w:tcW w:w="7380" w:type="dxa"/>
            <w:tcBorders>
              <w:top w:val="single" w:sz="6" w:space="0" w:color="000000"/>
              <w:bottom w:val="single" w:sz="6" w:space="0" w:color="000000"/>
              <w:right w:val="single" w:sz="6" w:space="0" w:color="000000"/>
            </w:tcBorders>
          </w:tcPr>
          <w:p w14:paraId="24D627D0" w14:textId="77777777" w:rsidR="00245300" w:rsidRPr="00EC20A0" w:rsidRDefault="00F17249">
            <w:pPr>
              <w:pStyle w:val="TableParagraph"/>
              <w:tabs>
                <w:tab w:val="left" w:pos="1334"/>
              </w:tabs>
              <w:spacing w:before="121"/>
              <w:ind w:left="944"/>
            </w:pPr>
            <w:r w:rsidRPr="00EC20A0">
              <w:rPr>
                <w:spacing w:val="-5"/>
              </w:rPr>
              <w:t>a.</w:t>
            </w:r>
            <w:r w:rsidRPr="00EC20A0">
              <w:tab/>
              <w:t>condition</w:t>
            </w:r>
            <w:r w:rsidRPr="00EC20A0">
              <w:rPr>
                <w:spacing w:val="-8"/>
              </w:rPr>
              <w:t xml:space="preserve"> </w:t>
            </w:r>
            <w:r w:rsidRPr="00EC20A0">
              <w:t>(describe</w:t>
            </w:r>
            <w:r w:rsidRPr="00EC20A0">
              <w:rPr>
                <w:spacing w:val="-7"/>
              </w:rPr>
              <w:t xml:space="preserve"> </w:t>
            </w:r>
            <w:r w:rsidRPr="00EC20A0">
              <w:t>the</w:t>
            </w:r>
            <w:r w:rsidRPr="00EC20A0">
              <w:rPr>
                <w:spacing w:val="-8"/>
              </w:rPr>
              <w:t xml:space="preserve"> </w:t>
            </w:r>
            <w:r w:rsidRPr="00EC20A0">
              <w:t>existing</w:t>
            </w:r>
            <w:r w:rsidRPr="00EC20A0">
              <w:rPr>
                <w:spacing w:val="-8"/>
              </w:rPr>
              <w:t xml:space="preserve"> </w:t>
            </w:r>
            <w:r w:rsidRPr="00EC20A0">
              <w:rPr>
                <w:spacing w:val="-2"/>
              </w:rPr>
              <w:t>situation),</w:t>
            </w:r>
          </w:p>
        </w:tc>
        <w:tc>
          <w:tcPr>
            <w:tcW w:w="810" w:type="dxa"/>
            <w:tcBorders>
              <w:top w:val="single" w:sz="6" w:space="0" w:color="000000"/>
              <w:left w:val="single" w:sz="6" w:space="0" w:color="000000"/>
              <w:bottom w:val="single" w:sz="6" w:space="0" w:color="000000"/>
              <w:right w:val="single" w:sz="6" w:space="0" w:color="000000"/>
            </w:tcBorders>
          </w:tcPr>
          <w:p w14:paraId="24D627D1"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D2" w14:textId="77777777" w:rsidR="00245300" w:rsidRPr="00EC20A0" w:rsidRDefault="00245300">
            <w:pPr>
              <w:pStyle w:val="TableParagraph"/>
            </w:pPr>
          </w:p>
        </w:tc>
      </w:tr>
      <w:tr w:rsidR="00245300" w:rsidRPr="00EC20A0" w14:paraId="24D627D7" w14:textId="77777777">
        <w:trPr>
          <w:trHeight w:val="492"/>
        </w:trPr>
        <w:tc>
          <w:tcPr>
            <w:tcW w:w="7380" w:type="dxa"/>
            <w:tcBorders>
              <w:top w:val="single" w:sz="6" w:space="0" w:color="000000"/>
              <w:bottom w:val="single" w:sz="6" w:space="0" w:color="000000"/>
              <w:right w:val="single" w:sz="6" w:space="0" w:color="000000"/>
            </w:tcBorders>
          </w:tcPr>
          <w:p w14:paraId="24D627D4" w14:textId="77777777" w:rsidR="00245300" w:rsidRPr="00EC20A0" w:rsidRDefault="00F17249">
            <w:pPr>
              <w:pStyle w:val="TableParagraph"/>
              <w:tabs>
                <w:tab w:val="left" w:pos="1334"/>
              </w:tabs>
              <w:spacing w:before="119"/>
              <w:ind w:left="944"/>
            </w:pPr>
            <w:r w:rsidRPr="00EC20A0">
              <w:rPr>
                <w:spacing w:val="-5"/>
              </w:rPr>
              <w:t>b.</w:t>
            </w:r>
            <w:r w:rsidRPr="00EC20A0">
              <w:tab/>
              <w:t>criteria</w:t>
            </w:r>
            <w:r w:rsidRPr="00EC20A0">
              <w:rPr>
                <w:spacing w:val="-7"/>
              </w:rPr>
              <w:t xml:space="preserve"> </w:t>
            </w:r>
            <w:r w:rsidRPr="00EC20A0">
              <w:t>(state</w:t>
            </w:r>
            <w:r w:rsidRPr="00EC20A0">
              <w:rPr>
                <w:spacing w:val="-6"/>
              </w:rPr>
              <w:t xml:space="preserve"> </w:t>
            </w:r>
            <w:r w:rsidRPr="00EC20A0">
              <w:t>what</w:t>
            </w:r>
            <w:r w:rsidRPr="00EC20A0">
              <w:rPr>
                <w:spacing w:val="-7"/>
              </w:rPr>
              <w:t xml:space="preserve"> </w:t>
            </w:r>
            <w:r w:rsidRPr="00EC20A0">
              <w:t>we</w:t>
            </w:r>
            <w:r w:rsidRPr="00EC20A0">
              <w:rPr>
                <w:spacing w:val="-6"/>
              </w:rPr>
              <w:t xml:space="preserve"> </w:t>
            </w:r>
            <w:r w:rsidRPr="00EC20A0">
              <w:t>are</w:t>
            </w:r>
            <w:r w:rsidRPr="00EC20A0">
              <w:rPr>
                <w:spacing w:val="-7"/>
              </w:rPr>
              <w:t xml:space="preserve"> </w:t>
            </w:r>
            <w:r w:rsidRPr="00EC20A0">
              <w:t>comparing</w:t>
            </w:r>
            <w:r w:rsidRPr="00EC20A0">
              <w:rPr>
                <w:spacing w:val="-7"/>
              </w:rPr>
              <w:t xml:space="preserve"> </w:t>
            </w:r>
            <w:r w:rsidRPr="00EC20A0">
              <w:rPr>
                <w:spacing w:val="-4"/>
              </w:rPr>
              <w:t>to),</w:t>
            </w:r>
          </w:p>
        </w:tc>
        <w:tc>
          <w:tcPr>
            <w:tcW w:w="810" w:type="dxa"/>
            <w:tcBorders>
              <w:top w:val="single" w:sz="6" w:space="0" w:color="000000"/>
              <w:left w:val="single" w:sz="6" w:space="0" w:color="000000"/>
              <w:bottom w:val="single" w:sz="6" w:space="0" w:color="000000"/>
              <w:right w:val="single" w:sz="6" w:space="0" w:color="000000"/>
            </w:tcBorders>
          </w:tcPr>
          <w:p w14:paraId="24D627D5"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D6" w14:textId="77777777" w:rsidR="00245300" w:rsidRPr="00EC20A0" w:rsidRDefault="00245300">
            <w:pPr>
              <w:pStyle w:val="TableParagraph"/>
            </w:pPr>
          </w:p>
        </w:tc>
      </w:tr>
      <w:tr w:rsidR="00245300" w:rsidRPr="00EC20A0" w14:paraId="24D627DB" w14:textId="77777777">
        <w:trPr>
          <w:trHeight w:val="745"/>
        </w:trPr>
        <w:tc>
          <w:tcPr>
            <w:tcW w:w="7380" w:type="dxa"/>
            <w:tcBorders>
              <w:top w:val="single" w:sz="6" w:space="0" w:color="000000"/>
              <w:bottom w:val="single" w:sz="6" w:space="0" w:color="000000"/>
              <w:right w:val="single" w:sz="6" w:space="0" w:color="000000"/>
            </w:tcBorders>
          </w:tcPr>
          <w:p w14:paraId="24D627D8" w14:textId="77777777" w:rsidR="00245300" w:rsidRPr="00EC20A0" w:rsidRDefault="00F17249">
            <w:pPr>
              <w:pStyle w:val="TableParagraph"/>
              <w:tabs>
                <w:tab w:val="left" w:pos="1334"/>
              </w:tabs>
              <w:spacing w:before="119"/>
              <w:ind w:left="1304" w:right="670" w:hanging="360"/>
            </w:pPr>
            <w:r w:rsidRPr="00EC20A0">
              <w:rPr>
                <w:spacing w:val="-6"/>
              </w:rPr>
              <w:t>c.</w:t>
            </w:r>
            <w:r w:rsidRPr="00EC20A0">
              <w:tab/>
            </w:r>
            <w:r w:rsidRPr="00EC20A0">
              <w:tab/>
              <w:t>cause</w:t>
            </w:r>
            <w:r w:rsidRPr="00EC20A0">
              <w:rPr>
                <w:spacing w:val="-5"/>
              </w:rPr>
              <w:t xml:space="preserve"> </w:t>
            </w:r>
            <w:r w:rsidRPr="00EC20A0">
              <w:t>(reflect</w:t>
            </w:r>
            <w:r w:rsidRPr="00EC20A0">
              <w:rPr>
                <w:spacing w:val="-5"/>
              </w:rPr>
              <w:t xml:space="preserve"> </w:t>
            </w:r>
            <w:r w:rsidRPr="00EC20A0">
              <w:t>reason</w:t>
            </w:r>
            <w:r w:rsidRPr="00EC20A0">
              <w:rPr>
                <w:spacing w:val="-5"/>
              </w:rPr>
              <w:t xml:space="preserve"> </w:t>
            </w:r>
            <w:r w:rsidRPr="00EC20A0">
              <w:t>or</w:t>
            </w:r>
            <w:r w:rsidRPr="00EC20A0">
              <w:rPr>
                <w:spacing w:val="-7"/>
              </w:rPr>
              <w:t xml:space="preserve"> </w:t>
            </w:r>
            <w:r w:rsidRPr="00EC20A0">
              <w:t>reasons</w:t>
            </w:r>
            <w:r w:rsidRPr="00EC20A0">
              <w:rPr>
                <w:spacing w:val="-5"/>
              </w:rPr>
              <w:t xml:space="preserve"> </w:t>
            </w:r>
            <w:r w:rsidRPr="00EC20A0">
              <w:t>why</w:t>
            </w:r>
            <w:r w:rsidRPr="00EC20A0">
              <w:rPr>
                <w:spacing w:val="-5"/>
              </w:rPr>
              <w:t xml:space="preserve"> </w:t>
            </w:r>
            <w:r w:rsidRPr="00EC20A0">
              <w:t>the</w:t>
            </w:r>
            <w:r w:rsidRPr="00EC20A0">
              <w:rPr>
                <w:spacing w:val="-5"/>
              </w:rPr>
              <w:t xml:space="preserve"> </w:t>
            </w:r>
            <w:r w:rsidRPr="00EC20A0">
              <w:t>condition</w:t>
            </w:r>
            <w:r w:rsidRPr="00EC20A0">
              <w:rPr>
                <w:spacing w:val="-5"/>
              </w:rPr>
              <w:t xml:space="preserve"> </w:t>
            </w:r>
            <w:r w:rsidRPr="00EC20A0">
              <w:t>and criteria differ), and</w:t>
            </w:r>
          </w:p>
        </w:tc>
        <w:tc>
          <w:tcPr>
            <w:tcW w:w="810" w:type="dxa"/>
            <w:tcBorders>
              <w:top w:val="single" w:sz="6" w:space="0" w:color="000000"/>
              <w:left w:val="single" w:sz="6" w:space="0" w:color="000000"/>
              <w:bottom w:val="single" w:sz="6" w:space="0" w:color="000000"/>
              <w:right w:val="single" w:sz="6" w:space="0" w:color="000000"/>
            </w:tcBorders>
          </w:tcPr>
          <w:p w14:paraId="24D627D9"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DA" w14:textId="77777777" w:rsidR="00245300" w:rsidRPr="00EC20A0" w:rsidRDefault="00245300">
            <w:pPr>
              <w:pStyle w:val="TableParagraph"/>
            </w:pPr>
          </w:p>
        </w:tc>
      </w:tr>
      <w:tr w:rsidR="00245300" w:rsidRPr="00EC20A0" w14:paraId="24D627E0" w14:textId="77777777">
        <w:trPr>
          <w:trHeight w:val="999"/>
        </w:trPr>
        <w:tc>
          <w:tcPr>
            <w:tcW w:w="7380" w:type="dxa"/>
            <w:tcBorders>
              <w:top w:val="single" w:sz="6" w:space="0" w:color="000000"/>
              <w:bottom w:val="single" w:sz="6" w:space="0" w:color="000000"/>
              <w:right w:val="single" w:sz="6" w:space="0" w:color="000000"/>
            </w:tcBorders>
          </w:tcPr>
          <w:p w14:paraId="24D627DC" w14:textId="77777777" w:rsidR="00245300" w:rsidRPr="00EC20A0" w:rsidRDefault="00F17249">
            <w:pPr>
              <w:pStyle w:val="TableParagraph"/>
              <w:tabs>
                <w:tab w:val="left" w:pos="1334"/>
              </w:tabs>
              <w:spacing w:before="119"/>
              <w:ind w:left="1304" w:right="331" w:hanging="361"/>
            </w:pPr>
            <w:r w:rsidRPr="00EC20A0">
              <w:rPr>
                <w:spacing w:val="-6"/>
              </w:rPr>
              <w:t>d.</w:t>
            </w:r>
            <w:r w:rsidRPr="00EC20A0">
              <w:tab/>
            </w:r>
            <w:r w:rsidRPr="00EC20A0">
              <w:tab/>
              <w:t>effect (describe the result of the difference between the condition</w:t>
            </w:r>
            <w:r w:rsidRPr="00EC20A0">
              <w:rPr>
                <w:spacing w:val="-5"/>
              </w:rPr>
              <w:t xml:space="preserve"> </w:t>
            </w:r>
            <w:r w:rsidRPr="00EC20A0">
              <w:t>and</w:t>
            </w:r>
            <w:r w:rsidRPr="00EC20A0">
              <w:rPr>
                <w:spacing w:val="-5"/>
              </w:rPr>
              <w:t xml:space="preserve"> </w:t>
            </w:r>
            <w:r w:rsidRPr="00EC20A0">
              <w:t>criteria)?</w:t>
            </w:r>
            <w:r w:rsidRPr="00EC20A0">
              <w:rPr>
                <w:spacing w:val="-5"/>
              </w:rPr>
              <w:t xml:space="preserve"> </w:t>
            </w:r>
            <w:r w:rsidRPr="00EC20A0">
              <w:t>(FAM</w:t>
            </w:r>
            <w:r w:rsidRPr="00EC20A0">
              <w:rPr>
                <w:spacing w:val="-6"/>
              </w:rPr>
              <w:t xml:space="preserve"> </w:t>
            </w:r>
            <w:r w:rsidRPr="00EC20A0">
              <w:t>580</w:t>
            </w:r>
            <w:r w:rsidRPr="00EC20A0">
              <w:rPr>
                <w:spacing w:val="-5"/>
              </w:rPr>
              <w:t xml:space="preserve"> </w:t>
            </w:r>
            <w:r w:rsidRPr="00EC20A0">
              <w:t>and</w:t>
            </w:r>
            <w:r w:rsidRPr="00EC20A0">
              <w:rPr>
                <w:spacing w:val="-5"/>
              </w:rPr>
              <w:t xml:space="preserve"> </w:t>
            </w:r>
            <w:r w:rsidRPr="00EC20A0">
              <w:t>GAGAS</w:t>
            </w:r>
            <w:r w:rsidRPr="00EC20A0">
              <w:rPr>
                <w:spacing w:val="-6"/>
              </w:rPr>
              <w:t xml:space="preserve"> </w:t>
            </w:r>
            <w:r w:rsidRPr="00EC20A0">
              <w:t>(2018)</w:t>
            </w:r>
            <w:r w:rsidRPr="00EC20A0">
              <w:rPr>
                <w:spacing w:val="-5"/>
              </w:rPr>
              <w:t xml:space="preserve"> </w:t>
            </w:r>
            <w:r w:rsidRPr="00EC20A0">
              <w:t>6.25</w:t>
            </w:r>
          </w:p>
          <w:p w14:paraId="24D627DD" w14:textId="77777777" w:rsidR="00245300" w:rsidRPr="00EC20A0" w:rsidRDefault="00F17249">
            <w:pPr>
              <w:pStyle w:val="TableParagraph"/>
              <w:spacing w:before="1"/>
              <w:ind w:left="1304"/>
            </w:pPr>
            <w:r w:rsidRPr="00EC20A0">
              <w:t>through</w:t>
            </w:r>
            <w:r w:rsidRPr="00EC20A0">
              <w:rPr>
                <w:spacing w:val="-8"/>
              </w:rPr>
              <w:t xml:space="preserve"> </w:t>
            </w:r>
            <w:r w:rsidRPr="00EC20A0">
              <w:rPr>
                <w:spacing w:val="-2"/>
              </w:rPr>
              <w:t>6.28)</w:t>
            </w:r>
          </w:p>
        </w:tc>
        <w:tc>
          <w:tcPr>
            <w:tcW w:w="810" w:type="dxa"/>
            <w:tcBorders>
              <w:top w:val="single" w:sz="6" w:space="0" w:color="000000"/>
              <w:left w:val="single" w:sz="6" w:space="0" w:color="000000"/>
              <w:bottom w:val="single" w:sz="6" w:space="0" w:color="000000"/>
              <w:right w:val="single" w:sz="6" w:space="0" w:color="000000"/>
            </w:tcBorders>
          </w:tcPr>
          <w:p w14:paraId="24D627DE"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DF" w14:textId="77777777" w:rsidR="00245300" w:rsidRPr="00EC20A0" w:rsidRDefault="00245300">
            <w:pPr>
              <w:pStyle w:val="TableParagraph"/>
            </w:pPr>
          </w:p>
        </w:tc>
      </w:tr>
      <w:tr w:rsidR="00245300" w:rsidRPr="00EC20A0" w14:paraId="24D627E4" w14:textId="77777777">
        <w:trPr>
          <w:trHeight w:val="745"/>
        </w:trPr>
        <w:tc>
          <w:tcPr>
            <w:tcW w:w="7380" w:type="dxa"/>
            <w:tcBorders>
              <w:top w:val="single" w:sz="6" w:space="0" w:color="000000"/>
              <w:bottom w:val="single" w:sz="6" w:space="0" w:color="000000"/>
              <w:right w:val="single" w:sz="6" w:space="0" w:color="000000"/>
            </w:tcBorders>
          </w:tcPr>
          <w:p w14:paraId="24D627E1" w14:textId="77777777" w:rsidR="00245300" w:rsidRPr="00EC20A0" w:rsidRDefault="00F17249">
            <w:pPr>
              <w:pStyle w:val="TableParagraph"/>
              <w:spacing w:before="119"/>
              <w:ind w:left="916" w:right="141" w:hanging="361"/>
            </w:pPr>
            <w:r w:rsidRPr="00EC20A0">
              <w:t>12.</w:t>
            </w:r>
            <w:r w:rsidRPr="00EC20A0">
              <w:rPr>
                <w:spacing w:val="-12"/>
              </w:rPr>
              <w:t xml:space="preserve"> </w:t>
            </w:r>
            <w:r w:rsidRPr="00EC20A0">
              <w:t>Are</w:t>
            </w:r>
            <w:r w:rsidRPr="00EC20A0">
              <w:rPr>
                <w:spacing w:val="-6"/>
              </w:rPr>
              <w:t xml:space="preserve"> </w:t>
            </w:r>
            <w:r w:rsidRPr="00EC20A0">
              <w:t>recommendations</w:t>
            </w:r>
            <w:r w:rsidRPr="00EC20A0">
              <w:rPr>
                <w:spacing w:val="-6"/>
              </w:rPr>
              <w:t xml:space="preserve"> </w:t>
            </w:r>
            <w:r w:rsidRPr="00EC20A0">
              <w:t>and</w:t>
            </w:r>
            <w:r w:rsidRPr="00EC20A0">
              <w:rPr>
                <w:spacing w:val="-6"/>
              </w:rPr>
              <w:t xml:space="preserve"> </w:t>
            </w:r>
            <w:r w:rsidRPr="00EC20A0">
              <w:t>suggestions</w:t>
            </w:r>
            <w:r w:rsidRPr="00EC20A0">
              <w:rPr>
                <w:spacing w:val="-6"/>
              </w:rPr>
              <w:t xml:space="preserve"> </w:t>
            </w:r>
            <w:r w:rsidRPr="00EC20A0">
              <w:t>(if</w:t>
            </w:r>
            <w:r w:rsidRPr="00EC20A0">
              <w:rPr>
                <w:spacing w:val="-6"/>
              </w:rPr>
              <w:t xml:space="preserve"> </w:t>
            </w:r>
            <w:r w:rsidRPr="00EC20A0">
              <w:t>any)</w:t>
            </w:r>
            <w:r w:rsidRPr="00EC20A0">
              <w:rPr>
                <w:spacing w:val="-6"/>
              </w:rPr>
              <w:t xml:space="preserve"> </w:t>
            </w:r>
            <w:r w:rsidRPr="00EC20A0">
              <w:t>reasonable, doable, and cost-effective?</w:t>
            </w:r>
          </w:p>
        </w:tc>
        <w:tc>
          <w:tcPr>
            <w:tcW w:w="810" w:type="dxa"/>
            <w:tcBorders>
              <w:top w:val="single" w:sz="6" w:space="0" w:color="000000"/>
              <w:left w:val="single" w:sz="6" w:space="0" w:color="000000"/>
              <w:bottom w:val="single" w:sz="6" w:space="0" w:color="000000"/>
              <w:right w:val="single" w:sz="6" w:space="0" w:color="000000"/>
            </w:tcBorders>
          </w:tcPr>
          <w:p w14:paraId="24D627E2"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E3" w14:textId="77777777" w:rsidR="00245300" w:rsidRPr="00EC20A0" w:rsidRDefault="00245300">
            <w:pPr>
              <w:pStyle w:val="TableParagraph"/>
            </w:pPr>
          </w:p>
        </w:tc>
      </w:tr>
      <w:tr w:rsidR="00245300" w:rsidRPr="00EC20A0" w14:paraId="24D627E8" w14:textId="77777777">
        <w:trPr>
          <w:trHeight w:val="745"/>
        </w:trPr>
        <w:tc>
          <w:tcPr>
            <w:tcW w:w="7380" w:type="dxa"/>
            <w:tcBorders>
              <w:top w:val="single" w:sz="6" w:space="0" w:color="000000"/>
              <w:bottom w:val="single" w:sz="6" w:space="0" w:color="000000"/>
              <w:right w:val="single" w:sz="6" w:space="0" w:color="000000"/>
            </w:tcBorders>
          </w:tcPr>
          <w:p w14:paraId="24D627E5" w14:textId="77777777" w:rsidR="00245300" w:rsidRPr="00EC20A0" w:rsidRDefault="00F17249">
            <w:pPr>
              <w:pStyle w:val="TableParagraph"/>
              <w:spacing w:before="119"/>
              <w:ind w:left="915" w:right="197" w:hanging="360"/>
            </w:pPr>
            <w:r w:rsidRPr="00EC20A0">
              <w:t>13.</w:t>
            </w:r>
            <w:r w:rsidRPr="00EC20A0">
              <w:rPr>
                <w:spacing w:val="-11"/>
              </w:rPr>
              <w:t xml:space="preserve"> </w:t>
            </w:r>
            <w:r w:rsidRPr="00EC20A0">
              <w:t>Did</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obtain</w:t>
            </w:r>
            <w:r w:rsidRPr="00EC20A0">
              <w:rPr>
                <w:spacing w:val="-4"/>
              </w:rPr>
              <w:t xml:space="preserve"> </w:t>
            </w:r>
            <w:r w:rsidRPr="00EC20A0">
              <w:t>and</w:t>
            </w:r>
            <w:r w:rsidRPr="00EC20A0">
              <w:rPr>
                <w:spacing w:val="-4"/>
              </w:rPr>
              <w:t xml:space="preserve"> </w:t>
            </w:r>
            <w:r w:rsidRPr="00EC20A0">
              <w:t>report</w:t>
            </w:r>
            <w:r w:rsidRPr="00EC20A0">
              <w:rPr>
                <w:spacing w:val="-4"/>
              </w:rPr>
              <w:t xml:space="preserve"> </w:t>
            </w:r>
            <w:r w:rsidRPr="00EC20A0">
              <w:t>the</w:t>
            </w:r>
            <w:r w:rsidRPr="00EC20A0">
              <w:rPr>
                <w:spacing w:val="-4"/>
              </w:rPr>
              <w:t xml:space="preserve"> </w:t>
            </w:r>
            <w:r w:rsidRPr="00EC20A0">
              <w:t>views</w:t>
            </w:r>
            <w:r w:rsidRPr="00EC20A0">
              <w:rPr>
                <w:spacing w:val="-4"/>
              </w:rPr>
              <w:t xml:space="preserve"> </w:t>
            </w:r>
            <w:r w:rsidRPr="00EC20A0">
              <w:t>of</w:t>
            </w:r>
            <w:r w:rsidRPr="00EC20A0">
              <w:rPr>
                <w:spacing w:val="-4"/>
              </w:rPr>
              <w:t xml:space="preserve"> </w:t>
            </w:r>
            <w:r w:rsidRPr="00EC20A0">
              <w:t>responsible officials in agency comments, including</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7E6"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7E7" w14:textId="77777777" w:rsidR="00245300" w:rsidRPr="00EC20A0" w:rsidRDefault="00245300">
            <w:pPr>
              <w:pStyle w:val="TableParagraph"/>
            </w:pPr>
          </w:p>
        </w:tc>
      </w:tr>
      <w:tr w:rsidR="00245300" w:rsidRPr="00EC20A0" w14:paraId="24D627EC" w14:textId="77777777">
        <w:trPr>
          <w:trHeight w:val="493"/>
        </w:trPr>
        <w:tc>
          <w:tcPr>
            <w:tcW w:w="7380" w:type="dxa"/>
            <w:tcBorders>
              <w:top w:val="single" w:sz="6" w:space="0" w:color="000000"/>
              <w:bottom w:val="single" w:sz="6" w:space="0" w:color="000000"/>
              <w:right w:val="single" w:sz="6" w:space="0" w:color="000000"/>
            </w:tcBorders>
          </w:tcPr>
          <w:p w14:paraId="24D627E9" w14:textId="77777777" w:rsidR="00245300" w:rsidRPr="00EC20A0" w:rsidRDefault="00F17249">
            <w:pPr>
              <w:pStyle w:val="TableParagraph"/>
              <w:tabs>
                <w:tab w:val="left" w:pos="1334"/>
              </w:tabs>
              <w:spacing w:before="121"/>
              <w:ind w:left="944"/>
            </w:pPr>
            <w:r w:rsidRPr="00EC20A0">
              <w:rPr>
                <w:spacing w:val="-5"/>
              </w:rPr>
              <w:t>a.</w:t>
            </w:r>
            <w:r w:rsidRPr="00EC20A0">
              <w:tab/>
              <w:t>either</w:t>
            </w:r>
            <w:r w:rsidRPr="00EC20A0">
              <w:rPr>
                <w:spacing w:val="-6"/>
              </w:rPr>
              <w:t xml:space="preserve"> </w:t>
            </w:r>
            <w:r w:rsidRPr="00EC20A0">
              <w:t>oral</w:t>
            </w:r>
            <w:r w:rsidRPr="00EC20A0">
              <w:rPr>
                <w:spacing w:val="-5"/>
              </w:rPr>
              <w:t xml:space="preserve"> </w:t>
            </w:r>
            <w:r w:rsidRPr="00EC20A0">
              <w:t>or</w:t>
            </w:r>
            <w:r w:rsidRPr="00EC20A0">
              <w:rPr>
                <w:spacing w:val="-6"/>
              </w:rPr>
              <w:t xml:space="preserve"> </w:t>
            </w:r>
            <w:r w:rsidRPr="00EC20A0">
              <w:t>written</w:t>
            </w:r>
            <w:r w:rsidRPr="00EC20A0">
              <w:rPr>
                <w:spacing w:val="-5"/>
              </w:rPr>
              <w:t xml:space="preserve"> </w:t>
            </w:r>
            <w:r w:rsidRPr="00EC20A0">
              <w:rPr>
                <w:spacing w:val="-2"/>
              </w:rPr>
              <w:t>comments;</w:t>
            </w:r>
          </w:p>
        </w:tc>
        <w:tc>
          <w:tcPr>
            <w:tcW w:w="810" w:type="dxa"/>
            <w:tcBorders>
              <w:top w:val="single" w:sz="6" w:space="0" w:color="000000"/>
              <w:left w:val="single" w:sz="6" w:space="0" w:color="000000"/>
              <w:bottom w:val="single" w:sz="6" w:space="0" w:color="000000"/>
              <w:right w:val="single" w:sz="6" w:space="0" w:color="000000"/>
            </w:tcBorders>
          </w:tcPr>
          <w:p w14:paraId="24D627EA"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EB" w14:textId="77777777" w:rsidR="00245300" w:rsidRPr="00EC20A0" w:rsidRDefault="00245300">
            <w:pPr>
              <w:pStyle w:val="TableParagraph"/>
            </w:pPr>
          </w:p>
        </w:tc>
      </w:tr>
      <w:tr w:rsidR="00245300" w:rsidRPr="00EC20A0" w14:paraId="24D627F0" w14:textId="77777777">
        <w:trPr>
          <w:trHeight w:val="745"/>
        </w:trPr>
        <w:tc>
          <w:tcPr>
            <w:tcW w:w="7380" w:type="dxa"/>
            <w:tcBorders>
              <w:top w:val="single" w:sz="6" w:space="0" w:color="000000"/>
              <w:bottom w:val="single" w:sz="6" w:space="0" w:color="000000"/>
              <w:right w:val="single" w:sz="6" w:space="0" w:color="000000"/>
            </w:tcBorders>
          </w:tcPr>
          <w:p w14:paraId="24D627ED" w14:textId="77777777" w:rsidR="00245300" w:rsidRPr="00EC20A0" w:rsidRDefault="00F17249">
            <w:pPr>
              <w:pStyle w:val="TableParagraph"/>
              <w:tabs>
                <w:tab w:val="left" w:pos="1334"/>
              </w:tabs>
              <w:spacing w:before="119"/>
              <w:ind w:left="1304" w:right="1146" w:hanging="361"/>
            </w:pPr>
            <w:r w:rsidRPr="00EC20A0">
              <w:rPr>
                <w:spacing w:val="-6"/>
              </w:rPr>
              <w:t>b.</w:t>
            </w:r>
            <w:r w:rsidRPr="00EC20A0">
              <w:tab/>
            </w:r>
            <w:r w:rsidRPr="00EC20A0">
              <w:tab/>
              <w:t>accurate</w:t>
            </w:r>
            <w:r w:rsidRPr="00EC20A0">
              <w:rPr>
                <w:spacing w:val="-8"/>
              </w:rPr>
              <w:t xml:space="preserve"> </w:t>
            </w:r>
            <w:r w:rsidRPr="00EC20A0">
              <w:t>characterization</w:t>
            </w:r>
            <w:r w:rsidRPr="00EC20A0">
              <w:rPr>
                <w:spacing w:val="-8"/>
              </w:rPr>
              <w:t xml:space="preserve"> </w:t>
            </w:r>
            <w:r w:rsidRPr="00EC20A0">
              <w:t>of</w:t>
            </w:r>
            <w:r w:rsidRPr="00EC20A0">
              <w:rPr>
                <w:spacing w:val="-8"/>
              </w:rPr>
              <w:t xml:space="preserve"> </w:t>
            </w:r>
            <w:r w:rsidRPr="00EC20A0">
              <w:t>general</w:t>
            </w:r>
            <w:r w:rsidRPr="00EC20A0">
              <w:rPr>
                <w:spacing w:val="-9"/>
              </w:rPr>
              <w:t xml:space="preserve"> </w:t>
            </w:r>
            <w:r w:rsidRPr="00EC20A0">
              <w:t>agreement</w:t>
            </w:r>
            <w:r w:rsidRPr="00EC20A0">
              <w:rPr>
                <w:spacing w:val="-8"/>
              </w:rPr>
              <w:t xml:space="preserve"> </w:t>
            </w:r>
            <w:r w:rsidRPr="00EC20A0">
              <w:t>or disagreement with the report;</w:t>
            </w:r>
          </w:p>
        </w:tc>
        <w:tc>
          <w:tcPr>
            <w:tcW w:w="810" w:type="dxa"/>
            <w:tcBorders>
              <w:top w:val="single" w:sz="6" w:space="0" w:color="000000"/>
              <w:left w:val="single" w:sz="6" w:space="0" w:color="000000"/>
              <w:bottom w:val="single" w:sz="6" w:space="0" w:color="000000"/>
              <w:right w:val="single" w:sz="6" w:space="0" w:color="000000"/>
            </w:tcBorders>
          </w:tcPr>
          <w:p w14:paraId="24D627EE"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EF" w14:textId="77777777" w:rsidR="00245300" w:rsidRPr="00EC20A0" w:rsidRDefault="00245300">
            <w:pPr>
              <w:pStyle w:val="TableParagraph"/>
            </w:pPr>
          </w:p>
        </w:tc>
      </w:tr>
      <w:tr w:rsidR="00245300" w:rsidRPr="00EC20A0" w14:paraId="24D627F4" w14:textId="77777777">
        <w:trPr>
          <w:trHeight w:val="493"/>
        </w:trPr>
        <w:tc>
          <w:tcPr>
            <w:tcW w:w="7380" w:type="dxa"/>
            <w:tcBorders>
              <w:top w:val="single" w:sz="6" w:space="0" w:color="000000"/>
              <w:bottom w:val="single" w:sz="6" w:space="0" w:color="000000"/>
              <w:right w:val="single" w:sz="6" w:space="0" w:color="000000"/>
            </w:tcBorders>
          </w:tcPr>
          <w:p w14:paraId="24D627F1" w14:textId="77777777" w:rsidR="00245300" w:rsidRPr="00EC20A0" w:rsidRDefault="00F17249">
            <w:pPr>
              <w:pStyle w:val="TableParagraph"/>
              <w:tabs>
                <w:tab w:val="left" w:pos="1334"/>
              </w:tabs>
              <w:spacing w:before="119"/>
              <w:ind w:left="944"/>
            </w:pPr>
            <w:r w:rsidRPr="00EC20A0">
              <w:rPr>
                <w:spacing w:val="-5"/>
              </w:rPr>
              <w:t>c.</w:t>
            </w:r>
            <w:r w:rsidRPr="00EC20A0">
              <w:tab/>
              <w:t>description</w:t>
            </w:r>
            <w:r w:rsidRPr="00EC20A0">
              <w:rPr>
                <w:spacing w:val="-9"/>
              </w:rPr>
              <w:t xml:space="preserve"> </w:t>
            </w:r>
            <w:r w:rsidRPr="00EC20A0">
              <w:t>of</w:t>
            </w:r>
            <w:r w:rsidRPr="00EC20A0">
              <w:rPr>
                <w:spacing w:val="-6"/>
              </w:rPr>
              <w:t xml:space="preserve"> </w:t>
            </w:r>
            <w:r w:rsidRPr="00EC20A0">
              <w:t>the</w:t>
            </w:r>
            <w:r w:rsidRPr="00EC20A0">
              <w:rPr>
                <w:spacing w:val="-7"/>
              </w:rPr>
              <w:t xml:space="preserve"> </w:t>
            </w:r>
            <w:r w:rsidRPr="00EC20A0">
              <w:t>substance</w:t>
            </w:r>
            <w:r w:rsidRPr="00EC20A0">
              <w:rPr>
                <w:spacing w:val="-6"/>
              </w:rPr>
              <w:t xml:space="preserve"> </w:t>
            </w:r>
            <w:r w:rsidRPr="00EC20A0">
              <w:t>of</w:t>
            </w:r>
            <w:r w:rsidRPr="00EC20A0">
              <w:rPr>
                <w:spacing w:val="-7"/>
              </w:rPr>
              <w:t xml:space="preserve"> </w:t>
            </w:r>
            <w:r w:rsidRPr="00EC20A0">
              <w:t>the</w:t>
            </w:r>
            <w:r w:rsidRPr="00EC20A0">
              <w:rPr>
                <w:spacing w:val="-7"/>
              </w:rPr>
              <w:t xml:space="preserve"> </w:t>
            </w:r>
            <w:r w:rsidRPr="00EC20A0">
              <w:t>comments;</w:t>
            </w:r>
            <w:r w:rsidRPr="00EC20A0">
              <w:rPr>
                <w:spacing w:val="-7"/>
              </w:rPr>
              <w:t xml:space="preserve"> </w:t>
            </w:r>
            <w:r w:rsidRPr="00EC20A0">
              <w:rPr>
                <w:spacing w:val="-5"/>
              </w:rPr>
              <w:t>and</w:t>
            </w:r>
          </w:p>
        </w:tc>
        <w:tc>
          <w:tcPr>
            <w:tcW w:w="810" w:type="dxa"/>
            <w:tcBorders>
              <w:top w:val="single" w:sz="6" w:space="0" w:color="000000"/>
              <w:left w:val="single" w:sz="6" w:space="0" w:color="000000"/>
              <w:bottom w:val="single" w:sz="6" w:space="0" w:color="000000"/>
              <w:right w:val="single" w:sz="6" w:space="0" w:color="000000"/>
            </w:tcBorders>
          </w:tcPr>
          <w:p w14:paraId="24D627F2"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tcPr>
          <w:p w14:paraId="24D627F3" w14:textId="77777777" w:rsidR="00245300" w:rsidRPr="00EC20A0" w:rsidRDefault="00245300">
            <w:pPr>
              <w:pStyle w:val="TableParagraph"/>
            </w:pPr>
          </w:p>
        </w:tc>
      </w:tr>
    </w:tbl>
    <w:p w14:paraId="24D627F5" w14:textId="77777777" w:rsidR="00245300" w:rsidRPr="00EC20A0" w:rsidRDefault="00245300">
      <w:pPr>
        <w:sectPr w:rsidR="00245300" w:rsidRPr="00EC20A0">
          <w:pgSz w:w="12240" w:h="15840"/>
          <w:pgMar w:top="1340" w:right="460" w:bottom="940" w:left="560" w:header="721" w:footer="757" w:gutter="0"/>
          <w:cols w:space="720"/>
        </w:sectPr>
      </w:pPr>
    </w:p>
    <w:p w14:paraId="24D627F6"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245300" w:rsidRPr="00EC20A0" w14:paraId="24D627FE" w14:textId="77777777">
        <w:trPr>
          <w:trHeight w:val="998"/>
        </w:trPr>
        <w:tc>
          <w:tcPr>
            <w:tcW w:w="7380" w:type="dxa"/>
            <w:tcBorders>
              <w:right w:val="single" w:sz="8" w:space="0" w:color="000000"/>
            </w:tcBorders>
            <w:shd w:val="clear" w:color="auto" w:fill="A6A6A6"/>
          </w:tcPr>
          <w:p w14:paraId="24D627F7" w14:textId="77777777" w:rsidR="00245300" w:rsidRPr="00EC20A0" w:rsidRDefault="00245300">
            <w:pPr>
              <w:pStyle w:val="TableParagraph"/>
              <w:rPr>
                <w:b/>
                <w:sz w:val="24"/>
              </w:rPr>
            </w:pPr>
          </w:p>
          <w:p w14:paraId="24D627F8" w14:textId="77777777" w:rsidR="00245300" w:rsidRPr="00EC20A0" w:rsidRDefault="00245300">
            <w:pPr>
              <w:pStyle w:val="TableParagraph"/>
              <w:spacing w:before="72"/>
              <w:rPr>
                <w:b/>
                <w:sz w:val="24"/>
              </w:rPr>
            </w:pPr>
          </w:p>
          <w:p w14:paraId="24D627F9" w14:textId="77777777" w:rsidR="00245300" w:rsidRPr="00EC20A0" w:rsidRDefault="00F17249">
            <w:pPr>
              <w:pStyle w:val="TableParagraph"/>
              <w:spacing w:before="1"/>
              <w:ind w:left="123"/>
              <w:rPr>
                <w:b/>
                <w:sz w:val="24"/>
              </w:rPr>
            </w:pPr>
            <w:r w:rsidRPr="00EC20A0">
              <w:rPr>
                <w:b/>
                <w:sz w:val="24"/>
              </w:rPr>
              <w:t>Section</w:t>
            </w:r>
            <w:r w:rsidRPr="00EC20A0">
              <w:rPr>
                <w:b/>
                <w:spacing w:val="-4"/>
                <w:sz w:val="24"/>
              </w:rPr>
              <w:t xml:space="preserve"> </w:t>
            </w:r>
            <w:r w:rsidRPr="00EC20A0">
              <w:rPr>
                <w:b/>
                <w:sz w:val="24"/>
              </w:rPr>
              <w:t>IV:</w:t>
            </w:r>
            <w:r w:rsidRPr="00EC20A0">
              <w:rPr>
                <w:b/>
                <w:spacing w:val="-4"/>
                <w:sz w:val="24"/>
              </w:rPr>
              <w:t xml:space="preserve"> </w:t>
            </w:r>
            <w:r w:rsidRPr="00EC20A0">
              <w:rPr>
                <w:b/>
                <w:sz w:val="24"/>
              </w:rPr>
              <w:t>Communicating</w:t>
            </w:r>
            <w:r w:rsidRPr="00EC20A0">
              <w:rPr>
                <w:b/>
                <w:spacing w:val="-4"/>
                <w:sz w:val="24"/>
              </w:rPr>
              <w:t xml:space="preserve"> </w:t>
            </w:r>
            <w:r w:rsidRPr="00EC20A0">
              <w:rPr>
                <w:b/>
                <w:sz w:val="24"/>
              </w:rPr>
              <w:t>and</w:t>
            </w:r>
            <w:r w:rsidRPr="00EC20A0">
              <w:rPr>
                <w:b/>
                <w:spacing w:val="-4"/>
                <w:sz w:val="24"/>
              </w:rPr>
              <w:t xml:space="preserve"> </w:t>
            </w:r>
            <w:r w:rsidRPr="00EC20A0">
              <w:rPr>
                <w:b/>
                <w:sz w:val="24"/>
              </w:rPr>
              <w:t>Reporting</w:t>
            </w:r>
            <w:r w:rsidRPr="00EC20A0">
              <w:rPr>
                <w:b/>
                <w:spacing w:val="-3"/>
                <w:sz w:val="24"/>
              </w:rPr>
              <w:t xml:space="preserve"> </w:t>
            </w:r>
            <w:r w:rsidRPr="00EC20A0">
              <w:rPr>
                <w:b/>
                <w:spacing w:val="-2"/>
                <w:sz w:val="24"/>
              </w:rPr>
              <w:t>Results</w:t>
            </w:r>
          </w:p>
        </w:tc>
        <w:tc>
          <w:tcPr>
            <w:tcW w:w="810" w:type="dxa"/>
            <w:tcBorders>
              <w:left w:val="single" w:sz="8" w:space="0" w:color="000000"/>
              <w:right w:val="single" w:sz="8" w:space="0" w:color="000000"/>
            </w:tcBorders>
            <w:shd w:val="clear" w:color="auto" w:fill="A6A6A6"/>
          </w:tcPr>
          <w:p w14:paraId="24D627FA" w14:textId="77777777" w:rsidR="00245300" w:rsidRPr="00EC20A0" w:rsidRDefault="00F17249">
            <w:pPr>
              <w:pStyle w:val="TableParagraph"/>
              <w:spacing w:before="120"/>
              <w:ind w:left="136" w:right="199"/>
              <w:jc w:val="both"/>
              <w:rPr>
                <w:b/>
              </w:rPr>
            </w:pPr>
            <w:r w:rsidRPr="00EC20A0">
              <w:rPr>
                <w:b/>
                <w:spacing w:val="-4"/>
              </w:rPr>
              <w:t>Yes, No,* N/A</w:t>
            </w:r>
          </w:p>
        </w:tc>
        <w:tc>
          <w:tcPr>
            <w:tcW w:w="1350" w:type="dxa"/>
            <w:tcBorders>
              <w:left w:val="single" w:sz="8" w:space="0" w:color="000000"/>
            </w:tcBorders>
            <w:shd w:val="clear" w:color="auto" w:fill="A6A6A6"/>
          </w:tcPr>
          <w:p w14:paraId="24D627FB" w14:textId="77777777" w:rsidR="00245300" w:rsidRPr="00EC20A0" w:rsidRDefault="00245300">
            <w:pPr>
              <w:pStyle w:val="TableParagraph"/>
              <w:rPr>
                <w:b/>
              </w:rPr>
            </w:pPr>
          </w:p>
          <w:p w14:paraId="24D627FC" w14:textId="77777777" w:rsidR="00245300" w:rsidRPr="00EC20A0" w:rsidRDefault="00245300">
            <w:pPr>
              <w:pStyle w:val="TableParagraph"/>
              <w:spacing w:before="120"/>
              <w:rPr>
                <w:b/>
              </w:rPr>
            </w:pPr>
          </w:p>
          <w:p w14:paraId="24D627FD"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803" w14:textId="77777777">
        <w:trPr>
          <w:trHeight w:val="1252"/>
        </w:trPr>
        <w:tc>
          <w:tcPr>
            <w:tcW w:w="7380" w:type="dxa"/>
            <w:tcBorders>
              <w:bottom w:val="single" w:sz="6" w:space="0" w:color="000000"/>
              <w:right w:val="single" w:sz="6" w:space="0" w:color="000000"/>
            </w:tcBorders>
          </w:tcPr>
          <w:p w14:paraId="24D627FF" w14:textId="77777777" w:rsidR="00245300" w:rsidRPr="00EC20A0" w:rsidRDefault="00F17249">
            <w:pPr>
              <w:pStyle w:val="TableParagraph"/>
              <w:spacing w:before="120"/>
              <w:ind w:left="1304" w:right="137" w:hanging="360"/>
              <w:jc w:val="both"/>
            </w:pPr>
            <w:r w:rsidRPr="00EC20A0">
              <w:t>d.</w:t>
            </w:r>
            <w:r w:rsidRPr="00EC20A0">
              <w:rPr>
                <w:spacing w:val="80"/>
              </w:rPr>
              <w:t xml:space="preserve"> </w:t>
            </w:r>
            <w:r w:rsidRPr="00EC20A0">
              <w:t>auditor</w:t>
            </w:r>
            <w:r w:rsidRPr="00EC20A0">
              <w:rPr>
                <w:spacing w:val="-2"/>
              </w:rPr>
              <w:t xml:space="preserve"> </w:t>
            </w:r>
            <w:r w:rsidRPr="00EC20A0">
              <w:t>evaluation</w:t>
            </w:r>
            <w:r w:rsidRPr="00EC20A0">
              <w:rPr>
                <w:spacing w:val="-2"/>
              </w:rPr>
              <w:t xml:space="preserve"> </w:t>
            </w:r>
            <w:r w:rsidRPr="00EC20A0">
              <w:t>of</w:t>
            </w:r>
            <w:r w:rsidRPr="00EC20A0">
              <w:rPr>
                <w:spacing w:val="-2"/>
              </w:rPr>
              <w:t xml:space="preserve"> </w:t>
            </w:r>
            <w:r w:rsidRPr="00EC20A0">
              <w:t>the</w:t>
            </w:r>
            <w:r w:rsidRPr="00EC20A0">
              <w:rPr>
                <w:spacing w:val="-3"/>
              </w:rPr>
              <w:t xml:space="preserve"> </w:t>
            </w:r>
            <w:r w:rsidRPr="00EC20A0">
              <w:t>comments,</w:t>
            </w:r>
            <w:r w:rsidRPr="00EC20A0">
              <w:rPr>
                <w:spacing w:val="-2"/>
              </w:rPr>
              <w:t xml:space="preserve"> </w:t>
            </w:r>
            <w:r w:rsidRPr="00EC20A0">
              <w:t>particularly</w:t>
            </w:r>
            <w:r w:rsidRPr="00EC20A0">
              <w:rPr>
                <w:spacing w:val="-2"/>
              </w:rPr>
              <w:t xml:space="preserve"> </w:t>
            </w:r>
            <w:r w:rsidRPr="00EC20A0">
              <w:t>if</w:t>
            </w:r>
            <w:r w:rsidRPr="00EC20A0">
              <w:rPr>
                <w:spacing w:val="-2"/>
              </w:rPr>
              <w:t xml:space="preserve"> </w:t>
            </w:r>
            <w:r w:rsidRPr="00EC20A0">
              <w:t>comments disagree,</w:t>
            </w:r>
            <w:r w:rsidRPr="00EC20A0">
              <w:rPr>
                <w:spacing w:val="-5"/>
              </w:rPr>
              <w:t xml:space="preserve"> </w:t>
            </w:r>
            <w:r w:rsidRPr="00EC20A0">
              <w:t>are</w:t>
            </w:r>
            <w:r w:rsidRPr="00EC20A0">
              <w:rPr>
                <w:spacing w:val="-5"/>
              </w:rPr>
              <w:t xml:space="preserve"> </w:t>
            </w:r>
            <w:r w:rsidRPr="00EC20A0">
              <w:t>inconsistent,</w:t>
            </w:r>
            <w:r w:rsidRPr="00EC20A0">
              <w:rPr>
                <w:spacing w:val="-5"/>
              </w:rPr>
              <w:t xml:space="preserve"> </w:t>
            </w:r>
            <w:r w:rsidRPr="00EC20A0">
              <w:t>or</w:t>
            </w:r>
            <w:r w:rsidRPr="00EC20A0">
              <w:rPr>
                <w:spacing w:val="-5"/>
              </w:rPr>
              <w:t xml:space="preserve"> </w:t>
            </w:r>
            <w:r w:rsidRPr="00EC20A0">
              <w:t>conflict</w:t>
            </w:r>
            <w:r w:rsidRPr="00EC20A0">
              <w:rPr>
                <w:spacing w:val="-5"/>
              </w:rPr>
              <w:t xml:space="preserve"> </w:t>
            </w:r>
            <w:r w:rsidRPr="00EC20A0">
              <w:t>with</w:t>
            </w:r>
            <w:r w:rsidRPr="00EC20A0">
              <w:rPr>
                <w:spacing w:val="-5"/>
              </w:rPr>
              <w:t xml:space="preserve"> </w:t>
            </w:r>
            <w:r w:rsidRPr="00EC20A0">
              <w:t>the</w:t>
            </w:r>
            <w:r w:rsidRPr="00EC20A0">
              <w:rPr>
                <w:spacing w:val="-5"/>
              </w:rPr>
              <w:t xml:space="preserve"> </w:t>
            </w:r>
            <w:r w:rsidRPr="00EC20A0">
              <w:t>report</w:t>
            </w:r>
            <w:r w:rsidRPr="00EC20A0">
              <w:rPr>
                <w:spacing w:val="-5"/>
              </w:rPr>
              <w:t xml:space="preserve"> </w:t>
            </w:r>
            <w:r w:rsidRPr="00EC20A0">
              <w:t>findings, conclusions, or recommendations. (GAGAS (2018) 6.57</w:t>
            </w:r>
          </w:p>
          <w:p w14:paraId="24D62800" w14:textId="77777777" w:rsidR="00245300" w:rsidRPr="00EC20A0" w:rsidRDefault="00F17249">
            <w:pPr>
              <w:pStyle w:val="TableParagraph"/>
              <w:spacing w:before="1"/>
              <w:ind w:left="1304"/>
              <w:jc w:val="both"/>
            </w:pPr>
            <w:r w:rsidRPr="00EC20A0">
              <w:t>through</w:t>
            </w:r>
            <w:r w:rsidRPr="00EC20A0">
              <w:rPr>
                <w:spacing w:val="-8"/>
              </w:rPr>
              <w:t xml:space="preserve"> </w:t>
            </w:r>
            <w:r w:rsidRPr="00EC20A0">
              <w:rPr>
                <w:spacing w:val="-2"/>
              </w:rPr>
              <w:t>6.62)</w:t>
            </w:r>
          </w:p>
        </w:tc>
        <w:tc>
          <w:tcPr>
            <w:tcW w:w="810" w:type="dxa"/>
            <w:tcBorders>
              <w:left w:val="single" w:sz="6" w:space="0" w:color="000000"/>
              <w:bottom w:val="single" w:sz="6" w:space="0" w:color="000000"/>
              <w:right w:val="single" w:sz="6" w:space="0" w:color="000000"/>
            </w:tcBorders>
          </w:tcPr>
          <w:p w14:paraId="24D62801" w14:textId="77777777" w:rsidR="00245300" w:rsidRPr="00EC20A0" w:rsidRDefault="00245300">
            <w:pPr>
              <w:pStyle w:val="TableParagraph"/>
            </w:pPr>
          </w:p>
        </w:tc>
        <w:tc>
          <w:tcPr>
            <w:tcW w:w="1350" w:type="dxa"/>
            <w:tcBorders>
              <w:left w:val="single" w:sz="6" w:space="0" w:color="000000"/>
              <w:bottom w:val="single" w:sz="6" w:space="0" w:color="000000"/>
            </w:tcBorders>
          </w:tcPr>
          <w:p w14:paraId="24D62802" w14:textId="77777777" w:rsidR="00245300" w:rsidRPr="00EC20A0" w:rsidRDefault="00245300">
            <w:pPr>
              <w:pStyle w:val="TableParagraph"/>
            </w:pPr>
          </w:p>
        </w:tc>
      </w:tr>
      <w:tr w:rsidR="00245300" w:rsidRPr="00EC20A0" w14:paraId="24D62807" w14:textId="77777777">
        <w:trPr>
          <w:trHeight w:val="745"/>
        </w:trPr>
        <w:tc>
          <w:tcPr>
            <w:tcW w:w="7380" w:type="dxa"/>
            <w:tcBorders>
              <w:top w:val="single" w:sz="6" w:space="0" w:color="000000"/>
              <w:bottom w:val="single" w:sz="6" w:space="0" w:color="000000"/>
              <w:right w:val="single" w:sz="6" w:space="0" w:color="000000"/>
            </w:tcBorders>
          </w:tcPr>
          <w:p w14:paraId="24D62804" w14:textId="77777777" w:rsidR="00245300" w:rsidRPr="00EC20A0" w:rsidRDefault="00F17249">
            <w:pPr>
              <w:pStyle w:val="TableParagraph"/>
              <w:spacing w:before="119"/>
              <w:ind w:left="915" w:right="141" w:hanging="360"/>
            </w:pPr>
            <w:r w:rsidRPr="00EC20A0">
              <w:t>14.</w:t>
            </w:r>
            <w:r w:rsidRPr="00EC20A0">
              <w:rPr>
                <w:spacing w:val="-11"/>
              </w:rPr>
              <w:t xml:space="preserve"> </w:t>
            </w:r>
            <w:r w:rsidRPr="00EC20A0">
              <w:t>In</w:t>
            </w:r>
            <w:r w:rsidRPr="00EC20A0">
              <w:rPr>
                <w:spacing w:val="-4"/>
              </w:rPr>
              <w:t xml:space="preserve"> </w:t>
            </w:r>
            <w:r w:rsidRPr="00EC20A0">
              <w:t>addition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questions</w:t>
            </w:r>
            <w:r w:rsidRPr="00EC20A0">
              <w:rPr>
                <w:spacing w:val="-4"/>
              </w:rPr>
              <w:t xml:space="preserve"> </w:t>
            </w:r>
            <w:r w:rsidRPr="00EC20A0">
              <w:t>above,</w:t>
            </w:r>
            <w:r w:rsidRPr="00EC20A0">
              <w:rPr>
                <w:spacing w:val="-5"/>
              </w:rPr>
              <w:t xml:space="preserve"> </w:t>
            </w:r>
            <w:r w:rsidRPr="00EC20A0">
              <w:t>determine</w:t>
            </w:r>
            <w:r w:rsidRPr="00EC20A0">
              <w:rPr>
                <w:spacing w:val="-4"/>
              </w:rPr>
              <w:t xml:space="preserve"> </w:t>
            </w:r>
            <w:r w:rsidRPr="00EC20A0">
              <w:t>whether</w:t>
            </w:r>
            <w:r w:rsidRPr="00EC20A0">
              <w:rPr>
                <w:spacing w:val="-4"/>
              </w:rPr>
              <w:t xml:space="preserve"> </w:t>
            </w:r>
            <w:r w:rsidRPr="00EC20A0">
              <w:t>the following objectives were achieved. (AU-C 200.23)</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24D62805"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06" w14:textId="77777777" w:rsidR="00245300" w:rsidRPr="00EC20A0" w:rsidRDefault="00245300">
            <w:pPr>
              <w:pStyle w:val="TableParagraph"/>
            </w:pPr>
          </w:p>
        </w:tc>
      </w:tr>
      <w:tr w:rsidR="00245300" w:rsidRPr="00EC20A0" w14:paraId="24D6280D" w14:textId="77777777">
        <w:trPr>
          <w:trHeight w:val="2520"/>
        </w:trPr>
        <w:tc>
          <w:tcPr>
            <w:tcW w:w="7380" w:type="dxa"/>
            <w:tcBorders>
              <w:top w:val="single" w:sz="6" w:space="0" w:color="000000"/>
              <w:bottom w:val="single" w:sz="6" w:space="0" w:color="000000"/>
              <w:right w:val="single" w:sz="6" w:space="0" w:color="000000"/>
            </w:tcBorders>
          </w:tcPr>
          <w:p w14:paraId="24D62808" w14:textId="77777777" w:rsidR="00245300" w:rsidRPr="00EC20A0" w:rsidRDefault="00F17249">
            <w:pPr>
              <w:pStyle w:val="TableParagraph"/>
              <w:numPr>
                <w:ilvl w:val="0"/>
                <w:numId w:val="42"/>
              </w:numPr>
              <w:tabs>
                <w:tab w:val="left" w:pos="1334"/>
              </w:tabs>
              <w:spacing w:before="119"/>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809" w14:textId="77777777" w:rsidR="00245300" w:rsidRPr="00EC20A0" w:rsidRDefault="00F17249">
            <w:pPr>
              <w:pStyle w:val="TableParagraph"/>
              <w:numPr>
                <w:ilvl w:val="1"/>
                <w:numId w:val="42"/>
              </w:numPr>
              <w:tabs>
                <w:tab w:val="left" w:pos="1694"/>
              </w:tabs>
              <w:spacing w:before="240"/>
              <w:ind w:right="441"/>
            </w:pPr>
            <w:r w:rsidRPr="00EC20A0">
              <w:t>provide those charged with governance with timely observations</w:t>
            </w:r>
            <w:r w:rsidRPr="00EC20A0">
              <w:rPr>
                <w:spacing w:val="-5"/>
              </w:rPr>
              <w:t xml:space="preserve"> </w:t>
            </w:r>
            <w:r w:rsidRPr="00EC20A0">
              <w:t>arising</w:t>
            </w:r>
            <w:r w:rsidRPr="00EC20A0">
              <w:rPr>
                <w:spacing w:val="-5"/>
              </w:rPr>
              <w:t xml:space="preserve"> </w:t>
            </w:r>
            <w:r w:rsidRPr="00EC20A0">
              <w:t>from</w:t>
            </w:r>
            <w:r w:rsidRPr="00EC20A0">
              <w:rPr>
                <w:spacing w:val="-6"/>
              </w:rPr>
              <w:t xml:space="preserve"> </w:t>
            </w:r>
            <w:r w:rsidRPr="00EC20A0">
              <w:t>the</w:t>
            </w:r>
            <w:r w:rsidRPr="00EC20A0">
              <w:rPr>
                <w:spacing w:val="-5"/>
              </w:rPr>
              <w:t xml:space="preserve"> </w:t>
            </w:r>
            <w:r w:rsidRPr="00EC20A0">
              <w:t>audit</w:t>
            </w:r>
            <w:r w:rsidRPr="00EC20A0">
              <w:rPr>
                <w:spacing w:val="-5"/>
              </w:rPr>
              <w:t xml:space="preserve"> </w:t>
            </w:r>
            <w:r w:rsidRPr="00EC20A0">
              <w:t>that</w:t>
            </w:r>
            <w:r w:rsidRPr="00EC20A0">
              <w:rPr>
                <w:spacing w:val="-5"/>
              </w:rPr>
              <w:t xml:space="preserve"> </w:t>
            </w:r>
            <w:r w:rsidRPr="00EC20A0">
              <w:t>are</w:t>
            </w:r>
            <w:r w:rsidRPr="00EC20A0">
              <w:rPr>
                <w:spacing w:val="-5"/>
              </w:rPr>
              <w:t xml:space="preserve"> </w:t>
            </w:r>
            <w:r w:rsidRPr="00EC20A0">
              <w:t xml:space="preserve">significant and relevant to their responsibility to oversee the </w:t>
            </w:r>
            <w:r w:rsidRPr="00EC20A0">
              <w:t>financial reporting process and</w:t>
            </w:r>
          </w:p>
          <w:p w14:paraId="24D6280A" w14:textId="77777777" w:rsidR="00245300" w:rsidRPr="00EC20A0" w:rsidRDefault="00F17249">
            <w:pPr>
              <w:pStyle w:val="TableParagraph"/>
              <w:numPr>
                <w:ilvl w:val="1"/>
                <w:numId w:val="42"/>
              </w:numPr>
              <w:tabs>
                <w:tab w:val="left" w:pos="1694"/>
              </w:tabs>
              <w:spacing w:before="239"/>
              <w:ind w:right="139"/>
            </w:pPr>
            <w:r w:rsidRPr="00EC20A0">
              <w:t>promote effective two-way communication between the auditor</w:t>
            </w:r>
            <w:r w:rsidRPr="00EC20A0">
              <w:rPr>
                <w:spacing w:val="-6"/>
              </w:rPr>
              <w:t xml:space="preserve"> </w:t>
            </w:r>
            <w:r w:rsidRPr="00EC20A0">
              <w:t>and</w:t>
            </w:r>
            <w:r w:rsidRPr="00EC20A0">
              <w:rPr>
                <w:spacing w:val="-6"/>
              </w:rPr>
              <w:t xml:space="preserve"> </w:t>
            </w:r>
            <w:r w:rsidRPr="00EC20A0">
              <w:t>those</w:t>
            </w:r>
            <w:r w:rsidRPr="00EC20A0">
              <w:rPr>
                <w:spacing w:val="-6"/>
              </w:rPr>
              <w:t xml:space="preserve"> </w:t>
            </w:r>
            <w:r w:rsidRPr="00EC20A0">
              <w:t>charged</w:t>
            </w:r>
            <w:r w:rsidRPr="00EC20A0">
              <w:rPr>
                <w:spacing w:val="-6"/>
              </w:rPr>
              <w:t xml:space="preserve"> </w:t>
            </w:r>
            <w:r w:rsidRPr="00EC20A0">
              <w:t>with</w:t>
            </w:r>
            <w:r w:rsidRPr="00EC20A0">
              <w:rPr>
                <w:spacing w:val="-6"/>
              </w:rPr>
              <w:t xml:space="preserve"> </w:t>
            </w:r>
            <w:r w:rsidRPr="00EC20A0">
              <w:t>governance?</w:t>
            </w:r>
            <w:r w:rsidRPr="00EC20A0">
              <w:rPr>
                <w:spacing w:val="-6"/>
              </w:rPr>
              <w:t xml:space="preserve"> </w:t>
            </w:r>
            <w:r w:rsidRPr="00EC20A0">
              <w:t>(AU-C</w:t>
            </w:r>
            <w:r w:rsidRPr="00EC20A0">
              <w:rPr>
                <w:spacing w:val="-7"/>
              </w:rPr>
              <w:t xml:space="preserve"> </w:t>
            </w:r>
            <w:r w:rsidRPr="00EC20A0">
              <w:t>260)</w:t>
            </w:r>
          </w:p>
        </w:tc>
        <w:tc>
          <w:tcPr>
            <w:tcW w:w="810" w:type="dxa"/>
            <w:tcBorders>
              <w:top w:val="single" w:sz="6" w:space="0" w:color="000000"/>
              <w:left w:val="single" w:sz="6" w:space="0" w:color="000000"/>
              <w:bottom w:val="single" w:sz="6" w:space="0" w:color="000000"/>
              <w:right w:val="single" w:sz="6" w:space="0" w:color="000000"/>
            </w:tcBorders>
          </w:tcPr>
          <w:p w14:paraId="24D6280B"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0C" w14:textId="77777777" w:rsidR="00245300" w:rsidRPr="00EC20A0" w:rsidRDefault="00245300">
            <w:pPr>
              <w:pStyle w:val="TableParagraph"/>
            </w:pPr>
          </w:p>
        </w:tc>
      </w:tr>
      <w:tr w:rsidR="00245300" w:rsidRPr="00EC20A0" w14:paraId="24D62811" w14:textId="77777777">
        <w:trPr>
          <w:trHeight w:val="2010"/>
        </w:trPr>
        <w:tc>
          <w:tcPr>
            <w:tcW w:w="7380" w:type="dxa"/>
            <w:tcBorders>
              <w:top w:val="single" w:sz="6" w:space="0" w:color="000000"/>
              <w:bottom w:val="single" w:sz="6" w:space="0" w:color="000000"/>
              <w:right w:val="single" w:sz="6" w:space="0" w:color="000000"/>
            </w:tcBorders>
          </w:tcPr>
          <w:p w14:paraId="24D6280E" w14:textId="77777777" w:rsidR="00245300" w:rsidRPr="00EC20A0" w:rsidRDefault="00F17249">
            <w:pPr>
              <w:pStyle w:val="TableParagraph"/>
              <w:tabs>
                <w:tab w:val="left" w:pos="1334"/>
              </w:tabs>
              <w:spacing w:before="119"/>
              <w:ind w:left="1303" w:right="180" w:hanging="359"/>
            </w:pPr>
            <w:r w:rsidRPr="00EC20A0">
              <w:rPr>
                <w:spacing w:val="-6"/>
              </w:rPr>
              <w:t>b.</w:t>
            </w:r>
            <w:r w:rsidRPr="00EC20A0">
              <w:tab/>
            </w:r>
            <w:r w:rsidRPr="00EC20A0">
              <w:tab/>
              <w:t>Did</w:t>
            </w:r>
            <w:r w:rsidRPr="00EC20A0">
              <w:rPr>
                <w:spacing w:val="-6"/>
              </w:rPr>
              <w:t xml:space="preserve"> </w:t>
            </w:r>
            <w:r w:rsidRPr="00EC20A0">
              <w:t>the</w:t>
            </w:r>
            <w:r w:rsidRPr="00EC20A0">
              <w:rPr>
                <w:spacing w:val="-6"/>
              </w:rPr>
              <w:t xml:space="preserve"> </w:t>
            </w:r>
            <w:r w:rsidRPr="00EC20A0">
              <w:t>auditor</w:t>
            </w:r>
            <w:r w:rsidRPr="00EC20A0">
              <w:rPr>
                <w:spacing w:val="-6"/>
              </w:rPr>
              <w:t xml:space="preserve"> </w:t>
            </w:r>
            <w:r w:rsidRPr="00EC20A0">
              <w:t>appropriately</w:t>
            </w:r>
            <w:r w:rsidRPr="00EC20A0">
              <w:rPr>
                <w:spacing w:val="-6"/>
              </w:rPr>
              <w:t xml:space="preserve"> </w:t>
            </w:r>
            <w:r w:rsidRPr="00EC20A0">
              <w:t>communicate</w:t>
            </w:r>
            <w:r w:rsidRPr="00EC20A0">
              <w:rPr>
                <w:spacing w:val="-6"/>
              </w:rPr>
              <w:t xml:space="preserve"> </w:t>
            </w:r>
            <w:r w:rsidRPr="00EC20A0">
              <w:t>to</w:t>
            </w:r>
            <w:r w:rsidRPr="00EC20A0">
              <w:rPr>
                <w:spacing w:val="-6"/>
              </w:rPr>
              <w:t xml:space="preserve"> </w:t>
            </w:r>
            <w:r w:rsidRPr="00EC20A0">
              <w:t>those</w:t>
            </w:r>
            <w:r w:rsidRPr="00EC20A0">
              <w:rPr>
                <w:spacing w:val="-6"/>
              </w:rPr>
              <w:t xml:space="preserve"> </w:t>
            </w:r>
            <w:r w:rsidRPr="00EC20A0">
              <w:t xml:space="preserve">charged with governance, management, and others, as </w:t>
            </w:r>
            <w:r w:rsidRPr="00EC20A0">
              <w:t>appropriate, significant findings and issues and internal control deficiencies that, in the auditor’s professional judgment, are of sufficient importance to merit their respective attentions (e.g.,</w:t>
            </w:r>
            <w:r w:rsidRPr="00EC20A0">
              <w:rPr>
                <w:spacing w:val="-2"/>
              </w:rPr>
              <w:t xml:space="preserve"> </w:t>
            </w:r>
            <w:r w:rsidRPr="00EC20A0">
              <w:t>material</w:t>
            </w:r>
            <w:r w:rsidRPr="00EC20A0">
              <w:rPr>
                <w:spacing w:val="-2"/>
              </w:rPr>
              <w:t xml:space="preserve"> </w:t>
            </w:r>
            <w:r w:rsidRPr="00EC20A0">
              <w:t>weaknesses,</w:t>
            </w:r>
            <w:r w:rsidRPr="00EC20A0">
              <w:rPr>
                <w:spacing w:val="-2"/>
              </w:rPr>
              <w:t xml:space="preserve"> </w:t>
            </w:r>
            <w:r w:rsidRPr="00EC20A0">
              <w:t>significant</w:t>
            </w:r>
            <w:r w:rsidRPr="00EC20A0">
              <w:rPr>
                <w:spacing w:val="-2"/>
              </w:rPr>
              <w:t xml:space="preserve"> </w:t>
            </w:r>
            <w:r w:rsidRPr="00EC20A0">
              <w:t>deficiencies,</w:t>
            </w:r>
            <w:r w:rsidRPr="00EC20A0">
              <w:rPr>
                <w:spacing w:val="-2"/>
              </w:rPr>
              <w:t xml:space="preserve"> </w:t>
            </w:r>
            <w:r w:rsidRPr="00EC20A0">
              <w:t>and</w:t>
            </w:r>
            <w:r w:rsidRPr="00EC20A0">
              <w:rPr>
                <w:spacing w:val="-2"/>
              </w:rPr>
              <w:t xml:space="preserve"> </w:t>
            </w:r>
            <w:r w:rsidRPr="00EC20A0">
              <w:t>any other identified deficiencies in internal control)? (AU-C 265)</w:t>
            </w:r>
          </w:p>
        </w:tc>
        <w:tc>
          <w:tcPr>
            <w:tcW w:w="810" w:type="dxa"/>
            <w:tcBorders>
              <w:top w:val="single" w:sz="6" w:space="0" w:color="000000"/>
              <w:left w:val="single" w:sz="6" w:space="0" w:color="000000"/>
              <w:bottom w:val="single" w:sz="6" w:space="0" w:color="000000"/>
              <w:right w:val="single" w:sz="6" w:space="0" w:color="000000"/>
            </w:tcBorders>
          </w:tcPr>
          <w:p w14:paraId="24D6280F"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10" w14:textId="77777777" w:rsidR="00245300" w:rsidRPr="00EC20A0" w:rsidRDefault="00245300">
            <w:pPr>
              <w:pStyle w:val="TableParagraph"/>
            </w:pPr>
          </w:p>
        </w:tc>
      </w:tr>
      <w:tr w:rsidR="00245300" w:rsidRPr="00EC20A0" w14:paraId="24D62818" w14:textId="77777777">
        <w:trPr>
          <w:trHeight w:val="4293"/>
        </w:trPr>
        <w:tc>
          <w:tcPr>
            <w:tcW w:w="7380" w:type="dxa"/>
            <w:tcBorders>
              <w:top w:val="single" w:sz="6" w:space="0" w:color="000000"/>
              <w:bottom w:val="single" w:sz="6" w:space="0" w:color="000000"/>
              <w:right w:val="single" w:sz="6" w:space="0" w:color="000000"/>
            </w:tcBorders>
          </w:tcPr>
          <w:p w14:paraId="24D62812" w14:textId="77777777" w:rsidR="00245300" w:rsidRPr="00EC20A0" w:rsidRDefault="00F17249">
            <w:pPr>
              <w:pStyle w:val="TableParagraph"/>
              <w:numPr>
                <w:ilvl w:val="0"/>
                <w:numId w:val="41"/>
              </w:numPr>
              <w:tabs>
                <w:tab w:val="left" w:pos="1304"/>
                <w:tab w:val="left" w:pos="1334"/>
              </w:tabs>
              <w:spacing w:before="119"/>
              <w:ind w:right="742" w:hanging="360"/>
            </w:pPr>
            <w:r w:rsidRPr="00EC20A0">
              <w:t>If</w:t>
            </w:r>
            <w:r w:rsidRPr="00EC20A0">
              <w:rPr>
                <w:spacing w:val="24"/>
              </w:rPr>
              <w:t xml:space="preserve"> </w:t>
            </w:r>
            <w:r w:rsidRPr="00EC20A0">
              <w:t>the</w:t>
            </w:r>
            <w:r w:rsidRPr="00EC20A0">
              <w:rPr>
                <w:spacing w:val="-3"/>
              </w:rPr>
              <w:t xml:space="preserve"> </w:t>
            </w:r>
            <w:r w:rsidRPr="00EC20A0">
              <w:t>auditor</w:t>
            </w:r>
            <w:r w:rsidRPr="00EC20A0">
              <w:rPr>
                <w:spacing w:val="-4"/>
              </w:rPr>
              <w:t xml:space="preserve"> </w:t>
            </w:r>
            <w:r w:rsidRPr="00EC20A0">
              <w:t>decides</w:t>
            </w:r>
            <w:r w:rsidRPr="00EC20A0">
              <w:rPr>
                <w:spacing w:val="-3"/>
              </w:rPr>
              <w:t xml:space="preserve"> </w:t>
            </w:r>
            <w:r w:rsidRPr="00EC20A0">
              <w:t>to</w:t>
            </w:r>
            <w:r w:rsidRPr="00EC20A0">
              <w:rPr>
                <w:spacing w:val="-4"/>
              </w:rPr>
              <w:t xml:space="preserve"> </w:t>
            </w:r>
            <w:r w:rsidRPr="00EC20A0">
              <w:t>act</w:t>
            </w:r>
            <w:r w:rsidRPr="00EC20A0">
              <w:rPr>
                <w:spacing w:val="-3"/>
              </w:rPr>
              <w:t xml:space="preserve"> </w:t>
            </w:r>
            <w:r w:rsidRPr="00EC20A0">
              <w:t>as</w:t>
            </w:r>
            <w:r w:rsidRPr="00EC20A0">
              <w:rPr>
                <w:spacing w:val="-3"/>
              </w:rPr>
              <w:t xml:space="preserve"> </w:t>
            </w:r>
            <w:r w:rsidRPr="00EC20A0">
              <w:t>the</w:t>
            </w:r>
            <w:r w:rsidRPr="00EC20A0">
              <w:rPr>
                <w:spacing w:val="-3"/>
              </w:rPr>
              <w:t xml:space="preserve"> </w:t>
            </w:r>
            <w:r w:rsidRPr="00EC20A0">
              <w:t>auditor</w:t>
            </w:r>
            <w:r w:rsidRPr="00EC20A0">
              <w:rPr>
                <w:spacing w:val="-3"/>
              </w:rPr>
              <w:t xml:space="preserve"> </w:t>
            </w:r>
            <w:r w:rsidRPr="00EC20A0">
              <w:t>of</w:t>
            </w:r>
            <w:r w:rsidRPr="00EC20A0">
              <w:rPr>
                <w:spacing w:val="-3"/>
              </w:rPr>
              <w:t xml:space="preserve"> </w:t>
            </w:r>
            <w:r w:rsidRPr="00EC20A0">
              <w:t>the</w:t>
            </w:r>
            <w:r w:rsidRPr="00EC20A0">
              <w:rPr>
                <w:spacing w:val="-4"/>
              </w:rPr>
              <w:t xml:space="preserve"> </w:t>
            </w:r>
            <w:r w:rsidRPr="00EC20A0">
              <w:t>group financial statements, did the auditor</w:t>
            </w:r>
          </w:p>
          <w:p w14:paraId="24D62813" w14:textId="77777777" w:rsidR="00245300" w:rsidRPr="00EC20A0" w:rsidRDefault="00F17249">
            <w:pPr>
              <w:pStyle w:val="TableParagraph"/>
              <w:numPr>
                <w:ilvl w:val="1"/>
                <w:numId w:val="41"/>
              </w:numPr>
              <w:tabs>
                <w:tab w:val="left" w:pos="1694"/>
              </w:tabs>
              <w:spacing w:before="240"/>
              <w:ind w:right="408"/>
              <w:jc w:val="both"/>
            </w:pPr>
            <w:r w:rsidRPr="00EC20A0">
              <w:t>determine</w:t>
            </w:r>
            <w:r w:rsidRPr="00EC20A0">
              <w:rPr>
                <w:spacing w:val="-4"/>
              </w:rPr>
              <w:t xml:space="preserve"> </w:t>
            </w:r>
            <w:r w:rsidRPr="00EC20A0">
              <w:t>whether</w:t>
            </w:r>
            <w:r w:rsidRPr="00EC20A0">
              <w:rPr>
                <w:spacing w:val="-4"/>
              </w:rPr>
              <w:t xml:space="preserve"> </w:t>
            </w:r>
            <w:r w:rsidRPr="00EC20A0">
              <w:t>to</w:t>
            </w:r>
            <w:r w:rsidRPr="00EC20A0">
              <w:rPr>
                <w:spacing w:val="-4"/>
              </w:rPr>
              <w:t xml:space="preserve"> </w:t>
            </w:r>
            <w:r w:rsidRPr="00EC20A0">
              <w:t>make</w:t>
            </w:r>
            <w:r w:rsidRPr="00EC20A0">
              <w:rPr>
                <w:spacing w:val="-4"/>
              </w:rPr>
              <w:t xml:space="preserve"> </w:t>
            </w:r>
            <w:r w:rsidRPr="00EC20A0">
              <w:t>reference</w:t>
            </w:r>
            <w:r w:rsidRPr="00EC20A0">
              <w:rPr>
                <w:spacing w:val="-4"/>
              </w:rPr>
              <w:t xml:space="preserve"> </w:t>
            </w:r>
            <w:r w:rsidRPr="00EC20A0">
              <w:t>to</w:t>
            </w:r>
            <w:r w:rsidRPr="00EC20A0">
              <w:rPr>
                <w:spacing w:val="-4"/>
              </w:rPr>
              <w:t xml:space="preserve"> </w:t>
            </w:r>
            <w:r w:rsidRPr="00EC20A0">
              <w:t>the</w:t>
            </w:r>
            <w:r w:rsidRPr="00EC20A0">
              <w:rPr>
                <w:spacing w:val="-3"/>
              </w:rPr>
              <w:t xml:space="preserve"> </w:t>
            </w:r>
            <w:r w:rsidRPr="00EC20A0">
              <w:t>audit</w:t>
            </w:r>
            <w:r w:rsidRPr="00EC20A0">
              <w:rPr>
                <w:spacing w:val="-4"/>
              </w:rPr>
              <w:t xml:space="preserve"> </w:t>
            </w:r>
            <w:r w:rsidRPr="00EC20A0">
              <w:t>of</w:t>
            </w:r>
            <w:r w:rsidRPr="00EC20A0">
              <w:rPr>
                <w:spacing w:val="-4"/>
              </w:rPr>
              <w:t xml:space="preserve"> </w:t>
            </w:r>
            <w:r w:rsidRPr="00EC20A0">
              <w:t>a component</w:t>
            </w:r>
            <w:r w:rsidRPr="00EC20A0">
              <w:rPr>
                <w:spacing w:val="-5"/>
              </w:rPr>
              <w:t xml:space="preserve"> </w:t>
            </w:r>
            <w:r w:rsidRPr="00EC20A0">
              <w:t>auditor</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auditor’s</w:t>
            </w:r>
            <w:r w:rsidRPr="00EC20A0">
              <w:rPr>
                <w:spacing w:val="-5"/>
              </w:rPr>
              <w:t xml:space="preserve"> </w:t>
            </w:r>
            <w:r w:rsidRPr="00EC20A0">
              <w:t>report</w:t>
            </w:r>
            <w:r w:rsidRPr="00EC20A0">
              <w:rPr>
                <w:spacing w:val="-5"/>
              </w:rPr>
              <w:t xml:space="preserve"> </w:t>
            </w:r>
            <w:r w:rsidRPr="00EC20A0">
              <w:t>on</w:t>
            </w:r>
            <w:r w:rsidRPr="00EC20A0">
              <w:rPr>
                <w:spacing w:val="-5"/>
              </w:rPr>
              <w:t xml:space="preserve"> </w:t>
            </w:r>
            <w:r w:rsidRPr="00EC20A0">
              <w:t>the</w:t>
            </w:r>
            <w:r w:rsidRPr="00EC20A0">
              <w:rPr>
                <w:spacing w:val="-6"/>
              </w:rPr>
              <w:t xml:space="preserve"> </w:t>
            </w:r>
            <w:r w:rsidRPr="00EC20A0">
              <w:t>group financial statements;</w:t>
            </w:r>
          </w:p>
          <w:p w14:paraId="24D62814" w14:textId="77777777" w:rsidR="00245300" w:rsidRPr="00EC20A0" w:rsidRDefault="00F17249">
            <w:pPr>
              <w:pStyle w:val="TableParagraph"/>
              <w:numPr>
                <w:ilvl w:val="1"/>
                <w:numId w:val="41"/>
              </w:numPr>
              <w:tabs>
                <w:tab w:val="left" w:pos="1694"/>
              </w:tabs>
              <w:spacing w:before="239"/>
              <w:ind w:hanging="359"/>
            </w:pPr>
            <w:r w:rsidRPr="00EC20A0">
              <w:t>communicate</w:t>
            </w:r>
            <w:r w:rsidRPr="00EC20A0">
              <w:rPr>
                <w:spacing w:val="-10"/>
              </w:rPr>
              <w:t xml:space="preserve"> </w:t>
            </w:r>
            <w:r w:rsidRPr="00EC20A0">
              <w:t>clearly</w:t>
            </w:r>
            <w:r w:rsidRPr="00EC20A0">
              <w:rPr>
                <w:spacing w:val="-10"/>
              </w:rPr>
              <w:t xml:space="preserve"> </w:t>
            </w:r>
            <w:r w:rsidRPr="00EC20A0">
              <w:t>with</w:t>
            </w:r>
            <w:r w:rsidRPr="00EC20A0">
              <w:rPr>
                <w:spacing w:val="-9"/>
              </w:rPr>
              <w:t xml:space="preserve"> </w:t>
            </w:r>
            <w:r w:rsidRPr="00EC20A0">
              <w:t>component</w:t>
            </w:r>
            <w:r w:rsidRPr="00EC20A0">
              <w:rPr>
                <w:spacing w:val="-10"/>
              </w:rPr>
              <w:t xml:space="preserve"> </w:t>
            </w:r>
            <w:r w:rsidRPr="00EC20A0">
              <w:t>auditors;</w:t>
            </w:r>
            <w:r w:rsidRPr="00EC20A0">
              <w:rPr>
                <w:spacing w:val="-9"/>
              </w:rPr>
              <w:t xml:space="preserve"> </w:t>
            </w:r>
            <w:r w:rsidRPr="00EC20A0">
              <w:rPr>
                <w:spacing w:val="-5"/>
              </w:rPr>
              <w:t>and</w:t>
            </w:r>
          </w:p>
          <w:p w14:paraId="24D62815" w14:textId="77777777" w:rsidR="00245300" w:rsidRPr="00EC20A0" w:rsidRDefault="00F17249">
            <w:pPr>
              <w:pStyle w:val="TableParagraph"/>
              <w:numPr>
                <w:ilvl w:val="1"/>
                <w:numId w:val="41"/>
              </w:numPr>
              <w:tabs>
                <w:tab w:val="left" w:pos="1694"/>
              </w:tabs>
              <w:spacing w:before="238"/>
              <w:ind w:right="261" w:hanging="359"/>
            </w:pPr>
            <w:r w:rsidRPr="00EC20A0">
              <w:t xml:space="preserve">obtain sufficient appropriate audit evidence regarding the financial information of the components and the consolidation process to express an opinion about </w:t>
            </w:r>
            <w:r w:rsidRPr="00EC20A0">
              <w:t>whether</w:t>
            </w:r>
            <w:r w:rsidRPr="00EC20A0">
              <w:rPr>
                <w:spacing w:val="-6"/>
              </w:rPr>
              <w:t xml:space="preserve"> </w:t>
            </w:r>
            <w:r w:rsidRPr="00EC20A0">
              <w:t>the</w:t>
            </w:r>
            <w:r w:rsidRPr="00EC20A0">
              <w:rPr>
                <w:spacing w:val="-6"/>
              </w:rPr>
              <w:t xml:space="preserve"> </w:t>
            </w:r>
            <w:r w:rsidRPr="00EC20A0">
              <w:t>group</w:t>
            </w:r>
            <w:r w:rsidRPr="00EC20A0">
              <w:rPr>
                <w:spacing w:val="-6"/>
              </w:rPr>
              <w:t xml:space="preserve"> </w:t>
            </w:r>
            <w:r w:rsidRPr="00EC20A0">
              <w:t>financial</w:t>
            </w:r>
            <w:r w:rsidRPr="00EC20A0">
              <w:rPr>
                <w:spacing w:val="-5"/>
              </w:rPr>
              <w:t xml:space="preserve"> </w:t>
            </w:r>
            <w:r w:rsidRPr="00EC20A0">
              <w:t>statements</w:t>
            </w:r>
            <w:r w:rsidRPr="00EC20A0">
              <w:rPr>
                <w:spacing w:val="-6"/>
              </w:rPr>
              <w:t xml:space="preserve"> </w:t>
            </w:r>
            <w:r w:rsidRPr="00EC20A0">
              <w:t>are</w:t>
            </w:r>
            <w:r w:rsidRPr="00EC20A0">
              <w:rPr>
                <w:spacing w:val="-6"/>
              </w:rPr>
              <w:t xml:space="preserve"> </w:t>
            </w:r>
            <w:r w:rsidRPr="00EC20A0">
              <w:t>prepared,</w:t>
            </w:r>
            <w:r w:rsidRPr="00EC20A0">
              <w:rPr>
                <w:spacing w:val="-6"/>
              </w:rPr>
              <w:t xml:space="preserve"> </w:t>
            </w:r>
            <w:r w:rsidRPr="00EC20A0">
              <w:t>in all material respects, in accordance with the applicable financial reporting framework (generally U.S. GAAP)? (AU-C 600A)</w:t>
            </w:r>
          </w:p>
        </w:tc>
        <w:tc>
          <w:tcPr>
            <w:tcW w:w="810" w:type="dxa"/>
            <w:tcBorders>
              <w:top w:val="single" w:sz="6" w:space="0" w:color="000000"/>
              <w:left w:val="single" w:sz="6" w:space="0" w:color="000000"/>
              <w:bottom w:val="single" w:sz="6" w:space="0" w:color="000000"/>
              <w:right w:val="single" w:sz="6" w:space="0" w:color="000000"/>
            </w:tcBorders>
          </w:tcPr>
          <w:p w14:paraId="24D62816"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17" w14:textId="77777777" w:rsidR="00245300" w:rsidRPr="00EC20A0" w:rsidRDefault="00245300">
            <w:pPr>
              <w:pStyle w:val="TableParagraph"/>
            </w:pPr>
          </w:p>
        </w:tc>
      </w:tr>
      <w:tr w:rsidR="00245300" w:rsidRPr="00EC20A0" w14:paraId="24D6281D" w14:textId="77777777">
        <w:trPr>
          <w:trHeight w:val="1134"/>
        </w:trPr>
        <w:tc>
          <w:tcPr>
            <w:tcW w:w="7380" w:type="dxa"/>
            <w:tcBorders>
              <w:top w:val="single" w:sz="6" w:space="0" w:color="000000"/>
              <w:bottom w:val="single" w:sz="6" w:space="0" w:color="000000"/>
              <w:right w:val="single" w:sz="6" w:space="0" w:color="000000"/>
            </w:tcBorders>
          </w:tcPr>
          <w:p w14:paraId="24D62819" w14:textId="77777777" w:rsidR="00245300" w:rsidRPr="00EC20A0" w:rsidRDefault="00F17249">
            <w:pPr>
              <w:pStyle w:val="TableParagraph"/>
              <w:numPr>
                <w:ilvl w:val="0"/>
                <w:numId w:val="40"/>
              </w:numPr>
              <w:tabs>
                <w:tab w:val="left" w:pos="1334"/>
              </w:tabs>
              <w:spacing w:before="121"/>
              <w:ind w:hanging="390"/>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81A" w14:textId="77777777" w:rsidR="00245300" w:rsidRPr="00EC20A0" w:rsidRDefault="00F17249">
            <w:pPr>
              <w:pStyle w:val="TableParagraph"/>
              <w:numPr>
                <w:ilvl w:val="1"/>
                <w:numId w:val="40"/>
              </w:numPr>
              <w:tabs>
                <w:tab w:val="left" w:pos="1694"/>
              </w:tabs>
              <w:spacing w:before="232" w:line="254" w:lineRule="exact"/>
              <w:ind w:right="186"/>
            </w:pPr>
            <w:r w:rsidRPr="00EC20A0">
              <w:t>form</w:t>
            </w:r>
            <w:r w:rsidRPr="00EC20A0">
              <w:rPr>
                <w:spacing w:val="-5"/>
              </w:rPr>
              <w:t xml:space="preserve"> </w:t>
            </w:r>
            <w:r w:rsidRPr="00EC20A0">
              <w:t>an</w:t>
            </w:r>
            <w:r w:rsidRPr="00EC20A0">
              <w:rPr>
                <w:spacing w:val="-5"/>
              </w:rPr>
              <w:t xml:space="preserve"> </w:t>
            </w:r>
            <w:r w:rsidRPr="00EC20A0">
              <w:t>opinion</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based</w:t>
            </w:r>
            <w:r w:rsidRPr="00EC20A0">
              <w:rPr>
                <w:spacing w:val="-5"/>
              </w:rPr>
              <w:t xml:space="preserve"> </w:t>
            </w:r>
            <w:r w:rsidRPr="00EC20A0">
              <w:t>on</w:t>
            </w:r>
            <w:r w:rsidRPr="00EC20A0">
              <w:rPr>
                <w:spacing w:val="-5"/>
              </w:rPr>
              <w:t xml:space="preserve"> </w:t>
            </w:r>
            <w:r w:rsidRPr="00EC20A0">
              <w:t xml:space="preserve">an </w:t>
            </w:r>
            <w:r w:rsidRPr="00EC20A0">
              <w:t>evaluation of the audit evidence obtained, including</w:t>
            </w:r>
          </w:p>
        </w:tc>
        <w:tc>
          <w:tcPr>
            <w:tcW w:w="810" w:type="dxa"/>
            <w:tcBorders>
              <w:top w:val="single" w:sz="6" w:space="0" w:color="000000"/>
              <w:left w:val="single" w:sz="6" w:space="0" w:color="000000"/>
              <w:bottom w:val="single" w:sz="6" w:space="0" w:color="000000"/>
              <w:right w:val="single" w:sz="6" w:space="0" w:color="000000"/>
            </w:tcBorders>
          </w:tcPr>
          <w:p w14:paraId="24D6281B"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1C" w14:textId="77777777" w:rsidR="00245300" w:rsidRPr="00EC20A0" w:rsidRDefault="00245300">
            <w:pPr>
              <w:pStyle w:val="TableParagraph"/>
            </w:pPr>
          </w:p>
        </w:tc>
      </w:tr>
    </w:tbl>
    <w:p w14:paraId="24D6281E" w14:textId="77777777" w:rsidR="00245300" w:rsidRPr="00EC20A0" w:rsidRDefault="00245300">
      <w:pPr>
        <w:sectPr w:rsidR="00245300" w:rsidRPr="00EC20A0">
          <w:pgSz w:w="12240" w:h="15840"/>
          <w:pgMar w:top="1340" w:right="460" w:bottom="940" w:left="560" w:header="721" w:footer="757" w:gutter="0"/>
          <w:cols w:space="720"/>
        </w:sectPr>
      </w:pPr>
    </w:p>
    <w:p w14:paraId="24D6281F"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245300" w:rsidRPr="00EC20A0" w14:paraId="24D62827" w14:textId="77777777">
        <w:trPr>
          <w:trHeight w:val="998"/>
        </w:trPr>
        <w:tc>
          <w:tcPr>
            <w:tcW w:w="7380" w:type="dxa"/>
            <w:tcBorders>
              <w:right w:val="single" w:sz="8" w:space="0" w:color="000000"/>
            </w:tcBorders>
            <w:shd w:val="clear" w:color="auto" w:fill="A6A6A6"/>
          </w:tcPr>
          <w:p w14:paraId="24D62820" w14:textId="77777777" w:rsidR="00245300" w:rsidRPr="00EC20A0" w:rsidRDefault="00245300">
            <w:pPr>
              <w:pStyle w:val="TableParagraph"/>
              <w:rPr>
                <w:b/>
                <w:sz w:val="24"/>
              </w:rPr>
            </w:pPr>
          </w:p>
          <w:p w14:paraId="24D62821" w14:textId="77777777" w:rsidR="00245300" w:rsidRPr="00EC20A0" w:rsidRDefault="00245300">
            <w:pPr>
              <w:pStyle w:val="TableParagraph"/>
              <w:spacing w:before="72"/>
              <w:rPr>
                <w:b/>
                <w:sz w:val="24"/>
              </w:rPr>
            </w:pPr>
          </w:p>
          <w:p w14:paraId="24D62822" w14:textId="77777777" w:rsidR="00245300" w:rsidRPr="00EC20A0" w:rsidRDefault="00F17249">
            <w:pPr>
              <w:pStyle w:val="TableParagraph"/>
              <w:spacing w:before="1"/>
              <w:ind w:left="123"/>
              <w:rPr>
                <w:b/>
                <w:sz w:val="24"/>
              </w:rPr>
            </w:pPr>
            <w:r w:rsidRPr="00EC20A0">
              <w:rPr>
                <w:b/>
                <w:sz w:val="24"/>
              </w:rPr>
              <w:t>Section</w:t>
            </w:r>
            <w:r w:rsidRPr="00EC20A0">
              <w:rPr>
                <w:b/>
                <w:spacing w:val="-4"/>
                <w:sz w:val="24"/>
              </w:rPr>
              <w:t xml:space="preserve"> </w:t>
            </w:r>
            <w:r w:rsidRPr="00EC20A0">
              <w:rPr>
                <w:b/>
                <w:sz w:val="24"/>
              </w:rPr>
              <w:t>IV:</w:t>
            </w:r>
            <w:r w:rsidRPr="00EC20A0">
              <w:rPr>
                <w:b/>
                <w:spacing w:val="-4"/>
                <w:sz w:val="24"/>
              </w:rPr>
              <w:t xml:space="preserve"> </w:t>
            </w:r>
            <w:r w:rsidRPr="00EC20A0">
              <w:rPr>
                <w:b/>
                <w:sz w:val="24"/>
              </w:rPr>
              <w:t>Communicating</w:t>
            </w:r>
            <w:r w:rsidRPr="00EC20A0">
              <w:rPr>
                <w:b/>
                <w:spacing w:val="-4"/>
                <w:sz w:val="24"/>
              </w:rPr>
              <w:t xml:space="preserve"> </w:t>
            </w:r>
            <w:r w:rsidRPr="00EC20A0">
              <w:rPr>
                <w:b/>
                <w:sz w:val="24"/>
              </w:rPr>
              <w:t>and</w:t>
            </w:r>
            <w:r w:rsidRPr="00EC20A0">
              <w:rPr>
                <w:b/>
                <w:spacing w:val="-4"/>
                <w:sz w:val="24"/>
              </w:rPr>
              <w:t xml:space="preserve"> </w:t>
            </w:r>
            <w:r w:rsidRPr="00EC20A0">
              <w:rPr>
                <w:b/>
                <w:sz w:val="24"/>
              </w:rPr>
              <w:t>Reporting</w:t>
            </w:r>
            <w:r w:rsidRPr="00EC20A0">
              <w:rPr>
                <w:b/>
                <w:spacing w:val="-3"/>
                <w:sz w:val="24"/>
              </w:rPr>
              <w:t xml:space="preserve"> </w:t>
            </w:r>
            <w:r w:rsidRPr="00EC20A0">
              <w:rPr>
                <w:b/>
                <w:spacing w:val="-2"/>
                <w:sz w:val="24"/>
              </w:rPr>
              <w:t>Results</w:t>
            </w:r>
          </w:p>
        </w:tc>
        <w:tc>
          <w:tcPr>
            <w:tcW w:w="810" w:type="dxa"/>
            <w:tcBorders>
              <w:left w:val="single" w:sz="8" w:space="0" w:color="000000"/>
              <w:right w:val="single" w:sz="8" w:space="0" w:color="000000"/>
            </w:tcBorders>
            <w:shd w:val="clear" w:color="auto" w:fill="A6A6A6"/>
          </w:tcPr>
          <w:p w14:paraId="24D62823" w14:textId="77777777" w:rsidR="00245300" w:rsidRPr="00EC20A0" w:rsidRDefault="00F17249">
            <w:pPr>
              <w:pStyle w:val="TableParagraph"/>
              <w:spacing w:before="120"/>
              <w:ind w:left="136" w:right="199"/>
              <w:jc w:val="both"/>
              <w:rPr>
                <w:b/>
              </w:rPr>
            </w:pPr>
            <w:r w:rsidRPr="00EC20A0">
              <w:rPr>
                <w:b/>
                <w:spacing w:val="-4"/>
              </w:rPr>
              <w:t>Yes, No,* N/A</w:t>
            </w:r>
          </w:p>
        </w:tc>
        <w:tc>
          <w:tcPr>
            <w:tcW w:w="1350" w:type="dxa"/>
            <w:tcBorders>
              <w:left w:val="single" w:sz="8" w:space="0" w:color="000000"/>
            </w:tcBorders>
            <w:shd w:val="clear" w:color="auto" w:fill="A6A6A6"/>
          </w:tcPr>
          <w:p w14:paraId="24D62824" w14:textId="77777777" w:rsidR="00245300" w:rsidRPr="00EC20A0" w:rsidRDefault="00245300">
            <w:pPr>
              <w:pStyle w:val="TableParagraph"/>
              <w:rPr>
                <w:b/>
              </w:rPr>
            </w:pPr>
          </w:p>
          <w:p w14:paraId="24D62825" w14:textId="77777777" w:rsidR="00245300" w:rsidRPr="00EC20A0" w:rsidRDefault="00245300">
            <w:pPr>
              <w:pStyle w:val="TableParagraph"/>
              <w:spacing w:before="120"/>
              <w:rPr>
                <w:b/>
              </w:rPr>
            </w:pPr>
          </w:p>
          <w:p w14:paraId="24D62826"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82C" w14:textId="77777777">
        <w:trPr>
          <w:trHeight w:val="1640"/>
        </w:trPr>
        <w:tc>
          <w:tcPr>
            <w:tcW w:w="7380" w:type="dxa"/>
            <w:tcBorders>
              <w:bottom w:val="single" w:sz="6" w:space="0" w:color="000000"/>
              <w:right w:val="single" w:sz="6" w:space="0" w:color="000000"/>
            </w:tcBorders>
          </w:tcPr>
          <w:p w14:paraId="24D62828" w14:textId="77777777" w:rsidR="00245300" w:rsidRPr="00EC20A0" w:rsidRDefault="00F17249">
            <w:pPr>
              <w:pStyle w:val="TableParagraph"/>
              <w:ind w:left="1694" w:right="141"/>
            </w:pPr>
            <w:r w:rsidRPr="00EC20A0">
              <w:t>evidence obtained about comparative financial statements</w:t>
            </w:r>
            <w:r w:rsidRPr="00EC20A0">
              <w:rPr>
                <w:spacing w:val="-8"/>
              </w:rPr>
              <w:t xml:space="preserve"> </w:t>
            </w:r>
            <w:r w:rsidRPr="00EC20A0">
              <w:t>or</w:t>
            </w:r>
            <w:r w:rsidRPr="00EC20A0">
              <w:rPr>
                <w:spacing w:val="-8"/>
              </w:rPr>
              <w:t xml:space="preserve"> </w:t>
            </w:r>
            <w:r w:rsidRPr="00EC20A0">
              <w:t>comparative</w:t>
            </w:r>
            <w:r w:rsidRPr="00EC20A0">
              <w:rPr>
                <w:spacing w:val="-8"/>
              </w:rPr>
              <w:t xml:space="preserve"> </w:t>
            </w:r>
            <w:r w:rsidRPr="00EC20A0">
              <w:t>financial</w:t>
            </w:r>
            <w:r w:rsidRPr="00EC20A0">
              <w:rPr>
                <w:spacing w:val="-8"/>
              </w:rPr>
              <w:t xml:space="preserve"> </w:t>
            </w:r>
            <w:r w:rsidRPr="00EC20A0">
              <w:t>information,</w:t>
            </w:r>
            <w:r w:rsidRPr="00EC20A0">
              <w:rPr>
                <w:spacing w:val="-8"/>
              </w:rPr>
              <w:t xml:space="preserve"> </w:t>
            </w:r>
            <w:r w:rsidRPr="00EC20A0">
              <w:t>and</w:t>
            </w:r>
          </w:p>
          <w:p w14:paraId="24D62829" w14:textId="77777777" w:rsidR="00245300" w:rsidRPr="00EC20A0" w:rsidRDefault="00F17249">
            <w:pPr>
              <w:pStyle w:val="TableParagraph"/>
              <w:numPr>
                <w:ilvl w:val="0"/>
                <w:numId w:val="39"/>
              </w:numPr>
              <w:tabs>
                <w:tab w:val="left" w:pos="1694"/>
              </w:tabs>
              <w:spacing w:before="240"/>
              <w:ind w:right="221" w:hanging="361"/>
            </w:pPr>
            <w:r w:rsidRPr="00EC20A0">
              <w:t>express clearly that opinion on the financial statements through</w:t>
            </w:r>
            <w:r w:rsidRPr="00EC20A0">
              <w:rPr>
                <w:spacing w:val="-4"/>
              </w:rPr>
              <w:t xml:space="preserve"> </w:t>
            </w:r>
            <w:r w:rsidRPr="00EC20A0">
              <w:t>a</w:t>
            </w:r>
            <w:r w:rsidRPr="00EC20A0">
              <w:rPr>
                <w:spacing w:val="-4"/>
              </w:rPr>
              <w:t xml:space="preserve"> </w:t>
            </w:r>
            <w:r w:rsidRPr="00EC20A0">
              <w:t>written</w:t>
            </w:r>
            <w:r w:rsidRPr="00EC20A0">
              <w:rPr>
                <w:spacing w:val="-4"/>
              </w:rPr>
              <w:t xml:space="preserve"> </w:t>
            </w:r>
            <w:r w:rsidRPr="00EC20A0">
              <w:t>report</w:t>
            </w:r>
            <w:r w:rsidRPr="00EC20A0">
              <w:rPr>
                <w:spacing w:val="-4"/>
              </w:rPr>
              <w:t xml:space="preserve"> </w:t>
            </w:r>
            <w:r w:rsidRPr="00EC20A0">
              <w:t>that</w:t>
            </w:r>
            <w:r w:rsidRPr="00EC20A0">
              <w:rPr>
                <w:spacing w:val="-4"/>
              </w:rPr>
              <w:t xml:space="preserve"> </w:t>
            </w:r>
            <w:r w:rsidRPr="00EC20A0">
              <w:t>also</w:t>
            </w:r>
            <w:r w:rsidRPr="00EC20A0">
              <w:rPr>
                <w:spacing w:val="-4"/>
              </w:rPr>
              <w:t xml:space="preserve"> </w:t>
            </w:r>
            <w:r w:rsidRPr="00EC20A0">
              <w:t>describes</w:t>
            </w:r>
            <w:r w:rsidRPr="00EC20A0">
              <w:rPr>
                <w:spacing w:val="-4"/>
              </w:rPr>
              <w:t xml:space="preserve"> </w:t>
            </w:r>
            <w:r w:rsidRPr="00EC20A0">
              <w:t>the</w:t>
            </w:r>
            <w:r w:rsidRPr="00EC20A0">
              <w:rPr>
                <w:spacing w:val="-4"/>
              </w:rPr>
              <w:t xml:space="preserve"> </w:t>
            </w:r>
            <w:r w:rsidRPr="00EC20A0">
              <w:t>basis</w:t>
            </w:r>
            <w:r w:rsidRPr="00EC20A0">
              <w:rPr>
                <w:spacing w:val="-4"/>
              </w:rPr>
              <w:t xml:space="preserve"> </w:t>
            </w:r>
            <w:r w:rsidRPr="00EC20A0">
              <w:t>for that opinion? (AU-C 700)</w:t>
            </w:r>
          </w:p>
        </w:tc>
        <w:tc>
          <w:tcPr>
            <w:tcW w:w="810" w:type="dxa"/>
            <w:tcBorders>
              <w:left w:val="single" w:sz="6" w:space="0" w:color="000000"/>
              <w:bottom w:val="single" w:sz="6" w:space="0" w:color="000000"/>
              <w:right w:val="single" w:sz="6" w:space="0" w:color="000000"/>
            </w:tcBorders>
          </w:tcPr>
          <w:p w14:paraId="24D6282A" w14:textId="77777777" w:rsidR="00245300" w:rsidRPr="00EC20A0" w:rsidRDefault="00245300">
            <w:pPr>
              <w:pStyle w:val="TableParagraph"/>
            </w:pPr>
          </w:p>
        </w:tc>
        <w:tc>
          <w:tcPr>
            <w:tcW w:w="1350" w:type="dxa"/>
            <w:tcBorders>
              <w:left w:val="single" w:sz="6" w:space="0" w:color="000000"/>
              <w:bottom w:val="single" w:sz="6" w:space="0" w:color="000000"/>
            </w:tcBorders>
            <w:shd w:val="clear" w:color="auto" w:fill="BEBEBE"/>
          </w:tcPr>
          <w:p w14:paraId="24D6282B" w14:textId="77777777" w:rsidR="00245300" w:rsidRPr="00EC20A0" w:rsidRDefault="00245300">
            <w:pPr>
              <w:pStyle w:val="TableParagraph"/>
            </w:pPr>
          </w:p>
        </w:tc>
      </w:tr>
      <w:tr w:rsidR="00245300" w:rsidRPr="00EC20A0" w14:paraId="24D62832" w14:textId="77777777">
        <w:trPr>
          <w:trHeight w:val="2773"/>
        </w:trPr>
        <w:tc>
          <w:tcPr>
            <w:tcW w:w="7380" w:type="dxa"/>
            <w:tcBorders>
              <w:top w:val="single" w:sz="6" w:space="0" w:color="000000"/>
              <w:bottom w:val="single" w:sz="6" w:space="0" w:color="000000"/>
              <w:right w:val="single" w:sz="6" w:space="0" w:color="000000"/>
            </w:tcBorders>
          </w:tcPr>
          <w:p w14:paraId="24D6282D" w14:textId="77777777" w:rsidR="00245300" w:rsidRPr="00EC20A0" w:rsidRDefault="00F17249">
            <w:pPr>
              <w:pStyle w:val="TableParagraph"/>
              <w:numPr>
                <w:ilvl w:val="0"/>
                <w:numId w:val="38"/>
              </w:numPr>
              <w:tabs>
                <w:tab w:val="left" w:pos="1304"/>
                <w:tab w:val="left" w:pos="1334"/>
              </w:tabs>
              <w:spacing w:before="119"/>
              <w:ind w:right="357" w:hanging="360"/>
            </w:pPr>
            <w:r w:rsidRPr="00EC20A0">
              <w:t>Did</w:t>
            </w:r>
            <w:r w:rsidRPr="00EC20A0">
              <w:rPr>
                <w:spacing w:val="40"/>
              </w:rPr>
              <w:t xml:space="preserve"> </w:t>
            </w:r>
            <w:r w:rsidRPr="00EC20A0">
              <w:t>the auditor express clearly an appropriately modified opinion</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financial</w:t>
            </w:r>
            <w:r w:rsidRPr="00EC20A0">
              <w:rPr>
                <w:spacing w:val="-6"/>
              </w:rPr>
              <w:t xml:space="preserve"> </w:t>
            </w:r>
            <w:r w:rsidRPr="00EC20A0">
              <w:t>statements</w:t>
            </w:r>
            <w:r w:rsidRPr="00EC20A0">
              <w:rPr>
                <w:spacing w:val="-5"/>
              </w:rPr>
              <w:t xml:space="preserve"> </w:t>
            </w:r>
            <w:r w:rsidRPr="00EC20A0">
              <w:t>that</w:t>
            </w:r>
            <w:r w:rsidRPr="00EC20A0">
              <w:rPr>
                <w:spacing w:val="-5"/>
              </w:rPr>
              <w:t xml:space="preserve"> </w:t>
            </w:r>
            <w:r w:rsidRPr="00EC20A0">
              <w:t>is</w:t>
            </w:r>
            <w:r w:rsidRPr="00EC20A0">
              <w:rPr>
                <w:spacing w:val="-5"/>
              </w:rPr>
              <w:t xml:space="preserve"> </w:t>
            </w:r>
            <w:r w:rsidRPr="00EC20A0">
              <w:t>necessary</w:t>
            </w:r>
            <w:r w:rsidRPr="00EC20A0">
              <w:rPr>
                <w:spacing w:val="-5"/>
              </w:rPr>
              <w:t xml:space="preserve"> </w:t>
            </w:r>
            <w:r w:rsidRPr="00EC20A0">
              <w:t>when</w:t>
            </w:r>
          </w:p>
          <w:p w14:paraId="24D6282E" w14:textId="77777777" w:rsidR="00245300" w:rsidRPr="00EC20A0" w:rsidRDefault="00F17249">
            <w:pPr>
              <w:pStyle w:val="TableParagraph"/>
              <w:numPr>
                <w:ilvl w:val="1"/>
                <w:numId w:val="38"/>
              </w:numPr>
              <w:tabs>
                <w:tab w:val="left" w:pos="1694"/>
              </w:tabs>
              <w:spacing w:before="240"/>
              <w:ind w:right="457" w:hanging="361"/>
            </w:pPr>
            <w:r w:rsidRPr="00EC20A0">
              <w:t>the auditor concludes, based on the audit evidence obtained,</w:t>
            </w:r>
            <w:r w:rsidRPr="00EC20A0">
              <w:rPr>
                <w:spacing w:val="-5"/>
              </w:rPr>
              <w:t xml:space="preserve"> </w:t>
            </w:r>
            <w:r w:rsidRPr="00EC20A0">
              <w:t>that</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as</w:t>
            </w:r>
            <w:r w:rsidRPr="00EC20A0">
              <w:rPr>
                <w:spacing w:val="-5"/>
              </w:rPr>
              <w:t xml:space="preserve"> </w:t>
            </w:r>
            <w:r w:rsidRPr="00EC20A0">
              <w:t>a</w:t>
            </w:r>
            <w:r w:rsidRPr="00EC20A0">
              <w:rPr>
                <w:spacing w:val="-5"/>
              </w:rPr>
              <w:t xml:space="preserve"> </w:t>
            </w:r>
            <w:r w:rsidRPr="00EC20A0">
              <w:t>whole</w:t>
            </w:r>
            <w:r w:rsidRPr="00EC20A0">
              <w:rPr>
                <w:spacing w:val="-5"/>
              </w:rPr>
              <w:t xml:space="preserve"> </w:t>
            </w:r>
            <w:r w:rsidRPr="00EC20A0">
              <w:t>are materially misstated or</w:t>
            </w:r>
          </w:p>
          <w:p w14:paraId="24D6282F" w14:textId="77777777" w:rsidR="00245300" w:rsidRPr="00EC20A0" w:rsidRDefault="00F17249">
            <w:pPr>
              <w:pStyle w:val="TableParagraph"/>
              <w:numPr>
                <w:ilvl w:val="1"/>
                <w:numId w:val="38"/>
              </w:numPr>
              <w:tabs>
                <w:tab w:val="left" w:pos="1694"/>
              </w:tabs>
              <w:spacing w:before="239"/>
              <w:ind w:right="125"/>
            </w:pPr>
            <w:r w:rsidRPr="00EC20A0">
              <w:t>the</w:t>
            </w:r>
            <w:r w:rsidRPr="00EC20A0">
              <w:rPr>
                <w:spacing w:val="-5"/>
              </w:rPr>
              <w:t xml:space="preserve"> </w:t>
            </w:r>
            <w:r w:rsidRPr="00EC20A0">
              <w:t>auditor</w:t>
            </w:r>
            <w:r w:rsidRPr="00EC20A0">
              <w:rPr>
                <w:spacing w:val="-5"/>
              </w:rPr>
              <w:t xml:space="preserve"> </w:t>
            </w:r>
            <w:r w:rsidRPr="00EC20A0">
              <w:t>is</w:t>
            </w:r>
            <w:r w:rsidRPr="00EC20A0">
              <w:rPr>
                <w:spacing w:val="-5"/>
              </w:rPr>
              <w:t xml:space="preserve"> </w:t>
            </w:r>
            <w:r w:rsidRPr="00EC20A0">
              <w:t>unable</w:t>
            </w:r>
            <w:r w:rsidRPr="00EC20A0">
              <w:rPr>
                <w:spacing w:val="-5"/>
              </w:rPr>
              <w:t xml:space="preserve"> </w:t>
            </w:r>
            <w:r w:rsidRPr="00EC20A0">
              <w:t>to</w:t>
            </w:r>
            <w:r w:rsidRPr="00EC20A0">
              <w:rPr>
                <w:spacing w:val="-6"/>
              </w:rPr>
              <w:t xml:space="preserve"> </w:t>
            </w:r>
            <w:r w:rsidRPr="00EC20A0">
              <w:t>obtain</w:t>
            </w:r>
            <w:r w:rsidRPr="00EC20A0">
              <w:rPr>
                <w:spacing w:val="-4"/>
              </w:rPr>
              <w:t xml:space="preserve"> </w:t>
            </w:r>
            <w:r w:rsidRPr="00EC20A0">
              <w:t>sufficient</w:t>
            </w:r>
            <w:r w:rsidRPr="00EC20A0">
              <w:rPr>
                <w:spacing w:val="-5"/>
              </w:rPr>
              <w:t xml:space="preserve"> </w:t>
            </w:r>
            <w:r w:rsidRPr="00EC20A0">
              <w:t>appropriate</w:t>
            </w:r>
            <w:r w:rsidRPr="00EC20A0">
              <w:rPr>
                <w:spacing w:val="-5"/>
              </w:rPr>
              <w:t xml:space="preserve"> </w:t>
            </w:r>
            <w:r w:rsidRPr="00EC20A0">
              <w:t xml:space="preserve">audit evidence to conclude that the financial statements as a whole are free from material </w:t>
            </w:r>
            <w:proofErr w:type="gramStart"/>
            <w:r w:rsidRPr="00EC20A0">
              <w:t>misstatement?</w:t>
            </w:r>
            <w:proofErr w:type="gramEnd"/>
            <w:r w:rsidRPr="00EC20A0">
              <w:t xml:space="preserve"> (AU-C 705)</w:t>
            </w:r>
          </w:p>
        </w:tc>
        <w:tc>
          <w:tcPr>
            <w:tcW w:w="810" w:type="dxa"/>
            <w:tcBorders>
              <w:top w:val="single" w:sz="6" w:space="0" w:color="000000"/>
              <w:left w:val="single" w:sz="6" w:space="0" w:color="000000"/>
              <w:bottom w:val="single" w:sz="6" w:space="0" w:color="000000"/>
              <w:right w:val="single" w:sz="6" w:space="0" w:color="000000"/>
            </w:tcBorders>
          </w:tcPr>
          <w:p w14:paraId="24D62830"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31" w14:textId="77777777" w:rsidR="00245300" w:rsidRPr="00EC20A0" w:rsidRDefault="00245300">
            <w:pPr>
              <w:pStyle w:val="TableParagraph"/>
            </w:pPr>
          </w:p>
        </w:tc>
      </w:tr>
      <w:tr w:rsidR="00245300" w:rsidRPr="00EC20A0" w14:paraId="24D62838" w14:textId="77777777">
        <w:trPr>
          <w:trHeight w:val="3532"/>
        </w:trPr>
        <w:tc>
          <w:tcPr>
            <w:tcW w:w="7380" w:type="dxa"/>
            <w:tcBorders>
              <w:top w:val="single" w:sz="6" w:space="0" w:color="000000"/>
              <w:bottom w:val="single" w:sz="6" w:space="0" w:color="000000"/>
              <w:right w:val="single" w:sz="6" w:space="0" w:color="000000"/>
            </w:tcBorders>
          </w:tcPr>
          <w:p w14:paraId="24D62833" w14:textId="77777777" w:rsidR="00245300" w:rsidRPr="00EC20A0" w:rsidRDefault="00F17249">
            <w:pPr>
              <w:pStyle w:val="TableParagraph"/>
              <w:numPr>
                <w:ilvl w:val="0"/>
                <w:numId w:val="37"/>
              </w:numPr>
              <w:tabs>
                <w:tab w:val="left" w:pos="1304"/>
                <w:tab w:val="left" w:pos="1334"/>
              </w:tabs>
              <w:spacing w:before="119"/>
              <w:ind w:right="246" w:hanging="361"/>
            </w:pPr>
            <w:r w:rsidRPr="00EC20A0">
              <w:t>Did</w:t>
            </w:r>
            <w:r w:rsidRPr="00EC20A0">
              <w:rPr>
                <w:spacing w:val="40"/>
              </w:rPr>
              <w:t xml:space="preserve"> </w:t>
            </w:r>
            <w:r w:rsidRPr="00EC20A0">
              <w:t>the auditor, having formed an opinion on the financial statements, draw users’ attention—when in the auditor’s judgment</w:t>
            </w:r>
            <w:r w:rsidRPr="00EC20A0">
              <w:rPr>
                <w:spacing w:val="-4"/>
              </w:rPr>
              <w:t xml:space="preserve"> </w:t>
            </w:r>
            <w:r w:rsidRPr="00EC20A0">
              <w:t>it</w:t>
            </w:r>
            <w:r w:rsidRPr="00EC20A0">
              <w:rPr>
                <w:spacing w:val="-4"/>
              </w:rPr>
              <w:t xml:space="preserve"> </w:t>
            </w:r>
            <w:r w:rsidRPr="00EC20A0">
              <w:t>is</w:t>
            </w:r>
            <w:r w:rsidRPr="00EC20A0">
              <w:rPr>
                <w:spacing w:val="-4"/>
              </w:rPr>
              <w:t xml:space="preserve"> </w:t>
            </w:r>
            <w:r w:rsidRPr="00EC20A0">
              <w:t>necessary</w:t>
            </w:r>
            <w:r w:rsidRPr="00EC20A0">
              <w:rPr>
                <w:spacing w:val="-5"/>
              </w:rPr>
              <w:t xml:space="preserve"> </w:t>
            </w:r>
            <w:r w:rsidRPr="00EC20A0">
              <w:t>to</w:t>
            </w:r>
            <w:r w:rsidRPr="00EC20A0">
              <w:rPr>
                <w:spacing w:val="-4"/>
              </w:rPr>
              <w:t xml:space="preserve"> </w:t>
            </w:r>
            <w:r w:rsidRPr="00EC20A0">
              <w:t>do</w:t>
            </w:r>
            <w:r w:rsidRPr="00EC20A0">
              <w:rPr>
                <w:spacing w:val="-4"/>
              </w:rPr>
              <w:t xml:space="preserve"> </w:t>
            </w:r>
            <w:r w:rsidRPr="00EC20A0">
              <w:t>so,</w:t>
            </w:r>
            <w:r w:rsidRPr="00EC20A0">
              <w:rPr>
                <w:spacing w:val="-4"/>
              </w:rPr>
              <w:t xml:space="preserve"> </w:t>
            </w:r>
            <w:r w:rsidRPr="00EC20A0">
              <w:t>by</w:t>
            </w:r>
            <w:r w:rsidRPr="00EC20A0">
              <w:rPr>
                <w:spacing w:val="-5"/>
              </w:rPr>
              <w:t xml:space="preserve"> </w:t>
            </w:r>
            <w:r w:rsidRPr="00EC20A0">
              <w:t>way</w:t>
            </w:r>
            <w:r w:rsidRPr="00EC20A0">
              <w:rPr>
                <w:spacing w:val="-4"/>
              </w:rPr>
              <w:t xml:space="preserve"> </w:t>
            </w:r>
            <w:r w:rsidRPr="00EC20A0">
              <w:t>of</w:t>
            </w:r>
            <w:r w:rsidRPr="00EC20A0">
              <w:rPr>
                <w:spacing w:val="-4"/>
              </w:rPr>
              <w:t xml:space="preserve"> </w:t>
            </w:r>
            <w:r w:rsidRPr="00EC20A0">
              <w:t>clear</w:t>
            </w:r>
            <w:r w:rsidRPr="00EC20A0">
              <w:rPr>
                <w:spacing w:val="-4"/>
              </w:rPr>
              <w:t xml:space="preserve"> </w:t>
            </w:r>
            <w:r w:rsidRPr="00EC20A0">
              <w:t xml:space="preserve">additional </w:t>
            </w:r>
            <w:r w:rsidRPr="00EC20A0">
              <w:t>communication in the auditor’s report—to</w:t>
            </w:r>
          </w:p>
          <w:p w14:paraId="24D62834" w14:textId="77777777" w:rsidR="00245300" w:rsidRPr="00EC20A0" w:rsidRDefault="00F17249">
            <w:pPr>
              <w:pStyle w:val="TableParagraph"/>
              <w:numPr>
                <w:ilvl w:val="1"/>
                <w:numId w:val="37"/>
              </w:numPr>
              <w:tabs>
                <w:tab w:val="left" w:pos="1694"/>
              </w:tabs>
              <w:spacing w:before="240"/>
              <w:ind w:right="270" w:hanging="361"/>
            </w:pPr>
            <w:r w:rsidRPr="00EC20A0">
              <w:t>a</w:t>
            </w:r>
            <w:r w:rsidRPr="00EC20A0">
              <w:rPr>
                <w:spacing w:val="-6"/>
              </w:rPr>
              <w:t xml:space="preserve"> </w:t>
            </w:r>
            <w:r w:rsidRPr="00EC20A0">
              <w:t>matter,</w:t>
            </w:r>
            <w:r w:rsidRPr="00EC20A0">
              <w:rPr>
                <w:spacing w:val="-6"/>
              </w:rPr>
              <w:t xml:space="preserve"> </w:t>
            </w:r>
            <w:r w:rsidRPr="00EC20A0">
              <w:t>although</w:t>
            </w:r>
            <w:r w:rsidRPr="00EC20A0">
              <w:rPr>
                <w:spacing w:val="-6"/>
              </w:rPr>
              <w:t xml:space="preserve"> </w:t>
            </w:r>
            <w:r w:rsidRPr="00EC20A0">
              <w:t>appropriately</w:t>
            </w:r>
            <w:r w:rsidRPr="00EC20A0">
              <w:rPr>
                <w:spacing w:val="-6"/>
              </w:rPr>
              <w:t xml:space="preserve"> </w:t>
            </w:r>
            <w:r w:rsidRPr="00EC20A0">
              <w:t>presented</w:t>
            </w:r>
            <w:r w:rsidRPr="00EC20A0">
              <w:rPr>
                <w:spacing w:val="-6"/>
              </w:rPr>
              <w:t xml:space="preserve"> </w:t>
            </w:r>
            <w:r w:rsidRPr="00EC20A0">
              <w:t>or</w:t>
            </w:r>
            <w:r w:rsidRPr="00EC20A0">
              <w:rPr>
                <w:spacing w:val="-6"/>
              </w:rPr>
              <w:t xml:space="preserve"> </w:t>
            </w:r>
            <w:r w:rsidRPr="00EC20A0">
              <w:t>disclosed in the financial statements, that is of such importance that it is fundamental to users’ understanding of the financial statements or</w:t>
            </w:r>
          </w:p>
          <w:p w14:paraId="24D62835" w14:textId="77777777" w:rsidR="00245300" w:rsidRPr="00EC20A0" w:rsidRDefault="00F17249">
            <w:pPr>
              <w:pStyle w:val="TableParagraph"/>
              <w:numPr>
                <w:ilvl w:val="1"/>
                <w:numId w:val="37"/>
              </w:numPr>
              <w:tabs>
                <w:tab w:val="left" w:pos="1694"/>
              </w:tabs>
              <w:spacing w:before="238"/>
              <w:ind w:right="137"/>
            </w:pPr>
            <w:r w:rsidRPr="00EC20A0">
              <w:t>as</w:t>
            </w:r>
            <w:r w:rsidRPr="00EC20A0">
              <w:rPr>
                <w:spacing w:val="-4"/>
              </w:rPr>
              <w:t xml:space="preserve"> </w:t>
            </w:r>
            <w:r w:rsidRPr="00EC20A0">
              <w:t>appropriate,</w:t>
            </w:r>
            <w:r w:rsidRPr="00EC20A0">
              <w:rPr>
                <w:spacing w:val="-4"/>
              </w:rPr>
              <w:t xml:space="preserve"> </w:t>
            </w:r>
            <w:r w:rsidRPr="00EC20A0">
              <w:t>any</w:t>
            </w:r>
            <w:r w:rsidRPr="00EC20A0">
              <w:rPr>
                <w:spacing w:val="-4"/>
              </w:rPr>
              <w:t xml:space="preserve"> </w:t>
            </w:r>
            <w:r w:rsidRPr="00EC20A0">
              <w:t>other</w:t>
            </w:r>
            <w:r w:rsidRPr="00EC20A0">
              <w:rPr>
                <w:spacing w:val="-5"/>
              </w:rPr>
              <w:t xml:space="preserve"> </w:t>
            </w:r>
            <w:r w:rsidRPr="00EC20A0">
              <w:t>matter</w:t>
            </w:r>
            <w:r w:rsidRPr="00EC20A0">
              <w:rPr>
                <w:spacing w:val="-4"/>
              </w:rPr>
              <w:t xml:space="preserve"> </w:t>
            </w:r>
            <w:r w:rsidRPr="00EC20A0">
              <w:t>that</w:t>
            </w:r>
            <w:r w:rsidRPr="00EC20A0">
              <w:rPr>
                <w:spacing w:val="-4"/>
              </w:rPr>
              <w:t xml:space="preserve"> </w:t>
            </w:r>
            <w:r w:rsidRPr="00EC20A0">
              <w:t>is</w:t>
            </w:r>
            <w:r w:rsidRPr="00EC20A0">
              <w:rPr>
                <w:spacing w:val="-4"/>
              </w:rPr>
              <w:t xml:space="preserve"> </w:t>
            </w:r>
            <w:r w:rsidRPr="00EC20A0">
              <w:t>relevant</w:t>
            </w:r>
            <w:r w:rsidRPr="00EC20A0">
              <w:rPr>
                <w:spacing w:val="-4"/>
              </w:rPr>
              <w:t xml:space="preserve"> </w:t>
            </w:r>
            <w:r w:rsidRPr="00EC20A0">
              <w:t>to</w:t>
            </w:r>
            <w:r w:rsidRPr="00EC20A0">
              <w:rPr>
                <w:spacing w:val="-5"/>
              </w:rPr>
              <w:t xml:space="preserve"> </w:t>
            </w:r>
            <w:r w:rsidRPr="00EC20A0">
              <w:t>users’ understanding of the audit, the auditor’s responsibilities, or the auditor’s report? (AU-C 706)</w:t>
            </w:r>
          </w:p>
        </w:tc>
        <w:tc>
          <w:tcPr>
            <w:tcW w:w="810" w:type="dxa"/>
            <w:tcBorders>
              <w:top w:val="single" w:sz="6" w:space="0" w:color="000000"/>
              <w:left w:val="single" w:sz="6" w:space="0" w:color="000000"/>
              <w:bottom w:val="single" w:sz="6" w:space="0" w:color="000000"/>
              <w:right w:val="single" w:sz="6" w:space="0" w:color="000000"/>
            </w:tcBorders>
          </w:tcPr>
          <w:p w14:paraId="24D62836"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37" w14:textId="77777777" w:rsidR="00245300" w:rsidRPr="00EC20A0" w:rsidRDefault="00245300">
            <w:pPr>
              <w:pStyle w:val="TableParagraph"/>
            </w:pPr>
          </w:p>
        </w:tc>
      </w:tr>
      <w:tr w:rsidR="00245300" w:rsidRPr="00EC20A0" w14:paraId="24D6283E" w14:textId="77777777">
        <w:trPr>
          <w:trHeight w:val="3025"/>
        </w:trPr>
        <w:tc>
          <w:tcPr>
            <w:tcW w:w="7380" w:type="dxa"/>
            <w:tcBorders>
              <w:top w:val="single" w:sz="6" w:space="0" w:color="000000"/>
              <w:bottom w:val="single" w:sz="6" w:space="0" w:color="000000"/>
              <w:right w:val="single" w:sz="6" w:space="0" w:color="000000"/>
            </w:tcBorders>
          </w:tcPr>
          <w:p w14:paraId="24D62839" w14:textId="77777777" w:rsidR="00245300" w:rsidRPr="00EC20A0" w:rsidRDefault="00F17249">
            <w:pPr>
              <w:pStyle w:val="TableParagraph"/>
              <w:numPr>
                <w:ilvl w:val="0"/>
                <w:numId w:val="36"/>
              </w:numPr>
              <w:tabs>
                <w:tab w:val="left" w:pos="1334"/>
              </w:tabs>
              <w:spacing w:before="119"/>
            </w:pPr>
            <w:r w:rsidRPr="00EC20A0">
              <w:t>Did</w:t>
            </w:r>
            <w:r w:rsidRPr="00EC20A0">
              <w:rPr>
                <w:spacing w:val="-4"/>
              </w:rPr>
              <w:t xml:space="preserve"> </w:t>
            </w:r>
            <w:r w:rsidRPr="00EC20A0">
              <w:t>the</w:t>
            </w:r>
            <w:r w:rsidRPr="00EC20A0">
              <w:rPr>
                <w:spacing w:val="-4"/>
              </w:rPr>
              <w:t xml:space="preserve"> </w:t>
            </w:r>
            <w:r w:rsidRPr="00EC20A0">
              <w:rPr>
                <w:spacing w:val="-2"/>
              </w:rPr>
              <w:t>auditor</w:t>
            </w:r>
          </w:p>
          <w:p w14:paraId="24D6283A" w14:textId="77777777" w:rsidR="00245300" w:rsidRPr="00EC20A0" w:rsidRDefault="00F17249">
            <w:pPr>
              <w:pStyle w:val="TableParagraph"/>
              <w:numPr>
                <w:ilvl w:val="1"/>
                <w:numId w:val="36"/>
              </w:numPr>
              <w:tabs>
                <w:tab w:val="left" w:pos="1694"/>
              </w:tabs>
              <w:spacing w:before="240"/>
              <w:ind w:right="308"/>
            </w:pPr>
            <w:r w:rsidRPr="00EC20A0">
              <w:t>evaluate</w:t>
            </w:r>
            <w:r w:rsidRPr="00EC20A0">
              <w:rPr>
                <w:spacing w:val="-5"/>
              </w:rPr>
              <w:t xml:space="preserve"> </w:t>
            </w:r>
            <w:r w:rsidRPr="00EC20A0">
              <w:t>the</w:t>
            </w:r>
            <w:r w:rsidRPr="00EC20A0">
              <w:rPr>
                <w:spacing w:val="-6"/>
              </w:rPr>
              <w:t xml:space="preserve"> </w:t>
            </w:r>
            <w:r w:rsidRPr="00EC20A0">
              <w:t>consistency</w:t>
            </w:r>
            <w:r w:rsidRPr="00EC20A0">
              <w:rPr>
                <w:spacing w:val="-6"/>
              </w:rPr>
              <w:t xml:space="preserve"> </w:t>
            </w:r>
            <w:r w:rsidRPr="00EC20A0">
              <w:t>of</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for the periods presented and</w:t>
            </w:r>
          </w:p>
          <w:p w14:paraId="24D6283B" w14:textId="77777777" w:rsidR="00245300" w:rsidRPr="00EC20A0" w:rsidRDefault="00F17249">
            <w:pPr>
              <w:pStyle w:val="TableParagraph"/>
              <w:numPr>
                <w:ilvl w:val="1"/>
                <w:numId w:val="36"/>
              </w:numPr>
              <w:tabs>
                <w:tab w:val="left" w:pos="1694"/>
              </w:tabs>
              <w:spacing w:before="238"/>
              <w:ind w:right="297"/>
            </w:pPr>
            <w:r w:rsidRPr="00EC20A0">
              <w:t>communicate</w:t>
            </w:r>
            <w:r w:rsidRPr="00EC20A0">
              <w:rPr>
                <w:spacing w:val="-7"/>
              </w:rPr>
              <w:t xml:space="preserve"> </w:t>
            </w:r>
            <w:r w:rsidRPr="00EC20A0">
              <w:t>appropriately</w:t>
            </w:r>
            <w:r w:rsidRPr="00EC20A0">
              <w:rPr>
                <w:spacing w:val="-7"/>
              </w:rPr>
              <w:t xml:space="preserve"> </w:t>
            </w:r>
            <w:r w:rsidRPr="00EC20A0">
              <w:t>in</w:t>
            </w:r>
            <w:r w:rsidRPr="00EC20A0">
              <w:rPr>
                <w:spacing w:val="-7"/>
              </w:rPr>
              <w:t xml:space="preserve"> </w:t>
            </w:r>
            <w:r w:rsidRPr="00EC20A0">
              <w:t>the</w:t>
            </w:r>
            <w:r w:rsidRPr="00EC20A0">
              <w:rPr>
                <w:spacing w:val="-7"/>
              </w:rPr>
              <w:t xml:space="preserve"> </w:t>
            </w:r>
            <w:r w:rsidRPr="00EC20A0">
              <w:t>auditor’s</w:t>
            </w:r>
            <w:r w:rsidRPr="00EC20A0">
              <w:rPr>
                <w:spacing w:val="-7"/>
              </w:rPr>
              <w:t xml:space="preserve"> </w:t>
            </w:r>
            <w:r w:rsidRPr="00EC20A0">
              <w:t>report</w:t>
            </w:r>
            <w:r w:rsidRPr="00EC20A0">
              <w:rPr>
                <w:spacing w:val="-7"/>
              </w:rPr>
              <w:t xml:space="preserve"> </w:t>
            </w:r>
            <w:r w:rsidRPr="00EC20A0">
              <w:t>when the comparability of financial statements between periods has been materially affected by a change in accounting principle or by adjustments to correct a material misstatement in previously issued financial statements? (AU-C 708)</w:t>
            </w:r>
          </w:p>
        </w:tc>
        <w:tc>
          <w:tcPr>
            <w:tcW w:w="810" w:type="dxa"/>
            <w:tcBorders>
              <w:top w:val="single" w:sz="6" w:space="0" w:color="000000"/>
              <w:left w:val="single" w:sz="6" w:space="0" w:color="000000"/>
              <w:bottom w:val="single" w:sz="6" w:space="0" w:color="000000"/>
              <w:right w:val="single" w:sz="6" w:space="0" w:color="000000"/>
            </w:tcBorders>
          </w:tcPr>
          <w:p w14:paraId="24D6283C"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3D" w14:textId="77777777" w:rsidR="00245300" w:rsidRPr="00EC20A0" w:rsidRDefault="00245300">
            <w:pPr>
              <w:pStyle w:val="TableParagraph"/>
            </w:pPr>
          </w:p>
        </w:tc>
      </w:tr>
      <w:tr w:rsidR="00245300" w:rsidRPr="00EC20A0" w14:paraId="24D62843" w14:textId="77777777">
        <w:trPr>
          <w:trHeight w:val="880"/>
        </w:trPr>
        <w:tc>
          <w:tcPr>
            <w:tcW w:w="7380" w:type="dxa"/>
            <w:tcBorders>
              <w:top w:val="single" w:sz="6" w:space="0" w:color="000000"/>
              <w:bottom w:val="single" w:sz="6" w:space="0" w:color="000000"/>
              <w:right w:val="single" w:sz="6" w:space="0" w:color="000000"/>
            </w:tcBorders>
          </w:tcPr>
          <w:p w14:paraId="24D6283F" w14:textId="77777777" w:rsidR="00245300" w:rsidRPr="00EC20A0" w:rsidRDefault="00F17249">
            <w:pPr>
              <w:pStyle w:val="TableParagraph"/>
              <w:tabs>
                <w:tab w:val="left" w:pos="1334"/>
              </w:tabs>
              <w:spacing w:before="121"/>
              <w:ind w:left="1304" w:right="260" w:hanging="360"/>
            </w:pPr>
            <w:r w:rsidRPr="00EC20A0">
              <w:rPr>
                <w:spacing w:val="-6"/>
              </w:rPr>
              <w:t>h.</w:t>
            </w:r>
            <w:r w:rsidRPr="00EC20A0">
              <w:tab/>
            </w:r>
            <w:r w:rsidRPr="00EC20A0">
              <w:tab/>
              <w:t>Did the auditor respond appropriately when the auditor became</w:t>
            </w:r>
            <w:r w:rsidRPr="00EC20A0">
              <w:rPr>
                <w:spacing w:val="-5"/>
              </w:rPr>
              <w:t xml:space="preserve"> </w:t>
            </w:r>
            <w:r w:rsidRPr="00EC20A0">
              <w:t>aware</w:t>
            </w:r>
            <w:r w:rsidRPr="00EC20A0">
              <w:rPr>
                <w:spacing w:val="-5"/>
              </w:rPr>
              <w:t xml:space="preserve"> </w:t>
            </w:r>
            <w:r w:rsidRPr="00EC20A0">
              <w:t>that</w:t>
            </w:r>
            <w:r w:rsidRPr="00EC20A0">
              <w:rPr>
                <w:spacing w:val="-5"/>
              </w:rPr>
              <w:t xml:space="preserve"> </w:t>
            </w:r>
            <w:r w:rsidRPr="00EC20A0">
              <w:t>the</w:t>
            </w:r>
            <w:r w:rsidRPr="00EC20A0">
              <w:rPr>
                <w:spacing w:val="-6"/>
              </w:rPr>
              <w:t xml:space="preserve"> </w:t>
            </w:r>
            <w:r w:rsidRPr="00EC20A0">
              <w:t>entity’s</w:t>
            </w:r>
            <w:r w:rsidRPr="00EC20A0">
              <w:rPr>
                <w:spacing w:val="-6"/>
              </w:rPr>
              <w:t xml:space="preserve"> </w:t>
            </w:r>
            <w:r w:rsidRPr="00EC20A0">
              <w:t>annual</w:t>
            </w:r>
            <w:r w:rsidRPr="00EC20A0">
              <w:rPr>
                <w:spacing w:val="-5"/>
              </w:rPr>
              <w:t xml:space="preserve"> </w:t>
            </w:r>
            <w:r w:rsidRPr="00EC20A0">
              <w:t>report</w:t>
            </w:r>
            <w:r w:rsidRPr="00EC20A0">
              <w:rPr>
                <w:spacing w:val="-5"/>
              </w:rPr>
              <w:t xml:space="preserve"> </w:t>
            </w:r>
            <w:r w:rsidRPr="00EC20A0">
              <w:t>included</w:t>
            </w:r>
            <w:r w:rsidRPr="00EC20A0">
              <w:rPr>
                <w:spacing w:val="-5"/>
              </w:rPr>
              <w:t xml:space="preserve"> </w:t>
            </w:r>
            <w:r w:rsidRPr="00EC20A0">
              <w:t>other</w:t>
            </w:r>
          </w:p>
          <w:p w14:paraId="24D62840" w14:textId="77777777" w:rsidR="00245300" w:rsidRPr="00EC20A0" w:rsidRDefault="00F17249">
            <w:pPr>
              <w:pStyle w:val="TableParagraph"/>
              <w:spacing w:line="233" w:lineRule="exact"/>
              <w:ind w:left="1304"/>
            </w:pPr>
            <w:r w:rsidRPr="00EC20A0">
              <w:t>information</w:t>
            </w:r>
            <w:r w:rsidRPr="00EC20A0">
              <w:rPr>
                <w:spacing w:val="-7"/>
              </w:rPr>
              <w:t xml:space="preserve"> </w:t>
            </w:r>
            <w:r w:rsidRPr="00EC20A0">
              <w:t>that</w:t>
            </w:r>
            <w:r w:rsidRPr="00EC20A0">
              <w:rPr>
                <w:spacing w:val="-7"/>
              </w:rPr>
              <w:t xml:space="preserve"> </w:t>
            </w:r>
            <w:r w:rsidRPr="00EC20A0">
              <w:t>could</w:t>
            </w:r>
            <w:r w:rsidRPr="00EC20A0">
              <w:rPr>
                <w:spacing w:val="-7"/>
              </w:rPr>
              <w:t xml:space="preserve"> </w:t>
            </w:r>
            <w:r w:rsidRPr="00EC20A0">
              <w:t>undermine</w:t>
            </w:r>
            <w:r w:rsidRPr="00EC20A0">
              <w:rPr>
                <w:spacing w:val="-7"/>
              </w:rPr>
              <w:t xml:space="preserve"> </w:t>
            </w:r>
            <w:r w:rsidRPr="00EC20A0">
              <w:t>the</w:t>
            </w:r>
            <w:r w:rsidRPr="00EC20A0">
              <w:rPr>
                <w:spacing w:val="-7"/>
              </w:rPr>
              <w:t xml:space="preserve"> </w:t>
            </w:r>
            <w:r w:rsidRPr="00EC20A0">
              <w:t>credibility</w:t>
            </w:r>
            <w:r w:rsidRPr="00EC20A0">
              <w:rPr>
                <w:spacing w:val="-7"/>
              </w:rPr>
              <w:t xml:space="preserve"> </w:t>
            </w:r>
            <w:r w:rsidRPr="00EC20A0">
              <w:t>of</w:t>
            </w:r>
            <w:r w:rsidRPr="00EC20A0">
              <w:rPr>
                <w:spacing w:val="-8"/>
              </w:rPr>
              <w:t xml:space="preserve"> </w:t>
            </w:r>
            <w:r w:rsidRPr="00EC20A0">
              <w:rPr>
                <w:spacing w:val="-2"/>
              </w:rPr>
              <w:t>those</w:t>
            </w:r>
          </w:p>
        </w:tc>
        <w:tc>
          <w:tcPr>
            <w:tcW w:w="810" w:type="dxa"/>
            <w:tcBorders>
              <w:top w:val="single" w:sz="6" w:space="0" w:color="000000"/>
              <w:left w:val="single" w:sz="6" w:space="0" w:color="000000"/>
              <w:bottom w:val="single" w:sz="6" w:space="0" w:color="000000"/>
              <w:right w:val="single" w:sz="6" w:space="0" w:color="000000"/>
            </w:tcBorders>
          </w:tcPr>
          <w:p w14:paraId="24D62841"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42" w14:textId="77777777" w:rsidR="00245300" w:rsidRPr="00EC20A0" w:rsidRDefault="00245300">
            <w:pPr>
              <w:pStyle w:val="TableParagraph"/>
            </w:pPr>
          </w:p>
        </w:tc>
      </w:tr>
    </w:tbl>
    <w:p w14:paraId="24D62844" w14:textId="77777777" w:rsidR="00245300" w:rsidRPr="00EC20A0" w:rsidRDefault="00245300">
      <w:pPr>
        <w:sectPr w:rsidR="00245300" w:rsidRPr="00EC20A0">
          <w:pgSz w:w="12240" w:h="15840"/>
          <w:pgMar w:top="1340" w:right="460" w:bottom="940" w:left="560" w:header="721" w:footer="757" w:gutter="0"/>
          <w:cols w:space="720"/>
        </w:sectPr>
      </w:pPr>
    </w:p>
    <w:p w14:paraId="24D62845" w14:textId="77777777" w:rsidR="00245300" w:rsidRPr="00EC20A0" w:rsidRDefault="00245300">
      <w:pPr>
        <w:pStyle w:val="BodyText"/>
        <w:spacing w:before="9"/>
        <w:rPr>
          <w:b/>
          <w:sz w:val="11"/>
        </w:rPr>
      </w:pPr>
    </w:p>
    <w:tbl>
      <w:tblPr>
        <w:tblW w:w="0" w:type="auto"/>
        <w:tblInd w:w="9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245300" w:rsidRPr="00EC20A0" w14:paraId="24D6284D" w14:textId="77777777">
        <w:trPr>
          <w:trHeight w:val="998"/>
        </w:trPr>
        <w:tc>
          <w:tcPr>
            <w:tcW w:w="7380" w:type="dxa"/>
            <w:tcBorders>
              <w:right w:val="single" w:sz="8" w:space="0" w:color="000000"/>
            </w:tcBorders>
            <w:shd w:val="clear" w:color="auto" w:fill="A6A6A6"/>
          </w:tcPr>
          <w:p w14:paraId="24D62846" w14:textId="77777777" w:rsidR="00245300" w:rsidRPr="00EC20A0" w:rsidRDefault="00245300">
            <w:pPr>
              <w:pStyle w:val="TableParagraph"/>
              <w:rPr>
                <w:b/>
                <w:sz w:val="24"/>
              </w:rPr>
            </w:pPr>
          </w:p>
          <w:p w14:paraId="24D62847" w14:textId="77777777" w:rsidR="00245300" w:rsidRPr="00EC20A0" w:rsidRDefault="00245300">
            <w:pPr>
              <w:pStyle w:val="TableParagraph"/>
              <w:spacing w:before="72"/>
              <w:rPr>
                <w:b/>
                <w:sz w:val="24"/>
              </w:rPr>
            </w:pPr>
          </w:p>
          <w:p w14:paraId="24D62848" w14:textId="77777777" w:rsidR="00245300" w:rsidRPr="00EC20A0" w:rsidRDefault="00F17249">
            <w:pPr>
              <w:pStyle w:val="TableParagraph"/>
              <w:spacing w:before="1"/>
              <w:ind w:left="123"/>
              <w:rPr>
                <w:b/>
                <w:sz w:val="24"/>
              </w:rPr>
            </w:pPr>
            <w:r w:rsidRPr="00EC20A0">
              <w:rPr>
                <w:b/>
                <w:sz w:val="24"/>
              </w:rPr>
              <w:t>Section</w:t>
            </w:r>
            <w:r w:rsidRPr="00EC20A0">
              <w:rPr>
                <w:b/>
                <w:spacing w:val="-4"/>
                <w:sz w:val="24"/>
              </w:rPr>
              <w:t xml:space="preserve"> </w:t>
            </w:r>
            <w:r w:rsidRPr="00EC20A0">
              <w:rPr>
                <w:b/>
                <w:sz w:val="24"/>
              </w:rPr>
              <w:t>IV:</w:t>
            </w:r>
            <w:r w:rsidRPr="00EC20A0">
              <w:rPr>
                <w:b/>
                <w:spacing w:val="-4"/>
                <w:sz w:val="24"/>
              </w:rPr>
              <w:t xml:space="preserve"> </w:t>
            </w:r>
            <w:r w:rsidRPr="00EC20A0">
              <w:rPr>
                <w:b/>
                <w:sz w:val="24"/>
              </w:rPr>
              <w:t>Communicating</w:t>
            </w:r>
            <w:r w:rsidRPr="00EC20A0">
              <w:rPr>
                <w:b/>
                <w:spacing w:val="-4"/>
                <w:sz w:val="24"/>
              </w:rPr>
              <w:t xml:space="preserve"> </w:t>
            </w:r>
            <w:r w:rsidRPr="00EC20A0">
              <w:rPr>
                <w:b/>
                <w:sz w:val="24"/>
              </w:rPr>
              <w:t>and</w:t>
            </w:r>
            <w:r w:rsidRPr="00EC20A0">
              <w:rPr>
                <w:b/>
                <w:spacing w:val="-4"/>
                <w:sz w:val="24"/>
              </w:rPr>
              <w:t xml:space="preserve"> </w:t>
            </w:r>
            <w:r w:rsidRPr="00EC20A0">
              <w:rPr>
                <w:b/>
                <w:sz w:val="24"/>
              </w:rPr>
              <w:t>Reporting</w:t>
            </w:r>
            <w:r w:rsidRPr="00EC20A0">
              <w:rPr>
                <w:b/>
                <w:spacing w:val="-3"/>
                <w:sz w:val="24"/>
              </w:rPr>
              <w:t xml:space="preserve"> </w:t>
            </w:r>
            <w:r w:rsidRPr="00EC20A0">
              <w:rPr>
                <w:b/>
                <w:spacing w:val="-2"/>
                <w:sz w:val="24"/>
              </w:rPr>
              <w:t>Results</w:t>
            </w:r>
          </w:p>
        </w:tc>
        <w:tc>
          <w:tcPr>
            <w:tcW w:w="810" w:type="dxa"/>
            <w:tcBorders>
              <w:left w:val="single" w:sz="8" w:space="0" w:color="000000"/>
              <w:right w:val="single" w:sz="8" w:space="0" w:color="000000"/>
            </w:tcBorders>
            <w:shd w:val="clear" w:color="auto" w:fill="A6A6A6"/>
          </w:tcPr>
          <w:p w14:paraId="24D62849" w14:textId="77777777" w:rsidR="00245300" w:rsidRPr="00EC20A0" w:rsidRDefault="00F17249">
            <w:pPr>
              <w:pStyle w:val="TableParagraph"/>
              <w:spacing w:before="120"/>
              <w:ind w:left="136" w:right="199"/>
              <w:jc w:val="both"/>
              <w:rPr>
                <w:b/>
              </w:rPr>
            </w:pPr>
            <w:r w:rsidRPr="00EC20A0">
              <w:rPr>
                <w:b/>
                <w:spacing w:val="-4"/>
              </w:rPr>
              <w:t>Yes, No,* N/A</w:t>
            </w:r>
          </w:p>
        </w:tc>
        <w:tc>
          <w:tcPr>
            <w:tcW w:w="1350" w:type="dxa"/>
            <w:tcBorders>
              <w:left w:val="single" w:sz="8" w:space="0" w:color="000000"/>
            </w:tcBorders>
            <w:shd w:val="clear" w:color="auto" w:fill="A6A6A6"/>
          </w:tcPr>
          <w:p w14:paraId="24D6284A" w14:textId="77777777" w:rsidR="00245300" w:rsidRPr="00EC20A0" w:rsidRDefault="00245300">
            <w:pPr>
              <w:pStyle w:val="TableParagraph"/>
              <w:rPr>
                <w:b/>
              </w:rPr>
            </w:pPr>
          </w:p>
          <w:p w14:paraId="24D6284B" w14:textId="77777777" w:rsidR="00245300" w:rsidRPr="00EC20A0" w:rsidRDefault="00245300">
            <w:pPr>
              <w:pStyle w:val="TableParagraph"/>
              <w:spacing w:before="120"/>
              <w:rPr>
                <w:b/>
              </w:rPr>
            </w:pPr>
          </w:p>
          <w:p w14:paraId="24D6284C"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851" w14:textId="77777777">
        <w:trPr>
          <w:trHeight w:val="373"/>
        </w:trPr>
        <w:tc>
          <w:tcPr>
            <w:tcW w:w="7380" w:type="dxa"/>
            <w:tcBorders>
              <w:bottom w:val="single" w:sz="6" w:space="0" w:color="000000"/>
              <w:right w:val="single" w:sz="6" w:space="0" w:color="000000"/>
            </w:tcBorders>
          </w:tcPr>
          <w:p w14:paraId="24D6284E" w14:textId="77777777" w:rsidR="00245300" w:rsidRPr="00EC20A0" w:rsidRDefault="00F17249">
            <w:pPr>
              <w:pStyle w:val="TableParagraph"/>
              <w:ind w:left="1304"/>
            </w:pPr>
            <w:r w:rsidRPr="00EC20A0">
              <w:t>financial</w:t>
            </w:r>
            <w:r w:rsidRPr="00EC20A0">
              <w:rPr>
                <w:spacing w:val="-9"/>
              </w:rPr>
              <w:t xml:space="preserve"> </w:t>
            </w:r>
            <w:r w:rsidRPr="00EC20A0">
              <w:t>statements</w:t>
            </w:r>
            <w:r w:rsidRPr="00EC20A0">
              <w:rPr>
                <w:spacing w:val="-8"/>
              </w:rPr>
              <w:t xml:space="preserve"> </w:t>
            </w:r>
            <w:r w:rsidRPr="00EC20A0">
              <w:t>and</w:t>
            </w:r>
            <w:r w:rsidRPr="00EC20A0">
              <w:rPr>
                <w:spacing w:val="-8"/>
              </w:rPr>
              <w:t xml:space="preserve"> </w:t>
            </w:r>
            <w:r w:rsidRPr="00EC20A0">
              <w:t>the</w:t>
            </w:r>
            <w:r w:rsidRPr="00EC20A0">
              <w:rPr>
                <w:spacing w:val="-8"/>
              </w:rPr>
              <w:t xml:space="preserve"> </w:t>
            </w:r>
            <w:r w:rsidRPr="00EC20A0">
              <w:t>auditor’s</w:t>
            </w:r>
            <w:r w:rsidRPr="00EC20A0">
              <w:rPr>
                <w:spacing w:val="-9"/>
              </w:rPr>
              <w:t xml:space="preserve"> </w:t>
            </w:r>
            <w:r w:rsidRPr="00EC20A0">
              <w:t>report?</w:t>
            </w:r>
            <w:r w:rsidRPr="00EC20A0">
              <w:rPr>
                <w:spacing w:val="-8"/>
              </w:rPr>
              <w:t xml:space="preserve"> </w:t>
            </w:r>
            <w:r w:rsidRPr="00EC20A0">
              <w:t>(AU-C</w:t>
            </w:r>
            <w:r w:rsidRPr="00EC20A0">
              <w:rPr>
                <w:spacing w:val="-8"/>
              </w:rPr>
              <w:t xml:space="preserve"> </w:t>
            </w:r>
            <w:r w:rsidRPr="00EC20A0">
              <w:rPr>
                <w:spacing w:val="-4"/>
              </w:rPr>
              <w:t>720)</w:t>
            </w:r>
          </w:p>
        </w:tc>
        <w:tc>
          <w:tcPr>
            <w:tcW w:w="810" w:type="dxa"/>
            <w:tcBorders>
              <w:left w:val="single" w:sz="6" w:space="0" w:color="000000"/>
              <w:bottom w:val="single" w:sz="6" w:space="0" w:color="000000"/>
              <w:right w:val="single" w:sz="6" w:space="0" w:color="000000"/>
            </w:tcBorders>
          </w:tcPr>
          <w:p w14:paraId="24D6284F" w14:textId="77777777" w:rsidR="00245300" w:rsidRPr="00EC20A0" w:rsidRDefault="00245300">
            <w:pPr>
              <w:pStyle w:val="TableParagraph"/>
            </w:pPr>
          </w:p>
        </w:tc>
        <w:tc>
          <w:tcPr>
            <w:tcW w:w="1350" w:type="dxa"/>
            <w:tcBorders>
              <w:left w:val="single" w:sz="6" w:space="0" w:color="000000"/>
              <w:bottom w:val="single" w:sz="6" w:space="0" w:color="000000"/>
            </w:tcBorders>
            <w:shd w:val="clear" w:color="auto" w:fill="BEBEBE"/>
          </w:tcPr>
          <w:p w14:paraId="24D62850" w14:textId="77777777" w:rsidR="00245300" w:rsidRPr="00EC20A0" w:rsidRDefault="00245300">
            <w:pPr>
              <w:pStyle w:val="TableParagraph"/>
            </w:pPr>
          </w:p>
        </w:tc>
      </w:tr>
      <w:tr w:rsidR="00245300" w:rsidRPr="00EC20A0" w14:paraId="24D62857" w14:textId="77777777">
        <w:trPr>
          <w:trHeight w:val="3010"/>
        </w:trPr>
        <w:tc>
          <w:tcPr>
            <w:tcW w:w="7380" w:type="dxa"/>
            <w:tcBorders>
              <w:top w:val="single" w:sz="6" w:space="0" w:color="000000"/>
              <w:bottom w:val="single" w:sz="6" w:space="0" w:color="000000"/>
              <w:right w:val="single" w:sz="6" w:space="0" w:color="000000"/>
            </w:tcBorders>
          </w:tcPr>
          <w:p w14:paraId="24D62852" w14:textId="77777777" w:rsidR="00245300" w:rsidRPr="00EC20A0" w:rsidRDefault="00F17249">
            <w:pPr>
              <w:pStyle w:val="TableParagraph"/>
              <w:tabs>
                <w:tab w:val="left" w:pos="1334"/>
              </w:tabs>
              <w:spacing w:before="121"/>
              <w:ind w:left="1303" w:right="161" w:hanging="360"/>
            </w:pPr>
            <w:r w:rsidRPr="00EC20A0">
              <w:rPr>
                <w:spacing w:val="-6"/>
              </w:rPr>
              <w:t>i.</w:t>
            </w:r>
            <w:r w:rsidRPr="00EC20A0">
              <w:tab/>
            </w:r>
            <w:r w:rsidRPr="00EC20A0">
              <w:tab/>
              <w:t xml:space="preserve">When providing an opinion or a disclaimer on financial statements, did the auditor also report on internal control over </w:t>
            </w:r>
            <w:r w:rsidRPr="00EC20A0">
              <w:t>financial reporting and on compliance with selected provisions</w:t>
            </w:r>
            <w:r w:rsidRPr="00EC20A0">
              <w:rPr>
                <w:spacing w:val="-6"/>
              </w:rPr>
              <w:t xml:space="preserve"> </w:t>
            </w:r>
            <w:r w:rsidRPr="00EC20A0">
              <w:t>of</w:t>
            </w:r>
            <w:r w:rsidRPr="00EC20A0">
              <w:rPr>
                <w:spacing w:val="-6"/>
              </w:rPr>
              <w:t xml:space="preserve"> </w:t>
            </w:r>
            <w:r w:rsidRPr="00EC20A0">
              <w:t>applicable</w:t>
            </w:r>
            <w:r w:rsidRPr="00EC20A0">
              <w:rPr>
                <w:spacing w:val="-6"/>
              </w:rPr>
              <w:t xml:space="preserve"> </w:t>
            </w:r>
            <w:r w:rsidRPr="00EC20A0">
              <w:t>laws,</w:t>
            </w:r>
            <w:r w:rsidRPr="00EC20A0">
              <w:rPr>
                <w:spacing w:val="-6"/>
              </w:rPr>
              <w:t xml:space="preserve"> </w:t>
            </w:r>
            <w:r w:rsidRPr="00EC20A0">
              <w:t>regulations,</w:t>
            </w:r>
            <w:r w:rsidRPr="00EC20A0">
              <w:rPr>
                <w:spacing w:val="-6"/>
              </w:rPr>
              <w:t xml:space="preserve"> </w:t>
            </w:r>
            <w:r w:rsidRPr="00EC20A0">
              <w:t>contracts,</w:t>
            </w:r>
            <w:r w:rsidRPr="00EC20A0">
              <w:rPr>
                <w:spacing w:val="-6"/>
              </w:rPr>
              <w:t xml:space="preserve"> </w:t>
            </w:r>
            <w:r w:rsidRPr="00EC20A0">
              <w:t>or</w:t>
            </w:r>
            <w:r w:rsidRPr="00EC20A0">
              <w:rPr>
                <w:spacing w:val="-6"/>
              </w:rPr>
              <w:t xml:space="preserve"> </w:t>
            </w:r>
            <w:r w:rsidRPr="00EC20A0">
              <w:t xml:space="preserve">grant agreements that have a material effect on the financial </w:t>
            </w:r>
            <w:r w:rsidRPr="00EC20A0">
              <w:rPr>
                <w:spacing w:val="-2"/>
              </w:rPr>
              <w:t>statements?</w:t>
            </w:r>
          </w:p>
          <w:p w14:paraId="24D62853" w14:textId="77777777" w:rsidR="00245300" w:rsidRPr="00EC20A0" w:rsidRDefault="00F17249">
            <w:pPr>
              <w:pStyle w:val="TableParagraph"/>
              <w:spacing w:before="239"/>
              <w:ind w:left="1303"/>
            </w:pPr>
            <w:r w:rsidRPr="00EC20A0">
              <w:t xml:space="preserve">Did the auditor report on internal control and compliance, </w:t>
            </w:r>
            <w:r w:rsidRPr="00EC20A0">
              <w:t>regardless</w:t>
            </w:r>
            <w:r w:rsidRPr="00EC20A0">
              <w:rPr>
                <w:spacing w:val="-6"/>
              </w:rPr>
              <w:t xml:space="preserve"> </w:t>
            </w:r>
            <w:r w:rsidRPr="00EC20A0">
              <w:t>of</w:t>
            </w:r>
            <w:r w:rsidRPr="00EC20A0">
              <w:rPr>
                <w:spacing w:val="-6"/>
              </w:rPr>
              <w:t xml:space="preserve"> </w:t>
            </w:r>
            <w:r w:rsidRPr="00EC20A0">
              <w:t>whether</w:t>
            </w:r>
            <w:r w:rsidRPr="00EC20A0">
              <w:rPr>
                <w:spacing w:val="-6"/>
              </w:rPr>
              <w:t xml:space="preserve"> </w:t>
            </w:r>
            <w:r w:rsidRPr="00EC20A0">
              <w:t>the</w:t>
            </w:r>
            <w:r w:rsidRPr="00EC20A0">
              <w:rPr>
                <w:spacing w:val="-6"/>
              </w:rPr>
              <w:t xml:space="preserve"> </w:t>
            </w:r>
            <w:r w:rsidRPr="00EC20A0">
              <w:t>auditor</w:t>
            </w:r>
            <w:r w:rsidRPr="00EC20A0">
              <w:rPr>
                <w:spacing w:val="-6"/>
              </w:rPr>
              <w:t xml:space="preserve"> </w:t>
            </w:r>
            <w:r w:rsidRPr="00EC20A0">
              <w:t>identified</w:t>
            </w:r>
            <w:r w:rsidRPr="00EC20A0">
              <w:rPr>
                <w:spacing w:val="-6"/>
              </w:rPr>
              <w:t xml:space="preserve"> </w:t>
            </w:r>
            <w:r w:rsidRPr="00EC20A0">
              <w:t>internal</w:t>
            </w:r>
            <w:r w:rsidRPr="00EC20A0">
              <w:rPr>
                <w:spacing w:val="-6"/>
              </w:rPr>
              <w:t xml:space="preserve"> </w:t>
            </w:r>
            <w:r w:rsidRPr="00EC20A0">
              <w:t>control deficiencies or instances of noncompliance?</w:t>
            </w:r>
          </w:p>
          <w:p w14:paraId="24D62854" w14:textId="77777777" w:rsidR="00245300" w:rsidRPr="00EC20A0" w:rsidRDefault="00F17249">
            <w:pPr>
              <w:pStyle w:val="TableParagraph"/>
              <w:ind w:left="1303"/>
            </w:pPr>
            <w:r w:rsidRPr="00EC20A0">
              <w:t>(GAGAS</w:t>
            </w:r>
            <w:r w:rsidRPr="00EC20A0">
              <w:rPr>
                <w:spacing w:val="-7"/>
              </w:rPr>
              <w:t xml:space="preserve"> </w:t>
            </w:r>
            <w:r w:rsidRPr="00EC20A0">
              <w:t>(2018)</w:t>
            </w:r>
            <w:r w:rsidRPr="00EC20A0">
              <w:rPr>
                <w:spacing w:val="-6"/>
              </w:rPr>
              <w:t xml:space="preserve"> </w:t>
            </w:r>
            <w:r w:rsidRPr="00EC20A0">
              <w:t>6.39</w:t>
            </w:r>
            <w:r w:rsidRPr="00EC20A0">
              <w:rPr>
                <w:spacing w:val="-6"/>
              </w:rPr>
              <w:t xml:space="preserve"> </w:t>
            </w:r>
            <w:r w:rsidRPr="00EC20A0">
              <w:t>and</w:t>
            </w:r>
            <w:r w:rsidRPr="00EC20A0">
              <w:rPr>
                <w:spacing w:val="-5"/>
              </w:rPr>
              <w:t xml:space="preserve"> </w:t>
            </w:r>
            <w:r w:rsidRPr="00EC20A0">
              <w:rPr>
                <w:spacing w:val="-2"/>
              </w:rPr>
              <w:t>6.40)</w:t>
            </w:r>
          </w:p>
        </w:tc>
        <w:tc>
          <w:tcPr>
            <w:tcW w:w="810" w:type="dxa"/>
            <w:tcBorders>
              <w:top w:val="single" w:sz="6" w:space="0" w:color="000000"/>
              <w:left w:val="single" w:sz="6" w:space="0" w:color="000000"/>
              <w:bottom w:val="single" w:sz="6" w:space="0" w:color="000000"/>
              <w:right w:val="single" w:sz="6" w:space="0" w:color="000000"/>
            </w:tcBorders>
          </w:tcPr>
          <w:p w14:paraId="24D62855"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56" w14:textId="77777777" w:rsidR="00245300" w:rsidRPr="00EC20A0" w:rsidRDefault="00245300">
            <w:pPr>
              <w:pStyle w:val="TableParagraph"/>
            </w:pPr>
          </w:p>
        </w:tc>
      </w:tr>
      <w:tr w:rsidR="00245300" w:rsidRPr="00EC20A0" w14:paraId="24D6285D" w14:textId="77777777">
        <w:trPr>
          <w:trHeight w:val="3785"/>
        </w:trPr>
        <w:tc>
          <w:tcPr>
            <w:tcW w:w="7380" w:type="dxa"/>
            <w:tcBorders>
              <w:top w:val="single" w:sz="6" w:space="0" w:color="000000"/>
              <w:bottom w:val="single" w:sz="6" w:space="0" w:color="000000"/>
              <w:right w:val="single" w:sz="6" w:space="0" w:color="000000"/>
            </w:tcBorders>
          </w:tcPr>
          <w:p w14:paraId="24D62858" w14:textId="77777777" w:rsidR="00245300" w:rsidRPr="00EC20A0" w:rsidRDefault="00F17249">
            <w:pPr>
              <w:pStyle w:val="TableParagraph"/>
              <w:numPr>
                <w:ilvl w:val="0"/>
                <w:numId w:val="35"/>
              </w:numPr>
              <w:tabs>
                <w:tab w:val="left" w:pos="1303"/>
                <w:tab w:val="left" w:pos="1334"/>
              </w:tabs>
              <w:spacing w:before="119"/>
              <w:ind w:right="406" w:hanging="360"/>
            </w:pPr>
            <w:r w:rsidRPr="00EC20A0">
              <w:t>When</w:t>
            </w:r>
            <w:r w:rsidRPr="00EC20A0">
              <w:rPr>
                <w:spacing w:val="39"/>
              </w:rPr>
              <w:t xml:space="preserve"> </w:t>
            </w:r>
            <w:r w:rsidRPr="00EC20A0">
              <w:t>a designated accounting standards setter required information</w:t>
            </w:r>
            <w:r w:rsidRPr="00EC20A0">
              <w:rPr>
                <w:spacing w:val="-6"/>
              </w:rPr>
              <w:t xml:space="preserve"> </w:t>
            </w:r>
            <w:r w:rsidRPr="00EC20A0">
              <w:t>to</w:t>
            </w:r>
            <w:r w:rsidRPr="00EC20A0">
              <w:rPr>
                <w:spacing w:val="-6"/>
              </w:rPr>
              <w:t xml:space="preserve"> </w:t>
            </w:r>
            <w:r w:rsidRPr="00EC20A0">
              <w:t>accompany</w:t>
            </w:r>
            <w:r w:rsidRPr="00EC20A0">
              <w:rPr>
                <w:spacing w:val="-6"/>
              </w:rPr>
              <w:t xml:space="preserve"> </w:t>
            </w:r>
            <w:r w:rsidRPr="00EC20A0">
              <w:t>an</w:t>
            </w:r>
            <w:r w:rsidRPr="00EC20A0">
              <w:rPr>
                <w:spacing w:val="-6"/>
              </w:rPr>
              <w:t xml:space="preserve"> </w:t>
            </w:r>
            <w:r w:rsidRPr="00EC20A0">
              <w:t>entity’s</w:t>
            </w:r>
            <w:r w:rsidRPr="00EC20A0">
              <w:rPr>
                <w:spacing w:val="-7"/>
              </w:rPr>
              <w:t xml:space="preserve"> </w:t>
            </w:r>
            <w:r w:rsidRPr="00EC20A0">
              <w:t>financial</w:t>
            </w:r>
            <w:r w:rsidRPr="00EC20A0">
              <w:rPr>
                <w:spacing w:val="-7"/>
              </w:rPr>
              <w:t xml:space="preserve"> </w:t>
            </w:r>
            <w:r w:rsidRPr="00EC20A0">
              <w:t>statements, did the auditor perform specified procedures in order to</w:t>
            </w:r>
          </w:p>
          <w:p w14:paraId="24D62859" w14:textId="77777777" w:rsidR="00245300" w:rsidRPr="00EC20A0" w:rsidRDefault="00F17249">
            <w:pPr>
              <w:pStyle w:val="TableParagraph"/>
              <w:numPr>
                <w:ilvl w:val="1"/>
                <w:numId w:val="35"/>
              </w:numPr>
              <w:tabs>
                <w:tab w:val="left" w:pos="1693"/>
              </w:tabs>
              <w:spacing w:before="241"/>
              <w:ind w:right="860"/>
            </w:pPr>
            <w:r w:rsidRPr="00EC20A0">
              <w:t>describe,</w:t>
            </w:r>
            <w:r w:rsidRPr="00EC20A0">
              <w:rPr>
                <w:spacing w:val="-6"/>
              </w:rPr>
              <w:t xml:space="preserve"> </w:t>
            </w:r>
            <w:r w:rsidRPr="00EC20A0">
              <w:t>in</w:t>
            </w:r>
            <w:r w:rsidRPr="00EC20A0">
              <w:rPr>
                <w:spacing w:val="-7"/>
              </w:rPr>
              <w:t xml:space="preserve"> </w:t>
            </w:r>
            <w:r w:rsidRPr="00EC20A0">
              <w:t>the</w:t>
            </w:r>
            <w:r w:rsidRPr="00EC20A0">
              <w:rPr>
                <w:spacing w:val="-6"/>
              </w:rPr>
              <w:t xml:space="preserve"> </w:t>
            </w:r>
            <w:r w:rsidRPr="00EC20A0">
              <w:t>auditor’s</w:t>
            </w:r>
            <w:r w:rsidRPr="00EC20A0">
              <w:rPr>
                <w:spacing w:val="-7"/>
              </w:rPr>
              <w:t xml:space="preserve"> </w:t>
            </w:r>
            <w:r w:rsidRPr="00EC20A0">
              <w:t>report,</w:t>
            </w:r>
            <w:r w:rsidRPr="00EC20A0">
              <w:rPr>
                <w:spacing w:val="-6"/>
              </w:rPr>
              <w:t xml:space="preserve"> </w:t>
            </w:r>
            <w:r w:rsidRPr="00EC20A0">
              <w:t>whether</w:t>
            </w:r>
            <w:r w:rsidRPr="00EC20A0">
              <w:rPr>
                <w:spacing w:val="-6"/>
              </w:rPr>
              <w:t xml:space="preserve"> </w:t>
            </w:r>
            <w:r w:rsidRPr="00EC20A0">
              <w:t>required supplementary information is presented and</w:t>
            </w:r>
          </w:p>
          <w:p w14:paraId="24D6285A" w14:textId="77777777" w:rsidR="00245300" w:rsidRPr="00EC20A0" w:rsidRDefault="00F17249">
            <w:pPr>
              <w:pStyle w:val="TableParagraph"/>
              <w:numPr>
                <w:ilvl w:val="1"/>
                <w:numId w:val="35"/>
              </w:numPr>
              <w:tabs>
                <w:tab w:val="left" w:pos="1692"/>
              </w:tabs>
              <w:spacing w:before="238"/>
              <w:ind w:left="1692" w:right="137"/>
            </w:pPr>
            <w:r w:rsidRPr="00EC20A0">
              <w:t xml:space="preserve">communicate when some or all of the required supplementary information has not been </w:t>
            </w:r>
            <w:r w:rsidRPr="00EC20A0">
              <w:t>presented in accordance</w:t>
            </w:r>
            <w:r w:rsidRPr="00EC20A0">
              <w:rPr>
                <w:spacing w:val="-7"/>
              </w:rPr>
              <w:t xml:space="preserve"> </w:t>
            </w:r>
            <w:r w:rsidRPr="00EC20A0">
              <w:t>with</w:t>
            </w:r>
            <w:r w:rsidRPr="00EC20A0">
              <w:rPr>
                <w:spacing w:val="-6"/>
              </w:rPr>
              <w:t xml:space="preserve"> </w:t>
            </w:r>
            <w:r w:rsidRPr="00EC20A0">
              <w:t>guidelines</w:t>
            </w:r>
            <w:r w:rsidRPr="00EC20A0">
              <w:rPr>
                <w:spacing w:val="-6"/>
              </w:rPr>
              <w:t xml:space="preserve"> </w:t>
            </w:r>
            <w:r w:rsidRPr="00EC20A0">
              <w:t>that</w:t>
            </w:r>
            <w:r w:rsidRPr="00EC20A0">
              <w:rPr>
                <w:spacing w:val="-6"/>
              </w:rPr>
              <w:t xml:space="preserve"> </w:t>
            </w:r>
            <w:r w:rsidRPr="00EC20A0">
              <w:t>a</w:t>
            </w:r>
            <w:r w:rsidRPr="00EC20A0">
              <w:rPr>
                <w:spacing w:val="-6"/>
              </w:rPr>
              <w:t xml:space="preserve"> </w:t>
            </w:r>
            <w:r w:rsidRPr="00EC20A0">
              <w:t>designated</w:t>
            </w:r>
            <w:r w:rsidRPr="00EC20A0">
              <w:rPr>
                <w:spacing w:val="-6"/>
              </w:rPr>
              <w:t xml:space="preserve"> </w:t>
            </w:r>
            <w:r w:rsidRPr="00EC20A0">
              <w:t>accounting standards setter established or when the auditor has identified material modifications that should be made to the RSI for it to be in accordance with the standards setter’s guidelines? (AU-C 730)</w:t>
            </w:r>
          </w:p>
        </w:tc>
        <w:tc>
          <w:tcPr>
            <w:tcW w:w="810" w:type="dxa"/>
            <w:tcBorders>
              <w:top w:val="single" w:sz="6" w:space="0" w:color="000000"/>
              <w:left w:val="single" w:sz="6" w:space="0" w:color="000000"/>
              <w:bottom w:val="single" w:sz="6" w:space="0" w:color="000000"/>
              <w:right w:val="single" w:sz="6" w:space="0" w:color="000000"/>
            </w:tcBorders>
          </w:tcPr>
          <w:p w14:paraId="24D6285B" w14:textId="77777777" w:rsidR="00245300" w:rsidRPr="00EC20A0" w:rsidRDefault="00245300">
            <w:pPr>
              <w:pStyle w:val="TableParagraph"/>
            </w:pPr>
          </w:p>
        </w:tc>
        <w:tc>
          <w:tcPr>
            <w:tcW w:w="1350" w:type="dxa"/>
            <w:tcBorders>
              <w:top w:val="single" w:sz="6" w:space="0" w:color="000000"/>
              <w:left w:val="single" w:sz="6" w:space="0" w:color="000000"/>
              <w:bottom w:val="single" w:sz="6" w:space="0" w:color="000000"/>
            </w:tcBorders>
            <w:shd w:val="clear" w:color="auto" w:fill="BEBEBE"/>
          </w:tcPr>
          <w:p w14:paraId="24D6285C" w14:textId="77777777" w:rsidR="00245300" w:rsidRPr="00EC20A0" w:rsidRDefault="00245300">
            <w:pPr>
              <w:pStyle w:val="TableParagraph"/>
            </w:pPr>
          </w:p>
        </w:tc>
      </w:tr>
      <w:tr w:rsidR="00245300" w:rsidRPr="00EC20A0" w14:paraId="24D62861" w14:textId="77777777">
        <w:trPr>
          <w:trHeight w:val="1759"/>
        </w:trPr>
        <w:tc>
          <w:tcPr>
            <w:tcW w:w="7380" w:type="dxa"/>
            <w:tcBorders>
              <w:top w:val="single" w:sz="6" w:space="0" w:color="000000"/>
              <w:right w:val="single" w:sz="6" w:space="0" w:color="000000"/>
            </w:tcBorders>
          </w:tcPr>
          <w:p w14:paraId="24D6285E" w14:textId="77777777" w:rsidR="00245300" w:rsidRPr="00EC20A0" w:rsidRDefault="00F17249">
            <w:pPr>
              <w:pStyle w:val="TableParagraph"/>
              <w:tabs>
                <w:tab w:val="left" w:pos="1334"/>
              </w:tabs>
              <w:spacing w:before="119"/>
              <w:ind w:left="1304" w:right="162" w:hanging="360"/>
            </w:pPr>
            <w:r w:rsidRPr="00EC20A0">
              <w:rPr>
                <w:spacing w:val="-6"/>
              </w:rPr>
              <w:t>k.</w:t>
            </w:r>
            <w:r w:rsidRPr="00EC20A0">
              <w:tab/>
            </w:r>
            <w:r w:rsidRPr="00EC20A0">
              <w:tab/>
              <w:t>Did the auditor restrict the use of the auditor’s written communication by including an alert when the potential exists</w:t>
            </w:r>
            <w:r w:rsidRPr="00EC20A0">
              <w:rPr>
                <w:spacing w:val="-6"/>
              </w:rPr>
              <w:t xml:space="preserve"> </w:t>
            </w:r>
            <w:r w:rsidRPr="00EC20A0">
              <w:t>for</w:t>
            </w:r>
            <w:r w:rsidRPr="00EC20A0">
              <w:rPr>
                <w:spacing w:val="-5"/>
              </w:rPr>
              <w:t xml:space="preserve"> </w:t>
            </w:r>
            <w:r w:rsidRPr="00EC20A0">
              <w:t>such</w:t>
            </w:r>
            <w:r w:rsidRPr="00EC20A0">
              <w:rPr>
                <w:spacing w:val="-5"/>
              </w:rPr>
              <w:t xml:space="preserve"> </w:t>
            </w:r>
            <w:r w:rsidRPr="00EC20A0">
              <w:t>written</w:t>
            </w:r>
            <w:r w:rsidRPr="00EC20A0">
              <w:rPr>
                <w:spacing w:val="-5"/>
              </w:rPr>
              <w:t xml:space="preserve"> </w:t>
            </w:r>
            <w:r w:rsidRPr="00EC20A0">
              <w:t>communication</w:t>
            </w:r>
            <w:r w:rsidRPr="00EC20A0">
              <w:rPr>
                <w:spacing w:val="-5"/>
              </w:rPr>
              <w:t xml:space="preserve"> </w:t>
            </w:r>
            <w:r w:rsidRPr="00EC20A0">
              <w:t>to</w:t>
            </w:r>
            <w:r w:rsidRPr="00EC20A0">
              <w:rPr>
                <w:spacing w:val="-5"/>
              </w:rPr>
              <w:t xml:space="preserve"> </w:t>
            </w:r>
            <w:r w:rsidRPr="00EC20A0">
              <w:t>be</w:t>
            </w:r>
            <w:r w:rsidRPr="00EC20A0">
              <w:rPr>
                <w:spacing w:val="-5"/>
              </w:rPr>
              <w:t xml:space="preserve"> </w:t>
            </w:r>
            <w:r w:rsidRPr="00EC20A0">
              <w:t>misunderstood</w:t>
            </w:r>
            <w:r w:rsidRPr="00EC20A0">
              <w:rPr>
                <w:spacing w:val="-5"/>
              </w:rPr>
              <w:t xml:space="preserve"> </w:t>
            </w:r>
            <w:r w:rsidRPr="00EC20A0">
              <w:t xml:space="preserve">if taken out of the context in which it is intended to be used </w:t>
            </w:r>
            <w:r w:rsidRPr="00EC20A0">
              <w:t>(e.g., restricted use of report on compliance with laws, regulations, contracts, and grant agreements)? (AU-C 905)</w:t>
            </w:r>
          </w:p>
        </w:tc>
        <w:tc>
          <w:tcPr>
            <w:tcW w:w="810" w:type="dxa"/>
            <w:tcBorders>
              <w:top w:val="single" w:sz="6" w:space="0" w:color="000000"/>
              <w:left w:val="single" w:sz="6" w:space="0" w:color="000000"/>
              <w:right w:val="single" w:sz="6" w:space="0" w:color="000000"/>
            </w:tcBorders>
          </w:tcPr>
          <w:p w14:paraId="24D6285F" w14:textId="77777777" w:rsidR="00245300" w:rsidRPr="00EC20A0" w:rsidRDefault="00245300">
            <w:pPr>
              <w:pStyle w:val="TableParagraph"/>
            </w:pPr>
          </w:p>
        </w:tc>
        <w:tc>
          <w:tcPr>
            <w:tcW w:w="1350" w:type="dxa"/>
            <w:tcBorders>
              <w:top w:val="single" w:sz="6" w:space="0" w:color="000000"/>
              <w:left w:val="single" w:sz="6" w:space="0" w:color="000000"/>
            </w:tcBorders>
            <w:shd w:val="clear" w:color="auto" w:fill="BEBEBE"/>
          </w:tcPr>
          <w:p w14:paraId="24D62860" w14:textId="77777777" w:rsidR="00245300" w:rsidRPr="00EC20A0" w:rsidRDefault="00245300">
            <w:pPr>
              <w:pStyle w:val="TableParagraph"/>
            </w:pPr>
          </w:p>
        </w:tc>
      </w:tr>
    </w:tbl>
    <w:p w14:paraId="24D62862" w14:textId="77777777" w:rsidR="00245300" w:rsidRPr="00EC20A0" w:rsidRDefault="00245300">
      <w:pPr>
        <w:sectPr w:rsidR="00245300" w:rsidRPr="00EC20A0">
          <w:pgSz w:w="12240" w:h="15840"/>
          <w:pgMar w:top="1340" w:right="460" w:bottom="940" w:left="560" w:header="721" w:footer="757" w:gutter="0"/>
          <w:cols w:space="720"/>
        </w:sectPr>
      </w:pPr>
    </w:p>
    <w:p w14:paraId="24D62863" w14:textId="77777777" w:rsidR="00245300" w:rsidRPr="00EC20A0" w:rsidRDefault="00F17249" w:rsidP="0022160C">
      <w:pPr>
        <w:pStyle w:val="Heading4"/>
        <w:ind w:left="900"/>
      </w:pPr>
      <w:bookmarkStart w:id="418" w:name="Section_V:_GAO’s_Quality_Control_(GAO_On"/>
      <w:bookmarkEnd w:id="418"/>
      <w:r w:rsidRPr="00EC20A0">
        <w:t>Section</w:t>
      </w:r>
      <w:r w:rsidRPr="00EC20A0">
        <w:rPr>
          <w:spacing w:val="-11"/>
        </w:rPr>
        <w:t xml:space="preserve"> </w:t>
      </w:r>
      <w:r w:rsidRPr="00EC20A0">
        <w:t>V:</w:t>
      </w:r>
      <w:r w:rsidRPr="00EC20A0">
        <w:rPr>
          <w:spacing w:val="-10"/>
        </w:rPr>
        <w:t xml:space="preserve"> </w:t>
      </w:r>
      <w:r w:rsidRPr="00EC20A0">
        <w:t>GAO’s</w:t>
      </w:r>
      <w:r w:rsidRPr="00EC20A0">
        <w:rPr>
          <w:spacing w:val="-10"/>
        </w:rPr>
        <w:t xml:space="preserve"> </w:t>
      </w:r>
      <w:r w:rsidRPr="00EC20A0">
        <w:t>Quality</w:t>
      </w:r>
      <w:r w:rsidRPr="00EC20A0">
        <w:rPr>
          <w:spacing w:val="-11"/>
        </w:rPr>
        <w:t xml:space="preserve"> </w:t>
      </w:r>
      <w:r w:rsidRPr="00EC20A0">
        <w:t>Control</w:t>
      </w:r>
      <w:r w:rsidRPr="00EC20A0">
        <w:rPr>
          <w:spacing w:val="-10"/>
        </w:rPr>
        <w:t xml:space="preserve"> </w:t>
      </w:r>
      <w:r w:rsidRPr="00EC20A0">
        <w:t>(GAO</w:t>
      </w:r>
      <w:r w:rsidRPr="00EC20A0">
        <w:rPr>
          <w:spacing w:val="-11"/>
        </w:rPr>
        <w:t xml:space="preserve"> </w:t>
      </w:r>
      <w:r w:rsidRPr="00EC20A0">
        <w:rPr>
          <w:spacing w:val="-2"/>
        </w:rPr>
        <w:t>Only)</w:t>
      </w:r>
    </w:p>
    <w:p w14:paraId="24D62864" w14:textId="77777777" w:rsidR="00245300" w:rsidRPr="00EC20A0" w:rsidRDefault="00F17249">
      <w:pPr>
        <w:spacing w:before="180"/>
        <w:ind w:left="878" w:right="1002" w:firstLine="1"/>
        <w:jc w:val="both"/>
        <w:rPr>
          <w:sz w:val="20"/>
        </w:rPr>
      </w:pPr>
      <w:r w:rsidRPr="00EC20A0">
        <w:rPr>
          <w:sz w:val="20"/>
        </w:rPr>
        <w:t>(See</w:t>
      </w:r>
      <w:r w:rsidRPr="00EC20A0">
        <w:rPr>
          <w:spacing w:val="-3"/>
          <w:sz w:val="20"/>
        </w:rPr>
        <w:t xml:space="preserve"> </w:t>
      </w:r>
      <w:r w:rsidRPr="00EC20A0">
        <w:rPr>
          <w:sz w:val="20"/>
        </w:rPr>
        <w:t>Financial</w:t>
      </w:r>
      <w:r w:rsidRPr="00EC20A0">
        <w:rPr>
          <w:spacing w:val="-3"/>
          <w:sz w:val="20"/>
        </w:rPr>
        <w:t xml:space="preserve"> </w:t>
      </w:r>
      <w:r w:rsidRPr="00EC20A0">
        <w:rPr>
          <w:sz w:val="20"/>
        </w:rPr>
        <w:t>Audit</w:t>
      </w:r>
      <w:r w:rsidRPr="00EC20A0">
        <w:rPr>
          <w:spacing w:val="-3"/>
          <w:sz w:val="20"/>
        </w:rPr>
        <w:t xml:space="preserve"> </w:t>
      </w:r>
      <w:r w:rsidRPr="00EC20A0">
        <w:rPr>
          <w:sz w:val="20"/>
        </w:rPr>
        <w:t>Practice</w:t>
      </w:r>
      <w:r w:rsidRPr="00EC20A0">
        <w:rPr>
          <w:spacing w:val="-3"/>
          <w:sz w:val="20"/>
        </w:rPr>
        <w:t xml:space="preserve"> </w:t>
      </w:r>
      <w:r w:rsidRPr="00EC20A0">
        <w:rPr>
          <w:sz w:val="20"/>
        </w:rPr>
        <w:t>(FAP)</w:t>
      </w:r>
      <w:r w:rsidRPr="00EC20A0">
        <w:rPr>
          <w:spacing w:val="-2"/>
          <w:sz w:val="20"/>
        </w:rPr>
        <w:t xml:space="preserve"> </w:t>
      </w:r>
      <w:r w:rsidRPr="00EC20A0">
        <w:rPr>
          <w:sz w:val="20"/>
        </w:rPr>
        <w:t>Memo</w:t>
      </w:r>
      <w:r w:rsidRPr="00EC20A0">
        <w:rPr>
          <w:spacing w:val="-3"/>
          <w:sz w:val="20"/>
        </w:rPr>
        <w:t xml:space="preserve"> </w:t>
      </w:r>
      <w:r w:rsidRPr="00EC20A0">
        <w:rPr>
          <w:sz w:val="20"/>
        </w:rPr>
        <w:t>1:</w:t>
      </w:r>
      <w:r w:rsidRPr="00EC20A0">
        <w:rPr>
          <w:spacing w:val="-4"/>
          <w:sz w:val="20"/>
        </w:rPr>
        <w:t xml:space="preserve"> </w:t>
      </w:r>
      <w:r w:rsidRPr="00EC20A0">
        <w:rPr>
          <w:i/>
          <w:sz w:val="20"/>
        </w:rPr>
        <w:t>Quality</w:t>
      </w:r>
      <w:r w:rsidRPr="00EC20A0">
        <w:rPr>
          <w:i/>
          <w:spacing w:val="-4"/>
          <w:sz w:val="20"/>
        </w:rPr>
        <w:t xml:space="preserve"> </w:t>
      </w:r>
      <w:r w:rsidRPr="00EC20A0">
        <w:rPr>
          <w:i/>
          <w:sz w:val="20"/>
        </w:rPr>
        <w:t>Control</w:t>
      </w:r>
      <w:r w:rsidRPr="00EC20A0">
        <w:rPr>
          <w:i/>
          <w:spacing w:val="-3"/>
          <w:sz w:val="20"/>
        </w:rPr>
        <w:t xml:space="preserve"> </w:t>
      </w:r>
      <w:r w:rsidRPr="00EC20A0">
        <w:rPr>
          <w:i/>
          <w:sz w:val="20"/>
        </w:rPr>
        <w:t>for</w:t>
      </w:r>
      <w:r w:rsidRPr="00EC20A0">
        <w:rPr>
          <w:i/>
          <w:spacing w:val="-2"/>
          <w:sz w:val="20"/>
        </w:rPr>
        <w:t xml:space="preserve"> </w:t>
      </w:r>
      <w:r w:rsidRPr="00EC20A0">
        <w:rPr>
          <w:i/>
          <w:sz w:val="20"/>
        </w:rPr>
        <w:t>Financial</w:t>
      </w:r>
      <w:r w:rsidRPr="00EC20A0">
        <w:rPr>
          <w:i/>
          <w:spacing w:val="-3"/>
          <w:sz w:val="20"/>
        </w:rPr>
        <w:t xml:space="preserve"> </w:t>
      </w:r>
      <w:r w:rsidRPr="00EC20A0">
        <w:rPr>
          <w:i/>
          <w:sz w:val="20"/>
        </w:rPr>
        <w:t>Statement</w:t>
      </w:r>
      <w:r w:rsidRPr="00EC20A0">
        <w:rPr>
          <w:i/>
          <w:spacing w:val="-4"/>
          <w:sz w:val="20"/>
        </w:rPr>
        <w:t xml:space="preserve"> </w:t>
      </w:r>
      <w:r w:rsidRPr="00EC20A0">
        <w:rPr>
          <w:i/>
          <w:sz w:val="20"/>
        </w:rPr>
        <w:t>Audits</w:t>
      </w:r>
      <w:r w:rsidRPr="00EC20A0">
        <w:rPr>
          <w:i/>
          <w:spacing w:val="-3"/>
          <w:sz w:val="20"/>
        </w:rPr>
        <w:t xml:space="preserve"> </w:t>
      </w:r>
      <w:r w:rsidRPr="00EC20A0">
        <w:rPr>
          <w:i/>
          <w:sz w:val="20"/>
        </w:rPr>
        <w:t>Performed</w:t>
      </w:r>
      <w:r w:rsidRPr="00EC20A0">
        <w:rPr>
          <w:i/>
          <w:spacing w:val="-3"/>
          <w:sz w:val="20"/>
        </w:rPr>
        <w:t xml:space="preserve"> </w:t>
      </w:r>
      <w:r w:rsidRPr="00EC20A0">
        <w:rPr>
          <w:i/>
          <w:sz w:val="20"/>
        </w:rPr>
        <w:t>by GAO</w:t>
      </w:r>
      <w:r w:rsidRPr="00EC20A0">
        <w:rPr>
          <w:sz w:val="20"/>
        </w:rPr>
        <w:t xml:space="preserve">, and FAP 6: </w:t>
      </w:r>
      <w:r w:rsidRPr="00EC20A0">
        <w:rPr>
          <w:i/>
          <w:sz w:val="20"/>
        </w:rPr>
        <w:t xml:space="preserve">Supplemental Financial Audit Manual Guidance Applicable Only to GAO Engagements </w:t>
      </w:r>
      <w:r w:rsidRPr="00EC20A0">
        <w:rPr>
          <w:sz w:val="20"/>
        </w:rPr>
        <w:t>for details.)</w:t>
      </w:r>
    </w:p>
    <w:p w14:paraId="24D62865" w14:textId="77777777" w:rsidR="00245300" w:rsidRPr="00EC20A0" w:rsidRDefault="00245300">
      <w:pPr>
        <w:pStyle w:val="BodyText"/>
        <w:spacing w:before="5"/>
        <w:rPr>
          <w:sz w:val="11"/>
        </w:rPr>
      </w:pPr>
    </w:p>
    <w:tbl>
      <w:tblPr>
        <w:tblW w:w="0" w:type="auto"/>
        <w:tblInd w:w="9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245300" w:rsidRPr="00EC20A0" w14:paraId="24D6286D" w14:textId="77777777">
        <w:trPr>
          <w:trHeight w:val="999"/>
        </w:trPr>
        <w:tc>
          <w:tcPr>
            <w:tcW w:w="7446" w:type="dxa"/>
            <w:tcBorders>
              <w:bottom w:val="double" w:sz="4" w:space="0" w:color="000000"/>
              <w:right w:val="single" w:sz="8" w:space="0" w:color="000000"/>
            </w:tcBorders>
            <w:shd w:val="clear" w:color="auto" w:fill="A6A6A6"/>
          </w:tcPr>
          <w:p w14:paraId="24D62866" w14:textId="77777777" w:rsidR="00245300" w:rsidRPr="00EC20A0" w:rsidRDefault="00245300">
            <w:pPr>
              <w:pStyle w:val="TableParagraph"/>
              <w:rPr>
                <w:sz w:val="24"/>
              </w:rPr>
            </w:pPr>
          </w:p>
          <w:p w14:paraId="24D62867" w14:textId="77777777" w:rsidR="00245300" w:rsidRPr="00EC20A0" w:rsidRDefault="00245300">
            <w:pPr>
              <w:pStyle w:val="TableParagraph"/>
              <w:spacing w:before="74"/>
              <w:rPr>
                <w:sz w:val="24"/>
              </w:rPr>
            </w:pPr>
          </w:p>
          <w:p w14:paraId="24D62868" w14:textId="77777777" w:rsidR="00245300" w:rsidRPr="00EC20A0" w:rsidRDefault="00F17249">
            <w:pPr>
              <w:pStyle w:val="TableParagraph"/>
              <w:ind w:left="104"/>
              <w:rPr>
                <w:b/>
                <w:sz w:val="24"/>
              </w:rPr>
            </w:pPr>
            <w:r w:rsidRPr="00EC20A0">
              <w:rPr>
                <w:b/>
                <w:sz w:val="24"/>
              </w:rPr>
              <w:t>Section</w:t>
            </w:r>
            <w:r w:rsidRPr="00EC20A0">
              <w:rPr>
                <w:b/>
                <w:spacing w:val="-3"/>
                <w:sz w:val="24"/>
              </w:rPr>
              <w:t xml:space="preserve"> </w:t>
            </w:r>
            <w:r w:rsidRPr="00EC20A0">
              <w:rPr>
                <w:b/>
                <w:sz w:val="24"/>
              </w:rPr>
              <w:t>V:</w:t>
            </w:r>
            <w:r w:rsidRPr="00EC20A0">
              <w:rPr>
                <w:b/>
                <w:spacing w:val="-2"/>
                <w:sz w:val="24"/>
              </w:rPr>
              <w:t xml:space="preserve"> </w:t>
            </w:r>
            <w:r w:rsidRPr="00EC20A0">
              <w:rPr>
                <w:b/>
                <w:sz w:val="24"/>
              </w:rPr>
              <w:t>GAO’s</w:t>
            </w:r>
            <w:r w:rsidRPr="00EC20A0">
              <w:rPr>
                <w:b/>
                <w:spacing w:val="-3"/>
                <w:sz w:val="24"/>
              </w:rPr>
              <w:t xml:space="preserve"> </w:t>
            </w:r>
            <w:r w:rsidRPr="00EC20A0">
              <w:rPr>
                <w:b/>
                <w:sz w:val="24"/>
              </w:rPr>
              <w:t>Quality</w:t>
            </w:r>
            <w:r w:rsidRPr="00EC20A0">
              <w:rPr>
                <w:b/>
                <w:spacing w:val="-3"/>
                <w:sz w:val="24"/>
              </w:rPr>
              <w:t xml:space="preserve"> </w:t>
            </w:r>
            <w:r w:rsidRPr="00EC20A0">
              <w:rPr>
                <w:b/>
                <w:sz w:val="24"/>
              </w:rPr>
              <w:t>Control</w:t>
            </w:r>
            <w:r w:rsidRPr="00EC20A0">
              <w:rPr>
                <w:b/>
                <w:spacing w:val="-2"/>
                <w:sz w:val="24"/>
              </w:rPr>
              <w:t xml:space="preserve"> </w:t>
            </w:r>
            <w:r w:rsidRPr="00EC20A0">
              <w:rPr>
                <w:b/>
                <w:sz w:val="24"/>
              </w:rPr>
              <w:t>(GAO</w:t>
            </w:r>
            <w:r w:rsidRPr="00EC20A0">
              <w:rPr>
                <w:b/>
                <w:spacing w:val="-1"/>
                <w:sz w:val="24"/>
              </w:rPr>
              <w:t xml:space="preserve"> </w:t>
            </w:r>
            <w:r w:rsidRPr="00EC20A0">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24D62869" w14:textId="77777777" w:rsidR="00245300" w:rsidRPr="00EC20A0" w:rsidRDefault="00F17249">
            <w:pPr>
              <w:pStyle w:val="TableParagraph"/>
              <w:spacing w:before="121"/>
              <w:ind w:left="137" w:right="115" w:hanging="8"/>
              <w:jc w:val="both"/>
              <w:rPr>
                <w:b/>
              </w:rPr>
            </w:pPr>
            <w:r w:rsidRPr="00EC20A0">
              <w:rPr>
                <w:b/>
                <w:spacing w:val="-4"/>
              </w:rPr>
              <w:t>Yes, No,* N/A</w:t>
            </w:r>
          </w:p>
        </w:tc>
        <w:tc>
          <w:tcPr>
            <w:tcW w:w="1350" w:type="dxa"/>
            <w:tcBorders>
              <w:left w:val="single" w:sz="8" w:space="0" w:color="000000"/>
              <w:bottom w:val="double" w:sz="4" w:space="0" w:color="000000"/>
            </w:tcBorders>
            <w:shd w:val="clear" w:color="auto" w:fill="A6A6A6"/>
          </w:tcPr>
          <w:p w14:paraId="24D6286A" w14:textId="77777777" w:rsidR="00245300" w:rsidRPr="00EC20A0" w:rsidRDefault="00245300">
            <w:pPr>
              <w:pStyle w:val="TableParagraph"/>
            </w:pPr>
          </w:p>
          <w:p w14:paraId="24D6286B" w14:textId="77777777" w:rsidR="00245300" w:rsidRPr="00EC20A0" w:rsidRDefault="00245300">
            <w:pPr>
              <w:pStyle w:val="TableParagraph"/>
              <w:spacing w:before="120"/>
            </w:pPr>
          </w:p>
          <w:p w14:paraId="24D6286C"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871" w14:textId="77777777">
        <w:trPr>
          <w:trHeight w:val="493"/>
        </w:trPr>
        <w:tc>
          <w:tcPr>
            <w:tcW w:w="7446" w:type="dxa"/>
            <w:tcBorders>
              <w:top w:val="double" w:sz="4" w:space="0" w:color="000000"/>
              <w:bottom w:val="single" w:sz="8" w:space="0" w:color="000000"/>
              <w:right w:val="single" w:sz="6" w:space="0" w:color="000000"/>
            </w:tcBorders>
          </w:tcPr>
          <w:p w14:paraId="24D6286E" w14:textId="77777777" w:rsidR="00245300" w:rsidRPr="00EC20A0" w:rsidRDefault="00F17249">
            <w:pPr>
              <w:pStyle w:val="TableParagraph"/>
              <w:spacing w:before="120"/>
              <w:ind w:left="554"/>
            </w:pPr>
            <w:r w:rsidRPr="00EC20A0">
              <w:t>1.</w:t>
            </w:r>
            <w:r w:rsidRPr="00EC20A0">
              <w:rPr>
                <w:spacing w:val="73"/>
                <w:w w:val="150"/>
              </w:rPr>
              <w:t xml:space="preserve"> </w:t>
            </w:r>
            <w:r w:rsidRPr="00EC20A0">
              <w:t>Was</w:t>
            </w:r>
            <w:r w:rsidRPr="00EC20A0">
              <w:rPr>
                <w:spacing w:val="-4"/>
              </w:rPr>
              <w:t xml:space="preserve"> </w:t>
            </w:r>
            <w:r w:rsidRPr="00EC20A0">
              <w:t>the</w:t>
            </w:r>
            <w:r w:rsidRPr="00EC20A0">
              <w:rPr>
                <w:spacing w:val="-4"/>
              </w:rPr>
              <w:t xml:space="preserve"> </w:t>
            </w:r>
            <w:r w:rsidRPr="00EC20A0">
              <w:t>GAO</w:t>
            </w:r>
            <w:r w:rsidRPr="00EC20A0">
              <w:rPr>
                <w:spacing w:val="-5"/>
              </w:rPr>
              <w:t xml:space="preserve"> </w:t>
            </w:r>
            <w:r w:rsidRPr="00EC20A0">
              <w:t>report</w:t>
            </w:r>
            <w:r w:rsidRPr="00EC20A0">
              <w:rPr>
                <w:spacing w:val="-4"/>
              </w:rPr>
              <w:t xml:space="preserve"> </w:t>
            </w:r>
            <w:r w:rsidRPr="00EC20A0">
              <w:t>reviewed</w:t>
            </w:r>
            <w:r w:rsidRPr="00EC20A0">
              <w:rPr>
                <w:spacing w:val="-4"/>
              </w:rPr>
              <w:t xml:space="preserve"> </w:t>
            </w:r>
            <w:r w:rsidRPr="00EC20A0">
              <w:t>by</w:t>
            </w:r>
            <w:r w:rsidRPr="00EC20A0">
              <w:rPr>
                <w:spacing w:val="-4"/>
              </w:rPr>
              <w:t xml:space="preserve"> </w:t>
            </w:r>
            <w:r w:rsidRPr="00EC20A0">
              <w:rPr>
                <w:spacing w:val="-5"/>
              </w:rPr>
              <w:t>the</w:t>
            </w:r>
          </w:p>
        </w:tc>
        <w:tc>
          <w:tcPr>
            <w:tcW w:w="720" w:type="dxa"/>
            <w:tcBorders>
              <w:top w:val="double" w:sz="4" w:space="0" w:color="000000"/>
              <w:left w:val="single" w:sz="6" w:space="0" w:color="000000"/>
              <w:bottom w:val="single" w:sz="8" w:space="0" w:color="000000"/>
              <w:right w:val="single" w:sz="6" w:space="0" w:color="000000"/>
            </w:tcBorders>
            <w:shd w:val="clear" w:color="auto" w:fill="BEBEBE"/>
          </w:tcPr>
          <w:p w14:paraId="24D6286F" w14:textId="77777777" w:rsidR="00245300" w:rsidRPr="00EC20A0" w:rsidRDefault="00245300">
            <w:pPr>
              <w:pStyle w:val="TableParagraph"/>
              <w:rPr>
                <w:sz w:val="20"/>
              </w:rPr>
            </w:pPr>
          </w:p>
        </w:tc>
        <w:tc>
          <w:tcPr>
            <w:tcW w:w="1350" w:type="dxa"/>
            <w:tcBorders>
              <w:top w:val="double" w:sz="4" w:space="0" w:color="000000"/>
              <w:left w:val="single" w:sz="6" w:space="0" w:color="000000"/>
              <w:bottom w:val="single" w:sz="8" w:space="0" w:color="000000"/>
            </w:tcBorders>
            <w:shd w:val="clear" w:color="auto" w:fill="BEBEBE"/>
          </w:tcPr>
          <w:p w14:paraId="24D62870" w14:textId="77777777" w:rsidR="00245300" w:rsidRPr="00EC20A0" w:rsidRDefault="00245300">
            <w:pPr>
              <w:pStyle w:val="TableParagraph"/>
              <w:rPr>
                <w:sz w:val="20"/>
              </w:rPr>
            </w:pPr>
          </w:p>
        </w:tc>
      </w:tr>
      <w:tr w:rsidR="00245300" w:rsidRPr="00EC20A0" w14:paraId="24D62875" w14:textId="77777777">
        <w:trPr>
          <w:trHeight w:val="492"/>
        </w:trPr>
        <w:tc>
          <w:tcPr>
            <w:tcW w:w="7446" w:type="dxa"/>
            <w:tcBorders>
              <w:top w:val="single" w:sz="8" w:space="0" w:color="000000"/>
              <w:bottom w:val="single" w:sz="8" w:space="0" w:color="000000"/>
              <w:right w:val="single" w:sz="8" w:space="0" w:color="000000"/>
            </w:tcBorders>
          </w:tcPr>
          <w:p w14:paraId="24D62872" w14:textId="77777777" w:rsidR="00245300" w:rsidRPr="00EC20A0" w:rsidRDefault="00F17249">
            <w:pPr>
              <w:pStyle w:val="TableParagraph"/>
              <w:tabs>
                <w:tab w:val="left" w:pos="1310"/>
              </w:tabs>
              <w:spacing w:before="121"/>
              <w:ind w:left="925"/>
            </w:pPr>
            <w:r w:rsidRPr="00EC20A0">
              <w:rPr>
                <w:spacing w:val="-5"/>
              </w:rPr>
              <w:t>a.</w:t>
            </w:r>
            <w:r w:rsidRPr="00EC20A0">
              <w:tab/>
            </w:r>
            <w:r w:rsidRPr="00EC20A0">
              <w:t>audit</w:t>
            </w:r>
            <w:r w:rsidRPr="00EC20A0">
              <w:rPr>
                <w:spacing w:val="-11"/>
              </w:rPr>
              <w:t xml:space="preserve"> </w:t>
            </w:r>
            <w:r w:rsidRPr="00EC20A0">
              <w:t>director</w:t>
            </w:r>
            <w:r w:rsidRPr="00EC20A0">
              <w:rPr>
                <w:spacing w:val="-11"/>
              </w:rPr>
              <w:t xml:space="preserve"> </w:t>
            </w:r>
            <w:r w:rsidRPr="00EC20A0">
              <w:t>(first/engagement</w:t>
            </w:r>
            <w:r w:rsidRPr="00EC20A0">
              <w:rPr>
                <w:spacing w:val="-11"/>
              </w:rPr>
              <w:t xml:space="preserve"> </w:t>
            </w:r>
            <w:r w:rsidRPr="00EC20A0">
              <w:rPr>
                <w:spacing w:val="-2"/>
              </w:rPr>
              <w:t>partner),</w:t>
            </w:r>
          </w:p>
        </w:tc>
        <w:tc>
          <w:tcPr>
            <w:tcW w:w="720" w:type="dxa"/>
            <w:tcBorders>
              <w:top w:val="single" w:sz="8" w:space="0" w:color="000000"/>
              <w:left w:val="single" w:sz="8" w:space="0" w:color="000000"/>
              <w:bottom w:val="single" w:sz="8" w:space="0" w:color="000000"/>
              <w:right w:val="single" w:sz="8" w:space="0" w:color="000000"/>
            </w:tcBorders>
          </w:tcPr>
          <w:p w14:paraId="24D62873"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74" w14:textId="77777777" w:rsidR="00245300" w:rsidRPr="00EC20A0" w:rsidRDefault="00245300">
            <w:pPr>
              <w:pStyle w:val="TableParagraph"/>
              <w:rPr>
                <w:sz w:val="20"/>
              </w:rPr>
            </w:pPr>
          </w:p>
        </w:tc>
      </w:tr>
      <w:tr w:rsidR="00245300" w:rsidRPr="00EC20A0" w14:paraId="24D62879" w14:textId="77777777">
        <w:trPr>
          <w:trHeight w:val="493"/>
        </w:trPr>
        <w:tc>
          <w:tcPr>
            <w:tcW w:w="7446" w:type="dxa"/>
            <w:tcBorders>
              <w:top w:val="single" w:sz="8" w:space="0" w:color="000000"/>
              <w:bottom w:val="single" w:sz="8" w:space="0" w:color="000000"/>
              <w:right w:val="single" w:sz="8" w:space="0" w:color="000000"/>
            </w:tcBorders>
          </w:tcPr>
          <w:p w14:paraId="24D62876" w14:textId="77777777" w:rsidR="00245300" w:rsidRPr="00EC20A0" w:rsidRDefault="00F17249">
            <w:pPr>
              <w:pStyle w:val="TableParagraph"/>
              <w:tabs>
                <w:tab w:val="left" w:pos="1334"/>
              </w:tabs>
              <w:spacing w:before="121"/>
              <w:ind w:left="925"/>
            </w:pPr>
            <w:r w:rsidRPr="00EC20A0">
              <w:rPr>
                <w:spacing w:val="-5"/>
              </w:rPr>
              <w:t>b.</w:t>
            </w:r>
            <w:r w:rsidRPr="00EC20A0">
              <w:tab/>
              <w:t>OGC</w:t>
            </w:r>
            <w:r w:rsidRPr="00EC20A0">
              <w:rPr>
                <w:spacing w:val="-7"/>
              </w:rPr>
              <w:t xml:space="preserve"> </w:t>
            </w:r>
            <w:r w:rsidRPr="00EC20A0">
              <w:t>(Form</w:t>
            </w:r>
            <w:r w:rsidRPr="00EC20A0">
              <w:rPr>
                <w:spacing w:val="-6"/>
              </w:rPr>
              <w:t xml:space="preserve"> </w:t>
            </w:r>
            <w:r w:rsidRPr="00EC20A0">
              <w:rPr>
                <w:spacing w:val="-2"/>
              </w:rPr>
              <w:t>124A),</w:t>
            </w:r>
          </w:p>
        </w:tc>
        <w:tc>
          <w:tcPr>
            <w:tcW w:w="720" w:type="dxa"/>
            <w:tcBorders>
              <w:top w:val="single" w:sz="8" w:space="0" w:color="000000"/>
              <w:left w:val="single" w:sz="8" w:space="0" w:color="000000"/>
              <w:bottom w:val="single" w:sz="8" w:space="0" w:color="000000"/>
              <w:right w:val="single" w:sz="8" w:space="0" w:color="000000"/>
            </w:tcBorders>
          </w:tcPr>
          <w:p w14:paraId="24D62877"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78" w14:textId="77777777" w:rsidR="00245300" w:rsidRPr="00EC20A0" w:rsidRDefault="00245300">
            <w:pPr>
              <w:pStyle w:val="TableParagraph"/>
              <w:rPr>
                <w:sz w:val="20"/>
              </w:rPr>
            </w:pPr>
          </w:p>
        </w:tc>
      </w:tr>
      <w:tr w:rsidR="00245300" w:rsidRPr="00EC20A0" w14:paraId="24D6287D" w14:textId="77777777">
        <w:trPr>
          <w:trHeight w:val="492"/>
        </w:trPr>
        <w:tc>
          <w:tcPr>
            <w:tcW w:w="7446" w:type="dxa"/>
            <w:tcBorders>
              <w:top w:val="single" w:sz="8" w:space="0" w:color="000000"/>
              <w:bottom w:val="single" w:sz="8" w:space="0" w:color="000000"/>
              <w:right w:val="single" w:sz="8" w:space="0" w:color="000000"/>
            </w:tcBorders>
          </w:tcPr>
          <w:p w14:paraId="24D6287A" w14:textId="77777777" w:rsidR="00245300" w:rsidRPr="00EC20A0" w:rsidRDefault="00F17249">
            <w:pPr>
              <w:pStyle w:val="TableParagraph"/>
              <w:tabs>
                <w:tab w:val="left" w:pos="1310"/>
              </w:tabs>
              <w:spacing w:before="121"/>
              <w:ind w:left="925"/>
            </w:pPr>
            <w:r w:rsidRPr="00EC20A0">
              <w:rPr>
                <w:spacing w:val="-5"/>
              </w:rPr>
              <w:t>c.</w:t>
            </w:r>
            <w:r w:rsidRPr="00EC20A0">
              <w:tab/>
              <w:t>other</w:t>
            </w:r>
            <w:r w:rsidRPr="00EC20A0">
              <w:rPr>
                <w:spacing w:val="-9"/>
              </w:rPr>
              <w:t xml:space="preserve"> </w:t>
            </w:r>
            <w:r w:rsidRPr="00EC20A0">
              <w:t>stakeholders</w:t>
            </w:r>
            <w:r w:rsidRPr="00EC20A0">
              <w:rPr>
                <w:spacing w:val="-8"/>
              </w:rPr>
              <w:t xml:space="preserve"> </w:t>
            </w:r>
            <w:r w:rsidRPr="00EC20A0">
              <w:t>(Form</w:t>
            </w:r>
            <w:r w:rsidRPr="00EC20A0">
              <w:rPr>
                <w:spacing w:val="-9"/>
              </w:rPr>
              <w:t xml:space="preserve"> </w:t>
            </w:r>
            <w:r w:rsidRPr="00EC20A0">
              <w:t>124C),</w:t>
            </w:r>
            <w:r w:rsidRPr="00EC20A0">
              <w:rPr>
                <w:spacing w:val="-8"/>
              </w:rPr>
              <w:t xml:space="preserve"> </w:t>
            </w:r>
            <w:r w:rsidRPr="00EC20A0">
              <w:rPr>
                <w:spacing w:val="-5"/>
              </w:rPr>
              <w:t>and</w:t>
            </w:r>
          </w:p>
        </w:tc>
        <w:tc>
          <w:tcPr>
            <w:tcW w:w="720" w:type="dxa"/>
            <w:tcBorders>
              <w:top w:val="single" w:sz="8" w:space="0" w:color="000000"/>
              <w:left w:val="single" w:sz="8" w:space="0" w:color="000000"/>
              <w:bottom w:val="single" w:sz="8" w:space="0" w:color="000000"/>
              <w:right w:val="single" w:sz="8" w:space="0" w:color="000000"/>
            </w:tcBorders>
          </w:tcPr>
          <w:p w14:paraId="24D6287B"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7C" w14:textId="77777777" w:rsidR="00245300" w:rsidRPr="00EC20A0" w:rsidRDefault="00245300">
            <w:pPr>
              <w:pStyle w:val="TableParagraph"/>
              <w:rPr>
                <w:sz w:val="20"/>
              </w:rPr>
            </w:pPr>
          </w:p>
        </w:tc>
      </w:tr>
      <w:tr w:rsidR="00245300" w:rsidRPr="00EC20A0" w14:paraId="24D62881" w14:textId="77777777">
        <w:trPr>
          <w:trHeight w:val="493"/>
        </w:trPr>
        <w:tc>
          <w:tcPr>
            <w:tcW w:w="7446" w:type="dxa"/>
            <w:tcBorders>
              <w:top w:val="single" w:sz="8" w:space="0" w:color="000000"/>
              <w:bottom w:val="single" w:sz="8" w:space="0" w:color="000000"/>
              <w:right w:val="single" w:sz="8" w:space="0" w:color="000000"/>
            </w:tcBorders>
          </w:tcPr>
          <w:p w14:paraId="24D6287E" w14:textId="77777777" w:rsidR="00245300" w:rsidRPr="00EC20A0" w:rsidRDefault="00F17249">
            <w:pPr>
              <w:pStyle w:val="TableParagraph"/>
              <w:tabs>
                <w:tab w:val="left" w:pos="1310"/>
              </w:tabs>
              <w:spacing w:before="121"/>
              <w:ind w:left="925"/>
            </w:pPr>
            <w:r w:rsidRPr="00EC20A0">
              <w:rPr>
                <w:spacing w:val="-5"/>
              </w:rPr>
              <w:t>d.</w:t>
            </w:r>
            <w:r w:rsidRPr="00EC20A0">
              <w:tab/>
              <w:t>reviewer</w:t>
            </w:r>
            <w:r w:rsidRPr="00EC20A0">
              <w:rPr>
                <w:spacing w:val="-10"/>
              </w:rPr>
              <w:t xml:space="preserve"> </w:t>
            </w:r>
            <w:r w:rsidRPr="00EC20A0">
              <w:t>(second</w:t>
            </w:r>
            <w:r w:rsidRPr="00EC20A0">
              <w:rPr>
                <w:spacing w:val="-9"/>
              </w:rPr>
              <w:t xml:space="preserve"> </w:t>
            </w:r>
            <w:r w:rsidRPr="00EC20A0">
              <w:rPr>
                <w:spacing w:val="-2"/>
              </w:rPr>
              <w:t>partner)?</w:t>
            </w:r>
          </w:p>
        </w:tc>
        <w:tc>
          <w:tcPr>
            <w:tcW w:w="720" w:type="dxa"/>
            <w:tcBorders>
              <w:top w:val="single" w:sz="8" w:space="0" w:color="000000"/>
              <w:left w:val="single" w:sz="8" w:space="0" w:color="000000"/>
              <w:bottom w:val="single" w:sz="8" w:space="0" w:color="000000"/>
              <w:right w:val="single" w:sz="8" w:space="0" w:color="000000"/>
            </w:tcBorders>
          </w:tcPr>
          <w:p w14:paraId="24D6287F"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80" w14:textId="77777777" w:rsidR="00245300" w:rsidRPr="00EC20A0" w:rsidRDefault="00245300">
            <w:pPr>
              <w:pStyle w:val="TableParagraph"/>
              <w:rPr>
                <w:sz w:val="20"/>
              </w:rPr>
            </w:pPr>
          </w:p>
        </w:tc>
      </w:tr>
      <w:tr w:rsidR="00245300" w:rsidRPr="00EC20A0" w14:paraId="24D62885" w14:textId="77777777">
        <w:trPr>
          <w:trHeight w:val="492"/>
        </w:trPr>
        <w:tc>
          <w:tcPr>
            <w:tcW w:w="7446" w:type="dxa"/>
            <w:tcBorders>
              <w:top w:val="single" w:sz="8" w:space="0" w:color="000000"/>
              <w:bottom w:val="single" w:sz="8" w:space="0" w:color="000000"/>
              <w:right w:val="single" w:sz="8" w:space="0" w:color="000000"/>
            </w:tcBorders>
          </w:tcPr>
          <w:p w14:paraId="24D62882" w14:textId="77777777" w:rsidR="00245300" w:rsidRPr="00EC20A0" w:rsidRDefault="00F17249">
            <w:pPr>
              <w:pStyle w:val="TableParagraph"/>
              <w:spacing w:before="121"/>
              <w:ind w:left="554"/>
            </w:pPr>
            <w:r w:rsidRPr="00EC20A0">
              <w:t>2.</w:t>
            </w:r>
            <w:r w:rsidRPr="00EC20A0">
              <w:rPr>
                <w:spacing w:val="67"/>
                <w:w w:val="150"/>
              </w:rPr>
              <w:t xml:space="preserve"> </w:t>
            </w:r>
            <w:r w:rsidRPr="00EC20A0">
              <w:t>Did</w:t>
            </w:r>
            <w:r w:rsidRPr="00EC20A0">
              <w:rPr>
                <w:spacing w:val="-5"/>
              </w:rPr>
              <w:t xml:space="preserve"> </w:t>
            </w:r>
            <w:r w:rsidRPr="00EC20A0">
              <w:t>the</w:t>
            </w:r>
            <w:r w:rsidRPr="00EC20A0">
              <w:rPr>
                <w:spacing w:val="-6"/>
              </w:rPr>
              <w:t xml:space="preserve"> </w:t>
            </w:r>
            <w:r w:rsidRPr="00EC20A0">
              <w:t>audit</w:t>
            </w:r>
            <w:r w:rsidRPr="00EC20A0">
              <w:rPr>
                <w:spacing w:val="-6"/>
              </w:rPr>
              <w:t xml:space="preserve"> </w:t>
            </w:r>
            <w:r w:rsidRPr="00EC20A0">
              <w:t>director</w:t>
            </w:r>
            <w:r w:rsidRPr="00EC20A0">
              <w:rPr>
                <w:spacing w:val="-5"/>
              </w:rPr>
              <w:t xml:space="preserve"> </w:t>
            </w:r>
            <w:r w:rsidRPr="00EC20A0">
              <w:t>(first/engagement</w:t>
            </w:r>
            <w:r w:rsidRPr="00EC20A0">
              <w:rPr>
                <w:spacing w:val="-6"/>
              </w:rPr>
              <w:t xml:space="preserve"> </w:t>
            </w:r>
            <w:r w:rsidRPr="00EC20A0">
              <w:t>partner)</w:t>
            </w:r>
            <w:r w:rsidRPr="00EC20A0">
              <w:rPr>
                <w:spacing w:val="-6"/>
              </w:rPr>
              <w:t xml:space="preserve"> </w:t>
            </w:r>
            <w:r w:rsidRPr="00EC20A0">
              <w:t>review</w:t>
            </w:r>
            <w:r w:rsidRPr="00EC20A0">
              <w:rPr>
                <w:spacing w:val="-7"/>
              </w:rPr>
              <w:t xml:space="preserve"> </w:t>
            </w:r>
            <w:r w:rsidRPr="00EC20A0">
              <w:rPr>
                <w:spacing w:val="-5"/>
              </w:rPr>
              <w:t>the</w:t>
            </w:r>
          </w:p>
        </w:tc>
        <w:tc>
          <w:tcPr>
            <w:tcW w:w="720" w:type="dxa"/>
            <w:tcBorders>
              <w:top w:val="single" w:sz="8" w:space="0" w:color="000000"/>
              <w:left w:val="single" w:sz="8" w:space="0" w:color="000000"/>
              <w:bottom w:val="single" w:sz="8" w:space="0" w:color="000000"/>
              <w:right w:val="single" w:sz="8" w:space="0" w:color="000000"/>
            </w:tcBorders>
            <w:shd w:val="clear" w:color="auto" w:fill="BEBEBE"/>
          </w:tcPr>
          <w:p w14:paraId="24D62883"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shd w:val="clear" w:color="auto" w:fill="BEBEBE"/>
          </w:tcPr>
          <w:p w14:paraId="24D62884" w14:textId="77777777" w:rsidR="00245300" w:rsidRPr="00EC20A0" w:rsidRDefault="00245300">
            <w:pPr>
              <w:pStyle w:val="TableParagraph"/>
              <w:rPr>
                <w:sz w:val="20"/>
              </w:rPr>
            </w:pPr>
          </w:p>
        </w:tc>
      </w:tr>
      <w:tr w:rsidR="00245300" w:rsidRPr="00EC20A0" w14:paraId="24D62889" w14:textId="77777777">
        <w:trPr>
          <w:trHeight w:val="493"/>
        </w:trPr>
        <w:tc>
          <w:tcPr>
            <w:tcW w:w="7446" w:type="dxa"/>
            <w:tcBorders>
              <w:top w:val="single" w:sz="8" w:space="0" w:color="000000"/>
              <w:bottom w:val="single" w:sz="8" w:space="0" w:color="000000"/>
              <w:right w:val="single" w:sz="8" w:space="0" w:color="000000"/>
            </w:tcBorders>
          </w:tcPr>
          <w:p w14:paraId="24D62886" w14:textId="77777777" w:rsidR="00245300" w:rsidRPr="00EC20A0" w:rsidRDefault="00F17249">
            <w:pPr>
              <w:pStyle w:val="TableParagraph"/>
              <w:tabs>
                <w:tab w:val="left" w:pos="1310"/>
              </w:tabs>
              <w:spacing w:before="121"/>
              <w:ind w:left="925"/>
            </w:pPr>
            <w:r w:rsidRPr="00EC20A0">
              <w:rPr>
                <w:spacing w:val="-5"/>
              </w:rPr>
              <w:t>a.</w:t>
            </w:r>
            <w:r w:rsidRPr="00EC20A0">
              <w:tab/>
              <w:t>audit</w:t>
            </w:r>
            <w:r w:rsidRPr="00EC20A0">
              <w:rPr>
                <w:spacing w:val="-9"/>
              </w:rPr>
              <w:t xml:space="preserve"> </w:t>
            </w:r>
            <w:r w:rsidRPr="00EC20A0">
              <w:t>strategy,</w:t>
            </w:r>
            <w:r w:rsidRPr="00EC20A0">
              <w:rPr>
                <w:spacing w:val="-8"/>
              </w:rPr>
              <w:t xml:space="preserve"> </w:t>
            </w:r>
            <w:r w:rsidRPr="00EC20A0">
              <w:t>including</w:t>
            </w:r>
            <w:r w:rsidRPr="00EC20A0">
              <w:rPr>
                <w:spacing w:val="-9"/>
              </w:rPr>
              <w:t xml:space="preserve"> </w:t>
            </w:r>
            <w:r w:rsidRPr="00EC20A0">
              <w:t>audit</w:t>
            </w:r>
            <w:r w:rsidRPr="00EC20A0">
              <w:rPr>
                <w:spacing w:val="-8"/>
              </w:rPr>
              <w:t xml:space="preserve"> </w:t>
            </w:r>
            <w:r w:rsidRPr="00EC20A0">
              <w:t>sampling</w:t>
            </w:r>
            <w:r w:rsidRPr="00EC20A0">
              <w:rPr>
                <w:spacing w:val="-8"/>
              </w:rPr>
              <w:t xml:space="preserve"> </w:t>
            </w:r>
            <w:r w:rsidRPr="00EC20A0">
              <w:t>approach</w:t>
            </w:r>
            <w:r w:rsidRPr="00EC20A0">
              <w:rPr>
                <w:spacing w:val="-9"/>
              </w:rPr>
              <w:t xml:space="preserve"> </w:t>
            </w:r>
            <w:r w:rsidRPr="00EC20A0">
              <w:t>(FAM</w:t>
            </w:r>
            <w:r w:rsidRPr="00EC20A0">
              <w:rPr>
                <w:spacing w:val="-9"/>
              </w:rPr>
              <w:t xml:space="preserve"> </w:t>
            </w:r>
            <w:r w:rsidRPr="00EC20A0">
              <w:rPr>
                <w:spacing w:val="-2"/>
              </w:rPr>
              <w:t>290);</w:t>
            </w:r>
          </w:p>
        </w:tc>
        <w:tc>
          <w:tcPr>
            <w:tcW w:w="720" w:type="dxa"/>
            <w:tcBorders>
              <w:top w:val="single" w:sz="8" w:space="0" w:color="000000"/>
              <w:left w:val="single" w:sz="8" w:space="0" w:color="000000"/>
              <w:bottom w:val="single" w:sz="8" w:space="0" w:color="000000"/>
              <w:right w:val="single" w:sz="8" w:space="0" w:color="000000"/>
            </w:tcBorders>
          </w:tcPr>
          <w:p w14:paraId="24D62887"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88" w14:textId="77777777" w:rsidR="00245300" w:rsidRPr="00EC20A0" w:rsidRDefault="00245300">
            <w:pPr>
              <w:pStyle w:val="TableParagraph"/>
              <w:rPr>
                <w:sz w:val="20"/>
              </w:rPr>
            </w:pPr>
          </w:p>
        </w:tc>
      </w:tr>
      <w:tr w:rsidR="00245300" w:rsidRPr="00EC20A0" w14:paraId="24D6288D" w14:textId="77777777">
        <w:trPr>
          <w:trHeight w:val="998"/>
        </w:trPr>
        <w:tc>
          <w:tcPr>
            <w:tcW w:w="7446" w:type="dxa"/>
            <w:tcBorders>
              <w:top w:val="single" w:sz="8" w:space="0" w:color="000000"/>
              <w:bottom w:val="single" w:sz="8" w:space="0" w:color="000000"/>
              <w:right w:val="single" w:sz="8" w:space="0" w:color="000000"/>
            </w:tcBorders>
          </w:tcPr>
          <w:p w14:paraId="24D6288A" w14:textId="77777777" w:rsidR="00245300" w:rsidRPr="00EC20A0" w:rsidRDefault="00F17249">
            <w:pPr>
              <w:pStyle w:val="TableParagraph"/>
              <w:spacing w:before="119"/>
              <w:ind w:left="1285" w:right="329" w:hanging="360"/>
              <w:jc w:val="both"/>
            </w:pPr>
            <w:r w:rsidRPr="00EC20A0">
              <w:t>b.</w:t>
            </w:r>
            <w:r w:rsidRPr="00EC20A0">
              <w:rPr>
                <w:spacing w:val="80"/>
              </w:rPr>
              <w:t xml:space="preserve"> </w:t>
            </w:r>
            <w:r w:rsidRPr="00EC20A0">
              <w:t>LIRA</w:t>
            </w:r>
            <w:r w:rsidRPr="00EC20A0">
              <w:rPr>
                <w:spacing w:val="-3"/>
              </w:rPr>
              <w:t xml:space="preserve"> </w:t>
            </w:r>
            <w:r w:rsidRPr="00EC20A0">
              <w:t>forms</w:t>
            </w:r>
            <w:r w:rsidRPr="00EC20A0">
              <w:rPr>
                <w:spacing w:val="-3"/>
              </w:rPr>
              <w:t xml:space="preserve"> </w:t>
            </w:r>
            <w:r w:rsidRPr="00EC20A0">
              <w:t>that</w:t>
            </w:r>
            <w:r w:rsidRPr="00EC20A0">
              <w:rPr>
                <w:spacing w:val="-3"/>
              </w:rPr>
              <w:t xml:space="preserve"> </w:t>
            </w:r>
            <w:r w:rsidRPr="00EC20A0">
              <w:t>contain</w:t>
            </w:r>
            <w:r w:rsidRPr="00EC20A0">
              <w:rPr>
                <w:spacing w:val="-4"/>
              </w:rPr>
              <w:t xml:space="preserve"> </w:t>
            </w:r>
            <w:r w:rsidRPr="00EC20A0">
              <w:t>high</w:t>
            </w:r>
            <w:r w:rsidRPr="00EC20A0">
              <w:rPr>
                <w:spacing w:val="-3"/>
              </w:rPr>
              <w:t xml:space="preserve"> </w:t>
            </w:r>
            <w:r w:rsidRPr="00EC20A0">
              <w:t>or</w:t>
            </w:r>
            <w:r w:rsidRPr="00EC20A0">
              <w:rPr>
                <w:spacing w:val="-3"/>
              </w:rPr>
              <w:t xml:space="preserve"> </w:t>
            </w:r>
            <w:r w:rsidRPr="00EC20A0">
              <w:t>moderate</w:t>
            </w:r>
            <w:r w:rsidRPr="00EC20A0">
              <w:rPr>
                <w:spacing w:val="-3"/>
              </w:rPr>
              <w:t xml:space="preserve"> </w:t>
            </w:r>
            <w:r w:rsidRPr="00EC20A0">
              <w:t>risk(s)</w:t>
            </w:r>
            <w:r w:rsidRPr="00EC20A0">
              <w:rPr>
                <w:spacing w:val="-4"/>
              </w:rPr>
              <w:t xml:space="preserve"> </w:t>
            </w:r>
            <w:r w:rsidRPr="00EC20A0">
              <w:t>of</w:t>
            </w:r>
            <w:r w:rsidRPr="00EC20A0">
              <w:rPr>
                <w:spacing w:val="-3"/>
              </w:rPr>
              <w:t xml:space="preserve"> </w:t>
            </w:r>
            <w:r w:rsidRPr="00EC20A0">
              <w:t>material misstatement at the assertion level (i.e., combined inherent risk and control risk) or significant risk(s) (FAM 290);</w:t>
            </w:r>
          </w:p>
        </w:tc>
        <w:tc>
          <w:tcPr>
            <w:tcW w:w="720" w:type="dxa"/>
            <w:tcBorders>
              <w:top w:val="single" w:sz="8" w:space="0" w:color="000000"/>
              <w:left w:val="single" w:sz="8" w:space="0" w:color="000000"/>
              <w:bottom w:val="single" w:sz="8" w:space="0" w:color="000000"/>
              <w:right w:val="single" w:sz="8" w:space="0" w:color="000000"/>
            </w:tcBorders>
          </w:tcPr>
          <w:p w14:paraId="24D6288B"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8C" w14:textId="77777777" w:rsidR="00245300" w:rsidRPr="00EC20A0" w:rsidRDefault="00245300">
            <w:pPr>
              <w:pStyle w:val="TableParagraph"/>
              <w:rPr>
                <w:sz w:val="20"/>
              </w:rPr>
            </w:pPr>
          </w:p>
        </w:tc>
      </w:tr>
      <w:tr w:rsidR="00245300" w:rsidRPr="00EC20A0" w14:paraId="24D62891" w14:textId="77777777">
        <w:trPr>
          <w:trHeight w:val="998"/>
        </w:trPr>
        <w:tc>
          <w:tcPr>
            <w:tcW w:w="7446" w:type="dxa"/>
            <w:tcBorders>
              <w:top w:val="single" w:sz="8" w:space="0" w:color="000000"/>
              <w:bottom w:val="single" w:sz="8" w:space="0" w:color="000000"/>
              <w:right w:val="single" w:sz="8" w:space="0" w:color="000000"/>
            </w:tcBorders>
          </w:tcPr>
          <w:p w14:paraId="24D6288E" w14:textId="77777777" w:rsidR="00245300" w:rsidRPr="00EC20A0" w:rsidRDefault="00F17249">
            <w:pPr>
              <w:pStyle w:val="TableParagraph"/>
              <w:tabs>
                <w:tab w:val="left" w:pos="1310"/>
              </w:tabs>
              <w:spacing w:before="119"/>
              <w:ind w:left="1285" w:right="512" w:hanging="360"/>
            </w:pPr>
            <w:r w:rsidRPr="00EC20A0">
              <w:rPr>
                <w:spacing w:val="-6"/>
              </w:rPr>
              <w:t>c.</w:t>
            </w:r>
            <w:r w:rsidRPr="00EC20A0">
              <w:tab/>
            </w:r>
            <w:r w:rsidRPr="00EC20A0">
              <w:tab/>
              <w:t xml:space="preserve">cycle summary memos for </w:t>
            </w:r>
            <w:r w:rsidRPr="00EC20A0">
              <w:t>cycles that contain high or moderate</w:t>
            </w:r>
            <w:r w:rsidRPr="00EC20A0">
              <w:rPr>
                <w:spacing w:val="-6"/>
              </w:rPr>
              <w:t xml:space="preserve"> </w:t>
            </w:r>
            <w:r w:rsidRPr="00EC20A0">
              <w:t>risk(s)</w:t>
            </w:r>
            <w:r w:rsidRPr="00EC20A0">
              <w:rPr>
                <w:spacing w:val="-6"/>
              </w:rPr>
              <w:t xml:space="preserve"> </w:t>
            </w:r>
            <w:r w:rsidRPr="00EC20A0">
              <w:t>of</w:t>
            </w:r>
            <w:r w:rsidRPr="00EC20A0">
              <w:rPr>
                <w:spacing w:val="-6"/>
              </w:rPr>
              <w:t xml:space="preserve"> </w:t>
            </w:r>
            <w:r w:rsidRPr="00EC20A0">
              <w:t>material</w:t>
            </w:r>
            <w:r w:rsidRPr="00EC20A0">
              <w:rPr>
                <w:spacing w:val="-6"/>
              </w:rPr>
              <w:t xml:space="preserve"> </w:t>
            </w:r>
            <w:r w:rsidRPr="00EC20A0">
              <w:t>misstatement</w:t>
            </w:r>
            <w:r w:rsidRPr="00EC20A0">
              <w:rPr>
                <w:spacing w:val="-6"/>
              </w:rPr>
              <w:t xml:space="preserve"> </w:t>
            </w:r>
            <w:r w:rsidRPr="00EC20A0">
              <w:t>at</w:t>
            </w:r>
            <w:r w:rsidRPr="00EC20A0">
              <w:rPr>
                <w:spacing w:val="-6"/>
              </w:rPr>
              <w:t xml:space="preserve"> </w:t>
            </w:r>
            <w:r w:rsidRPr="00EC20A0">
              <w:t>the</w:t>
            </w:r>
            <w:r w:rsidRPr="00EC20A0">
              <w:rPr>
                <w:spacing w:val="-6"/>
              </w:rPr>
              <w:t xml:space="preserve"> </w:t>
            </w:r>
            <w:r w:rsidRPr="00EC20A0">
              <w:t>assertion level or significant risk(s) (FAM 490);</w:t>
            </w:r>
          </w:p>
        </w:tc>
        <w:tc>
          <w:tcPr>
            <w:tcW w:w="720" w:type="dxa"/>
            <w:tcBorders>
              <w:top w:val="single" w:sz="8" w:space="0" w:color="000000"/>
              <w:left w:val="single" w:sz="8" w:space="0" w:color="000000"/>
              <w:bottom w:val="single" w:sz="8" w:space="0" w:color="000000"/>
              <w:right w:val="single" w:sz="8" w:space="0" w:color="000000"/>
            </w:tcBorders>
          </w:tcPr>
          <w:p w14:paraId="24D6288F"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90" w14:textId="77777777" w:rsidR="00245300" w:rsidRPr="00EC20A0" w:rsidRDefault="00245300">
            <w:pPr>
              <w:pStyle w:val="TableParagraph"/>
              <w:rPr>
                <w:sz w:val="20"/>
              </w:rPr>
            </w:pPr>
          </w:p>
        </w:tc>
      </w:tr>
      <w:tr w:rsidR="00245300" w:rsidRPr="00EC20A0" w14:paraId="24D62895" w14:textId="77777777">
        <w:trPr>
          <w:trHeight w:val="493"/>
        </w:trPr>
        <w:tc>
          <w:tcPr>
            <w:tcW w:w="7446" w:type="dxa"/>
            <w:tcBorders>
              <w:top w:val="single" w:sz="8" w:space="0" w:color="000000"/>
              <w:bottom w:val="single" w:sz="8" w:space="0" w:color="000000"/>
              <w:right w:val="single" w:sz="8" w:space="0" w:color="000000"/>
            </w:tcBorders>
          </w:tcPr>
          <w:p w14:paraId="24D62892" w14:textId="77777777" w:rsidR="00245300" w:rsidRPr="00EC20A0" w:rsidRDefault="00F17249">
            <w:pPr>
              <w:pStyle w:val="TableParagraph"/>
              <w:tabs>
                <w:tab w:val="left" w:pos="1334"/>
              </w:tabs>
              <w:spacing w:before="121"/>
              <w:ind w:left="925"/>
            </w:pPr>
            <w:r w:rsidRPr="00EC20A0">
              <w:rPr>
                <w:spacing w:val="-5"/>
              </w:rPr>
              <w:t>d.</w:t>
            </w:r>
            <w:r w:rsidRPr="00EC20A0">
              <w:tab/>
              <w:t>audit</w:t>
            </w:r>
            <w:r w:rsidRPr="00EC20A0">
              <w:rPr>
                <w:spacing w:val="-10"/>
              </w:rPr>
              <w:t xml:space="preserve"> </w:t>
            </w:r>
            <w:r w:rsidRPr="00EC20A0">
              <w:t>summary</w:t>
            </w:r>
            <w:r w:rsidRPr="00EC20A0">
              <w:rPr>
                <w:spacing w:val="-9"/>
              </w:rPr>
              <w:t xml:space="preserve"> </w:t>
            </w:r>
            <w:r w:rsidRPr="00EC20A0">
              <w:t>memorandum</w:t>
            </w:r>
            <w:r w:rsidRPr="00EC20A0">
              <w:rPr>
                <w:spacing w:val="-9"/>
              </w:rPr>
              <w:t xml:space="preserve"> </w:t>
            </w:r>
            <w:r w:rsidRPr="00EC20A0">
              <w:t>(FAM</w:t>
            </w:r>
            <w:r w:rsidRPr="00EC20A0">
              <w:rPr>
                <w:spacing w:val="-10"/>
              </w:rPr>
              <w:t xml:space="preserve"> </w:t>
            </w:r>
            <w:r w:rsidRPr="00EC20A0">
              <w:rPr>
                <w:spacing w:val="-2"/>
              </w:rPr>
              <w:t>590);</w:t>
            </w:r>
          </w:p>
        </w:tc>
        <w:tc>
          <w:tcPr>
            <w:tcW w:w="720" w:type="dxa"/>
            <w:tcBorders>
              <w:top w:val="single" w:sz="8" w:space="0" w:color="000000"/>
              <w:left w:val="single" w:sz="8" w:space="0" w:color="000000"/>
              <w:bottom w:val="single" w:sz="8" w:space="0" w:color="000000"/>
              <w:right w:val="single" w:sz="8" w:space="0" w:color="000000"/>
            </w:tcBorders>
          </w:tcPr>
          <w:p w14:paraId="24D62893"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94" w14:textId="77777777" w:rsidR="00245300" w:rsidRPr="00EC20A0" w:rsidRDefault="00245300">
            <w:pPr>
              <w:pStyle w:val="TableParagraph"/>
              <w:rPr>
                <w:sz w:val="20"/>
              </w:rPr>
            </w:pPr>
          </w:p>
        </w:tc>
      </w:tr>
      <w:tr w:rsidR="00245300" w:rsidRPr="00EC20A0" w14:paraId="24D62899" w14:textId="77777777">
        <w:trPr>
          <w:trHeight w:val="492"/>
        </w:trPr>
        <w:tc>
          <w:tcPr>
            <w:tcW w:w="7446" w:type="dxa"/>
            <w:tcBorders>
              <w:top w:val="single" w:sz="8" w:space="0" w:color="000000"/>
              <w:bottom w:val="single" w:sz="8" w:space="0" w:color="000000"/>
              <w:right w:val="single" w:sz="8" w:space="0" w:color="000000"/>
            </w:tcBorders>
          </w:tcPr>
          <w:p w14:paraId="24D62896" w14:textId="77777777" w:rsidR="00245300" w:rsidRPr="00EC20A0" w:rsidRDefault="00F17249">
            <w:pPr>
              <w:pStyle w:val="TableParagraph"/>
              <w:tabs>
                <w:tab w:val="left" w:pos="1334"/>
              </w:tabs>
              <w:spacing w:before="119"/>
              <w:ind w:left="925"/>
            </w:pPr>
            <w:r w:rsidRPr="00EC20A0">
              <w:rPr>
                <w:spacing w:val="-5"/>
              </w:rPr>
              <w:t>e.</w:t>
            </w:r>
            <w:r w:rsidRPr="00EC20A0">
              <w:tab/>
              <w:t>management</w:t>
            </w:r>
            <w:r w:rsidRPr="00EC20A0">
              <w:rPr>
                <w:spacing w:val="-11"/>
              </w:rPr>
              <w:t xml:space="preserve"> </w:t>
            </w:r>
            <w:r w:rsidRPr="00EC20A0">
              <w:t>representation</w:t>
            </w:r>
            <w:r w:rsidRPr="00EC20A0">
              <w:rPr>
                <w:spacing w:val="-10"/>
              </w:rPr>
              <w:t xml:space="preserve"> </w:t>
            </w:r>
            <w:r w:rsidRPr="00EC20A0">
              <w:t>letter</w:t>
            </w:r>
            <w:r w:rsidRPr="00EC20A0">
              <w:rPr>
                <w:spacing w:val="-10"/>
              </w:rPr>
              <w:t xml:space="preserve"> </w:t>
            </w:r>
            <w:r w:rsidRPr="00EC20A0">
              <w:t>(FAM</w:t>
            </w:r>
            <w:r w:rsidRPr="00EC20A0">
              <w:rPr>
                <w:spacing w:val="-11"/>
              </w:rPr>
              <w:t xml:space="preserve"> </w:t>
            </w:r>
            <w:r w:rsidRPr="00EC20A0">
              <w:rPr>
                <w:spacing w:val="-2"/>
              </w:rPr>
              <w:t>1001);</w:t>
            </w:r>
          </w:p>
        </w:tc>
        <w:tc>
          <w:tcPr>
            <w:tcW w:w="720" w:type="dxa"/>
            <w:tcBorders>
              <w:top w:val="single" w:sz="8" w:space="0" w:color="000000"/>
              <w:left w:val="single" w:sz="8" w:space="0" w:color="000000"/>
              <w:bottom w:val="single" w:sz="8" w:space="0" w:color="000000"/>
              <w:right w:val="single" w:sz="8" w:space="0" w:color="000000"/>
            </w:tcBorders>
          </w:tcPr>
          <w:p w14:paraId="24D62897"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98" w14:textId="77777777" w:rsidR="00245300" w:rsidRPr="00EC20A0" w:rsidRDefault="00245300">
            <w:pPr>
              <w:pStyle w:val="TableParagraph"/>
              <w:rPr>
                <w:sz w:val="20"/>
              </w:rPr>
            </w:pPr>
          </w:p>
        </w:tc>
      </w:tr>
      <w:tr w:rsidR="00245300" w:rsidRPr="00EC20A0" w14:paraId="24D6289D" w14:textId="77777777">
        <w:trPr>
          <w:trHeight w:val="493"/>
        </w:trPr>
        <w:tc>
          <w:tcPr>
            <w:tcW w:w="7446" w:type="dxa"/>
            <w:tcBorders>
              <w:top w:val="single" w:sz="8" w:space="0" w:color="000000"/>
              <w:bottom w:val="single" w:sz="8" w:space="0" w:color="000000"/>
              <w:right w:val="single" w:sz="8" w:space="0" w:color="000000"/>
            </w:tcBorders>
          </w:tcPr>
          <w:p w14:paraId="24D6289A" w14:textId="77777777" w:rsidR="00245300" w:rsidRPr="00EC20A0" w:rsidRDefault="00F17249">
            <w:pPr>
              <w:pStyle w:val="TableParagraph"/>
              <w:tabs>
                <w:tab w:val="left" w:pos="1334"/>
              </w:tabs>
              <w:spacing w:before="121"/>
              <w:ind w:left="925"/>
            </w:pPr>
            <w:r w:rsidRPr="00EC20A0">
              <w:rPr>
                <w:spacing w:val="-5"/>
              </w:rPr>
              <w:t>f.</w:t>
            </w:r>
            <w:r w:rsidRPr="00EC20A0">
              <w:tab/>
              <w:t>legal</w:t>
            </w:r>
            <w:r w:rsidRPr="00EC20A0">
              <w:rPr>
                <w:spacing w:val="-8"/>
              </w:rPr>
              <w:t xml:space="preserve"> </w:t>
            </w:r>
            <w:r w:rsidRPr="00EC20A0">
              <w:t>counsel</w:t>
            </w:r>
            <w:r w:rsidRPr="00EC20A0">
              <w:rPr>
                <w:spacing w:val="-7"/>
              </w:rPr>
              <w:t xml:space="preserve"> </w:t>
            </w:r>
            <w:r w:rsidRPr="00EC20A0">
              <w:t>response</w:t>
            </w:r>
            <w:r w:rsidRPr="00EC20A0">
              <w:rPr>
                <w:spacing w:val="-9"/>
              </w:rPr>
              <w:t xml:space="preserve"> </w:t>
            </w:r>
            <w:r w:rsidRPr="00EC20A0">
              <w:t>(FAM</w:t>
            </w:r>
            <w:r w:rsidRPr="00EC20A0">
              <w:rPr>
                <w:spacing w:val="-8"/>
              </w:rPr>
              <w:t xml:space="preserve"> </w:t>
            </w:r>
            <w:r w:rsidRPr="00EC20A0">
              <w:rPr>
                <w:spacing w:val="-2"/>
              </w:rPr>
              <w:t>1002);</w:t>
            </w:r>
          </w:p>
        </w:tc>
        <w:tc>
          <w:tcPr>
            <w:tcW w:w="720" w:type="dxa"/>
            <w:tcBorders>
              <w:top w:val="single" w:sz="8" w:space="0" w:color="000000"/>
              <w:left w:val="single" w:sz="8" w:space="0" w:color="000000"/>
              <w:bottom w:val="single" w:sz="8" w:space="0" w:color="000000"/>
              <w:right w:val="single" w:sz="8" w:space="0" w:color="000000"/>
            </w:tcBorders>
          </w:tcPr>
          <w:p w14:paraId="24D6289B"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9C" w14:textId="77777777" w:rsidR="00245300" w:rsidRPr="00EC20A0" w:rsidRDefault="00245300">
            <w:pPr>
              <w:pStyle w:val="TableParagraph"/>
              <w:rPr>
                <w:sz w:val="20"/>
              </w:rPr>
            </w:pPr>
          </w:p>
        </w:tc>
      </w:tr>
      <w:tr w:rsidR="00245300" w:rsidRPr="00EC20A0" w14:paraId="24D628A1" w14:textId="77777777">
        <w:trPr>
          <w:trHeight w:val="492"/>
        </w:trPr>
        <w:tc>
          <w:tcPr>
            <w:tcW w:w="7446" w:type="dxa"/>
            <w:tcBorders>
              <w:top w:val="single" w:sz="8" w:space="0" w:color="000000"/>
              <w:bottom w:val="single" w:sz="8" w:space="0" w:color="000000"/>
              <w:right w:val="single" w:sz="8" w:space="0" w:color="000000"/>
            </w:tcBorders>
          </w:tcPr>
          <w:p w14:paraId="24D6289E" w14:textId="77777777" w:rsidR="00245300" w:rsidRPr="00EC20A0" w:rsidRDefault="00F17249">
            <w:pPr>
              <w:pStyle w:val="TableParagraph"/>
              <w:tabs>
                <w:tab w:val="left" w:pos="1334"/>
              </w:tabs>
              <w:spacing w:before="119"/>
              <w:ind w:left="925"/>
            </w:pPr>
            <w:r w:rsidRPr="00EC20A0">
              <w:rPr>
                <w:spacing w:val="-5"/>
              </w:rPr>
              <w:t>g.</w:t>
            </w:r>
            <w:r w:rsidRPr="00EC20A0">
              <w:tab/>
              <w:t>summary</w:t>
            </w:r>
            <w:r w:rsidRPr="00EC20A0">
              <w:rPr>
                <w:spacing w:val="-9"/>
              </w:rPr>
              <w:t xml:space="preserve"> </w:t>
            </w:r>
            <w:r w:rsidRPr="00EC20A0">
              <w:t>of</w:t>
            </w:r>
            <w:r w:rsidRPr="00EC20A0">
              <w:rPr>
                <w:spacing w:val="-8"/>
              </w:rPr>
              <w:t xml:space="preserve"> </w:t>
            </w:r>
            <w:r w:rsidRPr="00EC20A0">
              <w:t>uncorrected</w:t>
            </w:r>
            <w:r w:rsidRPr="00EC20A0">
              <w:rPr>
                <w:spacing w:val="-10"/>
              </w:rPr>
              <w:t xml:space="preserve"> </w:t>
            </w:r>
            <w:r w:rsidRPr="00EC20A0">
              <w:t>misstatements</w:t>
            </w:r>
            <w:r w:rsidRPr="00EC20A0">
              <w:rPr>
                <w:spacing w:val="-8"/>
              </w:rPr>
              <w:t xml:space="preserve"> </w:t>
            </w:r>
            <w:r w:rsidRPr="00EC20A0">
              <w:t>(FAM</w:t>
            </w:r>
            <w:r w:rsidRPr="00EC20A0">
              <w:rPr>
                <w:spacing w:val="-10"/>
              </w:rPr>
              <w:t xml:space="preserve"> </w:t>
            </w:r>
            <w:r w:rsidRPr="00EC20A0">
              <w:t>595</w:t>
            </w:r>
            <w:r w:rsidRPr="00EC20A0">
              <w:rPr>
                <w:spacing w:val="-8"/>
              </w:rPr>
              <w:t xml:space="preserve"> </w:t>
            </w:r>
            <w:r w:rsidRPr="00EC20A0">
              <w:rPr>
                <w:spacing w:val="-5"/>
              </w:rPr>
              <w:t>C);</w:t>
            </w:r>
          </w:p>
        </w:tc>
        <w:tc>
          <w:tcPr>
            <w:tcW w:w="720" w:type="dxa"/>
            <w:tcBorders>
              <w:top w:val="single" w:sz="8" w:space="0" w:color="000000"/>
              <w:left w:val="single" w:sz="8" w:space="0" w:color="000000"/>
              <w:bottom w:val="single" w:sz="8" w:space="0" w:color="000000"/>
              <w:right w:val="single" w:sz="8" w:space="0" w:color="000000"/>
            </w:tcBorders>
          </w:tcPr>
          <w:p w14:paraId="24D6289F"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A0" w14:textId="77777777" w:rsidR="00245300" w:rsidRPr="00EC20A0" w:rsidRDefault="00245300">
            <w:pPr>
              <w:pStyle w:val="TableParagraph"/>
              <w:rPr>
                <w:sz w:val="20"/>
              </w:rPr>
            </w:pPr>
          </w:p>
        </w:tc>
      </w:tr>
      <w:tr w:rsidR="00245300" w:rsidRPr="00EC20A0" w14:paraId="24D628A5" w14:textId="77777777">
        <w:trPr>
          <w:trHeight w:val="745"/>
        </w:trPr>
        <w:tc>
          <w:tcPr>
            <w:tcW w:w="7446" w:type="dxa"/>
            <w:tcBorders>
              <w:top w:val="single" w:sz="8" w:space="0" w:color="000000"/>
              <w:bottom w:val="single" w:sz="8" w:space="0" w:color="000000"/>
              <w:right w:val="single" w:sz="8" w:space="0" w:color="000000"/>
            </w:tcBorders>
          </w:tcPr>
          <w:p w14:paraId="24D628A2" w14:textId="77777777" w:rsidR="00245300" w:rsidRPr="00EC20A0" w:rsidRDefault="00F17249">
            <w:pPr>
              <w:pStyle w:val="TableParagraph"/>
              <w:spacing w:before="121"/>
              <w:ind w:left="1285" w:hanging="360"/>
            </w:pPr>
            <w:r w:rsidRPr="00EC20A0">
              <w:t>h.</w:t>
            </w:r>
            <w:r w:rsidRPr="00EC20A0">
              <w:rPr>
                <w:spacing w:val="80"/>
              </w:rPr>
              <w:t xml:space="preserve"> </w:t>
            </w:r>
            <w:r w:rsidRPr="00EC20A0">
              <w:t>GAO</w:t>
            </w:r>
            <w:r w:rsidRPr="00EC20A0">
              <w:rPr>
                <w:spacing w:val="-5"/>
              </w:rPr>
              <w:t xml:space="preserve"> </w:t>
            </w:r>
            <w:r w:rsidRPr="00EC20A0">
              <w:t>report</w:t>
            </w:r>
            <w:r w:rsidRPr="00EC20A0">
              <w:rPr>
                <w:spacing w:val="-3"/>
              </w:rPr>
              <w:t xml:space="preserve"> </w:t>
            </w:r>
            <w:r w:rsidRPr="00EC20A0">
              <w:t>with</w:t>
            </w:r>
            <w:r w:rsidRPr="00EC20A0">
              <w:rPr>
                <w:spacing w:val="-4"/>
              </w:rPr>
              <w:t xml:space="preserve"> </w:t>
            </w:r>
            <w:r w:rsidRPr="00EC20A0">
              <w:t>entity</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and</w:t>
            </w:r>
            <w:r w:rsidRPr="00EC20A0">
              <w:rPr>
                <w:spacing w:val="-4"/>
              </w:rPr>
              <w:t xml:space="preserve"> </w:t>
            </w:r>
            <w:r w:rsidRPr="00EC20A0">
              <w:t xml:space="preserve">note </w:t>
            </w:r>
            <w:r w:rsidRPr="00EC20A0">
              <w:rPr>
                <w:spacing w:val="-2"/>
              </w:rPr>
              <w:t>disclosures;</w:t>
            </w:r>
          </w:p>
        </w:tc>
        <w:tc>
          <w:tcPr>
            <w:tcW w:w="720" w:type="dxa"/>
            <w:tcBorders>
              <w:top w:val="single" w:sz="8" w:space="0" w:color="000000"/>
              <w:left w:val="single" w:sz="8" w:space="0" w:color="000000"/>
              <w:bottom w:val="single" w:sz="8" w:space="0" w:color="000000"/>
              <w:right w:val="single" w:sz="8" w:space="0" w:color="000000"/>
            </w:tcBorders>
          </w:tcPr>
          <w:p w14:paraId="24D628A3"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A4" w14:textId="77777777" w:rsidR="00245300" w:rsidRPr="00EC20A0" w:rsidRDefault="00245300">
            <w:pPr>
              <w:pStyle w:val="TableParagraph"/>
              <w:rPr>
                <w:sz w:val="20"/>
              </w:rPr>
            </w:pPr>
          </w:p>
        </w:tc>
      </w:tr>
      <w:tr w:rsidR="00245300" w:rsidRPr="00EC20A0" w14:paraId="24D628A9" w14:textId="77777777">
        <w:trPr>
          <w:trHeight w:val="493"/>
        </w:trPr>
        <w:tc>
          <w:tcPr>
            <w:tcW w:w="7446" w:type="dxa"/>
            <w:tcBorders>
              <w:top w:val="single" w:sz="8" w:space="0" w:color="000000"/>
              <w:bottom w:val="single" w:sz="8" w:space="0" w:color="000000"/>
              <w:right w:val="single" w:sz="8" w:space="0" w:color="000000"/>
            </w:tcBorders>
          </w:tcPr>
          <w:p w14:paraId="24D628A6" w14:textId="77777777" w:rsidR="00245300" w:rsidRPr="00EC20A0" w:rsidRDefault="00F17249">
            <w:pPr>
              <w:pStyle w:val="TableParagraph"/>
              <w:tabs>
                <w:tab w:val="left" w:pos="1334"/>
              </w:tabs>
              <w:spacing w:before="121"/>
              <w:ind w:left="925"/>
            </w:pPr>
            <w:r w:rsidRPr="00EC20A0">
              <w:rPr>
                <w:spacing w:val="-5"/>
              </w:rPr>
              <w:t>i.</w:t>
            </w:r>
            <w:r w:rsidRPr="00EC20A0">
              <w:tab/>
              <w:t>exit</w:t>
            </w:r>
            <w:r w:rsidRPr="00EC20A0">
              <w:rPr>
                <w:spacing w:val="-8"/>
              </w:rPr>
              <w:t xml:space="preserve"> </w:t>
            </w:r>
            <w:r w:rsidRPr="00EC20A0">
              <w:t>conference</w:t>
            </w:r>
            <w:r w:rsidRPr="00EC20A0">
              <w:rPr>
                <w:spacing w:val="-8"/>
              </w:rPr>
              <w:t xml:space="preserve"> </w:t>
            </w:r>
            <w:r w:rsidRPr="00EC20A0">
              <w:t>memorandum</w:t>
            </w:r>
            <w:r w:rsidRPr="00EC20A0">
              <w:rPr>
                <w:spacing w:val="-9"/>
              </w:rPr>
              <w:t xml:space="preserve"> </w:t>
            </w:r>
            <w:r w:rsidRPr="00EC20A0">
              <w:t>(FAM</w:t>
            </w:r>
            <w:r w:rsidRPr="00EC20A0">
              <w:rPr>
                <w:spacing w:val="-9"/>
              </w:rPr>
              <w:t xml:space="preserve"> </w:t>
            </w:r>
            <w:r w:rsidRPr="00EC20A0">
              <w:t>590);</w:t>
            </w:r>
            <w:r w:rsidRPr="00EC20A0">
              <w:rPr>
                <w:spacing w:val="-8"/>
              </w:rPr>
              <w:t xml:space="preserve"> </w:t>
            </w:r>
            <w:r w:rsidRPr="00EC20A0">
              <w:rPr>
                <w:spacing w:val="-5"/>
              </w:rPr>
              <w:t>and</w:t>
            </w:r>
          </w:p>
        </w:tc>
        <w:tc>
          <w:tcPr>
            <w:tcW w:w="720" w:type="dxa"/>
            <w:tcBorders>
              <w:top w:val="single" w:sz="8" w:space="0" w:color="000000"/>
              <w:left w:val="single" w:sz="8" w:space="0" w:color="000000"/>
              <w:bottom w:val="single" w:sz="8" w:space="0" w:color="000000"/>
              <w:right w:val="single" w:sz="8" w:space="0" w:color="000000"/>
            </w:tcBorders>
          </w:tcPr>
          <w:p w14:paraId="24D628A7"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A8" w14:textId="77777777" w:rsidR="00245300" w:rsidRPr="00EC20A0" w:rsidRDefault="00245300">
            <w:pPr>
              <w:pStyle w:val="TableParagraph"/>
              <w:rPr>
                <w:sz w:val="20"/>
              </w:rPr>
            </w:pPr>
          </w:p>
        </w:tc>
      </w:tr>
      <w:tr w:rsidR="00245300" w:rsidRPr="00EC20A0" w14:paraId="24D628AD" w14:textId="77777777">
        <w:trPr>
          <w:trHeight w:val="745"/>
        </w:trPr>
        <w:tc>
          <w:tcPr>
            <w:tcW w:w="7446" w:type="dxa"/>
            <w:tcBorders>
              <w:top w:val="single" w:sz="8" w:space="0" w:color="000000"/>
              <w:bottom w:val="single" w:sz="8" w:space="0" w:color="000000"/>
              <w:right w:val="single" w:sz="8" w:space="0" w:color="000000"/>
            </w:tcBorders>
          </w:tcPr>
          <w:p w14:paraId="24D628AA" w14:textId="77777777" w:rsidR="00245300" w:rsidRPr="00EC20A0" w:rsidRDefault="00F17249">
            <w:pPr>
              <w:pStyle w:val="TableParagraph"/>
              <w:tabs>
                <w:tab w:val="left" w:pos="1304"/>
              </w:tabs>
              <w:spacing w:before="119"/>
              <w:ind w:left="1285" w:right="640" w:hanging="360"/>
            </w:pPr>
            <w:r w:rsidRPr="00EC20A0">
              <w:rPr>
                <w:spacing w:val="-6"/>
              </w:rPr>
              <w:t>j.</w:t>
            </w:r>
            <w:r w:rsidRPr="00EC20A0">
              <w:tab/>
            </w:r>
            <w:r w:rsidRPr="00EC20A0">
              <w:tab/>
              <w:t>memorandum(s)</w:t>
            </w:r>
            <w:r w:rsidRPr="00EC20A0">
              <w:rPr>
                <w:spacing w:val="-8"/>
              </w:rPr>
              <w:t xml:space="preserve"> </w:t>
            </w:r>
            <w:r w:rsidRPr="00EC20A0">
              <w:t>on</w:t>
            </w:r>
            <w:r w:rsidRPr="00EC20A0">
              <w:rPr>
                <w:spacing w:val="-8"/>
              </w:rPr>
              <w:t xml:space="preserve"> </w:t>
            </w:r>
            <w:r w:rsidRPr="00EC20A0">
              <w:t>significant</w:t>
            </w:r>
            <w:r w:rsidRPr="00EC20A0">
              <w:rPr>
                <w:spacing w:val="-8"/>
              </w:rPr>
              <w:t xml:space="preserve"> </w:t>
            </w:r>
            <w:r w:rsidRPr="00EC20A0">
              <w:t>accounting,</w:t>
            </w:r>
            <w:r w:rsidRPr="00EC20A0">
              <w:rPr>
                <w:spacing w:val="-8"/>
              </w:rPr>
              <w:t xml:space="preserve"> </w:t>
            </w:r>
            <w:r w:rsidRPr="00EC20A0">
              <w:t>auditing,</w:t>
            </w:r>
            <w:r w:rsidRPr="00EC20A0">
              <w:rPr>
                <w:spacing w:val="-8"/>
              </w:rPr>
              <w:t xml:space="preserve"> </w:t>
            </w:r>
            <w:r w:rsidRPr="00EC20A0">
              <w:t xml:space="preserve">and </w:t>
            </w:r>
            <w:r w:rsidRPr="00EC20A0">
              <w:t>reporting issues (FAM 590)?</w:t>
            </w:r>
          </w:p>
        </w:tc>
        <w:tc>
          <w:tcPr>
            <w:tcW w:w="720" w:type="dxa"/>
            <w:tcBorders>
              <w:top w:val="single" w:sz="8" w:space="0" w:color="000000"/>
              <w:left w:val="single" w:sz="8" w:space="0" w:color="000000"/>
              <w:bottom w:val="single" w:sz="8" w:space="0" w:color="000000"/>
              <w:right w:val="single" w:sz="8" w:space="0" w:color="000000"/>
            </w:tcBorders>
          </w:tcPr>
          <w:p w14:paraId="24D628AB"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8AC" w14:textId="77777777" w:rsidR="00245300" w:rsidRPr="00EC20A0" w:rsidRDefault="00245300">
            <w:pPr>
              <w:pStyle w:val="TableParagraph"/>
              <w:rPr>
                <w:sz w:val="20"/>
              </w:rPr>
            </w:pPr>
          </w:p>
        </w:tc>
      </w:tr>
      <w:tr w:rsidR="00245300" w:rsidRPr="00EC20A0" w14:paraId="24D628B1" w14:textId="77777777">
        <w:trPr>
          <w:trHeight w:val="493"/>
        </w:trPr>
        <w:tc>
          <w:tcPr>
            <w:tcW w:w="7446" w:type="dxa"/>
            <w:tcBorders>
              <w:top w:val="single" w:sz="8" w:space="0" w:color="000000"/>
              <w:bottom w:val="single" w:sz="8" w:space="0" w:color="000000"/>
              <w:right w:val="single" w:sz="8" w:space="0" w:color="000000"/>
            </w:tcBorders>
          </w:tcPr>
          <w:p w14:paraId="24D628AE" w14:textId="77777777" w:rsidR="00245300" w:rsidRPr="00EC20A0" w:rsidRDefault="00F17249">
            <w:pPr>
              <w:pStyle w:val="TableParagraph"/>
              <w:spacing w:before="121"/>
              <w:ind w:left="554"/>
            </w:pPr>
            <w:r w:rsidRPr="00EC20A0">
              <w:t>3.</w:t>
            </w:r>
            <w:r w:rsidRPr="00EC20A0">
              <w:rPr>
                <w:spacing w:val="72"/>
                <w:w w:val="150"/>
              </w:rPr>
              <w:t xml:space="preserve"> </w:t>
            </w:r>
            <w:r w:rsidRPr="00EC20A0">
              <w:t>Did</w:t>
            </w:r>
            <w:r w:rsidRPr="00EC20A0">
              <w:rPr>
                <w:spacing w:val="-5"/>
              </w:rPr>
              <w:t xml:space="preserve"> </w:t>
            </w:r>
            <w:r w:rsidRPr="00EC20A0">
              <w:t>the</w:t>
            </w:r>
            <w:r w:rsidRPr="00EC20A0">
              <w:rPr>
                <w:spacing w:val="-4"/>
              </w:rPr>
              <w:t xml:space="preserve"> </w:t>
            </w:r>
            <w:r w:rsidRPr="00EC20A0">
              <w:t>assistant</w:t>
            </w:r>
            <w:r w:rsidRPr="00EC20A0">
              <w:rPr>
                <w:spacing w:val="-4"/>
              </w:rPr>
              <w:t xml:space="preserve"> </w:t>
            </w:r>
            <w:r w:rsidRPr="00EC20A0">
              <w:t>director</w:t>
            </w:r>
            <w:r w:rsidRPr="00EC20A0">
              <w:rPr>
                <w:spacing w:val="-4"/>
              </w:rPr>
              <w:t xml:space="preserve"> </w:t>
            </w:r>
            <w:r w:rsidRPr="00EC20A0">
              <w:t>review</w:t>
            </w:r>
            <w:r w:rsidRPr="00EC20A0">
              <w:rPr>
                <w:spacing w:val="-6"/>
              </w:rPr>
              <w:t xml:space="preserve"> </w:t>
            </w:r>
            <w:r w:rsidRPr="00EC20A0">
              <w:rPr>
                <w:spacing w:val="-5"/>
              </w:rPr>
              <w:t>the</w:t>
            </w:r>
          </w:p>
        </w:tc>
        <w:tc>
          <w:tcPr>
            <w:tcW w:w="720" w:type="dxa"/>
            <w:tcBorders>
              <w:top w:val="single" w:sz="8" w:space="0" w:color="000000"/>
              <w:left w:val="single" w:sz="8" w:space="0" w:color="000000"/>
              <w:bottom w:val="single" w:sz="8" w:space="0" w:color="000000"/>
              <w:right w:val="single" w:sz="8" w:space="0" w:color="000000"/>
            </w:tcBorders>
            <w:shd w:val="clear" w:color="auto" w:fill="BEBEBE"/>
          </w:tcPr>
          <w:p w14:paraId="24D628AF"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shd w:val="clear" w:color="auto" w:fill="BEBEBE"/>
          </w:tcPr>
          <w:p w14:paraId="24D628B0" w14:textId="77777777" w:rsidR="00245300" w:rsidRPr="00EC20A0" w:rsidRDefault="00245300">
            <w:pPr>
              <w:pStyle w:val="TableParagraph"/>
              <w:rPr>
                <w:sz w:val="20"/>
              </w:rPr>
            </w:pPr>
          </w:p>
        </w:tc>
      </w:tr>
    </w:tbl>
    <w:p w14:paraId="24D628B2" w14:textId="77777777" w:rsidR="00245300" w:rsidRPr="00EC20A0" w:rsidRDefault="00245300">
      <w:pPr>
        <w:rPr>
          <w:sz w:val="20"/>
        </w:rPr>
        <w:sectPr w:rsidR="00245300" w:rsidRPr="00EC20A0">
          <w:pgSz w:w="12240" w:h="15840"/>
          <w:pgMar w:top="1340" w:right="460" w:bottom="940" w:left="560" w:header="721" w:footer="757" w:gutter="0"/>
          <w:cols w:space="720"/>
        </w:sectPr>
      </w:pPr>
    </w:p>
    <w:p w14:paraId="24D628B3" w14:textId="77777777" w:rsidR="00245300" w:rsidRPr="00EC20A0" w:rsidRDefault="00245300">
      <w:pPr>
        <w:pStyle w:val="BodyText"/>
        <w:spacing w:before="9"/>
        <w:rPr>
          <w:sz w:val="11"/>
        </w:rPr>
      </w:pPr>
    </w:p>
    <w:tbl>
      <w:tblPr>
        <w:tblW w:w="0" w:type="auto"/>
        <w:tblInd w:w="9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245300" w:rsidRPr="00EC20A0" w14:paraId="24D628BB" w14:textId="77777777">
        <w:trPr>
          <w:trHeight w:val="999"/>
        </w:trPr>
        <w:tc>
          <w:tcPr>
            <w:tcW w:w="7446" w:type="dxa"/>
            <w:tcBorders>
              <w:bottom w:val="double" w:sz="4" w:space="0" w:color="000000"/>
              <w:right w:val="single" w:sz="8" w:space="0" w:color="000000"/>
            </w:tcBorders>
            <w:shd w:val="clear" w:color="auto" w:fill="A6A6A6"/>
          </w:tcPr>
          <w:p w14:paraId="24D628B4" w14:textId="77777777" w:rsidR="00245300" w:rsidRPr="00EC20A0" w:rsidRDefault="00245300">
            <w:pPr>
              <w:pStyle w:val="TableParagraph"/>
              <w:rPr>
                <w:sz w:val="24"/>
              </w:rPr>
            </w:pPr>
          </w:p>
          <w:p w14:paraId="24D628B5" w14:textId="77777777" w:rsidR="00245300" w:rsidRPr="00EC20A0" w:rsidRDefault="00245300">
            <w:pPr>
              <w:pStyle w:val="TableParagraph"/>
              <w:spacing w:before="72"/>
              <w:rPr>
                <w:sz w:val="24"/>
              </w:rPr>
            </w:pPr>
          </w:p>
          <w:p w14:paraId="24D628B6" w14:textId="77777777" w:rsidR="00245300" w:rsidRPr="00EC20A0" w:rsidRDefault="00F17249">
            <w:pPr>
              <w:pStyle w:val="TableParagraph"/>
              <w:spacing w:before="1"/>
              <w:ind w:left="104"/>
              <w:rPr>
                <w:b/>
                <w:sz w:val="24"/>
              </w:rPr>
            </w:pPr>
            <w:r w:rsidRPr="00EC20A0">
              <w:rPr>
                <w:b/>
                <w:sz w:val="24"/>
              </w:rPr>
              <w:t>Section</w:t>
            </w:r>
            <w:r w:rsidRPr="00EC20A0">
              <w:rPr>
                <w:b/>
                <w:spacing w:val="-3"/>
                <w:sz w:val="24"/>
              </w:rPr>
              <w:t xml:space="preserve"> </w:t>
            </w:r>
            <w:r w:rsidRPr="00EC20A0">
              <w:rPr>
                <w:b/>
                <w:sz w:val="24"/>
              </w:rPr>
              <w:t>V:</w:t>
            </w:r>
            <w:r w:rsidRPr="00EC20A0">
              <w:rPr>
                <w:b/>
                <w:spacing w:val="-2"/>
                <w:sz w:val="24"/>
              </w:rPr>
              <w:t xml:space="preserve"> </w:t>
            </w:r>
            <w:r w:rsidRPr="00EC20A0">
              <w:rPr>
                <w:b/>
                <w:sz w:val="24"/>
              </w:rPr>
              <w:t>GAO’s</w:t>
            </w:r>
            <w:r w:rsidRPr="00EC20A0">
              <w:rPr>
                <w:b/>
                <w:spacing w:val="-3"/>
                <w:sz w:val="24"/>
              </w:rPr>
              <w:t xml:space="preserve"> </w:t>
            </w:r>
            <w:r w:rsidRPr="00EC20A0">
              <w:rPr>
                <w:b/>
                <w:sz w:val="24"/>
              </w:rPr>
              <w:t>Quality</w:t>
            </w:r>
            <w:r w:rsidRPr="00EC20A0">
              <w:rPr>
                <w:b/>
                <w:spacing w:val="-3"/>
                <w:sz w:val="24"/>
              </w:rPr>
              <w:t xml:space="preserve"> </w:t>
            </w:r>
            <w:r w:rsidRPr="00EC20A0">
              <w:rPr>
                <w:b/>
                <w:sz w:val="24"/>
              </w:rPr>
              <w:t>Control</w:t>
            </w:r>
            <w:r w:rsidRPr="00EC20A0">
              <w:rPr>
                <w:b/>
                <w:spacing w:val="-2"/>
                <w:sz w:val="24"/>
              </w:rPr>
              <w:t xml:space="preserve"> </w:t>
            </w:r>
            <w:r w:rsidRPr="00EC20A0">
              <w:rPr>
                <w:b/>
                <w:sz w:val="24"/>
              </w:rPr>
              <w:t>(GAO</w:t>
            </w:r>
            <w:r w:rsidRPr="00EC20A0">
              <w:rPr>
                <w:b/>
                <w:spacing w:val="-1"/>
                <w:sz w:val="24"/>
              </w:rPr>
              <w:t xml:space="preserve"> </w:t>
            </w:r>
            <w:r w:rsidRPr="00EC20A0">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24D628B7" w14:textId="77777777" w:rsidR="00245300" w:rsidRPr="00EC20A0" w:rsidRDefault="00F17249">
            <w:pPr>
              <w:pStyle w:val="TableParagraph"/>
              <w:spacing w:before="120"/>
              <w:ind w:left="137" w:right="115" w:hanging="8"/>
              <w:jc w:val="both"/>
              <w:rPr>
                <w:b/>
              </w:rPr>
            </w:pPr>
            <w:r w:rsidRPr="00EC20A0">
              <w:rPr>
                <w:b/>
                <w:spacing w:val="-4"/>
              </w:rPr>
              <w:t>Yes, No,* N/A</w:t>
            </w:r>
          </w:p>
        </w:tc>
        <w:tc>
          <w:tcPr>
            <w:tcW w:w="1350" w:type="dxa"/>
            <w:tcBorders>
              <w:left w:val="single" w:sz="8" w:space="0" w:color="000000"/>
              <w:bottom w:val="double" w:sz="4" w:space="0" w:color="000000"/>
            </w:tcBorders>
            <w:shd w:val="clear" w:color="auto" w:fill="A6A6A6"/>
          </w:tcPr>
          <w:p w14:paraId="24D628B8" w14:textId="77777777" w:rsidR="00245300" w:rsidRPr="00EC20A0" w:rsidRDefault="00245300">
            <w:pPr>
              <w:pStyle w:val="TableParagraph"/>
            </w:pPr>
          </w:p>
          <w:p w14:paraId="24D628B9" w14:textId="77777777" w:rsidR="00245300" w:rsidRPr="00EC20A0" w:rsidRDefault="00245300">
            <w:pPr>
              <w:pStyle w:val="TableParagraph"/>
              <w:spacing w:before="120"/>
            </w:pPr>
          </w:p>
          <w:p w14:paraId="24D628BA"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8BF" w14:textId="77777777">
        <w:trPr>
          <w:trHeight w:val="493"/>
        </w:trPr>
        <w:tc>
          <w:tcPr>
            <w:tcW w:w="7446" w:type="dxa"/>
            <w:tcBorders>
              <w:top w:val="double" w:sz="4" w:space="0" w:color="000000"/>
              <w:bottom w:val="single" w:sz="8" w:space="0" w:color="000000"/>
              <w:right w:val="single" w:sz="6" w:space="0" w:color="000000"/>
            </w:tcBorders>
          </w:tcPr>
          <w:p w14:paraId="24D628BC" w14:textId="77777777" w:rsidR="00245300" w:rsidRPr="00EC20A0" w:rsidRDefault="00F17249">
            <w:pPr>
              <w:pStyle w:val="TableParagraph"/>
              <w:tabs>
                <w:tab w:val="left" w:pos="1334"/>
              </w:tabs>
              <w:spacing w:before="120"/>
              <w:ind w:left="925"/>
            </w:pPr>
            <w:r w:rsidRPr="00EC20A0">
              <w:rPr>
                <w:spacing w:val="-5"/>
              </w:rPr>
              <w:t>a.</w:t>
            </w:r>
            <w:r w:rsidRPr="00EC20A0">
              <w:tab/>
              <w:t>entity</w:t>
            </w:r>
            <w:r w:rsidRPr="00EC20A0">
              <w:rPr>
                <w:spacing w:val="-7"/>
              </w:rPr>
              <w:t xml:space="preserve"> </w:t>
            </w:r>
            <w:r w:rsidRPr="00EC20A0">
              <w:t>profile</w:t>
            </w:r>
            <w:r w:rsidRPr="00EC20A0">
              <w:rPr>
                <w:spacing w:val="-7"/>
              </w:rPr>
              <w:t xml:space="preserve"> </w:t>
            </w:r>
            <w:r w:rsidRPr="00EC20A0">
              <w:t>(FAM</w:t>
            </w:r>
            <w:r w:rsidRPr="00EC20A0">
              <w:rPr>
                <w:spacing w:val="-7"/>
              </w:rPr>
              <w:t xml:space="preserve"> </w:t>
            </w:r>
            <w:r w:rsidRPr="00EC20A0">
              <w:rPr>
                <w:spacing w:val="-2"/>
              </w:rPr>
              <w:t>290);</w:t>
            </w:r>
          </w:p>
        </w:tc>
        <w:tc>
          <w:tcPr>
            <w:tcW w:w="720" w:type="dxa"/>
            <w:tcBorders>
              <w:top w:val="double" w:sz="4" w:space="0" w:color="000000"/>
              <w:left w:val="single" w:sz="6" w:space="0" w:color="000000"/>
              <w:bottom w:val="single" w:sz="8" w:space="0" w:color="000000"/>
              <w:right w:val="single" w:sz="6" w:space="0" w:color="000000"/>
            </w:tcBorders>
          </w:tcPr>
          <w:p w14:paraId="24D628BD" w14:textId="77777777" w:rsidR="00245300" w:rsidRPr="00EC20A0" w:rsidRDefault="00245300">
            <w:pPr>
              <w:pStyle w:val="TableParagraph"/>
              <w:rPr>
                <w:sz w:val="20"/>
              </w:rPr>
            </w:pPr>
          </w:p>
        </w:tc>
        <w:tc>
          <w:tcPr>
            <w:tcW w:w="1350" w:type="dxa"/>
            <w:tcBorders>
              <w:top w:val="double" w:sz="4" w:space="0" w:color="000000"/>
              <w:left w:val="single" w:sz="6" w:space="0" w:color="000000"/>
              <w:bottom w:val="single" w:sz="8" w:space="0" w:color="000000"/>
            </w:tcBorders>
          </w:tcPr>
          <w:p w14:paraId="24D628BE" w14:textId="77777777" w:rsidR="00245300" w:rsidRPr="00EC20A0" w:rsidRDefault="00245300">
            <w:pPr>
              <w:pStyle w:val="TableParagraph"/>
              <w:rPr>
                <w:sz w:val="20"/>
              </w:rPr>
            </w:pPr>
          </w:p>
        </w:tc>
      </w:tr>
      <w:tr w:rsidR="00245300" w:rsidRPr="00EC20A0" w14:paraId="24D628C3" w14:textId="77777777">
        <w:trPr>
          <w:trHeight w:val="492"/>
        </w:trPr>
        <w:tc>
          <w:tcPr>
            <w:tcW w:w="7446" w:type="dxa"/>
            <w:tcBorders>
              <w:top w:val="single" w:sz="8" w:space="0" w:color="000000"/>
              <w:bottom w:val="single" w:sz="8" w:space="0" w:color="000000"/>
              <w:right w:val="single" w:sz="6" w:space="0" w:color="000000"/>
            </w:tcBorders>
          </w:tcPr>
          <w:p w14:paraId="24D628C0" w14:textId="77777777" w:rsidR="00245300" w:rsidRPr="00EC20A0" w:rsidRDefault="00F17249">
            <w:pPr>
              <w:pStyle w:val="TableParagraph"/>
              <w:tabs>
                <w:tab w:val="left" w:pos="1310"/>
              </w:tabs>
              <w:spacing w:before="119"/>
              <w:ind w:left="925"/>
            </w:pPr>
            <w:r w:rsidRPr="00EC20A0">
              <w:rPr>
                <w:spacing w:val="-5"/>
              </w:rPr>
              <w:t>b.</w:t>
            </w:r>
            <w:r w:rsidRPr="00EC20A0">
              <w:tab/>
              <w:t>audit</w:t>
            </w:r>
            <w:r w:rsidRPr="00EC20A0">
              <w:rPr>
                <w:spacing w:val="-8"/>
              </w:rPr>
              <w:t xml:space="preserve"> </w:t>
            </w:r>
            <w:r w:rsidRPr="00EC20A0">
              <w:t>strategy,</w:t>
            </w:r>
            <w:r w:rsidRPr="00EC20A0">
              <w:rPr>
                <w:spacing w:val="-8"/>
              </w:rPr>
              <w:t xml:space="preserve"> </w:t>
            </w:r>
            <w:r w:rsidRPr="00EC20A0">
              <w:t>including</w:t>
            </w:r>
            <w:r w:rsidRPr="00EC20A0">
              <w:rPr>
                <w:spacing w:val="-9"/>
              </w:rPr>
              <w:t xml:space="preserve"> </w:t>
            </w:r>
            <w:r w:rsidRPr="00EC20A0">
              <w:t>audit</w:t>
            </w:r>
            <w:r w:rsidRPr="00EC20A0">
              <w:rPr>
                <w:spacing w:val="-8"/>
              </w:rPr>
              <w:t xml:space="preserve"> </w:t>
            </w:r>
            <w:r w:rsidRPr="00EC20A0">
              <w:t>sampling</w:t>
            </w:r>
            <w:r w:rsidRPr="00EC20A0">
              <w:rPr>
                <w:spacing w:val="-8"/>
              </w:rPr>
              <w:t xml:space="preserve"> </w:t>
            </w:r>
            <w:r w:rsidRPr="00EC20A0">
              <w:t>approach</w:t>
            </w:r>
            <w:r w:rsidRPr="00EC20A0">
              <w:rPr>
                <w:spacing w:val="-9"/>
              </w:rPr>
              <w:t xml:space="preserve"> </w:t>
            </w:r>
            <w:r w:rsidRPr="00EC20A0">
              <w:t>(FAM</w:t>
            </w:r>
            <w:r w:rsidRPr="00EC20A0">
              <w:rPr>
                <w:spacing w:val="-9"/>
              </w:rPr>
              <w:t xml:space="preserve"> </w:t>
            </w:r>
            <w:r w:rsidRPr="00EC20A0">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24D628C1"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C2" w14:textId="77777777" w:rsidR="00245300" w:rsidRPr="00EC20A0" w:rsidRDefault="00245300">
            <w:pPr>
              <w:pStyle w:val="TableParagraph"/>
              <w:rPr>
                <w:sz w:val="20"/>
              </w:rPr>
            </w:pPr>
          </w:p>
        </w:tc>
      </w:tr>
      <w:tr w:rsidR="00245300" w:rsidRPr="00EC20A0" w14:paraId="24D628C7" w14:textId="77777777">
        <w:trPr>
          <w:trHeight w:val="493"/>
        </w:trPr>
        <w:tc>
          <w:tcPr>
            <w:tcW w:w="7446" w:type="dxa"/>
            <w:tcBorders>
              <w:top w:val="single" w:sz="8" w:space="0" w:color="000000"/>
              <w:bottom w:val="single" w:sz="8" w:space="0" w:color="000000"/>
              <w:right w:val="single" w:sz="6" w:space="0" w:color="000000"/>
            </w:tcBorders>
          </w:tcPr>
          <w:p w14:paraId="24D628C4" w14:textId="77777777" w:rsidR="00245300" w:rsidRPr="00EC20A0" w:rsidRDefault="00F17249">
            <w:pPr>
              <w:pStyle w:val="TableParagraph"/>
              <w:tabs>
                <w:tab w:val="left" w:pos="1334"/>
              </w:tabs>
              <w:spacing w:before="121"/>
              <w:ind w:left="925"/>
            </w:pPr>
            <w:r w:rsidRPr="00EC20A0">
              <w:rPr>
                <w:spacing w:val="-5"/>
              </w:rPr>
              <w:t>c.</w:t>
            </w:r>
            <w:r w:rsidRPr="00EC20A0">
              <w:tab/>
              <w:t>LIRA</w:t>
            </w:r>
            <w:r w:rsidRPr="00EC20A0">
              <w:rPr>
                <w:spacing w:val="-6"/>
              </w:rPr>
              <w:t xml:space="preserve"> </w:t>
            </w:r>
            <w:r w:rsidRPr="00EC20A0">
              <w:t>forms</w:t>
            </w:r>
            <w:r w:rsidRPr="00EC20A0">
              <w:rPr>
                <w:spacing w:val="-5"/>
              </w:rPr>
              <w:t xml:space="preserve"> </w:t>
            </w:r>
            <w:r w:rsidRPr="00EC20A0">
              <w:t>(FAM</w:t>
            </w:r>
            <w:r w:rsidRPr="00EC20A0">
              <w:rPr>
                <w:spacing w:val="-7"/>
              </w:rPr>
              <w:t xml:space="preserve"> </w:t>
            </w:r>
            <w:r w:rsidRPr="00EC20A0">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24D628C5"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C6" w14:textId="77777777" w:rsidR="00245300" w:rsidRPr="00EC20A0" w:rsidRDefault="00245300">
            <w:pPr>
              <w:pStyle w:val="TableParagraph"/>
              <w:rPr>
                <w:sz w:val="20"/>
              </w:rPr>
            </w:pPr>
          </w:p>
        </w:tc>
      </w:tr>
      <w:tr w:rsidR="00245300" w:rsidRPr="00EC20A0" w14:paraId="24D628CB" w14:textId="77777777">
        <w:trPr>
          <w:trHeight w:val="492"/>
        </w:trPr>
        <w:tc>
          <w:tcPr>
            <w:tcW w:w="7446" w:type="dxa"/>
            <w:tcBorders>
              <w:top w:val="single" w:sz="8" w:space="0" w:color="000000"/>
              <w:bottom w:val="single" w:sz="8" w:space="0" w:color="000000"/>
              <w:right w:val="single" w:sz="6" w:space="0" w:color="000000"/>
            </w:tcBorders>
          </w:tcPr>
          <w:p w14:paraId="24D628C8" w14:textId="77777777" w:rsidR="00245300" w:rsidRPr="00EC20A0" w:rsidRDefault="00F17249">
            <w:pPr>
              <w:pStyle w:val="TableParagraph"/>
              <w:tabs>
                <w:tab w:val="left" w:pos="1334"/>
              </w:tabs>
              <w:spacing w:before="119"/>
              <w:ind w:left="925"/>
            </w:pPr>
            <w:r w:rsidRPr="00EC20A0">
              <w:rPr>
                <w:spacing w:val="-5"/>
              </w:rPr>
              <w:t>d.</w:t>
            </w:r>
            <w:r w:rsidRPr="00EC20A0">
              <w:tab/>
              <w:t>initial</w:t>
            </w:r>
            <w:r w:rsidRPr="00EC20A0">
              <w:rPr>
                <w:spacing w:val="-7"/>
              </w:rPr>
              <w:t xml:space="preserve"> </w:t>
            </w:r>
            <w:r w:rsidRPr="00EC20A0">
              <w:t>audit</w:t>
            </w:r>
            <w:r w:rsidRPr="00EC20A0">
              <w:rPr>
                <w:spacing w:val="-7"/>
              </w:rPr>
              <w:t xml:space="preserve"> </w:t>
            </w:r>
            <w:r w:rsidRPr="00EC20A0">
              <w:t>plan</w:t>
            </w:r>
            <w:r w:rsidRPr="00EC20A0">
              <w:rPr>
                <w:spacing w:val="-7"/>
              </w:rPr>
              <w:t xml:space="preserve"> </w:t>
            </w:r>
            <w:r w:rsidRPr="00EC20A0">
              <w:t>with</w:t>
            </w:r>
            <w:r w:rsidRPr="00EC20A0">
              <w:rPr>
                <w:spacing w:val="-7"/>
              </w:rPr>
              <w:t xml:space="preserve"> </w:t>
            </w:r>
            <w:r w:rsidRPr="00EC20A0">
              <w:t>procedures</w:t>
            </w:r>
            <w:r w:rsidRPr="00EC20A0">
              <w:rPr>
                <w:spacing w:val="-7"/>
              </w:rPr>
              <w:t xml:space="preserve"> </w:t>
            </w:r>
            <w:r w:rsidRPr="00EC20A0">
              <w:t>(FAM</w:t>
            </w:r>
            <w:r w:rsidRPr="00EC20A0">
              <w:rPr>
                <w:spacing w:val="-8"/>
              </w:rPr>
              <w:t xml:space="preserve"> </w:t>
            </w:r>
            <w:r w:rsidRPr="00EC20A0">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24D628C9"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CA" w14:textId="77777777" w:rsidR="00245300" w:rsidRPr="00EC20A0" w:rsidRDefault="00245300">
            <w:pPr>
              <w:pStyle w:val="TableParagraph"/>
              <w:rPr>
                <w:sz w:val="20"/>
              </w:rPr>
            </w:pPr>
          </w:p>
        </w:tc>
      </w:tr>
      <w:tr w:rsidR="00245300" w:rsidRPr="00EC20A0" w14:paraId="24D628CF" w14:textId="77777777">
        <w:trPr>
          <w:trHeight w:val="493"/>
        </w:trPr>
        <w:tc>
          <w:tcPr>
            <w:tcW w:w="7446" w:type="dxa"/>
            <w:tcBorders>
              <w:top w:val="single" w:sz="8" w:space="0" w:color="000000"/>
              <w:bottom w:val="single" w:sz="8" w:space="0" w:color="000000"/>
              <w:right w:val="single" w:sz="6" w:space="0" w:color="000000"/>
            </w:tcBorders>
          </w:tcPr>
          <w:p w14:paraId="24D628CC" w14:textId="77777777" w:rsidR="00245300" w:rsidRPr="00EC20A0" w:rsidRDefault="00F17249">
            <w:pPr>
              <w:pStyle w:val="TableParagraph"/>
              <w:tabs>
                <w:tab w:val="left" w:pos="1334"/>
              </w:tabs>
              <w:spacing w:before="121"/>
              <w:ind w:left="925"/>
            </w:pPr>
            <w:r w:rsidRPr="00EC20A0">
              <w:rPr>
                <w:spacing w:val="-5"/>
              </w:rPr>
              <w:t>e.</w:t>
            </w:r>
            <w:r w:rsidRPr="00EC20A0">
              <w:tab/>
              <w:t>line</w:t>
            </w:r>
            <w:r w:rsidRPr="00EC20A0">
              <w:rPr>
                <w:spacing w:val="-8"/>
              </w:rPr>
              <w:t xml:space="preserve"> </w:t>
            </w:r>
            <w:r w:rsidRPr="00EC20A0">
              <w:t>item/account</w:t>
            </w:r>
            <w:r w:rsidRPr="00EC20A0">
              <w:rPr>
                <w:spacing w:val="-7"/>
              </w:rPr>
              <w:t xml:space="preserve"> </w:t>
            </w:r>
            <w:r w:rsidRPr="00EC20A0">
              <w:t>lead</w:t>
            </w:r>
            <w:r w:rsidRPr="00EC20A0">
              <w:rPr>
                <w:spacing w:val="-8"/>
              </w:rPr>
              <w:t xml:space="preserve"> </w:t>
            </w:r>
            <w:r w:rsidRPr="00EC20A0">
              <w:rPr>
                <w:spacing w:val="-2"/>
              </w:rPr>
              <w:t>schedules;</w:t>
            </w:r>
          </w:p>
        </w:tc>
        <w:tc>
          <w:tcPr>
            <w:tcW w:w="720" w:type="dxa"/>
            <w:tcBorders>
              <w:top w:val="single" w:sz="8" w:space="0" w:color="000000"/>
              <w:left w:val="single" w:sz="6" w:space="0" w:color="000000"/>
              <w:bottom w:val="single" w:sz="8" w:space="0" w:color="000000"/>
              <w:right w:val="single" w:sz="6" w:space="0" w:color="000000"/>
            </w:tcBorders>
          </w:tcPr>
          <w:p w14:paraId="24D628CD"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CE" w14:textId="77777777" w:rsidR="00245300" w:rsidRPr="00EC20A0" w:rsidRDefault="00245300">
            <w:pPr>
              <w:pStyle w:val="TableParagraph"/>
              <w:rPr>
                <w:sz w:val="20"/>
              </w:rPr>
            </w:pPr>
          </w:p>
        </w:tc>
      </w:tr>
      <w:tr w:rsidR="00245300" w:rsidRPr="00EC20A0" w14:paraId="24D628D3" w14:textId="77777777">
        <w:trPr>
          <w:trHeight w:val="492"/>
        </w:trPr>
        <w:tc>
          <w:tcPr>
            <w:tcW w:w="7446" w:type="dxa"/>
            <w:tcBorders>
              <w:top w:val="single" w:sz="8" w:space="0" w:color="000000"/>
              <w:bottom w:val="single" w:sz="8" w:space="0" w:color="000000"/>
              <w:right w:val="single" w:sz="6" w:space="0" w:color="000000"/>
            </w:tcBorders>
          </w:tcPr>
          <w:p w14:paraId="24D628D0" w14:textId="77777777" w:rsidR="00245300" w:rsidRPr="00EC20A0" w:rsidRDefault="00F17249">
            <w:pPr>
              <w:pStyle w:val="TableParagraph"/>
              <w:tabs>
                <w:tab w:val="left" w:pos="1334"/>
              </w:tabs>
              <w:spacing w:before="119"/>
              <w:ind w:left="925"/>
            </w:pPr>
            <w:r w:rsidRPr="00EC20A0">
              <w:rPr>
                <w:spacing w:val="-5"/>
              </w:rPr>
              <w:t>f.</w:t>
            </w:r>
            <w:r w:rsidRPr="00EC20A0">
              <w:tab/>
              <w:t>completed</w:t>
            </w:r>
            <w:r w:rsidRPr="00EC20A0">
              <w:rPr>
                <w:spacing w:val="-8"/>
              </w:rPr>
              <w:t xml:space="preserve"> </w:t>
            </w:r>
            <w:r w:rsidRPr="00EC20A0">
              <w:t>audit</w:t>
            </w:r>
            <w:r w:rsidRPr="00EC20A0">
              <w:rPr>
                <w:spacing w:val="-8"/>
              </w:rPr>
              <w:t xml:space="preserve"> </w:t>
            </w:r>
            <w:r w:rsidRPr="00EC20A0">
              <w:t>plan</w:t>
            </w:r>
            <w:r w:rsidRPr="00EC20A0">
              <w:rPr>
                <w:spacing w:val="-7"/>
              </w:rPr>
              <w:t xml:space="preserve"> </w:t>
            </w:r>
            <w:r w:rsidRPr="00EC20A0">
              <w:t>with</w:t>
            </w:r>
            <w:r w:rsidRPr="00EC20A0">
              <w:rPr>
                <w:spacing w:val="-8"/>
              </w:rPr>
              <w:t xml:space="preserve"> </w:t>
            </w:r>
            <w:r w:rsidRPr="00EC20A0">
              <w:t>procedures</w:t>
            </w:r>
            <w:r w:rsidRPr="00EC20A0">
              <w:rPr>
                <w:spacing w:val="-7"/>
              </w:rPr>
              <w:t xml:space="preserve"> </w:t>
            </w:r>
            <w:r w:rsidRPr="00EC20A0">
              <w:t>(FAM</w:t>
            </w:r>
            <w:r w:rsidRPr="00EC20A0">
              <w:rPr>
                <w:spacing w:val="-9"/>
              </w:rPr>
              <w:t xml:space="preserve"> </w:t>
            </w:r>
            <w:r w:rsidRPr="00EC20A0">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24D628D1"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D2" w14:textId="77777777" w:rsidR="00245300" w:rsidRPr="00EC20A0" w:rsidRDefault="00245300">
            <w:pPr>
              <w:pStyle w:val="TableParagraph"/>
              <w:rPr>
                <w:sz w:val="20"/>
              </w:rPr>
            </w:pPr>
          </w:p>
        </w:tc>
      </w:tr>
      <w:tr w:rsidR="00245300" w:rsidRPr="00EC20A0" w14:paraId="24D628D7" w14:textId="77777777">
        <w:trPr>
          <w:trHeight w:val="493"/>
        </w:trPr>
        <w:tc>
          <w:tcPr>
            <w:tcW w:w="7446" w:type="dxa"/>
            <w:tcBorders>
              <w:top w:val="single" w:sz="8" w:space="0" w:color="000000"/>
              <w:bottom w:val="single" w:sz="8" w:space="0" w:color="000000"/>
              <w:right w:val="single" w:sz="6" w:space="0" w:color="000000"/>
            </w:tcBorders>
          </w:tcPr>
          <w:p w14:paraId="24D628D4" w14:textId="77777777" w:rsidR="00245300" w:rsidRPr="00EC20A0" w:rsidRDefault="00F17249">
            <w:pPr>
              <w:pStyle w:val="TableParagraph"/>
              <w:tabs>
                <w:tab w:val="left" w:pos="1334"/>
              </w:tabs>
              <w:spacing w:before="121"/>
              <w:ind w:left="925"/>
            </w:pPr>
            <w:r w:rsidRPr="00EC20A0">
              <w:rPr>
                <w:spacing w:val="-5"/>
              </w:rPr>
              <w:t>g.</w:t>
            </w:r>
            <w:r w:rsidRPr="00EC20A0">
              <w:tab/>
              <w:t>SCE</w:t>
            </w:r>
            <w:r w:rsidRPr="00EC20A0">
              <w:rPr>
                <w:spacing w:val="-8"/>
              </w:rPr>
              <w:t xml:space="preserve"> </w:t>
            </w:r>
            <w:r w:rsidRPr="00EC20A0">
              <w:t>worksheets</w:t>
            </w:r>
            <w:r w:rsidRPr="00EC20A0">
              <w:rPr>
                <w:spacing w:val="-8"/>
              </w:rPr>
              <w:t xml:space="preserve"> </w:t>
            </w:r>
            <w:r w:rsidRPr="00EC20A0">
              <w:t>(FAM</w:t>
            </w:r>
            <w:r w:rsidRPr="00EC20A0">
              <w:rPr>
                <w:spacing w:val="-9"/>
              </w:rPr>
              <w:t xml:space="preserve"> </w:t>
            </w:r>
            <w:r w:rsidRPr="00EC20A0">
              <w:rPr>
                <w:spacing w:val="-2"/>
              </w:rPr>
              <w:t>390);</w:t>
            </w:r>
          </w:p>
        </w:tc>
        <w:tc>
          <w:tcPr>
            <w:tcW w:w="720" w:type="dxa"/>
            <w:tcBorders>
              <w:top w:val="single" w:sz="8" w:space="0" w:color="000000"/>
              <w:left w:val="single" w:sz="6" w:space="0" w:color="000000"/>
              <w:bottom w:val="single" w:sz="8" w:space="0" w:color="000000"/>
              <w:right w:val="single" w:sz="6" w:space="0" w:color="000000"/>
            </w:tcBorders>
          </w:tcPr>
          <w:p w14:paraId="24D628D5"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D6" w14:textId="77777777" w:rsidR="00245300" w:rsidRPr="00EC20A0" w:rsidRDefault="00245300">
            <w:pPr>
              <w:pStyle w:val="TableParagraph"/>
              <w:rPr>
                <w:sz w:val="20"/>
              </w:rPr>
            </w:pPr>
          </w:p>
        </w:tc>
      </w:tr>
      <w:tr w:rsidR="00245300" w:rsidRPr="00EC20A0" w14:paraId="24D628DB" w14:textId="77777777">
        <w:trPr>
          <w:trHeight w:val="492"/>
        </w:trPr>
        <w:tc>
          <w:tcPr>
            <w:tcW w:w="7446" w:type="dxa"/>
            <w:tcBorders>
              <w:top w:val="single" w:sz="8" w:space="0" w:color="000000"/>
              <w:bottom w:val="single" w:sz="8" w:space="0" w:color="000000"/>
              <w:right w:val="single" w:sz="6" w:space="0" w:color="000000"/>
            </w:tcBorders>
          </w:tcPr>
          <w:p w14:paraId="24D628D8" w14:textId="77777777" w:rsidR="00245300" w:rsidRPr="00EC20A0" w:rsidRDefault="00F17249">
            <w:pPr>
              <w:pStyle w:val="TableParagraph"/>
              <w:tabs>
                <w:tab w:val="left" w:pos="1334"/>
              </w:tabs>
              <w:spacing w:before="119"/>
              <w:ind w:left="925"/>
            </w:pPr>
            <w:r w:rsidRPr="00EC20A0">
              <w:rPr>
                <w:spacing w:val="-5"/>
              </w:rPr>
              <w:t>h.</w:t>
            </w:r>
            <w:r w:rsidRPr="00EC20A0">
              <w:tab/>
              <w:t>cycle</w:t>
            </w:r>
            <w:r w:rsidRPr="00EC20A0">
              <w:rPr>
                <w:spacing w:val="-9"/>
              </w:rPr>
              <w:t xml:space="preserve"> </w:t>
            </w:r>
            <w:r w:rsidRPr="00EC20A0">
              <w:t>summary</w:t>
            </w:r>
            <w:r w:rsidRPr="00EC20A0">
              <w:rPr>
                <w:spacing w:val="-7"/>
              </w:rPr>
              <w:t xml:space="preserve"> </w:t>
            </w:r>
            <w:r w:rsidRPr="00EC20A0">
              <w:t>memos</w:t>
            </w:r>
            <w:r w:rsidRPr="00EC20A0">
              <w:rPr>
                <w:spacing w:val="-8"/>
              </w:rPr>
              <w:t xml:space="preserve"> </w:t>
            </w:r>
            <w:r w:rsidRPr="00EC20A0">
              <w:t>(FAM</w:t>
            </w:r>
            <w:r w:rsidRPr="00EC20A0">
              <w:rPr>
                <w:spacing w:val="-8"/>
              </w:rPr>
              <w:t xml:space="preserve"> </w:t>
            </w:r>
            <w:r w:rsidRPr="00EC20A0">
              <w:rPr>
                <w:spacing w:val="-2"/>
              </w:rPr>
              <w:t>490);</w:t>
            </w:r>
          </w:p>
        </w:tc>
        <w:tc>
          <w:tcPr>
            <w:tcW w:w="720" w:type="dxa"/>
            <w:tcBorders>
              <w:top w:val="single" w:sz="8" w:space="0" w:color="000000"/>
              <w:left w:val="single" w:sz="6" w:space="0" w:color="000000"/>
              <w:bottom w:val="single" w:sz="8" w:space="0" w:color="000000"/>
              <w:right w:val="single" w:sz="6" w:space="0" w:color="000000"/>
            </w:tcBorders>
          </w:tcPr>
          <w:p w14:paraId="24D628D9"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DA" w14:textId="77777777" w:rsidR="00245300" w:rsidRPr="00EC20A0" w:rsidRDefault="00245300">
            <w:pPr>
              <w:pStyle w:val="TableParagraph"/>
              <w:rPr>
                <w:sz w:val="20"/>
              </w:rPr>
            </w:pPr>
          </w:p>
        </w:tc>
      </w:tr>
      <w:tr w:rsidR="00245300" w:rsidRPr="00EC20A0" w14:paraId="24D628DF" w14:textId="77777777">
        <w:trPr>
          <w:trHeight w:val="493"/>
        </w:trPr>
        <w:tc>
          <w:tcPr>
            <w:tcW w:w="7446" w:type="dxa"/>
            <w:tcBorders>
              <w:top w:val="single" w:sz="8" w:space="0" w:color="000000"/>
              <w:bottom w:val="single" w:sz="8" w:space="0" w:color="000000"/>
              <w:right w:val="single" w:sz="6" w:space="0" w:color="000000"/>
            </w:tcBorders>
          </w:tcPr>
          <w:p w14:paraId="24D628DC" w14:textId="77777777" w:rsidR="00245300" w:rsidRPr="00EC20A0" w:rsidRDefault="00F17249">
            <w:pPr>
              <w:pStyle w:val="TableParagraph"/>
              <w:tabs>
                <w:tab w:val="left" w:pos="1334"/>
              </w:tabs>
              <w:spacing w:before="121"/>
              <w:ind w:left="925"/>
            </w:pPr>
            <w:r w:rsidRPr="00EC20A0">
              <w:rPr>
                <w:spacing w:val="-5"/>
              </w:rPr>
              <w:t>i.</w:t>
            </w:r>
            <w:r w:rsidRPr="00EC20A0">
              <w:tab/>
            </w:r>
            <w:r w:rsidRPr="00EC20A0">
              <w:t>audit</w:t>
            </w:r>
            <w:r w:rsidRPr="00EC20A0">
              <w:rPr>
                <w:spacing w:val="-9"/>
              </w:rPr>
              <w:t xml:space="preserve"> </w:t>
            </w:r>
            <w:r w:rsidRPr="00EC20A0">
              <w:t>summary</w:t>
            </w:r>
            <w:r w:rsidRPr="00EC20A0">
              <w:rPr>
                <w:spacing w:val="-9"/>
              </w:rPr>
              <w:t xml:space="preserve"> </w:t>
            </w:r>
            <w:r w:rsidRPr="00EC20A0">
              <w:t>memorandum</w:t>
            </w:r>
            <w:r w:rsidRPr="00EC20A0">
              <w:rPr>
                <w:spacing w:val="-9"/>
              </w:rPr>
              <w:t xml:space="preserve"> </w:t>
            </w:r>
            <w:r w:rsidRPr="00EC20A0">
              <w:t>(FAM</w:t>
            </w:r>
            <w:r w:rsidRPr="00EC20A0">
              <w:rPr>
                <w:spacing w:val="-9"/>
              </w:rPr>
              <w:t xml:space="preserve"> </w:t>
            </w:r>
            <w:r w:rsidRPr="00EC20A0">
              <w:rPr>
                <w:spacing w:val="-2"/>
              </w:rPr>
              <w:t>590);</w:t>
            </w:r>
          </w:p>
        </w:tc>
        <w:tc>
          <w:tcPr>
            <w:tcW w:w="720" w:type="dxa"/>
            <w:tcBorders>
              <w:top w:val="single" w:sz="8" w:space="0" w:color="000000"/>
              <w:left w:val="single" w:sz="6" w:space="0" w:color="000000"/>
              <w:bottom w:val="single" w:sz="8" w:space="0" w:color="000000"/>
              <w:right w:val="single" w:sz="6" w:space="0" w:color="000000"/>
            </w:tcBorders>
          </w:tcPr>
          <w:p w14:paraId="24D628DD"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DE" w14:textId="77777777" w:rsidR="00245300" w:rsidRPr="00EC20A0" w:rsidRDefault="00245300">
            <w:pPr>
              <w:pStyle w:val="TableParagraph"/>
              <w:rPr>
                <w:sz w:val="20"/>
              </w:rPr>
            </w:pPr>
          </w:p>
        </w:tc>
      </w:tr>
      <w:tr w:rsidR="00245300" w:rsidRPr="00EC20A0" w14:paraId="24D628E3" w14:textId="77777777">
        <w:trPr>
          <w:trHeight w:val="2010"/>
        </w:trPr>
        <w:tc>
          <w:tcPr>
            <w:tcW w:w="7446" w:type="dxa"/>
            <w:tcBorders>
              <w:top w:val="single" w:sz="8" w:space="0" w:color="000000"/>
              <w:bottom w:val="single" w:sz="8" w:space="0" w:color="000000"/>
              <w:right w:val="single" w:sz="6" w:space="0" w:color="000000"/>
            </w:tcBorders>
          </w:tcPr>
          <w:p w14:paraId="24D628E0" w14:textId="77777777" w:rsidR="00245300" w:rsidRPr="00EC20A0" w:rsidRDefault="00F17249">
            <w:pPr>
              <w:pStyle w:val="TableParagraph"/>
              <w:tabs>
                <w:tab w:val="left" w:pos="1310"/>
              </w:tabs>
              <w:spacing w:before="119"/>
              <w:ind w:left="1285" w:right="344" w:hanging="360"/>
            </w:pPr>
            <w:r w:rsidRPr="00EC20A0">
              <w:rPr>
                <w:spacing w:val="-6"/>
              </w:rPr>
              <w:t>j.</w:t>
            </w:r>
            <w:r w:rsidRPr="00EC20A0">
              <w:tab/>
            </w:r>
            <w:r w:rsidRPr="00EC20A0">
              <w:tab/>
              <w:t>documentation used to evaluate whether the financial statements are presented in accordance with U.S. GAAP (e.g., Federal Financial Reporting Checklist for statements using U.S. GAAP promulgated by FASAB,</w:t>
            </w:r>
            <w:hyperlink w:anchor="_bookmark231" w:history="1">
              <w:r w:rsidRPr="00EC20A0">
                <w:rPr>
                  <w:position w:val="7"/>
                  <w:sz w:val="14"/>
                </w:rPr>
                <w:t>16</w:t>
              </w:r>
            </w:hyperlink>
            <w:r w:rsidRPr="00EC20A0">
              <w:rPr>
                <w:spacing w:val="40"/>
                <w:position w:val="7"/>
                <w:sz w:val="14"/>
              </w:rPr>
              <w:t xml:space="preserve"> </w:t>
            </w:r>
            <w:r w:rsidRPr="00EC20A0">
              <w:t>financial reporting</w:t>
            </w:r>
            <w:r w:rsidRPr="00EC20A0">
              <w:rPr>
                <w:spacing w:val="-6"/>
              </w:rPr>
              <w:t xml:space="preserve"> </w:t>
            </w:r>
            <w:r w:rsidRPr="00EC20A0">
              <w:t>and</w:t>
            </w:r>
            <w:r w:rsidRPr="00EC20A0">
              <w:rPr>
                <w:spacing w:val="-6"/>
              </w:rPr>
              <w:t xml:space="preserve"> </w:t>
            </w:r>
            <w:r w:rsidRPr="00EC20A0">
              <w:t>disclosure</w:t>
            </w:r>
            <w:r w:rsidRPr="00EC20A0">
              <w:rPr>
                <w:spacing w:val="-6"/>
              </w:rPr>
              <w:t xml:space="preserve"> </w:t>
            </w:r>
            <w:r w:rsidRPr="00EC20A0">
              <w:t>checklist</w:t>
            </w:r>
            <w:r w:rsidRPr="00EC20A0">
              <w:rPr>
                <w:spacing w:val="-6"/>
              </w:rPr>
              <w:t xml:space="preserve"> </w:t>
            </w:r>
            <w:r w:rsidRPr="00EC20A0">
              <w:t>for</w:t>
            </w:r>
            <w:r w:rsidRPr="00EC20A0">
              <w:rPr>
                <w:spacing w:val="-6"/>
              </w:rPr>
              <w:t xml:space="preserve"> </w:t>
            </w:r>
            <w:r w:rsidRPr="00EC20A0">
              <w:t>statements</w:t>
            </w:r>
            <w:r w:rsidRPr="00EC20A0">
              <w:rPr>
                <w:spacing w:val="-6"/>
              </w:rPr>
              <w:t xml:space="preserve"> </w:t>
            </w:r>
            <w:r w:rsidRPr="00EC20A0">
              <w:t>using</w:t>
            </w:r>
            <w:r w:rsidRPr="00EC20A0">
              <w:rPr>
                <w:spacing w:val="-6"/>
              </w:rPr>
              <w:t xml:space="preserve"> </w:t>
            </w:r>
            <w:r w:rsidRPr="00EC20A0">
              <w:t>U.S. GAAP promulgated by Financial Accounting Standards Board, or an equivalent U.S. GAAP checklist);</w:t>
            </w:r>
          </w:p>
        </w:tc>
        <w:tc>
          <w:tcPr>
            <w:tcW w:w="720" w:type="dxa"/>
            <w:tcBorders>
              <w:top w:val="single" w:sz="8" w:space="0" w:color="000000"/>
              <w:left w:val="single" w:sz="6" w:space="0" w:color="000000"/>
              <w:bottom w:val="single" w:sz="8" w:space="0" w:color="000000"/>
              <w:right w:val="single" w:sz="6" w:space="0" w:color="000000"/>
            </w:tcBorders>
          </w:tcPr>
          <w:p w14:paraId="24D628E1"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E2" w14:textId="77777777" w:rsidR="00245300" w:rsidRPr="00EC20A0" w:rsidRDefault="00245300">
            <w:pPr>
              <w:pStyle w:val="TableParagraph"/>
              <w:rPr>
                <w:sz w:val="20"/>
              </w:rPr>
            </w:pPr>
          </w:p>
        </w:tc>
      </w:tr>
      <w:tr w:rsidR="00245300" w:rsidRPr="00EC20A0" w14:paraId="24D628E7" w14:textId="77777777">
        <w:trPr>
          <w:trHeight w:val="492"/>
        </w:trPr>
        <w:tc>
          <w:tcPr>
            <w:tcW w:w="7446" w:type="dxa"/>
            <w:tcBorders>
              <w:top w:val="single" w:sz="8" w:space="0" w:color="000000"/>
              <w:bottom w:val="single" w:sz="8" w:space="0" w:color="000000"/>
              <w:right w:val="single" w:sz="6" w:space="0" w:color="000000"/>
            </w:tcBorders>
          </w:tcPr>
          <w:p w14:paraId="24D628E4" w14:textId="77777777" w:rsidR="00245300" w:rsidRPr="00EC20A0" w:rsidRDefault="00F17249">
            <w:pPr>
              <w:pStyle w:val="TableParagraph"/>
              <w:tabs>
                <w:tab w:val="left" w:pos="1334"/>
              </w:tabs>
              <w:spacing w:before="121"/>
              <w:ind w:left="925"/>
            </w:pPr>
            <w:r w:rsidRPr="00EC20A0">
              <w:rPr>
                <w:spacing w:val="-5"/>
              </w:rPr>
              <w:t>k.</w:t>
            </w:r>
            <w:r w:rsidRPr="00EC20A0">
              <w:tab/>
            </w:r>
            <w:r w:rsidRPr="00EC20A0">
              <w:t>management</w:t>
            </w:r>
            <w:r w:rsidRPr="00EC20A0">
              <w:rPr>
                <w:spacing w:val="-11"/>
              </w:rPr>
              <w:t xml:space="preserve"> </w:t>
            </w:r>
            <w:r w:rsidRPr="00EC20A0">
              <w:t>representation</w:t>
            </w:r>
            <w:r w:rsidRPr="00EC20A0">
              <w:rPr>
                <w:spacing w:val="-11"/>
              </w:rPr>
              <w:t xml:space="preserve"> </w:t>
            </w:r>
            <w:r w:rsidRPr="00EC20A0">
              <w:t>letter</w:t>
            </w:r>
            <w:r w:rsidRPr="00EC20A0">
              <w:rPr>
                <w:spacing w:val="-10"/>
              </w:rPr>
              <w:t xml:space="preserve"> </w:t>
            </w:r>
            <w:r w:rsidRPr="00EC20A0">
              <w:t>(FAM</w:t>
            </w:r>
            <w:r w:rsidRPr="00EC20A0">
              <w:rPr>
                <w:spacing w:val="-12"/>
              </w:rPr>
              <w:t xml:space="preserve"> </w:t>
            </w:r>
            <w:r w:rsidRPr="00EC20A0">
              <w:rPr>
                <w:spacing w:val="-2"/>
              </w:rPr>
              <w:t>1001);</w:t>
            </w:r>
          </w:p>
        </w:tc>
        <w:tc>
          <w:tcPr>
            <w:tcW w:w="720" w:type="dxa"/>
            <w:tcBorders>
              <w:top w:val="single" w:sz="8" w:space="0" w:color="000000"/>
              <w:left w:val="single" w:sz="6" w:space="0" w:color="000000"/>
              <w:bottom w:val="single" w:sz="8" w:space="0" w:color="000000"/>
              <w:right w:val="single" w:sz="6" w:space="0" w:color="000000"/>
            </w:tcBorders>
          </w:tcPr>
          <w:p w14:paraId="24D628E5"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E6" w14:textId="77777777" w:rsidR="00245300" w:rsidRPr="00EC20A0" w:rsidRDefault="00245300">
            <w:pPr>
              <w:pStyle w:val="TableParagraph"/>
              <w:rPr>
                <w:sz w:val="20"/>
              </w:rPr>
            </w:pPr>
          </w:p>
        </w:tc>
      </w:tr>
      <w:tr w:rsidR="00245300" w:rsidRPr="00EC20A0" w14:paraId="24D628EB" w14:textId="77777777">
        <w:trPr>
          <w:trHeight w:val="493"/>
        </w:trPr>
        <w:tc>
          <w:tcPr>
            <w:tcW w:w="7446" w:type="dxa"/>
            <w:tcBorders>
              <w:top w:val="single" w:sz="8" w:space="0" w:color="000000"/>
              <w:bottom w:val="single" w:sz="8" w:space="0" w:color="000000"/>
              <w:right w:val="single" w:sz="6" w:space="0" w:color="000000"/>
            </w:tcBorders>
          </w:tcPr>
          <w:p w14:paraId="24D628E8" w14:textId="77777777" w:rsidR="00245300" w:rsidRPr="00EC20A0" w:rsidRDefault="00F17249">
            <w:pPr>
              <w:pStyle w:val="TableParagraph"/>
              <w:tabs>
                <w:tab w:val="left" w:pos="1285"/>
              </w:tabs>
              <w:spacing w:before="121"/>
              <w:ind w:left="925"/>
            </w:pPr>
            <w:r w:rsidRPr="00EC20A0">
              <w:rPr>
                <w:spacing w:val="-5"/>
              </w:rPr>
              <w:t>l.</w:t>
            </w:r>
            <w:r w:rsidRPr="00EC20A0">
              <w:tab/>
              <w:t>legal</w:t>
            </w:r>
            <w:r w:rsidRPr="00EC20A0">
              <w:rPr>
                <w:spacing w:val="-8"/>
              </w:rPr>
              <w:t xml:space="preserve"> </w:t>
            </w:r>
            <w:r w:rsidRPr="00EC20A0">
              <w:t>counsel</w:t>
            </w:r>
            <w:r w:rsidRPr="00EC20A0">
              <w:rPr>
                <w:spacing w:val="-7"/>
              </w:rPr>
              <w:t xml:space="preserve"> </w:t>
            </w:r>
            <w:r w:rsidRPr="00EC20A0">
              <w:t>response</w:t>
            </w:r>
            <w:r w:rsidRPr="00EC20A0">
              <w:rPr>
                <w:spacing w:val="-8"/>
              </w:rPr>
              <w:t xml:space="preserve"> </w:t>
            </w:r>
            <w:r w:rsidRPr="00EC20A0">
              <w:t>(FAM</w:t>
            </w:r>
            <w:r w:rsidRPr="00EC20A0">
              <w:rPr>
                <w:spacing w:val="-8"/>
              </w:rPr>
              <w:t xml:space="preserve"> </w:t>
            </w:r>
            <w:r w:rsidRPr="00EC20A0">
              <w:rPr>
                <w:spacing w:val="-2"/>
              </w:rPr>
              <w:t>1002);</w:t>
            </w:r>
          </w:p>
        </w:tc>
        <w:tc>
          <w:tcPr>
            <w:tcW w:w="720" w:type="dxa"/>
            <w:tcBorders>
              <w:top w:val="single" w:sz="8" w:space="0" w:color="000000"/>
              <w:left w:val="single" w:sz="6" w:space="0" w:color="000000"/>
              <w:bottom w:val="single" w:sz="8" w:space="0" w:color="000000"/>
              <w:right w:val="single" w:sz="6" w:space="0" w:color="000000"/>
            </w:tcBorders>
          </w:tcPr>
          <w:p w14:paraId="24D628E9"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EA" w14:textId="77777777" w:rsidR="00245300" w:rsidRPr="00EC20A0" w:rsidRDefault="00245300">
            <w:pPr>
              <w:pStyle w:val="TableParagraph"/>
              <w:rPr>
                <w:sz w:val="20"/>
              </w:rPr>
            </w:pPr>
          </w:p>
        </w:tc>
      </w:tr>
      <w:tr w:rsidR="00245300" w:rsidRPr="00EC20A0" w14:paraId="24D628EF" w14:textId="77777777">
        <w:trPr>
          <w:trHeight w:val="492"/>
        </w:trPr>
        <w:tc>
          <w:tcPr>
            <w:tcW w:w="7446" w:type="dxa"/>
            <w:tcBorders>
              <w:top w:val="single" w:sz="8" w:space="0" w:color="000000"/>
              <w:bottom w:val="single" w:sz="8" w:space="0" w:color="000000"/>
              <w:right w:val="single" w:sz="6" w:space="0" w:color="000000"/>
            </w:tcBorders>
          </w:tcPr>
          <w:p w14:paraId="24D628EC" w14:textId="77777777" w:rsidR="00245300" w:rsidRPr="00EC20A0" w:rsidRDefault="00F17249">
            <w:pPr>
              <w:pStyle w:val="TableParagraph"/>
              <w:spacing w:before="121"/>
              <w:ind w:left="925"/>
            </w:pPr>
            <w:r w:rsidRPr="00EC20A0">
              <w:t>m.</w:t>
            </w:r>
            <w:r w:rsidRPr="00EC20A0">
              <w:rPr>
                <w:spacing w:val="41"/>
              </w:rPr>
              <w:t xml:space="preserve"> </w:t>
            </w:r>
            <w:r w:rsidRPr="00EC20A0">
              <w:t>summary</w:t>
            </w:r>
            <w:r w:rsidRPr="00EC20A0">
              <w:rPr>
                <w:spacing w:val="-6"/>
              </w:rPr>
              <w:t xml:space="preserve"> </w:t>
            </w:r>
            <w:r w:rsidRPr="00EC20A0">
              <w:t>of</w:t>
            </w:r>
            <w:r w:rsidRPr="00EC20A0">
              <w:rPr>
                <w:spacing w:val="-7"/>
              </w:rPr>
              <w:t xml:space="preserve"> </w:t>
            </w:r>
            <w:r w:rsidRPr="00EC20A0">
              <w:t>uncorrected</w:t>
            </w:r>
            <w:r w:rsidRPr="00EC20A0">
              <w:rPr>
                <w:spacing w:val="-8"/>
              </w:rPr>
              <w:t xml:space="preserve"> </w:t>
            </w:r>
            <w:r w:rsidRPr="00EC20A0">
              <w:t>misstatements</w:t>
            </w:r>
            <w:r w:rsidRPr="00EC20A0">
              <w:rPr>
                <w:spacing w:val="-7"/>
              </w:rPr>
              <w:t xml:space="preserve"> </w:t>
            </w:r>
            <w:r w:rsidRPr="00EC20A0">
              <w:t>(FAM</w:t>
            </w:r>
            <w:r w:rsidRPr="00EC20A0">
              <w:rPr>
                <w:spacing w:val="-8"/>
              </w:rPr>
              <w:t xml:space="preserve"> </w:t>
            </w:r>
            <w:r w:rsidRPr="00EC20A0">
              <w:t>595</w:t>
            </w:r>
            <w:r w:rsidRPr="00EC20A0">
              <w:rPr>
                <w:spacing w:val="-7"/>
              </w:rPr>
              <w:t xml:space="preserve"> </w:t>
            </w:r>
            <w:r w:rsidRPr="00EC20A0">
              <w:rPr>
                <w:spacing w:val="-5"/>
              </w:rPr>
              <w:t>C);</w:t>
            </w:r>
          </w:p>
        </w:tc>
        <w:tc>
          <w:tcPr>
            <w:tcW w:w="720" w:type="dxa"/>
            <w:tcBorders>
              <w:top w:val="single" w:sz="8" w:space="0" w:color="000000"/>
              <w:left w:val="single" w:sz="6" w:space="0" w:color="000000"/>
              <w:bottom w:val="single" w:sz="8" w:space="0" w:color="000000"/>
              <w:right w:val="single" w:sz="6" w:space="0" w:color="000000"/>
            </w:tcBorders>
          </w:tcPr>
          <w:p w14:paraId="24D628ED"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EE" w14:textId="77777777" w:rsidR="00245300" w:rsidRPr="00EC20A0" w:rsidRDefault="00245300">
            <w:pPr>
              <w:pStyle w:val="TableParagraph"/>
              <w:rPr>
                <w:sz w:val="20"/>
              </w:rPr>
            </w:pPr>
          </w:p>
        </w:tc>
      </w:tr>
      <w:tr w:rsidR="00245300" w:rsidRPr="00EC20A0" w14:paraId="24D628F3" w14:textId="77777777">
        <w:trPr>
          <w:trHeight w:val="493"/>
        </w:trPr>
        <w:tc>
          <w:tcPr>
            <w:tcW w:w="7446" w:type="dxa"/>
            <w:tcBorders>
              <w:top w:val="single" w:sz="8" w:space="0" w:color="000000"/>
              <w:bottom w:val="single" w:sz="8" w:space="0" w:color="000000"/>
              <w:right w:val="single" w:sz="6" w:space="0" w:color="000000"/>
            </w:tcBorders>
          </w:tcPr>
          <w:p w14:paraId="24D628F0" w14:textId="77777777" w:rsidR="00245300" w:rsidRPr="00EC20A0" w:rsidRDefault="00F17249">
            <w:pPr>
              <w:pStyle w:val="TableParagraph"/>
              <w:spacing w:before="121"/>
              <w:ind w:left="925"/>
            </w:pPr>
            <w:r w:rsidRPr="00EC20A0">
              <w:t>n.</w:t>
            </w:r>
            <w:r w:rsidRPr="00EC20A0">
              <w:rPr>
                <w:spacing w:val="69"/>
                <w:w w:val="150"/>
              </w:rPr>
              <w:t xml:space="preserve"> </w:t>
            </w:r>
            <w:r w:rsidRPr="00EC20A0">
              <w:t>exit</w:t>
            </w:r>
            <w:r w:rsidRPr="00EC20A0">
              <w:rPr>
                <w:spacing w:val="-5"/>
              </w:rPr>
              <w:t xml:space="preserve"> </w:t>
            </w:r>
            <w:r w:rsidRPr="00EC20A0">
              <w:t>conference</w:t>
            </w:r>
            <w:r w:rsidRPr="00EC20A0">
              <w:rPr>
                <w:spacing w:val="-6"/>
              </w:rPr>
              <w:t xml:space="preserve"> </w:t>
            </w:r>
            <w:r w:rsidRPr="00EC20A0">
              <w:t>memorandum</w:t>
            </w:r>
            <w:r w:rsidRPr="00EC20A0">
              <w:rPr>
                <w:spacing w:val="-6"/>
              </w:rPr>
              <w:t xml:space="preserve"> </w:t>
            </w:r>
            <w:r w:rsidRPr="00EC20A0">
              <w:t>(FAM</w:t>
            </w:r>
            <w:r w:rsidRPr="00EC20A0">
              <w:rPr>
                <w:spacing w:val="-6"/>
              </w:rPr>
              <w:t xml:space="preserve"> </w:t>
            </w:r>
            <w:r w:rsidRPr="00EC20A0">
              <w:t>590);</w:t>
            </w:r>
            <w:r w:rsidRPr="00EC20A0">
              <w:rPr>
                <w:spacing w:val="-5"/>
              </w:rPr>
              <w:t xml:space="preserve"> and</w:t>
            </w:r>
          </w:p>
        </w:tc>
        <w:tc>
          <w:tcPr>
            <w:tcW w:w="720" w:type="dxa"/>
            <w:tcBorders>
              <w:top w:val="single" w:sz="8" w:space="0" w:color="000000"/>
              <w:left w:val="single" w:sz="6" w:space="0" w:color="000000"/>
              <w:bottom w:val="single" w:sz="8" w:space="0" w:color="000000"/>
              <w:right w:val="single" w:sz="6" w:space="0" w:color="000000"/>
            </w:tcBorders>
          </w:tcPr>
          <w:p w14:paraId="24D628F1"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F2" w14:textId="77777777" w:rsidR="00245300" w:rsidRPr="00EC20A0" w:rsidRDefault="00245300">
            <w:pPr>
              <w:pStyle w:val="TableParagraph"/>
              <w:rPr>
                <w:sz w:val="20"/>
              </w:rPr>
            </w:pPr>
          </w:p>
        </w:tc>
      </w:tr>
      <w:tr w:rsidR="00245300" w:rsidRPr="00EC20A0" w14:paraId="24D628F7" w14:textId="77777777">
        <w:trPr>
          <w:trHeight w:val="745"/>
        </w:trPr>
        <w:tc>
          <w:tcPr>
            <w:tcW w:w="7446" w:type="dxa"/>
            <w:tcBorders>
              <w:top w:val="single" w:sz="8" w:space="0" w:color="000000"/>
              <w:bottom w:val="single" w:sz="8" w:space="0" w:color="000000"/>
              <w:right w:val="single" w:sz="6" w:space="0" w:color="000000"/>
            </w:tcBorders>
          </w:tcPr>
          <w:p w14:paraId="24D628F4" w14:textId="77777777" w:rsidR="00245300" w:rsidRPr="00EC20A0" w:rsidRDefault="00F17249">
            <w:pPr>
              <w:pStyle w:val="TableParagraph"/>
              <w:spacing w:before="119"/>
              <w:ind w:left="1285" w:hanging="360"/>
            </w:pPr>
            <w:r w:rsidRPr="00EC20A0">
              <w:t>o.</w:t>
            </w:r>
            <w:r w:rsidRPr="00EC20A0">
              <w:rPr>
                <w:spacing w:val="80"/>
              </w:rPr>
              <w:t xml:space="preserve"> </w:t>
            </w:r>
            <w:r w:rsidRPr="00EC20A0">
              <w:t>GAO</w:t>
            </w:r>
            <w:r w:rsidRPr="00EC20A0">
              <w:rPr>
                <w:spacing w:val="-5"/>
              </w:rPr>
              <w:t xml:space="preserve"> </w:t>
            </w:r>
            <w:r w:rsidRPr="00EC20A0">
              <w:t>report</w:t>
            </w:r>
            <w:r w:rsidRPr="00EC20A0">
              <w:rPr>
                <w:spacing w:val="-3"/>
              </w:rPr>
              <w:t xml:space="preserve"> </w:t>
            </w:r>
            <w:r w:rsidRPr="00EC20A0">
              <w:t>with</w:t>
            </w:r>
            <w:r w:rsidRPr="00EC20A0">
              <w:rPr>
                <w:spacing w:val="-4"/>
              </w:rPr>
              <w:t xml:space="preserve"> </w:t>
            </w:r>
            <w:r w:rsidRPr="00EC20A0">
              <w:t>entity</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and</w:t>
            </w:r>
            <w:r w:rsidRPr="00EC20A0">
              <w:rPr>
                <w:spacing w:val="-4"/>
              </w:rPr>
              <w:t xml:space="preserve"> </w:t>
            </w:r>
            <w:r w:rsidRPr="00EC20A0">
              <w:t xml:space="preserve">note </w:t>
            </w:r>
            <w:r w:rsidRPr="00EC20A0">
              <w:t>disclosures; and</w:t>
            </w:r>
          </w:p>
        </w:tc>
        <w:tc>
          <w:tcPr>
            <w:tcW w:w="720" w:type="dxa"/>
            <w:tcBorders>
              <w:top w:val="single" w:sz="8" w:space="0" w:color="000000"/>
              <w:left w:val="single" w:sz="6" w:space="0" w:color="000000"/>
              <w:bottom w:val="single" w:sz="8" w:space="0" w:color="000000"/>
              <w:right w:val="single" w:sz="6" w:space="0" w:color="000000"/>
            </w:tcBorders>
          </w:tcPr>
          <w:p w14:paraId="24D628F5"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F6" w14:textId="77777777" w:rsidR="00245300" w:rsidRPr="00EC20A0" w:rsidRDefault="00245300">
            <w:pPr>
              <w:pStyle w:val="TableParagraph"/>
              <w:rPr>
                <w:sz w:val="20"/>
              </w:rPr>
            </w:pPr>
          </w:p>
        </w:tc>
      </w:tr>
      <w:tr w:rsidR="00245300" w:rsidRPr="00EC20A0" w14:paraId="24D628FB" w14:textId="77777777">
        <w:trPr>
          <w:trHeight w:val="745"/>
        </w:trPr>
        <w:tc>
          <w:tcPr>
            <w:tcW w:w="7446" w:type="dxa"/>
            <w:tcBorders>
              <w:top w:val="single" w:sz="8" w:space="0" w:color="000000"/>
              <w:bottom w:val="single" w:sz="8" w:space="0" w:color="000000"/>
              <w:right w:val="single" w:sz="6" w:space="0" w:color="000000"/>
            </w:tcBorders>
          </w:tcPr>
          <w:p w14:paraId="24D628F8" w14:textId="77777777" w:rsidR="00245300" w:rsidRPr="00EC20A0" w:rsidRDefault="00F17249">
            <w:pPr>
              <w:pStyle w:val="TableParagraph"/>
              <w:spacing w:before="121"/>
              <w:ind w:left="1285" w:hanging="360"/>
            </w:pPr>
            <w:r w:rsidRPr="00EC20A0">
              <w:t>p.</w:t>
            </w:r>
            <w:r w:rsidRPr="00EC20A0">
              <w:rPr>
                <w:spacing w:val="80"/>
              </w:rPr>
              <w:t xml:space="preserve"> </w:t>
            </w:r>
            <w:r w:rsidRPr="00EC20A0">
              <w:t>memorandum(s)</w:t>
            </w:r>
            <w:r w:rsidRPr="00EC20A0">
              <w:rPr>
                <w:spacing w:val="-5"/>
              </w:rPr>
              <w:t xml:space="preserve"> </w:t>
            </w:r>
            <w:r w:rsidRPr="00EC20A0">
              <w:t>on</w:t>
            </w:r>
            <w:r w:rsidRPr="00EC20A0">
              <w:rPr>
                <w:spacing w:val="-5"/>
              </w:rPr>
              <w:t xml:space="preserve"> </w:t>
            </w:r>
            <w:r w:rsidRPr="00EC20A0">
              <w:t>significant</w:t>
            </w:r>
            <w:r w:rsidRPr="00EC20A0">
              <w:rPr>
                <w:spacing w:val="-5"/>
              </w:rPr>
              <w:t xml:space="preserve"> </w:t>
            </w:r>
            <w:r w:rsidRPr="00EC20A0">
              <w:t>accounting,</w:t>
            </w:r>
            <w:r w:rsidRPr="00EC20A0">
              <w:rPr>
                <w:spacing w:val="-5"/>
              </w:rPr>
              <w:t xml:space="preserve"> </w:t>
            </w:r>
            <w:r w:rsidRPr="00EC20A0">
              <w:t>auditing,</w:t>
            </w:r>
            <w:r w:rsidRPr="00EC20A0">
              <w:rPr>
                <w:spacing w:val="-5"/>
              </w:rPr>
              <w:t xml:space="preserve"> </w:t>
            </w:r>
            <w:r w:rsidRPr="00EC20A0">
              <w:t>and reporting issues (FAM 590)?</w:t>
            </w:r>
          </w:p>
        </w:tc>
        <w:tc>
          <w:tcPr>
            <w:tcW w:w="720" w:type="dxa"/>
            <w:tcBorders>
              <w:top w:val="single" w:sz="8" w:space="0" w:color="000000"/>
              <w:left w:val="single" w:sz="6" w:space="0" w:color="000000"/>
              <w:bottom w:val="single" w:sz="8" w:space="0" w:color="000000"/>
              <w:right w:val="single" w:sz="6" w:space="0" w:color="000000"/>
            </w:tcBorders>
          </w:tcPr>
          <w:p w14:paraId="24D628F9"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8" w:space="0" w:color="000000"/>
            </w:tcBorders>
          </w:tcPr>
          <w:p w14:paraId="24D628FA" w14:textId="77777777" w:rsidR="00245300" w:rsidRPr="00EC20A0" w:rsidRDefault="00245300">
            <w:pPr>
              <w:pStyle w:val="TableParagraph"/>
              <w:rPr>
                <w:sz w:val="20"/>
              </w:rPr>
            </w:pPr>
          </w:p>
        </w:tc>
      </w:tr>
      <w:tr w:rsidR="00245300" w:rsidRPr="00EC20A0" w14:paraId="24D628FF" w14:textId="77777777">
        <w:trPr>
          <w:trHeight w:val="746"/>
        </w:trPr>
        <w:tc>
          <w:tcPr>
            <w:tcW w:w="7446" w:type="dxa"/>
            <w:tcBorders>
              <w:top w:val="single" w:sz="8" w:space="0" w:color="000000"/>
              <w:bottom w:val="single" w:sz="6" w:space="0" w:color="000000"/>
              <w:right w:val="single" w:sz="6" w:space="0" w:color="000000"/>
            </w:tcBorders>
          </w:tcPr>
          <w:p w14:paraId="24D628FC" w14:textId="77777777" w:rsidR="00245300" w:rsidRPr="00EC20A0" w:rsidRDefault="00F17249">
            <w:pPr>
              <w:pStyle w:val="TableParagraph"/>
              <w:spacing w:before="121"/>
              <w:ind w:left="914" w:right="344" w:hanging="361"/>
            </w:pPr>
            <w:r w:rsidRPr="00EC20A0">
              <w:t>4.</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assistant</w:t>
            </w:r>
            <w:r w:rsidRPr="00EC20A0">
              <w:rPr>
                <w:spacing w:val="-4"/>
              </w:rPr>
              <w:t xml:space="preserve"> </w:t>
            </w:r>
            <w:r w:rsidRPr="00EC20A0">
              <w:t>director</w:t>
            </w:r>
            <w:r w:rsidRPr="00EC20A0">
              <w:rPr>
                <w:spacing w:val="-4"/>
              </w:rPr>
              <w:t xml:space="preserve"> </w:t>
            </w:r>
            <w:r w:rsidRPr="00EC20A0">
              <w:t>determine</w:t>
            </w:r>
            <w:r w:rsidRPr="00EC20A0">
              <w:rPr>
                <w:spacing w:val="-4"/>
              </w:rPr>
              <w:t xml:space="preserve"> </w:t>
            </w:r>
            <w:r w:rsidRPr="00EC20A0">
              <w:t>that</w:t>
            </w:r>
            <w:r w:rsidRPr="00EC20A0">
              <w:rPr>
                <w:spacing w:val="-4"/>
              </w:rPr>
              <w:t xml:space="preserve"> </w:t>
            </w:r>
            <w:r w:rsidRPr="00EC20A0">
              <w:t>all</w:t>
            </w:r>
            <w:r w:rsidRPr="00EC20A0">
              <w:rPr>
                <w:spacing w:val="-4"/>
              </w:rPr>
              <w:t xml:space="preserve"> </w:t>
            </w:r>
            <w:r w:rsidRPr="00EC20A0">
              <w:t>significant</w:t>
            </w:r>
            <w:r w:rsidRPr="00EC20A0">
              <w:rPr>
                <w:spacing w:val="-4"/>
              </w:rPr>
              <w:t xml:space="preserve"> </w:t>
            </w:r>
            <w:r w:rsidRPr="00EC20A0">
              <w:t>review notes were resolved appropriately?</w:t>
            </w:r>
          </w:p>
        </w:tc>
        <w:tc>
          <w:tcPr>
            <w:tcW w:w="720" w:type="dxa"/>
            <w:tcBorders>
              <w:top w:val="single" w:sz="8" w:space="0" w:color="000000"/>
              <w:left w:val="single" w:sz="6" w:space="0" w:color="000000"/>
              <w:bottom w:val="single" w:sz="6" w:space="0" w:color="000000"/>
              <w:right w:val="single" w:sz="6" w:space="0" w:color="000000"/>
            </w:tcBorders>
          </w:tcPr>
          <w:p w14:paraId="24D628FD" w14:textId="77777777" w:rsidR="00245300" w:rsidRPr="00EC20A0" w:rsidRDefault="00245300">
            <w:pPr>
              <w:pStyle w:val="TableParagraph"/>
              <w:rPr>
                <w:sz w:val="20"/>
              </w:rPr>
            </w:pPr>
          </w:p>
        </w:tc>
        <w:tc>
          <w:tcPr>
            <w:tcW w:w="1350" w:type="dxa"/>
            <w:tcBorders>
              <w:top w:val="single" w:sz="8" w:space="0" w:color="000000"/>
              <w:left w:val="single" w:sz="6" w:space="0" w:color="000000"/>
              <w:bottom w:val="single" w:sz="6" w:space="0" w:color="000000"/>
            </w:tcBorders>
          </w:tcPr>
          <w:p w14:paraId="24D628FE" w14:textId="77777777" w:rsidR="00245300" w:rsidRPr="00EC20A0" w:rsidRDefault="00245300">
            <w:pPr>
              <w:pStyle w:val="TableParagraph"/>
              <w:rPr>
                <w:sz w:val="20"/>
              </w:rPr>
            </w:pPr>
          </w:p>
        </w:tc>
      </w:tr>
    </w:tbl>
    <w:p w14:paraId="24D62900" w14:textId="77777777" w:rsidR="00245300" w:rsidRPr="00EC20A0" w:rsidRDefault="00F17249">
      <w:pPr>
        <w:pStyle w:val="BodyText"/>
        <w:spacing w:before="94"/>
        <w:rPr>
          <w:sz w:val="20"/>
        </w:rPr>
      </w:pPr>
      <w:r w:rsidRPr="00EC20A0">
        <w:rPr>
          <w:noProof/>
        </w:rPr>
        <mc:AlternateContent>
          <mc:Choice Requires="wps">
            <w:drawing>
              <wp:anchor distT="0" distB="0" distL="0" distR="0" simplePos="0" relativeHeight="487730688" behindDoc="1" locked="0" layoutInCell="1" allowOverlap="1" wp14:anchorId="24D62CE3" wp14:editId="24D62CE4">
                <wp:simplePos x="0" y="0"/>
                <wp:positionH relativeFrom="page">
                  <wp:posOffset>914400</wp:posOffset>
                </wp:positionH>
                <wp:positionV relativeFrom="paragraph">
                  <wp:posOffset>221500</wp:posOffset>
                </wp:positionV>
                <wp:extent cx="1828800" cy="5715"/>
                <wp:effectExtent l="0" t="0" r="0" b="0"/>
                <wp:wrapTopAndBottom/>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3481C3" id="Graphic 985" o:spid="_x0000_s1026" style="position:absolute;margin-left:1in;margin-top:17.45pt;width:2in;height:.45pt;z-index:-155857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" path="m1828800,l,,,5321r1828800,l1828800,xe" fillcolor="black" stroked="f">
                <v:path arrowok="t"/>
                <w10:wrap type="topAndBottom" anchorx="page"/>
              </v:shape>
            </w:pict>
          </mc:Fallback>
        </mc:AlternateContent>
      </w:r>
    </w:p>
    <w:p w14:paraId="24D62901" w14:textId="77777777" w:rsidR="00245300" w:rsidRPr="00EC20A0" w:rsidRDefault="00F17249">
      <w:pPr>
        <w:spacing w:before="202" w:line="249" w:lineRule="auto"/>
        <w:ind w:left="880" w:right="1154"/>
        <w:rPr>
          <w:sz w:val="18"/>
        </w:rPr>
      </w:pPr>
      <w:bookmarkStart w:id="419" w:name="_bookmark231"/>
      <w:bookmarkEnd w:id="419"/>
      <w:r w:rsidRPr="00EC20A0">
        <w:rPr>
          <w:position w:val="7"/>
          <w:sz w:val="14"/>
        </w:rPr>
        <w:t>16</w:t>
      </w:r>
      <w:r w:rsidRPr="00EC20A0">
        <w:rPr>
          <w:sz w:val="18"/>
        </w:rPr>
        <w:t>Auditors</w:t>
      </w:r>
      <w:r w:rsidRPr="00EC20A0">
        <w:rPr>
          <w:spacing w:val="-5"/>
          <w:sz w:val="18"/>
        </w:rPr>
        <w:t xml:space="preserve"> </w:t>
      </w:r>
      <w:r w:rsidRPr="00EC20A0">
        <w:rPr>
          <w:sz w:val="18"/>
        </w:rPr>
        <w:t>may</w:t>
      </w:r>
      <w:r w:rsidRPr="00EC20A0">
        <w:rPr>
          <w:spacing w:val="-5"/>
          <w:sz w:val="18"/>
        </w:rPr>
        <w:t xml:space="preserve"> </w:t>
      </w:r>
      <w:r w:rsidRPr="00EC20A0">
        <w:rPr>
          <w:sz w:val="18"/>
        </w:rPr>
        <w:t>obtain</w:t>
      </w:r>
      <w:r w:rsidRPr="00EC20A0">
        <w:rPr>
          <w:spacing w:val="-6"/>
          <w:sz w:val="18"/>
        </w:rPr>
        <w:t xml:space="preserve"> </w:t>
      </w:r>
      <w:r w:rsidRPr="00EC20A0">
        <w:rPr>
          <w:sz w:val="18"/>
        </w:rPr>
        <w:t>the</w:t>
      </w:r>
      <w:r w:rsidRPr="00EC20A0">
        <w:rPr>
          <w:spacing w:val="-5"/>
          <w:sz w:val="18"/>
        </w:rPr>
        <w:t xml:space="preserve"> </w:t>
      </w:r>
      <w:r w:rsidRPr="00EC20A0">
        <w:rPr>
          <w:sz w:val="18"/>
        </w:rPr>
        <w:t>Federal</w:t>
      </w:r>
      <w:r w:rsidRPr="00EC20A0">
        <w:rPr>
          <w:spacing w:val="-5"/>
          <w:sz w:val="18"/>
        </w:rPr>
        <w:t xml:space="preserve"> </w:t>
      </w:r>
      <w:r w:rsidRPr="00EC20A0">
        <w:rPr>
          <w:sz w:val="18"/>
        </w:rPr>
        <w:t>Financial</w:t>
      </w:r>
      <w:r w:rsidRPr="00EC20A0">
        <w:rPr>
          <w:spacing w:val="-5"/>
          <w:sz w:val="18"/>
        </w:rPr>
        <w:t xml:space="preserve"> </w:t>
      </w:r>
      <w:r w:rsidRPr="00EC20A0">
        <w:rPr>
          <w:sz w:val="18"/>
        </w:rPr>
        <w:t>Reporting</w:t>
      </w:r>
      <w:r w:rsidRPr="00EC20A0">
        <w:rPr>
          <w:spacing w:val="-6"/>
          <w:sz w:val="18"/>
        </w:rPr>
        <w:t xml:space="preserve"> </w:t>
      </w:r>
      <w:r w:rsidRPr="00EC20A0">
        <w:rPr>
          <w:sz w:val="18"/>
        </w:rPr>
        <w:t>Checklist</w:t>
      </w:r>
      <w:r w:rsidRPr="00EC20A0">
        <w:rPr>
          <w:spacing w:val="-5"/>
          <w:sz w:val="18"/>
        </w:rPr>
        <w:t xml:space="preserve"> </w:t>
      </w:r>
      <w:r w:rsidRPr="00EC20A0">
        <w:rPr>
          <w:sz w:val="18"/>
        </w:rPr>
        <w:t>at</w:t>
      </w:r>
      <w:r w:rsidRPr="00EC20A0">
        <w:rPr>
          <w:spacing w:val="-5"/>
          <w:sz w:val="18"/>
        </w:rPr>
        <w:t xml:space="preserve"> </w:t>
      </w:r>
      <w:hyperlink r:id="rId208">
        <w:r w:rsidRPr="00EC20A0">
          <w:rPr>
            <w:color w:val="0000FF"/>
            <w:sz w:val="18"/>
            <w:u w:val="single" w:color="0000FF"/>
          </w:rPr>
          <w:t>https://www.gao.gov/financial_audit_manual</w:t>
        </w:r>
      </w:hyperlink>
      <w:r w:rsidRPr="00EC20A0">
        <w:rPr>
          <w:color w:val="0000FF"/>
          <w:sz w:val="18"/>
        </w:rPr>
        <w:t xml:space="preserve"> </w:t>
      </w:r>
      <w:r w:rsidRPr="00EC20A0">
        <w:rPr>
          <w:sz w:val="18"/>
        </w:rPr>
        <w:t>(accessed June 12, 2024).</w:t>
      </w:r>
    </w:p>
    <w:p w14:paraId="24D62902" w14:textId="77777777" w:rsidR="00245300" w:rsidRPr="00EC20A0" w:rsidRDefault="00245300">
      <w:pPr>
        <w:spacing w:line="249" w:lineRule="auto"/>
        <w:rPr>
          <w:sz w:val="18"/>
        </w:rPr>
        <w:sectPr w:rsidR="00245300" w:rsidRPr="00EC20A0">
          <w:pgSz w:w="12240" w:h="15840"/>
          <w:pgMar w:top="1340" w:right="460" w:bottom="940" w:left="560" w:header="721" w:footer="757" w:gutter="0"/>
          <w:cols w:space="720"/>
        </w:sectPr>
      </w:pPr>
    </w:p>
    <w:p w14:paraId="24D62903" w14:textId="77777777" w:rsidR="00245300" w:rsidRPr="00EC20A0" w:rsidRDefault="00245300">
      <w:pPr>
        <w:pStyle w:val="BodyText"/>
        <w:spacing w:before="6"/>
        <w:rPr>
          <w:sz w:val="11"/>
        </w:rPr>
      </w:pPr>
    </w:p>
    <w:tbl>
      <w:tblPr>
        <w:tblW w:w="0" w:type="auto"/>
        <w:tblInd w:w="9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245300" w:rsidRPr="00EC20A0" w14:paraId="24D6290B" w14:textId="77777777">
        <w:trPr>
          <w:trHeight w:val="999"/>
        </w:trPr>
        <w:tc>
          <w:tcPr>
            <w:tcW w:w="7446" w:type="dxa"/>
            <w:tcBorders>
              <w:bottom w:val="double" w:sz="4" w:space="0" w:color="000000"/>
              <w:right w:val="single" w:sz="8" w:space="0" w:color="000000"/>
            </w:tcBorders>
            <w:shd w:val="clear" w:color="auto" w:fill="A6A6A6"/>
          </w:tcPr>
          <w:p w14:paraId="24D62904" w14:textId="77777777" w:rsidR="00245300" w:rsidRPr="00EC20A0" w:rsidRDefault="00245300">
            <w:pPr>
              <w:pStyle w:val="TableParagraph"/>
              <w:rPr>
                <w:sz w:val="24"/>
              </w:rPr>
            </w:pPr>
          </w:p>
          <w:p w14:paraId="24D62905" w14:textId="77777777" w:rsidR="00245300" w:rsidRPr="00EC20A0" w:rsidRDefault="00245300">
            <w:pPr>
              <w:pStyle w:val="TableParagraph"/>
              <w:spacing w:before="72"/>
              <w:rPr>
                <w:sz w:val="24"/>
              </w:rPr>
            </w:pPr>
          </w:p>
          <w:p w14:paraId="24D62906" w14:textId="77777777" w:rsidR="00245300" w:rsidRPr="00EC20A0" w:rsidRDefault="00F17249">
            <w:pPr>
              <w:pStyle w:val="TableParagraph"/>
              <w:spacing w:before="1"/>
              <w:ind w:left="104"/>
              <w:rPr>
                <w:b/>
                <w:sz w:val="24"/>
              </w:rPr>
            </w:pPr>
            <w:r w:rsidRPr="00EC20A0">
              <w:rPr>
                <w:b/>
                <w:sz w:val="24"/>
              </w:rPr>
              <w:t>Section</w:t>
            </w:r>
            <w:r w:rsidRPr="00EC20A0">
              <w:rPr>
                <w:b/>
                <w:spacing w:val="-3"/>
                <w:sz w:val="24"/>
              </w:rPr>
              <w:t xml:space="preserve"> </w:t>
            </w:r>
            <w:r w:rsidRPr="00EC20A0">
              <w:rPr>
                <w:b/>
                <w:sz w:val="24"/>
              </w:rPr>
              <w:t>V:</w:t>
            </w:r>
            <w:r w:rsidRPr="00EC20A0">
              <w:rPr>
                <w:b/>
                <w:spacing w:val="-2"/>
                <w:sz w:val="24"/>
              </w:rPr>
              <w:t xml:space="preserve"> </w:t>
            </w:r>
            <w:r w:rsidRPr="00EC20A0">
              <w:rPr>
                <w:b/>
                <w:sz w:val="24"/>
              </w:rPr>
              <w:t>GAO’s</w:t>
            </w:r>
            <w:r w:rsidRPr="00EC20A0">
              <w:rPr>
                <w:b/>
                <w:spacing w:val="-3"/>
                <w:sz w:val="24"/>
              </w:rPr>
              <w:t xml:space="preserve"> </w:t>
            </w:r>
            <w:r w:rsidRPr="00EC20A0">
              <w:rPr>
                <w:b/>
                <w:sz w:val="24"/>
              </w:rPr>
              <w:t>Quality</w:t>
            </w:r>
            <w:r w:rsidRPr="00EC20A0">
              <w:rPr>
                <w:b/>
                <w:spacing w:val="-3"/>
                <w:sz w:val="24"/>
              </w:rPr>
              <w:t xml:space="preserve"> </w:t>
            </w:r>
            <w:r w:rsidRPr="00EC20A0">
              <w:rPr>
                <w:b/>
                <w:sz w:val="24"/>
              </w:rPr>
              <w:t>Control</w:t>
            </w:r>
            <w:r w:rsidRPr="00EC20A0">
              <w:rPr>
                <w:b/>
                <w:spacing w:val="-2"/>
                <w:sz w:val="24"/>
              </w:rPr>
              <w:t xml:space="preserve"> </w:t>
            </w:r>
            <w:r w:rsidRPr="00EC20A0">
              <w:rPr>
                <w:b/>
                <w:sz w:val="24"/>
              </w:rPr>
              <w:t>(GAO</w:t>
            </w:r>
            <w:r w:rsidRPr="00EC20A0">
              <w:rPr>
                <w:b/>
                <w:spacing w:val="-1"/>
                <w:sz w:val="24"/>
              </w:rPr>
              <w:t xml:space="preserve"> </w:t>
            </w:r>
            <w:r w:rsidRPr="00EC20A0">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24D62907" w14:textId="77777777" w:rsidR="00245300" w:rsidRPr="00EC20A0" w:rsidRDefault="00F17249">
            <w:pPr>
              <w:pStyle w:val="TableParagraph"/>
              <w:spacing w:before="120"/>
              <w:ind w:left="137" w:right="115" w:hanging="8"/>
              <w:jc w:val="both"/>
              <w:rPr>
                <w:b/>
              </w:rPr>
            </w:pPr>
            <w:r w:rsidRPr="00EC20A0">
              <w:rPr>
                <w:b/>
                <w:spacing w:val="-4"/>
              </w:rPr>
              <w:t>Yes, No,* N/A</w:t>
            </w:r>
          </w:p>
        </w:tc>
        <w:tc>
          <w:tcPr>
            <w:tcW w:w="1350" w:type="dxa"/>
            <w:tcBorders>
              <w:left w:val="single" w:sz="8" w:space="0" w:color="000000"/>
              <w:bottom w:val="double" w:sz="4" w:space="0" w:color="000000"/>
            </w:tcBorders>
            <w:shd w:val="clear" w:color="auto" w:fill="A6A6A6"/>
          </w:tcPr>
          <w:p w14:paraId="24D62908" w14:textId="77777777" w:rsidR="00245300" w:rsidRPr="00EC20A0" w:rsidRDefault="00245300">
            <w:pPr>
              <w:pStyle w:val="TableParagraph"/>
            </w:pPr>
          </w:p>
          <w:p w14:paraId="24D62909" w14:textId="77777777" w:rsidR="00245300" w:rsidRPr="00EC20A0" w:rsidRDefault="00245300">
            <w:pPr>
              <w:pStyle w:val="TableParagraph"/>
              <w:spacing w:before="120"/>
            </w:pPr>
          </w:p>
          <w:p w14:paraId="24D6290A"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910" w14:textId="77777777">
        <w:trPr>
          <w:trHeight w:val="2894"/>
        </w:trPr>
        <w:tc>
          <w:tcPr>
            <w:tcW w:w="7446" w:type="dxa"/>
            <w:tcBorders>
              <w:top w:val="double" w:sz="4" w:space="0" w:color="000000"/>
              <w:bottom w:val="single" w:sz="8" w:space="0" w:color="000000"/>
              <w:right w:val="single" w:sz="6" w:space="0" w:color="000000"/>
            </w:tcBorders>
          </w:tcPr>
          <w:p w14:paraId="24D6290C" w14:textId="77777777" w:rsidR="00245300" w:rsidRPr="00EC20A0" w:rsidRDefault="00F17249">
            <w:pPr>
              <w:pStyle w:val="TableParagraph"/>
              <w:spacing w:before="120"/>
              <w:ind w:left="914" w:hanging="360"/>
            </w:pPr>
            <w:r w:rsidRPr="00EC20A0">
              <w:t>5.</w:t>
            </w:r>
            <w:r w:rsidRPr="00EC20A0">
              <w:rPr>
                <w:spacing w:val="80"/>
              </w:rPr>
              <w:t xml:space="preserve"> </w:t>
            </w:r>
            <w:r w:rsidRPr="00EC20A0">
              <w:t>Did</w:t>
            </w:r>
            <w:r w:rsidRPr="00EC20A0">
              <w:rPr>
                <w:spacing w:val="-4"/>
              </w:rPr>
              <w:t xml:space="preserve"> </w:t>
            </w:r>
            <w:r w:rsidRPr="00EC20A0">
              <w:t>the</w:t>
            </w:r>
            <w:r w:rsidRPr="00EC20A0">
              <w:rPr>
                <w:spacing w:val="-4"/>
              </w:rPr>
              <w:t xml:space="preserve"> </w:t>
            </w:r>
            <w:r w:rsidRPr="00EC20A0">
              <w:t>assistant</w:t>
            </w:r>
            <w:r w:rsidRPr="00EC20A0">
              <w:rPr>
                <w:spacing w:val="-4"/>
              </w:rPr>
              <w:t xml:space="preserve"> </w:t>
            </w:r>
            <w:r w:rsidRPr="00EC20A0">
              <w:t>director</w:t>
            </w:r>
            <w:r w:rsidRPr="00EC20A0">
              <w:rPr>
                <w:spacing w:val="-4"/>
              </w:rPr>
              <w:t xml:space="preserve"> </w:t>
            </w:r>
            <w:r w:rsidRPr="00EC20A0">
              <w:t>indicate</w:t>
            </w:r>
            <w:r w:rsidRPr="00EC20A0">
              <w:rPr>
                <w:spacing w:val="-4"/>
              </w:rPr>
              <w:t xml:space="preserve"> </w:t>
            </w:r>
            <w:r w:rsidRPr="00EC20A0">
              <w:t>that</w:t>
            </w:r>
            <w:r w:rsidRPr="00EC20A0">
              <w:rPr>
                <w:spacing w:val="-4"/>
              </w:rPr>
              <w:t xml:space="preserve"> </w:t>
            </w:r>
            <w:r w:rsidRPr="00EC20A0">
              <w:t>all</w:t>
            </w:r>
            <w:r w:rsidRPr="00EC20A0">
              <w:rPr>
                <w:spacing w:val="-4"/>
              </w:rPr>
              <w:t xml:space="preserve"> </w:t>
            </w:r>
            <w:r w:rsidRPr="00EC20A0">
              <w:t>documentation</w:t>
            </w:r>
            <w:r w:rsidRPr="00EC20A0">
              <w:rPr>
                <w:spacing w:val="-4"/>
              </w:rPr>
              <w:t xml:space="preserve"> </w:t>
            </w:r>
            <w:r w:rsidRPr="00EC20A0">
              <w:t xml:space="preserve">was sufficiently reviewed by the </w:t>
            </w:r>
            <w:r w:rsidRPr="00EC20A0">
              <w:t>auditor’s report date (FAM 580), including any required secondary reviews?</w:t>
            </w:r>
          </w:p>
          <w:p w14:paraId="24D6290D" w14:textId="77777777" w:rsidR="00245300" w:rsidRPr="00EC20A0" w:rsidRDefault="00F17249">
            <w:pPr>
              <w:pStyle w:val="TableParagraph"/>
              <w:spacing w:before="240"/>
              <w:ind w:left="912" w:right="113" w:firstLine="2"/>
            </w:pPr>
            <w:r w:rsidRPr="00EC20A0">
              <w:t>(</w:t>
            </w:r>
            <w:r w:rsidRPr="00EC20A0">
              <w:rPr>
                <w:sz w:val="20"/>
              </w:rPr>
              <w:t>Note: There may be instances where the audit documentation is not completely organized by the auditor’s report date. However, the</w:t>
            </w:r>
            <w:r w:rsidRPr="00EC20A0">
              <w:rPr>
                <w:spacing w:val="40"/>
                <w:sz w:val="20"/>
              </w:rPr>
              <w:t xml:space="preserve"> </w:t>
            </w:r>
            <w:r w:rsidRPr="00EC20A0">
              <w:rPr>
                <w:sz w:val="20"/>
              </w:rPr>
              <w:t>auditor’s review date represents when the audit evidence has been obtained, discussed, and agreed to by relevant members of the engagement team. Certain documentation, such as agency comments on</w:t>
            </w:r>
            <w:r w:rsidRPr="00EC20A0">
              <w:rPr>
                <w:spacing w:val="-4"/>
                <w:sz w:val="20"/>
              </w:rPr>
              <w:t xml:space="preserve"> </w:t>
            </w:r>
            <w:r w:rsidRPr="00EC20A0">
              <w:rPr>
                <w:sz w:val="20"/>
              </w:rPr>
              <w:t>a</w:t>
            </w:r>
            <w:r w:rsidRPr="00EC20A0">
              <w:rPr>
                <w:spacing w:val="-4"/>
                <w:sz w:val="20"/>
              </w:rPr>
              <w:t xml:space="preserve"> </w:t>
            </w:r>
            <w:r w:rsidRPr="00EC20A0">
              <w:rPr>
                <w:sz w:val="20"/>
              </w:rPr>
              <w:t>draft</w:t>
            </w:r>
            <w:r w:rsidRPr="00EC20A0">
              <w:rPr>
                <w:spacing w:val="-4"/>
                <w:sz w:val="20"/>
              </w:rPr>
              <w:t xml:space="preserve"> </w:t>
            </w:r>
            <w:r w:rsidRPr="00EC20A0">
              <w:rPr>
                <w:sz w:val="20"/>
              </w:rPr>
              <w:t>report</w:t>
            </w:r>
            <w:r w:rsidRPr="00EC20A0">
              <w:rPr>
                <w:spacing w:val="-4"/>
                <w:sz w:val="20"/>
              </w:rPr>
              <w:t xml:space="preserve"> </w:t>
            </w:r>
            <w:r w:rsidRPr="00EC20A0">
              <w:rPr>
                <w:sz w:val="20"/>
              </w:rPr>
              <w:t>or</w:t>
            </w:r>
            <w:r w:rsidRPr="00EC20A0">
              <w:rPr>
                <w:spacing w:val="-3"/>
                <w:sz w:val="20"/>
              </w:rPr>
              <w:t xml:space="preserve"> </w:t>
            </w:r>
            <w:r w:rsidRPr="00EC20A0">
              <w:rPr>
                <w:sz w:val="20"/>
              </w:rPr>
              <w:t>procedures</w:t>
            </w:r>
            <w:r w:rsidRPr="00EC20A0">
              <w:rPr>
                <w:spacing w:val="-3"/>
                <w:sz w:val="20"/>
              </w:rPr>
              <w:t xml:space="preserve"> </w:t>
            </w:r>
            <w:r w:rsidRPr="00EC20A0">
              <w:rPr>
                <w:sz w:val="20"/>
              </w:rPr>
              <w:t>related</w:t>
            </w:r>
            <w:r w:rsidRPr="00EC20A0">
              <w:rPr>
                <w:spacing w:val="-4"/>
                <w:sz w:val="20"/>
              </w:rPr>
              <w:t xml:space="preserve"> </w:t>
            </w:r>
            <w:r w:rsidRPr="00EC20A0">
              <w:rPr>
                <w:sz w:val="20"/>
              </w:rPr>
              <w:t>to</w:t>
            </w:r>
            <w:r w:rsidRPr="00EC20A0">
              <w:rPr>
                <w:spacing w:val="-4"/>
                <w:sz w:val="20"/>
              </w:rPr>
              <w:t xml:space="preserve"> </w:t>
            </w:r>
            <w:r w:rsidRPr="00EC20A0">
              <w:rPr>
                <w:sz w:val="20"/>
              </w:rPr>
              <w:t>subsequently</w:t>
            </w:r>
            <w:r w:rsidRPr="00EC20A0">
              <w:rPr>
                <w:spacing w:val="-3"/>
                <w:sz w:val="20"/>
              </w:rPr>
              <w:t xml:space="preserve"> </w:t>
            </w:r>
            <w:r w:rsidRPr="00EC20A0">
              <w:rPr>
                <w:sz w:val="20"/>
              </w:rPr>
              <w:t>discovered</w:t>
            </w:r>
            <w:r w:rsidRPr="00EC20A0">
              <w:rPr>
                <w:spacing w:val="-5"/>
                <w:sz w:val="20"/>
              </w:rPr>
              <w:t xml:space="preserve"> </w:t>
            </w:r>
            <w:r w:rsidRPr="00EC20A0">
              <w:rPr>
                <w:sz w:val="20"/>
              </w:rPr>
              <w:t>facts, cannot be reviewed until after the auditor’s report date</w:t>
            </w:r>
            <w:r w:rsidRPr="00EC20A0">
              <w:t>.)</w:t>
            </w:r>
          </w:p>
        </w:tc>
        <w:tc>
          <w:tcPr>
            <w:tcW w:w="720" w:type="dxa"/>
            <w:tcBorders>
              <w:top w:val="double" w:sz="4" w:space="0" w:color="000000"/>
              <w:left w:val="single" w:sz="6" w:space="0" w:color="000000"/>
              <w:bottom w:val="single" w:sz="8" w:space="0" w:color="000000"/>
              <w:right w:val="single" w:sz="6" w:space="0" w:color="000000"/>
            </w:tcBorders>
          </w:tcPr>
          <w:p w14:paraId="24D6290E" w14:textId="77777777" w:rsidR="00245300" w:rsidRPr="00EC20A0" w:rsidRDefault="00245300">
            <w:pPr>
              <w:pStyle w:val="TableParagraph"/>
              <w:rPr>
                <w:sz w:val="20"/>
              </w:rPr>
            </w:pPr>
          </w:p>
        </w:tc>
        <w:tc>
          <w:tcPr>
            <w:tcW w:w="1350" w:type="dxa"/>
            <w:tcBorders>
              <w:top w:val="double" w:sz="4" w:space="0" w:color="000000"/>
              <w:left w:val="single" w:sz="6" w:space="0" w:color="000000"/>
              <w:bottom w:val="single" w:sz="8" w:space="0" w:color="000000"/>
            </w:tcBorders>
          </w:tcPr>
          <w:p w14:paraId="24D6290F" w14:textId="77777777" w:rsidR="00245300" w:rsidRPr="00EC20A0" w:rsidRDefault="00245300">
            <w:pPr>
              <w:pStyle w:val="TableParagraph"/>
              <w:rPr>
                <w:sz w:val="20"/>
              </w:rPr>
            </w:pPr>
          </w:p>
        </w:tc>
      </w:tr>
      <w:tr w:rsidR="00245300" w:rsidRPr="00EC20A0" w14:paraId="24D62914" w14:textId="77777777">
        <w:trPr>
          <w:trHeight w:val="746"/>
        </w:trPr>
        <w:tc>
          <w:tcPr>
            <w:tcW w:w="7446" w:type="dxa"/>
            <w:tcBorders>
              <w:top w:val="single" w:sz="8" w:space="0" w:color="000000"/>
              <w:bottom w:val="single" w:sz="8" w:space="0" w:color="000000"/>
              <w:right w:val="single" w:sz="8" w:space="0" w:color="000000"/>
            </w:tcBorders>
          </w:tcPr>
          <w:p w14:paraId="24D62911" w14:textId="77777777" w:rsidR="00245300" w:rsidRPr="00EC20A0" w:rsidRDefault="00F17249">
            <w:pPr>
              <w:pStyle w:val="TableParagraph"/>
              <w:spacing w:before="121"/>
              <w:ind w:left="914" w:right="242" w:hanging="360"/>
            </w:pPr>
            <w:r w:rsidRPr="00EC20A0">
              <w:t>6.</w:t>
            </w:r>
            <w:r w:rsidRPr="00EC20A0">
              <w:rPr>
                <w:spacing w:val="80"/>
              </w:rPr>
              <w:t xml:space="preserve"> </w:t>
            </w:r>
            <w:r w:rsidRPr="00EC20A0">
              <w:t>Were</w:t>
            </w:r>
            <w:r w:rsidRPr="00EC20A0">
              <w:rPr>
                <w:spacing w:val="-5"/>
              </w:rPr>
              <w:t xml:space="preserve"> </w:t>
            </w:r>
            <w:r w:rsidRPr="00EC20A0">
              <w:t>review</w:t>
            </w:r>
            <w:r w:rsidRPr="00EC20A0">
              <w:rPr>
                <w:spacing w:val="-6"/>
              </w:rPr>
              <w:t xml:space="preserve"> </w:t>
            </w:r>
            <w:r w:rsidRPr="00EC20A0">
              <w:t>responsibilities</w:t>
            </w:r>
            <w:r w:rsidRPr="00EC20A0">
              <w:rPr>
                <w:spacing w:val="-5"/>
              </w:rPr>
              <w:t xml:space="preserve"> </w:t>
            </w:r>
            <w:r w:rsidRPr="00EC20A0">
              <w:t>documented</w:t>
            </w:r>
            <w:r w:rsidRPr="00EC20A0">
              <w:rPr>
                <w:spacing w:val="-5"/>
              </w:rPr>
              <w:t xml:space="preserve"> </w:t>
            </w:r>
            <w:r w:rsidRPr="00EC20A0">
              <w:t>and</w:t>
            </w:r>
            <w:r w:rsidRPr="00EC20A0">
              <w:rPr>
                <w:spacing w:val="-5"/>
              </w:rPr>
              <w:t xml:space="preserve"> </w:t>
            </w:r>
            <w:r w:rsidRPr="00EC20A0">
              <w:t>communicated</w:t>
            </w:r>
            <w:r w:rsidRPr="00EC20A0">
              <w:rPr>
                <w:spacing w:val="-4"/>
              </w:rPr>
              <w:t xml:space="preserve"> </w:t>
            </w:r>
            <w:r w:rsidRPr="00EC20A0">
              <w:t>to all individuals on the engagement?</w:t>
            </w:r>
          </w:p>
        </w:tc>
        <w:tc>
          <w:tcPr>
            <w:tcW w:w="720" w:type="dxa"/>
            <w:tcBorders>
              <w:top w:val="single" w:sz="8" w:space="0" w:color="000000"/>
              <w:left w:val="single" w:sz="8" w:space="0" w:color="000000"/>
              <w:bottom w:val="single" w:sz="8" w:space="0" w:color="000000"/>
              <w:right w:val="single" w:sz="8" w:space="0" w:color="000000"/>
            </w:tcBorders>
          </w:tcPr>
          <w:p w14:paraId="24D62912"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913" w14:textId="77777777" w:rsidR="00245300" w:rsidRPr="00EC20A0" w:rsidRDefault="00245300">
            <w:pPr>
              <w:pStyle w:val="TableParagraph"/>
              <w:rPr>
                <w:sz w:val="20"/>
              </w:rPr>
            </w:pPr>
          </w:p>
        </w:tc>
      </w:tr>
      <w:tr w:rsidR="00245300" w:rsidRPr="00EC20A0" w14:paraId="24D62918" w14:textId="77777777">
        <w:trPr>
          <w:trHeight w:val="998"/>
        </w:trPr>
        <w:tc>
          <w:tcPr>
            <w:tcW w:w="7446" w:type="dxa"/>
            <w:tcBorders>
              <w:top w:val="single" w:sz="8" w:space="0" w:color="000000"/>
              <w:bottom w:val="single" w:sz="8" w:space="0" w:color="000000"/>
              <w:right w:val="single" w:sz="8" w:space="0" w:color="000000"/>
            </w:tcBorders>
          </w:tcPr>
          <w:p w14:paraId="24D62915" w14:textId="77777777" w:rsidR="00245300" w:rsidRPr="00EC20A0" w:rsidRDefault="00F17249">
            <w:pPr>
              <w:pStyle w:val="TableParagraph"/>
              <w:spacing w:before="119"/>
              <w:ind w:left="914" w:right="113" w:hanging="360"/>
              <w:jc w:val="both"/>
            </w:pPr>
            <w:r w:rsidRPr="00EC20A0">
              <w:t>7.</w:t>
            </w:r>
            <w:r w:rsidRPr="00EC20A0">
              <w:rPr>
                <w:spacing w:val="80"/>
              </w:rPr>
              <w:t xml:space="preserve"> </w:t>
            </w:r>
            <w:r w:rsidRPr="00EC20A0">
              <w:t>Did</w:t>
            </w:r>
            <w:r w:rsidRPr="00EC20A0">
              <w:rPr>
                <w:spacing w:val="-3"/>
              </w:rPr>
              <w:t xml:space="preserve"> </w:t>
            </w:r>
            <w:r w:rsidRPr="00EC20A0">
              <w:t>the</w:t>
            </w:r>
            <w:r w:rsidRPr="00EC20A0">
              <w:rPr>
                <w:spacing w:val="-3"/>
              </w:rPr>
              <w:t xml:space="preserve"> </w:t>
            </w:r>
            <w:r w:rsidRPr="00EC20A0">
              <w:t>audit</w:t>
            </w:r>
            <w:r w:rsidRPr="00EC20A0">
              <w:rPr>
                <w:spacing w:val="-3"/>
              </w:rPr>
              <w:t xml:space="preserve"> </w:t>
            </w:r>
            <w:r w:rsidRPr="00EC20A0">
              <w:t>director</w:t>
            </w:r>
            <w:r w:rsidRPr="00EC20A0">
              <w:rPr>
                <w:spacing w:val="-3"/>
              </w:rPr>
              <w:t xml:space="preserve"> </w:t>
            </w:r>
            <w:r w:rsidRPr="00EC20A0">
              <w:t>determine</w:t>
            </w:r>
            <w:r w:rsidRPr="00EC20A0">
              <w:rPr>
                <w:spacing w:val="-3"/>
              </w:rPr>
              <w:t xml:space="preserve"> </w:t>
            </w:r>
            <w:r w:rsidRPr="00EC20A0">
              <w:t>that</w:t>
            </w:r>
            <w:r w:rsidRPr="00EC20A0">
              <w:rPr>
                <w:spacing w:val="-3"/>
              </w:rPr>
              <w:t xml:space="preserve"> </w:t>
            </w:r>
            <w:r w:rsidRPr="00EC20A0">
              <w:t>the</w:t>
            </w:r>
            <w:r w:rsidRPr="00EC20A0">
              <w:rPr>
                <w:spacing w:val="-3"/>
              </w:rPr>
              <w:t xml:space="preserve"> </w:t>
            </w:r>
            <w:r w:rsidRPr="00EC20A0">
              <w:t>work</w:t>
            </w:r>
            <w:r w:rsidRPr="00EC20A0">
              <w:rPr>
                <w:spacing w:val="-3"/>
              </w:rPr>
              <w:t xml:space="preserve"> </w:t>
            </w:r>
            <w:r w:rsidRPr="00EC20A0">
              <w:t>performed</w:t>
            </w:r>
            <w:r w:rsidRPr="00EC20A0">
              <w:rPr>
                <w:spacing w:val="-3"/>
              </w:rPr>
              <w:t xml:space="preserve"> </w:t>
            </w:r>
            <w:r w:rsidRPr="00EC20A0">
              <w:t>by</w:t>
            </w:r>
            <w:r w:rsidRPr="00EC20A0">
              <w:rPr>
                <w:spacing w:val="-3"/>
              </w:rPr>
              <w:t xml:space="preserve"> </w:t>
            </w:r>
            <w:r w:rsidRPr="00EC20A0">
              <w:t>the</w:t>
            </w:r>
            <w:r w:rsidRPr="00EC20A0">
              <w:rPr>
                <w:spacing w:val="-3"/>
              </w:rPr>
              <w:t xml:space="preserve"> </w:t>
            </w:r>
            <w:r w:rsidRPr="00EC20A0">
              <w:t xml:space="preserve">IS controls auditor is sufficient and appropriate for meeting the audit </w:t>
            </w:r>
            <w:r w:rsidRPr="00EC20A0">
              <w:rPr>
                <w:spacing w:val="-2"/>
              </w:rPr>
              <w:t>objectives?</w:t>
            </w:r>
          </w:p>
        </w:tc>
        <w:tc>
          <w:tcPr>
            <w:tcW w:w="720" w:type="dxa"/>
            <w:tcBorders>
              <w:top w:val="single" w:sz="8" w:space="0" w:color="000000"/>
              <w:left w:val="single" w:sz="8" w:space="0" w:color="000000"/>
              <w:bottom w:val="single" w:sz="8" w:space="0" w:color="000000"/>
              <w:right w:val="single" w:sz="8" w:space="0" w:color="000000"/>
            </w:tcBorders>
          </w:tcPr>
          <w:p w14:paraId="24D62916"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917" w14:textId="77777777" w:rsidR="00245300" w:rsidRPr="00EC20A0" w:rsidRDefault="00245300">
            <w:pPr>
              <w:pStyle w:val="TableParagraph"/>
              <w:rPr>
                <w:sz w:val="20"/>
              </w:rPr>
            </w:pPr>
          </w:p>
        </w:tc>
      </w:tr>
      <w:tr w:rsidR="00245300" w:rsidRPr="00EC20A0" w14:paraId="24D6291C" w14:textId="77777777">
        <w:trPr>
          <w:trHeight w:val="1251"/>
        </w:trPr>
        <w:tc>
          <w:tcPr>
            <w:tcW w:w="7446" w:type="dxa"/>
            <w:tcBorders>
              <w:top w:val="single" w:sz="8" w:space="0" w:color="000000"/>
              <w:bottom w:val="single" w:sz="8" w:space="0" w:color="000000"/>
              <w:right w:val="single" w:sz="8" w:space="0" w:color="000000"/>
            </w:tcBorders>
          </w:tcPr>
          <w:p w14:paraId="24D62919" w14:textId="77777777" w:rsidR="00245300" w:rsidRPr="00EC20A0" w:rsidRDefault="00F17249">
            <w:pPr>
              <w:pStyle w:val="TableParagraph"/>
              <w:spacing w:before="119"/>
              <w:ind w:left="914" w:hanging="360"/>
            </w:pPr>
            <w:r w:rsidRPr="00EC20A0">
              <w:t>8.</w:t>
            </w:r>
            <w:r w:rsidRPr="00EC20A0">
              <w:rPr>
                <w:spacing w:val="80"/>
              </w:rPr>
              <w:t xml:space="preserve"> </w:t>
            </w:r>
            <w:r w:rsidRPr="00EC20A0">
              <w:t>Was any documentation prepared by an IS controls auditor reviewed</w:t>
            </w:r>
            <w:r w:rsidRPr="00EC20A0">
              <w:rPr>
                <w:spacing w:val="-5"/>
              </w:rPr>
              <w:t xml:space="preserve"> </w:t>
            </w:r>
            <w:r w:rsidRPr="00EC20A0">
              <w:t>by</w:t>
            </w:r>
            <w:r w:rsidRPr="00EC20A0">
              <w:rPr>
                <w:spacing w:val="-6"/>
              </w:rPr>
              <w:t xml:space="preserve"> </w:t>
            </w:r>
            <w:r w:rsidRPr="00EC20A0">
              <w:t>an</w:t>
            </w:r>
            <w:r w:rsidRPr="00EC20A0">
              <w:rPr>
                <w:spacing w:val="-5"/>
              </w:rPr>
              <w:t xml:space="preserve"> </w:t>
            </w:r>
            <w:r w:rsidRPr="00EC20A0">
              <w:t>individual</w:t>
            </w:r>
            <w:r w:rsidRPr="00EC20A0">
              <w:rPr>
                <w:spacing w:val="-5"/>
              </w:rPr>
              <w:t xml:space="preserve"> </w:t>
            </w:r>
            <w:r w:rsidRPr="00EC20A0">
              <w:t>with</w:t>
            </w:r>
            <w:r w:rsidRPr="00EC20A0">
              <w:rPr>
                <w:spacing w:val="-5"/>
              </w:rPr>
              <w:t xml:space="preserve"> </w:t>
            </w:r>
            <w:r w:rsidRPr="00EC20A0">
              <w:t>sufficient</w:t>
            </w:r>
            <w:r w:rsidRPr="00EC20A0">
              <w:rPr>
                <w:spacing w:val="-5"/>
              </w:rPr>
              <w:t xml:space="preserve"> </w:t>
            </w:r>
            <w:r w:rsidRPr="00EC20A0">
              <w:t>technical</w:t>
            </w:r>
            <w:r w:rsidRPr="00EC20A0">
              <w:rPr>
                <w:spacing w:val="-5"/>
              </w:rPr>
              <w:t xml:space="preserve"> </w:t>
            </w:r>
            <w:r w:rsidRPr="00EC20A0">
              <w:t>knowledge</w:t>
            </w:r>
            <w:r w:rsidRPr="00EC20A0">
              <w:rPr>
                <w:spacing w:val="-5"/>
              </w:rPr>
              <w:t xml:space="preserve"> </w:t>
            </w:r>
            <w:r w:rsidRPr="00EC20A0">
              <w:t xml:space="preserve">to determine whether the work was </w:t>
            </w:r>
            <w:r w:rsidRPr="00EC20A0">
              <w:t>properly performed and the conclusions reached are reasonable and supported?</w:t>
            </w:r>
          </w:p>
        </w:tc>
        <w:tc>
          <w:tcPr>
            <w:tcW w:w="720" w:type="dxa"/>
            <w:tcBorders>
              <w:top w:val="single" w:sz="8" w:space="0" w:color="000000"/>
              <w:left w:val="single" w:sz="8" w:space="0" w:color="000000"/>
              <w:bottom w:val="single" w:sz="8" w:space="0" w:color="000000"/>
              <w:right w:val="single" w:sz="8" w:space="0" w:color="000000"/>
            </w:tcBorders>
          </w:tcPr>
          <w:p w14:paraId="24D6291A"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91B" w14:textId="77777777" w:rsidR="00245300" w:rsidRPr="00EC20A0" w:rsidRDefault="00245300">
            <w:pPr>
              <w:pStyle w:val="TableParagraph"/>
              <w:rPr>
                <w:sz w:val="20"/>
              </w:rPr>
            </w:pPr>
          </w:p>
        </w:tc>
      </w:tr>
      <w:tr w:rsidR="00245300" w:rsidRPr="00EC20A0" w14:paraId="24D62920" w14:textId="77777777">
        <w:trPr>
          <w:trHeight w:val="1252"/>
        </w:trPr>
        <w:tc>
          <w:tcPr>
            <w:tcW w:w="7446" w:type="dxa"/>
            <w:tcBorders>
              <w:top w:val="single" w:sz="8" w:space="0" w:color="000000"/>
              <w:bottom w:val="single" w:sz="8" w:space="0" w:color="000000"/>
              <w:right w:val="single" w:sz="8" w:space="0" w:color="000000"/>
            </w:tcBorders>
          </w:tcPr>
          <w:p w14:paraId="24D6291D" w14:textId="77777777" w:rsidR="00245300" w:rsidRPr="00EC20A0" w:rsidRDefault="00F17249">
            <w:pPr>
              <w:pStyle w:val="TableParagraph"/>
              <w:spacing w:before="119"/>
              <w:ind w:left="914" w:right="242" w:hanging="360"/>
            </w:pPr>
            <w:r w:rsidRPr="00EC20A0">
              <w:t>9.</w:t>
            </w:r>
            <w:r w:rsidRPr="00EC20A0">
              <w:rPr>
                <w:spacing w:val="79"/>
              </w:rPr>
              <w:t xml:space="preserve"> </w:t>
            </w:r>
            <w:r w:rsidRPr="00EC20A0">
              <w:t>For</w:t>
            </w:r>
            <w:r w:rsidRPr="00EC20A0">
              <w:rPr>
                <w:spacing w:val="-3"/>
              </w:rPr>
              <w:t xml:space="preserve"> </w:t>
            </w:r>
            <w:r w:rsidRPr="00EC20A0">
              <w:t>cycles</w:t>
            </w:r>
            <w:r w:rsidRPr="00EC20A0">
              <w:rPr>
                <w:spacing w:val="-3"/>
              </w:rPr>
              <w:t xml:space="preserve"> </w:t>
            </w:r>
            <w:r w:rsidRPr="00EC20A0">
              <w:t>that</w:t>
            </w:r>
            <w:r w:rsidRPr="00EC20A0">
              <w:rPr>
                <w:spacing w:val="-3"/>
              </w:rPr>
              <w:t xml:space="preserve"> </w:t>
            </w:r>
            <w:r w:rsidRPr="00EC20A0">
              <w:t>have</w:t>
            </w:r>
            <w:r w:rsidRPr="00EC20A0">
              <w:rPr>
                <w:spacing w:val="-3"/>
              </w:rPr>
              <w:t xml:space="preserve"> </w:t>
            </w:r>
            <w:r w:rsidRPr="00EC20A0">
              <w:t>high</w:t>
            </w:r>
            <w:r w:rsidRPr="00EC20A0">
              <w:rPr>
                <w:spacing w:val="-3"/>
              </w:rPr>
              <w:t xml:space="preserve"> </w:t>
            </w:r>
            <w:r w:rsidRPr="00EC20A0">
              <w:t>risk(s)</w:t>
            </w:r>
            <w:r w:rsidRPr="00EC20A0">
              <w:rPr>
                <w:spacing w:val="-3"/>
              </w:rPr>
              <w:t xml:space="preserve"> </w:t>
            </w:r>
            <w:r w:rsidRPr="00EC20A0">
              <w:t>of</w:t>
            </w:r>
            <w:r w:rsidRPr="00EC20A0">
              <w:rPr>
                <w:spacing w:val="-4"/>
              </w:rPr>
              <w:t xml:space="preserve"> </w:t>
            </w:r>
            <w:r w:rsidRPr="00EC20A0">
              <w:t>material</w:t>
            </w:r>
            <w:r w:rsidRPr="00EC20A0">
              <w:rPr>
                <w:spacing w:val="-3"/>
              </w:rPr>
              <w:t xml:space="preserve"> </w:t>
            </w:r>
            <w:r w:rsidRPr="00EC20A0">
              <w:t>misstatement</w:t>
            </w:r>
            <w:r w:rsidRPr="00EC20A0">
              <w:rPr>
                <w:spacing w:val="-3"/>
              </w:rPr>
              <w:t xml:space="preserve"> </w:t>
            </w:r>
            <w:r w:rsidRPr="00EC20A0">
              <w:t>at</w:t>
            </w:r>
            <w:r w:rsidRPr="00EC20A0">
              <w:rPr>
                <w:spacing w:val="-3"/>
              </w:rPr>
              <w:t xml:space="preserve"> </w:t>
            </w:r>
            <w:r w:rsidRPr="00EC20A0">
              <w:t xml:space="preserve">the assertion level or significant risk(s), did the audit director or assistant director perform secondary review of the </w:t>
            </w:r>
            <w:r w:rsidRPr="00EC20A0">
              <w:rPr>
                <w:spacing w:val="-2"/>
              </w:rPr>
              <w:t>documentation?</w:t>
            </w:r>
          </w:p>
        </w:tc>
        <w:tc>
          <w:tcPr>
            <w:tcW w:w="720" w:type="dxa"/>
            <w:tcBorders>
              <w:top w:val="single" w:sz="8" w:space="0" w:color="000000"/>
              <w:left w:val="single" w:sz="8" w:space="0" w:color="000000"/>
              <w:bottom w:val="single" w:sz="8" w:space="0" w:color="000000"/>
              <w:right w:val="single" w:sz="8" w:space="0" w:color="000000"/>
            </w:tcBorders>
          </w:tcPr>
          <w:p w14:paraId="24D6291E"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91F" w14:textId="77777777" w:rsidR="00245300" w:rsidRPr="00EC20A0" w:rsidRDefault="00245300">
            <w:pPr>
              <w:pStyle w:val="TableParagraph"/>
              <w:rPr>
                <w:sz w:val="20"/>
              </w:rPr>
            </w:pPr>
          </w:p>
        </w:tc>
      </w:tr>
      <w:tr w:rsidR="00245300" w:rsidRPr="00EC20A0" w14:paraId="24D62924" w14:textId="77777777">
        <w:trPr>
          <w:trHeight w:val="998"/>
        </w:trPr>
        <w:tc>
          <w:tcPr>
            <w:tcW w:w="7446" w:type="dxa"/>
            <w:tcBorders>
              <w:top w:val="single" w:sz="8" w:space="0" w:color="000000"/>
              <w:bottom w:val="single" w:sz="8" w:space="0" w:color="000000"/>
              <w:right w:val="single" w:sz="8" w:space="0" w:color="000000"/>
            </w:tcBorders>
          </w:tcPr>
          <w:p w14:paraId="24D62921" w14:textId="77777777" w:rsidR="00245300" w:rsidRPr="00EC20A0" w:rsidRDefault="00F17249">
            <w:pPr>
              <w:pStyle w:val="TableParagraph"/>
              <w:spacing w:before="119"/>
              <w:ind w:left="914" w:right="75" w:hanging="361"/>
            </w:pPr>
            <w:r w:rsidRPr="00EC20A0">
              <w:t>10.</w:t>
            </w:r>
            <w:r w:rsidRPr="00EC20A0">
              <w:rPr>
                <w:spacing w:val="-11"/>
              </w:rPr>
              <w:t xml:space="preserve"> </w:t>
            </w:r>
            <w:r w:rsidRPr="00EC20A0">
              <w:t>Was</w:t>
            </w:r>
            <w:r w:rsidRPr="00EC20A0">
              <w:rPr>
                <w:spacing w:val="-4"/>
              </w:rPr>
              <w:t xml:space="preserve"> </w:t>
            </w:r>
            <w:r w:rsidRPr="00EC20A0">
              <w:t>all</w:t>
            </w:r>
            <w:r w:rsidRPr="00EC20A0">
              <w:rPr>
                <w:spacing w:val="-4"/>
              </w:rPr>
              <w:t xml:space="preserve"> </w:t>
            </w:r>
            <w:r w:rsidRPr="00EC20A0">
              <w:t>documentation</w:t>
            </w:r>
            <w:r w:rsidRPr="00EC20A0">
              <w:rPr>
                <w:spacing w:val="-4"/>
              </w:rPr>
              <w:t xml:space="preserve"> </w:t>
            </w:r>
            <w:r w:rsidRPr="00EC20A0">
              <w:t>prepared</w:t>
            </w:r>
            <w:r w:rsidRPr="00EC20A0">
              <w:rPr>
                <w:spacing w:val="-4"/>
              </w:rPr>
              <w:t xml:space="preserve"> </w:t>
            </w:r>
            <w:r w:rsidRPr="00EC20A0">
              <w:t>by</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director</w:t>
            </w:r>
            <w:r w:rsidRPr="00EC20A0">
              <w:rPr>
                <w:spacing w:val="-4"/>
              </w:rPr>
              <w:t xml:space="preserve"> </w:t>
            </w:r>
            <w:r w:rsidRPr="00EC20A0">
              <w:t>or</w:t>
            </w:r>
            <w:r w:rsidRPr="00EC20A0">
              <w:rPr>
                <w:spacing w:val="-4"/>
              </w:rPr>
              <w:t xml:space="preserve"> </w:t>
            </w:r>
            <w:r w:rsidRPr="00EC20A0">
              <w:t xml:space="preserve">assistant directors read by the </w:t>
            </w:r>
            <w:r w:rsidRPr="00EC20A0">
              <w:t>auditor-in-charge to determine its consistency with any related documentation?</w:t>
            </w:r>
          </w:p>
        </w:tc>
        <w:tc>
          <w:tcPr>
            <w:tcW w:w="720" w:type="dxa"/>
            <w:tcBorders>
              <w:top w:val="single" w:sz="8" w:space="0" w:color="000000"/>
              <w:left w:val="single" w:sz="8" w:space="0" w:color="000000"/>
              <w:bottom w:val="single" w:sz="8" w:space="0" w:color="000000"/>
              <w:right w:val="single" w:sz="8" w:space="0" w:color="000000"/>
            </w:tcBorders>
          </w:tcPr>
          <w:p w14:paraId="24D62922"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923" w14:textId="77777777" w:rsidR="00245300" w:rsidRPr="00EC20A0" w:rsidRDefault="00245300">
            <w:pPr>
              <w:pStyle w:val="TableParagraph"/>
              <w:rPr>
                <w:sz w:val="20"/>
              </w:rPr>
            </w:pPr>
          </w:p>
        </w:tc>
      </w:tr>
      <w:tr w:rsidR="00245300" w:rsidRPr="00EC20A0" w14:paraId="24D62928" w14:textId="77777777">
        <w:trPr>
          <w:trHeight w:val="1252"/>
        </w:trPr>
        <w:tc>
          <w:tcPr>
            <w:tcW w:w="7446" w:type="dxa"/>
            <w:tcBorders>
              <w:top w:val="single" w:sz="8" w:space="0" w:color="000000"/>
              <w:bottom w:val="single" w:sz="8" w:space="0" w:color="000000"/>
              <w:right w:val="single" w:sz="8" w:space="0" w:color="000000"/>
            </w:tcBorders>
          </w:tcPr>
          <w:p w14:paraId="24D62925" w14:textId="77777777" w:rsidR="00245300" w:rsidRPr="00EC20A0" w:rsidRDefault="00F17249">
            <w:pPr>
              <w:pStyle w:val="TableParagraph"/>
              <w:spacing w:before="119"/>
              <w:ind w:left="914" w:hanging="360"/>
            </w:pPr>
            <w:r w:rsidRPr="00EC20A0">
              <w:t>11. If the documentation indicated a difference of opinion between engagement</w:t>
            </w:r>
            <w:r w:rsidRPr="00EC20A0">
              <w:rPr>
                <w:spacing w:val="-6"/>
              </w:rPr>
              <w:t xml:space="preserve"> </w:t>
            </w:r>
            <w:r w:rsidRPr="00EC20A0">
              <w:t>personnel</w:t>
            </w:r>
            <w:r w:rsidRPr="00EC20A0">
              <w:rPr>
                <w:spacing w:val="-6"/>
              </w:rPr>
              <w:t xml:space="preserve"> </w:t>
            </w:r>
            <w:r w:rsidRPr="00EC20A0">
              <w:t>or</w:t>
            </w:r>
            <w:r w:rsidRPr="00EC20A0">
              <w:rPr>
                <w:spacing w:val="-6"/>
              </w:rPr>
              <w:t xml:space="preserve"> </w:t>
            </w:r>
            <w:r w:rsidRPr="00EC20A0">
              <w:t>between</w:t>
            </w:r>
            <w:r w:rsidRPr="00EC20A0">
              <w:rPr>
                <w:spacing w:val="-6"/>
              </w:rPr>
              <w:t xml:space="preserve"> </w:t>
            </w:r>
            <w:r w:rsidRPr="00EC20A0">
              <w:t>engagement</w:t>
            </w:r>
            <w:r w:rsidRPr="00EC20A0">
              <w:rPr>
                <w:spacing w:val="-6"/>
              </w:rPr>
              <w:t xml:space="preserve"> </w:t>
            </w:r>
            <w:r w:rsidRPr="00EC20A0">
              <w:t>personnel</w:t>
            </w:r>
            <w:r w:rsidRPr="00EC20A0">
              <w:rPr>
                <w:spacing w:val="-6"/>
              </w:rPr>
              <w:t xml:space="preserve"> </w:t>
            </w:r>
            <w:r w:rsidRPr="00EC20A0">
              <w:t>and</w:t>
            </w:r>
            <w:r w:rsidRPr="00EC20A0">
              <w:rPr>
                <w:spacing w:val="-6"/>
              </w:rPr>
              <w:t xml:space="preserve"> </w:t>
            </w:r>
            <w:r w:rsidRPr="00EC20A0">
              <w:t xml:space="preserve">a specialist or other person consulted, was the </w:t>
            </w:r>
            <w:r w:rsidRPr="00EC20A0">
              <w:t>difference resolved appropriately and was the basis of the resolution documented?</w:t>
            </w:r>
          </w:p>
        </w:tc>
        <w:tc>
          <w:tcPr>
            <w:tcW w:w="720" w:type="dxa"/>
            <w:tcBorders>
              <w:top w:val="single" w:sz="8" w:space="0" w:color="000000"/>
              <w:left w:val="single" w:sz="8" w:space="0" w:color="000000"/>
              <w:bottom w:val="single" w:sz="8" w:space="0" w:color="000000"/>
              <w:right w:val="single" w:sz="8" w:space="0" w:color="000000"/>
            </w:tcBorders>
          </w:tcPr>
          <w:p w14:paraId="24D62926"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tcPr>
          <w:p w14:paraId="24D62927" w14:textId="77777777" w:rsidR="00245300" w:rsidRPr="00EC20A0" w:rsidRDefault="00245300">
            <w:pPr>
              <w:pStyle w:val="TableParagraph"/>
              <w:rPr>
                <w:sz w:val="20"/>
              </w:rPr>
            </w:pPr>
          </w:p>
        </w:tc>
      </w:tr>
      <w:tr w:rsidR="00245300" w:rsidRPr="00EC20A0" w14:paraId="24D6292C" w14:textId="77777777">
        <w:trPr>
          <w:trHeight w:val="746"/>
        </w:trPr>
        <w:tc>
          <w:tcPr>
            <w:tcW w:w="7446" w:type="dxa"/>
            <w:tcBorders>
              <w:top w:val="single" w:sz="8" w:space="0" w:color="000000"/>
              <w:bottom w:val="single" w:sz="8" w:space="0" w:color="000000"/>
              <w:right w:val="single" w:sz="8" w:space="0" w:color="000000"/>
            </w:tcBorders>
          </w:tcPr>
          <w:p w14:paraId="24D62929" w14:textId="77777777" w:rsidR="00245300" w:rsidRPr="00EC20A0" w:rsidRDefault="00F17249">
            <w:pPr>
              <w:pStyle w:val="TableParagraph"/>
              <w:spacing w:before="119"/>
              <w:ind w:left="914" w:right="512" w:hanging="360"/>
            </w:pPr>
            <w:r w:rsidRPr="00EC20A0">
              <w:t>12.</w:t>
            </w:r>
            <w:r w:rsidRPr="00EC20A0">
              <w:rPr>
                <w:spacing w:val="-11"/>
              </w:rPr>
              <w:t xml:space="preserve"> </w:t>
            </w:r>
            <w:r w:rsidRPr="00EC20A0">
              <w:t>In</w:t>
            </w:r>
            <w:r w:rsidRPr="00EC20A0">
              <w:rPr>
                <w:spacing w:val="-4"/>
              </w:rPr>
              <w:t xml:space="preserve"> </w:t>
            </w:r>
            <w:r w:rsidRPr="00EC20A0">
              <w:t>addition</w:t>
            </w:r>
            <w:r w:rsidRPr="00EC20A0">
              <w:rPr>
                <w:spacing w:val="-4"/>
              </w:rPr>
              <w:t xml:space="preserve"> </w:t>
            </w:r>
            <w:r w:rsidRPr="00EC20A0">
              <w:t>to</w:t>
            </w:r>
            <w:r w:rsidRPr="00EC20A0">
              <w:rPr>
                <w:spacing w:val="-4"/>
              </w:rPr>
              <w:t xml:space="preserve"> </w:t>
            </w:r>
            <w:r w:rsidRPr="00EC20A0">
              <w:t>the</w:t>
            </w:r>
            <w:r w:rsidRPr="00EC20A0">
              <w:rPr>
                <w:spacing w:val="-4"/>
              </w:rPr>
              <w:t xml:space="preserve"> </w:t>
            </w:r>
            <w:r w:rsidRPr="00EC20A0">
              <w:t>questions</w:t>
            </w:r>
            <w:r w:rsidRPr="00EC20A0">
              <w:rPr>
                <w:spacing w:val="-4"/>
              </w:rPr>
              <w:t xml:space="preserve"> </w:t>
            </w:r>
            <w:r w:rsidRPr="00EC20A0">
              <w:t>above,</w:t>
            </w:r>
            <w:r w:rsidRPr="00EC20A0">
              <w:rPr>
                <w:spacing w:val="-5"/>
              </w:rPr>
              <w:t xml:space="preserve"> </w:t>
            </w:r>
            <w:r w:rsidRPr="00EC20A0">
              <w:t>determine</w:t>
            </w:r>
            <w:r w:rsidRPr="00EC20A0">
              <w:rPr>
                <w:spacing w:val="-4"/>
              </w:rPr>
              <w:t xml:space="preserve"> </w:t>
            </w:r>
            <w:r w:rsidRPr="00EC20A0">
              <w:t>whether</w:t>
            </w:r>
            <w:r w:rsidRPr="00EC20A0">
              <w:rPr>
                <w:spacing w:val="-4"/>
              </w:rPr>
              <w:t xml:space="preserve"> </w:t>
            </w:r>
            <w:r w:rsidRPr="00EC20A0">
              <w:t>the following objectives were achieved. (AU-C 200.23)</w:t>
            </w:r>
          </w:p>
        </w:tc>
        <w:tc>
          <w:tcPr>
            <w:tcW w:w="720" w:type="dxa"/>
            <w:tcBorders>
              <w:top w:val="single" w:sz="8" w:space="0" w:color="000000"/>
              <w:left w:val="single" w:sz="8" w:space="0" w:color="000000"/>
              <w:bottom w:val="single" w:sz="8" w:space="0" w:color="000000"/>
              <w:right w:val="single" w:sz="8" w:space="0" w:color="000000"/>
            </w:tcBorders>
            <w:shd w:val="clear" w:color="auto" w:fill="BEBEBE"/>
          </w:tcPr>
          <w:p w14:paraId="24D6292A" w14:textId="77777777" w:rsidR="00245300" w:rsidRPr="00EC20A0" w:rsidRDefault="00245300">
            <w:pPr>
              <w:pStyle w:val="TableParagraph"/>
              <w:rPr>
                <w:sz w:val="20"/>
              </w:rPr>
            </w:pPr>
          </w:p>
        </w:tc>
        <w:tc>
          <w:tcPr>
            <w:tcW w:w="1350" w:type="dxa"/>
            <w:tcBorders>
              <w:top w:val="single" w:sz="8" w:space="0" w:color="000000"/>
              <w:left w:val="single" w:sz="8" w:space="0" w:color="000000"/>
              <w:bottom w:val="single" w:sz="8" w:space="0" w:color="000000"/>
            </w:tcBorders>
            <w:shd w:val="clear" w:color="auto" w:fill="BEBEBE"/>
          </w:tcPr>
          <w:p w14:paraId="24D6292B" w14:textId="77777777" w:rsidR="00245300" w:rsidRPr="00EC20A0" w:rsidRDefault="00245300">
            <w:pPr>
              <w:pStyle w:val="TableParagraph"/>
              <w:rPr>
                <w:sz w:val="20"/>
              </w:rPr>
            </w:pPr>
          </w:p>
        </w:tc>
      </w:tr>
    </w:tbl>
    <w:p w14:paraId="24D6292D" w14:textId="77777777" w:rsidR="00245300" w:rsidRPr="00EC20A0" w:rsidRDefault="00245300">
      <w:pPr>
        <w:rPr>
          <w:sz w:val="20"/>
        </w:rPr>
        <w:sectPr w:rsidR="00245300" w:rsidRPr="00EC20A0">
          <w:pgSz w:w="12240" w:h="15840"/>
          <w:pgMar w:top="1340" w:right="460" w:bottom="940" w:left="560" w:header="721" w:footer="757" w:gutter="0"/>
          <w:cols w:space="720"/>
        </w:sectPr>
      </w:pPr>
    </w:p>
    <w:p w14:paraId="24D6292E" w14:textId="77777777" w:rsidR="00245300" w:rsidRPr="00EC20A0" w:rsidRDefault="00245300">
      <w:pPr>
        <w:pStyle w:val="BodyText"/>
        <w:spacing w:before="9"/>
        <w:rPr>
          <w:sz w:val="11"/>
        </w:rPr>
      </w:pPr>
    </w:p>
    <w:tbl>
      <w:tblPr>
        <w:tblW w:w="0" w:type="auto"/>
        <w:tblInd w:w="9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245300" w:rsidRPr="00EC20A0" w14:paraId="24D62936" w14:textId="77777777">
        <w:trPr>
          <w:trHeight w:val="999"/>
        </w:trPr>
        <w:tc>
          <w:tcPr>
            <w:tcW w:w="7446" w:type="dxa"/>
            <w:tcBorders>
              <w:bottom w:val="double" w:sz="4" w:space="0" w:color="000000"/>
              <w:right w:val="single" w:sz="8" w:space="0" w:color="000000"/>
            </w:tcBorders>
            <w:shd w:val="clear" w:color="auto" w:fill="A6A6A6"/>
          </w:tcPr>
          <w:p w14:paraId="24D6292F" w14:textId="77777777" w:rsidR="00245300" w:rsidRPr="00EC20A0" w:rsidRDefault="00245300">
            <w:pPr>
              <w:pStyle w:val="TableParagraph"/>
              <w:rPr>
                <w:sz w:val="24"/>
              </w:rPr>
            </w:pPr>
          </w:p>
          <w:p w14:paraId="24D62930" w14:textId="77777777" w:rsidR="00245300" w:rsidRPr="00EC20A0" w:rsidRDefault="00245300">
            <w:pPr>
              <w:pStyle w:val="TableParagraph"/>
              <w:spacing w:before="72"/>
              <w:rPr>
                <w:sz w:val="24"/>
              </w:rPr>
            </w:pPr>
          </w:p>
          <w:p w14:paraId="24D62931" w14:textId="77777777" w:rsidR="00245300" w:rsidRPr="00EC20A0" w:rsidRDefault="00F17249">
            <w:pPr>
              <w:pStyle w:val="TableParagraph"/>
              <w:spacing w:before="1"/>
              <w:ind w:left="104"/>
              <w:rPr>
                <w:b/>
                <w:sz w:val="24"/>
              </w:rPr>
            </w:pPr>
            <w:r w:rsidRPr="00EC20A0">
              <w:rPr>
                <w:b/>
                <w:sz w:val="24"/>
              </w:rPr>
              <w:t>Section</w:t>
            </w:r>
            <w:r w:rsidRPr="00EC20A0">
              <w:rPr>
                <w:b/>
                <w:spacing w:val="-3"/>
                <w:sz w:val="24"/>
              </w:rPr>
              <w:t xml:space="preserve"> </w:t>
            </w:r>
            <w:r w:rsidRPr="00EC20A0">
              <w:rPr>
                <w:b/>
                <w:sz w:val="24"/>
              </w:rPr>
              <w:t>V:</w:t>
            </w:r>
            <w:r w:rsidRPr="00EC20A0">
              <w:rPr>
                <w:b/>
                <w:spacing w:val="-2"/>
                <w:sz w:val="24"/>
              </w:rPr>
              <w:t xml:space="preserve"> </w:t>
            </w:r>
            <w:r w:rsidRPr="00EC20A0">
              <w:rPr>
                <w:b/>
                <w:sz w:val="24"/>
              </w:rPr>
              <w:t>GAO’s</w:t>
            </w:r>
            <w:r w:rsidRPr="00EC20A0">
              <w:rPr>
                <w:b/>
                <w:spacing w:val="-3"/>
                <w:sz w:val="24"/>
              </w:rPr>
              <w:t xml:space="preserve"> </w:t>
            </w:r>
            <w:r w:rsidRPr="00EC20A0">
              <w:rPr>
                <w:b/>
                <w:sz w:val="24"/>
              </w:rPr>
              <w:t>Quality</w:t>
            </w:r>
            <w:r w:rsidRPr="00EC20A0">
              <w:rPr>
                <w:b/>
                <w:spacing w:val="-3"/>
                <w:sz w:val="24"/>
              </w:rPr>
              <w:t xml:space="preserve"> </w:t>
            </w:r>
            <w:r w:rsidRPr="00EC20A0">
              <w:rPr>
                <w:b/>
                <w:sz w:val="24"/>
              </w:rPr>
              <w:t>Control</w:t>
            </w:r>
            <w:r w:rsidRPr="00EC20A0">
              <w:rPr>
                <w:b/>
                <w:spacing w:val="-2"/>
                <w:sz w:val="24"/>
              </w:rPr>
              <w:t xml:space="preserve"> </w:t>
            </w:r>
            <w:r w:rsidRPr="00EC20A0">
              <w:rPr>
                <w:b/>
                <w:sz w:val="24"/>
              </w:rPr>
              <w:t>(GAO</w:t>
            </w:r>
            <w:r w:rsidRPr="00EC20A0">
              <w:rPr>
                <w:b/>
                <w:spacing w:val="-1"/>
                <w:sz w:val="24"/>
              </w:rPr>
              <w:t xml:space="preserve"> </w:t>
            </w:r>
            <w:r w:rsidRPr="00EC20A0">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24D62932" w14:textId="77777777" w:rsidR="00245300" w:rsidRPr="00EC20A0" w:rsidRDefault="00F17249">
            <w:pPr>
              <w:pStyle w:val="TableParagraph"/>
              <w:spacing w:before="120"/>
              <w:ind w:left="137" w:right="115" w:hanging="8"/>
              <w:jc w:val="both"/>
              <w:rPr>
                <w:b/>
              </w:rPr>
            </w:pPr>
            <w:r w:rsidRPr="00EC20A0">
              <w:rPr>
                <w:b/>
                <w:spacing w:val="-4"/>
              </w:rPr>
              <w:t>Yes, No,* N/A</w:t>
            </w:r>
          </w:p>
        </w:tc>
        <w:tc>
          <w:tcPr>
            <w:tcW w:w="1350" w:type="dxa"/>
            <w:tcBorders>
              <w:left w:val="single" w:sz="8" w:space="0" w:color="000000"/>
              <w:bottom w:val="double" w:sz="4" w:space="0" w:color="000000"/>
            </w:tcBorders>
            <w:shd w:val="clear" w:color="auto" w:fill="A6A6A6"/>
          </w:tcPr>
          <w:p w14:paraId="24D62933" w14:textId="77777777" w:rsidR="00245300" w:rsidRPr="00EC20A0" w:rsidRDefault="00245300">
            <w:pPr>
              <w:pStyle w:val="TableParagraph"/>
            </w:pPr>
          </w:p>
          <w:p w14:paraId="24D62934" w14:textId="77777777" w:rsidR="00245300" w:rsidRPr="00EC20A0" w:rsidRDefault="00245300">
            <w:pPr>
              <w:pStyle w:val="TableParagraph"/>
              <w:spacing w:before="120"/>
            </w:pPr>
          </w:p>
          <w:p w14:paraId="24D62935" w14:textId="77777777" w:rsidR="00245300" w:rsidRPr="00EC20A0" w:rsidRDefault="00F17249">
            <w:pPr>
              <w:pStyle w:val="TableParagraph"/>
              <w:ind w:left="232"/>
              <w:rPr>
                <w:b/>
              </w:rPr>
            </w:pPr>
            <w:r w:rsidRPr="00EC20A0">
              <w:rPr>
                <w:b/>
              </w:rPr>
              <w:t>Doc.</w:t>
            </w:r>
            <w:r w:rsidRPr="00EC20A0">
              <w:rPr>
                <w:b/>
                <w:spacing w:val="-6"/>
              </w:rPr>
              <w:t xml:space="preserve"> </w:t>
            </w:r>
            <w:r w:rsidRPr="00EC20A0">
              <w:rPr>
                <w:b/>
                <w:spacing w:val="-4"/>
              </w:rPr>
              <w:t>ref.</w:t>
            </w:r>
          </w:p>
        </w:tc>
      </w:tr>
      <w:tr w:rsidR="00245300" w:rsidRPr="00EC20A0" w14:paraId="24D6293C" w14:textId="77777777">
        <w:trPr>
          <w:trHeight w:val="3532"/>
        </w:trPr>
        <w:tc>
          <w:tcPr>
            <w:tcW w:w="7446" w:type="dxa"/>
            <w:tcBorders>
              <w:top w:val="double" w:sz="4" w:space="0" w:color="000000"/>
              <w:bottom w:val="single" w:sz="8" w:space="0" w:color="000000"/>
              <w:right w:val="single" w:sz="8" w:space="0" w:color="000000"/>
            </w:tcBorders>
          </w:tcPr>
          <w:p w14:paraId="24D62937" w14:textId="77777777" w:rsidR="00245300" w:rsidRPr="00EC20A0" w:rsidRDefault="00F17249">
            <w:pPr>
              <w:pStyle w:val="TableParagraph"/>
              <w:numPr>
                <w:ilvl w:val="0"/>
                <w:numId w:val="34"/>
              </w:numPr>
              <w:tabs>
                <w:tab w:val="left" w:pos="1284"/>
              </w:tabs>
              <w:spacing w:before="120"/>
              <w:ind w:left="1284" w:hanging="359"/>
            </w:pPr>
            <w:r w:rsidRPr="00EC20A0">
              <w:t>Did</w:t>
            </w:r>
            <w:r w:rsidRPr="00EC20A0">
              <w:rPr>
                <w:spacing w:val="-6"/>
              </w:rPr>
              <w:t xml:space="preserve"> </w:t>
            </w:r>
            <w:r w:rsidRPr="00EC20A0">
              <w:t>the</w:t>
            </w:r>
            <w:r w:rsidRPr="00EC20A0">
              <w:rPr>
                <w:spacing w:val="-5"/>
              </w:rPr>
              <w:t xml:space="preserve"> </w:t>
            </w:r>
            <w:r w:rsidRPr="00EC20A0">
              <w:t>auditor,</w:t>
            </w:r>
            <w:r w:rsidRPr="00EC20A0">
              <w:rPr>
                <w:spacing w:val="-6"/>
              </w:rPr>
              <w:t xml:space="preserve"> </w:t>
            </w:r>
            <w:r w:rsidRPr="00EC20A0">
              <w:t>in</w:t>
            </w:r>
            <w:r w:rsidRPr="00EC20A0">
              <w:rPr>
                <w:spacing w:val="-5"/>
              </w:rPr>
              <w:t xml:space="preserve"> </w:t>
            </w:r>
            <w:r w:rsidRPr="00EC20A0">
              <w:t>conducting</w:t>
            </w:r>
            <w:r w:rsidRPr="00EC20A0">
              <w:rPr>
                <w:spacing w:val="-5"/>
              </w:rPr>
              <w:t xml:space="preserve"> </w:t>
            </w:r>
            <w:r w:rsidRPr="00EC20A0">
              <w:t>an</w:t>
            </w:r>
            <w:r w:rsidRPr="00EC20A0">
              <w:rPr>
                <w:spacing w:val="-6"/>
              </w:rPr>
              <w:t xml:space="preserve"> </w:t>
            </w:r>
            <w:r w:rsidRPr="00EC20A0">
              <w:t>audit</w:t>
            </w:r>
            <w:r w:rsidRPr="00EC20A0">
              <w:rPr>
                <w:spacing w:val="-5"/>
              </w:rPr>
              <w:t xml:space="preserve"> </w:t>
            </w:r>
            <w:r w:rsidRPr="00EC20A0">
              <w:t>of</w:t>
            </w:r>
            <w:r w:rsidRPr="00EC20A0">
              <w:rPr>
                <w:spacing w:val="-5"/>
              </w:rPr>
              <w:t xml:space="preserve"> </w:t>
            </w:r>
            <w:r w:rsidRPr="00EC20A0">
              <w:t>financial</w:t>
            </w:r>
            <w:r w:rsidRPr="00EC20A0">
              <w:rPr>
                <w:spacing w:val="-7"/>
              </w:rPr>
              <w:t xml:space="preserve"> </w:t>
            </w:r>
            <w:r w:rsidRPr="00EC20A0">
              <w:rPr>
                <w:spacing w:val="-2"/>
              </w:rPr>
              <w:t>statements,</w:t>
            </w:r>
          </w:p>
          <w:p w14:paraId="24D62938" w14:textId="77777777" w:rsidR="00245300" w:rsidRPr="00EC20A0" w:rsidRDefault="00F17249">
            <w:pPr>
              <w:pStyle w:val="TableParagraph"/>
              <w:numPr>
                <w:ilvl w:val="1"/>
                <w:numId w:val="34"/>
              </w:numPr>
              <w:tabs>
                <w:tab w:val="left" w:pos="1674"/>
              </w:tabs>
              <w:spacing w:before="240"/>
              <w:ind w:right="135"/>
            </w:pPr>
            <w:r w:rsidRPr="00EC20A0">
              <w:t xml:space="preserve">obtain reasonable assurance about whether the financial statements as a whole are free from material misstatement, whether due to fraud or error, </w:t>
            </w:r>
            <w:r w:rsidRPr="00EC20A0">
              <w:t>thereby enabling</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to</w:t>
            </w:r>
            <w:r w:rsidRPr="00EC20A0">
              <w:rPr>
                <w:spacing w:val="-5"/>
              </w:rPr>
              <w:t xml:space="preserve"> </w:t>
            </w:r>
            <w:r w:rsidRPr="00EC20A0">
              <w:t>express</w:t>
            </w:r>
            <w:r w:rsidRPr="00EC20A0">
              <w:rPr>
                <w:spacing w:val="-5"/>
              </w:rPr>
              <w:t xml:space="preserve"> </w:t>
            </w:r>
            <w:r w:rsidRPr="00EC20A0">
              <w:t>an</w:t>
            </w:r>
            <w:r w:rsidRPr="00EC20A0">
              <w:rPr>
                <w:spacing w:val="-5"/>
              </w:rPr>
              <w:t xml:space="preserve"> </w:t>
            </w:r>
            <w:r w:rsidRPr="00EC20A0">
              <w:t>opinion</w:t>
            </w:r>
            <w:r w:rsidRPr="00EC20A0">
              <w:rPr>
                <w:spacing w:val="-5"/>
              </w:rPr>
              <w:t xml:space="preserve"> </w:t>
            </w:r>
            <w:r w:rsidRPr="00EC20A0">
              <w:t>on</w:t>
            </w:r>
            <w:r w:rsidRPr="00EC20A0">
              <w:rPr>
                <w:spacing w:val="-5"/>
              </w:rPr>
              <w:t xml:space="preserve"> </w:t>
            </w:r>
            <w:r w:rsidRPr="00EC20A0">
              <w:t>whether</w:t>
            </w:r>
            <w:r w:rsidRPr="00EC20A0">
              <w:rPr>
                <w:spacing w:val="-5"/>
              </w:rPr>
              <w:t xml:space="preserve"> </w:t>
            </w:r>
            <w:r w:rsidRPr="00EC20A0">
              <w:t>the financial statements are presented fairly, in all material respects, in accordance with an applicable financial reporting framework (generally U.S. GAAP), and</w:t>
            </w:r>
          </w:p>
          <w:p w14:paraId="24D62939" w14:textId="77777777" w:rsidR="00245300" w:rsidRPr="00EC20A0" w:rsidRDefault="00F17249">
            <w:pPr>
              <w:pStyle w:val="TableParagraph"/>
              <w:numPr>
                <w:ilvl w:val="1"/>
                <w:numId w:val="34"/>
              </w:numPr>
              <w:tabs>
                <w:tab w:val="left" w:pos="1675"/>
              </w:tabs>
              <w:spacing w:before="238"/>
              <w:ind w:left="1675" w:right="329" w:hanging="361"/>
            </w:pPr>
            <w:r w:rsidRPr="00EC20A0">
              <w:t>report</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financial</w:t>
            </w:r>
            <w:r w:rsidRPr="00EC20A0">
              <w:rPr>
                <w:spacing w:val="-6"/>
              </w:rPr>
              <w:t xml:space="preserve"> </w:t>
            </w:r>
            <w:r w:rsidRPr="00EC20A0">
              <w:t>statements,</w:t>
            </w:r>
            <w:r w:rsidRPr="00EC20A0">
              <w:rPr>
                <w:spacing w:val="-5"/>
              </w:rPr>
              <w:t xml:space="preserve"> </w:t>
            </w:r>
            <w:r w:rsidRPr="00EC20A0">
              <w:t>and</w:t>
            </w:r>
            <w:r w:rsidRPr="00EC20A0">
              <w:rPr>
                <w:spacing w:val="-5"/>
              </w:rPr>
              <w:t xml:space="preserve"> </w:t>
            </w:r>
            <w:r w:rsidRPr="00EC20A0">
              <w:t>communicate</w:t>
            </w:r>
            <w:r w:rsidRPr="00EC20A0">
              <w:rPr>
                <w:spacing w:val="-5"/>
              </w:rPr>
              <w:t xml:space="preserve"> </w:t>
            </w:r>
            <w:r w:rsidRPr="00EC20A0">
              <w:t>as required by GAGAS, in accordance with the auditor’s findings? (AU-C 200)</w:t>
            </w:r>
          </w:p>
        </w:tc>
        <w:tc>
          <w:tcPr>
            <w:tcW w:w="720" w:type="dxa"/>
            <w:tcBorders>
              <w:top w:val="double" w:sz="4" w:space="0" w:color="000000"/>
              <w:left w:val="single" w:sz="8" w:space="0" w:color="000000"/>
              <w:bottom w:val="single" w:sz="8" w:space="0" w:color="000000"/>
              <w:right w:val="single" w:sz="8" w:space="0" w:color="000000"/>
            </w:tcBorders>
          </w:tcPr>
          <w:p w14:paraId="24D6293A" w14:textId="77777777" w:rsidR="00245300" w:rsidRPr="00EC20A0" w:rsidRDefault="00245300">
            <w:pPr>
              <w:pStyle w:val="TableParagraph"/>
            </w:pPr>
          </w:p>
        </w:tc>
        <w:tc>
          <w:tcPr>
            <w:tcW w:w="1350" w:type="dxa"/>
            <w:tcBorders>
              <w:top w:val="double" w:sz="4" w:space="0" w:color="000000"/>
              <w:left w:val="single" w:sz="8" w:space="0" w:color="000000"/>
              <w:bottom w:val="single" w:sz="8" w:space="0" w:color="000000"/>
            </w:tcBorders>
            <w:shd w:val="clear" w:color="auto" w:fill="BEBEBE"/>
          </w:tcPr>
          <w:p w14:paraId="24D6293B" w14:textId="77777777" w:rsidR="00245300" w:rsidRPr="00EC20A0" w:rsidRDefault="00245300">
            <w:pPr>
              <w:pStyle w:val="TableParagraph"/>
            </w:pPr>
          </w:p>
        </w:tc>
      </w:tr>
      <w:tr w:rsidR="00245300" w:rsidRPr="00EC20A0" w14:paraId="24D62940" w14:textId="77777777">
        <w:trPr>
          <w:trHeight w:val="1504"/>
        </w:trPr>
        <w:tc>
          <w:tcPr>
            <w:tcW w:w="7446" w:type="dxa"/>
            <w:tcBorders>
              <w:top w:val="single" w:sz="8" w:space="0" w:color="000000"/>
              <w:bottom w:val="single" w:sz="8" w:space="0" w:color="000000"/>
              <w:right w:val="single" w:sz="8" w:space="0" w:color="000000"/>
            </w:tcBorders>
          </w:tcPr>
          <w:p w14:paraId="24D6293D" w14:textId="77777777" w:rsidR="00245300" w:rsidRPr="00EC20A0" w:rsidRDefault="00F17249">
            <w:pPr>
              <w:pStyle w:val="TableParagraph"/>
              <w:spacing w:before="119"/>
              <w:ind w:left="1284" w:right="242" w:hanging="360"/>
            </w:pPr>
            <w:r w:rsidRPr="00EC20A0">
              <w:t>b.</w:t>
            </w:r>
            <w:r w:rsidRPr="00EC20A0">
              <w:rPr>
                <w:spacing w:val="80"/>
              </w:rPr>
              <w:t xml:space="preserve"> </w:t>
            </w:r>
            <w:r w:rsidRPr="00EC20A0">
              <w:t>In all cases</w:t>
            </w:r>
            <w:r w:rsidRPr="00EC20A0">
              <w:rPr>
                <w:spacing w:val="-1"/>
              </w:rPr>
              <w:t xml:space="preserve"> </w:t>
            </w:r>
            <w:r w:rsidRPr="00EC20A0">
              <w:t>when reasonable assurance cannot</w:t>
            </w:r>
            <w:r w:rsidRPr="00EC20A0">
              <w:rPr>
                <w:spacing w:val="-1"/>
              </w:rPr>
              <w:t xml:space="preserve"> </w:t>
            </w:r>
            <w:r w:rsidRPr="00EC20A0">
              <w:t>be obtained and</w:t>
            </w:r>
            <w:r w:rsidRPr="00EC20A0">
              <w:rPr>
                <w:spacing w:val="-4"/>
              </w:rPr>
              <w:t xml:space="preserve"> </w:t>
            </w:r>
            <w:r w:rsidRPr="00EC20A0">
              <w:t>a</w:t>
            </w:r>
            <w:r w:rsidRPr="00EC20A0">
              <w:rPr>
                <w:spacing w:val="-4"/>
              </w:rPr>
              <w:t xml:space="preserve"> </w:t>
            </w:r>
            <w:r w:rsidRPr="00EC20A0">
              <w:t>qualified</w:t>
            </w:r>
            <w:r w:rsidRPr="00EC20A0">
              <w:rPr>
                <w:spacing w:val="-4"/>
              </w:rPr>
              <w:t xml:space="preserve"> </w:t>
            </w:r>
            <w:r w:rsidRPr="00EC20A0">
              <w:t>opinion</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auditor’s</w:t>
            </w:r>
            <w:r w:rsidRPr="00EC20A0">
              <w:rPr>
                <w:spacing w:val="-4"/>
              </w:rPr>
              <w:t xml:space="preserve"> </w:t>
            </w:r>
            <w:r w:rsidRPr="00EC20A0">
              <w:t>report</w:t>
            </w:r>
            <w:r w:rsidRPr="00EC20A0">
              <w:rPr>
                <w:spacing w:val="-4"/>
              </w:rPr>
              <w:t xml:space="preserve"> </w:t>
            </w:r>
            <w:r w:rsidRPr="00EC20A0">
              <w:t>is</w:t>
            </w:r>
            <w:r w:rsidRPr="00EC20A0">
              <w:rPr>
                <w:spacing w:val="-5"/>
              </w:rPr>
              <w:t xml:space="preserve"> </w:t>
            </w:r>
            <w:r w:rsidRPr="00EC20A0">
              <w:t>insufficient</w:t>
            </w:r>
            <w:r w:rsidRPr="00EC20A0">
              <w:rPr>
                <w:spacing w:val="-4"/>
              </w:rPr>
              <w:t xml:space="preserve"> </w:t>
            </w:r>
            <w:r w:rsidRPr="00EC20A0">
              <w:t xml:space="preserve">in the </w:t>
            </w:r>
            <w:r w:rsidRPr="00EC20A0">
              <w:t>circumstances for reporting to the intended users of the financial statements, did the auditor disclaim an opinion? (AU-C 200)</w:t>
            </w:r>
          </w:p>
        </w:tc>
        <w:tc>
          <w:tcPr>
            <w:tcW w:w="720" w:type="dxa"/>
            <w:tcBorders>
              <w:top w:val="single" w:sz="8" w:space="0" w:color="000000"/>
              <w:left w:val="single" w:sz="8" w:space="0" w:color="000000"/>
              <w:bottom w:val="single" w:sz="8" w:space="0" w:color="000000"/>
              <w:right w:val="single" w:sz="8" w:space="0" w:color="000000"/>
            </w:tcBorders>
          </w:tcPr>
          <w:p w14:paraId="24D6293E" w14:textId="77777777" w:rsidR="00245300" w:rsidRPr="00EC20A0" w:rsidRDefault="00245300">
            <w:pPr>
              <w:pStyle w:val="TableParagraph"/>
            </w:pPr>
          </w:p>
        </w:tc>
        <w:tc>
          <w:tcPr>
            <w:tcW w:w="1350" w:type="dxa"/>
            <w:tcBorders>
              <w:top w:val="single" w:sz="8" w:space="0" w:color="000000"/>
              <w:left w:val="single" w:sz="8" w:space="0" w:color="000000"/>
              <w:bottom w:val="single" w:sz="8" w:space="0" w:color="000000"/>
            </w:tcBorders>
            <w:shd w:val="clear" w:color="auto" w:fill="BEBEBE"/>
          </w:tcPr>
          <w:p w14:paraId="24D6293F" w14:textId="77777777" w:rsidR="00245300" w:rsidRPr="00EC20A0" w:rsidRDefault="00245300">
            <w:pPr>
              <w:pStyle w:val="TableParagraph"/>
            </w:pPr>
          </w:p>
        </w:tc>
      </w:tr>
      <w:tr w:rsidR="00245300" w:rsidRPr="00EC20A0" w14:paraId="24D62946" w14:textId="77777777">
        <w:trPr>
          <w:trHeight w:val="2520"/>
        </w:trPr>
        <w:tc>
          <w:tcPr>
            <w:tcW w:w="7446" w:type="dxa"/>
            <w:tcBorders>
              <w:top w:val="single" w:sz="8" w:space="0" w:color="000000"/>
              <w:bottom w:val="single" w:sz="8" w:space="0" w:color="000000"/>
              <w:right w:val="single" w:sz="8" w:space="0" w:color="000000"/>
            </w:tcBorders>
          </w:tcPr>
          <w:p w14:paraId="24D62941" w14:textId="77777777" w:rsidR="00245300" w:rsidRPr="00EC20A0" w:rsidRDefault="00F17249">
            <w:pPr>
              <w:pStyle w:val="TableParagraph"/>
              <w:numPr>
                <w:ilvl w:val="0"/>
                <w:numId w:val="33"/>
              </w:numPr>
              <w:tabs>
                <w:tab w:val="left" w:pos="1284"/>
              </w:tabs>
              <w:spacing w:before="121"/>
              <w:ind w:right="427"/>
              <w:jc w:val="both"/>
            </w:pPr>
            <w:r w:rsidRPr="00EC20A0">
              <w:t>Did</w:t>
            </w:r>
            <w:r w:rsidRPr="00EC20A0">
              <w:rPr>
                <w:spacing w:val="-5"/>
              </w:rPr>
              <w:t xml:space="preserve"> </w:t>
            </w:r>
            <w:r w:rsidRPr="00EC20A0">
              <w:t>the</w:t>
            </w:r>
            <w:r w:rsidRPr="00EC20A0">
              <w:rPr>
                <w:spacing w:val="-5"/>
              </w:rPr>
              <w:t xml:space="preserve"> </w:t>
            </w:r>
            <w:r w:rsidRPr="00EC20A0">
              <w:t>auditor</w:t>
            </w:r>
            <w:r w:rsidRPr="00EC20A0">
              <w:rPr>
                <w:spacing w:val="-5"/>
              </w:rPr>
              <w:t xml:space="preserve"> </w:t>
            </w:r>
            <w:r w:rsidRPr="00EC20A0">
              <w:t>implement</w:t>
            </w:r>
            <w:r w:rsidRPr="00EC20A0">
              <w:rPr>
                <w:spacing w:val="-5"/>
              </w:rPr>
              <w:t xml:space="preserve"> </w:t>
            </w:r>
            <w:r w:rsidRPr="00EC20A0">
              <w:t>quality</w:t>
            </w:r>
            <w:r w:rsidRPr="00EC20A0">
              <w:rPr>
                <w:spacing w:val="-6"/>
              </w:rPr>
              <w:t xml:space="preserve"> </w:t>
            </w:r>
            <w:r w:rsidRPr="00EC20A0">
              <w:t>control</w:t>
            </w:r>
            <w:r w:rsidRPr="00EC20A0">
              <w:rPr>
                <w:spacing w:val="-5"/>
              </w:rPr>
              <w:t xml:space="preserve"> </w:t>
            </w:r>
            <w:r w:rsidRPr="00EC20A0">
              <w:t>procedures</w:t>
            </w:r>
            <w:r w:rsidRPr="00EC20A0">
              <w:rPr>
                <w:spacing w:val="-5"/>
              </w:rPr>
              <w:t xml:space="preserve"> </w:t>
            </w:r>
            <w:r w:rsidRPr="00EC20A0">
              <w:t>at</w:t>
            </w:r>
            <w:r w:rsidRPr="00EC20A0">
              <w:rPr>
                <w:spacing w:val="-5"/>
              </w:rPr>
              <w:t xml:space="preserve"> </w:t>
            </w:r>
            <w:r w:rsidRPr="00EC20A0">
              <w:t xml:space="preserve">the engagement level that provide the auditor with </w:t>
            </w:r>
            <w:r w:rsidRPr="00EC20A0">
              <w:t>reasonable assurance that</w:t>
            </w:r>
          </w:p>
          <w:p w14:paraId="24D62942" w14:textId="77777777" w:rsidR="00245300" w:rsidRPr="00EC20A0" w:rsidRDefault="00F17249">
            <w:pPr>
              <w:pStyle w:val="TableParagraph"/>
              <w:numPr>
                <w:ilvl w:val="1"/>
                <w:numId w:val="33"/>
              </w:numPr>
              <w:tabs>
                <w:tab w:val="left" w:pos="1674"/>
              </w:tabs>
              <w:spacing w:before="239"/>
              <w:ind w:right="807"/>
            </w:pPr>
            <w:r w:rsidRPr="00EC20A0">
              <w:t>the</w:t>
            </w:r>
            <w:r w:rsidRPr="00EC20A0">
              <w:rPr>
                <w:spacing w:val="-6"/>
              </w:rPr>
              <w:t xml:space="preserve"> </w:t>
            </w:r>
            <w:r w:rsidRPr="00EC20A0">
              <w:t>audit</w:t>
            </w:r>
            <w:r w:rsidRPr="00EC20A0">
              <w:rPr>
                <w:spacing w:val="-6"/>
              </w:rPr>
              <w:t xml:space="preserve"> </w:t>
            </w:r>
            <w:r w:rsidRPr="00EC20A0">
              <w:t>complies</w:t>
            </w:r>
            <w:r w:rsidRPr="00EC20A0">
              <w:rPr>
                <w:spacing w:val="-6"/>
              </w:rPr>
              <w:t xml:space="preserve"> </w:t>
            </w:r>
            <w:r w:rsidRPr="00EC20A0">
              <w:t>with</w:t>
            </w:r>
            <w:r w:rsidRPr="00EC20A0">
              <w:rPr>
                <w:spacing w:val="-6"/>
              </w:rPr>
              <w:t xml:space="preserve"> </w:t>
            </w:r>
            <w:r w:rsidRPr="00EC20A0">
              <w:t>professional</w:t>
            </w:r>
            <w:r w:rsidRPr="00EC20A0">
              <w:rPr>
                <w:spacing w:val="-7"/>
              </w:rPr>
              <w:t xml:space="preserve"> </w:t>
            </w:r>
            <w:r w:rsidRPr="00EC20A0">
              <w:t>standards</w:t>
            </w:r>
            <w:r w:rsidRPr="00EC20A0">
              <w:rPr>
                <w:spacing w:val="-6"/>
              </w:rPr>
              <w:t xml:space="preserve"> </w:t>
            </w:r>
            <w:r w:rsidRPr="00EC20A0">
              <w:t>and applicable legal and regulatory requirements and</w:t>
            </w:r>
          </w:p>
          <w:p w14:paraId="24D62943" w14:textId="77777777" w:rsidR="00245300" w:rsidRPr="00EC20A0" w:rsidRDefault="00F17249">
            <w:pPr>
              <w:pStyle w:val="TableParagraph"/>
              <w:numPr>
                <w:ilvl w:val="1"/>
                <w:numId w:val="33"/>
              </w:numPr>
              <w:tabs>
                <w:tab w:val="left" w:pos="1674"/>
              </w:tabs>
              <w:spacing w:before="238"/>
              <w:ind w:right="1210"/>
            </w:pPr>
            <w:r w:rsidRPr="00EC20A0">
              <w:t>the</w:t>
            </w:r>
            <w:r w:rsidRPr="00EC20A0">
              <w:rPr>
                <w:spacing w:val="-5"/>
              </w:rPr>
              <w:t xml:space="preserve"> </w:t>
            </w:r>
            <w:r w:rsidRPr="00EC20A0">
              <w:t>auditor’s</w:t>
            </w:r>
            <w:r w:rsidRPr="00EC20A0">
              <w:rPr>
                <w:spacing w:val="-6"/>
              </w:rPr>
              <w:t xml:space="preserve"> </w:t>
            </w:r>
            <w:r w:rsidRPr="00EC20A0">
              <w:t>report</w:t>
            </w:r>
            <w:r w:rsidRPr="00EC20A0">
              <w:rPr>
                <w:spacing w:val="-5"/>
              </w:rPr>
              <w:t xml:space="preserve"> </w:t>
            </w:r>
            <w:r w:rsidRPr="00EC20A0">
              <w:t>issued</w:t>
            </w:r>
            <w:r w:rsidRPr="00EC20A0">
              <w:rPr>
                <w:spacing w:val="-5"/>
              </w:rPr>
              <w:t xml:space="preserve"> </w:t>
            </w:r>
            <w:r w:rsidRPr="00EC20A0">
              <w:t>is</w:t>
            </w:r>
            <w:r w:rsidRPr="00EC20A0">
              <w:rPr>
                <w:spacing w:val="-5"/>
              </w:rPr>
              <w:t xml:space="preserve"> </w:t>
            </w:r>
            <w:r w:rsidRPr="00EC20A0">
              <w:t>appropriate</w:t>
            </w:r>
            <w:r w:rsidRPr="00EC20A0">
              <w:rPr>
                <w:spacing w:val="-5"/>
              </w:rPr>
              <w:t xml:space="preserve"> </w:t>
            </w:r>
            <w:r w:rsidRPr="00EC20A0">
              <w:t>in</w:t>
            </w:r>
            <w:r w:rsidRPr="00EC20A0">
              <w:rPr>
                <w:spacing w:val="-5"/>
              </w:rPr>
              <w:t xml:space="preserve"> </w:t>
            </w:r>
            <w:r w:rsidRPr="00EC20A0">
              <w:t xml:space="preserve">the </w:t>
            </w:r>
            <w:proofErr w:type="gramStart"/>
            <w:r w:rsidRPr="00EC20A0">
              <w:t>circumstances?</w:t>
            </w:r>
            <w:proofErr w:type="gramEnd"/>
            <w:r w:rsidRPr="00EC20A0">
              <w:t xml:space="preserve"> (AU-C 220A)</w:t>
            </w:r>
          </w:p>
        </w:tc>
        <w:tc>
          <w:tcPr>
            <w:tcW w:w="720" w:type="dxa"/>
            <w:tcBorders>
              <w:top w:val="single" w:sz="8" w:space="0" w:color="000000"/>
              <w:left w:val="single" w:sz="8" w:space="0" w:color="000000"/>
              <w:bottom w:val="single" w:sz="8" w:space="0" w:color="000000"/>
              <w:right w:val="single" w:sz="8" w:space="0" w:color="000000"/>
            </w:tcBorders>
          </w:tcPr>
          <w:p w14:paraId="24D62944" w14:textId="77777777" w:rsidR="00245300" w:rsidRPr="00EC20A0" w:rsidRDefault="00245300">
            <w:pPr>
              <w:pStyle w:val="TableParagraph"/>
            </w:pPr>
          </w:p>
        </w:tc>
        <w:tc>
          <w:tcPr>
            <w:tcW w:w="1350" w:type="dxa"/>
            <w:tcBorders>
              <w:top w:val="single" w:sz="8" w:space="0" w:color="000000"/>
              <w:left w:val="single" w:sz="8" w:space="0" w:color="000000"/>
              <w:bottom w:val="single" w:sz="8" w:space="0" w:color="000000"/>
            </w:tcBorders>
            <w:shd w:val="clear" w:color="auto" w:fill="BEBEBE"/>
          </w:tcPr>
          <w:p w14:paraId="24D62945" w14:textId="77777777" w:rsidR="00245300" w:rsidRPr="00EC20A0" w:rsidRDefault="00245300">
            <w:pPr>
              <w:pStyle w:val="TableParagraph"/>
            </w:pPr>
          </w:p>
        </w:tc>
      </w:tr>
      <w:tr w:rsidR="00245300" w:rsidRPr="00EC20A0" w14:paraId="24D6294D" w14:textId="77777777">
        <w:trPr>
          <w:trHeight w:val="2522"/>
        </w:trPr>
        <w:tc>
          <w:tcPr>
            <w:tcW w:w="7446" w:type="dxa"/>
            <w:tcBorders>
              <w:top w:val="single" w:sz="8" w:space="0" w:color="000000"/>
              <w:right w:val="single" w:sz="8" w:space="0" w:color="000000"/>
            </w:tcBorders>
          </w:tcPr>
          <w:p w14:paraId="24D62947" w14:textId="77777777" w:rsidR="00245300" w:rsidRPr="00EC20A0" w:rsidRDefault="00F17249">
            <w:pPr>
              <w:pStyle w:val="TableParagraph"/>
              <w:numPr>
                <w:ilvl w:val="0"/>
                <w:numId w:val="32"/>
              </w:numPr>
              <w:tabs>
                <w:tab w:val="left" w:pos="1284"/>
              </w:tabs>
              <w:spacing w:before="121"/>
              <w:ind w:left="1284" w:hanging="359"/>
            </w:pPr>
            <w:r w:rsidRPr="00EC20A0">
              <w:t>Did</w:t>
            </w:r>
            <w:r w:rsidRPr="00EC20A0">
              <w:rPr>
                <w:spacing w:val="-7"/>
              </w:rPr>
              <w:t xml:space="preserve"> </w:t>
            </w:r>
            <w:r w:rsidRPr="00EC20A0">
              <w:t>the</w:t>
            </w:r>
            <w:r w:rsidRPr="00EC20A0">
              <w:rPr>
                <w:spacing w:val="-7"/>
              </w:rPr>
              <w:t xml:space="preserve"> </w:t>
            </w:r>
            <w:r w:rsidRPr="00EC20A0">
              <w:t>auditor</w:t>
            </w:r>
            <w:r w:rsidRPr="00EC20A0">
              <w:rPr>
                <w:spacing w:val="-7"/>
              </w:rPr>
              <w:t xml:space="preserve"> </w:t>
            </w:r>
            <w:r w:rsidRPr="00EC20A0">
              <w:t>prepare</w:t>
            </w:r>
            <w:r w:rsidRPr="00EC20A0">
              <w:rPr>
                <w:spacing w:val="-7"/>
              </w:rPr>
              <w:t xml:space="preserve"> </w:t>
            </w:r>
            <w:r w:rsidRPr="00EC20A0">
              <w:t>documentation</w:t>
            </w:r>
            <w:r w:rsidRPr="00EC20A0">
              <w:rPr>
                <w:spacing w:val="-7"/>
              </w:rPr>
              <w:t xml:space="preserve"> </w:t>
            </w:r>
            <w:r w:rsidRPr="00EC20A0">
              <w:t>that</w:t>
            </w:r>
            <w:r w:rsidRPr="00EC20A0">
              <w:rPr>
                <w:spacing w:val="-7"/>
              </w:rPr>
              <w:t xml:space="preserve"> </w:t>
            </w:r>
            <w:r w:rsidRPr="00EC20A0">
              <w:rPr>
                <w:spacing w:val="-2"/>
              </w:rPr>
              <w:t>provides</w:t>
            </w:r>
          </w:p>
          <w:p w14:paraId="24D62948" w14:textId="77777777" w:rsidR="00245300" w:rsidRPr="00EC20A0" w:rsidRDefault="00F17249">
            <w:pPr>
              <w:pStyle w:val="TableParagraph"/>
              <w:numPr>
                <w:ilvl w:val="1"/>
                <w:numId w:val="32"/>
              </w:numPr>
              <w:tabs>
                <w:tab w:val="left" w:pos="1674"/>
              </w:tabs>
              <w:spacing w:before="239"/>
              <w:ind w:left="1674" w:right="527"/>
            </w:pPr>
            <w:r w:rsidRPr="00EC20A0">
              <w:t>a</w:t>
            </w:r>
            <w:r w:rsidRPr="00EC20A0">
              <w:rPr>
                <w:spacing w:val="-4"/>
              </w:rPr>
              <w:t xml:space="preserve"> </w:t>
            </w:r>
            <w:r w:rsidRPr="00EC20A0">
              <w:t>sufficient</w:t>
            </w:r>
            <w:r w:rsidRPr="00EC20A0">
              <w:rPr>
                <w:spacing w:val="-5"/>
              </w:rPr>
              <w:t xml:space="preserve"> </w:t>
            </w:r>
            <w:r w:rsidRPr="00EC20A0">
              <w:t>and</w:t>
            </w:r>
            <w:r w:rsidRPr="00EC20A0">
              <w:rPr>
                <w:spacing w:val="-4"/>
              </w:rPr>
              <w:t xml:space="preserve"> </w:t>
            </w:r>
            <w:r w:rsidRPr="00EC20A0">
              <w:t>appropriate</w:t>
            </w:r>
            <w:r w:rsidRPr="00EC20A0">
              <w:rPr>
                <w:spacing w:val="-4"/>
              </w:rPr>
              <w:t xml:space="preserve"> </w:t>
            </w:r>
            <w:r w:rsidRPr="00EC20A0">
              <w:t>record</w:t>
            </w:r>
            <w:r w:rsidRPr="00EC20A0">
              <w:rPr>
                <w:spacing w:val="-4"/>
              </w:rPr>
              <w:t xml:space="preserve"> </w:t>
            </w:r>
            <w:r w:rsidRPr="00EC20A0">
              <w:t>of</w:t>
            </w:r>
            <w:r w:rsidRPr="00EC20A0">
              <w:rPr>
                <w:spacing w:val="-4"/>
              </w:rPr>
              <w:t xml:space="preserve"> </w:t>
            </w:r>
            <w:r w:rsidRPr="00EC20A0">
              <w:t>the</w:t>
            </w:r>
            <w:r w:rsidRPr="00EC20A0">
              <w:rPr>
                <w:spacing w:val="-4"/>
              </w:rPr>
              <w:t xml:space="preserve"> </w:t>
            </w:r>
            <w:r w:rsidRPr="00EC20A0">
              <w:t>basis</w:t>
            </w:r>
            <w:r w:rsidRPr="00EC20A0">
              <w:rPr>
                <w:spacing w:val="-5"/>
              </w:rPr>
              <w:t xml:space="preserve"> </w:t>
            </w:r>
            <w:r w:rsidRPr="00EC20A0">
              <w:t>for</w:t>
            </w:r>
            <w:r w:rsidRPr="00EC20A0">
              <w:rPr>
                <w:spacing w:val="-4"/>
              </w:rPr>
              <w:t xml:space="preserve"> </w:t>
            </w:r>
            <w:r w:rsidRPr="00EC20A0">
              <w:t>the auditor’s report and</w:t>
            </w:r>
          </w:p>
          <w:p w14:paraId="24D62949" w14:textId="77777777" w:rsidR="00245300" w:rsidRPr="00EC20A0" w:rsidRDefault="00F17249">
            <w:pPr>
              <w:pStyle w:val="TableParagraph"/>
              <w:numPr>
                <w:ilvl w:val="1"/>
                <w:numId w:val="32"/>
              </w:numPr>
              <w:tabs>
                <w:tab w:val="left" w:pos="1674"/>
              </w:tabs>
              <w:spacing w:before="238"/>
              <w:ind w:left="1674" w:right="222"/>
            </w:pPr>
            <w:r w:rsidRPr="00EC20A0">
              <w:t>evidence that the audit was planned and performed in accordance with GAGAS and applicable legal and regulatory</w:t>
            </w:r>
            <w:r w:rsidRPr="00EC20A0">
              <w:rPr>
                <w:spacing w:val="-7"/>
              </w:rPr>
              <w:t xml:space="preserve"> </w:t>
            </w:r>
            <w:r w:rsidRPr="00EC20A0">
              <w:t>requirements?</w:t>
            </w:r>
            <w:r w:rsidRPr="00EC20A0">
              <w:rPr>
                <w:spacing w:val="-7"/>
              </w:rPr>
              <w:t xml:space="preserve"> </w:t>
            </w:r>
            <w:r w:rsidRPr="00EC20A0">
              <w:t>(AU-C</w:t>
            </w:r>
            <w:r w:rsidRPr="00EC20A0">
              <w:rPr>
                <w:spacing w:val="-7"/>
              </w:rPr>
              <w:t xml:space="preserve"> </w:t>
            </w:r>
            <w:r w:rsidRPr="00EC20A0">
              <w:t>230</w:t>
            </w:r>
            <w:r w:rsidRPr="00EC20A0">
              <w:rPr>
                <w:spacing w:val="-6"/>
              </w:rPr>
              <w:t xml:space="preserve"> </w:t>
            </w:r>
            <w:r w:rsidRPr="00EC20A0">
              <w:t>and</w:t>
            </w:r>
            <w:r w:rsidRPr="00EC20A0">
              <w:rPr>
                <w:spacing w:val="-7"/>
              </w:rPr>
              <w:t xml:space="preserve"> </w:t>
            </w:r>
            <w:r w:rsidRPr="00EC20A0">
              <w:t>GAGAS</w:t>
            </w:r>
            <w:r w:rsidRPr="00EC20A0">
              <w:rPr>
                <w:spacing w:val="-8"/>
              </w:rPr>
              <w:t xml:space="preserve"> </w:t>
            </w:r>
            <w:r w:rsidRPr="00EC20A0">
              <w:t>(2018)</w:t>
            </w:r>
          </w:p>
          <w:p w14:paraId="24D6294A" w14:textId="77777777" w:rsidR="00245300" w:rsidRPr="00EC20A0" w:rsidRDefault="00F17249">
            <w:pPr>
              <w:pStyle w:val="TableParagraph"/>
              <w:spacing w:line="252" w:lineRule="exact"/>
              <w:ind w:left="1674"/>
            </w:pPr>
            <w:r w:rsidRPr="00EC20A0">
              <w:t>6.31</w:t>
            </w:r>
            <w:r w:rsidRPr="00EC20A0">
              <w:rPr>
                <w:spacing w:val="-4"/>
              </w:rPr>
              <w:t xml:space="preserve"> </w:t>
            </w:r>
            <w:r w:rsidRPr="00EC20A0">
              <w:t>and</w:t>
            </w:r>
            <w:r w:rsidRPr="00EC20A0">
              <w:rPr>
                <w:spacing w:val="-4"/>
              </w:rPr>
              <w:t xml:space="preserve"> </w:t>
            </w:r>
            <w:r w:rsidRPr="00EC20A0">
              <w:rPr>
                <w:spacing w:val="-2"/>
              </w:rPr>
              <w:t>6.32)</w:t>
            </w:r>
          </w:p>
        </w:tc>
        <w:tc>
          <w:tcPr>
            <w:tcW w:w="720" w:type="dxa"/>
            <w:tcBorders>
              <w:top w:val="single" w:sz="8" w:space="0" w:color="000000"/>
              <w:left w:val="single" w:sz="8" w:space="0" w:color="000000"/>
              <w:right w:val="single" w:sz="8" w:space="0" w:color="000000"/>
            </w:tcBorders>
          </w:tcPr>
          <w:p w14:paraId="24D6294B" w14:textId="77777777" w:rsidR="00245300" w:rsidRPr="00EC20A0" w:rsidRDefault="00245300">
            <w:pPr>
              <w:pStyle w:val="TableParagraph"/>
            </w:pPr>
          </w:p>
        </w:tc>
        <w:tc>
          <w:tcPr>
            <w:tcW w:w="1350" w:type="dxa"/>
            <w:tcBorders>
              <w:top w:val="single" w:sz="8" w:space="0" w:color="000000"/>
              <w:left w:val="single" w:sz="8" w:space="0" w:color="000000"/>
            </w:tcBorders>
            <w:shd w:val="clear" w:color="auto" w:fill="BEBEBE"/>
          </w:tcPr>
          <w:p w14:paraId="24D6294C" w14:textId="77777777" w:rsidR="00245300" w:rsidRPr="00EC20A0" w:rsidRDefault="00245300">
            <w:pPr>
              <w:pStyle w:val="TableParagraph"/>
            </w:pPr>
          </w:p>
        </w:tc>
      </w:tr>
    </w:tbl>
    <w:p w14:paraId="24D6294E" w14:textId="77777777" w:rsidR="00245300" w:rsidRPr="00EC20A0" w:rsidRDefault="00245300">
      <w:pPr>
        <w:sectPr w:rsidR="00245300" w:rsidRPr="00EC20A0">
          <w:pgSz w:w="12240" w:h="15840"/>
          <w:pgMar w:top="1340" w:right="460" w:bottom="940" w:left="560" w:header="721" w:footer="757" w:gutter="0"/>
          <w:cols w:space="720"/>
        </w:sectPr>
      </w:pPr>
    </w:p>
    <w:p w14:paraId="24D6294F" w14:textId="77777777" w:rsidR="00245300" w:rsidRPr="00EC20A0" w:rsidRDefault="00F17249">
      <w:pPr>
        <w:pStyle w:val="Heading4"/>
        <w:spacing w:before="301"/>
        <w:ind w:left="880"/>
      </w:pPr>
      <w:bookmarkStart w:id="420" w:name="Section_VI:_Explanation_of_“No”_Answers_"/>
      <w:bookmarkEnd w:id="420"/>
      <w:r w:rsidRPr="00EC20A0">
        <w:t>Section</w:t>
      </w:r>
      <w:r w:rsidRPr="00EC20A0">
        <w:rPr>
          <w:spacing w:val="-10"/>
        </w:rPr>
        <w:t xml:space="preserve"> </w:t>
      </w:r>
      <w:r w:rsidRPr="00EC20A0">
        <w:t>VI:</w:t>
      </w:r>
      <w:r w:rsidRPr="00EC20A0">
        <w:rPr>
          <w:spacing w:val="-10"/>
        </w:rPr>
        <w:t xml:space="preserve"> </w:t>
      </w:r>
      <w:r w:rsidRPr="00EC20A0">
        <w:t>Explanation</w:t>
      </w:r>
      <w:r w:rsidRPr="00EC20A0">
        <w:rPr>
          <w:spacing w:val="-11"/>
        </w:rPr>
        <w:t xml:space="preserve"> </w:t>
      </w:r>
      <w:r w:rsidRPr="00EC20A0">
        <w:t>of</w:t>
      </w:r>
      <w:r w:rsidRPr="00EC20A0">
        <w:rPr>
          <w:spacing w:val="-8"/>
        </w:rPr>
        <w:t xml:space="preserve"> </w:t>
      </w:r>
      <w:r w:rsidRPr="00EC20A0">
        <w:t>“No”</w:t>
      </w:r>
      <w:r w:rsidRPr="00EC20A0">
        <w:rPr>
          <w:spacing w:val="-10"/>
        </w:rPr>
        <w:t xml:space="preserve"> </w:t>
      </w:r>
      <w:r w:rsidRPr="00EC20A0">
        <w:t>Answers</w:t>
      </w:r>
      <w:r w:rsidRPr="00EC20A0">
        <w:rPr>
          <w:spacing w:val="-10"/>
        </w:rPr>
        <w:t xml:space="preserve"> </w:t>
      </w:r>
      <w:r w:rsidRPr="00EC20A0">
        <w:t>and</w:t>
      </w:r>
      <w:r w:rsidRPr="00EC20A0">
        <w:rPr>
          <w:spacing w:val="-11"/>
        </w:rPr>
        <w:t xml:space="preserve"> </w:t>
      </w:r>
      <w:r w:rsidRPr="00EC20A0">
        <w:t>Other</w:t>
      </w:r>
      <w:r w:rsidRPr="00EC20A0">
        <w:rPr>
          <w:spacing w:val="-9"/>
        </w:rPr>
        <w:t xml:space="preserve"> </w:t>
      </w:r>
      <w:r w:rsidRPr="00EC20A0">
        <w:rPr>
          <w:spacing w:val="-2"/>
        </w:rPr>
        <w:t>Comments</w:t>
      </w:r>
    </w:p>
    <w:p w14:paraId="24D62950" w14:textId="77777777" w:rsidR="00245300" w:rsidRPr="00EC20A0" w:rsidRDefault="00245300">
      <w:pPr>
        <w:pStyle w:val="BodyText"/>
        <w:spacing w:before="213"/>
        <w:rPr>
          <w:b/>
          <w:sz w:val="20"/>
        </w:rPr>
      </w:pPr>
    </w:p>
    <w:tbl>
      <w:tblPr>
        <w:tblW w:w="0" w:type="auto"/>
        <w:tblInd w:w="9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24"/>
        <w:gridCol w:w="1778"/>
        <w:gridCol w:w="3672"/>
        <w:gridCol w:w="2641"/>
      </w:tblGrid>
      <w:tr w:rsidR="00245300" w:rsidRPr="00EC20A0" w14:paraId="24D62952" w14:textId="77777777">
        <w:trPr>
          <w:trHeight w:val="515"/>
        </w:trPr>
        <w:tc>
          <w:tcPr>
            <w:tcW w:w="9515" w:type="dxa"/>
            <w:gridSpan w:val="4"/>
            <w:tcBorders>
              <w:bottom w:val="single" w:sz="8" w:space="0" w:color="000000"/>
            </w:tcBorders>
            <w:shd w:val="clear" w:color="auto" w:fill="A6A6A6"/>
          </w:tcPr>
          <w:p w14:paraId="24D62951" w14:textId="77777777" w:rsidR="00245300" w:rsidRPr="00EC20A0" w:rsidRDefault="00F17249">
            <w:pPr>
              <w:pStyle w:val="TableParagraph"/>
              <w:spacing w:before="120"/>
              <w:ind w:left="109"/>
              <w:rPr>
                <w:b/>
                <w:sz w:val="24"/>
              </w:rPr>
            </w:pPr>
            <w:r w:rsidRPr="00EC20A0">
              <w:rPr>
                <w:b/>
                <w:sz w:val="24"/>
              </w:rPr>
              <w:t>Section</w:t>
            </w:r>
            <w:r w:rsidRPr="00EC20A0">
              <w:rPr>
                <w:b/>
                <w:spacing w:val="-3"/>
                <w:sz w:val="24"/>
              </w:rPr>
              <w:t xml:space="preserve"> </w:t>
            </w:r>
            <w:r w:rsidRPr="00EC20A0">
              <w:rPr>
                <w:b/>
                <w:sz w:val="24"/>
              </w:rPr>
              <w:t>VI:</w:t>
            </w:r>
            <w:r w:rsidRPr="00EC20A0">
              <w:rPr>
                <w:b/>
                <w:spacing w:val="-2"/>
                <w:sz w:val="24"/>
              </w:rPr>
              <w:t xml:space="preserve"> </w:t>
            </w:r>
            <w:r w:rsidRPr="00EC20A0">
              <w:rPr>
                <w:b/>
                <w:sz w:val="24"/>
              </w:rPr>
              <w:t>Explanation</w:t>
            </w:r>
            <w:r w:rsidRPr="00EC20A0">
              <w:rPr>
                <w:b/>
                <w:spacing w:val="-3"/>
                <w:sz w:val="24"/>
              </w:rPr>
              <w:t xml:space="preserve"> </w:t>
            </w:r>
            <w:r w:rsidRPr="00EC20A0">
              <w:rPr>
                <w:b/>
                <w:sz w:val="24"/>
              </w:rPr>
              <w:t>of</w:t>
            </w:r>
            <w:r w:rsidRPr="00EC20A0">
              <w:rPr>
                <w:b/>
                <w:spacing w:val="-2"/>
                <w:sz w:val="24"/>
              </w:rPr>
              <w:t xml:space="preserve"> </w:t>
            </w:r>
            <w:r w:rsidRPr="00EC20A0">
              <w:rPr>
                <w:b/>
                <w:sz w:val="24"/>
              </w:rPr>
              <w:t>“No”</w:t>
            </w:r>
            <w:r w:rsidRPr="00EC20A0">
              <w:rPr>
                <w:b/>
                <w:spacing w:val="-3"/>
                <w:sz w:val="24"/>
              </w:rPr>
              <w:t xml:space="preserve"> </w:t>
            </w:r>
            <w:r w:rsidRPr="00EC20A0">
              <w:rPr>
                <w:b/>
                <w:sz w:val="24"/>
              </w:rPr>
              <w:t>Answers</w:t>
            </w:r>
            <w:r w:rsidRPr="00EC20A0">
              <w:rPr>
                <w:b/>
                <w:spacing w:val="-4"/>
                <w:sz w:val="24"/>
              </w:rPr>
              <w:t xml:space="preserve"> </w:t>
            </w:r>
            <w:r w:rsidRPr="00EC20A0">
              <w:rPr>
                <w:b/>
                <w:sz w:val="24"/>
              </w:rPr>
              <w:t>and</w:t>
            </w:r>
            <w:r w:rsidRPr="00EC20A0">
              <w:rPr>
                <w:b/>
                <w:spacing w:val="-3"/>
                <w:sz w:val="24"/>
              </w:rPr>
              <w:t xml:space="preserve"> </w:t>
            </w:r>
            <w:r w:rsidRPr="00EC20A0">
              <w:rPr>
                <w:b/>
                <w:sz w:val="24"/>
              </w:rPr>
              <w:t>Other</w:t>
            </w:r>
            <w:r w:rsidRPr="00EC20A0">
              <w:rPr>
                <w:b/>
                <w:spacing w:val="-3"/>
                <w:sz w:val="24"/>
              </w:rPr>
              <w:t xml:space="preserve"> </w:t>
            </w:r>
            <w:r w:rsidRPr="00EC20A0">
              <w:rPr>
                <w:b/>
                <w:spacing w:val="-2"/>
                <w:sz w:val="24"/>
              </w:rPr>
              <w:t>Comments</w:t>
            </w:r>
          </w:p>
        </w:tc>
      </w:tr>
      <w:tr w:rsidR="00245300" w:rsidRPr="00EC20A0" w14:paraId="24D62955" w14:textId="77777777">
        <w:trPr>
          <w:trHeight w:val="1745"/>
        </w:trPr>
        <w:tc>
          <w:tcPr>
            <w:tcW w:w="9515" w:type="dxa"/>
            <w:gridSpan w:val="4"/>
            <w:tcBorders>
              <w:top w:val="single" w:sz="8" w:space="0" w:color="000000"/>
              <w:bottom w:val="single" w:sz="8" w:space="0" w:color="000000"/>
            </w:tcBorders>
          </w:tcPr>
          <w:p w14:paraId="24D62953" w14:textId="77777777" w:rsidR="00245300" w:rsidRPr="00EC20A0" w:rsidRDefault="00F17249">
            <w:pPr>
              <w:pStyle w:val="TableParagraph"/>
              <w:spacing w:before="121"/>
              <w:ind w:left="110" w:hanging="1"/>
            </w:pPr>
            <w:r w:rsidRPr="00EC20A0">
              <w:t>The</w:t>
            </w:r>
            <w:r w:rsidRPr="00EC20A0">
              <w:rPr>
                <w:spacing w:val="-3"/>
              </w:rPr>
              <w:t xml:space="preserve"> </w:t>
            </w:r>
            <w:r w:rsidRPr="00EC20A0">
              <w:t>page</w:t>
            </w:r>
            <w:r w:rsidRPr="00EC20A0">
              <w:rPr>
                <w:spacing w:val="-3"/>
              </w:rPr>
              <w:t xml:space="preserve"> </w:t>
            </w:r>
            <w:r w:rsidRPr="00EC20A0">
              <w:t>below</w:t>
            </w:r>
            <w:r w:rsidRPr="00EC20A0">
              <w:rPr>
                <w:spacing w:val="-3"/>
              </w:rPr>
              <w:t xml:space="preserve"> </w:t>
            </w:r>
            <w:r w:rsidRPr="00EC20A0">
              <w:t>is</w:t>
            </w:r>
            <w:r w:rsidRPr="00EC20A0">
              <w:rPr>
                <w:spacing w:val="-3"/>
              </w:rPr>
              <w:t xml:space="preserve"> </w:t>
            </w:r>
            <w:r w:rsidRPr="00EC20A0">
              <w:t>provided</w:t>
            </w:r>
            <w:r w:rsidRPr="00EC20A0">
              <w:rPr>
                <w:spacing w:val="-3"/>
              </w:rPr>
              <w:t xml:space="preserve"> </w:t>
            </w:r>
            <w:r w:rsidRPr="00EC20A0">
              <w:t>for</w:t>
            </w:r>
            <w:r w:rsidRPr="00EC20A0">
              <w:rPr>
                <w:spacing w:val="-3"/>
              </w:rPr>
              <w:t xml:space="preserve"> </w:t>
            </w:r>
            <w:r w:rsidRPr="00EC20A0">
              <w:t>comments</w:t>
            </w:r>
            <w:r w:rsidRPr="00EC20A0">
              <w:rPr>
                <w:spacing w:val="-3"/>
              </w:rPr>
              <w:t xml:space="preserve"> </w:t>
            </w:r>
            <w:r w:rsidRPr="00EC20A0">
              <w:t>on</w:t>
            </w:r>
            <w:r w:rsidRPr="00EC20A0">
              <w:rPr>
                <w:spacing w:val="-3"/>
              </w:rPr>
              <w:t xml:space="preserve"> </w:t>
            </w:r>
            <w:r w:rsidRPr="00EC20A0">
              <w:t>all</w:t>
            </w:r>
            <w:r w:rsidRPr="00EC20A0">
              <w:rPr>
                <w:spacing w:val="-3"/>
              </w:rPr>
              <w:t xml:space="preserve"> </w:t>
            </w:r>
            <w:r w:rsidRPr="00EC20A0">
              <w:t>“No”*</w:t>
            </w:r>
            <w:r w:rsidRPr="00EC20A0">
              <w:rPr>
                <w:spacing w:val="-3"/>
              </w:rPr>
              <w:t xml:space="preserve"> </w:t>
            </w:r>
            <w:r w:rsidRPr="00EC20A0">
              <w:t>answers</w:t>
            </w:r>
            <w:r w:rsidRPr="00EC20A0">
              <w:rPr>
                <w:spacing w:val="-3"/>
              </w:rPr>
              <w:t xml:space="preserve"> </w:t>
            </w:r>
            <w:r w:rsidRPr="00EC20A0">
              <w:t>or</w:t>
            </w:r>
            <w:r w:rsidRPr="00EC20A0">
              <w:rPr>
                <w:spacing w:val="-3"/>
              </w:rPr>
              <w:t xml:space="preserve"> </w:t>
            </w:r>
            <w:r w:rsidRPr="00EC20A0">
              <w:t>to</w:t>
            </w:r>
            <w:r w:rsidRPr="00EC20A0">
              <w:rPr>
                <w:spacing w:val="-3"/>
              </w:rPr>
              <w:t xml:space="preserve"> </w:t>
            </w:r>
            <w:r w:rsidRPr="00EC20A0">
              <w:t>expand</w:t>
            </w:r>
            <w:r w:rsidRPr="00EC20A0">
              <w:rPr>
                <w:spacing w:val="-3"/>
              </w:rPr>
              <w:t xml:space="preserve"> </w:t>
            </w:r>
            <w:r w:rsidRPr="00EC20A0">
              <w:t>upon</w:t>
            </w:r>
            <w:r w:rsidRPr="00EC20A0">
              <w:rPr>
                <w:spacing w:val="-3"/>
              </w:rPr>
              <w:t xml:space="preserve"> </w:t>
            </w:r>
            <w:r w:rsidRPr="00EC20A0">
              <w:t>any</w:t>
            </w:r>
            <w:r w:rsidRPr="00EC20A0">
              <w:rPr>
                <w:spacing w:val="-2"/>
              </w:rPr>
              <w:t xml:space="preserve"> </w:t>
            </w:r>
            <w:r w:rsidRPr="00EC20A0">
              <w:t>of</w:t>
            </w:r>
            <w:r w:rsidRPr="00EC20A0">
              <w:rPr>
                <w:spacing w:val="-3"/>
              </w:rPr>
              <w:t xml:space="preserve"> </w:t>
            </w:r>
            <w:r w:rsidRPr="00EC20A0">
              <w:t xml:space="preserve">the “Yes” and “N/A” </w:t>
            </w:r>
            <w:r w:rsidRPr="00EC20A0">
              <w:t>answers as needed, and may be modified as necessary.</w:t>
            </w:r>
          </w:p>
          <w:p w14:paraId="24D62954" w14:textId="77777777" w:rsidR="00245300" w:rsidRPr="00EC20A0" w:rsidRDefault="00F17249">
            <w:pPr>
              <w:pStyle w:val="TableParagraph"/>
              <w:spacing w:before="239"/>
              <w:ind w:left="109" w:right="112"/>
            </w:pPr>
            <w:r w:rsidRPr="00EC20A0">
              <w:t>*</w:t>
            </w:r>
            <w:r w:rsidRPr="00EC20A0">
              <w:rPr>
                <w:u w:val="single"/>
              </w:rPr>
              <w:t>For</w:t>
            </w:r>
            <w:r w:rsidRPr="00EC20A0">
              <w:rPr>
                <w:spacing w:val="-4"/>
                <w:u w:val="single"/>
              </w:rPr>
              <w:t xml:space="preserve"> </w:t>
            </w:r>
            <w:r w:rsidRPr="00EC20A0">
              <w:rPr>
                <w:u w:val="single"/>
              </w:rPr>
              <w:t>some</w:t>
            </w:r>
            <w:r w:rsidRPr="00EC20A0">
              <w:rPr>
                <w:spacing w:val="-4"/>
                <w:u w:val="single"/>
              </w:rPr>
              <w:t xml:space="preserve"> </w:t>
            </w:r>
            <w:r w:rsidRPr="00EC20A0">
              <w:rPr>
                <w:u w:val="single"/>
              </w:rPr>
              <w:t>questions,</w:t>
            </w:r>
            <w:r w:rsidRPr="00EC20A0">
              <w:rPr>
                <w:spacing w:val="-4"/>
                <w:u w:val="single"/>
              </w:rPr>
              <w:t xml:space="preserve"> </w:t>
            </w:r>
            <w:r w:rsidRPr="00EC20A0">
              <w:rPr>
                <w:u w:val="single"/>
              </w:rPr>
              <w:t>“No”</w:t>
            </w:r>
            <w:r w:rsidRPr="00EC20A0">
              <w:rPr>
                <w:spacing w:val="-4"/>
                <w:u w:val="single"/>
              </w:rPr>
              <w:t xml:space="preserve"> </w:t>
            </w:r>
            <w:r w:rsidRPr="00EC20A0">
              <w:rPr>
                <w:u w:val="single"/>
              </w:rPr>
              <w:t>answers</w:t>
            </w:r>
            <w:r w:rsidRPr="00EC20A0">
              <w:rPr>
                <w:spacing w:val="-4"/>
                <w:u w:val="single"/>
              </w:rPr>
              <w:t xml:space="preserve"> </w:t>
            </w:r>
            <w:r w:rsidRPr="00EC20A0">
              <w:rPr>
                <w:u w:val="single"/>
              </w:rPr>
              <w:t>may</w:t>
            </w:r>
            <w:r w:rsidRPr="00EC20A0">
              <w:rPr>
                <w:spacing w:val="-4"/>
                <w:u w:val="single"/>
              </w:rPr>
              <w:t xml:space="preserve"> </w:t>
            </w:r>
            <w:r w:rsidRPr="00EC20A0">
              <w:rPr>
                <w:u w:val="single"/>
              </w:rPr>
              <w:t>indicate</w:t>
            </w:r>
            <w:r w:rsidRPr="00EC20A0">
              <w:rPr>
                <w:spacing w:val="-4"/>
                <w:u w:val="single"/>
              </w:rPr>
              <w:t xml:space="preserve"> </w:t>
            </w:r>
            <w:r w:rsidRPr="00EC20A0">
              <w:rPr>
                <w:u w:val="single"/>
              </w:rPr>
              <w:t>departures</w:t>
            </w:r>
            <w:r w:rsidRPr="00EC20A0">
              <w:rPr>
                <w:spacing w:val="-4"/>
                <w:u w:val="single"/>
              </w:rPr>
              <w:t xml:space="preserve"> </w:t>
            </w:r>
            <w:r w:rsidRPr="00EC20A0">
              <w:rPr>
                <w:u w:val="single"/>
              </w:rPr>
              <w:t>from</w:t>
            </w:r>
            <w:r w:rsidRPr="00EC20A0">
              <w:rPr>
                <w:spacing w:val="-5"/>
                <w:u w:val="single"/>
              </w:rPr>
              <w:t xml:space="preserve"> </w:t>
            </w:r>
            <w:r w:rsidRPr="00EC20A0">
              <w:rPr>
                <w:u w:val="single"/>
              </w:rPr>
              <w:t>professional</w:t>
            </w:r>
            <w:r w:rsidRPr="00EC20A0">
              <w:rPr>
                <w:spacing w:val="-5"/>
                <w:u w:val="single"/>
              </w:rPr>
              <w:t xml:space="preserve"> </w:t>
            </w:r>
            <w:r w:rsidRPr="00EC20A0">
              <w:rPr>
                <w:u w:val="single"/>
              </w:rPr>
              <w:t>standards</w:t>
            </w:r>
            <w:r w:rsidRPr="00EC20A0">
              <w:rPr>
                <w:spacing w:val="-4"/>
                <w:u w:val="single"/>
              </w:rPr>
              <w:t xml:space="preserve"> </w:t>
            </w:r>
            <w:r w:rsidRPr="00EC20A0">
              <w:rPr>
                <w:u w:val="single"/>
              </w:rPr>
              <w:t>or</w:t>
            </w:r>
            <w:r w:rsidRPr="00EC20A0">
              <w:t xml:space="preserve"> </w:t>
            </w:r>
            <w:r w:rsidRPr="00EC20A0">
              <w:rPr>
                <w:u w:val="single"/>
              </w:rPr>
              <w:t>from auditor policies. The auditor should explain all “No” answers below and determine the</w:t>
            </w:r>
            <w:r w:rsidRPr="00EC20A0">
              <w:t xml:space="preserve"> </w:t>
            </w:r>
            <w:r w:rsidRPr="00EC20A0">
              <w:rPr>
                <w:u w:val="single"/>
              </w:rPr>
              <w:t>effects and significance of “No” answers, including any effect on the auditor’s report</w:t>
            </w:r>
            <w:r w:rsidRPr="00EC20A0">
              <w:t>.</w:t>
            </w:r>
          </w:p>
        </w:tc>
      </w:tr>
      <w:tr w:rsidR="00245300" w:rsidRPr="00EC20A0" w14:paraId="24D6295A" w14:textId="77777777">
        <w:trPr>
          <w:trHeight w:val="492"/>
        </w:trPr>
        <w:tc>
          <w:tcPr>
            <w:tcW w:w="1424" w:type="dxa"/>
            <w:tcBorders>
              <w:top w:val="single" w:sz="8" w:space="0" w:color="000000"/>
              <w:bottom w:val="single" w:sz="8" w:space="0" w:color="000000"/>
              <w:right w:val="single" w:sz="8" w:space="0" w:color="000000"/>
            </w:tcBorders>
          </w:tcPr>
          <w:p w14:paraId="24D62956" w14:textId="77777777" w:rsidR="00245300" w:rsidRPr="00EC20A0" w:rsidRDefault="00F17249">
            <w:pPr>
              <w:pStyle w:val="TableParagraph"/>
              <w:spacing w:before="119"/>
              <w:ind w:left="109"/>
              <w:rPr>
                <w:b/>
              </w:rPr>
            </w:pPr>
            <w:r w:rsidRPr="00EC20A0">
              <w:rPr>
                <w:b/>
              </w:rPr>
              <w:t>Page</w:t>
            </w:r>
            <w:r w:rsidRPr="00EC20A0">
              <w:rPr>
                <w:b/>
                <w:spacing w:val="-7"/>
              </w:rPr>
              <w:t xml:space="preserve"> </w:t>
            </w:r>
            <w:r w:rsidRPr="00EC20A0">
              <w:rPr>
                <w:b/>
                <w:spacing w:val="-5"/>
              </w:rPr>
              <w:t>no.</w:t>
            </w:r>
          </w:p>
        </w:tc>
        <w:tc>
          <w:tcPr>
            <w:tcW w:w="1778" w:type="dxa"/>
            <w:tcBorders>
              <w:top w:val="single" w:sz="8" w:space="0" w:color="000000"/>
              <w:left w:val="single" w:sz="8" w:space="0" w:color="000000"/>
              <w:bottom w:val="single" w:sz="8" w:space="0" w:color="000000"/>
              <w:right w:val="single" w:sz="8" w:space="0" w:color="000000"/>
            </w:tcBorders>
          </w:tcPr>
          <w:p w14:paraId="24D62957" w14:textId="77777777" w:rsidR="00245300" w:rsidRPr="00EC20A0" w:rsidRDefault="00F17249">
            <w:pPr>
              <w:pStyle w:val="TableParagraph"/>
              <w:spacing w:before="119"/>
              <w:ind w:left="115"/>
              <w:rPr>
                <w:b/>
              </w:rPr>
            </w:pPr>
            <w:r w:rsidRPr="00EC20A0">
              <w:rPr>
                <w:b/>
              </w:rPr>
              <w:t>Question</w:t>
            </w:r>
            <w:r w:rsidRPr="00EC20A0">
              <w:rPr>
                <w:b/>
                <w:spacing w:val="-11"/>
              </w:rPr>
              <w:t xml:space="preserve"> </w:t>
            </w:r>
            <w:r w:rsidRPr="00EC20A0">
              <w:rPr>
                <w:b/>
                <w:spacing w:val="-5"/>
              </w:rPr>
              <w:t>no.</w:t>
            </w:r>
          </w:p>
        </w:tc>
        <w:tc>
          <w:tcPr>
            <w:tcW w:w="3672" w:type="dxa"/>
            <w:tcBorders>
              <w:top w:val="single" w:sz="8" w:space="0" w:color="000000"/>
              <w:left w:val="single" w:sz="8" w:space="0" w:color="000000"/>
              <w:bottom w:val="single" w:sz="8" w:space="0" w:color="000000"/>
              <w:right w:val="single" w:sz="8" w:space="0" w:color="000000"/>
            </w:tcBorders>
          </w:tcPr>
          <w:p w14:paraId="24D62958" w14:textId="77777777" w:rsidR="00245300" w:rsidRPr="00EC20A0" w:rsidRDefault="00F17249">
            <w:pPr>
              <w:pStyle w:val="TableParagraph"/>
              <w:spacing w:before="119"/>
              <w:ind w:left="115"/>
              <w:rPr>
                <w:b/>
              </w:rPr>
            </w:pPr>
            <w:r w:rsidRPr="00EC20A0">
              <w:rPr>
                <w:b/>
              </w:rPr>
              <w:t>Explanatory</w:t>
            </w:r>
            <w:r w:rsidRPr="00EC20A0">
              <w:rPr>
                <w:b/>
                <w:spacing w:val="-15"/>
              </w:rPr>
              <w:t xml:space="preserve"> </w:t>
            </w:r>
            <w:r w:rsidRPr="00EC20A0">
              <w:rPr>
                <w:b/>
                <w:spacing w:val="-2"/>
              </w:rPr>
              <w:t>comments</w:t>
            </w:r>
          </w:p>
        </w:tc>
        <w:tc>
          <w:tcPr>
            <w:tcW w:w="2641" w:type="dxa"/>
            <w:tcBorders>
              <w:top w:val="single" w:sz="8" w:space="0" w:color="000000"/>
              <w:left w:val="single" w:sz="8" w:space="0" w:color="000000"/>
              <w:bottom w:val="single" w:sz="8" w:space="0" w:color="000000"/>
            </w:tcBorders>
          </w:tcPr>
          <w:p w14:paraId="24D62959" w14:textId="77777777" w:rsidR="00245300" w:rsidRPr="00EC20A0" w:rsidRDefault="00F17249">
            <w:pPr>
              <w:pStyle w:val="TableParagraph"/>
              <w:spacing w:before="119"/>
              <w:ind w:left="115"/>
              <w:rPr>
                <w:b/>
              </w:rPr>
            </w:pPr>
            <w:r w:rsidRPr="00EC20A0">
              <w:rPr>
                <w:b/>
                <w:spacing w:val="-2"/>
              </w:rPr>
              <w:t>Conclusion</w:t>
            </w:r>
          </w:p>
        </w:tc>
      </w:tr>
      <w:tr w:rsidR="00245300" w:rsidRPr="00EC20A0" w14:paraId="24D6295F" w14:textId="77777777">
        <w:trPr>
          <w:trHeight w:val="493"/>
        </w:trPr>
        <w:tc>
          <w:tcPr>
            <w:tcW w:w="1424" w:type="dxa"/>
            <w:tcBorders>
              <w:top w:val="single" w:sz="8" w:space="0" w:color="000000"/>
              <w:bottom w:val="single" w:sz="8" w:space="0" w:color="000000"/>
              <w:right w:val="single" w:sz="8" w:space="0" w:color="000000"/>
            </w:tcBorders>
          </w:tcPr>
          <w:p w14:paraId="24D6295B" w14:textId="77777777" w:rsidR="00245300" w:rsidRPr="00EC20A0" w:rsidRDefault="00245300">
            <w:pPr>
              <w:pStyle w:val="TableParagraph"/>
            </w:pPr>
          </w:p>
        </w:tc>
        <w:tc>
          <w:tcPr>
            <w:tcW w:w="1778" w:type="dxa"/>
            <w:tcBorders>
              <w:top w:val="single" w:sz="8" w:space="0" w:color="000000"/>
              <w:left w:val="single" w:sz="8" w:space="0" w:color="000000"/>
              <w:bottom w:val="single" w:sz="8" w:space="0" w:color="000000"/>
              <w:right w:val="single" w:sz="8" w:space="0" w:color="000000"/>
            </w:tcBorders>
          </w:tcPr>
          <w:p w14:paraId="24D6295C" w14:textId="77777777" w:rsidR="00245300" w:rsidRPr="00EC20A0" w:rsidRDefault="00245300">
            <w:pPr>
              <w:pStyle w:val="TableParagraph"/>
            </w:pPr>
          </w:p>
        </w:tc>
        <w:tc>
          <w:tcPr>
            <w:tcW w:w="3672" w:type="dxa"/>
            <w:tcBorders>
              <w:top w:val="single" w:sz="8" w:space="0" w:color="000000"/>
              <w:left w:val="single" w:sz="8" w:space="0" w:color="000000"/>
              <w:bottom w:val="single" w:sz="8" w:space="0" w:color="000000"/>
              <w:right w:val="single" w:sz="8" w:space="0" w:color="000000"/>
            </w:tcBorders>
          </w:tcPr>
          <w:p w14:paraId="24D6295D" w14:textId="77777777" w:rsidR="00245300" w:rsidRPr="00EC20A0" w:rsidRDefault="00245300">
            <w:pPr>
              <w:pStyle w:val="TableParagraph"/>
            </w:pPr>
          </w:p>
        </w:tc>
        <w:tc>
          <w:tcPr>
            <w:tcW w:w="2641" w:type="dxa"/>
            <w:tcBorders>
              <w:top w:val="single" w:sz="8" w:space="0" w:color="000000"/>
              <w:left w:val="single" w:sz="8" w:space="0" w:color="000000"/>
              <w:bottom w:val="single" w:sz="8" w:space="0" w:color="000000"/>
            </w:tcBorders>
          </w:tcPr>
          <w:p w14:paraId="24D6295E" w14:textId="77777777" w:rsidR="00245300" w:rsidRPr="00EC20A0" w:rsidRDefault="00245300">
            <w:pPr>
              <w:pStyle w:val="TableParagraph"/>
            </w:pPr>
          </w:p>
        </w:tc>
      </w:tr>
      <w:tr w:rsidR="00245300" w:rsidRPr="00EC20A0" w14:paraId="24D62964" w14:textId="77777777">
        <w:trPr>
          <w:trHeight w:val="492"/>
        </w:trPr>
        <w:tc>
          <w:tcPr>
            <w:tcW w:w="1424" w:type="dxa"/>
            <w:tcBorders>
              <w:top w:val="single" w:sz="8" w:space="0" w:color="000000"/>
              <w:bottom w:val="single" w:sz="8" w:space="0" w:color="000000"/>
              <w:right w:val="single" w:sz="8" w:space="0" w:color="000000"/>
            </w:tcBorders>
          </w:tcPr>
          <w:p w14:paraId="24D62960" w14:textId="77777777" w:rsidR="00245300" w:rsidRPr="00EC20A0" w:rsidRDefault="00245300">
            <w:pPr>
              <w:pStyle w:val="TableParagraph"/>
            </w:pPr>
          </w:p>
        </w:tc>
        <w:tc>
          <w:tcPr>
            <w:tcW w:w="1778" w:type="dxa"/>
            <w:tcBorders>
              <w:top w:val="single" w:sz="8" w:space="0" w:color="000000"/>
              <w:left w:val="single" w:sz="8" w:space="0" w:color="000000"/>
              <w:bottom w:val="single" w:sz="8" w:space="0" w:color="000000"/>
              <w:right w:val="single" w:sz="8" w:space="0" w:color="000000"/>
            </w:tcBorders>
          </w:tcPr>
          <w:p w14:paraId="24D62961" w14:textId="77777777" w:rsidR="00245300" w:rsidRPr="00EC20A0" w:rsidRDefault="00245300">
            <w:pPr>
              <w:pStyle w:val="TableParagraph"/>
            </w:pPr>
          </w:p>
        </w:tc>
        <w:tc>
          <w:tcPr>
            <w:tcW w:w="3672" w:type="dxa"/>
            <w:tcBorders>
              <w:top w:val="single" w:sz="8" w:space="0" w:color="000000"/>
              <w:left w:val="single" w:sz="8" w:space="0" w:color="000000"/>
              <w:bottom w:val="single" w:sz="8" w:space="0" w:color="000000"/>
              <w:right w:val="single" w:sz="8" w:space="0" w:color="000000"/>
            </w:tcBorders>
          </w:tcPr>
          <w:p w14:paraId="24D62962" w14:textId="77777777" w:rsidR="00245300" w:rsidRPr="00EC20A0" w:rsidRDefault="00245300">
            <w:pPr>
              <w:pStyle w:val="TableParagraph"/>
            </w:pPr>
          </w:p>
        </w:tc>
        <w:tc>
          <w:tcPr>
            <w:tcW w:w="2641" w:type="dxa"/>
            <w:tcBorders>
              <w:top w:val="single" w:sz="8" w:space="0" w:color="000000"/>
              <w:left w:val="single" w:sz="8" w:space="0" w:color="000000"/>
              <w:bottom w:val="single" w:sz="8" w:space="0" w:color="000000"/>
            </w:tcBorders>
          </w:tcPr>
          <w:p w14:paraId="24D62963" w14:textId="77777777" w:rsidR="00245300" w:rsidRPr="00EC20A0" w:rsidRDefault="00245300">
            <w:pPr>
              <w:pStyle w:val="TableParagraph"/>
            </w:pPr>
          </w:p>
        </w:tc>
      </w:tr>
      <w:tr w:rsidR="00245300" w:rsidRPr="00EC20A0" w14:paraId="24D62969" w14:textId="77777777">
        <w:trPr>
          <w:trHeight w:val="493"/>
        </w:trPr>
        <w:tc>
          <w:tcPr>
            <w:tcW w:w="1424" w:type="dxa"/>
            <w:tcBorders>
              <w:top w:val="single" w:sz="8" w:space="0" w:color="000000"/>
              <w:bottom w:val="single" w:sz="8" w:space="0" w:color="000000"/>
              <w:right w:val="single" w:sz="8" w:space="0" w:color="000000"/>
            </w:tcBorders>
          </w:tcPr>
          <w:p w14:paraId="24D62965" w14:textId="77777777" w:rsidR="00245300" w:rsidRPr="00EC20A0" w:rsidRDefault="00245300">
            <w:pPr>
              <w:pStyle w:val="TableParagraph"/>
            </w:pPr>
          </w:p>
        </w:tc>
        <w:tc>
          <w:tcPr>
            <w:tcW w:w="1778" w:type="dxa"/>
            <w:tcBorders>
              <w:top w:val="single" w:sz="8" w:space="0" w:color="000000"/>
              <w:left w:val="single" w:sz="8" w:space="0" w:color="000000"/>
              <w:bottom w:val="single" w:sz="8" w:space="0" w:color="000000"/>
              <w:right w:val="single" w:sz="8" w:space="0" w:color="000000"/>
            </w:tcBorders>
          </w:tcPr>
          <w:p w14:paraId="24D62966" w14:textId="77777777" w:rsidR="00245300" w:rsidRPr="00EC20A0" w:rsidRDefault="00245300">
            <w:pPr>
              <w:pStyle w:val="TableParagraph"/>
            </w:pPr>
          </w:p>
        </w:tc>
        <w:tc>
          <w:tcPr>
            <w:tcW w:w="3672" w:type="dxa"/>
            <w:tcBorders>
              <w:top w:val="single" w:sz="8" w:space="0" w:color="000000"/>
              <w:left w:val="single" w:sz="8" w:space="0" w:color="000000"/>
              <w:bottom w:val="single" w:sz="8" w:space="0" w:color="000000"/>
              <w:right w:val="single" w:sz="8" w:space="0" w:color="000000"/>
            </w:tcBorders>
          </w:tcPr>
          <w:p w14:paraId="24D62967" w14:textId="77777777" w:rsidR="00245300" w:rsidRPr="00EC20A0" w:rsidRDefault="00245300">
            <w:pPr>
              <w:pStyle w:val="TableParagraph"/>
            </w:pPr>
          </w:p>
        </w:tc>
        <w:tc>
          <w:tcPr>
            <w:tcW w:w="2641" w:type="dxa"/>
            <w:tcBorders>
              <w:top w:val="single" w:sz="8" w:space="0" w:color="000000"/>
              <w:left w:val="single" w:sz="8" w:space="0" w:color="000000"/>
              <w:bottom w:val="single" w:sz="8" w:space="0" w:color="000000"/>
            </w:tcBorders>
          </w:tcPr>
          <w:p w14:paraId="24D62968" w14:textId="77777777" w:rsidR="00245300" w:rsidRPr="00EC20A0" w:rsidRDefault="00245300">
            <w:pPr>
              <w:pStyle w:val="TableParagraph"/>
            </w:pPr>
          </w:p>
        </w:tc>
      </w:tr>
      <w:tr w:rsidR="00245300" w:rsidRPr="00EC20A0" w14:paraId="24D6296E" w14:textId="77777777">
        <w:trPr>
          <w:trHeight w:val="492"/>
        </w:trPr>
        <w:tc>
          <w:tcPr>
            <w:tcW w:w="1424" w:type="dxa"/>
            <w:tcBorders>
              <w:top w:val="single" w:sz="8" w:space="0" w:color="000000"/>
              <w:bottom w:val="single" w:sz="8" w:space="0" w:color="000000"/>
              <w:right w:val="single" w:sz="8" w:space="0" w:color="000000"/>
            </w:tcBorders>
          </w:tcPr>
          <w:p w14:paraId="24D6296A" w14:textId="77777777" w:rsidR="00245300" w:rsidRPr="00EC20A0" w:rsidRDefault="00245300">
            <w:pPr>
              <w:pStyle w:val="TableParagraph"/>
            </w:pPr>
          </w:p>
        </w:tc>
        <w:tc>
          <w:tcPr>
            <w:tcW w:w="1778" w:type="dxa"/>
            <w:tcBorders>
              <w:top w:val="single" w:sz="8" w:space="0" w:color="000000"/>
              <w:left w:val="single" w:sz="8" w:space="0" w:color="000000"/>
              <w:bottom w:val="single" w:sz="8" w:space="0" w:color="000000"/>
              <w:right w:val="single" w:sz="8" w:space="0" w:color="000000"/>
            </w:tcBorders>
          </w:tcPr>
          <w:p w14:paraId="24D6296B" w14:textId="77777777" w:rsidR="00245300" w:rsidRPr="00EC20A0" w:rsidRDefault="00245300">
            <w:pPr>
              <w:pStyle w:val="TableParagraph"/>
            </w:pPr>
          </w:p>
        </w:tc>
        <w:tc>
          <w:tcPr>
            <w:tcW w:w="3672" w:type="dxa"/>
            <w:tcBorders>
              <w:top w:val="single" w:sz="8" w:space="0" w:color="000000"/>
              <w:left w:val="single" w:sz="8" w:space="0" w:color="000000"/>
              <w:bottom w:val="single" w:sz="8" w:space="0" w:color="000000"/>
              <w:right w:val="single" w:sz="8" w:space="0" w:color="000000"/>
            </w:tcBorders>
          </w:tcPr>
          <w:p w14:paraId="24D6296C" w14:textId="77777777" w:rsidR="00245300" w:rsidRPr="00EC20A0" w:rsidRDefault="00245300">
            <w:pPr>
              <w:pStyle w:val="TableParagraph"/>
            </w:pPr>
          </w:p>
        </w:tc>
        <w:tc>
          <w:tcPr>
            <w:tcW w:w="2641" w:type="dxa"/>
            <w:tcBorders>
              <w:top w:val="single" w:sz="8" w:space="0" w:color="000000"/>
              <w:left w:val="single" w:sz="8" w:space="0" w:color="000000"/>
              <w:bottom w:val="single" w:sz="8" w:space="0" w:color="000000"/>
            </w:tcBorders>
          </w:tcPr>
          <w:p w14:paraId="24D6296D" w14:textId="77777777" w:rsidR="00245300" w:rsidRPr="00EC20A0" w:rsidRDefault="00245300">
            <w:pPr>
              <w:pStyle w:val="TableParagraph"/>
            </w:pPr>
          </w:p>
        </w:tc>
      </w:tr>
      <w:tr w:rsidR="00245300" w:rsidRPr="00EC20A0" w14:paraId="24D62973" w14:textId="77777777">
        <w:trPr>
          <w:trHeight w:val="493"/>
        </w:trPr>
        <w:tc>
          <w:tcPr>
            <w:tcW w:w="1424" w:type="dxa"/>
            <w:tcBorders>
              <w:top w:val="single" w:sz="8" w:space="0" w:color="000000"/>
              <w:bottom w:val="single" w:sz="8" w:space="0" w:color="000000"/>
              <w:right w:val="single" w:sz="8" w:space="0" w:color="000000"/>
            </w:tcBorders>
          </w:tcPr>
          <w:p w14:paraId="24D6296F" w14:textId="77777777" w:rsidR="00245300" w:rsidRPr="00EC20A0" w:rsidRDefault="00245300">
            <w:pPr>
              <w:pStyle w:val="TableParagraph"/>
            </w:pPr>
          </w:p>
        </w:tc>
        <w:tc>
          <w:tcPr>
            <w:tcW w:w="1778" w:type="dxa"/>
            <w:tcBorders>
              <w:top w:val="single" w:sz="8" w:space="0" w:color="000000"/>
              <w:left w:val="single" w:sz="8" w:space="0" w:color="000000"/>
              <w:bottom w:val="single" w:sz="8" w:space="0" w:color="000000"/>
              <w:right w:val="single" w:sz="8" w:space="0" w:color="000000"/>
            </w:tcBorders>
          </w:tcPr>
          <w:p w14:paraId="24D62970" w14:textId="77777777" w:rsidR="00245300" w:rsidRPr="00EC20A0" w:rsidRDefault="00245300">
            <w:pPr>
              <w:pStyle w:val="TableParagraph"/>
            </w:pPr>
          </w:p>
        </w:tc>
        <w:tc>
          <w:tcPr>
            <w:tcW w:w="3672" w:type="dxa"/>
            <w:tcBorders>
              <w:top w:val="single" w:sz="8" w:space="0" w:color="000000"/>
              <w:left w:val="single" w:sz="8" w:space="0" w:color="000000"/>
              <w:bottom w:val="single" w:sz="8" w:space="0" w:color="000000"/>
              <w:right w:val="single" w:sz="8" w:space="0" w:color="000000"/>
            </w:tcBorders>
          </w:tcPr>
          <w:p w14:paraId="24D62971" w14:textId="77777777" w:rsidR="00245300" w:rsidRPr="00EC20A0" w:rsidRDefault="00245300">
            <w:pPr>
              <w:pStyle w:val="TableParagraph"/>
            </w:pPr>
          </w:p>
        </w:tc>
        <w:tc>
          <w:tcPr>
            <w:tcW w:w="2641" w:type="dxa"/>
            <w:tcBorders>
              <w:top w:val="single" w:sz="8" w:space="0" w:color="000000"/>
              <w:left w:val="single" w:sz="8" w:space="0" w:color="000000"/>
              <w:bottom w:val="single" w:sz="8" w:space="0" w:color="000000"/>
            </w:tcBorders>
          </w:tcPr>
          <w:p w14:paraId="24D62972" w14:textId="77777777" w:rsidR="00245300" w:rsidRPr="00EC20A0" w:rsidRDefault="00245300">
            <w:pPr>
              <w:pStyle w:val="TableParagraph"/>
            </w:pPr>
          </w:p>
        </w:tc>
      </w:tr>
      <w:tr w:rsidR="00245300" w:rsidRPr="00EC20A0" w14:paraId="24D62978" w14:textId="77777777">
        <w:trPr>
          <w:trHeight w:val="493"/>
        </w:trPr>
        <w:tc>
          <w:tcPr>
            <w:tcW w:w="1424" w:type="dxa"/>
            <w:tcBorders>
              <w:top w:val="single" w:sz="8" w:space="0" w:color="000000"/>
              <w:right w:val="single" w:sz="8" w:space="0" w:color="000000"/>
            </w:tcBorders>
          </w:tcPr>
          <w:p w14:paraId="24D62974" w14:textId="77777777" w:rsidR="00245300" w:rsidRPr="00EC20A0" w:rsidRDefault="00245300">
            <w:pPr>
              <w:pStyle w:val="TableParagraph"/>
            </w:pPr>
          </w:p>
        </w:tc>
        <w:tc>
          <w:tcPr>
            <w:tcW w:w="1778" w:type="dxa"/>
            <w:tcBorders>
              <w:top w:val="single" w:sz="8" w:space="0" w:color="000000"/>
              <w:left w:val="single" w:sz="8" w:space="0" w:color="000000"/>
              <w:right w:val="single" w:sz="8" w:space="0" w:color="000000"/>
            </w:tcBorders>
          </w:tcPr>
          <w:p w14:paraId="24D62975" w14:textId="77777777" w:rsidR="00245300" w:rsidRPr="00EC20A0" w:rsidRDefault="00245300">
            <w:pPr>
              <w:pStyle w:val="TableParagraph"/>
            </w:pPr>
          </w:p>
        </w:tc>
        <w:tc>
          <w:tcPr>
            <w:tcW w:w="3672" w:type="dxa"/>
            <w:tcBorders>
              <w:top w:val="single" w:sz="8" w:space="0" w:color="000000"/>
              <w:left w:val="single" w:sz="8" w:space="0" w:color="000000"/>
              <w:right w:val="single" w:sz="8" w:space="0" w:color="000000"/>
            </w:tcBorders>
          </w:tcPr>
          <w:p w14:paraId="24D62976" w14:textId="77777777" w:rsidR="00245300" w:rsidRPr="00EC20A0" w:rsidRDefault="00245300">
            <w:pPr>
              <w:pStyle w:val="TableParagraph"/>
            </w:pPr>
          </w:p>
        </w:tc>
        <w:tc>
          <w:tcPr>
            <w:tcW w:w="2641" w:type="dxa"/>
            <w:tcBorders>
              <w:top w:val="single" w:sz="8" w:space="0" w:color="000000"/>
              <w:left w:val="single" w:sz="8" w:space="0" w:color="000000"/>
            </w:tcBorders>
          </w:tcPr>
          <w:p w14:paraId="24D62977" w14:textId="77777777" w:rsidR="00245300" w:rsidRPr="00EC20A0" w:rsidRDefault="00245300">
            <w:pPr>
              <w:pStyle w:val="TableParagraph"/>
            </w:pPr>
          </w:p>
        </w:tc>
      </w:tr>
    </w:tbl>
    <w:p w14:paraId="24D62979" w14:textId="77777777" w:rsidR="00245300" w:rsidRPr="00EC20A0" w:rsidRDefault="00245300">
      <w:pPr>
        <w:sectPr w:rsidR="00245300" w:rsidRPr="00EC20A0">
          <w:pgSz w:w="12240" w:h="15840"/>
          <w:pgMar w:top="1340" w:right="460" w:bottom="940" w:left="560" w:header="721" w:footer="757" w:gutter="0"/>
          <w:cols w:space="720"/>
        </w:sectPr>
      </w:pPr>
    </w:p>
    <w:p w14:paraId="24D6297A" w14:textId="77777777" w:rsidR="00245300" w:rsidRPr="00EC20A0" w:rsidRDefault="00F17249" w:rsidP="0022160C">
      <w:pPr>
        <w:pStyle w:val="Heading4"/>
        <w:ind w:left="900"/>
      </w:pPr>
      <w:bookmarkStart w:id="421" w:name="Section_VII:_Conclusions"/>
      <w:bookmarkEnd w:id="421"/>
      <w:r w:rsidRPr="00EC20A0">
        <w:t>Section</w:t>
      </w:r>
      <w:r w:rsidRPr="00EC20A0">
        <w:rPr>
          <w:spacing w:val="-8"/>
        </w:rPr>
        <w:t xml:space="preserve"> </w:t>
      </w:r>
      <w:r w:rsidRPr="00EC20A0">
        <w:t>VII:</w:t>
      </w:r>
      <w:r w:rsidRPr="00EC20A0">
        <w:rPr>
          <w:spacing w:val="-9"/>
        </w:rPr>
        <w:t xml:space="preserve"> </w:t>
      </w:r>
      <w:r w:rsidRPr="00EC20A0">
        <w:rPr>
          <w:spacing w:val="-2"/>
        </w:rPr>
        <w:t>Conclusions</w:t>
      </w:r>
    </w:p>
    <w:p w14:paraId="24D6297B" w14:textId="77777777" w:rsidR="00245300" w:rsidRPr="00EC20A0" w:rsidRDefault="00245300">
      <w:pPr>
        <w:pStyle w:val="BodyText"/>
        <w:rPr>
          <w:b/>
          <w:sz w:val="16"/>
        </w:rPr>
      </w:pPr>
    </w:p>
    <w:tbl>
      <w:tblPr>
        <w:tblW w:w="0" w:type="auto"/>
        <w:tblInd w:w="88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7649"/>
        <w:gridCol w:w="797"/>
        <w:gridCol w:w="971"/>
      </w:tblGrid>
      <w:tr w:rsidR="00245300" w:rsidRPr="00EC20A0" w14:paraId="24D6297F" w14:textId="77777777">
        <w:trPr>
          <w:trHeight w:val="516"/>
        </w:trPr>
        <w:tc>
          <w:tcPr>
            <w:tcW w:w="7649" w:type="dxa"/>
            <w:tcBorders>
              <w:bottom w:val="single" w:sz="6" w:space="0" w:color="000000"/>
              <w:right w:val="single" w:sz="8" w:space="0" w:color="000000"/>
            </w:tcBorders>
            <w:shd w:val="clear" w:color="auto" w:fill="A6A6A6"/>
          </w:tcPr>
          <w:p w14:paraId="24D6297C" w14:textId="77777777" w:rsidR="00245300" w:rsidRPr="00EC20A0" w:rsidRDefault="00F17249">
            <w:pPr>
              <w:pStyle w:val="TableParagraph"/>
              <w:spacing w:before="121"/>
              <w:ind w:left="140"/>
              <w:rPr>
                <w:b/>
                <w:sz w:val="24"/>
              </w:rPr>
            </w:pPr>
            <w:r w:rsidRPr="00EC20A0">
              <w:rPr>
                <w:b/>
                <w:sz w:val="24"/>
              </w:rPr>
              <w:t>Section</w:t>
            </w:r>
            <w:r w:rsidRPr="00EC20A0">
              <w:rPr>
                <w:b/>
                <w:spacing w:val="-3"/>
                <w:sz w:val="24"/>
              </w:rPr>
              <w:t xml:space="preserve"> </w:t>
            </w:r>
            <w:r w:rsidRPr="00EC20A0">
              <w:rPr>
                <w:b/>
                <w:sz w:val="24"/>
              </w:rPr>
              <w:t>VII:</w:t>
            </w:r>
            <w:r w:rsidRPr="00EC20A0">
              <w:rPr>
                <w:b/>
                <w:spacing w:val="-2"/>
                <w:sz w:val="24"/>
              </w:rPr>
              <w:t xml:space="preserve"> Conclusions</w:t>
            </w:r>
          </w:p>
        </w:tc>
        <w:tc>
          <w:tcPr>
            <w:tcW w:w="797" w:type="dxa"/>
            <w:tcBorders>
              <w:left w:val="single" w:sz="8" w:space="0" w:color="000000"/>
              <w:bottom w:val="single" w:sz="6" w:space="0" w:color="000000"/>
              <w:right w:val="single" w:sz="8" w:space="0" w:color="000000"/>
            </w:tcBorders>
            <w:shd w:val="clear" w:color="auto" w:fill="A6A6A6"/>
          </w:tcPr>
          <w:p w14:paraId="24D6297D" w14:textId="77777777" w:rsidR="00245300" w:rsidRPr="00EC20A0" w:rsidRDefault="00F17249">
            <w:pPr>
              <w:pStyle w:val="TableParagraph"/>
              <w:spacing w:before="121"/>
              <w:ind w:left="177"/>
              <w:rPr>
                <w:b/>
                <w:sz w:val="24"/>
              </w:rPr>
            </w:pPr>
            <w:r w:rsidRPr="00EC20A0">
              <w:rPr>
                <w:b/>
                <w:spacing w:val="-5"/>
                <w:sz w:val="24"/>
              </w:rPr>
              <w:t>Yes</w:t>
            </w:r>
          </w:p>
        </w:tc>
        <w:tc>
          <w:tcPr>
            <w:tcW w:w="971" w:type="dxa"/>
            <w:tcBorders>
              <w:left w:val="single" w:sz="8" w:space="0" w:color="000000"/>
              <w:bottom w:val="single" w:sz="6" w:space="0" w:color="000000"/>
            </w:tcBorders>
            <w:shd w:val="clear" w:color="auto" w:fill="A6A6A6"/>
          </w:tcPr>
          <w:p w14:paraId="24D6297E" w14:textId="77777777" w:rsidR="00245300" w:rsidRPr="00EC20A0" w:rsidRDefault="00F17249">
            <w:pPr>
              <w:pStyle w:val="TableParagraph"/>
              <w:spacing w:before="121"/>
              <w:ind w:left="223"/>
              <w:rPr>
                <w:b/>
                <w:sz w:val="24"/>
              </w:rPr>
            </w:pPr>
            <w:r w:rsidRPr="00EC20A0">
              <w:rPr>
                <w:b/>
                <w:spacing w:val="-4"/>
                <w:sz w:val="24"/>
              </w:rPr>
              <w:t>No**</w:t>
            </w:r>
          </w:p>
        </w:tc>
      </w:tr>
      <w:tr w:rsidR="00245300" w:rsidRPr="00EC20A0" w14:paraId="24D62983" w14:textId="77777777">
        <w:trPr>
          <w:trHeight w:val="745"/>
        </w:trPr>
        <w:tc>
          <w:tcPr>
            <w:tcW w:w="7649" w:type="dxa"/>
            <w:tcBorders>
              <w:top w:val="single" w:sz="6" w:space="0" w:color="000000"/>
              <w:bottom w:val="single" w:sz="6" w:space="0" w:color="000000"/>
              <w:right w:val="single" w:sz="6" w:space="0" w:color="000000"/>
            </w:tcBorders>
          </w:tcPr>
          <w:p w14:paraId="24D62980" w14:textId="77777777" w:rsidR="00245300" w:rsidRPr="00EC20A0" w:rsidRDefault="00F17249">
            <w:pPr>
              <w:pStyle w:val="TableParagraph"/>
              <w:spacing w:before="119"/>
              <w:ind w:left="140" w:right="263"/>
            </w:pPr>
            <w:r w:rsidRPr="00EC20A0">
              <w:t>Based</w:t>
            </w:r>
            <w:r w:rsidRPr="00EC20A0">
              <w:rPr>
                <w:spacing w:val="-5"/>
              </w:rPr>
              <w:t xml:space="preserve"> </w:t>
            </w:r>
            <w:r w:rsidRPr="00EC20A0">
              <w:t>on</w:t>
            </w:r>
            <w:r w:rsidRPr="00EC20A0">
              <w:rPr>
                <w:spacing w:val="-5"/>
              </w:rPr>
              <w:t xml:space="preserve"> </w:t>
            </w:r>
            <w:r w:rsidRPr="00EC20A0">
              <w:t>your</w:t>
            </w:r>
            <w:r w:rsidRPr="00EC20A0">
              <w:rPr>
                <w:spacing w:val="-5"/>
              </w:rPr>
              <w:t xml:space="preserve"> </w:t>
            </w:r>
            <w:r w:rsidRPr="00EC20A0">
              <w:t>review</w:t>
            </w:r>
            <w:r w:rsidRPr="00EC20A0">
              <w:rPr>
                <w:spacing w:val="-6"/>
              </w:rPr>
              <w:t xml:space="preserve"> </w:t>
            </w:r>
            <w:r w:rsidRPr="00EC20A0">
              <w:t>and</w:t>
            </w:r>
            <w:r w:rsidRPr="00EC20A0">
              <w:rPr>
                <w:spacing w:val="-5"/>
              </w:rPr>
              <w:t xml:space="preserve"> </w:t>
            </w:r>
            <w:r w:rsidRPr="00EC20A0">
              <w:t>knowledge,</w:t>
            </w:r>
            <w:r w:rsidRPr="00EC20A0">
              <w:rPr>
                <w:spacing w:val="-5"/>
              </w:rPr>
              <w:t xml:space="preserve"> </w:t>
            </w:r>
            <w:r w:rsidRPr="00EC20A0">
              <w:t>are</w:t>
            </w:r>
            <w:r w:rsidRPr="00EC20A0">
              <w:rPr>
                <w:spacing w:val="-5"/>
              </w:rPr>
              <w:t xml:space="preserve"> </w:t>
            </w:r>
            <w:r w:rsidRPr="00EC20A0">
              <w:t>the</w:t>
            </w:r>
            <w:r w:rsidRPr="00EC20A0">
              <w:rPr>
                <w:spacing w:val="-5"/>
              </w:rPr>
              <w:t xml:space="preserve"> </w:t>
            </w:r>
            <w:r w:rsidRPr="00EC20A0">
              <w:t>following</w:t>
            </w:r>
            <w:r w:rsidRPr="00EC20A0">
              <w:rPr>
                <w:spacing w:val="-5"/>
              </w:rPr>
              <w:t xml:space="preserve"> </w:t>
            </w:r>
            <w:r w:rsidRPr="00EC20A0">
              <w:t xml:space="preserve">statements </w:t>
            </w:r>
            <w:r w:rsidRPr="00EC20A0">
              <w:rPr>
                <w:spacing w:val="-2"/>
              </w:rPr>
              <w:t>correct?</w:t>
            </w:r>
          </w:p>
        </w:tc>
        <w:tc>
          <w:tcPr>
            <w:tcW w:w="797" w:type="dxa"/>
            <w:tcBorders>
              <w:top w:val="single" w:sz="6" w:space="0" w:color="000000"/>
              <w:left w:val="single" w:sz="6" w:space="0" w:color="000000"/>
              <w:bottom w:val="single" w:sz="6" w:space="0" w:color="000000"/>
              <w:right w:val="single" w:sz="6" w:space="0" w:color="000000"/>
            </w:tcBorders>
          </w:tcPr>
          <w:p w14:paraId="24D62981" w14:textId="77777777" w:rsidR="00245300" w:rsidRPr="00EC20A0" w:rsidRDefault="00245300">
            <w:pPr>
              <w:pStyle w:val="TableParagraph"/>
            </w:pPr>
          </w:p>
        </w:tc>
        <w:tc>
          <w:tcPr>
            <w:tcW w:w="971" w:type="dxa"/>
            <w:tcBorders>
              <w:top w:val="single" w:sz="6" w:space="0" w:color="000000"/>
              <w:left w:val="single" w:sz="6" w:space="0" w:color="000000"/>
              <w:bottom w:val="single" w:sz="6" w:space="0" w:color="000000"/>
            </w:tcBorders>
          </w:tcPr>
          <w:p w14:paraId="24D62982" w14:textId="77777777" w:rsidR="00245300" w:rsidRPr="00EC20A0" w:rsidRDefault="00245300">
            <w:pPr>
              <w:pStyle w:val="TableParagraph"/>
            </w:pPr>
          </w:p>
        </w:tc>
      </w:tr>
      <w:tr w:rsidR="00245300" w:rsidRPr="00EC20A0" w14:paraId="24D62987" w14:textId="77777777">
        <w:trPr>
          <w:trHeight w:val="1252"/>
        </w:trPr>
        <w:tc>
          <w:tcPr>
            <w:tcW w:w="7649" w:type="dxa"/>
            <w:tcBorders>
              <w:top w:val="single" w:sz="6" w:space="0" w:color="000000"/>
              <w:bottom w:val="single" w:sz="6" w:space="0" w:color="000000"/>
              <w:right w:val="single" w:sz="6" w:space="0" w:color="000000"/>
            </w:tcBorders>
          </w:tcPr>
          <w:p w14:paraId="24D62984" w14:textId="77777777" w:rsidR="00245300" w:rsidRPr="00EC20A0" w:rsidRDefault="00F17249">
            <w:pPr>
              <w:pStyle w:val="TableParagraph"/>
              <w:spacing w:before="119"/>
              <w:ind w:left="859" w:right="263" w:hanging="360"/>
            </w:pPr>
            <w:r w:rsidRPr="00EC20A0">
              <w:t>1.</w:t>
            </w:r>
            <w:r w:rsidRPr="00EC20A0">
              <w:rPr>
                <w:spacing w:val="80"/>
              </w:rPr>
              <w:t xml:space="preserve"> </w:t>
            </w:r>
            <w:r w:rsidRPr="00EC20A0">
              <w:t>The</w:t>
            </w:r>
            <w:r w:rsidRPr="00EC20A0">
              <w:rPr>
                <w:spacing w:val="-4"/>
              </w:rPr>
              <w:t xml:space="preserve"> </w:t>
            </w:r>
            <w:r w:rsidRPr="00EC20A0">
              <w:t>engagement</w:t>
            </w:r>
            <w:r w:rsidRPr="00EC20A0">
              <w:rPr>
                <w:spacing w:val="-4"/>
              </w:rPr>
              <w:t xml:space="preserve"> </w:t>
            </w:r>
            <w:r w:rsidRPr="00EC20A0">
              <w:t>team</w:t>
            </w:r>
            <w:r w:rsidRPr="00EC20A0">
              <w:rPr>
                <w:spacing w:val="-4"/>
              </w:rPr>
              <w:t xml:space="preserve"> </w:t>
            </w:r>
            <w:r w:rsidRPr="00EC20A0">
              <w:t>planned</w:t>
            </w:r>
            <w:r w:rsidRPr="00EC20A0">
              <w:rPr>
                <w:spacing w:val="-4"/>
              </w:rPr>
              <w:t xml:space="preserve"> </w:t>
            </w:r>
            <w:r w:rsidRPr="00EC20A0">
              <w:t>and</w:t>
            </w:r>
            <w:r w:rsidRPr="00EC20A0">
              <w:rPr>
                <w:spacing w:val="-5"/>
              </w:rPr>
              <w:t xml:space="preserve"> </w:t>
            </w:r>
            <w:r w:rsidRPr="00EC20A0">
              <w:t>performed</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in all material respects, in accordance with GAGAS (which includes U.S.</w:t>
            </w:r>
            <w:r w:rsidRPr="00EC20A0">
              <w:rPr>
                <w:spacing w:val="-2"/>
              </w:rPr>
              <w:t xml:space="preserve"> </w:t>
            </w:r>
            <w:r w:rsidRPr="00EC20A0">
              <w:t>GAAS)</w:t>
            </w:r>
            <w:r w:rsidRPr="00EC20A0">
              <w:rPr>
                <w:spacing w:val="-1"/>
              </w:rPr>
              <w:t xml:space="preserve"> </w:t>
            </w:r>
            <w:r w:rsidRPr="00EC20A0">
              <w:t>and</w:t>
            </w:r>
            <w:r w:rsidRPr="00EC20A0">
              <w:rPr>
                <w:spacing w:val="-2"/>
              </w:rPr>
              <w:t xml:space="preserve"> </w:t>
            </w:r>
            <w:r w:rsidRPr="00EC20A0">
              <w:t>OMB</w:t>
            </w:r>
            <w:r w:rsidRPr="00EC20A0">
              <w:rPr>
                <w:spacing w:val="-2"/>
              </w:rPr>
              <w:t xml:space="preserve"> </w:t>
            </w:r>
            <w:r w:rsidRPr="00EC20A0">
              <w:t>audit</w:t>
            </w:r>
            <w:r w:rsidRPr="00EC20A0">
              <w:rPr>
                <w:spacing w:val="-2"/>
              </w:rPr>
              <w:t xml:space="preserve"> </w:t>
            </w:r>
            <w:r w:rsidRPr="00EC20A0">
              <w:t>guidance,</w:t>
            </w:r>
            <w:r w:rsidRPr="00EC20A0">
              <w:rPr>
                <w:spacing w:val="-2"/>
              </w:rPr>
              <w:t xml:space="preserve"> </w:t>
            </w:r>
            <w:r w:rsidRPr="00EC20A0">
              <w:t>or</w:t>
            </w:r>
            <w:r w:rsidRPr="00EC20A0">
              <w:rPr>
                <w:spacing w:val="-2"/>
              </w:rPr>
              <w:t xml:space="preserve"> </w:t>
            </w:r>
            <w:r w:rsidRPr="00EC20A0">
              <w:t>if</w:t>
            </w:r>
            <w:r w:rsidRPr="00EC20A0">
              <w:rPr>
                <w:spacing w:val="-2"/>
              </w:rPr>
              <w:t xml:space="preserve"> </w:t>
            </w:r>
            <w:r w:rsidRPr="00EC20A0">
              <w:t>not,</w:t>
            </w:r>
            <w:r w:rsidRPr="00EC20A0">
              <w:rPr>
                <w:spacing w:val="-2"/>
              </w:rPr>
              <w:t xml:space="preserve"> </w:t>
            </w:r>
            <w:r w:rsidRPr="00EC20A0">
              <w:t>the</w:t>
            </w:r>
            <w:r w:rsidRPr="00EC20A0">
              <w:rPr>
                <w:spacing w:val="-2"/>
              </w:rPr>
              <w:t xml:space="preserve"> </w:t>
            </w:r>
            <w:r w:rsidRPr="00EC20A0">
              <w:t>auditor’s</w:t>
            </w:r>
            <w:r w:rsidRPr="00EC20A0">
              <w:rPr>
                <w:spacing w:val="-3"/>
              </w:rPr>
              <w:t xml:space="preserve"> </w:t>
            </w:r>
            <w:r w:rsidRPr="00EC20A0">
              <w:t xml:space="preserve">report was </w:t>
            </w:r>
            <w:r w:rsidRPr="00EC20A0">
              <w:t>appropriately modified.</w:t>
            </w:r>
          </w:p>
        </w:tc>
        <w:tc>
          <w:tcPr>
            <w:tcW w:w="797" w:type="dxa"/>
            <w:tcBorders>
              <w:top w:val="single" w:sz="6" w:space="0" w:color="000000"/>
              <w:left w:val="single" w:sz="6" w:space="0" w:color="000000"/>
              <w:bottom w:val="single" w:sz="6" w:space="0" w:color="000000"/>
              <w:right w:val="single" w:sz="6" w:space="0" w:color="000000"/>
            </w:tcBorders>
          </w:tcPr>
          <w:p w14:paraId="24D62985" w14:textId="77777777" w:rsidR="00245300" w:rsidRPr="00EC20A0" w:rsidRDefault="00245300">
            <w:pPr>
              <w:pStyle w:val="TableParagraph"/>
            </w:pPr>
          </w:p>
        </w:tc>
        <w:tc>
          <w:tcPr>
            <w:tcW w:w="971" w:type="dxa"/>
            <w:tcBorders>
              <w:top w:val="single" w:sz="6" w:space="0" w:color="000000"/>
              <w:left w:val="single" w:sz="6" w:space="0" w:color="000000"/>
              <w:bottom w:val="single" w:sz="6" w:space="0" w:color="000000"/>
            </w:tcBorders>
          </w:tcPr>
          <w:p w14:paraId="24D62986" w14:textId="77777777" w:rsidR="00245300" w:rsidRPr="00EC20A0" w:rsidRDefault="00245300">
            <w:pPr>
              <w:pStyle w:val="TableParagraph"/>
            </w:pPr>
          </w:p>
        </w:tc>
      </w:tr>
      <w:tr w:rsidR="00245300" w:rsidRPr="00EC20A0" w14:paraId="24D6298C" w14:textId="77777777">
        <w:trPr>
          <w:trHeight w:val="997"/>
        </w:trPr>
        <w:tc>
          <w:tcPr>
            <w:tcW w:w="7649" w:type="dxa"/>
            <w:tcBorders>
              <w:top w:val="single" w:sz="6" w:space="0" w:color="000000"/>
              <w:bottom w:val="single" w:sz="8" w:space="0" w:color="000000"/>
              <w:right w:val="single" w:sz="8" w:space="0" w:color="000000"/>
            </w:tcBorders>
          </w:tcPr>
          <w:p w14:paraId="24D62988" w14:textId="77777777" w:rsidR="00245300" w:rsidRPr="00EC20A0" w:rsidRDefault="00F17249">
            <w:pPr>
              <w:pStyle w:val="TableParagraph"/>
              <w:spacing w:before="119"/>
              <w:ind w:left="500"/>
            </w:pPr>
            <w:r w:rsidRPr="00EC20A0">
              <w:t>2.</w:t>
            </w:r>
            <w:r w:rsidRPr="00EC20A0">
              <w:rPr>
                <w:spacing w:val="67"/>
                <w:w w:val="150"/>
              </w:rPr>
              <w:t xml:space="preserve"> </w:t>
            </w:r>
            <w:r w:rsidRPr="00EC20A0">
              <w:t>The</w:t>
            </w:r>
            <w:r w:rsidRPr="00EC20A0">
              <w:rPr>
                <w:spacing w:val="-6"/>
              </w:rPr>
              <w:t xml:space="preserve"> </w:t>
            </w:r>
            <w:r w:rsidRPr="00EC20A0">
              <w:t>financial</w:t>
            </w:r>
            <w:r w:rsidRPr="00EC20A0">
              <w:rPr>
                <w:spacing w:val="-5"/>
              </w:rPr>
              <w:t xml:space="preserve"> </w:t>
            </w:r>
            <w:r w:rsidRPr="00EC20A0">
              <w:t>statements</w:t>
            </w:r>
            <w:r w:rsidRPr="00EC20A0">
              <w:rPr>
                <w:spacing w:val="-7"/>
              </w:rPr>
              <w:t xml:space="preserve"> </w:t>
            </w:r>
            <w:r w:rsidRPr="00EC20A0">
              <w:t>conformed,</w:t>
            </w:r>
            <w:r w:rsidRPr="00EC20A0">
              <w:rPr>
                <w:spacing w:val="-6"/>
              </w:rPr>
              <w:t xml:space="preserve"> </w:t>
            </w:r>
            <w:r w:rsidRPr="00EC20A0">
              <w:t>in</w:t>
            </w:r>
            <w:r w:rsidRPr="00EC20A0">
              <w:rPr>
                <w:spacing w:val="-6"/>
              </w:rPr>
              <w:t xml:space="preserve"> </w:t>
            </w:r>
            <w:r w:rsidRPr="00EC20A0">
              <w:t>all</w:t>
            </w:r>
            <w:r w:rsidRPr="00EC20A0">
              <w:rPr>
                <w:spacing w:val="-6"/>
              </w:rPr>
              <w:t xml:space="preserve"> </w:t>
            </w:r>
            <w:r w:rsidRPr="00EC20A0">
              <w:t>material</w:t>
            </w:r>
            <w:r w:rsidRPr="00EC20A0">
              <w:rPr>
                <w:spacing w:val="-5"/>
              </w:rPr>
              <w:t xml:space="preserve"> </w:t>
            </w:r>
            <w:r w:rsidRPr="00EC20A0">
              <w:t>respects,</w:t>
            </w:r>
            <w:r w:rsidRPr="00EC20A0">
              <w:rPr>
                <w:spacing w:val="-7"/>
              </w:rPr>
              <w:t xml:space="preserve"> </w:t>
            </w:r>
            <w:r w:rsidRPr="00EC20A0">
              <w:rPr>
                <w:spacing w:val="-4"/>
              </w:rPr>
              <w:t>with</w:t>
            </w:r>
          </w:p>
          <w:p w14:paraId="24D62989" w14:textId="77777777" w:rsidR="00245300" w:rsidRPr="00EC20A0" w:rsidRDefault="00F17249">
            <w:pPr>
              <w:pStyle w:val="TableParagraph"/>
              <w:spacing w:before="1"/>
              <w:ind w:left="859" w:right="256"/>
            </w:pPr>
            <w:r w:rsidRPr="00EC20A0">
              <w:t>U.S.</w:t>
            </w:r>
            <w:r w:rsidRPr="00EC20A0">
              <w:rPr>
                <w:spacing w:val="-4"/>
              </w:rPr>
              <w:t xml:space="preserve"> </w:t>
            </w:r>
            <w:r w:rsidRPr="00EC20A0">
              <w:t>GAAP,</w:t>
            </w:r>
            <w:r w:rsidRPr="00EC20A0">
              <w:rPr>
                <w:spacing w:val="-4"/>
              </w:rPr>
              <w:t xml:space="preserve"> </w:t>
            </w:r>
            <w:r w:rsidRPr="00EC20A0">
              <w:t>or</w:t>
            </w:r>
            <w:r w:rsidRPr="00EC20A0">
              <w:rPr>
                <w:spacing w:val="-4"/>
              </w:rPr>
              <w:t xml:space="preserve"> </w:t>
            </w:r>
            <w:r w:rsidRPr="00EC20A0">
              <w:t>if</w:t>
            </w:r>
            <w:r w:rsidRPr="00EC20A0">
              <w:rPr>
                <w:spacing w:val="-4"/>
              </w:rPr>
              <w:t xml:space="preserve"> </w:t>
            </w:r>
            <w:r w:rsidRPr="00EC20A0">
              <w:t>not,</w:t>
            </w:r>
            <w:r w:rsidRPr="00EC20A0">
              <w:rPr>
                <w:spacing w:val="-4"/>
              </w:rPr>
              <w:t xml:space="preserve"> </w:t>
            </w:r>
            <w:r w:rsidRPr="00EC20A0">
              <w:t>the</w:t>
            </w:r>
            <w:r w:rsidRPr="00EC20A0">
              <w:rPr>
                <w:spacing w:val="-5"/>
              </w:rPr>
              <w:t xml:space="preserve"> </w:t>
            </w:r>
            <w:r w:rsidRPr="00EC20A0">
              <w:t>auditor’s</w:t>
            </w:r>
            <w:r w:rsidRPr="00EC20A0">
              <w:rPr>
                <w:spacing w:val="-4"/>
              </w:rPr>
              <w:t xml:space="preserve"> </w:t>
            </w:r>
            <w:r w:rsidRPr="00EC20A0">
              <w:t>report</w:t>
            </w:r>
            <w:r w:rsidRPr="00EC20A0">
              <w:rPr>
                <w:spacing w:val="-4"/>
              </w:rPr>
              <w:t xml:space="preserve"> </w:t>
            </w:r>
            <w:r w:rsidRPr="00EC20A0">
              <w:t>was</w:t>
            </w:r>
            <w:r w:rsidRPr="00EC20A0">
              <w:rPr>
                <w:spacing w:val="-4"/>
              </w:rPr>
              <w:t xml:space="preserve"> </w:t>
            </w:r>
            <w:r w:rsidRPr="00EC20A0">
              <w:t xml:space="preserve">appropriately </w:t>
            </w:r>
            <w:r w:rsidRPr="00EC20A0">
              <w:rPr>
                <w:spacing w:val="-2"/>
              </w:rPr>
              <w:t>modified.</w:t>
            </w:r>
          </w:p>
        </w:tc>
        <w:tc>
          <w:tcPr>
            <w:tcW w:w="797" w:type="dxa"/>
            <w:tcBorders>
              <w:top w:val="single" w:sz="6" w:space="0" w:color="000000"/>
              <w:left w:val="single" w:sz="8" w:space="0" w:color="000000"/>
              <w:bottom w:val="single" w:sz="8" w:space="0" w:color="000000"/>
              <w:right w:val="single" w:sz="8" w:space="0" w:color="000000"/>
            </w:tcBorders>
          </w:tcPr>
          <w:p w14:paraId="24D6298A" w14:textId="77777777" w:rsidR="00245300" w:rsidRPr="00EC20A0" w:rsidRDefault="00245300">
            <w:pPr>
              <w:pStyle w:val="TableParagraph"/>
            </w:pPr>
          </w:p>
        </w:tc>
        <w:tc>
          <w:tcPr>
            <w:tcW w:w="971" w:type="dxa"/>
            <w:tcBorders>
              <w:top w:val="single" w:sz="6" w:space="0" w:color="000000"/>
              <w:left w:val="single" w:sz="8" w:space="0" w:color="000000"/>
              <w:bottom w:val="single" w:sz="8" w:space="0" w:color="000000"/>
            </w:tcBorders>
          </w:tcPr>
          <w:p w14:paraId="24D6298B" w14:textId="77777777" w:rsidR="00245300" w:rsidRPr="00EC20A0" w:rsidRDefault="00245300">
            <w:pPr>
              <w:pStyle w:val="TableParagraph"/>
            </w:pPr>
          </w:p>
        </w:tc>
      </w:tr>
      <w:tr w:rsidR="00245300" w:rsidRPr="00EC20A0" w14:paraId="24D62990" w14:textId="77777777">
        <w:trPr>
          <w:trHeight w:val="489"/>
        </w:trPr>
        <w:tc>
          <w:tcPr>
            <w:tcW w:w="7649" w:type="dxa"/>
            <w:tcBorders>
              <w:top w:val="single" w:sz="8" w:space="0" w:color="000000"/>
              <w:bottom w:val="single" w:sz="8" w:space="0" w:color="000000"/>
              <w:right w:val="single" w:sz="8" w:space="0" w:color="000000"/>
            </w:tcBorders>
          </w:tcPr>
          <w:p w14:paraId="24D6298D" w14:textId="77777777" w:rsidR="00245300" w:rsidRPr="00EC20A0" w:rsidRDefault="00F17249">
            <w:pPr>
              <w:pStyle w:val="TableParagraph"/>
              <w:spacing w:before="118"/>
              <w:ind w:left="500"/>
            </w:pPr>
            <w:r w:rsidRPr="00EC20A0">
              <w:t>3.</w:t>
            </w:r>
            <w:r w:rsidRPr="00EC20A0">
              <w:rPr>
                <w:spacing w:val="72"/>
                <w:w w:val="150"/>
              </w:rPr>
              <w:t xml:space="preserve"> </w:t>
            </w:r>
            <w:r w:rsidRPr="00EC20A0">
              <w:t>The</w:t>
            </w:r>
            <w:r w:rsidRPr="00EC20A0">
              <w:rPr>
                <w:spacing w:val="-5"/>
              </w:rPr>
              <w:t xml:space="preserve"> </w:t>
            </w:r>
            <w:r w:rsidRPr="00EC20A0">
              <w:t>auditor’s</w:t>
            </w:r>
            <w:r w:rsidRPr="00EC20A0">
              <w:rPr>
                <w:spacing w:val="-4"/>
              </w:rPr>
              <w:t xml:space="preserve"> </w:t>
            </w:r>
            <w:r w:rsidRPr="00EC20A0">
              <w:t>report</w:t>
            </w:r>
            <w:r w:rsidRPr="00EC20A0">
              <w:rPr>
                <w:spacing w:val="-4"/>
              </w:rPr>
              <w:t xml:space="preserve"> </w:t>
            </w:r>
            <w:r w:rsidRPr="00EC20A0">
              <w:t>was</w:t>
            </w:r>
            <w:r w:rsidRPr="00EC20A0">
              <w:rPr>
                <w:spacing w:val="-6"/>
              </w:rPr>
              <w:t xml:space="preserve"> </w:t>
            </w:r>
            <w:r w:rsidRPr="00EC20A0">
              <w:t>appropriate</w:t>
            </w:r>
            <w:r w:rsidRPr="00EC20A0">
              <w:rPr>
                <w:spacing w:val="-5"/>
              </w:rPr>
              <w:t xml:space="preserve"> </w:t>
            </w:r>
            <w:r w:rsidRPr="00EC20A0">
              <w:t>in</w:t>
            </w:r>
            <w:r w:rsidRPr="00EC20A0">
              <w:rPr>
                <w:spacing w:val="-4"/>
              </w:rPr>
              <w:t xml:space="preserve"> </w:t>
            </w:r>
            <w:r w:rsidRPr="00EC20A0">
              <w:t>the</w:t>
            </w:r>
            <w:r w:rsidRPr="00EC20A0">
              <w:rPr>
                <w:spacing w:val="-5"/>
              </w:rPr>
              <w:t xml:space="preserve"> </w:t>
            </w:r>
            <w:r w:rsidRPr="00EC20A0">
              <w:rPr>
                <w:spacing w:val="-2"/>
              </w:rPr>
              <w:t>circumstances.</w:t>
            </w:r>
          </w:p>
        </w:tc>
        <w:tc>
          <w:tcPr>
            <w:tcW w:w="797" w:type="dxa"/>
            <w:tcBorders>
              <w:top w:val="single" w:sz="8" w:space="0" w:color="000000"/>
              <w:left w:val="single" w:sz="8" w:space="0" w:color="000000"/>
              <w:bottom w:val="single" w:sz="8" w:space="0" w:color="000000"/>
              <w:right w:val="single" w:sz="8" w:space="0" w:color="000000"/>
            </w:tcBorders>
          </w:tcPr>
          <w:p w14:paraId="24D6298E" w14:textId="77777777" w:rsidR="00245300" w:rsidRPr="00EC20A0" w:rsidRDefault="00245300">
            <w:pPr>
              <w:pStyle w:val="TableParagraph"/>
            </w:pPr>
          </w:p>
        </w:tc>
        <w:tc>
          <w:tcPr>
            <w:tcW w:w="971" w:type="dxa"/>
            <w:tcBorders>
              <w:top w:val="single" w:sz="8" w:space="0" w:color="000000"/>
              <w:left w:val="single" w:sz="8" w:space="0" w:color="000000"/>
              <w:bottom w:val="single" w:sz="8" w:space="0" w:color="000000"/>
            </w:tcBorders>
          </w:tcPr>
          <w:p w14:paraId="24D6298F" w14:textId="77777777" w:rsidR="00245300" w:rsidRPr="00EC20A0" w:rsidRDefault="00245300">
            <w:pPr>
              <w:pStyle w:val="TableParagraph"/>
            </w:pPr>
          </w:p>
        </w:tc>
      </w:tr>
      <w:tr w:rsidR="00245300" w:rsidRPr="00EC20A0" w14:paraId="24D62998" w14:textId="77777777">
        <w:trPr>
          <w:trHeight w:val="3280"/>
        </w:trPr>
        <w:tc>
          <w:tcPr>
            <w:tcW w:w="7649" w:type="dxa"/>
            <w:tcBorders>
              <w:top w:val="single" w:sz="8" w:space="0" w:color="000000"/>
              <w:bottom w:val="single" w:sz="8" w:space="0" w:color="000000"/>
              <w:right w:val="single" w:sz="8" w:space="0" w:color="000000"/>
            </w:tcBorders>
          </w:tcPr>
          <w:p w14:paraId="24D62991" w14:textId="77777777" w:rsidR="00245300" w:rsidRPr="00EC20A0" w:rsidRDefault="00F17249">
            <w:pPr>
              <w:pStyle w:val="TableParagraph"/>
              <w:numPr>
                <w:ilvl w:val="0"/>
                <w:numId w:val="31"/>
              </w:numPr>
              <w:tabs>
                <w:tab w:val="left" w:pos="859"/>
              </w:tabs>
              <w:spacing w:before="118"/>
              <w:ind w:left="859" w:hanging="359"/>
            </w:pPr>
            <w:r w:rsidRPr="00EC20A0">
              <w:t>The</w:t>
            </w:r>
            <w:r w:rsidRPr="00EC20A0">
              <w:rPr>
                <w:spacing w:val="-8"/>
              </w:rPr>
              <w:t xml:space="preserve"> </w:t>
            </w:r>
            <w:r w:rsidRPr="00EC20A0">
              <w:t>documentation</w:t>
            </w:r>
            <w:r w:rsidRPr="00EC20A0">
              <w:rPr>
                <w:spacing w:val="-7"/>
              </w:rPr>
              <w:t xml:space="preserve"> </w:t>
            </w:r>
            <w:r w:rsidRPr="00EC20A0">
              <w:t>on</w:t>
            </w:r>
            <w:r w:rsidRPr="00EC20A0">
              <w:rPr>
                <w:spacing w:val="-7"/>
              </w:rPr>
              <w:t xml:space="preserve"> </w:t>
            </w:r>
            <w:r w:rsidRPr="00EC20A0">
              <w:t>this</w:t>
            </w:r>
            <w:r w:rsidRPr="00EC20A0">
              <w:rPr>
                <w:spacing w:val="-8"/>
              </w:rPr>
              <w:t xml:space="preserve"> </w:t>
            </w:r>
            <w:r w:rsidRPr="00EC20A0">
              <w:t>engagement</w:t>
            </w:r>
            <w:r w:rsidRPr="00EC20A0">
              <w:rPr>
                <w:spacing w:val="-7"/>
              </w:rPr>
              <w:t xml:space="preserve"> </w:t>
            </w:r>
            <w:r w:rsidRPr="00EC20A0">
              <w:t>supports</w:t>
            </w:r>
            <w:r w:rsidRPr="00EC20A0">
              <w:rPr>
                <w:spacing w:val="-8"/>
              </w:rPr>
              <w:t xml:space="preserve"> </w:t>
            </w:r>
            <w:r w:rsidRPr="00EC20A0">
              <w:t>the</w:t>
            </w:r>
            <w:r w:rsidRPr="00EC20A0">
              <w:rPr>
                <w:spacing w:val="-7"/>
              </w:rPr>
              <w:t xml:space="preserve"> </w:t>
            </w:r>
            <w:r w:rsidRPr="00EC20A0">
              <w:rPr>
                <w:spacing w:val="-2"/>
              </w:rPr>
              <w:t>auditor’s</w:t>
            </w:r>
          </w:p>
          <w:p w14:paraId="24D62992" w14:textId="77777777" w:rsidR="00245300" w:rsidRPr="00EC20A0" w:rsidRDefault="00F17249">
            <w:pPr>
              <w:pStyle w:val="TableParagraph"/>
              <w:numPr>
                <w:ilvl w:val="1"/>
                <w:numId w:val="31"/>
              </w:numPr>
              <w:tabs>
                <w:tab w:val="left" w:pos="1163"/>
              </w:tabs>
              <w:spacing w:before="240"/>
              <w:ind w:left="1163" w:hanging="269"/>
            </w:pPr>
            <w:r w:rsidRPr="00EC20A0">
              <w:t>opinion</w:t>
            </w:r>
            <w:r w:rsidRPr="00EC20A0">
              <w:rPr>
                <w:spacing w:val="-6"/>
              </w:rPr>
              <w:t xml:space="preserve"> </w:t>
            </w:r>
            <w:r w:rsidRPr="00EC20A0">
              <w:t>on</w:t>
            </w:r>
            <w:r w:rsidRPr="00EC20A0">
              <w:rPr>
                <w:spacing w:val="-6"/>
              </w:rPr>
              <w:t xml:space="preserve"> </w:t>
            </w:r>
            <w:r w:rsidRPr="00EC20A0">
              <w:t>the</w:t>
            </w:r>
            <w:r w:rsidRPr="00EC20A0">
              <w:rPr>
                <w:spacing w:val="-6"/>
              </w:rPr>
              <w:t xml:space="preserve"> </w:t>
            </w:r>
            <w:r w:rsidRPr="00EC20A0">
              <w:t>financial</w:t>
            </w:r>
            <w:r w:rsidRPr="00EC20A0">
              <w:rPr>
                <w:spacing w:val="-6"/>
              </w:rPr>
              <w:t xml:space="preserve"> </w:t>
            </w:r>
            <w:r w:rsidRPr="00EC20A0">
              <w:rPr>
                <w:spacing w:val="-2"/>
              </w:rPr>
              <w:t>statements;</w:t>
            </w:r>
          </w:p>
          <w:p w14:paraId="24D62993" w14:textId="77777777" w:rsidR="00245300" w:rsidRPr="00EC20A0" w:rsidRDefault="00F17249">
            <w:pPr>
              <w:pStyle w:val="TableParagraph"/>
              <w:numPr>
                <w:ilvl w:val="1"/>
                <w:numId w:val="31"/>
              </w:numPr>
              <w:tabs>
                <w:tab w:val="left" w:pos="1163"/>
              </w:tabs>
              <w:spacing w:before="238"/>
              <w:ind w:left="1163" w:hanging="269"/>
            </w:pPr>
            <w:r w:rsidRPr="00EC20A0">
              <w:t>opinion</w:t>
            </w:r>
            <w:r w:rsidRPr="00EC20A0">
              <w:rPr>
                <w:spacing w:val="-7"/>
              </w:rPr>
              <w:t xml:space="preserve"> </w:t>
            </w:r>
            <w:r w:rsidRPr="00EC20A0">
              <w:t>or</w:t>
            </w:r>
            <w:r w:rsidRPr="00EC20A0">
              <w:rPr>
                <w:spacing w:val="-7"/>
              </w:rPr>
              <w:t xml:space="preserve"> </w:t>
            </w:r>
            <w:r w:rsidRPr="00EC20A0">
              <w:t>conclusions</w:t>
            </w:r>
            <w:r w:rsidRPr="00EC20A0">
              <w:rPr>
                <w:spacing w:val="-6"/>
              </w:rPr>
              <w:t xml:space="preserve"> </w:t>
            </w:r>
            <w:r w:rsidRPr="00EC20A0">
              <w:t>on</w:t>
            </w:r>
            <w:r w:rsidRPr="00EC20A0">
              <w:rPr>
                <w:spacing w:val="-7"/>
              </w:rPr>
              <w:t xml:space="preserve"> </w:t>
            </w:r>
            <w:r w:rsidRPr="00EC20A0">
              <w:t>internal</w:t>
            </w:r>
            <w:r w:rsidRPr="00EC20A0">
              <w:rPr>
                <w:spacing w:val="-7"/>
              </w:rPr>
              <w:t xml:space="preserve"> </w:t>
            </w:r>
            <w:r w:rsidRPr="00EC20A0">
              <w:rPr>
                <w:spacing w:val="-2"/>
              </w:rPr>
              <w:t>control;</w:t>
            </w:r>
          </w:p>
          <w:p w14:paraId="24D62994" w14:textId="77777777" w:rsidR="00245300" w:rsidRPr="00EC20A0" w:rsidRDefault="00F17249">
            <w:pPr>
              <w:pStyle w:val="TableParagraph"/>
              <w:numPr>
                <w:ilvl w:val="1"/>
                <w:numId w:val="31"/>
              </w:numPr>
              <w:tabs>
                <w:tab w:val="left" w:pos="1164"/>
              </w:tabs>
              <w:spacing w:before="238"/>
              <w:ind w:right="498"/>
            </w:pPr>
            <w:r w:rsidRPr="00EC20A0">
              <w:t>conclusions on whether the entity’s financial management systems</w:t>
            </w:r>
            <w:r w:rsidRPr="00EC20A0">
              <w:rPr>
                <w:spacing w:val="-6"/>
              </w:rPr>
              <w:t xml:space="preserve"> </w:t>
            </w:r>
            <w:r w:rsidRPr="00EC20A0">
              <w:t>comply</w:t>
            </w:r>
            <w:r w:rsidRPr="00EC20A0">
              <w:rPr>
                <w:spacing w:val="-6"/>
              </w:rPr>
              <w:t xml:space="preserve"> </w:t>
            </w:r>
            <w:r w:rsidRPr="00EC20A0">
              <w:t>substantially</w:t>
            </w:r>
            <w:r w:rsidRPr="00EC20A0">
              <w:rPr>
                <w:spacing w:val="-5"/>
              </w:rPr>
              <w:t xml:space="preserve"> </w:t>
            </w:r>
            <w:r w:rsidRPr="00EC20A0">
              <w:t>with</w:t>
            </w:r>
            <w:r w:rsidRPr="00EC20A0">
              <w:rPr>
                <w:spacing w:val="-6"/>
              </w:rPr>
              <w:t xml:space="preserve"> </w:t>
            </w:r>
            <w:r w:rsidRPr="00EC20A0">
              <w:t>the</w:t>
            </w:r>
            <w:r w:rsidRPr="00EC20A0">
              <w:rPr>
                <w:spacing w:val="-6"/>
              </w:rPr>
              <w:t xml:space="preserve"> </w:t>
            </w:r>
            <w:r w:rsidRPr="00EC20A0">
              <w:t>requirements</w:t>
            </w:r>
            <w:r w:rsidRPr="00EC20A0">
              <w:rPr>
                <w:spacing w:val="-6"/>
              </w:rPr>
              <w:t xml:space="preserve"> </w:t>
            </w:r>
            <w:r w:rsidRPr="00EC20A0">
              <w:t>of</w:t>
            </w:r>
            <w:r w:rsidRPr="00EC20A0">
              <w:rPr>
                <w:spacing w:val="-6"/>
              </w:rPr>
              <w:t xml:space="preserve"> </w:t>
            </w:r>
            <w:r w:rsidRPr="00EC20A0">
              <w:t>FFMIA (for CFO Act agencies); and</w:t>
            </w:r>
          </w:p>
          <w:p w14:paraId="24D62995" w14:textId="77777777" w:rsidR="00245300" w:rsidRPr="00EC20A0" w:rsidRDefault="00F17249">
            <w:pPr>
              <w:pStyle w:val="TableParagraph"/>
              <w:numPr>
                <w:ilvl w:val="1"/>
                <w:numId w:val="31"/>
              </w:numPr>
              <w:tabs>
                <w:tab w:val="left" w:pos="1164"/>
                <w:tab w:val="left" w:pos="1224"/>
              </w:tabs>
              <w:spacing w:before="238"/>
              <w:ind w:right="424" w:hanging="271"/>
            </w:pPr>
            <w:r w:rsidRPr="00EC20A0">
              <w:t>conclusions</w:t>
            </w:r>
            <w:r w:rsidRPr="00EC20A0">
              <w:rPr>
                <w:spacing w:val="40"/>
              </w:rPr>
              <w:t xml:space="preserve"> </w:t>
            </w:r>
            <w:r w:rsidRPr="00EC20A0">
              <w:t>on compliance with significant provisions of applicable</w:t>
            </w:r>
            <w:r w:rsidRPr="00EC20A0">
              <w:rPr>
                <w:spacing w:val="-7"/>
              </w:rPr>
              <w:t xml:space="preserve"> </w:t>
            </w:r>
            <w:r w:rsidRPr="00EC20A0">
              <w:t>laws,</w:t>
            </w:r>
            <w:r w:rsidRPr="00EC20A0">
              <w:rPr>
                <w:spacing w:val="-7"/>
              </w:rPr>
              <w:t xml:space="preserve"> </w:t>
            </w:r>
            <w:r w:rsidRPr="00EC20A0">
              <w:t>regulations,</w:t>
            </w:r>
            <w:r w:rsidRPr="00EC20A0">
              <w:rPr>
                <w:spacing w:val="-7"/>
              </w:rPr>
              <w:t xml:space="preserve"> </w:t>
            </w:r>
            <w:r w:rsidRPr="00EC20A0">
              <w:t>contracts,</w:t>
            </w:r>
            <w:r w:rsidRPr="00EC20A0">
              <w:rPr>
                <w:spacing w:val="-7"/>
              </w:rPr>
              <w:t xml:space="preserve"> </w:t>
            </w:r>
            <w:r w:rsidRPr="00EC20A0">
              <w:t>and</w:t>
            </w:r>
            <w:r w:rsidRPr="00EC20A0">
              <w:rPr>
                <w:spacing w:val="-7"/>
              </w:rPr>
              <w:t xml:space="preserve"> </w:t>
            </w:r>
            <w:r w:rsidRPr="00EC20A0">
              <w:t>grant</w:t>
            </w:r>
            <w:r w:rsidRPr="00EC20A0">
              <w:rPr>
                <w:spacing w:val="-7"/>
              </w:rPr>
              <w:t xml:space="preserve"> </w:t>
            </w:r>
            <w:r w:rsidRPr="00EC20A0">
              <w:t>agreements.</w:t>
            </w:r>
          </w:p>
        </w:tc>
        <w:tc>
          <w:tcPr>
            <w:tcW w:w="797" w:type="dxa"/>
            <w:tcBorders>
              <w:top w:val="single" w:sz="8" w:space="0" w:color="000000"/>
              <w:left w:val="single" w:sz="8" w:space="0" w:color="000000"/>
              <w:bottom w:val="single" w:sz="8" w:space="0" w:color="000000"/>
              <w:right w:val="single" w:sz="8" w:space="0" w:color="000000"/>
            </w:tcBorders>
          </w:tcPr>
          <w:p w14:paraId="24D62996" w14:textId="77777777" w:rsidR="00245300" w:rsidRPr="00EC20A0" w:rsidRDefault="00245300">
            <w:pPr>
              <w:pStyle w:val="TableParagraph"/>
            </w:pPr>
          </w:p>
        </w:tc>
        <w:tc>
          <w:tcPr>
            <w:tcW w:w="971" w:type="dxa"/>
            <w:tcBorders>
              <w:top w:val="single" w:sz="8" w:space="0" w:color="000000"/>
              <w:left w:val="single" w:sz="8" w:space="0" w:color="000000"/>
              <w:bottom w:val="single" w:sz="8" w:space="0" w:color="000000"/>
            </w:tcBorders>
          </w:tcPr>
          <w:p w14:paraId="24D62997" w14:textId="77777777" w:rsidR="00245300" w:rsidRPr="00EC20A0" w:rsidRDefault="00245300">
            <w:pPr>
              <w:pStyle w:val="TableParagraph"/>
            </w:pPr>
          </w:p>
        </w:tc>
      </w:tr>
      <w:tr w:rsidR="00245300" w:rsidRPr="00EC20A0" w14:paraId="24D6299C" w14:textId="77777777">
        <w:trPr>
          <w:trHeight w:val="744"/>
        </w:trPr>
        <w:tc>
          <w:tcPr>
            <w:tcW w:w="7649" w:type="dxa"/>
            <w:tcBorders>
              <w:top w:val="single" w:sz="8" w:space="0" w:color="000000"/>
              <w:right w:val="single" w:sz="8" w:space="0" w:color="000000"/>
            </w:tcBorders>
          </w:tcPr>
          <w:p w14:paraId="24D62999" w14:textId="77777777" w:rsidR="00245300" w:rsidRPr="00EC20A0" w:rsidRDefault="00F17249">
            <w:pPr>
              <w:pStyle w:val="TableParagraph"/>
              <w:spacing w:before="118"/>
              <w:ind w:left="859" w:right="256" w:hanging="360"/>
            </w:pPr>
            <w:r w:rsidRPr="00EC20A0">
              <w:t>5.</w:t>
            </w:r>
            <w:r w:rsidRPr="00EC20A0">
              <w:rPr>
                <w:spacing w:val="80"/>
              </w:rPr>
              <w:t xml:space="preserve"> </w:t>
            </w:r>
            <w:r w:rsidRPr="00EC20A0">
              <w:t>The</w:t>
            </w:r>
            <w:r w:rsidRPr="00EC20A0">
              <w:rPr>
                <w:spacing w:val="-3"/>
              </w:rPr>
              <w:t xml:space="preserve"> </w:t>
            </w:r>
            <w:r w:rsidRPr="00EC20A0">
              <w:t>engagement</w:t>
            </w:r>
            <w:r w:rsidRPr="00EC20A0">
              <w:rPr>
                <w:spacing w:val="-3"/>
              </w:rPr>
              <w:t xml:space="preserve"> </w:t>
            </w:r>
            <w:r w:rsidRPr="00EC20A0">
              <w:t>team</w:t>
            </w:r>
            <w:r w:rsidRPr="00EC20A0">
              <w:rPr>
                <w:spacing w:val="-3"/>
              </w:rPr>
              <w:t xml:space="preserve"> </w:t>
            </w:r>
            <w:r w:rsidRPr="00EC20A0">
              <w:t>complied,</w:t>
            </w:r>
            <w:r w:rsidRPr="00EC20A0">
              <w:rPr>
                <w:spacing w:val="-3"/>
              </w:rPr>
              <w:t xml:space="preserve"> </w:t>
            </w:r>
            <w:r w:rsidRPr="00EC20A0">
              <w:t>in</w:t>
            </w:r>
            <w:r w:rsidRPr="00EC20A0">
              <w:rPr>
                <w:spacing w:val="-4"/>
              </w:rPr>
              <w:t xml:space="preserve"> </w:t>
            </w:r>
            <w:r w:rsidRPr="00EC20A0">
              <w:t>all</w:t>
            </w:r>
            <w:r w:rsidRPr="00EC20A0">
              <w:rPr>
                <w:spacing w:val="-3"/>
              </w:rPr>
              <w:t xml:space="preserve"> </w:t>
            </w:r>
            <w:r w:rsidRPr="00EC20A0">
              <w:t>material</w:t>
            </w:r>
            <w:r w:rsidRPr="00EC20A0">
              <w:rPr>
                <w:spacing w:val="-3"/>
              </w:rPr>
              <w:t xml:space="preserve"> </w:t>
            </w:r>
            <w:r w:rsidRPr="00EC20A0">
              <w:t>respects,</w:t>
            </w:r>
            <w:r w:rsidRPr="00EC20A0">
              <w:rPr>
                <w:spacing w:val="-3"/>
              </w:rPr>
              <w:t xml:space="preserve"> </w:t>
            </w:r>
            <w:r w:rsidRPr="00EC20A0">
              <w:t>with</w:t>
            </w:r>
            <w:r w:rsidRPr="00EC20A0">
              <w:rPr>
                <w:spacing w:val="-3"/>
              </w:rPr>
              <w:t xml:space="preserve"> </w:t>
            </w:r>
            <w:r w:rsidRPr="00EC20A0">
              <w:t xml:space="preserve">the audit </w:t>
            </w:r>
            <w:r w:rsidRPr="00EC20A0">
              <w:t>organization’s policies and procedures.</w:t>
            </w:r>
          </w:p>
        </w:tc>
        <w:tc>
          <w:tcPr>
            <w:tcW w:w="797" w:type="dxa"/>
            <w:tcBorders>
              <w:top w:val="single" w:sz="8" w:space="0" w:color="000000"/>
              <w:left w:val="single" w:sz="8" w:space="0" w:color="000000"/>
              <w:right w:val="single" w:sz="8" w:space="0" w:color="000000"/>
            </w:tcBorders>
          </w:tcPr>
          <w:p w14:paraId="24D6299A" w14:textId="77777777" w:rsidR="00245300" w:rsidRPr="00EC20A0" w:rsidRDefault="00245300">
            <w:pPr>
              <w:pStyle w:val="TableParagraph"/>
            </w:pPr>
          </w:p>
        </w:tc>
        <w:tc>
          <w:tcPr>
            <w:tcW w:w="971" w:type="dxa"/>
            <w:tcBorders>
              <w:top w:val="single" w:sz="8" w:space="0" w:color="000000"/>
              <w:left w:val="single" w:sz="8" w:space="0" w:color="000000"/>
            </w:tcBorders>
          </w:tcPr>
          <w:p w14:paraId="24D6299B" w14:textId="77777777" w:rsidR="00245300" w:rsidRPr="00EC20A0" w:rsidRDefault="00245300">
            <w:pPr>
              <w:pStyle w:val="TableParagraph"/>
            </w:pPr>
          </w:p>
        </w:tc>
      </w:tr>
    </w:tbl>
    <w:p w14:paraId="24D6299D" w14:textId="77777777" w:rsidR="00245300" w:rsidRPr="00EC20A0" w:rsidRDefault="00F17249">
      <w:pPr>
        <w:spacing w:before="59"/>
        <w:ind w:left="1240" w:hanging="360"/>
        <w:rPr>
          <w:sz w:val="24"/>
        </w:rPr>
      </w:pPr>
      <w:r w:rsidRPr="00EC20A0">
        <w:rPr>
          <w:sz w:val="24"/>
        </w:rPr>
        <w:t>**If</w:t>
      </w:r>
      <w:r w:rsidRPr="00EC20A0">
        <w:rPr>
          <w:spacing w:val="-4"/>
          <w:sz w:val="24"/>
        </w:rPr>
        <w:t xml:space="preserve"> </w:t>
      </w:r>
      <w:r w:rsidRPr="00EC20A0">
        <w:rPr>
          <w:sz w:val="24"/>
        </w:rPr>
        <w:t>any</w:t>
      </w:r>
      <w:r w:rsidRPr="00EC20A0">
        <w:rPr>
          <w:spacing w:val="-3"/>
          <w:sz w:val="24"/>
        </w:rPr>
        <w:t xml:space="preserve"> </w:t>
      </w:r>
      <w:r w:rsidRPr="00EC20A0">
        <w:rPr>
          <w:sz w:val="24"/>
        </w:rPr>
        <w:t>of</w:t>
      </w:r>
      <w:r w:rsidRPr="00EC20A0">
        <w:rPr>
          <w:spacing w:val="-4"/>
          <w:sz w:val="24"/>
        </w:rPr>
        <w:t xml:space="preserve"> </w:t>
      </w:r>
      <w:r w:rsidRPr="00EC20A0">
        <w:rPr>
          <w:sz w:val="24"/>
        </w:rPr>
        <w:t>the</w:t>
      </w:r>
      <w:r w:rsidRPr="00EC20A0">
        <w:rPr>
          <w:spacing w:val="-3"/>
          <w:sz w:val="24"/>
        </w:rPr>
        <w:t xml:space="preserve"> </w:t>
      </w:r>
      <w:r w:rsidRPr="00EC20A0">
        <w:rPr>
          <w:sz w:val="24"/>
        </w:rPr>
        <w:t>above</w:t>
      </w:r>
      <w:r w:rsidRPr="00EC20A0">
        <w:rPr>
          <w:spacing w:val="-3"/>
          <w:sz w:val="24"/>
        </w:rPr>
        <w:t xml:space="preserve"> </w:t>
      </w:r>
      <w:r w:rsidRPr="00EC20A0">
        <w:rPr>
          <w:sz w:val="24"/>
        </w:rPr>
        <w:t>five</w:t>
      </w:r>
      <w:r w:rsidRPr="00EC20A0">
        <w:rPr>
          <w:spacing w:val="-3"/>
          <w:sz w:val="24"/>
        </w:rPr>
        <w:t xml:space="preserve"> </w:t>
      </w:r>
      <w:r w:rsidRPr="00EC20A0">
        <w:rPr>
          <w:sz w:val="24"/>
        </w:rPr>
        <w:t>statements</w:t>
      </w:r>
      <w:r w:rsidRPr="00EC20A0">
        <w:rPr>
          <w:spacing w:val="-3"/>
          <w:sz w:val="24"/>
        </w:rPr>
        <w:t xml:space="preserve"> </w:t>
      </w:r>
      <w:r w:rsidRPr="00EC20A0">
        <w:rPr>
          <w:sz w:val="24"/>
        </w:rPr>
        <w:t>have</w:t>
      </w:r>
      <w:r w:rsidRPr="00EC20A0">
        <w:rPr>
          <w:spacing w:val="-3"/>
          <w:sz w:val="24"/>
        </w:rPr>
        <w:t xml:space="preserve"> </w:t>
      </w:r>
      <w:r w:rsidRPr="00EC20A0">
        <w:rPr>
          <w:sz w:val="24"/>
        </w:rPr>
        <w:t>“No”</w:t>
      </w:r>
      <w:r w:rsidRPr="00EC20A0">
        <w:rPr>
          <w:spacing w:val="-2"/>
          <w:sz w:val="24"/>
        </w:rPr>
        <w:t xml:space="preserve"> </w:t>
      </w:r>
      <w:r w:rsidRPr="00EC20A0">
        <w:rPr>
          <w:sz w:val="24"/>
        </w:rPr>
        <w:t>responses,</w:t>
      </w:r>
      <w:r w:rsidRPr="00EC20A0">
        <w:rPr>
          <w:spacing w:val="-2"/>
          <w:sz w:val="24"/>
        </w:rPr>
        <w:t xml:space="preserve"> </w:t>
      </w:r>
      <w:r w:rsidRPr="00EC20A0">
        <w:rPr>
          <w:sz w:val="24"/>
        </w:rPr>
        <w:t>describe</w:t>
      </w:r>
      <w:r w:rsidRPr="00EC20A0">
        <w:rPr>
          <w:spacing w:val="-3"/>
          <w:sz w:val="24"/>
        </w:rPr>
        <w:t xml:space="preserve"> </w:t>
      </w:r>
      <w:r w:rsidRPr="00EC20A0">
        <w:rPr>
          <w:sz w:val="24"/>
        </w:rPr>
        <w:t>the</w:t>
      </w:r>
      <w:r w:rsidRPr="00EC20A0">
        <w:rPr>
          <w:spacing w:val="-3"/>
          <w:sz w:val="24"/>
        </w:rPr>
        <w:t xml:space="preserve"> </w:t>
      </w:r>
      <w:r w:rsidRPr="00EC20A0">
        <w:rPr>
          <w:sz w:val="24"/>
        </w:rPr>
        <w:t>response</w:t>
      </w:r>
      <w:r w:rsidRPr="00EC20A0">
        <w:rPr>
          <w:spacing w:val="-3"/>
          <w:sz w:val="24"/>
        </w:rPr>
        <w:t xml:space="preserve"> </w:t>
      </w:r>
      <w:r w:rsidRPr="00EC20A0">
        <w:rPr>
          <w:sz w:val="24"/>
        </w:rPr>
        <w:t>in</w:t>
      </w:r>
      <w:r w:rsidRPr="00EC20A0">
        <w:rPr>
          <w:spacing w:val="-3"/>
          <w:sz w:val="24"/>
        </w:rPr>
        <w:t xml:space="preserve"> </w:t>
      </w:r>
      <w:r w:rsidRPr="00EC20A0">
        <w:rPr>
          <w:sz w:val="24"/>
        </w:rPr>
        <w:t>a memorandum to the reviewer.</w:t>
      </w:r>
    </w:p>
    <w:p w14:paraId="24D6299E" w14:textId="77777777" w:rsidR="00245300" w:rsidRPr="00EC20A0" w:rsidRDefault="00245300">
      <w:pPr>
        <w:pStyle w:val="BodyText"/>
        <w:rPr>
          <w:sz w:val="20"/>
        </w:rPr>
      </w:pPr>
    </w:p>
    <w:p w14:paraId="24D6299F" w14:textId="77777777" w:rsidR="00245300" w:rsidRPr="00EC20A0" w:rsidRDefault="00245300">
      <w:pPr>
        <w:pStyle w:val="BodyText"/>
        <w:rPr>
          <w:sz w:val="20"/>
        </w:rPr>
      </w:pPr>
    </w:p>
    <w:p w14:paraId="24D629A0" w14:textId="77777777" w:rsidR="00245300" w:rsidRPr="00EC20A0" w:rsidRDefault="00245300">
      <w:pPr>
        <w:pStyle w:val="BodyText"/>
        <w:spacing w:before="13" w:after="1"/>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25"/>
        <w:gridCol w:w="3703"/>
        <w:gridCol w:w="2778"/>
      </w:tblGrid>
      <w:tr w:rsidR="00245300" w:rsidRPr="00EC20A0" w14:paraId="24D629A4" w14:textId="77777777">
        <w:trPr>
          <w:trHeight w:val="332"/>
        </w:trPr>
        <w:tc>
          <w:tcPr>
            <w:tcW w:w="2425" w:type="dxa"/>
          </w:tcPr>
          <w:p w14:paraId="24D629A1" w14:textId="77777777" w:rsidR="00245300" w:rsidRPr="00EC20A0" w:rsidRDefault="00F17249">
            <w:pPr>
              <w:pStyle w:val="TableParagraph"/>
              <w:spacing w:line="268" w:lineRule="exact"/>
              <w:ind w:left="50"/>
              <w:rPr>
                <w:sz w:val="24"/>
              </w:rPr>
            </w:pPr>
            <w:r w:rsidRPr="00EC20A0">
              <w:rPr>
                <w:sz w:val="24"/>
              </w:rPr>
              <w:t>Auditor’s</w:t>
            </w:r>
            <w:r w:rsidRPr="00EC20A0">
              <w:rPr>
                <w:spacing w:val="-5"/>
                <w:sz w:val="24"/>
              </w:rPr>
              <w:t xml:space="preserve"> </w:t>
            </w:r>
            <w:r w:rsidRPr="00EC20A0">
              <w:rPr>
                <w:sz w:val="24"/>
              </w:rPr>
              <w:t>report</w:t>
            </w:r>
            <w:r w:rsidRPr="00EC20A0">
              <w:rPr>
                <w:spacing w:val="-3"/>
                <w:sz w:val="24"/>
              </w:rPr>
              <w:t xml:space="preserve"> </w:t>
            </w:r>
            <w:r w:rsidRPr="00EC20A0">
              <w:rPr>
                <w:spacing w:val="-4"/>
                <w:sz w:val="24"/>
              </w:rPr>
              <w:t>date</w:t>
            </w:r>
          </w:p>
        </w:tc>
        <w:tc>
          <w:tcPr>
            <w:tcW w:w="3703" w:type="dxa"/>
          </w:tcPr>
          <w:p w14:paraId="24D629A2" w14:textId="77777777" w:rsidR="00245300" w:rsidRPr="00EC20A0" w:rsidRDefault="00F17249">
            <w:pPr>
              <w:pStyle w:val="TableParagraph"/>
              <w:tabs>
                <w:tab w:val="left" w:pos="3472"/>
              </w:tabs>
              <w:spacing w:line="268" w:lineRule="exact"/>
              <w:ind w:left="139"/>
              <w:jc w:val="center"/>
              <w:rPr>
                <w:sz w:val="24"/>
              </w:rPr>
            </w:pPr>
            <w:r w:rsidRPr="00EC20A0">
              <w:rPr>
                <w:sz w:val="24"/>
                <w:u w:val="single"/>
              </w:rPr>
              <w:t xml:space="preserve"> </w:t>
            </w:r>
            <w:r w:rsidRPr="00EC20A0">
              <w:rPr>
                <w:sz w:val="24"/>
                <w:u w:val="single"/>
              </w:rPr>
              <w:tab/>
            </w:r>
          </w:p>
        </w:tc>
        <w:tc>
          <w:tcPr>
            <w:tcW w:w="2778" w:type="dxa"/>
          </w:tcPr>
          <w:p w14:paraId="24D629A3" w14:textId="77777777" w:rsidR="00245300" w:rsidRPr="00EC20A0" w:rsidRDefault="00245300">
            <w:pPr>
              <w:pStyle w:val="TableParagraph"/>
            </w:pPr>
          </w:p>
        </w:tc>
      </w:tr>
      <w:tr w:rsidR="00245300" w:rsidRPr="00EC20A0" w14:paraId="24D629A8" w14:textId="77777777">
        <w:trPr>
          <w:trHeight w:val="396"/>
        </w:trPr>
        <w:tc>
          <w:tcPr>
            <w:tcW w:w="2425" w:type="dxa"/>
          </w:tcPr>
          <w:p w14:paraId="24D629A5" w14:textId="77777777" w:rsidR="00245300" w:rsidRPr="00EC20A0" w:rsidRDefault="00F17249">
            <w:pPr>
              <w:pStyle w:val="TableParagraph"/>
              <w:spacing w:before="56"/>
              <w:ind w:left="50"/>
              <w:rPr>
                <w:sz w:val="24"/>
              </w:rPr>
            </w:pPr>
            <w:r w:rsidRPr="00EC20A0">
              <w:rPr>
                <w:spacing w:val="-2"/>
                <w:sz w:val="24"/>
              </w:rPr>
              <w:t>Auditor-in-Charge</w:t>
            </w:r>
          </w:p>
        </w:tc>
        <w:tc>
          <w:tcPr>
            <w:tcW w:w="3703" w:type="dxa"/>
          </w:tcPr>
          <w:p w14:paraId="24D629A6" w14:textId="77777777" w:rsidR="00245300" w:rsidRPr="00EC20A0" w:rsidRDefault="00F17249">
            <w:pPr>
              <w:pStyle w:val="TableParagraph"/>
              <w:tabs>
                <w:tab w:val="left" w:pos="3477"/>
              </w:tabs>
              <w:spacing w:before="56"/>
              <w:ind w:left="141"/>
              <w:jc w:val="center"/>
              <w:rPr>
                <w:sz w:val="24"/>
              </w:rPr>
            </w:pPr>
            <w:r w:rsidRPr="00EC20A0">
              <w:rPr>
                <w:sz w:val="24"/>
                <w:u w:val="single"/>
              </w:rPr>
              <w:t xml:space="preserve"> </w:t>
            </w:r>
            <w:r w:rsidRPr="00EC20A0">
              <w:rPr>
                <w:sz w:val="24"/>
                <w:u w:val="single"/>
              </w:rPr>
              <w:tab/>
            </w:r>
          </w:p>
        </w:tc>
        <w:tc>
          <w:tcPr>
            <w:tcW w:w="2778" w:type="dxa"/>
          </w:tcPr>
          <w:p w14:paraId="24D629A7" w14:textId="77777777" w:rsidR="00245300" w:rsidRPr="00EC20A0" w:rsidRDefault="00F17249">
            <w:pPr>
              <w:pStyle w:val="TableParagraph"/>
              <w:tabs>
                <w:tab w:val="left" w:pos="2677"/>
              </w:tabs>
              <w:spacing w:before="56"/>
              <w:ind w:left="103"/>
              <w:jc w:val="center"/>
              <w:rPr>
                <w:sz w:val="24"/>
              </w:rPr>
            </w:pPr>
            <w:r w:rsidRPr="00EC20A0">
              <w:rPr>
                <w:sz w:val="24"/>
              </w:rPr>
              <w:t xml:space="preserve">Date </w:t>
            </w:r>
            <w:r w:rsidRPr="00EC20A0">
              <w:rPr>
                <w:sz w:val="24"/>
                <w:u w:val="single"/>
              </w:rPr>
              <w:tab/>
            </w:r>
          </w:p>
        </w:tc>
      </w:tr>
      <w:tr w:rsidR="00245300" w:rsidRPr="00EC20A0" w14:paraId="24D629AC" w14:textId="77777777">
        <w:trPr>
          <w:trHeight w:val="396"/>
        </w:trPr>
        <w:tc>
          <w:tcPr>
            <w:tcW w:w="2425" w:type="dxa"/>
          </w:tcPr>
          <w:p w14:paraId="24D629A9" w14:textId="77777777" w:rsidR="00245300" w:rsidRPr="00EC20A0" w:rsidRDefault="00F17249">
            <w:pPr>
              <w:pStyle w:val="TableParagraph"/>
              <w:spacing w:before="56"/>
              <w:ind w:left="50"/>
              <w:rPr>
                <w:sz w:val="24"/>
              </w:rPr>
            </w:pPr>
            <w:r w:rsidRPr="00EC20A0">
              <w:rPr>
                <w:sz w:val="24"/>
              </w:rPr>
              <w:t>Assistant</w:t>
            </w:r>
            <w:r w:rsidRPr="00EC20A0">
              <w:rPr>
                <w:spacing w:val="-5"/>
                <w:sz w:val="24"/>
              </w:rPr>
              <w:t xml:space="preserve"> </w:t>
            </w:r>
            <w:r w:rsidRPr="00EC20A0">
              <w:rPr>
                <w:spacing w:val="-2"/>
                <w:sz w:val="24"/>
              </w:rPr>
              <w:t>Director</w:t>
            </w:r>
          </w:p>
        </w:tc>
        <w:tc>
          <w:tcPr>
            <w:tcW w:w="3703" w:type="dxa"/>
          </w:tcPr>
          <w:p w14:paraId="24D629AA" w14:textId="77777777" w:rsidR="00245300" w:rsidRPr="00EC20A0" w:rsidRDefault="00F17249">
            <w:pPr>
              <w:pStyle w:val="TableParagraph"/>
              <w:tabs>
                <w:tab w:val="left" w:pos="3443"/>
              </w:tabs>
              <w:spacing w:before="56"/>
              <w:ind w:left="110"/>
              <w:jc w:val="center"/>
              <w:rPr>
                <w:sz w:val="24"/>
              </w:rPr>
            </w:pPr>
            <w:r w:rsidRPr="00EC20A0">
              <w:rPr>
                <w:sz w:val="24"/>
                <w:u w:val="single"/>
              </w:rPr>
              <w:t xml:space="preserve"> </w:t>
            </w:r>
            <w:r w:rsidRPr="00EC20A0">
              <w:rPr>
                <w:sz w:val="24"/>
                <w:u w:val="single"/>
              </w:rPr>
              <w:tab/>
            </w:r>
          </w:p>
        </w:tc>
        <w:tc>
          <w:tcPr>
            <w:tcW w:w="2778" w:type="dxa"/>
          </w:tcPr>
          <w:p w14:paraId="24D629AB" w14:textId="77777777" w:rsidR="00245300" w:rsidRPr="00EC20A0" w:rsidRDefault="00F17249">
            <w:pPr>
              <w:pStyle w:val="TableParagraph"/>
              <w:tabs>
                <w:tab w:val="left" w:pos="2648"/>
              </w:tabs>
              <w:spacing w:before="56"/>
              <w:ind w:left="74"/>
              <w:jc w:val="center"/>
              <w:rPr>
                <w:sz w:val="24"/>
              </w:rPr>
            </w:pPr>
            <w:r w:rsidRPr="00EC20A0">
              <w:rPr>
                <w:sz w:val="24"/>
              </w:rPr>
              <w:t xml:space="preserve">Date </w:t>
            </w:r>
            <w:r w:rsidRPr="00EC20A0">
              <w:rPr>
                <w:sz w:val="24"/>
                <w:u w:val="single"/>
              </w:rPr>
              <w:tab/>
            </w:r>
          </w:p>
        </w:tc>
      </w:tr>
      <w:tr w:rsidR="00245300" w:rsidRPr="00EC20A0" w14:paraId="24D629B0" w14:textId="77777777">
        <w:trPr>
          <w:trHeight w:val="332"/>
        </w:trPr>
        <w:tc>
          <w:tcPr>
            <w:tcW w:w="2425" w:type="dxa"/>
          </w:tcPr>
          <w:p w14:paraId="24D629AD" w14:textId="77777777" w:rsidR="00245300" w:rsidRPr="00EC20A0" w:rsidRDefault="00F17249">
            <w:pPr>
              <w:pStyle w:val="TableParagraph"/>
              <w:spacing w:before="56" w:line="256" w:lineRule="exact"/>
              <w:ind w:left="50"/>
              <w:rPr>
                <w:sz w:val="24"/>
              </w:rPr>
            </w:pPr>
            <w:r w:rsidRPr="00EC20A0">
              <w:rPr>
                <w:sz w:val="24"/>
              </w:rPr>
              <w:t>Audit</w:t>
            </w:r>
            <w:r w:rsidRPr="00EC20A0">
              <w:rPr>
                <w:spacing w:val="-5"/>
                <w:sz w:val="24"/>
              </w:rPr>
              <w:t xml:space="preserve"> </w:t>
            </w:r>
            <w:r w:rsidRPr="00EC20A0">
              <w:rPr>
                <w:spacing w:val="-2"/>
                <w:sz w:val="24"/>
              </w:rPr>
              <w:t>Director</w:t>
            </w:r>
          </w:p>
        </w:tc>
        <w:tc>
          <w:tcPr>
            <w:tcW w:w="3703" w:type="dxa"/>
          </w:tcPr>
          <w:p w14:paraId="24D629AE" w14:textId="77777777" w:rsidR="00245300" w:rsidRPr="00EC20A0" w:rsidRDefault="00F17249">
            <w:pPr>
              <w:pStyle w:val="TableParagraph"/>
              <w:tabs>
                <w:tab w:val="left" w:pos="3390"/>
              </w:tabs>
              <w:spacing w:before="56" w:line="256" w:lineRule="exact"/>
              <w:ind w:left="57"/>
              <w:jc w:val="center"/>
              <w:rPr>
                <w:sz w:val="24"/>
              </w:rPr>
            </w:pPr>
            <w:r w:rsidRPr="00EC20A0">
              <w:rPr>
                <w:sz w:val="24"/>
                <w:u w:val="single"/>
              </w:rPr>
              <w:t xml:space="preserve"> </w:t>
            </w:r>
            <w:r w:rsidRPr="00EC20A0">
              <w:rPr>
                <w:sz w:val="24"/>
                <w:u w:val="single"/>
              </w:rPr>
              <w:tab/>
            </w:r>
          </w:p>
        </w:tc>
        <w:tc>
          <w:tcPr>
            <w:tcW w:w="2778" w:type="dxa"/>
          </w:tcPr>
          <w:p w14:paraId="24D629AF" w14:textId="77777777" w:rsidR="00245300" w:rsidRPr="00EC20A0" w:rsidRDefault="00F17249">
            <w:pPr>
              <w:pStyle w:val="TableParagraph"/>
              <w:tabs>
                <w:tab w:val="left" w:pos="2595"/>
              </w:tabs>
              <w:spacing w:before="56" w:line="256" w:lineRule="exact"/>
              <w:ind w:left="21"/>
              <w:jc w:val="center"/>
              <w:rPr>
                <w:sz w:val="24"/>
              </w:rPr>
            </w:pPr>
            <w:r w:rsidRPr="00EC20A0">
              <w:rPr>
                <w:sz w:val="24"/>
              </w:rPr>
              <w:t xml:space="preserve">Date </w:t>
            </w:r>
            <w:r w:rsidRPr="00EC20A0">
              <w:rPr>
                <w:sz w:val="24"/>
                <w:u w:val="single"/>
              </w:rPr>
              <w:tab/>
            </w:r>
          </w:p>
        </w:tc>
      </w:tr>
    </w:tbl>
    <w:p w14:paraId="24D629B1" w14:textId="77777777" w:rsidR="00245300" w:rsidRPr="00EC20A0" w:rsidRDefault="00245300">
      <w:pPr>
        <w:spacing w:line="256" w:lineRule="exact"/>
        <w:jc w:val="center"/>
        <w:rPr>
          <w:sz w:val="24"/>
        </w:rPr>
        <w:sectPr w:rsidR="00245300" w:rsidRPr="00EC20A0">
          <w:pgSz w:w="12240" w:h="15840"/>
          <w:pgMar w:top="1340" w:right="460" w:bottom="940" w:left="560" w:header="721" w:footer="757" w:gutter="0"/>
          <w:cols w:space="720"/>
        </w:sectPr>
      </w:pPr>
    </w:p>
    <w:p w14:paraId="24D629B2" w14:textId="77777777" w:rsidR="00245300" w:rsidRPr="00EC20A0" w:rsidRDefault="00F17249">
      <w:pPr>
        <w:pStyle w:val="Heading4"/>
        <w:spacing w:before="121"/>
        <w:ind w:left="880"/>
      </w:pPr>
      <w:bookmarkStart w:id="422" w:name="Section_VIII:_Engagement_Quality_Control"/>
      <w:bookmarkEnd w:id="422"/>
      <w:r w:rsidRPr="00EC20A0">
        <w:t>Section</w:t>
      </w:r>
      <w:r w:rsidRPr="00EC20A0">
        <w:rPr>
          <w:spacing w:val="-12"/>
        </w:rPr>
        <w:t xml:space="preserve"> </w:t>
      </w:r>
      <w:r w:rsidRPr="00EC20A0">
        <w:t>VIII:</w:t>
      </w:r>
      <w:r w:rsidRPr="00EC20A0">
        <w:rPr>
          <w:spacing w:val="-13"/>
        </w:rPr>
        <w:t xml:space="preserve"> </w:t>
      </w:r>
      <w:r w:rsidRPr="00EC20A0">
        <w:t>Engagement</w:t>
      </w:r>
      <w:r w:rsidRPr="00EC20A0">
        <w:rPr>
          <w:spacing w:val="-11"/>
        </w:rPr>
        <w:t xml:space="preserve"> </w:t>
      </w:r>
      <w:r w:rsidRPr="00EC20A0">
        <w:t>Quality</w:t>
      </w:r>
      <w:r w:rsidRPr="00EC20A0">
        <w:rPr>
          <w:spacing w:val="-13"/>
        </w:rPr>
        <w:t xml:space="preserve"> </w:t>
      </w:r>
      <w:r w:rsidRPr="00EC20A0">
        <w:t>Control</w:t>
      </w:r>
      <w:r w:rsidRPr="00EC20A0">
        <w:rPr>
          <w:spacing w:val="-13"/>
        </w:rPr>
        <w:t xml:space="preserve"> </w:t>
      </w:r>
      <w:r w:rsidRPr="00EC20A0">
        <w:t>Review</w:t>
      </w:r>
      <w:r w:rsidRPr="00EC20A0">
        <w:rPr>
          <w:spacing w:val="-13"/>
        </w:rPr>
        <w:t xml:space="preserve"> </w:t>
      </w:r>
      <w:r w:rsidRPr="00EC20A0">
        <w:t>(Second</w:t>
      </w:r>
      <w:r w:rsidRPr="00EC20A0">
        <w:rPr>
          <w:spacing w:val="-12"/>
        </w:rPr>
        <w:t xml:space="preserve"> </w:t>
      </w:r>
      <w:r w:rsidRPr="00EC20A0">
        <w:rPr>
          <w:spacing w:val="-2"/>
        </w:rPr>
        <w:t>Partner)</w:t>
      </w:r>
    </w:p>
    <w:p w14:paraId="24D629B3" w14:textId="77777777" w:rsidR="00245300" w:rsidRPr="00EC20A0" w:rsidRDefault="00245300">
      <w:pPr>
        <w:pStyle w:val="BodyText"/>
        <w:spacing w:before="10"/>
        <w:rPr>
          <w:b/>
          <w:sz w:val="11"/>
        </w:rPr>
      </w:pPr>
    </w:p>
    <w:tbl>
      <w:tblPr>
        <w:tblW w:w="0" w:type="auto"/>
        <w:tblInd w:w="93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9337"/>
      </w:tblGrid>
      <w:tr w:rsidR="00245300" w:rsidRPr="00EC20A0" w14:paraId="24D629B5" w14:textId="77777777">
        <w:trPr>
          <w:trHeight w:val="511"/>
        </w:trPr>
        <w:tc>
          <w:tcPr>
            <w:tcW w:w="9337" w:type="dxa"/>
            <w:tcBorders>
              <w:bottom w:val="double" w:sz="2" w:space="0" w:color="000000"/>
            </w:tcBorders>
            <w:shd w:val="clear" w:color="auto" w:fill="A6A6A6"/>
          </w:tcPr>
          <w:p w14:paraId="24D629B4" w14:textId="77777777" w:rsidR="00245300" w:rsidRPr="00EC20A0" w:rsidRDefault="00F17249">
            <w:pPr>
              <w:pStyle w:val="TableParagraph"/>
              <w:spacing w:before="116"/>
              <w:ind w:left="98"/>
              <w:rPr>
                <w:b/>
                <w:sz w:val="24"/>
              </w:rPr>
            </w:pPr>
            <w:r w:rsidRPr="00EC20A0">
              <w:rPr>
                <w:b/>
                <w:sz w:val="24"/>
              </w:rPr>
              <w:t>Section</w:t>
            </w:r>
            <w:r w:rsidRPr="00EC20A0">
              <w:rPr>
                <w:b/>
                <w:spacing w:val="-5"/>
                <w:sz w:val="24"/>
              </w:rPr>
              <w:t xml:space="preserve"> </w:t>
            </w:r>
            <w:r w:rsidRPr="00EC20A0">
              <w:rPr>
                <w:b/>
                <w:sz w:val="24"/>
              </w:rPr>
              <w:t>VIII:</w:t>
            </w:r>
            <w:r w:rsidRPr="00EC20A0">
              <w:rPr>
                <w:b/>
                <w:spacing w:val="-3"/>
                <w:sz w:val="24"/>
              </w:rPr>
              <w:t xml:space="preserve"> </w:t>
            </w:r>
            <w:r w:rsidRPr="00EC20A0">
              <w:rPr>
                <w:b/>
                <w:sz w:val="24"/>
              </w:rPr>
              <w:t>Engagement</w:t>
            </w:r>
            <w:r w:rsidRPr="00EC20A0">
              <w:rPr>
                <w:b/>
                <w:spacing w:val="-4"/>
                <w:sz w:val="24"/>
              </w:rPr>
              <w:t xml:space="preserve"> </w:t>
            </w:r>
            <w:r w:rsidRPr="00EC20A0">
              <w:rPr>
                <w:b/>
                <w:sz w:val="24"/>
              </w:rPr>
              <w:t>Quality</w:t>
            </w:r>
            <w:r w:rsidRPr="00EC20A0">
              <w:rPr>
                <w:b/>
                <w:spacing w:val="-4"/>
                <w:sz w:val="24"/>
              </w:rPr>
              <w:t xml:space="preserve"> </w:t>
            </w:r>
            <w:r w:rsidRPr="00EC20A0">
              <w:rPr>
                <w:b/>
                <w:sz w:val="24"/>
              </w:rPr>
              <w:t>Control</w:t>
            </w:r>
            <w:r w:rsidRPr="00EC20A0">
              <w:rPr>
                <w:b/>
                <w:spacing w:val="-6"/>
                <w:sz w:val="24"/>
              </w:rPr>
              <w:t xml:space="preserve"> </w:t>
            </w:r>
            <w:r w:rsidRPr="00EC20A0">
              <w:rPr>
                <w:b/>
                <w:sz w:val="24"/>
              </w:rPr>
              <w:t>Review</w:t>
            </w:r>
            <w:r w:rsidRPr="00EC20A0">
              <w:rPr>
                <w:b/>
                <w:spacing w:val="-3"/>
                <w:sz w:val="24"/>
              </w:rPr>
              <w:t xml:space="preserve"> </w:t>
            </w:r>
            <w:r w:rsidRPr="00EC20A0">
              <w:rPr>
                <w:b/>
                <w:sz w:val="24"/>
              </w:rPr>
              <w:t>(Second</w:t>
            </w:r>
            <w:r w:rsidRPr="00EC20A0">
              <w:rPr>
                <w:b/>
                <w:spacing w:val="-4"/>
                <w:sz w:val="24"/>
              </w:rPr>
              <w:t xml:space="preserve"> </w:t>
            </w:r>
            <w:r w:rsidRPr="00EC20A0">
              <w:rPr>
                <w:b/>
                <w:spacing w:val="-2"/>
                <w:sz w:val="24"/>
              </w:rPr>
              <w:t>Partner)</w:t>
            </w:r>
          </w:p>
        </w:tc>
      </w:tr>
      <w:tr w:rsidR="00245300" w:rsidRPr="00EC20A0" w14:paraId="24D629C6" w14:textId="77777777">
        <w:trPr>
          <w:trHeight w:val="10456"/>
        </w:trPr>
        <w:tc>
          <w:tcPr>
            <w:tcW w:w="9337" w:type="dxa"/>
            <w:tcBorders>
              <w:top w:val="double" w:sz="2" w:space="0" w:color="000000"/>
              <w:left w:val="double" w:sz="2" w:space="0" w:color="000000"/>
              <w:bottom w:val="double" w:sz="2" w:space="0" w:color="000000"/>
              <w:right w:val="double" w:sz="2" w:space="0" w:color="000000"/>
            </w:tcBorders>
          </w:tcPr>
          <w:p w14:paraId="24D629B6" w14:textId="77777777" w:rsidR="00245300" w:rsidRPr="00EC20A0" w:rsidRDefault="00F17249">
            <w:pPr>
              <w:pStyle w:val="TableParagraph"/>
              <w:spacing w:before="119"/>
              <w:ind w:left="120" w:right="160"/>
            </w:pPr>
            <w:r w:rsidRPr="00EC20A0">
              <w:rPr>
                <w:b/>
              </w:rPr>
              <w:t>Objective:</w:t>
            </w:r>
            <w:hyperlink w:anchor="_bookmark232" w:history="1">
              <w:r w:rsidRPr="00EC20A0">
                <w:rPr>
                  <w:b/>
                  <w:vertAlign w:val="superscript"/>
                </w:rPr>
                <w:t>17</w:t>
              </w:r>
            </w:hyperlink>
            <w:r w:rsidRPr="00EC20A0">
              <w:rPr>
                <w:b/>
                <w:spacing w:val="-3"/>
              </w:rPr>
              <w:t xml:space="preserve"> </w:t>
            </w:r>
            <w:r w:rsidRPr="00EC20A0">
              <w:t>To</w:t>
            </w:r>
            <w:r w:rsidRPr="00EC20A0">
              <w:rPr>
                <w:spacing w:val="-3"/>
              </w:rPr>
              <w:t xml:space="preserve"> </w:t>
            </w:r>
            <w:r w:rsidRPr="00EC20A0">
              <w:t>evaluate</w:t>
            </w:r>
            <w:r w:rsidRPr="00EC20A0">
              <w:rPr>
                <w:spacing w:val="-4"/>
              </w:rPr>
              <w:t xml:space="preserve"> </w:t>
            </w:r>
            <w:r w:rsidRPr="00EC20A0">
              <w:t>the</w:t>
            </w:r>
            <w:r w:rsidRPr="00EC20A0">
              <w:rPr>
                <w:spacing w:val="-3"/>
              </w:rPr>
              <w:t xml:space="preserve"> </w:t>
            </w:r>
            <w:r w:rsidRPr="00EC20A0">
              <w:t>engagement</w:t>
            </w:r>
            <w:r w:rsidRPr="00EC20A0">
              <w:rPr>
                <w:spacing w:val="-3"/>
              </w:rPr>
              <w:t xml:space="preserve"> </w:t>
            </w:r>
            <w:r w:rsidRPr="00EC20A0">
              <w:t>team’s</w:t>
            </w:r>
            <w:r w:rsidRPr="00EC20A0">
              <w:rPr>
                <w:spacing w:val="-3"/>
              </w:rPr>
              <w:t xml:space="preserve"> </w:t>
            </w:r>
            <w:r w:rsidRPr="00EC20A0">
              <w:t>judgments</w:t>
            </w:r>
            <w:r w:rsidRPr="00EC20A0">
              <w:rPr>
                <w:spacing w:val="-3"/>
              </w:rPr>
              <w:t xml:space="preserve"> </w:t>
            </w:r>
            <w:r w:rsidRPr="00EC20A0">
              <w:t>and</w:t>
            </w:r>
            <w:r w:rsidRPr="00EC20A0">
              <w:rPr>
                <w:spacing w:val="-3"/>
              </w:rPr>
              <w:t xml:space="preserve"> </w:t>
            </w:r>
            <w:r w:rsidRPr="00EC20A0">
              <w:t>the</w:t>
            </w:r>
            <w:r w:rsidRPr="00EC20A0">
              <w:rPr>
                <w:spacing w:val="-3"/>
              </w:rPr>
              <w:t xml:space="preserve"> </w:t>
            </w:r>
            <w:r w:rsidRPr="00EC20A0">
              <w:t>conclusions</w:t>
            </w:r>
            <w:r w:rsidRPr="00EC20A0">
              <w:rPr>
                <w:spacing w:val="-3"/>
              </w:rPr>
              <w:t xml:space="preserve"> </w:t>
            </w:r>
            <w:r w:rsidRPr="00EC20A0">
              <w:t>reached</w:t>
            </w:r>
            <w:r w:rsidRPr="00EC20A0">
              <w:rPr>
                <w:spacing w:val="-3"/>
              </w:rPr>
              <w:t xml:space="preserve"> </w:t>
            </w:r>
            <w:r w:rsidRPr="00EC20A0">
              <w:t>in formulating the auditor’s report objectively.</w:t>
            </w:r>
          </w:p>
          <w:p w14:paraId="24D629B7" w14:textId="77777777" w:rsidR="00245300" w:rsidRPr="00EC20A0" w:rsidRDefault="00F17249">
            <w:pPr>
              <w:pStyle w:val="TableParagraph"/>
              <w:spacing w:before="241"/>
              <w:ind w:left="120" w:right="160"/>
            </w:pPr>
            <w:r w:rsidRPr="00EC20A0">
              <w:rPr>
                <w:b/>
              </w:rPr>
              <w:t>Procedures:</w:t>
            </w:r>
            <w:r w:rsidRPr="00EC20A0">
              <w:rPr>
                <w:b/>
                <w:spacing w:val="-4"/>
              </w:rPr>
              <w:t xml:space="preserve"> </w:t>
            </w:r>
            <w:r w:rsidRPr="00EC20A0">
              <w:t>My</w:t>
            </w:r>
            <w:r w:rsidRPr="00EC20A0">
              <w:rPr>
                <w:spacing w:val="-4"/>
              </w:rPr>
              <w:t xml:space="preserve"> </w:t>
            </w:r>
            <w:r w:rsidRPr="00EC20A0">
              <w:t>evaluation,</w:t>
            </w:r>
            <w:r w:rsidRPr="00EC20A0">
              <w:rPr>
                <w:spacing w:val="-4"/>
              </w:rPr>
              <w:t xml:space="preserve"> </w:t>
            </w:r>
            <w:r w:rsidRPr="00EC20A0">
              <w:t>including</w:t>
            </w:r>
            <w:r w:rsidRPr="00EC20A0">
              <w:rPr>
                <w:spacing w:val="-4"/>
              </w:rPr>
              <w:t xml:space="preserve"> </w:t>
            </w:r>
            <w:r w:rsidRPr="00EC20A0">
              <w:t>that</w:t>
            </w:r>
            <w:r w:rsidRPr="00EC20A0">
              <w:rPr>
                <w:spacing w:val="-4"/>
              </w:rPr>
              <w:t xml:space="preserve"> </w:t>
            </w:r>
            <w:r w:rsidRPr="00EC20A0">
              <w:t>required</w:t>
            </w:r>
            <w:r w:rsidRPr="00EC20A0">
              <w:rPr>
                <w:spacing w:val="-4"/>
              </w:rPr>
              <w:t xml:space="preserve"> </w:t>
            </w:r>
            <w:r w:rsidRPr="00EC20A0">
              <w:t>for</w:t>
            </w:r>
            <w:r w:rsidRPr="00EC20A0">
              <w:rPr>
                <w:spacing w:val="-4"/>
              </w:rPr>
              <w:t xml:space="preserve"> </w:t>
            </w:r>
            <w:r w:rsidRPr="00EC20A0">
              <w:t>documenting</w:t>
            </w:r>
            <w:r w:rsidRPr="00EC20A0">
              <w:rPr>
                <w:spacing w:val="-4"/>
              </w:rPr>
              <w:t xml:space="preserve"> </w:t>
            </w:r>
            <w:r w:rsidRPr="00EC20A0">
              <w:t>the</w:t>
            </w:r>
            <w:r w:rsidRPr="00EC20A0">
              <w:rPr>
                <w:spacing w:val="-4"/>
              </w:rPr>
              <w:t xml:space="preserve"> </w:t>
            </w:r>
            <w:r w:rsidRPr="00EC20A0">
              <w:t>engagement</w:t>
            </w:r>
            <w:r w:rsidRPr="00EC20A0">
              <w:rPr>
                <w:spacing w:val="-4"/>
              </w:rPr>
              <w:t xml:space="preserve"> </w:t>
            </w:r>
            <w:r w:rsidRPr="00EC20A0">
              <w:t>quality control review, involved the following:</w:t>
            </w:r>
          </w:p>
          <w:p w14:paraId="24D629B8" w14:textId="77777777" w:rsidR="00245300" w:rsidRPr="00EC20A0" w:rsidRDefault="00F17249">
            <w:pPr>
              <w:pStyle w:val="TableParagraph"/>
              <w:numPr>
                <w:ilvl w:val="0"/>
                <w:numId w:val="30"/>
              </w:numPr>
              <w:tabs>
                <w:tab w:val="left" w:pos="778"/>
                <w:tab w:val="left" w:pos="780"/>
              </w:tabs>
              <w:spacing w:before="239"/>
              <w:ind w:right="420" w:hanging="361"/>
            </w:pPr>
            <w:r w:rsidRPr="00EC20A0">
              <w:t>Discussing</w:t>
            </w:r>
            <w:r w:rsidRPr="00EC20A0">
              <w:rPr>
                <w:spacing w:val="-5"/>
              </w:rPr>
              <w:t xml:space="preserve"> </w:t>
            </w:r>
            <w:r w:rsidRPr="00EC20A0">
              <w:t>significant</w:t>
            </w:r>
            <w:r w:rsidRPr="00EC20A0">
              <w:rPr>
                <w:spacing w:val="-4"/>
              </w:rPr>
              <w:t xml:space="preserve"> </w:t>
            </w:r>
            <w:r w:rsidRPr="00EC20A0">
              <w:t>auditing,</w:t>
            </w:r>
            <w:r w:rsidRPr="00EC20A0">
              <w:rPr>
                <w:spacing w:val="-4"/>
              </w:rPr>
              <w:t xml:space="preserve"> </w:t>
            </w:r>
            <w:r w:rsidRPr="00EC20A0">
              <w:t>accounting,</w:t>
            </w:r>
            <w:r w:rsidRPr="00EC20A0">
              <w:rPr>
                <w:spacing w:val="-4"/>
              </w:rPr>
              <w:t xml:space="preserve"> </w:t>
            </w:r>
            <w:r w:rsidRPr="00EC20A0">
              <w:t>and</w:t>
            </w:r>
            <w:r w:rsidRPr="00EC20A0">
              <w:rPr>
                <w:spacing w:val="-5"/>
              </w:rPr>
              <w:t xml:space="preserve"> </w:t>
            </w:r>
            <w:r w:rsidRPr="00EC20A0">
              <w:t>reporting</w:t>
            </w:r>
            <w:r w:rsidRPr="00EC20A0">
              <w:rPr>
                <w:spacing w:val="-4"/>
              </w:rPr>
              <w:t xml:space="preserve"> </w:t>
            </w:r>
            <w:r w:rsidRPr="00EC20A0">
              <w:t>findings</w:t>
            </w:r>
            <w:r w:rsidRPr="00EC20A0">
              <w:rPr>
                <w:spacing w:val="-4"/>
              </w:rPr>
              <w:t xml:space="preserve"> </w:t>
            </w:r>
            <w:r w:rsidRPr="00EC20A0">
              <w:t>or</w:t>
            </w:r>
            <w:r w:rsidRPr="00EC20A0">
              <w:rPr>
                <w:spacing w:val="-4"/>
              </w:rPr>
              <w:t xml:space="preserve"> </w:t>
            </w:r>
            <w:r w:rsidRPr="00EC20A0">
              <w:t>issues</w:t>
            </w:r>
            <w:r w:rsidRPr="00EC20A0">
              <w:rPr>
                <w:spacing w:val="-3"/>
              </w:rPr>
              <w:t xml:space="preserve"> </w:t>
            </w:r>
            <w:r w:rsidRPr="00EC20A0">
              <w:t>with</w:t>
            </w:r>
            <w:r w:rsidRPr="00EC20A0">
              <w:rPr>
                <w:spacing w:val="-4"/>
              </w:rPr>
              <w:t xml:space="preserve"> </w:t>
            </w:r>
            <w:r w:rsidRPr="00EC20A0">
              <w:t>the audit director (first/engagement partner).</w:t>
            </w:r>
          </w:p>
          <w:p w14:paraId="24D629B9" w14:textId="77777777" w:rsidR="00245300" w:rsidRPr="00EC20A0" w:rsidRDefault="00F17249">
            <w:pPr>
              <w:pStyle w:val="TableParagraph"/>
              <w:numPr>
                <w:ilvl w:val="0"/>
                <w:numId w:val="30"/>
              </w:numPr>
              <w:tabs>
                <w:tab w:val="left" w:pos="778"/>
                <w:tab w:val="left" w:pos="780"/>
              </w:tabs>
              <w:spacing w:before="241"/>
              <w:ind w:right="285" w:hanging="361"/>
            </w:pPr>
            <w:r w:rsidRPr="00EC20A0">
              <w:t>Reading</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report,</w:t>
            </w:r>
            <w:r w:rsidRPr="00EC20A0">
              <w:rPr>
                <w:spacing w:val="-4"/>
              </w:rPr>
              <w:t xml:space="preserve"> </w:t>
            </w:r>
            <w:r w:rsidRPr="00EC20A0">
              <w:t>including</w:t>
            </w:r>
            <w:r w:rsidRPr="00EC20A0">
              <w:rPr>
                <w:spacing w:val="-4"/>
              </w:rPr>
              <w:t xml:space="preserve"> </w:t>
            </w:r>
            <w:r w:rsidRPr="00EC20A0">
              <w:t>the</w:t>
            </w:r>
            <w:r w:rsidRPr="00EC20A0">
              <w:rPr>
                <w:spacing w:val="-4"/>
              </w:rPr>
              <w:t xml:space="preserve"> </w:t>
            </w:r>
            <w:r w:rsidRPr="00EC20A0">
              <w:t>financial</w:t>
            </w:r>
            <w:r w:rsidRPr="00EC20A0">
              <w:rPr>
                <w:spacing w:val="-4"/>
              </w:rPr>
              <w:t xml:space="preserve"> </w:t>
            </w:r>
            <w:r w:rsidRPr="00EC20A0">
              <w:t>statements,</w:t>
            </w:r>
            <w:r w:rsidRPr="00EC20A0">
              <w:rPr>
                <w:spacing w:val="-4"/>
              </w:rPr>
              <w:t xml:space="preserve"> </w:t>
            </w:r>
            <w:r w:rsidRPr="00EC20A0">
              <w:t>notes,</w:t>
            </w:r>
            <w:r w:rsidRPr="00EC20A0">
              <w:rPr>
                <w:spacing w:val="-5"/>
              </w:rPr>
              <w:t xml:space="preserve"> </w:t>
            </w:r>
            <w:r w:rsidRPr="00EC20A0">
              <w:t>RSI,</w:t>
            </w:r>
            <w:r w:rsidRPr="00EC20A0">
              <w:rPr>
                <w:spacing w:val="-4"/>
              </w:rPr>
              <w:t xml:space="preserve"> </w:t>
            </w:r>
            <w:r w:rsidRPr="00EC20A0">
              <w:t>and</w:t>
            </w:r>
            <w:r w:rsidRPr="00EC20A0">
              <w:rPr>
                <w:spacing w:val="-4"/>
              </w:rPr>
              <w:t xml:space="preserve"> </w:t>
            </w:r>
            <w:r w:rsidRPr="00EC20A0">
              <w:t xml:space="preserve">other </w:t>
            </w:r>
            <w:r w:rsidRPr="00EC20A0">
              <w:t>information and the proposed audit report.</w:t>
            </w:r>
          </w:p>
          <w:p w14:paraId="24D629BA" w14:textId="77777777" w:rsidR="00245300" w:rsidRPr="00EC20A0" w:rsidRDefault="00F17249">
            <w:pPr>
              <w:pStyle w:val="TableParagraph"/>
              <w:numPr>
                <w:ilvl w:val="0"/>
                <w:numId w:val="30"/>
              </w:numPr>
              <w:tabs>
                <w:tab w:val="left" w:pos="779"/>
              </w:tabs>
              <w:spacing w:before="240"/>
              <w:ind w:left="779" w:right="356"/>
            </w:pPr>
            <w:r w:rsidRPr="00EC20A0">
              <w:t>Reviewing selected documentation relating to the significant judgments and key decisions</w:t>
            </w:r>
            <w:r w:rsidRPr="00EC20A0">
              <w:rPr>
                <w:spacing w:val="-3"/>
              </w:rPr>
              <w:t xml:space="preserve"> </w:t>
            </w:r>
            <w:r w:rsidRPr="00EC20A0">
              <w:t>of</w:t>
            </w:r>
            <w:r w:rsidRPr="00EC20A0">
              <w:rPr>
                <w:spacing w:val="-4"/>
              </w:rPr>
              <w:t xml:space="preserve"> </w:t>
            </w:r>
            <w:r w:rsidRPr="00EC20A0">
              <w:t>the</w:t>
            </w:r>
            <w:r w:rsidRPr="00EC20A0">
              <w:rPr>
                <w:spacing w:val="-3"/>
              </w:rPr>
              <w:t xml:space="preserve"> </w:t>
            </w:r>
            <w:r w:rsidRPr="00EC20A0">
              <w:t>engagement</w:t>
            </w:r>
            <w:r w:rsidRPr="00EC20A0">
              <w:rPr>
                <w:spacing w:val="-3"/>
              </w:rPr>
              <w:t xml:space="preserve"> </w:t>
            </w:r>
            <w:r w:rsidRPr="00EC20A0">
              <w:t>team</w:t>
            </w:r>
            <w:r w:rsidRPr="00EC20A0">
              <w:rPr>
                <w:spacing w:val="-4"/>
              </w:rPr>
              <w:t xml:space="preserve"> </w:t>
            </w:r>
            <w:r w:rsidRPr="00EC20A0">
              <w:t>and</w:t>
            </w:r>
            <w:r w:rsidRPr="00EC20A0">
              <w:rPr>
                <w:spacing w:val="-3"/>
              </w:rPr>
              <w:t xml:space="preserve"> </w:t>
            </w:r>
            <w:r w:rsidRPr="00EC20A0">
              <w:t>the</w:t>
            </w:r>
            <w:r w:rsidRPr="00EC20A0">
              <w:rPr>
                <w:spacing w:val="-3"/>
              </w:rPr>
              <w:t xml:space="preserve"> </w:t>
            </w:r>
            <w:r w:rsidRPr="00EC20A0">
              <w:t>related</w:t>
            </w:r>
            <w:r w:rsidRPr="00EC20A0">
              <w:rPr>
                <w:spacing w:val="-3"/>
              </w:rPr>
              <w:t xml:space="preserve"> </w:t>
            </w:r>
            <w:r w:rsidRPr="00EC20A0">
              <w:t>conclusions</w:t>
            </w:r>
            <w:r w:rsidRPr="00EC20A0">
              <w:rPr>
                <w:spacing w:val="-3"/>
              </w:rPr>
              <w:t xml:space="preserve"> </w:t>
            </w:r>
            <w:r w:rsidRPr="00EC20A0">
              <w:t>it</w:t>
            </w:r>
            <w:r w:rsidRPr="00EC20A0">
              <w:rPr>
                <w:spacing w:val="-3"/>
              </w:rPr>
              <w:t xml:space="preserve"> </w:t>
            </w:r>
            <w:r w:rsidRPr="00EC20A0">
              <w:t>reached,</w:t>
            </w:r>
            <w:r w:rsidRPr="00EC20A0">
              <w:rPr>
                <w:spacing w:val="-4"/>
              </w:rPr>
              <w:t xml:space="preserve"> </w:t>
            </w:r>
            <w:r w:rsidRPr="00EC20A0">
              <w:t>including, as appropriate, reviewing selected documentation consisting of</w:t>
            </w:r>
          </w:p>
          <w:p w14:paraId="24D629BB" w14:textId="77777777" w:rsidR="00245300" w:rsidRPr="00EC20A0" w:rsidRDefault="00F17249">
            <w:pPr>
              <w:pStyle w:val="TableParagraph"/>
              <w:numPr>
                <w:ilvl w:val="1"/>
                <w:numId w:val="30"/>
              </w:numPr>
              <w:tabs>
                <w:tab w:val="left" w:pos="1139"/>
              </w:tabs>
              <w:spacing w:before="240"/>
              <w:ind w:right="290"/>
            </w:pPr>
            <w:r w:rsidRPr="00EC20A0">
              <w:t>the audit summary memorandum, which contains the conclusions reached in formulating</w:t>
            </w:r>
            <w:r w:rsidRPr="00EC20A0">
              <w:rPr>
                <w:spacing w:val="-4"/>
              </w:rPr>
              <w:t xml:space="preserve"> </w:t>
            </w:r>
            <w:r w:rsidRPr="00EC20A0">
              <w:t>the</w:t>
            </w:r>
            <w:r w:rsidRPr="00EC20A0">
              <w:rPr>
                <w:spacing w:val="-4"/>
              </w:rPr>
              <w:t xml:space="preserve"> </w:t>
            </w:r>
            <w:r w:rsidRPr="00EC20A0">
              <w:t>auditor’s</w:t>
            </w:r>
            <w:r w:rsidRPr="00EC20A0">
              <w:rPr>
                <w:spacing w:val="-5"/>
              </w:rPr>
              <w:t xml:space="preserve"> </w:t>
            </w:r>
            <w:r w:rsidRPr="00EC20A0">
              <w:t>report</w:t>
            </w:r>
            <w:r w:rsidRPr="00EC20A0">
              <w:rPr>
                <w:spacing w:val="-4"/>
              </w:rPr>
              <w:t xml:space="preserve"> </w:t>
            </w:r>
            <w:r w:rsidRPr="00EC20A0">
              <w:t>and</w:t>
            </w:r>
            <w:r w:rsidRPr="00EC20A0">
              <w:rPr>
                <w:spacing w:val="-4"/>
              </w:rPr>
              <w:t xml:space="preserve"> </w:t>
            </w:r>
            <w:r w:rsidRPr="00EC20A0">
              <w:t>other</w:t>
            </w:r>
            <w:r w:rsidRPr="00EC20A0">
              <w:rPr>
                <w:spacing w:val="-4"/>
              </w:rPr>
              <w:t xml:space="preserve"> </w:t>
            </w:r>
            <w:r w:rsidRPr="00EC20A0">
              <w:t>selected</w:t>
            </w:r>
            <w:r w:rsidRPr="00EC20A0">
              <w:rPr>
                <w:spacing w:val="-4"/>
              </w:rPr>
              <w:t xml:space="preserve"> </w:t>
            </w:r>
            <w:r w:rsidRPr="00EC20A0">
              <w:t>documentation</w:t>
            </w:r>
            <w:r w:rsidRPr="00EC20A0">
              <w:rPr>
                <w:spacing w:val="-4"/>
              </w:rPr>
              <w:t xml:space="preserve"> </w:t>
            </w:r>
            <w:r w:rsidRPr="00EC20A0">
              <w:t>as</w:t>
            </w:r>
            <w:r w:rsidRPr="00EC20A0">
              <w:rPr>
                <w:spacing w:val="-4"/>
              </w:rPr>
              <w:t xml:space="preserve"> </w:t>
            </w:r>
            <w:r w:rsidRPr="00EC20A0">
              <w:t>appropriate;</w:t>
            </w:r>
          </w:p>
          <w:p w14:paraId="24D629BC" w14:textId="77777777" w:rsidR="00245300" w:rsidRPr="00EC20A0" w:rsidRDefault="00F17249">
            <w:pPr>
              <w:pStyle w:val="TableParagraph"/>
              <w:numPr>
                <w:ilvl w:val="1"/>
                <w:numId w:val="30"/>
              </w:numPr>
              <w:tabs>
                <w:tab w:val="left" w:pos="1138"/>
              </w:tabs>
              <w:spacing w:before="240"/>
              <w:ind w:left="1138" w:hanging="359"/>
            </w:pPr>
            <w:r w:rsidRPr="00EC20A0">
              <w:t>the</w:t>
            </w:r>
            <w:r w:rsidRPr="00EC20A0">
              <w:rPr>
                <w:spacing w:val="-10"/>
              </w:rPr>
              <w:t xml:space="preserve"> </w:t>
            </w:r>
            <w:r w:rsidRPr="00EC20A0">
              <w:t>summary</w:t>
            </w:r>
            <w:r w:rsidRPr="00EC20A0">
              <w:rPr>
                <w:spacing w:val="-9"/>
              </w:rPr>
              <w:t xml:space="preserve"> </w:t>
            </w:r>
            <w:r w:rsidRPr="00EC20A0">
              <w:t>of</w:t>
            </w:r>
            <w:r w:rsidRPr="00EC20A0">
              <w:rPr>
                <w:spacing w:val="-10"/>
              </w:rPr>
              <w:t xml:space="preserve"> </w:t>
            </w:r>
            <w:r w:rsidRPr="00EC20A0">
              <w:t>uncorrected</w:t>
            </w:r>
            <w:r w:rsidRPr="00EC20A0">
              <w:rPr>
                <w:spacing w:val="-9"/>
              </w:rPr>
              <w:t xml:space="preserve"> </w:t>
            </w:r>
            <w:r w:rsidRPr="00EC20A0">
              <w:t>misstatements;</w:t>
            </w:r>
            <w:r w:rsidRPr="00EC20A0">
              <w:rPr>
                <w:spacing w:val="-10"/>
              </w:rPr>
              <w:t xml:space="preserve"> </w:t>
            </w:r>
            <w:r w:rsidRPr="00EC20A0">
              <w:rPr>
                <w:spacing w:val="-5"/>
              </w:rPr>
              <w:t>and</w:t>
            </w:r>
          </w:p>
          <w:p w14:paraId="24D629BD" w14:textId="77777777" w:rsidR="00245300" w:rsidRPr="00EC20A0" w:rsidRDefault="00F17249">
            <w:pPr>
              <w:pStyle w:val="TableParagraph"/>
              <w:numPr>
                <w:ilvl w:val="1"/>
                <w:numId w:val="30"/>
              </w:numPr>
              <w:tabs>
                <w:tab w:val="left" w:pos="1139"/>
              </w:tabs>
              <w:spacing w:before="239"/>
              <w:ind w:right="414"/>
            </w:pPr>
            <w:r w:rsidRPr="00EC20A0">
              <w:t>consultations</w:t>
            </w:r>
            <w:r w:rsidRPr="00EC20A0">
              <w:rPr>
                <w:spacing w:val="-6"/>
              </w:rPr>
              <w:t xml:space="preserve"> </w:t>
            </w:r>
            <w:r w:rsidRPr="00EC20A0">
              <w:t>with</w:t>
            </w:r>
            <w:r w:rsidRPr="00EC20A0">
              <w:rPr>
                <w:spacing w:val="-6"/>
              </w:rPr>
              <w:t xml:space="preserve"> </w:t>
            </w:r>
            <w:r w:rsidRPr="00EC20A0">
              <w:t>audit</w:t>
            </w:r>
            <w:r w:rsidRPr="00EC20A0">
              <w:rPr>
                <w:spacing w:val="-7"/>
              </w:rPr>
              <w:t xml:space="preserve"> </w:t>
            </w:r>
            <w:r w:rsidRPr="00EC20A0">
              <w:t>sampling</w:t>
            </w:r>
            <w:r w:rsidRPr="00EC20A0">
              <w:rPr>
                <w:spacing w:val="-6"/>
              </w:rPr>
              <w:t xml:space="preserve"> </w:t>
            </w:r>
            <w:r w:rsidRPr="00EC20A0">
              <w:t>specialists,</w:t>
            </w:r>
            <w:r w:rsidRPr="00EC20A0">
              <w:rPr>
                <w:spacing w:val="-6"/>
              </w:rPr>
              <w:t xml:space="preserve"> </w:t>
            </w:r>
            <w:r w:rsidRPr="00EC20A0">
              <w:t>information</w:t>
            </w:r>
            <w:r w:rsidRPr="00EC20A0">
              <w:rPr>
                <w:spacing w:val="-6"/>
              </w:rPr>
              <w:t xml:space="preserve"> </w:t>
            </w:r>
            <w:r w:rsidRPr="00EC20A0">
              <w:t>technology</w:t>
            </w:r>
            <w:r w:rsidRPr="00EC20A0">
              <w:rPr>
                <w:spacing w:val="-5"/>
              </w:rPr>
              <w:t xml:space="preserve"> </w:t>
            </w:r>
            <w:r w:rsidRPr="00EC20A0">
              <w:t>specialists, and others.</w:t>
            </w:r>
          </w:p>
          <w:p w14:paraId="24D629BE" w14:textId="77777777" w:rsidR="00245300" w:rsidRPr="00EC20A0" w:rsidRDefault="00F17249">
            <w:pPr>
              <w:pStyle w:val="TableParagraph"/>
              <w:numPr>
                <w:ilvl w:val="0"/>
                <w:numId w:val="30"/>
              </w:numPr>
              <w:tabs>
                <w:tab w:val="left" w:pos="777"/>
                <w:tab w:val="left" w:pos="779"/>
              </w:tabs>
              <w:spacing w:before="240"/>
              <w:ind w:left="779" w:right="1042" w:hanging="361"/>
            </w:pPr>
            <w:r w:rsidRPr="00EC20A0">
              <w:t>Confirming</w:t>
            </w:r>
            <w:r w:rsidRPr="00EC20A0">
              <w:rPr>
                <w:spacing w:val="-4"/>
              </w:rPr>
              <w:t xml:space="preserve"> </w:t>
            </w:r>
            <w:r w:rsidRPr="00EC20A0">
              <w:t>with</w:t>
            </w:r>
            <w:r w:rsidRPr="00EC20A0">
              <w:rPr>
                <w:spacing w:val="-4"/>
              </w:rPr>
              <w:t xml:space="preserve"> </w:t>
            </w:r>
            <w:r w:rsidRPr="00EC20A0">
              <w:t>the</w:t>
            </w:r>
            <w:r w:rsidRPr="00EC20A0">
              <w:rPr>
                <w:spacing w:val="-4"/>
              </w:rPr>
              <w:t xml:space="preserve"> </w:t>
            </w:r>
            <w:r w:rsidRPr="00EC20A0">
              <w:t>audit</w:t>
            </w:r>
            <w:r w:rsidRPr="00EC20A0">
              <w:rPr>
                <w:spacing w:val="-4"/>
              </w:rPr>
              <w:t xml:space="preserve"> </w:t>
            </w:r>
            <w:r w:rsidRPr="00EC20A0">
              <w:t>director</w:t>
            </w:r>
            <w:r w:rsidRPr="00EC20A0">
              <w:rPr>
                <w:spacing w:val="-4"/>
              </w:rPr>
              <w:t xml:space="preserve"> </w:t>
            </w:r>
            <w:r w:rsidRPr="00EC20A0">
              <w:t>(first/engagement</w:t>
            </w:r>
            <w:r w:rsidRPr="00EC20A0">
              <w:rPr>
                <w:spacing w:val="-4"/>
              </w:rPr>
              <w:t xml:space="preserve"> </w:t>
            </w:r>
            <w:r w:rsidRPr="00EC20A0">
              <w:t>partner)</w:t>
            </w:r>
            <w:r w:rsidRPr="00EC20A0">
              <w:rPr>
                <w:spacing w:val="-4"/>
              </w:rPr>
              <w:t xml:space="preserve"> </w:t>
            </w:r>
            <w:r w:rsidRPr="00EC20A0">
              <w:t>that</w:t>
            </w:r>
            <w:r w:rsidRPr="00EC20A0">
              <w:rPr>
                <w:spacing w:val="-4"/>
              </w:rPr>
              <w:t xml:space="preserve"> </w:t>
            </w:r>
            <w:r w:rsidRPr="00EC20A0">
              <w:t>there</w:t>
            </w:r>
            <w:r w:rsidRPr="00EC20A0">
              <w:rPr>
                <w:spacing w:val="-4"/>
              </w:rPr>
              <w:t xml:space="preserve"> </w:t>
            </w:r>
            <w:r w:rsidRPr="00EC20A0">
              <w:t>are</w:t>
            </w:r>
            <w:r w:rsidRPr="00EC20A0">
              <w:rPr>
                <w:spacing w:val="-4"/>
              </w:rPr>
              <w:t xml:space="preserve"> </w:t>
            </w:r>
            <w:r w:rsidRPr="00EC20A0">
              <w:t>no unresolved issues.</w:t>
            </w:r>
          </w:p>
          <w:p w14:paraId="24D629BF" w14:textId="77777777" w:rsidR="00245300" w:rsidRPr="00EC20A0" w:rsidRDefault="00F17249">
            <w:pPr>
              <w:pStyle w:val="TableParagraph"/>
              <w:spacing w:before="241"/>
              <w:ind w:left="119" w:right="160" w:hanging="1"/>
            </w:pPr>
            <w:r w:rsidRPr="00EC20A0">
              <w:rPr>
                <w:b/>
              </w:rPr>
              <w:t>Conclusion:</w:t>
            </w:r>
            <w:r w:rsidRPr="00EC20A0">
              <w:rPr>
                <w:b/>
                <w:spacing w:val="-1"/>
              </w:rPr>
              <w:t xml:space="preserve"> </w:t>
            </w:r>
            <w:r w:rsidRPr="00EC20A0">
              <w:t>Based</w:t>
            </w:r>
            <w:r w:rsidRPr="00EC20A0">
              <w:rPr>
                <w:spacing w:val="-1"/>
              </w:rPr>
              <w:t xml:space="preserve"> </w:t>
            </w:r>
            <w:r w:rsidRPr="00EC20A0">
              <w:t>on</w:t>
            </w:r>
            <w:r w:rsidRPr="00EC20A0">
              <w:rPr>
                <w:spacing w:val="-1"/>
              </w:rPr>
              <w:t xml:space="preserve"> </w:t>
            </w:r>
            <w:r w:rsidRPr="00EC20A0">
              <w:t>all</w:t>
            </w:r>
            <w:r w:rsidRPr="00EC20A0">
              <w:rPr>
                <w:spacing w:val="-1"/>
              </w:rPr>
              <w:t xml:space="preserve"> </w:t>
            </w:r>
            <w:r w:rsidRPr="00EC20A0">
              <w:t>the</w:t>
            </w:r>
            <w:r w:rsidRPr="00EC20A0">
              <w:rPr>
                <w:spacing w:val="-1"/>
              </w:rPr>
              <w:t xml:space="preserve"> </w:t>
            </w:r>
            <w:r w:rsidRPr="00EC20A0">
              <w:t>relevant</w:t>
            </w:r>
            <w:r w:rsidRPr="00EC20A0">
              <w:rPr>
                <w:spacing w:val="-1"/>
              </w:rPr>
              <w:t xml:space="preserve"> </w:t>
            </w:r>
            <w:r w:rsidRPr="00EC20A0">
              <w:t>facts</w:t>
            </w:r>
            <w:r w:rsidRPr="00EC20A0">
              <w:rPr>
                <w:spacing w:val="-1"/>
              </w:rPr>
              <w:t xml:space="preserve"> </w:t>
            </w:r>
            <w:r w:rsidRPr="00EC20A0">
              <w:t>of</w:t>
            </w:r>
            <w:r w:rsidRPr="00EC20A0">
              <w:rPr>
                <w:spacing w:val="-2"/>
              </w:rPr>
              <w:t xml:space="preserve"> </w:t>
            </w:r>
            <w:r w:rsidRPr="00EC20A0">
              <w:t>which</w:t>
            </w:r>
            <w:r w:rsidRPr="00EC20A0">
              <w:rPr>
                <w:spacing w:val="-1"/>
              </w:rPr>
              <w:t xml:space="preserve"> </w:t>
            </w:r>
            <w:r w:rsidRPr="00EC20A0">
              <w:t>I</w:t>
            </w:r>
            <w:r w:rsidRPr="00EC20A0">
              <w:rPr>
                <w:spacing w:val="-1"/>
              </w:rPr>
              <w:t xml:space="preserve"> </w:t>
            </w:r>
            <w:r w:rsidRPr="00EC20A0">
              <w:t>have</w:t>
            </w:r>
            <w:r w:rsidRPr="00EC20A0">
              <w:rPr>
                <w:spacing w:val="-2"/>
              </w:rPr>
              <w:t xml:space="preserve"> </w:t>
            </w:r>
            <w:r w:rsidRPr="00EC20A0">
              <w:t>knowledge,</w:t>
            </w:r>
            <w:r w:rsidRPr="00EC20A0">
              <w:rPr>
                <w:spacing w:val="-2"/>
              </w:rPr>
              <w:t xml:space="preserve"> </w:t>
            </w:r>
            <w:r w:rsidRPr="00EC20A0">
              <w:t>I</w:t>
            </w:r>
            <w:r w:rsidRPr="00EC20A0">
              <w:rPr>
                <w:spacing w:val="-1"/>
              </w:rPr>
              <w:t xml:space="preserve"> </w:t>
            </w:r>
            <w:r w:rsidRPr="00EC20A0">
              <w:t>found</w:t>
            </w:r>
            <w:r w:rsidRPr="00EC20A0">
              <w:rPr>
                <w:spacing w:val="-1"/>
              </w:rPr>
              <w:t xml:space="preserve"> </w:t>
            </w:r>
            <w:r w:rsidRPr="00EC20A0">
              <w:t>no</w:t>
            </w:r>
            <w:r w:rsidRPr="00EC20A0">
              <w:rPr>
                <w:spacing w:val="-2"/>
              </w:rPr>
              <w:t xml:space="preserve"> </w:t>
            </w:r>
            <w:r w:rsidRPr="00EC20A0">
              <w:t>matters, other</w:t>
            </w:r>
            <w:r w:rsidRPr="00EC20A0">
              <w:rPr>
                <w:spacing w:val="-6"/>
              </w:rPr>
              <w:t xml:space="preserve"> </w:t>
            </w:r>
            <w:r w:rsidRPr="00EC20A0">
              <w:t>than</w:t>
            </w:r>
            <w:r w:rsidRPr="00EC20A0">
              <w:rPr>
                <w:spacing w:val="-5"/>
              </w:rPr>
              <w:t xml:space="preserve"> </w:t>
            </w:r>
            <w:r w:rsidRPr="00EC20A0">
              <w:t>those</w:t>
            </w:r>
            <w:r w:rsidRPr="00EC20A0">
              <w:rPr>
                <w:spacing w:val="-6"/>
              </w:rPr>
              <w:t xml:space="preserve"> </w:t>
            </w:r>
            <w:r w:rsidRPr="00EC20A0">
              <w:t>that</w:t>
            </w:r>
            <w:r w:rsidRPr="00EC20A0">
              <w:rPr>
                <w:spacing w:val="-5"/>
              </w:rPr>
              <w:t xml:space="preserve"> </w:t>
            </w:r>
            <w:r w:rsidRPr="00EC20A0">
              <w:t>may</w:t>
            </w:r>
            <w:r w:rsidRPr="00EC20A0">
              <w:rPr>
                <w:spacing w:val="-6"/>
              </w:rPr>
              <w:t xml:space="preserve"> </w:t>
            </w:r>
            <w:r w:rsidRPr="00EC20A0">
              <w:t>be</w:t>
            </w:r>
            <w:r w:rsidRPr="00EC20A0">
              <w:rPr>
                <w:spacing w:val="-5"/>
              </w:rPr>
              <w:t xml:space="preserve"> </w:t>
            </w:r>
            <w:r w:rsidRPr="00EC20A0">
              <w:t>discussed</w:t>
            </w:r>
            <w:r w:rsidRPr="00EC20A0">
              <w:rPr>
                <w:spacing w:val="-5"/>
              </w:rPr>
              <w:t xml:space="preserve"> </w:t>
            </w:r>
            <w:r w:rsidRPr="00EC20A0">
              <w:t>in</w:t>
            </w:r>
            <w:r w:rsidRPr="00EC20A0">
              <w:rPr>
                <w:spacing w:val="-6"/>
              </w:rPr>
              <w:t xml:space="preserve"> </w:t>
            </w:r>
            <w:r w:rsidRPr="00EC20A0">
              <w:t>the</w:t>
            </w:r>
            <w:r w:rsidRPr="00EC20A0">
              <w:rPr>
                <w:spacing w:val="-5"/>
              </w:rPr>
              <w:t xml:space="preserve"> </w:t>
            </w:r>
            <w:r w:rsidRPr="00EC20A0">
              <w:t>auditor’s</w:t>
            </w:r>
            <w:r w:rsidRPr="00EC20A0">
              <w:rPr>
                <w:spacing w:val="-6"/>
              </w:rPr>
              <w:t xml:space="preserve"> </w:t>
            </w:r>
            <w:r w:rsidRPr="00EC20A0">
              <w:t>report,</w:t>
            </w:r>
            <w:r w:rsidRPr="00EC20A0">
              <w:rPr>
                <w:spacing w:val="-5"/>
              </w:rPr>
              <w:t xml:space="preserve"> </w:t>
            </w:r>
            <w:r w:rsidRPr="00EC20A0">
              <w:t>that</w:t>
            </w:r>
            <w:r w:rsidRPr="00EC20A0">
              <w:rPr>
                <w:spacing w:val="-5"/>
              </w:rPr>
              <w:t xml:space="preserve"> </w:t>
            </w:r>
            <w:r w:rsidRPr="00EC20A0">
              <w:t>cause</w:t>
            </w:r>
            <w:r w:rsidRPr="00EC20A0">
              <w:rPr>
                <w:spacing w:val="-6"/>
              </w:rPr>
              <w:t xml:space="preserve"> </w:t>
            </w:r>
            <w:r w:rsidRPr="00EC20A0">
              <w:t>me</w:t>
            </w:r>
            <w:r w:rsidRPr="00EC20A0">
              <w:rPr>
                <w:spacing w:val="-5"/>
              </w:rPr>
              <w:t xml:space="preserve"> </w:t>
            </w:r>
            <w:r w:rsidRPr="00EC20A0">
              <w:t>to</w:t>
            </w:r>
            <w:r w:rsidRPr="00EC20A0">
              <w:rPr>
                <w:spacing w:val="-6"/>
              </w:rPr>
              <w:t xml:space="preserve"> </w:t>
            </w:r>
            <w:r w:rsidRPr="00EC20A0">
              <w:t>believe</w:t>
            </w:r>
            <w:r w:rsidRPr="00EC20A0">
              <w:rPr>
                <w:spacing w:val="-5"/>
              </w:rPr>
              <w:t xml:space="preserve"> </w:t>
            </w:r>
            <w:r w:rsidRPr="00EC20A0">
              <w:rPr>
                <w:spacing w:val="-4"/>
              </w:rPr>
              <w:t>that</w:t>
            </w:r>
          </w:p>
          <w:p w14:paraId="24D629C0" w14:textId="77777777" w:rsidR="00245300" w:rsidRPr="00EC20A0" w:rsidRDefault="00F17249">
            <w:pPr>
              <w:pStyle w:val="TableParagraph"/>
              <w:ind w:left="119" w:right="160"/>
            </w:pPr>
            <w:r w:rsidRPr="00EC20A0">
              <w:t xml:space="preserve">(1) the audit was not performed in accordance with GAGAS; (2) the financial statements are not, in all material respects, in conformity with U.S. GAAP; and (3) the </w:t>
            </w:r>
            <w:r w:rsidRPr="00EC20A0">
              <w:t>report is not in accordance</w:t>
            </w:r>
            <w:r w:rsidRPr="00EC20A0">
              <w:rPr>
                <w:spacing w:val="-4"/>
              </w:rPr>
              <w:t xml:space="preserve"> </w:t>
            </w:r>
            <w:r w:rsidRPr="00EC20A0">
              <w:t>with</w:t>
            </w:r>
            <w:r w:rsidRPr="00EC20A0">
              <w:rPr>
                <w:spacing w:val="-3"/>
              </w:rPr>
              <w:t xml:space="preserve"> </w:t>
            </w:r>
            <w:r w:rsidRPr="00EC20A0">
              <w:t>professional</w:t>
            </w:r>
            <w:r w:rsidRPr="00EC20A0">
              <w:rPr>
                <w:spacing w:val="-3"/>
              </w:rPr>
              <w:t xml:space="preserve"> </w:t>
            </w:r>
            <w:r w:rsidRPr="00EC20A0">
              <w:t>standards</w:t>
            </w:r>
            <w:r w:rsidRPr="00EC20A0">
              <w:rPr>
                <w:spacing w:val="-2"/>
              </w:rPr>
              <w:t xml:space="preserve"> </w:t>
            </w:r>
            <w:r w:rsidRPr="00EC20A0">
              <w:t>and</w:t>
            </w:r>
            <w:r w:rsidRPr="00EC20A0">
              <w:rPr>
                <w:spacing w:val="-3"/>
              </w:rPr>
              <w:t xml:space="preserve"> </w:t>
            </w:r>
            <w:r w:rsidRPr="00EC20A0">
              <w:t>the</w:t>
            </w:r>
            <w:r w:rsidRPr="00EC20A0">
              <w:rPr>
                <w:spacing w:val="-3"/>
              </w:rPr>
              <w:t xml:space="preserve"> </w:t>
            </w:r>
            <w:r w:rsidRPr="00EC20A0">
              <w:t>auditor’s</w:t>
            </w:r>
            <w:r w:rsidRPr="00EC20A0">
              <w:rPr>
                <w:spacing w:val="-3"/>
              </w:rPr>
              <w:t xml:space="preserve"> </w:t>
            </w:r>
            <w:r w:rsidRPr="00EC20A0">
              <w:t>policies.</w:t>
            </w:r>
            <w:r w:rsidRPr="00EC20A0">
              <w:rPr>
                <w:spacing w:val="-3"/>
              </w:rPr>
              <w:t xml:space="preserve"> </w:t>
            </w:r>
            <w:r w:rsidRPr="00EC20A0">
              <w:t>Also,</w:t>
            </w:r>
            <w:r w:rsidRPr="00EC20A0">
              <w:rPr>
                <w:spacing w:val="-3"/>
              </w:rPr>
              <w:t xml:space="preserve"> </w:t>
            </w:r>
            <w:r w:rsidRPr="00EC20A0">
              <w:t>I</w:t>
            </w:r>
            <w:r w:rsidRPr="00EC20A0">
              <w:rPr>
                <w:spacing w:val="-3"/>
              </w:rPr>
              <w:t xml:space="preserve"> </w:t>
            </w:r>
            <w:r w:rsidRPr="00EC20A0">
              <w:t>am</w:t>
            </w:r>
            <w:r w:rsidRPr="00EC20A0">
              <w:rPr>
                <w:spacing w:val="-4"/>
              </w:rPr>
              <w:t xml:space="preserve"> </w:t>
            </w:r>
            <w:r w:rsidRPr="00EC20A0">
              <w:t>unaware</w:t>
            </w:r>
            <w:r w:rsidRPr="00EC20A0">
              <w:rPr>
                <w:spacing w:val="-2"/>
              </w:rPr>
              <w:t xml:space="preserve"> </w:t>
            </w:r>
            <w:r w:rsidRPr="00EC20A0">
              <w:t>of</w:t>
            </w:r>
            <w:r w:rsidRPr="00EC20A0">
              <w:rPr>
                <w:spacing w:val="-3"/>
              </w:rPr>
              <w:t xml:space="preserve"> </w:t>
            </w:r>
            <w:r w:rsidRPr="00EC20A0">
              <w:t>any unresolved matters that cause me to believe that the significant judgments of the engagement team and the conclusions it reached were not appropriate.</w:t>
            </w:r>
          </w:p>
          <w:p w14:paraId="24D629C1" w14:textId="77777777" w:rsidR="00245300" w:rsidRPr="00EC20A0" w:rsidRDefault="00F17249">
            <w:pPr>
              <w:pStyle w:val="TableParagraph"/>
              <w:spacing w:before="239"/>
              <w:ind w:left="120" w:right="160"/>
            </w:pPr>
            <w:r w:rsidRPr="00EC20A0">
              <w:t>In</w:t>
            </w:r>
            <w:r w:rsidRPr="00EC20A0">
              <w:rPr>
                <w:spacing w:val="-3"/>
              </w:rPr>
              <w:t xml:space="preserve"> </w:t>
            </w:r>
            <w:r w:rsidRPr="00EC20A0">
              <w:t>signing</w:t>
            </w:r>
            <w:r w:rsidRPr="00EC20A0">
              <w:rPr>
                <w:spacing w:val="-3"/>
              </w:rPr>
              <w:t xml:space="preserve"> </w:t>
            </w:r>
            <w:r w:rsidRPr="00EC20A0">
              <w:t>this</w:t>
            </w:r>
            <w:r w:rsidRPr="00EC20A0">
              <w:rPr>
                <w:spacing w:val="-3"/>
              </w:rPr>
              <w:t xml:space="preserve"> </w:t>
            </w:r>
            <w:r w:rsidRPr="00EC20A0">
              <w:t>form,</w:t>
            </w:r>
            <w:r w:rsidRPr="00EC20A0">
              <w:rPr>
                <w:spacing w:val="-3"/>
              </w:rPr>
              <w:t xml:space="preserve"> </w:t>
            </w:r>
            <w:r w:rsidRPr="00EC20A0">
              <w:t>I</w:t>
            </w:r>
            <w:r w:rsidRPr="00EC20A0">
              <w:rPr>
                <w:spacing w:val="-3"/>
              </w:rPr>
              <w:t xml:space="preserve"> </w:t>
            </w:r>
            <w:r w:rsidRPr="00EC20A0">
              <w:t>acknowledge</w:t>
            </w:r>
            <w:r w:rsidRPr="00EC20A0">
              <w:rPr>
                <w:spacing w:val="-3"/>
              </w:rPr>
              <w:t xml:space="preserve"> </w:t>
            </w:r>
            <w:r w:rsidRPr="00EC20A0">
              <w:t>that</w:t>
            </w:r>
            <w:r w:rsidRPr="00EC20A0">
              <w:rPr>
                <w:spacing w:val="-3"/>
              </w:rPr>
              <w:t xml:space="preserve"> </w:t>
            </w:r>
            <w:r w:rsidRPr="00EC20A0">
              <w:t>there</w:t>
            </w:r>
            <w:r w:rsidRPr="00EC20A0">
              <w:rPr>
                <w:spacing w:val="-3"/>
              </w:rPr>
              <w:t xml:space="preserve"> </w:t>
            </w:r>
            <w:r w:rsidRPr="00EC20A0">
              <w:t>have</w:t>
            </w:r>
            <w:r w:rsidRPr="00EC20A0">
              <w:rPr>
                <w:spacing w:val="-3"/>
              </w:rPr>
              <w:t xml:space="preserve"> </w:t>
            </w:r>
            <w:r w:rsidRPr="00EC20A0">
              <w:t>been</w:t>
            </w:r>
            <w:r w:rsidRPr="00EC20A0">
              <w:rPr>
                <w:spacing w:val="-3"/>
              </w:rPr>
              <w:t xml:space="preserve"> </w:t>
            </w:r>
            <w:r w:rsidRPr="00EC20A0">
              <w:t>no</w:t>
            </w:r>
            <w:r w:rsidRPr="00EC20A0">
              <w:rPr>
                <w:spacing w:val="-4"/>
              </w:rPr>
              <w:t xml:space="preserve"> </w:t>
            </w:r>
            <w:r w:rsidRPr="00EC20A0">
              <w:t>personal</w:t>
            </w:r>
            <w:r w:rsidRPr="00EC20A0">
              <w:rPr>
                <w:spacing w:val="-3"/>
              </w:rPr>
              <w:t xml:space="preserve"> </w:t>
            </w:r>
            <w:r w:rsidRPr="00EC20A0">
              <w:t>or</w:t>
            </w:r>
            <w:r w:rsidRPr="00EC20A0">
              <w:rPr>
                <w:spacing w:val="-5"/>
              </w:rPr>
              <w:t xml:space="preserve"> </w:t>
            </w:r>
            <w:r w:rsidRPr="00EC20A0">
              <w:t>external</w:t>
            </w:r>
            <w:r w:rsidRPr="00EC20A0">
              <w:rPr>
                <w:spacing w:val="-3"/>
              </w:rPr>
              <w:t xml:space="preserve"> </w:t>
            </w:r>
            <w:r w:rsidRPr="00EC20A0">
              <w:t>impairments to independence regarding my work on this engagement.</w:t>
            </w:r>
          </w:p>
          <w:p w14:paraId="24D629C2" w14:textId="77777777" w:rsidR="00245300" w:rsidRPr="00EC20A0" w:rsidRDefault="00245300">
            <w:pPr>
              <w:pStyle w:val="TableParagraph"/>
              <w:rPr>
                <w:b/>
                <w:sz w:val="20"/>
              </w:rPr>
            </w:pPr>
          </w:p>
          <w:p w14:paraId="24D629C3" w14:textId="77777777" w:rsidR="00245300" w:rsidRPr="00EC20A0" w:rsidRDefault="00245300">
            <w:pPr>
              <w:pStyle w:val="TableParagraph"/>
              <w:spacing w:before="23" w:after="1"/>
              <w:rPr>
                <w:b/>
                <w:sz w:val="20"/>
              </w:rPr>
            </w:pPr>
          </w:p>
          <w:p w14:paraId="24D629C4" w14:textId="77777777" w:rsidR="00245300" w:rsidRPr="00EC20A0" w:rsidRDefault="00F17249">
            <w:pPr>
              <w:pStyle w:val="TableParagraph"/>
              <w:spacing w:line="20" w:lineRule="exact"/>
              <w:ind w:left="120"/>
              <w:rPr>
                <w:sz w:val="2"/>
              </w:rPr>
            </w:pPr>
            <w:r w:rsidRPr="00EC20A0">
              <w:rPr>
                <w:noProof/>
                <w:sz w:val="2"/>
              </w:rPr>
              <mc:AlternateContent>
                <mc:Choice Requires="wpg">
                  <w:drawing>
                    <wp:inline distT="0" distB="0" distL="0" distR="0" wp14:anchorId="24D62CE5" wp14:editId="24D62CE6">
                      <wp:extent cx="5750560" cy="8890"/>
                      <wp:effectExtent l="9525" t="0" r="2539" b="635"/>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8890"/>
                                <a:chOff x="0" y="0"/>
                                <a:chExt cx="5750560" cy="8890"/>
                              </a:xfrm>
                            </wpg:grpSpPr>
                            <wps:wsp>
                              <wps:cNvPr id="987" name="Graphic 987"/>
                              <wps:cNvSpPr/>
                              <wps:spPr>
                                <a:xfrm>
                                  <a:off x="0" y="4392"/>
                                  <a:ext cx="5750560" cy="1270"/>
                                </a:xfrm>
                                <a:custGeom>
                                  <a:avLst/>
                                  <a:gdLst/>
                                  <a:ahLst/>
                                  <a:cxnLst/>
                                  <a:rect l="l" t="t" r="r" b="b"/>
                                  <a:pathLst>
                                    <a:path w="5750560">
                                      <a:moveTo>
                                        <a:pt x="0" y="0"/>
                                      </a:moveTo>
                                      <a:lnTo>
                                        <a:pt x="5750474"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B9B06E" id="Group 986" o:spid="_x0000_s1026" style="width:452.8pt;height:.7pt;mso-position-horizontal-relative:char;mso-position-vertical-relative:line" coordsize="5750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">
                      <v:shape id="Graphic 987" o:spid="_x0000_s1027" style="position:absolute;top:43;width:57505;height:13;visibility:visible;mso-wrap-style:square;v-text-anchor:top" coordsize="575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" path="m,l5750474,e" filled="f" strokeweight=".24403mm">
                        <v:path arrowok="t"/>
                      </v:shape>
                      <w10:anchorlock/>
                    </v:group>
                  </w:pict>
                </mc:Fallback>
              </mc:AlternateContent>
            </w:r>
          </w:p>
          <w:p w14:paraId="24D629C5" w14:textId="77777777" w:rsidR="00245300" w:rsidRPr="00EC20A0" w:rsidRDefault="00F17249">
            <w:pPr>
              <w:pStyle w:val="TableParagraph"/>
              <w:tabs>
                <w:tab w:val="left" w:pos="6161"/>
                <w:tab w:val="left" w:pos="8328"/>
              </w:tabs>
              <w:spacing w:before="230"/>
              <w:ind w:left="120"/>
            </w:pPr>
            <w:r w:rsidRPr="00EC20A0">
              <w:t>Engagement</w:t>
            </w:r>
            <w:r w:rsidRPr="00EC20A0">
              <w:rPr>
                <w:spacing w:val="-9"/>
              </w:rPr>
              <w:t xml:space="preserve"> </w:t>
            </w:r>
            <w:r w:rsidRPr="00EC20A0">
              <w:t>quality</w:t>
            </w:r>
            <w:r w:rsidRPr="00EC20A0">
              <w:rPr>
                <w:spacing w:val="-8"/>
              </w:rPr>
              <w:t xml:space="preserve"> </w:t>
            </w:r>
            <w:r w:rsidRPr="00EC20A0">
              <w:t>control</w:t>
            </w:r>
            <w:r w:rsidRPr="00EC20A0">
              <w:rPr>
                <w:spacing w:val="-8"/>
              </w:rPr>
              <w:t xml:space="preserve"> </w:t>
            </w:r>
            <w:r w:rsidRPr="00EC20A0">
              <w:t>reviewer</w:t>
            </w:r>
            <w:r w:rsidRPr="00EC20A0">
              <w:rPr>
                <w:spacing w:val="-9"/>
              </w:rPr>
              <w:t xml:space="preserve"> </w:t>
            </w:r>
            <w:r w:rsidRPr="00EC20A0">
              <w:t>name</w:t>
            </w:r>
            <w:r w:rsidRPr="00EC20A0">
              <w:rPr>
                <w:spacing w:val="-8"/>
              </w:rPr>
              <w:t xml:space="preserve"> </w:t>
            </w:r>
            <w:r w:rsidRPr="00EC20A0">
              <w:t>and</w:t>
            </w:r>
            <w:r w:rsidRPr="00EC20A0">
              <w:rPr>
                <w:spacing w:val="-8"/>
              </w:rPr>
              <w:t xml:space="preserve"> </w:t>
            </w:r>
            <w:r w:rsidRPr="00EC20A0">
              <w:rPr>
                <w:spacing w:val="-2"/>
              </w:rPr>
              <w:t>title</w:t>
            </w:r>
            <w:r w:rsidRPr="00EC20A0">
              <w:tab/>
            </w:r>
            <w:r w:rsidRPr="00EC20A0">
              <w:rPr>
                <w:spacing w:val="-2"/>
              </w:rPr>
              <w:t>Signature</w:t>
            </w:r>
            <w:r w:rsidRPr="00EC20A0">
              <w:tab/>
            </w:r>
            <w:r w:rsidRPr="00EC20A0">
              <w:rPr>
                <w:spacing w:val="-4"/>
              </w:rPr>
              <w:t>Date</w:t>
            </w:r>
          </w:p>
        </w:tc>
      </w:tr>
    </w:tbl>
    <w:p w14:paraId="24D629C7" w14:textId="77777777" w:rsidR="00245300" w:rsidRPr="00EC20A0" w:rsidRDefault="00245300">
      <w:pPr>
        <w:pStyle w:val="BodyText"/>
        <w:rPr>
          <w:b/>
          <w:sz w:val="20"/>
        </w:rPr>
      </w:pPr>
    </w:p>
    <w:p w14:paraId="24D629C8" w14:textId="77777777" w:rsidR="00245300" w:rsidRPr="00EC20A0" w:rsidRDefault="00245300">
      <w:pPr>
        <w:pStyle w:val="BodyText"/>
        <w:rPr>
          <w:b/>
          <w:sz w:val="20"/>
        </w:rPr>
      </w:pPr>
    </w:p>
    <w:p w14:paraId="24D629C9" w14:textId="77777777" w:rsidR="00245300" w:rsidRPr="00EC20A0" w:rsidRDefault="00245300">
      <w:pPr>
        <w:pStyle w:val="BodyText"/>
        <w:rPr>
          <w:b/>
          <w:sz w:val="20"/>
        </w:rPr>
      </w:pPr>
    </w:p>
    <w:p w14:paraId="24D629CA" w14:textId="77777777" w:rsidR="00245300" w:rsidRPr="00EC20A0" w:rsidRDefault="00F17249">
      <w:pPr>
        <w:pStyle w:val="BodyText"/>
        <w:spacing w:before="168"/>
        <w:rPr>
          <w:b/>
          <w:sz w:val="20"/>
        </w:rPr>
      </w:pPr>
      <w:r w:rsidRPr="00EC20A0">
        <w:rPr>
          <w:noProof/>
        </w:rPr>
        <mc:AlternateContent>
          <mc:Choice Requires="wps">
            <w:drawing>
              <wp:anchor distT="0" distB="0" distL="0" distR="0" simplePos="0" relativeHeight="487731712" behindDoc="1" locked="0" layoutInCell="1" allowOverlap="1" wp14:anchorId="24D62CE7" wp14:editId="24D62CE8">
                <wp:simplePos x="0" y="0"/>
                <wp:positionH relativeFrom="page">
                  <wp:posOffset>914400</wp:posOffset>
                </wp:positionH>
                <wp:positionV relativeFrom="paragraph">
                  <wp:posOffset>268527</wp:posOffset>
                </wp:positionV>
                <wp:extent cx="1828800" cy="5715"/>
                <wp:effectExtent l="0" t="0" r="0" b="0"/>
                <wp:wrapTopAndBottom/>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C0EFC" id="Graphic 988" o:spid="_x0000_s1026" style="position:absolute;margin-left:1in;margin-top:21.15pt;width:2in;height:.45pt;z-index:-155847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" path="m1828800,l,,,5333r1828800,l1828800,xe" fillcolor="black" stroked="f">
                <v:path arrowok="t"/>
                <w10:wrap type="topAndBottom" anchorx="page"/>
              </v:shape>
            </w:pict>
          </mc:Fallback>
        </mc:AlternateContent>
      </w:r>
    </w:p>
    <w:p w14:paraId="24D629CB" w14:textId="77777777" w:rsidR="00245300" w:rsidRPr="00EC20A0" w:rsidRDefault="00F17249">
      <w:pPr>
        <w:spacing w:before="200"/>
        <w:ind w:left="880"/>
        <w:rPr>
          <w:sz w:val="18"/>
        </w:rPr>
      </w:pPr>
      <w:bookmarkStart w:id="423" w:name="_bookmark232"/>
      <w:bookmarkEnd w:id="423"/>
      <w:r w:rsidRPr="00EC20A0">
        <w:rPr>
          <w:position w:val="7"/>
          <w:sz w:val="14"/>
        </w:rPr>
        <w:t>17</w:t>
      </w:r>
      <w:r w:rsidRPr="00EC20A0">
        <w:rPr>
          <w:sz w:val="18"/>
        </w:rPr>
        <w:t>For</w:t>
      </w:r>
      <w:r w:rsidRPr="00EC20A0">
        <w:rPr>
          <w:spacing w:val="-5"/>
          <w:sz w:val="18"/>
        </w:rPr>
        <w:t xml:space="preserve"> </w:t>
      </w:r>
      <w:r w:rsidRPr="00EC20A0">
        <w:rPr>
          <w:sz w:val="18"/>
        </w:rPr>
        <w:t>GAO</w:t>
      </w:r>
      <w:r w:rsidRPr="00EC20A0">
        <w:rPr>
          <w:spacing w:val="-3"/>
          <w:sz w:val="18"/>
        </w:rPr>
        <w:t xml:space="preserve"> </w:t>
      </w:r>
      <w:r w:rsidRPr="00EC20A0">
        <w:rPr>
          <w:sz w:val="18"/>
        </w:rPr>
        <w:t>financial</w:t>
      </w:r>
      <w:r w:rsidRPr="00EC20A0">
        <w:rPr>
          <w:spacing w:val="-2"/>
          <w:sz w:val="18"/>
        </w:rPr>
        <w:t xml:space="preserve"> </w:t>
      </w:r>
      <w:r w:rsidRPr="00EC20A0">
        <w:rPr>
          <w:sz w:val="18"/>
        </w:rPr>
        <w:t>audits,</w:t>
      </w:r>
      <w:r w:rsidRPr="00EC20A0">
        <w:rPr>
          <w:spacing w:val="-1"/>
          <w:sz w:val="18"/>
        </w:rPr>
        <w:t xml:space="preserve"> </w:t>
      </w:r>
      <w:r w:rsidRPr="00EC20A0">
        <w:rPr>
          <w:sz w:val="18"/>
        </w:rPr>
        <w:t>this</w:t>
      </w:r>
      <w:r w:rsidRPr="00EC20A0">
        <w:rPr>
          <w:spacing w:val="-2"/>
          <w:sz w:val="18"/>
        </w:rPr>
        <w:t xml:space="preserve"> </w:t>
      </w:r>
      <w:r w:rsidRPr="00EC20A0">
        <w:rPr>
          <w:sz w:val="18"/>
        </w:rPr>
        <w:t>is</w:t>
      </w:r>
      <w:r w:rsidRPr="00EC20A0">
        <w:rPr>
          <w:spacing w:val="-2"/>
          <w:sz w:val="18"/>
        </w:rPr>
        <w:t xml:space="preserve"> </w:t>
      </w:r>
      <w:r w:rsidRPr="00EC20A0">
        <w:rPr>
          <w:sz w:val="18"/>
        </w:rPr>
        <w:t>the</w:t>
      </w:r>
      <w:r w:rsidRPr="00EC20A0">
        <w:rPr>
          <w:spacing w:val="-3"/>
          <w:sz w:val="18"/>
        </w:rPr>
        <w:t xml:space="preserve"> </w:t>
      </w:r>
      <w:r w:rsidRPr="00EC20A0">
        <w:rPr>
          <w:sz w:val="18"/>
        </w:rPr>
        <w:t>chief</w:t>
      </w:r>
      <w:r w:rsidRPr="00EC20A0">
        <w:rPr>
          <w:spacing w:val="-2"/>
          <w:sz w:val="18"/>
        </w:rPr>
        <w:t xml:space="preserve"> accountant.</w:t>
      </w:r>
    </w:p>
    <w:p w14:paraId="24D629CC" w14:textId="77777777" w:rsidR="00245300" w:rsidRPr="00EC20A0" w:rsidRDefault="00245300">
      <w:pPr>
        <w:rPr>
          <w:sz w:val="18"/>
        </w:rPr>
        <w:sectPr w:rsidR="00245300" w:rsidRPr="00EC20A0">
          <w:pgSz w:w="12240" w:h="15840"/>
          <w:pgMar w:top="1340" w:right="460" w:bottom="940" w:left="560" w:header="721" w:footer="757" w:gutter="0"/>
          <w:cols w:space="720"/>
        </w:sectPr>
      </w:pPr>
    </w:p>
    <w:p w14:paraId="24D629CD" w14:textId="77777777" w:rsidR="00245300" w:rsidRPr="00EC20A0" w:rsidRDefault="00F17249">
      <w:pPr>
        <w:pStyle w:val="Heading3"/>
        <w:ind w:left="880"/>
        <w:rPr>
          <w:u w:val="none"/>
        </w:rPr>
      </w:pPr>
      <w:bookmarkStart w:id="424" w:name="1005_–_Subsequent_Events_Review"/>
      <w:bookmarkStart w:id="425" w:name="_bookmark233"/>
      <w:bookmarkEnd w:id="424"/>
      <w:bookmarkEnd w:id="425"/>
      <w:r w:rsidRPr="00EC20A0">
        <w:t>1005</w:t>
      </w:r>
      <w:r w:rsidRPr="00EC20A0">
        <w:rPr>
          <w:spacing w:val="-4"/>
        </w:rPr>
        <w:t xml:space="preserve"> </w:t>
      </w:r>
      <w:r w:rsidRPr="00EC20A0">
        <w:t>–</w:t>
      </w:r>
      <w:r w:rsidRPr="00EC20A0">
        <w:rPr>
          <w:spacing w:val="-5"/>
        </w:rPr>
        <w:t xml:space="preserve"> </w:t>
      </w:r>
      <w:r w:rsidRPr="00EC20A0">
        <w:t>Subsequent</w:t>
      </w:r>
      <w:r w:rsidRPr="00EC20A0">
        <w:rPr>
          <w:spacing w:val="-5"/>
        </w:rPr>
        <w:t xml:space="preserve"> </w:t>
      </w:r>
      <w:r w:rsidRPr="00EC20A0">
        <w:t>Events</w:t>
      </w:r>
      <w:r w:rsidRPr="00EC20A0">
        <w:rPr>
          <w:spacing w:val="-3"/>
        </w:rPr>
        <w:t xml:space="preserve"> </w:t>
      </w:r>
      <w:r w:rsidRPr="00EC20A0">
        <w:rPr>
          <w:spacing w:val="-2"/>
        </w:rPr>
        <w:t>Review</w:t>
      </w:r>
    </w:p>
    <w:p w14:paraId="24D629CE" w14:textId="77777777" w:rsidR="00245300" w:rsidRPr="00EC20A0" w:rsidRDefault="00245300">
      <w:pPr>
        <w:pStyle w:val="BodyText"/>
        <w:spacing w:before="106"/>
        <w:rPr>
          <w:b/>
        </w:rPr>
      </w:pPr>
    </w:p>
    <w:p w14:paraId="24D629CF" w14:textId="77777777" w:rsidR="00245300" w:rsidRPr="00EC20A0" w:rsidRDefault="00F17249">
      <w:pPr>
        <w:pStyle w:val="ListParagraph"/>
        <w:numPr>
          <w:ilvl w:val="0"/>
          <w:numId w:val="29"/>
        </w:numPr>
        <w:tabs>
          <w:tab w:val="left" w:pos="2317"/>
          <w:tab w:val="left" w:pos="2319"/>
        </w:tabs>
        <w:spacing w:before="0"/>
        <w:ind w:right="997" w:hanging="718"/>
      </w:pPr>
      <w:r w:rsidRPr="00EC20A0">
        <w:t xml:space="preserve">This section discusses the subsequent events review that the auditor </w:t>
      </w:r>
      <w:r w:rsidRPr="00EC20A0">
        <w:rPr>
          <w:b/>
        </w:rPr>
        <w:t xml:space="preserve">should </w:t>
      </w:r>
      <w:r w:rsidRPr="00EC20A0">
        <w:t xml:space="preserve">perform as part of the audit, as described in FAM 550. AU-C 560, </w:t>
      </w:r>
      <w:r w:rsidRPr="00EC20A0">
        <w:rPr>
          <w:i/>
        </w:rPr>
        <w:t>Subsequent Events</w:t>
      </w:r>
      <w:r w:rsidRPr="00EC20A0">
        <w:rPr>
          <w:i/>
          <w:spacing w:val="-4"/>
        </w:rPr>
        <w:t xml:space="preserve"> </w:t>
      </w:r>
      <w:r w:rsidRPr="00EC20A0">
        <w:rPr>
          <w:i/>
        </w:rPr>
        <w:t>and</w:t>
      </w:r>
      <w:r w:rsidRPr="00EC20A0">
        <w:rPr>
          <w:i/>
          <w:spacing w:val="-5"/>
        </w:rPr>
        <w:t xml:space="preserve"> </w:t>
      </w:r>
      <w:r w:rsidRPr="00EC20A0">
        <w:rPr>
          <w:i/>
        </w:rPr>
        <w:t>Subsequently</w:t>
      </w:r>
      <w:r w:rsidRPr="00EC20A0">
        <w:rPr>
          <w:i/>
          <w:spacing w:val="-4"/>
        </w:rPr>
        <w:t xml:space="preserve"> </w:t>
      </w:r>
      <w:r w:rsidRPr="00EC20A0">
        <w:rPr>
          <w:i/>
        </w:rPr>
        <w:t>Discovered</w:t>
      </w:r>
      <w:r w:rsidRPr="00EC20A0">
        <w:rPr>
          <w:i/>
          <w:spacing w:val="-4"/>
        </w:rPr>
        <w:t xml:space="preserve"> </w:t>
      </w:r>
      <w:r w:rsidRPr="00EC20A0">
        <w:rPr>
          <w:i/>
        </w:rPr>
        <w:t>Facts,</w:t>
      </w:r>
      <w:r w:rsidRPr="00EC20A0">
        <w:rPr>
          <w:i/>
          <w:spacing w:val="-4"/>
        </w:rPr>
        <w:t xml:space="preserve"> </w:t>
      </w:r>
      <w:r w:rsidRPr="00EC20A0">
        <w:t>describes</w:t>
      </w:r>
      <w:r w:rsidRPr="00EC20A0">
        <w:rPr>
          <w:spacing w:val="-4"/>
        </w:rPr>
        <w:t xml:space="preserve"> </w:t>
      </w:r>
      <w:r w:rsidRPr="00EC20A0">
        <w:t>and</w:t>
      </w:r>
      <w:r w:rsidRPr="00EC20A0">
        <w:rPr>
          <w:spacing w:val="-4"/>
        </w:rPr>
        <w:t xml:space="preserve"> </w:t>
      </w:r>
      <w:r w:rsidRPr="00EC20A0">
        <w:t>provides</w:t>
      </w:r>
      <w:r w:rsidRPr="00EC20A0">
        <w:rPr>
          <w:spacing w:val="-4"/>
        </w:rPr>
        <w:t xml:space="preserve"> </w:t>
      </w:r>
      <w:r w:rsidRPr="00EC20A0">
        <w:t>guidance</w:t>
      </w:r>
      <w:r w:rsidRPr="00EC20A0">
        <w:rPr>
          <w:spacing w:val="-4"/>
        </w:rPr>
        <w:t xml:space="preserve"> </w:t>
      </w:r>
      <w:r w:rsidRPr="00EC20A0">
        <w:t>on the types of subsequent events that the auditor should evaluate as well as the procedures</w:t>
      </w:r>
      <w:r w:rsidRPr="00EC20A0">
        <w:rPr>
          <w:spacing w:val="-4"/>
        </w:rPr>
        <w:t xml:space="preserve"> </w:t>
      </w:r>
      <w:r w:rsidRPr="00EC20A0">
        <w:t>that</w:t>
      </w:r>
      <w:r w:rsidRPr="00EC20A0">
        <w:rPr>
          <w:spacing w:val="-4"/>
        </w:rPr>
        <w:t xml:space="preserve"> </w:t>
      </w:r>
      <w:r w:rsidRPr="00EC20A0">
        <w:t>the</w:t>
      </w:r>
      <w:r w:rsidRPr="00EC20A0">
        <w:rPr>
          <w:spacing w:val="-4"/>
        </w:rPr>
        <w:t xml:space="preserve"> </w:t>
      </w:r>
      <w:r w:rsidRPr="00EC20A0">
        <w:t>auditor</w:t>
      </w:r>
      <w:r w:rsidRPr="00EC20A0">
        <w:rPr>
          <w:spacing w:val="-4"/>
        </w:rPr>
        <w:t xml:space="preserve"> </w:t>
      </w:r>
      <w:r w:rsidRPr="00EC20A0">
        <w:t>should</w:t>
      </w:r>
      <w:r w:rsidRPr="00EC20A0">
        <w:rPr>
          <w:spacing w:val="-4"/>
        </w:rPr>
        <w:t xml:space="preserve"> </w:t>
      </w:r>
      <w:r w:rsidRPr="00EC20A0">
        <w:t>perform</w:t>
      </w:r>
      <w:r w:rsidRPr="00EC20A0">
        <w:rPr>
          <w:spacing w:val="-5"/>
        </w:rPr>
        <w:t xml:space="preserve"> </w:t>
      </w:r>
      <w:r w:rsidRPr="00EC20A0">
        <w:t>to</w:t>
      </w:r>
      <w:r w:rsidRPr="00EC20A0">
        <w:rPr>
          <w:spacing w:val="-4"/>
        </w:rPr>
        <w:t xml:space="preserve"> </w:t>
      </w:r>
      <w:r w:rsidRPr="00EC20A0">
        <w:t>discover</w:t>
      </w:r>
      <w:r w:rsidRPr="00EC20A0">
        <w:rPr>
          <w:spacing w:val="-4"/>
        </w:rPr>
        <w:t xml:space="preserve"> </w:t>
      </w:r>
      <w:r w:rsidRPr="00EC20A0">
        <w:t>whether</w:t>
      </w:r>
      <w:r w:rsidRPr="00EC20A0">
        <w:rPr>
          <w:spacing w:val="-4"/>
        </w:rPr>
        <w:t xml:space="preserve"> </w:t>
      </w:r>
      <w:r w:rsidRPr="00EC20A0">
        <w:t>such</w:t>
      </w:r>
      <w:r w:rsidRPr="00EC20A0">
        <w:rPr>
          <w:spacing w:val="-4"/>
        </w:rPr>
        <w:t xml:space="preserve"> </w:t>
      </w:r>
      <w:r w:rsidRPr="00EC20A0">
        <w:t>events</w:t>
      </w:r>
      <w:r w:rsidRPr="00EC20A0">
        <w:rPr>
          <w:spacing w:val="-3"/>
        </w:rPr>
        <w:t xml:space="preserve"> </w:t>
      </w:r>
      <w:r w:rsidRPr="00EC20A0">
        <w:t>have occurred. The auditor should perform audit procedures designed to obtain sufficient appropriate audit evidence that all subsequent events that require adjustment</w:t>
      </w:r>
      <w:r w:rsidRPr="00EC20A0">
        <w:rPr>
          <w:spacing w:val="-2"/>
        </w:rPr>
        <w:t xml:space="preserve"> </w:t>
      </w:r>
      <w:r w:rsidRPr="00EC20A0">
        <w:t>of,</w:t>
      </w:r>
      <w:r w:rsidRPr="00EC20A0">
        <w:rPr>
          <w:spacing w:val="-2"/>
        </w:rPr>
        <w:t xml:space="preserve"> </w:t>
      </w:r>
      <w:r w:rsidRPr="00EC20A0">
        <w:t>or</w:t>
      </w:r>
      <w:r w:rsidRPr="00EC20A0">
        <w:rPr>
          <w:spacing w:val="-2"/>
        </w:rPr>
        <w:t xml:space="preserve"> </w:t>
      </w:r>
      <w:r w:rsidRPr="00EC20A0">
        <w:t>disclosure</w:t>
      </w:r>
      <w:r w:rsidRPr="00EC20A0">
        <w:rPr>
          <w:spacing w:val="-2"/>
        </w:rPr>
        <w:t xml:space="preserve"> </w:t>
      </w:r>
      <w:r w:rsidRPr="00EC20A0">
        <w:t>in,</w:t>
      </w:r>
      <w:r w:rsidRPr="00EC20A0">
        <w:rPr>
          <w:spacing w:val="-2"/>
        </w:rPr>
        <w:t xml:space="preserve"> </w:t>
      </w:r>
      <w:r w:rsidRPr="00EC20A0">
        <w:t>the</w:t>
      </w:r>
      <w:r w:rsidRPr="00EC20A0">
        <w:rPr>
          <w:spacing w:val="-2"/>
        </w:rPr>
        <w:t xml:space="preserve"> </w:t>
      </w:r>
      <w:r w:rsidRPr="00EC20A0">
        <w:t>financial</w:t>
      </w:r>
      <w:r w:rsidRPr="00EC20A0">
        <w:rPr>
          <w:spacing w:val="-3"/>
        </w:rPr>
        <w:t xml:space="preserve"> </w:t>
      </w:r>
      <w:r w:rsidRPr="00EC20A0">
        <w:t>st</w:t>
      </w:r>
      <w:r w:rsidRPr="00EC20A0">
        <w:t>atements</w:t>
      </w:r>
      <w:r w:rsidRPr="00EC20A0">
        <w:rPr>
          <w:spacing w:val="-2"/>
        </w:rPr>
        <w:t xml:space="preserve"> </w:t>
      </w:r>
      <w:r w:rsidRPr="00EC20A0">
        <w:t>have</w:t>
      </w:r>
      <w:r w:rsidRPr="00EC20A0">
        <w:rPr>
          <w:spacing w:val="-2"/>
        </w:rPr>
        <w:t xml:space="preserve"> </w:t>
      </w:r>
      <w:r w:rsidRPr="00EC20A0">
        <w:t>been</w:t>
      </w:r>
      <w:r w:rsidRPr="00EC20A0">
        <w:rPr>
          <w:spacing w:val="-2"/>
        </w:rPr>
        <w:t xml:space="preserve"> </w:t>
      </w:r>
      <w:r w:rsidRPr="00EC20A0">
        <w:t>identified.</w:t>
      </w:r>
      <w:r w:rsidRPr="00EC20A0">
        <w:rPr>
          <w:spacing w:val="-2"/>
        </w:rPr>
        <w:t xml:space="preserve"> </w:t>
      </w:r>
      <w:r w:rsidRPr="00EC20A0">
        <w:t>The auditor is not, however, expected to perform additional audit procedures on matters to which previously applied audit procedures have provided satisfactory conclusions (AU-C 560.09).</w:t>
      </w:r>
    </w:p>
    <w:p w14:paraId="24D629D0" w14:textId="77777777" w:rsidR="00245300" w:rsidRPr="00EC20A0" w:rsidRDefault="00F17249">
      <w:pPr>
        <w:pStyle w:val="ListParagraph"/>
        <w:numPr>
          <w:ilvl w:val="0"/>
          <w:numId w:val="29"/>
        </w:numPr>
        <w:tabs>
          <w:tab w:val="left" w:pos="2317"/>
        </w:tabs>
        <w:ind w:right="1122" w:hanging="720"/>
      </w:pPr>
      <w:r w:rsidRPr="00EC20A0">
        <w:t xml:space="preserve">Subsequent events are those </w:t>
      </w:r>
      <w:r w:rsidRPr="00EC20A0">
        <w:t>events or transactions that affect the financial statements,</w:t>
      </w:r>
      <w:r w:rsidRPr="00EC20A0">
        <w:rPr>
          <w:spacing w:val="-3"/>
        </w:rPr>
        <w:t xml:space="preserve"> </w:t>
      </w:r>
      <w:r w:rsidRPr="00EC20A0">
        <w:t>notes,</w:t>
      </w:r>
      <w:r w:rsidRPr="00EC20A0">
        <w:rPr>
          <w:spacing w:val="-3"/>
        </w:rPr>
        <w:t xml:space="preserve"> </w:t>
      </w:r>
      <w:r w:rsidRPr="00EC20A0">
        <w:t>or</w:t>
      </w:r>
      <w:r w:rsidRPr="00EC20A0">
        <w:rPr>
          <w:spacing w:val="-3"/>
        </w:rPr>
        <w:t xml:space="preserve"> </w:t>
      </w:r>
      <w:r w:rsidRPr="00EC20A0">
        <w:t>RSI</w:t>
      </w:r>
      <w:r w:rsidRPr="00EC20A0">
        <w:rPr>
          <w:spacing w:val="-3"/>
        </w:rPr>
        <w:t xml:space="preserve"> </w:t>
      </w:r>
      <w:r w:rsidRPr="00EC20A0">
        <w:t>that</w:t>
      </w:r>
      <w:r w:rsidRPr="00EC20A0">
        <w:rPr>
          <w:spacing w:val="-3"/>
        </w:rPr>
        <w:t xml:space="preserve"> </w:t>
      </w:r>
      <w:r w:rsidRPr="00EC20A0">
        <w:t>may</w:t>
      </w:r>
      <w:r w:rsidRPr="00EC20A0">
        <w:rPr>
          <w:spacing w:val="-3"/>
        </w:rPr>
        <w:t xml:space="preserve"> </w:t>
      </w:r>
      <w:r w:rsidRPr="00EC20A0">
        <w:t>occur</w:t>
      </w:r>
      <w:r w:rsidRPr="00EC20A0">
        <w:rPr>
          <w:spacing w:val="-3"/>
        </w:rPr>
        <w:t xml:space="preserve"> </w:t>
      </w:r>
      <w:r w:rsidRPr="00EC20A0">
        <w:t>or</w:t>
      </w:r>
      <w:r w:rsidRPr="00EC20A0">
        <w:rPr>
          <w:spacing w:val="-3"/>
        </w:rPr>
        <w:t xml:space="preserve"> </w:t>
      </w:r>
      <w:r w:rsidRPr="00EC20A0">
        <w:t>become</w:t>
      </w:r>
      <w:r w:rsidRPr="00EC20A0">
        <w:rPr>
          <w:spacing w:val="-3"/>
        </w:rPr>
        <w:t xml:space="preserve"> </w:t>
      </w:r>
      <w:r w:rsidRPr="00EC20A0">
        <w:t>known</w:t>
      </w:r>
      <w:r w:rsidRPr="00EC20A0">
        <w:rPr>
          <w:spacing w:val="-3"/>
        </w:rPr>
        <w:t xml:space="preserve"> </w:t>
      </w:r>
      <w:r w:rsidRPr="00EC20A0">
        <w:t>between</w:t>
      </w:r>
      <w:r w:rsidRPr="00EC20A0">
        <w:rPr>
          <w:spacing w:val="-3"/>
        </w:rPr>
        <w:t xml:space="preserve"> </w:t>
      </w:r>
      <w:r w:rsidRPr="00EC20A0">
        <w:t>the</w:t>
      </w:r>
      <w:r w:rsidRPr="00EC20A0">
        <w:rPr>
          <w:spacing w:val="-3"/>
        </w:rPr>
        <w:t xml:space="preserve"> </w:t>
      </w:r>
      <w:r w:rsidRPr="00EC20A0">
        <w:t>date</w:t>
      </w:r>
      <w:r w:rsidRPr="00EC20A0">
        <w:rPr>
          <w:spacing w:val="-3"/>
        </w:rPr>
        <w:t xml:space="preserve"> </w:t>
      </w:r>
      <w:r w:rsidRPr="00EC20A0">
        <w:t>of the financial statements and the date of the auditor’s report.</w:t>
      </w:r>
    </w:p>
    <w:p w14:paraId="24D629D1" w14:textId="77777777" w:rsidR="00245300" w:rsidRPr="00EC20A0" w:rsidRDefault="00F17249">
      <w:pPr>
        <w:pStyle w:val="ListParagraph"/>
        <w:numPr>
          <w:ilvl w:val="0"/>
          <w:numId w:val="29"/>
        </w:numPr>
        <w:tabs>
          <w:tab w:val="left" w:pos="2317"/>
        </w:tabs>
        <w:spacing w:before="241"/>
        <w:ind w:hanging="720"/>
      </w:pPr>
      <w:r w:rsidRPr="00EC20A0">
        <w:t>Two</w:t>
      </w:r>
      <w:r w:rsidRPr="00EC20A0">
        <w:rPr>
          <w:spacing w:val="-7"/>
        </w:rPr>
        <w:t xml:space="preserve"> </w:t>
      </w:r>
      <w:r w:rsidRPr="00EC20A0">
        <w:t>types</w:t>
      </w:r>
      <w:r w:rsidRPr="00EC20A0">
        <w:rPr>
          <w:spacing w:val="-6"/>
        </w:rPr>
        <w:t xml:space="preserve"> </w:t>
      </w:r>
      <w:r w:rsidRPr="00EC20A0">
        <w:t>of</w:t>
      </w:r>
      <w:r w:rsidRPr="00EC20A0">
        <w:rPr>
          <w:spacing w:val="-6"/>
        </w:rPr>
        <w:t xml:space="preserve"> </w:t>
      </w:r>
      <w:r w:rsidRPr="00EC20A0">
        <w:t>subsequent</w:t>
      </w:r>
      <w:r w:rsidRPr="00EC20A0">
        <w:rPr>
          <w:spacing w:val="-6"/>
        </w:rPr>
        <w:t xml:space="preserve"> </w:t>
      </w:r>
      <w:r w:rsidRPr="00EC20A0">
        <w:t>events</w:t>
      </w:r>
      <w:r w:rsidRPr="00EC20A0">
        <w:rPr>
          <w:spacing w:val="-7"/>
        </w:rPr>
        <w:t xml:space="preserve"> </w:t>
      </w:r>
      <w:r w:rsidRPr="00EC20A0">
        <w:t>may</w:t>
      </w:r>
      <w:r w:rsidRPr="00EC20A0">
        <w:rPr>
          <w:spacing w:val="-6"/>
        </w:rPr>
        <w:t xml:space="preserve"> </w:t>
      </w:r>
      <w:r w:rsidRPr="00EC20A0">
        <w:rPr>
          <w:spacing w:val="-2"/>
        </w:rPr>
        <w:t>occur:</w:t>
      </w:r>
    </w:p>
    <w:p w14:paraId="24D629D2" w14:textId="77777777" w:rsidR="00245300" w:rsidRPr="00EC20A0" w:rsidRDefault="00F17249">
      <w:pPr>
        <w:pStyle w:val="ListParagraph"/>
        <w:numPr>
          <w:ilvl w:val="1"/>
          <w:numId w:val="29"/>
        </w:numPr>
        <w:tabs>
          <w:tab w:val="left" w:pos="2676"/>
        </w:tabs>
        <w:ind w:right="1031" w:hanging="359"/>
      </w:pPr>
      <w:r w:rsidRPr="00EC20A0">
        <w:rPr>
          <w:b/>
        </w:rPr>
        <w:t xml:space="preserve">Recognized events: </w:t>
      </w:r>
      <w:r w:rsidRPr="00EC20A0">
        <w:t>Subsequent events that provide additional evidence with respect to conditions that existed at the date of the financial statements and affect the estimates inherent in the process of preparing the financial statements, notes, and RSI. For example, a subsequent event may reveal that</w:t>
      </w:r>
      <w:r w:rsidRPr="00EC20A0">
        <w:rPr>
          <w:spacing w:val="-2"/>
        </w:rPr>
        <w:t xml:space="preserve"> </w:t>
      </w:r>
      <w:r w:rsidRPr="00EC20A0">
        <w:t>an</w:t>
      </w:r>
      <w:r w:rsidRPr="00EC20A0">
        <w:rPr>
          <w:spacing w:val="-2"/>
        </w:rPr>
        <w:t xml:space="preserve"> </w:t>
      </w:r>
      <w:r w:rsidRPr="00EC20A0">
        <w:t>accounting</w:t>
      </w:r>
      <w:r w:rsidRPr="00EC20A0">
        <w:rPr>
          <w:spacing w:val="-2"/>
        </w:rPr>
        <w:t xml:space="preserve"> </w:t>
      </w:r>
      <w:r w:rsidRPr="00EC20A0">
        <w:t>estimate</w:t>
      </w:r>
      <w:r w:rsidRPr="00EC20A0">
        <w:rPr>
          <w:spacing w:val="-2"/>
        </w:rPr>
        <w:t xml:space="preserve"> </w:t>
      </w:r>
      <w:r w:rsidRPr="00EC20A0">
        <w:t>is</w:t>
      </w:r>
      <w:r w:rsidRPr="00EC20A0">
        <w:rPr>
          <w:spacing w:val="-2"/>
        </w:rPr>
        <w:t xml:space="preserve"> </w:t>
      </w:r>
      <w:r w:rsidRPr="00EC20A0">
        <w:t>materially</w:t>
      </w:r>
      <w:r w:rsidRPr="00EC20A0">
        <w:rPr>
          <w:spacing w:val="-2"/>
        </w:rPr>
        <w:t xml:space="preserve"> </w:t>
      </w:r>
      <w:r w:rsidRPr="00EC20A0">
        <w:t>incorrect</w:t>
      </w:r>
      <w:r w:rsidRPr="00EC20A0">
        <w:rPr>
          <w:spacing w:val="-2"/>
        </w:rPr>
        <w:t xml:space="preserve"> </w:t>
      </w:r>
      <w:r w:rsidRPr="00EC20A0">
        <w:t>and</w:t>
      </w:r>
      <w:r w:rsidRPr="00EC20A0">
        <w:rPr>
          <w:spacing w:val="-2"/>
        </w:rPr>
        <w:t xml:space="preserve"> </w:t>
      </w:r>
      <w:r w:rsidRPr="00EC20A0">
        <w:t>that</w:t>
      </w:r>
      <w:r w:rsidRPr="00EC20A0">
        <w:rPr>
          <w:spacing w:val="-2"/>
        </w:rPr>
        <w:t xml:space="preserve"> </w:t>
      </w:r>
      <w:r w:rsidRPr="00EC20A0">
        <w:t>the</w:t>
      </w:r>
      <w:r w:rsidRPr="00EC20A0">
        <w:rPr>
          <w:spacing w:val="-2"/>
        </w:rPr>
        <w:t xml:space="preserve"> </w:t>
      </w:r>
      <w:r w:rsidRPr="00EC20A0">
        <w:t>auditor</w:t>
      </w:r>
      <w:r w:rsidRPr="00EC20A0">
        <w:rPr>
          <w:spacing w:val="-2"/>
        </w:rPr>
        <w:t xml:space="preserve"> </w:t>
      </w:r>
      <w:r w:rsidRPr="00EC20A0">
        <w:t>should ask</w:t>
      </w:r>
      <w:r w:rsidRPr="00EC20A0">
        <w:rPr>
          <w:spacing w:val="-3"/>
        </w:rPr>
        <w:t xml:space="preserve"> </w:t>
      </w:r>
      <w:r w:rsidRPr="00EC20A0">
        <w:t>management</w:t>
      </w:r>
      <w:r w:rsidRPr="00EC20A0">
        <w:rPr>
          <w:spacing w:val="-3"/>
        </w:rPr>
        <w:t xml:space="preserve"> </w:t>
      </w:r>
      <w:r w:rsidRPr="00EC20A0">
        <w:t>to</w:t>
      </w:r>
      <w:r w:rsidRPr="00EC20A0">
        <w:rPr>
          <w:spacing w:val="-3"/>
        </w:rPr>
        <w:t xml:space="preserve"> </w:t>
      </w:r>
      <w:r w:rsidRPr="00EC20A0">
        <w:t>adjust</w:t>
      </w:r>
      <w:r w:rsidRPr="00EC20A0">
        <w:rPr>
          <w:spacing w:val="-3"/>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3"/>
        </w:rPr>
        <w:t xml:space="preserve"> </w:t>
      </w:r>
      <w:r w:rsidRPr="00EC20A0">
        <w:t>for</w:t>
      </w:r>
      <w:r w:rsidRPr="00EC20A0">
        <w:rPr>
          <w:spacing w:val="-3"/>
        </w:rPr>
        <w:t xml:space="preserve"> </w:t>
      </w:r>
      <w:r w:rsidRPr="00EC20A0">
        <w:t>the</w:t>
      </w:r>
      <w:r w:rsidRPr="00EC20A0">
        <w:rPr>
          <w:spacing w:val="-3"/>
        </w:rPr>
        <w:t xml:space="preserve"> </w:t>
      </w:r>
      <w:r w:rsidRPr="00EC20A0">
        <w:t>effect</w:t>
      </w:r>
      <w:r w:rsidRPr="00EC20A0">
        <w:rPr>
          <w:spacing w:val="-3"/>
        </w:rPr>
        <w:t xml:space="preserve"> </w:t>
      </w:r>
      <w:r w:rsidRPr="00EC20A0">
        <w:t>of</w:t>
      </w:r>
      <w:r w:rsidRPr="00EC20A0">
        <w:rPr>
          <w:spacing w:val="-3"/>
        </w:rPr>
        <w:t xml:space="preserve"> </w:t>
      </w:r>
      <w:r w:rsidRPr="00EC20A0">
        <w:t>the</w:t>
      </w:r>
      <w:r w:rsidRPr="00EC20A0">
        <w:rPr>
          <w:spacing w:val="-3"/>
        </w:rPr>
        <w:t xml:space="preserve"> </w:t>
      </w:r>
      <w:r w:rsidRPr="00EC20A0">
        <w:t>event.</w:t>
      </w:r>
    </w:p>
    <w:p w14:paraId="24D629D3" w14:textId="77777777" w:rsidR="00245300" w:rsidRPr="00EC20A0" w:rsidRDefault="00F17249">
      <w:pPr>
        <w:pStyle w:val="ListParagraph"/>
        <w:numPr>
          <w:ilvl w:val="1"/>
          <w:numId w:val="29"/>
        </w:numPr>
        <w:tabs>
          <w:tab w:val="left" w:pos="2679"/>
        </w:tabs>
        <w:spacing w:before="238"/>
        <w:ind w:left="2679" w:right="1078"/>
      </w:pPr>
      <w:proofErr w:type="spellStart"/>
      <w:r w:rsidRPr="00EC20A0">
        <w:rPr>
          <w:b/>
        </w:rPr>
        <w:t>Nonrecognized</w:t>
      </w:r>
      <w:proofErr w:type="spellEnd"/>
      <w:r w:rsidRPr="00EC20A0">
        <w:rPr>
          <w:b/>
        </w:rPr>
        <w:t xml:space="preserve"> events: </w:t>
      </w:r>
      <w:r w:rsidRPr="00EC20A0">
        <w:t xml:space="preserve">Subsequent events that provide evidence with respect to </w:t>
      </w:r>
      <w:r w:rsidRPr="00EC20A0">
        <w:t>conditions that did not exist at the date of the financial statements but</w:t>
      </w:r>
      <w:r w:rsidRPr="00EC20A0">
        <w:rPr>
          <w:spacing w:val="-3"/>
        </w:rPr>
        <w:t xml:space="preserve"> </w:t>
      </w:r>
      <w:r w:rsidRPr="00EC20A0">
        <w:t>arose</w:t>
      </w:r>
      <w:r w:rsidRPr="00EC20A0">
        <w:rPr>
          <w:spacing w:val="-3"/>
        </w:rPr>
        <w:t xml:space="preserve"> </w:t>
      </w:r>
      <w:r w:rsidRPr="00EC20A0">
        <w:t>subsequent</w:t>
      </w:r>
      <w:r w:rsidRPr="00EC20A0">
        <w:rPr>
          <w:spacing w:val="-3"/>
        </w:rPr>
        <w:t xml:space="preserve"> </w:t>
      </w:r>
      <w:r w:rsidRPr="00EC20A0">
        <w:t>to</w:t>
      </w:r>
      <w:r w:rsidRPr="00EC20A0">
        <w:rPr>
          <w:spacing w:val="-4"/>
        </w:rPr>
        <w:t xml:space="preserve"> </w:t>
      </w:r>
      <w:r w:rsidRPr="00EC20A0">
        <w:t>that</w:t>
      </w:r>
      <w:r w:rsidRPr="00EC20A0">
        <w:rPr>
          <w:spacing w:val="-3"/>
        </w:rPr>
        <w:t xml:space="preserve"> </w:t>
      </w:r>
      <w:r w:rsidRPr="00EC20A0">
        <w:t>date.</w:t>
      </w:r>
      <w:r w:rsidRPr="00EC20A0">
        <w:rPr>
          <w:spacing w:val="-3"/>
        </w:rPr>
        <w:t xml:space="preserve"> </w:t>
      </w:r>
      <w:r w:rsidRPr="00EC20A0">
        <w:t>For</w:t>
      </w:r>
      <w:r w:rsidRPr="00EC20A0">
        <w:rPr>
          <w:spacing w:val="-3"/>
        </w:rPr>
        <w:t xml:space="preserve"> </w:t>
      </w:r>
      <w:r w:rsidRPr="00EC20A0">
        <w:t>example,</w:t>
      </w:r>
      <w:r w:rsidRPr="00EC20A0">
        <w:rPr>
          <w:spacing w:val="-3"/>
        </w:rPr>
        <w:t xml:space="preserve"> </w:t>
      </w:r>
      <w:r w:rsidRPr="00EC20A0">
        <w:t>a</w:t>
      </w:r>
      <w:r w:rsidRPr="00EC20A0">
        <w:rPr>
          <w:spacing w:val="-3"/>
        </w:rPr>
        <w:t xml:space="preserve"> </w:t>
      </w:r>
      <w:r w:rsidRPr="00EC20A0">
        <w:t>fire</w:t>
      </w:r>
      <w:r w:rsidRPr="00EC20A0">
        <w:rPr>
          <w:spacing w:val="-3"/>
        </w:rPr>
        <w:t xml:space="preserve"> </w:t>
      </w:r>
      <w:r w:rsidRPr="00EC20A0">
        <w:t>or</w:t>
      </w:r>
      <w:r w:rsidRPr="00EC20A0">
        <w:rPr>
          <w:spacing w:val="-3"/>
        </w:rPr>
        <w:t xml:space="preserve"> </w:t>
      </w:r>
      <w:r w:rsidRPr="00EC20A0">
        <w:t>flood</w:t>
      </w:r>
      <w:r w:rsidRPr="00EC20A0">
        <w:rPr>
          <w:spacing w:val="-3"/>
        </w:rPr>
        <w:t xml:space="preserve"> </w:t>
      </w:r>
      <w:r w:rsidRPr="00EC20A0">
        <w:t>after</w:t>
      </w:r>
      <w:r w:rsidRPr="00EC20A0">
        <w:rPr>
          <w:spacing w:val="-3"/>
        </w:rPr>
        <w:t xml:space="preserve"> </w:t>
      </w:r>
      <w:r w:rsidRPr="00EC20A0">
        <w:t>year-end may cause a significant loss (SFFAS 39).</w:t>
      </w:r>
    </w:p>
    <w:p w14:paraId="24D629D4" w14:textId="77777777" w:rsidR="00245300" w:rsidRPr="00EC20A0" w:rsidRDefault="00F17249">
      <w:pPr>
        <w:pStyle w:val="ListParagraph"/>
        <w:numPr>
          <w:ilvl w:val="0"/>
          <w:numId w:val="29"/>
        </w:numPr>
        <w:tabs>
          <w:tab w:val="left" w:pos="2320"/>
        </w:tabs>
        <w:spacing w:before="239"/>
        <w:ind w:left="2320" w:right="1240" w:hanging="720"/>
      </w:pPr>
      <w:r w:rsidRPr="00EC20A0">
        <w:t>The purpose of a subsequent events review is to determine whether all subsequent</w:t>
      </w:r>
      <w:r w:rsidRPr="00EC20A0">
        <w:rPr>
          <w:spacing w:val="-4"/>
        </w:rPr>
        <w:t xml:space="preserve"> </w:t>
      </w:r>
      <w:r w:rsidRPr="00EC20A0">
        <w:t>events</w:t>
      </w:r>
      <w:r w:rsidRPr="00EC20A0">
        <w:rPr>
          <w:spacing w:val="-3"/>
        </w:rPr>
        <w:t xml:space="preserve"> </w:t>
      </w:r>
      <w:r w:rsidRPr="00EC20A0">
        <w:t>that</w:t>
      </w:r>
      <w:r w:rsidRPr="00EC20A0">
        <w:rPr>
          <w:spacing w:val="-5"/>
        </w:rPr>
        <w:t xml:space="preserve"> </w:t>
      </w:r>
      <w:r w:rsidRPr="00EC20A0">
        <w:t>have</w:t>
      </w:r>
      <w:r w:rsidRPr="00EC20A0">
        <w:rPr>
          <w:spacing w:val="-3"/>
        </w:rPr>
        <w:t xml:space="preserve"> </w:t>
      </w:r>
      <w:r w:rsidRPr="00EC20A0">
        <w:t>a</w:t>
      </w:r>
      <w:r w:rsidRPr="00EC20A0">
        <w:rPr>
          <w:spacing w:val="-3"/>
        </w:rPr>
        <w:t xml:space="preserve"> </w:t>
      </w:r>
      <w:r w:rsidRPr="00EC20A0">
        <w:t>material</w:t>
      </w:r>
      <w:r w:rsidRPr="00EC20A0">
        <w:rPr>
          <w:spacing w:val="-3"/>
        </w:rPr>
        <w:t xml:space="preserve"> </w:t>
      </w:r>
      <w:r w:rsidRPr="00EC20A0">
        <w:t>effect</w:t>
      </w:r>
      <w:r w:rsidRPr="00EC20A0">
        <w:rPr>
          <w:spacing w:val="-3"/>
        </w:rPr>
        <w:t xml:space="preserve"> </w:t>
      </w:r>
      <w:r w:rsidRPr="00EC20A0">
        <w:t>on</w:t>
      </w:r>
      <w:r w:rsidRPr="00EC20A0">
        <w:rPr>
          <w:spacing w:val="-4"/>
        </w:rPr>
        <w:t xml:space="preserve"> </w:t>
      </w:r>
      <w:r w:rsidRPr="00EC20A0">
        <w:t>the</w:t>
      </w:r>
      <w:r w:rsidRPr="00EC20A0">
        <w:rPr>
          <w:spacing w:val="-3"/>
        </w:rPr>
        <w:t xml:space="preserve"> </w:t>
      </w:r>
      <w:r w:rsidRPr="00EC20A0">
        <w:t>financial</w:t>
      </w:r>
      <w:r w:rsidRPr="00EC20A0">
        <w:rPr>
          <w:spacing w:val="-3"/>
        </w:rPr>
        <w:t xml:space="preserve"> </w:t>
      </w:r>
      <w:r w:rsidRPr="00EC20A0">
        <w:t>statements</w:t>
      </w:r>
      <w:r w:rsidRPr="00EC20A0">
        <w:rPr>
          <w:spacing w:val="-4"/>
        </w:rPr>
        <w:t xml:space="preserve"> </w:t>
      </w:r>
      <w:r w:rsidRPr="00EC20A0">
        <w:t>have been considered and treated appropriately in the financial statements. The subsequent period covered is from the date of the financial statements to the date of the auditor’s report.</w:t>
      </w:r>
    </w:p>
    <w:p w14:paraId="24D629D5" w14:textId="77777777" w:rsidR="00245300" w:rsidRPr="00EC20A0" w:rsidRDefault="00F17249">
      <w:pPr>
        <w:pStyle w:val="ListParagraph"/>
        <w:numPr>
          <w:ilvl w:val="0"/>
          <w:numId w:val="29"/>
        </w:numPr>
        <w:tabs>
          <w:tab w:val="left" w:pos="2321"/>
        </w:tabs>
        <w:ind w:left="2321" w:right="984"/>
      </w:pPr>
      <w:r w:rsidRPr="00EC20A0">
        <w:t>In</w:t>
      </w:r>
      <w:r w:rsidRPr="00EC20A0">
        <w:rPr>
          <w:spacing w:val="-1"/>
        </w:rPr>
        <w:t xml:space="preserve"> </w:t>
      </w:r>
      <w:r w:rsidRPr="00EC20A0">
        <w:t>addition,</w:t>
      </w:r>
      <w:r w:rsidRPr="00EC20A0">
        <w:rPr>
          <w:spacing w:val="-2"/>
        </w:rPr>
        <w:t xml:space="preserve"> </w:t>
      </w:r>
      <w:r w:rsidRPr="00EC20A0">
        <w:t>close</w:t>
      </w:r>
      <w:r w:rsidRPr="00EC20A0">
        <w:rPr>
          <w:spacing w:val="-1"/>
        </w:rPr>
        <w:t xml:space="preserve"> </w:t>
      </w:r>
      <w:r w:rsidRPr="00EC20A0">
        <w:t>to</w:t>
      </w:r>
      <w:r w:rsidRPr="00EC20A0">
        <w:rPr>
          <w:spacing w:val="-1"/>
        </w:rPr>
        <w:t xml:space="preserve"> </w:t>
      </w:r>
      <w:r w:rsidRPr="00EC20A0">
        <w:t>but</w:t>
      </w:r>
      <w:r w:rsidRPr="00EC20A0">
        <w:rPr>
          <w:spacing w:val="-2"/>
        </w:rPr>
        <w:t xml:space="preserve"> </w:t>
      </w:r>
      <w:r w:rsidRPr="00EC20A0">
        <w:t>prior</w:t>
      </w:r>
      <w:r w:rsidRPr="00EC20A0">
        <w:rPr>
          <w:spacing w:val="-1"/>
        </w:rPr>
        <w:t xml:space="preserve"> </w:t>
      </w:r>
      <w:r w:rsidRPr="00EC20A0">
        <w:t>to</w:t>
      </w:r>
      <w:r w:rsidRPr="00EC20A0">
        <w:rPr>
          <w:spacing w:val="-1"/>
        </w:rPr>
        <w:t xml:space="preserve"> </w:t>
      </w:r>
      <w:r w:rsidRPr="00EC20A0">
        <w:t>the</w:t>
      </w:r>
      <w:r w:rsidRPr="00EC20A0">
        <w:rPr>
          <w:spacing w:val="-1"/>
        </w:rPr>
        <w:t xml:space="preserve"> </w:t>
      </w:r>
      <w:r w:rsidRPr="00EC20A0">
        <w:t>report</w:t>
      </w:r>
      <w:r w:rsidRPr="00EC20A0">
        <w:rPr>
          <w:spacing w:val="-1"/>
        </w:rPr>
        <w:t xml:space="preserve"> </w:t>
      </w:r>
      <w:r w:rsidRPr="00EC20A0">
        <w:t>release</w:t>
      </w:r>
      <w:r w:rsidRPr="00EC20A0">
        <w:rPr>
          <w:spacing w:val="-1"/>
        </w:rPr>
        <w:t xml:space="preserve"> </w:t>
      </w:r>
      <w:r w:rsidRPr="00EC20A0">
        <w:t>date,</w:t>
      </w:r>
      <w:r w:rsidRPr="00EC20A0">
        <w:rPr>
          <w:spacing w:val="-1"/>
        </w:rPr>
        <w:t xml:space="preserve"> </w:t>
      </w:r>
      <w:r w:rsidRPr="00EC20A0">
        <w:t>the</w:t>
      </w:r>
      <w:r w:rsidRPr="00EC20A0">
        <w:rPr>
          <w:spacing w:val="-1"/>
        </w:rPr>
        <w:t xml:space="preserve"> </w:t>
      </w:r>
      <w:r w:rsidRPr="00EC20A0">
        <w:t>auditor</w:t>
      </w:r>
      <w:r w:rsidRPr="00EC20A0">
        <w:rPr>
          <w:spacing w:val="-1"/>
        </w:rPr>
        <w:t xml:space="preserve"> </w:t>
      </w:r>
      <w:r w:rsidRPr="00EC20A0">
        <w:t>may</w:t>
      </w:r>
      <w:r w:rsidRPr="00EC20A0">
        <w:rPr>
          <w:spacing w:val="-1"/>
        </w:rPr>
        <w:t xml:space="preserve"> </w:t>
      </w:r>
      <w:r w:rsidRPr="00EC20A0">
        <w:t>inquire</w:t>
      </w:r>
      <w:r w:rsidRPr="00EC20A0">
        <w:rPr>
          <w:spacing w:val="-1"/>
        </w:rPr>
        <w:t xml:space="preserve"> </w:t>
      </w:r>
      <w:r w:rsidRPr="00EC20A0">
        <w:t>of management</w:t>
      </w:r>
      <w:r w:rsidRPr="00EC20A0">
        <w:rPr>
          <w:spacing w:val="-2"/>
        </w:rPr>
        <w:t xml:space="preserve"> </w:t>
      </w:r>
      <w:r w:rsidRPr="00EC20A0">
        <w:t>to</w:t>
      </w:r>
      <w:r w:rsidRPr="00EC20A0">
        <w:rPr>
          <w:spacing w:val="-2"/>
        </w:rPr>
        <w:t xml:space="preserve"> </w:t>
      </w:r>
      <w:r w:rsidRPr="00EC20A0">
        <w:t>determine</w:t>
      </w:r>
      <w:r w:rsidRPr="00EC20A0">
        <w:rPr>
          <w:spacing w:val="-2"/>
        </w:rPr>
        <w:t xml:space="preserve"> </w:t>
      </w:r>
      <w:r w:rsidRPr="00EC20A0">
        <w:t>if</w:t>
      </w:r>
      <w:r w:rsidRPr="00EC20A0">
        <w:rPr>
          <w:spacing w:val="-2"/>
        </w:rPr>
        <w:t xml:space="preserve"> </w:t>
      </w:r>
      <w:r w:rsidRPr="00EC20A0">
        <w:t>it</w:t>
      </w:r>
      <w:r w:rsidRPr="00EC20A0">
        <w:rPr>
          <w:spacing w:val="-2"/>
        </w:rPr>
        <w:t xml:space="preserve"> </w:t>
      </w:r>
      <w:r w:rsidRPr="00EC20A0">
        <w:t>is</w:t>
      </w:r>
      <w:r w:rsidRPr="00EC20A0">
        <w:rPr>
          <w:spacing w:val="-2"/>
        </w:rPr>
        <w:t xml:space="preserve"> </w:t>
      </w:r>
      <w:r w:rsidRPr="00EC20A0">
        <w:t>aware</w:t>
      </w:r>
      <w:r w:rsidRPr="00EC20A0">
        <w:rPr>
          <w:spacing w:val="-2"/>
        </w:rPr>
        <w:t xml:space="preserve"> </w:t>
      </w:r>
      <w:r w:rsidRPr="00EC20A0">
        <w:t>of</w:t>
      </w:r>
      <w:r w:rsidRPr="00EC20A0">
        <w:rPr>
          <w:spacing w:val="-2"/>
        </w:rPr>
        <w:t xml:space="preserve"> </w:t>
      </w:r>
      <w:r w:rsidRPr="00EC20A0">
        <w:t>any</w:t>
      </w:r>
      <w:r w:rsidRPr="00EC20A0">
        <w:rPr>
          <w:spacing w:val="-2"/>
        </w:rPr>
        <w:t xml:space="preserve"> </w:t>
      </w:r>
      <w:r w:rsidRPr="00EC20A0">
        <w:t>subsequently</w:t>
      </w:r>
      <w:r w:rsidRPr="00EC20A0">
        <w:rPr>
          <w:spacing w:val="-2"/>
        </w:rPr>
        <w:t xml:space="preserve"> </w:t>
      </w:r>
      <w:r w:rsidRPr="00EC20A0">
        <w:t>discovered</w:t>
      </w:r>
      <w:r w:rsidRPr="00EC20A0">
        <w:rPr>
          <w:spacing w:val="-2"/>
        </w:rPr>
        <w:t xml:space="preserve"> </w:t>
      </w:r>
      <w:r w:rsidRPr="00EC20A0">
        <w:t>facts</w:t>
      </w:r>
      <w:r w:rsidRPr="00EC20A0">
        <w:rPr>
          <w:spacing w:val="-2"/>
        </w:rPr>
        <w:t xml:space="preserve"> </w:t>
      </w:r>
      <w:r w:rsidRPr="00EC20A0">
        <w:t>that could</w:t>
      </w:r>
      <w:r w:rsidRPr="00EC20A0">
        <w:rPr>
          <w:spacing w:val="-4"/>
        </w:rPr>
        <w:t xml:space="preserve"> </w:t>
      </w:r>
      <w:r w:rsidRPr="00EC20A0">
        <w:t>materially</w:t>
      </w:r>
      <w:r w:rsidRPr="00EC20A0">
        <w:rPr>
          <w:spacing w:val="-4"/>
        </w:rPr>
        <w:t xml:space="preserve"> </w:t>
      </w:r>
      <w:r w:rsidRPr="00EC20A0">
        <w:t>affect</w:t>
      </w:r>
      <w:r w:rsidRPr="00EC20A0">
        <w:rPr>
          <w:spacing w:val="-4"/>
        </w:rPr>
        <w:t xml:space="preserve"> </w:t>
      </w:r>
      <w:r w:rsidRPr="00EC20A0">
        <w:t>the</w:t>
      </w:r>
      <w:r w:rsidRPr="00EC20A0">
        <w:rPr>
          <w:spacing w:val="-4"/>
        </w:rPr>
        <w:t xml:space="preserve"> </w:t>
      </w:r>
      <w:r w:rsidRPr="00EC20A0">
        <w:t>financial</w:t>
      </w:r>
      <w:r w:rsidRPr="00EC20A0">
        <w:rPr>
          <w:spacing w:val="-5"/>
        </w:rPr>
        <w:t xml:space="preserve"> </w:t>
      </w:r>
      <w:r w:rsidRPr="00EC20A0">
        <w:t>statements</w:t>
      </w:r>
      <w:r w:rsidRPr="00EC20A0">
        <w:rPr>
          <w:spacing w:val="-4"/>
        </w:rPr>
        <w:t xml:space="preserve"> </w:t>
      </w:r>
      <w:r w:rsidRPr="00EC20A0">
        <w:t>(see</w:t>
      </w:r>
      <w:r w:rsidRPr="00EC20A0">
        <w:rPr>
          <w:spacing w:val="-4"/>
        </w:rPr>
        <w:t xml:space="preserve"> </w:t>
      </w:r>
      <w:r w:rsidRPr="00EC20A0">
        <w:t>FAM</w:t>
      </w:r>
      <w:r w:rsidRPr="00EC20A0">
        <w:rPr>
          <w:spacing w:val="-5"/>
        </w:rPr>
        <w:t xml:space="preserve"> </w:t>
      </w:r>
      <w:r w:rsidRPr="00EC20A0">
        <w:t>550.06).</w:t>
      </w:r>
      <w:r w:rsidRPr="00EC20A0">
        <w:rPr>
          <w:spacing w:val="-4"/>
        </w:rPr>
        <w:t xml:space="preserve"> </w:t>
      </w:r>
      <w:r w:rsidRPr="00EC20A0">
        <w:t>If</w:t>
      </w:r>
      <w:r w:rsidRPr="00EC20A0">
        <w:rPr>
          <w:spacing w:val="-4"/>
        </w:rPr>
        <w:t xml:space="preserve"> </w:t>
      </w:r>
      <w:r w:rsidRPr="00EC20A0">
        <w:t>management revises the financial statements for subsequently discovered facts after the original date of the auditor’s report, see AU-C 560.13 for further guidance.</w:t>
      </w:r>
    </w:p>
    <w:p w14:paraId="24D629D6" w14:textId="77777777" w:rsidR="00245300" w:rsidRPr="00EC20A0" w:rsidRDefault="00245300">
      <w:pPr>
        <w:pStyle w:val="BodyText"/>
        <w:spacing w:before="47"/>
      </w:pPr>
    </w:p>
    <w:p w14:paraId="24D629D7" w14:textId="77777777" w:rsidR="00245300" w:rsidRPr="00EC20A0" w:rsidRDefault="00F17249">
      <w:pPr>
        <w:pStyle w:val="Heading4"/>
        <w:spacing w:before="0"/>
        <w:ind w:left="880"/>
      </w:pPr>
      <w:bookmarkStart w:id="426" w:name="Audit_Procedures"/>
      <w:bookmarkEnd w:id="426"/>
      <w:r w:rsidRPr="00EC20A0">
        <w:t>Audit</w:t>
      </w:r>
      <w:r w:rsidRPr="00EC20A0">
        <w:rPr>
          <w:spacing w:val="-10"/>
        </w:rPr>
        <w:t xml:space="preserve"> </w:t>
      </w:r>
      <w:r w:rsidRPr="00EC20A0">
        <w:rPr>
          <w:spacing w:val="-2"/>
        </w:rPr>
        <w:t>Procedures</w:t>
      </w:r>
    </w:p>
    <w:p w14:paraId="24D629D8" w14:textId="77777777" w:rsidR="00245300" w:rsidRPr="00EC20A0" w:rsidRDefault="00F17249">
      <w:pPr>
        <w:pStyle w:val="ListParagraph"/>
        <w:numPr>
          <w:ilvl w:val="0"/>
          <w:numId w:val="29"/>
        </w:numPr>
        <w:tabs>
          <w:tab w:val="left" w:pos="2319"/>
        </w:tabs>
        <w:spacing w:before="299"/>
        <w:ind w:left="2319" w:right="1010" w:hanging="720"/>
      </w:pPr>
      <w:r w:rsidRPr="00EC20A0">
        <w:t>At or near the completion of the audit, the auditor should perform procedures to be aware of any subsequent events that the auditor may ask management to adjust</w:t>
      </w:r>
      <w:r w:rsidRPr="00EC20A0">
        <w:rPr>
          <w:spacing w:val="-3"/>
        </w:rPr>
        <w:t xml:space="preserve"> </w:t>
      </w:r>
      <w:r w:rsidRPr="00EC20A0">
        <w:t>or</w:t>
      </w:r>
      <w:r w:rsidRPr="00EC20A0">
        <w:rPr>
          <w:spacing w:val="-3"/>
        </w:rPr>
        <w:t xml:space="preserve"> </w:t>
      </w:r>
      <w:r w:rsidRPr="00EC20A0">
        <w:t>disclose</w:t>
      </w:r>
      <w:r w:rsidRPr="00EC20A0">
        <w:rPr>
          <w:spacing w:val="-3"/>
        </w:rPr>
        <w:t xml:space="preserve"> </w:t>
      </w:r>
      <w:r w:rsidRPr="00EC20A0">
        <w:t>in</w:t>
      </w:r>
      <w:r w:rsidRPr="00EC20A0">
        <w:rPr>
          <w:spacing w:val="-4"/>
        </w:rPr>
        <w:t xml:space="preserve"> </w:t>
      </w:r>
      <w:r w:rsidRPr="00EC20A0">
        <w:t>the</w:t>
      </w:r>
      <w:r w:rsidRPr="00EC20A0">
        <w:rPr>
          <w:spacing w:val="-5"/>
        </w:rPr>
        <w:t xml:space="preserve"> </w:t>
      </w:r>
      <w:r w:rsidRPr="00EC20A0">
        <w:t>financial</w:t>
      </w:r>
      <w:r w:rsidRPr="00EC20A0">
        <w:rPr>
          <w:spacing w:val="-4"/>
        </w:rPr>
        <w:t xml:space="preserve"> </w:t>
      </w:r>
      <w:r w:rsidRPr="00EC20A0">
        <w:t>statements.</w:t>
      </w:r>
      <w:r w:rsidRPr="00EC20A0">
        <w:rPr>
          <w:spacing w:val="-3"/>
        </w:rPr>
        <w:t xml:space="preserve"> </w:t>
      </w:r>
      <w:r w:rsidRPr="00EC20A0">
        <w:t>These</w:t>
      </w:r>
      <w:r w:rsidRPr="00EC20A0">
        <w:rPr>
          <w:spacing w:val="-3"/>
        </w:rPr>
        <w:t xml:space="preserve"> </w:t>
      </w:r>
      <w:r w:rsidRPr="00EC20A0">
        <w:t>procedures</w:t>
      </w:r>
      <w:r w:rsidRPr="00EC20A0">
        <w:rPr>
          <w:spacing w:val="-3"/>
        </w:rPr>
        <w:t xml:space="preserve"> </w:t>
      </w:r>
      <w:r w:rsidRPr="00EC20A0">
        <w:t>are</w:t>
      </w:r>
      <w:r w:rsidRPr="00EC20A0">
        <w:rPr>
          <w:spacing w:val="-3"/>
        </w:rPr>
        <w:t xml:space="preserve"> </w:t>
      </w:r>
      <w:r w:rsidRPr="00EC20A0">
        <w:t>in</w:t>
      </w:r>
      <w:r w:rsidRPr="00EC20A0">
        <w:rPr>
          <w:spacing w:val="-3"/>
        </w:rPr>
        <w:t xml:space="preserve"> </w:t>
      </w:r>
      <w:r w:rsidRPr="00EC20A0">
        <w:t>addition</w:t>
      </w:r>
      <w:r w:rsidRPr="00EC20A0">
        <w:rPr>
          <w:spacing w:val="-3"/>
        </w:rPr>
        <w:t xml:space="preserve"> </w:t>
      </w:r>
      <w:r w:rsidRPr="00EC20A0">
        <w:t>to</w:t>
      </w:r>
    </w:p>
    <w:p w14:paraId="24D629D9" w14:textId="77777777" w:rsidR="00245300" w:rsidRPr="00EC20A0" w:rsidRDefault="00245300">
      <w:pPr>
        <w:sectPr w:rsidR="00245300" w:rsidRPr="00EC20A0">
          <w:headerReference w:type="default" r:id="rId209"/>
          <w:footerReference w:type="default" r:id="rId210"/>
          <w:pgSz w:w="12240" w:h="15840"/>
          <w:pgMar w:top="1340" w:right="460" w:bottom="940" w:left="560" w:header="721" w:footer="757" w:gutter="0"/>
          <w:pgNumType w:start="1"/>
          <w:cols w:space="720"/>
        </w:sectPr>
      </w:pPr>
    </w:p>
    <w:p w14:paraId="24D629DA" w14:textId="77777777" w:rsidR="00245300" w:rsidRPr="00EC20A0" w:rsidRDefault="00F17249">
      <w:pPr>
        <w:pStyle w:val="BodyText"/>
        <w:spacing w:before="121"/>
        <w:ind w:left="2319" w:right="1154"/>
      </w:pPr>
      <w:r w:rsidRPr="00EC20A0">
        <w:t>substantive tests that the auditor may apply to transactions occurring after the date</w:t>
      </w:r>
      <w:r w:rsidRPr="00EC20A0">
        <w:rPr>
          <w:spacing w:val="-5"/>
        </w:rPr>
        <w:t xml:space="preserve"> </w:t>
      </w:r>
      <w:r w:rsidRPr="00EC20A0">
        <w:t>of</w:t>
      </w:r>
      <w:r w:rsidRPr="00EC20A0">
        <w:rPr>
          <w:spacing w:val="-5"/>
        </w:rPr>
        <w:t xml:space="preserve"> </w:t>
      </w:r>
      <w:r w:rsidRPr="00EC20A0">
        <w:t>the</w:t>
      </w:r>
      <w:r w:rsidRPr="00EC20A0">
        <w:rPr>
          <w:spacing w:val="-5"/>
        </w:rPr>
        <w:t xml:space="preserve"> </w:t>
      </w:r>
      <w:r w:rsidRPr="00EC20A0">
        <w:t>financial</w:t>
      </w:r>
      <w:r w:rsidRPr="00EC20A0">
        <w:rPr>
          <w:spacing w:val="-5"/>
        </w:rPr>
        <w:t xml:space="preserve"> </w:t>
      </w:r>
      <w:r w:rsidRPr="00EC20A0">
        <w:t>statements,</w:t>
      </w:r>
      <w:r w:rsidRPr="00EC20A0">
        <w:rPr>
          <w:spacing w:val="-5"/>
        </w:rPr>
        <w:t xml:space="preserve"> </w:t>
      </w:r>
      <w:r w:rsidRPr="00EC20A0">
        <w:t>such</w:t>
      </w:r>
      <w:r w:rsidRPr="00EC20A0">
        <w:rPr>
          <w:spacing w:val="-5"/>
        </w:rPr>
        <w:t xml:space="preserve"> </w:t>
      </w:r>
      <w:r w:rsidRPr="00EC20A0">
        <w:t>as</w:t>
      </w:r>
      <w:r w:rsidRPr="00EC20A0">
        <w:rPr>
          <w:spacing w:val="-5"/>
        </w:rPr>
        <w:t xml:space="preserve"> </w:t>
      </w:r>
      <w:r w:rsidRPr="00EC20A0">
        <w:t>examining</w:t>
      </w:r>
      <w:r w:rsidRPr="00EC20A0">
        <w:rPr>
          <w:spacing w:val="-5"/>
        </w:rPr>
        <w:t xml:space="preserve"> </w:t>
      </w:r>
      <w:r w:rsidRPr="00EC20A0">
        <w:t>subsequent</w:t>
      </w:r>
      <w:r w:rsidRPr="00EC20A0">
        <w:rPr>
          <w:spacing w:val="-5"/>
        </w:rPr>
        <w:t xml:space="preserve"> </w:t>
      </w:r>
      <w:r w:rsidRPr="00EC20A0">
        <w:t>disbursements to test completeness of accounts payable.</w:t>
      </w:r>
    </w:p>
    <w:p w14:paraId="24D629DB" w14:textId="77777777" w:rsidR="00245300" w:rsidRPr="00EC20A0" w:rsidRDefault="00F17249">
      <w:pPr>
        <w:pStyle w:val="ListParagraph"/>
        <w:numPr>
          <w:ilvl w:val="0"/>
          <w:numId w:val="29"/>
        </w:numPr>
        <w:tabs>
          <w:tab w:val="left" w:pos="2319"/>
        </w:tabs>
        <w:spacing w:before="239"/>
        <w:ind w:left="2319" w:right="999" w:hanging="720"/>
      </w:pPr>
      <w:r w:rsidRPr="00EC20A0">
        <w:t>The following program describes audit procedures that the auditor should</w:t>
      </w:r>
      <w:r w:rsidRPr="00EC20A0">
        <w:rPr>
          <w:spacing w:val="40"/>
        </w:rPr>
        <w:t xml:space="preserve"> </w:t>
      </w:r>
      <w:r w:rsidRPr="00EC20A0">
        <w:t>perform</w:t>
      </w:r>
      <w:r w:rsidRPr="00EC20A0">
        <w:rPr>
          <w:spacing w:val="-3"/>
        </w:rPr>
        <w:t xml:space="preserve"> </w:t>
      </w:r>
      <w:r w:rsidRPr="00EC20A0">
        <w:t>as</w:t>
      </w:r>
      <w:r w:rsidRPr="00EC20A0">
        <w:rPr>
          <w:spacing w:val="-2"/>
        </w:rPr>
        <w:t xml:space="preserve"> </w:t>
      </w:r>
      <w:r w:rsidRPr="00EC20A0">
        <w:t>part</w:t>
      </w:r>
      <w:r w:rsidRPr="00EC20A0">
        <w:rPr>
          <w:spacing w:val="-2"/>
        </w:rPr>
        <w:t xml:space="preserve"> </w:t>
      </w:r>
      <w:r w:rsidRPr="00EC20A0">
        <w:t>of</w:t>
      </w:r>
      <w:r w:rsidRPr="00EC20A0">
        <w:rPr>
          <w:spacing w:val="-2"/>
        </w:rPr>
        <w:t xml:space="preserve"> </w:t>
      </w:r>
      <w:r w:rsidRPr="00EC20A0">
        <w:t>a</w:t>
      </w:r>
      <w:r w:rsidRPr="00EC20A0">
        <w:rPr>
          <w:spacing w:val="-2"/>
        </w:rPr>
        <w:t xml:space="preserve"> </w:t>
      </w:r>
      <w:r w:rsidRPr="00EC20A0">
        <w:t>subsequent</w:t>
      </w:r>
      <w:r w:rsidRPr="00EC20A0">
        <w:rPr>
          <w:spacing w:val="-2"/>
        </w:rPr>
        <w:t xml:space="preserve"> </w:t>
      </w:r>
      <w:r w:rsidRPr="00EC20A0">
        <w:t>events</w:t>
      </w:r>
      <w:r w:rsidRPr="00EC20A0">
        <w:rPr>
          <w:spacing w:val="-2"/>
        </w:rPr>
        <w:t xml:space="preserve"> </w:t>
      </w:r>
      <w:r w:rsidRPr="00EC20A0">
        <w:t>review.</w:t>
      </w:r>
      <w:r w:rsidRPr="00EC20A0">
        <w:rPr>
          <w:spacing w:val="-3"/>
        </w:rPr>
        <w:t xml:space="preserve"> </w:t>
      </w:r>
      <w:r w:rsidRPr="00EC20A0">
        <w:t>The</w:t>
      </w:r>
      <w:r w:rsidRPr="00EC20A0">
        <w:rPr>
          <w:spacing w:val="-2"/>
        </w:rPr>
        <w:t xml:space="preserve"> </w:t>
      </w:r>
      <w:r w:rsidRPr="00EC20A0">
        <w:t>auditor</w:t>
      </w:r>
      <w:r w:rsidRPr="00EC20A0">
        <w:rPr>
          <w:spacing w:val="-3"/>
        </w:rPr>
        <w:t xml:space="preserve"> </w:t>
      </w:r>
      <w:r w:rsidRPr="00EC20A0">
        <w:t>should</w:t>
      </w:r>
      <w:r w:rsidRPr="00EC20A0">
        <w:rPr>
          <w:spacing w:val="-2"/>
        </w:rPr>
        <w:t xml:space="preserve"> </w:t>
      </w:r>
      <w:r w:rsidRPr="00EC20A0">
        <w:t>customize</w:t>
      </w:r>
      <w:r w:rsidRPr="00EC20A0">
        <w:rPr>
          <w:spacing w:val="-2"/>
        </w:rPr>
        <w:t xml:space="preserve"> </w:t>
      </w:r>
      <w:r w:rsidRPr="00EC20A0">
        <w:t>the procedures</w:t>
      </w:r>
      <w:r w:rsidRPr="00EC20A0">
        <w:rPr>
          <w:spacing w:val="-1"/>
        </w:rPr>
        <w:t xml:space="preserve"> </w:t>
      </w:r>
      <w:r w:rsidRPr="00EC20A0">
        <w:t>for</w:t>
      </w:r>
      <w:r w:rsidRPr="00EC20A0">
        <w:rPr>
          <w:spacing w:val="-1"/>
        </w:rPr>
        <w:t xml:space="preserve"> </w:t>
      </w:r>
      <w:r w:rsidRPr="00EC20A0">
        <w:t>the</w:t>
      </w:r>
      <w:r w:rsidRPr="00EC20A0">
        <w:rPr>
          <w:spacing w:val="-1"/>
        </w:rPr>
        <w:t xml:space="preserve"> </w:t>
      </w:r>
      <w:r w:rsidRPr="00EC20A0">
        <w:t>particular</w:t>
      </w:r>
      <w:r w:rsidRPr="00EC20A0">
        <w:rPr>
          <w:spacing w:val="-1"/>
        </w:rPr>
        <w:t xml:space="preserve"> </w:t>
      </w:r>
      <w:r w:rsidRPr="00EC20A0">
        <w:t>entity</w:t>
      </w:r>
      <w:r w:rsidRPr="00EC20A0">
        <w:rPr>
          <w:spacing w:val="-1"/>
        </w:rPr>
        <w:t xml:space="preserve"> </w:t>
      </w:r>
      <w:r w:rsidRPr="00EC20A0">
        <w:t>and</w:t>
      </w:r>
      <w:r w:rsidRPr="00EC20A0">
        <w:rPr>
          <w:spacing w:val="-1"/>
        </w:rPr>
        <w:t xml:space="preserve"> </w:t>
      </w:r>
      <w:r w:rsidRPr="00EC20A0">
        <w:t>should</w:t>
      </w:r>
      <w:r w:rsidRPr="00EC20A0">
        <w:rPr>
          <w:spacing w:val="-1"/>
        </w:rPr>
        <w:t xml:space="preserve"> </w:t>
      </w:r>
      <w:r w:rsidRPr="00EC20A0">
        <w:t>take</w:t>
      </w:r>
      <w:r w:rsidRPr="00EC20A0">
        <w:rPr>
          <w:spacing w:val="-1"/>
        </w:rPr>
        <w:t xml:space="preserve"> </w:t>
      </w:r>
      <w:r w:rsidRPr="00EC20A0">
        <w:t>into</w:t>
      </w:r>
      <w:r w:rsidRPr="00EC20A0">
        <w:rPr>
          <w:spacing w:val="-1"/>
        </w:rPr>
        <w:t xml:space="preserve"> </w:t>
      </w:r>
      <w:r w:rsidRPr="00EC20A0">
        <w:t>account</w:t>
      </w:r>
      <w:r w:rsidRPr="00EC20A0">
        <w:rPr>
          <w:spacing w:val="-1"/>
        </w:rPr>
        <w:t xml:space="preserve"> </w:t>
      </w:r>
      <w:r w:rsidRPr="00EC20A0">
        <w:t>the</w:t>
      </w:r>
      <w:r w:rsidRPr="00EC20A0">
        <w:rPr>
          <w:spacing w:val="-1"/>
        </w:rPr>
        <w:t xml:space="preserve"> </w:t>
      </w:r>
      <w:r w:rsidRPr="00EC20A0">
        <w:t>auditor’s</w:t>
      </w:r>
      <w:r w:rsidRPr="00EC20A0">
        <w:rPr>
          <w:spacing w:val="-1"/>
        </w:rPr>
        <w:t xml:space="preserve"> </w:t>
      </w:r>
      <w:r w:rsidRPr="00EC20A0">
        <w:t>risk assessment</w:t>
      </w:r>
      <w:r w:rsidRPr="00EC20A0">
        <w:rPr>
          <w:spacing w:val="-5"/>
        </w:rPr>
        <w:t xml:space="preserve"> </w:t>
      </w:r>
      <w:r w:rsidRPr="00EC20A0">
        <w:t>in</w:t>
      </w:r>
      <w:r w:rsidRPr="00EC20A0">
        <w:rPr>
          <w:spacing w:val="-4"/>
        </w:rPr>
        <w:t xml:space="preserve"> </w:t>
      </w:r>
      <w:r w:rsidRPr="00EC20A0">
        <w:t>determining</w:t>
      </w:r>
      <w:r w:rsidRPr="00EC20A0">
        <w:rPr>
          <w:spacing w:val="-4"/>
        </w:rPr>
        <w:t xml:space="preserve"> </w:t>
      </w:r>
      <w:r w:rsidRPr="00EC20A0">
        <w:t>the</w:t>
      </w:r>
      <w:r w:rsidRPr="00EC20A0">
        <w:rPr>
          <w:spacing w:val="-4"/>
        </w:rPr>
        <w:t xml:space="preserve"> </w:t>
      </w:r>
      <w:r w:rsidRPr="00EC20A0">
        <w:t>nature</w:t>
      </w:r>
      <w:r w:rsidRPr="00EC20A0">
        <w:rPr>
          <w:spacing w:val="-4"/>
        </w:rPr>
        <w:t xml:space="preserve"> </w:t>
      </w:r>
      <w:r w:rsidRPr="00EC20A0">
        <w:t>and</w:t>
      </w:r>
      <w:r w:rsidRPr="00EC20A0">
        <w:rPr>
          <w:spacing w:val="-4"/>
        </w:rPr>
        <w:t xml:space="preserve"> </w:t>
      </w:r>
      <w:r w:rsidRPr="00EC20A0">
        <w:t>extent</w:t>
      </w:r>
      <w:r w:rsidRPr="00EC20A0">
        <w:rPr>
          <w:spacing w:val="-5"/>
        </w:rPr>
        <w:t xml:space="preserve"> </w:t>
      </w:r>
      <w:r w:rsidRPr="00EC20A0">
        <w:t>of</w:t>
      </w:r>
      <w:r w:rsidRPr="00EC20A0">
        <w:rPr>
          <w:spacing w:val="-4"/>
        </w:rPr>
        <w:t xml:space="preserve"> </w:t>
      </w:r>
      <w:r w:rsidRPr="00EC20A0">
        <w:t>such</w:t>
      </w:r>
      <w:r w:rsidRPr="00EC20A0">
        <w:rPr>
          <w:spacing w:val="-4"/>
        </w:rPr>
        <w:t xml:space="preserve"> </w:t>
      </w:r>
      <w:r w:rsidRPr="00EC20A0">
        <w:t>audit</w:t>
      </w:r>
      <w:r w:rsidRPr="00EC20A0">
        <w:rPr>
          <w:spacing w:val="-4"/>
        </w:rPr>
        <w:t xml:space="preserve"> </w:t>
      </w:r>
      <w:r w:rsidRPr="00EC20A0">
        <w:t>procedures</w:t>
      </w:r>
      <w:r w:rsidRPr="00EC20A0">
        <w:rPr>
          <w:spacing w:val="-4"/>
        </w:rPr>
        <w:t xml:space="preserve"> </w:t>
      </w:r>
      <w:r w:rsidRPr="00EC20A0">
        <w:t xml:space="preserve">(AU-C </w:t>
      </w:r>
      <w:r w:rsidRPr="00EC20A0">
        <w:rPr>
          <w:spacing w:val="-2"/>
        </w:rPr>
        <w:t>560.10).</w:t>
      </w:r>
    </w:p>
    <w:p w14:paraId="24D629DC" w14:textId="77777777" w:rsidR="00245300" w:rsidRPr="00EC20A0" w:rsidRDefault="00245300">
      <w:pPr>
        <w:sectPr w:rsidR="00245300" w:rsidRPr="00EC20A0">
          <w:pgSz w:w="12240" w:h="15840"/>
          <w:pgMar w:top="1340" w:right="460" w:bottom="940" w:left="560" w:header="721" w:footer="757" w:gutter="0"/>
          <w:cols w:space="720"/>
        </w:sectPr>
      </w:pPr>
    </w:p>
    <w:p w14:paraId="24D629DD" w14:textId="77777777" w:rsidR="00245300" w:rsidRPr="00EC20A0" w:rsidRDefault="00F17249">
      <w:pPr>
        <w:pStyle w:val="BodyText"/>
        <w:tabs>
          <w:tab w:val="left" w:pos="10205"/>
        </w:tabs>
        <w:spacing w:before="181" w:line="352" w:lineRule="auto"/>
        <w:ind w:left="880" w:right="1010"/>
        <w:jc w:val="both"/>
      </w:pPr>
      <w:r w:rsidRPr="00EC20A0">
        <w:t xml:space="preserve">Entity </w:t>
      </w:r>
      <w:r w:rsidRPr="00EC20A0">
        <w:rPr>
          <w:u w:val="single"/>
        </w:rPr>
        <w:tab/>
      </w:r>
      <w:r w:rsidRPr="00EC20A0">
        <w:t xml:space="preserve"> Period of financial statements </w:t>
      </w:r>
      <w:r w:rsidRPr="00EC20A0">
        <w:rPr>
          <w:u w:val="single"/>
        </w:rPr>
        <w:tab/>
      </w:r>
      <w:r w:rsidRPr="00EC20A0">
        <w:t xml:space="preserve"> Job code</w:t>
      </w:r>
      <w:r w:rsidRPr="00EC20A0">
        <w:rPr>
          <w:spacing w:val="53"/>
        </w:rPr>
        <w:t xml:space="preserve"> </w:t>
      </w:r>
      <w:r w:rsidRPr="00EC20A0">
        <w:rPr>
          <w:u w:val="single"/>
        </w:rPr>
        <w:tab/>
      </w:r>
    </w:p>
    <w:p w14:paraId="24D629DE" w14:textId="77777777" w:rsidR="00245300" w:rsidRPr="00EC20A0" w:rsidRDefault="00245300">
      <w:pPr>
        <w:pStyle w:val="BodyText"/>
        <w:rPr>
          <w:sz w:val="20"/>
        </w:rPr>
      </w:pPr>
    </w:p>
    <w:p w14:paraId="24D629DF" w14:textId="77777777" w:rsidR="00245300" w:rsidRPr="00EC20A0" w:rsidRDefault="00245300">
      <w:pPr>
        <w:pStyle w:val="BodyText"/>
        <w:spacing w:before="36"/>
        <w:rPr>
          <w:sz w:val="2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245300" w:rsidRPr="00EC20A0" w14:paraId="24D629E3" w14:textId="77777777">
        <w:trPr>
          <w:trHeight w:val="745"/>
        </w:trPr>
        <w:tc>
          <w:tcPr>
            <w:tcW w:w="6930" w:type="dxa"/>
            <w:shd w:val="clear" w:color="auto" w:fill="A6A6A6"/>
          </w:tcPr>
          <w:p w14:paraId="24D629E0" w14:textId="77777777" w:rsidR="00245300" w:rsidRPr="00EC20A0" w:rsidRDefault="00F17249">
            <w:pPr>
              <w:pStyle w:val="TableParagraph"/>
              <w:spacing w:before="121"/>
              <w:ind w:left="107"/>
              <w:rPr>
                <w:b/>
              </w:rPr>
            </w:pPr>
            <w:r w:rsidRPr="00EC20A0">
              <w:rPr>
                <w:b/>
              </w:rPr>
              <w:t>Subsequent</w:t>
            </w:r>
            <w:r w:rsidRPr="00EC20A0">
              <w:rPr>
                <w:b/>
                <w:spacing w:val="-8"/>
              </w:rPr>
              <w:t xml:space="preserve"> </w:t>
            </w:r>
            <w:r w:rsidRPr="00EC20A0">
              <w:rPr>
                <w:b/>
              </w:rPr>
              <w:t>Events</w:t>
            </w:r>
            <w:r w:rsidRPr="00EC20A0">
              <w:rPr>
                <w:b/>
                <w:spacing w:val="-7"/>
              </w:rPr>
              <w:t xml:space="preserve"> </w:t>
            </w:r>
            <w:r w:rsidRPr="00EC20A0">
              <w:rPr>
                <w:b/>
              </w:rPr>
              <w:t>Review</w:t>
            </w:r>
            <w:r w:rsidRPr="00EC20A0">
              <w:rPr>
                <w:b/>
                <w:spacing w:val="-9"/>
              </w:rPr>
              <w:t xml:space="preserve"> </w:t>
            </w:r>
            <w:r w:rsidRPr="00EC20A0">
              <w:rPr>
                <w:b/>
              </w:rPr>
              <w:t>–</w:t>
            </w:r>
            <w:r w:rsidRPr="00EC20A0">
              <w:rPr>
                <w:b/>
                <w:spacing w:val="-7"/>
              </w:rPr>
              <w:t xml:space="preserve"> </w:t>
            </w:r>
            <w:r w:rsidRPr="00EC20A0">
              <w:rPr>
                <w:b/>
              </w:rPr>
              <w:t>Audit</w:t>
            </w:r>
            <w:r w:rsidRPr="00EC20A0">
              <w:rPr>
                <w:b/>
                <w:spacing w:val="-8"/>
              </w:rPr>
              <w:t xml:space="preserve"> </w:t>
            </w:r>
            <w:r w:rsidRPr="00EC20A0">
              <w:rPr>
                <w:b/>
                <w:spacing w:val="-2"/>
              </w:rPr>
              <w:t>Procedures</w:t>
            </w:r>
          </w:p>
        </w:tc>
        <w:tc>
          <w:tcPr>
            <w:tcW w:w="1170" w:type="dxa"/>
            <w:shd w:val="clear" w:color="auto" w:fill="A6A6A6"/>
          </w:tcPr>
          <w:p w14:paraId="24D629E1" w14:textId="77777777" w:rsidR="00245300" w:rsidRPr="00EC20A0" w:rsidRDefault="00F17249">
            <w:pPr>
              <w:pStyle w:val="TableParagraph"/>
              <w:spacing w:before="120"/>
              <w:ind w:left="107" w:right="144"/>
              <w:rPr>
                <w:b/>
              </w:rPr>
            </w:pPr>
            <w:r w:rsidRPr="00EC20A0">
              <w:rPr>
                <w:b/>
                <w:spacing w:val="-2"/>
              </w:rPr>
              <w:t xml:space="preserve">Initials </w:t>
            </w:r>
            <w:r w:rsidRPr="00EC20A0">
              <w:rPr>
                <w:b/>
              </w:rPr>
              <w:t>and</w:t>
            </w:r>
            <w:r w:rsidRPr="00EC20A0">
              <w:rPr>
                <w:b/>
                <w:spacing w:val="-16"/>
              </w:rPr>
              <w:t xml:space="preserve"> </w:t>
            </w:r>
            <w:r w:rsidRPr="00EC20A0">
              <w:rPr>
                <w:b/>
              </w:rPr>
              <w:t>date</w:t>
            </w:r>
          </w:p>
        </w:tc>
        <w:tc>
          <w:tcPr>
            <w:tcW w:w="1368" w:type="dxa"/>
            <w:shd w:val="clear" w:color="auto" w:fill="A6A6A6"/>
          </w:tcPr>
          <w:p w14:paraId="24D629E2" w14:textId="77777777" w:rsidR="00245300" w:rsidRPr="00EC20A0" w:rsidRDefault="00F17249">
            <w:pPr>
              <w:pStyle w:val="TableParagraph"/>
              <w:spacing w:before="121"/>
              <w:ind w:left="107"/>
              <w:rPr>
                <w:b/>
              </w:rPr>
            </w:pPr>
            <w:r w:rsidRPr="00EC20A0">
              <w:rPr>
                <w:b/>
              </w:rPr>
              <w:t>Doc.</w:t>
            </w:r>
            <w:r w:rsidRPr="00EC20A0">
              <w:rPr>
                <w:b/>
                <w:spacing w:val="-6"/>
              </w:rPr>
              <w:t xml:space="preserve"> </w:t>
            </w:r>
            <w:r w:rsidRPr="00EC20A0">
              <w:rPr>
                <w:b/>
                <w:spacing w:val="-4"/>
              </w:rPr>
              <w:t>ref.</w:t>
            </w:r>
          </w:p>
        </w:tc>
      </w:tr>
      <w:tr w:rsidR="00245300" w:rsidRPr="00EC20A0" w14:paraId="24D629E8" w14:textId="77777777">
        <w:trPr>
          <w:trHeight w:val="1745"/>
        </w:trPr>
        <w:tc>
          <w:tcPr>
            <w:tcW w:w="6930" w:type="dxa"/>
          </w:tcPr>
          <w:p w14:paraId="24D629E4" w14:textId="77777777" w:rsidR="00245300" w:rsidRPr="00EC20A0" w:rsidRDefault="00F17249">
            <w:pPr>
              <w:pStyle w:val="TableParagraph"/>
              <w:spacing w:before="121"/>
              <w:ind w:left="107"/>
              <w:rPr>
                <w:b/>
              </w:rPr>
            </w:pPr>
            <w:r w:rsidRPr="00EC20A0">
              <w:rPr>
                <w:b/>
                <w:u w:val="single"/>
              </w:rPr>
              <w:t>I.</w:t>
            </w:r>
            <w:r w:rsidRPr="00EC20A0">
              <w:rPr>
                <w:b/>
                <w:spacing w:val="-9"/>
                <w:u w:val="single"/>
              </w:rPr>
              <w:t xml:space="preserve"> </w:t>
            </w:r>
            <w:r w:rsidRPr="00EC20A0">
              <w:rPr>
                <w:b/>
                <w:u w:val="single"/>
              </w:rPr>
              <w:t>Management’s</w:t>
            </w:r>
            <w:r w:rsidRPr="00EC20A0">
              <w:rPr>
                <w:b/>
                <w:spacing w:val="-9"/>
                <w:u w:val="single"/>
              </w:rPr>
              <w:t xml:space="preserve"> </w:t>
            </w:r>
            <w:r w:rsidRPr="00EC20A0">
              <w:rPr>
                <w:b/>
                <w:spacing w:val="-2"/>
                <w:u w:val="single"/>
              </w:rPr>
              <w:t>procedures</w:t>
            </w:r>
          </w:p>
          <w:p w14:paraId="24D629E5" w14:textId="77777777" w:rsidR="00245300" w:rsidRPr="00EC20A0" w:rsidRDefault="00F17249">
            <w:pPr>
              <w:pStyle w:val="TableParagraph"/>
              <w:tabs>
                <w:tab w:val="left" w:pos="723"/>
              </w:tabs>
              <w:spacing w:before="239"/>
              <w:ind w:left="722" w:right="190" w:hanging="615"/>
            </w:pPr>
            <w:r w:rsidRPr="00EC20A0">
              <w:rPr>
                <w:spacing w:val="-6"/>
              </w:rPr>
              <w:t>1)</w:t>
            </w:r>
            <w:r w:rsidRPr="00EC20A0">
              <w:tab/>
              <w:t>Obtain</w:t>
            </w:r>
            <w:r w:rsidRPr="00EC20A0">
              <w:rPr>
                <w:spacing w:val="-6"/>
              </w:rPr>
              <w:t xml:space="preserve"> </w:t>
            </w:r>
            <w:r w:rsidRPr="00EC20A0">
              <w:t>an</w:t>
            </w:r>
            <w:r w:rsidRPr="00EC20A0">
              <w:rPr>
                <w:spacing w:val="-6"/>
              </w:rPr>
              <w:t xml:space="preserve"> </w:t>
            </w:r>
            <w:r w:rsidRPr="00EC20A0">
              <w:t>understanding</w:t>
            </w:r>
            <w:r w:rsidRPr="00EC20A0">
              <w:rPr>
                <w:spacing w:val="-6"/>
              </w:rPr>
              <w:t xml:space="preserve"> </w:t>
            </w:r>
            <w:r w:rsidRPr="00EC20A0">
              <w:t>of</w:t>
            </w:r>
            <w:r w:rsidRPr="00EC20A0">
              <w:rPr>
                <w:spacing w:val="-5"/>
              </w:rPr>
              <w:t xml:space="preserve"> </w:t>
            </w:r>
            <w:r w:rsidRPr="00EC20A0">
              <w:t>any</w:t>
            </w:r>
            <w:r w:rsidRPr="00EC20A0">
              <w:rPr>
                <w:spacing w:val="-6"/>
              </w:rPr>
              <w:t xml:space="preserve"> </w:t>
            </w:r>
            <w:r w:rsidRPr="00EC20A0">
              <w:t>procedures</w:t>
            </w:r>
            <w:r w:rsidRPr="00EC20A0">
              <w:rPr>
                <w:spacing w:val="-6"/>
              </w:rPr>
              <w:t xml:space="preserve"> </w:t>
            </w:r>
            <w:r w:rsidRPr="00EC20A0">
              <w:t>that</w:t>
            </w:r>
            <w:r w:rsidRPr="00EC20A0">
              <w:rPr>
                <w:spacing w:val="-7"/>
              </w:rPr>
              <w:t xml:space="preserve"> </w:t>
            </w:r>
            <w:r w:rsidRPr="00EC20A0">
              <w:t xml:space="preserve">management has established to ensure that subsequent events are identified (AU-C 560.10a). See SFFAS 39 for management’s </w:t>
            </w:r>
            <w:r w:rsidRPr="00EC20A0">
              <w:rPr>
                <w:spacing w:val="-2"/>
              </w:rPr>
              <w:t>responsibilities.</w:t>
            </w:r>
          </w:p>
        </w:tc>
        <w:tc>
          <w:tcPr>
            <w:tcW w:w="1170" w:type="dxa"/>
          </w:tcPr>
          <w:p w14:paraId="24D629E6" w14:textId="77777777" w:rsidR="00245300" w:rsidRPr="00EC20A0" w:rsidRDefault="00245300">
            <w:pPr>
              <w:pStyle w:val="TableParagraph"/>
              <w:rPr>
                <w:sz w:val="20"/>
              </w:rPr>
            </w:pPr>
          </w:p>
        </w:tc>
        <w:tc>
          <w:tcPr>
            <w:tcW w:w="1368" w:type="dxa"/>
          </w:tcPr>
          <w:p w14:paraId="24D629E7" w14:textId="77777777" w:rsidR="00245300" w:rsidRPr="00EC20A0" w:rsidRDefault="00245300">
            <w:pPr>
              <w:pStyle w:val="TableParagraph"/>
              <w:rPr>
                <w:sz w:val="20"/>
              </w:rPr>
            </w:pPr>
          </w:p>
        </w:tc>
      </w:tr>
      <w:tr w:rsidR="00245300" w:rsidRPr="00EC20A0" w14:paraId="24D629F2" w14:textId="77777777">
        <w:trPr>
          <w:trHeight w:val="6752"/>
        </w:trPr>
        <w:tc>
          <w:tcPr>
            <w:tcW w:w="6930" w:type="dxa"/>
          </w:tcPr>
          <w:p w14:paraId="24D629E9" w14:textId="77777777" w:rsidR="00245300" w:rsidRPr="00EC20A0" w:rsidRDefault="00F17249">
            <w:pPr>
              <w:pStyle w:val="TableParagraph"/>
              <w:spacing w:before="120"/>
              <w:ind w:left="363" w:right="251" w:hanging="272"/>
              <w:rPr>
                <w:b/>
              </w:rPr>
            </w:pPr>
            <w:r w:rsidRPr="00EC20A0">
              <w:rPr>
                <w:b/>
                <w:u w:val="single"/>
              </w:rPr>
              <w:t>II.</w:t>
            </w:r>
            <w:r w:rsidRPr="00EC20A0">
              <w:rPr>
                <w:b/>
                <w:spacing w:val="-6"/>
                <w:u w:val="single"/>
              </w:rPr>
              <w:t xml:space="preserve"> </w:t>
            </w:r>
            <w:r w:rsidRPr="00EC20A0">
              <w:rPr>
                <w:b/>
                <w:u w:val="single"/>
              </w:rPr>
              <w:t>Read</w:t>
            </w:r>
            <w:r w:rsidRPr="00EC20A0">
              <w:rPr>
                <w:b/>
                <w:spacing w:val="-6"/>
                <w:u w:val="single"/>
              </w:rPr>
              <w:t xml:space="preserve"> </w:t>
            </w:r>
            <w:r w:rsidRPr="00EC20A0">
              <w:rPr>
                <w:b/>
                <w:u w:val="single"/>
              </w:rPr>
              <w:t>latest</w:t>
            </w:r>
            <w:r w:rsidRPr="00EC20A0">
              <w:rPr>
                <w:b/>
                <w:spacing w:val="-6"/>
                <w:u w:val="single"/>
              </w:rPr>
              <w:t xml:space="preserve"> </w:t>
            </w:r>
            <w:r w:rsidRPr="00EC20A0">
              <w:rPr>
                <w:b/>
                <w:u w:val="single"/>
              </w:rPr>
              <w:t>subsequent</w:t>
            </w:r>
            <w:r w:rsidRPr="00EC20A0">
              <w:rPr>
                <w:b/>
                <w:spacing w:val="-6"/>
                <w:u w:val="single"/>
              </w:rPr>
              <w:t xml:space="preserve"> </w:t>
            </w:r>
            <w:r w:rsidRPr="00EC20A0">
              <w:rPr>
                <w:b/>
                <w:u w:val="single"/>
              </w:rPr>
              <w:t>interim</w:t>
            </w:r>
            <w:r w:rsidRPr="00EC20A0">
              <w:rPr>
                <w:b/>
                <w:spacing w:val="-6"/>
                <w:u w:val="single"/>
              </w:rPr>
              <w:t xml:space="preserve"> </w:t>
            </w:r>
            <w:r w:rsidRPr="00EC20A0">
              <w:rPr>
                <w:b/>
                <w:u w:val="single"/>
              </w:rPr>
              <w:t>financial</w:t>
            </w:r>
            <w:r w:rsidRPr="00EC20A0">
              <w:rPr>
                <w:b/>
                <w:spacing w:val="-6"/>
                <w:u w:val="single"/>
              </w:rPr>
              <w:t xml:space="preserve"> </w:t>
            </w:r>
            <w:r w:rsidRPr="00EC20A0">
              <w:rPr>
                <w:b/>
                <w:u w:val="single"/>
              </w:rPr>
              <w:t>statements</w:t>
            </w:r>
            <w:r w:rsidRPr="00EC20A0">
              <w:rPr>
                <w:b/>
                <w:spacing w:val="-6"/>
                <w:u w:val="single"/>
              </w:rPr>
              <w:t xml:space="preserve"> </w:t>
            </w:r>
            <w:r w:rsidRPr="00EC20A0">
              <w:rPr>
                <w:b/>
                <w:u w:val="single"/>
              </w:rPr>
              <w:t>(AU-C</w:t>
            </w:r>
            <w:r w:rsidRPr="00EC20A0">
              <w:rPr>
                <w:b/>
              </w:rPr>
              <w:t xml:space="preserve"> </w:t>
            </w:r>
            <w:r w:rsidRPr="00EC20A0">
              <w:rPr>
                <w:b/>
                <w:spacing w:val="-2"/>
                <w:u w:val="single"/>
              </w:rPr>
              <w:t>560.10d)</w:t>
            </w:r>
          </w:p>
          <w:p w14:paraId="24D629EA" w14:textId="77777777" w:rsidR="00245300" w:rsidRPr="00EC20A0" w:rsidRDefault="00F17249">
            <w:pPr>
              <w:pStyle w:val="TableParagraph"/>
              <w:numPr>
                <w:ilvl w:val="0"/>
                <w:numId w:val="28"/>
              </w:numPr>
              <w:tabs>
                <w:tab w:val="left" w:pos="683"/>
              </w:tabs>
              <w:spacing w:before="119"/>
              <w:ind w:right="218" w:hanging="576"/>
            </w:pPr>
            <w:r w:rsidRPr="00EC20A0">
              <w:t>Compare the latest available interim financial statements, if any, with the financial statements under audit to identify any unusual</w:t>
            </w:r>
            <w:r w:rsidRPr="00EC20A0">
              <w:rPr>
                <w:spacing w:val="-7"/>
              </w:rPr>
              <w:t xml:space="preserve"> </w:t>
            </w:r>
            <w:r w:rsidRPr="00EC20A0">
              <w:t>adjustments</w:t>
            </w:r>
            <w:r w:rsidRPr="00EC20A0">
              <w:rPr>
                <w:spacing w:val="-7"/>
              </w:rPr>
              <w:t xml:space="preserve"> </w:t>
            </w:r>
            <w:r w:rsidRPr="00EC20A0">
              <w:t>and</w:t>
            </w:r>
            <w:r w:rsidRPr="00EC20A0">
              <w:rPr>
                <w:spacing w:val="-7"/>
              </w:rPr>
              <w:t xml:space="preserve"> </w:t>
            </w:r>
            <w:r w:rsidRPr="00EC20A0">
              <w:t>investigate</w:t>
            </w:r>
            <w:r w:rsidRPr="00EC20A0">
              <w:rPr>
                <w:spacing w:val="-7"/>
              </w:rPr>
              <w:t xml:space="preserve"> </w:t>
            </w:r>
            <w:r w:rsidRPr="00EC20A0">
              <w:t>any</w:t>
            </w:r>
            <w:r w:rsidRPr="00EC20A0">
              <w:rPr>
                <w:spacing w:val="-7"/>
              </w:rPr>
              <w:t xml:space="preserve"> </w:t>
            </w:r>
            <w:r w:rsidRPr="00EC20A0">
              <w:t>significant</w:t>
            </w:r>
            <w:r w:rsidRPr="00EC20A0">
              <w:rPr>
                <w:spacing w:val="-7"/>
              </w:rPr>
              <w:t xml:space="preserve"> </w:t>
            </w:r>
            <w:r w:rsidRPr="00EC20A0">
              <w:t>variations from expectations.</w:t>
            </w:r>
          </w:p>
          <w:p w14:paraId="24D629EB" w14:textId="77777777" w:rsidR="00245300" w:rsidRPr="00EC20A0" w:rsidRDefault="00F17249">
            <w:pPr>
              <w:pStyle w:val="TableParagraph"/>
              <w:numPr>
                <w:ilvl w:val="0"/>
                <w:numId w:val="28"/>
              </w:numPr>
              <w:tabs>
                <w:tab w:val="left" w:pos="683"/>
              </w:tabs>
              <w:spacing w:before="121"/>
              <w:ind w:right="866"/>
            </w:pPr>
            <w:r w:rsidRPr="00EC20A0">
              <w:t>Inquire</w:t>
            </w:r>
            <w:r w:rsidRPr="00EC20A0">
              <w:rPr>
                <w:spacing w:val="-5"/>
              </w:rPr>
              <w:t xml:space="preserve"> </w:t>
            </w:r>
            <w:r w:rsidRPr="00EC20A0">
              <w:t>as</w:t>
            </w:r>
            <w:r w:rsidRPr="00EC20A0">
              <w:rPr>
                <w:spacing w:val="-5"/>
              </w:rPr>
              <w:t xml:space="preserve"> </w:t>
            </w:r>
            <w:r w:rsidRPr="00EC20A0">
              <w:t>to</w:t>
            </w:r>
            <w:r w:rsidRPr="00EC20A0">
              <w:rPr>
                <w:spacing w:val="-6"/>
              </w:rPr>
              <w:t xml:space="preserve"> </w:t>
            </w:r>
            <w:r w:rsidRPr="00EC20A0">
              <w:t>whether</w:t>
            </w:r>
            <w:r w:rsidRPr="00EC20A0">
              <w:rPr>
                <w:spacing w:val="-5"/>
              </w:rPr>
              <w:t xml:space="preserve"> </w:t>
            </w:r>
            <w:r w:rsidRPr="00EC20A0">
              <w:t>the</w:t>
            </w:r>
            <w:r w:rsidRPr="00EC20A0">
              <w:rPr>
                <w:spacing w:val="-5"/>
              </w:rPr>
              <w:t xml:space="preserve"> </w:t>
            </w:r>
            <w:r w:rsidRPr="00EC20A0">
              <w:t>interim</w:t>
            </w:r>
            <w:r w:rsidRPr="00EC20A0">
              <w:rPr>
                <w:spacing w:val="-6"/>
              </w:rPr>
              <w:t xml:space="preserve"> </w:t>
            </w:r>
            <w:r w:rsidRPr="00EC20A0">
              <w:t>statements</w:t>
            </w:r>
            <w:r w:rsidRPr="00EC20A0">
              <w:rPr>
                <w:spacing w:val="-5"/>
              </w:rPr>
              <w:t xml:space="preserve"> </w:t>
            </w:r>
            <w:r w:rsidRPr="00EC20A0">
              <w:t>have</w:t>
            </w:r>
            <w:r w:rsidRPr="00EC20A0">
              <w:rPr>
                <w:spacing w:val="-5"/>
              </w:rPr>
              <w:t xml:space="preserve"> </w:t>
            </w:r>
            <w:r w:rsidRPr="00EC20A0">
              <w:t>been prepared on the same basis as the annual statements.</w:t>
            </w:r>
          </w:p>
          <w:p w14:paraId="24D629EC" w14:textId="77777777" w:rsidR="00245300" w:rsidRPr="00EC20A0" w:rsidRDefault="00F17249">
            <w:pPr>
              <w:pStyle w:val="TableParagraph"/>
              <w:numPr>
                <w:ilvl w:val="0"/>
                <w:numId w:val="28"/>
              </w:numPr>
              <w:tabs>
                <w:tab w:val="left" w:pos="681"/>
                <w:tab w:val="left" w:pos="683"/>
              </w:tabs>
              <w:spacing w:before="239"/>
              <w:ind w:right="267"/>
              <w:jc w:val="both"/>
            </w:pPr>
            <w:r w:rsidRPr="00EC20A0">
              <w:t>Compare</w:t>
            </w:r>
            <w:r w:rsidRPr="00EC20A0">
              <w:rPr>
                <w:spacing w:val="-4"/>
              </w:rPr>
              <w:t xml:space="preserve"> </w:t>
            </w:r>
            <w:r w:rsidRPr="00EC20A0">
              <w:t>items</w:t>
            </w:r>
            <w:r w:rsidRPr="00EC20A0">
              <w:rPr>
                <w:spacing w:val="-4"/>
              </w:rPr>
              <w:t xml:space="preserve"> </w:t>
            </w:r>
            <w:r w:rsidRPr="00EC20A0">
              <w:t>in</w:t>
            </w:r>
            <w:r w:rsidRPr="00EC20A0">
              <w:rPr>
                <w:spacing w:val="-4"/>
              </w:rPr>
              <w:t xml:space="preserve"> </w:t>
            </w:r>
            <w:r w:rsidRPr="00EC20A0">
              <w:t>the</w:t>
            </w:r>
            <w:r w:rsidRPr="00EC20A0">
              <w:rPr>
                <w:spacing w:val="-4"/>
              </w:rPr>
              <w:t xml:space="preserve"> </w:t>
            </w:r>
            <w:r w:rsidRPr="00EC20A0">
              <w:t>statement</w:t>
            </w:r>
            <w:r w:rsidRPr="00EC20A0">
              <w:rPr>
                <w:spacing w:val="-4"/>
              </w:rPr>
              <w:t xml:space="preserve"> </w:t>
            </w:r>
            <w:r w:rsidRPr="00EC20A0">
              <w:t>of</w:t>
            </w:r>
            <w:r w:rsidRPr="00EC20A0">
              <w:rPr>
                <w:spacing w:val="-4"/>
              </w:rPr>
              <w:t xml:space="preserve"> </w:t>
            </w:r>
            <w:r w:rsidRPr="00EC20A0">
              <w:t>net</w:t>
            </w:r>
            <w:r w:rsidRPr="00EC20A0">
              <w:rPr>
                <w:spacing w:val="-4"/>
              </w:rPr>
              <w:t xml:space="preserve"> </w:t>
            </w:r>
            <w:r w:rsidRPr="00EC20A0">
              <w:t>costs</w:t>
            </w:r>
            <w:r w:rsidRPr="00EC20A0">
              <w:rPr>
                <w:spacing w:val="-4"/>
              </w:rPr>
              <w:t xml:space="preserve"> </w:t>
            </w:r>
            <w:r w:rsidRPr="00EC20A0">
              <w:t>to</w:t>
            </w:r>
            <w:r w:rsidRPr="00EC20A0">
              <w:rPr>
                <w:spacing w:val="-5"/>
              </w:rPr>
              <w:t xml:space="preserve"> </w:t>
            </w:r>
            <w:r w:rsidRPr="00EC20A0">
              <w:t>similar</w:t>
            </w:r>
            <w:r w:rsidRPr="00EC20A0">
              <w:rPr>
                <w:spacing w:val="-4"/>
              </w:rPr>
              <w:t xml:space="preserve"> </w:t>
            </w:r>
            <w:r w:rsidRPr="00EC20A0">
              <w:t>interim financial</w:t>
            </w:r>
            <w:r w:rsidRPr="00EC20A0">
              <w:rPr>
                <w:spacing w:val="-3"/>
              </w:rPr>
              <w:t xml:space="preserve"> </w:t>
            </w:r>
            <w:r w:rsidRPr="00EC20A0">
              <w:t>statements</w:t>
            </w:r>
            <w:r w:rsidRPr="00EC20A0">
              <w:rPr>
                <w:spacing w:val="-2"/>
              </w:rPr>
              <w:t xml:space="preserve"> </w:t>
            </w:r>
            <w:r w:rsidRPr="00EC20A0">
              <w:t>of</w:t>
            </w:r>
            <w:r w:rsidRPr="00EC20A0">
              <w:rPr>
                <w:spacing w:val="-2"/>
              </w:rPr>
              <w:t xml:space="preserve"> </w:t>
            </w:r>
            <w:r w:rsidRPr="00EC20A0">
              <w:t>the</w:t>
            </w:r>
            <w:r w:rsidRPr="00EC20A0">
              <w:rPr>
                <w:spacing w:val="-2"/>
              </w:rPr>
              <w:t xml:space="preserve"> </w:t>
            </w:r>
            <w:r w:rsidRPr="00EC20A0">
              <w:t>prior</w:t>
            </w:r>
            <w:r w:rsidRPr="00EC20A0">
              <w:rPr>
                <w:spacing w:val="-2"/>
              </w:rPr>
              <w:t xml:space="preserve"> </w:t>
            </w:r>
            <w:r w:rsidRPr="00EC20A0">
              <w:t>year;</w:t>
            </w:r>
            <w:r w:rsidRPr="00EC20A0">
              <w:rPr>
                <w:spacing w:val="-3"/>
              </w:rPr>
              <w:t xml:space="preserve"> </w:t>
            </w:r>
            <w:r w:rsidRPr="00EC20A0">
              <w:t>determine</w:t>
            </w:r>
            <w:r w:rsidRPr="00EC20A0">
              <w:rPr>
                <w:spacing w:val="-2"/>
              </w:rPr>
              <w:t xml:space="preserve"> </w:t>
            </w:r>
            <w:r w:rsidRPr="00EC20A0">
              <w:t xml:space="preserve">expectations and investigate any </w:t>
            </w:r>
            <w:r w:rsidRPr="00EC20A0">
              <w:t>significant variations from expectations.</w:t>
            </w:r>
          </w:p>
          <w:p w14:paraId="24D629ED" w14:textId="77777777" w:rsidR="00245300" w:rsidRPr="00EC20A0" w:rsidRDefault="00F17249">
            <w:pPr>
              <w:pStyle w:val="TableParagraph"/>
              <w:numPr>
                <w:ilvl w:val="0"/>
                <w:numId w:val="28"/>
              </w:numPr>
              <w:tabs>
                <w:tab w:val="left" w:pos="683"/>
              </w:tabs>
              <w:spacing w:before="240"/>
              <w:ind w:hanging="576"/>
            </w:pPr>
            <w:r w:rsidRPr="00EC20A0">
              <w:t>If</w:t>
            </w:r>
            <w:r w:rsidRPr="00EC20A0">
              <w:rPr>
                <w:spacing w:val="-7"/>
              </w:rPr>
              <w:t xml:space="preserve"> </w:t>
            </w:r>
            <w:r w:rsidRPr="00EC20A0">
              <w:t>interim</w:t>
            </w:r>
            <w:r w:rsidRPr="00EC20A0">
              <w:rPr>
                <w:spacing w:val="-7"/>
              </w:rPr>
              <w:t xml:space="preserve"> </w:t>
            </w:r>
            <w:r w:rsidRPr="00EC20A0">
              <w:t>financial</w:t>
            </w:r>
            <w:r w:rsidRPr="00EC20A0">
              <w:rPr>
                <w:spacing w:val="-7"/>
              </w:rPr>
              <w:t xml:space="preserve"> </w:t>
            </w:r>
            <w:r w:rsidRPr="00EC20A0">
              <w:t>statements</w:t>
            </w:r>
            <w:r w:rsidRPr="00EC20A0">
              <w:rPr>
                <w:spacing w:val="-6"/>
              </w:rPr>
              <w:t xml:space="preserve"> </w:t>
            </w:r>
            <w:r w:rsidRPr="00EC20A0">
              <w:t>are</w:t>
            </w:r>
            <w:r w:rsidRPr="00EC20A0">
              <w:rPr>
                <w:spacing w:val="-7"/>
              </w:rPr>
              <w:t xml:space="preserve"> </w:t>
            </w:r>
            <w:r w:rsidRPr="00EC20A0">
              <w:t>not</w:t>
            </w:r>
            <w:r w:rsidRPr="00EC20A0">
              <w:rPr>
                <w:spacing w:val="-6"/>
              </w:rPr>
              <w:t xml:space="preserve"> </w:t>
            </w:r>
            <w:r w:rsidRPr="00EC20A0">
              <w:rPr>
                <w:spacing w:val="-2"/>
              </w:rPr>
              <w:t>available:</w:t>
            </w:r>
          </w:p>
          <w:p w14:paraId="24D629EE" w14:textId="77777777" w:rsidR="00245300" w:rsidRPr="00EC20A0" w:rsidRDefault="00F17249">
            <w:pPr>
              <w:pStyle w:val="TableParagraph"/>
              <w:numPr>
                <w:ilvl w:val="1"/>
                <w:numId w:val="28"/>
              </w:numPr>
              <w:tabs>
                <w:tab w:val="left" w:pos="1259"/>
              </w:tabs>
              <w:spacing w:before="241"/>
              <w:ind w:right="386" w:hanging="576"/>
            </w:pPr>
            <w:r w:rsidRPr="00EC20A0">
              <w:t>Compare</w:t>
            </w:r>
            <w:r w:rsidRPr="00EC20A0">
              <w:rPr>
                <w:spacing w:val="-6"/>
              </w:rPr>
              <w:t xml:space="preserve"> </w:t>
            </w:r>
            <w:r w:rsidRPr="00EC20A0">
              <w:t>interim</w:t>
            </w:r>
            <w:r w:rsidRPr="00EC20A0">
              <w:rPr>
                <w:spacing w:val="-7"/>
              </w:rPr>
              <w:t xml:space="preserve"> </w:t>
            </w:r>
            <w:r w:rsidRPr="00EC20A0">
              <w:t>internal</w:t>
            </w:r>
            <w:r w:rsidRPr="00EC20A0">
              <w:rPr>
                <w:spacing w:val="-6"/>
              </w:rPr>
              <w:t xml:space="preserve"> </w:t>
            </w:r>
            <w:r w:rsidRPr="00EC20A0">
              <w:t>financial</w:t>
            </w:r>
            <w:r w:rsidRPr="00EC20A0">
              <w:rPr>
                <w:spacing w:val="-7"/>
              </w:rPr>
              <w:t xml:space="preserve"> </w:t>
            </w:r>
            <w:r w:rsidRPr="00EC20A0">
              <w:t>reports</w:t>
            </w:r>
            <w:r w:rsidRPr="00EC20A0">
              <w:rPr>
                <w:spacing w:val="-6"/>
              </w:rPr>
              <w:t xml:space="preserve"> </w:t>
            </w:r>
            <w:r w:rsidRPr="00EC20A0">
              <w:t>or</w:t>
            </w:r>
            <w:r w:rsidRPr="00EC20A0">
              <w:rPr>
                <w:spacing w:val="-6"/>
              </w:rPr>
              <w:t xml:space="preserve"> </w:t>
            </w:r>
            <w:r w:rsidRPr="00EC20A0">
              <w:t xml:space="preserve">analyses, budgets, or cash flow forecasts, considering any adjustments to the internal reports that may be </w:t>
            </w:r>
            <w:r w:rsidRPr="00EC20A0">
              <w:t>necessary to make meaningful comparisons.</w:t>
            </w:r>
          </w:p>
          <w:p w14:paraId="24D629EF" w14:textId="77777777" w:rsidR="00245300" w:rsidRPr="00EC20A0" w:rsidRDefault="00F17249">
            <w:pPr>
              <w:pStyle w:val="TableParagraph"/>
              <w:numPr>
                <w:ilvl w:val="1"/>
                <w:numId w:val="28"/>
              </w:numPr>
              <w:tabs>
                <w:tab w:val="left" w:pos="1258"/>
              </w:tabs>
              <w:spacing w:before="239"/>
              <w:ind w:left="1258" w:right="131" w:hanging="576"/>
            </w:pPr>
            <w:r w:rsidRPr="00EC20A0">
              <w:t>Review the accounting records prepared since the date of the financial statements for material transactions that may require adjustment to or disclosure in the financial statements.</w:t>
            </w:r>
            <w:r w:rsidRPr="00EC20A0">
              <w:rPr>
                <w:spacing w:val="-6"/>
              </w:rPr>
              <w:t xml:space="preserve"> </w:t>
            </w:r>
            <w:r w:rsidRPr="00EC20A0">
              <w:t>For</w:t>
            </w:r>
            <w:r w:rsidRPr="00EC20A0">
              <w:rPr>
                <w:spacing w:val="-6"/>
              </w:rPr>
              <w:t xml:space="preserve"> </w:t>
            </w:r>
            <w:r w:rsidRPr="00EC20A0">
              <w:t>example,</w:t>
            </w:r>
            <w:r w:rsidRPr="00EC20A0">
              <w:rPr>
                <w:spacing w:val="-6"/>
              </w:rPr>
              <w:t xml:space="preserve"> </w:t>
            </w:r>
            <w:r w:rsidRPr="00EC20A0">
              <w:t>scan</w:t>
            </w:r>
            <w:r w:rsidRPr="00EC20A0">
              <w:rPr>
                <w:spacing w:val="-6"/>
              </w:rPr>
              <w:t xml:space="preserve"> </w:t>
            </w:r>
            <w:r w:rsidRPr="00EC20A0">
              <w:t>the</w:t>
            </w:r>
            <w:r w:rsidRPr="00EC20A0">
              <w:rPr>
                <w:spacing w:val="-6"/>
              </w:rPr>
              <w:t xml:space="preserve"> </w:t>
            </w:r>
            <w:r w:rsidRPr="00EC20A0">
              <w:t>general</w:t>
            </w:r>
            <w:r w:rsidRPr="00EC20A0">
              <w:rPr>
                <w:spacing w:val="-6"/>
              </w:rPr>
              <w:t xml:space="preserve"> </w:t>
            </w:r>
            <w:r w:rsidRPr="00EC20A0">
              <w:t>ledger</w:t>
            </w:r>
            <w:r w:rsidRPr="00EC20A0">
              <w:rPr>
                <w:spacing w:val="-6"/>
              </w:rPr>
              <w:t xml:space="preserve"> </w:t>
            </w:r>
            <w:r w:rsidRPr="00EC20A0">
              <w:t>and/or journals, or both for material, unusual entries.</w:t>
            </w:r>
          </w:p>
        </w:tc>
        <w:tc>
          <w:tcPr>
            <w:tcW w:w="1170" w:type="dxa"/>
          </w:tcPr>
          <w:p w14:paraId="24D629F0" w14:textId="77777777" w:rsidR="00245300" w:rsidRPr="00EC20A0" w:rsidRDefault="00245300">
            <w:pPr>
              <w:pStyle w:val="TableParagraph"/>
              <w:rPr>
                <w:sz w:val="20"/>
              </w:rPr>
            </w:pPr>
          </w:p>
        </w:tc>
        <w:tc>
          <w:tcPr>
            <w:tcW w:w="1368" w:type="dxa"/>
          </w:tcPr>
          <w:p w14:paraId="24D629F1" w14:textId="77777777" w:rsidR="00245300" w:rsidRPr="00EC20A0" w:rsidRDefault="00245300">
            <w:pPr>
              <w:pStyle w:val="TableParagraph"/>
              <w:rPr>
                <w:sz w:val="20"/>
              </w:rPr>
            </w:pPr>
          </w:p>
        </w:tc>
      </w:tr>
    </w:tbl>
    <w:p w14:paraId="24D629F3" w14:textId="77777777" w:rsidR="00245300" w:rsidRPr="00EC20A0" w:rsidRDefault="00245300">
      <w:pPr>
        <w:rPr>
          <w:sz w:val="20"/>
        </w:rPr>
        <w:sectPr w:rsidR="00245300" w:rsidRPr="00EC20A0">
          <w:pgSz w:w="12240" w:h="15840"/>
          <w:pgMar w:top="1340" w:right="460" w:bottom="940" w:left="560" w:header="721" w:footer="757" w:gutter="0"/>
          <w:cols w:space="720"/>
        </w:sectPr>
      </w:pPr>
    </w:p>
    <w:p w14:paraId="24D629F4" w14:textId="77777777" w:rsidR="00245300" w:rsidRPr="00EC20A0" w:rsidRDefault="00245300">
      <w:pPr>
        <w:pStyle w:val="BodyText"/>
        <w:spacing w:before="6"/>
        <w:rPr>
          <w:sz w:val="1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245300" w:rsidRPr="00EC20A0" w14:paraId="24D629F8" w14:textId="77777777">
        <w:trPr>
          <w:trHeight w:val="746"/>
        </w:trPr>
        <w:tc>
          <w:tcPr>
            <w:tcW w:w="6930" w:type="dxa"/>
            <w:shd w:val="clear" w:color="auto" w:fill="A6A6A6"/>
          </w:tcPr>
          <w:p w14:paraId="24D629F5" w14:textId="77777777" w:rsidR="00245300" w:rsidRPr="00EC20A0" w:rsidRDefault="00F17249">
            <w:pPr>
              <w:pStyle w:val="TableParagraph"/>
              <w:spacing w:before="120"/>
              <w:ind w:left="107"/>
              <w:rPr>
                <w:b/>
              </w:rPr>
            </w:pPr>
            <w:r w:rsidRPr="00EC20A0">
              <w:rPr>
                <w:b/>
              </w:rPr>
              <w:t>Subsequent</w:t>
            </w:r>
            <w:r w:rsidRPr="00EC20A0">
              <w:rPr>
                <w:b/>
                <w:spacing w:val="-8"/>
              </w:rPr>
              <w:t xml:space="preserve"> </w:t>
            </w:r>
            <w:r w:rsidRPr="00EC20A0">
              <w:rPr>
                <w:b/>
              </w:rPr>
              <w:t>Events</w:t>
            </w:r>
            <w:r w:rsidRPr="00EC20A0">
              <w:rPr>
                <w:b/>
                <w:spacing w:val="-7"/>
              </w:rPr>
              <w:t xml:space="preserve"> </w:t>
            </w:r>
            <w:r w:rsidRPr="00EC20A0">
              <w:rPr>
                <w:b/>
              </w:rPr>
              <w:t>Review</w:t>
            </w:r>
            <w:r w:rsidRPr="00EC20A0">
              <w:rPr>
                <w:b/>
                <w:spacing w:val="-9"/>
              </w:rPr>
              <w:t xml:space="preserve"> </w:t>
            </w:r>
            <w:r w:rsidRPr="00EC20A0">
              <w:rPr>
                <w:b/>
              </w:rPr>
              <w:t>–</w:t>
            </w:r>
            <w:r w:rsidRPr="00EC20A0">
              <w:rPr>
                <w:b/>
                <w:spacing w:val="-7"/>
              </w:rPr>
              <w:t xml:space="preserve"> </w:t>
            </w:r>
            <w:r w:rsidRPr="00EC20A0">
              <w:rPr>
                <w:b/>
              </w:rPr>
              <w:t>Audit</w:t>
            </w:r>
            <w:r w:rsidRPr="00EC20A0">
              <w:rPr>
                <w:b/>
                <w:spacing w:val="-8"/>
              </w:rPr>
              <w:t xml:space="preserve"> </w:t>
            </w:r>
            <w:r w:rsidRPr="00EC20A0">
              <w:rPr>
                <w:b/>
                <w:spacing w:val="-2"/>
              </w:rPr>
              <w:t>Procedures</w:t>
            </w:r>
          </w:p>
        </w:tc>
        <w:tc>
          <w:tcPr>
            <w:tcW w:w="1170" w:type="dxa"/>
            <w:shd w:val="clear" w:color="auto" w:fill="A6A6A6"/>
          </w:tcPr>
          <w:p w14:paraId="24D629F6" w14:textId="77777777" w:rsidR="00245300" w:rsidRPr="00EC20A0" w:rsidRDefault="00F17249">
            <w:pPr>
              <w:pStyle w:val="TableParagraph"/>
              <w:spacing w:before="120"/>
              <w:ind w:left="107" w:right="144"/>
              <w:rPr>
                <w:b/>
              </w:rPr>
            </w:pPr>
            <w:r w:rsidRPr="00EC20A0">
              <w:rPr>
                <w:b/>
                <w:spacing w:val="-2"/>
              </w:rPr>
              <w:t xml:space="preserve">Initials </w:t>
            </w:r>
            <w:r w:rsidRPr="00EC20A0">
              <w:rPr>
                <w:b/>
              </w:rPr>
              <w:t>and</w:t>
            </w:r>
            <w:r w:rsidRPr="00EC20A0">
              <w:rPr>
                <w:b/>
                <w:spacing w:val="-16"/>
              </w:rPr>
              <w:t xml:space="preserve"> </w:t>
            </w:r>
            <w:r w:rsidRPr="00EC20A0">
              <w:rPr>
                <w:b/>
              </w:rPr>
              <w:t>date</w:t>
            </w:r>
          </w:p>
        </w:tc>
        <w:tc>
          <w:tcPr>
            <w:tcW w:w="1368" w:type="dxa"/>
            <w:shd w:val="clear" w:color="auto" w:fill="A6A6A6"/>
          </w:tcPr>
          <w:p w14:paraId="24D629F7" w14:textId="77777777" w:rsidR="00245300" w:rsidRPr="00EC20A0" w:rsidRDefault="00F17249">
            <w:pPr>
              <w:pStyle w:val="TableParagraph"/>
              <w:spacing w:before="120"/>
              <w:ind w:left="107"/>
              <w:rPr>
                <w:b/>
              </w:rPr>
            </w:pPr>
            <w:r w:rsidRPr="00EC20A0">
              <w:rPr>
                <w:b/>
              </w:rPr>
              <w:t>Doc.</w:t>
            </w:r>
            <w:r w:rsidRPr="00EC20A0">
              <w:rPr>
                <w:b/>
                <w:spacing w:val="-6"/>
              </w:rPr>
              <w:t xml:space="preserve"> </w:t>
            </w:r>
            <w:r w:rsidRPr="00EC20A0">
              <w:rPr>
                <w:b/>
                <w:spacing w:val="-4"/>
              </w:rPr>
              <w:t>ref.</w:t>
            </w:r>
          </w:p>
        </w:tc>
      </w:tr>
      <w:tr w:rsidR="00245300" w:rsidRPr="00EC20A0" w14:paraId="24D62A10" w14:textId="77777777">
        <w:trPr>
          <w:trHeight w:val="12237"/>
        </w:trPr>
        <w:tc>
          <w:tcPr>
            <w:tcW w:w="6930" w:type="dxa"/>
          </w:tcPr>
          <w:p w14:paraId="24D629F9" w14:textId="77777777" w:rsidR="00245300" w:rsidRPr="00EC20A0" w:rsidRDefault="00F17249">
            <w:pPr>
              <w:pStyle w:val="TableParagraph"/>
              <w:spacing w:before="99"/>
              <w:ind w:left="107"/>
              <w:rPr>
                <w:b/>
              </w:rPr>
            </w:pPr>
            <w:r w:rsidRPr="00EC20A0">
              <w:rPr>
                <w:b/>
                <w:u w:val="single"/>
              </w:rPr>
              <w:t>III.</w:t>
            </w:r>
            <w:r w:rsidRPr="00EC20A0">
              <w:rPr>
                <w:b/>
                <w:spacing w:val="-5"/>
                <w:u w:val="single"/>
              </w:rPr>
              <w:t xml:space="preserve"> </w:t>
            </w:r>
            <w:r w:rsidRPr="00EC20A0">
              <w:rPr>
                <w:b/>
                <w:u w:val="single"/>
              </w:rPr>
              <w:t>Inquire</w:t>
            </w:r>
            <w:r w:rsidRPr="00EC20A0">
              <w:rPr>
                <w:b/>
                <w:spacing w:val="-4"/>
                <w:u w:val="single"/>
              </w:rPr>
              <w:t xml:space="preserve"> </w:t>
            </w:r>
            <w:r w:rsidRPr="00EC20A0">
              <w:rPr>
                <w:b/>
                <w:u w:val="single"/>
              </w:rPr>
              <w:t>of</w:t>
            </w:r>
            <w:r w:rsidRPr="00EC20A0">
              <w:rPr>
                <w:b/>
                <w:spacing w:val="-4"/>
                <w:u w:val="single"/>
              </w:rPr>
              <w:t xml:space="preserve"> </w:t>
            </w:r>
            <w:r w:rsidRPr="00EC20A0">
              <w:rPr>
                <w:b/>
                <w:spacing w:val="-2"/>
                <w:u w:val="single"/>
              </w:rPr>
              <w:t>management</w:t>
            </w:r>
          </w:p>
          <w:p w14:paraId="24D629FA" w14:textId="77777777" w:rsidR="00245300" w:rsidRPr="00EC20A0" w:rsidRDefault="00F17249">
            <w:pPr>
              <w:pStyle w:val="TableParagraph"/>
              <w:spacing w:before="201"/>
              <w:ind w:left="453"/>
            </w:pPr>
            <w:r w:rsidRPr="00EC20A0">
              <w:t xml:space="preserve">Based on AU-C 560.10b and .A6, inquire of management and, when </w:t>
            </w:r>
            <w:r w:rsidRPr="00EC20A0">
              <w:t>appropriate, those charged with governance, whether any subsequent</w:t>
            </w:r>
            <w:r w:rsidRPr="00EC20A0">
              <w:rPr>
                <w:spacing w:val="-6"/>
              </w:rPr>
              <w:t xml:space="preserve"> </w:t>
            </w:r>
            <w:r w:rsidRPr="00EC20A0">
              <w:t>events</w:t>
            </w:r>
            <w:r w:rsidRPr="00EC20A0">
              <w:rPr>
                <w:spacing w:val="-5"/>
              </w:rPr>
              <w:t xml:space="preserve"> </w:t>
            </w:r>
            <w:r w:rsidRPr="00EC20A0">
              <w:t>have</w:t>
            </w:r>
            <w:r w:rsidRPr="00EC20A0">
              <w:rPr>
                <w:spacing w:val="-6"/>
              </w:rPr>
              <w:t xml:space="preserve"> </w:t>
            </w:r>
            <w:r w:rsidRPr="00EC20A0">
              <w:t>occurred</w:t>
            </w:r>
            <w:r w:rsidRPr="00EC20A0">
              <w:rPr>
                <w:spacing w:val="-5"/>
              </w:rPr>
              <w:t xml:space="preserve"> </w:t>
            </w:r>
            <w:r w:rsidRPr="00EC20A0">
              <w:t>that</w:t>
            </w:r>
            <w:r w:rsidRPr="00EC20A0">
              <w:rPr>
                <w:spacing w:val="-5"/>
              </w:rPr>
              <w:t xml:space="preserve"> </w:t>
            </w:r>
            <w:r w:rsidRPr="00EC20A0">
              <w:t>might</w:t>
            </w:r>
            <w:r w:rsidRPr="00EC20A0">
              <w:rPr>
                <w:spacing w:val="-5"/>
              </w:rPr>
              <w:t xml:space="preserve"> </w:t>
            </w:r>
            <w:r w:rsidRPr="00EC20A0">
              <w:t>materially</w:t>
            </w:r>
            <w:r w:rsidRPr="00EC20A0">
              <w:rPr>
                <w:spacing w:val="-5"/>
              </w:rPr>
              <w:t xml:space="preserve"> </w:t>
            </w:r>
            <w:r w:rsidRPr="00EC20A0">
              <w:t>affect</w:t>
            </w:r>
            <w:r w:rsidRPr="00EC20A0">
              <w:rPr>
                <w:spacing w:val="-6"/>
              </w:rPr>
              <w:t xml:space="preserve"> </w:t>
            </w:r>
            <w:r w:rsidRPr="00EC20A0">
              <w:t>the financial statements. Inquiries may include the following:</w:t>
            </w:r>
          </w:p>
          <w:p w14:paraId="24D629FB" w14:textId="77777777" w:rsidR="00245300" w:rsidRPr="00EC20A0" w:rsidRDefault="00F17249">
            <w:pPr>
              <w:pStyle w:val="TableParagraph"/>
              <w:numPr>
                <w:ilvl w:val="0"/>
                <w:numId w:val="27"/>
              </w:numPr>
              <w:tabs>
                <w:tab w:val="left" w:pos="683"/>
              </w:tabs>
              <w:spacing w:before="200"/>
              <w:ind w:right="400" w:hanging="576"/>
            </w:pPr>
            <w:r w:rsidRPr="00EC20A0">
              <w:t>whether</w:t>
            </w:r>
            <w:r w:rsidRPr="00EC20A0">
              <w:rPr>
                <w:spacing w:val="-6"/>
              </w:rPr>
              <w:t xml:space="preserve"> </w:t>
            </w:r>
            <w:r w:rsidRPr="00EC20A0">
              <w:t>new</w:t>
            </w:r>
            <w:r w:rsidRPr="00EC20A0">
              <w:rPr>
                <w:spacing w:val="-7"/>
              </w:rPr>
              <w:t xml:space="preserve"> </w:t>
            </w:r>
            <w:r w:rsidRPr="00EC20A0">
              <w:t>commitments,</w:t>
            </w:r>
            <w:r w:rsidRPr="00EC20A0">
              <w:rPr>
                <w:spacing w:val="-6"/>
              </w:rPr>
              <w:t xml:space="preserve"> </w:t>
            </w:r>
            <w:r w:rsidRPr="00EC20A0">
              <w:t>borrowings,</w:t>
            </w:r>
            <w:r w:rsidRPr="00EC20A0">
              <w:rPr>
                <w:spacing w:val="-6"/>
              </w:rPr>
              <w:t xml:space="preserve"> </w:t>
            </w:r>
            <w:r w:rsidRPr="00EC20A0">
              <w:t>or</w:t>
            </w:r>
            <w:r w:rsidRPr="00EC20A0">
              <w:rPr>
                <w:spacing w:val="-6"/>
              </w:rPr>
              <w:t xml:space="preserve"> </w:t>
            </w:r>
            <w:r w:rsidRPr="00EC20A0">
              <w:t>guarantees</w:t>
            </w:r>
            <w:r w:rsidRPr="00EC20A0">
              <w:rPr>
                <w:spacing w:val="-6"/>
              </w:rPr>
              <w:t xml:space="preserve"> </w:t>
            </w:r>
            <w:r w:rsidRPr="00EC20A0">
              <w:t xml:space="preserve">have been entered </w:t>
            </w:r>
            <w:r w:rsidRPr="00EC20A0">
              <w:t>into</w:t>
            </w:r>
          </w:p>
          <w:p w14:paraId="24D629FC" w14:textId="77777777" w:rsidR="00245300" w:rsidRPr="00EC20A0" w:rsidRDefault="00F17249">
            <w:pPr>
              <w:pStyle w:val="TableParagraph"/>
              <w:numPr>
                <w:ilvl w:val="0"/>
                <w:numId w:val="27"/>
              </w:numPr>
              <w:tabs>
                <w:tab w:val="left" w:pos="683"/>
              </w:tabs>
              <w:spacing w:before="100"/>
              <w:ind w:right="717" w:hanging="576"/>
            </w:pPr>
            <w:r w:rsidRPr="00EC20A0">
              <w:t>whether</w:t>
            </w:r>
            <w:r w:rsidRPr="00EC20A0">
              <w:rPr>
                <w:spacing w:val="-6"/>
              </w:rPr>
              <w:t xml:space="preserve"> </w:t>
            </w:r>
            <w:r w:rsidRPr="00EC20A0">
              <w:t>any</w:t>
            </w:r>
            <w:r w:rsidRPr="00EC20A0">
              <w:rPr>
                <w:spacing w:val="-6"/>
              </w:rPr>
              <w:t xml:space="preserve"> </w:t>
            </w:r>
            <w:r w:rsidRPr="00EC20A0">
              <w:t>significant</w:t>
            </w:r>
            <w:r w:rsidRPr="00EC20A0">
              <w:rPr>
                <w:spacing w:val="-6"/>
              </w:rPr>
              <w:t xml:space="preserve"> </w:t>
            </w:r>
            <w:r w:rsidRPr="00EC20A0">
              <w:t>changes</w:t>
            </w:r>
            <w:r w:rsidRPr="00EC20A0">
              <w:rPr>
                <w:spacing w:val="-5"/>
              </w:rPr>
              <w:t xml:space="preserve"> </w:t>
            </w:r>
            <w:r w:rsidRPr="00EC20A0">
              <w:t>occurred</w:t>
            </w:r>
            <w:r w:rsidRPr="00EC20A0">
              <w:rPr>
                <w:spacing w:val="-6"/>
              </w:rPr>
              <w:t xml:space="preserve"> </w:t>
            </w:r>
            <w:r w:rsidRPr="00EC20A0">
              <w:t>in</w:t>
            </w:r>
            <w:r w:rsidRPr="00EC20A0">
              <w:rPr>
                <w:spacing w:val="-6"/>
              </w:rPr>
              <w:t xml:space="preserve"> </w:t>
            </w:r>
            <w:r w:rsidRPr="00EC20A0">
              <w:t>the</w:t>
            </w:r>
            <w:r w:rsidRPr="00EC20A0">
              <w:rPr>
                <w:spacing w:val="-7"/>
              </w:rPr>
              <w:t xml:space="preserve"> </w:t>
            </w:r>
            <w:r w:rsidRPr="00EC20A0">
              <w:t>financial condition</w:t>
            </w:r>
            <w:r w:rsidRPr="00EC20A0">
              <w:rPr>
                <w:spacing w:val="-1"/>
              </w:rPr>
              <w:t xml:space="preserve"> </w:t>
            </w:r>
            <w:r w:rsidRPr="00EC20A0">
              <w:t>of</w:t>
            </w:r>
            <w:r w:rsidRPr="00EC20A0">
              <w:rPr>
                <w:spacing w:val="-2"/>
              </w:rPr>
              <w:t xml:space="preserve"> </w:t>
            </w:r>
            <w:r w:rsidRPr="00EC20A0">
              <w:t>the</w:t>
            </w:r>
            <w:r w:rsidRPr="00EC20A0">
              <w:rPr>
                <w:spacing w:val="-1"/>
              </w:rPr>
              <w:t xml:space="preserve"> </w:t>
            </w:r>
            <w:r w:rsidRPr="00EC20A0">
              <w:t>entity</w:t>
            </w:r>
            <w:r w:rsidRPr="00EC20A0">
              <w:rPr>
                <w:spacing w:val="-1"/>
              </w:rPr>
              <w:t xml:space="preserve"> </w:t>
            </w:r>
            <w:r w:rsidRPr="00EC20A0">
              <w:t>or</w:t>
            </w:r>
            <w:r w:rsidRPr="00EC20A0">
              <w:rPr>
                <w:spacing w:val="-3"/>
              </w:rPr>
              <w:t xml:space="preserve"> </w:t>
            </w:r>
            <w:r w:rsidRPr="00EC20A0">
              <w:t>in</w:t>
            </w:r>
            <w:r w:rsidRPr="00EC20A0">
              <w:rPr>
                <w:spacing w:val="-1"/>
              </w:rPr>
              <w:t xml:space="preserve"> </w:t>
            </w:r>
            <w:r w:rsidRPr="00EC20A0">
              <w:t>net</w:t>
            </w:r>
            <w:r w:rsidRPr="00EC20A0">
              <w:rPr>
                <w:spacing w:val="-1"/>
              </w:rPr>
              <w:t xml:space="preserve"> </w:t>
            </w:r>
            <w:r w:rsidRPr="00EC20A0">
              <w:t>position</w:t>
            </w:r>
            <w:r w:rsidRPr="00EC20A0">
              <w:rPr>
                <w:spacing w:val="-1"/>
              </w:rPr>
              <w:t xml:space="preserve"> </w:t>
            </w:r>
            <w:r w:rsidRPr="00EC20A0">
              <w:t>or</w:t>
            </w:r>
            <w:r w:rsidRPr="00EC20A0">
              <w:rPr>
                <w:spacing w:val="-1"/>
              </w:rPr>
              <w:t xml:space="preserve"> </w:t>
            </w:r>
            <w:r w:rsidRPr="00EC20A0">
              <w:t>long-term</w:t>
            </w:r>
            <w:r w:rsidRPr="00EC20A0">
              <w:rPr>
                <w:spacing w:val="-2"/>
              </w:rPr>
              <w:t xml:space="preserve"> </w:t>
            </w:r>
            <w:r w:rsidRPr="00EC20A0">
              <w:t>debt</w:t>
            </w:r>
          </w:p>
          <w:p w14:paraId="24D629FD" w14:textId="77777777" w:rsidR="00245300" w:rsidRPr="00EC20A0" w:rsidRDefault="00F17249">
            <w:pPr>
              <w:pStyle w:val="TableParagraph"/>
              <w:numPr>
                <w:ilvl w:val="0"/>
                <w:numId w:val="27"/>
              </w:numPr>
              <w:tabs>
                <w:tab w:val="left" w:pos="683"/>
              </w:tabs>
              <w:spacing w:before="253"/>
              <w:ind w:right="219" w:hanging="576"/>
            </w:pPr>
            <w:r w:rsidRPr="00EC20A0">
              <w:t>whether there are any items in the financial statements that were</w:t>
            </w:r>
            <w:r w:rsidRPr="00EC20A0">
              <w:rPr>
                <w:spacing w:val="-5"/>
              </w:rPr>
              <w:t xml:space="preserve"> </w:t>
            </w:r>
            <w:r w:rsidRPr="00EC20A0">
              <w:t>accounted</w:t>
            </w:r>
            <w:r w:rsidRPr="00EC20A0">
              <w:rPr>
                <w:spacing w:val="-5"/>
              </w:rPr>
              <w:t xml:space="preserve"> </w:t>
            </w:r>
            <w:r w:rsidRPr="00EC20A0">
              <w:t>for</w:t>
            </w:r>
            <w:r w:rsidRPr="00EC20A0">
              <w:rPr>
                <w:spacing w:val="-5"/>
              </w:rPr>
              <w:t xml:space="preserve"> </w:t>
            </w:r>
            <w:r w:rsidRPr="00EC20A0">
              <w:t>on</w:t>
            </w:r>
            <w:r w:rsidRPr="00EC20A0">
              <w:rPr>
                <w:spacing w:val="-5"/>
              </w:rPr>
              <w:t xml:space="preserve"> </w:t>
            </w:r>
            <w:r w:rsidRPr="00EC20A0">
              <w:t>the</w:t>
            </w:r>
            <w:r w:rsidRPr="00EC20A0">
              <w:rPr>
                <w:spacing w:val="-5"/>
              </w:rPr>
              <w:t xml:space="preserve"> </w:t>
            </w:r>
            <w:r w:rsidRPr="00EC20A0">
              <w:t>basis</w:t>
            </w:r>
            <w:r w:rsidRPr="00EC20A0">
              <w:rPr>
                <w:spacing w:val="-5"/>
              </w:rPr>
              <w:t xml:space="preserve"> </w:t>
            </w:r>
            <w:r w:rsidRPr="00EC20A0">
              <w:t>of</w:t>
            </w:r>
            <w:r w:rsidRPr="00EC20A0">
              <w:rPr>
                <w:spacing w:val="-6"/>
              </w:rPr>
              <w:t xml:space="preserve"> </w:t>
            </w:r>
            <w:r w:rsidRPr="00EC20A0">
              <w:t>preliminary</w:t>
            </w:r>
            <w:r w:rsidRPr="00EC20A0">
              <w:rPr>
                <w:spacing w:val="-6"/>
              </w:rPr>
              <w:t xml:space="preserve"> </w:t>
            </w:r>
            <w:r w:rsidRPr="00EC20A0">
              <w:t>or</w:t>
            </w:r>
            <w:r w:rsidRPr="00EC20A0">
              <w:rPr>
                <w:spacing w:val="-5"/>
              </w:rPr>
              <w:t xml:space="preserve"> </w:t>
            </w:r>
            <w:r w:rsidRPr="00EC20A0">
              <w:t>inconclusive data and the current status of such items</w:t>
            </w:r>
          </w:p>
          <w:p w14:paraId="24D629FE" w14:textId="77777777" w:rsidR="00245300" w:rsidRPr="00EC20A0" w:rsidRDefault="00F17249">
            <w:pPr>
              <w:pStyle w:val="TableParagraph"/>
              <w:numPr>
                <w:ilvl w:val="0"/>
                <w:numId w:val="27"/>
              </w:numPr>
              <w:tabs>
                <w:tab w:val="left" w:pos="682"/>
              </w:tabs>
              <w:spacing w:before="252"/>
              <w:ind w:left="682" w:right="266" w:hanging="576"/>
            </w:pPr>
            <w:r w:rsidRPr="00EC20A0">
              <w:t>whether</w:t>
            </w:r>
            <w:r w:rsidRPr="00EC20A0">
              <w:rPr>
                <w:spacing w:val="-5"/>
              </w:rPr>
              <w:t xml:space="preserve"> </w:t>
            </w:r>
            <w:r w:rsidRPr="00EC20A0">
              <w:t>any</w:t>
            </w:r>
            <w:r w:rsidRPr="00EC20A0">
              <w:rPr>
                <w:spacing w:val="-4"/>
              </w:rPr>
              <w:t xml:space="preserve"> </w:t>
            </w:r>
            <w:r w:rsidRPr="00EC20A0">
              <w:t>significant</w:t>
            </w:r>
            <w:r w:rsidRPr="00EC20A0">
              <w:rPr>
                <w:spacing w:val="-5"/>
              </w:rPr>
              <w:t xml:space="preserve"> </w:t>
            </w:r>
            <w:r w:rsidRPr="00EC20A0">
              <w:t>changes</w:t>
            </w:r>
            <w:r w:rsidRPr="00EC20A0">
              <w:rPr>
                <w:spacing w:val="-5"/>
              </w:rPr>
              <w:t xml:space="preserve"> </w:t>
            </w:r>
            <w:r w:rsidRPr="00EC20A0">
              <w:t>in</w:t>
            </w:r>
            <w:r w:rsidRPr="00EC20A0">
              <w:rPr>
                <w:spacing w:val="-5"/>
              </w:rPr>
              <w:t xml:space="preserve"> </w:t>
            </w:r>
            <w:r w:rsidRPr="00EC20A0">
              <w:t>estimates</w:t>
            </w:r>
            <w:r w:rsidRPr="00EC20A0">
              <w:rPr>
                <w:spacing w:val="-5"/>
              </w:rPr>
              <w:t xml:space="preserve"> </w:t>
            </w:r>
            <w:r w:rsidRPr="00EC20A0">
              <w:t>were</w:t>
            </w:r>
            <w:r w:rsidRPr="00EC20A0">
              <w:rPr>
                <w:spacing w:val="-5"/>
              </w:rPr>
              <w:t xml:space="preserve"> </w:t>
            </w:r>
            <w:r w:rsidRPr="00EC20A0">
              <w:t>made</w:t>
            </w:r>
            <w:r w:rsidRPr="00EC20A0">
              <w:rPr>
                <w:spacing w:val="-5"/>
              </w:rPr>
              <w:t xml:space="preserve"> </w:t>
            </w:r>
            <w:r w:rsidRPr="00EC20A0">
              <w:t>with respect to amounts included or disclosed in the financial statements, or any significant changes in assumptions or factors were considered in determining estimates</w:t>
            </w:r>
          </w:p>
          <w:p w14:paraId="24D629FF" w14:textId="77777777" w:rsidR="00245300" w:rsidRPr="00EC20A0" w:rsidRDefault="00245300">
            <w:pPr>
              <w:pStyle w:val="TableParagraph"/>
              <w:spacing w:before="1"/>
            </w:pPr>
          </w:p>
          <w:p w14:paraId="24D62A00" w14:textId="77777777" w:rsidR="00245300" w:rsidRPr="00EC20A0" w:rsidRDefault="00F17249">
            <w:pPr>
              <w:pStyle w:val="TableParagraph"/>
              <w:numPr>
                <w:ilvl w:val="0"/>
                <w:numId w:val="27"/>
              </w:numPr>
              <w:tabs>
                <w:tab w:val="left" w:pos="682"/>
              </w:tabs>
              <w:ind w:left="682" w:right="131" w:hanging="576"/>
            </w:pPr>
            <w:r w:rsidRPr="00EC20A0">
              <w:t>whether</w:t>
            </w:r>
            <w:r w:rsidRPr="00EC20A0">
              <w:rPr>
                <w:spacing w:val="-6"/>
              </w:rPr>
              <w:t xml:space="preserve"> </w:t>
            </w:r>
            <w:r w:rsidRPr="00EC20A0">
              <w:t>any</w:t>
            </w:r>
            <w:r w:rsidRPr="00EC20A0">
              <w:rPr>
                <w:spacing w:val="-6"/>
              </w:rPr>
              <w:t xml:space="preserve"> </w:t>
            </w:r>
            <w:r w:rsidRPr="00EC20A0">
              <w:t>unusual</w:t>
            </w:r>
            <w:r w:rsidRPr="00EC20A0">
              <w:rPr>
                <w:spacing w:val="-6"/>
              </w:rPr>
              <w:t xml:space="preserve"> </w:t>
            </w:r>
            <w:r w:rsidRPr="00EC20A0">
              <w:t>accounting</w:t>
            </w:r>
            <w:r w:rsidRPr="00EC20A0">
              <w:rPr>
                <w:spacing w:val="-6"/>
              </w:rPr>
              <w:t xml:space="preserve"> </w:t>
            </w:r>
            <w:r w:rsidRPr="00EC20A0">
              <w:t>adjustments</w:t>
            </w:r>
            <w:r w:rsidRPr="00EC20A0">
              <w:rPr>
                <w:spacing w:val="-6"/>
              </w:rPr>
              <w:t xml:space="preserve"> </w:t>
            </w:r>
            <w:r w:rsidRPr="00EC20A0">
              <w:t>have</w:t>
            </w:r>
            <w:r w:rsidRPr="00EC20A0">
              <w:rPr>
                <w:spacing w:val="-6"/>
              </w:rPr>
              <w:t xml:space="preserve"> </w:t>
            </w:r>
            <w:r w:rsidRPr="00EC20A0">
              <w:t>been</w:t>
            </w:r>
            <w:r w:rsidRPr="00EC20A0">
              <w:rPr>
                <w:spacing w:val="-6"/>
              </w:rPr>
              <w:t xml:space="preserve"> </w:t>
            </w:r>
            <w:r w:rsidRPr="00EC20A0">
              <w:t>made or are contemplated</w:t>
            </w:r>
          </w:p>
          <w:p w14:paraId="24D62A01" w14:textId="77777777" w:rsidR="00245300" w:rsidRPr="00EC20A0" w:rsidRDefault="00245300">
            <w:pPr>
              <w:pStyle w:val="TableParagraph"/>
            </w:pPr>
          </w:p>
          <w:p w14:paraId="24D62A02" w14:textId="77777777" w:rsidR="00245300" w:rsidRPr="00EC20A0" w:rsidRDefault="00F17249">
            <w:pPr>
              <w:pStyle w:val="TableParagraph"/>
              <w:numPr>
                <w:ilvl w:val="0"/>
                <w:numId w:val="27"/>
              </w:numPr>
              <w:tabs>
                <w:tab w:val="left" w:pos="682"/>
              </w:tabs>
              <w:ind w:left="682" w:right="220"/>
            </w:pPr>
            <w:r w:rsidRPr="00EC20A0">
              <w:t>whether there have been any developments regarding contingencies,</w:t>
            </w:r>
            <w:r w:rsidRPr="00EC20A0">
              <w:rPr>
                <w:spacing w:val="-6"/>
              </w:rPr>
              <w:t xml:space="preserve"> </w:t>
            </w:r>
            <w:r w:rsidRPr="00EC20A0">
              <w:t>including</w:t>
            </w:r>
            <w:r w:rsidRPr="00EC20A0">
              <w:rPr>
                <w:spacing w:val="-7"/>
              </w:rPr>
              <w:t xml:space="preserve"> </w:t>
            </w:r>
            <w:r w:rsidRPr="00EC20A0">
              <w:t>those</w:t>
            </w:r>
            <w:r w:rsidRPr="00EC20A0">
              <w:rPr>
                <w:spacing w:val="-6"/>
              </w:rPr>
              <w:t xml:space="preserve"> </w:t>
            </w:r>
            <w:r w:rsidRPr="00EC20A0">
              <w:t>related</w:t>
            </w:r>
            <w:r w:rsidRPr="00EC20A0">
              <w:rPr>
                <w:spacing w:val="-6"/>
              </w:rPr>
              <w:t xml:space="preserve"> </w:t>
            </w:r>
            <w:r w:rsidRPr="00EC20A0">
              <w:t>to</w:t>
            </w:r>
            <w:r w:rsidRPr="00EC20A0">
              <w:rPr>
                <w:spacing w:val="-6"/>
              </w:rPr>
              <w:t xml:space="preserve"> </w:t>
            </w:r>
            <w:r w:rsidRPr="00EC20A0">
              <w:t>litigation,</w:t>
            </w:r>
            <w:r w:rsidRPr="00EC20A0">
              <w:rPr>
                <w:spacing w:val="-6"/>
              </w:rPr>
              <w:t xml:space="preserve"> </w:t>
            </w:r>
            <w:r w:rsidRPr="00EC20A0">
              <w:t>claims,</w:t>
            </w:r>
            <w:r w:rsidRPr="00EC20A0">
              <w:rPr>
                <w:spacing w:val="-6"/>
              </w:rPr>
              <w:t xml:space="preserve"> </w:t>
            </w:r>
            <w:r w:rsidRPr="00EC20A0">
              <w:t xml:space="preserve">and </w:t>
            </w:r>
            <w:r w:rsidRPr="00EC20A0">
              <w:rPr>
                <w:spacing w:val="-2"/>
              </w:rPr>
              <w:t>assessments</w:t>
            </w:r>
          </w:p>
          <w:p w14:paraId="24D62A03" w14:textId="77777777" w:rsidR="00245300" w:rsidRPr="00EC20A0" w:rsidRDefault="00245300">
            <w:pPr>
              <w:pStyle w:val="TableParagraph"/>
            </w:pPr>
          </w:p>
          <w:p w14:paraId="24D62A04" w14:textId="77777777" w:rsidR="00245300" w:rsidRPr="00EC20A0" w:rsidRDefault="00F17249">
            <w:pPr>
              <w:pStyle w:val="TableParagraph"/>
              <w:numPr>
                <w:ilvl w:val="0"/>
                <w:numId w:val="27"/>
              </w:numPr>
              <w:tabs>
                <w:tab w:val="left" w:pos="682"/>
              </w:tabs>
              <w:ind w:left="682" w:right="609"/>
            </w:pPr>
            <w:r w:rsidRPr="00EC20A0">
              <w:t>whether</w:t>
            </w:r>
            <w:r w:rsidRPr="00EC20A0">
              <w:rPr>
                <w:spacing w:val="-6"/>
              </w:rPr>
              <w:t xml:space="preserve"> </w:t>
            </w:r>
            <w:r w:rsidRPr="00EC20A0">
              <w:t>any</w:t>
            </w:r>
            <w:r w:rsidRPr="00EC20A0">
              <w:rPr>
                <w:spacing w:val="-6"/>
              </w:rPr>
              <w:t xml:space="preserve"> </w:t>
            </w:r>
            <w:r w:rsidRPr="00EC20A0">
              <w:t>significant</w:t>
            </w:r>
            <w:r w:rsidRPr="00EC20A0">
              <w:rPr>
                <w:spacing w:val="-6"/>
              </w:rPr>
              <w:t xml:space="preserve"> </w:t>
            </w:r>
            <w:r w:rsidRPr="00EC20A0">
              <w:t>acquisitions</w:t>
            </w:r>
            <w:r w:rsidRPr="00EC20A0">
              <w:rPr>
                <w:spacing w:val="-6"/>
              </w:rPr>
              <w:t xml:space="preserve"> </w:t>
            </w:r>
            <w:r w:rsidRPr="00EC20A0">
              <w:t>or</w:t>
            </w:r>
            <w:r w:rsidRPr="00EC20A0">
              <w:rPr>
                <w:spacing w:val="-6"/>
              </w:rPr>
              <w:t xml:space="preserve"> </w:t>
            </w:r>
            <w:r w:rsidRPr="00EC20A0">
              <w:t>disposals</w:t>
            </w:r>
            <w:r w:rsidRPr="00EC20A0">
              <w:rPr>
                <w:spacing w:val="-6"/>
              </w:rPr>
              <w:t xml:space="preserve"> </w:t>
            </w:r>
            <w:r w:rsidRPr="00EC20A0">
              <w:t>of</w:t>
            </w:r>
            <w:r w:rsidRPr="00EC20A0">
              <w:rPr>
                <w:spacing w:val="-6"/>
              </w:rPr>
              <w:t xml:space="preserve"> </w:t>
            </w:r>
            <w:r w:rsidRPr="00EC20A0">
              <w:t>assets have occurred or are planned</w:t>
            </w:r>
          </w:p>
          <w:p w14:paraId="24D62A05" w14:textId="77777777" w:rsidR="00245300" w:rsidRPr="00EC20A0" w:rsidRDefault="00245300">
            <w:pPr>
              <w:pStyle w:val="TableParagraph"/>
            </w:pPr>
          </w:p>
          <w:p w14:paraId="24D62A06" w14:textId="77777777" w:rsidR="00245300" w:rsidRPr="00EC20A0" w:rsidRDefault="00F17249">
            <w:pPr>
              <w:pStyle w:val="TableParagraph"/>
              <w:numPr>
                <w:ilvl w:val="0"/>
                <w:numId w:val="27"/>
              </w:numPr>
              <w:tabs>
                <w:tab w:val="left" w:pos="683"/>
              </w:tabs>
              <w:ind w:right="411"/>
            </w:pPr>
            <w:r w:rsidRPr="00EC20A0">
              <w:t>whether</w:t>
            </w:r>
            <w:r w:rsidRPr="00EC20A0">
              <w:rPr>
                <w:spacing w:val="-4"/>
              </w:rPr>
              <w:t xml:space="preserve"> </w:t>
            </w:r>
            <w:r w:rsidRPr="00EC20A0">
              <w:t>any</w:t>
            </w:r>
            <w:r w:rsidRPr="00EC20A0">
              <w:rPr>
                <w:spacing w:val="-4"/>
              </w:rPr>
              <w:t xml:space="preserve"> </w:t>
            </w:r>
            <w:r w:rsidRPr="00EC20A0">
              <w:t>events</w:t>
            </w:r>
            <w:r w:rsidRPr="00EC20A0">
              <w:rPr>
                <w:spacing w:val="-4"/>
              </w:rPr>
              <w:t xml:space="preserve"> </w:t>
            </w:r>
            <w:r w:rsidRPr="00EC20A0">
              <w:t>have</w:t>
            </w:r>
            <w:r w:rsidRPr="00EC20A0">
              <w:rPr>
                <w:spacing w:val="-4"/>
              </w:rPr>
              <w:t xml:space="preserve"> </w:t>
            </w:r>
            <w:r w:rsidRPr="00EC20A0">
              <w:t>occurred</w:t>
            </w:r>
            <w:r w:rsidRPr="00EC20A0">
              <w:rPr>
                <w:spacing w:val="-4"/>
              </w:rPr>
              <w:t xml:space="preserve"> </w:t>
            </w:r>
            <w:r w:rsidRPr="00EC20A0">
              <w:t>or</w:t>
            </w:r>
            <w:r w:rsidRPr="00EC20A0">
              <w:rPr>
                <w:spacing w:val="-4"/>
              </w:rPr>
              <w:t xml:space="preserve"> </w:t>
            </w:r>
            <w:r w:rsidRPr="00EC20A0">
              <w:t>are</w:t>
            </w:r>
            <w:r w:rsidRPr="00EC20A0">
              <w:rPr>
                <w:spacing w:val="-4"/>
              </w:rPr>
              <w:t xml:space="preserve"> </w:t>
            </w:r>
            <w:r w:rsidRPr="00EC20A0">
              <w:t>likely</w:t>
            </w:r>
            <w:r w:rsidRPr="00EC20A0">
              <w:rPr>
                <w:spacing w:val="-4"/>
              </w:rPr>
              <w:t xml:space="preserve"> </w:t>
            </w:r>
            <w:r w:rsidRPr="00EC20A0">
              <w:t>to</w:t>
            </w:r>
            <w:r w:rsidRPr="00EC20A0">
              <w:rPr>
                <w:spacing w:val="-4"/>
              </w:rPr>
              <w:t xml:space="preserve"> </w:t>
            </w:r>
            <w:r w:rsidRPr="00EC20A0">
              <w:t>occur</w:t>
            </w:r>
            <w:r w:rsidRPr="00EC20A0">
              <w:rPr>
                <w:spacing w:val="-4"/>
              </w:rPr>
              <w:t xml:space="preserve"> </w:t>
            </w:r>
            <w:r w:rsidRPr="00EC20A0">
              <w:t>that will bring into question the appropriateness of accounting policies used in the financial statements</w:t>
            </w:r>
          </w:p>
          <w:p w14:paraId="24D62A07" w14:textId="77777777" w:rsidR="00245300" w:rsidRPr="00EC20A0" w:rsidRDefault="00245300">
            <w:pPr>
              <w:pStyle w:val="TableParagraph"/>
            </w:pPr>
          </w:p>
          <w:p w14:paraId="24D62A08" w14:textId="77777777" w:rsidR="00245300" w:rsidRPr="00EC20A0" w:rsidRDefault="00F17249">
            <w:pPr>
              <w:pStyle w:val="TableParagraph"/>
              <w:numPr>
                <w:ilvl w:val="0"/>
                <w:numId w:val="27"/>
              </w:numPr>
              <w:tabs>
                <w:tab w:val="left" w:pos="683"/>
              </w:tabs>
              <w:ind w:right="254" w:hanging="576"/>
            </w:pPr>
            <w:r w:rsidRPr="00EC20A0">
              <w:t>whether any events have occurred that are relevant to the measurement</w:t>
            </w:r>
            <w:r w:rsidRPr="00EC20A0">
              <w:rPr>
                <w:spacing w:val="-5"/>
              </w:rPr>
              <w:t xml:space="preserve"> </w:t>
            </w:r>
            <w:r w:rsidRPr="00EC20A0">
              <w:t>of</w:t>
            </w:r>
            <w:r w:rsidRPr="00EC20A0">
              <w:rPr>
                <w:spacing w:val="-5"/>
              </w:rPr>
              <w:t xml:space="preserve"> </w:t>
            </w:r>
            <w:r w:rsidRPr="00EC20A0">
              <w:t>estimates</w:t>
            </w:r>
            <w:r w:rsidRPr="00EC20A0">
              <w:rPr>
                <w:spacing w:val="-5"/>
              </w:rPr>
              <w:t xml:space="preserve"> </w:t>
            </w:r>
            <w:r w:rsidRPr="00EC20A0">
              <w:t>or</w:t>
            </w:r>
            <w:r w:rsidRPr="00EC20A0">
              <w:rPr>
                <w:spacing w:val="-5"/>
              </w:rPr>
              <w:t xml:space="preserve"> </w:t>
            </w:r>
            <w:r w:rsidRPr="00EC20A0">
              <w:t>provisions</w:t>
            </w:r>
            <w:r w:rsidRPr="00EC20A0">
              <w:rPr>
                <w:spacing w:val="-5"/>
              </w:rPr>
              <w:t xml:space="preserve"> </w:t>
            </w:r>
            <w:r w:rsidRPr="00EC20A0">
              <w:t>made</w:t>
            </w:r>
            <w:r w:rsidRPr="00EC20A0">
              <w:rPr>
                <w:spacing w:val="-5"/>
              </w:rPr>
              <w:t xml:space="preserve"> </w:t>
            </w:r>
            <w:r w:rsidRPr="00EC20A0">
              <w:t>in</w:t>
            </w:r>
            <w:r w:rsidRPr="00EC20A0">
              <w:rPr>
                <w:spacing w:val="-5"/>
              </w:rPr>
              <w:t xml:space="preserve"> </w:t>
            </w:r>
            <w:r w:rsidRPr="00EC20A0">
              <w:t>the</w:t>
            </w:r>
            <w:r w:rsidRPr="00EC20A0">
              <w:rPr>
                <w:spacing w:val="-5"/>
              </w:rPr>
              <w:t xml:space="preserve"> </w:t>
            </w:r>
            <w:r w:rsidRPr="00EC20A0">
              <w:t xml:space="preserve">financial </w:t>
            </w:r>
            <w:r w:rsidRPr="00EC20A0">
              <w:rPr>
                <w:spacing w:val="-2"/>
              </w:rPr>
              <w:t>statements</w:t>
            </w:r>
          </w:p>
          <w:p w14:paraId="24D62A09" w14:textId="77777777" w:rsidR="00245300" w:rsidRPr="00EC20A0" w:rsidRDefault="00F17249">
            <w:pPr>
              <w:pStyle w:val="TableParagraph"/>
              <w:numPr>
                <w:ilvl w:val="0"/>
                <w:numId w:val="27"/>
              </w:numPr>
              <w:tabs>
                <w:tab w:val="left" w:pos="683"/>
              </w:tabs>
              <w:spacing w:before="252"/>
              <w:ind w:right="511"/>
            </w:pPr>
            <w:r w:rsidRPr="00EC20A0">
              <w:t>whether any events have occurred that are relevant to the recoverability</w:t>
            </w:r>
            <w:r w:rsidRPr="00EC20A0">
              <w:rPr>
                <w:spacing w:val="-6"/>
              </w:rPr>
              <w:t xml:space="preserve"> </w:t>
            </w:r>
            <w:r w:rsidRPr="00EC20A0">
              <w:t>of</w:t>
            </w:r>
            <w:r w:rsidRPr="00EC20A0">
              <w:rPr>
                <w:spacing w:val="-6"/>
              </w:rPr>
              <w:t xml:space="preserve"> </w:t>
            </w:r>
            <w:r w:rsidRPr="00EC20A0">
              <w:t>assets</w:t>
            </w:r>
            <w:r w:rsidRPr="00EC20A0">
              <w:rPr>
                <w:spacing w:val="-6"/>
              </w:rPr>
              <w:t xml:space="preserve"> </w:t>
            </w:r>
            <w:r w:rsidRPr="00EC20A0">
              <w:t>(e.g.,</w:t>
            </w:r>
            <w:r w:rsidRPr="00EC20A0">
              <w:rPr>
                <w:spacing w:val="-6"/>
              </w:rPr>
              <w:t xml:space="preserve"> </w:t>
            </w:r>
            <w:r w:rsidRPr="00EC20A0">
              <w:t>impairment</w:t>
            </w:r>
            <w:r w:rsidRPr="00EC20A0">
              <w:rPr>
                <w:spacing w:val="-6"/>
              </w:rPr>
              <w:t xml:space="preserve"> </w:t>
            </w:r>
            <w:r w:rsidRPr="00EC20A0">
              <w:t>of</w:t>
            </w:r>
            <w:r w:rsidRPr="00EC20A0">
              <w:rPr>
                <w:spacing w:val="-6"/>
              </w:rPr>
              <w:t xml:space="preserve"> </w:t>
            </w:r>
            <w:r w:rsidRPr="00EC20A0">
              <w:t>property,</w:t>
            </w:r>
            <w:r w:rsidRPr="00EC20A0">
              <w:rPr>
                <w:spacing w:val="-6"/>
              </w:rPr>
              <w:t xml:space="preserve"> </w:t>
            </w:r>
            <w:r w:rsidRPr="00EC20A0">
              <w:t xml:space="preserve">plant, and </w:t>
            </w:r>
            <w:r w:rsidRPr="00EC20A0">
              <w:t>equipment)</w:t>
            </w:r>
          </w:p>
          <w:p w14:paraId="24D62A0A" w14:textId="77777777" w:rsidR="00245300" w:rsidRPr="00EC20A0" w:rsidRDefault="00245300">
            <w:pPr>
              <w:pStyle w:val="TableParagraph"/>
              <w:spacing w:before="1"/>
            </w:pPr>
          </w:p>
          <w:p w14:paraId="24D62A0B" w14:textId="77777777" w:rsidR="00245300" w:rsidRPr="00EC20A0" w:rsidRDefault="00F17249">
            <w:pPr>
              <w:pStyle w:val="TableParagraph"/>
              <w:numPr>
                <w:ilvl w:val="0"/>
                <w:numId w:val="27"/>
              </w:numPr>
              <w:tabs>
                <w:tab w:val="left" w:pos="681"/>
                <w:tab w:val="left" w:pos="684"/>
              </w:tabs>
              <w:ind w:left="684" w:right="1110"/>
              <w:jc w:val="both"/>
            </w:pPr>
            <w:r w:rsidRPr="00EC20A0">
              <w:t>whether there have been</w:t>
            </w:r>
            <w:r w:rsidRPr="00EC20A0">
              <w:rPr>
                <w:spacing w:val="-1"/>
              </w:rPr>
              <w:t xml:space="preserve"> </w:t>
            </w:r>
            <w:r w:rsidRPr="00EC20A0">
              <w:t>any changes in the entity’s disclosure</w:t>
            </w:r>
            <w:r w:rsidRPr="00EC20A0">
              <w:rPr>
                <w:spacing w:val="-8"/>
              </w:rPr>
              <w:t xml:space="preserve"> </w:t>
            </w:r>
            <w:r w:rsidRPr="00EC20A0">
              <w:t>entities,</w:t>
            </w:r>
            <w:r w:rsidRPr="00EC20A0">
              <w:rPr>
                <w:spacing w:val="-8"/>
              </w:rPr>
              <w:t xml:space="preserve"> </w:t>
            </w:r>
            <w:r w:rsidRPr="00EC20A0">
              <w:t>related</w:t>
            </w:r>
            <w:r w:rsidRPr="00EC20A0">
              <w:rPr>
                <w:spacing w:val="-8"/>
              </w:rPr>
              <w:t xml:space="preserve"> </w:t>
            </w:r>
            <w:r w:rsidRPr="00EC20A0">
              <w:t>parties,</w:t>
            </w:r>
            <w:r w:rsidRPr="00EC20A0">
              <w:rPr>
                <w:spacing w:val="-8"/>
              </w:rPr>
              <w:t xml:space="preserve"> </w:t>
            </w:r>
            <w:r w:rsidRPr="00EC20A0">
              <w:t>and</w:t>
            </w:r>
            <w:r w:rsidRPr="00EC20A0">
              <w:rPr>
                <w:spacing w:val="-8"/>
              </w:rPr>
              <w:t xml:space="preserve"> </w:t>
            </w:r>
            <w:r w:rsidRPr="00EC20A0">
              <w:t xml:space="preserve">public-private </w:t>
            </w:r>
            <w:r w:rsidRPr="00EC20A0">
              <w:rPr>
                <w:spacing w:val="-2"/>
              </w:rPr>
              <w:t>partnerships</w:t>
            </w:r>
          </w:p>
          <w:p w14:paraId="24D62A0C" w14:textId="77777777" w:rsidR="00245300" w:rsidRPr="00EC20A0" w:rsidRDefault="00245300">
            <w:pPr>
              <w:pStyle w:val="TableParagraph"/>
            </w:pPr>
          </w:p>
          <w:p w14:paraId="24D62A0D" w14:textId="77777777" w:rsidR="00245300" w:rsidRPr="00EC20A0" w:rsidRDefault="00F17249">
            <w:pPr>
              <w:pStyle w:val="TableParagraph"/>
              <w:numPr>
                <w:ilvl w:val="0"/>
                <w:numId w:val="27"/>
              </w:numPr>
              <w:tabs>
                <w:tab w:val="left" w:pos="683"/>
              </w:tabs>
              <w:spacing w:line="233" w:lineRule="exact"/>
              <w:ind w:hanging="576"/>
            </w:pPr>
            <w:r w:rsidRPr="00EC20A0">
              <w:t>whether</w:t>
            </w:r>
            <w:r w:rsidRPr="00EC20A0">
              <w:rPr>
                <w:spacing w:val="-7"/>
              </w:rPr>
              <w:t xml:space="preserve"> </w:t>
            </w:r>
            <w:r w:rsidRPr="00EC20A0">
              <w:t>there</w:t>
            </w:r>
            <w:r w:rsidRPr="00EC20A0">
              <w:rPr>
                <w:spacing w:val="-7"/>
              </w:rPr>
              <w:t xml:space="preserve"> </w:t>
            </w:r>
            <w:r w:rsidRPr="00EC20A0">
              <w:t>have</w:t>
            </w:r>
            <w:r w:rsidRPr="00EC20A0">
              <w:rPr>
                <w:spacing w:val="-7"/>
              </w:rPr>
              <w:t xml:space="preserve"> </w:t>
            </w:r>
            <w:r w:rsidRPr="00EC20A0">
              <w:t>been</w:t>
            </w:r>
            <w:r w:rsidRPr="00EC20A0">
              <w:rPr>
                <w:spacing w:val="-8"/>
              </w:rPr>
              <w:t xml:space="preserve"> </w:t>
            </w:r>
            <w:r w:rsidRPr="00EC20A0">
              <w:t>any</w:t>
            </w:r>
            <w:r w:rsidRPr="00EC20A0">
              <w:rPr>
                <w:spacing w:val="-7"/>
              </w:rPr>
              <w:t xml:space="preserve"> </w:t>
            </w:r>
            <w:r w:rsidRPr="00EC20A0">
              <w:t>significant</w:t>
            </w:r>
            <w:r w:rsidRPr="00EC20A0">
              <w:rPr>
                <w:spacing w:val="-7"/>
              </w:rPr>
              <w:t xml:space="preserve"> </w:t>
            </w:r>
            <w:r w:rsidRPr="00EC20A0">
              <w:t>new</w:t>
            </w:r>
            <w:r w:rsidRPr="00EC20A0">
              <w:rPr>
                <w:spacing w:val="-7"/>
              </w:rPr>
              <w:t xml:space="preserve"> </w:t>
            </w:r>
            <w:r w:rsidRPr="00EC20A0">
              <w:t>transactions</w:t>
            </w:r>
            <w:r w:rsidRPr="00EC20A0">
              <w:rPr>
                <w:spacing w:val="-8"/>
              </w:rPr>
              <w:t xml:space="preserve"> </w:t>
            </w:r>
            <w:r w:rsidRPr="00EC20A0">
              <w:rPr>
                <w:spacing w:val="-4"/>
              </w:rPr>
              <w:t>with</w:t>
            </w:r>
          </w:p>
        </w:tc>
        <w:tc>
          <w:tcPr>
            <w:tcW w:w="1170" w:type="dxa"/>
          </w:tcPr>
          <w:p w14:paraId="24D62A0E" w14:textId="77777777" w:rsidR="00245300" w:rsidRPr="00EC20A0" w:rsidRDefault="00245300">
            <w:pPr>
              <w:pStyle w:val="TableParagraph"/>
              <w:rPr>
                <w:sz w:val="20"/>
              </w:rPr>
            </w:pPr>
          </w:p>
        </w:tc>
        <w:tc>
          <w:tcPr>
            <w:tcW w:w="1368" w:type="dxa"/>
          </w:tcPr>
          <w:p w14:paraId="24D62A0F" w14:textId="77777777" w:rsidR="00245300" w:rsidRPr="00EC20A0" w:rsidRDefault="00245300">
            <w:pPr>
              <w:pStyle w:val="TableParagraph"/>
              <w:rPr>
                <w:sz w:val="20"/>
              </w:rPr>
            </w:pPr>
          </w:p>
        </w:tc>
      </w:tr>
    </w:tbl>
    <w:p w14:paraId="24D62A11" w14:textId="77777777" w:rsidR="00245300" w:rsidRPr="00EC20A0" w:rsidRDefault="00245300">
      <w:pPr>
        <w:rPr>
          <w:sz w:val="20"/>
        </w:rPr>
        <w:sectPr w:rsidR="00245300" w:rsidRPr="00EC20A0">
          <w:pgSz w:w="12240" w:h="15840"/>
          <w:pgMar w:top="1340" w:right="460" w:bottom="940" w:left="560" w:header="721" w:footer="757" w:gutter="0"/>
          <w:cols w:space="720"/>
        </w:sectPr>
      </w:pPr>
    </w:p>
    <w:p w14:paraId="24D62A12" w14:textId="77777777" w:rsidR="00245300" w:rsidRPr="00EC20A0" w:rsidRDefault="00245300">
      <w:pPr>
        <w:pStyle w:val="BodyText"/>
        <w:spacing w:before="6"/>
        <w:rPr>
          <w:sz w:val="1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245300" w:rsidRPr="00EC20A0" w14:paraId="24D62A16" w14:textId="77777777">
        <w:trPr>
          <w:trHeight w:val="746"/>
        </w:trPr>
        <w:tc>
          <w:tcPr>
            <w:tcW w:w="6930" w:type="dxa"/>
            <w:shd w:val="clear" w:color="auto" w:fill="A6A6A6"/>
          </w:tcPr>
          <w:p w14:paraId="24D62A13" w14:textId="77777777" w:rsidR="00245300" w:rsidRPr="00EC20A0" w:rsidRDefault="00F17249">
            <w:pPr>
              <w:pStyle w:val="TableParagraph"/>
              <w:spacing w:before="120"/>
              <w:ind w:left="107"/>
              <w:rPr>
                <w:b/>
              </w:rPr>
            </w:pPr>
            <w:r w:rsidRPr="00EC20A0">
              <w:rPr>
                <w:b/>
              </w:rPr>
              <w:t>Subsequent</w:t>
            </w:r>
            <w:r w:rsidRPr="00EC20A0">
              <w:rPr>
                <w:b/>
                <w:spacing w:val="-8"/>
              </w:rPr>
              <w:t xml:space="preserve"> </w:t>
            </w:r>
            <w:r w:rsidRPr="00EC20A0">
              <w:rPr>
                <w:b/>
              </w:rPr>
              <w:t>Events</w:t>
            </w:r>
            <w:r w:rsidRPr="00EC20A0">
              <w:rPr>
                <w:b/>
                <w:spacing w:val="-7"/>
              </w:rPr>
              <w:t xml:space="preserve"> </w:t>
            </w:r>
            <w:r w:rsidRPr="00EC20A0">
              <w:rPr>
                <w:b/>
              </w:rPr>
              <w:t>Review</w:t>
            </w:r>
            <w:r w:rsidRPr="00EC20A0">
              <w:rPr>
                <w:b/>
                <w:spacing w:val="-9"/>
              </w:rPr>
              <w:t xml:space="preserve"> </w:t>
            </w:r>
            <w:r w:rsidRPr="00EC20A0">
              <w:rPr>
                <w:b/>
              </w:rPr>
              <w:t>–</w:t>
            </w:r>
            <w:r w:rsidRPr="00EC20A0">
              <w:rPr>
                <w:b/>
                <w:spacing w:val="-7"/>
              </w:rPr>
              <w:t xml:space="preserve"> </w:t>
            </w:r>
            <w:r w:rsidRPr="00EC20A0">
              <w:rPr>
                <w:b/>
              </w:rPr>
              <w:t>Audit</w:t>
            </w:r>
            <w:r w:rsidRPr="00EC20A0">
              <w:rPr>
                <w:b/>
                <w:spacing w:val="-8"/>
              </w:rPr>
              <w:t xml:space="preserve"> </w:t>
            </w:r>
            <w:r w:rsidRPr="00EC20A0">
              <w:rPr>
                <w:b/>
                <w:spacing w:val="-2"/>
              </w:rPr>
              <w:t>Procedures</w:t>
            </w:r>
          </w:p>
        </w:tc>
        <w:tc>
          <w:tcPr>
            <w:tcW w:w="1170" w:type="dxa"/>
            <w:shd w:val="clear" w:color="auto" w:fill="A6A6A6"/>
          </w:tcPr>
          <w:p w14:paraId="24D62A14" w14:textId="77777777" w:rsidR="00245300" w:rsidRPr="00EC20A0" w:rsidRDefault="00F17249">
            <w:pPr>
              <w:pStyle w:val="TableParagraph"/>
              <w:spacing w:before="120"/>
              <w:ind w:left="107" w:right="144"/>
              <w:rPr>
                <w:b/>
              </w:rPr>
            </w:pPr>
            <w:r w:rsidRPr="00EC20A0">
              <w:rPr>
                <w:b/>
                <w:spacing w:val="-2"/>
              </w:rPr>
              <w:t xml:space="preserve">Initials </w:t>
            </w:r>
            <w:r w:rsidRPr="00EC20A0">
              <w:rPr>
                <w:b/>
              </w:rPr>
              <w:t>and</w:t>
            </w:r>
            <w:r w:rsidRPr="00EC20A0">
              <w:rPr>
                <w:b/>
                <w:spacing w:val="-16"/>
              </w:rPr>
              <w:t xml:space="preserve"> </w:t>
            </w:r>
            <w:r w:rsidRPr="00EC20A0">
              <w:rPr>
                <w:b/>
              </w:rPr>
              <w:t>date</w:t>
            </w:r>
          </w:p>
        </w:tc>
        <w:tc>
          <w:tcPr>
            <w:tcW w:w="1368" w:type="dxa"/>
            <w:shd w:val="clear" w:color="auto" w:fill="A6A6A6"/>
          </w:tcPr>
          <w:p w14:paraId="24D62A15" w14:textId="77777777" w:rsidR="00245300" w:rsidRPr="00EC20A0" w:rsidRDefault="00F17249">
            <w:pPr>
              <w:pStyle w:val="TableParagraph"/>
              <w:spacing w:before="120"/>
              <w:ind w:left="107"/>
              <w:rPr>
                <w:b/>
              </w:rPr>
            </w:pPr>
            <w:r w:rsidRPr="00EC20A0">
              <w:rPr>
                <w:b/>
              </w:rPr>
              <w:t>Doc.</w:t>
            </w:r>
            <w:r w:rsidRPr="00EC20A0">
              <w:rPr>
                <w:b/>
                <w:spacing w:val="-6"/>
              </w:rPr>
              <w:t xml:space="preserve"> </w:t>
            </w:r>
            <w:r w:rsidRPr="00EC20A0">
              <w:rPr>
                <w:b/>
                <w:spacing w:val="-4"/>
              </w:rPr>
              <w:t>ref.</w:t>
            </w:r>
          </w:p>
        </w:tc>
      </w:tr>
      <w:tr w:rsidR="00245300" w:rsidRPr="00EC20A0" w14:paraId="24D62A1D" w14:textId="77777777">
        <w:trPr>
          <w:trHeight w:val="3123"/>
        </w:trPr>
        <w:tc>
          <w:tcPr>
            <w:tcW w:w="6930" w:type="dxa"/>
          </w:tcPr>
          <w:p w14:paraId="24D62A17" w14:textId="77777777" w:rsidR="00245300" w:rsidRPr="00EC20A0" w:rsidRDefault="00F17249">
            <w:pPr>
              <w:pStyle w:val="TableParagraph"/>
              <w:ind w:left="683"/>
            </w:pPr>
            <w:r w:rsidRPr="00EC20A0">
              <w:t>disclosure</w:t>
            </w:r>
            <w:r w:rsidRPr="00EC20A0">
              <w:rPr>
                <w:spacing w:val="-8"/>
              </w:rPr>
              <w:t xml:space="preserve"> </w:t>
            </w:r>
            <w:r w:rsidRPr="00EC20A0">
              <w:t>entities,</w:t>
            </w:r>
            <w:r w:rsidRPr="00EC20A0">
              <w:rPr>
                <w:spacing w:val="-8"/>
              </w:rPr>
              <w:t xml:space="preserve"> </w:t>
            </w:r>
            <w:r w:rsidRPr="00EC20A0">
              <w:t>related</w:t>
            </w:r>
            <w:r w:rsidRPr="00EC20A0">
              <w:rPr>
                <w:spacing w:val="-8"/>
              </w:rPr>
              <w:t xml:space="preserve"> </w:t>
            </w:r>
            <w:r w:rsidRPr="00EC20A0">
              <w:t>parties,</w:t>
            </w:r>
            <w:r w:rsidRPr="00EC20A0">
              <w:rPr>
                <w:spacing w:val="-8"/>
              </w:rPr>
              <w:t xml:space="preserve"> </w:t>
            </w:r>
            <w:r w:rsidRPr="00EC20A0">
              <w:t>and</w:t>
            </w:r>
            <w:r w:rsidRPr="00EC20A0">
              <w:rPr>
                <w:spacing w:val="-8"/>
              </w:rPr>
              <w:t xml:space="preserve"> </w:t>
            </w:r>
            <w:r w:rsidRPr="00EC20A0">
              <w:t xml:space="preserve">public-private </w:t>
            </w:r>
            <w:r w:rsidRPr="00EC20A0">
              <w:rPr>
                <w:spacing w:val="-2"/>
              </w:rPr>
              <w:t>partnerships</w:t>
            </w:r>
          </w:p>
          <w:p w14:paraId="24D62A18" w14:textId="77777777" w:rsidR="00245300" w:rsidRPr="00EC20A0" w:rsidRDefault="00245300">
            <w:pPr>
              <w:pStyle w:val="TableParagraph"/>
            </w:pPr>
          </w:p>
          <w:p w14:paraId="24D62A19" w14:textId="77777777" w:rsidR="00245300" w:rsidRPr="00EC20A0" w:rsidRDefault="00F17249">
            <w:pPr>
              <w:pStyle w:val="TableParagraph"/>
              <w:numPr>
                <w:ilvl w:val="0"/>
                <w:numId w:val="26"/>
              </w:numPr>
              <w:tabs>
                <w:tab w:val="left" w:pos="684"/>
              </w:tabs>
              <w:ind w:right="570"/>
            </w:pPr>
            <w:r w:rsidRPr="00EC20A0">
              <w:t>whether</w:t>
            </w:r>
            <w:r w:rsidRPr="00EC20A0">
              <w:rPr>
                <w:spacing w:val="-5"/>
              </w:rPr>
              <w:t xml:space="preserve"> </w:t>
            </w:r>
            <w:r w:rsidRPr="00EC20A0">
              <w:t>the</w:t>
            </w:r>
            <w:r w:rsidRPr="00EC20A0">
              <w:rPr>
                <w:spacing w:val="-5"/>
              </w:rPr>
              <w:t xml:space="preserve"> </w:t>
            </w:r>
            <w:r w:rsidRPr="00EC20A0">
              <w:t>entity</w:t>
            </w:r>
            <w:r w:rsidRPr="00EC20A0">
              <w:rPr>
                <w:spacing w:val="-5"/>
              </w:rPr>
              <w:t xml:space="preserve"> </w:t>
            </w:r>
            <w:r w:rsidRPr="00EC20A0">
              <w:t>has</w:t>
            </w:r>
            <w:r w:rsidRPr="00EC20A0">
              <w:rPr>
                <w:spacing w:val="-4"/>
              </w:rPr>
              <w:t xml:space="preserve"> </w:t>
            </w:r>
            <w:r w:rsidRPr="00EC20A0">
              <w:t>entered</w:t>
            </w:r>
            <w:r w:rsidRPr="00EC20A0">
              <w:rPr>
                <w:spacing w:val="-5"/>
              </w:rPr>
              <w:t xml:space="preserve"> </w:t>
            </w:r>
            <w:r w:rsidRPr="00EC20A0">
              <w:t>into</w:t>
            </w:r>
            <w:r w:rsidRPr="00EC20A0">
              <w:rPr>
                <w:spacing w:val="-5"/>
              </w:rPr>
              <w:t xml:space="preserve"> </w:t>
            </w:r>
            <w:r w:rsidRPr="00EC20A0">
              <w:t>any</w:t>
            </w:r>
            <w:r w:rsidRPr="00EC20A0">
              <w:rPr>
                <w:spacing w:val="-5"/>
              </w:rPr>
              <w:t xml:space="preserve"> </w:t>
            </w:r>
            <w:r w:rsidRPr="00EC20A0">
              <w:t>significant</w:t>
            </w:r>
            <w:r w:rsidRPr="00EC20A0">
              <w:rPr>
                <w:spacing w:val="-5"/>
              </w:rPr>
              <w:t xml:space="preserve"> </w:t>
            </w:r>
            <w:r w:rsidRPr="00EC20A0">
              <w:t xml:space="preserve">unusual </w:t>
            </w:r>
            <w:r w:rsidRPr="00EC20A0">
              <w:rPr>
                <w:spacing w:val="-2"/>
              </w:rPr>
              <w:t>transactions</w:t>
            </w:r>
          </w:p>
          <w:p w14:paraId="24D62A1A" w14:textId="77777777" w:rsidR="00245300" w:rsidRPr="00EC20A0" w:rsidRDefault="00F17249">
            <w:pPr>
              <w:pStyle w:val="TableParagraph"/>
              <w:numPr>
                <w:ilvl w:val="0"/>
                <w:numId w:val="26"/>
              </w:numPr>
              <w:tabs>
                <w:tab w:val="left" w:pos="683"/>
              </w:tabs>
              <w:spacing w:before="99"/>
              <w:ind w:left="683" w:right="253" w:hanging="576"/>
            </w:pPr>
            <w:r w:rsidRPr="00EC20A0">
              <w:t>[For</w:t>
            </w:r>
            <w:r w:rsidRPr="00EC20A0">
              <w:rPr>
                <w:spacing w:val="-5"/>
              </w:rPr>
              <w:t xml:space="preserve"> </w:t>
            </w:r>
            <w:r w:rsidRPr="00EC20A0">
              <w:t>audits</w:t>
            </w:r>
            <w:r w:rsidRPr="00EC20A0">
              <w:rPr>
                <w:spacing w:val="-5"/>
              </w:rPr>
              <w:t xml:space="preserve"> </w:t>
            </w:r>
            <w:r w:rsidRPr="00EC20A0">
              <w:t>of</w:t>
            </w:r>
            <w:r w:rsidRPr="00EC20A0">
              <w:rPr>
                <w:spacing w:val="-5"/>
              </w:rPr>
              <w:t xml:space="preserve"> </w:t>
            </w:r>
            <w:r w:rsidRPr="00EC20A0">
              <w:t>internal</w:t>
            </w:r>
            <w:r w:rsidRPr="00EC20A0">
              <w:rPr>
                <w:spacing w:val="-5"/>
              </w:rPr>
              <w:t xml:space="preserve"> </w:t>
            </w:r>
            <w:r w:rsidRPr="00EC20A0">
              <w:t>control</w:t>
            </w:r>
            <w:r w:rsidRPr="00EC20A0">
              <w:rPr>
                <w:spacing w:val="-5"/>
              </w:rPr>
              <w:t xml:space="preserve"> </w:t>
            </w:r>
            <w:r w:rsidRPr="00EC20A0">
              <w:t>over</w:t>
            </w:r>
            <w:r w:rsidRPr="00EC20A0">
              <w:rPr>
                <w:spacing w:val="-5"/>
              </w:rPr>
              <w:t xml:space="preserve"> </w:t>
            </w:r>
            <w:r w:rsidRPr="00EC20A0">
              <w:t>financial</w:t>
            </w:r>
            <w:r w:rsidRPr="00EC20A0">
              <w:rPr>
                <w:spacing w:val="-5"/>
              </w:rPr>
              <w:t xml:space="preserve"> </w:t>
            </w:r>
            <w:r w:rsidRPr="00EC20A0">
              <w:t>reporting]</w:t>
            </w:r>
            <w:r w:rsidRPr="00EC20A0">
              <w:rPr>
                <w:spacing w:val="-5"/>
              </w:rPr>
              <w:t xml:space="preserve"> </w:t>
            </w:r>
            <w:r w:rsidRPr="00EC20A0">
              <w:t xml:space="preserve">whether </w:t>
            </w:r>
            <w:r w:rsidRPr="00EC20A0">
              <w:t>there were any changes in internal control over financial reporting or conditions that might significantly affect internal control over financial reporting subsequent to the balance sheet date but before the date of the auditor’s report (AU-C 940.06b and .48)</w:t>
            </w:r>
          </w:p>
        </w:tc>
        <w:tc>
          <w:tcPr>
            <w:tcW w:w="1170" w:type="dxa"/>
          </w:tcPr>
          <w:p w14:paraId="24D62A1B" w14:textId="77777777" w:rsidR="00245300" w:rsidRPr="00EC20A0" w:rsidRDefault="00245300">
            <w:pPr>
              <w:pStyle w:val="TableParagraph"/>
              <w:rPr>
                <w:sz w:val="20"/>
              </w:rPr>
            </w:pPr>
          </w:p>
        </w:tc>
        <w:tc>
          <w:tcPr>
            <w:tcW w:w="1368" w:type="dxa"/>
          </w:tcPr>
          <w:p w14:paraId="24D62A1C" w14:textId="77777777" w:rsidR="00245300" w:rsidRPr="00EC20A0" w:rsidRDefault="00245300">
            <w:pPr>
              <w:pStyle w:val="TableParagraph"/>
              <w:rPr>
                <w:sz w:val="20"/>
              </w:rPr>
            </w:pPr>
          </w:p>
        </w:tc>
      </w:tr>
      <w:tr w:rsidR="00245300" w:rsidRPr="00EC20A0" w14:paraId="24D62A27" w14:textId="77777777">
        <w:trPr>
          <w:trHeight w:val="7542"/>
        </w:trPr>
        <w:tc>
          <w:tcPr>
            <w:tcW w:w="6930" w:type="dxa"/>
          </w:tcPr>
          <w:p w14:paraId="24D62A1E" w14:textId="77777777" w:rsidR="00245300" w:rsidRPr="00EC20A0" w:rsidRDefault="00F17249">
            <w:pPr>
              <w:pStyle w:val="TableParagraph"/>
              <w:spacing w:before="120"/>
              <w:ind w:left="107"/>
              <w:rPr>
                <w:b/>
              </w:rPr>
            </w:pPr>
            <w:r w:rsidRPr="00EC20A0">
              <w:rPr>
                <w:b/>
                <w:u w:val="single"/>
              </w:rPr>
              <w:t>IV.</w:t>
            </w:r>
            <w:r w:rsidRPr="00EC20A0">
              <w:rPr>
                <w:b/>
                <w:spacing w:val="-7"/>
                <w:u w:val="single"/>
              </w:rPr>
              <w:t xml:space="preserve"> </w:t>
            </w:r>
            <w:r w:rsidRPr="00EC20A0">
              <w:rPr>
                <w:b/>
                <w:u w:val="single"/>
              </w:rPr>
              <w:t>Read</w:t>
            </w:r>
            <w:r w:rsidRPr="00EC20A0">
              <w:rPr>
                <w:b/>
                <w:spacing w:val="-6"/>
                <w:u w:val="single"/>
              </w:rPr>
              <w:t xml:space="preserve"> </w:t>
            </w:r>
            <w:r w:rsidRPr="00EC20A0">
              <w:rPr>
                <w:b/>
                <w:u w:val="single"/>
              </w:rPr>
              <w:t>minutes</w:t>
            </w:r>
            <w:r w:rsidRPr="00EC20A0">
              <w:rPr>
                <w:b/>
                <w:spacing w:val="-6"/>
                <w:u w:val="single"/>
              </w:rPr>
              <w:t xml:space="preserve"> </w:t>
            </w:r>
            <w:r w:rsidRPr="00EC20A0">
              <w:rPr>
                <w:b/>
                <w:u w:val="single"/>
              </w:rPr>
              <w:t>and</w:t>
            </w:r>
            <w:r w:rsidRPr="00EC20A0">
              <w:rPr>
                <w:b/>
                <w:spacing w:val="-6"/>
                <w:u w:val="single"/>
              </w:rPr>
              <w:t xml:space="preserve"> </w:t>
            </w:r>
            <w:r w:rsidRPr="00EC20A0">
              <w:rPr>
                <w:b/>
                <w:u w:val="single"/>
              </w:rPr>
              <w:t>related</w:t>
            </w:r>
            <w:r w:rsidRPr="00EC20A0">
              <w:rPr>
                <w:b/>
                <w:spacing w:val="-6"/>
                <w:u w:val="single"/>
              </w:rPr>
              <w:t xml:space="preserve"> </w:t>
            </w:r>
            <w:r w:rsidRPr="00EC20A0">
              <w:rPr>
                <w:b/>
                <w:spacing w:val="-2"/>
                <w:u w:val="single"/>
              </w:rPr>
              <w:t>reports</w:t>
            </w:r>
          </w:p>
          <w:p w14:paraId="24D62A1F" w14:textId="77777777" w:rsidR="00245300" w:rsidRPr="00EC20A0" w:rsidRDefault="00F17249">
            <w:pPr>
              <w:pStyle w:val="TableParagraph"/>
              <w:numPr>
                <w:ilvl w:val="0"/>
                <w:numId w:val="25"/>
              </w:numPr>
              <w:tabs>
                <w:tab w:val="left" w:pos="682"/>
              </w:tabs>
              <w:spacing w:before="240"/>
              <w:ind w:right="108"/>
            </w:pPr>
            <w:r w:rsidRPr="00EC20A0">
              <w:t>Read</w:t>
            </w:r>
            <w:r w:rsidRPr="00EC20A0">
              <w:rPr>
                <w:spacing w:val="-5"/>
              </w:rPr>
              <w:t xml:space="preserve"> </w:t>
            </w:r>
            <w:r w:rsidRPr="00EC20A0">
              <w:t>the</w:t>
            </w:r>
            <w:r w:rsidRPr="00EC20A0">
              <w:rPr>
                <w:spacing w:val="-5"/>
              </w:rPr>
              <w:t xml:space="preserve"> </w:t>
            </w:r>
            <w:r w:rsidRPr="00EC20A0">
              <w:t>available</w:t>
            </w:r>
            <w:r w:rsidRPr="00EC20A0">
              <w:rPr>
                <w:spacing w:val="-5"/>
              </w:rPr>
              <w:t xml:space="preserve"> </w:t>
            </w:r>
            <w:r w:rsidRPr="00EC20A0">
              <w:t>minutes</w:t>
            </w:r>
            <w:r w:rsidRPr="00EC20A0">
              <w:rPr>
                <w:spacing w:val="-5"/>
              </w:rPr>
              <w:t xml:space="preserve"> </w:t>
            </w:r>
            <w:r w:rsidRPr="00EC20A0">
              <w:t>of</w:t>
            </w:r>
            <w:r w:rsidRPr="00EC20A0">
              <w:rPr>
                <w:spacing w:val="-5"/>
              </w:rPr>
              <w:t xml:space="preserve"> </w:t>
            </w:r>
            <w:r w:rsidRPr="00EC20A0">
              <w:t>meetings</w:t>
            </w:r>
            <w:r w:rsidRPr="00EC20A0">
              <w:rPr>
                <w:spacing w:val="-5"/>
              </w:rPr>
              <w:t xml:space="preserve"> </w:t>
            </w:r>
            <w:r w:rsidRPr="00EC20A0">
              <w:t>of</w:t>
            </w:r>
            <w:r w:rsidRPr="00EC20A0">
              <w:rPr>
                <w:spacing w:val="-5"/>
              </w:rPr>
              <w:t xml:space="preserve"> </w:t>
            </w:r>
            <w:r w:rsidRPr="00EC20A0">
              <w:t>management</w:t>
            </w:r>
            <w:r w:rsidRPr="00EC20A0">
              <w:rPr>
                <w:spacing w:val="-5"/>
              </w:rPr>
              <w:t xml:space="preserve"> </w:t>
            </w:r>
            <w:r w:rsidRPr="00EC20A0">
              <w:t xml:space="preserve">and/or those charged with governance, such as entity management committees, audit committees, or other appropriate groups, held after the date of the </w:t>
            </w:r>
            <w:r w:rsidRPr="00EC20A0">
              <w:t>financial statements for information about events or transactions authorized or discussed that may require adjustment to or disclosure in the financial statements (AU-C 560.10c).</w:t>
            </w:r>
          </w:p>
          <w:p w14:paraId="24D62A20" w14:textId="77777777" w:rsidR="00245300" w:rsidRPr="00EC20A0" w:rsidRDefault="00F17249">
            <w:pPr>
              <w:pStyle w:val="TableParagraph"/>
              <w:numPr>
                <w:ilvl w:val="0"/>
                <w:numId w:val="25"/>
              </w:numPr>
              <w:tabs>
                <w:tab w:val="left" w:pos="682"/>
              </w:tabs>
              <w:spacing w:before="239"/>
              <w:ind w:right="450"/>
            </w:pPr>
            <w:r w:rsidRPr="00EC20A0">
              <w:t>With</w:t>
            </w:r>
            <w:r w:rsidRPr="00EC20A0">
              <w:rPr>
                <w:spacing w:val="-4"/>
              </w:rPr>
              <w:t xml:space="preserve"> </w:t>
            </w:r>
            <w:r w:rsidRPr="00EC20A0">
              <w:t>regard</w:t>
            </w:r>
            <w:r w:rsidRPr="00EC20A0">
              <w:rPr>
                <w:spacing w:val="-5"/>
              </w:rPr>
              <w:t xml:space="preserve"> </w:t>
            </w:r>
            <w:r w:rsidRPr="00EC20A0">
              <w:t>to</w:t>
            </w:r>
            <w:r w:rsidRPr="00EC20A0">
              <w:rPr>
                <w:spacing w:val="-4"/>
              </w:rPr>
              <w:t xml:space="preserve"> </w:t>
            </w:r>
            <w:r w:rsidRPr="00EC20A0">
              <w:t>meetings</w:t>
            </w:r>
            <w:r w:rsidRPr="00EC20A0">
              <w:rPr>
                <w:spacing w:val="-3"/>
              </w:rPr>
              <w:t xml:space="preserve"> </w:t>
            </w:r>
            <w:r w:rsidRPr="00EC20A0">
              <w:t>for</w:t>
            </w:r>
            <w:r w:rsidRPr="00EC20A0">
              <w:rPr>
                <w:spacing w:val="-4"/>
              </w:rPr>
              <w:t xml:space="preserve"> </w:t>
            </w:r>
            <w:r w:rsidRPr="00EC20A0">
              <w:t>which</w:t>
            </w:r>
            <w:r w:rsidRPr="00EC20A0">
              <w:rPr>
                <w:spacing w:val="-4"/>
              </w:rPr>
              <w:t xml:space="preserve"> </w:t>
            </w:r>
            <w:r w:rsidRPr="00EC20A0">
              <w:t>no</w:t>
            </w:r>
            <w:r w:rsidRPr="00EC20A0">
              <w:rPr>
                <w:spacing w:val="-5"/>
              </w:rPr>
              <w:t xml:space="preserve"> </w:t>
            </w:r>
            <w:r w:rsidRPr="00EC20A0">
              <w:t>minutes</w:t>
            </w:r>
            <w:r w:rsidRPr="00EC20A0">
              <w:rPr>
                <w:spacing w:val="-4"/>
              </w:rPr>
              <w:t xml:space="preserve"> </w:t>
            </w:r>
            <w:r w:rsidRPr="00EC20A0">
              <w:t>are</w:t>
            </w:r>
            <w:r w:rsidRPr="00EC20A0">
              <w:rPr>
                <w:spacing w:val="-4"/>
              </w:rPr>
              <w:t xml:space="preserve"> </w:t>
            </w:r>
            <w:r w:rsidRPr="00EC20A0">
              <w:t>available, inquire about matters discussed at such meetings and conclusions reached (AU-C 560.10c).</w:t>
            </w:r>
          </w:p>
          <w:p w14:paraId="24D62A21" w14:textId="77777777" w:rsidR="00245300" w:rsidRPr="00EC20A0" w:rsidRDefault="00F17249">
            <w:pPr>
              <w:pStyle w:val="TableParagraph"/>
              <w:numPr>
                <w:ilvl w:val="0"/>
                <w:numId w:val="25"/>
              </w:numPr>
              <w:tabs>
                <w:tab w:val="left" w:pos="682"/>
              </w:tabs>
              <w:spacing w:before="241"/>
              <w:ind w:right="193"/>
            </w:pPr>
            <w:r w:rsidRPr="00EC20A0">
              <w:t>Obtain</w:t>
            </w:r>
            <w:r w:rsidRPr="00EC20A0">
              <w:rPr>
                <w:spacing w:val="-6"/>
              </w:rPr>
              <w:t xml:space="preserve"> </w:t>
            </w:r>
            <w:r w:rsidRPr="00EC20A0">
              <w:t>additional</w:t>
            </w:r>
            <w:r w:rsidRPr="00EC20A0">
              <w:rPr>
                <w:spacing w:val="-5"/>
              </w:rPr>
              <w:t xml:space="preserve"> </w:t>
            </w:r>
            <w:r w:rsidRPr="00EC20A0">
              <w:t>information</w:t>
            </w:r>
            <w:r w:rsidRPr="00EC20A0">
              <w:rPr>
                <w:spacing w:val="-6"/>
              </w:rPr>
              <w:t xml:space="preserve"> </w:t>
            </w:r>
            <w:r w:rsidRPr="00EC20A0">
              <w:t>about</w:t>
            </w:r>
            <w:r w:rsidRPr="00EC20A0">
              <w:rPr>
                <w:spacing w:val="-7"/>
              </w:rPr>
              <w:t xml:space="preserve"> </w:t>
            </w:r>
            <w:r w:rsidRPr="00EC20A0">
              <w:t>changes</w:t>
            </w:r>
            <w:r w:rsidRPr="00EC20A0">
              <w:rPr>
                <w:spacing w:val="-6"/>
              </w:rPr>
              <w:t xml:space="preserve"> </w:t>
            </w:r>
            <w:r w:rsidRPr="00EC20A0">
              <w:t>in</w:t>
            </w:r>
            <w:r w:rsidRPr="00EC20A0">
              <w:rPr>
                <w:spacing w:val="-7"/>
              </w:rPr>
              <w:t xml:space="preserve"> </w:t>
            </w:r>
            <w:r w:rsidRPr="00EC20A0">
              <w:t>internal</w:t>
            </w:r>
            <w:r w:rsidRPr="00EC20A0">
              <w:rPr>
                <w:spacing w:val="-6"/>
              </w:rPr>
              <w:t xml:space="preserve"> </w:t>
            </w:r>
            <w:r w:rsidRPr="00EC20A0">
              <w:t xml:space="preserve">control or other conditions that might significantly affect the effectiveness of the entity’s internal control over </w:t>
            </w:r>
            <w:r w:rsidRPr="00EC20A0">
              <w:t>financial reporting, by inquiring about and reading, for this subsequent period, the following (AU-C 940.48):</w:t>
            </w:r>
          </w:p>
          <w:p w14:paraId="24D62A22" w14:textId="77777777" w:rsidR="00245300" w:rsidRPr="00EC20A0" w:rsidRDefault="00F17249">
            <w:pPr>
              <w:pStyle w:val="TableParagraph"/>
              <w:numPr>
                <w:ilvl w:val="1"/>
                <w:numId w:val="25"/>
              </w:numPr>
              <w:tabs>
                <w:tab w:val="left" w:pos="1188"/>
              </w:tabs>
              <w:spacing w:before="239"/>
              <w:ind w:right="642"/>
            </w:pPr>
            <w:r w:rsidRPr="00EC20A0">
              <w:t>Relevant</w:t>
            </w:r>
            <w:r w:rsidRPr="00EC20A0">
              <w:rPr>
                <w:spacing w:val="-6"/>
              </w:rPr>
              <w:t xml:space="preserve"> </w:t>
            </w:r>
            <w:r w:rsidRPr="00EC20A0">
              <w:t>internal</w:t>
            </w:r>
            <w:r w:rsidRPr="00EC20A0">
              <w:rPr>
                <w:spacing w:val="-6"/>
              </w:rPr>
              <w:t xml:space="preserve"> </w:t>
            </w:r>
            <w:r w:rsidRPr="00EC20A0">
              <w:t>audit</w:t>
            </w:r>
            <w:r w:rsidRPr="00EC20A0">
              <w:rPr>
                <w:spacing w:val="-6"/>
              </w:rPr>
              <w:t xml:space="preserve"> </w:t>
            </w:r>
            <w:r w:rsidRPr="00EC20A0">
              <w:t>(or</w:t>
            </w:r>
            <w:r w:rsidRPr="00EC20A0">
              <w:rPr>
                <w:spacing w:val="-6"/>
              </w:rPr>
              <w:t xml:space="preserve"> </w:t>
            </w:r>
            <w:r w:rsidRPr="00EC20A0">
              <w:t>inspector</w:t>
            </w:r>
            <w:r w:rsidRPr="00EC20A0">
              <w:rPr>
                <w:spacing w:val="-8"/>
              </w:rPr>
              <w:t xml:space="preserve"> </w:t>
            </w:r>
            <w:r w:rsidRPr="00EC20A0">
              <w:t>general)</w:t>
            </w:r>
            <w:r w:rsidRPr="00EC20A0">
              <w:rPr>
                <w:spacing w:val="-6"/>
              </w:rPr>
              <w:t xml:space="preserve"> </w:t>
            </w:r>
            <w:r w:rsidRPr="00EC20A0">
              <w:t>reports issued during the subsequent period.</w:t>
            </w:r>
          </w:p>
          <w:p w14:paraId="24D62A23" w14:textId="77777777" w:rsidR="00245300" w:rsidRPr="00EC20A0" w:rsidRDefault="00F17249">
            <w:pPr>
              <w:pStyle w:val="TableParagraph"/>
              <w:numPr>
                <w:ilvl w:val="1"/>
                <w:numId w:val="25"/>
              </w:numPr>
              <w:tabs>
                <w:tab w:val="left" w:pos="1187"/>
              </w:tabs>
              <w:spacing w:before="238"/>
              <w:ind w:left="1187" w:right="1204"/>
            </w:pPr>
            <w:r w:rsidRPr="00EC20A0">
              <w:t>Reports</w:t>
            </w:r>
            <w:r w:rsidRPr="00EC20A0">
              <w:rPr>
                <w:spacing w:val="-8"/>
              </w:rPr>
              <w:t xml:space="preserve"> </w:t>
            </w:r>
            <w:r w:rsidRPr="00EC20A0">
              <w:t>regarding</w:t>
            </w:r>
            <w:r w:rsidRPr="00EC20A0">
              <w:rPr>
                <w:spacing w:val="-8"/>
              </w:rPr>
              <w:t xml:space="preserve"> </w:t>
            </w:r>
            <w:r w:rsidRPr="00EC20A0">
              <w:t>deficiencies</w:t>
            </w:r>
            <w:r w:rsidRPr="00EC20A0">
              <w:rPr>
                <w:spacing w:val="-8"/>
              </w:rPr>
              <w:t xml:space="preserve"> </w:t>
            </w:r>
            <w:r w:rsidRPr="00EC20A0">
              <w:t>issued</w:t>
            </w:r>
            <w:r w:rsidRPr="00EC20A0">
              <w:rPr>
                <w:spacing w:val="-8"/>
              </w:rPr>
              <w:t xml:space="preserve"> </w:t>
            </w:r>
            <w:r w:rsidRPr="00EC20A0">
              <w:t>by</w:t>
            </w:r>
            <w:r w:rsidRPr="00EC20A0">
              <w:rPr>
                <w:spacing w:val="-8"/>
              </w:rPr>
              <w:t xml:space="preserve"> </w:t>
            </w:r>
            <w:r w:rsidRPr="00EC20A0">
              <w:t xml:space="preserve">other </w:t>
            </w:r>
            <w:r w:rsidRPr="00EC20A0">
              <w:t>Independent auditors.</w:t>
            </w:r>
          </w:p>
          <w:p w14:paraId="24D62A24" w14:textId="77777777" w:rsidR="00245300" w:rsidRPr="00EC20A0" w:rsidRDefault="00F17249">
            <w:pPr>
              <w:pStyle w:val="TableParagraph"/>
              <w:numPr>
                <w:ilvl w:val="1"/>
                <w:numId w:val="25"/>
              </w:numPr>
              <w:tabs>
                <w:tab w:val="left" w:pos="1173"/>
              </w:tabs>
              <w:spacing w:before="238"/>
              <w:ind w:left="1173" w:right="180"/>
            </w:pPr>
            <w:r w:rsidRPr="00EC20A0">
              <w:t>Information</w:t>
            </w:r>
            <w:r w:rsidRPr="00EC20A0">
              <w:rPr>
                <w:spacing w:val="-6"/>
              </w:rPr>
              <w:t xml:space="preserve"> </w:t>
            </w:r>
            <w:r w:rsidRPr="00EC20A0">
              <w:t>about</w:t>
            </w:r>
            <w:r w:rsidRPr="00EC20A0">
              <w:rPr>
                <w:spacing w:val="-6"/>
              </w:rPr>
              <w:t xml:space="preserve"> </w:t>
            </w:r>
            <w:r w:rsidRPr="00EC20A0">
              <w:t>the</w:t>
            </w:r>
            <w:r w:rsidRPr="00EC20A0">
              <w:rPr>
                <w:spacing w:val="-6"/>
              </w:rPr>
              <w:t xml:space="preserve"> </w:t>
            </w:r>
            <w:r w:rsidRPr="00EC20A0">
              <w:t>effectiveness</w:t>
            </w:r>
            <w:r w:rsidRPr="00EC20A0">
              <w:rPr>
                <w:spacing w:val="-6"/>
              </w:rPr>
              <w:t xml:space="preserve"> </w:t>
            </w:r>
            <w:r w:rsidRPr="00EC20A0">
              <w:t>of</w:t>
            </w:r>
            <w:r w:rsidRPr="00EC20A0">
              <w:rPr>
                <w:spacing w:val="-6"/>
              </w:rPr>
              <w:t xml:space="preserve"> </w:t>
            </w:r>
            <w:r w:rsidRPr="00EC20A0">
              <w:t>the</w:t>
            </w:r>
            <w:r w:rsidRPr="00EC20A0">
              <w:rPr>
                <w:spacing w:val="-6"/>
              </w:rPr>
              <w:t xml:space="preserve"> </w:t>
            </w:r>
            <w:r w:rsidRPr="00EC20A0">
              <w:t>entity’s</w:t>
            </w:r>
            <w:r w:rsidRPr="00EC20A0">
              <w:rPr>
                <w:spacing w:val="-7"/>
              </w:rPr>
              <w:t xml:space="preserve"> </w:t>
            </w:r>
            <w:r w:rsidRPr="00EC20A0">
              <w:t>internal control over financial reporting obtained through other engagements performed for the entity by the auditor.</w:t>
            </w:r>
          </w:p>
        </w:tc>
        <w:tc>
          <w:tcPr>
            <w:tcW w:w="1170" w:type="dxa"/>
          </w:tcPr>
          <w:p w14:paraId="24D62A25" w14:textId="77777777" w:rsidR="00245300" w:rsidRPr="00EC20A0" w:rsidRDefault="00245300">
            <w:pPr>
              <w:pStyle w:val="TableParagraph"/>
              <w:rPr>
                <w:sz w:val="20"/>
              </w:rPr>
            </w:pPr>
          </w:p>
        </w:tc>
        <w:tc>
          <w:tcPr>
            <w:tcW w:w="1368" w:type="dxa"/>
          </w:tcPr>
          <w:p w14:paraId="24D62A26" w14:textId="77777777" w:rsidR="00245300" w:rsidRPr="00EC20A0" w:rsidRDefault="00245300">
            <w:pPr>
              <w:pStyle w:val="TableParagraph"/>
              <w:rPr>
                <w:sz w:val="20"/>
              </w:rPr>
            </w:pPr>
          </w:p>
        </w:tc>
      </w:tr>
    </w:tbl>
    <w:p w14:paraId="24D62A28" w14:textId="77777777" w:rsidR="00245300" w:rsidRPr="00EC20A0" w:rsidRDefault="00245300">
      <w:pPr>
        <w:rPr>
          <w:sz w:val="20"/>
        </w:rPr>
        <w:sectPr w:rsidR="00245300" w:rsidRPr="00EC20A0">
          <w:pgSz w:w="12240" w:h="15840"/>
          <w:pgMar w:top="1340" w:right="460" w:bottom="940" w:left="560" w:header="721" w:footer="757" w:gutter="0"/>
          <w:cols w:space="720"/>
        </w:sectPr>
      </w:pPr>
    </w:p>
    <w:p w14:paraId="24D62A29" w14:textId="77777777" w:rsidR="00245300" w:rsidRPr="00EC20A0" w:rsidRDefault="00245300">
      <w:pPr>
        <w:pStyle w:val="BodyText"/>
        <w:spacing w:before="6"/>
        <w:rPr>
          <w:sz w:val="10"/>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245300" w:rsidRPr="00EC20A0" w14:paraId="24D62A2D" w14:textId="77777777">
        <w:trPr>
          <w:trHeight w:val="746"/>
        </w:trPr>
        <w:tc>
          <w:tcPr>
            <w:tcW w:w="6930" w:type="dxa"/>
            <w:shd w:val="clear" w:color="auto" w:fill="A6A6A6"/>
          </w:tcPr>
          <w:p w14:paraId="24D62A2A" w14:textId="77777777" w:rsidR="00245300" w:rsidRPr="00EC20A0" w:rsidRDefault="00F17249">
            <w:pPr>
              <w:pStyle w:val="TableParagraph"/>
              <w:spacing w:before="120"/>
              <w:ind w:left="107"/>
              <w:rPr>
                <w:b/>
              </w:rPr>
            </w:pPr>
            <w:r w:rsidRPr="00EC20A0">
              <w:rPr>
                <w:b/>
              </w:rPr>
              <w:t>Subsequent</w:t>
            </w:r>
            <w:r w:rsidRPr="00EC20A0">
              <w:rPr>
                <w:b/>
                <w:spacing w:val="-8"/>
              </w:rPr>
              <w:t xml:space="preserve"> </w:t>
            </w:r>
            <w:r w:rsidRPr="00EC20A0">
              <w:rPr>
                <w:b/>
              </w:rPr>
              <w:t>Events</w:t>
            </w:r>
            <w:r w:rsidRPr="00EC20A0">
              <w:rPr>
                <w:b/>
                <w:spacing w:val="-7"/>
              </w:rPr>
              <w:t xml:space="preserve"> </w:t>
            </w:r>
            <w:r w:rsidRPr="00EC20A0">
              <w:rPr>
                <w:b/>
              </w:rPr>
              <w:t>Review</w:t>
            </w:r>
            <w:r w:rsidRPr="00EC20A0">
              <w:rPr>
                <w:b/>
                <w:spacing w:val="-9"/>
              </w:rPr>
              <w:t xml:space="preserve"> </w:t>
            </w:r>
            <w:r w:rsidRPr="00EC20A0">
              <w:rPr>
                <w:b/>
              </w:rPr>
              <w:t>–</w:t>
            </w:r>
            <w:r w:rsidRPr="00EC20A0">
              <w:rPr>
                <w:b/>
                <w:spacing w:val="-7"/>
              </w:rPr>
              <w:t xml:space="preserve"> </w:t>
            </w:r>
            <w:r w:rsidRPr="00EC20A0">
              <w:rPr>
                <w:b/>
              </w:rPr>
              <w:t>Audit</w:t>
            </w:r>
            <w:r w:rsidRPr="00EC20A0">
              <w:rPr>
                <w:b/>
                <w:spacing w:val="-8"/>
              </w:rPr>
              <w:t xml:space="preserve"> </w:t>
            </w:r>
            <w:r w:rsidRPr="00EC20A0">
              <w:rPr>
                <w:b/>
                <w:spacing w:val="-2"/>
              </w:rPr>
              <w:t>Procedures</w:t>
            </w:r>
          </w:p>
        </w:tc>
        <w:tc>
          <w:tcPr>
            <w:tcW w:w="1170" w:type="dxa"/>
            <w:shd w:val="clear" w:color="auto" w:fill="A6A6A6"/>
          </w:tcPr>
          <w:p w14:paraId="24D62A2B" w14:textId="77777777" w:rsidR="00245300" w:rsidRPr="00EC20A0" w:rsidRDefault="00F17249">
            <w:pPr>
              <w:pStyle w:val="TableParagraph"/>
              <w:spacing w:before="120"/>
              <w:ind w:left="107" w:right="144"/>
              <w:rPr>
                <w:b/>
              </w:rPr>
            </w:pPr>
            <w:r w:rsidRPr="00EC20A0">
              <w:rPr>
                <w:b/>
                <w:spacing w:val="-2"/>
              </w:rPr>
              <w:t xml:space="preserve">Initials </w:t>
            </w:r>
            <w:r w:rsidRPr="00EC20A0">
              <w:rPr>
                <w:b/>
              </w:rPr>
              <w:t>and</w:t>
            </w:r>
            <w:r w:rsidRPr="00EC20A0">
              <w:rPr>
                <w:b/>
                <w:spacing w:val="-16"/>
              </w:rPr>
              <w:t xml:space="preserve"> </w:t>
            </w:r>
            <w:r w:rsidRPr="00EC20A0">
              <w:rPr>
                <w:b/>
              </w:rPr>
              <w:t>date</w:t>
            </w:r>
          </w:p>
        </w:tc>
        <w:tc>
          <w:tcPr>
            <w:tcW w:w="1368" w:type="dxa"/>
            <w:shd w:val="clear" w:color="auto" w:fill="A6A6A6"/>
          </w:tcPr>
          <w:p w14:paraId="24D62A2C" w14:textId="77777777" w:rsidR="00245300" w:rsidRPr="00EC20A0" w:rsidRDefault="00F17249">
            <w:pPr>
              <w:pStyle w:val="TableParagraph"/>
              <w:spacing w:before="120"/>
              <w:ind w:left="107"/>
              <w:rPr>
                <w:b/>
              </w:rPr>
            </w:pPr>
            <w:r w:rsidRPr="00EC20A0">
              <w:rPr>
                <w:b/>
              </w:rPr>
              <w:t>Doc.</w:t>
            </w:r>
            <w:r w:rsidRPr="00EC20A0">
              <w:rPr>
                <w:b/>
                <w:spacing w:val="-6"/>
              </w:rPr>
              <w:t xml:space="preserve"> </w:t>
            </w:r>
            <w:r w:rsidRPr="00EC20A0">
              <w:rPr>
                <w:b/>
                <w:spacing w:val="-4"/>
              </w:rPr>
              <w:t>ref.</w:t>
            </w:r>
          </w:p>
        </w:tc>
      </w:tr>
      <w:tr w:rsidR="00245300" w:rsidRPr="00EC20A0" w14:paraId="24D62A32" w14:textId="77777777">
        <w:trPr>
          <w:trHeight w:val="1239"/>
        </w:trPr>
        <w:tc>
          <w:tcPr>
            <w:tcW w:w="6930" w:type="dxa"/>
          </w:tcPr>
          <w:p w14:paraId="24D62A2E" w14:textId="77777777" w:rsidR="00245300" w:rsidRPr="00EC20A0" w:rsidRDefault="00F17249">
            <w:pPr>
              <w:pStyle w:val="TableParagraph"/>
              <w:spacing w:before="120"/>
              <w:ind w:left="107"/>
              <w:rPr>
                <w:b/>
              </w:rPr>
            </w:pPr>
            <w:r w:rsidRPr="00EC20A0">
              <w:rPr>
                <w:b/>
                <w:u w:val="single"/>
              </w:rPr>
              <w:t>V.</w:t>
            </w:r>
            <w:r w:rsidRPr="00EC20A0">
              <w:rPr>
                <w:b/>
                <w:spacing w:val="-7"/>
                <w:u w:val="single"/>
              </w:rPr>
              <w:t xml:space="preserve"> </w:t>
            </w:r>
            <w:r w:rsidRPr="00EC20A0">
              <w:rPr>
                <w:b/>
                <w:u w:val="single"/>
              </w:rPr>
              <w:t>Litigation,</w:t>
            </w:r>
            <w:r w:rsidRPr="00EC20A0">
              <w:rPr>
                <w:b/>
                <w:spacing w:val="-6"/>
                <w:u w:val="single"/>
              </w:rPr>
              <w:t xml:space="preserve"> </w:t>
            </w:r>
            <w:r w:rsidRPr="00EC20A0">
              <w:rPr>
                <w:b/>
                <w:u w:val="single"/>
              </w:rPr>
              <w:t>claims,</w:t>
            </w:r>
            <w:r w:rsidRPr="00EC20A0">
              <w:rPr>
                <w:b/>
                <w:spacing w:val="-6"/>
                <w:u w:val="single"/>
              </w:rPr>
              <w:t xml:space="preserve"> </w:t>
            </w:r>
            <w:r w:rsidRPr="00EC20A0">
              <w:rPr>
                <w:b/>
                <w:u w:val="single"/>
              </w:rPr>
              <w:t>and</w:t>
            </w:r>
            <w:r w:rsidRPr="00EC20A0">
              <w:rPr>
                <w:b/>
                <w:spacing w:val="-6"/>
                <w:u w:val="single"/>
              </w:rPr>
              <w:t xml:space="preserve"> </w:t>
            </w:r>
            <w:r w:rsidRPr="00EC20A0">
              <w:rPr>
                <w:b/>
                <w:spacing w:val="-2"/>
                <w:u w:val="single"/>
              </w:rPr>
              <w:t>assessments</w:t>
            </w:r>
          </w:p>
          <w:p w14:paraId="24D62A2F" w14:textId="77777777" w:rsidR="00245300" w:rsidRPr="00EC20A0" w:rsidRDefault="00F17249">
            <w:pPr>
              <w:pStyle w:val="TableParagraph"/>
              <w:tabs>
                <w:tab w:val="left" w:pos="723"/>
              </w:tabs>
              <w:spacing w:before="240"/>
              <w:ind w:left="723" w:right="251" w:hanging="616"/>
            </w:pPr>
            <w:r w:rsidRPr="00EC20A0">
              <w:rPr>
                <w:spacing w:val="-6"/>
              </w:rPr>
              <w:t>1)</w:t>
            </w:r>
            <w:r w:rsidRPr="00EC20A0">
              <w:tab/>
              <w:t>Determine</w:t>
            </w:r>
            <w:r w:rsidRPr="00EC20A0">
              <w:rPr>
                <w:spacing w:val="-5"/>
              </w:rPr>
              <w:t xml:space="preserve"> </w:t>
            </w:r>
            <w:r w:rsidRPr="00EC20A0">
              <w:t>if</w:t>
            </w:r>
            <w:r w:rsidRPr="00EC20A0">
              <w:rPr>
                <w:spacing w:val="-5"/>
              </w:rPr>
              <w:t xml:space="preserve"> </w:t>
            </w:r>
            <w:r w:rsidRPr="00EC20A0">
              <w:t>there</w:t>
            </w:r>
            <w:r w:rsidRPr="00EC20A0">
              <w:rPr>
                <w:spacing w:val="-5"/>
              </w:rPr>
              <w:t xml:space="preserve"> </w:t>
            </w:r>
            <w:r w:rsidRPr="00EC20A0">
              <w:t>are</w:t>
            </w:r>
            <w:r w:rsidRPr="00EC20A0">
              <w:rPr>
                <w:spacing w:val="-5"/>
              </w:rPr>
              <w:t xml:space="preserve"> </w:t>
            </w:r>
            <w:r w:rsidRPr="00EC20A0">
              <w:t>subsequent</w:t>
            </w:r>
            <w:r w:rsidRPr="00EC20A0">
              <w:rPr>
                <w:spacing w:val="-5"/>
              </w:rPr>
              <w:t xml:space="preserve"> </w:t>
            </w:r>
            <w:r w:rsidRPr="00EC20A0">
              <w:t>events</w:t>
            </w:r>
            <w:r w:rsidRPr="00EC20A0">
              <w:rPr>
                <w:spacing w:val="-5"/>
              </w:rPr>
              <w:t xml:space="preserve"> </w:t>
            </w:r>
            <w:r w:rsidRPr="00EC20A0">
              <w:t>related</w:t>
            </w:r>
            <w:r w:rsidRPr="00EC20A0">
              <w:rPr>
                <w:spacing w:val="-5"/>
              </w:rPr>
              <w:t xml:space="preserve"> </w:t>
            </w:r>
            <w:r w:rsidRPr="00EC20A0">
              <w:t>to</w:t>
            </w:r>
            <w:r w:rsidRPr="00EC20A0">
              <w:rPr>
                <w:spacing w:val="-5"/>
              </w:rPr>
              <w:t xml:space="preserve"> </w:t>
            </w:r>
            <w:r w:rsidRPr="00EC20A0">
              <w:t>litigation, claims, and assessments (see FAM 1002).</w:t>
            </w:r>
          </w:p>
        </w:tc>
        <w:tc>
          <w:tcPr>
            <w:tcW w:w="1170" w:type="dxa"/>
          </w:tcPr>
          <w:p w14:paraId="24D62A30" w14:textId="77777777" w:rsidR="00245300" w:rsidRPr="00EC20A0" w:rsidRDefault="00245300">
            <w:pPr>
              <w:pStyle w:val="TableParagraph"/>
              <w:rPr>
                <w:sz w:val="20"/>
              </w:rPr>
            </w:pPr>
          </w:p>
        </w:tc>
        <w:tc>
          <w:tcPr>
            <w:tcW w:w="1368" w:type="dxa"/>
          </w:tcPr>
          <w:p w14:paraId="24D62A31" w14:textId="77777777" w:rsidR="00245300" w:rsidRPr="00EC20A0" w:rsidRDefault="00245300">
            <w:pPr>
              <w:pStyle w:val="TableParagraph"/>
              <w:rPr>
                <w:sz w:val="20"/>
              </w:rPr>
            </w:pPr>
          </w:p>
        </w:tc>
      </w:tr>
      <w:tr w:rsidR="00245300" w:rsidRPr="00EC20A0" w14:paraId="24D62A38" w14:textId="77777777">
        <w:trPr>
          <w:trHeight w:val="2996"/>
        </w:trPr>
        <w:tc>
          <w:tcPr>
            <w:tcW w:w="6930" w:type="dxa"/>
          </w:tcPr>
          <w:p w14:paraId="24D62A33" w14:textId="77777777" w:rsidR="00245300" w:rsidRPr="00EC20A0" w:rsidRDefault="00F17249">
            <w:pPr>
              <w:pStyle w:val="TableParagraph"/>
              <w:spacing w:before="120"/>
              <w:ind w:left="107"/>
              <w:rPr>
                <w:b/>
              </w:rPr>
            </w:pPr>
            <w:r w:rsidRPr="00EC20A0">
              <w:rPr>
                <w:b/>
                <w:u w:val="single"/>
              </w:rPr>
              <w:t>VI.</w:t>
            </w:r>
            <w:r w:rsidRPr="00EC20A0">
              <w:rPr>
                <w:b/>
                <w:spacing w:val="-10"/>
                <w:u w:val="single"/>
              </w:rPr>
              <w:t xml:space="preserve"> </w:t>
            </w:r>
            <w:r w:rsidRPr="00EC20A0">
              <w:rPr>
                <w:b/>
                <w:u w:val="single"/>
              </w:rPr>
              <w:t>Coverage</w:t>
            </w:r>
            <w:r w:rsidRPr="00EC20A0">
              <w:rPr>
                <w:b/>
                <w:spacing w:val="-9"/>
                <w:u w:val="single"/>
              </w:rPr>
              <w:t xml:space="preserve"> </w:t>
            </w:r>
            <w:r w:rsidRPr="00EC20A0">
              <w:rPr>
                <w:b/>
                <w:u w:val="single"/>
              </w:rPr>
              <w:t>in</w:t>
            </w:r>
            <w:r w:rsidRPr="00EC20A0">
              <w:rPr>
                <w:b/>
                <w:spacing w:val="-9"/>
                <w:u w:val="single"/>
              </w:rPr>
              <w:t xml:space="preserve"> </w:t>
            </w:r>
            <w:r w:rsidRPr="00EC20A0">
              <w:rPr>
                <w:b/>
                <w:u w:val="single"/>
              </w:rPr>
              <w:t>management</w:t>
            </w:r>
            <w:r w:rsidRPr="00EC20A0">
              <w:rPr>
                <w:b/>
                <w:spacing w:val="-10"/>
                <w:u w:val="single"/>
              </w:rPr>
              <w:t xml:space="preserve"> </w:t>
            </w:r>
            <w:r w:rsidRPr="00EC20A0">
              <w:rPr>
                <w:b/>
                <w:u w:val="single"/>
              </w:rPr>
              <w:t>representation</w:t>
            </w:r>
            <w:r w:rsidRPr="00EC20A0">
              <w:rPr>
                <w:b/>
                <w:spacing w:val="-9"/>
                <w:u w:val="single"/>
              </w:rPr>
              <w:t xml:space="preserve"> </w:t>
            </w:r>
            <w:r w:rsidRPr="00EC20A0">
              <w:rPr>
                <w:b/>
                <w:spacing w:val="-2"/>
                <w:u w:val="single"/>
              </w:rPr>
              <w:t>letter</w:t>
            </w:r>
          </w:p>
          <w:p w14:paraId="24D62A34" w14:textId="77777777" w:rsidR="00245300" w:rsidRPr="00EC20A0" w:rsidRDefault="00F17249">
            <w:pPr>
              <w:pStyle w:val="TableParagraph"/>
              <w:numPr>
                <w:ilvl w:val="0"/>
                <w:numId w:val="24"/>
              </w:numPr>
              <w:tabs>
                <w:tab w:val="left" w:pos="683"/>
              </w:tabs>
              <w:spacing w:before="240"/>
              <w:ind w:right="120" w:hanging="576"/>
              <w:jc w:val="left"/>
            </w:pPr>
            <w:r w:rsidRPr="00EC20A0">
              <w:t>Obtain</w:t>
            </w:r>
            <w:r w:rsidRPr="00EC20A0">
              <w:rPr>
                <w:spacing w:val="-1"/>
              </w:rPr>
              <w:t xml:space="preserve"> </w:t>
            </w:r>
            <w:r w:rsidRPr="00EC20A0">
              <w:t>representation</w:t>
            </w:r>
            <w:r w:rsidRPr="00EC20A0">
              <w:rPr>
                <w:spacing w:val="-1"/>
              </w:rPr>
              <w:t xml:space="preserve"> </w:t>
            </w:r>
            <w:r w:rsidRPr="00EC20A0">
              <w:t>in</w:t>
            </w:r>
            <w:r w:rsidRPr="00EC20A0">
              <w:rPr>
                <w:spacing w:val="-2"/>
              </w:rPr>
              <w:t xml:space="preserve"> </w:t>
            </w:r>
            <w:r w:rsidRPr="00EC20A0">
              <w:t>the</w:t>
            </w:r>
            <w:r w:rsidRPr="00EC20A0">
              <w:rPr>
                <w:spacing w:val="-1"/>
              </w:rPr>
              <w:t xml:space="preserve"> </w:t>
            </w:r>
            <w:r w:rsidRPr="00EC20A0">
              <w:t>management</w:t>
            </w:r>
            <w:r w:rsidRPr="00EC20A0">
              <w:rPr>
                <w:spacing w:val="-1"/>
              </w:rPr>
              <w:t xml:space="preserve"> </w:t>
            </w:r>
            <w:r w:rsidRPr="00EC20A0">
              <w:t>representation</w:t>
            </w:r>
            <w:r w:rsidRPr="00EC20A0">
              <w:rPr>
                <w:spacing w:val="-1"/>
              </w:rPr>
              <w:t xml:space="preserve"> </w:t>
            </w:r>
            <w:r w:rsidRPr="00EC20A0">
              <w:t>letter regarding</w:t>
            </w:r>
            <w:r w:rsidRPr="00EC20A0">
              <w:rPr>
                <w:spacing w:val="-5"/>
              </w:rPr>
              <w:t xml:space="preserve"> </w:t>
            </w:r>
            <w:r w:rsidRPr="00EC20A0">
              <w:t>whether</w:t>
            </w:r>
            <w:r w:rsidRPr="00EC20A0">
              <w:rPr>
                <w:spacing w:val="-5"/>
              </w:rPr>
              <w:t xml:space="preserve"> </w:t>
            </w:r>
            <w:r w:rsidRPr="00EC20A0">
              <w:t>any</w:t>
            </w:r>
            <w:r w:rsidRPr="00EC20A0">
              <w:rPr>
                <w:spacing w:val="-5"/>
              </w:rPr>
              <w:t xml:space="preserve"> </w:t>
            </w:r>
            <w:r w:rsidRPr="00EC20A0">
              <w:t>events</w:t>
            </w:r>
            <w:r w:rsidRPr="00EC20A0">
              <w:rPr>
                <w:spacing w:val="-5"/>
              </w:rPr>
              <w:t xml:space="preserve"> </w:t>
            </w:r>
            <w:r w:rsidRPr="00EC20A0">
              <w:t>occurred</w:t>
            </w:r>
            <w:r w:rsidRPr="00EC20A0">
              <w:rPr>
                <w:spacing w:val="-5"/>
              </w:rPr>
              <w:t xml:space="preserve"> </w:t>
            </w:r>
            <w:r w:rsidRPr="00EC20A0">
              <w:t>subsequent</w:t>
            </w:r>
            <w:r w:rsidRPr="00EC20A0">
              <w:rPr>
                <w:spacing w:val="-5"/>
              </w:rPr>
              <w:t xml:space="preserve"> </w:t>
            </w:r>
            <w:r w:rsidRPr="00EC20A0">
              <w:t>to</w:t>
            </w:r>
            <w:r w:rsidRPr="00EC20A0">
              <w:rPr>
                <w:spacing w:val="-5"/>
              </w:rPr>
              <w:t xml:space="preserve"> </w:t>
            </w:r>
            <w:r w:rsidRPr="00EC20A0">
              <w:t>the</w:t>
            </w:r>
            <w:r w:rsidRPr="00EC20A0">
              <w:rPr>
                <w:spacing w:val="-5"/>
              </w:rPr>
              <w:t xml:space="preserve"> </w:t>
            </w:r>
            <w:r w:rsidRPr="00EC20A0">
              <w:t>date of the financial statements that management should adjust for or disclose in the financial statements. See FAM 1001.</w:t>
            </w:r>
          </w:p>
          <w:p w14:paraId="24D62A35" w14:textId="77777777" w:rsidR="00245300" w:rsidRPr="00EC20A0" w:rsidRDefault="00F17249">
            <w:pPr>
              <w:pStyle w:val="TableParagraph"/>
              <w:numPr>
                <w:ilvl w:val="0"/>
                <w:numId w:val="24"/>
              </w:numPr>
              <w:tabs>
                <w:tab w:val="left" w:pos="632"/>
              </w:tabs>
              <w:spacing w:before="240"/>
              <w:ind w:left="632" w:right="207" w:hanging="450"/>
              <w:jc w:val="left"/>
            </w:pPr>
            <w:r w:rsidRPr="00EC20A0">
              <w:t>Obtain written representations from management relating to any changes in internal control or other factors that might significantly</w:t>
            </w:r>
            <w:r w:rsidRPr="00EC20A0">
              <w:rPr>
                <w:spacing w:val="-5"/>
              </w:rPr>
              <w:t xml:space="preserve"> </w:t>
            </w:r>
            <w:r w:rsidRPr="00EC20A0">
              <w:t>affect</w:t>
            </w:r>
            <w:r w:rsidRPr="00EC20A0">
              <w:rPr>
                <w:spacing w:val="-4"/>
              </w:rPr>
              <w:t xml:space="preserve"> </w:t>
            </w:r>
            <w:r w:rsidRPr="00EC20A0">
              <w:t>internal</w:t>
            </w:r>
            <w:r w:rsidRPr="00EC20A0">
              <w:rPr>
                <w:spacing w:val="-4"/>
              </w:rPr>
              <w:t xml:space="preserve"> </w:t>
            </w:r>
            <w:r w:rsidRPr="00EC20A0">
              <w:t>control</w:t>
            </w:r>
            <w:r w:rsidRPr="00EC20A0">
              <w:rPr>
                <w:spacing w:val="-5"/>
              </w:rPr>
              <w:t xml:space="preserve"> </w:t>
            </w:r>
            <w:r w:rsidRPr="00EC20A0">
              <w:t>subsequent</w:t>
            </w:r>
            <w:r w:rsidRPr="00EC20A0">
              <w:rPr>
                <w:spacing w:val="-4"/>
              </w:rPr>
              <w:t xml:space="preserve"> </w:t>
            </w:r>
            <w:r w:rsidRPr="00EC20A0">
              <w:t>to</w:t>
            </w:r>
            <w:r w:rsidRPr="00EC20A0">
              <w:rPr>
                <w:spacing w:val="-5"/>
              </w:rPr>
              <w:t xml:space="preserve"> </w:t>
            </w:r>
            <w:r w:rsidRPr="00EC20A0">
              <w:t>the</w:t>
            </w:r>
            <w:r w:rsidRPr="00EC20A0">
              <w:rPr>
                <w:spacing w:val="-4"/>
              </w:rPr>
              <w:t xml:space="preserve"> </w:t>
            </w:r>
            <w:r w:rsidRPr="00EC20A0">
              <w:t>date</w:t>
            </w:r>
            <w:r w:rsidRPr="00EC20A0">
              <w:rPr>
                <w:spacing w:val="-4"/>
              </w:rPr>
              <w:t xml:space="preserve"> </w:t>
            </w:r>
            <w:r w:rsidRPr="00EC20A0">
              <w:t>as</w:t>
            </w:r>
            <w:r w:rsidRPr="00EC20A0">
              <w:rPr>
                <w:spacing w:val="-5"/>
              </w:rPr>
              <w:t xml:space="preserve"> </w:t>
            </w:r>
            <w:r w:rsidRPr="00EC20A0">
              <w:t>of which internal control is being examined.</w:t>
            </w:r>
          </w:p>
        </w:tc>
        <w:tc>
          <w:tcPr>
            <w:tcW w:w="1170" w:type="dxa"/>
          </w:tcPr>
          <w:p w14:paraId="24D62A36" w14:textId="77777777" w:rsidR="00245300" w:rsidRPr="00EC20A0" w:rsidRDefault="00245300">
            <w:pPr>
              <w:pStyle w:val="TableParagraph"/>
              <w:rPr>
                <w:sz w:val="20"/>
              </w:rPr>
            </w:pPr>
          </w:p>
        </w:tc>
        <w:tc>
          <w:tcPr>
            <w:tcW w:w="1368" w:type="dxa"/>
          </w:tcPr>
          <w:p w14:paraId="24D62A37" w14:textId="77777777" w:rsidR="00245300" w:rsidRPr="00EC20A0" w:rsidRDefault="00245300">
            <w:pPr>
              <w:pStyle w:val="TableParagraph"/>
              <w:rPr>
                <w:sz w:val="20"/>
              </w:rPr>
            </w:pPr>
          </w:p>
        </w:tc>
      </w:tr>
      <w:tr w:rsidR="00245300" w:rsidRPr="00EC20A0" w14:paraId="24D62A41" w14:textId="77777777">
        <w:trPr>
          <w:trHeight w:val="3717"/>
        </w:trPr>
        <w:tc>
          <w:tcPr>
            <w:tcW w:w="6930" w:type="dxa"/>
          </w:tcPr>
          <w:p w14:paraId="24D62A39" w14:textId="77777777" w:rsidR="00245300" w:rsidRPr="00EC20A0" w:rsidRDefault="00F17249">
            <w:pPr>
              <w:pStyle w:val="TableParagraph"/>
              <w:spacing w:before="121"/>
              <w:ind w:left="107"/>
              <w:rPr>
                <w:b/>
              </w:rPr>
            </w:pPr>
            <w:r w:rsidRPr="00EC20A0">
              <w:rPr>
                <w:b/>
                <w:u w:val="single"/>
              </w:rPr>
              <w:t>VII.</w:t>
            </w:r>
            <w:r w:rsidRPr="00EC20A0">
              <w:rPr>
                <w:b/>
                <w:spacing w:val="-5"/>
                <w:u w:val="single"/>
              </w:rPr>
              <w:t xml:space="preserve"> </w:t>
            </w:r>
            <w:r w:rsidRPr="00EC20A0">
              <w:rPr>
                <w:b/>
                <w:spacing w:val="-2"/>
                <w:u w:val="single"/>
              </w:rPr>
              <w:t>Other</w:t>
            </w:r>
          </w:p>
          <w:p w14:paraId="24D62A3A" w14:textId="77777777" w:rsidR="00245300" w:rsidRPr="00EC20A0" w:rsidRDefault="00F17249">
            <w:pPr>
              <w:pStyle w:val="TableParagraph"/>
              <w:numPr>
                <w:ilvl w:val="0"/>
                <w:numId w:val="23"/>
              </w:numPr>
              <w:tabs>
                <w:tab w:val="left" w:pos="683"/>
              </w:tabs>
              <w:spacing w:before="239"/>
              <w:ind w:right="816" w:hanging="576"/>
            </w:pPr>
            <w:r w:rsidRPr="00EC20A0">
              <w:t>Use</w:t>
            </w:r>
            <w:r w:rsidRPr="00EC20A0">
              <w:rPr>
                <w:spacing w:val="-5"/>
              </w:rPr>
              <w:t xml:space="preserve"> </w:t>
            </w:r>
            <w:r w:rsidRPr="00EC20A0">
              <w:t>other</w:t>
            </w:r>
            <w:r w:rsidRPr="00EC20A0">
              <w:rPr>
                <w:spacing w:val="-5"/>
              </w:rPr>
              <w:t xml:space="preserve"> </w:t>
            </w:r>
            <w:r w:rsidRPr="00EC20A0">
              <w:t>sources</w:t>
            </w:r>
            <w:r w:rsidRPr="00EC20A0">
              <w:rPr>
                <w:spacing w:val="-5"/>
              </w:rPr>
              <w:t xml:space="preserve"> </w:t>
            </w:r>
            <w:r w:rsidRPr="00EC20A0">
              <w:t>of</w:t>
            </w:r>
            <w:r w:rsidRPr="00EC20A0">
              <w:rPr>
                <w:spacing w:val="-5"/>
              </w:rPr>
              <w:t xml:space="preserve"> </w:t>
            </w:r>
            <w:r w:rsidRPr="00EC20A0">
              <w:t>information</w:t>
            </w:r>
            <w:r w:rsidRPr="00EC20A0">
              <w:rPr>
                <w:spacing w:val="-5"/>
              </w:rPr>
              <w:t xml:space="preserve"> </w:t>
            </w:r>
            <w:r w:rsidRPr="00EC20A0">
              <w:t>to</w:t>
            </w:r>
            <w:r w:rsidRPr="00EC20A0">
              <w:rPr>
                <w:spacing w:val="-5"/>
              </w:rPr>
              <w:t xml:space="preserve"> </w:t>
            </w:r>
            <w:r w:rsidRPr="00EC20A0">
              <w:t>learn</w:t>
            </w:r>
            <w:r w:rsidRPr="00EC20A0">
              <w:rPr>
                <w:spacing w:val="-5"/>
              </w:rPr>
              <w:t xml:space="preserve"> </w:t>
            </w:r>
            <w:r w:rsidRPr="00EC20A0">
              <w:t>of</w:t>
            </w:r>
            <w:r w:rsidRPr="00EC20A0">
              <w:rPr>
                <w:spacing w:val="-5"/>
              </w:rPr>
              <w:t xml:space="preserve"> </w:t>
            </w:r>
            <w:r w:rsidRPr="00EC20A0">
              <w:t>subsequent events, such as</w:t>
            </w:r>
          </w:p>
          <w:p w14:paraId="24D62A3B" w14:textId="77777777" w:rsidR="00245300" w:rsidRPr="00EC20A0" w:rsidRDefault="00F17249">
            <w:pPr>
              <w:pStyle w:val="TableParagraph"/>
              <w:numPr>
                <w:ilvl w:val="1"/>
                <w:numId w:val="23"/>
              </w:numPr>
              <w:tabs>
                <w:tab w:val="left" w:pos="1259"/>
              </w:tabs>
              <w:spacing w:before="240"/>
              <w:ind w:hanging="576"/>
            </w:pPr>
            <w:r w:rsidRPr="00EC20A0">
              <w:t>the</w:t>
            </w:r>
            <w:r w:rsidRPr="00EC20A0">
              <w:rPr>
                <w:spacing w:val="-6"/>
              </w:rPr>
              <w:t xml:space="preserve"> </w:t>
            </w:r>
            <w:r w:rsidRPr="00EC20A0">
              <w:t>inspector</w:t>
            </w:r>
            <w:r w:rsidRPr="00EC20A0">
              <w:rPr>
                <w:spacing w:val="-6"/>
              </w:rPr>
              <w:t xml:space="preserve"> </w:t>
            </w:r>
            <w:r w:rsidRPr="00EC20A0">
              <w:t>general</w:t>
            </w:r>
            <w:r w:rsidRPr="00EC20A0">
              <w:rPr>
                <w:spacing w:val="-6"/>
              </w:rPr>
              <w:t xml:space="preserve"> </w:t>
            </w:r>
            <w:r w:rsidRPr="00EC20A0">
              <w:t>or</w:t>
            </w:r>
            <w:r w:rsidRPr="00EC20A0">
              <w:rPr>
                <w:spacing w:val="-8"/>
              </w:rPr>
              <w:t xml:space="preserve"> </w:t>
            </w:r>
            <w:r w:rsidRPr="00EC20A0">
              <w:t>internal</w:t>
            </w:r>
            <w:r w:rsidRPr="00EC20A0">
              <w:rPr>
                <w:spacing w:val="-6"/>
              </w:rPr>
              <w:t xml:space="preserve"> </w:t>
            </w:r>
            <w:r w:rsidRPr="00EC20A0">
              <w:t>audit</w:t>
            </w:r>
            <w:r w:rsidRPr="00EC20A0">
              <w:rPr>
                <w:spacing w:val="-6"/>
              </w:rPr>
              <w:t xml:space="preserve"> </w:t>
            </w:r>
            <w:r w:rsidRPr="00EC20A0">
              <w:rPr>
                <w:spacing w:val="-2"/>
              </w:rPr>
              <w:t>department,</w:t>
            </w:r>
          </w:p>
          <w:p w14:paraId="24D62A3C" w14:textId="77777777" w:rsidR="00245300" w:rsidRPr="00EC20A0" w:rsidRDefault="00F17249">
            <w:pPr>
              <w:pStyle w:val="TableParagraph"/>
              <w:numPr>
                <w:ilvl w:val="1"/>
                <w:numId w:val="23"/>
              </w:numPr>
              <w:tabs>
                <w:tab w:val="left" w:pos="1259"/>
              </w:tabs>
              <w:spacing w:before="240"/>
              <w:ind w:hanging="576"/>
            </w:pPr>
            <w:r w:rsidRPr="00EC20A0">
              <w:t>program</w:t>
            </w:r>
            <w:r w:rsidRPr="00EC20A0">
              <w:rPr>
                <w:spacing w:val="-9"/>
              </w:rPr>
              <w:t xml:space="preserve"> </w:t>
            </w:r>
            <w:r w:rsidRPr="00EC20A0">
              <w:t>divisions,</w:t>
            </w:r>
            <w:r w:rsidRPr="00EC20A0">
              <w:rPr>
                <w:spacing w:val="-9"/>
              </w:rPr>
              <w:t xml:space="preserve"> </w:t>
            </w:r>
            <w:r w:rsidRPr="00EC20A0">
              <w:rPr>
                <w:spacing w:val="-5"/>
              </w:rPr>
              <w:t>and</w:t>
            </w:r>
          </w:p>
          <w:p w14:paraId="24D62A3D" w14:textId="77777777" w:rsidR="00245300" w:rsidRPr="00EC20A0" w:rsidRDefault="00F17249">
            <w:pPr>
              <w:pStyle w:val="TableParagraph"/>
              <w:numPr>
                <w:ilvl w:val="1"/>
                <w:numId w:val="23"/>
              </w:numPr>
              <w:tabs>
                <w:tab w:val="left" w:pos="1259"/>
              </w:tabs>
              <w:spacing w:before="241"/>
              <w:ind w:hanging="576"/>
            </w:pPr>
            <w:r w:rsidRPr="00EC20A0">
              <w:t>newspapers</w:t>
            </w:r>
            <w:r w:rsidRPr="00EC20A0">
              <w:rPr>
                <w:spacing w:val="-7"/>
              </w:rPr>
              <w:t xml:space="preserve"> </w:t>
            </w:r>
            <w:r w:rsidRPr="00EC20A0">
              <w:t>or</w:t>
            </w:r>
            <w:r w:rsidRPr="00EC20A0">
              <w:rPr>
                <w:spacing w:val="-7"/>
              </w:rPr>
              <w:t xml:space="preserve"> </w:t>
            </w:r>
            <w:r w:rsidRPr="00EC20A0">
              <w:t>other</w:t>
            </w:r>
            <w:r w:rsidRPr="00EC20A0">
              <w:rPr>
                <w:spacing w:val="-7"/>
              </w:rPr>
              <w:t xml:space="preserve"> </w:t>
            </w:r>
            <w:r w:rsidRPr="00EC20A0">
              <w:t>media</w:t>
            </w:r>
            <w:r w:rsidRPr="00EC20A0">
              <w:rPr>
                <w:spacing w:val="-6"/>
              </w:rPr>
              <w:t xml:space="preserve"> </w:t>
            </w:r>
            <w:r w:rsidRPr="00EC20A0">
              <w:rPr>
                <w:spacing w:val="-2"/>
              </w:rPr>
              <w:t>sources.</w:t>
            </w:r>
          </w:p>
          <w:p w14:paraId="24D62A3E" w14:textId="77777777" w:rsidR="00245300" w:rsidRPr="00EC20A0" w:rsidRDefault="00F17249">
            <w:pPr>
              <w:pStyle w:val="TableParagraph"/>
              <w:numPr>
                <w:ilvl w:val="0"/>
                <w:numId w:val="23"/>
              </w:numPr>
              <w:tabs>
                <w:tab w:val="left" w:pos="683"/>
              </w:tabs>
              <w:spacing w:before="239"/>
              <w:ind w:right="572"/>
            </w:pPr>
            <w:r w:rsidRPr="00EC20A0">
              <w:t>Make</w:t>
            </w:r>
            <w:r w:rsidRPr="00EC20A0">
              <w:rPr>
                <w:spacing w:val="-7"/>
              </w:rPr>
              <w:t xml:space="preserve"> </w:t>
            </w:r>
            <w:r w:rsidRPr="00EC20A0">
              <w:t>additional</w:t>
            </w:r>
            <w:r w:rsidRPr="00EC20A0">
              <w:rPr>
                <w:spacing w:val="-7"/>
              </w:rPr>
              <w:t xml:space="preserve"> </w:t>
            </w:r>
            <w:r w:rsidRPr="00EC20A0">
              <w:t>inquiries</w:t>
            </w:r>
            <w:r w:rsidRPr="00EC20A0">
              <w:rPr>
                <w:spacing w:val="-7"/>
              </w:rPr>
              <w:t xml:space="preserve"> </w:t>
            </w:r>
            <w:r w:rsidRPr="00EC20A0">
              <w:t>or</w:t>
            </w:r>
            <w:r w:rsidRPr="00EC20A0">
              <w:rPr>
                <w:spacing w:val="-7"/>
              </w:rPr>
              <w:t xml:space="preserve"> </w:t>
            </w:r>
            <w:r w:rsidRPr="00EC20A0">
              <w:t>perform</w:t>
            </w:r>
            <w:r w:rsidRPr="00EC20A0">
              <w:rPr>
                <w:spacing w:val="-7"/>
              </w:rPr>
              <w:t xml:space="preserve"> </w:t>
            </w:r>
            <w:r w:rsidRPr="00EC20A0">
              <w:t>additional</w:t>
            </w:r>
            <w:r w:rsidRPr="00EC20A0">
              <w:rPr>
                <w:spacing w:val="-7"/>
              </w:rPr>
              <w:t xml:space="preserve"> </w:t>
            </w:r>
            <w:r w:rsidRPr="00EC20A0">
              <w:t xml:space="preserve">procedures deemed necessary to resolve any </w:t>
            </w:r>
            <w:r w:rsidRPr="00EC20A0">
              <w:t>questions raised in the foregoing audit steps.</w:t>
            </w:r>
          </w:p>
        </w:tc>
        <w:tc>
          <w:tcPr>
            <w:tcW w:w="1170" w:type="dxa"/>
          </w:tcPr>
          <w:p w14:paraId="24D62A3F" w14:textId="77777777" w:rsidR="00245300" w:rsidRPr="00EC20A0" w:rsidRDefault="00245300">
            <w:pPr>
              <w:pStyle w:val="TableParagraph"/>
              <w:rPr>
                <w:sz w:val="20"/>
              </w:rPr>
            </w:pPr>
          </w:p>
        </w:tc>
        <w:tc>
          <w:tcPr>
            <w:tcW w:w="1368" w:type="dxa"/>
          </w:tcPr>
          <w:p w14:paraId="24D62A40" w14:textId="77777777" w:rsidR="00245300" w:rsidRPr="00EC20A0" w:rsidRDefault="00245300">
            <w:pPr>
              <w:pStyle w:val="TableParagraph"/>
              <w:rPr>
                <w:sz w:val="20"/>
              </w:rPr>
            </w:pPr>
          </w:p>
        </w:tc>
      </w:tr>
      <w:tr w:rsidR="00245300" w:rsidRPr="00EC20A0" w14:paraId="24D62A46" w14:textId="77777777">
        <w:trPr>
          <w:trHeight w:val="1745"/>
        </w:trPr>
        <w:tc>
          <w:tcPr>
            <w:tcW w:w="6930" w:type="dxa"/>
          </w:tcPr>
          <w:p w14:paraId="24D62A42" w14:textId="77777777" w:rsidR="00245300" w:rsidRPr="00EC20A0" w:rsidRDefault="00F17249">
            <w:pPr>
              <w:pStyle w:val="TableParagraph"/>
              <w:spacing w:before="120"/>
              <w:ind w:left="107"/>
              <w:rPr>
                <w:b/>
              </w:rPr>
            </w:pPr>
            <w:r w:rsidRPr="00EC20A0">
              <w:rPr>
                <w:b/>
                <w:u w:val="single"/>
              </w:rPr>
              <w:t>VIII.</w:t>
            </w:r>
            <w:r w:rsidRPr="00EC20A0">
              <w:rPr>
                <w:b/>
                <w:spacing w:val="-5"/>
                <w:u w:val="single"/>
              </w:rPr>
              <w:t xml:space="preserve"> </w:t>
            </w:r>
            <w:r w:rsidRPr="00EC20A0">
              <w:rPr>
                <w:b/>
                <w:spacing w:val="-2"/>
                <w:u w:val="single"/>
              </w:rPr>
              <w:t>Summarize</w:t>
            </w:r>
          </w:p>
          <w:p w14:paraId="24D62A43" w14:textId="77777777" w:rsidR="00245300" w:rsidRPr="00EC20A0" w:rsidRDefault="00F17249">
            <w:pPr>
              <w:pStyle w:val="TableParagraph"/>
              <w:tabs>
                <w:tab w:val="left" w:pos="723"/>
              </w:tabs>
              <w:spacing w:before="240"/>
              <w:ind w:left="723" w:right="128" w:hanging="616"/>
            </w:pPr>
            <w:r w:rsidRPr="00EC20A0">
              <w:rPr>
                <w:spacing w:val="-6"/>
              </w:rPr>
              <w:t>1)</w:t>
            </w:r>
            <w:r w:rsidRPr="00EC20A0">
              <w:tab/>
              <w:t>Prepare a summary memo documenting the results of the work performed above and conclusions reached. If subsequent</w:t>
            </w:r>
            <w:r w:rsidRPr="00EC20A0">
              <w:rPr>
                <w:spacing w:val="-6"/>
              </w:rPr>
              <w:t xml:space="preserve"> </w:t>
            </w:r>
            <w:r w:rsidRPr="00EC20A0">
              <w:t>events</w:t>
            </w:r>
            <w:r w:rsidRPr="00EC20A0">
              <w:rPr>
                <w:spacing w:val="-6"/>
              </w:rPr>
              <w:t xml:space="preserve"> </w:t>
            </w:r>
            <w:r w:rsidRPr="00EC20A0">
              <w:t>were</w:t>
            </w:r>
            <w:r w:rsidRPr="00EC20A0">
              <w:rPr>
                <w:spacing w:val="-6"/>
              </w:rPr>
              <w:t xml:space="preserve"> </w:t>
            </w:r>
            <w:r w:rsidRPr="00EC20A0">
              <w:t>identified,</w:t>
            </w:r>
            <w:r w:rsidRPr="00EC20A0">
              <w:rPr>
                <w:spacing w:val="-6"/>
              </w:rPr>
              <w:t xml:space="preserve"> </w:t>
            </w:r>
            <w:r w:rsidRPr="00EC20A0">
              <w:t>ensure</w:t>
            </w:r>
            <w:r w:rsidRPr="00EC20A0">
              <w:rPr>
                <w:spacing w:val="-6"/>
              </w:rPr>
              <w:t xml:space="preserve"> </w:t>
            </w:r>
            <w:r w:rsidRPr="00EC20A0">
              <w:t>that</w:t>
            </w:r>
            <w:r w:rsidRPr="00EC20A0">
              <w:rPr>
                <w:spacing w:val="-6"/>
              </w:rPr>
              <w:t xml:space="preserve"> </w:t>
            </w:r>
            <w:r w:rsidRPr="00EC20A0">
              <w:t>the</w:t>
            </w:r>
            <w:r w:rsidRPr="00EC20A0">
              <w:rPr>
                <w:spacing w:val="-6"/>
              </w:rPr>
              <w:t xml:space="preserve"> </w:t>
            </w:r>
            <w:r w:rsidRPr="00EC20A0">
              <w:t xml:space="preserve">information was treated </w:t>
            </w:r>
            <w:r w:rsidRPr="00EC20A0">
              <w:t>appropriately in the financial statements.</w:t>
            </w:r>
          </w:p>
        </w:tc>
        <w:tc>
          <w:tcPr>
            <w:tcW w:w="1170" w:type="dxa"/>
          </w:tcPr>
          <w:p w14:paraId="24D62A44" w14:textId="77777777" w:rsidR="00245300" w:rsidRPr="00EC20A0" w:rsidRDefault="00245300">
            <w:pPr>
              <w:pStyle w:val="TableParagraph"/>
              <w:rPr>
                <w:sz w:val="20"/>
              </w:rPr>
            </w:pPr>
          </w:p>
        </w:tc>
        <w:tc>
          <w:tcPr>
            <w:tcW w:w="1368" w:type="dxa"/>
          </w:tcPr>
          <w:p w14:paraId="24D62A45" w14:textId="77777777" w:rsidR="00245300" w:rsidRPr="00EC20A0" w:rsidRDefault="00245300">
            <w:pPr>
              <w:pStyle w:val="TableParagraph"/>
              <w:rPr>
                <w:sz w:val="20"/>
              </w:rPr>
            </w:pPr>
          </w:p>
        </w:tc>
      </w:tr>
    </w:tbl>
    <w:p w14:paraId="24D62A47" w14:textId="77777777" w:rsidR="00245300" w:rsidRPr="00EC20A0" w:rsidRDefault="00245300">
      <w:pPr>
        <w:rPr>
          <w:sz w:val="20"/>
        </w:rPr>
        <w:sectPr w:rsidR="00245300" w:rsidRPr="00EC20A0">
          <w:pgSz w:w="12240" w:h="15840"/>
          <w:pgMar w:top="1340" w:right="460" w:bottom="940" w:left="560" w:header="721" w:footer="757" w:gutter="0"/>
          <w:cols w:space="720"/>
        </w:sectPr>
      </w:pPr>
    </w:p>
    <w:p w14:paraId="24D62A9C" w14:textId="626B7D23" w:rsidR="00245300" w:rsidRPr="00EC20A0" w:rsidRDefault="00F17249">
      <w:pPr>
        <w:spacing w:line="212" w:lineRule="exact"/>
        <w:ind w:left="161"/>
        <w:rPr>
          <w:sz w:val="20"/>
        </w:rPr>
      </w:pPr>
      <w:r w:rsidRPr="00EC20A0">
        <w:br w:type="column"/>
      </w:r>
    </w:p>
    <w:sectPr w:rsidR="00245300" w:rsidRPr="00EC20A0">
      <w:headerReference w:type="default" r:id="rId211"/>
      <w:footerReference w:type="default" r:id="rId212"/>
      <w:type w:val="continuous"/>
      <w:pgSz w:w="12240" w:h="15840"/>
      <w:pgMar w:top="1020" w:right="460" w:bottom="280" w:left="560" w:header="0" w:footer="0" w:gutter="0"/>
      <w:cols w:num="2" w:space="720" w:equalWidth="0">
        <w:col w:w="3421" w:space="178"/>
        <w:col w:w="762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50D3D" w14:textId="77777777" w:rsidR="004472DB" w:rsidRDefault="004472DB">
      <w:r>
        <w:separator/>
      </w:r>
    </w:p>
  </w:endnote>
  <w:endnote w:type="continuationSeparator" w:id="0">
    <w:p w14:paraId="51E42D85" w14:textId="77777777" w:rsidR="004472DB" w:rsidRDefault="00447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3" w14:textId="77777777" w:rsidR="00245300" w:rsidRDefault="00F17249">
    <w:pPr>
      <w:pStyle w:val="BodyText"/>
      <w:spacing w:line="14" w:lineRule="auto"/>
      <w:rPr>
        <w:sz w:val="20"/>
      </w:rPr>
    </w:pPr>
    <w:r>
      <w:rPr>
        <w:noProof/>
      </w:rPr>
      <mc:AlternateContent>
        <mc:Choice Requires="wps">
          <w:drawing>
            <wp:anchor distT="0" distB="0" distL="0" distR="0" simplePos="0" relativeHeight="475243008" behindDoc="1" locked="0" layoutInCell="1" allowOverlap="1" wp14:anchorId="24D62DB2" wp14:editId="24D62DB3">
              <wp:simplePos x="0" y="0"/>
              <wp:positionH relativeFrom="page">
                <wp:posOffset>895350</wp:posOffset>
              </wp:positionH>
              <wp:positionV relativeFrom="page">
                <wp:posOffset>9432035</wp:posOffset>
              </wp:positionV>
              <wp:extent cx="5981700" cy="2857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B3C525" id="Graphic 31" o:spid="_x0000_s1026" style="position:absolute;margin-left:70.5pt;margin-top:742.7pt;width:471pt;height:2.25pt;z-index:-280734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43520" behindDoc="1" locked="0" layoutInCell="1" allowOverlap="1" wp14:anchorId="24D62DB4" wp14:editId="24D62DB5">
              <wp:simplePos x="0" y="0"/>
              <wp:positionH relativeFrom="page">
                <wp:posOffset>901700</wp:posOffset>
              </wp:positionH>
              <wp:positionV relativeFrom="page">
                <wp:posOffset>9464549</wp:posOffset>
              </wp:positionV>
              <wp:extent cx="678180" cy="1816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08"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DB4" id="_x0000_t202" coordsize="21600,21600" o:spt="202" path="m,l,21600r21600,l21600,xe">
              <v:stroke joinstyle="miter"/>
              <v:path gradientshapeok="t" o:connecttype="rect"/>
            </v:shapetype>
            <v:shape id="Textbox 32" o:spid="_x0000_s1029" type="#_x0000_t202" style="position:absolute;margin-left:71pt;margin-top:745.25pt;width:53.4pt;height:14.3pt;z-index:-280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" filled="f" stroked="f">
              <v:textbox inset="0,0,0,0">
                <w:txbxContent>
                  <w:p w14:paraId="24D63208"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44032" behindDoc="1" locked="0" layoutInCell="1" allowOverlap="1" wp14:anchorId="24D62DB6" wp14:editId="24D62DB7">
              <wp:simplePos x="0" y="0"/>
              <wp:positionH relativeFrom="page">
                <wp:posOffset>2696370</wp:posOffset>
              </wp:positionH>
              <wp:positionV relativeFrom="page">
                <wp:posOffset>9464549</wp:posOffset>
              </wp:positionV>
              <wp:extent cx="2206625" cy="1816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0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DB6" id="Textbox 33" o:spid="_x0000_s1030" type="#_x0000_t202" style="position:absolute;margin-left:212.3pt;margin-top:745.25pt;width:173.75pt;height:14.3pt;z-index:-280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" filled="f" stroked="f">
              <v:textbox inset="0,0,0,0">
                <w:txbxContent>
                  <w:p w14:paraId="24D6320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44544" behindDoc="1" locked="0" layoutInCell="1" allowOverlap="1" wp14:anchorId="24D62DB8" wp14:editId="24D62DB9">
              <wp:simplePos x="0" y="0"/>
              <wp:positionH relativeFrom="page">
                <wp:posOffset>6162021</wp:posOffset>
              </wp:positionH>
              <wp:positionV relativeFrom="page">
                <wp:posOffset>9464549</wp:posOffset>
              </wp:positionV>
              <wp:extent cx="746760" cy="1816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760" cy="181610"/>
                      </a:xfrm>
                      <a:prstGeom prst="rect">
                        <a:avLst/>
                      </a:prstGeom>
                    </wps:spPr>
                    <wps:txbx>
                      <w:txbxContent>
                        <w:p w14:paraId="24D6320A" w14:textId="77777777" w:rsidR="00245300" w:rsidRDefault="00F17249">
                          <w:pPr>
                            <w:pStyle w:val="BodyText"/>
                            <w:spacing w:before="12"/>
                            <w:ind w:left="20"/>
                          </w:pPr>
                          <w:r>
                            <w:rPr>
                              <w:spacing w:val="-2"/>
                            </w:rPr>
                            <w:t>Changes-</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DB8" id="Textbox 34" o:spid="_x0000_s1031" type="#_x0000_t202" style="position:absolute;margin-left:485.2pt;margin-top:745.25pt;width:58.8pt;height:14.3pt;z-index:-280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" filled="f" stroked="f">
              <v:textbox inset="0,0,0,0">
                <w:txbxContent>
                  <w:p w14:paraId="24D6320A" w14:textId="77777777" w:rsidR="00245300" w:rsidRDefault="00F17249">
                    <w:pPr>
                      <w:pStyle w:val="BodyText"/>
                      <w:spacing w:before="12"/>
                      <w:ind w:left="20"/>
                    </w:pPr>
                    <w:r>
                      <w:rPr>
                        <w:spacing w:val="-2"/>
                      </w:rPr>
                      <w:t>Changes-</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5" w14:textId="77777777" w:rsidR="00245300" w:rsidRDefault="00F17249">
    <w:pPr>
      <w:pStyle w:val="BodyText"/>
      <w:spacing w:line="14" w:lineRule="auto"/>
      <w:rPr>
        <w:sz w:val="20"/>
      </w:rPr>
    </w:pPr>
    <w:r>
      <w:rPr>
        <w:noProof/>
      </w:rPr>
      <mc:AlternateContent>
        <mc:Choice Requires="wps">
          <w:drawing>
            <wp:anchor distT="0" distB="0" distL="0" distR="0" simplePos="0" relativeHeight="475268096" behindDoc="1" locked="0" layoutInCell="1" allowOverlap="1" wp14:anchorId="24D62E14" wp14:editId="24D62E15">
              <wp:simplePos x="0" y="0"/>
              <wp:positionH relativeFrom="page">
                <wp:posOffset>895350</wp:posOffset>
              </wp:positionH>
              <wp:positionV relativeFrom="page">
                <wp:posOffset>9400031</wp:posOffset>
              </wp:positionV>
              <wp:extent cx="5981700" cy="2857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BA30C" id="Graphic 95" o:spid="_x0000_s1026" style="position:absolute;margin-left:70.5pt;margin-top:740.15pt;width:471pt;height:2.25pt;z-index:-280483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8608" behindDoc="1" locked="0" layoutInCell="1" allowOverlap="1" wp14:anchorId="24D62E16" wp14:editId="24D62E17">
              <wp:simplePos x="0" y="0"/>
              <wp:positionH relativeFrom="page">
                <wp:posOffset>901700</wp:posOffset>
              </wp:positionH>
              <wp:positionV relativeFrom="page">
                <wp:posOffset>9432545</wp:posOffset>
              </wp:positionV>
              <wp:extent cx="678180" cy="1816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2A"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16" id="_x0000_t202" coordsize="21600,21600" o:spt="202" path="m,l,21600r21600,l21600,xe">
              <v:stroke joinstyle="miter"/>
              <v:path gradientshapeok="t" o:connecttype="rect"/>
            </v:shapetype>
            <v:shape id="Textbox 96" o:spid="_x0000_s1057" type="#_x0000_t202" style="position:absolute;margin-left:71pt;margin-top:742.7pt;width:53.4pt;height:14.3pt;z-index:-280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Os6BK6XAQAA&#10;IgMAAA4AAAAAAAAAAAAAAAAALgIAAGRycy9lMm9Eb2MueG1sUEsBAi0AFAAGAAgAAAAhAK5q90Ph&#10;AAAADQEAAA8AAAAAAAAAAAAAAAAA8QMAAGRycy9kb3ducmV2LnhtbFBLBQYAAAAABAAEAPMAAAD/&#10;BAAAAAA=&#10;" filled="f" stroked="f">
              <v:textbox inset="0,0,0,0">
                <w:txbxContent>
                  <w:p w14:paraId="24D6322A"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69120" behindDoc="1" locked="0" layoutInCell="1" allowOverlap="1" wp14:anchorId="24D62E18" wp14:editId="24D62E19">
              <wp:simplePos x="0" y="0"/>
              <wp:positionH relativeFrom="page">
                <wp:posOffset>2783105</wp:posOffset>
              </wp:positionH>
              <wp:positionV relativeFrom="page">
                <wp:posOffset>9432545</wp:posOffset>
              </wp:positionV>
              <wp:extent cx="2207260" cy="1816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2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18" id="Textbox 97" o:spid="_x0000_s1058" type="#_x0000_t202" style="position:absolute;margin-left:219.15pt;margin-top:742.7pt;width:173.8pt;height:14.3pt;z-index:-280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AxITb5gB&#10;AAAjAwAADgAAAAAAAAAAAAAAAAAuAgAAZHJzL2Uyb0RvYy54bWxQSwECLQAUAAYACAAAACEA+kgz&#10;ReIAAAANAQAADwAAAAAAAAAAAAAAAADyAwAAZHJzL2Rvd25yZXYueG1sUEsFBgAAAAAEAAQA8wAA&#10;AAEFAAAAAA==&#10;" filled="f" stroked="f">
              <v:textbox inset="0,0,0,0">
                <w:txbxContent>
                  <w:p w14:paraId="24D6322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69632" behindDoc="1" locked="0" layoutInCell="1" allowOverlap="1" wp14:anchorId="24D62E1A" wp14:editId="24D62E1B">
              <wp:simplePos x="0" y="0"/>
              <wp:positionH relativeFrom="page">
                <wp:posOffset>6122976</wp:posOffset>
              </wp:positionH>
              <wp:positionV relativeFrom="page">
                <wp:posOffset>9432545</wp:posOffset>
              </wp:positionV>
              <wp:extent cx="785495" cy="1816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2C" w14:textId="77777777" w:rsidR="00245300" w:rsidRDefault="00F17249">
                          <w:pPr>
                            <w:pStyle w:val="BodyText"/>
                            <w:spacing w:before="12"/>
                            <w:ind w:left="20"/>
                          </w:pPr>
                          <w:r>
                            <w:t>Page</w:t>
                          </w:r>
                          <w:r>
                            <w:rPr>
                              <w:spacing w:val="-12"/>
                            </w:rPr>
                            <w:t xml:space="preserve"> </w:t>
                          </w:r>
                          <w:r>
                            <w:t>625-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1A" id="Textbox 98" o:spid="_x0000_s1059" type="#_x0000_t202" style="position:absolute;margin-left:482.1pt;margin-top:742.7pt;width:61.85pt;height:14.3pt;z-index:-280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CHL5i2&#10;mQEAACIDAAAOAAAAAAAAAAAAAAAAAC4CAABkcnMvZTJvRG9jLnhtbFBLAQItABQABgAIAAAAIQBj&#10;dBNC4wAAAA4BAAAPAAAAAAAAAAAAAAAAAPMDAABkcnMvZG93bnJldi54bWxQSwUGAAAAAAQABADz&#10;AAAAAwUAAAAA&#10;" filled="f" stroked="f">
              <v:textbox inset="0,0,0,0">
                <w:txbxContent>
                  <w:p w14:paraId="24D6322C" w14:textId="77777777" w:rsidR="00245300" w:rsidRDefault="00F17249">
                    <w:pPr>
                      <w:pStyle w:val="BodyText"/>
                      <w:spacing w:before="12"/>
                      <w:ind w:left="20"/>
                    </w:pPr>
                    <w:r>
                      <w:t>Page</w:t>
                    </w:r>
                    <w:r>
                      <w:rPr>
                        <w:spacing w:val="-12"/>
                      </w:rPr>
                      <w:t xml:space="preserve"> </w:t>
                    </w:r>
                    <w:r>
                      <w:t>625-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7" w14:textId="77777777" w:rsidR="00245300" w:rsidRDefault="00F17249">
    <w:pPr>
      <w:pStyle w:val="BodyText"/>
      <w:spacing w:line="14" w:lineRule="auto"/>
      <w:rPr>
        <w:sz w:val="20"/>
      </w:rPr>
    </w:pPr>
    <w:r>
      <w:rPr>
        <w:noProof/>
      </w:rPr>
      <mc:AlternateContent>
        <mc:Choice Requires="wps">
          <w:drawing>
            <wp:anchor distT="0" distB="0" distL="0" distR="0" simplePos="0" relativeHeight="475271680" behindDoc="1" locked="0" layoutInCell="1" allowOverlap="1" wp14:anchorId="24D62E22" wp14:editId="24D62E23">
              <wp:simplePos x="0" y="0"/>
              <wp:positionH relativeFrom="page">
                <wp:posOffset>895350</wp:posOffset>
              </wp:positionH>
              <wp:positionV relativeFrom="page">
                <wp:posOffset>9400031</wp:posOffset>
              </wp:positionV>
              <wp:extent cx="5981700" cy="2857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5DA54E" id="Graphic 103" o:spid="_x0000_s1026" style="position:absolute;margin-left:70.5pt;margin-top:740.15pt;width:471pt;height:2.25pt;z-index:-280448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2192" behindDoc="1" locked="0" layoutInCell="1" allowOverlap="1" wp14:anchorId="24D62E24" wp14:editId="24D62E25">
              <wp:simplePos x="0" y="0"/>
              <wp:positionH relativeFrom="page">
                <wp:posOffset>901700</wp:posOffset>
              </wp:positionH>
              <wp:positionV relativeFrom="page">
                <wp:posOffset>9432545</wp:posOffset>
              </wp:positionV>
              <wp:extent cx="678180" cy="1816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2F"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24" id="_x0000_t202" coordsize="21600,21600" o:spt="202" path="m,l,21600r21600,l21600,xe">
              <v:stroke joinstyle="miter"/>
              <v:path gradientshapeok="t" o:connecttype="rect"/>
            </v:shapetype>
            <v:shape id="Textbox 104" o:spid="_x0000_s1061" type="#_x0000_t202" style="position:absolute;margin-left:71pt;margin-top:742.7pt;width:53.4pt;height:14.3pt;z-index:-280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CemAEAACIDAAAOAAAAZHJzL2Uyb0RvYy54bWysUs2O0zAQviPxDpbv1M2uVKq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3W15o7hVrWuVlXxW10PR6T0xYIXuWgk&#10;clyFgD4+UMrX6/o8MnN5vj4TSdNuEn3byNvbnGLe2kF7Yi0jx9lI+n3QaKUYvgb2K2d/LvBc7M4F&#10;puETlBeSJQX4cEjg+sLgijsz4CAKsfnR5KT//i9T16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0PBCemAEA&#10;ACIDAAAOAAAAAAAAAAAAAAAAAC4CAABkcnMvZTJvRG9jLnhtbFBLAQItABQABgAIAAAAIQCuavdD&#10;4QAAAA0BAAAPAAAAAAAAAAAAAAAAAPIDAABkcnMvZG93bnJldi54bWxQSwUGAAAAAAQABADzAAAA&#10;AAUAAAAA&#10;" filled="f" stroked="f">
              <v:textbox inset="0,0,0,0">
                <w:txbxContent>
                  <w:p w14:paraId="24D6322F"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72704" behindDoc="1" locked="0" layoutInCell="1" allowOverlap="1" wp14:anchorId="24D62E26" wp14:editId="24D62E27">
              <wp:simplePos x="0" y="0"/>
              <wp:positionH relativeFrom="page">
                <wp:posOffset>2783105</wp:posOffset>
              </wp:positionH>
              <wp:positionV relativeFrom="page">
                <wp:posOffset>9432545</wp:posOffset>
              </wp:positionV>
              <wp:extent cx="2207260" cy="1816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30"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26" id="Textbox 105" o:spid="_x0000_s1062" type="#_x0000_t202" style="position:absolute;margin-left:219.15pt;margin-top:742.7pt;width:173.8pt;height:14.3pt;z-index:-280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F510XKZ&#10;AQAAIwMAAA4AAAAAAAAAAAAAAAAALgIAAGRycy9lMm9Eb2MueG1sUEsBAi0AFAAGAAgAAAAhAPpI&#10;M0XiAAAADQEAAA8AAAAAAAAAAAAAAAAA8wMAAGRycy9kb3ducmV2LnhtbFBLBQYAAAAABAAEAPMA&#10;AAACBQAAAAA=&#10;" filled="f" stroked="f">
              <v:textbox inset="0,0,0,0">
                <w:txbxContent>
                  <w:p w14:paraId="24D63230"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73216" behindDoc="1" locked="0" layoutInCell="1" allowOverlap="1" wp14:anchorId="24D62E28" wp14:editId="24D62E29">
              <wp:simplePos x="0" y="0"/>
              <wp:positionH relativeFrom="page">
                <wp:posOffset>6045444</wp:posOffset>
              </wp:positionH>
              <wp:positionV relativeFrom="page">
                <wp:posOffset>9432545</wp:posOffset>
              </wp:positionV>
              <wp:extent cx="863600" cy="1816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231" w14:textId="77777777" w:rsidR="00245300" w:rsidRDefault="00F17249">
                          <w:pPr>
                            <w:pStyle w:val="BodyText"/>
                            <w:spacing w:before="12"/>
                            <w:ind w:left="20"/>
                          </w:pPr>
                          <w:r>
                            <w:t>Page</w:t>
                          </w:r>
                          <w:r>
                            <w:rPr>
                              <w:spacing w:val="-10"/>
                            </w:rPr>
                            <w:t xml:space="preserve"> </w:t>
                          </w:r>
                          <w:r>
                            <w:t>630-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2E28" id="Textbox 106" o:spid="_x0000_s1063" type="#_x0000_t202" style="position:absolute;margin-left:476pt;margin-top:742.7pt;width:68pt;height:14.3pt;z-index:-280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pjnUfpgB&#10;AAAiAwAADgAAAAAAAAAAAAAAAAAuAgAAZHJzL2Uyb0RvYy54bWxQSwECLQAUAAYACAAAACEA680r&#10;7OIAAAAOAQAADwAAAAAAAAAAAAAAAADyAwAAZHJzL2Rvd25yZXYueG1sUEsFBgAAAAAEAAQA8wAA&#10;AAEFAAAAAA==&#10;" filled="f" stroked="f">
              <v:textbox inset="0,0,0,0">
                <w:txbxContent>
                  <w:p w14:paraId="24D63231" w14:textId="77777777" w:rsidR="00245300" w:rsidRDefault="00F17249">
                    <w:pPr>
                      <w:pStyle w:val="BodyText"/>
                      <w:spacing w:before="12"/>
                      <w:ind w:left="20"/>
                    </w:pPr>
                    <w:r>
                      <w:t>Page</w:t>
                    </w:r>
                    <w:r>
                      <w:rPr>
                        <w:spacing w:val="-10"/>
                      </w:rPr>
                      <w:t xml:space="preserve"> </w:t>
                    </w:r>
                    <w:r>
                      <w:t>630-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9" w14:textId="77777777" w:rsidR="00245300" w:rsidRDefault="00F17249">
    <w:pPr>
      <w:pStyle w:val="BodyText"/>
      <w:spacing w:line="14" w:lineRule="auto"/>
      <w:rPr>
        <w:sz w:val="20"/>
      </w:rPr>
    </w:pPr>
    <w:r>
      <w:rPr>
        <w:noProof/>
      </w:rPr>
      <mc:AlternateContent>
        <mc:Choice Requires="wps">
          <w:drawing>
            <wp:anchor distT="0" distB="0" distL="0" distR="0" simplePos="0" relativeHeight="475275264" behindDoc="1" locked="0" layoutInCell="1" allowOverlap="1" wp14:anchorId="24D62E30" wp14:editId="24D62E31">
              <wp:simplePos x="0" y="0"/>
              <wp:positionH relativeFrom="page">
                <wp:posOffset>895350</wp:posOffset>
              </wp:positionH>
              <wp:positionV relativeFrom="page">
                <wp:posOffset>9400031</wp:posOffset>
              </wp:positionV>
              <wp:extent cx="5981700" cy="285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7FC82" id="Graphic 113" o:spid="_x0000_s1026" style="position:absolute;margin-left:70.5pt;margin-top:740.15pt;width:471pt;height:2.25pt;z-index:-280412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5776" behindDoc="1" locked="0" layoutInCell="1" allowOverlap="1" wp14:anchorId="24D62E32" wp14:editId="24D62E33">
              <wp:simplePos x="0" y="0"/>
              <wp:positionH relativeFrom="page">
                <wp:posOffset>901700</wp:posOffset>
              </wp:positionH>
              <wp:positionV relativeFrom="page">
                <wp:posOffset>9432545</wp:posOffset>
              </wp:positionV>
              <wp:extent cx="678180" cy="1816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34"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32" id="_x0000_t202" coordsize="21600,21600" o:spt="202" path="m,l,21600r21600,l21600,xe">
              <v:stroke joinstyle="miter"/>
              <v:path gradientshapeok="t" o:connecttype="rect"/>
            </v:shapetype>
            <v:shape id="Textbox 114" o:spid="_x0000_s1065" type="#_x0000_t202" style="position:absolute;margin-left:71pt;margin-top:742.7pt;width:53.4pt;height:14.3pt;z-index:-280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KDmAEAACIDAAAOAAAAZHJzL2Uyb0RvYy54bWysUs2O0zAQviPxDpbv1M0i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t5PvbnGLe2kF7Yi0jx9lI+n3QaKUYvgb2K2d/LvBc7M4F&#10;puETlBeSJQX4cEjg+sLgijsz4CAKsfnR5KT//i9T16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pW9KDmAEA&#10;ACIDAAAOAAAAAAAAAAAAAAAAAC4CAABkcnMvZTJvRG9jLnhtbFBLAQItABQABgAIAAAAIQCuavdD&#10;4QAAAA0BAAAPAAAAAAAAAAAAAAAAAPIDAABkcnMvZG93bnJldi54bWxQSwUGAAAAAAQABADzAAAA&#10;AAUAAAAA&#10;" filled="f" stroked="f">
              <v:textbox inset="0,0,0,0">
                <w:txbxContent>
                  <w:p w14:paraId="24D63234"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76288" behindDoc="1" locked="0" layoutInCell="1" allowOverlap="1" wp14:anchorId="24D62E34" wp14:editId="24D62E35">
              <wp:simplePos x="0" y="0"/>
              <wp:positionH relativeFrom="page">
                <wp:posOffset>2783105</wp:posOffset>
              </wp:positionH>
              <wp:positionV relativeFrom="page">
                <wp:posOffset>9432545</wp:posOffset>
              </wp:positionV>
              <wp:extent cx="2207260" cy="1816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35"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34" id="Textbox 115" o:spid="_x0000_s1066" type="#_x0000_t202" style="position:absolute;margin-left:219.15pt;margin-top:742.7pt;width:173.8pt;height:14.3pt;z-index:-280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udyXVJgB&#10;AAAjAwAADgAAAAAAAAAAAAAAAAAuAgAAZHJzL2Uyb0RvYy54bWxQSwECLQAUAAYACAAAACEA+kgz&#10;ReIAAAANAQAADwAAAAAAAAAAAAAAAADyAwAAZHJzL2Rvd25yZXYueG1sUEsFBgAAAAAEAAQA8wAA&#10;AAEFAAAAAA==&#10;" filled="f" stroked="f">
              <v:textbox inset="0,0,0,0">
                <w:txbxContent>
                  <w:p w14:paraId="24D63235"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76800" behindDoc="1" locked="0" layoutInCell="1" allowOverlap="1" wp14:anchorId="24D62E36" wp14:editId="24D62E37">
              <wp:simplePos x="0" y="0"/>
              <wp:positionH relativeFrom="page">
                <wp:posOffset>6123116</wp:posOffset>
              </wp:positionH>
              <wp:positionV relativeFrom="page">
                <wp:posOffset>9432545</wp:posOffset>
              </wp:positionV>
              <wp:extent cx="785495" cy="1816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36" w14:textId="77777777" w:rsidR="00245300" w:rsidRDefault="00F17249">
                          <w:pPr>
                            <w:pStyle w:val="BodyText"/>
                            <w:spacing w:before="12"/>
                            <w:ind w:left="20"/>
                          </w:pPr>
                          <w:r>
                            <w:t>Page</w:t>
                          </w:r>
                          <w:r>
                            <w:rPr>
                              <w:spacing w:val="-12"/>
                            </w:rPr>
                            <w:t xml:space="preserve"> </w:t>
                          </w:r>
                          <w:r>
                            <w:t>640-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36" id="Textbox 116" o:spid="_x0000_s1067" type="#_x0000_t202" style="position:absolute;margin-left:482.15pt;margin-top:742.7pt;width:61.85pt;height:14.3pt;z-index:-280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" filled="f" stroked="f">
              <v:textbox inset="0,0,0,0">
                <w:txbxContent>
                  <w:p w14:paraId="24D63236" w14:textId="77777777" w:rsidR="00245300" w:rsidRDefault="00F17249">
                    <w:pPr>
                      <w:pStyle w:val="BodyText"/>
                      <w:spacing w:before="12"/>
                      <w:ind w:left="20"/>
                    </w:pPr>
                    <w:r>
                      <w:t>Page</w:t>
                    </w:r>
                    <w:r>
                      <w:rPr>
                        <w:spacing w:val="-12"/>
                      </w:rPr>
                      <w:t xml:space="preserve"> </w:t>
                    </w:r>
                    <w:r>
                      <w:t>640-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B" w14:textId="77777777" w:rsidR="00245300" w:rsidRDefault="00F17249">
    <w:pPr>
      <w:pStyle w:val="BodyText"/>
      <w:spacing w:line="14" w:lineRule="auto"/>
      <w:rPr>
        <w:sz w:val="20"/>
      </w:rPr>
    </w:pPr>
    <w:r>
      <w:rPr>
        <w:noProof/>
      </w:rPr>
      <mc:AlternateContent>
        <mc:Choice Requires="wps">
          <w:drawing>
            <wp:anchor distT="0" distB="0" distL="0" distR="0" simplePos="0" relativeHeight="475278848" behindDoc="1" locked="0" layoutInCell="1" allowOverlap="1" wp14:anchorId="24D62E3E" wp14:editId="24D62E3F">
              <wp:simplePos x="0" y="0"/>
              <wp:positionH relativeFrom="page">
                <wp:posOffset>895350</wp:posOffset>
              </wp:positionH>
              <wp:positionV relativeFrom="page">
                <wp:posOffset>9400031</wp:posOffset>
              </wp:positionV>
              <wp:extent cx="5981700" cy="2857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0144F5" id="Graphic 123" o:spid="_x0000_s1026" style="position:absolute;margin-left:70.5pt;margin-top:740.15pt;width:471pt;height:2.25pt;z-index:-280376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9360" behindDoc="1" locked="0" layoutInCell="1" allowOverlap="1" wp14:anchorId="24D62E40" wp14:editId="24D62E41">
              <wp:simplePos x="0" y="0"/>
              <wp:positionH relativeFrom="page">
                <wp:posOffset>901700</wp:posOffset>
              </wp:positionH>
              <wp:positionV relativeFrom="page">
                <wp:posOffset>9432545</wp:posOffset>
              </wp:positionV>
              <wp:extent cx="678180" cy="1816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39"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40" id="_x0000_t202" coordsize="21600,21600" o:spt="202" path="m,l,21600r21600,l21600,xe">
              <v:stroke joinstyle="miter"/>
              <v:path gradientshapeok="t" o:connecttype="rect"/>
            </v:shapetype>
            <v:shape id="Textbox 124" o:spid="_x0000_s1069" type="#_x0000_t202" style="position:absolute;margin-left:71pt;margin-top:742.7pt;width:53.4pt;height:14.3pt;z-index:-2803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SKmAEAACIDAAAOAAAAZHJzL2Uyb0RvYy54bWysUs2O0zAQviPtO1i+b92sV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2kfdVTjFv7aA9sZaR42wk/TxotFIMnwL7lbM/F3guducC&#10;0/AI5YVkSQHeHRK4vjC44s4MOIhCbH40Oenf/8vU9Wlvf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o7KSKmAEA&#10;ACIDAAAOAAAAAAAAAAAAAAAAAC4CAABkcnMvZTJvRG9jLnhtbFBLAQItABQABgAIAAAAIQCuavdD&#10;4QAAAA0BAAAPAAAAAAAAAAAAAAAAAPIDAABkcnMvZG93bnJldi54bWxQSwUGAAAAAAQABADzAAAA&#10;AAUAAAAA&#10;" filled="f" stroked="f">
              <v:textbox inset="0,0,0,0">
                <w:txbxContent>
                  <w:p w14:paraId="24D63239"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79872" behindDoc="1" locked="0" layoutInCell="1" allowOverlap="1" wp14:anchorId="24D62E42" wp14:editId="24D62E43">
              <wp:simplePos x="0" y="0"/>
              <wp:positionH relativeFrom="page">
                <wp:posOffset>2783105</wp:posOffset>
              </wp:positionH>
              <wp:positionV relativeFrom="page">
                <wp:posOffset>9432545</wp:posOffset>
              </wp:positionV>
              <wp:extent cx="2207260" cy="1816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3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42" id="Textbox 125" o:spid="_x0000_s1070" type="#_x0000_t202" style="position:absolute;margin-left:219.15pt;margin-top:742.7pt;width:173.8pt;height:14.3pt;z-index:-280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N/Cp3uZ&#10;AQAAIwMAAA4AAAAAAAAAAAAAAAAALgIAAGRycy9lMm9Eb2MueG1sUEsBAi0AFAAGAAgAAAAhAPpI&#10;M0XiAAAADQEAAA8AAAAAAAAAAAAAAAAA8wMAAGRycy9kb3ducmV2LnhtbFBLBQYAAAAABAAEAPMA&#10;AAACBQAAAAA=&#10;" filled="f" stroked="f">
              <v:textbox inset="0,0,0,0">
                <w:txbxContent>
                  <w:p w14:paraId="24D6323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80384" behindDoc="1" locked="0" layoutInCell="1" allowOverlap="1" wp14:anchorId="24D62E44" wp14:editId="24D62E45">
              <wp:simplePos x="0" y="0"/>
              <wp:positionH relativeFrom="page">
                <wp:posOffset>5991200</wp:posOffset>
              </wp:positionH>
              <wp:positionV relativeFrom="page">
                <wp:posOffset>9432545</wp:posOffset>
              </wp:positionV>
              <wp:extent cx="917575" cy="1816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24D6323B" w14:textId="77777777" w:rsidR="00245300" w:rsidRDefault="00F17249">
                          <w:pPr>
                            <w:pStyle w:val="BodyText"/>
                            <w:spacing w:before="12"/>
                            <w:ind w:left="20"/>
                          </w:pPr>
                          <w:r>
                            <w:t>Page</w:t>
                          </w:r>
                          <w:r>
                            <w:rPr>
                              <w:spacing w:val="-9"/>
                            </w:rPr>
                            <w:t xml:space="preserve"> </w:t>
                          </w:r>
                          <w:r>
                            <w:t>640</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44" id="Textbox 126" o:spid="_x0000_s1071" type="#_x0000_t202" style="position:absolute;margin-left:471.75pt;margin-top:742.7pt;width:72.25pt;height:14.3pt;z-index:-280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" filled="f" stroked="f">
              <v:textbox inset="0,0,0,0">
                <w:txbxContent>
                  <w:p w14:paraId="24D6323B" w14:textId="77777777" w:rsidR="00245300" w:rsidRDefault="00F17249">
                    <w:pPr>
                      <w:pStyle w:val="BodyText"/>
                      <w:spacing w:before="12"/>
                      <w:ind w:left="20"/>
                    </w:pPr>
                    <w:r>
                      <w:t>Page</w:t>
                    </w:r>
                    <w:r>
                      <w:rPr>
                        <w:spacing w:val="-9"/>
                      </w:rPr>
                      <w:t xml:space="preserve"> </w:t>
                    </w:r>
                    <w:r>
                      <w:t>640</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D" w14:textId="77777777" w:rsidR="00245300" w:rsidRDefault="00F17249">
    <w:pPr>
      <w:pStyle w:val="BodyText"/>
      <w:spacing w:line="14" w:lineRule="auto"/>
      <w:rPr>
        <w:sz w:val="20"/>
      </w:rPr>
    </w:pPr>
    <w:r>
      <w:rPr>
        <w:noProof/>
      </w:rPr>
      <mc:AlternateContent>
        <mc:Choice Requires="wps">
          <w:drawing>
            <wp:anchor distT="0" distB="0" distL="0" distR="0" simplePos="0" relativeHeight="475282432" behindDoc="1" locked="0" layoutInCell="1" allowOverlap="1" wp14:anchorId="24D62E4C" wp14:editId="24D62E4D">
              <wp:simplePos x="0" y="0"/>
              <wp:positionH relativeFrom="page">
                <wp:posOffset>895350</wp:posOffset>
              </wp:positionH>
              <wp:positionV relativeFrom="page">
                <wp:posOffset>9400031</wp:posOffset>
              </wp:positionV>
              <wp:extent cx="5981700" cy="2857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E6E32B" id="Graphic 131" o:spid="_x0000_s1026" style="position:absolute;margin-left:70.5pt;margin-top:740.15pt;width:471pt;height:2.25pt;z-index:-280340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2944" behindDoc="1" locked="0" layoutInCell="1" allowOverlap="1" wp14:anchorId="24D62E4E" wp14:editId="24D62E4F">
              <wp:simplePos x="0" y="0"/>
              <wp:positionH relativeFrom="page">
                <wp:posOffset>901700</wp:posOffset>
              </wp:positionH>
              <wp:positionV relativeFrom="page">
                <wp:posOffset>9432545</wp:posOffset>
              </wp:positionV>
              <wp:extent cx="678180" cy="1816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3E"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4E" id="_x0000_t202" coordsize="21600,21600" o:spt="202" path="m,l,21600r21600,l21600,xe">
              <v:stroke joinstyle="miter"/>
              <v:path gradientshapeok="t" o:connecttype="rect"/>
            </v:shapetype>
            <v:shape id="Textbox 132" o:spid="_x0000_s1073" type="#_x0000_t202" style="position:absolute;margin-left:71pt;margin-top:742.7pt;width:53.4pt;height:14.3pt;z-index:-280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2aXmAEAACIDAAAOAAAAZHJzL2Uyb0RvYy54bWysUs2O0zAQviPxDpbvNM0K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e18u27nGLe2kF3Yi0jx9lK+n1QaKQYvgb2K2d/LvBc7M4F&#10;puETlBeSJQX4cEhgX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1i2aXmAEA&#10;ACIDAAAOAAAAAAAAAAAAAAAAAC4CAABkcnMvZTJvRG9jLnhtbFBLAQItABQABgAIAAAAIQCuavdD&#10;4QAAAA0BAAAPAAAAAAAAAAAAAAAAAPIDAABkcnMvZG93bnJldi54bWxQSwUGAAAAAAQABADzAAAA&#10;AAUAAAAA&#10;" filled="f" stroked="f">
              <v:textbox inset="0,0,0,0">
                <w:txbxContent>
                  <w:p w14:paraId="24D6323E"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83456" behindDoc="1" locked="0" layoutInCell="1" allowOverlap="1" wp14:anchorId="24D62E50" wp14:editId="24D62E51">
              <wp:simplePos x="0" y="0"/>
              <wp:positionH relativeFrom="page">
                <wp:posOffset>2783105</wp:posOffset>
              </wp:positionH>
              <wp:positionV relativeFrom="page">
                <wp:posOffset>9432545</wp:posOffset>
              </wp:positionV>
              <wp:extent cx="2207260" cy="1816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3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50" id="Textbox 133" o:spid="_x0000_s1074" type="#_x0000_t202" style="position:absolute;margin-left:219.15pt;margin-top:742.7pt;width:173.8pt;height:14.3pt;z-index:-280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IKlZWaZ&#10;AQAAIwMAAA4AAAAAAAAAAAAAAAAALgIAAGRycy9lMm9Eb2MueG1sUEsBAi0AFAAGAAgAAAAhAPpI&#10;M0XiAAAADQEAAA8AAAAAAAAAAAAAAAAA8wMAAGRycy9kb3ducmV2LnhtbFBLBQYAAAAABAAEAPMA&#10;AAACBQAAAAA=&#10;" filled="f" stroked="f">
              <v:textbox inset="0,0,0,0">
                <w:txbxContent>
                  <w:p w14:paraId="24D6323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83968" behindDoc="1" locked="0" layoutInCell="1" allowOverlap="1" wp14:anchorId="24D62E52" wp14:editId="24D62E53">
              <wp:simplePos x="0" y="0"/>
              <wp:positionH relativeFrom="page">
                <wp:posOffset>6122976</wp:posOffset>
              </wp:positionH>
              <wp:positionV relativeFrom="page">
                <wp:posOffset>9432545</wp:posOffset>
              </wp:positionV>
              <wp:extent cx="786130" cy="1816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81610"/>
                      </a:xfrm>
                      <a:prstGeom prst="rect">
                        <a:avLst/>
                      </a:prstGeom>
                    </wps:spPr>
                    <wps:txbx>
                      <w:txbxContent>
                        <w:p w14:paraId="24D63240" w14:textId="77777777" w:rsidR="00245300" w:rsidRDefault="00F17249">
                          <w:pPr>
                            <w:pStyle w:val="BodyText"/>
                            <w:spacing w:before="12"/>
                            <w:ind w:left="20"/>
                          </w:pPr>
                          <w:r>
                            <w:t>Page</w:t>
                          </w:r>
                          <w:r>
                            <w:rPr>
                              <w:spacing w:val="-11"/>
                            </w:rPr>
                            <w:t xml:space="preserve"> </w:t>
                          </w:r>
                          <w:r>
                            <w:t>645-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4D62E52" id="Textbox 134" o:spid="_x0000_s1075" type="#_x0000_t202" style="position:absolute;margin-left:482.1pt;margin-top:742.7pt;width:61.9pt;height:14.3pt;z-index:-280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" filled="f" stroked="f">
              <v:textbox inset="0,0,0,0">
                <w:txbxContent>
                  <w:p w14:paraId="24D63240" w14:textId="77777777" w:rsidR="00245300" w:rsidRDefault="00F17249">
                    <w:pPr>
                      <w:pStyle w:val="BodyText"/>
                      <w:spacing w:before="12"/>
                      <w:ind w:left="20"/>
                    </w:pPr>
                    <w:r>
                      <w:t>Page</w:t>
                    </w:r>
                    <w:r>
                      <w:rPr>
                        <w:spacing w:val="-11"/>
                      </w:rPr>
                      <w:t xml:space="preserve"> </w:t>
                    </w:r>
                    <w:r>
                      <w:t>645-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F" w14:textId="77777777" w:rsidR="00245300" w:rsidRDefault="00F17249">
    <w:pPr>
      <w:pStyle w:val="BodyText"/>
      <w:spacing w:line="14" w:lineRule="auto"/>
      <w:rPr>
        <w:sz w:val="20"/>
      </w:rPr>
    </w:pPr>
    <w:r>
      <w:rPr>
        <w:noProof/>
      </w:rPr>
      <mc:AlternateContent>
        <mc:Choice Requires="wps">
          <w:drawing>
            <wp:anchor distT="0" distB="0" distL="0" distR="0" simplePos="0" relativeHeight="475286016" behindDoc="1" locked="0" layoutInCell="1" allowOverlap="1" wp14:anchorId="24D62E5A" wp14:editId="24D62E5B">
              <wp:simplePos x="0" y="0"/>
              <wp:positionH relativeFrom="page">
                <wp:posOffset>895350</wp:posOffset>
              </wp:positionH>
              <wp:positionV relativeFrom="page">
                <wp:posOffset>9400031</wp:posOffset>
              </wp:positionV>
              <wp:extent cx="5981700" cy="2857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52D5D6" id="Graphic 138" o:spid="_x0000_s1026" style="position:absolute;margin-left:70.5pt;margin-top:740.15pt;width:471pt;height:2.25pt;z-index:-280304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6528" behindDoc="1" locked="0" layoutInCell="1" allowOverlap="1" wp14:anchorId="24D62E5C" wp14:editId="24D62E5D">
              <wp:simplePos x="0" y="0"/>
              <wp:positionH relativeFrom="page">
                <wp:posOffset>901700</wp:posOffset>
              </wp:positionH>
              <wp:positionV relativeFrom="page">
                <wp:posOffset>9432545</wp:posOffset>
              </wp:positionV>
              <wp:extent cx="678180" cy="1816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43"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5C" id="_x0000_t202" coordsize="21600,21600" o:spt="202" path="m,l,21600r21600,l21600,xe">
              <v:stroke joinstyle="miter"/>
              <v:path gradientshapeok="t" o:connecttype="rect"/>
            </v:shapetype>
            <v:shape id="Textbox 139" o:spid="_x0000_s1077" type="#_x0000_t202" style="position:absolute;margin-left:71pt;margin-top:742.7pt;width:53.4pt;height:14.3pt;z-index:-280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CxmAEAACIDAAAOAAAAZHJzL2Uyb0RvYy54bWysUs2O0zAQviPxDpbv1M0KlR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b+fZ9TjFv7aA9sZaR42wk/T5otFIMXwP7lbM/F3guducC&#10;0/AJygvJkgJ8OCRwf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SIiCxmAEA&#10;ACIDAAAOAAAAAAAAAAAAAAAAAC4CAABkcnMvZTJvRG9jLnhtbFBLAQItABQABgAIAAAAIQCuavdD&#10;4QAAAA0BAAAPAAAAAAAAAAAAAAAAAPIDAABkcnMvZG93bnJldi54bWxQSwUGAAAAAAQABADzAAAA&#10;AAUAAAAA&#10;" filled="f" stroked="f">
              <v:textbox inset="0,0,0,0">
                <w:txbxContent>
                  <w:p w14:paraId="24D63243"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87040" behindDoc="1" locked="0" layoutInCell="1" allowOverlap="1" wp14:anchorId="24D62E5E" wp14:editId="24D62E5F">
              <wp:simplePos x="0" y="0"/>
              <wp:positionH relativeFrom="page">
                <wp:posOffset>2783105</wp:posOffset>
              </wp:positionH>
              <wp:positionV relativeFrom="page">
                <wp:posOffset>9432545</wp:posOffset>
              </wp:positionV>
              <wp:extent cx="2207260" cy="1816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44"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5E" id="Textbox 140" o:spid="_x0000_s1078" type="#_x0000_t202" style="position:absolute;margin-left:219.15pt;margin-top:742.7pt;width:173.8pt;height:14.3pt;z-index:-280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ugo3cJgB&#10;AAAjAwAADgAAAAAAAAAAAAAAAAAuAgAAZHJzL2Uyb0RvYy54bWxQSwECLQAUAAYACAAAACEA+kgz&#10;ReIAAAANAQAADwAAAAAAAAAAAAAAAADyAwAAZHJzL2Rvd25yZXYueG1sUEsFBgAAAAAEAAQA8wAA&#10;AAEFAAAAAA==&#10;" filled="f" stroked="f">
              <v:textbox inset="0,0,0,0">
                <w:txbxContent>
                  <w:p w14:paraId="24D63244"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87552" behindDoc="1" locked="0" layoutInCell="1" allowOverlap="1" wp14:anchorId="24D62E60" wp14:editId="24D62E61">
              <wp:simplePos x="0" y="0"/>
              <wp:positionH relativeFrom="page">
                <wp:posOffset>6122976</wp:posOffset>
              </wp:positionH>
              <wp:positionV relativeFrom="page">
                <wp:posOffset>9432545</wp:posOffset>
              </wp:positionV>
              <wp:extent cx="785495" cy="1816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45" w14:textId="77777777" w:rsidR="00245300" w:rsidRDefault="00F17249">
                          <w:pPr>
                            <w:pStyle w:val="BodyText"/>
                            <w:spacing w:before="12"/>
                            <w:ind w:left="20"/>
                          </w:pPr>
                          <w:r>
                            <w:t>Page</w:t>
                          </w:r>
                          <w:r>
                            <w:rPr>
                              <w:spacing w:val="-12"/>
                            </w:rPr>
                            <w:t xml:space="preserve"> </w:t>
                          </w:r>
                          <w:r>
                            <w:t>670-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60" id="Textbox 141" o:spid="_x0000_s1079" type="#_x0000_t202" style="position:absolute;margin-left:482.1pt;margin-top:742.7pt;width:61.85pt;height:14.3pt;z-index:-280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A+N7yp&#10;mQEAACIDAAAOAAAAAAAAAAAAAAAAAC4CAABkcnMvZTJvRG9jLnhtbFBLAQItABQABgAIAAAAIQBj&#10;dBNC4wAAAA4BAAAPAAAAAAAAAAAAAAAAAPMDAABkcnMvZG93bnJldi54bWxQSwUGAAAAAAQABADz&#10;AAAAAwUAAAAA&#10;" filled="f" stroked="f">
              <v:textbox inset="0,0,0,0">
                <w:txbxContent>
                  <w:p w14:paraId="24D63245" w14:textId="77777777" w:rsidR="00245300" w:rsidRDefault="00F17249">
                    <w:pPr>
                      <w:pStyle w:val="BodyText"/>
                      <w:spacing w:before="12"/>
                      <w:ind w:left="20"/>
                    </w:pPr>
                    <w:r>
                      <w:t>Page</w:t>
                    </w:r>
                    <w:r>
                      <w:rPr>
                        <w:spacing w:val="-12"/>
                      </w:rPr>
                      <w:t xml:space="preserve"> </w:t>
                    </w:r>
                    <w:r>
                      <w:t>670-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1" w14:textId="77777777" w:rsidR="00245300" w:rsidRDefault="00F17249">
    <w:pPr>
      <w:pStyle w:val="BodyText"/>
      <w:spacing w:line="14" w:lineRule="auto"/>
      <w:rPr>
        <w:sz w:val="20"/>
      </w:rPr>
    </w:pPr>
    <w:r>
      <w:rPr>
        <w:noProof/>
      </w:rPr>
      <mc:AlternateContent>
        <mc:Choice Requires="wps">
          <w:drawing>
            <wp:anchor distT="0" distB="0" distL="0" distR="0" simplePos="0" relativeHeight="475289600" behindDoc="1" locked="0" layoutInCell="1" allowOverlap="1" wp14:anchorId="24D62E68" wp14:editId="24D62E69">
              <wp:simplePos x="0" y="0"/>
              <wp:positionH relativeFrom="page">
                <wp:posOffset>895350</wp:posOffset>
              </wp:positionH>
              <wp:positionV relativeFrom="page">
                <wp:posOffset>9400031</wp:posOffset>
              </wp:positionV>
              <wp:extent cx="5981700" cy="2857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D739D" id="Graphic 150" o:spid="_x0000_s1026" style="position:absolute;margin-left:70.5pt;margin-top:740.15pt;width:471pt;height:2.25pt;z-index:-280268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0112" behindDoc="1" locked="0" layoutInCell="1" allowOverlap="1" wp14:anchorId="24D62E6A" wp14:editId="24D62E6B">
              <wp:simplePos x="0" y="0"/>
              <wp:positionH relativeFrom="page">
                <wp:posOffset>901700</wp:posOffset>
              </wp:positionH>
              <wp:positionV relativeFrom="page">
                <wp:posOffset>9432545</wp:posOffset>
              </wp:positionV>
              <wp:extent cx="678180" cy="1816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48"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6A" id="_x0000_t202" coordsize="21600,21600" o:spt="202" path="m,l,21600r21600,l21600,xe">
              <v:stroke joinstyle="miter"/>
              <v:path gradientshapeok="t" o:connecttype="rect"/>
            </v:shapetype>
            <v:shape id="Textbox 151" o:spid="_x0000_s1081" type="#_x0000_t202" style="position:absolute;margin-left:71pt;margin-top:742.7pt;width:53.4pt;height:14.3pt;z-index:-280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SBmAEAACIDAAAOAAAAZHJzL2Uyb0RvYy54bWysUs2O0zAQviPxDpbvNM0i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e18t3bnGLe2kF3Yi0jx9lK+n1QaKQYvgb2K2d/LvBc7M4F&#10;puETlBeSJQX4cEhgX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NJDSBmAEA&#10;ACIDAAAOAAAAAAAAAAAAAAAAAC4CAABkcnMvZTJvRG9jLnhtbFBLAQItABQABgAIAAAAIQCuavdD&#10;4QAAAA0BAAAPAAAAAAAAAAAAAAAAAPIDAABkcnMvZG93bnJldi54bWxQSwUGAAAAAAQABADzAAAA&#10;AAUAAAAA&#10;" filled="f" stroked="f">
              <v:textbox inset="0,0,0,0">
                <w:txbxContent>
                  <w:p w14:paraId="24D63248"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90624" behindDoc="1" locked="0" layoutInCell="1" allowOverlap="1" wp14:anchorId="24D62E6C" wp14:editId="24D62E6D">
              <wp:simplePos x="0" y="0"/>
              <wp:positionH relativeFrom="page">
                <wp:posOffset>2783105</wp:posOffset>
              </wp:positionH>
              <wp:positionV relativeFrom="page">
                <wp:posOffset>9432545</wp:posOffset>
              </wp:positionV>
              <wp:extent cx="2207260" cy="1816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4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6C" id="Textbox 152" o:spid="_x0000_s1082" type="#_x0000_t202" style="position:absolute;margin-left:219.15pt;margin-top:742.7pt;width:173.8pt;height:14.3pt;z-index:-280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Odt9W2Z&#10;AQAAIwMAAA4AAAAAAAAAAAAAAAAALgIAAGRycy9lMm9Eb2MueG1sUEsBAi0AFAAGAAgAAAAhAPpI&#10;M0XiAAAADQEAAA8AAAAAAAAAAAAAAAAA8wMAAGRycy9kb3ducmV2LnhtbFBLBQYAAAAABAAEAPMA&#10;AAACBQAAAAA=&#10;" filled="f" stroked="f">
              <v:textbox inset="0,0,0,0">
                <w:txbxContent>
                  <w:p w14:paraId="24D6324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91136" behindDoc="1" locked="0" layoutInCell="1" allowOverlap="1" wp14:anchorId="24D62E6E" wp14:editId="24D62E6F">
              <wp:simplePos x="0" y="0"/>
              <wp:positionH relativeFrom="page">
                <wp:posOffset>5991339</wp:posOffset>
              </wp:positionH>
              <wp:positionV relativeFrom="page">
                <wp:posOffset>9432545</wp:posOffset>
              </wp:positionV>
              <wp:extent cx="917575" cy="1816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24D6324A" w14:textId="77777777" w:rsidR="00245300" w:rsidRDefault="00F17249">
                          <w:pPr>
                            <w:pStyle w:val="BodyText"/>
                            <w:spacing w:before="12"/>
                            <w:ind w:left="20"/>
                          </w:pPr>
                          <w:r>
                            <w:t>Page</w:t>
                          </w:r>
                          <w:r>
                            <w:rPr>
                              <w:spacing w:val="-9"/>
                            </w:rPr>
                            <w:t xml:space="preserve"> </w:t>
                          </w:r>
                          <w:r>
                            <w:t>670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6E" id="Textbox 153" o:spid="_x0000_s1083" type="#_x0000_t202" style="position:absolute;margin-left:471.75pt;margin-top:742.7pt;width:72.25pt;height:14.3pt;z-index:-280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GFSE52Z&#10;AQAAIgMAAA4AAAAAAAAAAAAAAAAALgIAAGRycy9lMm9Eb2MueG1sUEsBAi0AFAAGAAgAAAAhABW+&#10;j33iAAAADgEAAA8AAAAAAAAAAAAAAAAA8wMAAGRycy9kb3ducmV2LnhtbFBLBQYAAAAABAAEAPMA&#10;AAACBQAAAAA=&#10;" filled="f" stroked="f">
              <v:textbox inset="0,0,0,0">
                <w:txbxContent>
                  <w:p w14:paraId="24D6324A" w14:textId="77777777" w:rsidR="00245300" w:rsidRDefault="00F17249">
                    <w:pPr>
                      <w:pStyle w:val="BodyText"/>
                      <w:spacing w:before="12"/>
                      <w:ind w:left="20"/>
                    </w:pPr>
                    <w:r>
                      <w:t>Page</w:t>
                    </w:r>
                    <w:r>
                      <w:rPr>
                        <w:spacing w:val="-9"/>
                      </w:rPr>
                      <w:t xml:space="preserve"> </w:t>
                    </w:r>
                    <w:r>
                      <w:t>670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3" w14:textId="77777777" w:rsidR="00245300" w:rsidRDefault="00F17249">
    <w:pPr>
      <w:pStyle w:val="BodyText"/>
      <w:spacing w:line="14" w:lineRule="auto"/>
      <w:rPr>
        <w:sz w:val="20"/>
      </w:rPr>
    </w:pPr>
    <w:r>
      <w:rPr>
        <w:noProof/>
      </w:rPr>
      <mc:AlternateContent>
        <mc:Choice Requires="wps">
          <w:drawing>
            <wp:anchor distT="0" distB="0" distL="0" distR="0" simplePos="0" relativeHeight="475293184" behindDoc="1" locked="0" layoutInCell="1" allowOverlap="1" wp14:anchorId="24D62E76" wp14:editId="24D62E77">
              <wp:simplePos x="0" y="0"/>
              <wp:positionH relativeFrom="page">
                <wp:posOffset>895350</wp:posOffset>
              </wp:positionH>
              <wp:positionV relativeFrom="page">
                <wp:posOffset>9400031</wp:posOffset>
              </wp:positionV>
              <wp:extent cx="5981700" cy="2857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636C5B" id="Graphic 157" o:spid="_x0000_s1026" style="position:absolute;margin-left:70.5pt;margin-top:740.15pt;width:471pt;height:2.25pt;z-index:-280232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3696" behindDoc="1" locked="0" layoutInCell="1" allowOverlap="1" wp14:anchorId="24D62E78" wp14:editId="24D62E79">
              <wp:simplePos x="0" y="0"/>
              <wp:positionH relativeFrom="page">
                <wp:posOffset>901700</wp:posOffset>
              </wp:positionH>
              <wp:positionV relativeFrom="page">
                <wp:posOffset>9432545</wp:posOffset>
              </wp:positionV>
              <wp:extent cx="678180" cy="1816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4D"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78" id="_x0000_t202" coordsize="21600,21600" o:spt="202" path="m,l,21600r21600,l21600,xe">
              <v:stroke joinstyle="miter"/>
              <v:path gradientshapeok="t" o:connecttype="rect"/>
            </v:shapetype>
            <v:shape id="Textbox 158" o:spid="_x0000_s1085" type="#_x0000_t202" style="position:absolute;margin-left:71pt;margin-top:742.7pt;width:53.4pt;height:14.3pt;z-index:-2802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cmAEAACIDAAAOAAAAZHJzL2Uyb0RvYy54bWysUs2O0zAQviPxDpbv1M1KdK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t5PvbnGLe2kF7Yi0jx9lI+n3QaKUYvgb2K2d/LvBc7M4F&#10;puETlBeSJQX4cEjg+sLgijsz4CAKsfnR5KT//i9T16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QQ/acmAEA&#10;ACIDAAAOAAAAAAAAAAAAAAAAAC4CAABkcnMvZTJvRG9jLnhtbFBLAQItABQABgAIAAAAIQCuavdD&#10;4QAAAA0BAAAPAAAAAAAAAAAAAAAAAPIDAABkcnMvZG93bnJldi54bWxQSwUGAAAAAAQABADzAAAA&#10;AAUAAAAA&#10;" filled="f" stroked="f">
              <v:textbox inset="0,0,0,0">
                <w:txbxContent>
                  <w:p w14:paraId="24D6324D"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94208" behindDoc="1" locked="0" layoutInCell="1" allowOverlap="1" wp14:anchorId="24D62E7A" wp14:editId="24D62E7B">
              <wp:simplePos x="0" y="0"/>
              <wp:positionH relativeFrom="page">
                <wp:posOffset>2783105</wp:posOffset>
              </wp:positionH>
              <wp:positionV relativeFrom="page">
                <wp:posOffset>9432545</wp:posOffset>
              </wp:positionV>
              <wp:extent cx="2207260" cy="18161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4E"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7A" id="Textbox 159" o:spid="_x0000_s1086" type="#_x0000_t202" style="position:absolute;margin-left:219.15pt;margin-top:742.7pt;width:173.8pt;height:14.3pt;z-index:-280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AMSzS5gB&#10;AAAjAwAADgAAAAAAAAAAAAAAAAAuAgAAZHJzL2Uyb0RvYy54bWxQSwECLQAUAAYACAAAACEA+kgz&#10;ReIAAAANAQAADwAAAAAAAAAAAAAAAADyAwAAZHJzL2Rvd25yZXYueG1sUEsFBgAAAAAEAAQA8wAA&#10;AAEFAAAAAA==&#10;" filled="f" stroked="f">
              <v:textbox inset="0,0,0,0">
                <w:txbxContent>
                  <w:p w14:paraId="24D6324E"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94720" behindDoc="1" locked="0" layoutInCell="1" allowOverlap="1" wp14:anchorId="24D62E7C" wp14:editId="24D62E7D">
              <wp:simplePos x="0" y="0"/>
              <wp:positionH relativeFrom="page">
                <wp:posOffset>5991200</wp:posOffset>
              </wp:positionH>
              <wp:positionV relativeFrom="page">
                <wp:posOffset>9432545</wp:posOffset>
              </wp:positionV>
              <wp:extent cx="917575" cy="1816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24D6324F" w14:textId="77777777" w:rsidR="00245300" w:rsidRDefault="00F17249">
                          <w:pPr>
                            <w:pStyle w:val="BodyText"/>
                            <w:spacing w:before="12"/>
                            <w:ind w:left="20"/>
                          </w:pPr>
                          <w:r>
                            <w:t>Page</w:t>
                          </w:r>
                          <w:r>
                            <w:rPr>
                              <w:spacing w:val="-8"/>
                            </w:rPr>
                            <w:t xml:space="preserve"> </w:t>
                          </w:r>
                          <w:r>
                            <w:t>670</w:t>
                          </w:r>
                          <w:r>
                            <w:rPr>
                              <w:spacing w:val="-6"/>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7C" id="Textbox 160" o:spid="_x0000_s1087" type="#_x0000_t202" style="position:absolute;margin-left:471.75pt;margin-top:742.7pt;width:72.25pt;height:14.3pt;z-index:-280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Ib7VbuZ&#10;AQAAIgMAAA4AAAAAAAAAAAAAAAAALgIAAGRycy9lMm9Eb2MueG1sUEsBAi0AFAAGAAgAAAAhABW+&#10;j33iAAAADgEAAA8AAAAAAAAAAAAAAAAA8wMAAGRycy9kb3ducmV2LnhtbFBLBQYAAAAABAAEAPMA&#10;AAACBQAAAAA=&#10;" filled="f" stroked="f">
              <v:textbox inset="0,0,0,0">
                <w:txbxContent>
                  <w:p w14:paraId="24D6324F" w14:textId="77777777" w:rsidR="00245300" w:rsidRDefault="00F17249">
                    <w:pPr>
                      <w:pStyle w:val="BodyText"/>
                      <w:spacing w:before="12"/>
                      <w:ind w:left="20"/>
                    </w:pPr>
                    <w:r>
                      <w:t>Page</w:t>
                    </w:r>
                    <w:r>
                      <w:rPr>
                        <w:spacing w:val="-8"/>
                      </w:rPr>
                      <w:t xml:space="preserve"> </w:t>
                    </w:r>
                    <w:r>
                      <w:t>670</w:t>
                    </w:r>
                    <w:r>
                      <w:rPr>
                        <w:spacing w:val="-6"/>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5" w14:textId="77777777" w:rsidR="00245300" w:rsidRDefault="00245300">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7" w14:textId="77777777" w:rsidR="00245300" w:rsidRDefault="00F17249">
    <w:pPr>
      <w:pStyle w:val="BodyText"/>
      <w:spacing w:line="14" w:lineRule="auto"/>
      <w:rPr>
        <w:sz w:val="20"/>
      </w:rPr>
    </w:pPr>
    <w:r>
      <w:rPr>
        <w:noProof/>
      </w:rPr>
      <mc:AlternateContent>
        <mc:Choice Requires="wps">
          <w:drawing>
            <wp:anchor distT="0" distB="0" distL="0" distR="0" simplePos="0" relativeHeight="475296768" behindDoc="1" locked="0" layoutInCell="1" allowOverlap="1" wp14:anchorId="24D62E84" wp14:editId="24D62E85">
              <wp:simplePos x="0" y="0"/>
              <wp:positionH relativeFrom="page">
                <wp:posOffset>895350</wp:posOffset>
              </wp:positionH>
              <wp:positionV relativeFrom="page">
                <wp:posOffset>9400031</wp:posOffset>
              </wp:positionV>
              <wp:extent cx="5981700" cy="2857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007B7" id="Graphic 170" o:spid="_x0000_s1026" style="position:absolute;margin-left:70.5pt;margin-top:740.15pt;width:471pt;height:2.25pt;z-index:-280197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7280" behindDoc="1" locked="0" layoutInCell="1" allowOverlap="1" wp14:anchorId="24D62E86" wp14:editId="24D62E87">
              <wp:simplePos x="0" y="0"/>
              <wp:positionH relativeFrom="page">
                <wp:posOffset>901700</wp:posOffset>
              </wp:positionH>
              <wp:positionV relativeFrom="page">
                <wp:posOffset>9432545</wp:posOffset>
              </wp:positionV>
              <wp:extent cx="678180" cy="1816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52"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86" id="_x0000_t202" coordsize="21600,21600" o:spt="202" path="m,l,21600r21600,l21600,xe">
              <v:stroke joinstyle="miter"/>
              <v:path gradientshapeok="t" o:connecttype="rect"/>
            </v:shapetype>
            <v:shape id="Textbox 171" o:spid="_x0000_s1089" type="#_x0000_t202" style="position:absolute;margin-left:71pt;margin-top:742.7pt;width:53.4pt;height:14.3pt;z-index:-280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G0eAmAEA&#10;ACIDAAAOAAAAAAAAAAAAAAAAAC4CAABkcnMvZTJvRG9jLnhtbFBLAQItABQABgAIAAAAIQCuavdD&#10;4QAAAA0BAAAPAAAAAAAAAAAAAAAAAPIDAABkcnMvZG93bnJldi54bWxQSwUGAAAAAAQABADzAAAA&#10;AAUAAAAA&#10;" filled="f" stroked="f">
              <v:textbox inset="0,0,0,0">
                <w:txbxContent>
                  <w:p w14:paraId="24D63252"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97792" behindDoc="1" locked="0" layoutInCell="1" allowOverlap="1" wp14:anchorId="24D62E88" wp14:editId="24D62E89">
              <wp:simplePos x="0" y="0"/>
              <wp:positionH relativeFrom="page">
                <wp:posOffset>2783105</wp:posOffset>
              </wp:positionH>
              <wp:positionV relativeFrom="page">
                <wp:posOffset>9432545</wp:posOffset>
              </wp:positionV>
              <wp:extent cx="2206625" cy="1816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53"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88" id="Textbox 172" o:spid="_x0000_s1090" type="#_x0000_t202" style="position:absolute;margin-left:219.15pt;margin-top:742.7pt;width:173.75pt;height:14.3pt;z-index:-2801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NN02ApgB&#10;AAAjAwAADgAAAAAAAAAAAAAAAAAuAgAAZHJzL2Uyb0RvYy54bWxQSwECLQAUAAYACAAAACEA3pE0&#10;JuIAAAANAQAADwAAAAAAAAAAAAAAAADyAwAAZHJzL2Rvd25yZXYueG1sUEsFBgAAAAAEAAQA8wAA&#10;AAEFAAAAAA==&#10;" filled="f" stroked="f">
              <v:textbox inset="0,0,0,0">
                <w:txbxContent>
                  <w:p w14:paraId="24D63253"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98304" behindDoc="1" locked="0" layoutInCell="1" allowOverlap="1" wp14:anchorId="24D62E8A" wp14:editId="24D62E8B">
              <wp:simplePos x="0" y="0"/>
              <wp:positionH relativeFrom="page">
                <wp:posOffset>6123394</wp:posOffset>
              </wp:positionH>
              <wp:positionV relativeFrom="page">
                <wp:posOffset>9432545</wp:posOffset>
              </wp:positionV>
              <wp:extent cx="747395" cy="1816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54" w14:textId="77777777" w:rsidR="00245300" w:rsidRDefault="00F17249">
                          <w:pPr>
                            <w:pStyle w:val="BodyText"/>
                            <w:spacing w:before="12"/>
                            <w:ind w:left="20"/>
                          </w:pPr>
                          <w:r>
                            <w:t>Page</w:t>
                          </w:r>
                          <w:r>
                            <w:rPr>
                              <w:spacing w:val="-12"/>
                            </w:rPr>
                            <w:t xml:space="preserve"> </w:t>
                          </w:r>
                          <w:r>
                            <w:fldChar w:fldCharType="begin"/>
                          </w:r>
                          <w:r>
                            <w:instrText xml:space="preserve"> PAGE </w:instrText>
                          </w:r>
                          <w:r>
                            <w:fldChar w:fldCharType="separate"/>
                          </w:r>
                          <w:r>
                            <w:t>700</w:t>
                          </w:r>
                          <w:r>
                            <w:fldChar w:fldCharType="end"/>
                          </w:r>
                          <w:r>
                            <w:t>-</w:t>
                          </w:r>
                          <w:r>
                            <w:rPr>
                              <w:spacing w:val="-10"/>
                            </w:rPr>
                            <w:t>1</w:t>
                          </w:r>
                        </w:p>
                      </w:txbxContent>
                    </wps:txbx>
                    <wps:bodyPr wrap="square" lIns="0" tIns="0" rIns="0" bIns="0" rtlCol="0">
                      <a:noAutofit/>
                    </wps:bodyPr>
                  </wps:wsp>
                </a:graphicData>
              </a:graphic>
            </wp:anchor>
          </w:drawing>
        </mc:Choice>
        <mc:Fallback>
          <w:pict>
            <v:shape w14:anchorId="24D62E8A" id="Textbox 173" o:spid="_x0000_s1091" type="#_x0000_t202" style="position:absolute;margin-left:482.15pt;margin-top:742.7pt;width:58.85pt;height:14.3pt;z-index:-280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BDFvVj&#10;mgEAACIDAAAOAAAAAAAAAAAAAAAAAC4CAABkcnMvZTJvRG9jLnhtbFBLAQItABQABgAIAAAAIQDe&#10;KHPN4gAAAA4BAAAPAAAAAAAAAAAAAAAAAPQDAABkcnMvZG93bnJldi54bWxQSwUGAAAAAAQABADz&#10;AAAAAwUAAAAA&#10;" filled="f" stroked="f">
              <v:textbox inset="0,0,0,0">
                <w:txbxContent>
                  <w:p w14:paraId="24D63254" w14:textId="77777777" w:rsidR="00245300" w:rsidRDefault="00F17249">
                    <w:pPr>
                      <w:pStyle w:val="BodyText"/>
                      <w:spacing w:before="12"/>
                      <w:ind w:left="20"/>
                    </w:pPr>
                    <w:r>
                      <w:t>Page</w:t>
                    </w:r>
                    <w:r>
                      <w:rPr>
                        <w:spacing w:val="-12"/>
                      </w:rPr>
                      <w:t xml:space="preserve"> </w:t>
                    </w:r>
                    <w:r>
                      <w:fldChar w:fldCharType="begin"/>
                    </w:r>
                    <w:r>
                      <w:instrText xml:space="preserve"> PAGE </w:instrText>
                    </w:r>
                    <w:r>
                      <w:fldChar w:fldCharType="separate"/>
                    </w:r>
                    <w:r>
                      <w:t>700</w:t>
                    </w:r>
                    <w:r>
                      <w:fldChar w:fldCharType="end"/>
                    </w:r>
                    <w:r>
                      <w:t>-</w:t>
                    </w:r>
                    <w:r>
                      <w:rPr>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5" w14:textId="77777777" w:rsidR="00245300" w:rsidRDefault="00245300">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9" w14:textId="77777777" w:rsidR="00245300" w:rsidRDefault="00F17249">
    <w:pPr>
      <w:pStyle w:val="BodyText"/>
      <w:spacing w:line="14" w:lineRule="auto"/>
      <w:rPr>
        <w:sz w:val="20"/>
      </w:rPr>
    </w:pPr>
    <w:r>
      <w:rPr>
        <w:noProof/>
      </w:rPr>
      <mc:AlternateContent>
        <mc:Choice Requires="wps">
          <w:drawing>
            <wp:anchor distT="0" distB="0" distL="0" distR="0" simplePos="0" relativeHeight="475300352" behindDoc="1" locked="0" layoutInCell="1" allowOverlap="1" wp14:anchorId="24D62E92" wp14:editId="24D62E93">
              <wp:simplePos x="0" y="0"/>
              <wp:positionH relativeFrom="page">
                <wp:posOffset>895350</wp:posOffset>
              </wp:positionH>
              <wp:positionV relativeFrom="page">
                <wp:posOffset>9400031</wp:posOffset>
              </wp:positionV>
              <wp:extent cx="5981700" cy="2857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FAFEA" id="Graphic 177" o:spid="_x0000_s1026" style="position:absolute;margin-left:70.5pt;margin-top:740.15pt;width:471pt;height:2.25pt;z-index:-280161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00864" behindDoc="1" locked="0" layoutInCell="1" allowOverlap="1" wp14:anchorId="24D62E94" wp14:editId="24D62E95">
              <wp:simplePos x="0" y="0"/>
              <wp:positionH relativeFrom="page">
                <wp:posOffset>901700</wp:posOffset>
              </wp:positionH>
              <wp:positionV relativeFrom="page">
                <wp:posOffset>9432545</wp:posOffset>
              </wp:positionV>
              <wp:extent cx="678180" cy="1816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57"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94" id="_x0000_t202" coordsize="21600,21600" o:spt="202" path="m,l,21600r21600,l21600,xe">
              <v:stroke joinstyle="miter"/>
              <v:path gradientshapeok="t" o:connecttype="rect"/>
            </v:shapetype>
            <v:shape id="Textbox 178" o:spid="_x0000_s1093" type="#_x0000_t202" style="position:absolute;margin-left:71pt;margin-top:742.7pt;width:53.4pt;height:14.3pt;z-index:-280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ifIWdmAEA&#10;ACIDAAAOAAAAAAAAAAAAAAAAAC4CAABkcnMvZTJvRG9jLnhtbFBLAQItABQABgAIAAAAIQCuavdD&#10;4QAAAA0BAAAPAAAAAAAAAAAAAAAAAPIDAABkcnMvZG93bnJldi54bWxQSwUGAAAAAAQABADzAAAA&#10;AAUAAAAA&#10;" filled="f" stroked="f">
              <v:textbox inset="0,0,0,0">
                <w:txbxContent>
                  <w:p w14:paraId="24D63257"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01376" behindDoc="1" locked="0" layoutInCell="1" allowOverlap="1" wp14:anchorId="24D62E96" wp14:editId="24D62E97">
              <wp:simplePos x="0" y="0"/>
              <wp:positionH relativeFrom="page">
                <wp:posOffset>2783105</wp:posOffset>
              </wp:positionH>
              <wp:positionV relativeFrom="page">
                <wp:posOffset>9432545</wp:posOffset>
              </wp:positionV>
              <wp:extent cx="2206625" cy="1816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5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96" id="Textbox 179" o:spid="_x0000_s1094" type="#_x0000_t202" style="position:absolute;margin-left:219.15pt;margin-top:742.7pt;width:173.75pt;height:14.3pt;z-index:-280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abr0H5gB&#10;AAAjAwAADgAAAAAAAAAAAAAAAAAuAgAAZHJzL2Uyb0RvYy54bWxQSwECLQAUAAYACAAAACEA3pE0&#10;JuIAAAANAQAADwAAAAAAAAAAAAAAAADyAwAAZHJzL2Rvd25yZXYueG1sUEsFBgAAAAAEAAQA8wAA&#10;AAEFAAAAAA==&#10;" filled="f" stroked="f">
              <v:textbox inset="0,0,0,0">
                <w:txbxContent>
                  <w:p w14:paraId="24D6325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01888" behindDoc="1" locked="0" layoutInCell="1" allowOverlap="1" wp14:anchorId="24D62E98" wp14:editId="24D62E99">
              <wp:simplePos x="0" y="0"/>
              <wp:positionH relativeFrom="page">
                <wp:posOffset>6122976</wp:posOffset>
              </wp:positionH>
              <wp:positionV relativeFrom="page">
                <wp:posOffset>9432545</wp:posOffset>
              </wp:positionV>
              <wp:extent cx="747395" cy="1816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59" w14:textId="77777777" w:rsidR="00245300" w:rsidRDefault="00F17249">
                          <w:pPr>
                            <w:pStyle w:val="BodyText"/>
                            <w:spacing w:before="12"/>
                            <w:ind w:left="20"/>
                          </w:pPr>
                          <w:r>
                            <w:t>Page</w:t>
                          </w:r>
                          <w:r>
                            <w:rPr>
                              <w:spacing w:val="-12"/>
                            </w:rPr>
                            <w:t xml:space="preserve"> </w:t>
                          </w:r>
                          <w:r>
                            <w:fldChar w:fldCharType="begin"/>
                          </w:r>
                          <w:r>
                            <w:instrText xml:space="preserve"> PAGE </w:instrText>
                          </w:r>
                          <w:r>
                            <w:fldChar w:fldCharType="separate"/>
                          </w:r>
                          <w:r>
                            <w:t>701</w:t>
                          </w:r>
                          <w:r>
                            <w:fldChar w:fldCharType="end"/>
                          </w:r>
                          <w:r>
                            <w:t>-</w:t>
                          </w:r>
                          <w:r>
                            <w:rPr>
                              <w:spacing w:val="-10"/>
                            </w:rPr>
                            <w:t>1</w:t>
                          </w:r>
                        </w:p>
                      </w:txbxContent>
                    </wps:txbx>
                    <wps:bodyPr wrap="square" lIns="0" tIns="0" rIns="0" bIns="0" rtlCol="0">
                      <a:noAutofit/>
                    </wps:bodyPr>
                  </wps:wsp>
                </a:graphicData>
              </a:graphic>
            </wp:anchor>
          </w:drawing>
        </mc:Choice>
        <mc:Fallback>
          <w:pict>
            <v:shape w14:anchorId="24D62E98" id="Textbox 180" o:spid="_x0000_s1095" type="#_x0000_t202" style="position:absolute;margin-left:482.1pt;margin-top:742.7pt;width:58.85pt;height:14.3pt;z-index:-280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" filled="f" stroked="f">
              <v:textbox inset="0,0,0,0">
                <w:txbxContent>
                  <w:p w14:paraId="24D63259" w14:textId="77777777" w:rsidR="00245300" w:rsidRDefault="00F17249">
                    <w:pPr>
                      <w:pStyle w:val="BodyText"/>
                      <w:spacing w:before="12"/>
                      <w:ind w:left="20"/>
                    </w:pPr>
                    <w:r>
                      <w:t>Page</w:t>
                    </w:r>
                    <w:r>
                      <w:rPr>
                        <w:spacing w:val="-12"/>
                      </w:rPr>
                      <w:t xml:space="preserve"> </w:t>
                    </w:r>
                    <w:r>
                      <w:fldChar w:fldCharType="begin"/>
                    </w:r>
                    <w:r>
                      <w:instrText xml:space="preserve"> PAGE </w:instrText>
                    </w:r>
                    <w:r>
                      <w:fldChar w:fldCharType="separate"/>
                    </w:r>
                    <w:r>
                      <w:t>701</w:t>
                    </w:r>
                    <w:r>
                      <w:fldChar w:fldCharType="end"/>
                    </w:r>
                    <w:r>
                      <w:t>-</w:t>
                    </w:r>
                    <w:r>
                      <w:rPr>
                        <w:spacing w:val="-10"/>
                      </w:rPr>
                      <w:t>1</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B" w14:textId="77777777" w:rsidR="00245300" w:rsidRDefault="00F17249">
    <w:pPr>
      <w:pStyle w:val="BodyText"/>
      <w:spacing w:line="14" w:lineRule="auto"/>
      <w:rPr>
        <w:sz w:val="20"/>
      </w:rPr>
    </w:pPr>
    <w:r>
      <w:rPr>
        <w:noProof/>
      </w:rPr>
      <mc:AlternateContent>
        <mc:Choice Requires="wps">
          <w:drawing>
            <wp:anchor distT="0" distB="0" distL="0" distR="0" simplePos="0" relativeHeight="475303936" behindDoc="1" locked="0" layoutInCell="1" allowOverlap="1" wp14:anchorId="24D62EA0" wp14:editId="24D62EA1">
              <wp:simplePos x="0" y="0"/>
              <wp:positionH relativeFrom="page">
                <wp:posOffset>895350</wp:posOffset>
              </wp:positionH>
              <wp:positionV relativeFrom="page">
                <wp:posOffset>9400031</wp:posOffset>
              </wp:positionV>
              <wp:extent cx="5981700" cy="2857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94FD7" id="Graphic 185" o:spid="_x0000_s1026" style="position:absolute;margin-left:70.5pt;margin-top:740.15pt;width:471pt;height:2.25pt;z-index:-280125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04448" behindDoc="1" locked="0" layoutInCell="1" allowOverlap="1" wp14:anchorId="24D62EA2" wp14:editId="24D62EA3">
              <wp:simplePos x="0" y="0"/>
              <wp:positionH relativeFrom="page">
                <wp:posOffset>901700</wp:posOffset>
              </wp:positionH>
              <wp:positionV relativeFrom="page">
                <wp:posOffset>9432545</wp:posOffset>
              </wp:positionV>
              <wp:extent cx="678180" cy="1816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5C"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A2" id="_x0000_t202" coordsize="21600,21600" o:spt="202" path="m,l,21600r21600,l21600,xe">
              <v:stroke joinstyle="miter"/>
              <v:path gradientshapeok="t" o:connecttype="rect"/>
            </v:shapetype>
            <v:shape id="Textbox 186" o:spid="_x0000_s1097" type="#_x0000_t202" style="position:absolute;margin-left:71pt;margin-top:742.7pt;width:53.4pt;height:14.3pt;z-index:-280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F1cO7mAEA&#10;ACIDAAAOAAAAAAAAAAAAAAAAAC4CAABkcnMvZTJvRG9jLnhtbFBLAQItABQABgAIAAAAIQCuavdD&#10;4QAAAA0BAAAPAAAAAAAAAAAAAAAAAPIDAABkcnMvZG93bnJldi54bWxQSwUGAAAAAAQABADzAAAA&#10;AAUAAAAA&#10;" filled="f" stroked="f">
              <v:textbox inset="0,0,0,0">
                <w:txbxContent>
                  <w:p w14:paraId="24D6325C"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04960" behindDoc="1" locked="0" layoutInCell="1" allowOverlap="1" wp14:anchorId="24D62EA4" wp14:editId="24D62EA5">
              <wp:simplePos x="0" y="0"/>
              <wp:positionH relativeFrom="page">
                <wp:posOffset>2783105</wp:posOffset>
              </wp:positionH>
              <wp:positionV relativeFrom="page">
                <wp:posOffset>9432545</wp:posOffset>
              </wp:positionV>
              <wp:extent cx="2206625" cy="1816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5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A4" id="Textbox 187" o:spid="_x0000_s1098" type="#_x0000_t202" style="position:absolute;margin-left:219.15pt;margin-top:742.7pt;width:173.75pt;height:14.3pt;z-index:-280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FEVpgmZ&#10;AQAAIwMAAA4AAAAAAAAAAAAAAAAALgIAAGRycy9lMm9Eb2MueG1sUEsBAi0AFAAGAAgAAAAhAN6R&#10;NCbiAAAADQEAAA8AAAAAAAAAAAAAAAAA8wMAAGRycy9kb3ducmV2LnhtbFBLBQYAAAAABAAEAPMA&#10;AAACBQAAAAA=&#10;" filled="f" stroked="f">
              <v:textbox inset="0,0,0,0">
                <w:txbxContent>
                  <w:p w14:paraId="24D6325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05472" behindDoc="1" locked="0" layoutInCell="1" allowOverlap="1" wp14:anchorId="24D62EA6" wp14:editId="24D62EA7">
              <wp:simplePos x="0" y="0"/>
              <wp:positionH relativeFrom="page">
                <wp:posOffset>6122976</wp:posOffset>
              </wp:positionH>
              <wp:positionV relativeFrom="page">
                <wp:posOffset>9432545</wp:posOffset>
              </wp:positionV>
              <wp:extent cx="785495" cy="1816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5E" w14:textId="77777777" w:rsidR="00245300" w:rsidRDefault="00F17249">
                          <w:pPr>
                            <w:pStyle w:val="BodyText"/>
                            <w:spacing w:before="12"/>
                            <w:ind w:left="20"/>
                          </w:pPr>
                          <w:r>
                            <w:t>Page</w:t>
                          </w:r>
                          <w:r>
                            <w:rPr>
                              <w:spacing w:val="-12"/>
                            </w:rPr>
                            <w:t xml:space="preserve"> </w:t>
                          </w:r>
                          <w:r>
                            <w:t>701-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4D62EA6" id="Textbox 188" o:spid="_x0000_s1099" type="#_x0000_t202" style="position:absolute;margin-left:482.1pt;margin-top:742.7pt;width:61.85pt;height:14.3pt;z-index:-280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CpwF+j&#10;mQEAACIDAAAOAAAAAAAAAAAAAAAAAC4CAABkcnMvZTJvRG9jLnhtbFBLAQItABQABgAIAAAAIQBj&#10;dBNC4wAAAA4BAAAPAAAAAAAAAAAAAAAAAPMDAABkcnMvZG93bnJldi54bWxQSwUGAAAAAAQABADz&#10;AAAAAwUAAAAA&#10;" filled="f" stroked="f">
              <v:textbox inset="0,0,0,0">
                <w:txbxContent>
                  <w:p w14:paraId="24D6325E" w14:textId="77777777" w:rsidR="00245300" w:rsidRDefault="00F17249">
                    <w:pPr>
                      <w:pStyle w:val="BodyText"/>
                      <w:spacing w:before="12"/>
                      <w:ind w:left="20"/>
                    </w:pPr>
                    <w:r>
                      <w:t>Page</w:t>
                    </w:r>
                    <w:r>
                      <w:rPr>
                        <w:spacing w:val="-12"/>
                      </w:rPr>
                      <w:t xml:space="preserve"> </w:t>
                    </w:r>
                    <w:r>
                      <w:t>701-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D" w14:textId="77777777" w:rsidR="00245300" w:rsidRDefault="00F17249">
    <w:pPr>
      <w:pStyle w:val="BodyText"/>
      <w:spacing w:line="14" w:lineRule="auto"/>
      <w:rPr>
        <w:sz w:val="20"/>
      </w:rPr>
    </w:pPr>
    <w:r>
      <w:rPr>
        <w:noProof/>
      </w:rPr>
      <mc:AlternateContent>
        <mc:Choice Requires="wps">
          <w:drawing>
            <wp:anchor distT="0" distB="0" distL="0" distR="0" simplePos="0" relativeHeight="475307520" behindDoc="1" locked="0" layoutInCell="1" allowOverlap="1" wp14:anchorId="24D62EAE" wp14:editId="24D62EAF">
              <wp:simplePos x="0" y="0"/>
              <wp:positionH relativeFrom="page">
                <wp:posOffset>895350</wp:posOffset>
              </wp:positionH>
              <wp:positionV relativeFrom="page">
                <wp:posOffset>9400031</wp:posOffset>
              </wp:positionV>
              <wp:extent cx="5981700" cy="2857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5CF97" id="Graphic 196" o:spid="_x0000_s1026" style="position:absolute;margin-left:70.5pt;margin-top:740.15pt;width:471pt;height:2.25pt;z-index:-280089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08032" behindDoc="1" locked="0" layoutInCell="1" allowOverlap="1" wp14:anchorId="24D62EB0" wp14:editId="24D62EB1">
              <wp:simplePos x="0" y="0"/>
              <wp:positionH relativeFrom="page">
                <wp:posOffset>901700</wp:posOffset>
              </wp:positionH>
              <wp:positionV relativeFrom="page">
                <wp:posOffset>9432545</wp:posOffset>
              </wp:positionV>
              <wp:extent cx="678180" cy="1816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61"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B0" id="_x0000_t202" coordsize="21600,21600" o:spt="202" path="m,l,21600r21600,l21600,xe">
              <v:stroke joinstyle="miter"/>
              <v:path gradientshapeok="t" o:connecttype="rect"/>
            </v:shapetype>
            <v:shape id="Textbox 197" o:spid="_x0000_s1101" type="#_x0000_t202" style="position:absolute;margin-left:71pt;margin-top:742.7pt;width:53.4pt;height:14.3pt;z-index:-2800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eLmAEAACIDAAAOAAAAZHJzL2Uyb0RvYy54bWysUs2O0zAQviPxDpbv1M0i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t5O37nGLe2kF7Yi0jx9lI+n3QaKUYvgb2K2d/LvBc7M4F&#10;puETlBeSJQX4cEjg+sLgijsz4CAKsfnR5KT//i9T16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a09eLmAEA&#10;ACIDAAAOAAAAAAAAAAAAAAAAAC4CAABkcnMvZTJvRG9jLnhtbFBLAQItABQABgAIAAAAIQCuavdD&#10;4QAAAA0BAAAPAAAAAAAAAAAAAAAAAPIDAABkcnMvZG93bnJldi54bWxQSwUGAAAAAAQABADzAAAA&#10;AAUAAAAA&#10;" filled="f" stroked="f">
              <v:textbox inset="0,0,0,0">
                <w:txbxContent>
                  <w:p w14:paraId="24D63261"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08544" behindDoc="1" locked="0" layoutInCell="1" allowOverlap="1" wp14:anchorId="24D62EB2" wp14:editId="24D62EB3">
              <wp:simplePos x="0" y="0"/>
              <wp:positionH relativeFrom="page">
                <wp:posOffset>2783105</wp:posOffset>
              </wp:positionH>
              <wp:positionV relativeFrom="page">
                <wp:posOffset>9432545</wp:posOffset>
              </wp:positionV>
              <wp:extent cx="2206625" cy="1816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6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B2" id="Textbox 198" o:spid="_x0000_s1102" type="#_x0000_t202" style="position:absolute;margin-left:219.15pt;margin-top:742.7pt;width:173.75pt;height:14.3pt;z-index:-280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AxyZBSZ&#10;AQAAIwMAAA4AAAAAAAAAAAAAAAAALgIAAGRycy9lMm9Eb2MueG1sUEsBAi0AFAAGAAgAAAAhAN6R&#10;NCbiAAAADQEAAA8AAAAAAAAAAAAAAAAA8wMAAGRycy9kb3ducmV2LnhtbFBLBQYAAAAABAAEAPMA&#10;AAACBQAAAAA=&#10;" filled="f" stroked="f">
              <v:textbox inset="0,0,0,0">
                <w:txbxContent>
                  <w:p w14:paraId="24D6326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09056" behindDoc="1" locked="0" layoutInCell="1" allowOverlap="1" wp14:anchorId="24D62EB4" wp14:editId="24D62EB5">
              <wp:simplePos x="0" y="0"/>
              <wp:positionH relativeFrom="page">
                <wp:posOffset>5991200</wp:posOffset>
              </wp:positionH>
              <wp:positionV relativeFrom="page">
                <wp:posOffset>9432545</wp:posOffset>
              </wp:positionV>
              <wp:extent cx="917575" cy="1816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24D63263" w14:textId="77777777" w:rsidR="00245300" w:rsidRDefault="00F17249">
                          <w:pPr>
                            <w:pStyle w:val="BodyText"/>
                            <w:spacing w:before="12"/>
                            <w:ind w:left="20"/>
                          </w:pPr>
                          <w:r>
                            <w:t>Page</w:t>
                          </w:r>
                          <w:r>
                            <w:rPr>
                              <w:spacing w:val="-9"/>
                            </w:rPr>
                            <w:t xml:space="preserve"> </w:t>
                          </w:r>
                          <w:r>
                            <w:t>701</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B4" id="Textbox 199" o:spid="_x0000_s1103" type="#_x0000_t202" style="position:absolute;margin-left:471.75pt;margin-top:742.7pt;width:72.25pt;height:14.3pt;z-index:-280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" filled="f" stroked="f">
              <v:textbox inset="0,0,0,0">
                <w:txbxContent>
                  <w:p w14:paraId="24D63263" w14:textId="77777777" w:rsidR="00245300" w:rsidRDefault="00F17249">
                    <w:pPr>
                      <w:pStyle w:val="BodyText"/>
                      <w:spacing w:before="12"/>
                      <w:ind w:left="20"/>
                    </w:pPr>
                    <w:r>
                      <w:t>Page</w:t>
                    </w:r>
                    <w:r>
                      <w:rPr>
                        <w:spacing w:val="-9"/>
                      </w:rPr>
                      <w:t xml:space="preserve"> </w:t>
                    </w:r>
                    <w:r>
                      <w:t>701</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F" w14:textId="77777777" w:rsidR="00245300" w:rsidRDefault="00F17249">
    <w:pPr>
      <w:pStyle w:val="BodyText"/>
      <w:spacing w:line="14" w:lineRule="auto"/>
      <w:rPr>
        <w:sz w:val="20"/>
      </w:rPr>
    </w:pPr>
    <w:r>
      <w:rPr>
        <w:noProof/>
      </w:rPr>
      <mc:AlternateContent>
        <mc:Choice Requires="wps">
          <w:drawing>
            <wp:anchor distT="0" distB="0" distL="0" distR="0" simplePos="0" relativeHeight="475311104" behindDoc="1" locked="0" layoutInCell="1" allowOverlap="1" wp14:anchorId="24D62EBC" wp14:editId="24D62EBD">
              <wp:simplePos x="0" y="0"/>
              <wp:positionH relativeFrom="page">
                <wp:posOffset>666750</wp:posOffset>
              </wp:positionH>
              <wp:positionV relativeFrom="page">
                <wp:posOffset>7114031</wp:posOffset>
              </wp:positionV>
              <wp:extent cx="8496300" cy="2857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DBCB7" id="Graphic 205" o:spid="_x0000_s1026" style="position:absolute;margin-left:52.5pt;margin-top:560.15pt;width:669pt;height:2.25pt;z-index:-28005376;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11616" behindDoc="1" locked="0" layoutInCell="1" allowOverlap="1" wp14:anchorId="24D62EBE" wp14:editId="24D62EBF">
              <wp:simplePos x="0" y="0"/>
              <wp:positionH relativeFrom="page">
                <wp:posOffset>673100</wp:posOffset>
              </wp:positionH>
              <wp:positionV relativeFrom="page">
                <wp:posOffset>7146545</wp:posOffset>
              </wp:positionV>
              <wp:extent cx="678180" cy="1816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66"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BE" id="_x0000_t202" coordsize="21600,21600" o:spt="202" path="m,l,21600r21600,l21600,xe">
              <v:stroke joinstyle="miter"/>
              <v:path gradientshapeok="t" o:connecttype="rect"/>
            </v:shapetype>
            <v:shape id="Textbox 206" o:spid="_x0000_s1105" type="#_x0000_t202" style="position:absolute;margin-left:53pt;margin-top:562.7pt;width:53.4pt;height:14.3pt;z-index:-280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" filled="f" stroked="f">
              <v:textbox inset="0,0,0,0">
                <w:txbxContent>
                  <w:p w14:paraId="24D63266"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12128" behindDoc="1" locked="0" layoutInCell="1" allowOverlap="1" wp14:anchorId="24D62EC0" wp14:editId="24D62EC1">
              <wp:simplePos x="0" y="0"/>
              <wp:positionH relativeFrom="page">
                <wp:posOffset>3697544</wp:posOffset>
              </wp:positionH>
              <wp:positionV relativeFrom="page">
                <wp:posOffset>7146545</wp:posOffset>
              </wp:positionV>
              <wp:extent cx="2206625" cy="18161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67"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C0" id="Textbox 207" o:spid="_x0000_s1106" type="#_x0000_t202" style="position:absolute;margin-left:291.15pt;margin-top:562.7pt;width:173.75pt;height:14.3pt;z-index:-2800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IymQEAACMDAAAOAAAAZHJzL2Uyb0RvYy54bWysUt2OEyEUvjfxHQj3lplJrM2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" filled="f" stroked="f">
              <v:textbox inset="0,0,0,0">
                <w:txbxContent>
                  <w:p w14:paraId="24D63267"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12640" behindDoc="1" locked="0" layoutInCell="1" allowOverlap="1" wp14:anchorId="24D62EC2" wp14:editId="24D62EC3">
              <wp:simplePos x="0" y="0"/>
              <wp:positionH relativeFrom="page">
                <wp:posOffset>8278484</wp:posOffset>
              </wp:positionH>
              <wp:positionV relativeFrom="page">
                <wp:posOffset>7146545</wp:posOffset>
              </wp:positionV>
              <wp:extent cx="916305" cy="1816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181610"/>
                      </a:xfrm>
                      <a:prstGeom prst="rect">
                        <a:avLst/>
                      </a:prstGeom>
                    </wps:spPr>
                    <wps:txbx>
                      <w:txbxContent>
                        <w:p w14:paraId="24D63268" w14:textId="77777777" w:rsidR="00245300" w:rsidRDefault="00F17249">
                          <w:pPr>
                            <w:pStyle w:val="BodyText"/>
                            <w:spacing w:before="12"/>
                            <w:ind w:left="20"/>
                          </w:pPr>
                          <w:r>
                            <w:t>Page</w:t>
                          </w:r>
                          <w:r>
                            <w:rPr>
                              <w:spacing w:val="-10"/>
                            </w:rPr>
                            <w:t xml:space="preserve"> </w:t>
                          </w:r>
                          <w:r>
                            <w:t>701</w:t>
                          </w:r>
                          <w:r>
                            <w:rPr>
                              <w:spacing w:val="-7"/>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C2" id="Textbox 208" o:spid="_x0000_s1107" type="#_x0000_t202" style="position:absolute;margin-left:651.85pt;margin-top:562.7pt;width:72.15pt;height:14.3pt;z-index:-280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" filled="f" stroked="f">
              <v:textbox inset="0,0,0,0">
                <w:txbxContent>
                  <w:p w14:paraId="24D63268" w14:textId="77777777" w:rsidR="00245300" w:rsidRDefault="00F17249">
                    <w:pPr>
                      <w:pStyle w:val="BodyText"/>
                      <w:spacing w:before="12"/>
                      <w:ind w:left="20"/>
                    </w:pPr>
                    <w:r>
                      <w:t>Page</w:t>
                    </w:r>
                    <w:r>
                      <w:rPr>
                        <w:spacing w:val="-10"/>
                      </w:rPr>
                      <w:t xml:space="preserve"> </w:t>
                    </w:r>
                    <w:r>
                      <w:t>701</w:t>
                    </w:r>
                    <w:r>
                      <w:rPr>
                        <w:spacing w:val="-7"/>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1" w14:textId="77777777" w:rsidR="00245300" w:rsidRDefault="00F17249">
    <w:pPr>
      <w:pStyle w:val="BodyText"/>
      <w:spacing w:line="14" w:lineRule="auto"/>
      <w:rPr>
        <w:sz w:val="20"/>
      </w:rPr>
    </w:pPr>
    <w:r>
      <w:rPr>
        <w:noProof/>
      </w:rPr>
      <mc:AlternateContent>
        <mc:Choice Requires="wps">
          <w:drawing>
            <wp:anchor distT="0" distB="0" distL="0" distR="0" simplePos="0" relativeHeight="475314688" behindDoc="1" locked="0" layoutInCell="1" allowOverlap="1" wp14:anchorId="24D62ECA" wp14:editId="24D62ECB">
              <wp:simplePos x="0" y="0"/>
              <wp:positionH relativeFrom="page">
                <wp:posOffset>895350</wp:posOffset>
              </wp:positionH>
              <wp:positionV relativeFrom="page">
                <wp:posOffset>9400031</wp:posOffset>
              </wp:positionV>
              <wp:extent cx="5981700" cy="2857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4E601" id="Graphic 212" o:spid="_x0000_s1026" style="position:absolute;margin-left:70.5pt;margin-top:740.15pt;width:471pt;height:2.25pt;z-index:-280017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15200" behindDoc="1" locked="0" layoutInCell="1" allowOverlap="1" wp14:anchorId="24D62ECC" wp14:editId="24D62ECD">
              <wp:simplePos x="0" y="0"/>
              <wp:positionH relativeFrom="page">
                <wp:posOffset>901700</wp:posOffset>
              </wp:positionH>
              <wp:positionV relativeFrom="page">
                <wp:posOffset>9432545</wp:posOffset>
              </wp:positionV>
              <wp:extent cx="678180" cy="1816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6A"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CC" id="_x0000_t202" coordsize="21600,21600" o:spt="202" path="m,l,21600r21600,l21600,xe">
              <v:stroke joinstyle="miter"/>
              <v:path gradientshapeok="t" o:connecttype="rect"/>
            </v:shapetype>
            <v:shape id="Textbox 213" o:spid="_x0000_s1109" type="#_x0000_t202" style="position:absolute;margin-left:71pt;margin-top:742.7pt;width:53.4pt;height:14.3pt;z-index:-280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Jrd7LSXAQAA&#10;IgMAAA4AAAAAAAAAAAAAAAAALgIAAGRycy9lMm9Eb2MueG1sUEsBAi0AFAAGAAgAAAAhAK5q90Ph&#10;AAAADQEAAA8AAAAAAAAAAAAAAAAA8QMAAGRycy9kb3ducmV2LnhtbFBLBQYAAAAABAAEAPMAAAD/&#10;BAAAAAA=&#10;" filled="f" stroked="f">
              <v:textbox inset="0,0,0,0">
                <w:txbxContent>
                  <w:p w14:paraId="24D6326A"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15712" behindDoc="1" locked="0" layoutInCell="1" allowOverlap="1" wp14:anchorId="24D62ECE" wp14:editId="24D62ECF">
              <wp:simplePos x="0" y="0"/>
              <wp:positionH relativeFrom="page">
                <wp:posOffset>2783077</wp:posOffset>
              </wp:positionH>
              <wp:positionV relativeFrom="page">
                <wp:posOffset>9432545</wp:posOffset>
              </wp:positionV>
              <wp:extent cx="2206625" cy="1816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6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CE" id="Textbox 214" o:spid="_x0000_s1110" type="#_x0000_t202" style="position:absolute;margin-left:219.15pt;margin-top:742.7pt;width:173.75pt;height:14.3pt;z-index:-280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0RudNpgB&#10;AAAjAwAADgAAAAAAAAAAAAAAAAAuAgAAZHJzL2Uyb0RvYy54bWxQSwECLQAUAAYACAAAACEA3pE0&#10;JuIAAAANAQAADwAAAAAAAAAAAAAAAADyAwAAZHJzL2Rvd25yZXYueG1sUEsFBgAAAAAEAAQA8wAA&#10;AAEFAAAAAA==&#10;" filled="f" stroked="f">
              <v:textbox inset="0,0,0,0">
                <w:txbxContent>
                  <w:p w14:paraId="24D6326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16224" behindDoc="1" locked="0" layoutInCell="1" allowOverlap="1" wp14:anchorId="24D62ED0" wp14:editId="24D62ED1">
              <wp:simplePos x="0" y="0"/>
              <wp:positionH relativeFrom="page">
                <wp:posOffset>6122949</wp:posOffset>
              </wp:positionH>
              <wp:positionV relativeFrom="page">
                <wp:posOffset>9432545</wp:posOffset>
              </wp:positionV>
              <wp:extent cx="785495" cy="1816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6C" w14:textId="77777777" w:rsidR="00245300" w:rsidRDefault="00F17249">
                          <w:pPr>
                            <w:pStyle w:val="BodyText"/>
                            <w:spacing w:before="12"/>
                            <w:ind w:left="20"/>
                          </w:pPr>
                          <w:r>
                            <w:t>Page</w:t>
                          </w:r>
                          <w:r>
                            <w:rPr>
                              <w:spacing w:val="-12"/>
                            </w:rPr>
                            <w:t xml:space="preserve"> </w:t>
                          </w:r>
                          <w:r>
                            <w:t>710-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D0" id="Textbox 215" o:spid="_x0000_s1111" type="#_x0000_t202" style="position:absolute;margin-left:482.1pt;margin-top:742.7pt;width:61.85pt;height:14.3pt;z-index:-2800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Kc5k&#10;nJoBAAAiAwAADgAAAAAAAAAAAAAAAAAuAgAAZHJzL2Uyb0RvYy54bWxQSwECLQAUAAYACAAAACEA&#10;Y3QTQuMAAAAOAQAADwAAAAAAAAAAAAAAAAD0AwAAZHJzL2Rvd25yZXYueG1sUEsFBgAAAAAEAAQA&#10;8wAAAAQFAAAAAA==&#10;" filled="f" stroked="f">
              <v:textbox inset="0,0,0,0">
                <w:txbxContent>
                  <w:p w14:paraId="24D6326C" w14:textId="77777777" w:rsidR="00245300" w:rsidRDefault="00F17249">
                    <w:pPr>
                      <w:pStyle w:val="BodyText"/>
                      <w:spacing w:before="12"/>
                      <w:ind w:left="20"/>
                    </w:pPr>
                    <w:r>
                      <w:t>Page</w:t>
                    </w:r>
                    <w:r>
                      <w:rPr>
                        <w:spacing w:val="-12"/>
                      </w:rPr>
                      <w:t xml:space="preserve"> </w:t>
                    </w:r>
                    <w:r>
                      <w:t>710-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3" w14:textId="77777777" w:rsidR="00245300" w:rsidRDefault="00F17249">
    <w:pPr>
      <w:pStyle w:val="BodyText"/>
      <w:spacing w:line="14" w:lineRule="auto"/>
      <w:rPr>
        <w:sz w:val="20"/>
      </w:rPr>
    </w:pPr>
    <w:r>
      <w:rPr>
        <w:noProof/>
      </w:rPr>
      <mc:AlternateContent>
        <mc:Choice Requires="wps">
          <w:drawing>
            <wp:anchor distT="0" distB="0" distL="0" distR="0" simplePos="0" relativeHeight="475318272" behindDoc="1" locked="0" layoutInCell="1" allowOverlap="1" wp14:anchorId="24D62ED8" wp14:editId="24D62ED9">
              <wp:simplePos x="0" y="0"/>
              <wp:positionH relativeFrom="page">
                <wp:posOffset>895350</wp:posOffset>
              </wp:positionH>
              <wp:positionV relativeFrom="page">
                <wp:posOffset>9400031</wp:posOffset>
              </wp:positionV>
              <wp:extent cx="5981700" cy="2857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C4A6A" id="Graphic 220" o:spid="_x0000_s1026" style="position:absolute;margin-left:70.5pt;margin-top:740.15pt;width:471pt;height:2.25pt;z-index:-279982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18784" behindDoc="1" locked="0" layoutInCell="1" allowOverlap="1" wp14:anchorId="24D62EDA" wp14:editId="24D62EDB">
              <wp:simplePos x="0" y="0"/>
              <wp:positionH relativeFrom="page">
                <wp:posOffset>901700</wp:posOffset>
              </wp:positionH>
              <wp:positionV relativeFrom="page">
                <wp:posOffset>9432545</wp:posOffset>
              </wp:positionV>
              <wp:extent cx="678180" cy="1816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6F"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DA" id="_x0000_t202" coordsize="21600,21600" o:spt="202" path="m,l,21600r21600,l21600,xe">
              <v:stroke joinstyle="miter"/>
              <v:path gradientshapeok="t" o:connecttype="rect"/>
            </v:shapetype>
            <v:shape id="Textbox 221" o:spid="_x0000_s1113" type="#_x0000_t202" style="position:absolute;margin-left:71pt;margin-top:742.7pt;width:53.4pt;height:14.3pt;z-index:-279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Me6LqmXAQAA&#10;IgMAAA4AAAAAAAAAAAAAAAAALgIAAGRycy9lMm9Eb2MueG1sUEsBAi0AFAAGAAgAAAAhAK5q90Ph&#10;AAAADQEAAA8AAAAAAAAAAAAAAAAA8QMAAGRycy9kb3ducmV2LnhtbFBLBQYAAAAABAAEAPMAAAD/&#10;BAAAAAA=&#10;" filled="f" stroked="f">
              <v:textbox inset="0,0,0,0">
                <w:txbxContent>
                  <w:p w14:paraId="24D6326F"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19296" behindDoc="1" locked="0" layoutInCell="1" allowOverlap="1" wp14:anchorId="24D62EDC" wp14:editId="24D62EDD">
              <wp:simplePos x="0" y="0"/>
              <wp:positionH relativeFrom="page">
                <wp:posOffset>2783077</wp:posOffset>
              </wp:positionH>
              <wp:positionV relativeFrom="page">
                <wp:posOffset>9432545</wp:posOffset>
              </wp:positionV>
              <wp:extent cx="2206625" cy="1816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70"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DC" id="Textbox 222" o:spid="_x0000_s1114" type="#_x0000_t202" style="position:absolute;margin-left:219.15pt;margin-top:742.7pt;width:173.75pt;height:14.3pt;z-index:-279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Ix8XyuZ&#10;AQAAIwMAAA4AAAAAAAAAAAAAAAAALgIAAGRycy9lMm9Eb2MueG1sUEsBAi0AFAAGAAgAAAAhAN6R&#10;NCbiAAAADQEAAA8AAAAAAAAAAAAAAAAA8wMAAGRycy9kb3ducmV2LnhtbFBLBQYAAAAABAAEAPMA&#10;AAACBQAAAAA=&#10;" filled="f" stroked="f">
              <v:textbox inset="0,0,0,0">
                <w:txbxContent>
                  <w:p w14:paraId="24D63270"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19808" behindDoc="1" locked="0" layoutInCell="1" allowOverlap="1" wp14:anchorId="24D62EDE" wp14:editId="24D62EDF">
              <wp:simplePos x="0" y="0"/>
              <wp:positionH relativeFrom="page">
                <wp:posOffset>5991172</wp:posOffset>
              </wp:positionH>
              <wp:positionV relativeFrom="page">
                <wp:posOffset>9432545</wp:posOffset>
              </wp:positionV>
              <wp:extent cx="917575" cy="1816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24D63271" w14:textId="77777777" w:rsidR="00245300" w:rsidRDefault="00F17249">
                          <w:pPr>
                            <w:pStyle w:val="BodyText"/>
                            <w:spacing w:before="12"/>
                            <w:ind w:left="20"/>
                          </w:pPr>
                          <w:r>
                            <w:t>Page</w:t>
                          </w:r>
                          <w:r>
                            <w:rPr>
                              <w:spacing w:val="-8"/>
                            </w:rPr>
                            <w:t xml:space="preserve"> </w:t>
                          </w:r>
                          <w:r>
                            <w:t>710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4D62EDE" id="Textbox 223" o:spid="_x0000_s1115" type="#_x0000_t202" style="position:absolute;margin-left:471.75pt;margin-top:742.7pt;width:72.25pt;height:14.3pt;z-index:-279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Hary6iZ&#10;AQAAIgMAAA4AAAAAAAAAAAAAAAAALgIAAGRycy9lMm9Eb2MueG1sUEsBAi0AFAAGAAgAAAAhABW+&#10;j33iAAAADgEAAA8AAAAAAAAAAAAAAAAA8wMAAGRycy9kb3ducmV2LnhtbFBLBQYAAAAABAAEAPMA&#10;AAACBQAAAAA=&#10;" filled="f" stroked="f">
              <v:textbox inset="0,0,0,0">
                <w:txbxContent>
                  <w:p w14:paraId="24D63271" w14:textId="77777777" w:rsidR="00245300" w:rsidRDefault="00F17249">
                    <w:pPr>
                      <w:pStyle w:val="BodyText"/>
                      <w:spacing w:before="12"/>
                      <w:ind w:left="20"/>
                    </w:pPr>
                    <w:r>
                      <w:t>Page</w:t>
                    </w:r>
                    <w:r>
                      <w:rPr>
                        <w:spacing w:val="-8"/>
                      </w:rPr>
                      <w:t xml:space="preserve"> </w:t>
                    </w:r>
                    <w:r>
                      <w:t>710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5" w14:textId="77777777" w:rsidR="00245300" w:rsidRDefault="00F17249">
    <w:pPr>
      <w:pStyle w:val="BodyText"/>
      <w:spacing w:line="14" w:lineRule="auto"/>
      <w:rPr>
        <w:sz w:val="20"/>
      </w:rPr>
    </w:pPr>
    <w:r>
      <w:rPr>
        <w:noProof/>
      </w:rPr>
      <mc:AlternateContent>
        <mc:Choice Requires="wps">
          <w:drawing>
            <wp:anchor distT="0" distB="0" distL="0" distR="0" simplePos="0" relativeHeight="475321856" behindDoc="1" locked="0" layoutInCell="1" allowOverlap="1" wp14:anchorId="24D62EE6" wp14:editId="24D62EE7">
              <wp:simplePos x="0" y="0"/>
              <wp:positionH relativeFrom="page">
                <wp:posOffset>895350</wp:posOffset>
              </wp:positionH>
              <wp:positionV relativeFrom="page">
                <wp:posOffset>9400031</wp:posOffset>
              </wp:positionV>
              <wp:extent cx="5981700" cy="2857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52A3F" id="Graphic 228" o:spid="_x0000_s1026" style="position:absolute;margin-left:70.5pt;margin-top:740.15pt;width:471pt;height:2.25pt;z-index:-279946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2368" behindDoc="1" locked="0" layoutInCell="1" allowOverlap="1" wp14:anchorId="24D62EE8" wp14:editId="24D62EE9">
              <wp:simplePos x="0" y="0"/>
              <wp:positionH relativeFrom="page">
                <wp:posOffset>901700</wp:posOffset>
              </wp:positionH>
              <wp:positionV relativeFrom="page">
                <wp:posOffset>9432545</wp:posOffset>
              </wp:positionV>
              <wp:extent cx="678180" cy="1816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74"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E8" id="_x0000_t202" coordsize="21600,21600" o:spt="202" path="m,l,21600r21600,l21600,xe">
              <v:stroke joinstyle="miter"/>
              <v:path gradientshapeok="t" o:connecttype="rect"/>
            </v:shapetype>
            <v:shape id="Textbox 229" o:spid="_x0000_s1117" type="#_x0000_t202" style="position:absolute;margin-left:71pt;margin-top:742.7pt;width:53.4pt;height:14.3pt;z-index:-279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CATaI+XAQAA&#10;IgMAAA4AAAAAAAAAAAAAAAAALgIAAGRycy9lMm9Eb2MueG1sUEsBAi0AFAAGAAgAAAAhAK5q90Ph&#10;AAAADQEAAA8AAAAAAAAAAAAAAAAA8QMAAGRycy9kb3ducmV2LnhtbFBLBQYAAAAABAAEAPMAAAD/&#10;BAAAAAA=&#10;" filled="f" stroked="f">
              <v:textbox inset="0,0,0,0">
                <w:txbxContent>
                  <w:p w14:paraId="24D63274"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22880" behindDoc="1" locked="0" layoutInCell="1" allowOverlap="1" wp14:anchorId="24D62EEA" wp14:editId="24D62EEB">
              <wp:simplePos x="0" y="0"/>
              <wp:positionH relativeFrom="page">
                <wp:posOffset>2783077</wp:posOffset>
              </wp:positionH>
              <wp:positionV relativeFrom="page">
                <wp:posOffset>9432545</wp:posOffset>
              </wp:positionV>
              <wp:extent cx="2206625" cy="1816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75"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EA" id="Textbox 230" o:spid="_x0000_s1118" type="#_x0000_t202" style="position:absolute;margin-left:219.15pt;margin-top:742.7pt;width:173.75pt;height:14.3pt;z-index:-279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LTTDT2Z&#10;AQAAIwMAAA4AAAAAAAAAAAAAAAAALgIAAGRycy9lMm9Eb2MueG1sUEsBAi0AFAAGAAgAAAAhAN6R&#10;NCbiAAAADQEAAA8AAAAAAAAAAAAAAAAA8wMAAGRycy9kb3ducmV2LnhtbFBLBQYAAAAABAAEAPMA&#10;AAACBQAAAAA=&#10;" filled="f" stroked="f">
              <v:textbox inset="0,0,0,0">
                <w:txbxContent>
                  <w:p w14:paraId="24D63275"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23392" behindDoc="1" locked="0" layoutInCell="1" allowOverlap="1" wp14:anchorId="24D62EEC" wp14:editId="24D62EED">
              <wp:simplePos x="0" y="0"/>
              <wp:positionH relativeFrom="page">
                <wp:posOffset>5991172</wp:posOffset>
              </wp:positionH>
              <wp:positionV relativeFrom="page">
                <wp:posOffset>9432545</wp:posOffset>
              </wp:positionV>
              <wp:extent cx="879475" cy="1816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81610"/>
                      </a:xfrm>
                      <a:prstGeom prst="rect">
                        <a:avLst/>
                      </a:prstGeom>
                    </wps:spPr>
                    <wps:txbx>
                      <w:txbxContent>
                        <w:p w14:paraId="24D63276" w14:textId="77777777" w:rsidR="00245300" w:rsidRDefault="00F17249">
                          <w:pPr>
                            <w:pStyle w:val="BodyText"/>
                            <w:spacing w:before="12"/>
                            <w:ind w:left="20"/>
                          </w:pPr>
                          <w:r>
                            <w:t>Page</w:t>
                          </w:r>
                          <w:r>
                            <w:rPr>
                              <w:spacing w:val="-9"/>
                            </w:rPr>
                            <w:t xml:space="preserve"> </w:t>
                          </w:r>
                          <w:r>
                            <w:t>710</w:t>
                          </w:r>
                          <w:r>
                            <w:rPr>
                              <w:spacing w:val="-6"/>
                            </w:rPr>
                            <w:t xml:space="preserve"> </w:t>
                          </w:r>
                          <w:r>
                            <w:t>B-</w:t>
                          </w:r>
                          <w:r>
                            <w:rPr>
                              <w:spacing w:val="-10"/>
                            </w:rPr>
                            <w:t>1</w:t>
                          </w:r>
                        </w:p>
                      </w:txbxContent>
                    </wps:txbx>
                    <wps:bodyPr wrap="square" lIns="0" tIns="0" rIns="0" bIns="0" rtlCol="0">
                      <a:noAutofit/>
                    </wps:bodyPr>
                  </wps:wsp>
                </a:graphicData>
              </a:graphic>
            </wp:anchor>
          </w:drawing>
        </mc:Choice>
        <mc:Fallback>
          <w:pict>
            <v:shape w14:anchorId="24D62EEC" id="Textbox 231" o:spid="_x0000_s1119" type="#_x0000_t202" style="position:absolute;margin-left:471.75pt;margin-top:742.7pt;width:69.25pt;height:14.3pt;z-index:-279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" filled="f" stroked="f">
              <v:textbox inset="0,0,0,0">
                <w:txbxContent>
                  <w:p w14:paraId="24D63276" w14:textId="77777777" w:rsidR="00245300" w:rsidRDefault="00F17249">
                    <w:pPr>
                      <w:pStyle w:val="BodyText"/>
                      <w:spacing w:before="12"/>
                      <w:ind w:left="20"/>
                    </w:pPr>
                    <w:r>
                      <w:t>Page</w:t>
                    </w:r>
                    <w:r>
                      <w:rPr>
                        <w:spacing w:val="-9"/>
                      </w:rPr>
                      <w:t xml:space="preserve"> </w:t>
                    </w:r>
                    <w:r>
                      <w:t>710</w:t>
                    </w:r>
                    <w:r>
                      <w:rPr>
                        <w:spacing w:val="-6"/>
                      </w:rPr>
                      <w:t xml:space="preserve"> </w:t>
                    </w:r>
                    <w:r>
                      <w:t>B-</w:t>
                    </w:r>
                    <w:r>
                      <w:rPr>
                        <w:spacing w:val="-10"/>
                      </w:rPr>
                      <w:t>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7" w14:textId="77777777" w:rsidR="00245300" w:rsidRDefault="00F17249">
    <w:pPr>
      <w:pStyle w:val="BodyText"/>
      <w:spacing w:line="14" w:lineRule="auto"/>
      <w:rPr>
        <w:sz w:val="20"/>
      </w:rPr>
    </w:pPr>
    <w:r>
      <w:rPr>
        <w:noProof/>
      </w:rPr>
      <mc:AlternateContent>
        <mc:Choice Requires="wps">
          <w:drawing>
            <wp:anchor distT="0" distB="0" distL="0" distR="0" simplePos="0" relativeHeight="475325440" behindDoc="1" locked="0" layoutInCell="1" allowOverlap="1" wp14:anchorId="24D62EF4" wp14:editId="24D62EF5">
              <wp:simplePos x="0" y="0"/>
              <wp:positionH relativeFrom="page">
                <wp:posOffset>895350</wp:posOffset>
              </wp:positionH>
              <wp:positionV relativeFrom="page">
                <wp:posOffset>9400031</wp:posOffset>
              </wp:positionV>
              <wp:extent cx="5981700" cy="2857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95237" id="Graphic 235" o:spid="_x0000_s1026" style="position:absolute;margin-left:70.5pt;margin-top:740.15pt;width:471pt;height:2.25pt;z-index:-279910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5952" behindDoc="1" locked="0" layoutInCell="1" allowOverlap="1" wp14:anchorId="24D62EF6" wp14:editId="24D62EF7">
              <wp:simplePos x="0" y="0"/>
              <wp:positionH relativeFrom="page">
                <wp:posOffset>901700</wp:posOffset>
              </wp:positionH>
              <wp:positionV relativeFrom="page">
                <wp:posOffset>9432545</wp:posOffset>
              </wp:positionV>
              <wp:extent cx="678180" cy="1816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79"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F6" id="_x0000_t202" coordsize="21600,21600" o:spt="202" path="m,l,21600r21600,l21600,xe">
              <v:stroke joinstyle="miter"/>
              <v:path gradientshapeok="t" o:connecttype="rect"/>
            </v:shapetype>
            <v:shape id="Textbox 236" o:spid="_x0000_s1121" type="#_x0000_t202" style="position:absolute;margin-left:71pt;margin-top:742.7pt;width:53.4pt;height:14.3pt;z-index:-279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mAEAACIDAAAOAAAAZHJzL2Uyb0RvYy54bWysUs2O0zAQviPxDpbv1M0ilR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b+f5tTjFv7aA9sZaR42wk/T5otFIMXwP7lbM/F3guducC&#10;0/AJygvJkgJ8OCRwf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FXy/mAEA&#10;ACIDAAAOAAAAAAAAAAAAAAAAAC4CAABkcnMvZTJvRG9jLnhtbFBLAQItABQABgAIAAAAIQCuavdD&#10;4QAAAA0BAAAPAAAAAAAAAAAAAAAAAPIDAABkcnMvZG93bnJldi54bWxQSwUGAAAAAAQABADzAAAA&#10;AAUAAAAA&#10;" filled="f" stroked="f">
              <v:textbox inset="0,0,0,0">
                <w:txbxContent>
                  <w:p w14:paraId="24D63279"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26464" behindDoc="1" locked="0" layoutInCell="1" allowOverlap="1" wp14:anchorId="24D62EF8" wp14:editId="24D62EF9">
              <wp:simplePos x="0" y="0"/>
              <wp:positionH relativeFrom="page">
                <wp:posOffset>2783077</wp:posOffset>
              </wp:positionH>
              <wp:positionV relativeFrom="page">
                <wp:posOffset>9432545</wp:posOffset>
              </wp:positionV>
              <wp:extent cx="2206625" cy="1816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7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F8" id="Textbox 237" o:spid="_x0000_s1122" type="#_x0000_t202" style="position:absolute;margin-left:219.15pt;margin-top:742.7pt;width:173.75pt;height:14.3pt;z-index:-279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Om0zyCZ&#10;AQAAIwMAAA4AAAAAAAAAAAAAAAAALgIAAGRycy9lMm9Eb2MueG1sUEsBAi0AFAAGAAgAAAAhAN6R&#10;NCbiAAAADQEAAA8AAAAAAAAAAAAAAAAA8wMAAGRycy9kb3ducmV2LnhtbFBLBQYAAAAABAAEAPMA&#10;AAACBQAAAAA=&#10;" filled="f" stroked="f">
              <v:textbox inset="0,0,0,0">
                <w:txbxContent>
                  <w:p w14:paraId="24D6327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26976" behindDoc="1" locked="0" layoutInCell="1" allowOverlap="1" wp14:anchorId="24D62EFA" wp14:editId="24D62EFB">
              <wp:simplePos x="0" y="0"/>
              <wp:positionH relativeFrom="page">
                <wp:posOffset>5983502</wp:posOffset>
              </wp:positionH>
              <wp:positionV relativeFrom="page">
                <wp:posOffset>9432545</wp:posOffset>
              </wp:positionV>
              <wp:extent cx="925194" cy="18161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4" cy="181610"/>
                      </a:xfrm>
                      <a:prstGeom prst="rect">
                        <a:avLst/>
                      </a:prstGeom>
                    </wps:spPr>
                    <wps:txbx>
                      <w:txbxContent>
                        <w:p w14:paraId="24D6327B" w14:textId="77777777" w:rsidR="00245300" w:rsidRDefault="00F17249">
                          <w:pPr>
                            <w:pStyle w:val="BodyText"/>
                            <w:spacing w:before="12"/>
                            <w:ind w:left="20"/>
                          </w:pPr>
                          <w:r>
                            <w:t>Page</w:t>
                          </w:r>
                          <w:r>
                            <w:rPr>
                              <w:spacing w:val="-7"/>
                            </w:rPr>
                            <w:t xml:space="preserve"> </w:t>
                          </w:r>
                          <w:r>
                            <w:t>710</w:t>
                          </w:r>
                          <w:r>
                            <w:rPr>
                              <w:spacing w:val="-7"/>
                            </w:rPr>
                            <w:t xml:space="preserve"> </w:t>
                          </w:r>
                          <w: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EFA" id="Textbox 238" o:spid="_x0000_s1123" type="#_x0000_t202" style="position:absolute;margin-left:471.15pt;margin-top:742.7pt;width:72.85pt;height:14.3pt;z-index:-279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" filled="f" stroked="f">
              <v:textbox inset="0,0,0,0">
                <w:txbxContent>
                  <w:p w14:paraId="24D6327B" w14:textId="77777777" w:rsidR="00245300" w:rsidRDefault="00F17249">
                    <w:pPr>
                      <w:pStyle w:val="BodyText"/>
                      <w:spacing w:before="12"/>
                      <w:ind w:left="20"/>
                    </w:pPr>
                    <w:r>
                      <w:t>Page</w:t>
                    </w:r>
                    <w:r>
                      <w:rPr>
                        <w:spacing w:val="-7"/>
                      </w:rPr>
                      <w:t xml:space="preserve"> </w:t>
                    </w:r>
                    <w:r>
                      <w:t>710</w:t>
                    </w:r>
                    <w:r>
                      <w:rPr>
                        <w:spacing w:val="-7"/>
                      </w:rPr>
                      <w:t xml:space="preserve"> </w:t>
                    </w:r>
                    <w: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9" w14:textId="77777777" w:rsidR="00245300" w:rsidRDefault="00F17249">
    <w:pPr>
      <w:pStyle w:val="BodyText"/>
      <w:spacing w:line="14" w:lineRule="auto"/>
      <w:rPr>
        <w:sz w:val="20"/>
      </w:rPr>
    </w:pPr>
    <w:r>
      <w:rPr>
        <w:noProof/>
      </w:rPr>
      <mc:AlternateContent>
        <mc:Choice Requires="wps">
          <w:drawing>
            <wp:anchor distT="0" distB="0" distL="0" distR="0" simplePos="0" relativeHeight="475329024" behindDoc="1" locked="0" layoutInCell="1" allowOverlap="1" wp14:anchorId="24D62F02" wp14:editId="24D62F03">
              <wp:simplePos x="0" y="0"/>
              <wp:positionH relativeFrom="page">
                <wp:posOffset>895350</wp:posOffset>
              </wp:positionH>
              <wp:positionV relativeFrom="page">
                <wp:posOffset>9400031</wp:posOffset>
              </wp:positionV>
              <wp:extent cx="5981700" cy="2857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3B93C" id="Graphic 242" o:spid="_x0000_s1026" style="position:absolute;margin-left:70.5pt;margin-top:740.15pt;width:471pt;height:2.25pt;z-index:-279874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9536" behindDoc="1" locked="0" layoutInCell="1" allowOverlap="1" wp14:anchorId="24D62F04" wp14:editId="24D62F05">
              <wp:simplePos x="0" y="0"/>
              <wp:positionH relativeFrom="page">
                <wp:posOffset>901700</wp:posOffset>
              </wp:positionH>
              <wp:positionV relativeFrom="page">
                <wp:posOffset>9432545</wp:posOffset>
              </wp:positionV>
              <wp:extent cx="678180" cy="18161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7E"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04" id="_x0000_t202" coordsize="21600,21600" o:spt="202" path="m,l,21600r21600,l21600,xe">
              <v:stroke joinstyle="miter"/>
              <v:path gradientshapeok="t" o:connecttype="rect"/>
            </v:shapetype>
            <v:shape id="Textbox 243" o:spid="_x0000_s1125" type="#_x0000_t202" style="position:absolute;margin-left:71pt;margin-top:742.7pt;width:53.4pt;height:14.3pt;z-index:-279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icr6imAEA&#10;ACIDAAAOAAAAAAAAAAAAAAAAAC4CAABkcnMvZTJvRG9jLnhtbFBLAQItABQABgAIAAAAIQCuavdD&#10;4QAAAA0BAAAPAAAAAAAAAAAAAAAAAPIDAABkcnMvZG93bnJldi54bWxQSwUGAAAAAAQABADzAAAA&#10;AAUAAAAA&#10;" filled="f" stroked="f">
              <v:textbox inset="0,0,0,0">
                <w:txbxContent>
                  <w:p w14:paraId="24D6327E"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30048" behindDoc="1" locked="0" layoutInCell="1" allowOverlap="1" wp14:anchorId="24D62F06" wp14:editId="24D62F07">
              <wp:simplePos x="0" y="0"/>
              <wp:positionH relativeFrom="page">
                <wp:posOffset>2783077</wp:posOffset>
              </wp:positionH>
              <wp:positionV relativeFrom="page">
                <wp:posOffset>9432545</wp:posOffset>
              </wp:positionV>
              <wp:extent cx="2206625" cy="18161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7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06" id="Textbox 244" o:spid="_x0000_s1126" type="#_x0000_t202" style="position:absolute;margin-left:219.15pt;margin-top:742.7pt;width:173.75pt;height:14.3pt;z-index:-279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kGmQEAACMDAAAOAAAAZHJzL2Uyb0RvYy54bWysUt2OEyEUvjfxHQj3lplJbOq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y5mis3pTr+tiuLjdDhHTJw2O5aLj&#10;kfIqDOTpEVN+X7aXloXM8/uZSZr3M7N9x99tcox5aw/9mcRMlGfH8ddRRs3Z+NmTYTn8SxEvxf5S&#10;xDR+gPJFsiYP98cExhYGN9yFASVRiC2/Jkf957p03f727j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A4diQaZ&#10;AQAAIwMAAA4AAAAAAAAAAAAAAAAALgIAAGRycy9lMm9Eb2MueG1sUEsBAi0AFAAGAAgAAAAhAN6R&#10;NCbiAAAADQEAAA8AAAAAAAAAAAAAAAAA8wMAAGRycy9kb3ducmV2LnhtbFBLBQYAAAAABAAEAPMA&#10;AAACBQAAAAA=&#10;" filled="f" stroked="f">
              <v:textbox inset="0,0,0,0">
                <w:txbxContent>
                  <w:p w14:paraId="24D6327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30560" behindDoc="1" locked="0" layoutInCell="1" allowOverlap="1" wp14:anchorId="24D62F08" wp14:editId="24D62F09">
              <wp:simplePos x="0" y="0"/>
              <wp:positionH relativeFrom="page">
                <wp:posOffset>5983502</wp:posOffset>
              </wp:positionH>
              <wp:positionV relativeFrom="page">
                <wp:posOffset>9432545</wp:posOffset>
              </wp:positionV>
              <wp:extent cx="925194" cy="1816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4" cy="181610"/>
                      </a:xfrm>
                      <a:prstGeom prst="rect">
                        <a:avLst/>
                      </a:prstGeom>
                    </wps:spPr>
                    <wps:txbx>
                      <w:txbxContent>
                        <w:p w14:paraId="24D63280" w14:textId="77777777" w:rsidR="00245300" w:rsidRDefault="00F17249">
                          <w:pPr>
                            <w:pStyle w:val="BodyText"/>
                            <w:spacing w:before="12"/>
                            <w:ind w:left="20"/>
                          </w:pPr>
                          <w:r>
                            <w:t>Page</w:t>
                          </w:r>
                          <w:r>
                            <w:rPr>
                              <w:spacing w:val="-7"/>
                            </w:rPr>
                            <w:t xml:space="preserve"> </w:t>
                          </w:r>
                          <w:r>
                            <w:t>710</w:t>
                          </w:r>
                          <w:r>
                            <w:rPr>
                              <w:spacing w:val="-7"/>
                            </w:rPr>
                            <w:t xml:space="preserve"> </w:t>
                          </w:r>
                          <w:r>
                            <w:t>D-</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F08" id="Textbox 245" o:spid="_x0000_s1127" type="#_x0000_t202" style="position:absolute;margin-left:471.15pt;margin-top:742.7pt;width:72.85pt;height:14.3pt;z-index:-279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" filled="f" stroked="f">
              <v:textbox inset="0,0,0,0">
                <w:txbxContent>
                  <w:p w14:paraId="24D63280" w14:textId="77777777" w:rsidR="00245300" w:rsidRDefault="00F17249">
                    <w:pPr>
                      <w:pStyle w:val="BodyText"/>
                      <w:spacing w:before="12"/>
                      <w:ind w:left="20"/>
                    </w:pPr>
                    <w:r>
                      <w:t>Page</w:t>
                    </w:r>
                    <w:r>
                      <w:rPr>
                        <w:spacing w:val="-7"/>
                      </w:rPr>
                      <w:t xml:space="preserve"> </w:t>
                    </w:r>
                    <w:r>
                      <w:t>710</w:t>
                    </w:r>
                    <w:r>
                      <w:rPr>
                        <w:spacing w:val="-7"/>
                      </w:rPr>
                      <w:t xml:space="preserve"> </w:t>
                    </w:r>
                    <w:r>
                      <w:t>D-</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B" w14:textId="77777777" w:rsidR="00245300" w:rsidRDefault="00F17249">
    <w:pPr>
      <w:pStyle w:val="BodyText"/>
      <w:spacing w:line="14" w:lineRule="auto"/>
      <w:rPr>
        <w:sz w:val="20"/>
      </w:rPr>
    </w:pPr>
    <w:r>
      <w:rPr>
        <w:noProof/>
      </w:rPr>
      <mc:AlternateContent>
        <mc:Choice Requires="wps">
          <w:drawing>
            <wp:anchor distT="0" distB="0" distL="0" distR="0" simplePos="0" relativeHeight="475332608" behindDoc="1" locked="0" layoutInCell="1" allowOverlap="1" wp14:anchorId="24D62F10" wp14:editId="24D62F11">
              <wp:simplePos x="0" y="0"/>
              <wp:positionH relativeFrom="page">
                <wp:posOffset>895350</wp:posOffset>
              </wp:positionH>
              <wp:positionV relativeFrom="page">
                <wp:posOffset>9400031</wp:posOffset>
              </wp:positionV>
              <wp:extent cx="5981700" cy="2857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665EE" id="Graphic 249" o:spid="_x0000_s1026" style="position:absolute;margin-left:70.5pt;margin-top:740.15pt;width:471pt;height:2.25pt;z-index:-279838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33120" behindDoc="1" locked="0" layoutInCell="1" allowOverlap="1" wp14:anchorId="24D62F12" wp14:editId="24D62F13">
              <wp:simplePos x="0" y="0"/>
              <wp:positionH relativeFrom="page">
                <wp:posOffset>901700</wp:posOffset>
              </wp:positionH>
              <wp:positionV relativeFrom="page">
                <wp:posOffset>9432545</wp:posOffset>
              </wp:positionV>
              <wp:extent cx="678180" cy="18161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83"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12" id="_x0000_t202" coordsize="21600,21600" o:spt="202" path="m,l,21600r21600,l21600,xe">
              <v:stroke joinstyle="miter"/>
              <v:path gradientshapeok="t" o:connecttype="rect"/>
            </v:shapetype>
            <v:shape id="Textbox 250" o:spid="_x0000_s1129" type="#_x0000_t202" style="position:absolute;margin-left:71pt;margin-top:742.7pt;width:53.4pt;height:14.3pt;z-index:-279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DsBXeiXAQAA&#10;IwMAAA4AAAAAAAAAAAAAAAAALgIAAGRycy9lMm9Eb2MueG1sUEsBAi0AFAAGAAgAAAAhAK5q90Ph&#10;AAAADQEAAA8AAAAAAAAAAAAAAAAA8QMAAGRycy9kb3ducmV2LnhtbFBLBQYAAAAABAAEAPMAAAD/&#10;BAAAAAA=&#10;" filled="f" stroked="f">
              <v:textbox inset="0,0,0,0">
                <w:txbxContent>
                  <w:p w14:paraId="24D63283"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33632" behindDoc="1" locked="0" layoutInCell="1" allowOverlap="1" wp14:anchorId="24D62F14" wp14:editId="24D62F15">
              <wp:simplePos x="0" y="0"/>
              <wp:positionH relativeFrom="page">
                <wp:posOffset>2783077</wp:posOffset>
              </wp:positionH>
              <wp:positionV relativeFrom="page">
                <wp:posOffset>9432545</wp:posOffset>
              </wp:positionV>
              <wp:extent cx="2206625" cy="1816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84"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14" id="Textbox 251" o:spid="_x0000_s1130" type="#_x0000_t202" style="position:absolute;margin-left:219.15pt;margin-top:742.7pt;width:173.75pt;height:14.3pt;z-index:-279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FAPDnmZ&#10;AQAAJAMAAA4AAAAAAAAAAAAAAAAALgIAAGRycy9lMm9Eb2MueG1sUEsBAi0AFAAGAAgAAAAhAN6R&#10;NCbiAAAADQEAAA8AAAAAAAAAAAAAAAAA8wMAAGRycy9kb3ducmV2LnhtbFBLBQYAAAAABAAEAPMA&#10;AAACBQAAAAA=&#10;" filled="f" stroked="f">
              <v:textbox inset="0,0,0,0">
                <w:txbxContent>
                  <w:p w14:paraId="24D63284"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34144" behindDoc="1" locked="0" layoutInCell="1" allowOverlap="1" wp14:anchorId="24D62F16" wp14:editId="24D62F17">
              <wp:simplePos x="0" y="0"/>
              <wp:positionH relativeFrom="page">
                <wp:posOffset>5991172</wp:posOffset>
              </wp:positionH>
              <wp:positionV relativeFrom="page">
                <wp:posOffset>9432545</wp:posOffset>
              </wp:positionV>
              <wp:extent cx="917575" cy="1816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24D63285" w14:textId="77777777" w:rsidR="00245300" w:rsidRDefault="00F17249">
                          <w:pPr>
                            <w:pStyle w:val="BodyText"/>
                            <w:spacing w:before="12"/>
                            <w:ind w:left="20"/>
                          </w:pPr>
                          <w:r>
                            <w:t>Page</w:t>
                          </w:r>
                          <w:r>
                            <w:rPr>
                              <w:spacing w:val="-9"/>
                            </w:rPr>
                            <w:t xml:space="preserve"> </w:t>
                          </w:r>
                          <w:r>
                            <w:t>710</w:t>
                          </w:r>
                          <w:r>
                            <w:rPr>
                              <w:spacing w:val="-6"/>
                            </w:rPr>
                            <w:t xml:space="preserve"> </w:t>
                          </w:r>
                          <w:r>
                            <w:t>E-</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F16" id="Textbox 252" o:spid="_x0000_s1131" type="#_x0000_t202" style="position:absolute;margin-left:471.75pt;margin-top:742.7pt;width:72.25pt;height:14.3pt;z-index:-279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CkggL2Z&#10;AQAAIwMAAA4AAAAAAAAAAAAAAAAALgIAAGRycy9lMm9Eb2MueG1sUEsBAi0AFAAGAAgAAAAhABW+&#10;j33iAAAADgEAAA8AAAAAAAAAAAAAAAAA8wMAAGRycy9kb3ducmV2LnhtbFBLBQYAAAAABAAEAPMA&#10;AAACBQAAAAA=&#10;" filled="f" stroked="f">
              <v:textbox inset="0,0,0,0">
                <w:txbxContent>
                  <w:p w14:paraId="24D63285" w14:textId="77777777" w:rsidR="00245300" w:rsidRDefault="00F17249">
                    <w:pPr>
                      <w:pStyle w:val="BodyText"/>
                      <w:spacing w:before="12"/>
                      <w:ind w:left="20"/>
                    </w:pPr>
                    <w:r>
                      <w:t>Page</w:t>
                    </w:r>
                    <w:r>
                      <w:rPr>
                        <w:spacing w:val="-9"/>
                      </w:rPr>
                      <w:t xml:space="preserve"> </w:t>
                    </w:r>
                    <w:r>
                      <w:t>710</w:t>
                    </w:r>
                    <w:r>
                      <w:rPr>
                        <w:spacing w:val="-6"/>
                      </w:rPr>
                      <w:t xml:space="preserve"> </w:t>
                    </w:r>
                    <w:r>
                      <w:t>E-</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7" w14:textId="77777777" w:rsidR="00245300" w:rsidRDefault="00F17249">
    <w:pPr>
      <w:pStyle w:val="BodyText"/>
      <w:spacing w:line="14" w:lineRule="auto"/>
      <w:rPr>
        <w:sz w:val="20"/>
      </w:rPr>
    </w:pPr>
    <w:r>
      <w:rPr>
        <w:noProof/>
      </w:rPr>
      <mc:AlternateContent>
        <mc:Choice Requires="wps">
          <w:drawing>
            <wp:anchor distT="0" distB="0" distL="0" distR="0" simplePos="0" relativeHeight="475246592" behindDoc="1" locked="0" layoutInCell="1" allowOverlap="1" wp14:anchorId="24D62DC0" wp14:editId="24D62DC1">
              <wp:simplePos x="0" y="0"/>
              <wp:positionH relativeFrom="page">
                <wp:posOffset>895350</wp:posOffset>
              </wp:positionH>
              <wp:positionV relativeFrom="page">
                <wp:posOffset>9400031</wp:posOffset>
              </wp:positionV>
              <wp:extent cx="5981700" cy="2857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81AA9A" id="Graphic 44" o:spid="_x0000_s1026" style="position:absolute;margin-left:70.5pt;margin-top:740.15pt;width:471pt;height:2.25pt;z-index:-280698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47104" behindDoc="1" locked="0" layoutInCell="1" allowOverlap="1" wp14:anchorId="24D62DC2" wp14:editId="24D62DC3">
              <wp:simplePos x="0" y="0"/>
              <wp:positionH relativeFrom="page">
                <wp:posOffset>901700</wp:posOffset>
              </wp:positionH>
              <wp:positionV relativeFrom="page">
                <wp:posOffset>9432545</wp:posOffset>
              </wp:positionV>
              <wp:extent cx="678815" cy="1816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81610"/>
                      </a:xfrm>
                      <a:prstGeom prst="rect">
                        <a:avLst/>
                      </a:prstGeom>
                    </wps:spPr>
                    <wps:txbx>
                      <w:txbxContent>
                        <w:p w14:paraId="24D6320C"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DC2" id="_x0000_t202" coordsize="21600,21600" o:spt="202" path="m,l,21600r21600,l21600,xe">
              <v:stroke joinstyle="miter"/>
              <v:path gradientshapeok="t" o:connecttype="rect"/>
            </v:shapetype>
            <v:shape id="Textbox 45" o:spid="_x0000_s1033" type="#_x0000_t202" style="position:absolute;margin-left:71pt;margin-top:742.7pt;width:53.45pt;height:14.3pt;z-index:-280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" filled="f" stroked="f">
              <v:textbox inset="0,0,0,0">
                <w:txbxContent>
                  <w:p w14:paraId="24D6320C"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47616" behindDoc="1" locked="0" layoutInCell="1" allowOverlap="1" wp14:anchorId="24D62DC4" wp14:editId="24D62DC5">
              <wp:simplePos x="0" y="0"/>
              <wp:positionH relativeFrom="page">
                <wp:posOffset>2861055</wp:posOffset>
              </wp:positionH>
              <wp:positionV relativeFrom="page">
                <wp:posOffset>9432545</wp:posOffset>
              </wp:positionV>
              <wp:extent cx="2206625" cy="1816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0D" w14:textId="77777777" w:rsidR="00245300" w:rsidRDefault="00F17249">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DC4" id="Textbox 46" o:spid="_x0000_s1034" type="#_x0000_t202" style="position:absolute;margin-left:225.3pt;margin-top:742.7pt;width:173.75pt;height:14.3pt;z-index:-280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" filled="f" stroked="f">
              <v:textbox inset="0,0,0,0">
                <w:txbxContent>
                  <w:p w14:paraId="24D6320D" w14:textId="77777777" w:rsidR="00245300" w:rsidRDefault="00F17249">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48128" behindDoc="1" locked="0" layoutInCell="1" allowOverlap="1" wp14:anchorId="24D62DC6" wp14:editId="24D62DC7">
              <wp:simplePos x="0" y="0"/>
              <wp:positionH relativeFrom="page">
                <wp:posOffset>6161882</wp:posOffset>
              </wp:positionH>
              <wp:positionV relativeFrom="page">
                <wp:posOffset>9432545</wp:posOffset>
              </wp:positionV>
              <wp:extent cx="747395" cy="1816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0E" w14:textId="77777777" w:rsidR="00245300" w:rsidRDefault="00F17249">
                          <w:pPr>
                            <w:pStyle w:val="BodyText"/>
                            <w:spacing w:before="12"/>
                            <w:ind w:left="20"/>
                          </w:pPr>
                          <w:r>
                            <w:rPr>
                              <w:spacing w:val="-2"/>
                            </w:rPr>
                            <w:t>Contents-</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DC6" id="Textbox 47" o:spid="_x0000_s1035" type="#_x0000_t202" style="position:absolute;margin-left:485.2pt;margin-top:742.7pt;width:58.85pt;height:14.3pt;z-index:-280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" filled="f" stroked="f">
              <v:textbox inset="0,0,0,0">
                <w:txbxContent>
                  <w:p w14:paraId="24D6320E" w14:textId="77777777" w:rsidR="00245300" w:rsidRDefault="00F17249">
                    <w:pPr>
                      <w:pStyle w:val="BodyText"/>
                      <w:spacing w:before="12"/>
                      <w:ind w:left="20"/>
                    </w:pPr>
                    <w:r>
                      <w:rPr>
                        <w:spacing w:val="-2"/>
                      </w:rPr>
                      <w:t>Contents-</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D" w14:textId="77777777" w:rsidR="00245300" w:rsidRDefault="00245300">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F" w14:textId="77777777" w:rsidR="00245300" w:rsidRDefault="00F17249">
    <w:pPr>
      <w:pStyle w:val="BodyText"/>
      <w:spacing w:line="14" w:lineRule="auto"/>
      <w:rPr>
        <w:sz w:val="20"/>
      </w:rPr>
    </w:pPr>
    <w:r>
      <w:rPr>
        <w:noProof/>
      </w:rPr>
      <mc:AlternateContent>
        <mc:Choice Requires="wps">
          <w:drawing>
            <wp:anchor distT="0" distB="0" distL="0" distR="0" simplePos="0" relativeHeight="475336192" behindDoc="1" locked="0" layoutInCell="1" allowOverlap="1" wp14:anchorId="24D62F1E" wp14:editId="24D62F1F">
              <wp:simplePos x="0" y="0"/>
              <wp:positionH relativeFrom="page">
                <wp:posOffset>895350</wp:posOffset>
              </wp:positionH>
              <wp:positionV relativeFrom="page">
                <wp:posOffset>9409176</wp:posOffset>
              </wp:positionV>
              <wp:extent cx="5981700" cy="1905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5A987" id="Graphic 263" o:spid="_x0000_s1026" style="position:absolute;margin-left:70.5pt;margin-top:740.9pt;width:471pt;height:1.5pt;z-index:-27980288;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36704" behindDoc="1" locked="0" layoutInCell="1" allowOverlap="1" wp14:anchorId="24D62F20" wp14:editId="24D62F21">
              <wp:simplePos x="0" y="0"/>
              <wp:positionH relativeFrom="page">
                <wp:posOffset>901700</wp:posOffset>
              </wp:positionH>
              <wp:positionV relativeFrom="page">
                <wp:posOffset>9432545</wp:posOffset>
              </wp:positionV>
              <wp:extent cx="678180" cy="1816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88"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20" id="_x0000_t202" coordsize="21600,21600" o:spt="202" path="m,l,21600r21600,l21600,xe">
              <v:stroke joinstyle="miter"/>
              <v:path gradientshapeok="t" o:connecttype="rect"/>
            </v:shapetype>
            <v:shape id="Textbox 264" o:spid="_x0000_s1133" type="#_x0000_t202" style="position:absolute;margin-left:71pt;margin-top:742.7pt;width:53.4pt;height:14.3pt;z-index:-279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GZmn/WXAQAA&#10;IwMAAA4AAAAAAAAAAAAAAAAALgIAAGRycy9lMm9Eb2MueG1sUEsBAi0AFAAGAAgAAAAhAK5q90Ph&#10;AAAADQEAAA8AAAAAAAAAAAAAAAAA8QMAAGRycy9kb3ducmV2LnhtbFBLBQYAAAAABAAEAPMAAAD/&#10;BAAAAAA=&#10;" filled="f" stroked="f">
              <v:textbox inset="0,0,0,0">
                <w:txbxContent>
                  <w:p w14:paraId="24D63288"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37216" behindDoc="1" locked="0" layoutInCell="1" allowOverlap="1" wp14:anchorId="24D62F22" wp14:editId="24D62F23">
              <wp:simplePos x="0" y="0"/>
              <wp:positionH relativeFrom="page">
                <wp:posOffset>2888995</wp:posOffset>
              </wp:positionH>
              <wp:positionV relativeFrom="page">
                <wp:posOffset>9432545</wp:posOffset>
              </wp:positionV>
              <wp:extent cx="2206625" cy="1816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8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22" id="Textbox 265" o:spid="_x0000_s1134" type="#_x0000_t202" style="position:absolute;margin-left:227.5pt;margin-top:742.7pt;width:173.75pt;height:14.3pt;z-index:-279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" filled="f" stroked="f">
              <v:textbox inset="0,0,0,0">
                <w:txbxContent>
                  <w:p w14:paraId="24D6328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37728" behindDoc="1" locked="0" layoutInCell="1" allowOverlap="1" wp14:anchorId="24D62F24" wp14:editId="24D62F25">
              <wp:simplePos x="0" y="0"/>
              <wp:positionH relativeFrom="page">
                <wp:posOffset>6123166</wp:posOffset>
              </wp:positionH>
              <wp:positionV relativeFrom="page">
                <wp:posOffset>9432545</wp:posOffset>
              </wp:positionV>
              <wp:extent cx="747395" cy="1816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8A" w14:textId="77777777" w:rsidR="00245300" w:rsidRDefault="00F17249">
                          <w:pPr>
                            <w:pStyle w:val="BodyText"/>
                            <w:spacing w:before="12"/>
                            <w:ind w:left="20"/>
                          </w:pPr>
                          <w:r>
                            <w:t>Page</w:t>
                          </w:r>
                          <w:r>
                            <w:rPr>
                              <w:spacing w:val="-12"/>
                            </w:rPr>
                            <w:t xml:space="preserve"> </w:t>
                          </w:r>
                          <w:r>
                            <w:t>800-</w:t>
                          </w:r>
                          <w:r>
                            <w:rPr>
                              <w:spacing w:val="-10"/>
                            </w:rPr>
                            <w:t>1</w:t>
                          </w:r>
                        </w:p>
                      </w:txbxContent>
                    </wps:txbx>
                    <wps:bodyPr wrap="square" lIns="0" tIns="0" rIns="0" bIns="0" rtlCol="0">
                      <a:noAutofit/>
                    </wps:bodyPr>
                  </wps:wsp>
                </a:graphicData>
              </a:graphic>
            </wp:anchor>
          </w:drawing>
        </mc:Choice>
        <mc:Fallback>
          <w:pict>
            <v:shape w14:anchorId="24D62F24" id="Textbox 266" o:spid="_x0000_s1135" type="#_x0000_t202" style="position:absolute;margin-left:482.15pt;margin-top:742.7pt;width:58.85pt;height:14.3pt;z-index:-279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D176kz&#10;mgEAACMDAAAOAAAAAAAAAAAAAAAAAC4CAABkcnMvZTJvRG9jLnhtbFBLAQItABQABgAIAAAAIQDe&#10;KHPN4gAAAA4BAAAPAAAAAAAAAAAAAAAAAPQDAABkcnMvZG93bnJldi54bWxQSwUGAAAAAAQABADz&#10;AAAAAwUAAAAA&#10;" filled="f" stroked="f">
              <v:textbox inset="0,0,0,0">
                <w:txbxContent>
                  <w:p w14:paraId="24D6328A" w14:textId="77777777" w:rsidR="00245300" w:rsidRDefault="00F17249">
                    <w:pPr>
                      <w:pStyle w:val="BodyText"/>
                      <w:spacing w:before="12"/>
                      <w:ind w:left="20"/>
                    </w:pPr>
                    <w:r>
                      <w:t>Page</w:t>
                    </w:r>
                    <w:r>
                      <w:rPr>
                        <w:spacing w:val="-12"/>
                      </w:rPr>
                      <w:t xml:space="preserve"> </w:t>
                    </w:r>
                    <w:r>
                      <w:t>800-</w:t>
                    </w:r>
                    <w:r>
                      <w:rPr>
                        <w:spacing w:val="-10"/>
                      </w:rPr>
                      <w:t>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1" w14:textId="77777777" w:rsidR="00245300" w:rsidRDefault="00F17249">
    <w:pPr>
      <w:pStyle w:val="BodyText"/>
      <w:spacing w:line="14" w:lineRule="auto"/>
      <w:rPr>
        <w:sz w:val="20"/>
      </w:rPr>
    </w:pPr>
    <w:r>
      <w:rPr>
        <w:noProof/>
      </w:rPr>
      <mc:AlternateContent>
        <mc:Choice Requires="wps">
          <w:drawing>
            <wp:anchor distT="0" distB="0" distL="0" distR="0" simplePos="0" relativeHeight="475339776" behindDoc="1" locked="0" layoutInCell="1" allowOverlap="1" wp14:anchorId="24D62F2C" wp14:editId="24D62F2D">
              <wp:simplePos x="0" y="0"/>
              <wp:positionH relativeFrom="page">
                <wp:posOffset>895350</wp:posOffset>
              </wp:positionH>
              <wp:positionV relativeFrom="page">
                <wp:posOffset>9409176</wp:posOffset>
              </wp:positionV>
              <wp:extent cx="5981700" cy="1905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D5B2B" id="Graphic 270" o:spid="_x0000_s1026" style="position:absolute;margin-left:70.5pt;margin-top:740.9pt;width:471pt;height:1.5pt;z-index:-2797670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40288" behindDoc="1" locked="0" layoutInCell="1" allowOverlap="1" wp14:anchorId="24D62F2E" wp14:editId="24D62F2F">
              <wp:simplePos x="0" y="0"/>
              <wp:positionH relativeFrom="page">
                <wp:posOffset>901700</wp:posOffset>
              </wp:positionH>
              <wp:positionV relativeFrom="page">
                <wp:posOffset>9432545</wp:posOffset>
              </wp:positionV>
              <wp:extent cx="678180" cy="1816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8D"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2E" id="_x0000_t202" coordsize="21600,21600" o:spt="202" path="m,l,21600r21600,l21600,xe">
              <v:stroke joinstyle="miter"/>
              <v:path gradientshapeok="t" o:connecttype="rect"/>
            </v:shapetype>
            <v:shape id="Textbox 271" o:spid="_x0000_s1137" type="#_x0000_t202" style="position:absolute;margin-left:71pt;margin-top:742.7pt;width:53.4pt;height:14.3pt;z-index:-279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IHP2dOXAQAA&#10;IwMAAA4AAAAAAAAAAAAAAAAALgIAAGRycy9lMm9Eb2MueG1sUEsBAi0AFAAGAAgAAAAhAK5q90Ph&#10;AAAADQEAAA8AAAAAAAAAAAAAAAAA8QMAAGRycy9kb3ducmV2LnhtbFBLBQYAAAAABAAEAPMAAAD/&#10;BAAAAAA=&#10;" filled="f" stroked="f">
              <v:textbox inset="0,0,0,0">
                <w:txbxContent>
                  <w:p w14:paraId="24D6328D"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40800" behindDoc="1" locked="0" layoutInCell="1" allowOverlap="1" wp14:anchorId="24D62F30" wp14:editId="24D62F31">
              <wp:simplePos x="0" y="0"/>
              <wp:positionH relativeFrom="page">
                <wp:posOffset>2783105</wp:posOffset>
              </wp:positionH>
              <wp:positionV relativeFrom="page">
                <wp:posOffset>9432545</wp:posOffset>
              </wp:positionV>
              <wp:extent cx="2207260" cy="1816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8E"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30" id="Textbox 272" o:spid="_x0000_s1138" type="#_x0000_t202" style="position:absolute;margin-left:219.15pt;margin-top:742.7pt;width:173.8pt;height:14.3pt;z-index:-279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" filled="f" stroked="f">
              <v:textbox inset="0,0,0,0">
                <w:txbxContent>
                  <w:p w14:paraId="24D6328E"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41312" behindDoc="1" locked="0" layoutInCell="1" allowOverlap="1" wp14:anchorId="24D62F32" wp14:editId="24D62F33">
              <wp:simplePos x="0" y="0"/>
              <wp:positionH relativeFrom="page">
                <wp:posOffset>6123116</wp:posOffset>
              </wp:positionH>
              <wp:positionV relativeFrom="page">
                <wp:posOffset>9432545</wp:posOffset>
              </wp:positionV>
              <wp:extent cx="747395" cy="18161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8F" w14:textId="77777777" w:rsidR="00245300" w:rsidRDefault="00F17249">
                          <w:pPr>
                            <w:pStyle w:val="BodyText"/>
                            <w:spacing w:before="12"/>
                            <w:ind w:left="20"/>
                          </w:pPr>
                          <w:r>
                            <w:t>Page</w:t>
                          </w:r>
                          <w:r>
                            <w:rPr>
                              <w:spacing w:val="-11"/>
                            </w:rPr>
                            <w:t xml:space="preserve"> </w:t>
                          </w:r>
                          <w:r>
                            <w:t>802-</w:t>
                          </w:r>
                          <w:r>
                            <w:rPr>
                              <w:spacing w:val="-10"/>
                            </w:rPr>
                            <w:t>1</w:t>
                          </w:r>
                        </w:p>
                      </w:txbxContent>
                    </wps:txbx>
                    <wps:bodyPr wrap="square" lIns="0" tIns="0" rIns="0" bIns="0" rtlCol="0">
                      <a:noAutofit/>
                    </wps:bodyPr>
                  </wps:wsp>
                </a:graphicData>
              </a:graphic>
            </wp:anchor>
          </w:drawing>
        </mc:Choice>
        <mc:Fallback>
          <w:pict>
            <v:shape w14:anchorId="24D62F32" id="Textbox 273" o:spid="_x0000_s1139" type="#_x0000_t202" style="position:absolute;margin-left:482.15pt;margin-top:742.7pt;width:58.85pt;height:14.3pt;z-index:-279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DNQPsl&#10;mgEAACMDAAAOAAAAAAAAAAAAAAAAAC4CAABkcnMvZTJvRG9jLnhtbFBLAQItABQABgAIAAAAIQDe&#10;KHPN4gAAAA4BAAAPAAAAAAAAAAAAAAAAAPQDAABkcnMvZG93bnJldi54bWxQSwUGAAAAAAQABADz&#10;AAAAAwUAAAAA&#10;" filled="f" stroked="f">
              <v:textbox inset="0,0,0,0">
                <w:txbxContent>
                  <w:p w14:paraId="24D6328F" w14:textId="77777777" w:rsidR="00245300" w:rsidRDefault="00F17249">
                    <w:pPr>
                      <w:pStyle w:val="BodyText"/>
                      <w:spacing w:before="12"/>
                      <w:ind w:left="20"/>
                    </w:pPr>
                    <w:r>
                      <w:t>Page</w:t>
                    </w:r>
                    <w:r>
                      <w:rPr>
                        <w:spacing w:val="-11"/>
                      </w:rPr>
                      <w:t xml:space="preserve"> </w:t>
                    </w:r>
                    <w:r>
                      <w:t>802-</w:t>
                    </w:r>
                    <w:r>
                      <w:rPr>
                        <w:spacing w:val="-10"/>
                      </w:rPr>
                      <w:t>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3" w14:textId="77777777" w:rsidR="00245300" w:rsidRDefault="00F17249">
    <w:pPr>
      <w:pStyle w:val="BodyText"/>
      <w:spacing w:line="14" w:lineRule="auto"/>
      <w:rPr>
        <w:sz w:val="20"/>
      </w:rPr>
    </w:pPr>
    <w:r>
      <w:rPr>
        <w:noProof/>
      </w:rPr>
      <mc:AlternateContent>
        <mc:Choice Requires="wps">
          <w:drawing>
            <wp:anchor distT="0" distB="0" distL="0" distR="0" simplePos="0" relativeHeight="475343360" behindDoc="1" locked="0" layoutInCell="1" allowOverlap="1" wp14:anchorId="24D62F3A" wp14:editId="24D62F3B">
              <wp:simplePos x="0" y="0"/>
              <wp:positionH relativeFrom="page">
                <wp:posOffset>895350</wp:posOffset>
              </wp:positionH>
              <wp:positionV relativeFrom="page">
                <wp:posOffset>9409176</wp:posOffset>
              </wp:positionV>
              <wp:extent cx="5981700" cy="1905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93D76" id="Graphic 277" o:spid="_x0000_s1026" style="position:absolute;margin-left:70.5pt;margin-top:740.9pt;width:471pt;height:1.5pt;z-index:-27973120;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43872" behindDoc="1" locked="0" layoutInCell="1" allowOverlap="1" wp14:anchorId="24D62F3C" wp14:editId="24D62F3D">
              <wp:simplePos x="0" y="0"/>
              <wp:positionH relativeFrom="page">
                <wp:posOffset>901700</wp:posOffset>
              </wp:positionH>
              <wp:positionV relativeFrom="page">
                <wp:posOffset>9432545</wp:posOffset>
              </wp:positionV>
              <wp:extent cx="678180" cy="1816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92"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3C" id="_x0000_t202" coordsize="21600,21600" o:spt="202" path="m,l,21600r21600,l21600,xe">
              <v:stroke joinstyle="miter"/>
              <v:path gradientshapeok="t" o:connecttype="rect"/>
            </v:shapetype>
            <v:shape id="Textbox 278" o:spid="_x0000_s1141" type="#_x0000_t202" style="position:absolute;margin-left:71pt;margin-top:742.7pt;width:53.4pt;height:14.3pt;z-index:-279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3jmAEAACM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av7HGPe20F7YjEj59lI+nnQaKUYPgU2LId/LvBc7M4F&#10;puERyhPJmgK8OyRwfaFwxZ0pcBKF2fxqctS//5ep69ve/gI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eyc3jmAEA&#10;ACMDAAAOAAAAAAAAAAAAAAAAAC4CAABkcnMvZTJvRG9jLnhtbFBLAQItABQABgAIAAAAIQCuavdD&#10;4QAAAA0BAAAPAAAAAAAAAAAAAAAAAPIDAABkcnMvZG93bnJldi54bWxQSwUGAAAAAAQABADzAAAA&#10;AAUAAAAA&#10;" filled="f" stroked="f">
              <v:textbox inset="0,0,0,0">
                <w:txbxContent>
                  <w:p w14:paraId="24D63292"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44384" behindDoc="1" locked="0" layoutInCell="1" allowOverlap="1" wp14:anchorId="24D62F3E" wp14:editId="24D62F3F">
              <wp:simplePos x="0" y="0"/>
              <wp:positionH relativeFrom="page">
                <wp:posOffset>2783105</wp:posOffset>
              </wp:positionH>
              <wp:positionV relativeFrom="page">
                <wp:posOffset>9432545</wp:posOffset>
              </wp:positionV>
              <wp:extent cx="2207260" cy="18161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93"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3E" id="Textbox 279" o:spid="_x0000_s1142" type="#_x0000_t202" style="position:absolute;margin-left:219.15pt;margin-top:742.7pt;width:173.8pt;height:14.3pt;z-index:-279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JfvnDaZ&#10;AQAAJAMAAA4AAAAAAAAAAAAAAAAALgIAAGRycy9lMm9Eb2MueG1sUEsBAi0AFAAGAAgAAAAhAPpI&#10;M0XiAAAADQEAAA8AAAAAAAAAAAAAAAAA8wMAAGRycy9kb3ducmV2LnhtbFBLBQYAAAAABAAEAPMA&#10;AAACBQAAAAA=&#10;" filled="f" stroked="f">
              <v:textbox inset="0,0,0,0">
                <w:txbxContent>
                  <w:p w14:paraId="24D63293"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44896" behindDoc="1" locked="0" layoutInCell="1" allowOverlap="1" wp14:anchorId="24D62F40" wp14:editId="24D62F41">
              <wp:simplePos x="0" y="0"/>
              <wp:positionH relativeFrom="page">
                <wp:posOffset>6123116</wp:posOffset>
              </wp:positionH>
              <wp:positionV relativeFrom="page">
                <wp:posOffset>9432545</wp:posOffset>
              </wp:positionV>
              <wp:extent cx="785495" cy="18161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94" w14:textId="77777777" w:rsidR="00245300" w:rsidRDefault="00F17249">
                          <w:pPr>
                            <w:pStyle w:val="BodyText"/>
                            <w:spacing w:before="12"/>
                            <w:ind w:left="20"/>
                          </w:pPr>
                          <w:r>
                            <w:t>Page</w:t>
                          </w:r>
                          <w:r>
                            <w:rPr>
                              <w:spacing w:val="-10"/>
                            </w:rPr>
                            <w:t xml:space="preserve"> </w:t>
                          </w:r>
                          <w:r>
                            <w:t>802-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4D62F40" id="Textbox 280" o:spid="_x0000_s1143" type="#_x0000_t202" style="position:absolute;margin-left:482.15pt;margin-top:742.7pt;width:61.85pt;height:14.3pt;z-index:-279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" filled="f" stroked="f">
              <v:textbox inset="0,0,0,0">
                <w:txbxContent>
                  <w:p w14:paraId="24D63294" w14:textId="77777777" w:rsidR="00245300" w:rsidRDefault="00F17249">
                    <w:pPr>
                      <w:pStyle w:val="BodyText"/>
                      <w:spacing w:before="12"/>
                      <w:ind w:left="20"/>
                    </w:pPr>
                    <w:r>
                      <w:t>Page</w:t>
                    </w:r>
                    <w:r>
                      <w:rPr>
                        <w:spacing w:val="-10"/>
                      </w:rPr>
                      <w:t xml:space="preserve"> </w:t>
                    </w:r>
                    <w:r>
                      <w:t>802-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5" w14:textId="77777777" w:rsidR="00245300" w:rsidRDefault="00F17249">
    <w:pPr>
      <w:pStyle w:val="BodyText"/>
      <w:spacing w:line="14" w:lineRule="auto"/>
      <w:rPr>
        <w:sz w:val="20"/>
      </w:rPr>
    </w:pPr>
    <w:r>
      <w:rPr>
        <w:noProof/>
      </w:rPr>
      <mc:AlternateContent>
        <mc:Choice Requires="wps">
          <w:drawing>
            <wp:anchor distT="0" distB="0" distL="0" distR="0" simplePos="0" relativeHeight="475346432" behindDoc="1" locked="0" layoutInCell="1" allowOverlap="1" wp14:anchorId="24D62F46" wp14:editId="24D62F47">
              <wp:simplePos x="0" y="0"/>
              <wp:positionH relativeFrom="page">
                <wp:posOffset>895350</wp:posOffset>
              </wp:positionH>
              <wp:positionV relativeFrom="page">
                <wp:posOffset>9409176</wp:posOffset>
              </wp:positionV>
              <wp:extent cx="5981700" cy="1905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F1EDB1" id="Graphic 286" o:spid="_x0000_s1026" style="position:absolute;margin-left:70.5pt;margin-top:740.9pt;width:471pt;height:1.5pt;z-index:-27970048;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46944" behindDoc="1" locked="0" layoutInCell="1" allowOverlap="1" wp14:anchorId="24D62F48" wp14:editId="24D62F49">
              <wp:simplePos x="0" y="0"/>
              <wp:positionH relativeFrom="page">
                <wp:posOffset>901700</wp:posOffset>
              </wp:positionH>
              <wp:positionV relativeFrom="page">
                <wp:posOffset>9432545</wp:posOffset>
              </wp:positionV>
              <wp:extent cx="678180" cy="1816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97"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48" id="_x0000_t202" coordsize="21600,21600" o:spt="202" path="m,l,21600r21600,l21600,xe">
              <v:stroke joinstyle="miter"/>
              <v:path gradientshapeok="t" o:connecttype="rect"/>
            </v:shapetype>
            <v:shape id="Textbox 287" o:spid="_x0000_s1145" type="#_x0000_t202" style="position:absolute;margin-left:71pt;margin-top:742.7pt;width:53.4pt;height:14.3pt;z-index:-279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Drg/+mAEA&#10;ACMDAAAOAAAAAAAAAAAAAAAAAC4CAABkcnMvZTJvRG9jLnhtbFBLAQItABQABgAIAAAAIQCuavdD&#10;4QAAAA0BAAAPAAAAAAAAAAAAAAAAAPIDAABkcnMvZG93bnJldi54bWxQSwUGAAAAAAQABADzAAAA&#10;AAUAAAAA&#10;" filled="f" stroked="f">
              <v:textbox inset="0,0,0,0">
                <w:txbxContent>
                  <w:p w14:paraId="24D63297"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47456" behindDoc="1" locked="0" layoutInCell="1" allowOverlap="1" wp14:anchorId="24D62F4A" wp14:editId="24D62F4B">
              <wp:simplePos x="0" y="0"/>
              <wp:positionH relativeFrom="page">
                <wp:posOffset>2783105</wp:posOffset>
              </wp:positionH>
              <wp:positionV relativeFrom="page">
                <wp:posOffset>9432545</wp:posOffset>
              </wp:positionV>
              <wp:extent cx="2207260" cy="18161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9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4A" id="Textbox 288" o:spid="_x0000_s1146" type="#_x0000_t202" style="position:absolute;margin-left:219.15pt;margin-top:742.7pt;width:173.8pt;height:14.3pt;z-index:-279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cEbaEJgB&#10;AAAkAwAADgAAAAAAAAAAAAAAAAAuAgAAZHJzL2Uyb0RvYy54bWxQSwECLQAUAAYACAAAACEA+kgz&#10;ReIAAAANAQAADwAAAAAAAAAAAAAAAADyAwAAZHJzL2Rvd25yZXYueG1sUEsFBgAAAAAEAAQA8wAA&#10;AAEFAAAAAA==&#10;" filled="f" stroked="f">
              <v:textbox inset="0,0,0,0">
                <w:txbxContent>
                  <w:p w14:paraId="24D6329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47968" behindDoc="1" locked="0" layoutInCell="1" allowOverlap="1" wp14:anchorId="24D62F4C" wp14:editId="24D62F4D">
              <wp:simplePos x="0" y="0"/>
              <wp:positionH relativeFrom="page">
                <wp:posOffset>6123116</wp:posOffset>
              </wp:positionH>
              <wp:positionV relativeFrom="page">
                <wp:posOffset>9432545</wp:posOffset>
              </wp:positionV>
              <wp:extent cx="785495" cy="18161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99" w14:textId="77777777" w:rsidR="00245300" w:rsidRDefault="00F17249">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24D62F4C" id="Textbox 289" o:spid="_x0000_s1147" type="#_x0000_t202" style="position:absolute;margin-left:482.15pt;margin-top:742.7pt;width:61.85pt;height:14.3pt;z-index:-279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" filled="f" stroked="f">
              <v:textbox inset="0,0,0,0">
                <w:txbxContent>
                  <w:p w14:paraId="24D63299" w14:textId="77777777" w:rsidR="00245300" w:rsidRDefault="00F17249">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7" w14:textId="77777777" w:rsidR="00245300" w:rsidRDefault="00F17249">
    <w:pPr>
      <w:pStyle w:val="BodyText"/>
      <w:spacing w:line="14" w:lineRule="auto"/>
      <w:rPr>
        <w:sz w:val="20"/>
      </w:rPr>
    </w:pPr>
    <w:r>
      <w:rPr>
        <w:noProof/>
      </w:rPr>
      <mc:AlternateContent>
        <mc:Choice Requires="wps">
          <w:drawing>
            <wp:anchor distT="0" distB="0" distL="0" distR="0" simplePos="0" relativeHeight="475350016" behindDoc="1" locked="0" layoutInCell="1" allowOverlap="1" wp14:anchorId="24D62F54" wp14:editId="24D62F55">
              <wp:simplePos x="0" y="0"/>
              <wp:positionH relativeFrom="page">
                <wp:posOffset>895350</wp:posOffset>
              </wp:positionH>
              <wp:positionV relativeFrom="page">
                <wp:posOffset>9409176</wp:posOffset>
              </wp:positionV>
              <wp:extent cx="5981700" cy="1905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83864" id="Graphic 303" o:spid="_x0000_s1026" style="position:absolute;margin-left:70.5pt;margin-top:740.9pt;width:471pt;height:1.5pt;z-index:-2796646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50528" behindDoc="1" locked="0" layoutInCell="1" allowOverlap="1" wp14:anchorId="24D62F56" wp14:editId="24D62F57">
              <wp:simplePos x="0" y="0"/>
              <wp:positionH relativeFrom="page">
                <wp:posOffset>901700</wp:posOffset>
              </wp:positionH>
              <wp:positionV relativeFrom="page">
                <wp:posOffset>9432545</wp:posOffset>
              </wp:positionV>
              <wp:extent cx="678180" cy="18161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9C"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56" id="_x0000_t202" coordsize="21600,21600" o:spt="202" path="m,l,21600r21600,l21600,xe">
              <v:stroke joinstyle="miter"/>
              <v:path gradientshapeok="t" o:connecttype="rect"/>
            </v:shapetype>
            <v:shape id="Textbox 304" o:spid="_x0000_s1149" type="#_x0000_t202" style="position:absolute;margin-left:71pt;margin-top:742.7pt;width:53.4pt;height:14.3pt;z-index:-279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Kz2vuKXAQAA&#10;IwMAAA4AAAAAAAAAAAAAAAAALgIAAGRycy9lMm9Eb2MueG1sUEsBAi0AFAAGAAgAAAAhAK5q90Ph&#10;AAAADQEAAA8AAAAAAAAAAAAAAAAA8QMAAGRycy9kb3ducmV2LnhtbFBLBQYAAAAABAAEAPMAAAD/&#10;BAAAAAA=&#10;" filled="f" stroked="f">
              <v:textbox inset="0,0,0,0">
                <w:txbxContent>
                  <w:p w14:paraId="24D6329C"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51040" behindDoc="1" locked="0" layoutInCell="1" allowOverlap="1" wp14:anchorId="24D62F58" wp14:editId="24D62F59">
              <wp:simplePos x="0" y="0"/>
              <wp:positionH relativeFrom="page">
                <wp:posOffset>2783105</wp:posOffset>
              </wp:positionH>
              <wp:positionV relativeFrom="page">
                <wp:posOffset>9432545</wp:posOffset>
              </wp:positionV>
              <wp:extent cx="2207260" cy="18161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9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58" id="Textbox 305" o:spid="_x0000_s1150" type="#_x0000_t202" style="position:absolute;margin-left:219.15pt;margin-top:742.7pt;width:173.8pt;height:14.3pt;z-index:-279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OLctKpgB&#10;AAAkAwAADgAAAAAAAAAAAAAAAAAuAgAAZHJzL2Uyb0RvYy54bWxQSwECLQAUAAYACAAAACEA+kgz&#10;ReIAAAANAQAADwAAAAAAAAAAAAAAAADyAwAAZHJzL2Rvd25yZXYueG1sUEsFBgAAAAAEAAQA8wAA&#10;AAEFAAAAAA==&#10;" filled="f" stroked="f">
              <v:textbox inset="0,0,0,0">
                <w:txbxContent>
                  <w:p w14:paraId="24D6329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51552" behindDoc="1" locked="0" layoutInCell="1" allowOverlap="1" wp14:anchorId="24D62F5A" wp14:editId="24D62F5B">
              <wp:simplePos x="0" y="0"/>
              <wp:positionH relativeFrom="page">
                <wp:posOffset>6123116</wp:posOffset>
              </wp:positionH>
              <wp:positionV relativeFrom="page">
                <wp:posOffset>9432545</wp:posOffset>
              </wp:positionV>
              <wp:extent cx="785495" cy="18161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9E" w14:textId="77777777" w:rsidR="00245300" w:rsidRDefault="00F17249">
                          <w:pPr>
                            <w:pStyle w:val="BodyText"/>
                            <w:spacing w:before="12"/>
                            <w:ind w:left="20"/>
                          </w:pPr>
                          <w:r>
                            <w:t>Page</w:t>
                          </w:r>
                          <w:r>
                            <w:rPr>
                              <w:spacing w:val="-10"/>
                            </w:rPr>
                            <w:t xml:space="preserve"> </w:t>
                          </w:r>
                          <w:r>
                            <w:t>802-</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w14:anchorId="24D62F5A" id="Textbox 306" o:spid="_x0000_s1151" type="#_x0000_t202" style="position:absolute;margin-left:482.15pt;margin-top:742.7pt;width:61.85pt;height:14.3pt;z-index:-279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" filled="f" stroked="f">
              <v:textbox inset="0,0,0,0">
                <w:txbxContent>
                  <w:p w14:paraId="24D6329E" w14:textId="77777777" w:rsidR="00245300" w:rsidRDefault="00F17249">
                    <w:pPr>
                      <w:pStyle w:val="BodyText"/>
                      <w:spacing w:before="12"/>
                      <w:ind w:left="20"/>
                    </w:pPr>
                    <w:r>
                      <w:t>Page</w:t>
                    </w:r>
                    <w:r>
                      <w:rPr>
                        <w:spacing w:val="-10"/>
                      </w:rPr>
                      <w:t xml:space="preserve"> </w:t>
                    </w:r>
                    <w:r>
                      <w:t>802-</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9" w14:textId="77777777" w:rsidR="00245300" w:rsidRDefault="00F17249">
    <w:pPr>
      <w:pStyle w:val="BodyText"/>
      <w:spacing w:line="14" w:lineRule="auto"/>
      <w:rPr>
        <w:sz w:val="20"/>
      </w:rPr>
    </w:pPr>
    <w:r>
      <w:rPr>
        <w:noProof/>
      </w:rPr>
      <mc:AlternateContent>
        <mc:Choice Requires="wps">
          <w:drawing>
            <wp:anchor distT="0" distB="0" distL="0" distR="0" simplePos="0" relativeHeight="475353088" behindDoc="1" locked="0" layoutInCell="1" allowOverlap="1" wp14:anchorId="24D62F60" wp14:editId="24D62F61">
              <wp:simplePos x="0" y="0"/>
              <wp:positionH relativeFrom="page">
                <wp:posOffset>895350</wp:posOffset>
              </wp:positionH>
              <wp:positionV relativeFrom="page">
                <wp:posOffset>9409176</wp:posOffset>
              </wp:positionV>
              <wp:extent cx="5981700" cy="1905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DDA8C" id="Graphic 322" o:spid="_x0000_s1026" style="position:absolute;margin-left:70.5pt;margin-top:740.9pt;width:471pt;height:1.5pt;z-index:-27963392;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53600" behindDoc="1" locked="0" layoutInCell="1" allowOverlap="1" wp14:anchorId="24D62F62" wp14:editId="24D62F63">
              <wp:simplePos x="0" y="0"/>
              <wp:positionH relativeFrom="page">
                <wp:posOffset>901700</wp:posOffset>
              </wp:positionH>
              <wp:positionV relativeFrom="page">
                <wp:posOffset>9432545</wp:posOffset>
              </wp:positionV>
              <wp:extent cx="678180" cy="18161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A1"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62" id="_x0000_t202" coordsize="21600,21600" o:spt="202" path="m,l,21600r21600,l21600,xe">
              <v:stroke joinstyle="miter"/>
              <v:path gradientshapeok="t" o:connecttype="rect"/>
            </v:shapetype>
            <v:shape id="Textbox 323" o:spid="_x0000_s1153" type="#_x0000_t202" style="position:absolute;margin-left:71pt;margin-top:742.7pt;width:53.4pt;height:14.3pt;z-index:-279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z/mAEAACMDAAAOAAAAZHJzL2Uyb0RvYy54bWysUs2O0zAQviPxDpbv1E0l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MvHqbY8x7e2jPLGbkPBtJv44arRT958CG5fAvBV6K/aXA&#10;1H+A8kSypgD3xwTOFwo33JkCJ1GYza8mR/3nf5m6ve3db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xkXz/mAEA&#10;ACMDAAAOAAAAAAAAAAAAAAAAAC4CAABkcnMvZTJvRG9jLnhtbFBLAQItABQABgAIAAAAIQCuavdD&#10;4QAAAA0BAAAPAAAAAAAAAAAAAAAAAPIDAABkcnMvZG93bnJldi54bWxQSwUGAAAAAAQABADzAAAA&#10;AAUAAAAA&#10;" filled="f" stroked="f">
              <v:textbox inset="0,0,0,0">
                <w:txbxContent>
                  <w:p w14:paraId="24D632A1"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54112" behindDoc="1" locked="0" layoutInCell="1" allowOverlap="1" wp14:anchorId="24D62F64" wp14:editId="24D62F65">
              <wp:simplePos x="0" y="0"/>
              <wp:positionH relativeFrom="page">
                <wp:posOffset>2783105</wp:posOffset>
              </wp:positionH>
              <wp:positionV relativeFrom="page">
                <wp:posOffset>9432545</wp:posOffset>
              </wp:positionV>
              <wp:extent cx="2207260" cy="18161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A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64" id="Textbox 324" o:spid="_x0000_s1154" type="#_x0000_t202" style="position:absolute;margin-left:219.15pt;margin-top:742.7pt;width:173.8pt;height:14.3pt;z-index:-279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ZdDvN5gB&#10;AAAkAwAADgAAAAAAAAAAAAAAAAAuAgAAZHJzL2Uyb0RvYy54bWxQSwECLQAUAAYACAAAACEA+kgz&#10;ReIAAAANAQAADwAAAAAAAAAAAAAAAADyAwAAZHJzL2Rvd25yZXYueG1sUEsFBgAAAAAEAAQA8wAA&#10;AAEFAAAAAA==&#10;" filled="f" stroked="f">
              <v:textbox inset="0,0,0,0">
                <w:txbxContent>
                  <w:p w14:paraId="24D632A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54624" behindDoc="1" locked="0" layoutInCell="1" allowOverlap="1" wp14:anchorId="24D62F66" wp14:editId="24D62F67">
              <wp:simplePos x="0" y="0"/>
              <wp:positionH relativeFrom="page">
                <wp:posOffset>6045444</wp:posOffset>
              </wp:positionH>
              <wp:positionV relativeFrom="page">
                <wp:posOffset>9432545</wp:posOffset>
              </wp:positionV>
              <wp:extent cx="863600" cy="18161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2A3" w14:textId="77777777" w:rsidR="00245300" w:rsidRDefault="00F17249">
                          <w:pPr>
                            <w:pStyle w:val="BodyText"/>
                            <w:spacing w:before="12"/>
                            <w:ind w:left="20"/>
                          </w:pPr>
                          <w:r>
                            <w:t>Page</w:t>
                          </w:r>
                          <w:r>
                            <w:rPr>
                              <w:spacing w:val="-10"/>
                            </w:rPr>
                            <w:t xml:space="preserve"> </w:t>
                          </w:r>
                          <w:r>
                            <w:t>802-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2F66" id="Textbox 325" o:spid="_x0000_s1155" type="#_x0000_t202" style="position:absolute;margin-left:476pt;margin-top:742.7pt;width:68pt;height:14.3pt;z-index:-279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qw/gHZgB&#10;AAAjAwAADgAAAAAAAAAAAAAAAAAuAgAAZHJzL2Uyb0RvYy54bWxQSwECLQAUAAYACAAAACEA680r&#10;7OIAAAAOAQAADwAAAAAAAAAAAAAAAADyAwAAZHJzL2Rvd25yZXYueG1sUEsFBgAAAAAEAAQA8wAA&#10;AAEFAAAAAA==&#10;" filled="f" stroked="f">
              <v:textbox inset="0,0,0,0">
                <w:txbxContent>
                  <w:p w14:paraId="24D632A3" w14:textId="77777777" w:rsidR="00245300" w:rsidRDefault="00F17249">
                    <w:pPr>
                      <w:pStyle w:val="BodyText"/>
                      <w:spacing w:before="12"/>
                      <w:ind w:left="20"/>
                    </w:pPr>
                    <w:r>
                      <w:t>Page</w:t>
                    </w:r>
                    <w:r>
                      <w:rPr>
                        <w:spacing w:val="-10"/>
                      </w:rPr>
                      <w:t xml:space="preserve"> </w:t>
                    </w:r>
                    <w:r>
                      <w:t>802-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B" w14:textId="77777777" w:rsidR="00245300" w:rsidRDefault="00F17249">
    <w:pPr>
      <w:pStyle w:val="BodyText"/>
      <w:spacing w:line="14" w:lineRule="auto"/>
      <w:rPr>
        <w:sz w:val="20"/>
      </w:rPr>
    </w:pPr>
    <w:r>
      <w:rPr>
        <w:noProof/>
      </w:rPr>
      <mc:AlternateContent>
        <mc:Choice Requires="wps">
          <w:drawing>
            <wp:anchor distT="0" distB="0" distL="0" distR="0" simplePos="0" relativeHeight="475356672" behindDoc="1" locked="0" layoutInCell="1" allowOverlap="1" wp14:anchorId="24D62F6E" wp14:editId="24D62F6F">
              <wp:simplePos x="0" y="0"/>
              <wp:positionH relativeFrom="page">
                <wp:posOffset>895350</wp:posOffset>
              </wp:positionH>
              <wp:positionV relativeFrom="page">
                <wp:posOffset>9409176</wp:posOffset>
              </wp:positionV>
              <wp:extent cx="5981700" cy="1905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E42B4" id="Graphic 389" o:spid="_x0000_s1026" style="position:absolute;margin-left:70.5pt;margin-top:740.9pt;width:471pt;height:1.5pt;z-index:-27959808;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57184" behindDoc="1" locked="0" layoutInCell="1" allowOverlap="1" wp14:anchorId="24D62F70" wp14:editId="24D62F71">
              <wp:simplePos x="0" y="0"/>
              <wp:positionH relativeFrom="page">
                <wp:posOffset>901700</wp:posOffset>
              </wp:positionH>
              <wp:positionV relativeFrom="page">
                <wp:posOffset>9432545</wp:posOffset>
              </wp:positionV>
              <wp:extent cx="678180" cy="18161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A6"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70" id="_x0000_t202" coordsize="21600,21600" o:spt="202" path="m,l,21600r21600,l21600,xe">
              <v:stroke joinstyle="miter"/>
              <v:path gradientshapeok="t" o:connecttype="rect"/>
            </v:shapetype>
            <v:shape id="Textbox 390" o:spid="_x0000_s1157" type="#_x0000_t202" style="position:absolute;margin-left:71pt;margin-top:742.7pt;width:53.4pt;height:14.3pt;z-index:-279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BY4OtmXAQAA&#10;IwMAAA4AAAAAAAAAAAAAAAAALgIAAGRycy9lMm9Eb2MueG1sUEsBAi0AFAAGAAgAAAAhAK5q90Ph&#10;AAAADQEAAA8AAAAAAAAAAAAAAAAA8QMAAGRycy9kb3ducmV2LnhtbFBLBQYAAAAABAAEAPMAAAD/&#10;BAAAAAA=&#10;" filled="f" stroked="f">
              <v:textbox inset="0,0,0,0">
                <w:txbxContent>
                  <w:p w14:paraId="24D632A6"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57696" behindDoc="1" locked="0" layoutInCell="1" allowOverlap="1" wp14:anchorId="24D62F72" wp14:editId="24D62F73">
              <wp:simplePos x="0" y="0"/>
              <wp:positionH relativeFrom="page">
                <wp:posOffset>2783105</wp:posOffset>
              </wp:positionH>
              <wp:positionV relativeFrom="page">
                <wp:posOffset>9432545</wp:posOffset>
              </wp:positionV>
              <wp:extent cx="2207260" cy="18161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A7"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72" id="Textbox 391" o:spid="_x0000_s1158" type="#_x0000_t202" style="position:absolute;margin-left:219.15pt;margin-top:742.7pt;width:173.8pt;height:14.3pt;z-index:-279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XX+9IZgB&#10;AAAkAwAADgAAAAAAAAAAAAAAAAAuAgAAZHJzL2Uyb0RvYy54bWxQSwECLQAUAAYACAAAACEA+kgz&#10;ReIAAAANAQAADwAAAAAAAAAAAAAAAADyAwAAZHJzL2Rvd25yZXYueG1sUEsFBgAAAAAEAAQA8wAA&#10;AAEFAAAAAA==&#10;" filled="f" stroked="f">
              <v:textbox inset="0,0,0,0">
                <w:txbxContent>
                  <w:p w14:paraId="24D632A7"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58208" behindDoc="1" locked="0" layoutInCell="1" allowOverlap="1" wp14:anchorId="24D62F74" wp14:editId="24D62F75">
              <wp:simplePos x="0" y="0"/>
              <wp:positionH relativeFrom="page">
                <wp:posOffset>6045444</wp:posOffset>
              </wp:positionH>
              <wp:positionV relativeFrom="page">
                <wp:posOffset>9432545</wp:posOffset>
              </wp:positionV>
              <wp:extent cx="863600" cy="18161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2A8" w14:textId="77777777" w:rsidR="00245300" w:rsidRDefault="00F17249">
                          <w:pPr>
                            <w:pStyle w:val="BodyText"/>
                            <w:spacing w:before="12"/>
                            <w:ind w:left="20"/>
                          </w:pPr>
                          <w:r>
                            <w:t>Page</w:t>
                          </w:r>
                          <w:r>
                            <w:rPr>
                              <w:spacing w:val="-10"/>
                            </w:rPr>
                            <w:t xml:space="preserve"> </w:t>
                          </w:r>
                          <w:r>
                            <w:t>802-</w:t>
                          </w: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w14:anchorId="24D62F74" id="Textbox 392" o:spid="_x0000_s1159" type="#_x0000_t202" style="position:absolute;margin-left:476pt;margin-top:742.7pt;width:68pt;height:14.3pt;z-index:-279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" filled="f" stroked="f">
              <v:textbox inset="0,0,0,0">
                <w:txbxContent>
                  <w:p w14:paraId="24D632A8" w14:textId="77777777" w:rsidR="00245300" w:rsidRDefault="00F17249">
                    <w:pPr>
                      <w:pStyle w:val="BodyText"/>
                      <w:spacing w:before="12"/>
                      <w:ind w:left="20"/>
                    </w:pPr>
                    <w:r>
                      <w:t>Page</w:t>
                    </w:r>
                    <w:r>
                      <w:rPr>
                        <w:spacing w:val="-10"/>
                      </w:rPr>
                      <w:t xml:space="preserve"> </w:t>
                    </w:r>
                    <w:r>
                      <w:t>802-</w:t>
                    </w: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D" w14:textId="77777777" w:rsidR="00245300" w:rsidRDefault="00F17249">
    <w:pPr>
      <w:pStyle w:val="BodyText"/>
      <w:spacing w:line="14" w:lineRule="auto"/>
      <w:rPr>
        <w:sz w:val="20"/>
      </w:rPr>
    </w:pPr>
    <w:r>
      <w:rPr>
        <w:noProof/>
      </w:rPr>
      <mc:AlternateContent>
        <mc:Choice Requires="wps">
          <w:drawing>
            <wp:anchor distT="0" distB="0" distL="0" distR="0" simplePos="0" relativeHeight="475360256" behindDoc="1" locked="0" layoutInCell="1" allowOverlap="1" wp14:anchorId="24D62F7C" wp14:editId="24D62F7D">
              <wp:simplePos x="0" y="0"/>
              <wp:positionH relativeFrom="page">
                <wp:posOffset>666750</wp:posOffset>
              </wp:positionH>
              <wp:positionV relativeFrom="page">
                <wp:posOffset>7108697</wp:posOffset>
              </wp:positionV>
              <wp:extent cx="8496300" cy="1905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49"/>
                            </a:lnTo>
                            <a:lnTo>
                              <a:pt x="8496300" y="19049"/>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C45EC" id="Graphic 396" o:spid="_x0000_s1026" style="position:absolute;margin-left:52.5pt;margin-top:559.75pt;width:669pt;height:1.5pt;z-index:-27956224;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" path="m8496300,l,,,19049r8496300,l8496300,xe" fillcolor="black" stroked="f">
              <v:path arrowok="t"/>
              <w10:wrap anchorx="page" anchory="page"/>
            </v:shape>
          </w:pict>
        </mc:Fallback>
      </mc:AlternateContent>
    </w:r>
    <w:r>
      <w:rPr>
        <w:noProof/>
      </w:rPr>
      <mc:AlternateContent>
        <mc:Choice Requires="wps">
          <w:drawing>
            <wp:anchor distT="0" distB="0" distL="0" distR="0" simplePos="0" relativeHeight="475360768" behindDoc="1" locked="0" layoutInCell="1" allowOverlap="1" wp14:anchorId="24D62F7E" wp14:editId="24D62F7F">
              <wp:simplePos x="0" y="0"/>
              <wp:positionH relativeFrom="page">
                <wp:posOffset>8287004</wp:posOffset>
              </wp:positionH>
              <wp:positionV relativeFrom="page">
                <wp:posOffset>7132532</wp:posOffset>
              </wp:positionV>
              <wp:extent cx="850900" cy="19621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196215"/>
                      </a:xfrm>
                      <a:prstGeom prst="rect">
                        <a:avLst/>
                      </a:prstGeom>
                    </wps:spPr>
                    <wps:txbx>
                      <w:txbxContent>
                        <w:p w14:paraId="24D632AB" w14:textId="77777777" w:rsidR="00245300" w:rsidRDefault="00F17249">
                          <w:pPr>
                            <w:spacing w:before="12"/>
                            <w:ind w:left="20"/>
                            <w:rPr>
                              <w:sz w:val="24"/>
                            </w:rPr>
                          </w:pPr>
                          <w:r>
                            <w:rPr>
                              <w:sz w:val="24"/>
                            </w:rPr>
                            <w:t>Page</w:t>
                          </w:r>
                          <w:r>
                            <w:rPr>
                              <w:spacing w:val="-6"/>
                              <w:sz w:val="24"/>
                            </w:rPr>
                            <w:t xml:space="preserve"> </w:t>
                          </w:r>
                          <w:r>
                            <w:rPr>
                              <w:sz w:val="24"/>
                            </w:rPr>
                            <w:t>803-</w:t>
                          </w: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w14:anchorId="24D62F7E" id="_x0000_t202" coordsize="21600,21600" o:spt="202" path="m,l,21600r21600,l21600,xe">
              <v:stroke joinstyle="miter"/>
              <v:path gradientshapeok="t" o:connecttype="rect"/>
            </v:shapetype>
            <v:shape id="Textbox 397" o:spid="_x0000_s1161" type="#_x0000_t202" style="position:absolute;margin-left:652.5pt;margin-top:561.6pt;width:67pt;height:15.45pt;z-index:-279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" filled="f" stroked="f">
              <v:textbox inset="0,0,0,0">
                <w:txbxContent>
                  <w:p w14:paraId="24D632AB" w14:textId="77777777" w:rsidR="00245300" w:rsidRDefault="00F17249">
                    <w:pPr>
                      <w:spacing w:before="12"/>
                      <w:ind w:left="20"/>
                      <w:rPr>
                        <w:sz w:val="24"/>
                      </w:rPr>
                    </w:pPr>
                    <w:r>
                      <w:rPr>
                        <w:sz w:val="24"/>
                      </w:rPr>
                      <w:t>Page</w:t>
                    </w:r>
                    <w:r>
                      <w:rPr>
                        <w:spacing w:val="-6"/>
                        <w:sz w:val="24"/>
                      </w:rPr>
                      <w:t xml:space="preserve"> </w:t>
                    </w:r>
                    <w:r>
                      <w:rPr>
                        <w:sz w:val="24"/>
                      </w:rPr>
                      <w:t>803-</w:t>
                    </w: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75361280" behindDoc="1" locked="0" layoutInCell="1" allowOverlap="1" wp14:anchorId="24D62F80" wp14:editId="24D62F81">
              <wp:simplePos x="0" y="0"/>
              <wp:positionH relativeFrom="page">
                <wp:posOffset>673100</wp:posOffset>
              </wp:positionH>
              <wp:positionV relativeFrom="page">
                <wp:posOffset>7144259</wp:posOffset>
              </wp:positionV>
              <wp:extent cx="678180" cy="18161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AC"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 w14:anchorId="24D62F80" id="Textbox 398" o:spid="_x0000_s1162" type="#_x0000_t202" style="position:absolute;margin-left:53pt;margin-top:562.55pt;width:53.4pt;height:14.3pt;z-index:-279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lmmAEAACMDAAAOAAAAZHJzL2Uyb0RvYy54bWysUs2O0zAQviPxDpbvNM2C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" filled="f" stroked="f">
              <v:textbox inset="0,0,0,0">
                <w:txbxContent>
                  <w:p w14:paraId="24D632AC"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61792" behindDoc="1" locked="0" layoutInCell="1" allowOverlap="1" wp14:anchorId="24D62F82" wp14:editId="24D62F83">
              <wp:simplePos x="0" y="0"/>
              <wp:positionH relativeFrom="page">
                <wp:posOffset>3697478</wp:posOffset>
              </wp:positionH>
              <wp:positionV relativeFrom="page">
                <wp:posOffset>7144259</wp:posOffset>
              </wp:positionV>
              <wp:extent cx="2206625" cy="18161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A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82" id="Textbox 399" o:spid="_x0000_s1163" type="#_x0000_t202" style="position:absolute;margin-left:291.15pt;margin-top:562.55pt;width:173.75pt;height:14.3pt;z-index:-279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MUmQEAACQDAAAOAAAAZHJzL2Uyb0RvYy54bWysUt1u2yAUvp+0d0DcL9ieGlV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" filled="f" stroked="f">
              <v:textbox inset="0,0,0,0">
                <w:txbxContent>
                  <w:p w14:paraId="24D632A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F" w14:textId="77777777" w:rsidR="00245300" w:rsidRDefault="00F17249">
    <w:pPr>
      <w:pStyle w:val="BodyText"/>
      <w:spacing w:line="14" w:lineRule="auto"/>
      <w:rPr>
        <w:sz w:val="20"/>
      </w:rPr>
    </w:pPr>
    <w:r>
      <w:rPr>
        <w:noProof/>
      </w:rPr>
      <mc:AlternateContent>
        <mc:Choice Requires="wps">
          <w:drawing>
            <wp:anchor distT="0" distB="0" distL="0" distR="0" simplePos="0" relativeHeight="475363840" behindDoc="1" locked="0" layoutInCell="1" allowOverlap="1" wp14:anchorId="24D62F8A" wp14:editId="24D62F8B">
              <wp:simplePos x="0" y="0"/>
              <wp:positionH relativeFrom="page">
                <wp:posOffset>895350</wp:posOffset>
              </wp:positionH>
              <wp:positionV relativeFrom="page">
                <wp:posOffset>9409176</wp:posOffset>
              </wp:positionV>
              <wp:extent cx="5981700" cy="1905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04F34F" id="Graphic 421" o:spid="_x0000_s1026" style="position:absolute;margin-left:70.5pt;margin-top:740.9pt;width:471pt;height:1.5pt;z-index:-27952640;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64352" behindDoc="1" locked="0" layoutInCell="1" allowOverlap="1" wp14:anchorId="24D62F8C" wp14:editId="24D62F8D">
              <wp:simplePos x="0" y="0"/>
              <wp:positionH relativeFrom="page">
                <wp:posOffset>901700</wp:posOffset>
              </wp:positionH>
              <wp:positionV relativeFrom="page">
                <wp:posOffset>9432545</wp:posOffset>
              </wp:positionV>
              <wp:extent cx="678180" cy="18161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B0"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8C" id="_x0000_t202" coordsize="21600,21600" o:spt="202" path="m,l,21600r21600,l21600,xe">
              <v:stroke joinstyle="miter"/>
              <v:path gradientshapeok="t" o:connecttype="rect"/>
            </v:shapetype>
            <v:shape id="Textbox 422" o:spid="_x0000_s1165" type="#_x0000_t202" style="position:absolute;margin-left:71pt;margin-top:742.7pt;width:53.4pt;height:14.3pt;z-index:-279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z0mAEAACMDAAAOAAAAZHJzL2Uyb0RvYy54bWysUs2O0zAQviPxDpbv1M0i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l5Pe3Oca8t4P2xGJGzrOR9Pug0UoxfA1sWA7/XOC52J0L&#10;TMMnKE8kawrw4ZDA9YXCFXemwEkUZvOryVH//V+mrm97+wc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UWez0mAEA&#10;ACMDAAAOAAAAAAAAAAAAAAAAAC4CAABkcnMvZTJvRG9jLnhtbFBLAQItABQABgAIAAAAIQCuavdD&#10;4QAAAA0BAAAPAAAAAAAAAAAAAAAAAPIDAABkcnMvZG93bnJldi54bWxQSwUGAAAAAAQABADzAAAA&#10;AAUAAAAA&#10;" filled="f" stroked="f">
              <v:textbox inset="0,0,0,0">
                <w:txbxContent>
                  <w:p w14:paraId="24D632B0"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64864" behindDoc="1" locked="0" layoutInCell="1" allowOverlap="1" wp14:anchorId="24D62F8E" wp14:editId="24D62F8F">
              <wp:simplePos x="0" y="0"/>
              <wp:positionH relativeFrom="page">
                <wp:posOffset>2783105</wp:posOffset>
              </wp:positionH>
              <wp:positionV relativeFrom="page">
                <wp:posOffset>9432545</wp:posOffset>
              </wp:positionV>
              <wp:extent cx="2206625" cy="18161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B1"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8E" id="Textbox 423" o:spid="_x0000_s1166" type="#_x0000_t202" style="position:absolute;margin-left:219.15pt;margin-top:742.7pt;width:173.75pt;height:14.3pt;z-index:-27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DmQEAACQDAAAOAAAAZHJzL2Uyb0RvYy54bWysUt2OEyEUvjfxHQj3lpkxNs2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x5mis3pTr+tiuLjdDhHTJw2O5aLj&#10;kfIqDOTpEVN+X7aXloXM8/uZSZr3M7M9Ib/d5Bzz3h76M6mZKNCO46+jjJqz8bMnx3L6lyJeiv2l&#10;iGn8AOWPZFEe7o8JjC0UbrgLBYqiMFu+Tc76z3Xpun3u3W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Bj++UOZ&#10;AQAAJAMAAA4AAAAAAAAAAAAAAAAALgIAAGRycy9lMm9Eb2MueG1sUEsBAi0AFAAGAAgAAAAhAN6R&#10;NCbiAAAADQEAAA8AAAAAAAAAAAAAAAAA8wMAAGRycy9kb3ducmV2LnhtbFBLBQYAAAAABAAEAPMA&#10;AAACBQAAAAA=&#10;" filled="f" stroked="f">
              <v:textbox inset="0,0,0,0">
                <w:txbxContent>
                  <w:p w14:paraId="24D632B1"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65376" behindDoc="1" locked="0" layoutInCell="1" allowOverlap="1" wp14:anchorId="24D62F90" wp14:editId="24D62F91">
              <wp:simplePos x="0" y="0"/>
              <wp:positionH relativeFrom="page">
                <wp:posOffset>6122837</wp:posOffset>
              </wp:positionH>
              <wp:positionV relativeFrom="page">
                <wp:posOffset>9432545</wp:posOffset>
              </wp:positionV>
              <wp:extent cx="785495" cy="18161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B2" w14:textId="77777777" w:rsidR="00245300" w:rsidRDefault="00F17249">
                          <w:pPr>
                            <w:pStyle w:val="BodyText"/>
                            <w:spacing w:before="12"/>
                            <w:ind w:left="20"/>
                          </w:pPr>
                          <w:r>
                            <w:t>Page</w:t>
                          </w:r>
                          <w:r>
                            <w:rPr>
                              <w:spacing w:val="-11"/>
                            </w:rPr>
                            <w:t xml:space="preserve"> </w:t>
                          </w:r>
                          <w:r>
                            <w:t>803-</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24D62F90" id="Textbox 424" o:spid="_x0000_s1167" type="#_x0000_t202" style="position:absolute;margin-left:482.1pt;margin-top:742.7pt;width:61.85pt;height:14.3pt;z-index:-279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T91Q&#10;aZoBAAAjAwAADgAAAAAAAAAAAAAAAAAuAgAAZHJzL2Uyb0RvYy54bWxQSwECLQAUAAYACAAAACEA&#10;Y3QTQuMAAAAOAQAADwAAAAAAAAAAAAAAAAD0AwAAZHJzL2Rvd25yZXYueG1sUEsFBgAAAAAEAAQA&#10;8wAAAAQFAAAAAA==&#10;" filled="f" stroked="f">
              <v:textbox inset="0,0,0,0">
                <w:txbxContent>
                  <w:p w14:paraId="24D632B2" w14:textId="77777777" w:rsidR="00245300" w:rsidRDefault="00F17249">
                    <w:pPr>
                      <w:pStyle w:val="BodyText"/>
                      <w:spacing w:before="12"/>
                      <w:ind w:left="20"/>
                    </w:pPr>
                    <w:r>
                      <w:t>Page</w:t>
                    </w:r>
                    <w:r>
                      <w:rPr>
                        <w:spacing w:val="-11"/>
                      </w:rPr>
                      <w:t xml:space="preserve"> </w:t>
                    </w:r>
                    <w:r>
                      <w:t>803-</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9" w14:textId="77777777" w:rsidR="00245300" w:rsidRDefault="00245300">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1" w14:textId="77777777" w:rsidR="00245300" w:rsidRDefault="00F17249">
    <w:pPr>
      <w:pStyle w:val="BodyText"/>
      <w:spacing w:line="14" w:lineRule="auto"/>
      <w:rPr>
        <w:sz w:val="20"/>
      </w:rPr>
    </w:pPr>
    <w:r>
      <w:rPr>
        <w:noProof/>
      </w:rPr>
      <mc:AlternateContent>
        <mc:Choice Requires="wps">
          <w:drawing>
            <wp:anchor distT="0" distB="0" distL="0" distR="0" simplePos="0" relativeHeight="475367424" behindDoc="1" locked="0" layoutInCell="1" allowOverlap="1" wp14:anchorId="24D62F98" wp14:editId="24D62F99">
              <wp:simplePos x="0" y="0"/>
              <wp:positionH relativeFrom="page">
                <wp:posOffset>666750</wp:posOffset>
              </wp:positionH>
              <wp:positionV relativeFrom="page">
                <wp:posOffset>7123176</wp:posOffset>
              </wp:positionV>
              <wp:extent cx="8496300" cy="1905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3F0BB" id="Graphic 428" o:spid="_x0000_s1026" style="position:absolute;margin-left:52.5pt;margin-top:560.9pt;width:669pt;height:1.5pt;z-index:-27949056;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rPr>
      <mc:AlternateContent>
        <mc:Choice Requires="wps">
          <w:drawing>
            <wp:anchor distT="0" distB="0" distL="0" distR="0" simplePos="0" relativeHeight="475367936" behindDoc="1" locked="0" layoutInCell="1" allowOverlap="1" wp14:anchorId="24D62F9A" wp14:editId="24D62F9B">
              <wp:simplePos x="0" y="0"/>
              <wp:positionH relativeFrom="page">
                <wp:posOffset>673100</wp:posOffset>
              </wp:positionH>
              <wp:positionV relativeFrom="page">
                <wp:posOffset>7146545</wp:posOffset>
              </wp:positionV>
              <wp:extent cx="678180" cy="18161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B5"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9A" id="_x0000_t202" coordsize="21600,21600" o:spt="202" path="m,l,21600r21600,l21600,xe">
              <v:stroke joinstyle="miter"/>
              <v:path gradientshapeok="t" o:connecttype="rect"/>
            </v:shapetype>
            <v:shape id="Textbox 429" o:spid="_x0000_s1169" type="#_x0000_t202" style="position:absolute;margin-left:53pt;margin-top:562.7pt;width:53.4pt;height:14.3pt;z-index:-279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r9mAEAACMDAAAOAAAAZHJzL2Uyb0RvYy54bWysUs2O0zAQviPtO1i+b92sV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e+rHGPe20F7YjEj59lI+nnQaKUYPgU2LId/LvBc7M4F&#10;puERyhPJmgK8OyRwfaFwxZ0pcBKF2fxqctS//5ep69ve/gI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AV7pr9mAEA&#10;ACMDAAAOAAAAAAAAAAAAAAAAAC4CAABkcnMvZTJvRG9jLnhtbFBLAQItABQABgAIAAAAIQCOyORU&#10;4QAAAA0BAAAPAAAAAAAAAAAAAAAAAPIDAABkcnMvZG93bnJldi54bWxQSwUGAAAAAAQABADzAAAA&#10;AAUAAAAA&#10;" filled="f" stroked="f">
              <v:textbox inset="0,0,0,0">
                <w:txbxContent>
                  <w:p w14:paraId="24D632B5"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68448" behindDoc="1" locked="0" layoutInCell="1" allowOverlap="1" wp14:anchorId="24D62F9C" wp14:editId="24D62F9D">
              <wp:simplePos x="0" y="0"/>
              <wp:positionH relativeFrom="page">
                <wp:posOffset>3794459</wp:posOffset>
              </wp:positionH>
              <wp:positionV relativeFrom="page">
                <wp:posOffset>7146545</wp:posOffset>
              </wp:positionV>
              <wp:extent cx="2206625" cy="181610"/>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B6"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9C" id="Textbox 430" o:spid="_x0000_s1170" type="#_x0000_t202" style="position:absolute;margin-left:298.8pt;margin-top:562.7pt;width:173.75pt;height:14.3pt;z-index:-279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smQEAACQDAAAOAAAAZHJzL2Uyb0RvYy54bWysUt1u2yAUvp/Ud0DcN9hWF1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" filled="f" stroked="f">
              <v:textbox inset="0,0,0,0">
                <w:txbxContent>
                  <w:p w14:paraId="24D632B6"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68960" behindDoc="1" locked="0" layoutInCell="1" allowOverlap="1" wp14:anchorId="24D62F9E" wp14:editId="24D62F9F">
              <wp:simplePos x="0" y="0"/>
              <wp:positionH relativeFrom="page">
                <wp:posOffset>8351973</wp:posOffset>
              </wp:positionH>
              <wp:positionV relativeFrom="page">
                <wp:posOffset>7146545</wp:posOffset>
              </wp:positionV>
              <wp:extent cx="785495" cy="18161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B7" w14:textId="77777777" w:rsidR="00245300" w:rsidRDefault="00F17249">
                          <w:pPr>
                            <w:pStyle w:val="BodyText"/>
                            <w:spacing w:before="12"/>
                            <w:ind w:left="20"/>
                          </w:pPr>
                          <w:r>
                            <w:t>Page</w:t>
                          </w:r>
                          <w:r>
                            <w:rPr>
                              <w:spacing w:val="-12"/>
                            </w:rPr>
                            <w:t xml:space="preserve"> </w:t>
                          </w:r>
                          <w:r>
                            <w:t>804-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F9E" id="Textbox 431" o:spid="_x0000_s1171" type="#_x0000_t202" style="position:absolute;margin-left:657.65pt;margin-top:562.7pt;width:61.85pt;height:14.3pt;z-index:-279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" filled="f" stroked="f">
              <v:textbox inset="0,0,0,0">
                <w:txbxContent>
                  <w:p w14:paraId="24D632B7" w14:textId="77777777" w:rsidR="00245300" w:rsidRDefault="00F17249">
                    <w:pPr>
                      <w:pStyle w:val="BodyText"/>
                      <w:spacing w:before="12"/>
                      <w:ind w:left="20"/>
                    </w:pPr>
                    <w:r>
                      <w:t>Page</w:t>
                    </w:r>
                    <w:r>
                      <w:rPr>
                        <w:spacing w:val="-12"/>
                      </w:rPr>
                      <w:t xml:space="preserve"> </w:t>
                    </w:r>
                    <w:r>
                      <w:t>804-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3" w14:textId="77777777" w:rsidR="00245300" w:rsidRDefault="00F17249">
    <w:pPr>
      <w:pStyle w:val="BodyText"/>
      <w:spacing w:line="14" w:lineRule="auto"/>
      <w:rPr>
        <w:sz w:val="20"/>
      </w:rPr>
    </w:pPr>
    <w:r>
      <w:rPr>
        <w:noProof/>
      </w:rPr>
      <mc:AlternateContent>
        <mc:Choice Requires="wps">
          <w:drawing>
            <wp:anchor distT="0" distB="0" distL="0" distR="0" simplePos="0" relativeHeight="475370496" behindDoc="1" locked="0" layoutInCell="1" allowOverlap="1" wp14:anchorId="24D62FA4" wp14:editId="24D62FA5">
              <wp:simplePos x="0" y="0"/>
              <wp:positionH relativeFrom="page">
                <wp:posOffset>895350</wp:posOffset>
              </wp:positionH>
              <wp:positionV relativeFrom="page">
                <wp:posOffset>9409176</wp:posOffset>
              </wp:positionV>
              <wp:extent cx="5981700" cy="1905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63BA15" id="Graphic 474" o:spid="_x0000_s1026" style="position:absolute;margin-left:70.5pt;margin-top:740.9pt;width:471pt;height:1.5pt;z-index:-2794598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71008" behindDoc="1" locked="0" layoutInCell="1" allowOverlap="1" wp14:anchorId="24D62FA6" wp14:editId="24D62FA7">
              <wp:simplePos x="0" y="0"/>
              <wp:positionH relativeFrom="page">
                <wp:posOffset>901700</wp:posOffset>
              </wp:positionH>
              <wp:positionV relativeFrom="page">
                <wp:posOffset>9432545</wp:posOffset>
              </wp:positionV>
              <wp:extent cx="678180" cy="18161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BA"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A6" id="_x0000_t202" coordsize="21600,21600" o:spt="202" path="m,l,21600r21600,l21600,xe">
              <v:stroke joinstyle="miter"/>
              <v:path gradientshapeok="t" o:connecttype="rect"/>
            </v:shapetype>
            <v:shape id="Textbox 475" o:spid="_x0000_s1173" type="#_x0000_t202" style="position:absolute;margin-left:71pt;margin-top:742.7pt;width:53.4pt;height:14.3pt;z-index:-279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jgmAEAACMDAAAOAAAAZHJzL2Uyb0RvYy54bWysUs2O0zAQviPxDpbvNM0K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cx8tt3Oca8t4PuxGJGzrOV9Pug0EgxfA1sWA7/XOC52J0L&#10;TMMnKE8kawrw4ZDAukLhijtT4CQKs/nV5Kj//i9T17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IiVjgmAEA&#10;ACMDAAAOAAAAAAAAAAAAAAAAAC4CAABkcnMvZTJvRG9jLnhtbFBLAQItABQABgAIAAAAIQCuavdD&#10;4QAAAA0BAAAPAAAAAAAAAAAAAAAAAPIDAABkcnMvZG93bnJldi54bWxQSwUGAAAAAAQABADzAAAA&#10;AAUAAAAA&#10;" filled="f" stroked="f">
              <v:textbox inset="0,0,0,0">
                <w:txbxContent>
                  <w:p w14:paraId="24D632BA"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71520" behindDoc="1" locked="0" layoutInCell="1" allowOverlap="1" wp14:anchorId="24D62FA8" wp14:editId="24D62FA9">
              <wp:simplePos x="0" y="0"/>
              <wp:positionH relativeFrom="page">
                <wp:posOffset>2783105</wp:posOffset>
              </wp:positionH>
              <wp:positionV relativeFrom="page">
                <wp:posOffset>9432545</wp:posOffset>
              </wp:positionV>
              <wp:extent cx="2206625" cy="18161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B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A8" id="Textbox 476" o:spid="_x0000_s1174" type="#_x0000_t202" style="position:absolute;margin-left:219.15pt;margin-top:742.7pt;width:173.75pt;height:14.3pt;z-index:-279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txmAEAACQDAAAOAAAAZHJzL2Uyb0RvYy54bWysUt2O1CAUvjfxHQj3Dm2jzaa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s3nCk6q+/qti6Gi9vtEDF91OBYLnoe&#10;Ka/CQJ4eMeX3ZXdpWck8v5+ZpGW/MDsQ8us255j39jCcSc1MgfYcfx5l1JxNnzw5ltO/FPFS7C9F&#10;TNN7KH8ki/Lw9pjA2ELhhrtSoCgKs/Xb5Kx/X5eu2+fe/Q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I4cLcZgB&#10;AAAkAwAADgAAAAAAAAAAAAAAAAAuAgAAZHJzL2Uyb0RvYy54bWxQSwECLQAUAAYACAAAACEA3pE0&#10;JuIAAAANAQAADwAAAAAAAAAAAAAAAADyAwAAZHJzL2Rvd25yZXYueG1sUEsFBgAAAAAEAAQA8wAA&#10;AAEFAAAAAA==&#10;" filled="f" stroked="f">
              <v:textbox inset="0,0,0,0">
                <w:txbxContent>
                  <w:p w14:paraId="24D632B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72032" behindDoc="1" locked="0" layoutInCell="1" allowOverlap="1" wp14:anchorId="24D62FAA" wp14:editId="24D62FAB">
              <wp:simplePos x="0" y="0"/>
              <wp:positionH relativeFrom="page">
                <wp:posOffset>6122837</wp:posOffset>
              </wp:positionH>
              <wp:positionV relativeFrom="page">
                <wp:posOffset>9432545</wp:posOffset>
              </wp:positionV>
              <wp:extent cx="785495" cy="18161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BC" w14:textId="77777777" w:rsidR="00245300" w:rsidRDefault="00F17249">
                          <w:pPr>
                            <w:pStyle w:val="BodyText"/>
                            <w:spacing w:before="12"/>
                            <w:ind w:left="20"/>
                          </w:pPr>
                          <w:r>
                            <w:t>Page</w:t>
                          </w:r>
                          <w:r>
                            <w:rPr>
                              <w:spacing w:val="-11"/>
                            </w:rPr>
                            <w:t xml:space="preserve"> </w:t>
                          </w:r>
                          <w:r>
                            <w:t>804-</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w14:anchorId="24D62FAA" id="Textbox 477" o:spid="_x0000_s1175" type="#_x0000_t202" style="position:absolute;margin-left:482.1pt;margin-top:742.7pt;width:61.85pt;height:14.3pt;z-index:-279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B0pKJb&#10;mQEAACMDAAAOAAAAAAAAAAAAAAAAAC4CAABkcnMvZTJvRG9jLnhtbFBLAQItABQABgAIAAAAIQBj&#10;dBNC4wAAAA4BAAAPAAAAAAAAAAAAAAAAAPMDAABkcnMvZG93bnJldi54bWxQSwUGAAAAAAQABADz&#10;AAAAAwUAAAAA&#10;" filled="f" stroked="f">
              <v:textbox inset="0,0,0,0">
                <w:txbxContent>
                  <w:p w14:paraId="24D632BC" w14:textId="77777777" w:rsidR="00245300" w:rsidRDefault="00F17249">
                    <w:pPr>
                      <w:pStyle w:val="BodyText"/>
                      <w:spacing w:before="12"/>
                      <w:ind w:left="20"/>
                    </w:pPr>
                    <w:r>
                      <w:t>Page</w:t>
                    </w:r>
                    <w:r>
                      <w:rPr>
                        <w:spacing w:val="-11"/>
                      </w:rPr>
                      <w:t xml:space="preserve"> </w:t>
                    </w:r>
                    <w:r>
                      <w:t>804-</w:t>
                    </w: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5" w14:textId="77777777" w:rsidR="00245300" w:rsidRDefault="00F17249">
    <w:pPr>
      <w:pStyle w:val="BodyText"/>
      <w:spacing w:line="14" w:lineRule="auto"/>
      <w:rPr>
        <w:sz w:val="20"/>
      </w:rPr>
    </w:pPr>
    <w:r>
      <w:rPr>
        <w:noProof/>
      </w:rPr>
      <mc:AlternateContent>
        <mc:Choice Requires="wps">
          <w:drawing>
            <wp:anchor distT="0" distB="0" distL="0" distR="0" simplePos="0" relativeHeight="475374080" behindDoc="1" locked="0" layoutInCell="1" allowOverlap="1" wp14:anchorId="24D62FB2" wp14:editId="24D62FB3">
              <wp:simplePos x="0" y="0"/>
              <wp:positionH relativeFrom="page">
                <wp:posOffset>666750</wp:posOffset>
              </wp:positionH>
              <wp:positionV relativeFrom="page">
                <wp:posOffset>7123176</wp:posOffset>
              </wp:positionV>
              <wp:extent cx="8496300" cy="19050"/>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12389" id="Graphic 483" o:spid="_x0000_s1026" style="position:absolute;margin-left:52.5pt;margin-top:560.9pt;width:669pt;height:1.5pt;z-index:-27942400;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rPr>
      <mc:AlternateContent>
        <mc:Choice Requires="wps">
          <w:drawing>
            <wp:anchor distT="0" distB="0" distL="0" distR="0" simplePos="0" relativeHeight="475374592" behindDoc="1" locked="0" layoutInCell="1" allowOverlap="1" wp14:anchorId="24D62FB4" wp14:editId="24D62FB5">
              <wp:simplePos x="0" y="0"/>
              <wp:positionH relativeFrom="page">
                <wp:posOffset>673100</wp:posOffset>
              </wp:positionH>
              <wp:positionV relativeFrom="page">
                <wp:posOffset>7146545</wp:posOffset>
              </wp:positionV>
              <wp:extent cx="678180" cy="18161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BF"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B4" id="_x0000_t202" coordsize="21600,21600" o:spt="202" path="m,l,21600r21600,l21600,xe">
              <v:stroke joinstyle="miter"/>
              <v:path gradientshapeok="t" o:connecttype="rect"/>
            </v:shapetype>
            <v:shape id="Textbox 484" o:spid="_x0000_s1177" type="#_x0000_t202" style="position:absolute;margin-left:53pt;margin-top:562.7pt;width:53.4pt;height:14.3pt;z-index:-279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7GmAEAACMDAAAOAAAAZHJzL2Uyb0RvYy54bWysUs2O0zAQviPxDpbv1M0KlR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Z+e37HGPe20F7YjEj59lI+n3QaKUYvgY2LId/LvBc7M4F&#10;puETlCeSNQX4cEjg+kLhijtT4CQKs/nV5Kj//i9T17e9/QM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CvIB7GmAEA&#10;ACMDAAAOAAAAAAAAAAAAAAAAAC4CAABkcnMvZTJvRG9jLnhtbFBLAQItABQABgAIAAAAIQCOyORU&#10;4QAAAA0BAAAPAAAAAAAAAAAAAAAAAPIDAABkcnMvZG93bnJldi54bWxQSwUGAAAAAAQABADzAAAA&#10;AAUAAAAA&#10;" filled="f" stroked="f">
              <v:textbox inset="0,0,0,0">
                <w:txbxContent>
                  <w:p w14:paraId="24D632BF"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75104" behindDoc="1" locked="0" layoutInCell="1" allowOverlap="1" wp14:anchorId="24D62FB6" wp14:editId="24D62FB7">
              <wp:simplePos x="0" y="0"/>
              <wp:positionH relativeFrom="page">
                <wp:posOffset>3697544</wp:posOffset>
              </wp:positionH>
              <wp:positionV relativeFrom="page">
                <wp:posOffset>7146545</wp:posOffset>
              </wp:positionV>
              <wp:extent cx="2207260" cy="18161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C0"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B6" id="Textbox 485" o:spid="_x0000_s1178" type="#_x0000_t202" style="position:absolute;margin-left:291.15pt;margin-top:562.7pt;width:173.8pt;height:14.3pt;z-index:-279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" filled="f" stroked="f">
              <v:textbox inset="0,0,0,0">
                <w:txbxContent>
                  <w:p w14:paraId="24D632C0"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75616" behindDoc="1" locked="0" layoutInCell="1" allowOverlap="1" wp14:anchorId="24D62FB8" wp14:editId="24D62FB9">
              <wp:simplePos x="0" y="0"/>
              <wp:positionH relativeFrom="page">
                <wp:posOffset>8351833</wp:posOffset>
              </wp:positionH>
              <wp:positionV relativeFrom="page">
                <wp:posOffset>7146545</wp:posOffset>
              </wp:positionV>
              <wp:extent cx="785495" cy="18161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C1" w14:textId="77777777" w:rsidR="00245300" w:rsidRDefault="00F17249">
                          <w:pPr>
                            <w:pStyle w:val="BodyText"/>
                            <w:spacing w:before="12"/>
                            <w:ind w:left="20"/>
                          </w:pPr>
                          <w:r>
                            <w:t>Page</w:t>
                          </w:r>
                          <w:r>
                            <w:rPr>
                              <w:spacing w:val="-12"/>
                            </w:rPr>
                            <w:t xml:space="preserve"> </w:t>
                          </w:r>
                          <w:r>
                            <w:t>805-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FB8" id="Textbox 486" o:spid="_x0000_s1179" type="#_x0000_t202" style="position:absolute;margin-left:657.6pt;margin-top:562.7pt;width:61.85pt;height:14.3pt;z-index:-279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" filled="f" stroked="f">
              <v:textbox inset="0,0,0,0">
                <w:txbxContent>
                  <w:p w14:paraId="24D632C1" w14:textId="77777777" w:rsidR="00245300" w:rsidRDefault="00F17249">
                    <w:pPr>
                      <w:pStyle w:val="BodyText"/>
                      <w:spacing w:before="12"/>
                      <w:ind w:left="20"/>
                    </w:pPr>
                    <w:r>
                      <w:t>Page</w:t>
                    </w:r>
                    <w:r>
                      <w:rPr>
                        <w:spacing w:val="-12"/>
                      </w:rPr>
                      <w:t xml:space="preserve"> </w:t>
                    </w:r>
                    <w:r>
                      <w:t>805-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7" w14:textId="77777777" w:rsidR="00245300" w:rsidRDefault="00F17249">
    <w:pPr>
      <w:pStyle w:val="BodyText"/>
      <w:spacing w:line="14" w:lineRule="auto"/>
      <w:rPr>
        <w:sz w:val="20"/>
      </w:rPr>
    </w:pPr>
    <w:r>
      <w:rPr>
        <w:noProof/>
      </w:rPr>
      <mc:AlternateContent>
        <mc:Choice Requires="wps">
          <w:drawing>
            <wp:anchor distT="0" distB="0" distL="0" distR="0" simplePos="0" relativeHeight="475377664" behindDoc="1" locked="0" layoutInCell="1" allowOverlap="1" wp14:anchorId="24D62FC0" wp14:editId="24D62FC1">
              <wp:simplePos x="0" y="0"/>
              <wp:positionH relativeFrom="page">
                <wp:posOffset>895350</wp:posOffset>
              </wp:positionH>
              <wp:positionV relativeFrom="page">
                <wp:posOffset>9409176</wp:posOffset>
              </wp:positionV>
              <wp:extent cx="5981700" cy="19050"/>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C368D7" id="Graphic 537" o:spid="_x0000_s1026" style="position:absolute;margin-left:70.5pt;margin-top:740.9pt;width:471pt;height:1.5pt;z-index:-27938816;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78176" behindDoc="1" locked="0" layoutInCell="1" allowOverlap="1" wp14:anchorId="24D62FC2" wp14:editId="24D62FC3">
              <wp:simplePos x="0" y="0"/>
              <wp:positionH relativeFrom="page">
                <wp:posOffset>901700</wp:posOffset>
              </wp:positionH>
              <wp:positionV relativeFrom="page">
                <wp:posOffset>9432545</wp:posOffset>
              </wp:positionV>
              <wp:extent cx="678180" cy="18161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C4"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C2" id="_x0000_t202" coordsize="21600,21600" o:spt="202" path="m,l,21600r21600,l21600,xe">
              <v:stroke joinstyle="miter"/>
              <v:path gradientshapeok="t" o:connecttype="rect"/>
            </v:shapetype>
            <v:shape id="Textbox 538" o:spid="_x0000_s1181" type="#_x0000_t202" style="position:absolute;margin-left:71pt;margin-top:742.7pt;width:53.4pt;height:14.3pt;z-index:-279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r2mAEAACMDAAAOAAAAZHJzL2Uyb0RvYy54bWysUs2O0zAQviPxDpbvNM0i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cx8ru3Oca8t4PuxGJGzrOV9Pug0EgxfA1sWA7/XOC52J0L&#10;TMMnKE8kawrw4ZDAukLhijtT4CQKs/nV5Kj//i9T17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wJgr2mAEA&#10;ACMDAAAOAAAAAAAAAAAAAAAAAC4CAABkcnMvZTJvRG9jLnhtbFBLAQItABQABgAIAAAAIQCuavdD&#10;4QAAAA0BAAAPAAAAAAAAAAAAAAAAAPIDAABkcnMvZG93bnJldi54bWxQSwUGAAAAAAQABADzAAAA&#10;AAUAAAAA&#10;" filled="f" stroked="f">
              <v:textbox inset="0,0,0,0">
                <w:txbxContent>
                  <w:p w14:paraId="24D632C4"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78688" behindDoc="1" locked="0" layoutInCell="1" allowOverlap="1" wp14:anchorId="24D62FC4" wp14:editId="24D62FC5">
              <wp:simplePos x="0" y="0"/>
              <wp:positionH relativeFrom="page">
                <wp:posOffset>2783077</wp:posOffset>
              </wp:positionH>
              <wp:positionV relativeFrom="page">
                <wp:posOffset>9432545</wp:posOffset>
              </wp:positionV>
              <wp:extent cx="2206625" cy="18161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C5"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C4" id="Textbox 539" o:spid="_x0000_s1182" type="#_x0000_t202" style="position:absolute;margin-left:219.15pt;margin-top:742.7pt;width:173.75pt;height:14.3pt;z-index:-279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t6mQEAACQDAAAOAAAAZHJzL2Uyb0RvYy54bWysUt1u2yAUvp+0d0DcL9jWGlV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DWeKzurbel0Xw8X1doiYvmhwLBcd&#10;j5RXYSCPD5jy+7I9tyxknt/PTNK8m5ntCfnmfc4x7+2gP5GaiQLtOP4+yKg5G796ciynfy7iudid&#10;i5jGT1D+SBbl4cMhgbGFwhV3oUBRFGbLt8lZ/70uXdfPvf0D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EZPm3qZ&#10;AQAAJAMAAA4AAAAAAAAAAAAAAAAALgIAAGRycy9lMm9Eb2MueG1sUEsBAi0AFAAGAAgAAAAhAN6R&#10;NCbiAAAADQEAAA8AAAAAAAAAAAAAAAAA8wMAAGRycy9kb3ducmV2LnhtbFBLBQYAAAAABAAEAPMA&#10;AAACBQAAAAA=&#10;" filled="f" stroked="f">
              <v:textbox inset="0,0,0,0">
                <w:txbxContent>
                  <w:p w14:paraId="24D632C5"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79200" behindDoc="1" locked="0" layoutInCell="1" allowOverlap="1" wp14:anchorId="24D62FC6" wp14:editId="24D62FC7">
              <wp:simplePos x="0" y="0"/>
              <wp:positionH relativeFrom="page">
                <wp:posOffset>6045200</wp:posOffset>
              </wp:positionH>
              <wp:positionV relativeFrom="page">
                <wp:posOffset>9432545</wp:posOffset>
              </wp:positionV>
              <wp:extent cx="863600" cy="18161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2C6" w14:textId="77777777" w:rsidR="00245300" w:rsidRDefault="00F17249">
                          <w:pPr>
                            <w:pStyle w:val="BodyText"/>
                            <w:spacing w:before="12"/>
                            <w:ind w:left="20"/>
                          </w:pPr>
                          <w:r>
                            <w:t>Page</w:t>
                          </w:r>
                          <w:r>
                            <w:rPr>
                              <w:spacing w:val="-11"/>
                            </w:rPr>
                            <w:t xml:space="preserve"> </w:t>
                          </w:r>
                          <w:r>
                            <w:t>805-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2FC6" id="Textbox 540" o:spid="_x0000_s1183" type="#_x0000_t202" style="position:absolute;margin-left:476pt;margin-top:742.7pt;width:68pt;height:14.3pt;z-index:-27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d99UCZgB&#10;AAAjAwAADgAAAAAAAAAAAAAAAAAuAgAAZHJzL2Uyb0RvYy54bWxQSwECLQAUAAYACAAAACEA680r&#10;7OIAAAAOAQAADwAAAAAAAAAAAAAAAADyAwAAZHJzL2Rvd25yZXYueG1sUEsFBgAAAAAEAAQA8wAA&#10;AAEFAAAAAA==&#10;" filled="f" stroked="f">
              <v:textbox inset="0,0,0,0">
                <w:txbxContent>
                  <w:p w14:paraId="24D632C6" w14:textId="77777777" w:rsidR="00245300" w:rsidRDefault="00F17249">
                    <w:pPr>
                      <w:pStyle w:val="BodyText"/>
                      <w:spacing w:before="12"/>
                      <w:ind w:left="20"/>
                    </w:pPr>
                    <w:r>
                      <w:t>Page</w:t>
                    </w:r>
                    <w:r>
                      <w:rPr>
                        <w:spacing w:val="-11"/>
                      </w:rPr>
                      <w:t xml:space="preserve"> </w:t>
                    </w:r>
                    <w:r>
                      <w:t>805-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9" w14:textId="77777777" w:rsidR="00245300" w:rsidRDefault="00F17249">
    <w:pPr>
      <w:pStyle w:val="BodyText"/>
      <w:spacing w:line="14" w:lineRule="auto"/>
      <w:rPr>
        <w:sz w:val="20"/>
      </w:rPr>
    </w:pPr>
    <w:r>
      <w:rPr>
        <w:noProof/>
      </w:rPr>
      <mc:AlternateContent>
        <mc:Choice Requires="wps">
          <w:drawing>
            <wp:anchor distT="0" distB="0" distL="0" distR="0" simplePos="0" relativeHeight="475381248" behindDoc="1" locked="0" layoutInCell="1" allowOverlap="1" wp14:anchorId="24D62FCE" wp14:editId="24D62FCF">
              <wp:simplePos x="0" y="0"/>
              <wp:positionH relativeFrom="page">
                <wp:posOffset>666750</wp:posOffset>
              </wp:positionH>
              <wp:positionV relativeFrom="page">
                <wp:posOffset>7123176</wp:posOffset>
              </wp:positionV>
              <wp:extent cx="8496300" cy="1905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501C3" id="Graphic 545" o:spid="_x0000_s1026" style="position:absolute;margin-left:52.5pt;margin-top:560.9pt;width:669pt;height:1.5pt;z-index:-27935232;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rPr>
      <mc:AlternateContent>
        <mc:Choice Requires="wps">
          <w:drawing>
            <wp:anchor distT="0" distB="0" distL="0" distR="0" simplePos="0" relativeHeight="475381760" behindDoc="1" locked="0" layoutInCell="1" allowOverlap="1" wp14:anchorId="24D62FD0" wp14:editId="24D62FD1">
              <wp:simplePos x="0" y="0"/>
              <wp:positionH relativeFrom="page">
                <wp:posOffset>673100</wp:posOffset>
              </wp:positionH>
              <wp:positionV relativeFrom="page">
                <wp:posOffset>7146545</wp:posOffset>
              </wp:positionV>
              <wp:extent cx="678180" cy="18161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C9"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D0" id="_x0000_t202" coordsize="21600,21600" o:spt="202" path="m,l,21600r21600,l21600,xe">
              <v:stroke joinstyle="miter"/>
              <v:path gradientshapeok="t" o:connecttype="rect"/>
            </v:shapetype>
            <v:shape id="Textbox 546" o:spid="_x0000_s1185" type="#_x0000_t202" style="position:absolute;margin-left:53pt;margin-top:562.7pt;width:53.4pt;height:14.3pt;z-index:-279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jrmAEAACMDAAAOAAAAZHJzL2Uyb0RvYy54bWysUs2O0zAQviPxDpbv1M1KdK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l5Pe3Oca8t4P2xGJGzrOR9Pug0UoxfA1sWA7/XOC52J0L&#10;TMMnKE8kawrw4ZDA9YXCFXemwEkUZvOryVH//V+mrm97+wc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AtQcjrmAEA&#10;ACMDAAAOAAAAAAAAAAAAAAAAAC4CAABkcnMvZTJvRG9jLnhtbFBLAQItABQABgAIAAAAIQCOyORU&#10;4QAAAA0BAAAPAAAAAAAAAAAAAAAAAPIDAABkcnMvZG93bnJldi54bWxQSwUGAAAAAAQABADzAAAA&#10;AAUAAAAA&#10;" filled="f" stroked="f">
              <v:textbox inset="0,0,0,0">
                <w:txbxContent>
                  <w:p w14:paraId="24D632C9"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82272" behindDoc="1" locked="0" layoutInCell="1" allowOverlap="1" wp14:anchorId="24D62FD2" wp14:editId="24D62FD3">
              <wp:simplePos x="0" y="0"/>
              <wp:positionH relativeFrom="page">
                <wp:posOffset>3761485</wp:posOffset>
              </wp:positionH>
              <wp:positionV relativeFrom="page">
                <wp:posOffset>7146545</wp:posOffset>
              </wp:positionV>
              <wp:extent cx="2205990" cy="18161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990" cy="181610"/>
                      </a:xfrm>
                      <a:prstGeom prst="rect">
                        <a:avLst/>
                      </a:prstGeom>
                    </wps:spPr>
                    <wps:txbx>
                      <w:txbxContent>
                        <w:p w14:paraId="24D632CA"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D2" id="Textbox 547" o:spid="_x0000_s1186" type="#_x0000_t202" style="position:absolute;margin-left:296.2pt;margin-top:562.7pt;width:173.7pt;height:14.3pt;z-index:-27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" filled="f" stroked="f">
              <v:textbox inset="0,0,0,0">
                <w:txbxContent>
                  <w:p w14:paraId="24D632CA"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82784" behindDoc="1" locked="0" layoutInCell="1" allowOverlap="1" wp14:anchorId="24D62FD4" wp14:editId="24D62FD5">
              <wp:simplePos x="0" y="0"/>
              <wp:positionH relativeFrom="page">
                <wp:posOffset>8408923</wp:posOffset>
              </wp:positionH>
              <wp:positionV relativeFrom="page">
                <wp:posOffset>7146545</wp:posOffset>
              </wp:positionV>
              <wp:extent cx="786130" cy="18161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81610"/>
                      </a:xfrm>
                      <a:prstGeom prst="rect">
                        <a:avLst/>
                      </a:prstGeom>
                    </wps:spPr>
                    <wps:txbx>
                      <w:txbxContent>
                        <w:p w14:paraId="24D632CB" w14:textId="77777777" w:rsidR="00245300" w:rsidRDefault="00F17249">
                          <w:pPr>
                            <w:pStyle w:val="BodyText"/>
                            <w:spacing w:before="12"/>
                            <w:ind w:left="20"/>
                          </w:pPr>
                          <w:r>
                            <w:t>Page</w:t>
                          </w:r>
                          <w:r>
                            <w:rPr>
                              <w:spacing w:val="-12"/>
                            </w:rPr>
                            <w:t xml:space="preserve"> </w:t>
                          </w:r>
                          <w:r>
                            <w:t>806-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2FD4" id="Textbox 548" o:spid="_x0000_s1187" type="#_x0000_t202" style="position:absolute;margin-left:662.1pt;margin-top:562.7pt;width:61.9pt;height:14.3pt;z-index:-279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" filled="f" stroked="f">
              <v:textbox inset="0,0,0,0">
                <w:txbxContent>
                  <w:p w14:paraId="24D632CB" w14:textId="77777777" w:rsidR="00245300" w:rsidRDefault="00F17249">
                    <w:pPr>
                      <w:pStyle w:val="BodyText"/>
                      <w:spacing w:before="12"/>
                      <w:ind w:left="20"/>
                    </w:pPr>
                    <w:r>
                      <w:t>Page</w:t>
                    </w:r>
                    <w:r>
                      <w:rPr>
                        <w:spacing w:val="-12"/>
                      </w:rPr>
                      <w:t xml:space="preserve"> </w:t>
                    </w:r>
                    <w:r>
                      <w:t>806-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B" w14:textId="77777777" w:rsidR="00245300" w:rsidRDefault="00F17249">
    <w:pPr>
      <w:pStyle w:val="BodyText"/>
      <w:spacing w:line="14" w:lineRule="auto"/>
      <w:rPr>
        <w:sz w:val="20"/>
      </w:rPr>
    </w:pPr>
    <w:r>
      <w:rPr>
        <w:noProof/>
      </w:rPr>
      <mc:AlternateContent>
        <mc:Choice Requires="wps">
          <w:drawing>
            <wp:anchor distT="0" distB="0" distL="0" distR="0" simplePos="0" relativeHeight="475384832" behindDoc="1" locked="0" layoutInCell="1" allowOverlap="1" wp14:anchorId="24D62FDC" wp14:editId="24D62FDD">
              <wp:simplePos x="0" y="0"/>
              <wp:positionH relativeFrom="page">
                <wp:posOffset>895350</wp:posOffset>
              </wp:positionH>
              <wp:positionV relativeFrom="page">
                <wp:posOffset>9409176</wp:posOffset>
              </wp:positionV>
              <wp:extent cx="5981700" cy="19050"/>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8FAA9" id="Graphic 579" o:spid="_x0000_s1026" style="position:absolute;margin-left:70.5pt;margin-top:740.9pt;width:471pt;height:1.5pt;z-index:-27931648;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85344" behindDoc="1" locked="0" layoutInCell="1" allowOverlap="1" wp14:anchorId="24D62FDE" wp14:editId="24D62FDF">
              <wp:simplePos x="0" y="0"/>
              <wp:positionH relativeFrom="page">
                <wp:posOffset>901700</wp:posOffset>
              </wp:positionH>
              <wp:positionV relativeFrom="page">
                <wp:posOffset>9432545</wp:posOffset>
              </wp:positionV>
              <wp:extent cx="678180" cy="18161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CE"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DE" id="_x0000_t202" coordsize="21600,21600" o:spt="202" path="m,l,21600r21600,l21600,xe">
              <v:stroke joinstyle="miter"/>
              <v:path gradientshapeok="t" o:connecttype="rect"/>
            </v:shapetype>
            <v:shape id="Textbox 580" o:spid="_x0000_s1189" type="#_x0000_t202" style="position:absolute;margin-left:71pt;margin-top:742.7pt;width:53.4pt;height:14.3pt;z-index:-279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CGXn3mAEA&#10;ACMDAAAOAAAAAAAAAAAAAAAAAC4CAABkcnMvZTJvRG9jLnhtbFBLAQItABQABgAIAAAAIQCuavdD&#10;4QAAAA0BAAAPAAAAAAAAAAAAAAAAAPIDAABkcnMvZG93bnJldi54bWxQSwUGAAAAAAQABADzAAAA&#10;AAUAAAAA&#10;" filled="f" stroked="f">
              <v:textbox inset="0,0,0,0">
                <w:txbxContent>
                  <w:p w14:paraId="24D632CE"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85856" behindDoc="1" locked="0" layoutInCell="1" allowOverlap="1" wp14:anchorId="24D62FE0" wp14:editId="24D62FE1">
              <wp:simplePos x="0" y="0"/>
              <wp:positionH relativeFrom="page">
                <wp:posOffset>2783077</wp:posOffset>
              </wp:positionH>
              <wp:positionV relativeFrom="page">
                <wp:posOffset>9432545</wp:posOffset>
              </wp:positionV>
              <wp:extent cx="2206625" cy="18161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C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E0" id="Textbox 581" o:spid="_x0000_s1190" type="#_x0000_t202" style="position:absolute;margin-left:219.15pt;margin-top:742.7pt;width:173.75pt;height:14.3pt;z-index:-279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6RcqZpgB&#10;AAAkAwAADgAAAAAAAAAAAAAAAAAuAgAAZHJzL2Uyb0RvYy54bWxQSwECLQAUAAYACAAAACEA3pE0&#10;JuIAAAANAQAADwAAAAAAAAAAAAAAAADyAwAAZHJzL2Rvd25yZXYueG1sUEsFBgAAAAAEAAQA8wAA&#10;AAEFAAAAAA==&#10;" filled="f" stroked="f">
              <v:textbox inset="0,0,0,0">
                <w:txbxContent>
                  <w:p w14:paraId="24D632C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86368" behindDoc="1" locked="0" layoutInCell="1" allowOverlap="1" wp14:anchorId="24D62FE2" wp14:editId="24D62FE3">
              <wp:simplePos x="0" y="0"/>
              <wp:positionH relativeFrom="page">
                <wp:posOffset>6122923</wp:posOffset>
              </wp:positionH>
              <wp:positionV relativeFrom="page">
                <wp:posOffset>9432545</wp:posOffset>
              </wp:positionV>
              <wp:extent cx="785495" cy="18161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D0" w14:textId="77777777" w:rsidR="00245300" w:rsidRDefault="00F17249">
                          <w:pPr>
                            <w:pStyle w:val="BodyText"/>
                            <w:spacing w:before="12"/>
                            <w:ind w:left="20"/>
                          </w:pPr>
                          <w:r>
                            <w:t>Page</w:t>
                          </w:r>
                          <w:r>
                            <w:rPr>
                              <w:spacing w:val="-11"/>
                            </w:rPr>
                            <w:t xml:space="preserve"> </w:t>
                          </w:r>
                          <w:r>
                            <w:t>806-</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24D62FE2" id="Textbox 582" o:spid="_x0000_s1191" type="#_x0000_t202" style="position:absolute;margin-left:482.1pt;margin-top:742.7pt;width:61.85pt;height:14.3pt;z-index:-279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C+NINM&#10;mQEAACMDAAAOAAAAAAAAAAAAAAAAAC4CAABkcnMvZTJvRG9jLnhtbFBLAQItABQABgAIAAAAIQBj&#10;dBNC4wAAAA4BAAAPAAAAAAAAAAAAAAAAAPMDAABkcnMvZG93bnJldi54bWxQSwUGAAAAAAQABADz&#10;AAAAAwUAAAAA&#10;" filled="f" stroked="f">
              <v:textbox inset="0,0,0,0">
                <w:txbxContent>
                  <w:p w14:paraId="24D632D0" w14:textId="77777777" w:rsidR="00245300" w:rsidRDefault="00F17249">
                    <w:pPr>
                      <w:pStyle w:val="BodyText"/>
                      <w:spacing w:before="12"/>
                      <w:ind w:left="20"/>
                    </w:pPr>
                    <w:r>
                      <w:t>Page</w:t>
                    </w:r>
                    <w:r>
                      <w:rPr>
                        <w:spacing w:val="-11"/>
                      </w:rPr>
                      <w:t xml:space="preserve"> </w:t>
                    </w:r>
                    <w:r>
                      <w:t>806-</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D" w14:textId="77777777" w:rsidR="00245300" w:rsidRDefault="00F17249">
    <w:pPr>
      <w:pStyle w:val="BodyText"/>
      <w:spacing w:line="14" w:lineRule="auto"/>
      <w:rPr>
        <w:sz w:val="20"/>
      </w:rPr>
    </w:pPr>
    <w:r>
      <w:rPr>
        <w:noProof/>
      </w:rPr>
      <mc:AlternateContent>
        <mc:Choice Requires="wps">
          <w:drawing>
            <wp:anchor distT="0" distB="0" distL="0" distR="0" simplePos="0" relativeHeight="475386880" behindDoc="1" locked="0" layoutInCell="1" allowOverlap="1" wp14:anchorId="24D62FE4" wp14:editId="24D62FE5">
              <wp:simplePos x="0" y="0"/>
              <wp:positionH relativeFrom="page">
                <wp:posOffset>673100</wp:posOffset>
              </wp:positionH>
              <wp:positionV relativeFrom="page">
                <wp:posOffset>7146545</wp:posOffset>
              </wp:positionV>
              <wp:extent cx="678180" cy="18161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D1"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E4" id="_x0000_t202" coordsize="21600,21600" o:spt="202" path="m,l,21600r21600,l21600,xe">
              <v:stroke joinstyle="miter"/>
              <v:path gradientshapeok="t" o:connecttype="rect"/>
            </v:shapetype>
            <v:shape id="Textbox 584" o:spid="_x0000_s1192" type="#_x0000_t202" style="position:absolute;margin-left:53pt;margin-top:562.7pt;width:53.4pt;height:14.3pt;z-index:-279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ebmAEAACMDAAAOAAAAZHJzL2Uyb0RvYy54bWysUs2O0zAQviPtO1i+b92sV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Vf3Oca8t4P2xGJGzrOR9POg0UoxfApsWA7/XOC52J0L&#10;TMMjlCeSNQV4d0jg+kLhijtT4CQKs/nV5Kh//y9T17e9/QU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CYphebmAEA&#10;ACMDAAAOAAAAAAAAAAAAAAAAAC4CAABkcnMvZTJvRG9jLnhtbFBLAQItABQABgAIAAAAIQCOyORU&#10;4QAAAA0BAAAPAAAAAAAAAAAAAAAAAPIDAABkcnMvZG93bnJldi54bWxQSwUGAAAAAAQABADzAAAA&#10;AAUAAAAA&#10;" filled="f" stroked="f">
              <v:textbox inset="0,0,0,0">
                <w:txbxContent>
                  <w:p w14:paraId="24D632D1"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87392" behindDoc="1" locked="0" layoutInCell="1" allowOverlap="1" wp14:anchorId="24D62FE6" wp14:editId="24D62FE7">
              <wp:simplePos x="0" y="0"/>
              <wp:positionH relativeFrom="page">
                <wp:posOffset>3740150</wp:posOffset>
              </wp:positionH>
              <wp:positionV relativeFrom="page">
                <wp:posOffset>7146545</wp:posOffset>
              </wp:positionV>
              <wp:extent cx="2205990" cy="18161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990" cy="181610"/>
                      </a:xfrm>
                      <a:prstGeom prst="rect">
                        <a:avLst/>
                      </a:prstGeom>
                    </wps:spPr>
                    <wps:txbx>
                      <w:txbxContent>
                        <w:p w14:paraId="24D632D2"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FE6" id="Textbox 585" o:spid="_x0000_s1193" type="#_x0000_t202" style="position:absolute;margin-left:294.5pt;margin-top:562.7pt;width:173.7pt;height:14.3pt;z-index:-279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" filled="f" stroked="f">
              <v:textbox inset="0,0,0,0">
                <w:txbxContent>
                  <w:p w14:paraId="24D632D2"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87904" behindDoc="1" locked="0" layoutInCell="1" allowOverlap="1" wp14:anchorId="24D62FE8" wp14:editId="24D62FE9">
              <wp:simplePos x="0" y="0"/>
              <wp:positionH relativeFrom="page">
                <wp:posOffset>8408923</wp:posOffset>
              </wp:positionH>
              <wp:positionV relativeFrom="page">
                <wp:posOffset>7146545</wp:posOffset>
              </wp:positionV>
              <wp:extent cx="747395" cy="18161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D3" w14:textId="77777777" w:rsidR="00245300" w:rsidRDefault="00F17249">
                          <w:pPr>
                            <w:pStyle w:val="BodyText"/>
                            <w:spacing w:before="12"/>
                            <w:ind w:left="20"/>
                          </w:pPr>
                          <w:r>
                            <w:t>Page</w:t>
                          </w:r>
                          <w:r>
                            <w:rPr>
                              <w:spacing w:val="-12"/>
                            </w:rPr>
                            <w:t xml:space="preserve"> </w:t>
                          </w:r>
                          <w:r>
                            <w:t>807-</w:t>
                          </w:r>
                          <w:r>
                            <w:rPr>
                              <w:spacing w:val="-10"/>
                            </w:rPr>
                            <w:t>1</w:t>
                          </w:r>
                        </w:p>
                      </w:txbxContent>
                    </wps:txbx>
                    <wps:bodyPr wrap="square" lIns="0" tIns="0" rIns="0" bIns="0" rtlCol="0">
                      <a:noAutofit/>
                    </wps:bodyPr>
                  </wps:wsp>
                </a:graphicData>
              </a:graphic>
            </wp:anchor>
          </w:drawing>
        </mc:Choice>
        <mc:Fallback>
          <w:pict>
            <v:shape w14:anchorId="24D62FE8" id="Textbox 586" o:spid="_x0000_s1194" type="#_x0000_t202" style="position:absolute;margin-left:662.1pt;margin-top:562.7pt;width:58.85pt;height:14.3pt;z-index:-279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" filled="f" stroked="f">
              <v:textbox inset="0,0,0,0">
                <w:txbxContent>
                  <w:p w14:paraId="24D632D3" w14:textId="77777777" w:rsidR="00245300" w:rsidRDefault="00F17249">
                    <w:pPr>
                      <w:pStyle w:val="BodyText"/>
                      <w:spacing w:before="12"/>
                      <w:ind w:left="20"/>
                    </w:pPr>
                    <w:r>
                      <w:t>Page</w:t>
                    </w:r>
                    <w:r>
                      <w:rPr>
                        <w:spacing w:val="-12"/>
                      </w:rPr>
                      <w:t xml:space="preserve"> </w:t>
                    </w:r>
                    <w:r>
                      <w:t>807-</w:t>
                    </w:r>
                    <w:r>
                      <w:rPr>
                        <w:spacing w:val="-10"/>
                      </w:rPr>
                      <w:t>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F" w14:textId="77777777" w:rsidR="00245300" w:rsidRDefault="00F17249">
    <w:pPr>
      <w:pStyle w:val="BodyText"/>
      <w:spacing w:line="14" w:lineRule="auto"/>
      <w:rPr>
        <w:sz w:val="20"/>
      </w:rPr>
    </w:pPr>
    <w:r>
      <w:rPr>
        <w:noProof/>
      </w:rPr>
      <mc:AlternateContent>
        <mc:Choice Requires="wps">
          <w:drawing>
            <wp:anchor distT="0" distB="0" distL="0" distR="0" simplePos="0" relativeHeight="475389952" behindDoc="1" locked="0" layoutInCell="1" allowOverlap="1" wp14:anchorId="24D62FF0" wp14:editId="24D62FF1">
              <wp:simplePos x="0" y="0"/>
              <wp:positionH relativeFrom="page">
                <wp:posOffset>895350</wp:posOffset>
              </wp:positionH>
              <wp:positionV relativeFrom="page">
                <wp:posOffset>9409176</wp:posOffset>
              </wp:positionV>
              <wp:extent cx="5981700" cy="19050"/>
              <wp:effectExtent l="0" t="0" r="0" b="0"/>
              <wp:wrapNone/>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655346" id="Graphic 602" o:spid="_x0000_s1026" style="position:absolute;margin-left:70.5pt;margin-top:740.9pt;width:471pt;height:1.5pt;z-index:-27926528;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90464" behindDoc="1" locked="0" layoutInCell="1" allowOverlap="1" wp14:anchorId="24D62FF2" wp14:editId="24D62FF3">
              <wp:simplePos x="0" y="0"/>
              <wp:positionH relativeFrom="page">
                <wp:posOffset>901700</wp:posOffset>
              </wp:positionH>
              <wp:positionV relativeFrom="page">
                <wp:posOffset>9432545</wp:posOffset>
              </wp:positionV>
              <wp:extent cx="678815" cy="18161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81610"/>
                      </a:xfrm>
                      <a:prstGeom prst="rect">
                        <a:avLst/>
                      </a:prstGeom>
                    </wps:spPr>
                    <wps:txbx>
                      <w:txbxContent>
                        <w:p w14:paraId="24D632D6"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FF2" id="_x0000_t202" coordsize="21600,21600" o:spt="202" path="m,l,21600r21600,l21600,xe">
              <v:stroke joinstyle="miter"/>
              <v:path gradientshapeok="t" o:connecttype="rect"/>
            </v:shapetype>
            <v:shape id="Textbox 603" o:spid="_x0000_s1196" type="#_x0000_t202" style="position:absolute;margin-left:71pt;margin-top:742.7pt;width:53.45pt;height:14.3pt;z-index:-279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" filled="f" stroked="f">
              <v:textbox inset="0,0,0,0">
                <w:txbxContent>
                  <w:p w14:paraId="24D632D6"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90976" behindDoc="1" locked="0" layoutInCell="1" allowOverlap="1" wp14:anchorId="24D62FF4" wp14:editId="24D62FF5">
              <wp:simplePos x="0" y="0"/>
              <wp:positionH relativeFrom="page">
                <wp:posOffset>2774695</wp:posOffset>
              </wp:positionH>
              <wp:positionV relativeFrom="page">
                <wp:posOffset>9432545</wp:posOffset>
              </wp:positionV>
              <wp:extent cx="2207260" cy="18161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D7" w14:textId="77777777" w:rsidR="00245300" w:rsidRDefault="00F17249">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wps:txbx>
                    <wps:bodyPr wrap="square" lIns="0" tIns="0" rIns="0" bIns="0" rtlCol="0">
                      <a:noAutofit/>
                    </wps:bodyPr>
                  </wps:wsp>
                </a:graphicData>
              </a:graphic>
            </wp:anchor>
          </w:drawing>
        </mc:Choice>
        <mc:Fallback>
          <w:pict>
            <v:shape w14:anchorId="24D62FF4" id="Textbox 604" o:spid="_x0000_s1197" type="#_x0000_t202" style="position:absolute;margin-left:218.5pt;margin-top:742.7pt;width:173.8pt;height:14.3pt;z-index:-279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" filled="f" stroked="f">
              <v:textbox inset="0,0,0,0">
                <w:txbxContent>
                  <w:p w14:paraId="24D632D7" w14:textId="77777777" w:rsidR="00245300" w:rsidRDefault="00F17249">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91488" behindDoc="1" locked="0" layoutInCell="1" allowOverlap="1" wp14:anchorId="24D62FF6" wp14:editId="24D62FF7">
              <wp:simplePos x="0" y="0"/>
              <wp:positionH relativeFrom="page">
                <wp:posOffset>6122923</wp:posOffset>
              </wp:positionH>
              <wp:positionV relativeFrom="page">
                <wp:posOffset>9432545</wp:posOffset>
              </wp:positionV>
              <wp:extent cx="786130" cy="18161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81610"/>
                      </a:xfrm>
                      <a:prstGeom prst="rect">
                        <a:avLst/>
                      </a:prstGeom>
                    </wps:spPr>
                    <wps:txbx>
                      <w:txbxContent>
                        <w:p w14:paraId="24D632D8" w14:textId="77777777" w:rsidR="00245300" w:rsidRDefault="00F17249">
                          <w:pPr>
                            <w:pStyle w:val="BodyText"/>
                            <w:spacing w:before="12"/>
                            <w:ind w:left="20"/>
                          </w:pPr>
                          <w:r>
                            <w:t>Page</w:t>
                          </w:r>
                          <w:r>
                            <w:rPr>
                              <w:spacing w:val="-10"/>
                            </w:rPr>
                            <w:t xml:space="preserve"> </w:t>
                          </w:r>
                          <w:r>
                            <w:t>807-</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4D62FF6" id="Textbox 605" o:spid="_x0000_s1198" type="#_x0000_t202" style="position:absolute;margin-left:482.1pt;margin-top:742.7pt;width:61.9pt;height:14.3pt;z-index:-2792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" filled="f" stroked="f">
              <v:textbox inset="0,0,0,0">
                <w:txbxContent>
                  <w:p w14:paraId="24D632D8" w14:textId="77777777" w:rsidR="00245300" w:rsidRDefault="00F17249">
                    <w:pPr>
                      <w:pStyle w:val="BodyText"/>
                      <w:spacing w:before="12"/>
                      <w:ind w:left="20"/>
                    </w:pPr>
                    <w:r>
                      <w:t>Page</w:t>
                    </w:r>
                    <w:r>
                      <w:rPr>
                        <w:spacing w:val="-10"/>
                      </w:rPr>
                      <w:t xml:space="preserve"> </w:t>
                    </w:r>
                    <w:r>
                      <w:t>807-</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1" w14:textId="77777777" w:rsidR="00245300" w:rsidRDefault="00F17249">
    <w:pPr>
      <w:pStyle w:val="BodyText"/>
      <w:spacing w:line="14" w:lineRule="auto"/>
      <w:rPr>
        <w:sz w:val="20"/>
      </w:rPr>
    </w:pPr>
    <w:r>
      <w:rPr>
        <w:noProof/>
      </w:rPr>
      <mc:AlternateContent>
        <mc:Choice Requires="wps">
          <w:drawing>
            <wp:anchor distT="0" distB="0" distL="0" distR="0" simplePos="0" relativeHeight="475393536" behindDoc="1" locked="0" layoutInCell="1" allowOverlap="1" wp14:anchorId="24D62FFE" wp14:editId="24D62FFF">
              <wp:simplePos x="0" y="0"/>
              <wp:positionH relativeFrom="page">
                <wp:posOffset>666750</wp:posOffset>
              </wp:positionH>
              <wp:positionV relativeFrom="page">
                <wp:posOffset>7123176</wp:posOffset>
              </wp:positionV>
              <wp:extent cx="8496300" cy="19050"/>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F0F9D9" id="Graphic 610" o:spid="_x0000_s1026" style="position:absolute;margin-left:52.5pt;margin-top:560.9pt;width:669pt;height:1.5pt;z-index:-27922944;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rPr>
      <mc:AlternateContent>
        <mc:Choice Requires="wps">
          <w:drawing>
            <wp:anchor distT="0" distB="0" distL="0" distR="0" simplePos="0" relativeHeight="475394048" behindDoc="1" locked="0" layoutInCell="1" allowOverlap="1" wp14:anchorId="24D63000" wp14:editId="24D63001">
              <wp:simplePos x="0" y="0"/>
              <wp:positionH relativeFrom="page">
                <wp:posOffset>673100</wp:posOffset>
              </wp:positionH>
              <wp:positionV relativeFrom="page">
                <wp:posOffset>7146545</wp:posOffset>
              </wp:positionV>
              <wp:extent cx="678180" cy="18161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DB"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00" id="_x0000_t202" coordsize="21600,21600" o:spt="202" path="m,l,21600r21600,l21600,xe">
              <v:stroke joinstyle="miter"/>
              <v:path gradientshapeok="t" o:connecttype="rect"/>
            </v:shapetype>
            <v:shape id="Textbox 611" o:spid="_x0000_s1200" type="#_x0000_t202" style="position:absolute;margin-left:53pt;margin-top:562.7pt;width:53.4pt;height:14.3pt;z-index:-279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CgCUWNmAEA&#10;ACMDAAAOAAAAAAAAAAAAAAAAAC4CAABkcnMvZTJvRG9jLnhtbFBLAQItABQABgAIAAAAIQCOyORU&#10;4QAAAA0BAAAPAAAAAAAAAAAAAAAAAPIDAABkcnMvZG93bnJldi54bWxQSwUGAAAAAAQABADzAAAA&#10;AAUAAAAA&#10;" filled="f" stroked="f">
              <v:textbox inset="0,0,0,0">
                <w:txbxContent>
                  <w:p w14:paraId="24D632DB"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94560" behindDoc="1" locked="0" layoutInCell="1" allowOverlap="1" wp14:anchorId="24D63002" wp14:editId="24D63003">
              <wp:simplePos x="0" y="0"/>
              <wp:positionH relativeFrom="page">
                <wp:posOffset>3697478</wp:posOffset>
              </wp:positionH>
              <wp:positionV relativeFrom="page">
                <wp:posOffset>7146545</wp:posOffset>
              </wp:positionV>
              <wp:extent cx="2206625" cy="18161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DC"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02" id="Textbox 612" o:spid="_x0000_s1201" type="#_x0000_t202" style="position:absolute;margin-left:291.15pt;margin-top:562.7pt;width:173.75pt;height:14.3pt;z-index:-2792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" filled="f" stroked="f">
              <v:textbox inset="0,0,0,0">
                <w:txbxContent>
                  <w:p w14:paraId="24D632DC"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95072" behindDoc="1" locked="0" layoutInCell="1" allowOverlap="1" wp14:anchorId="24D63004" wp14:editId="24D63005">
              <wp:simplePos x="0" y="0"/>
              <wp:positionH relativeFrom="page">
                <wp:posOffset>8408923</wp:posOffset>
              </wp:positionH>
              <wp:positionV relativeFrom="page">
                <wp:posOffset>7146545</wp:posOffset>
              </wp:positionV>
              <wp:extent cx="785495" cy="18161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DD" w14:textId="77777777" w:rsidR="00245300" w:rsidRDefault="00F17249">
                          <w:pPr>
                            <w:pStyle w:val="BodyText"/>
                            <w:spacing w:before="12"/>
                            <w:ind w:left="20"/>
                          </w:pPr>
                          <w:r>
                            <w:t>Page</w:t>
                          </w:r>
                          <w:r>
                            <w:rPr>
                              <w:spacing w:val="-12"/>
                            </w:rPr>
                            <w:t xml:space="preserve"> </w:t>
                          </w:r>
                          <w:r>
                            <w:t>808-</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04" id="Textbox 613" o:spid="_x0000_s1202" type="#_x0000_t202" style="position:absolute;margin-left:662.1pt;margin-top:562.7pt;width:61.85pt;height:14.3pt;z-index:-279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" filled="f" stroked="f">
              <v:textbox inset="0,0,0,0">
                <w:txbxContent>
                  <w:p w14:paraId="24D632DD" w14:textId="77777777" w:rsidR="00245300" w:rsidRDefault="00F17249">
                    <w:pPr>
                      <w:pStyle w:val="BodyText"/>
                      <w:spacing w:before="12"/>
                      <w:ind w:left="20"/>
                    </w:pPr>
                    <w:r>
                      <w:t>Page</w:t>
                    </w:r>
                    <w:r>
                      <w:rPr>
                        <w:spacing w:val="-12"/>
                      </w:rPr>
                      <w:t xml:space="preserve"> </w:t>
                    </w:r>
                    <w:r>
                      <w:t>808-</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3" w14:textId="77777777" w:rsidR="00245300" w:rsidRDefault="00F17249">
    <w:pPr>
      <w:pStyle w:val="BodyText"/>
      <w:spacing w:line="14" w:lineRule="auto"/>
      <w:rPr>
        <w:sz w:val="20"/>
      </w:rPr>
    </w:pPr>
    <w:r>
      <w:rPr>
        <w:noProof/>
      </w:rPr>
      <mc:AlternateContent>
        <mc:Choice Requires="wps">
          <w:drawing>
            <wp:anchor distT="0" distB="0" distL="0" distR="0" simplePos="0" relativeHeight="475397120" behindDoc="1" locked="0" layoutInCell="1" allowOverlap="1" wp14:anchorId="24D6300C" wp14:editId="24D6300D">
              <wp:simplePos x="0" y="0"/>
              <wp:positionH relativeFrom="page">
                <wp:posOffset>895350</wp:posOffset>
              </wp:positionH>
              <wp:positionV relativeFrom="page">
                <wp:posOffset>9409176</wp:posOffset>
              </wp:positionV>
              <wp:extent cx="5981700" cy="19050"/>
              <wp:effectExtent l="0" t="0" r="0" b="0"/>
              <wp:wrapNone/>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F44E8D" id="Graphic 643" o:spid="_x0000_s1026" style="position:absolute;margin-left:70.5pt;margin-top:740.9pt;width:471pt;height:1.5pt;z-index:-27919360;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397632" behindDoc="1" locked="0" layoutInCell="1" allowOverlap="1" wp14:anchorId="24D6300E" wp14:editId="24D6300F">
              <wp:simplePos x="0" y="0"/>
              <wp:positionH relativeFrom="page">
                <wp:posOffset>901700</wp:posOffset>
              </wp:positionH>
              <wp:positionV relativeFrom="page">
                <wp:posOffset>9432545</wp:posOffset>
              </wp:positionV>
              <wp:extent cx="678180" cy="18161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E0"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0E" id="_x0000_t202" coordsize="21600,21600" o:spt="202" path="m,l,21600r21600,l21600,xe">
              <v:stroke joinstyle="miter"/>
              <v:path gradientshapeok="t" o:connecttype="rect"/>
            </v:shapetype>
            <v:shape id="Textbox 644" o:spid="_x0000_s1204" type="#_x0000_t202" style="position:absolute;margin-left:71pt;margin-top:742.7pt;width:53.4pt;height:14.3pt;z-index:-279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9boeQmAEA&#10;ACMDAAAOAAAAAAAAAAAAAAAAAC4CAABkcnMvZTJvRG9jLnhtbFBLAQItABQABgAIAAAAIQCuavdD&#10;4QAAAA0BAAAPAAAAAAAAAAAAAAAAAPIDAABkcnMvZG93bnJldi54bWxQSwUGAAAAAAQABADzAAAA&#10;AAUAAAAA&#10;" filled="f" stroked="f">
              <v:textbox inset="0,0,0,0">
                <w:txbxContent>
                  <w:p w14:paraId="24D632E0"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398144" behindDoc="1" locked="0" layoutInCell="1" allowOverlap="1" wp14:anchorId="24D63010" wp14:editId="24D63011">
              <wp:simplePos x="0" y="0"/>
              <wp:positionH relativeFrom="page">
                <wp:posOffset>2783077</wp:posOffset>
              </wp:positionH>
              <wp:positionV relativeFrom="page">
                <wp:posOffset>9432545</wp:posOffset>
              </wp:positionV>
              <wp:extent cx="2206625" cy="18161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E1"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10" id="Textbox 645" o:spid="_x0000_s1205" type="#_x0000_t202" style="position:absolute;margin-left:219.15pt;margin-top:742.7pt;width:173.75pt;height:14.3pt;z-index:-279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3imQEAACQDAAAOAAAAZHJzL2Uyb0RvYy54bWysUt1u2yAUvp+0d0DcL9iWllZ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e84UndW39bouhovr7RAxfdHgWC46&#10;HimvwkAeHzDl92V7blnIPL+fmaR5NzPbE/LNTc4x7+2gP5GaiQLtOP4+yKg5G796ciynfy7iudid&#10;i5jGT1D+SBbl4cMhgbGFwhV3oUBRFGbLt8lZ/70uXdfPvf0D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BjQjeKZ&#10;AQAAJAMAAA4AAAAAAAAAAAAAAAAALgIAAGRycy9lMm9Eb2MueG1sUEsBAi0AFAAGAAgAAAAhAN6R&#10;NCbiAAAADQEAAA8AAAAAAAAAAAAAAAAA8wMAAGRycy9kb3ducmV2LnhtbFBLBQYAAAAABAAEAPMA&#10;AAACBQAAAAA=&#10;" filled="f" stroked="f">
              <v:textbox inset="0,0,0,0">
                <w:txbxContent>
                  <w:p w14:paraId="24D632E1"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398656" behindDoc="1" locked="0" layoutInCell="1" allowOverlap="1" wp14:anchorId="24D63012" wp14:editId="24D63013">
              <wp:simplePos x="0" y="0"/>
              <wp:positionH relativeFrom="page">
                <wp:posOffset>6122923</wp:posOffset>
              </wp:positionH>
              <wp:positionV relativeFrom="page">
                <wp:posOffset>9432545</wp:posOffset>
              </wp:positionV>
              <wp:extent cx="786130" cy="18161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81610"/>
                      </a:xfrm>
                      <a:prstGeom prst="rect">
                        <a:avLst/>
                      </a:prstGeom>
                    </wps:spPr>
                    <wps:txbx>
                      <w:txbxContent>
                        <w:p w14:paraId="24D632E2" w14:textId="77777777" w:rsidR="00245300" w:rsidRDefault="00F17249">
                          <w:pPr>
                            <w:pStyle w:val="BodyText"/>
                            <w:spacing w:before="12"/>
                            <w:ind w:left="20"/>
                          </w:pPr>
                          <w:r>
                            <w:t>Page</w:t>
                          </w:r>
                          <w:r>
                            <w:rPr>
                              <w:spacing w:val="-11"/>
                            </w:rPr>
                            <w:t xml:space="preserve"> </w:t>
                          </w:r>
                          <w:r>
                            <w:t>808-</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24D63012" id="Textbox 646" o:spid="_x0000_s1206" type="#_x0000_t202" style="position:absolute;margin-left:482.1pt;margin-top:742.7pt;width:61.9pt;height:14.3pt;z-index:-279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o5mAEAACMDAAAOAAAAZHJzL2Uyb0RvYy54bWysUs2O0zAQviPxDpbv1M0i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" filled="f" stroked="f">
              <v:textbox inset="0,0,0,0">
                <w:txbxContent>
                  <w:p w14:paraId="24D632E2" w14:textId="77777777" w:rsidR="00245300" w:rsidRDefault="00F17249">
                    <w:pPr>
                      <w:pStyle w:val="BodyText"/>
                      <w:spacing w:before="12"/>
                      <w:ind w:left="20"/>
                    </w:pPr>
                    <w:r>
                      <w:t>Page</w:t>
                    </w:r>
                    <w:r>
                      <w:rPr>
                        <w:spacing w:val="-11"/>
                      </w:rPr>
                      <w:t xml:space="preserve"> </w:t>
                    </w:r>
                    <w:r>
                      <w:t>808-</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B" w14:textId="77777777" w:rsidR="00245300" w:rsidRDefault="00F17249">
    <w:pPr>
      <w:pStyle w:val="BodyText"/>
      <w:spacing w:line="14" w:lineRule="auto"/>
      <w:rPr>
        <w:sz w:val="20"/>
      </w:rPr>
    </w:pPr>
    <w:r>
      <w:rPr>
        <w:noProof/>
      </w:rPr>
      <mc:AlternateContent>
        <mc:Choice Requires="wps">
          <w:drawing>
            <wp:anchor distT="0" distB="0" distL="0" distR="0" simplePos="0" relativeHeight="475250176" behindDoc="1" locked="0" layoutInCell="1" allowOverlap="1" wp14:anchorId="24D62DCE" wp14:editId="24D62DCF">
              <wp:simplePos x="0" y="0"/>
              <wp:positionH relativeFrom="page">
                <wp:posOffset>895350</wp:posOffset>
              </wp:positionH>
              <wp:positionV relativeFrom="page">
                <wp:posOffset>9400031</wp:posOffset>
              </wp:positionV>
              <wp:extent cx="5981700" cy="2857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47A25" id="Graphic 55" o:spid="_x0000_s1026" style="position:absolute;margin-left:70.5pt;margin-top:740.15pt;width:471pt;height:2.25pt;z-index:-280663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0688" behindDoc="1" locked="0" layoutInCell="1" allowOverlap="1" wp14:anchorId="24D62DD0" wp14:editId="24D62DD1">
              <wp:simplePos x="0" y="0"/>
              <wp:positionH relativeFrom="page">
                <wp:posOffset>901700</wp:posOffset>
              </wp:positionH>
              <wp:positionV relativeFrom="page">
                <wp:posOffset>9432545</wp:posOffset>
              </wp:positionV>
              <wp:extent cx="678180" cy="1816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11"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DD0" id="_x0000_t202" coordsize="21600,21600" o:spt="202" path="m,l,21600r21600,l21600,xe">
              <v:stroke joinstyle="miter"/>
              <v:path gradientshapeok="t" o:connecttype="rect"/>
            </v:shapetype>
            <v:shape id="Textbox 56" o:spid="_x0000_s1037" type="#_x0000_t202" style="position:absolute;margin-left:71pt;margin-top:742.7pt;width:53.4pt;height:14.3pt;z-index:-280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JbeHHWXAQAA&#10;IQMAAA4AAAAAAAAAAAAAAAAALgIAAGRycy9lMm9Eb2MueG1sUEsBAi0AFAAGAAgAAAAhAK5q90Ph&#10;AAAADQEAAA8AAAAAAAAAAAAAAAAA8QMAAGRycy9kb3ducmV2LnhtbFBLBQYAAAAABAAEAPMAAAD/&#10;BAAAAAA=&#10;" filled="f" stroked="f">
              <v:textbox inset="0,0,0,0">
                <w:txbxContent>
                  <w:p w14:paraId="24D63211"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51200" behindDoc="1" locked="0" layoutInCell="1" allowOverlap="1" wp14:anchorId="24D62DD2" wp14:editId="24D62DD3">
              <wp:simplePos x="0" y="0"/>
              <wp:positionH relativeFrom="page">
                <wp:posOffset>2783105</wp:posOffset>
              </wp:positionH>
              <wp:positionV relativeFrom="page">
                <wp:posOffset>9432545</wp:posOffset>
              </wp:positionV>
              <wp:extent cx="2207260" cy="1816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1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DD2" id="Textbox 57" o:spid="_x0000_s1038" type="#_x0000_t202" style="position:absolute;margin-left:219.15pt;margin-top:742.7pt;width:173.8pt;height:14.3pt;z-index:-280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" filled="f" stroked="f">
              <v:textbox inset="0,0,0,0">
                <w:txbxContent>
                  <w:p w14:paraId="24D6321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51712" behindDoc="1" locked="0" layoutInCell="1" allowOverlap="1" wp14:anchorId="24D62DD4" wp14:editId="24D62DD5">
              <wp:simplePos x="0" y="0"/>
              <wp:positionH relativeFrom="page">
                <wp:posOffset>6123116</wp:posOffset>
              </wp:positionH>
              <wp:positionV relativeFrom="page">
                <wp:posOffset>9432545</wp:posOffset>
              </wp:positionV>
              <wp:extent cx="747395" cy="1816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13" w14:textId="77777777" w:rsidR="00245300" w:rsidRDefault="00F17249">
                          <w:pPr>
                            <w:pStyle w:val="BodyText"/>
                            <w:spacing w:before="12"/>
                            <w:ind w:left="20"/>
                          </w:pPr>
                          <w:r>
                            <w:t>Page</w:t>
                          </w:r>
                          <w:r>
                            <w:rPr>
                              <w:spacing w:val="-12"/>
                            </w:rPr>
                            <w:t xml:space="preserve"> </w:t>
                          </w:r>
                          <w:r>
                            <w:t>600-</w:t>
                          </w:r>
                          <w:r>
                            <w:rPr>
                              <w:spacing w:val="-10"/>
                            </w:rPr>
                            <w:t>1</w:t>
                          </w:r>
                        </w:p>
                      </w:txbxContent>
                    </wps:txbx>
                    <wps:bodyPr wrap="square" lIns="0" tIns="0" rIns="0" bIns="0" rtlCol="0">
                      <a:noAutofit/>
                    </wps:bodyPr>
                  </wps:wsp>
                </a:graphicData>
              </a:graphic>
            </wp:anchor>
          </w:drawing>
        </mc:Choice>
        <mc:Fallback>
          <w:pict>
            <v:shape w14:anchorId="24D62DD4" id="Textbox 58" o:spid="_x0000_s1039" type="#_x0000_t202" style="position:absolute;margin-left:482.15pt;margin-top:742.7pt;width:58.85pt;height:14.3pt;z-index:-280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" filled="f" stroked="f">
              <v:textbox inset="0,0,0,0">
                <w:txbxContent>
                  <w:p w14:paraId="24D63213" w14:textId="77777777" w:rsidR="00245300" w:rsidRDefault="00F17249">
                    <w:pPr>
                      <w:pStyle w:val="BodyText"/>
                      <w:spacing w:before="12"/>
                      <w:ind w:left="20"/>
                    </w:pPr>
                    <w:r>
                      <w:t>Page</w:t>
                    </w:r>
                    <w:r>
                      <w:rPr>
                        <w:spacing w:val="-12"/>
                      </w:rPr>
                      <w:t xml:space="preserve"> </w:t>
                    </w:r>
                    <w:r>
                      <w:t>600-</w:t>
                    </w:r>
                    <w:r>
                      <w:rPr>
                        <w:spacing w:val="-10"/>
                      </w:rPr>
                      <w:t>1</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5" w14:textId="77777777" w:rsidR="00245300" w:rsidRDefault="00F17249">
    <w:pPr>
      <w:pStyle w:val="BodyText"/>
      <w:spacing w:line="14" w:lineRule="auto"/>
      <w:rPr>
        <w:sz w:val="20"/>
      </w:rPr>
    </w:pPr>
    <w:r>
      <w:rPr>
        <w:noProof/>
      </w:rPr>
      <mc:AlternateContent>
        <mc:Choice Requires="wps">
          <w:drawing>
            <wp:anchor distT="0" distB="0" distL="0" distR="0" simplePos="0" relativeHeight="475400704" behindDoc="1" locked="0" layoutInCell="1" allowOverlap="1" wp14:anchorId="24D6301A" wp14:editId="24D6301B">
              <wp:simplePos x="0" y="0"/>
              <wp:positionH relativeFrom="page">
                <wp:posOffset>666750</wp:posOffset>
              </wp:positionH>
              <wp:positionV relativeFrom="page">
                <wp:posOffset>7123176</wp:posOffset>
              </wp:positionV>
              <wp:extent cx="8496300" cy="1905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6B376F" id="Graphic 651" o:spid="_x0000_s1026" style="position:absolute;margin-left:52.5pt;margin-top:560.9pt;width:669pt;height:1.5pt;z-index:-27915776;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rPr>
      <mc:AlternateContent>
        <mc:Choice Requires="wps">
          <w:drawing>
            <wp:anchor distT="0" distB="0" distL="0" distR="0" simplePos="0" relativeHeight="475401216" behindDoc="1" locked="0" layoutInCell="1" allowOverlap="1" wp14:anchorId="24D6301C" wp14:editId="24D6301D">
              <wp:simplePos x="0" y="0"/>
              <wp:positionH relativeFrom="page">
                <wp:posOffset>673100</wp:posOffset>
              </wp:positionH>
              <wp:positionV relativeFrom="page">
                <wp:posOffset>7146545</wp:posOffset>
              </wp:positionV>
              <wp:extent cx="678180" cy="18161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E5"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1C" id="_x0000_t202" coordsize="21600,21600" o:spt="202" path="m,l,21600r21600,l21600,xe">
              <v:stroke joinstyle="miter"/>
              <v:path gradientshapeok="t" o:connecttype="rect"/>
            </v:shapetype>
            <v:shape id="Textbox 652" o:spid="_x0000_s1208" type="#_x0000_t202" style="position:absolute;margin-left:53pt;margin-top:562.7pt;width:53.4pt;height:14.3pt;z-index:-27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" filled="f" stroked="f">
              <v:textbox inset="0,0,0,0">
                <w:txbxContent>
                  <w:p w14:paraId="24D632E5"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01728" behindDoc="1" locked="0" layoutInCell="1" allowOverlap="1" wp14:anchorId="24D6301E" wp14:editId="24D6301F">
              <wp:simplePos x="0" y="0"/>
              <wp:positionH relativeFrom="page">
                <wp:posOffset>3697478</wp:posOffset>
              </wp:positionH>
              <wp:positionV relativeFrom="page">
                <wp:posOffset>7146545</wp:posOffset>
              </wp:positionV>
              <wp:extent cx="2206625" cy="18161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E6"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1E" id="Textbox 653" o:spid="_x0000_s1209" type="#_x0000_t202" style="position:absolute;margin-left:291.15pt;margin-top:562.7pt;width:173.75pt;height:14.3pt;z-index:-279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" filled="f" stroked="f">
              <v:textbox inset="0,0,0,0">
                <w:txbxContent>
                  <w:p w14:paraId="24D632E6"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02240" behindDoc="1" locked="0" layoutInCell="1" allowOverlap="1" wp14:anchorId="24D63020" wp14:editId="24D63021">
              <wp:simplePos x="0" y="0"/>
              <wp:positionH relativeFrom="page">
                <wp:posOffset>8408923</wp:posOffset>
              </wp:positionH>
              <wp:positionV relativeFrom="page">
                <wp:posOffset>7146545</wp:posOffset>
              </wp:positionV>
              <wp:extent cx="785495" cy="18161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E7" w14:textId="77777777" w:rsidR="00245300" w:rsidRDefault="00F17249">
                          <w:pPr>
                            <w:pStyle w:val="BodyText"/>
                            <w:spacing w:before="12"/>
                            <w:ind w:left="20"/>
                          </w:pPr>
                          <w:r>
                            <w:t>Page</w:t>
                          </w:r>
                          <w:r>
                            <w:rPr>
                              <w:spacing w:val="-12"/>
                            </w:rPr>
                            <w:t xml:space="preserve"> </w:t>
                          </w:r>
                          <w:r>
                            <w:t>809-</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20" id="Textbox 654" o:spid="_x0000_s1210" type="#_x0000_t202" style="position:absolute;margin-left:662.1pt;margin-top:562.7pt;width:61.85pt;height:14.3pt;z-index:-279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" filled="f" stroked="f">
              <v:textbox inset="0,0,0,0">
                <w:txbxContent>
                  <w:p w14:paraId="24D632E7" w14:textId="77777777" w:rsidR="00245300" w:rsidRDefault="00F17249">
                    <w:pPr>
                      <w:pStyle w:val="BodyText"/>
                      <w:spacing w:before="12"/>
                      <w:ind w:left="20"/>
                    </w:pPr>
                    <w:r>
                      <w:t>Page</w:t>
                    </w:r>
                    <w:r>
                      <w:rPr>
                        <w:spacing w:val="-12"/>
                      </w:rPr>
                      <w:t xml:space="preserve"> </w:t>
                    </w:r>
                    <w:r>
                      <w:t>809-</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7" w14:textId="77777777" w:rsidR="00245300" w:rsidRDefault="00F17249">
    <w:pPr>
      <w:pStyle w:val="BodyText"/>
      <w:spacing w:line="14" w:lineRule="auto"/>
      <w:rPr>
        <w:sz w:val="20"/>
      </w:rPr>
    </w:pPr>
    <w:r>
      <w:rPr>
        <w:noProof/>
      </w:rPr>
      <mc:AlternateContent>
        <mc:Choice Requires="wps">
          <w:drawing>
            <wp:anchor distT="0" distB="0" distL="0" distR="0" simplePos="0" relativeHeight="475404288" behindDoc="1" locked="0" layoutInCell="1" allowOverlap="1" wp14:anchorId="24D63028" wp14:editId="24D63029">
              <wp:simplePos x="0" y="0"/>
              <wp:positionH relativeFrom="page">
                <wp:posOffset>895350</wp:posOffset>
              </wp:positionH>
              <wp:positionV relativeFrom="page">
                <wp:posOffset>9409176</wp:posOffset>
              </wp:positionV>
              <wp:extent cx="5981700" cy="1905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71E68D" id="Graphic 671" o:spid="_x0000_s1026" style="position:absolute;margin-left:70.5pt;margin-top:740.9pt;width:471pt;height:1.5pt;z-index:-27912192;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404800" behindDoc="1" locked="0" layoutInCell="1" allowOverlap="1" wp14:anchorId="24D6302A" wp14:editId="24D6302B">
              <wp:simplePos x="0" y="0"/>
              <wp:positionH relativeFrom="page">
                <wp:posOffset>901700</wp:posOffset>
              </wp:positionH>
              <wp:positionV relativeFrom="page">
                <wp:posOffset>9432545</wp:posOffset>
              </wp:positionV>
              <wp:extent cx="678180" cy="18161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EA"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2A" id="_x0000_t202" coordsize="21600,21600" o:spt="202" path="m,l,21600r21600,l21600,xe">
              <v:stroke joinstyle="miter"/>
              <v:path gradientshapeok="t" o:connecttype="rect"/>
            </v:shapetype>
            <v:shape id="Textbox 672" o:spid="_x0000_s1212" type="#_x0000_t202" style="position:absolute;margin-left:71pt;margin-top:742.7pt;width:53.4pt;height:14.3pt;z-index:-279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yvmAEAACMDAAAOAAAAZHJzL2Uyb0RvYy54bWysUs2O0zAQviPtO1i+b92sV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o2I9/nGPPeDtoTixk5z0bSz4NGK8XwKbBhOfxzgedidy4w&#10;DY9QnkjWFODdIYHrC4Ur7kyBkyjM5leTo/79v0xd3/b2F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9YLyvmAEA&#10;ACMDAAAOAAAAAAAAAAAAAAAAAC4CAABkcnMvZTJvRG9jLnhtbFBLAQItABQABgAIAAAAIQCuavdD&#10;4QAAAA0BAAAPAAAAAAAAAAAAAAAAAPIDAABkcnMvZG93bnJldi54bWxQSwUGAAAAAAQABADzAAAA&#10;AAUAAAAA&#10;" filled="f" stroked="f">
              <v:textbox inset="0,0,0,0">
                <w:txbxContent>
                  <w:p w14:paraId="24D632EA"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05312" behindDoc="1" locked="0" layoutInCell="1" allowOverlap="1" wp14:anchorId="24D6302C" wp14:editId="24D6302D">
              <wp:simplePos x="0" y="0"/>
              <wp:positionH relativeFrom="page">
                <wp:posOffset>2783077</wp:posOffset>
              </wp:positionH>
              <wp:positionV relativeFrom="page">
                <wp:posOffset>9432545</wp:posOffset>
              </wp:positionV>
              <wp:extent cx="2206625" cy="18161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E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2C" id="Textbox 673" o:spid="_x0000_s1213" type="#_x0000_t202" style="position:absolute;margin-left:219.15pt;margin-top:742.7pt;width:173.75pt;height:14.3pt;z-index:-279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mN623ZgB&#10;AAAkAwAADgAAAAAAAAAAAAAAAAAuAgAAZHJzL2Uyb0RvYy54bWxQSwECLQAUAAYACAAAACEA3pE0&#10;JuIAAAANAQAADwAAAAAAAAAAAAAAAADyAwAAZHJzL2Rvd25yZXYueG1sUEsFBgAAAAAEAAQA8wAA&#10;AAEFAAAAAA==&#10;" filled="f" stroked="f">
              <v:textbox inset="0,0,0,0">
                <w:txbxContent>
                  <w:p w14:paraId="24D632EB"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05824" behindDoc="1" locked="0" layoutInCell="1" allowOverlap="1" wp14:anchorId="24D6302E" wp14:editId="24D6302F">
              <wp:simplePos x="0" y="0"/>
              <wp:positionH relativeFrom="page">
                <wp:posOffset>6122923</wp:posOffset>
              </wp:positionH>
              <wp:positionV relativeFrom="page">
                <wp:posOffset>9432545</wp:posOffset>
              </wp:positionV>
              <wp:extent cx="785495" cy="18161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EC" w14:textId="77777777" w:rsidR="00245300" w:rsidRDefault="00F17249">
                          <w:pPr>
                            <w:pStyle w:val="BodyText"/>
                            <w:spacing w:before="12"/>
                            <w:ind w:left="20"/>
                          </w:pPr>
                          <w:r>
                            <w:t>Page</w:t>
                          </w:r>
                          <w:r>
                            <w:rPr>
                              <w:spacing w:val="-11"/>
                            </w:rPr>
                            <w:t xml:space="preserve"> </w:t>
                          </w:r>
                          <w:r>
                            <w:t>809-</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24D6302E" id="Textbox 674" o:spid="_x0000_s1214" type="#_x0000_t202" style="position:absolute;margin-left:482.1pt;margin-top:742.7pt;width:61.85pt;height:14.3pt;z-index:-279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" filled="f" stroked="f">
              <v:textbox inset="0,0,0,0">
                <w:txbxContent>
                  <w:p w14:paraId="24D632EC" w14:textId="77777777" w:rsidR="00245300" w:rsidRDefault="00F17249">
                    <w:pPr>
                      <w:pStyle w:val="BodyText"/>
                      <w:spacing w:before="12"/>
                      <w:ind w:left="20"/>
                    </w:pPr>
                    <w:r>
                      <w:t>Page</w:t>
                    </w:r>
                    <w:r>
                      <w:rPr>
                        <w:spacing w:val="-11"/>
                      </w:rPr>
                      <w:t xml:space="preserve"> </w:t>
                    </w:r>
                    <w:r>
                      <w:t>809-</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9" w14:textId="77777777" w:rsidR="00245300" w:rsidRDefault="00F17249">
    <w:pPr>
      <w:pStyle w:val="BodyText"/>
      <w:spacing w:line="14" w:lineRule="auto"/>
      <w:rPr>
        <w:sz w:val="20"/>
      </w:rPr>
    </w:pPr>
    <w:r>
      <w:rPr>
        <w:noProof/>
      </w:rPr>
      <mc:AlternateContent>
        <mc:Choice Requires="wps">
          <w:drawing>
            <wp:anchor distT="0" distB="0" distL="0" distR="0" simplePos="0" relativeHeight="475407872" behindDoc="1" locked="0" layoutInCell="1" allowOverlap="1" wp14:anchorId="24D63036" wp14:editId="24D63037">
              <wp:simplePos x="0" y="0"/>
              <wp:positionH relativeFrom="page">
                <wp:posOffset>666750</wp:posOffset>
              </wp:positionH>
              <wp:positionV relativeFrom="page">
                <wp:posOffset>7123176</wp:posOffset>
              </wp:positionV>
              <wp:extent cx="8496300" cy="19050"/>
              <wp:effectExtent l="0" t="0" r="0" b="0"/>
              <wp:wrapNone/>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55EA7C" id="Graphic 679" o:spid="_x0000_s1026" style="position:absolute;margin-left:52.5pt;margin-top:560.9pt;width:669pt;height:1.5pt;z-index:-27908608;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rPr>
      <mc:AlternateContent>
        <mc:Choice Requires="wps">
          <w:drawing>
            <wp:anchor distT="0" distB="0" distL="0" distR="0" simplePos="0" relativeHeight="475408384" behindDoc="1" locked="0" layoutInCell="1" allowOverlap="1" wp14:anchorId="24D63038" wp14:editId="24D63039">
              <wp:simplePos x="0" y="0"/>
              <wp:positionH relativeFrom="page">
                <wp:posOffset>673100</wp:posOffset>
              </wp:positionH>
              <wp:positionV relativeFrom="page">
                <wp:posOffset>7146545</wp:posOffset>
              </wp:positionV>
              <wp:extent cx="678180" cy="18161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EF"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38" id="_x0000_t202" coordsize="21600,21600" o:spt="202" path="m,l,21600r21600,l21600,xe">
              <v:stroke joinstyle="miter"/>
              <v:path gradientshapeok="t" o:connecttype="rect"/>
            </v:shapetype>
            <v:shape id="Textbox 680" o:spid="_x0000_s1216" type="#_x0000_t202" style="position:absolute;margin-left:53pt;margin-top:562.7pt;width:53.4pt;height:14.3pt;z-index:-2790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" filled="f" stroked="f">
              <v:textbox inset="0,0,0,0">
                <w:txbxContent>
                  <w:p w14:paraId="24D632EF"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08896" behindDoc="1" locked="0" layoutInCell="1" allowOverlap="1" wp14:anchorId="24D6303A" wp14:editId="24D6303B">
              <wp:simplePos x="0" y="0"/>
              <wp:positionH relativeFrom="page">
                <wp:posOffset>3697478</wp:posOffset>
              </wp:positionH>
              <wp:positionV relativeFrom="page">
                <wp:posOffset>7146545</wp:posOffset>
              </wp:positionV>
              <wp:extent cx="2206625" cy="18161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F0"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3A" id="Textbox 681" o:spid="_x0000_s1217" type="#_x0000_t202" style="position:absolute;margin-left:291.15pt;margin-top:562.7pt;width:173.75pt;height:14.3pt;z-index:-279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mAEAACQDAAAOAAAAZHJzL2Uyb0RvYy54bWysUt1u2yAUvp/Ud0DcN9iWGn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" filled="f" stroked="f">
              <v:textbox inset="0,0,0,0">
                <w:txbxContent>
                  <w:p w14:paraId="24D632F0"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09408" behindDoc="1" locked="0" layoutInCell="1" allowOverlap="1" wp14:anchorId="24D6303C" wp14:editId="24D6303D">
              <wp:simplePos x="0" y="0"/>
              <wp:positionH relativeFrom="page">
                <wp:posOffset>8408923</wp:posOffset>
              </wp:positionH>
              <wp:positionV relativeFrom="page">
                <wp:posOffset>7146545</wp:posOffset>
              </wp:positionV>
              <wp:extent cx="785495" cy="18161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F1" w14:textId="77777777" w:rsidR="00245300" w:rsidRDefault="00F17249">
                          <w:pPr>
                            <w:pStyle w:val="BodyText"/>
                            <w:spacing w:before="12"/>
                            <w:ind w:left="20"/>
                          </w:pPr>
                          <w:r>
                            <w:t>Page</w:t>
                          </w:r>
                          <w:r>
                            <w:rPr>
                              <w:spacing w:val="-12"/>
                            </w:rPr>
                            <w:t xml:space="preserve"> </w:t>
                          </w:r>
                          <w:r>
                            <w:t>810-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3C" id="Textbox 682" o:spid="_x0000_s1218" type="#_x0000_t202" style="position:absolute;margin-left:662.1pt;margin-top:562.7pt;width:61.85pt;height:14.3pt;z-index:-279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" filled="f" stroked="f">
              <v:textbox inset="0,0,0,0">
                <w:txbxContent>
                  <w:p w14:paraId="24D632F1" w14:textId="77777777" w:rsidR="00245300" w:rsidRDefault="00F17249">
                    <w:pPr>
                      <w:pStyle w:val="BodyText"/>
                      <w:spacing w:before="12"/>
                      <w:ind w:left="20"/>
                    </w:pPr>
                    <w:r>
                      <w:t>Page</w:t>
                    </w:r>
                    <w:r>
                      <w:rPr>
                        <w:spacing w:val="-12"/>
                      </w:rPr>
                      <w:t xml:space="preserve"> </w:t>
                    </w:r>
                    <w:r>
                      <w:t>810-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B" w14:textId="77777777" w:rsidR="00245300" w:rsidRDefault="00F17249">
    <w:pPr>
      <w:pStyle w:val="BodyText"/>
      <w:spacing w:line="14" w:lineRule="auto"/>
      <w:rPr>
        <w:sz w:val="20"/>
      </w:rPr>
    </w:pPr>
    <w:r>
      <w:rPr>
        <w:noProof/>
      </w:rPr>
      <mc:AlternateContent>
        <mc:Choice Requires="wps">
          <w:drawing>
            <wp:anchor distT="0" distB="0" distL="0" distR="0" simplePos="0" relativeHeight="475409920" behindDoc="1" locked="0" layoutInCell="1" allowOverlap="1" wp14:anchorId="24D6303E" wp14:editId="24D6303F">
              <wp:simplePos x="0" y="0"/>
              <wp:positionH relativeFrom="page">
                <wp:posOffset>901700</wp:posOffset>
              </wp:positionH>
              <wp:positionV relativeFrom="page">
                <wp:posOffset>9432545</wp:posOffset>
              </wp:positionV>
              <wp:extent cx="678180" cy="18161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F2"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3E" id="_x0000_t202" coordsize="21600,21600" o:spt="202" path="m,l,21600r21600,l21600,xe">
              <v:stroke joinstyle="miter"/>
              <v:path gradientshapeok="t" o:connecttype="rect"/>
            </v:shapetype>
            <v:shape id="Textbox 701" o:spid="_x0000_s1219" type="#_x0000_t202" style="position:absolute;margin-left:71pt;margin-top:742.7pt;width:53.4pt;height:14.3pt;z-index:-279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MpxsrmAEA&#10;ACMDAAAOAAAAAAAAAAAAAAAAAC4CAABkcnMvZTJvRG9jLnhtbFBLAQItABQABgAIAAAAIQCuavdD&#10;4QAAAA0BAAAPAAAAAAAAAAAAAAAAAPIDAABkcnMvZG93bnJldi54bWxQSwUGAAAAAAQABADzAAAA&#10;AAUAAAAA&#10;" filled="f" stroked="f">
              <v:textbox inset="0,0,0,0">
                <w:txbxContent>
                  <w:p w14:paraId="24D632F2"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10432" behindDoc="1" locked="0" layoutInCell="1" allowOverlap="1" wp14:anchorId="24D63040" wp14:editId="24D63041">
              <wp:simplePos x="0" y="0"/>
              <wp:positionH relativeFrom="page">
                <wp:posOffset>2783077</wp:posOffset>
              </wp:positionH>
              <wp:positionV relativeFrom="page">
                <wp:posOffset>9432545</wp:posOffset>
              </wp:positionV>
              <wp:extent cx="2207260" cy="18161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F3"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40" id="Textbox 702" o:spid="_x0000_s1220" type="#_x0000_t202" style="position:absolute;margin-left:219.15pt;margin-top:742.7pt;width:173.8pt;height:14.3pt;z-index:-279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BjmiOOZ&#10;AQAAJAMAAA4AAAAAAAAAAAAAAAAALgIAAGRycy9lMm9Eb2MueG1sUEsBAi0AFAAGAAgAAAAhAPpI&#10;M0XiAAAADQEAAA8AAAAAAAAAAAAAAAAA8wMAAGRycy9kb3ducmV2LnhtbFBLBQYAAAAABAAEAPMA&#10;AAACBQAAAAA=&#10;" filled="f" stroked="f">
              <v:textbox inset="0,0,0,0">
                <w:txbxContent>
                  <w:p w14:paraId="24D632F3"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10944" behindDoc="1" locked="0" layoutInCell="1" allowOverlap="1" wp14:anchorId="24D63042" wp14:editId="24D63043">
              <wp:simplePos x="0" y="0"/>
              <wp:positionH relativeFrom="page">
                <wp:posOffset>6122923</wp:posOffset>
              </wp:positionH>
              <wp:positionV relativeFrom="page">
                <wp:posOffset>9432545</wp:posOffset>
              </wp:positionV>
              <wp:extent cx="748030" cy="18161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181610"/>
                      </a:xfrm>
                      <a:prstGeom prst="rect">
                        <a:avLst/>
                      </a:prstGeom>
                    </wps:spPr>
                    <wps:txbx>
                      <w:txbxContent>
                        <w:p w14:paraId="24D632F4" w14:textId="77777777" w:rsidR="00245300" w:rsidRDefault="00F17249">
                          <w:pPr>
                            <w:pStyle w:val="BodyText"/>
                            <w:spacing w:before="12"/>
                            <w:ind w:left="20"/>
                          </w:pPr>
                          <w:r>
                            <w:t>Page</w:t>
                          </w:r>
                          <w:r>
                            <w:rPr>
                              <w:spacing w:val="-12"/>
                            </w:rPr>
                            <w:t xml:space="preserve"> </w:t>
                          </w:r>
                          <w:r>
                            <w:t>810-</w:t>
                          </w:r>
                          <w:r>
                            <w:rPr>
                              <w:spacing w:val="-10"/>
                            </w:rPr>
                            <w:t>3</w:t>
                          </w:r>
                        </w:p>
                      </w:txbxContent>
                    </wps:txbx>
                    <wps:bodyPr wrap="square" lIns="0" tIns="0" rIns="0" bIns="0" rtlCol="0">
                      <a:noAutofit/>
                    </wps:bodyPr>
                  </wps:wsp>
                </a:graphicData>
              </a:graphic>
            </wp:anchor>
          </w:drawing>
        </mc:Choice>
        <mc:Fallback>
          <w:pict>
            <v:shape w14:anchorId="24D63042" id="Textbox 703" o:spid="_x0000_s1221" type="#_x0000_t202" style="position:absolute;margin-left:482.1pt;margin-top:742.7pt;width:58.9pt;height:14.3pt;z-index:-279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" filled="f" stroked="f">
              <v:textbox inset="0,0,0,0">
                <w:txbxContent>
                  <w:p w14:paraId="24D632F4" w14:textId="77777777" w:rsidR="00245300" w:rsidRDefault="00F17249">
                    <w:pPr>
                      <w:pStyle w:val="BodyText"/>
                      <w:spacing w:before="12"/>
                      <w:ind w:left="20"/>
                    </w:pPr>
                    <w:r>
                      <w:t>Page</w:t>
                    </w:r>
                    <w:r>
                      <w:rPr>
                        <w:spacing w:val="-12"/>
                      </w:rPr>
                      <w:t xml:space="preserve"> </w:t>
                    </w:r>
                    <w:r>
                      <w:t>810-</w:t>
                    </w:r>
                    <w:r>
                      <w:rPr>
                        <w:spacing w:val="-10"/>
                      </w:rPr>
                      <w:t>3</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D" w14:textId="77777777" w:rsidR="00245300" w:rsidRDefault="00F17249">
    <w:pPr>
      <w:pStyle w:val="BodyText"/>
      <w:spacing w:line="14" w:lineRule="auto"/>
      <w:rPr>
        <w:sz w:val="20"/>
      </w:rPr>
    </w:pPr>
    <w:r>
      <w:rPr>
        <w:noProof/>
      </w:rPr>
      <mc:AlternateContent>
        <mc:Choice Requires="wps">
          <w:drawing>
            <wp:anchor distT="0" distB="0" distL="0" distR="0" simplePos="0" relativeHeight="475412992" behindDoc="1" locked="0" layoutInCell="1" allowOverlap="1" wp14:anchorId="24D6304A" wp14:editId="24D6304B">
              <wp:simplePos x="0" y="0"/>
              <wp:positionH relativeFrom="page">
                <wp:posOffset>666750</wp:posOffset>
              </wp:positionH>
              <wp:positionV relativeFrom="page">
                <wp:posOffset>7123176</wp:posOffset>
              </wp:positionV>
              <wp:extent cx="8496300" cy="19050"/>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3DAB2" id="Graphic 711" o:spid="_x0000_s1026" style="position:absolute;margin-left:52.5pt;margin-top:560.9pt;width:669pt;height:1.5pt;z-index:-27903488;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rPr>
      <mc:AlternateContent>
        <mc:Choice Requires="wps">
          <w:drawing>
            <wp:anchor distT="0" distB="0" distL="0" distR="0" simplePos="0" relativeHeight="475413504" behindDoc="1" locked="0" layoutInCell="1" allowOverlap="1" wp14:anchorId="24D6304C" wp14:editId="24D6304D">
              <wp:simplePos x="0" y="0"/>
              <wp:positionH relativeFrom="page">
                <wp:posOffset>673100</wp:posOffset>
              </wp:positionH>
              <wp:positionV relativeFrom="page">
                <wp:posOffset>7146545</wp:posOffset>
              </wp:positionV>
              <wp:extent cx="678180" cy="18161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F7"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4C" id="_x0000_t202" coordsize="21600,21600" o:spt="202" path="m,l,21600r21600,l21600,xe">
              <v:stroke joinstyle="miter"/>
              <v:path gradientshapeok="t" o:connecttype="rect"/>
            </v:shapetype>
            <v:shape id="Textbox 712" o:spid="_x0000_s1223" type="#_x0000_t202" style="position:absolute;margin-left:53pt;margin-top:562.7pt;width:53.4pt;height:14.3pt;z-index:-279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k2mAEAACMDAAAOAAAAZHJzL2Uyb0RvYy54bWysUs2O0zAQviPxDpbv1M1KlB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Z+f3bHGPe20F7YjEj59lI+n3QaKUYvgY2LId/LvBc7M4F&#10;puETlCeSNQX4cEjg+kLhijtT4CQKs/nV5Kj//i9T17e9/QM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DRwNk2mAEA&#10;ACMDAAAOAAAAAAAAAAAAAAAAAC4CAABkcnMvZTJvRG9jLnhtbFBLAQItABQABgAIAAAAIQCOyORU&#10;4QAAAA0BAAAPAAAAAAAAAAAAAAAAAPIDAABkcnMvZG93bnJldi54bWxQSwUGAAAAAAQABADzAAAA&#10;AAUAAAAA&#10;" filled="f" stroked="f">
              <v:textbox inset="0,0,0,0">
                <w:txbxContent>
                  <w:p w14:paraId="24D632F7"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14016" behindDoc="1" locked="0" layoutInCell="1" allowOverlap="1" wp14:anchorId="24D6304E" wp14:editId="24D6304F">
              <wp:simplePos x="0" y="0"/>
              <wp:positionH relativeFrom="page">
                <wp:posOffset>3697478</wp:posOffset>
              </wp:positionH>
              <wp:positionV relativeFrom="page">
                <wp:posOffset>7146545</wp:posOffset>
              </wp:positionV>
              <wp:extent cx="2207260" cy="181610"/>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F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4E" id="Textbox 713" o:spid="_x0000_s1224" type="#_x0000_t202" style="position:absolute;margin-left:291.15pt;margin-top:562.7pt;width:173.8pt;height:14.3pt;z-index:-279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" filled="f" stroked="f">
              <v:textbox inset="0,0,0,0">
                <w:txbxContent>
                  <w:p w14:paraId="24D632F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14528" behindDoc="1" locked="0" layoutInCell="1" allowOverlap="1" wp14:anchorId="24D63050" wp14:editId="24D63051">
              <wp:simplePos x="0" y="0"/>
              <wp:positionH relativeFrom="page">
                <wp:posOffset>8408923</wp:posOffset>
              </wp:positionH>
              <wp:positionV relativeFrom="page">
                <wp:posOffset>7146545</wp:posOffset>
              </wp:positionV>
              <wp:extent cx="785495" cy="18161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F9" w14:textId="77777777" w:rsidR="00245300" w:rsidRDefault="00F17249">
                          <w:pPr>
                            <w:pStyle w:val="BodyText"/>
                            <w:spacing w:before="12"/>
                            <w:ind w:left="20"/>
                          </w:pPr>
                          <w:r>
                            <w:t>Page</w:t>
                          </w:r>
                          <w:r>
                            <w:rPr>
                              <w:spacing w:val="-12"/>
                            </w:rPr>
                            <w:t xml:space="preserve"> </w:t>
                          </w:r>
                          <w:r>
                            <w:t>811-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50" id="Textbox 714" o:spid="_x0000_s1225" type="#_x0000_t202" style="position:absolute;margin-left:662.1pt;margin-top:562.7pt;width:61.85pt;height:14.3pt;z-index:-279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" filled="f" stroked="f">
              <v:textbox inset="0,0,0,0">
                <w:txbxContent>
                  <w:p w14:paraId="24D632F9" w14:textId="77777777" w:rsidR="00245300" w:rsidRDefault="00F17249">
                    <w:pPr>
                      <w:pStyle w:val="BodyText"/>
                      <w:spacing w:before="12"/>
                      <w:ind w:left="20"/>
                    </w:pPr>
                    <w:r>
                      <w:t>Page</w:t>
                    </w:r>
                    <w:r>
                      <w:rPr>
                        <w:spacing w:val="-12"/>
                      </w:rPr>
                      <w:t xml:space="preserve"> </w:t>
                    </w:r>
                    <w:r>
                      <w:t>811-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F" w14:textId="77777777" w:rsidR="00245300" w:rsidRDefault="00F17249">
    <w:pPr>
      <w:pStyle w:val="BodyText"/>
      <w:spacing w:line="14" w:lineRule="auto"/>
      <w:rPr>
        <w:sz w:val="20"/>
      </w:rPr>
    </w:pPr>
    <w:r>
      <w:rPr>
        <w:noProof/>
      </w:rPr>
      <mc:AlternateContent>
        <mc:Choice Requires="wps">
          <w:drawing>
            <wp:anchor distT="0" distB="0" distL="0" distR="0" simplePos="0" relativeHeight="475416576" behindDoc="1" locked="0" layoutInCell="1" allowOverlap="1" wp14:anchorId="24D63058" wp14:editId="24D63059">
              <wp:simplePos x="0" y="0"/>
              <wp:positionH relativeFrom="page">
                <wp:posOffset>895350</wp:posOffset>
              </wp:positionH>
              <wp:positionV relativeFrom="page">
                <wp:posOffset>9409176</wp:posOffset>
              </wp:positionV>
              <wp:extent cx="5981700" cy="1905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1F442C" id="Graphic 745" o:spid="_x0000_s1026" style="position:absolute;margin-left:70.5pt;margin-top:740.9pt;width:471pt;height:1.5pt;z-index:-2789990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rPr>
      <mc:AlternateContent>
        <mc:Choice Requires="wps">
          <w:drawing>
            <wp:anchor distT="0" distB="0" distL="0" distR="0" simplePos="0" relativeHeight="475417088" behindDoc="1" locked="0" layoutInCell="1" allowOverlap="1" wp14:anchorId="24D6305A" wp14:editId="24D6305B">
              <wp:simplePos x="0" y="0"/>
              <wp:positionH relativeFrom="page">
                <wp:posOffset>901700</wp:posOffset>
              </wp:positionH>
              <wp:positionV relativeFrom="page">
                <wp:posOffset>9432545</wp:posOffset>
              </wp:positionV>
              <wp:extent cx="678180" cy="181610"/>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FC"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5A" id="_x0000_t202" coordsize="21600,21600" o:spt="202" path="m,l,21600r21600,l21600,xe">
              <v:stroke joinstyle="miter"/>
              <v:path gradientshapeok="t" o:connecttype="rect"/>
            </v:shapetype>
            <v:shape id="Textbox 746" o:spid="_x0000_s1227" type="#_x0000_t202" style="position:absolute;margin-left:71pt;margin-top:742.7pt;width:53.4pt;height:14.3pt;z-index:-278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2aZ8QmAEA&#10;ACMDAAAOAAAAAAAAAAAAAAAAAC4CAABkcnMvZTJvRG9jLnhtbFBLAQItABQABgAIAAAAIQCuavdD&#10;4QAAAA0BAAAPAAAAAAAAAAAAAAAAAPIDAABkcnMvZG93bnJldi54bWxQSwUGAAAAAAQABADzAAAA&#10;AAUAAAAA&#10;" filled="f" stroked="f">
              <v:textbox inset="0,0,0,0">
                <w:txbxContent>
                  <w:p w14:paraId="24D632FC"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17600" behindDoc="1" locked="0" layoutInCell="1" allowOverlap="1" wp14:anchorId="24D6305C" wp14:editId="24D6305D">
              <wp:simplePos x="0" y="0"/>
              <wp:positionH relativeFrom="page">
                <wp:posOffset>2783077</wp:posOffset>
              </wp:positionH>
              <wp:positionV relativeFrom="page">
                <wp:posOffset>9432545</wp:posOffset>
              </wp:positionV>
              <wp:extent cx="2206625" cy="18161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2F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5C" id="Textbox 747" o:spid="_x0000_s1228" type="#_x0000_t202" style="position:absolute;margin-left:219.15pt;margin-top:742.7pt;width:173.75pt;height:14.3pt;z-index:-278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EaoBsOZ&#10;AQAAJAMAAA4AAAAAAAAAAAAAAAAALgIAAGRycy9lMm9Eb2MueG1sUEsBAi0AFAAGAAgAAAAhAN6R&#10;NCbiAAAADQEAAA8AAAAAAAAAAAAAAAAA8wMAAGRycy9kb3ducmV2LnhtbFBLBQYAAAAABAAEAPMA&#10;AAACBQAAAAA=&#10;" filled="f" stroked="f">
              <v:textbox inset="0,0,0,0">
                <w:txbxContent>
                  <w:p w14:paraId="24D632FD"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18112" behindDoc="1" locked="0" layoutInCell="1" allowOverlap="1" wp14:anchorId="24D6305E" wp14:editId="24D6305F">
              <wp:simplePos x="0" y="0"/>
              <wp:positionH relativeFrom="page">
                <wp:posOffset>6122923</wp:posOffset>
              </wp:positionH>
              <wp:positionV relativeFrom="page">
                <wp:posOffset>9432545</wp:posOffset>
              </wp:positionV>
              <wp:extent cx="785495" cy="18161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2FE" w14:textId="77777777" w:rsidR="00245300" w:rsidRDefault="00F17249">
                          <w:pPr>
                            <w:pStyle w:val="BodyText"/>
                            <w:spacing w:before="12"/>
                            <w:ind w:left="20"/>
                          </w:pPr>
                          <w:r>
                            <w:t>Page</w:t>
                          </w:r>
                          <w:r>
                            <w:rPr>
                              <w:spacing w:val="-11"/>
                            </w:rPr>
                            <w:t xml:space="preserve"> </w:t>
                          </w:r>
                          <w:r>
                            <w:t>811-</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24D6305E" id="Textbox 748" o:spid="_x0000_s1229" type="#_x0000_t202" style="position:absolute;margin-left:482.1pt;margin-top:742.7pt;width:61.85pt;height:14.3pt;z-index:-278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EYuv&#10;6ZoBAAAjAwAADgAAAAAAAAAAAAAAAAAuAgAAZHJzL2Uyb0RvYy54bWxQSwECLQAUAAYACAAAACEA&#10;Y3QTQuMAAAAOAQAADwAAAAAAAAAAAAAAAAD0AwAAZHJzL2Rvd25yZXYueG1sUEsFBgAAAAAEAAQA&#10;8wAAAAQFAAAAAA==&#10;" filled="f" stroked="f">
              <v:textbox inset="0,0,0,0">
                <w:txbxContent>
                  <w:p w14:paraId="24D632FE" w14:textId="77777777" w:rsidR="00245300" w:rsidRDefault="00F17249">
                    <w:pPr>
                      <w:pStyle w:val="BodyText"/>
                      <w:spacing w:before="12"/>
                      <w:ind w:left="20"/>
                    </w:pPr>
                    <w:r>
                      <w:t>Page</w:t>
                    </w:r>
                    <w:r>
                      <w:rPr>
                        <w:spacing w:val="-11"/>
                      </w:rPr>
                      <w:t xml:space="preserve"> </w:t>
                    </w:r>
                    <w:r>
                      <w:t>811-</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1" w14:textId="77777777" w:rsidR="00245300" w:rsidRDefault="00245300">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3" w14:textId="77777777" w:rsidR="00245300" w:rsidRDefault="00F17249">
    <w:pPr>
      <w:pStyle w:val="BodyText"/>
      <w:spacing w:line="14" w:lineRule="auto"/>
      <w:rPr>
        <w:sz w:val="20"/>
      </w:rPr>
    </w:pPr>
    <w:r>
      <w:rPr>
        <w:noProof/>
      </w:rPr>
      <mc:AlternateContent>
        <mc:Choice Requires="wps">
          <w:drawing>
            <wp:anchor distT="0" distB="0" distL="0" distR="0" simplePos="0" relativeHeight="475420160" behindDoc="1" locked="0" layoutInCell="1" allowOverlap="1" wp14:anchorId="24D63066" wp14:editId="24D63067">
              <wp:simplePos x="0" y="0"/>
              <wp:positionH relativeFrom="page">
                <wp:posOffset>895350</wp:posOffset>
              </wp:positionH>
              <wp:positionV relativeFrom="page">
                <wp:posOffset>9400031</wp:posOffset>
              </wp:positionV>
              <wp:extent cx="5981700" cy="28575"/>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16067F" id="Graphic 759" o:spid="_x0000_s1026" style="position:absolute;margin-left:70.5pt;margin-top:740.15pt;width:471pt;height:2.25pt;z-index:-278963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0672" behindDoc="1" locked="0" layoutInCell="1" allowOverlap="1" wp14:anchorId="24D63068" wp14:editId="24D63069">
              <wp:simplePos x="0" y="0"/>
              <wp:positionH relativeFrom="page">
                <wp:posOffset>901700</wp:posOffset>
              </wp:positionH>
              <wp:positionV relativeFrom="page">
                <wp:posOffset>9432545</wp:posOffset>
              </wp:positionV>
              <wp:extent cx="678180" cy="181610"/>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01"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68" id="_x0000_t202" coordsize="21600,21600" o:spt="202" path="m,l,21600r21600,l21600,xe">
              <v:stroke joinstyle="miter"/>
              <v:path gradientshapeok="t" o:connecttype="rect"/>
            </v:shapetype>
            <v:shape id="Textbox 760" o:spid="_x0000_s1231" type="#_x0000_t202" style="position:absolute;margin-left:71pt;margin-top:742.7pt;width:53.4pt;height:14.3pt;z-index:-278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LaZVUpkB&#10;AAAjAwAADgAAAAAAAAAAAAAAAAAuAgAAZHJzL2Uyb0RvYy54bWxQSwECLQAUAAYACAAAACEArmr3&#10;Q+EAAAANAQAADwAAAAAAAAAAAAAAAADzAwAAZHJzL2Rvd25yZXYueG1sUEsFBgAAAAAEAAQA8wAA&#10;AAEFAAAAAA==&#10;" filled="f" stroked="f">
              <v:textbox inset="0,0,0,0">
                <w:txbxContent>
                  <w:p w14:paraId="24D63301"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21184" behindDoc="1" locked="0" layoutInCell="1" allowOverlap="1" wp14:anchorId="24D6306A" wp14:editId="24D6306B">
              <wp:simplePos x="0" y="0"/>
              <wp:positionH relativeFrom="page">
                <wp:posOffset>2880159</wp:posOffset>
              </wp:positionH>
              <wp:positionV relativeFrom="page">
                <wp:posOffset>9432545</wp:posOffset>
              </wp:positionV>
              <wp:extent cx="2206625" cy="181610"/>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0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6A" id="Textbox 761" o:spid="_x0000_s1232" type="#_x0000_t202" style="position:absolute;margin-left:226.8pt;margin-top:742.7pt;width:173.75pt;height:14.3pt;z-index:-278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TemgEAACQDAAAOAAAAZHJzL2Uyb0RvYy54bWysUs2O0zAQviPtO1i+b51ES7W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" filled="f" stroked="f">
              <v:textbox inset="0,0,0,0">
                <w:txbxContent>
                  <w:p w14:paraId="24D63302"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21696" behindDoc="1" locked="0" layoutInCell="1" allowOverlap="1" wp14:anchorId="24D6306C" wp14:editId="24D6306D">
              <wp:simplePos x="0" y="0"/>
              <wp:positionH relativeFrom="page">
                <wp:posOffset>6122976</wp:posOffset>
              </wp:positionH>
              <wp:positionV relativeFrom="page">
                <wp:posOffset>9432545</wp:posOffset>
              </wp:positionV>
              <wp:extent cx="747395" cy="181610"/>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303" w14:textId="77777777" w:rsidR="00245300" w:rsidRDefault="00F17249">
                          <w:pPr>
                            <w:pStyle w:val="BodyText"/>
                            <w:spacing w:before="12"/>
                            <w:ind w:left="20"/>
                          </w:pPr>
                          <w:r>
                            <w:t>Page</w:t>
                          </w:r>
                          <w:r>
                            <w:rPr>
                              <w:spacing w:val="-12"/>
                            </w:rPr>
                            <w:t xml:space="preserve"> </w:t>
                          </w:r>
                          <w:r>
                            <w:t>900-</w:t>
                          </w:r>
                          <w:r>
                            <w:rPr>
                              <w:spacing w:val="-10"/>
                            </w:rPr>
                            <w:t>1</w:t>
                          </w:r>
                        </w:p>
                      </w:txbxContent>
                    </wps:txbx>
                    <wps:bodyPr wrap="square" lIns="0" tIns="0" rIns="0" bIns="0" rtlCol="0">
                      <a:noAutofit/>
                    </wps:bodyPr>
                  </wps:wsp>
                </a:graphicData>
              </a:graphic>
            </wp:anchor>
          </w:drawing>
        </mc:Choice>
        <mc:Fallback>
          <w:pict>
            <v:shape w14:anchorId="24D6306C" id="Textbox 762" o:spid="_x0000_s1233" type="#_x0000_t202" style="position:absolute;margin-left:482.1pt;margin-top:742.7pt;width:58.85pt;height:14.3pt;z-index:-278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DjSKGJ&#10;mgEAACMDAAAOAAAAAAAAAAAAAAAAAC4CAABkcnMvZTJvRG9jLnhtbFBLAQItABQABgAIAAAAIQBT&#10;PlHL4gAAAA4BAAAPAAAAAAAAAAAAAAAAAPQDAABkcnMvZG93bnJldi54bWxQSwUGAAAAAAQABADz&#10;AAAAAwUAAAAA&#10;" filled="f" stroked="f">
              <v:textbox inset="0,0,0,0">
                <w:txbxContent>
                  <w:p w14:paraId="24D63303" w14:textId="77777777" w:rsidR="00245300" w:rsidRDefault="00F17249">
                    <w:pPr>
                      <w:pStyle w:val="BodyText"/>
                      <w:spacing w:before="12"/>
                      <w:ind w:left="20"/>
                    </w:pPr>
                    <w:r>
                      <w:t>Page</w:t>
                    </w:r>
                    <w:r>
                      <w:rPr>
                        <w:spacing w:val="-12"/>
                      </w:rPr>
                      <w:t xml:space="preserve"> </w:t>
                    </w:r>
                    <w:r>
                      <w:t>900-</w:t>
                    </w:r>
                    <w:r>
                      <w:rPr>
                        <w:spacing w:val="-10"/>
                      </w:rPr>
                      <w:t>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5" w14:textId="77777777" w:rsidR="00245300" w:rsidRDefault="00F17249">
    <w:pPr>
      <w:pStyle w:val="BodyText"/>
      <w:spacing w:line="14" w:lineRule="auto"/>
      <w:rPr>
        <w:sz w:val="20"/>
      </w:rPr>
    </w:pPr>
    <w:r>
      <w:rPr>
        <w:noProof/>
      </w:rPr>
      <mc:AlternateContent>
        <mc:Choice Requires="wps">
          <w:drawing>
            <wp:anchor distT="0" distB="0" distL="0" distR="0" simplePos="0" relativeHeight="475423744" behindDoc="1" locked="0" layoutInCell="1" allowOverlap="1" wp14:anchorId="24D63074" wp14:editId="24D63075">
              <wp:simplePos x="0" y="0"/>
              <wp:positionH relativeFrom="page">
                <wp:posOffset>895350</wp:posOffset>
              </wp:positionH>
              <wp:positionV relativeFrom="page">
                <wp:posOffset>9400031</wp:posOffset>
              </wp:positionV>
              <wp:extent cx="5981700" cy="28575"/>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1D18C" id="Graphic 766" o:spid="_x0000_s1026" style="position:absolute;margin-left:70.5pt;margin-top:740.15pt;width:471pt;height:2.25pt;z-index:-278927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4256" behindDoc="1" locked="0" layoutInCell="1" allowOverlap="1" wp14:anchorId="24D63076" wp14:editId="24D63077">
              <wp:simplePos x="0" y="0"/>
              <wp:positionH relativeFrom="page">
                <wp:posOffset>901700</wp:posOffset>
              </wp:positionH>
              <wp:positionV relativeFrom="page">
                <wp:posOffset>9432545</wp:posOffset>
              </wp:positionV>
              <wp:extent cx="678180" cy="18161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05"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76" id="_x0000_t202" coordsize="21600,21600" o:spt="202" path="m,l,21600r21600,l21600,xe">
              <v:stroke joinstyle="miter"/>
              <v:path gradientshapeok="t" o:connecttype="rect"/>
            </v:shapetype>
            <v:shape id="Textbox 767" o:spid="_x0000_s1235" type="#_x0000_t202" style="position:absolute;margin-left:71pt;margin-top:742.7pt;width:53.4pt;height:14.3pt;z-index:-278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cMGXT5kB&#10;AAAjAwAADgAAAAAAAAAAAAAAAAAuAgAAZHJzL2Uyb0RvYy54bWxQSwECLQAUAAYACAAAACEArmr3&#10;Q+EAAAANAQAADwAAAAAAAAAAAAAAAADzAwAAZHJzL2Rvd25yZXYueG1sUEsFBgAAAAAEAAQA8wAA&#10;AAEFAAAAAA==&#10;" filled="f" stroked="f">
              <v:textbox inset="0,0,0,0">
                <w:txbxContent>
                  <w:p w14:paraId="24D63305"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24768" behindDoc="1" locked="0" layoutInCell="1" allowOverlap="1" wp14:anchorId="24D63078" wp14:editId="24D63079">
              <wp:simplePos x="0" y="0"/>
              <wp:positionH relativeFrom="page">
                <wp:posOffset>2783105</wp:posOffset>
              </wp:positionH>
              <wp:positionV relativeFrom="page">
                <wp:posOffset>9432545</wp:posOffset>
              </wp:positionV>
              <wp:extent cx="2206625" cy="18161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06"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78" id="Textbox 768" o:spid="_x0000_s1236" type="#_x0000_t202" style="position:absolute;margin-left:219.15pt;margin-top:742.7pt;width:173.75pt;height:14.3pt;z-index:-278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PxmgviZ&#10;AQAAJAMAAA4AAAAAAAAAAAAAAAAALgIAAGRycy9lMm9Eb2MueG1sUEsBAi0AFAAGAAgAAAAhAN6R&#10;NCbiAAAADQEAAA8AAAAAAAAAAAAAAAAA8wMAAGRycy9kb3ducmV2LnhtbFBLBQYAAAAABAAEAPMA&#10;AAACBQAAAAA=&#10;" filled="f" stroked="f">
              <v:textbox inset="0,0,0,0">
                <w:txbxContent>
                  <w:p w14:paraId="24D63306"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25280" behindDoc="1" locked="0" layoutInCell="1" allowOverlap="1" wp14:anchorId="24D6307A" wp14:editId="24D6307B">
              <wp:simplePos x="0" y="0"/>
              <wp:positionH relativeFrom="page">
                <wp:posOffset>6122976</wp:posOffset>
              </wp:positionH>
              <wp:positionV relativeFrom="page">
                <wp:posOffset>9432545</wp:posOffset>
              </wp:positionV>
              <wp:extent cx="747395" cy="18161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307" w14:textId="77777777" w:rsidR="00245300" w:rsidRDefault="00F17249">
                          <w:pPr>
                            <w:pStyle w:val="BodyText"/>
                            <w:spacing w:before="12"/>
                            <w:ind w:left="20"/>
                          </w:pPr>
                          <w:r>
                            <w:t>Page</w:t>
                          </w:r>
                          <w:r>
                            <w:rPr>
                              <w:spacing w:val="-12"/>
                            </w:rPr>
                            <w:t xml:space="preserve"> </w:t>
                          </w:r>
                          <w:r>
                            <w:t>902-</w:t>
                          </w:r>
                          <w:r>
                            <w:rPr>
                              <w:spacing w:val="-10"/>
                            </w:rPr>
                            <w:t>1</w:t>
                          </w:r>
                        </w:p>
                      </w:txbxContent>
                    </wps:txbx>
                    <wps:bodyPr wrap="square" lIns="0" tIns="0" rIns="0" bIns="0" rtlCol="0">
                      <a:noAutofit/>
                    </wps:bodyPr>
                  </wps:wsp>
                </a:graphicData>
              </a:graphic>
            </wp:anchor>
          </w:drawing>
        </mc:Choice>
        <mc:Fallback>
          <w:pict>
            <v:shape w14:anchorId="24D6307A" id="Textbox 769" o:spid="_x0000_s1237" type="#_x0000_t202" style="position:absolute;margin-left:482.1pt;margin-top:742.7pt;width:58.85pt;height:14.3pt;z-index:-2789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AE4eev&#10;mgEAACMDAAAOAAAAAAAAAAAAAAAAAC4CAABkcnMvZTJvRG9jLnhtbFBLAQItABQABgAIAAAAIQBT&#10;PlHL4gAAAA4BAAAPAAAAAAAAAAAAAAAAAPQDAABkcnMvZG93bnJldi54bWxQSwUGAAAAAAQABADz&#10;AAAAAwUAAAAA&#10;" filled="f" stroked="f">
              <v:textbox inset="0,0,0,0">
                <w:txbxContent>
                  <w:p w14:paraId="24D63307" w14:textId="77777777" w:rsidR="00245300" w:rsidRDefault="00F17249">
                    <w:pPr>
                      <w:pStyle w:val="BodyText"/>
                      <w:spacing w:before="12"/>
                      <w:ind w:left="20"/>
                    </w:pPr>
                    <w:r>
                      <w:t>Page</w:t>
                    </w:r>
                    <w:r>
                      <w:rPr>
                        <w:spacing w:val="-12"/>
                      </w:rPr>
                      <w:t xml:space="preserve"> </w:t>
                    </w:r>
                    <w:r>
                      <w:t>902-</w:t>
                    </w:r>
                    <w:r>
                      <w:rPr>
                        <w:spacing w:val="-10"/>
                      </w:rPr>
                      <w:t>1</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7" w14:textId="77777777" w:rsidR="00245300" w:rsidRDefault="00F17249">
    <w:pPr>
      <w:pStyle w:val="BodyText"/>
      <w:spacing w:line="14" w:lineRule="auto"/>
      <w:rPr>
        <w:sz w:val="20"/>
      </w:rPr>
    </w:pPr>
    <w:r>
      <w:rPr>
        <w:noProof/>
      </w:rPr>
      <mc:AlternateContent>
        <mc:Choice Requires="wps">
          <w:drawing>
            <wp:anchor distT="0" distB="0" distL="0" distR="0" simplePos="0" relativeHeight="475427328" behindDoc="1" locked="0" layoutInCell="1" allowOverlap="1" wp14:anchorId="24D63082" wp14:editId="24D63083">
              <wp:simplePos x="0" y="0"/>
              <wp:positionH relativeFrom="page">
                <wp:posOffset>895350</wp:posOffset>
              </wp:positionH>
              <wp:positionV relativeFrom="page">
                <wp:posOffset>9400031</wp:posOffset>
              </wp:positionV>
              <wp:extent cx="5981700" cy="28575"/>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B96DB4" id="Graphic 774" o:spid="_x0000_s1026" style="position:absolute;margin-left:70.5pt;margin-top:740.15pt;width:471pt;height:2.25pt;z-index:-278891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7840" behindDoc="1" locked="0" layoutInCell="1" allowOverlap="1" wp14:anchorId="24D63084" wp14:editId="24D63085">
              <wp:simplePos x="0" y="0"/>
              <wp:positionH relativeFrom="page">
                <wp:posOffset>901700</wp:posOffset>
              </wp:positionH>
              <wp:positionV relativeFrom="page">
                <wp:posOffset>9432545</wp:posOffset>
              </wp:positionV>
              <wp:extent cx="678180" cy="18161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09"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84" id="_x0000_t202" coordsize="21600,21600" o:spt="202" path="m,l,21600r21600,l21600,xe">
              <v:stroke joinstyle="miter"/>
              <v:path gradientshapeok="t" o:connecttype="rect"/>
            </v:shapetype>
            <v:shape id="Textbox 775" o:spid="_x0000_s1239" type="#_x0000_t202" style="position:absolute;margin-left:71pt;margin-top:742.7pt;width:53.4pt;height:14.3pt;z-index:-278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IbsVZmAEA&#10;ACMDAAAOAAAAAAAAAAAAAAAAAC4CAABkcnMvZTJvRG9jLnhtbFBLAQItABQABgAIAAAAIQCuavdD&#10;4QAAAA0BAAAPAAAAAAAAAAAAAAAAAPIDAABkcnMvZG93bnJldi54bWxQSwUGAAAAAAQABADzAAAA&#10;AAUAAAAA&#10;" filled="f" stroked="f">
              <v:textbox inset="0,0,0,0">
                <w:txbxContent>
                  <w:p w14:paraId="24D63309"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28352" behindDoc="1" locked="0" layoutInCell="1" allowOverlap="1" wp14:anchorId="24D63086" wp14:editId="24D63087">
              <wp:simplePos x="0" y="0"/>
              <wp:positionH relativeFrom="page">
                <wp:posOffset>2783105</wp:posOffset>
              </wp:positionH>
              <wp:positionV relativeFrom="page">
                <wp:posOffset>9432545</wp:posOffset>
              </wp:positionV>
              <wp:extent cx="2206625" cy="18161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0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86" id="Textbox 776" o:spid="_x0000_s1240" type="#_x0000_t202" style="position:absolute;margin-left:219.15pt;margin-top:742.7pt;width:173.75pt;height:14.3pt;z-index:-2788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CNglsiZ&#10;AQAAJAMAAA4AAAAAAAAAAAAAAAAALgIAAGRycy9lMm9Eb2MueG1sUEsBAi0AFAAGAAgAAAAhAN6R&#10;NCbiAAAADQEAAA8AAAAAAAAAAAAAAAAA8wMAAGRycy9kb3ducmV2LnhtbFBLBQYAAAAABAAEAPMA&#10;AAACBQAAAAA=&#10;" filled="f" stroked="f">
              <v:textbox inset="0,0,0,0">
                <w:txbxContent>
                  <w:p w14:paraId="24D6330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28864" behindDoc="1" locked="0" layoutInCell="1" allowOverlap="1" wp14:anchorId="24D63088" wp14:editId="24D63089">
              <wp:simplePos x="0" y="0"/>
              <wp:positionH relativeFrom="page">
                <wp:posOffset>6045305</wp:posOffset>
              </wp:positionH>
              <wp:positionV relativeFrom="page">
                <wp:posOffset>9432545</wp:posOffset>
              </wp:positionV>
              <wp:extent cx="863600" cy="18161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30B" w14:textId="77777777" w:rsidR="00245300" w:rsidRDefault="00F17249">
                          <w:pPr>
                            <w:pStyle w:val="BodyText"/>
                            <w:spacing w:before="12"/>
                            <w:ind w:left="20"/>
                          </w:pPr>
                          <w:r>
                            <w:t>Page</w:t>
                          </w:r>
                          <w:r>
                            <w:rPr>
                              <w:spacing w:val="-11"/>
                            </w:rPr>
                            <w:t xml:space="preserve"> </w:t>
                          </w:r>
                          <w:r>
                            <w:t>902-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3088" id="Textbox 777" o:spid="_x0000_s1241" type="#_x0000_t202" style="position:absolute;margin-left:476pt;margin-top:742.7pt;width:68pt;height:14.3pt;z-index:-278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" filled="f" stroked="f">
              <v:textbox inset="0,0,0,0">
                <w:txbxContent>
                  <w:p w14:paraId="24D6330B" w14:textId="77777777" w:rsidR="00245300" w:rsidRDefault="00F17249">
                    <w:pPr>
                      <w:pStyle w:val="BodyText"/>
                      <w:spacing w:before="12"/>
                      <w:ind w:left="20"/>
                    </w:pPr>
                    <w:r>
                      <w:t>Page</w:t>
                    </w:r>
                    <w:r>
                      <w:rPr>
                        <w:spacing w:val="-11"/>
                      </w:rPr>
                      <w:t xml:space="preserve"> </w:t>
                    </w:r>
                    <w:r>
                      <w:t>902-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D" w14:textId="77777777" w:rsidR="00245300" w:rsidRDefault="00F17249">
    <w:pPr>
      <w:pStyle w:val="BodyText"/>
      <w:spacing w:line="14" w:lineRule="auto"/>
      <w:rPr>
        <w:sz w:val="20"/>
      </w:rPr>
    </w:pPr>
    <w:r>
      <w:rPr>
        <w:noProof/>
      </w:rPr>
      <mc:AlternateContent>
        <mc:Choice Requires="wps">
          <w:drawing>
            <wp:anchor distT="0" distB="0" distL="0" distR="0" simplePos="0" relativeHeight="475253760" behindDoc="1" locked="0" layoutInCell="1" allowOverlap="1" wp14:anchorId="24D62DDC" wp14:editId="24D62DDD">
              <wp:simplePos x="0" y="0"/>
              <wp:positionH relativeFrom="page">
                <wp:posOffset>895350</wp:posOffset>
              </wp:positionH>
              <wp:positionV relativeFrom="page">
                <wp:posOffset>9400031</wp:posOffset>
              </wp:positionV>
              <wp:extent cx="5981700" cy="2857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11DB13" id="Graphic 62" o:spid="_x0000_s1026" style="position:absolute;margin-left:70.5pt;margin-top:740.15pt;width:471pt;height:2.25pt;z-index:-280627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4272" behindDoc="1" locked="0" layoutInCell="1" allowOverlap="1" wp14:anchorId="24D62DDE" wp14:editId="24D62DDF">
              <wp:simplePos x="0" y="0"/>
              <wp:positionH relativeFrom="page">
                <wp:posOffset>901700</wp:posOffset>
              </wp:positionH>
              <wp:positionV relativeFrom="page">
                <wp:posOffset>9432545</wp:posOffset>
              </wp:positionV>
              <wp:extent cx="678180" cy="181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16"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DDE" id="_x0000_t202" coordsize="21600,21600" o:spt="202" path="m,l,21600r21600,l21600,xe">
              <v:stroke joinstyle="miter"/>
              <v:path gradientshapeok="t" o:connecttype="rect"/>
            </v:shapetype>
            <v:shape id="Textbox 63" o:spid="_x0000_s1041" type="#_x0000_t202" style="position:absolute;margin-left:71pt;margin-top:742.7pt;width:53.4pt;height:14.3pt;z-index:-280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UlwEAACI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e9zinlrB+2JtYwcZyPp50GjlWL4FNivnP25wHOxOxeY&#10;hkcoLyRLCvDukMD1hcEVd2bAQRRi86PJSf/+X6auT3v7Cw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KPL85SXAQAA&#10;IgMAAA4AAAAAAAAAAAAAAAAALgIAAGRycy9lMm9Eb2MueG1sUEsBAi0AFAAGAAgAAAAhAK5q90Ph&#10;AAAADQEAAA8AAAAAAAAAAAAAAAAA8QMAAGRycy9kb3ducmV2LnhtbFBLBQYAAAAABAAEAPMAAAD/&#10;BAAAAAA=&#10;" filled="f" stroked="f">
              <v:textbox inset="0,0,0,0">
                <w:txbxContent>
                  <w:p w14:paraId="24D63216"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54784" behindDoc="1" locked="0" layoutInCell="1" allowOverlap="1" wp14:anchorId="24D62DE0" wp14:editId="24D62DE1">
              <wp:simplePos x="0" y="0"/>
              <wp:positionH relativeFrom="page">
                <wp:posOffset>2783105</wp:posOffset>
              </wp:positionH>
              <wp:positionV relativeFrom="page">
                <wp:posOffset>9432545</wp:posOffset>
              </wp:positionV>
              <wp:extent cx="2207260" cy="1816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17"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DE0" id="Textbox 64" o:spid="_x0000_s1042" type="#_x0000_t202" style="position:absolute;margin-left:219.15pt;margin-top:742.7pt;width:173.8pt;height:14.3pt;z-index:-280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yYIyeJgB&#10;AAAjAwAADgAAAAAAAAAAAAAAAAAuAgAAZHJzL2Uyb0RvYy54bWxQSwECLQAUAAYACAAAACEA+kgz&#10;ReIAAAANAQAADwAAAAAAAAAAAAAAAADyAwAAZHJzL2Rvd25yZXYueG1sUEsFBgAAAAAEAAQA8wAA&#10;AAEFAAAAAA==&#10;" filled="f" stroked="f">
              <v:textbox inset="0,0,0,0">
                <w:txbxContent>
                  <w:p w14:paraId="24D63217"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55296" behindDoc="1" locked="0" layoutInCell="1" allowOverlap="1" wp14:anchorId="24D62DE2" wp14:editId="24D62DE3">
              <wp:simplePos x="0" y="0"/>
              <wp:positionH relativeFrom="page">
                <wp:posOffset>6123116</wp:posOffset>
              </wp:positionH>
              <wp:positionV relativeFrom="page">
                <wp:posOffset>9432545</wp:posOffset>
              </wp:positionV>
              <wp:extent cx="747395" cy="1816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18" w14:textId="77777777" w:rsidR="00245300" w:rsidRDefault="00F17249">
                          <w:pPr>
                            <w:pStyle w:val="BodyText"/>
                            <w:spacing w:before="12"/>
                            <w:ind w:left="20"/>
                          </w:pPr>
                          <w:r>
                            <w:t>Page</w:t>
                          </w:r>
                          <w:r>
                            <w:rPr>
                              <w:spacing w:val="-11"/>
                            </w:rPr>
                            <w:t xml:space="preserve"> </w:t>
                          </w:r>
                          <w:r>
                            <w:t>610-</w:t>
                          </w:r>
                          <w:r>
                            <w:rPr>
                              <w:spacing w:val="-10"/>
                            </w:rPr>
                            <w:t>1</w:t>
                          </w:r>
                        </w:p>
                      </w:txbxContent>
                    </wps:txbx>
                    <wps:bodyPr wrap="square" lIns="0" tIns="0" rIns="0" bIns="0" rtlCol="0">
                      <a:noAutofit/>
                    </wps:bodyPr>
                  </wps:wsp>
                </a:graphicData>
              </a:graphic>
            </wp:anchor>
          </w:drawing>
        </mc:Choice>
        <mc:Fallback>
          <w:pict>
            <v:shape w14:anchorId="24D62DE2" id="Textbox 65" o:spid="_x0000_s1043" type="#_x0000_t202" style="position:absolute;margin-left:482.15pt;margin-top:742.7pt;width:58.85pt;height:14.3pt;z-index:-280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" filled="f" stroked="f">
              <v:textbox inset="0,0,0,0">
                <w:txbxContent>
                  <w:p w14:paraId="24D63218" w14:textId="77777777" w:rsidR="00245300" w:rsidRDefault="00F17249">
                    <w:pPr>
                      <w:pStyle w:val="BodyText"/>
                      <w:spacing w:before="12"/>
                      <w:ind w:left="20"/>
                    </w:pPr>
                    <w:r>
                      <w:t>Page</w:t>
                    </w:r>
                    <w:r>
                      <w:rPr>
                        <w:spacing w:val="-11"/>
                      </w:rPr>
                      <w:t xml:space="preserve"> </w:t>
                    </w:r>
                    <w:r>
                      <w:t>610-</w:t>
                    </w:r>
                    <w:r>
                      <w:rPr>
                        <w:spacing w:val="-10"/>
                      </w:rPr>
                      <w:t>1</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9" w14:textId="77777777" w:rsidR="00245300" w:rsidRDefault="00F17249">
    <w:pPr>
      <w:pStyle w:val="BodyText"/>
      <w:spacing w:line="14" w:lineRule="auto"/>
      <w:rPr>
        <w:sz w:val="20"/>
      </w:rPr>
    </w:pPr>
    <w:r>
      <w:rPr>
        <w:noProof/>
      </w:rPr>
      <mc:AlternateContent>
        <mc:Choice Requires="wps">
          <w:drawing>
            <wp:anchor distT="0" distB="0" distL="0" distR="0" simplePos="0" relativeHeight="475430912" behindDoc="1" locked="0" layoutInCell="1" allowOverlap="1" wp14:anchorId="24D63090" wp14:editId="24D63091">
              <wp:simplePos x="0" y="0"/>
              <wp:positionH relativeFrom="page">
                <wp:posOffset>895350</wp:posOffset>
              </wp:positionH>
              <wp:positionV relativeFrom="page">
                <wp:posOffset>9400031</wp:posOffset>
              </wp:positionV>
              <wp:extent cx="5981700" cy="28575"/>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3B0702" id="Graphic 787" o:spid="_x0000_s1026" style="position:absolute;margin-left:70.5pt;margin-top:740.15pt;width:471pt;height:2.25pt;z-index:-278855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31424" behindDoc="1" locked="0" layoutInCell="1" allowOverlap="1" wp14:anchorId="24D63092" wp14:editId="24D63093">
              <wp:simplePos x="0" y="0"/>
              <wp:positionH relativeFrom="page">
                <wp:posOffset>901700</wp:posOffset>
              </wp:positionH>
              <wp:positionV relativeFrom="page">
                <wp:posOffset>9432545</wp:posOffset>
              </wp:positionV>
              <wp:extent cx="678180" cy="18161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0E"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92" id="_x0000_t202" coordsize="21600,21600" o:spt="202" path="m,l,21600r21600,l21600,xe">
              <v:stroke joinstyle="miter"/>
              <v:path gradientshapeok="t" o:connecttype="rect"/>
            </v:shapetype>
            <v:shape id="Textbox 788" o:spid="_x0000_s1243" type="#_x0000_t202" style="position:absolute;margin-left:71pt;margin-top:742.7pt;width:53.4pt;height:14.3pt;z-index:-278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dEmAEAACMDAAAOAAAAZHJzL2Uyb0RvYy54bWysUs2O0zAQviPxDpbv1E0l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NXFVvc4x5bw/tmcWMnGcj6ddRo5Wi/xzYsBz+pcBLsb8U&#10;mPoPUJ5I1hTg/pjA+ULhhjtT4CQKs/nV5Kj//C9Tt7e9+w0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VCQdEmAEA&#10;ACMDAAAOAAAAAAAAAAAAAAAAAC4CAABkcnMvZTJvRG9jLnhtbFBLAQItABQABgAIAAAAIQCuavdD&#10;4QAAAA0BAAAPAAAAAAAAAAAAAAAAAPIDAABkcnMvZG93bnJldi54bWxQSwUGAAAAAAQABADzAAAA&#10;AAUAAAAA&#10;" filled="f" stroked="f">
              <v:textbox inset="0,0,0,0">
                <w:txbxContent>
                  <w:p w14:paraId="24D6330E"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31936" behindDoc="1" locked="0" layoutInCell="1" allowOverlap="1" wp14:anchorId="24D63094" wp14:editId="24D63095">
              <wp:simplePos x="0" y="0"/>
              <wp:positionH relativeFrom="page">
                <wp:posOffset>2783105</wp:posOffset>
              </wp:positionH>
              <wp:positionV relativeFrom="page">
                <wp:posOffset>9432545</wp:posOffset>
              </wp:positionV>
              <wp:extent cx="2206625" cy="18161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0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94" id="Textbox 789" o:spid="_x0000_s1244" type="#_x0000_t202" style="position:absolute;margin-left:219.15pt;margin-top:742.7pt;width:173.75pt;height:14.3pt;z-index:-27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H4HVNWZ&#10;AQAAJAMAAA4AAAAAAAAAAAAAAAAALgIAAGRycy9lMm9Eb2MueG1sUEsBAi0AFAAGAAgAAAAhAN6R&#10;NCbiAAAADQEAAA8AAAAAAAAAAAAAAAAA8wMAAGRycy9kb3ducmV2LnhtbFBLBQYAAAAABAAEAPMA&#10;AAACBQAAAAA=&#10;" filled="f" stroked="f">
              <v:textbox inset="0,0,0,0">
                <w:txbxContent>
                  <w:p w14:paraId="24D6330F"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32448" behindDoc="1" locked="0" layoutInCell="1" allowOverlap="1" wp14:anchorId="24D63096" wp14:editId="24D63097">
              <wp:simplePos x="0" y="0"/>
              <wp:positionH relativeFrom="page">
                <wp:posOffset>5913528</wp:posOffset>
              </wp:positionH>
              <wp:positionV relativeFrom="page">
                <wp:posOffset>9432545</wp:posOffset>
              </wp:positionV>
              <wp:extent cx="995680" cy="18161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24D63310" w14:textId="77777777" w:rsidR="00245300" w:rsidRDefault="00F17249">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3096" id="Textbox 790" o:spid="_x0000_s1245" type="#_x0000_t202" style="position:absolute;margin-left:465.65pt;margin-top:742.7pt;width:78.4pt;height:14.3pt;z-index:-278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" filled="f" stroked="f">
              <v:textbox inset="0,0,0,0">
                <w:txbxContent>
                  <w:p w14:paraId="24D63310" w14:textId="77777777" w:rsidR="00245300" w:rsidRDefault="00F17249">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B" w14:textId="77777777" w:rsidR="00245300" w:rsidRDefault="00F17249">
    <w:pPr>
      <w:pStyle w:val="BodyText"/>
      <w:spacing w:line="14" w:lineRule="auto"/>
      <w:rPr>
        <w:sz w:val="20"/>
      </w:rPr>
    </w:pPr>
    <w:r>
      <w:rPr>
        <w:noProof/>
      </w:rPr>
      <mc:AlternateContent>
        <mc:Choice Requires="wps">
          <w:drawing>
            <wp:anchor distT="0" distB="0" distL="0" distR="0" simplePos="0" relativeHeight="475433984" behindDoc="1" locked="0" layoutInCell="1" allowOverlap="1" wp14:anchorId="24D6309C" wp14:editId="24D6309D">
              <wp:simplePos x="0" y="0"/>
              <wp:positionH relativeFrom="page">
                <wp:posOffset>895350</wp:posOffset>
              </wp:positionH>
              <wp:positionV relativeFrom="page">
                <wp:posOffset>9400031</wp:posOffset>
              </wp:positionV>
              <wp:extent cx="5981700" cy="28575"/>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EF849E" id="Graphic 795" o:spid="_x0000_s1026" style="position:absolute;margin-left:70.5pt;margin-top:740.15pt;width:471pt;height:2.25pt;z-index:-278824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34496" behindDoc="1" locked="0" layoutInCell="1" allowOverlap="1" wp14:anchorId="24D6309E" wp14:editId="24D6309F">
              <wp:simplePos x="0" y="0"/>
              <wp:positionH relativeFrom="page">
                <wp:posOffset>901700</wp:posOffset>
              </wp:positionH>
              <wp:positionV relativeFrom="page">
                <wp:posOffset>9432545</wp:posOffset>
              </wp:positionV>
              <wp:extent cx="678180" cy="18161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13"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9E" id="_x0000_t202" coordsize="21600,21600" o:spt="202" path="m,l,21600r21600,l21600,xe">
              <v:stroke joinstyle="miter"/>
              <v:path gradientshapeok="t" o:connecttype="rect"/>
            </v:shapetype>
            <v:shape id="Textbox 796" o:spid="_x0000_s1247" type="#_x0000_t202" style="position:absolute;margin-left:71pt;margin-top:742.7pt;width:53.4pt;height:14.3pt;z-index:-27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yoEFimAEA&#10;ACMDAAAOAAAAAAAAAAAAAAAAAC4CAABkcnMvZTJvRG9jLnhtbFBLAQItABQABgAIAAAAIQCuavdD&#10;4QAAAA0BAAAPAAAAAAAAAAAAAAAAAPIDAABkcnMvZG93bnJldi54bWxQSwUGAAAAAAQABADzAAAA&#10;AAUAAAAA&#10;" filled="f" stroked="f">
              <v:textbox inset="0,0,0,0">
                <w:txbxContent>
                  <w:p w14:paraId="24D63313"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35008" behindDoc="1" locked="0" layoutInCell="1" allowOverlap="1" wp14:anchorId="24D630A0" wp14:editId="24D630A1">
              <wp:simplePos x="0" y="0"/>
              <wp:positionH relativeFrom="page">
                <wp:posOffset>2783105</wp:posOffset>
              </wp:positionH>
              <wp:positionV relativeFrom="page">
                <wp:posOffset>9432545</wp:posOffset>
              </wp:positionV>
              <wp:extent cx="2206625" cy="18161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14"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A0" id="Textbox 797" o:spid="_x0000_s1248" type="#_x0000_t202" style="position:absolute;margin-left:219.15pt;margin-top:742.7pt;width:173.75pt;height:14.3pt;z-index:-27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0V/lyZgB&#10;AAAkAwAADgAAAAAAAAAAAAAAAAAuAgAAZHJzL2Uyb0RvYy54bWxQSwECLQAUAAYACAAAACEA3pE0&#10;JuIAAAANAQAADwAAAAAAAAAAAAAAAADyAwAAZHJzL2Rvd25yZXYueG1sUEsFBgAAAAAEAAQA8wAA&#10;AAEFAAAAAA==&#10;" filled="f" stroked="f">
              <v:textbox inset="0,0,0,0">
                <w:txbxContent>
                  <w:p w14:paraId="24D63314"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35520" behindDoc="1" locked="0" layoutInCell="1" allowOverlap="1" wp14:anchorId="24D630A2" wp14:editId="24D630A3">
              <wp:simplePos x="0" y="0"/>
              <wp:positionH relativeFrom="page">
                <wp:posOffset>5913528</wp:posOffset>
              </wp:positionH>
              <wp:positionV relativeFrom="page">
                <wp:posOffset>9432545</wp:posOffset>
              </wp:positionV>
              <wp:extent cx="995680" cy="181610"/>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24D63315" w14:textId="77777777" w:rsidR="00245300" w:rsidRDefault="00F17249">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w14:anchorId="24D630A2" id="Textbox 798" o:spid="_x0000_s1249" type="#_x0000_t202" style="position:absolute;margin-left:465.65pt;margin-top:742.7pt;width:78.4pt;height:14.3pt;z-index:-278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JimQEAACMDAAAOAAAAZHJzL2Uyb0RvYy54bWysUs2O0zAQviPxDpbv1E0lqm7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" filled="f" stroked="f">
              <v:textbox inset="0,0,0,0">
                <w:txbxContent>
                  <w:p w14:paraId="24D63315" w14:textId="77777777" w:rsidR="00245300" w:rsidRDefault="00F17249">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D" w14:textId="77777777" w:rsidR="00245300" w:rsidRDefault="00F17249">
    <w:pPr>
      <w:pStyle w:val="BodyText"/>
      <w:spacing w:line="14" w:lineRule="auto"/>
      <w:rPr>
        <w:sz w:val="20"/>
      </w:rPr>
    </w:pPr>
    <w:r>
      <w:rPr>
        <w:noProof/>
      </w:rPr>
      <mc:AlternateContent>
        <mc:Choice Requires="wps">
          <w:drawing>
            <wp:anchor distT="0" distB="0" distL="0" distR="0" simplePos="0" relativeHeight="475437568" behindDoc="1" locked="0" layoutInCell="1" allowOverlap="1" wp14:anchorId="24D630AA" wp14:editId="24D630AB">
              <wp:simplePos x="0" y="0"/>
              <wp:positionH relativeFrom="page">
                <wp:posOffset>895350</wp:posOffset>
              </wp:positionH>
              <wp:positionV relativeFrom="page">
                <wp:posOffset>9400031</wp:posOffset>
              </wp:positionV>
              <wp:extent cx="5981700" cy="28575"/>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4ACAE" id="Graphic 819" o:spid="_x0000_s1026" style="position:absolute;margin-left:70.5pt;margin-top:740.15pt;width:471pt;height:2.25pt;z-index:-278789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38080" behindDoc="1" locked="0" layoutInCell="1" allowOverlap="1" wp14:anchorId="24D630AC" wp14:editId="24D630AD">
              <wp:simplePos x="0" y="0"/>
              <wp:positionH relativeFrom="page">
                <wp:posOffset>901700</wp:posOffset>
              </wp:positionH>
              <wp:positionV relativeFrom="page">
                <wp:posOffset>9432545</wp:posOffset>
              </wp:positionV>
              <wp:extent cx="678180" cy="181610"/>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17"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AC" id="_x0000_t202" coordsize="21600,21600" o:spt="202" path="m,l,21600r21600,l21600,xe">
              <v:stroke joinstyle="miter"/>
              <v:path gradientshapeok="t" o:connecttype="rect"/>
            </v:shapetype>
            <v:shape id="Textbox 820" o:spid="_x0000_s1251" type="#_x0000_t202" style="position:absolute;margin-left:71pt;margin-top:742.7pt;width:53.4pt;height:14.3pt;z-index:-278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6UbZYmAEA&#10;ACMDAAAOAAAAAAAAAAAAAAAAAC4CAABkcnMvZTJvRG9jLnhtbFBLAQItABQABgAIAAAAIQCuavdD&#10;4QAAAA0BAAAPAAAAAAAAAAAAAAAAAPIDAABkcnMvZG93bnJldi54bWxQSwUGAAAAAAQABADzAAAA&#10;AAUAAAAA&#10;" filled="f" stroked="f">
              <v:textbox inset="0,0,0,0">
                <w:txbxContent>
                  <w:p w14:paraId="24D63317"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38592" behindDoc="1" locked="0" layoutInCell="1" allowOverlap="1" wp14:anchorId="24D630AE" wp14:editId="24D630AF">
              <wp:simplePos x="0" y="0"/>
              <wp:positionH relativeFrom="page">
                <wp:posOffset>2910332</wp:posOffset>
              </wp:positionH>
              <wp:positionV relativeFrom="page">
                <wp:posOffset>9432545</wp:posOffset>
              </wp:positionV>
              <wp:extent cx="2206625" cy="181610"/>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1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AE" id="Textbox 821" o:spid="_x0000_s1252" type="#_x0000_t202" style="position:absolute;margin-left:229.15pt;margin-top:742.7pt;width:173.75pt;height:14.3pt;z-index:-278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fUmQEAACQDAAAOAAAAZHJzL2Uyb0RvYy54bWysUs2O0zAQviPtO1i+b51ES7W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" filled="f" stroked="f">
              <v:textbox inset="0,0,0,0">
                <w:txbxContent>
                  <w:p w14:paraId="24D63318"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39104" behindDoc="1" locked="0" layoutInCell="1" allowOverlap="1" wp14:anchorId="24D630B0" wp14:editId="24D630B1">
              <wp:simplePos x="0" y="0"/>
              <wp:positionH relativeFrom="page">
                <wp:posOffset>6122889</wp:posOffset>
              </wp:positionH>
              <wp:positionV relativeFrom="page">
                <wp:posOffset>9432545</wp:posOffset>
              </wp:positionV>
              <wp:extent cx="785495" cy="18161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319" w14:textId="77777777" w:rsidR="00245300" w:rsidRDefault="00F17249">
                          <w:pPr>
                            <w:pStyle w:val="BodyText"/>
                            <w:spacing w:before="12"/>
                            <w:ind w:left="20"/>
                          </w:pPr>
                          <w:r>
                            <w:t>Page</w:t>
                          </w:r>
                          <w:r>
                            <w:rPr>
                              <w:spacing w:val="-12"/>
                            </w:rPr>
                            <w:t xml:space="preserve"> </w:t>
                          </w:r>
                          <w:r>
                            <w:t>903-</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4D630B0" id="Textbox 822" o:spid="_x0000_s1253" type="#_x0000_t202" style="position:absolute;margin-left:482.1pt;margin-top:742.7pt;width:61.85pt;height:14.3pt;z-index:-278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2xuO&#10;/poBAAAjAwAADgAAAAAAAAAAAAAAAAAuAgAAZHJzL2Uyb0RvYy54bWxQSwECLQAUAAYACAAAACEA&#10;Y3QTQuMAAAAOAQAADwAAAAAAAAAAAAAAAAD0AwAAZHJzL2Rvd25yZXYueG1sUEsFBgAAAAAEAAQA&#10;8wAAAAQFAAAAAA==&#10;" filled="f" stroked="f">
              <v:textbox inset="0,0,0,0">
                <w:txbxContent>
                  <w:p w14:paraId="24D63319" w14:textId="77777777" w:rsidR="00245300" w:rsidRDefault="00F17249">
                    <w:pPr>
                      <w:pStyle w:val="BodyText"/>
                      <w:spacing w:before="12"/>
                      <w:ind w:left="20"/>
                    </w:pPr>
                    <w:r>
                      <w:t>Page</w:t>
                    </w:r>
                    <w:r>
                      <w:rPr>
                        <w:spacing w:val="-12"/>
                      </w:rPr>
                      <w:t xml:space="preserve"> </w:t>
                    </w:r>
                    <w:r>
                      <w:t>903-</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F" w14:textId="77777777" w:rsidR="00245300" w:rsidRDefault="00F17249">
    <w:pPr>
      <w:pStyle w:val="BodyText"/>
      <w:spacing w:line="14" w:lineRule="auto"/>
      <w:rPr>
        <w:sz w:val="20"/>
      </w:rPr>
    </w:pPr>
    <w:r>
      <w:rPr>
        <w:noProof/>
      </w:rPr>
      <mc:AlternateContent>
        <mc:Choice Requires="wps">
          <w:drawing>
            <wp:anchor distT="0" distB="0" distL="0" distR="0" simplePos="0" relativeHeight="475441152" behindDoc="1" locked="0" layoutInCell="1" allowOverlap="1" wp14:anchorId="24D630B8" wp14:editId="24D630B9">
              <wp:simplePos x="0" y="0"/>
              <wp:positionH relativeFrom="page">
                <wp:posOffset>895350</wp:posOffset>
              </wp:positionH>
              <wp:positionV relativeFrom="page">
                <wp:posOffset>9400031</wp:posOffset>
              </wp:positionV>
              <wp:extent cx="5981700" cy="28575"/>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A523C" id="Graphic 826" o:spid="_x0000_s1026" style="position:absolute;margin-left:70.5pt;margin-top:740.15pt;width:471pt;height:2.25pt;z-index:-278753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1664" behindDoc="1" locked="0" layoutInCell="1" allowOverlap="1" wp14:anchorId="24D630BA" wp14:editId="24D630BB">
              <wp:simplePos x="0" y="0"/>
              <wp:positionH relativeFrom="page">
                <wp:posOffset>901700</wp:posOffset>
              </wp:positionH>
              <wp:positionV relativeFrom="page">
                <wp:posOffset>9432545</wp:posOffset>
              </wp:positionV>
              <wp:extent cx="678180" cy="18161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1C"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BA" id="_x0000_t202" coordsize="21600,21600" o:spt="202" path="m,l,21600r21600,l21600,xe">
              <v:stroke joinstyle="miter"/>
              <v:path gradientshapeok="t" o:connecttype="rect"/>
            </v:shapetype>
            <v:shape id="Textbox 827" o:spid="_x0000_s1255" type="#_x0000_t202" style="position:absolute;margin-left:71pt;margin-top:742.7pt;width:53.4pt;height:14.3pt;z-index:-278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nNnRFmAEA&#10;ACMDAAAOAAAAAAAAAAAAAAAAAC4CAABkcnMvZTJvRG9jLnhtbFBLAQItABQABgAIAAAAIQCuavdD&#10;4QAAAA0BAAAPAAAAAAAAAAAAAAAAAPIDAABkcnMvZG93bnJldi54bWxQSwUGAAAAAAQABADzAAAA&#10;AAUAAAAA&#10;" filled="f" stroked="f">
              <v:textbox inset="0,0,0,0">
                <w:txbxContent>
                  <w:p w14:paraId="24D6331C"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42176" behindDoc="1" locked="0" layoutInCell="1" allowOverlap="1" wp14:anchorId="24D630BC" wp14:editId="24D630BD">
              <wp:simplePos x="0" y="0"/>
              <wp:positionH relativeFrom="page">
                <wp:posOffset>2783105</wp:posOffset>
              </wp:positionH>
              <wp:positionV relativeFrom="page">
                <wp:posOffset>9432545</wp:posOffset>
              </wp:positionV>
              <wp:extent cx="2206625" cy="181610"/>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1D"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BC" id="Textbox 828" o:spid="_x0000_s1256" type="#_x0000_t202" style="position:absolute;margin-left:219.15pt;margin-top:742.7pt;width:173.75pt;height:14.3pt;z-index:-27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GuRYfKZ&#10;AQAAJAMAAA4AAAAAAAAAAAAAAAAALgIAAGRycy9lMm9Eb2MueG1sUEsBAi0AFAAGAAgAAAAhAN6R&#10;NCbiAAAADQEAAA8AAAAAAAAAAAAAAAAA8wMAAGRycy9kb3ducmV2LnhtbFBLBQYAAAAABAAEAPMA&#10;AAACBQAAAAA=&#10;" filled="f" stroked="f">
              <v:textbox inset="0,0,0,0">
                <w:txbxContent>
                  <w:p w14:paraId="24D6331D"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42688" behindDoc="1" locked="0" layoutInCell="1" allowOverlap="1" wp14:anchorId="24D630BE" wp14:editId="24D630BF">
              <wp:simplePos x="0" y="0"/>
              <wp:positionH relativeFrom="page">
                <wp:posOffset>6122976</wp:posOffset>
              </wp:positionH>
              <wp:positionV relativeFrom="page">
                <wp:posOffset>9432545</wp:posOffset>
              </wp:positionV>
              <wp:extent cx="785495" cy="18161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31E" w14:textId="77777777" w:rsidR="00245300" w:rsidRDefault="00F17249">
                          <w:pPr>
                            <w:pStyle w:val="BodyText"/>
                            <w:spacing w:before="12"/>
                            <w:ind w:left="20"/>
                          </w:pPr>
                          <w:r>
                            <w:t>Page</w:t>
                          </w:r>
                          <w:r>
                            <w:rPr>
                              <w:spacing w:val="-12"/>
                            </w:rPr>
                            <w:t xml:space="preserve"> </w:t>
                          </w:r>
                          <w:r>
                            <w:t>904-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BE" id="Textbox 829" o:spid="_x0000_s1257" type="#_x0000_t202" style="position:absolute;margin-left:482.1pt;margin-top:742.7pt;width:61.85pt;height:14.3pt;z-index:-278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PLLI&#10;2JoBAAAjAwAADgAAAAAAAAAAAAAAAAAuAgAAZHJzL2Uyb0RvYy54bWxQSwECLQAUAAYACAAAACEA&#10;Y3QTQuMAAAAOAQAADwAAAAAAAAAAAAAAAAD0AwAAZHJzL2Rvd25yZXYueG1sUEsFBgAAAAAEAAQA&#10;8wAAAAQFAAAAAA==&#10;" filled="f" stroked="f">
              <v:textbox inset="0,0,0,0">
                <w:txbxContent>
                  <w:p w14:paraId="24D6331E" w14:textId="77777777" w:rsidR="00245300" w:rsidRDefault="00F17249">
                    <w:pPr>
                      <w:pStyle w:val="BodyText"/>
                      <w:spacing w:before="12"/>
                      <w:ind w:left="20"/>
                    </w:pPr>
                    <w:r>
                      <w:t>Page</w:t>
                    </w:r>
                    <w:r>
                      <w:rPr>
                        <w:spacing w:val="-12"/>
                      </w:rPr>
                      <w:t xml:space="preserve"> </w:t>
                    </w:r>
                    <w:r>
                      <w:t>904-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1" w14:textId="77777777" w:rsidR="00245300" w:rsidRDefault="00F17249">
    <w:pPr>
      <w:pStyle w:val="BodyText"/>
      <w:spacing w:line="14" w:lineRule="auto"/>
      <w:rPr>
        <w:sz w:val="20"/>
      </w:rPr>
    </w:pPr>
    <w:r>
      <w:rPr>
        <w:noProof/>
      </w:rPr>
      <mc:AlternateContent>
        <mc:Choice Requires="wps">
          <w:drawing>
            <wp:anchor distT="0" distB="0" distL="0" distR="0" simplePos="0" relativeHeight="475444736" behindDoc="1" locked="0" layoutInCell="1" allowOverlap="1" wp14:anchorId="24D630C6" wp14:editId="24D630C7">
              <wp:simplePos x="0" y="0"/>
              <wp:positionH relativeFrom="page">
                <wp:posOffset>895350</wp:posOffset>
              </wp:positionH>
              <wp:positionV relativeFrom="page">
                <wp:posOffset>9400031</wp:posOffset>
              </wp:positionV>
              <wp:extent cx="5981700" cy="28575"/>
              <wp:effectExtent l="0" t="0" r="0" b="0"/>
              <wp:wrapNone/>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9D040D" id="Graphic 833" o:spid="_x0000_s1026" style="position:absolute;margin-left:70.5pt;margin-top:740.15pt;width:471pt;height:2.25pt;z-index:-278717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5248" behindDoc="1" locked="0" layoutInCell="1" allowOverlap="1" wp14:anchorId="24D630C8" wp14:editId="24D630C9">
              <wp:simplePos x="0" y="0"/>
              <wp:positionH relativeFrom="page">
                <wp:posOffset>901700</wp:posOffset>
              </wp:positionH>
              <wp:positionV relativeFrom="page">
                <wp:posOffset>9432545</wp:posOffset>
              </wp:positionV>
              <wp:extent cx="678180" cy="18161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20"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C8" id="_x0000_t202" coordsize="21600,21600" o:spt="202" path="m,l,21600r21600,l21600,xe">
              <v:stroke joinstyle="miter"/>
              <v:path gradientshapeok="t" o:connecttype="rect"/>
            </v:shapetype>
            <v:shape id="Textbox 834" o:spid="_x0000_s1259" type="#_x0000_t202" style="position:absolute;margin-left:71pt;margin-top:742.7pt;width:53.4pt;height:14.3pt;z-index:-278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ZTmAEAACMDAAAOAAAAZHJzL2Uyb0RvYy54bWysUs2O0zAQviPxDpbv1E2R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NXL2tcox5bw/tmcWMnGcj6ddRo5Wi/xzYsBz+pcBLsb8U&#10;mPoPUJ5I1hTg/pjA+ULhhjtT4CQKs/nV5Kj//C9Tt7e9+w0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fmSZTmAEA&#10;ACMDAAAOAAAAAAAAAAAAAAAAAC4CAABkcnMvZTJvRG9jLnhtbFBLAQItABQABgAIAAAAIQCuavdD&#10;4QAAAA0BAAAPAAAAAAAAAAAAAAAAAPIDAABkcnMvZG93bnJldi54bWxQSwUGAAAAAAQABADzAAAA&#10;AAUAAAAA&#10;" filled="f" stroked="f">
              <v:textbox inset="0,0,0,0">
                <w:txbxContent>
                  <w:p w14:paraId="24D63320"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45760" behindDoc="1" locked="0" layoutInCell="1" allowOverlap="1" wp14:anchorId="24D630CA" wp14:editId="24D630CB">
              <wp:simplePos x="0" y="0"/>
              <wp:positionH relativeFrom="page">
                <wp:posOffset>2783105</wp:posOffset>
              </wp:positionH>
              <wp:positionV relativeFrom="page">
                <wp:posOffset>9432545</wp:posOffset>
              </wp:positionV>
              <wp:extent cx="2206625" cy="18161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21"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CA" id="Textbox 835" o:spid="_x0000_s1260" type="#_x0000_t202" style="position:absolute;margin-left:219.15pt;margin-top:742.7pt;width:173.75pt;height:14.3pt;z-index:-278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XCmgEAACQDAAAOAAAAZHJzL2Uyb0RvYy54bWysUs2O0zAQviPtO1i+b51kRbW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i1nis7q+3pdF8PF9XaImD5qcCwX&#10;HY+UV2Egj8+Y8nzZnlsWMq/zM5M072Zmexpz1+Qc894O+hOpmSjQjuPPg4yas/GTJ8dy+ucinovd&#10;uYhpfITyRrIoD+8OCYwtFK64CwWKojBbnk3O+vf/0nV93Ntf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C0l3XC&#10;mgEAACQDAAAOAAAAAAAAAAAAAAAAAC4CAABkcnMvZTJvRG9jLnhtbFBLAQItABQABgAIAAAAIQDe&#10;kTQm4gAAAA0BAAAPAAAAAAAAAAAAAAAAAPQDAABkcnMvZG93bnJldi54bWxQSwUGAAAAAAQABADz&#10;AAAAAwUAAAAA&#10;" filled="f" stroked="f">
              <v:textbox inset="0,0,0,0">
                <w:txbxContent>
                  <w:p w14:paraId="24D63321"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46272" behindDoc="1" locked="0" layoutInCell="1" allowOverlap="1" wp14:anchorId="24D630CC" wp14:editId="24D630CD">
              <wp:simplePos x="0" y="0"/>
              <wp:positionH relativeFrom="page">
                <wp:posOffset>6122976</wp:posOffset>
              </wp:positionH>
              <wp:positionV relativeFrom="page">
                <wp:posOffset>9432545</wp:posOffset>
              </wp:positionV>
              <wp:extent cx="786130" cy="181610"/>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81610"/>
                      </a:xfrm>
                      <a:prstGeom prst="rect">
                        <a:avLst/>
                      </a:prstGeom>
                    </wps:spPr>
                    <wps:txbx>
                      <w:txbxContent>
                        <w:p w14:paraId="24D63322" w14:textId="77777777" w:rsidR="00245300" w:rsidRDefault="00F17249">
                          <w:pPr>
                            <w:pStyle w:val="BodyText"/>
                            <w:spacing w:before="12"/>
                            <w:ind w:left="20"/>
                          </w:pPr>
                          <w:r>
                            <w:t>Page</w:t>
                          </w:r>
                          <w:r>
                            <w:rPr>
                              <w:spacing w:val="-12"/>
                            </w:rPr>
                            <w:t xml:space="preserve"> </w:t>
                          </w:r>
                          <w:r>
                            <w:t>905-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CC" id="Textbox 836" o:spid="_x0000_s1261" type="#_x0000_t202" style="position:absolute;margin-left:482.1pt;margin-top:742.7pt;width:61.9pt;height:14.3pt;z-index:-278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" filled="f" stroked="f">
              <v:textbox inset="0,0,0,0">
                <w:txbxContent>
                  <w:p w14:paraId="24D63322" w14:textId="77777777" w:rsidR="00245300" w:rsidRDefault="00F17249">
                    <w:pPr>
                      <w:pStyle w:val="BodyText"/>
                      <w:spacing w:before="12"/>
                      <w:ind w:left="20"/>
                    </w:pPr>
                    <w:r>
                      <w:t>Page</w:t>
                    </w:r>
                    <w:r>
                      <w:rPr>
                        <w:spacing w:val="-12"/>
                      </w:rPr>
                      <w:t xml:space="preserve"> </w:t>
                    </w:r>
                    <w:r>
                      <w:t>905-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3" w14:textId="77777777" w:rsidR="00245300" w:rsidRDefault="00F17249">
    <w:pPr>
      <w:pStyle w:val="BodyText"/>
      <w:spacing w:line="14" w:lineRule="auto"/>
      <w:rPr>
        <w:sz w:val="20"/>
      </w:rPr>
    </w:pPr>
    <w:r>
      <w:rPr>
        <w:noProof/>
      </w:rPr>
      <mc:AlternateContent>
        <mc:Choice Requires="wps">
          <w:drawing>
            <wp:anchor distT="0" distB="0" distL="0" distR="0" simplePos="0" relativeHeight="475448320" behindDoc="1" locked="0" layoutInCell="1" allowOverlap="1" wp14:anchorId="24D630D4" wp14:editId="24D630D5">
              <wp:simplePos x="0" y="0"/>
              <wp:positionH relativeFrom="page">
                <wp:posOffset>895350</wp:posOffset>
              </wp:positionH>
              <wp:positionV relativeFrom="page">
                <wp:posOffset>9400031</wp:posOffset>
              </wp:positionV>
              <wp:extent cx="5981700" cy="28575"/>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0FDC8" id="Graphic 840" o:spid="_x0000_s1026" style="position:absolute;margin-left:70.5pt;margin-top:740.15pt;width:471pt;height:2.25pt;z-index:-278681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8832" behindDoc="1" locked="0" layoutInCell="1" allowOverlap="1" wp14:anchorId="24D630D6" wp14:editId="24D630D7">
              <wp:simplePos x="0" y="0"/>
              <wp:positionH relativeFrom="page">
                <wp:posOffset>901700</wp:posOffset>
              </wp:positionH>
              <wp:positionV relativeFrom="page">
                <wp:posOffset>9432545</wp:posOffset>
              </wp:positionV>
              <wp:extent cx="678180" cy="18161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24"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D6" id="_x0000_t202" coordsize="21600,21600" o:spt="202" path="m,l,21600r21600,l21600,xe">
              <v:stroke joinstyle="miter"/>
              <v:path gradientshapeok="t" o:connecttype="rect"/>
            </v:shapetype>
            <v:shape id="Textbox 841" o:spid="_x0000_s1263" type="#_x0000_t202" style="position:absolute;margin-left:71pt;margin-top:742.7pt;width:53.4pt;height:14.3pt;z-index:-278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C/uROmAEA&#10;ACMDAAAOAAAAAAAAAAAAAAAAAC4CAABkcnMvZTJvRG9jLnhtbFBLAQItABQABgAIAAAAIQCuavdD&#10;4QAAAA0BAAAPAAAAAAAAAAAAAAAAAPIDAABkcnMvZG93bnJldi54bWxQSwUGAAAAAAQABADzAAAA&#10;AAUAAAAA&#10;" filled="f" stroked="f">
              <v:textbox inset="0,0,0,0">
                <w:txbxContent>
                  <w:p w14:paraId="24D63324"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49344" behindDoc="1" locked="0" layoutInCell="1" allowOverlap="1" wp14:anchorId="24D630D8" wp14:editId="24D630D9">
              <wp:simplePos x="0" y="0"/>
              <wp:positionH relativeFrom="page">
                <wp:posOffset>2783105</wp:posOffset>
              </wp:positionH>
              <wp:positionV relativeFrom="page">
                <wp:posOffset>9432545</wp:posOffset>
              </wp:positionV>
              <wp:extent cx="2206625" cy="181610"/>
              <wp:effectExtent l="0" t="0" r="0" b="0"/>
              <wp:wrapNone/>
              <wp:docPr id="842" name="Text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25"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D8" id="Textbox 842" o:spid="_x0000_s1264" type="#_x0000_t202" style="position:absolute;margin-left:219.15pt;margin-top:742.7pt;width:173.75pt;height:14.3pt;z-index:-278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Onwt9+Z&#10;AQAAJAMAAA4AAAAAAAAAAAAAAAAALgIAAGRycy9lMm9Eb2MueG1sUEsBAi0AFAAGAAgAAAAhAN6R&#10;NCbiAAAADQEAAA8AAAAAAAAAAAAAAAAA8wMAAGRycy9kb3ducmV2LnhtbFBLBQYAAAAABAAEAPMA&#10;AAACBQAAAAA=&#10;" filled="f" stroked="f">
              <v:textbox inset="0,0,0,0">
                <w:txbxContent>
                  <w:p w14:paraId="24D63325"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49856" behindDoc="1" locked="0" layoutInCell="1" allowOverlap="1" wp14:anchorId="24D630DA" wp14:editId="24D630DB">
              <wp:simplePos x="0" y="0"/>
              <wp:positionH relativeFrom="page">
                <wp:posOffset>6123116</wp:posOffset>
              </wp:positionH>
              <wp:positionV relativeFrom="page">
                <wp:posOffset>9432545</wp:posOffset>
              </wp:positionV>
              <wp:extent cx="785495" cy="18161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326" w14:textId="77777777" w:rsidR="00245300" w:rsidRDefault="00F17249">
                          <w:pPr>
                            <w:pStyle w:val="BodyText"/>
                            <w:spacing w:before="12"/>
                            <w:ind w:left="20"/>
                          </w:pPr>
                          <w:r>
                            <w:t>Page</w:t>
                          </w:r>
                          <w:r>
                            <w:rPr>
                              <w:spacing w:val="-12"/>
                            </w:rPr>
                            <w:t xml:space="preserve"> </w:t>
                          </w:r>
                          <w:r>
                            <w:t>921-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DA" id="Textbox 843" o:spid="_x0000_s1265" type="#_x0000_t202" style="position:absolute;margin-left:482.15pt;margin-top:742.7pt;width:61.85pt;height:14.3pt;z-index:-2786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" filled="f" stroked="f">
              <v:textbox inset="0,0,0,0">
                <w:txbxContent>
                  <w:p w14:paraId="24D63326" w14:textId="77777777" w:rsidR="00245300" w:rsidRDefault="00F17249">
                    <w:pPr>
                      <w:pStyle w:val="BodyText"/>
                      <w:spacing w:before="12"/>
                      <w:ind w:left="20"/>
                    </w:pPr>
                    <w:r>
                      <w:t>Page</w:t>
                    </w:r>
                    <w:r>
                      <w:rPr>
                        <w:spacing w:val="-12"/>
                      </w:rPr>
                      <w:t xml:space="preserve"> </w:t>
                    </w:r>
                    <w:r>
                      <w:t>921-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5" w14:textId="77777777" w:rsidR="00245300" w:rsidRDefault="00F17249">
    <w:pPr>
      <w:pStyle w:val="BodyText"/>
      <w:spacing w:line="14" w:lineRule="auto"/>
      <w:rPr>
        <w:sz w:val="20"/>
      </w:rPr>
    </w:pPr>
    <w:r>
      <w:rPr>
        <w:noProof/>
      </w:rPr>
      <mc:AlternateContent>
        <mc:Choice Requires="wps">
          <w:drawing>
            <wp:anchor distT="0" distB="0" distL="0" distR="0" simplePos="0" relativeHeight="475451904" behindDoc="1" locked="0" layoutInCell="1" allowOverlap="1" wp14:anchorId="24D630E2" wp14:editId="24D630E3">
              <wp:simplePos x="0" y="0"/>
              <wp:positionH relativeFrom="page">
                <wp:posOffset>895350</wp:posOffset>
              </wp:positionH>
              <wp:positionV relativeFrom="page">
                <wp:posOffset>9400031</wp:posOffset>
              </wp:positionV>
              <wp:extent cx="5981700" cy="28575"/>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8BFBC5" id="Graphic 854" o:spid="_x0000_s1026" style="position:absolute;margin-left:70.5pt;margin-top:740.15pt;width:471pt;height:2.25pt;z-index:-278645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2416" behindDoc="1" locked="0" layoutInCell="1" allowOverlap="1" wp14:anchorId="24D630E4" wp14:editId="24D630E5">
              <wp:simplePos x="0" y="0"/>
              <wp:positionH relativeFrom="page">
                <wp:posOffset>901700</wp:posOffset>
              </wp:positionH>
              <wp:positionV relativeFrom="page">
                <wp:posOffset>9432545</wp:posOffset>
              </wp:positionV>
              <wp:extent cx="678180" cy="181610"/>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29"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E4" id="_x0000_t202" coordsize="21600,21600" o:spt="202" path="m,l,21600r21600,l21600,xe">
              <v:stroke joinstyle="miter"/>
              <v:path gradientshapeok="t" o:connecttype="rect"/>
            </v:shapetype>
            <v:shape id="Textbox 855" o:spid="_x0000_s1267" type="#_x0000_t202" style="position:absolute;margin-left:71pt;margin-top:742.7pt;width:53.4pt;height:14.3pt;z-index:-278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lV6JomAEA&#10;ACMDAAAOAAAAAAAAAAAAAAAAAC4CAABkcnMvZTJvRG9jLnhtbFBLAQItABQABgAIAAAAIQCuavdD&#10;4QAAAA0BAAAPAAAAAAAAAAAAAAAAAPIDAABkcnMvZG93bnJldi54bWxQSwUGAAAAAAQABADzAAAA&#10;AAUAAAAA&#10;" filled="f" stroked="f">
              <v:textbox inset="0,0,0,0">
                <w:txbxContent>
                  <w:p w14:paraId="24D63329"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52928" behindDoc="1" locked="0" layoutInCell="1" allowOverlap="1" wp14:anchorId="24D630E6" wp14:editId="24D630E7">
              <wp:simplePos x="0" y="0"/>
              <wp:positionH relativeFrom="page">
                <wp:posOffset>2783105</wp:posOffset>
              </wp:positionH>
              <wp:positionV relativeFrom="page">
                <wp:posOffset>9432545</wp:posOffset>
              </wp:positionV>
              <wp:extent cx="2206625" cy="181610"/>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2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0E6" id="Textbox 856" o:spid="_x0000_s1268" type="#_x0000_t202" style="position:absolute;margin-left:219.15pt;margin-top:742.7pt;width:173.75pt;height:14.3pt;z-index:-278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GhHwdaZ&#10;AQAAJAMAAA4AAAAAAAAAAAAAAAAALgIAAGRycy9lMm9Eb2MueG1sUEsBAi0AFAAGAAgAAAAhAN6R&#10;NCbiAAAADQEAAA8AAAAAAAAAAAAAAAAA8wMAAGRycy9kb3ducmV2LnhtbFBLBQYAAAAABAAEAPMA&#10;AAACBQAAAAA=&#10;" filled="f" stroked="f">
              <v:textbox inset="0,0,0,0">
                <w:txbxContent>
                  <w:p w14:paraId="24D6332A"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53440" behindDoc="1" locked="0" layoutInCell="1" allowOverlap="1" wp14:anchorId="24D630E8" wp14:editId="24D630E9">
              <wp:simplePos x="0" y="0"/>
              <wp:positionH relativeFrom="page">
                <wp:posOffset>5992455</wp:posOffset>
              </wp:positionH>
              <wp:positionV relativeFrom="page">
                <wp:posOffset>9432545</wp:posOffset>
              </wp:positionV>
              <wp:extent cx="916305" cy="181610"/>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305" cy="181610"/>
                      </a:xfrm>
                      <a:prstGeom prst="rect">
                        <a:avLst/>
                      </a:prstGeom>
                    </wps:spPr>
                    <wps:txbx>
                      <w:txbxContent>
                        <w:p w14:paraId="24D6332B" w14:textId="77777777" w:rsidR="00245300" w:rsidRDefault="00F17249">
                          <w:pPr>
                            <w:pStyle w:val="BodyText"/>
                            <w:spacing w:before="12"/>
                            <w:ind w:left="20"/>
                          </w:pPr>
                          <w:r>
                            <w:t>Page</w:t>
                          </w:r>
                          <w:r>
                            <w:rPr>
                              <w:spacing w:val="-11"/>
                            </w:rPr>
                            <w:t xml:space="preserve"> </w:t>
                          </w:r>
                          <w:r>
                            <w:t>921</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E8" id="Textbox 857" o:spid="_x0000_s1269" type="#_x0000_t202" style="position:absolute;margin-left:471.85pt;margin-top:742.7pt;width:72.15pt;height:14.3pt;z-index:-278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" filled="f" stroked="f">
              <v:textbox inset="0,0,0,0">
                <w:txbxContent>
                  <w:p w14:paraId="24D6332B" w14:textId="77777777" w:rsidR="00245300" w:rsidRDefault="00F17249">
                    <w:pPr>
                      <w:pStyle w:val="BodyText"/>
                      <w:spacing w:before="12"/>
                      <w:ind w:left="20"/>
                    </w:pPr>
                    <w:r>
                      <w:t>Page</w:t>
                    </w:r>
                    <w:r>
                      <w:rPr>
                        <w:spacing w:val="-11"/>
                      </w:rPr>
                      <w:t xml:space="preserve"> </w:t>
                    </w:r>
                    <w:r>
                      <w:t>921</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7" w14:textId="77777777" w:rsidR="00245300" w:rsidRDefault="00F17249">
    <w:pPr>
      <w:pStyle w:val="BodyText"/>
      <w:spacing w:line="14" w:lineRule="auto"/>
      <w:rPr>
        <w:sz w:val="20"/>
      </w:rPr>
    </w:pPr>
    <w:r>
      <w:rPr>
        <w:noProof/>
      </w:rPr>
      <mc:AlternateContent>
        <mc:Choice Requires="wps">
          <w:drawing>
            <wp:anchor distT="0" distB="0" distL="0" distR="0" simplePos="0" relativeHeight="475455488" behindDoc="1" locked="0" layoutInCell="1" allowOverlap="1" wp14:anchorId="24D630F0" wp14:editId="24D630F1">
              <wp:simplePos x="0" y="0"/>
              <wp:positionH relativeFrom="page">
                <wp:posOffset>895350</wp:posOffset>
              </wp:positionH>
              <wp:positionV relativeFrom="page">
                <wp:posOffset>9400031</wp:posOffset>
              </wp:positionV>
              <wp:extent cx="5981700" cy="28575"/>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E95D15" id="Graphic 862" o:spid="_x0000_s1026" style="position:absolute;margin-left:70.5pt;margin-top:740.15pt;width:471pt;height:2.25pt;z-index:-278609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6000" behindDoc="1" locked="0" layoutInCell="1" allowOverlap="1" wp14:anchorId="24D630F2" wp14:editId="24D630F3">
              <wp:simplePos x="0" y="0"/>
              <wp:positionH relativeFrom="page">
                <wp:posOffset>901700</wp:posOffset>
              </wp:positionH>
              <wp:positionV relativeFrom="page">
                <wp:posOffset>9432545</wp:posOffset>
              </wp:positionV>
              <wp:extent cx="677545" cy="181610"/>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81610"/>
                      </a:xfrm>
                      <a:prstGeom prst="rect">
                        <a:avLst/>
                      </a:prstGeom>
                    </wps:spPr>
                    <wps:txbx>
                      <w:txbxContent>
                        <w:p w14:paraId="24D6332E"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0F2" id="_x0000_t202" coordsize="21600,21600" o:spt="202" path="m,l,21600r21600,l21600,xe">
              <v:stroke joinstyle="miter"/>
              <v:path gradientshapeok="t" o:connecttype="rect"/>
            </v:shapetype>
            <v:shape id="Textbox 863" o:spid="_x0000_s1271" type="#_x0000_t202" style="position:absolute;margin-left:71pt;margin-top:742.7pt;width:53.35pt;height:14.3pt;z-index:-278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" filled="f" stroked="f">
              <v:textbox inset="0,0,0,0">
                <w:txbxContent>
                  <w:p w14:paraId="24D6332E"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56512" behindDoc="1" locked="0" layoutInCell="1" allowOverlap="1" wp14:anchorId="24D630F4" wp14:editId="24D630F5">
              <wp:simplePos x="0" y="0"/>
              <wp:positionH relativeFrom="page">
                <wp:posOffset>2782247</wp:posOffset>
              </wp:positionH>
              <wp:positionV relativeFrom="page">
                <wp:posOffset>9432545</wp:posOffset>
              </wp:positionV>
              <wp:extent cx="2207260" cy="181610"/>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32F" w14:textId="77777777" w:rsidR="00245300" w:rsidRDefault="00F17249">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wps:txbx>
                    <wps:bodyPr wrap="square" lIns="0" tIns="0" rIns="0" bIns="0" rtlCol="0">
                      <a:noAutofit/>
                    </wps:bodyPr>
                  </wps:wsp>
                </a:graphicData>
              </a:graphic>
            </wp:anchor>
          </w:drawing>
        </mc:Choice>
        <mc:Fallback>
          <w:pict>
            <v:shape w14:anchorId="24D630F4" id="Textbox 864" o:spid="_x0000_s1272" type="#_x0000_t202" style="position:absolute;margin-left:219.05pt;margin-top:742.7pt;width:173.8pt;height:14.3pt;z-index:-278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" filled="f" stroked="f">
              <v:textbox inset="0,0,0,0">
                <w:txbxContent>
                  <w:p w14:paraId="24D6332F" w14:textId="77777777" w:rsidR="00245300" w:rsidRDefault="00F17249">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57024" behindDoc="1" locked="0" layoutInCell="1" allowOverlap="1" wp14:anchorId="24D630F6" wp14:editId="24D630F7">
              <wp:simplePos x="0" y="0"/>
              <wp:positionH relativeFrom="page">
                <wp:posOffset>5991585</wp:posOffset>
              </wp:positionH>
              <wp:positionV relativeFrom="page">
                <wp:posOffset>9432545</wp:posOffset>
              </wp:positionV>
              <wp:extent cx="916940" cy="18161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940" cy="181610"/>
                      </a:xfrm>
                      <a:prstGeom prst="rect">
                        <a:avLst/>
                      </a:prstGeom>
                    </wps:spPr>
                    <wps:txbx>
                      <w:txbxContent>
                        <w:p w14:paraId="24D63330" w14:textId="77777777" w:rsidR="00245300" w:rsidRDefault="00F17249">
                          <w:pPr>
                            <w:pStyle w:val="BodyText"/>
                            <w:spacing w:before="12"/>
                            <w:ind w:left="20"/>
                          </w:pPr>
                          <w:r>
                            <w:t>Page</w:t>
                          </w:r>
                          <w:r>
                            <w:rPr>
                              <w:spacing w:val="-9"/>
                            </w:rPr>
                            <w:t xml:space="preserve"> </w:t>
                          </w:r>
                          <w:r>
                            <w:t>921</w:t>
                          </w:r>
                          <w:r>
                            <w:rPr>
                              <w:spacing w:val="-5"/>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0F6" id="Textbox 865" o:spid="_x0000_s1273" type="#_x0000_t202" style="position:absolute;margin-left:471.8pt;margin-top:742.7pt;width:72.2pt;height:14.3pt;z-index:-278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" filled="f" stroked="f">
              <v:textbox inset="0,0,0,0">
                <w:txbxContent>
                  <w:p w14:paraId="24D63330" w14:textId="77777777" w:rsidR="00245300" w:rsidRDefault="00F17249">
                    <w:pPr>
                      <w:pStyle w:val="BodyText"/>
                      <w:spacing w:before="12"/>
                      <w:ind w:left="20"/>
                    </w:pPr>
                    <w:r>
                      <w:t>Page</w:t>
                    </w:r>
                    <w:r>
                      <w:rPr>
                        <w:spacing w:val="-9"/>
                      </w:rPr>
                      <w:t xml:space="preserve"> </w:t>
                    </w:r>
                    <w:r>
                      <w:t>921</w:t>
                    </w:r>
                    <w:r>
                      <w:rPr>
                        <w:spacing w:val="-5"/>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9" w14:textId="77777777" w:rsidR="00245300" w:rsidRDefault="00F17249">
    <w:pPr>
      <w:pStyle w:val="BodyText"/>
      <w:spacing w:line="14" w:lineRule="auto"/>
      <w:rPr>
        <w:sz w:val="20"/>
      </w:rPr>
    </w:pPr>
    <w:r>
      <w:rPr>
        <w:noProof/>
      </w:rPr>
      <mc:AlternateContent>
        <mc:Choice Requires="wps">
          <w:drawing>
            <wp:anchor distT="0" distB="0" distL="0" distR="0" simplePos="0" relativeHeight="475459072" behindDoc="1" locked="0" layoutInCell="1" allowOverlap="1" wp14:anchorId="24D630FE" wp14:editId="24D630FF">
              <wp:simplePos x="0" y="0"/>
              <wp:positionH relativeFrom="page">
                <wp:posOffset>895350</wp:posOffset>
              </wp:positionH>
              <wp:positionV relativeFrom="page">
                <wp:posOffset>9400031</wp:posOffset>
              </wp:positionV>
              <wp:extent cx="5981700" cy="28575"/>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D25EC" id="Graphic 869" o:spid="_x0000_s1026" style="position:absolute;margin-left:70.5pt;margin-top:740.15pt;width:471pt;height:2.25pt;z-index:-278574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9584" behindDoc="1" locked="0" layoutInCell="1" allowOverlap="1" wp14:anchorId="24D63100" wp14:editId="24D63101">
              <wp:simplePos x="0" y="0"/>
              <wp:positionH relativeFrom="page">
                <wp:posOffset>901700</wp:posOffset>
              </wp:positionH>
              <wp:positionV relativeFrom="page">
                <wp:posOffset>9432545</wp:posOffset>
              </wp:positionV>
              <wp:extent cx="678815" cy="18161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81610"/>
                      </a:xfrm>
                      <a:prstGeom prst="rect">
                        <a:avLst/>
                      </a:prstGeom>
                    </wps:spPr>
                    <wps:txbx>
                      <w:txbxContent>
                        <w:p w14:paraId="24D63333"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00" id="_x0000_t202" coordsize="21600,21600" o:spt="202" path="m,l,21600r21600,l21600,xe">
              <v:stroke joinstyle="miter"/>
              <v:path gradientshapeok="t" o:connecttype="rect"/>
            </v:shapetype>
            <v:shape id="Textbox 870" o:spid="_x0000_s1275" type="#_x0000_t202" style="position:absolute;margin-left:71pt;margin-top:742.7pt;width:53.45pt;height:14.3pt;z-index:-278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" filled="f" stroked="f">
              <v:textbox inset="0,0,0,0">
                <w:txbxContent>
                  <w:p w14:paraId="24D63333"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60096" behindDoc="1" locked="0" layoutInCell="1" allowOverlap="1" wp14:anchorId="24D63102" wp14:editId="24D63103">
              <wp:simplePos x="0" y="0"/>
              <wp:positionH relativeFrom="page">
                <wp:posOffset>2783105</wp:posOffset>
              </wp:positionH>
              <wp:positionV relativeFrom="page">
                <wp:posOffset>9432545</wp:posOffset>
              </wp:positionV>
              <wp:extent cx="2206625" cy="18161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34"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02" id="Textbox 871" o:spid="_x0000_s1276" type="#_x0000_t202" style="position:absolute;margin-left:219.15pt;margin-top:742.7pt;width:173.75pt;height:14.3pt;z-index:-278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NKJRe2Z&#10;AQAAJAMAAA4AAAAAAAAAAAAAAAAALgIAAGRycy9lMm9Eb2MueG1sUEsBAi0AFAAGAAgAAAAhAN6R&#10;NCbiAAAADQEAAA8AAAAAAAAAAAAAAAAA8wMAAGRycy9kb3ducmV2LnhtbFBLBQYAAAAABAAEAPMA&#10;AAACBQAAAAA=&#10;" filled="f" stroked="f">
              <v:textbox inset="0,0,0,0">
                <w:txbxContent>
                  <w:p w14:paraId="24D63334"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60608" behindDoc="1" locked="0" layoutInCell="1" allowOverlap="1" wp14:anchorId="24D63104" wp14:editId="24D63105">
              <wp:simplePos x="0" y="0"/>
              <wp:positionH relativeFrom="page">
                <wp:posOffset>6124231</wp:posOffset>
              </wp:positionH>
              <wp:positionV relativeFrom="page">
                <wp:posOffset>9432545</wp:posOffset>
              </wp:positionV>
              <wp:extent cx="784860" cy="18161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181610"/>
                      </a:xfrm>
                      <a:prstGeom prst="rect">
                        <a:avLst/>
                      </a:prstGeom>
                    </wps:spPr>
                    <wps:txbx>
                      <w:txbxContent>
                        <w:p w14:paraId="24D63335" w14:textId="77777777" w:rsidR="00245300" w:rsidRDefault="00F17249">
                          <w:pPr>
                            <w:pStyle w:val="BodyText"/>
                            <w:spacing w:before="12"/>
                            <w:ind w:left="20"/>
                          </w:pPr>
                          <w:r>
                            <w:t>Page</w:t>
                          </w:r>
                          <w:r>
                            <w:rPr>
                              <w:spacing w:val="-13"/>
                            </w:rPr>
                            <w:t xml:space="preserve"> </w:t>
                          </w:r>
                          <w:r>
                            <w:t>931-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104" id="Textbox 872" o:spid="_x0000_s1277" type="#_x0000_t202" style="position:absolute;margin-left:482.2pt;margin-top:742.7pt;width:61.8pt;height:14.3pt;z-index:-278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" filled="f" stroked="f">
              <v:textbox inset="0,0,0,0">
                <w:txbxContent>
                  <w:p w14:paraId="24D63335" w14:textId="77777777" w:rsidR="00245300" w:rsidRDefault="00F17249">
                    <w:pPr>
                      <w:pStyle w:val="BodyText"/>
                      <w:spacing w:before="12"/>
                      <w:ind w:left="20"/>
                    </w:pPr>
                    <w:r>
                      <w:t>Page</w:t>
                    </w:r>
                    <w:r>
                      <w:rPr>
                        <w:spacing w:val="-13"/>
                      </w:rPr>
                      <w:t xml:space="preserve"> </w:t>
                    </w:r>
                    <w:r>
                      <w:t>931-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B" w14:textId="77777777" w:rsidR="00245300" w:rsidRDefault="00F17249">
    <w:pPr>
      <w:pStyle w:val="BodyText"/>
      <w:spacing w:line="14" w:lineRule="auto"/>
      <w:rPr>
        <w:sz w:val="20"/>
      </w:rPr>
    </w:pPr>
    <w:r>
      <w:rPr>
        <w:noProof/>
      </w:rPr>
      <mc:AlternateContent>
        <mc:Choice Requires="wps">
          <w:drawing>
            <wp:anchor distT="0" distB="0" distL="0" distR="0" simplePos="0" relativeHeight="475462656" behindDoc="1" locked="0" layoutInCell="1" allowOverlap="1" wp14:anchorId="24D6310C" wp14:editId="24D6310D">
              <wp:simplePos x="0" y="0"/>
              <wp:positionH relativeFrom="page">
                <wp:posOffset>895350</wp:posOffset>
              </wp:positionH>
              <wp:positionV relativeFrom="page">
                <wp:posOffset>9400031</wp:posOffset>
              </wp:positionV>
              <wp:extent cx="5981700" cy="28575"/>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9C896" id="Graphic 877" o:spid="_x0000_s1026" style="position:absolute;margin-left:70.5pt;margin-top:740.15pt;width:471pt;height:2.25pt;z-index:-278538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3168" behindDoc="1" locked="0" layoutInCell="1" allowOverlap="1" wp14:anchorId="24D6310E" wp14:editId="24D6310F">
              <wp:simplePos x="0" y="0"/>
              <wp:positionH relativeFrom="page">
                <wp:posOffset>901700</wp:posOffset>
              </wp:positionH>
              <wp:positionV relativeFrom="page">
                <wp:posOffset>9432545</wp:posOffset>
              </wp:positionV>
              <wp:extent cx="678180" cy="18161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38"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0E" id="_x0000_t202" coordsize="21600,21600" o:spt="202" path="m,l,21600r21600,l21600,xe">
              <v:stroke joinstyle="miter"/>
              <v:path gradientshapeok="t" o:connecttype="rect"/>
            </v:shapetype>
            <v:shape id="Textbox 878" o:spid="_x0000_s1279" type="#_x0000_t202" style="position:absolute;margin-left:71pt;margin-top:742.7pt;width:53.4pt;height:14.3pt;z-index:-278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JMmAEAACMDAAAOAAAAZHJzL2Uyb0RvYy54bWysUs2O0zAQviPxDpbv1E0l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NXL2tcox5bw/tmcWMnGcj6ddRo5Wi/xzYsBz+pcBLsb8U&#10;mPoPUJ5I1hTg/pjA+ULhhjtT4CQKs/nV5Kj//C9Tt7e9+w0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mgQJMmAEA&#10;ACMDAAAOAAAAAAAAAAAAAAAAAC4CAABkcnMvZTJvRG9jLnhtbFBLAQItABQABgAIAAAAIQCuavdD&#10;4QAAAA0BAAAPAAAAAAAAAAAAAAAAAPIDAABkcnMvZG93bnJldi54bWxQSwUGAAAAAAQABADzAAAA&#10;AAUAAAAA&#10;" filled="f" stroked="f">
              <v:textbox inset="0,0,0,0">
                <w:txbxContent>
                  <w:p w14:paraId="24D63338"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63680" behindDoc="1" locked="0" layoutInCell="1" allowOverlap="1" wp14:anchorId="24D63110" wp14:editId="24D63111">
              <wp:simplePos x="0" y="0"/>
              <wp:positionH relativeFrom="page">
                <wp:posOffset>2841114</wp:posOffset>
              </wp:positionH>
              <wp:positionV relativeFrom="page">
                <wp:posOffset>9432545</wp:posOffset>
              </wp:positionV>
              <wp:extent cx="2206625" cy="18161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39" w14:textId="77777777" w:rsidR="00245300" w:rsidRDefault="00F17249">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10" id="Textbox 879" o:spid="_x0000_s1280" type="#_x0000_t202" style="position:absolute;margin-left:223.7pt;margin-top:742.7pt;width:173.75pt;height:14.3pt;z-index:-2785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" filled="f" stroked="f">
              <v:textbox inset="0,0,0,0">
                <w:txbxContent>
                  <w:p w14:paraId="24D63339" w14:textId="77777777" w:rsidR="00245300" w:rsidRDefault="00F17249">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64192" behindDoc="1" locked="0" layoutInCell="1" allowOverlap="1" wp14:anchorId="24D63112" wp14:editId="24D63113">
              <wp:simplePos x="0" y="0"/>
              <wp:positionH relativeFrom="page">
                <wp:posOffset>6122976</wp:posOffset>
              </wp:positionH>
              <wp:positionV relativeFrom="page">
                <wp:posOffset>9432545</wp:posOffset>
              </wp:positionV>
              <wp:extent cx="785495" cy="181610"/>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24D6333A" w14:textId="77777777" w:rsidR="00245300" w:rsidRDefault="00F17249">
                          <w:pPr>
                            <w:pStyle w:val="BodyText"/>
                            <w:spacing w:before="12"/>
                            <w:ind w:left="20"/>
                          </w:pPr>
                          <w:r>
                            <w:t>Page</w:t>
                          </w:r>
                          <w:r>
                            <w:rPr>
                              <w:spacing w:val="-12"/>
                            </w:rPr>
                            <w:t xml:space="preserve"> </w:t>
                          </w:r>
                          <w:r>
                            <w:t>941-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112" id="Textbox 880" o:spid="_x0000_s1281" type="#_x0000_t202" style="position:absolute;margin-left:482.1pt;margin-top:742.7pt;width:61.85pt;height:14.3pt;z-index:-278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" filled="f" stroked="f">
              <v:textbox inset="0,0,0,0">
                <w:txbxContent>
                  <w:p w14:paraId="24D6333A" w14:textId="77777777" w:rsidR="00245300" w:rsidRDefault="00F17249">
                    <w:pPr>
                      <w:pStyle w:val="BodyText"/>
                      <w:spacing w:before="12"/>
                      <w:ind w:left="20"/>
                    </w:pPr>
                    <w:r>
                      <w:t>Page</w:t>
                    </w:r>
                    <w:r>
                      <w:rPr>
                        <w:spacing w:val="-12"/>
                      </w:rPr>
                      <w:t xml:space="preserve"> </w:t>
                    </w:r>
                    <w:r>
                      <w:t>941-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F" w14:textId="77777777" w:rsidR="00245300" w:rsidRDefault="00F17249">
    <w:pPr>
      <w:pStyle w:val="BodyText"/>
      <w:spacing w:line="14" w:lineRule="auto"/>
      <w:rPr>
        <w:sz w:val="20"/>
      </w:rPr>
    </w:pPr>
    <w:r>
      <w:rPr>
        <w:noProof/>
      </w:rPr>
      <mc:AlternateContent>
        <mc:Choice Requires="wps">
          <w:drawing>
            <wp:anchor distT="0" distB="0" distL="0" distR="0" simplePos="0" relativeHeight="475257344" behindDoc="1" locked="0" layoutInCell="1" allowOverlap="1" wp14:anchorId="24D62DEA" wp14:editId="24D62DEB">
              <wp:simplePos x="0" y="0"/>
              <wp:positionH relativeFrom="page">
                <wp:posOffset>895350</wp:posOffset>
              </wp:positionH>
              <wp:positionV relativeFrom="page">
                <wp:posOffset>9400031</wp:posOffset>
              </wp:positionV>
              <wp:extent cx="5981700" cy="2857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7A810" id="Graphic 69" o:spid="_x0000_s1026" style="position:absolute;margin-left:70.5pt;margin-top:740.15pt;width:471pt;height:2.25pt;z-index:-280591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7856" behindDoc="1" locked="0" layoutInCell="1" allowOverlap="1" wp14:anchorId="24D62DEC" wp14:editId="24D62DED">
              <wp:simplePos x="0" y="0"/>
              <wp:positionH relativeFrom="page">
                <wp:posOffset>901700</wp:posOffset>
              </wp:positionH>
              <wp:positionV relativeFrom="page">
                <wp:posOffset>9432545</wp:posOffset>
              </wp:positionV>
              <wp:extent cx="678180" cy="1816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1B"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DEC" id="_x0000_t202" coordsize="21600,21600" o:spt="202" path="m,l,21600r21600,l21600,xe">
              <v:stroke joinstyle="miter"/>
              <v:path gradientshapeok="t" o:connecttype="rect"/>
            </v:shapetype>
            <v:shape id="Textbox 70" o:spid="_x0000_s1045" type="#_x0000_t202" style="position:absolute;margin-left:71pt;margin-top:742.7pt;width:53.4pt;height:14.3pt;z-index:-280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P6sMYmXAQAA&#10;IgMAAA4AAAAAAAAAAAAAAAAALgIAAGRycy9lMm9Eb2MueG1sUEsBAi0AFAAGAAgAAAAhAK5q90Ph&#10;AAAADQEAAA8AAAAAAAAAAAAAAAAA8QMAAGRycy9kb3ducmV2LnhtbFBLBQYAAAAABAAEAPMAAAD/&#10;BAAAAAA=&#10;" filled="f" stroked="f">
              <v:textbox inset="0,0,0,0">
                <w:txbxContent>
                  <w:p w14:paraId="24D6321B"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58368" behindDoc="1" locked="0" layoutInCell="1" allowOverlap="1" wp14:anchorId="24D62DEE" wp14:editId="24D62DEF">
              <wp:simplePos x="0" y="0"/>
              <wp:positionH relativeFrom="page">
                <wp:posOffset>2783105</wp:posOffset>
              </wp:positionH>
              <wp:positionV relativeFrom="page">
                <wp:posOffset>9432545</wp:posOffset>
              </wp:positionV>
              <wp:extent cx="2207260" cy="1816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1C"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DEE" id="Textbox 71" o:spid="_x0000_s1046" type="#_x0000_t202" style="position:absolute;margin-left:219.15pt;margin-top:742.7pt;width:173.8pt;height:14.3pt;z-index:-280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" filled="f" stroked="f">
              <v:textbox inset="0,0,0,0">
                <w:txbxContent>
                  <w:p w14:paraId="24D6321C"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58880" behindDoc="1" locked="0" layoutInCell="1" allowOverlap="1" wp14:anchorId="24D62DF0" wp14:editId="24D62DF1">
              <wp:simplePos x="0" y="0"/>
              <wp:positionH relativeFrom="page">
                <wp:posOffset>6123116</wp:posOffset>
              </wp:positionH>
              <wp:positionV relativeFrom="page">
                <wp:posOffset>9432545</wp:posOffset>
              </wp:positionV>
              <wp:extent cx="747395" cy="1816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24D6321D" w14:textId="77777777" w:rsidR="00245300" w:rsidRDefault="00F17249">
                          <w:pPr>
                            <w:pStyle w:val="BodyText"/>
                            <w:spacing w:before="12"/>
                            <w:ind w:left="20"/>
                          </w:pPr>
                          <w:r>
                            <w:t>Page</w:t>
                          </w:r>
                          <w:r>
                            <w:rPr>
                              <w:spacing w:val="-12"/>
                            </w:rPr>
                            <w:t xml:space="preserve"> </w:t>
                          </w:r>
                          <w:r>
                            <w:t>615-</w:t>
                          </w:r>
                          <w:r>
                            <w:rPr>
                              <w:spacing w:val="-10"/>
                            </w:rPr>
                            <w:t>1</w:t>
                          </w:r>
                        </w:p>
                      </w:txbxContent>
                    </wps:txbx>
                    <wps:bodyPr wrap="square" lIns="0" tIns="0" rIns="0" bIns="0" rtlCol="0">
                      <a:noAutofit/>
                    </wps:bodyPr>
                  </wps:wsp>
                </a:graphicData>
              </a:graphic>
            </wp:anchor>
          </w:drawing>
        </mc:Choice>
        <mc:Fallback>
          <w:pict>
            <v:shape w14:anchorId="24D62DF0" id="Textbox 72" o:spid="_x0000_s1047" type="#_x0000_t202" style="position:absolute;margin-left:482.15pt;margin-top:742.7pt;width:58.85pt;height:14.3pt;z-index:-280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" filled="f" stroked="f">
              <v:textbox inset="0,0,0,0">
                <w:txbxContent>
                  <w:p w14:paraId="24D6321D" w14:textId="77777777" w:rsidR="00245300" w:rsidRDefault="00F17249">
                    <w:pPr>
                      <w:pStyle w:val="BodyText"/>
                      <w:spacing w:before="12"/>
                      <w:ind w:left="20"/>
                    </w:pPr>
                    <w:r>
                      <w:t>Page</w:t>
                    </w:r>
                    <w:r>
                      <w:rPr>
                        <w:spacing w:val="-12"/>
                      </w:rPr>
                      <w:t xml:space="preserve"> </w:t>
                    </w:r>
                    <w:r>
                      <w:t>615-</w:t>
                    </w:r>
                    <w:r>
                      <w:rPr>
                        <w:spacing w:val="-10"/>
                      </w:rPr>
                      <w:t>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D" w14:textId="77777777" w:rsidR="00245300" w:rsidRDefault="00245300">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F" w14:textId="77777777" w:rsidR="00245300" w:rsidRDefault="00F17249">
    <w:pPr>
      <w:pStyle w:val="BodyText"/>
      <w:spacing w:line="14" w:lineRule="auto"/>
      <w:rPr>
        <w:sz w:val="20"/>
      </w:rPr>
    </w:pPr>
    <w:r>
      <w:rPr>
        <w:noProof/>
      </w:rPr>
      <mc:AlternateContent>
        <mc:Choice Requires="wps">
          <w:drawing>
            <wp:anchor distT="0" distB="0" distL="0" distR="0" simplePos="0" relativeHeight="475466240" behindDoc="1" locked="0" layoutInCell="1" allowOverlap="1" wp14:anchorId="24D6311A" wp14:editId="24D6311B">
              <wp:simplePos x="0" y="0"/>
              <wp:positionH relativeFrom="page">
                <wp:posOffset>895350</wp:posOffset>
              </wp:positionH>
              <wp:positionV relativeFrom="page">
                <wp:posOffset>9400031</wp:posOffset>
              </wp:positionV>
              <wp:extent cx="5981700" cy="28575"/>
              <wp:effectExtent l="0" t="0" r="0" b="0"/>
              <wp:wrapNone/>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4BE93" id="Graphic 896" o:spid="_x0000_s1026" style="position:absolute;margin-left:70.5pt;margin-top:740.15pt;width:471pt;height:2.25pt;z-index:-278502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6752" behindDoc="1" locked="0" layoutInCell="1" allowOverlap="1" wp14:anchorId="24D6311C" wp14:editId="24D6311D">
              <wp:simplePos x="0" y="0"/>
              <wp:positionH relativeFrom="page">
                <wp:posOffset>901700</wp:posOffset>
              </wp:positionH>
              <wp:positionV relativeFrom="page">
                <wp:posOffset>9432545</wp:posOffset>
              </wp:positionV>
              <wp:extent cx="678180" cy="18161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3D"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1C" id="_x0000_t202" coordsize="21600,21600" o:spt="202" path="m,l,21600r21600,l21600,xe">
              <v:stroke joinstyle="miter"/>
              <v:path gradientshapeok="t" o:connecttype="rect"/>
            </v:shapetype>
            <v:shape id="Textbox 897" o:spid="_x0000_s1283" type="#_x0000_t202" style="position:absolute;margin-left:71pt;margin-top:742.7pt;width:53.4pt;height:14.3pt;z-index:-2784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BRmQEAACMDAAAOAAAAZHJzL2Uyb0RvYy54bWysUs2O0zAQviPxDpbv1E2lLVX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67fbqoNdwy3qk21rorf6nY4IqVPFrzIRSOR&#10;4yoE9OmRUr5e15eRmcvL9ZlImvaT6NtGru7ucox5bw/tmcWMnGcj6edRo5Vi+BzYsBz+pcBLsb8U&#10;mIYPUJ5I1hTg3TGB6wuFG+5MgZMozOZXk6P+/b9M3d727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O+bAUZkB&#10;AAAjAwAADgAAAAAAAAAAAAAAAAAuAgAAZHJzL2Uyb0RvYy54bWxQSwECLQAUAAYACAAAACEArmr3&#10;Q+EAAAANAQAADwAAAAAAAAAAAAAAAADzAwAAZHJzL2Rvd25yZXYueG1sUEsFBgAAAAAEAAQA8wAA&#10;AAEFAAAAAA==&#10;" filled="f" stroked="f">
              <v:textbox inset="0,0,0,0">
                <w:txbxContent>
                  <w:p w14:paraId="24D6333D"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67264" behindDoc="1" locked="0" layoutInCell="1" allowOverlap="1" wp14:anchorId="24D6311E" wp14:editId="24D6311F">
              <wp:simplePos x="0" y="0"/>
              <wp:positionH relativeFrom="page">
                <wp:posOffset>2783105</wp:posOffset>
              </wp:positionH>
              <wp:positionV relativeFrom="page">
                <wp:posOffset>9432545</wp:posOffset>
              </wp:positionV>
              <wp:extent cx="2206625" cy="181610"/>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3E"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1E" id="Textbox 898" o:spid="_x0000_s1284" type="#_x0000_t202" style="position:absolute;margin-left:219.15pt;margin-top:742.7pt;width:173.75pt;height:14.3pt;z-index:-278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FDok8CZ&#10;AQAAJAMAAA4AAAAAAAAAAAAAAAAALgIAAGRycy9lMm9Eb2MueG1sUEsBAi0AFAAGAAgAAAAhAN6R&#10;NCbiAAAADQEAAA8AAAAAAAAAAAAAAAAA8wMAAGRycy9kb3ducmV2LnhtbFBLBQYAAAAABAAEAPMA&#10;AAACBQAAAAA=&#10;" filled="f" stroked="f">
              <v:textbox inset="0,0,0,0">
                <w:txbxContent>
                  <w:p w14:paraId="24D6333E"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67776" behindDoc="1" locked="0" layoutInCell="1" allowOverlap="1" wp14:anchorId="24D63120" wp14:editId="24D63121">
              <wp:simplePos x="0" y="0"/>
              <wp:positionH relativeFrom="page">
                <wp:posOffset>6045305</wp:posOffset>
              </wp:positionH>
              <wp:positionV relativeFrom="page">
                <wp:posOffset>9432545</wp:posOffset>
              </wp:positionV>
              <wp:extent cx="825500" cy="181610"/>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1610"/>
                      </a:xfrm>
                      <a:prstGeom prst="rect">
                        <a:avLst/>
                      </a:prstGeom>
                    </wps:spPr>
                    <wps:txbx>
                      <w:txbxContent>
                        <w:p w14:paraId="24D6333F" w14:textId="77777777" w:rsidR="00245300" w:rsidRDefault="00F17249">
                          <w:pPr>
                            <w:pStyle w:val="BodyText"/>
                            <w:spacing w:before="12"/>
                            <w:ind w:left="20"/>
                          </w:pPr>
                          <w:r>
                            <w:t>Page</w:t>
                          </w:r>
                          <w:r>
                            <w:rPr>
                              <w:spacing w:val="-13"/>
                            </w:rPr>
                            <w:t xml:space="preserve"> </w:t>
                          </w:r>
                          <w:r>
                            <w:t>1000-</w:t>
                          </w:r>
                          <w:r>
                            <w:rPr>
                              <w:spacing w:val="-10"/>
                            </w:rPr>
                            <w:t>1</w:t>
                          </w:r>
                        </w:p>
                      </w:txbxContent>
                    </wps:txbx>
                    <wps:bodyPr wrap="square" lIns="0" tIns="0" rIns="0" bIns="0" rtlCol="0">
                      <a:noAutofit/>
                    </wps:bodyPr>
                  </wps:wsp>
                </a:graphicData>
              </a:graphic>
            </wp:anchor>
          </w:drawing>
        </mc:Choice>
        <mc:Fallback>
          <w:pict>
            <v:shape w14:anchorId="24D63120" id="Textbox 899" o:spid="_x0000_s1285" type="#_x0000_t202" style="position:absolute;margin-left:476pt;margin-top:742.7pt;width:65pt;height:14.3pt;z-index:-278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" filled="f" stroked="f">
              <v:textbox inset="0,0,0,0">
                <w:txbxContent>
                  <w:p w14:paraId="24D6333F" w14:textId="77777777" w:rsidR="00245300" w:rsidRDefault="00F17249">
                    <w:pPr>
                      <w:pStyle w:val="BodyText"/>
                      <w:spacing w:before="12"/>
                      <w:ind w:left="20"/>
                    </w:pPr>
                    <w:r>
                      <w:t>Page</w:t>
                    </w:r>
                    <w:r>
                      <w:rPr>
                        <w:spacing w:val="-13"/>
                      </w:rPr>
                      <w:t xml:space="preserve"> </w:t>
                    </w:r>
                    <w:r>
                      <w:t>1000-</w:t>
                    </w:r>
                    <w:r>
                      <w:rPr>
                        <w:spacing w:val="-10"/>
                      </w:rPr>
                      <w:t>1</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1" w14:textId="77777777" w:rsidR="00245300" w:rsidRDefault="00F17249">
    <w:pPr>
      <w:pStyle w:val="BodyText"/>
      <w:spacing w:line="14" w:lineRule="auto"/>
      <w:rPr>
        <w:sz w:val="20"/>
      </w:rPr>
    </w:pPr>
    <w:r>
      <w:rPr>
        <w:noProof/>
      </w:rPr>
      <mc:AlternateContent>
        <mc:Choice Requires="wps">
          <w:drawing>
            <wp:anchor distT="0" distB="0" distL="0" distR="0" simplePos="0" relativeHeight="475469824" behindDoc="1" locked="0" layoutInCell="1" allowOverlap="1" wp14:anchorId="24D63128" wp14:editId="24D63129">
              <wp:simplePos x="0" y="0"/>
              <wp:positionH relativeFrom="page">
                <wp:posOffset>895350</wp:posOffset>
              </wp:positionH>
              <wp:positionV relativeFrom="page">
                <wp:posOffset>9400031</wp:posOffset>
              </wp:positionV>
              <wp:extent cx="5981700" cy="2857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1AF31" id="Graphic 903" o:spid="_x0000_s1026" style="position:absolute;margin-left:70.5pt;margin-top:740.15pt;width:471pt;height:2.25pt;z-index:-278466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0336" behindDoc="1" locked="0" layoutInCell="1" allowOverlap="1" wp14:anchorId="24D6312A" wp14:editId="24D6312B">
              <wp:simplePos x="0" y="0"/>
              <wp:positionH relativeFrom="page">
                <wp:posOffset>901700</wp:posOffset>
              </wp:positionH>
              <wp:positionV relativeFrom="page">
                <wp:posOffset>9432545</wp:posOffset>
              </wp:positionV>
              <wp:extent cx="678180" cy="18161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41"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2A" id="_x0000_t202" coordsize="21600,21600" o:spt="202" path="m,l,21600r21600,l21600,xe">
              <v:stroke joinstyle="miter"/>
              <v:path gradientshapeok="t" o:connecttype="rect"/>
            </v:shapetype>
            <v:shape id="Textbox 904" o:spid="_x0000_s1287" type="#_x0000_t202" style="position:absolute;margin-left:71pt;margin-top:742.7pt;width:53.4pt;height:14.3pt;z-index:-278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cT4Z3mAEA&#10;ACMDAAAOAAAAAAAAAAAAAAAAAC4CAABkcnMvZTJvRG9jLnhtbFBLAQItABQABgAIAAAAIQCuavdD&#10;4QAAAA0BAAAPAAAAAAAAAAAAAAAAAPIDAABkcnMvZG93bnJldi54bWxQSwUGAAAAAAQABADzAAAA&#10;AAUAAAAA&#10;" filled="f" stroked="f">
              <v:textbox inset="0,0,0,0">
                <w:txbxContent>
                  <w:p w14:paraId="24D63341"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70848" behindDoc="1" locked="0" layoutInCell="1" allowOverlap="1" wp14:anchorId="24D6312C" wp14:editId="24D6312D">
              <wp:simplePos x="0" y="0"/>
              <wp:positionH relativeFrom="page">
                <wp:posOffset>2783105</wp:posOffset>
              </wp:positionH>
              <wp:positionV relativeFrom="page">
                <wp:posOffset>9432545</wp:posOffset>
              </wp:positionV>
              <wp:extent cx="2207260" cy="181610"/>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342"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2C" id="Textbox 905" o:spid="_x0000_s1288" type="#_x0000_t202" style="position:absolute;margin-left:219.15pt;margin-top:742.7pt;width:173.8pt;height:14.3pt;z-index:-27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AD/4oWZ&#10;AQAAJAMAAA4AAAAAAAAAAAAAAAAALgIAAGRycy9lMm9Eb2MueG1sUEsBAi0AFAAGAAgAAAAhAPpI&#10;M0XiAAAADQEAAA8AAAAAAAAAAAAAAAAA8wMAAGRycy9kb3ducmV2LnhtbFBLBQYAAAAABAAEAPMA&#10;AAACBQAAAAA=&#10;" filled="f" stroked="f">
              <v:textbox inset="0,0,0,0">
                <w:txbxContent>
                  <w:p w14:paraId="24D63342"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71360" behindDoc="1" locked="0" layoutInCell="1" allowOverlap="1" wp14:anchorId="24D6312E" wp14:editId="24D6312F">
              <wp:simplePos x="0" y="0"/>
              <wp:positionH relativeFrom="page">
                <wp:posOffset>6045444</wp:posOffset>
              </wp:positionH>
              <wp:positionV relativeFrom="page">
                <wp:posOffset>9432545</wp:posOffset>
              </wp:positionV>
              <wp:extent cx="825500" cy="18161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1610"/>
                      </a:xfrm>
                      <a:prstGeom prst="rect">
                        <a:avLst/>
                      </a:prstGeom>
                    </wps:spPr>
                    <wps:txbx>
                      <w:txbxContent>
                        <w:p w14:paraId="24D63343" w14:textId="77777777" w:rsidR="00245300" w:rsidRDefault="00F17249">
                          <w:pPr>
                            <w:pStyle w:val="BodyText"/>
                            <w:spacing w:before="12"/>
                            <w:ind w:left="20"/>
                          </w:pPr>
                          <w:r>
                            <w:t>Page</w:t>
                          </w:r>
                          <w:r>
                            <w:rPr>
                              <w:spacing w:val="-12"/>
                            </w:rPr>
                            <w:t xml:space="preserve"> </w:t>
                          </w:r>
                          <w:r>
                            <w:t>1001-</w:t>
                          </w:r>
                          <w:r>
                            <w:rPr>
                              <w:spacing w:val="-10"/>
                            </w:rPr>
                            <w:t>1</w:t>
                          </w:r>
                        </w:p>
                      </w:txbxContent>
                    </wps:txbx>
                    <wps:bodyPr wrap="square" lIns="0" tIns="0" rIns="0" bIns="0" rtlCol="0">
                      <a:noAutofit/>
                    </wps:bodyPr>
                  </wps:wsp>
                </a:graphicData>
              </a:graphic>
            </wp:anchor>
          </w:drawing>
        </mc:Choice>
        <mc:Fallback>
          <w:pict>
            <v:shape w14:anchorId="24D6312E" id="Textbox 906" o:spid="_x0000_s1289" type="#_x0000_t202" style="position:absolute;margin-left:476pt;margin-top:742.7pt;width:65pt;height:14.3pt;z-index:-278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" filled="f" stroked="f">
              <v:textbox inset="0,0,0,0">
                <w:txbxContent>
                  <w:p w14:paraId="24D63343" w14:textId="77777777" w:rsidR="00245300" w:rsidRDefault="00F17249">
                    <w:pPr>
                      <w:pStyle w:val="BodyText"/>
                      <w:spacing w:before="12"/>
                      <w:ind w:left="20"/>
                    </w:pPr>
                    <w:r>
                      <w:t>Page</w:t>
                    </w:r>
                    <w:r>
                      <w:rPr>
                        <w:spacing w:val="-12"/>
                      </w:rPr>
                      <w:t xml:space="preserve"> </w:t>
                    </w:r>
                    <w:r>
                      <w:t>1001-</w:t>
                    </w:r>
                    <w:r>
                      <w:rPr>
                        <w:spacing w:val="-10"/>
                      </w:rPr>
                      <w:t>1</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3" w14:textId="77777777" w:rsidR="00245300" w:rsidRDefault="00F17249">
    <w:pPr>
      <w:pStyle w:val="BodyText"/>
      <w:spacing w:line="14" w:lineRule="auto"/>
      <w:rPr>
        <w:sz w:val="20"/>
      </w:rPr>
    </w:pPr>
    <w:r>
      <w:rPr>
        <w:noProof/>
      </w:rPr>
      <mc:AlternateContent>
        <mc:Choice Requires="wps">
          <w:drawing>
            <wp:anchor distT="0" distB="0" distL="0" distR="0" simplePos="0" relativeHeight="475473408" behindDoc="1" locked="0" layoutInCell="1" allowOverlap="1" wp14:anchorId="24D63136" wp14:editId="24D63137">
              <wp:simplePos x="0" y="0"/>
              <wp:positionH relativeFrom="page">
                <wp:posOffset>895350</wp:posOffset>
              </wp:positionH>
              <wp:positionV relativeFrom="page">
                <wp:posOffset>9400031</wp:posOffset>
              </wp:positionV>
              <wp:extent cx="5981700" cy="28575"/>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2C1BE" id="Graphic 910" o:spid="_x0000_s1026" style="position:absolute;margin-left:70.5pt;margin-top:740.15pt;width:471pt;height:2.25pt;z-index:-278430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3920" behindDoc="1" locked="0" layoutInCell="1" allowOverlap="1" wp14:anchorId="24D63138" wp14:editId="24D63139">
              <wp:simplePos x="0" y="0"/>
              <wp:positionH relativeFrom="page">
                <wp:posOffset>901700</wp:posOffset>
              </wp:positionH>
              <wp:positionV relativeFrom="page">
                <wp:posOffset>9432545</wp:posOffset>
              </wp:positionV>
              <wp:extent cx="678180" cy="181610"/>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45"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38" id="_x0000_t202" coordsize="21600,21600" o:spt="202" path="m,l,21600r21600,l21600,xe">
              <v:stroke joinstyle="miter"/>
              <v:path gradientshapeok="t" o:connecttype="rect"/>
            </v:shapetype>
            <v:shape id="Textbox 911" o:spid="_x0000_s1291" type="#_x0000_t202" style="position:absolute;margin-left:71pt;margin-top:742.7pt;width:53.4pt;height:14.3pt;z-index:-278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UvnFNmAEA&#10;ACMDAAAOAAAAAAAAAAAAAAAAAC4CAABkcnMvZTJvRG9jLnhtbFBLAQItABQABgAIAAAAIQCuavdD&#10;4QAAAA0BAAAPAAAAAAAAAAAAAAAAAPIDAABkcnMvZG93bnJldi54bWxQSwUGAAAAAAQABADzAAAA&#10;AAUAAAAA&#10;" filled="f" stroked="f">
              <v:textbox inset="0,0,0,0">
                <w:txbxContent>
                  <w:p w14:paraId="24D63345"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74432" behindDoc="1" locked="0" layoutInCell="1" allowOverlap="1" wp14:anchorId="24D6313A" wp14:editId="24D6313B">
              <wp:simplePos x="0" y="0"/>
              <wp:positionH relativeFrom="page">
                <wp:posOffset>2783105</wp:posOffset>
              </wp:positionH>
              <wp:positionV relativeFrom="page">
                <wp:posOffset>9432545</wp:posOffset>
              </wp:positionV>
              <wp:extent cx="2207260" cy="181610"/>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346"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3A" id="Textbox 912" o:spid="_x0000_s1292" type="#_x0000_t202" style="position:absolute;margin-left:219.15pt;margin-top:742.7pt;width:173.8pt;height:14.3pt;z-index:-27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" filled="f" stroked="f">
              <v:textbox inset="0,0,0,0">
                <w:txbxContent>
                  <w:p w14:paraId="24D63346"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74944" behindDoc="1" locked="0" layoutInCell="1" allowOverlap="1" wp14:anchorId="24D6313C" wp14:editId="24D6313D">
              <wp:simplePos x="0" y="0"/>
              <wp:positionH relativeFrom="page">
                <wp:posOffset>6045444</wp:posOffset>
              </wp:positionH>
              <wp:positionV relativeFrom="page">
                <wp:posOffset>9432545</wp:posOffset>
              </wp:positionV>
              <wp:extent cx="863600" cy="181610"/>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347" w14:textId="77777777" w:rsidR="00245300" w:rsidRDefault="00F17249">
                          <w:pPr>
                            <w:pStyle w:val="BodyText"/>
                            <w:spacing w:before="12"/>
                            <w:ind w:left="20"/>
                          </w:pPr>
                          <w:r>
                            <w:t>Page</w:t>
                          </w:r>
                          <w:r>
                            <w:rPr>
                              <w:spacing w:val="-11"/>
                            </w:rPr>
                            <w:t xml:space="preserve"> </w:t>
                          </w:r>
                          <w:r>
                            <w:t>1001-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24D6313C" id="Textbox 913" o:spid="_x0000_s1293" type="#_x0000_t202" style="position:absolute;margin-left:476pt;margin-top:742.7pt;width:68pt;height:14.3pt;z-index:-278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k0cvspgB&#10;AAAjAwAADgAAAAAAAAAAAAAAAAAuAgAAZHJzL2Uyb0RvYy54bWxQSwECLQAUAAYACAAAACEA680r&#10;7OIAAAAOAQAADwAAAAAAAAAAAAAAAADyAwAAZHJzL2Rvd25yZXYueG1sUEsFBgAAAAAEAAQA8wAA&#10;AAEFAAAAAA==&#10;" filled="f" stroked="f">
              <v:textbox inset="0,0,0,0">
                <w:txbxContent>
                  <w:p w14:paraId="24D63347" w14:textId="77777777" w:rsidR="00245300" w:rsidRDefault="00F17249">
                    <w:pPr>
                      <w:pStyle w:val="BodyText"/>
                      <w:spacing w:before="12"/>
                      <w:ind w:left="20"/>
                    </w:pPr>
                    <w:r>
                      <w:t>Page</w:t>
                    </w:r>
                    <w:r>
                      <w:rPr>
                        <w:spacing w:val="-11"/>
                      </w:rPr>
                      <w:t xml:space="preserve"> </w:t>
                    </w:r>
                    <w:r>
                      <w:t>1001-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5" w14:textId="77777777" w:rsidR="00245300" w:rsidRDefault="00F17249">
    <w:pPr>
      <w:pStyle w:val="BodyText"/>
      <w:spacing w:line="14" w:lineRule="auto"/>
      <w:rPr>
        <w:sz w:val="20"/>
      </w:rPr>
    </w:pPr>
    <w:r>
      <w:rPr>
        <w:noProof/>
      </w:rPr>
      <mc:AlternateContent>
        <mc:Choice Requires="wps">
          <w:drawing>
            <wp:anchor distT="0" distB="0" distL="0" distR="0" simplePos="0" relativeHeight="475476992" behindDoc="1" locked="0" layoutInCell="1" allowOverlap="1" wp14:anchorId="24D63144" wp14:editId="24D63145">
              <wp:simplePos x="0" y="0"/>
              <wp:positionH relativeFrom="page">
                <wp:posOffset>895350</wp:posOffset>
              </wp:positionH>
              <wp:positionV relativeFrom="page">
                <wp:posOffset>9400031</wp:posOffset>
              </wp:positionV>
              <wp:extent cx="5981700" cy="28575"/>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473D39" id="Graphic 917" o:spid="_x0000_s1026" style="position:absolute;margin-left:70.5pt;margin-top:740.15pt;width:471pt;height:2.25pt;z-index:-278394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7504" behindDoc="1" locked="0" layoutInCell="1" allowOverlap="1" wp14:anchorId="24D63146" wp14:editId="24D63147">
              <wp:simplePos x="0" y="0"/>
              <wp:positionH relativeFrom="page">
                <wp:posOffset>901700</wp:posOffset>
              </wp:positionH>
              <wp:positionV relativeFrom="page">
                <wp:posOffset>9432545</wp:posOffset>
              </wp:positionV>
              <wp:extent cx="678180" cy="181610"/>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4A"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46" id="_x0000_t202" coordsize="21600,21600" o:spt="202" path="m,l,21600r21600,l21600,xe">
              <v:stroke joinstyle="miter"/>
              <v:path gradientshapeok="t" o:connecttype="rect"/>
            </v:shapetype>
            <v:shape id="Textbox 918" o:spid="_x0000_s1295" type="#_x0000_t202" style="position:absolute;margin-left:71pt;margin-top:742.7pt;width:53.4pt;height:14.3pt;z-index:-278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J2bNQmAEA&#10;ACMDAAAOAAAAAAAAAAAAAAAAAC4CAABkcnMvZTJvRG9jLnhtbFBLAQItABQABgAIAAAAIQCuavdD&#10;4QAAAA0BAAAPAAAAAAAAAAAAAAAAAPIDAABkcnMvZG93bnJldi54bWxQSwUGAAAAAAQABADzAAAA&#10;AAUAAAAA&#10;" filled="f" stroked="f">
              <v:textbox inset="0,0,0,0">
                <w:txbxContent>
                  <w:p w14:paraId="24D6334A"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78016" behindDoc="1" locked="0" layoutInCell="1" allowOverlap="1" wp14:anchorId="24D63148" wp14:editId="24D63149">
              <wp:simplePos x="0" y="0"/>
              <wp:positionH relativeFrom="page">
                <wp:posOffset>2783105</wp:posOffset>
              </wp:positionH>
              <wp:positionV relativeFrom="page">
                <wp:posOffset>9432545</wp:posOffset>
              </wp:positionV>
              <wp:extent cx="2207260" cy="181610"/>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34B"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48" id="Textbox 919" o:spid="_x0000_s1296" type="#_x0000_t202" style="position:absolute;margin-left:219.15pt;margin-top:742.7pt;width:173.8pt;height:14.3pt;z-index:-278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LoxZr6Z&#10;AQAAJAMAAA4AAAAAAAAAAAAAAAAALgIAAGRycy9lMm9Eb2MueG1sUEsBAi0AFAAGAAgAAAAhAPpI&#10;M0XiAAAADQEAAA8AAAAAAAAAAAAAAAAA8wMAAGRycy9kb3ducmV2LnhtbFBLBQYAAAAABAAEAPMA&#10;AAACBQAAAAA=&#10;" filled="f" stroked="f">
              <v:textbox inset="0,0,0,0">
                <w:txbxContent>
                  <w:p w14:paraId="24D6334B"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78528" behindDoc="1" locked="0" layoutInCell="1" allowOverlap="1" wp14:anchorId="24D6314A" wp14:editId="24D6314B">
              <wp:simplePos x="0" y="0"/>
              <wp:positionH relativeFrom="page">
                <wp:posOffset>5913528</wp:posOffset>
              </wp:positionH>
              <wp:positionV relativeFrom="page">
                <wp:posOffset>9432545</wp:posOffset>
              </wp:positionV>
              <wp:extent cx="957580" cy="181610"/>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181610"/>
                      </a:xfrm>
                      <a:prstGeom prst="rect">
                        <a:avLst/>
                      </a:prstGeom>
                    </wps:spPr>
                    <wps:txbx>
                      <w:txbxContent>
                        <w:p w14:paraId="24D6334C" w14:textId="77777777" w:rsidR="00245300" w:rsidRDefault="00F17249">
                          <w:pPr>
                            <w:pStyle w:val="BodyText"/>
                            <w:spacing w:before="12"/>
                            <w:ind w:left="20"/>
                          </w:pPr>
                          <w:r>
                            <w:t>Page</w:t>
                          </w:r>
                          <w:r>
                            <w:rPr>
                              <w:spacing w:val="-8"/>
                            </w:rPr>
                            <w:t xml:space="preserve"> </w:t>
                          </w:r>
                          <w:r>
                            <w:t>1001</w:t>
                          </w:r>
                          <w:r>
                            <w:rPr>
                              <w:spacing w:val="-7"/>
                            </w:rPr>
                            <w:t xml:space="preserve"> </w:t>
                          </w:r>
                          <w:r>
                            <w:t>A-</w:t>
                          </w:r>
                          <w:r>
                            <w:rPr>
                              <w:spacing w:val="-10"/>
                            </w:rPr>
                            <w:t>1</w:t>
                          </w:r>
                        </w:p>
                      </w:txbxContent>
                    </wps:txbx>
                    <wps:bodyPr wrap="square" lIns="0" tIns="0" rIns="0" bIns="0" rtlCol="0">
                      <a:noAutofit/>
                    </wps:bodyPr>
                  </wps:wsp>
                </a:graphicData>
              </a:graphic>
            </wp:anchor>
          </w:drawing>
        </mc:Choice>
        <mc:Fallback>
          <w:pict>
            <v:shape w14:anchorId="24D6314A" id="Textbox 920" o:spid="_x0000_s1297" type="#_x0000_t202" style="position:absolute;margin-left:465.65pt;margin-top:742.7pt;width:75.4pt;height:14.3pt;z-index:-278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" filled="f" stroked="f">
              <v:textbox inset="0,0,0,0">
                <w:txbxContent>
                  <w:p w14:paraId="24D6334C" w14:textId="77777777" w:rsidR="00245300" w:rsidRDefault="00F17249">
                    <w:pPr>
                      <w:pStyle w:val="BodyText"/>
                      <w:spacing w:before="12"/>
                      <w:ind w:left="20"/>
                    </w:pPr>
                    <w:r>
                      <w:t>Page</w:t>
                    </w:r>
                    <w:r>
                      <w:rPr>
                        <w:spacing w:val="-8"/>
                      </w:rPr>
                      <w:t xml:space="preserve"> </w:t>
                    </w:r>
                    <w:r>
                      <w:t>1001</w:t>
                    </w:r>
                    <w:r>
                      <w:rPr>
                        <w:spacing w:val="-7"/>
                      </w:rPr>
                      <w:t xml:space="preserve"> </w:t>
                    </w:r>
                    <w:r>
                      <w:t>A-</w:t>
                    </w:r>
                    <w:r>
                      <w:rPr>
                        <w:spacing w:val="-1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7" w14:textId="77777777" w:rsidR="00245300" w:rsidRDefault="00F17249">
    <w:pPr>
      <w:pStyle w:val="BodyText"/>
      <w:spacing w:line="14" w:lineRule="auto"/>
      <w:rPr>
        <w:sz w:val="20"/>
      </w:rPr>
    </w:pPr>
    <w:r>
      <w:rPr>
        <w:noProof/>
      </w:rPr>
      <mc:AlternateContent>
        <mc:Choice Requires="wps">
          <w:drawing>
            <wp:anchor distT="0" distB="0" distL="0" distR="0" simplePos="0" relativeHeight="475480576" behindDoc="1" locked="0" layoutInCell="1" allowOverlap="1" wp14:anchorId="24D63152" wp14:editId="24D63153">
              <wp:simplePos x="0" y="0"/>
              <wp:positionH relativeFrom="page">
                <wp:posOffset>895350</wp:posOffset>
              </wp:positionH>
              <wp:positionV relativeFrom="page">
                <wp:posOffset>9400031</wp:posOffset>
              </wp:positionV>
              <wp:extent cx="5981700" cy="28575"/>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11BEF" id="Graphic 925" o:spid="_x0000_s1026" style="position:absolute;margin-left:70.5pt;margin-top:740.15pt;width:471pt;height:2.25pt;z-index:-278359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1088" behindDoc="1" locked="0" layoutInCell="1" allowOverlap="1" wp14:anchorId="24D63154" wp14:editId="24D63155">
              <wp:simplePos x="0" y="0"/>
              <wp:positionH relativeFrom="page">
                <wp:posOffset>901700</wp:posOffset>
              </wp:positionH>
              <wp:positionV relativeFrom="page">
                <wp:posOffset>9432545</wp:posOffset>
              </wp:positionV>
              <wp:extent cx="678180" cy="181610"/>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4F"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54" id="_x0000_t202" coordsize="21600,21600" o:spt="202" path="m,l,21600r21600,l21600,xe">
              <v:stroke joinstyle="miter"/>
              <v:path gradientshapeok="t" o:connecttype="rect"/>
            </v:shapetype>
            <v:shape id="Textbox 926" o:spid="_x0000_s1299" type="#_x0000_t202" style="position:absolute;margin-left:71pt;margin-top:742.7pt;width:53.4pt;height:14.3pt;z-index:-27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xduFGmAEA&#10;ACMDAAAOAAAAAAAAAAAAAAAAAC4CAABkcnMvZTJvRG9jLnhtbFBLAQItABQABgAIAAAAIQCuavdD&#10;4QAAAA0BAAAPAAAAAAAAAAAAAAAAAPIDAABkcnMvZG93bnJldi54bWxQSwUGAAAAAAQABADzAAAA&#10;AAUAAAAA&#10;" filled="f" stroked="f">
              <v:textbox inset="0,0,0,0">
                <w:txbxContent>
                  <w:p w14:paraId="24D6334F"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81600" behindDoc="1" locked="0" layoutInCell="1" allowOverlap="1" wp14:anchorId="24D63156" wp14:editId="24D63157">
              <wp:simplePos x="0" y="0"/>
              <wp:positionH relativeFrom="page">
                <wp:posOffset>2783105</wp:posOffset>
              </wp:positionH>
              <wp:positionV relativeFrom="page">
                <wp:posOffset>9432545</wp:posOffset>
              </wp:positionV>
              <wp:extent cx="2207260" cy="181610"/>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350"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56" id="Textbox 927" o:spid="_x0000_s1300" type="#_x0000_t202" style="position:absolute;margin-left:219.15pt;margin-top:742.7pt;width:173.8pt;height:14.3pt;z-index:-278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GU3co6Z&#10;AQAAJAMAAA4AAAAAAAAAAAAAAAAALgIAAGRycy9lMm9Eb2MueG1sUEsBAi0AFAAGAAgAAAAhAPpI&#10;M0XiAAAADQEAAA8AAAAAAAAAAAAAAAAA8wMAAGRycy9kb3ducmV2LnhtbFBLBQYAAAAABAAEAPMA&#10;AAACBQAAAAA=&#10;" filled="f" stroked="f">
              <v:textbox inset="0,0,0,0">
                <w:txbxContent>
                  <w:p w14:paraId="24D63350"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82112" behindDoc="1" locked="0" layoutInCell="1" allowOverlap="1" wp14:anchorId="24D63158" wp14:editId="24D63159">
              <wp:simplePos x="0" y="0"/>
              <wp:positionH relativeFrom="page">
                <wp:posOffset>5835857</wp:posOffset>
              </wp:positionH>
              <wp:positionV relativeFrom="page">
                <wp:posOffset>9432545</wp:posOffset>
              </wp:positionV>
              <wp:extent cx="1073150" cy="181610"/>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181610"/>
                      </a:xfrm>
                      <a:prstGeom prst="rect">
                        <a:avLst/>
                      </a:prstGeom>
                    </wps:spPr>
                    <wps:txbx>
                      <w:txbxContent>
                        <w:p w14:paraId="24D63351" w14:textId="77777777" w:rsidR="00245300" w:rsidRDefault="00F17249">
                          <w:pPr>
                            <w:pStyle w:val="BodyText"/>
                            <w:spacing w:before="12"/>
                            <w:ind w:left="20"/>
                          </w:pPr>
                          <w:r>
                            <w:t>Page</w:t>
                          </w:r>
                          <w:r>
                            <w:rPr>
                              <w:spacing w:val="-7"/>
                            </w:rPr>
                            <w:t xml:space="preserve"> </w:t>
                          </w:r>
                          <w:r>
                            <w:t>1001</w:t>
                          </w:r>
                          <w:r>
                            <w:rPr>
                              <w:spacing w:val="-7"/>
                            </w:rPr>
                            <w:t xml:space="preserve"> </w:t>
                          </w:r>
                          <w:r>
                            <w:t>A-</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3158" id="Textbox 928" o:spid="_x0000_s1301" type="#_x0000_t202" style="position:absolute;margin-left:459.5pt;margin-top:742.7pt;width:84.5pt;height:14.3pt;z-index:-278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" filled="f" stroked="f">
              <v:textbox inset="0,0,0,0">
                <w:txbxContent>
                  <w:p w14:paraId="24D63351" w14:textId="77777777" w:rsidR="00245300" w:rsidRDefault="00F17249">
                    <w:pPr>
                      <w:pStyle w:val="BodyText"/>
                      <w:spacing w:before="12"/>
                      <w:ind w:left="20"/>
                    </w:pPr>
                    <w:r>
                      <w:t>Page</w:t>
                    </w:r>
                    <w:r>
                      <w:rPr>
                        <w:spacing w:val="-7"/>
                      </w:rPr>
                      <w:t xml:space="preserve"> </w:t>
                    </w:r>
                    <w:r>
                      <w:t>1001</w:t>
                    </w:r>
                    <w:r>
                      <w:rPr>
                        <w:spacing w:val="-7"/>
                      </w:rPr>
                      <w:t xml:space="preserve"> </w:t>
                    </w:r>
                    <w:r>
                      <w:t>A-</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9" w14:textId="77777777" w:rsidR="00245300" w:rsidRDefault="00F17249">
    <w:pPr>
      <w:pStyle w:val="BodyText"/>
      <w:spacing w:line="14" w:lineRule="auto"/>
      <w:rPr>
        <w:sz w:val="20"/>
      </w:rPr>
    </w:pPr>
    <w:r>
      <w:rPr>
        <w:noProof/>
      </w:rPr>
      <mc:AlternateContent>
        <mc:Choice Requires="wps">
          <w:drawing>
            <wp:anchor distT="0" distB="0" distL="0" distR="0" simplePos="0" relativeHeight="475484160" behindDoc="1" locked="0" layoutInCell="1" allowOverlap="1" wp14:anchorId="24D63160" wp14:editId="24D63161">
              <wp:simplePos x="0" y="0"/>
              <wp:positionH relativeFrom="page">
                <wp:posOffset>895350</wp:posOffset>
              </wp:positionH>
              <wp:positionV relativeFrom="page">
                <wp:posOffset>9400031</wp:posOffset>
              </wp:positionV>
              <wp:extent cx="5981700" cy="28575"/>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037862" id="Graphic 933" o:spid="_x0000_s1026" style="position:absolute;margin-left:70.5pt;margin-top:740.15pt;width:471pt;height:2.25pt;z-index:-278323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4672" behindDoc="1" locked="0" layoutInCell="1" allowOverlap="1" wp14:anchorId="24D63162" wp14:editId="24D63163">
              <wp:simplePos x="0" y="0"/>
              <wp:positionH relativeFrom="page">
                <wp:posOffset>901700</wp:posOffset>
              </wp:positionH>
              <wp:positionV relativeFrom="page">
                <wp:posOffset>9432545</wp:posOffset>
              </wp:positionV>
              <wp:extent cx="678180" cy="181610"/>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54"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62" id="_x0000_t202" coordsize="21600,21600" o:spt="202" path="m,l,21600r21600,l21600,xe">
              <v:stroke joinstyle="miter"/>
              <v:path gradientshapeok="t" o:connecttype="rect"/>
            </v:shapetype>
            <v:shape id="Textbox 934" o:spid="_x0000_s1303" type="#_x0000_t202" style="position:absolute;margin-left:71pt;margin-top:742.7pt;width:53.4pt;height:14.3pt;z-index:-278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NbmQEAACMDAAAOAAAAZHJzL2Uyb0RvYy54bWysUs2O0zAQviPxDpbv1E0lulX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67vNtWGO4Zb1aZaV8VvdTsckdInC17kopHI&#10;cRUC+vRIKV+v68vIzOXl+kwkTftJ9G0jV3dvc4x5bw/tmcWMnGcj6edRo5Vi+BzYsBz+pcBLsb8U&#10;mIYPUJ5I1hTg3TGB6wuFG+5MgZMozOZXk6P+/b9M3d727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rBEjW5kB&#10;AAAjAwAADgAAAAAAAAAAAAAAAAAuAgAAZHJzL2Uyb0RvYy54bWxQSwECLQAUAAYACAAAACEArmr3&#10;Q+EAAAANAQAADwAAAAAAAAAAAAAAAADzAwAAZHJzL2Rvd25yZXYueG1sUEsFBgAAAAAEAAQA8wAA&#10;AAEFAAAAAA==&#10;" filled="f" stroked="f">
              <v:textbox inset="0,0,0,0">
                <w:txbxContent>
                  <w:p w14:paraId="24D63354"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85184" behindDoc="1" locked="0" layoutInCell="1" allowOverlap="1" wp14:anchorId="24D63164" wp14:editId="24D63165">
              <wp:simplePos x="0" y="0"/>
              <wp:positionH relativeFrom="page">
                <wp:posOffset>2783105</wp:posOffset>
              </wp:positionH>
              <wp:positionV relativeFrom="page">
                <wp:posOffset>9432545</wp:posOffset>
              </wp:positionV>
              <wp:extent cx="2206625" cy="181610"/>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55"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64" id="Textbox 935" o:spid="_x0000_s1304" type="#_x0000_t202" style="position:absolute;margin-left:219.15pt;margin-top:742.7pt;width:173.75pt;height:14.3pt;z-index:-278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McfcMqZ&#10;AQAAJAMAAA4AAAAAAAAAAAAAAAAALgIAAGRycy9lMm9Eb2MueG1sUEsBAi0AFAAGAAgAAAAhAN6R&#10;NCbiAAAADQEAAA8AAAAAAAAAAAAAAAAA8wMAAGRycy9kb3ducmV2LnhtbFBLBQYAAAAABAAEAPMA&#10;AAACBQAAAAA=&#10;" filled="f" stroked="f">
              <v:textbox inset="0,0,0,0">
                <w:txbxContent>
                  <w:p w14:paraId="24D63355"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85696" behindDoc="1" locked="0" layoutInCell="1" allowOverlap="1" wp14:anchorId="24D63166" wp14:editId="24D63167">
              <wp:simplePos x="0" y="0"/>
              <wp:positionH relativeFrom="page">
                <wp:posOffset>5967354</wp:posOffset>
              </wp:positionH>
              <wp:positionV relativeFrom="page">
                <wp:posOffset>9432545</wp:posOffset>
              </wp:positionV>
              <wp:extent cx="941069" cy="181610"/>
              <wp:effectExtent l="0" t="0" r="0" b="0"/>
              <wp:wrapNone/>
              <wp:docPr id="936" name="Text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69" cy="181610"/>
                      </a:xfrm>
                      <a:prstGeom prst="rect">
                        <a:avLst/>
                      </a:prstGeom>
                    </wps:spPr>
                    <wps:txbx>
                      <w:txbxContent>
                        <w:p w14:paraId="24D63356" w14:textId="77777777" w:rsidR="00245300" w:rsidRDefault="00F17249">
                          <w:pPr>
                            <w:pStyle w:val="BodyText"/>
                            <w:spacing w:before="12"/>
                            <w:ind w:left="20"/>
                          </w:pPr>
                          <w:r>
                            <w:t>Page</w:t>
                          </w:r>
                          <w:r>
                            <w:rPr>
                              <w:spacing w:val="-12"/>
                            </w:rPr>
                            <w:t xml:space="preserve"> </w:t>
                          </w:r>
                          <w:r>
                            <w:t>1002-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3166" id="Textbox 936" o:spid="_x0000_s1305" type="#_x0000_t202" style="position:absolute;margin-left:469.85pt;margin-top:742.7pt;width:74.1pt;height:14.3pt;z-index:-278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" filled="f" stroked="f">
              <v:textbox inset="0,0,0,0">
                <w:txbxContent>
                  <w:p w14:paraId="24D63356" w14:textId="77777777" w:rsidR="00245300" w:rsidRDefault="00F17249">
                    <w:pPr>
                      <w:pStyle w:val="BodyText"/>
                      <w:spacing w:before="12"/>
                      <w:ind w:left="20"/>
                    </w:pPr>
                    <w:r>
                      <w:t>Page</w:t>
                    </w:r>
                    <w:r>
                      <w:rPr>
                        <w:spacing w:val="-12"/>
                      </w:rPr>
                      <w:t xml:space="preserve"> </w:t>
                    </w:r>
                    <w:r>
                      <w:t>1002-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B" w14:textId="77777777" w:rsidR="00245300" w:rsidRDefault="00F17249">
    <w:pPr>
      <w:pStyle w:val="BodyText"/>
      <w:spacing w:line="14" w:lineRule="auto"/>
      <w:rPr>
        <w:sz w:val="20"/>
      </w:rPr>
    </w:pPr>
    <w:r>
      <w:rPr>
        <w:noProof/>
      </w:rPr>
      <mc:AlternateContent>
        <mc:Choice Requires="wps">
          <w:drawing>
            <wp:anchor distT="0" distB="0" distL="0" distR="0" simplePos="0" relativeHeight="475487744" behindDoc="1" locked="0" layoutInCell="1" allowOverlap="1" wp14:anchorId="24D6316E" wp14:editId="24D6316F">
              <wp:simplePos x="0" y="0"/>
              <wp:positionH relativeFrom="page">
                <wp:posOffset>895350</wp:posOffset>
              </wp:positionH>
              <wp:positionV relativeFrom="page">
                <wp:posOffset>9400031</wp:posOffset>
              </wp:positionV>
              <wp:extent cx="5981700" cy="28575"/>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571F6" id="Graphic 947" o:spid="_x0000_s1026" style="position:absolute;margin-left:70.5pt;margin-top:740.15pt;width:471pt;height:2.25pt;z-index:-278287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8256" behindDoc="1" locked="0" layoutInCell="1" allowOverlap="1" wp14:anchorId="24D63170" wp14:editId="24D63171">
              <wp:simplePos x="0" y="0"/>
              <wp:positionH relativeFrom="page">
                <wp:posOffset>901700</wp:posOffset>
              </wp:positionH>
              <wp:positionV relativeFrom="page">
                <wp:posOffset>9432545</wp:posOffset>
              </wp:positionV>
              <wp:extent cx="678180" cy="181610"/>
              <wp:effectExtent l="0" t="0" r="0" b="0"/>
              <wp:wrapNone/>
              <wp:docPr id="94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59"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70" id="_x0000_t202" coordsize="21600,21600" o:spt="202" path="m,l,21600r21600,l21600,xe">
              <v:stroke joinstyle="miter"/>
              <v:path gradientshapeok="t" o:connecttype="rect"/>
            </v:shapetype>
            <v:shape id="Textbox 948" o:spid="_x0000_s1307" type="#_x0000_t202" style="position:absolute;margin-left:71pt;margin-top:742.7pt;width:53.4pt;height:14.3pt;z-index:-278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LuGV9mAEA&#10;ACMDAAAOAAAAAAAAAAAAAAAAAC4CAABkcnMvZTJvRG9jLnhtbFBLAQItABQABgAIAAAAIQCuavdD&#10;4QAAAA0BAAAPAAAAAAAAAAAAAAAAAPIDAABkcnMvZG93bnJldi54bWxQSwUGAAAAAAQABADzAAAA&#10;AAUAAAAA&#10;" filled="f" stroked="f">
              <v:textbox inset="0,0,0,0">
                <w:txbxContent>
                  <w:p w14:paraId="24D63359"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88768" behindDoc="1" locked="0" layoutInCell="1" allowOverlap="1" wp14:anchorId="24D63172" wp14:editId="24D63173">
              <wp:simplePos x="0" y="0"/>
              <wp:positionH relativeFrom="page">
                <wp:posOffset>2783105</wp:posOffset>
              </wp:positionH>
              <wp:positionV relativeFrom="page">
                <wp:posOffset>9432545</wp:posOffset>
              </wp:positionV>
              <wp:extent cx="2206625" cy="181610"/>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5A"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72" id="Textbox 949" o:spid="_x0000_s1308" type="#_x0000_t202" style="position:absolute;margin-left:219.15pt;margin-top:742.7pt;width:173.75pt;height:14.3pt;z-index:-278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Bp2ieiZ&#10;AQAAJAMAAA4AAAAAAAAAAAAAAAAALgIAAGRycy9lMm9Eb2MueG1sUEsBAi0AFAAGAAgAAAAhAN6R&#10;NCbiAAAADQEAAA8AAAAAAAAAAAAAAAAA8wMAAGRycy9kb3ducmV2LnhtbFBLBQYAAAAABAAEAPMA&#10;AAACBQAAAAA=&#10;" filled="f" stroked="f">
              <v:textbox inset="0,0,0,0">
                <w:txbxContent>
                  <w:p w14:paraId="24D6335A"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89280" behindDoc="1" locked="0" layoutInCell="1" allowOverlap="1" wp14:anchorId="24D63174" wp14:editId="24D63175">
              <wp:simplePos x="0" y="0"/>
              <wp:positionH relativeFrom="page">
                <wp:posOffset>5913389</wp:posOffset>
              </wp:positionH>
              <wp:positionV relativeFrom="page">
                <wp:posOffset>9432545</wp:posOffset>
              </wp:positionV>
              <wp:extent cx="995680" cy="181610"/>
              <wp:effectExtent l="0" t="0" r="0" b="0"/>
              <wp:wrapNone/>
              <wp:docPr id="95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24D6335B" w14:textId="77777777" w:rsidR="00245300" w:rsidRDefault="00F17249">
                          <w:pPr>
                            <w:pStyle w:val="BodyText"/>
                            <w:spacing w:before="12"/>
                            <w:ind w:left="20"/>
                          </w:pPr>
                          <w:r>
                            <w:t>Page</w:t>
                          </w:r>
                          <w:r>
                            <w:rPr>
                              <w:spacing w:val="-8"/>
                            </w:rPr>
                            <w:t xml:space="preserve"> </w:t>
                          </w:r>
                          <w:r>
                            <w:t>1002</w:t>
                          </w:r>
                          <w:r>
                            <w:rPr>
                              <w:spacing w:val="-8"/>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174" id="Textbox 950" o:spid="_x0000_s1309" type="#_x0000_t202" style="position:absolute;margin-left:465.6pt;margin-top:742.7pt;width:78.4pt;height:14.3pt;z-index:-27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5DmQEAACMDAAAOAAAAZHJzL2Uyb0RvYy54bWysUs2O0zAQviPxDpbv1E0lqm7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" filled="f" stroked="f">
              <v:textbox inset="0,0,0,0">
                <w:txbxContent>
                  <w:p w14:paraId="24D6335B" w14:textId="77777777" w:rsidR="00245300" w:rsidRDefault="00F17249">
                    <w:pPr>
                      <w:pStyle w:val="BodyText"/>
                      <w:spacing w:before="12"/>
                      <w:ind w:left="20"/>
                    </w:pPr>
                    <w:r>
                      <w:t>Page</w:t>
                    </w:r>
                    <w:r>
                      <w:rPr>
                        <w:spacing w:val="-8"/>
                      </w:rPr>
                      <w:t xml:space="preserve"> </w:t>
                    </w:r>
                    <w:r>
                      <w:t>1002</w:t>
                    </w:r>
                    <w:r>
                      <w:rPr>
                        <w:spacing w:val="-8"/>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D" w14:textId="77777777" w:rsidR="00245300" w:rsidRDefault="00F17249">
    <w:pPr>
      <w:pStyle w:val="BodyText"/>
      <w:spacing w:line="14" w:lineRule="auto"/>
      <w:rPr>
        <w:sz w:val="20"/>
      </w:rPr>
    </w:pPr>
    <w:r>
      <w:rPr>
        <w:noProof/>
      </w:rPr>
      <mc:AlternateContent>
        <mc:Choice Requires="wps">
          <w:drawing>
            <wp:anchor distT="0" distB="0" distL="0" distR="0" simplePos="0" relativeHeight="475491328" behindDoc="1" locked="0" layoutInCell="1" allowOverlap="1" wp14:anchorId="24D6317C" wp14:editId="24D6317D">
              <wp:simplePos x="0" y="0"/>
              <wp:positionH relativeFrom="page">
                <wp:posOffset>895350</wp:posOffset>
              </wp:positionH>
              <wp:positionV relativeFrom="page">
                <wp:posOffset>9400031</wp:posOffset>
              </wp:positionV>
              <wp:extent cx="5981700" cy="28575"/>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99E91F" id="Graphic 954" o:spid="_x0000_s1026" style="position:absolute;margin-left:70.5pt;margin-top:740.15pt;width:471pt;height:2.25pt;z-index:-278251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91840" behindDoc="1" locked="0" layoutInCell="1" allowOverlap="1" wp14:anchorId="24D6317E" wp14:editId="24D6317F">
              <wp:simplePos x="0" y="0"/>
              <wp:positionH relativeFrom="page">
                <wp:posOffset>901700</wp:posOffset>
              </wp:positionH>
              <wp:positionV relativeFrom="page">
                <wp:posOffset>9432545</wp:posOffset>
              </wp:positionV>
              <wp:extent cx="678180" cy="18161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5E"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7E" id="_x0000_t202" coordsize="21600,21600" o:spt="202" path="m,l,21600r21600,l21600,xe">
              <v:stroke joinstyle="miter"/>
              <v:path gradientshapeok="t" o:connecttype="rect"/>
            </v:shapetype>
            <v:shape id="Textbox 955" o:spid="_x0000_s1311" type="#_x0000_t202" style="position:absolute;margin-left:71pt;margin-top:742.7pt;width:53.4pt;height:14.3pt;z-index:-27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cXjaeZkB&#10;AAAjAwAADgAAAAAAAAAAAAAAAAAuAgAAZHJzL2Uyb0RvYy54bWxQSwECLQAUAAYACAAAACEArmr3&#10;Q+EAAAANAQAADwAAAAAAAAAAAAAAAADzAwAAZHJzL2Rvd25yZXYueG1sUEsFBgAAAAAEAAQA8wAA&#10;AAEFAAAAAA==&#10;" filled="f" stroked="f">
              <v:textbox inset="0,0,0,0">
                <w:txbxContent>
                  <w:p w14:paraId="24D6335E"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92352" behindDoc="1" locked="0" layoutInCell="1" allowOverlap="1" wp14:anchorId="24D63180" wp14:editId="24D63181">
              <wp:simplePos x="0" y="0"/>
              <wp:positionH relativeFrom="page">
                <wp:posOffset>2783105</wp:posOffset>
              </wp:positionH>
              <wp:positionV relativeFrom="page">
                <wp:posOffset>9432545</wp:posOffset>
              </wp:positionV>
              <wp:extent cx="2206625" cy="18161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5F"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80" id="Textbox 956" o:spid="_x0000_s1312" type="#_x0000_t202" style="position:absolute;margin-left:219.15pt;margin-top:742.7pt;width:173.75pt;height:14.3pt;z-index:-278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EcRS/WZ&#10;AQAAJAMAAA4AAAAAAAAAAAAAAAAALgIAAGRycy9lMm9Eb2MueG1sUEsBAi0AFAAGAAgAAAAhAN6R&#10;NCbiAAAADQEAAA8AAAAAAAAAAAAAAAAA8wMAAGRycy9kb3ducmV2LnhtbFBLBQYAAAAABAAEAPMA&#10;AAACBQAAAAA=&#10;" filled="f" stroked="f">
              <v:textbox inset="0,0,0,0">
                <w:txbxContent>
                  <w:p w14:paraId="24D6335F"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92864" behindDoc="1" locked="0" layoutInCell="1" allowOverlap="1" wp14:anchorId="24D63182" wp14:editId="24D63183">
              <wp:simplePos x="0" y="0"/>
              <wp:positionH relativeFrom="page">
                <wp:posOffset>5913389</wp:posOffset>
              </wp:positionH>
              <wp:positionV relativeFrom="page">
                <wp:posOffset>9432545</wp:posOffset>
              </wp:positionV>
              <wp:extent cx="995044" cy="181610"/>
              <wp:effectExtent l="0" t="0" r="0" b="0"/>
              <wp:wrapNone/>
              <wp:docPr id="95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4" cy="181610"/>
                      </a:xfrm>
                      <a:prstGeom prst="rect">
                        <a:avLst/>
                      </a:prstGeom>
                    </wps:spPr>
                    <wps:txbx>
                      <w:txbxContent>
                        <w:p w14:paraId="24D63360" w14:textId="77777777" w:rsidR="00245300" w:rsidRDefault="00F17249">
                          <w:pPr>
                            <w:pStyle w:val="BodyText"/>
                            <w:spacing w:before="12"/>
                            <w:ind w:left="20"/>
                          </w:pPr>
                          <w:r>
                            <w:t>Page</w:t>
                          </w:r>
                          <w:r>
                            <w:rPr>
                              <w:spacing w:val="-8"/>
                            </w:rPr>
                            <w:t xml:space="preserve"> </w:t>
                          </w:r>
                          <w:r>
                            <w:t>1002</w:t>
                          </w:r>
                          <w:r>
                            <w:rPr>
                              <w:spacing w:val="-8"/>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182" id="Textbox 957" o:spid="_x0000_s1313" type="#_x0000_t202" style="position:absolute;margin-left:465.6pt;margin-top:742.7pt;width:78.35pt;height:14.3pt;z-index:-278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" filled="f" stroked="f">
              <v:textbox inset="0,0,0,0">
                <w:txbxContent>
                  <w:p w14:paraId="24D63360" w14:textId="77777777" w:rsidR="00245300" w:rsidRDefault="00F17249">
                    <w:pPr>
                      <w:pStyle w:val="BodyText"/>
                      <w:spacing w:before="12"/>
                      <w:ind w:left="20"/>
                    </w:pPr>
                    <w:r>
                      <w:t>Page</w:t>
                    </w:r>
                    <w:r>
                      <w:rPr>
                        <w:spacing w:val="-8"/>
                      </w:rPr>
                      <w:t xml:space="preserve"> </w:t>
                    </w:r>
                    <w:r>
                      <w:t>1002</w:t>
                    </w:r>
                    <w:r>
                      <w:rPr>
                        <w:spacing w:val="-8"/>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F" w14:textId="77777777" w:rsidR="00245300" w:rsidRDefault="00F17249">
    <w:pPr>
      <w:pStyle w:val="BodyText"/>
      <w:spacing w:line="14" w:lineRule="auto"/>
      <w:rPr>
        <w:sz w:val="20"/>
      </w:rPr>
    </w:pPr>
    <w:r>
      <w:rPr>
        <w:noProof/>
      </w:rPr>
      <mc:AlternateContent>
        <mc:Choice Requires="wps">
          <w:drawing>
            <wp:anchor distT="0" distB="0" distL="0" distR="0" simplePos="0" relativeHeight="475494912" behindDoc="1" locked="0" layoutInCell="1" allowOverlap="1" wp14:anchorId="24D6318A" wp14:editId="24D6318B">
              <wp:simplePos x="0" y="0"/>
              <wp:positionH relativeFrom="page">
                <wp:posOffset>895350</wp:posOffset>
              </wp:positionH>
              <wp:positionV relativeFrom="page">
                <wp:posOffset>9400031</wp:posOffset>
              </wp:positionV>
              <wp:extent cx="5981700" cy="28575"/>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DB5CED" id="Graphic 962" o:spid="_x0000_s1026" style="position:absolute;margin-left:70.5pt;margin-top:740.15pt;width:471pt;height:2.25pt;z-index:-278215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95424" behindDoc="1" locked="0" layoutInCell="1" allowOverlap="1" wp14:anchorId="24D6318C" wp14:editId="24D6318D">
              <wp:simplePos x="0" y="0"/>
              <wp:positionH relativeFrom="page">
                <wp:posOffset>901700</wp:posOffset>
              </wp:positionH>
              <wp:positionV relativeFrom="page">
                <wp:posOffset>9432545</wp:posOffset>
              </wp:positionV>
              <wp:extent cx="678180" cy="181610"/>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63"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8C" id="_x0000_t202" coordsize="21600,21600" o:spt="202" path="m,l,21600r21600,l21600,xe">
              <v:stroke joinstyle="miter"/>
              <v:path gradientshapeok="t" o:connecttype="rect"/>
            </v:shapetype>
            <v:shape id="Textbox 963" o:spid="_x0000_s1315" type="#_x0000_t202" style="position:absolute;margin-left:71pt;margin-top:742.7pt;width:53.4pt;height:14.3pt;z-index:-278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LB8YZJkB&#10;AAAjAwAADgAAAAAAAAAAAAAAAAAuAgAAZHJzL2Uyb0RvYy54bWxQSwECLQAUAAYACAAAACEArmr3&#10;Q+EAAAANAQAADwAAAAAAAAAAAAAAAADzAwAAZHJzL2Rvd25yZXYueG1sUEsFBgAAAAAEAAQA8wAA&#10;AAEFAAAAAA==&#10;" filled="f" stroked="f">
              <v:textbox inset="0,0,0,0">
                <w:txbxContent>
                  <w:p w14:paraId="24D63363"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95936" behindDoc="1" locked="0" layoutInCell="1" allowOverlap="1" wp14:anchorId="24D6318E" wp14:editId="24D6318F">
              <wp:simplePos x="0" y="0"/>
              <wp:positionH relativeFrom="page">
                <wp:posOffset>2783105</wp:posOffset>
              </wp:positionH>
              <wp:positionV relativeFrom="page">
                <wp:posOffset>9432545</wp:posOffset>
              </wp:positionV>
              <wp:extent cx="2206625" cy="181610"/>
              <wp:effectExtent l="0" t="0" r="0" b="0"/>
              <wp:wrapNone/>
              <wp:docPr id="964" name="Text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64"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8E" id="Textbox 964" o:spid="_x0000_s1316" type="#_x0000_t202" style="position:absolute;margin-left:219.15pt;margin-top:742.7pt;width:173.75pt;height:14.3pt;z-index:-278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KC4DdOZ&#10;AQAAJAMAAA4AAAAAAAAAAAAAAAAALgIAAGRycy9lMm9Eb2MueG1sUEsBAi0AFAAGAAgAAAAhAN6R&#10;NCbiAAAADQEAAA8AAAAAAAAAAAAAAAAA8wMAAGRycy9kb3ducmV2LnhtbFBLBQYAAAAABAAEAPMA&#10;AAACBQAAAAA=&#10;" filled="f" stroked="f">
              <v:textbox inset="0,0,0,0">
                <w:txbxContent>
                  <w:p w14:paraId="24D63364" w14:textId="77777777" w:rsidR="00245300" w:rsidRDefault="00F17249">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496448" behindDoc="1" locked="0" layoutInCell="1" allowOverlap="1" wp14:anchorId="24D63190" wp14:editId="24D63191">
              <wp:simplePos x="0" y="0"/>
              <wp:positionH relativeFrom="page">
                <wp:posOffset>5905719</wp:posOffset>
              </wp:positionH>
              <wp:positionV relativeFrom="page">
                <wp:posOffset>9432545</wp:posOffset>
              </wp:positionV>
              <wp:extent cx="1003300" cy="181610"/>
              <wp:effectExtent l="0" t="0" r="0" b="0"/>
              <wp:wrapNone/>
              <wp:docPr id="965" name="Text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181610"/>
                      </a:xfrm>
                      <a:prstGeom prst="rect">
                        <a:avLst/>
                      </a:prstGeom>
                    </wps:spPr>
                    <wps:txbx>
                      <w:txbxContent>
                        <w:p w14:paraId="24D63365" w14:textId="77777777" w:rsidR="00245300" w:rsidRDefault="00F17249">
                          <w:pPr>
                            <w:pStyle w:val="BodyText"/>
                            <w:spacing w:before="12"/>
                            <w:ind w:left="20"/>
                          </w:pPr>
                          <w:r>
                            <w:t>Page</w:t>
                          </w:r>
                          <w:r>
                            <w:rPr>
                              <w:spacing w:val="-8"/>
                            </w:rPr>
                            <w:t xml:space="preserve"> </w:t>
                          </w:r>
                          <w:r>
                            <w:t>1002</w:t>
                          </w:r>
                          <w:r>
                            <w:rPr>
                              <w:spacing w:val="-7"/>
                            </w:rPr>
                            <w:t xml:space="preserve"> </w:t>
                          </w:r>
                          <w: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190" id="Textbox 965" o:spid="_x0000_s1317" type="#_x0000_t202" style="position:absolute;margin-left:465pt;margin-top:742.7pt;width:79pt;height:14.3pt;z-index:-278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" filled="f" stroked="f">
              <v:textbox inset="0,0,0,0">
                <w:txbxContent>
                  <w:p w14:paraId="24D63365" w14:textId="77777777" w:rsidR="00245300" w:rsidRDefault="00F17249">
                    <w:pPr>
                      <w:pStyle w:val="BodyText"/>
                      <w:spacing w:before="12"/>
                      <w:ind w:left="20"/>
                    </w:pPr>
                    <w:r>
                      <w:t>Page</w:t>
                    </w:r>
                    <w:r>
                      <w:rPr>
                        <w:spacing w:val="-8"/>
                      </w:rPr>
                      <w:t xml:space="preserve"> </w:t>
                    </w:r>
                    <w:r>
                      <w:t>1002</w:t>
                    </w:r>
                    <w:r>
                      <w:rPr>
                        <w:spacing w:val="-7"/>
                      </w:rPr>
                      <w:t xml:space="preserve"> </w:t>
                    </w:r>
                    <w: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1" w14:textId="77777777" w:rsidR="00245300" w:rsidRDefault="00F17249">
    <w:pPr>
      <w:pStyle w:val="BodyText"/>
      <w:spacing w:line="14" w:lineRule="auto"/>
      <w:rPr>
        <w:sz w:val="20"/>
      </w:rPr>
    </w:pPr>
    <w:r>
      <w:rPr>
        <w:noProof/>
      </w:rPr>
      <mc:AlternateContent>
        <mc:Choice Requires="wps">
          <w:drawing>
            <wp:anchor distT="0" distB="0" distL="0" distR="0" simplePos="0" relativeHeight="475260928" behindDoc="1" locked="0" layoutInCell="1" allowOverlap="1" wp14:anchorId="24D62DF8" wp14:editId="24D62DF9">
              <wp:simplePos x="0" y="0"/>
              <wp:positionH relativeFrom="page">
                <wp:posOffset>895350</wp:posOffset>
              </wp:positionH>
              <wp:positionV relativeFrom="page">
                <wp:posOffset>9400031</wp:posOffset>
              </wp:positionV>
              <wp:extent cx="5981700" cy="2857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B9967" id="Graphic 76" o:spid="_x0000_s1026" style="position:absolute;margin-left:70.5pt;margin-top:740.15pt;width:471pt;height:2.25pt;z-index:-280555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1440" behindDoc="1" locked="0" layoutInCell="1" allowOverlap="1" wp14:anchorId="24D62DFA" wp14:editId="24D62DFB">
              <wp:simplePos x="0" y="0"/>
              <wp:positionH relativeFrom="page">
                <wp:posOffset>901700</wp:posOffset>
              </wp:positionH>
              <wp:positionV relativeFrom="page">
                <wp:posOffset>9432545</wp:posOffset>
              </wp:positionV>
              <wp:extent cx="678180" cy="1816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20"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DFA" id="_x0000_t202" coordsize="21600,21600" o:spt="202" path="m,l,21600r21600,l21600,xe">
              <v:stroke joinstyle="miter"/>
              <v:path gradientshapeok="t" o:connecttype="rect"/>
            </v:shapetype>
            <v:shape id="Textbox 77" o:spid="_x0000_s1049" type="#_x0000_t202" style="position:absolute;margin-left:71pt;margin-top:742.7pt;width:53.4pt;height:14.3pt;z-index:-280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FH0gJWXAQAA&#10;IgMAAA4AAAAAAAAAAAAAAAAALgIAAGRycy9lMm9Eb2MueG1sUEsBAi0AFAAGAAgAAAAhAK5q90Ph&#10;AAAADQEAAA8AAAAAAAAAAAAAAAAA8QMAAGRycy9kb3ducmV2LnhtbFBLBQYAAAAABAAEAPMAAAD/&#10;BAAAAAA=&#10;" filled="f" stroked="f">
              <v:textbox inset="0,0,0,0">
                <w:txbxContent>
                  <w:p w14:paraId="24D63220"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61952" behindDoc="1" locked="0" layoutInCell="1" allowOverlap="1" wp14:anchorId="24D62DFC" wp14:editId="24D62DFD">
              <wp:simplePos x="0" y="0"/>
              <wp:positionH relativeFrom="page">
                <wp:posOffset>2783105</wp:posOffset>
              </wp:positionH>
              <wp:positionV relativeFrom="page">
                <wp:posOffset>9432545</wp:posOffset>
              </wp:positionV>
              <wp:extent cx="2207260" cy="1816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21"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DFC" id="Textbox 78" o:spid="_x0000_s1050" type="#_x0000_t202" style="position:absolute;margin-left:219.15pt;margin-top:742.7pt;width:173.8pt;height:14.3pt;z-index:-280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ZtqDZJgB&#10;AAAjAwAADgAAAAAAAAAAAAAAAAAuAgAAZHJzL2Uyb0RvYy54bWxQSwECLQAUAAYACAAAACEA+kgz&#10;ReIAAAANAQAADwAAAAAAAAAAAAAAAADyAwAAZHJzL2Rvd25yZXYueG1sUEsFBgAAAAAEAAQA8wAA&#10;AAEFAAAAAA==&#10;" filled="f" stroked="f">
              <v:textbox inset="0,0,0,0">
                <w:txbxContent>
                  <w:p w14:paraId="24D63221"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62464" behindDoc="1" locked="0" layoutInCell="1" allowOverlap="1" wp14:anchorId="24D62DFE" wp14:editId="24D62DFF">
              <wp:simplePos x="0" y="0"/>
              <wp:positionH relativeFrom="page">
                <wp:posOffset>6045444</wp:posOffset>
              </wp:positionH>
              <wp:positionV relativeFrom="page">
                <wp:posOffset>9432545</wp:posOffset>
              </wp:positionV>
              <wp:extent cx="863600" cy="1816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222" w14:textId="77777777" w:rsidR="00245300" w:rsidRDefault="00F17249">
                          <w:pPr>
                            <w:pStyle w:val="BodyText"/>
                            <w:spacing w:before="12"/>
                            <w:ind w:left="20"/>
                          </w:pPr>
                          <w:r>
                            <w:t>Page</w:t>
                          </w:r>
                          <w:r>
                            <w:rPr>
                              <w:spacing w:val="-11"/>
                            </w:rPr>
                            <w:t xml:space="preserve"> </w:t>
                          </w:r>
                          <w:r>
                            <w:t>615-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2DFE" id="Textbox 79" o:spid="_x0000_s1051" type="#_x0000_t202" style="position:absolute;margin-left:476pt;margin-top:742.7pt;width:68pt;height:14.3pt;z-index:-280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npaGaJgB&#10;AAAiAwAADgAAAAAAAAAAAAAAAAAuAgAAZHJzL2Uyb0RvYy54bWxQSwECLQAUAAYACAAAACEA680r&#10;7OIAAAAOAQAADwAAAAAAAAAAAAAAAADyAwAAZHJzL2Rvd25yZXYueG1sUEsFBgAAAAAEAAQA8wAA&#10;AAEFAAAAAA==&#10;" filled="f" stroked="f">
              <v:textbox inset="0,0,0,0">
                <w:txbxContent>
                  <w:p w14:paraId="24D63222" w14:textId="77777777" w:rsidR="00245300" w:rsidRDefault="00F17249">
                    <w:pPr>
                      <w:pStyle w:val="BodyText"/>
                      <w:spacing w:before="12"/>
                      <w:ind w:left="20"/>
                    </w:pPr>
                    <w:r>
                      <w:t>Page</w:t>
                    </w:r>
                    <w:r>
                      <w:rPr>
                        <w:spacing w:val="-11"/>
                      </w:rPr>
                      <w:t xml:space="preserve"> </w:t>
                    </w:r>
                    <w:r>
                      <w:t>615-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1" w14:textId="77777777" w:rsidR="00245300" w:rsidRDefault="00F17249">
    <w:pPr>
      <w:pStyle w:val="BodyText"/>
      <w:spacing w:line="14" w:lineRule="auto"/>
      <w:rPr>
        <w:sz w:val="20"/>
      </w:rPr>
    </w:pPr>
    <w:r>
      <w:rPr>
        <w:noProof/>
      </w:rPr>
      <mc:AlternateContent>
        <mc:Choice Requires="wps">
          <w:drawing>
            <wp:anchor distT="0" distB="0" distL="0" distR="0" simplePos="0" relativeHeight="475498496" behindDoc="1" locked="0" layoutInCell="1" allowOverlap="1" wp14:anchorId="24D63198" wp14:editId="24D63199">
              <wp:simplePos x="0" y="0"/>
              <wp:positionH relativeFrom="page">
                <wp:posOffset>666750</wp:posOffset>
              </wp:positionH>
              <wp:positionV relativeFrom="page">
                <wp:posOffset>9400031</wp:posOffset>
              </wp:positionV>
              <wp:extent cx="13982700" cy="28575"/>
              <wp:effectExtent l="0" t="0" r="0" b="0"/>
              <wp:wrapNone/>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5483F0" id="Graphic 971" o:spid="_x0000_s1026" style="position:absolute;margin-left:52.5pt;margin-top:740.15pt;width:1101pt;height:2.25pt;z-index:-27817984;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" path="m13982700,l,,,28194r13982700,l13982700,xe" fillcolor="black" stroked="f">
              <v:path arrowok="t"/>
              <w10:wrap anchorx="page" anchory="page"/>
            </v:shape>
          </w:pict>
        </mc:Fallback>
      </mc:AlternateContent>
    </w:r>
    <w:r>
      <w:rPr>
        <w:noProof/>
      </w:rPr>
      <mc:AlternateContent>
        <mc:Choice Requires="wps">
          <w:drawing>
            <wp:anchor distT="0" distB="0" distL="0" distR="0" simplePos="0" relativeHeight="475499008" behindDoc="1" locked="0" layoutInCell="1" allowOverlap="1" wp14:anchorId="24D6319A" wp14:editId="24D6319B">
              <wp:simplePos x="0" y="0"/>
              <wp:positionH relativeFrom="page">
                <wp:posOffset>673100</wp:posOffset>
              </wp:positionH>
              <wp:positionV relativeFrom="page">
                <wp:posOffset>9432545</wp:posOffset>
              </wp:positionV>
              <wp:extent cx="678180" cy="181610"/>
              <wp:effectExtent l="0" t="0" r="0" b="0"/>
              <wp:wrapNone/>
              <wp:docPr id="972" name="Text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68"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9A" id="_x0000_t202" coordsize="21600,21600" o:spt="202" path="m,l,21600r21600,l21600,xe">
              <v:stroke joinstyle="miter"/>
              <v:path gradientshapeok="t" o:connecttype="rect"/>
            </v:shapetype>
            <v:shape id="Textbox 972" o:spid="_x0000_s1319" type="#_x0000_t202" style="position:absolute;margin-left:53pt;margin-top:742.7pt;width:53.4pt;height:14.3pt;z-index:-278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" filled="f" stroked="f">
              <v:textbox inset="0,0,0,0">
                <w:txbxContent>
                  <w:p w14:paraId="24D63368"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499520" behindDoc="1" locked="0" layoutInCell="1" allowOverlap="1" wp14:anchorId="24D6319C" wp14:editId="24D6319D">
              <wp:simplePos x="0" y="0"/>
              <wp:positionH relativeFrom="page">
                <wp:posOffset>6721093</wp:posOffset>
              </wp:positionH>
              <wp:positionV relativeFrom="page">
                <wp:posOffset>9432545</wp:posOffset>
              </wp:positionV>
              <wp:extent cx="2206625" cy="181610"/>
              <wp:effectExtent l="0" t="0" r="0" b="0"/>
              <wp:wrapNone/>
              <wp:docPr id="973" name="Text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24D6336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9C" id="Textbox 973" o:spid="_x0000_s1320" type="#_x0000_t202" style="position:absolute;margin-left:529.2pt;margin-top:742.7pt;width:173.75pt;height:14.3pt;z-index:-278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jmgEAACQDAAAOAAAAZHJzL2Uyb0RvYy54bWysUs2O0zAQviPtO1i+b51E2mqJ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" filled="f" stroked="f">
              <v:textbox inset="0,0,0,0">
                <w:txbxContent>
                  <w:p w14:paraId="24D63369"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500032" behindDoc="1" locked="0" layoutInCell="1" allowOverlap="1" wp14:anchorId="24D6319E" wp14:editId="24D6319F">
              <wp:simplePos x="0" y="0"/>
              <wp:positionH relativeFrom="page">
                <wp:posOffset>13679309</wp:posOffset>
              </wp:positionH>
              <wp:positionV relativeFrom="page">
                <wp:posOffset>9432545</wp:posOffset>
              </wp:positionV>
              <wp:extent cx="1001394" cy="181610"/>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181610"/>
                      </a:xfrm>
                      <a:prstGeom prst="rect">
                        <a:avLst/>
                      </a:prstGeom>
                    </wps:spPr>
                    <wps:txbx>
                      <w:txbxContent>
                        <w:p w14:paraId="24D6336A" w14:textId="77777777" w:rsidR="00245300" w:rsidRDefault="00F17249">
                          <w:pPr>
                            <w:pStyle w:val="BodyText"/>
                            <w:spacing w:before="12"/>
                            <w:ind w:left="20"/>
                          </w:pPr>
                          <w:r>
                            <w:t>Page</w:t>
                          </w:r>
                          <w:r>
                            <w:rPr>
                              <w:spacing w:val="-9"/>
                            </w:rPr>
                            <w:t xml:space="preserve"> </w:t>
                          </w:r>
                          <w:r>
                            <w:t>1002</w:t>
                          </w:r>
                          <w:r>
                            <w:rPr>
                              <w:spacing w:val="-8"/>
                            </w:rPr>
                            <w:t xml:space="preserve"> </w:t>
                          </w:r>
                          <w:r>
                            <w:t>D-</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19E" id="Textbox 974" o:spid="_x0000_s1321" type="#_x0000_t202" style="position:absolute;margin-left:1077.1pt;margin-top:742.7pt;width:78.85pt;height:14.3pt;z-index:-278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" filled="f" stroked="f">
              <v:textbox inset="0,0,0,0">
                <w:txbxContent>
                  <w:p w14:paraId="24D6336A" w14:textId="77777777" w:rsidR="00245300" w:rsidRDefault="00F17249">
                    <w:pPr>
                      <w:pStyle w:val="BodyText"/>
                      <w:spacing w:before="12"/>
                      <w:ind w:left="20"/>
                    </w:pPr>
                    <w:r>
                      <w:t>Page</w:t>
                    </w:r>
                    <w:r>
                      <w:rPr>
                        <w:spacing w:val="-9"/>
                      </w:rPr>
                      <w:t xml:space="preserve"> </w:t>
                    </w:r>
                    <w:r>
                      <w:t>1002</w:t>
                    </w:r>
                    <w:r>
                      <w:rPr>
                        <w:spacing w:val="-8"/>
                      </w:rPr>
                      <w:t xml:space="preserve"> </w:t>
                    </w:r>
                    <w:r>
                      <w:t>D-</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3" w14:textId="77777777" w:rsidR="00245300" w:rsidRDefault="00F17249">
    <w:pPr>
      <w:pStyle w:val="BodyText"/>
      <w:spacing w:line="14" w:lineRule="auto"/>
      <w:rPr>
        <w:sz w:val="20"/>
      </w:rPr>
    </w:pPr>
    <w:r>
      <w:rPr>
        <w:noProof/>
      </w:rPr>
      <mc:AlternateContent>
        <mc:Choice Requires="wps">
          <w:drawing>
            <wp:anchor distT="0" distB="0" distL="0" distR="0" simplePos="0" relativeHeight="475502080" behindDoc="1" locked="0" layoutInCell="1" allowOverlap="1" wp14:anchorId="24D631A6" wp14:editId="24D631A7">
              <wp:simplePos x="0" y="0"/>
              <wp:positionH relativeFrom="page">
                <wp:posOffset>895350</wp:posOffset>
              </wp:positionH>
              <wp:positionV relativeFrom="page">
                <wp:posOffset>9400031</wp:posOffset>
              </wp:positionV>
              <wp:extent cx="5981700" cy="28575"/>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AF995" id="Graphic 979" o:spid="_x0000_s1026" style="position:absolute;margin-left:70.5pt;margin-top:740.15pt;width:471pt;height:2.25pt;z-index:-278144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502592" behindDoc="1" locked="0" layoutInCell="1" allowOverlap="1" wp14:anchorId="24D631A8" wp14:editId="24D631A9">
              <wp:simplePos x="0" y="0"/>
              <wp:positionH relativeFrom="page">
                <wp:posOffset>901700</wp:posOffset>
              </wp:positionH>
              <wp:positionV relativeFrom="page">
                <wp:posOffset>9432545</wp:posOffset>
              </wp:positionV>
              <wp:extent cx="678180" cy="181610"/>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6D"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A8" id="_x0000_t202" coordsize="21600,21600" o:spt="202" path="m,l,21600r21600,l21600,xe">
              <v:stroke joinstyle="miter"/>
              <v:path gradientshapeok="t" o:connecttype="rect"/>
            </v:shapetype>
            <v:shape id="Textbox 980" o:spid="_x0000_s1323" type="#_x0000_t202" style="position:absolute;margin-left:71pt;margin-top:742.7pt;width:53.4pt;height:14.3pt;z-index:-278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J14hvmAEA&#10;ACMDAAAOAAAAAAAAAAAAAAAAAC4CAABkcnMvZTJvRG9jLnhtbFBLAQItABQABgAIAAAAIQCuavdD&#10;4QAAAA0BAAAPAAAAAAAAAAAAAAAAAPIDAABkcnMvZG93bnJldi54bWxQSwUGAAAAAAQABADzAAAA&#10;AAUAAAAA&#10;" filled="f" stroked="f">
              <v:textbox inset="0,0,0,0">
                <w:txbxContent>
                  <w:p w14:paraId="24D6336D"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503104" behindDoc="1" locked="0" layoutInCell="1" allowOverlap="1" wp14:anchorId="24D631AA" wp14:editId="24D631AB">
              <wp:simplePos x="0" y="0"/>
              <wp:positionH relativeFrom="page">
                <wp:posOffset>2783105</wp:posOffset>
              </wp:positionH>
              <wp:positionV relativeFrom="page">
                <wp:posOffset>9432545</wp:posOffset>
              </wp:positionV>
              <wp:extent cx="2207260" cy="181610"/>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36E"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AA" id="Textbox 981" o:spid="_x0000_s1324" type="#_x0000_t202" style="position:absolute;margin-left:219.15pt;margin-top:742.7pt;width:173.8pt;height:14.3pt;z-index:-278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" filled="f" stroked="f">
              <v:textbox inset="0,0,0,0">
                <w:txbxContent>
                  <w:p w14:paraId="24D6336E" w14:textId="77777777" w:rsidR="00245300" w:rsidRDefault="00F17249">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503616" behindDoc="1" locked="0" layoutInCell="1" allowOverlap="1" wp14:anchorId="24D631AC" wp14:editId="24D631AD">
              <wp:simplePos x="0" y="0"/>
              <wp:positionH relativeFrom="page">
                <wp:posOffset>5967633</wp:posOffset>
              </wp:positionH>
              <wp:positionV relativeFrom="page">
                <wp:posOffset>9432545</wp:posOffset>
              </wp:positionV>
              <wp:extent cx="941069" cy="181610"/>
              <wp:effectExtent l="0" t="0" r="0" b="0"/>
              <wp:wrapNone/>
              <wp:docPr id="982" name="Text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69" cy="181610"/>
                      </a:xfrm>
                      <a:prstGeom prst="rect">
                        <a:avLst/>
                      </a:prstGeom>
                    </wps:spPr>
                    <wps:txbx>
                      <w:txbxContent>
                        <w:p w14:paraId="24D6336F" w14:textId="77777777" w:rsidR="00245300" w:rsidRDefault="00F17249">
                          <w:pPr>
                            <w:pStyle w:val="BodyText"/>
                            <w:spacing w:before="12"/>
                            <w:ind w:left="20"/>
                          </w:pPr>
                          <w:r>
                            <w:t>Page</w:t>
                          </w:r>
                          <w:r>
                            <w:rPr>
                              <w:spacing w:val="-12"/>
                            </w:rPr>
                            <w:t xml:space="preserve"> </w:t>
                          </w:r>
                          <w:r>
                            <w:t>1003-</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31AC" id="Textbox 982" o:spid="_x0000_s1325" type="#_x0000_t202" style="position:absolute;margin-left:469.9pt;margin-top:742.7pt;width:74.1pt;height:14.3pt;z-index:-27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" filled="f" stroked="f">
              <v:textbox inset="0,0,0,0">
                <w:txbxContent>
                  <w:p w14:paraId="24D6336F" w14:textId="77777777" w:rsidR="00245300" w:rsidRDefault="00F17249">
                    <w:pPr>
                      <w:pStyle w:val="BodyText"/>
                      <w:spacing w:before="12"/>
                      <w:ind w:left="20"/>
                    </w:pPr>
                    <w:r>
                      <w:t>Page</w:t>
                    </w:r>
                    <w:r>
                      <w:rPr>
                        <w:spacing w:val="-12"/>
                      </w:rPr>
                      <w:t xml:space="preserve"> </w:t>
                    </w:r>
                    <w:r>
                      <w:t>1003-</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5" w14:textId="77777777" w:rsidR="00245300" w:rsidRDefault="00F17249">
    <w:pPr>
      <w:pStyle w:val="BodyText"/>
      <w:spacing w:line="14" w:lineRule="auto"/>
      <w:rPr>
        <w:sz w:val="20"/>
      </w:rPr>
    </w:pPr>
    <w:r>
      <w:rPr>
        <w:noProof/>
      </w:rPr>
      <mc:AlternateContent>
        <mc:Choice Requires="wps">
          <w:drawing>
            <wp:anchor distT="0" distB="0" distL="0" distR="0" simplePos="0" relativeHeight="475505664" behindDoc="1" locked="0" layoutInCell="1" allowOverlap="1" wp14:anchorId="24D631B4" wp14:editId="24D631B5">
              <wp:simplePos x="0" y="0"/>
              <wp:positionH relativeFrom="page">
                <wp:posOffset>895350</wp:posOffset>
              </wp:positionH>
              <wp:positionV relativeFrom="page">
                <wp:posOffset>9400031</wp:posOffset>
              </wp:positionV>
              <wp:extent cx="5981700" cy="28575"/>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19868" id="Graphic 992" o:spid="_x0000_s1026" style="position:absolute;margin-left:70.5pt;margin-top:740.15pt;width:471pt;height:2.25pt;z-index:-278108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506176" behindDoc="1" locked="0" layoutInCell="1" allowOverlap="1" wp14:anchorId="24D631B6" wp14:editId="24D631B7">
              <wp:simplePos x="0" y="0"/>
              <wp:positionH relativeFrom="page">
                <wp:posOffset>901700</wp:posOffset>
              </wp:positionH>
              <wp:positionV relativeFrom="page">
                <wp:posOffset>9432545</wp:posOffset>
              </wp:positionV>
              <wp:extent cx="678180" cy="181610"/>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371"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31B6" id="_x0000_t202" coordsize="21600,21600" o:spt="202" path="m,l,21600r21600,l21600,xe">
              <v:stroke joinstyle="miter"/>
              <v:path gradientshapeok="t" o:connecttype="rect"/>
            </v:shapetype>
            <v:shape id="Textbox 993" o:spid="_x0000_s1327" type="#_x0000_t202" style="position:absolute;margin-left:71pt;margin-top:742.7pt;width:53.4pt;height:14.3pt;z-index:-278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ufs5JmAEA&#10;ACMDAAAOAAAAAAAAAAAAAAAAAC4CAABkcnMvZTJvRG9jLnhtbFBLAQItABQABgAIAAAAIQCuavdD&#10;4QAAAA0BAAAPAAAAAAAAAAAAAAAAAPIDAABkcnMvZG93bnJldi54bWxQSwUGAAAAAAQABADzAAAA&#10;AAUAAAAA&#10;" filled="f" stroked="f">
              <v:textbox inset="0,0,0,0">
                <w:txbxContent>
                  <w:p w14:paraId="24D63371"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506688" behindDoc="1" locked="0" layoutInCell="1" allowOverlap="1" wp14:anchorId="24D631B8" wp14:editId="24D631B9">
              <wp:simplePos x="0" y="0"/>
              <wp:positionH relativeFrom="page">
                <wp:posOffset>2783105</wp:posOffset>
              </wp:positionH>
              <wp:positionV relativeFrom="page">
                <wp:posOffset>9432545</wp:posOffset>
              </wp:positionV>
              <wp:extent cx="2207260" cy="181610"/>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372" w14:textId="77777777" w:rsidR="00245300" w:rsidRDefault="00F17249">
                          <w:pPr>
                            <w:pStyle w:val="BodyText"/>
                            <w:spacing w:before="12"/>
                            <w:ind w:left="20"/>
                          </w:pPr>
                          <w:r>
                            <w:t>GAO/CIGIE</w:t>
                          </w:r>
                          <w:r>
                            <w:rPr>
                              <w:spacing w:val="-10"/>
                            </w:rPr>
                            <w:t xml:space="preserve"> </w:t>
                          </w:r>
                          <w:r>
                            <w:t>Financial</w:t>
                          </w:r>
                          <w:r>
                            <w:rPr>
                              <w:spacing w:val="-9"/>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31B8" id="Textbox 994" o:spid="_x0000_s1328" type="#_x0000_t202" style="position:absolute;margin-left:219.15pt;margin-top:742.7pt;width:173.8pt;height:14.3pt;z-index:-278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" filled="f" stroked="f">
              <v:textbox inset="0,0,0,0">
                <w:txbxContent>
                  <w:p w14:paraId="24D63372" w14:textId="77777777" w:rsidR="00245300" w:rsidRDefault="00F17249">
                    <w:pPr>
                      <w:pStyle w:val="BodyText"/>
                      <w:spacing w:before="12"/>
                      <w:ind w:left="20"/>
                    </w:pPr>
                    <w:r>
                      <w:t>GAO/CIGIE</w:t>
                    </w:r>
                    <w:r>
                      <w:rPr>
                        <w:spacing w:val="-10"/>
                      </w:rPr>
                      <w:t xml:space="preserve"> </w:t>
                    </w:r>
                    <w:r>
                      <w:t>Financial</w:t>
                    </w:r>
                    <w:r>
                      <w:rPr>
                        <w:spacing w:val="-9"/>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507200" behindDoc="1" locked="0" layoutInCell="1" allowOverlap="1" wp14:anchorId="24D631BA" wp14:editId="24D631BB">
              <wp:simplePos x="0" y="0"/>
              <wp:positionH relativeFrom="page">
                <wp:posOffset>6045305</wp:posOffset>
              </wp:positionH>
              <wp:positionV relativeFrom="page">
                <wp:posOffset>9432545</wp:posOffset>
              </wp:positionV>
              <wp:extent cx="863600" cy="181610"/>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373" w14:textId="77777777" w:rsidR="00245300" w:rsidRDefault="00F17249">
                          <w:pPr>
                            <w:pStyle w:val="BodyText"/>
                            <w:spacing w:before="12"/>
                            <w:ind w:left="20"/>
                          </w:pPr>
                          <w:r>
                            <w:t>Page</w:t>
                          </w:r>
                          <w:r>
                            <w:rPr>
                              <w:spacing w:val="-13"/>
                            </w:rPr>
                            <w:t xml:space="preserve"> </w:t>
                          </w:r>
                          <w:r>
                            <w:t>1005-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24D631BA" id="Textbox 995" o:spid="_x0000_s1329" type="#_x0000_t202" style="position:absolute;margin-left:476pt;margin-top:742.7pt;width:68pt;height:14.3pt;z-index:-278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8r5h5gB&#10;AAAjAwAADgAAAAAAAAAAAAAAAAAuAgAAZHJzL2Uyb0RvYy54bWxQSwECLQAUAAYACAAAACEA680r&#10;7OIAAAAOAQAADwAAAAAAAAAAAAAAAADyAwAAZHJzL2Rvd25yZXYueG1sUEsFBgAAAAAEAAQA8wAA&#10;AAEFAAAAAA==&#10;" filled="f" stroked="f">
              <v:textbox inset="0,0,0,0">
                <w:txbxContent>
                  <w:p w14:paraId="24D63373" w14:textId="77777777" w:rsidR="00245300" w:rsidRDefault="00F17249">
                    <w:pPr>
                      <w:pStyle w:val="BodyText"/>
                      <w:spacing w:before="12"/>
                      <w:ind w:left="20"/>
                    </w:pPr>
                    <w:r>
                      <w:t>Page</w:t>
                    </w:r>
                    <w:r>
                      <w:rPr>
                        <w:spacing w:val="-13"/>
                      </w:rPr>
                      <w:t xml:space="preserve"> </w:t>
                    </w:r>
                    <w:r>
                      <w:t>1005-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9" w14:textId="77777777" w:rsidR="00245300" w:rsidRDefault="0024530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3" w14:textId="77777777" w:rsidR="00245300" w:rsidRDefault="00F17249">
    <w:pPr>
      <w:pStyle w:val="BodyText"/>
      <w:spacing w:line="14" w:lineRule="auto"/>
      <w:rPr>
        <w:sz w:val="20"/>
      </w:rPr>
    </w:pPr>
    <w:r>
      <w:rPr>
        <w:noProof/>
      </w:rPr>
      <mc:AlternateContent>
        <mc:Choice Requires="wps">
          <w:drawing>
            <wp:anchor distT="0" distB="0" distL="0" distR="0" simplePos="0" relativeHeight="475264512" behindDoc="1" locked="0" layoutInCell="1" allowOverlap="1" wp14:anchorId="24D62E06" wp14:editId="24D62E07">
              <wp:simplePos x="0" y="0"/>
              <wp:positionH relativeFrom="page">
                <wp:posOffset>895350</wp:posOffset>
              </wp:positionH>
              <wp:positionV relativeFrom="page">
                <wp:posOffset>9400031</wp:posOffset>
              </wp:positionV>
              <wp:extent cx="5981700" cy="2857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9B896" id="Graphic 87" o:spid="_x0000_s1026" style="position:absolute;margin-left:70.5pt;margin-top:740.15pt;width:471pt;height:2.25pt;z-index:-280519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5024" behindDoc="1" locked="0" layoutInCell="1" allowOverlap="1" wp14:anchorId="24D62E08" wp14:editId="24D62E09">
              <wp:simplePos x="0" y="0"/>
              <wp:positionH relativeFrom="page">
                <wp:posOffset>901700</wp:posOffset>
              </wp:positionH>
              <wp:positionV relativeFrom="page">
                <wp:posOffset>9432545</wp:posOffset>
              </wp:positionV>
              <wp:extent cx="678180" cy="1816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24D63225" w14:textId="77777777" w:rsidR="00245300" w:rsidRDefault="00F17249">
                          <w:pPr>
                            <w:pStyle w:val="BodyText"/>
                            <w:spacing w:before="12"/>
                            <w:ind w:left="20"/>
                          </w:pPr>
                          <w:r>
                            <w:t>June</w:t>
                          </w:r>
                          <w:r>
                            <w:rPr>
                              <w:spacing w:val="-5"/>
                            </w:rPr>
                            <w:t xml:space="preserve"> </w:t>
                          </w:r>
                          <w:r>
                            <w:rPr>
                              <w:spacing w:val="-4"/>
                            </w:rPr>
                            <w:t>2024</w:t>
                          </w:r>
                        </w:p>
                      </w:txbxContent>
                    </wps:txbx>
                    <wps:bodyPr wrap="square" lIns="0" tIns="0" rIns="0" bIns="0" rtlCol="0">
                      <a:noAutofit/>
                    </wps:bodyPr>
                  </wps:wsp>
                </a:graphicData>
              </a:graphic>
            </wp:anchor>
          </w:drawing>
        </mc:Choice>
        <mc:Fallback>
          <w:pict>
            <v:shapetype w14:anchorId="24D62E08" id="_x0000_t202" coordsize="21600,21600" o:spt="202" path="m,l,21600r21600,l21600,xe">
              <v:stroke joinstyle="miter"/>
              <v:path gradientshapeok="t" o:connecttype="rect"/>
            </v:shapetype>
            <v:shape id="Textbox 88" o:spid="_x0000_s1053" type="#_x0000_t202" style="position:absolute;margin-left:71pt;margin-top:742.7pt;width:53.4pt;height:14.3pt;z-index:-280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KImAEAACIDAAAOAAAAZHJzL2Uyb0RvYy54bWysUs2O0zAQviPxDpbv1E0l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NXL3NKeatPbRn1jJynI2kX0eNVor+c2C/cvaXAi/F/lJg&#10;6j9AeSFZUoD7YwLnC4Mb7syAgyjE5keTk/7zv0zdnvbuN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Mk0KImAEA&#10;ACIDAAAOAAAAAAAAAAAAAAAAAC4CAABkcnMvZTJvRG9jLnhtbFBLAQItABQABgAIAAAAIQCuavdD&#10;4QAAAA0BAAAPAAAAAAAAAAAAAAAAAPIDAABkcnMvZG93bnJldi54bWxQSwUGAAAAAAQABADzAAAA&#10;AAUAAAAA&#10;" filled="f" stroked="f">
              <v:textbox inset="0,0,0,0">
                <w:txbxContent>
                  <w:p w14:paraId="24D63225" w14:textId="77777777" w:rsidR="00245300" w:rsidRDefault="00F17249">
                    <w:pPr>
                      <w:pStyle w:val="BodyText"/>
                      <w:spacing w:before="12"/>
                      <w:ind w:left="20"/>
                    </w:pPr>
                    <w:r>
                      <w:t>June</w:t>
                    </w:r>
                    <w:r>
                      <w:rPr>
                        <w:spacing w:val="-5"/>
                      </w:rPr>
                      <w:t xml:space="preserve"> </w:t>
                    </w:r>
                    <w:r>
                      <w:rPr>
                        <w:spacing w:val="-4"/>
                      </w:rPr>
                      <w:t>2024</w:t>
                    </w:r>
                  </w:p>
                </w:txbxContent>
              </v:textbox>
              <w10:wrap anchorx="page" anchory="page"/>
            </v:shape>
          </w:pict>
        </mc:Fallback>
      </mc:AlternateContent>
    </w:r>
    <w:r>
      <w:rPr>
        <w:noProof/>
      </w:rPr>
      <mc:AlternateContent>
        <mc:Choice Requires="wps">
          <w:drawing>
            <wp:anchor distT="0" distB="0" distL="0" distR="0" simplePos="0" relativeHeight="475265536" behindDoc="1" locked="0" layoutInCell="1" allowOverlap="1" wp14:anchorId="24D62E0A" wp14:editId="24D62E0B">
              <wp:simplePos x="0" y="0"/>
              <wp:positionH relativeFrom="page">
                <wp:posOffset>2783105</wp:posOffset>
              </wp:positionH>
              <wp:positionV relativeFrom="page">
                <wp:posOffset>9432545</wp:posOffset>
              </wp:positionV>
              <wp:extent cx="2207260" cy="1816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24D63226"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24D62E0A" id="Textbox 89" o:spid="_x0000_s1054" type="#_x0000_t202" style="position:absolute;margin-left:219.15pt;margin-top:742.7pt;width:173.8pt;height:14.3pt;z-index:-280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" filled="f" stroked="f">
              <v:textbox inset="0,0,0,0">
                <w:txbxContent>
                  <w:p w14:paraId="24D63226" w14:textId="77777777" w:rsidR="00245300" w:rsidRDefault="00F17249">
                    <w:pPr>
                      <w:pStyle w:val="BodyText"/>
                      <w:spacing w:before="12"/>
                      <w:ind w:left="20"/>
                    </w:pPr>
                    <w:r>
                      <w:t>GAO/CIGIE</w:t>
                    </w:r>
                    <w:r>
                      <w:rPr>
                        <w:spacing w:val="-10"/>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rPr>
      <mc:AlternateContent>
        <mc:Choice Requires="wps">
          <w:drawing>
            <wp:anchor distT="0" distB="0" distL="0" distR="0" simplePos="0" relativeHeight="475266048" behindDoc="1" locked="0" layoutInCell="1" allowOverlap="1" wp14:anchorId="24D62E0C" wp14:editId="24D62E0D">
              <wp:simplePos x="0" y="0"/>
              <wp:positionH relativeFrom="page">
                <wp:posOffset>6045305</wp:posOffset>
              </wp:positionH>
              <wp:positionV relativeFrom="page">
                <wp:posOffset>9432545</wp:posOffset>
              </wp:positionV>
              <wp:extent cx="863600" cy="1816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24D63227" w14:textId="77777777" w:rsidR="00245300" w:rsidRDefault="00F17249">
                          <w:pPr>
                            <w:pStyle w:val="BodyText"/>
                            <w:spacing w:before="12"/>
                            <w:ind w:left="20"/>
                          </w:pPr>
                          <w:r>
                            <w:t>Page</w:t>
                          </w:r>
                          <w:r>
                            <w:rPr>
                              <w:spacing w:val="-11"/>
                            </w:rPr>
                            <w:t xml:space="preserve"> </w:t>
                          </w:r>
                          <w:r>
                            <w:t>620-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24D62E0C" id="Textbox 90" o:spid="_x0000_s1055" type="#_x0000_t202" style="position:absolute;margin-left:476pt;margin-top:742.7pt;width:68pt;height:14.3pt;z-index:-280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w/FEdZgB&#10;AAAiAwAADgAAAAAAAAAAAAAAAAAuAgAAZHJzL2Uyb0RvYy54bWxQSwECLQAUAAYACAAAACEA680r&#10;7OIAAAAOAQAADwAAAAAAAAAAAAAAAADyAwAAZHJzL2Rvd25yZXYueG1sUEsFBgAAAAAEAAQA8wAA&#10;AAEFAAAAAA==&#10;" filled="f" stroked="f">
              <v:textbox inset="0,0,0,0">
                <w:txbxContent>
                  <w:p w14:paraId="24D63227" w14:textId="77777777" w:rsidR="00245300" w:rsidRDefault="00F17249">
                    <w:pPr>
                      <w:pStyle w:val="BodyText"/>
                      <w:spacing w:before="12"/>
                      <w:ind w:left="20"/>
                    </w:pPr>
                    <w:r>
                      <w:t>Page</w:t>
                    </w:r>
                    <w:r>
                      <w:rPr>
                        <w:spacing w:val="-11"/>
                      </w:rPr>
                      <w:t xml:space="preserve"> </w:t>
                    </w:r>
                    <w:r>
                      <w:t>620-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2150D" w14:textId="77777777" w:rsidR="004472DB" w:rsidRDefault="004472DB">
      <w:r>
        <w:separator/>
      </w:r>
    </w:p>
  </w:footnote>
  <w:footnote w:type="continuationSeparator" w:id="0">
    <w:p w14:paraId="2FA4B33C" w14:textId="77777777" w:rsidR="004472DB" w:rsidRDefault="00447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2" w14:textId="77777777" w:rsidR="00245300" w:rsidRDefault="00F17249">
    <w:pPr>
      <w:pStyle w:val="BodyText"/>
      <w:spacing w:line="14" w:lineRule="auto"/>
      <w:rPr>
        <w:sz w:val="20"/>
      </w:rPr>
    </w:pPr>
    <w:r>
      <w:rPr>
        <w:noProof/>
      </w:rPr>
      <mc:AlternateContent>
        <mc:Choice Requires="wps">
          <w:drawing>
            <wp:anchor distT="0" distB="0" distL="0" distR="0" simplePos="0" relativeHeight="475241984" behindDoc="1" locked="0" layoutInCell="1" allowOverlap="1" wp14:anchorId="24D62DAE" wp14:editId="24D62DAF">
              <wp:simplePos x="0" y="0"/>
              <wp:positionH relativeFrom="page">
                <wp:posOffset>895350</wp:posOffset>
              </wp:positionH>
              <wp:positionV relativeFrom="page">
                <wp:posOffset>496062</wp:posOffset>
              </wp:positionV>
              <wp:extent cx="5981700" cy="2857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10F87" id="Graphic 29" o:spid="_x0000_s1026" style="position:absolute;margin-left:70.5pt;margin-top:39.05pt;width:471pt;height:2.25pt;z-index:-280744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42496" behindDoc="1" locked="0" layoutInCell="1" allowOverlap="1" wp14:anchorId="24D62DB0" wp14:editId="24D62DB1">
              <wp:simplePos x="0" y="0"/>
              <wp:positionH relativeFrom="page">
                <wp:posOffset>901700</wp:posOffset>
              </wp:positionH>
              <wp:positionV relativeFrom="page">
                <wp:posOffset>528575</wp:posOffset>
              </wp:positionV>
              <wp:extent cx="4257040" cy="181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040" cy="181610"/>
                      </a:xfrm>
                      <a:prstGeom prst="rect">
                        <a:avLst/>
                      </a:prstGeom>
                    </wps:spPr>
                    <wps:txbx>
                      <w:txbxContent>
                        <w:p w14:paraId="24D63207" w14:textId="77777777" w:rsidR="00245300" w:rsidRDefault="00F17249">
                          <w:pPr>
                            <w:pStyle w:val="BodyText"/>
                            <w:spacing w:before="12"/>
                            <w:ind w:left="20"/>
                          </w:pPr>
                          <w:r>
                            <w:t>Financial</w:t>
                          </w:r>
                          <w:r>
                            <w:rPr>
                              <w:spacing w:val="-7"/>
                            </w:rPr>
                            <w:t xml:space="preserve"> </w:t>
                          </w:r>
                          <w:r>
                            <w:t>Audit</w:t>
                          </w:r>
                          <w:r>
                            <w:rPr>
                              <w:spacing w:val="-7"/>
                            </w:rPr>
                            <w:t xml:space="preserve"> </w:t>
                          </w:r>
                          <w:r>
                            <w:t>Manual</w:t>
                          </w:r>
                          <w:r>
                            <w:rPr>
                              <w:spacing w:val="-7"/>
                            </w:rPr>
                            <w:t xml:space="preserve"> </w:t>
                          </w:r>
                          <w:r>
                            <w:t>Volume</w:t>
                          </w:r>
                          <w:r>
                            <w:rPr>
                              <w:spacing w:val="-7"/>
                            </w:rPr>
                            <w:t xml:space="preserve"> </w:t>
                          </w:r>
                          <w:r>
                            <w:t>2</w:t>
                          </w:r>
                          <w:r>
                            <w:rPr>
                              <w:spacing w:val="-6"/>
                            </w:rPr>
                            <w:t xml:space="preserve"> </w:t>
                          </w:r>
                          <w:r>
                            <w:t>–</w:t>
                          </w:r>
                          <w:r>
                            <w:rPr>
                              <w:spacing w:val="-6"/>
                            </w:rPr>
                            <w:t xml:space="preserve"> </w:t>
                          </w:r>
                          <w:r>
                            <w:t>Summary</w:t>
                          </w:r>
                          <w:r>
                            <w:rPr>
                              <w:spacing w:val="-7"/>
                            </w:rPr>
                            <w:t xml:space="preserve"> </w:t>
                          </w:r>
                          <w:r>
                            <w:t>of</w:t>
                          </w:r>
                          <w:r>
                            <w:rPr>
                              <w:spacing w:val="-6"/>
                            </w:rPr>
                            <w:t xml:space="preserve"> </w:t>
                          </w:r>
                          <w:r>
                            <w:t>Significant</w:t>
                          </w:r>
                          <w:r>
                            <w:rPr>
                              <w:spacing w:val="-8"/>
                            </w:rPr>
                            <w:t xml:space="preserve"> </w:t>
                          </w:r>
                          <w:r>
                            <w:rPr>
                              <w:spacing w:val="-2"/>
                            </w:rPr>
                            <w:t>Changes</w:t>
                          </w:r>
                        </w:p>
                      </w:txbxContent>
                    </wps:txbx>
                    <wps:bodyPr wrap="square" lIns="0" tIns="0" rIns="0" bIns="0" rtlCol="0">
                      <a:noAutofit/>
                    </wps:bodyPr>
                  </wps:wsp>
                </a:graphicData>
              </a:graphic>
            </wp:anchor>
          </w:drawing>
        </mc:Choice>
        <mc:Fallback>
          <w:pict>
            <v:shapetype w14:anchorId="24D62DB0" id="_x0000_t202" coordsize="21600,21600" o:spt="202" path="m,l,21600r21600,l21600,xe">
              <v:stroke joinstyle="miter"/>
              <v:path gradientshapeok="t" o:connecttype="rect"/>
            </v:shapetype>
            <v:shape id="Textbox 30" o:spid="_x0000_s1028" type="#_x0000_t202" style="position:absolute;margin-left:71pt;margin-top:41.6pt;width:335.2pt;height:14.3pt;z-index:-280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" filled="f" stroked="f">
              <v:textbox inset="0,0,0,0">
                <w:txbxContent>
                  <w:p w14:paraId="24D63207" w14:textId="77777777" w:rsidR="00245300" w:rsidRDefault="00F17249">
                    <w:pPr>
                      <w:pStyle w:val="BodyText"/>
                      <w:spacing w:before="12"/>
                      <w:ind w:left="20"/>
                    </w:pPr>
                    <w:r>
                      <w:t>Financial</w:t>
                    </w:r>
                    <w:r>
                      <w:rPr>
                        <w:spacing w:val="-7"/>
                      </w:rPr>
                      <w:t xml:space="preserve"> </w:t>
                    </w:r>
                    <w:r>
                      <w:t>Audit</w:t>
                    </w:r>
                    <w:r>
                      <w:rPr>
                        <w:spacing w:val="-7"/>
                      </w:rPr>
                      <w:t xml:space="preserve"> </w:t>
                    </w:r>
                    <w:r>
                      <w:t>Manual</w:t>
                    </w:r>
                    <w:r>
                      <w:rPr>
                        <w:spacing w:val="-7"/>
                      </w:rPr>
                      <w:t xml:space="preserve"> </w:t>
                    </w:r>
                    <w:r>
                      <w:t>Volume</w:t>
                    </w:r>
                    <w:r>
                      <w:rPr>
                        <w:spacing w:val="-7"/>
                      </w:rPr>
                      <w:t xml:space="preserve"> </w:t>
                    </w:r>
                    <w:r>
                      <w:t>2</w:t>
                    </w:r>
                    <w:r>
                      <w:rPr>
                        <w:spacing w:val="-6"/>
                      </w:rPr>
                      <w:t xml:space="preserve"> </w:t>
                    </w:r>
                    <w:r>
                      <w:t>–</w:t>
                    </w:r>
                    <w:r>
                      <w:rPr>
                        <w:spacing w:val="-6"/>
                      </w:rPr>
                      <w:t xml:space="preserve"> </w:t>
                    </w:r>
                    <w:r>
                      <w:t>Summary</w:t>
                    </w:r>
                    <w:r>
                      <w:rPr>
                        <w:spacing w:val="-7"/>
                      </w:rPr>
                      <w:t xml:space="preserve"> </w:t>
                    </w:r>
                    <w:r>
                      <w:t>of</w:t>
                    </w:r>
                    <w:r>
                      <w:rPr>
                        <w:spacing w:val="-6"/>
                      </w:rPr>
                      <w:t xml:space="preserve"> </w:t>
                    </w:r>
                    <w:r>
                      <w:t>Significant</w:t>
                    </w:r>
                    <w:r>
                      <w:rPr>
                        <w:spacing w:val="-8"/>
                      </w:rPr>
                      <w:t xml:space="preserve"> </w:t>
                    </w:r>
                    <w:r>
                      <w:rPr>
                        <w:spacing w:val="-2"/>
                      </w:rPr>
                      <w:t>Changes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4" w14:textId="77777777" w:rsidR="00245300" w:rsidRDefault="00F17249">
    <w:pPr>
      <w:pStyle w:val="BodyText"/>
      <w:spacing w:line="14" w:lineRule="auto"/>
      <w:rPr>
        <w:sz w:val="20"/>
      </w:rPr>
    </w:pPr>
    <w:r>
      <w:rPr>
        <w:noProof/>
      </w:rPr>
      <mc:AlternateContent>
        <mc:Choice Requires="wps">
          <w:drawing>
            <wp:anchor distT="0" distB="0" distL="0" distR="0" simplePos="0" relativeHeight="475266560" behindDoc="1" locked="0" layoutInCell="1" allowOverlap="1" wp14:anchorId="24D62E0E" wp14:editId="24D62E0F">
              <wp:simplePos x="0" y="0"/>
              <wp:positionH relativeFrom="page">
                <wp:posOffset>895350</wp:posOffset>
              </wp:positionH>
              <wp:positionV relativeFrom="page">
                <wp:posOffset>457962</wp:posOffset>
              </wp:positionV>
              <wp:extent cx="5981700" cy="285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342D47" id="Graphic 92" o:spid="_x0000_s1026" style="position:absolute;margin-left:70.5pt;margin-top:36.05pt;width:471pt;height:2.25pt;z-index:-280499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7072" behindDoc="1" locked="0" layoutInCell="1" allowOverlap="1" wp14:anchorId="24D62E10" wp14:editId="24D62E11">
              <wp:simplePos x="0" y="0"/>
              <wp:positionH relativeFrom="page">
                <wp:posOffset>895350</wp:posOffset>
              </wp:positionH>
              <wp:positionV relativeFrom="page">
                <wp:posOffset>832103</wp:posOffset>
              </wp:positionV>
              <wp:extent cx="5981700" cy="2857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2FDF2" id="Graphic 93" o:spid="_x0000_s1026" style="position:absolute;margin-left:70.5pt;margin-top:65.5pt;width:471pt;height:2.25pt;z-index:-280494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7584" behindDoc="1" locked="0" layoutInCell="1" allowOverlap="1" wp14:anchorId="24D62E12" wp14:editId="24D62E13">
              <wp:simplePos x="0" y="0"/>
              <wp:positionH relativeFrom="page">
                <wp:posOffset>901700</wp:posOffset>
              </wp:positionH>
              <wp:positionV relativeFrom="page">
                <wp:posOffset>490475</wp:posOffset>
              </wp:positionV>
              <wp:extent cx="3185160" cy="3422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160" cy="342265"/>
                      </a:xfrm>
                      <a:prstGeom prst="rect">
                        <a:avLst/>
                      </a:prstGeom>
                    </wps:spPr>
                    <wps:txbx>
                      <w:txbxContent>
                        <w:p w14:paraId="24D63228"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29" w14:textId="77777777" w:rsidR="00245300" w:rsidRDefault="00F17249">
                          <w:pPr>
                            <w:pStyle w:val="BodyText"/>
                            <w:ind w:left="20"/>
                          </w:pPr>
                          <w:r>
                            <w:t>625</w:t>
                          </w:r>
                          <w:r>
                            <w:rPr>
                              <w:spacing w:val="-6"/>
                            </w:rPr>
                            <w:t xml:space="preserve"> </w:t>
                          </w:r>
                          <w:r>
                            <w:t>–</w:t>
                          </w:r>
                          <w:r>
                            <w:rPr>
                              <w:spacing w:val="-5"/>
                            </w:rPr>
                            <w:t xml:space="preserve"> </w:t>
                          </w:r>
                          <w:r>
                            <w:t>Using</w:t>
                          </w:r>
                          <w:r>
                            <w:rPr>
                              <w:spacing w:val="-6"/>
                            </w:rPr>
                            <w:t xml:space="preserve"> </w:t>
                          </w:r>
                          <w:r>
                            <w:t>the</w:t>
                          </w:r>
                          <w:r>
                            <w:rPr>
                              <w:spacing w:val="-6"/>
                            </w:rPr>
                            <w:t xml:space="preserve"> </w:t>
                          </w:r>
                          <w:r>
                            <w:t>Work</w:t>
                          </w:r>
                          <w:r>
                            <w:rPr>
                              <w:spacing w:val="-5"/>
                            </w:rPr>
                            <w:t xml:space="preserve"> </w:t>
                          </w:r>
                          <w:r>
                            <w:t>of</w:t>
                          </w:r>
                          <w:r>
                            <w:rPr>
                              <w:spacing w:val="-6"/>
                            </w:rPr>
                            <w:t xml:space="preserve"> </w:t>
                          </w:r>
                          <w:r>
                            <w:t>Management’s</w:t>
                          </w:r>
                          <w:r>
                            <w:rPr>
                              <w:spacing w:val="-5"/>
                            </w:rPr>
                            <w:t xml:space="preserve"> </w:t>
                          </w:r>
                          <w:r>
                            <w:rPr>
                              <w:spacing w:val="-2"/>
                            </w:rPr>
                            <w:t>Specialists</w:t>
                          </w:r>
                        </w:p>
                      </w:txbxContent>
                    </wps:txbx>
                    <wps:bodyPr wrap="square" lIns="0" tIns="0" rIns="0" bIns="0" rtlCol="0">
                      <a:noAutofit/>
                    </wps:bodyPr>
                  </wps:wsp>
                </a:graphicData>
              </a:graphic>
            </wp:anchor>
          </w:drawing>
        </mc:Choice>
        <mc:Fallback>
          <w:pict>
            <v:shapetype w14:anchorId="24D62E12" id="_x0000_t202" coordsize="21600,21600" o:spt="202" path="m,l,21600r21600,l21600,xe">
              <v:stroke joinstyle="miter"/>
              <v:path gradientshapeok="t" o:connecttype="rect"/>
            </v:shapetype>
            <v:shape id="Textbox 94" o:spid="_x0000_s1056" type="#_x0000_t202" style="position:absolute;margin-left:71pt;margin-top:38.6pt;width:250.8pt;height:26.95pt;z-index:-280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" filled="f" stroked="f">
              <v:textbox inset="0,0,0,0">
                <w:txbxContent>
                  <w:p w14:paraId="24D63228"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29" w14:textId="77777777" w:rsidR="00245300" w:rsidRDefault="00F17249">
                    <w:pPr>
                      <w:pStyle w:val="BodyText"/>
                      <w:ind w:left="20"/>
                    </w:pPr>
                    <w:r>
                      <w:t>625</w:t>
                    </w:r>
                    <w:r>
                      <w:rPr>
                        <w:spacing w:val="-6"/>
                      </w:rPr>
                      <w:t xml:space="preserve"> </w:t>
                    </w:r>
                    <w:r>
                      <w:t>–</w:t>
                    </w:r>
                    <w:r>
                      <w:rPr>
                        <w:spacing w:val="-5"/>
                      </w:rPr>
                      <w:t xml:space="preserve"> </w:t>
                    </w:r>
                    <w:r>
                      <w:t>Using</w:t>
                    </w:r>
                    <w:r>
                      <w:rPr>
                        <w:spacing w:val="-6"/>
                      </w:rPr>
                      <w:t xml:space="preserve"> </w:t>
                    </w:r>
                    <w:r>
                      <w:t>the</w:t>
                    </w:r>
                    <w:r>
                      <w:rPr>
                        <w:spacing w:val="-6"/>
                      </w:rPr>
                      <w:t xml:space="preserve"> </w:t>
                    </w:r>
                    <w:r>
                      <w:t>Work</w:t>
                    </w:r>
                    <w:r>
                      <w:rPr>
                        <w:spacing w:val="-5"/>
                      </w:rPr>
                      <w:t xml:space="preserve"> </w:t>
                    </w:r>
                    <w:r>
                      <w:t>of</w:t>
                    </w:r>
                    <w:r>
                      <w:rPr>
                        <w:spacing w:val="-6"/>
                      </w:rPr>
                      <w:t xml:space="preserve"> </w:t>
                    </w:r>
                    <w:r>
                      <w:t>Management’s</w:t>
                    </w:r>
                    <w:r>
                      <w:rPr>
                        <w:spacing w:val="-5"/>
                      </w:rPr>
                      <w:t xml:space="preserve"> </w:t>
                    </w:r>
                    <w:r>
                      <w:rPr>
                        <w:spacing w:val="-2"/>
                      </w:rPr>
                      <w:t>Specialists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6" w14:textId="77777777" w:rsidR="00245300" w:rsidRDefault="00F17249">
    <w:pPr>
      <w:pStyle w:val="BodyText"/>
      <w:spacing w:line="14" w:lineRule="auto"/>
      <w:rPr>
        <w:sz w:val="20"/>
      </w:rPr>
    </w:pPr>
    <w:r>
      <w:rPr>
        <w:noProof/>
      </w:rPr>
      <mc:AlternateContent>
        <mc:Choice Requires="wps">
          <w:drawing>
            <wp:anchor distT="0" distB="0" distL="0" distR="0" simplePos="0" relativeHeight="475270144" behindDoc="1" locked="0" layoutInCell="1" allowOverlap="1" wp14:anchorId="24D62E1C" wp14:editId="24D62E1D">
              <wp:simplePos x="0" y="0"/>
              <wp:positionH relativeFrom="page">
                <wp:posOffset>895350</wp:posOffset>
              </wp:positionH>
              <wp:positionV relativeFrom="page">
                <wp:posOffset>457962</wp:posOffset>
              </wp:positionV>
              <wp:extent cx="5981700" cy="2857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5F4CB7" id="Graphic 100" o:spid="_x0000_s1026" style="position:absolute;margin-left:70.5pt;margin-top:36.05pt;width:471pt;height:2.25pt;z-index:-280463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0656" behindDoc="1" locked="0" layoutInCell="1" allowOverlap="1" wp14:anchorId="24D62E1E" wp14:editId="24D62E1F">
              <wp:simplePos x="0" y="0"/>
              <wp:positionH relativeFrom="page">
                <wp:posOffset>895350</wp:posOffset>
              </wp:positionH>
              <wp:positionV relativeFrom="page">
                <wp:posOffset>832103</wp:posOffset>
              </wp:positionV>
              <wp:extent cx="5981700" cy="2857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A212F" id="Graphic 101" o:spid="_x0000_s1026" style="position:absolute;margin-left:70.5pt;margin-top:65.5pt;width:471pt;height:2.25pt;z-index:-280458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1168" behindDoc="1" locked="0" layoutInCell="1" allowOverlap="1" wp14:anchorId="24D62E20" wp14:editId="24D62E21">
              <wp:simplePos x="0" y="0"/>
              <wp:positionH relativeFrom="page">
                <wp:posOffset>901700</wp:posOffset>
              </wp:positionH>
              <wp:positionV relativeFrom="page">
                <wp:posOffset>490475</wp:posOffset>
              </wp:positionV>
              <wp:extent cx="2727325" cy="34226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342265"/>
                      </a:xfrm>
                      <a:prstGeom prst="rect">
                        <a:avLst/>
                      </a:prstGeom>
                    </wps:spPr>
                    <wps:txbx>
                      <w:txbxContent>
                        <w:p w14:paraId="24D6322D"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2E" w14:textId="77777777" w:rsidR="00245300" w:rsidRDefault="00F17249">
                          <w:pPr>
                            <w:pStyle w:val="BodyText"/>
                            <w:ind w:left="20"/>
                          </w:pPr>
                          <w:r>
                            <w:t>630</w:t>
                          </w:r>
                          <w:r>
                            <w:rPr>
                              <w:spacing w:val="-5"/>
                            </w:rPr>
                            <w:t xml:space="preserve"> </w:t>
                          </w:r>
                          <w:r>
                            <w:t>–</w:t>
                          </w:r>
                          <w:r>
                            <w:rPr>
                              <w:spacing w:val="-5"/>
                            </w:rPr>
                            <w:t xml:space="preserve"> </w:t>
                          </w:r>
                          <w:r>
                            <w:t>Audits</w:t>
                          </w:r>
                          <w:r>
                            <w:rPr>
                              <w:spacing w:val="-6"/>
                            </w:rPr>
                            <w:t xml:space="preserve"> </w:t>
                          </w:r>
                          <w:r>
                            <w:t>of</w:t>
                          </w:r>
                          <w:r>
                            <w:rPr>
                              <w:spacing w:val="-5"/>
                            </w:rPr>
                            <w:t xml:space="preserve"> </w:t>
                          </w:r>
                          <w:r>
                            <w:t>Group</w:t>
                          </w:r>
                          <w:r>
                            <w:rPr>
                              <w:spacing w:val="-4"/>
                            </w:rPr>
                            <w:t xml:space="preserve"> </w:t>
                          </w:r>
                          <w:r>
                            <w:t>Financial</w:t>
                          </w:r>
                          <w:r>
                            <w:rPr>
                              <w:spacing w:val="-5"/>
                            </w:rPr>
                            <w:t xml:space="preserve"> </w:t>
                          </w:r>
                          <w:r>
                            <w:rPr>
                              <w:spacing w:val="-2"/>
                            </w:rPr>
                            <w:t>Statements</w:t>
                          </w:r>
                        </w:p>
                      </w:txbxContent>
                    </wps:txbx>
                    <wps:bodyPr wrap="square" lIns="0" tIns="0" rIns="0" bIns="0" rtlCol="0">
                      <a:noAutofit/>
                    </wps:bodyPr>
                  </wps:wsp>
                </a:graphicData>
              </a:graphic>
            </wp:anchor>
          </w:drawing>
        </mc:Choice>
        <mc:Fallback>
          <w:pict>
            <v:shapetype w14:anchorId="24D62E20" id="_x0000_t202" coordsize="21600,21600" o:spt="202" path="m,l,21600r21600,l21600,xe">
              <v:stroke joinstyle="miter"/>
              <v:path gradientshapeok="t" o:connecttype="rect"/>
            </v:shapetype>
            <v:shape id="Textbox 102" o:spid="_x0000_s1060" type="#_x0000_t202" style="position:absolute;margin-left:71pt;margin-top:38.6pt;width:214.75pt;height:26.95pt;z-index:-280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" filled="f" stroked="f">
              <v:textbox inset="0,0,0,0">
                <w:txbxContent>
                  <w:p w14:paraId="24D6322D"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2E" w14:textId="77777777" w:rsidR="00245300" w:rsidRDefault="00F17249">
                    <w:pPr>
                      <w:pStyle w:val="BodyText"/>
                      <w:ind w:left="20"/>
                    </w:pPr>
                    <w:r>
                      <w:t>630</w:t>
                    </w:r>
                    <w:r>
                      <w:rPr>
                        <w:spacing w:val="-5"/>
                      </w:rPr>
                      <w:t xml:space="preserve"> </w:t>
                    </w:r>
                    <w:r>
                      <w:t>–</w:t>
                    </w:r>
                    <w:r>
                      <w:rPr>
                        <w:spacing w:val="-5"/>
                      </w:rPr>
                      <w:t xml:space="preserve"> </w:t>
                    </w:r>
                    <w:r>
                      <w:t>Audits</w:t>
                    </w:r>
                    <w:r>
                      <w:rPr>
                        <w:spacing w:val="-6"/>
                      </w:rPr>
                      <w:t xml:space="preserve"> </w:t>
                    </w:r>
                    <w:r>
                      <w:t>of</w:t>
                    </w:r>
                    <w:r>
                      <w:rPr>
                        <w:spacing w:val="-5"/>
                      </w:rPr>
                      <w:t xml:space="preserve"> </w:t>
                    </w:r>
                    <w:r>
                      <w:t>Group</w:t>
                    </w:r>
                    <w:r>
                      <w:rPr>
                        <w:spacing w:val="-4"/>
                      </w:rPr>
                      <w:t xml:space="preserve"> </w:t>
                    </w:r>
                    <w:r>
                      <w:t>Financial</w:t>
                    </w:r>
                    <w:r>
                      <w:rPr>
                        <w:spacing w:val="-5"/>
                      </w:rPr>
                      <w:t xml:space="preserve"> </w:t>
                    </w:r>
                    <w:r>
                      <w:rPr>
                        <w:spacing w:val="-2"/>
                      </w:rPr>
                      <w:t>Statements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8" w14:textId="77777777" w:rsidR="00245300" w:rsidRDefault="00F17249">
    <w:pPr>
      <w:pStyle w:val="BodyText"/>
      <w:spacing w:line="14" w:lineRule="auto"/>
      <w:rPr>
        <w:sz w:val="20"/>
      </w:rPr>
    </w:pPr>
    <w:r>
      <w:rPr>
        <w:noProof/>
      </w:rPr>
      <mc:AlternateContent>
        <mc:Choice Requires="wps">
          <w:drawing>
            <wp:anchor distT="0" distB="0" distL="0" distR="0" simplePos="0" relativeHeight="475273728" behindDoc="1" locked="0" layoutInCell="1" allowOverlap="1" wp14:anchorId="24D62E2A" wp14:editId="24D62E2B">
              <wp:simplePos x="0" y="0"/>
              <wp:positionH relativeFrom="page">
                <wp:posOffset>895350</wp:posOffset>
              </wp:positionH>
              <wp:positionV relativeFrom="page">
                <wp:posOffset>457962</wp:posOffset>
              </wp:positionV>
              <wp:extent cx="5981700" cy="2857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39599" id="Graphic 110" o:spid="_x0000_s1026" style="position:absolute;margin-left:70.5pt;margin-top:36.05pt;width:471pt;height:2.25pt;z-index:-280427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4240" behindDoc="1" locked="0" layoutInCell="1" allowOverlap="1" wp14:anchorId="24D62E2C" wp14:editId="24D62E2D">
              <wp:simplePos x="0" y="0"/>
              <wp:positionH relativeFrom="page">
                <wp:posOffset>895350</wp:posOffset>
              </wp:positionH>
              <wp:positionV relativeFrom="page">
                <wp:posOffset>832103</wp:posOffset>
              </wp:positionV>
              <wp:extent cx="5981700" cy="2857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28E61" id="Graphic 111" o:spid="_x0000_s1026" style="position:absolute;margin-left:70.5pt;margin-top:65.5pt;width:471pt;height:2.25pt;z-index:-280422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4752" behindDoc="1" locked="0" layoutInCell="1" allowOverlap="1" wp14:anchorId="24D62E2E" wp14:editId="24D62E2F">
              <wp:simplePos x="0" y="0"/>
              <wp:positionH relativeFrom="page">
                <wp:posOffset>901700</wp:posOffset>
              </wp:positionH>
              <wp:positionV relativeFrom="page">
                <wp:posOffset>490475</wp:posOffset>
              </wp:positionV>
              <wp:extent cx="2720975" cy="3422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975" cy="342265"/>
                      </a:xfrm>
                      <a:prstGeom prst="rect">
                        <a:avLst/>
                      </a:prstGeom>
                    </wps:spPr>
                    <wps:txbx>
                      <w:txbxContent>
                        <w:p w14:paraId="24D63232"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33" w14:textId="77777777" w:rsidR="00245300" w:rsidRDefault="00F17249">
                          <w:pPr>
                            <w:pStyle w:val="BodyText"/>
                            <w:ind w:left="20"/>
                          </w:pPr>
                          <w:r>
                            <w:t>640</w:t>
                          </w:r>
                          <w:r>
                            <w:rPr>
                              <w:spacing w:val="-6"/>
                            </w:rPr>
                            <w:t xml:space="preserve"> </w:t>
                          </w:r>
                          <w:r>
                            <w:t>–</w:t>
                          </w:r>
                          <w:r>
                            <w:rPr>
                              <w:spacing w:val="-5"/>
                            </w:rPr>
                            <w:t xml:space="preserve"> </w:t>
                          </w:r>
                          <w:r>
                            <w:t>Entities</w:t>
                          </w:r>
                          <w:r>
                            <w:rPr>
                              <w:spacing w:val="-5"/>
                            </w:rPr>
                            <w:t xml:space="preserve"> </w:t>
                          </w:r>
                          <w:r>
                            <w:t>Using</w:t>
                          </w:r>
                          <w:r>
                            <w:rPr>
                              <w:spacing w:val="-5"/>
                            </w:rPr>
                            <w:t xml:space="preserve"> </w:t>
                          </w:r>
                          <w:r>
                            <w:t>a</w:t>
                          </w:r>
                          <w:r>
                            <w:rPr>
                              <w:spacing w:val="-6"/>
                            </w:rPr>
                            <w:t xml:space="preserve"> </w:t>
                          </w:r>
                          <w:r>
                            <w:t>Service</w:t>
                          </w:r>
                          <w:r>
                            <w:rPr>
                              <w:spacing w:val="-5"/>
                            </w:rPr>
                            <w:t xml:space="preserve"> </w:t>
                          </w:r>
                          <w:r>
                            <w:rPr>
                              <w:spacing w:val="-2"/>
                            </w:rPr>
                            <w:t>Organization</w:t>
                          </w:r>
                        </w:p>
                      </w:txbxContent>
                    </wps:txbx>
                    <wps:bodyPr wrap="square" lIns="0" tIns="0" rIns="0" bIns="0" rtlCol="0">
                      <a:noAutofit/>
                    </wps:bodyPr>
                  </wps:wsp>
                </a:graphicData>
              </a:graphic>
            </wp:anchor>
          </w:drawing>
        </mc:Choice>
        <mc:Fallback>
          <w:pict>
            <v:shapetype w14:anchorId="24D62E2E" id="_x0000_t202" coordsize="21600,21600" o:spt="202" path="m,l,21600r21600,l21600,xe">
              <v:stroke joinstyle="miter"/>
              <v:path gradientshapeok="t" o:connecttype="rect"/>
            </v:shapetype>
            <v:shape id="Textbox 112" o:spid="_x0000_s1064" type="#_x0000_t202" style="position:absolute;margin-left:71pt;margin-top:38.6pt;width:214.25pt;height:26.95pt;z-index:-280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" filled="f" stroked="f">
              <v:textbox inset="0,0,0,0">
                <w:txbxContent>
                  <w:p w14:paraId="24D63232"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33" w14:textId="77777777" w:rsidR="00245300" w:rsidRDefault="00F17249">
                    <w:pPr>
                      <w:pStyle w:val="BodyText"/>
                      <w:ind w:left="20"/>
                    </w:pPr>
                    <w:r>
                      <w:t>640</w:t>
                    </w:r>
                    <w:r>
                      <w:rPr>
                        <w:spacing w:val="-6"/>
                      </w:rPr>
                      <w:t xml:space="preserve"> </w:t>
                    </w:r>
                    <w:r>
                      <w:t>–</w:t>
                    </w:r>
                    <w:r>
                      <w:rPr>
                        <w:spacing w:val="-5"/>
                      </w:rPr>
                      <w:t xml:space="preserve"> </w:t>
                    </w:r>
                    <w:r>
                      <w:t>Entities</w:t>
                    </w:r>
                    <w:r>
                      <w:rPr>
                        <w:spacing w:val="-5"/>
                      </w:rPr>
                      <w:t xml:space="preserve"> </w:t>
                    </w:r>
                    <w:r>
                      <w:t>Using</w:t>
                    </w:r>
                    <w:r>
                      <w:rPr>
                        <w:spacing w:val="-5"/>
                      </w:rPr>
                      <w:t xml:space="preserve"> </w:t>
                    </w:r>
                    <w:r>
                      <w:t>a</w:t>
                    </w:r>
                    <w:r>
                      <w:rPr>
                        <w:spacing w:val="-6"/>
                      </w:rPr>
                      <w:t xml:space="preserve"> </w:t>
                    </w:r>
                    <w:r>
                      <w:t>Service</w:t>
                    </w:r>
                    <w:r>
                      <w:rPr>
                        <w:spacing w:val="-5"/>
                      </w:rPr>
                      <w:t xml:space="preserve"> </w:t>
                    </w:r>
                    <w:r>
                      <w:rPr>
                        <w:spacing w:val="-2"/>
                      </w:rPr>
                      <w:t>Organization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A" w14:textId="77777777" w:rsidR="00245300" w:rsidRDefault="00F17249">
    <w:pPr>
      <w:pStyle w:val="BodyText"/>
      <w:spacing w:line="14" w:lineRule="auto"/>
      <w:rPr>
        <w:sz w:val="20"/>
      </w:rPr>
    </w:pPr>
    <w:r>
      <w:rPr>
        <w:noProof/>
      </w:rPr>
      <mc:AlternateContent>
        <mc:Choice Requires="wps">
          <w:drawing>
            <wp:anchor distT="0" distB="0" distL="0" distR="0" simplePos="0" relativeHeight="475277312" behindDoc="1" locked="0" layoutInCell="1" allowOverlap="1" wp14:anchorId="24D62E38" wp14:editId="24D62E39">
              <wp:simplePos x="0" y="0"/>
              <wp:positionH relativeFrom="page">
                <wp:posOffset>895350</wp:posOffset>
              </wp:positionH>
              <wp:positionV relativeFrom="page">
                <wp:posOffset>457962</wp:posOffset>
              </wp:positionV>
              <wp:extent cx="5981700" cy="2857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516A6C" id="Graphic 120" o:spid="_x0000_s1026" style="position:absolute;margin-left:70.5pt;margin-top:36.05pt;width:471pt;height:2.25pt;z-index:-280391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7824" behindDoc="1" locked="0" layoutInCell="1" allowOverlap="1" wp14:anchorId="24D62E3A" wp14:editId="24D62E3B">
              <wp:simplePos x="0" y="0"/>
              <wp:positionH relativeFrom="page">
                <wp:posOffset>895350</wp:posOffset>
              </wp:positionH>
              <wp:positionV relativeFrom="page">
                <wp:posOffset>832103</wp:posOffset>
              </wp:positionV>
              <wp:extent cx="5981700" cy="2857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6EAB7" id="Graphic 121" o:spid="_x0000_s1026" style="position:absolute;margin-left:70.5pt;margin-top:65.5pt;width:471pt;height:2.25pt;z-index:-280386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78336" behindDoc="1" locked="0" layoutInCell="1" allowOverlap="1" wp14:anchorId="24D62E3C" wp14:editId="24D62E3D">
              <wp:simplePos x="0" y="0"/>
              <wp:positionH relativeFrom="page">
                <wp:posOffset>901700</wp:posOffset>
              </wp:positionH>
              <wp:positionV relativeFrom="page">
                <wp:posOffset>490475</wp:posOffset>
              </wp:positionV>
              <wp:extent cx="3877310" cy="3422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7310" cy="342265"/>
                      </a:xfrm>
                      <a:prstGeom prst="rect">
                        <a:avLst/>
                      </a:prstGeom>
                    </wps:spPr>
                    <wps:txbx>
                      <w:txbxContent>
                        <w:p w14:paraId="24D63237"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38" w14:textId="77777777" w:rsidR="00245300" w:rsidRDefault="00F17249">
                          <w:pPr>
                            <w:pStyle w:val="BodyText"/>
                            <w:ind w:left="20"/>
                          </w:pPr>
                          <w:r>
                            <w:t>640</w:t>
                          </w:r>
                          <w:r>
                            <w:rPr>
                              <w:spacing w:val="-7"/>
                            </w:rPr>
                            <w:t xml:space="preserve"> </w:t>
                          </w:r>
                          <w:r>
                            <w:t>A</w:t>
                          </w:r>
                          <w:r>
                            <w:rPr>
                              <w:spacing w:val="-7"/>
                            </w:rPr>
                            <w:t xml:space="preserve"> </w:t>
                          </w:r>
                          <w:r>
                            <w:t>–</w:t>
                          </w:r>
                          <w:r>
                            <w:rPr>
                              <w:spacing w:val="-6"/>
                            </w:rPr>
                            <w:t xml:space="preserve"> </w:t>
                          </w:r>
                          <w:r>
                            <w:t>Service</w:t>
                          </w:r>
                          <w:r>
                            <w:rPr>
                              <w:spacing w:val="-6"/>
                            </w:rPr>
                            <w:t xml:space="preserve"> </w:t>
                          </w:r>
                          <w:r>
                            <w:t>Organization</w:t>
                          </w:r>
                          <w:r>
                            <w:rPr>
                              <w:spacing w:val="-7"/>
                            </w:rPr>
                            <w:t xml:space="preserve"> </w:t>
                          </w:r>
                          <w:r>
                            <w:t>Type</w:t>
                          </w:r>
                          <w:r>
                            <w:rPr>
                              <w:spacing w:val="-6"/>
                            </w:rPr>
                            <w:t xml:space="preserve"> </w:t>
                          </w:r>
                          <w:r>
                            <w:t>2</w:t>
                          </w:r>
                          <w:r>
                            <w:rPr>
                              <w:spacing w:val="-7"/>
                            </w:rPr>
                            <w:t xml:space="preserve"> </w:t>
                          </w:r>
                          <w:r>
                            <w:t>Report</w:t>
                          </w:r>
                          <w:r>
                            <w:rPr>
                              <w:spacing w:val="-6"/>
                            </w:rPr>
                            <w:t xml:space="preserve"> </w:t>
                          </w:r>
                          <w:r>
                            <w:t>Assessment</w:t>
                          </w:r>
                          <w:r>
                            <w:rPr>
                              <w:spacing w:val="-6"/>
                            </w:rPr>
                            <w:t xml:space="preserve"> </w:t>
                          </w:r>
                          <w:r>
                            <w:rPr>
                              <w:spacing w:val="-4"/>
                            </w:rPr>
                            <w:t>Tool</w:t>
                          </w:r>
                        </w:p>
                      </w:txbxContent>
                    </wps:txbx>
                    <wps:bodyPr wrap="square" lIns="0" tIns="0" rIns="0" bIns="0" rtlCol="0">
                      <a:noAutofit/>
                    </wps:bodyPr>
                  </wps:wsp>
                </a:graphicData>
              </a:graphic>
            </wp:anchor>
          </w:drawing>
        </mc:Choice>
        <mc:Fallback>
          <w:pict>
            <v:shapetype w14:anchorId="24D62E3C" id="_x0000_t202" coordsize="21600,21600" o:spt="202" path="m,l,21600r21600,l21600,xe">
              <v:stroke joinstyle="miter"/>
              <v:path gradientshapeok="t" o:connecttype="rect"/>
            </v:shapetype>
            <v:shape id="Textbox 122" o:spid="_x0000_s1068" type="#_x0000_t202" style="position:absolute;margin-left:71pt;margin-top:38.6pt;width:305.3pt;height:26.95pt;z-index:-280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" filled="f" stroked="f">
              <v:textbox inset="0,0,0,0">
                <w:txbxContent>
                  <w:p w14:paraId="24D63237"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38" w14:textId="77777777" w:rsidR="00245300" w:rsidRDefault="00F17249">
                    <w:pPr>
                      <w:pStyle w:val="BodyText"/>
                      <w:ind w:left="20"/>
                    </w:pPr>
                    <w:r>
                      <w:t>640</w:t>
                    </w:r>
                    <w:r>
                      <w:rPr>
                        <w:spacing w:val="-7"/>
                      </w:rPr>
                      <w:t xml:space="preserve"> </w:t>
                    </w:r>
                    <w:r>
                      <w:t>A</w:t>
                    </w:r>
                    <w:r>
                      <w:rPr>
                        <w:spacing w:val="-7"/>
                      </w:rPr>
                      <w:t xml:space="preserve"> </w:t>
                    </w:r>
                    <w:r>
                      <w:t>–</w:t>
                    </w:r>
                    <w:r>
                      <w:rPr>
                        <w:spacing w:val="-6"/>
                      </w:rPr>
                      <w:t xml:space="preserve"> </w:t>
                    </w:r>
                    <w:r>
                      <w:t>Service</w:t>
                    </w:r>
                    <w:r>
                      <w:rPr>
                        <w:spacing w:val="-6"/>
                      </w:rPr>
                      <w:t xml:space="preserve"> </w:t>
                    </w:r>
                    <w:r>
                      <w:t>Organization</w:t>
                    </w:r>
                    <w:r>
                      <w:rPr>
                        <w:spacing w:val="-7"/>
                      </w:rPr>
                      <w:t xml:space="preserve"> </w:t>
                    </w:r>
                    <w:r>
                      <w:t>Type</w:t>
                    </w:r>
                    <w:r>
                      <w:rPr>
                        <w:spacing w:val="-6"/>
                      </w:rPr>
                      <w:t xml:space="preserve"> </w:t>
                    </w:r>
                    <w:r>
                      <w:t>2</w:t>
                    </w:r>
                    <w:r>
                      <w:rPr>
                        <w:spacing w:val="-7"/>
                      </w:rPr>
                      <w:t xml:space="preserve"> </w:t>
                    </w:r>
                    <w:r>
                      <w:t>Report</w:t>
                    </w:r>
                    <w:r>
                      <w:rPr>
                        <w:spacing w:val="-6"/>
                      </w:rPr>
                      <w:t xml:space="preserve"> </w:t>
                    </w:r>
                    <w:r>
                      <w:t>Assessment</w:t>
                    </w:r>
                    <w:r>
                      <w:rPr>
                        <w:spacing w:val="-6"/>
                      </w:rPr>
                      <w:t xml:space="preserve"> </w:t>
                    </w:r>
                    <w:r>
                      <w:rPr>
                        <w:spacing w:val="-4"/>
                      </w:rPr>
                      <w:t>Tool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C" w14:textId="77777777" w:rsidR="00245300" w:rsidRDefault="00F17249">
    <w:pPr>
      <w:pStyle w:val="BodyText"/>
      <w:spacing w:line="14" w:lineRule="auto"/>
      <w:rPr>
        <w:sz w:val="20"/>
      </w:rPr>
    </w:pPr>
    <w:r>
      <w:rPr>
        <w:noProof/>
      </w:rPr>
      <mc:AlternateContent>
        <mc:Choice Requires="wps">
          <w:drawing>
            <wp:anchor distT="0" distB="0" distL="0" distR="0" simplePos="0" relativeHeight="475280896" behindDoc="1" locked="0" layoutInCell="1" allowOverlap="1" wp14:anchorId="24D62E46" wp14:editId="24D62E47">
              <wp:simplePos x="0" y="0"/>
              <wp:positionH relativeFrom="page">
                <wp:posOffset>895350</wp:posOffset>
              </wp:positionH>
              <wp:positionV relativeFrom="page">
                <wp:posOffset>457962</wp:posOffset>
              </wp:positionV>
              <wp:extent cx="5981700" cy="2857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C0D75" id="Graphic 128" o:spid="_x0000_s1026" style="position:absolute;margin-left:70.5pt;margin-top:36.05pt;width:471pt;height:2.25pt;z-index:-280355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1408" behindDoc="1" locked="0" layoutInCell="1" allowOverlap="1" wp14:anchorId="24D62E48" wp14:editId="24D62E49">
              <wp:simplePos x="0" y="0"/>
              <wp:positionH relativeFrom="page">
                <wp:posOffset>895350</wp:posOffset>
              </wp:positionH>
              <wp:positionV relativeFrom="page">
                <wp:posOffset>832103</wp:posOffset>
              </wp:positionV>
              <wp:extent cx="5981700" cy="2857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53C12B" id="Graphic 129" o:spid="_x0000_s1026" style="position:absolute;margin-left:70.5pt;margin-top:65.5pt;width:471pt;height:2.25pt;z-index:-280350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1920" behindDoc="1" locked="0" layoutInCell="1" allowOverlap="1" wp14:anchorId="24D62E4A" wp14:editId="24D62E4B">
              <wp:simplePos x="0" y="0"/>
              <wp:positionH relativeFrom="page">
                <wp:posOffset>901700</wp:posOffset>
              </wp:positionH>
              <wp:positionV relativeFrom="page">
                <wp:posOffset>490475</wp:posOffset>
              </wp:positionV>
              <wp:extent cx="2703830" cy="3422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342265"/>
                      </a:xfrm>
                      <a:prstGeom prst="rect">
                        <a:avLst/>
                      </a:prstGeom>
                    </wps:spPr>
                    <wps:txbx>
                      <w:txbxContent>
                        <w:p w14:paraId="24D6323C"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4"/>
                            </w:rPr>
                            <w:t xml:space="preserve"> </w:t>
                          </w:r>
                          <w:r>
                            <w:t>of</w:t>
                          </w:r>
                          <w:r>
                            <w:rPr>
                              <w:spacing w:val="-4"/>
                            </w:rPr>
                            <w:t xml:space="preserve"> </w:t>
                          </w:r>
                          <w:r>
                            <w:rPr>
                              <w:spacing w:val="-2"/>
                            </w:rPr>
                            <w:t>Others</w:t>
                          </w:r>
                        </w:p>
                        <w:p w14:paraId="24D6323D" w14:textId="77777777" w:rsidR="00245300" w:rsidRDefault="00F17249">
                          <w:pPr>
                            <w:pStyle w:val="BodyText"/>
                            <w:ind w:left="20"/>
                          </w:pPr>
                          <w:r>
                            <w:t>645</w:t>
                          </w:r>
                          <w:r>
                            <w:rPr>
                              <w:spacing w:val="-4"/>
                            </w:rPr>
                            <w:t xml:space="preserve"> </w:t>
                          </w:r>
                          <w:r>
                            <w:t>–</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5"/>
                            </w:rPr>
                            <w:t xml:space="preserve"> </w:t>
                          </w:r>
                          <w:r>
                            <w:t>an</w:t>
                          </w:r>
                          <w:r>
                            <w:rPr>
                              <w:spacing w:val="-4"/>
                            </w:rPr>
                            <w:t xml:space="preserve"> </w:t>
                          </w:r>
                          <w:r>
                            <w:t>Internal</w:t>
                          </w:r>
                          <w:r>
                            <w:rPr>
                              <w:spacing w:val="-5"/>
                            </w:rPr>
                            <w:t xml:space="preserve"> </w:t>
                          </w:r>
                          <w:r>
                            <w:rPr>
                              <w:spacing w:val="-2"/>
                            </w:rPr>
                            <w:t>Auditor</w:t>
                          </w:r>
                        </w:p>
                      </w:txbxContent>
                    </wps:txbx>
                    <wps:bodyPr wrap="square" lIns="0" tIns="0" rIns="0" bIns="0" rtlCol="0">
                      <a:noAutofit/>
                    </wps:bodyPr>
                  </wps:wsp>
                </a:graphicData>
              </a:graphic>
            </wp:anchor>
          </w:drawing>
        </mc:Choice>
        <mc:Fallback>
          <w:pict>
            <v:shapetype w14:anchorId="24D62E4A" id="_x0000_t202" coordsize="21600,21600" o:spt="202" path="m,l,21600r21600,l21600,xe">
              <v:stroke joinstyle="miter"/>
              <v:path gradientshapeok="t" o:connecttype="rect"/>
            </v:shapetype>
            <v:shape id="Textbox 130" o:spid="_x0000_s1072" type="#_x0000_t202" style="position:absolute;margin-left:71pt;margin-top:38.6pt;width:212.9pt;height:26.95pt;z-index:-280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" filled="f" stroked="f">
              <v:textbox inset="0,0,0,0">
                <w:txbxContent>
                  <w:p w14:paraId="24D6323C"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4"/>
                      </w:rPr>
                      <w:t xml:space="preserve"> </w:t>
                    </w:r>
                    <w:r>
                      <w:t>of</w:t>
                    </w:r>
                    <w:r>
                      <w:rPr>
                        <w:spacing w:val="-4"/>
                      </w:rPr>
                      <w:t xml:space="preserve"> </w:t>
                    </w:r>
                    <w:r>
                      <w:rPr>
                        <w:spacing w:val="-2"/>
                      </w:rPr>
                      <w:t>Others</w:t>
                    </w:r>
                  </w:p>
                  <w:p w14:paraId="24D6323D" w14:textId="77777777" w:rsidR="00245300" w:rsidRDefault="00F17249">
                    <w:pPr>
                      <w:pStyle w:val="BodyText"/>
                      <w:ind w:left="20"/>
                    </w:pPr>
                    <w:r>
                      <w:t>645</w:t>
                    </w:r>
                    <w:r>
                      <w:rPr>
                        <w:spacing w:val="-4"/>
                      </w:rPr>
                      <w:t xml:space="preserve"> </w:t>
                    </w:r>
                    <w:r>
                      <w:t>–</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5"/>
                      </w:rPr>
                      <w:t xml:space="preserve"> </w:t>
                    </w:r>
                    <w:r>
                      <w:t>an</w:t>
                    </w:r>
                    <w:r>
                      <w:rPr>
                        <w:spacing w:val="-4"/>
                      </w:rPr>
                      <w:t xml:space="preserve"> </w:t>
                    </w:r>
                    <w:r>
                      <w:t>Internal</w:t>
                    </w:r>
                    <w:r>
                      <w:rPr>
                        <w:spacing w:val="-5"/>
                      </w:rPr>
                      <w:t xml:space="preserve"> </w:t>
                    </w:r>
                    <w:r>
                      <w:rPr>
                        <w:spacing w:val="-2"/>
                      </w:rPr>
                      <w:t>Auditor</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E" w14:textId="77777777" w:rsidR="00245300" w:rsidRDefault="00F17249">
    <w:pPr>
      <w:pStyle w:val="BodyText"/>
      <w:spacing w:line="14" w:lineRule="auto"/>
      <w:rPr>
        <w:sz w:val="20"/>
      </w:rPr>
    </w:pPr>
    <w:r>
      <w:rPr>
        <w:noProof/>
      </w:rPr>
      <mc:AlternateContent>
        <mc:Choice Requires="wps">
          <w:drawing>
            <wp:anchor distT="0" distB="0" distL="0" distR="0" simplePos="0" relativeHeight="475284480" behindDoc="1" locked="0" layoutInCell="1" allowOverlap="1" wp14:anchorId="24D62E54" wp14:editId="24D62E55">
              <wp:simplePos x="0" y="0"/>
              <wp:positionH relativeFrom="page">
                <wp:posOffset>895350</wp:posOffset>
              </wp:positionH>
              <wp:positionV relativeFrom="page">
                <wp:posOffset>457962</wp:posOffset>
              </wp:positionV>
              <wp:extent cx="5981700" cy="2857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F03088" id="Graphic 135" o:spid="_x0000_s1026" style="position:absolute;margin-left:70.5pt;margin-top:36.05pt;width:471pt;height:2.25pt;z-index:-280320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4992" behindDoc="1" locked="0" layoutInCell="1" allowOverlap="1" wp14:anchorId="24D62E56" wp14:editId="24D62E57">
              <wp:simplePos x="0" y="0"/>
              <wp:positionH relativeFrom="page">
                <wp:posOffset>895350</wp:posOffset>
              </wp:positionH>
              <wp:positionV relativeFrom="page">
                <wp:posOffset>992886</wp:posOffset>
              </wp:positionV>
              <wp:extent cx="5981700" cy="2857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BA43EC" id="Graphic 136" o:spid="_x0000_s1026" style="position:absolute;margin-left:70.5pt;margin-top:78.2pt;width:471pt;height:2.25pt;z-index:-280314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5504" behindDoc="1" locked="0" layoutInCell="1" allowOverlap="1" wp14:anchorId="24D62E58" wp14:editId="24D62E59">
              <wp:simplePos x="0" y="0"/>
              <wp:positionH relativeFrom="page">
                <wp:posOffset>901560</wp:posOffset>
              </wp:positionH>
              <wp:positionV relativeFrom="page">
                <wp:posOffset>490475</wp:posOffset>
              </wp:positionV>
              <wp:extent cx="5700395" cy="50292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0395" cy="502920"/>
                      </a:xfrm>
                      <a:prstGeom prst="rect">
                        <a:avLst/>
                      </a:prstGeom>
                    </wps:spPr>
                    <wps:txbx>
                      <w:txbxContent>
                        <w:p w14:paraId="24D63241"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42" w14:textId="77777777" w:rsidR="00245300" w:rsidRDefault="00F17249">
                          <w:pPr>
                            <w:pStyle w:val="BodyText"/>
                            <w:ind w:left="20"/>
                          </w:pPr>
                          <w:r>
                            <w:t>670</w:t>
                          </w:r>
                          <w:r>
                            <w:rPr>
                              <w:spacing w:val="-4"/>
                            </w:rPr>
                            <w:t xml:space="preserve"> </w:t>
                          </w:r>
                          <w:r>
                            <w:t>–</w:t>
                          </w:r>
                          <w:r>
                            <w:rPr>
                              <w:spacing w:val="-4"/>
                            </w:rPr>
                            <w:t xml:space="preserve"> </w:t>
                          </w:r>
                          <w:r>
                            <w:t>IG</w:t>
                          </w:r>
                          <w:r>
                            <w:rPr>
                              <w:spacing w:val="-5"/>
                            </w:rPr>
                            <w:t xml:space="preserve"> </w:t>
                          </w:r>
                          <w:r>
                            <w:t>Oversight</w:t>
                          </w:r>
                          <w:r>
                            <w:rPr>
                              <w:spacing w:val="-4"/>
                            </w:rPr>
                            <w:t xml:space="preserve"> </w:t>
                          </w:r>
                          <w:r>
                            <w:t>of</w:t>
                          </w:r>
                          <w:r>
                            <w:rPr>
                              <w:spacing w:val="-4"/>
                            </w:rPr>
                            <w:t xml:space="preserve"> </w:t>
                          </w:r>
                          <w:r>
                            <w:t>Audits</w:t>
                          </w:r>
                          <w:r>
                            <w:rPr>
                              <w:spacing w:val="-4"/>
                            </w:rPr>
                            <w:t xml:space="preserve"> </w:t>
                          </w:r>
                          <w:r>
                            <w:t>Performed</w:t>
                          </w:r>
                          <w:r>
                            <w:rPr>
                              <w:spacing w:val="-4"/>
                            </w:rPr>
                            <w:t xml:space="preserve"> </w:t>
                          </w:r>
                          <w:r>
                            <w:t>by</w:t>
                          </w:r>
                          <w:r>
                            <w:rPr>
                              <w:spacing w:val="-4"/>
                            </w:rPr>
                            <w:t xml:space="preserve"> </w:t>
                          </w:r>
                          <w:r>
                            <w:t>Contracted</w:t>
                          </w:r>
                          <w:r>
                            <w:rPr>
                              <w:spacing w:val="-4"/>
                            </w:rPr>
                            <w:t xml:space="preserve"> </w:t>
                          </w:r>
                          <w:r>
                            <w:t>Independent</w:t>
                          </w:r>
                          <w:r>
                            <w:rPr>
                              <w:spacing w:val="-4"/>
                            </w:rPr>
                            <w:t xml:space="preserve"> </w:t>
                          </w:r>
                          <w:r>
                            <w:t>Public</w:t>
                          </w:r>
                          <w:r>
                            <w:rPr>
                              <w:spacing w:val="-4"/>
                            </w:rPr>
                            <w:t xml:space="preserve"> </w:t>
                          </w:r>
                          <w:r>
                            <w:t>Accounting</w:t>
                          </w:r>
                          <w:r>
                            <w:rPr>
                              <w:spacing w:val="-4"/>
                            </w:rPr>
                            <w:t xml:space="preserve"> </w:t>
                          </w:r>
                          <w:r>
                            <w:t xml:space="preserve">(IPA) </w:t>
                          </w:r>
                          <w:r>
                            <w:rPr>
                              <w:spacing w:val="-2"/>
                            </w:rPr>
                            <w:t>Firms</w:t>
                          </w:r>
                        </w:p>
                      </w:txbxContent>
                    </wps:txbx>
                    <wps:bodyPr wrap="square" lIns="0" tIns="0" rIns="0" bIns="0" rtlCol="0">
                      <a:noAutofit/>
                    </wps:bodyPr>
                  </wps:wsp>
                </a:graphicData>
              </a:graphic>
            </wp:anchor>
          </w:drawing>
        </mc:Choice>
        <mc:Fallback>
          <w:pict>
            <v:shapetype w14:anchorId="24D62E58" id="_x0000_t202" coordsize="21600,21600" o:spt="202" path="m,l,21600r21600,l21600,xe">
              <v:stroke joinstyle="miter"/>
              <v:path gradientshapeok="t" o:connecttype="rect"/>
            </v:shapetype>
            <v:shape id="Textbox 137" o:spid="_x0000_s1076" type="#_x0000_t202" style="position:absolute;margin-left:71pt;margin-top:38.6pt;width:448.85pt;height:39.6pt;z-index:-280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" filled="f" stroked="f">
              <v:textbox inset="0,0,0,0">
                <w:txbxContent>
                  <w:p w14:paraId="24D63241"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42" w14:textId="77777777" w:rsidR="00245300" w:rsidRDefault="00F17249">
                    <w:pPr>
                      <w:pStyle w:val="BodyText"/>
                      <w:ind w:left="20"/>
                    </w:pPr>
                    <w:r>
                      <w:t>670</w:t>
                    </w:r>
                    <w:r>
                      <w:rPr>
                        <w:spacing w:val="-4"/>
                      </w:rPr>
                      <w:t xml:space="preserve"> </w:t>
                    </w:r>
                    <w:r>
                      <w:t>–</w:t>
                    </w:r>
                    <w:r>
                      <w:rPr>
                        <w:spacing w:val="-4"/>
                      </w:rPr>
                      <w:t xml:space="preserve"> </w:t>
                    </w:r>
                    <w:r>
                      <w:t>IG</w:t>
                    </w:r>
                    <w:r>
                      <w:rPr>
                        <w:spacing w:val="-5"/>
                      </w:rPr>
                      <w:t xml:space="preserve"> </w:t>
                    </w:r>
                    <w:r>
                      <w:t>Oversight</w:t>
                    </w:r>
                    <w:r>
                      <w:rPr>
                        <w:spacing w:val="-4"/>
                      </w:rPr>
                      <w:t xml:space="preserve"> </w:t>
                    </w:r>
                    <w:r>
                      <w:t>of</w:t>
                    </w:r>
                    <w:r>
                      <w:rPr>
                        <w:spacing w:val="-4"/>
                      </w:rPr>
                      <w:t xml:space="preserve"> </w:t>
                    </w:r>
                    <w:r>
                      <w:t>Audits</w:t>
                    </w:r>
                    <w:r>
                      <w:rPr>
                        <w:spacing w:val="-4"/>
                      </w:rPr>
                      <w:t xml:space="preserve"> </w:t>
                    </w:r>
                    <w:r>
                      <w:t>Performed</w:t>
                    </w:r>
                    <w:r>
                      <w:rPr>
                        <w:spacing w:val="-4"/>
                      </w:rPr>
                      <w:t xml:space="preserve"> </w:t>
                    </w:r>
                    <w:r>
                      <w:t>by</w:t>
                    </w:r>
                    <w:r>
                      <w:rPr>
                        <w:spacing w:val="-4"/>
                      </w:rPr>
                      <w:t xml:space="preserve"> </w:t>
                    </w:r>
                    <w:r>
                      <w:t>Contracted</w:t>
                    </w:r>
                    <w:r>
                      <w:rPr>
                        <w:spacing w:val="-4"/>
                      </w:rPr>
                      <w:t xml:space="preserve"> </w:t>
                    </w:r>
                    <w:r>
                      <w:t>Independent</w:t>
                    </w:r>
                    <w:r>
                      <w:rPr>
                        <w:spacing w:val="-4"/>
                      </w:rPr>
                      <w:t xml:space="preserve"> </w:t>
                    </w:r>
                    <w:r>
                      <w:t>Public</w:t>
                    </w:r>
                    <w:r>
                      <w:rPr>
                        <w:spacing w:val="-4"/>
                      </w:rPr>
                      <w:t xml:space="preserve"> </w:t>
                    </w:r>
                    <w:r>
                      <w:t>Accounting</w:t>
                    </w:r>
                    <w:r>
                      <w:rPr>
                        <w:spacing w:val="-4"/>
                      </w:rPr>
                      <w:t xml:space="preserve"> </w:t>
                    </w:r>
                    <w:r>
                      <w:t xml:space="preserve">(IPA) </w:t>
                    </w:r>
                    <w:r>
                      <w:rPr>
                        <w:spacing w:val="-2"/>
                      </w:rPr>
                      <w:t>Firms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0" w14:textId="77777777" w:rsidR="00245300" w:rsidRDefault="00F17249">
    <w:pPr>
      <w:pStyle w:val="BodyText"/>
      <w:spacing w:line="14" w:lineRule="auto"/>
      <w:rPr>
        <w:sz w:val="20"/>
      </w:rPr>
    </w:pPr>
    <w:r>
      <w:rPr>
        <w:noProof/>
      </w:rPr>
      <mc:AlternateContent>
        <mc:Choice Requires="wps">
          <w:drawing>
            <wp:anchor distT="0" distB="0" distL="0" distR="0" simplePos="0" relativeHeight="475288064" behindDoc="1" locked="0" layoutInCell="1" allowOverlap="1" wp14:anchorId="24D62E62" wp14:editId="24D62E63">
              <wp:simplePos x="0" y="0"/>
              <wp:positionH relativeFrom="page">
                <wp:posOffset>895350</wp:posOffset>
              </wp:positionH>
              <wp:positionV relativeFrom="page">
                <wp:posOffset>457962</wp:posOffset>
              </wp:positionV>
              <wp:extent cx="5981700" cy="2857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375B01" id="Graphic 147" o:spid="_x0000_s1026" style="position:absolute;margin-left:70.5pt;margin-top:36.05pt;width:471pt;height:2.25pt;z-index:-280284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8576" behindDoc="1" locked="0" layoutInCell="1" allowOverlap="1" wp14:anchorId="24D62E64" wp14:editId="24D62E65">
              <wp:simplePos x="0" y="0"/>
              <wp:positionH relativeFrom="page">
                <wp:posOffset>895350</wp:posOffset>
              </wp:positionH>
              <wp:positionV relativeFrom="page">
                <wp:posOffset>992886</wp:posOffset>
              </wp:positionV>
              <wp:extent cx="5981700" cy="2857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1AEABB" id="Graphic 148" o:spid="_x0000_s1026" style="position:absolute;margin-left:70.5pt;margin-top:78.2pt;width:471pt;height:2.25pt;z-index:-280279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89088" behindDoc="1" locked="0" layoutInCell="1" allowOverlap="1" wp14:anchorId="24D62E66" wp14:editId="24D62E67">
              <wp:simplePos x="0" y="0"/>
              <wp:positionH relativeFrom="page">
                <wp:posOffset>901560</wp:posOffset>
              </wp:positionH>
              <wp:positionV relativeFrom="page">
                <wp:posOffset>490475</wp:posOffset>
              </wp:positionV>
              <wp:extent cx="5599430" cy="50292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502920"/>
                      </a:xfrm>
                      <a:prstGeom prst="rect">
                        <a:avLst/>
                      </a:prstGeom>
                    </wps:spPr>
                    <wps:txbx>
                      <w:txbxContent>
                        <w:p w14:paraId="24D63246"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4"/>
                            </w:rPr>
                            <w:t xml:space="preserve"> </w:t>
                          </w:r>
                          <w:r>
                            <w:t>of</w:t>
                          </w:r>
                          <w:r>
                            <w:rPr>
                              <w:spacing w:val="-4"/>
                            </w:rPr>
                            <w:t xml:space="preserve"> </w:t>
                          </w:r>
                          <w:r>
                            <w:rPr>
                              <w:spacing w:val="-2"/>
                            </w:rPr>
                            <w:t>Others</w:t>
                          </w:r>
                        </w:p>
                        <w:p w14:paraId="24D63247" w14:textId="77777777" w:rsidR="00245300" w:rsidRDefault="00F17249">
                          <w:pPr>
                            <w:pStyle w:val="BodyText"/>
                            <w:ind w:left="20"/>
                          </w:pPr>
                          <w:r>
                            <w:t>670</w:t>
                          </w:r>
                          <w:r>
                            <w:rPr>
                              <w:spacing w:val="-3"/>
                            </w:rPr>
                            <w:t xml:space="preserve"> </w:t>
                          </w:r>
                          <w:r>
                            <w:t>A</w:t>
                          </w:r>
                          <w:r>
                            <w:rPr>
                              <w:spacing w:val="-4"/>
                            </w:rPr>
                            <w:t xml:space="preserve"> </w:t>
                          </w:r>
                          <w:r>
                            <w:t>–</w:t>
                          </w:r>
                          <w:r>
                            <w:rPr>
                              <w:spacing w:val="-3"/>
                            </w:rPr>
                            <w:t xml:space="preserve"> </w:t>
                          </w:r>
                          <w:r>
                            <w:t>Summary</w:t>
                          </w:r>
                          <w:r>
                            <w:rPr>
                              <w:spacing w:val="-3"/>
                            </w:rPr>
                            <w:t xml:space="preserve"> </w:t>
                          </w:r>
                          <w:r>
                            <w:t>of</w:t>
                          </w:r>
                          <w:r>
                            <w:rPr>
                              <w:spacing w:val="-4"/>
                            </w:rPr>
                            <w:t xml:space="preserve"> </w:t>
                          </w:r>
                          <w:r>
                            <w:t>Procedures</w:t>
                          </w:r>
                          <w:r>
                            <w:rPr>
                              <w:spacing w:val="-3"/>
                            </w:rPr>
                            <w:t xml:space="preserve"> </w:t>
                          </w:r>
                          <w:r>
                            <w:t>and</w:t>
                          </w:r>
                          <w:r>
                            <w:rPr>
                              <w:spacing w:val="-3"/>
                            </w:rPr>
                            <w:t xml:space="preserve"> </w:t>
                          </w:r>
                          <w:r>
                            <w:t>Documentation</w:t>
                          </w:r>
                          <w:r>
                            <w:rPr>
                              <w:spacing w:val="-4"/>
                            </w:rPr>
                            <w:t xml:space="preserve"> </w:t>
                          </w:r>
                          <w:r>
                            <w:t>for</w:t>
                          </w:r>
                          <w:r>
                            <w:rPr>
                              <w:spacing w:val="-3"/>
                            </w:rPr>
                            <w:t xml:space="preserve"> </w:t>
                          </w:r>
                          <w:r>
                            <w:t>Oversight</w:t>
                          </w:r>
                          <w:r>
                            <w:rPr>
                              <w:spacing w:val="-3"/>
                            </w:rPr>
                            <w:t xml:space="preserve"> </w:t>
                          </w:r>
                          <w:r>
                            <w:t>of</w:t>
                          </w:r>
                          <w:r>
                            <w:rPr>
                              <w:spacing w:val="-4"/>
                            </w:rPr>
                            <w:t xml:space="preserve"> </w:t>
                          </w:r>
                          <w:r>
                            <w:t>Audits</w:t>
                          </w:r>
                          <w:r>
                            <w:rPr>
                              <w:spacing w:val="-3"/>
                            </w:rPr>
                            <w:t xml:space="preserve"> </w:t>
                          </w:r>
                          <w:r>
                            <w:t>Performed</w:t>
                          </w:r>
                          <w:r>
                            <w:rPr>
                              <w:spacing w:val="-3"/>
                            </w:rPr>
                            <w:t xml:space="preserve"> </w:t>
                          </w:r>
                          <w:r>
                            <w:t>by Contracted IPA Firms</w:t>
                          </w:r>
                        </w:p>
                      </w:txbxContent>
                    </wps:txbx>
                    <wps:bodyPr wrap="square" lIns="0" tIns="0" rIns="0" bIns="0" rtlCol="0">
                      <a:noAutofit/>
                    </wps:bodyPr>
                  </wps:wsp>
                </a:graphicData>
              </a:graphic>
            </wp:anchor>
          </w:drawing>
        </mc:Choice>
        <mc:Fallback>
          <w:pict>
            <v:shapetype w14:anchorId="24D62E66" id="_x0000_t202" coordsize="21600,21600" o:spt="202" path="m,l,21600r21600,l21600,xe">
              <v:stroke joinstyle="miter"/>
              <v:path gradientshapeok="t" o:connecttype="rect"/>
            </v:shapetype>
            <v:shape id="Textbox 149" o:spid="_x0000_s1080" type="#_x0000_t202" style="position:absolute;margin-left:71pt;margin-top:38.6pt;width:440.9pt;height:39.6pt;z-index:-280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" filled="f" stroked="f">
              <v:textbox inset="0,0,0,0">
                <w:txbxContent>
                  <w:p w14:paraId="24D63246"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4"/>
                      </w:rPr>
                      <w:t xml:space="preserve"> </w:t>
                    </w:r>
                    <w:r>
                      <w:t>of</w:t>
                    </w:r>
                    <w:r>
                      <w:rPr>
                        <w:spacing w:val="-4"/>
                      </w:rPr>
                      <w:t xml:space="preserve"> </w:t>
                    </w:r>
                    <w:r>
                      <w:rPr>
                        <w:spacing w:val="-2"/>
                      </w:rPr>
                      <w:t>Others</w:t>
                    </w:r>
                  </w:p>
                  <w:p w14:paraId="24D63247" w14:textId="77777777" w:rsidR="00245300" w:rsidRDefault="00F17249">
                    <w:pPr>
                      <w:pStyle w:val="BodyText"/>
                      <w:ind w:left="20"/>
                    </w:pPr>
                    <w:r>
                      <w:t>670</w:t>
                    </w:r>
                    <w:r>
                      <w:rPr>
                        <w:spacing w:val="-3"/>
                      </w:rPr>
                      <w:t xml:space="preserve"> </w:t>
                    </w:r>
                    <w:r>
                      <w:t>A</w:t>
                    </w:r>
                    <w:r>
                      <w:rPr>
                        <w:spacing w:val="-4"/>
                      </w:rPr>
                      <w:t xml:space="preserve"> </w:t>
                    </w:r>
                    <w:r>
                      <w:t>–</w:t>
                    </w:r>
                    <w:r>
                      <w:rPr>
                        <w:spacing w:val="-3"/>
                      </w:rPr>
                      <w:t xml:space="preserve"> </w:t>
                    </w:r>
                    <w:r>
                      <w:t>Summary</w:t>
                    </w:r>
                    <w:r>
                      <w:rPr>
                        <w:spacing w:val="-3"/>
                      </w:rPr>
                      <w:t xml:space="preserve"> </w:t>
                    </w:r>
                    <w:r>
                      <w:t>of</w:t>
                    </w:r>
                    <w:r>
                      <w:rPr>
                        <w:spacing w:val="-4"/>
                      </w:rPr>
                      <w:t xml:space="preserve"> </w:t>
                    </w:r>
                    <w:r>
                      <w:t>Procedures</w:t>
                    </w:r>
                    <w:r>
                      <w:rPr>
                        <w:spacing w:val="-3"/>
                      </w:rPr>
                      <w:t xml:space="preserve"> </w:t>
                    </w:r>
                    <w:r>
                      <w:t>and</w:t>
                    </w:r>
                    <w:r>
                      <w:rPr>
                        <w:spacing w:val="-3"/>
                      </w:rPr>
                      <w:t xml:space="preserve"> </w:t>
                    </w:r>
                    <w:r>
                      <w:t>Documentation</w:t>
                    </w:r>
                    <w:r>
                      <w:rPr>
                        <w:spacing w:val="-4"/>
                      </w:rPr>
                      <w:t xml:space="preserve"> </w:t>
                    </w:r>
                    <w:r>
                      <w:t>for</w:t>
                    </w:r>
                    <w:r>
                      <w:rPr>
                        <w:spacing w:val="-3"/>
                      </w:rPr>
                      <w:t xml:space="preserve"> </w:t>
                    </w:r>
                    <w:r>
                      <w:t>Oversight</w:t>
                    </w:r>
                    <w:r>
                      <w:rPr>
                        <w:spacing w:val="-3"/>
                      </w:rPr>
                      <w:t xml:space="preserve"> </w:t>
                    </w:r>
                    <w:r>
                      <w:t>of</w:t>
                    </w:r>
                    <w:r>
                      <w:rPr>
                        <w:spacing w:val="-4"/>
                      </w:rPr>
                      <w:t xml:space="preserve"> </w:t>
                    </w:r>
                    <w:r>
                      <w:t>Audits</w:t>
                    </w:r>
                    <w:r>
                      <w:rPr>
                        <w:spacing w:val="-3"/>
                      </w:rPr>
                      <w:t xml:space="preserve"> </w:t>
                    </w:r>
                    <w:r>
                      <w:t>Performed</w:t>
                    </w:r>
                    <w:r>
                      <w:rPr>
                        <w:spacing w:val="-3"/>
                      </w:rPr>
                      <w:t xml:space="preserve"> </w:t>
                    </w:r>
                    <w:r>
                      <w:t>by Contracted IPA Firms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2" w14:textId="77777777" w:rsidR="00245300" w:rsidRDefault="00F17249">
    <w:pPr>
      <w:pStyle w:val="BodyText"/>
      <w:spacing w:line="14" w:lineRule="auto"/>
      <w:rPr>
        <w:sz w:val="20"/>
      </w:rPr>
    </w:pPr>
    <w:r>
      <w:rPr>
        <w:noProof/>
      </w:rPr>
      <mc:AlternateContent>
        <mc:Choice Requires="wps">
          <w:drawing>
            <wp:anchor distT="0" distB="0" distL="0" distR="0" simplePos="0" relativeHeight="475291648" behindDoc="1" locked="0" layoutInCell="1" allowOverlap="1" wp14:anchorId="24D62E70" wp14:editId="24D62E71">
              <wp:simplePos x="0" y="0"/>
              <wp:positionH relativeFrom="page">
                <wp:posOffset>895350</wp:posOffset>
              </wp:positionH>
              <wp:positionV relativeFrom="page">
                <wp:posOffset>457962</wp:posOffset>
              </wp:positionV>
              <wp:extent cx="5981700" cy="2857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D7E9F" id="Graphic 154" o:spid="_x0000_s1026" style="position:absolute;margin-left:70.5pt;margin-top:36.05pt;width:471pt;height:2.25pt;z-index:-280248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2160" behindDoc="1" locked="0" layoutInCell="1" allowOverlap="1" wp14:anchorId="24D62E72" wp14:editId="24D62E73">
              <wp:simplePos x="0" y="0"/>
              <wp:positionH relativeFrom="page">
                <wp:posOffset>895350</wp:posOffset>
              </wp:positionH>
              <wp:positionV relativeFrom="page">
                <wp:posOffset>992886</wp:posOffset>
              </wp:positionV>
              <wp:extent cx="5981700" cy="2857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CBBD8" id="Graphic 155" o:spid="_x0000_s1026" style="position:absolute;margin-left:70.5pt;margin-top:78.2pt;width:471pt;height:2.25pt;z-index:-280243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2672" behindDoc="1" locked="0" layoutInCell="1" allowOverlap="1" wp14:anchorId="24D62E74" wp14:editId="24D62E75">
              <wp:simplePos x="0" y="0"/>
              <wp:positionH relativeFrom="page">
                <wp:posOffset>901560</wp:posOffset>
              </wp:positionH>
              <wp:positionV relativeFrom="page">
                <wp:posOffset>490475</wp:posOffset>
              </wp:positionV>
              <wp:extent cx="5337175" cy="50292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7175" cy="502920"/>
                      </a:xfrm>
                      <a:prstGeom prst="rect">
                        <a:avLst/>
                      </a:prstGeom>
                    </wps:spPr>
                    <wps:txbx>
                      <w:txbxContent>
                        <w:p w14:paraId="24D6324B"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4C" w14:textId="77777777" w:rsidR="00245300" w:rsidRDefault="00F17249">
                          <w:pPr>
                            <w:pStyle w:val="BodyText"/>
                            <w:ind w:left="20"/>
                          </w:pPr>
                          <w:r>
                            <w:t>670</w:t>
                          </w:r>
                          <w:r>
                            <w:rPr>
                              <w:spacing w:val="-4"/>
                            </w:rPr>
                            <w:t xml:space="preserve"> </w:t>
                          </w:r>
                          <w:r>
                            <w:t>B</w:t>
                          </w:r>
                          <w:r>
                            <w:rPr>
                              <w:spacing w:val="-4"/>
                            </w:rPr>
                            <w:t xml:space="preserve"> </w:t>
                          </w:r>
                          <w:r>
                            <w:t>–</w:t>
                          </w:r>
                          <w:r>
                            <w:rPr>
                              <w:spacing w:val="-4"/>
                            </w:rPr>
                            <w:t xml:space="preserve"> </w:t>
                          </w:r>
                          <w:r>
                            <w:t>Example</w:t>
                          </w:r>
                          <w:r>
                            <w:rPr>
                              <w:spacing w:val="-4"/>
                            </w:rPr>
                            <w:t xml:space="preserve"> </w:t>
                          </w:r>
                          <w:r>
                            <w:t>Transmittal</w:t>
                          </w:r>
                          <w:r>
                            <w:rPr>
                              <w:spacing w:val="-4"/>
                            </w:rPr>
                            <w:t xml:space="preserve"> </w:t>
                          </w:r>
                          <w:r>
                            <w:t>Letter</w:t>
                          </w:r>
                          <w:r>
                            <w:rPr>
                              <w:spacing w:val="-4"/>
                            </w:rPr>
                            <w:t xml:space="preserve"> </w:t>
                          </w:r>
                          <w:r>
                            <w:t>When</w:t>
                          </w:r>
                          <w:r>
                            <w:rPr>
                              <w:spacing w:val="-4"/>
                            </w:rPr>
                            <w:t xml:space="preserve"> </w:t>
                          </w:r>
                          <w:r>
                            <w:t>Providing</w:t>
                          </w:r>
                          <w:r>
                            <w:rPr>
                              <w:spacing w:val="-4"/>
                            </w:rPr>
                            <w:t xml:space="preserve"> </w:t>
                          </w:r>
                          <w:r>
                            <w:t>Oversight</w:t>
                          </w:r>
                          <w:r>
                            <w:rPr>
                              <w:spacing w:val="-4"/>
                            </w:rPr>
                            <w:t xml:space="preserve"> </w:t>
                          </w:r>
                          <w:r>
                            <w:t>of</w:t>
                          </w:r>
                          <w:r>
                            <w:rPr>
                              <w:spacing w:val="-4"/>
                            </w:rPr>
                            <w:t xml:space="preserve"> </w:t>
                          </w:r>
                          <w:r>
                            <w:t>Audits</w:t>
                          </w:r>
                          <w:r>
                            <w:rPr>
                              <w:spacing w:val="-5"/>
                            </w:rPr>
                            <w:t xml:space="preserve"> </w:t>
                          </w:r>
                          <w:r>
                            <w:t>Performed</w:t>
                          </w:r>
                          <w:r>
                            <w:rPr>
                              <w:spacing w:val="-3"/>
                            </w:rPr>
                            <w:t xml:space="preserve"> </w:t>
                          </w:r>
                          <w:r>
                            <w:t>by Contracted IPA Firms</w:t>
                          </w:r>
                        </w:p>
                      </w:txbxContent>
                    </wps:txbx>
                    <wps:bodyPr wrap="square" lIns="0" tIns="0" rIns="0" bIns="0" rtlCol="0">
                      <a:noAutofit/>
                    </wps:bodyPr>
                  </wps:wsp>
                </a:graphicData>
              </a:graphic>
            </wp:anchor>
          </w:drawing>
        </mc:Choice>
        <mc:Fallback>
          <w:pict>
            <v:shapetype w14:anchorId="24D62E74" id="_x0000_t202" coordsize="21600,21600" o:spt="202" path="m,l,21600r21600,l21600,xe">
              <v:stroke joinstyle="miter"/>
              <v:path gradientshapeok="t" o:connecttype="rect"/>
            </v:shapetype>
            <v:shape id="Textbox 156" o:spid="_x0000_s1084" type="#_x0000_t202" style="position:absolute;margin-left:71pt;margin-top:38.6pt;width:420.25pt;height:39.6pt;z-index:-280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" filled="f" stroked="f">
              <v:textbox inset="0,0,0,0">
                <w:txbxContent>
                  <w:p w14:paraId="24D6324B"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4C" w14:textId="77777777" w:rsidR="00245300" w:rsidRDefault="00F17249">
                    <w:pPr>
                      <w:pStyle w:val="BodyText"/>
                      <w:ind w:left="20"/>
                    </w:pPr>
                    <w:r>
                      <w:t>670</w:t>
                    </w:r>
                    <w:r>
                      <w:rPr>
                        <w:spacing w:val="-4"/>
                      </w:rPr>
                      <w:t xml:space="preserve"> </w:t>
                    </w:r>
                    <w:r>
                      <w:t>B</w:t>
                    </w:r>
                    <w:r>
                      <w:rPr>
                        <w:spacing w:val="-4"/>
                      </w:rPr>
                      <w:t xml:space="preserve"> </w:t>
                    </w:r>
                    <w:r>
                      <w:t>–</w:t>
                    </w:r>
                    <w:r>
                      <w:rPr>
                        <w:spacing w:val="-4"/>
                      </w:rPr>
                      <w:t xml:space="preserve"> </w:t>
                    </w:r>
                    <w:r>
                      <w:t>Example</w:t>
                    </w:r>
                    <w:r>
                      <w:rPr>
                        <w:spacing w:val="-4"/>
                      </w:rPr>
                      <w:t xml:space="preserve"> </w:t>
                    </w:r>
                    <w:r>
                      <w:t>Transmittal</w:t>
                    </w:r>
                    <w:r>
                      <w:rPr>
                        <w:spacing w:val="-4"/>
                      </w:rPr>
                      <w:t xml:space="preserve"> </w:t>
                    </w:r>
                    <w:r>
                      <w:t>Letter</w:t>
                    </w:r>
                    <w:r>
                      <w:rPr>
                        <w:spacing w:val="-4"/>
                      </w:rPr>
                      <w:t xml:space="preserve"> </w:t>
                    </w:r>
                    <w:r>
                      <w:t>When</w:t>
                    </w:r>
                    <w:r>
                      <w:rPr>
                        <w:spacing w:val="-4"/>
                      </w:rPr>
                      <w:t xml:space="preserve"> </w:t>
                    </w:r>
                    <w:r>
                      <w:t>Providing</w:t>
                    </w:r>
                    <w:r>
                      <w:rPr>
                        <w:spacing w:val="-4"/>
                      </w:rPr>
                      <w:t xml:space="preserve"> </w:t>
                    </w:r>
                    <w:r>
                      <w:t>Oversight</w:t>
                    </w:r>
                    <w:r>
                      <w:rPr>
                        <w:spacing w:val="-4"/>
                      </w:rPr>
                      <w:t xml:space="preserve"> </w:t>
                    </w:r>
                    <w:r>
                      <w:t>of</w:t>
                    </w:r>
                    <w:r>
                      <w:rPr>
                        <w:spacing w:val="-4"/>
                      </w:rPr>
                      <w:t xml:space="preserve"> </w:t>
                    </w:r>
                    <w:r>
                      <w:t>Audits</w:t>
                    </w:r>
                    <w:r>
                      <w:rPr>
                        <w:spacing w:val="-5"/>
                      </w:rPr>
                      <w:t xml:space="preserve"> </w:t>
                    </w:r>
                    <w:r>
                      <w:t>Performed</w:t>
                    </w:r>
                    <w:r>
                      <w:rPr>
                        <w:spacing w:val="-3"/>
                      </w:rPr>
                      <w:t xml:space="preserve"> </w:t>
                    </w:r>
                    <w:r>
                      <w:t>by Contracted IPA Firms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4" w14:textId="77777777" w:rsidR="00245300" w:rsidRDefault="00245300">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6" w14:textId="77777777" w:rsidR="00245300" w:rsidRDefault="00F17249">
    <w:pPr>
      <w:pStyle w:val="BodyText"/>
      <w:spacing w:line="14" w:lineRule="auto"/>
      <w:rPr>
        <w:sz w:val="20"/>
      </w:rPr>
    </w:pPr>
    <w:r>
      <w:rPr>
        <w:noProof/>
      </w:rPr>
      <mc:AlternateContent>
        <mc:Choice Requires="wps">
          <w:drawing>
            <wp:anchor distT="0" distB="0" distL="0" distR="0" simplePos="0" relativeHeight="475295232" behindDoc="1" locked="0" layoutInCell="1" allowOverlap="1" wp14:anchorId="24D62E7E" wp14:editId="24D62E7F">
              <wp:simplePos x="0" y="0"/>
              <wp:positionH relativeFrom="page">
                <wp:posOffset>895350</wp:posOffset>
              </wp:positionH>
              <wp:positionV relativeFrom="page">
                <wp:posOffset>457962</wp:posOffset>
              </wp:positionV>
              <wp:extent cx="5981700" cy="2857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FA8491" id="Graphic 167" o:spid="_x0000_s1026" style="position:absolute;margin-left:70.5pt;margin-top:36.05pt;width:471pt;height:2.25pt;z-index:-280212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5744" behindDoc="1" locked="0" layoutInCell="1" allowOverlap="1" wp14:anchorId="24D62E80" wp14:editId="24D62E81">
              <wp:simplePos x="0" y="0"/>
              <wp:positionH relativeFrom="page">
                <wp:posOffset>895350</wp:posOffset>
              </wp:positionH>
              <wp:positionV relativeFrom="page">
                <wp:posOffset>832103</wp:posOffset>
              </wp:positionV>
              <wp:extent cx="5981700" cy="2857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E66616" id="Graphic 168" o:spid="_x0000_s1026" style="position:absolute;margin-left:70.5pt;margin-top:65.5pt;width:471pt;height:2.25pt;z-index:-280207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6256" behindDoc="1" locked="0" layoutInCell="1" allowOverlap="1" wp14:anchorId="24D62E82" wp14:editId="24D62E83">
              <wp:simplePos x="0" y="0"/>
              <wp:positionH relativeFrom="page">
                <wp:posOffset>901700</wp:posOffset>
              </wp:positionH>
              <wp:positionV relativeFrom="page">
                <wp:posOffset>490475</wp:posOffset>
              </wp:positionV>
              <wp:extent cx="4754245" cy="3422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245" cy="342265"/>
                      </a:xfrm>
                      <a:prstGeom prst="rect">
                        <a:avLst/>
                      </a:prstGeom>
                    </wps:spPr>
                    <wps:txbx>
                      <w:txbxContent>
                        <w:p w14:paraId="24D63250"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51" w14:textId="77777777" w:rsidR="00245300" w:rsidRDefault="00F17249">
                          <w:pPr>
                            <w:pStyle w:val="BodyText"/>
                            <w:ind w:left="20"/>
                          </w:pPr>
                          <w:r>
                            <w:t>700</w:t>
                          </w:r>
                          <w:r>
                            <w:rPr>
                              <w:spacing w:val="-8"/>
                            </w:rPr>
                            <w:t xml:space="preserve"> </w:t>
                          </w:r>
                          <w:r>
                            <w:t>–</w:t>
                          </w:r>
                          <w:r>
                            <w:rPr>
                              <w:spacing w:val="-7"/>
                            </w:rPr>
                            <w:t xml:space="preserve"> </w:t>
                          </w:r>
                          <w:r>
                            <w:t>Contents</w:t>
                          </w:r>
                          <w:r>
                            <w:rPr>
                              <w:spacing w:val="-7"/>
                            </w:rPr>
                            <w:t xml:space="preserve"> </w:t>
                          </w:r>
                          <w:r>
                            <w:t>of</w:t>
                          </w:r>
                          <w:r>
                            <w:rPr>
                              <w:spacing w:val="-8"/>
                            </w:rPr>
                            <w:t xml:space="preserve"> </w:t>
                          </w:r>
                          <w:r>
                            <w:t>FFMIA</w:t>
                          </w:r>
                          <w:r>
                            <w:rPr>
                              <w:spacing w:val="-7"/>
                            </w:rPr>
                            <w:t xml:space="preserve"> </w:t>
                          </w:r>
                          <w:r>
                            <w:t>Guidance</w:t>
                          </w:r>
                          <w:r>
                            <w:rPr>
                              <w:spacing w:val="-7"/>
                            </w:rPr>
                            <w:t xml:space="preserve"> </w:t>
                          </w:r>
                          <w:r>
                            <w:t>and</w:t>
                          </w:r>
                          <w:r>
                            <w:rPr>
                              <w:spacing w:val="-7"/>
                            </w:rPr>
                            <w:t xml:space="preserve"> </w:t>
                          </w:r>
                          <w:r>
                            <w:t>Agreed-Upon</w:t>
                          </w:r>
                          <w:r>
                            <w:rPr>
                              <w:spacing w:val="-8"/>
                            </w:rPr>
                            <w:t xml:space="preserve"> </w:t>
                          </w:r>
                          <w:r>
                            <w:t>Procedures</w:t>
                          </w:r>
                          <w:r>
                            <w:rPr>
                              <w:spacing w:val="-7"/>
                            </w:rPr>
                            <w:t xml:space="preserve"> </w:t>
                          </w:r>
                          <w:r>
                            <w:rPr>
                              <w:spacing w:val="-2"/>
                            </w:rPr>
                            <w:t>Guidance</w:t>
                          </w:r>
                        </w:p>
                      </w:txbxContent>
                    </wps:txbx>
                    <wps:bodyPr wrap="square" lIns="0" tIns="0" rIns="0" bIns="0" rtlCol="0">
                      <a:noAutofit/>
                    </wps:bodyPr>
                  </wps:wsp>
                </a:graphicData>
              </a:graphic>
            </wp:anchor>
          </w:drawing>
        </mc:Choice>
        <mc:Fallback>
          <w:pict>
            <v:shapetype w14:anchorId="24D62E82" id="_x0000_t202" coordsize="21600,21600" o:spt="202" path="m,l,21600r21600,l21600,xe">
              <v:stroke joinstyle="miter"/>
              <v:path gradientshapeok="t" o:connecttype="rect"/>
            </v:shapetype>
            <v:shape id="Textbox 169" o:spid="_x0000_s1088" type="#_x0000_t202" style="position:absolute;margin-left:71pt;margin-top:38.6pt;width:374.35pt;height:26.95pt;z-index:-280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" filled="f" stroked="f">
              <v:textbox inset="0,0,0,0">
                <w:txbxContent>
                  <w:p w14:paraId="24D63250"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51" w14:textId="77777777" w:rsidR="00245300" w:rsidRDefault="00F17249">
                    <w:pPr>
                      <w:pStyle w:val="BodyText"/>
                      <w:ind w:left="20"/>
                    </w:pPr>
                    <w:r>
                      <w:t>700</w:t>
                    </w:r>
                    <w:r>
                      <w:rPr>
                        <w:spacing w:val="-8"/>
                      </w:rPr>
                      <w:t xml:space="preserve"> </w:t>
                    </w:r>
                    <w:r>
                      <w:t>–</w:t>
                    </w:r>
                    <w:r>
                      <w:rPr>
                        <w:spacing w:val="-7"/>
                      </w:rPr>
                      <w:t xml:space="preserve"> </w:t>
                    </w:r>
                    <w:r>
                      <w:t>Contents</w:t>
                    </w:r>
                    <w:r>
                      <w:rPr>
                        <w:spacing w:val="-7"/>
                      </w:rPr>
                      <w:t xml:space="preserve"> </w:t>
                    </w:r>
                    <w:r>
                      <w:t>of</w:t>
                    </w:r>
                    <w:r>
                      <w:rPr>
                        <w:spacing w:val="-8"/>
                      </w:rPr>
                      <w:t xml:space="preserve"> </w:t>
                    </w:r>
                    <w:r>
                      <w:t>FFMIA</w:t>
                    </w:r>
                    <w:r>
                      <w:rPr>
                        <w:spacing w:val="-7"/>
                      </w:rPr>
                      <w:t xml:space="preserve"> </w:t>
                    </w:r>
                    <w:r>
                      <w:t>Guidance</w:t>
                    </w:r>
                    <w:r>
                      <w:rPr>
                        <w:spacing w:val="-7"/>
                      </w:rPr>
                      <w:t xml:space="preserve"> </w:t>
                    </w:r>
                    <w:r>
                      <w:t>and</w:t>
                    </w:r>
                    <w:r>
                      <w:rPr>
                        <w:spacing w:val="-7"/>
                      </w:rPr>
                      <w:t xml:space="preserve"> </w:t>
                    </w:r>
                    <w:r>
                      <w:t>Agreed-Upon</w:t>
                    </w:r>
                    <w:r>
                      <w:rPr>
                        <w:spacing w:val="-8"/>
                      </w:rPr>
                      <w:t xml:space="preserve"> </w:t>
                    </w:r>
                    <w:r>
                      <w:t>Procedures</w:t>
                    </w:r>
                    <w:r>
                      <w:rPr>
                        <w:spacing w:val="-7"/>
                      </w:rPr>
                      <w:t xml:space="preserve"> </w:t>
                    </w:r>
                    <w:r>
                      <w:rPr>
                        <w:spacing w:val="-2"/>
                      </w:rPr>
                      <w:t>Guidance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4" w14:textId="77777777" w:rsidR="00245300" w:rsidRDefault="00245300">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8" w14:textId="77777777" w:rsidR="00245300" w:rsidRDefault="00F17249">
    <w:pPr>
      <w:pStyle w:val="BodyText"/>
      <w:spacing w:line="14" w:lineRule="auto"/>
      <w:rPr>
        <w:sz w:val="20"/>
      </w:rPr>
    </w:pPr>
    <w:r>
      <w:rPr>
        <w:noProof/>
      </w:rPr>
      <mc:AlternateContent>
        <mc:Choice Requires="wps">
          <w:drawing>
            <wp:anchor distT="0" distB="0" distL="0" distR="0" simplePos="0" relativeHeight="475298816" behindDoc="1" locked="0" layoutInCell="1" allowOverlap="1" wp14:anchorId="24D62E8C" wp14:editId="24D62E8D">
              <wp:simplePos x="0" y="0"/>
              <wp:positionH relativeFrom="page">
                <wp:posOffset>895350</wp:posOffset>
              </wp:positionH>
              <wp:positionV relativeFrom="page">
                <wp:posOffset>457962</wp:posOffset>
              </wp:positionV>
              <wp:extent cx="5981700" cy="2857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D76F2" id="Graphic 174" o:spid="_x0000_s1026" style="position:absolute;margin-left:70.5pt;margin-top:36.05pt;width:471pt;height:2.25pt;z-index:-280176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9328" behindDoc="1" locked="0" layoutInCell="1" allowOverlap="1" wp14:anchorId="24D62E8E" wp14:editId="24D62E8F">
              <wp:simplePos x="0" y="0"/>
              <wp:positionH relativeFrom="page">
                <wp:posOffset>895350</wp:posOffset>
              </wp:positionH>
              <wp:positionV relativeFrom="page">
                <wp:posOffset>832103</wp:posOffset>
              </wp:positionV>
              <wp:extent cx="5981700" cy="285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3CBD5" id="Graphic 175" o:spid="_x0000_s1026" style="position:absolute;margin-left:70.5pt;margin-top:65.5pt;width:471pt;height:2.25pt;z-index:-280171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99840" behindDoc="1" locked="0" layoutInCell="1" allowOverlap="1" wp14:anchorId="24D62E90" wp14:editId="24D62E91">
              <wp:simplePos x="0" y="0"/>
              <wp:positionH relativeFrom="page">
                <wp:posOffset>901700</wp:posOffset>
              </wp:positionH>
              <wp:positionV relativeFrom="page">
                <wp:posOffset>490475</wp:posOffset>
              </wp:positionV>
              <wp:extent cx="4745355" cy="3422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355" cy="342265"/>
                      </a:xfrm>
                      <a:prstGeom prst="rect">
                        <a:avLst/>
                      </a:prstGeom>
                    </wps:spPr>
                    <wps:txbx>
                      <w:txbxContent>
                        <w:p w14:paraId="24D63255"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56" w14:textId="77777777" w:rsidR="00245300" w:rsidRDefault="00F17249">
                          <w:pPr>
                            <w:pStyle w:val="BodyText"/>
                            <w:ind w:left="20"/>
                          </w:pPr>
                          <w:r>
                            <w:t>701</w:t>
                          </w:r>
                          <w:r>
                            <w:rPr>
                              <w:spacing w:val="-9"/>
                            </w:rPr>
                            <w:t xml:space="preserve"> </w:t>
                          </w:r>
                          <w:r>
                            <w:t>–</w:t>
                          </w:r>
                          <w:r>
                            <w:rPr>
                              <w:spacing w:val="-9"/>
                            </w:rPr>
                            <w:t xml:space="preserve"> </w:t>
                          </w:r>
                          <w:r>
                            <w:t>Determining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with</w:t>
                          </w:r>
                          <w:r>
                            <w:rPr>
                              <w:spacing w:val="-9"/>
                            </w:rPr>
                            <w:t xml:space="preserve"> </w:t>
                          </w:r>
                          <w:r>
                            <w:rPr>
                              <w:spacing w:val="-2"/>
                            </w:rPr>
                            <w:t>FFMIA</w:t>
                          </w:r>
                        </w:p>
                      </w:txbxContent>
                    </wps:txbx>
                    <wps:bodyPr wrap="square" lIns="0" tIns="0" rIns="0" bIns="0" rtlCol="0">
                      <a:noAutofit/>
                    </wps:bodyPr>
                  </wps:wsp>
                </a:graphicData>
              </a:graphic>
            </wp:anchor>
          </w:drawing>
        </mc:Choice>
        <mc:Fallback>
          <w:pict>
            <v:shapetype w14:anchorId="24D62E90" id="_x0000_t202" coordsize="21600,21600" o:spt="202" path="m,l,21600r21600,l21600,xe">
              <v:stroke joinstyle="miter"/>
              <v:path gradientshapeok="t" o:connecttype="rect"/>
            </v:shapetype>
            <v:shape id="Textbox 176" o:spid="_x0000_s1092" type="#_x0000_t202" style="position:absolute;margin-left:71pt;margin-top:38.6pt;width:373.65pt;height:26.95pt;z-index:-2801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" filled="f" stroked="f">
              <v:textbox inset="0,0,0,0">
                <w:txbxContent>
                  <w:p w14:paraId="24D63255"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56" w14:textId="77777777" w:rsidR="00245300" w:rsidRDefault="00F17249">
                    <w:pPr>
                      <w:pStyle w:val="BodyText"/>
                      <w:ind w:left="20"/>
                    </w:pPr>
                    <w:r>
                      <w:t>701</w:t>
                    </w:r>
                    <w:r>
                      <w:rPr>
                        <w:spacing w:val="-9"/>
                      </w:rPr>
                      <w:t xml:space="preserve"> </w:t>
                    </w:r>
                    <w:r>
                      <w:t>–</w:t>
                    </w:r>
                    <w:r>
                      <w:rPr>
                        <w:spacing w:val="-9"/>
                      </w:rPr>
                      <w:t xml:space="preserve"> </w:t>
                    </w:r>
                    <w:r>
                      <w:t>Determining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with</w:t>
                    </w:r>
                    <w:r>
                      <w:rPr>
                        <w:spacing w:val="-9"/>
                      </w:rPr>
                      <w:t xml:space="preserve"> </w:t>
                    </w:r>
                    <w:r>
                      <w:rPr>
                        <w:spacing w:val="-2"/>
                      </w:rPr>
                      <w:t>FFMIA</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A" w14:textId="77777777" w:rsidR="00245300" w:rsidRDefault="00F17249">
    <w:pPr>
      <w:pStyle w:val="BodyText"/>
      <w:spacing w:line="14" w:lineRule="auto"/>
      <w:rPr>
        <w:sz w:val="20"/>
      </w:rPr>
    </w:pPr>
    <w:r>
      <w:rPr>
        <w:noProof/>
      </w:rPr>
      <mc:AlternateContent>
        <mc:Choice Requires="wps">
          <w:drawing>
            <wp:anchor distT="0" distB="0" distL="0" distR="0" simplePos="0" relativeHeight="475302400" behindDoc="1" locked="0" layoutInCell="1" allowOverlap="1" wp14:anchorId="24D62E9A" wp14:editId="24D62E9B">
              <wp:simplePos x="0" y="0"/>
              <wp:positionH relativeFrom="page">
                <wp:posOffset>895350</wp:posOffset>
              </wp:positionH>
              <wp:positionV relativeFrom="page">
                <wp:posOffset>457962</wp:posOffset>
              </wp:positionV>
              <wp:extent cx="5981700" cy="2857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70321" id="Graphic 182" o:spid="_x0000_s1026" style="position:absolute;margin-left:70.5pt;margin-top:36.05pt;width:471pt;height:2.25pt;z-index:-280140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02912" behindDoc="1" locked="0" layoutInCell="1" allowOverlap="1" wp14:anchorId="24D62E9C" wp14:editId="24D62E9D">
              <wp:simplePos x="0" y="0"/>
              <wp:positionH relativeFrom="page">
                <wp:posOffset>895350</wp:posOffset>
              </wp:positionH>
              <wp:positionV relativeFrom="page">
                <wp:posOffset>832103</wp:posOffset>
              </wp:positionV>
              <wp:extent cx="5981700" cy="2857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EB055" id="Graphic 183" o:spid="_x0000_s1026" style="position:absolute;margin-left:70.5pt;margin-top:65.5pt;width:471pt;height:2.25pt;z-index:-280135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03424" behindDoc="1" locked="0" layoutInCell="1" allowOverlap="1" wp14:anchorId="24D62E9E" wp14:editId="24D62E9F">
              <wp:simplePos x="0" y="0"/>
              <wp:positionH relativeFrom="page">
                <wp:posOffset>901700</wp:posOffset>
              </wp:positionH>
              <wp:positionV relativeFrom="page">
                <wp:posOffset>490475</wp:posOffset>
              </wp:positionV>
              <wp:extent cx="4745355" cy="3422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5355" cy="342265"/>
                      </a:xfrm>
                      <a:prstGeom prst="rect">
                        <a:avLst/>
                      </a:prstGeom>
                    </wps:spPr>
                    <wps:txbx>
                      <w:txbxContent>
                        <w:p w14:paraId="24D6325A"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5B" w14:textId="77777777" w:rsidR="00245300" w:rsidRDefault="00F17249">
                          <w:pPr>
                            <w:pStyle w:val="BodyText"/>
                            <w:ind w:left="20"/>
                          </w:pPr>
                          <w:r>
                            <w:t>701</w:t>
                          </w:r>
                          <w:r>
                            <w:rPr>
                              <w:spacing w:val="-9"/>
                            </w:rPr>
                            <w:t xml:space="preserve"> </w:t>
                          </w:r>
                          <w:r>
                            <w:t>–</w:t>
                          </w:r>
                          <w:r>
                            <w:rPr>
                              <w:spacing w:val="-9"/>
                            </w:rPr>
                            <w:t xml:space="preserve"> </w:t>
                          </w:r>
                          <w:r>
                            <w:t>Determining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with</w:t>
                          </w:r>
                          <w:r>
                            <w:rPr>
                              <w:spacing w:val="-9"/>
                            </w:rPr>
                            <w:t xml:space="preserve"> </w:t>
                          </w:r>
                          <w:r>
                            <w:rPr>
                              <w:spacing w:val="-2"/>
                            </w:rPr>
                            <w:t>FFMIA</w:t>
                          </w:r>
                        </w:p>
                      </w:txbxContent>
                    </wps:txbx>
                    <wps:bodyPr wrap="square" lIns="0" tIns="0" rIns="0" bIns="0" rtlCol="0">
                      <a:noAutofit/>
                    </wps:bodyPr>
                  </wps:wsp>
                </a:graphicData>
              </a:graphic>
            </wp:anchor>
          </w:drawing>
        </mc:Choice>
        <mc:Fallback>
          <w:pict>
            <v:shapetype w14:anchorId="24D62E9E" id="_x0000_t202" coordsize="21600,21600" o:spt="202" path="m,l,21600r21600,l21600,xe">
              <v:stroke joinstyle="miter"/>
              <v:path gradientshapeok="t" o:connecttype="rect"/>
            </v:shapetype>
            <v:shape id="Textbox 184" o:spid="_x0000_s1096" type="#_x0000_t202" style="position:absolute;margin-left:71pt;margin-top:38.6pt;width:373.65pt;height:26.95pt;z-index:-280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" filled="f" stroked="f">
              <v:textbox inset="0,0,0,0">
                <w:txbxContent>
                  <w:p w14:paraId="24D6325A"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5B" w14:textId="77777777" w:rsidR="00245300" w:rsidRDefault="00F17249">
                    <w:pPr>
                      <w:pStyle w:val="BodyText"/>
                      <w:ind w:left="20"/>
                    </w:pPr>
                    <w:r>
                      <w:t>701</w:t>
                    </w:r>
                    <w:r>
                      <w:rPr>
                        <w:spacing w:val="-9"/>
                      </w:rPr>
                      <w:t xml:space="preserve"> </w:t>
                    </w:r>
                    <w:r>
                      <w:t>–</w:t>
                    </w:r>
                    <w:r>
                      <w:rPr>
                        <w:spacing w:val="-9"/>
                      </w:rPr>
                      <w:t xml:space="preserve"> </w:t>
                    </w:r>
                    <w:r>
                      <w:t>Determining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with</w:t>
                    </w:r>
                    <w:r>
                      <w:rPr>
                        <w:spacing w:val="-9"/>
                      </w:rPr>
                      <w:t xml:space="preserve"> </w:t>
                    </w:r>
                    <w:r>
                      <w:rPr>
                        <w:spacing w:val="-2"/>
                      </w:rPr>
                      <w:t>FFMIA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C" w14:textId="77777777" w:rsidR="00245300" w:rsidRDefault="00F17249">
    <w:pPr>
      <w:pStyle w:val="BodyText"/>
      <w:spacing w:line="14" w:lineRule="auto"/>
      <w:rPr>
        <w:sz w:val="20"/>
      </w:rPr>
    </w:pPr>
    <w:r>
      <w:rPr>
        <w:noProof/>
      </w:rPr>
      <mc:AlternateContent>
        <mc:Choice Requires="wps">
          <w:drawing>
            <wp:anchor distT="0" distB="0" distL="0" distR="0" simplePos="0" relativeHeight="475305984" behindDoc="1" locked="0" layoutInCell="1" allowOverlap="1" wp14:anchorId="24D62EA8" wp14:editId="24D62EA9">
              <wp:simplePos x="0" y="0"/>
              <wp:positionH relativeFrom="page">
                <wp:posOffset>895350</wp:posOffset>
              </wp:positionH>
              <wp:positionV relativeFrom="page">
                <wp:posOffset>457962</wp:posOffset>
              </wp:positionV>
              <wp:extent cx="5981700" cy="2857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4EB3CE" id="Graphic 193" o:spid="_x0000_s1026" style="position:absolute;margin-left:70.5pt;margin-top:36.05pt;width:471pt;height:2.25pt;z-index:-280104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06496" behindDoc="1" locked="0" layoutInCell="1" allowOverlap="1" wp14:anchorId="24D62EAA" wp14:editId="24D62EAB">
              <wp:simplePos x="0" y="0"/>
              <wp:positionH relativeFrom="page">
                <wp:posOffset>895350</wp:posOffset>
              </wp:positionH>
              <wp:positionV relativeFrom="page">
                <wp:posOffset>832103</wp:posOffset>
              </wp:positionV>
              <wp:extent cx="5981700" cy="2857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9E247" id="Graphic 194" o:spid="_x0000_s1026" style="position:absolute;margin-left:70.5pt;margin-top:65.5pt;width:471pt;height:2.25pt;z-index:-280099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07008" behindDoc="1" locked="0" layoutInCell="1" allowOverlap="1" wp14:anchorId="24D62EAC" wp14:editId="24D62EAD">
              <wp:simplePos x="0" y="0"/>
              <wp:positionH relativeFrom="page">
                <wp:posOffset>901700</wp:posOffset>
              </wp:positionH>
              <wp:positionV relativeFrom="page">
                <wp:posOffset>490475</wp:posOffset>
              </wp:positionV>
              <wp:extent cx="5195570" cy="3422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5570" cy="342265"/>
                      </a:xfrm>
                      <a:prstGeom prst="rect">
                        <a:avLst/>
                      </a:prstGeom>
                    </wps:spPr>
                    <wps:txbx>
                      <w:txbxContent>
                        <w:p w14:paraId="24D6325F"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60" w14:textId="77777777" w:rsidR="00245300" w:rsidRDefault="00F17249">
                          <w:pPr>
                            <w:pStyle w:val="BodyText"/>
                            <w:ind w:left="20"/>
                          </w:pPr>
                          <w:r>
                            <w:t>701</w:t>
                          </w:r>
                          <w:r>
                            <w:rPr>
                              <w:spacing w:val="-7"/>
                            </w:rPr>
                            <w:t xml:space="preserve"> </w:t>
                          </w:r>
                          <w:r>
                            <w:t>A</w:t>
                          </w:r>
                          <w:r>
                            <w:rPr>
                              <w:spacing w:val="-6"/>
                            </w:rPr>
                            <w:t xml:space="preserve"> </w:t>
                          </w:r>
                          <w:r>
                            <w:t>–</w:t>
                          </w:r>
                          <w:r>
                            <w:rPr>
                              <w:spacing w:val="-7"/>
                            </w:rPr>
                            <w:t xml:space="preserve"> </w:t>
                          </w:r>
                          <w:r>
                            <w:t>Example</w:t>
                          </w:r>
                          <w:r>
                            <w:rPr>
                              <w:spacing w:val="-6"/>
                            </w:rPr>
                            <w:t xml:space="preserve"> </w:t>
                          </w:r>
                          <w:r>
                            <w:t>Audit</w:t>
                          </w:r>
                          <w:r>
                            <w:rPr>
                              <w:spacing w:val="-6"/>
                            </w:rPr>
                            <w:t xml:space="preserve"> </w:t>
                          </w:r>
                          <w:r>
                            <w:t>Procedures</w:t>
                          </w:r>
                          <w:r>
                            <w:rPr>
                              <w:spacing w:val="-8"/>
                            </w:rPr>
                            <w:t xml:space="preserve"> </w:t>
                          </w:r>
                          <w:r>
                            <w:t>for</w:t>
                          </w:r>
                          <w:r>
                            <w:rPr>
                              <w:spacing w:val="-6"/>
                            </w:rPr>
                            <w:t xml:space="preserve"> </w:t>
                          </w:r>
                          <w:r>
                            <w:t>Testing</w:t>
                          </w:r>
                          <w:r>
                            <w:rPr>
                              <w:spacing w:val="-7"/>
                            </w:rPr>
                            <w:t xml:space="preserve"> </w:t>
                          </w:r>
                          <w:r>
                            <w:t>Systems</w:t>
                          </w:r>
                          <w:r>
                            <w:rPr>
                              <w:spacing w:val="-7"/>
                            </w:rPr>
                            <w:t xml:space="preserve"> </w:t>
                          </w:r>
                          <w:r>
                            <w:t>for</w:t>
                          </w:r>
                          <w:r>
                            <w:rPr>
                              <w:spacing w:val="-6"/>
                            </w:rPr>
                            <w:t xml:space="preserve"> </w:t>
                          </w:r>
                          <w:r>
                            <w:t>Compliance</w:t>
                          </w:r>
                          <w:r>
                            <w:rPr>
                              <w:spacing w:val="-7"/>
                            </w:rPr>
                            <w:t xml:space="preserve"> </w:t>
                          </w:r>
                          <w:r>
                            <w:t>with</w:t>
                          </w:r>
                          <w:r>
                            <w:rPr>
                              <w:spacing w:val="-6"/>
                            </w:rPr>
                            <w:t xml:space="preserve"> </w:t>
                          </w:r>
                          <w:r>
                            <w:rPr>
                              <w:spacing w:val="-2"/>
                            </w:rPr>
                            <w:t>FFMIA</w:t>
                          </w:r>
                        </w:p>
                      </w:txbxContent>
                    </wps:txbx>
                    <wps:bodyPr wrap="square" lIns="0" tIns="0" rIns="0" bIns="0" rtlCol="0">
                      <a:noAutofit/>
                    </wps:bodyPr>
                  </wps:wsp>
                </a:graphicData>
              </a:graphic>
            </wp:anchor>
          </w:drawing>
        </mc:Choice>
        <mc:Fallback>
          <w:pict>
            <v:shapetype w14:anchorId="24D62EAC" id="_x0000_t202" coordsize="21600,21600" o:spt="202" path="m,l,21600r21600,l21600,xe">
              <v:stroke joinstyle="miter"/>
              <v:path gradientshapeok="t" o:connecttype="rect"/>
            </v:shapetype>
            <v:shape id="Textbox 195" o:spid="_x0000_s1100" type="#_x0000_t202" style="position:absolute;margin-left:71pt;margin-top:38.6pt;width:409.1pt;height:26.95pt;z-index:-280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" filled="f" stroked="f">
              <v:textbox inset="0,0,0,0">
                <w:txbxContent>
                  <w:p w14:paraId="24D6325F"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60" w14:textId="77777777" w:rsidR="00245300" w:rsidRDefault="00F17249">
                    <w:pPr>
                      <w:pStyle w:val="BodyText"/>
                      <w:ind w:left="20"/>
                    </w:pPr>
                    <w:r>
                      <w:t>701</w:t>
                    </w:r>
                    <w:r>
                      <w:rPr>
                        <w:spacing w:val="-7"/>
                      </w:rPr>
                      <w:t xml:space="preserve"> </w:t>
                    </w:r>
                    <w:r>
                      <w:t>A</w:t>
                    </w:r>
                    <w:r>
                      <w:rPr>
                        <w:spacing w:val="-6"/>
                      </w:rPr>
                      <w:t xml:space="preserve"> </w:t>
                    </w:r>
                    <w:r>
                      <w:t>–</w:t>
                    </w:r>
                    <w:r>
                      <w:rPr>
                        <w:spacing w:val="-7"/>
                      </w:rPr>
                      <w:t xml:space="preserve"> </w:t>
                    </w:r>
                    <w:r>
                      <w:t>Example</w:t>
                    </w:r>
                    <w:r>
                      <w:rPr>
                        <w:spacing w:val="-6"/>
                      </w:rPr>
                      <w:t xml:space="preserve"> </w:t>
                    </w:r>
                    <w:r>
                      <w:t>Audit</w:t>
                    </w:r>
                    <w:r>
                      <w:rPr>
                        <w:spacing w:val="-6"/>
                      </w:rPr>
                      <w:t xml:space="preserve"> </w:t>
                    </w:r>
                    <w:r>
                      <w:t>Procedures</w:t>
                    </w:r>
                    <w:r>
                      <w:rPr>
                        <w:spacing w:val="-8"/>
                      </w:rPr>
                      <w:t xml:space="preserve"> </w:t>
                    </w:r>
                    <w:r>
                      <w:t>for</w:t>
                    </w:r>
                    <w:r>
                      <w:rPr>
                        <w:spacing w:val="-6"/>
                      </w:rPr>
                      <w:t xml:space="preserve"> </w:t>
                    </w:r>
                    <w:r>
                      <w:t>Testing</w:t>
                    </w:r>
                    <w:r>
                      <w:rPr>
                        <w:spacing w:val="-7"/>
                      </w:rPr>
                      <w:t xml:space="preserve"> </w:t>
                    </w:r>
                    <w:r>
                      <w:t>Systems</w:t>
                    </w:r>
                    <w:r>
                      <w:rPr>
                        <w:spacing w:val="-7"/>
                      </w:rPr>
                      <w:t xml:space="preserve"> </w:t>
                    </w:r>
                    <w:r>
                      <w:t>for</w:t>
                    </w:r>
                    <w:r>
                      <w:rPr>
                        <w:spacing w:val="-6"/>
                      </w:rPr>
                      <w:t xml:space="preserve"> </w:t>
                    </w:r>
                    <w:r>
                      <w:t>Compliance</w:t>
                    </w:r>
                    <w:r>
                      <w:rPr>
                        <w:spacing w:val="-7"/>
                      </w:rPr>
                      <w:t xml:space="preserve"> </w:t>
                    </w:r>
                    <w:r>
                      <w:t>with</w:t>
                    </w:r>
                    <w:r>
                      <w:rPr>
                        <w:spacing w:val="-6"/>
                      </w:rPr>
                      <w:t xml:space="preserve"> </w:t>
                    </w:r>
                    <w:r>
                      <w:rPr>
                        <w:spacing w:val="-2"/>
                      </w:rPr>
                      <w:t>FFMIA</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2E" w14:textId="77777777" w:rsidR="00245300" w:rsidRDefault="00F17249">
    <w:pPr>
      <w:pStyle w:val="BodyText"/>
      <w:spacing w:line="14" w:lineRule="auto"/>
      <w:rPr>
        <w:sz w:val="20"/>
      </w:rPr>
    </w:pPr>
    <w:r>
      <w:rPr>
        <w:noProof/>
      </w:rPr>
      <mc:AlternateContent>
        <mc:Choice Requires="wps">
          <w:drawing>
            <wp:anchor distT="0" distB="0" distL="0" distR="0" simplePos="0" relativeHeight="475309568" behindDoc="1" locked="0" layoutInCell="1" allowOverlap="1" wp14:anchorId="24D62EB6" wp14:editId="24D62EB7">
              <wp:simplePos x="0" y="0"/>
              <wp:positionH relativeFrom="page">
                <wp:posOffset>666750</wp:posOffset>
              </wp:positionH>
              <wp:positionV relativeFrom="page">
                <wp:posOffset>457200</wp:posOffset>
              </wp:positionV>
              <wp:extent cx="8496300" cy="2857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D77287" id="Graphic 202" o:spid="_x0000_s1026" style="position:absolute;margin-left:52.5pt;margin-top:36pt;width:669pt;height:2.25pt;z-index:-28006912;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10080" behindDoc="1" locked="0" layoutInCell="1" allowOverlap="1" wp14:anchorId="24D62EB8" wp14:editId="24D62EB9">
              <wp:simplePos x="0" y="0"/>
              <wp:positionH relativeFrom="page">
                <wp:posOffset>666750</wp:posOffset>
              </wp:positionH>
              <wp:positionV relativeFrom="page">
                <wp:posOffset>819150</wp:posOffset>
              </wp:positionV>
              <wp:extent cx="8496300" cy="2857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45C75E" id="Graphic 203" o:spid="_x0000_s1026" style="position:absolute;margin-left:52.5pt;margin-top:64.5pt;width:669pt;height:2.25pt;z-index:-28006400;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10592" behindDoc="1" locked="0" layoutInCell="1" allowOverlap="1" wp14:anchorId="24D62EBA" wp14:editId="24D62EBB">
              <wp:simplePos x="0" y="0"/>
              <wp:positionH relativeFrom="page">
                <wp:posOffset>673100</wp:posOffset>
              </wp:positionH>
              <wp:positionV relativeFrom="page">
                <wp:posOffset>477521</wp:posOffset>
              </wp:positionV>
              <wp:extent cx="6485890" cy="34226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5890" cy="342265"/>
                      </a:xfrm>
                      <a:prstGeom prst="rect">
                        <a:avLst/>
                      </a:prstGeom>
                    </wps:spPr>
                    <wps:txbx>
                      <w:txbxContent>
                        <w:p w14:paraId="24D63264"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65" w14:textId="77777777" w:rsidR="00245300" w:rsidRDefault="00F17249">
                          <w:pPr>
                            <w:pStyle w:val="BodyText"/>
                            <w:ind w:left="20"/>
                          </w:pPr>
                          <w:r>
                            <w:t>701</w:t>
                          </w:r>
                          <w:r>
                            <w:rPr>
                              <w:spacing w:val="-8"/>
                            </w:rPr>
                            <w:t xml:space="preserve"> </w:t>
                          </w:r>
                          <w:r>
                            <w:t>B</w:t>
                          </w:r>
                          <w:r>
                            <w:rPr>
                              <w:spacing w:val="-8"/>
                            </w:rPr>
                            <w:t xml:space="preserve"> </w:t>
                          </w:r>
                          <w:r>
                            <w:t>–</w:t>
                          </w:r>
                          <w:r>
                            <w:rPr>
                              <w:spacing w:val="-7"/>
                            </w:rPr>
                            <w:t xml:space="preserve"> </w:t>
                          </w:r>
                          <w:r>
                            <w:t>Summary</w:t>
                          </w:r>
                          <w:r>
                            <w:rPr>
                              <w:spacing w:val="-8"/>
                            </w:rPr>
                            <w:t xml:space="preserve"> </w:t>
                          </w:r>
                          <w:r>
                            <w:t>Schedule</w:t>
                          </w:r>
                          <w:r>
                            <w:rPr>
                              <w:spacing w:val="-8"/>
                            </w:rPr>
                            <w:t xml:space="preserve"> </w:t>
                          </w:r>
                          <w:r>
                            <w:t>of</w:t>
                          </w:r>
                          <w:r>
                            <w:rPr>
                              <w:spacing w:val="-7"/>
                            </w:rPr>
                            <w:t xml:space="preserve"> </w:t>
                          </w:r>
                          <w:r>
                            <w:t>Instances</w:t>
                          </w:r>
                          <w:r>
                            <w:rPr>
                              <w:spacing w:val="-8"/>
                            </w:rPr>
                            <w:t xml:space="preserve"> </w:t>
                          </w:r>
                          <w:r>
                            <w:t>of</w:t>
                          </w:r>
                          <w:r>
                            <w:rPr>
                              <w:spacing w:val="-8"/>
                            </w:rPr>
                            <w:t xml:space="preserve"> </w:t>
                          </w:r>
                          <w:r>
                            <w:t>Financial</w:t>
                          </w:r>
                          <w:r>
                            <w:rPr>
                              <w:spacing w:val="-7"/>
                            </w:rPr>
                            <w:t xml:space="preserve"> </w:t>
                          </w:r>
                          <w:r>
                            <w:t>Management</w:t>
                          </w:r>
                          <w:r>
                            <w:rPr>
                              <w:spacing w:val="-8"/>
                            </w:rPr>
                            <w:t xml:space="preserve"> </w:t>
                          </w:r>
                          <w:r>
                            <w:t>Systems</w:t>
                          </w:r>
                          <w:r>
                            <w:rPr>
                              <w:spacing w:val="-7"/>
                            </w:rPr>
                            <w:t xml:space="preserve"> </w:t>
                          </w:r>
                          <w:r>
                            <w:t>Noncompliance</w:t>
                          </w:r>
                          <w:r>
                            <w:rPr>
                              <w:spacing w:val="-8"/>
                            </w:rPr>
                            <w:t xml:space="preserve"> </w:t>
                          </w:r>
                          <w:r>
                            <w:t>with</w:t>
                          </w:r>
                          <w:r>
                            <w:rPr>
                              <w:spacing w:val="-8"/>
                            </w:rPr>
                            <w:t xml:space="preserve"> </w:t>
                          </w:r>
                          <w:r>
                            <w:rPr>
                              <w:spacing w:val="-2"/>
                            </w:rPr>
                            <w:t>FFMIA</w:t>
                          </w:r>
                        </w:p>
                      </w:txbxContent>
                    </wps:txbx>
                    <wps:bodyPr wrap="square" lIns="0" tIns="0" rIns="0" bIns="0" rtlCol="0">
                      <a:noAutofit/>
                    </wps:bodyPr>
                  </wps:wsp>
                </a:graphicData>
              </a:graphic>
            </wp:anchor>
          </w:drawing>
        </mc:Choice>
        <mc:Fallback>
          <w:pict>
            <v:shapetype w14:anchorId="24D62EBA" id="_x0000_t202" coordsize="21600,21600" o:spt="202" path="m,l,21600r21600,l21600,xe">
              <v:stroke joinstyle="miter"/>
              <v:path gradientshapeok="t" o:connecttype="rect"/>
            </v:shapetype>
            <v:shape id="Textbox 204" o:spid="_x0000_s1104" type="#_x0000_t202" style="position:absolute;margin-left:53pt;margin-top:37.6pt;width:510.7pt;height:26.95pt;z-index:-280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" filled="f" stroked="f">
              <v:textbox inset="0,0,0,0">
                <w:txbxContent>
                  <w:p w14:paraId="24D63264"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65" w14:textId="77777777" w:rsidR="00245300" w:rsidRDefault="00F17249">
                    <w:pPr>
                      <w:pStyle w:val="BodyText"/>
                      <w:ind w:left="20"/>
                    </w:pPr>
                    <w:r>
                      <w:t>701</w:t>
                    </w:r>
                    <w:r>
                      <w:rPr>
                        <w:spacing w:val="-8"/>
                      </w:rPr>
                      <w:t xml:space="preserve"> </w:t>
                    </w:r>
                    <w:r>
                      <w:t>B</w:t>
                    </w:r>
                    <w:r>
                      <w:rPr>
                        <w:spacing w:val="-8"/>
                      </w:rPr>
                      <w:t xml:space="preserve"> </w:t>
                    </w:r>
                    <w:r>
                      <w:t>–</w:t>
                    </w:r>
                    <w:r>
                      <w:rPr>
                        <w:spacing w:val="-7"/>
                      </w:rPr>
                      <w:t xml:space="preserve"> </w:t>
                    </w:r>
                    <w:r>
                      <w:t>Summary</w:t>
                    </w:r>
                    <w:r>
                      <w:rPr>
                        <w:spacing w:val="-8"/>
                      </w:rPr>
                      <w:t xml:space="preserve"> </w:t>
                    </w:r>
                    <w:r>
                      <w:t>Schedule</w:t>
                    </w:r>
                    <w:r>
                      <w:rPr>
                        <w:spacing w:val="-8"/>
                      </w:rPr>
                      <w:t xml:space="preserve"> </w:t>
                    </w:r>
                    <w:r>
                      <w:t>of</w:t>
                    </w:r>
                    <w:r>
                      <w:rPr>
                        <w:spacing w:val="-7"/>
                      </w:rPr>
                      <w:t xml:space="preserve"> </w:t>
                    </w:r>
                    <w:r>
                      <w:t>Instances</w:t>
                    </w:r>
                    <w:r>
                      <w:rPr>
                        <w:spacing w:val="-8"/>
                      </w:rPr>
                      <w:t xml:space="preserve"> </w:t>
                    </w:r>
                    <w:r>
                      <w:t>of</w:t>
                    </w:r>
                    <w:r>
                      <w:rPr>
                        <w:spacing w:val="-8"/>
                      </w:rPr>
                      <w:t xml:space="preserve"> </w:t>
                    </w:r>
                    <w:r>
                      <w:t>Financial</w:t>
                    </w:r>
                    <w:r>
                      <w:rPr>
                        <w:spacing w:val="-7"/>
                      </w:rPr>
                      <w:t xml:space="preserve"> </w:t>
                    </w:r>
                    <w:r>
                      <w:t>Management</w:t>
                    </w:r>
                    <w:r>
                      <w:rPr>
                        <w:spacing w:val="-8"/>
                      </w:rPr>
                      <w:t xml:space="preserve"> </w:t>
                    </w:r>
                    <w:r>
                      <w:t>Systems</w:t>
                    </w:r>
                    <w:r>
                      <w:rPr>
                        <w:spacing w:val="-7"/>
                      </w:rPr>
                      <w:t xml:space="preserve"> </w:t>
                    </w:r>
                    <w:r>
                      <w:t>Noncompliance</w:t>
                    </w:r>
                    <w:r>
                      <w:rPr>
                        <w:spacing w:val="-8"/>
                      </w:rPr>
                      <w:t xml:space="preserve"> </w:t>
                    </w:r>
                    <w:r>
                      <w:t>with</w:t>
                    </w:r>
                    <w:r>
                      <w:rPr>
                        <w:spacing w:val="-8"/>
                      </w:rPr>
                      <w:t xml:space="preserve"> </w:t>
                    </w:r>
                    <w:r>
                      <w:rPr>
                        <w:spacing w:val="-2"/>
                      </w:rPr>
                      <w:t>FFMIA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0" w14:textId="77777777" w:rsidR="00245300" w:rsidRDefault="00F17249">
    <w:pPr>
      <w:pStyle w:val="BodyText"/>
      <w:spacing w:line="14" w:lineRule="auto"/>
      <w:rPr>
        <w:sz w:val="20"/>
      </w:rPr>
    </w:pPr>
    <w:r>
      <w:rPr>
        <w:noProof/>
      </w:rPr>
      <mc:AlternateContent>
        <mc:Choice Requires="wps">
          <w:drawing>
            <wp:anchor distT="0" distB="0" distL="0" distR="0" simplePos="0" relativeHeight="475313152" behindDoc="1" locked="0" layoutInCell="1" allowOverlap="1" wp14:anchorId="24D62EC4" wp14:editId="24D62EC5">
              <wp:simplePos x="0" y="0"/>
              <wp:positionH relativeFrom="page">
                <wp:posOffset>895350</wp:posOffset>
              </wp:positionH>
              <wp:positionV relativeFrom="page">
                <wp:posOffset>457962</wp:posOffset>
              </wp:positionV>
              <wp:extent cx="5981700" cy="2857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18839" id="Graphic 209" o:spid="_x0000_s1026" style="position:absolute;margin-left:70.5pt;margin-top:36.05pt;width:471pt;height:2.25pt;z-index:-280033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13664" behindDoc="1" locked="0" layoutInCell="1" allowOverlap="1" wp14:anchorId="24D62EC6" wp14:editId="24D62EC7">
              <wp:simplePos x="0" y="0"/>
              <wp:positionH relativeFrom="page">
                <wp:posOffset>895350</wp:posOffset>
              </wp:positionH>
              <wp:positionV relativeFrom="page">
                <wp:posOffset>832103</wp:posOffset>
              </wp:positionV>
              <wp:extent cx="5981700" cy="2857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85E217" id="Graphic 210" o:spid="_x0000_s1026" style="position:absolute;margin-left:70.5pt;margin-top:65.5pt;width:471pt;height:2.25pt;z-index:-280028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14176" behindDoc="1" locked="0" layoutInCell="1" allowOverlap="1" wp14:anchorId="24D62EC8" wp14:editId="24D62EC9">
              <wp:simplePos x="0" y="0"/>
              <wp:positionH relativeFrom="page">
                <wp:posOffset>901700</wp:posOffset>
              </wp:positionH>
              <wp:positionV relativeFrom="page">
                <wp:posOffset>490475</wp:posOffset>
              </wp:positionV>
              <wp:extent cx="3612515" cy="3422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2515" cy="342265"/>
                      </a:xfrm>
                      <a:prstGeom prst="rect">
                        <a:avLst/>
                      </a:prstGeom>
                    </wps:spPr>
                    <wps:txbx>
                      <w:txbxContent>
                        <w:p w14:paraId="24D63269" w14:textId="77777777" w:rsidR="00245300" w:rsidRDefault="00F17249">
                          <w:pPr>
                            <w:pStyle w:val="BodyText"/>
                            <w:spacing w:before="12"/>
                            <w:ind w:left="20" w:right="18"/>
                          </w:pPr>
                          <w:r>
                            <w:t>FFMIA</w:t>
                          </w:r>
                          <w:r>
                            <w:rPr>
                              <w:spacing w:val="-8"/>
                            </w:rPr>
                            <w:t xml:space="preserve"> </w:t>
                          </w:r>
                          <w:r>
                            <w:t>Guidance</w:t>
                          </w:r>
                          <w:r>
                            <w:rPr>
                              <w:spacing w:val="-8"/>
                            </w:rPr>
                            <w:t xml:space="preserve"> </w:t>
                          </w:r>
                          <w:r>
                            <w:t>and</w:t>
                          </w:r>
                          <w:r>
                            <w:rPr>
                              <w:spacing w:val="-8"/>
                            </w:rPr>
                            <w:t xml:space="preserve"> </w:t>
                          </w:r>
                          <w:r>
                            <w:t>Agreed-Upon</w:t>
                          </w:r>
                          <w:r>
                            <w:rPr>
                              <w:spacing w:val="-7"/>
                            </w:rPr>
                            <w:t xml:space="preserve"> </w:t>
                          </w:r>
                          <w:r>
                            <w:t>Procedures</w:t>
                          </w:r>
                          <w:r>
                            <w:rPr>
                              <w:spacing w:val="-9"/>
                            </w:rPr>
                            <w:t xml:space="preserve"> </w:t>
                          </w:r>
                          <w:r>
                            <w:t>Guidance 710 – Agreed-Upon Procedures</w:t>
                          </w:r>
                        </w:p>
                      </w:txbxContent>
                    </wps:txbx>
                    <wps:bodyPr wrap="square" lIns="0" tIns="0" rIns="0" bIns="0" rtlCol="0">
                      <a:noAutofit/>
                    </wps:bodyPr>
                  </wps:wsp>
                </a:graphicData>
              </a:graphic>
            </wp:anchor>
          </w:drawing>
        </mc:Choice>
        <mc:Fallback>
          <w:pict>
            <v:shapetype w14:anchorId="24D62EC8" id="_x0000_t202" coordsize="21600,21600" o:spt="202" path="m,l,21600r21600,l21600,xe">
              <v:stroke joinstyle="miter"/>
              <v:path gradientshapeok="t" o:connecttype="rect"/>
            </v:shapetype>
            <v:shape id="Textbox 211" o:spid="_x0000_s1108" type="#_x0000_t202" style="position:absolute;margin-left:71pt;margin-top:38.6pt;width:284.45pt;height:26.95pt;z-index:-2800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" filled="f" stroked="f">
              <v:textbox inset="0,0,0,0">
                <w:txbxContent>
                  <w:p w14:paraId="24D63269" w14:textId="77777777" w:rsidR="00245300" w:rsidRDefault="00F17249">
                    <w:pPr>
                      <w:pStyle w:val="BodyText"/>
                      <w:spacing w:before="12"/>
                      <w:ind w:left="20" w:right="18"/>
                    </w:pPr>
                    <w:r>
                      <w:t>FFMIA</w:t>
                    </w:r>
                    <w:r>
                      <w:rPr>
                        <w:spacing w:val="-8"/>
                      </w:rPr>
                      <w:t xml:space="preserve"> </w:t>
                    </w:r>
                    <w:r>
                      <w:t>Guidance</w:t>
                    </w:r>
                    <w:r>
                      <w:rPr>
                        <w:spacing w:val="-8"/>
                      </w:rPr>
                      <w:t xml:space="preserve"> </w:t>
                    </w:r>
                    <w:r>
                      <w:t>and</w:t>
                    </w:r>
                    <w:r>
                      <w:rPr>
                        <w:spacing w:val="-8"/>
                      </w:rPr>
                      <w:t xml:space="preserve"> </w:t>
                    </w:r>
                    <w:r>
                      <w:t>Agreed-Upon</w:t>
                    </w:r>
                    <w:r>
                      <w:rPr>
                        <w:spacing w:val="-7"/>
                      </w:rPr>
                      <w:t xml:space="preserve"> </w:t>
                    </w:r>
                    <w:r>
                      <w:t>Procedures</w:t>
                    </w:r>
                    <w:r>
                      <w:rPr>
                        <w:spacing w:val="-9"/>
                      </w:rPr>
                      <w:t xml:space="preserve"> </w:t>
                    </w:r>
                    <w:r>
                      <w:t>Guidance 710 – Agreed-Upon Procedures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2" w14:textId="77777777" w:rsidR="00245300" w:rsidRDefault="00F17249">
    <w:pPr>
      <w:pStyle w:val="BodyText"/>
      <w:spacing w:line="14" w:lineRule="auto"/>
      <w:rPr>
        <w:sz w:val="20"/>
      </w:rPr>
    </w:pPr>
    <w:r>
      <w:rPr>
        <w:noProof/>
      </w:rPr>
      <mc:AlternateContent>
        <mc:Choice Requires="wps">
          <w:drawing>
            <wp:anchor distT="0" distB="0" distL="0" distR="0" simplePos="0" relativeHeight="475316736" behindDoc="1" locked="0" layoutInCell="1" allowOverlap="1" wp14:anchorId="24D62ED2" wp14:editId="24D62ED3">
              <wp:simplePos x="0" y="0"/>
              <wp:positionH relativeFrom="page">
                <wp:posOffset>895350</wp:posOffset>
              </wp:positionH>
              <wp:positionV relativeFrom="page">
                <wp:posOffset>457962</wp:posOffset>
              </wp:positionV>
              <wp:extent cx="5981700" cy="2857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B2B7BC" id="Graphic 217" o:spid="_x0000_s1026" style="position:absolute;margin-left:70.5pt;margin-top:36.05pt;width:471pt;height:2.25pt;z-index:-279997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17248" behindDoc="1" locked="0" layoutInCell="1" allowOverlap="1" wp14:anchorId="24D62ED4" wp14:editId="24D62ED5">
              <wp:simplePos x="0" y="0"/>
              <wp:positionH relativeFrom="page">
                <wp:posOffset>895350</wp:posOffset>
              </wp:positionH>
              <wp:positionV relativeFrom="page">
                <wp:posOffset>832103</wp:posOffset>
              </wp:positionV>
              <wp:extent cx="5981700" cy="2857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9A97DE" id="Graphic 218" o:spid="_x0000_s1026" style="position:absolute;margin-left:70.5pt;margin-top:65.5pt;width:471pt;height:2.25pt;z-index:-279992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17760" behindDoc="1" locked="0" layoutInCell="1" allowOverlap="1" wp14:anchorId="24D62ED6" wp14:editId="24D62ED7">
              <wp:simplePos x="0" y="0"/>
              <wp:positionH relativeFrom="page">
                <wp:posOffset>901700</wp:posOffset>
              </wp:positionH>
              <wp:positionV relativeFrom="page">
                <wp:posOffset>490475</wp:posOffset>
              </wp:positionV>
              <wp:extent cx="3938270" cy="3422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270" cy="342265"/>
                      </a:xfrm>
                      <a:prstGeom prst="rect">
                        <a:avLst/>
                      </a:prstGeom>
                    </wps:spPr>
                    <wps:txbx>
                      <w:txbxContent>
                        <w:p w14:paraId="24D6326D"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6E" w14:textId="77777777" w:rsidR="00245300" w:rsidRDefault="00F17249">
                          <w:pPr>
                            <w:pStyle w:val="BodyText"/>
                            <w:ind w:left="20"/>
                          </w:pPr>
                          <w:r>
                            <w:t>710</w:t>
                          </w:r>
                          <w:r>
                            <w:rPr>
                              <w:spacing w:val="-9"/>
                            </w:rPr>
                            <w:t xml:space="preserve"> </w:t>
                          </w:r>
                          <w:r>
                            <w:t>A</w:t>
                          </w:r>
                          <w:r>
                            <w:rPr>
                              <w:spacing w:val="-9"/>
                            </w:rPr>
                            <w:t xml:space="preserve"> </w:t>
                          </w:r>
                          <w:r>
                            <w:t>–</w:t>
                          </w:r>
                          <w:r>
                            <w:rPr>
                              <w:spacing w:val="-8"/>
                            </w:rPr>
                            <w:t xml:space="preserve"> </w:t>
                          </w:r>
                          <w:r>
                            <w:t>Example</w:t>
                          </w:r>
                          <w:r>
                            <w:rPr>
                              <w:spacing w:val="-9"/>
                            </w:rPr>
                            <w:t xml:space="preserve"> </w:t>
                          </w:r>
                          <w:r>
                            <w:t>Agreed-Upon</w:t>
                          </w:r>
                          <w:r>
                            <w:rPr>
                              <w:spacing w:val="-8"/>
                            </w:rPr>
                            <w:t xml:space="preserve"> </w:t>
                          </w:r>
                          <w:r>
                            <w:t>Procedures</w:t>
                          </w:r>
                          <w:r>
                            <w:rPr>
                              <w:spacing w:val="-9"/>
                            </w:rPr>
                            <w:t xml:space="preserve"> </w:t>
                          </w:r>
                          <w:r>
                            <w:t>Engagement</w:t>
                          </w:r>
                          <w:r>
                            <w:rPr>
                              <w:spacing w:val="-8"/>
                            </w:rPr>
                            <w:t xml:space="preserve"> </w:t>
                          </w:r>
                          <w:r>
                            <w:rPr>
                              <w:spacing w:val="-2"/>
                            </w:rPr>
                            <w:t>Letter</w:t>
                          </w:r>
                        </w:p>
                      </w:txbxContent>
                    </wps:txbx>
                    <wps:bodyPr wrap="square" lIns="0" tIns="0" rIns="0" bIns="0" rtlCol="0">
                      <a:noAutofit/>
                    </wps:bodyPr>
                  </wps:wsp>
                </a:graphicData>
              </a:graphic>
            </wp:anchor>
          </w:drawing>
        </mc:Choice>
        <mc:Fallback>
          <w:pict>
            <v:shapetype w14:anchorId="24D62ED6" id="_x0000_t202" coordsize="21600,21600" o:spt="202" path="m,l,21600r21600,l21600,xe">
              <v:stroke joinstyle="miter"/>
              <v:path gradientshapeok="t" o:connecttype="rect"/>
            </v:shapetype>
            <v:shape id="Textbox 219" o:spid="_x0000_s1112" type="#_x0000_t202" style="position:absolute;margin-left:71pt;margin-top:38.6pt;width:310.1pt;height:26.95pt;z-index:-279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" filled="f" stroked="f">
              <v:textbox inset="0,0,0,0">
                <w:txbxContent>
                  <w:p w14:paraId="24D6326D"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6E" w14:textId="77777777" w:rsidR="00245300" w:rsidRDefault="00F17249">
                    <w:pPr>
                      <w:pStyle w:val="BodyText"/>
                      <w:ind w:left="20"/>
                    </w:pPr>
                    <w:r>
                      <w:t>710</w:t>
                    </w:r>
                    <w:r>
                      <w:rPr>
                        <w:spacing w:val="-9"/>
                      </w:rPr>
                      <w:t xml:space="preserve"> </w:t>
                    </w:r>
                    <w:r>
                      <w:t>A</w:t>
                    </w:r>
                    <w:r>
                      <w:rPr>
                        <w:spacing w:val="-9"/>
                      </w:rPr>
                      <w:t xml:space="preserve"> </w:t>
                    </w:r>
                    <w:r>
                      <w:t>–</w:t>
                    </w:r>
                    <w:r>
                      <w:rPr>
                        <w:spacing w:val="-8"/>
                      </w:rPr>
                      <w:t xml:space="preserve"> </w:t>
                    </w:r>
                    <w:r>
                      <w:t>Example</w:t>
                    </w:r>
                    <w:r>
                      <w:rPr>
                        <w:spacing w:val="-9"/>
                      </w:rPr>
                      <w:t xml:space="preserve"> </w:t>
                    </w:r>
                    <w:r>
                      <w:t>Agreed-Upon</w:t>
                    </w:r>
                    <w:r>
                      <w:rPr>
                        <w:spacing w:val="-8"/>
                      </w:rPr>
                      <w:t xml:space="preserve"> </w:t>
                    </w:r>
                    <w:r>
                      <w:t>Procedures</w:t>
                    </w:r>
                    <w:r>
                      <w:rPr>
                        <w:spacing w:val="-9"/>
                      </w:rPr>
                      <w:t xml:space="preserve"> </w:t>
                    </w:r>
                    <w:r>
                      <w:t>Engagement</w:t>
                    </w:r>
                    <w:r>
                      <w:rPr>
                        <w:spacing w:val="-8"/>
                      </w:rPr>
                      <w:t xml:space="preserve"> </w:t>
                    </w:r>
                    <w:r>
                      <w:rPr>
                        <w:spacing w:val="-2"/>
                      </w:rPr>
                      <w:t>Letter</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4" w14:textId="77777777" w:rsidR="00245300" w:rsidRDefault="00F17249">
    <w:pPr>
      <w:pStyle w:val="BodyText"/>
      <w:spacing w:line="14" w:lineRule="auto"/>
      <w:rPr>
        <w:sz w:val="20"/>
      </w:rPr>
    </w:pPr>
    <w:r>
      <w:rPr>
        <w:noProof/>
      </w:rPr>
      <mc:AlternateContent>
        <mc:Choice Requires="wps">
          <w:drawing>
            <wp:anchor distT="0" distB="0" distL="0" distR="0" simplePos="0" relativeHeight="475320320" behindDoc="1" locked="0" layoutInCell="1" allowOverlap="1" wp14:anchorId="24D62EE0" wp14:editId="24D62EE1">
              <wp:simplePos x="0" y="0"/>
              <wp:positionH relativeFrom="page">
                <wp:posOffset>895350</wp:posOffset>
              </wp:positionH>
              <wp:positionV relativeFrom="page">
                <wp:posOffset>457962</wp:posOffset>
              </wp:positionV>
              <wp:extent cx="5981700" cy="2857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048E7E" id="Graphic 225" o:spid="_x0000_s1026" style="position:absolute;margin-left:70.5pt;margin-top:36.05pt;width:471pt;height:2.25pt;z-index:-279961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0832" behindDoc="1" locked="0" layoutInCell="1" allowOverlap="1" wp14:anchorId="24D62EE2" wp14:editId="24D62EE3">
              <wp:simplePos x="0" y="0"/>
              <wp:positionH relativeFrom="page">
                <wp:posOffset>895350</wp:posOffset>
              </wp:positionH>
              <wp:positionV relativeFrom="page">
                <wp:posOffset>992886</wp:posOffset>
              </wp:positionV>
              <wp:extent cx="5981700" cy="2857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DC4B3E" id="Graphic 226" o:spid="_x0000_s1026" style="position:absolute;margin-left:70.5pt;margin-top:78.2pt;width:471pt;height:2.25pt;z-index:-279956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1344" behindDoc="1" locked="0" layoutInCell="1" allowOverlap="1" wp14:anchorId="24D62EE4" wp14:editId="24D62EE5">
              <wp:simplePos x="0" y="0"/>
              <wp:positionH relativeFrom="page">
                <wp:posOffset>901700</wp:posOffset>
              </wp:positionH>
              <wp:positionV relativeFrom="page">
                <wp:posOffset>490475</wp:posOffset>
              </wp:positionV>
              <wp:extent cx="5601970" cy="50292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1970" cy="502920"/>
                      </a:xfrm>
                      <a:prstGeom prst="rect">
                        <a:avLst/>
                      </a:prstGeom>
                    </wps:spPr>
                    <wps:txbx>
                      <w:txbxContent>
                        <w:p w14:paraId="24D63272"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73" w14:textId="77777777" w:rsidR="00245300" w:rsidRDefault="00F17249">
                          <w:pPr>
                            <w:pStyle w:val="BodyText"/>
                            <w:ind w:left="20" w:hanging="1"/>
                          </w:pPr>
                          <w:r>
                            <w:t>710</w:t>
                          </w:r>
                          <w:r>
                            <w:rPr>
                              <w:spacing w:val="-4"/>
                            </w:rPr>
                            <w:t xml:space="preserve"> </w:t>
                          </w:r>
                          <w:r>
                            <w:t>B</w:t>
                          </w:r>
                          <w:r>
                            <w:rPr>
                              <w:spacing w:val="-4"/>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Engaging</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wps:txbx>
                    <wps:bodyPr wrap="square" lIns="0" tIns="0" rIns="0" bIns="0" rtlCol="0">
                      <a:noAutofit/>
                    </wps:bodyPr>
                  </wps:wsp>
                </a:graphicData>
              </a:graphic>
            </wp:anchor>
          </w:drawing>
        </mc:Choice>
        <mc:Fallback>
          <w:pict>
            <v:shapetype w14:anchorId="24D62EE4" id="_x0000_t202" coordsize="21600,21600" o:spt="202" path="m,l,21600r21600,l21600,xe">
              <v:stroke joinstyle="miter"/>
              <v:path gradientshapeok="t" o:connecttype="rect"/>
            </v:shapetype>
            <v:shape id="Textbox 227" o:spid="_x0000_s1116" type="#_x0000_t202" style="position:absolute;margin-left:71pt;margin-top:38.6pt;width:441.1pt;height:39.6pt;z-index:-279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" filled="f" stroked="f">
              <v:textbox inset="0,0,0,0">
                <w:txbxContent>
                  <w:p w14:paraId="24D63272"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73" w14:textId="77777777" w:rsidR="00245300" w:rsidRDefault="00F17249">
                    <w:pPr>
                      <w:pStyle w:val="BodyText"/>
                      <w:ind w:left="20" w:hanging="1"/>
                    </w:pPr>
                    <w:r>
                      <w:t>710</w:t>
                    </w:r>
                    <w:r>
                      <w:rPr>
                        <w:spacing w:val="-4"/>
                      </w:rPr>
                      <w:t xml:space="preserve"> </w:t>
                    </w:r>
                    <w:r>
                      <w:t>B</w:t>
                    </w:r>
                    <w:r>
                      <w:rPr>
                        <w:spacing w:val="-4"/>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Engaging</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6" w14:textId="77777777" w:rsidR="00245300" w:rsidRDefault="00F17249">
    <w:pPr>
      <w:pStyle w:val="BodyText"/>
      <w:spacing w:line="14" w:lineRule="auto"/>
      <w:rPr>
        <w:sz w:val="20"/>
      </w:rPr>
    </w:pPr>
    <w:r>
      <w:rPr>
        <w:noProof/>
      </w:rPr>
      <mc:AlternateContent>
        <mc:Choice Requires="wps">
          <w:drawing>
            <wp:anchor distT="0" distB="0" distL="0" distR="0" simplePos="0" relativeHeight="475323904" behindDoc="1" locked="0" layoutInCell="1" allowOverlap="1" wp14:anchorId="24D62EEE" wp14:editId="24D62EEF">
              <wp:simplePos x="0" y="0"/>
              <wp:positionH relativeFrom="page">
                <wp:posOffset>895350</wp:posOffset>
              </wp:positionH>
              <wp:positionV relativeFrom="page">
                <wp:posOffset>457962</wp:posOffset>
              </wp:positionV>
              <wp:extent cx="5981700" cy="2857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632AFD" id="Graphic 232" o:spid="_x0000_s1026" style="position:absolute;margin-left:70.5pt;margin-top:36.05pt;width:471pt;height:2.25pt;z-index:-279925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4416" behindDoc="1" locked="0" layoutInCell="1" allowOverlap="1" wp14:anchorId="24D62EF0" wp14:editId="24D62EF1">
              <wp:simplePos x="0" y="0"/>
              <wp:positionH relativeFrom="page">
                <wp:posOffset>895350</wp:posOffset>
              </wp:positionH>
              <wp:positionV relativeFrom="page">
                <wp:posOffset>992886</wp:posOffset>
              </wp:positionV>
              <wp:extent cx="5981700" cy="2857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18C53B" id="Graphic 233" o:spid="_x0000_s1026" style="position:absolute;margin-left:70.5pt;margin-top:78.2pt;width:471pt;height:2.25pt;z-index:-279920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4928" behindDoc="1" locked="0" layoutInCell="1" allowOverlap="1" wp14:anchorId="24D62EF2" wp14:editId="24D62EF3">
              <wp:simplePos x="0" y="0"/>
              <wp:positionH relativeFrom="page">
                <wp:posOffset>901700</wp:posOffset>
              </wp:positionH>
              <wp:positionV relativeFrom="page">
                <wp:posOffset>490475</wp:posOffset>
              </wp:positionV>
              <wp:extent cx="5787390" cy="50292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7390" cy="502920"/>
                      </a:xfrm>
                      <a:prstGeom prst="rect">
                        <a:avLst/>
                      </a:prstGeom>
                    </wps:spPr>
                    <wps:txbx>
                      <w:txbxContent>
                        <w:p w14:paraId="24D63277"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78" w14:textId="77777777" w:rsidR="00245300" w:rsidRDefault="00F17249">
                          <w:pPr>
                            <w:pStyle w:val="BodyText"/>
                            <w:ind w:left="20"/>
                          </w:pPr>
                          <w:r>
                            <w:t>710</w:t>
                          </w:r>
                          <w:r>
                            <w:rPr>
                              <w:spacing w:val="-4"/>
                            </w:rPr>
                            <w:t xml:space="preserve"> </w:t>
                          </w:r>
                          <w:r>
                            <w:t>C</w:t>
                          </w:r>
                          <w:r>
                            <w:rPr>
                              <w:spacing w:val="-5"/>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Responsible</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wps:txbx>
                    <wps:bodyPr wrap="square" lIns="0" tIns="0" rIns="0" bIns="0" rtlCol="0">
                      <a:noAutofit/>
                    </wps:bodyPr>
                  </wps:wsp>
                </a:graphicData>
              </a:graphic>
            </wp:anchor>
          </w:drawing>
        </mc:Choice>
        <mc:Fallback>
          <w:pict>
            <v:shapetype w14:anchorId="24D62EF2" id="_x0000_t202" coordsize="21600,21600" o:spt="202" path="m,l,21600r21600,l21600,xe">
              <v:stroke joinstyle="miter"/>
              <v:path gradientshapeok="t" o:connecttype="rect"/>
            </v:shapetype>
            <v:shape id="Textbox 234" o:spid="_x0000_s1120" type="#_x0000_t202" style="position:absolute;margin-left:71pt;margin-top:38.6pt;width:455.7pt;height:39.6pt;z-index:-279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" filled="f" stroked="f">
              <v:textbox inset="0,0,0,0">
                <w:txbxContent>
                  <w:p w14:paraId="24D63277"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78" w14:textId="77777777" w:rsidR="00245300" w:rsidRDefault="00F17249">
                    <w:pPr>
                      <w:pStyle w:val="BodyText"/>
                      <w:ind w:left="20"/>
                    </w:pPr>
                    <w:r>
                      <w:t>710</w:t>
                    </w:r>
                    <w:r>
                      <w:rPr>
                        <w:spacing w:val="-4"/>
                      </w:rPr>
                      <w:t xml:space="preserve"> </w:t>
                    </w:r>
                    <w:r>
                      <w:t>C</w:t>
                    </w:r>
                    <w:r>
                      <w:rPr>
                        <w:spacing w:val="-5"/>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Responsible</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8" w14:textId="77777777" w:rsidR="00245300" w:rsidRDefault="00F17249">
    <w:pPr>
      <w:pStyle w:val="BodyText"/>
      <w:spacing w:line="14" w:lineRule="auto"/>
      <w:rPr>
        <w:sz w:val="20"/>
      </w:rPr>
    </w:pPr>
    <w:r>
      <w:rPr>
        <w:noProof/>
      </w:rPr>
      <mc:AlternateContent>
        <mc:Choice Requires="wps">
          <w:drawing>
            <wp:anchor distT="0" distB="0" distL="0" distR="0" simplePos="0" relativeHeight="475327488" behindDoc="1" locked="0" layoutInCell="1" allowOverlap="1" wp14:anchorId="24D62EFC" wp14:editId="24D62EFD">
              <wp:simplePos x="0" y="0"/>
              <wp:positionH relativeFrom="page">
                <wp:posOffset>895350</wp:posOffset>
              </wp:positionH>
              <wp:positionV relativeFrom="page">
                <wp:posOffset>457962</wp:posOffset>
              </wp:positionV>
              <wp:extent cx="5981700" cy="2857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7EA1C" id="Graphic 239" o:spid="_x0000_s1026" style="position:absolute;margin-left:70.5pt;margin-top:36.05pt;width:471pt;height:2.25pt;z-index:-279889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8000" behindDoc="1" locked="0" layoutInCell="1" allowOverlap="1" wp14:anchorId="24D62EFE" wp14:editId="24D62EFF">
              <wp:simplePos x="0" y="0"/>
              <wp:positionH relativeFrom="page">
                <wp:posOffset>895350</wp:posOffset>
              </wp:positionH>
              <wp:positionV relativeFrom="page">
                <wp:posOffset>992886</wp:posOffset>
              </wp:positionV>
              <wp:extent cx="5981700" cy="2857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B9A53" id="Graphic 240" o:spid="_x0000_s1026" style="position:absolute;margin-left:70.5pt;margin-top:78.2pt;width:471pt;height:2.25pt;z-index:-279884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28512" behindDoc="1" locked="0" layoutInCell="1" allowOverlap="1" wp14:anchorId="24D62F00" wp14:editId="24D62F01">
              <wp:simplePos x="0" y="0"/>
              <wp:positionH relativeFrom="page">
                <wp:posOffset>901700</wp:posOffset>
              </wp:positionH>
              <wp:positionV relativeFrom="page">
                <wp:posOffset>490475</wp:posOffset>
              </wp:positionV>
              <wp:extent cx="5491480" cy="50292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1480" cy="502920"/>
                      </a:xfrm>
                      <a:prstGeom prst="rect">
                        <a:avLst/>
                      </a:prstGeom>
                    </wps:spPr>
                    <wps:txbx>
                      <w:txbxContent>
                        <w:p w14:paraId="24D6327C"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7D" w14:textId="77777777" w:rsidR="00245300" w:rsidRDefault="00F17249">
                          <w:pPr>
                            <w:pStyle w:val="BodyText"/>
                            <w:ind w:left="20"/>
                          </w:pPr>
                          <w:r>
                            <w:t>710</w:t>
                          </w:r>
                          <w:r>
                            <w:rPr>
                              <w:spacing w:val="-3"/>
                            </w:rPr>
                            <w:t xml:space="preserve"> </w:t>
                          </w:r>
                          <w:r>
                            <w:t>D</w:t>
                          </w:r>
                          <w:r>
                            <w:rPr>
                              <w:spacing w:val="-4"/>
                            </w:rPr>
                            <w:t xml:space="preserve"> </w:t>
                          </w:r>
                          <w:r>
                            <w:t>–</w:t>
                          </w:r>
                          <w:r>
                            <w:rPr>
                              <w:spacing w:val="-3"/>
                            </w:rPr>
                            <w:t xml:space="preserve"> </w:t>
                          </w:r>
                          <w:r>
                            <w:t>Example</w:t>
                          </w:r>
                          <w:r>
                            <w:rPr>
                              <w:spacing w:val="-3"/>
                            </w:rPr>
                            <w:t xml:space="preserve"> </w:t>
                          </w:r>
                          <w:r>
                            <w:t>Agreed-Upon</w:t>
                          </w:r>
                          <w:r>
                            <w:rPr>
                              <w:spacing w:val="-3"/>
                            </w:rPr>
                            <w:t xml:space="preserve"> </w:t>
                          </w:r>
                          <w:r>
                            <w:t>Procedures</w:t>
                          </w:r>
                          <w:r>
                            <w:rPr>
                              <w:spacing w:val="-3"/>
                            </w:rPr>
                            <w:t xml:space="preserve"> </w:t>
                          </w:r>
                          <w:r>
                            <w:t>Report</w:t>
                          </w:r>
                          <w:r>
                            <w:rPr>
                              <w:spacing w:val="-3"/>
                            </w:rPr>
                            <w:t xml:space="preserve"> </w:t>
                          </w:r>
                          <w:r>
                            <w:t>Where</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3"/>
                            </w:rPr>
                            <w:t xml:space="preserve"> </w:t>
                          </w:r>
                          <w:r>
                            <w:t>Not</w:t>
                          </w:r>
                          <w:r>
                            <w:rPr>
                              <w:spacing w:val="-3"/>
                            </w:rPr>
                            <w:t xml:space="preserve"> </w:t>
                          </w:r>
                          <w:r>
                            <w:t>the Responsible Party</w:t>
                          </w:r>
                        </w:p>
                      </w:txbxContent>
                    </wps:txbx>
                    <wps:bodyPr wrap="square" lIns="0" tIns="0" rIns="0" bIns="0" rtlCol="0">
                      <a:noAutofit/>
                    </wps:bodyPr>
                  </wps:wsp>
                </a:graphicData>
              </a:graphic>
            </wp:anchor>
          </w:drawing>
        </mc:Choice>
        <mc:Fallback>
          <w:pict>
            <v:shapetype w14:anchorId="24D62F00" id="_x0000_t202" coordsize="21600,21600" o:spt="202" path="m,l,21600r21600,l21600,xe">
              <v:stroke joinstyle="miter"/>
              <v:path gradientshapeok="t" o:connecttype="rect"/>
            </v:shapetype>
            <v:shape id="Textbox 241" o:spid="_x0000_s1124" type="#_x0000_t202" style="position:absolute;margin-left:71pt;margin-top:38.6pt;width:432.4pt;height:39.6pt;z-index:-279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" filled="f" stroked="f">
              <v:textbox inset="0,0,0,0">
                <w:txbxContent>
                  <w:p w14:paraId="24D6327C"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9"/>
                      </w:rPr>
                      <w:t xml:space="preserve"> </w:t>
                    </w:r>
                    <w:r>
                      <w:t>Procedures</w:t>
                    </w:r>
                    <w:r>
                      <w:rPr>
                        <w:spacing w:val="-11"/>
                      </w:rPr>
                      <w:t xml:space="preserve"> </w:t>
                    </w:r>
                    <w:r>
                      <w:rPr>
                        <w:spacing w:val="-2"/>
                      </w:rPr>
                      <w:t>Guidance</w:t>
                    </w:r>
                  </w:p>
                  <w:p w14:paraId="24D6327D" w14:textId="77777777" w:rsidR="00245300" w:rsidRDefault="00F17249">
                    <w:pPr>
                      <w:pStyle w:val="BodyText"/>
                      <w:ind w:left="20"/>
                    </w:pPr>
                    <w:r>
                      <w:t>710</w:t>
                    </w:r>
                    <w:r>
                      <w:rPr>
                        <w:spacing w:val="-3"/>
                      </w:rPr>
                      <w:t xml:space="preserve"> </w:t>
                    </w:r>
                    <w:r>
                      <w:t>D</w:t>
                    </w:r>
                    <w:r>
                      <w:rPr>
                        <w:spacing w:val="-4"/>
                      </w:rPr>
                      <w:t xml:space="preserve"> </w:t>
                    </w:r>
                    <w:r>
                      <w:t>–</w:t>
                    </w:r>
                    <w:r>
                      <w:rPr>
                        <w:spacing w:val="-3"/>
                      </w:rPr>
                      <w:t xml:space="preserve"> </w:t>
                    </w:r>
                    <w:r>
                      <w:t>Example</w:t>
                    </w:r>
                    <w:r>
                      <w:rPr>
                        <w:spacing w:val="-3"/>
                      </w:rPr>
                      <w:t xml:space="preserve"> </w:t>
                    </w:r>
                    <w:r>
                      <w:t>Agreed-Upon</w:t>
                    </w:r>
                    <w:r>
                      <w:rPr>
                        <w:spacing w:val="-3"/>
                      </w:rPr>
                      <w:t xml:space="preserve"> </w:t>
                    </w:r>
                    <w:r>
                      <w:t>Procedures</w:t>
                    </w:r>
                    <w:r>
                      <w:rPr>
                        <w:spacing w:val="-3"/>
                      </w:rPr>
                      <w:t xml:space="preserve"> </w:t>
                    </w:r>
                    <w:r>
                      <w:t>Report</w:t>
                    </w:r>
                    <w:r>
                      <w:rPr>
                        <w:spacing w:val="-3"/>
                      </w:rPr>
                      <w:t xml:space="preserve"> </w:t>
                    </w:r>
                    <w:r>
                      <w:t>Where</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3"/>
                      </w:rPr>
                      <w:t xml:space="preserve"> </w:t>
                    </w:r>
                    <w:r>
                      <w:t>Not</w:t>
                    </w:r>
                    <w:r>
                      <w:rPr>
                        <w:spacing w:val="-3"/>
                      </w:rPr>
                      <w:t xml:space="preserve"> </w:t>
                    </w:r>
                    <w:r>
                      <w:t>the Responsible Party</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A" w14:textId="77777777" w:rsidR="00245300" w:rsidRDefault="00F17249">
    <w:pPr>
      <w:pStyle w:val="BodyText"/>
      <w:spacing w:line="14" w:lineRule="auto"/>
      <w:rPr>
        <w:sz w:val="20"/>
      </w:rPr>
    </w:pPr>
    <w:r>
      <w:rPr>
        <w:noProof/>
      </w:rPr>
      <mc:AlternateContent>
        <mc:Choice Requires="wps">
          <w:drawing>
            <wp:anchor distT="0" distB="0" distL="0" distR="0" simplePos="0" relativeHeight="475331072" behindDoc="1" locked="0" layoutInCell="1" allowOverlap="1" wp14:anchorId="24D62F0A" wp14:editId="24D62F0B">
              <wp:simplePos x="0" y="0"/>
              <wp:positionH relativeFrom="page">
                <wp:posOffset>895350</wp:posOffset>
              </wp:positionH>
              <wp:positionV relativeFrom="page">
                <wp:posOffset>457962</wp:posOffset>
              </wp:positionV>
              <wp:extent cx="5981700" cy="2857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326A8" id="Graphic 246" o:spid="_x0000_s1026" style="position:absolute;margin-left:70.5pt;margin-top:36.05pt;width:471pt;height:2.25pt;z-index:-279854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31584" behindDoc="1" locked="0" layoutInCell="1" allowOverlap="1" wp14:anchorId="24D62F0C" wp14:editId="24D62F0D">
              <wp:simplePos x="0" y="0"/>
              <wp:positionH relativeFrom="page">
                <wp:posOffset>895350</wp:posOffset>
              </wp:positionH>
              <wp:positionV relativeFrom="page">
                <wp:posOffset>832103</wp:posOffset>
              </wp:positionV>
              <wp:extent cx="5981700" cy="2857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0CB70" id="Graphic 247" o:spid="_x0000_s1026" style="position:absolute;margin-left:70.5pt;margin-top:65.5pt;width:471pt;height:2.25pt;z-index:-279848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32096" behindDoc="1" locked="0" layoutInCell="1" allowOverlap="1" wp14:anchorId="24D62F0E" wp14:editId="24D62F0F">
              <wp:simplePos x="0" y="0"/>
              <wp:positionH relativeFrom="page">
                <wp:posOffset>901700</wp:posOffset>
              </wp:positionH>
              <wp:positionV relativeFrom="page">
                <wp:posOffset>490475</wp:posOffset>
              </wp:positionV>
              <wp:extent cx="4311015" cy="3422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342265"/>
                      </a:xfrm>
                      <a:prstGeom prst="rect">
                        <a:avLst/>
                      </a:prstGeom>
                    </wps:spPr>
                    <wps:txbx>
                      <w:txbxContent>
                        <w:p w14:paraId="24D63281"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82" w14:textId="77777777" w:rsidR="00245300" w:rsidRDefault="00F17249">
                          <w:pPr>
                            <w:pStyle w:val="BodyText"/>
                            <w:ind w:left="20"/>
                          </w:pPr>
                          <w:r>
                            <w:t>710</w:t>
                          </w:r>
                          <w:r>
                            <w:rPr>
                              <w:spacing w:val="-9"/>
                            </w:rPr>
                            <w:t xml:space="preserve"> </w:t>
                          </w:r>
                          <w:r>
                            <w:t>E</w:t>
                          </w:r>
                          <w:r>
                            <w:rPr>
                              <w:spacing w:val="-9"/>
                            </w:rPr>
                            <w:t xml:space="preserve"> </w:t>
                          </w:r>
                          <w:r>
                            <w:t>–</w:t>
                          </w:r>
                          <w:r>
                            <w:rPr>
                              <w:spacing w:val="-9"/>
                            </w:rPr>
                            <w:t xml:space="preserve"> </w:t>
                          </w:r>
                          <w:r>
                            <w:t>Agreed-Upon</w:t>
                          </w:r>
                          <w:r>
                            <w:rPr>
                              <w:spacing w:val="-9"/>
                            </w:rPr>
                            <w:t xml:space="preserve"> </w:t>
                          </w:r>
                          <w:r>
                            <w:t>Procedures</w:t>
                          </w:r>
                          <w:r>
                            <w:rPr>
                              <w:spacing w:val="-9"/>
                            </w:rPr>
                            <w:t xml:space="preserve"> </w:t>
                          </w:r>
                          <w:r>
                            <w:t>Engagement</w:t>
                          </w:r>
                          <w:r>
                            <w:rPr>
                              <w:spacing w:val="-9"/>
                            </w:rPr>
                            <w:t xml:space="preserve"> </w:t>
                          </w:r>
                          <w:r>
                            <w:t>Completion</w:t>
                          </w:r>
                          <w:r>
                            <w:rPr>
                              <w:spacing w:val="-9"/>
                            </w:rPr>
                            <w:t xml:space="preserve"> </w:t>
                          </w:r>
                          <w:r>
                            <w:rPr>
                              <w:spacing w:val="-2"/>
                            </w:rPr>
                            <w:t>Checklist</w:t>
                          </w:r>
                        </w:p>
                      </w:txbxContent>
                    </wps:txbx>
                    <wps:bodyPr wrap="square" lIns="0" tIns="0" rIns="0" bIns="0" rtlCol="0">
                      <a:noAutofit/>
                    </wps:bodyPr>
                  </wps:wsp>
                </a:graphicData>
              </a:graphic>
            </wp:anchor>
          </w:drawing>
        </mc:Choice>
        <mc:Fallback>
          <w:pict>
            <v:shapetype w14:anchorId="24D62F0E" id="_x0000_t202" coordsize="21600,21600" o:spt="202" path="m,l,21600r21600,l21600,xe">
              <v:stroke joinstyle="miter"/>
              <v:path gradientshapeok="t" o:connecttype="rect"/>
            </v:shapetype>
            <v:shape id="Textbox 248" o:spid="_x0000_s1128" type="#_x0000_t202" style="position:absolute;margin-left:71pt;margin-top:38.6pt;width:339.45pt;height:26.95pt;z-index:-279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" filled="f" stroked="f">
              <v:textbox inset="0,0,0,0">
                <w:txbxContent>
                  <w:p w14:paraId="24D63281" w14:textId="77777777" w:rsidR="00245300" w:rsidRDefault="00F17249">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24D63282" w14:textId="77777777" w:rsidR="00245300" w:rsidRDefault="00F17249">
                    <w:pPr>
                      <w:pStyle w:val="BodyText"/>
                      <w:ind w:left="20"/>
                    </w:pPr>
                    <w:r>
                      <w:t>710</w:t>
                    </w:r>
                    <w:r>
                      <w:rPr>
                        <w:spacing w:val="-9"/>
                      </w:rPr>
                      <w:t xml:space="preserve"> </w:t>
                    </w:r>
                    <w:r>
                      <w:t>E</w:t>
                    </w:r>
                    <w:r>
                      <w:rPr>
                        <w:spacing w:val="-9"/>
                      </w:rPr>
                      <w:t xml:space="preserve"> </w:t>
                    </w:r>
                    <w:r>
                      <w:t>–</w:t>
                    </w:r>
                    <w:r>
                      <w:rPr>
                        <w:spacing w:val="-9"/>
                      </w:rPr>
                      <w:t xml:space="preserve"> </w:t>
                    </w:r>
                    <w:r>
                      <w:t>Agreed-Upon</w:t>
                    </w:r>
                    <w:r>
                      <w:rPr>
                        <w:spacing w:val="-9"/>
                      </w:rPr>
                      <w:t xml:space="preserve"> </w:t>
                    </w:r>
                    <w:r>
                      <w:t>Procedures</w:t>
                    </w:r>
                    <w:r>
                      <w:rPr>
                        <w:spacing w:val="-9"/>
                      </w:rPr>
                      <w:t xml:space="preserve"> </w:t>
                    </w:r>
                    <w:r>
                      <w:t>Engagement</w:t>
                    </w:r>
                    <w:r>
                      <w:rPr>
                        <w:spacing w:val="-9"/>
                      </w:rPr>
                      <w:t xml:space="preserve"> </w:t>
                    </w:r>
                    <w:r>
                      <w:t>Completion</w:t>
                    </w:r>
                    <w:r>
                      <w:rPr>
                        <w:spacing w:val="-9"/>
                      </w:rPr>
                      <w:t xml:space="preserve"> </w:t>
                    </w:r>
                    <w:r>
                      <w:rPr>
                        <w:spacing w:val="-2"/>
                      </w:rPr>
                      <w:t>Checklist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6" w14:textId="77777777" w:rsidR="00245300" w:rsidRDefault="00F17249">
    <w:pPr>
      <w:pStyle w:val="BodyText"/>
      <w:spacing w:line="14" w:lineRule="auto"/>
      <w:rPr>
        <w:sz w:val="20"/>
      </w:rPr>
    </w:pPr>
    <w:r>
      <w:rPr>
        <w:noProof/>
      </w:rPr>
      <mc:AlternateContent>
        <mc:Choice Requires="wps">
          <w:drawing>
            <wp:anchor distT="0" distB="0" distL="0" distR="0" simplePos="0" relativeHeight="475245056" behindDoc="1" locked="0" layoutInCell="1" allowOverlap="1" wp14:anchorId="24D62DBA" wp14:editId="24D62DBB">
              <wp:simplePos x="0" y="0"/>
              <wp:positionH relativeFrom="page">
                <wp:posOffset>895350</wp:posOffset>
              </wp:positionH>
              <wp:positionV relativeFrom="page">
                <wp:posOffset>457962</wp:posOffset>
              </wp:positionV>
              <wp:extent cx="5981700" cy="2857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798F2" id="Graphic 41" o:spid="_x0000_s1026" style="position:absolute;margin-left:70.5pt;margin-top:36.05pt;width:471pt;height:2.25pt;z-index:-280714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45568" behindDoc="1" locked="0" layoutInCell="1" allowOverlap="1" wp14:anchorId="24D62DBC" wp14:editId="24D62DBD">
              <wp:simplePos x="0" y="0"/>
              <wp:positionH relativeFrom="page">
                <wp:posOffset>895350</wp:posOffset>
              </wp:positionH>
              <wp:positionV relativeFrom="page">
                <wp:posOffset>671322</wp:posOffset>
              </wp:positionV>
              <wp:extent cx="5981700" cy="2857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CE684" id="Graphic 42" o:spid="_x0000_s1026" style="position:absolute;margin-left:70.5pt;margin-top:52.85pt;width:471pt;height:2.25pt;z-index:-280709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46080" behindDoc="1" locked="0" layoutInCell="1" allowOverlap="1" wp14:anchorId="24D62DBE" wp14:editId="24D62DBF">
              <wp:simplePos x="0" y="0"/>
              <wp:positionH relativeFrom="page">
                <wp:posOffset>901700</wp:posOffset>
              </wp:positionH>
              <wp:positionV relativeFrom="page">
                <wp:posOffset>490475</wp:posOffset>
              </wp:positionV>
              <wp:extent cx="4001770" cy="1816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1770" cy="181610"/>
                      </a:xfrm>
                      <a:prstGeom prst="rect">
                        <a:avLst/>
                      </a:prstGeom>
                    </wps:spPr>
                    <wps:txbx>
                      <w:txbxContent>
                        <w:p w14:paraId="24D6320B" w14:textId="77777777" w:rsidR="00245300" w:rsidRDefault="00F17249">
                          <w:pPr>
                            <w:pStyle w:val="BodyText"/>
                            <w:spacing w:before="12"/>
                            <w:ind w:left="20"/>
                          </w:pPr>
                          <w:r>
                            <w:t>Contents</w:t>
                          </w:r>
                          <w:r>
                            <w:rPr>
                              <w:spacing w:val="-7"/>
                            </w:rPr>
                            <w:t xml:space="preserve"> </w:t>
                          </w:r>
                          <w:r>
                            <w:t>of</w:t>
                          </w:r>
                          <w:r>
                            <w:rPr>
                              <w:spacing w:val="-7"/>
                            </w:rPr>
                            <w:t xml:space="preserve"> </w:t>
                          </w:r>
                          <w:r>
                            <w:t>FAM</w:t>
                          </w:r>
                          <w:r>
                            <w:rPr>
                              <w:spacing w:val="-7"/>
                            </w:rPr>
                            <w:t xml:space="preserve"> </w:t>
                          </w:r>
                          <w:r>
                            <w:t>Volume</w:t>
                          </w:r>
                          <w:r>
                            <w:rPr>
                              <w:spacing w:val="-7"/>
                            </w:rPr>
                            <w:t xml:space="preserve"> </w:t>
                          </w:r>
                          <w:r>
                            <w:t>2</w:t>
                          </w:r>
                          <w:r>
                            <w:rPr>
                              <w:spacing w:val="-7"/>
                            </w:rPr>
                            <w:t xml:space="preserve"> </w:t>
                          </w:r>
                          <w:r>
                            <w:t>–</w:t>
                          </w:r>
                          <w:r>
                            <w:rPr>
                              <w:spacing w:val="-6"/>
                            </w:rPr>
                            <w:t xml:space="preserve"> </w:t>
                          </w:r>
                          <w:r>
                            <w:t>Detailed</w:t>
                          </w:r>
                          <w:r>
                            <w:rPr>
                              <w:spacing w:val="-7"/>
                            </w:rPr>
                            <w:t xml:space="preserve"> </w:t>
                          </w:r>
                          <w:r>
                            <w:t>Implementation</w:t>
                          </w:r>
                          <w:r>
                            <w:rPr>
                              <w:spacing w:val="-7"/>
                            </w:rPr>
                            <w:t xml:space="preserve"> </w:t>
                          </w:r>
                          <w:r>
                            <w:rPr>
                              <w:spacing w:val="-2"/>
                            </w:rPr>
                            <w:t>Guidance</w:t>
                          </w:r>
                        </w:p>
                      </w:txbxContent>
                    </wps:txbx>
                    <wps:bodyPr wrap="square" lIns="0" tIns="0" rIns="0" bIns="0" rtlCol="0">
                      <a:noAutofit/>
                    </wps:bodyPr>
                  </wps:wsp>
                </a:graphicData>
              </a:graphic>
            </wp:anchor>
          </w:drawing>
        </mc:Choice>
        <mc:Fallback>
          <w:pict>
            <v:shapetype w14:anchorId="24D62DBE" id="_x0000_t202" coordsize="21600,21600" o:spt="202" path="m,l,21600r21600,l21600,xe">
              <v:stroke joinstyle="miter"/>
              <v:path gradientshapeok="t" o:connecttype="rect"/>
            </v:shapetype>
            <v:shape id="Textbox 43" o:spid="_x0000_s1032" type="#_x0000_t202" style="position:absolute;margin-left:71pt;margin-top:38.6pt;width:315.1pt;height:14.3pt;z-index:-280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" filled="f" stroked="f">
              <v:textbox inset="0,0,0,0">
                <w:txbxContent>
                  <w:p w14:paraId="24D6320B" w14:textId="77777777" w:rsidR="00245300" w:rsidRDefault="00F17249">
                    <w:pPr>
                      <w:pStyle w:val="BodyText"/>
                      <w:spacing w:before="12"/>
                      <w:ind w:left="20"/>
                    </w:pPr>
                    <w:r>
                      <w:t>Contents</w:t>
                    </w:r>
                    <w:r>
                      <w:rPr>
                        <w:spacing w:val="-7"/>
                      </w:rPr>
                      <w:t xml:space="preserve"> </w:t>
                    </w:r>
                    <w:r>
                      <w:t>of</w:t>
                    </w:r>
                    <w:r>
                      <w:rPr>
                        <w:spacing w:val="-7"/>
                      </w:rPr>
                      <w:t xml:space="preserve"> </w:t>
                    </w:r>
                    <w:r>
                      <w:t>FAM</w:t>
                    </w:r>
                    <w:r>
                      <w:rPr>
                        <w:spacing w:val="-7"/>
                      </w:rPr>
                      <w:t xml:space="preserve"> </w:t>
                    </w:r>
                    <w:r>
                      <w:t>Volume</w:t>
                    </w:r>
                    <w:r>
                      <w:rPr>
                        <w:spacing w:val="-7"/>
                      </w:rPr>
                      <w:t xml:space="preserve"> </w:t>
                    </w:r>
                    <w:r>
                      <w:t>2</w:t>
                    </w:r>
                    <w:r>
                      <w:rPr>
                        <w:spacing w:val="-7"/>
                      </w:rPr>
                      <w:t xml:space="preserve"> </w:t>
                    </w:r>
                    <w:r>
                      <w:t>–</w:t>
                    </w:r>
                    <w:r>
                      <w:rPr>
                        <w:spacing w:val="-6"/>
                      </w:rPr>
                      <w:t xml:space="preserve"> </w:t>
                    </w:r>
                    <w:r>
                      <w:t>Detailed</w:t>
                    </w:r>
                    <w:r>
                      <w:rPr>
                        <w:spacing w:val="-7"/>
                      </w:rPr>
                      <w:t xml:space="preserve"> </w:t>
                    </w:r>
                    <w:r>
                      <w:t>Implementation</w:t>
                    </w:r>
                    <w:r>
                      <w:rPr>
                        <w:spacing w:val="-7"/>
                      </w:rPr>
                      <w:t xml:space="preserve"> </w:t>
                    </w:r>
                    <w:r>
                      <w:rPr>
                        <w:spacing w:val="-2"/>
                      </w:rPr>
                      <w:t>Guidance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C" w14:textId="77777777" w:rsidR="00245300" w:rsidRDefault="00245300">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3E" w14:textId="77777777" w:rsidR="00245300" w:rsidRDefault="00F17249">
    <w:pPr>
      <w:pStyle w:val="BodyText"/>
      <w:spacing w:line="14" w:lineRule="auto"/>
      <w:rPr>
        <w:sz w:val="20"/>
      </w:rPr>
    </w:pPr>
    <w:r>
      <w:rPr>
        <w:noProof/>
      </w:rPr>
      <mc:AlternateContent>
        <mc:Choice Requires="wps">
          <w:drawing>
            <wp:anchor distT="0" distB="0" distL="0" distR="0" simplePos="0" relativeHeight="475334656" behindDoc="1" locked="0" layoutInCell="1" allowOverlap="1" wp14:anchorId="24D62F18" wp14:editId="24D62F19">
              <wp:simplePos x="0" y="0"/>
              <wp:positionH relativeFrom="page">
                <wp:posOffset>895350</wp:posOffset>
              </wp:positionH>
              <wp:positionV relativeFrom="page">
                <wp:posOffset>457962</wp:posOffset>
              </wp:positionV>
              <wp:extent cx="5981700" cy="2857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75564" id="Graphic 260" o:spid="_x0000_s1026" style="position:absolute;margin-left:70.5pt;margin-top:36.05pt;width:471pt;height:2.25pt;z-index:-279818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35168" behindDoc="1" locked="0" layoutInCell="1" allowOverlap="1" wp14:anchorId="24D62F1A" wp14:editId="24D62F1B">
              <wp:simplePos x="0" y="0"/>
              <wp:positionH relativeFrom="page">
                <wp:posOffset>895350</wp:posOffset>
              </wp:positionH>
              <wp:positionV relativeFrom="page">
                <wp:posOffset>832103</wp:posOffset>
              </wp:positionV>
              <wp:extent cx="5981700" cy="2857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7F58BD" id="Graphic 261" o:spid="_x0000_s1026" style="position:absolute;margin-left:70.5pt;margin-top:65.5pt;width:471pt;height:2.25pt;z-index:-279813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35680" behindDoc="1" locked="0" layoutInCell="1" allowOverlap="1" wp14:anchorId="24D62F1C" wp14:editId="24D62F1D">
              <wp:simplePos x="0" y="0"/>
              <wp:positionH relativeFrom="page">
                <wp:posOffset>901700</wp:posOffset>
              </wp:positionH>
              <wp:positionV relativeFrom="page">
                <wp:posOffset>490475</wp:posOffset>
              </wp:positionV>
              <wp:extent cx="1905000" cy="3422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42265"/>
                      </a:xfrm>
                      <a:prstGeom prst="rect">
                        <a:avLst/>
                      </a:prstGeom>
                    </wps:spPr>
                    <wps:txbx>
                      <w:txbxContent>
                        <w:p w14:paraId="24D63286" w14:textId="77777777" w:rsidR="00245300" w:rsidRDefault="00F17249">
                          <w:pPr>
                            <w:pStyle w:val="BodyText"/>
                            <w:spacing w:before="12"/>
                            <w:ind w:left="20"/>
                          </w:pPr>
                          <w:r>
                            <w:rPr>
                              <w:spacing w:val="-2"/>
                            </w:rPr>
                            <w:t>Compliance</w:t>
                          </w:r>
                        </w:p>
                        <w:p w14:paraId="24D63287" w14:textId="77777777" w:rsidR="00245300" w:rsidRDefault="00F17249">
                          <w:pPr>
                            <w:pStyle w:val="BodyText"/>
                            <w:ind w:left="20"/>
                          </w:pPr>
                          <w:r>
                            <w:t>800</w:t>
                          </w:r>
                          <w:r>
                            <w:rPr>
                              <w:spacing w:val="-5"/>
                            </w:rPr>
                            <w:t xml:space="preserve"> </w:t>
                          </w:r>
                          <w:r>
                            <w:t>–</w:t>
                          </w:r>
                          <w:r>
                            <w:rPr>
                              <w:spacing w:val="-4"/>
                            </w:rPr>
                            <w:t xml:space="preserve"> </w:t>
                          </w:r>
                          <w:r>
                            <w:t>Contents</w:t>
                          </w:r>
                          <w:r>
                            <w:rPr>
                              <w:spacing w:val="-4"/>
                            </w:rPr>
                            <w:t xml:space="preserve"> </w:t>
                          </w:r>
                          <w:r>
                            <w:t>of</w:t>
                          </w:r>
                          <w:r>
                            <w:rPr>
                              <w:spacing w:val="-4"/>
                            </w:rPr>
                            <w:t xml:space="preserve"> </w:t>
                          </w:r>
                          <w:r>
                            <w:rPr>
                              <w:spacing w:val="-2"/>
                            </w:rPr>
                            <w:t>Compliance</w:t>
                          </w:r>
                        </w:p>
                      </w:txbxContent>
                    </wps:txbx>
                    <wps:bodyPr wrap="square" lIns="0" tIns="0" rIns="0" bIns="0" rtlCol="0">
                      <a:noAutofit/>
                    </wps:bodyPr>
                  </wps:wsp>
                </a:graphicData>
              </a:graphic>
            </wp:anchor>
          </w:drawing>
        </mc:Choice>
        <mc:Fallback>
          <w:pict>
            <v:shapetype w14:anchorId="24D62F1C" id="_x0000_t202" coordsize="21600,21600" o:spt="202" path="m,l,21600r21600,l21600,xe">
              <v:stroke joinstyle="miter"/>
              <v:path gradientshapeok="t" o:connecttype="rect"/>
            </v:shapetype>
            <v:shape id="Textbox 262" o:spid="_x0000_s1132" type="#_x0000_t202" style="position:absolute;margin-left:71pt;margin-top:38.6pt;width:150pt;height:26.95pt;z-index:-279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" filled="f" stroked="f">
              <v:textbox inset="0,0,0,0">
                <w:txbxContent>
                  <w:p w14:paraId="24D63286" w14:textId="77777777" w:rsidR="00245300" w:rsidRDefault="00F17249">
                    <w:pPr>
                      <w:pStyle w:val="BodyText"/>
                      <w:spacing w:before="12"/>
                      <w:ind w:left="20"/>
                    </w:pPr>
                    <w:r>
                      <w:rPr>
                        <w:spacing w:val="-2"/>
                      </w:rPr>
                      <w:t>Compliance</w:t>
                    </w:r>
                  </w:p>
                  <w:p w14:paraId="24D63287" w14:textId="77777777" w:rsidR="00245300" w:rsidRDefault="00F17249">
                    <w:pPr>
                      <w:pStyle w:val="BodyText"/>
                      <w:ind w:left="20"/>
                    </w:pPr>
                    <w:r>
                      <w:t>800</w:t>
                    </w:r>
                    <w:r>
                      <w:rPr>
                        <w:spacing w:val="-5"/>
                      </w:rPr>
                      <w:t xml:space="preserve"> </w:t>
                    </w:r>
                    <w:r>
                      <w:t>–</w:t>
                    </w:r>
                    <w:r>
                      <w:rPr>
                        <w:spacing w:val="-4"/>
                      </w:rPr>
                      <w:t xml:space="preserve"> </w:t>
                    </w:r>
                    <w:r>
                      <w:t>Contents</w:t>
                    </w:r>
                    <w:r>
                      <w:rPr>
                        <w:spacing w:val="-4"/>
                      </w:rPr>
                      <w:t xml:space="preserve"> </w:t>
                    </w:r>
                    <w:r>
                      <w:t>of</w:t>
                    </w:r>
                    <w:r>
                      <w:rPr>
                        <w:spacing w:val="-4"/>
                      </w:rPr>
                      <w:t xml:space="preserve"> </w:t>
                    </w:r>
                    <w:r>
                      <w:rPr>
                        <w:spacing w:val="-2"/>
                      </w:rPr>
                      <w:t>Compliance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0" w14:textId="77777777" w:rsidR="00245300" w:rsidRDefault="00F17249">
    <w:pPr>
      <w:pStyle w:val="BodyText"/>
      <w:spacing w:line="14" w:lineRule="auto"/>
      <w:rPr>
        <w:sz w:val="20"/>
      </w:rPr>
    </w:pPr>
    <w:r>
      <w:rPr>
        <w:noProof/>
      </w:rPr>
      <mc:AlternateContent>
        <mc:Choice Requires="wps">
          <w:drawing>
            <wp:anchor distT="0" distB="0" distL="0" distR="0" simplePos="0" relativeHeight="475338240" behindDoc="1" locked="0" layoutInCell="1" allowOverlap="1" wp14:anchorId="24D62F26" wp14:editId="24D62F27">
              <wp:simplePos x="0" y="0"/>
              <wp:positionH relativeFrom="page">
                <wp:posOffset>895350</wp:posOffset>
              </wp:positionH>
              <wp:positionV relativeFrom="page">
                <wp:posOffset>457962</wp:posOffset>
              </wp:positionV>
              <wp:extent cx="5981700" cy="2857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EB6B9" id="Graphic 267" o:spid="_x0000_s1026" style="position:absolute;margin-left:70.5pt;margin-top:36.05pt;width:471pt;height:2.25pt;z-index:-279782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38752" behindDoc="1" locked="0" layoutInCell="1" allowOverlap="1" wp14:anchorId="24D62F28" wp14:editId="24D62F29">
              <wp:simplePos x="0" y="0"/>
              <wp:positionH relativeFrom="page">
                <wp:posOffset>895350</wp:posOffset>
              </wp:positionH>
              <wp:positionV relativeFrom="page">
                <wp:posOffset>832103</wp:posOffset>
              </wp:positionV>
              <wp:extent cx="5981700" cy="2857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A9C7A" id="Graphic 268" o:spid="_x0000_s1026" style="position:absolute;margin-left:70.5pt;margin-top:65.5pt;width:471pt;height:2.25pt;z-index:-279777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39264" behindDoc="1" locked="0" layoutInCell="1" allowOverlap="1" wp14:anchorId="24D62F2A" wp14:editId="24D62F2B">
              <wp:simplePos x="0" y="0"/>
              <wp:positionH relativeFrom="page">
                <wp:posOffset>901700</wp:posOffset>
              </wp:positionH>
              <wp:positionV relativeFrom="page">
                <wp:posOffset>490475</wp:posOffset>
              </wp:positionV>
              <wp:extent cx="2293620" cy="34226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42265"/>
                      </a:xfrm>
                      <a:prstGeom prst="rect">
                        <a:avLst/>
                      </a:prstGeom>
                    </wps:spPr>
                    <wps:txbx>
                      <w:txbxContent>
                        <w:p w14:paraId="24D6328B" w14:textId="77777777" w:rsidR="00245300" w:rsidRDefault="00F17249">
                          <w:pPr>
                            <w:pStyle w:val="BodyText"/>
                            <w:spacing w:before="12"/>
                            <w:ind w:left="20"/>
                          </w:pPr>
                          <w:r>
                            <w:rPr>
                              <w:spacing w:val="-2"/>
                            </w:rPr>
                            <w:t>Compliance</w:t>
                          </w:r>
                        </w:p>
                        <w:p w14:paraId="24D6328C"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24D62F2A" id="_x0000_t202" coordsize="21600,21600" o:spt="202" path="m,l,21600r21600,l21600,xe">
              <v:stroke joinstyle="miter"/>
              <v:path gradientshapeok="t" o:connecttype="rect"/>
            </v:shapetype>
            <v:shape id="Textbox 269" o:spid="_x0000_s1136" type="#_x0000_t202" style="position:absolute;margin-left:71pt;margin-top:38.6pt;width:180.6pt;height:26.95pt;z-index:-279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" filled="f" stroked="f">
              <v:textbox inset="0,0,0,0">
                <w:txbxContent>
                  <w:p w14:paraId="24D6328B" w14:textId="77777777" w:rsidR="00245300" w:rsidRDefault="00F17249">
                    <w:pPr>
                      <w:pStyle w:val="BodyText"/>
                      <w:spacing w:before="12"/>
                      <w:ind w:left="20"/>
                    </w:pPr>
                    <w:r>
                      <w:rPr>
                        <w:spacing w:val="-2"/>
                      </w:rPr>
                      <w:t>Compliance</w:t>
                    </w:r>
                  </w:p>
                  <w:p w14:paraId="24D6328C"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2" w14:textId="77777777" w:rsidR="00245300" w:rsidRDefault="00F17249">
    <w:pPr>
      <w:pStyle w:val="BodyText"/>
      <w:spacing w:line="14" w:lineRule="auto"/>
      <w:rPr>
        <w:sz w:val="20"/>
      </w:rPr>
    </w:pPr>
    <w:r>
      <w:rPr>
        <w:noProof/>
      </w:rPr>
      <mc:AlternateContent>
        <mc:Choice Requires="wps">
          <w:drawing>
            <wp:anchor distT="0" distB="0" distL="0" distR="0" simplePos="0" relativeHeight="475341824" behindDoc="1" locked="0" layoutInCell="1" allowOverlap="1" wp14:anchorId="24D62F34" wp14:editId="24D62F35">
              <wp:simplePos x="0" y="0"/>
              <wp:positionH relativeFrom="page">
                <wp:posOffset>895350</wp:posOffset>
              </wp:positionH>
              <wp:positionV relativeFrom="page">
                <wp:posOffset>457962</wp:posOffset>
              </wp:positionV>
              <wp:extent cx="5981700" cy="2857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3EDB34" id="Graphic 274" o:spid="_x0000_s1026" style="position:absolute;margin-left:70.5pt;margin-top:36.05pt;width:471pt;height:2.25pt;z-index:-279746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42336" behindDoc="1" locked="0" layoutInCell="1" allowOverlap="1" wp14:anchorId="24D62F36" wp14:editId="24D62F37">
              <wp:simplePos x="0" y="0"/>
              <wp:positionH relativeFrom="page">
                <wp:posOffset>895350</wp:posOffset>
              </wp:positionH>
              <wp:positionV relativeFrom="page">
                <wp:posOffset>832103</wp:posOffset>
              </wp:positionV>
              <wp:extent cx="5981700" cy="2857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15C97F" id="Graphic 275" o:spid="_x0000_s1026" style="position:absolute;margin-left:70.5pt;margin-top:65.5pt;width:471pt;height:2.25pt;z-index:-279741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42848" behindDoc="1" locked="0" layoutInCell="1" allowOverlap="1" wp14:anchorId="24D62F38" wp14:editId="24D62F39">
              <wp:simplePos x="0" y="0"/>
              <wp:positionH relativeFrom="page">
                <wp:posOffset>901700</wp:posOffset>
              </wp:positionH>
              <wp:positionV relativeFrom="page">
                <wp:posOffset>490475</wp:posOffset>
              </wp:positionV>
              <wp:extent cx="2293620" cy="34226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42265"/>
                      </a:xfrm>
                      <a:prstGeom prst="rect">
                        <a:avLst/>
                      </a:prstGeom>
                    </wps:spPr>
                    <wps:txbx>
                      <w:txbxContent>
                        <w:p w14:paraId="24D63290" w14:textId="77777777" w:rsidR="00245300" w:rsidRDefault="00F17249">
                          <w:pPr>
                            <w:pStyle w:val="BodyText"/>
                            <w:spacing w:before="12"/>
                            <w:ind w:left="20"/>
                          </w:pPr>
                          <w:r>
                            <w:rPr>
                              <w:spacing w:val="-2"/>
                            </w:rPr>
                            <w:t>Compliance</w:t>
                          </w:r>
                        </w:p>
                        <w:p w14:paraId="24D63291"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24D62F38" id="_x0000_t202" coordsize="21600,21600" o:spt="202" path="m,l,21600r21600,l21600,xe">
              <v:stroke joinstyle="miter"/>
              <v:path gradientshapeok="t" o:connecttype="rect"/>
            </v:shapetype>
            <v:shape id="Textbox 276" o:spid="_x0000_s1140" type="#_x0000_t202" style="position:absolute;margin-left:71pt;margin-top:38.6pt;width:180.6pt;height:26.95pt;z-index:-279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" filled="f" stroked="f">
              <v:textbox inset="0,0,0,0">
                <w:txbxContent>
                  <w:p w14:paraId="24D63290" w14:textId="77777777" w:rsidR="00245300" w:rsidRDefault="00F17249">
                    <w:pPr>
                      <w:pStyle w:val="BodyText"/>
                      <w:spacing w:before="12"/>
                      <w:ind w:left="20"/>
                    </w:pPr>
                    <w:r>
                      <w:rPr>
                        <w:spacing w:val="-2"/>
                      </w:rPr>
                      <w:t>Compliance</w:t>
                    </w:r>
                  </w:p>
                  <w:p w14:paraId="24D63291"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4" w14:textId="77777777" w:rsidR="00245300" w:rsidRDefault="00F17249">
    <w:pPr>
      <w:pStyle w:val="BodyText"/>
      <w:spacing w:line="14" w:lineRule="auto"/>
      <w:rPr>
        <w:sz w:val="20"/>
      </w:rPr>
    </w:pPr>
    <w:r>
      <w:rPr>
        <w:noProof/>
      </w:rPr>
      <mc:AlternateContent>
        <mc:Choice Requires="wps">
          <w:drawing>
            <wp:anchor distT="0" distB="0" distL="0" distR="0" simplePos="0" relativeHeight="475345408" behindDoc="1" locked="0" layoutInCell="1" allowOverlap="1" wp14:anchorId="24D62F42" wp14:editId="24D62F43">
              <wp:simplePos x="0" y="0"/>
              <wp:positionH relativeFrom="page">
                <wp:posOffset>895350</wp:posOffset>
              </wp:positionH>
              <wp:positionV relativeFrom="page">
                <wp:posOffset>457962</wp:posOffset>
              </wp:positionV>
              <wp:extent cx="5981700" cy="28575"/>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BD2FA7" id="Graphic 284" o:spid="_x0000_s1026" style="position:absolute;margin-left:70.5pt;margin-top:36.05pt;width:471pt;height:2.25pt;z-index:-279710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45920" behindDoc="1" locked="0" layoutInCell="1" allowOverlap="1" wp14:anchorId="24D62F44" wp14:editId="24D62F45">
              <wp:simplePos x="0" y="0"/>
              <wp:positionH relativeFrom="page">
                <wp:posOffset>901700</wp:posOffset>
              </wp:positionH>
              <wp:positionV relativeFrom="page">
                <wp:posOffset>490475</wp:posOffset>
              </wp:positionV>
              <wp:extent cx="2293620" cy="3422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42265"/>
                      </a:xfrm>
                      <a:prstGeom prst="rect">
                        <a:avLst/>
                      </a:prstGeom>
                    </wps:spPr>
                    <wps:txbx>
                      <w:txbxContent>
                        <w:p w14:paraId="24D63295" w14:textId="77777777" w:rsidR="00245300" w:rsidRDefault="00F17249">
                          <w:pPr>
                            <w:pStyle w:val="BodyText"/>
                            <w:spacing w:before="12"/>
                            <w:ind w:left="20"/>
                          </w:pPr>
                          <w:r>
                            <w:rPr>
                              <w:spacing w:val="-2"/>
                            </w:rPr>
                            <w:t>Compliance</w:t>
                          </w:r>
                        </w:p>
                        <w:p w14:paraId="24D63296"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24D62F44" id="_x0000_t202" coordsize="21600,21600" o:spt="202" path="m,l,21600r21600,l21600,xe">
              <v:stroke joinstyle="miter"/>
              <v:path gradientshapeok="t" o:connecttype="rect"/>
            </v:shapetype>
            <v:shape id="Textbox 285" o:spid="_x0000_s1144" type="#_x0000_t202" style="position:absolute;margin-left:71pt;margin-top:38.6pt;width:180.6pt;height:26.95pt;z-index:-279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" filled="f" stroked="f">
              <v:textbox inset="0,0,0,0">
                <w:txbxContent>
                  <w:p w14:paraId="24D63295" w14:textId="77777777" w:rsidR="00245300" w:rsidRDefault="00F17249">
                    <w:pPr>
                      <w:pStyle w:val="BodyText"/>
                      <w:spacing w:before="12"/>
                      <w:ind w:left="20"/>
                    </w:pPr>
                    <w:r>
                      <w:rPr>
                        <w:spacing w:val="-2"/>
                      </w:rPr>
                      <w:t>Compliance</w:t>
                    </w:r>
                  </w:p>
                  <w:p w14:paraId="24D63296"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6" w14:textId="77777777" w:rsidR="00245300" w:rsidRDefault="00F17249">
    <w:pPr>
      <w:pStyle w:val="BodyText"/>
      <w:spacing w:line="14" w:lineRule="auto"/>
      <w:rPr>
        <w:sz w:val="20"/>
      </w:rPr>
    </w:pPr>
    <w:r>
      <w:rPr>
        <w:noProof/>
      </w:rPr>
      <mc:AlternateContent>
        <mc:Choice Requires="wps">
          <w:drawing>
            <wp:anchor distT="0" distB="0" distL="0" distR="0" simplePos="0" relativeHeight="475348480" behindDoc="1" locked="0" layoutInCell="1" allowOverlap="1" wp14:anchorId="24D62F4E" wp14:editId="24D62F4F">
              <wp:simplePos x="0" y="0"/>
              <wp:positionH relativeFrom="page">
                <wp:posOffset>895350</wp:posOffset>
              </wp:positionH>
              <wp:positionV relativeFrom="page">
                <wp:posOffset>457962</wp:posOffset>
              </wp:positionV>
              <wp:extent cx="5981700" cy="2857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FCCED2" id="Graphic 300" o:spid="_x0000_s1026" style="position:absolute;margin-left:70.5pt;margin-top:36.05pt;width:471pt;height:2.25pt;z-index:-279680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48992" behindDoc="1" locked="0" layoutInCell="1" allowOverlap="1" wp14:anchorId="24D62F50" wp14:editId="24D62F51">
              <wp:simplePos x="0" y="0"/>
              <wp:positionH relativeFrom="page">
                <wp:posOffset>895350</wp:posOffset>
              </wp:positionH>
              <wp:positionV relativeFrom="page">
                <wp:posOffset>832103</wp:posOffset>
              </wp:positionV>
              <wp:extent cx="5981700" cy="2857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21BCE3" id="Graphic 301" o:spid="_x0000_s1026" style="position:absolute;margin-left:70.5pt;margin-top:65.5pt;width:471pt;height:2.25pt;z-index:-279674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49504" behindDoc="1" locked="0" layoutInCell="1" allowOverlap="1" wp14:anchorId="24D62F52" wp14:editId="24D62F53">
              <wp:simplePos x="0" y="0"/>
              <wp:positionH relativeFrom="page">
                <wp:posOffset>901700</wp:posOffset>
              </wp:positionH>
              <wp:positionV relativeFrom="page">
                <wp:posOffset>490475</wp:posOffset>
              </wp:positionV>
              <wp:extent cx="2293620" cy="3422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42265"/>
                      </a:xfrm>
                      <a:prstGeom prst="rect">
                        <a:avLst/>
                      </a:prstGeom>
                    </wps:spPr>
                    <wps:txbx>
                      <w:txbxContent>
                        <w:p w14:paraId="24D6329A" w14:textId="77777777" w:rsidR="00245300" w:rsidRDefault="00F17249">
                          <w:pPr>
                            <w:pStyle w:val="BodyText"/>
                            <w:spacing w:before="12"/>
                            <w:ind w:left="20"/>
                          </w:pPr>
                          <w:r>
                            <w:rPr>
                              <w:spacing w:val="-2"/>
                            </w:rPr>
                            <w:t>Compliance</w:t>
                          </w:r>
                        </w:p>
                        <w:p w14:paraId="24D6329B"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24D62F52" id="_x0000_t202" coordsize="21600,21600" o:spt="202" path="m,l,21600r21600,l21600,xe">
              <v:stroke joinstyle="miter"/>
              <v:path gradientshapeok="t" o:connecttype="rect"/>
            </v:shapetype>
            <v:shape id="Textbox 302" o:spid="_x0000_s1148" type="#_x0000_t202" style="position:absolute;margin-left:71pt;margin-top:38.6pt;width:180.6pt;height:26.95pt;z-index:-279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" filled="f" stroked="f">
              <v:textbox inset="0,0,0,0">
                <w:txbxContent>
                  <w:p w14:paraId="24D6329A" w14:textId="77777777" w:rsidR="00245300" w:rsidRDefault="00F17249">
                    <w:pPr>
                      <w:pStyle w:val="BodyText"/>
                      <w:spacing w:before="12"/>
                      <w:ind w:left="20"/>
                    </w:pPr>
                    <w:r>
                      <w:rPr>
                        <w:spacing w:val="-2"/>
                      </w:rPr>
                      <w:t>Compliance</w:t>
                    </w:r>
                  </w:p>
                  <w:p w14:paraId="24D6329B"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8" w14:textId="77777777" w:rsidR="00245300" w:rsidRDefault="00F17249">
    <w:pPr>
      <w:pStyle w:val="BodyText"/>
      <w:spacing w:line="14" w:lineRule="auto"/>
      <w:rPr>
        <w:sz w:val="20"/>
      </w:rPr>
    </w:pPr>
    <w:r>
      <w:rPr>
        <w:noProof/>
      </w:rPr>
      <mc:AlternateContent>
        <mc:Choice Requires="wps">
          <w:drawing>
            <wp:anchor distT="0" distB="0" distL="0" distR="0" simplePos="0" relativeHeight="475352064" behindDoc="1" locked="0" layoutInCell="1" allowOverlap="1" wp14:anchorId="24D62F5C" wp14:editId="24D62F5D">
              <wp:simplePos x="0" y="0"/>
              <wp:positionH relativeFrom="page">
                <wp:posOffset>895350</wp:posOffset>
              </wp:positionH>
              <wp:positionV relativeFrom="page">
                <wp:posOffset>457962</wp:posOffset>
              </wp:positionV>
              <wp:extent cx="5981700" cy="28575"/>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A336E" id="Graphic 320" o:spid="_x0000_s1026" style="position:absolute;margin-left:70.5pt;margin-top:36.05pt;width:471pt;height:2.25pt;z-index:-279644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52576" behindDoc="1" locked="0" layoutInCell="1" allowOverlap="1" wp14:anchorId="24D62F5E" wp14:editId="24D62F5F">
              <wp:simplePos x="0" y="0"/>
              <wp:positionH relativeFrom="page">
                <wp:posOffset>901700</wp:posOffset>
              </wp:positionH>
              <wp:positionV relativeFrom="page">
                <wp:posOffset>490475</wp:posOffset>
              </wp:positionV>
              <wp:extent cx="2293620" cy="3422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42265"/>
                      </a:xfrm>
                      <a:prstGeom prst="rect">
                        <a:avLst/>
                      </a:prstGeom>
                    </wps:spPr>
                    <wps:txbx>
                      <w:txbxContent>
                        <w:p w14:paraId="24D6329F" w14:textId="77777777" w:rsidR="00245300" w:rsidRDefault="00F17249">
                          <w:pPr>
                            <w:pStyle w:val="BodyText"/>
                            <w:spacing w:before="12"/>
                            <w:ind w:left="20"/>
                          </w:pPr>
                          <w:r>
                            <w:rPr>
                              <w:spacing w:val="-2"/>
                            </w:rPr>
                            <w:t>Compliance</w:t>
                          </w:r>
                        </w:p>
                        <w:p w14:paraId="24D632A0"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24D62F5E" id="_x0000_t202" coordsize="21600,21600" o:spt="202" path="m,l,21600r21600,l21600,xe">
              <v:stroke joinstyle="miter"/>
              <v:path gradientshapeok="t" o:connecttype="rect"/>
            </v:shapetype>
            <v:shape id="Textbox 321" o:spid="_x0000_s1152" type="#_x0000_t202" style="position:absolute;margin-left:71pt;margin-top:38.6pt;width:180.6pt;height:26.95pt;z-index:-279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" filled="f" stroked="f">
              <v:textbox inset="0,0,0,0">
                <w:txbxContent>
                  <w:p w14:paraId="24D6329F" w14:textId="77777777" w:rsidR="00245300" w:rsidRDefault="00F17249">
                    <w:pPr>
                      <w:pStyle w:val="BodyText"/>
                      <w:spacing w:before="12"/>
                      <w:ind w:left="20"/>
                    </w:pPr>
                    <w:r>
                      <w:rPr>
                        <w:spacing w:val="-2"/>
                      </w:rPr>
                      <w:t>Compliance</w:t>
                    </w:r>
                  </w:p>
                  <w:p w14:paraId="24D632A0"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A" w14:textId="77777777" w:rsidR="00245300" w:rsidRDefault="00F17249">
    <w:pPr>
      <w:pStyle w:val="BodyText"/>
      <w:spacing w:line="14" w:lineRule="auto"/>
      <w:rPr>
        <w:sz w:val="20"/>
      </w:rPr>
    </w:pPr>
    <w:r>
      <w:rPr>
        <w:noProof/>
      </w:rPr>
      <mc:AlternateContent>
        <mc:Choice Requires="wps">
          <w:drawing>
            <wp:anchor distT="0" distB="0" distL="0" distR="0" simplePos="0" relativeHeight="475355136" behindDoc="1" locked="0" layoutInCell="1" allowOverlap="1" wp14:anchorId="24D62F68" wp14:editId="24D62F69">
              <wp:simplePos x="0" y="0"/>
              <wp:positionH relativeFrom="page">
                <wp:posOffset>895350</wp:posOffset>
              </wp:positionH>
              <wp:positionV relativeFrom="page">
                <wp:posOffset>457962</wp:posOffset>
              </wp:positionV>
              <wp:extent cx="5981700" cy="2857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8B7E3A" id="Graphic 386" o:spid="_x0000_s1026" style="position:absolute;margin-left:70.5pt;margin-top:36.05pt;width:471pt;height:2.25pt;z-index:-279613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55648" behindDoc="1" locked="0" layoutInCell="1" allowOverlap="1" wp14:anchorId="24D62F6A" wp14:editId="24D62F6B">
              <wp:simplePos x="0" y="0"/>
              <wp:positionH relativeFrom="page">
                <wp:posOffset>895350</wp:posOffset>
              </wp:positionH>
              <wp:positionV relativeFrom="page">
                <wp:posOffset>832103</wp:posOffset>
              </wp:positionV>
              <wp:extent cx="5981700" cy="2857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8EF708" id="Graphic 387" o:spid="_x0000_s1026" style="position:absolute;margin-left:70.5pt;margin-top:65.5pt;width:471pt;height:2.25pt;z-index:-279608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56160" behindDoc="1" locked="0" layoutInCell="1" allowOverlap="1" wp14:anchorId="24D62F6C" wp14:editId="24D62F6D">
              <wp:simplePos x="0" y="0"/>
              <wp:positionH relativeFrom="page">
                <wp:posOffset>901700</wp:posOffset>
              </wp:positionH>
              <wp:positionV relativeFrom="page">
                <wp:posOffset>490475</wp:posOffset>
              </wp:positionV>
              <wp:extent cx="2293620" cy="34226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620" cy="342265"/>
                      </a:xfrm>
                      <a:prstGeom prst="rect">
                        <a:avLst/>
                      </a:prstGeom>
                    </wps:spPr>
                    <wps:txbx>
                      <w:txbxContent>
                        <w:p w14:paraId="24D632A4" w14:textId="77777777" w:rsidR="00245300" w:rsidRDefault="00F17249">
                          <w:pPr>
                            <w:pStyle w:val="BodyText"/>
                            <w:spacing w:before="12"/>
                            <w:ind w:left="20"/>
                          </w:pPr>
                          <w:r>
                            <w:rPr>
                              <w:spacing w:val="-2"/>
                            </w:rPr>
                            <w:t>Compliance</w:t>
                          </w:r>
                        </w:p>
                        <w:p w14:paraId="24D632A5"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24D62F6C" id="_x0000_t202" coordsize="21600,21600" o:spt="202" path="m,l,21600r21600,l21600,xe">
              <v:stroke joinstyle="miter"/>
              <v:path gradientshapeok="t" o:connecttype="rect"/>
            </v:shapetype>
            <v:shape id="Textbox 388" o:spid="_x0000_s1156" type="#_x0000_t202" style="position:absolute;margin-left:71pt;margin-top:38.6pt;width:180.6pt;height:26.95pt;z-index:-279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" filled="f" stroked="f">
              <v:textbox inset="0,0,0,0">
                <w:txbxContent>
                  <w:p w14:paraId="24D632A4" w14:textId="77777777" w:rsidR="00245300" w:rsidRDefault="00F17249">
                    <w:pPr>
                      <w:pStyle w:val="BodyText"/>
                      <w:spacing w:before="12"/>
                      <w:ind w:left="20"/>
                    </w:pPr>
                    <w:r>
                      <w:rPr>
                        <w:spacing w:val="-2"/>
                      </w:rPr>
                      <w:t>Compliance</w:t>
                    </w:r>
                  </w:p>
                  <w:p w14:paraId="24D632A5" w14:textId="77777777" w:rsidR="00245300" w:rsidRDefault="00F17249">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C" w14:textId="77777777" w:rsidR="00245300" w:rsidRDefault="00F17249">
    <w:pPr>
      <w:pStyle w:val="BodyText"/>
      <w:spacing w:line="14" w:lineRule="auto"/>
      <w:rPr>
        <w:sz w:val="20"/>
      </w:rPr>
    </w:pPr>
    <w:r>
      <w:rPr>
        <w:noProof/>
      </w:rPr>
      <mc:AlternateContent>
        <mc:Choice Requires="wps">
          <w:drawing>
            <wp:anchor distT="0" distB="0" distL="0" distR="0" simplePos="0" relativeHeight="475358720" behindDoc="1" locked="0" layoutInCell="1" allowOverlap="1" wp14:anchorId="24D62F76" wp14:editId="24D62F77">
              <wp:simplePos x="0" y="0"/>
              <wp:positionH relativeFrom="page">
                <wp:posOffset>666750</wp:posOffset>
              </wp:positionH>
              <wp:positionV relativeFrom="page">
                <wp:posOffset>457962</wp:posOffset>
              </wp:positionV>
              <wp:extent cx="8496300" cy="2857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3D8D2" id="Graphic 393" o:spid="_x0000_s1026" style="position:absolute;margin-left:52.5pt;margin-top:36.05pt;width:669pt;height:2.25pt;z-index:-27957760;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59232" behindDoc="1" locked="0" layoutInCell="1" allowOverlap="1" wp14:anchorId="24D62F78" wp14:editId="24D62F79">
              <wp:simplePos x="0" y="0"/>
              <wp:positionH relativeFrom="page">
                <wp:posOffset>666750</wp:posOffset>
              </wp:positionH>
              <wp:positionV relativeFrom="page">
                <wp:posOffset>832103</wp:posOffset>
              </wp:positionV>
              <wp:extent cx="8496300" cy="2857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60431" id="Graphic 394" o:spid="_x0000_s1026" style="position:absolute;margin-left:52.5pt;margin-top:65.5pt;width:669pt;height:2.25pt;z-index:-27957248;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59744" behindDoc="1" locked="0" layoutInCell="1" allowOverlap="1" wp14:anchorId="24D62F7A" wp14:editId="24D62F7B">
              <wp:simplePos x="0" y="0"/>
              <wp:positionH relativeFrom="page">
                <wp:posOffset>673100</wp:posOffset>
              </wp:positionH>
              <wp:positionV relativeFrom="page">
                <wp:posOffset>490475</wp:posOffset>
              </wp:positionV>
              <wp:extent cx="5158105" cy="34226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105" cy="342265"/>
                      </a:xfrm>
                      <a:prstGeom prst="rect">
                        <a:avLst/>
                      </a:prstGeom>
                    </wps:spPr>
                    <wps:txbx>
                      <w:txbxContent>
                        <w:p w14:paraId="24D632A9" w14:textId="77777777" w:rsidR="00245300" w:rsidRDefault="00F17249">
                          <w:pPr>
                            <w:pStyle w:val="BodyText"/>
                            <w:spacing w:before="12"/>
                            <w:ind w:left="20"/>
                          </w:pPr>
                          <w:r>
                            <w:rPr>
                              <w:spacing w:val="-2"/>
                            </w:rPr>
                            <w:t>Compliance</w:t>
                          </w:r>
                        </w:p>
                        <w:p w14:paraId="24D632AA" w14:textId="77777777" w:rsidR="00245300" w:rsidRDefault="00F17249">
                          <w:pPr>
                            <w:pStyle w:val="BodyText"/>
                            <w:ind w:left="20"/>
                          </w:pPr>
                          <w:r>
                            <w:t>803</w:t>
                          </w:r>
                          <w:r>
                            <w:rPr>
                              <w:spacing w:val="-7"/>
                            </w:rPr>
                            <w:t xml:space="preserve"> </w:t>
                          </w:r>
                          <w:r>
                            <w:t>–</w:t>
                          </w:r>
                          <w:r>
                            <w:rPr>
                              <w:spacing w:val="-6"/>
                            </w:rPr>
                            <w:t xml:space="preserve"> </w:t>
                          </w:r>
                          <w:proofErr w:type="spellStart"/>
                          <w:r>
                            <w:t>Antideficiency</w:t>
                          </w:r>
                          <w:proofErr w:type="spellEnd"/>
                          <w:r>
                            <w:rPr>
                              <w:spacing w:val="-7"/>
                            </w:rPr>
                            <w:t xml:space="preserve"> </w:t>
                          </w:r>
                          <w:r>
                            <w:t>Act</w:t>
                          </w:r>
                          <w:r>
                            <w:rPr>
                              <w:spacing w:val="-7"/>
                            </w:rPr>
                            <w:t xml:space="preserve"> </w:t>
                          </w:r>
                          <w:r>
                            <w:t>(ADA),</w:t>
                          </w:r>
                          <w:r>
                            <w:rPr>
                              <w:spacing w:val="-6"/>
                            </w:rPr>
                            <w:t xml:space="preserve"> </w:t>
                          </w:r>
                          <w:r>
                            <w:t>as</w:t>
                          </w:r>
                          <w:r>
                            <w:rPr>
                              <w:spacing w:val="-7"/>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7"/>
                            </w:rPr>
                            <w:t xml:space="preserve"> </w:t>
                          </w:r>
                          <w:r>
                            <w:t>U.S.C.</w:t>
                          </w:r>
                          <w:r>
                            <w:rPr>
                              <w:spacing w:val="-7"/>
                            </w:rPr>
                            <w:t xml:space="preserve"> </w:t>
                          </w:r>
                          <w:r>
                            <w:t>Chapters</w:t>
                          </w:r>
                          <w:r>
                            <w:rPr>
                              <w:spacing w:val="-6"/>
                            </w:rPr>
                            <w:t xml:space="preserve"> </w:t>
                          </w:r>
                          <w:r>
                            <w:t>13,</w:t>
                          </w:r>
                          <w:r>
                            <w:rPr>
                              <w:spacing w:val="-7"/>
                            </w:rPr>
                            <w:t xml:space="preserve"> </w:t>
                          </w:r>
                          <w:r>
                            <w:rPr>
                              <w:spacing w:val="-5"/>
                            </w:rPr>
                            <w:t>15</w:t>
                          </w:r>
                        </w:p>
                      </w:txbxContent>
                    </wps:txbx>
                    <wps:bodyPr wrap="square" lIns="0" tIns="0" rIns="0" bIns="0" rtlCol="0">
                      <a:noAutofit/>
                    </wps:bodyPr>
                  </wps:wsp>
                </a:graphicData>
              </a:graphic>
            </wp:anchor>
          </w:drawing>
        </mc:Choice>
        <mc:Fallback>
          <w:pict>
            <v:shapetype w14:anchorId="24D62F7A" id="_x0000_t202" coordsize="21600,21600" o:spt="202" path="m,l,21600r21600,l21600,xe">
              <v:stroke joinstyle="miter"/>
              <v:path gradientshapeok="t" o:connecttype="rect"/>
            </v:shapetype>
            <v:shape id="Textbox 395" o:spid="_x0000_s1160" type="#_x0000_t202" style="position:absolute;margin-left:53pt;margin-top:38.6pt;width:406.15pt;height:26.95pt;z-index:-279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4ZmgEAACQDAAAOAAAAZHJzL2Uyb0RvYy54bWysUsGO2yAQvVfqPyDuDY63Wa2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" filled="f" stroked="f">
              <v:textbox inset="0,0,0,0">
                <w:txbxContent>
                  <w:p w14:paraId="24D632A9" w14:textId="77777777" w:rsidR="00245300" w:rsidRDefault="00F17249">
                    <w:pPr>
                      <w:pStyle w:val="BodyText"/>
                      <w:spacing w:before="12"/>
                      <w:ind w:left="20"/>
                    </w:pPr>
                    <w:r>
                      <w:rPr>
                        <w:spacing w:val="-2"/>
                      </w:rPr>
                      <w:t>Compliance</w:t>
                    </w:r>
                  </w:p>
                  <w:p w14:paraId="24D632AA" w14:textId="77777777" w:rsidR="00245300" w:rsidRDefault="00F17249">
                    <w:pPr>
                      <w:pStyle w:val="BodyText"/>
                      <w:ind w:left="20"/>
                    </w:pPr>
                    <w:r>
                      <w:t>803</w:t>
                    </w:r>
                    <w:r>
                      <w:rPr>
                        <w:spacing w:val="-7"/>
                      </w:rPr>
                      <w:t xml:space="preserve"> </w:t>
                    </w:r>
                    <w:r>
                      <w:t>–</w:t>
                    </w:r>
                    <w:r>
                      <w:rPr>
                        <w:spacing w:val="-6"/>
                      </w:rPr>
                      <w:t xml:space="preserve"> </w:t>
                    </w:r>
                    <w:proofErr w:type="spellStart"/>
                    <w:r>
                      <w:t>Antideficiency</w:t>
                    </w:r>
                    <w:proofErr w:type="spellEnd"/>
                    <w:r>
                      <w:rPr>
                        <w:spacing w:val="-7"/>
                      </w:rPr>
                      <w:t xml:space="preserve"> </w:t>
                    </w:r>
                    <w:r>
                      <w:t>Act</w:t>
                    </w:r>
                    <w:r>
                      <w:rPr>
                        <w:spacing w:val="-7"/>
                      </w:rPr>
                      <w:t xml:space="preserve"> </w:t>
                    </w:r>
                    <w:r>
                      <w:t>(ADA),</w:t>
                    </w:r>
                    <w:r>
                      <w:rPr>
                        <w:spacing w:val="-6"/>
                      </w:rPr>
                      <w:t xml:space="preserve"> </w:t>
                    </w:r>
                    <w:r>
                      <w:t>as</w:t>
                    </w:r>
                    <w:r>
                      <w:rPr>
                        <w:spacing w:val="-7"/>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7"/>
                      </w:rPr>
                      <w:t xml:space="preserve"> </w:t>
                    </w:r>
                    <w:r>
                      <w:t>U.S.C.</w:t>
                    </w:r>
                    <w:r>
                      <w:rPr>
                        <w:spacing w:val="-7"/>
                      </w:rPr>
                      <w:t xml:space="preserve"> </w:t>
                    </w:r>
                    <w:r>
                      <w:t>Chapters</w:t>
                    </w:r>
                    <w:r>
                      <w:rPr>
                        <w:spacing w:val="-6"/>
                      </w:rPr>
                      <w:t xml:space="preserve"> </w:t>
                    </w:r>
                    <w:r>
                      <w:t>13,</w:t>
                    </w:r>
                    <w:r>
                      <w:rPr>
                        <w:spacing w:val="-7"/>
                      </w:rPr>
                      <w:t xml:space="preserve"> </w:t>
                    </w:r>
                    <w:r>
                      <w:rPr>
                        <w:spacing w:val="-5"/>
                      </w:rPr>
                      <w:t>15</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4E" w14:textId="77777777" w:rsidR="00245300" w:rsidRDefault="00F17249">
    <w:pPr>
      <w:pStyle w:val="BodyText"/>
      <w:spacing w:line="14" w:lineRule="auto"/>
      <w:rPr>
        <w:sz w:val="20"/>
      </w:rPr>
    </w:pPr>
    <w:r>
      <w:rPr>
        <w:noProof/>
      </w:rPr>
      <mc:AlternateContent>
        <mc:Choice Requires="wps">
          <w:drawing>
            <wp:anchor distT="0" distB="0" distL="0" distR="0" simplePos="0" relativeHeight="475362304" behindDoc="1" locked="0" layoutInCell="1" allowOverlap="1" wp14:anchorId="24D62F84" wp14:editId="24D62F85">
              <wp:simplePos x="0" y="0"/>
              <wp:positionH relativeFrom="page">
                <wp:posOffset>895350</wp:posOffset>
              </wp:positionH>
              <wp:positionV relativeFrom="page">
                <wp:posOffset>457962</wp:posOffset>
              </wp:positionV>
              <wp:extent cx="5981700" cy="28575"/>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F4189E" id="Graphic 418" o:spid="_x0000_s1026" style="position:absolute;margin-left:70.5pt;margin-top:36.05pt;width:471pt;height:2.25pt;z-index:-279541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62816" behindDoc="1" locked="0" layoutInCell="1" allowOverlap="1" wp14:anchorId="24D62F86" wp14:editId="24D62F87">
              <wp:simplePos x="0" y="0"/>
              <wp:positionH relativeFrom="page">
                <wp:posOffset>895350</wp:posOffset>
              </wp:positionH>
              <wp:positionV relativeFrom="page">
                <wp:posOffset>832103</wp:posOffset>
              </wp:positionV>
              <wp:extent cx="5981700" cy="2857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F154D" id="Graphic 419" o:spid="_x0000_s1026" style="position:absolute;margin-left:70.5pt;margin-top:65.5pt;width:471pt;height:2.25pt;z-index:-279536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63328" behindDoc="1" locked="0" layoutInCell="1" allowOverlap="1" wp14:anchorId="24D62F88" wp14:editId="24D62F89">
              <wp:simplePos x="0" y="0"/>
              <wp:positionH relativeFrom="page">
                <wp:posOffset>901700</wp:posOffset>
              </wp:positionH>
              <wp:positionV relativeFrom="page">
                <wp:posOffset>490475</wp:posOffset>
              </wp:positionV>
              <wp:extent cx="5158105" cy="3422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105" cy="342265"/>
                      </a:xfrm>
                      <a:prstGeom prst="rect">
                        <a:avLst/>
                      </a:prstGeom>
                    </wps:spPr>
                    <wps:txbx>
                      <w:txbxContent>
                        <w:p w14:paraId="24D632AE" w14:textId="77777777" w:rsidR="00245300" w:rsidRDefault="00F17249">
                          <w:pPr>
                            <w:pStyle w:val="BodyText"/>
                            <w:spacing w:before="12"/>
                            <w:ind w:left="20"/>
                          </w:pPr>
                          <w:r>
                            <w:rPr>
                              <w:spacing w:val="-2"/>
                            </w:rPr>
                            <w:t>Compliance</w:t>
                          </w:r>
                        </w:p>
                        <w:p w14:paraId="24D632AF" w14:textId="77777777" w:rsidR="00245300" w:rsidRDefault="00F17249">
                          <w:pPr>
                            <w:pStyle w:val="BodyText"/>
                            <w:ind w:left="20"/>
                          </w:pPr>
                          <w:r>
                            <w:t>803</w:t>
                          </w:r>
                          <w:r>
                            <w:rPr>
                              <w:spacing w:val="-7"/>
                            </w:rPr>
                            <w:t xml:space="preserve"> </w:t>
                          </w:r>
                          <w:r>
                            <w:t>–</w:t>
                          </w:r>
                          <w:r>
                            <w:rPr>
                              <w:spacing w:val="-6"/>
                            </w:rPr>
                            <w:t xml:space="preserve"> </w:t>
                          </w:r>
                          <w:proofErr w:type="spellStart"/>
                          <w:r>
                            <w:t>Antideficiency</w:t>
                          </w:r>
                          <w:proofErr w:type="spellEnd"/>
                          <w:r>
                            <w:rPr>
                              <w:spacing w:val="-7"/>
                            </w:rPr>
                            <w:t xml:space="preserve"> </w:t>
                          </w:r>
                          <w:r>
                            <w:t>Act</w:t>
                          </w:r>
                          <w:r>
                            <w:rPr>
                              <w:spacing w:val="-7"/>
                            </w:rPr>
                            <w:t xml:space="preserve"> </w:t>
                          </w:r>
                          <w:r>
                            <w:t>(ADA),</w:t>
                          </w:r>
                          <w:r>
                            <w:rPr>
                              <w:spacing w:val="-6"/>
                            </w:rPr>
                            <w:t xml:space="preserve"> </w:t>
                          </w:r>
                          <w:r>
                            <w:t>as</w:t>
                          </w:r>
                          <w:r>
                            <w:rPr>
                              <w:spacing w:val="-7"/>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7"/>
                            </w:rPr>
                            <w:t xml:space="preserve"> </w:t>
                          </w:r>
                          <w:r>
                            <w:t>U.S.C.</w:t>
                          </w:r>
                          <w:r>
                            <w:rPr>
                              <w:spacing w:val="-7"/>
                            </w:rPr>
                            <w:t xml:space="preserve"> </w:t>
                          </w:r>
                          <w:r>
                            <w:t>Chapters</w:t>
                          </w:r>
                          <w:r>
                            <w:rPr>
                              <w:spacing w:val="-6"/>
                            </w:rPr>
                            <w:t xml:space="preserve"> </w:t>
                          </w:r>
                          <w:r>
                            <w:t>13,</w:t>
                          </w:r>
                          <w:r>
                            <w:rPr>
                              <w:spacing w:val="-7"/>
                            </w:rPr>
                            <w:t xml:space="preserve"> </w:t>
                          </w:r>
                          <w:r>
                            <w:rPr>
                              <w:spacing w:val="-5"/>
                            </w:rPr>
                            <w:t>15</w:t>
                          </w:r>
                        </w:p>
                      </w:txbxContent>
                    </wps:txbx>
                    <wps:bodyPr wrap="square" lIns="0" tIns="0" rIns="0" bIns="0" rtlCol="0">
                      <a:noAutofit/>
                    </wps:bodyPr>
                  </wps:wsp>
                </a:graphicData>
              </a:graphic>
            </wp:anchor>
          </w:drawing>
        </mc:Choice>
        <mc:Fallback>
          <w:pict>
            <v:shapetype w14:anchorId="24D62F88" id="_x0000_t202" coordsize="21600,21600" o:spt="202" path="m,l,21600r21600,l21600,xe">
              <v:stroke joinstyle="miter"/>
              <v:path gradientshapeok="t" o:connecttype="rect"/>
            </v:shapetype>
            <v:shape id="Textbox 420" o:spid="_x0000_s1164" type="#_x0000_t202" style="position:absolute;margin-left:71pt;margin-top:38.6pt;width:406.15pt;height:26.95pt;z-index:-279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" filled="f" stroked="f">
              <v:textbox inset="0,0,0,0">
                <w:txbxContent>
                  <w:p w14:paraId="24D632AE" w14:textId="77777777" w:rsidR="00245300" w:rsidRDefault="00F17249">
                    <w:pPr>
                      <w:pStyle w:val="BodyText"/>
                      <w:spacing w:before="12"/>
                      <w:ind w:left="20"/>
                    </w:pPr>
                    <w:r>
                      <w:rPr>
                        <w:spacing w:val="-2"/>
                      </w:rPr>
                      <w:t>Compliance</w:t>
                    </w:r>
                  </w:p>
                  <w:p w14:paraId="24D632AF" w14:textId="77777777" w:rsidR="00245300" w:rsidRDefault="00F17249">
                    <w:pPr>
                      <w:pStyle w:val="BodyText"/>
                      <w:ind w:left="20"/>
                    </w:pPr>
                    <w:r>
                      <w:t>803</w:t>
                    </w:r>
                    <w:r>
                      <w:rPr>
                        <w:spacing w:val="-7"/>
                      </w:rPr>
                      <w:t xml:space="preserve"> </w:t>
                    </w:r>
                    <w:r>
                      <w:t>–</w:t>
                    </w:r>
                    <w:r>
                      <w:rPr>
                        <w:spacing w:val="-6"/>
                      </w:rPr>
                      <w:t xml:space="preserve"> </w:t>
                    </w:r>
                    <w:proofErr w:type="spellStart"/>
                    <w:r>
                      <w:t>Antideficiency</w:t>
                    </w:r>
                    <w:proofErr w:type="spellEnd"/>
                    <w:r>
                      <w:rPr>
                        <w:spacing w:val="-7"/>
                      </w:rPr>
                      <w:t xml:space="preserve"> </w:t>
                    </w:r>
                    <w:r>
                      <w:t>Act</w:t>
                    </w:r>
                    <w:r>
                      <w:rPr>
                        <w:spacing w:val="-7"/>
                      </w:rPr>
                      <w:t xml:space="preserve"> </w:t>
                    </w:r>
                    <w:r>
                      <w:t>(ADA),</w:t>
                    </w:r>
                    <w:r>
                      <w:rPr>
                        <w:spacing w:val="-6"/>
                      </w:rPr>
                      <w:t xml:space="preserve"> </w:t>
                    </w:r>
                    <w:r>
                      <w:t>as</w:t>
                    </w:r>
                    <w:r>
                      <w:rPr>
                        <w:spacing w:val="-7"/>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7"/>
                      </w:rPr>
                      <w:t xml:space="preserve"> </w:t>
                    </w:r>
                    <w:r>
                      <w:t>U.S.C.</w:t>
                    </w:r>
                    <w:r>
                      <w:rPr>
                        <w:spacing w:val="-7"/>
                      </w:rPr>
                      <w:t xml:space="preserve"> </w:t>
                    </w:r>
                    <w:r>
                      <w:t>Chapters</w:t>
                    </w:r>
                    <w:r>
                      <w:rPr>
                        <w:spacing w:val="-6"/>
                      </w:rPr>
                      <w:t xml:space="preserve"> </w:t>
                    </w:r>
                    <w:r>
                      <w:t>13,</w:t>
                    </w:r>
                    <w:r>
                      <w:rPr>
                        <w:spacing w:val="-7"/>
                      </w:rPr>
                      <w:t xml:space="preserve"> </w:t>
                    </w:r>
                    <w:r>
                      <w:rPr>
                        <w:spacing w:val="-5"/>
                      </w:rPr>
                      <w:t>15</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8" w14:textId="77777777" w:rsidR="00245300" w:rsidRDefault="00245300">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0" w14:textId="77777777" w:rsidR="00245300" w:rsidRDefault="00F17249">
    <w:pPr>
      <w:pStyle w:val="BodyText"/>
      <w:spacing w:line="14" w:lineRule="auto"/>
      <w:rPr>
        <w:sz w:val="20"/>
      </w:rPr>
    </w:pPr>
    <w:r>
      <w:rPr>
        <w:noProof/>
      </w:rPr>
      <mc:AlternateContent>
        <mc:Choice Requires="wps">
          <w:drawing>
            <wp:anchor distT="0" distB="0" distL="0" distR="0" simplePos="0" relativeHeight="475365888" behindDoc="1" locked="0" layoutInCell="1" allowOverlap="1" wp14:anchorId="24D62F92" wp14:editId="24D62F93">
              <wp:simplePos x="0" y="0"/>
              <wp:positionH relativeFrom="page">
                <wp:posOffset>666750</wp:posOffset>
              </wp:positionH>
              <wp:positionV relativeFrom="page">
                <wp:posOffset>457962</wp:posOffset>
              </wp:positionV>
              <wp:extent cx="8496300" cy="28575"/>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0A2AF" id="Graphic 425" o:spid="_x0000_s1026" style="position:absolute;margin-left:52.5pt;margin-top:36.05pt;width:669pt;height:2.25pt;z-index:-27950592;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66400" behindDoc="1" locked="0" layoutInCell="1" allowOverlap="1" wp14:anchorId="24D62F94" wp14:editId="24D62F95">
              <wp:simplePos x="0" y="0"/>
              <wp:positionH relativeFrom="page">
                <wp:posOffset>666750</wp:posOffset>
              </wp:positionH>
              <wp:positionV relativeFrom="page">
                <wp:posOffset>832103</wp:posOffset>
              </wp:positionV>
              <wp:extent cx="8496300" cy="28575"/>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51FCEA" id="Graphic 426" o:spid="_x0000_s1026" style="position:absolute;margin-left:52.5pt;margin-top:65.5pt;width:669pt;height:2.25pt;z-index:-27950080;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66912" behindDoc="1" locked="0" layoutInCell="1" allowOverlap="1" wp14:anchorId="24D62F96" wp14:editId="24D62F97">
              <wp:simplePos x="0" y="0"/>
              <wp:positionH relativeFrom="page">
                <wp:posOffset>673100</wp:posOffset>
              </wp:positionH>
              <wp:positionV relativeFrom="page">
                <wp:posOffset>490475</wp:posOffset>
              </wp:positionV>
              <wp:extent cx="4887595" cy="34226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7595" cy="342265"/>
                      </a:xfrm>
                      <a:prstGeom prst="rect">
                        <a:avLst/>
                      </a:prstGeom>
                    </wps:spPr>
                    <wps:txbx>
                      <w:txbxContent>
                        <w:p w14:paraId="24D632B3" w14:textId="77777777" w:rsidR="00245300" w:rsidRDefault="00F17249">
                          <w:pPr>
                            <w:pStyle w:val="BodyText"/>
                            <w:spacing w:before="12"/>
                            <w:ind w:left="20"/>
                          </w:pPr>
                          <w:r>
                            <w:rPr>
                              <w:spacing w:val="-2"/>
                            </w:rPr>
                            <w:t>Compliance</w:t>
                          </w:r>
                        </w:p>
                        <w:p w14:paraId="24D632B4" w14:textId="77777777" w:rsidR="00245300" w:rsidRDefault="00F17249">
                          <w:pPr>
                            <w:pStyle w:val="BodyText"/>
                            <w:ind w:left="20"/>
                          </w:pPr>
                          <w:r>
                            <w:t>804</w:t>
                          </w:r>
                          <w:r>
                            <w:rPr>
                              <w:spacing w:val="-5"/>
                            </w:rPr>
                            <w:t xml:space="preserve"> </w:t>
                          </w:r>
                          <w:r>
                            <w:t>–</w:t>
                          </w:r>
                          <w:r>
                            <w:rPr>
                              <w:spacing w:val="-5"/>
                            </w:rPr>
                            <w:t xml:space="preserve"> </w:t>
                          </w:r>
                          <w:r>
                            <w:t>Federal</w:t>
                          </w:r>
                          <w:r>
                            <w:rPr>
                              <w:spacing w:val="-5"/>
                            </w:rPr>
                            <w:t xml:space="preserve"> </w:t>
                          </w:r>
                          <w:r>
                            <w:t>Credit</w:t>
                          </w:r>
                          <w:r>
                            <w:rPr>
                              <w:spacing w:val="-5"/>
                            </w:rPr>
                            <w:t xml:space="preserve"> </w:t>
                          </w:r>
                          <w:r>
                            <w:t>Reform</w:t>
                          </w:r>
                          <w:r>
                            <w:rPr>
                              <w:spacing w:val="-6"/>
                            </w:rPr>
                            <w:t xml:space="preserve"> </w:t>
                          </w:r>
                          <w:r>
                            <w:t>Act</w:t>
                          </w:r>
                          <w:r>
                            <w:rPr>
                              <w:spacing w:val="-5"/>
                            </w:rPr>
                            <w:t xml:space="preserve"> </w:t>
                          </w:r>
                          <w:r>
                            <w:t>of</w:t>
                          </w:r>
                          <w:r>
                            <w:rPr>
                              <w:spacing w:val="-4"/>
                            </w:rPr>
                            <w:t xml:space="preserve"> </w:t>
                          </w:r>
                          <w:r>
                            <w:t>1990,</w:t>
                          </w:r>
                          <w:r>
                            <w:rPr>
                              <w:spacing w:val="-5"/>
                            </w:rPr>
                            <w:t xml:space="preserve"> </w:t>
                          </w:r>
                          <w:r>
                            <w:t>as</w:t>
                          </w:r>
                          <w:r>
                            <w:rPr>
                              <w:spacing w:val="-5"/>
                            </w:rPr>
                            <w:t xml:space="preserve"> </w:t>
                          </w:r>
                          <w:r>
                            <w:t>Provided</w:t>
                          </w:r>
                          <w:r>
                            <w:rPr>
                              <w:spacing w:val="-5"/>
                            </w:rPr>
                            <w:t xml:space="preserve"> </w:t>
                          </w:r>
                          <w:r>
                            <w:t>in</w:t>
                          </w:r>
                          <w:r>
                            <w:rPr>
                              <w:spacing w:val="-5"/>
                            </w:rPr>
                            <w:t xml:space="preserve"> </w:t>
                          </w:r>
                          <w:r>
                            <w:t>2</w:t>
                          </w:r>
                          <w:r>
                            <w:rPr>
                              <w:spacing w:val="-5"/>
                            </w:rPr>
                            <w:t xml:space="preserve"> </w:t>
                          </w:r>
                          <w:r>
                            <w:t>U.S.C.</w:t>
                          </w:r>
                          <w:r>
                            <w:rPr>
                              <w:spacing w:val="-4"/>
                            </w:rPr>
                            <w:t xml:space="preserve"> </w:t>
                          </w:r>
                          <w:r>
                            <w:t>§§</w:t>
                          </w:r>
                          <w:r>
                            <w:rPr>
                              <w:spacing w:val="-5"/>
                            </w:rPr>
                            <w:t xml:space="preserve"> </w:t>
                          </w:r>
                          <w:r>
                            <w:rPr>
                              <w:spacing w:val="-2"/>
                            </w:rPr>
                            <w:t>661–661f</w:t>
                          </w:r>
                        </w:p>
                      </w:txbxContent>
                    </wps:txbx>
                    <wps:bodyPr wrap="square" lIns="0" tIns="0" rIns="0" bIns="0" rtlCol="0">
                      <a:noAutofit/>
                    </wps:bodyPr>
                  </wps:wsp>
                </a:graphicData>
              </a:graphic>
            </wp:anchor>
          </w:drawing>
        </mc:Choice>
        <mc:Fallback>
          <w:pict>
            <v:shapetype w14:anchorId="24D62F96" id="_x0000_t202" coordsize="21600,21600" o:spt="202" path="m,l,21600r21600,l21600,xe">
              <v:stroke joinstyle="miter"/>
              <v:path gradientshapeok="t" o:connecttype="rect"/>
            </v:shapetype>
            <v:shape id="Textbox 427" o:spid="_x0000_s1168" type="#_x0000_t202" style="position:absolute;margin-left:53pt;margin-top:38.6pt;width:384.85pt;height:26.95pt;z-index:-279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" filled="f" stroked="f">
              <v:textbox inset="0,0,0,0">
                <w:txbxContent>
                  <w:p w14:paraId="24D632B3" w14:textId="77777777" w:rsidR="00245300" w:rsidRDefault="00F17249">
                    <w:pPr>
                      <w:pStyle w:val="BodyText"/>
                      <w:spacing w:before="12"/>
                      <w:ind w:left="20"/>
                    </w:pPr>
                    <w:r>
                      <w:rPr>
                        <w:spacing w:val="-2"/>
                      </w:rPr>
                      <w:t>Compliance</w:t>
                    </w:r>
                  </w:p>
                  <w:p w14:paraId="24D632B4" w14:textId="77777777" w:rsidR="00245300" w:rsidRDefault="00F17249">
                    <w:pPr>
                      <w:pStyle w:val="BodyText"/>
                      <w:ind w:left="20"/>
                    </w:pPr>
                    <w:r>
                      <w:t>804</w:t>
                    </w:r>
                    <w:r>
                      <w:rPr>
                        <w:spacing w:val="-5"/>
                      </w:rPr>
                      <w:t xml:space="preserve"> </w:t>
                    </w:r>
                    <w:r>
                      <w:t>–</w:t>
                    </w:r>
                    <w:r>
                      <w:rPr>
                        <w:spacing w:val="-5"/>
                      </w:rPr>
                      <w:t xml:space="preserve"> </w:t>
                    </w:r>
                    <w:r>
                      <w:t>Federal</w:t>
                    </w:r>
                    <w:r>
                      <w:rPr>
                        <w:spacing w:val="-5"/>
                      </w:rPr>
                      <w:t xml:space="preserve"> </w:t>
                    </w:r>
                    <w:r>
                      <w:t>Credit</w:t>
                    </w:r>
                    <w:r>
                      <w:rPr>
                        <w:spacing w:val="-5"/>
                      </w:rPr>
                      <w:t xml:space="preserve"> </w:t>
                    </w:r>
                    <w:r>
                      <w:t>Reform</w:t>
                    </w:r>
                    <w:r>
                      <w:rPr>
                        <w:spacing w:val="-6"/>
                      </w:rPr>
                      <w:t xml:space="preserve"> </w:t>
                    </w:r>
                    <w:r>
                      <w:t>Act</w:t>
                    </w:r>
                    <w:r>
                      <w:rPr>
                        <w:spacing w:val="-5"/>
                      </w:rPr>
                      <w:t xml:space="preserve"> </w:t>
                    </w:r>
                    <w:r>
                      <w:t>of</w:t>
                    </w:r>
                    <w:r>
                      <w:rPr>
                        <w:spacing w:val="-4"/>
                      </w:rPr>
                      <w:t xml:space="preserve"> </w:t>
                    </w:r>
                    <w:r>
                      <w:t>1990,</w:t>
                    </w:r>
                    <w:r>
                      <w:rPr>
                        <w:spacing w:val="-5"/>
                      </w:rPr>
                      <w:t xml:space="preserve"> </w:t>
                    </w:r>
                    <w:r>
                      <w:t>as</w:t>
                    </w:r>
                    <w:r>
                      <w:rPr>
                        <w:spacing w:val="-5"/>
                      </w:rPr>
                      <w:t xml:space="preserve"> </w:t>
                    </w:r>
                    <w:r>
                      <w:t>Provided</w:t>
                    </w:r>
                    <w:r>
                      <w:rPr>
                        <w:spacing w:val="-5"/>
                      </w:rPr>
                      <w:t xml:space="preserve"> </w:t>
                    </w:r>
                    <w:r>
                      <w:t>in</w:t>
                    </w:r>
                    <w:r>
                      <w:rPr>
                        <w:spacing w:val="-5"/>
                      </w:rPr>
                      <w:t xml:space="preserve"> </w:t>
                    </w:r>
                    <w:r>
                      <w:t>2</w:t>
                    </w:r>
                    <w:r>
                      <w:rPr>
                        <w:spacing w:val="-5"/>
                      </w:rPr>
                      <w:t xml:space="preserve"> </w:t>
                    </w:r>
                    <w:r>
                      <w:t>U.S.C.</w:t>
                    </w:r>
                    <w:r>
                      <w:rPr>
                        <w:spacing w:val="-4"/>
                      </w:rPr>
                      <w:t xml:space="preserve"> </w:t>
                    </w:r>
                    <w:r>
                      <w:t>§§</w:t>
                    </w:r>
                    <w:r>
                      <w:rPr>
                        <w:spacing w:val="-5"/>
                      </w:rPr>
                      <w:t xml:space="preserve"> </w:t>
                    </w:r>
                    <w:r>
                      <w:rPr>
                        <w:spacing w:val="-2"/>
                      </w:rPr>
                      <w:t>661–661f</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2" w14:textId="77777777" w:rsidR="00245300" w:rsidRDefault="00F17249">
    <w:pPr>
      <w:pStyle w:val="BodyText"/>
      <w:spacing w:line="14" w:lineRule="auto"/>
      <w:rPr>
        <w:sz w:val="20"/>
      </w:rPr>
    </w:pPr>
    <w:r>
      <w:rPr>
        <w:noProof/>
      </w:rPr>
      <mc:AlternateContent>
        <mc:Choice Requires="wps">
          <w:drawing>
            <wp:anchor distT="0" distB="0" distL="0" distR="0" simplePos="0" relativeHeight="475369472" behindDoc="1" locked="0" layoutInCell="1" allowOverlap="1" wp14:anchorId="24D62FA0" wp14:editId="24D62FA1">
              <wp:simplePos x="0" y="0"/>
              <wp:positionH relativeFrom="page">
                <wp:posOffset>895350</wp:posOffset>
              </wp:positionH>
              <wp:positionV relativeFrom="page">
                <wp:posOffset>457962</wp:posOffset>
              </wp:positionV>
              <wp:extent cx="5981700" cy="2857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DF757A" id="Graphic 472" o:spid="_x0000_s1026" style="position:absolute;margin-left:70.5pt;margin-top:36.05pt;width:471pt;height:2.25pt;z-index:-279470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69984" behindDoc="1" locked="0" layoutInCell="1" allowOverlap="1" wp14:anchorId="24D62FA2" wp14:editId="24D62FA3">
              <wp:simplePos x="0" y="0"/>
              <wp:positionH relativeFrom="page">
                <wp:posOffset>901700</wp:posOffset>
              </wp:positionH>
              <wp:positionV relativeFrom="page">
                <wp:posOffset>490475</wp:posOffset>
              </wp:positionV>
              <wp:extent cx="4886960" cy="34226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960" cy="342265"/>
                      </a:xfrm>
                      <a:prstGeom prst="rect">
                        <a:avLst/>
                      </a:prstGeom>
                    </wps:spPr>
                    <wps:txbx>
                      <w:txbxContent>
                        <w:p w14:paraId="24D632B8" w14:textId="77777777" w:rsidR="00245300" w:rsidRDefault="00F17249">
                          <w:pPr>
                            <w:pStyle w:val="BodyText"/>
                            <w:spacing w:before="12"/>
                            <w:ind w:left="20"/>
                          </w:pPr>
                          <w:r>
                            <w:rPr>
                              <w:spacing w:val="-2"/>
                            </w:rPr>
                            <w:t>Compliance</w:t>
                          </w:r>
                        </w:p>
                        <w:p w14:paraId="24D632B9" w14:textId="77777777" w:rsidR="00245300" w:rsidRDefault="00F17249">
                          <w:pPr>
                            <w:pStyle w:val="BodyText"/>
                            <w:ind w:left="20"/>
                          </w:pPr>
                          <w:r>
                            <w:t>804</w:t>
                          </w:r>
                          <w:r>
                            <w:rPr>
                              <w:spacing w:val="-5"/>
                            </w:rPr>
                            <w:t xml:space="preserve"> </w:t>
                          </w:r>
                          <w:r>
                            <w:t>–</w:t>
                          </w:r>
                          <w:r>
                            <w:rPr>
                              <w:spacing w:val="-5"/>
                            </w:rPr>
                            <w:t xml:space="preserve"> </w:t>
                          </w:r>
                          <w:r>
                            <w:t>Federal</w:t>
                          </w:r>
                          <w:r>
                            <w:rPr>
                              <w:spacing w:val="-5"/>
                            </w:rPr>
                            <w:t xml:space="preserve"> </w:t>
                          </w:r>
                          <w:r>
                            <w:t>Credit</w:t>
                          </w:r>
                          <w:r>
                            <w:rPr>
                              <w:spacing w:val="-4"/>
                            </w:rPr>
                            <w:t xml:space="preserve"> </w:t>
                          </w:r>
                          <w:r>
                            <w:t>Reform</w:t>
                          </w:r>
                          <w:r>
                            <w:rPr>
                              <w:spacing w:val="-6"/>
                            </w:rPr>
                            <w:t xml:space="preserve"> </w:t>
                          </w:r>
                          <w:r>
                            <w:t>Act</w:t>
                          </w:r>
                          <w:r>
                            <w:rPr>
                              <w:spacing w:val="-5"/>
                            </w:rPr>
                            <w:t xml:space="preserve"> </w:t>
                          </w:r>
                          <w:r>
                            <w:t>of</w:t>
                          </w:r>
                          <w:r>
                            <w:rPr>
                              <w:spacing w:val="-4"/>
                            </w:rPr>
                            <w:t xml:space="preserve"> </w:t>
                          </w:r>
                          <w:r>
                            <w:t>1990,</w:t>
                          </w:r>
                          <w:r>
                            <w:rPr>
                              <w:spacing w:val="-5"/>
                            </w:rPr>
                            <w:t xml:space="preserve"> </w:t>
                          </w:r>
                          <w:r>
                            <w:t>as</w:t>
                          </w:r>
                          <w:r>
                            <w:rPr>
                              <w:spacing w:val="-5"/>
                            </w:rPr>
                            <w:t xml:space="preserve"> </w:t>
                          </w:r>
                          <w:r>
                            <w:t>Provided</w:t>
                          </w:r>
                          <w:r>
                            <w:rPr>
                              <w:spacing w:val="-4"/>
                            </w:rPr>
                            <w:t xml:space="preserve"> </w:t>
                          </w:r>
                          <w:r>
                            <w:t>in</w:t>
                          </w:r>
                          <w:r>
                            <w:rPr>
                              <w:spacing w:val="-5"/>
                            </w:rPr>
                            <w:t xml:space="preserve"> </w:t>
                          </w:r>
                          <w:r>
                            <w:t>2</w:t>
                          </w:r>
                          <w:r>
                            <w:rPr>
                              <w:spacing w:val="-5"/>
                            </w:rPr>
                            <w:t xml:space="preserve"> </w:t>
                          </w:r>
                          <w:r>
                            <w:t>U.S.C.</w:t>
                          </w:r>
                          <w:r>
                            <w:rPr>
                              <w:spacing w:val="-5"/>
                            </w:rPr>
                            <w:t xml:space="preserve"> </w:t>
                          </w:r>
                          <w:r>
                            <w:t>§§</w:t>
                          </w:r>
                          <w:r>
                            <w:rPr>
                              <w:spacing w:val="-4"/>
                            </w:rPr>
                            <w:t xml:space="preserve"> </w:t>
                          </w:r>
                          <w:r>
                            <w:rPr>
                              <w:spacing w:val="-2"/>
                            </w:rPr>
                            <w:t>661–661f</w:t>
                          </w:r>
                        </w:p>
                      </w:txbxContent>
                    </wps:txbx>
                    <wps:bodyPr wrap="square" lIns="0" tIns="0" rIns="0" bIns="0" rtlCol="0">
                      <a:noAutofit/>
                    </wps:bodyPr>
                  </wps:wsp>
                </a:graphicData>
              </a:graphic>
            </wp:anchor>
          </w:drawing>
        </mc:Choice>
        <mc:Fallback>
          <w:pict>
            <v:shapetype w14:anchorId="24D62FA2" id="_x0000_t202" coordsize="21600,21600" o:spt="202" path="m,l,21600r21600,l21600,xe">
              <v:stroke joinstyle="miter"/>
              <v:path gradientshapeok="t" o:connecttype="rect"/>
            </v:shapetype>
            <v:shape id="Textbox 473" o:spid="_x0000_s1172" type="#_x0000_t202" style="position:absolute;margin-left:71pt;margin-top:38.6pt;width:384.8pt;height:26.95pt;z-index:-279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" filled="f" stroked="f">
              <v:textbox inset="0,0,0,0">
                <w:txbxContent>
                  <w:p w14:paraId="24D632B8" w14:textId="77777777" w:rsidR="00245300" w:rsidRDefault="00F17249">
                    <w:pPr>
                      <w:pStyle w:val="BodyText"/>
                      <w:spacing w:before="12"/>
                      <w:ind w:left="20"/>
                    </w:pPr>
                    <w:r>
                      <w:rPr>
                        <w:spacing w:val="-2"/>
                      </w:rPr>
                      <w:t>Compliance</w:t>
                    </w:r>
                  </w:p>
                  <w:p w14:paraId="24D632B9" w14:textId="77777777" w:rsidR="00245300" w:rsidRDefault="00F17249">
                    <w:pPr>
                      <w:pStyle w:val="BodyText"/>
                      <w:ind w:left="20"/>
                    </w:pPr>
                    <w:r>
                      <w:t>804</w:t>
                    </w:r>
                    <w:r>
                      <w:rPr>
                        <w:spacing w:val="-5"/>
                      </w:rPr>
                      <w:t xml:space="preserve"> </w:t>
                    </w:r>
                    <w:r>
                      <w:t>–</w:t>
                    </w:r>
                    <w:r>
                      <w:rPr>
                        <w:spacing w:val="-5"/>
                      </w:rPr>
                      <w:t xml:space="preserve"> </w:t>
                    </w:r>
                    <w:r>
                      <w:t>Federal</w:t>
                    </w:r>
                    <w:r>
                      <w:rPr>
                        <w:spacing w:val="-5"/>
                      </w:rPr>
                      <w:t xml:space="preserve"> </w:t>
                    </w:r>
                    <w:r>
                      <w:t>Credit</w:t>
                    </w:r>
                    <w:r>
                      <w:rPr>
                        <w:spacing w:val="-4"/>
                      </w:rPr>
                      <w:t xml:space="preserve"> </w:t>
                    </w:r>
                    <w:r>
                      <w:t>Reform</w:t>
                    </w:r>
                    <w:r>
                      <w:rPr>
                        <w:spacing w:val="-6"/>
                      </w:rPr>
                      <w:t xml:space="preserve"> </w:t>
                    </w:r>
                    <w:r>
                      <w:t>Act</w:t>
                    </w:r>
                    <w:r>
                      <w:rPr>
                        <w:spacing w:val="-5"/>
                      </w:rPr>
                      <w:t xml:space="preserve"> </w:t>
                    </w:r>
                    <w:r>
                      <w:t>of</w:t>
                    </w:r>
                    <w:r>
                      <w:rPr>
                        <w:spacing w:val="-4"/>
                      </w:rPr>
                      <w:t xml:space="preserve"> </w:t>
                    </w:r>
                    <w:r>
                      <w:t>1990,</w:t>
                    </w:r>
                    <w:r>
                      <w:rPr>
                        <w:spacing w:val="-5"/>
                      </w:rPr>
                      <w:t xml:space="preserve"> </w:t>
                    </w:r>
                    <w:r>
                      <w:t>as</w:t>
                    </w:r>
                    <w:r>
                      <w:rPr>
                        <w:spacing w:val="-5"/>
                      </w:rPr>
                      <w:t xml:space="preserve"> </w:t>
                    </w:r>
                    <w:r>
                      <w:t>Provided</w:t>
                    </w:r>
                    <w:r>
                      <w:rPr>
                        <w:spacing w:val="-4"/>
                      </w:rPr>
                      <w:t xml:space="preserve"> </w:t>
                    </w:r>
                    <w:r>
                      <w:t>in</w:t>
                    </w:r>
                    <w:r>
                      <w:rPr>
                        <w:spacing w:val="-5"/>
                      </w:rPr>
                      <w:t xml:space="preserve"> </w:t>
                    </w:r>
                    <w:r>
                      <w:t>2</w:t>
                    </w:r>
                    <w:r>
                      <w:rPr>
                        <w:spacing w:val="-5"/>
                      </w:rPr>
                      <w:t xml:space="preserve"> </w:t>
                    </w:r>
                    <w:r>
                      <w:t>U.S.C.</w:t>
                    </w:r>
                    <w:r>
                      <w:rPr>
                        <w:spacing w:val="-5"/>
                      </w:rPr>
                      <w:t xml:space="preserve"> </w:t>
                    </w:r>
                    <w:r>
                      <w:t>§§</w:t>
                    </w:r>
                    <w:r>
                      <w:rPr>
                        <w:spacing w:val="-4"/>
                      </w:rPr>
                      <w:t xml:space="preserve"> </w:t>
                    </w:r>
                    <w:r>
                      <w:rPr>
                        <w:spacing w:val="-2"/>
                      </w:rPr>
                      <w:t>661–661f</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4" w14:textId="77777777" w:rsidR="00245300" w:rsidRDefault="00F17249">
    <w:pPr>
      <w:pStyle w:val="BodyText"/>
      <w:spacing w:line="14" w:lineRule="auto"/>
      <w:rPr>
        <w:sz w:val="20"/>
      </w:rPr>
    </w:pPr>
    <w:r>
      <w:rPr>
        <w:noProof/>
      </w:rPr>
      <mc:AlternateContent>
        <mc:Choice Requires="wps">
          <w:drawing>
            <wp:anchor distT="0" distB="0" distL="0" distR="0" simplePos="0" relativeHeight="475372544" behindDoc="1" locked="0" layoutInCell="1" allowOverlap="1" wp14:anchorId="24D62FAC" wp14:editId="24D62FAD">
              <wp:simplePos x="0" y="0"/>
              <wp:positionH relativeFrom="page">
                <wp:posOffset>666750</wp:posOffset>
              </wp:positionH>
              <wp:positionV relativeFrom="page">
                <wp:posOffset>457962</wp:posOffset>
              </wp:positionV>
              <wp:extent cx="8496300" cy="2857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2540F" id="Graphic 480" o:spid="_x0000_s1026" style="position:absolute;margin-left:52.5pt;margin-top:36.05pt;width:669pt;height:2.25pt;z-index:-27943936;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73056" behindDoc="1" locked="0" layoutInCell="1" allowOverlap="1" wp14:anchorId="24D62FAE" wp14:editId="24D62FAF">
              <wp:simplePos x="0" y="0"/>
              <wp:positionH relativeFrom="page">
                <wp:posOffset>666750</wp:posOffset>
              </wp:positionH>
              <wp:positionV relativeFrom="page">
                <wp:posOffset>832103</wp:posOffset>
              </wp:positionV>
              <wp:extent cx="8496300" cy="28575"/>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276A47" id="Graphic 481" o:spid="_x0000_s1026" style="position:absolute;margin-left:52.5pt;margin-top:65.5pt;width:669pt;height:2.25pt;z-index:-27943424;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73568" behindDoc="1" locked="0" layoutInCell="1" allowOverlap="1" wp14:anchorId="24D62FB0" wp14:editId="24D62FB1">
              <wp:simplePos x="0" y="0"/>
              <wp:positionH relativeFrom="page">
                <wp:posOffset>673100</wp:posOffset>
              </wp:positionH>
              <wp:positionV relativeFrom="page">
                <wp:posOffset>490475</wp:posOffset>
              </wp:positionV>
              <wp:extent cx="4911090" cy="34226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090" cy="342265"/>
                      </a:xfrm>
                      <a:prstGeom prst="rect">
                        <a:avLst/>
                      </a:prstGeom>
                    </wps:spPr>
                    <wps:txbx>
                      <w:txbxContent>
                        <w:p w14:paraId="24D632BD" w14:textId="77777777" w:rsidR="00245300" w:rsidRDefault="00F17249">
                          <w:pPr>
                            <w:pStyle w:val="BodyText"/>
                            <w:spacing w:before="12"/>
                            <w:ind w:left="20"/>
                          </w:pPr>
                          <w:r>
                            <w:rPr>
                              <w:spacing w:val="-2"/>
                            </w:rPr>
                            <w:t>Compliance</w:t>
                          </w:r>
                        </w:p>
                        <w:p w14:paraId="24D632BE" w14:textId="77777777" w:rsidR="00245300" w:rsidRDefault="00F17249">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wps:txbx>
                    <wps:bodyPr wrap="square" lIns="0" tIns="0" rIns="0" bIns="0" rtlCol="0">
                      <a:noAutofit/>
                    </wps:bodyPr>
                  </wps:wsp>
                </a:graphicData>
              </a:graphic>
            </wp:anchor>
          </w:drawing>
        </mc:Choice>
        <mc:Fallback>
          <w:pict>
            <v:shapetype w14:anchorId="24D62FB0" id="_x0000_t202" coordsize="21600,21600" o:spt="202" path="m,l,21600r21600,l21600,xe">
              <v:stroke joinstyle="miter"/>
              <v:path gradientshapeok="t" o:connecttype="rect"/>
            </v:shapetype>
            <v:shape id="Textbox 482" o:spid="_x0000_s1176" type="#_x0000_t202" style="position:absolute;margin-left:53pt;margin-top:38.6pt;width:386.7pt;height:26.95pt;z-index:-279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" filled="f" stroked="f">
              <v:textbox inset="0,0,0,0">
                <w:txbxContent>
                  <w:p w14:paraId="24D632BD" w14:textId="77777777" w:rsidR="00245300" w:rsidRDefault="00F17249">
                    <w:pPr>
                      <w:pStyle w:val="BodyText"/>
                      <w:spacing w:before="12"/>
                      <w:ind w:left="20"/>
                    </w:pPr>
                    <w:r>
                      <w:rPr>
                        <w:spacing w:val="-2"/>
                      </w:rPr>
                      <w:t>Compliance</w:t>
                    </w:r>
                  </w:p>
                  <w:p w14:paraId="24D632BE" w14:textId="77777777" w:rsidR="00245300" w:rsidRDefault="00F17249">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6" w14:textId="77777777" w:rsidR="00245300" w:rsidRDefault="00F17249">
    <w:pPr>
      <w:pStyle w:val="BodyText"/>
      <w:spacing w:line="14" w:lineRule="auto"/>
      <w:rPr>
        <w:sz w:val="20"/>
      </w:rPr>
    </w:pPr>
    <w:r>
      <w:rPr>
        <w:noProof/>
      </w:rPr>
      <mc:AlternateContent>
        <mc:Choice Requires="wps">
          <w:drawing>
            <wp:anchor distT="0" distB="0" distL="0" distR="0" simplePos="0" relativeHeight="475376128" behindDoc="1" locked="0" layoutInCell="1" allowOverlap="1" wp14:anchorId="24D62FBA" wp14:editId="24D62FBB">
              <wp:simplePos x="0" y="0"/>
              <wp:positionH relativeFrom="page">
                <wp:posOffset>895350</wp:posOffset>
              </wp:positionH>
              <wp:positionV relativeFrom="page">
                <wp:posOffset>549401</wp:posOffset>
              </wp:positionV>
              <wp:extent cx="5981700" cy="28575"/>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7953F1" id="Graphic 534" o:spid="_x0000_s1026" style="position:absolute;margin-left:70.5pt;margin-top:43.25pt;width:471pt;height:2.25pt;z-index:-279403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76640" behindDoc="1" locked="0" layoutInCell="1" allowOverlap="1" wp14:anchorId="24D62FBC" wp14:editId="24D62FBD">
              <wp:simplePos x="0" y="0"/>
              <wp:positionH relativeFrom="page">
                <wp:posOffset>895350</wp:posOffset>
              </wp:positionH>
              <wp:positionV relativeFrom="page">
                <wp:posOffset>923544</wp:posOffset>
              </wp:positionV>
              <wp:extent cx="5981700" cy="28575"/>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F4F1F" id="Graphic 535" o:spid="_x0000_s1026" style="position:absolute;margin-left:70.5pt;margin-top:72.7pt;width:471pt;height:2.25pt;z-index:-279398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77152" behindDoc="1" locked="0" layoutInCell="1" allowOverlap="1" wp14:anchorId="24D62FBE" wp14:editId="24D62FBF">
              <wp:simplePos x="0" y="0"/>
              <wp:positionH relativeFrom="page">
                <wp:posOffset>901700</wp:posOffset>
              </wp:positionH>
              <wp:positionV relativeFrom="page">
                <wp:posOffset>581915</wp:posOffset>
              </wp:positionV>
              <wp:extent cx="4910455" cy="34226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0455" cy="342265"/>
                      </a:xfrm>
                      <a:prstGeom prst="rect">
                        <a:avLst/>
                      </a:prstGeom>
                    </wps:spPr>
                    <wps:txbx>
                      <w:txbxContent>
                        <w:p w14:paraId="24D632C2" w14:textId="77777777" w:rsidR="00245300" w:rsidRDefault="00F17249">
                          <w:pPr>
                            <w:pStyle w:val="BodyText"/>
                            <w:spacing w:before="12"/>
                            <w:ind w:left="20"/>
                          </w:pPr>
                          <w:r>
                            <w:rPr>
                              <w:spacing w:val="-2"/>
                            </w:rPr>
                            <w:t>Compliance</w:t>
                          </w:r>
                        </w:p>
                        <w:p w14:paraId="24D632C3" w14:textId="77777777" w:rsidR="00245300" w:rsidRDefault="00F17249">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wps:txbx>
                    <wps:bodyPr wrap="square" lIns="0" tIns="0" rIns="0" bIns="0" rtlCol="0">
                      <a:noAutofit/>
                    </wps:bodyPr>
                  </wps:wsp>
                </a:graphicData>
              </a:graphic>
            </wp:anchor>
          </w:drawing>
        </mc:Choice>
        <mc:Fallback>
          <w:pict>
            <v:shapetype w14:anchorId="24D62FBE" id="_x0000_t202" coordsize="21600,21600" o:spt="202" path="m,l,21600r21600,l21600,xe">
              <v:stroke joinstyle="miter"/>
              <v:path gradientshapeok="t" o:connecttype="rect"/>
            </v:shapetype>
            <v:shape id="Textbox 536" o:spid="_x0000_s1180" type="#_x0000_t202" style="position:absolute;margin-left:71pt;margin-top:45.8pt;width:386.65pt;height:26.95pt;z-index:-279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" filled="f" stroked="f">
              <v:textbox inset="0,0,0,0">
                <w:txbxContent>
                  <w:p w14:paraId="24D632C2" w14:textId="77777777" w:rsidR="00245300" w:rsidRDefault="00F17249">
                    <w:pPr>
                      <w:pStyle w:val="BodyText"/>
                      <w:spacing w:before="12"/>
                      <w:ind w:left="20"/>
                    </w:pPr>
                    <w:r>
                      <w:rPr>
                        <w:spacing w:val="-2"/>
                      </w:rPr>
                      <w:t>Compliance</w:t>
                    </w:r>
                  </w:p>
                  <w:p w14:paraId="24D632C3" w14:textId="77777777" w:rsidR="00245300" w:rsidRDefault="00F17249">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8" w14:textId="77777777" w:rsidR="00245300" w:rsidRDefault="00F17249">
    <w:pPr>
      <w:pStyle w:val="BodyText"/>
      <w:spacing w:line="14" w:lineRule="auto"/>
      <w:rPr>
        <w:sz w:val="20"/>
      </w:rPr>
    </w:pPr>
    <w:r>
      <w:rPr>
        <w:noProof/>
      </w:rPr>
      <mc:AlternateContent>
        <mc:Choice Requires="wps">
          <w:drawing>
            <wp:anchor distT="0" distB="0" distL="0" distR="0" simplePos="0" relativeHeight="475379712" behindDoc="1" locked="0" layoutInCell="1" allowOverlap="1" wp14:anchorId="24D62FC8" wp14:editId="24D62FC9">
              <wp:simplePos x="0" y="0"/>
              <wp:positionH relativeFrom="page">
                <wp:posOffset>666750</wp:posOffset>
              </wp:positionH>
              <wp:positionV relativeFrom="page">
                <wp:posOffset>457962</wp:posOffset>
              </wp:positionV>
              <wp:extent cx="8496300" cy="2857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D62E55" id="Graphic 542" o:spid="_x0000_s1026" style="position:absolute;margin-left:52.5pt;margin-top:36.05pt;width:669pt;height:2.25pt;z-index:-27936768;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80224" behindDoc="1" locked="0" layoutInCell="1" allowOverlap="1" wp14:anchorId="24D62FCA" wp14:editId="24D62FCB">
              <wp:simplePos x="0" y="0"/>
              <wp:positionH relativeFrom="page">
                <wp:posOffset>666750</wp:posOffset>
              </wp:positionH>
              <wp:positionV relativeFrom="page">
                <wp:posOffset>832103</wp:posOffset>
              </wp:positionV>
              <wp:extent cx="8496300" cy="28575"/>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0120E" id="Graphic 543" o:spid="_x0000_s1026" style="position:absolute;margin-left:52.5pt;margin-top:65.5pt;width:669pt;height:2.25pt;z-index:-27936256;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80736" behindDoc="1" locked="0" layoutInCell="1" allowOverlap="1" wp14:anchorId="24D62FCC" wp14:editId="24D62FCD">
              <wp:simplePos x="0" y="0"/>
              <wp:positionH relativeFrom="page">
                <wp:posOffset>673100</wp:posOffset>
              </wp:positionH>
              <wp:positionV relativeFrom="page">
                <wp:posOffset>490475</wp:posOffset>
              </wp:positionV>
              <wp:extent cx="4445000" cy="34226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2265"/>
                      </a:xfrm>
                      <a:prstGeom prst="rect">
                        <a:avLst/>
                      </a:prstGeom>
                    </wps:spPr>
                    <wps:txbx>
                      <w:txbxContent>
                        <w:p w14:paraId="24D632C7" w14:textId="77777777" w:rsidR="00245300" w:rsidRDefault="00F17249">
                          <w:pPr>
                            <w:pStyle w:val="BodyText"/>
                            <w:spacing w:before="12"/>
                            <w:ind w:left="20"/>
                          </w:pPr>
                          <w:r>
                            <w:rPr>
                              <w:spacing w:val="-2"/>
                            </w:rPr>
                            <w:t>Compliance</w:t>
                          </w:r>
                        </w:p>
                        <w:p w14:paraId="24D632C8" w14:textId="77777777" w:rsidR="00245300" w:rsidRDefault="00F17249">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wps:txbx>
                    <wps:bodyPr wrap="square" lIns="0" tIns="0" rIns="0" bIns="0" rtlCol="0">
                      <a:noAutofit/>
                    </wps:bodyPr>
                  </wps:wsp>
                </a:graphicData>
              </a:graphic>
            </wp:anchor>
          </w:drawing>
        </mc:Choice>
        <mc:Fallback>
          <w:pict>
            <v:shapetype w14:anchorId="24D62FCC" id="_x0000_t202" coordsize="21600,21600" o:spt="202" path="m,l,21600r21600,l21600,xe">
              <v:stroke joinstyle="miter"/>
              <v:path gradientshapeok="t" o:connecttype="rect"/>
            </v:shapetype>
            <v:shape id="Textbox 544" o:spid="_x0000_s1184" type="#_x0000_t202" style="position:absolute;margin-left:53pt;margin-top:38.6pt;width:350pt;height:26.95pt;z-index:-279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" filled="f" stroked="f">
              <v:textbox inset="0,0,0,0">
                <w:txbxContent>
                  <w:p w14:paraId="24D632C7" w14:textId="77777777" w:rsidR="00245300" w:rsidRDefault="00F17249">
                    <w:pPr>
                      <w:pStyle w:val="BodyText"/>
                      <w:spacing w:before="12"/>
                      <w:ind w:left="20"/>
                    </w:pPr>
                    <w:r>
                      <w:rPr>
                        <w:spacing w:val="-2"/>
                      </w:rPr>
                      <w:t>Compliance</w:t>
                    </w:r>
                  </w:p>
                  <w:p w14:paraId="24D632C8" w14:textId="77777777" w:rsidR="00245300" w:rsidRDefault="00F17249">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A" w14:textId="77777777" w:rsidR="00245300" w:rsidRDefault="00F17249">
    <w:pPr>
      <w:pStyle w:val="BodyText"/>
      <w:spacing w:line="14" w:lineRule="auto"/>
      <w:rPr>
        <w:sz w:val="20"/>
      </w:rPr>
    </w:pPr>
    <w:r>
      <w:rPr>
        <w:noProof/>
      </w:rPr>
      <mc:AlternateContent>
        <mc:Choice Requires="wps">
          <w:drawing>
            <wp:anchor distT="0" distB="0" distL="0" distR="0" simplePos="0" relativeHeight="475383296" behindDoc="1" locked="0" layoutInCell="1" allowOverlap="1" wp14:anchorId="24D62FD6" wp14:editId="24D62FD7">
              <wp:simplePos x="0" y="0"/>
              <wp:positionH relativeFrom="page">
                <wp:posOffset>895350</wp:posOffset>
              </wp:positionH>
              <wp:positionV relativeFrom="page">
                <wp:posOffset>457962</wp:posOffset>
              </wp:positionV>
              <wp:extent cx="5981700" cy="28575"/>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DF5E8" id="Graphic 576" o:spid="_x0000_s1026" style="position:absolute;margin-left:70.5pt;margin-top:36.05pt;width:471pt;height:2.25pt;z-index:-279331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83808" behindDoc="1" locked="0" layoutInCell="1" allowOverlap="1" wp14:anchorId="24D62FD8" wp14:editId="24D62FD9">
              <wp:simplePos x="0" y="0"/>
              <wp:positionH relativeFrom="page">
                <wp:posOffset>895350</wp:posOffset>
              </wp:positionH>
              <wp:positionV relativeFrom="page">
                <wp:posOffset>832103</wp:posOffset>
              </wp:positionV>
              <wp:extent cx="5981700" cy="28575"/>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F694B" id="Graphic 577" o:spid="_x0000_s1026" style="position:absolute;margin-left:70.5pt;margin-top:65.5pt;width:471pt;height:2.25pt;z-index:-279326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84320" behindDoc="1" locked="0" layoutInCell="1" allowOverlap="1" wp14:anchorId="24D62FDA" wp14:editId="24D62FDB">
              <wp:simplePos x="0" y="0"/>
              <wp:positionH relativeFrom="page">
                <wp:posOffset>901700</wp:posOffset>
              </wp:positionH>
              <wp:positionV relativeFrom="page">
                <wp:posOffset>490475</wp:posOffset>
              </wp:positionV>
              <wp:extent cx="4445000" cy="34226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2265"/>
                      </a:xfrm>
                      <a:prstGeom prst="rect">
                        <a:avLst/>
                      </a:prstGeom>
                    </wps:spPr>
                    <wps:txbx>
                      <w:txbxContent>
                        <w:p w14:paraId="24D632CC" w14:textId="77777777" w:rsidR="00245300" w:rsidRDefault="00F17249">
                          <w:pPr>
                            <w:pStyle w:val="BodyText"/>
                            <w:spacing w:before="12"/>
                            <w:ind w:left="20"/>
                          </w:pPr>
                          <w:r>
                            <w:rPr>
                              <w:spacing w:val="-2"/>
                            </w:rPr>
                            <w:t>Compliance</w:t>
                          </w:r>
                        </w:p>
                        <w:p w14:paraId="24D632CD" w14:textId="77777777" w:rsidR="00245300" w:rsidRDefault="00F17249">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wps:txbx>
                    <wps:bodyPr wrap="square" lIns="0" tIns="0" rIns="0" bIns="0" rtlCol="0">
                      <a:noAutofit/>
                    </wps:bodyPr>
                  </wps:wsp>
                </a:graphicData>
              </a:graphic>
            </wp:anchor>
          </w:drawing>
        </mc:Choice>
        <mc:Fallback>
          <w:pict>
            <v:shapetype w14:anchorId="24D62FDA" id="_x0000_t202" coordsize="21600,21600" o:spt="202" path="m,l,21600r21600,l21600,xe">
              <v:stroke joinstyle="miter"/>
              <v:path gradientshapeok="t" o:connecttype="rect"/>
            </v:shapetype>
            <v:shape id="Textbox 578" o:spid="_x0000_s1188" type="#_x0000_t202" style="position:absolute;margin-left:71pt;margin-top:38.6pt;width:350pt;height:26.95pt;z-index:-27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" filled="f" stroked="f">
              <v:textbox inset="0,0,0,0">
                <w:txbxContent>
                  <w:p w14:paraId="24D632CC" w14:textId="77777777" w:rsidR="00245300" w:rsidRDefault="00F17249">
                    <w:pPr>
                      <w:pStyle w:val="BodyText"/>
                      <w:spacing w:before="12"/>
                      <w:ind w:left="20"/>
                    </w:pPr>
                    <w:r>
                      <w:rPr>
                        <w:spacing w:val="-2"/>
                      </w:rPr>
                      <w:t>Compliance</w:t>
                    </w:r>
                  </w:p>
                  <w:p w14:paraId="24D632CD" w14:textId="77777777" w:rsidR="00245300" w:rsidRDefault="00F17249">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C" w14:textId="77777777" w:rsidR="00245300" w:rsidRDefault="00245300">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5E" w14:textId="77777777" w:rsidR="00245300" w:rsidRDefault="00F17249">
    <w:pPr>
      <w:pStyle w:val="BodyText"/>
      <w:spacing w:line="14" w:lineRule="auto"/>
      <w:rPr>
        <w:sz w:val="20"/>
      </w:rPr>
    </w:pPr>
    <w:r>
      <w:rPr>
        <w:noProof/>
      </w:rPr>
      <mc:AlternateContent>
        <mc:Choice Requires="wps">
          <w:drawing>
            <wp:anchor distT="0" distB="0" distL="0" distR="0" simplePos="0" relativeHeight="475388416" behindDoc="1" locked="0" layoutInCell="1" allowOverlap="1" wp14:anchorId="24D62FEA" wp14:editId="24D62FEB">
              <wp:simplePos x="0" y="0"/>
              <wp:positionH relativeFrom="page">
                <wp:posOffset>895350</wp:posOffset>
              </wp:positionH>
              <wp:positionV relativeFrom="page">
                <wp:posOffset>549401</wp:posOffset>
              </wp:positionV>
              <wp:extent cx="5981700" cy="2857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B7516D" id="Graphic 599" o:spid="_x0000_s1026" style="position:absolute;margin-left:70.5pt;margin-top:43.25pt;width:471pt;height:2.25pt;z-index:-279280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88928" behindDoc="1" locked="0" layoutInCell="1" allowOverlap="1" wp14:anchorId="24D62FEC" wp14:editId="24D62FED">
              <wp:simplePos x="0" y="0"/>
              <wp:positionH relativeFrom="page">
                <wp:posOffset>895350</wp:posOffset>
              </wp:positionH>
              <wp:positionV relativeFrom="page">
                <wp:posOffset>1084325</wp:posOffset>
              </wp:positionV>
              <wp:extent cx="5981700" cy="28575"/>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854F9" id="Graphic 600" o:spid="_x0000_s1026" style="position:absolute;margin-left:70.5pt;margin-top:85.4pt;width:471pt;height:2.25pt;z-index:-279275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89440" behindDoc="1" locked="0" layoutInCell="1" allowOverlap="1" wp14:anchorId="24D62FEE" wp14:editId="24D62FEF">
              <wp:simplePos x="0" y="0"/>
              <wp:positionH relativeFrom="page">
                <wp:posOffset>901700</wp:posOffset>
              </wp:positionH>
              <wp:positionV relativeFrom="page">
                <wp:posOffset>581915</wp:posOffset>
              </wp:positionV>
              <wp:extent cx="5638165" cy="50292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502920"/>
                      </a:xfrm>
                      <a:prstGeom prst="rect">
                        <a:avLst/>
                      </a:prstGeom>
                    </wps:spPr>
                    <wps:txbx>
                      <w:txbxContent>
                        <w:p w14:paraId="24D632D4" w14:textId="77777777" w:rsidR="00245300" w:rsidRDefault="00F17249">
                          <w:pPr>
                            <w:pStyle w:val="BodyText"/>
                            <w:spacing w:before="12"/>
                            <w:ind w:left="20"/>
                          </w:pPr>
                          <w:r>
                            <w:rPr>
                              <w:spacing w:val="-2"/>
                            </w:rPr>
                            <w:t>Compliance</w:t>
                          </w:r>
                        </w:p>
                        <w:p w14:paraId="24D632D5" w14:textId="77777777" w:rsidR="00245300" w:rsidRDefault="00F17249">
                          <w:pPr>
                            <w:pStyle w:val="BodyText"/>
                            <w:ind w:left="20"/>
                          </w:pPr>
                          <w:r>
                            <w:t>807</w:t>
                          </w:r>
                          <w:r>
                            <w:rPr>
                              <w:spacing w:val="-3"/>
                            </w:rPr>
                            <w:t xml:space="preserve"> </w:t>
                          </w:r>
                          <w:r>
                            <w:t>–</w:t>
                          </w:r>
                          <w:r>
                            <w:rPr>
                              <w:spacing w:val="-3"/>
                            </w:rPr>
                            <w:t xml:space="preserve"> </w:t>
                          </w:r>
                          <w:r>
                            <w:t>Pay</w:t>
                          </w:r>
                          <w:r>
                            <w:rPr>
                              <w:spacing w:val="-3"/>
                            </w:rPr>
                            <w:t xml:space="preserve"> </w:t>
                          </w:r>
                          <w:r>
                            <w:t>and</w:t>
                          </w:r>
                          <w:r>
                            <w:rPr>
                              <w:spacing w:val="-3"/>
                            </w:rPr>
                            <w:t xml:space="preserve"> </w:t>
                          </w:r>
                          <w:r>
                            <w:t>Allowance</w:t>
                          </w:r>
                          <w:r>
                            <w:rPr>
                              <w:spacing w:val="-3"/>
                            </w:rPr>
                            <w:t xml:space="preserve"> </w:t>
                          </w:r>
                          <w:r>
                            <w:t>System</w:t>
                          </w:r>
                          <w:r>
                            <w:rPr>
                              <w:spacing w:val="-3"/>
                            </w:rPr>
                            <w:t xml:space="preserve"> </w:t>
                          </w:r>
                          <w:r>
                            <w:t>for</w:t>
                          </w:r>
                          <w:r>
                            <w:rPr>
                              <w:spacing w:val="-3"/>
                            </w:rPr>
                            <w:t xml:space="preserve"> </w:t>
                          </w:r>
                          <w:r>
                            <w:t>Civilian</w:t>
                          </w:r>
                          <w:r>
                            <w:rPr>
                              <w:spacing w:val="-3"/>
                            </w:rPr>
                            <w:t xml:space="preserve"> </w:t>
                          </w:r>
                          <w:r>
                            <w:t>Employees,</w:t>
                          </w:r>
                          <w:r>
                            <w:rPr>
                              <w:spacing w:val="-3"/>
                            </w:rPr>
                            <w:t xml:space="preserve"> </w:t>
                          </w:r>
                          <w:r>
                            <w:t>as</w:t>
                          </w:r>
                          <w:r>
                            <w:rPr>
                              <w:spacing w:val="-3"/>
                            </w:rPr>
                            <w:t xml:space="preserve"> </w:t>
                          </w:r>
                          <w:r>
                            <w:t>Provided</w:t>
                          </w:r>
                          <w:r>
                            <w:rPr>
                              <w:spacing w:val="-4"/>
                            </w:rPr>
                            <w:t xml:space="preserve"> </w:t>
                          </w:r>
                          <w:r>
                            <w:t>Primarily</w:t>
                          </w:r>
                          <w:r>
                            <w:rPr>
                              <w:spacing w:val="-3"/>
                            </w:rPr>
                            <w:t xml:space="preserve"> </w:t>
                          </w:r>
                          <w:r>
                            <w:t>in</w:t>
                          </w:r>
                          <w:r>
                            <w:rPr>
                              <w:spacing w:val="-4"/>
                            </w:rPr>
                            <w:t xml:space="preserve"> </w:t>
                          </w:r>
                          <w:r>
                            <w:t>5</w:t>
                          </w:r>
                          <w:r>
                            <w:rPr>
                              <w:spacing w:val="-3"/>
                            </w:rPr>
                            <w:t xml:space="preserve"> </w:t>
                          </w:r>
                          <w:r>
                            <w:t>U.S.C. Chapters 51–59</w:t>
                          </w:r>
                        </w:p>
                      </w:txbxContent>
                    </wps:txbx>
                    <wps:bodyPr wrap="square" lIns="0" tIns="0" rIns="0" bIns="0" rtlCol="0">
                      <a:noAutofit/>
                    </wps:bodyPr>
                  </wps:wsp>
                </a:graphicData>
              </a:graphic>
            </wp:anchor>
          </w:drawing>
        </mc:Choice>
        <mc:Fallback>
          <w:pict>
            <v:shapetype w14:anchorId="24D62FEE" id="_x0000_t202" coordsize="21600,21600" o:spt="202" path="m,l,21600r21600,l21600,xe">
              <v:stroke joinstyle="miter"/>
              <v:path gradientshapeok="t" o:connecttype="rect"/>
            </v:shapetype>
            <v:shape id="Textbox 601" o:spid="_x0000_s1195" type="#_x0000_t202" style="position:absolute;margin-left:71pt;margin-top:45.8pt;width:443.95pt;height:39.6pt;z-index:-27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" filled="f" stroked="f">
              <v:textbox inset="0,0,0,0">
                <w:txbxContent>
                  <w:p w14:paraId="24D632D4" w14:textId="77777777" w:rsidR="00245300" w:rsidRDefault="00F17249">
                    <w:pPr>
                      <w:pStyle w:val="BodyText"/>
                      <w:spacing w:before="12"/>
                      <w:ind w:left="20"/>
                    </w:pPr>
                    <w:r>
                      <w:rPr>
                        <w:spacing w:val="-2"/>
                      </w:rPr>
                      <w:t>Compliance</w:t>
                    </w:r>
                  </w:p>
                  <w:p w14:paraId="24D632D5" w14:textId="77777777" w:rsidR="00245300" w:rsidRDefault="00F17249">
                    <w:pPr>
                      <w:pStyle w:val="BodyText"/>
                      <w:ind w:left="20"/>
                    </w:pPr>
                    <w:r>
                      <w:t>807</w:t>
                    </w:r>
                    <w:r>
                      <w:rPr>
                        <w:spacing w:val="-3"/>
                      </w:rPr>
                      <w:t xml:space="preserve"> </w:t>
                    </w:r>
                    <w:r>
                      <w:t>–</w:t>
                    </w:r>
                    <w:r>
                      <w:rPr>
                        <w:spacing w:val="-3"/>
                      </w:rPr>
                      <w:t xml:space="preserve"> </w:t>
                    </w:r>
                    <w:r>
                      <w:t>Pay</w:t>
                    </w:r>
                    <w:r>
                      <w:rPr>
                        <w:spacing w:val="-3"/>
                      </w:rPr>
                      <w:t xml:space="preserve"> </w:t>
                    </w:r>
                    <w:r>
                      <w:t>and</w:t>
                    </w:r>
                    <w:r>
                      <w:rPr>
                        <w:spacing w:val="-3"/>
                      </w:rPr>
                      <w:t xml:space="preserve"> </w:t>
                    </w:r>
                    <w:r>
                      <w:t>Allowance</w:t>
                    </w:r>
                    <w:r>
                      <w:rPr>
                        <w:spacing w:val="-3"/>
                      </w:rPr>
                      <w:t xml:space="preserve"> </w:t>
                    </w:r>
                    <w:r>
                      <w:t>System</w:t>
                    </w:r>
                    <w:r>
                      <w:rPr>
                        <w:spacing w:val="-3"/>
                      </w:rPr>
                      <w:t xml:space="preserve"> </w:t>
                    </w:r>
                    <w:r>
                      <w:t>for</w:t>
                    </w:r>
                    <w:r>
                      <w:rPr>
                        <w:spacing w:val="-3"/>
                      </w:rPr>
                      <w:t xml:space="preserve"> </w:t>
                    </w:r>
                    <w:r>
                      <w:t>Civilian</w:t>
                    </w:r>
                    <w:r>
                      <w:rPr>
                        <w:spacing w:val="-3"/>
                      </w:rPr>
                      <w:t xml:space="preserve"> </w:t>
                    </w:r>
                    <w:r>
                      <w:t>Employees,</w:t>
                    </w:r>
                    <w:r>
                      <w:rPr>
                        <w:spacing w:val="-3"/>
                      </w:rPr>
                      <w:t xml:space="preserve"> </w:t>
                    </w:r>
                    <w:r>
                      <w:t>as</w:t>
                    </w:r>
                    <w:r>
                      <w:rPr>
                        <w:spacing w:val="-3"/>
                      </w:rPr>
                      <w:t xml:space="preserve"> </w:t>
                    </w:r>
                    <w:r>
                      <w:t>Provided</w:t>
                    </w:r>
                    <w:r>
                      <w:rPr>
                        <w:spacing w:val="-4"/>
                      </w:rPr>
                      <w:t xml:space="preserve"> </w:t>
                    </w:r>
                    <w:r>
                      <w:t>Primarily</w:t>
                    </w:r>
                    <w:r>
                      <w:rPr>
                        <w:spacing w:val="-3"/>
                      </w:rPr>
                      <w:t xml:space="preserve"> </w:t>
                    </w:r>
                    <w:r>
                      <w:t>in</w:t>
                    </w:r>
                    <w:r>
                      <w:rPr>
                        <w:spacing w:val="-4"/>
                      </w:rPr>
                      <w:t xml:space="preserve"> </w:t>
                    </w:r>
                    <w:r>
                      <w:t>5</w:t>
                    </w:r>
                    <w:r>
                      <w:rPr>
                        <w:spacing w:val="-3"/>
                      </w:rPr>
                      <w:t xml:space="preserve"> </w:t>
                    </w:r>
                    <w:r>
                      <w:t>U.S.C. Chapters 51–59</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0" w14:textId="77777777" w:rsidR="00245300" w:rsidRDefault="00F17249">
    <w:pPr>
      <w:pStyle w:val="BodyText"/>
      <w:spacing w:line="14" w:lineRule="auto"/>
      <w:rPr>
        <w:sz w:val="20"/>
      </w:rPr>
    </w:pPr>
    <w:r>
      <w:rPr>
        <w:noProof/>
      </w:rPr>
      <mc:AlternateContent>
        <mc:Choice Requires="wps">
          <w:drawing>
            <wp:anchor distT="0" distB="0" distL="0" distR="0" simplePos="0" relativeHeight="475392000" behindDoc="1" locked="0" layoutInCell="1" allowOverlap="1" wp14:anchorId="24D62FF8" wp14:editId="24D62FF9">
              <wp:simplePos x="0" y="0"/>
              <wp:positionH relativeFrom="page">
                <wp:posOffset>666750</wp:posOffset>
              </wp:positionH>
              <wp:positionV relativeFrom="page">
                <wp:posOffset>457962</wp:posOffset>
              </wp:positionV>
              <wp:extent cx="8496300" cy="28575"/>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61052" id="Graphic 607" o:spid="_x0000_s1026" style="position:absolute;margin-left:52.5pt;margin-top:36.05pt;width:669pt;height:2.25pt;z-index:-27924480;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92512" behindDoc="1" locked="0" layoutInCell="1" allowOverlap="1" wp14:anchorId="24D62FFA" wp14:editId="24D62FFB">
              <wp:simplePos x="0" y="0"/>
              <wp:positionH relativeFrom="page">
                <wp:posOffset>666750</wp:posOffset>
              </wp:positionH>
              <wp:positionV relativeFrom="page">
                <wp:posOffset>832103</wp:posOffset>
              </wp:positionV>
              <wp:extent cx="8496300" cy="28575"/>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51AA86" id="Graphic 608" o:spid="_x0000_s1026" style="position:absolute;margin-left:52.5pt;margin-top:65.5pt;width:669pt;height:2.25pt;z-index:-27923968;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93024" behindDoc="1" locked="0" layoutInCell="1" allowOverlap="1" wp14:anchorId="24D62FFC" wp14:editId="24D62FFD">
              <wp:simplePos x="0" y="0"/>
              <wp:positionH relativeFrom="page">
                <wp:posOffset>673100</wp:posOffset>
              </wp:positionH>
              <wp:positionV relativeFrom="page">
                <wp:posOffset>490475</wp:posOffset>
              </wp:positionV>
              <wp:extent cx="4924425" cy="342265"/>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342265"/>
                      </a:xfrm>
                      <a:prstGeom prst="rect">
                        <a:avLst/>
                      </a:prstGeom>
                    </wps:spPr>
                    <wps:txbx>
                      <w:txbxContent>
                        <w:p w14:paraId="24D632D9" w14:textId="77777777" w:rsidR="00245300" w:rsidRDefault="00F17249">
                          <w:pPr>
                            <w:pStyle w:val="BodyText"/>
                            <w:spacing w:before="12"/>
                            <w:ind w:left="20"/>
                          </w:pPr>
                          <w:r>
                            <w:rPr>
                              <w:spacing w:val="-2"/>
                            </w:rPr>
                            <w:t>Compliance</w:t>
                          </w:r>
                        </w:p>
                        <w:p w14:paraId="24D632DA" w14:textId="77777777" w:rsidR="00245300" w:rsidRDefault="00F17249">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wps:txbx>
                    <wps:bodyPr wrap="square" lIns="0" tIns="0" rIns="0" bIns="0" rtlCol="0">
                      <a:noAutofit/>
                    </wps:bodyPr>
                  </wps:wsp>
                </a:graphicData>
              </a:graphic>
            </wp:anchor>
          </w:drawing>
        </mc:Choice>
        <mc:Fallback>
          <w:pict>
            <v:shapetype w14:anchorId="24D62FFC" id="_x0000_t202" coordsize="21600,21600" o:spt="202" path="m,l,21600r21600,l21600,xe">
              <v:stroke joinstyle="miter"/>
              <v:path gradientshapeok="t" o:connecttype="rect"/>
            </v:shapetype>
            <v:shape id="Textbox 609" o:spid="_x0000_s1199" type="#_x0000_t202" style="position:absolute;margin-left:53pt;margin-top:38.6pt;width:387.75pt;height:26.95pt;z-index:-279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" filled="f" stroked="f">
              <v:textbox inset="0,0,0,0">
                <w:txbxContent>
                  <w:p w14:paraId="24D632D9" w14:textId="77777777" w:rsidR="00245300" w:rsidRDefault="00F17249">
                    <w:pPr>
                      <w:pStyle w:val="BodyText"/>
                      <w:spacing w:before="12"/>
                      <w:ind w:left="20"/>
                    </w:pPr>
                    <w:r>
                      <w:rPr>
                        <w:spacing w:val="-2"/>
                      </w:rPr>
                      <w:t>Compliance</w:t>
                    </w:r>
                  </w:p>
                  <w:p w14:paraId="24D632DA" w14:textId="77777777" w:rsidR="00245300" w:rsidRDefault="00F17249">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2" w14:textId="77777777" w:rsidR="00245300" w:rsidRDefault="00F17249">
    <w:pPr>
      <w:pStyle w:val="BodyText"/>
      <w:spacing w:line="14" w:lineRule="auto"/>
      <w:rPr>
        <w:sz w:val="20"/>
      </w:rPr>
    </w:pPr>
    <w:r>
      <w:rPr>
        <w:noProof/>
      </w:rPr>
      <mc:AlternateContent>
        <mc:Choice Requires="wps">
          <w:drawing>
            <wp:anchor distT="0" distB="0" distL="0" distR="0" simplePos="0" relativeHeight="475395584" behindDoc="1" locked="0" layoutInCell="1" allowOverlap="1" wp14:anchorId="24D63006" wp14:editId="24D63007">
              <wp:simplePos x="0" y="0"/>
              <wp:positionH relativeFrom="page">
                <wp:posOffset>895350</wp:posOffset>
              </wp:positionH>
              <wp:positionV relativeFrom="page">
                <wp:posOffset>457962</wp:posOffset>
              </wp:positionV>
              <wp:extent cx="5981700" cy="28575"/>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8063BB" id="Graphic 640" o:spid="_x0000_s1026" style="position:absolute;margin-left:70.5pt;margin-top:36.05pt;width:471pt;height:2.25pt;z-index:-279208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96096" behindDoc="1" locked="0" layoutInCell="1" allowOverlap="1" wp14:anchorId="24D63008" wp14:editId="24D63009">
              <wp:simplePos x="0" y="0"/>
              <wp:positionH relativeFrom="page">
                <wp:posOffset>895350</wp:posOffset>
              </wp:positionH>
              <wp:positionV relativeFrom="page">
                <wp:posOffset>832103</wp:posOffset>
              </wp:positionV>
              <wp:extent cx="5981700" cy="28575"/>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386ED4" id="Graphic 641" o:spid="_x0000_s1026" style="position:absolute;margin-left:70.5pt;margin-top:65.5pt;width:471pt;height:2.25pt;z-index:-279203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396608" behindDoc="1" locked="0" layoutInCell="1" allowOverlap="1" wp14:anchorId="24D6300A" wp14:editId="24D6300B">
              <wp:simplePos x="0" y="0"/>
              <wp:positionH relativeFrom="page">
                <wp:posOffset>901700</wp:posOffset>
              </wp:positionH>
              <wp:positionV relativeFrom="page">
                <wp:posOffset>490475</wp:posOffset>
              </wp:positionV>
              <wp:extent cx="4924425" cy="342265"/>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342265"/>
                      </a:xfrm>
                      <a:prstGeom prst="rect">
                        <a:avLst/>
                      </a:prstGeom>
                    </wps:spPr>
                    <wps:txbx>
                      <w:txbxContent>
                        <w:p w14:paraId="24D632DE" w14:textId="77777777" w:rsidR="00245300" w:rsidRDefault="00F17249">
                          <w:pPr>
                            <w:pStyle w:val="BodyText"/>
                            <w:spacing w:before="12"/>
                            <w:ind w:left="20"/>
                          </w:pPr>
                          <w:r>
                            <w:rPr>
                              <w:spacing w:val="-2"/>
                            </w:rPr>
                            <w:t>Compliance</w:t>
                          </w:r>
                        </w:p>
                        <w:p w14:paraId="24D632DF" w14:textId="77777777" w:rsidR="00245300" w:rsidRDefault="00F17249">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wps:txbx>
                    <wps:bodyPr wrap="square" lIns="0" tIns="0" rIns="0" bIns="0" rtlCol="0">
                      <a:noAutofit/>
                    </wps:bodyPr>
                  </wps:wsp>
                </a:graphicData>
              </a:graphic>
            </wp:anchor>
          </w:drawing>
        </mc:Choice>
        <mc:Fallback>
          <w:pict>
            <v:shapetype w14:anchorId="24D6300A" id="_x0000_t202" coordsize="21600,21600" o:spt="202" path="m,l,21600r21600,l21600,xe">
              <v:stroke joinstyle="miter"/>
              <v:path gradientshapeok="t" o:connecttype="rect"/>
            </v:shapetype>
            <v:shape id="Textbox 642" o:spid="_x0000_s1203" type="#_x0000_t202" style="position:absolute;margin-left:71pt;margin-top:38.6pt;width:387.75pt;height:26.95pt;z-index:-279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" filled="f" stroked="f">
              <v:textbox inset="0,0,0,0">
                <w:txbxContent>
                  <w:p w14:paraId="24D632DE" w14:textId="77777777" w:rsidR="00245300" w:rsidRDefault="00F17249">
                    <w:pPr>
                      <w:pStyle w:val="BodyText"/>
                      <w:spacing w:before="12"/>
                      <w:ind w:left="20"/>
                    </w:pPr>
                    <w:r>
                      <w:rPr>
                        <w:spacing w:val="-2"/>
                      </w:rPr>
                      <w:t>Compliance</w:t>
                    </w:r>
                  </w:p>
                  <w:p w14:paraId="24D632DF" w14:textId="77777777" w:rsidR="00245300" w:rsidRDefault="00F17249">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A" w14:textId="77777777" w:rsidR="00245300" w:rsidRDefault="00F17249">
    <w:pPr>
      <w:pStyle w:val="BodyText"/>
      <w:spacing w:line="14" w:lineRule="auto"/>
      <w:rPr>
        <w:sz w:val="20"/>
      </w:rPr>
    </w:pPr>
    <w:r>
      <w:rPr>
        <w:noProof/>
      </w:rPr>
      <mc:AlternateContent>
        <mc:Choice Requires="wps">
          <w:drawing>
            <wp:anchor distT="0" distB="0" distL="0" distR="0" simplePos="0" relativeHeight="475248640" behindDoc="1" locked="0" layoutInCell="1" allowOverlap="1" wp14:anchorId="24D62DC8" wp14:editId="24D62DC9">
              <wp:simplePos x="0" y="0"/>
              <wp:positionH relativeFrom="page">
                <wp:posOffset>895350</wp:posOffset>
              </wp:positionH>
              <wp:positionV relativeFrom="page">
                <wp:posOffset>457962</wp:posOffset>
              </wp:positionV>
              <wp:extent cx="5981700" cy="2857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0B46D" id="Graphic 52" o:spid="_x0000_s1026" style="position:absolute;margin-left:70.5pt;margin-top:36.05pt;width:471pt;height:2.25pt;z-index:-280678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49152" behindDoc="1" locked="0" layoutInCell="1" allowOverlap="1" wp14:anchorId="24D62DCA" wp14:editId="24D62DCB">
              <wp:simplePos x="0" y="0"/>
              <wp:positionH relativeFrom="page">
                <wp:posOffset>895350</wp:posOffset>
              </wp:positionH>
              <wp:positionV relativeFrom="page">
                <wp:posOffset>832103</wp:posOffset>
              </wp:positionV>
              <wp:extent cx="5981700" cy="2857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5C2338" id="Graphic 53" o:spid="_x0000_s1026" style="position:absolute;margin-left:70.5pt;margin-top:65.5pt;width:471pt;height:2.25pt;z-index:-280673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49664" behindDoc="1" locked="0" layoutInCell="1" allowOverlap="1" wp14:anchorId="24D62DCC" wp14:editId="24D62DCD">
              <wp:simplePos x="0" y="0"/>
              <wp:positionH relativeFrom="page">
                <wp:posOffset>901700</wp:posOffset>
              </wp:positionH>
              <wp:positionV relativeFrom="page">
                <wp:posOffset>490475</wp:posOffset>
              </wp:positionV>
              <wp:extent cx="2734945" cy="34226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342265"/>
                      </a:xfrm>
                      <a:prstGeom prst="rect">
                        <a:avLst/>
                      </a:prstGeom>
                    </wps:spPr>
                    <wps:txbx>
                      <w:txbxContent>
                        <w:p w14:paraId="24D6320F"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10" w14:textId="77777777" w:rsidR="00245300" w:rsidRDefault="00F17249">
                          <w:pPr>
                            <w:pStyle w:val="BodyText"/>
                            <w:ind w:left="20"/>
                          </w:pPr>
                          <w:r>
                            <w:t>600</w:t>
                          </w:r>
                          <w:r>
                            <w:rPr>
                              <w:spacing w:val="-5"/>
                            </w:rPr>
                            <w:t xml:space="preserve"> </w:t>
                          </w:r>
                          <w:r>
                            <w:t>–</w:t>
                          </w:r>
                          <w:r>
                            <w:rPr>
                              <w:spacing w:val="-4"/>
                            </w:rPr>
                            <w:t xml:space="preserve"> </w:t>
                          </w:r>
                          <w:r>
                            <w:t>Contents</w:t>
                          </w:r>
                          <w:r>
                            <w:rPr>
                              <w:spacing w:val="-4"/>
                            </w:rPr>
                            <w:t xml:space="preserve"> </w:t>
                          </w:r>
                          <w:r>
                            <w:t>of</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5"/>
                            </w:rPr>
                            <w:t xml:space="preserve"> </w:t>
                          </w:r>
                          <w:r>
                            <w:rPr>
                              <w:spacing w:val="-2"/>
                            </w:rPr>
                            <w:t>Others</w:t>
                          </w:r>
                        </w:p>
                      </w:txbxContent>
                    </wps:txbx>
                    <wps:bodyPr wrap="square" lIns="0" tIns="0" rIns="0" bIns="0" rtlCol="0">
                      <a:noAutofit/>
                    </wps:bodyPr>
                  </wps:wsp>
                </a:graphicData>
              </a:graphic>
            </wp:anchor>
          </w:drawing>
        </mc:Choice>
        <mc:Fallback>
          <w:pict>
            <v:shapetype w14:anchorId="24D62DCC" id="_x0000_t202" coordsize="21600,21600" o:spt="202" path="m,l,21600r21600,l21600,xe">
              <v:stroke joinstyle="miter"/>
              <v:path gradientshapeok="t" o:connecttype="rect"/>
            </v:shapetype>
            <v:shape id="Textbox 54" o:spid="_x0000_s1036" type="#_x0000_t202" style="position:absolute;margin-left:71pt;margin-top:38.6pt;width:215.35pt;height:26.95pt;z-index:-280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" filled="f" stroked="f">
              <v:textbox inset="0,0,0,0">
                <w:txbxContent>
                  <w:p w14:paraId="24D6320F"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10" w14:textId="77777777" w:rsidR="00245300" w:rsidRDefault="00F17249">
                    <w:pPr>
                      <w:pStyle w:val="BodyText"/>
                      <w:ind w:left="20"/>
                    </w:pPr>
                    <w:r>
                      <w:t>600</w:t>
                    </w:r>
                    <w:r>
                      <w:rPr>
                        <w:spacing w:val="-5"/>
                      </w:rPr>
                      <w:t xml:space="preserve"> </w:t>
                    </w:r>
                    <w:r>
                      <w:t>–</w:t>
                    </w:r>
                    <w:r>
                      <w:rPr>
                        <w:spacing w:val="-4"/>
                      </w:rPr>
                      <w:t xml:space="preserve"> </w:t>
                    </w:r>
                    <w:r>
                      <w:t>Contents</w:t>
                    </w:r>
                    <w:r>
                      <w:rPr>
                        <w:spacing w:val="-4"/>
                      </w:rPr>
                      <w:t xml:space="preserve"> </w:t>
                    </w:r>
                    <w:r>
                      <w:t>of</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5"/>
                      </w:rPr>
                      <w:t xml:space="preserve"> </w:t>
                    </w:r>
                    <w:r>
                      <w:rPr>
                        <w:spacing w:val="-2"/>
                      </w:rPr>
                      <w:t>Others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4" w14:textId="77777777" w:rsidR="00245300" w:rsidRDefault="00F17249">
    <w:pPr>
      <w:pStyle w:val="BodyText"/>
      <w:spacing w:line="14" w:lineRule="auto"/>
      <w:rPr>
        <w:sz w:val="20"/>
      </w:rPr>
    </w:pPr>
    <w:r>
      <w:rPr>
        <w:noProof/>
      </w:rPr>
      <mc:AlternateContent>
        <mc:Choice Requires="wps">
          <w:drawing>
            <wp:anchor distT="0" distB="0" distL="0" distR="0" simplePos="0" relativeHeight="475399168" behindDoc="1" locked="0" layoutInCell="1" allowOverlap="1" wp14:anchorId="24D63014" wp14:editId="24D63015">
              <wp:simplePos x="0" y="0"/>
              <wp:positionH relativeFrom="page">
                <wp:posOffset>666750</wp:posOffset>
              </wp:positionH>
              <wp:positionV relativeFrom="page">
                <wp:posOffset>457962</wp:posOffset>
              </wp:positionV>
              <wp:extent cx="8496300" cy="2857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A7466E" id="Graphic 648" o:spid="_x0000_s1026" style="position:absolute;margin-left:52.5pt;margin-top:36.05pt;width:669pt;height:2.25pt;z-index:-27917312;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399680" behindDoc="1" locked="0" layoutInCell="1" allowOverlap="1" wp14:anchorId="24D63016" wp14:editId="24D63017">
              <wp:simplePos x="0" y="0"/>
              <wp:positionH relativeFrom="page">
                <wp:posOffset>666750</wp:posOffset>
              </wp:positionH>
              <wp:positionV relativeFrom="page">
                <wp:posOffset>832103</wp:posOffset>
              </wp:positionV>
              <wp:extent cx="8496300" cy="28575"/>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B6EC0" id="Graphic 649" o:spid="_x0000_s1026" style="position:absolute;margin-left:52.5pt;margin-top:65.5pt;width:669pt;height:2.25pt;z-index:-27916800;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400192" behindDoc="1" locked="0" layoutInCell="1" allowOverlap="1" wp14:anchorId="24D63018" wp14:editId="24D63019">
              <wp:simplePos x="0" y="0"/>
              <wp:positionH relativeFrom="page">
                <wp:posOffset>673100</wp:posOffset>
              </wp:positionH>
              <wp:positionV relativeFrom="page">
                <wp:posOffset>490475</wp:posOffset>
              </wp:positionV>
              <wp:extent cx="5671185" cy="342265"/>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342265"/>
                      </a:xfrm>
                      <a:prstGeom prst="rect">
                        <a:avLst/>
                      </a:prstGeom>
                    </wps:spPr>
                    <wps:txbx>
                      <w:txbxContent>
                        <w:p w14:paraId="24D632E3" w14:textId="77777777" w:rsidR="00245300" w:rsidRDefault="00F17249">
                          <w:pPr>
                            <w:pStyle w:val="BodyText"/>
                            <w:spacing w:before="12"/>
                            <w:ind w:left="20"/>
                          </w:pPr>
                          <w:r>
                            <w:rPr>
                              <w:spacing w:val="-2"/>
                            </w:rPr>
                            <w:t>Compliance</w:t>
                          </w:r>
                        </w:p>
                        <w:p w14:paraId="24D632E4" w14:textId="77777777" w:rsidR="00245300" w:rsidRDefault="00F17249">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6"/>
                            </w:rPr>
                            <w:t xml:space="preserve"> </w:t>
                          </w:r>
                          <w:r>
                            <w:t>Benefits</w:t>
                          </w:r>
                          <w:r>
                            <w:rPr>
                              <w:spacing w:val="-6"/>
                            </w:rPr>
                            <w:t xml:space="preserve"> </w:t>
                          </w:r>
                          <w:r>
                            <w:t>Act</w:t>
                          </w:r>
                          <w:r>
                            <w:rPr>
                              <w:spacing w:val="-6"/>
                            </w:rPr>
                            <w:t xml:space="preserve"> </w:t>
                          </w:r>
                          <w:r>
                            <w:t>(FEHBA),</w:t>
                          </w:r>
                          <w:r>
                            <w:rPr>
                              <w:spacing w:val="-6"/>
                            </w:rPr>
                            <w:t xml:space="preserve"> </w:t>
                          </w:r>
                          <w:r>
                            <w:t>as</w:t>
                          </w:r>
                          <w:r>
                            <w:rPr>
                              <w:spacing w:val="-6"/>
                            </w:rPr>
                            <w:t xml:space="preserve"> </w:t>
                          </w:r>
                          <w:r>
                            <w:t>Provided</w:t>
                          </w:r>
                          <w:r>
                            <w:rPr>
                              <w:spacing w:val="-6"/>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wps:txbx>
                    <wps:bodyPr wrap="square" lIns="0" tIns="0" rIns="0" bIns="0" rtlCol="0">
                      <a:noAutofit/>
                    </wps:bodyPr>
                  </wps:wsp>
                </a:graphicData>
              </a:graphic>
            </wp:anchor>
          </w:drawing>
        </mc:Choice>
        <mc:Fallback>
          <w:pict>
            <v:shapetype w14:anchorId="24D63018" id="_x0000_t202" coordsize="21600,21600" o:spt="202" path="m,l,21600r21600,l21600,xe">
              <v:stroke joinstyle="miter"/>
              <v:path gradientshapeok="t" o:connecttype="rect"/>
            </v:shapetype>
            <v:shape id="Textbox 650" o:spid="_x0000_s1207" type="#_x0000_t202" style="position:absolute;margin-left:53pt;margin-top:38.6pt;width:446.55pt;height:26.95pt;z-index:-279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" filled="f" stroked="f">
              <v:textbox inset="0,0,0,0">
                <w:txbxContent>
                  <w:p w14:paraId="24D632E3" w14:textId="77777777" w:rsidR="00245300" w:rsidRDefault="00F17249">
                    <w:pPr>
                      <w:pStyle w:val="BodyText"/>
                      <w:spacing w:before="12"/>
                      <w:ind w:left="20"/>
                    </w:pPr>
                    <w:r>
                      <w:rPr>
                        <w:spacing w:val="-2"/>
                      </w:rPr>
                      <w:t>Compliance</w:t>
                    </w:r>
                  </w:p>
                  <w:p w14:paraId="24D632E4" w14:textId="77777777" w:rsidR="00245300" w:rsidRDefault="00F17249">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6"/>
                      </w:rPr>
                      <w:t xml:space="preserve"> </w:t>
                    </w:r>
                    <w:r>
                      <w:t>Benefits</w:t>
                    </w:r>
                    <w:r>
                      <w:rPr>
                        <w:spacing w:val="-6"/>
                      </w:rPr>
                      <w:t xml:space="preserve"> </w:t>
                    </w:r>
                    <w:r>
                      <w:t>Act</w:t>
                    </w:r>
                    <w:r>
                      <w:rPr>
                        <w:spacing w:val="-6"/>
                      </w:rPr>
                      <w:t xml:space="preserve"> </w:t>
                    </w:r>
                    <w:r>
                      <w:t>(FEHBA),</w:t>
                    </w:r>
                    <w:r>
                      <w:rPr>
                        <w:spacing w:val="-6"/>
                      </w:rPr>
                      <w:t xml:space="preserve"> </w:t>
                    </w:r>
                    <w:r>
                      <w:t>as</w:t>
                    </w:r>
                    <w:r>
                      <w:rPr>
                        <w:spacing w:val="-6"/>
                      </w:rPr>
                      <w:t xml:space="preserve"> </w:t>
                    </w:r>
                    <w:r>
                      <w:t>Provided</w:t>
                    </w:r>
                    <w:r>
                      <w:rPr>
                        <w:spacing w:val="-6"/>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6" w14:textId="77777777" w:rsidR="00245300" w:rsidRDefault="00F17249">
    <w:pPr>
      <w:pStyle w:val="BodyText"/>
      <w:spacing w:line="14" w:lineRule="auto"/>
      <w:rPr>
        <w:sz w:val="20"/>
      </w:rPr>
    </w:pPr>
    <w:r>
      <w:rPr>
        <w:noProof/>
      </w:rPr>
      <mc:AlternateContent>
        <mc:Choice Requires="wps">
          <w:drawing>
            <wp:anchor distT="0" distB="0" distL="0" distR="0" simplePos="0" relativeHeight="475402752" behindDoc="1" locked="0" layoutInCell="1" allowOverlap="1" wp14:anchorId="24D63022" wp14:editId="24D63023">
              <wp:simplePos x="0" y="0"/>
              <wp:positionH relativeFrom="page">
                <wp:posOffset>895350</wp:posOffset>
              </wp:positionH>
              <wp:positionV relativeFrom="page">
                <wp:posOffset>457962</wp:posOffset>
              </wp:positionV>
              <wp:extent cx="5981700" cy="28575"/>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67E2E" id="Graphic 668" o:spid="_x0000_s1026" style="position:absolute;margin-left:70.5pt;margin-top:36.05pt;width:471pt;height:2.25pt;z-index:-279137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03264" behindDoc="1" locked="0" layoutInCell="1" allowOverlap="1" wp14:anchorId="24D63024" wp14:editId="24D63025">
              <wp:simplePos x="0" y="0"/>
              <wp:positionH relativeFrom="page">
                <wp:posOffset>895350</wp:posOffset>
              </wp:positionH>
              <wp:positionV relativeFrom="page">
                <wp:posOffset>832103</wp:posOffset>
              </wp:positionV>
              <wp:extent cx="5981700" cy="28575"/>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999F39" id="Graphic 669" o:spid="_x0000_s1026" style="position:absolute;margin-left:70.5pt;margin-top:65.5pt;width:471pt;height:2.25pt;z-index:-279132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03776" behindDoc="1" locked="0" layoutInCell="1" allowOverlap="1" wp14:anchorId="24D63026" wp14:editId="24D63027">
              <wp:simplePos x="0" y="0"/>
              <wp:positionH relativeFrom="page">
                <wp:posOffset>901700</wp:posOffset>
              </wp:positionH>
              <wp:positionV relativeFrom="page">
                <wp:posOffset>490475</wp:posOffset>
              </wp:positionV>
              <wp:extent cx="5671185" cy="342265"/>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342265"/>
                      </a:xfrm>
                      <a:prstGeom prst="rect">
                        <a:avLst/>
                      </a:prstGeom>
                    </wps:spPr>
                    <wps:txbx>
                      <w:txbxContent>
                        <w:p w14:paraId="24D632E8" w14:textId="77777777" w:rsidR="00245300" w:rsidRDefault="00F17249">
                          <w:pPr>
                            <w:pStyle w:val="BodyText"/>
                            <w:spacing w:before="12"/>
                            <w:ind w:left="20"/>
                          </w:pPr>
                          <w:r>
                            <w:rPr>
                              <w:spacing w:val="-2"/>
                            </w:rPr>
                            <w:t>Compliance</w:t>
                          </w:r>
                        </w:p>
                        <w:p w14:paraId="24D632E9" w14:textId="77777777" w:rsidR="00245300" w:rsidRDefault="00F17249">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6"/>
                            </w:rPr>
                            <w:t xml:space="preserve"> </w:t>
                          </w:r>
                          <w:r>
                            <w:t>Benefits</w:t>
                          </w:r>
                          <w:r>
                            <w:rPr>
                              <w:spacing w:val="-6"/>
                            </w:rPr>
                            <w:t xml:space="preserve"> </w:t>
                          </w:r>
                          <w:r>
                            <w:t>Act</w:t>
                          </w:r>
                          <w:r>
                            <w:rPr>
                              <w:spacing w:val="-6"/>
                            </w:rPr>
                            <w:t xml:space="preserve"> </w:t>
                          </w:r>
                          <w:r>
                            <w:t>(FEHBA),</w:t>
                          </w:r>
                          <w:r>
                            <w:rPr>
                              <w:spacing w:val="-6"/>
                            </w:rPr>
                            <w:t xml:space="preserve"> </w:t>
                          </w:r>
                          <w:r>
                            <w:t>as</w:t>
                          </w:r>
                          <w:r>
                            <w:rPr>
                              <w:spacing w:val="-6"/>
                            </w:rPr>
                            <w:t xml:space="preserve"> </w:t>
                          </w:r>
                          <w:r>
                            <w:t>Provided</w:t>
                          </w:r>
                          <w:r>
                            <w:rPr>
                              <w:spacing w:val="-6"/>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wps:txbx>
                    <wps:bodyPr wrap="square" lIns="0" tIns="0" rIns="0" bIns="0" rtlCol="0">
                      <a:noAutofit/>
                    </wps:bodyPr>
                  </wps:wsp>
                </a:graphicData>
              </a:graphic>
            </wp:anchor>
          </w:drawing>
        </mc:Choice>
        <mc:Fallback>
          <w:pict>
            <v:shapetype w14:anchorId="24D63026" id="_x0000_t202" coordsize="21600,21600" o:spt="202" path="m,l,21600r21600,l21600,xe">
              <v:stroke joinstyle="miter"/>
              <v:path gradientshapeok="t" o:connecttype="rect"/>
            </v:shapetype>
            <v:shape id="Textbox 670" o:spid="_x0000_s1211" type="#_x0000_t202" style="position:absolute;margin-left:71pt;margin-top:38.6pt;width:446.55pt;height:26.95pt;z-index:-279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" filled="f" stroked="f">
              <v:textbox inset="0,0,0,0">
                <w:txbxContent>
                  <w:p w14:paraId="24D632E8" w14:textId="77777777" w:rsidR="00245300" w:rsidRDefault="00F17249">
                    <w:pPr>
                      <w:pStyle w:val="BodyText"/>
                      <w:spacing w:before="12"/>
                      <w:ind w:left="20"/>
                    </w:pPr>
                    <w:r>
                      <w:rPr>
                        <w:spacing w:val="-2"/>
                      </w:rPr>
                      <w:t>Compliance</w:t>
                    </w:r>
                  </w:p>
                  <w:p w14:paraId="24D632E9" w14:textId="77777777" w:rsidR="00245300" w:rsidRDefault="00F17249">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6"/>
                      </w:rPr>
                      <w:t xml:space="preserve"> </w:t>
                    </w:r>
                    <w:r>
                      <w:t>Benefits</w:t>
                    </w:r>
                    <w:r>
                      <w:rPr>
                        <w:spacing w:val="-6"/>
                      </w:rPr>
                      <w:t xml:space="preserve"> </w:t>
                    </w:r>
                    <w:r>
                      <w:t>Act</w:t>
                    </w:r>
                    <w:r>
                      <w:rPr>
                        <w:spacing w:val="-6"/>
                      </w:rPr>
                      <w:t xml:space="preserve"> </w:t>
                    </w:r>
                    <w:r>
                      <w:t>(FEHBA),</w:t>
                    </w:r>
                    <w:r>
                      <w:rPr>
                        <w:spacing w:val="-6"/>
                      </w:rPr>
                      <w:t xml:space="preserve"> </w:t>
                    </w:r>
                    <w:r>
                      <w:t>as</w:t>
                    </w:r>
                    <w:r>
                      <w:rPr>
                        <w:spacing w:val="-6"/>
                      </w:rPr>
                      <w:t xml:space="preserve"> </w:t>
                    </w:r>
                    <w:r>
                      <w:t>Provided</w:t>
                    </w:r>
                    <w:r>
                      <w:rPr>
                        <w:spacing w:val="-6"/>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8" w14:textId="77777777" w:rsidR="00245300" w:rsidRDefault="00F17249">
    <w:pPr>
      <w:pStyle w:val="BodyText"/>
      <w:spacing w:line="14" w:lineRule="auto"/>
      <w:rPr>
        <w:sz w:val="20"/>
      </w:rPr>
    </w:pPr>
    <w:r>
      <w:rPr>
        <w:noProof/>
      </w:rPr>
      <mc:AlternateContent>
        <mc:Choice Requires="wps">
          <w:drawing>
            <wp:anchor distT="0" distB="0" distL="0" distR="0" simplePos="0" relativeHeight="475406336" behindDoc="1" locked="0" layoutInCell="1" allowOverlap="1" wp14:anchorId="24D63030" wp14:editId="24D63031">
              <wp:simplePos x="0" y="0"/>
              <wp:positionH relativeFrom="page">
                <wp:posOffset>666750</wp:posOffset>
              </wp:positionH>
              <wp:positionV relativeFrom="page">
                <wp:posOffset>457962</wp:posOffset>
              </wp:positionV>
              <wp:extent cx="8496300" cy="28575"/>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A0DF5" id="Graphic 676" o:spid="_x0000_s1026" style="position:absolute;margin-left:52.5pt;margin-top:36.05pt;width:669pt;height:2.25pt;z-index:-27910144;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406848" behindDoc="1" locked="0" layoutInCell="1" allowOverlap="1" wp14:anchorId="24D63032" wp14:editId="24D63033">
              <wp:simplePos x="0" y="0"/>
              <wp:positionH relativeFrom="page">
                <wp:posOffset>666750</wp:posOffset>
              </wp:positionH>
              <wp:positionV relativeFrom="page">
                <wp:posOffset>832103</wp:posOffset>
              </wp:positionV>
              <wp:extent cx="8496300" cy="28575"/>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51C67" id="Graphic 677" o:spid="_x0000_s1026" style="position:absolute;margin-left:52.5pt;margin-top:65.5pt;width:669pt;height:2.25pt;z-index:-27909632;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rPr>
      <mc:AlternateContent>
        <mc:Choice Requires="wps">
          <w:drawing>
            <wp:anchor distT="0" distB="0" distL="0" distR="0" simplePos="0" relativeHeight="475407360" behindDoc="1" locked="0" layoutInCell="1" allowOverlap="1" wp14:anchorId="24D63034" wp14:editId="24D63035">
              <wp:simplePos x="0" y="0"/>
              <wp:positionH relativeFrom="page">
                <wp:posOffset>673100</wp:posOffset>
              </wp:positionH>
              <wp:positionV relativeFrom="page">
                <wp:posOffset>490475</wp:posOffset>
              </wp:positionV>
              <wp:extent cx="5588635" cy="34226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635" cy="342265"/>
                      </a:xfrm>
                      <a:prstGeom prst="rect">
                        <a:avLst/>
                      </a:prstGeom>
                    </wps:spPr>
                    <wps:txbx>
                      <w:txbxContent>
                        <w:p w14:paraId="24D632ED" w14:textId="77777777" w:rsidR="00245300" w:rsidRDefault="00F17249">
                          <w:pPr>
                            <w:pStyle w:val="BodyText"/>
                            <w:spacing w:before="12"/>
                            <w:ind w:left="20"/>
                          </w:pPr>
                          <w:r>
                            <w:rPr>
                              <w:spacing w:val="-2"/>
                            </w:rPr>
                            <w:t>Compliance</w:t>
                          </w:r>
                        </w:p>
                        <w:p w14:paraId="24D632EE" w14:textId="77777777" w:rsidR="00245300" w:rsidRDefault="00F17249">
                          <w:pPr>
                            <w:pStyle w:val="BodyText"/>
                            <w:ind w:left="20"/>
                          </w:pPr>
                          <w:r>
                            <w:t>810</w:t>
                          </w:r>
                          <w:r>
                            <w:rPr>
                              <w:spacing w:val="-7"/>
                            </w:rPr>
                            <w:t xml:space="preserve"> </w:t>
                          </w:r>
                          <w:r>
                            <w:t>–</w:t>
                          </w:r>
                          <w:r>
                            <w:rPr>
                              <w:spacing w:val="-7"/>
                            </w:rPr>
                            <w:t xml:space="preserve"> </w:t>
                          </w:r>
                          <w:r>
                            <w:t>Federal</w:t>
                          </w:r>
                          <w:r>
                            <w:rPr>
                              <w:spacing w:val="-7"/>
                            </w:rPr>
                            <w:t xml:space="preserve"> </w:t>
                          </w:r>
                          <w:r>
                            <w:t>Employees'</w:t>
                          </w:r>
                          <w:r>
                            <w:rPr>
                              <w:spacing w:val="-7"/>
                            </w:rPr>
                            <w:t xml:space="preserve"> </w:t>
                          </w:r>
                          <w:r>
                            <w:t>Compensation</w:t>
                          </w:r>
                          <w:r>
                            <w:rPr>
                              <w:spacing w:val="-7"/>
                            </w:rPr>
                            <w:t xml:space="preserve"> </w:t>
                          </w:r>
                          <w:r>
                            <w:t>Act</w:t>
                          </w:r>
                          <w:r>
                            <w:rPr>
                              <w:spacing w:val="-7"/>
                            </w:rPr>
                            <w:t xml:space="preserve"> </w:t>
                          </w:r>
                          <w:r>
                            <w:t>(FECA),</w:t>
                          </w:r>
                          <w:r>
                            <w:rPr>
                              <w:spacing w:val="-7"/>
                            </w:rPr>
                            <w:t xml:space="preserve"> </w:t>
                          </w:r>
                          <w:r>
                            <w:t>as</w:t>
                          </w:r>
                          <w:r>
                            <w:rPr>
                              <w:spacing w:val="-6"/>
                            </w:rPr>
                            <w:t xml:space="preserve"> </w:t>
                          </w:r>
                          <w:r>
                            <w:t>Provided</w:t>
                          </w:r>
                          <w:r>
                            <w:rPr>
                              <w:spacing w:val="-7"/>
                            </w:rPr>
                            <w:t xml:space="preserve"> </w:t>
                          </w:r>
                          <w:r>
                            <w:t>in</w:t>
                          </w:r>
                          <w:r>
                            <w:rPr>
                              <w:spacing w:val="-7"/>
                            </w:rPr>
                            <w:t xml:space="preserve"> </w:t>
                          </w:r>
                          <w:r>
                            <w:t>5</w:t>
                          </w:r>
                          <w:r>
                            <w:rPr>
                              <w:spacing w:val="-8"/>
                            </w:rPr>
                            <w:t xml:space="preserve"> </w:t>
                          </w:r>
                          <w:r>
                            <w:t>U.S.C.</w:t>
                          </w:r>
                          <w:r>
                            <w:rPr>
                              <w:spacing w:val="-7"/>
                            </w:rPr>
                            <w:t xml:space="preserve"> </w:t>
                          </w:r>
                          <w:r>
                            <w:t>Chapter</w:t>
                          </w:r>
                          <w:r>
                            <w:rPr>
                              <w:spacing w:val="-7"/>
                            </w:rPr>
                            <w:t xml:space="preserve"> </w:t>
                          </w:r>
                          <w:r>
                            <w:rPr>
                              <w:spacing w:val="-5"/>
                            </w:rPr>
                            <w:t>81</w:t>
                          </w:r>
                        </w:p>
                      </w:txbxContent>
                    </wps:txbx>
                    <wps:bodyPr wrap="square" lIns="0" tIns="0" rIns="0" bIns="0" rtlCol="0">
                      <a:noAutofit/>
                    </wps:bodyPr>
                  </wps:wsp>
                </a:graphicData>
              </a:graphic>
            </wp:anchor>
          </w:drawing>
        </mc:Choice>
        <mc:Fallback>
          <w:pict>
            <v:shapetype w14:anchorId="24D63034" id="_x0000_t202" coordsize="21600,21600" o:spt="202" path="m,l,21600r21600,l21600,xe">
              <v:stroke joinstyle="miter"/>
              <v:path gradientshapeok="t" o:connecttype="rect"/>
            </v:shapetype>
            <v:shape id="Textbox 678" o:spid="_x0000_s1215" type="#_x0000_t202" style="position:absolute;margin-left:53pt;margin-top:38.6pt;width:440.05pt;height:26.95pt;z-index:-279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" filled="f" stroked="f">
              <v:textbox inset="0,0,0,0">
                <w:txbxContent>
                  <w:p w14:paraId="24D632ED" w14:textId="77777777" w:rsidR="00245300" w:rsidRDefault="00F17249">
                    <w:pPr>
                      <w:pStyle w:val="BodyText"/>
                      <w:spacing w:before="12"/>
                      <w:ind w:left="20"/>
                    </w:pPr>
                    <w:r>
                      <w:rPr>
                        <w:spacing w:val="-2"/>
                      </w:rPr>
                      <w:t>Compliance</w:t>
                    </w:r>
                  </w:p>
                  <w:p w14:paraId="24D632EE" w14:textId="77777777" w:rsidR="00245300" w:rsidRDefault="00F17249">
                    <w:pPr>
                      <w:pStyle w:val="BodyText"/>
                      <w:ind w:left="20"/>
                    </w:pPr>
                    <w:r>
                      <w:t>810</w:t>
                    </w:r>
                    <w:r>
                      <w:rPr>
                        <w:spacing w:val="-7"/>
                      </w:rPr>
                      <w:t xml:space="preserve"> </w:t>
                    </w:r>
                    <w:r>
                      <w:t>–</w:t>
                    </w:r>
                    <w:r>
                      <w:rPr>
                        <w:spacing w:val="-7"/>
                      </w:rPr>
                      <w:t xml:space="preserve"> </w:t>
                    </w:r>
                    <w:r>
                      <w:t>Federal</w:t>
                    </w:r>
                    <w:r>
                      <w:rPr>
                        <w:spacing w:val="-7"/>
                      </w:rPr>
                      <w:t xml:space="preserve"> </w:t>
                    </w:r>
                    <w:r>
                      <w:t>Employees'</w:t>
                    </w:r>
                    <w:r>
                      <w:rPr>
                        <w:spacing w:val="-7"/>
                      </w:rPr>
                      <w:t xml:space="preserve"> </w:t>
                    </w:r>
                    <w:r>
                      <w:t>Compensation</w:t>
                    </w:r>
                    <w:r>
                      <w:rPr>
                        <w:spacing w:val="-7"/>
                      </w:rPr>
                      <w:t xml:space="preserve"> </w:t>
                    </w:r>
                    <w:r>
                      <w:t>Act</w:t>
                    </w:r>
                    <w:r>
                      <w:rPr>
                        <w:spacing w:val="-7"/>
                      </w:rPr>
                      <w:t xml:space="preserve"> </w:t>
                    </w:r>
                    <w:r>
                      <w:t>(FECA),</w:t>
                    </w:r>
                    <w:r>
                      <w:rPr>
                        <w:spacing w:val="-7"/>
                      </w:rPr>
                      <w:t xml:space="preserve"> </w:t>
                    </w:r>
                    <w:r>
                      <w:t>as</w:t>
                    </w:r>
                    <w:r>
                      <w:rPr>
                        <w:spacing w:val="-6"/>
                      </w:rPr>
                      <w:t xml:space="preserve"> </w:t>
                    </w:r>
                    <w:r>
                      <w:t>Provided</w:t>
                    </w:r>
                    <w:r>
                      <w:rPr>
                        <w:spacing w:val="-7"/>
                      </w:rPr>
                      <w:t xml:space="preserve"> </w:t>
                    </w:r>
                    <w:r>
                      <w:t>in</w:t>
                    </w:r>
                    <w:r>
                      <w:rPr>
                        <w:spacing w:val="-7"/>
                      </w:rPr>
                      <w:t xml:space="preserve"> </w:t>
                    </w:r>
                    <w:r>
                      <w:t>5</w:t>
                    </w:r>
                    <w:r>
                      <w:rPr>
                        <w:spacing w:val="-8"/>
                      </w:rPr>
                      <w:t xml:space="preserve"> </w:t>
                    </w:r>
                    <w:r>
                      <w:t>U.S.C.</w:t>
                    </w:r>
                    <w:r>
                      <w:rPr>
                        <w:spacing w:val="-7"/>
                      </w:rPr>
                      <w:t xml:space="preserve"> </w:t>
                    </w:r>
                    <w:r>
                      <w:t>Chapter</w:t>
                    </w:r>
                    <w:r>
                      <w:rPr>
                        <w:spacing w:val="-7"/>
                      </w:rPr>
                      <w:t xml:space="preserve"> </w:t>
                    </w:r>
                    <w:r>
                      <w:rPr>
                        <w:spacing w:val="-5"/>
                      </w:rPr>
                      <w:t>81</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A" w14:textId="77777777" w:rsidR="00245300" w:rsidRDefault="00245300">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C" w14:textId="77777777" w:rsidR="00245300" w:rsidRDefault="00F17249">
    <w:pPr>
      <w:pStyle w:val="BodyText"/>
      <w:spacing w:line="14" w:lineRule="auto"/>
      <w:rPr>
        <w:sz w:val="20"/>
      </w:rPr>
    </w:pPr>
    <w:r>
      <w:rPr>
        <w:noProof/>
      </w:rPr>
      <mc:AlternateContent>
        <mc:Choice Requires="wps">
          <w:drawing>
            <wp:anchor distT="0" distB="0" distL="0" distR="0" simplePos="0" relativeHeight="475411456" behindDoc="1" locked="0" layoutInCell="1" allowOverlap="1" wp14:anchorId="24D63044" wp14:editId="24D63045">
              <wp:simplePos x="0" y="0"/>
              <wp:positionH relativeFrom="page">
                <wp:posOffset>609600</wp:posOffset>
              </wp:positionH>
              <wp:positionV relativeFrom="page">
                <wp:posOffset>457962</wp:posOffset>
              </wp:positionV>
              <wp:extent cx="8553450" cy="28575"/>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0" cy="28575"/>
                      </a:xfrm>
                      <a:custGeom>
                        <a:avLst/>
                        <a:gdLst/>
                        <a:ahLst/>
                        <a:cxnLst/>
                        <a:rect l="l" t="t" r="r" b="b"/>
                        <a:pathLst>
                          <a:path w="8553450" h="28575">
                            <a:moveTo>
                              <a:pt x="8553450" y="0"/>
                            </a:moveTo>
                            <a:lnTo>
                              <a:pt x="0" y="0"/>
                            </a:lnTo>
                            <a:lnTo>
                              <a:pt x="0" y="28194"/>
                            </a:lnTo>
                            <a:lnTo>
                              <a:pt x="8553450" y="28194"/>
                            </a:lnTo>
                            <a:lnTo>
                              <a:pt x="8553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EE3D0" id="Graphic 708" o:spid="_x0000_s1026" style="position:absolute;margin-left:48pt;margin-top:36.05pt;width:673.5pt;height:2.25pt;z-index:-27905024;visibility:visible;mso-wrap-style:square;mso-wrap-distance-left:0;mso-wrap-distance-top:0;mso-wrap-distance-right:0;mso-wrap-distance-bottom:0;mso-position-horizontal:absolute;mso-position-horizontal-relative:page;mso-position-vertical:absolute;mso-position-vertical-relative:page;v-text-anchor:top" coordsize="85534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" path="m8553450,l,,,28194r8553450,l8553450,xe" fillcolor="black" stroked="f">
              <v:path arrowok="t"/>
              <w10:wrap anchorx="page" anchory="page"/>
            </v:shape>
          </w:pict>
        </mc:Fallback>
      </mc:AlternateContent>
    </w:r>
    <w:r>
      <w:rPr>
        <w:noProof/>
      </w:rPr>
      <mc:AlternateContent>
        <mc:Choice Requires="wps">
          <w:drawing>
            <wp:anchor distT="0" distB="0" distL="0" distR="0" simplePos="0" relativeHeight="475411968" behindDoc="1" locked="0" layoutInCell="1" allowOverlap="1" wp14:anchorId="24D63046" wp14:editId="24D63047">
              <wp:simplePos x="0" y="0"/>
              <wp:positionH relativeFrom="page">
                <wp:posOffset>609600</wp:posOffset>
              </wp:positionH>
              <wp:positionV relativeFrom="page">
                <wp:posOffset>832103</wp:posOffset>
              </wp:positionV>
              <wp:extent cx="8553450" cy="28575"/>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0" cy="28575"/>
                      </a:xfrm>
                      <a:custGeom>
                        <a:avLst/>
                        <a:gdLst/>
                        <a:ahLst/>
                        <a:cxnLst/>
                        <a:rect l="l" t="t" r="r" b="b"/>
                        <a:pathLst>
                          <a:path w="8553450" h="28575">
                            <a:moveTo>
                              <a:pt x="8553450" y="0"/>
                            </a:moveTo>
                            <a:lnTo>
                              <a:pt x="0" y="0"/>
                            </a:lnTo>
                            <a:lnTo>
                              <a:pt x="0" y="28194"/>
                            </a:lnTo>
                            <a:lnTo>
                              <a:pt x="8553450" y="28194"/>
                            </a:lnTo>
                            <a:lnTo>
                              <a:pt x="8553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1E29F" id="Graphic 709" o:spid="_x0000_s1026" style="position:absolute;margin-left:48pt;margin-top:65.5pt;width:673.5pt;height:2.25pt;z-index:-27904512;visibility:visible;mso-wrap-style:square;mso-wrap-distance-left:0;mso-wrap-distance-top:0;mso-wrap-distance-right:0;mso-wrap-distance-bottom:0;mso-position-horizontal:absolute;mso-position-horizontal-relative:page;mso-position-vertical:absolute;mso-position-vertical-relative:page;v-text-anchor:top" coordsize="85534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" path="m8553450,l,,,28194r8553450,l8553450,xe" fillcolor="black" stroked="f">
              <v:path arrowok="t"/>
              <w10:wrap anchorx="page" anchory="page"/>
            </v:shape>
          </w:pict>
        </mc:Fallback>
      </mc:AlternateContent>
    </w:r>
    <w:r>
      <w:rPr>
        <w:noProof/>
      </w:rPr>
      <mc:AlternateContent>
        <mc:Choice Requires="wps">
          <w:drawing>
            <wp:anchor distT="0" distB="0" distL="0" distR="0" simplePos="0" relativeHeight="475412480" behindDoc="1" locked="0" layoutInCell="1" allowOverlap="1" wp14:anchorId="24D63048" wp14:editId="24D63049">
              <wp:simplePos x="0" y="0"/>
              <wp:positionH relativeFrom="page">
                <wp:posOffset>615950</wp:posOffset>
              </wp:positionH>
              <wp:positionV relativeFrom="page">
                <wp:posOffset>490475</wp:posOffset>
              </wp:positionV>
              <wp:extent cx="5972810" cy="34226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342265"/>
                      </a:xfrm>
                      <a:prstGeom prst="rect">
                        <a:avLst/>
                      </a:prstGeom>
                    </wps:spPr>
                    <wps:txbx>
                      <w:txbxContent>
                        <w:p w14:paraId="24D632F5" w14:textId="77777777" w:rsidR="00245300" w:rsidRDefault="00F17249">
                          <w:pPr>
                            <w:pStyle w:val="BodyText"/>
                            <w:spacing w:before="12"/>
                            <w:ind w:left="20"/>
                          </w:pPr>
                          <w:r>
                            <w:rPr>
                              <w:spacing w:val="-2"/>
                            </w:rPr>
                            <w:t>Compliance</w:t>
                          </w:r>
                        </w:p>
                        <w:p w14:paraId="24D632F6" w14:textId="77777777" w:rsidR="00245300" w:rsidRDefault="00F17249">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wps:txbx>
                    <wps:bodyPr wrap="square" lIns="0" tIns="0" rIns="0" bIns="0" rtlCol="0">
                      <a:noAutofit/>
                    </wps:bodyPr>
                  </wps:wsp>
                </a:graphicData>
              </a:graphic>
            </wp:anchor>
          </w:drawing>
        </mc:Choice>
        <mc:Fallback>
          <w:pict>
            <v:shapetype w14:anchorId="24D63048" id="_x0000_t202" coordsize="21600,21600" o:spt="202" path="m,l,21600r21600,l21600,xe">
              <v:stroke joinstyle="miter"/>
              <v:path gradientshapeok="t" o:connecttype="rect"/>
            </v:shapetype>
            <v:shape id="Textbox 710" o:spid="_x0000_s1222" type="#_x0000_t202" style="position:absolute;margin-left:48.5pt;margin-top:38.6pt;width:470.3pt;height:26.95pt;z-index:-279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" filled="f" stroked="f">
              <v:textbox inset="0,0,0,0">
                <w:txbxContent>
                  <w:p w14:paraId="24D632F5" w14:textId="77777777" w:rsidR="00245300" w:rsidRDefault="00F17249">
                    <w:pPr>
                      <w:pStyle w:val="BodyText"/>
                      <w:spacing w:before="12"/>
                      <w:ind w:left="20"/>
                    </w:pPr>
                    <w:r>
                      <w:rPr>
                        <w:spacing w:val="-2"/>
                      </w:rPr>
                      <w:t>Compliance</w:t>
                    </w:r>
                  </w:p>
                  <w:p w14:paraId="24D632F6" w14:textId="77777777" w:rsidR="00245300" w:rsidRDefault="00F17249">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6E" w14:textId="77777777" w:rsidR="00245300" w:rsidRDefault="00F17249">
    <w:pPr>
      <w:pStyle w:val="BodyText"/>
      <w:spacing w:line="14" w:lineRule="auto"/>
      <w:rPr>
        <w:sz w:val="20"/>
      </w:rPr>
    </w:pPr>
    <w:r>
      <w:rPr>
        <w:noProof/>
      </w:rPr>
      <mc:AlternateContent>
        <mc:Choice Requires="wps">
          <w:drawing>
            <wp:anchor distT="0" distB="0" distL="0" distR="0" simplePos="0" relativeHeight="475415040" behindDoc="1" locked="0" layoutInCell="1" allowOverlap="1" wp14:anchorId="24D63052" wp14:editId="24D63053">
              <wp:simplePos x="0" y="0"/>
              <wp:positionH relativeFrom="page">
                <wp:posOffset>838200</wp:posOffset>
              </wp:positionH>
              <wp:positionV relativeFrom="page">
                <wp:posOffset>457962</wp:posOffset>
              </wp:positionV>
              <wp:extent cx="6038850" cy="28575"/>
              <wp:effectExtent l="0" t="0" r="0" b="0"/>
              <wp:wrapNone/>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34BE20" id="Graphic 742" o:spid="_x0000_s1026" style="position:absolute;margin-left:66pt;margin-top:36.05pt;width:475.5pt;height:2.25pt;z-index:-27901440;visibility:visible;mso-wrap-style:square;mso-wrap-distance-left:0;mso-wrap-distance-top:0;mso-wrap-distance-right:0;mso-wrap-distance-bottom:0;mso-position-horizontal:absolute;mso-position-horizontal-relative:page;mso-position-vertical:absolute;mso-position-vertical-relative:page;v-text-anchor:top" coordsize="60388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" path="m6038850,l,,,28194r6038850,l6038850,xe" fillcolor="black" stroked="f">
              <v:path arrowok="t"/>
              <w10:wrap anchorx="page" anchory="page"/>
            </v:shape>
          </w:pict>
        </mc:Fallback>
      </mc:AlternateContent>
    </w:r>
    <w:r>
      <w:rPr>
        <w:noProof/>
      </w:rPr>
      <mc:AlternateContent>
        <mc:Choice Requires="wps">
          <w:drawing>
            <wp:anchor distT="0" distB="0" distL="0" distR="0" simplePos="0" relativeHeight="475415552" behindDoc="1" locked="0" layoutInCell="1" allowOverlap="1" wp14:anchorId="24D63054" wp14:editId="24D63055">
              <wp:simplePos x="0" y="0"/>
              <wp:positionH relativeFrom="page">
                <wp:posOffset>838200</wp:posOffset>
              </wp:positionH>
              <wp:positionV relativeFrom="page">
                <wp:posOffset>832103</wp:posOffset>
              </wp:positionV>
              <wp:extent cx="6038850" cy="28575"/>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D1EB3" id="Graphic 743" o:spid="_x0000_s1026" style="position:absolute;margin-left:66pt;margin-top:65.5pt;width:475.5pt;height:2.25pt;z-index:-27900928;visibility:visible;mso-wrap-style:square;mso-wrap-distance-left:0;mso-wrap-distance-top:0;mso-wrap-distance-right:0;mso-wrap-distance-bottom:0;mso-position-horizontal:absolute;mso-position-horizontal-relative:page;mso-position-vertical:absolute;mso-position-vertical-relative:page;v-text-anchor:top" coordsize="60388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" path="m6038850,l,,,28194r6038850,l6038850,xe" fillcolor="black" stroked="f">
              <v:path arrowok="t"/>
              <w10:wrap anchorx="page" anchory="page"/>
            </v:shape>
          </w:pict>
        </mc:Fallback>
      </mc:AlternateContent>
    </w:r>
    <w:r>
      <w:rPr>
        <w:noProof/>
      </w:rPr>
      <mc:AlternateContent>
        <mc:Choice Requires="wps">
          <w:drawing>
            <wp:anchor distT="0" distB="0" distL="0" distR="0" simplePos="0" relativeHeight="475416064" behindDoc="1" locked="0" layoutInCell="1" allowOverlap="1" wp14:anchorId="24D63056" wp14:editId="24D63057">
              <wp:simplePos x="0" y="0"/>
              <wp:positionH relativeFrom="page">
                <wp:posOffset>844550</wp:posOffset>
              </wp:positionH>
              <wp:positionV relativeFrom="page">
                <wp:posOffset>490475</wp:posOffset>
              </wp:positionV>
              <wp:extent cx="5972810" cy="34226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342265"/>
                      </a:xfrm>
                      <a:prstGeom prst="rect">
                        <a:avLst/>
                      </a:prstGeom>
                    </wps:spPr>
                    <wps:txbx>
                      <w:txbxContent>
                        <w:p w14:paraId="24D632FA" w14:textId="77777777" w:rsidR="00245300" w:rsidRDefault="00F17249">
                          <w:pPr>
                            <w:pStyle w:val="BodyText"/>
                            <w:spacing w:before="12"/>
                            <w:ind w:left="20"/>
                          </w:pPr>
                          <w:r>
                            <w:rPr>
                              <w:spacing w:val="-2"/>
                            </w:rPr>
                            <w:t>Compliance</w:t>
                          </w:r>
                        </w:p>
                        <w:p w14:paraId="24D632FB" w14:textId="77777777" w:rsidR="00245300" w:rsidRDefault="00F17249">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wps:txbx>
                    <wps:bodyPr wrap="square" lIns="0" tIns="0" rIns="0" bIns="0" rtlCol="0">
                      <a:noAutofit/>
                    </wps:bodyPr>
                  </wps:wsp>
                </a:graphicData>
              </a:graphic>
            </wp:anchor>
          </w:drawing>
        </mc:Choice>
        <mc:Fallback>
          <w:pict>
            <v:shapetype w14:anchorId="24D63056" id="_x0000_t202" coordsize="21600,21600" o:spt="202" path="m,l,21600r21600,l21600,xe">
              <v:stroke joinstyle="miter"/>
              <v:path gradientshapeok="t" o:connecttype="rect"/>
            </v:shapetype>
            <v:shape id="Textbox 744" o:spid="_x0000_s1226" type="#_x0000_t202" style="position:absolute;margin-left:66.5pt;margin-top:38.6pt;width:470.3pt;height:26.95pt;z-index:-279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" filled="f" stroked="f">
              <v:textbox inset="0,0,0,0">
                <w:txbxContent>
                  <w:p w14:paraId="24D632FA" w14:textId="77777777" w:rsidR="00245300" w:rsidRDefault="00F17249">
                    <w:pPr>
                      <w:pStyle w:val="BodyText"/>
                      <w:spacing w:before="12"/>
                      <w:ind w:left="20"/>
                    </w:pPr>
                    <w:r>
                      <w:rPr>
                        <w:spacing w:val="-2"/>
                      </w:rPr>
                      <w:t>Compliance</w:t>
                    </w:r>
                  </w:p>
                  <w:p w14:paraId="24D632FB" w14:textId="77777777" w:rsidR="00245300" w:rsidRDefault="00F17249">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0" w14:textId="77777777" w:rsidR="00245300" w:rsidRDefault="00245300">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2" w14:textId="77777777" w:rsidR="00245300" w:rsidRDefault="00F17249">
    <w:pPr>
      <w:pStyle w:val="BodyText"/>
      <w:spacing w:line="14" w:lineRule="auto"/>
      <w:rPr>
        <w:sz w:val="20"/>
      </w:rPr>
    </w:pPr>
    <w:r>
      <w:rPr>
        <w:noProof/>
      </w:rPr>
      <mc:AlternateContent>
        <mc:Choice Requires="wps">
          <w:drawing>
            <wp:anchor distT="0" distB="0" distL="0" distR="0" simplePos="0" relativeHeight="475418624" behindDoc="1" locked="0" layoutInCell="1" allowOverlap="1" wp14:anchorId="24D63060" wp14:editId="24D63061">
              <wp:simplePos x="0" y="0"/>
              <wp:positionH relativeFrom="page">
                <wp:posOffset>895350</wp:posOffset>
              </wp:positionH>
              <wp:positionV relativeFrom="page">
                <wp:posOffset>457962</wp:posOffset>
              </wp:positionV>
              <wp:extent cx="5981700" cy="28575"/>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235E73" id="Graphic 756" o:spid="_x0000_s1026" style="position:absolute;margin-left:70.5pt;margin-top:36.05pt;width:471pt;height:2.25pt;z-index:-278978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19136" behindDoc="1" locked="0" layoutInCell="1" allowOverlap="1" wp14:anchorId="24D63062" wp14:editId="24D63063">
              <wp:simplePos x="0" y="0"/>
              <wp:positionH relativeFrom="page">
                <wp:posOffset>895350</wp:posOffset>
              </wp:positionH>
              <wp:positionV relativeFrom="page">
                <wp:posOffset>832103</wp:posOffset>
              </wp:positionV>
              <wp:extent cx="5981700" cy="28575"/>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46D68" id="Graphic 757" o:spid="_x0000_s1026" style="position:absolute;margin-left:70.5pt;margin-top:65.5pt;width:471pt;height:2.25pt;z-index:-278973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19648" behindDoc="1" locked="0" layoutInCell="1" allowOverlap="1" wp14:anchorId="24D63064" wp14:editId="24D63065">
              <wp:simplePos x="0" y="0"/>
              <wp:positionH relativeFrom="page">
                <wp:posOffset>901700</wp:posOffset>
              </wp:positionH>
              <wp:positionV relativeFrom="page">
                <wp:posOffset>490475</wp:posOffset>
              </wp:positionV>
              <wp:extent cx="4024629" cy="342265"/>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4629" cy="342265"/>
                      </a:xfrm>
                      <a:prstGeom prst="rect">
                        <a:avLst/>
                      </a:prstGeom>
                    </wps:spPr>
                    <wps:txbx>
                      <w:txbxContent>
                        <w:p w14:paraId="24D632FF"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00" w14:textId="77777777" w:rsidR="00245300" w:rsidRDefault="00F17249">
                          <w:pPr>
                            <w:pStyle w:val="BodyText"/>
                            <w:ind w:left="20"/>
                          </w:pPr>
                          <w:r>
                            <w:t>900</w:t>
                          </w:r>
                          <w:r>
                            <w:rPr>
                              <w:spacing w:val="-9"/>
                            </w:rPr>
                            <w:t xml:space="preserve"> </w:t>
                          </w:r>
                          <w:r>
                            <w:t>–</w:t>
                          </w:r>
                          <w:r>
                            <w:rPr>
                              <w:spacing w:val="-8"/>
                            </w:rPr>
                            <w:t xml:space="preserve"> </w:t>
                          </w:r>
                          <w:r>
                            <w:t>Contents</w:t>
                          </w:r>
                          <w:r>
                            <w:rPr>
                              <w:spacing w:val="-8"/>
                            </w:rPr>
                            <w:t xml:space="preserve"> </w:t>
                          </w:r>
                          <w:r>
                            <w:t>of</w:t>
                          </w:r>
                          <w:r>
                            <w:rPr>
                              <w:spacing w:val="-8"/>
                            </w:rPr>
                            <w:t xml:space="preserve"> </w:t>
                          </w:r>
                          <w:r>
                            <w:t>Substantive</w:t>
                          </w:r>
                          <w:r>
                            <w:rPr>
                              <w:spacing w:val="-8"/>
                            </w:rPr>
                            <w:t xml:space="preserve"> </w:t>
                          </w:r>
                          <w:r>
                            <w:t>Testing</w:t>
                          </w:r>
                          <w:r>
                            <w:rPr>
                              <w:spacing w:val="-9"/>
                            </w:rPr>
                            <w:t xml:space="preserve"> </w:t>
                          </w:r>
                          <w:r>
                            <w:t>Implementation</w:t>
                          </w:r>
                          <w:r>
                            <w:rPr>
                              <w:spacing w:val="-8"/>
                            </w:rPr>
                            <w:t xml:space="preserve"> </w:t>
                          </w:r>
                          <w:r>
                            <w:rPr>
                              <w:spacing w:val="-2"/>
                            </w:rPr>
                            <w:t>Guidance</w:t>
                          </w:r>
                        </w:p>
                      </w:txbxContent>
                    </wps:txbx>
                    <wps:bodyPr wrap="square" lIns="0" tIns="0" rIns="0" bIns="0" rtlCol="0">
                      <a:noAutofit/>
                    </wps:bodyPr>
                  </wps:wsp>
                </a:graphicData>
              </a:graphic>
            </wp:anchor>
          </w:drawing>
        </mc:Choice>
        <mc:Fallback>
          <w:pict>
            <v:shapetype w14:anchorId="24D63064" id="_x0000_t202" coordsize="21600,21600" o:spt="202" path="m,l,21600r21600,l21600,xe">
              <v:stroke joinstyle="miter"/>
              <v:path gradientshapeok="t" o:connecttype="rect"/>
            </v:shapetype>
            <v:shape id="Textbox 758" o:spid="_x0000_s1230" type="#_x0000_t202" style="position:absolute;margin-left:71pt;margin-top:38.6pt;width:316.9pt;height:26.95pt;z-index:-278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" filled="f" stroked="f">
              <v:textbox inset="0,0,0,0">
                <w:txbxContent>
                  <w:p w14:paraId="24D632FF"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00" w14:textId="77777777" w:rsidR="00245300" w:rsidRDefault="00F17249">
                    <w:pPr>
                      <w:pStyle w:val="BodyText"/>
                      <w:ind w:left="20"/>
                    </w:pPr>
                    <w:r>
                      <w:t>900</w:t>
                    </w:r>
                    <w:r>
                      <w:rPr>
                        <w:spacing w:val="-9"/>
                      </w:rPr>
                      <w:t xml:space="preserve"> </w:t>
                    </w:r>
                    <w:r>
                      <w:t>–</w:t>
                    </w:r>
                    <w:r>
                      <w:rPr>
                        <w:spacing w:val="-8"/>
                      </w:rPr>
                      <w:t xml:space="preserve"> </w:t>
                    </w:r>
                    <w:r>
                      <w:t>Contents</w:t>
                    </w:r>
                    <w:r>
                      <w:rPr>
                        <w:spacing w:val="-8"/>
                      </w:rPr>
                      <w:t xml:space="preserve"> </w:t>
                    </w:r>
                    <w:r>
                      <w:t>of</w:t>
                    </w:r>
                    <w:r>
                      <w:rPr>
                        <w:spacing w:val="-8"/>
                      </w:rPr>
                      <w:t xml:space="preserve"> </w:t>
                    </w:r>
                    <w:r>
                      <w:t>Substantive</w:t>
                    </w:r>
                    <w:r>
                      <w:rPr>
                        <w:spacing w:val="-8"/>
                      </w:rPr>
                      <w:t xml:space="preserve"> </w:t>
                    </w:r>
                    <w:r>
                      <w:t>Testing</w:t>
                    </w:r>
                    <w:r>
                      <w:rPr>
                        <w:spacing w:val="-9"/>
                      </w:rPr>
                      <w:t xml:space="preserve"> </w:t>
                    </w:r>
                    <w:r>
                      <w:t>Implementation</w:t>
                    </w:r>
                    <w:r>
                      <w:rPr>
                        <w:spacing w:val="-8"/>
                      </w:rPr>
                      <w:t xml:space="preserve"> </w:t>
                    </w:r>
                    <w:r>
                      <w:rPr>
                        <w:spacing w:val="-2"/>
                      </w:rPr>
                      <w:t>Guidance</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4" w14:textId="77777777" w:rsidR="00245300" w:rsidRDefault="00F17249">
    <w:pPr>
      <w:pStyle w:val="BodyText"/>
      <w:spacing w:line="14" w:lineRule="auto"/>
      <w:rPr>
        <w:sz w:val="20"/>
      </w:rPr>
    </w:pPr>
    <w:r>
      <w:rPr>
        <w:noProof/>
      </w:rPr>
      <mc:AlternateContent>
        <mc:Choice Requires="wps">
          <w:drawing>
            <wp:anchor distT="0" distB="0" distL="0" distR="0" simplePos="0" relativeHeight="475422208" behindDoc="1" locked="0" layoutInCell="1" allowOverlap="1" wp14:anchorId="24D6306E" wp14:editId="24D6306F">
              <wp:simplePos x="0" y="0"/>
              <wp:positionH relativeFrom="page">
                <wp:posOffset>895350</wp:posOffset>
              </wp:positionH>
              <wp:positionV relativeFrom="page">
                <wp:posOffset>457962</wp:posOffset>
              </wp:positionV>
              <wp:extent cx="5981700" cy="28575"/>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F97F7" id="Graphic 763" o:spid="_x0000_s1026" style="position:absolute;margin-left:70.5pt;margin-top:36.05pt;width:471pt;height:2.25pt;z-index:-278942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2720" behindDoc="1" locked="0" layoutInCell="1" allowOverlap="1" wp14:anchorId="24D63070" wp14:editId="24D63071">
              <wp:simplePos x="0" y="0"/>
              <wp:positionH relativeFrom="page">
                <wp:posOffset>895350</wp:posOffset>
              </wp:positionH>
              <wp:positionV relativeFrom="page">
                <wp:posOffset>832103</wp:posOffset>
              </wp:positionV>
              <wp:extent cx="5981700" cy="28575"/>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EBCF7" id="Graphic 764" o:spid="_x0000_s1026" style="position:absolute;margin-left:70.5pt;margin-top:65.5pt;width:471pt;height:2.25pt;z-index:-278937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3232" behindDoc="1" locked="0" layoutInCell="1" allowOverlap="1" wp14:anchorId="24D63072" wp14:editId="24D63073">
              <wp:simplePos x="0" y="0"/>
              <wp:positionH relativeFrom="page">
                <wp:posOffset>901700</wp:posOffset>
              </wp:positionH>
              <wp:positionV relativeFrom="page">
                <wp:posOffset>490475</wp:posOffset>
              </wp:positionV>
              <wp:extent cx="2906395" cy="342265"/>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6395" cy="342265"/>
                      </a:xfrm>
                      <a:prstGeom prst="rect">
                        <a:avLst/>
                      </a:prstGeom>
                    </wps:spPr>
                    <wps:txbx>
                      <w:txbxContent>
                        <w:p w14:paraId="24D63304" w14:textId="77777777" w:rsidR="00245300" w:rsidRDefault="00F17249">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wps:txbx>
                    <wps:bodyPr wrap="square" lIns="0" tIns="0" rIns="0" bIns="0" rtlCol="0">
                      <a:noAutofit/>
                    </wps:bodyPr>
                  </wps:wsp>
                </a:graphicData>
              </a:graphic>
            </wp:anchor>
          </w:drawing>
        </mc:Choice>
        <mc:Fallback>
          <w:pict>
            <v:shapetype w14:anchorId="24D63072" id="_x0000_t202" coordsize="21600,21600" o:spt="202" path="m,l,21600r21600,l21600,xe">
              <v:stroke joinstyle="miter"/>
              <v:path gradientshapeok="t" o:connecttype="rect"/>
            </v:shapetype>
            <v:shape id="Textbox 765" o:spid="_x0000_s1234" type="#_x0000_t202" style="position:absolute;margin-left:71pt;margin-top:38.6pt;width:228.85pt;height:26.95pt;z-index:-278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" filled="f" stroked="f">
              <v:textbox inset="0,0,0,0">
                <w:txbxContent>
                  <w:p w14:paraId="24D63304" w14:textId="77777777" w:rsidR="00245300" w:rsidRDefault="00F17249">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6" w14:textId="77777777" w:rsidR="00245300" w:rsidRDefault="00F17249">
    <w:pPr>
      <w:pStyle w:val="BodyText"/>
      <w:spacing w:line="14" w:lineRule="auto"/>
      <w:rPr>
        <w:sz w:val="20"/>
      </w:rPr>
    </w:pPr>
    <w:r>
      <w:rPr>
        <w:noProof/>
      </w:rPr>
      <mc:AlternateContent>
        <mc:Choice Requires="wps">
          <w:drawing>
            <wp:anchor distT="0" distB="0" distL="0" distR="0" simplePos="0" relativeHeight="475425792" behindDoc="1" locked="0" layoutInCell="1" allowOverlap="1" wp14:anchorId="24D6307C" wp14:editId="24D6307D">
              <wp:simplePos x="0" y="0"/>
              <wp:positionH relativeFrom="page">
                <wp:posOffset>895350</wp:posOffset>
              </wp:positionH>
              <wp:positionV relativeFrom="page">
                <wp:posOffset>457962</wp:posOffset>
              </wp:positionV>
              <wp:extent cx="5981700" cy="28575"/>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AF5E9" id="Graphic 771" o:spid="_x0000_s1026" style="position:absolute;margin-left:70.5pt;margin-top:36.05pt;width:471pt;height:2.25pt;z-index:-278906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6304" behindDoc="1" locked="0" layoutInCell="1" allowOverlap="1" wp14:anchorId="24D6307E" wp14:editId="24D6307F">
              <wp:simplePos x="0" y="0"/>
              <wp:positionH relativeFrom="page">
                <wp:posOffset>895350</wp:posOffset>
              </wp:positionH>
              <wp:positionV relativeFrom="page">
                <wp:posOffset>832103</wp:posOffset>
              </wp:positionV>
              <wp:extent cx="5981700" cy="28575"/>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9AABE" id="Graphic 772" o:spid="_x0000_s1026" style="position:absolute;margin-left:70.5pt;margin-top:65.5pt;width:471pt;height:2.25pt;z-index:-278901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6816" behindDoc="1" locked="0" layoutInCell="1" allowOverlap="1" wp14:anchorId="24D63080" wp14:editId="24D63081">
              <wp:simplePos x="0" y="0"/>
              <wp:positionH relativeFrom="page">
                <wp:posOffset>901700</wp:posOffset>
              </wp:positionH>
              <wp:positionV relativeFrom="page">
                <wp:posOffset>490475</wp:posOffset>
              </wp:positionV>
              <wp:extent cx="2906395" cy="34226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6395" cy="342265"/>
                      </a:xfrm>
                      <a:prstGeom prst="rect">
                        <a:avLst/>
                      </a:prstGeom>
                    </wps:spPr>
                    <wps:txbx>
                      <w:txbxContent>
                        <w:p w14:paraId="24D63308" w14:textId="77777777" w:rsidR="00245300" w:rsidRDefault="00F17249">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wps:txbx>
                    <wps:bodyPr wrap="square" lIns="0" tIns="0" rIns="0" bIns="0" rtlCol="0">
                      <a:noAutofit/>
                    </wps:bodyPr>
                  </wps:wsp>
                </a:graphicData>
              </a:graphic>
            </wp:anchor>
          </w:drawing>
        </mc:Choice>
        <mc:Fallback>
          <w:pict>
            <v:shapetype w14:anchorId="24D63080" id="_x0000_t202" coordsize="21600,21600" o:spt="202" path="m,l,21600r21600,l21600,xe">
              <v:stroke joinstyle="miter"/>
              <v:path gradientshapeok="t" o:connecttype="rect"/>
            </v:shapetype>
            <v:shape id="Textbox 773" o:spid="_x0000_s1238" type="#_x0000_t202" style="position:absolute;margin-left:71pt;margin-top:38.6pt;width:228.85pt;height:26.95pt;z-index:-2788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" filled="f" stroked="f">
              <v:textbox inset="0,0,0,0">
                <w:txbxContent>
                  <w:p w14:paraId="24D63308" w14:textId="77777777" w:rsidR="00245300" w:rsidRDefault="00F17249">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C" w14:textId="77777777" w:rsidR="00245300" w:rsidRDefault="00F17249">
    <w:pPr>
      <w:pStyle w:val="BodyText"/>
      <w:spacing w:line="14" w:lineRule="auto"/>
      <w:rPr>
        <w:sz w:val="20"/>
      </w:rPr>
    </w:pPr>
    <w:r>
      <w:rPr>
        <w:noProof/>
      </w:rPr>
      <mc:AlternateContent>
        <mc:Choice Requires="wps">
          <w:drawing>
            <wp:anchor distT="0" distB="0" distL="0" distR="0" simplePos="0" relativeHeight="475252224" behindDoc="1" locked="0" layoutInCell="1" allowOverlap="1" wp14:anchorId="24D62DD6" wp14:editId="24D62DD7">
              <wp:simplePos x="0" y="0"/>
              <wp:positionH relativeFrom="page">
                <wp:posOffset>895350</wp:posOffset>
              </wp:positionH>
              <wp:positionV relativeFrom="page">
                <wp:posOffset>457962</wp:posOffset>
              </wp:positionV>
              <wp:extent cx="5981700" cy="2857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E1EC44" id="Graphic 59" o:spid="_x0000_s1026" style="position:absolute;margin-left:70.5pt;margin-top:36.05pt;width:471pt;height:2.25pt;z-index:-280642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2736" behindDoc="1" locked="0" layoutInCell="1" allowOverlap="1" wp14:anchorId="24D62DD8" wp14:editId="24D62DD9">
              <wp:simplePos x="0" y="0"/>
              <wp:positionH relativeFrom="page">
                <wp:posOffset>895350</wp:posOffset>
              </wp:positionH>
              <wp:positionV relativeFrom="page">
                <wp:posOffset>832103</wp:posOffset>
              </wp:positionV>
              <wp:extent cx="5981700" cy="2857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A5D1CB" id="Graphic 60" o:spid="_x0000_s1026" style="position:absolute;margin-left:70.5pt;margin-top:65.5pt;width:471pt;height:2.25pt;z-index:-280637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3248" behindDoc="1" locked="0" layoutInCell="1" allowOverlap="1" wp14:anchorId="24D62DDA" wp14:editId="24D62DDB">
              <wp:simplePos x="0" y="0"/>
              <wp:positionH relativeFrom="page">
                <wp:posOffset>901700</wp:posOffset>
              </wp:positionH>
              <wp:positionV relativeFrom="page">
                <wp:posOffset>490475</wp:posOffset>
              </wp:positionV>
              <wp:extent cx="2758440" cy="3422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342265"/>
                      </a:xfrm>
                      <a:prstGeom prst="rect">
                        <a:avLst/>
                      </a:prstGeom>
                    </wps:spPr>
                    <wps:txbx>
                      <w:txbxContent>
                        <w:p w14:paraId="24D63214"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4"/>
                            </w:rPr>
                            <w:t xml:space="preserve"> </w:t>
                          </w:r>
                          <w:r>
                            <w:t>of</w:t>
                          </w:r>
                          <w:r>
                            <w:rPr>
                              <w:spacing w:val="-4"/>
                            </w:rPr>
                            <w:t xml:space="preserve"> </w:t>
                          </w:r>
                          <w:r>
                            <w:rPr>
                              <w:spacing w:val="-2"/>
                            </w:rPr>
                            <w:t>Others</w:t>
                          </w:r>
                        </w:p>
                        <w:p w14:paraId="24D63215" w14:textId="77777777" w:rsidR="00245300" w:rsidRDefault="00F17249">
                          <w:pPr>
                            <w:pStyle w:val="BodyText"/>
                            <w:ind w:left="20"/>
                          </w:pPr>
                          <w:r>
                            <w:t>610</w:t>
                          </w:r>
                          <w:r>
                            <w:rPr>
                              <w:spacing w:val="-5"/>
                            </w:rPr>
                            <w:t xml:space="preserve"> </w:t>
                          </w:r>
                          <w:r>
                            <w:t>–</w:t>
                          </w:r>
                          <w:r>
                            <w:rPr>
                              <w:spacing w:val="-4"/>
                            </w:rPr>
                            <w:t xml:space="preserve"> </w:t>
                          </w:r>
                          <w:r>
                            <w:t>Overview</w:t>
                          </w:r>
                          <w:r>
                            <w:rPr>
                              <w:spacing w:val="-5"/>
                            </w:rPr>
                            <w:t xml:space="preserve"> </w:t>
                          </w:r>
                          <w:r>
                            <w:t>of</w:t>
                          </w:r>
                          <w:r>
                            <w:rPr>
                              <w:spacing w:val="-4"/>
                            </w:rPr>
                            <w:t xml:space="preserve"> </w:t>
                          </w:r>
                          <w:r>
                            <w:t>Using</w:t>
                          </w:r>
                          <w:r>
                            <w:rPr>
                              <w:spacing w:val="-4"/>
                            </w:rPr>
                            <w:t xml:space="preserve"> </w:t>
                          </w:r>
                          <w:r>
                            <w:t>the</w:t>
                          </w:r>
                          <w:r>
                            <w:rPr>
                              <w:spacing w:val="-5"/>
                            </w:rPr>
                            <w:t xml:space="preserve"> </w:t>
                          </w:r>
                          <w:r>
                            <w:t>Work</w:t>
                          </w:r>
                          <w:r>
                            <w:rPr>
                              <w:spacing w:val="-4"/>
                            </w:rPr>
                            <w:t xml:space="preserve"> </w:t>
                          </w:r>
                          <w:r>
                            <w:t>of</w:t>
                          </w:r>
                          <w:r>
                            <w:rPr>
                              <w:spacing w:val="-5"/>
                            </w:rPr>
                            <w:t xml:space="preserve"> </w:t>
                          </w:r>
                          <w:r>
                            <w:rPr>
                              <w:spacing w:val="-2"/>
                            </w:rPr>
                            <w:t>Others</w:t>
                          </w:r>
                        </w:p>
                      </w:txbxContent>
                    </wps:txbx>
                    <wps:bodyPr wrap="square" lIns="0" tIns="0" rIns="0" bIns="0" rtlCol="0">
                      <a:noAutofit/>
                    </wps:bodyPr>
                  </wps:wsp>
                </a:graphicData>
              </a:graphic>
            </wp:anchor>
          </w:drawing>
        </mc:Choice>
        <mc:Fallback>
          <w:pict>
            <v:shapetype w14:anchorId="24D62DDA" id="_x0000_t202" coordsize="21600,21600" o:spt="202" path="m,l,21600r21600,l21600,xe">
              <v:stroke joinstyle="miter"/>
              <v:path gradientshapeok="t" o:connecttype="rect"/>
            </v:shapetype>
            <v:shape id="Textbox 61" o:spid="_x0000_s1040" type="#_x0000_t202" style="position:absolute;margin-left:71pt;margin-top:38.6pt;width:217.2pt;height:26.95pt;z-index:-2806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" filled="f" stroked="f">
              <v:textbox inset="0,0,0,0">
                <w:txbxContent>
                  <w:p w14:paraId="24D63214"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4"/>
                      </w:rPr>
                      <w:t xml:space="preserve"> </w:t>
                    </w:r>
                    <w:r>
                      <w:t>of</w:t>
                    </w:r>
                    <w:r>
                      <w:rPr>
                        <w:spacing w:val="-4"/>
                      </w:rPr>
                      <w:t xml:space="preserve"> </w:t>
                    </w:r>
                    <w:r>
                      <w:rPr>
                        <w:spacing w:val="-2"/>
                      </w:rPr>
                      <w:t>Others</w:t>
                    </w:r>
                  </w:p>
                  <w:p w14:paraId="24D63215" w14:textId="77777777" w:rsidR="00245300" w:rsidRDefault="00F17249">
                    <w:pPr>
                      <w:pStyle w:val="BodyText"/>
                      <w:ind w:left="20"/>
                    </w:pPr>
                    <w:r>
                      <w:t>610</w:t>
                    </w:r>
                    <w:r>
                      <w:rPr>
                        <w:spacing w:val="-5"/>
                      </w:rPr>
                      <w:t xml:space="preserve"> </w:t>
                    </w:r>
                    <w:r>
                      <w:t>–</w:t>
                    </w:r>
                    <w:r>
                      <w:rPr>
                        <w:spacing w:val="-4"/>
                      </w:rPr>
                      <w:t xml:space="preserve"> </w:t>
                    </w:r>
                    <w:r>
                      <w:t>Overview</w:t>
                    </w:r>
                    <w:r>
                      <w:rPr>
                        <w:spacing w:val="-5"/>
                      </w:rPr>
                      <w:t xml:space="preserve"> </w:t>
                    </w:r>
                    <w:r>
                      <w:t>of</w:t>
                    </w:r>
                    <w:r>
                      <w:rPr>
                        <w:spacing w:val="-4"/>
                      </w:rPr>
                      <w:t xml:space="preserve"> </w:t>
                    </w:r>
                    <w:r>
                      <w:t>Using</w:t>
                    </w:r>
                    <w:r>
                      <w:rPr>
                        <w:spacing w:val="-4"/>
                      </w:rPr>
                      <w:t xml:space="preserve"> </w:t>
                    </w:r>
                    <w:r>
                      <w:t>the</w:t>
                    </w:r>
                    <w:r>
                      <w:rPr>
                        <w:spacing w:val="-5"/>
                      </w:rPr>
                      <w:t xml:space="preserve"> </w:t>
                    </w:r>
                    <w:r>
                      <w:t>Work</w:t>
                    </w:r>
                    <w:r>
                      <w:rPr>
                        <w:spacing w:val="-4"/>
                      </w:rPr>
                      <w:t xml:space="preserve"> </w:t>
                    </w:r>
                    <w:r>
                      <w:t>of</w:t>
                    </w:r>
                    <w:r>
                      <w:rPr>
                        <w:spacing w:val="-5"/>
                      </w:rPr>
                      <w:t xml:space="preserve"> </w:t>
                    </w:r>
                    <w:r>
                      <w:rPr>
                        <w:spacing w:val="-2"/>
                      </w:rPr>
                      <w:t>Others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8" w14:textId="77777777" w:rsidR="00245300" w:rsidRDefault="00F17249">
    <w:pPr>
      <w:pStyle w:val="BodyText"/>
      <w:spacing w:line="14" w:lineRule="auto"/>
      <w:rPr>
        <w:sz w:val="20"/>
      </w:rPr>
    </w:pPr>
    <w:r>
      <w:rPr>
        <w:noProof/>
      </w:rPr>
      <mc:AlternateContent>
        <mc:Choice Requires="wps">
          <w:drawing>
            <wp:anchor distT="0" distB="0" distL="0" distR="0" simplePos="0" relativeHeight="475429376" behindDoc="1" locked="0" layoutInCell="1" allowOverlap="1" wp14:anchorId="24D6308A" wp14:editId="24D6308B">
              <wp:simplePos x="0" y="0"/>
              <wp:positionH relativeFrom="page">
                <wp:posOffset>895350</wp:posOffset>
              </wp:positionH>
              <wp:positionV relativeFrom="page">
                <wp:posOffset>457962</wp:posOffset>
              </wp:positionV>
              <wp:extent cx="5981700" cy="28575"/>
              <wp:effectExtent l="0" t="0" r="0" b="0"/>
              <wp:wrapNone/>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48F2A" id="Graphic 784" o:spid="_x0000_s1026" style="position:absolute;margin-left:70.5pt;margin-top:36.05pt;width:471pt;height:2.25pt;z-index:-278871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29888" behindDoc="1" locked="0" layoutInCell="1" allowOverlap="1" wp14:anchorId="24D6308C" wp14:editId="24D6308D">
              <wp:simplePos x="0" y="0"/>
              <wp:positionH relativeFrom="page">
                <wp:posOffset>895350</wp:posOffset>
              </wp:positionH>
              <wp:positionV relativeFrom="page">
                <wp:posOffset>832103</wp:posOffset>
              </wp:positionV>
              <wp:extent cx="5981700" cy="28575"/>
              <wp:effectExtent l="0" t="0" r="0" b="0"/>
              <wp:wrapNone/>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77AE9D" id="Graphic 785" o:spid="_x0000_s1026" style="position:absolute;margin-left:70.5pt;margin-top:65.5pt;width:471pt;height:2.25pt;z-index:-278865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30400" behindDoc="1" locked="0" layoutInCell="1" allowOverlap="1" wp14:anchorId="24D6308E" wp14:editId="24D6308F">
              <wp:simplePos x="0" y="0"/>
              <wp:positionH relativeFrom="page">
                <wp:posOffset>901700</wp:posOffset>
              </wp:positionH>
              <wp:positionV relativeFrom="page">
                <wp:posOffset>490475</wp:posOffset>
              </wp:positionV>
              <wp:extent cx="4932045" cy="342265"/>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2045" cy="342265"/>
                      </a:xfrm>
                      <a:prstGeom prst="rect">
                        <a:avLst/>
                      </a:prstGeom>
                    </wps:spPr>
                    <wps:txbx>
                      <w:txbxContent>
                        <w:p w14:paraId="24D6330C"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0D" w14:textId="77777777" w:rsidR="00245300" w:rsidRDefault="00F17249">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wps:txbx>
                    <wps:bodyPr wrap="square" lIns="0" tIns="0" rIns="0" bIns="0" rtlCol="0">
                      <a:noAutofit/>
                    </wps:bodyPr>
                  </wps:wsp>
                </a:graphicData>
              </a:graphic>
            </wp:anchor>
          </w:drawing>
        </mc:Choice>
        <mc:Fallback>
          <w:pict>
            <v:shapetype w14:anchorId="24D6308E" id="_x0000_t202" coordsize="21600,21600" o:spt="202" path="m,l,21600r21600,l21600,xe">
              <v:stroke joinstyle="miter"/>
              <v:path gradientshapeok="t" o:connecttype="rect"/>
            </v:shapetype>
            <v:shape id="Textbox 786" o:spid="_x0000_s1242" type="#_x0000_t202" style="position:absolute;margin-left:71pt;margin-top:38.6pt;width:388.35pt;height:26.95pt;z-index:-278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" filled="f" stroked="f">
              <v:textbox inset="0,0,0,0">
                <w:txbxContent>
                  <w:p w14:paraId="24D6330C"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0D" w14:textId="77777777" w:rsidR="00245300" w:rsidRDefault="00F17249">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A" w14:textId="77777777" w:rsidR="00245300" w:rsidRDefault="00F17249">
    <w:pPr>
      <w:pStyle w:val="BodyText"/>
      <w:spacing w:line="14" w:lineRule="auto"/>
      <w:rPr>
        <w:sz w:val="20"/>
      </w:rPr>
    </w:pPr>
    <w:r>
      <w:rPr>
        <w:noProof/>
      </w:rPr>
      <mc:AlternateContent>
        <mc:Choice Requires="wps">
          <w:drawing>
            <wp:anchor distT="0" distB="0" distL="0" distR="0" simplePos="0" relativeHeight="475432960" behindDoc="1" locked="0" layoutInCell="1" allowOverlap="1" wp14:anchorId="24D63098" wp14:editId="24D63099">
              <wp:simplePos x="0" y="0"/>
              <wp:positionH relativeFrom="page">
                <wp:posOffset>895350</wp:posOffset>
              </wp:positionH>
              <wp:positionV relativeFrom="page">
                <wp:posOffset>457962</wp:posOffset>
              </wp:positionV>
              <wp:extent cx="5981700" cy="28575"/>
              <wp:effectExtent l="0" t="0" r="0" b="0"/>
              <wp:wrapNone/>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F5682" id="Graphic 793" o:spid="_x0000_s1026" style="position:absolute;margin-left:70.5pt;margin-top:36.05pt;width:471pt;height:2.25pt;z-index:-278835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33472" behindDoc="1" locked="0" layoutInCell="1" allowOverlap="1" wp14:anchorId="24D6309A" wp14:editId="24D6309B">
              <wp:simplePos x="0" y="0"/>
              <wp:positionH relativeFrom="page">
                <wp:posOffset>901700</wp:posOffset>
              </wp:positionH>
              <wp:positionV relativeFrom="page">
                <wp:posOffset>490475</wp:posOffset>
              </wp:positionV>
              <wp:extent cx="4932045" cy="342265"/>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2045" cy="342265"/>
                      </a:xfrm>
                      <a:prstGeom prst="rect">
                        <a:avLst/>
                      </a:prstGeom>
                    </wps:spPr>
                    <wps:txbx>
                      <w:txbxContent>
                        <w:p w14:paraId="24D63311"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12" w14:textId="77777777" w:rsidR="00245300" w:rsidRDefault="00F17249">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wps:txbx>
                    <wps:bodyPr wrap="square" lIns="0" tIns="0" rIns="0" bIns="0" rtlCol="0">
                      <a:noAutofit/>
                    </wps:bodyPr>
                  </wps:wsp>
                </a:graphicData>
              </a:graphic>
            </wp:anchor>
          </w:drawing>
        </mc:Choice>
        <mc:Fallback>
          <w:pict>
            <v:shapetype w14:anchorId="24D6309A" id="_x0000_t202" coordsize="21600,21600" o:spt="202" path="m,l,21600r21600,l21600,xe">
              <v:stroke joinstyle="miter"/>
              <v:path gradientshapeok="t" o:connecttype="rect"/>
            </v:shapetype>
            <v:shape id="Textbox 794" o:spid="_x0000_s1246" type="#_x0000_t202" style="position:absolute;margin-left:71pt;margin-top:38.6pt;width:388.35pt;height:26.95pt;z-index:-278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" filled="f" stroked="f">
              <v:textbox inset="0,0,0,0">
                <w:txbxContent>
                  <w:p w14:paraId="24D63311"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12" w14:textId="77777777" w:rsidR="00245300" w:rsidRDefault="00F17249">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C" w14:textId="77777777" w:rsidR="00245300" w:rsidRDefault="00F17249">
    <w:pPr>
      <w:pStyle w:val="BodyText"/>
      <w:spacing w:line="14" w:lineRule="auto"/>
      <w:rPr>
        <w:sz w:val="20"/>
      </w:rPr>
    </w:pPr>
    <w:r>
      <w:rPr>
        <w:noProof/>
      </w:rPr>
      <mc:AlternateContent>
        <mc:Choice Requires="wps">
          <w:drawing>
            <wp:anchor distT="0" distB="0" distL="0" distR="0" simplePos="0" relativeHeight="475436032" behindDoc="1" locked="0" layoutInCell="1" allowOverlap="1" wp14:anchorId="24D630A4" wp14:editId="24D630A5">
              <wp:simplePos x="0" y="0"/>
              <wp:positionH relativeFrom="page">
                <wp:posOffset>895350</wp:posOffset>
              </wp:positionH>
              <wp:positionV relativeFrom="page">
                <wp:posOffset>457962</wp:posOffset>
              </wp:positionV>
              <wp:extent cx="5981700" cy="28575"/>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F6DECE" id="Graphic 816" o:spid="_x0000_s1026" style="position:absolute;margin-left:70.5pt;margin-top:36.05pt;width:471pt;height:2.25pt;z-index:-278804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36544" behindDoc="1" locked="0" layoutInCell="1" allowOverlap="1" wp14:anchorId="24D630A6" wp14:editId="24D630A7">
              <wp:simplePos x="0" y="0"/>
              <wp:positionH relativeFrom="page">
                <wp:posOffset>895350</wp:posOffset>
              </wp:positionH>
              <wp:positionV relativeFrom="page">
                <wp:posOffset>832103</wp:posOffset>
              </wp:positionV>
              <wp:extent cx="5981700" cy="28575"/>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B68CA0" id="Graphic 817" o:spid="_x0000_s1026" style="position:absolute;margin-left:70.5pt;margin-top:65.5pt;width:471pt;height:2.25pt;z-index:-278799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37056" behindDoc="1" locked="0" layoutInCell="1" allowOverlap="1" wp14:anchorId="24D630A8" wp14:editId="24D630A9">
              <wp:simplePos x="0" y="0"/>
              <wp:positionH relativeFrom="page">
                <wp:posOffset>901700</wp:posOffset>
              </wp:positionH>
              <wp:positionV relativeFrom="page">
                <wp:posOffset>490475</wp:posOffset>
              </wp:positionV>
              <wp:extent cx="2882265" cy="342265"/>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24D63316"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903 – Auditing Cost Information</w:t>
                          </w:r>
                        </w:p>
                      </w:txbxContent>
                    </wps:txbx>
                    <wps:bodyPr wrap="square" lIns="0" tIns="0" rIns="0" bIns="0" rtlCol="0">
                      <a:noAutofit/>
                    </wps:bodyPr>
                  </wps:wsp>
                </a:graphicData>
              </a:graphic>
            </wp:anchor>
          </w:drawing>
        </mc:Choice>
        <mc:Fallback>
          <w:pict>
            <v:shapetype w14:anchorId="24D630A8" id="_x0000_t202" coordsize="21600,21600" o:spt="202" path="m,l,21600r21600,l21600,xe">
              <v:stroke joinstyle="miter"/>
              <v:path gradientshapeok="t" o:connecttype="rect"/>
            </v:shapetype>
            <v:shape id="Textbox 818" o:spid="_x0000_s1250" type="#_x0000_t202" style="position:absolute;margin-left:71pt;margin-top:38.6pt;width:226.95pt;height:26.95pt;z-index:-278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" filled="f" stroked="f">
              <v:textbox inset="0,0,0,0">
                <w:txbxContent>
                  <w:p w14:paraId="24D63316"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903 – Auditing Cost Information</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7E" w14:textId="77777777" w:rsidR="00245300" w:rsidRDefault="00F17249">
    <w:pPr>
      <w:pStyle w:val="BodyText"/>
      <w:spacing w:line="14" w:lineRule="auto"/>
      <w:rPr>
        <w:sz w:val="20"/>
      </w:rPr>
    </w:pPr>
    <w:r>
      <w:rPr>
        <w:noProof/>
      </w:rPr>
      <mc:AlternateContent>
        <mc:Choice Requires="wps">
          <w:drawing>
            <wp:anchor distT="0" distB="0" distL="0" distR="0" simplePos="0" relativeHeight="475439616" behindDoc="1" locked="0" layoutInCell="1" allowOverlap="1" wp14:anchorId="24D630B2" wp14:editId="24D630B3">
              <wp:simplePos x="0" y="0"/>
              <wp:positionH relativeFrom="page">
                <wp:posOffset>895350</wp:posOffset>
              </wp:positionH>
              <wp:positionV relativeFrom="page">
                <wp:posOffset>457962</wp:posOffset>
              </wp:positionV>
              <wp:extent cx="5981700" cy="28575"/>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063DF" id="Graphic 823" o:spid="_x0000_s1026" style="position:absolute;margin-left:70.5pt;margin-top:36.05pt;width:471pt;height:2.25pt;z-index:-278768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0128" behindDoc="1" locked="0" layoutInCell="1" allowOverlap="1" wp14:anchorId="24D630B4" wp14:editId="24D630B5">
              <wp:simplePos x="0" y="0"/>
              <wp:positionH relativeFrom="page">
                <wp:posOffset>895350</wp:posOffset>
              </wp:positionH>
              <wp:positionV relativeFrom="page">
                <wp:posOffset>832103</wp:posOffset>
              </wp:positionV>
              <wp:extent cx="5981700" cy="2857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5773CA" id="Graphic 824" o:spid="_x0000_s1026" style="position:absolute;margin-left:70.5pt;margin-top:65.5pt;width:471pt;height:2.25pt;z-index:-278763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0640" behindDoc="1" locked="0" layoutInCell="1" allowOverlap="1" wp14:anchorId="24D630B6" wp14:editId="24D630B7">
              <wp:simplePos x="0" y="0"/>
              <wp:positionH relativeFrom="page">
                <wp:posOffset>901700</wp:posOffset>
              </wp:positionH>
              <wp:positionV relativeFrom="page">
                <wp:posOffset>490475</wp:posOffset>
              </wp:positionV>
              <wp:extent cx="4629785" cy="34226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785" cy="342265"/>
                      </a:xfrm>
                      <a:prstGeom prst="rect">
                        <a:avLst/>
                      </a:prstGeom>
                    </wps:spPr>
                    <wps:txbx>
                      <w:txbxContent>
                        <w:p w14:paraId="24D6331A"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1B" w14:textId="77777777" w:rsidR="00245300" w:rsidRDefault="00F17249">
                          <w:pPr>
                            <w:pStyle w:val="BodyText"/>
                            <w:ind w:left="20"/>
                          </w:pPr>
                          <w:r>
                            <w:t>904</w:t>
                          </w:r>
                          <w:r>
                            <w:rPr>
                              <w:spacing w:val="-8"/>
                            </w:rPr>
                            <w:t xml:space="preserve"> </w:t>
                          </w:r>
                          <w:r>
                            <w:t>–</w:t>
                          </w:r>
                          <w:r>
                            <w:rPr>
                              <w:spacing w:val="-8"/>
                            </w:rPr>
                            <w:t xml:space="preserve"> </w:t>
                          </w:r>
                          <w:r>
                            <w:t>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Public-Private</w:t>
                          </w:r>
                          <w:r>
                            <w:rPr>
                              <w:spacing w:val="-9"/>
                            </w:rPr>
                            <w:t xml:space="preserve"> </w:t>
                          </w:r>
                          <w:r>
                            <w:rPr>
                              <w:spacing w:val="-2"/>
                            </w:rPr>
                            <w:t>Partnerships</w:t>
                          </w:r>
                        </w:p>
                      </w:txbxContent>
                    </wps:txbx>
                    <wps:bodyPr wrap="square" lIns="0" tIns="0" rIns="0" bIns="0" rtlCol="0">
                      <a:noAutofit/>
                    </wps:bodyPr>
                  </wps:wsp>
                </a:graphicData>
              </a:graphic>
            </wp:anchor>
          </w:drawing>
        </mc:Choice>
        <mc:Fallback>
          <w:pict>
            <v:shapetype w14:anchorId="24D630B6" id="_x0000_t202" coordsize="21600,21600" o:spt="202" path="m,l,21600r21600,l21600,xe">
              <v:stroke joinstyle="miter"/>
              <v:path gradientshapeok="t" o:connecttype="rect"/>
            </v:shapetype>
            <v:shape id="Textbox 825" o:spid="_x0000_s1254" type="#_x0000_t202" style="position:absolute;margin-left:71pt;margin-top:38.6pt;width:364.55pt;height:26.95pt;z-index:-278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" filled="f" stroked="f">
              <v:textbox inset="0,0,0,0">
                <w:txbxContent>
                  <w:p w14:paraId="24D6331A"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1B" w14:textId="77777777" w:rsidR="00245300" w:rsidRDefault="00F17249">
                    <w:pPr>
                      <w:pStyle w:val="BodyText"/>
                      <w:ind w:left="20"/>
                    </w:pPr>
                    <w:r>
                      <w:t>904</w:t>
                    </w:r>
                    <w:r>
                      <w:rPr>
                        <w:spacing w:val="-8"/>
                      </w:rPr>
                      <w:t xml:space="preserve"> </w:t>
                    </w:r>
                    <w:r>
                      <w:t>–</w:t>
                    </w:r>
                    <w:r>
                      <w:rPr>
                        <w:spacing w:val="-8"/>
                      </w:rPr>
                      <w:t xml:space="preserve"> </w:t>
                    </w:r>
                    <w:r>
                      <w:t>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Public-Private</w:t>
                    </w:r>
                    <w:r>
                      <w:rPr>
                        <w:spacing w:val="-9"/>
                      </w:rPr>
                      <w:t xml:space="preserve"> </w:t>
                    </w:r>
                    <w:r>
                      <w:rPr>
                        <w:spacing w:val="-2"/>
                      </w:rPr>
                      <w:t>Partnerships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0" w14:textId="77777777" w:rsidR="00245300" w:rsidRDefault="00F17249">
    <w:pPr>
      <w:pStyle w:val="BodyText"/>
      <w:spacing w:line="14" w:lineRule="auto"/>
      <w:rPr>
        <w:sz w:val="20"/>
      </w:rPr>
    </w:pPr>
    <w:r>
      <w:rPr>
        <w:noProof/>
      </w:rPr>
      <mc:AlternateContent>
        <mc:Choice Requires="wps">
          <w:drawing>
            <wp:anchor distT="0" distB="0" distL="0" distR="0" simplePos="0" relativeHeight="475443200" behindDoc="1" locked="0" layoutInCell="1" allowOverlap="1" wp14:anchorId="24D630C0" wp14:editId="24D630C1">
              <wp:simplePos x="0" y="0"/>
              <wp:positionH relativeFrom="page">
                <wp:posOffset>895350</wp:posOffset>
              </wp:positionH>
              <wp:positionV relativeFrom="page">
                <wp:posOffset>457962</wp:posOffset>
              </wp:positionV>
              <wp:extent cx="5981700" cy="28575"/>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FE09A" id="Graphic 830" o:spid="_x0000_s1026" style="position:absolute;margin-left:70.5pt;margin-top:36.05pt;width:471pt;height:2.25pt;z-index:-278732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3712" behindDoc="1" locked="0" layoutInCell="1" allowOverlap="1" wp14:anchorId="24D630C2" wp14:editId="24D630C3">
              <wp:simplePos x="0" y="0"/>
              <wp:positionH relativeFrom="page">
                <wp:posOffset>895350</wp:posOffset>
              </wp:positionH>
              <wp:positionV relativeFrom="page">
                <wp:posOffset>832103</wp:posOffset>
              </wp:positionV>
              <wp:extent cx="5981700" cy="28575"/>
              <wp:effectExtent l="0" t="0" r="0" b="0"/>
              <wp:wrapNone/>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C0B2FF" id="Graphic 831" o:spid="_x0000_s1026" style="position:absolute;margin-left:70.5pt;margin-top:65.5pt;width:471pt;height:2.25pt;z-index:-278727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4224" behindDoc="1" locked="0" layoutInCell="1" allowOverlap="1" wp14:anchorId="24D630C4" wp14:editId="24D630C5">
              <wp:simplePos x="0" y="0"/>
              <wp:positionH relativeFrom="page">
                <wp:posOffset>901700</wp:posOffset>
              </wp:positionH>
              <wp:positionV relativeFrom="page">
                <wp:posOffset>490475</wp:posOffset>
              </wp:positionV>
              <wp:extent cx="2882265" cy="342265"/>
              <wp:effectExtent l="0" t="0" r="0" b="0"/>
              <wp:wrapNone/>
              <wp:docPr id="832" name="Text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24D6331F"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905 – Auditing Accounting Estimates</w:t>
                          </w:r>
                        </w:p>
                      </w:txbxContent>
                    </wps:txbx>
                    <wps:bodyPr wrap="square" lIns="0" tIns="0" rIns="0" bIns="0" rtlCol="0">
                      <a:noAutofit/>
                    </wps:bodyPr>
                  </wps:wsp>
                </a:graphicData>
              </a:graphic>
            </wp:anchor>
          </w:drawing>
        </mc:Choice>
        <mc:Fallback>
          <w:pict>
            <v:shapetype w14:anchorId="24D630C4" id="_x0000_t202" coordsize="21600,21600" o:spt="202" path="m,l,21600r21600,l21600,xe">
              <v:stroke joinstyle="miter"/>
              <v:path gradientshapeok="t" o:connecttype="rect"/>
            </v:shapetype>
            <v:shape id="Textbox 832" o:spid="_x0000_s1258" type="#_x0000_t202" style="position:absolute;margin-left:71pt;margin-top:38.6pt;width:226.95pt;height:26.95pt;z-index:-278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" filled="f" stroked="f">
              <v:textbox inset="0,0,0,0">
                <w:txbxContent>
                  <w:p w14:paraId="24D6331F"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905 – Auditing Accounting Estimates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2" w14:textId="77777777" w:rsidR="00245300" w:rsidRDefault="00F17249">
    <w:pPr>
      <w:pStyle w:val="BodyText"/>
      <w:spacing w:line="14" w:lineRule="auto"/>
      <w:rPr>
        <w:sz w:val="20"/>
      </w:rPr>
    </w:pPr>
    <w:r>
      <w:rPr>
        <w:noProof/>
      </w:rPr>
      <mc:AlternateContent>
        <mc:Choice Requires="wps">
          <w:drawing>
            <wp:anchor distT="0" distB="0" distL="0" distR="0" simplePos="0" relativeHeight="475446784" behindDoc="1" locked="0" layoutInCell="1" allowOverlap="1" wp14:anchorId="24D630CE" wp14:editId="24D630CF">
              <wp:simplePos x="0" y="0"/>
              <wp:positionH relativeFrom="page">
                <wp:posOffset>895350</wp:posOffset>
              </wp:positionH>
              <wp:positionV relativeFrom="page">
                <wp:posOffset>457962</wp:posOffset>
              </wp:positionV>
              <wp:extent cx="5981700" cy="28575"/>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19875" id="Graphic 837" o:spid="_x0000_s1026" style="position:absolute;margin-left:70.5pt;margin-top:36.05pt;width:471pt;height:2.25pt;z-index:-278696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7296" behindDoc="1" locked="0" layoutInCell="1" allowOverlap="1" wp14:anchorId="24D630D0" wp14:editId="24D630D1">
              <wp:simplePos x="0" y="0"/>
              <wp:positionH relativeFrom="page">
                <wp:posOffset>895350</wp:posOffset>
              </wp:positionH>
              <wp:positionV relativeFrom="page">
                <wp:posOffset>832103</wp:posOffset>
              </wp:positionV>
              <wp:extent cx="5981700" cy="28575"/>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5E00A" id="Graphic 838" o:spid="_x0000_s1026" style="position:absolute;margin-left:70.5pt;margin-top:65.5pt;width:471pt;height:2.25pt;z-index:-278691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47808" behindDoc="1" locked="0" layoutInCell="1" allowOverlap="1" wp14:anchorId="24D630D2" wp14:editId="24D630D3">
              <wp:simplePos x="0" y="0"/>
              <wp:positionH relativeFrom="page">
                <wp:posOffset>901700</wp:posOffset>
              </wp:positionH>
              <wp:positionV relativeFrom="page">
                <wp:posOffset>490475</wp:posOffset>
              </wp:positionV>
              <wp:extent cx="2882265" cy="342265"/>
              <wp:effectExtent l="0" t="0" r="0" b="0"/>
              <wp:wrapNone/>
              <wp:docPr id="839" name="Text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24D63323"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921 – Auditing Fund Balance with Treasury</w:t>
                          </w:r>
                        </w:p>
                      </w:txbxContent>
                    </wps:txbx>
                    <wps:bodyPr wrap="square" lIns="0" tIns="0" rIns="0" bIns="0" rtlCol="0">
                      <a:noAutofit/>
                    </wps:bodyPr>
                  </wps:wsp>
                </a:graphicData>
              </a:graphic>
            </wp:anchor>
          </w:drawing>
        </mc:Choice>
        <mc:Fallback>
          <w:pict>
            <v:shapetype w14:anchorId="24D630D2" id="_x0000_t202" coordsize="21600,21600" o:spt="202" path="m,l,21600r21600,l21600,xe">
              <v:stroke joinstyle="miter"/>
              <v:path gradientshapeok="t" o:connecttype="rect"/>
            </v:shapetype>
            <v:shape id="Textbox 839" o:spid="_x0000_s1262" type="#_x0000_t202" style="position:absolute;margin-left:71pt;margin-top:38.6pt;width:226.95pt;height:26.95pt;z-index:-278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" filled="f" stroked="f">
              <v:textbox inset="0,0,0,0">
                <w:txbxContent>
                  <w:p w14:paraId="24D63323"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921 – Auditing Fund Balance with Treasury</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4" w14:textId="77777777" w:rsidR="00245300" w:rsidRDefault="00F17249">
    <w:pPr>
      <w:pStyle w:val="BodyText"/>
      <w:spacing w:line="14" w:lineRule="auto"/>
      <w:rPr>
        <w:sz w:val="20"/>
      </w:rPr>
    </w:pPr>
    <w:r>
      <w:rPr>
        <w:noProof/>
      </w:rPr>
      <mc:AlternateContent>
        <mc:Choice Requires="wps">
          <w:drawing>
            <wp:anchor distT="0" distB="0" distL="0" distR="0" simplePos="0" relativeHeight="475450368" behindDoc="1" locked="0" layoutInCell="1" allowOverlap="1" wp14:anchorId="24D630DC" wp14:editId="24D630DD">
              <wp:simplePos x="0" y="0"/>
              <wp:positionH relativeFrom="page">
                <wp:posOffset>895350</wp:posOffset>
              </wp:positionH>
              <wp:positionV relativeFrom="page">
                <wp:posOffset>457962</wp:posOffset>
              </wp:positionV>
              <wp:extent cx="5981700" cy="28575"/>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684A0" id="Graphic 851" o:spid="_x0000_s1026" style="position:absolute;margin-left:70.5pt;margin-top:36.05pt;width:471pt;height:2.25pt;z-index:-278661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0880" behindDoc="1" locked="0" layoutInCell="1" allowOverlap="1" wp14:anchorId="24D630DE" wp14:editId="24D630DF">
              <wp:simplePos x="0" y="0"/>
              <wp:positionH relativeFrom="page">
                <wp:posOffset>895350</wp:posOffset>
              </wp:positionH>
              <wp:positionV relativeFrom="page">
                <wp:posOffset>832103</wp:posOffset>
              </wp:positionV>
              <wp:extent cx="5981700" cy="2857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4FAA23" id="Graphic 852" o:spid="_x0000_s1026" style="position:absolute;margin-left:70.5pt;margin-top:65.5pt;width:471pt;height:2.25pt;z-index:-278656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1392" behindDoc="1" locked="0" layoutInCell="1" allowOverlap="1" wp14:anchorId="24D630E0" wp14:editId="24D630E1">
              <wp:simplePos x="0" y="0"/>
              <wp:positionH relativeFrom="page">
                <wp:posOffset>901700</wp:posOffset>
              </wp:positionH>
              <wp:positionV relativeFrom="page">
                <wp:posOffset>490475</wp:posOffset>
              </wp:positionV>
              <wp:extent cx="4179570" cy="342265"/>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9570" cy="342265"/>
                      </a:xfrm>
                      <a:prstGeom prst="rect">
                        <a:avLst/>
                      </a:prstGeom>
                    </wps:spPr>
                    <wps:txbx>
                      <w:txbxContent>
                        <w:p w14:paraId="24D63327"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28" w14:textId="77777777" w:rsidR="00245300" w:rsidRDefault="00F17249">
                          <w:pPr>
                            <w:pStyle w:val="BodyText"/>
                            <w:ind w:left="20"/>
                          </w:pPr>
                          <w:r>
                            <w:t>921</w:t>
                          </w:r>
                          <w:r>
                            <w:rPr>
                              <w:spacing w:val="-6"/>
                            </w:rPr>
                            <w:t xml:space="preserve"> </w:t>
                          </w:r>
                          <w:r>
                            <w:t>A</w:t>
                          </w:r>
                          <w:r>
                            <w:rPr>
                              <w:spacing w:val="-6"/>
                            </w:rPr>
                            <w:t xml:space="preserve"> </w:t>
                          </w:r>
                          <w:r>
                            <w:t>–</w:t>
                          </w:r>
                          <w:r>
                            <w:rPr>
                              <w:spacing w:val="-5"/>
                            </w:rPr>
                            <w:t xml:space="preserve"> </w:t>
                          </w:r>
                          <w:r>
                            <w:t>Example</w:t>
                          </w:r>
                          <w:r>
                            <w:rPr>
                              <w:spacing w:val="-6"/>
                            </w:rPr>
                            <w:t xml:space="preserve"> </w:t>
                          </w:r>
                          <w:r>
                            <w:t>Audit</w:t>
                          </w:r>
                          <w:r>
                            <w:rPr>
                              <w:spacing w:val="-5"/>
                            </w:rPr>
                            <w:t xml:space="preserve"> </w:t>
                          </w:r>
                          <w:r>
                            <w:t>Procedures</w:t>
                          </w:r>
                          <w:r>
                            <w:rPr>
                              <w:spacing w:val="-7"/>
                            </w:rPr>
                            <w:t xml:space="preserve"> </w:t>
                          </w:r>
                          <w:r>
                            <w:t>for</w:t>
                          </w:r>
                          <w:r>
                            <w:rPr>
                              <w:spacing w:val="-5"/>
                            </w:rPr>
                            <w:t xml:space="preserve"> </w:t>
                          </w:r>
                          <w:r>
                            <w:t>Fund</w:t>
                          </w:r>
                          <w:r>
                            <w:rPr>
                              <w:spacing w:val="-6"/>
                            </w:rPr>
                            <w:t xml:space="preserve"> </w:t>
                          </w:r>
                          <w:r>
                            <w:t>Balance</w:t>
                          </w:r>
                          <w:r>
                            <w:rPr>
                              <w:spacing w:val="-6"/>
                            </w:rPr>
                            <w:t xml:space="preserve"> </w:t>
                          </w:r>
                          <w:r>
                            <w:t>with</w:t>
                          </w:r>
                          <w:r>
                            <w:rPr>
                              <w:spacing w:val="-5"/>
                            </w:rPr>
                            <w:t xml:space="preserve"> </w:t>
                          </w:r>
                          <w:r>
                            <w:rPr>
                              <w:spacing w:val="-2"/>
                            </w:rPr>
                            <w:t>Treasury</w:t>
                          </w:r>
                        </w:p>
                      </w:txbxContent>
                    </wps:txbx>
                    <wps:bodyPr wrap="square" lIns="0" tIns="0" rIns="0" bIns="0" rtlCol="0">
                      <a:noAutofit/>
                    </wps:bodyPr>
                  </wps:wsp>
                </a:graphicData>
              </a:graphic>
            </wp:anchor>
          </w:drawing>
        </mc:Choice>
        <mc:Fallback>
          <w:pict>
            <v:shapetype w14:anchorId="24D630E0" id="_x0000_t202" coordsize="21600,21600" o:spt="202" path="m,l,21600r21600,l21600,xe">
              <v:stroke joinstyle="miter"/>
              <v:path gradientshapeok="t" o:connecttype="rect"/>
            </v:shapetype>
            <v:shape id="Textbox 853" o:spid="_x0000_s1266" type="#_x0000_t202" style="position:absolute;margin-left:71pt;margin-top:38.6pt;width:329.1pt;height:26.95pt;z-index:-2786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" filled="f" stroked="f">
              <v:textbox inset="0,0,0,0">
                <w:txbxContent>
                  <w:p w14:paraId="24D63327"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28" w14:textId="77777777" w:rsidR="00245300" w:rsidRDefault="00F17249">
                    <w:pPr>
                      <w:pStyle w:val="BodyText"/>
                      <w:ind w:left="20"/>
                    </w:pPr>
                    <w:r>
                      <w:t>921</w:t>
                    </w:r>
                    <w:r>
                      <w:rPr>
                        <w:spacing w:val="-6"/>
                      </w:rPr>
                      <w:t xml:space="preserve"> </w:t>
                    </w:r>
                    <w:r>
                      <w:t>A</w:t>
                    </w:r>
                    <w:r>
                      <w:rPr>
                        <w:spacing w:val="-6"/>
                      </w:rPr>
                      <w:t xml:space="preserve"> </w:t>
                    </w:r>
                    <w:r>
                      <w:t>–</w:t>
                    </w:r>
                    <w:r>
                      <w:rPr>
                        <w:spacing w:val="-5"/>
                      </w:rPr>
                      <w:t xml:space="preserve"> </w:t>
                    </w:r>
                    <w:r>
                      <w:t>Example</w:t>
                    </w:r>
                    <w:r>
                      <w:rPr>
                        <w:spacing w:val="-6"/>
                      </w:rPr>
                      <w:t xml:space="preserve"> </w:t>
                    </w:r>
                    <w:r>
                      <w:t>Audit</w:t>
                    </w:r>
                    <w:r>
                      <w:rPr>
                        <w:spacing w:val="-5"/>
                      </w:rPr>
                      <w:t xml:space="preserve"> </w:t>
                    </w:r>
                    <w:r>
                      <w:t>Procedures</w:t>
                    </w:r>
                    <w:r>
                      <w:rPr>
                        <w:spacing w:val="-7"/>
                      </w:rPr>
                      <w:t xml:space="preserve"> </w:t>
                    </w:r>
                    <w:r>
                      <w:t>for</w:t>
                    </w:r>
                    <w:r>
                      <w:rPr>
                        <w:spacing w:val="-5"/>
                      </w:rPr>
                      <w:t xml:space="preserve"> </w:t>
                    </w:r>
                    <w:r>
                      <w:t>Fund</w:t>
                    </w:r>
                    <w:r>
                      <w:rPr>
                        <w:spacing w:val="-6"/>
                      </w:rPr>
                      <w:t xml:space="preserve"> </w:t>
                    </w:r>
                    <w:r>
                      <w:t>Balance</w:t>
                    </w:r>
                    <w:r>
                      <w:rPr>
                        <w:spacing w:val="-6"/>
                      </w:rPr>
                      <w:t xml:space="preserve"> </w:t>
                    </w:r>
                    <w:r>
                      <w:t>with</w:t>
                    </w:r>
                    <w:r>
                      <w:rPr>
                        <w:spacing w:val="-5"/>
                      </w:rPr>
                      <w:t xml:space="preserve"> </w:t>
                    </w:r>
                    <w:r>
                      <w:rPr>
                        <w:spacing w:val="-2"/>
                      </w:rPr>
                      <w:t>Treasury</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6" w14:textId="77777777" w:rsidR="00245300" w:rsidRDefault="00F17249">
    <w:pPr>
      <w:pStyle w:val="BodyText"/>
      <w:spacing w:line="14" w:lineRule="auto"/>
      <w:rPr>
        <w:sz w:val="20"/>
      </w:rPr>
    </w:pPr>
    <w:r>
      <w:rPr>
        <w:noProof/>
      </w:rPr>
      <mc:AlternateContent>
        <mc:Choice Requires="wps">
          <w:drawing>
            <wp:anchor distT="0" distB="0" distL="0" distR="0" simplePos="0" relativeHeight="475453952" behindDoc="1" locked="0" layoutInCell="1" allowOverlap="1" wp14:anchorId="24D630EA" wp14:editId="24D630EB">
              <wp:simplePos x="0" y="0"/>
              <wp:positionH relativeFrom="page">
                <wp:posOffset>895350</wp:posOffset>
              </wp:positionH>
              <wp:positionV relativeFrom="page">
                <wp:posOffset>457962</wp:posOffset>
              </wp:positionV>
              <wp:extent cx="5981700" cy="28575"/>
              <wp:effectExtent l="0" t="0" r="0" b="0"/>
              <wp:wrapNone/>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5EBD9" id="Graphic 859" o:spid="_x0000_s1026" style="position:absolute;margin-left:70.5pt;margin-top:36.05pt;width:471pt;height:2.25pt;z-index:-278625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4464" behindDoc="1" locked="0" layoutInCell="1" allowOverlap="1" wp14:anchorId="24D630EC" wp14:editId="24D630ED">
              <wp:simplePos x="0" y="0"/>
              <wp:positionH relativeFrom="page">
                <wp:posOffset>895350</wp:posOffset>
              </wp:positionH>
              <wp:positionV relativeFrom="page">
                <wp:posOffset>832103</wp:posOffset>
              </wp:positionV>
              <wp:extent cx="5981700" cy="28575"/>
              <wp:effectExtent l="0" t="0" r="0" b="0"/>
              <wp:wrapNone/>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A665C" id="Graphic 860" o:spid="_x0000_s1026" style="position:absolute;margin-left:70.5pt;margin-top:65.5pt;width:471pt;height:2.25pt;z-index:-278620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4976" behindDoc="1" locked="0" layoutInCell="1" allowOverlap="1" wp14:anchorId="24D630EE" wp14:editId="24D630EF">
              <wp:simplePos x="0" y="0"/>
              <wp:positionH relativeFrom="page">
                <wp:posOffset>901700</wp:posOffset>
              </wp:positionH>
              <wp:positionV relativeFrom="page">
                <wp:posOffset>490476</wp:posOffset>
              </wp:positionV>
              <wp:extent cx="3937635" cy="342265"/>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635" cy="342265"/>
                      </a:xfrm>
                      <a:prstGeom prst="rect">
                        <a:avLst/>
                      </a:prstGeom>
                    </wps:spPr>
                    <wps:txbx>
                      <w:txbxContent>
                        <w:p w14:paraId="24D6332C" w14:textId="77777777" w:rsidR="00245300" w:rsidRDefault="00F17249">
                          <w:pPr>
                            <w:pStyle w:val="BodyText"/>
                            <w:spacing w:before="12"/>
                            <w:ind w:left="20"/>
                          </w:pPr>
                          <w:r>
                            <w:t>Substantive</w:t>
                          </w:r>
                          <w:r>
                            <w:rPr>
                              <w:spacing w:val="-13"/>
                            </w:rPr>
                            <w:t xml:space="preserve"> </w:t>
                          </w:r>
                          <w:r>
                            <w:t>Testing</w:t>
                          </w:r>
                          <w:r>
                            <w:rPr>
                              <w:spacing w:val="-11"/>
                            </w:rPr>
                            <w:t xml:space="preserve"> </w:t>
                          </w:r>
                          <w:r>
                            <w:t>Implementation</w:t>
                          </w:r>
                          <w:r>
                            <w:rPr>
                              <w:spacing w:val="-11"/>
                            </w:rPr>
                            <w:t xml:space="preserve"> </w:t>
                          </w:r>
                          <w:r>
                            <w:rPr>
                              <w:spacing w:val="-2"/>
                            </w:rPr>
                            <w:t>Guidance</w:t>
                          </w:r>
                        </w:p>
                        <w:p w14:paraId="24D6332D" w14:textId="77777777" w:rsidR="00245300" w:rsidRDefault="00F17249">
                          <w:pPr>
                            <w:pStyle w:val="BodyText"/>
                            <w:ind w:left="20"/>
                          </w:pPr>
                          <w:r>
                            <w:t>921</w:t>
                          </w:r>
                          <w:r>
                            <w:rPr>
                              <w:spacing w:val="-5"/>
                            </w:rPr>
                            <w:t xml:space="preserve"> </w:t>
                          </w:r>
                          <w:r>
                            <w:t>B</w:t>
                          </w:r>
                          <w:r>
                            <w:rPr>
                              <w:spacing w:val="-5"/>
                            </w:rPr>
                            <w:t xml:space="preserve"> </w:t>
                          </w:r>
                          <w:r>
                            <w:t>–</w:t>
                          </w:r>
                          <w:r>
                            <w:rPr>
                              <w:spacing w:val="-5"/>
                            </w:rPr>
                            <w:t xml:space="preserve"> </w:t>
                          </w:r>
                          <w:r>
                            <w:t>Example</w:t>
                          </w:r>
                          <w:r>
                            <w:rPr>
                              <w:spacing w:val="-5"/>
                            </w:rPr>
                            <w:t xml:space="preserve"> </w:t>
                          </w:r>
                          <w:r>
                            <w:t>Audit</w:t>
                          </w:r>
                          <w:r>
                            <w:rPr>
                              <w:spacing w:val="-5"/>
                            </w:rPr>
                            <w:t xml:space="preserve"> </w:t>
                          </w:r>
                          <w:r>
                            <w:t>Procedures</w:t>
                          </w:r>
                          <w:r>
                            <w:rPr>
                              <w:spacing w:val="-6"/>
                            </w:rPr>
                            <w:t xml:space="preserve"> </w:t>
                          </w:r>
                          <w:r>
                            <w:t>for</w:t>
                          </w:r>
                          <w:r>
                            <w:rPr>
                              <w:spacing w:val="-5"/>
                            </w:rPr>
                            <w:t xml:space="preserve"> </w:t>
                          </w:r>
                          <w:r>
                            <w:t>Auditing</w:t>
                          </w:r>
                          <w:r>
                            <w:rPr>
                              <w:spacing w:val="-6"/>
                            </w:rPr>
                            <w:t xml:space="preserve"> </w:t>
                          </w:r>
                          <w:r>
                            <w:t>TAS</w:t>
                          </w:r>
                          <w:r>
                            <w:rPr>
                              <w:spacing w:val="-5"/>
                            </w:rPr>
                            <w:t xml:space="preserve"> </w:t>
                          </w:r>
                          <w:r>
                            <w:t>and</w:t>
                          </w:r>
                          <w:r>
                            <w:rPr>
                              <w:spacing w:val="-5"/>
                            </w:rPr>
                            <w:t xml:space="preserve"> </w:t>
                          </w:r>
                          <w:r>
                            <w:rPr>
                              <w:spacing w:val="-4"/>
                            </w:rPr>
                            <w:t>BETC</w:t>
                          </w:r>
                        </w:p>
                      </w:txbxContent>
                    </wps:txbx>
                    <wps:bodyPr wrap="square" lIns="0" tIns="0" rIns="0" bIns="0" rtlCol="0">
                      <a:noAutofit/>
                    </wps:bodyPr>
                  </wps:wsp>
                </a:graphicData>
              </a:graphic>
            </wp:anchor>
          </w:drawing>
        </mc:Choice>
        <mc:Fallback>
          <w:pict>
            <v:shapetype w14:anchorId="24D630EE" id="_x0000_t202" coordsize="21600,21600" o:spt="202" path="m,l,21600r21600,l21600,xe">
              <v:stroke joinstyle="miter"/>
              <v:path gradientshapeok="t" o:connecttype="rect"/>
            </v:shapetype>
            <v:shape id="Textbox 861" o:spid="_x0000_s1270" type="#_x0000_t202" style="position:absolute;margin-left:71pt;margin-top:38.6pt;width:310.05pt;height:26.95pt;z-index:-278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" filled="f" stroked="f">
              <v:textbox inset="0,0,0,0">
                <w:txbxContent>
                  <w:p w14:paraId="24D6332C" w14:textId="77777777" w:rsidR="00245300" w:rsidRDefault="00F17249">
                    <w:pPr>
                      <w:pStyle w:val="BodyText"/>
                      <w:spacing w:before="12"/>
                      <w:ind w:left="20"/>
                    </w:pPr>
                    <w:r>
                      <w:t>Substantive</w:t>
                    </w:r>
                    <w:r>
                      <w:rPr>
                        <w:spacing w:val="-13"/>
                      </w:rPr>
                      <w:t xml:space="preserve"> </w:t>
                    </w:r>
                    <w:r>
                      <w:t>Testing</w:t>
                    </w:r>
                    <w:r>
                      <w:rPr>
                        <w:spacing w:val="-11"/>
                      </w:rPr>
                      <w:t xml:space="preserve"> </w:t>
                    </w:r>
                    <w:r>
                      <w:t>Implementation</w:t>
                    </w:r>
                    <w:r>
                      <w:rPr>
                        <w:spacing w:val="-11"/>
                      </w:rPr>
                      <w:t xml:space="preserve"> </w:t>
                    </w:r>
                    <w:r>
                      <w:rPr>
                        <w:spacing w:val="-2"/>
                      </w:rPr>
                      <w:t>Guidance</w:t>
                    </w:r>
                  </w:p>
                  <w:p w14:paraId="24D6332D" w14:textId="77777777" w:rsidR="00245300" w:rsidRDefault="00F17249">
                    <w:pPr>
                      <w:pStyle w:val="BodyText"/>
                      <w:ind w:left="20"/>
                    </w:pPr>
                    <w:r>
                      <w:t>921</w:t>
                    </w:r>
                    <w:r>
                      <w:rPr>
                        <w:spacing w:val="-5"/>
                      </w:rPr>
                      <w:t xml:space="preserve"> </w:t>
                    </w:r>
                    <w:r>
                      <w:t>B</w:t>
                    </w:r>
                    <w:r>
                      <w:rPr>
                        <w:spacing w:val="-5"/>
                      </w:rPr>
                      <w:t xml:space="preserve"> </w:t>
                    </w:r>
                    <w:r>
                      <w:t>–</w:t>
                    </w:r>
                    <w:r>
                      <w:rPr>
                        <w:spacing w:val="-5"/>
                      </w:rPr>
                      <w:t xml:space="preserve"> </w:t>
                    </w:r>
                    <w:r>
                      <w:t>Example</w:t>
                    </w:r>
                    <w:r>
                      <w:rPr>
                        <w:spacing w:val="-5"/>
                      </w:rPr>
                      <w:t xml:space="preserve"> </w:t>
                    </w:r>
                    <w:r>
                      <w:t>Audit</w:t>
                    </w:r>
                    <w:r>
                      <w:rPr>
                        <w:spacing w:val="-5"/>
                      </w:rPr>
                      <w:t xml:space="preserve"> </w:t>
                    </w:r>
                    <w:r>
                      <w:t>Procedures</w:t>
                    </w:r>
                    <w:r>
                      <w:rPr>
                        <w:spacing w:val="-6"/>
                      </w:rPr>
                      <w:t xml:space="preserve"> </w:t>
                    </w:r>
                    <w:r>
                      <w:t>for</w:t>
                    </w:r>
                    <w:r>
                      <w:rPr>
                        <w:spacing w:val="-5"/>
                      </w:rPr>
                      <w:t xml:space="preserve"> </w:t>
                    </w:r>
                    <w:r>
                      <w:t>Auditing</w:t>
                    </w:r>
                    <w:r>
                      <w:rPr>
                        <w:spacing w:val="-6"/>
                      </w:rPr>
                      <w:t xml:space="preserve"> </w:t>
                    </w:r>
                    <w:r>
                      <w:t>TAS</w:t>
                    </w:r>
                    <w:r>
                      <w:rPr>
                        <w:spacing w:val="-5"/>
                      </w:rPr>
                      <w:t xml:space="preserve"> </w:t>
                    </w:r>
                    <w:r>
                      <w:t>and</w:t>
                    </w:r>
                    <w:r>
                      <w:rPr>
                        <w:spacing w:val="-5"/>
                      </w:rPr>
                      <w:t xml:space="preserve"> </w:t>
                    </w:r>
                    <w:r>
                      <w:rPr>
                        <w:spacing w:val="-4"/>
                      </w:rPr>
                      <w:t>BETC</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8" w14:textId="77777777" w:rsidR="00245300" w:rsidRDefault="00F17249">
    <w:pPr>
      <w:pStyle w:val="BodyText"/>
      <w:spacing w:line="14" w:lineRule="auto"/>
      <w:rPr>
        <w:sz w:val="20"/>
      </w:rPr>
    </w:pPr>
    <w:r>
      <w:rPr>
        <w:noProof/>
      </w:rPr>
      <mc:AlternateContent>
        <mc:Choice Requires="wps">
          <w:drawing>
            <wp:anchor distT="0" distB="0" distL="0" distR="0" simplePos="0" relativeHeight="475457536" behindDoc="1" locked="0" layoutInCell="1" allowOverlap="1" wp14:anchorId="24D630F8" wp14:editId="24D630F9">
              <wp:simplePos x="0" y="0"/>
              <wp:positionH relativeFrom="page">
                <wp:posOffset>895350</wp:posOffset>
              </wp:positionH>
              <wp:positionV relativeFrom="page">
                <wp:posOffset>457962</wp:posOffset>
              </wp:positionV>
              <wp:extent cx="5981700" cy="28575"/>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B1980" id="Graphic 866" o:spid="_x0000_s1026" style="position:absolute;margin-left:70.5pt;margin-top:36.05pt;width:471pt;height:2.25pt;z-index:-278589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8048" behindDoc="1" locked="0" layoutInCell="1" allowOverlap="1" wp14:anchorId="24D630FA" wp14:editId="24D630FB">
              <wp:simplePos x="0" y="0"/>
              <wp:positionH relativeFrom="page">
                <wp:posOffset>895350</wp:posOffset>
              </wp:positionH>
              <wp:positionV relativeFrom="page">
                <wp:posOffset>832103</wp:posOffset>
              </wp:positionV>
              <wp:extent cx="5981700" cy="28575"/>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1D0D1" id="Graphic 867" o:spid="_x0000_s1026" style="position:absolute;margin-left:70.5pt;margin-top:65.5pt;width:471pt;height:2.25pt;z-index:-278584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58560" behindDoc="1" locked="0" layoutInCell="1" allowOverlap="1" wp14:anchorId="24D630FC" wp14:editId="24D630FD">
              <wp:simplePos x="0" y="0"/>
              <wp:positionH relativeFrom="page">
                <wp:posOffset>901700</wp:posOffset>
              </wp:positionH>
              <wp:positionV relativeFrom="page">
                <wp:posOffset>490475</wp:posOffset>
              </wp:positionV>
              <wp:extent cx="3372485" cy="34226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2485" cy="342265"/>
                      </a:xfrm>
                      <a:prstGeom prst="rect">
                        <a:avLst/>
                      </a:prstGeom>
                    </wps:spPr>
                    <wps:txbx>
                      <w:txbxContent>
                        <w:p w14:paraId="24D63331"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32" w14:textId="77777777" w:rsidR="00245300" w:rsidRDefault="00F17249">
                          <w:pPr>
                            <w:pStyle w:val="BodyText"/>
                            <w:ind w:left="20"/>
                          </w:pPr>
                          <w:r>
                            <w:t>931</w:t>
                          </w:r>
                          <w:r>
                            <w:rPr>
                              <w:spacing w:val="-8"/>
                            </w:rPr>
                            <w:t xml:space="preserve"> </w:t>
                          </w:r>
                          <w:r>
                            <w:t>–</w:t>
                          </w:r>
                          <w:r>
                            <w:rPr>
                              <w:spacing w:val="-7"/>
                            </w:rPr>
                            <w:t xml:space="preserve"> </w:t>
                          </w:r>
                          <w:r>
                            <w:t>Auditing</w:t>
                          </w:r>
                          <w:r>
                            <w:rPr>
                              <w:spacing w:val="-7"/>
                            </w:rPr>
                            <w:t xml:space="preserve"> </w:t>
                          </w:r>
                          <w:r>
                            <w:t>Heritage</w:t>
                          </w:r>
                          <w:r>
                            <w:rPr>
                              <w:spacing w:val="-7"/>
                            </w:rPr>
                            <w:t xml:space="preserve"> </w:t>
                          </w:r>
                          <w:r>
                            <w:t>Assets</w:t>
                          </w:r>
                          <w:r>
                            <w:rPr>
                              <w:spacing w:val="-7"/>
                            </w:rPr>
                            <w:t xml:space="preserve"> </w:t>
                          </w:r>
                          <w:r>
                            <w:t>and</w:t>
                          </w:r>
                          <w:r>
                            <w:rPr>
                              <w:spacing w:val="-8"/>
                            </w:rPr>
                            <w:t xml:space="preserve"> </w:t>
                          </w:r>
                          <w:r>
                            <w:t>Stewardship</w:t>
                          </w:r>
                          <w:r>
                            <w:rPr>
                              <w:spacing w:val="-7"/>
                            </w:rPr>
                            <w:t xml:space="preserve"> </w:t>
                          </w:r>
                          <w:r>
                            <w:rPr>
                              <w:spacing w:val="-4"/>
                            </w:rPr>
                            <w:t>Land</w:t>
                          </w:r>
                        </w:p>
                      </w:txbxContent>
                    </wps:txbx>
                    <wps:bodyPr wrap="square" lIns="0" tIns="0" rIns="0" bIns="0" rtlCol="0">
                      <a:noAutofit/>
                    </wps:bodyPr>
                  </wps:wsp>
                </a:graphicData>
              </a:graphic>
            </wp:anchor>
          </w:drawing>
        </mc:Choice>
        <mc:Fallback>
          <w:pict>
            <v:shapetype w14:anchorId="24D630FC" id="_x0000_t202" coordsize="21600,21600" o:spt="202" path="m,l,21600r21600,l21600,xe">
              <v:stroke joinstyle="miter"/>
              <v:path gradientshapeok="t" o:connecttype="rect"/>
            </v:shapetype>
            <v:shape id="Textbox 868" o:spid="_x0000_s1274" type="#_x0000_t202" style="position:absolute;margin-left:71pt;margin-top:38.6pt;width:265.55pt;height:26.95pt;z-index:-278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" filled="f" stroked="f">
              <v:textbox inset="0,0,0,0">
                <w:txbxContent>
                  <w:p w14:paraId="24D63331" w14:textId="77777777" w:rsidR="00245300" w:rsidRDefault="00F17249">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24D63332" w14:textId="77777777" w:rsidR="00245300" w:rsidRDefault="00F17249">
                    <w:pPr>
                      <w:pStyle w:val="BodyText"/>
                      <w:ind w:left="20"/>
                    </w:pPr>
                    <w:r>
                      <w:t>931</w:t>
                    </w:r>
                    <w:r>
                      <w:rPr>
                        <w:spacing w:val="-8"/>
                      </w:rPr>
                      <w:t xml:space="preserve"> </w:t>
                    </w:r>
                    <w:r>
                      <w:t>–</w:t>
                    </w:r>
                    <w:r>
                      <w:rPr>
                        <w:spacing w:val="-7"/>
                      </w:rPr>
                      <w:t xml:space="preserve"> </w:t>
                    </w:r>
                    <w:r>
                      <w:t>Auditing</w:t>
                    </w:r>
                    <w:r>
                      <w:rPr>
                        <w:spacing w:val="-7"/>
                      </w:rPr>
                      <w:t xml:space="preserve"> </w:t>
                    </w:r>
                    <w:r>
                      <w:t>Heritage</w:t>
                    </w:r>
                    <w:r>
                      <w:rPr>
                        <w:spacing w:val="-7"/>
                      </w:rPr>
                      <w:t xml:space="preserve"> </w:t>
                    </w:r>
                    <w:r>
                      <w:t>Assets</w:t>
                    </w:r>
                    <w:r>
                      <w:rPr>
                        <w:spacing w:val="-7"/>
                      </w:rPr>
                      <w:t xml:space="preserve"> </w:t>
                    </w:r>
                    <w:r>
                      <w:t>and</w:t>
                    </w:r>
                    <w:r>
                      <w:rPr>
                        <w:spacing w:val="-8"/>
                      </w:rPr>
                      <w:t xml:space="preserve"> </w:t>
                    </w:r>
                    <w:r>
                      <w:t>Stewardship</w:t>
                    </w:r>
                    <w:r>
                      <w:rPr>
                        <w:spacing w:val="-7"/>
                      </w:rPr>
                      <w:t xml:space="preserve"> </w:t>
                    </w:r>
                    <w:r>
                      <w:rPr>
                        <w:spacing w:val="-4"/>
                      </w:rPr>
                      <w:t>Land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A" w14:textId="77777777" w:rsidR="00245300" w:rsidRDefault="00F17249">
    <w:pPr>
      <w:pStyle w:val="BodyText"/>
      <w:spacing w:line="14" w:lineRule="auto"/>
      <w:rPr>
        <w:sz w:val="20"/>
      </w:rPr>
    </w:pPr>
    <w:r>
      <w:rPr>
        <w:noProof/>
      </w:rPr>
      <mc:AlternateContent>
        <mc:Choice Requires="wps">
          <w:drawing>
            <wp:anchor distT="0" distB="0" distL="0" distR="0" simplePos="0" relativeHeight="475461120" behindDoc="1" locked="0" layoutInCell="1" allowOverlap="1" wp14:anchorId="24D63106" wp14:editId="24D63107">
              <wp:simplePos x="0" y="0"/>
              <wp:positionH relativeFrom="page">
                <wp:posOffset>895350</wp:posOffset>
              </wp:positionH>
              <wp:positionV relativeFrom="page">
                <wp:posOffset>457962</wp:posOffset>
              </wp:positionV>
              <wp:extent cx="5981700" cy="28575"/>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BFBEAC" id="Graphic 874" o:spid="_x0000_s1026" style="position:absolute;margin-left:70.5pt;margin-top:36.05pt;width:471pt;height:2.25pt;z-index:-278553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1632" behindDoc="1" locked="0" layoutInCell="1" allowOverlap="1" wp14:anchorId="24D63108" wp14:editId="24D63109">
              <wp:simplePos x="0" y="0"/>
              <wp:positionH relativeFrom="page">
                <wp:posOffset>895350</wp:posOffset>
              </wp:positionH>
              <wp:positionV relativeFrom="page">
                <wp:posOffset>992886</wp:posOffset>
              </wp:positionV>
              <wp:extent cx="5981700" cy="28575"/>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2D7E40" id="Graphic 875" o:spid="_x0000_s1026" style="position:absolute;margin-left:70.5pt;margin-top:78.2pt;width:471pt;height:2.25pt;z-index:-278548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2144" behindDoc="1" locked="0" layoutInCell="1" allowOverlap="1" wp14:anchorId="24D6310A" wp14:editId="24D6310B">
              <wp:simplePos x="0" y="0"/>
              <wp:positionH relativeFrom="page">
                <wp:posOffset>901700</wp:posOffset>
              </wp:positionH>
              <wp:positionV relativeFrom="page">
                <wp:posOffset>490475</wp:posOffset>
              </wp:positionV>
              <wp:extent cx="5555615" cy="502920"/>
              <wp:effectExtent l="0" t="0" r="0" b="0"/>
              <wp:wrapNone/>
              <wp:docPr id="876" name="Text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502920"/>
                      </a:xfrm>
                      <a:prstGeom prst="rect">
                        <a:avLst/>
                      </a:prstGeom>
                    </wps:spPr>
                    <wps:txbx>
                      <w:txbxContent>
                        <w:p w14:paraId="24D63336" w14:textId="77777777" w:rsidR="00245300" w:rsidRDefault="00F17249">
                          <w:pPr>
                            <w:pStyle w:val="BodyText"/>
                            <w:spacing w:before="12"/>
                            <w:ind w:left="20"/>
                          </w:pPr>
                          <w:r>
                            <w:t>Substantive</w:t>
                          </w:r>
                          <w:r>
                            <w:rPr>
                              <w:spacing w:val="-15"/>
                            </w:rPr>
                            <w:t xml:space="preserve"> </w:t>
                          </w:r>
                          <w:r>
                            <w:t>Procedures</w:t>
                          </w:r>
                          <w:r>
                            <w:rPr>
                              <w:spacing w:val="-15"/>
                            </w:rPr>
                            <w:t xml:space="preserve"> </w:t>
                          </w:r>
                          <w:r>
                            <w:t>Implementation</w:t>
                          </w:r>
                          <w:r>
                            <w:rPr>
                              <w:spacing w:val="-13"/>
                            </w:rPr>
                            <w:t xml:space="preserve"> </w:t>
                          </w:r>
                          <w:r>
                            <w:rPr>
                              <w:spacing w:val="-2"/>
                            </w:rPr>
                            <w:t>Guidance</w:t>
                          </w:r>
                        </w:p>
                        <w:p w14:paraId="24D63337" w14:textId="77777777" w:rsidR="00245300" w:rsidRDefault="00F17249">
                          <w:pPr>
                            <w:pStyle w:val="BodyText"/>
                            <w:ind w:left="20"/>
                          </w:pPr>
                          <w:r>
                            <w:t>941</w:t>
                          </w:r>
                          <w:r>
                            <w:rPr>
                              <w:spacing w:val="-3"/>
                            </w:rPr>
                            <w:t xml:space="preserve"> </w:t>
                          </w:r>
                          <w:r>
                            <w:t>–</w:t>
                          </w:r>
                          <w:r>
                            <w:rPr>
                              <w:spacing w:val="-3"/>
                            </w:rPr>
                            <w:t xml:space="preserve"> </w:t>
                          </w:r>
                          <w:r>
                            <w:t>Auditing</w:t>
                          </w:r>
                          <w:r>
                            <w:rPr>
                              <w:spacing w:val="-3"/>
                            </w:rPr>
                            <w:t xml:space="preserve"> </w:t>
                          </w:r>
                          <w:r>
                            <w:t>the</w:t>
                          </w:r>
                          <w:r>
                            <w:rPr>
                              <w:spacing w:val="-3"/>
                            </w:rPr>
                            <w:t xml:space="preserve"> </w:t>
                          </w:r>
                          <w:r>
                            <w:t>Statement</w:t>
                          </w:r>
                          <w:r>
                            <w:rPr>
                              <w:spacing w:val="-3"/>
                            </w:rPr>
                            <w:t xml:space="preserve"> </w:t>
                          </w:r>
                          <w:r>
                            <w:t>of</w:t>
                          </w:r>
                          <w:r>
                            <w:rPr>
                              <w:spacing w:val="-3"/>
                            </w:rPr>
                            <w:t xml:space="preserve"> </w:t>
                          </w:r>
                          <w:r>
                            <w:t>Social</w:t>
                          </w:r>
                          <w:r>
                            <w:rPr>
                              <w:spacing w:val="-3"/>
                            </w:rPr>
                            <w:t xml:space="preserve"> </w:t>
                          </w:r>
                          <w:r>
                            <w:t>Insurance</w:t>
                          </w:r>
                          <w:r>
                            <w:rPr>
                              <w:spacing w:val="-4"/>
                            </w:rPr>
                            <w:t xml:space="preserve"> </w:t>
                          </w:r>
                          <w:r>
                            <w:t>and</w:t>
                          </w:r>
                          <w:r>
                            <w:rPr>
                              <w:spacing w:val="-3"/>
                            </w:rPr>
                            <w:t xml:space="preserve"> </w:t>
                          </w:r>
                          <w:r>
                            <w:t>the</w:t>
                          </w:r>
                          <w:r>
                            <w:rPr>
                              <w:spacing w:val="-3"/>
                            </w:rPr>
                            <w:t xml:space="preserve"> </w:t>
                          </w:r>
                          <w:r>
                            <w:t>Statement</w:t>
                          </w:r>
                          <w:r>
                            <w:rPr>
                              <w:spacing w:val="-3"/>
                            </w:rPr>
                            <w:t xml:space="preserve"> </w:t>
                          </w:r>
                          <w:r>
                            <w:t>of</w:t>
                          </w:r>
                          <w:r>
                            <w:rPr>
                              <w:spacing w:val="-3"/>
                            </w:rPr>
                            <w:t xml:space="preserve"> </w:t>
                          </w:r>
                          <w:r>
                            <w:t>Changes</w:t>
                          </w:r>
                          <w:r>
                            <w:rPr>
                              <w:spacing w:val="-3"/>
                            </w:rPr>
                            <w:t xml:space="preserve"> </w:t>
                          </w:r>
                          <w:r>
                            <w:t>in</w:t>
                          </w:r>
                          <w:r>
                            <w:rPr>
                              <w:spacing w:val="-3"/>
                            </w:rPr>
                            <w:t xml:space="preserve"> </w:t>
                          </w:r>
                          <w:r>
                            <w:t>Social Insurance Amounts</w:t>
                          </w:r>
                        </w:p>
                      </w:txbxContent>
                    </wps:txbx>
                    <wps:bodyPr wrap="square" lIns="0" tIns="0" rIns="0" bIns="0" rtlCol="0">
                      <a:noAutofit/>
                    </wps:bodyPr>
                  </wps:wsp>
                </a:graphicData>
              </a:graphic>
            </wp:anchor>
          </w:drawing>
        </mc:Choice>
        <mc:Fallback>
          <w:pict>
            <v:shapetype w14:anchorId="24D6310A" id="_x0000_t202" coordsize="21600,21600" o:spt="202" path="m,l,21600r21600,l21600,xe">
              <v:stroke joinstyle="miter"/>
              <v:path gradientshapeok="t" o:connecttype="rect"/>
            </v:shapetype>
            <v:shape id="Textbox 876" o:spid="_x0000_s1278" type="#_x0000_t202" style="position:absolute;margin-left:71pt;margin-top:38.6pt;width:437.45pt;height:39.6pt;z-index:-278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" filled="f" stroked="f">
              <v:textbox inset="0,0,0,0">
                <w:txbxContent>
                  <w:p w14:paraId="24D63336" w14:textId="77777777" w:rsidR="00245300" w:rsidRDefault="00F17249">
                    <w:pPr>
                      <w:pStyle w:val="BodyText"/>
                      <w:spacing w:before="12"/>
                      <w:ind w:left="20"/>
                    </w:pPr>
                    <w:r>
                      <w:t>Substantive</w:t>
                    </w:r>
                    <w:r>
                      <w:rPr>
                        <w:spacing w:val="-15"/>
                      </w:rPr>
                      <w:t xml:space="preserve"> </w:t>
                    </w:r>
                    <w:r>
                      <w:t>Procedures</w:t>
                    </w:r>
                    <w:r>
                      <w:rPr>
                        <w:spacing w:val="-15"/>
                      </w:rPr>
                      <w:t xml:space="preserve"> </w:t>
                    </w:r>
                    <w:r>
                      <w:t>Implementation</w:t>
                    </w:r>
                    <w:r>
                      <w:rPr>
                        <w:spacing w:val="-13"/>
                      </w:rPr>
                      <w:t xml:space="preserve"> </w:t>
                    </w:r>
                    <w:r>
                      <w:rPr>
                        <w:spacing w:val="-2"/>
                      </w:rPr>
                      <w:t>Guidance</w:t>
                    </w:r>
                  </w:p>
                  <w:p w14:paraId="24D63337" w14:textId="77777777" w:rsidR="00245300" w:rsidRDefault="00F17249">
                    <w:pPr>
                      <w:pStyle w:val="BodyText"/>
                      <w:ind w:left="20"/>
                    </w:pPr>
                    <w:r>
                      <w:t>941</w:t>
                    </w:r>
                    <w:r>
                      <w:rPr>
                        <w:spacing w:val="-3"/>
                      </w:rPr>
                      <w:t xml:space="preserve"> </w:t>
                    </w:r>
                    <w:r>
                      <w:t>–</w:t>
                    </w:r>
                    <w:r>
                      <w:rPr>
                        <w:spacing w:val="-3"/>
                      </w:rPr>
                      <w:t xml:space="preserve"> </w:t>
                    </w:r>
                    <w:r>
                      <w:t>Auditing</w:t>
                    </w:r>
                    <w:r>
                      <w:rPr>
                        <w:spacing w:val="-3"/>
                      </w:rPr>
                      <w:t xml:space="preserve"> </w:t>
                    </w:r>
                    <w:r>
                      <w:t>the</w:t>
                    </w:r>
                    <w:r>
                      <w:rPr>
                        <w:spacing w:val="-3"/>
                      </w:rPr>
                      <w:t xml:space="preserve"> </w:t>
                    </w:r>
                    <w:r>
                      <w:t>Statement</w:t>
                    </w:r>
                    <w:r>
                      <w:rPr>
                        <w:spacing w:val="-3"/>
                      </w:rPr>
                      <w:t xml:space="preserve"> </w:t>
                    </w:r>
                    <w:r>
                      <w:t>of</w:t>
                    </w:r>
                    <w:r>
                      <w:rPr>
                        <w:spacing w:val="-3"/>
                      </w:rPr>
                      <w:t xml:space="preserve"> </w:t>
                    </w:r>
                    <w:r>
                      <w:t>Social</w:t>
                    </w:r>
                    <w:r>
                      <w:rPr>
                        <w:spacing w:val="-3"/>
                      </w:rPr>
                      <w:t xml:space="preserve"> </w:t>
                    </w:r>
                    <w:r>
                      <w:t>Insurance</w:t>
                    </w:r>
                    <w:r>
                      <w:rPr>
                        <w:spacing w:val="-4"/>
                      </w:rPr>
                      <w:t xml:space="preserve"> </w:t>
                    </w:r>
                    <w:r>
                      <w:t>and</w:t>
                    </w:r>
                    <w:r>
                      <w:rPr>
                        <w:spacing w:val="-3"/>
                      </w:rPr>
                      <w:t xml:space="preserve"> </w:t>
                    </w:r>
                    <w:r>
                      <w:t>the</w:t>
                    </w:r>
                    <w:r>
                      <w:rPr>
                        <w:spacing w:val="-3"/>
                      </w:rPr>
                      <w:t xml:space="preserve"> </w:t>
                    </w:r>
                    <w:r>
                      <w:t>Statement</w:t>
                    </w:r>
                    <w:r>
                      <w:rPr>
                        <w:spacing w:val="-3"/>
                      </w:rPr>
                      <w:t xml:space="preserve"> </w:t>
                    </w:r>
                    <w:r>
                      <w:t>of</w:t>
                    </w:r>
                    <w:r>
                      <w:rPr>
                        <w:spacing w:val="-3"/>
                      </w:rPr>
                      <w:t xml:space="preserve"> </w:t>
                    </w:r>
                    <w:r>
                      <w:t>Changes</w:t>
                    </w:r>
                    <w:r>
                      <w:rPr>
                        <w:spacing w:val="-3"/>
                      </w:rPr>
                      <w:t xml:space="preserve"> </w:t>
                    </w:r>
                    <w:r>
                      <w:t>in</w:t>
                    </w:r>
                    <w:r>
                      <w:rPr>
                        <w:spacing w:val="-3"/>
                      </w:rPr>
                      <w:t xml:space="preserve"> </w:t>
                    </w:r>
                    <w:r>
                      <w:t>Social Insurance Amounts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0E" w14:textId="77777777" w:rsidR="00245300" w:rsidRDefault="00F17249">
    <w:pPr>
      <w:pStyle w:val="BodyText"/>
      <w:spacing w:line="14" w:lineRule="auto"/>
      <w:rPr>
        <w:sz w:val="20"/>
      </w:rPr>
    </w:pPr>
    <w:r>
      <w:rPr>
        <w:noProof/>
      </w:rPr>
      <mc:AlternateContent>
        <mc:Choice Requires="wps">
          <w:drawing>
            <wp:anchor distT="0" distB="0" distL="0" distR="0" simplePos="0" relativeHeight="475255808" behindDoc="1" locked="0" layoutInCell="1" allowOverlap="1" wp14:anchorId="24D62DE4" wp14:editId="24D62DE5">
              <wp:simplePos x="0" y="0"/>
              <wp:positionH relativeFrom="page">
                <wp:posOffset>895350</wp:posOffset>
              </wp:positionH>
              <wp:positionV relativeFrom="page">
                <wp:posOffset>457962</wp:posOffset>
              </wp:positionV>
              <wp:extent cx="5981700" cy="2857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03E63" id="Graphic 66" o:spid="_x0000_s1026" style="position:absolute;margin-left:70.5pt;margin-top:36.05pt;width:471pt;height:2.25pt;z-index:-280606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6320" behindDoc="1" locked="0" layoutInCell="1" allowOverlap="1" wp14:anchorId="24D62DE6" wp14:editId="24D62DE7">
              <wp:simplePos x="0" y="0"/>
              <wp:positionH relativeFrom="page">
                <wp:posOffset>895350</wp:posOffset>
              </wp:positionH>
              <wp:positionV relativeFrom="page">
                <wp:posOffset>832103</wp:posOffset>
              </wp:positionV>
              <wp:extent cx="5981700" cy="2857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6BFBD" id="Graphic 67" o:spid="_x0000_s1026" style="position:absolute;margin-left:70.5pt;margin-top:65.5pt;width:471pt;height:2.25pt;z-index:-280601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6832" behindDoc="1" locked="0" layoutInCell="1" allowOverlap="1" wp14:anchorId="24D62DE8" wp14:editId="24D62DE9">
              <wp:simplePos x="0" y="0"/>
              <wp:positionH relativeFrom="page">
                <wp:posOffset>901700</wp:posOffset>
              </wp:positionH>
              <wp:positionV relativeFrom="page">
                <wp:posOffset>490475</wp:posOffset>
              </wp:positionV>
              <wp:extent cx="5049520" cy="3422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9520" cy="342265"/>
                      </a:xfrm>
                      <a:prstGeom prst="rect">
                        <a:avLst/>
                      </a:prstGeom>
                    </wps:spPr>
                    <wps:txbx>
                      <w:txbxContent>
                        <w:p w14:paraId="24D63219"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1A" w14:textId="77777777" w:rsidR="00245300" w:rsidRDefault="00F17249">
                          <w:pPr>
                            <w:pStyle w:val="BodyText"/>
                            <w:ind w:left="20"/>
                          </w:pPr>
                          <w:r>
                            <w:t>615</w:t>
                          </w:r>
                          <w:r>
                            <w:rPr>
                              <w:spacing w:val="-7"/>
                            </w:rPr>
                            <w:t xml:space="preserve"> </w:t>
                          </w:r>
                          <w:r>
                            <w:t>–</w:t>
                          </w:r>
                          <w:r>
                            <w:rPr>
                              <w:spacing w:val="-6"/>
                            </w:rPr>
                            <w:t xml:space="preserve"> </w:t>
                          </w:r>
                          <w:r>
                            <w:t>Evaluating</w:t>
                          </w:r>
                          <w:r>
                            <w:rPr>
                              <w:spacing w:val="-6"/>
                            </w:rPr>
                            <w:t xml:space="preserve"> </w:t>
                          </w:r>
                          <w:r>
                            <w:t>the</w:t>
                          </w:r>
                          <w:r>
                            <w:rPr>
                              <w:spacing w:val="-7"/>
                            </w:rPr>
                            <w:t xml:space="preserve"> </w:t>
                          </w:r>
                          <w:r>
                            <w:t>Objectivity</w:t>
                          </w:r>
                          <w:r>
                            <w:rPr>
                              <w:spacing w:val="-6"/>
                            </w:rPr>
                            <w:t xml:space="preserve"> </w:t>
                          </w:r>
                          <w:r>
                            <w:t>and</w:t>
                          </w:r>
                          <w:r>
                            <w:rPr>
                              <w:spacing w:val="-7"/>
                            </w:rPr>
                            <w:t xml:space="preserve"> </w:t>
                          </w:r>
                          <w:r>
                            <w:t>Competence</w:t>
                          </w:r>
                          <w:r>
                            <w:rPr>
                              <w:spacing w:val="-6"/>
                            </w:rPr>
                            <w:t xml:space="preserve"> </w:t>
                          </w:r>
                          <w:r>
                            <w:t>of</w:t>
                          </w:r>
                          <w:r>
                            <w:rPr>
                              <w:spacing w:val="-7"/>
                            </w:rPr>
                            <w:t xml:space="preserve"> </w:t>
                          </w:r>
                          <w:r>
                            <w:t>Other</w:t>
                          </w:r>
                          <w:r>
                            <w:rPr>
                              <w:spacing w:val="-6"/>
                            </w:rPr>
                            <w:t xml:space="preserve"> </w:t>
                          </w:r>
                          <w:r>
                            <w:t>Auditors</w:t>
                          </w:r>
                          <w:r>
                            <w:rPr>
                              <w:spacing w:val="-6"/>
                            </w:rPr>
                            <w:t xml:space="preserve"> </w:t>
                          </w:r>
                          <w:r>
                            <w:t>or</w:t>
                          </w:r>
                          <w:r>
                            <w:rPr>
                              <w:spacing w:val="-6"/>
                            </w:rPr>
                            <w:t xml:space="preserve"> </w:t>
                          </w:r>
                          <w:r>
                            <w:rPr>
                              <w:spacing w:val="-2"/>
                            </w:rPr>
                            <w:t>Specialists</w:t>
                          </w:r>
                        </w:p>
                      </w:txbxContent>
                    </wps:txbx>
                    <wps:bodyPr wrap="square" lIns="0" tIns="0" rIns="0" bIns="0" rtlCol="0">
                      <a:noAutofit/>
                    </wps:bodyPr>
                  </wps:wsp>
                </a:graphicData>
              </a:graphic>
            </wp:anchor>
          </w:drawing>
        </mc:Choice>
        <mc:Fallback>
          <w:pict>
            <v:shapetype w14:anchorId="24D62DE8" id="_x0000_t202" coordsize="21600,21600" o:spt="202" path="m,l,21600r21600,l21600,xe">
              <v:stroke joinstyle="miter"/>
              <v:path gradientshapeok="t" o:connecttype="rect"/>
            </v:shapetype>
            <v:shape id="Textbox 68" o:spid="_x0000_s1044" type="#_x0000_t202" style="position:absolute;margin-left:71pt;margin-top:38.6pt;width:397.6pt;height:26.95pt;z-index:-280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" filled="f" stroked="f">
              <v:textbox inset="0,0,0,0">
                <w:txbxContent>
                  <w:p w14:paraId="24D63219"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1A" w14:textId="77777777" w:rsidR="00245300" w:rsidRDefault="00F17249">
                    <w:pPr>
                      <w:pStyle w:val="BodyText"/>
                      <w:ind w:left="20"/>
                    </w:pPr>
                    <w:r>
                      <w:t>615</w:t>
                    </w:r>
                    <w:r>
                      <w:rPr>
                        <w:spacing w:val="-7"/>
                      </w:rPr>
                      <w:t xml:space="preserve"> </w:t>
                    </w:r>
                    <w:r>
                      <w:t>–</w:t>
                    </w:r>
                    <w:r>
                      <w:rPr>
                        <w:spacing w:val="-6"/>
                      </w:rPr>
                      <w:t xml:space="preserve"> </w:t>
                    </w:r>
                    <w:r>
                      <w:t>Evaluating</w:t>
                    </w:r>
                    <w:r>
                      <w:rPr>
                        <w:spacing w:val="-6"/>
                      </w:rPr>
                      <w:t xml:space="preserve"> </w:t>
                    </w:r>
                    <w:r>
                      <w:t>the</w:t>
                    </w:r>
                    <w:r>
                      <w:rPr>
                        <w:spacing w:val="-7"/>
                      </w:rPr>
                      <w:t xml:space="preserve"> </w:t>
                    </w:r>
                    <w:r>
                      <w:t>Objectivity</w:t>
                    </w:r>
                    <w:r>
                      <w:rPr>
                        <w:spacing w:val="-6"/>
                      </w:rPr>
                      <w:t xml:space="preserve"> </w:t>
                    </w:r>
                    <w:r>
                      <w:t>and</w:t>
                    </w:r>
                    <w:r>
                      <w:rPr>
                        <w:spacing w:val="-7"/>
                      </w:rPr>
                      <w:t xml:space="preserve"> </w:t>
                    </w:r>
                    <w:r>
                      <w:t>Competence</w:t>
                    </w:r>
                    <w:r>
                      <w:rPr>
                        <w:spacing w:val="-6"/>
                      </w:rPr>
                      <w:t xml:space="preserve"> </w:t>
                    </w:r>
                    <w:r>
                      <w:t>of</w:t>
                    </w:r>
                    <w:r>
                      <w:rPr>
                        <w:spacing w:val="-7"/>
                      </w:rPr>
                      <w:t xml:space="preserve"> </w:t>
                    </w:r>
                    <w:r>
                      <w:t>Other</w:t>
                    </w:r>
                    <w:r>
                      <w:rPr>
                        <w:spacing w:val="-6"/>
                      </w:rPr>
                      <w:t xml:space="preserve"> </w:t>
                    </w:r>
                    <w:r>
                      <w:t>Auditors</w:t>
                    </w:r>
                    <w:r>
                      <w:rPr>
                        <w:spacing w:val="-6"/>
                      </w:rPr>
                      <w:t xml:space="preserve"> </w:t>
                    </w:r>
                    <w:r>
                      <w:t>or</w:t>
                    </w:r>
                    <w:r>
                      <w:rPr>
                        <w:spacing w:val="-6"/>
                      </w:rPr>
                      <w:t xml:space="preserve"> </w:t>
                    </w:r>
                    <w:r>
                      <w:rPr>
                        <w:spacing w:val="-2"/>
                      </w:rPr>
                      <w:t>Specialists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C" w14:textId="77777777" w:rsidR="00245300" w:rsidRDefault="00245300">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8E" w14:textId="77777777" w:rsidR="00245300" w:rsidRDefault="00F17249">
    <w:pPr>
      <w:pStyle w:val="BodyText"/>
      <w:spacing w:line="14" w:lineRule="auto"/>
      <w:rPr>
        <w:sz w:val="20"/>
      </w:rPr>
    </w:pPr>
    <w:r>
      <w:rPr>
        <w:noProof/>
      </w:rPr>
      <mc:AlternateContent>
        <mc:Choice Requires="wps">
          <w:drawing>
            <wp:anchor distT="0" distB="0" distL="0" distR="0" simplePos="0" relativeHeight="475464704" behindDoc="1" locked="0" layoutInCell="1" allowOverlap="1" wp14:anchorId="24D63114" wp14:editId="24D63115">
              <wp:simplePos x="0" y="0"/>
              <wp:positionH relativeFrom="page">
                <wp:posOffset>895350</wp:posOffset>
              </wp:positionH>
              <wp:positionV relativeFrom="page">
                <wp:posOffset>457962</wp:posOffset>
              </wp:positionV>
              <wp:extent cx="5981700" cy="28575"/>
              <wp:effectExtent l="0" t="0" r="0" b="0"/>
              <wp:wrapNone/>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97E10" id="Graphic 893" o:spid="_x0000_s1026" style="position:absolute;margin-left:70.5pt;margin-top:36.05pt;width:471pt;height:2.25pt;z-index:-278517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5216" behindDoc="1" locked="0" layoutInCell="1" allowOverlap="1" wp14:anchorId="24D63116" wp14:editId="24D63117">
              <wp:simplePos x="0" y="0"/>
              <wp:positionH relativeFrom="page">
                <wp:posOffset>895350</wp:posOffset>
              </wp:positionH>
              <wp:positionV relativeFrom="page">
                <wp:posOffset>832103</wp:posOffset>
              </wp:positionV>
              <wp:extent cx="5981700" cy="2857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24A1D1" id="Graphic 894" o:spid="_x0000_s1026" style="position:absolute;margin-left:70.5pt;margin-top:65.5pt;width:471pt;height:2.25pt;z-index:-278512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5728" behindDoc="1" locked="0" layoutInCell="1" allowOverlap="1" wp14:anchorId="24D63118" wp14:editId="24D63119">
              <wp:simplePos x="0" y="0"/>
              <wp:positionH relativeFrom="page">
                <wp:posOffset>901700</wp:posOffset>
              </wp:positionH>
              <wp:positionV relativeFrom="page">
                <wp:posOffset>490475</wp:posOffset>
              </wp:positionV>
              <wp:extent cx="3482340" cy="342265"/>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2340" cy="342265"/>
                      </a:xfrm>
                      <a:prstGeom prst="rect">
                        <a:avLst/>
                      </a:prstGeom>
                    </wps:spPr>
                    <wps:txbx>
                      <w:txbxContent>
                        <w:p w14:paraId="24D6333B"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3C" w14:textId="77777777" w:rsidR="00245300" w:rsidRDefault="00F17249">
                          <w:pPr>
                            <w:pStyle w:val="BodyText"/>
                            <w:ind w:left="20"/>
                          </w:pPr>
                          <w:r>
                            <w:t>1000</w:t>
                          </w:r>
                          <w:r>
                            <w:rPr>
                              <w:spacing w:val="-8"/>
                            </w:rPr>
                            <w:t xml:space="preserve"> </w:t>
                          </w:r>
                          <w:r>
                            <w:t>–</w:t>
                          </w:r>
                          <w:r>
                            <w:rPr>
                              <w:spacing w:val="-8"/>
                            </w:rPr>
                            <w:t xml:space="preserve"> </w:t>
                          </w:r>
                          <w:r>
                            <w:t>Contents</w:t>
                          </w:r>
                          <w:r>
                            <w:rPr>
                              <w:spacing w:val="-7"/>
                            </w:rPr>
                            <w:t xml:space="preserve"> </w:t>
                          </w:r>
                          <w:r>
                            <w:t>of</w:t>
                          </w:r>
                          <w:r>
                            <w:rPr>
                              <w:spacing w:val="-8"/>
                            </w:rPr>
                            <w:t xml:space="preserve"> </w:t>
                          </w:r>
                          <w:r>
                            <w:t>Reporting</w:t>
                          </w:r>
                          <w:r>
                            <w:rPr>
                              <w:spacing w:val="-7"/>
                            </w:rPr>
                            <w:t xml:space="preserve"> </w:t>
                          </w:r>
                          <w:r>
                            <w:t>Implementation</w:t>
                          </w:r>
                          <w:r>
                            <w:rPr>
                              <w:spacing w:val="-8"/>
                            </w:rPr>
                            <w:t xml:space="preserve"> </w:t>
                          </w:r>
                          <w:r>
                            <w:rPr>
                              <w:spacing w:val="-2"/>
                            </w:rPr>
                            <w:t>Guidance</w:t>
                          </w:r>
                        </w:p>
                      </w:txbxContent>
                    </wps:txbx>
                    <wps:bodyPr wrap="square" lIns="0" tIns="0" rIns="0" bIns="0" rtlCol="0">
                      <a:noAutofit/>
                    </wps:bodyPr>
                  </wps:wsp>
                </a:graphicData>
              </a:graphic>
            </wp:anchor>
          </w:drawing>
        </mc:Choice>
        <mc:Fallback>
          <w:pict>
            <v:shapetype w14:anchorId="24D63118" id="_x0000_t202" coordsize="21600,21600" o:spt="202" path="m,l,21600r21600,l21600,xe">
              <v:stroke joinstyle="miter"/>
              <v:path gradientshapeok="t" o:connecttype="rect"/>
            </v:shapetype>
            <v:shape id="Textbox 895" o:spid="_x0000_s1282" type="#_x0000_t202" style="position:absolute;margin-left:71pt;margin-top:38.6pt;width:274.2pt;height:26.95pt;z-index:-278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" filled="f" stroked="f">
              <v:textbox inset="0,0,0,0">
                <w:txbxContent>
                  <w:p w14:paraId="24D6333B"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3C" w14:textId="77777777" w:rsidR="00245300" w:rsidRDefault="00F17249">
                    <w:pPr>
                      <w:pStyle w:val="BodyText"/>
                      <w:ind w:left="20"/>
                    </w:pPr>
                    <w:r>
                      <w:t>1000</w:t>
                    </w:r>
                    <w:r>
                      <w:rPr>
                        <w:spacing w:val="-8"/>
                      </w:rPr>
                      <w:t xml:space="preserve"> </w:t>
                    </w:r>
                    <w:r>
                      <w:t>–</w:t>
                    </w:r>
                    <w:r>
                      <w:rPr>
                        <w:spacing w:val="-8"/>
                      </w:rPr>
                      <w:t xml:space="preserve"> </w:t>
                    </w:r>
                    <w:r>
                      <w:t>Contents</w:t>
                    </w:r>
                    <w:r>
                      <w:rPr>
                        <w:spacing w:val="-7"/>
                      </w:rPr>
                      <w:t xml:space="preserve"> </w:t>
                    </w:r>
                    <w:r>
                      <w:t>of</w:t>
                    </w:r>
                    <w:r>
                      <w:rPr>
                        <w:spacing w:val="-8"/>
                      </w:rPr>
                      <w:t xml:space="preserve"> </w:t>
                    </w:r>
                    <w:r>
                      <w:t>Reporting</w:t>
                    </w:r>
                    <w:r>
                      <w:rPr>
                        <w:spacing w:val="-7"/>
                      </w:rPr>
                      <w:t xml:space="preserve"> </w:t>
                    </w:r>
                    <w:r>
                      <w:t>Implementation</w:t>
                    </w:r>
                    <w:r>
                      <w:rPr>
                        <w:spacing w:val="-8"/>
                      </w:rPr>
                      <w:t xml:space="preserve"> </w:t>
                    </w:r>
                    <w:r>
                      <w:rPr>
                        <w:spacing w:val="-2"/>
                      </w:rPr>
                      <w:t>Guidance</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0" w14:textId="77777777" w:rsidR="00245300" w:rsidRDefault="00F17249">
    <w:pPr>
      <w:pStyle w:val="BodyText"/>
      <w:spacing w:line="14" w:lineRule="auto"/>
      <w:rPr>
        <w:sz w:val="20"/>
      </w:rPr>
    </w:pPr>
    <w:r>
      <w:rPr>
        <w:noProof/>
      </w:rPr>
      <mc:AlternateContent>
        <mc:Choice Requires="wps">
          <w:drawing>
            <wp:anchor distT="0" distB="0" distL="0" distR="0" simplePos="0" relativeHeight="475468288" behindDoc="1" locked="0" layoutInCell="1" allowOverlap="1" wp14:anchorId="24D63122" wp14:editId="24D63123">
              <wp:simplePos x="0" y="0"/>
              <wp:positionH relativeFrom="page">
                <wp:posOffset>895350</wp:posOffset>
              </wp:positionH>
              <wp:positionV relativeFrom="page">
                <wp:posOffset>457962</wp:posOffset>
              </wp:positionV>
              <wp:extent cx="5981700" cy="28575"/>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CDC6F0" id="Graphic 900" o:spid="_x0000_s1026" style="position:absolute;margin-left:70.5pt;margin-top:36.05pt;width:471pt;height:2.25pt;z-index:-278481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8800" behindDoc="1" locked="0" layoutInCell="1" allowOverlap="1" wp14:anchorId="24D63124" wp14:editId="24D63125">
              <wp:simplePos x="0" y="0"/>
              <wp:positionH relativeFrom="page">
                <wp:posOffset>895350</wp:posOffset>
              </wp:positionH>
              <wp:positionV relativeFrom="page">
                <wp:posOffset>832103</wp:posOffset>
              </wp:positionV>
              <wp:extent cx="5981700" cy="28575"/>
              <wp:effectExtent l="0" t="0" r="0" b="0"/>
              <wp:wrapNone/>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812CA" id="Graphic 901" o:spid="_x0000_s1026" style="position:absolute;margin-left:70.5pt;margin-top:65.5pt;width:471pt;height:2.25pt;z-index:-278476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69312" behindDoc="1" locked="0" layoutInCell="1" allowOverlap="1" wp14:anchorId="24D63126" wp14:editId="24D63127">
              <wp:simplePos x="0" y="0"/>
              <wp:positionH relativeFrom="page">
                <wp:posOffset>901700</wp:posOffset>
              </wp:positionH>
              <wp:positionV relativeFrom="page">
                <wp:posOffset>490475</wp:posOffset>
              </wp:positionV>
              <wp:extent cx="2362835" cy="342265"/>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342265"/>
                      </a:xfrm>
                      <a:prstGeom prst="rect">
                        <a:avLst/>
                      </a:prstGeom>
                    </wps:spPr>
                    <wps:txbx>
                      <w:txbxContent>
                        <w:p w14:paraId="24D63340" w14:textId="77777777" w:rsidR="00245300" w:rsidRDefault="00F17249">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wps:txbx>
                    <wps:bodyPr wrap="square" lIns="0" tIns="0" rIns="0" bIns="0" rtlCol="0">
                      <a:noAutofit/>
                    </wps:bodyPr>
                  </wps:wsp>
                </a:graphicData>
              </a:graphic>
            </wp:anchor>
          </w:drawing>
        </mc:Choice>
        <mc:Fallback>
          <w:pict>
            <v:shapetype w14:anchorId="24D63126" id="_x0000_t202" coordsize="21600,21600" o:spt="202" path="m,l,21600r21600,l21600,xe">
              <v:stroke joinstyle="miter"/>
              <v:path gradientshapeok="t" o:connecttype="rect"/>
            </v:shapetype>
            <v:shape id="Textbox 902" o:spid="_x0000_s1286" type="#_x0000_t202" style="position:absolute;margin-left:71pt;margin-top:38.6pt;width:186.05pt;height:26.95pt;z-index:-278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" filled="f" stroked="f">
              <v:textbox inset="0,0,0,0">
                <w:txbxContent>
                  <w:p w14:paraId="24D63340" w14:textId="77777777" w:rsidR="00245300" w:rsidRDefault="00F17249">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2" w14:textId="77777777" w:rsidR="00245300" w:rsidRDefault="00F17249">
    <w:pPr>
      <w:pStyle w:val="BodyText"/>
      <w:spacing w:line="14" w:lineRule="auto"/>
      <w:rPr>
        <w:sz w:val="20"/>
      </w:rPr>
    </w:pPr>
    <w:r>
      <w:rPr>
        <w:noProof/>
      </w:rPr>
      <mc:AlternateContent>
        <mc:Choice Requires="wps">
          <w:drawing>
            <wp:anchor distT="0" distB="0" distL="0" distR="0" simplePos="0" relativeHeight="475471872" behindDoc="1" locked="0" layoutInCell="1" allowOverlap="1" wp14:anchorId="24D63130" wp14:editId="24D63131">
              <wp:simplePos x="0" y="0"/>
              <wp:positionH relativeFrom="page">
                <wp:posOffset>895350</wp:posOffset>
              </wp:positionH>
              <wp:positionV relativeFrom="page">
                <wp:posOffset>457962</wp:posOffset>
              </wp:positionV>
              <wp:extent cx="5981700" cy="28575"/>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B0D104" id="Graphic 907" o:spid="_x0000_s1026" style="position:absolute;margin-left:70.5pt;margin-top:36.05pt;width:471pt;height:2.25pt;z-index:-278446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2384" behindDoc="1" locked="0" layoutInCell="1" allowOverlap="1" wp14:anchorId="24D63132" wp14:editId="24D63133">
              <wp:simplePos x="0" y="0"/>
              <wp:positionH relativeFrom="page">
                <wp:posOffset>895350</wp:posOffset>
              </wp:positionH>
              <wp:positionV relativeFrom="page">
                <wp:posOffset>832103</wp:posOffset>
              </wp:positionV>
              <wp:extent cx="5981700" cy="28575"/>
              <wp:effectExtent l="0" t="0" r="0" b="0"/>
              <wp:wrapNone/>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B0BF20" id="Graphic 908" o:spid="_x0000_s1026" style="position:absolute;margin-left:70.5pt;margin-top:65.5pt;width:471pt;height:2.25pt;z-index:-278440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2896" behindDoc="1" locked="0" layoutInCell="1" allowOverlap="1" wp14:anchorId="24D63134" wp14:editId="24D63135">
              <wp:simplePos x="0" y="0"/>
              <wp:positionH relativeFrom="page">
                <wp:posOffset>901700</wp:posOffset>
              </wp:positionH>
              <wp:positionV relativeFrom="page">
                <wp:posOffset>490475</wp:posOffset>
              </wp:positionV>
              <wp:extent cx="2362835" cy="342265"/>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342265"/>
                      </a:xfrm>
                      <a:prstGeom prst="rect">
                        <a:avLst/>
                      </a:prstGeom>
                    </wps:spPr>
                    <wps:txbx>
                      <w:txbxContent>
                        <w:p w14:paraId="24D63344" w14:textId="77777777" w:rsidR="00245300" w:rsidRDefault="00F17249">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wps:txbx>
                    <wps:bodyPr wrap="square" lIns="0" tIns="0" rIns="0" bIns="0" rtlCol="0">
                      <a:noAutofit/>
                    </wps:bodyPr>
                  </wps:wsp>
                </a:graphicData>
              </a:graphic>
            </wp:anchor>
          </w:drawing>
        </mc:Choice>
        <mc:Fallback>
          <w:pict>
            <v:shapetype w14:anchorId="24D63134" id="_x0000_t202" coordsize="21600,21600" o:spt="202" path="m,l,21600r21600,l21600,xe">
              <v:stroke joinstyle="miter"/>
              <v:path gradientshapeok="t" o:connecttype="rect"/>
            </v:shapetype>
            <v:shape id="Textbox 909" o:spid="_x0000_s1290" type="#_x0000_t202" style="position:absolute;margin-left:71pt;margin-top:38.6pt;width:186.05pt;height:26.95pt;z-index:-278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" filled="f" stroked="f">
              <v:textbox inset="0,0,0,0">
                <w:txbxContent>
                  <w:p w14:paraId="24D63344" w14:textId="77777777" w:rsidR="00245300" w:rsidRDefault="00F17249">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4" w14:textId="77777777" w:rsidR="00245300" w:rsidRDefault="00F17249">
    <w:pPr>
      <w:pStyle w:val="BodyText"/>
      <w:spacing w:line="14" w:lineRule="auto"/>
      <w:rPr>
        <w:sz w:val="20"/>
      </w:rPr>
    </w:pPr>
    <w:r>
      <w:rPr>
        <w:noProof/>
      </w:rPr>
      <mc:AlternateContent>
        <mc:Choice Requires="wps">
          <w:drawing>
            <wp:anchor distT="0" distB="0" distL="0" distR="0" simplePos="0" relativeHeight="475475456" behindDoc="1" locked="0" layoutInCell="1" allowOverlap="1" wp14:anchorId="24D6313E" wp14:editId="24D6313F">
              <wp:simplePos x="0" y="0"/>
              <wp:positionH relativeFrom="page">
                <wp:posOffset>895350</wp:posOffset>
              </wp:positionH>
              <wp:positionV relativeFrom="page">
                <wp:posOffset>457962</wp:posOffset>
              </wp:positionV>
              <wp:extent cx="5981700" cy="28575"/>
              <wp:effectExtent l="0" t="0" r="0" b="0"/>
              <wp:wrapNone/>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1A6B6" id="Graphic 914" o:spid="_x0000_s1026" style="position:absolute;margin-left:70.5pt;margin-top:36.05pt;width:471pt;height:2.25pt;z-index:-278410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5968" behindDoc="1" locked="0" layoutInCell="1" allowOverlap="1" wp14:anchorId="24D63140" wp14:editId="24D63141">
              <wp:simplePos x="0" y="0"/>
              <wp:positionH relativeFrom="page">
                <wp:posOffset>895350</wp:posOffset>
              </wp:positionH>
              <wp:positionV relativeFrom="page">
                <wp:posOffset>832103</wp:posOffset>
              </wp:positionV>
              <wp:extent cx="5981700" cy="28575"/>
              <wp:effectExtent l="0" t="0" r="0" b="0"/>
              <wp:wrapNone/>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702EF5" id="Graphic 915" o:spid="_x0000_s1026" style="position:absolute;margin-left:70.5pt;margin-top:65.5pt;width:471pt;height:2.25pt;z-index:-278405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6480" behindDoc="1" locked="0" layoutInCell="1" allowOverlap="1" wp14:anchorId="24D63142" wp14:editId="24D63143">
              <wp:simplePos x="0" y="0"/>
              <wp:positionH relativeFrom="page">
                <wp:posOffset>901700</wp:posOffset>
              </wp:positionH>
              <wp:positionV relativeFrom="page">
                <wp:posOffset>490475</wp:posOffset>
              </wp:positionV>
              <wp:extent cx="3403600" cy="342265"/>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342265"/>
                      </a:xfrm>
                      <a:prstGeom prst="rect">
                        <a:avLst/>
                      </a:prstGeom>
                    </wps:spPr>
                    <wps:txbx>
                      <w:txbxContent>
                        <w:p w14:paraId="24D63348"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49" w14:textId="77777777" w:rsidR="00245300" w:rsidRDefault="00F17249">
                          <w:pPr>
                            <w:pStyle w:val="BodyText"/>
                            <w:ind w:left="20"/>
                          </w:pPr>
                          <w:r>
                            <w:t>1001</w:t>
                          </w:r>
                          <w:r>
                            <w:rPr>
                              <w:spacing w:val="-8"/>
                            </w:rPr>
                            <w:t xml:space="preserve"> </w:t>
                          </w:r>
                          <w:r>
                            <w:t>A</w:t>
                          </w:r>
                          <w:r>
                            <w:rPr>
                              <w:spacing w:val="-7"/>
                            </w:rPr>
                            <w:t xml:space="preserve"> </w:t>
                          </w:r>
                          <w:r>
                            <w:t>–</w:t>
                          </w:r>
                          <w:r>
                            <w:rPr>
                              <w:spacing w:val="-7"/>
                            </w:rPr>
                            <w:t xml:space="preserve"> </w:t>
                          </w:r>
                          <w:r>
                            <w:t>Management</w:t>
                          </w:r>
                          <w:r>
                            <w:rPr>
                              <w:spacing w:val="-7"/>
                            </w:rPr>
                            <w:t xml:space="preserve"> </w:t>
                          </w:r>
                          <w:r>
                            <w:t>Representation</w:t>
                          </w:r>
                          <w:r>
                            <w:rPr>
                              <w:spacing w:val="-7"/>
                            </w:rPr>
                            <w:t xml:space="preserve"> </w:t>
                          </w:r>
                          <w:r>
                            <w:t>Letter</w:t>
                          </w:r>
                          <w:r>
                            <w:rPr>
                              <w:spacing w:val="-7"/>
                            </w:rPr>
                            <w:t xml:space="preserve"> </w:t>
                          </w:r>
                          <w:r>
                            <w:rPr>
                              <w:spacing w:val="-2"/>
                            </w:rPr>
                            <w:t>Example</w:t>
                          </w:r>
                        </w:p>
                      </w:txbxContent>
                    </wps:txbx>
                    <wps:bodyPr wrap="square" lIns="0" tIns="0" rIns="0" bIns="0" rtlCol="0">
                      <a:noAutofit/>
                    </wps:bodyPr>
                  </wps:wsp>
                </a:graphicData>
              </a:graphic>
            </wp:anchor>
          </w:drawing>
        </mc:Choice>
        <mc:Fallback>
          <w:pict>
            <v:shapetype w14:anchorId="24D63142" id="_x0000_t202" coordsize="21600,21600" o:spt="202" path="m,l,21600r21600,l21600,xe">
              <v:stroke joinstyle="miter"/>
              <v:path gradientshapeok="t" o:connecttype="rect"/>
            </v:shapetype>
            <v:shape id="Textbox 916" o:spid="_x0000_s1294" type="#_x0000_t202" style="position:absolute;margin-left:71pt;margin-top:38.6pt;width:268pt;height:26.95pt;z-index:-278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" filled="f" stroked="f">
              <v:textbox inset="0,0,0,0">
                <w:txbxContent>
                  <w:p w14:paraId="24D63348"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49" w14:textId="77777777" w:rsidR="00245300" w:rsidRDefault="00F17249">
                    <w:pPr>
                      <w:pStyle w:val="BodyText"/>
                      <w:ind w:left="20"/>
                    </w:pPr>
                    <w:r>
                      <w:t>1001</w:t>
                    </w:r>
                    <w:r>
                      <w:rPr>
                        <w:spacing w:val="-8"/>
                      </w:rPr>
                      <w:t xml:space="preserve"> </w:t>
                    </w:r>
                    <w:r>
                      <w:t>A</w:t>
                    </w:r>
                    <w:r>
                      <w:rPr>
                        <w:spacing w:val="-7"/>
                      </w:rPr>
                      <w:t xml:space="preserve"> </w:t>
                    </w:r>
                    <w:r>
                      <w:t>–</w:t>
                    </w:r>
                    <w:r>
                      <w:rPr>
                        <w:spacing w:val="-7"/>
                      </w:rPr>
                      <w:t xml:space="preserve"> </w:t>
                    </w:r>
                    <w:r>
                      <w:t>Management</w:t>
                    </w:r>
                    <w:r>
                      <w:rPr>
                        <w:spacing w:val="-7"/>
                      </w:rPr>
                      <w:t xml:space="preserve"> </w:t>
                    </w:r>
                    <w:r>
                      <w:t>Representation</w:t>
                    </w:r>
                    <w:r>
                      <w:rPr>
                        <w:spacing w:val="-7"/>
                      </w:rPr>
                      <w:t xml:space="preserve"> </w:t>
                    </w:r>
                    <w:r>
                      <w:t>Letter</w:t>
                    </w:r>
                    <w:r>
                      <w:rPr>
                        <w:spacing w:val="-7"/>
                      </w:rPr>
                      <w:t xml:space="preserve"> </w:t>
                    </w:r>
                    <w:r>
                      <w:rPr>
                        <w:spacing w:val="-2"/>
                      </w:rPr>
                      <w:t>Example</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6" w14:textId="77777777" w:rsidR="00245300" w:rsidRDefault="00F17249">
    <w:pPr>
      <w:pStyle w:val="BodyText"/>
      <w:spacing w:line="14" w:lineRule="auto"/>
      <w:rPr>
        <w:sz w:val="20"/>
      </w:rPr>
    </w:pPr>
    <w:r>
      <w:rPr>
        <w:noProof/>
      </w:rPr>
      <mc:AlternateContent>
        <mc:Choice Requires="wps">
          <w:drawing>
            <wp:anchor distT="0" distB="0" distL="0" distR="0" simplePos="0" relativeHeight="475479040" behindDoc="1" locked="0" layoutInCell="1" allowOverlap="1" wp14:anchorId="24D6314C" wp14:editId="24D6314D">
              <wp:simplePos x="0" y="0"/>
              <wp:positionH relativeFrom="page">
                <wp:posOffset>895350</wp:posOffset>
              </wp:positionH>
              <wp:positionV relativeFrom="page">
                <wp:posOffset>457962</wp:posOffset>
              </wp:positionV>
              <wp:extent cx="5981700" cy="28575"/>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78FBB" id="Graphic 922" o:spid="_x0000_s1026" style="position:absolute;margin-left:70.5pt;margin-top:36.05pt;width:471pt;height:2.25pt;z-index:-278374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79552" behindDoc="1" locked="0" layoutInCell="1" allowOverlap="1" wp14:anchorId="24D6314E" wp14:editId="24D6314F">
              <wp:simplePos x="0" y="0"/>
              <wp:positionH relativeFrom="page">
                <wp:posOffset>895350</wp:posOffset>
              </wp:positionH>
              <wp:positionV relativeFrom="page">
                <wp:posOffset>832103</wp:posOffset>
              </wp:positionV>
              <wp:extent cx="5981700" cy="28575"/>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11689" id="Graphic 923" o:spid="_x0000_s1026" style="position:absolute;margin-left:70.5pt;margin-top:65.5pt;width:471pt;height:2.25pt;z-index:-278369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0064" behindDoc="1" locked="0" layoutInCell="1" allowOverlap="1" wp14:anchorId="24D63150" wp14:editId="24D63151">
              <wp:simplePos x="0" y="0"/>
              <wp:positionH relativeFrom="page">
                <wp:posOffset>901700</wp:posOffset>
              </wp:positionH>
              <wp:positionV relativeFrom="page">
                <wp:posOffset>490475</wp:posOffset>
              </wp:positionV>
              <wp:extent cx="3403600" cy="342265"/>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0" cy="342265"/>
                      </a:xfrm>
                      <a:prstGeom prst="rect">
                        <a:avLst/>
                      </a:prstGeom>
                    </wps:spPr>
                    <wps:txbx>
                      <w:txbxContent>
                        <w:p w14:paraId="24D6334D"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4E" w14:textId="77777777" w:rsidR="00245300" w:rsidRDefault="00F17249">
                          <w:pPr>
                            <w:pStyle w:val="BodyText"/>
                            <w:ind w:left="20"/>
                          </w:pPr>
                          <w:r>
                            <w:t>1001</w:t>
                          </w:r>
                          <w:r>
                            <w:rPr>
                              <w:spacing w:val="-8"/>
                            </w:rPr>
                            <w:t xml:space="preserve"> </w:t>
                          </w:r>
                          <w:r>
                            <w:t>A</w:t>
                          </w:r>
                          <w:r>
                            <w:rPr>
                              <w:spacing w:val="-7"/>
                            </w:rPr>
                            <w:t xml:space="preserve"> </w:t>
                          </w:r>
                          <w:r>
                            <w:t>–</w:t>
                          </w:r>
                          <w:r>
                            <w:rPr>
                              <w:spacing w:val="-7"/>
                            </w:rPr>
                            <w:t xml:space="preserve"> </w:t>
                          </w:r>
                          <w:r>
                            <w:t>Management</w:t>
                          </w:r>
                          <w:r>
                            <w:rPr>
                              <w:spacing w:val="-7"/>
                            </w:rPr>
                            <w:t xml:space="preserve"> </w:t>
                          </w:r>
                          <w:r>
                            <w:t>Representation</w:t>
                          </w:r>
                          <w:r>
                            <w:rPr>
                              <w:spacing w:val="-7"/>
                            </w:rPr>
                            <w:t xml:space="preserve"> </w:t>
                          </w:r>
                          <w:r>
                            <w:t>Letter</w:t>
                          </w:r>
                          <w:r>
                            <w:rPr>
                              <w:spacing w:val="-7"/>
                            </w:rPr>
                            <w:t xml:space="preserve"> </w:t>
                          </w:r>
                          <w:r>
                            <w:rPr>
                              <w:spacing w:val="-2"/>
                            </w:rPr>
                            <w:t>Example</w:t>
                          </w:r>
                        </w:p>
                      </w:txbxContent>
                    </wps:txbx>
                    <wps:bodyPr wrap="square" lIns="0" tIns="0" rIns="0" bIns="0" rtlCol="0">
                      <a:noAutofit/>
                    </wps:bodyPr>
                  </wps:wsp>
                </a:graphicData>
              </a:graphic>
            </wp:anchor>
          </w:drawing>
        </mc:Choice>
        <mc:Fallback>
          <w:pict>
            <v:shapetype w14:anchorId="24D63150" id="_x0000_t202" coordsize="21600,21600" o:spt="202" path="m,l,21600r21600,l21600,xe">
              <v:stroke joinstyle="miter"/>
              <v:path gradientshapeok="t" o:connecttype="rect"/>
            </v:shapetype>
            <v:shape id="Textbox 924" o:spid="_x0000_s1298" type="#_x0000_t202" style="position:absolute;margin-left:71pt;margin-top:38.6pt;width:268pt;height:26.95pt;z-index:-278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" filled="f" stroked="f">
              <v:textbox inset="0,0,0,0">
                <w:txbxContent>
                  <w:p w14:paraId="24D6334D"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4E" w14:textId="77777777" w:rsidR="00245300" w:rsidRDefault="00F17249">
                    <w:pPr>
                      <w:pStyle w:val="BodyText"/>
                      <w:ind w:left="20"/>
                    </w:pPr>
                    <w:r>
                      <w:t>1001</w:t>
                    </w:r>
                    <w:r>
                      <w:rPr>
                        <w:spacing w:val="-8"/>
                      </w:rPr>
                      <w:t xml:space="preserve"> </w:t>
                    </w:r>
                    <w:r>
                      <w:t>A</w:t>
                    </w:r>
                    <w:r>
                      <w:rPr>
                        <w:spacing w:val="-7"/>
                      </w:rPr>
                      <w:t xml:space="preserve"> </w:t>
                    </w:r>
                    <w:r>
                      <w:t>–</w:t>
                    </w:r>
                    <w:r>
                      <w:rPr>
                        <w:spacing w:val="-7"/>
                      </w:rPr>
                      <w:t xml:space="preserve"> </w:t>
                    </w:r>
                    <w:r>
                      <w:t>Management</w:t>
                    </w:r>
                    <w:r>
                      <w:rPr>
                        <w:spacing w:val="-7"/>
                      </w:rPr>
                      <w:t xml:space="preserve"> </w:t>
                    </w:r>
                    <w:r>
                      <w:t>Representation</w:t>
                    </w:r>
                    <w:r>
                      <w:rPr>
                        <w:spacing w:val="-7"/>
                      </w:rPr>
                      <w:t xml:space="preserve"> </w:t>
                    </w:r>
                    <w:r>
                      <w:t>Letter</w:t>
                    </w:r>
                    <w:r>
                      <w:rPr>
                        <w:spacing w:val="-7"/>
                      </w:rPr>
                      <w:t xml:space="preserve"> </w:t>
                    </w:r>
                    <w:r>
                      <w:rPr>
                        <w:spacing w:val="-2"/>
                      </w:rPr>
                      <w:t>Example</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8" w14:textId="77777777" w:rsidR="00245300" w:rsidRDefault="00F17249">
    <w:pPr>
      <w:pStyle w:val="BodyText"/>
      <w:spacing w:line="14" w:lineRule="auto"/>
      <w:rPr>
        <w:sz w:val="20"/>
      </w:rPr>
    </w:pPr>
    <w:r>
      <w:rPr>
        <w:noProof/>
      </w:rPr>
      <mc:AlternateContent>
        <mc:Choice Requires="wps">
          <w:drawing>
            <wp:anchor distT="0" distB="0" distL="0" distR="0" simplePos="0" relativeHeight="475482624" behindDoc="1" locked="0" layoutInCell="1" allowOverlap="1" wp14:anchorId="24D6315A" wp14:editId="24D6315B">
              <wp:simplePos x="0" y="0"/>
              <wp:positionH relativeFrom="page">
                <wp:posOffset>895350</wp:posOffset>
              </wp:positionH>
              <wp:positionV relativeFrom="page">
                <wp:posOffset>457962</wp:posOffset>
              </wp:positionV>
              <wp:extent cx="5981700" cy="28575"/>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1329AC" id="Graphic 930" o:spid="_x0000_s1026" style="position:absolute;margin-left:70.5pt;margin-top:36.05pt;width:471pt;height:2.25pt;z-index:-278338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3136" behindDoc="1" locked="0" layoutInCell="1" allowOverlap="1" wp14:anchorId="24D6315C" wp14:editId="24D6315D">
              <wp:simplePos x="0" y="0"/>
              <wp:positionH relativeFrom="page">
                <wp:posOffset>895350</wp:posOffset>
              </wp:positionH>
              <wp:positionV relativeFrom="page">
                <wp:posOffset>832103</wp:posOffset>
              </wp:positionV>
              <wp:extent cx="5981700" cy="28575"/>
              <wp:effectExtent l="0" t="0" r="0" b="0"/>
              <wp:wrapNone/>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4E2469" id="Graphic 931" o:spid="_x0000_s1026" style="position:absolute;margin-left:70.5pt;margin-top:65.5pt;width:471pt;height:2.25pt;z-index:-278333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3648" behindDoc="1" locked="0" layoutInCell="1" allowOverlap="1" wp14:anchorId="24D6315E" wp14:editId="24D6315F">
              <wp:simplePos x="0" y="0"/>
              <wp:positionH relativeFrom="page">
                <wp:posOffset>901700</wp:posOffset>
              </wp:positionH>
              <wp:positionV relativeFrom="page">
                <wp:posOffset>490475</wp:posOffset>
              </wp:positionV>
              <wp:extent cx="2735580" cy="342265"/>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342265"/>
                      </a:xfrm>
                      <a:prstGeom prst="rect">
                        <a:avLst/>
                      </a:prstGeom>
                    </wps:spPr>
                    <wps:txbx>
                      <w:txbxContent>
                        <w:p w14:paraId="24D63352"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53" w14:textId="77777777" w:rsidR="00245300" w:rsidRDefault="00F17249">
                          <w:pPr>
                            <w:pStyle w:val="BodyText"/>
                            <w:ind w:left="20"/>
                          </w:pPr>
                          <w:r>
                            <w:t>1002</w:t>
                          </w:r>
                          <w:r>
                            <w:rPr>
                              <w:spacing w:val="-6"/>
                            </w:rPr>
                            <w:t xml:space="preserve"> </w:t>
                          </w:r>
                          <w:r>
                            <w:t>–</w:t>
                          </w:r>
                          <w:r>
                            <w:rPr>
                              <w:spacing w:val="-6"/>
                            </w:rPr>
                            <w:t xml:space="preserve"> </w:t>
                          </w:r>
                          <w:r>
                            <w:t>Litigation,</w:t>
                          </w:r>
                          <w:r>
                            <w:rPr>
                              <w:spacing w:val="-6"/>
                            </w:rPr>
                            <w:t xml:space="preserve"> </w:t>
                          </w:r>
                          <w:r>
                            <w:t>Claims,</w:t>
                          </w:r>
                          <w:r>
                            <w:rPr>
                              <w:spacing w:val="-6"/>
                            </w:rPr>
                            <w:t xml:space="preserve"> </w:t>
                          </w:r>
                          <w:r>
                            <w:t>and</w:t>
                          </w:r>
                          <w:r>
                            <w:rPr>
                              <w:spacing w:val="-6"/>
                            </w:rPr>
                            <w:t xml:space="preserve"> </w:t>
                          </w:r>
                          <w:r>
                            <w:rPr>
                              <w:spacing w:val="-2"/>
                            </w:rPr>
                            <w:t>Assessments</w:t>
                          </w:r>
                        </w:p>
                      </w:txbxContent>
                    </wps:txbx>
                    <wps:bodyPr wrap="square" lIns="0" tIns="0" rIns="0" bIns="0" rtlCol="0">
                      <a:noAutofit/>
                    </wps:bodyPr>
                  </wps:wsp>
                </a:graphicData>
              </a:graphic>
            </wp:anchor>
          </w:drawing>
        </mc:Choice>
        <mc:Fallback>
          <w:pict>
            <v:shapetype w14:anchorId="24D6315E" id="_x0000_t202" coordsize="21600,21600" o:spt="202" path="m,l,21600r21600,l21600,xe">
              <v:stroke joinstyle="miter"/>
              <v:path gradientshapeok="t" o:connecttype="rect"/>
            </v:shapetype>
            <v:shape id="Textbox 932" o:spid="_x0000_s1302" type="#_x0000_t202" style="position:absolute;margin-left:71pt;margin-top:38.6pt;width:215.4pt;height:26.95pt;z-index:-278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" filled="f" stroked="f">
              <v:textbox inset="0,0,0,0">
                <w:txbxContent>
                  <w:p w14:paraId="24D63352"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53" w14:textId="77777777" w:rsidR="00245300" w:rsidRDefault="00F17249">
                    <w:pPr>
                      <w:pStyle w:val="BodyText"/>
                      <w:ind w:left="20"/>
                    </w:pPr>
                    <w:r>
                      <w:t>1002</w:t>
                    </w:r>
                    <w:r>
                      <w:rPr>
                        <w:spacing w:val="-6"/>
                      </w:rPr>
                      <w:t xml:space="preserve"> </w:t>
                    </w:r>
                    <w:r>
                      <w:t>–</w:t>
                    </w:r>
                    <w:r>
                      <w:rPr>
                        <w:spacing w:val="-6"/>
                      </w:rPr>
                      <w:t xml:space="preserve"> </w:t>
                    </w:r>
                    <w:r>
                      <w:t>Litigation,</w:t>
                    </w:r>
                    <w:r>
                      <w:rPr>
                        <w:spacing w:val="-6"/>
                      </w:rPr>
                      <w:t xml:space="preserve"> </w:t>
                    </w:r>
                    <w:r>
                      <w:t>Claims,</w:t>
                    </w:r>
                    <w:r>
                      <w:rPr>
                        <w:spacing w:val="-6"/>
                      </w:rPr>
                      <w:t xml:space="preserve"> </w:t>
                    </w:r>
                    <w:r>
                      <w:t>and</w:t>
                    </w:r>
                    <w:r>
                      <w:rPr>
                        <w:spacing w:val="-6"/>
                      </w:rPr>
                      <w:t xml:space="preserve"> </w:t>
                    </w:r>
                    <w:r>
                      <w:rPr>
                        <w:spacing w:val="-2"/>
                      </w:rPr>
                      <w:t>Assessments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A" w14:textId="77777777" w:rsidR="00245300" w:rsidRDefault="00F17249">
    <w:pPr>
      <w:pStyle w:val="BodyText"/>
      <w:spacing w:line="14" w:lineRule="auto"/>
      <w:rPr>
        <w:sz w:val="20"/>
      </w:rPr>
    </w:pPr>
    <w:r>
      <w:rPr>
        <w:noProof/>
      </w:rPr>
      <mc:AlternateContent>
        <mc:Choice Requires="wps">
          <w:drawing>
            <wp:anchor distT="0" distB="0" distL="0" distR="0" simplePos="0" relativeHeight="475486208" behindDoc="1" locked="0" layoutInCell="1" allowOverlap="1" wp14:anchorId="24D63168" wp14:editId="24D63169">
              <wp:simplePos x="0" y="0"/>
              <wp:positionH relativeFrom="page">
                <wp:posOffset>895350</wp:posOffset>
              </wp:positionH>
              <wp:positionV relativeFrom="page">
                <wp:posOffset>457962</wp:posOffset>
              </wp:positionV>
              <wp:extent cx="5981700" cy="28575"/>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BE92A" id="Graphic 944" o:spid="_x0000_s1026" style="position:absolute;margin-left:70.5pt;margin-top:36.05pt;width:471pt;height:2.25pt;z-index:-278302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6720" behindDoc="1" locked="0" layoutInCell="1" allowOverlap="1" wp14:anchorId="24D6316A" wp14:editId="24D6316B">
              <wp:simplePos x="0" y="0"/>
              <wp:positionH relativeFrom="page">
                <wp:posOffset>895350</wp:posOffset>
              </wp:positionH>
              <wp:positionV relativeFrom="page">
                <wp:posOffset>832103</wp:posOffset>
              </wp:positionV>
              <wp:extent cx="5981700" cy="28575"/>
              <wp:effectExtent l="0" t="0" r="0" b="0"/>
              <wp:wrapNone/>
              <wp:docPr id="945" name="Graphic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88367E" id="Graphic 945" o:spid="_x0000_s1026" style="position:absolute;margin-left:70.5pt;margin-top:65.5pt;width:471pt;height:2.25pt;z-index:-278297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87232" behindDoc="1" locked="0" layoutInCell="1" allowOverlap="1" wp14:anchorId="24D6316C" wp14:editId="24D6316D">
              <wp:simplePos x="0" y="0"/>
              <wp:positionH relativeFrom="page">
                <wp:posOffset>901700</wp:posOffset>
              </wp:positionH>
              <wp:positionV relativeFrom="page">
                <wp:posOffset>490475</wp:posOffset>
              </wp:positionV>
              <wp:extent cx="4761865" cy="342265"/>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865" cy="342265"/>
                      </a:xfrm>
                      <a:prstGeom prst="rect">
                        <a:avLst/>
                      </a:prstGeom>
                    </wps:spPr>
                    <wps:txbx>
                      <w:txbxContent>
                        <w:p w14:paraId="24D63357"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58" w14:textId="77777777" w:rsidR="00245300" w:rsidRDefault="00F17249">
                          <w:pPr>
                            <w:pStyle w:val="BodyText"/>
                            <w:ind w:left="20"/>
                          </w:pPr>
                          <w:r>
                            <w:t>1002</w:t>
                          </w:r>
                          <w:r>
                            <w:rPr>
                              <w:spacing w:val="-7"/>
                            </w:rPr>
                            <w:t xml:space="preserve"> </w:t>
                          </w:r>
                          <w:r>
                            <w:t>A</w:t>
                          </w:r>
                          <w:r>
                            <w:rPr>
                              <w:spacing w:val="-6"/>
                            </w:rPr>
                            <w:t xml:space="preserve"> </w:t>
                          </w:r>
                          <w:r>
                            <w:t>–</w:t>
                          </w:r>
                          <w:r>
                            <w:rPr>
                              <w:spacing w:val="-6"/>
                            </w:rPr>
                            <w:t xml:space="preserve"> </w:t>
                          </w:r>
                          <w:r>
                            <w:t>Example</w:t>
                          </w:r>
                          <w:r>
                            <w:rPr>
                              <w:spacing w:val="-6"/>
                            </w:rPr>
                            <w:t xml:space="preserve"> </w:t>
                          </w:r>
                          <w:r>
                            <w:t>Audit</w:t>
                          </w:r>
                          <w:r>
                            <w:rPr>
                              <w:spacing w:val="-7"/>
                            </w:rPr>
                            <w:t xml:space="preserve"> </w:t>
                          </w:r>
                          <w:r>
                            <w:t>Procedures</w:t>
                          </w:r>
                          <w:r>
                            <w:rPr>
                              <w:spacing w:val="-7"/>
                            </w:rPr>
                            <w:t xml:space="preserve"> </w:t>
                          </w:r>
                          <w:r>
                            <w:t>for</w:t>
                          </w:r>
                          <w:r>
                            <w:rPr>
                              <w:spacing w:val="-6"/>
                            </w:rPr>
                            <w:t xml:space="preserve"> </w:t>
                          </w:r>
                          <w:r>
                            <w:t>Litigation,</w:t>
                          </w:r>
                          <w:r>
                            <w:rPr>
                              <w:spacing w:val="-6"/>
                            </w:rPr>
                            <w:t xml:space="preserve"> </w:t>
                          </w:r>
                          <w:r>
                            <w:t>Claims,</w:t>
                          </w:r>
                          <w:r>
                            <w:rPr>
                              <w:spacing w:val="-7"/>
                            </w:rPr>
                            <w:t xml:space="preserve"> </w:t>
                          </w:r>
                          <w:r>
                            <w:t>and</w:t>
                          </w:r>
                          <w:r>
                            <w:rPr>
                              <w:spacing w:val="-6"/>
                            </w:rPr>
                            <w:t xml:space="preserve"> </w:t>
                          </w:r>
                          <w:r>
                            <w:rPr>
                              <w:spacing w:val="-2"/>
                            </w:rPr>
                            <w:t>Assessments</w:t>
                          </w:r>
                        </w:p>
                      </w:txbxContent>
                    </wps:txbx>
                    <wps:bodyPr wrap="square" lIns="0" tIns="0" rIns="0" bIns="0" rtlCol="0">
                      <a:noAutofit/>
                    </wps:bodyPr>
                  </wps:wsp>
                </a:graphicData>
              </a:graphic>
            </wp:anchor>
          </w:drawing>
        </mc:Choice>
        <mc:Fallback>
          <w:pict>
            <v:shapetype w14:anchorId="24D6316C" id="_x0000_t202" coordsize="21600,21600" o:spt="202" path="m,l,21600r21600,l21600,xe">
              <v:stroke joinstyle="miter"/>
              <v:path gradientshapeok="t" o:connecttype="rect"/>
            </v:shapetype>
            <v:shape id="Textbox 946" o:spid="_x0000_s1306" type="#_x0000_t202" style="position:absolute;margin-left:71pt;margin-top:38.6pt;width:374.95pt;height:26.95pt;z-index:-278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" filled="f" stroked="f">
              <v:textbox inset="0,0,0,0">
                <w:txbxContent>
                  <w:p w14:paraId="24D63357"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58" w14:textId="77777777" w:rsidR="00245300" w:rsidRDefault="00F17249">
                    <w:pPr>
                      <w:pStyle w:val="BodyText"/>
                      <w:ind w:left="20"/>
                    </w:pPr>
                    <w:r>
                      <w:t>1002</w:t>
                    </w:r>
                    <w:r>
                      <w:rPr>
                        <w:spacing w:val="-7"/>
                      </w:rPr>
                      <w:t xml:space="preserve"> </w:t>
                    </w:r>
                    <w:r>
                      <w:t>A</w:t>
                    </w:r>
                    <w:r>
                      <w:rPr>
                        <w:spacing w:val="-6"/>
                      </w:rPr>
                      <w:t xml:space="preserve"> </w:t>
                    </w:r>
                    <w:r>
                      <w:t>–</w:t>
                    </w:r>
                    <w:r>
                      <w:rPr>
                        <w:spacing w:val="-6"/>
                      </w:rPr>
                      <w:t xml:space="preserve"> </w:t>
                    </w:r>
                    <w:r>
                      <w:t>Example</w:t>
                    </w:r>
                    <w:r>
                      <w:rPr>
                        <w:spacing w:val="-6"/>
                      </w:rPr>
                      <w:t xml:space="preserve"> </w:t>
                    </w:r>
                    <w:r>
                      <w:t>Audit</w:t>
                    </w:r>
                    <w:r>
                      <w:rPr>
                        <w:spacing w:val="-7"/>
                      </w:rPr>
                      <w:t xml:space="preserve"> </w:t>
                    </w:r>
                    <w:r>
                      <w:t>Procedures</w:t>
                    </w:r>
                    <w:r>
                      <w:rPr>
                        <w:spacing w:val="-7"/>
                      </w:rPr>
                      <w:t xml:space="preserve"> </w:t>
                    </w:r>
                    <w:r>
                      <w:t>for</w:t>
                    </w:r>
                    <w:r>
                      <w:rPr>
                        <w:spacing w:val="-6"/>
                      </w:rPr>
                      <w:t xml:space="preserve"> </w:t>
                    </w:r>
                    <w:r>
                      <w:t>Litigation,</w:t>
                    </w:r>
                    <w:r>
                      <w:rPr>
                        <w:spacing w:val="-6"/>
                      </w:rPr>
                      <w:t xml:space="preserve"> </w:t>
                    </w:r>
                    <w:r>
                      <w:t>Claims,</w:t>
                    </w:r>
                    <w:r>
                      <w:rPr>
                        <w:spacing w:val="-7"/>
                      </w:rPr>
                      <w:t xml:space="preserve"> </w:t>
                    </w:r>
                    <w:r>
                      <w:t>and</w:t>
                    </w:r>
                    <w:r>
                      <w:rPr>
                        <w:spacing w:val="-6"/>
                      </w:rPr>
                      <w:t xml:space="preserve"> </w:t>
                    </w:r>
                    <w:r>
                      <w:rPr>
                        <w:spacing w:val="-2"/>
                      </w:rPr>
                      <w:t>Assessments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C" w14:textId="77777777" w:rsidR="00245300" w:rsidRDefault="00F17249">
    <w:pPr>
      <w:pStyle w:val="BodyText"/>
      <w:spacing w:line="14" w:lineRule="auto"/>
      <w:rPr>
        <w:sz w:val="20"/>
      </w:rPr>
    </w:pPr>
    <w:r>
      <w:rPr>
        <w:noProof/>
      </w:rPr>
      <mc:AlternateContent>
        <mc:Choice Requires="wps">
          <w:drawing>
            <wp:anchor distT="0" distB="0" distL="0" distR="0" simplePos="0" relativeHeight="475489792" behindDoc="1" locked="0" layoutInCell="1" allowOverlap="1" wp14:anchorId="24D63176" wp14:editId="24D63177">
              <wp:simplePos x="0" y="0"/>
              <wp:positionH relativeFrom="page">
                <wp:posOffset>895350</wp:posOffset>
              </wp:positionH>
              <wp:positionV relativeFrom="page">
                <wp:posOffset>457962</wp:posOffset>
              </wp:positionV>
              <wp:extent cx="5981700" cy="28575"/>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7691D" id="Graphic 951" o:spid="_x0000_s1026" style="position:absolute;margin-left:70.5pt;margin-top:36.05pt;width:471pt;height:2.25pt;z-index:-278266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90304" behindDoc="1" locked="0" layoutInCell="1" allowOverlap="1" wp14:anchorId="24D63178" wp14:editId="24D63179">
              <wp:simplePos x="0" y="0"/>
              <wp:positionH relativeFrom="page">
                <wp:posOffset>895350</wp:posOffset>
              </wp:positionH>
              <wp:positionV relativeFrom="page">
                <wp:posOffset>832103</wp:posOffset>
              </wp:positionV>
              <wp:extent cx="5981700" cy="28575"/>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96A8D9" id="Graphic 952" o:spid="_x0000_s1026" style="position:absolute;margin-left:70.5pt;margin-top:65.5pt;width:471pt;height:2.25pt;z-index:-278261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90816" behindDoc="1" locked="0" layoutInCell="1" allowOverlap="1" wp14:anchorId="24D6317A" wp14:editId="24D6317B">
              <wp:simplePos x="0" y="0"/>
              <wp:positionH relativeFrom="page">
                <wp:posOffset>901700</wp:posOffset>
              </wp:positionH>
              <wp:positionV relativeFrom="page">
                <wp:posOffset>490475</wp:posOffset>
              </wp:positionV>
              <wp:extent cx="2658745" cy="342265"/>
              <wp:effectExtent l="0" t="0" r="0" b="0"/>
              <wp:wrapNone/>
              <wp:docPr id="95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745" cy="342265"/>
                      </a:xfrm>
                      <a:prstGeom prst="rect">
                        <a:avLst/>
                      </a:prstGeom>
                    </wps:spPr>
                    <wps:txbx>
                      <w:txbxContent>
                        <w:p w14:paraId="24D6335C"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5D" w14:textId="77777777" w:rsidR="00245300" w:rsidRDefault="00F17249">
                          <w:pPr>
                            <w:pStyle w:val="BodyText"/>
                            <w:ind w:left="20"/>
                          </w:pPr>
                          <w:r>
                            <w:t>1002</w:t>
                          </w:r>
                          <w:r>
                            <w:rPr>
                              <w:spacing w:val="-6"/>
                            </w:rPr>
                            <w:t xml:space="preserve"> </w:t>
                          </w:r>
                          <w:r>
                            <w:t>B</w:t>
                          </w:r>
                          <w:r>
                            <w:rPr>
                              <w:spacing w:val="-5"/>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Request</w:t>
                          </w:r>
                        </w:p>
                      </w:txbxContent>
                    </wps:txbx>
                    <wps:bodyPr wrap="square" lIns="0" tIns="0" rIns="0" bIns="0" rtlCol="0">
                      <a:noAutofit/>
                    </wps:bodyPr>
                  </wps:wsp>
                </a:graphicData>
              </a:graphic>
            </wp:anchor>
          </w:drawing>
        </mc:Choice>
        <mc:Fallback>
          <w:pict>
            <v:shapetype w14:anchorId="24D6317A" id="_x0000_t202" coordsize="21600,21600" o:spt="202" path="m,l,21600r21600,l21600,xe">
              <v:stroke joinstyle="miter"/>
              <v:path gradientshapeok="t" o:connecttype="rect"/>
            </v:shapetype>
            <v:shape id="Textbox 953" o:spid="_x0000_s1310" type="#_x0000_t202" style="position:absolute;margin-left:71pt;margin-top:38.6pt;width:209.35pt;height:26.95pt;z-index:-278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" filled="f" stroked="f">
              <v:textbox inset="0,0,0,0">
                <w:txbxContent>
                  <w:p w14:paraId="24D6335C"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5D" w14:textId="77777777" w:rsidR="00245300" w:rsidRDefault="00F17249">
                    <w:pPr>
                      <w:pStyle w:val="BodyText"/>
                      <w:ind w:left="20"/>
                    </w:pPr>
                    <w:r>
                      <w:t>1002</w:t>
                    </w:r>
                    <w:r>
                      <w:rPr>
                        <w:spacing w:val="-6"/>
                      </w:rPr>
                      <w:t xml:space="preserve"> </w:t>
                    </w:r>
                    <w:r>
                      <w:t>B</w:t>
                    </w:r>
                    <w:r>
                      <w:rPr>
                        <w:spacing w:val="-5"/>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Request</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9E" w14:textId="77777777" w:rsidR="00245300" w:rsidRDefault="00F17249">
    <w:pPr>
      <w:pStyle w:val="BodyText"/>
      <w:spacing w:line="14" w:lineRule="auto"/>
      <w:rPr>
        <w:sz w:val="20"/>
      </w:rPr>
    </w:pPr>
    <w:r>
      <w:rPr>
        <w:noProof/>
      </w:rPr>
      <mc:AlternateContent>
        <mc:Choice Requires="wps">
          <w:drawing>
            <wp:anchor distT="0" distB="0" distL="0" distR="0" simplePos="0" relativeHeight="475493376" behindDoc="1" locked="0" layoutInCell="1" allowOverlap="1" wp14:anchorId="24D63184" wp14:editId="24D63185">
              <wp:simplePos x="0" y="0"/>
              <wp:positionH relativeFrom="page">
                <wp:posOffset>895350</wp:posOffset>
              </wp:positionH>
              <wp:positionV relativeFrom="page">
                <wp:posOffset>457962</wp:posOffset>
              </wp:positionV>
              <wp:extent cx="5981700" cy="28575"/>
              <wp:effectExtent l="0" t="0" r="0" b="0"/>
              <wp:wrapNone/>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AE8086" id="Graphic 959" o:spid="_x0000_s1026" style="position:absolute;margin-left:70.5pt;margin-top:36.05pt;width:471pt;height:2.25pt;z-index:-278231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93888" behindDoc="1" locked="0" layoutInCell="1" allowOverlap="1" wp14:anchorId="24D63186" wp14:editId="24D63187">
              <wp:simplePos x="0" y="0"/>
              <wp:positionH relativeFrom="page">
                <wp:posOffset>895350</wp:posOffset>
              </wp:positionH>
              <wp:positionV relativeFrom="page">
                <wp:posOffset>832103</wp:posOffset>
              </wp:positionV>
              <wp:extent cx="5981700" cy="28575"/>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A7EEC" id="Graphic 960" o:spid="_x0000_s1026" style="position:absolute;margin-left:70.5pt;margin-top:65.5pt;width:471pt;height:2.25pt;z-index:-278225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494400" behindDoc="1" locked="0" layoutInCell="1" allowOverlap="1" wp14:anchorId="24D63188" wp14:editId="24D63189">
              <wp:simplePos x="0" y="0"/>
              <wp:positionH relativeFrom="page">
                <wp:posOffset>901700</wp:posOffset>
              </wp:positionH>
              <wp:positionV relativeFrom="page">
                <wp:posOffset>490475</wp:posOffset>
              </wp:positionV>
              <wp:extent cx="2774950" cy="342265"/>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342265"/>
                      </a:xfrm>
                      <a:prstGeom prst="rect">
                        <a:avLst/>
                      </a:prstGeom>
                    </wps:spPr>
                    <wps:txbx>
                      <w:txbxContent>
                        <w:p w14:paraId="24D63361"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62" w14:textId="77777777" w:rsidR="00245300" w:rsidRDefault="00F17249">
                          <w:pPr>
                            <w:pStyle w:val="BodyText"/>
                            <w:ind w:left="20"/>
                          </w:pPr>
                          <w:r>
                            <w:t>1002</w:t>
                          </w:r>
                          <w:r>
                            <w:rPr>
                              <w:spacing w:val="-6"/>
                            </w:rPr>
                            <w:t xml:space="preserve"> </w:t>
                          </w:r>
                          <w:r>
                            <w:t>C</w:t>
                          </w:r>
                          <w:r>
                            <w:rPr>
                              <w:spacing w:val="-6"/>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Response</w:t>
                          </w:r>
                        </w:p>
                      </w:txbxContent>
                    </wps:txbx>
                    <wps:bodyPr wrap="square" lIns="0" tIns="0" rIns="0" bIns="0" rtlCol="0">
                      <a:noAutofit/>
                    </wps:bodyPr>
                  </wps:wsp>
                </a:graphicData>
              </a:graphic>
            </wp:anchor>
          </w:drawing>
        </mc:Choice>
        <mc:Fallback>
          <w:pict>
            <v:shapetype w14:anchorId="24D63188" id="_x0000_t202" coordsize="21600,21600" o:spt="202" path="m,l,21600r21600,l21600,xe">
              <v:stroke joinstyle="miter"/>
              <v:path gradientshapeok="t" o:connecttype="rect"/>
            </v:shapetype>
            <v:shape id="Textbox 961" o:spid="_x0000_s1314" type="#_x0000_t202" style="position:absolute;margin-left:71pt;margin-top:38.6pt;width:218.5pt;height:26.95pt;z-index:-278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" filled="f" stroked="f">
              <v:textbox inset="0,0,0,0">
                <w:txbxContent>
                  <w:p w14:paraId="24D63361"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62" w14:textId="77777777" w:rsidR="00245300" w:rsidRDefault="00F17249">
                    <w:pPr>
                      <w:pStyle w:val="BodyText"/>
                      <w:ind w:left="20"/>
                    </w:pPr>
                    <w:r>
                      <w:t>1002</w:t>
                    </w:r>
                    <w:r>
                      <w:rPr>
                        <w:spacing w:val="-6"/>
                      </w:rPr>
                      <w:t xml:space="preserve"> </w:t>
                    </w:r>
                    <w:r>
                      <w:t>C</w:t>
                    </w:r>
                    <w:r>
                      <w:rPr>
                        <w:spacing w:val="-6"/>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Response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0" w14:textId="77777777" w:rsidR="00245300" w:rsidRDefault="00F17249">
    <w:pPr>
      <w:pStyle w:val="BodyText"/>
      <w:spacing w:line="14" w:lineRule="auto"/>
      <w:rPr>
        <w:sz w:val="20"/>
      </w:rPr>
    </w:pPr>
    <w:r>
      <w:rPr>
        <w:noProof/>
      </w:rPr>
      <mc:AlternateContent>
        <mc:Choice Requires="wps">
          <w:drawing>
            <wp:anchor distT="0" distB="0" distL="0" distR="0" simplePos="0" relativeHeight="475259392" behindDoc="1" locked="0" layoutInCell="1" allowOverlap="1" wp14:anchorId="24D62DF2" wp14:editId="24D62DF3">
              <wp:simplePos x="0" y="0"/>
              <wp:positionH relativeFrom="page">
                <wp:posOffset>895350</wp:posOffset>
              </wp:positionH>
              <wp:positionV relativeFrom="page">
                <wp:posOffset>457962</wp:posOffset>
              </wp:positionV>
              <wp:extent cx="5981700" cy="2857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F1BC5" id="Graphic 73" o:spid="_x0000_s1026" style="position:absolute;margin-left:70.5pt;margin-top:36.05pt;width:471pt;height:2.25pt;z-index:-280570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59904" behindDoc="1" locked="0" layoutInCell="1" allowOverlap="1" wp14:anchorId="24D62DF4" wp14:editId="24D62DF5">
              <wp:simplePos x="0" y="0"/>
              <wp:positionH relativeFrom="page">
                <wp:posOffset>895350</wp:posOffset>
              </wp:positionH>
              <wp:positionV relativeFrom="page">
                <wp:posOffset>832103</wp:posOffset>
              </wp:positionV>
              <wp:extent cx="5981700" cy="2857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0B43F7" id="Graphic 74" o:spid="_x0000_s1026" style="position:absolute;margin-left:70.5pt;margin-top:65.5pt;width:471pt;height:2.25pt;z-index:-280565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0416" behindDoc="1" locked="0" layoutInCell="1" allowOverlap="1" wp14:anchorId="24D62DF6" wp14:editId="24D62DF7">
              <wp:simplePos x="0" y="0"/>
              <wp:positionH relativeFrom="page">
                <wp:posOffset>901700</wp:posOffset>
              </wp:positionH>
              <wp:positionV relativeFrom="page">
                <wp:posOffset>490475</wp:posOffset>
              </wp:positionV>
              <wp:extent cx="5049520" cy="3422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9520" cy="342265"/>
                      </a:xfrm>
                      <a:prstGeom prst="rect">
                        <a:avLst/>
                      </a:prstGeom>
                    </wps:spPr>
                    <wps:txbx>
                      <w:txbxContent>
                        <w:p w14:paraId="24D6321E"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1F" w14:textId="77777777" w:rsidR="00245300" w:rsidRDefault="00F17249">
                          <w:pPr>
                            <w:pStyle w:val="BodyText"/>
                            <w:ind w:left="20"/>
                          </w:pPr>
                          <w:r>
                            <w:t>615</w:t>
                          </w:r>
                          <w:r>
                            <w:rPr>
                              <w:spacing w:val="-7"/>
                            </w:rPr>
                            <w:t xml:space="preserve"> </w:t>
                          </w:r>
                          <w:r>
                            <w:t>–</w:t>
                          </w:r>
                          <w:r>
                            <w:rPr>
                              <w:spacing w:val="-6"/>
                            </w:rPr>
                            <w:t xml:space="preserve"> </w:t>
                          </w:r>
                          <w:r>
                            <w:t>Evaluating</w:t>
                          </w:r>
                          <w:r>
                            <w:rPr>
                              <w:spacing w:val="-6"/>
                            </w:rPr>
                            <w:t xml:space="preserve"> </w:t>
                          </w:r>
                          <w:r>
                            <w:t>the</w:t>
                          </w:r>
                          <w:r>
                            <w:rPr>
                              <w:spacing w:val="-7"/>
                            </w:rPr>
                            <w:t xml:space="preserve"> </w:t>
                          </w:r>
                          <w:r>
                            <w:t>Objectivity</w:t>
                          </w:r>
                          <w:r>
                            <w:rPr>
                              <w:spacing w:val="-6"/>
                            </w:rPr>
                            <w:t xml:space="preserve"> </w:t>
                          </w:r>
                          <w:r>
                            <w:t>and</w:t>
                          </w:r>
                          <w:r>
                            <w:rPr>
                              <w:spacing w:val="-7"/>
                            </w:rPr>
                            <w:t xml:space="preserve"> </w:t>
                          </w:r>
                          <w:r>
                            <w:t>Competence</w:t>
                          </w:r>
                          <w:r>
                            <w:rPr>
                              <w:spacing w:val="-6"/>
                            </w:rPr>
                            <w:t xml:space="preserve"> </w:t>
                          </w:r>
                          <w:r>
                            <w:t>of</w:t>
                          </w:r>
                          <w:r>
                            <w:rPr>
                              <w:spacing w:val="-7"/>
                            </w:rPr>
                            <w:t xml:space="preserve"> </w:t>
                          </w:r>
                          <w:r>
                            <w:t>Other</w:t>
                          </w:r>
                          <w:r>
                            <w:rPr>
                              <w:spacing w:val="-6"/>
                            </w:rPr>
                            <w:t xml:space="preserve"> </w:t>
                          </w:r>
                          <w:r>
                            <w:t>Auditors</w:t>
                          </w:r>
                          <w:r>
                            <w:rPr>
                              <w:spacing w:val="-6"/>
                            </w:rPr>
                            <w:t xml:space="preserve"> </w:t>
                          </w:r>
                          <w:r>
                            <w:t>or</w:t>
                          </w:r>
                          <w:r>
                            <w:rPr>
                              <w:spacing w:val="-6"/>
                            </w:rPr>
                            <w:t xml:space="preserve"> </w:t>
                          </w:r>
                          <w:r>
                            <w:rPr>
                              <w:spacing w:val="-2"/>
                            </w:rPr>
                            <w:t>Specialists</w:t>
                          </w:r>
                        </w:p>
                      </w:txbxContent>
                    </wps:txbx>
                    <wps:bodyPr wrap="square" lIns="0" tIns="0" rIns="0" bIns="0" rtlCol="0">
                      <a:noAutofit/>
                    </wps:bodyPr>
                  </wps:wsp>
                </a:graphicData>
              </a:graphic>
            </wp:anchor>
          </w:drawing>
        </mc:Choice>
        <mc:Fallback>
          <w:pict>
            <v:shapetype w14:anchorId="24D62DF6" id="_x0000_t202" coordsize="21600,21600" o:spt="202" path="m,l,21600r21600,l21600,xe">
              <v:stroke joinstyle="miter"/>
              <v:path gradientshapeok="t" o:connecttype="rect"/>
            </v:shapetype>
            <v:shape id="Textbox 75" o:spid="_x0000_s1048" type="#_x0000_t202" style="position:absolute;margin-left:71pt;margin-top:38.6pt;width:397.6pt;height:26.95pt;z-index:-280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" filled="f" stroked="f">
              <v:textbox inset="0,0,0,0">
                <w:txbxContent>
                  <w:p w14:paraId="24D6321E"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1F" w14:textId="77777777" w:rsidR="00245300" w:rsidRDefault="00F17249">
                    <w:pPr>
                      <w:pStyle w:val="BodyText"/>
                      <w:ind w:left="20"/>
                    </w:pPr>
                    <w:r>
                      <w:t>615</w:t>
                    </w:r>
                    <w:r>
                      <w:rPr>
                        <w:spacing w:val="-7"/>
                      </w:rPr>
                      <w:t xml:space="preserve"> </w:t>
                    </w:r>
                    <w:r>
                      <w:t>–</w:t>
                    </w:r>
                    <w:r>
                      <w:rPr>
                        <w:spacing w:val="-6"/>
                      </w:rPr>
                      <w:t xml:space="preserve"> </w:t>
                    </w:r>
                    <w:r>
                      <w:t>Evaluating</w:t>
                    </w:r>
                    <w:r>
                      <w:rPr>
                        <w:spacing w:val="-6"/>
                      </w:rPr>
                      <w:t xml:space="preserve"> </w:t>
                    </w:r>
                    <w:r>
                      <w:t>the</w:t>
                    </w:r>
                    <w:r>
                      <w:rPr>
                        <w:spacing w:val="-7"/>
                      </w:rPr>
                      <w:t xml:space="preserve"> </w:t>
                    </w:r>
                    <w:r>
                      <w:t>Objectivity</w:t>
                    </w:r>
                    <w:r>
                      <w:rPr>
                        <w:spacing w:val="-6"/>
                      </w:rPr>
                      <w:t xml:space="preserve"> </w:t>
                    </w:r>
                    <w:r>
                      <w:t>and</w:t>
                    </w:r>
                    <w:r>
                      <w:rPr>
                        <w:spacing w:val="-7"/>
                      </w:rPr>
                      <w:t xml:space="preserve"> </w:t>
                    </w:r>
                    <w:r>
                      <w:t>Competence</w:t>
                    </w:r>
                    <w:r>
                      <w:rPr>
                        <w:spacing w:val="-6"/>
                      </w:rPr>
                      <w:t xml:space="preserve"> </w:t>
                    </w:r>
                    <w:r>
                      <w:t>of</w:t>
                    </w:r>
                    <w:r>
                      <w:rPr>
                        <w:spacing w:val="-7"/>
                      </w:rPr>
                      <w:t xml:space="preserve"> </w:t>
                    </w:r>
                    <w:r>
                      <w:t>Other</w:t>
                    </w:r>
                    <w:r>
                      <w:rPr>
                        <w:spacing w:val="-6"/>
                      </w:rPr>
                      <w:t xml:space="preserve"> </w:t>
                    </w:r>
                    <w:r>
                      <w:t>Auditors</w:t>
                    </w:r>
                    <w:r>
                      <w:rPr>
                        <w:spacing w:val="-6"/>
                      </w:rPr>
                      <w:t xml:space="preserve"> </w:t>
                    </w:r>
                    <w:r>
                      <w:t>or</w:t>
                    </w:r>
                    <w:r>
                      <w:rPr>
                        <w:spacing w:val="-6"/>
                      </w:rPr>
                      <w:t xml:space="preserve"> </w:t>
                    </w:r>
                    <w:r>
                      <w:rPr>
                        <w:spacing w:val="-2"/>
                      </w:rPr>
                      <w:t>Specialists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0" w14:textId="77777777" w:rsidR="00245300" w:rsidRDefault="00F17249">
    <w:pPr>
      <w:pStyle w:val="BodyText"/>
      <w:spacing w:line="14" w:lineRule="auto"/>
      <w:rPr>
        <w:sz w:val="20"/>
      </w:rPr>
    </w:pPr>
    <w:r>
      <w:rPr>
        <w:noProof/>
      </w:rPr>
      <mc:AlternateContent>
        <mc:Choice Requires="wps">
          <w:drawing>
            <wp:anchor distT="0" distB="0" distL="0" distR="0" simplePos="0" relativeHeight="475496960" behindDoc="1" locked="0" layoutInCell="1" allowOverlap="1" wp14:anchorId="24D63192" wp14:editId="24D63193">
              <wp:simplePos x="0" y="0"/>
              <wp:positionH relativeFrom="page">
                <wp:posOffset>666750</wp:posOffset>
              </wp:positionH>
              <wp:positionV relativeFrom="page">
                <wp:posOffset>457962</wp:posOffset>
              </wp:positionV>
              <wp:extent cx="13982700" cy="28575"/>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89B91" id="Graphic 968" o:spid="_x0000_s1026" style="position:absolute;margin-left:52.5pt;margin-top:36.05pt;width:1101pt;height:2.25pt;z-index:-27819520;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" path="m13982700,l,,,28194r13982700,l13982700,xe" fillcolor="black" stroked="f">
              <v:path arrowok="t"/>
              <w10:wrap anchorx="page" anchory="page"/>
            </v:shape>
          </w:pict>
        </mc:Fallback>
      </mc:AlternateContent>
    </w:r>
    <w:r>
      <w:rPr>
        <w:noProof/>
      </w:rPr>
      <mc:AlternateContent>
        <mc:Choice Requires="wps">
          <w:drawing>
            <wp:anchor distT="0" distB="0" distL="0" distR="0" simplePos="0" relativeHeight="475497472" behindDoc="1" locked="0" layoutInCell="1" allowOverlap="1" wp14:anchorId="24D63194" wp14:editId="24D63195">
              <wp:simplePos x="0" y="0"/>
              <wp:positionH relativeFrom="page">
                <wp:posOffset>666750</wp:posOffset>
              </wp:positionH>
              <wp:positionV relativeFrom="page">
                <wp:posOffset>832103</wp:posOffset>
              </wp:positionV>
              <wp:extent cx="13982700" cy="28575"/>
              <wp:effectExtent l="0" t="0" r="0" b="0"/>
              <wp:wrapNone/>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ABEE6" id="Graphic 969" o:spid="_x0000_s1026" style="position:absolute;margin-left:52.5pt;margin-top:65.5pt;width:1101pt;height:2.25pt;z-index:-27819008;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" path="m13982700,l,,,28194r13982700,l13982700,xe" fillcolor="black" stroked="f">
              <v:path arrowok="t"/>
              <w10:wrap anchorx="page" anchory="page"/>
            </v:shape>
          </w:pict>
        </mc:Fallback>
      </mc:AlternateContent>
    </w:r>
    <w:r>
      <w:rPr>
        <w:noProof/>
      </w:rPr>
      <mc:AlternateContent>
        <mc:Choice Requires="wps">
          <w:drawing>
            <wp:anchor distT="0" distB="0" distL="0" distR="0" simplePos="0" relativeHeight="475497984" behindDoc="1" locked="0" layoutInCell="1" allowOverlap="1" wp14:anchorId="24D63196" wp14:editId="24D63197">
              <wp:simplePos x="0" y="0"/>
              <wp:positionH relativeFrom="page">
                <wp:posOffset>673100</wp:posOffset>
              </wp:positionH>
              <wp:positionV relativeFrom="page">
                <wp:posOffset>490475</wp:posOffset>
              </wp:positionV>
              <wp:extent cx="2650490" cy="342265"/>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490" cy="342265"/>
                      </a:xfrm>
                      <a:prstGeom prst="rect">
                        <a:avLst/>
                      </a:prstGeom>
                    </wps:spPr>
                    <wps:txbx>
                      <w:txbxContent>
                        <w:p w14:paraId="24D63366"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67" w14:textId="77777777" w:rsidR="00245300" w:rsidRDefault="00F17249">
                          <w:pPr>
                            <w:pStyle w:val="BodyText"/>
                            <w:ind w:left="20"/>
                          </w:pPr>
                          <w:r>
                            <w:t>1002</w:t>
                          </w:r>
                          <w:r>
                            <w:rPr>
                              <w:spacing w:val="-7"/>
                            </w:rPr>
                            <w:t xml:space="preserve"> </w:t>
                          </w:r>
                          <w:r>
                            <w:t>D</w:t>
                          </w:r>
                          <w:r>
                            <w:rPr>
                              <w:spacing w:val="-7"/>
                            </w:rPr>
                            <w:t xml:space="preserve"> </w:t>
                          </w:r>
                          <w:r>
                            <w:t>–</w:t>
                          </w:r>
                          <w:r>
                            <w:rPr>
                              <w:spacing w:val="-7"/>
                            </w:rPr>
                            <w:t xml:space="preserve"> </w:t>
                          </w:r>
                          <w:r>
                            <w:t>Example</w:t>
                          </w:r>
                          <w:r>
                            <w:rPr>
                              <w:spacing w:val="-6"/>
                            </w:rPr>
                            <w:t xml:space="preserve"> </w:t>
                          </w:r>
                          <w:r>
                            <w:t>Management</w:t>
                          </w:r>
                          <w:r>
                            <w:rPr>
                              <w:spacing w:val="-7"/>
                            </w:rPr>
                            <w:t xml:space="preserve"> </w:t>
                          </w:r>
                          <w:r>
                            <w:rPr>
                              <w:spacing w:val="-2"/>
                            </w:rPr>
                            <w:t>Schedule</w:t>
                          </w:r>
                        </w:p>
                      </w:txbxContent>
                    </wps:txbx>
                    <wps:bodyPr wrap="square" lIns="0" tIns="0" rIns="0" bIns="0" rtlCol="0">
                      <a:noAutofit/>
                    </wps:bodyPr>
                  </wps:wsp>
                </a:graphicData>
              </a:graphic>
            </wp:anchor>
          </w:drawing>
        </mc:Choice>
        <mc:Fallback>
          <w:pict>
            <v:shapetype w14:anchorId="24D63196" id="_x0000_t202" coordsize="21600,21600" o:spt="202" path="m,l,21600r21600,l21600,xe">
              <v:stroke joinstyle="miter"/>
              <v:path gradientshapeok="t" o:connecttype="rect"/>
            </v:shapetype>
            <v:shape id="Textbox 970" o:spid="_x0000_s1318" type="#_x0000_t202" style="position:absolute;margin-left:53pt;margin-top:38.6pt;width:208.7pt;height:26.95pt;z-index:-278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" filled="f" stroked="f">
              <v:textbox inset="0,0,0,0">
                <w:txbxContent>
                  <w:p w14:paraId="24D63366"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67" w14:textId="77777777" w:rsidR="00245300" w:rsidRDefault="00F17249">
                    <w:pPr>
                      <w:pStyle w:val="BodyText"/>
                      <w:ind w:left="20"/>
                    </w:pPr>
                    <w:r>
                      <w:t>1002</w:t>
                    </w:r>
                    <w:r>
                      <w:rPr>
                        <w:spacing w:val="-7"/>
                      </w:rPr>
                      <w:t xml:space="preserve"> </w:t>
                    </w:r>
                    <w:r>
                      <w:t>D</w:t>
                    </w:r>
                    <w:r>
                      <w:rPr>
                        <w:spacing w:val="-7"/>
                      </w:rPr>
                      <w:t xml:space="preserve"> </w:t>
                    </w:r>
                    <w:r>
                      <w:t>–</w:t>
                    </w:r>
                    <w:r>
                      <w:rPr>
                        <w:spacing w:val="-7"/>
                      </w:rPr>
                      <w:t xml:space="preserve"> </w:t>
                    </w:r>
                    <w:r>
                      <w:t>Example</w:t>
                    </w:r>
                    <w:r>
                      <w:rPr>
                        <w:spacing w:val="-6"/>
                      </w:rPr>
                      <w:t xml:space="preserve"> </w:t>
                    </w:r>
                    <w:r>
                      <w:t>Management</w:t>
                    </w:r>
                    <w:r>
                      <w:rPr>
                        <w:spacing w:val="-7"/>
                      </w:rPr>
                      <w:t xml:space="preserve"> </w:t>
                    </w:r>
                    <w:r>
                      <w:rPr>
                        <w:spacing w:val="-2"/>
                      </w:rPr>
                      <w:t>Schedule</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2" w14:textId="77777777" w:rsidR="00245300" w:rsidRDefault="00F17249">
    <w:pPr>
      <w:pStyle w:val="BodyText"/>
      <w:spacing w:line="14" w:lineRule="auto"/>
      <w:rPr>
        <w:sz w:val="20"/>
      </w:rPr>
    </w:pPr>
    <w:r>
      <w:rPr>
        <w:noProof/>
      </w:rPr>
      <mc:AlternateContent>
        <mc:Choice Requires="wps">
          <w:drawing>
            <wp:anchor distT="0" distB="0" distL="0" distR="0" simplePos="0" relativeHeight="475500544" behindDoc="1" locked="0" layoutInCell="1" allowOverlap="1" wp14:anchorId="24D631A0" wp14:editId="24D631A1">
              <wp:simplePos x="0" y="0"/>
              <wp:positionH relativeFrom="page">
                <wp:posOffset>895350</wp:posOffset>
              </wp:positionH>
              <wp:positionV relativeFrom="page">
                <wp:posOffset>457962</wp:posOffset>
              </wp:positionV>
              <wp:extent cx="5981700" cy="28575"/>
              <wp:effectExtent l="0" t="0" r="0" b="0"/>
              <wp:wrapNone/>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EF94D" id="Graphic 976" o:spid="_x0000_s1026" style="position:absolute;margin-left:70.5pt;margin-top:36.05pt;width:471pt;height:2.25pt;z-index:-278159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501056" behindDoc="1" locked="0" layoutInCell="1" allowOverlap="1" wp14:anchorId="24D631A2" wp14:editId="24D631A3">
              <wp:simplePos x="0" y="0"/>
              <wp:positionH relativeFrom="page">
                <wp:posOffset>895350</wp:posOffset>
              </wp:positionH>
              <wp:positionV relativeFrom="page">
                <wp:posOffset>832103</wp:posOffset>
              </wp:positionV>
              <wp:extent cx="5981700" cy="28575"/>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D8B996" id="Graphic 977" o:spid="_x0000_s1026" style="position:absolute;margin-left:70.5pt;margin-top:65.5pt;width:471pt;height:2.25pt;z-index:-278154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501568" behindDoc="1" locked="0" layoutInCell="1" allowOverlap="1" wp14:anchorId="24D631A4" wp14:editId="24D631A5">
              <wp:simplePos x="0" y="0"/>
              <wp:positionH relativeFrom="page">
                <wp:posOffset>901700</wp:posOffset>
              </wp:positionH>
              <wp:positionV relativeFrom="page">
                <wp:posOffset>490475</wp:posOffset>
              </wp:positionV>
              <wp:extent cx="3434079" cy="342265"/>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4079" cy="342265"/>
                      </a:xfrm>
                      <a:prstGeom prst="rect">
                        <a:avLst/>
                      </a:prstGeom>
                    </wps:spPr>
                    <wps:txbx>
                      <w:txbxContent>
                        <w:p w14:paraId="24D6336B"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6C" w14:textId="77777777" w:rsidR="00245300" w:rsidRDefault="00F17249">
                          <w:pPr>
                            <w:pStyle w:val="BodyText"/>
                            <w:ind w:left="20"/>
                          </w:pPr>
                          <w:r>
                            <w:t>1003</w:t>
                          </w:r>
                          <w:r>
                            <w:rPr>
                              <w:spacing w:val="-8"/>
                            </w:rPr>
                            <w:t xml:space="preserve"> </w:t>
                          </w:r>
                          <w:r>
                            <w:t>–</w:t>
                          </w:r>
                          <w:r>
                            <w:rPr>
                              <w:spacing w:val="-8"/>
                            </w:rPr>
                            <w:t xml:space="preserve"> </w:t>
                          </w:r>
                          <w:r>
                            <w:t>Financial</w:t>
                          </w:r>
                          <w:r>
                            <w:rPr>
                              <w:spacing w:val="-8"/>
                            </w:rPr>
                            <w:t xml:space="preserve"> </w:t>
                          </w:r>
                          <w:r>
                            <w:t>Statement</w:t>
                          </w:r>
                          <w:r>
                            <w:rPr>
                              <w:spacing w:val="-8"/>
                            </w:rPr>
                            <w:t xml:space="preserve"> </w:t>
                          </w:r>
                          <w:r>
                            <w:t>Audit</w:t>
                          </w:r>
                          <w:r>
                            <w:rPr>
                              <w:spacing w:val="-8"/>
                            </w:rPr>
                            <w:t xml:space="preserve"> </w:t>
                          </w:r>
                          <w:r>
                            <w:t>Completion</w:t>
                          </w:r>
                          <w:r>
                            <w:rPr>
                              <w:spacing w:val="-8"/>
                            </w:rPr>
                            <w:t xml:space="preserve"> </w:t>
                          </w:r>
                          <w:r>
                            <w:rPr>
                              <w:spacing w:val="-2"/>
                            </w:rPr>
                            <w:t>Checklist</w:t>
                          </w:r>
                        </w:p>
                      </w:txbxContent>
                    </wps:txbx>
                    <wps:bodyPr wrap="square" lIns="0" tIns="0" rIns="0" bIns="0" rtlCol="0">
                      <a:noAutofit/>
                    </wps:bodyPr>
                  </wps:wsp>
                </a:graphicData>
              </a:graphic>
            </wp:anchor>
          </w:drawing>
        </mc:Choice>
        <mc:Fallback>
          <w:pict>
            <v:shapetype w14:anchorId="24D631A4" id="_x0000_t202" coordsize="21600,21600" o:spt="202" path="m,l,21600r21600,l21600,xe">
              <v:stroke joinstyle="miter"/>
              <v:path gradientshapeok="t" o:connecttype="rect"/>
            </v:shapetype>
            <v:shape id="Textbox 978" o:spid="_x0000_s1322" type="#_x0000_t202" style="position:absolute;margin-left:71pt;margin-top:38.6pt;width:270.4pt;height:26.95pt;z-index:-27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" filled="f" stroked="f">
              <v:textbox inset="0,0,0,0">
                <w:txbxContent>
                  <w:p w14:paraId="24D6336B" w14:textId="77777777" w:rsidR="00245300" w:rsidRDefault="00F17249">
                    <w:pPr>
                      <w:pStyle w:val="BodyText"/>
                      <w:spacing w:before="12"/>
                      <w:ind w:left="20"/>
                    </w:pPr>
                    <w:r>
                      <w:t>Reporting</w:t>
                    </w:r>
                    <w:r>
                      <w:rPr>
                        <w:spacing w:val="-14"/>
                      </w:rPr>
                      <w:t xml:space="preserve"> </w:t>
                    </w:r>
                    <w:r>
                      <w:t>Implementation</w:t>
                    </w:r>
                    <w:r>
                      <w:rPr>
                        <w:spacing w:val="-13"/>
                      </w:rPr>
                      <w:t xml:space="preserve"> </w:t>
                    </w:r>
                    <w:r>
                      <w:rPr>
                        <w:spacing w:val="-2"/>
                      </w:rPr>
                      <w:t>Guidance</w:t>
                    </w:r>
                  </w:p>
                  <w:p w14:paraId="24D6336C" w14:textId="77777777" w:rsidR="00245300" w:rsidRDefault="00F17249">
                    <w:pPr>
                      <w:pStyle w:val="BodyText"/>
                      <w:ind w:left="20"/>
                    </w:pPr>
                    <w:r>
                      <w:t>1003</w:t>
                    </w:r>
                    <w:r>
                      <w:rPr>
                        <w:spacing w:val="-8"/>
                      </w:rPr>
                      <w:t xml:space="preserve"> </w:t>
                    </w:r>
                    <w:r>
                      <w:t>–</w:t>
                    </w:r>
                    <w:r>
                      <w:rPr>
                        <w:spacing w:val="-8"/>
                      </w:rPr>
                      <w:t xml:space="preserve"> </w:t>
                    </w:r>
                    <w:r>
                      <w:t>Financial</w:t>
                    </w:r>
                    <w:r>
                      <w:rPr>
                        <w:spacing w:val="-8"/>
                      </w:rPr>
                      <w:t xml:space="preserve"> </w:t>
                    </w:r>
                    <w:r>
                      <w:t>Statement</w:t>
                    </w:r>
                    <w:r>
                      <w:rPr>
                        <w:spacing w:val="-8"/>
                      </w:rPr>
                      <w:t xml:space="preserve"> </w:t>
                    </w:r>
                    <w:r>
                      <w:t>Audit</w:t>
                    </w:r>
                    <w:r>
                      <w:rPr>
                        <w:spacing w:val="-8"/>
                      </w:rPr>
                      <w:t xml:space="preserve"> </w:t>
                    </w:r>
                    <w:r>
                      <w:t>Completion</w:t>
                    </w:r>
                    <w:r>
                      <w:rPr>
                        <w:spacing w:val="-8"/>
                      </w:rPr>
                      <w:t xml:space="preserve"> </w:t>
                    </w:r>
                    <w:r>
                      <w:rPr>
                        <w:spacing w:val="-2"/>
                      </w:rPr>
                      <w:t>Checklist</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4" w14:textId="77777777" w:rsidR="00245300" w:rsidRDefault="00F17249">
    <w:pPr>
      <w:pStyle w:val="BodyText"/>
      <w:spacing w:line="14" w:lineRule="auto"/>
      <w:rPr>
        <w:sz w:val="20"/>
      </w:rPr>
    </w:pPr>
    <w:r>
      <w:rPr>
        <w:noProof/>
      </w:rPr>
      <mc:AlternateContent>
        <mc:Choice Requires="wps">
          <w:drawing>
            <wp:anchor distT="0" distB="0" distL="0" distR="0" simplePos="0" relativeHeight="475504128" behindDoc="1" locked="0" layoutInCell="1" allowOverlap="1" wp14:anchorId="24D631AE" wp14:editId="24D631AF">
              <wp:simplePos x="0" y="0"/>
              <wp:positionH relativeFrom="page">
                <wp:posOffset>895350</wp:posOffset>
              </wp:positionH>
              <wp:positionV relativeFrom="page">
                <wp:posOffset>457962</wp:posOffset>
              </wp:positionV>
              <wp:extent cx="5981700" cy="28575"/>
              <wp:effectExtent l="0" t="0" r="0" b="0"/>
              <wp:wrapNone/>
              <wp:docPr id="989" name="Graphic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5483F" id="Graphic 989" o:spid="_x0000_s1026" style="position:absolute;margin-left:70.5pt;margin-top:36.05pt;width:471pt;height:2.25pt;z-index:-278123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504640" behindDoc="1" locked="0" layoutInCell="1" allowOverlap="1" wp14:anchorId="24D631B0" wp14:editId="24D631B1">
              <wp:simplePos x="0" y="0"/>
              <wp:positionH relativeFrom="page">
                <wp:posOffset>895350</wp:posOffset>
              </wp:positionH>
              <wp:positionV relativeFrom="page">
                <wp:posOffset>832103</wp:posOffset>
              </wp:positionV>
              <wp:extent cx="5981700" cy="28575"/>
              <wp:effectExtent l="0" t="0" r="0" b="0"/>
              <wp:wrapNone/>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B327B" id="Graphic 990" o:spid="_x0000_s1026" style="position:absolute;margin-left:70.5pt;margin-top:65.5pt;width:471pt;height:2.25pt;z-index:-278118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505152" behindDoc="1" locked="0" layoutInCell="1" allowOverlap="1" wp14:anchorId="24D631B2" wp14:editId="24D631B3">
              <wp:simplePos x="0" y="0"/>
              <wp:positionH relativeFrom="page">
                <wp:posOffset>901700</wp:posOffset>
              </wp:positionH>
              <wp:positionV relativeFrom="page">
                <wp:posOffset>490475</wp:posOffset>
              </wp:positionV>
              <wp:extent cx="2262505" cy="34226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342265"/>
                      </a:xfrm>
                      <a:prstGeom prst="rect">
                        <a:avLst/>
                      </a:prstGeom>
                    </wps:spPr>
                    <wps:txbx>
                      <w:txbxContent>
                        <w:p w14:paraId="24D63370" w14:textId="77777777" w:rsidR="00245300" w:rsidRDefault="00F17249">
                          <w:pPr>
                            <w:pStyle w:val="BodyText"/>
                            <w:spacing w:before="12"/>
                            <w:ind w:left="20" w:right="18"/>
                          </w:pPr>
                          <w:r>
                            <w:t>Reporting</w:t>
                          </w:r>
                          <w:r>
                            <w:rPr>
                              <w:spacing w:val="-16"/>
                            </w:rPr>
                            <w:t xml:space="preserve"> </w:t>
                          </w:r>
                          <w:r>
                            <w:t>Implementation</w:t>
                          </w:r>
                          <w:r>
                            <w:rPr>
                              <w:spacing w:val="-15"/>
                            </w:rPr>
                            <w:t xml:space="preserve"> </w:t>
                          </w:r>
                          <w:r>
                            <w:t>Guidance 1005 – Subsequent Events Review</w:t>
                          </w:r>
                        </w:p>
                      </w:txbxContent>
                    </wps:txbx>
                    <wps:bodyPr wrap="square" lIns="0" tIns="0" rIns="0" bIns="0" rtlCol="0">
                      <a:noAutofit/>
                    </wps:bodyPr>
                  </wps:wsp>
                </a:graphicData>
              </a:graphic>
            </wp:anchor>
          </w:drawing>
        </mc:Choice>
        <mc:Fallback>
          <w:pict>
            <v:shapetype w14:anchorId="24D631B2" id="_x0000_t202" coordsize="21600,21600" o:spt="202" path="m,l,21600r21600,l21600,xe">
              <v:stroke joinstyle="miter"/>
              <v:path gradientshapeok="t" o:connecttype="rect"/>
            </v:shapetype>
            <v:shape id="Textbox 991" o:spid="_x0000_s1326" type="#_x0000_t202" style="position:absolute;margin-left:71pt;margin-top:38.6pt;width:178.15pt;height:26.95pt;z-index:-278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" filled="f" stroked="f">
              <v:textbox inset="0,0,0,0">
                <w:txbxContent>
                  <w:p w14:paraId="24D63370" w14:textId="77777777" w:rsidR="00245300" w:rsidRDefault="00F17249">
                    <w:pPr>
                      <w:pStyle w:val="BodyText"/>
                      <w:spacing w:before="12"/>
                      <w:ind w:left="20" w:right="18"/>
                    </w:pPr>
                    <w:r>
                      <w:t>Reporting</w:t>
                    </w:r>
                    <w:r>
                      <w:rPr>
                        <w:spacing w:val="-16"/>
                      </w:rPr>
                      <w:t xml:space="preserve"> </w:t>
                    </w:r>
                    <w:r>
                      <w:t>Implementation</w:t>
                    </w:r>
                    <w:r>
                      <w:rPr>
                        <w:spacing w:val="-15"/>
                      </w:rPr>
                      <w:t xml:space="preserve"> </w:t>
                    </w:r>
                    <w:r>
                      <w:t>Guidance 1005 – Subsequent Events Review</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A8" w14:textId="77777777" w:rsidR="00245300" w:rsidRDefault="0024530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D12" w14:textId="77777777" w:rsidR="00245300" w:rsidRDefault="00F17249">
    <w:pPr>
      <w:pStyle w:val="BodyText"/>
      <w:spacing w:line="14" w:lineRule="auto"/>
      <w:rPr>
        <w:sz w:val="20"/>
      </w:rPr>
    </w:pPr>
    <w:r>
      <w:rPr>
        <w:noProof/>
      </w:rPr>
      <mc:AlternateContent>
        <mc:Choice Requires="wps">
          <w:drawing>
            <wp:anchor distT="0" distB="0" distL="0" distR="0" simplePos="0" relativeHeight="475262976" behindDoc="1" locked="0" layoutInCell="1" allowOverlap="1" wp14:anchorId="24D62E00" wp14:editId="24D62E01">
              <wp:simplePos x="0" y="0"/>
              <wp:positionH relativeFrom="page">
                <wp:posOffset>895350</wp:posOffset>
              </wp:positionH>
              <wp:positionV relativeFrom="page">
                <wp:posOffset>457962</wp:posOffset>
              </wp:positionV>
              <wp:extent cx="5981700" cy="2857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56DBF1" id="Graphic 84" o:spid="_x0000_s1026" style="position:absolute;margin-left:70.5pt;margin-top:36.05pt;width:471pt;height:2.25pt;z-index:-280535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3488" behindDoc="1" locked="0" layoutInCell="1" allowOverlap="1" wp14:anchorId="24D62E02" wp14:editId="24D62E03">
              <wp:simplePos x="0" y="0"/>
              <wp:positionH relativeFrom="page">
                <wp:posOffset>895350</wp:posOffset>
              </wp:positionH>
              <wp:positionV relativeFrom="page">
                <wp:posOffset>832103</wp:posOffset>
              </wp:positionV>
              <wp:extent cx="5981700" cy="2857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FDC5D" id="Graphic 85" o:spid="_x0000_s1026" style="position:absolute;margin-left:70.5pt;margin-top:65.5pt;width:471pt;height:2.25pt;z-index:-280529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rPr>
      <mc:AlternateContent>
        <mc:Choice Requires="wps">
          <w:drawing>
            <wp:anchor distT="0" distB="0" distL="0" distR="0" simplePos="0" relativeHeight="475264000" behindDoc="1" locked="0" layoutInCell="1" allowOverlap="1" wp14:anchorId="24D62E04" wp14:editId="24D62E05">
              <wp:simplePos x="0" y="0"/>
              <wp:positionH relativeFrom="page">
                <wp:posOffset>901700</wp:posOffset>
              </wp:positionH>
              <wp:positionV relativeFrom="page">
                <wp:posOffset>490475</wp:posOffset>
              </wp:positionV>
              <wp:extent cx="2938145" cy="3422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145" cy="342265"/>
                      </a:xfrm>
                      <a:prstGeom prst="rect">
                        <a:avLst/>
                      </a:prstGeom>
                    </wps:spPr>
                    <wps:txbx>
                      <w:txbxContent>
                        <w:p w14:paraId="24D63223"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24" w14:textId="77777777" w:rsidR="00245300" w:rsidRDefault="00F17249">
                          <w:pPr>
                            <w:pStyle w:val="BodyText"/>
                            <w:ind w:left="20"/>
                          </w:pPr>
                          <w:r>
                            <w:t>620</w:t>
                          </w:r>
                          <w:r>
                            <w:rPr>
                              <w:spacing w:val="-5"/>
                            </w:rPr>
                            <w:t xml:space="preserve"> </w:t>
                          </w:r>
                          <w:r>
                            <w:t>–</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t>an</w:t>
                          </w:r>
                          <w:r>
                            <w:rPr>
                              <w:spacing w:val="-4"/>
                            </w:rPr>
                            <w:t xml:space="preserve"> </w:t>
                          </w:r>
                          <w:r>
                            <w:t>Auditor’s</w:t>
                          </w:r>
                          <w:r>
                            <w:rPr>
                              <w:spacing w:val="-5"/>
                            </w:rPr>
                            <w:t xml:space="preserve"> </w:t>
                          </w:r>
                          <w:r>
                            <w:rPr>
                              <w:spacing w:val="-2"/>
                            </w:rPr>
                            <w:t>Specialist</w:t>
                          </w:r>
                        </w:p>
                      </w:txbxContent>
                    </wps:txbx>
                    <wps:bodyPr wrap="square" lIns="0" tIns="0" rIns="0" bIns="0" rtlCol="0">
                      <a:noAutofit/>
                    </wps:bodyPr>
                  </wps:wsp>
                </a:graphicData>
              </a:graphic>
            </wp:anchor>
          </w:drawing>
        </mc:Choice>
        <mc:Fallback>
          <w:pict>
            <v:shapetype w14:anchorId="24D62E04" id="_x0000_t202" coordsize="21600,21600" o:spt="202" path="m,l,21600r21600,l21600,xe">
              <v:stroke joinstyle="miter"/>
              <v:path gradientshapeok="t" o:connecttype="rect"/>
            </v:shapetype>
            <v:shape id="Textbox 86" o:spid="_x0000_s1052" type="#_x0000_t202" style="position:absolute;margin-left:71pt;margin-top:38.6pt;width:231.35pt;height:26.95pt;z-index:-280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" filled="f" stroked="f">
              <v:textbox inset="0,0,0,0">
                <w:txbxContent>
                  <w:p w14:paraId="24D63223" w14:textId="77777777" w:rsidR="00245300" w:rsidRDefault="00F17249">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24D63224" w14:textId="77777777" w:rsidR="00245300" w:rsidRDefault="00F17249">
                    <w:pPr>
                      <w:pStyle w:val="BodyText"/>
                      <w:ind w:left="20"/>
                    </w:pPr>
                    <w:r>
                      <w:t>620</w:t>
                    </w:r>
                    <w:r>
                      <w:rPr>
                        <w:spacing w:val="-5"/>
                      </w:rPr>
                      <w:t xml:space="preserve"> </w:t>
                    </w:r>
                    <w:r>
                      <w:t>–</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t>an</w:t>
                    </w:r>
                    <w:r>
                      <w:rPr>
                        <w:spacing w:val="-4"/>
                      </w:rPr>
                      <w:t xml:space="preserve"> </w:t>
                    </w:r>
                    <w:r>
                      <w:t>Auditor’s</w:t>
                    </w:r>
                    <w:r>
                      <w:rPr>
                        <w:spacing w:val="-5"/>
                      </w:rPr>
                      <w:t xml:space="preserve"> </w:t>
                    </w:r>
                    <w:r>
                      <w:rPr>
                        <w:spacing w:val="-2"/>
                      </w:rPr>
                      <w:t>Specialist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75E"/>
    <w:multiLevelType w:val="hybridMultilevel"/>
    <w:tmpl w:val="D2742BF4"/>
    <w:lvl w:ilvl="0" w:tplc="9056958C">
      <w:start w:val="4"/>
      <w:numFmt w:val="decimal"/>
      <w:lvlText w:val="%1."/>
      <w:lvlJc w:val="left"/>
      <w:pPr>
        <w:ind w:left="624" w:hanging="485"/>
      </w:pPr>
      <w:rPr>
        <w:rFonts w:ascii="Arial" w:eastAsia="Arial" w:hAnsi="Arial" w:cs="Arial" w:hint="default"/>
        <w:b w:val="0"/>
        <w:bCs w:val="0"/>
        <w:i w:val="0"/>
        <w:iCs w:val="0"/>
        <w:spacing w:val="0"/>
        <w:w w:val="99"/>
        <w:sz w:val="22"/>
        <w:szCs w:val="22"/>
        <w:lang w:val="en-US" w:eastAsia="en-US" w:bidi="ar-SA"/>
      </w:rPr>
    </w:lvl>
    <w:lvl w:ilvl="1" w:tplc="814A7FA4">
      <w:start w:val="1"/>
      <w:numFmt w:val="lowerLetter"/>
      <w:lvlText w:val="(%2)"/>
      <w:lvlJc w:val="left"/>
      <w:pPr>
        <w:ind w:left="1220" w:hanging="536"/>
      </w:pPr>
      <w:rPr>
        <w:rFonts w:ascii="Arial" w:eastAsia="Arial" w:hAnsi="Arial" w:cs="Arial" w:hint="default"/>
        <w:b w:val="0"/>
        <w:bCs w:val="0"/>
        <w:i w:val="0"/>
        <w:iCs w:val="0"/>
        <w:spacing w:val="-1"/>
        <w:w w:val="99"/>
        <w:sz w:val="22"/>
        <w:szCs w:val="22"/>
        <w:lang w:val="en-US" w:eastAsia="en-US" w:bidi="ar-SA"/>
      </w:rPr>
    </w:lvl>
    <w:lvl w:ilvl="2" w:tplc="5E50B896">
      <w:numFmt w:val="bullet"/>
      <w:lvlText w:val="•"/>
      <w:lvlJc w:val="left"/>
      <w:pPr>
        <w:ind w:left="1793" w:hanging="536"/>
      </w:pPr>
      <w:rPr>
        <w:rFonts w:hint="default"/>
        <w:lang w:val="en-US" w:eastAsia="en-US" w:bidi="ar-SA"/>
      </w:rPr>
    </w:lvl>
    <w:lvl w:ilvl="3" w:tplc="FAD8D88E">
      <w:numFmt w:val="bullet"/>
      <w:lvlText w:val="•"/>
      <w:lvlJc w:val="left"/>
      <w:pPr>
        <w:ind w:left="2367" w:hanging="536"/>
      </w:pPr>
      <w:rPr>
        <w:rFonts w:hint="default"/>
        <w:lang w:val="en-US" w:eastAsia="en-US" w:bidi="ar-SA"/>
      </w:rPr>
    </w:lvl>
    <w:lvl w:ilvl="4" w:tplc="6650A57E">
      <w:numFmt w:val="bullet"/>
      <w:lvlText w:val="•"/>
      <w:lvlJc w:val="left"/>
      <w:pPr>
        <w:ind w:left="2941" w:hanging="536"/>
      </w:pPr>
      <w:rPr>
        <w:rFonts w:hint="default"/>
        <w:lang w:val="en-US" w:eastAsia="en-US" w:bidi="ar-SA"/>
      </w:rPr>
    </w:lvl>
    <w:lvl w:ilvl="5" w:tplc="74DCC164">
      <w:numFmt w:val="bullet"/>
      <w:lvlText w:val="•"/>
      <w:lvlJc w:val="left"/>
      <w:pPr>
        <w:ind w:left="3515" w:hanging="536"/>
      </w:pPr>
      <w:rPr>
        <w:rFonts w:hint="default"/>
        <w:lang w:val="en-US" w:eastAsia="en-US" w:bidi="ar-SA"/>
      </w:rPr>
    </w:lvl>
    <w:lvl w:ilvl="6" w:tplc="C4708C58">
      <w:numFmt w:val="bullet"/>
      <w:lvlText w:val="•"/>
      <w:lvlJc w:val="left"/>
      <w:pPr>
        <w:ind w:left="4088" w:hanging="536"/>
      </w:pPr>
      <w:rPr>
        <w:rFonts w:hint="default"/>
        <w:lang w:val="en-US" w:eastAsia="en-US" w:bidi="ar-SA"/>
      </w:rPr>
    </w:lvl>
    <w:lvl w:ilvl="7" w:tplc="A14C8110">
      <w:numFmt w:val="bullet"/>
      <w:lvlText w:val="•"/>
      <w:lvlJc w:val="left"/>
      <w:pPr>
        <w:ind w:left="4662" w:hanging="536"/>
      </w:pPr>
      <w:rPr>
        <w:rFonts w:hint="default"/>
        <w:lang w:val="en-US" w:eastAsia="en-US" w:bidi="ar-SA"/>
      </w:rPr>
    </w:lvl>
    <w:lvl w:ilvl="8" w:tplc="ADBA4AC4">
      <w:numFmt w:val="bullet"/>
      <w:lvlText w:val="•"/>
      <w:lvlJc w:val="left"/>
      <w:pPr>
        <w:ind w:left="5236" w:hanging="536"/>
      </w:pPr>
      <w:rPr>
        <w:rFonts w:hint="default"/>
        <w:lang w:val="en-US" w:eastAsia="en-US" w:bidi="ar-SA"/>
      </w:rPr>
    </w:lvl>
  </w:abstractNum>
  <w:abstractNum w:abstractNumId="1" w15:restartNumberingAfterBreak="0">
    <w:nsid w:val="024A0043"/>
    <w:multiLevelType w:val="hybridMultilevel"/>
    <w:tmpl w:val="7A82302C"/>
    <w:lvl w:ilvl="0" w:tplc="7E68F0F4">
      <w:start w:val="1"/>
      <w:numFmt w:val="decimalZero"/>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71D8F48A">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2" w:tplc="E73EB112">
      <w:numFmt w:val="bullet"/>
      <w:lvlText w:val="•"/>
      <w:lvlJc w:val="left"/>
      <w:pPr>
        <w:ind w:left="2877" w:hanging="360"/>
      </w:pPr>
      <w:rPr>
        <w:rFonts w:hint="default"/>
        <w:lang w:val="en-US" w:eastAsia="en-US" w:bidi="ar-SA"/>
      </w:rPr>
    </w:lvl>
    <w:lvl w:ilvl="3" w:tplc="9CFCEBEA">
      <w:numFmt w:val="bullet"/>
      <w:lvlText w:val="•"/>
      <w:lvlJc w:val="left"/>
      <w:pPr>
        <w:ind w:left="3755" w:hanging="360"/>
      </w:pPr>
      <w:rPr>
        <w:rFonts w:hint="default"/>
        <w:lang w:val="en-US" w:eastAsia="en-US" w:bidi="ar-SA"/>
      </w:rPr>
    </w:lvl>
    <w:lvl w:ilvl="4" w:tplc="F7E47F5E">
      <w:numFmt w:val="bullet"/>
      <w:lvlText w:val="•"/>
      <w:lvlJc w:val="left"/>
      <w:pPr>
        <w:ind w:left="4633" w:hanging="360"/>
      </w:pPr>
      <w:rPr>
        <w:rFonts w:hint="default"/>
        <w:lang w:val="en-US" w:eastAsia="en-US" w:bidi="ar-SA"/>
      </w:rPr>
    </w:lvl>
    <w:lvl w:ilvl="5" w:tplc="B4D85E8A">
      <w:numFmt w:val="bullet"/>
      <w:lvlText w:val="•"/>
      <w:lvlJc w:val="left"/>
      <w:pPr>
        <w:ind w:left="5511" w:hanging="360"/>
      </w:pPr>
      <w:rPr>
        <w:rFonts w:hint="default"/>
        <w:lang w:val="en-US" w:eastAsia="en-US" w:bidi="ar-SA"/>
      </w:rPr>
    </w:lvl>
    <w:lvl w:ilvl="6" w:tplc="29203B44">
      <w:numFmt w:val="bullet"/>
      <w:lvlText w:val="•"/>
      <w:lvlJc w:val="left"/>
      <w:pPr>
        <w:ind w:left="6388" w:hanging="360"/>
      </w:pPr>
      <w:rPr>
        <w:rFonts w:hint="default"/>
        <w:lang w:val="en-US" w:eastAsia="en-US" w:bidi="ar-SA"/>
      </w:rPr>
    </w:lvl>
    <w:lvl w:ilvl="7" w:tplc="2C2847A6">
      <w:numFmt w:val="bullet"/>
      <w:lvlText w:val="•"/>
      <w:lvlJc w:val="left"/>
      <w:pPr>
        <w:ind w:left="7266" w:hanging="360"/>
      </w:pPr>
      <w:rPr>
        <w:rFonts w:hint="default"/>
        <w:lang w:val="en-US" w:eastAsia="en-US" w:bidi="ar-SA"/>
      </w:rPr>
    </w:lvl>
    <w:lvl w:ilvl="8" w:tplc="018A6644">
      <w:numFmt w:val="bullet"/>
      <w:lvlText w:val="•"/>
      <w:lvlJc w:val="left"/>
      <w:pPr>
        <w:ind w:left="8144" w:hanging="360"/>
      </w:pPr>
      <w:rPr>
        <w:rFonts w:hint="default"/>
        <w:lang w:val="en-US" w:eastAsia="en-US" w:bidi="ar-SA"/>
      </w:rPr>
    </w:lvl>
  </w:abstractNum>
  <w:abstractNum w:abstractNumId="2" w15:restartNumberingAfterBreak="0">
    <w:nsid w:val="03AD2DD9"/>
    <w:multiLevelType w:val="hybridMultilevel"/>
    <w:tmpl w:val="4AF63676"/>
    <w:lvl w:ilvl="0" w:tplc="DFF67D54">
      <w:start w:val="6"/>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978EAB9A">
      <w:start w:val="1"/>
      <w:numFmt w:val="lowerRoman"/>
      <w:lvlText w:val="%2."/>
      <w:lvlJc w:val="left"/>
      <w:pPr>
        <w:ind w:left="1514" w:hanging="286"/>
        <w:jc w:val="right"/>
      </w:pPr>
      <w:rPr>
        <w:rFonts w:hint="default"/>
        <w:spacing w:val="0"/>
        <w:w w:val="99"/>
        <w:lang w:val="en-US" w:eastAsia="en-US" w:bidi="ar-SA"/>
      </w:rPr>
    </w:lvl>
    <w:lvl w:ilvl="2" w:tplc="E92E28B0">
      <w:numFmt w:val="bullet"/>
      <w:lvlText w:val="•"/>
      <w:lvlJc w:val="left"/>
      <w:pPr>
        <w:ind w:left="2167" w:hanging="286"/>
      </w:pPr>
      <w:rPr>
        <w:rFonts w:hint="default"/>
        <w:lang w:val="en-US" w:eastAsia="en-US" w:bidi="ar-SA"/>
      </w:rPr>
    </w:lvl>
    <w:lvl w:ilvl="3" w:tplc="6742B18A">
      <w:numFmt w:val="bullet"/>
      <w:lvlText w:val="•"/>
      <w:lvlJc w:val="left"/>
      <w:pPr>
        <w:ind w:left="2815" w:hanging="286"/>
      </w:pPr>
      <w:rPr>
        <w:rFonts w:hint="default"/>
        <w:lang w:val="en-US" w:eastAsia="en-US" w:bidi="ar-SA"/>
      </w:rPr>
    </w:lvl>
    <w:lvl w:ilvl="4" w:tplc="846E0430">
      <w:numFmt w:val="bullet"/>
      <w:lvlText w:val="•"/>
      <w:lvlJc w:val="left"/>
      <w:pPr>
        <w:ind w:left="3462" w:hanging="286"/>
      </w:pPr>
      <w:rPr>
        <w:rFonts w:hint="default"/>
        <w:lang w:val="en-US" w:eastAsia="en-US" w:bidi="ar-SA"/>
      </w:rPr>
    </w:lvl>
    <w:lvl w:ilvl="5" w:tplc="0B342FDE">
      <w:numFmt w:val="bullet"/>
      <w:lvlText w:val="•"/>
      <w:lvlJc w:val="left"/>
      <w:pPr>
        <w:ind w:left="4110" w:hanging="286"/>
      </w:pPr>
      <w:rPr>
        <w:rFonts w:hint="default"/>
        <w:lang w:val="en-US" w:eastAsia="en-US" w:bidi="ar-SA"/>
      </w:rPr>
    </w:lvl>
    <w:lvl w:ilvl="6" w:tplc="A00A23C0">
      <w:numFmt w:val="bullet"/>
      <w:lvlText w:val="•"/>
      <w:lvlJc w:val="left"/>
      <w:pPr>
        <w:ind w:left="4757" w:hanging="286"/>
      </w:pPr>
      <w:rPr>
        <w:rFonts w:hint="default"/>
        <w:lang w:val="en-US" w:eastAsia="en-US" w:bidi="ar-SA"/>
      </w:rPr>
    </w:lvl>
    <w:lvl w:ilvl="7" w:tplc="CB46F5D4">
      <w:numFmt w:val="bullet"/>
      <w:lvlText w:val="•"/>
      <w:lvlJc w:val="left"/>
      <w:pPr>
        <w:ind w:left="5405" w:hanging="286"/>
      </w:pPr>
      <w:rPr>
        <w:rFonts w:hint="default"/>
        <w:lang w:val="en-US" w:eastAsia="en-US" w:bidi="ar-SA"/>
      </w:rPr>
    </w:lvl>
    <w:lvl w:ilvl="8" w:tplc="4E6CEFCE">
      <w:numFmt w:val="bullet"/>
      <w:lvlText w:val="•"/>
      <w:lvlJc w:val="left"/>
      <w:pPr>
        <w:ind w:left="6052" w:hanging="286"/>
      </w:pPr>
      <w:rPr>
        <w:rFonts w:hint="default"/>
        <w:lang w:val="en-US" w:eastAsia="en-US" w:bidi="ar-SA"/>
      </w:rPr>
    </w:lvl>
  </w:abstractNum>
  <w:abstractNum w:abstractNumId="3" w15:restartNumberingAfterBreak="0">
    <w:nsid w:val="03E47B70"/>
    <w:multiLevelType w:val="hybridMultilevel"/>
    <w:tmpl w:val="71C2A6EE"/>
    <w:lvl w:ilvl="0" w:tplc="74BEF916">
      <w:start w:val="2"/>
      <w:numFmt w:val="decimal"/>
      <w:lvlText w:val="%1."/>
      <w:lvlJc w:val="left"/>
      <w:pPr>
        <w:ind w:left="1177" w:hanging="360"/>
      </w:pPr>
      <w:rPr>
        <w:rFonts w:ascii="Arial" w:eastAsia="Arial" w:hAnsi="Arial" w:cs="Arial" w:hint="default"/>
        <w:b w:val="0"/>
        <w:bCs w:val="0"/>
        <w:i w:val="0"/>
        <w:iCs w:val="0"/>
        <w:spacing w:val="0"/>
        <w:w w:val="99"/>
        <w:sz w:val="22"/>
        <w:szCs w:val="22"/>
        <w:lang w:val="en-US" w:eastAsia="en-US" w:bidi="ar-SA"/>
      </w:rPr>
    </w:lvl>
    <w:lvl w:ilvl="1" w:tplc="452E8B52">
      <w:start w:val="1"/>
      <w:numFmt w:val="lowerLetter"/>
      <w:lvlText w:val="%2."/>
      <w:lvlJc w:val="left"/>
      <w:pPr>
        <w:ind w:left="1537" w:hanging="360"/>
      </w:pPr>
      <w:rPr>
        <w:rFonts w:ascii="Arial" w:eastAsia="Arial" w:hAnsi="Arial" w:cs="Arial" w:hint="default"/>
        <w:b w:val="0"/>
        <w:bCs w:val="0"/>
        <w:i w:val="0"/>
        <w:iCs w:val="0"/>
        <w:spacing w:val="0"/>
        <w:w w:val="99"/>
        <w:sz w:val="22"/>
        <w:szCs w:val="22"/>
        <w:lang w:val="en-US" w:eastAsia="en-US" w:bidi="ar-SA"/>
      </w:rPr>
    </w:lvl>
    <w:lvl w:ilvl="2" w:tplc="39B65756">
      <w:numFmt w:val="bullet"/>
      <w:lvlText w:val="•"/>
      <w:lvlJc w:val="left"/>
      <w:pPr>
        <w:ind w:left="2151" w:hanging="360"/>
      </w:pPr>
      <w:rPr>
        <w:rFonts w:hint="default"/>
        <w:lang w:val="en-US" w:eastAsia="en-US" w:bidi="ar-SA"/>
      </w:rPr>
    </w:lvl>
    <w:lvl w:ilvl="3" w:tplc="F670BC48">
      <w:numFmt w:val="bullet"/>
      <w:lvlText w:val="•"/>
      <w:lvlJc w:val="left"/>
      <w:pPr>
        <w:ind w:left="2762" w:hanging="360"/>
      </w:pPr>
      <w:rPr>
        <w:rFonts w:hint="default"/>
        <w:lang w:val="en-US" w:eastAsia="en-US" w:bidi="ar-SA"/>
      </w:rPr>
    </w:lvl>
    <w:lvl w:ilvl="4" w:tplc="B922E8F4">
      <w:numFmt w:val="bullet"/>
      <w:lvlText w:val="•"/>
      <w:lvlJc w:val="left"/>
      <w:pPr>
        <w:ind w:left="3373" w:hanging="360"/>
      </w:pPr>
      <w:rPr>
        <w:rFonts w:hint="default"/>
        <w:lang w:val="en-US" w:eastAsia="en-US" w:bidi="ar-SA"/>
      </w:rPr>
    </w:lvl>
    <w:lvl w:ilvl="5" w:tplc="76FAEBB8">
      <w:numFmt w:val="bullet"/>
      <w:lvlText w:val="•"/>
      <w:lvlJc w:val="left"/>
      <w:pPr>
        <w:ind w:left="3984" w:hanging="360"/>
      </w:pPr>
      <w:rPr>
        <w:rFonts w:hint="default"/>
        <w:lang w:val="en-US" w:eastAsia="en-US" w:bidi="ar-SA"/>
      </w:rPr>
    </w:lvl>
    <w:lvl w:ilvl="6" w:tplc="97A62C54">
      <w:numFmt w:val="bullet"/>
      <w:lvlText w:val="•"/>
      <w:lvlJc w:val="left"/>
      <w:pPr>
        <w:ind w:left="4595" w:hanging="360"/>
      </w:pPr>
      <w:rPr>
        <w:rFonts w:hint="default"/>
        <w:lang w:val="en-US" w:eastAsia="en-US" w:bidi="ar-SA"/>
      </w:rPr>
    </w:lvl>
    <w:lvl w:ilvl="7" w:tplc="E5DEF850">
      <w:numFmt w:val="bullet"/>
      <w:lvlText w:val="•"/>
      <w:lvlJc w:val="left"/>
      <w:pPr>
        <w:ind w:left="5206" w:hanging="360"/>
      </w:pPr>
      <w:rPr>
        <w:rFonts w:hint="default"/>
        <w:lang w:val="en-US" w:eastAsia="en-US" w:bidi="ar-SA"/>
      </w:rPr>
    </w:lvl>
    <w:lvl w:ilvl="8" w:tplc="DC126282">
      <w:numFmt w:val="bullet"/>
      <w:lvlText w:val="•"/>
      <w:lvlJc w:val="left"/>
      <w:pPr>
        <w:ind w:left="5817" w:hanging="360"/>
      </w:pPr>
      <w:rPr>
        <w:rFonts w:hint="default"/>
        <w:lang w:val="en-US" w:eastAsia="en-US" w:bidi="ar-SA"/>
      </w:rPr>
    </w:lvl>
  </w:abstractNum>
  <w:abstractNum w:abstractNumId="4" w15:restartNumberingAfterBreak="0">
    <w:nsid w:val="03E7591E"/>
    <w:multiLevelType w:val="hybridMultilevel"/>
    <w:tmpl w:val="361E93FE"/>
    <w:lvl w:ilvl="0" w:tplc="13EA7AE8">
      <w:start w:val="10"/>
      <w:numFmt w:val="decimal"/>
      <w:lvlText w:val=".%1"/>
      <w:lvlJc w:val="left"/>
      <w:pPr>
        <w:ind w:left="1639" w:hanging="721"/>
      </w:pPr>
      <w:rPr>
        <w:rFonts w:ascii="Arial" w:eastAsia="Arial" w:hAnsi="Arial" w:cs="Arial" w:hint="default"/>
        <w:b w:val="0"/>
        <w:bCs w:val="0"/>
        <w:i w:val="0"/>
        <w:iCs w:val="0"/>
        <w:spacing w:val="0"/>
        <w:w w:val="99"/>
        <w:sz w:val="22"/>
        <w:szCs w:val="22"/>
        <w:lang w:val="en-US" w:eastAsia="en-US" w:bidi="ar-SA"/>
      </w:rPr>
    </w:lvl>
    <w:lvl w:ilvl="1" w:tplc="9E98C1A2">
      <w:start w:val="1"/>
      <w:numFmt w:val="lowerLetter"/>
      <w:lvlText w:val="%2."/>
      <w:lvlJc w:val="left"/>
      <w:pPr>
        <w:ind w:left="1999" w:hanging="360"/>
      </w:pPr>
      <w:rPr>
        <w:rFonts w:ascii="Arial" w:eastAsia="Arial" w:hAnsi="Arial" w:cs="Arial" w:hint="default"/>
        <w:b w:val="0"/>
        <w:bCs w:val="0"/>
        <w:i w:val="0"/>
        <w:iCs w:val="0"/>
        <w:spacing w:val="0"/>
        <w:w w:val="99"/>
        <w:sz w:val="22"/>
        <w:szCs w:val="22"/>
        <w:lang w:val="en-US" w:eastAsia="en-US" w:bidi="ar-SA"/>
      </w:rPr>
    </w:lvl>
    <w:lvl w:ilvl="2" w:tplc="0A8868AC">
      <w:numFmt w:val="bullet"/>
      <w:lvlText w:val="•"/>
      <w:lvlJc w:val="left"/>
      <w:pPr>
        <w:ind w:left="2877" w:hanging="360"/>
      </w:pPr>
      <w:rPr>
        <w:rFonts w:hint="default"/>
        <w:lang w:val="en-US" w:eastAsia="en-US" w:bidi="ar-SA"/>
      </w:rPr>
    </w:lvl>
    <w:lvl w:ilvl="3" w:tplc="2AF206EE">
      <w:numFmt w:val="bullet"/>
      <w:lvlText w:val="•"/>
      <w:lvlJc w:val="left"/>
      <w:pPr>
        <w:ind w:left="3755" w:hanging="360"/>
      </w:pPr>
      <w:rPr>
        <w:rFonts w:hint="default"/>
        <w:lang w:val="en-US" w:eastAsia="en-US" w:bidi="ar-SA"/>
      </w:rPr>
    </w:lvl>
    <w:lvl w:ilvl="4" w:tplc="13527536">
      <w:numFmt w:val="bullet"/>
      <w:lvlText w:val="•"/>
      <w:lvlJc w:val="left"/>
      <w:pPr>
        <w:ind w:left="4633" w:hanging="360"/>
      </w:pPr>
      <w:rPr>
        <w:rFonts w:hint="default"/>
        <w:lang w:val="en-US" w:eastAsia="en-US" w:bidi="ar-SA"/>
      </w:rPr>
    </w:lvl>
    <w:lvl w:ilvl="5" w:tplc="1E146E14">
      <w:numFmt w:val="bullet"/>
      <w:lvlText w:val="•"/>
      <w:lvlJc w:val="left"/>
      <w:pPr>
        <w:ind w:left="5511" w:hanging="360"/>
      </w:pPr>
      <w:rPr>
        <w:rFonts w:hint="default"/>
        <w:lang w:val="en-US" w:eastAsia="en-US" w:bidi="ar-SA"/>
      </w:rPr>
    </w:lvl>
    <w:lvl w:ilvl="6" w:tplc="625A9A8C">
      <w:numFmt w:val="bullet"/>
      <w:lvlText w:val="•"/>
      <w:lvlJc w:val="left"/>
      <w:pPr>
        <w:ind w:left="6388" w:hanging="360"/>
      </w:pPr>
      <w:rPr>
        <w:rFonts w:hint="default"/>
        <w:lang w:val="en-US" w:eastAsia="en-US" w:bidi="ar-SA"/>
      </w:rPr>
    </w:lvl>
    <w:lvl w:ilvl="7" w:tplc="576AF316">
      <w:numFmt w:val="bullet"/>
      <w:lvlText w:val="•"/>
      <w:lvlJc w:val="left"/>
      <w:pPr>
        <w:ind w:left="7266" w:hanging="360"/>
      </w:pPr>
      <w:rPr>
        <w:rFonts w:hint="default"/>
        <w:lang w:val="en-US" w:eastAsia="en-US" w:bidi="ar-SA"/>
      </w:rPr>
    </w:lvl>
    <w:lvl w:ilvl="8" w:tplc="14125040">
      <w:numFmt w:val="bullet"/>
      <w:lvlText w:val="•"/>
      <w:lvlJc w:val="left"/>
      <w:pPr>
        <w:ind w:left="8144" w:hanging="360"/>
      </w:pPr>
      <w:rPr>
        <w:rFonts w:hint="default"/>
        <w:lang w:val="en-US" w:eastAsia="en-US" w:bidi="ar-SA"/>
      </w:rPr>
    </w:lvl>
  </w:abstractNum>
  <w:abstractNum w:abstractNumId="5" w15:restartNumberingAfterBreak="0">
    <w:nsid w:val="0434661D"/>
    <w:multiLevelType w:val="hybridMultilevel"/>
    <w:tmpl w:val="7344986C"/>
    <w:lvl w:ilvl="0" w:tplc="D788F736">
      <w:start w:val="3"/>
      <w:numFmt w:val="lowerLetter"/>
      <w:lvlText w:val="%1."/>
      <w:lvlJc w:val="left"/>
      <w:pPr>
        <w:ind w:left="1284" w:hanging="360"/>
      </w:pPr>
      <w:rPr>
        <w:rFonts w:ascii="Arial" w:eastAsia="Arial" w:hAnsi="Arial" w:cs="Arial" w:hint="default"/>
        <w:b w:val="0"/>
        <w:bCs w:val="0"/>
        <w:i w:val="0"/>
        <w:iCs w:val="0"/>
        <w:spacing w:val="0"/>
        <w:w w:val="99"/>
        <w:sz w:val="22"/>
        <w:szCs w:val="22"/>
        <w:lang w:val="en-US" w:eastAsia="en-US" w:bidi="ar-SA"/>
      </w:rPr>
    </w:lvl>
    <w:lvl w:ilvl="1" w:tplc="55AE4F10">
      <w:numFmt w:val="bullet"/>
      <w:lvlText w:val=""/>
      <w:lvlJc w:val="left"/>
      <w:pPr>
        <w:ind w:left="1674" w:hanging="360"/>
      </w:pPr>
      <w:rPr>
        <w:rFonts w:ascii="Symbol" w:eastAsia="Symbol" w:hAnsi="Symbol" w:cs="Symbol" w:hint="default"/>
        <w:b w:val="0"/>
        <w:bCs w:val="0"/>
        <w:i w:val="0"/>
        <w:iCs w:val="0"/>
        <w:spacing w:val="0"/>
        <w:w w:val="99"/>
        <w:sz w:val="22"/>
        <w:szCs w:val="22"/>
        <w:lang w:val="en-US" w:eastAsia="en-US" w:bidi="ar-SA"/>
      </w:rPr>
    </w:lvl>
    <w:lvl w:ilvl="2" w:tplc="75C69568">
      <w:numFmt w:val="bullet"/>
      <w:lvlText w:val="•"/>
      <w:lvlJc w:val="left"/>
      <w:pPr>
        <w:ind w:left="2317" w:hanging="360"/>
      </w:pPr>
      <w:rPr>
        <w:rFonts w:hint="default"/>
        <w:lang w:val="en-US" w:eastAsia="en-US" w:bidi="ar-SA"/>
      </w:rPr>
    </w:lvl>
    <w:lvl w:ilvl="3" w:tplc="39E6824C">
      <w:numFmt w:val="bullet"/>
      <w:lvlText w:val="•"/>
      <w:lvlJc w:val="left"/>
      <w:pPr>
        <w:ind w:left="2954" w:hanging="360"/>
      </w:pPr>
      <w:rPr>
        <w:rFonts w:hint="default"/>
        <w:lang w:val="en-US" w:eastAsia="en-US" w:bidi="ar-SA"/>
      </w:rPr>
    </w:lvl>
    <w:lvl w:ilvl="4" w:tplc="40345F00">
      <w:numFmt w:val="bullet"/>
      <w:lvlText w:val="•"/>
      <w:lvlJc w:val="left"/>
      <w:pPr>
        <w:ind w:left="3591" w:hanging="360"/>
      </w:pPr>
      <w:rPr>
        <w:rFonts w:hint="default"/>
        <w:lang w:val="en-US" w:eastAsia="en-US" w:bidi="ar-SA"/>
      </w:rPr>
    </w:lvl>
    <w:lvl w:ilvl="5" w:tplc="128A8578">
      <w:numFmt w:val="bullet"/>
      <w:lvlText w:val="•"/>
      <w:lvlJc w:val="left"/>
      <w:pPr>
        <w:ind w:left="4228" w:hanging="360"/>
      </w:pPr>
      <w:rPr>
        <w:rFonts w:hint="default"/>
        <w:lang w:val="en-US" w:eastAsia="en-US" w:bidi="ar-SA"/>
      </w:rPr>
    </w:lvl>
    <w:lvl w:ilvl="6" w:tplc="BDD2B15A">
      <w:numFmt w:val="bullet"/>
      <w:lvlText w:val="•"/>
      <w:lvlJc w:val="left"/>
      <w:pPr>
        <w:ind w:left="4865" w:hanging="360"/>
      </w:pPr>
      <w:rPr>
        <w:rFonts w:hint="default"/>
        <w:lang w:val="en-US" w:eastAsia="en-US" w:bidi="ar-SA"/>
      </w:rPr>
    </w:lvl>
    <w:lvl w:ilvl="7" w:tplc="436C097A">
      <w:numFmt w:val="bullet"/>
      <w:lvlText w:val="•"/>
      <w:lvlJc w:val="left"/>
      <w:pPr>
        <w:ind w:left="5502" w:hanging="360"/>
      </w:pPr>
      <w:rPr>
        <w:rFonts w:hint="default"/>
        <w:lang w:val="en-US" w:eastAsia="en-US" w:bidi="ar-SA"/>
      </w:rPr>
    </w:lvl>
    <w:lvl w:ilvl="8" w:tplc="C642809C">
      <w:numFmt w:val="bullet"/>
      <w:lvlText w:val="•"/>
      <w:lvlJc w:val="left"/>
      <w:pPr>
        <w:ind w:left="6139" w:hanging="360"/>
      </w:pPr>
      <w:rPr>
        <w:rFonts w:hint="default"/>
        <w:lang w:val="en-US" w:eastAsia="en-US" w:bidi="ar-SA"/>
      </w:rPr>
    </w:lvl>
  </w:abstractNum>
  <w:abstractNum w:abstractNumId="6" w15:restartNumberingAfterBreak="0">
    <w:nsid w:val="04FA1CBD"/>
    <w:multiLevelType w:val="hybridMultilevel"/>
    <w:tmpl w:val="44BC5946"/>
    <w:lvl w:ilvl="0" w:tplc="594C20A8">
      <w:start w:val="1"/>
      <w:numFmt w:val="lowerLetter"/>
      <w:lvlText w:val="%1."/>
      <w:lvlJc w:val="left"/>
      <w:pPr>
        <w:ind w:left="1334" w:hanging="390"/>
      </w:pPr>
      <w:rPr>
        <w:rFonts w:ascii="Arial" w:eastAsia="Arial" w:hAnsi="Arial" w:cs="Arial" w:hint="default"/>
        <w:b w:val="0"/>
        <w:bCs w:val="0"/>
        <w:i w:val="0"/>
        <w:iCs w:val="0"/>
        <w:spacing w:val="0"/>
        <w:w w:val="99"/>
        <w:sz w:val="22"/>
        <w:szCs w:val="22"/>
        <w:lang w:val="en-US" w:eastAsia="en-US" w:bidi="ar-SA"/>
      </w:rPr>
    </w:lvl>
    <w:lvl w:ilvl="1" w:tplc="34FAAA1E">
      <w:numFmt w:val="bullet"/>
      <w:lvlText w:val=""/>
      <w:lvlJc w:val="left"/>
      <w:pPr>
        <w:ind w:left="1694" w:hanging="360"/>
      </w:pPr>
      <w:rPr>
        <w:rFonts w:ascii="Symbol" w:eastAsia="Symbol" w:hAnsi="Symbol" w:cs="Symbol" w:hint="default"/>
        <w:b w:val="0"/>
        <w:bCs w:val="0"/>
        <w:i w:val="0"/>
        <w:iCs w:val="0"/>
        <w:spacing w:val="0"/>
        <w:w w:val="99"/>
        <w:sz w:val="22"/>
        <w:szCs w:val="22"/>
        <w:lang w:val="en-US" w:eastAsia="en-US" w:bidi="ar-SA"/>
      </w:rPr>
    </w:lvl>
    <w:lvl w:ilvl="2" w:tplc="E5EAF748">
      <w:numFmt w:val="bullet"/>
      <w:lvlText w:val="•"/>
      <w:lvlJc w:val="left"/>
      <w:pPr>
        <w:ind w:left="2327" w:hanging="360"/>
      </w:pPr>
      <w:rPr>
        <w:rFonts w:hint="default"/>
        <w:lang w:val="en-US" w:eastAsia="en-US" w:bidi="ar-SA"/>
      </w:rPr>
    </w:lvl>
    <w:lvl w:ilvl="3" w:tplc="45146400">
      <w:numFmt w:val="bullet"/>
      <w:lvlText w:val="•"/>
      <w:lvlJc w:val="left"/>
      <w:pPr>
        <w:ind w:left="2955" w:hanging="360"/>
      </w:pPr>
      <w:rPr>
        <w:rFonts w:hint="default"/>
        <w:lang w:val="en-US" w:eastAsia="en-US" w:bidi="ar-SA"/>
      </w:rPr>
    </w:lvl>
    <w:lvl w:ilvl="4" w:tplc="E3548912">
      <w:numFmt w:val="bullet"/>
      <w:lvlText w:val="•"/>
      <w:lvlJc w:val="left"/>
      <w:pPr>
        <w:ind w:left="3583" w:hanging="360"/>
      </w:pPr>
      <w:rPr>
        <w:rFonts w:hint="default"/>
        <w:lang w:val="en-US" w:eastAsia="en-US" w:bidi="ar-SA"/>
      </w:rPr>
    </w:lvl>
    <w:lvl w:ilvl="5" w:tplc="00B8E750">
      <w:numFmt w:val="bullet"/>
      <w:lvlText w:val="•"/>
      <w:lvlJc w:val="left"/>
      <w:pPr>
        <w:ind w:left="4211" w:hanging="360"/>
      </w:pPr>
      <w:rPr>
        <w:rFonts w:hint="default"/>
        <w:lang w:val="en-US" w:eastAsia="en-US" w:bidi="ar-SA"/>
      </w:rPr>
    </w:lvl>
    <w:lvl w:ilvl="6" w:tplc="66B236C2">
      <w:numFmt w:val="bullet"/>
      <w:lvlText w:val="•"/>
      <w:lvlJc w:val="left"/>
      <w:pPr>
        <w:ind w:left="4838" w:hanging="360"/>
      </w:pPr>
      <w:rPr>
        <w:rFonts w:hint="default"/>
        <w:lang w:val="en-US" w:eastAsia="en-US" w:bidi="ar-SA"/>
      </w:rPr>
    </w:lvl>
    <w:lvl w:ilvl="7" w:tplc="2FCAA37E">
      <w:numFmt w:val="bullet"/>
      <w:lvlText w:val="•"/>
      <w:lvlJc w:val="left"/>
      <w:pPr>
        <w:ind w:left="5466" w:hanging="360"/>
      </w:pPr>
      <w:rPr>
        <w:rFonts w:hint="default"/>
        <w:lang w:val="en-US" w:eastAsia="en-US" w:bidi="ar-SA"/>
      </w:rPr>
    </w:lvl>
    <w:lvl w:ilvl="8" w:tplc="98C2CD3E">
      <w:numFmt w:val="bullet"/>
      <w:lvlText w:val="•"/>
      <w:lvlJc w:val="left"/>
      <w:pPr>
        <w:ind w:left="6094" w:hanging="360"/>
      </w:pPr>
      <w:rPr>
        <w:rFonts w:hint="default"/>
        <w:lang w:val="en-US" w:eastAsia="en-US" w:bidi="ar-SA"/>
      </w:rPr>
    </w:lvl>
  </w:abstractNum>
  <w:abstractNum w:abstractNumId="7" w15:restartNumberingAfterBreak="0">
    <w:nsid w:val="0544322C"/>
    <w:multiLevelType w:val="hybridMultilevel"/>
    <w:tmpl w:val="DF74DF7A"/>
    <w:lvl w:ilvl="0" w:tplc="F97E053E">
      <w:numFmt w:val="bullet"/>
      <w:lvlText w:val=""/>
      <w:lvlJc w:val="left"/>
      <w:pPr>
        <w:ind w:left="1999" w:hanging="360"/>
      </w:pPr>
      <w:rPr>
        <w:rFonts w:ascii="Symbol" w:eastAsia="Symbol" w:hAnsi="Symbol" w:cs="Symbol" w:hint="default"/>
        <w:b w:val="0"/>
        <w:bCs w:val="0"/>
        <w:i w:val="0"/>
        <w:iCs w:val="0"/>
        <w:spacing w:val="0"/>
        <w:w w:val="99"/>
        <w:sz w:val="22"/>
        <w:szCs w:val="22"/>
        <w:lang w:val="en-US" w:eastAsia="en-US" w:bidi="ar-SA"/>
      </w:rPr>
    </w:lvl>
    <w:lvl w:ilvl="1" w:tplc="58063F30">
      <w:numFmt w:val="bullet"/>
      <w:lvlText w:val="•"/>
      <w:lvlJc w:val="left"/>
      <w:pPr>
        <w:ind w:left="2790" w:hanging="360"/>
      </w:pPr>
      <w:rPr>
        <w:rFonts w:hint="default"/>
        <w:lang w:val="en-US" w:eastAsia="en-US" w:bidi="ar-SA"/>
      </w:rPr>
    </w:lvl>
    <w:lvl w:ilvl="2" w:tplc="9BA818AC">
      <w:numFmt w:val="bullet"/>
      <w:lvlText w:val="•"/>
      <w:lvlJc w:val="left"/>
      <w:pPr>
        <w:ind w:left="3580" w:hanging="360"/>
      </w:pPr>
      <w:rPr>
        <w:rFonts w:hint="default"/>
        <w:lang w:val="en-US" w:eastAsia="en-US" w:bidi="ar-SA"/>
      </w:rPr>
    </w:lvl>
    <w:lvl w:ilvl="3" w:tplc="E81E5E0C">
      <w:numFmt w:val="bullet"/>
      <w:lvlText w:val="•"/>
      <w:lvlJc w:val="left"/>
      <w:pPr>
        <w:ind w:left="4370" w:hanging="360"/>
      </w:pPr>
      <w:rPr>
        <w:rFonts w:hint="default"/>
        <w:lang w:val="en-US" w:eastAsia="en-US" w:bidi="ar-SA"/>
      </w:rPr>
    </w:lvl>
    <w:lvl w:ilvl="4" w:tplc="6CB4B94A">
      <w:numFmt w:val="bullet"/>
      <w:lvlText w:val="•"/>
      <w:lvlJc w:val="left"/>
      <w:pPr>
        <w:ind w:left="5160" w:hanging="360"/>
      </w:pPr>
      <w:rPr>
        <w:rFonts w:hint="default"/>
        <w:lang w:val="en-US" w:eastAsia="en-US" w:bidi="ar-SA"/>
      </w:rPr>
    </w:lvl>
    <w:lvl w:ilvl="5" w:tplc="D20A841C">
      <w:numFmt w:val="bullet"/>
      <w:lvlText w:val="•"/>
      <w:lvlJc w:val="left"/>
      <w:pPr>
        <w:ind w:left="5950" w:hanging="360"/>
      </w:pPr>
      <w:rPr>
        <w:rFonts w:hint="default"/>
        <w:lang w:val="en-US" w:eastAsia="en-US" w:bidi="ar-SA"/>
      </w:rPr>
    </w:lvl>
    <w:lvl w:ilvl="6" w:tplc="9E5231A4">
      <w:numFmt w:val="bullet"/>
      <w:lvlText w:val="•"/>
      <w:lvlJc w:val="left"/>
      <w:pPr>
        <w:ind w:left="6740" w:hanging="360"/>
      </w:pPr>
      <w:rPr>
        <w:rFonts w:hint="default"/>
        <w:lang w:val="en-US" w:eastAsia="en-US" w:bidi="ar-SA"/>
      </w:rPr>
    </w:lvl>
    <w:lvl w:ilvl="7" w:tplc="C446447A">
      <w:numFmt w:val="bullet"/>
      <w:lvlText w:val="•"/>
      <w:lvlJc w:val="left"/>
      <w:pPr>
        <w:ind w:left="7530" w:hanging="360"/>
      </w:pPr>
      <w:rPr>
        <w:rFonts w:hint="default"/>
        <w:lang w:val="en-US" w:eastAsia="en-US" w:bidi="ar-SA"/>
      </w:rPr>
    </w:lvl>
    <w:lvl w:ilvl="8" w:tplc="6178BC6A">
      <w:numFmt w:val="bullet"/>
      <w:lvlText w:val="•"/>
      <w:lvlJc w:val="left"/>
      <w:pPr>
        <w:ind w:left="8320" w:hanging="360"/>
      </w:pPr>
      <w:rPr>
        <w:rFonts w:hint="default"/>
        <w:lang w:val="en-US" w:eastAsia="en-US" w:bidi="ar-SA"/>
      </w:rPr>
    </w:lvl>
  </w:abstractNum>
  <w:abstractNum w:abstractNumId="8" w15:restartNumberingAfterBreak="0">
    <w:nsid w:val="054719AF"/>
    <w:multiLevelType w:val="hybridMultilevel"/>
    <w:tmpl w:val="0812151A"/>
    <w:lvl w:ilvl="0" w:tplc="E264DB76">
      <w:start w:val="10"/>
      <w:numFmt w:val="decimal"/>
      <w:lvlText w:val=".%1"/>
      <w:lvlJc w:val="left"/>
      <w:pPr>
        <w:ind w:left="1639" w:hanging="721"/>
      </w:pPr>
      <w:rPr>
        <w:rFonts w:ascii="Arial" w:eastAsia="Arial" w:hAnsi="Arial" w:cs="Arial" w:hint="default"/>
        <w:b w:val="0"/>
        <w:bCs w:val="0"/>
        <w:i w:val="0"/>
        <w:iCs w:val="0"/>
        <w:spacing w:val="0"/>
        <w:w w:val="99"/>
        <w:sz w:val="22"/>
        <w:szCs w:val="22"/>
        <w:lang w:val="en-US" w:eastAsia="en-US" w:bidi="ar-SA"/>
      </w:rPr>
    </w:lvl>
    <w:lvl w:ilvl="1" w:tplc="D79C2C78">
      <w:start w:val="1"/>
      <w:numFmt w:val="lowerLetter"/>
      <w:lvlText w:val="%2."/>
      <w:lvlJc w:val="left"/>
      <w:pPr>
        <w:ind w:left="1999" w:hanging="360"/>
      </w:pPr>
      <w:rPr>
        <w:rFonts w:ascii="Arial" w:eastAsia="Arial" w:hAnsi="Arial" w:cs="Arial" w:hint="default"/>
        <w:b w:val="0"/>
        <w:bCs w:val="0"/>
        <w:i w:val="0"/>
        <w:iCs w:val="0"/>
        <w:spacing w:val="0"/>
        <w:w w:val="99"/>
        <w:sz w:val="22"/>
        <w:szCs w:val="22"/>
        <w:lang w:val="en-US" w:eastAsia="en-US" w:bidi="ar-SA"/>
      </w:rPr>
    </w:lvl>
    <w:lvl w:ilvl="2" w:tplc="67E67C2E">
      <w:start w:val="1"/>
      <w:numFmt w:val="lowerRoman"/>
      <w:lvlText w:val="%3."/>
      <w:lvlJc w:val="left"/>
      <w:pPr>
        <w:ind w:left="2358" w:hanging="291"/>
        <w:jc w:val="right"/>
      </w:pPr>
      <w:rPr>
        <w:rFonts w:ascii="Arial" w:eastAsia="Arial" w:hAnsi="Arial" w:cs="Arial" w:hint="default"/>
        <w:b w:val="0"/>
        <w:bCs w:val="0"/>
        <w:i w:val="0"/>
        <w:iCs w:val="0"/>
        <w:spacing w:val="0"/>
        <w:w w:val="99"/>
        <w:sz w:val="22"/>
        <w:szCs w:val="22"/>
        <w:lang w:val="en-US" w:eastAsia="en-US" w:bidi="ar-SA"/>
      </w:rPr>
    </w:lvl>
    <w:lvl w:ilvl="3" w:tplc="705E6606">
      <w:numFmt w:val="bullet"/>
      <w:lvlText w:val="•"/>
      <w:lvlJc w:val="left"/>
      <w:pPr>
        <w:ind w:left="3302" w:hanging="291"/>
      </w:pPr>
      <w:rPr>
        <w:rFonts w:hint="default"/>
        <w:lang w:val="en-US" w:eastAsia="en-US" w:bidi="ar-SA"/>
      </w:rPr>
    </w:lvl>
    <w:lvl w:ilvl="4" w:tplc="7608A972">
      <w:numFmt w:val="bullet"/>
      <w:lvlText w:val="•"/>
      <w:lvlJc w:val="left"/>
      <w:pPr>
        <w:ind w:left="4245" w:hanging="291"/>
      </w:pPr>
      <w:rPr>
        <w:rFonts w:hint="default"/>
        <w:lang w:val="en-US" w:eastAsia="en-US" w:bidi="ar-SA"/>
      </w:rPr>
    </w:lvl>
    <w:lvl w:ilvl="5" w:tplc="F5627846">
      <w:numFmt w:val="bullet"/>
      <w:lvlText w:val="•"/>
      <w:lvlJc w:val="left"/>
      <w:pPr>
        <w:ind w:left="5187" w:hanging="291"/>
      </w:pPr>
      <w:rPr>
        <w:rFonts w:hint="default"/>
        <w:lang w:val="en-US" w:eastAsia="en-US" w:bidi="ar-SA"/>
      </w:rPr>
    </w:lvl>
    <w:lvl w:ilvl="6" w:tplc="A6C68D40">
      <w:numFmt w:val="bullet"/>
      <w:lvlText w:val="•"/>
      <w:lvlJc w:val="left"/>
      <w:pPr>
        <w:ind w:left="6130" w:hanging="291"/>
      </w:pPr>
      <w:rPr>
        <w:rFonts w:hint="default"/>
        <w:lang w:val="en-US" w:eastAsia="en-US" w:bidi="ar-SA"/>
      </w:rPr>
    </w:lvl>
    <w:lvl w:ilvl="7" w:tplc="35A68542">
      <w:numFmt w:val="bullet"/>
      <w:lvlText w:val="•"/>
      <w:lvlJc w:val="left"/>
      <w:pPr>
        <w:ind w:left="7072" w:hanging="291"/>
      </w:pPr>
      <w:rPr>
        <w:rFonts w:hint="default"/>
        <w:lang w:val="en-US" w:eastAsia="en-US" w:bidi="ar-SA"/>
      </w:rPr>
    </w:lvl>
    <w:lvl w:ilvl="8" w:tplc="C3BC8FDA">
      <w:numFmt w:val="bullet"/>
      <w:lvlText w:val="•"/>
      <w:lvlJc w:val="left"/>
      <w:pPr>
        <w:ind w:left="8015" w:hanging="291"/>
      </w:pPr>
      <w:rPr>
        <w:rFonts w:hint="default"/>
        <w:lang w:val="en-US" w:eastAsia="en-US" w:bidi="ar-SA"/>
      </w:rPr>
    </w:lvl>
  </w:abstractNum>
  <w:abstractNum w:abstractNumId="9" w15:restartNumberingAfterBreak="0">
    <w:nsid w:val="06163501"/>
    <w:multiLevelType w:val="hybridMultilevel"/>
    <w:tmpl w:val="2A9C0C1E"/>
    <w:lvl w:ilvl="0" w:tplc="1E005BB6">
      <w:start w:val="4"/>
      <w:numFmt w:val="lowerLetter"/>
      <w:lvlText w:val="%1)"/>
      <w:lvlJc w:val="left"/>
      <w:pPr>
        <w:ind w:left="1244" w:hanging="397"/>
      </w:pPr>
      <w:rPr>
        <w:rFonts w:ascii="Arial" w:eastAsia="Arial" w:hAnsi="Arial" w:cs="Arial" w:hint="default"/>
        <w:b w:val="0"/>
        <w:bCs w:val="0"/>
        <w:i w:val="0"/>
        <w:iCs w:val="0"/>
        <w:spacing w:val="0"/>
        <w:w w:val="99"/>
        <w:sz w:val="22"/>
        <w:szCs w:val="22"/>
        <w:lang w:val="en-US" w:eastAsia="en-US" w:bidi="ar-SA"/>
      </w:rPr>
    </w:lvl>
    <w:lvl w:ilvl="1" w:tplc="B1A0D8E4">
      <w:start w:val="1"/>
      <w:numFmt w:val="lowerRoman"/>
      <w:lvlText w:val="%2."/>
      <w:lvlJc w:val="left"/>
      <w:pPr>
        <w:ind w:left="2324" w:hanging="687"/>
        <w:jc w:val="right"/>
      </w:pPr>
      <w:rPr>
        <w:rFonts w:hint="default"/>
        <w:spacing w:val="0"/>
        <w:w w:val="99"/>
        <w:lang w:val="en-US" w:eastAsia="en-US" w:bidi="ar-SA"/>
      </w:rPr>
    </w:lvl>
    <w:lvl w:ilvl="2" w:tplc="5A060FEE">
      <w:numFmt w:val="bullet"/>
      <w:lvlText w:val="•"/>
      <w:lvlJc w:val="left"/>
      <w:pPr>
        <w:ind w:left="2803" w:hanging="687"/>
      </w:pPr>
      <w:rPr>
        <w:rFonts w:hint="default"/>
        <w:lang w:val="en-US" w:eastAsia="en-US" w:bidi="ar-SA"/>
      </w:rPr>
    </w:lvl>
    <w:lvl w:ilvl="3" w:tplc="86888CAA">
      <w:numFmt w:val="bullet"/>
      <w:lvlText w:val="•"/>
      <w:lvlJc w:val="left"/>
      <w:pPr>
        <w:ind w:left="3286" w:hanging="687"/>
      </w:pPr>
      <w:rPr>
        <w:rFonts w:hint="default"/>
        <w:lang w:val="en-US" w:eastAsia="en-US" w:bidi="ar-SA"/>
      </w:rPr>
    </w:lvl>
    <w:lvl w:ilvl="4" w:tplc="EB42071C">
      <w:numFmt w:val="bullet"/>
      <w:lvlText w:val="•"/>
      <w:lvlJc w:val="left"/>
      <w:pPr>
        <w:ind w:left="3769" w:hanging="687"/>
      </w:pPr>
      <w:rPr>
        <w:rFonts w:hint="default"/>
        <w:lang w:val="en-US" w:eastAsia="en-US" w:bidi="ar-SA"/>
      </w:rPr>
    </w:lvl>
    <w:lvl w:ilvl="5" w:tplc="2636384A">
      <w:numFmt w:val="bullet"/>
      <w:lvlText w:val="•"/>
      <w:lvlJc w:val="left"/>
      <w:pPr>
        <w:ind w:left="4252" w:hanging="687"/>
      </w:pPr>
      <w:rPr>
        <w:rFonts w:hint="default"/>
        <w:lang w:val="en-US" w:eastAsia="en-US" w:bidi="ar-SA"/>
      </w:rPr>
    </w:lvl>
    <w:lvl w:ilvl="6" w:tplc="C9DA550A">
      <w:numFmt w:val="bullet"/>
      <w:lvlText w:val="•"/>
      <w:lvlJc w:val="left"/>
      <w:pPr>
        <w:ind w:left="4735" w:hanging="687"/>
      </w:pPr>
      <w:rPr>
        <w:rFonts w:hint="default"/>
        <w:lang w:val="en-US" w:eastAsia="en-US" w:bidi="ar-SA"/>
      </w:rPr>
    </w:lvl>
    <w:lvl w:ilvl="7" w:tplc="DBC0FA36">
      <w:numFmt w:val="bullet"/>
      <w:lvlText w:val="•"/>
      <w:lvlJc w:val="left"/>
      <w:pPr>
        <w:ind w:left="5219" w:hanging="687"/>
      </w:pPr>
      <w:rPr>
        <w:rFonts w:hint="default"/>
        <w:lang w:val="en-US" w:eastAsia="en-US" w:bidi="ar-SA"/>
      </w:rPr>
    </w:lvl>
    <w:lvl w:ilvl="8" w:tplc="79182E80">
      <w:numFmt w:val="bullet"/>
      <w:lvlText w:val="•"/>
      <w:lvlJc w:val="left"/>
      <w:pPr>
        <w:ind w:left="5702" w:hanging="687"/>
      </w:pPr>
      <w:rPr>
        <w:rFonts w:hint="default"/>
        <w:lang w:val="en-US" w:eastAsia="en-US" w:bidi="ar-SA"/>
      </w:rPr>
    </w:lvl>
  </w:abstractNum>
  <w:abstractNum w:abstractNumId="10" w15:restartNumberingAfterBreak="0">
    <w:nsid w:val="07B14031"/>
    <w:multiLevelType w:val="hybridMultilevel"/>
    <w:tmpl w:val="9260DEA2"/>
    <w:lvl w:ilvl="0" w:tplc="7B86538C">
      <w:numFmt w:val="bullet"/>
      <w:lvlText w:val=""/>
      <w:lvlJc w:val="left"/>
      <w:pPr>
        <w:ind w:left="1208" w:hanging="360"/>
      </w:pPr>
      <w:rPr>
        <w:rFonts w:ascii="Symbol" w:eastAsia="Symbol" w:hAnsi="Symbol" w:cs="Symbol" w:hint="default"/>
        <w:b w:val="0"/>
        <w:bCs w:val="0"/>
        <w:i w:val="0"/>
        <w:iCs w:val="0"/>
        <w:spacing w:val="0"/>
        <w:w w:val="99"/>
        <w:sz w:val="22"/>
        <w:szCs w:val="22"/>
        <w:lang w:val="en-US" w:eastAsia="en-US" w:bidi="ar-SA"/>
      </w:rPr>
    </w:lvl>
    <w:lvl w:ilvl="1" w:tplc="99E6B160">
      <w:numFmt w:val="bullet"/>
      <w:lvlText w:val="•"/>
      <w:lvlJc w:val="left"/>
      <w:pPr>
        <w:ind w:left="1746" w:hanging="360"/>
      </w:pPr>
      <w:rPr>
        <w:rFonts w:hint="default"/>
        <w:lang w:val="en-US" w:eastAsia="en-US" w:bidi="ar-SA"/>
      </w:rPr>
    </w:lvl>
    <w:lvl w:ilvl="2" w:tplc="4D4857DE">
      <w:numFmt w:val="bullet"/>
      <w:lvlText w:val="•"/>
      <w:lvlJc w:val="left"/>
      <w:pPr>
        <w:ind w:left="2293" w:hanging="360"/>
      </w:pPr>
      <w:rPr>
        <w:rFonts w:hint="default"/>
        <w:lang w:val="en-US" w:eastAsia="en-US" w:bidi="ar-SA"/>
      </w:rPr>
    </w:lvl>
    <w:lvl w:ilvl="3" w:tplc="6444E47A">
      <w:numFmt w:val="bullet"/>
      <w:lvlText w:val="•"/>
      <w:lvlJc w:val="left"/>
      <w:pPr>
        <w:ind w:left="2840" w:hanging="360"/>
      </w:pPr>
      <w:rPr>
        <w:rFonts w:hint="default"/>
        <w:lang w:val="en-US" w:eastAsia="en-US" w:bidi="ar-SA"/>
      </w:rPr>
    </w:lvl>
    <w:lvl w:ilvl="4" w:tplc="C9208BB6">
      <w:numFmt w:val="bullet"/>
      <w:lvlText w:val="•"/>
      <w:lvlJc w:val="left"/>
      <w:pPr>
        <w:ind w:left="3387" w:hanging="360"/>
      </w:pPr>
      <w:rPr>
        <w:rFonts w:hint="default"/>
        <w:lang w:val="en-US" w:eastAsia="en-US" w:bidi="ar-SA"/>
      </w:rPr>
    </w:lvl>
    <w:lvl w:ilvl="5" w:tplc="32B81728">
      <w:numFmt w:val="bullet"/>
      <w:lvlText w:val="•"/>
      <w:lvlJc w:val="left"/>
      <w:pPr>
        <w:ind w:left="3934" w:hanging="360"/>
      </w:pPr>
      <w:rPr>
        <w:rFonts w:hint="default"/>
        <w:lang w:val="en-US" w:eastAsia="en-US" w:bidi="ar-SA"/>
      </w:rPr>
    </w:lvl>
    <w:lvl w:ilvl="6" w:tplc="D8B2DF8C">
      <w:numFmt w:val="bullet"/>
      <w:lvlText w:val="•"/>
      <w:lvlJc w:val="left"/>
      <w:pPr>
        <w:ind w:left="4481" w:hanging="360"/>
      </w:pPr>
      <w:rPr>
        <w:rFonts w:hint="default"/>
        <w:lang w:val="en-US" w:eastAsia="en-US" w:bidi="ar-SA"/>
      </w:rPr>
    </w:lvl>
    <w:lvl w:ilvl="7" w:tplc="A676A7A6">
      <w:numFmt w:val="bullet"/>
      <w:lvlText w:val="•"/>
      <w:lvlJc w:val="left"/>
      <w:pPr>
        <w:ind w:left="5027" w:hanging="360"/>
      </w:pPr>
      <w:rPr>
        <w:rFonts w:hint="default"/>
        <w:lang w:val="en-US" w:eastAsia="en-US" w:bidi="ar-SA"/>
      </w:rPr>
    </w:lvl>
    <w:lvl w:ilvl="8" w:tplc="FED87348">
      <w:numFmt w:val="bullet"/>
      <w:lvlText w:val="•"/>
      <w:lvlJc w:val="left"/>
      <w:pPr>
        <w:ind w:left="5574" w:hanging="360"/>
      </w:pPr>
      <w:rPr>
        <w:rFonts w:hint="default"/>
        <w:lang w:val="en-US" w:eastAsia="en-US" w:bidi="ar-SA"/>
      </w:rPr>
    </w:lvl>
  </w:abstractNum>
  <w:abstractNum w:abstractNumId="11" w15:restartNumberingAfterBreak="0">
    <w:nsid w:val="08251D0C"/>
    <w:multiLevelType w:val="hybridMultilevel"/>
    <w:tmpl w:val="FE1069CE"/>
    <w:lvl w:ilvl="0" w:tplc="9292837C">
      <w:start w:val="17"/>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D3F621EC">
      <w:numFmt w:val="bullet"/>
      <w:lvlText w:val=""/>
      <w:lvlJc w:val="left"/>
      <w:pPr>
        <w:ind w:left="1514" w:hanging="270"/>
      </w:pPr>
      <w:rPr>
        <w:rFonts w:ascii="Symbol" w:eastAsia="Symbol" w:hAnsi="Symbol" w:cs="Symbol" w:hint="default"/>
        <w:spacing w:val="0"/>
        <w:w w:val="99"/>
        <w:lang w:val="en-US" w:eastAsia="en-US" w:bidi="ar-SA"/>
      </w:rPr>
    </w:lvl>
    <w:lvl w:ilvl="2" w:tplc="A2ECDD24">
      <w:numFmt w:val="bullet"/>
      <w:lvlText w:val="•"/>
      <w:lvlJc w:val="left"/>
      <w:pPr>
        <w:ind w:left="2167" w:hanging="270"/>
      </w:pPr>
      <w:rPr>
        <w:rFonts w:hint="default"/>
        <w:lang w:val="en-US" w:eastAsia="en-US" w:bidi="ar-SA"/>
      </w:rPr>
    </w:lvl>
    <w:lvl w:ilvl="3" w:tplc="51DE0F44">
      <w:numFmt w:val="bullet"/>
      <w:lvlText w:val="•"/>
      <w:lvlJc w:val="left"/>
      <w:pPr>
        <w:ind w:left="2815" w:hanging="270"/>
      </w:pPr>
      <w:rPr>
        <w:rFonts w:hint="default"/>
        <w:lang w:val="en-US" w:eastAsia="en-US" w:bidi="ar-SA"/>
      </w:rPr>
    </w:lvl>
    <w:lvl w:ilvl="4" w:tplc="00287AE2">
      <w:numFmt w:val="bullet"/>
      <w:lvlText w:val="•"/>
      <w:lvlJc w:val="left"/>
      <w:pPr>
        <w:ind w:left="3463" w:hanging="270"/>
      </w:pPr>
      <w:rPr>
        <w:rFonts w:hint="default"/>
        <w:lang w:val="en-US" w:eastAsia="en-US" w:bidi="ar-SA"/>
      </w:rPr>
    </w:lvl>
    <w:lvl w:ilvl="5" w:tplc="B2A6F96C">
      <w:numFmt w:val="bullet"/>
      <w:lvlText w:val="•"/>
      <w:lvlJc w:val="left"/>
      <w:pPr>
        <w:ind w:left="4111" w:hanging="270"/>
      </w:pPr>
      <w:rPr>
        <w:rFonts w:hint="default"/>
        <w:lang w:val="en-US" w:eastAsia="en-US" w:bidi="ar-SA"/>
      </w:rPr>
    </w:lvl>
    <w:lvl w:ilvl="6" w:tplc="32204498">
      <w:numFmt w:val="bullet"/>
      <w:lvlText w:val="•"/>
      <w:lvlJc w:val="left"/>
      <w:pPr>
        <w:ind w:left="4758" w:hanging="270"/>
      </w:pPr>
      <w:rPr>
        <w:rFonts w:hint="default"/>
        <w:lang w:val="en-US" w:eastAsia="en-US" w:bidi="ar-SA"/>
      </w:rPr>
    </w:lvl>
    <w:lvl w:ilvl="7" w:tplc="E4B0BF82">
      <w:numFmt w:val="bullet"/>
      <w:lvlText w:val="•"/>
      <w:lvlJc w:val="left"/>
      <w:pPr>
        <w:ind w:left="5406" w:hanging="270"/>
      </w:pPr>
      <w:rPr>
        <w:rFonts w:hint="default"/>
        <w:lang w:val="en-US" w:eastAsia="en-US" w:bidi="ar-SA"/>
      </w:rPr>
    </w:lvl>
    <w:lvl w:ilvl="8" w:tplc="7F6A8D56">
      <w:numFmt w:val="bullet"/>
      <w:lvlText w:val="•"/>
      <w:lvlJc w:val="left"/>
      <w:pPr>
        <w:ind w:left="6054" w:hanging="270"/>
      </w:pPr>
      <w:rPr>
        <w:rFonts w:hint="default"/>
        <w:lang w:val="en-US" w:eastAsia="en-US" w:bidi="ar-SA"/>
      </w:rPr>
    </w:lvl>
  </w:abstractNum>
  <w:abstractNum w:abstractNumId="12" w15:restartNumberingAfterBreak="0">
    <w:nsid w:val="08E3170D"/>
    <w:multiLevelType w:val="hybridMultilevel"/>
    <w:tmpl w:val="10F61F26"/>
    <w:lvl w:ilvl="0" w:tplc="470285A2">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03D45E2A">
      <w:numFmt w:val="bullet"/>
      <w:lvlText w:val="•"/>
      <w:lvlJc w:val="left"/>
      <w:pPr>
        <w:ind w:left="3026" w:hanging="360"/>
      </w:pPr>
      <w:rPr>
        <w:rFonts w:hint="default"/>
        <w:lang w:val="en-US" w:eastAsia="en-US" w:bidi="ar-SA"/>
      </w:rPr>
    </w:lvl>
    <w:lvl w:ilvl="2" w:tplc="EF589B44">
      <w:numFmt w:val="bullet"/>
      <w:lvlText w:val="•"/>
      <w:lvlJc w:val="left"/>
      <w:pPr>
        <w:ind w:left="3832" w:hanging="360"/>
      </w:pPr>
      <w:rPr>
        <w:rFonts w:hint="default"/>
        <w:lang w:val="en-US" w:eastAsia="en-US" w:bidi="ar-SA"/>
      </w:rPr>
    </w:lvl>
    <w:lvl w:ilvl="3" w:tplc="22F69D38">
      <w:numFmt w:val="bullet"/>
      <w:lvlText w:val="•"/>
      <w:lvlJc w:val="left"/>
      <w:pPr>
        <w:ind w:left="4638" w:hanging="360"/>
      </w:pPr>
      <w:rPr>
        <w:rFonts w:hint="default"/>
        <w:lang w:val="en-US" w:eastAsia="en-US" w:bidi="ar-SA"/>
      </w:rPr>
    </w:lvl>
    <w:lvl w:ilvl="4" w:tplc="EAF2E344">
      <w:numFmt w:val="bullet"/>
      <w:lvlText w:val="•"/>
      <w:lvlJc w:val="left"/>
      <w:pPr>
        <w:ind w:left="5444" w:hanging="360"/>
      </w:pPr>
      <w:rPr>
        <w:rFonts w:hint="default"/>
        <w:lang w:val="en-US" w:eastAsia="en-US" w:bidi="ar-SA"/>
      </w:rPr>
    </w:lvl>
    <w:lvl w:ilvl="5" w:tplc="6298F6F2">
      <w:numFmt w:val="bullet"/>
      <w:lvlText w:val="•"/>
      <w:lvlJc w:val="left"/>
      <w:pPr>
        <w:ind w:left="6250" w:hanging="360"/>
      </w:pPr>
      <w:rPr>
        <w:rFonts w:hint="default"/>
        <w:lang w:val="en-US" w:eastAsia="en-US" w:bidi="ar-SA"/>
      </w:rPr>
    </w:lvl>
    <w:lvl w:ilvl="6" w:tplc="3594BDD4">
      <w:numFmt w:val="bullet"/>
      <w:lvlText w:val="•"/>
      <w:lvlJc w:val="left"/>
      <w:pPr>
        <w:ind w:left="7056" w:hanging="360"/>
      </w:pPr>
      <w:rPr>
        <w:rFonts w:hint="default"/>
        <w:lang w:val="en-US" w:eastAsia="en-US" w:bidi="ar-SA"/>
      </w:rPr>
    </w:lvl>
    <w:lvl w:ilvl="7" w:tplc="FCDE7E86">
      <w:numFmt w:val="bullet"/>
      <w:lvlText w:val="•"/>
      <w:lvlJc w:val="left"/>
      <w:pPr>
        <w:ind w:left="7862" w:hanging="360"/>
      </w:pPr>
      <w:rPr>
        <w:rFonts w:hint="default"/>
        <w:lang w:val="en-US" w:eastAsia="en-US" w:bidi="ar-SA"/>
      </w:rPr>
    </w:lvl>
    <w:lvl w:ilvl="8" w:tplc="494C3A24">
      <w:numFmt w:val="bullet"/>
      <w:lvlText w:val="•"/>
      <w:lvlJc w:val="left"/>
      <w:pPr>
        <w:ind w:left="8668" w:hanging="360"/>
      </w:pPr>
      <w:rPr>
        <w:rFonts w:hint="default"/>
        <w:lang w:val="en-US" w:eastAsia="en-US" w:bidi="ar-SA"/>
      </w:rPr>
    </w:lvl>
  </w:abstractNum>
  <w:abstractNum w:abstractNumId="13" w15:restartNumberingAfterBreak="0">
    <w:nsid w:val="096F2118"/>
    <w:multiLevelType w:val="hybridMultilevel"/>
    <w:tmpl w:val="B1B05C74"/>
    <w:lvl w:ilvl="0" w:tplc="2C2E51FA">
      <w:start w:val="8"/>
      <w:numFmt w:val="decimal"/>
      <w:lvlText w:val="%1."/>
      <w:lvlJc w:val="left"/>
      <w:pPr>
        <w:ind w:left="561" w:hanging="432"/>
      </w:pPr>
      <w:rPr>
        <w:rFonts w:ascii="Arial" w:eastAsia="Arial" w:hAnsi="Arial" w:cs="Arial" w:hint="default"/>
        <w:b w:val="0"/>
        <w:bCs w:val="0"/>
        <w:i w:val="0"/>
        <w:iCs w:val="0"/>
        <w:spacing w:val="0"/>
        <w:w w:val="99"/>
        <w:sz w:val="22"/>
        <w:szCs w:val="22"/>
        <w:lang w:val="en-US" w:eastAsia="en-US" w:bidi="ar-SA"/>
      </w:rPr>
    </w:lvl>
    <w:lvl w:ilvl="1" w:tplc="36385FDA">
      <w:numFmt w:val="bullet"/>
      <w:lvlText w:val=""/>
      <w:lvlJc w:val="left"/>
      <w:pPr>
        <w:ind w:left="922" w:hanging="323"/>
      </w:pPr>
      <w:rPr>
        <w:rFonts w:ascii="Symbol" w:eastAsia="Symbol" w:hAnsi="Symbol" w:cs="Symbol" w:hint="default"/>
        <w:b w:val="0"/>
        <w:bCs w:val="0"/>
        <w:i w:val="0"/>
        <w:iCs w:val="0"/>
        <w:spacing w:val="0"/>
        <w:w w:val="99"/>
        <w:sz w:val="22"/>
        <w:szCs w:val="22"/>
        <w:lang w:val="en-US" w:eastAsia="en-US" w:bidi="ar-SA"/>
      </w:rPr>
    </w:lvl>
    <w:lvl w:ilvl="2" w:tplc="C7BC303C">
      <w:numFmt w:val="bullet"/>
      <w:lvlText w:val="•"/>
      <w:lvlJc w:val="left"/>
      <w:pPr>
        <w:ind w:left="1547" w:hanging="323"/>
      </w:pPr>
      <w:rPr>
        <w:rFonts w:hint="default"/>
        <w:lang w:val="en-US" w:eastAsia="en-US" w:bidi="ar-SA"/>
      </w:rPr>
    </w:lvl>
    <w:lvl w:ilvl="3" w:tplc="F6746A3E">
      <w:numFmt w:val="bullet"/>
      <w:lvlText w:val="•"/>
      <w:lvlJc w:val="left"/>
      <w:pPr>
        <w:ind w:left="2175" w:hanging="323"/>
      </w:pPr>
      <w:rPr>
        <w:rFonts w:hint="default"/>
        <w:lang w:val="en-US" w:eastAsia="en-US" w:bidi="ar-SA"/>
      </w:rPr>
    </w:lvl>
    <w:lvl w:ilvl="4" w:tplc="52169896">
      <w:numFmt w:val="bullet"/>
      <w:lvlText w:val="•"/>
      <w:lvlJc w:val="left"/>
      <w:pPr>
        <w:ind w:left="2803" w:hanging="323"/>
      </w:pPr>
      <w:rPr>
        <w:rFonts w:hint="default"/>
        <w:lang w:val="en-US" w:eastAsia="en-US" w:bidi="ar-SA"/>
      </w:rPr>
    </w:lvl>
    <w:lvl w:ilvl="5" w:tplc="38AA2BA4">
      <w:numFmt w:val="bullet"/>
      <w:lvlText w:val="•"/>
      <w:lvlJc w:val="left"/>
      <w:pPr>
        <w:ind w:left="3431" w:hanging="323"/>
      </w:pPr>
      <w:rPr>
        <w:rFonts w:hint="default"/>
        <w:lang w:val="en-US" w:eastAsia="en-US" w:bidi="ar-SA"/>
      </w:rPr>
    </w:lvl>
    <w:lvl w:ilvl="6" w:tplc="BBAC5042">
      <w:numFmt w:val="bullet"/>
      <w:lvlText w:val="•"/>
      <w:lvlJc w:val="left"/>
      <w:pPr>
        <w:ind w:left="4058" w:hanging="323"/>
      </w:pPr>
      <w:rPr>
        <w:rFonts w:hint="default"/>
        <w:lang w:val="en-US" w:eastAsia="en-US" w:bidi="ar-SA"/>
      </w:rPr>
    </w:lvl>
    <w:lvl w:ilvl="7" w:tplc="6B46F9C0">
      <w:numFmt w:val="bullet"/>
      <w:lvlText w:val="•"/>
      <w:lvlJc w:val="left"/>
      <w:pPr>
        <w:ind w:left="4686" w:hanging="323"/>
      </w:pPr>
      <w:rPr>
        <w:rFonts w:hint="default"/>
        <w:lang w:val="en-US" w:eastAsia="en-US" w:bidi="ar-SA"/>
      </w:rPr>
    </w:lvl>
    <w:lvl w:ilvl="8" w:tplc="D92C194C">
      <w:numFmt w:val="bullet"/>
      <w:lvlText w:val="•"/>
      <w:lvlJc w:val="left"/>
      <w:pPr>
        <w:ind w:left="5314" w:hanging="323"/>
      </w:pPr>
      <w:rPr>
        <w:rFonts w:hint="default"/>
        <w:lang w:val="en-US" w:eastAsia="en-US" w:bidi="ar-SA"/>
      </w:rPr>
    </w:lvl>
  </w:abstractNum>
  <w:abstractNum w:abstractNumId="14" w15:restartNumberingAfterBreak="0">
    <w:nsid w:val="09B0686C"/>
    <w:multiLevelType w:val="hybridMultilevel"/>
    <w:tmpl w:val="63866B86"/>
    <w:lvl w:ilvl="0" w:tplc="6B42477A">
      <w:start w:val="1"/>
      <w:numFmt w:val="upperRoman"/>
      <w:lvlText w:val="%1."/>
      <w:lvlJc w:val="left"/>
      <w:pPr>
        <w:ind w:left="509" w:hanging="393"/>
      </w:pPr>
      <w:rPr>
        <w:rFonts w:ascii="Arial" w:eastAsia="Arial" w:hAnsi="Arial" w:cs="Arial" w:hint="default"/>
        <w:b/>
        <w:bCs/>
        <w:i w:val="0"/>
        <w:iCs w:val="0"/>
        <w:spacing w:val="0"/>
        <w:w w:val="99"/>
        <w:sz w:val="22"/>
        <w:szCs w:val="22"/>
        <w:lang w:val="en-US" w:eastAsia="en-US" w:bidi="ar-SA"/>
      </w:rPr>
    </w:lvl>
    <w:lvl w:ilvl="1" w:tplc="5F186F88">
      <w:start w:val="1"/>
      <w:numFmt w:val="upperLetter"/>
      <w:lvlText w:val="%2."/>
      <w:lvlJc w:val="left"/>
      <w:pPr>
        <w:ind w:left="983" w:hanging="382"/>
      </w:pPr>
      <w:rPr>
        <w:rFonts w:ascii="Arial" w:eastAsia="Arial" w:hAnsi="Arial" w:cs="Arial" w:hint="default"/>
        <w:b w:val="0"/>
        <w:bCs w:val="0"/>
        <w:i w:val="0"/>
        <w:iCs w:val="0"/>
        <w:spacing w:val="0"/>
        <w:w w:val="99"/>
        <w:sz w:val="22"/>
        <w:szCs w:val="22"/>
        <w:lang w:val="en-US" w:eastAsia="en-US" w:bidi="ar-SA"/>
      </w:rPr>
    </w:lvl>
    <w:lvl w:ilvl="2" w:tplc="269C989A">
      <w:numFmt w:val="bullet"/>
      <w:lvlText w:val=""/>
      <w:lvlJc w:val="left"/>
      <w:pPr>
        <w:ind w:left="1357" w:hanging="360"/>
      </w:pPr>
      <w:rPr>
        <w:rFonts w:ascii="Symbol" w:eastAsia="Symbol" w:hAnsi="Symbol" w:cs="Symbol" w:hint="default"/>
        <w:spacing w:val="0"/>
        <w:w w:val="99"/>
        <w:lang w:val="en-US" w:eastAsia="en-US" w:bidi="ar-SA"/>
      </w:rPr>
    </w:lvl>
    <w:lvl w:ilvl="3" w:tplc="C466FF46">
      <w:numFmt w:val="bullet"/>
      <w:lvlText w:val="•"/>
      <w:lvlJc w:val="left"/>
      <w:pPr>
        <w:ind w:left="2070" w:hanging="360"/>
      </w:pPr>
      <w:rPr>
        <w:rFonts w:hint="default"/>
        <w:lang w:val="en-US" w:eastAsia="en-US" w:bidi="ar-SA"/>
      </w:rPr>
    </w:lvl>
    <w:lvl w:ilvl="4" w:tplc="B8226D04">
      <w:numFmt w:val="bullet"/>
      <w:lvlText w:val="•"/>
      <w:lvlJc w:val="left"/>
      <w:pPr>
        <w:ind w:left="2780" w:hanging="360"/>
      </w:pPr>
      <w:rPr>
        <w:rFonts w:hint="default"/>
        <w:lang w:val="en-US" w:eastAsia="en-US" w:bidi="ar-SA"/>
      </w:rPr>
    </w:lvl>
    <w:lvl w:ilvl="5" w:tplc="C206DC20">
      <w:numFmt w:val="bullet"/>
      <w:lvlText w:val="•"/>
      <w:lvlJc w:val="left"/>
      <w:pPr>
        <w:ind w:left="3490" w:hanging="360"/>
      </w:pPr>
      <w:rPr>
        <w:rFonts w:hint="default"/>
        <w:lang w:val="en-US" w:eastAsia="en-US" w:bidi="ar-SA"/>
      </w:rPr>
    </w:lvl>
    <w:lvl w:ilvl="6" w:tplc="3FAE5BF6">
      <w:numFmt w:val="bullet"/>
      <w:lvlText w:val="•"/>
      <w:lvlJc w:val="left"/>
      <w:pPr>
        <w:ind w:left="4200" w:hanging="360"/>
      </w:pPr>
      <w:rPr>
        <w:rFonts w:hint="default"/>
        <w:lang w:val="en-US" w:eastAsia="en-US" w:bidi="ar-SA"/>
      </w:rPr>
    </w:lvl>
    <w:lvl w:ilvl="7" w:tplc="5A18A868">
      <w:numFmt w:val="bullet"/>
      <w:lvlText w:val="•"/>
      <w:lvlJc w:val="left"/>
      <w:pPr>
        <w:ind w:left="4910" w:hanging="360"/>
      </w:pPr>
      <w:rPr>
        <w:rFonts w:hint="default"/>
        <w:lang w:val="en-US" w:eastAsia="en-US" w:bidi="ar-SA"/>
      </w:rPr>
    </w:lvl>
    <w:lvl w:ilvl="8" w:tplc="34980CF8">
      <w:numFmt w:val="bullet"/>
      <w:lvlText w:val="•"/>
      <w:lvlJc w:val="left"/>
      <w:pPr>
        <w:ind w:left="5620" w:hanging="360"/>
      </w:pPr>
      <w:rPr>
        <w:rFonts w:hint="default"/>
        <w:lang w:val="en-US" w:eastAsia="en-US" w:bidi="ar-SA"/>
      </w:rPr>
    </w:lvl>
  </w:abstractNum>
  <w:abstractNum w:abstractNumId="15" w15:restartNumberingAfterBreak="0">
    <w:nsid w:val="09B762F2"/>
    <w:multiLevelType w:val="hybridMultilevel"/>
    <w:tmpl w:val="47A4BEC2"/>
    <w:lvl w:ilvl="0" w:tplc="C34E15C0">
      <w:start w:val="1"/>
      <w:numFmt w:val="decimal"/>
      <w:lvlText w:val="%1."/>
      <w:lvlJc w:val="left"/>
      <w:pPr>
        <w:ind w:left="1177" w:hanging="360"/>
      </w:pPr>
      <w:rPr>
        <w:rFonts w:ascii="Arial" w:eastAsia="Arial" w:hAnsi="Arial" w:cs="Arial" w:hint="default"/>
        <w:b w:val="0"/>
        <w:bCs w:val="0"/>
        <w:i w:val="0"/>
        <w:iCs w:val="0"/>
        <w:spacing w:val="0"/>
        <w:w w:val="99"/>
        <w:sz w:val="22"/>
        <w:szCs w:val="22"/>
        <w:lang w:val="en-US" w:eastAsia="en-US" w:bidi="ar-SA"/>
      </w:rPr>
    </w:lvl>
    <w:lvl w:ilvl="1" w:tplc="EBE08AE6">
      <w:start w:val="1"/>
      <w:numFmt w:val="lowerLetter"/>
      <w:lvlText w:val="%2."/>
      <w:lvlJc w:val="left"/>
      <w:pPr>
        <w:ind w:left="1537" w:hanging="360"/>
      </w:pPr>
      <w:rPr>
        <w:rFonts w:ascii="Arial" w:eastAsia="Arial" w:hAnsi="Arial" w:cs="Arial" w:hint="default"/>
        <w:b w:val="0"/>
        <w:bCs w:val="0"/>
        <w:i w:val="0"/>
        <w:iCs w:val="0"/>
        <w:spacing w:val="0"/>
        <w:w w:val="99"/>
        <w:sz w:val="22"/>
        <w:szCs w:val="22"/>
        <w:lang w:val="en-US" w:eastAsia="en-US" w:bidi="ar-SA"/>
      </w:rPr>
    </w:lvl>
    <w:lvl w:ilvl="2" w:tplc="28BC13D6">
      <w:numFmt w:val="bullet"/>
      <w:lvlText w:val="•"/>
      <w:lvlJc w:val="left"/>
      <w:pPr>
        <w:ind w:left="2151" w:hanging="360"/>
      </w:pPr>
      <w:rPr>
        <w:rFonts w:hint="default"/>
        <w:lang w:val="en-US" w:eastAsia="en-US" w:bidi="ar-SA"/>
      </w:rPr>
    </w:lvl>
    <w:lvl w:ilvl="3" w:tplc="72826AD8">
      <w:numFmt w:val="bullet"/>
      <w:lvlText w:val="•"/>
      <w:lvlJc w:val="left"/>
      <w:pPr>
        <w:ind w:left="2762" w:hanging="360"/>
      </w:pPr>
      <w:rPr>
        <w:rFonts w:hint="default"/>
        <w:lang w:val="en-US" w:eastAsia="en-US" w:bidi="ar-SA"/>
      </w:rPr>
    </w:lvl>
    <w:lvl w:ilvl="4" w:tplc="4E78B1E2">
      <w:numFmt w:val="bullet"/>
      <w:lvlText w:val="•"/>
      <w:lvlJc w:val="left"/>
      <w:pPr>
        <w:ind w:left="3373" w:hanging="360"/>
      </w:pPr>
      <w:rPr>
        <w:rFonts w:hint="default"/>
        <w:lang w:val="en-US" w:eastAsia="en-US" w:bidi="ar-SA"/>
      </w:rPr>
    </w:lvl>
    <w:lvl w:ilvl="5" w:tplc="E11A4A8A">
      <w:numFmt w:val="bullet"/>
      <w:lvlText w:val="•"/>
      <w:lvlJc w:val="left"/>
      <w:pPr>
        <w:ind w:left="3984" w:hanging="360"/>
      </w:pPr>
      <w:rPr>
        <w:rFonts w:hint="default"/>
        <w:lang w:val="en-US" w:eastAsia="en-US" w:bidi="ar-SA"/>
      </w:rPr>
    </w:lvl>
    <w:lvl w:ilvl="6" w:tplc="15303F52">
      <w:numFmt w:val="bullet"/>
      <w:lvlText w:val="•"/>
      <w:lvlJc w:val="left"/>
      <w:pPr>
        <w:ind w:left="4595" w:hanging="360"/>
      </w:pPr>
      <w:rPr>
        <w:rFonts w:hint="default"/>
        <w:lang w:val="en-US" w:eastAsia="en-US" w:bidi="ar-SA"/>
      </w:rPr>
    </w:lvl>
    <w:lvl w:ilvl="7" w:tplc="8716C632">
      <w:numFmt w:val="bullet"/>
      <w:lvlText w:val="•"/>
      <w:lvlJc w:val="left"/>
      <w:pPr>
        <w:ind w:left="5206" w:hanging="360"/>
      </w:pPr>
      <w:rPr>
        <w:rFonts w:hint="default"/>
        <w:lang w:val="en-US" w:eastAsia="en-US" w:bidi="ar-SA"/>
      </w:rPr>
    </w:lvl>
    <w:lvl w:ilvl="8" w:tplc="188E847A">
      <w:numFmt w:val="bullet"/>
      <w:lvlText w:val="•"/>
      <w:lvlJc w:val="left"/>
      <w:pPr>
        <w:ind w:left="5817" w:hanging="360"/>
      </w:pPr>
      <w:rPr>
        <w:rFonts w:hint="default"/>
        <w:lang w:val="en-US" w:eastAsia="en-US" w:bidi="ar-SA"/>
      </w:rPr>
    </w:lvl>
  </w:abstractNum>
  <w:abstractNum w:abstractNumId="16" w15:restartNumberingAfterBreak="0">
    <w:nsid w:val="0A2C5E94"/>
    <w:multiLevelType w:val="hybridMultilevel"/>
    <w:tmpl w:val="2F02F004"/>
    <w:lvl w:ilvl="0" w:tplc="5ED0EDB0">
      <w:start w:val="7"/>
      <w:numFmt w:val="decimal"/>
      <w:lvlText w:val="%1)"/>
      <w:lvlJc w:val="left"/>
      <w:pPr>
        <w:ind w:left="668" w:hanging="577"/>
      </w:pPr>
      <w:rPr>
        <w:rFonts w:ascii="Arial" w:eastAsia="Arial" w:hAnsi="Arial" w:cs="Arial" w:hint="default"/>
        <w:b w:val="0"/>
        <w:bCs w:val="0"/>
        <w:i w:val="0"/>
        <w:iCs w:val="0"/>
        <w:spacing w:val="0"/>
        <w:w w:val="99"/>
        <w:sz w:val="22"/>
        <w:szCs w:val="22"/>
        <w:lang w:val="en-US" w:eastAsia="en-US" w:bidi="ar-SA"/>
      </w:rPr>
    </w:lvl>
    <w:lvl w:ilvl="1" w:tplc="2C3A0B5C">
      <w:numFmt w:val="bullet"/>
      <w:lvlText w:val=""/>
      <w:lvlJc w:val="left"/>
      <w:pPr>
        <w:ind w:left="1103" w:hanging="360"/>
      </w:pPr>
      <w:rPr>
        <w:rFonts w:ascii="Symbol" w:eastAsia="Symbol" w:hAnsi="Symbol" w:cs="Symbol" w:hint="default"/>
        <w:b w:val="0"/>
        <w:bCs w:val="0"/>
        <w:i w:val="0"/>
        <w:iCs w:val="0"/>
        <w:spacing w:val="0"/>
        <w:w w:val="99"/>
        <w:sz w:val="22"/>
        <w:szCs w:val="22"/>
        <w:lang w:val="en-US" w:eastAsia="en-US" w:bidi="ar-SA"/>
      </w:rPr>
    </w:lvl>
    <w:lvl w:ilvl="2" w:tplc="23C45FE0">
      <w:numFmt w:val="bullet"/>
      <w:lvlText w:val="•"/>
      <w:lvlJc w:val="left"/>
      <w:pPr>
        <w:ind w:left="1798" w:hanging="360"/>
      </w:pPr>
      <w:rPr>
        <w:rFonts w:hint="default"/>
        <w:lang w:val="en-US" w:eastAsia="en-US" w:bidi="ar-SA"/>
      </w:rPr>
    </w:lvl>
    <w:lvl w:ilvl="3" w:tplc="957E89F6">
      <w:numFmt w:val="bullet"/>
      <w:lvlText w:val="•"/>
      <w:lvlJc w:val="left"/>
      <w:pPr>
        <w:ind w:left="2497" w:hanging="360"/>
      </w:pPr>
      <w:rPr>
        <w:rFonts w:hint="default"/>
        <w:lang w:val="en-US" w:eastAsia="en-US" w:bidi="ar-SA"/>
      </w:rPr>
    </w:lvl>
    <w:lvl w:ilvl="4" w:tplc="31341B94">
      <w:numFmt w:val="bullet"/>
      <w:lvlText w:val="•"/>
      <w:lvlJc w:val="left"/>
      <w:pPr>
        <w:ind w:left="3196" w:hanging="360"/>
      </w:pPr>
      <w:rPr>
        <w:rFonts w:hint="default"/>
        <w:lang w:val="en-US" w:eastAsia="en-US" w:bidi="ar-SA"/>
      </w:rPr>
    </w:lvl>
    <w:lvl w:ilvl="5" w:tplc="3D6E15CE">
      <w:numFmt w:val="bullet"/>
      <w:lvlText w:val="•"/>
      <w:lvlJc w:val="left"/>
      <w:pPr>
        <w:ind w:left="3895" w:hanging="360"/>
      </w:pPr>
      <w:rPr>
        <w:rFonts w:hint="default"/>
        <w:lang w:val="en-US" w:eastAsia="en-US" w:bidi="ar-SA"/>
      </w:rPr>
    </w:lvl>
    <w:lvl w:ilvl="6" w:tplc="E58CEABE">
      <w:numFmt w:val="bullet"/>
      <w:lvlText w:val="•"/>
      <w:lvlJc w:val="left"/>
      <w:pPr>
        <w:ind w:left="4594" w:hanging="360"/>
      </w:pPr>
      <w:rPr>
        <w:rFonts w:hint="default"/>
        <w:lang w:val="en-US" w:eastAsia="en-US" w:bidi="ar-SA"/>
      </w:rPr>
    </w:lvl>
    <w:lvl w:ilvl="7" w:tplc="F9A6D88C">
      <w:numFmt w:val="bullet"/>
      <w:lvlText w:val="•"/>
      <w:lvlJc w:val="left"/>
      <w:pPr>
        <w:ind w:left="5293" w:hanging="360"/>
      </w:pPr>
      <w:rPr>
        <w:rFonts w:hint="default"/>
        <w:lang w:val="en-US" w:eastAsia="en-US" w:bidi="ar-SA"/>
      </w:rPr>
    </w:lvl>
    <w:lvl w:ilvl="8" w:tplc="2C6475AE">
      <w:numFmt w:val="bullet"/>
      <w:lvlText w:val="•"/>
      <w:lvlJc w:val="left"/>
      <w:pPr>
        <w:ind w:left="5992" w:hanging="360"/>
      </w:pPr>
      <w:rPr>
        <w:rFonts w:hint="default"/>
        <w:lang w:val="en-US" w:eastAsia="en-US" w:bidi="ar-SA"/>
      </w:rPr>
    </w:lvl>
  </w:abstractNum>
  <w:abstractNum w:abstractNumId="17" w15:restartNumberingAfterBreak="0">
    <w:nsid w:val="0C12418C"/>
    <w:multiLevelType w:val="hybridMultilevel"/>
    <w:tmpl w:val="B844A6AA"/>
    <w:lvl w:ilvl="0" w:tplc="52145C4E">
      <w:start w:val="1"/>
      <w:numFmt w:val="decimalZero"/>
      <w:lvlText w:val=".%1"/>
      <w:lvlJc w:val="left"/>
      <w:pPr>
        <w:ind w:left="1639" w:hanging="721"/>
      </w:pPr>
      <w:rPr>
        <w:rFonts w:ascii="Arial" w:eastAsia="Arial" w:hAnsi="Arial" w:cs="Arial" w:hint="default"/>
        <w:b w:val="0"/>
        <w:bCs w:val="0"/>
        <w:i w:val="0"/>
        <w:iCs w:val="0"/>
        <w:spacing w:val="0"/>
        <w:w w:val="99"/>
        <w:sz w:val="22"/>
        <w:szCs w:val="22"/>
        <w:lang w:val="en-US" w:eastAsia="en-US" w:bidi="ar-SA"/>
      </w:rPr>
    </w:lvl>
    <w:lvl w:ilvl="1" w:tplc="B5983688">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2" w:tplc="4E86C9D4">
      <w:numFmt w:val="bullet"/>
      <w:lvlText w:val="•"/>
      <w:lvlJc w:val="left"/>
      <w:pPr>
        <w:ind w:left="2877" w:hanging="360"/>
      </w:pPr>
      <w:rPr>
        <w:rFonts w:hint="default"/>
        <w:lang w:val="en-US" w:eastAsia="en-US" w:bidi="ar-SA"/>
      </w:rPr>
    </w:lvl>
    <w:lvl w:ilvl="3" w:tplc="7736BCD4">
      <w:numFmt w:val="bullet"/>
      <w:lvlText w:val="•"/>
      <w:lvlJc w:val="left"/>
      <w:pPr>
        <w:ind w:left="3755" w:hanging="360"/>
      </w:pPr>
      <w:rPr>
        <w:rFonts w:hint="default"/>
        <w:lang w:val="en-US" w:eastAsia="en-US" w:bidi="ar-SA"/>
      </w:rPr>
    </w:lvl>
    <w:lvl w:ilvl="4" w:tplc="C33C6F2A">
      <w:numFmt w:val="bullet"/>
      <w:lvlText w:val="•"/>
      <w:lvlJc w:val="left"/>
      <w:pPr>
        <w:ind w:left="4633" w:hanging="360"/>
      </w:pPr>
      <w:rPr>
        <w:rFonts w:hint="default"/>
        <w:lang w:val="en-US" w:eastAsia="en-US" w:bidi="ar-SA"/>
      </w:rPr>
    </w:lvl>
    <w:lvl w:ilvl="5" w:tplc="F8649766">
      <w:numFmt w:val="bullet"/>
      <w:lvlText w:val="•"/>
      <w:lvlJc w:val="left"/>
      <w:pPr>
        <w:ind w:left="5511" w:hanging="360"/>
      </w:pPr>
      <w:rPr>
        <w:rFonts w:hint="default"/>
        <w:lang w:val="en-US" w:eastAsia="en-US" w:bidi="ar-SA"/>
      </w:rPr>
    </w:lvl>
    <w:lvl w:ilvl="6" w:tplc="C10692E0">
      <w:numFmt w:val="bullet"/>
      <w:lvlText w:val="•"/>
      <w:lvlJc w:val="left"/>
      <w:pPr>
        <w:ind w:left="6388" w:hanging="360"/>
      </w:pPr>
      <w:rPr>
        <w:rFonts w:hint="default"/>
        <w:lang w:val="en-US" w:eastAsia="en-US" w:bidi="ar-SA"/>
      </w:rPr>
    </w:lvl>
    <w:lvl w:ilvl="7" w:tplc="17D477F2">
      <w:numFmt w:val="bullet"/>
      <w:lvlText w:val="•"/>
      <w:lvlJc w:val="left"/>
      <w:pPr>
        <w:ind w:left="7266" w:hanging="360"/>
      </w:pPr>
      <w:rPr>
        <w:rFonts w:hint="default"/>
        <w:lang w:val="en-US" w:eastAsia="en-US" w:bidi="ar-SA"/>
      </w:rPr>
    </w:lvl>
    <w:lvl w:ilvl="8" w:tplc="DC728762">
      <w:numFmt w:val="bullet"/>
      <w:lvlText w:val="•"/>
      <w:lvlJc w:val="left"/>
      <w:pPr>
        <w:ind w:left="8144" w:hanging="360"/>
      </w:pPr>
      <w:rPr>
        <w:rFonts w:hint="default"/>
        <w:lang w:val="en-US" w:eastAsia="en-US" w:bidi="ar-SA"/>
      </w:rPr>
    </w:lvl>
  </w:abstractNum>
  <w:abstractNum w:abstractNumId="18" w15:restartNumberingAfterBreak="0">
    <w:nsid w:val="0C3C0094"/>
    <w:multiLevelType w:val="hybridMultilevel"/>
    <w:tmpl w:val="9764690E"/>
    <w:lvl w:ilvl="0" w:tplc="9A040B18">
      <w:start w:val="1"/>
      <w:numFmt w:val="decimalZero"/>
      <w:lvlText w:val=".%1"/>
      <w:lvlJc w:val="left"/>
      <w:pPr>
        <w:ind w:left="1470" w:hanging="721"/>
      </w:pPr>
      <w:rPr>
        <w:rFonts w:ascii="Arial" w:eastAsia="Arial" w:hAnsi="Arial" w:cs="Arial" w:hint="default"/>
        <w:b w:val="0"/>
        <w:bCs w:val="0"/>
        <w:i w:val="0"/>
        <w:iCs w:val="0"/>
        <w:spacing w:val="0"/>
        <w:w w:val="99"/>
        <w:sz w:val="22"/>
        <w:szCs w:val="22"/>
        <w:lang w:val="en-US" w:eastAsia="en-US" w:bidi="ar-SA"/>
      </w:rPr>
    </w:lvl>
    <w:lvl w:ilvl="1" w:tplc="E5EC139A">
      <w:numFmt w:val="bullet"/>
      <w:lvlText w:val="•"/>
      <w:lvlJc w:val="left"/>
      <w:pPr>
        <w:ind w:left="2310" w:hanging="721"/>
      </w:pPr>
      <w:rPr>
        <w:rFonts w:hint="default"/>
        <w:lang w:val="en-US" w:eastAsia="en-US" w:bidi="ar-SA"/>
      </w:rPr>
    </w:lvl>
    <w:lvl w:ilvl="2" w:tplc="58F89036">
      <w:numFmt w:val="bullet"/>
      <w:lvlText w:val="•"/>
      <w:lvlJc w:val="left"/>
      <w:pPr>
        <w:ind w:left="3140" w:hanging="721"/>
      </w:pPr>
      <w:rPr>
        <w:rFonts w:hint="default"/>
        <w:lang w:val="en-US" w:eastAsia="en-US" w:bidi="ar-SA"/>
      </w:rPr>
    </w:lvl>
    <w:lvl w:ilvl="3" w:tplc="12128498">
      <w:numFmt w:val="bullet"/>
      <w:lvlText w:val="•"/>
      <w:lvlJc w:val="left"/>
      <w:pPr>
        <w:ind w:left="3970" w:hanging="721"/>
      </w:pPr>
      <w:rPr>
        <w:rFonts w:hint="default"/>
        <w:lang w:val="en-US" w:eastAsia="en-US" w:bidi="ar-SA"/>
      </w:rPr>
    </w:lvl>
    <w:lvl w:ilvl="4" w:tplc="27D8E018">
      <w:numFmt w:val="bullet"/>
      <w:lvlText w:val="•"/>
      <w:lvlJc w:val="left"/>
      <w:pPr>
        <w:ind w:left="4800" w:hanging="721"/>
      </w:pPr>
      <w:rPr>
        <w:rFonts w:hint="default"/>
        <w:lang w:val="en-US" w:eastAsia="en-US" w:bidi="ar-SA"/>
      </w:rPr>
    </w:lvl>
    <w:lvl w:ilvl="5" w:tplc="AE269532">
      <w:numFmt w:val="bullet"/>
      <w:lvlText w:val="•"/>
      <w:lvlJc w:val="left"/>
      <w:pPr>
        <w:ind w:left="5630" w:hanging="721"/>
      </w:pPr>
      <w:rPr>
        <w:rFonts w:hint="default"/>
        <w:lang w:val="en-US" w:eastAsia="en-US" w:bidi="ar-SA"/>
      </w:rPr>
    </w:lvl>
    <w:lvl w:ilvl="6" w:tplc="1AEC31D2">
      <w:numFmt w:val="bullet"/>
      <w:lvlText w:val="•"/>
      <w:lvlJc w:val="left"/>
      <w:pPr>
        <w:ind w:left="6460" w:hanging="721"/>
      </w:pPr>
      <w:rPr>
        <w:rFonts w:hint="default"/>
        <w:lang w:val="en-US" w:eastAsia="en-US" w:bidi="ar-SA"/>
      </w:rPr>
    </w:lvl>
    <w:lvl w:ilvl="7" w:tplc="C9F417D6">
      <w:numFmt w:val="bullet"/>
      <w:lvlText w:val="•"/>
      <w:lvlJc w:val="left"/>
      <w:pPr>
        <w:ind w:left="7290" w:hanging="721"/>
      </w:pPr>
      <w:rPr>
        <w:rFonts w:hint="default"/>
        <w:lang w:val="en-US" w:eastAsia="en-US" w:bidi="ar-SA"/>
      </w:rPr>
    </w:lvl>
    <w:lvl w:ilvl="8" w:tplc="C2D85756">
      <w:numFmt w:val="bullet"/>
      <w:lvlText w:val="•"/>
      <w:lvlJc w:val="left"/>
      <w:pPr>
        <w:ind w:left="8120" w:hanging="721"/>
      </w:pPr>
      <w:rPr>
        <w:rFonts w:hint="default"/>
        <w:lang w:val="en-US" w:eastAsia="en-US" w:bidi="ar-SA"/>
      </w:rPr>
    </w:lvl>
  </w:abstractNum>
  <w:abstractNum w:abstractNumId="19" w15:restartNumberingAfterBreak="0">
    <w:nsid w:val="0CD617A3"/>
    <w:multiLevelType w:val="hybridMultilevel"/>
    <w:tmpl w:val="F7FAE226"/>
    <w:lvl w:ilvl="0" w:tplc="519A16DA">
      <w:start w:val="15"/>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32206E64">
      <w:numFmt w:val="bullet"/>
      <w:lvlText w:val=""/>
      <w:lvlJc w:val="left"/>
      <w:pPr>
        <w:ind w:left="1513" w:hanging="270"/>
      </w:pPr>
      <w:rPr>
        <w:rFonts w:ascii="Symbol" w:eastAsia="Symbol" w:hAnsi="Symbol" w:cs="Symbol" w:hint="default"/>
        <w:spacing w:val="0"/>
        <w:w w:val="99"/>
        <w:lang w:val="en-US" w:eastAsia="en-US" w:bidi="ar-SA"/>
      </w:rPr>
    </w:lvl>
    <w:lvl w:ilvl="2" w:tplc="60E0019E">
      <w:numFmt w:val="bullet"/>
      <w:lvlText w:val="•"/>
      <w:lvlJc w:val="left"/>
      <w:pPr>
        <w:ind w:left="2167" w:hanging="270"/>
      </w:pPr>
      <w:rPr>
        <w:rFonts w:hint="default"/>
        <w:lang w:val="en-US" w:eastAsia="en-US" w:bidi="ar-SA"/>
      </w:rPr>
    </w:lvl>
    <w:lvl w:ilvl="3" w:tplc="71E6DE86">
      <w:numFmt w:val="bullet"/>
      <w:lvlText w:val="•"/>
      <w:lvlJc w:val="left"/>
      <w:pPr>
        <w:ind w:left="2815" w:hanging="270"/>
      </w:pPr>
      <w:rPr>
        <w:rFonts w:hint="default"/>
        <w:lang w:val="en-US" w:eastAsia="en-US" w:bidi="ar-SA"/>
      </w:rPr>
    </w:lvl>
    <w:lvl w:ilvl="4" w:tplc="60FAF3A8">
      <w:numFmt w:val="bullet"/>
      <w:lvlText w:val="•"/>
      <w:lvlJc w:val="left"/>
      <w:pPr>
        <w:ind w:left="3463" w:hanging="270"/>
      </w:pPr>
      <w:rPr>
        <w:rFonts w:hint="default"/>
        <w:lang w:val="en-US" w:eastAsia="en-US" w:bidi="ar-SA"/>
      </w:rPr>
    </w:lvl>
    <w:lvl w:ilvl="5" w:tplc="F9665362">
      <w:numFmt w:val="bullet"/>
      <w:lvlText w:val="•"/>
      <w:lvlJc w:val="left"/>
      <w:pPr>
        <w:ind w:left="4111" w:hanging="270"/>
      </w:pPr>
      <w:rPr>
        <w:rFonts w:hint="default"/>
        <w:lang w:val="en-US" w:eastAsia="en-US" w:bidi="ar-SA"/>
      </w:rPr>
    </w:lvl>
    <w:lvl w:ilvl="6" w:tplc="2B2CA836">
      <w:numFmt w:val="bullet"/>
      <w:lvlText w:val="•"/>
      <w:lvlJc w:val="left"/>
      <w:pPr>
        <w:ind w:left="4758" w:hanging="270"/>
      </w:pPr>
      <w:rPr>
        <w:rFonts w:hint="default"/>
        <w:lang w:val="en-US" w:eastAsia="en-US" w:bidi="ar-SA"/>
      </w:rPr>
    </w:lvl>
    <w:lvl w:ilvl="7" w:tplc="C1321D06">
      <w:numFmt w:val="bullet"/>
      <w:lvlText w:val="•"/>
      <w:lvlJc w:val="left"/>
      <w:pPr>
        <w:ind w:left="5406" w:hanging="270"/>
      </w:pPr>
      <w:rPr>
        <w:rFonts w:hint="default"/>
        <w:lang w:val="en-US" w:eastAsia="en-US" w:bidi="ar-SA"/>
      </w:rPr>
    </w:lvl>
    <w:lvl w:ilvl="8" w:tplc="D674C208">
      <w:numFmt w:val="bullet"/>
      <w:lvlText w:val="•"/>
      <w:lvlJc w:val="left"/>
      <w:pPr>
        <w:ind w:left="6054" w:hanging="270"/>
      </w:pPr>
      <w:rPr>
        <w:rFonts w:hint="default"/>
        <w:lang w:val="en-US" w:eastAsia="en-US" w:bidi="ar-SA"/>
      </w:rPr>
    </w:lvl>
  </w:abstractNum>
  <w:abstractNum w:abstractNumId="20" w15:restartNumberingAfterBreak="0">
    <w:nsid w:val="0CD621D6"/>
    <w:multiLevelType w:val="hybridMultilevel"/>
    <w:tmpl w:val="A094DC12"/>
    <w:lvl w:ilvl="0" w:tplc="56A8CD50">
      <w:start w:val="2"/>
      <w:numFmt w:val="decimal"/>
      <w:lvlText w:val="%1."/>
      <w:lvlJc w:val="left"/>
      <w:pPr>
        <w:ind w:left="561" w:hanging="432"/>
      </w:pPr>
      <w:rPr>
        <w:rFonts w:ascii="Arial" w:eastAsia="Arial" w:hAnsi="Arial" w:cs="Arial" w:hint="default"/>
        <w:b w:val="0"/>
        <w:bCs w:val="0"/>
        <w:i w:val="0"/>
        <w:iCs w:val="0"/>
        <w:spacing w:val="0"/>
        <w:w w:val="99"/>
        <w:sz w:val="22"/>
        <w:szCs w:val="22"/>
        <w:lang w:val="en-US" w:eastAsia="en-US" w:bidi="ar-SA"/>
      </w:rPr>
    </w:lvl>
    <w:lvl w:ilvl="1" w:tplc="00F4D63A">
      <w:numFmt w:val="bullet"/>
      <w:lvlText w:val=""/>
      <w:lvlJc w:val="left"/>
      <w:pPr>
        <w:ind w:left="921" w:hanging="360"/>
      </w:pPr>
      <w:rPr>
        <w:rFonts w:ascii="Symbol" w:eastAsia="Symbol" w:hAnsi="Symbol" w:cs="Symbol" w:hint="default"/>
        <w:b w:val="0"/>
        <w:bCs w:val="0"/>
        <w:i w:val="0"/>
        <w:iCs w:val="0"/>
        <w:spacing w:val="0"/>
        <w:w w:val="99"/>
        <w:sz w:val="22"/>
        <w:szCs w:val="22"/>
        <w:lang w:val="en-US" w:eastAsia="en-US" w:bidi="ar-SA"/>
      </w:rPr>
    </w:lvl>
    <w:lvl w:ilvl="2" w:tplc="24B2229A">
      <w:numFmt w:val="bullet"/>
      <w:lvlText w:val="•"/>
      <w:lvlJc w:val="left"/>
      <w:pPr>
        <w:ind w:left="1547" w:hanging="360"/>
      </w:pPr>
      <w:rPr>
        <w:rFonts w:hint="default"/>
        <w:lang w:val="en-US" w:eastAsia="en-US" w:bidi="ar-SA"/>
      </w:rPr>
    </w:lvl>
    <w:lvl w:ilvl="3" w:tplc="D402E4BC">
      <w:numFmt w:val="bullet"/>
      <w:lvlText w:val="•"/>
      <w:lvlJc w:val="left"/>
      <w:pPr>
        <w:ind w:left="2175" w:hanging="360"/>
      </w:pPr>
      <w:rPr>
        <w:rFonts w:hint="default"/>
        <w:lang w:val="en-US" w:eastAsia="en-US" w:bidi="ar-SA"/>
      </w:rPr>
    </w:lvl>
    <w:lvl w:ilvl="4" w:tplc="A8B4B086">
      <w:numFmt w:val="bullet"/>
      <w:lvlText w:val="•"/>
      <w:lvlJc w:val="left"/>
      <w:pPr>
        <w:ind w:left="2803" w:hanging="360"/>
      </w:pPr>
      <w:rPr>
        <w:rFonts w:hint="default"/>
        <w:lang w:val="en-US" w:eastAsia="en-US" w:bidi="ar-SA"/>
      </w:rPr>
    </w:lvl>
    <w:lvl w:ilvl="5" w:tplc="AC2E0578">
      <w:numFmt w:val="bullet"/>
      <w:lvlText w:val="•"/>
      <w:lvlJc w:val="left"/>
      <w:pPr>
        <w:ind w:left="3431" w:hanging="360"/>
      </w:pPr>
      <w:rPr>
        <w:rFonts w:hint="default"/>
        <w:lang w:val="en-US" w:eastAsia="en-US" w:bidi="ar-SA"/>
      </w:rPr>
    </w:lvl>
    <w:lvl w:ilvl="6" w:tplc="236A263A">
      <w:numFmt w:val="bullet"/>
      <w:lvlText w:val="•"/>
      <w:lvlJc w:val="left"/>
      <w:pPr>
        <w:ind w:left="4058" w:hanging="360"/>
      </w:pPr>
      <w:rPr>
        <w:rFonts w:hint="default"/>
        <w:lang w:val="en-US" w:eastAsia="en-US" w:bidi="ar-SA"/>
      </w:rPr>
    </w:lvl>
    <w:lvl w:ilvl="7" w:tplc="075490BA">
      <w:numFmt w:val="bullet"/>
      <w:lvlText w:val="•"/>
      <w:lvlJc w:val="left"/>
      <w:pPr>
        <w:ind w:left="4686" w:hanging="360"/>
      </w:pPr>
      <w:rPr>
        <w:rFonts w:hint="default"/>
        <w:lang w:val="en-US" w:eastAsia="en-US" w:bidi="ar-SA"/>
      </w:rPr>
    </w:lvl>
    <w:lvl w:ilvl="8" w:tplc="B3425810">
      <w:numFmt w:val="bullet"/>
      <w:lvlText w:val="•"/>
      <w:lvlJc w:val="left"/>
      <w:pPr>
        <w:ind w:left="5314" w:hanging="360"/>
      </w:pPr>
      <w:rPr>
        <w:rFonts w:hint="default"/>
        <w:lang w:val="en-US" w:eastAsia="en-US" w:bidi="ar-SA"/>
      </w:rPr>
    </w:lvl>
  </w:abstractNum>
  <w:abstractNum w:abstractNumId="21" w15:restartNumberingAfterBreak="0">
    <w:nsid w:val="0D1179A0"/>
    <w:multiLevelType w:val="hybridMultilevel"/>
    <w:tmpl w:val="8F7ADE78"/>
    <w:lvl w:ilvl="0" w:tplc="2C0406E2">
      <w:start w:val="1"/>
      <w:numFmt w:val="decimal"/>
      <w:lvlText w:val="%1."/>
      <w:lvlJc w:val="left"/>
      <w:pPr>
        <w:ind w:left="1946" w:hanging="307"/>
      </w:pPr>
      <w:rPr>
        <w:rFonts w:ascii="Arial" w:eastAsia="Arial" w:hAnsi="Arial" w:cs="Arial" w:hint="default"/>
        <w:b w:val="0"/>
        <w:bCs w:val="0"/>
        <w:i w:val="0"/>
        <w:iCs w:val="0"/>
        <w:spacing w:val="0"/>
        <w:w w:val="99"/>
        <w:sz w:val="22"/>
        <w:szCs w:val="22"/>
        <w:lang w:val="en-US" w:eastAsia="en-US" w:bidi="ar-SA"/>
      </w:rPr>
    </w:lvl>
    <w:lvl w:ilvl="1" w:tplc="7AB03F04">
      <w:numFmt w:val="bullet"/>
      <w:lvlText w:val="•"/>
      <w:lvlJc w:val="left"/>
      <w:pPr>
        <w:ind w:left="2736" w:hanging="307"/>
      </w:pPr>
      <w:rPr>
        <w:rFonts w:hint="default"/>
        <w:lang w:val="en-US" w:eastAsia="en-US" w:bidi="ar-SA"/>
      </w:rPr>
    </w:lvl>
    <w:lvl w:ilvl="2" w:tplc="CC42982C">
      <w:numFmt w:val="bullet"/>
      <w:lvlText w:val="•"/>
      <w:lvlJc w:val="left"/>
      <w:pPr>
        <w:ind w:left="3532" w:hanging="307"/>
      </w:pPr>
      <w:rPr>
        <w:rFonts w:hint="default"/>
        <w:lang w:val="en-US" w:eastAsia="en-US" w:bidi="ar-SA"/>
      </w:rPr>
    </w:lvl>
    <w:lvl w:ilvl="3" w:tplc="667AF3C6">
      <w:numFmt w:val="bullet"/>
      <w:lvlText w:val="•"/>
      <w:lvlJc w:val="left"/>
      <w:pPr>
        <w:ind w:left="4328" w:hanging="307"/>
      </w:pPr>
      <w:rPr>
        <w:rFonts w:hint="default"/>
        <w:lang w:val="en-US" w:eastAsia="en-US" w:bidi="ar-SA"/>
      </w:rPr>
    </w:lvl>
    <w:lvl w:ilvl="4" w:tplc="7C16CBA6">
      <w:numFmt w:val="bullet"/>
      <w:lvlText w:val="•"/>
      <w:lvlJc w:val="left"/>
      <w:pPr>
        <w:ind w:left="5124" w:hanging="307"/>
      </w:pPr>
      <w:rPr>
        <w:rFonts w:hint="default"/>
        <w:lang w:val="en-US" w:eastAsia="en-US" w:bidi="ar-SA"/>
      </w:rPr>
    </w:lvl>
    <w:lvl w:ilvl="5" w:tplc="25B86ECE">
      <w:numFmt w:val="bullet"/>
      <w:lvlText w:val="•"/>
      <w:lvlJc w:val="left"/>
      <w:pPr>
        <w:ind w:left="5920" w:hanging="307"/>
      </w:pPr>
      <w:rPr>
        <w:rFonts w:hint="default"/>
        <w:lang w:val="en-US" w:eastAsia="en-US" w:bidi="ar-SA"/>
      </w:rPr>
    </w:lvl>
    <w:lvl w:ilvl="6" w:tplc="499A11B4">
      <w:numFmt w:val="bullet"/>
      <w:lvlText w:val="•"/>
      <w:lvlJc w:val="left"/>
      <w:pPr>
        <w:ind w:left="6716" w:hanging="307"/>
      </w:pPr>
      <w:rPr>
        <w:rFonts w:hint="default"/>
        <w:lang w:val="en-US" w:eastAsia="en-US" w:bidi="ar-SA"/>
      </w:rPr>
    </w:lvl>
    <w:lvl w:ilvl="7" w:tplc="71F68EC4">
      <w:numFmt w:val="bullet"/>
      <w:lvlText w:val="•"/>
      <w:lvlJc w:val="left"/>
      <w:pPr>
        <w:ind w:left="7512" w:hanging="307"/>
      </w:pPr>
      <w:rPr>
        <w:rFonts w:hint="default"/>
        <w:lang w:val="en-US" w:eastAsia="en-US" w:bidi="ar-SA"/>
      </w:rPr>
    </w:lvl>
    <w:lvl w:ilvl="8" w:tplc="8902A048">
      <w:numFmt w:val="bullet"/>
      <w:lvlText w:val="•"/>
      <w:lvlJc w:val="left"/>
      <w:pPr>
        <w:ind w:left="8308" w:hanging="307"/>
      </w:pPr>
      <w:rPr>
        <w:rFonts w:hint="default"/>
        <w:lang w:val="en-US" w:eastAsia="en-US" w:bidi="ar-SA"/>
      </w:rPr>
    </w:lvl>
  </w:abstractNum>
  <w:abstractNum w:abstractNumId="22" w15:restartNumberingAfterBreak="0">
    <w:nsid w:val="0DD564D2"/>
    <w:multiLevelType w:val="hybridMultilevel"/>
    <w:tmpl w:val="2F506002"/>
    <w:lvl w:ilvl="0" w:tplc="84FE90D0">
      <w:start w:val="7"/>
      <w:numFmt w:val="decimal"/>
      <w:lvlText w:val="%1)"/>
      <w:lvlJc w:val="left"/>
      <w:pPr>
        <w:ind w:left="758" w:hanging="361"/>
      </w:pPr>
      <w:rPr>
        <w:rFonts w:ascii="Arial" w:eastAsia="Arial" w:hAnsi="Arial" w:cs="Arial" w:hint="default"/>
        <w:b w:val="0"/>
        <w:bCs w:val="0"/>
        <w:i w:val="0"/>
        <w:iCs w:val="0"/>
        <w:spacing w:val="0"/>
        <w:w w:val="99"/>
        <w:sz w:val="22"/>
        <w:szCs w:val="22"/>
        <w:lang w:val="en-US" w:eastAsia="en-US" w:bidi="ar-SA"/>
      </w:rPr>
    </w:lvl>
    <w:lvl w:ilvl="1" w:tplc="F600F6EE">
      <w:numFmt w:val="bullet"/>
      <w:lvlText w:val=""/>
      <w:lvlJc w:val="left"/>
      <w:pPr>
        <w:ind w:left="1209" w:hanging="360"/>
      </w:pPr>
      <w:rPr>
        <w:rFonts w:ascii="Symbol" w:eastAsia="Symbol" w:hAnsi="Symbol" w:cs="Symbol" w:hint="default"/>
        <w:b w:val="0"/>
        <w:bCs w:val="0"/>
        <w:i w:val="0"/>
        <w:iCs w:val="0"/>
        <w:spacing w:val="0"/>
        <w:w w:val="99"/>
        <w:sz w:val="22"/>
        <w:szCs w:val="22"/>
        <w:lang w:val="en-US" w:eastAsia="en-US" w:bidi="ar-SA"/>
      </w:rPr>
    </w:lvl>
    <w:lvl w:ilvl="2" w:tplc="CD245C44">
      <w:numFmt w:val="bullet"/>
      <w:lvlText w:val="•"/>
      <w:lvlJc w:val="left"/>
      <w:pPr>
        <w:ind w:left="1807" w:hanging="360"/>
      </w:pPr>
      <w:rPr>
        <w:rFonts w:hint="default"/>
        <w:lang w:val="en-US" w:eastAsia="en-US" w:bidi="ar-SA"/>
      </w:rPr>
    </w:lvl>
    <w:lvl w:ilvl="3" w:tplc="256C22B4">
      <w:numFmt w:val="bullet"/>
      <w:lvlText w:val="•"/>
      <w:lvlJc w:val="left"/>
      <w:pPr>
        <w:ind w:left="2415" w:hanging="360"/>
      </w:pPr>
      <w:rPr>
        <w:rFonts w:hint="default"/>
        <w:lang w:val="en-US" w:eastAsia="en-US" w:bidi="ar-SA"/>
      </w:rPr>
    </w:lvl>
    <w:lvl w:ilvl="4" w:tplc="DF5C8EAC">
      <w:numFmt w:val="bullet"/>
      <w:lvlText w:val="•"/>
      <w:lvlJc w:val="left"/>
      <w:pPr>
        <w:ind w:left="3022" w:hanging="360"/>
      </w:pPr>
      <w:rPr>
        <w:rFonts w:hint="default"/>
        <w:lang w:val="en-US" w:eastAsia="en-US" w:bidi="ar-SA"/>
      </w:rPr>
    </w:lvl>
    <w:lvl w:ilvl="5" w:tplc="FF90BC8E">
      <w:numFmt w:val="bullet"/>
      <w:lvlText w:val="•"/>
      <w:lvlJc w:val="left"/>
      <w:pPr>
        <w:ind w:left="3630" w:hanging="360"/>
      </w:pPr>
      <w:rPr>
        <w:rFonts w:hint="default"/>
        <w:lang w:val="en-US" w:eastAsia="en-US" w:bidi="ar-SA"/>
      </w:rPr>
    </w:lvl>
    <w:lvl w:ilvl="6" w:tplc="1090B24E">
      <w:numFmt w:val="bullet"/>
      <w:lvlText w:val="•"/>
      <w:lvlJc w:val="left"/>
      <w:pPr>
        <w:ind w:left="4238" w:hanging="360"/>
      </w:pPr>
      <w:rPr>
        <w:rFonts w:hint="default"/>
        <w:lang w:val="en-US" w:eastAsia="en-US" w:bidi="ar-SA"/>
      </w:rPr>
    </w:lvl>
    <w:lvl w:ilvl="7" w:tplc="F7AE69B4">
      <w:numFmt w:val="bullet"/>
      <w:lvlText w:val="•"/>
      <w:lvlJc w:val="left"/>
      <w:pPr>
        <w:ind w:left="4845" w:hanging="360"/>
      </w:pPr>
      <w:rPr>
        <w:rFonts w:hint="default"/>
        <w:lang w:val="en-US" w:eastAsia="en-US" w:bidi="ar-SA"/>
      </w:rPr>
    </w:lvl>
    <w:lvl w:ilvl="8" w:tplc="7EFCEAF8">
      <w:numFmt w:val="bullet"/>
      <w:lvlText w:val="•"/>
      <w:lvlJc w:val="left"/>
      <w:pPr>
        <w:ind w:left="5453" w:hanging="360"/>
      </w:pPr>
      <w:rPr>
        <w:rFonts w:hint="default"/>
        <w:lang w:val="en-US" w:eastAsia="en-US" w:bidi="ar-SA"/>
      </w:rPr>
    </w:lvl>
  </w:abstractNum>
  <w:abstractNum w:abstractNumId="23" w15:restartNumberingAfterBreak="0">
    <w:nsid w:val="0DF93063"/>
    <w:multiLevelType w:val="hybridMultilevel"/>
    <w:tmpl w:val="1256B11E"/>
    <w:lvl w:ilvl="0" w:tplc="5254D03A">
      <w:start w:val="2"/>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F47036E2">
      <w:numFmt w:val="bullet"/>
      <w:lvlText w:val=""/>
      <w:lvlJc w:val="left"/>
      <w:pPr>
        <w:ind w:left="1514" w:hanging="270"/>
      </w:pPr>
      <w:rPr>
        <w:rFonts w:ascii="Symbol" w:eastAsia="Symbol" w:hAnsi="Symbol" w:cs="Symbol" w:hint="default"/>
        <w:spacing w:val="0"/>
        <w:w w:val="99"/>
        <w:lang w:val="en-US" w:eastAsia="en-US" w:bidi="ar-SA"/>
      </w:rPr>
    </w:lvl>
    <w:lvl w:ilvl="2" w:tplc="D29C43DC">
      <w:numFmt w:val="bullet"/>
      <w:lvlText w:val="•"/>
      <w:lvlJc w:val="left"/>
      <w:pPr>
        <w:ind w:left="2167" w:hanging="270"/>
      </w:pPr>
      <w:rPr>
        <w:rFonts w:hint="default"/>
        <w:lang w:val="en-US" w:eastAsia="en-US" w:bidi="ar-SA"/>
      </w:rPr>
    </w:lvl>
    <w:lvl w:ilvl="3" w:tplc="A7F27D84">
      <w:numFmt w:val="bullet"/>
      <w:lvlText w:val="•"/>
      <w:lvlJc w:val="left"/>
      <w:pPr>
        <w:ind w:left="2815" w:hanging="270"/>
      </w:pPr>
      <w:rPr>
        <w:rFonts w:hint="default"/>
        <w:lang w:val="en-US" w:eastAsia="en-US" w:bidi="ar-SA"/>
      </w:rPr>
    </w:lvl>
    <w:lvl w:ilvl="4" w:tplc="9AAC4E9C">
      <w:numFmt w:val="bullet"/>
      <w:lvlText w:val="•"/>
      <w:lvlJc w:val="left"/>
      <w:pPr>
        <w:ind w:left="3463" w:hanging="270"/>
      </w:pPr>
      <w:rPr>
        <w:rFonts w:hint="default"/>
        <w:lang w:val="en-US" w:eastAsia="en-US" w:bidi="ar-SA"/>
      </w:rPr>
    </w:lvl>
    <w:lvl w:ilvl="5" w:tplc="2A462716">
      <w:numFmt w:val="bullet"/>
      <w:lvlText w:val="•"/>
      <w:lvlJc w:val="left"/>
      <w:pPr>
        <w:ind w:left="4111" w:hanging="270"/>
      </w:pPr>
      <w:rPr>
        <w:rFonts w:hint="default"/>
        <w:lang w:val="en-US" w:eastAsia="en-US" w:bidi="ar-SA"/>
      </w:rPr>
    </w:lvl>
    <w:lvl w:ilvl="6" w:tplc="BD6C8B8C">
      <w:numFmt w:val="bullet"/>
      <w:lvlText w:val="•"/>
      <w:lvlJc w:val="left"/>
      <w:pPr>
        <w:ind w:left="4758" w:hanging="270"/>
      </w:pPr>
      <w:rPr>
        <w:rFonts w:hint="default"/>
        <w:lang w:val="en-US" w:eastAsia="en-US" w:bidi="ar-SA"/>
      </w:rPr>
    </w:lvl>
    <w:lvl w:ilvl="7" w:tplc="FA0E97A4">
      <w:numFmt w:val="bullet"/>
      <w:lvlText w:val="•"/>
      <w:lvlJc w:val="left"/>
      <w:pPr>
        <w:ind w:left="5406" w:hanging="270"/>
      </w:pPr>
      <w:rPr>
        <w:rFonts w:hint="default"/>
        <w:lang w:val="en-US" w:eastAsia="en-US" w:bidi="ar-SA"/>
      </w:rPr>
    </w:lvl>
    <w:lvl w:ilvl="8" w:tplc="E68AE2A4">
      <w:numFmt w:val="bullet"/>
      <w:lvlText w:val="•"/>
      <w:lvlJc w:val="left"/>
      <w:pPr>
        <w:ind w:left="6054" w:hanging="270"/>
      </w:pPr>
      <w:rPr>
        <w:rFonts w:hint="default"/>
        <w:lang w:val="en-US" w:eastAsia="en-US" w:bidi="ar-SA"/>
      </w:rPr>
    </w:lvl>
  </w:abstractNum>
  <w:abstractNum w:abstractNumId="24" w15:restartNumberingAfterBreak="0">
    <w:nsid w:val="0E3528D4"/>
    <w:multiLevelType w:val="hybridMultilevel"/>
    <w:tmpl w:val="EBDCE938"/>
    <w:lvl w:ilvl="0" w:tplc="C444101E">
      <w:numFmt w:val="bullet"/>
      <w:lvlText w:val=""/>
      <w:lvlJc w:val="left"/>
      <w:pPr>
        <w:ind w:left="1694" w:hanging="360"/>
      </w:pPr>
      <w:rPr>
        <w:rFonts w:ascii="Symbol" w:eastAsia="Symbol" w:hAnsi="Symbol" w:cs="Symbol" w:hint="default"/>
        <w:b w:val="0"/>
        <w:bCs w:val="0"/>
        <w:i w:val="0"/>
        <w:iCs w:val="0"/>
        <w:spacing w:val="0"/>
        <w:w w:val="99"/>
        <w:sz w:val="22"/>
        <w:szCs w:val="22"/>
        <w:lang w:val="en-US" w:eastAsia="en-US" w:bidi="ar-SA"/>
      </w:rPr>
    </w:lvl>
    <w:lvl w:ilvl="1" w:tplc="C47EC998">
      <w:numFmt w:val="bullet"/>
      <w:lvlText w:val="•"/>
      <w:lvlJc w:val="left"/>
      <w:pPr>
        <w:ind w:left="2265" w:hanging="360"/>
      </w:pPr>
      <w:rPr>
        <w:rFonts w:hint="default"/>
        <w:lang w:val="en-US" w:eastAsia="en-US" w:bidi="ar-SA"/>
      </w:rPr>
    </w:lvl>
    <w:lvl w:ilvl="2" w:tplc="61E4C400">
      <w:numFmt w:val="bullet"/>
      <w:lvlText w:val="•"/>
      <w:lvlJc w:val="left"/>
      <w:pPr>
        <w:ind w:left="2830" w:hanging="360"/>
      </w:pPr>
      <w:rPr>
        <w:rFonts w:hint="default"/>
        <w:lang w:val="en-US" w:eastAsia="en-US" w:bidi="ar-SA"/>
      </w:rPr>
    </w:lvl>
    <w:lvl w:ilvl="3" w:tplc="B92A2DF6">
      <w:numFmt w:val="bullet"/>
      <w:lvlText w:val="•"/>
      <w:lvlJc w:val="left"/>
      <w:pPr>
        <w:ind w:left="3395" w:hanging="360"/>
      </w:pPr>
      <w:rPr>
        <w:rFonts w:hint="default"/>
        <w:lang w:val="en-US" w:eastAsia="en-US" w:bidi="ar-SA"/>
      </w:rPr>
    </w:lvl>
    <w:lvl w:ilvl="4" w:tplc="B73E4216">
      <w:numFmt w:val="bullet"/>
      <w:lvlText w:val="•"/>
      <w:lvlJc w:val="left"/>
      <w:pPr>
        <w:ind w:left="3960" w:hanging="360"/>
      </w:pPr>
      <w:rPr>
        <w:rFonts w:hint="default"/>
        <w:lang w:val="en-US" w:eastAsia="en-US" w:bidi="ar-SA"/>
      </w:rPr>
    </w:lvl>
    <w:lvl w:ilvl="5" w:tplc="9AE6F942">
      <w:numFmt w:val="bullet"/>
      <w:lvlText w:val="•"/>
      <w:lvlJc w:val="left"/>
      <w:pPr>
        <w:ind w:left="4525" w:hanging="360"/>
      </w:pPr>
      <w:rPr>
        <w:rFonts w:hint="default"/>
        <w:lang w:val="en-US" w:eastAsia="en-US" w:bidi="ar-SA"/>
      </w:rPr>
    </w:lvl>
    <w:lvl w:ilvl="6" w:tplc="0B90D2C8">
      <w:numFmt w:val="bullet"/>
      <w:lvlText w:val="•"/>
      <w:lvlJc w:val="left"/>
      <w:pPr>
        <w:ind w:left="5090" w:hanging="360"/>
      </w:pPr>
      <w:rPr>
        <w:rFonts w:hint="default"/>
        <w:lang w:val="en-US" w:eastAsia="en-US" w:bidi="ar-SA"/>
      </w:rPr>
    </w:lvl>
    <w:lvl w:ilvl="7" w:tplc="005E79CE">
      <w:numFmt w:val="bullet"/>
      <w:lvlText w:val="•"/>
      <w:lvlJc w:val="left"/>
      <w:pPr>
        <w:ind w:left="5655" w:hanging="360"/>
      </w:pPr>
      <w:rPr>
        <w:rFonts w:hint="default"/>
        <w:lang w:val="en-US" w:eastAsia="en-US" w:bidi="ar-SA"/>
      </w:rPr>
    </w:lvl>
    <w:lvl w:ilvl="8" w:tplc="4DEE2A78">
      <w:numFmt w:val="bullet"/>
      <w:lvlText w:val="•"/>
      <w:lvlJc w:val="left"/>
      <w:pPr>
        <w:ind w:left="6220" w:hanging="360"/>
      </w:pPr>
      <w:rPr>
        <w:rFonts w:hint="default"/>
        <w:lang w:val="en-US" w:eastAsia="en-US" w:bidi="ar-SA"/>
      </w:rPr>
    </w:lvl>
  </w:abstractNum>
  <w:abstractNum w:abstractNumId="25" w15:restartNumberingAfterBreak="0">
    <w:nsid w:val="0EC14082"/>
    <w:multiLevelType w:val="hybridMultilevel"/>
    <w:tmpl w:val="EA34798A"/>
    <w:lvl w:ilvl="0" w:tplc="421A58BC">
      <w:start w:val="7"/>
      <w:numFmt w:val="decimal"/>
      <w:lvlText w:val="%1."/>
      <w:lvlJc w:val="left"/>
      <w:pPr>
        <w:ind w:left="456" w:hanging="364"/>
      </w:pPr>
      <w:rPr>
        <w:rFonts w:ascii="Arial" w:eastAsia="Arial" w:hAnsi="Arial" w:cs="Arial" w:hint="default"/>
        <w:b w:val="0"/>
        <w:bCs w:val="0"/>
        <w:i w:val="0"/>
        <w:iCs w:val="0"/>
        <w:spacing w:val="0"/>
        <w:w w:val="99"/>
        <w:sz w:val="22"/>
        <w:szCs w:val="22"/>
        <w:lang w:val="en-US" w:eastAsia="en-US" w:bidi="ar-SA"/>
      </w:rPr>
    </w:lvl>
    <w:lvl w:ilvl="1" w:tplc="AC32708E">
      <w:numFmt w:val="bullet"/>
      <w:lvlText w:val=""/>
      <w:lvlJc w:val="left"/>
      <w:pPr>
        <w:ind w:left="820" w:hanging="360"/>
      </w:pPr>
      <w:rPr>
        <w:rFonts w:ascii="Symbol" w:eastAsia="Symbol" w:hAnsi="Symbol" w:cs="Symbol" w:hint="default"/>
        <w:b w:val="0"/>
        <w:bCs w:val="0"/>
        <w:i w:val="0"/>
        <w:iCs w:val="0"/>
        <w:spacing w:val="0"/>
        <w:w w:val="99"/>
        <w:sz w:val="22"/>
        <w:szCs w:val="22"/>
        <w:lang w:val="en-US" w:eastAsia="en-US" w:bidi="ar-SA"/>
      </w:rPr>
    </w:lvl>
    <w:lvl w:ilvl="2" w:tplc="66E4942C">
      <w:numFmt w:val="bullet"/>
      <w:lvlText w:val="•"/>
      <w:lvlJc w:val="left"/>
      <w:pPr>
        <w:ind w:left="1534" w:hanging="360"/>
      </w:pPr>
      <w:rPr>
        <w:rFonts w:hint="default"/>
        <w:lang w:val="en-US" w:eastAsia="en-US" w:bidi="ar-SA"/>
      </w:rPr>
    </w:lvl>
    <w:lvl w:ilvl="3" w:tplc="0806189E">
      <w:numFmt w:val="bullet"/>
      <w:lvlText w:val="•"/>
      <w:lvlJc w:val="left"/>
      <w:pPr>
        <w:ind w:left="2248" w:hanging="360"/>
      </w:pPr>
      <w:rPr>
        <w:rFonts w:hint="default"/>
        <w:lang w:val="en-US" w:eastAsia="en-US" w:bidi="ar-SA"/>
      </w:rPr>
    </w:lvl>
    <w:lvl w:ilvl="4" w:tplc="D7569DE6">
      <w:numFmt w:val="bullet"/>
      <w:lvlText w:val="•"/>
      <w:lvlJc w:val="left"/>
      <w:pPr>
        <w:ind w:left="2962" w:hanging="360"/>
      </w:pPr>
      <w:rPr>
        <w:rFonts w:hint="default"/>
        <w:lang w:val="en-US" w:eastAsia="en-US" w:bidi="ar-SA"/>
      </w:rPr>
    </w:lvl>
    <w:lvl w:ilvl="5" w:tplc="F71A65B0">
      <w:numFmt w:val="bullet"/>
      <w:lvlText w:val="•"/>
      <w:lvlJc w:val="left"/>
      <w:pPr>
        <w:ind w:left="3676" w:hanging="360"/>
      </w:pPr>
      <w:rPr>
        <w:rFonts w:hint="default"/>
        <w:lang w:val="en-US" w:eastAsia="en-US" w:bidi="ar-SA"/>
      </w:rPr>
    </w:lvl>
    <w:lvl w:ilvl="6" w:tplc="9FD40F0A">
      <w:numFmt w:val="bullet"/>
      <w:lvlText w:val="•"/>
      <w:lvlJc w:val="left"/>
      <w:pPr>
        <w:ind w:left="4391" w:hanging="360"/>
      </w:pPr>
      <w:rPr>
        <w:rFonts w:hint="default"/>
        <w:lang w:val="en-US" w:eastAsia="en-US" w:bidi="ar-SA"/>
      </w:rPr>
    </w:lvl>
    <w:lvl w:ilvl="7" w:tplc="6A606026">
      <w:numFmt w:val="bullet"/>
      <w:lvlText w:val="•"/>
      <w:lvlJc w:val="left"/>
      <w:pPr>
        <w:ind w:left="5105" w:hanging="360"/>
      </w:pPr>
      <w:rPr>
        <w:rFonts w:hint="default"/>
        <w:lang w:val="en-US" w:eastAsia="en-US" w:bidi="ar-SA"/>
      </w:rPr>
    </w:lvl>
    <w:lvl w:ilvl="8" w:tplc="142C29D8">
      <w:numFmt w:val="bullet"/>
      <w:lvlText w:val="•"/>
      <w:lvlJc w:val="left"/>
      <w:pPr>
        <w:ind w:left="5819" w:hanging="360"/>
      </w:pPr>
      <w:rPr>
        <w:rFonts w:hint="default"/>
        <w:lang w:val="en-US" w:eastAsia="en-US" w:bidi="ar-SA"/>
      </w:rPr>
    </w:lvl>
  </w:abstractNum>
  <w:abstractNum w:abstractNumId="26" w15:restartNumberingAfterBreak="0">
    <w:nsid w:val="102F1D60"/>
    <w:multiLevelType w:val="hybridMultilevel"/>
    <w:tmpl w:val="5A5268DE"/>
    <w:lvl w:ilvl="0" w:tplc="95E6317C">
      <w:start w:val="3"/>
      <w:numFmt w:val="decimal"/>
      <w:lvlText w:val="%1)"/>
      <w:lvlJc w:val="left"/>
      <w:pPr>
        <w:ind w:left="711" w:hanging="577"/>
      </w:pPr>
      <w:rPr>
        <w:rFonts w:ascii="Arial" w:eastAsia="Arial" w:hAnsi="Arial" w:cs="Arial" w:hint="default"/>
        <w:b w:val="0"/>
        <w:bCs w:val="0"/>
        <w:i w:val="0"/>
        <w:iCs w:val="0"/>
        <w:spacing w:val="0"/>
        <w:w w:val="99"/>
        <w:sz w:val="22"/>
        <w:szCs w:val="22"/>
        <w:lang w:val="en-US" w:eastAsia="en-US" w:bidi="ar-SA"/>
      </w:rPr>
    </w:lvl>
    <w:lvl w:ilvl="1" w:tplc="EE2EDA96">
      <w:numFmt w:val="bullet"/>
      <w:lvlText w:val=""/>
      <w:lvlJc w:val="left"/>
      <w:pPr>
        <w:ind w:left="1069" w:hanging="360"/>
      </w:pPr>
      <w:rPr>
        <w:rFonts w:ascii="Symbol" w:eastAsia="Symbol" w:hAnsi="Symbol" w:cs="Symbol" w:hint="default"/>
        <w:b w:val="0"/>
        <w:bCs w:val="0"/>
        <w:i w:val="0"/>
        <w:iCs w:val="0"/>
        <w:spacing w:val="0"/>
        <w:w w:val="99"/>
        <w:sz w:val="22"/>
        <w:szCs w:val="22"/>
        <w:lang w:val="en-US" w:eastAsia="en-US" w:bidi="ar-SA"/>
      </w:rPr>
    </w:lvl>
    <w:lvl w:ilvl="2" w:tplc="58F2D208">
      <w:numFmt w:val="bullet"/>
      <w:lvlText w:val="•"/>
      <w:lvlJc w:val="left"/>
      <w:pPr>
        <w:ind w:left="1719" w:hanging="360"/>
      </w:pPr>
      <w:rPr>
        <w:rFonts w:hint="default"/>
        <w:lang w:val="en-US" w:eastAsia="en-US" w:bidi="ar-SA"/>
      </w:rPr>
    </w:lvl>
    <w:lvl w:ilvl="3" w:tplc="1A9639A2">
      <w:numFmt w:val="bullet"/>
      <w:lvlText w:val="•"/>
      <w:lvlJc w:val="left"/>
      <w:pPr>
        <w:ind w:left="2378" w:hanging="360"/>
      </w:pPr>
      <w:rPr>
        <w:rFonts w:hint="default"/>
        <w:lang w:val="en-US" w:eastAsia="en-US" w:bidi="ar-SA"/>
      </w:rPr>
    </w:lvl>
    <w:lvl w:ilvl="4" w:tplc="7CA43376">
      <w:numFmt w:val="bullet"/>
      <w:lvlText w:val="•"/>
      <w:lvlJc w:val="left"/>
      <w:pPr>
        <w:ind w:left="3038" w:hanging="360"/>
      </w:pPr>
      <w:rPr>
        <w:rFonts w:hint="default"/>
        <w:lang w:val="en-US" w:eastAsia="en-US" w:bidi="ar-SA"/>
      </w:rPr>
    </w:lvl>
    <w:lvl w:ilvl="5" w:tplc="AE2A193E">
      <w:numFmt w:val="bullet"/>
      <w:lvlText w:val="•"/>
      <w:lvlJc w:val="left"/>
      <w:pPr>
        <w:ind w:left="3697" w:hanging="360"/>
      </w:pPr>
      <w:rPr>
        <w:rFonts w:hint="default"/>
        <w:lang w:val="en-US" w:eastAsia="en-US" w:bidi="ar-SA"/>
      </w:rPr>
    </w:lvl>
    <w:lvl w:ilvl="6" w:tplc="C99AAAF8">
      <w:numFmt w:val="bullet"/>
      <w:lvlText w:val="•"/>
      <w:lvlJc w:val="left"/>
      <w:pPr>
        <w:ind w:left="4357" w:hanging="360"/>
      </w:pPr>
      <w:rPr>
        <w:rFonts w:hint="default"/>
        <w:lang w:val="en-US" w:eastAsia="en-US" w:bidi="ar-SA"/>
      </w:rPr>
    </w:lvl>
    <w:lvl w:ilvl="7" w:tplc="652EF5A0">
      <w:numFmt w:val="bullet"/>
      <w:lvlText w:val="•"/>
      <w:lvlJc w:val="left"/>
      <w:pPr>
        <w:ind w:left="5016" w:hanging="360"/>
      </w:pPr>
      <w:rPr>
        <w:rFonts w:hint="default"/>
        <w:lang w:val="en-US" w:eastAsia="en-US" w:bidi="ar-SA"/>
      </w:rPr>
    </w:lvl>
    <w:lvl w:ilvl="8" w:tplc="86A29778">
      <w:numFmt w:val="bullet"/>
      <w:lvlText w:val="•"/>
      <w:lvlJc w:val="left"/>
      <w:pPr>
        <w:ind w:left="5676" w:hanging="360"/>
      </w:pPr>
      <w:rPr>
        <w:rFonts w:hint="default"/>
        <w:lang w:val="en-US" w:eastAsia="en-US" w:bidi="ar-SA"/>
      </w:rPr>
    </w:lvl>
  </w:abstractNum>
  <w:abstractNum w:abstractNumId="27" w15:restartNumberingAfterBreak="0">
    <w:nsid w:val="11760C6A"/>
    <w:multiLevelType w:val="hybridMultilevel"/>
    <w:tmpl w:val="CAAA6C72"/>
    <w:lvl w:ilvl="0" w:tplc="EB409BDC">
      <w:start w:val="1"/>
      <w:numFmt w:val="decimal"/>
      <w:lvlText w:val="%1)"/>
      <w:lvlJc w:val="left"/>
      <w:pPr>
        <w:ind w:left="683" w:hanging="577"/>
      </w:pPr>
      <w:rPr>
        <w:rFonts w:ascii="Arial" w:eastAsia="Arial" w:hAnsi="Arial" w:cs="Arial" w:hint="default"/>
        <w:b w:val="0"/>
        <w:bCs w:val="0"/>
        <w:i w:val="0"/>
        <w:iCs w:val="0"/>
        <w:spacing w:val="0"/>
        <w:w w:val="99"/>
        <w:sz w:val="22"/>
        <w:szCs w:val="22"/>
        <w:lang w:val="en-US" w:eastAsia="en-US" w:bidi="ar-SA"/>
      </w:rPr>
    </w:lvl>
    <w:lvl w:ilvl="1" w:tplc="B0AAF1F6">
      <w:start w:val="1"/>
      <w:numFmt w:val="lowerLetter"/>
      <w:lvlText w:val="%2)"/>
      <w:lvlJc w:val="left"/>
      <w:pPr>
        <w:ind w:left="1259" w:hanging="577"/>
      </w:pPr>
      <w:rPr>
        <w:rFonts w:ascii="Arial" w:eastAsia="Arial" w:hAnsi="Arial" w:cs="Arial" w:hint="default"/>
        <w:b w:val="0"/>
        <w:bCs w:val="0"/>
        <w:i w:val="0"/>
        <w:iCs w:val="0"/>
        <w:spacing w:val="0"/>
        <w:w w:val="99"/>
        <w:sz w:val="22"/>
        <w:szCs w:val="22"/>
        <w:lang w:val="en-US" w:eastAsia="en-US" w:bidi="ar-SA"/>
      </w:rPr>
    </w:lvl>
    <w:lvl w:ilvl="2" w:tplc="FB82764E">
      <w:numFmt w:val="bullet"/>
      <w:lvlText w:val="•"/>
      <w:lvlJc w:val="left"/>
      <w:pPr>
        <w:ind w:left="1888" w:hanging="577"/>
      </w:pPr>
      <w:rPr>
        <w:rFonts w:hint="default"/>
        <w:lang w:val="en-US" w:eastAsia="en-US" w:bidi="ar-SA"/>
      </w:rPr>
    </w:lvl>
    <w:lvl w:ilvl="3" w:tplc="21B6CC48">
      <w:numFmt w:val="bullet"/>
      <w:lvlText w:val="•"/>
      <w:lvlJc w:val="left"/>
      <w:pPr>
        <w:ind w:left="2517" w:hanging="577"/>
      </w:pPr>
      <w:rPr>
        <w:rFonts w:hint="default"/>
        <w:lang w:val="en-US" w:eastAsia="en-US" w:bidi="ar-SA"/>
      </w:rPr>
    </w:lvl>
    <w:lvl w:ilvl="4" w:tplc="6F96302C">
      <w:numFmt w:val="bullet"/>
      <w:lvlText w:val="•"/>
      <w:lvlJc w:val="left"/>
      <w:pPr>
        <w:ind w:left="3146" w:hanging="577"/>
      </w:pPr>
      <w:rPr>
        <w:rFonts w:hint="default"/>
        <w:lang w:val="en-US" w:eastAsia="en-US" w:bidi="ar-SA"/>
      </w:rPr>
    </w:lvl>
    <w:lvl w:ilvl="5" w:tplc="82AA301E">
      <w:numFmt w:val="bullet"/>
      <w:lvlText w:val="•"/>
      <w:lvlJc w:val="left"/>
      <w:pPr>
        <w:ind w:left="3775" w:hanging="577"/>
      </w:pPr>
      <w:rPr>
        <w:rFonts w:hint="default"/>
        <w:lang w:val="en-US" w:eastAsia="en-US" w:bidi="ar-SA"/>
      </w:rPr>
    </w:lvl>
    <w:lvl w:ilvl="6" w:tplc="5E30B9AE">
      <w:numFmt w:val="bullet"/>
      <w:lvlText w:val="•"/>
      <w:lvlJc w:val="left"/>
      <w:pPr>
        <w:ind w:left="4404" w:hanging="577"/>
      </w:pPr>
      <w:rPr>
        <w:rFonts w:hint="default"/>
        <w:lang w:val="en-US" w:eastAsia="en-US" w:bidi="ar-SA"/>
      </w:rPr>
    </w:lvl>
    <w:lvl w:ilvl="7" w:tplc="F7D44664">
      <w:numFmt w:val="bullet"/>
      <w:lvlText w:val="•"/>
      <w:lvlJc w:val="left"/>
      <w:pPr>
        <w:ind w:left="5033" w:hanging="577"/>
      </w:pPr>
      <w:rPr>
        <w:rFonts w:hint="default"/>
        <w:lang w:val="en-US" w:eastAsia="en-US" w:bidi="ar-SA"/>
      </w:rPr>
    </w:lvl>
    <w:lvl w:ilvl="8" w:tplc="FF421546">
      <w:numFmt w:val="bullet"/>
      <w:lvlText w:val="•"/>
      <w:lvlJc w:val="left"/>
      <w:pPr>
        <w:ind w:left="5662" w:hanging="577"/>
      </w:pPr>
      <w:rPr>
        <w:rFonts w:hint="default"/>
        <w:lang w:val="en-US" w:eastAsia="en-US" w:bidi="ar-SA"/>
      </w:rPr>
    </w:lvl>
  </w:abstractNum>
  <w:abstractNum w:abstractNumId="28" w15:restartNumberingAfterBreak="0">
    <w:nsid w:val="13566D1E"/>
    <w:multiLevelType w:val="hybridMultilevel"/>
    <w:tmpl w:val="BEE4B8CC"/>
    <w:lvl w:ilvl="0" w:tplc="234EAD76">
      <w:start w:val="1"/>
      <w:numFmt w:val="decimal"/>
      <w:lvlText w:val="%1."/>
      <w:lvlJc w:val="left"/>
      <w:pPr>
        <w:ind w:left="559" w:hanging="360"/>
      </w:pPr>
      <w:rPr>
        <w:rFonts w:ascii="Arial" w:eastAsia="Arial" w:hAnsi="Arial" w:cs="Arial" w:hint="default"/>
        <w:b w:val="0"/>
        <w:bCs w:val="0"/>
        <w:i w:val="0"/>
        <w:iCs w:val="0"/>
        <w:spacing w:val="0"/>
        <w:w w:val="99"/>
        <w:sz w:val="22"/>
        <w:szCs w:val="22"/>
        <w:lang w:val="en-US" w:eastAsia="en-US" w:bidi="ar-SA"/>
      </w:rPr>
    </w:lvl>
    <w:lvl w:ilvl="1" w:tplc="050053B4">
      <w:numFmt w:val="bullet"/>
      <w:lvlText w:val="•"/>
      <w:lvlJc w:val="left"/>
      <w:pPr>
        <w:ind w:left="1494" w:hanging="360"/>
      </w:pPr>
      <w:rPr>
        <w:rFonts w:hint="default"/>
        <w:lang w:val="en-US" w:eastAsia="en-US" w:bidi="ar-SA"/>
      </w:rPr>
    </w:lvl>
    <w:lvl w:ilvl="2" w:tplc="913293C2">
      <w:numFmt w:val="bullet"/>
      <w:lvlText w:val="•"/>
      <w:lvlJc w:val="left"/>
      <w:pPr>
        <w:ind w:left="2428" w:hanging="360"/>
      </w:pPr>
      <w:rPr>
        <w:rFonts w:hint="default"/>
        <w:lang w:val="en-US" w:eastAsia="en-US" w:bidi="ar-SA"/>
      </w:rPr>
    </w:lvl>
    <w:lvl w:ilvl="3" w:tplc="EDF2F126">
      <w:numFmt w:val="bullet"/>
      <w:lvlText w:val="•"/>
      <w:lvlJc w:val="left"/>
      <w:pPr>
        <w:ind w:left="3362" w:hanging="360"/>
      </w:pPr>
      <w:rPr>
        <w:rFonts w:hint="default"/>
        <w:lang w:val="en-US" w:eastAsia="en-US" w:bidi="ar-SA"/>
      </w:rPr>
    </w:lvl>
    <w:lvl w:ilvl="4" w:tplc="CB2E28CA">
      <w:numFmt w:val="bullet"/>
      <w:lvlText w:val="•"/>
      <w:lvlJc w:val="left"/>
      <w:pPr>
        <w:ind w:left="4296" w:hanging="360"/>
      </w:pPr>
      <w:rPr>
        <w:rFonts w:hint="default"/>
        <w:lang w:val="en-US" w:eastAsia="en-US" w:bidi="ar-SA"/>
      </w:rPr>
    </w:lvl>
    <w:lvl w:ilvl="5" w:tplc="36E68E5C">
      <w:numFmt w:val="bullet"/>
      <w:lvlText w:val="•"/>
      <w:lvlJc w:val="left"/>
      <w:pPr>
        <w:ind w:left="5230" w:hanging="360"/>
      </w:pPr>
      <w:rPr>
        <w:rFonts w:hint="default"/>
        <w:lang w:val="en-US" w:eastAsia="en-US" w:bidi="ar-SA"/>
      </w:rPr>
    </w:lvl>
    <w:lvl w:ilvl="6" w:tplc="05B0A3C4">
      <w:numFmt w:val="bullet"/>
      <w:lvlText w:val="•"/>
      <w:lvlJc w:val="left"/>
      <w:pPr>
        <w:ind w:left="6164" w:hanging="360"/>
      </w:pPr>
      <w:rPr>
        <w:rFonts w:hint="default"/>
        <w:lang w:val="en-US" w:eastAsia="en-US" w:bidi="ar-SA"/>
      </w:rPr>
    </w:lvl>
    <w:lvl w:ilvl="7" w:tplc="198EC96A">
      <w:numFmt w:val="bullet"/>
      <w:lvlText w:val="•"/>
      <w:lvlJc w:val="left"/>
      <w:pPr>
        <w:ind w:left="7098" w:hanging="360"/>
      </w:pPr>
      <w:rPr>
        <w:rFonts w:hint="default"/>
        <w:lang w:val="en-US" w:eastAsia="en-US" w:bidi="ar-SA"/>
      </w:rPr>
    </w:lvl>
    <w:lvl w:ilvl="8" w:tplc="8D3816F2">
      <w:numFmt w:val="bullet"/>
      <w:lvlText w:val="•"/>
      <w:lvlJc w:val="left"/>
      <w:pPr>
        <w:ind w:left="8032" w:hanging="360"/>
      </w:pPr>
      <w:rPr>
        <w:rFonts w:hint="default"/>
        <w:lang w:val="en-US" w:eastAsia="en-US" w:bidi="ar-SA"/>
      </w:rPr>
    </w:lvl>
  </w:abstractNum>
  <w:abstractNum w:abstractNumId="29" w15:restartNumberingAfterBreak="0">
    <w:nsid w:val="14AF21A7"/>
    <w:multiLevelType w:val="hybridMultilevel"/>
    <w:tmpl w:val="6F22EBD6"/>
    <w:lvl w:ilvl="0" w:tplc="2DBCD850">
      <w:start w:val="7"/>
      <w:numFmt w:val="lowerLetter"/>
      <w:lvlText w:val="%1."/>
      <w:lvlJc w:val="left"/>
      <w:pPr>
        <w:ind w:left="1334" w:hanging="390"/>
      </w:pPr>
      <w:rPr>
        <w:rFonts w:ascii="Arial" w:eastAsia="Arial" w:hAnsi="Arial" w:cs="Arial" w:hint="default"/>
        <w:b w:val="0"/>
        <w:bCs w:val="0"/>
        <w:i w:val="0"/>
        <w:iCs w:val="0"/>
        <w:spacing w:val="0"/>
        <w:w w:val="99"/>
        <w:sz w:val="22"/>
        <w:szCs w:val="22"/>
        <w:lang w:val="en-US" w:eastAsia="en-US" w:bidi="ar-SA"/>
      </w:rPr>
    </w:lvl>
    <w:lvl w:ilvl="1" w:tplc="224ACF36">
      <w:numFmt w:val="bullet"/>
      <w:lvlText w:val=""/>
      <w:lvlJc w:val="left"/>
      <w:pPr>
        <w:ind w:left="1694" w:hanging="360"/>
      </w:pPr>
      <w:rPr>
        <w:rFonts w:ascii="Symbol" w:eastAsia="Symbol" w:hAnsi="Symbol" w:cs="Symbol" w:hint="default"/>
        <w:b w:val="0"/>
        <w:bCs w:val="0"/>
        <w:i w:val="0"/>
        <w:iCs w:val="0"/>
        <w:spacing w:val="0"/>
        <w:w w:val="99"/>
        <w:sz w:val="22"/>
        <w:szCs w:val="22"/>
        <w:lang w:val="en-US" w:eastAsia="en-US" w:bidi="ar-SA"/>
      </w:rPr>
    </w:lvl>
    <w:lvl w:ilvl="2" w:tplc="C2745DBE">
      <w:numFmt w:val="bullet"/>
      <w:lvlText w:val="•"/>
      <w:lvlJc w:val="left"/>
      <w:pPr>
        <w:ind w:left="2327" w:hanging="360"/>
      </w:pPr>
      <w:rPr>
        <w:rFonts w:hint="default"/>
        <w:lang w:val="en-US" w:eastAsia="en-US" w:bidi="ar-SA"/>
      </w:rPr>
    </w:lvl>
    <w:lvl w:ilvl="3" w:tplc="C5F86B66">
      <w:numFmt w:val="bullet"/>
      <w:lvlText w:val="•"/>
      <w:lvlJc w:val="left"/>
      <w:pPr>
        <w:ind w:left="2955" w:hanging="360"/>
      </w:pPr>
      <w:rPr>
        <w:rFonts w:hint="default"/>
        <w:lang w:val="en-US" w:eastAsia="en-US" w:bidi="ar-SA"/>
      </w:rPr>
    </w:lvl>
    <w:lvl w:ilvl="4" w:tplc="7E7CFA00">
      <w:numFmt w:val="bullet"/>
      <w:lvlText w:val="•"/>
      <w:lvlJc w:val="left"/>
      <w:pPr>
        <w:ind w:left="3583" w:hanging="360"/>
      </w:pPr>
      <w:rPr>
        <w:rFonts w:hint="default"/>
        <w:lang w:val="en-US" w:eastAsia="en-US" w:bidi="ar-SA"/>
      </w:rPr>
    </w:lvl>
    <w:lvl w:ilvl="5" w:tplc="64F6C2D0">
      <w:numFmt w:val="bullet"/>
      <w:lvlText w:val="•"/>
      <w:lvlJc w:val="left"/>
      <w:pPr>
        <w:ind w:left="4211" w:hanging="360"/>
      </w:pPr>
      <w:rPr>
        <w:rFonts w:hint="default"/>
        <w:lang w:val="en-US" w:eastAsia="en-US" w:bidi="ar-SA"/>
      </w:rPr>
    </w:lvl>
    <w:lvl w:ilvl="6" w:tplc="3BC20D08">
      <w:numFmt w:val="bullet"/>
      <w:lvlText w:val="•"/>
      <w:lvlJc w:val="left"/>
      <w:pPr>
        <w:ind w:left="4838" w:hanging="360"/>
      </w:pPr>
      <w:rPr>
        <w:rFonts w:hint="default"/>
        <w:lang w:val="en-US" w:eastAsia="en-US" w:bidi="ar-SA"/>
      </w:rPr>
    </w:lvl>
    <w:lvl w:ilvl="7" w:tplc="4DFAC770">
      <w:numFmt w:val="bullet"/>
      <w:lvlText w:val="•"/>
      <w:lvlJc w:val="left"/>
      <w:pPr>
        <w:ind w:left="5466" w:hanging="360"/>
      </w:pPr>
      <w:rPr>
        <w:rFonts w:hint="default"/>
        <w:lang w:val="en-US" w:eastAsia="en-US" w:bidi="ar-SA"/>
      </w:rPr>
    </w:lvl>
    <w:lvl w:ilvl="8" w:tplc="AFFCEFE8">
      <w:numFmt w:val="bullet"/>
      <w:lvlText w:val="•"/>
      <w:lvlJc w:val="left"/>
      <w:pPr>
        <w:ind w:left="6094" w:hanging="360"/>
      </w:pPr>
      <w:rPr>
        <w:rFonts w:hint="default"/>
        <w:lang w:val="en-US" w:eastAsia="en-US" w:bidi="ar-SA"/>
      </w:rPr>
    </w:lvl>
  </w:abstractNum>
  <w:abstractNum w:abstractNumId="30" w15:restartNumberingAfterBreak="0">
    <w:nsid w:val="14DA3554"/>
    <w:multiLevelType w:val="hybridMultilevel"/>
    <w:tmpl w:val="340866C0"/>
    <w:lvl w:ilvl="0" w:tplc="70088526">
      <w:numFmt w:val="bullet"/>
      <w:lvlText w:val=""/>
      <w:lvlJc w:val="left"/>
      <w:pPr>
        <w:ind w:left="1999" w:hanging="360"/>
      </w:pPr>
      <w:rPr>
        <w:rFonts w:ascii="Symbol" w:eastAsia="Symbol" w:hAnsi="Symbol" w:cs="Symbol" w:hint="default"/>
        <w:b w:val="0"/>
        <w:bCs w:val="0"/>
        <w:i w:val="0"/>
        <w:iCs w:val="0"/>
        <w:spacing w:val="0"/>
        <w:w w:val="99"/>
        <w:sz w:val="22"/>
        <w:szCs w:val="22"/>
        <w:lang w:val="en-US" w:eastAsia="en-US" w:bidi="ar-SA"/>
      </w:rPr>
    </w:lvl>
    <w:lvl w:ilvl="1" w:tplc="73644B84">
      <w:numFmt w:val="bullet"/>
      <w:lvlText w:val="•"/>
      <w:lvlJc w:val="left"/>
      <w:pPr>
        <w:ind w:left="2790" w:hanging="360"/>
      </w:pPr>
      <w:rPr>
        <w:rFonts w:hint="default"/>
        <w:lang w:val="en-US" w:eastAsia="en-US" w:bidi="ar-SA"/>
      </w:rPr>
    </w:lvl>
    <w:lvl w:ilvl="2" w:tplc="6A56FFF0">
      <w:numFmt w:val="bullet"/>
      <w:lvlText w:val="•"/>
      <w:lvlJc w:val="left"/>
      <w:pPr>
        <w:ind w:left="3580" w:hanging="360"/>
      </w:pPr>
      <w:rPr>
        <w:rFonts w:hint="default"/>
        <w:lang w:val="en-US" w:eastAsia="en-US" w:bidi="ar-SA"/>
      </w:rPr>
    </w:lvl>
    <w:lvl w:ilvl="3" w:tplc="5EAC6EDA">
      <w:numFmt w:val="bullet"/>
      <w:lvlText w:val="•"/>
      <w:lvlJc w:val="left"/>
      <w:pPr>
        <w:ind w:left="4370" w:hanging="360"/>
      </w:pPr>
      <w:rPr>
        <w:rFonts w:hint="default"/>
        <w:lang w:val="en-US" w:eastAsia="en-US" w:bidi="ar-SA"/>
      </w:rPr>
    </w:lvl>
    <w:lvl w:ilvl="4" w:tplc="11761C90">
      <w:numFmt w:val="bullet"/>
      <w:lvlText w:val="•"/>
      <w:lvlJc w:val="left"/>
      <w:pPr>
        <w:ind w:left="5160" w:hanging="360"/>
      </w:pPr>
      <w:rPr>
        <w:rFonts w:hint="default"/>
        <w:lang w:val="en-US" w:eastAsia="en-US" w:bidi="ar-SA"/>
      </w:rPr>
    </w:lvl>
    <w:lvl w:ilvl="5" w:tplc="4064D23E">
      <w:numFmt w:val="bullet"/>
      <w:lvlText w:val="•"/>
      <w:lvlJc w:val="left"/>
      <w:pPr>
        <w:ind w:left="5950" w:hanging="360"/>
      </w:pPr>
      <w:rPr>
        <w:rFonts w:hint="default"/>
        <w:lang w:val="en-US" w:eastAsia="en-US" w:bidi="ar-SA"/>
      </w:rPr>
    </w:lvl>
    <w:lvl w:ilvl="6" w:tplc="34B46968">
      <w:numFmt w:val="bullet"/>
      <w:lvlText w:val="•"/>
      <w:lvlJc w:val="left"/>
      <w:pPr>
        <w:ind w:left="6740" w:hanging="360"/>
      </w:pPr>
      <w:rPr>
        <w:rFonts w:hint="default"/>
        <w:lang w:val="en-US" w:eastAsia="en-US" w:bidi="ar-SA"/>
      </w:rPr>
    </w:lvl>
    <w:lvl w:ilvl="7" w:tplc="5010F4E2">
      <w:numFmt w:val="bullet"/>
      <w:lvlText w:val="•"/>
      <w:lvlJc w:val="left"/>
      <w:pPr>
        <w:ind w:left="7530" w:hanging="360"/>
      </w:pPr>
      <w:rPr>
        <w:rFonts w:hint="default"/>
        <w:lang w:val="en-US" w:eastAsia="en-US" w:bidi="ar-SA"/>
      </w:rPr>
    </w:lvl>
    <w:lvl w:ilvl="8" w:tplc="0866B4D4">
      <w:numFmt w:val="bullet"/>
      <w:lvlText w:val="•"/>
      <w:lvlJc w:val="left"/>
      <w:pPr>
        <w:ind w:left="8320" w:hanging="360"/>
      </w:pPr>
      <w:rPr>
        <w:rFonts w:hint="default"/>
        <w:lang w:val="en-US" w:eastAsia="en-US" w:bidi="ar-SA"/>
      </w:rPr>
    </w:lvl>
  </w:abstractNum>
  <w:abstractNum w:abstractNumId="31" w15:restartNumberingAfterBreak="0">
    <w:nsid w:val="15A351F7"/>
    <w:multiLevelType w:val="hybridMultilevel"/>
    <w:tmpl w:val="4D7E3792"/>
    <w:lvl w:ilvl="0" w:tplc="645A4C80">
      <w:start w:val="1"/>
      <w:numFmt w:val="decimal"/>
      <w:lvlText w:val="%1."/>
      <w:lvlJc w:val="left"/>
      <w:pPr>
        <w:ind w:left="559" w:hanging="360"/>
      </w:pPr>
      <w:rPr>
        <w:rFonts w:ascii="Arial" w:eastAsia="Arial" w:hAnsi="Arial" w:cs="Arial" w:hint="default"/>
        <w:b w:val="0"/>
        <w:bCs w:val="0"/>
        <w:i w:val="0"/>
        <w:iCs w:val="0"/>
        <w:spacing w:val="0"/>
        <w:w w:val="99"/>
        <w:sz w:val="22"/>
        <w:szCs w:val="22"/>
        <w:lang w:val="en-US" w:eastAsia="en-US" w:bidi="ar-SA"/>
      </w:rPr>
    </w:lvl>
    <w:lvl w:ilvl="1" w:tplc="4EEE9808">
      <w:numFmt w:val="bullet"/>
      <w:lvlText w:val="•"/>
      <w:lvlJc w:val="left"/>
      <w:pPr>
        <w:ind w:left="1494" w:hanging="360"/>
      </w:pPr>
      <w:rPr>
        <w:rFonts w:hint="default"/>
        <w:lang w:val="en-US" w:eastAsia="en-US" w:bidi="ar-SA"/>
      </w:rPr>
    </w:lvl>
    <w:lvl w:ilvl="2" w:tplc="EB20A7E8">
      <w:numFmt w:val="bullet"/>
      <w:lvlText w:val="•"/>
      <w:lvlJc w:val="left"/>
      <w:pPr>
        <w:ind w:left="2428" w:hanging="360"/>
      </w:pPr>
      <w:rPr>
        <w:rFonts w:hint="default"/>
        <w:lang w:val="en-US" w:eastAsia="en-US" w:bidi="ar-SA"/>
      </w:rPr>
    </w:lvl>
    <w:lvl w:ilvl="3" w:tplc="2196D5EC">
      <w:numFmt w:val="bullet"/>
      <w:lvlText w:val="•"/>
      <w:lvlJc w:val="left"/>
      <w:pPr>
        <w:ind w:left="3362" w:hanging="360"/>
      </w:pPr>
      <w:rPr>
        <w:rFonts w:hint="default"/>
        <w:lang w:val="en-US" w:eastAsia="en-US" w:bidi="ar-SA"/>
      </w:rPr>
    </w:lvl>
    <w:lvl w:ilvl="4" w:tplc="6E342A60">
      <w:numFmt w:val="bullet"/>
      <w:lvlText w:val="•"/>
      <w:lvlJc w:val="left"/>
      <w:pPr>
        <w:ind w:left="4296" w:hanging="360"/>
      </w:pPr>
      <w:rPr>
        <w:rFonts w:hint="default"/>
        <w:lang w:val="en-US" w:eastAsia="en-US" w:bidi="ar-SA"/>
      </w:rPr>
    </w:lvl>
    <w:lvl w:ilvl="5" w:tplc="0A8AB9C2">
      <w:numFmt w:val="bullet"/>
      <w:lvlText w:val="•"/>
      <w:lvlJc w:val="left"/>
      <w:pPr>
        <w:ind w:left="5230" w:hanging="360"/>
      </w:pPr>
      <w:rPr>
        <w:rFonts w:hint="default"/>
        <w:lang w:val="en-US" w:eastAsia="en-US" w:bidi="ar-SA"/>
      </w:rPr>
    </w:lvl>
    <w:lvl w:ilvl="6" w:tplc="DB1C5C82">
      <w:numFmt w:val="bullet"/>
      <w:lvlText w:val="•"/>
      <w:lvlJc w:val="left"/>
      <w:pPr>
        <w:ind w:left="6164" w:hanging="360"/>
      </w:pPr>
      <w:rPr>
        <w:rFonts w:hint="default"/>
        <w:lang w:val="en-US" w:eastAsia="en-US" w:bidi="ar-SA"/>
      </w:rPr>
    </w:lvl>
    <w:lvl w:ilvl="7" w:tplc="714CE24E">
      <w:numFmt w:val="bullet"/>
      <w:lvlText w:val="•"/>
      <w:lvlJc w:val="left"/>
      <w:pPr>
        <w:ind w:left="7098" w:hanging="360"/>
      </w:pPr>
      <w:rPr>
        <w:rFonts w:hint="default"/>
        <w:lang w:val="en-US" w:eastAsia="en-US" w:bidi="ar-SA"/>
      </w:rPr>
    </w:lvl>
    <w:lvl w:ilvl="8" w:tplc="62363FA4">
      <w:numFmt w:val="bullet"/>
      <w:lvlText w:val="•"/>
      <w:lvlJc w:val="left"/>
      <w:pPr>
        <w:ind w:left="8032" w:hanging="360"/>
      </w:pPr>
      <w:rPr>
        <w:rFonts w:hint="default"/>
        <w:lang w:val="en-US" w:eastAsia="en-US" w:bidi="ar-SA"/>
      </w:rPr>
    </w:lvl>
  </w:abstractNum>
  <w:abstractNum w:abstractNumId="32" w15:restartNumberingAfterBreak="0">
    <w:nsid w:val="15E06491"/>
    <w:multiLevelType w:val="hybridMultilevel"/>
    <w:tmpl w:val="9FBC836A"/>
    <w:lvl w:ilvl="0" w:tplc="0644DAAC">
      <w:start w:val="1"/>
      <w:numFmt w:val="decimal"/>
      <w:lvlText w:val="%1)"/>
      <w:lvlJc w:val="left"/>
      <w:pPr>
        <w:ind w:left="812" w:hanging="504"/>
      </w:pPr>
      <w:rPr>
        <w:rFonts w:ascii="Arial" w:eastAsia="Arial" w:hAnsi="Arial" w:cs="Arial" w:hint="default"/>
        <w:b w:val="0"/>
        <w:bCs w:val="0"/>
        <w:i w:val="0"/>
        <w:iCs w:val="0"/>
        <w:spacing w:val="0"/>
        <w:w w:val="99"/>
        <w:sz w:val="22"/>
        <w:szCs w:val="22"/>
        <w:lang w:val="en-US" w:eastAsia="en-US" w:bidi="ar-SA"/>
      </w:rPr>
    </w:lvl>
    <w:lvl w:ilvl="1" w:tplc="9264A918">
      <w:start w:val="1"/>
      <w:numFmt w:val="lowerLetter"/>
      <w:lvlText w:val="%2)"/>
      <w:lvlJc w:val="left"/>
      <w:pPr>
        <w:ind w:left="1244" w:hanging="397"/>
      </w:pPr>
      <w:rPr>
        <w:rFonts w:ascii="Arial" w:eastAsia="Arial" w:hAnsi="Arial" w:cs="Arial" w:hint="default"/>
        <w:b w:val="0"/>
        <w:bCs w:val="0"/>
        <w:i w:val="0"/>
        <w:iCs w:val="0"/>
        <w:spacing w:val="0"/>
        <w:w w:val="99"/>
        <w:sz w:val="22"/>
        <w:szCs w:val="22"/>
        <w:lang w:val="en-US" w:eastAsia="en-US" w:bidi="ar-SA"/>
      </w:rPr>
    </w:lvl>
    <w:lvl w:ilvl="2" w:tplc="A09ACD88">
      <w:numFmt w:val="bullet"/>
      <w:lvlText w:val="•"/>
      <w:lvlJc w:val="left"/>
      <w:pPr>
        <w:ind w:left="1843" w:hanging="397"/>
      </w:pPr>
      <w:rPr>
        <w:rFonts w:hint="default"/>
        <w:lang w:val="en-US" w:eastAsia="en-US" w:bidi="ar-SA"/>
      </w:rPr>
    </w:lvl>
    <w:lvl w:ilvl="3" w:tplc="6FB63A60">
      <w:numFmt w:val="bullet"/>
      <w:lvlText w:val="•"/>
      <w:lvlJc w:val="left"/>
      <w:pPr>
        <w:ind w:left="2446" w:hanging="397"/>
      </w:pPr>
      <w:rPr>
        <w:rFonts w:hint="default"/>
        <w:lang w:val="en-US" w:eastAsia="en-US" w:bidi="ar-SA"/>
      </w:rPr>
    </w:lvl>
    <w:lvl w:ilvl="4" w:tplc="D8E0A564">
      <w:numFmt w:val="bullet"/>
      <w:lvlText w:val="•"/>
      <w:lvlJc w:val="left"/>
      <w:pPr>
        <w:ind w:left="3049" w:hanging="397"/>
      </w:pPr>
      <w:rPr>
        <w:rFonts w:hint="default"/>
        <w:lang w:val="en-US" w:eastAsia="en-US" w:bidi="ar-SA"/>
      </w:rPr>
    </w:lvl>
    <w:lvl w:ilvl="5" w:tplc="813A1BF2">
      <w:numFmt w:val="bullet"/>
      <w:lvlText w:val="•"/>
      <w:lvlJc w:val="left"/>
      <w:pPr>
        <w:ind w:left="3652" w:hanging="397"/>
      </w:pPr>
      <w:rPr>
        <w:rFonts w:hint="default"/>
        <w:lang w:val="en-US" w:eastAsia="en-US" w:bidi="ar-SA"/>
      </w:rPr>
    </w:lvl>
    <w:lvl w:ilvl="6" w:tplc="9C84211E">
      <w:numFmt w:val="bullet"/>
      <w:lvlText w:val="•"/>
      <w:lvlJc w:val="left"/>
      <w:pPr>
        <w:ind w:left="4255" w:hanging="397"/>
      </w:pPr>
      <w:rPr>
        <w:rFonts w:hint="default"/>
        <w:lang w:val="en-US" w:eastAsia="en-US" w:bidi="ar-SA"/>
      </w:rPr>
    </w:lvl>
    <w:lvl w:ilvl="7" w:tplc="FE70D2AE">
      <w:numFmt w:val="bullet"/>
      <w:lvlText w:val="•"/>
      <w:lvlJc w:val="left"/>
      <w:pPr>
        <w:ind w:left="4859" w:hanging="397"/>
      </w:pPr>
      <w:rPr>
        <w:rFonts w:hint="default"/>
        <w:lang w:val="en-US" w:eastAsia="en-US" w:bidi="ar-SA"/>
      </w:rPr>
    </w:lvl>
    <w:lvl w:ilvl="8" w:tplc="08E6ADE0">
      <w:numFmt w:val="bullet"/>
      <w:lvlText w:val="•"/>
      <w:lvlJc w:val="left"/>
      <w:pPr>
        <w:ind w:left="5462" w:hanging="397"/>
      </w:pPr>
      <w:rPr>
        <w:rFonts w:hint="default"/>
        <w:lang w:val="en-US" w:eastAsia="en-US" w:bidi="ar-SA"/>
      </w:rPr>
    </w:lvl>
  </w:abstractNum>
  <w:abstractNum w:abstractNumId="33" w15:restartNumberingAfterBreak="0">
    <w:nsid w:val="15E405C7"/>
    <w:multiLevelType w:val="hybridMultilevel"/>
    <w:tmpl w:val="A0347C5A"/>
    <w:lvl w:ilvl="0" w:tplc="FCC6C880">
      <w:start w:val="1"/>
      <w:numFmt w:val="lowerLetter"/>
      <w:lvlText w:val="%1."/>
      <w:lvlJc w:val="left"/>
      <w:pPr>
        <w:ind w:left="2218" w:hanging="360"/>
      </w:pPr>
      <w:rPr>
        <w:rFonts w:ascii="Arial" w:eastAsia="Arial" w:hAnsi="Arial" w:cs="Arial" w:hint="default"/>
        <w:b w:val="0"/>
        <w:bCs w:val="0"/>
        <w:i w:val="0"/>
        <w:iCs w:val="0"/>
        <w:spacing w:val="0"/>
        <w:w w:val="99"/>
        <w:sz w:val="22"/>
        <w:szCs w:val="22"/>
        <w:lang w:val="en-US" w:eastAsia="en-US" w:bidi="ar-SA"/>
      </w:rPr>
    </w:lvl>
    <w:lvl w:ilvl="1" w:tplc="89C8554A">
      <w:numFmt w:val="bullet"/>
      <w:lvlText w:val="•"/>
      <w:lvlJc w:val="left"/>
      <w:pPr>
        <w:ind w:left="3026" w:hanging="360"/>
      </w:pPr>
      <w:rPr>
        <w:rFonts w:hint="default"/>
        <w:lang w:val="en-US" w:eastAsia="en-US" w:bidi="ar-SA"/>
      </w:rPr>
    </w:lvl>
    <w:lvl w:ilvl="2" w:tplc="6B0ABE12">
      <w:numFmt w:val="bullet"/>
      <w:lvlText w:val="•"/>
      <w:lvlJc w:val="left"/>
      <w:pPr>
        <w:ind w:left="3832" w:hanging="360"/>
      </w:pPr>
      <w:rPr>
        <w:rFonts w:hint="default"/>
        <w:lang w:val="en-US" w:eastAsia="en-US" w:bidi="ar-SA"/>
      </w:rPr>
    </w:lvl>
    <w:lvl w:ilvl="3" w:tplc="2A72AC4C">
      <w:numFmt w:val="bullet"/>
      <w:lvlText w:val="•"/>
      <w:lvlJc w:val="left"/>
      <w:pPr>
        <w:ind w:left="4638" w:hanging="360"/>
      </w:pPr>
      <w:rPr>
        <w:rFonts w:hint="default"/>
        <w:lang w:val="en-US" w:eastAsia="en-US" w:bidi="ar-SA"/>
      </w:rPr>
    </w:lvl>
    <w:lvl w:ilvl="4" w:tplc="5CC43860">
      <w:numFmt w:val="bullet"/>
      <w:lvlText w:val="•"/>
      <w:lvlJc w:val="left"/>
      <w:pPr>
        <w:ind w:left="5444" w:hanging="360"/>
      </w:pPr>
      <w:rPr>
        <w:rFonts w:hint="default"/>
        <w:lang w:val="en-US" w:eastAsia="en-US" w:bidi="ar-SA"/>
      </w:rPr>
    </w:lvl>
    <w:lvl w:ilvl="5" w:tplc="266A1FBE">
      <w:numFmt w:val="bullet"/>
      <w:lvlText w:val="•"/>
      <w:lvlJc w:val="left"/>
      <w:pPr>
        <w:ind w:left="6250" w:hanging="360"/>
      </w:pPr>
      <w:rPr>
        <w:rFonts w:hint="default"/>
        <w:lang w:val="en-US" w:eastAsia="en-US" w:bidi="ar-SA"/>
      </w:rPr>
    </w:lvl>
    <w:lvl w:ilvl="6" w:tplc="19FE65E6">
      <w:numFmt w:val="bullet"/>
      <w:lvlText w:val="•"/>
      <w:lvlJc w:val="left"/>
      <w:pPr>
        <w:ind w:left="7056" w:hanging="360"/>
      </w:pPr>
      <w:rPr>
        <w:rFonts w:hint="default"/>
        <w:lang w:val="en-US" w:eastAsia="en-US" w:bidi="ar-SA"/>
      </w:rPr>
    </w:lvl>
    <w:lvl w:ilvl="7" w:tplc="C7E67B6C">
      <w:numFmt w:val="bullet"/>
      <w:lvlText w:val="•"/>
      <w:lvlJc w:val="left"/>
      <w:pPr>
        <w:ind w:left="7862" w:hanging="360"/>
      </w:pPr>
      <w:rPr>
        <w:rFonts w:hint="default"/>
        <w:lang w:val="en-US" w:eastAsia="en-US" w:bidi="ar-SA"/>
      </w:rPr>
    </w:lvl>
    <w:lvl w:ilvl="8" w:tplc="772AFA1C">
      <w:numFmt w:val="bullet"/>
      <w:lvlText w:val="•"/>
      <w:lvlJc w:val="left"/>
      <w:pPr>
        <w:ind w:left="8668" w:hanging="360"/>
      </w:pPr>
      <w:rPr>
        <w:rFonts w:hint="default"/>
        <w:lang w:val="en-US" w:eastAsia="en-US" w:bidi="ar-SA"/>
      </w:rPr>
    </w:lvl>
  </w:abstractNum>
  <w:abstractNum w:abstractNumId="34" w15:restartNumberingAfterBreak="0">
    <w:nsid w:val="16D23851"/>
    <w:multiLevelType w:val="hybridMultilevel"/>
    <w:tmpl w:val="6F126D10"/>
    <w:lvl w:ilvl="0" w:tplc="5D645F9C">
      <w:start w:val="1"/>
      <w:numFmt w:val="lowerRoman"/>
      <w:lvlText w:val="%1."/>
      <w:lvlJc w:val="left"/>
      <w:pPr>
        <w:ind w:left="1653" w:hanging="376"/>
      </w:pPr>
      <w:rPr>
        <w:rFonts w:ascii="Arial" w:eastAsia="Arial" w:hAnsi="Arial" w:cs="Arial" w:hint="default"/>
        <w:b w:val="0"/>
        <w:bCs w:val="0"/>
        <w:i w:val="0"/>
        <w:iCs w:val="0"/>
        <w:spacing w:val="0"/>
        <w:w w:val="99"/>
        <w:sz w:val="22"/>
        <w:szCs w:val="22"/>
        <w:lang w:val="en-US" w:eastAsia="en-US" w:bidi="ar-SA"/>
      </w:rPr>
    </w:lvl>
    <w:lvl w:ilvl="1" w:tplc="5B2C1312">
      <w:numFmt w:val="bullet"/>
      <w:lvlText w:val=""/>
      <w:lvlJc w:val="left"/>
      <w:pPr>
        <w:ind w:left="2193" w:hanging="360"/>
      </w:pPr>
      <w:rPr>
        <w:rFonts w:ascii="Symbol" w:eastAsia="Symbol" w:hAnsi="Symbol" w:cs="Symbol" w:hint="default"/>
        <w:b w:val="0"/>
        <w:bCs w:val="0"/>
        <w:i w:val="0"/>
        <w:iCs w:val="0"/>
        <w:spacing w:val="0"/>
        <w:w w:val="99"/>
        <w:sz w:val="22"/>
        <w:szCs w:val="22"/>
        <w:lang w:val="en-US" w:eastAsia="en-US" w:bidi="ar-SA"/>
      </w:rPr>
    </w:lvl>
    <w:lvl w:ilvl="2" w:tplc="069E37BE">
      <w:numFmt w:val="bullet"/>
      <w:lvlText w:val="•"/>
      <w:lvlJc w:val="left"/>
      <w:pPr>
        <w:ind w:left="2696" w:hanging="360"/>
      </w:pPr>
      <w:rPr>
        <w:rFonts w:hint="default"/>
        <w:lang w:val="en-US" w:eastAsia="en-US" w:bidi="ar-SA"/>
      </w:rPr>
    </w:lvl>
    <w:lvl w:ilvl="3" w:tplc="C1067A88">
      <w:numFmt w:val="bullet"/>
      <w:lvlText w:val="•"/>
      <w:lvlJc w:val="left"/>
      <w:pPr>
        <w:ind w:left="3193" w:hanging="360"/>
      </w:pPr>
      <w:rPr>
        <w:rFonts w:hint="default"/>
        <w:lang w:val="en-US" w:eastAsia="en-US" w:bidi="ar-SA"/>
      </w:rPr>
    </w:lvl>
    <w:lvl w:ilvl="4" w:tplc="5A18A2BE">
      <w:numFmt w:val="bullet"/>
      <w:lvlText w:val="•"/>
      <w:lvlJc w:val="left"/>
      <w:pPr>
        <w:ind w:left="3689" w:hanging="360"/>
      </w:pPr>
      <w:rPr>
        <w:rFonts w:hint="default"/>
        <w:lang w:val="en-US" w:eastAsia="en-US" w:bidi="ar-SA"/>
      </w:rPr>
    </w:lvl>
    <w:lvl w:ilvl="5" w:tplc="FE965C26">
      <w:numFmt w:val="bullet"/>
      <w:lvlText w:val="•"/>
      <w:lvlJc w:val="left"/>
      <w:pPr>
        <w:ind w:left="4186" w:hanging="360"/>
      </w:pPr>
      <w:rPr>
        <w:rFonts w:hint="default"/>
        <w:lang w:val="en-US" w:eastAsia="en-US" w:bidi="ar-SA"/>
      </w:rPr>
    </w:lvl>
    <w:lvl w:ilvl="6" w:tplc="8C926636">
      <w:numFmt w:val="bullet"/>
      <w:lvlText w:val="•"/>
      <w:lvlJc w:val="left"/>
      <w:pPr>
        <w:ind w:left="4682" w:hanging="360"/>
      </w:pPr>
      <w:rPr>
        <w:rFonts w:hint="default"/>
        <w:lang w:val="en-US" w:eastAsia="en-US" w:bidi="ar-SA"/>
      </w:rPr>
    </w:lvl>
    <w:lvl w:ilvl="7" w:tplc="9F3E92EE">
      <w:numFmt w:val="bullet"/>
      <w:lvlText w:val="•"/>
      <w:lvlJc w:val="left"/>
      <w:pPr>
        <w:ind w:left="5179" w:hanging="360"/>
      </w:pPr>
      <w:rPr>
        <w:rFonts w:hint="default"/>
        <w:lang w:val="en-US" w:eastAsia="en-US" w:bidi="ar-SA"/>
      </w:rPr>
    </w:lvl>
    <w:lvl w:ilvl="8" w:tplc="4E64BB56">
      <w:numFmt w:val="bullet"/>
      <w:lvlText w:val="•"/>
      <w:lvlJc w:val="left"/>
      <w:pPr>
        <w:ind w:left="5675" w:hanging="360"/>
      </w:pPr>
      <w:rPr>
        <w:rFonts w:hint="default"/>
        <w:lang w:val="en-US" w:eastAsia="en-US" w:bidi="ar-SA"/>
      </w:rPr>
    </w:lvl>
  </w:abstractNum>
  <w:abstractNum w:abstractNumId="35" w15:restartNumberingAfterBreak="0">
    <w:nsid w:val="17A67CFE"/>
    <w:multiLevelType w:val="hybridMultilevel"/>
    <w:tmpl w:val="05306154"/>
    <w:lvl w:ilvl="0" w:tplc="42867780">
      <w:start w:val="4"/>
      <w:numFmt w:val="decimal"/>
      <w:lvlText w:val="%1)"/>
      <w:lvlJc w:val="left"/>
      <w:pPr>
        <w:ind w:left="711" w:hanging="577"/>
      </w:pPr>
      <w:rPr>
        <w:rFonts w:ascii="Arial" w:eastAsia="Arial" w:hAnsi="Arial" w:cs="Arial" w:hint="default"/>
        <w:b w:val="0"/>
        <w:bCs w:val="0"/>
        <w:i w:val="0"/>
        <w:iCs w:val="0"/>
        <w:spacing w:val="0"/>
        <w:w w:val="99"/>
        <w:sz w:val="22"/>
        <w:szCs w:val="22"/>
        <w:lang w:val="en-US" w:eastAsia="en-US" w:bidi="ar-SA"/>
      </w:rPr>
    </w:lvl>
    <w:lvl w:ilvl="1" w:tplc="DBF6FFEE">
      <w:start w:val="1"/>
      <w:numFmt w:val="lowerLetter"/>
      <w:lvlText w:val="%2)"/>
      <w:lvlJc w:val="left"/>
      <w:pPr>
        <w:ind w:left="1286" w:hanging="577"/>
      </w:pPr>
      <w:rPr>
        <w:rFonts w:ascii="Arial" w:eastAsia="Arial" w:hAnsi="Arial" w:cs="Arial" w:hint="default"/>
        <w:b w:val="0"/>
        <w:bCs w:val="0"/>
        <w:i w:val="0"/>
        <w:iCs w:val="0"/>
        <w:spacing w:val="0"/>
        <w:w w:val="99"/>
        <w:sz w:val="22"/>
        <w:szCs w:val="22"/>
        <w:lang w:val="en-US" w:eastAsia="en-US" w:bidi="ar-SA"/>
      </w:rPr>
    </w:lvl>
    <w:lvl w:ilvl="2" w:tplc="078E2A30">
      <w:numFmt w:val="bullet"/>
      <w:lvlText w:val="•"/>
      <w:lvlJc w:val="left"/>
      <w:pPr>
        <w:ind w:left="1915" w:hanging="577"/>
      </w:pPr>
      <w:rPr>
        <w:rFonts w:hint="default"/>
        <w:lang w:val="en-US" w:eastAsia="en-US" w:bidi="ar-SA"/>
      </w:rPr>
    </w:lvl>
    <w:lvl w:ilvl="3" w:tplc="B67AD640">
      <w:numFmt w:val="bullet"/>
      <w:lvlText w:val="•"/>
      <w:lvlJc w:val="left"/>
      <w:pPr>
        <w:ind w:left="2550" w:hanging="577"/>
      </w:pPr>
      <w:rPr>
        <w:rFonts w:hint="default"/>
        <w:lang w:val="en-US" w:eastAsia="en-US" w:bidi="ar-SA"/>
      </w:rPr>
    </w:lvl>
    <w:lvl w:ilvl="4" w:tplc="E68ABE80">
      <w:numFmt w:val="bullet"/>
      <w:lvlText w:val="•"/>
      <w:lvlJc w:val="left"/>
      <w:pPr>
        <w:ind w:left="3185" w:hanging="577"/>
      </w:pPr>
      <w:rPr>
        <w:rFonts w:hint="default"/>
        <w:lang w:val="en-US" w:eastAsia="en-US" w:bidi="ar-SA"/>
      </w:rPr>
    </w:lvl>
    <w:lvl w:ilvl="5" w:tplc="B3DA2598">
      <w:numFmt w:val="bullet"/>
      <w:lvlText w:val="•"/>
      <w:lvlJc w:val="left"/>
      <w:pPr>
        <w:ind w:left="3820" w:hanging="577"/>
      </w:pPr>
      <w:rPr>
        <w:rFonts w:hint="default"/>
        <w:lang w:val="en-US" w:eastAsia="en-US" w:bidi="ar-SA"/>
      </w:rPr>
    </w:lvl>
    <w:lvl w:ilvl="6" w:tplc="ABD475C8">
      <w:numFmt w:val="bullet"/>
      <w:lvlText w:val="•"/>
      <w:lvlJc w:val="left"/>
      <w:pPr>
        <w:ind w:left="4455" w:hanging="577"/>
      </w:pPr>
      <w:rPr>
        <w:rFonts w:hint="default"/>
        <w:lang w:val="en-US" w:eastAsia="en-US" w:bidi="ar-SA"/>
      </w:rPr>
    </w:lvl>
    <w:lvl w:ilvl="7" w:tplc="FF82CE5C">
      <w:numFmt w:val="bullet"/>
      <w:lvlText w:val="•"/>
      <w:lvlJc w:val="left"/>
      <w:pPr>
        <w:ind w:left="5090" w:hanging="577"/>
      </w:pPr>
      <w:rPr>
        <w:rFonts w:hint="default"/>
        <w:lang w:val="en-US" w:eastAsia="en-US" w:bidi="ar-SA"/>
      </w:rPr>
    </w:lvl>
    <w:lvl w:ilvl="8" w:tplc="1B249A2A">
      <w:numFmt w:val="bullet"/>
      <w:lvlText w:val="•"/>
      <w:lvlJc w:val="left"/>
      <w:pPr>
        <w:ind w:left="5725" w:hanging="577"/>
      </w:pPr>
      <w:rPr>
        <w:rFonts w:hint="default"/>
        <w:lang w:val="en-US" w:eastAsia="en-US" w:bidi="ar-SA"/>
      </w:rPr>
    </w:lvl>
  </w:abstractNum>
  <w:abstractNum w:abstractNumId="36" w15:restartNumberingAfterBreak="0">
    <w:nsid w:val="17C51AA3"/>
    <w:multiLevelType w:val="hybridMultilevel"/>
    <w:tmpl w:val="2AFEAF6A"/>
    <w:lvl w:ilvl="0" w:tplc="E1040848">
      <w:start w:val="1"/>
      <w:numFmt w:val="lowerLetter"/>
      <w:lvlText w:val="%1."/>
      <w:lvlJc w:val="left"/>
      <w:pPr>
        <w:ind w:left="2220" w:hanging="361"/>
      </w:pPr>
      <w:rPr>
        <w:rFonts w:ascii="Arial" w:eastAsia="Arial" w:hAnsi="Arial" w:cs="Arial" w:hint="default"/>
        <w:b w:val="0"/>
        <w:bCs w:val="0"/>
        <w:i w:val="0"/>
        <w:iCs w:val="0"/>
        <w:spacing w:val="0"/>
        <w:w w:val="99"/>
        <w:sz w:val="22"/>
        <w:szCs w:val="22"/>
        <w:lang w:val="en-US" w:eastAsia="en-US" w:bidi="ar-SA"/>
      </w:rPr>
    </w:lvl>
    <w:lvl w:ilvl="1" w:tplc="127EE12C">
      <w:numFmt w:val="bullet"/>
      <w:lvlText w:val="•"/>
      <w:lvlJc w:val="left"/>
      <w:pPr>
        <w:ind w:left="3026" w:hanging="361"/>
      </w:pPr>
      <w:rPr>
        <w:rFonts w:hint="default"/>
        <w:lang w:val="en-US" w:eastAsia="en-US" w:bidi="ar-SA"/>
      </w:rPr>
    </w:lvl>
    <w:lvl w:ilvl="2" w:tplc="0E228CCA">
      <w:numFmt w:val="bullet"/>
      <w:lvlText w:val="•"/>
      <w:lvlJc w:val="left"/>
      <w:pPr>
        <w:ind w:left="3832" w:hanging="361"/>
      </w:pPr>
      <w:rPr>
        <w:rFonts w:hint="default"/>
        <w:lang w:val="en-US" w:eastAsia="en-US" w:bidi="ar-SA"/>
      </w:rPr>
    </w:lvl>
    <w:lvl w:ilvl="3" w:tplc="997A7842">
      <w:numFmt w:val="bullet"/>
      <w:lvlText w:val="•"/>
      <w:lvlJc w:val="left"/>
      <w:pPr>
        <w:ind w:left="4638" w:hanging="361"/>
      </w:pPr>
      <w:rPr>
        <w:rFonts w:hint="default"/>
        <w:lang w:val="en-US" w:eastAsia="en-US" w:bidi="ar-SA"/>
      </w:rPr>
    </w:lvl>
    <w:lvl w:ilvl="4" w:tplc="FDCAE9D0">
      <w:numFmt w:val="bullet"/>
      <w:lvlText w:val="•"/>
      <w:lvlJc w:val="left"/>
      <w:pPr>
        <w:ind w:left="5444" w:hanging="361"/>
      </w:pPr>
      <w:rPr>
        <w:rFonts w:hint="default"/>
        <w:lang w:val="en-US" w:eastAsia="en-US" w:bidi="ar-SA"/>
      </w:rPr>
    </w:lvl>
    <w:lvl w:ilvl="5" w:tplc="95F45EEE">
      <w:numFmt w:val="bullet"/>
      <w:lvlText w:val="•"/>
      <w:lvlJc w:val="left"/>
      <w:pPr>
        <w:ind w:left="6250" w:hanging="361"/>
      </w:pPr>
      <w:rPr>
        <w:rFonts w:hint="default"/>
        <w:lang w:val="en-US" w:eastAsia="en-US" w:bidi="ar-SA"/>
      </w:rPr>
    </w:lvl>
    <w:lvl w:ilvl="6" w:tplc="4F9471D4">
      <w:numFmt w:val="bullet"/>
      <w:lvlText w:val="•"/>
      <w:lvlJc w:val="left"/>
      <w:pPr>
        <w:ind w:left="7056" w:hanging="361"/>
      </w:pPr>
      <w:rPr>
        <w:rFonts w:hint="default"/>
        <w:lang w:val="en-US" w:eastAsia="en-US" w:bidi="ar-SA"/>
      </w:rPr>
    </w:lvl>
    <w:lvl w:ilvl="7" w:tplc="57DABA1A">
      <w:numFmt w:val="bullet"/>
      <w:lvlText w:val="•"/>
      <w:lvlJc w:val="left"/>
      <w:pPr>
        <w:ind w:left="7862" w:hanging="361"/>
      </w:pPr>
      <w:rPr>
        <w:rFonts w:hint="default"/>
        <w:lang w:val="en-US" w:eastAsia="en-US" w:bidi="ar-SA"/>
      </w:rPr>
    </w:lvl>
    <w:lvl w:ilvl="8" w:tplc="011C0918">
      <w:numFmt w:val="bullet"/>
      <w:lvlText w:val="•"/>
      <w:lvlJc w:val="left"/>
      <w:pPr>
        <w:ind w:left="8668" w:hanging="361"/>
      </w:pPr>
      <w:rPr>
        <w:rFonts w:hint="default"/>
        <w:lang w:val="en-US" w:eastAsia="en-US" w:bidi="ar-SA"/>
      </w:rPr>
    </w:lvl>
  </w:abstractNum>
  <w:abstractNum w:abstractNumId="37" w15:restartNumberingAfterBreak="0">
    <w:nsid w:val="197D09AC"/>
    <w:multiLevelType w:val="hybridMultilevel"/>
    <w:tmpl w:val="95905F32"/>
    <w:lvl w:ilvl="0" w:tplc="83CEE6A8">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3B3A689A">
      <w:numFmt w:val="bullet"/>
      <w:lvlText w:val="•"/>
      <w:lvlJc w:val="left"/>
      <w:pPr>
        <w:ind w:left="3026" w:hanging="360"/>
      </w:pPr>
      <w:rPr>
        <w:rFonts w:hint="default"/>
        <w:lang w:val="en-US" w:eastAsia="en-US" w:bidi="ar-SA"/>
      </w:rPr>
    </w:lvl>
    <w:lvl w:ilvl="2" w:tplc="53F0A196">
      <w:numFmt w:val="bullet"/>
      <w:lvlText w:val="•"/>
      <w:lvlJc w:val="left"/>
      <w:pPr>
        <w:ind w:left="3832" w:hanging="360"/>
      </w:pPr>
      <w:rPr>
        <w:rFonts w:hint="default"/>
        <w:lang w:val="en-US" w:eastAsia="en-US" w:bidi="ar-SA"/>
      </w:rPr>
    </w:lvl>
    <w:lvl w:ilvl="3" w:tplc="76D09D1A">
      <w:numFmt w:val="bullet"/>
      <w:lvlText w:val="•"/>
      <w:lvlJc w:val="left"/>
      <w:pPr>
        <w:ind w:left="4638" w:hanging="360"/>
      </w:pPr>
      <w:rPr>
        <w:rFonts w:hint="default"/>
        <w:lang w:val="en-US" w:eastAsia="en-US" w:bidi="ar-SA"/>
      </w:rPr>
    </w:lvl>
    <w:lvl w:ilvl="4" w:tplc="8CB47444">
      <w:numFmt w:val="bullet"/>
      <w:lvlText w:val="•"/>
      <w:lvlJc w:val="left"/>
      <w:pPr>
        <w:ind w:left="5444" w:hanging="360"/>
      </w:pPr>
      <w:rPr>
        <w:rFonts w:hint="default"/>
        <w:lang w:val="en-US" w:eastAsia="en-US" w:bidi="ar-SA"/>
      </w:rPr>
    </w:lvl>
    <w:lvl w:ilvl="5" w:tplc="D0B67CC2">
      <w:numFmt w:val="bullet"/>
      <w:lvlText w:val="•"/>
      <w:lvlJc w:val="left"/>
      <w:pPr>
        <w:ind w:left="6250" w:hanging="360"/>
      </w:pPr>
      <w:rPr>
        <w:rFonts w:hint="default"/>
        <w:lang w:val="en-US" w:eastAsia="en-US" w:bidi="ar-SA"/>
      </w:rPr>
    </w:lvl>
    <w:lvl w:ilvl="6" w:tplc="B47A2E9A">
      <w:numFmt w:val="bullet"/>
      <w:lvlText w:val="•"/>
      <w:lvlJc w:val="left"/>
      <w:pPr>
        <w:ind w:left="7056" w:hanging="360"/>
      </w:pPr>
      <w:rPr>
        <w:rFonts w:hint="default"/>
        <w:lang w:val="en-US" w:eastAsia="en-US" w:bidi="ar-SA"/>
      </w:rPr>
    </w:lvl>
    <w:lvl w:ilvl="7" w:tplc="21287990">
      <w:numFmt w:val="bullet"/>
      <w:lvlText w:val="•"/>
      <w:lvlJc w:val="left"/>
      <w:pPr>
        <w:ind w:left="7862" w:hanging="360"/>
      </w:pPr>
      <w:rPr>
        <w:rFonts w:hint="default"/>
        <w:lang w:val="en-US" w:eastAsia="en-US" w:bidi="ar-SA"/>
      </w:rPr>
    </w:lvl>
    <w:lvl w:ilvl="8" w:tplc="13EC9F1C">
      <w:numFmt w:val="bullet"/>
      <w:lvlText w:val="•"/>
      <w:lvlJc w:val="left"/>
      <w:pPr>
        <w:ind w:left="8668" w:hanging="360"/>
      </w:pPr>
      <w:rPr>
        <w:rFonts w:hint="default"/>
        <w:lang w:val="en-US" w:eastAsia="en-US" w:bidi="ar-SA"/>
      </w:rPr>
    </w:lvl>
  </w:abstractNum>
  <w:abstractNum w:abstractNumId="38" w15:restartNumberingAfterBreak="0">
    <w:nsid w:val="1A5029E0"/>
    <w:multiLevelType w:val="hybridMultilevel"/>
    <w:tmpl w:val="5D88981C"/>
    <w:lvl w:ilvl="0" w:tplc="162016FA">
      <w:start w:val="1"/>
      <w:numFmt w:val="lowerLetter"/>
      <w:lvlText w:val="%1."/>
      <w:lvlJc w:val="left"/>
      <w:pPr>
        <w:ind w:left="2218" w:hanging="360"/>
      </w:pPr>
      <w:rPr>
        <w:rFonts w:ascii="Arial" w:eastAsia="Arial" w:hAnsi="Arial" w:cs="Arial" w:hint="default"/>
        <w:b w:val="0"/>
        <w:bCs w:val="0"/>
        <w:i w:val="0"/>
        <w:iCs w:val="0"/>
        <w:spacing w:val="0"/>
        <w:w w:val="99"/>
        <w:sz w:val="22"/>
        <w:szCs w:val="22"/>
        <w:lang w:val="en-US" w:eastAsia="en-US" w:bidi="ar-SA"/>
      </w:rPr>
    </w:lvl>
    <w:lvl w:ilvl="1" w:tplc="C3E25D72">
      <w:numFmt w:val="bullet"/>
      <w:lvlText w:val="•"/>
      <w:lvlJc w:val="left"/>
      <w:pPr>
        <w:ind w:left="3026" w:hanging="360"/>
      </w:pPr>
      <w:rPr>
        <w:rFonts w:hint="default"/>
        <w:lang w:val="en-US" w:eastAsia="en-US" w:bidi="ar-SA"/>
      </w:rPr>
    </w:lvl>
    <w:lvl w:ilvl="2" w:tplc="69E29640">
      <w:numFmt w:val="bullet"/>
      <w:lvlText w:val="•"/>
      <w:lvlJc w:val="left"/>
      <w:pPr>
        <w:ind w:left="3832" w:hanging="360"/>
      </w:pPr>
      <w:rPr>
        <w:rFonts w:hint="default"/>
        <w:lang w:val="en-US" w:eastAsia="en-US" w:bidi="ar-SA"/>
      </w:rPr>
    </w:lvl>
    <w:lvl w:ilvl="3" w:tplc="93C2F310">
      <w:numFmt w:val="bullet"/>
      <w:lvlText w:val="•"/>
      <w:lvlJc w:val="left"/>
      <w:pPr>
        <w:ind w:left="4638" w:hanging="360"/>
      </w:pPr>
      <w:rPr>
        <w:rFonts w:hint="default"/>
        <w:lang w:val="en-US" w:eastAsia="en-US" w:bidi="ar-SA"/>
      </w:rPr>
    </w:lvl>
    <w:lvl w:ilvl="4" w:tplc="64F45758">
      <w:numFmt w:val="bullet"/>
      <w:lvlText w:val="•"/>
      <w:lvlJc w:val="left"/>
      <w:pPr>
        <w:ind w:left="5444" w:hanging="360"/>
      </w:pPr>
      <w:rPr>
        <w:rFonts w:hint="default"/>
        <w:lang w:val="en-US" w:eastAsia="en-US" w:bidi="ar-SA"/>
      </w:rPr>
    </w:lvl>
    <w:lvl w:ilvl="5" w:tplc="489CE1E4">
      <w:numFmt w:val="bullet"/>
      <w:lvlText w:val="•"/>
      <w:lvlJc w:val="left"/>
      <w:pPr>
        <w:ind w:left="6250" w:hanging="360"/>
      </w:pPr>
      <w:rPr>
        <w:rFonts w:hint="default"/>
        <w:lang w:val="en-US" w:eastAsia="en-US" w:bidi="ar-SA"/>
      </w:rPr>
    </w:lvl>
    <w:lvl w:ilvl="6" w:tplc="91AAC90C">
      <w:numFmt w:val="bullet"/>
      <w:lvlText w:val="•"/>
      <w:lvlJc w:val="left"/>
      <w:pPr>
        <w:ind w:left="7056" w:hanging="360"/>
      </w:pPr>
      <w:rPr>
        <w:rFonts w:hint="default"/>
        <w:lang w:val="en-US" w:eastAsia="en-US" w:bidi="ar-SA"/>
      </w:rPr>
    </w:lvl>
    <w:lvl w:ilvl="7" w:tplc="86C47664">
      <w:numFmt w:val="bullet"/>
      <w:lvlText w:val="•"/>
      <w:lvlJc w:val="left"/>
      <w:pPr>
        <w:ind w:left="7862" w:hanging="360"/>
      </w:pPr>
      <w:rPr>
        <w:rFonts w:hint="default"/>
        <w:lang w:val="en-US" w:eastAsia="en-US" w:bidi="ar-SA"/>
      </w:rPr>
    </w:lvl>
    <w:lvl w:ilvl="8" w:tplc="366654CC">
      <w:numFmt w:val="bullet"/>
      <w:lvlText w:val="•"/>
      <w:lvlJc w:val="left"/>
      <w:pPr>
        <w:ind w:left="8668" w:hanging="360"/>
      </w:pPr>
      <w:rPr>
        <w:rFonts w:hint="default"/>
        <w:lang w:val="en-US" w:eastAsia="en-US" w:bidi="ar-SA"/>
      </w:rPr>
    </w:lvl>
  </w:abstractNum>
  <w:abstractNum w:abstractNumId="39" w15:restartNumberingAfterBreak="0">
    <w:nsid w:val="1A572758"/>
    <w:multiLevelType w:val="hybridMultilevel"/>
    <w:tmpl w:val="19A42C2A"/>
    <w:lvl w:ilvl="0" w:tplc="8F6491A4">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1" w:tplc="DCD094F0">
      <w:numFmt w:val="bullet"/>
      <w:lvlText w:val="•"/>
      <w:lvlJc w:val="left"/>
      <w:pPr>
        <w:ind w:left="2790" w:hanging="360"/>
      </w:pPr>
      <w:rPr>
        <w:rFonts w:hint="default"/>
        <w:lang w:val="en-US" w:eastAsia="en-US" w:bidi="ar-SA"/>
      </w:rPr>
    </w:lvl>
    <w:lvl w:ilvl="2" w:tplc="69F08D4A">
      <w:numFmt w:val="bullet"/>
      <w:lvlText w:val="•"/>
      <w:lvlJc w:val="left"/>
      <w:pPr>
        <w:ind w:left="3580" w:hanging="360"/>
      </w:pPr>
      <w:rPr>
        <w:rFonts w:hint="default"/>
        <w:lang w:val="en-US" w:eastAsia="en-US" w:bidi="ar-SA"/>
      </w:rPr>
    </w:lvl>
    <w:lvl w:ilvl="3" w:tplc="BEBE1496">
      <w:numFmt w:val="bullet"/>
      <w:lvlText w:val="•"/>
      <w:lvlJc w:val="left"/>
      <w:pPr>
        <w:ind w:left="4370" w:hanging="360"/>
      </w:pPr>
      <w:rPr>
        <w:rFonts w:hint="default"/>
        <w:lang w:val="en-US" w:eastAsia="en-US" w:bidi="ar-SA"/>
      </w:rPr>
    </w:lvl>
    <w:lvl w:ilvl="4" w:tplc="3686145A">
      <w:numFmt w:val="bullet"/>
      <w:lvlText w:val="•"/>
      <w:lvlJc w:val="left"/>
      <w:pPr>
        <w:ind w:left="5160" w:hanging="360"/>
      </w:pPr>
      <w:rPr>
        <w:rFonts w:hint="default"/>
        <w:lang w:val="en-US" w:eastAsia="en-US" w:bidi="ar-SA"/>
      </w:rPr>
    </w:lvl>
    <w:lvl w:ilvl="5" w:tplc="19F2E130">
      <w:numFmt w:val="bullet"/>
      <w:lvlText w:val="•"/>
      <w:lvlJc w:val="left"/>
      <w:pPr>
        <w:ind w:left="5950" w:hanging="360"/>
      </w:pPr>
      <w:rPr>
        <w:rFonts w:hint="default"/>
        <w:lang w:val="en-US" w:eastAsia="en-US" w:bidi="ar-SA"/>
      </w:rPr>
    </w:lvl>
    <w:lvl w:ilvl="6" w:tplc="ABA8EFCC">
      <w:numFmt w:val="bullet"/>
      <w:lvlText w:val="•"/>
      <w:lvlJc w:val="left"/>
      <w:pPr>
        <w:ind w:left="6740" w:hanging="360"/>
      </w:pPr>
      <w:rPr>
        <w:rFonts w:hint="default"/>
        <w:lang w:val="en-US" w:eastAsia="en-US" w:bidi="ar-SA"/>
      </w:rPr>
    </w:lvl>
    <w:lvl w:ilvl="7" w:tplc="EC4E14EC">
      <w:numFmt w:val="bullet"/>
      <w:lvlText w:val="•"/>
      <w:lvlJc w:val="left"/>
      <w:pPr>
        <w:ind w:left="7530" w:hanging="360"/>
      </w:pPr>
      <w:rPr>
        <w:rFonts w:hint="default"/>
        <w:lang w:val="en-US" w:eastAsia="en-US" w:bidi="ar-SA"/>
      </w:rPr>
    </w:lvl>
    <w:lvl w:ilvl="8" w:tplc="F146A4AE">
      <w:numFmt w:val="bullet"/>
      <w:lvlText w:val="•"/>
      <w:lvlJc w:val="left"/>
      <w:pPr>
        <w:ind w:left="8320" w:hanging="360"/>
      </w:pPr>
      <w:rPr>
        <w:rFonts w:hint="default"/>
        <w:lang w:val="en-US" w:eastAsia="en-US" w:bidi="ar-SA"/>
      </w:rPr>
    </w:lvl>
  </w:abstractNum>
  <w:abstractNum w:abstractNumId="40" w15:restartNumberingAfterBreak="0">
    <w:nsid w:val="1B0706B9"/>
    <w:multiLevelType w:val="hybridMultilevel"/>
    <w:tmpl w:val="1C380EF0"/>
    <w:lvl w:ilvl="0" w:tplc="64D6C9B0">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EA405108">
      <w:numFmt w:val="bullet"/>
      <w:lvlText w:val=""/>
      <w:lvlJc w:val="left"/>
      <w:pPr>
        <w:ind w:left="2580" w:hanging="360"/>
      </w:pPr>
      <w:rPr>
        <w:rFonts w:ascii="Symbol" w:eastAsia="Symbol" w:hAnsi="Symbol" w:cs="Symbol" w:hint="default"/>
        <w:b w:val="0"/>
        <w:bCs w:val="0"/>
        <w:i w:val="0"/>
        <w:iCs w:val="0"/>
        <w:spacing w:val="0"/>
        <w:w w:val="99"/>
        <w:sz w:val="22"/>
        <w:szCs w:val="22"/>
        <w:lang w:val="en-US" w:eastAsia="en-US" w:bidi="ar-SA"/>
      </w:rPr>
    </w:lvl>
    <w:lvl w:ilvl="2" w:tplc="F8D6E8A6">
      <w:numFmt w:val="bullet"/>
      <w:lvlText w:val="•"/>
      <w:lvlJc w:val="left"/>
      <w:pPr>
        <w:ind w:left="3435" w:hanging="360"/>
      </w:pPr>
      <w:rPr>
        <w:rFonts w:hint="default"/>
        <w:lang w:val="en-US" w:eastAsia="en-US" w:bidi="ar-SA"/>
      </w:rPr>
    </w:lvl>
    <w:lvl w:ilvl="3" w:tplc="C1FECA72">
      <w:numFmt w:val="bullet"/>
      <w:lvlText w:val="•"/>
      <w:lvlJc w:val="left"/>
      <w:pPr>
        <w:ind w:left="4291" w:hanging="360"/>
      </w:pPr>
      <w:rPr>
        <w:rFonts w:hint="default"/>
        <w:lang w:val="en-US" w:eastAsia="en-US" w:bidi="ar-SA"/>
      </w:rPr>
    </w:lvl>
    <w:lvl w:ilvl="4" w:tplc="FCB2D09A">
      <w:numFmt w:val="bullet"/>
      <w:lvlText w:val="•"/>
      <w:lvlJc w:val="left"/>
      <w:pPr>
        <w:ind w:left="5146" w:hanging="360"/>
      </w:pPr>
      <w:rPr>
        <w:rFonts w:hint="default"/>
        <w:lang w:val="en-US" w:eastAsia="en-US" w:bidi="ar-SA"/>
      </w:rPr>
    </w:lvl>
    <w:lvl w:ilvl="5" w:tplc="52D4EBFC">
      <w:numFmt w:val="bullet"/>
      <w:lvlText w:val="•"/>
      <w:lvlJc w:val="left"/>
      <w:pPr>
        <w:ind w:left="6002" w:hanging="360"/>
      </w:pPr>
      <w:rPr>
        <w:rFonts w:hint="default"/>
        <w:lang w:val="en-US" w:eastAsia="en-US" w:bidi="ar-SA"/>
      </w:rPr>
    </w:lvl>
    <w:lvl w:ilvl="6" w:tplc="D374AA88">
      <w:numFmt w:val="bullet"/>
      <w:lvlText w:val="•"/>
      <w:lvlJc w:val="left"/>
      <w:pPr>
        <w:ind w:left="6857" w:hanging="360"/>
      </w:pPr>
      <w:rPr>
        <w:rFonts w:hint="default"/>
        <w:lang w:val="en-US" w:eastAsia="en-US" w:bidi="ar-SA"/>
      </w:rPr>
    </w:lvl>
    <w:lvl w:ilvl="7" w:tplc="95487B5C">
      <w:numFmt w:val="bullet"/>
      <w:lvlText w:val="•"/>
      <w:lvlJc w:val="left"/>
      <w:pPr>
        <w:ind w:left="7713" w:hanging="360"/>
      </w:pPr>
      <w:rPr>
        <w:rFonts w:hint="default"/>
        <w:lang w:val="en-US" w:eastAsia="en-US" w:bidi="ar-SA"/>
      </w:rPr>
    </w:lvl>
    <w:lvl w:ilvl="8" w:tplc="DE24ABA0">
      <w:numFmt w:val="bullet"/>
      <w:lvlText w:val="•"/>
      <w:lvlJc w:val="left"/>
      <w:pPr>
        <w:ind w:left="8568" w:hanging="360"/>
      </w:pPr>
      <w:rPr>
        <w:rFonts w:hint="default"/>
        <w:lang w:val="en-US" w:eastAsia="en-US" w:bidi="ar-SA"/>
      </w:rPr>
    </w:lvl>
  </w:abstractNum>
  <w:abstractNum w:abstractNumId="41" w15:restartNumberingAfterBreak="0">
    <w:nsid w:val="1B316DE2"/>
    <w:multiLevelType w:val="hybridMultilevel"/>
    <w:tmpl w:val="7B609388"/>
    <w:lvl w:ilvl="0" w:tplc="509E4CE0">
      <w:start w:val="1"/>
      <w:numFmt w:val="decimalZero"/>
      <w:lvlText w:val=".%1"/>
      <w:lvlJc w:val="left"/>
      <w:pPr>
        <w:ind w:left="1860" w:hanging="721"/>
      </w:pPr>
      <w:rPr>
        <w:rFonts w:ascii="Arial" w:eastAsia="Arial" w:hAnsi="Arial" w:cs="Arial" w:hint="default"/>
        <w:b w:val="0"/>
        <w:bCs w:val="0"/>
        <w:i w:val="0"/>
        <w:iCs w:val="0"/>
        <w:spacing w:val="0"/>
        <w:w w:val="99"/>
        <w:sz w:val="22"/>
        <w:szCs w:val="22"/>
        <w:lang w:val="en-US" w:eastAsia="en-US" w:bidi="ar-SA"/>
      </w:rPr>
    </w:lvl>
    <w:lvl w:ilvl="1" w:tplc="8B1AC76C">
      <w:numFmt w:val="bullet"/>
      <w:lvlText w:val=""/>
      <w:lvlJc w:val="left"/>
      <w:pPr>
        <w:ind w:left="2220" w:hanging="360"/>
      </w:pPr>
      <w:rPr>
        <w:rFonts w:ascii="Symbol" w:eastAsia="Symbol" w:hAnsi="Symbol" w:cs="Symbol" w:hint="default"/>
        <w:b w:val="0"/>
        <w:bCs w:val="0"/>
        <w:i w:val="0"/>
        <w:iCs w:val="0"/>
        <w:spacing w:val="0"/>
        <w:w w:val="99"/>
        <w:sz w:val="22"/>
        <w:szCs w:val="22"/>
        <w:lang w:val="en-US" w:eastAsia="en-US" w:bidi="ar-SA"/>
      </w:rPr>
    </w:lvl>
    <w:lvl w:ilvl="2" w:tplc="0EB46218">
      <w:numFmt w:val="bullet"/>
      <w:lvlText w:val="•"/>
      <w:lvlJc w:val="left"/>
      <w:pPr>
        <w:ind w:left="3115" w:hanging="360"/>
      </w:pPr>
      <w:rPr>
        <w:rFonts w:hint="default"/>
        <w:lang w:val="en-US" w:eastAsia="en-US" w:bidi="ar-SA"/>
      </w:rPr>
    </w:lvl>
    <w:lvl w:ilvl="3" w:tplc="CC50AF80">
      <w:numFmt w:val="bullet"/>
      <w:lvlText w:val="•"/>
      <w:lvlJc w:val="left"/>
      <w:pPr>
        <w:ind w:left="4011" w:hanging="360"/>
      </w:pPr>
      <w:rPr>
        <w:rFonts w:hint="default"/>
        <w:lang w:val="en-US" w:eastAsia="en-US" w:bidi="ar-SA"/>
      </w:rPr>
    </w:lvl>
    <w:lvl w:ilvl="4" w:tplc="590ED7C2">
      <w:numFmt w:val="bullet"/>
      <w:lvlText w:val="•"/>
      <w:lvlJc w:val="left"/>
      <w:pPr>
        <w:ind w:left="4906" w:hanging="360"/>
      </w:pPr>
      <w:rPr>
        <w:rFonts w:hint="default"/>
        <w:lang w:val="en-US" w:eastAsia="en-US" w:bidi="ar-SA"/>
      </w:rPr>
    </w:lvl>
    <w:lvl w:ilvl="5" w:tplc="D794C860">
      <w:numFmt w:val="bullet"/>
      <w:lvlText w:val="•"/>
      <w:lvlJc w:val="left"/>
      <w:pPr>
        <w:ind w:left="5802" w:hanging="360"/>
      </w:pPr>
      <w:rPr>
        <w:rFonts w:hint="default"/>
        <w:lang w:val="en-US" w:eastAsia="en-US" w:bidi="ar-SA"/>
      </w:rPr>
    </w:lvl>
    <w:lvl w:ilvl="6" w:tplc="A14EDAD2">
      <w:numFmt w:val="bullet"/>
      <w:lvlText w:val="•"/>
      <w:lvlJc w:val="left"/>
      <w:pPr>
        <w:ind w:left="6697" w:hanging="360"/>
      </w:pPr>
      <w:rPr>
        <w:rFonts w:hint="default"/>
        <w:lang w:val="en-US" w:eastAsia="en-US" w:bidi="ar-SA"/>
      </w:rPr>
    </w:lvl>
    <w:lvl w:ilvl="7" w:tplc="25D231EC">
      <w:numFmt w:val="bullet"/>
      <w:lvlText w:val="•"/>
      <w:lvlJc w:val="left"/>
      <w:pPr>
        <w:ind w:left="7593" w:hanging="360"/>
      </w:pPr>
      <w:rPr>
        <w:rFonts w:hint="default"/>
        <w:lang w:val="en-US" w:eastAsia="en-US" w:bidi="ar-SA"/>
      </w:rPr>
    </w:lvl>
    <w:lvl w:ilvl="8" w:tplc="892CFE10">
      <w:numFmt w:val="bullet"/>
      <w:lvlText w:val="•"/>
      <w:lvlJc w:val="left"/>
      <w:pPr>
        <w:ind w:left="8488" w:hanging="360"/>
      </w:pPr>
      <w:rPr>
        <w:rFonts w:hint="default"/>
        <w:lang w:val="en-US" w:eastAsia="en-US" w:bidi="ar-SA"/>
      </w:rPr>
    </w:lvl>
  </w:abstractNum>
  <w:abstractNum w:abstractNumId="42" w15:restartNumberingAfterBreak="0">
    <w:nsid w:val="1C413312"/>
    <w:multiLevelType w:val="hybridMultilevel"/>
    <w:tmpl w:val="07C2D654"/>
    <w:lvl w:ilvl="0" w:tplc="E2F68988">
      <w:start w:val="1"/>
      <w:numFmt w:val="lowerLetter"/>
      <w:lvlText w:val="%1."/>
      <w:lvlJc w:val="left"/>
      <w:pPr>
        <w:ind w:left="2220" w:hanging="360"/>
      </w:pPr>
      <w:rPr>
        <w:rFonts w:ascii="Arial" w:eastAsia="Arial" w:hAnsi="Arial" w:cs="Arial" w:hint="default"/>
        <w:b w:val="0"/>
        <w:bCs w:val="0"/>
        <w:i w:val="0"/>
        <w:iCs w:val="0"/>
        <w:spacing w:val="0"/>
        <w:w w:val="99"/>
        <w:sz w:val="22"/>
        <w:szCs w:val="22"/>
        <w:lang w:val="en-US" w:eastAsia="en-US" w:bidi="ar-SA"/>
      </w:rPr>
    </w:lvl>
    <w:lvl w:ilvl="1" w:tplc="BB680F3C">
      <w:numFmt w:val="bullet"/>
      <w:lvlText w:val="•"/>
      <w:lvlJc w:val="left"/>
      <w:pPr>
        <w:ind w:left="3026" w:hanging="360"/>
      </w:pPr>
      <w:rPr>
        <w:rFonts w:hint="default"/>
        <w:lang w:val="en-US" w:eastAsia="en-US" w:bidi="ar-SA"/>
      </w:rPr>
    </w:lvl>
    <w:lvl w:ilvl="2" w:tplc="BDECA81E">
      <w:numFmt w:val="bullet"/>
      <w:lvlText w:val="•"/>
      <w:lvlJc w:val="left"/>
      <w:pPr>
        <w:ind w:left="3832" w:hanging="360"/>
      </w:pPr>
      <w:rPr>
        <w:rFonts w:hint="default"/>
        <w:lang w:val="en-US" w:eastAsia="en-US" w:bidi="ar-SA"/>
      </w:rPr>
    </w:lvl>
    <w:lvl w:ilvl="3" w:tplc="F20686F4">
      <w:numFmt w:val="bullet"/>
      <w:lvlText w:val="•"/>
      <w:lvlJc w:val="left"/>
      <w:pPr>
        <w:ind w:left="4638" w:hanging="360"/>
      </w:pPr>
      <w:rPr>
        <w:rFonts w:hint="default"/>
        <w:lang w:val="en-US" w:eastAsia="en-US" w:bidi="ar-SA"/>
      </w:rPr>
    </w:lvl>
    <w:lvl w:ilvl="4" w:tplc="CC0C620C">
      <w:numFmt w:val="bullet"/>
      <w:lvlText w:val="•"/>
      <w:lvlJc w:val="left"/>
      <w:pPr>
        <w:ind w:left="5444" w:hanging="360"/>
      </w:pPr>
      <w:rPr>
        <w:rFonts w:hint="default"/>
        <w:lang w:val="en-US" w:eastAsia="en-US" w:bidi="ar-SA"/>
      </w:rPr>
    </w:lvl>
    <w:lvl w:ilvl="5" w:tplc="CA163A78">
      <w:numFmt w:val="bullet"/>
      <w:lvlText w:val="•"/>
      <w:lvlJc w:val="left"/>
      <w:pPr>
        <w:ind w:left="6250" w:hanging="360"/>
      </w:pPr>
      <w:rPr>
        <w:rFonts w:hint="default"/>
        <w:lang w:val="en-US" w:eastAsia="en-US" w:bidi="ar-SA"/>
      </w:rPr>
    </w:lvl>
    <w:lvl w:ilvl="6" w:tplc="98A0B2DE">
      <w:numFmt w:val="bullet"/>
      <w:lvlText w:val="•"/>
      <w:lvlJc w:val="left"/>
      <w:pPr>
        <w:ind w:left="7056" w:hanging="360"/>
      </w:pPr>
      <w:rPr>
        <w:rFonts w:hint="default"/>
        <w:lang w:val="en-US" w:eastAsia="en-US" w:bidi="ar-SA"/>
      </w:rPr>
    </w:lvl>
    <w:lvl w:ilvl="7" w:tplc="A274D232">
      <w:numFmt w:val="bullet"/>
      <w:lvlText w:val="•"/>
      <w:lvlJc w:val="left"/>
      <w:pPr>
        <w:ind w:left="7862" w:hanging="360"/>
      </w:pPr>
      <w:rPr>
        <w:rFonts w:hint="default"/>
        <w:lang w:val="en-US" w:eastAsia="en-US" w:bidi="ar-SA"/>
      </w:rPr>
    </w:lvl>
    <w:lvl w:ilvl="8" w:tplc="465A55DC">
      <w:numFmt w:val="bullet"/>
      <w:lvlText w:val="•"/>
      <w:lvlJc w:val="left"/>
      <w:pPr>
        <w:ind w:left="8668" w:hanging="360"/>
      </w:pPr>
      <w:rPr>
        <w:rFonts w:hint="default"/>
        <w:lang w:val="en-US" w:eastAsia="en-US" w:bidi="ar-SA"/>
      </w:rPr>
    </w:lvl>
  </w:abstractNum>
  <w:abstractNum w:abstractNumId="43" w15:restartNumberingAfterBreak="0">
    <w:nsid w:val="1C9074DB"/>
    <w:multiLevelType w:val="hybridMultilevel"/>
    <w:tmpl w:val="A85A0F60"/>
    <w:lvl w:ilvl="0" w:tplc="3F563C2E">
      <w:start w:val="10"/>
      <w:numFmt w:val="decimal"/>
      <w:lvlText w:val=".%1"/>
      <w:lvlJc w:val="left"/>
      <w:pPr>
        <w:ind w:left="1470" w:hanging="721"/>
      </w:pPr>
      <w:rPr>
        <w:rFonts w:ascii="Arial" w:eastAsia="Arial" w:hAnsi="Arial" w:cs="Arial" w:hint="default"/>
        <w:b w:val="0"/>
        <w:bCs w:val="0"/>
        <w:i w:val="0"/>
        <w:iCs w:val="0"/>
        <w:spacing w:val="0"/>
        <w:w w:val="99"/>
        <w:sz w:val="22"/>
        <w:szCs w:val="22"/>
        <w:lang w:val="en-US" w:eastAsia="en-US" w:bidi="ar-SA"/>
      </w:rPr>
    </w:lvl>
    <w:lvl w:ilvl="1" w:tplc="3BDCB740">
      <w:numFmt w:val="bullet"/>
      <w:lvlText w:val="•"/>
      <w:lvlJc w:val="left"/>
      <w:pPr>
        <w:ind w:left="2310" w:hanging="721"/>
      </w:pPr>
      <w:rPr>
        <w:rFonts w:hint="default"/>
        <w:lang w:val="en-US" w:eastAsia="en-US" w:bidi="ar-SA"/>
      </w:rPr>
    </w:lvl>
    <w:lvl w:ilvl="2" w:tplc="A56464E8">
      <w:numFmt w:val="bullet"/>
      <w:lvlText w:val="•"/>
      <w:lvlJc w:val="left"/>
      <w:pPr>
        <w:ind w:left="3140" w:hanging="721"/>
      </w:pPr>
      <w:rPr>
        <w:rFonts w:hint="default"/>
        <w:lang w:val="en-US" w:eastAsia="en-US" w:bidi="ar-SA"/>
      </w:rPr>
    </w:lvl>
    <w:lvl w:ilvl="3" w:tplc="B8C265DC">
      <w:numFmt w:val="bullet"/>
      <w:lvlText w:val="•"/>
      <w:lvlJc w:val="left"/>
      <w:pPr>
        <w:ind w:left="3970" w:hanging="721"/>
      </w:pPr>
      <w:rPr>
        <w:rFonts w:hint="default"/>
        <w:lang w:val="en-US" w:eastAsia="en-US" w:bidi="ar-SA"/>
      </w:rPr>
    </w:lvl>
    <w:lvl w:ilvl="4" w:tplc="1AA446D2">
      <w:numFmt w:val="bullet"/>
      <w:lvlText w:val="•"/>
      <w:lvlJc w:val="left"/>
      <w:pPr>
        <w:ind w:left="4800" w:hanging="721"/>
      </w:pPr>
      <w:rPr>
        <w:rFonts w:hint="default"/>
        <w:lang w:val="en-US" w:eastAsia="en-US" w:bidi="ar-SA"/>
      </w:rPr>
    </w:lvl>
    <w:lvl w:ilvl="5" w:tplc="62BC239C">
      <w:numFmt w:val="bullet"/>
      <w:lvlText w:val="•"/>
      <w:lvlJc w:val="left"/>
      <w:pPr>
        <w:ind w:left="5630" w:hanging="721"/>
      </w:pPr>
      <w:rPr>
        <w:rFonts w:hint="default"/>
        <w:lang w:val="en-US" w:eastAsia="en-US" w:bidi="ar-SA"/>
      </w:rPr>
    </w:lvl>
    <w:lvl w:ilvl="6" w:tplc="607CF1D4">
      <w:numFmt w:val="bullet"/>
      <w:lvlText w:val="•"/>
      <w:lvlJc w:val="left"/>
      <w:pPr>
        <w:ind w:left="6460" w:hanging="721"/>
      </w:pPr>
      <w:rPr>
        <w:rFonts w:hint="default"/>
        <w:lang w:val="en-US" w:eastAsia="en-US" w:bidi="ar-SA"/>
      </w:rPr>
    </w:lvl>
    <w:lvl w:ilvl="7" w:tplc="F2AC50EC">
      <w:numFmt w:val="bullet"/>
      <w:lvlText w:val="•"/>
      <w:lvlJc w:val="left"/>
      <w:pPr>
        <w:ind w:left="7290" w:hanging="721"/>
      </w:pPr>
      <w:rPr>
        <w:rFonts w:hint="default"/>
        <w:lang w:val="en-US" w:eastAsia="en-US" w:bidi="ar-SA"/>
      </w:rPr>
    </w:lvl>
    <w:lvl w:ilvl="8" w:tplc="036491A4">
      <w:numFmt w:val="bullet"/>
      <w:lvlText w:val="•"/>
      <w:lvlJc w:val="left"/>
      <w:pPr>
        <w:ind w:left="8120" w:hanging="721"/>
      </w:pPr>
      <w:rPr>
        <w:rFonts w:hint="default"/>
        <w:lang w:val="en-US" w:eastAsia="en-US" w:bidi="ar-SA"/>
      </w:rPr>
    </w:lvl>
  </w:abstractNum>
  <w:abstractNum w:abstractNumId="44" w15:restartNumberingAfterBreak="0">
    <w:nsid w:val="1CC864EE"/>
    <w:multiLevelType w:val="hybridMultilevel"/>
    <w:tmpl w:val="82C2DD76"/>
    <w:lvl w:ilvl="0" w:tplc="A5A67DB4">
      <w:numFmt w:val="bullet"/>
      <w:lvlText w:val=""/>
      <w:lvlJc w:val="left"/>
      <w:pPr>
        <w:ind w:left="1140" w:hanging="360"/>
      </w:pPr>
      <w:rPr>
        <w:rFonts w:ascii="Symbol" w:eastAsia="Symbol" w:hAnsi="Symbol" w:cs="Symbol" w:hint="default"/>
        <w:b w:val="0"/>
        <w:bCs w:val="0"/>
        <w:i w:val="0"/>
        <w:iCs w:val="0"/>
        <w:spacing w:val="0"/>
        <w:w w:val="99"/>
        <w:sz w:val="22"/>
        <w:szCs w:val="22"/>
        <w:lang w:val="en-US" w:eastAsia="en-US" w:bidi="ar-SA"/>
      </w:rPr>
    </w:lvl>
    <w:lvl w:ilvl="1" w:tplc="CCA2F29C">
      <w:numFmt w:val="bullet"/>
      <w:lvlText w:val="•"/>
      <w:lvlJc w:val="left"/>
      <w:pPr>
        <w:ind w:left="2054" w:hanging="360"/>
      </w:pPr>
      <w:rPr>
        <w:rFonts w:hint="default"/>
        <w:lang w:val="en-US" w:eastAsia="en-US" w:bidi="ar-SA"/>
      </w:rPr>
    </w:lvl>
    <w:lvl w:ilvl="2" w:tplc="01849054">
      <w:numFmt w:val="bullet"/>
      <w:lvlText w:val="•"/>
      <w:lvlJc w:val="left"/>
      <w:pPr>
        <w:ind w:left="2968" w:hanging="360"/>
      </w:pPr>
      <w:rPr>
        <w:rFonts w:hint="default"/>
        <w:lang w:val="en-US" w:eastAsia="en-US" w:bidi="ar-SA"/>
      </w:rPr>
    </w:lvl>
    <w:lvl w:ilvl="3" w:tplc="5ED698E4">
      <w:numFmt w:val="bullet"/>
      <w:lvlText w:val="•"/>
      <w:lvlJc w:val="left"/>
      <w:pPr>
        <w:ind w:left="3882" w:hanging="360"/>
      </w:pPr>
      <w:rPr>
        <w:rFonts w:hint="default"/>
        <w:lang w:val="en-US" w:eastAsia="en-US" w:bidi="ar-SA"/>
      </w:rPr>
    </w:lvl>
    <w:lvl w:ilvl="4" w:tplc="D49ACD7C">
      <w:numFmt w:val="bullet"/>
      <w:lvlText w:val="•"/>
      <w:lvlJc w:val="left"/>
      <w:pPr>
        <w:ind w:left="4796" w:hanging="360"/>
      </w:pPr>
      <w:rPr>
        <w:rFonts w:hint="default"/>
        <w:lang w:val="en-US" w:eastAsia="en-US" w:bidi="ar-SA"/>
      </w:rPr>
    </w:lvl>
    <w:lvl w:ilvl="5" w:tplc="AB3CB180">
      <w:numFmt w:val="bullet"/>
      <w:lvlText w:val="•"/>
      <w:lvlJc w:val="left"/>
      <w:pPr>
        <w:ind w:left="5710" w:hanging="360"/>
      </w:pPr>
      <w:rPr>
        <w:rFonts w:hint="default"/>
        <w:lang w:val="en-US" w:eastAsia="en-US" w:bidi="ar-SA"/>
      </w:rPr>
    </w:lvl>
    <w:lvl w:ilvl="6" w:tplc="22DE2A1A">
      <w:numFmt w:val="bullet"/>
      <w:lvlText w:val="•"/>
      <w:lvlJc w:val="left"/>
      <w:pPr>
        <w:ind w:left="6624" w:hanging="360"/>
      </w:pPr>
      <w:rPr>
        <w:rFonts w:hint="default"/>
        <w:lang w:val="en-US" w:eastAsia="en-US" w:bidi="ar-SA"/>
      </w:rPr>
    </w:lvl>
    <w:lvl w:ilvl="7" w:tplc="810AEE10">
      <w:numFmt w:val="bullet"/>
      <w:lvlText w:val="•"/>
      <w:lvlJc w:val="left"/>
      <w:pPr>
        <w:ind w:left="7538" w:hanging="360"/>
      </w:pPr>
      <w:rPr>
        <w:rFonts w:hint="default"/>
        <w:lang w:val="en-US" w:eastAsia="en-US" w:bidi="ar-SA"/>
      </w:rPr>
    </w:lvl>
    <w:lvl w:ilvl="8" w:tplc="7A5EEB2E">
      <w:numFmt w:val="bullet"/>
      <w:lvlText w:val="•"/>
      <w:lvlJc w:val="left"/>
      <w:pPr>
        <w:ind w:left="8452" w:hanging="360"/>
      </w:pPr>
      <w:rPr>
        <w:rFonts w:hint="default"/>
        <w:lang w:val="en-US" w:eastAsia="en-US" w:bidi="ar-SA"/>
      </w:rPr>
    </w:lvl>
  </w:abstractNum>
  <w:abstractNum w:abstractNumId="45" w15:restartNumberingAfterBreak="0">
    <w:nsid w:val="1D1D1F97"/>
    <w:multiLevelType w:val="hybridMultilevel"/>
    <w:tmpl w:val="42FABD02"/>
    <w:lvl w:ilvl="0" w:tplc="6F4A0622">
      <w:start w:val="1"/>
      <w:numFmt w:val="lowerLetter"/>
      <w:lvlText w:val="%1."/>
      <w:lvlJc w:val="left"/>
      <w:pPr>
        <w:ind w:left="2000" w:hanging="360"/>
      </w:pPr>
      <w:rPr>
        <w:rFonts w:ascii="Arial" w:eastAsia="Arial" w:hAnsi="Arial" w:cs="Arial" w:hint="default"/>
        <w:b w:val="0"/>
        <w:bCs w:val="0"/>
        <w:i w:val="0"/>
        <w:iCs w:val="0"/>
        <w:spacing w:val="0"/>
        <w:w w:val="99"/>
        <w:sz w:val="22"/>
        <w:szCs w:val="22"/>
        <w:lang w:val="en-US" w:eastAsia="en-US" w:bidi="ar-SA"/>
      </w:rPr>
    </w:lvl>
    <w:lvl w:ilvl="1" w:tplc="83C49A5A">
      <w:numFmt w:val="bullet"/>
      <w:lvlText w:val="•"/>
      <w:lvlJc w:val="left"/>
      <w:pPr>
        <w:ind w:left="2790" w:hanging="360"/>
      </w:pPr>
      <w:rPr>
        <w:rFonts w:hint="default"/>
        <w:lang w:val="en-US" w:eastAsia="en-US" w:bidi="ar-SA"/>
      </w:rPr>
    </w:lvl>
    <w:lvl w:ilvl="2" w:tplc="F99C82A8">
      <w:numFmt w:val="bullet"/>
      <w:lvlText w:val="•"/>
      <w:lvlJc w:val="left"/>
      <w:pPr>
        <w:ind w:left="3580" w:hanging="360"/>
      </w:pPr>
      <w:rPr>
        <w:rFonts w:hint="default"/>
        <w:lang w:val="en-US" w:eastAsia="en-US" w:bidi="ar-SA"/>
      </w:rPr>
    </w:lvl>
    <w:lvl w:ilvl="3" w:tplc="092C49B4">
      <w:numFmt w:val="bullet"/>
      <w:lvlText w:val="•"/>
      <w:lvlJc w:val="left"/>
      <w:pPr>
        <w:ind w:left="4370" w:hanging="360"/>
      </w:pPr>
      <w:rPr>
        <w:rFonts w:hint="default"/>
        <w:lang w:val="en-US" w:eastAsia="en-US" w:bidi="ar-SA"/>
      </w:rPr>
    </w:lvl>
    <w:lvl w:ilvl="4" w:tplc="087E1FB6">
      <w:numFmt w:val="bullet"/>
      <w:lvlText w:val="•"/>
      <w:lvlJc w:val="left"/>
      <w:pPr>
        <w:ind w:left="5160" w:hanging="360"/>
      </w:pPr>
      <w:rPr>
        <w:rFonts w:hint="default"/>
        <w:lang w:val="en-US" w:eastAsia="en-US" w:bidi="ar-SA"/>
      </w:rPr>
    </w:lvl>
    <w:lvl w:ilvl="5" w:tplc="D2024A32">
      <w:numFmt w:val="bullet"/>
      <w:lvlText w:val="•"/>
      <w:lvlJc w:val="left"/>
      <w:pPr>
        <w:ind w:left="5950" w:hanging="360"/>
      </w:pPr>
      <w:rPr>
        <w:rFonts w:hint="default"/>
        <w:lang w:val="en-US" w:eastAsia="en-US" w:bidi="ar-SA"/>
      </w:rPr>
    </w:lvl>
    <w:lvl w:ilvl="6" w:tplc="D1A2AB94">
      <w:numFmt w:val="bullet"/>
      <w:lvlText w:val="•"/>
      <w:lvlJc w:val="left"/>
      <w:pPr>
        <w:ind w:left="6740" w:hanging="360"/>
      </w:pPr>
      <w:rPr>
        <w:rFonts w:hint="default"/>
        <w:lang w:val="en-US" w:eastAsia="en-US" w:bidi="ar-SA"/>
      </w:rPr>
    </w:lvl>
    <w:lvl w:ilvl="7" w:tplc="D3449950">
      <w:numFmt w:val="bullet"/>
      <w:lvlText w:val="•"/>
      <w:lvlJc w:val="left"/>
      <w:pPr>
        <w:ind w:left="7530" w:hanging="360"/>
      </w:pPr>
      <w:rPr>
        <w:rFonts w:hint="default"/>
        <w:lang w:val="en-US" w:eastAsia="en-US" w:bidi="ar-SA"/>
      </w:rPr>
    </w:lvl>
    <w:lvl w:ilvl="8" w:tplc="02386E06">
      <w:numFmt w:val="bullet"/>
      <w:lvlText w:val="•"/>
      <w:lvlJc w:val="left"/>
      <w:pPr>
        <w:ind w:left="8320" w:hanging="360"/>
      </w:pPr>
      <w:rPr>
        <w:rFonts w:hint="default"/>
        <w:lang w:val="en-US" w:eastAsia="en-US" w:bidi="ar-SA"/>
      </w:rPr>
    </w:lvl>
  </w:abstractNum>
  <w:abstractNum w:abstractNumId="46" w15:restartNumberingAfterBreak="0">
    <w:nsid w:val="1D1E3DC5"/>
    <w:multiLevelType w:val="hybridMultilevel"/>
    <w:tmpl w:val="E5E29744"/>
    <w:lvl w:ilvl="0" w:tplc="9538EBEA">
      <w:start w:val="1"/>
      <w:numFmt w:val="decimal"/>
      <w:lvlText w:val="%1)"/>
      <w:lvlJc w:val="left"/>
      <w:pPr>
        <w:ind w:left="1172" w:hanging="577"/>
      </w:pPr>
      <w:rPr>
        <w:rFonts w:ascii="Arial" w:eastAsia="Arial" w:hAnsi="Arial" w:cs="Arial" w:hint="default"/>
        <w:b w:val="0"/>
        <w:bCs w:val="0"/>
        <w:i w:val="0"/>
        <w:iCs w:val="0"/>
        <w:spacing w:val="0"/>
        <w:w w:val="99"/>
        <w:sz w:val="22"/>
        <w:szCs w:val="22"/>
        <w:lang w:val="en-US" w:eastAsia="en-US" w:bidi="ar-SA"/>
      </w:rPr>
    </w:lvl>
    <w:lvl w:ilvl="1" w:tplc="0B6A21E4">
      <w:start w:val="1"/>
      <w:numFmt w:val="lowerLetter"/>
      <w:lvlText w:val="%2)"/>
      <w:lvlJc w:val="left"/>
      <w:pPr>
        <w:ind w:left="1509" w:hanging="361"/>
      </w:pPr>
      <w:rPr>
        <w:rFonts w:ascii="Arial" w:eastAsia="Arial" w:hAnsi="Arial" w:cs="Arial" w:hint="default"/>
        <w:b w:val="0"/>
        <w:bCs w:val="0"/>
        <w:i w:val="0"/>
        <w:iCs w:val="0"/>
        <w:spacing w:val="0"/>
        <w:w w:val="99"/>
        <w:sz w:val="22"/>
        <w:szCs w:val="22"/>
        <w:lang w:val="en-US" w:eastAsia="en-US" w:bidi="ar-SA"/>
      </w:rPr>
    </w:lvl>
    <w:lvl w:ilvl="2" w:tplc="7CA8BCBE">
      <w:start w:val="1"/>
      <w:numFmt w:val="lowerRoman"/>
      <w:lvlText w:val="%3."/>
      <w:lvlJc w:val="left"/>
      <w:pPr>
        <w:ind w:left="1869" w:hanging="381"/>
        <w:jc w:val="right"/>
      </w:pPr>
      <w:rPr>
        <w:rFonts w:ascii="Arial" w:eastAsia="Arial" w:hAnsi="Arial" w:cs="Arial" w:hint="default"/>
        <w:b w:val="0"/>
        <w:bCs w:val="0"/>
        <w:i w:val="0"/>
        <w:iCs w:val="0"/>
        <w:spacing w:val="0"/>
        <w:w w:val="99"/>
        <w:sz w:val="22"/>
        <w:szCs w:val="22"/>
        <w:lang w:val="en-US" w:eastAsia="en-US" w:bidi="ar-SA"/>
      </w:rPr>
    </w:lvl>
    <w:lvl w:ilvl="3" w:tplc="79E253EA">
      <w:numFmt w:val="bullet"/>
      <w:lvlText w:val="•"/>
      <w:lvlJc w:val="left"/>
      <w:pPr>
        <w:ind w:left="2409" w:hanging="381"/>
      </w:pPr>
      <w:rPr>
        <w:rFonts w:hint="default"/>
        <w:lang w:val="en-US" w:eastAsia="en-US" w:bidi="ar-SA"/>
      </w:rPr>
    </w:lvl>
    <w:lvl w:ilvl="4" w:tplc="9702AA82">
      <w:numFmt w:val="bullet"/>
      <w:lvlText w:val="•"/>
      <w:lvlJc w:val="left"/>
      <w:pPr>
        <w:ind w:left="2959" w:hanging="381"/>
      </w:pPr>
      <w:rPr>
        <w:rFonts w:hint="default"/>
        <w:lang w:val="en-US" w:eastAsia="en-US" w:bidi="ar-SA"/>
      </w:rPr>
    </w:lvl>
    <w:lvl w:ilvl="5" w:tplc="BA781980">
      <w:numFmt w:val="bullet"/>
      <w:lvlText w:val="•"/>
      <w:lvlJc w:val="left"/>
      <w:pPr>
        <w:ind w:left="3509" w:hanging="381"/>
      </w:pPr>
      <w:rPr>
        <w:rFonts w:hint="default"/>
        <w:lang w:val="en-US" w:eastAsia="en-US" w:bidi="ar-SA"/>
      </w:rPr>
    </w:lvl>
    <w:lvl w:ilvl="6" w:tplc="84AA0452">
      <w:numFmt w:val="bullet"/>
      <w:lvlText w:val="•"/>
      <w:lvlJc w:val="left"/>
      <w:pPr>
        <w:ind w:left="4059" w:hanging="381"/>
      </w:pPr>
      <w:rPr>
        <w:rFonts w:hint="default"/>
        <w:lang w:val="en-US" w:eastAsia="en-US" w:bidi="ar-SA"/>
      </w:rPr>
    </w:lvl>
    <w:lvl w:ilvl="7" w:tplc="1EBC97C8">
      <w:numFmt w:val="bullet"/>
      <w:lvlText w:val="•"/>
      <w:lvlJc w:val="left"/>
      <w:pPr>
        <w:ind w:left="4609" w:hanging="381"/>
      </w:pPr>
      <w:rPr>
        <w:rFonts w:hint="default"/>
        <w:lang w:val="en-US" w:eastAsia="en-US" w:bidi="ar-SA"/>
      </w:rPr>
    </w:lvl>
    <w:lvl w:ilvl="8" w:tplc="70D86E66">
      <w:numFmt w:val="bullet"/>
      <w:lvlText w:val="•"/>
      <w:lvlJc w:val="left"/>
      <w:pPr>
        <w:ind w:left="5159" w:hanging="381"/>
      </w:pPr>
      <w:rPr>
        <w:rFonts w:hint="default"/>
        <w:lang w:val="en-US" w:eastAsia="en-US" w:bidi="ar-SA"/>
      </w:rPr>
    </w:lvl>
  </w:abstractNum>
  <w:abstractNum w:abstractNumId="47" w15:restartNumberingAfterBreak="0">
    <w:nsid w:val="1D5E60B2"/>
    <w:multiLevelType w:val="hybridMultilevel"/>
    <w:tmpl w:val="988CB84A"/>
    <w:lvl w:ilvl="0" w:tplc="A0BAAE52">
      <w:start w:val="1"/>
      <w:numFmt w:val="decimalZero"/>
      <w:lvlText w:val=".%1"/>
      <w:lvlJc w:val="left"/>
      <w:pPr>
        <w:ind w:left="1858" w:hanging="720"/>
      </w:pPr>
      <w:rPr>
        <w:rFonts w:ascii="Arial" w:eastAsia="Arial" w:hAnsi="Arial" w:cs="Arial" w:hint="default"/>
        <w:b w:val="0"/>
        <w:bCs w:val="0"/>
        <w:i w:val="0"/>
        <w:iCs w:val="0"/>
        <w:spacing w:val="0"/>
        <w:w w:val="99"/>
        <w:sz w:val="22"/>
        <w:szCs w:val="22"/>
        <w:lang w:val="en-US" w:eastAsia="en-US" w:bidi="ar-SA"/>
      </w:rPr>
    </w:lvl>
    <w:lvl w:ilvl="1" w:tplc="01602578">
      <w:numFmt w:val="bullet"/>
      <w:lvlText w:val=""/>
      <w:lvlJc w:val="left"/>
      <w:pPr>
        <w:ind w:left="2219" w:hanging="360"/>
      </w:pPr>
      <w:rPr>
        <w:rFonts w:ascii="Symbol" w:eastAsia="Symbol" w:hAnsi="Symbol" w:cs="Symbol" w:hint="default"/>
        <w:b w:val="0"/>
        <w:bCs w:val="0"/>
        <w:i w:val="0"/>
        <w:iCs w:val="0"/>
        <w:spacing w:val="0"/>
        <w:w w:val="99"/>
        <w:sz w:val="22"/>
        <w:szCs w:val="22"/>
        <w:lang w:val="en-US" w:eastAsia="en-US" w:bidi="ar-SA"/>
      </w:rPr>
    </w:lvl>
    <w:lvl w:ilvl="2" w:tplc="E41A7ADA">
      <w:numFmt w:val="bullet"/>
      <w:lvlText w:val="•"/>
      <w:lvlJc w:val="left"/>
      <w:pPr>
        <w:ind w:left="3115" w:hanging="360"/>
      </w:pPr>
      <w:rPr>
        <w:rFonts w:hint="default"/>
        <w:lang w:val="en-US" w:eastAsia="en-US" w:bidi="ar-SA"/>
      </w:rPr>
    </w:lvl>
    <w:lvl w:ilvl="3" w:tplc="88EC70FC">
      <w:numFmt w:val="bullet"/>
      <w:lvlText w:val="•"/>
      <w:lvlJc w:val="left"/>
      <w:pPr>
        <w:ind w:left="4011" w:hanging="360"/>
      </w:pPr>
      <w:rPr>
        <w:rFonts w:hint="default"/>
        <w:lang w:val="en-US" w:eastAsia="en-US" w:bidi="ar-SA"/>
      </w:rPr>
    </w:lvl>
    <w:lvl w:ilvl="4" w:tplc="E8768EC8">
      <w:numFmt w:val="bullet"/>
      <w:lvlText w:val="•"/>
      <w:lvlJc w:val="left"/>
      <w:pPr>
        <w:ind w:left="4906" w:hanging="360"/>
      </w:pPr>
      <w:rPr>
        <w:rFonts w:hint="default"/>
        <w:lang w:val="en-US" w:eastAsia="en-US" w:bidi="ar-SA"/>
      </w:rPr>
    </w:lvl>
    <w:lvl w:ilvl="5" w:tplc="0A943C0E">
      <w:numFmt w:val="bullet"/>
      <w:lvlText w:val="•"/>
      <w:lvlJc w:val="left"/>
      <w:pPr>
        <w:ind w:left="5802" w:hanging="360"/>
      </w:pPr>
      <w:rPr>
        <w:rFonts w:hint="default"/>
        <w:lang w:val="en-US" w:eastAsia="en-US" w:bidi="ar-SA"/>
      </w:rPr>
    </w:lvl>
    <w:lvl w:ilvl="6" w:tplc="753A9E8C">
      <w:numFmt w:val="bullet"/>
      <w:lvlText w:val="•"/>
      <w:lvlJc w:val="left"/>
      <w:pPr>
        <w:ind w:left="6697" w:hanging="360"/>
      </w:pPr>
      <w:rPr>
        <w:rFonts w:hint="default"/>
        <w:lang w:val="en-US" w:eastAsia="en-US" w:bidi="ar-SA"/>
      </w:rPr>
    </w:lvl>
    <w:lvl w:ilvl="7" w:tplc="E7041B2E">
      <w:numFmt w:val="bullet"/>
      <w:lvlText w:val="•"/>
      <w:lvlJc w:val="left"/>
      <w:pPr>
        <w:ind w:left="7593" w:hanging="360"/>
      </w:pPr>
      <w:rPr>
        <w:rFonts w:hint="default"/>
        <w:lang w:val="en-US" w:eastAsia="en-US" w:bidi="ar-SA"/>
      </w:rPr>
    </w:lvl>
    <w:lvl w:ilvl="8" w:tplc="1CD8E56A">
      <w:numFmt w:val="bullet"/>
      <w:lvlText w:val="•"/>
      <w:lvlJc w:val="left"/>
      <w:pPr>
        <w:ind w:left="8488" w:hanging="360"/>
      </w:pPr>
      <w:rPr>
        <w:rFonts w:hint="default"/>
        <w:lang w:val="en-US" w:eastAsia="en-US" w:bidi="ar-SA"/>
      </w:rPr>
    </w:lvl>
  </w:abstractNum>
  <w:abstractNum w:abstractNumId="48" w15:restartNumberingAfterBreak="0">
    <w:nsid w:val="1DE75B9F"/>
    <w:multiLevelType w:val="hybridMultilevel"/>
    <w:tmpl w:val="5D6C756A"/>
    <w:lvl w:ilvl="0" w:tplc="F9D866FA">
      <w:start w:val="2"/>
      <w:numFmt w:val="decimal"/>
      <w:lvlText w:val="%1)"/>
      <w:lvlJc w:val="left"/>
      <w:pPr>
        <w:ind w:left="812" w:hanging="504"/>
      </w:pPr>
      <w:rPr>
        <w:rFonts w:ascii="Arial" w:eastAsia="Arial" w:hAnsi="Arial" w:cs="Arial" w:hint="default"/>
        <w:b w:val="0"/>
        <w:bCs w:val="0"/>
        <w:i w:val="0"/>
        <w:iCs w:val="0"/>
        <w:spacing w:val="0"/>
        <w:w w:val="99"/>
        <w:sz w:val="22"/>
        <w:szCs w:val="22"/>
        <w:lang w:val="en-US" w:eastAsia="en-US" w:bidi="ar-SA"/>
      </w:rPr>
    </w:lvl>
    <w:lvl w:ilvl="1" w:tplc="F0B847D2">
      <w:start w:val="1"/>
      <w:numFmt w:val="lowerLetter"/>
      <w:lvlText w:val="%2)"/>
      <w:lvlJc w:val="left"/>
      <w:pPr>
        <w:ind w:left="1298" w:hanging="450"/>
      </w:pPr>
      <w:rPr>
        <w:rFonts w:ascii="Arial" w:eastAsia="Arial" w:hAnsi="Arial" w:cs="Arial" w:hint="default"/>
        <w:b w:val="0"/>
        <w:bCs w:val="0"/>
        <w:i w:val="0"/>
        <w:iCs w:val="0"/>
        <w:spacing w:val="0"/>
        <w:w w:val="99"/>
        <w:sz w:val="22"/>
        <w:szCs w:val="22"/>
        <w:lang w:val="en-US" w:eastAsia="en-US" w:bidi="ar-SA"/>
      </w:rPr>
    </w:lvl>
    <w:lvl w:ilvl="2" w:tplc="D070E596">
      <w:numFmt w:val="bullet"/>
      <w:lvlText w:val="•"/>
      <w:lvlJc w:val="left"/>
      <w:pPr>
        <w:ind w:left="1896" w:hanging="450"/>
      </w:pPr>
      <w:rPr>
        <w:rFonts w:hint="default"/>
        <w:lang w:val="en-US" w:eastAsia="en-US" w:bidi="ar-SA"/>
      </w:rPr>
    </w:lvl>
    <w:lvl w:ilvl="3" w:tplc="5DE8F3F8">
      <w:numFmt w:val="bullet"/>
      <w:lvlText w:val="•"/>
      <w:lvlJc w:val="left"/>
      <w:pPr>
        <w:ind w:left="2493" w:hanging="450"/>
      </w:pPr>
      <w:rPr>
        <w:rFonts w:hint="default"/>
        <w:lang w:val="en-US" w:eastAsia="en-US" w:bidi="ar-SA"/>
      </w:rPr>
    </w:lvl>
    <w:lvl w:ilvl="4" w:tplc="05C254B4">
      <w:numFmt w:val="bullet"/>
      <w:lvlText w:val="•"/>
      <w:lvlJc w:val="left"/>
      <w:pPr>
        <w:ind w:left="3089" w:hanging="450"/>
      </w:pPr>
      <w:rPr>
        <w:rFonts w:hint="default"/>
        <w:lang w:val="en-US" w:eastAsia="en-US" w:bidi="ar-SA"/>
      </w:rPr>
    </w:lvl>
    <w:lvl w:ilvl="5" w:tplc="E9FE3C40">
      <w:numFmt w:val="bullet"/>
      <w:lvlText w:val="•"/>
      <w:lvlJc w:val="left"/>
      <w:pPr>
        <w:ind w:left="3686" w:hanging="450"/>
      </w:pPr>
      <w:rPr>
        <w:rFonts w:hint="default"/>
        <w:lang w:val="en-US" w:eastAsia="en-US" w:bidi="ar-SA"/>
      </w:rPr>
    </w:lvl>
    <w:lvl w:ilvl="6" w:tplc="E3609B86">
      <w:numFmt w:val="bullet"/>
      <w:lvlText w:val="•"/>
      <w:lvlJc w:val="left"/>
      <w:pPr>
        <w:ind w:left="4282" w:hanging="450"/>
      </w:pPr>
      <w:rPr>
        <w:rFonts w:hint="default"/>
        <w:lang w:val="en-US" w:eastAsia="en-US" w:bidi="ar-SA"/>
      </w:rPr>
    </w:lvl>
    <w:lvl w:ilvl="7" w:tplc="F36278FC">
      <w:numFmt w:val="bullet"/>
      <w:lvlText w:val="•"/>
      <w:lvlJc w:val="left"/>
      <w:pPr>
        <w:ind w:left="4879" w:hanging="450"/>
      </w:pPr>
      <w:rPr>
        <w:rFonts w:hint="default"/>
        <w:lang w:val="en-US" w:eastAsia="en-US" w:bidi="ar-SA"/>
      </w:rPr>
    </w:lvl>
    <w:lvl w:ilvl="8" w:tplc="01649798">
      <w:numFmt w:val="bullet"/>
      <w:lvlText w:val="•"/>
      <w:lvlJc w:val="left"/>
      <w:pPr>
        <w:ind w:left="5475" w:hanging="450"/>
      </w:pPr>
      <w:rPr>
        <w:rFonts w:hint="default"/>
        <w:lang w:val="en-US" w:eastAsia="en-US" w:bidi="ar-SA"/>
      </w:rPr>
    </w:lvl>
  </w:abstractNum>
  <w:abstractNum w:abstractNumId="49" w15:restartNumberingAfterBreak="0">
    <w:nsid w:val="1E777802"/>
    <w:multiLevelType w:val="hybridMultilevel"/>
    <w:tmpl w:val="63A04D0E"/>
    <w:lvl w:ilvl="0" w:tplc="93FEDE54">
      <w:start w:val="1"/>
      <w:numFmt w:val="decimal"/>
      <w:lvlText w:val="%1."/>
      <w:lvlJc w:val="left"/>
      <w:pPr>
        <w:ind w:left="780" w:hanging="360"/>
      </w:pPr>
      <w:rPr>
        <w:rFonts w:ascii="Arial" w:eastAsia="Arial" w:hAnsi="Arial" w:cs="Arial" w:hint="default"/>
        <w:b w:val="0"/>
        <w:bCs w:val="0"/>
        <w:i w:val="0"/>
        <w:iCs w:val="0"/>
        <w:spacing w:val="0"/>
        <w:w w:val="99"/>
        <w:sz w:val="22"/>
        <w:szCs w:val="22"/>
        <w:lang w:val="en-US" w:eastAsia="en-US" w:bidi="ar-SA"/>
      </w:rPr>
    </w:lvl>
    <w:lvl w:ilvl="1" w:tplc="FD02C50A">
      <w:start w:val="1"/>
      <w:numFmt w:val="lowerLetter"/>
      <w:lvlText w:val="%2."/>
      <w:lvlJc w:val="left"/>
      <w:pPr>
        <w:ind w:left="1139" w:hanging="360"/>
      </w:pPr>
      <w:rPr>
        <w:rFonts w:ascii="Arial" w:eastAsia="Arial" w:hAnsi="Arial" w:cs="Arial" w:hint="default"/>
        <w:b w:val="0"/>
        <w:bCs w:val="0"/>
        <w:i w:val="0"/>
        <w:iCs w:val="0"/>
        <w:spacing w:val="0"/>
        <w:w w:val="99"/>
        <w:sz w:val="22"/>
        <w:szCs w:val="22"/>
        <w:lang w:val="en-US" w:eastAsia="en-US" w:bidi="ar-SA"/>
      </w:rPr>
    </w:lvl>
    <w:lvl w:ilvl="2" w:tplc="C924EFE2">
      <w:numFmt w:val="bullet"/>
      <w:lvlText w:val="•"/>
      <w:lvlJc w:val="left"/>
      <w:pPr>
        <w:ind w:left="2049" w:hanging="360"/>
      </w:pPr>
      <w:rPr>
        <w:rFonts w:hint="default"/>
        <w:lang w:val="en-US" w:eastAsia="en-US" w:bidi="ar-SA"/>
      </w:rPr>
    </w:lvl>
    <w:lvl w:ilvl="3" w:tplc="5ABC63C6">
      <w:numFmt w:val="bullet"/>
      <w:lvlText w:val="•"/>
      <w:lvlJc w:val="left"/>
      <w:pPr>
        <w:ind w:left="2958" w:hanging="360"/>
      </w:pPr>
      <w:rPr>
        <w:rFonts w:hint="default"/>
        <w:lang w:val="en-US" w:eastAsia="en-US" w:bidi="ar-SA"/>
      </w:rPr>
    </w:lvl>
    <w:lvl w:ilvl="4" w:tplc="03E600F6">
      <w:numFmt w:val="bullet"/>
      <w:lvlText w:val="•"/>
      <w:lvlJc w:val="left"/>
      <w:pPr>
        <w:ind w:left="3867" w:hanging="360"/>
      </w:pPr>
      <w:rPr>
        <w:rFonts w:hint="default"/>
        <w:lang w:val="en-US" w:eastAsia="en-US" w:bidi="ar-SA"/>
      </w:rPr>
    </w:lvl>
    <w:lvl w:ilvl="5" w:tplc="411C3578">
      <w:numFmt w:val="bullet"/>
      <w:lvlText w:val="•"/>
      <w:lvlJc w:val="left"/>
      <w:pPr>
        <w:ind w:left="4776" w:hanging="360"/>
      </w:pPr>
      <w:rPr>
        <w:rFonts w:hint="default"/>
        <w:lang w:val="en-US" w:eastAsia="en-US" w:bidi="ar-SA"/>
      </w:rPr>
    </w:lvl>
    <w:lvl w:ilvl="6" w:tplc="BDC843D8">
      <w:numFmt w:val="bullet"/>
      <w:lvlText w:val="•"/>
      <w:lvlJc w:val="left"/>
      <w:pPr>
        <w:ind w:left="5685" w:hanging="360"/>
      </w:pPr>
      <w:rPr>
        <w:rFonts w:hint="default"/>
        <w:lang w:val="en-US" w:eastAsia="en-US" w:bidi="ar-SA"/>
      </w:rPr>
    </w:lvl>
    <w:lvl w:ilvl="7" w:tplc="17E86B16">
      <w:numFmt w:val="bullet"/>
      <w:lvlText w:val="•"/>
      <w:lvlJc w:val="left"/>
      <w:pPr>
        <w:ind w:left="6594" w:hanging="360"/>
      </w:pPr>
      <w:rPr>
        <w:rFonts w:hint="default"/>
        <w:lang w:val="en-US" w:eastAsia="en-US" w:bidi="ar-SA"/>
      </w:rPr>
    </w:lvl>
    <w:lvl w:ilvl="8" w:tplc="98CC638A">
      <w:numFmt w:val="bullet"/>
      <w:lvlText w:val="•"/>
      <w:lvlJc w:val="left"/>
      <w:pPr>
        <w:ind w:left="7503" w:hanging="360"/>
      </w:pPr>
      <w:rPr>
        <w:rFonts w:hint="default"/>
        <w:lang w:val="en-US" w:eastAsia="en-US" w:bidi="ar-SA"/>
      </w:rPr>
    </w:lvl>
  </w:abstractNum>
  <w:abstractNum w:abstractNumId="50" w15:restartNumberingAfterBreak="0">
    <w:nsid w:val="1EA02608"/>
    <w:multiLevelType w:val="hybridMultilevel"/>
    <w:tmpl w:val="7026BAAC"/>
    <w:lvl w:ilvl="0" w:tplc="C7769BB0">
      <w:start w:val="1"/>
      <w:numFmt w:val="decimal"/>
      <w:lvlText w:val="%1."/>
      <w:lvlJc w:val="left"/>
      <w:pPr>
        <w:ind w:left="909" w:hanging="300"/>
      </w:pPr>
      <w:rPr>
        <w:rFonts w:ascii="Arial" w:eastAsia="Arial" w:hAnsi="Arial" w:cs="Arial" w:hint="default"/>
        <w:b w:val="0"/>
        <w:bCs w:val="0"/>
        <w:i w:val="0"/>
        <w:iCs w:val="0"/>
        <w:spacing w:val="0"/>
        <w:w w:val="99"/>
        <w:sz w:val="22"/>
        <w:szCs w:val="22"/>
        <w:lang w:val="en-US" w:eastAsia="en-US" w:bidi="ar-SA"/>
      </w:rPr>
    </w:lvl>
    <w:lvl w:ilvl="1" w:tplc="4A34216A">
      <w:numFmt w:val="bullet"/>
      <w:lvlText w:val="•"/>
      <w:lvlJc w:val="left"/>
      <w:pPr>
        <w:ind w:left="1611" w:hanging="300"/>
      </w:pPr>
      <w:rPr>
        <w:rFonts w:hint="default"/>
        <w:lang w:val="en-US" w:eastAsia="en-US" w:bidi="ar-SA"/>
      </w:rPr>
    </w:lvl>
    <w:lvl w:ilvl="2" w:tplc="35DA43AA">
      <w:numFmt w:val="bullet"/>
      <w:lvlText w:val="•"/>
      <w:lvlJc w:val="left"/>
      <w:pPr>
        <w:ind w:left="2322" w:hanging="300"/>
      </w:pPr>
      <w:rPr>
        <w:rFonts w:hint="default"/>
        <w:lang w:val="en-US" w:eastAsia="en-US" w:bidi="ar-SA"/>
      </w:rPr>
    </w:lvl>
    <w:lvl w:ilvl="3" w:tplc="3166937E">
      <w:numFmt w:val="bullet"/>
      <w:lvlText w:val="•"/>
      <w:lvlJc w:val="left"/>
      <w:pPr>
        <w:ind w:left="3033" w:hanging="300"/>
      </w:pPr>
      <w:rPr>
        <w:rFonts w:hint="default"/>
        <w:lang w:val="en-US" w:eastAsia="en-US" w:bidi="ar-SA"/>
      </w:rPr>
    </w:lvl>
    <w:lvl w:ilvl="4" w:tplc="AC06FAC6">
      <w:numFmt w:val="bullet"/>
      <w:lvlText w:val="•"/>
      <w:lvlJc w:val="left"/>
      <w:pPr>
        <w:ind w:left="3744" w:hanging="300"/>
      </w:pPr>
      <w:rPr>
        <w:rFonts w:hint="default"/>
        <w:lang w:val="en-US" w:eastAsia="en-US" w:bidi="ar-SA"/>
      </w:rPr>
    </w:lvl>
    <w:lvl w:ilvl="5" w:tplc="1390CB8E">
      <w:numFmt w:val="bullet"/>
      <w:lvlText w:val="•"/>
      <w:lvlJc w:val="left"/>
      <w:pPr>
        <w:ind w:left="4456" w:hanging="300"/>
      </w:pPr>
      <w:rPr>
        <w:rFonts w:hint="default"/>
        <w:lang w:val="en-US" w:eastAsia="en-US" w:bidi="ar-SA"/>
      </w:rPr>
    </w:lvl>
    <w:lvl w:ilvl="6" w:tplc="BD88B630">
      <w:numFmt w:val="bullet"/>
      <w:lvlText w:val="•"/>
      <w:lvlJc w:val="left"/>
      <w:pPr>
        <w:ind w:left="5167" w:hanging="300"/>
      </w:pPr>
      <w:rPr>
        <w:rFonts w:hint="default"/>
        <w:lang w:val="en-US" w:eastAsia="en-US" w:bidi="ar-SA"/>
      </w:rPr>
    </w:lvl>
    <w:lvl w:ilvl="7" w:tplc="F6C0B1F6">
      <w:numFmt w:val="bullet"/>
      <w:lvlText w:val="•"/>
      <w:lvlJc w:val="left"/>
      <w:pPr>
        <w:ind w:left="5878" w:hanging="300"/>
      </w:pPr>
      <w:rPr>
        <w:rFonts w:hint="default"/>
        <w:lang w:val="en-US" w:eastAsia="en-US" w:bidi="ar-SA"/>
      </w:rPr>
    </w:lvl>
    <w:lvl w:ilvl="8" w:tplc="DBCA8272">
      <w:numFmt w:val="bullet"/>
      <w:lvlText w:val="•"/>
      <w:lvlJc w:val="left"/>
      <w:pPr>
        <w:ind w:left="6589" w:hanging="300"/>
      </w:pPr>
      <w:rPr>
        <w:rFonts w:hint="default"/>
        <w:lang w:val="en-US" w:eastAsia="en-US" w:bidi="ar-SA"/>
      </w:rPr>
    </w:lvl>
  </w:abstractNum>
  <w:abstractNum w:abstractNumId="51" w15:restartNumberingAfterBreak="0">
    <w:nsid w:val="1FE13AC1"/>
    <w:multiLevelType w:val="hybridMultilevel"/>
    <w:tmpl w:val="84AACD6E"/>
    <w:lvl w:ilvl="0" w:tplc="9776FBAA">
      <w:numFmt w:val="bullet"/>
      <w:lvlText w:val=""/>
      <w:lvlJc w:val="left"/>
      <w:pPr>
        <w:ind w:left="2219" w:hanging="360"/>
      </w:pPr>
      <w:rPr>
        <w:rFonts w:ascii="Symbol" w:eastAsia="Symbol" w:hAnsi="Symbol" w:cs="Symbol" w:hint="default"/>
        <w:b w:val="0"/>
        <w:bCs w:val="0"/>
        <w:i w:val="0"/>
        <w:iCs w:val="0"/>
        <w:spacing w:val="0"/>
        <w:w w:val="99"/>
        <w:sz w:val="22"/>
        <w:szCs w:val="22"/>
        <w:lang w:val="en-US" w:eastAsia="en-US" w:bidi="ar-SA"/>
      </w:rPr>
    </w:lvl>
    <w:lvl w:ilvl="1" w:tplc="6BA034E6">
      <w:numFmt w:val="bullet"/>
      <w:lvlText w:val="•"/>
      <w:lvlJc w:val="left"/>
      <w:pPr>
        <w:ind w:left="3026" w:hanging="360"/>
      </w:pPr>
      <w:rPr>
        <w:rFonts w:hint="default"/>
        <w:lang w:val="en-US" w:eastAsia="en-US" w:bidi="ar-SA"/>
      </w:rPr>
    </w:lvl>
    <w:lvl w:ilvl="2" w:tplc="A74A619A">
      <w:numFmt w:val="bullet"/>
      <w:lvlText w:val="•"/>
      <w:lvlJc w:val="left"/>
      <w:pPr>
        <w:ind w:left="3832" w:hanging="360"/>
      </w:pPr>
      <w:rPr>
        <w:rFonts w:hint="default"/>
        <w:lang w:val="en-US" w:eastAsia="en-US" w:bidi="ar-SA"/>
      </w:rPr>
    </w:lvl>
    <w:lvl w:ilvl="3" w:tplc="B39ACE14">
      <w:numFmt w:val="bullet"/>
      <w:lvlText w:val="•"/>
      <w:lvlJc w:val="left"/>
      <w:pPr>
        <w:ind w:left="4638" w:hanging="360"/>
      </w:pPr>
      <w:rPr>
        <w:rFonts w:hint="default"/>
        <w:lang w:val="en-US" w:eastAsia="en-US" w:bidi="ar-SA"/>
      </w:rPr>
    </w:lvl>
    <w:lvl w:ilvl="4" w:tplc="4A923B44">
      <w:numFmt w:val="bullet"/>
      <w:lvlText w:val="•"/>
      <w:lvlJc w:val="left"/>
      <w:pPr>
        <w:ind w:left="5444" w:hanging="360"/>
      </w:pPr>
      <w:rPr>
        <w:rFonts w:hint="default"/>
        <w:lang w:val="en-US" w:eastAsia="en-US" w:bidi="ar-SA"/>
      </w:rPr>
    </w:lvl>
    <w:lvl w:ilvl="5" w:tplc="1E8C35CE">
      <w:numFmt w:val="bullet"/>
      <w:lvlText w:val="•"/>
      <w:lvlJc w:val="left"/>
      <w:pPr>
        <w:ind w:left="6250" w:hanging="360"/>
      </w:pPr>
      <w:rPr>
        <w:rFonts w:hint="default"/>
        <w:lang w:val="en-US" w:eastAsia="en-US" w:bidi="ar-SA"/>
      </w:rPr>
    </w:lvl>
    <w:lvl w:ilvl="6" w:tplc="A69A1064">
      <w:numFmt w:val="bullet"/>
      <w:lvlText w:val="•"/>
      <w:lvlJc w:val="left"/>
      <w:pPr>
        <w:ind w:left="7056" w:hanging="360"/>
      </w:pPr>
      <w:rPr>
        <w:rFonts w:hint="default"/>
        <w:lang w:val="en-US" w:eastAsia="en-US" w:bidi="ar-SA"/>
      </w:rPr>
    </w:lvl>
    <w:lvl w:ilvl="7" w:tplc="32AEC384">
      <w:numFmt w:val="bullet"/>
      <w:lvlText w:val="•"/>
      <w:lvlJc w:val="left"/>
      <w:pPr>
        <w:ind w:left="7862" w:hanging="360"/>
      </w:pPr>
      <w:rPr>
        <w:rFonts w:hint="default"/>
        <w:lang w:val="en-US" w:eastAsia="en-US" w:bidi="ar-SA"/>
      </w:rPr>
    </w:lvl>
    <w:lvl w:ilvl="8" w:tplc="43429C7C">
      <w:numFmt w:val="bullet"/>
      <w:lvlText w:val="•"/>
      <w:lvlJc w:val="left"/>
      <w:pPr>
        <w:ind w:left="8668" w:hanging="360"/>
      </w:pPr>
      <w:rPr>
        <w:rFonts w:hint="default"/>
        <w:lang w:val="en-US" w:eastAsia="en-US" w:bidi="ar-SA"/>
      </w:rPr>
    </w:lvl>
  </w:abstractNum>
  <w:abstractNum w:abstractNumId="52" w15:restartNumberingAfterBreak="0">
    <w:nsid w:val="1FF53FEA"/>
    <w:multiLevelType w:val="hybridMultilevel"/>
    <w:tmpl w:val="72965B30"/>
    <w:lvl w:ilvl="0" w:tplc="C8E0F44A">
      <w:start w:val="1"/>
      <w:numFmt w:val="lowerLetter"/>
      <w:lvlText w:val="%1)"/>
      <w:lvlJc w:val="left"/>
      <w:pPr>
        <w:ind w:left="1244" w:hanging="533"/>
      </w:pPr>
      <w:rPr>
        <w:rFonts w:ascii="Arial" w:eastAsia="Arial" w:hAnsi="Arial" w:cs="Arial" w:hint="default"/>
        <w:b w:val="0"/>
        <w:bCs w:val="0"/>
        <w:i w:val="0"/>
        <w:iCs w:val="0"/>
        <w:spacing w:val="0"/>
        <w:w w:val="99"/>
        <w:sz w:val="22"/>
        <w:szCs w:val="22"/>
        <w:lang w:val="en-US" w:eastAsia="en-US" w:bidi="ar-SA"/>
      </w:rPr>
    </w:lvl>
    <w:lvl w:ilvl="1" w:tplc="62F03114">
      <w:start w:val="1"/>
      <w:numFmt w:val="lowerRoman"/>
      <w:lvlText w:val="%2."/>
      <w:lvlJc w:val="left"/>
      <w:pPr>
        <w:ind w:left="1791" w:hanging="471"/>
      </w:pPr>
      <w:rPr>
        <w:rFonts w:ascii="Arial" w:eastAsia="Arial" w:hAnsi="Arial" w:cs="Arial" w:hint="default"/>
        <w:b w:val="0"/>
        <w:bCs w:val="0"/>
        <w:i w:val="0"/>
        <w:iCs w:val="0"/>
        <w:spacing w:val="0"/>
        <w:w w:val="99"/>
        <w:sz w:val="22"/>
        <w:szCs w:val="22"/>
        <w:lang w:val="en-US" w:eastAsia="en-US" w:bidi="ar-SA"/>
      </w:rPr>
    </w:lvl>
    <w:lvl w:ilvl="2" w:tplc="3B2A20E4">
      <w:numFmt w:val="bullet"/>
      <w:lvlText w:val="•"/>
      <w:lvlJc w:val="left"/>
      <w:pPr>
        <w:ind w:left="2343" w:hanging="471"/>
      </w:pPr>
      <w:rPr>
        <w:rFonts w:hint="default"/>
        <w:lang w:val="en-US" w:eastAsia="en-US" w:bidi="ar-SA"/>
      </w:rPr>
    </w:lvl>
    <w:lvl w:ilvl="3" w:tplc="0D38630E">
      <w:numFmt w:val="bullet"/>
      <w:lvlText w:val="•"/>
      <w:lvlJc w:val="left"/>
      <w:pPr>
        <w:ind w:left="2887" w:hanging="471"/>
      </w:pPr>
      <w:rPr>
        <w:rFonts w:hint="default"/>
        <w:lang w:val="en-US" w:eastAsia="en-US" w:bidi="ar-SA"/>
      </w:rPr>
    </w:lvl>
    <w:lvl w:ilvl="4" w:tplc="77BE5A14">
      <w:numFmt w:val="bullet"/>
      <w:lvlText w:val="•"/>
      <w:lvlJc w:val="left"/>
      <w:pPr>
        <w:ind w:left="3430" w:hanging="471"/>
      </w:pPr>
      <w:rPr>
        <w:rFonts w:hint="default"/>
        <w:lang w:val="en-US" w:eastAsia="en-US" w:bidi="ar-SA"/>
      </w:rPr>
    </w:lvl>
    <w:lvl w:ilvl="5" w:tplc="45CE83F4">
      <w:numFmt w:val="bullet"/>
      <w:lvlText w:val="•"/>
      <w:lvlJc w:val="left"/>
      <w:pPr>
        <w:ind w:left="3974" w:hanging="471"/>
      </w:pPr>
      <w:rPr>
        <w:rFonts w:hint="default"/>
        <w:lang w:val="en-US" w:eastAsia="en-US" w:bidi="ar-SA"/>
      </w:rPr>
    </w:lvl>
    <w:lvl w:ilvl="6" w:tplc="87485BDC">
      <w:numFmt w:val="bullet"/>
      <w:lvlText w:val="•"/>
      <w:lvlJc w:val="left"/>
      <w:pPr>
        <w:ind w:left="4517" w:hanging="471"/>
      </w:pPr>
      <w:rPr>
        <w:rFonts w:hint="default"/>
        <w:lang w:val="en-US" w:eastAsia="en-US" w:bidi="ar-SA"/>
      </w:rPr>
    </w:lvl>
    <w:lvl w:ilvl="7" w:tplc="A154974E">
      <w:numFmt w:val="bullet"/>
      <w:lvlText w:val="•"/>
      <w:lvlJc w:val="left"/>
      <w:pPr>
        <w:ind w:left="5061" w:hanging="471"/>
      </w:pPr>
      <w:rPr>
        <w:rFonts w:hint="default"/>
        <w:lang w:val="en-US" w:eastAsia="en-US" w:bidi="ar-SA"/>
      </w:rPr>
    </w:lvl>
    <w:lvl w:ilvl="8" w:tplc="1C72B270">
      <w:numFmt w:val="bullet"/>
      <w:lvlText w:val="•"/>
      <w:lvlJc w:val="left"/>
      <w:pPr>
        <w:ind w:left="5604" w:hanging="471"/>
      </w:pPr>
      <w:rPr>
        <w:rFonts w:hint="default"/>
        <w:lang w:val="en-US" w:eastAsia="en-US" w:bidi="ar-SA"/>
      </w:rPr>
    </w:lvl>
  </w:abstractNum>
  <w:abstractNum w:abstractNumId="53" w15:restartNumberingAfterBreak="0">
    <w:nsid w:val="214A3D6B"/>
    <w:multiLevelType w:val="hybridMultilevel"/>
    <w:tmpl w:val="C91E27FC"/>
    <w:lvl w:ilvl="0" w:tplc="7C2E5D06">
      <w:start w:val="2"/>
      <w:numFmt w:val="decimal"/>
      <w:lvlText w:val="%1."/>
      <w:lvlJc w:val="left"/>
      <w:pPr>
        <w:ind w:left="600" w:hanging="439"/>
      </w:pPr>
      <w:rPr>
        <w:rFonts w:ascii="Arial" w:eastAsia="Arial" w:hAnsi="Arial" w:cs="Arial" w:hint="default"/>
        <w:b w:val="0"/>
        <w:bCs w:val="0"/>
        <w:i w:val="0"/>
        <w:iCs w:val="0"/>
        <w:spacing w:val="0"/>
        <w:w w:val="99"/>
        <w:sz w:val="22"/>
        <w:szCs w:val="22"/>
        <w:lang w:val="en-US" w:eastAsia="en-US" w:bidi="ar-SA"/>
      </w:rPr>
    </w:lvl>
    <w:lvl w:ilvl="1" w:tplc="390A8B1E">
      <w:numFmt w:val="bullet"/>
      <w:lvlText w:val=""/>
      <w:lvlJc w:val="left"/>
      <w:pPr>
        <w:ind w:left="965" w:hanging="370"/>
      </w:pPr>
      <w:rPr>
        <w:rFonts w:ascii="Symbol" w:eastAsia="Symbol" w:hAnsi="Symbol" w:cs="Symbol" w:hint="default"/>
        <w:b w:val="0"/>
        <w:bCs w:val="0"/>
        <w:i w:val="0"/>
        <w:iCs w:val="0"/>
        <w:spacing w:val="0"/>
        <w:w w:val="99"/>
        <w:sz w:val="22"/>
        <w:szCs w:val="22"/>
        <w:lang w:val="en-US" w:eastAsia="en-US" w:bidi="ar-SA"/>
      </w:rPr>
    </w:lvl>
    <w:lvl w:ilvl="2" w:tplc="7FD6A6C6">
      <w:numFmt w:val="bullet"/>
      <w:lvlText w:val="•"/>
      <w:lvlJc w:val="left"/>
      <w:pPr>
        <w:ind w:left="1622" w:hanging="370"/>
      </w:pPr>
      <w:rPr>
        <w:rFonts w:hint="default"/>
        <w:lang w:val="en-US" w:eastAsia="en-US" w:bidi="ar-SA"/>
      </w:rPr>
    </w:lvl>
    <w:lvl w:ilvl="3" w:tplc="92149948">
      <w:numFmt w:val="bullet"/>
      <w:lvlText w:val="•"/>
      <w:lvlJc w:val="left"/>
      <w:pPr>
        <w:ind w:left="2284" w:hanging="370"/>
      </w:pPr>
      <w:rPr>
        <w:rFonts w:hint="default"/>
        <w:lang w:val="en-US" w:eastAsia="en-US" w:bidi="ar-SA"/>
      </w:rPr>
    </w:lvl>
    <w:lvl w:ilvl="4" w:tplc="FCBC5C18">
      <w:numFmt w:val="bullet"/>
      <w:lvlText w:val="•"/>
      <w:lvlJc w:val="left"/>
      <w:pPr>
        <w:ind w:left="2946" w:hanging="370"/>
      </w:pPr>
      <w:rPr>
        <w:rFonts w:hint="default"/>
        <w:lang w:val="en-US" w:eastAsia="en-US" w:bidi="ar-SA"/>
      </w:rPr>
    </w:lvl>
    <w:lvl w:ilvl="5" w:tplc="8E389CBA">
      <w:numFmt w:val="bullet"/>
      <w:lvlText w:val="•"/>
      <w:lvlJc w:val="left"/>
      <w:pPr>
        <w:ind w:left="3608" w:hanging="370"/>
      </w:pPr>
      <w:rPr>
        <w:rFonts w:hint="default"/>
        <w:lang w:val="en-US" w:eastAsia="en-US" w:bidi="ar-SA"/>
      </w:rPr>
    </w:lvl>
    <w:lvl w:ilvl="6" w:tplc="F59AACD2">
      <w:numFmt w:val="bullet"/>
      <w:lvlText w:val="•"/>
      <w:lvlJc w:val="left"/>
      <w:pPr>
        <w:ind w:left="4270" w:hanging="370"/>
      </w:pPr>
      <w:rPr>
        <w:rFonts w:hint="default"/>
        <w:lang w:val="en-US" w:eastAsia="en-US" w:bidi="ar-SA"/>
      </w:rPr>
    </w:lvl>
    <w:lvl w:ilvl="7" w:tplc="74FEB56A">
      <w:numFmt w:val="bullet"/>
      <w:lvlText w:val="•"/>
      <w:lvlJc w:val="left"/>
      <w:pPr>
        <w:ind w:left="4932" w:hanging="370"/>
      </w:pPr>
      <w:rPr>
        <w:rFonts w:hint="default"/>
        <w:lang w:val="en-US" w:eastAsia="en-US" w:bidi="ar-SA"/>
      </w:rPr>
    </w:lvl>
    <w:lvl w:ilvl="8" w:tplc="44AA954E">
      <w:numFmt w:val="bullet"/>
      <w:lvlText w:val="•"/>
      <w:lvlJc w:val="left"/>
      <w:pPr>
        <w:ind w:left="5594" w:hanging="370"/>
      </w:pPr>
      <w:rPr>
        <w:rFonts w:hint="default"/>
        <w:lang w:val="en-US" w:eastAsia="en-US" w:bidi="ar-SA"/>
      </w:rPr>
    </w:lvl>
  </w:abstractNum>
  <w:abstractNum w:abstractNumId="54" w15:restartNumberingAfterBreak="0">
    <w:nsid w:val="214C1C1F"/>
    <w:multiLevelType w:val="hybridMultilevel"/>
    <w:tmpl w:val="0E841DFC"/>
    <w:lvl w:ilvl="0" w:tplc="C3C2653E">
      <w:numFmt w:val="bullet"/>
      <w:lvlText w:val=""/>
      <w:lvlJc w:val="left"/>
      <w:pPr>
        <w:ind w:left="303" w:hanging="269"/>
      </w:pPr>
      <w:rPr>
        <w:rFonts w:ascii="Symbol" w:eastAsia="Symbol" w:hAnsi="Symbol" w:cs="Symbol" w:hint="default"/>
        <w:b w:val="0"/>
        <w:bCs w:val="0"/>
        <w:i w:val="0"/>
        <w:iCs w:val="0"/>
        <w:spacing w:val="0"/>
        <w:w w:val="99"/>
        <w:sz w:val="22"/>
        <w:szCs w:val="22"/>
        <w:lang w:val="en-US" w:eastAsia="en-US" w:bidi="ar-SA"/>
      </w:rPr>
    </w:lvl>
    <w:lvl w:ilvl="1" w:tplc="694C048A">
      <w:numFmt w:val="bullet"/>
      <w:lvlText w:val="•"/>
      <w:lvlJc w:val="left"/>
      <w:pPr>
        <w:ind w:left="960" w:hanging="269"/>
      </w:pPr>
      <w:rPr>
        <w:rFonts w:hint="default"/>
        <w:lang w:val="en-US" w:eastAsia="en-US" w:bidi="ar-SA"/>
      </w:rPr>
    </w:lvl>
    <w:lvl w:ilvl="2" w:tplc="7CA07D48">
      <w:numFmt w:val="bullet"/>
      <w:lvlText w:val="•"/>
      <w:lvlJc w:val="left"/>
      <w:pPr>
        <w:ind w:left="1620" w:hanging="269"/>
      </w:pPr>
      <w:rPr>
        <w:rFonts w:hint="default"/>
        <w:lang w:val="en-US" w:eastAsia="en-US" w:bidi="ar-SA"/>
      </w:rPr>
    </w:lvl>
    <w:lvl w:ilvl="3" w:tplc="BCBC0B5E">
      <w:numFmt w:val="bullet"/>
      <w:lvlText w:val="•"/>
      <w:lvlJc w:val="left"/>
      <w:pPr>
        <w:ind w:left="2280" w:hanging="269"/>
      </w:pPr>
      <w:rPr>
        <w:rFonts w:hint="default"/>
        <w:lang w:val="en-US" w:eastAsia="en-US" w:bidi="ar-SA"/>
      </w:rPr>
    </w:lvl>
    <w:lvl w:ilvl="4" w:tplc="5F50D816">
      <w:numFmt w:val="bullet"/>
      <w:lvlText w:val="•"/>
      <w:lvlJc w:val="left"/>
      <w:pPr>
        <w:ind w:left="2940" w:hanging="269"/>
      </w:pPr>
      <w:rPr>
        <w:rFonts w:hint="default"/>
        <w:lang w:val="en-US" w:eastAsia="en-US" w:bidi="ar-SA"/>
      </w:rPr>
    </w:lvl>
    <w:lvl w:ilvl="5" w:tplc="5982320A">
      <w:numFmt w:val="bullet"/>
      <w:lvlText w:val="•"/>
      <w:lvlJc w:val="left"/>
      <w:pPr>
        <w:ind w:left="3600" w:hanging="269"/>
      </w:pPr>
      <w:rPr>
        <w:rFonts w:hint="default"/>
        <w:lang w:val="en-US" w:eastAsia="en-US" w:bidi="ar-SA"/>
      </w:rPr>
    </w:lvl>
    <w:lvl w:ilvl="6" w:tplc="09DA5DA6">
      <w:numFmt w:val="bullet"/>
      <w:lvlText w:val="•"/>
      <w:lvlJc w:val="left"/>
      <w:pPr>
        <w:ind w:left="4260" w:hanging="269"/>
      </w:pPr>
      <w:rPr>
        <w:rFonts w:hint="default"/>
        <w:lang w:val="en-US" w:eastAsia="en-US" w:bidi="ar-SA"/>
      </w:rPr>
    </w:lvl>
    <w:lvl w:ilvl="7" w:tplc="37C61296">
      <w:numFmt w:val="bullet"/>
      <w:lvlText w:val="•"/>
      <w:lvlJc w:val="left"/>
      <w:pPr>
        <w:ind w:left="4920" w:hanging="269"/>
      </w:pPr>
      <w:rPr>
        <w:rFonts w:hint="default"/>
        <w:lang w:val="en-US" w:eastAsia="en-US" w:bidi="ar-SA"/>
      </w:rPr>
    </w:lvl>
    <w:lvl w:ilvl="8" w:tplc="8B269526">
      <w:numFmt w:val="bullet"/>
      <w:lvlText w:val="•"/>
      <w:lvlJc w:val="left"/>
      <w:pPr>
        <w:ind w:left="5580" w:hanging="269"/>
      </w:pPr>
      <w:rPr>
        <w:rFonts w:hint="default"/>
        <w:lang w:val="en-US" w:eastAsia="en-US" w:bidi="ar-SA"/>
      </w:rPr>
    </w:lvl>
  </w:abstractNum>
  <w:abstractNum w:abstractNumId="55" w15:restartNumberingAfterBreak="0">
    <w:nsid w:val="217D5F1B"/>
    <w:multiLevelType w:val="hybridMultilevel"/>
    <w:tmpl w:val="CD4A3DBC"/>
    <w:lvl w:ilvl="0" w:tplc="C18C97E0">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E1E217C4">
      <w:numFmt w:val="bullet"/>
      <w:lvlText w:val="•"/>
      <w:lvlJc w:val="left"/>
      <w:pPr>
        <w:ind w:left="3026" w:hanging="360"/>
      </w:pPr>
      <w:rPr>
        <w:rFonts w:hint="default"/>
        <w:lang w:val="en-US" w:eastAsia="en-US" w:bidi="ar-SA"/>
      </w:rPr>
    </w:lvl>
    <w:lvl w:ilvl="2" w:tplc="0AF6FE44">
      <w:numFmt w:val="bullet"/>
      <w:lvlText w:val="•"/>
      <w:lvlJc w:val="left"/>
      <w:pPr>
        <w:ind w:left="3832" w:hanging="360"/>
      </w:pPr>
      <w:rPr>
        <w:rFonts w:hint="default"/>
        <w:lang w:val="en-US" w:eastAsia="en-US" w:bidi="ar-SA"/>
      </w:rPr>
    </w:lvl>
    <w:lvl w:ilvl="3" w:tplc="3CF63946">
      <w:numFmt w:val="bullet"/>
      <w:lvlText w:val="•"/>
      <w:lvlJc w:val="left"/>
      <w:pPr>
        <w:ind w:left="4638" w:hanging="360"/>
      </w:pPr>
      <w:rPr>
        <w:rFonts w:hint="default"/>
        <w:lang w:val="en-US" w:eastAsia="en-US" w:bidi="ar-SA"/>
      </w:rPr>
    </w:lvl>
    <w:lvl w:ilvl="4" w:tplc="7DCECFDE">
      <w:numFmt w:val="bullet"/>
      <w:lvlText w:val="•"/>
      <w:lvlJc w:val="left"/>
      <w:pPr>
        <w:ind w:left="5444" w:hanging="360"/>
      </w:pPr>
      <w:rPr>
        <w:rFonts w:hint="default"/>
        <w:lang w:val="en-US" w:eastAsia="en-US" w:bidi="ar-SA"/>
      </w:rPr>
    </w:lvl>
    <w:lvl w:ilvl="5" w:tplc="34BA4B44">
      <w:numFmt w:val="bullet"/>
      <w:lvlText w:val="•"/>
      <w:lvlJc w:val="left"/>
      <w:pPr>
        <w:ind w:left="6250" w:hanging="360"/>
      </w:pPr>
      <w:rPr>
        <w:rFonts w:hint="default"/>
        <w:lang w:val="en-US" w:eastAsia="en-US" w:bidi="ar-SA"/>
      </w:rPr>
    </w:lvl>
    <w:lvl w:ilvl="6" w:tplc="C30C459E">
      <w:numFmt w:val="bullet"/>
      <w:lvlText w:val="•"/>
      <w:lvlJc w:val="left"/>
      <w:pPr>
        <w:ind w:left="7056" w:hanging="360"/>
      </w:pPr>
      <w:rPr>
        <w:rFonts w:hint="default"/>
        <w:lang w:val="en-US" w:eastAsia="en-US" w:bidi="ar-SA"/>
      </w:rPr>
    </w:lvl>
    <w:lvl w:ilvl="7" w:tplc="4D0E6A10">
      <w:numFmt w:val="bullet"/>
      <w:lvlText w:val="•"/>
      <w:lvlJc w:val="left"/>
      <w:pPr>
        <w:ind w:left="7862" w:hanging="360"/>
      </w:pPr>
      <w:rPr>
        <w:rFonts w:hint="default"/>
        <w:lang w:val="en-US" w:eastAsia="en-US" w:bidi="ar-SA"/>
      </w:rPr>
    </w:lvl>
    <w:lvl w:ilvl="8" w:tplc="5CBCF75A">
      <w:numFmt w:val="bullet"/>
      <w:lvlText w:val="•"/>
      <w:lvlJc w:val="left"/>
      <w:pPr>
        <w:ind w:left="8668" w:hanging="360"/>
      </w:pPr>
      <w:rPr>
        <w:rFonts w:hint="default"/>
        <w:lang w:val="en-US" w:eastAsia="en-US" w:bidi="ar-SA"/>
      </w:rPr>
    </w:lvl>
  </w:abstractNum>
  <w:abstractNum w:abstractNumId="56" w15:restartNumberingAfterBreak="0">
    <w:nsid w:val="217F3006"/>
    <w:multiLevelType w:val="hybridMultilevel"/>
    <w:tmpl w:val="1AD2496E"/>
    <w:lvl w:ilvl="0" w:tplc="78FE0C82">
      <w:start w:val="3"/>
      <w:numFmt w:val="decimal"/>
      <w:lvlText w:val="%1."/>
      <w:lvlJc w:val="left"/>
      <w:pPr>
        <w:ind w:left="600" w:hanging="471"/>
      </w:pPr>
      <w:rPr>
        <w:rFonts w:ascii="Arial" w:eastAsia="Arial" w:hAnsi="Arial" w:cs="Arial" w:hint="default"/>
        <w:b w:val="0"/>
        <w:bCs w:val="0"/>
        <w:i w:val="0"/>
        <w:iCs w:val="0"/>
        <w:spacing w:val="0"/>
        <w:w w:val="99"/>
        <w:sz w:val="22"/>
        <w:szCs w:val="22"/>
        <w:lang w:val="en-US" w:eastAsia="en-US" w:bidi="ar-SA"/>
      </w:rPr>
    </w:lvl>
    <w:lvl w:ilvl="1" w:tplc="18E2DD80">
      <w:start w:val="1"/>
      <w:numFmt w:val="lowerLetter"/>
      <w:lvlText w:val="(%2)"/>
      <w:lvlJc w:val="left"/>
      <w:pPr>
        <w:ind w:left="1064" w:hanging="450"/>
      </w:pPr>
      <w:rPr>
        <w:rFonts w:ascii="Arial" w:eastAsia="Arial" w:hAnsi="Arial" w:cs="Arial" w:hint="default"/>
        <w:b w:val="0"/>
        <w:bCs w:val="0"/>
        <w:i w:val="0"/>
        <w:iCs w:val="0"/>
        <w:spacing w:val="0"/>
        <w:w w:val="99"/>
        <w:sz w:val="22"/>
        <w:szCs w:val="22"/>
        <w:lang w:val="en-US" w:eastAsia="en-US" w:bidi="ar-SA"/>
      </w:rPr>
    </w:lvl>
    <w:lvl w:ilvl="2" w:tplc="1EE213F8">
      <w:numFmt w:val="bullet"/>
      <w:lvlText w:val="•"/>
      <w:lvlJc w:val="left"/>
      <w:pPr>
        <w:ind w:left="1698" w:hanging="450"/>
      </w:pPr>
      <w:rPr>
        <w:rFonts w:hint="default"/>
        <w:lang w:val="en-US" w:eastAsia="en-US" w:bidi="ar-SA"/>
      </w:rPr>
    </w:lvl>
    <w:lvl w:ilvl="3" w:tplc="88826AB8">
      <w:numFmt w:val="bullet"/>
      <w:lvlText w:val="•"/>
      <w:lvlJc w:val="left"/>
      <w:pPr>
        <w:ind w:left="2337" w:hanging="450"/>
      </w:pPr>
      <w:rPr>
        <w:rFonts w:hint="default"/>
        <w:lang w:val="en-US" w:eastAsia="en-US" w:bidi="ar-SA"/>
      </w:rPr>
    </w:lvl>
    <w:lvl w:ilvl="4" w:tplc="B1708FE8">
      <w:numFmt w:val="bullet"/>
      <w:lvlText w:val="•"/>
      <w:lvlJc w:val="left"/>
      <w:pPr>
        <w:ind w:left="2976" w:hanging="450"/>
      </w:pPr>
      <w:rPr>
        <w:rFonts w:hint="default"/>
        <w:lang w:val="en-US" w:eastAsia="en-US" w:bidi="ar-SA"/>
      </w:rPr>
    </w:lvl>
    <w:lvl w:ilvl="5" w:tplc="56B4BD4E">
      <w:numFmt w:val="bullet"/>
      <w:lvlText w:val="•"/>
      <w:lvlJc w:val="left"/>
      <w:pPr>
        <w:ind w:left="3615" w:hanging="450"/>
      </w:pPr>
      <w:rPr>
        <w:rFonts w:hint="default"/>
        <w:lang w:val="en-US" w:eastAsia="en-US" w:bidi="ar-SA"/>
      </w:rPr>
    </w:lvl>
    <w:lvl w:ilvl="6" w:tplc="DFF2F2A8">
      <w:numFmt w:val="bullet"/>
      <w:lvlText w:val="•"/>
      <w:lvlJc w:val="left"/>
      <w:pPr>
        <w:ind w:left="4254" w:hanging="450"/>
      </w:pPr>
      <w:rPr>
        <w:rFonts w:hint="default"/>
        <w:lang w:val="en-US" w:eastAsia="en-US" w:bidi="ar-SA"/>
      </w:rPr>
    </w:lvl>
    <w:lvl w:ilvl="7" w:tplc="D04A2020">
      <w:numFmt w:val="bullet"/>
      <w:lvlText w:val="•"/>
      <w:lvlJc w:val="left"/>
      <w:pPr>
        <w:ind w:left="4893" w:hanging="450"/>
      </w:pPr>
      <w:rPr>
        <w:rFonts w:hint="default"/>
        <w:lang w:val="en-US" w:eastAsia="en-US" w:bidi="ar-SA"/>
      </w:rPr>
    </w:lvl>
    <w:lvl w:ilvl="8" w:tplc="E26CDBAC">
      <w:numFmt w:val="bullet"/>
      <w:lvlText w:val="•"/>
      <w:lvlJc w:val="left"/>
      <w:pPr>
        <w:ind w:left="5532" w:hanging="450"/>
      </w:pPr>
      <w:rPr>
        <w:rFonts w:hint="default"/>
        <w:lang w:val="en-US" w:eastAsia="en-US" w:bidi="ar-SA"/>
      </w:rPr>
    </w:lvl>
  </w:abstractNum>
  <w:abstractNum w:abstractNumId="57" w15:restartNumberingAfterBreak="0">
    <w:nsid w:val="21C37FF5"/>
    <w:multiLevelType w:val="hybridMultilevel"/>
    <w:tmpl w:val="61322462"/>
    <w:lvl w:ilvl="0" w:tplc="45C043AE">
      <w:start w:val="5"/>
      <w:numFmt w:val="lowerLetter"/>
      <w:lvlText w:val="%1."/>
      <w:lvlJc w:val="left"/>
      <w:pPr>
        <w:ind w:left="1304" w:hanging="390"/>
      </w:pPr>
      <w:rPr>
        <w:rFonts w:ascii="Arial" w:eastAsia="Arial" w:hAnsi="Arial" w:cs="Arial" w:hint="default"/>
        <w:b w:val="0"/>
        <w:bCs w:val="0"/>
        <w:i w:val="0"/>
        <w:iCs w:val="0"/>
        <w:spacing w:val="0"/>
        <w:w w:val="99"/>
        <w:sz w:val="22"/>
        <w:szCs w:val="22"/>
        <w:lang w:val="en-US" w:eastAsia="en-US" w:bidi="ar-SA"/>
      </w:rPr>
    </w:lvl>
    <w:lvl w:ilvl="1" w:tplc="F9C22280">
      <w:numFmt w:val="bullet"/>
      <w:lvlText w:val=""/>
      <w:lvlJc w:val="left"/>
      <w:pPr>
        <w:ind w:left="1694" w:hanging="360"/>
      </w:pPr>
      <w:rPr>
        <w:rFonts w:ascii="Symbol" w:eastAsia="Symbol" w:hAnsi="Symbol" w:cs="Symbol" w:hint="default"/>
        <w:b w:val="0"/>
        <w:bCs w:val="0"/>
        <w:i w:val="0"/>
        <w:iCs w:val="0"/>
        <w:spacing w:val="0"/>
        <w:w w:val="99"/>
        <w:sz w:val="22"/>
        <w:szCs w:val="22"/>
        <w:lang w:val="en-US" w:eastAsia="en-US" w:bidi="ar-SA"/>
      </w:rPr>
    </w:lvl>
    <w:lvl w:ilvl="2" w:tplc="FBC090E2">
      <w:numFmt w:val="bullet"/>
      <w:lvlText w:val="•"/>
      <w:lvlJc w:val="left"/>
      <w:pPr>
        <w:ind w:left="2327" w:hanging="360"/>
      </w:pPr>
      <w:rPr>
        <w:rFonts w:hint="default"/>
        <w:lang w:val="en-US" w:eastAsia="en-US" w:bidi="ar-SA"/>
      </w:rPr>
    </w:lvl>
    <w:lvl w:ilvl="3" w:tplc="AD40FA74">
      <w:numFmt w:val="bullet"/>
      <w:lvlText w:val="•"/>
      <w:lvlJc w:val="left"/>
      <w:pPr>
        <w:ind w:left="2955" w:hanging="360"/>
      </w:pPr>
      <w:rPr>
        <w:rFonts w:hint="default"/>
        <w:lang w:val="en-US" w:eastAsia="en-US" w:bidi="ar-SA"/>
      </w:rPr>
    </w:lvl>
    <w:lvl w:ilvl="4" w:tplc="C396F21A">
      <w:numFmt w:val="bullet"/>
      <w:lvlText w:val="•"/>
      <w:lvlJc w:val="left"/>
      <w:pPr>
        <w:ind w:left="3583" w:hanging="360"/>
      </w:pPr>
      <w:rPr>
        <w:rFonts w:hint="default"/>
        <w:lang w:val="en-US" w:eastAsia="en-US" w:bidi="ar-SA"/>
      </w:rPr>
    </w:lvl>
    <w:lvl w:ilvl="5" w:tplc="511648CE">
      <w:numFmt w:val="bullet"/>
      <w:lvlText w:val="•"/>
      <w:lvlJc w:val="left"/>
      <w:pPr>
        <w:ind w:left="4211" w:hanging="360"/>
      </w:pPr>
      <w:rPr>
        <w:rFonts w:hint="default"/>
        <w:lang w:val="en-US" w:eastAsia="en-US" w:bidi="ar-SA"/>
      </w:rPr>
    </w:lvl>
    <w:lvl w:ilvl="6" w:tplc="5590F4A4">
      <w:numFmt w:val="bullet"/>
      <w:lvlText w:val="•"/>
      <w:lvlJc w:val="left"/>
      <w:pPr>
        <w:ind w:left="4838" w:hanging="360"/>
      </w:pPr>
      <w:rPr>
        <w:rFonts w:hint="default"/>
        <w:lang w:val="en-US" w:eastAsia="en-US" w:bidi="ar-SA"/>
      </w:rPr>
    </w:lvl>
    <w:lvl w:ilvl="7" w:tplc="F42E11E6">
      <w:numFmt w:val="bullet"/>
      <w:lvlText w:val="•"/>
      <w:lvlJc w:val="left"/>
      <w:pPr>
        <w:ind w:left="5466" w:hanging="360"/>
      </w:pPr>
      <w:rPr>
        <w:rFonts w:hint="default"/>
        <w:lang w:val="en-US" w:eastAsia="en-US" w:bidi="ar-SA"/>
      </w:rPr>
    </w:lvl>
    <w:lvl w:ilvl="8" w:tplc="1E6EA1E8">
      <w:numFmt w:val="bullet"/>
      <w:lvlText w:val="•"/>
      <w:lvlJc w:val="left"/>
      <w:pPr>
        <w:ind w:left="6094" w:hanging="360"/>
      </w:pPr>
      <w:rPr>
        <w:rFonts w:hint="default"/>
        <w:lang w:val="en-US" w:eastAsia="en-US" w:bidi="ar-SA"/>
      </w:rPr>
    </w:lvl>
  </w:abstractNum>
  <w:abstractNum w:abstractNumId="58" w15:restartNumberingAfterBreak="0">
    <w:nsid w:val="2203100F"/>
    <w:multiLevelType w:val="hybridMultilevel"/>
    <w:tmpl w:val="7C3EC8C2"/>
    <w:lvl w:ilvl="0" w:tplc="4D72A74E">
      <w:start w:val="10"/>
      <w:numFmt w:val="lowerLetter"/>
      <w:lvlText w:val="%1."/>
      <w:lvlJc w:val="left"/>
      <w:pPr>
        <w:ind w:left="1303" w:hanging="390"/>
      </w:pPr>
      <w:rPr>
        <w:rFonts w:ascii="Arial" w:eastAsia="Arial" w:hAnsi="Arial" w:cs="Arial" w:hint="default"/>
        <w:b w:val="0"/>
        <w:bCs w:val="0"/>
        <w:i w:val="0"/>
        <w:iCs w:val="0"/>
        <w:spacing w:val="0"/>
        <w:w w:val="99"/>
        <w:sz w:val="22"/>
        <w:szCs w:val="22"/>
        <w:lang w:val="en-US" w:eastAsia="en-US" w:bidi="ar-SA"/>
      </w:rPr>
    </w:lvl>
    <w:lvl w:ilvl="1" w:tplc="D35879F6">
      <w:numFmt w:val="bullet"/>
      <w:lvlText w:val=""/>
      <w:lvlJc w:val="left"/>
      <w:pPr>
        <w:ind w:left="1693" w:hanging="360"/>
      </w:pPr>
      <w:rPr>
        <w:rFonts w:ascii="Symbol" w:eastAsia="Symbol" w:hAnsi="Symbol" w:cs="Symbol" w:hint="default"/>
        <w:b w:val="0"/>
        <w:bCs w:val="0"/>
        <w:i w:val="0"/>
        <w:iCs w:val="0"/>
        <w:spacing w:val="0"/>
        <w:w w:val="99"/>
        <w:sz w:val="22"/>
        <w:szCs w:val="22"/>
        <w:lang w:val="en-US" w:eastAsia="en-US" w:bidi="ar-SA"/>
      </w:rPr>
    </w:lvl>
    <w:lvl w:ilvl="2" w:tplc="45368ABA">
      <w:numFmt w:val="bullet"/>
      <w:lvlText w:val="•"/>
      <w:lvlJc w:val="left"/>
      <w:pPr>
        <w:ind w:left="2327" w:hanging="360"/>
      </w:pPr>
      <w:rPr>
        <w:rFonts w:hint="default"/>
        <w:lang w:val="en-US" w:eastAsia="en-US" w:bidi="ar-SA"/>
      </w:rPr>
    </w:lvl>
    <w:lvl w:ilvl="3" w:tplc="7B828AEA">
      <w:numFmt w:val="bullet"/>
      <w:lvlText w:val="•"/>
      <w:lvlJc w:val="left"/>
      <w:pPr>
        <w:ind w:left="2955" w:hanging="360"/>
      </w:pPr>
      <w:rPr>
        <w:rFonts w:hint="default"/>
        <w:lang w:val="en-US" w:eastAsia="en-US" w:bidi="ar-SA"/>
      </w:rPr>
    </w:lvl>
    <w:lvl w:ilvl="4" w:tplc="D94CDD12">
      <w:numFmt w:val="bullet"/>
      <w:lvlText w:val="•"/>
      <w:lvlJc w:val="left"/>
      <w:pPr>
        <w:ind w:left="3583" w:hanging="360"/>
      </w:pPr>
      <w:rPr>
        <w:rFonts w:hint="default"/>
        <w:lang w:val="en-US" w:eastAsia="en-US" w:bidi="ar-SA"/>
      </w:rPr>
    </w:lvl>
    <w:lvl w:ilvl="5" w:tplc="8EA827FE">
      <w:numFmt w:val="bullet"/>
      <w:lvlText w:val="•"/>
      <w:lvlJc w:val="left"/>
      <w:pPr>
        <w:ind w:left="4211" w:hanging="360"/>
      </w:pPr>
      <w:rPr>
        <w:rFonts w:hint="default"/>
        <w:lang w:val="en-US" w:eastAsia="en-US" w:bidi="ar-SA"/>
      </w:rPr>
    </w:lvl>
    <w:lvl w:ilvl="6" w:tplc="B3402996">
      <w:numFmt w:val="bullet"/>
      <w:lvlText w:val="•"/>
      <w:lvlJc w:val="left"/>
      <w:pPr>
        <w:ind w:left="4838" w:hanging="360"/>
      </w:pPr>
      <w:rPr>
        <w:rFonts w:hint="default"/>
        <w:lang w:val="en-US" w:eastAsia="en-US" w:bidi="ar-SA"/>
      </w:rPr>
    </w:lvl>
    <w:lvl w:ilvl="7" w:tplc="A7142264">
      <w:numFmt w:val="bullet"/>
      <w:lvlText w:val="•"/>
      <w:lvlJc w:val="left"/>
      <w:pPr>
        <w:ind w:left="5466" w:hanging="360"/>
      </w:pPr>
      <w:rPr>
        <w:rFonts w:hint="default"/>
        <w:lang w:val="en-US" w:eastAsia="en-US" w:bidi="ar-SA"/>
      </w:rPr>
    </w:lvl>
    <w:lvl w:ilvl="8" w:tplc="9DB22C0E">
      <w:numFmt w:val="bullet"/>
      <w:lvlText w:val="•"/>
      <w:lvlJc w:val="left"/>
      <w:pPr>
        <w:ind w:left="6094" w:hanging="360"/>
      </w:pPr>
      <w:rPr>
        <w:rFonts w:hint="default"/>
        <w:lang w:val="en-US" w:eastAsia="en-US" w:bidi="ar-SA"/>
      </w:rPr>
    </w:lvl>
  </w:abstractNum>
  <w:abstractNum w:abstractNumId="59" w15:restartNumberingAfterBreak="0">
    <w:nsid w:val="221423E1"/>
    <w:multiLevelType w:val="hybridMultilevel"/>
    <w:tmpl w:val="57082A7A"/>
    <w:lvl w:ilvl="0" w:tplc="FA4009AE">
      <w:numFmt w:val="bullet"/>
      <w:lvlText w:val=""/>
      <w:lvlJc w:val="left"/>
      <w:pPr>
        <w:ind w:left="583" w:hanging="180"/>
      </w:pPr>
      <w:rPr>
        <w:rFonts w:ascii="Symbol" w:eastAsia="Symbol" w:hAnsi="Symbol" w:cs="Symbol" w:hint="default"/>
        <w:b w:val="0"/>
        <w:bCs w:val="0"/>
        <w:i w:val="0"/>
        <w:iCs w:val="0"/>
        <w:spacing w:val="0"/>
        <w:w w:val="100"/>
        <w:sz w:val="18"/>
        <w:szCs w:val="18"/>
        <w:lang w:val="en-US" w:eastAsia="en-US" w:bidi="ar-SA"/>
      </w:rPr>
    </w:lvl>
    <w:lvl w:ilvl="1" w:tplc="AD46C5BA">
      <w:numFmt w:val="bullet"/>
      <w:lvlText w:val="•"/>
      <w:lvlJc w:val="left"/>
      <w:pPr>
        <w:ind w:left="1129" w:hanging="180"/>
      </w:pPr>
      <w:rPr>
        <w:rFonts w:hint="default"/>
        <w:lang w:val="en-US" w:eastAsia="en-US" w:bidi="ar-SA"/>
      </w:rPr>
    </w:lvl>
    <w:lvl w:ilvl="2" w:tplc="299A6AF2">
      <w:numFmt w:val="bullet"/>
      <w:lvlText w:val="•"/>
      <w:lvlJc w:val="left"/>
      <w:pPr>
        <w:ind w:left="1678" w:hanging="180"/>
      </w:pPr>
      <w:rPr>
        <w:rFonts w:hint="default"/>
        <w:lang w:val="en-US" w:eastAsia="en-US" w:bidi="ar-SA"/>
      </w:rPr>
    </w:lvl>
    <w:lvl w:ilvl="3" w:tplc="26F84666">
      <w:numFmt w:val="bullet"/>
      <w:lvlText w:val="•"/>
      <w:lvlJc w:val="left"/>
      <w:pPr>
        <w:ind w:left="2227" w:hanging="180"/>
      </w:pPr>
      <w:rPr>
        <w:rFonts w:hint="default"/>
        <w:lang w:val="en-US" w:eastAsia="en-US" w:bidi="ar-SA"/>
      </w:rPr>
    </w:lvl>
    <w:lvl w:ilvl="4" w:tplc="170EB698">
      <w:numFmt w:val="bullet"/>
      <w:lvlText w:val="•"/>
      <w:lvlJc w:val="left"/>
      <w:pPr>
        <w:ind w:left="2776" w:hanging="180"/>
      </w:pPr>
      <w:rPr>
        <w:rFonts w:hint="default"/>
        <w:lang w:val="en-US" w:eastAsia="en-US" w:bidi="ar-SA"/>
      </w:rPr>
    </w:lvl>
    <w:lvl w:ilvl="5" w:tplc="93D28086">
      <w:numFmt w:val="bullet"/>
      <w:lvlText w:val="•"/>
      <w:lvlJc w:val="left"/>
      <w:pPr>
        <w:ind w:left="3325" w:hanging="180"/>
      </w:pPr>
      <w:rPr>
        <w:rFonts w:hint="default"/>
        <w:lang w:val="en-US" w:eastAsia="en-US" w:bidi="ar-SA"/>
      </w:rPr>
    </w:lvl>
    <w:lvl w:ilvl="6" w:tplc="13BEBE3A">
      <w:numFmt w:val="bullet"/>
      <w:lvlText w:val="•"/>
      <w:lvlJc w:val="left"/>
      <w:pPr>
        <w:ind w:left="3874" w:hanging="180"/>
      </w:pPr>
      <w:rPr>
        <w:rFonts w:hint="default"/>
        <w:lang w:val="en-US" w:eastAsia="en-US" w:bidi="ar-SA"/>
      </w:rPr>
    </w:lvl>
    <w:lvl w:ilvl="7" w:tplc="317CB826">
      <w:numFmt w:val="bullet"/>
      <w:lvlText w:val="•"/>
      <w:lvlJc w:val="left"/>
      <w:pPr>
        <w:ind w:left="4423" w:hanging="180"/>
      </w:pPr>
      <w:rPr>
        <w:rFonts w:hint="default"/>
        <w:lang w:val="en-US" w:eastAsia="en-US" w:bidi="ar-SA"/>
      </w:rPr>
    </w:lvl>
    <w:lvl w:ilvl="8" w:tplc="FC804C80">
      <w:numFmt w:val="bullet"/>
      <w:lvlText w:val="•"/>
      <w:lvlJc w:val="left"/>
      <w:pPr>
        <w:ind w:left="4972" w:hanging="180"/>
      </w:pPr>
      <w:rPr>
        <w:rFonts w:hint="default"/>
        <w:lang w:val="en-US" w:eastAsia="en-US" w:bidi="ar-SA"/>
      </w:rPr>
    </w:lvl>
  </w:abstractNum>
  <w:abstractNum w:abstractNumId="60" w15:restartNumberingAfterBreak="0">
    <w:nsid w:val="224C7EAE"/>
    <w:multiLevelType w:val="hybridMultilevel"/>
    <w:tmpl w:val="74A20868"/>
    <w:lvl w:ilvl="0" w:tplc="F9C6E998">
      <w:start w:val="3"/>
      <w:numFmt w:val="lowerLetter"/>
      <w:lvlText w:val="%1."/>
      <w:lvlJc w:val="left"/>
      <w:pPr>
        <w:ind w:left="1304" w:hanging="390"/>
      </w:pPr>
      <w:rPr>
        <w:rFonts w:ascii="Arial" w:eastAsia="Arial" w:hAnsi="Arial" w:cs="Arial" w:hint="default"/>
        <w:b w:val="0"/>
        <w:bCs w:val="0"/>
        <w:i w:val="0"/>
        <w:iCs w:val="0"/>
        <w:spacing w:val="0"/>
        <w:w w:val="99"/>
        <w:sz w:val="22"/>
        <w:szCs w:val="22"/>
        <w:lang w:val="en-US" w:eastAsia="en-US" w:bidi="ar-SA"/>
      </w:rPr>
    </w:lvl>
    <w:lvl w:ilvl="1" w:tplc="23B8956E">
      <w:numFmt w:val="bullet"/>
      <w:lvlText w:val=""/>
      <w:lvlJc w:val="left"/>
      <w:pPr>
        <w:ind w:left="1694" w:hanging="360"/>
      </w:pPr>
      <w:rPr>
        <w:rFonts w:ascii="Symbol" w:eastAsia="Symbol" w:hAnsi="Symbol" w:cs="Symbol" w:hint="default"/>
        <w:b w:val="0"/>
        <w:bCs w:val="0"/>
        <w:i w:val="0"/>
        <w:iCs w:val="0"/>
        <w:spacing w:val="0"/>
        <w:w w:val="99"/>
        <w:sz w:val="22"/>
        <w:szCs w:val="22"/>
        <w:lang w:val="en-US" w:eastAsia="en-US" w:bidi="ar-SA"/>
      </w:rPr>
    </w:lvl>
    <w:lvl w:ilvl="2" w:tplc="309C1B96">
      <w:numFmt w:val="bullet"/>
      <w:lvlText w:val="•"/>
      <w:lvlJc w:val="left"/>
      <w:pPr>
        <w:ind w:left="2327" w:hanging="360"/>
      </w:pPr>
      <w:rPr>
        <w:rFonts w:hint="default"/>
        <w:lang w:val="en-US" w:eastAsia="en-US" w:bidi="ar-SA"/>
      </w:rPr>
    </w:lvl>
    <w:lvl w:ilvl="3" w:tplc="C89A388C">
      <w:numFmt w:val="bullet"/>
      <w:lvlText w:val="•"/>
      <w:lvlJc w:val="left"/>
      <w:pPr>
        <w:ind w:left="2955" w:hanging="360"/>
      </w:pPr>
      <w:rPr>
        <w:rFonts w:hint="default"/>
        <w:lang w:val="en-US" w:eastAsia="en-US" w:bidi="ar-SA"/>
      </w:rPr>
    </w:lvl>
    <w:lvl w:ilvl="4" w:tplc="9A44D2EA">
      <w:numFmt w:val="bullet"/>
      <w:lvlText w:val="•"/>
      <w:lvlJc w:val="left"/>
      <w:pPr>
        <w:ind w:left="3583" w:hanging="360"/>
      </w:pPr>
      <w:rPr>
        <w:rFonts w:hint="default"/>
        <w:lang w:val="en-US" w:eastAsia="en-US" w:bidi="ar-SA"/>
      </w:rPr>
    </w:lvl>
    <w:lvl w:ilvl="5" w:tplc="EA30F3C8">
      <w:numFmt w:val="bullet"/>
      <w:lvlText w:val="•"/>
      <w:lvlJc w:val="left"/>
      <w:pPr>
        <w:ind w:left="4211" w:hanging="360"/>
      </w:pPr>
      <w:rPr>
        <w:rFonts w:hint="default"/>
        <w:lang w:val="en-US" w:eastAsia="en-US" w:bidi="ar-SA"/>
      </w:rPr>
    </w:lvl>
    <w:lvl w:ilvl="6" w:tplc="021AE656">
      <w:numFmt w:val="bullet"/>
      <w:lvlText w:val="•"/>
      <w:lvlJc w:val="left"/>
      <w:pPr>
        <w:ind w:left="4838" w:hanging="360"/>
      </w:pPr>
      <w:rPr>
        <w:rFonts w:hint="default"/>
        <w:lang w:val="en-US" w:eastAsia="en-US" w:bidi="ar-SA"/>
      </w:rPr>
    </w:lvl>
    <w:lvl w:ilvl="7" w:tplc="03D4418E">
      <w:numFmt w:val="bullet"/>
      <w:lvlText w:val="•"/>
      <w:lvlJc w:val="left"/>
      <w:pPr>
        <w:ind w:left="5466" w:hanging="360"/>
      </w:pPr>
      <w:rPr>
        <w:rFonts w:hint="default"/>
        <w:lang w:val="en-US" w:eastAsia="en-US" w:bidi="ar-SA"/>
      </w:rPr>
    </w:lvl>
    <w:lvl w:ilvl="8" w:tplc="719E49C6">
      <w:numFmt w:val="bullet"/>
      <w:lvlText w:val="•"/>
      <w:lvlJc w:val="left"/>
      <w:pPr>
        <w:ind w:left="6094" w:hanging="360"/>
      </w:pPr>
      <w:rPr>
        <w:rFonts w:hint="default"/>
        <w:lang w:val="en-US" w:eastAsia="en-US" w:bidi="ar-SA"/>
      </w:rPr>
    </w:lvl>
  </w:abstractNum>
  <w:abstractNum w:abstractNumId="61" w15:restartNumberingAfterBreak="0">
    <w:nsid w:val="24340F6D"/>
    <w:multiLevelType w:val="hybridMultilevel"/>
    <w:tmpl w:val="EB303FD6"/>
    <w:lvl w:ilvl="0" w:tplc="7A6012EE">
      <w:numFmt w:val="bullet"/>
      <w:lvlText w:val=""/>
      <w:lvlJc w:val="left"/>
      <w:pPr>
        <w:ind w:left="2219" w:hanging="360"/>
      </w:pPr>
      <w:rPr>
        <w:rFonts w:ascii="Symbol" w:eastAsia="Symbol" w:hAnsi="Symbol" w:cs="Symbol" w:hint="default"/>
        <w:b w:val="0"/>
        <w:bCs w:val="0"/>
        <w:i w:val="0"/>
        <w:iCs w:val="0"/>
        <w:spacing w:val="0"/>
        <w:w w:val="99"/>
        <w:sz w:val="22"/>
        <w:szCs w:val="22"/>
        <w:lang w:val="en-US" w:eastAsia="en-US" w:bidi="ar-SA"/>
      </w:rPr>
    </w:lvl>
    <w:lvl w:ilvl="1" w:tplc="70D41334">
      <w:numFmt w:val="bullet"/>
      <w:lvlText w:val="•"/>
      <w:lvlJc w:val="left"/>
      <w:pPr>
        <w:ind w:left="3026" w:hanging="360"/>
      </w:pPr>
      <w:rPr>
        <w:rFonts w:hint="default"/>
        <w:lang w:val="en-US" w:eastAsia="en-US" w:bidi="ar-SA"/>
      </w:rPr>
    </w:lvl>
    <w:lvl w:ilvl="2" w:tplc="234EAE28">
      <w:numFmt w:val="bullet"/>
      <w:lvlText w:val="•"/>
      <w:lvlJc w:val="left"/>
      <w:pPr>
        <w:ind w:left="3832" w:hanging="360"/>
      </w:pPr>
      <w:rPr>
        <w:rFonts w:hint="default"/>
        <w:lang w:val="en-US" w:eastAsia="en-US" w:bidi="ar-SA"/>
      </w:rPr>
    </w:lvl>
    <w:lvl w:ilvl="3" w:tplc="B5D428C4">
      <w:numFmt w:val="bullet"/>
      <w:lvlText w:val="•"/>
      <w:lvlJc w:val="left"/>
      <w:pPr>
        <w:ind w:left="4638" w:hanging="360"/>
      </w:pPr>
      <w:rPr>
        <w:rFonts w:hint="default"/>
        <w:lang w:val="en-US" w:eastAsia="en-US" w:bidi="ar-SA"/>
      </w:rPr>
    </w:lvl>
    <w:lvl w:ilvl="4" w:tplc="5410604A">
      <w:numFmt w:val="bullet"/>
      <w:lvlText w:val="•"/>
      <w:lvlJc w:val="left"/>
      <w:pPr>
        <w:ind w:left="5444" w:hanging="360"/>
      </w:pPr>
      <w:rPr>
        <w:rFonts w:hint="default"/>
        <w:lang w:val="en-US" w:eastAsia="en-US" w:bidi="ar-SA"/>
      </w:rPr>
    </w:lvl>
    <w:lvl w:ilvl="5" w:tplc="5FE2DB96">
      <w:numFmt w:val="bullet"/>
      <w:lvlText w:val="•"/>
      <w:lvlJc w:val="left"/>
      <w:pPr>
        <w:ind w:left="6250" w:hanging="360"/>
      </w:pPr>
      <w:rPr>
        <w:rFonts w:hint="default"/>
        <w:lang w:val="en-US" w:eastAsia="en-US" w:bidi="ar-SA"/>
      </w:rPr>
    </w:lvl>
    <w:lvl w:ilvl="6" w:tplc="89A029D0">
      <w:numFmt w:val="bullet"/>
      <w:lvlText w:val="•"/>
      <w:lvlJc w:val="left"/>
      <w:pPr>
        <w:ind w:left="7056" w:hanging="360"/>
      </w:pPr>
      <w:rPr>
        <w:rFonts w:hint="default"/>
        <w:lang w:val="en-US" w:eastAsia="en-US" w:bidi="ar-SA"/>
      </w:rPr>
    </w:lvl>
    <w:lvl w:ilvl="7" w:tplc="653C44D6">
      <w:numFmt w:val="bullet"/>
      <w:lvlText w:val="•"/>
      <w:lvlJc w:val="left"/>
      <w:pPr>
        <w:ind w:left="7862" w:hanging="360"/>
      </w:pPr>
      <w:rPr>
        <w:rFonts w:hint="default"/>
        <w:lang w:val="en-US" w:eastAsia="en-US" w:bidi="ar-SA"/>
      </w:rPr>
    </w:lvl>
    <w:lvl w:ilvl="8" w:tplc="5C801AB6">
      <w:numFmt w:val="bullet"/>
      <w:lvlText w:val="•"/>
      <w:lvlJc w:val="left"/>
      <w:pPr>
        <w:ind w:left="8668" w:hanging="360"/>
      </w:pPr>
      <w:rPr>
        <w:rFonts w:hint="default"/>
        <w:lang w:val="en-US" w:eastAsia="en-US" w:bidi="ar-SA"/>
      </w:rPr>
    </w:lvl>
  </w:abstractNum>
  <w:abstractNum w:abstractNumId="62" w15:restartNumberingAfterBreak="0">
    <w:nsid w:val="245F7F59"/>
    <w:multiLevelType w:val="hybridMultilevel"/>
    <w:tmpl w:val="8EF0F502"/>
    <w:lvl w:ilvl="0" w:tplc="D49E5F44">
      <w:start w:val="1"/>
      <w:numFmt w:val="decimalZero"/>
      <w:lvlText w:val=".%1"/>
      <w:lvlJc w:val="left"/>
      <w:pPr>
        <w:ind w:left="1859" w:hanging="720"/>
        <w:jc w:val="right"/>
      </w:pPr>
      <w:rPr>
        <w:rFonts w:ascii="Arial" w:eastAsia="Arial" w:hAnsi="Arial" w:cs="Arial" w:hint="default"/>
        <w:b w:val="0"/>
        <w:bCs w:val="0"/>
        <w:i w:val="0"/>
        <w:iCs w:val="0"/>
        <w:spacing w:val="0"/>
        <w:w w:val="99"/>
        <w:sz w:val="22"/>
        <w:szCs w:val="22"/>
        <w:lang w:val="en-US" w:eastAsia="en-US" w:bidi="ar-SA"/>
      </w:rPr>
    </w:lvl>
    <w:lvl w:ilvl="1" w:tplc="38906250">
      <w:start w:val="1"/>
      <w:numFmt w:val="lowerLetter"/>
      <w:lvlText w:val="%2."/>
      <w:lvlJc w:val="left"/>
      <w:pPr>
        <w:ind w:left="2219" w:hanging="360"/>
      </w:pPr>
      <w:rPr>
        <w:rFonts w:ascii="Arial" w:eastAsia="Arial" w:hAnsi="Arial" w:cs="Arial" w:hint="default"/>
        <w:b w:val="0"/>
        <w:bCs w:val="0"/>
        <w:i w:val="0"/>
        <w:iCs w:val="0"/>
        <w:spacing w:val="0"/>
        <w:w w:val="99"/>
        <w:sz w:val="22"/>
        <w:szCs w:val="22"/>
        <w:lang w:val="en-US" w:eastAsia="en-US" w:bidi="ar-SA"/>
      </w:rPr>
    </w:lvl>
    <w:lvl w:ilvl="2" w:tplc="F6B627E4">
      <w:numFmt w:val="bullet"/>
      <w:lvlText w:val=""/>
      <w:lvlJc w:val="left"/>
      <w:pPr>
        <w:ind w:left="2579" w:hanging="360"/>
      </w:pPr>
      <w:rPr>
        <w:rFonts w:ascii="Symbol" w:eastAsia="Symbol" w:hAnsi="Symbol" w:cs="Symbol" w:hint="default"/>
        <w:b w:val="0"/>
        <w:bCs w:val="0"/>
        <w:i w:val="0"/>
        <w:iCs w:val="0"/>
        <w:spacing w:val="0"/>
        <w:w w:val="99"/>
        <w:sz w:val="22"/>
        <w:szCs w:val="22"/>
        <w:lang w:val="en-US" w:eastAsia="en-US" w:bidi="ar-SA"/>
      </w:rPr>
    </w:lvl>
    <w:lvl w:ilvl="3" w:tplc="D0C6CF8A">
      <w:numFmt w:val="bullet"/>
      <w:lvlText w:val="•"/>
      <w:lvlJc w:val="left"/>
      <w:pPr>
        <w:ind w:left="3542" w:hanging="360"/>
      </w:pPr>
      <w:rPr>
        <w:rFonts w:hint="default"/>
        <w:lang w:val="en-US" w:eastAsia="en-US" w:bidi="ar-SA"/>
      </w:rPr>
    </w:lvl>
    <w:lvl w:ilvl="4" w:tplc="8D44D142">
      <w:numFmt w:val="bullet"/>
      <w:lvlText w:val="•"/>
      <w:lvlJc w:val="left"/>
      <w:pPr>
        <w:ind w:left="4505" w:hanging="360"/>
      </w:pPr>
      <w:rPr>
        <w:rFonts w:hint="default"/>
        <w:lang w:val="en-US" w:eastAsia="en-US" w:bidi="ar-SA"/>
      </w:rPr>
    </w:lvl>
    <w:lvl w:ilvl="5" w:tplc="737CB86A">
      <w:numFmt w:val="bullet"/>
      <w:lvlText w:val="•"/>
      <w:lvlJc w:val="left"/>
      <w:pPr>
        <w:ind w:left="5467" w:hanging="360"/>
      </w:pPr>
      <w:rPr>
        <w:rFonts w:hint="default"/>
        <w:lang w:val="en-US" w:eastAsia="en-US" w:bidi="ar-SA"/>
      </w:rPr>
    </w:lvl>
    <w:lvl w:ilvl="6" w:tplc="312010D0">
      <w:numFmt w:val="bullet"/>
      <w:lvlText w:val="•"/>
      <w:lvlJc w:val="left"/>
      <w:pPr>
        <w:ind w:left="6430" w:hanging="360"/>
      </w:pPr>
      <w:rPr>
        <w:rFonts w:hint="default"/>
        <w:lang w:val="en-US" w:eastAsia="en-US" w:bidi="ar-SA"/>
      </w:rPr>
    </w:lvl>
    <w:lvl w:ilvl="7" w:tplc="6038B3AE">
      <w:numFmt w:val="bullet"/>
      <w:lvlText w:val="•"/>
      <w:lvlJc w:val="left"/>
      <w:pPr>
        <w:ind w:left="7392" w:hanging="360"/>
      </w:pPr>
      <w:rPr>
        <w:rFonts w:hint="default"/>
        <w:lang w:val="en-US" w:eastAsia="en-US" w:bidi="ar-SA"/>
      </w:rPr>
    </w:lvl>
    <w:lvl w:ilvl="8" w:tplc="CC86CAA8">
      <w:numFmt w:val="bullet"/>
      <w:lvlText w:val="•"/>
      <w:lvlJc w:val="left"/>
      <w:pPr>
        <w:ind w:left="8355" w:hanging="360"/>
      </w:pPr>
      <w:rPr>
        <w:rFonts w:hint="default"/>
        <w:lang w:val="en-US" w:eastAsia="en-US" w:bidi="ar-SA"/>
      </w:rPr>
    </w:lvl>
  </w:abstractNum>
  <w:abstractNum w:abstractNumId="63" w15:restartNumberingAfterBreak="0">
    <w:nsid w:val="2555569F"/>
    <w:multiLevelType w:val="hybridMultilevel"/>
    <w:tmpl w:val="9EC686D6"/>
    <w:lvl w:ilvl="0" w:tplc="3C12F846">
      <w:start w:val="7"/>
      <w:numFmt w:val="decimal"/>
      <w:lvlText w:val="%1)"/>
      <w:lvlJc w:val="left"/>
      <w:pPr>
        <w:ind w:left="705" w:hanging="577"/>
      </w:pPr>
      <w:rPr>
        <w:rFonts w:ascii="Arial" w:eastAsia="Arial" w:hAnsi="Arial" w:cs="Arial" w:hint="default"/>
        <w:b w:val="0"/>
        <w:bCs w:val="0"/>
        <w:i w:val="0"/>
        <w:iCs w:val="0"/>
        <w:spacing w:val="0"/>
        <w:w w:val="99"/>
        <w:sz w:val="22"/>
        <w:szCs w:val="22"/>
        <w:lang w:val="en-US" w:eastAsia="en-US" w:bidi="ar-SA"/>
      </w:rPr>
    </w:lvl>
    <w:lvl w:ilvl="1" w:tplc="3496EF5A">
      <w:numFmt w:val="bullet"/>
      <w:lvlText w:val=""/>
      <w:lvlJc w:val="left"/>
      <w:pPr>
        <w:ind w:left="1064" w:hanging="360"/>
      </w:pPr>
      <w:rPr>
        <w:rFonts w:ascii="Symbol" w:eastAsia="Symbol" w:hAnsi="Symbol" w:cs="Symbol" w:hint="default"/>
        <w:b w:val="0"/>
        <w:bCs w:val="0"/>
        <w:i w:val="0"/>
        <w:iCs w:val="0"/>
        <w:spacing w:val="0"/>
        <w:w w:val="99"/>
        <w:sz w:val="22"/>
        <w:szCs w:val="22"/>
        <w:lang w:val="en-US" w:eastAsia="en-US" w:bidi="ar-SA"/>
      </w:rPr>
    </w:lvl>
    <w:lvl w:ilvl="2" w:tplc="DB22419C">
      <w:numFmt w:val="bullet"/>
      <w:lvlText w:val="•"/>
      <w:lvlJc w:val="left"/>
      <w:pPr>
        <w:ind w:left="1725" w:hanging="360"/>
      </w:pPr>
      <w:rPr>
        <w:rFonts w:hint="default"/>
        <w:lang w:val="en-US" w:eastAsia="en-US" w:bidi="ar-SA"/>
      </w:rPr>
    </w:lvl>
    <w:lvl w:ilvl="3" w:tplc="556A275C">
      <w:numFmt w:val="bullet"/>
      <w:lvlText w:val="•"/>
      <w:lvlJc w:val="left"/>
      <w:pPr>
        <w:ind w:left="2391" w:hanging="360"/>
      </w:pPr>
      <w:rPr>
        <w:rFonts w:hint="default"/>
        <w:lang w:val="en-US" w:eastAsia="en-US" w:bidi="ar-SA"/>
      </w:rPr>
    </w:lvl>
    <w:lvl w:ilvl="4" w:tplc="733C2E92">
      <w:numFmt w:val="bullet"/>
      <w:lvlText w:val="•"/>
      <w:lvlJc w:val="left"/>
      <w:pPr>
        <w:ind w:left="3056" w:hanging="360"/>
      </w:pPr>
      <w:rPr>
        <w:rFonts w:hint="default"/>
        <w:lang w:val="en-US" w:eastAsia="en-US" w:bidi="ar-SA"/>
      </w:rPr>
    </w:lvl>
    <w:lvl w:ilvl="5" w:tplc="0F463B06">
      <w:numFmt w:val="bullet"/>
      <w:lvlText w:val="•"/>
      <w:lvlJc w:val="left"/>
      <w:pPr>
        <w:ind w:left="3722" w:hanging="360"/>
      </w:pPr>
      <w:rPr>
        <w:rFonts w:hint="default"/>
        <w:lang w:val="en-US" w:eastAsia="en-US" w:bidi="ar-SA"/>
      </w:rPr>
    </w:lvl>
    <w:lvl w:ilvl="6" w:tplc="B96CE076">
      <w:numFmt w:val="bullet"/>
      <w:lvlText w:val="•"/>
      <w:lvlJc w:val="left"/>
      <w:pPr>
        <w:ind w:left="4387" w:hanging="360"/>
      </w:pPr>
      <w:rPr>
        <w:rFonts w:hint="default"/>
        <w:lang w:val="en-US" w:eastAsia="en-US" w:bidi="ar-SA"/>
      </w:rPr>
    </w:lvl>
    <w:lvl w:ilvl="7" w:tplc="960EFD7E">
      <w:numFmt w:val="bullet"/>
      <w:lvlText w:val="•"/>
      <w:lvlJc w:val="left"/>
      <w:pPr>
        <w:ind w:left="5053" w:hanging="360"/>
      </w:pPr>
      <w:rPr>
        <w:rFonts w:hint="default"/>
        <w:lang w:val="en-US" w:eastAsia="en-US" w:bidi="ar-SA"/>
      </w:rPr>
    </w:lvl>
    <w:lvl w:ilvl="8" w:tplc="943EB54A">
      <w:numFmt w:val="bullet"/>
      <w:lvlText w:val="•"/>
      <w:lvlJc w:val="left"/>
      <w:pPr>
        <w:ind w:left="5718" w:hanging="360"/>
      </w:pPr>
      <w:rPr>
        <w:rFonts w:hint="default"/>
        <w:lang w:val="en-US" w:eastAsia="en-US" w:bidi="ar-SA"/>
      </w:rPr>
    </w:lvl>
  </w:abstractNum>
  <w:abstractNum w:abstractNumId="64" w15:restartNumberingAfterBreak="0">
    <w:nsid w:val="2579481F"/>
    <w:multiLevelType w:val="hybridMultilevel"/>
    <w:tmpl w:val="1C2657D0"/>
    <w:lvl w:ilvl="0" w:tplc="373C7750">
      <w:start w:val="18"/>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AD38A8AA">
      <w:numFmt w:val="bullet"/>
      <w:lvlText w:val=""/>
      <w:lvlJc w:val="left"/>
      <w:pPr>
        <w:ind w:left="1514" w:hanging="270"/>
      </w:pPr>
      <w:rPr>
        <w:rFonts w:ascii="Symbol" w:eastAsia="Symbol" w:hAnsi="Symbol" w:cs="Symbol" w:hint="default"/>
        <w:spacing w:val="0"/>
        <w:w w:val="99"/>
        <w:lang w:val="en-US" w:eastAsia="en-US" w:bidi="ar-SA"/>
      </w:rPr>
    </w:lvl>
    <w:lvl w:ilvl="2" w:tplc="1A3E12D0">
      <w:numFmt w:val="bullet"/>
      <w:lvlText w:val="•"/>
      <w:lvlJc w:val="left"/>
      <w:pPr>
        <w:ind w:left="2167" w:hanging="270"/>
      </w:pPr>
      <w:rPr>
        <w:rFonts w:hint="default"/>
        <w:lang w:val="en-US" w:eastAsia="en-US" w:bidi="ar-SA"/>
      </w:rPr>
    </w:lvl>
    <w:lvl w:ilvl="3" w:tplc="1638D62E">
      <w:numFmt w:val="bullet"/>
      <w:lvlText w:val="•"/>
      <w:lvlJc w:val="left"/>
      <w:pPr>
        <w:ind w:left="2815" w:hanging="270"/>
      </w:pPr>
      <w:rPr>
        <w:rFonts w:hint="default"/>
        <w:lang w:val="en-US" w:eastAsia="en-US" w:bidi="ar-SA"/>
      </w:rPr>
    </w:lvl>
    <w:lvl w:ilvl="4" w:tplc="53C0720A">
      <w:numFmt w:val="bullet"/>
      <w:lvlText w:val="•"/>
      <w:lvlJc w:val="left"/>
      <w:pPr>
        <w:ind w:left="3463" w:hanging="270"/>
      </w:pPr>
      <w:rPr>
        <w:rFonts w:hint="default"/>
        <w:lang w:val="en-US" w:eastAsia="en-US" w:bidi="ar-SA"/>
      </w:rPr>
    </w:lvl>
    <w:lvl w:ilvl="5" w:tplc="7B62FD3A">
      <w:numFmt w:val="bullet"/>
      <w:lvlText w:val="•"/>
      <w:lvlJc w:val="left"/>
      <w:pPr>
        <w:ind w:left="4111" w:hanging="270"/>
      </w:pPr>
      <w:rPr>
        <w:rFonts w:hint="default"/>
        <w:lang w:val="en-US" w:eastAsia="en-US" w:bidi="ar-SA"/>
      </w:rPr>
    </w:lvl>
    <w:lvl w:ilvl="6" w:tplc="554E0304">
      <w:numFmt w:val="bullet"/>
      <w:lvlText w:val="•"/>
      <w:lvlJc w:val="left"/>
      <w:pPr>
        <w:ind w:left="4758" w:hanging="270"/>
      </w:pPr>
      <w:rPr>
        <w:rFonts w:hint="default"/>
        <w:lang w:val="en-US" w:eastAsia="en-US" w:bidi="ar-SA"/>
      </w:rPr>
    </w:lvl>
    <w:lvl w:ilvl="7" w:tplc="09F4289A">
      <w:numFmt w:val="bullet"/>
      <w:lvlText w:val="•"/>
      <w:lvlJc w:val="left"/>
      <w:pPr>
        <w:ind w:left="5406" w:hanging="270"/>
      </w:pPr>
      <w:rPr>
        <w:rFonts w:hint="default"/>
        <w:lang w:val="en-US" w:eastAsia="en-US" w:bidi="ar-SA"/>
      </w:rPr>
    </w:lvl>
    <w:lvl w:ilvl="8" w:tplc="26BA178A">
      <w:numFmt w:val="bullet"/>
      <w:lvlText w:val="•"/>
      <w:lvlJc w:val="left"/>
      <w:pPr>
        <w:ind w:left="6054" w:hanging="270"/>
      </w:pPr>
      <w:rPr>
        <w:rFonts w:hint="default"/>
        <w:lang w:val="en-US" w:eastAsia="en-US" w:bidi="ar-SA"/>
      </w:rPr>
    </w:lvl>
  </w:abstractNum>
  <w:abstractNum w:abstractNumId="65" w15:restartNumberingAfterBreak="0">
    <w:nsid w:val="25E33A71"/>
    <w:multiLevelType w:val="hybridMultilevel"/>
    <w:tmpl w:val="716C9FD2"/>
    <w:lvl w:ilvl="0" w:tplc="B66CF1D0">
      <w:start w:val="1"/>
      <w:numFmt w:val="decimal"/>
      <w:lvlText w:val="(%1)"/>
      <w:lvlJc w:val="left"/>
      <w:pPr>
        <w:ind w:left="753" w:hanging="270"/>
      </w:pPr>
      <w:rPr>
        <w:rFonts w:ascii="Arial" w:eastAsia="Arial" w:hAnsi="Arial" w:cs="Arial" w:hint="default"/>
        <w:b w:val="0"/>
        <w:bCs w:val="0"/>
        <w:i w:val="0"/>
        <w:iCs w:val="0"/>
        <w:spacing w:val="-1"/>
        <w:w w:val="100"/>
        <w:sz w:val="18"/>
        <w:szCs w:val="18"/>
        <w:lang w:val="en-US" w:eastAsia="en-US" w:bidi="ar-SA"/>
      </w:rPr>
    </w:lvl>
    <w:lvl w:ilvl="1" w:tplc="606EC24C">
      <w:start w:val="1"/>
      <w:numFmt w:val="lowerLetter"/>
      <w:lvlText w:val="(%2)"/>
      <w:lvlJc w:val="left"/>
      <w:pPr>
        <w:ind w:left="1023" w:hanging="270"/>
      </w:pPr>
      <w:rPr>
        <w:rFonts w:ascii="Arial" w:eastAsia="Arial" w:hAnsi="Arial" w:cs="Arial" w:hint="default"/>
        <w:b w:val="0"/>
        <w:bCs w:val="0"/>
        <w:i w:val="0"/>
        <w:iCs w:val="0"/>
        <w:spacing w:val="-1"/>
        <w:w w:val="100"/>
        <w:sz w:val="18"/>
        <w:szCs w:val="18"/>
        <w:lang w:val="en-US" w:eastAsia="en-US" w:bidi="ar-SA"/>
      </w:rPr>
    </w:lvl>
    <w:lvl w:ilvl="2" w:tplc="8D3E0CC6">
      <w:numFmt w:val="bullet"/>
      <w:lvlText w:val="•"/>
      <w:lvlJc w:val="left"/>
      <w:pPr>
        <w:ind w:left="3373" w:hanging="270"/>
      </w:pPr>
      <w:rPr>
        <w:rFonts w:hint="default"/>
        <w:lang w:val="en-US" w:eastAsia="en-US" w:bidi="ar-SA"/>
      </w:rPr>
    </w:lvl>
    <w:lvl w:ilvl="3" w:tplc="53D69D30">
      <w:numFmt w:val="bullet"/>
      <w:lvlText w:val="•"/>
      <w:lvlJc w:val="left"/>
      <w:pPr>
        <w:ind w:left="5726" w:hanging="270"/>
      </w:pPr>
      <w:rPr>
        <w:rFonts w:hint="default"/>
        <w:lang w:val="en-US" w:eastAsia="en-US" w:bidi="ar-SA"/>
      </w:rPr>
    </w:lvl>
    <w:lvl w:ilvl="4" w:tplc="CC02E7C6">
      <w:numFmt w:val="bullet"/>
      <w:lvlText w:val="•"/>
      <w:lvlJc w:val="left"/>
      <w:pPr>
        <w:ind w:left="8080" w:hanging="270"/>
      </w:pPr>
      <w:rPr>
        <w:rFonts w:hint="default"/>
        <w:lang w:val="en-US" w:eastAsia="en-US" w:bidi="ar-SA"/>
      </w:rPr>
    </w:lvl>
    <w:lvl w:ilvl="5" w:tplc="4B208662">
      <w:numFmt w:val="bullet"/>
      <w:lvlText w:val="•"/>
      <w:lvlJc w:val="left"/>
      <w:pPr>
        <w:ind w:left="10433" w:hanging="270"/>
      </w:pPr>
      <w:rPr>
        <w:rFonts w:hint="default"/>
        <w:lang w:val="en-US" w:eastAsia="en-US" w:bidi="ar-SA"/>
      </w:rPr>
    </w:lvl>
    <w:lvl w:ilvl="6" w:tplc="D5665F8E">
      <w:numFmt w:val="bullet"/>
      <w:lvlText w:val="•"/>
      <w:lvlJc w:val="left"/>
      <w:pPr>
        <w:ind w:left="12786" w:hanging="270"/>
      </w:pPr>
      <w:rPr>
        <w:rFonts w:hint="default"/>
        <w:lang w:val="en-US" w:eastAsia="en-US" w:bidi="ar-SA"/>
      </w:rPr>
    </w:lvl>
    <w:lvl w:ilvl="7" w:tplc="4BAA0B4A">
      <w:numFmt w:val="bullet"/>
      <w:lvlText w:val="•"/>
      <w:lvlJc w:val="left"/>
      <w:pPr>
        <w:ind w:left="15140" w:hanging="270"/>
      </w:pPr>
      <w:rPr>
        <w:rFonts w:hint="default"/>
        <w:lang w:val="en-US" w:eastAsia="en-US" w:bidi="ar-SA"/>
      </w:rPr>
    </w:lvl>
    <w:lvl w:ilvl="8" w:tplc="702243B4">
      <w:numFmt w:val="bullet"/>
      <w:lvlText w:val="•"/>
      <w:lvlJc w:val="left"/>
      <w:pPr>
        <w:ind w:left="17493" w:hanging="270"/>
      </w:pPr>
      <w:rPr>
        <w:rFonts w:hint="default"/>
        <w:lang w:val="en-US" w:eastAsia="en-US" w:bidi="ar-SA"/>
      </w:rPr>
    </w:lvl>
  </w:abstractNum>
  <w:abstractNum w:abstractNumId="66" w15:restartNumberingAfterBreak="0">
    <w:nsid w:val="26386424"/>
    <w:multiLevelType w:val="hybridMultilevel"/>
    <w:tmpl w:val="256642C6"/>
    <w:lvl w:ilvl="0" w:tplc="3334C1A2">
      <w:start w:val="1"/>
      <w:numFmt w:val="lowerLetter"/>
      <w:lvlText w:val="%1."/>
      <w:lvlJc w:val="left"/>
      <w:pPr>
        <w:ind w:left="1285" w:hanging="360"/>
      </w:pPr>
      <w:rPr>
        <w:rFonts w:ascii="Arial" w:eastAsia="Arial" w:hAnsi="Arial" w:cs="Arial" w:hint="default"/>
        <w:b w:val="0"/>
        <w:bCs w:val="0"/>
        <w:i w:val="0"/>
        <w:iCs w:val="0"/>
        <w:spacing w:val="0"/>
        <w:w w:val="99"/>
        <w:sz w:val="22"/>
        <w:szCs w:val="22"/>
        <w:lang w:val="en-US" w:eastAsia="en-US" w:bidi="ar-SA"/>
      </w:rPr>
    </w:lvl>
    <w:lvl w:ilvl="1" w:tplc="D6341474">
      <w:numFmt w:val="bullet"/>
      <w:lvlText w:val=""/>
      <w:lvlJc w:val="left"/>
      <w:pPr>
        <w:ind w:left="1674" w:hanging="360"/>
      </w:pPr>
      <w:rPr>
        <w:rFonts w:ascii="Symbol" w:eastAsia="Symbol" w:hAnsi="Symbol" w:cs="Symbol" w:hint="default"/>
        <w:b w:val="0"/>
        <w:bCs w:val="0"/>
        <w:i w:val="0"/>
        <w:iCs w:val="0"/>
        <w:spacing w:val="0"/>
        <w:w w:val="99"/>
        <w:sz w:val="22"/>
        <w:szCs w:val="22"/>
        <w:lang w:val="en-US" w:eastAsia="en-US" w:bidi="ar-SA"/>
      </w:rPr>
    </w:lvl>
    <w:lvl w:ilvl="2" w:tplc="1122B5CC">
      <w:numFmt w:val="bullet"/>
      <w:lvlText w:val="•"/>
      <w:lvlJc w:val="left"/>
      <w:pPr>
        <w:ind w:left="2317" w:hanging="360"/>
      </w:pPr>
      <w:rPr>
        <w:rFonts w:hint="default"/>
        <w:lang w:val="en-US" w:eastAsia="en-US" w:bidi="ar-SA"/>
      </w:rPr>
    </w:lvl>
    <w:lvl w:ilvl="3" w:tplc="C7802A9E">
      <w:numFmt w:val="bullet"/>
      <w:lvlText w:val="•"/>
      <w:lvlJc w:val="left"/>
      <w:pPr>
        <w:ind w:left="2954" w:hanging="360"/>
      </w:pPr>
      <w:rPr>
        <w:rFonts w:hint="default"/>
        <w:lang w:val="en-US" w:eastAsia="en-US" w:bidi="ar-SA"/>
      </w:rPr>
    </w:lvl>
    <w:lvl w:ilvl="4" w:tplc="5DE0C5F8">
      <w:numFmt w:val="bullet"/>
      <w:lvlText w:val="•"/>
      <w:lvlJc w:val="left"/>
      <w:pPr>
        <w:ind w:left="3591" w:hanging="360"/>
      </w:pPr>
      <w:rPr>
        <w:rFonts w:hint="default"/>
        <w:lang w:val="en-US" w:eastAsia="en-US" w:bidi="ar-SA"/>
      </w:rPr>
    </w:lvl>
    <w:lvl w:ilvl="5" w:tplc="6E088868">
      <w:numFmt w:val="bullet"/>
      <w:lvlText w:val="•"/>
      <w:lvlJc w:val="left"/>
      <w:pPr>
        <w:ind w:left="4228" w:hanging="360"/>
      </w:pPr>
      <w:rPr>
        <w:rFonts w:hint="default"/>
        <w:lang w:val="en-US" w:eastAsia="en-US" w:bidi="ar-SA"/>
      </w:rPr>
    </w:lvl>
    <w:lvl w:ilvl="6" w:tplc="6D9A142A">
      <w:numFmt w:val="bullet"/>
      <w:lvlText w:val="•"/>
      <w:lvlJc w:val="left"/>
      <w:pPr>
        <w:ind w:left="4865" w:hanging="360"/>
      </w:pPr>
      <w:rPr>
        <w:rFonts w:hint="default"/>
        <w:lang w:val="en-US" w:eastAsia="en-US" w:bidi="ar-SA"/>
      </w:rPr>
    </w:lvl>
    <w:lvl w:ilvl="7" w:tplc="E08C1A90">
      <w:numFmt w:val="bullet"/>
      <w:lvlText w:val="•"/>
      <w:lvlJc w:val="left"/>
      <w:pPr>
        <w:ind w:left="5502" w:hanging="360"/>
      </w:pPr>
      <w:rPr>
        <w:rFonts w:hint="default"/>
        <w:lang w:val="en-US" w:eastAsia="en-US" w:bidi="ar-SA"/>
      </w:rPr>
    </w:lvl>
    <w:lvl w:ilvl="8" w:tplc="53B6F090">
      <w:numFmt w:val="bullet"/>
      <w:lvlText w:val="•"/>
      <w:lvlJc w:val="left"/>
      <w:pPr>
        <w:ind w:left="6139" w:hanging="360"/>
      </w:pPr>
      <w:rPr>
        <w:rFonts w:hint="default"/>
        <w:lang w:val="en-US" w:eastAsia="en-US" w:bidi="ar-SA"/>
      </w:rPr>
    </w:lvl>
  </w:abstractNum>
  <w:abstractNum w:abstractNumId="67" w15:restartNumberingAfterBreak="0">
    <w:nsid w:val="264B5169"/>
    <w:multiLevelType w:val="hybridMultilevel"/>
    <w:tmpl w:val="B9546764"/>
    <w:lvl w:ilvl="0" w:tplc="BF141A02">
      <w:start w:val="1"/>
      <w:numFmt w:val="lowerLetter"/>
      <w:lvlText w:val="%1."/>
      <w:lvlJc w:val="left"/>
      <w:pPr>
        <w:ind w:left="779" w:hanging="360"/>
      </w:pPr>
      <w:rPr>
        <w:rFonts w:ascii="Arial" w:eastAsia="Arial" w:hAnsi="Arial" w:cs="Arial" w:hint="default"/>
        <w:b w:val="0"/>
        <w:bCs w:val="0"/>
        <w:i w:val="0"/>
        <w:iCs w:val="0"/>
        <w:spacing w:val="0"/>
        <w:w w:val="99"/>
        <w:sz w:val="22"/>
        <w:szCs w:val="22"/>
        <w:lang w:val="en-US" w:eastAsia="en-US" w:bidi="ar-SA"/>
      </w:rPr>
    </w:lvl>
    <w:lvl w:ilvl="1" w:tplc="0E80C6DA">
      <w:numFmt w:val="bullet"/>
      <w:lvlText w:val="•"/>
      <w:lvlJc w:val="left"/>
      <w:pPr>
        <w:ind w:left="1730" w:hanging="360"/>
      </w:pPr>
      <w:rPr>
        <w:rFonts w:hint="default"/>
        <w:lang w:val="en-US" w:eastAsia="en-US" w:bidi="ar-SA"/>
      </w:rPr>
    </w:lvl>
    <w:lvl w:ilvl="2" w:tplc="446EBD68">
      <w:numFmt w:val="bullet"/>
      <w:lvlText w:val="•"/>
      <w:lvlJc w:val="left"/>
      <w:pPr>
        <w:ind w:left="2680" w:hanging="360"/>
      </w:pPr>
      <w:rPr>
        <w:rFonts w:hint="default"/>
        <w:lang w:val="en-US" w:eastAsia="en-US" w:bidi="ar-SA"/>
      </w:rPr>
    </w:lvl>
    <w:lvl w:ilvl="3" w:tplc="B2446F1C">
      <w:numFmt w:val="bullet"/>
      <w:lvlText w:val="•"/>
      <w:lvlJc w:val="left"/>
      <w:pPr>
        <w:ind w:left="3630" w:hanging="360"/>
      </w:pPr>
      <w:rPr>
        <w:rFonts w:hint="default"/>
        <w:lang w:val="en-US" w:eastAsia="en-US" w:bidi="ar-SA"/>
      </w:rPr>
    </w:lvl>
    <w:lvl w:ilvl="4" w:tplc="0F5EEDC8">
      <w:numFmt w:val="bullet"/>
      <w:lvlText w:val="•"/>
      <w:lvlJc w:val="left"/>
      <w:pPr>
        <w:ind w:left="4580" w:hanging="360"/>
      </w:pPr>
      <w:rPr>
        <w:rFonts w:hint="default"/>
        <w:lang w:val="en-US" w:eastAsia="en-US" w:bidi="ar-SA"/>
      </w:rPr>
    </w:lvl>
    <w:lvl w:ilvl="5" w:tplc="B72EF21C">
      <w:numFmt w:val="bullet"/>
      <w:lvlText w:val="•"/>
      <w:lvlJc w:val="left"/>
      <w:pPr>
        <w:ind w:left="5530" w:hanging="360"/>
      </w:pPr>
      <w:rPr>
        <w:rFonts w:hint="default"/>
        <w:lang w:val="en-US" w:eastAsia="en-US" w:bidi="ar-SA"/>
      </w:rPr>
    </w:lvl>
    <w:lvl w:ilvl="6" w:tplc="D0340D5E">
      <w:numFmt w:val="bullet"/>
      <w:lvlText w:val="•"/>
      <w:lvlJc w:val="left"/>
      <w:pPr>
        <w:ind w:left="6480" w:hanging="360"/>
      </w:pPr>
      <w:rPr>
        <w:rFonts w:hint="default"/>
        <w:lang w:val="en-US" w:eastAsia="en-US" w:bidi="ar-SA"/>
      </w:rPr>
    </w:lvl>
    <w:lvl w:ilvl="7" w:tplc="481A7E1E">
      <w:numFmt w:val="bullet"/>
      <w:lvlText w:val="•"/>
      <w:lvlJc w:val="left"/>
      <w:pPr>
        <w:ind w:left="7430" w:hanging="360"/>
      </w:pPr>
      <w:rPr>
        <w:rFonts w:hint="default"/>
        <w:lang w:val="en-US" w:eastAsia="en-US" w:bidi="ar-SA"/>
      </w:rPr>
    </w:lvl>
    <w:lvl w:ilvl="8" w:tplc="CDB89F28">
      <w:numFmt w:val="bullet"/>
      <w:lvlText w:val="•"/>
      <w:lvlJc w:val="left"/>
      <w:pPr>
        <w:ind w:left="8380" w:hanging="360"/>
      </w:pPr>
      <w:rPr>
        <w:rFonts w:hint="default"/>
        <w:lang w:val="en-US" w:eastAsia="en-US" w:bidi="ar-SA"/>
      </w:rPr>
    </w:lvl>
  </w:abstractNum>
  <w:abstractNum w:abstractNumId="68" w15:restartNumberingAfterBreak="0">
    <w:nsid w:val="26CB707E"/>
    <w:multiLevelType w:val="hybridMultilevel"/>
    <w:tmpl w:val="C7E8AB14"/>
    <w:lvl w:ilvl="0" w:tplc="C5D02E7C">
      <w:start w:val="10"/>
      <w:numFmt w:val="decimal"/>
      <w:lvlText w:val=".%1"/>
      <w:lvlJc w:val="left"/>
      <w:pPr>
        <w:ind w:left="1768" w:hanging="721"/>
        <w:jc w:val="right"/>
      </w:pPr>
      <w:rPr>
        <w:rFonts w:ascii="Arial" w:eastAsia="Arial" w:hAnsi="Arial" w:cs="Arial" w:hint="default"/>
        <w:b w:val="0"/>
        <w:bCs w:val="0"/>
        <w:i w:val="0"/>
        <w:iCs w:val="0"/>
        <w:spacing w:val="0"/>
        <w:w w:val="99"/>
        <w:sz w:val="22"/>
        <w:szCs w:val="22"/>
        <w:lang w:val="en-US" w:eastAsia="en-US" w:bidi="ar-SA"/>
      </w:rPr>
    </w:lvl>
    <w:lvl w:ilvl="1" w:tplc="B7EEB66A">
      <w:start w:val="1"/>
      <w:numFmt w:val="lowerLetter"/>
      <w:lvlText w:val="%2."/>
      <w:lvlJc w:val="left"/>
      <w:pPr>
        <w:ind w:left="2220" w:hanging="360"/>
      </w:pPr>
      <w:rPr>
        <w:rFonts w:ascii="Arial" w:eastAsia="Arial" w:hAnsi="Arial" w:cs="Arial" w:hint="default"/>
        <w:b w:val="0"/>
        <w:bCs w:val="0"/>
        <w:i w:val="0"/>
        <w:iCs w:val="0"/>
        <w:spacing w:val="0"/>
        <w:w w:val="99"/>
        <w:sz w:val="22"/>
        <w:szCs w:val="22"/>
        <w:lang w:val="en-US" w:eastAsia="en-US" w:bidi="ar-SA"/>
      </w:rPr>
    </w:lvl>
    <w:lvl w:ilvl="2" w:tplc="97A40AC0">
      <w:numFmt w:val="bullet"/>
      <w:lvlText w:val=""/>
      <w:lvlJc w:val="left"/>
      <w:pPr>
        <w:ind w:left="2578" w:hanging="360"/>
      </w:pPr>
      <w:rPr>
        <w:rFonts w:ascii="Symbol" w:eastAsia="Symbol" w:hAnsi="Symbol" w:cs="Symbol" w:hint="default"/>
        <w:b w:val="0"/>
        <w:bCs w:val="0"/>
        <w:i w:val="0"/>
        <w:iCs w:val="0"/>
        <w:spacing w:val="0"/>
        <w:w w:val="99"/>
        <w:sz w:val="22"/>
        <w:szCs w:val="22"/>
        <w:lang w:val="en-US" w:eastAsia="en-US" w:bidi="ar-SA"/>
      </w:rPr>
    </w:lvl>
    <w:lvl w:ilvl="3" w:tplc="CA54B398">
      <w:numFmt w:val="bullet"/>
      <w:lvlText w:val="•"/>
      <w:lvlJc w:val="left"/>
      <w:pPr>
        <w:ind w:left="3542" w:hanging="360"/>
      </w:pPr>
      <w:rPr>
        <w:rFonts w:hint="default"/>
        <w:lang w:val="en-US" w:eastAsia="en-US" w:bidi="ar-SA"/>
      </w:rPr>
    </w:lvl>
    <w:lvl w:ilvl="4" w:tplc="701C66A8">
      <w:numFmt w:val="bullet"/>
      <w:lvlText w:val="•"/>
      <w:lvlJc w:val="left"/>
      <w:pPr>
        <w:ind w:left="4505" w:hanging="360"/>
      </w:pPr>
      <w:rPr>
        <w:rFonts w:hint="default"/>
        <w:lang w:val="en-US" w:eastAsia="en-US" w:bidi="ar-SA"/>
      </w:rPr>
    </w:lvl>
    <w:lvl w:ilvl="5" w:tplc="B77ED58A">
      <w:numFmt w:val="bullet"/>
      <w:lvlText w:val="•"/>
      <w:lvlJc w:val="left"/>
      <w:pPr>
        <w:ind w:left="5467" w:hanging="360"/>
      </w:pPr>
      <w:rPr>
        <w:rFonts w:hint="default"/>
        <w:lang w:val="en-US" w:eastAsia="en-US" w:bidi="ar-SA"/>
      </w:rPr>
    </w:lvl>
    <w:lvl w:ilvl="6" w:tplc="9F529C82">
      <w:numFmt w:val="bullet"/>
      <w:lvlText w:val="•"/>
      <w:lvlJc w:val="left"/>
      <w:pPr>
        <w:ind w:left="6430" w:hanging="360"/>
      </w:pPr>
      <w:rPr>
        <w:rFonts w:hint="default"/>
        <w:lang w:val="en-US" w:eastAsia="en-US" w:bidi="ar-SA"/>
      </w:rPr>
    </w:lvl>
    <w:lvl w:ilvl="7" w:tplc="BEC8A9FE">
      <w:numFmt w:val="bullet"/>
      <w:lvlText w:val="•"/>
      <w:lvlJc w:val="left"/>
      <w:pPr>
        <w:ind w:left="7392" w:hanging="360"/>
      </w:pPr>
      <w:rPr>
        <w:rFonts w:hint="default"/>
        <w:lang w:val="en-US" w:eastAsia="en-US" w:bidi="ar-SA"/>
      </w:rPr>
    </w:lvl>
    <w:lvl w:ilvl="8" w:tplc="21226C4A">
      <w:numFmt w:val="bullet"/>
      <w:lvlText w:val="•"/>
      <w:lvlJc w:val="left"/>
      <w:pPr>
        <w:ind w:left="8355" w:hanging="360"/>
      </w:pPr>
      <w:rPr>
        <w:rFonts w:hint="default"/>
        <w:lang w:val="en-US" w:eastAsia="en-US" w:bidi="ar-SA"/>
      </w:rPr>
    </w:lvl>
  </w:abstractNum>
  <w:abstractNum w:abstractNumId="69" w15:restartNumberingAfterBreak="0">
    <w:nsid w:val="273F50EA"/>
    <w:multiLevelType w:val="hybridMultilevel"/>
    <w:tmpl w:val="E66C6760"/>
    <w:lvl w:ilvl="0" w:tplc="2E24742C">
      <w:start w:val="10"/>
      <w:numFmt w:val="decimal"/>
      <w:lvlText w:val=".%1"/>
      <w:lvlJc w:val="left"/>
      <w:pPr>
        <w:ind w:left="1640" w:hanging="720"/>
      </w:pPr>
      <w:rPr>
        <w:rFonts w:ascii="Arial" w:eastAsia="Arial" w:hAnsi="Arial" w:cs="Arial" w:hint="default"/>
        <w:b w:val="0"/>
        <w:bCs w:val="0"/>
        <w:i w:val="0"/>
        <w:iCs w:val="0"/>
        <w:spacing w:val="0"/>
        <w:w w:val="99"/>
        <w:sz w:val="22"/>
        <w:szCs w:val="22"/>
        <w:lang w:val="en-US" w:eastAsia="en-US" w:bidi="ar-SA"/>
      </w:rPr>
    </w:lvl>
    <w:lvl w:ilvl="1" w:tplc="48B00F1A">
      <w:numFmt w:val="bullet"/>
      <w:lvlText w:val=""/>
      <w:lvlJc w:val="left"/>
      <w:pPr>
        <w:ind w:left="2000" w:hanging="361"/>
      </w:pPr>
      <w:rPr>
        <w:rFonts w:ascii="Symbol" w:eastAsia="Symbol" w:hAnsi="Symbol" w:cs="Symbol" w:hint="default"/>
        <w:b w:val="0"/>
        <w:bCs w:val="0"/>
        <w:i w:val="0"/>
        <w:iCs w:val="0"/>
        <w:spacing w:val="0"/>
        <w:w w:val="99"/>
        <w:sz w:val="22"/>
        <w:szCs w:val="22"/>
        <w:lang w:val="en-US" w:eastAsia="en-US" w:bidi="ar-SA"/>
      </w:rPr>
    </w:lvl>
    <w:lvl w:ilvl="2" w:tplc="ABCADFB8">
      <w:numFmt w:val="bullet"/>
      <w:lvlText w:val="•"/>
      <w:lvlJc w:val="left"/>
      <w:pPr>
        <w:ind w:left="2877" w:hanging="361"/>
      </w:pPr>
      <w:rPr>
        <w:rFonts w:hint="default"/>
        <w:lang w:val="en-US" w:eastAsia="en-US" w:bidi="ar-SA"/>
      </w:rPr>
    </w:lvl>
    <w:lvl w:ilvl="3" w:tplc="4AE6BE90">
      <w:numFmt w:val="bullet"/>
      <w:lvlText w:val="•"/>
      <w:lvlJc w:val="left"/>
      <w:pPr>
        <w:ind w:left="3755" w:hanging="361"/>
      </w:pPr>
      <w:rPr>
        <w:rFonts w:hint="default"/>
        <w:lang w:val="en-US" w:eastAsia="en-US" w:bidi="ar-SA"/>
      </w:rPr>
    </w:lvl>
    <w:lvl w:ilvl="4" w:tplc="143C9B48">
      <w:numFmt w:val="bullet"/>
      <w:lvlText w:val="•"/>
      <w:lvlJc w:val="left"/>
      <w:pPr>
        <w:ind w:left="4633" w:hanging="361"/>
      </w:pPr>
      <w:rPr>
        <w:rFonts w:hint="default"/>
        <w:lang w:val="en-US" w:eastAsia="en-US" w:bidi="ar-SA"/>
      </w:rPr>
    </w:lvl>
    <w:lvl w:ilvl="5" w:tplc="B504F394">
      <w:numFmt w:val="bullet"/>
      <w:lvlText w:val="•"/>
      <w:lvlJc w:val="left"/>
      <w:pPr>
        <w:ind w:left="5511" w:hanging="361"/>
      </w:pPr>
      <w:rPr>
        <w:rFonts w:hint="default"/>
        <w:lang w:val="en-US" w:eastAsia="en-US" w:bidi="ar-SA"/>
      </w:rPr>
    </w:lvl>
    <w:lvl w:ilvl="6" w:tplc="3E40A46A">
      <w:numFmt w:val="bullet"/>
      <w:lvlText w:val="•"/>
      <w:lvlJc w:val="left"/>
      <w:pPr>
        <w:ind w:left="6388" w:hanging="361"/>
      </w:pPr>
      <w:rPr>
        <w:rFonts w:hint="default"/>
        <w:lang w:val="en-US" w:eastAsia="en-US" w:bidi="ar-SA"/>
      </w:rPr>
    </w:lvl>
    <w:lvl w:ilvl="7" w:tplc="0D7837E8">
      <w:numFmt w:val="bullet"/>
      <w:lvlText w:val="•"/>
      <w:lvlJc w:val="left"/>
      <w:pPr>
        <w:ind w:left="7266" w:hanging="361"/>
      </w:pPr>
      <w:rPr>
        <w:rFonts w:hint="default"/>
        <w:lang w:val="en-US" w:eastAsia="en-US" w:bidi="ar-SA"/>
      </w:rPr>
    </w:lvl>
    <w:lvl w:ilvl="8" w:tplc="4A9CC06A">
      <w:numFmt w:val="bullet"/>
      <w:lvlText w:val="•"/>
      <w:lvlJc w:val="left"/>
      <w:pPr>
        <w:ind w:left="8144" w:hanging="361"/>
      </w:pPr>
      <w:rPr>
        <w:rFonts w:hint="default"/>
        <w:lang w:val="en-US" w:eastAsia="en-US" w:bidi="ar-SA"/>
      </w:rPr>
    </w:lvl>
  </w:abstractNum>
  <w:abstractNum w:abstractNumId="70" w15:restartNumberingAfterBreak="0">
    <w:nsid w:val="27452FF7"/>
    <w:multiLevelType w:val="hybridMultilevel"/>
    <w:tmpl w:val="BBF8951E"/>
    <w:lvl w:ilvl="0" w:tplc="4D0C5D66">
      <w:start w:val="2"/>
      <w:numFmt w:val="decimal"/>
      <w:lvlText w:val="%1)"/>
      <w:lvlJc w:val="left"/>
      <w:pPr>
        <w:ind w:left="705" w:hanging="577"/>
      </w:pPr>
      <w:rPr>
        <w:rFonts w:ascii="Arial" w:eastAsia="Arial" w:hAnsi="Arial" w:cs="Arial" w:hint="default"/>
        <w:b w:val="0"/>
        <w:bCs w:val="0"/>
        <w:i w:val="0"/>
        <w:iCs w:val="0"/>
        <w:spacing w:val="0"/>
        <w:w w:val="99"/>
        <w:sz w:val="22"/>
        <w:szCs w:val="22"/>
        <w:lang w:val="en-US" w:eastAsia="en-US" w:bidi="ar-SA"/>
      </w:rPr>
    </w:lvl>
    <w:lvl w:ilvl="1" w:tplc="AD448D5C">
      <w:start w:val="1"/>
      <w:numFmt w:val="lowerLetter"/>
      <w:lvlText w:val="%2)"/>
      <w:lvlJc w:val="left"/>
      <w:pPr>
        <w:ind w:left="1064" w:hanging="359"/>
      </w:pPr>
      <w:rPr>
        <w:rFonts w:ascii="Arial" w:eastAsia="Arial" w:hAnsi="Arial" w:cs="Arial" w:hint="default"/>
        <w:b w:val="0"/>
        <w:bCs w:val="0"/>
        <w:i w:val="0"/>
        <w:iCs w:val="0"/>
        <w:spacing w:val="0"/>
        <w:w w:val="99"/>
        <w:sz w:val="22"/>
        <w:szCs w:val="22"/>
        <w:lang w:val="en-US" w:eastAsia="en-US" w:bidi="ar-SA"/>
      </w:rPr>
    </w:lvl>
    <w:lvl w:ilvl="2" w:tplc="A4D4C66C">
      <w:numFmt w:val="bullet"/>
      <w:lvlText w:val=""/>
      <w:lvlJc w:val="left"/>
      <w:pPr>
        <w:ind w:left="1411" w:hanging="360"/>
      </w:pPr>
      <w:rPr>
        <w:rFonts w:ascii="Symbol" w:eastAsia="Symbol" w:hAnsi="Symbol" w:cs="Symbol" w:hint="default"/>
        <w:b w:val="0"/>
        <w:bCs w:val="0"/>
        <w:i w:val="0"/>
        <w:iCs w:val="0"/>
        <w:spacing w:val="0"/>
        <w:w w:val="99"/>
        <w:sz w:val="22"/>
        <w:szCs w:val="22"/>
        <w:lang w:val="en-US" w:eastAsia="en-US" w:bidi="ar-SA"/>
      </w:rPr>
    </w:lvl>
    <w:lvl w:ilvl="3" w:tplc="A1A235D8">
      <w:numFmt w:val="bullet"/>
      <w:lvlText w:val="•"/>
      <w:lvlJc w:val="left"/>
      <w:pPr>
        <w:ind w:left="2123" w:hanging="360"/>
      </w:pPr>
      <w:rPr>
        <w:rFonts w:hint="default"/>
        <w:lang w:val="en-US" w:eastAsia="en-US" w:bidi="ar-SA"/>
      </w:rPr>
    </w:lvl>
    <w:lvl w:ilvl="4" w:tplc="E618E3E8">
      <w:numFmt w:val="bullet"/>
      <w:lvlText w:val="•"/>
      <w:lvlJc w:val="left"/>
      <w:pPr>
        <w:ind w:left="2827" w:hanging="360"/>
      </w:pPr>
      <w:rPr>
        <w:rFonts w:hint="default"/>
        <w:lang w:val="en-US" w:eastAsia="en-US" w:bidi="ar-SA"/>
      </w:rPr>
    </w:lvl>
    <w:lvl w:ilvl="5" w:tplc="F53EDE96">
      <w:numFmt w:val="bullet"/>
      <w:lvlText w:val="•"/>
      <w:lvlJc w:val="left"/>
      <w:pPr>
        <w:ind w:left="3531" w:hanging="360"/>
      </w:pPr>
      <w:rPr>
        <w:rFonts w:hint="default"/>
        <w:lang w:val="en-US" w:eastAsia="en-US" w:bidi="ar-SA"/>
      </w:rPr>
    </w:lvl>
    <w:lvl w:ilvl="6" w:tplc="C3C035C2">
      <w:numFmt w:val="bullet"/>
      <w:lvlText w:val="•"/>
      <w:lvlJc w:val="left"/>
      <w:pPr>
        <w:ind w:left="4235" w:hanging="360"/>
      </w:pPr>
      <w:rPr>
        <w:rFonts w:hint="default"/>
        <w:lang w:val="en-US" w:eastAsia="en-US" w:bidi="ar-SA"/>
      </w:rPr>
    </w:lvl>
    <w:lvl w:ilvl="7" w:tplc="D8B665E8">
      <w:numFmt w:val="bullet"/>
      <w:lvlText w:val="•"/>
      <w:lvlJc w:val="left"/>
      <w:pPr>
        <w:ind w:left="4938" w:hanging="360"/>
      </w:pPr>
      <w:rPr>
        <w:rFonts w:hint="default"/>
        <w:lang w:val="en-US" w:eastAsia="en-US" w:bidi="ar-SA"/>
      </w:rPr>
    </w:lvl>
    <w:lvl w:ilvl="8" w:tplc="EA94B32A">
      <w:numFmt w:val="bullet"/>
      <w:lvlText w:val="•"/>
      <w:lvlJc w:val="left"/>
      <w:pPr>
        <w:ind w:left="5642" w:hanging="360"/>
      </w:pPr>
      <w:rPr>
        <w:rFonts w:hint="default"/>
        <w:lang w:val="en-US" w:eastAsia="en-US" w:bidi="ar-SA"/>
      </w:rPr>
    </w:lvl>
  </w:abstractNum>
  <w:abstractNum w:abstractNumId="71" w15:restartNumberingAfterBreak="0">
    <w:nsid w:val="27982DD7"/>
    <w:multiLevelType w:val="hybridMultilevel"/>
    <w:tmpl w:val="8FFADA5A"/>
    <w:lvl w:ilvl="0" w:tplc="2E32A33E">
      <w:numFmt w:val="bullet"/>
      <w:lvlText w:val=""/>
      <w:lvlJc w:val="left"/>
      <w:pPr>
        <w:ind w:left="1205" w:hanging="360"/>
      </w:pPr>
      <w:rPr>
        <w:rFonts w:ascii="Symbol" w:eastAsia="Symbol" w:hAnsi="Symbol" w:cs="Symbol" w:hint="default"/>
        <w:b w:val="0"/>
        <w:bCs w:val="0"/>
        <w:i w:val="0"/>
        <w:iCs w:val="0"/>
        <w:spacing w:val="0"/>
        <w:w w:val="99"/>
        <w:sz w:val="22"/>
        <w:szCs w:val="22"/>
        <w:lang w:val="en-US" w:eastAsia="en-US" w:bidi="ar-SA"/>
      </w:rPr>
    </w:lvl>
    <w:lvl w:ilvl="1" w:tplc="EFAC4F8E">
      <w:numFmt w:val="bullet"/>
      <w:lvlText w:val="•"/>
      <w:lvlJc w:val="left"/>
      <w:pPr>
        <w:ind w:left="1767" w:hanging="360"/>
      </w:pPr>
      <w:rPr>
        <w:rFonts w:hint="default"/>
        <w:lang w:val="en-US" w:eastAsia="en-US" w:bidi="ar-SA"/>
      </w:rPr>
    </w:lvl>
    <w:lvl w:ilvl="2" w:tplc="82AC6D7A">
      <w:numFmt w:val="bullet"/>
      <w:lvlText w:val="•"/>
      <w:lvlJc w:val="left"/>
      <w:pPr>
        <w:ind w:left="2334" w:hanging="360"/>
      </w:pPr>
      <w:rPr>
        <w:rFonts w:hint="default"/>
        <w:lang w:val="en-US" w:eastAsia="en-US" w:bidi="ar-SA"/>
      </w:rPr>
    </w:lvl>
    <w:lvl w:ilvl="3" w:tplc="66AE996C">
      <w:numFmt w:val="bullet"/>
      <w:lvlText w:val="•"/>
      <w:lvlJc w:val="left"/>
      <w:pPr>
        <w:ind w:left="2901" w:hanging="360"/>
      </w:pPr>
      <w:rPr>
        <w:rFonts w:hint="default"/>
        <w:lang w:val="en-US" w:eastAsia="en-US" w:bidi="ar-SA"/>
      </w:rPr>
    </w:lvl>
    <w:lvl w:ilvl="4" w:tplc="3FA02AC2">
      <w:numFmt w:val="bullet"/>
      <w:lvlText w:val="•"/>
      <w:lvlJc w:val="left"/>
      <w:pPr>
        <w:ind w:left="3469" w:hanging="360"/>
      </w:pPr>
      <w:rPr>
        <w:rFonts w:hint="default"/>
        <w:lang w:val="en-US" w:eastAsia="en-US" w:bidi="ar-SA"/>
      </w:rPr>
    </w:lvl>
    <w:lvl w:ilvl="5" w:tplc="D5D4D6A2">
      <w:numFmt w:val="bullet"/>
      <w:lvlText w:val="•"/>
      <w:lvlJc w:val="left"/>
      <w:pPr>
        <w:ind w:left="4036" w:hanging="360"/>
      </w:pPr>
      <w:rPr>
        <w:rFonts w:hint="default"/>
        <w:lang w:val="en-US" w:eastAsia="en-US" w:bidi="ar-SA"/>
      </w:rPr>
    </w:lvl>
    <w:lvl w:ilvl="6" w:tplc="B362372C">
      <w:numFmt w:val="bullet"/>
      <w:lvlText w:val="•"/>
      <w:lvlJc w:val="left"/>
      <w:pPr>
        <w:ind w:left="4603" w:hanging="360"/>
      </w:pPr>
      <w:rPr>
        <w:rFonts w:hint="default"/>
        <w:lang w:val="en-US" w:eastAsia="en-US" w:bidi="ar-SA"/>
      </w:rPr>
    </w:lvl>
    <w:lvl w:ilvl="7" w:tplc="00540100">
      <w:numFmt w:val="bullet"/>
      <w:lvlText w:val="•"/>
      <w:lvlJc w:val="left"/>
      <w:pPr>
        <w:ind w:left="5171" w:hanging="360"/>
      </w:pPr>
      <w:rPr>
        <w:rFonts w:hint="default"/>
        <w:lang w:val="en-US" w:eastAsia="en-US" w:bidi="ar-SA"/>
      </w:rPr>
    </w:lvl>
    <w:lvl w:ilvl="8" w:tplc="96ACC610">
      <w:numFmt w:val="bullet"/>
      <w:lvlText w:val="•"/>
      <w:lvlJc w:val="left"/>
      <w:pPr>
        <w:ind w:left="5738" w:hanging="360"/>
      </w:pPr>
      <w:rPr>
        <w:rFonts w:hint="default"/>
        <w:lang w:val="en-US" w:eastAsia="en-US" w:bidi="ar-SA"/>
      </w:rPr>
    </w:lvl>
  </w:abstractNum>
  <w:abstractNum w:abstractNumId="72" w15:restartNumberingAfterBreak="0">
    <w:nsid w:val="285D3375"/>
    <w:multiLevelType w:val="hybridMultilevel"/>
    <w:tmpl w:val="99F0FDF0"/>
    <w:lvl w:ilvl="0" w:tplc="7FF2C446">
      <w:start w:val="1"/>
      <w:numFmt w:val="lowerLetter"/>
      <w:lvlText w:val="%1."/>
      <w:lvlJc w:val="left"/>
      <w:pPr>
        <w:ind w:left="2000" w:hanging="360"/>
      </w:pPr>
      <w:rPr>
        <w:rFonts w:ascii="Arial" w:eastAsia="Arial" w:hAnsi="Arial" w:cs="Arial" w:hint="default"/>
        <w:b w:val="0"/>
        <w:bCs w:val="0"/>
        <w:i w:val="0"/>
        <w:iCs w:val="0"/>
        <w:spacing w:val="0"/>
        <w:w w:val="99"/>
        <w:sz w:val="22"/>
        <w:szCs w:val="22"/>
        <w:lang w:val="en-US" w:eastAsia="en-US" w:bidi="ar-SA"/>
      </w:rPr>
    </w:lvl>
    <w:lvl w:ilvl="1" w:tplc="46F8E83A">
      <w:numFmt w:val="bullet"/>
      <w:lvlText w:val="•"/>
      <w:lvlJc w:val="left"/>
      <w:pPr>
        <w:ind w:left="2790" w:hanging="360"/>
      </w:pPr>
      <w:rPr>
        <w:rFonts w:hint="default"/>
        <w:lang w:val="en-US" w:eastAsia="en-US" w:bidi="ar-SA"/>
      </w:rPr>
    </w:lvl>
    <w:lvl w:ilvl="2" w:tplc="C06C781A">
      <w:numFmt w:val="bullet"/>
      <w:lvlText w:val="•"/>
      <w:lvlJc w:val="left"/>
      <w:pPr>
        <w:ind w:left="3580" w:hanging="360"/>
      </w:pPr>
      <w:rPr>
        <w:rFonts w:hint="default"/>
        <w:lang w:val="en-US" w:eastAsia="en-US" w:bidi="ar-SA"/>
      </w:rPr>
    </w:lvl>
    <w:lvl w:ilvl="3" w:tplc="20908E2A">
      <w:numFmt w:val="bullet"/>
      <w:lvlText w:val="•"/>
      <w:lvlJc w:val="left"/>
      <w:pPr>
        <w:ind w:left="4370" w:hanging="360"/>
      </w:pPr>
      <w:rPr>
        <w:rFonts w:hint="default"/>
        <w:lang w:val="en-US" w:eastAsia="en-US" w:bidi="ar-SA"/>
      </w:rPr>
    </w:lvl>
    <w:lvl w:ilvl="4" w:tplc="825EEA0E">
      <w:numFmt w:val="bullet"/>
      <w:lvlText w:val="•"/>
      <w:lvlJc w:val="left"/>
      <w:pPr>
        <w:ind w:left="5160" w:hanging="360"/>
      </w:pPr>
      <w:rPr>
        <w:rFonts w:hint="default"/>
        <w:lang w:val="en-US" w:eastAsia="en-US" w:bidi="ar-SA"/>
      </w:rPr>
    </w:lvl>
    <w:lvl w:ilvl="5" w:tplc="B3C040A4">
      <w:numFmt w:val="bullet"/>
      <w:lvlText w:val="•"/>
      <w:lvlJc w:val="left"/>
      <w:pPr>
        <w:ind w:left="5950" w:hanging="360"/>
      </w:pPr>
      <w:rPr>
        <w:rFonts w:hint="default"/>
        <w:lang w:val="en-US" w:eastAsia="en-US" w:bidi="ar-SA"/>
      </w:rPr>
    </w:lvl>
    <w:lvl w:ilvl="6" w:tplc="3EBAEA1C">
      <w:numFmt w:val="bullet"/>
      <w:lvlText w:val="•"/>
      <w:lvlJc w:val="left"/>
      <w:pPr>
        <w:ind w:left="6740" w:hanging="360"/>
      </w:pPr>
      <w:rPr>
        <w:rFonts w:hint="default"/>
        <w:lang w:val="en-US" w:eastAsia="en-US" w:bidi="ar-SA"/>
      </w:rPr>
    </w:lvl>
    <w:lvl w:ilvl="7" w:tplc="DAAA48C6">
      <w:numFmt w:val="bullet"/>
      <w:lvlText w:val="•"/>
      <w:lvlJc w:val="left"/>
      <w:pPr>
        <w:ind w:left="7530" w:hanging="360"/>
      </w:pPr>
      <w:rPr>
        <w:rFonts w:hint="default"/>
        <w:lang w:val="en-US" w:eastAsia="en-US" w:bidi="ar-SA"/>
      </w:rPr>
    </w:lvl>
    <w:lvl w:ilvl="8" w:tplc="5710514C">
      <w:numFmt w:val="bullet"/>
      <w:lvlText w:val="•"/>
      <w:lvlJc w:val="left"/>
      <w:pPr>
        <w:ind w:left="8320" w:hanging="360"/>
      </w:pPr>
      <w:rPr>
        <w:rFonts w:hint="default"/>
        <w:lang w:val="en-US" w:eastAsia="en-US" w:bidi="ar-SA"/>
      </w:rPr>
    </w:lvl>
  </w:abstractNum>
  <w:abstractNum w:abstractNumId="73" w15:restartNumberingAfterBreak="0">
    <w:nsid w:val="2B3C525C"/>
    <w:multiLevelType w:val="hybridMultilevel"/>
    <w:tmpl w:val="B6DC8652"/>
    <w:lvl w:ilvl="0" w:tplc="767CEA90">
      <w:start w:val="4"/>
      <w:numFmt w:val="lowerLetter"/>
      <w:lvlText w:val="%1."/>
      <w:lvlJc w:val="left"/>
      <w:pPr>
        <w:ind w:left="1334" w:hanging="391"/>
      </w:pPr>
      <w:rPr>
        <w:rFonts w:ascii="Arial" w:eastAsia="Arial" w:hAnsi="Arial" w:cs="Arial" w:hint="default"/>
        <w:b w:val="0"/>
        <w:bCs w:val="0"/>
        <w:i w:val="0"/>
        <w:iCs w:val="0"/>
        <w:spacing w:val="0"/>
        <w:w w:val="99"/>
        <w:sz w:val="22"/>
        <w:szCs w:val="22"/>
        <w:lang w:val="en-US" w:eastAsia="en-US" w:bidi="ar-SA"/>
      </w:rPr>
    </w:lvl>
    <w:lvl w:ilvl="1" w:tplc="1E540034">
      <w:numFmt w:val="bullet"/>
      <w:lvlText w:val=""/>
      <w:lvlJc w:val="left"/>
      <w:pPr>
        <w:ind w:left="1694" w:hanging="360"/>
      </w:pPr>
      <w:rPr>
        <w:rFonts w:ascii="Symbol" w:eastAsia="Symbol" w:hAnsi="Symbol" w:cs="Symbol" w:hint="default"/>
        <w:b w:val="0"/>
        <w:bCs w:val="0"/>
        <w:i w:val="0"/>
        <w:iCs w:val="0"/>
        <w:spacing w:val="0"/>
        <w:w w:val="99"/>
        <w:sz w:val="22"/>
        <w:szCs w:val="22"/>
        <w:lang w:val="en-US" w:eastAsia="en-US" w:bidi="ar-SA"/>
      </w:rPr>
    </w:lvl>
    <w:lvl w:ilvl="2" w:tplc="222668D6">
      <w:numFmt w:val="bullet"/>
      <w:lvlText w:val="•"/>
      <w:lvlJc w:val="left"/>
      <w:pPr>
        <w:ind w:left="2327" w:hanging="360"/>
      </w:pPr>
      <w:rPr>
        <w:rFonts w:hint="default"/>
        <w:lang w:val="en-US" w:eastAsia="en-US" w:bidi="ar-SA"/>
      </w:rPr>
    </w:lvl>
    <w:lvl w:ilvl="3" w:tplc="48740DCA">
      <w:numFmt w:val="bullet"/>
      <w:lvlText w:val="•"/>
      <w:lvlJc w:val="left"/>
      <w:pPr>
        <w:ind w:left="2955" w:hanging="360"/>
      </w:pPr>
      <w:rPr>
        <w:rFonts w:hint="default"/>
        <w:lang w:val="en-US" w:eastAsia="en-US" w:bidi="ar-SA"/>
      </w:rPr>
    </w:lvl>
    <w:lvl w:ilvl="4" w:tplc="57FA6B34">
      <w:numFmt w:val="bullet"/>
      <w:lvlText w:val="•"/>
      <w:lvlJc w:val="left"/>
      <w:pPr>
        <w:ind w:left="3583" w:hanging="360"/>
      </w:pPr>
      <w:rPr>
        <w:rFonts w:hint="default"/>
        <w:lang w:val="en-US" w:eastAsia="en-US" w:bidi="ar-SA"/>
      </w:rPr>
    </w:lvl>
    <w:lvl w:ilvl="5" w:tplc="0FBE4DC2">
      <w:numFmt w:val="bullet"/>
      <w:lvlText w:val="•"/>
      <w:lvlJc w:val="left"/>
      <w:pPr>
        <w:ind w:left="4211" w:hanging="360"/>
      </w:pPr>
      <w:rPr>
        <w:rFonts w:hint="default"/>
        <w:lang w:val="en-US" w:eastAsia="en-US" w:bidi="ar-SA"/>
      </w:rPr>
    </w:lvl>
    <w:lvl w:ilvl="6" w:tplc="95CC5556">
      <w:numFmt w:val="bullet"/>
      <w:lvlText w:val="•"/>
      <w:lvlJc w:val="left"/>
      <w:pPr>
        <w:ind w:left="4838" w:hanging="360"/>
      </w:pPr>
      <w:rPr>
        <w:rFonts w:hint="default"/>
        <w:lang w:val="en-US" w:eastAsia="en-US" w:bidi="ar-SA"/>
      </w:rPr>
    </w:lvl>
    <w:lvl w:ilvl="7" w:tplc="1CF2B426">
      <w:numFmt w:val="bullet"/>
      <w:lvlText w:val="•"/>
      <w:lvlJc w:val="left"/>
      <w:pPr>
        <w:ind w:left="5466" w:hanging="360"/>
      </w:pPr>
      <w:rPr>
        <w:rFonts w:hint="default"/>
        <w:lang w:val="en-US" w:eastAsia="en-US" w:bidi="ar-SA"/>
      </w:rPr>
    </w:lvl>
    <w:lvl w:ilvl="8" w:tplc="A12EF73E">
      <w:numFmt w:val="bullet"/>
      <w:lvlText w:val="•"/>
      <w:lvlJc w:val="left"/>
      <w:pPr>
        <w:ind w:left="6094" w:hanging="360"/>
      </w:pPr>
      <w:rPr>
        <w:rFonts w:hint="default"/>
        <w:lang w:val="en-US" w:eastAsia="en-US" w:bidi="ar-SA"/>
      </w:rPr>
    </w:lvl>
  </w:abstractNum>
  <w:abstractNum w:abstractNumId="74" w15:restartNumberingAfterBreak="0">
    <w:nsid w:val="2B675570"/>
    <w:multiLevelType w:val="hybridMultilevel"/>
    <w:tmpl w:val="DD92CCE6"/>
    <w:lvl w:ilvl="0" w:tplc="4A5CFF36">
      <w:start w:val="5"/>
      <w:numFmt w:val="lowerLetter"/>
      <w:lvlText w:val="%1)"/>
      <w:lvlJc w:val="left"/>
      <w:pPr>
        <w:ind w:left="1568" w:hanging="450"/>
      </w:pPr>
      <w:rPr>
        <w:rFonts w:ascii="Arial" w:eastAsia="Arial" w:hAnsi="Arial" w:cs="Arial" w:hint="default"/>
        <w:b w:val="0"/>
        <w:bCs w:val="0"/>
        <w:i w:val="0"/>
        <w:iCs w:val="0"/>
        <w:spacing w:val="0"/>
        <w:w w:val="99"/>
        <w:sz w:val="22"/>
        <w:szCs w:val="22"/>
        <w:lang w:val="en-US" w:eastAsia="en-US" w:bidi="ar-SA"/>
      </w:rPr>
    </w:lvl>
    <w:lvl w:ilvl="1" w:tplc="6F26A35A">
      <w:start w:val="1"/>
      <w:numFmt w:val="lowerRoman"/>
      <w:lvlText w:val="%2."/>
      <w:lvlJc w:val="left"/>
      <w:pPr>
        <w:ind w:left="2012" w:hanging="381"/>
      </w:pPr>
      <w:rPr>
        <w:rFonts w:ascii="Arial" w:eastAsia="Arial" w:hAnsi="Arial" w:cs="Arial" w:hint="default"/>
        <w:b w:val="0"/>
        <w:bCs w:val="0"/>
        <w:i w:val="0"/>
        <w:iCs w:val="0"/>
        <w:spacing w:val="0"/>
        <w:w w:val="99"/>
        <w:sz w:val="22"/>
        <w:szCs w:val="22"/>
        <w:lang w:val="en-US" w:eastAsia="en-US" w:bidi="ar-SA"/>
      </w:rPr>
    </w:lvl>
    <w:lvl w:ilvl="2" w:tplc="3514C9D2">
      <w:numFmt w:val="bullet"/>
      <w:lvlText w:val="•"/>
      <w:lvlJc w:val="left"/>
      <w:pPr>
        <w:ind w:left="2536" w:hanging="381"/>
      </w:pPr>
      <w:rPr>
        <w:rFonts w:hint="default"/>
        <w:lang w:val="en-US" w:eastAsia="en-US" w:bidi="ar-SA"/>
      </w:rPr>
    </w:lvl>
    <w:lvl w:ilvl="3" w:tplc="337A2412">
      <w:numFmt w:val="bullet"/>
      <w:lvlText w:val="•"/>
      <w:lvlJc w:val="left"/>
      <w:pPr>
        <w:ind w:left="3053" w:hanging="381"/>
      </w:pPr>
      <w:rPr>
        <w:rFonts w:hint="default"/>
        <w:lang w:val="en-US" w:eastAsia="en-US" w:bidi="ar-SA"/>
      </w:rPr>
    </w:lvl>
    <w:lvl w:ilvl="4" w:tplc="2B1086C6">
      <w:numFmt w:val="bullet"/>
      <w:lvlText w:val="•"/>
      <w:lvlJc w:val="left"/>
      <w:pPr>
        <w:ind w:left="3569" w:hanging="381"/>
      </w:pPr>
      <w:rPr>
        <w:rFonts w:hint="default"/>
        <w:lang w:val="en-US" w:eastAsia="en-US" w:bidi="ar-SA"/>
      </w:rPr>
    </w:lvl>
    <w:lvl w:ilvl="5" w:tplc="E990DD70">
      <w:numFmt w:val="bullet"/>
      <w:lvlText w:val="•"/>
      <w:lvlJc w:val="left"/>
      <w:pPr>
        <w:ind w:left="4086" w:hanging="381"/>
      </w:pPr>
      <w:rPr>
        <w:rFonts w:hint="default"/>
        <w:lang w:val="en-US" w:eastAsia="en-US" w:bidi="ar-SA"/>
      </w:rPr>
    </w:lvl>
    <w:lvl w:ilvl="6" w:tplc="9CAACFD4">
      <w:numFmt w:val="bullet"/>
      <w:lvlText w:val="•"/>
      <w:lvlJc w:val="left"/>
      <w:pPr>
        <w:ind w:left="4602" w:hanging="381"/>
      </w:pPr>
      <w:rPr>
        <w:rFonts w:hint="default"/>
        <w:lang w:val="en-US" w:eastAsia="en-US" w:bidi="ar-SA"/>
      </w:rPr>
    </w:lvl>
    <w:lvl w:ilvl="7" w:tplc="912CB18E">
      <w:numFmt w:val="bullet"/>
      <w:lvlText w:val="•"/>
      <w:lvlJc w:val="left"/>
      <w:pPr>
        <w:ind w:left="5119" w:hanging="381"/>
      </w:pPr>
      <w:rPr>
        <w:rFonts w:hint="default"/>
        <w:lang w:val="en-US" w:eastAsia="en-US" w:bidi="ar-SA"/>
      </w:rPr>
    </w:lvl>
    <w:lvl w:ilvl="8" w:tplc="20722874">
      <w:numFmt w:val="bullet"/>
      <w:lvlText w:val="•"/>
      <w:lvlJc w:val="left"/>
      <w:pPr>
        <w:ind w:left="5635" w:hanging="381"/>
      </w:pPr>
      <w:rPr>
        <w:rFonts w:hint="default"/>
        <w:lang w:val="en-US" w:eastAsia="en-US" w:bidi="ar-SA"/>
      </w:rPr>
    </w:lvl>
  </w:abstractNum>
  <w:abstractNum w:abstractNumId="75" w15:restartNumberingAfterBreak="0">
    <w:nsid w:val="2BAE6F83"/>
    <w:multiLevelType w:val="hybridMultilevel"/>
    <w:tmpl w:val="631CC3C4"/>
    <w:lvl w:ilvl="0" w:tplc="E9CAAB82">
      <w:start w:val="1"/>
      <w:numFmt w:val="decimal"/>
      <w:lvlText w:val="%1)"/>
      <w:lvlJc w:val="left"/>
      <w:pPr>
        <w:ind w:left="848" w:hanging="361"/>
      </w:pPr>
      <w:rPr>
        <w:rFonts w:ascii="Arial" w:eastAsia="Arial" w:hAnsi="Arial" w:cs="Arial" w:hint="default"/>
        <w:b w:val="0"/>
        <w:bCs w:val="0"/>
        <w:i w:val="0"/>
        <w:iCs w:val="0"/>
        <w:spacing w:val="0"/>
        <w:w w:val="99"/>
        <w:sz w:val="22"/>
        <w:szCs w:val="22"/>
        <w:lang w:val="en-US" w:eastAsia="en-US" w:bidi="ar-SA"/>
      </w:rPr>
    </w:lvl>
    <w:lvl w:ilvl="1" w:tplc="040225EC">
      <w:start w:val="1"/>
      <w:numFmt w:val="lowerLetter"/>
      <w:lvlText w:val="%2)"/>
      <w:lvlJc w:val="left"/>
      <w:pPr>
        <w:ind w:left="1245" w:hanging="397"/>
      </w:pPr>
      <w:rPr>
        <w:rFonts w:ascii="Arial" w:eastAsia="Arial" w:hAnsi="Arial" w:cs="Arial" w:hint="default"/>
        <w:b w:val="0"/>
        <w:bCs w:val="0"/>
        <w:i w:val="0"/>
        <w:iCs w:val="0"/>
        <w:spacing w:val="0"/>
        <w:w w:val="99"/>
        <w:sz w:val="22"/>
        <w:szCs w:val="22"/>
        <w:lang w:val="en-US" w:eastAsia="en-US" w:bidi="ar-SA"/>
      </w:rPr>
    </w:lvl>
    <w:lvl w:ilvl="2" w:tplc="459C0634">
      <w:start w:val="1"/>
      <w:numFmt w:val="lowerRoman"/>
      <w:lvlText w:val="%3."/>
      <w:lvlJc w:val="left"/>
      <w:pPr>
        <w:ind w:left="1652" w:hanging="423"/>
      </w:pPr>
      <w:rPr>
        <w:rFonts w:ascii="Arial" w:eastAsia="Arial" w:hAnsi="Arial" w:cs="Arial" w:hint="default"/>
        <w:b w:val="0"/>
        <w:bCs w:val="0"/>
        <w:i w:val="0"/>
        <w:iCs w:val="0"/>
        <w:spacing w:val="0"/>
        <w:w w:val="99"/>
        <w:sz w:val="22"/>
        <w:szCs w:val="22"/>
        <w:lang w:val="en-US" w:eastAsia="en-US" w:bidi="ar-SA"/>
      </w:rPr>
    </w:lvl>
    <w:lvl w:ilvl="3" w:tplc="704C8630">
      <w:numFmt w:val="bullet"/>
      <w:lvlText w:val="•"/>
      <w:lvlJc w:val="left"/>
      <w:pPr>
        <w:ind w:left="2286" w:hanging="423"/>
      </w:pPr>
      <w:rPr>
        <w:rFonts w:hint="default"/>
        <w:lang w:val="en-US" w:eastAsia="en-US" w:bidi="ar-SA"/>
      </w:rPr>
    </w:lvl>
    <w:lvl w:ilvl="4" w:tplc="64C07586">
      <w:numFmt w:val="bullet"/>
      <w:lvlText w:val="•"/>
      <w:lvlJc w:val="left"/>
      <w:pPr>
        <w:ind w:left="2912" w:hanging="423"/>
      </w:pPr>
      <w:rPr>
        <w:rFonts w:hint="default"/>
        <w:lang w:val="en-US" w:eastAsia="en-US" w:bidi="ar-SA"/>
      </w:rPr>
    </w:lvl>
    <w:lvl w:ilvl="5" w:tplc="FD8EBC82">
      <w:numFmt w:val="bullet"/>
      <w:lvlText w:val="•"/>
      <w:lvlJc w:val="left"/>
      <w:pPr>
        <w:ind w:left="3538" w:hanging="423"/>
      </w:pPr>
      <w:rPr>
        <w:rFonts w:hint="default"/>
        <w:lang w:val="en-US" w:eastAsia="en-US" w:bidi="ar-SA"/>
      </w:rPr>
    </w:lvl>
    <w:lvl w:ilvl="6" w:tplc="3FC4D33A">
      <w:numFmt w:val="bullet"/>
      <w:lvlText w:val="•"/>
      <w:lvlJc w:val="left"/>
      <w:pPr>
        <w:ind w:left="4164" w:hanging="423"/>
      </w:pPr>
      <w:rPr>
        <w:rFonts w:hint="default"/>
        <w:lang w:val="en-US" w:eastAsia="en-US" w:bidi="ar-SA"/>
      </w:rPr>
    </w:lvl>
    <w:lvl w:ilvl="7" w:tplc="10D87136">
      <w:numFmt w:val="bullet"/>
      <w:lvlText w:val="•"/>
      <w:lvlJc w:val="left"/>
      <w:pPr>
        <w:ind w:left="4790" w:hanging="423"/>
      </w:pPr>
      <w:rPr>
        <w:rFonts w:hint="default"/>
        <w:lang w:val="en-US" w:eastAsia="en-US" w:bidi="ar-SA"/>
      </w:rPr>
    </w:lvl>
    <w:lvl w:ilvl="8" w:tplc="ADA07968">
      <w:numFmt w:val="bullet"/>
      <w:lvlText w:val="•"/>
      <w:lvlJc w:val="left"/>
      <w:pPr>
        <w:ind w:left="5416" w:hanging="423"/>
      </w:pPr>
      <w:rPr>
        <w:rFonts w:hint="default"/>
        <w:lang w:val="en-US" w:eastAsia="en-US" w:bidi="ar-SA"/>
      </w:rPr>
    </w:lvl>
  </w:abstractNum>
  <w:abstractNum w:abstractNumId="76" w15:restartNumberingAfterBreak="0">
    <w:nsid w:val="2BBD245B"/>
    <w:multiLevelType w:val="hybridMultilevel"/>
    <w:tmpl w:val="BE80D002"/>
    <w:lvl w:ilvl="0" w:tplc="82B4C3C6">
      <w:start w:val="10"/>
      <w:numFmt w:val="lowerLetter"/>
      <w:lvlText w:val="%1."/>
      <w:lvlJc w:val="left"/>
      <w:pPr>
        <w:ind w:left="1203" w:hanging="361"/>
      </w:pPr>
      <w:rPr>
        <w:rFonts w:ascii="Arial" w:eastAsia="Arial" w:hAnsi="Arial" w:cs="Arial" w:hint="default"/>
        <w:b w:val="0"/>
        <w:bCs w:val="0"/>
        <w:i w:val="0"/>
        <w:iCs w:val="0"/>
        <w:spacing w:val="0"/>
        <w:w w:val="99"/>
        <w:sz w:val="22"/>
        <w:szCs w:val="22"/>
        <w:lang w:val="en-US" w:eastAsia="en-US" w:bidi="ar-SA"/>
      </w:rPr>
    </w:lvl>
    <w:lvl w:ilvl="1" w:tplc="2892D8D0">
      <w:numFmt w:val="bullet"/>
      <w:lvlText w:val=""/>
      <w:lvlJc w:val="left"/>
      <w:pPr>
        <w:ind w:left="1514" w:hanging="270"/>
      </w:pPr>
      <w:rPr>
        <w:rFonts w:ascii="Symbol" w:eastAsia="Symbol" w:hAnsi="Symbol" w:cs="Symbol" w:hint="default"/>
        <w:spacing w:val="0"/>
        <w:w w:val="99"/>
        <w:lang w:val="en-US" w:eastAsia="en-US" w:bidi="ar-SA"/>
      </w:rPr>
    </w:lvl>
    <w:lvl w:ilvl="2" w:tplc="324CDC60">
      <w:numFmt w:val="bullet"/>
      <w:lvlText w:val="•"/>
      <w:lvlJc w:val="left"/>
      <w:pPr>
        <w:ind w:left="2167" w:hanging="270"/>
      </w:pPr>
      <w:rPr>
        <w:rFonts w:hint="default"/>
        <w:lang w:val="en-US" w:eastAsia="en-US" w:bidi="ar-SA"/>
      </w:rPr>
    </w:lvl>
    <w:lvl w:ilvl="3" w:tplc="E626BF86">
      <w:numFmt w:val="bullet"/>
      <w:lvlText w:val="•"/>
      <w:lvlJc w:val="left"/>
      <w:pPr>
        <w:ind w:left="2815" w:hanging="270"/>
      </w:pPr>
      <w:rPr>
        <w:rFonts w:hint="default"/>
        <w:lang w:val="en-US" w:eastAsia="en-US" w:bidi="ar-SA"/>
      </w:rPr>
    </w:lvl>
    <w:lvl w:ilvl="4" w:tplc="06345ABA">
      <w:numFmt w:val="bullet"/>
      <w:lvlText w:val="•"/>
      <w:lvlJc w:val="left"/>
      <w:pPr>
        <w:ind w:left="3463" w:hanging="270"/>
      </w:pPr>
      <w:rPr>
        <w:rFonts w:hint="default"/>
        <w:lang w:val="en-US" w:eastAsia="en-US" w:bidi="ar-SA"/>
      </w:rPr>
    </w:lvl>
    <w:lvl w:ilvl="5" w:tplc="2C7A9526">
      <w:numFmt w:val="bullet"/>
      <w:lvlText w:val="•"/>
      <w:lvlJc w:val="left"/>
      <w:pPr>
        <w:ind w:left="4111" w:hanging="270"/>
      </w:pPr>
      <w:rPr>
        <w:rFonts w:hint="default"/>
        <w:lang w:val="en-US" w:eastAsia="en-US" w:bidi="ar-SA"/>
      </w:rPr>
    </w:lvl>
    <w:lvl w:ilvl="6" w:tplc="48E03F8E">
      <w:numFmt w:val="bullet"/>
      <w:lvlText w:val="•"/>
      <w:lvlJc w:val="left"/>
      <w:pPr>
        <w:ind w:left="4758" w:hanging="270"/>
      </w:pPr>
      <w:rPr>
        <w:rFonts w:hint="default"/>
        <w:lang w:val="en-US" w:eastAsia="en-US" w:bidi="ar-SA"/>
      </w:rPr>
    </w:lvl>
    <w:lvl w:ilvl="7" w:tplc="860842CA">
      <w:numFmt w:val="bullet"/>
      <w:lvlText w:val="•"/>
      <w:lvlJc w:val="left"/>
      <w:pPr>
        <w:ind w:left="5406" w:hanging="270"/>
      </w:pPr>
      <w:rPr>
        <w:rFonts w:hint="default"/>
        <w:lang w:val="en-US" w:eastAsia="en-US" w:bidi="ar-SA"/>
      </w:rPr>
    </w:lvl>
    <w:lvl w:ilvl="8" w:tplc="D5047C32">
      <w:numFmt w:val="bullet"/>
      <w:lvlText w:val="•"/>
      <w:lvlJc w:val="left"/>
      <w:pPr>
        <w:ind w:left="6054" w:hanging="270"/>
      </w:pPr>
      <w:rPr>
        <w:rFonts w:hint="default"/>
        <w:lang w:val="en-US" w:eastAsia="en-US" w:bidi="ar-SA"/>
      </w:rPr>
    </w:lvl>
  </w:abstractNum>
  <w:abstractNum w:abstractNumId="77" w15:restartNumberingAfterBreak="0">
    <w:nsid w:val="2C212EBD"/>
    <w:multiLevelType w:val="hybridMultilevel"/>
    <w:tmpl w:val="AFBE9376"/>
    <w:lvl w:ilvl="0" w:tplc="9DDEFB48">
      <w:start w:val="10"/>
      <w:numFmt w:val="decimal"/>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A7502F64">
      <w:start w:val="1"/>
      <w:numFmt w:val="lowerLetter"/>
      <w:lvlText w:val="%2."/>
      <w:lvlJc w:val="left"/>
      <w:pPr>
        <w:ind w:left="2000" w:hanging="360"/>
      </w:pPr>
      <w:rPr>
        <w:rFonts w:ascii="Arial" w:eastAsia="Arial" w:hAnsi="Arial" w:cs="Arial" w:hint="default"/>
        <w:b w:val="0"/>
        <w:bCs w:val="0"/>
        <w:i w:val="0"/>
        <w:iCs w:val="0"/>
        <w:spacing w:val="0"/>
        <w:w w:val="99"/>
        <w:sz w:val="22"/>
        <w:szCs w:val="22"/>
        <w:lang w:val="en-US" w:eastAsia="en-US" w:bidi="ar-SA"/>
      </w:rPr>
    </w:lvl>
    <w:lvl w:ilvl="2" w:tplc="6554DB5A">
      <w:numFmt w:val="bullet"/>
      <w:lvlText w:val="•"/>
      <w:lvlJc w:val="left"/>
      <w:pPr>
        <w:ind w:left="2877" w:hanging="360"/>
      </w:pPr>
      <w:rPr>
        <w:rFonts w:hint="default"/>
        <w:lang w:val="en-US" w:eastAsia="en-US" w:bidi="ar-SA"/>
      </w:rPr>
    </w:lvl>
    <w:lvl w:ilvl="3" w:tplc="AC745ECA">
      <w:numFmt w:val="bullet"/>
      <w:lvlText w:val="•"/>
      <w:lvlJc w:val="left"/>
      <w:pPr>
        <w:ind w:left="3755" w:hanging="360"/>
      </w:pPr>
      <w:rPr>
        <w:rFonts w:hint="default"/>
        <w:lang w:val="en-US" w:eastAsia="en-US" w:bidi="ar-SA"/>
      </w:rPr>
    </w:lvl>
    <w:lvl w:ilvl="4" w:tplc="C9961684">
      <w:numFmt w:val="bullet"/>
      <w:lvlText w:val="•"/>
      <w:lvlJc w:val="left"/>
      <w:pPr>
        <w:ind w:left="4633" w:hanging="360"/>
      </w:pPr>
      <w:rPr>
        <w:rFonts w:hint="default"/>
        <w:lang w:val="en-US" w:eastAsia="en-US" w:bidi="ar-SA"/>
      </w:rPr>
    </w:lvl>
    <w:lvl w:ilvl="5" w:tplc="2438E8DA">
      <w:numFmt w:val="bullet"/>
      <w:lvlText w:val="•"/>
      <w:lvlJc w:val="left"/>
      <w:pPr>
        <w:ind w:left="5511" w:hanging="360"/>
      </w:pPr>
      <w:rPr>
        <w:rFonts w:hint="default"/>
        <w:lang w:val="en-US" w:eastAsia="en-US" w:bidi="ar-SA"/>
      </w:rPr>
    </w:lvl>
    <w:lvl w:ilvl="6" w:tplc="8F7AD318">
      <w:numFmt w:val="bullet"/>
      <w:lvlText w:val="•"/>
      <w:lvlJc w:val="left"/>
      <w:pPr>
        <w:ind w:left="6388" w:hanging="360"/>
      </w:pPr>
      <w:rPr>
        <w:rFonts w:hint="default"/>
        <w:lang w:val="en-US" w:eastAsia="en-US" w:bidi="ar-SA"/>
      </w:rPr>
    </w:lvl>
    <w:lvl w:ilvl="7" w:tplc="D598B002">
      <w:numFmt w:val="bullet"/>
      <w:lvlText w:val="•"/>
      <w:lvlJc w:val="left"/>
      <w:pPr>
        <w:ind w:left="7266" w:hanging="360"/>
      </w:pPr>
      <w:rPr>
        <w:rFonts w:hint="default"/>
        <w:lang w:val="en-US" w:eastAsia="en-US" w:bidi="ar-SA"/>
      </w:rPr>
    </w:lvl>
    <w:lvl w:ilvl="8" w:tplc="E00A5ABA">
      <w:numFmt w:val="bullet"/>
      <w:lvlText w:val="•"/>
      <w:lvlJc w:val="left"/>
      <w:pPr>
        <w:ind w:left="8144" w:hanging="360"/>
      </w:pPr>
      <w:rPr>
        <w:rFonts w:hint="default"/>
        <w:lang w:val="en-US" w:eastAsia="en-US" w:bidi="ar-SA"/>
      </w:rPr>
    </w:lvl>
  </w:abstractNum>
  <w:abstractNum w:abstractNumId="78" w15:restartNumberingAfterBreak="0">
    <w:nsid w:val="2CB55E12"/>
    <w:multiLevelType w:val="hybridMultilevel"/>
    <w:tmpl w:val="689ED18E"/>
    <w:lvl w:ilvl="0" w:tplc="E4C2A62C">
      <w:start w:val="1"/>
      <w:numFmt w:val="decimalZero"/>
      <w:lvlText w:val=".%1"/>
      <w:lvlJc w:val="left"/>
      <w:pPr>
        <w:ind w:left="1560" w:hanging="721"/>
      </w:pPr>
      <w:rPr>
        <w:rFonts w:ascii="Arial" w:eastAsia="Arial" w:hAnsi="Arial" w:cs="Arial" w:hint="default"/>
        <w:b w:val="0"/>
        <w:bCs w:val="0"/>
        <w:i w:val="0"/>
        <w:iCs w:val="0"/>
        <w:spacing w:val="0"/>
        <w:w w:val="99"/>
        <w:sz w:val="22"/>
        <w:szCs w:val="22"/>
        <w:lang w:val="en-US" w:eastAsia="en-US" w:bidi="ar-SA"/>
      </w:rPr>
    </w:lvl>
    <w:lvl w:ilvl="1" w:tplc="52FE687A">
      <w:numFmt w:val="bullet"/>
      <w:lvlText w:val="•"/>
      <w:lvlJc w:val="left"/>
      <w:pPr>
        <w:ind w:left="2382" w:hanging="721"/>
      </w:pPr>
      <w:rPr>
        <w:rFonts w:hint="default"/>
        <w:lang w:val="en-US" w:eastAsia="en-US" w:bidi="ar-SA"/>
      </w:rPr>
    </w:lvl>
    <w:lvl w:ilvl="2" w:tplc="868AF1D6">
      <w:numFmt w:val="bullet"/>
      <w:lvlText w:val="•"/>
      <w:lvlJc w:val="left"/>
      <w:pPr>
        <w:ind w:left="3204" w:hanging="721"/>
      </w:pPr>
      <w:rPr>
        <w:rFonts w:hint="default"/>
        <w:lang w:val="en-US" w:eastAsia="en-US" w:bidi="ar-SA"/>
      </w:rPr>
    </w:lvl>
    <w:lvl w:ilvl="3" w:tplc="45820B1C">
      <w:numFmt w:val="bullet"/>
      <w:lvlText w:val="•"/>
      <w:lvlJc w:val="left"/>
      <w:pPr>
        <w:ind w:left="4026" w:hanging="721"/>
      </w:pPr>
      <w:rPr>
        <w:rFonts w:hint="default"/>
        <w:lang w:val="en-US" w:eastAsia="en-US" w:bidi="ar-SA"/>
      </w:rPr>
    </w:lvl>
    <w:lvl w:ilvl="4" w:tplc="85C2EA7C">
      <w:numFmt w:val="bullet"/>
      <w:lvlText w:val="•"/>
      <w:lvlJc w:val="left"/>
      <w:pPr>
        <w:ind w:left="4848" w:hanging="721"/>
      </w:pPr>
      <w:rPr>
        <w:rFonts w:hint="default"/>
        <w:lang w:val="en-US" w:eastAsia="en-US" w:bidi="ar-SA"/>
      </w:rPr>
    </w:lvl>
    <w:lvl w:ilvl="5" w:tplc="20500002">
      <w:numFmt w:val="bullet"/>
      <w:lvlText w:val="•"/>
      <w:lvlJc w:val="left"/>
      <w:pPr>
        <w:ind w:left="5670" w:hanging="721"/>
      </w:pPr>
      <w:rPr>
        <w:rFonts w:hint="default"/>
        <w:lang w:val="en-US" w:eastAsia="en-US" w:bidi="ar-SA"/>
      </w:rPr>
    </w:lvl>
    <w:lvl w:ilvl="6" w:tplc="96B05D24">
      <w:numFmt w:val="bullet"/>
      <w:lvlText w:val="•"/>
      <w:lvlJc w:val="left"/>
      <w:pPr>
        <w:ind w:left="6492" w:hanging="721"/>
      </w:pPr>
      <w:rPr>
        <w:rFonts w:hint="default"/>
        <w:lang w:val="en-US" w:eastAsia="en-US" w:bidi="ar-SA"/>
      </w:rPr>
    </w:lvl>
    <w:lvl w:ilvl="7" w:tplc="B9940106">
      <w:numFmt w:val="bullet"/>
      <w:lvlText w:val="•"/>
      <w:lvlJc w:val="left"/>
      <w:pPr>
        <w:ind w:left="7314" w:hanging="721"/>
      </w:pPr>
      <w:rPr>
        <w:rFonts w:hint="default"/>
        <w:lang w:val="en-US" w:eastAsia="en-US" w:bidi="ar-SA"/>
      </w:rPr>
    </w:lvl>
    <w:lvl w:ilvl="8" w:tplc="AC4A3226">
      <w:numFmt w:val="bullet"/>
      <w:lvlText w:val="•"/>
      <w:lvlJc w:val="left"/>
      <w:pPr>
        <w:ind w:left="8136" w:hanging="721"/>
      </w:pPr>
      <w:rPr>
        <w:rFonts w:hint="default"/>
        <w:lang w:val="en-US" w:eastAsia="en-US" w:bidi="ar-SA"/>
      </w:rPr>
    </w:lvl>
  </w:abstractNum>
  <w:abstractNum w:abstractNumId="79" w15:restartNumberingAfterBreak="0">
    <w:nsid w:val="2D304DEC"/>
    <w:multiLevelType w:val="hybridMultilevel"/>
    <w:tmpl w:val="33D02E1C"/>
    <w:lvl w:ilvl="0" w:tplc="3956E208">
      <w:start w:val="1"/>
      <w:numFmt w:val="decimalZero"/>
      <w:lvlText w:val=".%1"/>
      <w:lvlJc w:val="left"/>
      <w:pPr>
        <w:ind w:left="1559" w:hanging="721"/>
      </w:pPr>
      <w:rPr>
        <w:rFonts w:ascii="Arial" w:eastAsia="Arial" w:hAnsi="Arial" w:cs="Arial" w:hint="default"/>
        <w:b w:val="0"/>
        <w:bCs w:val="0"/>
        <w:i w:val="0"/>
        <w:iCs w:val="0"/>
        <w:spacing w:val="0"/>
        <w:w w:val="99"/>
        <w:sz w:val="22"/>
        <w:szCs w:val="22"/>
        <w:lang w:val="en-US" w:eastAsia="en-US" w:bidi="ar-SA"/>
      </w:rPr>
    </w:lvl>
    <w:lvl w:ilvl="1" w:tplc="D540AB5C">
      <w:numFmt w:val="bullet"/>
      <w:lvlText w:val=""/>
      <w:lvlJc w:val="left"/>
      <w:pPr>
        <w:ind w:left="1919" w:hanging="360"/>
      </w:pPr>
      <w:rPr>
        <w:rFonts w:ascii="Symbol" w:eastAsia="Symbol" w:hAnsi="Symbol" w:cs="Symbol" w:hint="default"/>
        <w:b w:val="0"/>
        <w:bCs w:val="0"/>
        <w:i w:val="0"/>
        <w:iCs w:val="0"/>
        <w:spacing w:val="0"/>
        <w:w w:val="99"/>
        <w:sz w:val="22"/>
        <w:szCs w:val="22"/>
        <w:lang w:val="en-US" w:eastAsia="en-US" w:bidi="ar-SA"/>
      </w:rPr>
    </w:lvl>
    <w:lvl w:ilvl="2" w:tplc="57EEAEFC">
      <w:numFmt w:val="bullet"/>
      <w:lvlText w:val="•"/>
      <w:lvlJc w:val="left"/>
      <w:pPr>
        <w:ind w:left="2793" w:hanging="360"/>
      </w:pPr>
      <w:rPr>
        <w:rFonts w:hint="default"/>
        <w:lang w:val="en-US" w:eastAsia="en-US" w:bidi="ar-SA"/>
      </w:rPr>
    </w:lvl>
    <w:lvl w:ilvl="3" w:tplc="A038206C">
      <w:numFmt w:val="bullet"/>
      <w:lvlText w:val="•"/>
      <w:lvlJc w:val="left"/>
      <w:pPr>
        <w:ind w:left="3666" w:hanging="360"/>
      </w:pPr>
      <w:rPr>
        <w:rFonts w:hint="default"/>
        <w:lang w:val="en-US" w:eastAsia="en-US" w:bidi="ar-SA"/>
      </w:rPr>
    </w:lvl>
    <w:lvl w:ilvl="4" w:tplc="44CCDD82">
      <w:numFmt w:val="bullet"/>
      <w:lvlText w:val="•"/>
      <w:lvlJc w:val="left"/>
      <w:pPr>
        <w:ind w:left="4540" w:hanging="360"/>
      </w:pPr>
      <w:rPr>
        <w:rFonts w:hint="default"/>
        <w:lang w:val="en-US" w:eastAsia="en-US" w:bidi="ar-SA"/>
      </w:rPr>
    </w:lvl>
    <w:lvl w:ilvl="5" w:tplc="5D38B742">
      <w:numFmt w:val="bullet"/>
      <w:lvlText w:val="•"/>
      <w:lvlJc w:val="left"/>
      <w:pPr>
        <w:ind w:left="5413" w:hanging="360"/>
      </w:pPr>
      <w:rPr>
        <w:rFonts w:hint="default"/>
        <w:lang w:val="en-US" w:eastAsia="en-US" w:bidi="ar-SA"/>
      </w:rPr>
    </w:lvl>
    <w:lvl w:ilvl="6" w:tplc="DE3C4C28">
      <w:numFmt w:val="bullet"/>
      <w:lvlText w:val="•"/>
      <w:lvlJc w:val="left"/>
      <w:pPr>
        <w:ind w:left="6286" w:hanging="360"/>
      </w:pPr>
      <w:rPr>
        <w:rFonts w:hint="default"/>
        <w:lang w:val="en-US" w:eastAsia="en-US" w:bidi="ar-SA"/>
      </w:rPr>
    </w:lvl>
    <w:lvl w:ilvl="7" w:tplc="F2F2F684">
      <w:numFmt w:val="bullet"/>
      <w:lvlText w:val="•"/>
      <w:lvlJc w:val="left"/>
      <w:pPr>
        <w:ind w:left="7160" w:hanging="360"/>
      </w:pPr>
      <w:rPr>
        <w:rFonts w:hint="default"/>
        <w:lang w:val="en-US" w:eastAsia="en-US" w:bidi="ar-SA"/>
      </w:rPr>
    </w:lvl>
    <w:lvl w:ilvl="8" w:tplc="A87298F4">
      <w:numFmt w:val="bullet"/>
      <w:lvlText w:val="•"/>
      <w:lvlJc w:val="left"/>
      <w:pPr>
        <w:ind w:left="8033" w:hanging="360"/>
      </w:pPr>
      <w:rPr>
        <w:rFonts w:hint="default"/>
        <w:lang w:val="en-US" w:eastAsia="en-US" w:bidi="ar-SA"/>
      </w:rPr>
    </w:lvl>
  </w:abstractNum>
  <w:abstractNum w:abstractNumId="80" w15:restartNumberingAfterBreak="0">
    <w:nsid w:val="2DA846E3"/>
    <w:multiLevelType w:val="hybridMultilevel"/>
    <w:tmpl w:val="47A882EC"/>
    <w:lvl w:ilvl="0" w:tplc="1B22324E">
      <w:start w:val="1"/>
      <w:numFmt w:val="decimalZero"/>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552E361C">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2" w:tplc="413C2040">
      <w:numFmt w:val="bullet"/>
      <w:lvlText w:val="o"/>
      <w:lvlJc w:val="left"/>
      <w:pPr>
        <w:ind w:left="2360" w:hanging="360"/>
      </w:pPr>
      <w:rPr>
        <w:rFonts w:ascii="Courier New" w:eastAsia="Courier New" w:hAnsi="Courier New" w:cs="Courier New" w:hint="default"/>
        <w:b w:val="0"/>
        <w:bCs w:val="0"/>
        <w:i w:val="0"/>
        <w:iCs w:val="0"/>
        <w:spacing w:val="0"/>
        <w:w w:val="99"/>
        <w:sz w:val="22"/>
        <w:szCs w:val="22"/>
        <w:lang w:val="en-US" w:eastAsia="en-US" w:bidi="ar-SA"/>
      </w:rPr>
    </w:lvl>
    <w:lvl w:ilvl="3" w:tplc="B9625B60">
      <w:numFmt w:val="bullet"/>
      <w:lvlText w:val="•"/>
      <w:lvlJc w:val="left"/>
      <w:pPr>
        <w:ind w:left="3302" w:hanging="360"/>
      </w:pPr>
      <w:rPr>
        <w:rFonts w:hint="default"/>
        <w:lang w:val="en-US" w:eastAsia="en-US" w:bidi="ar-SA"/>
      </w:rPr>
    </w:lvl>
    <w:lvl w:ilvl="4" w:tplc="E32A4E0E">
      <w:numFmt w:val="bullet"/>
      <w:lvlText w:val="•"/>
      <w:lvlJc w:val="left"/>
      <w:pPr>
        <w:ind w:left="4245" w:hanging="360"/>
      </w:pPr>
      <w:rPr>
        <w:rFonts w:hint="default"/>
        <w:lang w:val="en-US" w:eastAsia="en-US" w:bidi="ar-SA"/>
      </w:rPr>
    </w:lvl>
    <w:lvl w:ilvl="5" w:tplc="08806478">
      <w:numFmt w:val="bullet"/>
      <w:lvlText w:val="•"/>
      <w:lvlJc w:val="left"/>
      <w:pPr>
        <w:ind w:left="5187" w:hanging="360"/>
      </w:pPr>
      <w:rPr>
        <w:rFonts w:hint="default"/>
        <w:lang w:val="en-US" w:eastAsia="en-US" w:bidi="ar-SA"/>
      </w:rPr>
    </w:lvl>
    <w:lvl w:ilvl="6" w:tplc="BD308944">
      <w:numFmt w:val="bullet"/>
      <w:lvlText w:val="•"/>
      <w:lvlJc w:val="left"/>
      <w:pPr>
        <w:ind w:left="6130" w:hanging="360"/>
      </w:pPr>
      <w:rPr>
        <w:rFonts w:hint="default"/>
        <w:lang w:val="en-US" w:eastAsia="en-US" w:bidi="ar-SA"/>
      </w:rPr>
    </w:lvl>
    <w:lvl w:ilvl="7" w:tplc="9760D4D0">
      <w:numFmt w:val="bullet"/>
      <w:lvlText w:val="•"/>
      <w:lvlJc w:val="left"/>
      <w:pPr>
        <w:ind w:left="7072" w:hanging="360"/>
      </w:pPr>
      <w:rPr>
        <w:rFonts w:hint="default"/>
        <w:lang w:val="en-US" w:eastAsia="en-US" w:bidi="ar-SA"/>
      </w:rPr>
    </w:lvl>
    <w:lvl w:ilvl="8" w:tplc="C218B7CA">
      <w:numFmt w:val="bullet"/>
      <w:lvlText w:val="•"/>
      <w:lvlJc w:val="left"/>
      <w:pPr>
        <w:ind w:left="8015" w:hanging="360"/>
      </w:pPr>
      <w:rPr>
        <w:rFonts w:hint="default"/>
        <w:lang w:val="en-US" w:eastAsia="en-US" w:bidi="ar-SA"/>
      </w:rPr>
    </w:lvl>
  </w:abstractNum>
  <w:abstractNum w:abstractNumId="81" w15:restartNumberingAfterBreak="0">
    <w:nsid w:val="2DAC6517"/>
    <w:multiLevelType w:val="hybridMultilevel"/>
    <w:tmpl w:val="FF782F44"/>
    <w:lvl w:ilvl="0" w:tplc="D2629B9E">
      <w:numFmt w:val="bullet"/>
      <w:lvlText w:val=""/>
      <w:lvlJc w:val="left"/>
      <w:pPr>
        <w:ind w:left="1069" w:hanging="360"/>
      </w:pPr>
      <w:rPr>
        <w:rFonts w:ascii="Symbol" w:eastAsia="Symbol" w:hAnsi="Symbol" w:cs="Symbol" w:hint="default"/>
        <w:b w:val="0"/>
        <w:bCs w:val="0"/>
        <w:i w:val="0"/>
        <w:iCs w:val="0"/>
        <w:spacing w:val="0"/>
        <w:w w:val="99"/>
        <w:sz w:val="22"/>
        <w:szCs w:val="22"/>
        <w:lang w:val="en-US" w:eastAsia="en-US" w:bidi="ar-SA"/>
      </w:rPr>
    </w:lvl>
    <w:lvl w:ilvl="1" w:tplc="AD449092">
      <w:numFmt w:val="bullet"/>
      <w:lvlText w:val="•"/>
      <w:lvlJc w:val="left"/>
      <w:pPr>
        <w:ind w:left="1653" w:hanging="360"/>
      </w:pPr>
      <w:rPr>
        <w:rFonts w:hint="default"/>
        <w:lang w:val="en-US" w:eastAsia="en-US" w:bidi="ar-SA"/>
      </w:rPr>
    </w:lvl>
    <w:lvl w:ilvl="2" w:tplc="B446971C">
      <w:numFmt w:val="bullet"/>
      <w:lvlText w:val="•"/>
      <w:lvlJc w:val="left"/>
      <w:pPr>
        <w:ind w:left="2247" w:hanging="360"/>
      </w:pPr>
      <w:rPr>
        <w:rFonts w:hint="default"/>
        <w:lang w:val="en-US" w:eastAsia="en-US" w:bidi="ar-SA"/>
      </w:rPr>
    </w:lvl>
    <w:lvl w:ilvl="3" w:tplc="A27CE5C6">
      <w:numFmt w:val="bullet"/>
      <w:lvlText w:val="•"/>
      <w:lvlJc w:val="left"/>
      <w:pPr>
        <w:ind w:left="2840" w:hanging="360"/>
      </w:pPr>
      <w:rPr>
        <w:rFonts w:hint="default"/>
        <w:lang w:val="en-US" w:eastAsia="en-US" w:bidi="ar-SA"/>
      </w:rPr>
    </w:lvl>
    <w:lvl w:ilvl="4" w:tplc="8294013C">
      <w:numFmt w:val="bullet"/>
      <w:lvlText w:val="•"/>
      <w:lvlJc w:val="left"/>
      <w:pPr>
        <w:ind w:left="3434" w:hanging="360"/>
      </w:pPr>
      <w:rPr>
        <w:rFonts w:hint="default"/>
        <w:lang w:val="en-US" w:eastAsia="en-US" w:bidi="ar-SA"/>
      </w:rPr>
    </w:lvl>
    <w:lvl w:ilvl="5" w:tplc="AD0658AE">
      <w:numFmt w:val="bullet"/>
      <w:lvlText w:val="•"/>
      <w:lvlJc w:val="left"/>
      <w:pPr>
        <w:ind w:left="4027" w:hanging="360"/>
      </w:pPr>
      <w:rPr>
        <w:rFonts w:hint="default"/>
        <w:lang w:val="en-US" w:eastAsia="en-US" w:bidi="ar-SA"/>
      </w:rPr>
    </w:lvl>
    <w:lvl w:ilvl="6" w:tplc="749CEDCE">
      <w:numFmt w:val="bullet"/>
      <w:lvlText w:val="•"/>
      <w:lvlJc w:val="left"/>
      <w:pPr>
        <w:ind w:left="4621" w:hanging="360"/>
      </w:pPr>
      <w:rPr>
        <w:rFonts w:hint="default"/>
        <w:lang w:val="en-US" w:eastAsia="en-US" w:bidi="ar-SA"/>
      </w:rPr>
    </w:lvl>
    <w:lvl w:ilvl="7" w:tplc="80C2FC3A">
      <w:numFmt w:val="bullet"/>
      <w:lvlText w:val="•"/>
      <w:lvlJc w:val="left"/>
      <w:pPr>
        <w:ind w:left="5214" w:hanging="360"/>
      </w:pPr>
      <w:rPr>
        <w:rFonts w:hint="default"/>
        <w:lang w:val="en-US" w:eastAsia="en-US" w:bidi="ar-SA"/>
      </w:rPr>
    </w:lvl>
    <w:lvl w:ilvl="8" w:tplc="E07A45E6">
      <w:numFmt w:val="bullet"/>
      <w:lvlText w:val="•"/>
      <w:lvlJc w:val="left"/>
      <w:pPr>
        <w:ind w:left="5808" w:hanging="360"/>
      </w:pPr>
      <w:rPr>
        <w:rFonts w:hint="default"/>
        <w:lang w:val="en-US" w:eastAsia="en-US" w:bidi="ar-SA"/>
      </w:rPr>
    </w:lvl>
  </w:abstractNum>
  <w:abstractNum w:abstractNumId="82" w15:restartNumberingAfterBreak="0">
    <w:nsid w:val="2DDD4524"/>
    <w:multiLevelType w:val="hybridMultilevel"/>
    <w:tmpl w:val="6BB21B32"/>
    <w:lvl w:ilvl="0" w:tplc="9FA8601C">
      <w:start w:val="4"/>
      <w:numFmt w:val="lowerLetter"/>
      <w:lvlText w:val="%1."/>
      <w:lvlJc w:val="left"/>
      <w:pPr>
        <w:ind w:left="1285" w:hanging="360"/>
      </w:pPr>
      <w:rPr>
        <w:rFonts w:ascii="Arial" w:eastAsia="Arial" w:hAnsi="Arial" w:cs="Arial" w:hint="default"/>
        <w:b w:val="0"/>
        <w:bCs w:val="0"/>
        <w:i w:val="0"/>
        <w:iCs w:val="0"/>
        <w:spacing w:val="0"/>
        <w:w w:val="99"/>
        <w:sz w:val="22"/>
        <w:szCs w:val="22"/>
        <w:lang w:val="en-US" w:eastAsia="en-US" w:bidi="ar-SA"/>
      </w:rPr>
    </w:lvl>
    <w:lvl w:ilvl="1" w:tplc="8E96B384">
      <w:numFmt w:val="bullet"/>
      <w:lvlText w:val=""/>
      <w:lvlJc w:val="left"/>
      <w:pPr>
        <w:ind w:left="1675" w:hanging="360"/>
      </w:pPr>
      <w:rPr>
        <w:rFonts w:ascii="Symbol" w:eastAsia="Symbol" w:hAnsi="Symbol" w:cs="Symbol" w:hint="default"/>
        <w:b w:val="0"/>
        <w:bCs w:val="0"/>
        <w:i w:val="0"/>
        <w:iCs w:val="0"/>
        <w:spacing w:val="0"/>
        <w:w w:val="99"/>
        <w:sz w:val="22"/>
        <w:szCs w:val="22"/>
        <w:lang w:val="en-US" w:eastAsia="en-US" w:bidi="ar-SA"/>
      </w:rPr>
    </w:lvl>
    <w:lvl w:ilvl="2" w:tplc="44B43836">
      <w:numFmt w:val="bullet"/>
      <w:lvlText w:val="•"/>
      <w:lvlJc w:val="left"/>
      <w:pPr>
        <w:ind w:left="2317" w:hanging="360"/>
      </w:pPr>
      <w:rPr>
        <w:rFonts w:hint="default"/>
        <w:lang w:val="en-US" w:eastAsia="en-US" w:bidi="ar-SA"/>
      </w:rPr>
    </w:lvl>
    <w:lvl w:ilvl="3" w:tplc="C442D2FE">
      <w:numFmt w:val="bullet"/>
      <w:lvlText w:val="•"/>
      <w:lvlJc w:val="left"/>
      <w:pPr>
        <w:ind w:left="2954" w:hanging="360"/>
      </w:pPr>
      <w:rPr>
        <w:rFonts w:hint="default"/>
        <w:lang w:val="en-US" w:eastAsia="en-US" w:bidi="ar-SA"/>
      </w:rPr>
    </w:lvl>
    <w:lvl w:ilvl="4" w:tplc="D0362FB0">
      <w:numFmt w:val="bullet"/>
      <w:lvlText w:val="•"/>
      <w:lvlJc w:val="left"/>
      <w:pPr>
        <w:ind w:left="3591" w:hanging="360"/>
      </w:pPr>
      <w:rPr>
        <w:rFonts w:hint="default"/>
        <w:lang w:val="en-US" w:eastAsia="en-US" w:bidi="ar-SA"/>
      </w:rPr>
    </w:lvl>
    <w:lvl w:ilvl="5" w:tplc="D22A41DE">
      <w:numFmt w:val="bullet"/>
      <w:lvlText w:val="•"/>
      <w:lvlJc w:val="left"/>
      <w:pPr>
        <w:ind w:left="4228" w:hanging="360"/>
      </w:pPr>
      <w:rPr>
        <w:rFonts w:hint="default"/>
        <w:lang w:val="en-US" w:eastAsia="en-US" w:bidi="ar-SA"/>
      </w:rPr>
    </w:lvl>
    <w:lvl w:ilvl="6" w:tplc="5F4A26B6">
      <w:numFmt w:val="bullet"/>
      <w:lvlText w:val="•"/>
      <w:lvlJc w:val="left"/>
      <w:pPr>
        <w:ind w:left="4865" w:hanging="360"/>
      </w:pPr>
      <w:rPr>
        <w:rFonts w:hint="default"/>
        <w:lang w:val="en-US" w:eastAsia="en-US" w:bidi="ar-SA"/>
      </w:rPr>
    </w:lvl>
    <w:lvl w:ilvl="7" w:tplc="9E6E6084">
      <w:numFmt w:val="bullet"/>
      <w:lvlText w:val="•"/>
      <w:lvlJc w:val="left"/>
      <w:pPr>
        <w:ind w:left="5502" w:hanging="360"/>
      </w:pPr>
      <w:rPr>
        <w:rFonts w:hint="default"/>
        <w:lang w:val="en-US" w:eastAsia="en-US" w:bidi="ar-SA"/>
      </w:rPr>
    </w:lvl>
    <w:lvl w:ilvl="8" w:tplc="0C6C0964">
      <w:numFmt w:val="bullet"/>
      <w:lvlText w:val="•"/>
      <w:lvlJc w:val="left"/>
      <w:pPr>
        <w:ind w:left="6139" w:hanging="360"/>
      </w:pPr>
      <w:rPr>
        <w:rFonts w:hint="default"/>
        <w:lang w:val="en-US" w:eastAsia="en-US" w:bidi="ar-SA"/>
      </w:rPr>
    </w:lvl>
  </w:abstractNum>
  <w:abstractNum w:abstractNumId="83" w15:restartNumberingAfterBreak="0">
    <w:nsid w:val="2E5E7801"/>
    <w:multiLevelType w:val="hybridMultilevel"/>
    <w:tmpl w:val="28A229D8"/>
    <w:lvl w:ilvl="0" w:tplc="BCA81EA8">
      <w:start w:val="1"/>
      <w:numFmt w:val="decimal"/>
      <w:lvlText w:val="(%1)"/>
      <w:lvlJc w:val="left"/>
      <w:pPr>
        <w:ind w:left="367" w:hanging="270"/>
      </w:pPr>
      <w:rPr>
        <w:rFonts w:ascii="Arial" w:eastAsia="Arial" w:hAnsi="Arial" w:cs="Arial" w:hint="default"/>
        <w:b w:val="0"/>
        <w:bCs w:val="0"/>
        <w:i w:val="0"/>
        <w:iCs w:val="0"/>
        <w:spacing w:val="-1"/>
        <w:w w:val="100"/>
        <w:sz w:val="18"/>
        <w:szCs w:val="18"/>
        <w:lang w:val="en-US" w:eastAsia="en-US" w:bidi="ar-SA"/>
      </w:rPr>
    </w:lvl>
    <w:lvl w:ilvl="1" w:tplc="9E12B7A8">
      <w:numFmt w:val="bullet"/>
      <w:lvlText w:val="•"/>
      <w:lvlJc w:val="left"/>
      <w:pPr>
        <w:ind w:left="858" w:hanging="270"/>
      </w:pPr>
      <w:rPr>
        <w:rFonts w:hint="default"/>
        <w:lang w:val="en-US" w:eastAsia="en-US" w:bidi="ar-SA"/>
      </w:rPr>
    </w:lvl>
    <w:lvl w:ilvl="2" w:tplc="32DA4EA6">
      <w:numFmt w:val="bullet"/>
      <w:lvlText w:val="•"/>
      <w:lvlJc w:val="left"/>
      <w:pPr>
        <w:ind w:left="1356" w:hanging="270"/>
      </w:pPr>
      <w:rPr>
        <w:rFonts w:hint="default"/>
        <w:lang w:val="en-US" w:eastAsia="en-US" w:bidi="ar-SA"/>
      </w:rPr>
    </w:lvl>
    <w:lvl w:ilvl="3" w:tplc="BB621096">
      <w:numFmt w:val="bullet"/>
      <w:lvlText w:val="•"/>
      <w:lvlJc w:val="left"/>
      <w:pPr>
        <w:ind w:left="1855" w:hanging="270"/>
      </w:pPr>
      <w:rPr>
        <w:rFonts w:hint="default"/>
        <w:lang w:val="en-US" w:eastAsia="en-US" w:bidi="ar-SA"/>
      </w:rPr>
    </w:lvl>
    <w:lvl w:ilvl="4" w:tplc="AB18596C">
      <w:numFmt w:val="bullet"/>
      <w:lvlText w:val="•"/>
      <w:lvlJc w:val="left"/>
      <w:pPr>
        <w:ind w:left="2353" w:hanging="270"/>
      </w:pPr>
      <w:rPr>
        <w:rFonts w:hint="default"/>
        <w:lang w:val="en-US" w:eastAsia="en-US" w:bidi="ar-SA"/>
      </w:rPr>
    </w:lvl>
    <w:lvl w:ilvl="5" w:tplc="FF96AD76">
      <w:numFmt w:val="bullet"/>
      <w:lvlText w:val="•"/>
      <w:lvlJc w:val="left"/>
      <w:pPr>
        <w:ind w:left="2852" w:hanging="270"/>
      </w:pPr>
      <w:rPr>
        <w:rFonts w:hint="default"/>
        <w:lang w:val="en-US" w:eastAsia="en-US" w:bidi="ar-SA"/>
      </w:rPr>
    </w:lvl>
    <w:lvl w:ilvl="6" w:tplc="1D6288FC">
      <w:numFmt w:val="bullet"/>
      <w:lvlText w:val="•"/>
      <w:lvlJc w:val="left"/>
      <w:pPr>
        <w:ind w:left="3350" w:hanging="270"/>
      </w:pPr>
      <w:rPr>
        <w:rFonts w:hint="default"/>
        <w:lang w:val="en-US" w:eastAsia="en-US" w:bidi="ar-SA"/>
      </w:rPr>
    </w:lvl>
    <w:lvl w:ilvl="7" w:tplc="A9D255D4">
      <w:numFmt w:val="bullet"/>
      <w:lvlText w:val="•"/>
      <w:lvlJc w:val="left"/>
      <w:pPr>
        <w:ind w:left="3848" w:hanging="270"/>
      </w:pPr>
      <w:rPr>
        <w:rFonts w:hint="default"/>
        <w:lang w:val="en-US" w:eastAsia="en-US" w:bidi="ar-SA"/>
      </w:rPr>
    </w:lvl>
    <w:lvl w:ilvl="8" w:tplc="0BF4EFBE">
      <w:numFmt w:val="bullet"/>
      <w:lvlText w:val="•"/>
      <w:lvlJc w:val="left"/>
      <w:pPr>
        <w:ind w:left="4347" w:hanging="270"/>
      </w:pPr>
      <w:rPr>
        <w:rFonts w:hint="default"/>
        <w:lang w:val="en-US" w:eastAsia="en-US" w:bidi="ar-SA"/>
      </w:rPr>
    </w:lvl>
  </w:abstractNum>
  <w:abstractNum w:abstractNumId="84" w15:restartNumberingAfterBreak="0">
    <w:nsid w:val="2F02181A"/>
    <w:multiLevelType w:val="hybridMultilevel"/>
    <w:tmpl w:val="BB66EC20"/>
    <w:lvl w:ilvl="0" w:tplc="45DEE044">
      <w:numFmt w:val="bullet"/>
      <w:lvlText w:val=""/>
      <w:lvlJc w:val="left"/>
      <w:pPr>
        <w:ind w:left="583" w:hanging="180"/>
      </w:pPr>
      <w:rPr>
        <w:rFonts w:ascii="Symbol" w:eastAsia="Symbol" w:hAnsi="Symbol" w:cs="Symbol" w:hint="default"/>
        <w:b w:val="0"/>
        <w:bCs w:val="0"/>
        <w:i w:val="0"/>
        <w:iCs w:val="0"/>
        <w:spacing w:val="0"/>
        <w:w w:val="100"/>
        <w:sz w:val="18"/>
        <w:szCs w:val="18"/>
        <w:lang w:val="en-US" w:eastAsia="en-US" w:bidi="ar-SA"/>
      </w:rPr>
    </w:lvl>
    <w:lvl w:ilvl="1" w:tplc="44D4F8CC">
      <w:numFmt w:val="bullet"/>
      <w:lvlText w:val="•"/>
      <w:lvlJc w:val="left"/>
      <w:pPr>
        <w:ind w:left="1129" w:hanging="180"/>
      </w:pPr>
      <w:rPr>
        <w:rFonts w:hint="default"/>
        <w:lang w:val="en-US" w:eastAsia="en-US" w:bidi="ar-SA"/>
      </w:rPr>
    </w:lvl>
    <w:lvl w:ilvl="2" w:tplc="5728FBC2">
      <w:numFmt w:val="bullet"/>
      <w:lvlText w:val="•"/>
      <w:lvlJc w:val="left"/>
      <w:pPr>
        <w:ind w:left="1678" w:hanging="180"/>
      </w:pPr>
      <w:rPr>
        <w:rFonts w:hint="default"/>
        <w:lang w:val="en-US" w:eastAsia="en-US" w:bidi="ar-SA"/>
      </w:rPr>
    </w:lvl>
    <w:lvl w:ilvl="3" w:tplc="E81E7C50">
      <w:numFmt w:val="bullet"/>
      <w:lvlText w:val="•"/>
      <w:lvlJc w:val="left"/>
      <w:pPr>
        <w:ind w:left="2227" w:hanging="180"/>
      </w:pPr>
      <w:rPr>
        <w:rFonts w:hint="default"/>
        <w:lang w:val="en-US" w:eastAsia="en-US" w:bidi="ar-SA"/>
      </w:rPr>
    </w:lvl>
    <w:lvl w:ilvl="4" w:tplc="AB7ADF28">
      <w:numFmt w:val="bullet"/>
      <w:lvlText w:val="•"/>
      <w:lvlJc w:val="left"/>
      <w:pPr>
        <w:ind w:left="2776" w:hanging="180"/>
      </w:pPr>
      <w:rPr>
        <w:rFonts w:hint="default"/>
        <w:lang w:val="en-US" w:eastAsia="en-US" w:bidi="ar-SA"/>
      </w:rPr>
    </w:lvl>
    <w:lvl w:ilvl="5" w:tplc="7F5C76E2">
      <w:numFmt w:val="bullet"/>
      <w:lvlText w:val="•"/>
      <w:lvlJc w:val="left"/>
      <w:pPr>
        <w:ind w:left="3325" w:hanging="180"/>
      </w:pPr>
      <w:rPr>
        <w:rFonts w:hint="default"/>
        <w:lang w:val="en-US" w:eastAsia="en-US" w:bidi="ar-SA"/>
      </w:rPr>
    </w:lvl>
    <w:lvl w:ilvl="6" w:tplc="46C682E2">
      <w:numFmt w:val="bullet"/>
      <w:lvlText w:val="•"/>
      <w:lvlJc w:val="left"/>
      <w:pPr>
        <w:ind w:left="3874" w:hanging="180"/>
      </w:pPr>
      <w:rPr>
        <w:rFonts w:hint="default"/>
        <w:lang w:val="en-US" w:eastAsia="en-US" w:bidi="ar-SA"/>
      </w:rPr>
    </w:lvl>
    <w:lvl w:ilvl="7" w:tplc="BD04F48E">
      <w:numFmt w:val="bullet"/>
      <w:lvlText w:val="•"/>
      <w:lvlJc w:val="left"/>
      <w:pPr>
        <w:ind w:left="4423" w:hanging="180"/>
      </w:pPr>
      <w:rPr>
        <w:rFonts w:hint="default"/>
        <w:lang w:val="en-US" w:eastAsia="en-US" w:bidi="ar-SA"/>
      </w:rPr>
    </w:lvl>
    <w:lvl w:ilvl="8" w:tplc="B5CE2532">
      <w:numFmt w:val="bullet"/>
      <w:lvlText w:val="•"/>
      <w:lvlJc w:val="left"/>
      <w:pPr>
        <w:ind w:left="4972" w:hanging="180"/>
      </w:pPr>
      <w:rPr>
        <w:rFonts w:hint="default"/>
        <w:lang w:val="en-US" w:eastAsia="en-US" w:bidi="ar-SA"/>
      </w:rPr>
    </w:lvl>
  </w:abstractNum>
  <w:abstractNum w:abstractNumId="85" w15:restartNumberingAfterBreak="0">
    <w:nsid w:val="2F545A9A"/>
    <w:multiLevelType w:val="hybridMultilevel"/>
    <w:tmpl w:val="115A1F4E"/>
    <w:lvl w:ilvl="0" w:tplc="77F8032A">
      <w:start w:val="7"/>
      <w:numFmt w:val="decimal"/>
      <w:lvlText w:val="%1."/>
      <w:lvlJc w:val="left"/>
      <w:pPr>
        <w:ind w:left="614" w:hanging="439"/>
      </w:pPr>
      <w:rPr>
        <w:rFonts w:ascii="Arial" w:eastAsia="Arial" w:hAnsi="Arial" w:cs="Arial" w:hint="default"/>
        <w:b w:val="0"/>
        <w:bCs w:val="0"/>
        <w:i w:val="0"/>
        <w:iCs w:val="0"/>
        <w:spacing w:val="0"/>
        <w:w w:val="99"/>
        <w:sz w:val="22"/>
        <w:szCs w:val="22"/>
        <w:lang w:val="en-US" w:eastAsia="en-US" w:bidi="ar-SA"/>
      </w:rPr>
    </w:lvl>
    <w:lvl w:ilvl="1" w:tplc="D730F7D0">
      <w:numFmt w:val="bullet"/>
      <w:lvlText w:val=""/>
      <w:lvlJc w:val="left"/>
      <w:pPr>
        <w:ind w:left="979" w:hanging="356"/>
      </w:pPr>
      <w:rPr>
        <w:rFonts w:ascii="Symbol" w:eastAsia="Symbol" w:hAnsi="Symbol" w:cs="Symbol" w:hint="default"/>
        <w:b w:val="0"/>
        <w:bCs w:val="0"/>
        <w:i w:val="0"/>
        <w:iCs w:val="0"/>
        <w:spacing w:val="0"/>
        <w:w w:val="99"/>
        <w:sz w:val="22"/>
        <w:szCs w:val="22"/>
        <w:lang w:val="en-US" w:eastAsia="en-US" w:bidi="ar-SA"/>
      </w:rPr>
    </w:lvl>
    <w:lvl w:ilvl="2" w:tplc="914C7FBE">
      <w:numFmt w:val="bullet"/>
      <w:lvlText w:val="•"/>
      <w:lvlJc w:val="left"/>
      <w:pPr>
        <w:ind w:left="1579" w:hanging="356"/>
      </w:pPr>
      <w:rPr>
        <w:rFonts w:hint="default"/>
        <w:lang w:val="en-US" w:eastAsia="en-US" w:bidi="ar-SA"/>
      </w:rPr>
    </w:lvl>
    <w:lvl w:ilvl="3" w:tplc="411053E0">
      <w:numFmt w:val="bullet"/>
      <w:lvlText w:val="•"/>
      <w:lvlJc w:val="left"/>
      <w:pPr>
        <w:ind w:left="2179" w:hanging="356"/>
      </w:pPr>
      <w:rPr>
        <w:rFonts w:hint="default"/>
        <w:lang w:val="en-US" w:eastAsia="en-US" w:bidi="ar-SA"/>
      </w:rPr>
    </w:lvl>
    <w:lvl w:ilvl="4" w:tplc="14AC47C8">
      <w:numFmt w:val="bullet"/>
      <w:lvlText w:val="•"/>
      <w:lvlJc w:val="left"/>
      <w:pPr>
        <w:ind w:left="2778" w:hanging="356"/>
      </w:pPr>
      <w:rPr>
        <w:rFonts w:hint="default"/>
        <w:lang w:val="en-US" w:eastAsia="en-US" w:bidi="ar-SA"/>
      </w:rPr>
    </w:lvl>
    <w:lvl w:ilvl="5" w:tplc="1B1EBB48">
      <w:numFmt w:val="bullet"/>
      <w:lvlText w:val="•"/>
      <w:lvlJc w:val="left"/>
      <w:pPr>
        <w:ind w:left="3378" w:hanging="356"/>
      </w:pPr>
      <w:rPr>
        <w:rFonts w:hint="default"/>
        <w:lang w:val="en-US" w:eastAsia="en-US" w:bidi="ar-SA"/>
      </w:rPr>
    </w:lvl>
    <w:lvl w:ilvl="6" w:tplc="61E2A8C4">
      <w:numFmt w:val="bullet"/>
      <w:lvlText w:val="•"/>
      <w:lvlJc w:val="left"/>
      <w:pPr>
        <w:ind w:left="3977" w:hanging="356"/>
      </w:pPr>
      <w:rPr>
        <w:rFonts w:hint="default"/>
        <w:lang w:val="en-US" w:eastAsia="en-US" w:bidi="ar-SA"/>
      </w:rPr>
    </w:lvl>
    <w:lvl w:ilvl="7" w:tplc="D422BFAE">
      <w:numFmt w:val="bullet"/>
      <w:lvlText w:val="•"/>
      <w:lvlJc w:val="left"/>
      <w:pPr>
        <w:ind w:left="4577" w:hanging="356"/>
      </w:pPr>
      <w:rPr>
        <w:rFonts w:hint="default"/>
        <w:lang w:val="en-US" w:eastAsia="en-US" w:bidi="ar-SA"/>
      </w:rPr>
    </w:lvl>
    <w:lvl w:ilvl="8" w:tplc="323A2146">
      <w:numFmt w:val="bullet"/>
      <w:lvlText w:val="•"/>
      <w:lvlJc w:val="left"/>
      <w:pPr>
        <w:ind w:left="5176" w:hanging="356"/>
      </w:pPr>
      <w:rPr>
        <w:rFonts w:hint="default"/>
        <w:lang w:val="en-US" w:eastAsia="en-US" w:bidi="ar-SA"/>
      </w:rPr>
    </w:lvl>
  </w:abstractNum>
  <w:abstractNum w:abstractNumId="86" w15:restartNumberingAfterBreak="0">
    <w:nsid w:val="2F7E4147"/>
    <w:multiLevelType w:val="hybridMultilevel"/>
    <w:tmpl w:val="0B5878A6"/>
    <w:lvl w:ilvl="0" w:tplc="F866E242">
      <w:start w:val="1"/>
      <w:numFmt w:val="lowerLetter"/>
      <w:lvlText w:val="%1."/>
      <w:lvlJc w:val="left"/>
      <w:pPr>
        <w:ind w:left="2220" w:hanging="360"/>
      </w:pPr>
      <w:rPr>
        <w:rFonts w:ascii="Arial" w:eastAsia="Arial" w:hAnsi="Arial" w:cs="Arial" w:hint="default"/>
        <w:b w:val="0"/>
        <w:bCs w:val="0"/>
        <w:i w:val="0"/>
        <w:iCs w:val="0"/>
        <w:spacing w:val="0"/>
        <w:w w:val="99"/>
        <w:sz w:val="22"/>
        <w:szCs w:val="22"/>
        <w:lang w:val="en-US" w:eastAsia="en-US" w:bidi="ar-SA"/>
      </w:rPr>
    </w:lvl>
    <w:lvl w:ilvl="1" w:tplc="A8D0BF8A">
      <w:numFmt w:val="bullet"/>
      <w:lvlText w:val="•"/>
      <w:lvlJc w:val="left"/>
      <w:pPr>
        <w:ind w:left="3026" w:hanging="360"/>
      </w:pPr>
      <w:rPr>
        <w:rFonts w:hint="default"/>
        <w:lang w:val="en-US" w:eastAsia="en-US" w:bidi="ar-SA"/>
      </w:rPr>
    </w:lvl>
    <w:lvl w:ilvl="2" w:tplc="89261F2C">
      <w:numFmt w:val="bullet"/>
      <w:lvlText w:val="•"/>
      <w:lvlJc w:val="left"/>
      <w:pPr>
        <w:ind w:left="3832" w:hanging="360"/>
      </w:pPr>
      <w:rPr>
        <w:rFonts w:hint="default"/>
        <w:lang w:val="en-US" w:eastAsia="en-US" w:bidi="ar-SA"/>
      </w:rPr>
    </w:lvl>
    <w:lvl w:ilvl="3" w:tplc="5992AB68">
      <w:numFmt w:val="bullet"/>
      <w:lvlText w:val="•"/>
      <w:lvlJc w:val="left"/>
      <w:pPr>
        <w:ind w:left="4638" w:hanging="360"/>
      </w:pPr>
      <w:rPr>
        <w:rFonts w:hint="default"/>
        <w:lang w:val="en-US" w:eastAsia="en-US" w:bidi="ar-SA"/>
      </w:rPr>
    </w:lvl>
    <w:lvl w:ilvl="4" w:tplc="4D14919E">
      <w:numFmt w:val="bullet"/>
      <w:lvlText w:val="•"/>
      <w:lvlJc w:val="left"/>
      <w:pPr>
        <w:ind w:left="5444" w:hanging="360"/>
      </w:pPr>
      <w:rPr>
        <w:rFonts w:hint="default"/>
        <w:lang w:val="en-US" w:eastAsia="en-US" w:bidi="ar-SA"/>
      </w:rPr>
    </w:lvl>
    <w:lvl w:ilvl="5" w:tplc="DAE8AA8A">
      <w:numFmt w:val="bullet"/>
      <w:lvlText w:val="•"/>
      <w:lvlJc w:val="left"/>
      <w:pPr>
        <w:ind w:left="6250" w:hanging="360"/>
      </w:pPr>
      <w:rPr>
        <w:rFonts w:hint="default"/>
        <w:lang w:val="en-US" w:eastAsia="en-US" w:bidi="ar-SA"/>
      </w:rPr>
    </w:lvl>
    <w:lvl w:ilvl="6" w:tplc="E156429A">
      <w:numFmt w:val="bullet"/>
      <w:lvlText w:val="•"/>
      <w:lvlJc w:val="left"/>
      <w:pPr>
        <w:ind w:left="7056" w:hanging="360"/>
      </w:pPr>
      <w:rPr>
        <w:rFonts w:hint="default"/>
        <w:lang w:val="en-US" w:eastAsia="en-US" w:bidi="ar-SA"/>
      </w:rPr>
    </w:lvl>
    <w:lvl w:ilvl="7" w:tplc="92847016">
      <w:numFmt w:val="bullet"/>
      <w:lvlText w:val="•"/>
      <w:lvlJc w:val="left"/>
      <w:pPr>
        <w:ind w:left="7862" w:hanging="360"/>
      </w:pPr>
      <w:rPr>
        <w:rFonts w:hint="default"/>
        <w:lang w:val="en-US" w:eastAsia="en-US" w:bidi="ar-SA"/>
      </w:rPr>
    </w:lvl>
    <w:lvl w:ilvl="8" w:tplc="75442ACA">
      <w:numFmt w:val="bullet"/>
      <w:lvlText w:val="•"/>
      <w:lvlJc w:val="left"/>
      <w:pPr>
        <w:ind w:left="8668" w:hanging="360"/>
      </w:pPr>
      <w:rPr>
        <w:rFonts w:hint="default"/>
        <w:lang w:val="en-US" w:eastAsia="en-US" w:bidi="ar-SA"/>
      </w:rPr>
    </w:lvl>
  </w:abstractNum>
  <w:abstractNum w:abstractNumId="87" w15:restartNumberingAfterBreak="0">
    <w:nsid w:val="30333F27"/>
    <w:multiLevelType w:val="hybridMultilevel"/>
    <w:tmpl w:val="D93C4B50"/>
    <w:lvl w:ilvl="0" w:tplc="C492CD6E">
      <w:start w:val="10"/>
      <w:numFmt w:val="decimal"/>
      <w:lvlText w:val=".%1"/>
      <w:lvlJc w:val="left"/>
      <w:pPr>
        <w:ind w:left="1859" w:hanging="721"/>
      </w:pPr>
      <w:rPr>
        <w:rFonts w:ascii="Arial" w:eastAsia="Arial" w:hAnsi="Arial" w:cs="Arial" w:hint="default"/>
        <w:b w:val="0"/>
        <w:bCs w:val="0"/>
        <w:i w:val="0"/>
        <w:iCs w:val="0"/>
        <w:spacing w:val="0"/>
        <w:w w:val="99"/>
        <w:sz w:val="22"/>
        <w:szCs w:val="22"/>
        <w:lang w:val="en-US" w:eastAsia="en-US" w:bidi="ar-SA"/>
      </w:rPr>
    </w:lvl>
    <w:lvl w:ilvl="1" w:tplc="952E82E8">
      <w:start w:val="1"/>
      <w:numFmt w:val="lowerLetter"/>
      <w:lvlText w:val="%2."/>
      <w:lvlJc w:val="left"/>
      <w:pPr>
        <w:ind w:left="2219" w:hanging="360"/>
      </w:pPr>
      <w:rPr>
        <w:rFonts w:ascii="Arial" w:eastAsia="Arial" w:hAnsi="Arial" w:cs="Arial" w:hint="default"/>
        <w:b w:val="0"/>
        <w:bCs w:val="0"/>
        <w:i w:val="0"/>
        <w:iCs w:val="0"/>
        <w:spacing w:val="0"/>
        <w:w w:val="99"/>
        <w:sz w:val="22"/>
        <w:szCs w:val="22"/>
        <w:lang w:val="en-US" w:eastAsia="en-US" w:bidi="ar-SA"/>
      </w:rPr>
    </w:lvl>
    <w:lvl w:ilvl="2" w:tplc="8666806C">
      <w:numFmt w:val="bullet"/>
      <w:lvlText w:val="•"/>
      <w:lvlJc w:val="left"/>
      <w:pPr>
        <w:ind w:left="3115" w:hanging="360"/>
      </w:pPr>
      <w:rPr>
        <w:rFonts w:hint="default"/>
        <w:lang w:val="en-US" w:eastAsia="en-US" w:bidi="ar-SA"/>
      </w:rPr>
    </w:lvl>
    <w:lvl w:ilvl="3" w:tplc="44886D20">
      <w:numFmt w:val="bullet"/>
      <w:lvlText w:val="•"/>
      <w:lvlJc w:val="left"/>
      <w:pPr>
        <w:ind w:left="4011" w:hanging="360"/>
      </w:pPr>
      <w:rPr>
        <w:rFonts w:hint="default"/>
        <w:lang w:val="en-US" w:eastAsia="en-US" w:bidi="ar-SA"/>
      </w:rPr>
    </w:lvl>
    <w:lvl w:ilvl="4" w:tplc="02920660">
      <w:numFmt w:val="bullet"/>
      <w:lvlText w:val="•"/>
      <w:lvlJc w:val="left"/>
      <w:pPr>
        <w:ind w:left="4906" w:hanging="360"/>
      </w:pPr>
      <w:rPr>
        <w:rFonts w:hint="default"/>
        <w:lang w:val="en-US" w:eastAsia="en-US" w:bidi="ar-SA"/>
      </w:rPr>
    </w:lvl>
    <w:lvl w:ilvl="5" w:tplc="129642A4">
      <w:numFmt w:val="bullet"/>
      <w:lvlText w:val="•"/>
      <w:lvlJc w:val="left"/>
      <w:pPr>
        <w:ind w:left="5802" w:hanging="360"/>
      </w:pPr>
      <w:rPr>
        <w:rFonts w:hint="default"/>
        <w:lang w:val="en-US" w:eastAsia="en-US" w:bidi="ar-SA"/>
      </w:rPr>
    </w:lvl>
    <w:lvl w:ilvl="6" w:tplc="ED6A7E0C">
      <w:numFmt w:val="bullet"/>
      <w:lvlText w:val="•"/>
      <w:lvlJc w:val="left"/>
      <w:pPr>
        <w:ind w:left="6697" w:hanging="360"/>
      </w:pPr>
      <w:rPr>
        <w:rFonts w:hint="default"/>
        <w:lang w:val="en-US" w:eastAsia="en-US" w:bidi="ar-SA"/>
      </w:rPr>
    </w:lvl>
    <w:lvl w:ilvl="7" w:tplc="35A428E0">
      <w:numFmt w:val="bullet"/>
      <w:lvlText w:val="•"/>
      <w:lvlJc w:val="left"/>
      <w:pPr>
        <w:ind w:left="7593" w:hanging="360"/>
      </w:pPr>
      <w:rPr>
        <w:rFonts w:hint="default"/>
        <w:lang w:val="en-US" w:eastAsia="en-US" w:bidi="ar-SA"/>
      </w:rPr>
    </w:lvl>
    <w:lvl w:ilvl="8" w:tplc="8144755A">
      <w:numFmt w:val="bullet"/>
      <w:lvlText w:val="•"/>
      <w:lvlJc w:val="left"/>
      <w:pPr>
        <w:ind w:left="8488" w:hanging="360"/>
      </w:pPr>
      <w:rPr>
        <w:rFonts w:hint="default"/>
        <w:lang w:val="en-US" w:eastAsia="en-US" w:bidi="ar-SA"/>
      </w:rPr>
    </w:lvl>
  </w:abstractNum>
  <w:abstractNum w:abstractNumId="88" w15:restartNumberingAfterBreak="0">
    <w:nsid w:val="31956401"/>
    <w:multiLevelType w:val="hybridMultilevel"/>
    <w:tmpl w:val="A61C1B54"/>
    <w:lvl w:ilvl="0" w:tplc="D5CC8D4A">
      <w:start w:val="15"/>
      <w:numFmt w:val="decimal"/>
      <w:lvlText w:val="%1."/>
      <w:lvlJc w:val="left"/>
      <w:pPr>
        <w:ind w:left="485" w:hanging="360"/>
      </w:pPr>
      <w:rPr>
        <w:rFonts w:ascii="Arial" w:eastAsia="Arial" w:hAnsi="Arial" w:cs="Arial" w:hint="default"/>
        <w:b w:val="0"/>
        <w:bCs w:val="0"/>
        <w:i w:val="0"/>
        <w:iCs w:val="0"/>
        <w:spacing w:val="0"/>
        <w:w w:val="99"/>
        <w:sz w:val="22"/>
        <w:szCs w:val="22"/>
        <w:lang w:val="en-US" w:eastAsia="en-US" w:bidi="ar-SA"/>
      </w:rPr>
    </w:lvl>
    <w:lvl w:ilvl="1" w:tplc="E5D47588">
      <w:numFmt w:val="bullet"/>
      <w:lvlText w:val=""/>
      <w:lvlJc w:val="left"/>
      <w:pPr>
        <w:ind w:left="1204" w:hanging="360"/>
      </w:pPr>
      <w:rPr>
        <w:rFonts w:ascii="Symbol" w:eastAsia="Symbol" w:hAnsi="Symbol" w:cs="Symbol" w:hint="default"/>
        <w:b w:val="0"/>
        <w:bCs w:val="0"/>
        <w:i w:val="0"/>
        <w:iCs w:val="0"/>
        <w:spacing w:val="0"/>
        <w:w w:val="99"/>
        <w:sz w:val="22"/>
        <w:szCs w:val="22"/>
        <w:lang w:val="en-US" w:eastAsia="en-US" w:bidi="ar-SA"/>
      </w:rPr>
    </w:lvl>
    <w:lvl w:ilvl="2" w:tplc="87CE4AA6">
      <w:numFmt w:val="bullet"/>
      <w:lvlText w:val="•"/>
      <w:lvlJc w:val="left"/>
      <w:pPr>
        <w:ind w:left="1830" w:hanging="360"/>
      </w:pPr>
      <w:rPr>
        <w:rFonts w:hint="default"/>
        <w:lang w:val="en-US" w:eastAsia="en-US" w:bidi="ar-SA"/>
      </w:rPr>
    </w:lvl>
    <w:lvl w:ilvl="3" w:tplc="282ED46C">
      <w:numFmt w:val="bullet"/>
      <w:lvlText w:val="•"/>
      <w:lvlJc w:val="left"/>
      <w:pPr>
        <w:ind w:left="2460" w:hanging="360"/>
      </w:pPr>
      <w:rPr>
        <w:rFonts w:hint="default"/>
        <w:lang w:val="en-US" w:eastAsia="en-US" w:bidi="ar-SA"/>
      </w:rPr>
    </w:lvl>
    <w:lvl w:ilvl="4" w:tplc="CBF29504">
      <w:numFmt w:val="bullet"/>
      <w:lvlText w:val="•"/>
      <w:lvlJc w:val="left"/>
      <w:pPr>
        <w:ind w:left="3091" w:hanging="360"/>
      </w:pPr>
      <w:rPr>
        <w:rFonts w:hint="default"/>
        <w:lang w:val="en-US" w:eastAsia="en-US" w:bidi="ar-SA"/>
      </w:rPr>
    </w:lvl>
    <w:lvl w:ilvl="5" w:tplc="3F9837B2">
      <w:numFmt w:val="bullet"/>
      <w:lvlText w:val="•"/>
      <w:lvlJc w:val="left"/>
      <w:pPr>
        <w:ind w:left="3721" w:hanging="360"/>
      </w:pPr>
      <w:rPr>
        <w:rFonts w:hint="default"/>
        <w:lang w:val="en-US" w:eastAsia="en-US" w:bidi="ar-SA"/>
      </w:rPr>
    </w:lvl>
    <w:lvl w:ilvl="6" w:tplc="04546DC8">
      <w:numFmt w:val="bullet"/>
      <w:lvlText w:val="•"/>
      <w:lvlJc w:val="left"/>
      <w:pPr>
        <w:ind w:left="4351" w:hanging="360"/>
      </w:pPr>
      <w:rPr>
        <w:rFonts w:hint="default"/>
        <w:lang w:val="en-US" w:eastAsia="en-US" w:bidi="ar-SA"/>
      </w:rPr>
    </w:lvl>
    <w:lvl w:ilvl="7" w:tplc="F48C5B50">
      <w:numFmt w:val="bullet"/>
      <w:lvlText w:val="•"/>
      <w:lvlJc w:val="left"/>
      <w:pPr>
        <w:ind w:left="4982" w:hanging="360"/>
      </w:pPr>
      <w:rPr>
        <w:rFonts w:hint="default"/>
        <w:lang w:val="en-US" w:eastAsia="en-US" w:bidi="ar-SA"/>
      </w:rPr>
    </w:lvl>
    <w:lvl w:ilvl="8" w:tplc="7F7ADE34">
      <w:numFmt w:val="bullet"/>
      <w:lvlText w:val="•"/>
      <w:lvlJc w:val="left"/>
      <w:pPr>
        <w:ind w:left="5612" w:hanging="360"/>
      </w:pPr>
      <w:rPr>
        <w:rFonts w:hint="default"/>
        <w:lang w:val="en-US" w:eastAsia="en-US" w:bidi="ar-SA"/>
      </w:rPr>
    </w:lvl>
  </w:abstractNum>
  <w:abstractNum w:abstractNumId="89" w15:restartNumberingAfterBreak="0">
    <w:nsid w:val="31A371ED"/>
    <w:multiLevelType w:val="hybridMultilevel"/>
    <w:tmpl w:val="D0F851AC"/>
    <w:lvl w:ilvl="0" w:tplc="82489F08">
      <w:start w:val="5"/>
      <w:numFmt w:val="decimal"/>
      <w:lvlText w:val="%1)"/>
      <w:lvlJc w:val="left"/>
      <w:pPr>
        <w:ind w:left="705" w:hanging="577"/>
      </w:pPr>
      <w:rPr>
        <w:rFonts w:ascii="Arial" w:eastAsia="Arial" w:hAnsi="Arial" w:cs="Arial" w:hint="default"/>
        <w:b w:val="0"/>
        <w:bCs w:val="0"/>
        <w:i w:val="0"/>
        <w:iCs w:val="0"/>
        <w:spacing w:val="0"/>
        <w:w w:val="99"/>
        <w:sz w:val="22"/>
        <w:szCs w:val="22"/>
        <w:lang w:val="en-US" w:eastAsia="en-US" w:bidi="ar-SA"/>
      </w:rPr>
    </w:lvl>
    <w:lvl w:ilvl="1" w:tplc="A6B88928">
      <w:start w:val="1"/>
      <w:numFmt w:val="lowerLetter"/>
      <w:lvlText w:val="%2)"/>
      <w:lvlJc w:val="left"/>
      <w:pPr>
        <w:ind w:left="1282" w:hanging="577"/>
      </w:pPr>
      <w:rPr>
        <w:rFonts w:ascii="Arial" w:eastAsia="Arial" w:hAnsi="Arial" w:cs="Arial" w:hint="default"/>
        <w:b w:val="0"/>
        <w:bCs w:val="0"/>
        <w:i w:val="0"/>
        <w:iCs w:val="0"/>
        <w:spacing w:val="0"/>
        <w:w w:val="99"/>
        <w:sz w:val="22"/>
        <w:szCs w:val="22"/>
        <w:lang w:val="en-US" w:eastAsia="en-US" w:bidi="ar-SA"/>
      </w:rPr>
    </w:lvl>
    <w:lvl w:ilvl="2" w:tplc="301C29BA">
      <w:numFmt w:val="bullet"/>
      <w:lvlText w:val="•"/>
      <w:lvlJc w:val="left"/>
      <w:pPr>
        <w:ind w:left="1921" w:hanging="577"/>
      </w:pPr>
      <w:rPr>
        <w:rFonts w:hint="default"/>
        <w:lang w:val="en-US" w:eastAsia="en-US" w:bidi="ar-SA"/>
      </w:rPr>
    </w:lvl>
    <w:lvl w:ilvl="3" w:tplc="4A782DD2">
      <w:numFmt w:val="bullet"/>
      <w:lvlText w:val="•"/>
      <w:lvlJc w:val="left"/>
      <w:pPr>
        <w:ind w:left="2562" w:hanging="577"/>
      </w:pPr>
      <w:rPr>
        <w:rFonts w:hint="default"/>
        <w:lang w:val="en-US" w:eastAsia="en-US" w:bidi="ar-SA"/>
      </w:rPr>
    </w:lvl>
    <w:lvl w:ilvl="4" w:tplc="5A8C0A62">
      <w:numFmt w:val="bullet"/>
      <w:lvlText w:val="•"/>
      <w:lvlJc w:val="left"/>
      <w:pPr>
        <w:ind w:left="3203" w:hanging="577"/>
      </w:pPr>
      <w:rPr>
        <w:rFonts w:hint="default"/>
        <w:lang w:val="en-US" w:eastAsia="en-US" w:bidi="ar-SA"/>
      </w:rPr>
    </w:lvl>
    <w:lvl w:ilvl="5" w:tplc="A314AF76">
      <w:numFmt w:val="bullet"/>
      <w:lvlText w:val="•"/>
      <w:lvlJc w:val="left"/>
      <w:pPr>
        <w:ind w:left="3844" w:hanging="577"/>
      </w:pPr>
      <w:rPr>
        <w:rFonts w:hint="default"/>
        <w:lang w:val="en-US" w:eastAsia="en-US" w:bidi="ar-SA"/>
      </w:rPr>
    </w:lvl>
    <w:lvl w:ilvl="6" w:tplc="CBA865D4">
      <w:numFmt w:val="bullet"/>
      <w:lvlText w:val="•"/>
      <w:lvlJc w:val="left"/>
      <w:pPr>
        <w:ind w:left="4485" w:hanging="577"/>
      </w:pPr>
      <w:rPr>
        <w:rFonts w:hint="default"/>
        <w:lang w:val="en-US" w:eastAsia="en-US" w:bidi="ar-SA"/>
      </w:rPr>
    </w:lvl>
    <w:lvl w:ilvl="7" w:tplc="ED903AF6">
      <w:numFmt w:val="bullet"/>
      <w:lvlText w:val="•"/>
      <w:lvlJc w:val="left"/>
      <w:pPr>
        <w:ind w:left="5126" w:hanging="577"/>
      </w:pPr>
      <w:rPr>
        <w:rFonts w:hint="default"/>
        <w:lang w:val="en-US" w:eastAsia="en-US" w:bidi="ar-SA"/>
      </w:rPr>
    </w:lvl>
    <w:lvl w:ilvl="8" w:tplc="40C08840">
      <w:numFmt w:val="bullet"/>
      <w:lvlText w:val="•"/>
      <w:lvlJc w:val="left"/>
      <w:pPr>
        <w:ind w:left="5767" w:hanging="577"/>
      </w:pPr>
      <w:rPr>
        <w:rFonts w:hint="default"/>
        <w:lang w:val="en-US" w:eastAsia="en-US" w:bidi="ar-SA"/>
      </w:rPr>
    </w:lvl>
  </w:abstractNum>
  <w:abstractNum w:abstractNumId="90" w15:restartNumberingAfterBreak="0">
    <w:nsid w:val="325367E9"/>
    <w:multiLevelType w:val="hybridMultilevel"/>
    <w:tmpl w:val="58DEB82A"/>
    <w:lvl w:ilvl="0" w:tplc="D850046E">
      <w:start w:val="1"/>
      <w:numFmt w:val="decimalZero"/>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33F0EA46">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2" w:tplc="2AF6804E">
      <w:numFmt w:val="bullet"/>
      <w:lvlText w:val="o"/>
      <w:lvlJc w:val="left"/>
      <w:pPr>
        <w:ind w:left="2360" w:hanging="360"/>
      </w:pPr>
      <w:rPr>
        <w:rFonts w:ascii="Courier New" w:eastAsia="Courier New" w:hAnsi="Courier New" w:cs="Courier New" w:hint="default"/>
        <w:b w:val="0"/>
        <w:bCs w:val="0"/>
        <w:i w:val="0"/>
        <w:iCs w:val="0"/>
        <w:spacing w:val="0"/>
        <w:w w:val="99"/>
        <w:sz w:val="22"/>
        <w:szCs w:val="22"/>
        <w:lang w:val="en-US" w:eastAsia="en-US" w:bidi="ar-SA"/>
      </w:rPr>
    </w:lvl>
    <w:lvl w:ilvl="3" w:tplc="B9F2038E">
      <w:numFmt w:val="bullet"/>
      <w:lvlText w:val="•"/>
      <w:lvlJc w:val="left"/>
      <w:pPr>
        <w:ind w:left="3302" w:hanging="360"/>
      </w:pPr>
      <w:rPr>
        <w:rFonts w:hint="default"/>
        <w:lang w:val="en-US" w:eastAsia="en-US" w:bidi="ar-SA"/>
      </w:rPr>
    </w:lvl>
    <w:lvl w:ilvl="4" w:tplc="A1E4300E">
      <w:numFmt w:val="bullet"/>
      <w:lvlText w:val="•"/>
      <w:lvlJc w:val="left"/>
      <w:pPr>
        <w:ind w:left="4245" w:hanging="360"/>
      </w:pPr>
      <w:rPr>
        <w:rFonts w:hint="default"/>
        <w:lang w:val="en-US" w:eastAsia="en-US" w:bidi="ar-SA"/>
      </w:rPr>
    </w:lvl>
    <w:lvl w:ilvl="5" w:tplc="CF2A0EEC">
      <w:numFmt w:val="bullet"/>
      <w:lvlText w:val="•"/>
      <w:lvlJc w:val="left"/>
      <w:pPr>
        <w:ind w:left="5187" w:hanging="360"/>
      </w:pPr>
      <w:rPr>
        <w:rFonts w:hint="default"/>
        <w:lang w:val="en-US" w:eastAsia="en-US" w:bidi="ar-SA"/>
      </w:rPr>
    </w:lvl>
    <w:lvl w:ilvl="6" w:tplc="DCDC6E96">
      <w:numFmt w:val="bullet"/>
      <w:lvlText w:val="•"/>
      <w:lvlJc w:val="left"/>
      <w:pPr>
        <w:ind w:left="6130" w:hanging="360"/>
      </w:pPr>
      <w:rPr>
        <w:rFonts w:hint="default"/>
        <w:lang w:val="en-US" w:eastAsia="en-US" w:bidi="ar-SA"/>
      </w:rPr>
    </w:lvl>
    <w:lvl w:ilvl="7" w:tplc="DEFC031E">
      <w:numFmt w:val="bullet"/>
      <w:lvlText w:val="•"/>
      <w:lvlJc w:val="left"/>
      <w:pPr>
        <w:ind w:left="7072" w:hanging="360"/>
      </w:pPr>
      <w:rPr>
        <w:rFonts w:hint="default"/>
        <w:lang w:val="en-US" w:eastAsia="en-US" w:bidi="ar-SA"/>
      </w:rPr>
    </w:lvl>
    <w:lvl w:ilvl="8" w:tplc="D6D09C26">
      <w:numFmt w:val="bullet"/>
      <w:lvlText w:val="•"/>
      <w:lvlJc w:val="left"/>
      <w:pPr>
        <w:ind w:left="8015" w:hanging="360"/>
      </w:pPr>
      <w:rPr>
        <w:rFonts w:hint="default"/>
        <w:lang w:val="en-US" w:eastAsia="en-US" w:bidi="ar-SA"/>
      </w:rPr>
    </w:lvl>
  </w:abstractNum>
  <w:abstractNum w:abstractNumId="91" w15:restartNumberingAfterBreak="0">
    <w:nsid w:val="36E53059"/>
    <w:multiLevelType w:val="hybridMultilevel"/>
    <w:tmpl w:val="FF924CB6"/>
    <w:lvl w:ilvl="0" w:tplc="79948120">
      <w:start w:val="1"/>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4690797A">
      <w:numFmt w:val="bullet"/>
      <w:lvlText w:val=""/>
      <w:lvlJc w:val="left"/>
      <w:pPr>
        <w:ind w:left="1514" w:hanging="270"/>
      </w:pPr>
      <w:rPr>
        <w:rFonts w:ascii="Symbol" w:eastAsia="Symbol" w:hAnsi="Symbol" w:cs="Symbol" w:hint="default"/>
        <w:b w:val="0"/>
        <w:bCs w:val="0"/>
        <w:i w:val="0"/>
        <w:iCs w:val="0"/>
        <w:spacing w:val="0"/>
        <w:w w:val="99"/>
        <w:sz w:val="22"/>
        <w:szCs w:val="22"/>
        <w:lang w:val="en-US" w:eastAsia="en-US" w:bidi="ar-SA"/>
      </w:rPr>
    </w:lvl>
    <w:lvl w:ilvl="2" w:tplc="A8C61FA0">
      <w:numFmt w:val="bullet"/>
      <w:lvlText w:val="•"/>
      <w:lvlJc w:val="left"/>
      <w:pPr>
        <w:ind w:left="2167" w:hanging="270"/>
      </w:pPr>
      <w:rPr>
        <w:rFonts w:hint="default"/>
        <w:lang w:val="en-US" w:eastAsia="en-US" w:bidi="ar-SA"/>
      </w:rPr>
    </w:lvl>
    <w:lvl w:ilvl="3" w:tplc="C67895A2">
      <w:numFmt w:val="bullet"/>
      <w:lvlText w:val="•"/>
      <w:lvlJc w:val="left"/>
      <w:pPr>
        <w:ind w:left="2815" w:hanging="270"/>
      </w:pPr>
      <w:rPr>
        <w:rFonts w:hint="default"/>
        <w:lang w:val="en-US" w:eastAsia="en-US" w:bidi="ar-SA"/>
      </w:rPr>
    </w:lvl>
    <w:lvl w:ilvl="4" w:tplc="D5EC6FD8">
      <w:numFmt w:val="bullet"/>
      <w:lvlText w:val="•"/>
      <w:lvlJc w:val="left"/>
      <w:pPr>
        <w:ind w:left="3463" w:hanging="270"/>
      </w:pPr>
      <w:rPr>
        <w:rFonts w:hint="default"/>
        <w:lang w:val="en-US" w:eastAsia="en-US" w:bidi="ar-SA"/>
      </w:rPr>
    </w:lvl>
    <w:lvl w:ilvl="5" w:tplc="261C85B2">
      <w:numFmt w:val="bullet"/>
      <w:lvlText w:val="•"/>
      <w:lvlJc w:val="left"/>
      <w:pPr>
        <w:ind w:left="4111" w:hanging="270"/>
      </w:pPr>
      <w:rPr>
        <w:rFonts w:hint="default"/>
        <w:lang w:val="en-US" w:eastAsia="en-US" w:bidi="ar-SA"/>
      </w:rPr>
    </w:lvl>
    <w:lvl w:ilvl="6" w:tplc="6C0C8B6E">
      <w:numFmt w:val="bullet"/>
      <w:lvlText w:val="•"/>
      <w:lvlJc w:val="left"/>
      <w:pPr>
        <w:ind w:left="4758" w:hanging="270"/>
      </w:pPr>
      <w:rPr>
        <w:rFonts w:hint="default"/>
        <w:lang w:val="en-US" w:eastAsia="en-US" w:bidi="ar-SA"/>
      </w:rPr>
    </w:lvl>
    <w:lvl w:ilvl="7" w:tplc="82767742">
      <w:numFmt w:val="bullet"/>
      <w:lvlText w:val="•"/>
      <w:lvlJc w:val="left"/>
      <w:pPr>
        <w:ind w:left="5406" w:hanging="270"/>
      </w:pPr>
      <w:rPr>
        <w:rFonts w:hint="default"/>
        <w:lang w:val="en-US" w:eastAsia="en-US" w:bidi="ar-SA"/>
      </w:rPr>
    </w:lvl>
    <w:lvl w:ilvl="8" w:tplc="7A046930">
      <w:numFmt w:val="bullet"/>
      <w:lvlText w:val="•"/>
      <w:lvlJc w:val="left"/>
      <w:pPr>
        <w:ind w:left="6054" w:hanging="270"/>
      </w:pPr>
      <w:rPr>
        <w:rFonts w:hint="default"/>
        <w:lang w:val="en-US" w:eastAsia="en-US" w:bidi="ar-SA"/>
      </w:rPr>
    </w:lvl>
  </w:abstractNum>
  <w:abstractNum w:abstractNumId="92" w15:restartNumberingAfterBreak="0">
    <w:nsid w:val="36FD40B5"/>
    <w:multiLevelType w:val="hybridMultilevel"/>
    <w:tmpl w:val="2004973A"/>
    <w:lvl w:ilvl="0" w:tplc="19D8BF8A">
      <w:start w:val="10"/>
      <w:numFmt w:val="decimal"/>
      <w:lvlText w:val=".%1"/>
      <w:lvlJc w:val="left"/>
      <w:pPr>
        <w:ind w:left="1859" w:hanging="721"/>
      </w:pPr>
      <w:rPr>
        <w:rFonts w:ascii="Arial" w:eastAsia="Arial" w:hAnsi="Arial" w:cs="Arial" w:hint="default"/>
        <w:b w:val="0"/>
        <w:bCs w:val="0"/>
        <w:i w:val="0"/>
        <w:iCs w:val="0"/>
        <w:spacing w:val="0"/>
        <w:w w:val="99"/>
        <w:sz w:val="22"/>
        <w:szCs w:val="22"/>
        <w:lang w:val="en-US" w:eastAsia="en-US" w:bidi="ar-SA"/>
      </w:rPr>
    </w:lvl>
    <w:lvl w:ilvl="1" w:tplc="8A4CEA26">
      <w:numFmt w:val="bullet"/>
      <w:lvlText w:val=""/>
      <w:lvlJc w:val="left"/>
      <w:pPr>
        <w:ind w:left="2220" w:hanging="360"/>
      </w:pPr>
      <w:rPr>
        <w:rFonts w:ascii="Symbol" w:eastAsia="Symbol" w:hAnsi="Symbol" w:cs="Symbol" w:hint="default"/>
        <w:b w:val="0"/>
        <w:bCs w:val="0"/>
        <w:i w:val="0"/>
        <w:iCs w:val="0"/>
        <w:spacing w:val="0"/>
        <w:w w:val="99"/>
        <w:sz w:val="22"/>
        <w:szCs w:val="22"/>
        <w:lang w:val="en-US" w:eastAsia="en-US" w:bidi="ar-SA"/>
      </w:rPr>
    </w:lvl>
    <w:lvl w:ilvl="2" w:tplc="49C0C52C">
      <w:numFmt w:val="bullet"/>
      <w:lvlText w:val="•"/>
      <w:lvlJc w:val="left"/>
      <w:pPr>
        <w:ind w:left="3115" w:hanging="360"/>
      </w:pPr>
      <w:rPr>
        <w:rFonts w:hint="default"/>
        <w:lang w:val="en-US" w:eastAsia="en-US" w:bidi="ar-SA"/>
      </w:rPr>
    </w:lvl>
    <w:lvl w:ilvl="3" w:tplc="A73AC4DE">
      <w:numFmt w:val="bullet"/>
      <w:lvlText w:val="•"/>
      <w:lvlJc w:val="left"/>
      <w:pPr>
        <w:ind w:left="4011" w:hanging="360"/>
      </w:pPr>
      <w:rPr>
        <w:rFonts w:hint="default"/>
        <w:lang w:val="en-US" w:eastAsia="en-US" w:bidi="ar-SA"/>
      </w:rPr>
    </w:lvl>
    <w:lvl w:ilvl="4" w:tplc="3582335E">
      <w:numFmt w:val="bullet"/>
      <w:lvlText w:val="•"/>
      <w:lvlJc w:val="left"/>
      <w:pPr>
        <w:ind w:left="4906" w:hanging="360"/>
      </w:pPr>
      <w:rPr>
        <w:rFonts w:hint="default"/>
        <w:lang w:val="en-US" w:eastAsia="en-US" w:bidi="ar-SA"/>
      </w:rPr>
    </w:lvl>
    <w:lvl w:ilvl="5" w:tplc="ECAE5BFA">
      <w:numFmt w:val="bullet"/>
      <w:lvlText w:val="•"/>
      <w:lvlJc w:val="left"/>
      <w:pPr>
        <w:ind w:left="5802" w:hanging="360"/>
      </w:pPr>
      <w:rPr>
        <w:rFonts w:hint="default"/>
        <w:lang w:val="en-US" w:eastAsia="en-US" w:bidi="ar-SA"/>
      </w:rPr>
    </w:lvl>
    <w:lvl w:ilvl="6" w:tplc="15F25DE8">
      <w:numFmt w:val="bullet"/>
      <w:lvlText w:val="•"/>
      <w:lvlJc w:val="left"/>
      <w:pPr>
        <w:ind w:left="6697" w:hanging="360"/>
      </w:pPr>
      <w:rPr>
        <w:rFonts w:hint="default"/>
        <w:lang w:val="en-US" w:eastAsia="en-US" w:bidi="ar-SA"/>
      </w:rPr>
    </w:lvl>
    <w:lvl w:ilvl="7" w:tplc="FA28691E">
      <w:numFmt w:val="bullet"/>
      <w:lvlText w:val="•"/>
      <w:lvlJc w:val="left"/>
      <w:pPr>
        <w:ind w:left="7593" w:hanging="360"/>
      </w:pPr>
      <w:rPr>
        <w:rFonts w:hint="default"/>
        <w:lang w:val="en-US" w:eastAsia="en-US" w:bidi="ar-SA"/>
      </w:rPr>
    </w:lvl>
    <w:lvl w:ilvl="8" w:tplc="FC12ED76">
      <w:numFmt w:val="bullet"/>
      <w:lvlText w:val="•"/>
      <w:lvlJc w:val="left"/>
      <w:pPr>
        <w:ind w:left="8488" w:hanging="360"/>
      </w:pPr>
      <w:rPr>
        <w:rFonts w:hint="default"/>
        <w:lang w:val="en-US" w:eastAsia="en-US" w:bidi="ar-SA"/>
      </w:rPr>
    </w:lvl>
  </w:abstractNum>
  <w:abstractNum w:abstractNumId="93" w15:restartNumberingAfterBreak="0">
    <w:nsid w:val="372F3E85"/>
    <w:multiLevelType w:val="hybridMultilevel"/>
    <w:tmpl w:val="82E893DC"/>
    <w:lvl w:ilvl="0" w:tplc="FEBC22D6">
      <w:numFmt w:val="bullet"/>
      <w:lvlText w:val=""/>
      <w:lvlJc w:val="left"/>
      <w:pPr>
        <w:ind w:left="2219" w:hanging="360"/>
      </w:pPr>
      <w:rPr>
        <w:rFonts w:ascii="Symbol" w:eastAsia="Symbol" w:hAnsi="Symbol" w:cs="Symbol" w:hint="default"/>
        <w:b w:val="0"/>
        <w:bCs w:val="0"/>
        <w:i w:val="0"/>
        <w:iCs w:val="0"/>
        <w:spacing w:val="0"/>
        <w:w w:val="99"/>
        <w:sz w:val="22"/>
        <w:szCs w:val="22"/>
        <w:lang w:val="en-US" w:eastAsia="en-US" w:bidi="ar-SA"/>
      </w:rPr>
    </w:lvl>
    <w:lvl w:ilvl="1" w:tplc="DE84ECE6">
      <w:numFmt w:val="bullet"/>
      <w:lvlText w:val="•"/>
      <w:lvlJc w:val="left"/>
      <w:pPr>
        <w:ind w:left="3026" w:hanging="360"/>
      </w:pPr>
      <w:rPr>
        <w:rFonts w:hint="default"/>
        <w:lang w:val="en-US" w:eastAsia="en-US" w:bidi="ar-SA"/>
      </w:rPr>
    </w:lvl>
    <w:lvl w:ilvl="2" w:tplc="FAFC54E0">
      <w:numFmt w:val="bullet"/>
      <w:lvlText w:val="•"/>
      <w:lvlJc w:val="left"/>
      <w:pPr>
        <w:ind w:left="3832" w:hanging="360"/>
      </w:pPr>
      <w:rPr>
        <w:rFonts w:hint="default"/>
        <w:lang w:val="en-US" w:eastAsia="en-US" w:bidi="ar-SA"/>
      </w:rPr>
    </w:lvl>
    <w:lvl w:ilvl="3" w:tplc="9CE440A2">
      <w:numFmt w:val="bullet"/>
      <w:lvlText w:val="•"/>
      <w:lvlJc w:val="left"/>
      <w:pPr>
        <w:ind w:left="4638" w:hanging="360"/>
      </w:pPr>
      <w:rPr>
        <w:rFonts w:hint="default"/>
        <w:lang w:val="en-US" w:eastAsia="en-US" w:bidi="ar-SA"/>
      </w:rPr>
    </w:lvl>
    <w:lvl w:ilvl="4" w:tplc="D7FED3DE">
      <w:numFmt w:val="bullet"/>
      <w:lvlText w:val="•"/>
      <w:lvlJc w:val="left"/>
      <w:pPr>
        <w:ind w:left="5444" w:hanging="360"/>
      </w:pPr>
      <w:rPr>
        <w:rFonts w:hint="default"/>
        <w:lang w:val="en-US" w:eastAsia="en-US" w:bidi="ar-SA"/>
      </w:rPr>
    </w:lvl>
    <w:lvl w:ilvl="5" w:tplc="9DD462E0">
      <w:numFmt w:val="bullet"/>
      <w:lvlText w:val="•"/>
      <w:lvlJc w:val="left"/>
      <w:pPr>
        <w:ind w:left="6250" w:hanging="360"/>
      </w:pPr>
      <w:rPr>
        <w:rFonts w:hint="default"/>
        <w:lang w:val="en-US" w:eastAsia="en-US" w:bidi="ar-SA"/>
      </w:rPr>
    </w:lvl>
    <w:lvl w:ilvl="6" w:tplc="BF56F1A6">
      <w:numFmt w:val="bullet"/>
      <w:lvlText w:val="•"/>
      <w:lvlJc w:val="left"/>
      <w:pPr>
        <w:ind w:left="7056" w:hanging="360"/>
      </w:pPr>
      <w:rPr>
        <w:rFonts w:hint="default"/>
        <w:lang w:val="en-US" w:eastAsia="en-US" w:bidi="ar-SA"/>
      </w:rPr>
    </w:lvl>
    <w:lvl w:ilvl="7" w:tplc="1F66DF38">
      <w:numFmt w:val="bullet"/>
      <w:lvlText w:val="•"/>
      <w:lvlJc w:val="left"/>
      <w:pPr>
        <w:ind w:left="7862" w:hanging="360"/>
      </w:pPr>
      <w:rPr>
        <w:rFonts w:hint="default"/>
        <w:lang w:val="en-US" w:eastAsia="en-US" w:bidi="ar-SA"/>
      </w:rPr>
    </w:lvl>
    <w:lvl w:ilvl="8" w:tplc="F88CD7B6">
      <w:numFmt w:val="bullet"/>
      <w:lvlText w:val="•"/>
      <w:lvlJc w:val="left"/>
      <w:pPr>
        <w:ind w:left="8668" w:hanging="360"/>
      </w:pPr>
      <w:rPr>
        <w:rFonts w:hint="default"/>
        <w:lang w:val="en-US" w:eastAsia="en-US" w:bidi="ar-SA"/>
      </w:rPr>
    </w:lvl>
  </w:abstractNum>
  <w:abstractNum w:abstractNumId="94" w15:restartNumberingAfterBreak="0">
    <w:nsid w:val="37F61344"/>
    <w:multiLevelType w:val="hybridMultilevel"/>
    <w:tmpl w:val="8130AA34"/>
    <w:lvl w:ilvl="0" w:tplc="3F9CA488">
      <w:numFmt w:val="bullet"/>
      <w:lvlText w:val=""/>
      <w:lvlJc w:val="left"/>
      <w:pPr>
        <w:ind w:left="2279" w:hanging="360"/>
      </w:pPr>
      <w:rPr>
        <w:rFonts w:ascii="Symbol" w:eastAsia="Symbol" w:hAnsi="Symbol" w:cs="Symbol" w:hint="default"/>
        <w:b w:val="0"/>
        <w:bCs w:val="0"/>
        <w:i w:val="0"/>
        <w:iCs w:val="0"/>
        <w:spacing w:val="0"/>
        <w:w w:val="99"/>
        <w:sz w:val="22"/>
        <w:szCs w:val="22"/>
        <w:lang w:val="en-US" w:eastAsia="en-US" w:bidi="ar-SA"/>
      </w:rPr>
    </w:lvl>
    <w:lvl w:ilvl="1" w:tplc="A2622E46">
      <w:numFmt w:val="bullet"/>
      <w:lvlText w:val="•"/>
      <w:lvlJc w:val="left"/>
      <w:pPr>
        <w:ind w:left="3030" w:hanging="360"/>
      </w:pPr>
      <w:rPr>
        <w:rFonts w:hint="default"/>
        <w:lang w:val="en-US" w:eastAsia="en-US" w:bidi="ar-SA"/>
      </w:rPr>
    </w:lvl>
    <w:lvl w:ilvl="2" w:tplc="86BE88C6">
      <w:numFmt w:val="bullet"/>
      <w:lvlText w:val="•"/>
      <w:lvlJc w:val="left"/>
      <w:pPr>
        <w:ind w:left="3780" w:hanging="360"/>
      </w:pPr>
      <w:rPr>
        <w:rFonts w:hint="default"/>
        <w:lang w:val="en-US" w:eastAsia="en-US" w:bidi="ar-SA"/>
      </w:rPr>
    </w:lvl>
    <w:lvl w:ilvl="3" w:tplc="8DE0662E">
      <w:numFmt w:val="bullet"/>
      <w:lvlText w:val="•"/>
      <w:lvlJc w:val="left"/>
      <w:pPr>
        <w:ind w:left="4530" w:hanging="360"/>
      </w:pPr>
      <w:rPr>
        <w:rFonts w:hint="default"/>
        <w:lang w:val="en-US" w:eastAsia="en-US" w:bidi="ar-SA"/>
      </w:rPr>
    </w:lvl>
    <w:lvl w:ilvl="4" w:tplc="8B20F544">
      <w:numFmt w:val="bullet"/>
      <w:lvlText w:val="•"/>
      <w:lvlJc w:val="left"/>
      <w:pPr>
        <w:ind w:left="5280" w:hanging="360"/>
      </w:pPr>
      <w:rPr>
        <w:rFonts w:hint="default"/>
        <w:lang w:val="en-US" w:eastAsia="en-US" w:bidi="ar-SA"/>
      </w:rPr>
    </w:lvl>
    <w:lvl w:ilvl="5" w:tplc="CCC427CA">
      <w:numFmt w:val="bullet"/>
      <w:lvlText w:val="•"/>
      <w:lvlJc w:val="left"/>
      <w:pPr>
        <w:ind w:left="6030" w:hanging="360"/>
      </w:pPr>
      <w:rPr>
        <w:rFonts w:hint="default"/>
        <w:lang w:val="en-US" w:eastAsia="en-US" w:bidi="ar-SA"/>
      </w:rPr>
    </w:lvl>
    <w:lvl w:ilvl="6" w:tplc="EC504352">
      <w:numFmt w:val="bullet"/>
      <w:lvlText w:val="•"/>
      <w:lvlJc w:val="left"/>
      <w:pPr>
        <w:ind w:left="6780" w:hanging="360"/>
      </w:pPr>
      <w:rPr>
        <w:rFonts w:hint="default"/>
        <w:lang w:val="en-US" w:eastAsia="en-US" w:bidi="ar-SA"/>
      </w:rPr>
    </w:lvl>
    <w:lvl w:ilvl="7" w:tplc="1BD2C1BC">
      <w:numFmt w:val="bullet"/>
      <w:lvlText w:val="•"/>
      <w:lvlJc w:val="left"/>
      <w:pPr>
        <w:ind w:left="7530" w:hanging="360"/>
      </w:pPr>
      <w:rPr>
        <w:rFonts w:hint="default"/>
        <w:lang w:val="en-US" w:eastAsia="en-US" w:bidi="ar-SA"/>
      </w:rPr>
    </w:lvl>
    <w:lvl w:ilvl="8" w:tplc="E864F69E">
      <w:numFmt w:val="bullet"/>
      <w:lvlText w:val="•"/>
      <w:lvlJc w:val="left"/>
      <w:pPr>
        <w:ind w:left="8280" w:hanging="360"/>
      </w:pPr>
      <w:rPr>
        <w:rFonts w:hint="default"/>
        <w:lang w:val="en-US" w:eastAsia="en-US" w:bidi="ar-SA"/>
      </w:rPr>
    </w:lvl>
  </w:abstractNum>
  <w:abstractNum w:abstractNumId="95" w15:restartNumberingAfterBreak="0">
    <w:nsid w:val="38096220"/>
    <w:multiLevelType w:val="hybridMultilevel"/>
    <w:tmpl w:val="86FA929E"/>
    <w:lvl w:ilvl="0" w:tplc="2222B682">
      <w:numFmt w:val="bullet"/>
      <w:lvlText w:val=""/>
      <w:lvlJc w:val="left"/>
      <w:pPr>
        <w:ind w:left="2144" w:hanging="360"/>
      </w:pPr>
      <w:rPr>
        <w:rFonts w:ascii="Symbol" w:eastAsia="Symbol" w:hAnsi="Symbol" w:cs="Symbol" w:hint="default"/>
        <w:b w:val="0"/>
        <w:bCs w:val="0"/>
        <w:i w:val="0"/>
        <w:iCs w:val="0"/>
        <w:spacing w:val="0"/>
        <w:w w:val="99"/>
        <w:sz w:val="22"/>
        <w:szCs w:val="22"/>
        <w:lang w:val="en-US" w:eastAsia="en-US" w:bidi="ar-SA"/>
      </w:rPr>
    </w:lvl>
    <w:lvl w:ilvl="1" w:tplc="0A1C251E">
      <w:numFmt w:val="bullet"/>
      <w:lvlText w:val="•"/>
      <w:lvlJc w:val="left"/>
      <w:pPr>
        <w:ind w:left="2828" w:hanging="360"/>
      </w:pPr>
      <w:rPr>
        <w:rFonts w:hint="default"/>
        <w:lang w:val="en-US" w:eastAsia="en-US" w:bidi="ar-SA"/>
      </w:rPr>
    </w:lvl>
    <w:lvl w:ilvl="2" w:tplc="68C23456">
      <w:numFmt w:val="bullet"/>
      <w:lvlText w:val="•"/>
      <w:lvlJc w:val="left"/>
      <w:pPr>
        <w:ind w:left="3516" w:hanging="360"/>
      </w:pPr>
      <w:rPr>
        <w:rFonts w:hint="default"/>
        <w:lang w:val="en-US" w:eastAsia="en-US" w:bidi="ar-SA"/>
      </w:rPr>
    </w:lvl>
    <w:lvl w:ilvl="3" w:tplc="57BEAFAA">
      <w:numFmt w:val="bullet"/>
      <w:lvlText w:val="•"/>
      <w:lvlJc w:val="left"/>
      <w:pPr>
        <w:ind w:left="4205" w:hanging="360"/>
      </w:pPr>
      <w:rPr>
        <w:rFonts w:hint="default"/>
        <w:lang w:val="en-US" w:eastAsia="en-US" w:bidi="ar-SA"/>
      </w:rPr>
    </w:lvl>
    <w:lvl w:ilvl="4" w:tplc="BC966EC6">
      <w:numFmt w:val="bullet"/>
      <w:lvlText w:val="•"/>
      <w:lvlJc w:val="left"/>
      <w:pPr>
        <w:ind w:left="4893" w:hanging="360"/>
      </w:pPr>
      <w:rPr>
        <w:rFonts w:hint="default"/>
        <w:lang w:val="en-US" w:eastAsia="en-US" w:bidi="ar-SA"/>
      </w:rPr>
    </w:lvl>
    <w:lvl w:ilvl="5" w:tplc="1644AB18">
      <w:numFmt w:val="bullet"/>
      <w:lvlText w:val="•"/>
      <w:lvlJc w:val="left"/>
      <w:pPr>
        <w:ind w:left="5582" w:hanging="360"/>
      </w:pPr>
      <w:rPr>
        <w:rFonts w:hint="default"/>
        <w:lang w:val="en-US" w:eastAsia="en-US" w:bidi="ar-SA"/>
      </w:rPr>
    </w:lvl>
    <w:lvl w:ilvl="6" w:tplc="3AC2A58A">
      <w:numFmt w:val="bullet"/>
      <w:lvlText w:val="•"/>
      <w:lvlJc w:val="left"/>
      <w:pPr>
        <w:ind w:left="6270" w:hanging="360"/>
      </w:pPr>
      <w:rPr>
        <w:rFonts w:hint="default"/>
        <w:lang w:val="en-US" w:eastAsia="en-US" w:bidi="ar-SA"/>
      </w:rPr>
    </w:lvl>
    <w:lvl w:ilvl="7" w:tplc="3ADA4212">
      <w:numFmt w:val="bullet"/>
      <w:lvlText w:val="•"/>
      <w:lvlJc w:val="left"/>
      <w:pPr>
        <w:ind w:left="6958" w:hanging="360"/>
      </w:pPr>
      <w:rPr>
        <w:rFonts w:hint="default"/>
        <w:lang w:val="en-US" w:eastAsia="en-US" w:bidi="ar-SA"/>
      </w:rPr>
    </w:lvl>
    <w:lvl w:ilvl="8" w:tplc="0E58B8F8">
      <w:numFmt w:val="bullet"/>
      <w:lvlText w:val="•"/>
      <w:lvlJc w:val="left"/>
      <w:pPr>
        <w:ind w:left="7647" w:hanging="360"/>
      </w:pPr>
      <w:rPr>
        <w:rFonts w:hint="default"/>
        <w:lang w:val="en-US" w:eastAsia="en-US" w:bidi="ar-SA"/>
      </w:rPr>
    </w:lvl>
  </w:abstractNum>
  <w:abstractNum w:abstractNumId="96" w15:restartNumberingAfterBreak="0">
    <w:nsid w:val="380D1817"/>
    <w:multiLevelType w:val="hybridMultilevel"/>
    <w:tmpl w:val="B9CC5B30"/>
    <w:lvl w:ilvl="0" w:tplc="D580370E">
      <w:start w:val="1"/>
      <w:numFmt w:val="decimal"/>
      <w:lvlText w:val="%1."/>
      <w:lvlJc w:val="left"/>
      <w:pPr>
        <w:ind w:left="560" w:hanging="360"/>
      </w:pPr>
      <w:rPr>
        <w:rFonts w:ascii="Arial" w:eastAsia="Arial" w:hAnsi="Arial" w:cs="Arial" w:hint="default"/>
        <w:b w:val="0"/>
        <w:bCs w:val="0"/>
        <w:i w:val="0"/>
        <w:iCs w:val="0"/>
        <w:spacing w:val="0"/>
        <w:w w:val="99"/>
        <w:sz w:val="22"/>
        <w:szCs w:val="22"/>
        <w:lang w:val="en-US" w:eastAsia="en-US" w:bidi="ar-SA"/>
      </w:rPr>
    </w:lvl>
    <w:lvl w:ilvl="1" w:tplc="A73414D0">
      <w:numFmt w:val="bullet"/>
      <w:lvlText w:val="•"/>
      <w:lvlJc w:val="left"/>
      <w:pPr>
        <w:ind w:left="1494" w:hanging="360"/>
      </w:pPr>
      <w:rPr>
        <w:rFonts w:hint="default"/>
        <w:lang w:val="en-US" w:eastAsia="en-US" w:bidi="ar-SA"/>
      </w:rPr>
    </w:lvl>
    <w:lvl w:ilvl="2" w:tplc="ECF8A88C">
      <w:numFmt w:val="bullet"/>
      <w:lvlText w:val="•"/>
      <w:lvlJc w:val="left"/>
      <w:pPr>
        <w:ind w:left="2428" w:hanging="360"/>
      </w:pPr>
      <w:rPr>
        <w:rFonts w:hint="default"/>
        <w:lang w:val="en-US" w:eastAsia="en-US" w:bidi="ar-SA"/>
      </w:rPr>
    </w:lvl>
    <w:lvl w:ilvl="3" w:tplc="A5FE7CC4">
      <w:numFmt w:val="bullet"/>
      <w:lvlText w:val="•"/>
      <w:lvlJc w:val="left"/>
      <w:pPr>
        <w:ind w:left="3362" w:hanging="360"/>
      </w:pPr>
      <w:rPr>
        <w:rFonts w:hint="default"/>
        <w:lang w:val="en-US" w:eastAsia="en-US" w:bidi="ar-SA"/>
      </w:rPr>
    </w:lvl>
    <w:lvl w:ilvl="4" w:tplc="DF88FE0C">
      <w:numFmt w:val="bullet"/>
      <w:lvlText w:val="•"/>
      <w:lvlJc w:val="left"/>
      <w:pPr>
        <w:ind w:left="4296" w:hanging="360"/>
      </w:pPr>
      <w:rPr>
        <w:rFonts w:hint="default"/>
        <w:lang w:val="en-US" w:eastAsia="en-US" w:bidi="ar-SA"/>
      </w:rPr>
    </w:lvl>
    <w:lvl w:ilvl="5" w:tplc="ADCACB96">
      <w:numFmt w:val="bullet"/>
      <w:lvlText w:val="•"/>
      <w:lvlJc w:val="left"/>
      <w:pPr>
        <w:ind w:left="5230" w:hanging="360"/>
      </w:pPr>
      <w:rPr>
        <w:rFonts w:hint="default"/>
        <w:lang w:val="en-US" w:eastAsia="en-US" w:bidi="ar-SA"/>
      </w:rPr>
    </w:lvl>
    <w:lvl w:ilvl="6" w:tplc="F7BA30B4">
      <w:numFmt w:val="bullet"/>
      <w:lvlText w:val="•"/>
      <w:lvlJc w:val="left"/>
      <w:pPr>
        <w:ind w:left="6164" w:hanging="360"/>
      </w:pPr>
      <w:rPr>
        <w:rFonts w:hint="default"/>
        <w:lang w:val="en-US" w:eastAsia="en-US" w:bidi="ar-SA"/>
      </w:rPr>
    </w:lvl>
    <w:lvl w:ilvl="7" w:tplc="F49455B4">
      <w:numFmt w:val="bullet"/>
      <w:lvlText w:val="•"/>
      <w:lvlJc w:val="left"/>
      <w:pPr>
        <w:ind w:left="7098" w:hanging="360"/>
      </w:pPr>
      <w:rPr>
        <w:rFonts w:hint="default"/>
        <w:lang w:val="en-US" w:eastAsia="en-US" w:bidi="ar-SA"/>
      </w:rPr>
    </w:lvl>
    <w:lvl w:ilvl="8" w:tplc="4DA05136">
      <w:numFmt w:val="bullet"/>
      <w:lvlText w:val="•"/>
      <w:lvlJc w:val="left"/>
      <w:pPr>
        <w:ind w:left="8032" w:hanging="360"/>
      </w:pPr>
      <w:rPr>
        <w:rFonts w:hint="default"/>
        <w:lang w:val="en-US" w:eastAsia="en-US" w:bidi="ar-SA"/>
      </w:rPr>
    </w:lvl>
  </w:abstractNum>
  <w:abstractNum w:abstractNumId="97" w15:restartNumberingAfterBreak="0">
    <w:nsid w:val="38E20528"/>
    <w:multiLevelType w:val="hybridMultilevel"/>
    <w:tmpl w:val="14401C54"/>
    <w:lvl w:ilvl="0" w:tplc="0840BDFE">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71EC086C">
      <w:numFmt w:val="bullet"/>
      <w:lvlText w:val="•"/>
      <w:lvlJc w:val="left"/>
      <w:pPr>
        <w:ind w:left="3026" w:hanging="360"/>
      </w:pPr>
      <w:rPr>
        <w:rFonts w:hint="default"/>
        <w:lang w:val="en-US" w:eastAsia="en-US" w:bidi="ar-SA"/>
      </w:rPr>
    </w:lvl>
    <w:lvl w:ilvl="2" w:tplc="7F44CE48">
      <w:numFmt w:val="bullet"/>
      <w:lvlText w:val="•"/>
      <w:lvlJc w:val="left"/>
      <w:pPr>
        <w:ind w:left="3832" w:hanging="360"/>
      </w:pPr>
      <w:rPr>
        <w:rFonts w:hint="default"/>
        <w:lang w:val="en-US" w:eastAsia="en-US" w:bidi="ar-SA"/>
      </w:rPr>
    </w:lvl>
    <w:lvl w:ilvl="3" w:tplc="5B761212">
      <w:numFmt w:val="bullet"/>
      <w:lvlText w:val="•"/>
      <w:lvlJc w:val="left"/>
      <w:pPr>
        <w:ind w:left="4638" w:hanging="360"/>
      </w:pPr>
      <w:rPr>
        <w:rFonts w:hint="default"/>
        <w:lang w:val="en-US" w:eastAsia="en-US" w:bidi="ar-SA"/>
      </w:rPr>
    </w:lvl>
    <w:lvl w:ilvl="4" w:tplc="BCB4F34C">
      <w:numFmt w:val="bullet"/>
      <w:lvlText w:val="•"/>
      <w:lvlJc w:val="left"/>
      <w:pPr>
        <w:ind w:left="5444" w:hanging="360"/>
      </w:pPr>
      <w:rPr>
        <w:rFonts w:hint="default"/>
        <w:lang w:val="en-US" w:eastAsia="en-US" w:bidi="ar-SA"/>
      </w:rPr>
    </w:lvl>
    <w:lvl w:ilvl="5" w:tplc="526A0C2E">
      <w:numFmt w:val="bullet"/>
      <w:lvlText w:val="•"/>
      <w:lvlJc w:val="left"/>
      <w:pPr>
        <w:ind w:left="6250" w:hanging="360"/>
      </w:pPr>
      <w:rPr>
        <w:rFonts w:hint="default"/>
        <w:lang w:val="en-US" w:eastAsia="en-US" w:bidi="ar-SA"/>
      </w:rPr>
    </w:lvl>
    <w:lvl w:ilvl="6" w:tplc="8D383A10">
      <w:numFmt w:val="bullet"/>
      <w:lvlText w:val="•"/>
      <w:lvlJc w:val="left"/>
      <w:pPr>
        <w:ind w:left="7056" w:hanging="360"/>
      </w:pPr>
      <w:rPr>
        <w:rFonts w:hint="default"/>
        <w:lang w:val="en-US" w:eastAsia="en-US" w:bidi="ar-SA"/>
      </w:rPr>
    </w:lvl>
    <w:lvl w:ilvl="7" w:tplc="FC86683A">
      <w:numFmt w:val="bullet"/>
      <w:lvlText w:val="•"/>
      <w:lvlJc w:val="left"/>
      <w:pPr>
        <w:ind w:left="7862" w:hanging="360"/>
      </w:pPr>
      <w:rPr>
        <w:rFonts w:hint="default"/>
        <w:lang w:val="en-US" w:eastAsia="en-US" w:bidi="ar-SA"/>
      </w:rPr>
    </w:lvl>
    <w:lvl w:ilvl="8" w:tplc="FBF6CB16">
      <w:numFmt w:val="bullet"/>
      <w:lvlText w:val="•"/>
      <w:lvlJc w:val="left"/>
      <w:pPr>
        <w:ind w:left="8668" w:hanging="360"/>
      </w:pPr>
      <w:rPr>
        <w:rFonts w:hint="default"/>
        <w:lang w:val="en-US" w:eastAsia="en-US" w:bidi="ar-SA"/>
      </w:rPr>
    </w:lvl>
  </w:abstractNum>
  <w:abstractNum w:abstractNumId="98" w15:restartNumberingAfterBreak="0">
    <w:nsid w:val="399078D6"/>
    <w:multiLevelType w:val="hybridMultilevel"/>
    <w:tmpl w:val="0E10CA2C"/>
    <w:lvl w:ilvl="0" w:tplc="859C1F46">
      <w:start w:val="6"/>
      <w:numFmt w:val="decimal"/>
      <w:lvlText w:val="%1."/>
      <w:lvlJc w:val="left"/>
      <w:pPr>
        <w:ind w:left="460" w:hanging="307"/>
      </w:pPr>
      <w:rPr>
        <w:rFonts w:ascii="Arial" w:eastAsia="Arial" w:hAnsi="Arial" w:cs="Arial" w:hint="default"/>
        <w:b w:val="0"/>
        <w:bCs w:val="0"/>
        <w:i w:val="0"/>
        <w:iCs w:val="0"/>
        <w:spacing w:val="0"/>
        <w:w w:val="99"/>
        <w:sz w:val="22"/>
        <w:szCs w:val="22"/>
        <w:lang w:val="en-US" w:eastAsia="en-US" w:bidi="ar-SA"/>
      </w:rPr>
    </w:lvl>
    <w:lvl w:ilvl="1" w:tplc="317E2374">
      <w:numFmt w:val="bullet"/>
      <w:lvlText w:val=""/>
      <w:lvlJc w:val="left"/>
      <w:pPr>
        <w:ind w:left="849" w:hanging="360"/>
      </w:pPr>
      <w:rPr>
        <w:rFonts w:ascii="Symbol" w:eastAsia="Symbol" w:hAnsi="Symbol" w:cs="Symbol" w:hint="default"/>
        <w:b w:val="0"/>
        <w:bCs w:val="0"/>
        <w:i w:val="0"/>
        <w:iCs w:val="0"/>
        <w:spacing w:val="0"/>
        <w:w w:val="99"/>
        <w:sz w:val="22"/>
        <w:szCs w:val="22"/>
        <w:lang w:val="en-US" w:eastAsia="en-US" w:bidi="ar-SA"/>
      </w:rPr>
    </w:lvl>
    <w:lvl w:ilvl="2" w:tplc="88465D4E">
      <w:numFmt w:val="bullet"/>
      <w:lvlText w:val="•"/>
      <w:lvlJc w:val="left"/>
      <w:pPr>
        <w:ind w:left="1552" w:hanging="360"/>
      </w:pPr>
      <w:rPr>
        <w:rFonts w:hint="default"/>
        <w:lang w:val="en-US" w:eastAsia="en-US" w:bidi="ar-SA"/>
      </w:rPr>
    </w:lvl>
    <w:lvl w:ilvl="3" w:tplc="E862AE5E">
      <w:numFmt w:val="bullet"/>
      <w:lvlText w:val="•"/>
      <w:lvlJc w:val="left"/>
      <w:pPr>
        <w:ind w:left="2265" w:hanging="360"/>
      </w:pPr>
      <w:rPr>
        <w:rFonts w:hint="default"/>
        <w:lang w:val="en-US" w:eastAsia="en-US" w:bidi="ar-SA"/>
      </w:rPr>
    </w:lvl>
    <w:lvl w:ilvl="4" w:tplc="D3D66A6C">
      <w:numFmt w:val="bullet"/>
      <w:lvlText w:val="•"/>
      <w:lvlJc w:val="left"/>
      <w:pPr>
        <w:ind w:left="2978" w:hanging="360"/>
      </w:pPr>
      <w:rPr>
        <w:rFonts w:hint="default"/>
        <w:lang w:val="en-US" w:eastAsia="en-US" w:bidi="ar-SA"/>
      </w:rPr>
    </w:lvl>
    <w:lvl w:ilvl="5" w:tplc="351CCB5C">
      <w:numFmt w:val="bullet"/>
      <w:lvlText w:val="•"/>
      <w:lvlJc w:val="left"/>
      <w:pPr>
        <w:ind w:left="3691" w:hanging="360"/>
      </w:pPr>
      <w:rPr>
        <w:rFonts w:hint="default"/>
        <w:lang w:val="en-US" w:eastAsia="en-US" w:bidi="ar-SA"/>
      </w:rPr>
    </w:lvl>
    <w:lvl w:ilvl="6" w:tplc="100CF018">
      <w:numFmt w:val="bullet"/>
      <w:lvlText w:val="•"/>
      <w:lvlJc w:val="left"/>
      <w:pPr>
        <w:ind w:left="4404" w:hanging="360"/>
      </w:pPr>
      <w:rPr>
        <w:rFonts w:hint="default"/>
        <w:lang w:val="en-US" w:eastAsia="en-US" w:bidi="ar-SA"/>
      </w:rPr>
    </w:lvl>
    <w:lvl w:ilvl="7" w:tplc="6CE89AF6">
      <w:numFmt w:val="bullet"/>
      <w:lvlText w:val="•"/>
      <w:lvlJc w:val="left"/>
      <w:pPr>
        <w:ind w:left="5117" w:hanging="360"/>
      </w:pPr>
      <w:rPr>
        <w:rFonts w:hint="default"/>
        <w:lang w:val="en-US" w:eastAsia="en-US" w:bidi="ar-SA"/>
      </w:rPr>
    </w:lvl>
    <w:lvl w:ilvl="8" w:tplc="6D12E6CA">
      <w:numFmt w:val="bullet"/>
      <w:lvlText w:val="•"/>
      <w:lvlJc w:val="left"/>
      <w:pPr>
        <w:ind w:left="5830" w:hanging="360"/>
      </w:pPr>
      <w:rPr>
        <w:rFonts w:hint="default"/>
        <w:lang w:val="en-US" w:eastAsia="en-US" w:bidi="ar-SA"/>
      </w:rPr>
    </w:lvl>
  </w:abstractNum>
  <w:abstractNum w:abstractNumId="99" w15:restartNumberingAfterBreak="0">
    <w:nsid w:val="39FB2252"/>
    <w:multiLevelType w:val="hybridMultilevel"/>
    <w:tmpl w:val="BC7677DE"/>
    <w:lvl w:ilvl="0" w:tplc="DF869BB0">
      <w:start w:val="3"/>
      <w:numFmt w:val="lowerLetter"/>
      <w:lvlText w:val="(%1)"/>
      <w:lvlJc w:val="left"/>
      <w:pPr>
        <w:ind w:left="1154" w:hanging="587"/>
      </w:pPr>
      <w:rPr>
        <w:rFonts w:ascii="Arial" w:eastAsia="Arial" w:hAnsi="Arial" w:cs="Arial" w:hint="default"/>
        <w:b w:val="0"/>
        <w:bCs w:val="0"/>
        <w:i w:val="0"/>
        <w:iCs w:val="0"/>
        <w:spacing w:val="0"/>
        <w:w w:val="99"/>
        <w:sz w:val="22"/>
        <w:szCs w:val="22"/>
        <w:lang w:val="en-US" w:eastAsia="en-US" w:bidi="ar-SA"/>
      </w:rPr>
    </w:lvl>
    <w:lvl w:ilvl="1" w:tplc="4BB4C8E2">
      <w:start w:val="1"/>
      <w:numFmt w:val="lowerRoman"/>
      <w:lvlText w:val="%2."/>
      <w:lvlJc w:val="left"/>
      <w:pPr>
        <w:ind w:left="1779" w:hanging="471"/>
      </w:pPr>
      <w:rPr>
        <w:rFonts w:ascii="Arial" w:eastAsia="Arial" w:hAnsi="Arial" w:cs="Arial" w:hint="default"/>
        <w:b w:val="0"/>
        <w:bCs w:val="0"/>
        <w:i w:val="0"/>
        <w:iCs w:val="0"/>
        <w:spacing w:val="0"/>
        <w:w w:val="99"/>
        <w:sz w:val="22"/>
        <w:szCs w:val="22"/>
        <w:lang w:val="en-US" w:eastAsia="en-US" w:bidi="ar-SA"/>
      </w:rPr>
    </w:lvl>
    <w:lvl w:ilvl="2" w:tplc="1E04CA64">
      <w:numFmt w:val="bullet"/>
      <w:lvlText w:val="•"/>
      <w:lvlJc w:val="left"/>
      <w:pPr>
        <w:ind w:left="2290" w:hanging="471"/>
      </w:pPr>
      <w:rPr>
        <w:rFonts w:hint="default"/>
        <w:lang w:val="en-US" w:eastAsia="en-US" w:bidi="ar-SA"/>
      </w:rPr>
    </w:lvl>
    <w:lvl w:ilvl="3" w:tplc="025835FE">
      <w:numFmt w:val="bullet"/>
      <w:lvlText w:val="•"/>
      <w:lvlJc w:val="left"/>
      <w:pPr>
        <w:ind w:left="2801" w:hanging="471"/>
      </w:pPr>
      <w:rPr>
        <w:rFonts w:hint="default"/>
        <w:lang w:val="en-US" w:eastAsia="en-US" w:bidi="ar-SA"/>
      </w:rPr>
    </w:lvl>
    <w:lvl w:ilvl="4" w:tplc="B4C0D89C">
      <w:numFmt w:val="bullet"/>
      <w:lvlText w:val="•"/>
      <w:lvlJc w:val="left"/>
      <w:pPr>
        <w:ind w:left="3312" w:hanging="471"/>
      </w:pPr>
      <w:rPr>
        <w:rFonts w:hint="default"/>
        <w:lang w:val="en-US" w:eastAsia="en-US" w:bidi="ar-SA"/>
      </w:rPr>
    </w:lvl>
    <w:lvl w:ilvl="5" w:tplc="8A50B9C6">
      <w:numFmt w:val="bullet"/>
      <w:lvlText w:val="•"/>
      <w:lvlJc w:val="left"/>
      <w:pPr>
        <w:ind w:left="3823" w:hanging="471"/>
      </w:pPr>
      <w:rPr>
        <w:rFonts w:hint="default"/>
        <w:lang w:val="en-US" w:eastAsia="en-US" w:bidi="ar-SA"/>
      </w:rPr>
    </w:lvl>
    <w:lvl w:ilvl="6" w:tplc="55446248">
      <w:numFmt w:val="bullet"/>
      <w:lvlText w:val="•"/>
      <w:lvlJc w:val="left"/>
      <w:pPr>
        <w:ind w:left="4334" w:hanging="471"/>
      </w:pPr>
      <w:rPr>
        <w:rFonts w:hint="default"/>
        <w:lang w:val="en-US" w:eastAsia="en-US" w:bidi="ar-SA"/>
      </w:rPr>
    </w:lvl>
    <w:lvl w:ilvl="7" w:tplc="DC809B5C">
      <w:numFmt w:val="bullet"/>
      <w:lvlText w:val="•"/>
      <w:lvlJc w:val="left"/>
      <w:pPr>
        <w:ind w:left="4845" w:hanging="471"/>
      </w:pPr>
      <w:rPr>
        <w:rFonts w:hint="default"/>
        <w:lang w:val="en-US" w:eastAsia="en-US" w:bidi="ar-SA"/>
      </w:rPr>
    </w:lvl>
    <w:lvl w:ilvl="8" w:tplc="A2480E68">
      <w:numFmt w:val="bullet"/>
      <w:lvlText w:val="•"/>
      <w:lvlJc w:val="left"/>
      <w:pPr>
        <w:ind w:left="5356" w:hanging="471"/>
      </w:pPr>
      <w:rPr>
        <w:rFonts w:hint="default"/>
        <w:lang w:val="en-US" w:eastAsia="en-US" w:bidi="ar-SA"/>
      </w:rPr>
    </w:lvl>
  </w:abstractNum>
  <w:abstractNum w:abstractNumId="100" w15:restartNumberingAfterBreak="0">
    <w:nsid w:val="3A521F2B"/>
    <w:multiLevelType w:val="hybridMultilevel"/>
    <w:tmpl w:val="D288275E"/>
    <w:lvl w:ilvl="0" w:tplc="C95434AE">
      <w:start w:val="1"/>
      <w:numFmt w:val="decimalZero"/>
      <w:lvlText w:val=".%1"/>
      <w:lvlJc w:val="left"/>
      <w:pPr>
        <w:ind w:left="1859" w:hanging="721"/>
      </w:pPr>
      <w:rPr>
        <w:rFonts w:ascii="Arial" w:eastAsia="Arial" w:hAnsi="Arial" w:cs="Arial" w:hint="default"/>
        <w:b w:val="0"/>
        <w:bCs w:val="0"/>
        <w:i w:val="0"/>
        <w:iCs w:val="0"/>
        <w:spacing w:val="0"/>
        <w:w w:val="99"/>
        <w:sz w:val="22"/>
        <w:szCs w:val="22"/>
        <w:lang w:val="en-US" w:eastAsia="en-US" w:bidi="ar-SA"/>
      </w:rPr>
    </w:lvl>
    <w:lvl w:ilvl="1" w:tplc="599E8E76">
      <w:numFmt w:val="bullet"/>
      <w:lvlText w:val=""/>
      <w:lvlJc w:val="left"/>
      <w:pPr>
        <w:ind w:left="2220" w:hanging="360"/>
      </w:pPr>
      <w:rPr>
        <w:rFonts w:ascii="Symbol" w:eastAsia="Symbol" w:hAnsi="Symbol" w:cs="Symbol" w:hint="default"/>
        <w:b w:val="0"/>
        <w:bCs w:val="0"/>
        <w:i w:val="0"/>
        <w:iCs w:val="0"/>
        <w:spacing w:val="0"/>
        <w:w w:val="99"/>
        <w:sz w:val="22"/>
        <w:szCs w:val="22"/>
        <w:lang w:val="en-US" w:eastAsia="en-US" w:bidi="ar-SA"/>
      </w:rPr>
    </w:lvl>
    <w:lvl w:ilvl="2" w:tplc="B914B454">
      <w:numFmt w:val="bullet"/>
      <w:lvlText w:val="•"/>
      <w:lvlJc w:val="left"/>
      <w:pPr>
        <w:ind w:left="3115" w:hanging="360"/>
      </w:pPr>
      <w:rPr>
        <w:rFonts w:hint="default"/>
        <w:lang w:val="en-US" w:eastAsia="en-US" w:bidi="ar-SA"/>
      </w:rPr>
    </w:lvl>
    <w:lvl w:ilvl="3" w:tplc="934A0246">
      <w:numFmt w:val="bullet"/>
      <w:lvlText w:val="•"/>
      <w:lvlJc w:val="left"/>
      <w:pPr>
        <w:ind w:left="4011" w:hanging="360"/>
      </w:pPr>
      <w:rPr>
        <w:rFonts w:hint="default"/>
        <w:lang w:val="en-US" w:eastAsia="en-US" w:bidi="ar-SA"/>
      </w:rPr>
    </w:lvl>
    <w:lvl w:ilvl="4" w:tplc="8312E3B0">
      <w:numFmt w:val="bullet"/>
      <w:lvlText w:val="•"/>
      <w:lvlJc w:val="left"/>
      <w:pPr>
        <w:ind w:left="4906" w:hanging="360"/>
      </w:pPr>
      <w:rPr>
        <w:rFonts w:hint="default"/>
        <w:lang w:val="en-US" w:eastAsia="en-US" w:bidi="ar-SA"/>
      </w:rPr>
    </w:lvl>
    <w:lvl w:ilvl="5" w:tplc="703E5386">
      <w:numFmt w:val="bullet"/>
      <w:lvlText w:val="•"/>
      <w:lvlJc w:val="left"/>
      <w:pPr>
        <w:ind w:left="5802" w:hanging="360"/>
      </w:pPr>
      <w:rPr>
        <w:rFonts w:hint="default"/>
        <w:lang w:val="en-US" w:eastAsia="en-US" w:bidi="ar-SA"/>
      </w:rPr>
    </w:lvl>
    <w:lvl w:ilvl="6" w:tplc="D2CECB08">
      <w:numFmt w:val="bullet"/>
      <w:lvlText w:val="•"/>
      <w:lvlJc w:val="left"/>
      <w:pPr>
        <w:ind w:left="6697" w:hanging="360"/>
      </w:pPr>
      <w:rPr>
        <w:rFonts w:hint="default"/>
        <w:lang w:val="en-US" w:eastAsia="en-US" w:bidi="ar-SA"/>
      </w:rPr>
    </w:lvl>
    <w:lvl w:ilvl="7" w:tplc="A8241EA2">
      <w:numFmt w:val="bullet"/>
      <w:lvlText w:val="•"/>
      <w:lvlJc w:val="left"/>
      <w:pPr>
        <w:ind w:left="7593" w:hanging="360"/>
      </w:pPr>
      <w:rPr>
        <w:rFonts w:hint="default"/>
        <w:lang w:val="en-US" w:eastAsia="en-US" w:bidi="ar-SA"/>
      </w:rPr>
    </w:lvl>
    <w:lvl w:ilvl="8" w:tplc="6F58EB66">
      <w:numFmt w:val="bullet"/>
      <w:lvlText w:val="•"/>
      <w:lvlJc w:val="left"/>
      <w:pPr>
        <w:ind w:left="8488" w:hanging="360"/>
      </w:pPr>
      <w:rPr>
        <w:rFonts w:hint="default"/>
        <w:lang w:val="en-US" w:eastAsia="en-US" w:bidi="ar-SA"/>
      </w:rPr>
    </w:lvl>
  </w:abstractNum>
  <w:abstractNum w:abstractNumId="101" w15:restartNumberingAfterBreak="0">
    <w:nsid w:val="3A743B45"/>
    <w:multiLevelType w:val="hybridMultilevel"/>
    <w:tmpl w:val="E93E70BE"/>
    <w:lvl w:ilvl="0" w:tplc="87A8D81E">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B464FD32">
      <w:numFmt w:val="bullet"/>
      <w:lvlText w:val="•"/>
      <w:lvlJc w:val="left"/>
      <w:pPr>
        <w:ind w:left="3026" w:hanging="360"/>
      </w:pPr>
      <w:rPr>
        <w:rFonts w:hint="default"/>
        <w:lang w:val="en-US" w:eastAsia="en-US" w:bidi="ar-SA"/>
      </w:rPr>
    </w:lvl>
    <w:lvl w:ilvl="2" w:tplc="145EB218">
      <w:numFmt w:val="bullet"/>
      <w:lvlText w:val="•"/>
      <w:lvlJc w:val="left"/>
      <w:pPr>
        <w:ind w:left="3832" w:hanging="360"/>
      </w:pPr>
      <w:rPr>
        <w:rFonts w:hint="default"/>
        <w:lang w:val="en-US" w:eastAsia="en-US" w:bidi="ar-SA"/>
      </w:rPr>
    </w:lvl>
    <w:lvl w:ilvl="3" w:tplc="C00042CE">
      <w:numFmt w:val="bullet"/>
      <w:lvlText w:val="•"/>
      <w:lvlJc w:val="left"/>
      <w:pPr>
        <w:ind w:left="4638" w:hanging="360"/>
      </w:pPr>
      <w:rPr>
        <w:rFonts w:hint="default"/>
        <w:lang w:val="en-US" w:eastAsia="en-US" w:bidi="ar-SA"/>
      </w:rPr>
    </w:lvl>
    <w:lvl w:ilvl="4" w:tplc="59464B2A">
      <w:numFmt w:val="bullet"/>
      <w:lvlText w:val="•"/>
      <w:lvlJc w:val="left"/>
      <w:pPr>
        <w:ind w:left="5444" w:hanging="360"/>
      </w:pPr>
      <w:rPr>
        <w:rFonts w:hint="default"/>
        <w:lang w:val="en-US" w:eastAsia="en-US" w:bidi="ar-SA"/>
      </w:rPr>
    </w:lvl>
    <w:lvl w:ilvl="5" w:tplc="F1B8A1C4">
      <w:numFmt w:val="bullet"/>
      <w:lvlText w:val="•"/>
      <w:lvlJc w:val="left"/>
      <w:pPr>
        <w:ind w:left="6250" w:hanging="360"/>
      </w:pPr>
      <w:rPr>
        <w:rFonts w:hint="default"/>
        <w:lang w:val="en-US" w:eastAsia="en-US" w:bidi="ar-SA"/>
      </w:rPr>
    </w:lvl>
    <w:lvl w:ilvl="6" w:tplc="6DE2FB54">
      <w:numFmt w:val="bullet"/>
      <w:lvlText w:val="•"/>
      <w:lvlJc w:val="left"/>
      <w:pPr>
        <w:ind w:left="7056" w:hanging="360"/>
      </w:pPr>
      <w:rPr>
        <w:rFonts w:hint="default"/>
        <w:lang w:val="en-US" w:eastAsia="en-US" w:bidi="ar-SA"/>
      </w:rPr>
    </w:lvl>
    <w:lvl w:ilvl="7" w:tplc="6DCA3842">
      <w:numFmt w:val="bullet"/>
      <w:lvlText w:val="•"/>
      <w:lvlJc w:val="left"/>
      <w:pPr>
        <w:ind w:left="7862" w:hanging="360"/>
      </w:pPr>
      <w:rPr>
        <w:rFonts w:hint="default"/>
        <w:lang w:val="en-US" w:eastAsia="en-US" w:bidi="ar-SA"/>
      </w:rPr>
    </w:lvl>
    <w:lvl w:ilvl="8" w:tplc="A1165CE6">
      <w:numFmt w:val="bullet"/>
      <w:lvlText w:val="•"/>
      <w:lvlJc w:val="left"/>
      <w:pPr>
        <w:ind w:left="8668" w:hanging="360"/>
      </w:pPr>
      <w:rPr>
        <w:rFonts w:hint="default"/>
        <w:lang w:val="en-US" w:eastAsia="en-US" w:bidi="ar-SA"/>
      </w:rPr>
    </w:lvl>
  </w:abstractNum>
  <w:abstractNum w:abstractNumId="102" w15:restartNumberingAfterBreak="0">
    <w:nsid w:val="3AC43463"/>
    <w:multiLevelType w:val="hybridMultilevel"/>
    <w:tmpl w:val="019AD84A"/>
    <w:lvl w:ilvl="0" w:tplc="50E02F1E">
      <w:start w:val="18"/>
      <w:numFmt w:val="decimal"/>
      <w:lvlText w:val="%1."/>
      <w:lvlJc w:val="left"/>
      <w:pPr>
        <w:ind w:left="485" w:hanging="360"/>
      </w:pPr>
      <w:rPr>
        <w:rFonts w:ascii="Arial" w:eastAsia="Arial" w:hAnsi="Arial" w:cs="Arial" w:hint="default"/>
        <w:b w:val="0"/>
        <w:bCs w:val="0"/>
        <w:i w:val="0"/>
        <w:iCs w:val="0"/>
        <w:spacing w:val="0"/>
        <w:w w:val="99"/>
        <w:sz w:val="22"/>
        <w:szCs w:val="22"/>
        <w:lang w:val="en-US" w:eastAsia="en-US" w:bidi="ar-SA"/>
      </w:rPr>
    </w:lvl>
    <w:lvl w:ilvl="1" w:tplc="02A8231C">
      <w:numFmt w:val="bullet"/>
      <w:lvlText w:val=""/>
      <w:lvlJc w:val="left"/>
      <w:pPr>
        <w:ind w:left="1204" w:hanging="360"/>
      </w:pPr>
      <w:rPr>
        <w:rFonts w:ascii="Symbol" w:eastAsia="Symbol" w:hAnsi="Symbol" w:cs="Symbol" w:hint="default"/>
        <w:b w:val="0"/>
        <w:bCs w:val="0"/>
        <w:i w:val="0"/>
        <w:iCs w:val="0"/>
        <w:spacing w:val="0"/>
        <w:w w:val="99"/>
        <w:sz w:val="22"/>
        <w:szCs w:val="22"/>
        <w:lang w:val="en-US" w:eastAsia="en-US" w:bidi="ar-SA"/>
      </w:rPr>
    </w:lvl>
    <w:lvl w:ilvl="2" w:tplc="38A2F416">
      <w:numFmt w:val="bullet"/>
      <w:lvlText w:val="•"/>
      <w:lvlJc w:val="left"/>
      <w:pPr>
        <w:ind w:left="1830" w:hanging="360"/>
      </w:pPr>
      <w:rPr>
        <w:rFonts w:hint="default"/>
        <w:lang w:val="en-US" w:eastAsia="en-US" w:bidi="ar-SA"/>
      </w:rPr>
    </w:lvl>
    <w:lvl w:ilvl="3" w:tplc="AC76C590">
      <w:numFmt w:val="bullet"/>
      <w:lvlText w:val="•"/>
      <w:lvlJc w:val="left"/>
      <w:pPr>
        <w:ind w:left="2460" w:hanging="360"/>
      </w:pPr>
      <w:rPr>
        <w:rFonts w:hint="default"/>
        <w:lang w:val="en-US" w:eastAsia="en-US" w:bidi="ar-SA"/>
      </w:rPr>
    </w:lvl>
    <w:lvl w:ilvl="4" w:tplc="B32E7F9E">
      <w:numFmt w:val="bullet"/>
      <w:lvlText w:val="•"/>
      <w:lvlJc w:val="left"/>
      <w:pPr>
        <w:ind w:left="3091" w:hanging="360"/>
      </w:pPr>
      <w:rPr>
        <w:rFonts w:hint="default"/>
        <w:lang w:val="en-US" w:eastAsia="en-US" w:bidi="ar-SA"/>
      </w:rPr>
    </w:lvl>
    <w:lvl w:ilvl="5" w:tplc="43962B1A">
      <w:numFmt w:val="bullet"/>
      <w:lvlText w:val="•"/>
      <w:lvlJc w:val="left"/>
      <w:pPr>
        <w:ind w:left="3721" w:hanging="360"/>
      </w:pPr>
      <w:rPr>
        <w:rFonts w:hint="default"/>
        <w:lang w:val="en-US" w:eastAsia="en-US" w:bidi="ar-SA"/>
      </w:rPr>
    </w:lvl>
    <w:lvl w:ilvl="6" w:tplc="115C7A18">
      <w:numFmt w:val="bullet"/>
      <w:lvlText w:val="•"/>
      <w:lvlJc w:val="left"/>
      <w:pPr>
        <w:ind w:left="4351" w:hanging="360"/>
      </w:pPr>
      <w:rPr>
        <w:rFonts w:hint="default"/>
        <w:lang w:val="en-US" w:eastAsia="en-US" w:bidi="ar-SA"/>
      </w:rPr>
    </w:lvl>
    <w:lvl w:ilvl="7" w:tplc="7F66E1A6">
      <w:numFmt w:val="bullet"/>
      <w:lvlText w:val="•"/>
      <w:lvlJc w:val="left"/>
      <w:pPr>
        <w:ind w:left="4982" w:hanging="360"/>
      </w:pPr>
      <w:rPr>
        <w:rFonts w:hint="default"/>
        <w:lang w:val="en-US" w:eastAsia="en-US" w:bidi="ar-SA"/>
      </w:rPr>
    </w:lvl>
    <w:lvl w:ilvl="8" w:tplc="52C4B272">
      <w:numFmt w:val="bullet"/>
      <w:lvlText w:val="•"/>
      <w:lvlJc w:val="left"/>
      <w:pPr>
        <w:ind w:left="5612" w:hanging="360"/>
      </w:pPr>
      <w:rPr>
        <w:rFonts w:hint="default"/>
        <w:lang w:val="en-US" w:eastAsia="en-US" w:bidi="ar-SA"/>
      </w:rPr>
    </w:lvl>
  </w:abstractNum>
  <w:abstractNum w:abstractNumId="103" w15:restartNumberingAfterBreak="0">
    <w:nsid w:val="3B8512A5"/>
    <w:multiLevelType w:val="hybridMultilevel"/>
    <w:tmpl w:val="137A8F2A"/>
    <w:lvl w:ilvl="0" w:tplc="B61AADD6">
      <w:numFmt w:val="bullet"/>
      <w:lvlText w:val=""/>
      <w:lvlJc w:val="left"/>
      <w:pPr>
        <w:ind w:left="964" w:hanging="370"/>
      </w:pPr>
      <w:rPr>
        <w:rFonts w:ascii="Symbol" w:eastAsia="Symbol" w:hAnsi="Symbol" w:cs="Symbol" w:hint="default"/>
        <w:b w:val="0"/>
        <w:bCs w:val="0"/>
        <w:i w:val="0"/>
        <w:iCs w:val="0"/>
        <w:spacing w:val="0"/>
        <w:w w:val="99"/>
        <w:sz w:val="22"/>
        <w:szCs w:val="22"/>
        <w:lang w:val="en-US" w:eastAsia="en-US" w:bidi="ar-SA"/>
      </w:rPr>
    </w:lvl>
    <w:lvl w:ilvl="1" w:tplc="80722380">
      <w:numFmt w:val="bullet"/>
      <w:lvlText w:val="•"/>
      <w:lvlJc w:val="left"/>
      <w:pPr>
        <w:ind w:left="1556" w:hanging="370"/>
      </w:pPr>
      <w:rPr>
        <w:rFonts w:hint="default"/>
        <w:lang w:val="en-US" w:eastAsia="en-US" w:bidi="ar-SA"/>
      </w:rPr>
    </w:lvl>
    <w:lvl w:ilvl="2" w:tplc="5F06DD90">
      <w:numFmt w:val="bullet"/>
      <w:lvlText w:val="•"/>
      <w:lvlJc w:val="left"/>
      <w:pPr>
        <w:ind w:left="2152" w:hanging="370"/>
      </w:pPr>
      <w:rPr>
        <w:rFonts w:hint="default"/>
        <w:lang w:val="en-US" w:eastAsia="en-US" w:bidi="ar-SA"/>
      </w:rPr>
    </w:lvl>
    <w:lvl w:ilvl="3" w:tplc="56521220">
      <w:numFmt w:val="bullet"/>
      <w:lvlText w:val="•"/>
      <w:lvlJc w:val="left"/>
      <w:pPr>
        <w:ind w:left="2748" w:hanging="370"/>
      </w:pPr>
      <w:rPr>
        <w:rFonts w:hint="default"/>
        <w:lang w:val="en-US" w:eastAsia="en-US" w:bidi="ar-SA"/>
      </w:rPr>
    </w:lvl>
    <w:lvl w:ilvl="4" w:tplc="DBD640A6">
      <w:numFmt w:val="bullet"/>
      <w:lvlText w:val="•"/>
      <w:lvlJc w:val="left"/>
      <w:pPr>
        <w:ind w:left="3345" w:hanging="370"/>
      </w:pPr>
      <w:rPr>
        <w:rFonts w:hint="default"/>
        <w:lang w:val="en-US" w:eastAsia="en-US" w:bidi="ar-SA"/>
      </w:rPr>
    </w:lvl>
    <w:lvl w:ilvl="5" w:tplc="901291BA">
      <w:numFmt w:val="bullet"/>
      <w:lvlText w:val="•"/>
      <w:lvlJc w:val="left"/>
      <w:pPr>
        <w:ind w:left="3941" w:hanging="370"/>
      </w:pPr>
      <w:rPr>
        <w:rFonts w:hint="default"/>
        <w:lang w:val="en-US" w:eastAsia="en-US" w:bidi="ar-SA"/>
      </w:rPr>
    </w:lvl>
    <w:lvl w:ilvl="6" w:tplc="389C19C0">
      <w:numFmt w:val="bullet"/>
      <w:lvlText w:val="•"/>
      <w:lvlJc w:val="left"/>
      <w:pPr>
        <w:ind w:left="4537" w:hanging="370"/>
      </w:pPr>
      <w:rPr>
        <w:rFonts w:hint="default"/>
        <w:lang w:val="en-US" w:eastAsia="en-US" w:bidi="ar-SA"/>
      </w:rPr>
    </w:lvl>
    <w:lvl w:ilvl="7" w:tplc="25A0B9CA">
      <w:numFmt w:val="bullet"/>
      <w:lvlText w:val="•"/>
      <w:lvlJc w:val="left"/>
      <w:pPr>
        <w:ind w:left="5134" w:hanging="370"/>
      </w:pPr>
      <w:rPr>
        <w:rFonts w:hint="default"/>
        <w:lang w:val="en-US" w:eastAsia="en-US" w:bidi="ar-SA"/>
      </w:rPr>
    </w:lvl>
    <w:lvl w:ilvl="8" w:tplc="2E32ADD2">
      <w:numFmt w:val="bullet"/>
      <w:lvlText w:val="•"/>
      <w:lvlJc w:val="left"/>
      <w:pPr>
        <w:ind w:left="5730" w:hanging="370"/>
      </w:pPr>
      <w:rPr>
        <w:rFonts w:hint="default"/>
        <w:lang w:val="en-US" w:eastAsia="en-US" w:bidi="ar-SA"/>
      </w:rPr>
    </w:lvl>
  </w:abstractNum>
  <w:abstractNum w:abstractNumId="104" w15:restartNumberingAfterBreak="0">
    <w:nsid w:val="3C2E6140"/>
    <w:multiLevelType w:val="hybridMultilevel"/>
    <w:tmpl w:val="51B63B8C"/>
    <w:lvl w:ilvl="0" w:tplc="B8923D6E">
      <w:start w:val="1"/>
      <w:numFmt w:val="upperLetter"/>
      <w:lvlText w:val="%1."/>
      <w:lvlJc w:val="left"/>
      <w:pPr>
        <w:ind w:left="933" w:hanging="360"/>
      </w:pPr>
      <w:rPr>
        <w:rFonts w:ascii="Arial" w:eastAsia="Arial" w:hAnsi="Arial" w:cs="Arial" w:hint="default"/>
        <w:b w:val="0"/>
        <w:bCs w:val="0"/>
        <w:i w:val="0"/>
        <w:iCs w:val="0"/>
        <w:spacing w:val="0"/>
        <w:w w:val="99"/>
        <w:sz w:val="22"/>
        <w:szCs w:val="22"/>
        <w:lang w:val="en-US" w:eastAsia="en-US" w:bidi="ar-SA"/>
      </w:rPr>
    </w:lvl>
    <w:lvl w:ilvl="1" w:tplc="2ECA6D58">
      <w:numFmt w:val="bullet"/>
      <w:lvlText w:val=""/>
      <w:lvlJc w:val="left"/>
      <w:pPr>
        <w:ind w:left="1357" w:hanging="358"/>
      </w:pPr>
      <w:rPr>
        <w:rFonts w:ascii="Symbol" w:eastAsia="Symbol" w:hAnsi="Symbol" w:cs="Symbol" w:hint="default"/>
        <w:b w:val="0"/>
        <w:bCs w:val="0"/>
        <w:i w:val="0"/>
        <w:iCs w:val="0"/>
        <w:spacing w:val="0"/>
        <w:w w:val="99"/>
        <w:sz w:val="22"/>
        <w:szCs w:val="22"/>
        <w:lang w:val="en-US" w:eastAsia="en-US" w:bidi="ar-SA"/>
      </w:rPr>
    </w:lvl>
    <w:lvl w:ilvl="2" w:tplc="30E41732">
      <w:numFmt w:val="bullet"/>
      <w:lvlText w:val="•"/>
      <w:lvlJc w:val="left"/>
      <w:pPr>
        <w:ind w:left="1991" w:hanging="358"/>
      </w:pPr>
      <w:rPr>
        <w:rFonts w:hint="default"/>
        <w:lang w:val="en-US" w:eastAsia="en-US" w:bidi="ar-SA"/>
      </w:rPr>
    </w:lvl>
    <w:lvl w:ilvl="3" w:tplc="5AD4FE84">
      <w:numFmt w:val="bullet"/>
      <w:lvlText w:val="•"/>
      <w:lvlJc w:val="left"/>
      <w:pPr>
        <w:ind w:left="2622" w:hanging="358"/>
      </w:pPr>
      <w:rPr>
        <w:rFonts w:hint="default"/>
        <w:lang w:val="en-US" w:eastAsia="en-US" w:bidi="ar-SA"/>
      </w:rPr>
    </w:lvl>
    <w:lvl w:ilvl="4" w:tplc="AA1677AC">
      <w:numFmt w:val="bullet"/>
      <w:lvlText w:val="•"/>
      <w:lvlJc w:val="left"/>
      <w:pPr>
        <w:ind w:left="3253" w:hanging="358"/>
      </w:pPr>
      <w:rPr>
        <w:rFonts w:hint="default"/>
        <w:lang w:val="en-US" w:eastAsia="en-US" w:bidi="ar-SA"/>
      </w:rPr>
    </w:lvl>
    <w:lvl w:ilvl="5" w:tplc="8A623FA4">
      <w:numFmt w:val="bullet"/>
      <w:lvlText w:val="•"/>
      <w:lvlJc w:val="left"/>
      <w:pPr>
        <w:ind w:left="3884" w:hanging="358"/>
      </w:pPr>
      <w:rPr>
        <w:rFonts w:hint="default"/>
        <w:lang w:val="en-US" w:eastAsia="en-US" w:bidi="ar-SA"/>
      </w:rPr>
    </w:lvl>
    <w:lvl w:ilvl="6" w:tplc="F0441A72">
      <w:numFmt w:val="bullet"/>
      <w:lvlText w:val="•"/>
      <w:lvlJc w:val="left"/>
      <w:pPr>
        <w:ind w:left="4515" w:hanging="358"/>
      </w:pPr>
      <w:rPr>
        <w:rFonts w:hint="default"/>
        <w:lang w:val="en-US" w:eastAsia="en-US" w:bidi="ar-SA"/>
      </w:rPr>
    </w:lvl>
    <w:lvl w:ilvl="7" w:tplc="DF58CF2C">
      <w:numFmt w:val="bullet"/>
      <w:lvlText w:val="•"/>
      <w:lvlJc w:val="left"/>
      <w:pPr>
        <w:ind w:left="5146" w:hanging="358"/>
      </w:pPr>
      <w:rPr>
        <w:rFonts w:hint="default"/>
        <w:lang w:val="en-US" w:eastAsia="en-US" w:bidi="ar-SA"/>
      </w:rPr>
    </w:lvl>
    <w:lvl w:ilvl="8" w:tplc="87D0C6CA">
      <w:numFmt w:val="bullet"/>
      <w:lvlText w:val="•"/>
      <w:lvlJc w:val="left"/>
      <w:pPr>
        <w:ind w:left="5777" w:hanging="358"/>
      </w:pPr>
      <w:rPr>
        <w:rFonts w:hint="default"/>
        <w:lang w:val="en-US" w:eastAsia="en-US" w:bidi="ar-SA"/>
      </w:rPr>
    </w:lvl>
  </w:abstractNum>
  <w:abstractNum w:abstractNumId="105" w15:restartNumberingAfterBreak="0">
    <w:nsid w:val="3C716A28"/>
    <w:multiLevelType w:val="hybridMultilevel"/>
    <w:tmpl w:val="7884ECF2"/>
    <w:lvl w:ilvl="0" w:tplc="AF667AAA">
      <w:start w:val="1"/>
      <w:numFmt w:val="decimal"/>
      <w:lvlText w:val="%1."/>
      <w:lvlJc w:val="left"/>
      <w:pPr>
        <w:ind w:left="489" w:hanging="360"/>
      </w:pPr>
      <w:rPr>
        <w:rFonts w:ascii="Arial" w:eastAsia="Arial" w:hAnsi="Arial" w:cs="Arial" w:hint="default"/>
        <w:b w:val="0"/>
        <w:bCs w:val="0"/>
        <w:i w:val="0"/>
        <w:iCs w:val="0"/>
        <w:spacing w:val="0"/>
        <w:w w:val="99"/>
        <w:sz w:val="22"/>
        <w:szCs w:val="22"/>
        <w:lang w:val="en-US" w:eastAsia="en-US" w:bidi="ar-SA"/>
      </w:rPr>
    </w:lvl>
    <w:lvl w:ilvl="1" w:tplc="561CD2A0">
      <w:start w:val="1"/>
      <w:numFmt w:val="lowerLetter"/>
      <w:lvlText w:val="%2."/>
      <w:lvlJc w:val="left"/>
      <w:pPr>
        <w:ind w:left="922" w:hanging="360"/>
      </w:pPr>
      <w:rPr>
        <w:rFonts w:ascii="Arial" w:eastAsia="Arial" w:hAnsi="Arial" w:cs="Arial" w:hint="default"/>
        <w:b w:val="0"/>
        <w:bCs w:val="0"/>
        <w:i w:val="0"/>
        <w:iCs w:val="0"/>
        <w:spacing w:val="0"/>
        <w:w w:val="99"/>
        <w:sz w:val="22"/>
        <w:szCs w:val="22"/>
        <w:lang w:val="en-US" w:eastAsia="en-US" w:bidi="ar-SA"/>
      </w:rPr>
    </w:lvl>
    <w:lvl w:ilvl="2" w:tplc="F578AE96">
      <w:start w:val="1"/>
      <w:numFmt w:val="lowerRoman"/>
      <w:lvlText w:val="%3."/>
      <w:lvlJc w:val="left"/>
      <w:pPr>
        <w:ind w:left="1569" w:hanging="471"/>
        <w:jc w:val="right"/>
      </w:pPr>
      <w:rPr>
        <w:rFonts w:ascii="Arial" w:eastAsia="Arial" w:hAnsi="Arial" w:cs="Arial" w:hint="default"/>
        <w:b w:val="0"/>
        <w:bCs w:val="0"/>
        <w:i w:val="0"/>
        <w:iCs w:val="0"/>
        <w:spacing w:val="0"/>
        <w:w w:val="99"/>
        <w:sz w:val="22"/>
        <w:szCs w:val="22"/>
        <w:lang w:val="en-US" w:eastAsia="en-US" w:bidi="ar-SA"/>
      </w:rPr>
    </w:lvl>
    <w:lvl w:ilvl="3" w:tplc="3CE0D3CA">
      <w:numFmt w:val="bullet"/>
      <w:lvlText w:val="•"/>
      <w:lvlJc w:val="left"/>
      <w:pPr>
        <w:ind w:left="2238" w:hanging="471"/>
      </w:pPr>
      <w:rPr>
        <w:rFonts w:hint="default"/>
        <w:lang w:val="en-US" w:eastAsia="en-US" w:bidi="ar-SA"/>
      </w:rPr>
    </w:lvl>
    <w:lvl w:ilvl="4" w:tplc="AA8EA224">
      <w:numFmt w:val="bullet"/>
      <w:lvlText w:val="•"/>
      <w:lvlJc w:val="left"/>
      <w:pPr>
        <w:ind w:left="2917" w:hanging="471"/>
      </w:pPr>
      <w:rPr>
        <w:rFonts w:hint="default"/>
        <w:lang w:val="en-US" w:eastAsia="en-US" w:bidi="ar-SA"/>
      </w:rPr>
    </w:lvl>
    <w:lvl w:ilvl="5" w:tplc="C0F276A8">
      <w:numFmt w:val="bullet"/>
      <w:lvlText w:val="•"/>
      <w:lvlJc w:val="left"/>
      <w:pPr>
        <w:ind w:left="3596" w:hanging="471"/>
      </w:pPr>
      <w:rPr>
        <w:rFonts w:hint="default"/>
        <w:lang w:val="en-US" w:eastAsia="en-US" w:bidi="ar-SA"/>
      </w:rPr>
    </w:lvl>
    <w:lvl w:ilvl="6" w:tplc="6B065130">
      <w:numFmt w:val="bullet"/>
      <w:lvlText w:val="•"/>
      <w:lvlJc w:val="left"/>
      <w:pPr>
        <w:ind w:left="4275" w:hanging="471"/>
      </w:pPr>
      <w:rPr>
        <w:rFonts w:hint="default"/>
        <w:lang w:val="en-US" w:eastAsia="en-US" w:bidi="ar-SA"/>
      </w:rPr>
    </w:lvl>
    <w:lvl w:ilvl="7" w:tplc="05E6BE8E">
      <w:numFmt w:val="bullet"/>
      <w:lvlText w:val="•"/>
      <w:lvlJc w:val="left"/>
      <w:pPr>
        <w:ind w:left="4954" w:hanging="471"/>
      </w:pPr>
      <w:rPr>
        <w:rFonts w:hint="default"/>
        <w:lang w:val="en-US" w:eastAsia="en-US" w:bidi="ar-SA"/>
      </w:rPr>
    </w:lvl>
    <w:lvl w:ilvl="8" w:tplc="C3E4A1A0">
      <w:numFmt w:val="bullet"/>
      <w:lvlText w:val="•"/>
      <w:lvlJc w:val="left"/>
      <w:pPr>
        <w:ind w:left="5633" w:hanging="471"/>
      </w:pPr>
      <w:rPr>
        <w:rFonts w:hint="default"/>
        <w:lang w:val="en-US" w:eastAsia="en-US" w:bidi="ar-SA"/>
      </w:rPr>
    </w:lvl>
  </w:abstractNum>
  <w:abstractNum w:abstractNumId="106" w15:restartNumberingAfterBreak="0">
    <w:nsid w:val="3E950B2E"/>
    <w:multiLevelType w:val="hybridMultilevel"/>
    <w:tmpl w:val="362A6504"/>
    <w:lvl w:ilvl="0" w:tplc="D3641E7C">
      <w:start w:val="4"/>
      <w:numFmt w:val="decimal"/>
      <w:lvlText w:val="%1."/>
      <w:lvlJc w:val="left"/>
      <w:pPr>
        <w:ind w:left="860" w:hanging="360"/>
      </w:pPr>
      <w:rPr>
        <w:rFonts w:ascii="Arial" w:eastAsia="Arial" w:hAnsi="Arial" w:cs="Arial" w:hint="default"/>
        <w:b w:val="0"/>
        <w:bCs w:val="0"/>
        <w:i w:val="0"/>
        <w:iCs w:val="0"/>
        <w:spacing w:val="0"/>
        <w:w w:val="99"/>
        <w:sz w:val="22"/>
        <w:szCs w:val="22"/>
        <w:lang w:val="en-US" w:eastAsia="en-US" w:bidi="ar-SA"/>
      </w:rPr>
    </w:lvl>
    <w:lvl w:ilvl="1" w:tplc="DDB87E4E">
      <w:numFmt w:val="bullet"/>
      <w:lvlText w:val=""/>
      <w:lvlJc w:val="left"/>
      <w:pPr>
        <w:ind w:left="1164" w:hanging="270"/>
      </w:pPr>
      <w:rPr>
        <w:rFonts w:ascii="Symbol" w:eastAsia="Symbol" w:hAnsi="Symbol" w:cs="Symbol" w:hint="default"/>
        <w:b w:val="0"/>
        <w:bCs w:val="0"/>
        <w:i w:val="0"/>
        <w:iCs w:val="0"/>
        <w:spacing w:val="0"/>
        <w:w w:val="99"/>
        <w:sz w:val="22"/>
        <w:szCs w:val="22"/>
        <w:lang w:val="en-US" w:eastAsia="en-US" w:bidi="ar-SA"/>
      </w:rPr>
    </w:lvl>
    <w:lvl w:ilvl="2" w:tplc="15B04F42">
      <w:numFmt w:val="bullet"/>
      <w:lvlText w:val="•"/>
      <w:lvlJc w:val="left"/>
      <w:pPr>
        <w:ind w:left="1879" w:hanging="270"/>
      </w:pPr>
      <w:rPr>
        <w:rFonts w:hint="default"/>
        <w:lang w:val="en-US" w:eastAsia="en-US" w:bidi="ar-SA"/>
      </w:rPr>
    </w:lvl>
    <w:lvl w:ilvl="3" w:tplc="16A88746">
      <w:numFmt w:val="bullet"/>
      <w:lvlText w:val="•"/>
      <w:lvlJc w:val="left"/>
      <w:pPr>
        <w:ind w:left="2598" w:hanging="270"/>
      </w:pPr>
      <w:rPr>
        <w:rFonts w:hint="default"/>
        <w:lang w:val="en-US" w:eastAsia="en-US" w:bidi="ar-SA"/>
      </w:rPr>
    </w:lvl>
    <w:lvl w:ilvl="4" w:tplc="EB18880C">
      <w:numFmt w:val="bullet"/>
      <w:lvlText w:val="•"/>
      <w:lvlJc w:val="left"/>
      <w:pPr>
        <w:ind w:left="3317" w:hanging="270"/>
      </w:pPr>
      <w:rPr>
        <w:rFonts w:hint="default"/>
        <w:lang w:val="en-US" w:eastAsia="en-US" w:bidi="ar-SA"/>
      </w:rPr>
    </w:lvl>
    <w:lvl w:ilvl="5" w:tplc="DDFA4BD6">
      <w:numFmt w:val="bullet"/>
      <w:lvlText w:val="•"/>
      <w:lvlJc w:val="left"/>
      <w:pPr>
        <w:ind w:left="4036" w:hanging="270"/>
      </w:pPr>
      <w:rPr>
        <w:rFonts w:hint="default"/>
        <w:lang w:val="en-US" w:eastAsia="en-US" w:bidi="ar-SA"/>
      </w:rPr>
    </w:lvl>
    <w:lvl w:ilvl="6" w:tplc="B5E6B46A">
      <w:numFmt w:val="bullet"/>
      <w:lvlText w:val="•"/>
      <w:lvlJc w:val="left"/>
      <w:pPr>
        <w:ind w:left="4755" w:hanging="270"/>
      </w:pPr>
      <w:rPr>
        <w:rFonts w:hint="default"/>
        <w:lang w:val="en-US" w:eastAsia="en-US" w:bidi="ar-SA"/>
      </w:rPr>
    </w:lvl>
    <w:lvl w:ilvl="7" w:tplc="E5FEE6FC">
      <w:numFmt w:val="bullet"/>
      <w:lvlText w:val="•"/>
      <w:lvlJc w:val="left"/>
      <w:pPr>
        <w:ind w:left="5474" w:hanging="270"/>
      </w:pPr>
      <w:rPr>
        <w:rFonts w:hint="default"/>
        <w:lang w:val="en-US" w:eastAsia="en-US" w:bidi="ar-SA"/>
      </w:rPr>
    </w:lvl>
    <w:lvl w:ilvl="8" w:tplc="1982D0E0">
      <w:numFmt w:val="bullet"/>
      <w:lvlText w:val="•"/>
      <w:lvlJc w:val="left"/>
      <w:pPr>
        <w:ind w:left="6193" w:hanging="270"/>
      </w:pPr>
      <w:rPr>
        <w:rFonts w:hint="default"/>
        <w:lang w:val="en-US" w:eastAsia="en-US" w:bidi="ar-SA"/>
      </w:rPr>
    </w:lvl>
  </w:abstractNum>
  <w:abstractNum w:abstractNumId="107" w15:restartNumberingAfterBreak="0">
    <w:nsid w:val="40147885"/>
    <w:multiLevelType w:val="hybridMultilevel"/>
    <w:tmpl w:val="B16A9D66"/>
    <w:lvl w:ilvl="0" w:tplc="C61E0D5C">
      <w:start w:val="6"/>
      <w:numFmt w:val="decimal"/>
      <w:lvlText w:val="%1)"/>
      <w:lvlJc w:val="left"/>
      <w:pPr>
        <w:ind w:left="848" w:hanging="450"/>
      </w:pPr>
      <w:rPr>
        <w:rFonts w:ascii="Arial" w:eastAsia="Arial" w:hAnsi="Arial" w:cs="Arial" w:hint="default"/>
        <w:b w:val="0"/>
        <w:bCs w:val="0"/>
        <w:i w:val="0"/>
        <w:iCs w:val="0"/>
        <w:spacing w:val="0"/>
        <w:w w:val="99"/>
        <w:sz w:val="22"/>
        <w:szCs w:val="22"/>
        <w:lang w:val="en-US" w:eastAsia="en-US" w:bidi="ar-SA"/>
      </w:rPr>
    </w:lvl>
    <w:lvl w:ilvl="1" w:tplc="DD104BC2">
      <w:start w:val="1"/>
      <w:numFmt w:val="lowerLetter"/>
      <w:lvlText w:val="%2)"/>
      <w:lvlJc w:val="left"/>
      <w:pPr>
        <w:ind w:left="1244" w:hanging="397"/>
      </w:pPr>
      <w:rPr>
        <w:rFonts w:ascii="Arial" w:eastAsia="Arial" w:hAnsi="Arial" w:cs="Arial" w:hint="default"/>
        <w:b w:val="0"/>
        <w:bCs w:val="0"/>
        <w:i w:val="0"/>
        <w:iCs w:val="0"/>
        <w:spacing w:val="0"/>
        <w:w w:val="99"/>
        <w:sz w:val="22"/>
        <w:szCs w:val="22"/>
        <w:lang w:val="en-US" w:eastAsia="en-US" w:bidi="ar-SA"/>
      </w:rPr>
    </w:lvl>
    <w:lvl w:ilvl="2" w:tplc="BCD4B380">
      <w:numFmt w:val="bullet"/>
      <w:lvlText w:val="•"/>
      <w:lvlJc w:val="left"/>
      <w:pPr>
        <w:ind w:left="1843" w:hanging="397"/>
      </w:pPr>
      <w:rPr>
        <w:rFonts w:hint="default"/>
        <w:lang w:val="en-US" w:eastAsia="en-US" w:bidi="ar-SA"/>
      </w:rPr>
    </w:lvl>
    <w:lvl w:ilvl="3" w:tplc="CE9AA86C">
      <w:numFmt w:val="bullet"/>
      <w:lvlText w:val="•"/>
      <w:lvlJc w:val="left"/>
      <w:pPr>
        <w:ind w:left="2446" w:hanging="397"/>
      </w:pPr>
      <w:rPr>
        <w:rFonts w:hint="default"/>
        <w:lang w:val="en-US" w:eastAsia="en-US" w:bidi="ar-SA"/>
      </w:rPr>
    </w:lvl>
    <w:lvl w:ilvl="4" w:tplc="B8B2F98A">
      <w:numFmt w:val="bullet"/>
      <w:lvlText w:val="•"/>
      <w:lvlJc w:val="left"/>
      <w:pPr>
        <w:ind w:left="3049" w:hanging="397"/>
      </w:pPr>
      <w:rPr>
        <w:rFonts w:hint="default"/>
        <w:lang w:val="en-US" w:eastAsia="en-US" w:bidi="ar-SA"/>
      </w:rPr>
    </w:lvl>
    <w:lvl w:ilvl="5" w:tplc="B91C205A">
      <w:numFmt w:val="bullet"/>
      <w:lvlText w:val="•"/>
      <w:lvlJc w:val="left"/>
      <w:pPr>
        <w:ind w:left="3652" w:hanging="397"/>
      </w:pPr>
      <w:rPr>
        <w:rFonts w:hint="default"/>
        <w:lang w:val="en-US" w:eastAsia="en-US" w:bidi="ar-SA"/>
      </w:rPr>
    </w:lvl>
    <w:lvl w:ilvl="6" w:tplc="9F809212">
      <w:numFmt w:val="bullet"/>
      <w:lvlText w:val="•"/>
      <w:lvlJc w:val="left"/>
      <w:pPr>
        <w:ind w:left="4255" w:hanging="397"/>
      </w:pPr>
      <w:rPr>
        <w:rFonts w:hint="default"/>
        <w:lang w:val="en-US" w:eastAsia="en-US" w:bidi="ar-SA"/>
      </w:rPr>
    </w:lvl>
    <w:lvl w:ilvl="7" w:tplc="5420B05A">
      <w:numFmt w:val="bullet"/>
      <w:lvlText w:val="•"/>
      <w:lvlJc w:val="left"/>
      <w:pPr>
        <w:ind w:left="4859" w:hanging="397"/>
      </w:pPr>
      <w:rPr>
        <w:rFonts w:hint="default"/>
        <w:lang w:val="en-US" w:eastAsia="en-US" w:bidi="ar-SA"/>
      </w:rPr>
    </w:lvl>
    <w:lvl w:ilvl="8" w:tplc="07405DEC">
      <w:numFmt w:val="bullet"/>
      <w:lvlText w:val="•"/>
      <w:lvlJc w:val="left"/>
      <w:pPr>
        <w:ind w:left="5462" w:hanging="397"/>
      </w:pPr>
      <w:rPr>
        <w:rFonts w:hint="default"/>
        <w:lang w:val="en-US" w:eastAsia="en-US" w:bidi="ar-SA"/>
      </w:rPr>
    </w:lvl>
  </w:abstractNum>
  <w:abstractNum w:abstractNumId="108" w15:restartNumberingAfterBreak="0">
    <w:nsid w:val="404B4185"/>
    <w:multiLevelType w:val="hybridMultilevel"/>
    <w:tmpl w:val="8154D9A6"/>
    <w:lvl w:ilvl="0" w:tplc="2F0EB27E">
      <w:start w:val="1"/>
      <w:numFmt w:val="decimalZero"/>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07EE944C">
      <w:start w:val="1"/>
      <w:numFmt w:val="lowerLetter"/>
      <w:lvlText w:val="%2."/>
      <w:lvlJc w:val="left"/>
      <w:pPr>
        <w:ind w:left="2000" w:hanging="360"/>
      </w:pPr>
      <w:rPr>
        <w:rFonts w:ascii="Arial" w:eastAsia="Arial" w:hAnsi="Arial" w:cs="Arial" w:hint="default"/>
        <w:b w:val="0"/>
        <w:bCs w:val="0"/>
        <w:i w:val="0"/>
        <w:iCs w:val="0"/>
        <w:spacing w:val="0"/>
        <w:w w:val="99"/>
        <w:sz w:val="22"/>
        <w:szCs w:val="22"/>
        <w:lang w:val="en-US" w:eastAsia="en-US" w:bidi="ar-SA"/>
      </w:rPr>
    </w:lvl>
    <w:lvl w:ilvl="2" w:tplc="C3149212">
      <w:numFmt w:val="bullet"/>
      <w:lvlText w:val=""/>
      <w:lvlJc w:val="left"/>
      <w:pPr>
        <w:ind w:left="2360" w:hanging="360"/>
      </w:pPr>
      <w:rPr>
        <w:rFonts w:ascii="Symbol" w:eastAsia="Symbol" w:hAnsi="Symbol" w:cs="Symbol" w:hint="default"/>
        <w:b w:val="0"/>
        <w:bCs w:val="0"/>
        <w:i w:val="0"/>
        <w:iCs w:val="0"/>
        <w:spacing w:val="0"/>
        <w:w w:val="99"/>
        <w:sz w:val="22"/>
        <w:szCs w:val="22"/>
        <w:lang w:val="en-US" w:eastAsia="en-US" w:bidi="ar-SA"/>
      </w:rPr>
    </w:lvl>
    <w:lvl w:ilvl="3" w:tplc="4E00A8C6">
      <w:numFmt w:val="bullet"/>
      <w:lvlText w:val="•"/>
      <w:lvlJc w:val="left"/>
      <w:pPr>
        <w:ind w:left="3302" w:hanging="360"/>
      </w:pPr>
      <w:rPr>
        <w:rFonts w:hint="default"/>
        <w:lang w:val="en-US" w:eastAsia="en-US" w:bidi="ar-SA"/>
      </w:rPr>
    </w:lvl>
    <w:lvl w:ilvl="4" w:tplc="4E081BDE">
      <w:numFmt w:val="bullet"/>
      <w:lvlText w:val="•"/>
      <w:lvlJc w:val="left"/>
      <w:pPr>
        <w:ind w:left="4245" w:hanging="360"/>
      </w:pPr>
      <w:rPr>
        <w:rFonts w:hint="default"/>
        <w:lang w:val="en-US" w:eastAsia="en-US" w:bidi="ar-SA"/>
      </w:rPr>
    </w:lvl>
    <w:lvl w:ilvl="5" w:tplc="7C4ABC5E">
      <w:numFmt w:val="bullet"/>
      <w:lvlText w:val="•"/>
      <w:lvlJc w:val="left"/>
      <w:pPr>
        <w:ind w:left="5187" w:hanging="360"/>
      </w:pPr>
      <w:rPr>
        <w:rFonts w:hint="default"/>
        <w:lang w:val="en-US" w:eastAsia="en-US" w:bidi="ar-SA"/>
      </w:rPr>
    </w:lvl>
    <w:lvl w:ilvl="6" w:tplc="0E46E22E">
      <w:numFmt w:val="bullet"/>
      <w:lvlText w:val="•"/>
      <w:lvlJc w:val="left"/>
      <w:pPr>
        <w:ind w:left="6130" w:hanging="360"/>
      </w:pPr>
      <w:rPr>
        <w:rFonts w:hint="default"/>
        <w:lang w:val="en-US" w:eastAsia="en-US" w:bidi="ar-SA"/>
      </w:rPr>
    </w:lvl>
    <w:lvl w:ilvl="7" w:tplc="C096E014">
      <w:numFmt w:val="bullet"/>
      <w:lvlText w:val="•"/>
      <w:lvlJc w:val="left"/>
      <w:pPr>
        <w:ind w:left="7072" w:hanging="360"/>
      </w:pPr>
      <w:rPr>
        <w:rFonts w:hint="default"/>
        <w:lang w:val="en-US" w:eastAsia="en-US" w:bidi="ar-SA"/>
      </w:rPr>
    </w:lvl>
    <w:lvl w:ilvl="8" w:tplc="047AFEB4">
      <w:numFmt w:val="bullet"/>
      <w:lvlText w:val="•"/>
      <w:lvlJc w:val="left"/>
      <w:pPr>
        <w:ind w:left="8015" w:hanging="360"/>
      </w:pPr>
      <w:rPr>
        <w:rFonts w:hint="default"/>
        <w:lang w:val="en-US" w:eastAsia="en-US" w:bidi="ar-SA"/>
      </w:rPr>
    </w:lvl>
  </w:abstractNum>
  <w:abstractNum w:abstractNumId="109" w15:restartNumberingAfterBreak="0">
    <w:nsid w:val="415A4936"/>
    <w:multiLevelType w:val="hybridMultilevel"/>
    <w:tmpl w:val="D6700DA6"/>
    <w:lvl w:ilvl="0" w:tplc="05C6CD00">
      <w:start w:val="1"/>
      <w:numFmt w:val="decimalZero"/>
      <w:lvlText w:val=".%1"/>
      <w:lvlJc w:val="left"/>
      <w:pPr>
        <w:ind w:left="1639" w:hanging="721"/>
      </w:pPr>
      <w:rPr>
        <w:rFonts w:ascii="Arial" w:eastAsia="Arial" w:hAnsi="Arial" w:cs="Arial" w:hint="default"/>
        <w:b w:val="0"/>
        <w:bCs w:val="0"/>
        <w:i w:val="0"/>
        <w:iCs w:val="0"/>
        <w:spacing w:val="0"/>
        <w:w w:val="99"/>
        <w:sz w:val="22"/>
        <w:szCs w:val="22"/>
        <w:lang w:val="en-US" w:eastAsia="en-US" w:bidi="ar-SA"/>
      </w:rPr>
    </w:lvl>
    <w:lvl w:ilvl="1" w:tplc="14ECEA28">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2" w:tplc="B4B86BA8">
      <w:numFmt w:val="bullet"/>
      <w:lvlText w:val="•"/>
      <w:lvlJc w:val="left"/>
      <w:pPr>
        <w:ind w:left="2877" w:hanging="360"/>
      </w:pPr>
      <w:rPr>
        <w:rFonts w:hint="default"/>
        <w:lang w:val="en-US" w:eastAsia="en-US" w:bidi="ar-SA"/>
      </w:rPr>
    </w:lvl>
    <w:lvl w:ilvl="3" w:tplc="67AA773C">
      <w:numFmt w:val="bullet"/>
      <w:lvlText w:val="•"/>
      <w:lvlJc w:val="left"/>
      <w:pPr>
        <w:ind w:left="3755" w:hanging="360"/>
      </w:pPr>
      <w:rPr>
        <w:rFonts w:hint="default"/>
        <w:lang w:val="en-US" w:eastAsia="en-US" w:bidi="ar-SA"/>
      </w:rPr>
    </w:lvl>
    <w:lvl w:ilvl="4" w:tplc="9396809A">
      <w:numFmt w:val="bullet"/>
      <w:lvlText w:val="•"/>
      <w:lvlJc w:val="left"/>
      <w:pPr>
        <w:ind w:left="4633" w:hanging="360"/>
      </w:pPr>
      <w:rPr>
        <w:rFonts w:hint="default"/>
        <w:lang w:val="en-US" w:eastAsia="en-US" w:bidi="ar-SA"/>
      </w:rPr>
    </w:lvl>
    <w:lvl w:ilvl="5" w:tplc="31BC635A">
      <w:numFmt w:val="bullet"/>
      <w:lvlText w:val="•"/>
      <w:lvlJc w:val="left"/>
      <w:pPr>
        <w:ind w:left="5511" w:hanging="360"/>
      </w:pPr>
      <w:rPr>
        <w:rFonts w:hint="default"/>
        <w:lang w:val="en-US" w:eastAsia="en-US" w:bidi="ar-SA"/>
      </w:rPr>
    </w:lvl>
    <w:lvl w:ilvl="6" w:tplc="02BA1BE2">
      <w:numFmt w:val="bullet"/>
      <w:lvlText w:val="•"/>
      <w:lvlJc w:val="left"/>
      <w:pPr>
        <w:ind w:left="6388" w:hanging="360"/>
      </w:pPr>
      <w:rPr>
        <w:rFonts w:hint="default"/>
        <w:lang w:val="en-US" w:eastAsia="en-US" w:bidi="ar-SA"/>
      </w:rPr>
    </w:lvl>
    <w:lvl w:ilvl="7" w:tplc="1E2E104C">
      <w:numFmt w:val="bullet"/>
      <w:lvlText w:val="•"/>
      <w:lvlJc w:val="left"/>
      <w:pPr>
        <w:ind w:left="7266" w:hanging="360"/>
      </w:pPr>
      <w:rPr>
        <w:rFonts w:hint="default"/>
        <w:lang w:val="en-US" w:eastAsia="en-US" w:bidi="ar-SA"/>
      </w:rPr>
    </w:lvl>
    <w:lvl w:ilvl="8" w:tplc="8812A2B2">
      <w:numFmt w:val="bullet"/>
      <w:lvlText w:val="•"/>
      <w:lvlJc w:val="left"/>
      <w:pPr>
        <w:ind w:left="8144" w:hanging="360"/>
      </w:pPr>
      <w:rPr>
        <w:rFonts w:hint="default"/>
        <w:lang w:val="en-US" w:eastAsia="en-US" w:bidi="ar-SA"/>
      </w:rPr>
    </w:lvl>
  </w:abstractNum>
  <w:abstractNum w:abstractNumId="110" w15:restartNumberingAfterBreak="0">
    <w:nsid w:val="41C607AC"/>
    <w:multiLevelType w:val="hybridMultilevel"/>
    <w:tmpl w:val="F1E2F84E"/>
    <w:lvl w:ilvl="0" w:tplc="4C7A660C">
      <w:start w:val="1"/>
      <w:numFmt w:val="lowerRoman"/>
      <w:lvlText w:val="%1."/>
      <w:lvlJc w:val="left"/>
      <w:pPr>
        <w:ind w:left="2359" w:hanging="291"/>
        <w:jc w:val="right"/>
      </w:pPr>
      <w:rPr>
        <w:rFonts w:ascii="Arial" w:eastAsia="Arial" w:hAnsi="Arial" w:cs="Arial" w:hint="default"/>
        <w:b w:val="0"/>
        <w:bCs w:val="0"/>
        <w:i w:val="0"/>
        <w:iCs w:val="0"/>
        <w:spacing w:val="0"/>
        <w:w w:val="99"/>
        <w:sz w:val="22"/>
        <w:szCs w:val="22"/>
        <w:lang w:val="en-US" w:eastAsia="en-US" w:bidi="ar-SA"/>
      </w:rPr>
    </w:lvl>
    <w:lvl w:ilvl="1" w:tplc="45C05BD2">
      <w:numFmt w:val="bullet"/>
      <w:lvlText w:val="•"/>
      <w:lvlJc w:val="left"/>
      <w:pPr>
        <w:ind w:left="3114" w:hanging="291"/>
      </w:pPr>
      <w:rPr>
        <w:rFonts w:hint="default"/>
        <w:lang w:val="en-US" w:eastAsia="en-US" w:bidi="ar-SA"/>
      </w:rPr>
    </w:lvl>
    <w:lvl w:ilvl="2" w:tplc="F2E24EAA">
      <w:numFmt w:val="bullet"/>
      <w:lvlText w:val="•"/>
      <w:lvlJc w:val="left"/>
      <w:pPr>
        <w:ind w:left="3868" w:hanging="291"/>
      </w:pPr>
      <w:rPr>
        <w:rFonts w:hint="default"/>
        <w:lang w:val="en-US" w:eastAsia="en-US" w:bidi="ar-SA"/>
      </w:rPr>
    </w:lvl>
    <w:lvl w:ilvl="3" w:tplc="2F20341C">
      <w:numFmt w:val="bullet"/>
      <w:lvlText w:val="•"/>
      <w:lvlJc w:val="left"/>
      <w:pPr>
        <w:ind w:left="4622" w:hanging="291"/>
      </w:pPr>
      <w:rPr>
        <w:rFonts w:hint="default"/>
        <w:lang w:val="en-US" w:eastAsia="en-US" w:bidi="ar-SA"/>
      </w:rPr>
    </w:lvl>
    <w:lvl w:ilvl="4" w:tplc="6EC2A920">
      <w:numFmt w:val="bullet"/>
      <w:lvlText w:val="•"/>
      <w:lvlJc w:val="left"/>
      <w:pPr>
        <w:ind w:left="5376" w:hanging="291"/>
      </w:pPr>
      <w:rPr>
        <w:rFonts w:hint="default"/>
        <w:lang w:val="en-US" w:eastAsia="en-US" w:bidi="ar-SA"/>
      </w:rPr>
    </w:lvl>
    <w:lvl w:ilvl="5" w:tplc="9A5407B8">
      <w:numFmt w:val="bullet"/>
      <w:lvlText w:val="•"/>
      <w:lvlJc w:val="left"/>
      <w:pPr>
        <w:ind w:left="6130" w:hanging="291"/>
      </w:pPr>
      <w:rPr>
        <w:rFonts w:hint="default"/>
        <w:lang w:val="en-US" w:eastAsia="en-US" w:bidi="ar-SA"/>
      </w:rPr>
    </w:lvl>
    <w:lvl w:ilvl="6" w:tplc="7BC826E8">
      <w:numFmt w:val="bullet"/>
      <w:lvlText w:val="•"/>
      <w:lvlJc w:val="left"/>
      <w:pPr>
        <w:ind w:left="6884" w:hanging="291"/>
      </w:pPr>
      <w:rPr>
        <w:rFonts w:hint="default"/>
        <w:lang w:val="en-US" w:eastAsia="en-US" w:bidi="ar-SA"/>
      </w:rPr>
    </w:lvl>
    <w:lvl w:ilvl="7" w:tplc="F7BA2B18">
      <w:numFmt w:val="bullet"/>
      <w:lvlText w:val="•"/>
      <w:lvlJc w:val="left"/>
      <w:pPr>
        <w:ind w:left="7638" w:hanging="291"/>
      </w:pPr>
      <w:rPr>
        <w:rFonts w:hint="default"/>
        <w:lang w:val="en-US" w:eastAsia="en-US" w:bidi="ar-SA"/>
      </w:rPr>
    </w:lvl>
    <w:lvl w:ilvl="8" w:tplc="849CEEE8">
      <w:numFmt w:val="bullet"/>
      <w:lvlText w:val="•"/>
      <w:lvlJc w:val="left"/>
      <w:pPr>
        <w:ind w:left="8392" w:hanging="291"/>
      </w:pPr>
      <w:rPr>
        <w:rFonts w:hint="default"/>
        <w:lang w:val="en-US" w:eastAsia="en-US" w:bidi="ar-SA"/>
      </w:rPr>
    </w:lvl>
  </w:abstractNum>
  <w:abstractNum w:abstractNumId="111" w15:restartNumberingAfterBreak="0">
    <w:nsid w:val="42090639"/>
    <w:multiLevelType w:val="hybridMultilevel"/>
    <w:tmpl w:val="EC843C1C"/>
    <w:lvl w:ilvl="0" w:tplc="4CF0229A">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E80CB44C">
      <w:numFmt w:val="bullet"/>
      <w:lvlText w:val=""/>
      <w:lvlJc w:val="left"/>
      <w:pPr>
        <w:ind w:left="2579" w:hanging="360"/>
      </w:pPr>
      <w:rPr>
        <w:rFonts w:ascii="Symbol" w:eastAsia="Symbol" w:hAnsi="Symbol" w:cs="Symbol" w:hint="default"/>
        <w:b w:val="0"/>
        <w:bCs w:val="0"/>
        <w:i w:val="0"/>
        <w:iCs w:val="0"/>
        <w:spacing w:val="0"/>
        <w:w w:val="99"/>
        <w:sz w:val="22"/>
        <w:szCs w:val="22"/>
        <w:lang w:val="en-US" w:eastAsia="en-US" w:bidi="ar-SA"/>
      </w:rPr>
    </w:lvl>
    <w:lvl w:ilvl="2" w:tplc="575E4078">
      <w:numFmt w:val="bullet"/>
      <w:lvlText w:val="o"/>
      <w:lvlJc w:val="left"/>
      <w:pPr>
        <w:ind w:left="2938" w:hanging="360"/>
      </w:pPr>
      <w:rPr>
        <w:rFonts w:ascii="Courier New" w:eastAsia="Courier New" w:hAnsi="Courier New" w:cs="Courier New" w:hint="default"/>
        <w:b w:val="0"/>
        <w:bCs w:val="0"/>
        <w:i w:val="0"/>
        <w:iCs w:val="0"/>
        <w:spacing w:val="0"/>
        <w:w w:val="99"/>
        <w:sz w:val="22"/>
        <w:szCs w:val="22"/>
        <w:lang w:val="en-US" w:eastAsia="en-US" w:bidi="ar-SA"/>
      </w:rPr>
    </w:lvl>
    <w:lvl w:ilvl="3" w:tplc="9E768D44">
      <w:numFmt w:val="bullet"/>
      <w:lvlText w:val="•"/>
      <w:lvlJc w:val="left"/>
      <w:pPr>
        <w:ind w:left="3857" w:hanging="360"/>
      </w:pPr>
      <w:rPr>
        <w:rFonts w:hint="default"/>
        <w:lang w:val="en-US" w:eastAsia="en-US" w:bidi="ar-SA"/>
      </w:rPr>
    </w:lvl>
    <w:lvl w:ilvl="4" w:tplc="0C9C057E">
      <w:numFmt w:val="bullet"/>
      <w:lvlText w:val="•"/>
      <w:lvlJc w:val="left"/>
      <w:pPr>
        <w:ind w:left="4775" w:hanging="360"/>
      </w:pPr>
      <w:rPr>
        <w:rFonts w:hint="default"/>
        <w:lang w:val="en-US" w:eastAsia="en-US" w:bidi="ar-SA"/>
      </w:rPr>
    </w:lvl>
    <w:lvl w:ilvl="5" w:tplc="FC6EA2CC">
      <w:numFmt w:val="bullet"/>
      <w:lvlText w:val="•"/>
      <w:lvlJc w:val="left"/>
      <w:pPr>
        <w:ind w:left="5692" w:hanging="360"/>
      </w:pPr>
      <w:rPr>
        <w:rFonts w:hint="default"/>
        <w:lang w:val="en-US" w:eastAsia="en-US" w:bidi="ar-SA"/>
      </w:rPr>
    </w:lvl>
    <w:lvl w:ilvl="6" w:tplc="E996C7CC">
      <w:numFmt w:val="bullet"/>
      <w:lvlText w:val="•"/>
      <w:lvlJc w:val="left"/>
      <w:pPr>
        <w:ind w:left="6610" w:hanging="360"/>
      </w:pPr>
      <w:rPr>
        <w:rFonts w:hint="default"/>
        <w:lang w:val="en-US" w:eastAsia="en-US" w:bidi="ar-SA"/>
      </w:rPr>
    </w:lvl>
    <w:lvl w:ilvl="7" w:tplc="7AD01808">
      <w:numFmt w:val="bullet"/>
      <w:lvlText w:val="•"/>
      <w:lvlJc w:val="left"/>
      <w:pPr>
        <w:ind w:left="7527" w:hanging="360"/>
      </w:pPr>
      <w:rPr>
        <w:rFonts w:hint="default"/>
        <w:lang w:val="en-US" w:eastAsia="en-US" w:bidi="ar-SA"/>
      </w:rPr>
    </w:lvl>
    <w:lvl w:ilvl="8" w:tplc="42148636">
      <w:numFmt w:val="bullet"/>
      <w:lvlText w:val="•"/>
      <w:lvlJc w:val="left"/>
      <w:pPr>
        <w:ind w:left="8445" w:hanging="360"/>
      </w:pPr>
      <w:rPr>
        <w:rFonts w:hint="default"/>
        <w:lang w:val="en-US" w:eastAsia="en-US" w:bidi="ar-SA"/>
      </w:rPr>
    </w:lvl>
  </w:abstractNum>
  <w:abstractNum w:abstractNumId="112" w15:restartNumberingAfterBreak="0">
    <w:nsid w:val="421D1E7D"/>
    <w:multiLevelType w:val="hybridMultilevel"/>
    <w:tmpl w:val="D2664506"/>
    <w:lvl w:ilvl="0" w:tplc="4A3420DC">
      <w:numFmt w:val="bullet"/>
      <w:lvlText w:val=""/>
      <w:lvlJc w:val="left"/>
      <w:pPr>
        <w:ind w:left="1205" w:hanging="360"/>
      </w:pPr>
      <w:rPr>
        <w:rFonts w:ascii="Symbol" w:eastAsia="Symbol" w:hAnsi="Symbol" w:cs="Symbol" w:hint="default"/>
        <w:b w:val="0"/>
        <w:bCs w:val="0"/>
        <w:i w:val="0"/>
        <w:iCs w:val="0"/>
        <w:spacing w:val="0"/>
        <w:w w:val="99"/>
        <w:sz w:val="22"/>
        <w:szCs w:val="22"/>
        <w:lang w:val="en-US" w:eastAsia="en-US" w:bidi="ar-SA"/>
      </w:rPr>
    </w:lvl>
    <w:lvl w:ilvl="1" w:tplc="049AE2B8">
      <w:numFmt w:val="bullet"/>
      <w:lvlText w:val="•"/>
      <w:lvlJc w:val="left"/>
      <w:pPr>
        <w:ind w:left="1767" w:hanging="360"/>
      </w:pPr>
      <w:rPr>
        <w:rFonts w:hint="default"/>
        <w:lang w:val="en-US" w:eastAsia="en-US" w:bidi="ar-SA"/>
      </w:rPr>
    </w:lvl>
    <w:lvl w:ilvl="2" w:tplc="719A83AC">
      <w:numFmt w:val="bullet"/>
      <w:lvlText w:val="•"/>
      <w:lvlJc w:val="left"/>
      <w:pPr>
        <w:ind w:left="2334" w:hanging="360"/>
      </w:pPr>
      <w:rPr>
        <w:rFonts w:hint="default"/>
        <w:lang w:val="en-US" w:eastAsia="en-US" w:bidi="ar-SA"/>
      </w:rPr>
    </w:lvl>
    <w:lvl w:ilvl="3" w:tplc="C56C380A">
      <w:numFmt w:val="bullet"/>
      <w:lvlText w:val="•"/>
      <w:lvlJc w:val="left"/>
      <w:pPr>
        <w:ind w:left="2901" w:hanging="360"/>
      </w:pPr>
      <w:rPr>
        <w:rFonts w:hint="default"/>
        <w:lang w:val="en-US" w:eastAsia="en-US" w:bidi="ar-SA"/>
      </w:rPr>
    </w:lvl>
    <w:lvl w:ilvl="4" w:tplc="51AED9E2">
      <w:numFmt w:val="bullet"/>
      <w:lvlText w:val="•"/>
      <w:lvlJc w:val="left"/>
      <w:pPr>
        <w:ind w:left="3469" w:hanging="360"/>
      </w:pPr>
      <w:rPr>
        <w:rFonts w:hint="default"/>
        <w:lang w:val="en-US" w:eastAsia="en-US" w:bidi="ar-SA"/>
      </w:rPr>
    </w:lvl>
    <w:lvl w:ilvl="5" w:tplc="58EEF6B0">
      <w:numFmt w:val="bullet"/>
      <w:lvlText w:val="•"/>
      <w:lvlJc w:val="left"/>
      <w:pPr>
        <w:ind w:left="4036" w:hanging="360"/>
      </w:pPr>
      <w:rPr>
        <w:rFonts w:hint="default"/>
        <w:lang w:val="en-US" w:eastAsia="en-US" w:bidi="ar-SA"/>
      </w:rPr>
    </w:lvl>
    <w:lvl w:ilvl="6" w:tplc="820A6150">
      <w:numFmt w:val="bullet"/>
      <w:lvlText w:val="•"/>
      <w:lvlJc w:val="left"/>
      <w:pPr>
        <w:ind w:left="4603" w:hanging="360"/>
      </w:pPr>
      <w:rPr>
        <w:rFonts w:hint="default"/>
        <w:lang w:val="en-US" w:eastAsia="en-US" w:bidi="ar-SA"/>
      </w:rPr>
    </w:lvl>
    <w:lvl w:ilvl="7" w:tplc="95F2FA5E">
      <w:numFmt w:val="bullet"/>
      <w:lvlText w:val="•"/>
      <w:lvlJc w:val="left"/>
      <w:pPr>
        <w:ind w:left="5171" w:hanging="360"/>
      </w:pPr>
      <w:rPr>
        <w:rFonts w:hint="default"/>
        <w:lang w:val="en-US" w:eastAsia="en-US" w:bidi="ar-SA"/>
      </w:rPr>
    </w:lvl>
    <w:lvl w:ilvl="8" w:tplc="78BC24F0">
      <w:numFmt w:val="bullet"/>
      <w:lvlText w:val="•"/>
      <w:lvlJc w:val="left"/>
      <w:pPr>
        <w:ind w:left="5738" w:hanging="360"/>
      </w:pPr>
      <w:rPr>
        <w:rFonts w:hint="default"/>
        <w:lang w:val="en-US" w:eastAsia="en-US" w:bidi="ar-SA"/>
      </w:rPr>
    </w:lvl>
  </w:abstractNum>
  <w:abstractNum w:abstractNumId="113" w15:restartNumberingAfterBreak="0">
    <w:nsid w:val="42516230"/>
    <w:multiLevelType w:val="hybridMultilevel"/>
    <w:tmpl w:val="1BF00874"/>
    <w:lvl w:ilvl="0" w:tplc="BFE07B88">
      <w:numFmt w:val="bullet"/>
      <w:lvlText w:val=""/>
      <w:lvlJc w:val="left"/>
      <w:pPr>
        <w:ind w:left="1205" w:hanging="360"/>
      </w:pPr>
      <w:rPr>
        <w:rFonts w:ascii="Symbol" w:eastAsia="Symbol" w:hAnsi="Symbol" w:cs="Symbol" w:hint="default"/>
        <w:b w:val="0"/>
        <w:bCs w:val="0"/>
        <w:i w:val="0"/>
        <w:iCs w:val="0"/>
        <w:spacing w:val="0"/>
        <w:w w:val="99"/>
        <w:sz w:val="22"/>
        <w:szCs w:val="22"/>
        <w:lang w:val="en-US" w:eastAsia="en-US" w:bidi="ar-SA"/>
      </w:rPr>
    </w:lvl>
    <w:lvl w:ilvl="1" w:tplc="B46877EE">
      <w:numFmt w:val="bullet"/>
      <w:lvlText w:val="•"/>
      <w:lvlJc w:val="left"/>
      <w:pPr>
        <w:ind w:left="1767" w:hanging="360"/>
      </w:pPr>
      <w:rPr>
        <w:rFonts w:hint="default"/>
        <w:lang w:val="en-US" w:eastAsia="en-US" w:bidi="ar-SA"/>
      </w:rPr>
    </w:lvl>
    <w:lvl w:ilvl="2" w:tplc="6B6C65E6">
      <w:numFmt w:val="bullet"/>
      <w:lvlText w:val="•"/>
      <w:lvlJc w:val="left"/>
      <w:pPr>
        <w:ind w:left="2334" w:hanging="360"/>
      </w:pPr>
      <w:rPr>
        <w:rFonts w:hint="default"/>
        <w:lang w:val="en-US" w:eastAsia="en-US" w:bidi="ar-SA"/>
      </w:rPr>
    </w:lvl>
    <w:lvl w:ilvl="3" w:tplc="B3B49C0A">
      <w:numFmt w:val="bullet"/>
      <w:lvlText w:val="•"/>
      <w:lvlJc w:val="left"/>
      <w:pPr>
        <w:ind w:left="2901" w:hanging="360"/>
      </w:pPr>
      <w:rPr>
        <w:rFonts w:hint="default"/>
        <w:lang w:val="en-US" w:eastAsia="en-US" w:bidi="ar-SA"/>
      </w:rPr>
    </w:lvl>
    <w:lvl w:ilvl="4" w:tplc="C30AE7C6">
      <w:numFmt w:val="bullet"/>
      <w:lvlText w:val="•"/>
      <w:lvlJc w:val="left"/>
      <w:pPr>
        <w:ind w:left="3469" w:hanging="360"/>
      </w:pPr>
      <w:rPr>
        <w:rFonts w:hint="default"/>
        <w:lang w:val="en-US" w:eastAsia="en-US" w:bidi="ar-SA"/>
      </w:rPr>
    </w:lvl>
    <w:lvl w:ilvl="5" w:tplc="26A61066">
      <w:numFmt w:val="bullet"/>
      <w:lvlText w:val="•"/>
      <w:lvlJc w:val="left"/>
      <w:pPr>
        <w:ind w:left="4036" w:hanging="360"/>
      </w:pPr>
      <w:rPr>
        <w:rFonts w:hint="default"/>
        <w:lang w:val="en-US" w:eastAsia="en-US" w:bidi="ar-SA"/>
      </w:rPr>
    </w:lvl>
    <w:lvl w:ilvl="6" w:tplc="6A825362">
      <w:numFmt w:val="bullet"/>
      <w:lvlText w:val="•"/>
      <w:lvlJc w:val="left"/>
      <w:pPr>
        <w:ind w:left="4603" w:hanging="360"/>
      </w:pPr>
      <w:rPr>
        <w:rFonts w:hint="default"/>
        <w:lang w:val="en-US" w:eastAsia="en-US" w:bidi="ar-SA"/>
      </w:rPr>
    </w:lvl>
    <w:lvl w:ilvl="7" w:tplc="70FA9E00">
      <w:numFmt w:val="bullet"/>
      <w:lvlText w:val="•"/>
      <w:lvlJc w:val="left"/>
      <w:pPr>
        <w:ind w:left="5171" w:hanging="360"/>
      </w:pPr>
      <w:rPr>
        <w:rFonts w:hint="default"/>
        <w:lang w:val="en-US" w:eastAsia="en-US" w:bidi="ar-SA"/>
      </w:rPr>
    </w:lvl>
    <w:lvl w:ilvl="8" w:tplc="DF241624">
      <w:numFmt w:val="bullet"/>
      <w:lvlText w:val="•"/>
      <w:lvlJc w:val="left"/>
      <w:pPr>
        <w:ind w:left="5738" w:hanging="360"/>
      </w:pPr>
      <w:rPr>
        <w:rFonts w:hint="default"/>
        <w:lang w:val="en-US" w:eastAsia="en-US" w:bidi="ar-SA"/>
      </w:rPr>
    </w:lvl>
  </w:abstractNum>
  <w:abstractNum w:abstractNumId="114" w15:restartNumberingAfterBreak="0">
    <w:nsid w:val="429F145C"/>
    <w:multiLevelType w:val="hybridMultilevel"/>
    <w:tmpl w:val="7AE4DB14"/>
    <w:lvl w:ilvl="0" w:tplc="47FE4BD4">
      <w:start w:val="1"/>
      <w:numFmt w:val="lowerLetter"/>
      <w:lvlText w:val="%1."/>
      <w:lvlJc w:val="left"/>
      <w:pPr>
        <w:ind w:left="2220" w:hanging="360"/>
      </w:pPr>
      <w:rPr>
        <w:rFonts w:ascii="Arial" w:eastAsia="Arial" w:hAnsi="Arial" w:cs="Arial" w:hint="default"/>
        <w:b w:val="0"/>
        <w:bCs w:val="0"/>
        <w:i w:val="0"/>
        <w:iCs w:val="0"/>
        <w:spacing w:val="0"/>
        <w:w w:val="99"/>
        <w:sz w:val="22"/>
        <w:szCs w:val="22"/>
        <w:lang w:val="en-US" w:eastAsia="en-US" w:bidi="ar-SA"/>
      </w:rPr>
    </w:lvl>
    <w:lvl w:ilvl="1" w:tplc="554EF5CA">
      <w:numFmt w:val="bullet"/>
      <w:lvlText w:val="•"/>
      <w:lvlJc w:val="left"/>
      <w:pPr>
        <w:ind w:left="3026" w:hanging="360"/>
      </w:pPr>
      <w:rPr>
        <w:rFonts w:hint="default"/>
        <w:lang w:val="en-US" w:eastAsia="en-US" w:bidi="ar-SA"/>
      </w:rPr>
    </w:lvl>
    <w:lvl w:ilvl="2" w:tplc="DAF21800">
      <w:numFmt w:val="bullet"/>
      <w:lvlText w:val="•"/>
      <w:lvlJc w:val="left"/>
      <w:pPr>
        <w:ind w:left="3832" w:hanging="360"/>
      </w:pPr>
      <w:rPr>
        <w:rFonts w:hint="default"/>
        <w:lang w:val="en-US" w:eastAsia="en-US" w:bidi="ar-SA"/>
      </w:rPr>
    </w:lvl>
    <w:lvl w:ilvl="3" w:tplc="3E98D754">
      <w:numFmt w:val="bullet"/>
      <w:lvlText w:val="•"/>
      <w:lvlJc w:val="left"/>
      <w:pPr>
        <w:ind w:left="4638" w:hanging="360"/>
      </w:pPr>
      <w:rPr>
        <w:rFonts w:hint="default"/>
        <w:lang w:val="en-US" w:eastAsia="en-US" w:bidi="ar-SA"/>
      </w:rPr>
    </w:lvl>
    <w:lvl w:ilvl="4" w:tplc="4AD42080">
      <w:numFmt w:val="bullet"/>
      <w:lvlText w:val="•"/>
      <w:lvlJc w:val="left"/>
      <w:pPr>
        <w:ind w:left="5444" w:hanging="360"/>
      </w:pPr>
      <w:rPr>
        <w:rFonts w:hint="default"/>
        <w:lang w:val="en-US" w:eastAsia="en-US" w:bidi="ar-SA"/>
      </w:rPr>
    </w:lvl>
    <w:lvl w:ilvl="5" w:tplc="4C2820B0">
      <w:numFmt w:val="bullet"/>
      <w:lvlText w:val="•"/>
      <w:lvlJc w:val="left"/>
      <w:pPr>
        <w:ind w:left="6250" w:hanging="360"/>
      </w:pPr>
      <w:rPr>
        <w:rFonts w:hint="default"/>
        <w:lang w:val="en-US" w:eastAsia="en-US" w:bidi="ar-SA"/>
      </w:rPr>
    </w:lvl>
    <w:lvl w:ilvl="6" w:tplc="7318B984">
      <w:numFmt w:val="bullet"/>
      <w:lvlText w:val="•"/>
      <w:lvlJc w:val="left"/>
      <w:pPr>
        <w:ind w:left="7056" w:hanging="360"/>
      </w:pPr>
      <w:rPr>
        <w:rFonts w:hint="default"/>
        <w:lang w:val="en-US" w:eastAsia="en-US" w:bidi="ar-SA"/>
      </w:rPr>
    </w:lvl>
    <w:lvl w:ilvl="7" w:tplc="955A4CEC">
      <w:numFmt w:val="bullet"/>
      <w:lvlText w:val="•"/>
      <w:lvlJc w:val="left"/>
      <w:pPr>
        <w:ind w:left="7862" w:hanging="360"/>
      </w:pPr>
      <w:rPr>
        <w:rFonts w:hint="default"/>
        <w:lang w:val="en-US" w:eastAsia="en-US" w:bidi="ar-SA"/>
      </w:rPr>
    </w:lvl>
    <w:lvl w:ilvl="8" w:tplc="92CAFCCE">
      <w:numFmt w:val="bullet"/>
      <w:lvlText w:val="•"/>
      <w:lvlJc w:val="left"/>
      <w:pPr>
        <w:ind w:left="8668" w:hanging="360"/>
      </w:pPr>
      <w:rPr>
        <w:rFonts w:hint="default"/>
        <w:lang w:val="en-US" w:eastAsia="en-US" w:bidi="ar-SA"/>
      </w:rPr>
    </w:lvl>
  </w:abstractNum>
  <w:abstractNum w:abstractNumId="115" w15:restartNumberingAfterBreak="0">
    <w:nsid w:val="42F97A00"/>
    <w:multiLevelType w:val="hybridMultilevel"/>
    <w:tmpl w:val="3EB62126"/>
    <w:lvl w:ilvl="0" w:tplc="FBE4E6A2">
      <w:start w:val="6"/>
      <w:numFmt w:val="lowerLetter"/>
      <w:lvlText w:val="%1)"/>
      <w:lvlJc w:val="left"/>
      <w:pPr>
        <w:ind w:left="1244" w:hanging="396"/>
      </w:pPr>
      <w:rPr>
        <w:rFonts w:ascii="Arial" w:eastAsia="Arial" w:hAnsi="Arial" w:cs="Arial" w:hint="default"/>
        <w:b w:val="0"/>
        <w:bCs w:val="0"/>
        <w:i w:val="0"/>
        <w:iCs w:val="0"/>
        <w:spacing w:val="0"/>
        <w:w w:val="99"/>
        <w:sz w:val="22"/>
        <w:szCs w:val="22"/>
        <w:lang w:val="en-US" w:eastAsia="en-US" w:bidi="ar-SA"/>
      </w:rPr>
    </w:lvl>
    <w:lvl w:ilvl="1" w:tplc="8A3C880E">
      <w:start w:val="1"/>
      <w:numFmt w:val="lowerRoman"/>
      <w:lvlText w:val="%2."/>
      <w:lvlJc w:val="left"/>
      <w:pPr>
        <w:ind w:left="1922" w:hanging="291"/>
      </w:pPr>
      <w:rPr>
        <w:rFonts w:ascii="Arial" w:eastAsia="Arial" w:hAnsi="Arial" w:cs="Arial" w:hint="default"/>
        <w:b w:val="0"/>
        <w:bCs w:val="0"/>
        <w:i w:val="0"/>
        <w:iCs w:val="0"/>
        <w:spacing w:val="0"/>
        <w:w w:val="99"/>
        <w:sz w:val="22"/>
        <w:szCs w:val="22"/>
        <w:lang w:val="en-US" w:eastAsia="en-US" w:bidi="ar-SA"/>
      </w:rPr>
    </w:lvl>
    <w:lvl w:ilvl="2" w:tplc="09348956">
      <w:numFmt w:val="bullet"/>
      <w:lvlText w:val="•"/>
      <w:lvlJc w:val="left"/>
      <w:pPr>
        <w:ind w:left="2447" w:hanging="291"/>
      </w:pPr>
      <w:rPr>
        <w:rFonts w:hint="default"/>
        <w:lang w:val="en-US" w:eastAsia="en-US" w:bidi="ar-SA"/>
      </w:rPr>
    </w:lvl>
    <w:lvl w:ilvl="3" w:tplc="3C3EA672">
      <w:numFmt w:val="bullet"/>
      <w:lvlText w:val="•"/>
      <w:lvlJc w:val="left"/>
      <w:pPr>
        <w:ind w:left="2975" w:hanging="291"/>
      </w:pPr>
      <w:rPr>
        <w:rFonts w:hint="default"/>
        <w:lang w:val="en-US" w:eastAsia="en-US" w:bidi="ar-SA"/>
      </w:rPr>
    </w:lvl>
    <w:lvl w:ilvl="4" w:tplc="F7D660A8">
      <w:numFmt w:val="bullet"/>
      <w:lvlText w:val="•"/>
      <w:lvlJc w:val="left"/>
      <w:pPr>
        <w:ind w:left="3502" w:hanging="291"/>
      </w:pPr>
      <w:rPr>
        <w:rFonts w:hint="default"/>
        <w:lang w:val="en-US" w:eastAsia="en-US" w:bidi="ar-SA"/>
      </w:rPr>
    </w:lvl>
    <w:lvl w:ilvl="5" w:tplc="77C2CABA">
      <w:numFmt w:val="bullet"/>
      <w:lvlText w:val="•"/>
      <w:lvlJc w:val="left"/>
      <w:pPr>
        <w:ind w:left="4030" w:hanging="291"/>
      </w:pPr>
      <w:rPr>
        <w:rFonts w:hint="default"/>
        <w:lang w:val="en-US" w:eastAsia="en-US" w:bidi="ar-SA"/>
      </w:rPr>
    </w:lvl>
    <w:lvl w:ilvl="6" w:tplc="E780DC34">
      <w:numFmt w:val="bullet"/>
      <w:lvlText w:val="•"/>
      <w:lvlJc w:val="left"/>
      <w:pPr>
        <w:ind w:left="4558" w:hanging="291"/>
      </w:pPr>
      <w:rPr>
        <w:rFonts w:hint="default"/>
        <w:lang w:val="en-US" w:eastAsia="en-US" w:bidi="ar-SA"/>
      </w:rPr>
    </w:lvl>
    <w:lvl w:ilvl="7" w:tplc="3DC4191C">
      <w:numFmt w:val="bullet"/>
      <w:lvlText w:val="•"/>
      <w:lvlJc w:val="left"/>
      <w:pPr>
        <w:ind w:left="5085" w:hanging="291"/>
      </w:pPr>
      <w:rPr>
        <w:rFonts w:hint="default"/>
        <w:lang w:val="en-US" w:eastAsia="en-US" w:bidi="ar-SA"/>
      </w:rPr>
    </w:lvl>
    <w:lvl w:ilvl="8" w:tplc="A40016AC">
      <w:numFmt w:val="bullet"/>
      <w:lvlText w:val="•"/>
      <w:lvlJc w:val="left"/>
      <w:pPr>
        <w:ind w:left="5613" w:hanging="291"/>
      </w:pPr>
      <w:rPr>
        <w:rFonts w:hint="default"/>
        <w:lang w:val="en-US" w:eastAsia="en-US" w:bidi="ar-SA"/>
      </w:rPr>
    </w:lvl>
  </w:abstractNum>
  <w:abstractNum w:abstractNumId="116" w15:restartNumberingAfterBreak="0">
    <w:nsid w:val="43C516DB"/>
    <w:multiLevelType w:val="hybridMultilevel"/>
    <w:tmpl w:val="E75EADC6"/>
    <w:lvl w:ilvl="0" w:tplc="F174806C">
      <w:start w:val="1"/>
      <w:numFmt w:val="decimal"/>
      <w:lvlText w:val="%1."/>
      <w:lvlJc w:val="left"/>
      <w:pPr>
        <w:ind w:left="457" w:hanging="360"/>
      </w:pPr>
      <w:rPr>
        <w:rFonts w:ascii="Arial" w:eastAsia="Arial" w:hAnsi="Arial" w:cs="Arial" w:hint="default"/>
        <w:b w:val="0"/>
        <w:bCs w:val="0"/>
        <w:i w:val="0"/>
        <w:iCs w:val="0"/>
        <w:spacing w:val="0"/>
        <w:w w:val="99"/>
        <w:sz w:val="22"/>
        <w:szCs w:val="22"/>
        <w:lang w:val="en-US" w:eastAsia="en-US" w:bidi="ar-SA"/>
      </w:rPr>
    </w:lvl>
    <w:lvl w:ilvl="1" w:tplc="4766925A">
      <w:numFmt w:val="bullet"/>
      <w:lvlText w:val=""/>
      <w:lvlJc w:val="left"/>
      <w:pPr>
        <w:ind w:left="816" w:hanging="360"/>
      </w:pPr>
      <w:rPr>
        <w:rFonts w:ascii="Symbol" w:eastAsia="Symbol" w:hAnsi="Symbol" w:cs="Symbol" w:hint="default"/>
        <w:b w:val="0"/>
        <w:bCs w:val="0"/>
        <w:i w:val="0"/>
        <w:iCs w:val="0"/>
        <w:spacing w:val="0"/>
        <w:w w:val="99"/>
        <w:sz w:val="22"/>
        <w:szCs w:val="22"/>
        <w:lang w:val="en-US" w:eastAsia="en-US" w:bidi="ar-SA"/>
      </w:rPr>
    </w:lvl>
    <w:lvl w:ilvl="2" w:tplc="F9D2920A">
      <w:numFmt w:val="bullet"/>
      <w:lvlText w:val="•"/>
      <w:lvlJc w:val="left"/>
      <w:pPr>
        <w:ind w:left="1262" w:hanging="360"/>
      </w:pPr>
      <w:rPr>
        <w:rFonts w:hint="default"/>
        <w:lang w:val="en-US" w:eastAsia="en-US" w:bidi="ar-SA"/>
      </w:rPr>
    </w:lvl>
    <w:lvl w:ilvl="3" w:tplc="EFA05A96">
      <w:numFmt w:val="bullet"/>
      <w:lvlText w:val="•"/>
      <w:lvlJc w:val="left"/>
      <w:pPr>
        <w:ind w:left="1704" w:hanging="360"/>
      </w:pPr>
      <w:rPr>
        <w:rFonts w:hint="default"/>
        <w:lang w:val="en-US" w:eastAsia="en-US" w:bidi="ar-SA"/>
      </w:rPr>
    </w:lvl>
    <w:lvl w:ilvl="4" w:tplc="C60AEA70">
      <w:numFmt w:val="bullet"/>
      <w:lvlText w:val="•"/>
      <w:lvlJc w:val="left"/>
      <w:pPr>
        <w:ind w:left="2146" w:hanging="360"/>
      </w:pPr>
      <w:rPr>
        <w:rFonts w:hint="default"/>
        <w:lang w:val="en-US" w:eastAsia="en-US" w:bidi="ar-SA"/>
      </w:rPr>
    </w:lvl>
    <w:lvl w:ilvl="5" w:tplc="66A8CC50">
      <w:numFmt w:val="bullet"/>
      <w:lvlText w:val="•"/>
      <w:lvlJc w:val="left"/>
      <w:pPr>
        <w:ind w:left="2588" w:hanging="360"/>
      </w:pPr>
      <w:rPr>
        <w:rFonts w:hint="default"/>
        <w:lang w:val="en-US" w:eastAsia="en-US" w:bidi="ar-SA"/>
      </w:rPr>
    </w:lvl>
    <w:lvl w:ilvl="6" w:tplc="C6C2AFE0">
      <w:numFmt w:val="bullet"/>
      <w:lvlText w:val="•"/>
      <w:lvlJc w:val="left"/>
      <w:pPr>
        <w:ind w:left="3030" w:hanging="360"/>
      </w:pPr>
      <w:rPr>
        <w:rFonts w:hint="default"/>
        <w:lang w:val="en-US" w:eastAsia="en-US" w:bidi="ar-SA"/>
      </w:rPr>
    </w:lvl>
    <w:lvl w:ilvl="7" w:tplc="91EEDF08">
      <w:numFmt w:val="bullet"/>
      <w:lvlText w:val="•"/>
      <w:lvlJc w:val="left"/>
      <w:pPr>
        <w:ind w:left="3473" w:hanging="360"/>
      </w:pPr>
      <w:rPr>
        <w:rFonts w:hint="default"/>
        <w:lang w:val="en-US" w:eastAsia="en-US" w:bidi="ar-SA"/>
      </w:rPr>
    </w:lvl>
    <w:lvl w:ilvl="8" w:tplc="F55A07BA">
      <w:numFmt w:val="bullet"/>
      <w:lvlText w:val="•"/>
      <w:lvlJc w:val="left"/>
      <w:pPr>
        <w:ind w:left="3915" w:hanging="360"/>
      </w:pPr>
      <w:rPr>
        <w:rFonts w:hint="default"/>
        <w:lang w:val="en-US" w:eastAsia="en-US" w:bidi="ar-SA"/>
      </w:rPr>
    </w:lvl>
  </w:abstractNum>
  <w:abstractNum w:abstractNumId="117" w15:restartNumberingAfterBreak="0">
    <w:nsid w:val="43D46BA1"/>
    <w:multiLevelType w:val="hybridMultilevel"/>
    <w:tmpl w:val="8D44008C"/>
    <w:lvl w:ilvl="0" w:tplc="3C9A4426">
      <w:start w:val="1"/>
      <w:numFmt w:val="decimal"/>
      <w:lvlText w:val="%1."/>
      <w:lvlJc w:val="left"/>
      <w:pPr>
        <w:ind w:left="559" w:hanging="360"/>
      </w:pPr>
      <w:rPr>
        <w:rFonts w:ascii="Arial" w:eastAsia="Arial" w:hAnsi="Arial" w:cs="Arial" w:hint="default"/>
        <w:b w:val="0"/>
        <w:bCs w:val="0"/>
        <w:i w:val="0"/>
        <w:iCs w:val="0"/>
        <w:spacing w:val="0"/>
        <w:w w:val="99"/>
        <w:sz w:val="22"/>
        <w:szCs w:val="22"/>
        <w:lang w:val="en-US" w:eastAsia="en-US" w:bidi="ar-SA"/>
      </w:rPr>
    </w:lvl>
    <w:lvl w:ilvl="1" w:tplc="D2F6C3AA">
      <w:numFmt w:val="bullet"/>
      <w:lvlText w:val="•"/>
      <w:lvlJc w:val="left"/>
      <w:pPr>
        <w:ind w:left="1494" w:hanging="360"/>
      </w:pPr>
      <w:rPr>
        <w:rFonts w:hint="default"/>
        <w:lang w:val="en-US" w:eastAsia="en-US" w:bidi="ar-SA"/>
      </w:rPr>
    </w:lvl>
    <w:lvl w:ilvl="2" w:tplc="C80E4F86">
      <w:numFmt w:val="bullet"/>
      <w:lvlText w:val="•"/>
      <w:lvlJc w:val="left"/>
      <w:pPr>
        <w:ind w:left="2428" w:hanging="360"/>
      </w:pPr>
      <w:rPr>
        <w:rFonts w:hint="default"/>
        <w:lang w:val="en-US" w:eastAsia="en-US" w:bidi="ar-SA"/>
      </w:rPr>
    </w:lvl>
    <w:lvl w:ilvl="3" w:tplc="297E13EE">
      <w:numFmt w:val="bullet"/>
      <w:lvlText w:val="•"/>
      <w:lvlJc w:val="left"/>
      <w:pPr>
        <w:ind w:left="3362" w:hanging="360"/>
      </w:pPr>
      <w:rPr>
        <w:rFonts w:hint="default"/>
        <w:lang w:val="en-US" w:eastAsia="en-US" w:bidi="ar-SA"/>
      </w:rPr>
    </w:lvl>
    <w:lvl w:ilvl="4" w:tplc="DCB0CCDC">
      <w:numFmt w:val="bullet"/>
      <w:lvlText w:val="•"/>
      <w:lvlJc w:val="left"/>
      <w:pPr>
        <w:ind w:left="4296" w:hanging="360"/>
      </w:pPr>
      <w:rPr>
        <w:rFonts w:hint="default"/>
        <w:lang w:val="en-US" w:eastAsia="en-US" w:bidi="ar-SA"/>
      </w:rPr>
    </w:lvl>
    <w:lvl w:ilvl="5" w:tplc="CD749B46">
      <w:numFmt w:val="bullet"/>
      <w:lvlText w:val="•"/>
      <w:lvlJc w:val="left"/>
      <w:pPr>
        <w:ind w:left="5230" w:hanging="360"/>
      </w:pPr>
      <w:rPr>
        <w:rFonts w:hint="default"/>
        <w:lang w:val="en-US" w:eastAsia="en-US" w:bidi="ar-SA"/>
      </w:rPr>
    </w:lvl>
    <w:lvl w:ilvl="6" w:tplc="7C6493AE">
      <w:numFmt w:val="bullet"/>
      <w:lvlText w:val="•"/>
      <w:lvlJc w:val="left"/>
      <w:pPr>
        <w:ind w:left="6164" w:hanging="360"/>
      </w:pPr>
      <w:rPr>
        <w:rFonts w:hint="default"/>
        <w:lang w:val="en-US" w:eastAsia="en-US" w:bidi="ar-SA"/>
      </w:rPr>
    </w:lvl>
    <w:lvl w:ilvl="7" w:tplc="F30E29E6">
      <w:numFmt w:val="bullet"/>
      <w:lvlText w:val="•"/>
      <w:lvlJc w:val="left"/>
      <w:pPr>
        <w:ind w:left="7098" w:hanging="360"/>
      </w:pPr>
      <w:rPr>
        <w:rFonts w:hint="default"/>
        <w:lang w:val="en-US" w:eastAsia="en-US" w:bidi="ar-SA"/>
      </w:rPr>
    </w:lvl>
    <w:lvl w:ilvl="8" w:tplc="E7F64582">
      <w:numFmt w:val="bullet"/>
      <w:lvlText w:val="•"/>
      <w:lvlJc w:val="left"/>
      <w:pPr>
        <w:ind w:left="8032" w:hanging="360"/>
      </w:pPr>
      <w:rPr>
        <w:rFonts w:hint="default"/>
        <w:lang w:val="en-US" w:eastAsia="en-US" w:bidi="ar-SA"/>
      </w:rPr>
    </w:lvl>
  </w:abstractNum>
  <w:abstractNum w:abstractNumId="118" w15:restartNumberingAfterBreak="0">
    <w:nsid w:val="440C4D54"/>
    <w:multiLevelType w:val="hybridMultilevel"/>
    <w:tmpl w:val="CAF47304"/>
    <w:lvl w:ilvl="0" w:tplc="FCB430AC">
      <w:start w:val="10"/>
      <w:numFmt w:val="decimal"/>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901CE716">
      <w:start w:val="1"/>
      <w:numFmt w:val="lowerLetter"/>
      <w:lvlText w:val="%2."/>
      <w:lvlJc w:val="left"/>
      <w:pPr>
        <w:ind w:left="2000" w:hanging="360"/>
      </w:pPr>
      <w:rPr>
        <w:rFonts w:ascii="Arial" w:eastAsia="Arial" w:hAnsi="Arial" w:cs="Arial" w:hint="default"/>
        <w:b w:val="0"/>
        <w:bCs w:val="0"/>
        <w:i w:val="0"/>
        <w:iCs w:val="0"/>
        <w:spacing w:val="0"/>
        <w:w w:val="99"/>
        <w:sz w:val="22"/>
        <w:szCs w:val="22"/>
        <w:lang w:val="en-US" w:eastAsia="en-US" w:bidi="ar-SA"/>
      </w:rPr>
    </w:lvl>
    <w:lvl w:ilvl="2" w:tplc="B6AA145A">
      <w:numFmt w:val="bullet"/>
      <w:lvlText w:val="•"/>
      <w:lvlJc w:val="left"/>
      <w:pPr>
        <w:ind w:left="2877" w:hanging="360"/>
      </w:pPr>
      <w:rPr>
        <w:rFonts w:hint="default"/>
        <w:lang w:val="en-US" w:eastAsia="en-US" w:bidi="ar-SA"/>
      </w:rPr>
    </w:lvl>
    <w:lvl w:ilvl="3" w:tplc="2340BA98">
      <w:numFmt w:val="bullet"/>
      <w:lvlText w:val="•"/>
      <w:lvlJc w:val="left"/>
      <w:pPr>
        <w:ind w:left="3755" w:hanging="360"/>
      </w:pPr>
      <w:rPr>
        <w:rFonts w:hint="default"/>
        <w:lang w:val="en-US" w:eastAsia="en-US" w:bidi="ar-SA"/>
      </w:rPr>
    </w:lvl>
    <w:lvl w:ilvl="4" w:tplc="D0DAC216">
      <w:numFmt w:val="bullet"/>
      <w:lvlText w:val="•"/>
      <w:lvlJc w:val="left"/>
      <w:pPr>
        <w:ind w:left="4633" w:hanging="360"/>
      </w:pPr>
      <w:rPr>
        <w:rFonts w:hint="default"/>
        <w:lang w:val="en-US" w:eastAsia="en-US" w:bidi="ar-SA"/>
      </w:rPr>
    </w:lvl>
    <w:lvl w:ilvl="5" w:tplc="5DA637AE">
      <w:numFmt w:val="bullet"/>
      <w:lvlText w:val="•"/>
      <w:lvlJc w:val="left"/>
      <w:pPr>
        <w:ind w:left="5511" w:hanging="360"/>
      </w:pPr>
      <w:rPr>
        <w:rFonts w:hint="default"/>
        <w:lang w:val="en-US" w:eastAsia="en-US" w:bidi="ar-SA"/>
      </w:rPr>
    </w:lvl>
    <w:lvl w:ilvl="6" w:tplc="90EAD9BC">
      <w:numFmt w:val="bullet"/>
      <w:lvlText w:val="•"/>
      <w:lvlJc w:val="left"/>
      <w:pPr>
        <w:ind w:left="6388" w:hanging="360"/>
      </w:pPr>
      <w:rPr>
        <w:rFonts w:hint="default"/>
        <w:lang w:val="en-US" w:eastAsia="en-US" w:bidi="ar-SA"/>
      </w:rPr>
    </w:lvl>
    <w:lvl w:ilvl="7" w:tplc="9F586190">
      <w:numFmt w:val="bullet"/>
      <w:lvlText w:val="•"/>
      <w:lvlJc w:val="left"/>
      <w:pPr>
        <w:ind w:left="7266" w:hanging="360"/>
      </w:pPr>
      <w:rPr>
        <w:rFonts w:hint="default"/>
        <w:lang w:val="en-US" w:eastAsia="en-US" w:bidi="ar-SA"/>
      </w:rPr>
    </w:lvl>
    <w:lvl w:ilvl="8" w:tplc="6EECDF28">
      <w:numFmt w:val="bullet"/>
      <w:lvlText w:val="•"/>
      <w:lvlJc w:val="left"/>
      <w:pPr>
        <w:ind w:left="8144" w:hanging="360"/>
      </w:pPr>
      <w:rPr>
        <w:rFonts w:hint="default"/>
        <w:lang w:val="en-US" w:eastAsia="en-US" w:bidi="ar-SA"/>
      </w:rPr>
    </w:lvl>
  </w:abstractNum>
  <w:abstractNum w:abstractNumId="119" w15:restartNumberingAfterBreak="0">
    <w:nsid w:val="45162C91"/>
    <w:multiLevelType w:val="hybridMultilevel"/>
    <w:tmpl w:val="C720ADBE"/>
    <w:lvl w:ilvl="0" w:tplc="E12CD3F2">
      <w:start w:val="1"/>
      <w:numFmt w:val="lowerLetter"/>
      <w:lvlText w:val="%1."/>
      <w:lvlJc w:val="left"/>
      <w:pPr>
        <w:ind w:left="2001" w:hanging="360"/>
      </w:pPr>
      <w:rPr>
        <w:rFonts w:ascii="Arial" w:eastAsia="Arial" w:hAnsi="Arial" w:cs="Arial" w:hint="default"/>
        <w:b w:val="0"/>
        <w:bCs w:val="0"/>
        <w:i w:val="0"/>
        <w:iCs w:val="0"/>
        <w:spacing w:val="0"/>
        <w:w w:val="99"/>
        <w:sz w:val="22"/>
        <w:szCs w:val="22"/>
        <w:lang w:val="en-US" w:eastAsia="en-US" w:bidi="ar-SA"/>
      </w:rPr>
    </w:lvl>
    <w:lvl w:ilvl="1" w:tplc="9092B1A6">
      <w:numFmt w:val="bullet"/>
      <w:lvlText w:val="•"/>
      <w:lvlJc w:val="left"/>
      <w:pPr>
        <w:ind w:left="2790" w:hanging="360"/>
      </w:pPr>
      <w:rPr>
        <w:rFonts w:hint="default"/>
        <w:lang w:val="en-US" w:eastAsia="en-US" w:bidi="ar-SA"/>
      </w:rPr>
    </w:lvl>
    <w:lvl w:ilvl="2" w:tplc="D29C2744">
      <w:numFmt w:val="bullet"/>
      <w:lvlText w:val="•"/>
      <w:lvlJc w:val="left"/>
      <w:pPr>
        <w:ind w:left="3580" w:hanging="360"/>
      </w:pPr>
      <w:rPr>
        <w:rFonts w:hint="default"/>
        <w:lang w:val="en-US" w:eastAsia="en-US" w:bidi="ar-SA"/>
      </w:rPr>
    </w:lvl>
    <w:lvl w:ilvl="3" w:tplc="DB6C74E8">
      <w:numFmt w:val="bullet"/>
      <w:lvlText w:val="•"/>
      <w:lvlJc w:val="left"/>
      <w:pPr>
        <w:ind w:left="4370" w:hanging="360"/>
      </w:pPr>
      <w:rPr>
        <w:rFonts w:hint="default"/>
        <w:lang w:val="en-US" w:eastAsia="en-US" w:bidi="ar-SA"/>
      </w:rPr>
    </w:lvl>
    <w:lvl w:ilvl="4" w:tplc="77E29D76">
      <w:numFmt w:val="bullet"/>
      <w:lvlText w:val="•"/>
      <w:lvlJc w:val="left"/>
      <w:pPr>
        <w:ind w:left="5160" w:hanging="360"/>
      </w:pPr>
      <w:rPr>
        <w:rFonts w:hint="default"/>
        <w:lang w:val="en-US" w:eastAsia="en-US" w:bidi="ar-SA"/>
      </w:rPr>
    </w:lvl>
    <w:lvl w:ilvl="5" w:tplc="2F2E5250">
      <w:numFmt w:val="bullet"/>
      <w:lvlText w:val="•"/>
      <w:lvlJc w:val="left"/>
      <w:pPr>
        <w:ind w:left="5950" w:hanging="360"/>
      </w:pPr>
      <w:rPr>
        <w:rFonts w:hint="default"/>
        <w:lang w:val="en-US" w:eastAsia="en-US" w:bidi="ar-SA"/>
      </w:rPr>
    </w:lvl>
    <w:lvl w:ilvl="6" w:tplc="2FB48F44">
      <w:numFmt w:val="bullet"/>
      <w:lvlText w:val="•"/>
      <w:lvlJc w:val="left"/>
      <w:pPr>
        <w:ind w:left="6740" w:hanging="360"/>
      </w:pPr>
      <w:rPr>
        <w:rFonts w:hint="default"/>
        <w:lang w:val="en-US" w:eastAsia="en-US" w:bidi="ar-SA"/>
      </w:rPr>
    </w:lvl>
    <w:lvl w:ilvl="7" w:tplc="A08A40E4">
      <w:numFmt w:val="bullet"/>
      <w:lvlText w:val="•"/>
      <w:lvlJc w:val="left"/>
      <w:pPr>
        <w:ind w:left="7530" w:hanging="360"/>
      </w:pPr>
      <w:rPr>
        <w:rFonts w:hint="default"/>
        <w:lang w:val="en-US" w:eastAsia="en-US" w:bidi="ar-SA"/>
      </w:rPr>
    </w:lvl>
    <w:lvl w:ilvl="8" w:tplc="BAC23CB6">
      <w:numFmt w:val="bullet"/>
      <w:lvlText w:val="•"/>
      <w:lvlJc w:val="left"/>
      <w:pPr>
        <w:ind w:left="8320" w:hanging="360"/>
      </w:pPr>
      <w:rPr>
        <w:rFonts w:hint="default"/>
        <w:lang w:val="en-US" w:eastAsia="en-US" w:bidi="ar-SA"/>
      </w:rPr>
    </w:lvl>
  </w:abstractNum>
  <w:abstractNum w:abstractNumId="120" w15:restartNumberingAfterBreak="0">
    <w:nsid w:val="462C48AF"/>
    <w:multiLevelType w:val="hybridMultilevel"/>
    <w:tmpl w:val="2C9CAE02"/>
    <w:lvl w:ilvl="0" w:tplc="ED2409D2">
      <w:numFmt w:val="bullet"/>
      <w:lvlText w:val=""/>
      <w:lvlJc w:val="left"/>
      <w:pPr>
        <w:ind w:left="583" w:hanging="180"/>
      </w:pPr>
      <w:rPr>
        <w:rFonts w:ascii="Symbol" w:eastAsia="Symbol" w:hAnsi="Symbol" w:cs="Symbol" w:hint="default"/>
        <w:b w:val="0"/>
        <w:bCs w:val="0"/>
        <w:i w:val="0"/>
        <w:iCs w:val="0"/>
        <w:spacing w:val="0"/>
        <w:w w:val="100"/>
        <w:sz w:val="18"/>
        <w:szCs w:val="18"/>
        <w:lang w:val="en-US" w:eastAsia="en-US" w:bidi="ar-SA"/>
      </w:rPr>
    </w:lvl>
    <w:lvl w:ilvl="1" w:tplc="1D548080">
      <w:numFmt w:val="bullet"/>
      <w:lvlText w:val="•"/>
      <w:lvlJc w:val="left"/>
      <w:pPr>
        <w:ind w:left="1129" w:hanging="180"/>
      </w:pPr>
      <w:rPr>
        <w:rFonts w:hint="default"/>
        <w:lang w:val="en-US" w:eastAsia="en-US" w:bidi="ar-SA"/>
      </w:rPr>
    </w:lvl>
    <w:lvl w:ilvl="2" w:tplc="44E6A194">
      <w:numFmt w:val="bullet"/>
      <w:lvlText w:val="•"/>
      <w:lvlJc w:val="left"/>
      <w:pPr>
        <w:ind w:left="1678" w:hanging="180"/>
      </w:pPr>
      <w:rPr>
        <w:rFonts w:hint="default"/>
        <w:lang w:val="en-US" w:eastAsia="en-US" w:bidi="ar-SA"/>
      </w:rPr>
    </w:lvl>
    <w:lvl w:ilvl="3" w:tplc="31EC9FCC">
      <w:numFmt w:val="bullet"/>
      <w:lvlText w:val="•"/>
      <w:lvlJc w:val="left"/>
      <w:pPr>
        <w:ind w:left="2227" w:hanging="180"/>
      </w:pPr>
      <w:rPr>
        <w:rFonts w:hint="default"/>
        <w:lang w:val="en-US" w:eastAsia="en-US" w:bidi="ar-SA"/>
      </w:rPr>
    </w:lvl>
    <w:lvl w:ilvl="4" w:tplc="EAB84152">
      <w:numFmt w:val="bullet"/>
      <w:lvlText w:val="•"/>
      <w:lvlJc w:val="left"/>
      <w:pPr>
        <w:ind w:left="2776" w:hanging="180"/>
      </w:pPr>
      <w:rPr>
        <w:rFonts w:hint="default"/>
        <w:lang w:val="en-US" w:eastAsia="en-US" w:bidi="ar-SA"/>
      </w:rPr>
    </w:lvl>
    <w:lvl w:ilvl="5" w:tplc="4F4ED896">
      <w:numFmt w:val="bullet"/>
      <w:lvlText w:val="•"/>
      <w:lvlJc w:val="left"/>
      <w:pPr>
        <w:ind w:left="3325" w:hanging="180"/>
      </w:pPr>
      <w:rPr>
        <w:rFonts w:hint="default"/>
        <w:lang w:val="en-US" w:eastAsia="en-US" w:bidi="ar-SA"/>
      </w:rPr>
    </w:lvl>
    <w:lvl w:ilvl="6" w:tplc="B616067E">
      <w:numFmt w:val="bullet"/>
      <w:lvlText w:val="•"/>
      <w:lvlJc w:val="left"/>
      <w:pPr>
        <w:ind w:left="3874" w:hanging="180"/>
      </w:pPr>
      <w:rPr>
        <w:rFonts w:hint="default"/>
        <w:lang w:val="en-US" w:eastAsia="en-US" w:bidi="ar-SA"/>
      </w:rPr>
    </w:lvl>
    <w:lvl w:ilvl="7" w:tplc="4A5C12BA">
      <w:numFmt w:val="bullet"/>
      <w:lvlText w:val="•"/>
      <w:lvlJc w:val="left"/>
      <w:pPr>
        <w:ind w:left="4423" w:hanging="180"/>
      </w:pPr>
      <w:rPr>
        <w:rFonts w:hint="default"/>
        <w:lang w:val="en-US" w:eastAsia="en-US" w:bidi="ar-SA"/>
      </w:rPr>
    </w:lvl>
    <w:lvl w:ilvl="8" w:tplc="ABEAE186">
      <w:numFmt w:val="bullet"/>
      <w:lvlText w:val="•"/>
      <w:lvlJc w:val="left"/>
      <w:pPr>
        <w:ind w:left="4972" w:hanging="180"/>
      </w:pPr>
      <w:rPr>
        <w:rFonts w:hint="default"/>
        <w:lang w:val="en-US" w:eastAsia="en-US" w:bidi="ar-SA"/>
      </w:rPr>
    </w:lvl>
  </w:abstractNum>
  <w:abstractNum w:abstractNumId="121" w15:restartNumberingAfterBreak="0">
    <w:nsid w:val="478B7447"/>
    <w:multiLevelType w:val="hybridMultilevel"/>
    <w:tmpl w:val="34D8CF10"/>
    <w:lvl w:ilvl="0" w:tplc="350C8274">
      <w:start w:val="6"/>
      <w:numFmt w:val="lowerLetter"/>
      <w:lvlText w:val="%1."/>
      <w:lvlJc w:val="left"/>
      <w:pPr>
        <w:ind w:left="1304" w:hanging="390"/>
      </w:pPr>
      <w:rPr>
        <w:rFonts w:ascii="Arial" w:eastAsia="Arial" w:hAnsi="Arial" w:cs="Arial" w:hint="default"/>
        <w:b w:val="0"/>
        <w:bCs w:val="0"/>
        <w:i w:val="0"/>
        <w:iCs w:val="0"/>
        <w:spacing w:val="0"/>
        <w:w w:val="99"/>
        <w:sz w:val="22"/>
        <w:szCs w:val="22"/>
        <w:lang w:val="en-US" w:eastAsia="en-US" w:bidi="ar-SA"/>
      </w:rPr>
    </w:lvl>
    <w:lvl w:ilvl="1" w:tplc="1610A46A">
      <w:numFmt w:val="bullet"/>
      <w:lvlText w:val=""/>
      <w:lvlJc w:val="left"/>
      <w:pPr>
        <w:ind w:left="1694" w:hanging="360"/>
      </w:pPr>
      <w:rPr>
        <w:rFonts w:ascii="Symbol" w:eastAsia="Symbol" w:hAnsi="Symbol" w:cs="Symbol" w:hint="default"/>
        <w:b w:val="0"/>
        <w:bCs w:val="0"/>
        <w:i w:val="0"/>
        <w:iCs w:val="0"/>
        <w:spacing w:val="0"/>
        <w:w w:val="99"/>
        <w:sz w:val="22"/>
        <w:szCs w:val="22"/>
        <w:lang w:val="en-US" w:eastAsia="en-US" w:bidi="ar-SA"/>
      </w:rPr>
    </w:lvl>
    <w:lvl w:ilvl="2" w:tplc="16F41024">
      <w:numFmt w:val="bullet"/>
      <w:lvlText w:val="•"/>
      <w:lvlJc w:val="left"/>
      <w:pPr>
        <w:ind w:left="2327" w:hanging="360"/>
      </w:pPr>
      <w:rPr>
        <w:rFonts w:hint="default"/>
        <w:lang w:val="en-US" w:eastAsia="en-US" w:bidi="ar-SA"/>
      </w:rPr>
    </w:lvl>
    <w:lvl w:ilvl="3" w:tplc="A80C507C">
      <w:numFmt w:val="bullet"/>
      <w:lvlText w:val="•"/>
      <w:lvlJc w:val="left"/>
      <w:pPr>
        <w:ind w:left="2955" w:hanging="360"/>
      </w:pPr>
      <w:rPr>
        <w:rFonts w:hint="default"/>
        <w:lang w:val="en-US" w:eastAsia="en-US" w:bidi="ar-SA"/>
      </w:rPr>
    </w:lvl>
    <w:lvl w:ilvl="4" w:tplc="0F8E0A9C">
      <w:numFmt w:val="bullet"/>
      <w:lvlText w:val="•"/>
      <w:lvlJc w:val="left"/>
      <w:pPr>
        <w:ind w:left="3583" w:hanging="360"/>
      </w:pPr>
      <w:rPr>
        <w:rFonts w:hint="default"/>
        <w:lang w:val="en-US" w:eastAsia="en-US" w:bidi="ar-SA"/>
      </w:rPr>
    </w:lvl>
    <w:lvl w:ilvl="5" w:tplc="6CCA1E4C">
      <w:numFmt w:val="bullet"/>
      <w:lvlText w:val="•"/>
      <w:lvlJc w:val="left"/>
      <w:pPr>
        <w:ind w:left="4211" w:hanging="360"/>
      </w:pPr>
      <w:rPr>
        <w:rFonts w:hint="default"/>
        <w:lang w:val="en-US" w:eastAsia="en-US" w:bidi="ar-SA"/>
      </w:rPr>
    </w:lvl>
    <w:lvl w:ilvl="6" w:tplc="CC487F5E">
      <w:numFmt w:val="bullet"/>
      <w:lvlText w:val="•"/>
      <w:lvlJc w:val="left"/>
      <w:pPr>
        <w:ind w:left="4838" w:hanging="360"/>
      </w:pPr>
      <w:rPr>
        <w:rFonts w:hint="default"/>
        <w:lang w:val="en-US" w:eastAsia="en-US" w:bidi="ar-SA"/>
      </w:rPr>
    </w:lvl>
    <w:lvl w:ilvl="7" w:tplc="BE205D06">
      <w:numFmt w:val="bullet"/>
      <w:lvlText w:val="•"/>
      <w:lvlJc w:val="left"/>
      <w:pPr>
        <w:ind w:left="5466" w:hanging="360"/>
      </w:pPr>
      <w:rPr>
        <w:rFonts w:hint="default"/>
        <w:lang w:val="en-US" w:eastAsia="en-US" w:bidi="ar-SA"/>
      </w:rPr>
    </w:lvl>
    <w:lvl w:ilvl="8" w:tplc="2BE2E1D2">
      <w:numFmt w:val="bullet"/>
      <w:lvlText w:val="•"/>
      <w:lvlJc w:val="left"/>
      <w:pPr>
        <w:ind w:left="6094" w:hanging="360"/>
      </w:pPr>
      <w:rPr>
        <w:rFonts w:hint="default"/>
        <w:lang w:val="en-US" w:eastAsia="en-US" w:bidi="ar-SA"/>
      </w:rPr>
    </w:lvl>
  </w:abstractNum>
  <w:abstractNum w:abstractNumId="122" w15:restartNumberingAfterBreak="0">
    <w:nsid w:val="47B36A1B"/>
    <w:multiLevelType w:val="hybridMultilevel"/>
    <w:tmpl w:val="D6BC9F3A"/>
    <w:lvl w:ilvl="0" w:tplc="2408BB70">
      <w:start w:val="1"/>
      <w:numFmt w:val="lowerLetter"/>
      <w:lvlText w:val="%1."/>
      <w:lvlJc w:val="left"/>
      <w:pPr>
        <w:ind w:left="1999" w:hanging="360"/>
      </w:pPr>
      <w:rPr>
        <w:rFonts w:ascii="Arial" w:eastAsia="Arial" w:hAnsi="Arial" w:cs="Arial" w:hint="default"/>
        <w:b w:val="0"/>
        <w:bCs w:val="0"/>
        <w:i w:val="0"/>
        <w:iCs w:val="0"/>
        <w:spacing w:val="0"/>
        <w:w w:val="99"/>
        <w:sz w:val="22"/>
        <w:szCs w:val="22"/>
        <w:lang w:val="en-US" w:eastAsia="en-US" w:bidi="ar-SA"/>
      </w:rPr>
    </w:lvl>
    <w:lvl w:ilvl="1" w:tplc="57EC625E">
      <w:numFmt w:val="bullet"/>
      <w:lvlText w:val="•"/>
      <w:lvlJc w:val="left"/>
      <w:pPr>
        <w:ind w:left="2790" w:hanging="360"/>
      </w:pPr>
      <w:rPr>
        <w:rFonts w:hint="default"/>
        <w:lang w:val="en-US" w:eastAsia="en-US" w:bidi="ar-SA"/>
      </w:rPr>
    </w:lvl>
    <w:lvl w:ilvl="2" w:tplc="242E3C96">
      <w:numFmt w:val="bullet"/>
      <w:lvlText w:val="•"/>
      <w:lvlJc w:val="left"/>
      <w:pPr>
        <w:ind w:left="3580" w:hanging="360"/>
      </w:pPr>
      <w:rPr>
        <w:rFonts w:hint="default"/>
        <w:lang w:val="en-US" w:eastAsia="en-US" w:bidi="ar-SA"/>
      </w:rPr>
    </w:lvl>
    <w:lvl w:ilvl="3" w:tplc="D0108678">
      <w:numFmt w:val="bullet"/>
      <w:lvlText w:val="•"/>
      <w:lvlJc w:val="left"/>
      <w:pPr>
        <w:ind w:left="4370" w:hanging="360"/>
      </w:pPr>
      <w:rPr>
        <w:rFonts w:hint="default"/>
        <w:lang w:val="en-US" w:eastAsia="en-US" w:bidi="ar-SA"/>
      </w:rPr>
    </w:lvl>
    <w:lvl w:ilvl="4" w:tplc="09429BC4">
      <w:numFmt w:val="bullet"/>
      <w:lvlText w:val="•"/>
      <w:lvlJc w:val="left"/>
      <w:pPr>
        <w:ind w:left="5160" w:hanging="360"/>
      </w:pPr>
      <w:rPr>
        <w:rFonts w:hint="default"/>
        <w:lang w:val="en-US" w:eastAsia="en-US" w:bidi="ar-SA"/>
      </w:rPr>
    </w:lvl>
    <w:lvl w:ilvl="5" w:tplc="408E0146">
      <w:numFmt w:val="bullet"/>
      <w:lvlText w:val="•"/>
      <w:lvlJc w:val="left"/>
      <w:pPr>
        <w:ind w:left="5950" w:hanging="360"/>
      </w:pPr>
      <w:rPr>
        <w:rFonts w:hint="default"/>
        <w:lang w:val="en-US" w:eastAsia="en-US" w:bidi="ar-SA"/>
      </w:rPr>
    </w:lvl>
    <w:lvl w:ilvl="6" w:tplc="39F01998">
      <w:numFmt w:val="bullet"/>
      <w:lvlText w:val="•"/>
      <w:lvlJc w:val="left"/>
      <w:pPr>
        <w:ind w:left="6740" w:hanging="360"/>
      </w:pPr>
      <w:rPr>
        <w:rFonts w:hint="default"/>
        <w:lang w:val="en-US" w:eastAsia="en-US" w:bidi="ar-SA"/>
      </w:rPr>
    </w:lvl>
    <w:lvl w:ilvl="7" w:tplc="2CAC4E70">
      <w:numFmt w:val="bullet"/>
      <w:lvlText w:val="•"/>
      <w:lvlJc w:val="left"/>
      <w:pPr>
        <w:ind w:left="7530" w:hanging="360"/>
      </w:pPr>
      <w:rPr>
        <w:rFonts w:hint="default"/>
        <w:lang w:val="en-US" w:eastAsia="en-US" w:bidi="ar-SA"/>
      </w:rPr>
    </w:lvl>
    <w:lvl w:ilvl="8" w:tplc="8B662CE6">
      <w:numFmt w:val="bullet"/>
      <w:lvlText w:val="•"/>
      <w:lvlJc w:val="left"/>
      <w:pPr>
        <w:ind w:left="8320" w:hanging="360"/>
      </w:pPr>
      <w:rPr>
        <w:rFonts w:hint="default"/>
        <w:lang w:val="en-US" w:eastAsia="en-US" w:bidi="ar-SA"/>
      </w:rPr>
    </w:lvl>
  </w:abstractNum>
  <w:abstractNum w:abstractNumId="123" w15:restartNumberingAfterBreak="0">
    <w:nsid w:val="48552EC2"/>
    <w:multiLevelType w:val="hybridMultilevel"/>
    <w:tmpl w:val="1138F484"/>
    <w:lvl w:ilvl="0" w:tplc="266A32D0">
      <w:start w:val="6"/>
      <w:numFmt w:val="decimal"/>
      <w:lvlText w:val="%1."/>
      <w:lvlJc w:val="left"/>
      <w:pPr>
        <w:ind w:left="600" w:hanging="439"/>
      </w:pPr>
      <w:rPr>
        <w:rFonts w:ascii="Arial" w:eastAsia="Arial" w:hAnsi="Arial" w:cs="Arial" w:hint="default"/>
        <w:b w:val="0"/>
        <w:bCs w:val="0"/>
        <w:i w:val="0"/>
        <w:iCs w:val="0"/>
        <w:spacing w:val="0"/>
        <w:w w:val="99"/>
        <w:sz w:val="22"/>
        <w:szCs w:val="22"/>
        <w:lang w:val="en-US" w:eastAsia="en-US" w:bidi="ar-SA"/>
      </w:rPr>
    </w:lvl>
    <w:lvl w:ilvl="1" w:tplc="CBD07218">
      <w:numFmt w:val="bullet"/>
      <w:lvlText w:val=""/>
      <w:lvlJc w:val="left"/>
      <w:pPr>
        <w:ind w:left="965" w:hanging="370"/>
      </w:pPr>
      <w:rPr>
        <w:rFonts w:ascii="Symbol" w:eastAsia="Symbol" w:hAnsi="Symbol" w:cs="Symbol" w:hint="default"/>
        <w:b w:val="0"/>
        <w:bCs w:val="0"/>
        <w:i w:val="0"/>
        <w:iCs w:val="0"/>
        <w:spacing w:val="0"/>
        <w:w w:val="99"/>
        <w:sz w:val="22"/>
        <w:szCs w:val="22"/>
        <w:lang w:val="en-US" w:eastAsia="en-US" w:bidi="ar-SA"/>
      </w:rPr>
    </w:lvl>
    <w:lvl w:ilvl="2" w:tplc="5FD4B2C0">
      <w:numFmt w:val="bullet"/>
      <w:lvlText w:val="•"/>
      <w:lvlJc w:val="left"/>
      <w:pPr>
        <w:ind w:left="1622" w:hanging="370"/>
      </w:pPr>
      <w:rPr>
        <w:rFonts w:hint="default"/>
        <w:lang w:val="en-US" w:eastAsia="en-US" w:bidi="ar-SA"/>
      </w:rPr>
    </w:lvl>
    <w:lvl w:ilvl="3" w:tplc="FEC68E36">
      <w:numFmt w:val="bullet"/>
      <w:lvlText w:val="•"/>
      <w:lvlJc w:val="left"/>
      <w:pPr>
        <w:ind w:left="2285" w:hanging="370"/>
      </w:pPr>
      <w:rPr>
        <w:rFonts w:hint="default"/>
        <w:lang w:val="en-US" w:eastAsia="en-US" w:bidi="ar-SA"/>
      </w:rPr>
    </w:lvl>
    <w:lvl w:ilvl="4" w:tplc="4FEEB12E">
      <w:numFmt w:val="bullet"/>
      <w:lvlText w:val="•"/>
      <w:lvlJc w:val="left"/>
      <w:pPr>
        <w:ind w:left="2947" w:hanging="370"/>
      </w:pPr>
      <w:rPr>
        <w:rFonts w:hint="default"/>
        <w:lang w:val="en-US" w:eastAsia="en-US" w:bidi="ar-SA"/>
      </w:rPr>
    </w:lvl>
    <w:lvl w:ilvl="5" w:tplc="C2C0BE42">
      <w:numFmt w:val="bullet"/>
      <w:lvlText w:val="•"/>
      <w:lvlJc w:val="left"/>
      <w:pPr>
        <w:ind w:left="3610" w:hanging="370"/>
      </w:pPr>
      <w:rPr>
        <w:rFonts w:hint="default"/>
        <w:lang w:val="en-US" w:eastAsia="en-US" w:bidi="ar-SA"/>
      </w:rPr>
    </w:lvl>
    <w:lvl w:ilvl="6" w:tplc="78302474">
      <w:numFmt w:val="bullet"/>
      <w:lvlText w:val="•"/>
      <w:lvlJc w:val="left"/>
      <w:pPr>
        <w:ind w:left="4272" w:hanging="370"/>
      </w:pPr>
      <w:rPr>
        <w:rFonts w:hint="default"/>
        <w:lang w:val="en-US" w:eastAsia="en-US" w:bidi="ar-SA"/>
      </w:rPr>
    </w:lvl>
    <w:lvl w:ilvl="7" w:tplc="D32604A4">
      <w:numFmt w:val="bullet"/>
      <w:lvlText w:val="•"/>
      <w:lvlJc w:val="left"/>
      <w:pPr>
        <w:ind w:left="4935" w:hanging="370"/>
      </w:pPr>
      <w:rPr>
        <w:rFonts w:hint="default"/>
        <w:lang w:val="en-US" w:eastAsia="en-US" w:bidi="ar-SA"/>
      </w:rPr>
    </w:lvl>
    <w:lvl w:ilvl="8" w:tplc="77CC70FE">
      <w:numFmt w:val="bullet"/>
      <w:lvlText w:val="•"/>
      <w:lvlJc w:val="left"/>
      <w:pPr>
        <w:ind w:left="5597" w:hanging="370"/>
      </w:pPr>
      <w:rPr>
        <w:rFonts w:hint="default"/>
        <w:lang w:val="en-US" w:eastAsia="en-US" w:bidi="ar-SA"/>
      </w:rPr>
    </w:lvl>
  </w:abstractNum>
  <w:abstractNum w:abstractNumId="124" w15:restartNumberingAfterBreak="0">
    <w:nsid w:val="48BA4E89"/>
    <w:multiLevelType w:val="hybridMultilevel"/>
    <w:tmpl w:val="6A72F452"/>
    <w:lvl w:ilvl="0" w:tplc="9ABEE7BC">
      <w:start w:val="3"/>
      <w:numFmt w:val="decimal"/>
      <w:lvlText w:val="%1)"/>
      <w:lvlJc w:val="left"/>
      <w:pPr>
        <w:ind w:left="812" w:hanging="504"/>
      </w:pPr>
      <w:rPr>
        <w:rFonts w:ascii="Arial" w:eastAsia="Arial" w:hAnsi="Arial" w:cs="Arial" w:hint="default"/>
        <w:b w:val="0"/>
        <w:bCs w:val="0"/>
        <w:i w:val="0"/>
        <w:iCs w:val="0"/>
        <w:spacing w:val="0"/>
        <w:w w:val="99"/>
        <w:sz w:val="22"/>
        <w:szCs w:val="22"/>
        <w:lang w:val="en-US" w:eastAsia="en-US" w:bidi="ar-SA"/>
      </w:rPr>
    </w:lvl>
    <w:lvl w:ilvl="1" w:tplc="A080BA20">
      <w:start w:val="1"/>
      <w:numFmt w:val="lowerLetter"/>
      <w:lvlText w:val="%2)"/>
      <w:lvlJc w:val="left"/>
      <w:pPr>
        <w:ind w:left="1244" w:hanging="397"/>
      </w:pPr>
      <w:rPr>
        <w:rFonts w:ascii="Arial" w:eastAsia="Arial" w:hAnsi="Arial" w:cs="Arial" w:hint="default"/>
        <w:b w:val="0"/>
        <w:bCs w:val="0"/>
        <w:i w:val="0"/>
        <w:iCs w:val="0"/>
        <w:spacing w:val="0"/>
        <w:w w:val="99"/>
        <w:sz w:val="22"/>
        <w:szCs w:val="22"/>
        <w:lang w:val="en-US" w:eastAsia="en-US" w:bidi="ar-SA"/>
      </w:rPr>
    </w:lvl>
    <w:lvl w:ilvl="2" w:tplc="E9CE4A5A">
      <w:numFmt w:val="bullet"/>
      <w:lvlText w:val="•"/>
      <w:lvlJc w:val="left"/>
      <w:pPr>
        <w:ind w:left="1843" w:hanging="397"/>
      </w:pPr>
      <w:rPr>
        <w:rFonts w:hint="default"/>
        <w:lang w:val="en-US" w:eastAsia="en-US" w:bidi="ar-SA"/>
      </w:rPr>
    </w:lvl>
    <w:lvl w:ilvl="3" w:tplc="DF6A9B0A">
      <w:numFmt w:val="bullet"/>
      <w:lvlText w:val="•"/>
      <w:lvlJc w:val="left"/>
      <w:pPr>
        <w:ind w:left="2446" w:hanging="397"/>
      </w:pPr>
      <w:rPr>
        <w:rFonts w:hint="default"/>
        <w:lang w:val="en-US" w:eastAsia="en-US" w:bidi="ar-SA"/>
      </w:rPr>
    </w:lvl>
    <w:lvl w:ilvl="4" w:tplc="52981616">
      <w:numFmt w:val="bullet"/>
      <w:lvlText w:val="•"/>
      <w:lvlJc w:val="left"/>
      <w:pPr>
        <w:ind w:left="3049" w:hanging="397"/>
      </w:pPr>
      <w:rPr>
        <w:rFonts w:hint="default"/>
        <w:lang w:val="en-US" w:eastAsia="en-US" w:bidi="ar-SA"/>
      </w:rPr>
    </w:lvl>
    <w:lvl w:ilvl="5" w:tplc="ABF2D3D2">
      <w:numFmt w:val="bullet"/>
      <w:lvlText w:val="•"/>
      <w:lvlJc w:val="left"/>
      <w:pPr>
        <w:ind w:left="3652" w:hanging="397"/>
      </w:pPr>
      <w:rPr>
        <w:rFonts w:hint="default"/>
        <w:lang w:val="en-US" w:eastAsia="en-US" w:bidi="ar-SA"/>
      </w:rPr>
    </w:lvl>
    <w:lvl w:ilvl="6" w:tplc="A4467922">
      <w:numFmt w:val="bullet"/>
      <w:lvlText w:val="•"/>
      <w:lvlJc w:val="left"/>
      <w:pPr>
        <w:ind w:left="4255" w:hanging="397"/>
      </w:pPr>
      <w:rPr>
        <w:rFonts w:hint="default"/>
        <w:lang w:val="en-US" w:eastAsia="en-US" w:bidi="ar-SA"/>
      </w:rPr>
    </w:lvl>
    <w:lvl w:ilvl="7" w:tplc="733093C8">
      <w:numFmt w:val="bullet"/>
      <w:lvlText w:val="•"/>
      <w:lvlJc w:val="left"/>
      <w:pPr>
        <w:ind w:left="4859" w:hanging="397"/>
      </w:pPr>
      <w:rPr>
        <w:rFonts w:hint="default"/>
        <w:lang w:val="en-US" w:eastAsia="en-US" w:bidi="ar-SA"/>
      </w:rPr>
    </w:lvl>
    <w:lvl w:ilvl="8" w:tplc="CF987E10">
      <w:numFmt w:val="bullet"/>
      <w:lvlText w:val="•"/>
      <w:lvlJc w:val="left"/>
      <w:pPr>
        <w:ind w:left="5462" w:hanging="397"/>
      </w:pPr>
      <w:rPr>
        <w:rFonts w:hint="default"/>
        <w:lang w:val="en-US" w:eastAsia="en-US" w:bidi="ar-SA"/>
      </w:rPr>
    </w:lvl>
  </w:abstractNum>
  <w:abstractNum w:abstractNumId="125" w15:restartNumberingAfterBreak="0">
    <w:nsid w:val="48C16274"/>
    <w:multiLevelType w:val="hybridMultilevel"/>
    <w:tmpl w:val="9D623576"/>
    <w:lvl w:ilvl="0" w:tplc="3F422986">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1" w:tplc="5B36AF12">
      <w:numFmt w:val="bullet"/>
      <w:lvlText w:val="•"/>
      <w:lvlJc w:val="left"/>
      <w:pPr>
        <w:ind w:left="2790" w:hanging="360"/>
      </w:pPr>
      <w:rPr>
        <w:rFonts w:hint="default"/>
        <w:lang w:val="en-US" w:eastAsia="en-US" w:bidi="ar-SA"/>
      </w:rPr>
    </w:lvl>
    <w:lvl w:ilvl="2" w:tplc="B1849C50">
      <w:numFmt w:val="bullet"/>
      <w:lvlText w:val="•"/>
      <w:lvlJc w:val="left"/>
      <w:pPr>
        <w:ind w:left="3580" w:hanging="360"/>
      </w:pPr>
      <w:rPr>
        <w:rFonts w:hint="default"/>
        <w:lang w:val="en-US" w:eastAsia="en-US" w:bidi="ar-SA"/>
      </w:rPr>
    </w:lvl>
    <w:lvl w:ilvl="3" w:tplc="1E2A7A06">
      <w:numFmt w:val="bullet"/>
      <w:lvlText w:val="•"/>
      <w:lvlJc w:val="left"/>
      <w:pPr>
        <w:ind w:left="4370" w:hanging="360"/>
      </w:pPr>
      <w:rPr>
        <w:rFonts w:hint="default"/>
        <w:lang w:val="en-US" w:eastAsia="en-US" w:bidi="ar-SA"/>
      </w:rPr>
    </w:lvl>
    <w:lvl w:ilvl="4" w:tplc="BC46659A">
      <w:numFmt w:val="bullet"/>
      <w:lvlText w:val="•"/>
      <w:lvlJc w:val="left"/>
      <w:pPr>
        <w:ind w:left="5160" w:hanging="360"/>
      </w:pPr>
      <w:rPr>
        <w:rFonts w:hint="default"/>
        <w:lang w:val="en-US" w:eastAsia="en-US" w:bidi="ar-SA"/>
      </w:rPr>
    </w:lvl>
    <w:lvl w:ilvl="5" w:tplc="312A92C2">
      <w:numFmt w:val="bullet"/>
      <w:lvlText w:val="•"/>
      <w:lvlJc w:val="left"/>
      <w:pPr>
        <w:ind w:left="5950" w:hanging="360"/>
      </w:pPr>
      <w:rPr>
        <w:rFonts w:hint="default"/>
        <w:lang w:val="en-US" w:eastAsia="en-US" w:bidi="ar-SA"/>
      </w:rPr>
    </w:lvl>
    <w:lvl w:ilvl="6" w:tplc="94227FB4">
      <w:numFmt w:val="bullet"/>
      <w:lvlText w:val="•"/>
      <w:lvlJc w:val="left"/>
      <w:pPr>
        <w:ind w:left="6740" w:hanging="360"/>
      </w:pPr>
      <w:rPr>
        <w:rFonts w:hint="default"/>
        <w:lang w:val="en-US" w:eastAsia="en-US" w:bidi="ar-SA"/>
      </w:rPr>
    </w:lvl>
    <w:lvl w:ilvl="7" w:tplc="920C5860">
      <w:numFmt w:val="bullet"/>
      <w:lvlText w:val="•"/>
      <w:lvlJc w:val="left"/>
      <w:pPr>
        <w:ind w:left="7530" w:hanging="360"/>
      </w:pPr>
      <w:rPr>
        <w:rFonts w:hint="default"/>
        <w:lang w:val="en-US" w:eastAsia="en-US" w:bidi="ar-SA"/>
      </w:rPr>
    </w:lvl>
    <w:lvl w:ilvl="8" w:tplc="EBBE56F8">
      <w:numFmt w:val="bullet"/>
      <w:lvlText w:val="•"/>
      <w:lvlJc w:val="left"/>
      <w:pPr>
        <w:ind w:left="8320" w:hanging="360"/>
      </w:pPr>
      <w:rPr>
        <w:rFonts w:hint="default"/>
        <w:lang w:val="en-US" w:eastAsia="en-US" w:bidi="ar-SA"/>
      </w:rPr>
    </w:lvl>
  </w:abstractNum>
  <w:abstractNum w:abstractNumId="126" w15:restartNumberingAfterBreak="0">
    <w:nsid w:val="48DA09B0"/>
    <w:multiLevelType w:val="hybridMultilevel"/>
    <w:tmpl w:val="B57625E4"/>
    <w:lvl w:ilvl="0" w:tplc="241C9E2A">
      <w:start w:val="1"/>
      <w:numFmt w:val="decimalZero"/>
      <w:lvlText w:val=".%1"/>
      <w:lvlJc w:val="left"/>
      <w:pPr>
        <w:ind w:left="1859" w:hanging="720"/>
      </w:pPr>
      <w:rPr>
        <w:rFonts w:ascii="Arial" w:eastAsia="Arial" w:hAnsi="Arial" w:cs="Arial" w:hint="default"/>
        <w:b w:val="0"/>
        <w:bCs w:val="0"/>
        <w:i w:val="0"/>
        <w:iCs w:val="0"/>
        <w:spacing w:val="0"/>
        <w:w w:val="99"/>
        <w:sz w:val="22"/>
        <w:szCs w:val="22"/>
        <w:lang w:val="en-US" w:eastAsia="en-US" w:bidi="ar-SA"/>
      </w:rPr>
    </w:lvl>
    <w:lvl w:ilvl="1" w:tplc="4F5CEE66">
      <w:numFmt w:val="bullet"/>
      <w:lvlText w:val=""/>
      <w:lvlJc w:val="left"/>
      <w:pPr>
        <w:ind w:left="2220" w:hanging="360"/>
      </w:pPr>
      <w:rPr>
        <w:rFonts w:ascii="Symbol" w:eastAsia="Symbol" w:hAnsi="Symbol" w:cs="Symbol" w:hint="default"/>
        <w:b w:val="0"/>
        <w:bCs w:val="0"/>
        <w:i w:val="0"/>
        <w:iCs w:val="0"/>
        <w:spacing w:val="0"/>
        <w:w w:val="99"/>
        <w:sz w:val="22"/>
        <w:szCs w:val="22"/>
        <w:lang w:val="en-US" w:eastAsia="en-US" w:bidi="ar-SA"/>
      </w:rPr>
    </w:lvl>
    <w:lvl w:ilvl="2" w:tplc="807C9DA6">
      <w:numFmt w:val="bullet"/>
      <w:lvlText w:val="•"/>
      <w:lvlJc w:val="left"/>
      <w:pPr>
        <w:ind w:left="3115" w:hanging="360"/>
      </w:pPr>
      <w:rPr>
        <w:rFonts w:hint="default"/>
        <w:lang w:val="en-US" w:eastAsia="en-US" w:bidi="ar-SA"/>
      </w:rPr>
    </w:lvl>
    <w:lvl w:ilvl="3" w:tplc="744E7918">
      <w:numFmt w:val="bullet"/>
      <w:lvlText w:val="•"/>
      <w:lvlJc w:val="left"/>
      <w:pPr>
        <w:ind w:left="4011" w:hanging="360"/>
      </w:pPr>
      <w:rPr>
        <w:rFonts w:hint="default"/>
        <w:lang w:val="en-US" w:eastAsia="en-US" w:bidi="ar-SA"/>
      </w:rPr>
    </w:lvl>
    <w:lvl w:ilvl="4" w:tplc="F26A7AD2">
      <w:numFmt w:val="bullet"/>
      <w:lvlText w:val="•"/>
      <w:lvlJc w:val="left"/>
      <w:pPr>
        <w:ind w:left="4906" w:hanging="360"/>
      </w:pPr>
      <w:rPr>
        <w:rFonts w:hint="default"/>
        <w:lang w:val="en-US" w:eastAsia="en-US" w:bidi="ar-SA"/>
      </w:rPr>
    </w:lvl>
    <w:lvl w:ilvl="5" w:tplc="35E8500C">
      <w:numFmt w:val="bullet"/>
      <w:lvlText w:val="•"/>
      <w:lvlJc w:val="left"/>
      <w:pPr>
        <w:ind w:left="5802" w:hanging="360"/>
      </w:pPr>
      <w:rPr>
        <w:rFonts w:hint="default"/>
        <w:lang w:val="en-US" w:eastAsia="en-US" w:bidi="ar-SA"/>
      </w:rPr>
    </w:lvl>
    <w:lvl w:ilvl="6" w:tplc="2BC80070">
      <w:numFmt w:val="bullet"/>
      <w:lvlText w:val="•"/>
      <w:lvlJc w:val="left"/>
      <w:pPr>
        <w:ind w:left="6697" w:hanging="360"/>
      </w:pPr>
      <w:rPr>
        <w:rFonts w:hint="default"/>
        <w:lang w:val="en-US" w:eastAsia="en-US" w:bidi="ar-SA"/>
      </w:rPr>
    </w:lvl>
    <w:lvl w:ilvl="7" w:tplc="26D406EA">
      <w:numFmt w:val="bullet"/>
      <w:lvlText w:val="•"/>
      <w:lvlJc w:val="left"/>
      <w:pPr>
        <w:ind w:left="7593" w:hanging="360"/>
      </w:pPr>
      <w:rPr>
        <w:rFonts w:hint="default"/>
        <w:lang w:val="en-US" w:eastAsia="en-US" w:bidi="ar-SA"/>
      </w:rPr>
    </w:lvl>
    <w:lvl w:ilvl="8" w:tplc="88081D5E">
      <w:numFmt w:val="bullet"/>
      <w:lvlText w:val="•"/>
      <w:lvlJc w:val="left"/>
      <w:pPr>
        <w:ind w:left="8488" w:hanging="360"/>
      </w:pPr>
      <w:rPr>
        <w:rFonts w:hint="default"/>
        <w:lang w:val="en-US" w:eastAsia="en-US" w:bidi="ar-SA"/>
      </w:rPr>
    </w:lvl>
  </w:abstractNum>
  <w:abstractNum w:abstractNumId="127" w15:restartNumberingAfterBreak="0">
    <w:nsid w:val="4993479B"/>
    <w:multiLevelType w:val="hybridMultilevel"/>
    <w:tmpl w:val="A5BA5714"/>
    <w:lvl w:ilvl="0" w:tplc="163AF63C">
      <w:start w:val="1"/>
      <w:numFmt w:val="decimal"/>
      <w:lvlText w:val="%1)"/>
      <w:lvlJc w:val="left"/>
      <w:pPr>
        <w:ind w:left="682" w:hanging="575"/>
      </w:pPr>
      <w:rPr>
        <w:rFonts w:ascii="Arial" w:eastAsia="Arial" w:hAnsi="Arial" w:cs="Arial" w:hint="default"/>
        <w:b w:val="0"/>
        <w:bCs w:val="0"/>
        <w:i w:val="0"/>
        <w:iCs w:val="0"/>
        <w:spacing w:val="0"/>
        <w:w w:val="99"/>
        <w:sz w:val="22"/>
        <w:szCs w:val="22"/>
        <w:lang w:val="en-US" w:eastAsia="en-US" w:bidi="ar-SA"/>
      </w:rPr>
    </w:lvl>
    <w:lvl w:ilvl="1" w:tplc="0EDC4BEC">
      <w:numFmt w:val="bullet"/>
      <w:lvlText w:val=""/>
      <w:lvlJc w:val="left"/>
      <w:pPr>
        <w:ind w:left="1188" w:hanging="360"/>
      </w:pPr>
      <w:rPr>
        <w:rFonts w:ascii="Symbol" w:eastAsia="Symbol" w:hAnsi="Symbol" w:cs="Symbol" w:hint="default"/>
        <w:b w:val="0"/>
        <w:bCs w:val="0"/>
        <w:i w:val="0"/>
        <w:iCs w:val="0"/>
        <w:spacing w:val="0"/>
        <w:w w:val="99"/>
        <w:sz w:val="22"/>
        <w:szCs w:val="22"/>
        <w:lang w:val="en-US" w:eastAsia="en-US" w:bidi="ar-SA"/>
      </w:rPr>
    </w:lvl>
    <w:lvl w:ilvl="2" w:tplc="2A50CE6E">
      <w:numFmt w:val="bullet"/>
      <w:lvlText w:val="•"/>
      <w:lvlJc w:val="left"/>
      <w:pPr>
        <w:ind w:left="1817" w:hanging="360"/>
      </w:pPr>
      <w:rPr>
        <w:rFonts w:hint="default"/>
        <w:lang w:val="en-US" w:eastAsia="en-US" w:bidi="ar-SA"/>
      </w:rPr>
    </w:lvl>
    <w:lvl w:ilvl="3" w:tplc="0F18700E">
      <w:numFmt w:val="bullet"/>
      <w:lvlText w:val="•"/>
      <w:lvlJc w:val="left"/>
      <w:pPr>
        <w:ind w:left="2455" w:hanging="360"/>
      </w:pPr>
      <w:rPr>
        <w:rFonts w:hint="default"/>
        <w:lang w:val="en-US" w:eastAsia="en-US" w:bidi="ar-SA"/>
      </w:rPr>
    </w:lvl>
    <w:lvl w:ilvl="4" w:tplc="6658B56E">
      <w:numFmt w:val="bullet"/>
      <w:lvlText w:val="•"/>
      <w:lvlJc w:val="left"/>
      <w:pPr>
        <w:ind w:left="3093" w:hanging="360"/>
      </w:pPr>
      <w:rPr>
        <w:rFonts w:hint="default"/>
        <w:lang w:val="en-US" w:eastAsia="en-US" w:bidi="ar-SA"/>
      </w:rPr>
    </w:lvl>
    <w:lvl w:ilvl="5" w:tplc="AAB45F86">
      <w:numFmt w:val="bullet"/>
      <w:lvlText w:val="•"/>
      <w:lvlJc w:val="left"/>
      <w:pPr>
        <w:ind w:left="3731" w:hanging="360"/>
      </w:pPr>
      <w:rPr>
        <w:rFonts w:hint="default"/>
        <w:lang w:val="en-US" w:eastAsia="en-US" w:bidi="ar-SA"/>
      </w:rPr>
    </w:lvl>
    <w:lvl w:ilvl="6" w:tplc="18804408">
      <w:numFmt w:val="bullet"/>
      <w:lvlText w:val="•"/>
      <w:lvlJc w:val="left"/>
      <w:pPr>
        <w:ind w:left="4368" w:hanging="360"/>
      </w:pPr>
      <w:rPr>
        <w:rFonts w:hint="default"/>
        <w:lang w:val="en-US" w:eastAsia="en-US" w:bidi="ar-SA"/>
      </w:rPr>
    </w:lvl>
    <w:lvl w:ilvl="7" w:tplc="3E1E8938">
      <w:numFmt w:val="bullet"/>
      <w:lvlText w:val="•"/>
      <w:lvlJc w:val="left"/>
      <w:pPr>
        <w:ind w:left="5006" w:hanging="360"/>
      </w:pPr>
      <w:rPr>
        <w:rFonts w:hint="default"/>
        <w:lang w:val="en-US" w:eastAsia="en-US" w:bidi="ar-SA"/>
      </w:rPr>
    </w:lvl>
    <w:lvl w:ilvl="8" w:tplc="A91896DA">
      <w:numFmt w:val="bullet"/>
      <w:lvlText w:val="•"/>
      <w:lvlJc w:val="left"/>
      <w:pPr>
        <w:ind w:left="5644" w:hanging="360"/>
      </w:pPr>
      <w:rPr>
        <w:rFonts w:hint="default"/>
        <w:lang w:val="en-US" w:eastAsia="en-US" w:bidi="ar-SA"/>
      </w:rPr>
    </w:lvl>
  </w:abstractNum>
  <w:abstractNum w:abstractNumId="128" w15:restartNumberingAfterBreak="0">
    <w:nsid w:val="499A5079"/>
    <w:multiLevelType w:val="hybridMultilevel"/>
    <w:tmpl w:val="DA709332"/>
    <w:lvl w:ilvl="0" w:tplc="48AAF122">
      <w:start w:val="1"/>
      <w:numFmt w:val="lowerLetter"/>
      <w:lvlText w:val="(%1)"/>
      <w:lvlJc w:val="left"/>
      <w:pPr>
        <w:ind w:left="1640" w:hanging="331"/>
      </w:pPr>
      <w:rPr>
        <w:rFonts w:ascii="Arial" w:eastAsia="Arial" w:hAnsi="Arial" w:cs="Arial" w:hint="default"/>
        <w:b w:val="0"/>
        <w:bCs w:val="0"/>
        <w:i w:val="0"/>
        <w:iCs w:val="0"/>
        <w:spacing w:val="-1"/>
        <w:w w:val="99"/>
        <w:sz w:val="22"/>
        <w:szCs w:val="22"/>
        <w:lang w:val="en-US" w:eastAsia="en-US" w:bidi="ar-SA"/>
      </w:rPr>
    </w:lvl>
    <w:lvl w:ilvl="1" w:tplc="646C0ACA">
      <w:numFmt w:val="bullet"/>
      <w:lvlText w:val="•"/>
      <w:lvlJc w:val="left"/>
      <w:pPr>
        <w:ind w:left="2466" w:hanging="331"/>
      </w:pPr>
      <w:rPr>
        <w:rFonts w:hint="default"/>
        <w:lang w:val="en-US" w:eastAsia="en-US" w:bidi="ar-SA"/>
      </w:rPr>
    </w:lvl>
    <w:lvl w:ilvl="2" w:tplc="61100822">
      <w:numFmt w:val="bullet"/>
      <w:lvlText w:val="•"/>
      <w:lvlJc w:val="left"/>
      <w:pPr>
        <w:ind w:left="3292" w:hanging="331"/>
      </w:pPr>
      <w:rPr>
        <w:rFonts w:hint="default"/>
        <w:lang w:val="en-US" w:eastAsia="en-US" w:bidi="ar-SA"/>
      </w:rPr>
    </w:lvl>
    <w:lvl w:ilvl="3" w:tplc="3B860CDE">
      <w:numFmt w:val="bullet"/>
      <w:lvlText w:val="•"/>
      <w:lvlJc w:val="left"/>
      <w:pPr>
        <w:ind w:left="4118" w:hanging="331"/>
      </w:pPr>
      <w:rPr>
        <w:rFonts w:hint="default"/>
        <w:lang w:val="en-US" w:eastAsia="en-US" w:bidi="ar-SA"/>
      </w:rPr>
    </w:lvl>
    <w:lvl w:ilvl="4" w:tplc="0C4891D6">
      <w:numFmt w:val="bullet"/>
      <w:lvlText w:val="•"/>
      <w:lvlJc w:val="left"/>
      <w:pPr>
        <w:ind w:left="4944" w:hanging="331"/>
      </w:pPr>
      <w:rPr>
        <w:rFonts w:hint="default"/>
        <w:lang w:val="en-US" w:eastAsia="en-US" w:bidi="ar-SA"/>
      </w:rPr>
    </w:lvl>
    <w:lvl w:ilvl="5" w:tplc="2F5AE612">
      <w:numFmt w:val="bullet"/>
      <w:lvlText w:val="•"/>
      <w:lvlJc w:val="left"/>
      <w:pPr>
        <w:ind w:left="5770" w:hanging="331"/>
      </w:pPr>
      <w:rPr>
        <w:rFonts w:hint="default"/>
        <w:lang w:val="en-US" w:eastAsia="en-US" w:bidi="ar-SA"/>
      </w:rPr>
    </w:lvl>
    <w:lvl w:ilvl="6" w:tplc="EC3A204C">
      <w:numFmt w:val="bullet"/>
      <w:lvlText w:val="•"/>
      <w:lvlJc w:val="left"/>
      <w:pPr>
        <w:ind w:left="6596" w:hanging="331"/>
      </w:pPr>
      <w:rPr>
        <w:rFonts w:hint="default"/>
        <w:lang w:val="en-US" w:eastAsia="en-US" w:bidi="ar-SA"/>
      </w:rPr>
    </w:lvl>
    <w:lvl w:ilvl="7" w:tplc="4A66BCF6">
      <w:numFmt w:val="bullet"/>
      <w:lvlText w:val="•"/>
      <w:lvlJc w:val="left"/>
      <w:pPr>
        <w:ind w:left="7422" w:hanging="331"/>
      </w:pPr>
      <w:rPr>
        <w:rFonts w:hint="default"/>
        <w:lang w:val="en-US" w:eastAsia="en-US" w:bidi="ar-SA"/>
      </w:rPr>
    </w:lvl>
    <w:lvl w:ilvl="8" w:tplc="9E80FC60">
      <w:numFmt w:val="bullet"/>
      <w:lvlText w:val="•"/>
      <w:lvlJc w:val="left"/>
      <w:pPr>
        <w:ind w:left="8248" w:hanging="331"/>
      </w:pPr>
      <w:rPr>
        <w:rFonts w:hint="default"/>
        <w:lang w:val="en-US" w:eastAsia="en-US" w:bidi="ar-SA"/>
      </w:rPr>
    </w:lvl>
  </w:abstractNum>
  <w:abstractNum w:abstractNumId="129" w15:restartNumberingAfterBreak="0">
    <w:nsid w:val="499C3040"/>
    <w:multiLevelType w:val="hybridMultilevel"/>
    <w:tmpl w:val="A36A8C98"/>
    <w:lvl w:ilvl="0" w:tplc="0E02C3A4">
      <w:numFmt w:val="bullet"/>
      <w:lvlText w:val=""/>
      <w:lvlJc w:val="left"/>
      <w:pPr>
        <w:ind w:left="1999" w:hanging="360"/>
      </w:pPr>
      <w:rPr>
        <w:rFonts w:ascii="Symbol" w:eastAsia="Symbol" w:hAnsi="Symbol" w:cs="Symbol" w:hint="default"/>
        <w:b w:val="0"/>
        <w:bCs w:val="0"/>
        <w:i w:val="0"/>
        <w:iCs w:val="0"/>
        <w:spacing w:val="0"/>
        <w:w w:val="99"/>
        <w:sz w:val="22"/>
        <w:szCs w:val="22"/>
        <w:lang w:val="en-US" w:eastAsia="en-US" w:bidi="ar-SA"/>
      </w:rPr>
    </w:lvl>
    <w:lvl w:ilvl="1" w:tplc="0D060C9C">
      <w:numFmt w:val="bullet"/>
      <w:lvlText w:val="•"/>
      <w:lvlJc w:val="left"/>
      <w:pPr>
        <w:ind w:left="2790" w:hanging="360"/>
      </w:pPr>
      <w:rPr>
        <w:rFonts w:hint="default"/>
        <w:lang w:val="en-US" w:eastAsia="en-US" w:bidi="ar-SA"/>
      </w:rPr>
    </w:lvl>
    <w:lvl w:ilvl="2" w:tplc="3710B00E">
      <w:numFmt w:val="bullet"/>
      <w:lvlText w:val="•"/>
      <w:lvlJc w:val="left"/>
      <w:pPr>
        <w:ind w:left="3580" w:hanging="360"/>
      </w:pPr>
      <w:rPr>
        <w:rFonts w:hint="default"/>
        <w:lang w:val="en-US" w:eastAsia="en-US" w:bidi="ar-SA"/>
      </w:rPr>
    </w:lvl>
    <w:lvl w:ilvl="3" w:tplc="B20AC1A2">
      <w:numFmt w:val="bullet"/>
      <w:lvlText w:val="•"/>
      <w:lvlJc w:val="left"/>
      <w:pPr>
        <w:ind w:left="4370" w:hanging="360"/>
      </w:pPr>
      <w:rPr>
        <w:rFonts w:hint="default"/>
        <w:lang w:val="en-US" w:eastAsia="en-US" w:bidi="ar-SA"/>
      </w:rPr>
    </w:lvl>
    <w:lvl w:ilvl="4" w:tplc="1AB6160A">
      <w:numFmt w:val="bullet"/>
      <w:lvlText w:val="•"/>
      <w:lvlJc w:val="left"/>
      <w:pPr>
        <w:ind w:left="5160" w:hanging="360"/>
      </w:pPr>
      <w:rPr>
        <w:rFonts w:hint="default"/>
        <w:lang w:val="en-US" w:eastAsia="en-US" w:bidi="ar-SA"/>
      </w:rPr>
    </w:lvl>
    <w:lvl w:ilvl="5" w:tplc="D744EE62">
      <w:numFmt w:val="bullet"/>
      <w:lvlText w:val="•"/>
      <w:lvlJc w:val="left"/>
      <w:pPr>
        <w:ind w:left="5950" w:hanging="360"/>
      </w:pPr>
      <w:rPr>
        <w:rFonts w:hint="default"/>
        <w:lang w:val="en-US" w:eastAsia="en-US" w:bidi="ar-SA"/>
      </w:rPr>
    </w:lvl>
    <w:lvl w:ilvl="6" w:tplc="A6020EDE">
      <w:numFmt w:val="bullet"/>
      <w:lvlText w:val="•"/>
      <w:lvlJc w:val="left"/>
      <w:pPr>
        <w:ind w:left="6740" w:hanging="360"/>
      </w:pPr>
      <w:rPr>
        <w:rFonts w:hint="default"/>
        <w:lang w:val="en-US" w:eastAsia="en-US" w:bidi="ar-SA"/>
      </w:rPr>
    </w:lvl>
    <w:lvl w:ilvl="7" w:tplc="B91AB64A">
      <w:numFmt w:val="bullet"/>
      <w:lvlText w:val="•"/>
      <w:lvlJc w:val="left"/>
      <w:pPr>
        <w:ind w:left="7530" w:hanging="360"/>
      </w:pPr>
      <w:rPr>
        <w:rFonts w:hint="default"/>
        <w:lang w:val="en-US" w:eastAsia="en-US" w:bidi="ar-SA"/>
      </w:rPr>
    </w:lvl>
    <w:lvl w:ilvl="8" w:tplc="B294503E">
      <w:numFmt w:val="bullet"/>
      <w:lvlText w:val="•"/>
      <w:lvlJc w:val="left"/>
      <w:pPr>
        <w:ind w:left="8320" w:hanging="360"/>
      </w:pPr>
      <w:rPr>
        <w:rFonts w:hint="default"/>
        <w:lang w:val="en-US" w:eastAsia="en-US" w:bidi="ar-SA"/>
      </w:rPr>
    </w:lvl>
  </w:abstractNum>
  <w:abstractNum w:abstractNumId="130" w15:restartNumberingAfterBreak="0">
    <w:nsid w:val="4B5E08C3"/>
    <w:multiLevelType w:val="hybridMultilevel"/>
    <w:tmpl w:val="B6823A34"/>
    <w:lvl w:ilvl="0" w:tplc="64DCDAA4">
      <w:start w:val="5"/>
      <w:numFmt w:val="decimal"/>
      <w:lvlText w:val="%1."/>
      <w:lvlJc w:val="left"/>
      <w:pPr>
        <w:ind w:left="497" w:hanging="361"/>
      </w:pPr>
      <w:rPr>
        <w:rFonts w:ascii="Arial" w:eastAsia="Arial" w:hAnsi="Arial" w:cs="Arial" w:hint="default"/>
        <w:b w:val="0"/>
        <w:bCs w:val="0"/>
        <w:i w:val="0"/>
        <w:iCs w:val="0"/>
        <w:spacing w:val="0"/>
        <w:w w:val="99"/>
        <w:sz w:val="22"/>
        <w:szCs w:val="22"/>
        <w:lang w:val="en-US" w:eastAsia="en-US" w:bidi="ar-SA"/>
      </w:rPr>
    </w:lvl>
    <w:lvl w:ilvl="1" w:tplc="71C627E8">
      <w:start w:val="1"/>
      <w:numFmt w:val="lowerLetter"/>
      <w:lvlText w:val="%2."/>
      <w:lvlJc w:val="left"/>
      <w:pPr>
        <w:ind w:left="929" w:hanging="361"/>
      </w:pPr>
      <w:rPr>
        <w:rFonts w:ascii="Arial" w:eastAsia="Arial" w:hAnsi="Arial" w:cs="Arial" w:hint="default"/>
        <w:b w:val="0"/>
        <w:bCs w:val="0"/>
        <w:i w:val="0"/>
        <w:iCs w:val="0"/>
        <w:spacing w:val="0"/>
        <w:w w:val="99"/>
        <w:sz w:val="22"/>
        <w:szCs w:val="22"/>
        <w:lang w:val="en-US" w:eastAsia="en-US" w:bidi="ar-SA"/>
      </w:rPr>
    </w:lvl>
    <w:lvl w:ilvl="2" w:tplc="50960542">
      <w:numFmt w:val="bullet"/>
      <w:lvlText w:val="•"/>
      <w:lvlJc w:val="left"/>
      <w:pPr>
        <w:ind w:left="1595" w:hanging="361"/>
      </w:pPr>
      <w:rPr>
        <w:rFonts w:hint="default"/>
        <w:lang w:val="en-US" w:eastAsia="en-US" w:bidi="ar-SA"/>
      </w:rPr>
    </w:lvl>
    <w:lvl w:ilvl="3" w:tplc="0CC40ACA">
      <w:numFmt w:val="bullet"/>
      <w:lvlText w:val="•"/>
      <w:lvlJc w:val="left"/>
      <w:pPr>
        <w:ind w:left="2270" w:hanging="361"/>
      </w:pPr>
      <w:rPr>
        <w:rFonts w:hint="default"/>
        <w:lang w:val="en-US" w:eastAsia="en-US" w:bidi="ar-SA"/>
      </w:rPr>
    </w:lvl>
    <w:lvl w:ilvl="4" w:tplc="3DEAABAA">
      <w:numFmt w:val="bullet"/>
      <w:lvlText w:val="•"/>
      <w:lvlJc w:val="left"/>
      <w:pPr>
        <w:ind w:left="2946" w:hanging="361"/>
      </w:pPr>
      <w:rPr>
        <w:rFonts w:hint="default"/>
        <w:lang w:val="en-US" w:eastAsia="en-US" w:bidi="ar-SA"/>
      </w:rPr>
    </w:lvl>
    <w:lvl w:ilvl="5" w:tplc="4650F6D0">
      <w:numFmt w:val="bullet"/>
      <w:lvlText w:val="•"/>
      <w:lvlJc w:val="left"/>
      <w:pPr>
        <w:ind w:left="3621" w:hanging="361"/>
      </w:pPr>
      <w:rPr>
        <w:rFonts w:hint="default"/>
        <w:lang w:val="en-US" w:eastAsia="en-US" w:bidi="ar-SA"/>
      </w:rPr>
    </w:lvl>
    <w:lvl w:ilvl="6" w:tplc="26ACEDCA">
      <w:numFmt w:val="bullet"/>
      <w:lvlText w:val="•"/>
      <w:lvlJc w:val="left"/>
      <w:pPr>
        <w:ind w:left="4296" w:hanging="361"/>
      </w:pPr>
      <w:rPr>
        <w:rFonts w:hint="default"/>
        <w:lang w:val="en-US" w:eastAsia="en-US" w:bidi="ar-SA"/>
      </w:rPr>
    </w:lvl>
    <w:lvl w:ilvl="7" w:tplc="038A370C">
      <w:numFmt w:val="bullet"/>
      <w:lvlText w:val="•"/>
      <w:lvlJc w:val="left"/>
      <w:pPr>
        <w:ind w:left="4972" w:hanging="361"/>
      </w:pPr>
      <w:rPr>
        <w:rFonts w:hint="default"/>
        <w:lang w:val="en-US" w:eastAsia="en-US" w:bidi="ar-SA"/>
      </w:rPr>
    </w:lvl>
    <w:lvl w:ilvl="8" w:tplc="402ADF70">
      <w:numFmt w:val="bullet"/>
      <w:lvlText w:val="•"/>
      <w:lvlJc w:val="left"/>
      <w:pPr>
        <w:ind w:left="5647" w:hanging="361"/>
      </w:pPr>
      <w:rPr>
        <w:rFonts w:hint="default"/>
        <w:lang w:val="en-US" w:eastAsia="en-US" w:bidi="ar-SA"/>
      </w:rPr>
    </w:lvl>
  </w:abstractNum>
  <w:abstractNum w:abstractNumId="131" w15:restartNumberingAfterBreak="0">
    <w:nsid w:val="4B973227"/>
    <w:multiLevelType w:val="hybridMultilevel"/>
    <w:tmpl w:val="9E00054E"/>
    <w:lvl w:ilvl="0" w:tplc="E0A0D7D2">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1" w:tplc="4A449802">
      <w:numFmt w:val="bullet"/>
      <w:lvlText w:val="•"/>
      <w:lvlJc w:val="left"/>
      <w:pPr>
        <w:ind w:left="2790" w:hanging="360"/>
      </w:pPr>
      <w:rPr>
        <w:rFonts w:hint="default"/>
        <w:lang w:val="en-US" w:eastAsia="en-US" w:bidi="ar-SA"/>
      </w:rPr>
    </w:lvl>
    <w:lvl w:ilvl="2" w:tplc="1F88EA60">
      <w:numFmt w:val="bullet"/>
      <w:lvlText w:val="•"/>
      <w:lvlJc w:val="left"/>
      <w:pPr>
        <w:ind w:left="3580" w:hanging="360"/>
      </w:pPr>
      <w:rPr>
        <w:rFonts w:hint="default"/>
        <w:lang w:val="en-US" w:eastAsia="en-US" w:bidi="ar-SA"/>
      </w:rPr>
    </w:lvl>
    <w:lvl w:ilvl="3" w:tplc="2528DFC6">
      <w:numFmt w:val="bullet"/>
      <w:lvlText w:val="•"/>
      <w:lvlJc w:val="left"/>
      <w:pPr>
        <w:ind w:left="4370" w:hanging="360"/>
      </w:pPr>
      <w:rPr>
        <w:rFonts w:hint="default"/>
        <w:lang w:val="en-US" w:eastAsia="en-US" w:bidi="ar-SA"/>
      </w:rPr>
    </w:lvl>
    <w:lvl w:ilvl="4" w:tplc="31CE0A7E">
      <w:numFmt w:val="bullet"/>
      <w:lvlText w:val="•"/>
      <w:lvlJc w:val="left"/>
      <w:pPr>
        <w:ind w:left="5160" w:hanging="360"/>
      </w:pPr>
      <w:rPr>
        <w:rFonts w:hint="default"/>
        <w:lang w:val="en-US" w:eastAsia="en-US" w:bidi="ar-SA"/>
      </w:rPr>
    </w:lvl>
    <w:lvl w:ilvl="5" w:tplc="DDF0CF44">
      <w:numFmt w:val="bullet"/>
      <w:lvlText w:val="•"/>
      <w:lvlJc w:val="left"/>
      <w:pPr>
        <w:ind w:left="5950" w:hanging="360"/>
      </w:pPr>
      <w:rPr>
        <w:rFonts w:hint="default"/>
        <w:lang w:val="en-US" w:eastAsia="en-US" w:bidi="ar-SA"/>
      </w:rPr>
    </w:lvl>
    <w:lvl w:ilvl="6" w:tplc="E9BA1714">
      <w:numFmt w:val="bullet"/>
      <w:lvlText w:val="•"/>
      <w:lvlJc w:val="left"/>
      <w:pPr>
        <w:ind w:left="6740" w:hanging="360"/>
      </w:pPr>
      <w:rPr>
        <w:rFonts w:hint="default"/>
        <w:lang w:val="en-US" w:eastAsia="en-US" w:bidi="ar-SA"/>
      </w:rPr>
    </w:lvl>
    <w:lvl w:ilvl="7" w:tplc="D1BA4B2A">
      <w:numFmt w:val="bullet"/>
      <w:lvlText w:val="•"/>
      <w:lvlJc w:val="left"/>
      <w:pPr>
        <w:ind w:left="7530" w:hanging="360"/>
      </w:pPr>
      <w:rPr>
        <w:rFonts w:hint="default"/>
        <w:lang w:val="en-US" w:eastAsia="en-US" w:bidi="ar-SA"/>
      </w:rPr>
    </w:lvl>
    <w:lvl w:ilvl="8" w:tplc="D7C65922">
      <w:numFmt w:val="bullet"/>
      <w:lvlText w:val="•"/>
      <w:lvlJc w:val="left"/>
      <w:pPr>
        <w:ind w:left="8320" w:hanging="360"/>
      </w:pPr>
      <w:rPr>
        <w:rFonts w:hint="default"/>
        <w:lang w:val="en-US" w:eastAsia="en-US" w:bidi="ar-SA"/>
      </w:rPr>
    </w:lvl>
  </w:abstractNum>
  <w:abstractNum w:abstractNumId="132" w15:restartNumberingAfterBreak="0">
    <w:nsid w:val="4EF12E15"/>
    <w:multiLevelType w:val="hybridMultilevel"/>
    <w:tmpl w:val="23C8F66C"/>
    <w:lvl w:ilvl="0" w:tplc="461AAFC2">
      <w:numFmt w:val="bullet"/>
      <w:lvlText w:val=""/>
      <w:lvlJc w:val="left"/>
      <w:pPr>
        <w:ind w:left="485" w:hanging="360"/>
      </w:pPr>
      <w:rPr>
        <w:rFonts w:ascii="Symbol" w:eastAsia="Symbol" w:hAnsi="Symbol" w:cs="Symbol" w:hint="default"/>
        <w:b w:val="0"/>
        <w:bCs w:val="0"/>
        <w:i w:val="0"/>
        <w:iCs w:val="0"/>
        <w:spacing w:val="0"/>
        <w:w w:val="99"/>
        <w:sz w:val="22"/>
        <w:szCs w:val="22"/>
        <w:lang w:val="en-US" w:eastAsia="en-US" w:bidi="ar-SA"/>
      </w:rPr>
    </w:lvl>
    <w:lvl w:ilvl="1" w:tplc="5204EE5A">
      <w:numFmt w:val="bullet"/>
      <w:lvlText w:val="•"/>
      <w:lvlJc w:val="left"/>
      <w:pPr>
        <w:ind w:left="1354" w:hanging="360"/>
      </w:pPr>
      <w:rPr>
        <w:rFonts w:hint="default"/>
        <w:lang w:val="en-US" w:eastAsia="en-US" w:bidi="ar-SA"/>
      </w:rPr>
    </w:lvl>
    <w:lvl w:ilvl="2" w:tplc="880498CC">
      <w:numFmt w:val="bullet"/>
      <w:lvlText w:val="•"/>
      <w:lvlJc w:val="left"/>
      <w:pPr>
        <w:ind w:left="2229" w:hanging="360"/>
      </w:pPr>
      <w:rPr>
        <w:rFonts w:hint="default"/>
        <w:lang w:val="en-US" w:eastAsia="en-US" w:bidi="ar-SA"/>
      </w:rPr>
    </w:lvl>
    <w:lvl w:ilvl="3" w:tplc="6942A1BC">
      <w:numFmt w:val="bullet"/>
      <w:lvlText w:val="•"/>
      <w:lvlJc w:val="left"/>
      <w:pPr>
        <w:ind w:left="3103" w:hanging="360"/>
      </w:pPr>
      <w:rPr>
        <w:rFonts w:hint="default"/>
        <w:lang w:val="en-US" w:eastAsia="en-US" w:bidi="ar-SA"/>
      </w:rPr>
    </w:lvl>
    <w:lvl w:ilvl="4" w:tplc="1BA8631C">
      <w:numFmt w:val="bullet"/>
      <w:lvlText w:val="•"/>
      <w:lvlJc w:val="left"/>
      <w:pPr>
        <w:ind w:left="3978" w:hanging="360"/>
      </w:pPr>
      <w:rPr>
        <w:rFonts w:hint="default"/>
        <w:lang w:val="en-US" w:eastAsia="en-US" w:bidi="ar-SA"/>
      </w:rPr>
    </w:lvl>
    <w:lvl w:ilvl="5" w:tplc="9B6E4D64">
      <w:numFmt w:val="bullet"/>
      <w:lvlText w:val="•"/>
      <w:lvlJc w:val="left"/>
      <w:pPr>
        <w:ind w:left="4852" w:hanging="360"/>
      </w:pPr>
      <w:rPr>
        <w:rFonts w:hint="default"/>
        <w:lang w:val="en-US" w:eastAsia="en-US" w:bidi="ar-SA"/>
      </w:rPr>
    </w:lvl>
    <w:lvl w:ilvl="6" w:tplc="46CEBE38">
      <w:numFmt w:val="bullet"/>
      <w:lvlText w:val="•"/>
      <w:lvlJc w:val="left"/>
      <w:pPr>
        <w:ind w:left="5727" w:hanging="360"/>
      </w:pPr>
      <w:rPr>
        <w:rFonts w:hint="default"/>
        <w:lang w:val="en-US" w:eastAsia="en-US" w:bidi="ar-SA"/>
      </w:rPr>
    </w:lvl>
    <w:lvl w:ilvl="7" w:tplc="DB42F0FA">
      <w:numFmt w:val="bullet"/>
      <w:lvlText w:val="•"/>
      <w:lvlJc w:val="left"/>
      <w:pPr>
        <w:ind w:left="6601" w:hanging="360"/>
      </w:pPr>
      <w:rPr>
        <w:rFonts w:hint="default"/>
        <w:lang w:val="en-US" w:eastAsia="en-US" w:bidi="ar-SA"/>
      </w:rPr>
    </w:lvl>
    <w:lvl w:ilvl="8" w:tplc="69209026">
      <w:numFmt w:val="bullet"/>
      <w:lvlText w:val="•"/>
      <w:lvlJc w:val="left"/>
      <w:pPr>
        <w:ind w:left="7476" w:hanging="360"/>
      </w:pPr>
      <w:rPr>
        <w:rFonts w:hint="default"/>
        <w:lang w:val="en-US" w:eastAsia="en-US" w:bidi="ar-SA"/>
      </w:rPr>
    </w:lvl>
  </w:abstractNum>
  <w:abstractNum w:abstractNumId="133" w15:restartNumberingAfterBreak="0">
    <w:nsid w:val="51AA1C2D"/>
    <w:multiLevelType w:val="hybridMultilevel"/>
    <w:tmpl w:val="5F7C7D46"/>
    <w:lvl w:ilvl="0" w:tplc="7D746918">
      <w:start w:val="1"/>
      <w:numFmt w:val="decimalZero"/>
      <w:lvlText w:val=".%1"/>
      <w:lvlJc w:val="left"/>
      <w:pPr>
        <w:ind w:left="2317" w:hanging="721"/>
      </w:pPr>
      <w:rPr>
        <w:rFonts w:ascii="Arial" w:eastAsia="Arial" w:hAnsi="Arial" w:cs="Arial" w:hint="default"/>
        <w:b w:val="0"/>
        <w:bCs w:val="0"/>
        <w:i w:val="0"/>
        <w:iCs w:val="0"/>
        <w:spacing w:val="0"/>
        <w:w w:val="99"/>
        <w:sz w:val="22"/>
        <w:szCs w:val="22"/>
        <w:lang w:val="en-US" w:eastAsia="en-US" w:bidi="ar-SA"/>
      </w:rPr>
    </w:lvl>
    <w:lvl w:ilvl="1" w:tplc="336624FC">
      <w:numFmt w:val="bullet"/>
      <w:lvlText w:val=""/>
      <w:lvlJc w:val="left"/>
      <w:pPr>
        <w:ind w:left="2676" w:hanging="360"/>
      </w:pPr>
      <w:rPr>
        <w:rFonts w:ascii="Symbol" w:eastAsia="Symbol" w:hAnsi="Symbol" w:cs="Symbol" w:hint="default"/>
        <w:b w:val="0"/>
        <w:bCs w:val="0"/>
        <w:i w:val="0"/>
        <w:iCs w:val="0"/>
        <w:spacing w:val="0"/>
        <w:w w:val="99"/>
        <w:sz w:val="22"/>
        <w:szCs w:val="22"/>
        <w:lang w:val="en-US" w:eastAsia="en-US" w:bidi="ar-SA"/>
      </w:rPr>
    </w:lvl>
    <w:lvl w:ilvl="2" w:tplc="48AC7B78">
      <w:numFmt w:val="bullet"/>
      <w:lvlText w:val="•"/>
      <w:lvlJc w:val="left"/>
      <w:pPr>
        <w:ind w:left="3628" w:hanging="360"/>
      </w:pPr>
      <w:rPr>
        <w:rFonts w:hint="default"/>
        <w:lang w:val="en-US" w:eastAsia="en-US" w:bidi="ar-SA"/>
      </w:rPr>
    </w:lvl>
    <w:lvl w:ilvl="3" w:tplc="081C67D8">
      <w:numFmt w:val="bullet"/>
      <w:lvlText w:val="•"/>
      <w:lvlJc w:val="left"/>
      <w:pPr>
        <w:ind w:left="4577" w:hanging="360"/>
      </w:pPr>
      <w:rPr>
        <w:rFonts w:hint="default"/>
        <w:lang w:val="en-US" w:eastAsia="en-US" w:bidi="ar-SA"/>
      </w:rPr>
    </w:lvl>
    <w:lvl w:ilvl="4" w:tplc="47643A5E">
      <w:numFmt w:val="bullet"/>
      <w:lvlText w:val="•"/>
      <w:lvlJc w:val="left"/>
      <w:pPr>
        <w:ind w:left="5526" w:hanging="360"/>
      </w:pPr>
      <w:rPr>
        <w:rFonts w:hint="default"/>
        <w:lang w:val="en-US" w:eastAsia="en-US" w:bidi="ar-SA"/>
      </w:rPr>
    </w:lvl>
    <w:lvl w:ilvl="5" w:tplc="7E3E93B2">
      <w:numFmt w:val="bullet"/>
      <w:lvlText w:val="•"/>
      <w:lvlJc w:val="left"/>
      <w:pPr>
        <w:ind w:left="6475" w:hanging="360"/>
      </w:pPr>
      <w:rPr>
        <w:rFonts w:hint="default"/>
        <w:lang w:val="en-US" w:eastAsia="en-US" w:bidi="ar-SA"/>
      </w:rPr>
    </w:lvl>
    <w:lvl w:ilvl="6" w:tplc="90FA3204">
      <w:numFmt w:val="bullet"/>
      <w:lvlText w:val="•"/>
      <w:lvlJc w:val="left"/>
      <w:pPr>
        <w:ind w:left="7424" w:hanging="360"/>
      </w:pPr>
      <w:rPr>
        <w:rFonts w:hint="default"/>
        <w:lang w:val="en-US" w:eastAsia="en-US" w:bidi="ar-SA"/>
      </w:rPr>
    </w:lvl>
    <w:lvl w:ilvl="7" w:tplc="30E07AEC">
      <w:numFmt w:val="bullet"/>
      <w:lvlText w:val="•"/>
      <w:lvlJc w:val="left"/>
      <w:pPr>
        <w:ind w:left="8373" w:hanging="360"/>
      </w:pPr>
      <w:rPr>
        <w:rFonts w:hint="default"/>
        <w:lang w:val="en-US" w:eastAsia="en-US" w:bidi="ar-SA"/>
      </w:rPr>
    </w:lvl>
    <w:lvl w:ilvl="8" w:tplc="24F41826">
      <w:numFmt w:val="bullet"/>
      <w:lvlText w:val="•"/>
      <w:lvlJc w:val="left"/>
      <w:pPr>
        <w:ind w:left="9322" w:hanging="360"/>
      </w:pPr>
      <w:rPr>
        <w:rFonts w:hint="default"/>
        <w:lang w:val="en-US" w:eastAsia="en-US" w:bidi="ar-SA"/>
      </w:rPr>
    </w:lvl>
  </w:abstractNum>
  <w:abstractNum w:abstractNumId="134" w15:restartNumberingAfterBreak="0">
    <w:nsid w:val="51D811F5"/>
    <w:multiLevelType w:val="hybridMultilevel"/>
    <w:tmpl w:val="10EC76C2"/>
    <w:lvl w:ilvl="0" w:tplc="85BCFF14">
      <w:start w:val="1"/>
      <w:numFmt w:val="decimal"/>
      <w:lvlText w:val="%1."/>
      <w:lvlJc w:val="left"/>
      <w:pPr>
        <w:ind w:left="559" w:hanging="360"/>
      </w:pPr>
      <w:rPr>
        <w:rFonts w:ascii="Arial" w:eastAsia="Arial" w:hAnsi="Arial" w:cs="Arial" w:hint="default"/>
        <w:b w:val="0"/>
        <w:bCs w:val="0"/>
        <w:i w:val="0"/>
        <w:iCs w:val="0"/>
        <w:spacing w:val="0"/>
        <w:w w:val="99"/>
        <w:sz w:val="22"/>
        <w:szCs w:val="22"/>
        <w:lang w:val="en-US" w:eastAsia="en-US" w:bidi="ar-SA"/>
      </w:rPr>
    </w:lvl>
    <w:lvl w:ilvl="1" w:tplc="3B22D46A">
      <w:numFmt w:val="bullet"/>
      <w:lvlText w:val="•"/>
      <w:lvlJc w:val="left"/>
      <w:pPr>
        <w:ind w:left="1494" w:hanging="360"/>
      </w:pPr>
      <w:rPr>
        <w:rFonts w:hint="default"/>
        <w:lang w:val="en-US" w:eastAsia="en-US" w:bidi="ar-SA"/>
      </w:rPr>
    </w:lvl>
    <w:lvl w:ilvl="2" w:tplc="A7C0F60E">
      <w:numFmt w:val="bullet"/>
      <w:lvlText w:val="•"/>
      <w:lvlJc w:val="left"/>
      <w:pPr>
        <w:ind w:left="2428" w:hanging="360"/>
      </w:pPr>
      <w:rPr>
        <w:rFonts w:hint="default"/>
        <w:lang w:val="en-US" w:eastAsia="en-US" w:bidi="ar-SA"/>
      </w:rPr>
    </w:lvl>
    <w:lvl w:ilvl="3" w:tplc="31DE6D28">
      <w:numFmt w:val="bullet"/>
      <w:lvlText w:val="•"/>
      <w:lvlJc w:val="left"/>
      <w:pPr>
        <w:ind w:left="3362" w:hanging="360"/>
      </w:pPr>
      <w:rPr>
        <w:rFonts w:hint="default"/>
        <w:lang w:val="en-US" w:eastAsia="en-US" w:bidi="ar-SA"/>
      </w:rPr>
    </w:lvl>
    <w:lvl w:ilvl="4" w:tplc="0C6CF206">
      <w:numFmt w:val="bullet"/>
      <w:lvlText w:val="•"/>
      <w:lvlJc w:val="left"/>
      <w:pPr>
        <w:ind w:left="4296" w:hanging="360"/>
      </w:pPr>
      <w:rPr>
        <w:rFonts w:hint="default"/>
        <w:lang w:val="en-US" w:eastAsia="en-US" w:bidi="ar-SA"/>
      </w:rPr>
    </w:lvl>
    <w:lvl w:ilvl="5" w:tplc="91C25B06">
      <w:numFmt w:val="bullet"/>
      <w:lvlText w:val="•"/>
      <w:lvlJc w:val="left"/>
      <w:pPr>
        <w:ind w:left="5230" w:hanging="360"/>
      </w:pPr>
      <w:rPr>
        <w:rFonts w:hint="default"/>
        <w:lang w:val="en-US" w:eastAsia="en-US" w:bidi="ar-SA"/>
      </w:rPr>
    </w:lvl>
    <w:lvl w:ilvl="6" w:tplc="78DE5186">
      <w:numFmt w:val="bullet"/>
      <w:lvlText w:val="•"/>
      <w:lvlJc w:val="left"/>
      <w:pPr>
        <w:ind w:left="6164" w:hanging="360"/>
      </w:pPr>
      <w:rPr>
        <w:rFonts w:hint="default"/>
        <w:lang w:val="en-US" w:eastAsia="en-US" w:bidi="ar-SA"/>
      </w:rPr>
    </w:lvl>
    <w:lvl w:ilvl="7" w:tplc="01E87028">
      <w:numFmt w:val="bullet"/>
      <w:lvlText w:val="•"/>
      <w:lvlJc w:val="left"/>
      <w:pPr>
        <w:ind w:left="7098" w:hanging="360"/>
      </w:pPr>
      <w:rPr>
        <w:rFonts w:hint="default"/>
        <w:lang w:val="en-US" w:eastAsia="en-US" w:bidi="ar-SA"/>
      </w:rPr>
    </w:lvl>
    <w:lvl w:ilvl="8" w:tplc="3FB0C0A2">
      <w:numFmt w:val="bullet"/>
      <w:lvlText w:val="•"/>
      <w:lvlJc w:val="left"/>
      <w:pPr>
        <w:ind w:left="8032" w:hanging="360"/>
      </w:pPr>
      <w:rPr>
        <w:rFonts w:hint="default"/>
        <w:lang w:val="en-US" w:eastAsia="en-US" w:bidi="ar-SA"/>
      </w:rPr>
    </w:lvl>
  </w:abstractNum>
  <w:abstractNum w:abstractNumId="135" w15:restartNumberingAfterBreak="0">
    <w:nsid w:val="534712F3"/>
    <w:multiLevelType w:val="hybridMultilevel"/>
    <w:tmpl w:val="55529F6C"/>
    <w:lvl w:ilvl="0" w:tplc="9E9EAFF2">
      <w:start w:val="5"/>
      <w:numFmt w:val="decimal"/>
      <w:lvlText w:val="%1."/>
      <w:lvlJc w:val="left"/>
      <w:pPr>
        <w:ind w:left="561" w:hanging="433"/>
      </w:pPr>
      <w:rPr>
        <w:rFonts w:ascii="Arial" w:eastAsia="Arial" w:hAnsi="Arial" w:cs="Arial" w:hint="default"/>
        <w:b w:val="0"/>
        <w:bCs w:val="0"/>
        <w:i w:val="0"/>
        <w:iCs w:val="0"/>
        <w:spacing w:val="0"/>
        <w:w w:val="99"/>
        <w:sz w:val="22"/>
        <w:szCs w:val="22"/>
        <w:lang w:val="en-US" w:eastAsia="en-US" w:bidi="ar-SA"/>
      </w:rPr>
    </w:lvl>
    <w:lvl w:ilvl="1" w:tplc="88D83DD4">
      <w:start w:val="1"/>
      <w:numFmt w:val="lowerLetter"/>
      <w:lvlText w:val="(%2)"/>
      <w:lvlJc w:val="left"/>
      <w:pPr>
        <w:ind w:left="1064" w:hanging="481"/>
      </w:pPr>
      <w:rPr>
        <w:rFonts w:ascii="Arial" w:eastAsia="Arial" w:hAnsi="Arial" w:cs="Arial" w:hint="default"/>
        <w:b w:val="0"/>
        <w:bCs w:val="0"/>
        <w:i w:val="0"/>
        <w:iCs w:val="0"/>
        <w:spacing w:val="-1"/>
        <w:w w:val="99"/>
        <w:sz w:val="22"/>
        <w:szCs w:val="22"/>
        <w:lang w:val="en-US" w:eastAsia="en-US" w:bidi="ar-SA"/>
      </w:rPr>
    </w:lvl>
    <w:lvl w:ilvl="2" w:tplc="5D32BDB2">
      <w:numFmt w:val="bullet"/>
      <w:lvlText w:val="•"/>
      <w:lvlJc w:val="left"/>
      <w:pPr>
        <w:ind w:left="1672" w:hanging="481"/>
      </w:pPr>
      <w:rPr>
        <w:rFonts w:hint="default"/>
        <w:lang w:val="en-US" w:eastAsia="en-US" w:bidi="ar-SA"/>
      </w:rPr>
    </w:lvl>
    <w:lvl w:ilvl="3" w:tplc="F8708106">
      <w:numFmt w:val="bullet"/>
      <w:lvlText w:val="•"/>
      <w:lvlJc w:val="left"/>
      <w:pPr>
        <w:ind w:left="2284" w:hanging="481"/>
      </w:pPr>
      <w:rPr>
        <w:rFonts w:hint="default"/>
        <w:lang w:val="en-US" w:eastAsia="en-US" w:bidi="ar-SA"/>
      </w:rPr>
    </w:lvl>
    <w:lvl w:ilvl="4" w:tplc="331047A8">
      <w:numFmt w:val="bullet"/>
      <w:lvlText w:val="•"/>
      <w:lvlJc w:val="left"/>
      <w:pPr>
        <w:ind w:left="2896" w:hanging="481"/>
      </w:pPr>
      <w:rPr>
        <w:rFonts w:hint="default"/>
        <w:lang w:val="en-US" w:eastAsia="en-US" w:bidi="ar-SA"/>
      </w:rPr>
    </w:lvl>
    <w:lvl w:ilvl="5" w:tplc="8098B8EA">
      <w:numFmt w:val="bullet"/>
      <w:lvlText w:val="•"/>
      <w:lvlJc w:val="left"/>
      <w:pPr>
        <w:ind w:left="3508" w:hanging="481"/>
      </w:pPr>
      <w:rPr>
        <w:rFonts w:hint="default"/>
        <w:lang w:val="en-US" w:eastAsia="en-US" w:bidi="ar-SA"/>
      </w:rPr>
    </w:lvl>
    <w:lvl w:ilvl="6" w:tplc="63820C96">
      <w:numFmt w:val="bullet"/>
      <w:lvlText w:val="•"/>
      <w:lvlJc w:val="left"/>
      <w:pPr>
        <w:ind w:left="4121" w:hanging="481"/>
      </w:pPr>
      <w:rPr>
        <w:rFonts w:hint="default"/>
        <w:lang w:val="en-US" w:eastAsia="en-US" w:bidi="ar-SA"/>
      </w:rPr>
    </w:lvl>
    <w:lvl w:ilvl="7" w:tplc="345E74EC">
      <w:numFmt w:val="bullet"/>
      <w:lvlText w:val="•"/>
      <w:lvlJc w:val="left"/>
      <w:pPr>
        <w:ind w:left="4733" w:hanging="481"/>
      </w:pPr>
      <w:rPr>
        <w:rFonts w:hint="default"/>
        <w:lang w:val="en-US" w:eastAsia="en-US" w:bidi="ar-SA"/>
      </w:rPr>
    </w:lvl>
    <w:lvl w:ilvl="8" w:tplc="06880FD2">
      <w:numFmt w:val="bullet"/>
      <w:lvlText w:val="•"/>
      <w:lvlJc w:val="left"/>
      <w:pPr>
        <w:ind w:left="5345" w:hanging="481"/>
      </w:pPr>
      <w:rPr>
        <w:rFonts w:hint="default"/>
        <w:lang w:val="en-US" w:eastAsia="en-US" w:bidi="ar-SA"/>
      </w:rPr>
    </w:lvl>
  </w:abstractNum>
  <w:abstractNum w:abstractNumId="136" w15:restartNumberingAfterBreak="0">
    <w:nsid w:val="53604054"/>
    <w:multiLevelType w:val="hybridMultilevel"/>
    <w:tmpl w:val="2BD4B686"/>
    <w:lvl w:ilvl="0" w:tplc="D8F6F496">
      <w:start w:val="8"/>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B8D07A3A">
      <w:numFmt w:val="bullet"/>
      <w:lvlText w:val=""/>
      <w:lvlJc w:val="left"/>
      <w:pPr>
        <w:ind w:left="1514" w:hanging="270"/>
      </w:pPr>
      <w:rPr>
        <w:rFonts w:ascii="Symbol" w:eastAsia="Symbol" w:hAnsi="Symbol" w:cs="Symbol" w:hint="default"/>
        <w:spacing w:val="0"/>
        <w:w w:val="99"/>
        <w:lang w:val="en-US" w:eastAsia="en-US" w:bidi="ar-SA"/>
      </w:rPr>
    </w:lvl>
    <w:lvl w:ilvl="2" w:tplc="A02EA7C4">
      <w:numFmt w:val="bullet"/>
      <w:lvlText w:val="•"/>
      <w:lvlJc w:val="left"/>
      <w:pPr>
        <w:ind w:left="2167" w:hanging="270"/>
      </w:pPr>
      <w:rPr>
        <w:rFonts w:hint="default"/>
        <w:lang w:val="en-US" w:eastAsia="en-US" w:bidi="ar-SA"/>
      </w:rPr>
    </w:lvl>
    <w:lvl w:ilvl="3" w:tplc="A328C47E">
      <w:numFmt w:val="bullet"/>
      <w:lvlText w:val="•"/>
      <w:lvlJc w:val="left"/>
      <w:pPr>
        <w:ind w:left="2815" w:hanging="270"/>
      </w:pPr>
      <w:rPr>
        <w:rFonts w:hint="default"/>
        <w:lang w:val="en-US" w:eastAsia="en-US" w:bidi="ar-SA"/>
      </w:rPr>
    </w:lvl>
    <w:lvl w:ilvl="4" w:tplc="CFD49B56">
      <w:numFmt w:val="bullet"/>
      <w:lvlText w:val="•"/>
      <w:lvlJc w:val="left"/>
      <w:pPr>
        <w:ind w:left="3463" w:hanging="270"/>
      </w:pPr>
      <w:rPr>
        <w:rFonts w:hint="default"/>
        <w:lang w:val="en-US" w:eastAsia="en-US" w:bidi="ar-SA"/>
      </w:rPr>
    </w:lvl>
    <w:lvl w:ilvl="5" w:tplc="B2C01ACE">
      <w:numFmt w:val="bullet"/>
      <w:lvlText w:val="•"/>
      <w:lvlJc w:val="left"/>
      <w:pPr>
        <w:ind w:left="4111" w:hanging="270"/>
      </w:pPr>
      <w:rPr>
        <w:rFonts w:hint="default"/>
        <w:lang w:val="en-US" w:eastAsia="en-US" w:bidi="ar-SA"/>
      </w:rPr>
    </w:lvl>
    <w:lvl w:ilvl="6" w:tplc="9864A95C">
      <w:numFmt w:val="bullet"/>
      <w:lvlText w:val="•"/>
      <w:lvlJc w:val="left"/>
      <w:pPr>
        <w:ind w:left="4758" w:hanging="270"/>
      </w:pPr>
      <w:rPr>
        <w:rFonts w:hint="default"/>
        <w:lang w:val="en-US" w:eastAsia="en-US" w:bidi="ar-SA"/>
      </w:rPr>
    </w:lvl>
    <w:lvl w:ilvl="7" w:tplc="9A1EF4DA">
      <w:numFmt w:val="bullet"/>
      <w:lvlText w:val="•"/>
      <w:lvlJc w:val="left"/>
      <w:pPr>
        <w:ind w:left="5406" w:hanging="270"/>
      </w:pPr>
      <w:rPr>
        <w:rFonts w:hint="default"/>
        <w:lang w:val="en-US" w:eastAsia="en-US" w:bidi="ar-SA"/>
      </w:rPr>
    </w:lvl>
    <w:lvl w:ilvl="8" w:tplc="048A7B4C">
      <w:numFmt w:val="bullet"/>
      <w:lvlText w:val="•"/>
      <w:lvlJc w:val="left"/>
      <w:pPr>
        <w:ind w:left="6054" w:hanging="270"/>
      </w:pPr>
      <w:rPr>
        <w:rFonts w:hint="default"/>
        <w:lang w:val="en-US" w:eastAsia="en-US" w:bidi="ar-SA"/>
      </w:rPr>
    </w:lvl>
  </w:abstractNum>
  <w:abstractNum w:abstractNumId="137" w15:restartNumberingAfterBreak="0">
    <w:nsid w:val="553A623B"/>
    <w:multiLevelType w:val="hybridMultilevel"/>
    <w:tmpl w:val="999A326C"/>
    <w:lvl w:ilvl="0" w:tplc="D07EFA58">
      <w:start w:val="802"/>
      <w:numFmt w:val="decimal"/>
      <w:lvlText w:val="%1"/>
      <w:lvlJc w:val="left"/>
      <w:pPr>
        <w:ind w:left="2579" w:hanging="1620"/>
      </w:pPr>
      <w:rPr>
        <w:rFonts w:ascii="Arial" w:eastAsia="Arial" w:hAnsi="Arial" w:cs="Arial" w:hint="default"/>
        <w:b w:val="0"/>
        <w:bCs w:val="0"/>
        <w:i w:val="0"/>
        <w:iCs w:val="0"/>
        <w:spacing w:val="0"/>
        <w:w w:val="99"/>
        <w:sz w:val="22"/>
        <w:szCs w:val="22"/>
        <w:lang w:val="en-US" w:eastAsia="en-US" w:bidi="ar-SA"/>
      </w:rPr>
    </w:lvl>
    <w:lvl w:ilvl="1" w:tplc="9E3AA9DA">
      <w:numFmt w:val="bullet"/>
      <w:lvlText w:val="•"/>
      <w:lvlJc w:val="left"/>
      <w:pPr>
        <w:ind w:left="3350" w:hanging="1620"/>
      </w:pPr>
      <w:rPr>
        <w:rFonts w:hint="default"/>
        <w:lang w:val="en-US" w:eastAsia="en-US" w:bidi="ar-SA"/>
      </w:rPr>
    </w:lvl>
    <w:lvl w:ilvl="2" w:tplc="BC56D67E">
      <w:numFmt w:val="bullet"/>
      <w:lvlText w:val="•"/>
      <w:lvlJc w:val="left"/>
      <w:pPr>
        <w:ind w:left="4120" w:hanging="1620"/>
      </w:pPr>
      <w:rPr>
        <w:rFonts w:hint="default"/>
        <w:lang w:val="en-US" w:eastAsia="en-US" w:bidi="ar-SA"/>
      </w:rPr>
    </w:lvl>
    <w:lvl w:ilvl="3" w:tplc="52DC41C0">
      <w:numFmt w:val="bullet"/>
      <w:lvlText w:val="•"/>
      <w:lvlJc w:val="left"/>
      <w:pPr>
        <w:ind w:left="4890" w:hanging="1620"/>
      </w:pPr>
      <w:rPr>
        <w:rFonts w:hint="default"/>
        <w:lang w:val="en-US" w:eastAsia="en-US" w:bidi="ar-SA"/>
      </w:rPr>
    </w:lvl>
    <w:lvl w:ilvl="4" w:tplc="DA883640">
      <w:numFmt w:val="bullet"/>
      <w:lvlText w:val="•"/>
      <w:lvlJc w:val="left"/>
      <w:pPr>
        <w:ind w:left="5660" w:hanging="1620"/>
      </w:pPr>
      <w:rPr>
        <w:rFonts w:hint="default"/>
        <w:lang w:val="en-US" w:eastAsia="en-US" w:bidi="ar-SA"/>
      </w:rPr>
    </w:lvl>
    <w:lvl w:ilvl="5" w:tplc="AC7A5BCA">
      <w:numFmt w:val="bullet"/>
      <w:lvlText w:val="•"/>
      <w:lvlJc w:val="left"/>
      <w:pPr>
        <w:ind w:left="6430" w:hanging="1620"/>
      </w:pPr>
      <w:rPr>
        <w:rFonts w:hint="default"/>
        <w:lang w:val="en-US" w:eastAsia="en-US" w:bidi="ar-SA"/>
      </w:rPr>
    </w:lvl>
    <w:lvl w:ilvl="6" w:tplc="EC540B94">
      <w:numFmt w:val="bullet"/>
      <w:lvlText w:val="•"/>
      <w:lvlJc w:val="left"/>
      <w:pPr>
        <w:ind w:left="7200" w:hanging="1620"/>
      </w:pPr>
      <w:rPr>
        <w:rFonts w:hint="default"/>
        <w:lang w:val="en-US" w:eastAsia="en-US" w:bidi="ar-SA"/>
      </w:rPr>
    </w:lvl>
    <w:lvl w:ilvl="7" w:tplc="A058F8D4">
      <w:numFmt w:val="bullet"/>
      <w:lvlText w:val="•"/>
      <w:lvlJc w:val="left"/>
      <w:pPr>
        <w:ind w:left="7970" w:hanging="1620"/>
      </w:pPr>
      <w:rPr>
        <w:rFonts w:hint="default"/>
        <w:lang w:val="en-US" w:eastAsia="en-US" w:bidi="ar-SA"/>
      </w:rPr>
    </w:lvl>
    <w:lvl w:ilvl="8" w:tplc="6D30525A">
      <w:numFmt w:val="bullet"/>
      <w:lvlText w:val="•"/>
      <w:lvlJc w:val="left"/>
      <w:pPr>
        <w:ind w:left="8740" w:hanging="1620"/>
      </w:pPr>
      <w:rPr>
        <w:rFonts w:hint="default"/>
        <w:lang w:val="en-US" w:eastAsia="en-US" w:bidi="ar-SA"/>
      </w:rPr>
    </w:lvl>
  </w:abstractNum>
  <w:abstractNum w:abstractNumId="138" w15:restartNumberingAfterBreak="0">
    <w:nsid w:val="55456D7D"/>
    <w:multiLevelType w:val="hybridMultilevel"/>
    <w:tmpl w:val="51D8417E"/>
    <w:lvl w:ilvl="0" w:tplc="D4461C3E">
      <w:start w:val="1"/>
      <w:numFmt w:val="lowerLetter"/>
      <w:lvlText w:val="%1)"/>
      <w:lvlJc w:val="left"/>
      <w:pPr>
        <w:ind w:left="1244" w:hanging="397"/>
      </w:pPr>
      <w:rPr>
        <w:rFonts w:ascii="Arial" w:eastAsia="Arial" w:hAnsi="Arial" w:cs="Arial" w:hint="default"/>
        <w:b w:val="0"/>
        <w:bCs w:val="0"/>
        <w:i w:val="0"/>
        <w:iCs w:val="0"/>
        <w:spacing w:val="0"/>
        <w:w w:val="99"/>
        <w:sz w:val="22"/>
        <w:szCs w:val="22"/>
        <w:lang w:val="en-US" w:eastAsia="en-US" w:bidi="ar-SA"/>
      </w:rPr>
    </w:lvl>
    <w:lvl w:ilvl="1" w:tplc="E2187714">
      <w:start w:val="1"/>
      <w:numFmt w:val="lowerRoman"/>
      <w:lvlText w:val="%2."/>
      <w:lvlJc w:val="left"/>
      <w:pPr>
        <w:ind w:left="2018" w:hanging="361"/>
      </w:pPr>
      <w:rPr>
        <w:rFonts w:ascii="Arial" w:eastAsia="Arial" w:hAnsi="Arial" w:cs="Arial" w:hint="default"/>
        <w:b w:val="0"/>
        <w:bCs w:val="0"/>
        <w:i w:val="0"/>
        <w:iCs w:val="0"/>
        <w:spacing w:val="0"/>
        <w:w w:val="99"/>
        <w:sz w:val="22"/>
        <w:szCs w:val="22"/>
        <w:lang w:val="en-US" w:eastAsia="en-US" w:bidi="ar-SA"/>
      </w:rPr>
    </w:lvl>
    <w:lvl w:ilvl="2" w:tplc="9C888DFC">
      <w:numFmt w:val="bullet"/>
      <w:lvlText w:val="•"/>
      <w:lvlJc w:val="left"/>
      <w:pPr>
        <w:ind w:left="2536" w:hanging="361"/>
      </w:pPr>
      <w:rPr>
        <w:rFonts w:hint="default"/>
        <w:lang w:val="en-US" w:eastAsia="en-US" w:bidi="ar-SA"/>
      </w:rPr>
    </w:lvl>
    <w:lvl w:ilvl="3" w:tplc="9CF62D64">
      <w:numFmt w:val="bullet"/>
      <w:lvlText w:val="•"/>
      <w:lvlJc w:val="left"/>
      <w:pPr>
        <w:ind w:left="3053" w:hanging="361"/>
      </w:pPr>
      <w:rPr>
        <w:rFonts w:hint="default"/>
        <w:lang w:val="en-US" w:eastAsia="en-US" w:bidi="ar-SA"/>
      </w:rPr>
    </w:lvl>
    <w:lvl w:ilvl="4" w:tplc="DBA83966">
      <w:numFmt w:val="bullet"/>
      <w:lvlText w:val="•"/>
      <w:lvlJc w:val="left"/>
      <w:pPr>
        <w:ind w:left="3569" w:hanging="361"/>
      </w:pPr>
      <w:rPr>
        <w:rFonts w:hint="default"/>
        <w:lang w:val="en-US" w:eastAsia="en-US" w:bidi="ar-SA"/>
      </w:rPr>
    </w:lvl>
    <w:lvl w:ilvl="5" w:tplc="6EBE0FDA">
      <w:numFmt w:val="bullet"/>
      <w:lvlText w:val="•"/>
      <w:lvlJc w:val="left"/>
      <w:pPr>
        <w:ind w:left="4086" w:hanging="361"/>
      </w:pPr>
      <w:rPr>
        <w:rFonts w:hint="default"/>
        <w:lang w:val="en-US" w:eastAsia="en-US" w:bidi="ar-SA"/>
      </w:rPr>
    </w:lvl>
    <w:lvl w:ilvl="6" w:tplc="78969CF0">
      <w:numFmt w:val="bullet"/>
      <w:lvlText w:val="•"/>
      <w:lvlJc w:val="left"/>
      <w:pPr>
        <w:ind w:left="4602" w:hanging="361"/>
      </w:pPr>
      <w:rPr>
        <w:rFonts w:hint="default"/>
        <w:lang w:val="en-US" w:eastAsia="en-US" w:bidi="ar-SA"/>
      </w:rPr>
    </w:lvl>
    <w:lvl w:ilvl="7" w:tplc="10502234">
      <w:numFmt w:val="bullet"/>
      <w:lvlText w:val="•"/>
      <w:lvlJc w:val="left"/>
      <w:pPr>
        <w:ind w:left="5119" w:hanging="361"/>
      </w:pPr>
      <w:rPr>
        <w:rFonts w:hint="default"/>
        <w:lang w:val="en-US" w:eastAsia="en-US" w:bidi="ar-SA"/>
      </w:rPr>
    </w:lvl>
    <w:lvl w:ilvl="8" w:tplc="92F64B74">
      <w:numFmt w:val="bullet"/>
      <w:lvlText w:val="•"/>
      <w:lvlJc w:val="left"/>
      <w:pPr>
        <w:ind w:left="5635" w:hanging="361"/>
      </w:pPr>
      <w:rPr>
        <w:rFonts w:hint="default"/>
        <w:lang w:val="en-US" w:eastAsia="en-US" w:bidi="ar-SA"/>
      </w:rPr>
    </w:lvl>
  </w:abstractNum>
  <w:abstractNum w:abstractNumId="139" w15:restartNumberingAfterBreak="0">
    <w:nsid w:val="557C2F32"/>
    <w:multiLevelType w:val="hybridMultilevel"/>
    <w:tmpl w:val="9F3A0840"/>
    <w:lvl w:ilvl="0" w:tplc="C100D2D6">
      <w:start w:val="1"/>
      <w:numFmt w:val="decimal"/>
      <w:lvlText w:val="%1)"/>
      <w:lvlJc w:val="left"/>
      <w:pPr>
        <w:ind w:left="683" w:hanging="577"/>
        <w:jc w:val="right"/>
      </w:pPr>
      <w:rPr>
        <w:rFonts w:ascii="Arial" w:eastAsia="Arial" w:hAnsi="Arial" w:cs="Arial" w:hint="default"/>
        <w:b w:val="0"/>
        <w:bCs w:val="0"/>
        <w:i w:val="0"/>
        <w:iCs w:val="0"/>
        <w:spacing w:val="0"/>
        <w:w w:val="99"/>
        <w:sz w:val="22"/>
        <w:szCs w:val="22"/>
        <w:lang w:val="en-US" w:eastAsia="en-US" w:bidi="ar-SA"/>
      </w:rPr>
    </w:lvl>
    <w:lvl w:ilvl="1" w:tplc="10D629B2">
      <w:numFmt w:val="bullet"/>
      <w:lvlText w:val="•"/>
      <w:lvlJc w:val="left"/>
      <w:pPr>
        <w:ind w:left="1304" w:hanging="577"/>
      </w:pPr>
      <w:rPr>
        <w:rFonts w:hint="default"/>
        <w:lang w:val="en-US" w:eastAsia="en-US" w:bidi="ar-SA"/>
      </w:rPr>
    </w:lvl>
    <w:lvl w:ilvl="2" w:tplc="DD6C1F98">
      <w:numFmt w:val="bullet"/>
      <w:lvlText w:val="•"/>
      <w:lvlJc w:val="left"/>
      <w:pPr>
        <w:ind w:left="1928" w:hanging="577"/>
      </w:pPr>
      <w:rPr>
        <w:rFonts w:hint="default"/>
        <w:lang w:val="en-US" w:eastAsia="en-US" w:bidi="ar-SA"/>
      </w:rPr>
    </w:lvl>
    <w:lvl w:ilvl="3" w:tplc="65389A60">
      <w:numFmt w:val="bullet"/>
      <w:lvlText w:val="•"/>
      <w:lvlJc w:val="left"/>
      <w:pPr>
        <w:ind w:left="2552" w:hanging="577"/>
      </w:pPr>
      <w:rPr>
        <w:rFonts w:hint="default"/>
        <w:lang w:val="en-US" w:eastAsia="en-US" w:bidi="ar-SA"/>
      </w:rPr>
    </w:lvl>
    <w:lvl w:ilvl="4" w:tplc="FB14D650">
      <w:numFmt w:val="bullet"/>
      <w:lvlText w:val="•"/>
      <w:lvlJc w:val="left"/>
      <w:pPr>
        <w:ind w:left="3176" w:hanging="577"/>
      </w:pPr>
      <w:rPr>
        <w:rFonts w:hint="default"/>
        <w:lang w:val="en-US" w:eastAsia="en-US" w:bidi="ar-SA"/>
      </w:rPr>
    </w:lvl>
    <w:lvl w:ilvl="5" w:tplc="3D52FFCC">
      <w:numFmt w:val="bullet"/>
      <w:lvlText w:val="•"/>
      <w:lvlJc w:val="left"/>
      <w:pPr>
        <w:ind w:left="3800" w:hanging="577"/>
      </w:pPr>
      <w:rPr>
        <w:rFonts w:hint="default"/>
        <w:lang w:val="en-US" w:eastAsia="en-US" w:bidi="ar-SA"/>
      </w:rPr>
    </w:lvl>
    <w:lvl w:ilvl="6" w:tplc="EA3A4BA4">
      <w:numFmt w:val="bullet"/>
      <w:lvlText w:val="•"/>
      <w:lvlJc w:val="left"/>
      <w:pPr>
        <w:ind w:left="4424" w:hanging="577"/>
      </w:pPr>
      <w:rPr>
        <w:rFonts w:hint="default"/>
        <w:lang w:val="en-US" w:eastAsia="en-US" w:bidi="ar-SA"/>
      </w:rPr>
    </w:lvl>
    <w:lvl w:ilvl="7" w:tplc="6BC022EE">
      <w:numFmt w:val="bullet"/>
      <w:lvlText w:val="•"/>
      <w:lvlJc w:val="left"/>
      <w:pPr>
        <w:ind w:left="5048" w:hanging="577"/>
      </w:pPr>
      <w:rPr>
        <w:rFonts w:hint="default"/>
        <w:lang w:val="en-US" w:eastAsia="en-US" w:bidi="ar-SA"/>
      </w:rPr>
    </w:lvl>
    <w:lvl w:ilvl="8" w:tplc="45AC3080">
      <w:numFmt w:val="bullet"/>
      <w:lvlText w:val="•"/>
      <w:lvlJc w:val="left"/>
      <w:pPr>
        <w:ind w:left="5672" w:hanging="577"/>
      </w:pPr>
      <w:rPr>
        <w:rFonts w:hint="default"/>
        <w:lang w:val="en-US" w:eastAsia="en-US" w:bidi="ar-SA"/>
      </w:rPr>
    </w:lvl>
  </w:abstractNum>
  <w:abstractNum w:abstractNumId="140" w15:restartNumberingAfterBreak="0">
    <w:nsid w:val="56497DD2"/>
    <w:multiLevelType w:val="hybridMultilevel"/>
    <w:tmpl w:val="6BEE147A"/>
    <w:lvl w:ilvl="0" w:tplc="E494AB0A">
      <w:start w:val="12"/>
      <w:numFmt w:val="decimal"/>
      <w:lvlText w:val="%1."/>
      <w:lvlJc w:val="left"/>
      <w:pPr>
        <w:ind w:left="485" w:hanging="360"/>
      </w:pPr>
      <w:rPr>
        <w:rFonts w:ascii="Arial" w:eastAsia="Arial" w:hAnsi="Arial" w:cs="Arial" w:hint="default"/>
        <w:b w:val="0"/>
        <w:bCs w:val="0"/>
        <w:i w:val="0"/>
        <w:iCs w:val="0"/>
        <w:spacing w:val="0"/>
        <w:w w:val="99"/>
        <w:sz w:val="22"/>
        <w:szCs w:val="22"/>
        <w:lang w:val="en-US" w:eastAsia="en-US" w:bidi="ar-SA"/>
      </w:rPr>
    </w:lvl>
    <w:lvl w:ilvl="1" w:tplc="28C684DA">
      <w:numFmt w:val="bullet"/>
      <w:lvlText w:val=""/>
      <w:lvlJc w:val="left"/>
      <w:pPr>
        <w:ind w:left="1204" w:hanging="360"/>
      </w:pPr>
      <w:rPr>
        <w:rFonts w:ascii="Symbol" w:eastAsia="Symbol" w:hAnsi="Symbol" w:cs="Symbol" w:hint="default"/>
        <w:b w:val="0"/>
        <w:bCs w:val="0"/>
        <w:i w:val="0"/>
        <w:iCs w:val="0"/>
        <w:spacing w:val="0"/>
        <w:w w:val="99"/>
        <w:sz w:val="22"/>
        <w:szCs w:val="22"/>
        <w:lang w:val="en-US" w:eastAsia="en-US" w:bidi="ar-SA"/>
      </w:rPr>
    </w:lvl>
    <w:lvl w:ilvl="2" w:tplc="337EC74C">
      <w:numFmt w:val="bullet"/>
      <w:lvlText w:val="•"/>
      <w:lvlJc w:val="left"/>
      <w:pPr>
        <w:ind w:left="1830" w:hanging="360"/>
      </w:pPr>
      <w:rPr>
        <w:rFonts w:hint="default"/>
        <w:lang w:val="en-US" w:eastAsia="en-US" w:bidi="ar-SA"/>
      </w:rPr>
    </w:lvl>
    <w:lvl w:ilvl="3" w:tplc="28106AB8">
      <w:numFmt w:val="bullet"/>
      <w:lvlText w:val="•"/>
      <w:lvlJc w:val="left"/>
      <w:pPr>
        <w:ind w:left="2460" w:hanging="360"/>
      </w:pPr>
      <w:rPr>
        <w:rFonts w:hint="default"/>
        <w:lang w:val="en-US" w:eastAsia="en-US" w:bidi="ar-SA"/>
      </w:rPr>
    </w:lvl>
    <w:lvl w:ilvl="4" w:tplc="6E925928">
      <w:numFmt w:val="bullet"/>
      <w:lvlText w:val="•"/>
      <w:lvlJc w:val="left"/>
      <w:pPr>
        <w:ind w:left="3091" w:hanging="360"/>
      </w:pPr>
      <w:rPr>
        <w:rFonts w:hint="default"/>
        <w:lang w:val="en-US" w:eastAsia="en-US" w:bidi="ar-SA"/>
      </w:rPr>
    </w:lvl>
    <w:lvl w:ilvl="5" w:tplc="A5923BEA">
      <w:numFmt w:val="bullet"/>
      <w:lvlText w:val="•"/>
      <w:lvlJc w:val="left"/>
      <w:pPr>
        <w:ind w:left="3721" w:hanging="360"/>
      </w:pPr>
      <w:rPr>
        <w:rFonts w:hint="default"/>
        <w:lang w:val="en-US" w:eastAsia="en-US" w:bidi="ar-SA"/>
      </w:rPr>
    </w:lvl>
    <w:lvl w:ilvl="6" w:tplc="05D03480">
      <w:numFmt w:val="bullet"/>
      <w:lvlText w:val="•"/>
      <w:lvlJc w:val="left"/>
      <w:pPr>
        <w:ind w:left="4351" w:hanging="360"/>
      </w:pPr>
      <w:rPr>
        <w:rFonts w:hint="default"/>
        <w:lang w:val="en-US" w:eastAsia="en-US" w:bidi="ar-SA"/>
      </w:rPr>
    </w:lvl>
    <w:lvl w:ilvl="7" w:tplc="6C72ECF8">
      <w:numFmt w:val="bullet"/>
      <w:lvlText w:val="•"/>
      <w:lvlJc w:val="left"/>
      <w:pPr>
        <w:ind w:left="4982" w:hanging="360"/>
      </w:pPr>
      <w:rPr>
        <w:rFonts w:hint="default"/>
        <w:lang w:val="en-US" w:eastAsia="en-US" w:bidi="ar-SA"/>
      </w:rPr>
    </w:lvl>
    <w:lvl w:ilvl="8" w:tplc="A6940FD2">
      <w:numFmt w:val="bullet"/>
      <w:lvlText w:val="•"/>
      <w:lvlJc w:val="left"/>
      <w:pPr>
        <w:ind w:left="5612" w:hanging="360"/>
      </w:pPr>
      <w:rPr>
        <w:rFonts w:hint="default"/>
        <w:lang w:val="en-US" w:eastAsia="en-US" w:bidi="ar-SA"/>
      </w:rPr>
    </w:lvl>
  </w:abstractNum>
  <w:abstractNum w:abstractNumId="141" w15:restartNumberingAfterBreak="0">
    <w:nsid w:val="568D3324"/>
    <w:multiLevelType w:val="hybridMultilevel"/>
    <w:tmpl w:val="60983AFA"/>
    <w:lvl w:ilvl="0" w:tplc="DB06F7E6">
      <w:start w:val="1"/>
      <w:numFmt w:val="lowerLetter"/>
      <w:lvlText w:val="%1."/>
      <w:lvlJc w:val="left"/>
      <w:pPr>
        <w:ind w:left="1920" w:hanging="360"/>
      </w:pPr>
      <w:rPr>
        <w:rFonts w:ascii="Arial" w:eastAsia="Arial" w:hAnsi="Arial" w:cs="Arial" w:hint="default"/>
        <w:b w:val="0"/>
        <w:bCs w:val="0"/>
        <w:i w:val="0"/>
        <w:iCs w:val="0"/>
        <w:spacing w:val="0"/>
        <w:w w:val="99"/>
        <w:sz w:val="22"/>
        <w:szCs w:val="22"/>
        <w:lang w:val="en-US" w:eastAsia="en-US" w:bidi="ar-SA"/>
      </w:rPr>
    </w:lvl>
    <w:lvl w:ilvl="1" w:tplc="D0EA44F0">
      <w:numFmt w:val="bullet"/>
      <w:lvlText w:val="•"/>
      <w:lvlJc w:val="left"/>
      <w:pPr>
        <w:ind w:left="2706" w:hanging="360"/>
      </w:pPr>
      <w:rPr>
        <w:rFonts w:hint="default"/>
        <w:lang w:val="en-US" w:eastAsia="en-US" w:bidi="ar-SA"/>
      </w:rPr>
    </w:lvl>
    <w:lvl w:ilvl="2" w:tplc="4008CAB6">
      <w:numFmt w:val="bullet"/>
      <w:lvlText w:val="•"/>
      <w:lvlJc w:val="left"/>
      <w:pPr>
        <w:ind w:left="3492" w:hanging="360"/>
      </w:pPr>
      <w:rPr>
        <w:rFonts w:hint="default"/>
        <w:lang w:val="en-US" w:eastAsia="en-US" w:bidi="ar-SA"/>
      </w:rPr>
    </w:lvl>
    <w:lvl w:ilvl="3" w:tplc="4496BA38">
      <w:numFmt w:val="bullet"/>
      <w:lvlText w:val="•"/>
      <w:lvlJc w:val="left"/>
      <w:pPr>
        <w:ind w:left="4278" w:hanging="360"/>
      </w:pPr>
      <w:rPr>
        <w:rFonts w:hint="default"/>
        <w:lang w:val="en-US" w:eastAsia="en-US" w:bidi="ar-SA"/>
      </w:rPr>
    </w:lvl>
    <w:lvl w:ilvl="4" w:tplc="93A0DAF8">
      <w:numFmt w:val="bullet"/>
      <w:lvlText w:val="•"/>
      <w:lvlJc w:val="left"/>
      <w:pPr>
        <w:ind w:left="5064" w:hanging="360"/>
      </w:pPr>
      <w:rPr>
        <w:rFonts w:hint="default"/>
        <w:lang w:val="en-US" w:eastAsia="en-US" w:bidi="ar-SA"/>
      </w:rPr>
    </w:lvl>
    <w:lvl w:ilvl="5" w:tplc="DE6EA808">
      <w:numFmt w:val="bullet"/>
      <w:lvlText w:val="•"/>
      <w:lvlJc w:val="left"/>
      <w:pPr>
        <w:ind w:left="5850" w:hanging="360"/>
      </w:pPr>
      <w:rPr>
        <w:rFonts w:hint="default"/>
        <w:lang w:val="en-US" w:eastAsia="en-US" w:bidi="ar-SA"/>
      </w:rPr>
    </w:lvl>
    <w:lvl w:ilvl="6" w:tplc="DE7033BC">
      <w:numFmt w:val="bullet"/>
      <w:lvlText w:val="•"/>
      <w:lvlJc w:val="left"/>
      <w:pPr>
        <w:ind w:left="6636" w:hanging="360"/>
      </w:pPr>
      <w:rPr>
        <w:rFonts w:hint="default"/>
        <w:lang w:val="en-US" w:eastAsia="en-US" w:bidi="ar-SA"/>
      </w:rPr>
    </w:lvl>
    <w:lvl w:ilvl="7" w:tplc="2CF89084">
      <w:numFmt w:val="bullet"/>
      <w:lvlText w:val="•"/>
      <w:lvlJc w:val="left"/>
      <w:pPr>
        <w:ind w:left="7422" w:hanging="360"/>
      </w:pPr>
      <w:rPr>
        <w:rFonts w:hint="default"/>
        <w:lang w:val="en-US" w:eastAsia="en-US" w:bidi="ar-SA"/>
      </w:rPr>
    </w:lvl>
    <w:lvl w:ilvl="8" w:tplc="B1F6AD28">
      <w:numFmt w:val="bullet"/>
      <w:lvlText w:val="•"/>
      <w:lvlJc w:val="left"/>
      <w:pPr>
        <w:ind w:left="8208" w:hanging="360"/>
      </w:pPr>
      <w:rPr>
        <w:rFonts w:hint="default"/>
        <w:lang w:val="en-US" w:eastAsia="en-US" w:bidi="ar-SA"/>
      </w:rPr>
    </w:lvl>
  </w:abstractNum>
  <w:abstractNum w:abstractNumId="142" w15:restartNumberingAfterBreak="0">
    <w:nsid w:val="56BB10C3"/>
    <w:multiLevelType w:val="hybridMultilevel"/>
    <w:tmpl w:val="7F7411B6"/>
    <w:lvl w:ilvl="0" w:tplc="CDA843D8">
      <w:start w:val="1"/>
      <w:numFmt w:val="decimalZero"/>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4A840780">
      <w:start w:val="1"/>
      <w:numFmt w:val="lowerLetter"/>
      <w:lvlText w:val="%2."/>
      <w:lvlJc w:val="left"/>
      <w:pPr>
        <w:ind w:left="1999" w:hanging="360"/>
      </w:pPr>
      <w:rPr>
        <w:rFonts w:ascii="Arial" w:eastAsia="Arial" w:hAnsi="Arial" w:cs="Arial" w:hint="default"/>
        <w:b w:val="0"/>
        <w:bCs w:val="0"/>
        <w:i w:val="0"/>
        <w:iCs w:val="0"/>
        <w:spacing w:val="0"/>
        <w:w w:val="99"/>
        <w:sz w:val="22"/>
        <w:szCs w:val="22"/>
        <w:lang w:val="en-US" w:eastAsia="en-US" w:bidi="ar-SA"/>
      </w:rPr>
    </w:lvl>
    <w:lvl w:ilvl="2" w:tplc="1276A114">
      <w:numFmt w:val="bullet"/>
      <w:lvlText w:val="•"/>
      <w:lvlJc w:val="left"/>
      <w:pPr>
        <w:ind w:left="2877" w:hanging="360"/>
      </w:pPr>
      <w:rPr>
        <w:rFonts w:hint="default"/>
        <w:lang w:val="en-US" w:eastAsia="en-US" w:bidi="ar-SA"/>
      </w:rPr>
    </w:lvl>
    <w:lvl w:ilvl="3" w:tplc="2CB0B4BA">
      <w:numFmt w:val="bullet"/>
      <w:lvlText w:val="•"/>
      <w:lvlJc w:val="left"/>
      <w:pPr>
        <w:ind w:left="3755" w:hanging="360"/>
      </w:pPr>
      <w:rPr>
        <w:rFonts w:hint="default"/>
        <w:lang w:val="en-US" w:eastAsia="en-US" w:bidi="ar-SA"/>
      </w:rPr>
    </w:lvl>
    <w:lvl w:ilvl="4" w:tplc="D3B8BFF4">
      <w:numFmt w:val="bullet"/>
      <w:lvlText w:val="•"/>
      <w:lvlJc w:val="left"/>
      <w:pPr>
        <w:ind w:left="4633" w:hanging="360"/>
      </w:pPr>
      <w:rPr>
        <w:rFonts w:hint="default"/>
        <w:lang w:val="en-US" w:eastAsia="en-US" w:bidi="ar-SA"/>
      </w:rPr>
    </w:lvl>
    <w:lvl w:ilvl="5" w:tplc="75C44512">
      <w:numFmt w:val="bullet"/>
      <w:lvlText w:val="•"/>
      <w:lvlJc w:val="left"/>
      <w:pPr>
        <w:ind w:left="5511" w:hanging="360"/>
      </w:pPr>
      <w:rPr>
        <w:rFonts w:hint="default"/>
        <w:lang w:val="en-US" w:eastAsia="en-US" w:bidi="ar-SA"/>
      </w:rPr>
    </w:lvl>
    <w:lvl w:ilvl="6" w:tplc="2B8887A2">
      <w:numFmt w:val="bullet"/>
      <w:lvlText w:val="•"/>
      <w:lvlJc w:val="left"/>
      <w:pPr>
        <w:ind w:left="6388" w:hanging="360"/>
      </w:pPr>
      <w:rPr>
        <w:rFonts w:hint="default"/>
        <w:lang w:val="en-US" w:eastAsia="en-US" w:bidi="ar-SA"/>
      </w:rPr>
    </w:lvl>
    <w:lvl w:ilvl="7" w:tplc="DAF0B668">
      <w:numFmt w:val="bullet"/>
      <w:lvlText w:val="•"/>
      <w:lvlJc w:val="left"/>
      <w:pPr>
        <w:ind w:left="7266" w:hanging="360"/>
      </w:pPr>
      <w:rPr>
        <w:rFonts w:hint="default"/>
        <w:lang w:val="en-US" w:eastAsia="en-US" w:bidi="ar-SA"/>
      </w:rPr>
    </w:lvl>
    <w:lvl w:ilvl="8" w:tplc="53D0B168">
      <w:numFmt w:val="bullet"/>
      <w:lvlText w:val="•"/>
      <w:lvlJc w:val="left"/>
      <w:pPr>
        <w:ind w:left="8144" w:hanging="360"/>
      </w:pPr>
      <w:rPr>
        <w:rFonts w:hint="default"/>
        <w:lang w:val="en-US" w:eastAsia="en-US" w:bidi="ar-SA"/>
      </w:rPr>
    </w:lvl>
  </w:abstractNum>
  <w:abstractNum w:abstractNumId="143" w15:restartNumberingAfterBreak="0">
    <w:nsid w:val="56E72FD3"/>
    <w:multiLevelType w:val="hybridMultilevel"/>
    <w:tmpl w:val="CEE23102"/>
    <w:lvl w:ilvl="0" w:tplc="A2D67BFA">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B2FE27B2">
      <w:numFmt w:val="bullet"/>
      <w:lvlText w:val="•"/>
      <w:lvlJc w:val="left"/>
      <w:pPr>
        <w:ind w:left="3026" w:hanging="360"/>
      </w:pPr>
      <w:rPr>
        <w:rFonts w:hint="default"/>
        <w:lang w:val="en-US" w:eastAsia="en-US" w:bidi="ar-SA"/>
      </w:rPr>
    </w:lvl>
    <w:lvl w:ilvl="2" w:tplc="66089BC8">
      <w:numFmt w:val="bullet"/>
      <w:lvlText w:val="•"/>
      <w:lvlJc w:val="left"/>
      <w:pPr>
        <w:ind w:left="3832" w:hanging="360"/>
      </w:pPr>
      <w:rPr>
        <w:rFonts w:hint="default"/>
        <w:lang w:val="en-US" w:eastAsia="en-US" w:bidi="ar-SA"/>
      </w:rPr>
    </w:lvl>
    <w:lvl w:ilvl="3" w:tplc="DCEAACE0">
      <w:numFmt w:val="bullet"/>
      <w:lvlText w:val="•"/>
      <w:lvlJc w:val="left"/>
      <w:pPr>
        <w:ind w:left="4638" w:hanging="360"/>
      </w:pPr>
      <w:rPr>
        <w:rFonts w:hint="default"/>
        <w:lang w:val="en-US" w:eastAsia="en-US" w:bidi="ar-SA"/>
      </w:rPr>
    </w:lvl>
    <w:lvl w:ilvl="4" w:tplc="7D1057C4">
      <w:numFmt w:val="bullet"/>
      <w:lvlText w:val="•"/>
      <w:lvlJc w:val="left"/>
      <w:pPr>
        <w:ind w:left="5444" w:hanging="360"/>
      </w:pPr>
      <w:rPr>
        <w:rFonts w:hint="default"/>
        <w:lang w:val="en-US" w:eastAsia="en-US" w:bidi="ar-SA"/>
      </w:rPr>
    </w:lvl>
    <w:lvl w:ilvl="5" w:tplc="51DE4BAA">
      <w:numFmt w:val="bullet"/>
      <w:lvlText w:val="•"/>
      <w:lvlJc w:val="left"/>
      <w:pPr>
        <w:ind w:left="6250" w:hanging="360"/>
      </w:pPr>
      <w:rPr>
        <w:rFonts w:hint="default"/>
        <w:lang w:val="en-US" w:eastAsia="en-US" w:bidi="ar-SA"/>
      </w:rPr>
    </w:lvl>
    <w:lvl w:ilvl="6" w:tplc="4DEE2D92">
      <w:numFmt w:val="bullet"/>
      <w:lvlText w:val="•"/>
      <w:lvlJc w:val="left"/>
      <w:pPr>
        <w:ind w:left="7056" w:hanging="360"/>
      </w:pPr>
      <w:rPr>
        <w:rFonts w:hint="default"/>
        <w:lang w:val="en-US" w:eastAsia="en-US" w:bidi="ar-SA"/>
      </w:rPr>
    </w:lvl>
    <w:lvl w:ilvl="7" w:tplc="9D182C20">
      <w:numFmt w:val="bullet"/>
      <w:lvlText w:val="•"/>
      <w:lvlJc w:val="left"/>
      <w:pPr>
        <w:ind w:left="7862" w:hanging="360"/>
      </w:pPr>
      <w:rPr>
        <w:rFonts w:hint="default"/>
        <w:lang w:val="en-US" w:eastAsia="en-US" w:bidi="ar-SA"/>
      </w:rPr>
    </w:lvl>
    <w:lvl w:ilvl="8" w:tplc="2AF082E0">
      <w:numFmt w:val="bullet"/>
      <w:lvlText w:val="•"/>
      <w:lvlJc w:val="left"/>
      <w:pPr>
        <w:ind w:left="8668" w:hanging="360"/>
      </w:pPr>
      <w:rPr>
        <w:rFonts w:hint="default"/>
        <w:lang w:val="en-US" w:eastAsia="en-US" w:bidi="ar-SA"/>
      </w:rPr>
    </w:lvl>
  </w:abstractNum>
  <w:abstractNum w:abstractNumId="144" w15:restartNumberingAfterBreak="0">
    <w:nsid w:val="57120B84"/>
    <w:multiLevelType w:val="hybridMultilevel"/>
    <w:tmpl w:val="F99444EE"/>
    <w:lvl w:ilvl="0" w:tplc="AA32C594">
      <w:start w:val="10"/>
      <w:numFmt w:val="decimal"/>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6B96F076">
      <w:start w:val="1"/>
      <w:numFmt w:val="lowerLetter"/>
      <w:lvlText w:val="%2."/>
      <w:lvlJc w:val="left"/>
      <w:pPr>
        <w:ind w:left="2000" w:hanging="360"/>
      </w:pPr>
      <w:rPr>
        <w:rFonts w:ascii="Arial" w:eastAsia="Arial" w:hAnsi="Arial" w:cs="Arial" w:hint="default"/>
        <w:b w:val="0"/>
        <w:bCs w:val="0"/>
        <w:i w:val="0"/>
        <w:iCs w:val="0"/>
        <w:spacing w:val="0"/>
        <w:w w:val="99"/>
        <w:sz w:val="22"/>
        <w:szCs w:val="22"/>
        <w:lang w:val="en-US" w:eastAsia="en-US" w:bidi="ar-SA"/>
      </w:rPr>
    </w:lvl>
    <w:lvl w:ilvl="2" w:tplc="5E88F482">
      <w:numFmt w:val="bullet"/>
      <w:lvlText w:val=""/>
      <w:lvlJc w:val="left"/>
      <w:pPr>
        <w:ind w:left="2359" w:hanging="360"/>
      </w:pPr>
      <w:rPr>
        <w:rFonts w:ascii="Symbol" w:eastAsia="Symbol" w:hAnsi="Symbol" w:cs="Symbol" w:hint="default"/>
        <w:b w:val="0"/>
        <w:bCs w:val="0"/>
        <w:i w:val="0"/>
        <w:iCs w:val="0"/>
        <w:spacing w:val="0"/>
        <w:w w:val="99"/>
        <w:sz w:val="22"/>
        <w:szCs w:val="22"/>
        <w:lang w:val="en-US" w:eastAsia="en-US" w:bidi="ar-SA"/>
      </w:rPr>
    </w:lvl>
    <w:lvl w:ilvl="3" w:tplc="E76235FC">
      <w:numFmt w:val="bullet"/>
      <w:lvlText w:val="o"/>
      <w:lvlJc w:val="left"/>
      <w:pPr>
        <w:ind w:left="2359" w:hanging="360"/>
      </w:pPr>
      <w:rPr>
        <w:rFonts w:ascii="Courier New" w:eastAsia="Courier New" w:hAnsi="Courier New" w:cs="Courier New" w:hint="default"/>
        <w:b w:val="0"/>
        <w:bCs w:val="0"/>
        <w:i w:val="0"/>
        <w:iCs w:val="0"/>
        <w:spacing w:val="0"/>
        <w:w w:val="99"/>
        <w:sz w:val="22"/>
        <w:szCs w:val="22"/>
        <w:lang w:val="en-US" w:eastAsia="en-US" w:bidi="ar-SA"/>
      </w:rPr>
    </w:lvl>
    <w:lvl w:ilvl="4" w:tplc="5F4AF53A">
      <w:numFmt w:val="bullet"/>
      <w:lvlText w:val="•"/>
      <w:lvlJc w:val="left"/>
      <w:pPr>
        <w:ind w:left="4245" w:hanging="360"/>
      </w:pPr>
      <w:rPr>
        <w:rFonts w:hint="default"/>
        <w:lang w:val="en-US" w:eastAsia="en-US" w:bidi="ar-SA"/>
      </w:rPr>
    </w:lvl>
    <w:lvl w:ilvl="5" w:tplc="76A06B54">
      <w:numFmt w:val="bullet"/>
      <w:lvlText w:val="•"/>
      <w:lvlJc w:val="left"/>
      <w:pPr>
        <w:ind w:left="5187" w:hanging="360"/>
      </w:pPr>
      <w:rPr>
        <w:rFonts w:hint="default"/>
        <w:lang w:val="en-US" w:eastAsia="en-US" w:bidi="ar-SA"/>
      </w:rPr>
    </w:lvl>
    <w:lvl w:ilvl="6" w:tplc="CFAEE50E">
      <w:numFmt w:val="bullet"/>
      <w:lvlText w:val="•"/>
      <w:lvlJc w:val="left"/>
      <w:pPr>
        <w:ind w:left="6130" w:hanging="360"/>
      </w:pPr>
      <w:rPr>
        <w:rFonts w:hint="default"/>
        <w:lang w:val="en-US" w:eastAsia="en-US" w:bidi="ar-SA"/>
      </w:rPr>
    </w:lvl>
    <w:lvl w:ilvl="7" w:tplc="C814564C">
      <w:numFmt w:val="bullet"/>
      <w:lvlText w:val="•"/>
      <w:lvlJc w:val="left"/>
      <w:pPr>
        <w:ind w:left="7072" w:hanging="360"/>
      </w:pPr>
      <w:rPr>
        <w:rFonts w:hint="default"/>
        <w:lang w:val="en-US" w:eastAsia="en-US" w:bidi="ar-SA"/>
      </w:rPr>
    </w:lvl>
    <w:lvl w:ilvl="8" w:tplc="1D746366">
      <w:numFmt w:val="bullet"/>
      <w:lvlText w:val="•"/>
      <w:lvlJc w:val="left"/>
      <w:pPr>
        <w:ind w:left="8015" w:hanging="360"/>
      </w:pPr>
      <w:rPr>
        <w:rFonts w:hint="default"/>
        <w:lang w:val="en-US" w:eastAsia="en-US" w:bidi="ar-SA"/>
      </w:rPr>
    </w:lvl>
  </w:abstractNum>
  <w:abstractNum w:abstractNumId="145" w15:restartNumberingAfterBreak="0">
    <w:nsid w:val="57564C4E"/>
    <w:multiLevelType w:val="hybridMultilevel"/>
    <w:tmpl w:val="390836EA"/>
    <w:lvl w:ilvl="0" w:tplc="21BC7E28">
      <w:start w:val="14"/>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434C45D6">
      <w:numFmt w:val="bullet"/>
      <w:lvlText w:val=""/>
      <w:lvlJc w:val="left"/>
      <w:pPr>
        <w:ind w:left="1514" w:hanging="270"/>
      </w:pPr>
      <w:rPr>
        <w:rFonts w:ascii="Symbol" w:eastAsia="Symbol" w:hAnsi="Symbol" w:cs="Symbol" w:hint="default"/>
        <w:spacing w:val="0"/>
        <w:w w:val="99"/>
        <w:lang w:val="en-US" w:eastAsia="en-US" w:bidi="ar-SA"/>
      </w:rPr>
    </w:lvl>
    <w:lvl w:ilvl="2" w:tplc="8FBA59DA">
      <w:numFmt w:val="bullet"/>
      <w:lvlText w:val="•"/>
      <w:lvlJc w:val="left"/>
      <w:pPr>
        <w:ind w:left="2167" w:hanging="270"/>
      </w:pPr>
      <w:rPr>
        <w:rFonts w:hint="default"/>
        <w:lang w:val="en-US" w:eastAsia="en-US" w:bidi="ar-SA"/>
      </w:rPr>
    </w:lvl>
    <w:lvl w:ilvl="3" w:tplc="7CD6A6FA">
      <w:numFmt w:val="bullet"/>
      <w:lvlText w:val="•"/>
      <w:lvlJc w:val="left"/>
      <w:pPr>
        <w:ind w:left="2815" w:hanging="270"/>
      </w:pPr>
      <w:rPr>
        <w:rFonts w:hint="default"/>
        <w:lang w:val="en-US" w:eastAsia="en-US" w:bidi="ar-SA"/>
      </w:rPr>
    </w:lvl>
    <w:lvl w:ilvl="4" w:tplc="3300EFBE">
      <w:numFmt w:val="bullet"/>
      <w:lvlText w:val="•"/>
      <w:lvlJc w:val="left"/>
      <w:pPr>
        <w:ind w:left="3463" w:hanging="270"/>
      </w:pPr>
      <w:rPr>
        <w:rFonts w:hint="default"/>
        <w:lang w:val="en-US" w:eastAsia="en-US" w:bidi="ar-SA"/>
      </w:rPr>
    </w:lvl>
    <w:lvl w:ilvl="5" w:tplc="D11486DE">
      <w:numFmt w:val="bullet"/>
      <w:lvlText w:val="•"/>
      <w:lvlJc w:val="left"/>
      <w:pPr>
        <w:ind w:left="4111" w:hanging="270"/>
      </w:pPr>
      <w:rPr>
        <w:rFonts w:hint="default"/>
        <w:lang w:val="en-US" w:eastAsia="en-US" w:bidi="ar-SA"/>
      </w:rPr>
    </w:lvl>
    <w:lvl w:ilvl="6" w:tplc="7124E40E">
      <w:numFmt w:val="bullet"/>
      <w:lvlText w:val="•"/>
      <w:lvlJc w:val="left"/>
      <w:pPr>
        <w:ind w:left="4758" w:hanging="270"/>
      </w:pPr>
      <w:rPr>
        <w:rFonts w:hint="default"/>
        <w:lang w:val="en-US" w:eastAsia="en-US" w:bidi="ar-SA"/>
      </w:rPr>
    </w:lvl>
    <w:lvl w:ilvl="7" w:tplc="AEAC8E68">
      <w:numFmt w:val="bullet"/>
      <w:lvlText w:val="•"/>
      <w:lvlJc w:val="left"/>
      <w:pPr>
        <w:ind w:left="5406" w:hanging="270"/>
      </w:pPr>
      <w:rPr>
        <w:rFonts w:hint="default"/>
        <w:lang w:val="en-US" w:eastAsia="en-US" w:bidi="ar-SA"/>
      </w:rPr>
    </w:lvl>
    <w:lvl w:ilvl="8" w:tplc="AEBE1F7E">
      <w:numFmt w:val="bullet"/>
      <w:lvlText w:val="•"/>
      <w:lvlJc w:val="left"/>
      <w:pPr>
        <w:ind w:left="6054" w:hanging="270"/>
      </w:pPr>
      <w:rPr>
        <w:rFonts w:hint="default"/>
        <w:lang w:val="en-US" w:eastAsia="en-US" w:bidi="ar-SA"/>
      </w:rPr>
    </w:lvl>
  </w:abstractNum>
  <w:abstractNum w:abstractNumId="146" w15:restartNumberingAfterBreak="0">
    <w:nsid w:val="575F1504"/>
    <w:multiLevelType w:val="hybridMultilevel"/>
    <w:tmpl w:val="C6F8BDD2"/>
    <w:lvl w:ilvl="0" w:tplc="AECEA144">
      <w:start w:val="2"/>
      <w:numFmt w:val="decimal"/>
      <w:lvlText w:val="%1."/>
      <w:lvlJc w:val="left"/>
      <w:pPr>
        <w:ind w:left="435" w:hanging="359"/>
      </w:pPr>
      <w:rPr>
        <w:rFonts w:ascii="Arial" w:eastAsia="Arial" w:hAnsi="Arial" w:cs="Arial" w:hint="default"/>
        <w:b w:val="0"/>
        <w:bCs w:val="0"/>
        <w:i w:val="0"/>
        <w:iCs w:val="0"/>
        <w:spacing w:val="0"/>
        <w:w w:val="99"/>
        <w:sz w:val="22"/>
        <w:szCs w:val="22"/>
        <w:lang w:val="en-US" w:eastAsia="en-US" w:bidi="ar-SA"/>
      </w:rPr>
    </w:lvl>
    <w:lvl w:ilvl="1" w:tplc="147650DC">
      <w:numFmt w:val="bullet"/>
      <w:lvlText w:val=""/>
      <w:lvlJc w:val="left"/>
      <w:pPr>
        <w:ind w:left="622" w:hanging="179"/>
      </w:pPr>
      <w:rPr>
        <w:rFonts w:ascii="Symbol" w:eastAsia="Symbol" w:hAnsi="Symbol" w:cs="Symbol" w:hint="default"/>
        <w:b w:val="0"/>
        <w:bCs w:val="0"/>
        <w:i w:val="0"/>
        <w:iCs w:val="0"/>
        <w:spacing w:val="0"/>
        <w:w w:val="99"/>
        <w:sz w:val="16"/>
        <w:szCs w:val="16"/>
        <w:lang w:val="en-US" w:eastAsia="en-US" w:bidi="ar-SA"/>
      </w:rPr>
    </w:lvl>
    <w:lvl w:ilvl="2" w:tplc="91C47F70">
      <w:numFmt w:val="bullet"/>
      <w:lvlText w:val="•"/>
      <w:lvlJc w:val="left"/>
      <w:pPr>
        <w:ind w:left="1268" w:hanging="179"/>
      </w:pPr>
      <w:rPr>
        <w:rFonts w:hint="default"/>
        <w:lang w:val="en-US" w:eastAsia="en-US" w:bidi="ar-SA"/>
      </w:rPr>
    </w:lvl>
    <w:lvl w:ilvl="3" w:tplc="6846BDCC">
      <w:numFmt w:val="bullet"/>
      <w:lvlText w:val="•"/>
      <w:lvlJc w:val="left"/>
      <w:pPr>
        <w:ind w:left="1916" w:hanging="179"/>
      </w:pPr>
      <w:rPr>
        <w:rFonts w:hint="default"/>
        <w:lang w:val="en-US" w:eastAsia="en-US" w:bidi="ar-SA"/>
      </w:rPr>
    </w:lvl>
    <w:lvl w:ilvl="4" w:tplc="E97264CC">
      <w:numFmt w:val="bullet"/>
      <w:lvlText w:val="•"/>
      <w:lvlJc w:val="left"/>
      <w:pPr>
        <w:ind w:left="2564" w:hanging="179"/>
      </w:pPr>
      <w:rPr>
        <w:rFonts w:hint="default"/>
        <w:lang w:val="en-US" w:eastAsia="en-US" w:bidi="ar-SA"/>
      </w:rPr>
    </w:lvl>
    <w:lvl w:ilvl="5" w:tplc="6D12E7A8">
      <w:numFmt w:val="bullet"/>
      <w:lvlText w:val="•"/>
      <w:lvlJc w:val="left"/>
      <w:pPr>
        <w:ind w:left="3212" w:hanging="179"/>
      </w:pPr>
      <w:rPr>
        <w:rFonts w:hint="default"/>
        <w:lang w:val="en-US" w:eastAsia="en-US" w:bidi="ar-SA"/>
      </w:rPr>
    </w:lvl>
    <w:lvl w:ilvl="6" w:tplc="9C1A229C">
      <w:numFmt w:val="bullet"/>
      <w:lvlText w:val="•"/>
      <w:lvlJc w:val="left"/>
      <w:pPr>
        <w:ind w:left="3860" w:hanging="179"/>
      </w:pPr>
      <w:rPr>
        <w:rFonts w:hint="default"/>
        <w:lang w:val="en-US" w:eastAsia="en-US" w:bidi="ar-SA"/>
      </w:rPr>
    </w:lvl>
    <w:lvl w:ilvl="7" w:tplc="21366368">
      <w:numFmt w:val="bullet"/>
      <w:lvlText w:val="•"/>
      <w:lvlJc w:val="left"/>
      <w:pPr>
        <w:ind w:left="4508" w:hanging="179"/>
      </w:pPr>
      <w:rPr>
        <w:rFonts w:hint="default"/>
        <w:lang w:val="en-US" w:eastAsia="en-US" w:bidi="ar-SA"/>
      </w:rPr>
    </w:lvl>
    <w:lvl w:ilvl="8" w:tplc="EA1E1D6A">
      <w:numFmt w:val="bullet"/>
      <w:lvlText w:val="•"/>
      <w:lvlJc w:val="left"/>
      <w:pPr>
        <w:ind w:left="5156" w:hanging="179"/>
      </w:pPr>
      <w:rPr>
        <w:rFonts w:hint="default"/>
        <w:lang w:val="en-US" w:eastAsia="en-US" w:bidi="ar-SA"/>
      </w:rPr>
    </w:lvl>
  </w:abstractNum>
  <w:abstractNum w:abstractNumId="147" w15:restartNumberingAfterBreak="0">
    <w:nsid w:val="576D3847"/>
    <w:multiLevelType w:val="hybridMultilevel"/>
    <w:tmpl w:val="896EDAFC"/>
    <w:lvl w:ilvl="0" w:tplc="6EEE0610">
      <w:start w:val="10"/>
      <w:numFmt w:val="decimal"/>
      <w:lvlText w:val=".%1"/>
      <w:lvlJc w:val="left"/>
      <w:pPr>
        <w:ind w:left="1859" w:hanging="721"/>
      </w:pPr>
      <w:rPr>
        <w:rFonts w:ascii="Arial" w:eastAsia="Arial" w:hAnsi="Arial" w:cs="Arial" w:hint="default"/>
        <w:b w:val="0"/>
        <w:bCs w:val="0"/>
        <w:i w:val="0"/>
        <w:iCs w:val="0"/>
        <w:spacing w:val="0"/>
        <w:w w:val="99"/>
        <w:sz w:val="22"/>
        <w:szCs w:val="22"/>
        <w:lang w:val="en-US" w:eastAsia="en-US" w:bidi="ar-SA"/>
      </w:rPr>
    </w:lvl>
    <w:lvl w:ilvl="1" w:tplc="0ED2EB9A">
      <w:start w:val="1"/>
      <w:numFmt w:val="lowerLetter"/>
      <w:lvlText w:val="%2."/>
      <w:lvlJc w:val="left"/>
      <w:pPr>
        <w:ind w:left="2219" w:hanging="360"/>
      </w:pPr>
      <w:rPr>
        <w:rFonts w:ascii="Arial" w:eastAsia="Arial" w:hAnsi="Arial" w:cs="Arial" w:hint="default"/>
        <w:b w:val="0"/>
        <w:bCs w:val="0"/>
        <w:i w:val="0"/>
        <w:iCs w:val="0"/>
        <w:spacing w:val="0"/>
        <w:w w:val="99"/>
        <w:sz w:val="22"/>
        <w:szCs w:val="22"/>
        <w:lang w:val="en-US" w:eastAsia="en-US" w:bidi="ar-SA"/>
      </w:rPr>
    </w:lvl>
    <w:lvl w:ilvl="2" w:tplc="2208E656">
      <w:numFmt w:val="bullet"/>
      <w:lvlText w:val=""/>
      <w:lvlJc w:val="left"/>
      <w:pPr>
        <w:ind w:left="2579" w:hanging="360"/>
      </w:pPr>
      <w:rPr>
        <w:rFonts w:ascii="Symbol" w:eastAsia="Symbol" w:hAnsi="Symbol" w:cs="Symbol" w:hint="default"/>
        <w:b w:val="0"/>
        <w:bCs w:val="0"/>
        <w:i w:val="0"/>
        <w:iCs w:val="0"/>
        <w:spacing w:val="0"/>
        <w:w w:val="99"/>
        <w:sz w:val="22"/>
        <w:szCs w:val="22"/>
        <w:lang w:val="en-US" w:eastAsia="en-US" w:bidi="ar-SA"/>
      </w:rPr>
    </w:lvl>
    <w:lvl w:ilvl="3" w:tplc="030E6DC6">
      <w:numFmt w:val="bullet"/>
      <w:lvlText w:val="•"/>
      <w:lvlJc w:val="left"/>
      <w:pPr>
        <w:ind w:left="3542" w:hanging="360"/>
      </w:pPr>
      <w:rPr>
        <w:rFonts w:hint="default"/>
        <w:lang w:val="en-US" w:eastAsia="en-US" w:bidi="ar-SA"/>
      </w:rPr>
    </w:lvl>
    <w:lvl w:ilvl="4" w:tplc="D0144C3E">
      <w:numFmt w:val="bullet"/>
      <w:lvlText w:val="•"/>
      <w:lvlJc w:val="left"/>
      <w:pPr>
        <w:ind w:left="4505" w:hanging="360"/>
      </w:pPr>
      <w:rPr>
        <w:rFonts w:hint="default"/>
        <w:lang w:val="en-US" w:eastAsia="en-US" w:bidi="ar-SA"/>
      </w:rPr>
    </w:lvl>
    <w:lvl w:ilvl="5" w:tplc="6E368292">
      <w:numFmt w:val="bullet"/>
      <w:lvlText w:val="•"/>
      <w:lvlJc w:val="left"/>
      <w:pPr>
        <w:ind w:left="5467" w:hanging="360"/>
      </w:pPr>
      <w:rPr>
        <w:rFonts w:hint="default"/>
        <w:lang w:val="en-US" w:eastAsia="en-US" w:bidi="ar-SA"/>
      </w:rPr>
    </w:lvl>
    <w:lvl w:ilvl="6" w:tplc="BAFE231E">
      <w:numFmt w:val="bullet"/>
      <w:lvlText w:val="•"/>
      <w:lvlJc w:val="left"/>
      <w:pPr>
        <w:ind w:left="6430" w:hanging="360"/>
      </w:pPr>
      <w:rPr>
        <w:rFonts w:hint="default"/>
        <w:lang w:val="en-US" w:eastAsia="en-US" w:bidi="ar-SA"/>
      </w:rPr>
    </w:lvl>
    <w:lvl w:ilvl="7" w:tplc="B2A4EAB2">
      <w:numFmt w:val="bullet"/>
      <w:lvlText w:val="•"/>
      <w:lvlJc w:val="left"/>
      <w:pPr>
        <w:ind w:left="7392" w:hanging="360"/>
      </w:pPr>
      <w:rPr>
        <w:rFonts w:hint="default"/>
        <w:lang w:val="en-US" w:eastAsia="en-US" w:bidi="ar-SA"/>
      </w:rPr>
    </w:lvl>
    <w:lvl w:ilvl="8" w:tplc="69EE39B2">
      <w:numFmt w:val="bullet"/>
      <w:lvlText w:val="•"/>
      <w:lvlJc w:val="left"/>
      <w:pPr>
        <w:ind w:left="8355" w:hanging="360"/>
      </w:pPr>
      <w:rPr>
        <w:rFonts w:hint="default"/>
        <w:lang w:val="en-US" w:eastAsia="en-US" w:bidi="ar-SA"/>
      </w:rPr>
    </w:lvl>
  </w:abstractNum>
  <w:abstractNum w:abstractNumId="148" w15:restartNumberingAfterBreak="0">
    <w:nsid w:val="588950A3"/>
    <w:multiLevelType w:val="hybridMultilevel"/>
    <w:tmpl w:val="82C0A710"/>
    <w:lvl w:ilvl="0" w:tplc="98B84408">
      <w:numFmt w:val="bullet"/>
      <w:lvlText w:val=""/>
      <w:lvlJc w:val="left"/>
      <w:pPr>
        <w:ind w:left="1205" w:hanging="360"/>
      </w:pPr>
      <w:rPr>
        <w:rFonts w:ascii="Symbol" w:eastAsia="Symbol" w:hAnsi="Symbol" w:cs="Symbol" w:hint="default"/>
        <w:b w:val="0"/>
        <w:bCs w:val="0"/>
        <w:i w:val="0"/>
        <w:iCs w:val="0"/>
        <w:spacing w:val="0"/>
        <w:w w:val="99"/>
        <w:sz w:val="22"/>
        <w:szCs w:val="22"/>
        <w:lang w:val="en-US" w:eastAsia="en-US" w:bidi="ar-SA"/>
      </w:rPr>
    </w:lvl>
    <w:lvl w:ilvl="1" w:tplc="36748FE4">
      <w:numFmt w:val="bullet"/>
      <w:lvlText w:val="•"/>
      <w:lvlJc w:val="left"/>
      <w:pPr>
        <w:ind w:left="1767" w:hanging="360"/>
      </w:pPr>
      <w:rPr>
        <w:rFonts w:hint="default"/>
        <w:lang w:val="en-US" w:eastAsia="en-US" w:bidi="ar-SA"/>
      </w:rPr>
    </w:lvl>
    <w:lvl w:ilvl="2" w:tplc="994EDBC8">
      <w:numFmt w:val="bullet"/>
      <w:lvlText w:val="•"/>
      <w:lvlJc w:val="left"/>
      <w:pPr>
        <w:ind w:left="2334" w:hanging="360"/>
      </w:pPr>
      <w:rPr>
        <w:rFonts w:hint="default"/>
        <w:lang w:val="en-US" w:eastAsia="en-US" w:bidi="ar-SA"/>
      </w:rPr>
    </w:lvl>
    <w:lvl w:ilvl="3" w:tplc="1C484060">
      <w:numFmt w:val="bullet"/>
      <w:lvlText w:val="•"/>
      <w:lvlJc w:val="left"/>
      <w:pPr>
        <w:ind w:left="2901" w:hanging="360"/>
      </w:pPr>
      <w:rPr>
        <w:rFonts w:hint="default"/>
        <w:lang w:val="en-US" w:eastAsia="en-US" w:bidi="ar-SA"/>
      </w:rPr>
    </w:lvl>
    <w:lvl w:ilvl="4" w:tplc="100E40A0">
      <w:numFmt w:val="bullet"/>
      <w:lvlText w:val="•"/>
      <w:lvlJc w:val="left"/>
      <w:pPr>
        <w:ind w:left="3469" w:hanging="360"/>
      </w:pPr>
      <w:rPr>
        <w:rFonts w:hint="default"/>
        <w:lang w:val="en-US" w:eastAsia="en-US" w:bidi="ar-SA"/>
      </w:rPr>
    </w:lvl>
    <w:lvl w:ilvl="5" w:tplc="A75AC656">
      <w:numFmt w:val="bullet"/>
      <w:lvlText w:val="•"/>
      <w:lvlJc w:val="left"/>
      <w:pPr>
        <w:ind w:left="4036" w:hanging="360"/>
      </w:pPr>
      <w:rPr>
        <w:rFonts w:hint="default"/>
        <w:lang w:val="en-US" w:eastAsia="en-US" w:bidi="ar-SA"/>
      </w:rPr>
    </w:lvl>
    <w:lvl w:ilvl="6" w:tplc="7B6C8434">
      <w:numFmt w:val="bullet"/>
      <w:lvlText w:val="•"/>
      <w:lvlJc w:val="left"/>
      <w:pPr>
        <w:ind w:left="4603" w:hanging="360"/>
      </w:pPr>
      <w:rPr>
        <w:rFonts w:hint="default"/>
        <w:lang w:val="en-US" w:eastAsia="en-US" w:bidi="ar-SA"/>
      </w:rPr>
    </w:lvl>
    <w:lvl w:ilvl="7" w:tplc="38BA859E">
      <w:numFmt w:val="bullet"/>
      <w:lvlText w:val="•"/>
      <w:lvlJc w:val="left"/>
      <w:pPr>
        <w:ind w:left="5171" w:hanging="360"/>
      </w:pPr>
      <w:rPr>
        <w:rFonts w:hint="default"/>
        <w:lang w:val="en-US" w:eastAsia="en-US" w:bidi="ar-SA"/>
      </w:rPr>
    </w:lvl>
    <w:lvl w:ilvl="8" w:tplc="8690CC1E">
      <w:numFmt w:val="bullet"/>
      <w:lvlText w:val="•"/>
      <w:lvlJc w:val="left"/>
      <w:pPr>
        <w:ind w:left="5738" w:hanging="360"/>
      </w:pPr>
      <w:rPr>
        <w:rFonts w:hint="default"/>
        <w:lang w:val="en-US" w:eastAsia="en-US" w:bidi="ar-SA"/>
      </w:rPr>
    </w:lvl>
  </w:abstractNum>
  <w:abstractNum w:abstractNumId="149" w15:restartNumberingAfterBreak="0">
    <w:nsid w:val="58A87167"/>
    <w:multiLevelType w:val="hybridMultilevel"/>
    <w:tmpl w:val="B074E108"/>
    <w:lvl w:ilvl="0" w:tplc="77BC0402">
      <w:start w:val="3"/>
      <w:numFmt w:val="lowerLetter"/>
      <w:lvlText w:val="%1)"/>
      <w:lvlJc w:val="left"/>
      <w:pPr>
        <w:ind w:left="1244" w:hanging="577"/>
      </w:pPr>
      <w:rPr>
        <w:rFonts w:ascii="Arial" w:eastAsia="Arial" w:hAnsi="Arial" w:cs="Arial" w:hint="default"/>
        <w:b w:val="0"/>
        <w:bCs w:val="0"/>
        <w:i w:val="0"/>
        <w:iCs w:val="0"/>
        <w:spacing w:val="0"/>
        <w:w w:val="99"/>
        <w:sz w:val="22"/>
        <w:szCs w:val="22"/>
        <w:lang w:val="en-US" w:eastAsia="en-US" w:bidi="ar-SA"/>
      </w:rPr>
    </w:lvl>
    <w:lvl w:ilvl="1" w:tplc="33ACD1F4">
      <w:start w:val="1"/>
      <w:numFmt w:val="lowerRoman"/>
      <w:lvlText w:val="%2."/>
      <w:lvlJc w:val="left"/>
      <w:pPr>
        <w:ind w:left="1608" w:hanging="291"/>
        <w:jc w:val="right"/>
      </w:pPr>
      <w:rPr>
        <w:rFonts w:ascii="Arial" w:eastAsia="Arial" w:hAnsi="Arial" w:cs="Arial" w:hint="default"/>
        <w:b w:val="0"/>
        <w:bCs w:val="0"/>
        <w:i w:val="0"/>
        <w:iCs w:val="0"/>
        <w:spacing w:val="0"/>
        <w:w w:val="99"/>
        <w:sz w:val="22"/>
        <w:szCs w:val="22"/>
        <w:lang w:val="en-US" w:eastAsia="en-US" w:bidi="ar-SA"/>
      </w:rPr>
    </w:lvl>
    <w:lvl w:ilvl="2" w:tplc="20F0F680">
      <w:numFmt w:val="bullet"/>
      <w:lvlText w:val="•"/>
      <w:lvlJc w:val="left"/>
      <w:pPr>
        <w:ind w:left="2165" w:hanging="291"/>
      </w:pPr>
      <w:rPr>
        <w:rFonts w:hint="default"/>
        <w:lang w:val="en-US" w:eastAsia="en-US" w:bidi="ar-SA"/>
      </w:rPr>
    </w:lvl>
    <w:lvl w:ilvl="3" w:tplc="31C60450">
      <w:numFmt w:val="bullet"/>
      <w:lvlText w:val="•"/>
      <w:lvlJc w:val="left"/>
      <w:pPr>
        <w:ind w:left="2731" w:hanging="291"/>
      </w:pPr>
      <w:rPr>
        <w:rFonts w:hint="default"/>
        <w:lang w:val="en-US" w:eastAsia="en-US" w:bidi="ar-SA"/>
      </w:rPr>
    </w:lvl>
    <w:lvl w:ilvl="4" w:tplc="CFEC121A">
      <w:numFmt w:val="bullet"/>
      <w:lvlText w:val="•"/>
      <w:lvlJc w:val="left"/>
      <w:pPr>
        <w:ind w:left="3297" w:hanging="291"/>
      </w:pPr>
      <w:rPr>
        <w:rFonts w:hint="default"/>
        <w:lang w:val="en-US" w:eastAsia="en-US" w:bidi="ar-SA"/>
      </w:rPr>
    </w:lvl>
    <w:lvl w:ilvl="5" w:tplc="BACEF28A">
      <w:numFmt w:val="bullet"/>
      <w:lvlText w:val="•"/>
      <w:lvlJc w:val="left"/>
      <w:pPr>
        <w:ind w:left="3862" w:hanging="291"/>
      </w:pPr>
      <w:rPr>
        <w:rFonts w:hint="default"/>
        <w:lang w:val="en-US" w:eastAsia="en-US" w:bidi="ar-SA"/>
      </w:rPr>
    </w:lvl>
    <w:lvl w:ilvl="6" w:tplc="52DC4866">
      <w:numFmt w:val="bullet"/>
      <w:lvlText w:val="•"/>
      <w:lvlJc w:val="left"/>
      <w:pPr>
        <w:ind w:left="4428" w:hanging="291"/>
      </w:pPr>
      <w:rPr>
        <w:rFonts w:hint="default"/>
        <w:lang w:val="en-US" w:eastAsia="en-US" w:bidi="ar-SA"/>
      </w:rPr>
    </w:lvl>
    <w:lvl w:ilvl="7" w:tplc="BED22A94">
      <w:numFmt w:val="bullet"/>
      <w:lvlText w:val="•"/>
      <w:lvlJc w:val="left"/>
      <w:pPr>
        <w:ind w:left="4994" w:hanging="291"/>
      </w:pPr>
      <w:rPr>
        <w:rFonts w:hint="default"/>
        <w:lang w:val="en-US" w:eastAsia="en-US" w:bidi="ar-SA"/>
      </w:rPr>
    </w:lvl>
    <w:lvl w:ilvl="8" w:tplc="F5985B50">
      <w:numFmt w:val="bullet"/>
      <w:lvlText w:val="•"/>
      <w:lvlJc w:val="left"/>
      <w:pPr>
        <w:ind w:left="5560" w:hanging="291"/>
      </w:pPr>
      <w:rPr>
        <w:rFonts w:hint="default"/>
        <w:lang w:val="en-US" w:eastAsia="en-US" w:bidi="ar-SA"/>
      </w:rPr>
    </w:lvl>
  </w:abstractNum>
  <w:abstractNum w:abstractNumId="150" w15:restartNumberingAfterBreak="0">
    <w:nsid w:val="591A1400"/>
    <w:multiLevelType w:val="hybridMultilevel"/>
    <w:tmpl w:val="0D84EADA"/>
    <w:lvl w:ilvl="0" w:tplc="6FB29DC0">
      <w:start w:val="15"/>
      <w:numFmt w:val="decimal"/>
      <w:lvlText w:val="(%1)"/>
      <w:lvlJc w:val="left"/>
      <w:pPr>
        <w:ind w:left="419" w:hanging="370"/>
      </w:pPr>
      <w:rPr>
        <w:rFonts w:ascii="Arial" w:eastAsia="Arial" w:hAnsi="Arial" w:cs="Arial" w:hint="default"/>
        <w:b w:val="0"/>
        <w:bCs w:val="0"/>
        <w:i w:val="0"/>
        <w:iCs w:val="0"/>
        <w:spacing w:val="-1"/>
        <w:w w:val="100"/>
        <w:sz w:val="18"/>
        <w:szCs w:val="18"/>
        <w:lang w:val="en-US" w:eastAsia="en-US" w:bidi="ar-SA"/>
      </w:rPr>
    </w:lvl>
    <w:lvl w:ilvl="1" w:tplc="6790A066">
      <w:numFmt w:val="bullet"/>
      <w:lvlText w:val="•"/>
      <w:lvlJc w:val="left"/>
      <w:pPr>
        <w:ind w:left="2480" w:hanging="370"/>
      </w:pPr>
      <w:rPr>
        <w:rFonts w:hint="default"/>
        <w:lang w:val="en-US" w:eastAsia="en-US" w:bidi="ar-SA"/>
      </w:rPr>
    </w:lvl>
    <w:lvl w:ilvl="2" w:tplc="E2B001A6">
      <w:numFmt w:val="bullet"/>
      <w:lvlText w:val="•"/>
      <w:lvlJc w:val="left"/>
      <w:pPr>
        <w:ind w:left="4540" w:hanging="370"/>
      </w:pPr>
      <w:rPr>
        <w:rFonts w:hint="default"/>
        <w:lang w:val="en-US" w:eastAsia="en-US" w:bidi="ar-SA"/>
      </w:rPr>
    </w:lvl>
    <w:lvl w:ilvl="3" w:tplc="A5263892">
      <w:numFmt w:val="bullet"/>
      <w:lvlText w:val="•"/>
      <w:lvlJc w:val="left"/>
      <w:pPr>
        <w:ind w:left="6600" w:hanging="370"/>
      </w:pPr>
      <w:rPr>
        <w:rFonts w:hint="default"/>
        <w:lang w:val="en-US" w:eastAsia="en-US" w:bidi="ar-SA"/>
      </w:rPr>
    </w:lvl>
    <w:lvl w:ilvl="4" w:tplc="BF944640">
      <w:numFmt w:val="bullet"/>
      <w:lvlText w:val="•"/>
      <w:lvlJc w:val="left"/>
      <w:pPr>
        <w:ind w:left="8660" w:hanging="370"/>
      </w:pPr>
      <w:rPr>
        <w:rFonts w:hint="default"/>
        <w:lang w:val="en-US" w:eastAsia="en-US" w:bidi="ar-SA"/>
      </w:rPr>
    </w:lvl>
    <w:lvl w:ilvl="5" w:tplc="6396FC4A">
      <w:numFmt w:val="bullet"/>
      <w:lvlText w:val="•"/>
      <w:lvlJc w:val="left"/>
      <w:pPr>
        <w:ind w:left="10721" w:hanging="370"/>
      </w:pPr>
      <w:rPr>
        <w:rFonts w:hint="default"/>
        <w:lang w:val="en-US" w:eastAsia="en-US" w:bidi="ar-SA"/>
      </w:rPr>
    </w:lvl>
    <w:lvl w:ilvl="6" w:tplc="358EE634">
      <w:numFmt w:val="bullet"/>
      <w:lvlText w:val="•"/>
      <w:lvlJc w:val="left"/>
      <w:pPr>
        <w:ind w:left="12781" w:hanging="370"/>
      </w:pPr>
      <w:rPr>
        <w:rFonts w:hint="default"/>
        <w:lang w:val="en-US" w:eastAsia="en-US" w:bidi="ar-SA"/>
      </w:rPr>
    </w:lvl>
    <w:lvl w:ilvl="7" w:tplc="0470B6CC">
      <w:numFmt w:val="bullet"/>
      <w:lvlText w:val="•"/>
      <w:lvlJc w:val="left"/>
      <w:pPr>
        <w:ind w:left="14841" w:hanging="370"/>
      </w:pPr>
      <w:rPr>
        <w:rFonts w:hint="default"/>
        <w:lang w:val="en-US" w:eastAsia="en-US" w:bidi="ar-SA"/>
      </w:rPr>
    </w:lvl>
    <w:lvl w:ilvl="8" w:tplc="25301E1C">
      <w:numFmt w:val="bullet"/>
      <w:lvlText w:val="•"/>
      <w:lvlJc w:val="left"/>
      <w:pPr>
        <w:ind w:left="16901" w:hanging="370"/>
      </w:pPr>
      <w:rPr>
        <w:rFonts w:hint="default"/>
        <w:lang w:val="en-US" w:eastAsia="en-US" w:bidi="ar-SA"/>
      </w:rPr>
    </w:lvl>
  </w:abstractNum>
  <w:abstractNum w:abstractNumId="151" w15:restartNumberingAfterBreak="0">
    <w:nsid w:val="59805DB6"/>
    <w:multiLevelType w:val="hybridMultilevel"/>
    <w:tmpl w:val="9110BC40"/>
    <w:lvl w:ilvl="0" w:tplc="5B123BF6">
      <w:numFmt w:val="bullet"/>
      <w:lvlText w:val=""/>
      <w:lvlJc w:val="left"/>
      <w:pPr>
        <w:ind w:left="1411" w:hanging="360"/>
      </w:pPr>
      <w:rPr>
        <w:rFonts w:ascii="Symbol" w:eastAsia="Symbol" w:hAnsi="Symbol" w:cs="Symbol" w:hint="default"/>
        <w:b w:val="0"/>
        <w:bCs w:val="0"/>
        <w:i w:val="0"/>
        <w:iCs w:val="0"/>
        <w:spacing w:val="0"/>
        <w:w w:val="99"/>
        <w:sz w:val="22"/>
        <w:szCs w:val="22"/>
        <w:lang w:val="en-US" w:eastAsia="en-US" w:bidi="ar-SA"/>
      </w:rPr>
    </w:lvl>
    <w:lvl w:ilvl="1" w:tplc="BC42A7F4">
      <w:numFmt w:val="bullet"/>
      <w:lvlText w:val="•"/>
      <w:lvlJc w:val="left"/>
      <w:pPr>
        <w:ind w:left="1983" w:hanging="360"/>
      </w:pPr>
      <w:rPr>
        <w:rFonts w:hint="default"/>
        <w:lang w:val="en-US" w:eastAsia="en-US" w:bidi="ar-SA"/>
      </w:rPr>
    </w:lvl>
    <w:lvl w:ilvl="2" w:tplc="E07A5D54">
      <w:numFmt w:val="bullet"/>
      <w:lvlText w:val="•"/>
      <w:lvlJc w:val="left"/>
      <w:pPr>
        <w:ind w:left="2546" w:hanging="360"/>
      </w:pPr>
      <w:rPr>
        <w:rFonts w:hint="default"/>
        <w:lang w:val="en-US" w:eastAsia="en-US" w:bidi="ar-SA"/>
      </w:rPr>
    </w:lvl>
    <w:lvl w:ilvl="3" w:tplc="CF2EA41C">
      <w:numFmt w:val="bullet"/>
      <w:lvlText w:val="•"/>
      <w:lvlJc w:val="left"/>
      <w:pPr>
        <w:ind w:left="3109" w:hanging="360"/>
      </w:pPr>
      <w:rPr>
        <w:rFonts w:hint="default"/>
        <w:lang w:val="en-US" w:eastAsia="en-US" w:bidi="ar-SA"/>
      </w:rPr>
    </w:lvl>
    <w:lvl w:ilvl="4" w:tplc="7242E328">
      <w:numFmt w:val="bullet"/>
      <w:lvlText w:val="•"/>
      <w:lvlJc w:val="left"/>
      <w:pPr>
        <w:ind w:left="3672" w:hanging="360"/>
      </w:pPr>
      <w:rPr>
        <w:rFonts w:hint="default"/>
        <w:lang w:val="en-US" w:eastAsia="en-US" w:bidi="ar-SA"/>
      </w:rPr>
    </w:lvl>
    <w:lvl w:ilvl="5" w:tplc="0AF82708">
      <w:numFmt w:val="bullet"/>
      <w:lvlText w:val="•"/>
      <w:lvlJc w:val="left"/>
      <w:pPr>
        <w:ind w:left="4235" w:hanging="360"/>
      </w:pPr>
      <w:rPr>
        <w:rFonts w:hint="default"/>
        <w:lang w:val="en-US" w:eastAsia="en-US" w:bidi="ar-SA"/>
      </w:rPr>
    </w:lvl>
    <w:lvl w:ilvl="6" w:tplc="DDEE6D38">
      <w:numFmt w:val="bullet"/>
      <w:lvlText w:val="•"/>
      <w:lvlJc w:val="left"/>
      <w:pPr>
        <w:ind w:left="4798" w:hanging="360"/>
      </w:pPr>
      <w:rPr>
        <w:rFonts w:hint="default"/>
        <w:lang w:val="en-US" w:eastAsia="en-US" w:bidi="ar-SA"/>
      </w:rPr>
    </w:lvl>
    <w:lvl w:ilvl="7" w:tplc="9ADEB31A">
      <w:numFmt w:val="bullet"/>
      <w:lvlText w:val="•"/>
      <w:lvlJc w:val="left"/>
      <w:pPr>
        <w:ind w:left="5361" w:hanging="360"/>
      </w:pPr>
      <w:rPr>
        <w:rFonts w:hint="default"/>
        <w:lang w:val="en-US" w:eastAsia="en-US" w:bidi="ar-SA"/>
      </w:rPr>
    </w:lvl>
    <w:lvl w:ilvl="8" w:tplc="99C6D476">
      <w:numFmt w:val="bullet"/>
      <w:lvlText w:val="•"/>
      <w:lvlJc w:val="left"/>
      <w:pPr>
        <w:ind w:left="5924" w:hanging="360"/>
      </w:pPr>
      <w:rPr>
        <w:rFonts w:hint="default"/>
        <w:lang w:val="en-US" w:eastAsia="en-US" w:bidi="ar-SA"/>
      </w:rPr>
    </w:lvl>
  </w:abstractNum>
  <w:abstractNum w:abstractNumId="152" w15:restartNumberingAfterBreak="0">
    <w:nsid w:val="59EA3A30"/>
    <w:multiLevelType w:val="hybridMultilevel"/>
    <w:tmpl w:val="F14ED3A6"/>
    <w:lvl w:ilvl="0" w:tplc="FF2277E0">
      <w:numFmt w:val="bullet"/>
      <w:lvlText w:val="o"/>
      <w:lvlJc w:val="left"/>
      <w:pPr>
        <w:ind w:left="2359" w:hanging="360"/>
      </w:pPr>
      <w:rPr>
        <w:rFonts w:ascii="Courier New" w:eastAsia="Courier New" w:hAnsi="Courier New" w:cs="Courier New" w:hint="default"/>
        <w:b w:val="0"/>
        <w:bCs w:val="0"/>
        <w:i w:val="0"/>
        <w:iCs w:val="0"/>
        <w:spacing w:val="0"/>
        <w:w w:val="99"/>
        <w:sz w:val="22"/>
        <w:szCs w:val="22"/>
        <w:lang w:val="en-US" w:eastAsia="en-US" w:bidi="ar-SA"/>
      </w:rPr>
    </w:lvl>
    <w:lvl w:ilvl="1" w:tplc="2BEEAC0C">
      <w:numFmt w:val="bullet"/>
      <w:lvlText w:val="•"/>
      <w:lvlJc w:val="left"/>
      <w:pPr>
        <w:ind w:left="3114" w:hanging="360"/>
      </w:pPr>
      <w:rPr>
        <w:rFonts w:hint="default"/>
        <w:lang w:val="en-US" w:eastAsia="en-US" w:bidi="ar-SA"/>
      </w:rPr>
    </w:lvl>
    <w:lvl w:ilvl="2" w:tplc="C9B6DF66">
      <w:numFmt w:val="bullet"/>
      <w:lvlText w:val="•"/>
      <w:lvlJc w:val="left"/>
      <w:pPr>
        <w:ind w:left="3868" w:hanging="360"/>
      </w:pPr>
      <w:rPr>
        <w:rFonts w:hint="default"/>
        <w:lang w:val="en-US" w:eastAsia="en-US" w:bidi="ar-SA"/>
      </w:rPr>
    </w:lvl>
    <w:lvl w:ilvl="3" w:tplc="CB980624">
      <w:numFmt w:val="bullet"/>
      <w:lvlText w:val="•"/>
      <w:lvlJc w:val="left"/>
      <w:pPr>
        <w:ind w:left="4622" w:hanging="360"/>
      </w:pPr>
      <w:rPr>
        <w:rFonts w:hint="default"/>
        <w:lang w:val="en-US" w:eastAsia="en-US" w:bidi="ar-SA"/>
      </w:rPr>
    </w:lvl>
    <w:lvl w:ilvl="4" w:tplc="F6F0E3CA">
      <w:numFmt w:val="bullet"/>
      <w:lvlText w:val="•"/>
      <w:lvlJc w:val="left"/>
      <w:pPr>
        <w:ind w:left="5376" w:hanging="360"/>
      </w:pPr>
      <w:rPr>
        <w:rFonts w:hint="default"/>
        <w:lang w:val="en-US" w:eastAsia="en-US" w:bidi="ar-SA"/>
      </w:rPr>
    </w:lvl>
    <w:lvl w:ilvl="5" w:tplc="6CA45C5A">
      <w:numFmt w:val="bullet"/>
      <w:lvlText w:val="•"/>
      <w:lvlJc w:val="left"/>
      <w:pPr>
        <w:ind w:left="6130" w:hanging="360"/>
      </w:pPr>
      <w:rPr>
        <w:rFonts w:hint="default"/>
        <w:lang w:val="en-US" w:eastAsia="en-US" w:bidi="ar-SA"/>
      </w:rPr>
    </w:lvl>
    <w:lvl w:ilvl="6" w:tplc="45343CB6">
      <w:numFmt w:val="bullet"/>
      <w:lvlText w:val="•"/>
      <w:lvlJc w:val="left"/>
      <w:pPr>
        <w:ind w:left="6884" w:hanging="360"/>
      </w:pPr>
      <w:rPr>
        <w:rFonts w:hint="default"/>
        <w:lang w:val="en-US" w:eastAsia="en-US" w:bidi="ar-SA"/>
      </w:rPr>
    </w:lvl>
    <w:lvl w:ilvl="7" w:tplc="5DFE661C">
      <w:numFmt w:val="bullet"/>
      <w:lvlText w:val="•"/>
      <w:lvlJc w:val="left"/>
      <w:pPr>
        <w:ind w:left="7638" w:hanging="360"/>
      </w:pPr>
      <w:rPr>
        <w:rFonts w:hint="default"/>
        <w:lang w:val="en-US" w:eastAsia="en-US" w:bidi="ar-SA"/>
      </w:rPr>
    </w:lvl>
    <w:lvl w:ilvl="8" w:tplc="AB08CF0A">
      <w:numFmt w:val="bullet"/>
      <w:lvlText w:val="•"/>
      <w:lvlJc w:val="left"/>
      <w:pPr>
        <w:ind w:left="8392" w:hanging="360"/>
      </w:pPr>
      <w:rPr>
        <w:rFonts w:hint="default"/>
        <w:lang w:val="en-US" w:eastAsia="en-US" w:bidi="ar-SA"/>
      </w:rPr>
    </w:lvl>
  </w:abstractNum>
  <w:abstractNum w:abstractNumId="153" w15:restartNumberingAfterBreak="0">
    <w:nsid w:val="5A4B3DBE"/>
    <w:multiLevelType w:val="hybridMultilevel"/>
    <w:tmpl w:val="E0E8A2B6"/>
    <w:lvl w:ilvl="0" w:tplc="D0864220">
      <w:start w:val="1"/>
      <w:numFmt w:val="lowerLetter"/>
      <w:lvlText w:val="%1."/>
      <w:lvlJc w:val="left"/>
      <w:pPr>
        <w:ind w:left="1999" w:hanging="360"/>
      </w:pPr>
      <w:rPr>
        <w:rFonts w:ascii="Arial" w:eastAsia="Arial" w:hAnsi="Arial" w:cs="Arial" w:hint="default"/>
        <w:b w:val="0"/>
        <w:bCs w:val="0"/>
        <w:i w:val="0"/>
        <w:iCs w:val="0"/>
        <w:spacing w:val="0"/>
        <w:w w:val="99"/>
        <w:sz w:val="22"/>
        <w:szCs w:val="22"/>
        <w:lang w:val="en-US" w:eastAsia="en-US" w:bidi="ar-SA"/>
      </w:rPr>
    </w:lvl>
    <w:lvl w:ilvl="1" w:tplc="4EAEF7F8">
      <w:numFmt w:val="bullet"/>
      <w:lvlText w:val=""/>
      <w:lvlJc w:val="left"/>
      <w:pPr>
        <w:ind w:left="2359" w:hanging="360"/>
      </w:pPr>
      <w:rPr>
        <w:rFonts w:ascii="Symbol" w:eastAsia="Symbol" w:hAnsi="Symbol" w:cs="Symbol" w:hint="default"/>
        <w:b w:val="0"/>
        <w:bCs w:val="0"/>
        <w:i w:val="0"/>
        <w:iCs w:val="0"/>
        <w:spacing w:val="0"/>
        <w:w w:val="99"/>
        <w:sz w:val="22"/>
        <w:szCs w:val="22"/>
        <w:lang w:val="en-US" w:eastAsia="en-US" w:bidi="ar-SA"/>
      </w:rPr>
    </w:lvl>
    <w:lvl w:ilvl="2" w:tplc="67EC452E">
      <w:numFmt w:val="bullet"/>
      <w:lvlText w:val="•"/>
      <w:lvlJc w:val="left"/>
      <w:pPr>
        <w:ind w:left="3197" w:hanging="360"/>
      </w:pPr>
      <w:rPr>
        <w:rFonts w:hint="default"/>
        <w:lang w:val="en-US" w:eastAsia="en-US" w:bidi="ar-SA"/>
      </w:rPr>
    </w:lvl>
    <w:lvl w:ilvl="3" w:tplc="67B4CCA4">
      <w:numFmt w:val="bullet"/>
      <w:lvlText w:val="•"/>
      <w:lvlJc w:val="left"/>
      <w:pPr>
        <w:ind w:left="4035" w:hanging="360"/>
      </w:pPr>
      <w:rPr>
        <w:rFonts w:hint="default"/>
        <w:lang w:val="en-US" w:eastAsia="en-US" w:bidi="ar-SA"/>
      </w:rPr>
    </w:lvl>
    <w:lvl w:ilvl="4" w:tplc="2928610C">
      <w:numFmt w:val="bullet"/>
      <w:lvlText w:val="•"/>
      <w:lvlJc w:val="left"/>
      <w:pPr>
        <w:ind w:left="4873" w:hanging="360"/>
      </w:pPr>
      <w:rPr>
        <w:rFonts w:hint="default"/>
        <w:lang w:val="en-US" w:eastAsia="en-US" w:bidi="ar-SA"/>
      </w:rPr>
    </w:lvl>
    <w:lvl w:ilvl="5" w:tplc="9C445BD4">
      <w:numFmt w:val="bullet"/>
      <w:lvlText w:val="•"/>
      <w:lvlJc w:val="left"/>
      <w:pPr>
        <w:ind w:left="5711" w:hanging="360"/>
      </w:pPr>
      <w:rPr>
        <w:rFonts w:hint="default"/>
        <w:lang w:val="en-US" w:eastAsia="en-US" w:bidi="ar-SA"/>
      </w:rPr>
    </w:lvl>
    <w:lvl w:ilvl="6" w:tplc="69C2C0AA">
      <w:numFmt w:val="bullet"/>
      <w:lvlText w:val="•"/>
      <w:lvlJc w:val="left"/>
      <w:pPr>
        <w:ind w:left="6548" w:hanging="360"/>
      </w:pPr>
      <w:rPr>
        <w:rFonts w:hint="default"/>
        <w:lang w:val="en-US" w:eastAsia="en-US" w:bidi="ar-SA"/>
      </w:rPr>
    </w:lvl>
    <w:lvl w:ilvl="7" w:tplc="CE86A8CC">
      <w:numFmt w:val="bullet"/>
      <w:lvlText w:val="•"/>
      <w:lvlJc w:val="left"/>
      <w:pPr>
        <w:ind w:left="7386" w:hanging="360"/>
      </w:pPr>
      <w:rPr>
        <w:rFonts w:hint="default"/>
        <w:lang w:val="en-US" w:eastAsia="en-US" w:bidi="ar-SA"/>
      </w:rPr>
    </w:lvl>
    <w:lvl w:ilvl="8" w:tplc="4692A1AA">
      <w:numFmt w:val="bullet"/>
      <w:lvlText w:val="•"/>
      <w:lvlJc w:val="left"/>
      <w:pPr>
        <w:ind w:left="8224" w:hanging="360"/>
      </w:pPr>
      <w:rPr>
        <w:rFonts w:hint="default"/>
        <w:lang w:val="en-US" w:eastAsia="en-US" w:bidi="ar-SA"/>
      </w:rPr>
    </w:lvl>
  </w:abstractNum>
  <w:abstractNum w:abstractNumId="154" w15:restartNumberingAfterBreak="0">
    <w:nsid w:val="5AA82B3B"/>
    <w:multiLevelType w:val="hybridMultilevel"/>
    <w:tmpl w:val="79DA0ADE"/>
    <w:lvl w:ilvl="0" w:tplc="5726E8AC">
      <w:start w:val="5"/>
      <w:numFmt w:val="decimal"/>
      <w:lvlText w:val="%1."/>
      <w:lvlJc w:val="left"/>
      <w:pPr>
        <w:ind w:left="464" w:hanging="307"/>
      </w:pPr>
      <w:rPr>
        <w:rFonts w:ascii="Arial" w:eastAsia="Arial" w:hAnsi="Arial" w:cs="Arial" w:hint="default"/>
        <w:b w:val="0"/>
        <w:bCs w:val="0"/>
        <w:i w:val="0"/>
        <w:iCs w:val="0"/>
        <w:spacing w:val="0"/>
        <w:w w:val="99"/>
        <w:sz w:val="22"/>
        <w:szCs w:val="22"/>
        <w:lang w:val="en-US" w:eastAsia="en-US" w:bidi="ar-SA"/>
      </w:rPr>
    </w:lvl>
    <w:lvl w:ilvl="1" w:tplc="AEB86B22">
      <w:start w:val="1"/>
      <w:numFmt w:val="lowerLetter"/>
      <w:lvlText w:val="(%2)"/>
      <w:lvlJc w:val="left"/>
      <w:pPr>
        <w:ind w:left="969" w:hanging="449"/>
      </w:pPr>
      <w:rPr>
        <w:rFonts w:ascii="Arial" w:eastAsia="Arial" w:hAnsi="Arial" w:cs="Arial" w:hint="default"/>
        <w:b w:val="0"/>
        <w:bCs w:val="0"/>
        <w:i w:val="0"/>
        <w:iCs w:val="0"/>
        <w:spacing w:val="-1"/>
        <w:w w:val="99"/>
        <w:sz w:val="22"/>
        <w:szCs w:val="22"/>
        <w:lang w:val="en-US" w:eastAsia="en-US" w:bidi="ar-SA"/>
      </w:rPr>
    </w:lvl>
    <w:lvl w:ilvl="2" w:tplc="865009E2">
      <w:numFmt w:val="bullet"/>
      <w:lvlText w:val="•"/>
      <w:lvlJc w:val="left"/>
      <w:pPr>
        <w:ind w:left="1570" w:hanging="449"/>
      </w:pPr>
      <w:rPr>
        <w:rFonts w:hint="default"/>
        <w:lang w:val="en-US" w:eastAsia="en-US" w:bidi="ar-SA"/>
      </w:rPr>
    </w:lvl>
    <w:lvl w:ilvl="3" w:tplc="7422DB80">
      <w:numFmt w:val="bullet"/>
      <w:lvlText w:val="•"/>
      <w:lvlJc w:val="left"/>
      <w:pPr>
        <w:ind w:left="2180" w:hanging="449"/>
      </w:pPr>
      <w:rPr>
        <w:rFonts w:hint="default"/>
        <w:lang w:val="en-US" w:eastAsia="en-US" w:bidi="ar-SA"/>
      </w:rPr>
    </w:lvl>
    <w:lvl w:ilvl="4" w:tplc="6FCA21CE">
      <w:numFmt w:val="bullet"/>
      <w:lvlText w:val="•"/>
      <w:lvlJc w:val="left"/>
      <w:pPr>
        <w:ind w:left="2790" w:hanging="449"/>
      </w:pPr>
      <w:rPr>
        <w:rFonts w:hint="default"/>
        <w:lang w:val="en-US" w:eastAsia="en-US" w:bidi="ar-SA"/>
      </w:rPr>
    </w:lvl>
    <w:lvl w:ilvl="5" w:tplc="5A3E6BDE">
      <w:numFmt w:val="bullet"/>
      <w:lvlText w:val="•"/>
      <w:lvlJc w:val="left"/>
      <w:pPr>
        <w:ind w:left="3400" w:hanging="449"/>
      </w:pPr>
      <w:rPr>
        <w:rFonts w:hint="default"/>
        <w:lang w:val="en-US" w:eastAsia="en-US" w:bidi="ar-SA"/>
      </w:rPr>
    </w:lvl>
    <w:lvl w:ilvl="6" w:tplc="C25837B2">
      <w:numFmt w:val="bullet"/>
      <w:lvlText w:val="•"/>
      <w:lvlJc w:val="left"/>
      <w:pPr>
        <w:ind w:left="4010" w:hanging="449"/>
      </w:pPr>
      <w:rPr>
        <w:rFonts w:hint="default"/>
        <w:lang w:val="en-US" w:eastAsia="en-US" w:bidi="ar-SA"/>
      </w:rPr>
    </w:lvl>
    <w:lvl w:ilvl="7" w:tplc="222659C4">
      <w:numFmt w:val="bullet"/>
      <w:lvlText w:val="•"/>
      <w:lvlJc w:val="left"/>
      <w:pPr>
        <w:ind w:left="4620" w:hanging="449"/>
      </w:pPr>
      <w:rPr>
        <w:rFonts w:hint="default"/>
        <w:lang w:val="en-US" w:eastAsia="en-US" w:bidi="ar-SA"/>
      </w:rPr>
    </w:lvl>
    <w:lvl w:ilvl="8" w:tplc="3BF0B61E">
      <w:numFmt w:val="bullet"/>
      <w:lvlText w:val="•"/>
      <w:lvlJc w:val="left"/>
      <w:pPr>
        <w:ind w:left="5230" w:hanging="449"/>
      </w:pPr>
      <w:rPr>
        <w:rFonts w:hint="default"/>
        <w:lang w:val="en-US" w:eastAsia="en-US" w:bidi="ar-SA"/>
      </w:rPr>
    </w:lvl>
  </w:abstractNum>
  <w:abstractNum w:abstractNumId="155" w15:restartNumberingAfterBreak="0">
    <w:nsid w:val="5BC7394A"/>
    <w:multiLevelType w:val="hybridMultilevel"/>
    <w:tmpl w:val="3A2C1F30"/>
    <w:lvl w:ilvl="0" w:tplc="CE9CD170">
      <w:start w:val="2"/>
      <w:numFmt w:val="decimal"/>
      <w:lvlText w:val="%1)"/>
      <w:lvlJc w:val="left"/>
      <w:pPr>
        <w:ind w:left="668" w:hanging="577"/>
      </w:pPr>
      <w:rPr>
        <w:rFonts w:ascii="Arial" w:eastAsia="Arial" w:hAnsi="Arial" w:cs="Arial" w:hint="default"/>
        <w:b w:val="0"/>
        <w:bCs w:val="0"/>
        <w:i w:val="0"/>
        <w:iCs w:val="0"/>
        <w:spacing w:val="0"/>
        <w:w w:val="99"/>
        <w:sz w:val="22"/>
        <w:szCs w:val="22"/>
        <w:lang w:val="en-US" w:eastAsia="en-US" w:bidi="ar-SA"/>
      </w:rPr>
    </w:lvl>
    <w:lvl w:ilvl="1" w:tplc="32FA0B9C">
      <w:start w:val="1"/>
      <w:numFmt w:val="lowerLetter"/>
      <w:lvlText w:val="%2)"/>
      <w:lvlJc w:val="left"/>
      <w:pPr>
        <w:ind w:left="1244" w:hanging="577"/>
      </w:pPr>
      <w:rPr>
        <w:rFonts w:ascii="Arial" w:eastAsia="Arial" w:hAnsi="Arial" w:cs="Arial" w:hint="default"/>
        <w:b w:val="0"/>
        <w:bCs w:val="0"/>
        <w:i w:val="0"/>
        <w:iCs w:val="0"/>
        <w:spacing w:val="0"/>
        <w:w w:val="99"/>
        <w:sz w:val="22"/>
        <w:szCs w:val="22"/>
        <w:lang w:val="en-US" w:eastAsia="en-US" w:bidi="ar-SA"/>
      </w:rPr>
    </w:lvl>
    <w:lvl w:ilvl="2" w:tplc="B516C348">
      <w:numFmt w:val="bullet"/>
      <w:lvlText w:val="•"/>
      <w:lvlJc w:val="left"/>
      <w:pPr>
        <w:ind w:left="1923" w:hanging="577"/>
      </w:pPr>
      <w:rPr>
        <w:rFonts w:hint="default"/>
        <w:lang w:val="en-US" w:eastAsia="en-US" w:bidi="ar-SA"/>
      </w:rPr>
    </w:lvl>
    <w:lvl w:ilvl="3" w:tplc="1F5EB46A">
      <w:numFmt w:val="bullet"/>
      <w:lvlText w:val="•"/>
      <w:lvlJc w:val="left"/>
      <w:pPr>
        <w:ind w:left="2606" w:hanging="577"/>
      </w:pPr>
      <w:rPr>
        <w:rFonts w:hint="default"/>
        <w:lang w:val="en-US" w:eastAsia="en-US" w:bidi="ar-SA"/>
      </w:rPr>
    </w:lvl>
    <w:lvl w:ilvl="4" w:tplc="F6944314">
      <w:numFmt w:val="bullet"/>
      <w:lvlText w:val="•"/>
      <w:lvlJc w:val="left"/>
      <w:pPr>
        <w:ind w:left="3290" w:hanging="577"/>
      </w:pPr>
      <w:rPr>
        <w:rFonts w:hint="default"/>
        <w:lang w:val="en-US" w:eastAsia="en-US" w:bidi="ar-SA"/>
      </w:rPr>
    </w:lvl>
    <w:lvl w:ilvl="5" w:tplc="D6901504">
      <w:numFmt w:val="bullet"/>
      <w:lvlText w:val="•"/>
      <w:lvlJc w:val="left"/>
      <w:pPr>
        <w:ind w:left="3973" w:hanging="577"/>
      </w:pPr>
      <w:rPr>
        <w:rFonts w:hint="default"/>
        <w:lang w:val="en-US" w:eastAsia="en-US" w:bidi="ar-SA"/>
      </w:rPr>
    </w:lvl>
    <w:lvl w:ilvl="6" w:tplc="A4224948">
      <w:numFmt w:val="bullet"/>
      <w:lvlText w:val="•"/>
      <w:lvlJc w:val="left"/>
      <w:pPr>
        <w:ind w:left="4656" w:hanging="577"/>
      </w:pPr>
      <w:rPr>
        <w:rFonts w:hint="default"/>
        <w:lang w:val="en-US" w:eastAsia="en-US" w:bidi="ar-SA"/>
      </w:rPr>
    </w:lvl>
    <w:lvl w:ilvl="7" w:tplc="C0FCFA62">
      <w:numFmt w:val="bullet"/>
      <w:lvlText w:val="•"/>
      <w:lvlJc w:val="left"/>
      <w:pPr>
        <w:ind w:left="5340" w:hanging="577"/>
      </w:pPr>
      <w:rPr>
        <w:rFonts w:hint="default"/>
        <w:lang w:val="en-US" w:eastAsia="en-US" w:bidi="ar-SA"/>
      </w:rPr>
    </w:lvl>
    <w:lvl w:ilvl="8" w:tplc="11A4393A">
      <w:numFmt w:val="bullet"/>
      <w:lvlText w:val="•"/>
      <w:lvlJc w:val="left"/>
      <w:pPr>
        <w:ind w:left="6023" w:hanging="577"/>
      </w:pPr>
      <w:rPr>
        <w:rFonts w:hint="default"/>
        <w:lang w:val="en-US" w:eastAsia="en-US" w:bidi="ar-SA"/>
      </w:rPr>
    </w:lvl>
  </w:abstractNum>
  <w:abstractNum w:abstractNumId="156" w15:restartNumberingAfterBreak="0">
    <w:nsid w:val="5C0E3D15"/>
    <w:multiLevelType w:val="hybridMultilevel"/>
    <w:tmpl w:val="1CFEA88A"/>
    <w:lvl w:ilvl="0" w:tplc="56C087CE">
      <w:start w:val="2"/>
      <w:numFmt w:val="decimal"/>
      <w:lvlText w:val="%1)"/>
      <w:lvlJc w:val="left"/>
      <w:pPr>
        <w:ind w:left="711" w:hanging="577"/>
      </w:pPr>
      <w:rPr>
        <w:rFonts w:ascii="Arial" w:eastAsia="Arial" w:hAnsi="Arial" w:cs="Arial" w:hint="default"/>
        <w:b w:val="0"/>
        <w:bCs w:val="0"/>
        <w:i w:val="0"/>
        <w:iCs w:val="0"/>
        <w:spacing w:val="0"/>
        <w:w w:val="99"/>
        <w:sz w:val="22"/>
        <w:szCs w:val="22"/>
        <w:lang w:val="en-US" w:eastAsia="en-US" w:bidi="ar-SA"/>
      </w:rPr>
    </w:lvl>
    <w:lvl w:ilvl="1" w:tplc="642439C4">
      <w:numFmt w:val="bullet"/>
      <w:lvlText w:val=""/>
      <w:lvlJc w:val="left"/>
      <w:pPr>
        <w:ind w:left="1069" w:hanging="361"/>
      </w:pPr>
      <w:rPr>
        <w:rFonts w:ascii="Symbol" w:eastAsia="Symbol" w:hAnsi="Symbol" w:cs="Symbol" w:hint="default"/>
        <w:b w:val="0"/>
        <w:bCs w:val="0"/>
        <w:i w:val="0"/>
        <w:iCs w:val="0"/>
        <w:spacing w:val="0"/>
        <w:w w:val="99"/>
        <w:sz w:val="22"/>
        <w:szCs w:val="22"/>
        <w:lang w:val="en-US" w:eastAsia="en-US" w:bidi="ar-SA"/>
      </w:rPr>
    </w:lvl>
    <w:lvl w:ilvl="2" w:tplc="96B2CF64">
      <w:numFmt w:val="bullet"/>
      <w:lvlText w:val="•"/>
      <w:lvlJc w:val="left"/>
      <w:pPr>
        <w:ind w:left="1719" w:hanging="361"/>
      </w:pPr>
      <w:rPr>
        <w:rFonts w:hint="default"/>
        <w:lang w:val="en-US" w:eastAsia="en-US" w:bidi="ar-SA"/>
      </w:rPr>
    </w:lvl>
    <w:lvl w:ilvl="3" w:tplc="B9348372">
      <w:numFmt w:val="bullet"/>
      <w:lvlText w:val="•"/>
      <w:lvlJc w:val="left"/>
      <w:pPr>
        <w:ind w:left="2378" w:hanging="361"/>
      </w:pPr>
      <w:rPr>
        <w:rFonts w:hint="default"/>
        <w:lang w:val="en-US" w:eastAsia="en-US" w:bidi="ar-SA"/>
      </w:rPr>
    </w:lvl>
    <w:lvl w:ilvl="4" w:tplc="0A9E9DE8">
      <w:numFmt w:val="bullet"/>
      <w:lvlText w:val="•"/>
      <w:lvlJc w:val="left"/>
      <w:pPr>
        <w:ind w:left="3038" w:hanging="361"/>
      </w:pPr>
      <w:rPr>
        <w:rFonts w:hint="default"/>
        <w:lang w:val="en-US" w:eastAsia="en-US" w:bidi="ar-SA"/>
      </w:rPr>
    </w:lvl>
    <w:lvl w:ilvl="5" w:tplc="3F343AE4">
      <w:numFmt w:val="bullet"/>
      <w:lvlText w:val="•"/>
      <w:lvlJc w:val="left"/>
      <w:pPr>
        <w:ind w:left="3697" w:hanging="361"/>
      </w:pPr>
      <w:rPr>
        <w:rFonts w:hint="default"/>
        <w:lang w:val="en-US" w:eastAsia="en-US" w:bidi="ar-SA"/>
      </w:rPr>
    </w:lvl>
    <w:lvl w:ilvl="6" w:tplc="A98A83CC">
      <w:numFmt w:val="bullet"/>
      <w:lvlText w:val="•"/>
      <w:lvlJc w:val="left"/>
      <w:pPr>
        <w:ind w:left="4357" w:hanging="361"/>
      </w:pPr>
      <w:rPr>
        <w:rFonts w:hint="default"/>
        <w:lang w:val="en-US" w:eastAsia="en-US" w:bidi="ar-SA"/>
      </w:rPr>
    </w:lvl>
    <w:lvl w:ilvl="7" w:tplc="C5DC3B22">
      <w:numFmt w:val="bullet"/>
      <w:lvlText w:val="•"/>
      <w:lvlJc w:val="left"/>
      <w:pPr>
        <w:ind w:left="5016" w:hanging="361"/>
      </w:pPr>
      <w:rPr>
        <w:rFonts w:hint="default"/>
        <w:lang w:val="en-US" w:eastAsia="en-US" w:bidi="ar-SA"/>
      </w:rPr>
    </w:lvl>
    <w:lvl w:ilvl="8" w:tplc="E1622A54">
      <w:numFmt w:val="bullet"/>
      <w:lvlText w:val="•"/>
      <w:lvlJc w:val="left"/>
      <w:pPr>
        <w:ind w:left="5676" w:hanging="361"/>
      </w:pPr>
      <w:rPr>
        <w:rFonts w:hint="default"/>
        <w:lang w:val="en-US" w:eastAsia="en-US" w:bidi="ar-SA"/>
      </w:rPr>
    </w:lvl>
  </w:abstractNum>
  <w:abstractNum w:abstractNumId="157" w15:restartNumberingAfterBreak="0">
    <w:nsid w:val="5C561190"/>
    <w:multiLevelType w:val="hybridMultilevel"/>
    <w:tmpl w:val="EDEC31F4"/>
    <w:lvl w:ilvl="0" w:tplc="C8C271F0">
      <w:start w:val="3"/>
      <w:numFmt w:val="decimal"/>
      <w:lvlText w:val="%1."/>
      <w:lvlJc w:val="left"/>
      <w:pPr>
        <w:ind w:left="485" w:hanging="360"/>
      </w:pPr>
      <w:rPr>
        <w:rFonts w:ascii="Arial" w:eastAsia="Arial" w:hAnsi="Arial" w:cs="Arial" w:hint="default"/>
        <w:b w:val="0"/>
        <w:bCs w:val="0"/>
        <w:i w:val="0"/>
        <w:iCs w:val="0"/>
        <w:spacing w:val="0"/>
        <w:w w:val="99"/>
        <w:sz w:val="22"/>
        <w:szCs w:val="22"/>
        <w:lang w:val="en-US" w:eastAsia="en-US" w:bidi="ar-SA"/>
      </w:rPr>
    </w:lvl>
    <w:lvl w:ilvl="1" w:tplc="8E90C508">
      <w:numFmt w:val="bullet"/>
      <w:lvlText w:val=""/>
      <w:lvlJc w:val="left"/>
      <w:pPr>
        <w:ind w:left="1204" w:hanging="360"/>
      </w:pPr>
      <w:rPr>
        <w:rFonts w:ascii="Symbol" w:eastAsia="Symbol" w:hAnsi="Symbol" w:cs="Symbol" w:hint="default"/>
        <w:b w:val="0"/>
        <w:bCs w:val="0"/>
        <w:i w:val="0"/>
        <w:iCs w:val="0"/>
        <w:spacing w:val="0"/>
        <w:w w:val="99"/>
        <w:sz w:val="22"/>
        <w:szCs w:val="22"/>
        <w:lang w:val="en-US" w:eastAsia="en-US" w:bidi="ar-SA"/>
      </w:rPr>
    </w:lvl>
    <w:lvl w:ilvl="2" w:tplc="36745F3C">
      <w:numFmt w:val="bullet"/>
      <w:lvlText w:val="•"/>
      <w:lvlJc w:val="left"/>
      <w:pPr>
        <w:ind w:left="1830" w:hanging="360"/>
      </w:pPr>
      <w:rPr>
        <w:rFonts w:hint="default"/>
        <w:lang w:val="en-US" w:eastAsia="en-US" w:bidi="ar-SA"/>
      </w:rPr>
    </w:lvl>
    <w:lvl w:ilvl="3" w:tplc="104457CC">
      <w:numFmt w:val="bullet"/>
      <w:lvlText w:val="•"/>
      <w:lvlJc w:val="left"/>
      <w:pPr>
        <w:ind w:left="2460" w:hanging="360"/>
      </w:pPr>
      <w:rPr>
        <w:rFonts w:hint="default"/>
        <w:lang w:val="en-US" w:eastAsia="en-US" w:bidi="ar-SA"/>
      </w:rPr>
    </w:lvl>
    <w:lvl w:ilvl="4" w:tplc="8684EA9A">
      <w:numFmt w:val="bullet"/>
      <w:lvlText w:val="•"/>
      <w:lvlJc w:val="left"/>
      <w:pPr>
        <w:ind w:left="3091" w:hanging="360"/>
      </w:pPr>
      <w:rPr>
        <w:rFonts w:hint="default"/>
        <w:lang w:val="en-US" w:eastAsia="en-US" w:bidi="ar-SA"/>
      </w:rPr>
    </w:lvl>
    <w:lvl w:ilvl="5" w:tplc="B9F8042C">
      <w:numFmt w:val="bullet"/>
      <w:lvlText w:val="•"/>
      <w:lvlJc w:val="left"/>
      <w:pPr>
        <w:ind w:left="3721" w:hanging="360"/>
      </w:pPr>
      <w:rPr>
        <w:rFonts w:hint="default"/>
        <w:lang w:val="en-US" w:eastAsia="en-US" w:bidi="ar-SA"/>
      </w:rPr>
    </w:lvl>
    <w:lvl w:ilvl="6" w:tplc="4AB8F060">
      <w:numFmt w:val="bullet"/>
      <w:lvlText w:val="•"/>
      <w:lvlJc w:val="left"/>
      <w:pPr>
        <w:ind w:left="4351" w:hanging="360"/>
      </w:pPr>
      <w:rPr>
        <w:rFonts w:hint="default"/>
        <w:lang w:val="en-US" w:eastAsia="en-US" w:bidi="ar-SA"/>
      </w:rPr>
    </w:lvl>
    <w:lvl w:ilvl="7" w:tplc="4B7AFE5E">
      <w:numFmt w:val="bullet"/>
      <w:lvlText w:val="•"/>
      <w:lvlJc w:val="left"/>
      <w:pPr>
        <w:ind w:left="4982" w:hanging="360"/>
      </w:pPr>
      <w:rPr>
        <w:rFonts w:hint="default"/>
        <w:lang w:val="en-US" w:eastAsia="en-US" w:bidi="ar-SA"/>
      </w:rPr>
    </w:lvl>
    <w:lvl w:ilvl="8" w:tplc="FBD4B356">
      <w:numFmt w:val="bullet"/>
      <w:lvlText w:val="•"/>
      <w:lvlJc w:val="left"/>
      <w:pPr>
        <w:ind w:left="5612" w:hanging="360"/>
      </w:pPr>
      <w:rPr>
        <w:rFonts w:hint="default"/>
        <w:lang w:val="en-US" w:eastAsia="en-US" w:bidi="ar-SA"/>
      </w:rPr>
    </w:lvl>
  </w:abstractNum>
  <w:abstractNum w:abstractNumId="158" w15:restartNumberingAfterBreak="0">
    <w:nsid w:val="5CDF15CA"/>
    <w:multiLevelType w:val="hybridMultilevel"/>
    <w:tmpl w:val="58F62FC0"/>
    <w:lvl w:ilvl="0" w:tplc="44CEE5D8">
      <w:start w:val="4"/>
      <w:numFmt w:val="decimal"/>
      <w:lvlText w:val="%1."/>
      <w:lvlJc w:val="left"/>
      <w:pPr>
        <w:ind w:left="561" w:hanging="432"/>
      </w:pPr>
      <w:rPr>
        <w:rFonts w:ascii="Arial" w:eastAsia="Arial" w:hAnsi="Arial" w:cs="Arial" w:hint="default"/>
        <w:b w:val="0"/>
        <w:bCs w:val="0"/>
        <w:i w:val="0"/>
        <w:iCs w:val="0"/>
        <w:spacing w:val="0"/>
        <w:w w:val="99"/>
        <w:sz w:val="22"/>
        <w:szCs w:val="22"/>
        <w:lang w:val="en-US" w:eastAsia="en-US" w:bidi="ar-SA"/>
      </w:rPr>
    </w:lvl>
    <w:lvl w:ilvl="1" w:tplc="2E34D006">
      <w:start w:val="1"/>
      <w:numFmt w:val="lowerLetter"/>
      <w:lvlText w:val="(%2)"/>
      <w:lvlJc w:val="left"/>
      <w:pPr>
        <w:ind w:left="1092" w:hanging="525"/>
      </w:pPr>
      <w:rPr>
        <w:rFonts w:ascii="Arial" w:eastAsia="Arial" w:hAnsi="Arial" w:cs="Arial" w:hint="default"/>
        <w:b w:val="0"/>
        <w:bCs w:val="0"/>
        <w:i w:val="0"/>
        <w:iCs w:val="0"/>
        <w:spacing w:val="-1"/>
        <w:w w:val="99"/>
        <w:sz w:val="22"/>
        <w:szCs w:val="22"/>
        <w:lang w:val="en-US" w:eastAsia="en-US" w:bidi="ar-SA"/>
      </w:rPr>
    </w:lvl>
    <w:lvl w:ilvl="2" w:tplc="2C5AE01C">
      <w:numFmt w:val="bullet"/>
      <w:lvlText w:val="•"/>
      <w:lvlJc w:val="left"/>
      <w:pPr>
        <w:ind w:left="1747" w:hanging="525"/>
      </w:pPr>
      <w:rPr>
        <w:rFonts w:hint="default"/>
        <w:lang w:val="en-US" w:eastAsia="en-US" w:bidi="ar-SA"/>
      </w:rPr>
    </w:lvl>
    <w:lvl w:ilvl="3" w:tplc="0C58DCD8">
      <w:numFmt w:val="bullet"/>
      <w:lvlText w:val="•"/>
      <w:lvlJc w:val="left"/>
      <w:pPr>
        <w:ind w:left="2394" w:hanging="525"/>
      </w:pPr>
      <w:rPr>
        <w:rFonts w:hint="default"/>
        <w:lang w:val="en-US" w:eastAsia="en-US" w:bidi="ar-SA"/>
      </w:rPr>
    </w:lvl>
    <w:lvl w:ilvl="4" w:tplc="09C4DD6A">
      <w:numFmt w:val="bullet"/>
      <w:lvlText w:val="•"/>
      <w:lvlJc w:val="left"/>
      <w:pPr>
        <w:ind w:left="3041" w:hanging="525"/>
      </w:pPr>
      <w:rPr>
        <w:rFonts w:hint="default"/>
        <w:lang w:val="en-US" w:eastAsia="en-US" w:bidi="ar-SA"/>
      </w:rPr>
    </w:lvl>
    <w:lvl w:ilvl="5" w:tplc="D1F8A494">
      <w:numFmt w:val="bullet"/>
      <w:lvlText w:val="•"/>
      <w:lvlJc w:val="left"/>
      <w:pPr>
        <w:ind w:left="3688" w:hanging="525"/>
      </w:pPr>
      <w:rPr>
        <w:rFonts w:hint="default"/>
        <w:lang w:val="en-US" w:eastAsia="en-US" w:bidi="ar-SA"/>
      </w:rPr>
    </w:lvl>
    <w:lvl w:ilvl="6" w:tplc="45321ADA">
      <w:numFmt w:val="bullet"/>
      <w:lvlText w:val="•"/>
      <w:lvlJc w:val="left"/>
      <w:pPr>
        <w:ind w:left="4335" w:hanging="525"/>
      </w:pPr>
      <w:rPr>
        <w:rFonts w:hint="default"/>
        <w:lang w:val="en-US" w:eastAsia="en-US" w:bidi="ar-SA"/>
      </w:rPr>
    </w:lvl>
    <w:lvl w:ilvl="7" w:tplc="992CB0BC">
      <w:numFmt w:val="bullet"/>
      <w:lvlText w:val="•"/>
      <w:lvlJc w:val="left"/>
      <w:pPr>
        <w:ind w:left="4982" w:hanging="525"/>
      </w:pPr>
      <w:rPr>
        <w:rFonts w:hint="default"/>
        <w:lang w:val="en-US" w:eastAsia="en-US" w:bidi="ar-SA"/>
      </w:rPr>
    </w:lvl>
    <w:lvl w:ilvl="8" w:tplc="C0C85EEE">
      <w:numFmt w:val="bullet"/>
      <w:lvlText w:val="•"/>
      <w:lvlJc w:val="left"/>
      <w:pPr>
        <w:ind w:left="5629" w:hanging="525"/>
      </w:pPr>
      <w:rPr>
        <w:rFonts w:hint="default"/>
        <w:lang w:val="en-US" w:eastAsia="en-US" w:bidi="ar-SA"/>
      </w:rPr>
    </w:lvl>
  </w:abstractNum>
  <w:abstractNum w:abstractNumId="159" w15:restartNumberingAfterBreak="0">
    <w:nsid w:val="5D647F0C"/>
    <w:multiLevelType w:val="hybridMultilevel"/>
    <w:tmpl w:val="637C2630"/>
    <w:lvl w:ilvl="0" w:tplc="44282EC0">
      <w:numFmt w:val="bullet"/>
      <w:lvlText w:val=""/>
      <w:lvlJc w:val="left"/>
      <w:pPr>
        <w:ind w:left="2219" w:hanging="360"/>
      </w:pPr>
      <w:rPr>
        <w:rFonts w:ascii="Symbol" w:eastAsia="Symbol" w:hAnsi="Symbol" w:cs="Symbol" w:hint="default"/>
        <w:b w:val="0"/>
        <w:bCs w:val="0"/>
        <w:i w:val="0"/>
        <w:iCs w:val="0"/>
        <w:spacing w:val="0"/>
        <w:w w:val="99"/>
        <w:sz w:val="22"/>
        <w:szCs w:val="22"/>
        <w:lang w:val="en-US" w:eastAsia="en-US" w:bidi="ar-SA"/>
      </w:rPr>
    </w:lvl>
    <w:lvl w:ilvl="1" w:tplc="CAA6C4E4">
      <w:numFmt w:val="bullet"/>
      <w:lvlText w:val="•"/>
      <w:lvlJc w:val="left"/>
      <w:pPr>
        <w:ind w:left="3026" w:hanging="360"/>
      </w:pPr>
      <w:rPr>
        <w:rFonts w:hint="default"/>
        <w:lang w:val="en-US" w:eastAsia="en-US" w:bidi="ar-SA"/>
      </w:rPr>
    </w:lvl>
    <w:lvl w:ilvl="2" w:tplc="DE6EA21C">
      <w:numFmt w:val="bullet"/>
      <w:lvlText w:val="•"/>
      <w:lvlJc w:val="left"/>
      <w:pPr>
        <w:ind w:left="3832" w:hanging="360"/>
      </w:pPr>
      <w:rPr>
        <w:rFonts w:hint="default"/>
        <w:lang w:val="en-US" w:eastAsia="en-US" w:bidi="ar-SA"/>
      </w:rPr>
    </w:lvl>
    <w:lvl w:ilvl="3" w:tplc="87F09CF6">
      <w:numFmt w:val="bullet"/>
      <w:lvlText w:val="•"/>
      <w:lvlJc w:val="left"/>
      <w:pPr>
        <w:ind w:left="4638" w:hanging="360"/>
      </w:pPr>
      <w:rPr>
        <w:rFonts w:hint="default"/>
        <w:lang w:val="en-US" w:eastAsia="en-US" w:bidi="ar-SA"/>
      </w:rPr>
    </w:lvl>
    <w:lvl w:ilvl="4" w:tplc="2AB6DCE0">
      <w:numFmt w:val="bullet"/>
      <w:lvlText w:val="•"/>
      <w:lvlJc w:val="left"/>
      <w:pPr>
        <w:ind w:left="5444" w:hanging="360"/>
      </w:pPr>
      <w:rPr>
        <w:rFonts w:hint="default"/>
        <w:lang w:val="en-US" w:eastAsia="en-US" w:bidi="ar-SA"/>
      </w:rPr>
    </w:lvl>
    <w:lvl w:ilvl="5" w:tplc="34C6148E">
      <w:numFmt w:val="bullet"/>
      <w:lvlText w:val="•"/>
      <w:lvlJc w:val="left"/>
      <w:pPr>
        <w:ind w:left="6250" w:hanging="360"/>
      </w:pPr>
      <w:rPr>
        <w:rFonts w:hint="default"/>
        <w:lang w:val="en-US" w:eastAsia="en-US" w:bidi="ar-SA"/>
      </w:rPr>
    </w:lvl>
    <w:lvl w:ilvl="6" w:tplc="04C0B2FE">
      <w:numFmt w:val="bullet"/>
      <w:lvlText w:val="•"/>
      <w:lvlJc w:val="left"/>
      <w:pPr>
        <w:ind w:left="7056" w:hanging="360"/>
      </w:pPr>
      <w:rPr>
        <w:rFonts w:hint="default"/>
        <w:lang w:val="en-US" w:eastAsia="en-US" w:bidi="ar-SA"/>
      </w:rPr>
    </w:lvl>
    <w:lvl w:ilvl="7" w:tplc="66068B22">
      <w:numFmt w:val="bullet"/>
      <w:lvlText w:val="•"/>
      <w:lvlJc w:val="left"/>
      <w:pPr>
        <w:ind w:left="7862" w:hanging="360"/>
      </w:pPr>
      <w:rPr>
        <w:rFonts w:hint="default"/>
        <w:lang w:val="en-US" w:eastAsia="en-US" w:bidi="ar-SA"/>
      </w:rPr>
    </w:lvl>
    <w:lvl w:ilvl="8" w:tplc="11624FC0">
      <w:numFmt w:val="bullet"/>
      <w:lvlText w:val="•"/>
      <w:lvlJc w:val="left"/>
      <w:pPr>
        <w:ind w:left="8668" w:hanging="360"/>
      </w:pPr>
      <w:rPr>
        <w:rFonts w:hint="default"/>
        <w:lang w:val="en-US" w:eastAsia="en-US" w:bidi="ar-SA"/>
      </w:rPr>
    </w:lvl>
  </w:abstractNum>
  <w:abstractNum w:abstractNumId="160" w15:restartNumberingAfterBreak="0">
    <w:nsid w:val="5D927127"/>
    <w:multiLevelType w:val="hybridMultilevel"/>
    <w:tmpl w:val="85301A4E"/>
    <w:lvl w:ilvl="0" w:tplc="6F9042CA">
      <w:start w:val="1"/>
      <w:numFmt w:val="lowerLetter"/>
      <w:lvlText w:val="%1."/>
      <w:lvlJc w:val="left"/>
      <w:pPr>
        <w:ind w:left="2000" w:hanging="360"/>
      </w:pPr>
      <w:rPr>
        <w:rFonts w:ascii="Arial" w:eastAsia="Arial" w:hAnsi="Arial" w:cs="Arial" w:hint="default"/>
        <w:b w:val="0"/>
        <w:bCs w:val="0"/>
        <w:i w:val="0"/>
        <w:iCs w:val="0"/>
        <w:spacing w:val="0"/>
        <w:w w:val="99"/>
        <w:sz w:val="22"/>
        <w:szCs w:val="22"/>
        <w:lang w:val="en-US" w:eastAsia="en-US" w:bidi="ar-SA"/>
      </w:rPr>
    </w:lvl>
    <w:lvl w:ilvl="1" w:tplc="BE6E0968">
      <w:numFmt w:val="bullet"/>
      <w:lvlText w:val=""/>
      <w:lvlJc w:val="left"/>
      <w:pPr>
        <w:ind w:left="2360" w:hanging="360"/>
      </w:pPr>
      <w:rPr>
        <w:rFonts w:ascii="Symbol" w:eastAsia="Symbol" w:hAnsi="Symbol" w:cs="Symbol" w:hint="default"/>
        <w:b w:val="0"/>
        <w:bCs w:val="0"/>
        <w:i w:val="0"/>
        <w:iCs w:val="0"/>
        <w:spacing w:val="0"/>
        <w:w w:val="99"/>
        <w:sz w:val="22"/>
        <w:szCs w:val="22"/>
        <w:lang w:val="en-US" w:eastAsia="en-US" w:bidi="ar-SA"/>
      </w:rPr>
    </w:lvl>
    <w:lvl w:ilvl="2" w:tplc="13EEEC76">
      <w:numFmt w:val="bullet"/>
      <w:lvlText w:val="•"/>
      <w:lvlJc w:val="left"/>
      <w:pPr>
        <w:ind w:left="3197" w:hanging="360"/>
      </w:pPr>
      <w:rPr>
        <w:rFonts w:hint="default"/>
        <w:lang w:val="en-US" w:eastAsia="en-US" w:bidi="ar-SA"/>
      </w:rPr>
    </w:lvl>
    <w:lvl w:ilvl="3" w:tplc="025E1CF4">
      <w:numFmt w:val="bullet"/>
      <w:lvlText w:val="•"/>
      <w:lvlJc w:val="left"/>
      <w:pPr>
        <w:ind w:left="4035" w:hanging="360"/>
      </w:pPr>
      <w:rPr>
        <w:rFonts w:hint="default"/>
        <w:lang w:val="en-US" w:eastAsia="en-US" w:bidi="ar-SA"/>
      </w:rPr>
    </w:lvl>
    <w:lvl w:ilvl="4" w:tplc="189A29D8">
      <w:numFmt w:val="bullet"/>
      <w:lvlText w:val="•"/>
      <w:lvlJc w:val="left"/>
      <w:pPr>
        <w:ind w:left="4873" w:hanging="360"/>
      </w:pPr>
      <w:rPr>
        <w:rFonts w:hint="default"/>
        <w:lang w:val="en-US" w:eastAsia="en-US" w:bidi="ar-SA"/>
      </w:rPr>
    </w:lvl>
    <w:lvl w:ilvl="5" w:tplc="B05C26F6">
      <w:numFmt w:val="bullet"/>
      <w:lvlText w:val="•"/>
      <w:lvlJc w:val="left"/>
      <w:pPr>
        <w:ind w:left="5711" w:hanging="360"/>
      </w:pPr>
      <w:rPr>
        <w:rFonts w:hint="default"/>
        <w:lang w:val="en-US" w:eastAsia="en-US" w:bidi="ar-SA"/>
      </w:rPr>
    </w:lvl>
    <w:lvl w:ilvl="6" w:tplc="265E2A94">
      <w:numFmt w:val="bullet"/>
      <w:lvlText w:val="•"/>
      <w:lvlJc w:val="left"/>
      <w:pPr>
        <w:ind w:left="6548" w:hanging="360"/>
      </w:pPr>
      <w:rPr>
        <w:rFonts w:hint="default"/>
        <w:lang w:val="en-US" w:eastAsia="en-US" w:bidi="ar-SA"/>
      </w:rPr>
    </w:lvl>
    <w:lvl w:ilvl="7" w:tplc="BE3EF87C">
      <w:numFmt w:val="bullet"/>
      <w:lvlText w:val="•"/>
      <w:lvlJc w:val="left"/>
      <w:pPr>
        <w:ind w:left="7386" w:hanging="360"/>
      </w:pPr>
      <w:rPr>
        <w:rFonts w:hint="default"/>
        <w:lang w:val="en-US" w:eastAsia="en-US" w:bidi="ar-SA"/>
      </w:rPr>
    </w:lvl>
    <w:lvl w:ilvl="8" w:tplc="487E9A30">
      <w:numFmt w:val="bullet"/>
      <w:lvlText w:val="•"/>
      <w:lvlJc w:val="left"/>
      <w:pPr>
        <w:ind w:left="8224" w:hanging="360"/>
      </w:pPr>
      <w:rPr>
        <w:rFonts w:hint="default"/>
        <w:lang w:val="en-US" w:eastAsia="en-US" w:bidi="ar-SA"/>
      </w:rPr>
    </w:lvl>
  </w:abstractNum>
  <w:abstractNum w:abstractNumId="161" w15:restartNumberingAfterBreak="0">
    <w:nsid w:val="5E6168C8"/>
    <w:multiLevelType w:val="hybridMultilevel"/>
    <w:tmpl w:val="1C6E0232"/>
    <w:lvl w:ilvl="0" w:tplc="98E29338">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67EC3C96">
      <w:numFmt w:val="bullet"/>
      <w:lvlText w:val="•"/>
      <w:lvlJc w:val="left"/>
      <w:pPr>
        <w:ind w:left="3026" w:hanging="360"/>
      </w:pPr>
      <w:rPr>
        <w:rFonts w:hint="default"/>
        <w:lang w:val="en-US" w:eastAsia="en-US" w:bidi="ar-SA"/>
      </w:rPr>
    </w:lvl>
    <w:lvl w:ilvl="2" w:tplc="AA18ECAA">
      <w:numFmt w:val="bullet"/>
      <w:lvlText w:val="•"/>
      <w:lvlJc w:val="left"/>
      <w:pPr>
        <w:ind w:left="3832" w:hanging="360"/>
      </w:pPr>
      <w:rPr>
        <w:rFonts w:hint="default"/>
        <w:lang w:val="en-US" w:eastAsia="en-US" w:bidi="ar-SA"/>
      </w:rPr>
    </w:lvl>
    <w:lvl w:ilvl="3" w:tplc="D36C6146">
      <w:numFmt w:val="bullet"/>
      <w:lvlText w:val="•"/>
      <w:lvlJc w:val="left"/>
      <w:pPr>
        <w:ind w:left="4638" w:hanging="360"/>
      </w:pPr>
      <w:rPr>
        <w:rFonts w:hint="default"/>
        <w:lang w:val="en-US" w:eastAsia="en-US" w:bidi="ar-SA"/>
      </w:rPr>
    </w:lvl>
    <w:lvl w:ilvl="4" w:tplc="230CEF92">
      <w:numFmt w:val="bullet"/>
      <w:lvlText w:val="•"/>
      <w:lvlJc w:val="left"/>
      <w:pPr>
        <w:ind w:left="5444" w:hanging="360"/>
      </w:pPr>
      <w:rPr>
        <w:rFonts w:hint="default"/>
        <w:lang w:val="en-US" w:eastAsia="en-US" w:bidi="ar-SA"/>
      </w:rPr>
    </w:lvl>
    <w:lvl w:ilvl="5" w:tplc="35B25722">
      <w:numFmt w:val="bullet"/>
      <w:lvlText w:val="•"/>
      <w:lvlJc w:val="left"/>
      <w:pPr>
        <w:ind w:left="6250" w:hanging="360"/>
      </w:pPr>
      <w:rPr>
        <w:rFonts w:hint="default"/>
        <w:lang w:val="en-US" w:eastAsia="en-US" w:bidi="ar-SA"/>
      </w:rPr>
    </w:lvl>
    <w:lvl w:ilvl="6" w:tplc="34CCF8D2">
      <w:numFmt w:val="bullet"/>
      <w:lvlText w:val="•"/>
      <w:lvlJc w:val="left"/>
      <w:pPr>
        <w:ind w:left="7056" w:hanging="360"/>
      </w:pPr>
      <w:rPr>
        <w:rFonts w:hint="default"/>
        <w:lang w:val="en-US" w:eastAsia="en-US" w:bidi="ar-SA"/>
      </w:rPr>
    </w:lvl>
    <w:lvl w:ilvl="7" w:tplc="3AA8CC60">
      <w:numFmt w:val="bullet"/>
      <w:lvlText w:val="•"/>
      <w:lvlJc w:val="left"/>
      <w:pPr>
        <w:ind w:left="7862" w:hanging="360"/>
      </w:pPr>
      <w:rPr>
        <w:rFonts w:hint="default"/>
        <w:lang w:val="en-US" w:eastAsia="en-US" w:bidi="ar-SA"/>
      </w:rPr>
    </w:lvl>
    <w:lvl w:ilvl="8" w:tplc="15DE2E6E">
      <w:numFmt w:val="bullet"/>
      <w:lvlText w:val="•"/>
      <w:lvlJc w:val="left"/>
      <w:pPr>
        <w:ind w:left="8668" w:hanging="360"/>
      </w:pPr>
      <w:rPr>
        <w:rFonts w:hint="default"/>
        <w:lang w:val="en-US" w:eastAsia="en-US" w:bidi="ar-SA"/>
      </w:rPr>
    </w:lvl>
  </w:abstractNum>
  <w:abstractNum w:abstractNumId="162" w15:restartNumberingAfterBreak="0">
    <w:nsid w:val="5E996783"/>
    <w:multiLevelType w:val="hybridMultilevel"/>
    <w:tmpl w:val="A0741D6E"/>
    <w:lvl w:ilvl="0" w:tplc="6AA494A6">
      <w:start w:val="1"/>
      <w:numFmt w:val="lowerLetter"/>
      <w:lvlText w:val="%1)"/>
      <w:lvlJc w:val="left"/>
      <w:pPr>
        <w:ind w:left="1382" w:hanging="577"/>
      </w:pPr>
      <w:rPr>
        <w:rFonts w:ascii="Arial" w:eastAsia="Arial" w:hAnsi="Arial" w:cs="Arial" w:hint="default"/>
        <w:b w:val="0"/>
        <w:bCs w:val="0"/>
        <w:i w:val="0"/>
        <w:iCs w:val="0"/>
        <w:spacing w:val="0"/>
        <w:w w:val="99"/>
        <w:sz w:val="22"/>
        <w:szCs w:val="22"/>
        <w:lang w:val="en-US" w:eastAsia="en-US" w:bidi="ar-SA"/>
      </w:rPr>
    </w:lvl>
    <w:lvl w:ilvl="1" w:tplc="169E1820">
      <w:numFmt w:val="bullet"/>
      <w:lvlText w:val="•"/>
      <w:lvlJc w:val="left"/>
      <w:pPr>
        <w:ind w:left="1908" w:hanging="577"/>
      </w:pPr>
      <w:rPr>
        <w:rFonts w:hint="default"/>
        <w:lang w:val="en-US" w:eastAsia="en-US" w:bidi="ar-SA"/>
      </w:rPr>
    </w:lvl>
    <w:lvl w:ilvl="2" w:tplc="07720C9E">
      <w:numFmt w:val="bullet"/>
      <w:lvlText w:val="•"/>
      <w:lvlJc w:val="left"/>
      <w:pPr>
        <w:ind w:left="2437" w:hanging="577"/>
      </w:pPr>
      <w:rPr>
        <w:rFonts w:hint="default"/>
        <w:lang w:val="en-US" w:eastAsia="en-US" w:bidi="ar-SA"/>
      </w:rPr>
    </w:lvl>
    <w:lvl w:ilvl="3" w:tplc="7E5AE698">
      <w:numFmt w:val="bullet"/>
      <w:lvlText w:val="•"/>
      <w:lvlJc w:val="left"/>
      <w:pPr>
        <w:ind w:left="2966" w:hanging="577"/>
      </w:pPr>
      <w:rPr>
        <w:rFonts w:hint="default"/>
        <w:lang w:val="en-US" w:eastAsia="en-US" w:bidi="ar-SA"/>
      </w:rPr>
    </w:lvl>
    <w:lvl w:ilvl="4" w:tplc="1BF8667C">
      <w:numFmt w:val="bullet"/>
      <w:lvlText w:val="•"/>
      <w:lvlJc w:val="left"/>
      <w:pPr>
        <w:ind w:left="3495" w:hanging="577"/>
      </w:pPr>
      <w:rPr>
        <w:rFonts w:hint="default"/>
        <w:lang w:val="en-US" w:eastAsia="en-US" w:bidi="ar-SA"/>
      </w:rPr>
    </w:lvl>
    <w:lvl w:ilvl="5" w:tplc="0E30A7CA">
      <w:numFmt w:val="bullet"/>
      <w:lvlText w:val="•"/>
      <w:lvlJc w:val="left"/>
      <w:pPr>
        <w:ind w:left="4024" w:hanging="577"/>
      </w:pPr>
      <w:rPr>
        <w:rFonts w:hint="default"/>
        <w:lang w:val="en-US" w:eastAsia="en-US" w:bidi="ar-SA"/>
      </w:rPr>
    </w:lvl>
    <w:lvl w:ilvl="6" w:tplc="99F28870">
      <w:numFmt w:val="bullet"/>
      <w:lvlText w:val="•"/>
      <w:lvlJc w:val="left"/>
      <w:pPr>
        <w:ind w:left="4553" w:hanging="577"/>
      </w:pPr>
      <w:rPr>
        <w:rFonts w:hint="default"/>
        <w:lang w:val="en-US" w:eastAsia="en-US" w:bidi="ar-SA"/>
      </w:rPr>
    </w:lvl>
    <w:lvl w:ilvl="7" w:tplc="A1FA926A">
      <w:numFmt w:val="bullet"/>
      <w:lvlText w:val="•"/>
      <w:lvlJc w:val="left"/>
      <w:pPr>
        <w:ind w:left="5081" w:hanging="577"/>
      </w:pPr>
      <w:rPr>
        <w:rFonts w:hint="default"/>
        <w:lang w:val="en-US" w:eastAsia="en-US" w:bidi="ar-SA"/>
      </w:rPr>
    </w:lvl>
    <w:lvl w:ilvl="8" w:tplc="82402F8C">
      <w:numFmt w:val="bullet"/>
      <w:lvlText w:val="•"/>
      <w:lvlJc w:val="left"/>
      <w:pPr>
        <w:ind w:left="5610" w:hanging="577"/>
      </w:pPr>
      <w:rPr>
        <w:rFonts w:hint="default"/>
        <w:lang w:val="en-US" w:eastAsia="en-US" w:bidi="ar-SA"/>
      </w:rPr>
    </w:lvl>
  </w:abstractNum>
  <w:abstractNum w:abstractNumId="163" w15:restartNumberingAfterBreak="0">
    <w:nsid w:val="5EAC2CE7"/>
    <w:multiLevelType w:val="hybridMultilevel"/>
    <w:tmpl w:val="853CB50A"/>
    <w:lvl w:ilvl="0" w:tplc="C5889C1E">
      <w:numFmt w:val="bullet"/>
      <w:lvlText w:val=""/>
      <w:lvlJc w:val="left"/>
      <w:pPr>
        <w:ind w:left="302" w:hanging="270"/>
      </w:pPr>
      <w:rPr>
        <w:rFonts w:ascii="Symbol" w:eastAsia="Symbol" w:hAnsi="Symbol" w:cs="Symbol" w:hint="default"/>
        <w:b w:val="0"/>
        <w:bCs w:val="0"/>
        <w:i w:val="0"/>
        <w:iCs w:val="0"/>
        <w:spacing w:val="0"/>
        <w:w w:val="99"/>
        <w:sz w:val="22"/>
        <w:szCs w:val="22"/>
        <w:lang w:val="en-US" w:eastAsia="en-US" w:bidi="ar-SA"/>
      </w:rPr>
    </w:lvl>
    <w:lvl w:ilvl="1" w:tplc="D3F05A6E">
      <w:numFmt w:val="bullet"/>
      <w:lvlText w:val="•"/>
      <w:lvlJc w:val="left"/>
      <w:pPr>
        <w:ind w:left="960" w:hanging="270"/>
      </w:pPr>
      <w:rPr>
        <w:rFonts w:hint="default"/>
        <w:lang w:val="en-US" w:eastAsia="en-US" w:bidi="ar-SA"/>
      </w:rPr>
    </w:lvl>
    <w:lvl w:ilvl="2" w:tplc="80FE2FAA">
      <w:numFmt w:val="bullet"/>
      <w:lvlText w:val="•"/>
      <w:lvlJc w:val="left"/>
      <w:pPr>
        <w:ind w:left="1620" w:hanging="270"/>
      </w:pPr>
      <w:rPr>
        <w:rFonts w:hint="default"/>
        <w:lang w:val="en-US" w:eastAsia="en-US" w:bidi="ar-SA"/>
      </w:rPr>
    </w:lvl>
    <w:lvl w:ilvl="3" w:tplc="D6B20E4A">
      <w:numFmt w:val="bullet"/>
      <w:lvlText w:val="•"/>
      <w:lvlJc w:val="left"/>
      <w:pPr>
        <w:ind w:left="2281" w:hanging="270"/>
      </w:pPr>
      <w:rPr>
        <w:rFonts w:hint="default"/>
        <w:lang w:val="en-US" w:eastAsia="en-US" w:bidi="ar-SA"/>
      </w:rPr>
    </w:lvl>
    <w:lvl w:ilvl="4" w:tplc="AD8A2D0E">
      <w:numFmt w:val="bullet"/>
      <w:lvlText w:val="•"/>
      <w:lvlJc w:val="left"/>
      <w:pPr>
        <w:ind w:left="2941" w:hanging="270"/>
      </w:pPr>
      <w:rPr>
        <w:rFonts w:hint="default"/>
        <w:lang w:val="en-US" w:eastAsia="en-US" w:bidi="ar-SA"/>
      </w:rPr>
    </w:lvl>
    <w:lvl w:ilvl="5" w:tplc="DBE46ECC">
      <w:numFmt w:val="bullet"/>
      <w:lvlText w:val="•"/>
      <w:lvlJc w:val="left"/>
      <w:pPr>
        <w:ind w:left="3602" w:hanging="270"/>
      </w:pPr>
      <w:rPr>
        <w:rFonts w:hint="default"/>
        <w:lang w:val="en-US" w:eastAsia="en-US" w:bidi="ar-SA"/>
      </w:rPr>
    </w:lvl>
    <w:lvl w:ilvl="6" w:tplc="EDEABE42">
      <w:numFmt w:val="bullet"/>
      <w:lvlText w:val="•"/>
      <w:lvlJc w:val="left"/>
      <w:pPr>
        <w:ind w:left="4262" w:hanging="270"/>
      </w:pPr>
      <w:rPr>
        <w:rFonts w:hint="default"/>
        <w:lang w:val="en-US" w:eastAsia="en-US" w:bidi="ar-SA"/>
      </w:rPr>
    </w:lvl>
    <w:lvl w:ilvl="7" w:tplc="98522FDE">
      <w:numFmt w:val="bullet"/>
      <w:lvlText w:val="•"/>
      <w:lvlJc w:val="left"/>
      <w:pPr>
        <w:ind w:left="4922" w:hanging="270"/>
      </w:pPr>
      <w:rPr>
        <w:rFonts w:hint="default"/>
        <w:lang w:val="en-US" w:eastAsia="en-US" w:bidi="ar-SA"/>
      </w:rPr>
    </w:lvl>
    <w:lvl w:ilvl="8" w:tplc="BD4E06F6">
      <w:numFmt w:val="bullet"/>
      <w:lvlText w:val="•"/>
      <w:lvlJc w:val="left"/>
      <w:pPr>
        <w:ind w:left="5583" w:hanging="270"/>
      </w:pPr>
      <w:rPr>
        <w:rFonts w:hint="default"/>
        <w:lang w:val="en-US" w:eastAsia="en-US" w:bidi="ar-SA"/>
      </w:rPr>
    </w:lvl>
  </w:abstractNum>
  <w:abstractNum w:abstractNumId="164" w15:restartNumberingAfterBreak="0">
    <w:nsid w:val="5EDA1652"/>
    <w:multiLevelType w:val="hybridMultilevel"/>
    <w:tmpl w:val="D458B3E6"/>
    <w:lvl w:ilvl="0" w:tplc="EEDC2C04">
      <w:start w:val="1"/>
      <w:numFmt w:val="lowerLetter"/>
      <w:lvlText w:val="%1."/>
      <w:lvlJc w:val="left"/>
      <w:pPr>
        <w:ind w:left="2220" w:hanging="360"/>
      </w:pPr>
      <w:rPr>
        <w:rFonts w:ascii="Arial" w:eastAsia="Arial" w:hAnsi="Arial" w:cs="Arial" w:hint="default"/>
        <w:b w:val="0"/>
        <w:bCs w:val="0"/>
        <w:i w:val="0"/>
        <w:iCs w:val="0"/>
        <w:spacing w:val="0"/>
        <w:w w:val="99"/>
        <w:sz w:val="22"/>
        <w:szCs w:val="22"/>
        <w:lang w:val="en-US" w:eastAsia="en-US" w:bidi="ar-SA"/>
      </w:rPr>
    </w:lvl>
    <w:lvl w:ilvl="1" w:tplc="22E4110E">
      <w:numFmt w:val="bullet"/>
      <w:lvlText w:val="•"/>
      <w:lvlJc w:val="left"/>
      <w:pPr>
        <w:ind w:left="3026" w:hanging="360"/>
      </w:pPr>
      <w:rPr>
        <w:rFonts w:hint="default"/>
        <w:lang w:val="en-US" w:eastAsia="en-US" w:bidi="ar-SA"/>
      </w:rPr>
    </w:lvl>
    <w:lvl w:ilvl="2" w:tplc="B78AD4A0">
      <w:numFmt w:val="bullet"/>
      <w:lvlText w:val="•"/>
      <w:lvlJc w:val="left"/>
      <w:pPr>
        <w:ind w:left="3832" w:hanging="360"/>
      </w:pPr>
      <w:rPr>
        <w:rFonts w:hint="default"/>
        <w:lang w:val="en-US" w:eastAsia="en-US" w:bidi="ar-SA"/>
      </w:rPr>
    </w:lvl>
    <w:lvl w:ilvl="3" w:tplc="9AB0CB56">
      <w:numFmt w:val="bullet"/>
      <w:lvlText w:val="•"/>
      <w:lvlJc w:val="left"/>
      <w:pPr>
        <w:ind w:left="4638" w:hanging="360"/>
      </w:pPr>
      <w:rPr>
        <w:rFonts w:hint="default"/>
        <w:lang w:val="en-US" w:eastAsia="en-US" w:bidi="ar-SA"/>
      </w:rPr>
    </w:lvl>
    <w:lvl w:ilvl="4" w:tplc="32207804">
      <w:numFmt w:val="bullet"/>
      <w:lvlText w:val="•"/>
      <w:lvlJc w:val="left"/>
      <w:pPr>
        <w:ind w:left="5444" w:hanging="360"/>
      </w:pPr>
      <w:rPr>
        <w:rFonts w:hint="default"/>
        <w:lang w:val="en-US" w:eastAsia="en-US" w:bidi="ar-SA"/>
      </w:rPr>
    </w:lvl>
    <w:lvl w:ilvl="5" w:tplc="B4EA16C4">
      <w:numFmt w:val="bullet"/>
      <w:lvlText w:val="•"/>
      <w:lvlJc w:val="left"/>
      <w:pPr>
        <w:ind w:left="6250" w:hanging="360"/>
      </w:pPr>
      <w:rPr>
        <w:rFonts w:hint="default"/>
        <w:lang w:val="en-US" w:eastAsia="en-US" w:bidi="ar-SA"/>
      </w:rPr>
    </w:lvl>
    <w:lvl w:ilvl="6" w:tplc="B0DED2E0">
      <w:numFmt w:val="bullet"/>
      <w:lvlText w:val="•"/>
      <w:lvlJc w:val="left"/>
      <w:pPr>
        <w:ind w:left="7056" w:hanging="360"/>
      </w:pPr>
      <w:rPr>
        <w:rFonts w:hint="default"/>
        <w:lang w:val="en-US" w:eastAsia="en-US" w:bidi="ar-SA"/>
      </w:rPr>
    </w:lvl>
    <w:lvl w:ilvl="7" w:tplc="5302CC32">
      <w:numFmt w:val="bullet"/>
      <w:lvlText w:val="•"/>
      <w:lvlJc w:val="left"/>
      <w:pPr>
        <w:ind w:left="7862" w:hanging="360"/>
      </w:pPr>
      <w:rPr>
        <w:rFonts w:hint="default"/>
        <w:lang w:val="en-US" w:eastAsia="en-US" w:bidi="ar-SA"/>
      </w:rPr>
    </w:lvl>
    <w:lvl w:ilvl="8" w:tplc="51FCC01E">
      <w:numFmt w:val="bullet"/>
      <w:lvlText w:val="•"/>
      <w:lvlJc w:val="left"/>
      <w:pPr>
        <w:ind w:left="8668" w:hanging="360"/>
      </w:pPr>
      <w:rPr>
        <w:rFonts w:hint="default"/>
        <w:lang w:val="en-US" w:eastAsia="en-US" w:bidi="ar-SA"/>
      </w:rPr>
    </w:lvl>
  </w:abstractNum>
  <w:abstractNum w:abstractNumId="165" w15:restartNumberingAfterBreak="0">
    <w:nsid w:val="5F5E76CC"/>
    <w:multiLevelType w:val="hybridMultilevel"/>
    <w:tmpl w:val="622827D4"/>
    <w:lvl w:ilvl="0" w:tplc="5F40A7BA">
      <w:start w:val="11"/>
      <w:numFmt w:val="lowerLetter"/>
      <w:lvlText w:val="%1."/>
      <w:lvlJc w:val="left"/>
      <w:pPr>
        <w:ind w:left="1203" w:hanging="360"/>
      </w:pPr>
      <w:rPr>
        <w:rFonts w:ascii="Arial" w:eastAsia="Arial" w:hAnsi="Arial" w:cs="Arial" w:hint="default"/>
        <w:b w:val="0"/>
        <w:bCs w:val="0"/>
        <w:i w:val="0"/>
        <w:iCs w:val="0"/>
        <w:spacing w:val="0"/>
        <w:w w:val="99"/>
        <w:sz w:val="22"/>
        <w:szCs w:val="22"/>
        <w:lang w:val="en-US" w:eastAsia="en-US" w:bidi="ar-SA"/>
      </w:rPr>
    </w:lvl>
    <w:lvl w:ilvl="1" w:tplc="39001B00">
      <w:numFmt w:val="bullet"/>
      <w:lvlText w:val=""/>
      <w:lvlJc w:val="left"/>
      <w:pPr>
        <w:ind w:left="1514" w:hanging="270"/>
      </w:pPr>
      <w:rPr>
        <w:rFonts w:ascii="Symbol" w:eastAsia="Symbol" w:hAnsi="Symbol" w:cs="Symbol" w:hint="default"/>
        <w:spacing w:val="0"/>
        <w:w w:val="99"/>
        <w:lang w:val="en-US" w:eastAsia="en-US" w:bidi="ar-SA"/>
      </w:rPr>
    </w:lvl>
    <w:lvl w:ilvl="2" w:tplc="35789506">
      <w:numFmt w:val="bullet"/>
      <w:lvlText w:val="•"/>
      <w:lvlJc w:val="left"/>
      <w:pPr>
        <w:ind w:left="2167" w:hanging="270"/>
      </w:pPr>
      <w:rPr>
        <w:rFonts w:hint="default"/>
        <w:lang w:val="en-US" w:eastAsia="en-US" w:bidi="ar-SA"/>
      </w:rPr>
    </w:lvl>
    <w:lvl w:ilvl="3" w:tplc="7CD8E656">
      <w:numFmt w:val="bullet"/>
      <w:lvlText w:val="•"/>
      <w:lvlJc w:val="left"/>
      <w:pPr>
        <w:ind w:left="2815" w:hanging="270"/>
      </w:pPr>
      <w:rPr>
        <w:rFonts w:hint="default"/>
        <w:lang w:val="en-US" w:eastAsia="en-US" w:bidi="ar-SA"/>
      </w:rPr>
    </w:lvl>
    <w:lvl w:ilvl="4" w:tplc="2B54B8C2">
      <w:numFmt w:val="bullet"/>
      <w:lvlText w:val="•"/>
      <w:lvlJc w:val="left"/>
      <w:pPr>
        <w:ind w:left="3463" w:hanging="270"/>
      </w:pPr>
      <w:rPr>
        <w:rFonts w:hint="default"/>
        <w:lang w:val="en-US" w:eastAsia="en-US" w:bidi="ar-SA"/>
      </w:rPr>
    </w:lvl>
    <w:lvl w:ilvl="5" w:tplc="7038B182">
      <w:numFmt w:val="bullet"/>
      <w:lvlText w:val="•"/>
      <w:lvlJc w:val="left"/>
      <w:pPr>
        <w:ind w:left="4111" w:hanging="270"/>
      </w:pPr>
      <w:rPr>
        <w:rFonts w:hint="default"/>
        <w:lang w:val="en-US" w:eastAsia="en-US" w:bidi="ar-SA"/>
      </w:rPr>
    </w:lvl>
    <w:lvl w:ilvl="6" w:tplc="547CA31C">
      <w:numFmt w:val="bullet"/>
      <w:lvlText w:val="•"/>
      <w:lvlJc w:val="left"/>
      <w:pPr>
        <w:ind w:left="4758" w:hanging="270"/>
      </w:pPr>
      <w:rPr>
        <w:rFonts w:hint="default"/>
        <w:lang w:val="en-US" w:eastAsia="en-US" w:bidi="ar-SA"/>
      </w:rPr>
    </w:lvl>
    <w:lvl w:ilvl="7" w:tplc="DE62F8BE">
      <w:numFmt w:val="bullet"/>
      <w:lvlText w:val="•"/>
      <w:lvlJc w:val="left"/>
      <w:pPr>
        <w:ind w:left="5406" w:hanging="270"/>
      </w:pPr>
      <w:rPr>
        <w:rFonts w:hint="default"/>
        <w:lang w:val="en-US" w:eastAsia="en-US" w:bidi="ar-SA"/>
      </w:rPr>
    </w:lvl>
    <w:lvl w:ilvl="8" w:tplc="49223130">
      <w:numFmt w:val="bullet"/>
      <w:lvlText w:val="•"/>
      <w:lvlJc w:val="left"/>
      <w:pPr>
        <w:ind w:left="6054" w:hanging="270"/>
      </w:pPr>
      <w:rPr>
        <w:rFonts w:hint="default"/>
        <w:lang w:val="en-US" w:eastAsia="en-US" w:bidi="ar-SA"/>
      </w:rPr>
    </w:lvl>
  </w:abstractNum>
  <w:abstractNum w:abstractNumId="166" w15:restartNumberingAfterBreak="0">
    <w:nsid w:val="611940A8"/>
    <w:multiLevelType w:val="hybridMultilevel"/>
    <w:tmpl w:val="5FB2CEBE"/>
    <w:lvl w:ilvl="0" w:tplc="01543C64">
      <w:start w:val="10"/>
      <w:numFmt w:val="decimal"/>
      <w:lvlText w:val=".%1"/>
      <w:lvlJc w:val="left"/>
      <w:pPr>
        <w:ind w:left="1858" w:hanging="721"/>
      </w:pPr>
      <w:rPr>
        <w:rFonts w:ascii="Arial" w:eastAsia="Arial" w:hAnsi="Arial" w:cs="Arial" w:hint="default"/>
        <w:b w:val="0"/>
        <w:bCs w:val="0"/>
        <w:i w:val="0"/>
        <w:iCs w:val="0"/>
        <w:spacing w:val="0"/>
        <w:w w:val="99"/>
        <w:sz w:val="22"/>
        <w:szCs w:val="22"/>
        <w:lang w:val="en-US" w:eastAsia="en-US" w:bidi="ar-SA"/>
      </w:rPr>
    </w:lvl>
    <w:lvl w:ilvl="1" w:tplc="50483CBC">
      <w:numFmt w:val="bullet"/>
      <w:lvlText w:val=""/>
      <w:lvlJc w:val="left"/>
      <w:pPr>
        <w:ind w:left="2220" w:hanging="360"/>
      </w:pPr>
      <w:rPr>
        <w:rFonts w:ascii="Symbol" w:eastAsia="Symbol" w:hAnsi="Symbol" w:cs="Symbol" w:hint="default"/>
        <w:b w:val="0"/>
        <w:bCs w:val="0"/>
        <w:i w:val="0"/>
        <w:iCs w:val="0"/>
        <w:spacing w:val="0"/>
        <w:w w:val="99"/>
        <w:sz w:val="22"/>
        <w:szCs w:val="22"/>
        <w:lang w:val="en-US" w:eastAsia="en-US" w:bidi="ar-SA"/>
      </w:rPr>
    </w:lvl>
    <w:lvl w:ilvl="2" w:tplc="73C4C796">
      <w:numFmt w:val="bullet"/>
      <w:lvlText w:val="•"/>
      <w:lvlJc w:val="left"/>
      <w:pPr>
        <w:ind w:left="3115" w:hanging="360"/>
      </w:pPr>
      <w:rPr>
        <w:rFonts w:hint="default"/>
        <w:lang w:val="en-US" w:eastAsia="en-US" w:bidi="ar-SA"/>
      </w:rPr>
    </w:lvl>
    <w:lvl w:ilvl="3" w:tplc="66F64926">
      <w:numFmt w:val="bullet"/>
      <w:lvlText w:val="•"/>
      <w:lvlJc w:val="left"/>
      <w:pPr>
        <w:ind w:left="4011" w:hanging="360"/>
      </w:pPr>
      <w:rPr>
        <w:rFonts w:hint="default"/>
        <w:lang w:val="en-US" w:eastAsia="en-US" w:bidi="ar-SA"/>
      </w:rPr>
    </w:lvl>
    <w:lvl w:ilvl="4" w:tplc="929E21FE">
      <w:numFmt w:val="bullet"/>
      <w:lvlText w:val="•"/>
      <w:lvlJc w:val="left"/>
      <w:pPr>
        <w:ind w:left="4906" w:hanging="360"/>
      </w:pPr>
      <w:rPr>
        <w:rFonts w:hint="default"/>
        <w:lang w:val="en-US" w:eastAsia="en-US" w:bidi="ar-SA"/>
      </w:rPr>
    </w:lvl>
    <w:lvl w:ilvl="5" w:tplc="8A880A08">
      <w:numFmt w:val="bullet"/>
      <w:lvlText w:val="•"/>
      <w:lvlJc w:val="left"/>
      <w:pPr>
        <w:ind w:left="5802" w:hanging="360"/>
      </w:pPr>
      <w:rPr>
        <w:rFonts w:hint="default"/>
        <w:lang w:val="en-US" w:eastAsia="en-US" w:bidi="ar-SA"/>
      </w:rPr>
    </w:lvl>
    <w:lvl w:ilvl="6" w:tplc="0FB27644">
      <w:numFmt w:val="bullet"/>
      <w:lvlText w:val="•"/>
      <w:lvlJc w:val="left"/>
      <w:pPr>
        <w:ind w:left="6697" w:hanging="360"/>
      </w:pPr>
      <w:rPr>
        <w:rFonts w:hint="default"/>
        <w:lang w:val="en-US" w:eastAsia="en-US" w:bidi="ar-SA"/>
      </w:rPr>
    </w:lvl>
    <w:lvl w:ilvl="7" w:tplc="7766FA24">
      <w:numFmt w:val="bullet"/>
      <w:lvlText w:val="•"/>
      <w:lvlJc w:val="left"/>
      <w:pPr>
        <w:ind w:left="7593" w:hanging="360"/>
      </w:pPr>
      <w:rPr>
        <w:rFonts w:hint="default"/>
        <w:lang w:val="en-US" w:eastAsia="en-US" w:bidi="ar-SA"/>
      </w:rPr>
    </w:lvl>
    <w:lvl w:ilvl="8" w:tplc="F3A25884">
      <w:numFmt w:val="bullet"/>
      <w:lvlText w:val="•"/>
      <w:lvlJc w:val="left"/>
      <w:pPr>
        <w:ind w:left="8488" w:hanging="360"/>
      </w:pPr>
      <w:rPr>
        <w:rFonts w:hint="default"/>
        <w:lang w:val="en-US" w:eastAsia="en-US" w:bidi="ar-SA"/>
      </w:rPr>
    </w:lvl>
  </w:abstractNum>
  <w:abstractNum w:abstractNumId="167" w15:restartNumberingAfterBreak="0">
    <w:nsid w:val="622912EE"/>
    <w:multiLevelType w:val="hybridMultilevel"/>
    <w:tmpl w:val="E31EB31E"/>
    <w:lvl w:ilvl="0" w:tplc="02D27646">
      <w:numFmt w:val="bullet"/>
      <w:lvlText w:val=""/>
      <w:lvlJc w:val="left"/>
      <w:pPr>
        <w:ind w:left="1204" w:hanging="360"/>
      </w:pPr>
      <w:rPr>
        <w:rFonts w:ascii="Symbol" w:eastAsia="Symbol" w:hAnsi="Symbol" w:cs="Symbol" w:hint="default"/>
        <w:spacing w:val="0"/>
        <w:w w:val="99"/>
        <w:lang w:val="en-US" w:eastAsia="en-US" w:bidi="ar-SA"/>
      </w:rPr>
    </w:lvl>
    <w:lvl w:ilvl="1" w:tplc="D6CCECB2">
      <w:numFmt w:val="bullet"/>
      <w:lvlText w:val="•"/>
      <w:lvlJc w:val="left"/>
      <w:pPr>
        <w:ind w:left="1814" w:hanging="360"/>
      </w:pPr>
      <w:rPr>
        <w:rFonts w:hint="default"/>
        <w:lang w:val="en-US" w:eastAsia="en-US" w:bidi="ar-SA"/>
      </w:rPr>
    </w:lvl>
    <w:lvl w:ilvl="2" w:tplc="F91C2802">
      <w:numFmt w:val="bullet"/>
      <w:lvlText w:val="•"/>
      <w:lvlJc w:val="left"/>
      <w:pPr>
        <w:ind w:left="2429" w:hanging="360"/>
      </w:pPr>
      <w:rPr>
        <w:rFonts w:hint="default"/>
        <w:lang w:val="en-US" w:eastAsia="en-US" w:bidi="ar-SA"/>
      </w:rPr>
    </w:lvl>
    <w:lvl w:ilvl="3" w:tplc="593CD3EE">
      <w:numFmt w:val="bullet"/>
      <w:lvlText w:val="•"/>
      <w:lvlJc w:val="left"/>
      <w:pPr>
        <w:ind w:left="3044" w:hanging="360"/>
      </w:pPr>
      <w:rPr>
        <w:rFonts w:hint="default"/>
        <w:lang w:val="en-US" w:eastAsia="en-US" w:bidi="ar-SA"/>
      </w:rPr>
    </w:lvl>
    <w:lvl w:ilvl="4" w:tplc="EE0CC320">
      <w:numFmt w:val="bullet"/>
      <w:lvlText w:val="•"/>
      <w:lvlJc w:val="left"/>
      <w:pPr>
        <w:ind w:left="3659" w:hanging="360"/>
      </w:pPr>
      <w:rPr>
        <w:rFonts w:hint="default"/>
        <w:lang w:val="en-US" w:eastAsia="en-US" w:bidi="ar-SA"/>
      </w:rPr>
    </w:lvl>
    <w:lvl w:ilvl="5" w:tplc="51AED746">
      <w:numFmt w:val="bullet"/>
      <w:lvlText w:val="•"/>
      <w:lvlJc w:val="left"/>
      <w:pPr>
        <w:ind w:left="4273" w:hanging="360"/>
      </w:pPr>
      <w:rPr>
        <w:rFonts w:hint="default"/>
        <w:lang w:val="en-US" w:eastAsia="en-US" w:bidi="ar-SA"/>
      </w:rPr>
    </w:lvl>
    <w:lvl w:ilvl="6" w:tplc="1C288852">
      <w:numFmt w:val="bullet"/>
      <w:lvlText w:val="•"/>
      <w:lvlJc w:val="left"/>
      <w:pPr>
        <w:ind w:left="4888" w:hanging="360"/>
      </w:pPr>
      <w:rPr>
        <w:rFonts w:hint="default"/>
        <w:lang w:val="en-US" w:eastAsia="en-US" w:bidi="ar-SA"/>
      </w:rPr>
    </w:lvl>
    <w:lvl w:ilvl="7" w:tplc="33222AEA">
      <w:numFmt w:val="bullet"/>
      <w:lvlText w:val="•"/>
      <w:lvlJc w:val="left"/>
      <w:pPr>
        <w:ind w:left="5503" w:hanging="360"/>
      </w:pPr>
      <w:rPr>
        <w:rFonts w:hint="default"/>
        <w:lang w:val="en-US" w:eastAsia="en-US" w:bidi="ar-SA"/>
      </w:rPr>
    </w:lvl>
    <w:lvl w:ilvl="8" w:tplc="AFCEFAC0">
      <w:numFmt w:val="bullet"/>
      <w:lvlText w:val="•"/>
      <w:lvlJc w:val="left"/>
      <w:pPr>
        <w:ind w:left="6118" w:hanging="360"/>
      </w:pPr>
      <w:rPr>
        <w:rFonts w:hint="default"/>
        <w:lang w:val="en-US" w:eastAsia="en-US" w:bidi="ar-SA"/>
      </w:rPr>
    </w:lvl>
  </w:abstractNum>
  <w:abstractNum w:abstractNumId="168" w15:restartNumberingAfterBreak="0">
    <w:nsid w:val="62661C68"/>
    <w:multiLevelType w:val="hybridMultilevel"/>
    <w:tmpl w:val="127EE0B2"/>
    <w:lvl w:ilvl="0" w:tplc="90160396">
      <w:start w:val="1"/>
      <w:numFmt w:val="decimalZero"/>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EA101D0A">
      <w:numFmt w:val="bullet"/>
      <w:lvlText w:val=""/>
      <w:lvlJc w:val="left"/>
      <w:pPr>
        <w:ind w:left="2360" w:hanging="360"/>
      </w:pPr>
      <w:rPr>
        <w:rFonts w:ascii="Symbol" w:eastAsia="Symbol" w:hAnsi="Symbol" w:cs="Symbol" w:hint="default"/>
        <w:b w:val="0"/>
        <w:bCs w:val="0"/>
        <w:i w:val="0"/>
        <w:iCs w:val="0"/>
        <w:spacing w:val="0"/>
        <w:w w:val="99"/>
        <w:sz w:val="22"/>
        <w:szCs w:val="22"/>
        <w:lang w:val="en-US" w:eastAsia="en-US" w:bidi="ar-SA"/>
      </w:rPr>
    </w:lvl>
    <w:lvl w:ilvl="2" w:tplc="54BC1184">
      <w:numFmt w:val="bullet"/>
      <w:lvlText w:val="•"/>
      <w:lvlJc w:val="left"/>
      <w:pPr>
        <w:ind w:left="2360" w:hanging="360"/>
      </w:pPr>
      <w:rPr>
        <w:rFonts w:hint="default"/>
        <w:lang w:val="en-US" w:eastAsia="en-US" w:bidi="ar-SA"/>
      </w:rPr>
    </w:lvl>
    <w:lvl w:ilvl="3" w:tplc="3D78ABA8">
      <w:numFmt w:val="bullet"/>
      <w:lvlText w:val="•"/>
      <w:lvlJc w:val="left"/>
      <w:pPr>
        <w:ind w:left="3302" w:hanging="360"/>
      </w:pPr>
      <w:rPr>
        <w:rFonts w:hint="default"/>
        <w:lang w:val="en-US" w:eastAsia="en-US" w:bidi="ar-SA"/>
      </w:rPr>
    </w:lvl>
    <w:lvl w:ilvl="4" w:tplc="EB466976">
      <w:numFmt w:val="bullet"/>
      <w:lvlText w:val="•"/>
      <w:lvlJc w:val="left"/>
      <w:pPr>
        <w:ind w:left="4245" w:hanging="360"/>
      </w:pPr>
      <w:rPr>
        <w:rFonts w:hint="default"/>
        <w:lang w:val="en-US" w:eastAsia="en-US" w:bidi="ar-SA"/>
      </w:rPr>
    </w:lvl>
    <w:lvl w:ilvl="5" w:tplc="409E3F0E">
      <w:numFmt w:val="bullet"/>
      <w:lvlText w:val="•"/>
      <w:lvlJc w:val="left"/>
      <w:pPr>
        <w:ind w:left="5187" w:hanging="360"/>
      </w:pPr>
      <w:rPr>
        <w:rFonts w:hint="default"/>
        <w:lang w:val="en-US" w:eastAsia="en-US" w:bidi="ar-SA"/>
      </w:rPr>
    </w:lvl>
    <w:lvl w:ilvl="6" w:tplc="647E93D2">
      <w:numFmt w:val="bullet"/>
      <w:lvlText w:val="•"/>
      <w:lvlJc w:val="left"/>
      <w:pPr>
        <w:ind w:left="6130" w:hanging="360"/>
      </w:pPr>
      <w:rPr>
        <w:rFonts w:hint="default"/>
        <w:lang w:val="en-US" w:eastAsia="en-US" w:bidi="ar-SA"/>
      </w:rPr>
    </w:lvl>
    <w:lvl w:ilvl="7" w:tplc="5142B72E">
      <w:numFmt w:val="bullet"/>
      <w:lvlText w:val="•"/>
      <w:lvlJc w:val="left"/>
      <w:pPr>
        <w:ind w:left="7072" w:hanging="360"/>
      </w:pPr>
      <w:rPr>
        <w:rFonts w:hint="default"/>
        <w:lang w:val="en-US" w:eastAsia="en-US" w:bidi="ar-SA"/>
      </w:rPr>
    </w:lvl>
    <w:lvl w:ilvl="8" w:tplc="CDB41DAA">
      <w:numFmt w:val="bullet"/>
      <w:lvlText w:val="•"/>
      <w:lvlJc w:val="left"/>
      <w:pPr>
        <w:ind w:left="8015" w:hanging="360"/>
      </w:pPr>
      <w:rPr>
        <w:rFonts w:hint="default"/>
        <w:lang w:val="en-US" w:eastAsia="en-US" w:bidi="ar-SA"/>
      </w:rPr>
    </w:lvl>
  </w:abstractNum>
  <w:abstractNum w:abstractNumId="169" w15:restartNumberingAfterBreak="0">
    <w:nsid w:val="631B60DD"/>
    <w:multiLevelType w:val="hybridMultilevel"/>
    <w:tmpl w:val="9FF03F78"/>
    <w:lvl w:ilvl="0" w:tplc="661A4B9C">
      <w:start w:val="3"/>
      <w:numFmt w:val="decimal"/>
      <w:lvlText w:val="%1."/>
      <w:lvlJc w:val="left"/>
      <w:pPr>
        <w:ind w:left="1177" w:hanging="360"/>
      </w:pPr>
      <w:rPr>
        <w:rFonts w:ascii="Arial" w:eastAsia="Arial" w:hAnsi="Arial" w:cs="Arial" w:hint="default"/>
        <w:b w:val="0"/>
        <w:bCs w:val="0"/>
        <w:i w:val="0"/>
        <w:iCs w:val="0"/>
        <w:spacing w:val="0"/>
        <w:w w:val="99"/>
        <w:sz w:val="22"/>
        <w:szCs w:val="22"/>
        <w:lang w:val="en-US" w:eastAsia="en-US" w:bidi="ar-SA"/>
      </w:rPr>
    </w:lvl>
    <w:lvl w:ilvl="1" w:tplc="0D6C3CBE">
      <w:start w:val="1"/>
      <w:numFmt w:val="lowerLetter"/>
      <w:lvlText w:val="%2."/>
      <w:lvlJc w:val="left"/>
      <w:pPr>
        <w:ind w:left="1537" w:hanging="360"/>
      </w:pPr>
      <w:rPr>
        <w:rFonts w:ascii="Arial" w:eastAsia="Arial" w:hAnsi="Arial" w:cs="Arial" w:hint="default"/>
        <w:b w:val="0"/>
        <w:bCs w:val="0"/>
        <w:i w:val="0"/>
        <w:iCs w:val="0"/>
        <w:spacing w:val="0"/>
        <w:w w:val="99"/>
        <w:sz w:val="22"/>
        <w:szCs w:val="22"/>
        <w:lang w:val="en-US" w:eastAsia="en-US" w:bidi="ar-SA"/>
      </w:rPr>
    </w:lvl>
    <w:lvl w:ilvl="2" w:tplc="D46E0EAC">
      <w:start w:val="1"/>
      <w:numFmt w:val="lowerRoman"/>
      <w:lvlText w:val="%3."/>
      <w:lvlJc w:val="left"/>
      <w:pPr>
        <w:ind w:left="1897" w:hanging="361"/>
      </w:pPr>
      <w:rPr>
        <w:rFonts w:ascii="Arial" w:eastAsia="Arial" w:hAnsi="Arial" w:cs="Arial" w:hint="default"/>
        <w:b w:val="0"/>
        <w:bCs w:val="0"/>
        <w:i w:val="0"/>
        <w:iCs w:val="0"/>
        <w:spacing w:val="0"/>
        <w:w w:val="99"/>
        <w:sz w:val="22"/>
        <w:szCs w:val="22"/>
        <w:lang w:val="en-US" w:eastAsia="en-US" w:bidi="ar-SA"/>
      </w:rPr>
    </w:lvl>
    <w:lvl w:ilvl="3" w:tplc="609C9CA6">
      <w:numFmt w:val="bullet"/>
      <w:lvlText w:val="•"/>
      <w:lvlJc w:val="left"/>
      <w:pPr>
        <w:ind w:left="2542" w:hanging="361"/>
      </w:pPr>
      <w:rPr>
        <w:rFonts w:hint="default"/>
        <w:lang w:val="en-US" w:eastAsia="en-US" w:bidi="ar-SA"/>
      </w:rPr>
    </w:lvl>
    <w:lvl w:ilvl="4" w:tplc="21F633FC">
      <w:numFmt w:val="bullet"/>
      <w:lvlText w:val="•"/>
      <w:lvlJc w:val="left"/>
      <w:pPr>
        <w:ind w:left="3185" w:hanging="361"/>
      </w:pPr>
      <w:rPr>
        <w:rFonts w:hint="default"/>
        <w:lang w:val="en-US" w:eastAsia="en-US" w:bidi="ar-SA"/>
      </w:rPr>
    </w:lvl>
    <w:lvl w:ilvl="5" w:tplc="C6DA1E9C">
      <w:numFmt w:val="bullet"/>
      <w:lvlText w:val="•"/>
      <w:lvlJc w:val="left"/>
      <w:pPr>
        <w:ind w:left="3827" w:hanging="361"/>
      </w:pPr>
      <w:rPr>
        <w:rFonts w:hint="default"/>
        <w:lang w:val="en-US" w:eastAsia="en-US" w:bidi="ar-SA"/>
      </w:rPr>
    </w:lvl>
    <w:lvl w:ilvl="6" w:tplc="A5CAE05E">
      <w:numFmt w:val="bullet"/>
      <w:lvlText w:val="•"/>
      <w:lvlJc w:val="left"/>
      <w:pPr>
        <w:ind w:left="4470" w:hanging="361"/>
      </w:pPr>
      <w:rPr>
        <w:rFonts w:hint="default"/>
        <w:lang w:val="en-US" w:eastAsia="en-US" w:bidi="ar-SA"/>
      </w:rPr>
    </w:lvl>
    <w:lvl w:ilvl="7" w:tplc="34D8B04E">
      <w:numFmt w:val="bullet"/>
      <w:lvlText w:val="•"/>
      <w:lvlJc w:val="left"/>
      <w:pPr>
        <w:ind w:left="5112" w:hanging="361"/>
      </w:pPr>
      <w:rPr>
        <w:rFonts w:hint="default"/>
        <w:lang w:val="en-US" w:eastAsia="en-US" w:bidi="ar-SA"/>
      </w:rPr>
    </w:lvl>
    <w:lvl w:ilvl="8" w:tplc="278A5EDA">
      <w:numFmt w:val="bullet"/>
      <w:lvlText w:val="•"/>
      <w:lvlJc w:val="left"/>
      <w:pPr>
        <w:ind w:left="5755" w:hanging="361"/>
      </w:pPr>
      <w:rPr>
        <w:rFonts w:hint="default"/>
        <w:lang w:val="en-US" w:eastAsia="en-US" w:bidi="ar-SA"/>
      </w:rPr>
    </w:lvl>
  </w:abstractNum>
  <w:abstractNum w:abstractNumId="170" w15:restartNumberingAfterBreak="0">
    <w:nsid w:val="633C4740"/>
    <w:multiLevelType w:val="hybridMultilevel"/>
    <w:tmpl w:val="63EA9A54"/>
    <w:lvl w:ilvl="0" w:tplc="316A2940">
      <w:start w:val="1"/>
      <w:numFmt w:val="lowerLetter"/>
      <w:lvlText w:val="%1."/>
      <w:lvlJc w:val="left"/>
      <w:pPr>
        <w:ind w:left="1919" w:hanging="360"/>
      </w:pPr>
      <w:rPr>
        <w:rFonts w:ascii="Arial" w:eastAsia="Arial" w:hAnsi="Arial" w:cs="Arial" w:hint="default"/>
        <w:b w:val="0"/>
        <w:bCs w:val="0"/>
        <w:i w:val="0"/>
        <w:iCs w:val="0"/>
        <w:spacing w:val="0"/>
        <w:w w:val="99"/>
        <w:sz w:val="22"/>
        <w:szCs w:val="22"/>
        <w:lang w:val="en-US" w:eastAsia="en-US" w:bidi="ar-SA"/>
      </w:rPr>
    </w:lvl>
    <w:lvl w:ilvl="1" w:tplc="D42E8CD8">
      <w:numFmt w:val="bullet"/>
      <w:lvlText w:val="•"/>
      <w:lvlJc w:val="left"/>
      <w:pPr>
        <w:ind w:left="2706" w:hanging="360"/>
      </w:pPr>
      <w:rPr>
        <w:rFonts w:hint="default"/>
        <w:lang w:val="en-US" w:eastAsia="en-US" w:bidi="ar-SA"/>
      </w:rPr>
    </w:lvl>
    <w:lvl w:ilvl="2" w:tplc="E006D762">
      <w:numFmt w:val="bullet"/>
      <w:lvlText w:val="•"/>
      <w:lvlJc w:val="left"/>
      <w:pPr>
        <w:ind w:left="3492" w:hanging="360"/>
      </w:pPr>
      <w:rPr>
        <w:rFonts w:hint="default"/>
        <w:lang w:val="en-US" w:eastAsia="en-US" w:bidi="ar-SA"/>
      </w:rPr>
    </w:lvl>
    <w:lvl w:ilvl="3" w:tplc="581A3EF0">
      <w:numFmt w:val="bullet"/>
      <w:lvlText w:val="•"/>
      <w:lvlJc w:val="left"/>
      <w:pPr>
        <w:ind w:left="4278" w:hanging="360"/>
      </w:pPr>
      <w:rPr>
        <w:rFonts w:hint="default"/>
        <w:lang w:val="en-US" w:eastAsia="en-US" w:bidi="ar-SA"/>
      </w:rPr>
    </w:lvl>
    <w:lvl w:ilvl="4" w:tplc="0D9EA83A">
      <w:numFmt w:val="bullet"/>
      <w:lvlText w:val="•"/>
      <w:lvlJc w:val="left"/>
      <w:pPr>
        <w:ind w:left="5064" w:hanging="360"/>
      </w:pPr>
      <w:rPr>
        <w:rFonts w:hint="default"/>
        <w:lang w:val="en-US" w:eastAsia="en-US" w:bidi="ar-SA"/>
      </w:rPr>
    </w:lvl>
    <w:lvl w:ilvl="5" w:tplc="29F2B13A">
      <w:numFmt w:val="bullet"/>
      <w:lvlText w:val="•"/>
      <w:lvlJc w:val="left"/>
      <w:pPr>
        <w:ind w:left="5850" w:hanging="360"/>
      </w:pPr>
      <w:rPr>
        <w:rFonts w:hint="default"/>
        <w:lang w:val="en-US" w:eastAsia="en-US" w:bidi="ar-SA"/>
      </w:rPr>
    </w:lvl>
    <w:lvl w:ilvl="6" w:tplc="92321294">
      <w:numFmt w:val="bullet"/>
      <w:lvlText w:val="•"/>
      <w:lvlJc w:val="left"/>
      <w:pPr>
        <w:ind w:left="6636" w:hanging="360"/>
      </w:pPr>
      <w:rPr>
        <w:rFonts w:hint="default"/>
        <w:lang w:val="en-US" w:eastAsia="en-US" w:bidi="ar-SA"/>
      </w:rPr>
    </w:lvl>
    <w:lvl w:ilvl="7" w:tplc="0018E2DE">
      <w:numFmt w:val="bullet"/>
      <w:lvlText w:val="•"/>
      <w:lvlJc w:val="left"/>
      <w:pPr>
        <w:ind w:left="7422" w:hanging="360"/>
      </w:pPr>
      <w:rPr>
        <w:rFonts w:hint="default"/>
        <w:lang w:val="en-US" w:eastAsia="en-US" w:bidi="ar-SA"/>
      </w:rPr>
    </w:lvl>
    <w:lvl w:ilvl="8" w:tplc="E4820508">
      <w:numFmt w:val="bullet"/>
      <w:lvlText w:val="•"/>
      <w:lvlJc w:val="left"/>
      <w:pPr>
        <w:ind w:left="8208" w:hanging="360"/>
      </w:pPr>
      <w:rPr>
        <w:rFonts w:hint="default"/>
        <w:lang w:val="en-US" w:eastAsia="en-US" w:bidi="ar-SA"/>
      </w:rPr>
    </w:lvl>
  </w:abstractNum>
  <w:abstractNum w:abstractNumId="171" w15:restartNumberingAfterBreak="0">
    <w:nsid w:val="64A55DA9"/>
    <w:multiLevelType w:val="hybridMultilevel"/>
    <w:tmpl w:val="B0F41914"/>
    <w:lvl w:ilvl="0" w:tplc="849E0D28">
      <w:start w:val="1"/>
      <w:numFmt w:val="decimalZero"/>
      <w:lvlText w:val=".%1"/>
      <w:lvlJc w:val="left"/>
      <w:pPr>
        <w:ind w:left="1859" w:hanging="721"/>
      </w:pPr>
      <w:rPr>
        <w:rFonts w:ascii="Arial" w:eastAsia="Arial" w:hAnsi="Arial" w:cs="Arial" w:hint="default"/>
        <w:b w:val="0"/>
        <w:bCs w:val="0"/>
        <w:i w:val="0"/>
        <w:iCs w:val="0"/>
        <w:spacing w:val="0"/>
        <w:w w:val="99"/>
        <w:sz w:val="22"/>
        <w:szCs w:val="22"/>
        <w:lang w:val="en-US" w:eastAsia="en-US" w:bidi="ar-SA"/>
      </w:rPr>
    </w:lvl>
    <w:lvl w:ilvl="1" w:tplc="14BCE766">
      <w:numFmt w:val="bullet"/>
      <w:lvlText w:val=""/>
      <w:lvlJc w:val="left"/>
      <w:pPr>
        <w:ind w:left="2218" w:hanging="360"/>
      </w:pPr>
      <w:rPr>
        <w:rFonts w:ascii="Symbol" w:eastAsia="Symbol" w:hAnsi="Symbol" w:cs="Symbol" w:hint="default"/>
        <w:b w:val="0"/>
        <w:bCs w:val="0"/>
        <w:i w:val="0"/>
        <w:iCs w:val="0"/>
        <w:spacing w:val="0"/>
        <w:w w:val="99"/>
        <w:sz w:val="22"/>
        <w:szCs w:val="22"/>
        <w:lang w:val="en-US" w:eastAsia="en-US" w:bidi="ar-SA"/>
      </w:rPr>
    </w:lvl>
    <w:lvl w:ilvl="2" w:tplc="D7042E4A">
      <w:numFmt w:val="bullet"/>
      <w:lvlText w:val="•"/>
      <w:lvlJc w:val="left"/>
      <w:pPr>
        <w:ind w:left="3115" w:hanging="360"/>
      </w:pPr>
      <w:rPr>
        <w:rFonts w:hint="default"/>
        <w:lang w:val="en-US" w:eastAsia="en-US" w:bidi="ar-SA"/>
      </w:rPr>
    </w:lvl>
    <w:lvl w:ilvl="3" w:tplc="386019D8">
      <w:numFmt w:val="bullet"/>
      <w:lvlText w:val="•"/>
      <w:lvlJc w:val="left"/>
      <w:pPr>
        <w:ind w:left="4011" w:hanging="360"/>
      </w:pPr>
      <w:rPr>
        <w:rFonts w:hint="default"/>
        <w:lang w:val="en-US" w:eastAsia="en-US" w:bidi="ar-SA"/>
      </w:rPr>
    </w:lvl>
    <w:lvl w:ilvl="4" w:tplc="BC18723E">
      <w:numFmt w:val="bullet"/>
      <w:lvlText w:val="•"/>
      <w:lvlJc w:val="left"/>
      <w:pPr>
        <w:ind w:left="4906" w:hanging="360"/>
      </w:pPr>
      <w:rPr>
        <w:rFonts w:hint="default"/>
        <w:lang w:val="en-US" w:eastAsia="en-US" w:bidi="ar-SA"/>
      </w:rPr>
    </w:lvl>
    <w:lvl w:ilvl="5" w:tplc="3C0CE310">
      <w:numFmt w:val="bullet"/>
      <w:lvlText w:val="•"/>
      <w:lvlJc w:val="left"/>
      <w:pPr>
        <w:ind w:left="5802" w:hanging="360"/>
      </w:pPr>
      <w:rPr>
        <w:rFonts w:hint="default"/>
        <w:lang w:val="en-US" w:eastAsia="en-US" w:bidi="ar-SA"/>
      </w:rPr>
    </w:lvl>
    <w:lvl w:ilvl="6" w:tplc="78A6FB16">
      <w:numFmt w:val="bullet"/>
      <w:lvlText w:val="•"/>
      <w:lvlJc w:val="left"/>
      <w:pPr>
        <w:ind w:left="6697" w:hanging="360"/>
      </w:pPr>
      <w:rPr>
        <w:rFonts w:hint="default"/>
        <w:lang w:val="en-US" w:eastAsia="en-US" w:bidi="ar-SA"/>
      </w:rPr>
    </w:lvl>
    <w:lvl w:ilvl="7" w:tplc="0F3CD500">
      <w:numFmt w:val="bullet"/>
      <w:lvlText w:val="•"/>
      <w:lvlJc w:val="left"/>
      <w:pPr>
        <w:ind w:left="7593" w:hanging="360"/>
      </w:pPr>
      <w:rPr>
        <w:rFonts w:hint="default"/>
        <w:lang w:val="en-US" w:eastAsia="en-US" w:bidi="ar-SA"/>
      </w:rPr>
    </w:lvl>
    <w:lvl w:ilvl="8" w:tplc="1A105FE0">
      <w:numFmt w:val="bullet"/>
      <w:lvlText w:val="•"/>
      <w:lvlJc w:val="left"/>
      <w:pPr>
        <w:ind w:left="8488" w:hanging="360"/>
      </w:pPr>
      <w:rPr>
        <w:rFonts w:hint="default"/>
        <w:lang w:val="en-US" w:eastAsia="en-US" w:bidi="ar-SA"/>
      </w:rPr>
    </w:lvl>
  </w:abstractNum>
  <w:abstractNum w:abstractNumId="172" w15:restartNumberingAfterBreak="0">
    <w:nsid w:val="65AC5095"/>
    <w:multiLevelType w:val="hybridMultilevel"/>
    <w:tmpl w:val="71EE518E"/>
    <w:lvl w:ilvl="0" w:tplc="04C0AA58">
      <w:start w:val="4"/>
      <w:numFmt w:val="decimal"/>
      <w:lvlText w:val="%1."/>
      <w:lvlJc w:val="left"/>
      <w:pPr>
        <w:ind w:left="472" w:hanging="368"/>
      </w:pPr>
      <w:rPr>
        <w:rFonts w:ascii="Arial" w:eastAsia="Arial" w:hAnsi="Arial" w:cs="Arial" w:hint="default"/>
        <w:b w:val="0"/>
        <w:bCs w:val="0"/>
        <w:i w:val="0"/>
        <w:iCs w:val="0"/>
        <w:spacing w:val="0"/>
        <w:w w:val="99"/>
        <w:sz w:val="22"/>
        <w:szCs w:val="22"/>
        <w:lang w:val="en-US" w:eastAsia="en-US" w:bidi="ar-SA"/>
      </w:rPr>
    </w:lvl>
    <w:lvl w:ilvl="1" w:tplc="61BAB58C">
      <w:start w:val="1"/>
      <w:numFmt w:val="lowerLetter"/>
      <w:lvlText w:val="(%2)"/>
      <w:lvlJc w:val="left"/>
      <w:pPr>
        <w:ind w:left="968" w:hanging="504"/>
      </w:pPr>
      <w:rPr>
        <w:rFonts w:ascii="Arial" w:eastAsia="Arial" w:hAnsi="Arial" w:cs="Arial" w:hint="default"/>
        <w:b w:val="0"/>
        <w:bCs w:val="0"/>
        <w:i w:val="0"/>
        <w:iCs w:val="0"/>
        <w:spacing w:val="-1"/>
        <w:w w:val="99"/>
        <w:sz w:val="22"/>
        <w:szCs w:val="22"/>
        <w:lang w:val="en-US" w:eastAsia="en-US" w:bidi="ar-SA"/>
      </w:rPr>
    </w:lvl>
    <w:lvl w:ilvl="2" w:tplc="2C1CAFAE">
      <w:numFmt w:val="bullet"/>
      <w:lvlText w:val="•"/>
      <w:lvlJc w:val="left"/>
      <w:pPr>
        <w:ind w:left="1570" w:hanging="504"/>
      </w:pPr>
      <w:rPr>
        <w:rFonts w:hint="default"/>
        <w:lang w:val="en-US" w:eastAsia="en-US" w:bidi="ar-SA"/>
      </w:rPr>
    </w:lvl>
    <w:lvl w:ilvl="3" w:tplc="429A7460">
      <w:numFmt w:val="bullet"/>
      <w:lvlText w:val="•"/>
      <w:lvlJc w:val="left"/>
      <w:pPr>
        <w:ind w:left="2180" w:hanging="504"/>
      </w:pPr>
      <w:rPr>
        <w:rFonts w:hint="default"/>
        <w:lang w:val="en-US" w:eastAsia="en-US" w:bidi="ar-SA"/>
      </w:rPr>
    </w:lvl>
    <w:lvl w:ilvl="4" w:tplc="FBCC6F78">
      <w:numFmt w:val="bullet"/>
      <w:lvlText w:val="•"/>
      <w:lvlJc w:val="left"/>
      <w:pPr>
        <w:ind w:left="2790" w:hanging="504"/>
      </w:pPr>
      <w:rPr>
        <w:rFonts w:hint="default"/>
        <w:lang w:val="en-US" w:eastAsia="en-US" w:bidi="ar-SA"/>
      </w:rPr>
    </w:lvl>
    <w:lvl w:ilvl="5" w:tplc="B8CC0582">
      <w:numFmt w:val="bullet"/>
      <w:lvlText w:val="•"/>
      <w:lvlJc w:val="left"/>
      <w:pPr>
        <w:ind w:left="3401" w:hanging="504"/>
      </w:pPr>
      <w:rPr>
        <w:rFonts w:hint="default"/>
        <w:lang w:val="en-US" w:eastAsia="en-US" w:bidi="ar-SA"/>
      </w:rPr>
    </w:lvl>
    <w:lvl w:ilvl="6" w:tplc="B5D4FB54">
      <w:numFmt w:val="bullet"/>
      <w:lvlText w:val="•"/>
      <w:lvlJc w:val="left"/>
      <w:pPr>
        <w:ind w:left="4011" w:hanging="504"/>
      </w:pPr>
      <w:rPr>
        <w:rFonts w:hint="default"/>
        <w:lang w:val="en-US" w:eastAsia="en-US" w:bidi="ar-SA"/>
      </w:rPr>
    </w:lvl>
    <w:lvl w:ilvl="7" w:tplc="561E40C4">
      <w:numFmt w:val="bullet"/>
      <w:lvlText w:val="•"/>
      <w:lvlJc w:val="left"/>
      <w:pPr>
        <w:ind w:left="4621" w:hanging="504"/>
      </w:pPr>
      <w:rPr>
        <w:rFonts w:hint="default"/>
        <w:lang w:val="en-US" w:eastAsia="en-US" w:bidi="ar-SA"/>
      </w:rPr>
    </w:lvl>
    <w:lvl w:ilvl="8" w:tplc="2692F694">
      <w:numFmt w:val="bullet"/>
      <w:lvlText w:val="•"/>
      <w:lvlJc w:val="left"/>
      <w:pPr>
        <w:ind w:left="5231" w:hanging="504"/>
      </w:pPr>
      <w:rPr>
        <w:rFonts w:hint="default"/>
        <w:lang w:val="en-US" w:eastAsia="en-US" w:bidi="ar-SA"/>
      </w:rPr>
    </w:lvl>
  </w:abstractNum>
  <w:abstractNum w:abstractNumId="173" w15:restartNumberingAfterBreak="0">
    <w:nsid w:val="65C4604B"/>
    <w:multiLevelType w:val="hybridMultilevel"/>
    <w:tmpl w:val="E1307C08"/>
    <w:lvl w:ilvl="0" w:tplc="DC94AEB6">
      <w:start w:val="1"/>
      <w:numFmt w:val="lowerLetter"/>
      <w:lvlText w:val="%1."/>
      <w:lvlJc w:val="left"/>
      <w:pPr>
        <w:ind w:left="2218" w:hanging="360"/>
      </w:pPr>
      <w:rPr>
        <w:rFonts w:ascii="Arial" w:eastAsia="Arial" w:hAnsi="Arial" w:cs="Arial" w:hint="default"/>
        <w:b w:val="0"/>
        <w:bCs w:val="0"/>
        <w:i w:val="0"/>
        <w:iCs w:val="0"/>
        <w:spacing w:val="0"/>
        <w:w w:val="99"/>
        <w:sz w:val="22"/>
        <w:szCs w:val="22"/>
        <w:lang w:val="en-US" w:eastAsia="en-US" w:bidi="ar-SA"/>
      </w:rPr>
    </w:lvl>
    <w:lvl w:ilvl="1" w:tplc="222C58F0">
      <w:numFmt w:val="bullet"/>
      <w:lvlText w:val="•"/>
      <w:lvlJc w:val="left"/>
      <w:pPr>
        <w:ind w:left="3026" w:hanging="360"/>
      </w:pPr>
      <w:rPr>
        <w:rFonts w:hint="default"/>
        <w:lang w:val="en-US" w:eastAsia="en-US" w:bidi="ar-SA"/>
      </w:rPr>
    </w:lvl>
    <w:lvl w:ilvl="2" w:tplc="7214E178">
      <w:numFmt w:val="bullet"/>
      <w:lvlText w:val="•"/>
      <w:lvlJc w:val="left"/>
      <w:pPr>
        <w:ind w:left="3832" w:hanging="360"/>
      </w:pPr>
      <w:rPr>
        <w:rFonts w:hint="default"/>
        <w:lang w:val="en-US" w:eastAsia="en-US" w:bidi="ar-SA"/>
      </w:rPr>
    </w:lvl>
    <w:lvl w:ilvl="3" w:tplc="409E49C0">
      <w:numFmt w:val="bullet"/>
      <w:lvlText w:val="•"/>
      <w:lvlJc w:val="left"/>
      <w:pPr>
        <w:ind w:left="4638" w:hanging="360"/>
      </w:pPr>
      <w:rPr>
        <w:rFonts w:hint="default"/>
        <w:lang w:val="en-US" w:eastAsia="en-US" w:bidi="ar-SA"/>
      </w:rPr>
    </w:lvl>
    <w:lvl w:ilvl="4" w:tplc="A4945E5C">
      <w:numFmt w:val="bullet"/>
      <w:lvlText w:val="•"/>
      <w:lvlJc w:val="left"/>
      <w:pPr>
        <w:ind w:left="5444" w:hanging="360"/>
      </w:pPr>
      <w:rPr>
        <w:rFonts w:hint="default"/>
        <w:lang w:val="en-US" w:eastAsia="en-US" w:bidi="ar-SA"/>
      </w:rPr>
    </w:lvl>
    <w:lvl w:ilvl="5" w:tplc="6ED45B14">
      <w:numFmt w:val="bullet"/>
      <w:lvlText w:val="•"/>
      <w:lvlJc w:val="left"/>
      <w:pPr>
        <w:ind w:left="6250" w:hanging="360"/>
      </w:pPr>
      <w:rPr>
        <w:rFonts w:hint="default"/>
        <w:lang w:val="en-US" w:eastAsia="en-US" w:bidi="ar-SA"/>
      </w:rPr>
    </w:lvl>
    <w:lvl w:ilvl="6" w:tplc="71A2F6E2">
      <w:numFmt w:val="bullet"/>
      <w:lvlText w:val="•"/>
      <w:lvlJc w:val="left"/>
      <w:pPr>
        <w:ind w:left="7056" w:hanging="360"/>
      </w:pPr>
      <w:rPr>
        <w:rFonts w:hint="default"/>
        <w:lang w:val="en-US" w:eastAsia="en-US" w:bidi="ar-SA"/>
      </w:rPr>
    </w:lvl>
    <w:lvl w:ilvl="7" w:tplc="01B492C8">
      <w:numFmt w:val="bullet"/>
      <w:lvlText w:val="•"/>
      <w:lvlJc w:val="left"/>
      <w:pPr>
        <w:ind w:left="7862" w:hanging="360"/>
      </w:pPr>
      <w:rPr>
        <w:rFonts w:hint="default"/>
        <w:lang w:val="en-US" w:eastAsia="en-US" w:bidi="ar-SA"/>
      </w:rPr>
    </w:lvl>
    <w:lvl w:ilvl="8" w:tplc="99C0DDEC">
      <w:numFmt w:val="bullet"/>
      <w:lvlText w:val="•"/>
      <w:lvlJc w:val="left"/>
      <w:pPr>
        <w:ind w:left="8668" w:hanging="360"/>
      </w:pPr>
      <w:rPr>
        <w:rFonts w:hint="default"/>
        <w:lang w:val="en-US" w:eastAsia="en-US" w:bidi="ar-SA"/>
      </w:rPr>
    </w:lvl>
  </w:abstractNum>
  <w:abstractNum w:abstractNumId="174" w15:restartNumberingAfterBreak="0">
    <w:nsid w:val="67090724"/>
    <w:multiLevelType w:val="hybridMultilevel"/>
    <w:tmpl w:val="5D5E4C40"/>
    <w:lvl w:ilvl="0" w:tplc="8F08A958">
      <w:numFmt w:val="bullet"/>
      <w:lvlText w:val=""/>
      <w:lvlJc w:val="left"/>
      <w:pPr>
        <w:ind w:left="479" w:hanging="270"/>
      </w:pPr>
      <w:rPr>
        <w:rFonts w:ascii="Symbol" w:eastAsia="Symbol" w:hAnsi="Symbol" w:cs="Symbol" w:hint="default"/>
        <w:b w:val="0"/>
        <w:bCs w:val="0"/>
        <w:i w:val="0"/>
        <w:iCs w:val="0"/>
        <w:spacing w:val="0"/>
        <w:w w:val="99"/>
        <w:sz w:val="22"/>
        <w:szCs w:val="22"/>
        <w:lang w:val="en-US" w:eastAsia="en-US" w:bidi="ar-SA"/>
      </w:rPr>
    </w:lvl>
    <w:lvl w:ilvl="1" w:tplc="2CB46802">
      <w:numFmt w:val="bullet"/>
      <w:lvlText w:val="•"/>
      <w:lvlJc w:val="left"/>
      <w:pPr>
        <w:ind w:left="1410" w:hanging="270"/>
      </w:pPr>
      <w:rPr>
        <w:rFonts w:hint="default"/>
        <w:lang w:val="en-US" w:eastAsia="en-US" w:bidi="ar-SA"/>
      </w:rPr>
    </w:lvl>
    <w:lvl w:ilvl="2" w:tplc="A036B168">
      <w:numFmt w:val="bullet"/>
      <w:lvlText w:val="•"/>
      <w:lvlJc w:val="left"/>
      <w:pPr>
        <w:ind w:left="2340" w:hanging="270"/>
      </w:pPr>
      <w:rPr>
        <w:rFonts w:hint="default"/>
        <w:lang w:val="en-US" w:eastAsia="en-US" w:bidi="ar-SA"/>
      </w:rPr>
    </w:lvl>
    <w:lvl w:ilvl="3" w:tplc="6A607B58">
      <w:numFmt w:val="bullet"/>
      <w:lvlText w:val="•"/>
      <w:lvlJc w:val="left"/>
      <w:pPr>
        <w:ind w:left="3270" w:hanging="270"/>
      </w:pPr>
      <w:rPr>
        <w:rFonts w:hint="default"/>
        <w:lang w:val="en-US" w:eastAsia="en-US" w:bidi="ar-SA"/>
      </w:rPr>
    </w:lvl>
    <w:lvl w:ilvl="4" w:tplc="4BC2AC6E">
      <w:numFmt w:val="bullet"/>
      <w:lvlText w:val="•"/>
      <w:lvlJc w:val="left"/>
      <w:pPr>
        <w:ind w:left="4200" w:hanging="270"/>
      </w:pPr>
      <w:rPr>
        <w:rFonts w:hint="default"/>
        <w:lang w:val="en-US" w:eastAsia="en-US" w:bidi="ar-SA"/>
      </w:rPr>
    </w:lvl>
    <w:lvl w:ilvl="5" w:tplc="631EF0FE">
      <w:numFmt w:val="bullet"/>
      <w:lvlText w:val="•"/>
      <w:lvlJc w:val="left"/>
      <w:pPr>
        <w:ind w:left="5130" w:hanging="270"/>
      </w:pPr>
      <w:rPr>
        <w:rFonts w:hint="default"/>
        <w:lang w:val="en-US" w:eastAsia="en-US" w:bidi="ar-SA"/>
      </w:rPr>
    </w:lvl>
    <w:lvl w:ilvl="6" w:tplc="E5BAC0E4">
      <w:numFmt w:val="bullet"/>
      <w:lvlText w:val="•"/>
      <w:lvlJc w:val="left"/>
      <w:pPr>
        <w:ind w:left="6060" w:hanging="270"/>
      </w:pPr>
      <w:rPr>
        <w:rFonts w:hint="default"/>
        <w:lang w:val="en-US" w:eastAsia="en-US" w:bidi="ar-SA"/>
      </w:rPr>
    </w:lvl>
    <w:lvl w:ilvl="7" w:tplc="9DC29194">
      <w:numFmt w:val="bullet"/>
      <w:lvlText w:val="•"/>
      <w:lvlJc w:val="left"/>
      <w:pPr>
        <w:ind w:left="6990" w:hanging="270"/>
      </w:pPr>
      <w:rPr>
        <w:rFonts w:hint="default"/>
        <w:lang w:val="en-US" w:eastAsia="en-US" w:bidi="ar-SA"/>
      </w:rPr>
    </w:lvl>
    <w:lvl w:ilvl="8" w:tplc="6E74C9FE">
      <w:numFmt w:val="bullet"/>
      <w:lvlText w:val="•"/>
      <w:lvlJc w:val="left"/>
      <w:pPr>
        <w:ind w:left="7920" w:hanging="270"/>
      </w:pPr>
      <w:rPr>
        <w:rFonts w:hint="default"/>
        <w:lang w:val="en-US" w:eastAsia="en-US" w:bidi="ar-SA"/>
      </w:rPr>
    </w:lvl>
  </w:abstractNum>
  <w:abstractNum w:abstractNumId="175" w15:restartNumberingAfterBreak="0">
    <w:nsid w:val="671D7D83"/>
    <w:multiLevelType w:val="hybridMultilevel"/>
    <w:tmpl w:val="96A244D0"/>
    <w:lvl w:ilvl="0" w:tplc="6A2A3566">
      <w:start w:val="6"/>
      <w:numFmt w:val="decimal"/>
      <w:lvlText w:val="%1)"/>
      <w:lvlJc w:val="left"/>
      <w:pPr>
        <w:ind w:left="1172" w:hanging="361"/>
      </w:pPr>
      <w:rPr>
        <w:rFonts w:ascii="Arial" w:eastAsia="Arial" w:hAnsi="Arial" w:cs="Arial" w:hint="default"/>
        <w:b w:val="0"/>
        <w:bCs w:val="0"/>
        <w:i w:val="0"/>
        <w:iCs w:val="0"/>
        <w:spacing w:val="0"/>
        <w:w w:val="99"/>
        <w:sz w:val="22"/>
        <w:szCs w:val="22"/>
        <w:lang w:val="en-US" w:eastAsia="en-US" w:bidi="ar-SA"/>
      </w:rPr>
    </w:lvl>
    <w:lvl w:ilvl="1" w:tplc="D3169754">
      <w:start w:val="1"/>
      <w:numFmt w:val="lowerLetter"/>
      <w:lvlText w:val="%2)"/>
      <w:lvlJc w:val="left"/>
      <w:pPr>
        <w:ind w:left="1569" w:hanging="397"/>
      </w:pPr>
      <w:rPr>
        <w:rFonts w:ascii="Arial" w:eastAsia="Arial" w:hAnsi="Arial" w:cs="Arial" w:hint="default"/>
        <w:b w:val="0"/>
        <w:bCs w:val="0"/>
        <w:i w:val="0"/>
        <w:iCs w:val="0"/>
        <w:spacing w:val="0"/>
        <w:w w:val="99"/>
        <w:sz w:val="22"/>
        <w:szCs w:val="22"/>
        <w:lang w:val="en-US" w:eastAsia="en-US" w:bidi="ar-SA"/>
      </w:rPr>
    </w:lvl>
    <w:lvl w:ilvl="2" w:tplc="EE4C6DFC">
      <w:numFmt w:val="bullet"/>
      <w:lvlText w:val="•"/>
      <w:lvlJc w:val="left"/>
      <w:pPr>
        <w:ind w:left="2127" w:hanging="397"/>
      </w:pPr>
      <w:rPr>
        <w:rFonts w:hint="default"/>
        <w:lang w:val="en-US" w:eastAsia="en-US" w:bidi="ar-SA"/>
      </w:rPr>
    </w:lvl>
    <w:lvl w:ilvl="3" w:tplc="E23C99A2">
      <w:numFmt w:val="bullet"/>
      <w:lvlText w:val="•"/>
      <w:lvlJc w:val="left"/>
      <w:pPr>
        <w:ind w:left="2695" w:hanging="397"/>
      </w:pPr>
      <w:rPr>
        <w:rFonts w:hint="default"/>
        <w:lang w:val="en-US" w:eastAsia="en-US" w:bidi="ar-SA"/>
      </w:rPr>
    </w:lvl>
    <w:lvl w:ilvl="4" w:tplc="80CA573A">
      <w:numFmt w:val="bullet"/>
      <w:lvlText w:val="•"/>
      <w:lvlJc w:val="left"/>
      <w:pPr>
        <w:ind w:left="3262" w:hanging="397"/>
      </w:pPr>
      <w:rPr>
        <w:rFonts w:hint="default"/>
        <w:lang w:val="en-US" w:eastAsia="en-US" w:bidi="ar-SA"/>
      </w:rPr>
    </w:lvl>
    <w:lvl w:ilvl="5" w:tplc="C3A40C3E">
      <w:numFmt w:val="bullet"/>
      <w:lvlText w:val="•"/>
      <w:lvlJc w:val="left"/>
      <w:pPr>
        <w:ind w:left="3830" w:hanging="397"/>
      </w:pPr>
      <w:rPr>
        <w:rFonts w:hint="default"/>
        <w:lang w:val="en-US" w:eastAsia="en-US" w:bidi="ar-SA"/>
      </w:rPr>
    </w:lvl>
    <w:lvl w:ilvl="6" w:tplc="E47AB6BC">
      <w:numFmt w:val="bullet"/>
      <w:lvlText w:val="•"/>
      <w:lvlJc w:val="left"/>
      <w:pPr>
        <w:ind w:left="4398" w:hanging="397"/>
      </w:pPr>
      <w:rPr>
        <w:rFonts w:hint="default"/>
        <w:lang w:val="en-US" w:eastAsia="en-US" w:bidi="ar-SA"/>
      </w:rPr>
    </w:lvl>
    <w:lvl w:ilvl="7" w:tplc="DED2E11E">
      <w:numFmt w:val="bullet"/>
      <w:lvlText w:val="•"/>
      <w:lvlJc w:val="left"/>
      <w:pPr>
        <w:ind w:left="4965" w:hanging="397"/>
      </w:pPr>
      <w:rPr>
        <w:rFonts w:hint="default"/>
        <w:lang w:val="en-US" w:eastAsia="en-US" w:bidi="ar-SA"/>
      </w:rPr>
    </w:lvl>
    <w:lvl w:ilvl="8" w:tplc="C3E82156">
      <w:numFmt w:val="bullet"/>
      <w:lvlText w:val="•"/>
      <w:lvlJc w:val="left"/>
      <w:pPr>
        <w:ind w:left="5533" w:hanging="397"/>
      </w:pPr>
      <w:rPr>
        <w:rFonts w:hint="default"/>
        <w:lang w:val="en-US" w:eastAsia="en-US" w:bidi="ar-SA"/>
      </w:rPr>
    </w:lvl>
  </w:abstractNum>
  <w:abstractNum w:abstractNumId="176" w15:restartNumberingAfterBreak="0">
    <w:nsid w:val="68915F18"/>
    <w:multiLevelType w:val="hybridMultilevel"/>
    <w:tmpl w:val="AADAD74C"/>
    <w:lvl w:ilvl="0" w:tplc="37A6335A">
      <w:start w:val="10"/>
      <w:numFmt w:val="decimal"/>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76A657B2">
      <w:numFmt w:val="bullet"/>
      <w:lvlText w:val=""/>
      <w:lvlJc w:val="left"/>
      <w:pPr>
        <w:ind w:left="1999" w:hanging="360"/>
      </w:pPr>
      <w:rPr>
        <w:rFonts w:ascii="Symbol" w:eastAsia="Symbol" w:hAnsi="Symbol" w:cs="Symbol" w:hint="default"/>
        <w:b w:val="0"/>
        <w:bCs w:val="0"/>
        <w:i w:val="0"/>
        <w:iCs w:val="0"/>
        <w:spacing w:val="0"/>
        <w:w w:val="99"/>
        <w:sz w:val="22"/>
        <w:szCs w:val="22"/>
        <w:lang w:val="en-US" w:eastAsia="en-US" w:bidi="ar-SA"/>
      </w:rPr>
    </w:lvl>
    <w:lvl w:ilvl="2" w:tplc="B58406BA">
      <w:numFmt w:val="bullet"/>
      <w:lvlText w:val="•"/>
      <w:lvlJc w:val="left"/>
      <w:pPr>
        <w:ind w:left="2877" w:hanging="360"/>
      </w:pPr>
      <w:rPr>
        <w:rFonts w:hint="default"/>
        <w:lang w:val="en-US" w:eastAsia="en-US" w:bidi="ar-SA"/>
      </w:rPr>
    </w:lvl>
    <w:lvl w:ilvl="3" w:tplc="50F08C90">
      <w:numFmt w:val="bullet"/>
      <w:lvlText w:val="•"/>
      <w:lvlJc w:val="left"/>
      <w:pPr>
        <w:ind w:left="3755" w:hanging="360"/>
      </w:pPr>
      <w:rPr>
        <w:rFonts w:hint="default"/>
        <w:lang w:val="en-US" w:eastAsia="en-US" w:bidi="ar-SA"/>
      </w:rPr>
    </w:lvl>
    <w:lvl w:ilvl="4" w:tplc="DD38531A">
      <w:numFmt w:val="bullet"/>
      <w:lvlText w:val="•"/>
      <w:lvlJc w:val="left"/>
      <w:pPr>
        <w:ind w:left="4633" w:hanging="360"/>
      </w:pPr>
      <w:rPr>
        <w:rFonts w:hint="default"/>
        <w:lang w:val="en-US" w:eastAsia="en-US" w:bidi="ar-SA"/>
      </w:rPr>
    </w:lvl>
    <w:lvl w:ilvl="5" w:tplc="7206DC32">
      <w:numFmt w:val="bullet"/>
      <w:lvlText w:val="•"/>
      <w:lvlJc w:val="left"/>
      <w:pPr>
        <w:ind w:left="5511" w:hanging="360"/>
      </w:pPr>
      <w:rPr>
        <w:rFonts w:hint="default"/>
        <w:lang w:val="en-US" w:eastAsia="en-US" w:bidi="ar-SA"/>
      </w:rPr>
    </w:lvl>
    <w:lvl w:ilvl="6" w:tplc="2ADC8AD8">
      <w:numFmt w:val="bullet"/>
      <w:lvlText w:val="•"/>
      <w:lvlJc w:val="left"/>
      <w:pPr>
        <w:ind w:left="6388" w:hanging="360"/>
      </w:pPr>
      <w:rPr>
        <w:rFonts w:hint="default"/>
        <w:lang w:val="en-US" w:eastAsia="en-US" w:bidi="ar-SA"/>
      </w:rPr>
    </w:lvl>
    <w:lvl w:ilvl="7" w:tplc="E4D0A740">
      <w:numFmt w:val="bullet"/>
      <w:lvlText w:val="•"/>
      <w:lvlJc w:val="left"/>
      <w:pPr>
        <w:ind w:left="7266" w:hanging="360"/>
      </w:pPr>
      <w:rPr>
        <w:rFonts w:hint="default"/>
        <w:lang w:val="en-US" w:eastAsia="en-US" w:bidi="ar-SA"/>
      </w:rPr>
    </w:lvl>
    <w:lvl w:ilvl="8" w:tplc="B324F252">
      <w:numFmt w:val="bullet"/>
      <w:lvlText w:val="•"/>
      <w:lvlJc w:val="left"/>
      <w:pPr>
        <w:ind w:left="8144" w:hanging="360"/>
      </w:pPr>
      <w:rPr>
        <w:rFonts w:hint="default"/>
        <w:lang w:val="en-US" w:eastAsia="en-US" w:bidi="ar-SA"/>
      </w:rPr>
    </w:lvl>
  </w:abstractNum>
  <w:abstractNum w:abstractNumId="177" w15:restartNumberingAfterBreak="0">
    <w:nsid w:val="69D6738C"/>
    <w:multiLevelType w:val="hybridMultilevel"/>
    <w:tmpl w:val="327AE78E"/>
    <w:lvl w:ilvl="0" w:tplc="F2740826">
      <w:start w:val="1"/>
      <w:numFmt w:val="decimal"/>
      <w:lvlText w:val="(%1)"/>
      <w:lvlJc w:val="left"/>
      <w:pPr>
        <w:ind w:left="2282" w:hanging="361"/>
      </w:pPr>
      <w:rPr>
        <w:rFonts w:ascii="Arial" w:eastAsia="Arial" w:hAnsi="Arial" w:cs="Arial" w:hint="default"/>
        <w:b w:val="0"/>
        <w:bCs w:val="0"/>
        <w:i w:val="0"/>
        <w:iCs w:val="0"/>
        <w:spacing w:val="0"/>
        <w:w w:val="99"/>
        <w:sz w:val="22"/>
        <w:szCs w:val="22"/>
        <w:lang w:val="en-US" w:eastAsia="en-US" w:bidi="ar-SA"/>
      </w:rPr>
    </w:lvl>
    <w:lvl w:ilvl="1" w:tplc="1E842048">
      <w:numFmt w:val="bullet"/>
      <w:lvlText w:val=""/>
      <w:lvlJc w:val="left"/>
      <w:pPr>
        <w:ind w:left="2642" w:hanging="319"/>
      </w:pPr>
      <w:rPr>
        <w:rFonts w:ascii="Symbol" w:eastAsia="Symbol" w:hAnsi="Symbol" w:cs="Symbol" w:hint="default"/>
        <w:b w:val="0"/>
        <w:bCs w:val="0"/>
        <w:i w:val="0"/>
        <w:iCs w:val="0"/>
        <w:spacing w:val="0"/>
        <w:w w:val="99"/>
        <w:sz w:val="22"/>
        <w:szCs w:val="22"/>
        <w:lang w:val="en-US" w:eastAsia="en-US" w:bidi="ar-SA"/>
      </w:rPr>
    </w:lvl>
    <w:lvl w:ilvl="2" w:tplc="B6BE1C76">
      <w:numFmt w:val="bullet"/>
      <w:lvlText w:val="•"/>
      <w:lvlJc w:val="left"/>
      <w:pPr>
        <w:ind w:left="3042" w:hanging="319"/>
      </w:pPr>
      <w:rPr>
        <w:rFonts w:hint="default"/>
        <w:lang w:val="en-US" w:eastAsia="en-US" w:bidi="ar-SA"/>
      </w:rPr>
    </w:lvl>
    <w:lvl w:ilvl="3" w:tplc="1D86E4E2">
      <w:numFmt w:val="bullet"/>
      <w:lvlText w:val="•"/>
      <w:lvlJc w:val="left"/>
      <w:pPr>
        <w:ind w:left="3444" w:hanging="319"/>
      </w:pPr>
      <w:rPr>
        <w:rFonts w:hint="default"/>
        <w:lang w:val="en-US" w:eastAsia="en-US" w:bidi="ar-SA"/>
      </w:rPr>
    </w:lvl>
    <w:lvl w:ilvl="4" w:tplc="390854EC">
      <w:numFmt w:val="bullet"/>
      <w:lvlText w:val="•"/>
      <w:lvlJc w:val="left"/>
      <w:pPr>
        <w:ind w:left="3846" w:hanging="319"/>
      </w:pPr>
      <w:rPr>
        <w:rFonts w:hint="default"/>
        <w:lang w:val="en-US" w:eastAsia="en-US" w:bidi="ar-SA"/>
      </w:rPr>
    </w:lvl>
    <w:lvl w:ilvl="5" w:tplc="3CAE3CAA">
      <w:numFmt w:val="bullet"/>
      <w:lvlText w:val="•"/>
      <w:lvlJc w:val="left"/>
      <w:pPr>
        <w:ind w:left="4248" w:hanging="319"/>
      </w:pPr>
      <w:rPr>
        <w:rFonts w:hint="default"/>
        <w:lang w:val="en-US" w:eastAsia="en-US" w:bidi="ar-SA"/>
      </w:rPr>
    </w:lvl>
    <w:lvl w:ilvl="6" w:tplc="938A8422">
      <w:numFmt w:val="bullet"/>
      <w:lvlText w:val="•"/>
      <w:lvlJc w:val="left"/>
      <w:pPr>
        <w:ind w:left="4650" w:hanging="319"/>
      </w:pPr>
      <w:rPr>
        <w:rFonts w:hint="default"/>
        <w:lang w:val="en-US" w:eastAsia="en-US" w:bidi="ar-SA"/>
      </w:rPr>
    </w:lvl>
    <w:lvl w:ilvl="7" w:tplc="8C90E19E">
      <w:numFmt w:val="bullet"/>
      <w:lvlText w:val="•"/>
      <w:lvlJc w:val="left"/>
      <w:pPr>
        <w:ind w:left="5053" w:hanging="319"/>
      </w:pPr>
      <w:rPr>
        <w:rFonts w:hint="default"/>
        <w:lang w:val="en-US" w:eastAsia="en-US" w:bidi="ar-SA"/>
      </w:rPr>
    </w:lvl>
    <w:lvl w:ilvl="8" w:tplc="092C4626">
      <w:numFmt w:val="bullet"/>
      <w:lvlText w:val="•"/>
      <w:lvlJc w:val="left"/>
      <w:pPr>
        <w:ind w:left="5455" w:hanging="319"/>
      </w:pPr>
      <w:rPr>
        <w:rFonts w:hint="default"/>
        <w:lang w:val="en-US" w:eastAsia="en-US" w:bidi="ar-SA"/>
      </w:rPr>
    </w:lvl>
  </w:abstractNum>
  <w:abstractNum w:abstractNumId="178" w15:restartNumberingAfterBreak="0">
    <w:nsid w:val="6B2A030F"/>
    <w:multiLevelType w:val="hybridMultilevel"/>
    <w:tmpl w:val="F580E52C"/>
    <w:lvl w:ilvl="0" w:tplc="5268F01A">
      <w:start w:val="1"/>
      <w:numFmt w:val="decimalZero"/>
      <w:lvlText w:val=".%1"/>
      <w:lvlJc w:val="left"/>
      <w:pPr>
        <w:ind w:left="1858" w:hanging="720"/>
      </w:pPr>
      <w:rPr>
        <w:rFonts w:ascii="Arial" w:eastAsia="Arial" w:hAnsi="Arial" w:cs="Arial" w:hint="default"/>
        <w:b w:val="0"/>
        <w:bCs w:val="0"/>
        <w:i w:val="0"/>
        <w:iCs w:val="0"/>
        <w:spacing w:val="0"/>
        <w:w w:val="99"/>
        <w:sz w:val="22"/>
        <w:szCs w:val="22"/>
        <w:lang w:val="en-US" w:eastAsia="en-US" w:bidi="ar-SA"/>
      </w:rPr>
    </w:lvl>
    <w:lvl w:ilvl="1" w:tplc="C5CA71AC">
      <w:numFmt w:val="bullet"/>
      <w:lvlText w:val=""/>
      <w:lvlJc w:val="left"/>
      <w:pPr>
        <w:ind w:left="2218" w:hanging="360"/>
      </w:pPr>
      <w:rPr>
        <w:rFonts w:ascii="Symbol" w:eastAsia="Symbol" w:hAnsi="Symbol" w:cs="Symbol" w:hint="default"/>
        <w:b w:val="0"/>
        <w:bCs w:val="0"/>
        <w:i w:val="0"/>
        <w:iCs w:val="0"/>
        <w:spacing w:val="0"/>
        <w:w w:val="99"/>
        <w:sz w:val="22"/>
        <w:szCs w:val="22"/>
        <w:lang w:val="en-US" w:eastAsia="en-US" w:bidi="ar-SA"/>
      </w:rPr>
    </w:lvl>
    <w:lvl w:ilvl="2" w:tplc="34C4A382">
      <w:numFmt w:val="bullet"/>
      <w:lvlText w:val="•"/>
      <w:lvlJc w:val="left"/>
      <w:pPr>
        <w:ind w:left="3115" w:hanging="360"/>
      </w:pPr>
      <w:rPr>
        <w:rFonts w:hint="default"/>
        <w:lang w:val="en-US" w:eastAsia="en-US" w:bidi="ar-SA"/>
      </w:rPr>
    </w:lvl>
    <w:lvl w:ilvl="3" w:tplc="1EFAAA74">
      <w:numFmt w:val="bullet"/>
      <w:lvlText w:val="•"/>
      <w:lvlJc w:val="left"/>
      <w:pPr>
        <w:ind w:left="4011" w:hanging="360"/>
      </w:pPr>
      <w:rPr>
        <w:rFonts w:hint="default"/>
        <w:lang w:val="en-US" w:eastAsia="en-US" w:bidi="ar-SA"/>
      </w:rPr>
    </w:lvl>
    <w:lvl w:ilvl="4" w:tplc="B0402EE6">
      <w:numFmt w:val="bullet"/>
      <w:lvlText w:val="•"/>
      <w:lvlJc w:val="left"/>
      <w:pPr>
        <w:ind w:left="4906" w:hanging="360"/>
      </w:pPr>
      <w:rPr>
        <w:rFonts w:hint="default"/>
        <w:lang w:val="en-US" w:eastAsia="en-US" w:bidi="ar-SA"/>
      </w:rPr>
    </w:lvl>
    <w:lvl w:ilvl="5" w:tplc="9970E358">
      <w:numFmt w:val="bullet"/>
      <w:lvlText w:val="•"/>
      <w:lvlJc w:val="left"/>
      <w:pPr>
        <w:ind w:left="5802" w:hanging="360"/>
      </w:pPr>
      <w:rPr>
        <w:rFonts w:hint="default"/>
        <w:lang w:val="en-US" w:eastAsia="en-US" w:bidi="ar-SA"/>
      </w:rPr>
    </w:lvl>
    <w:lvl w:ilvl="6" w:tplc="25AEC748">
      <w:numFmt w:val="bullet"/>
      <w:lvlText w:val="•"/>
      <w:lvlJc w:val="left"/>
      <w:pPr>
        <w:ind w:left="6697" w:hanging="360"/>
      </w:pPr>
      <w:rPr>
        <w:rFonts w:hint="default"/>
        <w:lang w:val="en-US" w:eastAsia="en-US" w:bidi="ar-SA"/>
      </w:rPr>
    </w:lvl>
    <w:lvl w:ilvl="7" w:tplc="C1DEFAE4">
      <w:numFmt w:val="bullet"/>
      <w:lvlText w:val="•"/>
      <w:lvlJc w:val="left"/>
      <w:pPr>
        <w:ind w:left="7593" w:hanging="360"/>
      </w:pPr>
      <w:rPr>
        <w:rFonts w:hint="default"/>
        <w:lang w:val="en-US" w:eastAsia="en-US" w:bidi="ar-SA"/>
      </w:rPr>
    </w:lvl>
    <w:lvl w:ilvl="8" w:tplc="A1E8E95C">
      <w:numFmt w:val="bullet"/>
      <w:lvlText w:val="•"/>
      <w:lvlJc w:val="left"/>
      <w:pPr>
        <w:ind w:left="8488" w:hanging="360"/>
      </w:pPr>
      <w:rPr>
        <w:rFonts w:hint="default"/>
        <w:lang w:val="en-US" w:eastAsia="en-US" w:bidi="ar-SA"/>
      </w:rPr>
    </w:lvl>
  </w:abstractNum>
  <w:abstractNum w:abstractNumId="179" w15:restartNumberingAfterBreak="0">
    <w:nsid w:val="6B336059"/>
    <w:multiLevelType w:val="hybridMultilevel"/>
    <w:tmpl w:val="0670693A"/>
    <w:lvl w:ilvl="0" w:tplc="32EA9C92">
      <w:start w:val="1"/>
      <w:numFmt w:val="decimalZero"/>
      <w:lvlText w:val=".%1"/>
      <w:lvlJc w:val="left"/>
      <w:pPr>
        <w:ind w:left="1860" w:hanging="721"/>
      </w:pPr>
      <w:rPr>
        <w:rFonts w:ascii="Arial" w:eastAsia="Arial" w:hAnsi="Arial" w:cs="Arial" w:hint="default"/>
        <w:b w:val="0"/>
        <w:bCs w:val="0"/>
        <w:i w:val="0"/>
        <w:iCs w:val="0"/>
        <w:spacing w:val="0"/>
        <w:w w:val="99"/>
        <w:sz w:val="22"/>
        <w:szCs w:val="22"/>
        <w:lang w:val="en-US" w:eastAsia="en-US" w:bidi="ar-SA"/>
      </w:rPr>
    </w:lvl>
    <w:lvl w:ilvl="1" w:tplc="FDC4D150">
      <w:start w:val="1"/>
      <w:numFmt w:val="lowerLetter"/>
      <w:lvlText w:val="%2."/>
      <w:lvlJc w:val="left"/>
      <w:pPr>
        <w:ind w:left="2220" w:hanging="360"/>
      </w:pPr>
      <w:rPr>
        <w:rFonts w:ascii="Arial" w:eastAsia="Arial" w:hAnsi="Arial" w:cs="Arial" w:hint="default"/>
        <w:b w:val="0"/>
        <w:bCs w:val="0"/>
        <w:i w:val="0"/>
        <w:iCs w:val="0"/>
        <w:spacing w:val="0"/>
        <w:w w:val="99"/>
        <w:sz w:val="22"/>
        <w:szCs w:val="22"/>
        <w:lang w:val="en-US" w:eastAsia="en-US" w:bidi="ar-SA"/>
      </w:rPr>
    </w:lvl>
    <w:lvl w:ilvl="2" w:tplc="6D023D24">
      <w:numFmt w:val="bullet"/>
      <w:lvlText w:val=""/>
      <w:lvlJc w:val="left"/>
      <w:pPr>
        <w:ind w:left="2579" w:hanging="360"/>
      </w:pPr>
      <w:rPr>
        <w:rFonts w:ascii="Symbol" w:eastAsia="Symbol" w:hAnsi="Symbol" w:cs="Symbol" w:hint="default"/>
        <w:b w:val="0"/>
        <w:bCs w:val="0"/>
        <w:i w:val="0"/>
        <w:iCs w:val="0"/>
        <w:spacing w:val="0"/>
        <w:w w:val="99"/>
        <w:sz w:val="22"/>
        <w:szCs w:val="22"/>
        <w:lang w:val="en-US" w:eastAsia="en-US" w:bidi="ar-SA"/>
      </w:rPr>
    </w:lvl>
    <w:lvl w:ilvl="3" w:tplc="FBAECC54">
      <w:numFmt w:val="bullet"/>
      <w:lvlText w:val="•"/>
      <w:lvlJc w:val="left"/>
      <w:pPr>
        <w:ind w:left="3542" w:hanging="360"/>
      </w:pPr>
      <w:rPr>
        <w:rFonts w:hint="default"/>
        <w:lang w:val="en-US" w:eastAsia="en-US" w:bidi="ar-SA"/>
      </w:rPr>
    </w:lvl>
    <w:lvl w:ilvl="4" w:tplc="6F06D7B4">
      <w:numFmt w:val="bullet"/>
      <w:lvlText w:val="•"/>
      <w:lvlJc w:val="left"/>
      <w:pPr>
        <w:ind w:left="4505" w:hanging="360"/>
      </w:pPr>
      <w:rPr>
        <w:rFonts w:hint="default"/>
        <w:lang w:val="en-US" w:eastAsia="en-US" w:bidi="ar-SA"/>
      </w:rPr>
    </w:lvl>
    <w:lvl w:ilvl="5" w:tplc="A9A49D74">
      <w:numFmt w:val="bullet"/>
      <w:lvlText w:val="•"/>
      <w:lvlJc w:val="left"/>
      <w:pPr>
        <w:ind w:left="5467" w:hanging="360"/>
      </w:pPr>
      <w:rPr>
        <w:rFonts w:hint="default"/>
        <w:lang w:val="en-US" w:eastAsia="en-US" w:bidi="ar-SA"/>
      </w:rPr>
    </w:lvl>
    <w:lvl w:ilvl="6" w:tplc="EBFA6F30">
      <w:numFmt w:val="bullet"/>
      <w:lvlText w:val="•"/>
      <w:lvlJc w:val="left"/>
      <w:pPr>
        <w:ind w:left="6430" w:hanging="360"/>
      </w:pPr>
      <w:rPr>
        <w:rFonts w:hint="default"/>
        <w:lang w:val="en-US" w:eastAsia="en-US" w:bidi="ar-SA"/>
      </w:rPr>
    </w:lvl>
    <w:lvl w:ilvl="7" w:tplc="24AE953A">
      <w:numFmt w:val="bullet"/>
      <w:lvlText w:val="•"/>
      <w:lvlJc w:val="left"/>
      <w:pPr>
        <w:ind w:left="7392" w:hanging="360"/>
      </w:pPr>
      <w:rPr>
        <w:rFonts w:hint="default"/>
        <w:lang w:val="en-US" w:eastAsia="en-US" w:bidi="ar-SA"/>
      </w:rPr>
    </w:lvl>
    <w:lvl w:ilvl="8" w:tplc="79E84DCE">
      <w:numFmt w:val="bullet"/>
      <w:lvlText w:val="•"/>
      <w:lvlJc w:val="left"/>
      <w:pPr>
        <w:ind w:left="8355" w:hanging="360"/>
      </w:pPr>
      <w:rPr>
        <w:rFonts w:hint="default"/>
        <w:lang w:val="en-US" w:eastAsia="en-US" w:bidi="ar-SA"/>
      </w:rPr>
    </w:lvl>
  </w:abstractNum>
  <w:abstractNum w:abstractNumId="180" w15:restartNumberingAfterBreak="0">
    <w:nsid w:val="6B6B2366"/>
    <w:multiLevelType w:val="hybridMultilevel"/>
    <w:tmpl w:val="70667298"/>
    <w:lvl w:ilvl="0" w:tplc="AB08CED0">
      <w:start w:val="3"/>
      <w:numFmt w:val="lowerLetter"/>
      <w:lvlText w:val="%1."/>
      <w:lvlJc w:val="left"/>
      <w:pPr>
        <w:ind w:left="1249" w:hanging="360"/>
      </w:pPr>
      <w:rPr>
        <w:rFonts w:ascii="Arial" w:eastAsia="Arial" w:hAnsi="Arial" w:cs="Arial" w:hint="default"/>
        <w:b w:val="0"/>
        <w:bCs w:val="0"/>
        <w:i w:val="0"/>
        <w:iCs w:val="0"/>
        <w:spacing w:val="0"/>
        <w:w w:val="99"/>
        <w:sz w:val="22"/>
        <w:szCs w:val="22"/>
        <w:lang w:val="en-US" w:eastAsia="en-US" w:bidi="ar-SA"/>
      </w:rPr>
    </w:lvl>
    <w:lvl w:ilvl="1" w:tplc="AFFE5300">
      <w:numFmt w:val="bullet"/>
      <w:lvlText w:val=""/>
      <w:lvlJc w:val="left"/>
      <w:pPr>
        <w:ind w:left="1608" w:hanging="360"/>
      </w:pPr>
      <w:rPr>
        <w:rFonts w:ascii="Symbol" w:eastAsia="Symbol" w:hAnsi="Symbol" w:cs="Symbol" w:hint="default"/>
        <w:spacing w:val="0"/>
        <w:w w:val="99"/>
        <w:lang w:val="en-US" w:eastAsia="en-US" w:bidi="ar-SA"/>
      </w:rPr>
    </w:lvl>
    <w:lvl w:ilvl="2" w:tplc="8AE4EF4C">
      <w:numFmt w:val="bullet"/>
      <w:lvlText w:val="•"/>
      <w:lvlJc w:val="left"/>
      <w:pPr>
        <w:ind w:left="2238" w:hanging="360"/>
      </w:pPr>
      <w:rPr>
        <w:rFonts w:hint="default"/>
        <w:lang w:val="en-US" w:eastAsia="en-US" w:bidi="ar-SA"/>
      </w:rPr>
    </w:lvl>
    <w:lvl w:ilvl="3" w:tplc="D58A8656">
      <w:numFmt w:val="bullet"/>
      <w:lvlText w:val="•"/>
      <w:lvlJc w:val="left"/>
      <w:pPr>
        <w:ind w:left="2877" w:hanging="360"/>
      </w:pPr>
      <w:rPr>
        <w:rFonts w:hint="default"/>
        <w:lang w:val="en-US" w:eastAsia="en-US" w:bidi="ar-SA"/>
      </w:rPr>
    </w:lvl>
    <w:lvl w:ilvl="4" w:tplc="0062EE36">
      <w:numFmt w:val="bullet"/>
      <w:lvlText w:val="•"/>
      <w:lvlJc w:val="left"/>
      <w:pPr>
        <w:ind w:left="3516" w:hanging="360"/>
      </w:pPr>
      <w:rPr>
        <w:rFonts w:hint="default"/>
        <w:lang w:val="en-US" w:eastAsia="en-US" w:bidi="ar-SA"/>
      </w:rPr>
    </w:lvl>
    <w:lvl w:ilvl="5" w:tplc="57BEADC8">
      <w:numFmt w:val="bullet"/>
      <w:lvlText w:val="•"/>
      <w:lvlJc w:val="left"/>
      <w:pPr>
        <w:ind w:left="4155" w:hanging="360"/>
      </w:pPr>
      <w:rPr>
        <w:rFonts w:hint="default"/>
        <w:lang w:val="en-US" w:eastAsia="en-US" w:bidi="ar-SA"/>
      </w:rPr>
    </w:lvl>
    <w:lvl w:ilvl="6" w:tplc="40DA5D4E">
      <w:numFmt w:val="bullet"/>
      <w:lvlText w:val="•"/>
      <w:lvlJc w:val="left"/>
      <w:pPr>
        <w:ind w:left="4794" w:hanging="360"/>
      </w:pPr>
      <w:rPr>
        <w:rFonts w:hint="default"/>
        <w:lang w:val="en-US" w:eastAsia="en-US" w:bidi="ar-SA"/>
      </w:rPr>
    </w:lvl>
    <w:lvl w:ilvl="7" w:tplc="DAB60F98">
      <w:numFmt w:val="bullet"/>
      <w:lvlText w:val="•"/>
      <w:lvlJc w:val="left"/>
      <w:pPr>
        <w:ind w:left="5433" w:hanging="360"/>
      </w:pPr>
      <w:rPr>
        <w:rFonts w:hint="default"/>
        <w:lang w:val="en-US" w:eastAsia="en-US" w:bidi="ar-SA"/>
      </w:rPr>
    </w:lvl>
    <w:lvl w:ilvl="8" w:tplc="AA90EC18">
      <w:numFmt w:val="bullet"/>
      <w:lvlText w:val="•"/>
      <w:lvlJc w:val="left"/>
      <w:pPr>
        <w:ind w:left="6072" w:hanging="360"/>
      </w:pPr>
      <w:rPr>
        <w:rFonts w:hint="default"/>
        <w:lang w:val="en-US" w:eastAsia="en-US" w:bidi="ar-SA"/>
      </w:rPr>
    </w:lvl>
  </w:abstractNum>
  <w:abstractNum w:abstractNumId="181" w15:restartNumberingAfterBreak="0">
    <w:nsid w:val="6BE0383C"/>
    <w:multiLevelType w:val="hybridMultilevel"/>
    <w:tmpl w:val="4E5C9AB2"/>
    <w:lvl w:ilvl="0" w:tplc="098A565A">
      <w:start w:val="10"/>
      <w:numFmt w:val="decimal"/>
      <w:lvlText w:val=".%1"/>
      <w:lvlJc w:val="left"/>
      <w:pPr>
        <w:ind w:left="1859" w:hanging="721"/>
      </w:pPr>
      <w:rPr>
        <w:rFonts w:ascii="Arial" w:eastAsia="Arial" w:hAnsi="Arial" w:cs="Arial" w:hint="default"/>
        <w:b w:val="0"/>
        <w:bCs w:val="0"/>
        <w:i w:val="0"/>
        <w:iCs w:val="0"/>
        <w:spacing w:val="0"/>
        <w:w w:val="99"/>
        <w:sz w:val="22"/>
        <w:szCs w:val="22"/>
        <w:lang w:val="en-US" w:eastAsia="en-US" w:bidi="ar-SA"/>
      </w:rPr>
    </w:lvl>
    <w:lvl w:ilvl="1" w:tplc="2A4C078C">
      <w:numFmt w:val="bullet"/>
      <w:lvlText w:val=""/>
      <w:lvlJc w:val="left"/>
      <w:pPr>
        <w:ind w:left="2220" w:hanging="360"/>
      </w:pPr>
      <w:rPr>
        <w:rFonts w:ascii="Symbol" w:eastAsia="Symbol" w:hAnsi="Symbol" w:cs="Symbol" w:hint="default"/>
        <w:b w:val="0"/>
        <w:bCs w:val="0"/>
        <w:i w:val="0"/>
        <w:iCs w:val="0"/>
        <w:spacing w:val="0"/>
        <w:w w:val="99"/>
        <w:sz w:val="22"/>
        <w:szCs w:val="22"/>
        <w:lang w:val="en-US" w:eastAsia="en-US" w:bidi="ar-SA"/>
      </w:rPr>
    </w:lvl>
    <w:lvl w:ilvl="2" w:tplc="D3109BC6">
      <w:numFmt w:val="bullet"/>
      <w:lvlText w:val="o"/>
      <w:lvlJc w:val="left"/>
      <w:pPr>
        <w:ind w:left="2579" w:hanging="360"/>
      </w:pPr>
      <w:rPr>
        <w:rFonts w:ascii="Courier New" w:eastAsia="Courier New" w:hAnsi="Courier New" w:cs="Courier New" w:hint="default"/>
        <w:b w:val="0"/>
        <w:bCs w:val="0"/>
        <w:i w:val="0"/>
        <w:iCs w:val="0"/>
        <w:spacing w:val="0"/>
        <w:w w:val="99"/>
        <w:sz w:val="22"/>
        <w:szCs w:val="22"/>
        <w:lang w:val="en-US" w:eastAsia="en-US" w:bidi="ar-SA"/>
      </w:rPr>
    </w:lvl>
    <w:lvl w:ilvl="3" w:tplc="AB72A512">
      <w:numFmt w:val="bullet"/>
      <w:lvlText w:val="•"/>
      <w:lvlJc w:val="left"/>
      <w:pPr>
        <w:ind w:left="3542" w:hanging="360"/>
      </w:pPr>
      <w:rPr>
        <w:rFonts w:hint="default"/>
        <w:lang w:val="en-US" w:eastAsia="en-US" w:bidi="ar-SA"/>
      </w:rPr>
    </w:lvl>
    <w:lvl w:ilvl="4" w:tplc="33C8D288">
      <w:numFmt w:val="bullet"/>
      <w:lvlText w:val="•"/>
      <w:lvlJc w:val="left"/>
      <w:pPr>
        <w:ind w:left="4505" w:hanging="360"/>
      </w:pPr>
      <w:rPr>
        <w:rFonts w:hint="default"/>
        <w:lang w:val="en-US" w:eastAsia="en-US" w:bidi="ar-SA"/>
      </w:rPr>
    </w:lvl>
    <w:lvl w:ilvl="5" w:tplc="6282847E">
      <w:numFmt w:val="bullet"/>
      <w:lvlText w:val="•"/>
      <w:lvlJc w:val="left"/>
      <w:pPr>
        <w:ind w:left="5467" w:hanging="360"/>
      </w:pPr>
      <w:rPr>
        <w:rFonts w:hint="default"/>
        <w:lang w:val="en-US" w:eastAsia="en-US" w:bidi="ar-SA"/>
      </w:rPr>
    </w:lvl>
    <w:lvl w:ilvl="6" w:tplc="40FA34B0">
      <w:numFmt w:val="bullet"/>
      <w:lvlText w:val="•"/>
      <w:lvlJc w:val="left"/>
      <w:pPr>
        <w:ind w:left="6430" w:hanging="360"/>
      </w:pPr>
      <w:rPr>
        <w:rFonts w:hint="default"/>
        <w:lang w:val="en-US" w:eastAsia="en-US" w:bidi="ar-SA"/>
      </w:rPr>
    </w:lvl>
    <w:lvl w:ilvl="7" w:tplc="D2E4F756">
      <w:numFmt w:val="bullet"/>
      <w:lvlText w:val="•"/>
      <w:lvlJc w:val="left"/>
      <w:pPr>
        <w:ind w:left="7392" w:hanging="360"/>
      </w:pPr>
      <w:rPr>
        <w:rFonts w:hint="default"/>
        <w:lang w:val="en-US" w:eastAsia="en-US" w:bidi="ar-SA"/>
      </w:rPr>
    </w:lvl>
    <w:lvl w:ilvl="8" w:tplc="52DE772E">
      <w:numFmt w:val="bullet"/>
      <w:lvlText w:val="•"/>
      <w:lvlJc w:val="left"/>
      <w:pPr>
        <w:ind w:left="8355" w:hanging="360"/>
      </w:pPr>
      <w:rPr>
        <w:rFonts w:hint="default"/>
        <w:lang w:val="en-US" w:eastAsia="en-US" w:bidi="ar-SA"/>
      </w:rPr>
    </w:lvl>
  </w:abstractNum>
  <w:abstractNum w:abstractNumId="182" w15:restartNumberingAfterBreak="0">
    <w:nsid w:val="6BF0355A"/>
    <w:multiLevelType w:val="hybridMultilevel"/>
    <w:tmpl w:val="E47E44E2"/>
    <w:lvl w:ilvl="0" w:tplc="E038686A">
      <w:start w:val="1"/>
      <w:numFmt w:val="decimal"/>
      <w:lvlText w:val="%1."/>
      <w:lvlJc w:val="left"/>
      <w:pPr>
        <w:ind w:left="457" w:hanging="360"/>
      </w:pPr>
      <w:rPr>
        <w:rFonts w:ascii="Arial" w:eastAsia="Arial" w:hAnsi="Arial" w:cs="Arial" w:hint="default"/>
        <w:b w:val="0"/>
        <w:bCs w:val="0"/>
        <w:i w:val="0"/>
        <w:iCs w:val="0"/>
        <w:spacing w:val="0"/>
        <w:w w:val="99"/>
        <w:sz w:val="22"/>
        <w:szCs w:val="22"/>
        <w:lang w:val="en-US" w:eastAsia="en-US" w:bidi="ar-SA"/>
      </w:rPr>
    </w:lvl>
    <w:lvl w:ilvl="1" w:tplc="27E873F8">
      <w:numFmt w:val="bullet"/>
      <w:lvlText w:val=""/>
      <w:lvlJc w:val="left"/>
      <w:pPr>
        <w:ind w:left="817" w:hanging="360"/>
      </w:pPr>
      <w:rPr>
        <w:rFonts w:ascii="Symbol" w:eastAsia="Symbol" w:hAnsi="Symbol" w:cs="Symbol" w:hint="default"/>
        <w:b w:val="0"/>
        <w:bCs w:val="0"/>
        <w:i w:val="0"/>
        <w:iCs w:val="0"/>
        <w:spacing w:val="0"/>
        <w:w w:val="99"/>
        <w:sz w:val="22"/>
        <w:szCs w:val="22"/>
        <w:lang w:val="en-US" w:eastAsia="en-US" w:bidi="ar-SA"/>
      </w:rPr>
    </w:lvl>
    <w:lvl w:ilvl="2" w:tplc="937ECCB8">
      <w:numFmt w:val="bullet"/>
      <w:lvlText w:val="•"/>
      <w:lvlJc w:val="left"/>
      <w:pPr>
        <w:ind w:left="1266" w:hanging="360"/>
      </w:pPr>
      <w:rPr>
        <w:rFonts w:hint="default"/>
        <w:lang w:val="en-US" w:eastAsia="en-US" w:bidi="ar-SA"/>
      </w:rPr>
    </w:lvl>
    <w:lvl w:ilvl="3" w:tplc="27461294">
      <w:numFmt w:val="bullet"/>
      <w:lvlText w:val="•"/>
      <w:lvlJc w:val="left"/>
      <w:pPr>
        <w:ind w:left="1713" w:hanging="360"/>
      </w:pPr>
      <w:rPr>
        <w:rFonts w:hint="default"/>
        <w:lang w:val="en-US" w:eastAsia="en-US" w:bidi="ar-SA"/>
      </w:rPr>
    </w:lvl>
    <w:lvl w:ilvl="4" w:tplc="006A515C">
      <w:numFmt w:val="bullet"/>
      <w:lvlText w:val="•"/>
      <w:lvlJc w:val="left"/>
      <w:pPr>
        <w:ind w:left="2159" w:hanging="360"/>
      </w:pPr>
      <w:rPr>
        <w:rFonts w:hint="default"/>
        <w:lang w:val="en-US" w:eastAsia="en-US" w:bidi="ar-SA"/>
      </w:rPr>
    </w:lvl>
    <w:lvl w:ilvl="5" w:tplc="BEDC812C">
      <w:numFmt w:val="bullet"/>
      <w:lvlText w:val="•"/>
      <w:lvlJc w:val="left"/>
      <w:pPr>
        <w:ind w:left="2606" w:hanging="360"/>
      </w:pPr>
      <w:rPr>
        <w:rFonts w:hint="default"/>
        <w:lang w:val="en-US" w:eastAsia="en-US" w:bidi="ar-SA"/>
      </w:rPr>
    </w:lvl>
    <w:lvl w:ilvl="6" w:tplc="DE6668A6">
      <w:numFmt w:val="bullet"/>
      <w:lvlText w:val="•"/>
      <w:lvlJc w:val="left"/>
      <w:pPr>
        <w:ind w:left="3052" w:hanging="360"/>
      </w:pPr>
      <w:rPr>
        <w:rFonts w:hint="default"/>
        <w:lang w:val="en-US" w:eastAsia="en-US" w:bidi="ar-SA"/>
      </w:rPr>
    </w:lvl>
    <w:lvl w:ilvl="7" w:tplc="0554AFEE">
      <w:numFmt w:val="bullet"/>
      <w:lvlText w:val="•"/>
      <w:lvlJc w:val="left"/>
      <w:pPr>
        <w:ind w:left="3499" w:hanging="360"/>
      </w:pPr>
      <w:rPr>
        <w:rFonts w:hint="default"/>
        <w:lang w:val="en-US" w:eastAsia="en-US" w:bidi="ar-SA"/>
      </w:rPr>
    </w:lvl>
    <w:lvl w:ilvl="8" w:tplc="B0543A44">
      <w:numFmt w:val="bullet"/>
      <w:lvlText w:val="•"/>
      <w:lvlJc w:val="left"/>
      <w:pPr>
        <w:ind w:left="3945" w:hanging="360"/>
      </w:pPr>
      <w:rPr>
        <w:rFonts w:hint="default"/>
        <w:lang w:val="en-US" w:eastAsia="en-US" w:bidi="ar-SA"/>
      </w:rPr>
    </w:lvl>
  </w:abstractNum>
  <w:abstractNum w:abstractNumId="183" w15:restartNumberingAfterBreak="0">
    <w:nsid w:val="6E197A5A"/>
    <w:multiLevelType w:val="hybridMultilevel"/>
    <w:tmpl w:val="4FEC8A7E"/>
    <w:lvl w:ilvl="0" w:tplc="6CCA1EE6">
      <w:start w:val="5"/>
      <w:numFmt w:val="decimal"/>
      <w:lvlText w:val="%1)"/>
      <w:lvlJc w:val="left"/>
      <w:pPr>
        <w:ind w:left="812" w:hanging="504"/>
      </w:pPr>
      <w:rPr>
        <w:rFonts w:ascii="Arial" w:eastAsia="Arial" w:hAnsi="Arial" w:cs="Arial" w:hint="default"/>
        <w:b w:val="0"/>
        <w:bCs w:val="0"/>
        <w:i w:val="0"/>
        <w:iCs w:val="0"/>
        <w:spacing w:val="0"/>
        <w:w w:val="99"/>
        <w:sz w:val="22"/>
        <w:szCs w:val="22"/>
        <w:lang w:val="en-US" w:eastAsia="en-US" w:bidi="ar-SA"/>
      </w:rPr>
    </w:lvl>
    <w:lvl w:ilvl="1" w:tplc="C1AECC26">
      <w:start w:val="1"/>
      <w:numFmt w:val="lowerLetter"/>
      <w:lvlText w:val="%2)"/>
      <w:lvlJc w:val="left"/>
      <w:pPr>
        <w:ind w:left="1244" w:hanging="397"/>
      </w:pPr>
      <w:rPr>
        <w:rFonts w:ascii="Arial" w:eastAsia="Arial" w:hAnsi="Arial" w:cs="Arial" w:hint="default"/>
        <w:b w:val="0"/>
        <w:bCs w:val="0"/>
        <w:i w:val="0"/>
        <w:iCs w:val="0"/>
        <w:spacing w:val="0"/>
        <w:w w:val="99"/>
        <w:sz w:val="22"/>
        <w:szCs w:val="22"/>
        <w:lang w:val="en-US" w:eastAsia="en-US" w:bidi="ar-SA"/>
      </w:rPr>
    </w:lvl>
    <w:lvl w:ilvl="2" w:tplc="45C608AE">
      <w:numFmt w:val="bullet"/>
      <w:lvlText w:val="•"/>
      <w:lvlJc w:val="left"/>
      <w:pPr>
        <w:ind w:left="1843" w:hanging="397"/>
      </w:pPr>
      <w:rPr>
        <w:rFonts w:hint="default"/>
        <w:lang w:val="en-US" w:eastAsia="en-US" w:bidi="ar-SA"/>
      </w:rPr>
    </w:lvl>
    <w:lvl w:ilvl="3" w:tplc="4ECC4200">
      <w:numFmt w:val="bullet"/>
      <w:lvlText w:val="•"/>
      <w:lvlJc w:val="left"/>
      <w:pPr>
        <w:ind w:left="2446" w:hanging="397"/>
      </w:pPr>
      <w:rPr>
        <w:rFonts w:hint="default"/>
        <w:lang w:val="en-US" w:eastAsia="en-US" w:bidi="ar-SA"/>
      </w:rPr>
    </w:lvl>
    <w:lvl w:ilvl="4" w:tplc="6BAAB452">
      <w:numFmt w:val="bullet"/>
      <w:lvlText w:val="•"/>
      <w:lvlJc w:val="left"/>
      <w:pPr>
        <w:ind w:left="3049" w:hanging="397"/>
      </w:pPr>
      <w:rPr>
        <w:rFonts w:hint="default"/>
        <w:lang w:val="en-US" w:eastAsia="en-US" w:bidi="ar-SA"/>
      </w:rPr>
    </w:lvl>
    <w:lvl w:ilvl="5" w:tplc="4FD05114">
      <w:numFmt w:val="bullet"/>
      <w:lvlText w:val="•"/>
      <w:lvlJc w:val="left"/>
      <w:pPr>
        <w:ind w:left="3652" w:hanging="397"/>
      </w:pPr>
      <w:rPr>
        <w:rFonts w:hint="default"/>
        <w:lang w:val="en-US" w:eastAsia="en-US" w:bidi="ar-SA"/>
      </w:rPr>
    </w:lvl>
    <w:lvl w:ilvl="6" w:tplc="DA5236C8">
      <w:numFmt w:val="bullet"/>
      <w:lvlText w:val="•"/>
      <w:lvlJc w:val="left"/>
      <w:pPr>
        <w:ind w:left="4255" w:hanging="397"/>
      </w:pPr>
      <w:rPr>
        <w:rFonts w:hint="default"/>
        <w:lang w:val="en-US" w:eastAsia="en-US" w:bidi="ar-SA"/>
      </w:rPr>
    </w:lvl>
    <w:lvl w:ilvl="7" w:tplc="2682B240">
      <w:numFmt w:val="bullet"/>
      <w:lvlText w:val="•"/>
      <w:lvlJc w:val="left"/>
      <w:pPr>
        <w:ind w:left="4859" w:hanging="397"/>
      </w:pPr>
      <w:rPr>
        <w:rFonts w:hint="default"/>
        <w:lang w:val="en-US" w:eastAsia="en-US" w:bidi="ar-SA"/>
      </w:rPr>
    </w:lvl>
    <w:lvl w:ilvl="8" w:tplc="C2C46F7E">
      <w:numFmt w:val="bullet"/>
      <w:lvlText w:val="•"/>
      <w:lvlJc w:val="left"/>
      <w:pPr>
        <w:ind w:left="5462" w:hanging="397"/>
      </w:pPr>
      <w:rPr>
        <w:rFonts w:hint="default"/>
        <w:lang w:val="en-US" w:eastAsia="en-US" w:bidi="ar-SA"/>
      </w:rPr>
    </w:lvl>
  </w:abstractNum>
  <w:abstractNum w:abstractNumId="184" w15:restartNumberingAfterBreak="0">
    <w:nsid w:val="6E381683"/>
    <w:multiLevelType w:val="hybridMultilevel"/>
    <w:tmpl w:val="9238EF26"/>
    <w:lvl w:ilvl="0" w:tplc="22241792">
      <w:start w:val="1"/>
      <w:numFmt w:val="decimal"/>
      <w:lvlText w:val="%1."/>
      <w:lvlJc w:val="left"/>
      <w:pPr>
        <w:ind w:left="464" w:hanging="360"/>
      </w:pPr>
      <w:rPr>
        <w:rFonts w:ascii="Arial" w:eastAsia="Arial" w:hAnsi="Arial" w:cs="Arial" w:hint="default"/>
        <w:b w:val="0"/>
        <w:bCs w:val="0"/>
        <w:i w:val="0"/>
        <w:iCs w:val="0"/>
        <w:spacing w:val="0"/>
        <w:w w:val="99"/>
        <w:sz w:val="22"/>
        <w:szCs w:val="22"/>
        <w:lang w:val="en-US" w:eastAsia="en-US" w:bidi="ar-SA"/>
      </w:rPr>
    </w:lvl>
    <w:lvl w:ilvl="1" w:tplc="AE8A7432">
      <w:numFmt w:val="bullet"/>
      <w:lvlText w:val=""/>
      <w:lvlJc w:val="left"/>
      <w:pPr>
        <w:ind w:left="824" w:hanging="360"/>
      </w:pPr>
      <w:rPr>
        <w:rFonts w:ascii="Symbol" w:eastAsia="Symbol" w:hAnsi="Symbol" w:cs="Symbol" w:hint="default"/>
        <w:b w:val="0"/>
        <w:bCs w:val="0"/>
        <w:i w:val="0"/>
        <w:iCs w:val="0"/>
        <w:spacing w:val="0"/>
        <w:w w:val="99"/>
        <w:sz w:val="22"/>
        <w:szCs w:val="22"/>
        <w:lang w:val="en-US" w:eastAsia="en-US" w:bidi="ar-SA"/>
      </w:rPr>
    </w:lvl>
    <w:lvl w:ilvl="2" w:tplc="3B8E3CB8">
      <w:numFmt w:val="bullet"/>
      <w:lvlText w:val="•"/>
      <w:lvlJc w:val="left"/>
      <w:pPr>
        <w:ind w:left="1214" w:hanging="360"/>
      </w:pPr>
      <w:rPr>
        <w:rFonts w:hint="default"/>
        <w:lang w:val="en-US" w:eastAsia="en-US" w:bidi="ar-SA"/>
      </w:rPr>
    </w:lvl>
    <w:lvl w:ilvl="3" w:tplc="A91E7EBA">
      <w:numFmt w:val="bullet"/>
      <w:lvlText w:val="•"/>
      <w:lvlJc w:val="left"/>
      <w:pPr>
        <w:ind w:left="1609" w:hanging="360"/>
      </w:pPr>
      <w:rPr>
        <w:rFonts w:hint="default"/>
        <w:lang w:val="en-US" w:eastAsia="en-US" w:bidi="ar-SA"/>
      </w:rPr>
    </w:lvl>
    <w:lvl w:ilvl="4" w:tplc="1188CF86">
      <w:numFmt w:val="bullet"/>
      <w:lvlText w:val="•"/>
      <w:lvlJc w:val="left"/>
      <w:pPr>
        <w:ind w:left="2004" w:hanging="360"/>
      </w:pPr>
      <w:rPr>
        <w:rFonts w:hint="default"/>
        <w:lang w:val="en-US" w:eastAsia="en-US" w:bidi="ar-SA"/>
      </w:rPr>
    </w:lvl>
    <w:lvl w:ilvl="5" w:tplc="C8D4F174">
      <w:numFmt w:val="bullet"/>
      <w:lvlText w:val="•"/>
      <w:lvlJc w:val="left"/>
      <w:pPr>
        <w:ind w:left="2398" w:hanging="360"/>
      </w:pPr>
      <w:rPr>
        <w:rFonts w:hint="default"/>
        <w:lang w:val="en-US" w:eastAsia="en-US" w:bidi="ar-SA"/>
      </w:rPr>
    </w:lvl>
    <w:lvl w:ilvl="6" w:tplc="8A160700">
      <w:numFmt w:val="bullet"/>
      <w:lvlText w:val="•"/>
      <w:lvlJc w:val="left"/>
      <w:pPr>
        <w:ind w:left="2793" w:hanging="360"/>
      </w:pPr>
      <w:rPr>
        <w:rFonts w:hint="default"/>
        <w:lang w:val="en-US" w:eastAsia="en-US" w:bidi="ar-SA"/>
      </w:rPr>
    </w:lvl>
    <w:lvl w:ilvl="7" w:tplc="DD2C5AA4">
      <w:numFmt w:val="bullet"/>
      <w:lvlText w:val="•"/>
      <w:lvlJc w:val="left"/>
      <w:pPr>
        <w:ind w:left="3188" w:hanging="360"/>
      </w:pPr>
      <w:rPr>
        <w:rFonts w:hint="default"/>
        <w:lang w:val="en-US" w:eastAsia="en-US" w:bidi="ar-SA"/>
      </w:rPr>
    </w:lvl>
    <w:lvl w:ilvl="8" w:tplc="D908B756">
      <w:numFmt w:val="bullet"/>
      <w:lvlText w:val="•"/>
      <w:lvlJc w:val="left"/>
      <w:pPr>
        <w:ind w:left="3583" w:hanging="360"/>
      </w:pPr>
      <w:rPr>
        <w:rFonts w:hint="default"/>
        <w:lang w:val="en-US" w:eastAsia="en-US" w:bidi="ar-SA"/>
      </w:rPr>
    </w:lvl>
  </w:abstractNum>
  <w:abstractNum w:abstractNumId="185" w15:restartNumberingAfterBreak="0">
    <w:nsid w:val="6F653AB3"/>
    <w:multiLevelType w:val="hybridMultilevel"/>
    <w:tmpl w:val="537E9ABC"/>
    <w:lvl w:ilvl="0" w:tplc="95F09BD0">
      <w:start w:val="1"/>
      <w:numFmt w:val="decimal"/>
      <w:lvlText w:val="%1."/>
      <w:lvlJc w:val="left"/>
      <w:pPr>
        <w:ind w:left="560" w:hanging="360"/>
      </w:pPr>
      <w:rPr>
        <w:rFonts w:ascii="Arial" w:eastAsia="Arial" w:hAnsi="Arial" w:cs="Arial" w:hint="default"/>
        <w:b w:val="0"/>
        <w:bCs w:val="0"/>
        <w:i w:val="0"/>
        <w:iCs w:val="0"/>
        <w:spacing w:val="0"/>
        <w:w w:val="99"/>
        <w:sz w:val="22"/>
        <w:szCs w:val="22"/>
        <w:lang w:val="en-US" w:eastAsia="en-US" w:bidi="ar-SA"/>
      </w:rPr>
    </w:lvl>
    <w:lvl w:ilvl="1" w:tplc="E9C0F93A">
      <w:start w:val="1"/>
      <w:numFmt w:val="lowerLetter"/>
      <w:lvlText w:val="%2."/>
      <w:lvlJc w:val="left"/>
      <w:pPr>
        <w:ind w:left="920" w:hanging="361"/>
      </w:pPr>
      <w:rPr>
        <w:rFonts w:ascii="Arial" w:eastAsia="Arial" w:hAnsi="Arial" w:cs="Arial" w:hint="default"/>
        <w:b w:val="0"/>
        <w:bCs w:val="0"/>
        <w:i w:val="0"/>
        <w:iCs w:val="0"/>
        <w:spacing w:val="-3"/>
        <w:w w:val="99"/>
        <w:sz w:val="22"/>
        <w:szCs w:val="22"/>
        <w:lang w:val="en-US" w:eastAsia="en-US" w:bidi="ar-SA"/>
      </w:rPr>
    </w:lvl>
    <w:lvl w:ilvl="2" w:tplc="E47C228E">
      <w:start w:val="1"/>
      <w:numFmt w:val="lowerRoman"/>
      <w:lvlText w:val="%3."/>
      <w:lvlJc w:val="left"/>
      <w:pPr>
        <w:ind w:left="1458" w:hanging="471"/>
      </w:pPr>
      <w:rPr>
        <w:rFonts w:ascii="Arial" w:eastAsia="Arial" w:hAnsi="Arial" w:cs="Arial" w:hint="default"/>
        <w:b w:val="0"/>
        <w:bCs w:val="0"/>
        <w:i w:val="0"/>
        <w:iCs w:val="0"/>
        <w:spacing w:val="0"/>
        <w:w w:val="99"/>
        <w:sz w:val="22"/>
        <w:szCs w:val="22"/>
        <w:lang w:val="en-US" w:eastAsia="en-US" w:bidi="ar-SA"/>
      </w:rPr>
    </w:lvl>
    <w:lvl w:ilvl="3" w:tplc="23B2CC8C">
      <w:numFmt w:val="bullet"/>
      <w:lvlText w:val="•"/>
      <w:lvlJc w:val="left"/>
      <w:pPr>
        <w:ind w:left="2515" w:hanging="471"/>
      </w:pPr>
      <w:rPr>
        <w:rFonts w:hint="default"/>
        <w:lang w:val="en-US" w:eastAsia="en-US" w:bidi="ar-SA"/>
      </w:rPr>
    </w:lvl>
    <w:lvl w:ilvl="4" w:tplc="D4208A42">
      <w:numFmt w:val="bullet"/>
      <w:lvlText w:val="•"/>
      <w:lvlJc w:val="left"/>
      <w:pPr>
        <w:ind w:left="3570" w:hanging="471"/>
      </w:pPr>
      <w:rPr>
        <w:rFonts w:hint="default"/>
        <w:lang w:val="en-US" w:eastAsia="en-US" w:bidi="ar-SA"/>
      </w:rPr>
    </w:lvl>
    <w:lvl w:ilvl="5" w:tplc="AA46D374">
      <w:numFmt w:val="bullet"/>
      <w:lvlText w:val="•"/>
      <w:lvlJc w:val="left"/>
      <w:pPr>
        <w:ind w:left="4625" w:hanging="471"/>
      </w:pPr>
      <w:rPr>
        <w:rFonts w:hint="default"/>
        <w:lang w:val="en-US" w:eastAsia="en-US" w:bidi="ar-SA"/>
      </w:rPr>
    </w:lvl>
    <w:lvl w:ilvl="6" w:tplc="A5BCA160">
      <w:numFmt w:val="bullet"/>
      <w:lvlText w:val="•"/>
      <w:lvlJc w:val="left"/>
      <w:pPr>
        <w:ind w:left="5680" w:hanging="471"/>
      </w:pPr>
      <w:rPr>
        <w:rFonts w:hint="default"/>
        <w:lang w:val="en-US" w:eastAsia="en-US" w:bidi="ar-SA"/>
      </w:rPr>
    </w:lvl>
    <w:lvl w:ilvl="7" w:tplc="77E03286">
      <w:numFmt w:val="bullet"/>
      <w:lvlText w:val="•"/>
      <w:lvlJc w:val="left"/>
      <w:pPr>
        <w:ind w:left="6735" w:hanging="471"/>
      </w:pPr>
      <w:rPr>
        <w:rFonts w:hint="default"/>
        <w:lang w:val="en-US" w:eastAsia="en-US" w:bidi="ar-SA"/>
      </w:rPr>
    </w:lvl>
    <w:lvl w:ilvl="8" w:tplc="A1A23BC0">
      <w:numFmt w:val="bullet"/>
      <w:lvlText w:val="•"/>
      <w:lvlJc w:val="left"/>
      <w:pPr>
        <w:ind w:left="7790" w:hanging="471"/>
      </w:pPr>
      <w:rPr>
        <w:rFonts w:hint="default"/>
        <w:lang w:val="en-US" w:eastAsia="en-US" w:bidi="ar-SA"/>
      </w:rPr>
    </w:lvl>
  </w:abstractNum>
  <w:abstractNum w:abstractNumId="186" w15:restartNumberingAfterBreak="0">
    <w:nsid w:val="70111918"/>
    <w:multiLevelType w:val="hybridMultilevel"/>
    <w:tmpl w:val="E41EEE12"/>
    <w:lvl w:ilvl="0" w:tplc="B0A0555E">
      <w:start w:val="5"/>
      <w:numFmt w:val="decimal"/>
      <w:lvlText w:val="%1."/>
      <w:lvlJc w:val="left"/>
      <w:pPr>
        <w:ind w:left="561" w:hanging="432"/>
      </w:pPr>
      <w:rPr>
        <w:rFonts w:ascii="Arial" w:eastAsia="Arial" w:hAnsi="Arial" w:cs="Arial" w:hint="default"/>
        <w:b w:val="0"/>
        <w:bCs w:val="0"/>
        <w:i w:val="0"/>
        <w:iCs w:val="0"/>
        <w:spacing w:val="0"/>
        <w:w w:val="99"/>
        <w:sz w:val="22"/>
        <w:szCs w:val="22"/>
        <w:lang w:val="en-US" w:eastAsia="en-US" w:bidi="ar-SA"/>
      </w:rPr>
    </w:lvl>
    <w:lvl w:ilvl="1" w:tplc="6C60F93A">
      <w:start w:val="1"/>
      <w:numFmt w:val="lowerLetter"/>
      <w:lvlText w:val="(%2)"/>
      <w:lvlJc w:val="left"/>
      <w:pPr>
        <w:ind w:left="1092" w:hanging="525"/>
      </w:pPr>
      <w:rPr>
        <w:rFonts w:ascii="Arial" w:eastAsia="Arial" w:hAnsi="Arial" w:cs="Arial" w:hint="default"/>
        <w:b w:val="0"/>
        <w:bCs w:val="0"/>
        <w:i w:val="0"/>
        <w:iCs w:val="0"/>
        <w:spacing w:val="-1"/>
        <w:w w:val="99"/>
        <w:sz w:val="22"/>
        <w:szCs w:val="22"/>
        <w:lang w:val="en-US" w:eastAsia="en-US" w:bidi="ar-SA"/>
      </w:rPr>
    </w:lvl>
    <w:lvl w:ilvl="2" w:tplc="EC68D496">
      <w:numFmt w:val="bullet"/>
      <w:lvlText w:val="•"/>
      <w:lvlJc w:val="left"/>
      <w:pPr>
        <w:ind w:left="1747" w:hanging="525"/>
      </w:pPr>
      <w:rPr>
        <w:rFonts w:hint="default"/>
        <w:lang w:val="en-US" w:eastAsia="en-US" w:bidi="ar-SA"/>
      </w:rPr>
    </w:lvl>
    <w:lvl w:ilvl="3" w:tplc="22D2204A">
      <w:numFmt w:val="bullet"/>
      <w:lvlText w:val="•"/>
      <w:lvlJc w:val="left"/>
      <w:pPr>
        <w:ind w:left="2394" w:hanging="525"/>
      </w:pPr>
      <w:rPr>
        <w:rFonts w:hint="default"/>
        <w:lang w:val="en-US" w:eastAsia="en-US" w:bidi="ar-SA"/>
      </w:rPr>
    </w:lvl>
    <w:lvl w:ilvl="4" w:tplc="13E6E4A4">
      <w:numFmt w:val="bullet"/>
      <w:lvlText w:val="•"/>
      <w:lvlJc w:val="left"/>
      <w:pPr>
        <w:ind w:left="3041" w:hanging="525"/>
      </w:pPr>
      <w:rPr>
        <w:rFonts w:hint="default"/>
        <w:lang w:val="en-US" w:eastAsia="en-US" w:bidi="ar-SA"/>
      </w:rPr>
    </w:lvl>
    <w:lvl w:ilvl="5" w:tplc="2DF8DFB2">
      <w:numFmt w:val="bullet"/>
      <w:lvlText w:val="•"/>
      <w:lvlJc w:val="left"/>
      <w:pPr>
        <w:ind w:left="3688" w:hanging="525"/>
      </w:pPr>
      <w:rPr>
        <w:rFonts w:hint="default"/>
        <w:lang w:val="en-US" w:eastAsia="en-US" w:bidi="ar-SA"/>
      </w:rPr>
    </w:lvl>
    <w:lvl w:ilvl="6" w:tplc="4C863AE2">
      <w:numFmt w:val="bullet"/>
      <w:lvlText w:val="•"/>
      <w:lvlJc w:val="left"/>
      <w:pPr>
        <w:ind w:left="4335" w:hanging="525"/>
      </w:pPr>
      <w:rPr>
        <w:rFonts w:hint="default"/>
        <w:lang w:val="en-US" w:eastAsia="en-US" w:bidi="ar-SA"/>
      </w:rPr>
    </w:lvl>
    <w:lvl w:ilvl="7" w:tplc="65E205B4">
      <w:numFmt w:val="bullet"/>
      <w:lvlText w:val="•"/>
      <w:lvlJc w:val="left"/>
      <w:pPr>
        <w:ind w:left="4982" w:hanging="525"/>
      </w:pPr>
      <w:rPr>
        <w:rFonts w:hint="default"/>
        <w:lang w:val="en-US" w:eastAsia="en-US" w:bidi="ar-SA"/>
      </w:rPr>
    </w:lvl>
    <w:lvl w:ilvl="8" w:tplc="0FC417CC">
      <w:numFmt w:val="bullet"/>
      <w:lvlText w:val="•"/>
      <w:lvlJc w:val="left"/>
      <w:pPr>
        <w:ind w:left="5629" w:hanging="525"/>
      </w:pPr>
      <w:rPr>
        <w:rFonts w:hint="default"/>
        <w:lang w:val="en-US" w:eastAsia="en-US" w:bidi="ar-SA"/>
      </w:rPr>
    </w:lvl>
  </w:abstractNum>
  <w:abstractNum w:abstractNumId="187" w15:restartNumberingAfterBreak="0">
    <w:nsid w:val="705778D9"/>
    <w:multiLevelType w:val="hybridMultilevel"/>
    <w:tmpl w:val="DE5291A8"/>
    <w:lvl w:ilvl="0" w:tplc="66C06C72">
      <w:start w:val="8"/>
      <w:numFmt w:val="decimal"/>
      <w:lvlText w:val="%1."/>
      <w:lvlJc w:val="left"/>
      <w:pPr>
        <w:ind w:left="404" w:hanging="307"/>
      </w:pPr>
      <w:rPr>
        <w:rFonts w:ascii="Arial" w:eastAsia="Arial" w:hAnsi="Arial" w:cs="Arial" w:hint="default"/>
        <w:b w:val="0"/>
        <w:bCs w:val="0"/>
        <w:i w:val="0"/>
        <w:iCs w:val="0"/>
        <w:spacing w:val="0"/>
        <w:w w:val="99"/>
        <w:sz w:val="22"/>
        <w:szCs w:val="22"/>
        <w:lang w:val="en-US" w:eastAsia="en-US" w:bidi="ar-SA"/>
      </w:rPr>
    </w:lvl>
    <w:lvl w:ilvl="1" w:tplc="C3B8056A">
      <w:numFmt w:val="bullet"/>
      <w:lvlText w:val=""/>
      <w:lvlJc w:val="left"/>
      <w:pPr>
        <w:ind w:left="704" w:hanging="270"/>
      </w:pPr>
      <w:rPr>
        <w:rFonts w:ascii="Symbol" w:eastAsia="Symbol" w:hAnsi="Symbol" w:cs="Symbol" w:hint="default"/>
        <w:b w:val="0"/>
        <w:bCs w:val="0"/>
        <w:i w:val="0"/>
        <w:iCs w:val="0"/>
        <w:spacing w:val="0"/>
        <w:w w:val="99"/>
        <w:sz w:val="16"/>
        <w:szCs w:val="16"/>
        <w:lang w:val="en-US" w:eastAsia="en-US" w:bidi="ar-SA"/>
      </w:rPr>
    </w:lvl>
    <w:lvl w:ilvl="2" w:tplc="EE3C02A0">
      <w:numFmt w:val="bullet"/>
      <w:lvlText w:val="•"/>
      <w:lvlJc w:val="left"/>
      <w:pPr>
        <w:ind w:left="1338" w:hanging="270"/>
      </w:pPr>
      <w:rPr>
        <w:rFonts w:hint="default"/>
        <w:lang w:val="en-US" w:eastAsia="en-US" w:bidi="ar-SA"/>
      </w:rPr>
    </w:lvl>
    <w:lvl w:ilvl="3" w:tplc="29B8E914">
      <w:numFmt w:val="bullet"/>
      <w:lvlText w:val="•"/>
      <w:lvlJc w:val="left"/>
      <w:pPr>
        <w:ind w:left="1977" w:hanging="270"/>
      </w:pPr>
      <w:rPr>
        <w:rFonts w:hint="default"/>
        <w:lang w:val="en-US" w:eastAsia="en-US" w:bidi="ar-SA"/>
      </w:rPr>
    </w:lvl>
    <w:lvl w:ilvl="4" w:tplc="435CABDA">
      <w:numFmt w:val="bullet"/>
      <w:lvlText w:val="•"/>
      <w:lvlJc w:val="left"/>
      <w:pPr>
        <w:ind w:left="2616" w:hanging="270"/>
      </w:pPr>
      <w:rPr>
        <w:rFonts w:hint="default"/>
        <w:lang w:val="en-US" w:eastAsia="en-US" w:bidi="ar-SA"/>
      </w:rPr>
    </w:lvl>
    <w:lvl w:ilvl="5" w:tplc="68422B36">
      <w:numFmt w:val="bullet"/>
      <w:lvlText w:val="•"/>
      <w:lvlJc w:val="left"/>
      <w:pPr>
        <w:ind w:left="3255" w:hanging="270"/>
      </w:pPr>
      <w:rPr>
        <w:rFonts w:hint="default"/>
        <w:lang w:val="en-US" w:eastAsia="en-US" w:bidi="ar-SA"/>
      </w:rPr>
    </w:lvl>
    <w:lvl w:ilvl="6" w:tplc="2804A340">
      <w:numFmt w:val="bullet"/>
      <w:lvlText w:val="•"/>
      <w:lvlJc w:val="left"/>
      <w:pPr>
        <w:ind w:left="3894" w:hanging="270"/>
      </w:pPr>
      <w:rPr>
        <w:rFonts w:hint="default"/>
        <w:lang w:val="en-US" w:eastAsia="en-US" w:bidi="ar-SA"/>
      </w:rPr>
    </w:lvl>
    <w:lvl w:ilvl="7" w:tplc="4F922A32">
      <w:numFmt w:val="bullet"/>
      <w:lvlText w:val="•"/>
      <w:lvlJc w:val="left"/>
      <w:pPr>
        <w:ind w:left="4533" w:hanging="270"/>
      </w:pPr>
      <w:rPr>
        <w:rFonts w:hint="default"/>
        <w:lang w:val="en-US" w:eastAsia="en-US" w:bidi="ar-SA"/>
      </w:rPr>
    </w:lvl>
    <w:lvl w:ilvl="8" w:tplc="2B84C770">
      <w:numFmt w:val="bullet"/>
      <w:lvlText w:val="•"/>
      <w:lvlJc w:val="left"/>
      <w:pPr>
        <w:ind w:left="5172" w:hanging="270"/>
      </w:pPr>
      <w:rPr>
        <w:rFonts w:hint="default"/>
        <w:lang w:val="en-US" w:eastAsia="en-US" w:bidi="ar-SA"/>
      </w:rPr>
    </w:lvl>
  </w:abstractNum>
  <w:abstractNum w:abstractNumId="188" w15:restartNumberingAfterBreak="0">
    <w:nsid w:val="706100B0"/>
    <w:multiLevelType w:val="hybridMultilevel"/>
    <w:tmpl w:val="22544958"/>
    <w:lvl w:ilvl="0" w:tplc="0666DCA0">
      <w:start w:val="10"/>
      <w:numFmt w:val="decimal"/>
      <w:lvlText w:val=".%1"/>
      <w:lvlJc w:val="left"/>
      <w:pPr>
        <w:ind w:left="1859" w:hanging="721"/>
      </w:pPr>
      <w:rPr>
        <w:rFonts w:ascii="Arial" w:eastAsia="Arial" w:hAnsi="Arial" w:cs="Arial" w:hint="default"/>
        <w:b w:val="0"/>
        <w:bCs w:val="0"/>
        <w:i w:val="0"/>
        <w:iCs w:val="0"/>
        <w:spacing w:val="0"/>
        <w:w w:val="99"/>
        <w:sz w:val="22"/>
        <w:szCs w:val="22"/>
        <w:lang w:val="en-US" w:eastAsia="en-US" w:bidi="ar-SA"/>
      </w:rPr>
    </w:lvl>
    <w:lvl w:ilvl="1" w:tplc="6EC28ED6">
      <w:numFmt w:val="bullet"/>
      <w:lvlText w:val=""/>
      <w:lvlJc w:val="left"/>
      <w:pPr>
        <w:ind w:left="2219" w:hanging="360"/>
      </w:pPr>
      <w:rPr>
        <w:rFonts w:ascii="Symbol" w:eastAsia="Symbol" w:hAnsi="Symbol" w:cs="Symbol" w:hint="default"/>
        <w:b w:val="0"/>
        <w:bCs w:val="0"/>
        <w:i w:val="0"/>
        <w:iCs w:val="0"/>
        <w:spacing w:val="0"/>
        <w:w w:val="99"/>
        <w:sz w:val="22"/>
        <w:szCs w:val="22"/>
        <w:lang w:val="en-US" w:eastAsia="en-US" w:bidi="ar-SA"/>
      </w:rPr>
    </w:lvl>
    <w:lvl w:ilvl="2" w:tplc="1ADCE07C">
      <w:numFmt w:val="bullet"/>
      <w:lvlText w:val="•"/>
      <w:lvlJc w:val="left"/>
      <w:pPr>
        <w:ind w:left="3115" w:hanging="360"/>
      </w:pPr>
      <w:rPr>
        <w:rFonts w:hint="default"/>
        <w:lang w:val="en-US" w:eastAsia="en-US" w:bidi="ar-SA"/>
      </w:rPr>
    </w:lvl>
    <w:lvl w:ilvl="3" w:tplc="9F505AD6">
      <w:numFmt w:val="bullet"/>
      <w:lvlText w:val="•"/>
      <w:lvlJc w:val="left"/>
      <w:pPr>
        <w:ind w:left="4011" w:hanging="360"/>
      </w:pPr>
      <w:rPr>
        <w:rFonts w:hint="default"/>
        <w:lang w:val="en-US" w:eastAsia="en-US" w:bidi="ar-SA"/>
      </w:rPr>
    </w:lvl>
    <w:lvl w:ilvl="4" w:tplc="2BAA6722">
      <w:numFmt w:val="bullet"/>
      <w:lvlText w:val="•"/>
      <w:lvlJc w:val="left"/>
      <w:pPr>
        <w:ind w:left="4906" w:hanging="360"/>
      </w:pPr>
      <w:rPr>
        <w:rFonts w:hint="default"/>
        <w:lang w:val="en-US" w:eastAsia="en-US" w:bidi="ar-SA"/>
      </w:rPr>
    </w:lvl>
    <w:lvl w:ilvl="5" w:tplc="07ACCF5E">
      <w:numFmt w:val="bullet"/>
      <w:lvlText w:val="•"/>
      <w:lvlJc w:val="left"/>
      <w:pPr>
        <w:ind w:left="5802" w:hanging="360"/>
      </w:pPr>
      <w:rPr>
        <w:rFonts w:hint="default"/>
        <w:lang w:val="en-US" w:eastAsia="en-US" w:bidi="ar-SA"/>
      </w:rPr>
    </w:lvl>
    <w:lvl w:ilvl="6" w:tplc="0246A4CC">
      <w:numFmt w:val="bullet"/>
      <w:lvlText w:val="•"/>
      <w:lvlJc w:val="left"/>
      <w:pPr>
        <w:ind w:left="6697" w:hanging="360"/>
      </w:pPr>
      <w:rPr>
        <w:rFonts w:hint="default"/>
        <w:lang w:val="en-US" w:eastAsia="en-US" w:bidi="ar-SA"/>
      </w:rPr>
    </w:lvl>
    <w:lvl w:ilvl="7" w:tplc="9BAA37FA">
      <w:numFmt w:val="bullet"/>
      <w:lvlText w:val="•"/>
      <w:lvlJc w:val="left"/>
      <w:pPr>
        <w:ind w:left="7593" w:hanging="360"/>
      </w:pPr>
      <w:rPr>
        <w:rFonts w:hint="default"/>
        <w:lang w:val="en-US" w:eastAsia="en-US" w:bidi="ar-SA"/>
      </w:rPr>
    </w:lvl>
    <w:lvl w:ilvl="8" w:tplc="DEAC1600">
      <w:numFmt w:val="bullet"/>
      <w:lvlText w:val="•"/>
      <w:lvlJc w:val="left"/>
      <w:pPr>
        <w:ind w:left="8488" w:hanging="360"/>
      </w:pPr>
      <w:rPr>
        <w:rFonts w:hint="default"/>
        <w:lang w:val="en-US" w:eastAsia="en-US" w:bidi="ar-SA"/>
      </w:rPr>
    </w:lvl>
  </w:abstractNum>
  <w:abstractNum w:abstractNumId="189" w15:restartNumberingAfterBreak="0">
    <w:nsid w:val="70717396"/>
    <w:multiLevelType w:val="hybridMultilevel"/>
    <w:tmpl w:val="3BC2E1E8"/>
    <w:lvl w:ilvl="0" w:tplc="10A00CB4">
      <w:start w:val="10"/>
      <w:numFmt w:val="decimal"/>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D18C7410">
      <w:start w:val="1"/>
      <w:numFmt w:val="lowerLetter"/>
      <w:lvlText w:val="%2."/>
      <w:lvlJc w:val="left"/>
      <w:pPr>
        <w:ind w:left="2000" w:hanging="360"/>
      </w:pPr>
      <w:rPr>
        <w:rFonts w:ascii="Arial" w:eastAsia="Arial" w:hAnsi="Arial" w:cs="Arial" w:hint="default"/>
        <w:b w:val="0"/>
        <w:bCs w:val="0"/>
        <w:i w:val="0"/>
        <w:iCs w:val="0"/>
        <w:spacing w:val="0"/>
        <w:w w:val="99"/>
        <w:sz w:val="22"/>
        <w:szCs w:val="22"/>
        <w:lang w:val="en-US" w:eastAsia="en-US" w:bidi="ar-SA"/>
      </w:rPr>
    </w:lvl>
    <w:lvl w:ilvl="2" w:tplc="FD5AFE7A">
      <w:start w:val="1"/>
      <w:numFmt w:val="lowerRoman"/>
      <w:lvlText w:val="%3."/>
      <w:lvlJc w:val="left"/>
      <w:pPr>
        <w:ind w:left="2360" w:hanging="291"/>
        <w:jc w:val="right"/>
      </w:pPr>
      <w:rPr>
        <w:rFonts w:ascii="Arial" w:eastAsia="Arial" w:hAnsi="Arial" w:cs="Arial" w:hint="default"/>
        <w:b w:val="0"/>
        <w:bCs w:val="0"/>
        <w:i w:val="0"/>
        <w:iCs w:val="0"/>
        <w:spacing w:val="0"/>
        <w:w w:val="99"/>
        <w:sz w:val="22"/>
        <w:szCs w:val="22"/>
        <w:lang w:val="en-US" w:eastAsia="en-US" w:bidi="ar-SA"/>
      </w:rPr>
    </w:lvl>
    <w:lvl w:ilvl="3" w:tplc="1444E5E2">
      <w:numFmt w:val="bullet"/>
      <w:lvlText w:val="•"/>
      <w:lvlJc w:val="left"/>
      <w:pPr>
        <w:ind w:left="3302" w:hanging="291"/>
      </w:pPr>
      <w:rPr>
        <w:rFonts w:hint="default"/>
        <w:lang w:val="en-US" w:eastAsia="en-US" w:bidi="ar-SA"/>
      </w:rPr>
    </w:lvl>
    <w:lvl w:ilvl="4" w:tplc="9A82DA5A">
      <w:numFmt w:val="bullet"/>
      <w:lvlText w:val="•"/>
      <w:lvlJc w:val="left"/>
      <w:pPr>
        <w:ind w:left="4245" w:hanging="291"/>
      </w:pPr>
      <w:rPr>
        <w:rFonts w:hint="default"/>
        <w:lang w:val="en-US" w:eastAsia="en-US" w:bidi="ar-SA"/>
      </w:rPr>
    </w:lvl>
    <w:lvl w:ilvl="5" w:tplc="269A3A60">
      <w:numFmt w:val="bullet"/>
      <w:lvlText w:val="•"/>
      <w:lvlJc w:val="left"/>
      <w:pPr>
        <w:ind w:left="5187" w:hanging="291"/>
      </w:pPr>
      <w:rPr>
        <w:rFonts w:hint="default"/>
        <w:lang w:val="en-US" w:eastAsia="en-US" w:bidi="ar-SA"/>
      </w:rPr>
    </w:lvl>
    <w:lvl w:ilvl="6" w:tplc="F09AC888">
      <w:numFmt w:val="bullet"/>
      <w:lvlText w:val="•"/>
      <w:lvlJc w:val="left"/>
      <w:pPr>
        <w:ind w:left="6130" w:hanging="291"/>
      </w:pPr>
      <w:rPr>
        <w:rFonts w:hint="default"/>
        <w:lang w:val="en-US" w:eastAsia="en-US" w:bidi="ar-SA"/>
      </w:rPr>
    </w:lvl>
    <w:lvl w:ilvl="7" w:tplc="AB0EE888">
      <w:numFmt w:val="bullet"/>
      <w:lvlText w:val="•"/>
      <w:lvlJc w:val="left"/>
      <w:pPr>
        <w:ind w:left="7072" w:hanging="291"/>
      </w:pPr>
      <w:rPr>
        <w:rFonts w:hint="default"/>
        <w:lang w:val="en-US" w:eastAsia="en-US" w:bidi="ar-SA"/>
      </w:rPr>
    </w:lvl>
    <w:lvl w:ilvl="8" w:tplc="30C2E490">
      <w:numFmt w:val="bullet"/>
      <w:lvlText w:val="•"/>
      <w:lvlJc w:val="left"/>
      <w:pPr>
        <w:ind w:left="8015" w:hanging="291"/>
      </w:pPr>
      <w:rPr>
        <w:rFonts w:hint="default"/>
        <w:lang w:val="en-US" w:eastAsia="en-US" w:bidi="ar-SA"/>
      </w:rPr>
    </w:lvl>
  </w:abstractNum>
  <w:abstractNum w:abstractNumId="190" w15:restartNumberingAfterBreak="0">
    <w:nsid w:val="70954FE0"/>
    <w:multiLevelType w:val="hybridMultilevel"/>
    <w:tmpl w:val="018A661A"/>
    <w:lvl w:ilvl="0" w:tplc="84A4F4A8">
      <w:start w:val="8"/>
      <w:numFmt w:val="decimal"/>
      <w:lvlText w:val="%1."/>
      <w:lvlJc w:val="left"/>
      <w:pPr>
        <w:ind w:left="485" w:hanging="360"/>
      </w:pPr>
      <w:rPr>
        <w:rFonts w:ascii="Arial" w:eastAsia="Arial" w:hAnsi="Arial" w:cs="Arial" w:hint="default"/>
        <w:b w:val="0"/>
        <w:bCs w:val="0"/>
        <w:i w:val="0"/>
        <w:iCs w:val="0"/>
        <w:spacing w:val="0"/>
        <w:w w:val="99"/>
        <w:sz w:val="22"/>
        <w:szCs w:val="22"/>
        <w:lang w:val="en-US" w:eastAsia="en-US" w:bidi="ar-SA"/>
      </w:rPr>
    </w:lvl>
    <w:lvl w:ilvl="1" w:tplc="7F3CB846">
      <w:numFmt w:val="bullet"/>
      <w:lvlText w:val=""/>
      <w:lvlJc w:val="left"/>
      <w:pPr>
        <w:ind w:left="1205" w:hanging="360"/>
      </w:pPr>
      <w:rPr>
        <w:rFonts w:ascii="Symbol" w:eastAsia="Symbol" w:hAnsi="Symbol" w:cs="Symbol" w:hint="default"/>
        <w:b w:val="0"/>
        <w:bCs w:val="0"/>
        <w:i w:val="0"/>
        <w:iCs w:val="0"/>
        <w:spacing w:val="0"/>
        <w:w w:val="99"/>
        <w:sz w:val="22"/>
        <w:szCs w:val="22"/>
        <w:lang w:val="en-US" w:eastAsia="en-US" w:bidi="ar-SA"/>
      </w:rPr>
    </w:lvl>
    <w:lvl w:ilvl="2" w:tplc="F0F0ABFE">
      <w:numFmt w:val="bullet"/>
      <w:lvlText w:val="•"/>
      <w:lvlJc w:val="left"/>
      <w:pPr>
        <w:ind w:left="1830" w:hanging="360"/>
      </w:pPr>
      <w:rPr>
        <w:rFonts w:hint="default"/>
        <w:lang w:val="en-US" w:eastAsia="en-US" w:bidi="ar-SA"/>
      </w:rPr>
    </w:lvl>
    <w:lvl w:ilvl="3" w:tplc="DC22AEA8">
      <w:numFmt w:val="bullet"/>
      <w:lvlText w:val="•"/>
      <w:lvlJc w:val="left"/>
      <w:pPr>
        <w:ind w:left="2460" w:hanging="360"/>
      </w:pPr>
      <w:rPr>
        <w:rFonts w:hint="default"/>
        <w:lang w:val="en-US" w:eastAsia="en-US" w:bidi="ar-SA"/>
      </w:rPr>
    </w:lvl>
    <w:lvl w:ilvl="4" w:tplc="DDB6113A">
      <w:numFmt w:val="bullet"/>
      <w:lvlText w:val="•"/>
      <w:lvlJc w:val="left"/>
      <w:pPr>
        <w:ind w:left="3091" w:hanging="360"/>
      </w:pPr>
      <w:rPr>
        <w:rFonts w:hint="default"/>
        <w:lang w:val="en-US" w:eastAsia="en-US" w:bidi="ar-SA"/>
      </w:rPr>
    </w:lvl>
    <w:lvl w:ilvl="5" w:tplc="43707998">
      <w:numFmt w:val="bullet"/>
      <w:lvlText w:val="•"/>
      <w:lvlJc w:val="left"/>
      <w:pPr>
        <w:ind w:left="3721" w:hanging="360"/>
      </w:pPr>
      <w:rPr>
        <w:rFonts w:hint="default"/>
        <w:lang w:val="en-US" w:eastAsia="en-US" w:bidi="ar-SA"/>
      </w:rPr>
    </w:lvl>
    <w:lvl w:ilvl="6" w:tplc="1B6A3A38">
      <w:numFmt w:val="bullet"/>
      <w:lvlText w:val="•"/>
      <w:lvlJc w:val="left"/>
      <w:pPr>
        <w:ind w:left="4351" w:hanging="360"/>
      </w:pPr>
      <w:rPr>
        <w:rFonts w:hint="default"/>
        <w:lang w:val="en-US" w:eastAsia="en-US" w:bidi="ar-SA"/>
      </w:rPr>
    </w:lvl>
    <w:lvl w:ilvl="7" w:tplc="E772822A">
      <w:numFmt w:val="bullet"/>
      <w:lvlText w:val="•"/>
      <w:lvlJc w:val="left"/>
      <w:pPr>
        <w:ind w:left="4982" w:hanging="360"/>
      </w:pPr>
      <w:rPr>
        <w:rFonts w:hint="default"/>
        <w:lang w:val="en-US" w:eastAsia="en-US" w:bidi="ar-SA"/>
      </w:rPr>
    </w:lvl>
    <w:lvl w:ilvl="8" w:tplc="F0A0E4BE">
      <w:numFmt w:val="bullet"/>
      <w:lvlText w:val="•"/>
      <w:lvlJc w:val="left"/>
      <w:pPr>
        <w:ind w:left="5612" w:hanging="360"/>
      </w:pPr>
      <w:rPr>
        <w:rFonts w:hint="default"/>
        <w:lang w:val="en-US" w:eastAsia="en-US" w:bidi="ar-SA"/>
      </w:rPr>
    </w:lvl>
  </w:abstractNum>
  <w:abstractNum w:abstractNumId="191" w15:restartNumberingAfterBreak="0">
    <w:nsid w:val="71C02E40"/>
    <w:multiLevelType w:val="hybridMultilevel"/>
    <w:tmpl w:val="EEE68262"/>
    <w:lvl w:ilvl="0" w:tplc="71F2BC56">
      <w:start w:val="16"/>
      <w:numFmt w:val="decimal"/>
      <w:lvlText w:val="%1."/>
      <w:lvlJc w:val="left"/>
      <w:pPr>
        <w:ind w:left="546" w:hanging="422"/>
      </w:pPr>
      <w:rPr>
        <w:rFonts w:ascii="Arial" w:eastAsia="Arial" w:hAnsi="Arial" w:cs="Arial" w:hint="default"/>
        <w:b w:val="0"/>
        <w:bCs w:val="0"/>
        <w:i w:val="0"/>
        <w:iCs w:val="0"/>
        <w:spacing w:val="0"/>
        <w:w w:val="99"/>
        <w:sz w:val="22"/>
        <w:szCs w:val="22"/>
        <w:lang w:val="en-US" w:eastAsia="en-US" w:bidi="ar-SA"/>
      </w:rPr>
    </w:lvl>
    <w:lvl w:ilvl="1" w:tplc="CDB8B2DA">
      <w:numFmt w:val="bullet"/>
      <w:lvlText w:val=""/>
      <w:lvlJc w:val="left"/>
      <w:pPr>
        <w:ind w:left="1205" w:hanging="360"/>
      </w:pPr>
      <w:rPr>
        <w:rFonts w:ascii="Symbol" w:eastAsia="Symbol" w:hAnsi="Symbol" w:cs="Symbol" w:hint="default"/>
        <w:b w:val="0"/>
        <w:bCs w:val="0"/>
        <w:i w:val="0"/>
        <w:iCs w:val="0"/>
        <w:spacing w:val="0"/>
        <w:w w:val="99"/>
        <w:sz w:val="22"/>
        <w:szCs w:val="22"/>
        <w:lang w:val="en-US" w:eastAsia="en-US" w:bidi="ar-SA"/>
      </w:rPr>
    </w:lvl>
    <w:lvl w:ilvl="2" w:tplc="D9F665D0">
      <w:numFmt w:val="bullet"/>
      <w:lvlText w:val="•"/>
      <w:lvlJc w:val="left"/>
      <w:pPr>
        <w:ind w:left="1830" w:hanging="360"/>
      </w:pPr>
      <w:rPr>
        <w:rFonts w:hint="default"/>
        <w:lang w:val="en-US" w:eastAsia="en-US" w:bidi="ar-SA"/>
      </w:rPr>
    </w:lvl>
    <w:lvl w:ilvl="3" w:tplc="4BEAD916">
      <w:numFmt w:val="bullet"/>
      <w:lvlText w:val="•"/>
      <w:lvlJc w:val="left"/>
      <w:pPr>
        <w:ind w:left="2460" w:hanging="360"/>
      </w:pPr>
      <w:rPr>
        <w:rFonts w:hint="default"/>
        <w:lang w:val="en-US" w:eastAsia="en-US" w:bidi="ar-SA"/>
      </w:rPr>
    </w:lvl>
    <w:lvl w:ilvl="4" w:tplc="AF828D68">
      <w:numFmt w:val="bullet"/>
      <w:lvlText w:val="•"/>
      <w:lvlJc w:val="left"/>
      <w:pPr>
        <w:ind w:left="3091" w:hanging="360"/>
      </w:pPr>
      <w:rPr>
        <w:rFonts w:hint="default"/>
        <w:lang w:val="en-US" w:eastAsia="en-US" w:bidi="ar-SA"/>
      </w:rPr>
    </w:lvl>
    <w:lvl w:ilvl="5" w:tplc="5B96E248">
      <w:numFmt w:val="bullet"/>
      <w:lvlText w:val="•"/>
      <w:lvlJc w:val="left"/>
      <w:pPr>
        <w:ind w:left="3721" w:hanging="360"/>
      </w:pPr>
      <w:rPr>
        <w:rFonts w:hint="default"/>
        <w:lang w:val="en-US" w:eastAsia="en-US" w:bidi="ar-SA"/>
      </w:rPr>
    </w:lvl>
    <w:lvl w:ilvl="6" w:tplc="6F86D946">
      <w:numFmt w:val="bullet"/>
      <w:lvlText w:val="•"/>
      <w:lvlJc w:val="left"/>
      <w:pPr>
        <w:ind w:left="4351" w:hanging="360"/>
      </w:pPr>
      <w:rPr>
        <w:rFonts w:hint="default"/>
        <w:lang w:val="en-US" w:eastAsia="en-US" w:bidi="ar-SA"/>
      </w:rPr>
    </w:lvl>
    <w:lvl w:ilvl="7" w:tplc="CC964972">
      <w:numFmt w:val="bullet"/>
      <w:lvlText w:val="•"/>
      <w:lvlJc w:val="left"/>
      <w:pPr>
        <w:ind w:left="4982" w:hanging="360"/>
      </w:pPr>
      <w:rPr>
        <w:rFonts w:hint="default"/>
        <w:lang w:val="en-US" w:eastAsia="en-US" w:bidi="ar-SA"/>
      </w:rPr>
    </w:lvl>
    <w:lvl w:ilvl="8" w:tplc="33105D96">
      <w:numFmt w:val="bullet"/>
      <w:lvlText w:val="•"/>
      <w:lvlJc w:val="left"/>
      <w:pPr>
        <w:ind w:left="5612" w:hanging="360"/>
      </w:pPr>
      <w:rPr>
        <w:rFonts w:hint="default"/>
        <w:lang w:val="en-US" w:eastAsia="en-US" w:bidi="ar-SA"/>
      </w:rPr>
    </w:lvl>
  </w:abstractNum>
  <w:abstractNum w:abstractNumId="192" w15:restartNumberingAfterBreak="0">
    <w:nsid w:val="71E944A5"/>
    <w:multiLevelType w:val="hybridMultilevel"/>
    <w:tmpl w:val="59FA36F8"/>
    <w:lvl w:ilvl="0" w:tplc="41246FB2">
      <w:start w:val="2"/>
      <w:numFmt w:val="decimal"/>
      <w:lvlText w:val="%1."/>
      <w:lvlJc w:val="left"/>
      <w:pPr>
        <w:ind w:left="615" w:hanging="485"/>
      </w:pPr>
      <w:rPr>
        <w:rFonts w:ascii="Arial" w:eastAsia="Arial" w:hAnsi="Arial" w:cs="Arial" w:hint="default"/>
        <w:b w:val="0"/>
        <w:bCs w:val="0"/>
        <w:i w:val="0"/>
        <w:iCs w:val="0"/>
        <w:spacing w:val="0"/>
        <w:w w:val="99"/>
        <w:sz w:val="22"/>
        <w:szCs w:val="22"/>
        <w:lang w:val="en-US" w:eastAsia="en-US" w:bidi="ar-SA"/>
      </w:rPr>
    </w:lvl>
    <w:lvl w:ilvl="1" w:tplc="60BC7050">
      <w:numFmt w:val="bullet"/>
      <w:lvlText w:val=""/>
      <w:lvlJc w:val="left"/>
      <w:pPr>
        <w:ind w:left="922" w:hanging="323"/>
      </w:pPr>
      <w:rPr>
        <w:rFonts w:ascii="Symbol" w:eastAsia="Symbol" w:hAnsi="Symbol" w:cs="Symbol" w:hint="default"/>
        <w:b w:val="0"/>
        <w:bCs w:val="0"/>
        <w:i w:val="0"/>
        <w:iCs w:val="0"/>
        <w:spacing w:val="0"/>
        <w:w w:val="99"/>
        <w:sz w:val="22"/>
        <w:szCs w:val="22"/>
        <w:lang w:val="en-US" w:eastAsia="en-US" w:bidi="ar-SA"/>
      </w:rPr>
    </w:lvl>
    <w:lvl w:ilvl="2" w:tplc="11A2D1B0">
      <w:numFmt w:val="bullet"/>
      <w:lvlText w:val="•"/>
      <w:lvlJc w:val="left"/>
      <w:pPr>
        <w:ind w:left="1547" w:hanging="323"/>
      </w:pPr>
      <w:rPr>
        <w:rFonts w:hint="default"/>
        <w:lang w:val="en-US" w:eastAsia="en-US" w:bidi="ar-SA"/>
      </w:rPr>
    </w:lvl>
    <w:lvl w:ilvl="3" w:tplc="E2D6CED2">
      <w:numFmt w:val="bullet"/>
      <w:lvlText w:val="•"/>
      <w:lvlJc w:val="left"/>
      <w:pPr>
        <w:ind w:left="2175" w:hanging="323"/>
      </w:pPr>
      <w:rPr>
        <w:rFonts w:hint="default"/>
        <w:lang w:val="en-US" w:eastAsia="en-US" w:bidi="ar-SA"/>
      </w:rPr>
    </w:lvl>
    <w:lvl w:ilvl="4" w:tplc="F7FAC63E">
      <w:numFmt w:val="bullet"/>
      <w:lvlText w:val="•"/>
      <w:lvlJc w:val="left"/>
      <w:pPr>
        <w:ind w:left="2802" w:hanging="323"/>
      </w:pPr>
      <w:rPr>
        <w:rFonts w:hint="default"/>
        <w:lang w:val="en-US" w:eastAsia="en-US" w:bidi="ar-SA"/>
      </w:rPr>
    </w:lvl>
    <w:lvl w:ilvl="5" w:tplc="D9481A20">
      <w:numFmt w:val="bullet"/>
      <w:lvlText w:val="•"/>
      <w:lvlJc w:val="left"/>
      <w:pPr>
        <w:ind w:left="3430" w:hanging="323"/>
      </w:pPr>
      <w:rPr>
        <w:rFonts w:hint="default"/>
        <w:lang w:val="en-US" w:eastAsia="en-US" w:bidi="ar-SA"/>
      </w:rPr>
    </w:lvl>
    <w:lvl w:ilvl="6" w:tplc="88DE11DC">
      <w:numFmt w:val="bullet"/>
      <w:lvlText w:val="•"/>
      <w:lvlJc w:val="left"/>
      <w:pPr>
        <w:ind w:left="4057" w:hanging="323"/>
      </w:pPr>
      <w:rPr>
        <w:rFonts w:hint="default"/>
        <w:lang w:val="en-US" w:eastAsia="en-US" w:bidi="ar-SA"/>
      </w:rPr>
    </w:lvl>
    <w:lvl w:ilvl="7" w:tplc="A87C0C30">
      <w:numFmt w:val="bullet"/>
      <w:lvlText w:val="•"/>
      <w:lvlJc w:val="left"/>
      <w:pPr>
        <w:ind w:left="4685" w:hanging="323"/>
      </w:pPr>
      <w:rPr>
        <w:rFonts w:hint="default"/>
        <w:lang w:val="en-US" w:eastAsia="en-US" w:bidi="ar-SA"/>
      </w:rPr>
    </w:lvl>
    <w:lvl w:ilvl="8" w:tplc="03B0B11A">
      <w:numFmt w:val="bullet"/>
      <w:lvlText w:val="•"/>
      <w:lvlJc w:val="left"/>
      <w:pPr>
        <w:ind w:left="5312" w:hanging="323"/>
      </w:pPr>
      <w:rPr>
        <w:rFonts w:hint="default"/>
        <w:lang w:val="en-US" w:eastAsia="en-US" w:bidi="ar-SA"/>
      </w:rPr>
    </w:lvl>
  </w:abstractNum>
  <w:abstractNum w:abstractNumId="193" w15:restartNumberingAfterBreak="0">
    <w:nsid w:val="71FC21A8"/>
    <w:multiLevelType w:val="hybridMultilevel"/>
    <w:tmpl w:val="BC049D64"/>
    <w:lvl w:ilvl="0" w:tplc="7DDCF156">
      <w:start w:val="3"/>
      <w:numFmt w:val="decimal"/>
      <w:lvlText w:val="%1."/>
      <w:lvlJc w:val="left"/>
      <w:pPr>
        <w:ind w:left="436" w:hanging="359"/>
      </w:pPr>
      <w:rPr>
        <w:rFonts w:ascii="Arial" w:eastAsia="Arial" w:hAnsi="Arial" w:cs="Arial" w:hint="default"/>
        <w:b w:val="0"/>
        <w:bCs w:val="0"/>
        <w:i w:val="0"/>
        <w:iCs w:val="0"/>
        <w:spacing w:val="0"/>
        <w:w w:val="99"/>
        <w:sz w:val="22"/>
        <w:szCs w:val="22"/>
        <w:lang w:val="en-US" w:eastAsia="en-US" w:bidi="ar-SA"/>
      </w:rPr>
    </w:lvl>
    <w:lvl w:ilvl="1" w:tplc="EEAE3A6A">
      <w:numFmt w:val="bullet"/>
      <w:lvlText w:val=""/>
      <w:lvlJc w:val="left"/>
      <w:pPr>
        <w:ind w:left="614" w:hanging="179"/>
      </w:pPr>
      <w:rPr>
        <w:rFonts w:ascii="Symbol" w:eastAsia="Symbol" w:hAnsi="Symbol" w:cs="Symbol" w:hint="default"/>
        <w:b w:val="0"/>
        <w:bCs w:val="0"/>
        <w:i w:val="0"/>
        <w:iCs w:val="0"/>
        <w:spacing w:val="0"/>
        <w:w w:val="99"/>
        <w:sz w:val="16"/>
        <w:szCs w:val="16"/>
        <w:lang w:val="en-US" w:eastAsia="en-US" w:bidi="ar-SA"/>
      </w:rPr>
    </w:lvl>
    <w:lvl w:ilvl="2" w:tplc="7F3EEC94">
      <w:numFmt w:val="bullet"/>
      <w:lvlText w:val="•"/>
      <w:lvlJc w:val="left"/>
      <w:pPr>
        <w:ind w:left="1268" w:hanging="179"/>
      </w:pPr>
      <w:rPr>
        <w:rFonts w:hint="default"/>
        <w:lang w:val="en-US" w:eastAsia="en-US" w:bidi="ar-SA"/>
      </w:rPr>
    </w:lvl>
    <w:lvl w:ilvl="3" w:tplc="940AEF1E">
      <w:numFmt w:val="bullet"/>
      <w:lvlText w:val="•"/>
      <w:lvlJc w:val="left"/>
      <w:pPr>
        <w:ind w:left="1916" w:hanging="179"/>
      </w:pPr>
      <w:rPr>
        <w:rFonts w:hint="default"/>
        <w:lang w:val="en-US" w:eastAsia="en-US" w:bidi="ar-SA"/>
      </w:rPr>
    </w:lvl>
    <w:lvl w:ilvl="4" w:tplc="F51848F4">
      <w:numFmt w:val="bullet"/>
      <w:lvlText w:val="•"/>
      <w:lvlJc w:val="left"/>
      <w:pPr>
        <w:ind w:left="2564" w:hanging="179"/>
      </w:pPr>
      <w:rPr>
        <w:rFonts w:hint="default"/>
        <w:lang w:val="en-US" w:eastAsia="en-US" w:bidi="ar-SA"/>
      </w:rPr>
    </w:lvl>
    <w:lvl w:ilvl="5" w:tplc="4BF0B5E0">
      <w:numFmt w:val="bullet"/>
      <w:lvlText w:val="•"/>
      <w:lvlJc w:val="left"/>
      <w:pPr>
        <w:ind w:left="3212" w:hanging="179"/>
      </w:pPr>
      <w:rPr>
        <w:rFonts w:hint="default"/>
        <w:lang w:val="en-US" w:eastAsia="en-US" w:bidi="ar-SA"/>
      </w:rPr>
    </w:lvl>
    <w:lvl w:ilvl="6" w:tplc="D9BCBE6A">
      <w:numFmt w:val="bullet"/>
      <w:lvlText w:val="•"/>
      <w:lvlJc w:val="left"/>
      <w:pPr>
        <w:ind w:left="3860" w:hanging="179"/>
      </w:pPr>
      <w:rPr>
        <w:rFonts w:hint="default"/>
        <w:lang w:val="en-US" w:eastAsia="en-US" w:bidi="ar-SA"/>
      </w:rPr>
    </w:lvl>
    <w:lvl w:ilvl="7" w:tplc="5804F164">
      <w:numFmt w:val="bullet"/>
      <w:lvlText w:val="•"/>
      <w:lvlJc w:val="left"/>
      <w:pPr>
        <w:ind w:left="4508" w:hanging="179"/>
      </w:pPr>
      <w:rPr>
        <w:rFonts w:hint="default"/>
        <w:lang w:val="en-US" w:eastAsia="en-US" w:bidi="ar-SA"/>
      </w:rPr>
    </w:lvl>
    <w:lvl w:ilvl="8" w:tplc="109A5046">
      <w:numFmt w:val="bullet"/>
      <w:lvlText w:val="•"/>
      <w:lvlJc w:val="left"/>
      <w:pPr>
        <w:ind w:left="5156" w:hanging="179"/>
      </w:pPr>
      <w:rPr>
        <w:rFonts w:hint="default"/>
        <w:lang w:val="en-US" w:eastAsia="en-US" w:bidi="ar-SA"/>
      </w:rPr>
    </w:lvl>
  </w:abstractNum>
  <w:abstractNum w:abstractNumId="194" w15:restartNumberingAfterBreak="0">
    <w:nsid w:val="721A0E9A"/>
    <w:multiLevelType w:val="hybridMultilevel"/>
    <w:tmpl w:val="D14037D0"/>
    <w:lvl w:ilvl="0" w:tplc="820A470E">
      <w:start w:val="1"/>
      <w:numFmt w:val="lowerLetter"/>
      <w:lvlText w:val="%1."/>
      <w:lvlJc w:val="left"/>
      <w:pPr>
        <w:ind w:left="2000" w:hanging="360"/>
      </w:pPr>
      <w:rPr>
        <w:rFonts w:ascii="Arial" w:eastAsia="Arial" w:hAnsi="Arial" w:cs="Arial" w:hint="default"/>
        <w:b w:val="0"/>
        <w:bCs w:val="0"/>
        <w:i w:val="0"/>
        <w:iCs w:val="0"/>
        <w:spacing w:val="0"/>
        <w:w w:val="99"/>
        <w:sz w:val="22"/>
        <w:szCs w:val="22"/>
        <w:lang w:val="en-US" w:eastAsia="en-US" w:bidi="ar-SA"/>
      </w:rPr>
    </w:lvl>
    <w:lvl w:ilvl="1" w:tplc="52B8CDBE">
      <w:numFmt w:val="bullet"/>
      <w:lvlText w:val="•"/>
      <w:lvlJc w:val="left"/>
      <w:pPr>
        <w:ind w:left="2790" w:hanging="360"/>
      </w:pPr>
      <w:rPr>
        <w:rFonts w:hint="default"/>
        <w:lang w:val="en-US" w:eastAsia="en-US" w:bidi="ar-SA"/>
      </w:rPr>
    </w:lvl>
    <w:lvl w:ilvl="2" w:tplc="73EC8FEA">
      <w:numFmt w:val="bullet"/>
      <w:lvlText w:val="•"/>
      <w:lvlJc w:val="left"/>
      <w:pPr>
        <w:ind w:left="3580" w:hanging="360"/>
      </w:pPr>
      <w:rPr>
        <w:rFonts w:hint="default"/>
        <w:lang w:val="en-US" w:eastAsia="en-US" w:bidi="ar-SA"/>
      </w:rPr>
    </w:lvl>
    <w:lvl w:ilvl="3" w:tplc="B1F4573A">
      <w:numFmt w:val="bullet"/>
      <w:lvlText w:val="•"/>
      <w:lvlJc w:val="left"/>
      <w:pPr>
        <w:ind w:left="4370" w:hanging="360"/>
      </w:pPr>
      <w:rPr>
        <w:rFonts w:hint="default"/>
        <w:lang w:val="en-US" w:eastAsia="en-US" w:bidi="ar-SA"/>
      </w:rPr>
    </w:lvl>
    <w:lvl w:ilvl="4" w:tplc="C194DA26">
      <w:numFmt w:val="bullet"/>
      <w:lvlText w:val="•"/>
      <w:lvlJc w:val="left"/>
      <w:pPr>
        <w:ind w:left="5160" w:hanging="360"/>
      </w:pPr>
      <w:rPr>
        <w:rFonts w:hint="default"/>
        <w:lang w:val="en-US" w:eastAsia="en-US" w:bidi="ar-SA"/>
      </w:rPr>
    </w:lvl>
    <w:lvl w:ilvl="5" w:tplc="9A82E9EE">
      <w:numFmt w:val="bullet"/>
      <w:lvlText w:val="•"/>
      <w:lvlJc w:val="left"/>
      <w:pPr>
        <w:ind w:left="5950" w:hanging="360"/>
      </w:pPr>
      <w:rPr>
        <w:rFonts w:hint="default"/>
        <w:lang w:val="en-US" w:eastAsia="en-US" w:bidi="ar-SA"/>
      </w:rPr>
    </w:lvl>
    <w:lvl w:ilvl="6" w:tplc="F22E92B6">
      <w:numFmt w:val="bullet"/>
      <w:lvlText w:val="•"/>
      <w:lvlJc w:val="left"/>
      <w:pPr>
        <w:ind w:left="6740" w:hanging="360"/>
      </w:pPr>
      <w:rPr>
        <w:rFonts w:hint="default"/>
        <w:lang w:val="en-US" w:eastAsia="en-US" w:bidi="ar-SA"/>
      </w:rPr>
    </w:lvl>
    <w:lvl w:ilvl="7" w:tplc="D57EF1D6">
      <w:numFmt w:val="bullet"/>
      <w:lvlText w:val="•"/>
      <w:lvlJc w:val="left"/>
      <w:pPr>
        <w:ind w:left="7530" w:hanging="360"/>
      </w:pPr>
      <w:rPr>
        <w:rFonts w:hint="default"/>
        <w:lang w:val="en-US" w:eastAsia="en-US" w:bidi="ar-SA"/>
      </w:rPr>
    </w:lvl>
    <w:lvl w:ilvl="8" w:tplc="5894B712">
      <w:numFmt w:val="bullet"/>
      <w:lvlText w:val="•"/>
      <w:lvlJc w:val="left"/>
      <w:pPr>
        <w:ind w:left="8320" w:hanging="360"/>
      </w:pPr>
      <w:rPr>
        <w:rFonts w:hint="default"/>
        <w:lang w:val="en-US" w:eastAsia="en-US" w:bidi="ar-SA"/>
      </w:rPr>
    </w:lvl>
  </w:abstractNum>
  <w:abstractNum w:abstractNumId="195" w15:restartNumberingAfterBreak="0">
    <w:nsid w:val="728F17E8"/>
    <w:multiLevelType w:val="hybridMultilevel"/>
    <w:tmpl w:val="E0083C96"/>
    <w:lvl w:ilvl="0" w:tplc="C7582880">
      <w:start w:val="1"/>
      <w:numFmt w:val="decimalZero"/>
      <w:lvlText w:val=".%1"/>
      <w:lvlJc w:val="left"/>
      <w:pPr>
        <w:ind w:left="1860" w:hanging="721"/>
      </w:pPr>
      <w:rPr>
        <w:rFonts w:ascii="Arial" w:eastAsia="Arial" w:hAnsi="Arial" w:cs="Arial" w:hint="default"/>
        <w:b w:val="0"/>
        <w:bCs w:val="0"/>
        <w:i w:val="0"/>
        <w:iCs w:val="0"/>
        <w:spacing w:val="0"/>
        <w:w w:val="99"/>
        <w:sz w:val="22"/>
        <w:szCs w:val="22"/>
        <w:lang w:val="en-US" w:eastAsia="en-US" w:bidi="ar-SA"/>
      </w:rPr>
    </w:lvl>
    <w:lvl w:ilvl="1" w:tplc="C9D81BA2">
      <w:numFmt w:val="bullet"/>
      <w:lvlText w:val=""/>
      <w:lvlJc w:val="left"/>
      <w:pPr>
        <w:ind w:left="2221" w:hanging="360"/>
      </w:pPr>
      <w:rPr>
        <w:rFonts w:ascii="Symbol" w:eastAsia="Symbol" w:hAnsi="Symbol" w:cs="Symbol" w:hint="default"/>
        <w:b w:val="0"/>
        <w:bCs w:val="0"/>
        <w:i w:val="0"/>
        <w:iCs w:val="0"/>
        <w:spacing w:val="0"/>
        <w:w w:val="99"/>
        <w:sz w:val="22"/>
        <w:szCs w:val="22"/>
        <w:lang w:val="en-US" w:eastAsia="en-US" w:bidi="ar-SA"/>
      </w:rPr>
    </w:lvl>
    <w:lvl w:ilvl="2" w:tplc="8FA2BA62">
      <w:numFmt w:val="bullet"/>
      <w:lvlText w:val="•"/>
      <w:lvlJc w:val="left"/>
      <w:pPr>
        <w:ind w:left="3115" w:hanging="360"/>
      </w:pPr>
      <w:rPr>
        <w:rFonts w:hint="default"/>
        <w:lang w:val="en-US" w:eastAsia="en-US" w:bidi="ar-SA"/>
      </w:rPr>
    </w:lvl>
    <w:lvl w:ilvl="3" w:tplc="EC006084">
      <w:numFmt w:val="bullet"/>
      <w:lvlText w:val="•"/>
      <w:lvlJc w:val="left"/>
      <w:pPr>
        <w:ind w:left="4011" w:hanging="360"/>
      </w:pPr>
      <w:rPr>
        <w:rFonts w:hint="default"/>
        <w:lang w:val="en-US" w:eastAsia="en-US" w:bidi="ar-SA"/>
      </w:rPr>
    </w:lvl>
    <w:lvl w:ilvl="4" w:tplc="0B24DBEC">
      <w:numFmt w:val="bullet"/>
      <w:lvlText w:val="•"/>
      <w:lvlJc w:val="left"/>
      <w:pPr>
        <w:ind w:left="4906" w:hanging="360"/>
      </w:pPr>
      <w:rPr>
        <w:rFonts w:hint="default"/>
        <w:lang w:val="en-US" w:eastAsia="en-US" w:bidi="ar-SA"/>
      </w:rPr>
    </w:lvl>
    <w:lvl w:ilvl="5" w:tplc="A28EC054">
      <w:numFmt w:val="bullet"/>
      <w:lvlText w:val="•"/>
      <w:lvlJc w:val="left"/>
      <w:pPr>
        <w:ind w:left="5802" w:hanging="360"/>
      </w:pPr>
      <w:rPr>
        <w:rFonts w:hint="default"/>
        <w:lang w:val="en-US" w:eastAsia="en-US" w:bidi="ar-SA"/>
      </w:rPr>
    </w:lvl>
    <w:lvl w:ilvl="6" w:tplc="0E18F59C">
      <w:numFmt w:val="bullet"/>
      <w:lvlText w:val="•"/>
      <w:lvlJc w:val="left"/>
      <w:pPr>
        <w:ind w:left="6697" w:hanging="360"/>
      </w:pPr>
      <w:rPr>
        <w:rFonts w:hint="default"/>
        <w:lang w:val="en-US" w:eastAsia="en-US" w:bidi="ar-SA"/>
      </w:rPr>
    </w:lvl>
    <w:lvl w:ilvl="7" w:tplc="063A259A">
      <w:numFmt w:val="bullet"/>
      <w:lvlText w:val="•"/>
      <w:lvlJc w:val="left"/>
      <w:pPr>
        <w:ind w:left="7593" w:hanging="360"/>
      </w:pPr>
      <w:rPr>
        <w:rFonts w:hint="default"/>
        <w:lang w:val="en-US" w:eastAsia="en-US" w:bidi="ar-SA"/>
      </w:rPr>
    </w:lvl>
    <w:lvl w:ilvl="8" w:tplc="077EAC76">
      <w:numFmt w:val="bullet"/>
      <w:lvlText w:val="•"/>
      <w:lvlJc w:val="left"/>
      <w:pPr>
        <w:ind w:left="8488" w:hanging="360"/>
      </w:pPr>
      <w:rPr>
        <w:rFonts w:hint="default"/>
        <w:lang w:val="en-US" w:eastAsia="en-US" w:bidi="ar-SA"/>
      </w:rPr>
    </w:lvl>
  </w:abstractNum>
  <w:abstractNum w:abstractNumId="196" w15:restartNumberingAfterBreak="0">
    <w:nsid w:val="72AC1213"/>
    <w:multiLevelType w:val="hybridMultilevel"/>
    <w:tmpl w:val="416E85C4"/>
    <w:lvl w:ilvl="0" w:tplc="1FD6B312">
      <w:start w:val="4"/>
      <w:numFmt w:val="decimal"/>
      <w:lvlText w:val="%1."/>
      <w:lvlJc w:val="left"/>
      <w:pPr>
        <w:ind w:left="569" w:hanging="439"/>
      </w:pPr>
      <w:rPr>
        <w:rFonts w:ascii="Arial" w:eastAsia="Arial" w:hAnsi="Arial" w:cs="Arial" w:hint="default"/>
        <w:b w:val="0"/>
        <w:bCs w:val="0"/>
        <w:i w:val="0"/>
        <w:iCs w:val="0"/>
        <w:spacing w:val="0"/>
        <w:w w:val="99"/>
        <w:sz w:val="22"/>
        <w:szCs w:val="22"/>
        <w:lang w:val="en-US" w:eastAsia="en-US" w:bidi="ar-SA"/>
      </w:rPr>
    </w:lvl>
    <w:lvl w:ilvl="1" w:tplc="4DE0F78E">
      <w:start w:val="1"/>
      <w:numFmt w:val="lowerLetter"/>
      <w:lvlText w:val="(%2)"/>
      <w:lvlJc w:val="left"/>
      <w:pPr>
        <w:ind w:left="1067" w:hanging="474"/>
      </w:pPr>
      <w:rPr>
        <w:rFonts w:ascii="Arial" w:eastAsia="Arial" w:hAnsi="Arial" w:cs="Arial" w:hint="default"/>
        <w:b w:val="0"/>
        <w:bCs w:val="0"/>
        <w:i w:val="0"/>
        <w:iCs w:val="0"/>
        <w:spacing w:val="-1"/>
        <w:w w:val="99"/>
        <w:sz w:val="22"/>
        <w:szCs w:val="22"/>
        <w:lang w:val="en-US" w:eastAsia="en-US" w:bidi="ar-SA"/>
      </w:rPr>
    </w:lvl>
    <w:lvl w:ilvl="2" w:tplc="CBD8AC98">
      <w:numFmt w:val="bullet"/>
      <w:lvlText w:val="•"/>
      <w:lvlJc w:val="left"/>
      <w:pPr>
        <w:ind w:left="1672" w:hanging="474"/>
      </w:pPr>
      <w:rPr>
        <w:rFonts w:hint="default"/>
        <w:lang w:val="en-US" w:eastAsia="en-US" w:bidi="ar-SA"/>
      </w:rPr>
    </w:lvl>
    <w:lvl w:ilvl="3" w:tplc="C70212C4">
      <w:numFmt w:val="bullet"/>
      <w:lvlText w:val="•"/>
      <w:lvlJc w:val="left"/>
      <w:pPr>
        <w:ind w:left="2284" w:hanging="474"/>
      </w:pPr>
      <w:rPr>
        <w:rFonts w:hint="default"/>
        <w:lang w:val="en-US" w:eastAsia="en-US" w:bidi="ar-SA"/>
      </w:rPr>
    </w:lvl>
    <w:lvl w:ilvl="4" w:tplc="2A04466C">
      <w:numFmt w:val="bullet"/>
      <w:lvlText w:val="•"/>
      <w:lvlJc w:val="left"/>
      <w:pPr>
        <w:ind w:left="2896" w:hanging="474"/>
      </w:pPr>
      <w:rPr>
        <w:rFonts w:hint="default"/>
        <w:lang w:val="en-US" w:eastAsia="en-US" w:bidi="ar-SA"/>
      </w:rPr>
    </w:lvl>
    <w:lvl w:ilvl="5" w:tplc="3014EF7C">
      <w:numFmt w:val="bullet"/>
      <w:lvlText w:val="•"/>
      <w:lvlJc w:val="left"/>
      <w:pPr>
        <w:ind w:left="3508" w:hanging="474"/>
      </w:pPr>
      <w:rPr>
        <w:rFonts w:hint="default"/>
        <w:lang w:val="en-US" w:eastAsia="en-US" w:bidi="ar-SA"/>
      </w:rPr>
    </w:lvl>
    <w:lvl w:ilvl="6" w:tplc="1388A162">
      <w:numFmt w:val="bullet"/>
      <w:lvlText w:val="•"/>
      <w:lvlJc w:val="left"/>
      <w:pPr>
        <w:ind w:left="4121" w:hanging="474"/>
      </w:pPr>
      <w:rPr>
        <w:rFonts w:hint="default"/>
        <w:lang w:val="en-US" w:eastAsia="en-US" w:bidi="ar-SA"/>
      </w:rPr>
    </w:lvl>
    <w:lvl w:ilvl="7" w:tplc="CC2062A2">
      <w:numFmt w:val="bullet"/>
      <w:lvlText w:val="•"/>
      <w:lvlJc w:val="left"/>
      <w:pPr>
        <w:ind w:left="4733" w:hanging="474"/>
      </w:pPr>
      <w:rPr>
        <w:rFonts w:hint="default"/>
        <w:lang w:val="en-US" w:eastAsia="en-US" w:bidi="ar-SA"/>
      </w:rPr>
    </w:lvl>
    <w:lvl w:ilvl="8" w:tplc="4584383A">
      <w:numFmt w:val="bullet"/>
      <w:lvlText w:val="•"/>
      <w:lvlJc w:val="left"/>
      <w:pPr>
        <w:ind w:left="5345" w:hanging="474"/>
      </w:pPr>
      <w:rPr>
        <w:rFonts w:hint="default"/>
        <w:lang w:val="en-US" w:eastAsia="en-US" w:bidi="ar-SA"/>
      </w:rPr>
    </w:lvl>
  </w:abstractNum>
  <w:abstractNum w:abstractNumId="197" w15:restartNumberingAfterBreak="0">
    <w:nsid w:val="73A37805"/>
    <w:multiLevelType w:val="hybridMultilevel"/>
    <w:tmpl w:val="34CE346A"/>
    <w:lvl w:ilvl="0" w:tplc="0DFE2364">
      <w:start w:val="10"/>
      <w:numFmt w:val="decimal"/>
      <w:lvlText w:val=".%1"/>
      <w:lvlJc w:val="left"/>
      <w:pPr>
        <w:ind w:left="1560" w:hanging="721"/>
      </w:pPr>
      <w:rPr>
        <w:rFonts w:ascii="Arial" w:eastAsia="Arial" w:hAnsi="Arial" w:cs="Arial" w:hint="default"/>
        <w:b w:val="0"/>
        <w:bCs w:val="0"/>
        <w:i w:val="0"/>
        <w:iCs w:val="0"/>
        <w:spacing w:val="0"/>
        <w:w w:val="99"/>
        <w:sz w:val="22"/>
        <w:szCs w:val="22"/>
        <w:lang w:val="en-US" w:eastAsia="en-US" w:bidi="ar-SA"/>
      </w:rPr>
    </w:lvl>
    <w:lvl w:ilvl="1" w:tplc="035E71E6">
      <w:start w:val="1"/>
      <w:numFmt w:val="lowerLetter"/>
      <w:lvlText w:val="%2."/>
      <w:lvlJc w:val="left"/>
      <w:pPr>
        <w:ind w:left="1919" w:hanging="360"/>
      </w:pPr>
      <w:rPr>
        <w:rFonts w:ascii="Arial" w:eastAsia="Arial" w:hAnsi="Arial" w:cs="Arial" w:hint="default"/>
        <w:b w:val="0"/>
        <w:bCs w:val="0"/>
        <w:i w:val="0"/>
        <w:iCs w:val="0"/>
        <w:spacing w:val="0"/>
        <w:w w:val="99"/>
        <w:sz w:val="22"/>
        <w:szCs w:val="22"/>
        <w:lang w:val="en-US" w:eastAsia="en-US" w:bidi="ar-SA"/>
      </w:rPr>
    </w:lvl>
    <w:lvl w:ilvl="2" w:tplc="E8FA47BE">
      <w:start w:val="1"/>
      <w:numFmt w:val="lowerRoman"/>
      <w:lvlText w:val="%3."/>
      <w:lvlJc w:val="left"/>
      <w:pPr>
        <w:ind w:left="2279" w:hanging="284"/>
        <w:jc w:val="right"/>
      </w:pPr>
      <w:rPr>
        <w:rFonts w:ascii="Arial" w:eastAsia="Arial" w:hAnsi="Arial" w:cs="Arial" w:hint="default"/>
        <w:b w:val="0"/>
        <w:bCs w:val="0"/>
        <w:i w:val="0"/>
        <w:iCs w:val="0"/>
        <w:spacing w:val="0"/>
        <w:w w:val="99"/>
        <w:sz w:val="22"/>
        <w:szCs w:val="22"/>
        <w:lang w:val="en-US" w:eastAsia="en-US" w:bidi="ar-SA"/>
      </w:rPr>
    </w:lvl>
    <w:lvl w:ilvl="3" w:tplc="B69ABC8E">
      <w:numFmt w:val="bullet"/>
      <w:lvlText w:val="•"/>
      <w:lvlJc w:val="left"/>
      <w:pPr>
        <w:ind w:left="3217" w:hanging="284"/>
      </w:pPr>
      <w:rPr>
        <w:rFonts w:hint="default"/>
        <w:lang w:val="en-US" w:eastAsia="en-US" w:bidi="ar-SA"/>
      </w:rPr>
    </w:lvl>
    <w:lvl w:ilvl="4" w:tplc="05AE5772">
      <w:numFmt w:val="bullet"/>
      <w:lvlText w:val="•"/>
      <w:lvlJc w:val="left"/>
      <w:pPr>
        <w:ind w:left="4155" w:hanging="284"/>
      </w:pPr>
      <w:rPr>
        <w:rFonts w:hint="default"/>
        <w:lang w:val="en-US" w:eastAsia="en-US" w:bidi="ar-SA"/>
      </w:rPr>
    </w:lvl>
    <w:lvl w:ilvl="5" w:tplc="389280AE">
      <w:numFmt w:val="bullet"/>
      <w:lvlText w:val="•"/>
      <w:lvlJc w:val="left"/>
      <w:pPr>
        <w:ind w:left="5092" w:hanging="284"/>
      </w:pPr>
      <w:rPr>
        <w:rFonts w:hint="default"/>
        <w:lang w:val="en-US" w:eastAsia="en-US" w:bidi="ar-SA"/>
      </w:rPr>
    </w:lvl>
    <w:lvl w:ilvl="6" w:tplc="FD6CB472">
      <w:numFmt w:val="bullet"/>
      <w:lvlText w:val="•"/>
      <w:lvlJc w:val="left"/>
      <w:pPr>
        <w:ind w:left="6030" w:hanging="284"/>
      </w:pPr>
      <w:rPr>
        <w:rFonts w:hint="default"/>
        <w:lang w:val="en-US" w:eastAsia="en-US" w:bidi="ar-SA"/>
      </w:rPr>
    </w:lvl>
    <w:lvl w:ilvl="7" w:tplc="1368BB1C">
      <w:numFmt w:val="bullet"/>
      <w:lvlText w:val="•"/>
      <w:lvlJc w:val="left"/>
      <w:pPr>
        <w:ind w:left="6967" w:hanging="284"/>
      </w:pPr>
      <w:rPr>
        <w:rFonts w:hint="default"/>
        <w:lang w:val="en-US" w:eastAsia="en-US" w:bidi="ar-SA"/>
      </w:rPr>
    </w:lvl>
    <w:lvl w:ilvl="8" w:tplc="989AE566">
      <w:numFmt w:val="bullet"/>
      <w:lvlText w:val="•"/>
      <w:lvlJc w:val="left"/>
      <w:pPr>
        <w:ind w:left="7905" w:hanging="284"/>
      </w:pPr>
      <w:rPr>
        <w:rFonts w:hint="default"/>
        <w:lang w:val="en-US" w:eastAsia="en-US" w:bidi="ar-SA"/>
      </w:rPr>
    </w:lvl>
  </w:abstractNum>
  <w:abstractNum w:abstractNumId="198" w15:restartNumberingAfterBreak="0">
    <w:nsid w:val="740F380A"/>
    <w:multiLevelType w:val="hybridMultilevel"/>
    <w:tmpl w:val="4E7EC148"/>
    <w:lvl w:ilvl="0" w:tplc="697AF3C2">
      <w:numFmt w:val="bullet"/>
      <w:lvlText w:val=""/>
      <w:lvlJc w:val="left"/>
      <w:pPr>
        <w:ind w:left="1999" w:hanging="360"/>
      </w:pPr>
      <w:rPr>
        <w:rFonts w:ascii="Symbol" w:eastAsia="Symbol" w:hAnsi="Symbol" w:cs="Symbol" w:hint="default"/>
        <w:b w:val="0"/>
        <w:bCs w:val="0"/>
        <w:i w:val="0"/>
        <w:iCs w:val="0"/>
        <w:spacing w:val="0"/>
        <w:w w:val="99"/>
        <w:sz w:val="22"/>
        <w:szCs w:val="22"/>
        <w:lang w:val="en-US" w:eastAsia="en-US" w:bidi="ar-SA"/>
      </w:rPr>
    </w:lvl>
    <w:lvl w:ilvl="1" w:tplc="DBEEC4BE">
      <w:start w:val="1"/>
      <w:numFmt w:val="decimal"/>
      <w:lvlText w:val="%2."/>
      <w:lvlJc w:val="left"/>
      <w:pPr>
        <w:ind w:left="2359" w:hanging="360"/>
      </w:pPr>
      <w:rPr>
        <w:rFonts w:ascii="Arial" w:eastAsia="Arial" w:hAnsi="Arial" w:cs="Arial" w:hint="default"/>
        <w:b w:val="0"/>
        <w:bCs w:val="0"/>
        <w:i w:val="0"/>
        <w:iCs w:val="0"/>
        <w:spacing w:val="0"/>
        <w:w w:val="99"/>
        <w:sz w:val="22"/>
        <w:szCs w:val="22"/>
        <w:lang w:val="en-US" w:eastAsia="en-US" w:bidi="ar-SA"/>
      </w:rPr>
    </w:lvl>
    <w:lvl w:ilvl="2" w:tplc="46720E0C">
      <w:numFmt w:val="bullet"/>
      <w:lvlText w:val="•"/>
      <w:lvlJc w:val="left"/>
      <w:pPr>
        <w:ind w:left="3197" w:hanging="360"/>
      </w:pPr>
      <w:rPr>
        <w:rFonts w:hint="default"/>
        <w:lang w:val="en-US" w:eastAsia="en-US" w:bidi="ar-SA"/>
      </w:rPr>
    </w:lvl>
    <w:lvl w:ilvl="3" w:tplc="5C2EE27E">
      <w:numFmt w:val="bullet"/>
      <w:lvlText w:val="•"/>
      <w:lvlJc w:val="left"/>
      <w:pPr>
        <w:ind w:left="4035" w:hanging="360"/>
      </w:pPr>
      <w:rPr>
        <w:rFonts w:hint="default"/>
        <w:lang w:val="en-US" w:eastAsia="en-US" w:bidi="ar-SA"/>
      </w:rPr>
    </w:lvl>
    <w:lvl w:ilvl="4" w:tplc="8806E3C6">
      <w:numFmt w:val="bullet"/>
      <w:lvlText w:val="•"/>
      <w:lvlJc w:val="left"/>
      <w:pPr>
        <w:ind w:left="4873" w:hanging="360"/>
      </w:pPr>
      <w:rPr>
        <w:rFonts w:hint="default"/>
        <w:lang w:val="en-US" w:eastAsia="en-US" w:bidi="ar-SA"/>
      </w:rPr>
    </w:lvl>
    <w:lvl w:ilvl="5" w:tplc="B25E6A46">
      <w:numFmt w:val="bullet"/>
      <w:lvlText w:val="•"/>
      <w:lvlJc w:val="left"/>
      <w:pPr>
        <w:ind w:left="5711" w:hanging="360"/>
      </w:pPr>
      <w:rPr>
        <w:rFonts w:hint="default"/>
        <w:lang w:val="en-US" w:eastAsia="en-US" w:bidi="ar-SA"/>
      </w:rPr>
    </w:lvl>
    <w:lvl w:ilvl="6" w:tplc="6532C7C6">
      <w:numFmt w:val="bullet"/>
      <w:lvlText w:val="•"/>
      <w:lvlJc w:val="left"/>
      <w:pPr>
        <w:ind w:left="6548" w:hanging="360"/>
      </w:pPr>
      <w:rPr>
        <w:rFonts w:hint="default"/>
        <w:lang w:val="en-US" w:eastAsia="en-US" w:bidi="ar-SA"/>
      </w:rPr>
    </w:lvl>
    <w:lvl w:ilvl="7" w:tplc="8AF6693E">
      <w:numFmt w:val="bullet"/>
      <w:lvlText w:val="•"/>
      <w:lvlJc w:val="left"/>
      <w:pPr>
        <w:ind w:left="7386" w:hanging="360"/>
      </w:pPr>
      <w:rPr>
        <w:rFonts w:hint="default"/>
        <w:lang w:val="en-US" w:eastAsia="en-US" w:bidi="ar-SA"/>
      </w:rPr>
    </w:lvl>
    <w:lvl w:ilvl="8" w:tplc="D9E6E3C4">
      <w:numFmt w:val="bullet"/>
      <w:lvlText w:val="•"/>
      <w:lvlJc w:val="left"/>
      <w:pPr>
        <w:ind w:left="8224" w:hanging="360"/>
      </w:pPr>
      <w:rPr>
        <w:rFonts w:hint="default"/>
        <w:lang w:val="en-US" w:eastAsia="en-US" w:bidi="ar-SA"/>
      </w:rPr>
    </w:lvl>
  </w:abstractNum>
  <w:abstractNum w:abstractNumId="199" w15:restartNumberingAfterBreak="0">
    <w:nsid w:val="743A1D0A"/>
    <w:multiLevelType w:val="hybridMultilevel"/>
    <w:tmpl w:val="8EBC3E6C"/>
    <w:lvl w:ilvl="0" w:tplc="3D74D7D6">
      <w:start w:val="4"/>
      <w:numFmt w:val="decimal"/>
      <w:lvlText w:val="%1)"/>
      <w:lvlJc w:val="left"/>
      <w:pPr>
        <w:ind w:left="711" w:hanging="486"/>
      </w:pPr>
      <w:rPr>
        <w:rFonts w:ascii="Arial" w:eastAsia="Arial" w:hAnsi="Arial" w:cs="Arial" w:hint="default"/>
        <w:b w:val="0"/>
        <w:bCs w:val="0"/>
        <w:i w:val="0"/>
        <w:iCs w:val="0"/>
        <w:spacing w:val="0"/>
        <w:w w:val="99"/>
        <w:sz w:val="22"/>
        <w:szCs w:val="22"/>
        <w:lang w:val="en-US" w:eastAsia="en-US" w:bidi="ar-SA"/>
      </w:rPr>
    </w:lvl>
    <w:lvl w:ilvl="1" w:tplc="A94071AE">
      <w:numFmt w:val="bullet"/>
      <w:lvlText w:val=""/>
      <w:lvlJc w:val="left"/>
      <w:pPr>
        <w:ind w:left="1172" w:hanging="360"/>
      </w:pPr>
      <w:rPr>
        <w:rFonts w:ascii="Symbol" w:eastAsia="Symbol" w:hAnsi="Symbol" w:cs="Symbol" w:hint="default"/>
        <w:b w:val="0"/>
        <w:bCs w:val="0"/>
        <w:i w:val="0"/>
        <w:iCs w:val="0"/>
        <w:spacing w:val="0"/>
        <w:w w:val="99"/>
        <w:sz w:val="22"/>
        <w:szCs w:val="22"/>
        <w:lang w:val="en-US" w:eastAsia="en-US" w:bidi="ar-SA"/>
      </w:rPr>
    </w:lvl>
    <w:lvl w:ilvl="2" w:tplc="A476C0D4">
      <w:numFmt w:val="bullet"/>
      <w:lvlText w:val="•"/>
      <w:lvlJc w:val="left"/>
      <w:pPr>
        <w:ind w:left="1792" w:hanging="360"/>
      </w:pPr>
      <w:rPr>
        <w:rFonts w:hint="default"/>
        <w:lang w:val="en-US" w:eastAsia="en-US" w:bidi="ar-SA"/>
      </w:rPr>
    </w:lvl>
    <w:lvl w:ilvl="3" w:tplc="2D6E5E66">
      <w:numFmt w:val="bullet"/>
      <w:lvlText w:val="•"/>
      <w:lvlJc w:val="left"/>
      <w:pPr>
        <w:ind w:left="2404" w:hanging="360"/>
      </w:pPr>
      <w:rPr>
        <w:rFonts w:hint="default"/>
        <w:lang w:val="en-US" w:eastAsia="en-US" w:bidi="ar-SA"/>
      </w:rPr>
    </w:lvl>
    <w:lvl w:ilvl="4" w:tplc="0CB26C26">
      <w:numFmt w:val="bullet"/>
      <w:lvlText w:val="•"/>
      <w:lvlJc w:val="left"/>
      <w:pPr>
        <w:ind w:left="3017" w:hanging="360"/>
      </w:pPr>
      <w:rPr>
        <w:rFonts w:hint="default"/>
        <w:lang w:val="en-US" w:eastAsia="en-US" w:bidi="ar-SA"/>
      </w:rPr>
    </w:lvl>
    <w:lvl w:ilvl="5" w:tplc="785E1694">
      <w:numFmt w:val="bullet"/>
      <w:lvlText w:val="•"/>
      <w:lvlJc w:val="left"/>
      <w:pPr>
        <w:ind w:left="3629" w:hanging="360"/>
      </w:pPr>
      <w:rPr>
        <w:rFonts w:hint="default"/>
        <w:lang w:val="en-US" w:eastAsia="en-US" w:bidi="ar-SA"/>
      </w:rPr>
    </w:lvl>
    <w:lvl w:ilvl="6" w:tplc="91747972">
      <w:numFmt w:val="bullet"/>
      <w:lvlText w:val="•"/>
      <w:lvlJc w:val="left"/>
      <w:pPr>
        <w:ind w:left="4241" w:hanging="360"/>
      </w:pPr>
      <w:rPr>
        <w:rFonts w:hint="default"/>
        <w:lang w:val="en-US" w:eastAsia="en-US" w:bidi="ar-SA"/>
      </w:rPr>
    </w:lvl>
    <w:lvl w:ilvl="7" w:tplc="8F38FFDE">
      <w:numFmt w:val="bullet"/>
      <w:lvlText w:val="•"/>
      <w:lvlJc w:val="left"/>
      <w:pPr>
        <w:ind w:left="4854" w:hanging="360"/>
      </w:pPr>
      <w:rPr>
        <w:rFonts w:hint="default"/>
        <w:lang w:val="en-US" w:eastAsia="en-US" w:bidi="ar-SA"/>
      </w:rPr>
    </w:lvl>
    <w:lvl w:ilvl="8" w:tplc="A300C83A">
      <w:numFmt w:val="bullet"/>
      <w:lvlText w:val="•"/>
      <w:lvlJc w:val="left"/>
      <w:pPr>
        <w:ind w:left="5466" w:hanging="360"/>
      </w:pPr>
      <w:rPr>
        <w:rFonts w:hint="default"/>
        <w:lang w:val="en-US" w:eastAsia="en-US" w:bidi="ar-SA"/>
      </w:rPr>
    </w:lvl>
  </w:abstractNum>
  <w:abstractNum w:abstractNumId="200" w15:restartNumberingAfterBreak="0">
    <w:nsid w:val="74441311"/>
    <w:multiLevelType w:val="hybridMultilevel"/>
    <w:tmpl w:val="49CCA13E"/>
    <w:lvl w:ilvl="0" w:tplc="4DD8BDB8">
      <w:start w:val="3"/>
      <w:numFmt w:val="decimal"/>
      <w:lvlText w:val="%1."/>
      <w:lvlJc w:val="left"/>
      <w:pPr>
        <w:ind w:left="555" w:hanging="432"/>
      </w:pPr>
      <w:rPr>
        <w:rFonts w:ascii="Arial" w:eastAsia="Arial" w:hAnsi="Arial" w:cs="Arial" w:hint="default"/>
        <w:b w:val="0"/>
        <w:bCs w:val="0"/>
        <w:i w:val="0"/>
        <w:iCs w:val="0"/>
        <w:spacing w:val="0"/>
        <w:w w:val="99"/>
        <w:sz w:val="22"/>
        <w:szCs w:val="22"/>
        <w:lang w:val="en-US" w:eastAsia="en-US" w:bidi="ar-SA"/>
      </w:rPr>
    </w:lvl>
    <w:lvl w:ilvl="1" w:tplc="AC3ACC16">
      <w:numFmt w:val="bullet"/>
      <w:lvlText w:val=""/>
      <w:lvlJc w:val="left"/>
      <w:pPr>
        <w:ind w:left="915" w:hanging="360"/>
      </w:pPr>
      <w:rPr>
        <w:rFonts w:ascii="Symbol" w:eastAsia="Symbol" w:hAnsi="Symbol" w:cs="Symbol" w:hint="default"/>
        <w:b w:val="0"/>
        <w:bCs w:val="0"/>
        <w:i w:val="0"/>
        <w:iCs w:val="0"/>
        <w:spacing w:val="0"/>
        <w:w w:val="99"/>
        <w:sz w:val="22"/>
        <w:szCs w:val="22"/>
        <w:lang w:val="en-US" w:eastAsia="en-US" w:bidi="ar-SA"/>
      </w:rPr>
    </w:lvl>
    <w:lvl w:ilvl="2" w:tplc="DD96400C">
      <w:numFmt w:val="bullet"/>
      <w:lvlText w:val="•"/>
      <w:lvlJc w:val="left"/>
      <w:pPr>
        <w:ind w:left="1546" w:hanging="360"/>
      </w:pPr>
      <w:rPr>
        <w:rFonts w:hint="default"/>
        <w:lang w:val="en-US" w:eastAsia="en-US" w:bidi="ar-SA"/>
      </w:rPr>
    </w:lvl>
    <w:lvl w:ilvl="3" w:tplc="97EA983A">
      <w:numFmt w:val="bullet"/>
      <w:lvlText w:val="•"/>
      <w:lvlJc w:val="left"/>
      <w:pPr>
        <w:ind w:left="2173" w:hanging="360"/>
      </w:pPr>
      <w:rPr>
        <w:rFonts w:hint="default"/>
        <w:lang w:val="en-US" w:eastAsia="en-US" w:bidi="ar-SA"/>
      </w:rPr>
    </w:lvl>
    <w:lvl w:ilvl="4" w:tplc="6D560B0C">
      <w:numFmt w:val="bullet"/>
      <w:lvlText w:val="•"/>
      <w:lvlJc w:val="left"/>
      <w:pPr>
        <w:ind w:left="2800" w:hanging="360"/>
      </w:pPr>
      <w:rPr>
        <w:rFonts w:hint="default"/>
        <w:lang w:val="en-US" w:eastAsia="en-US" w:bidi="ar-SA"/>
      </w:rPr>
    </w:lvl>
    <w:lvl w:ilvl="5" w:tplc="3DA08DAA">
      <w:numFmt w:val="bullet"/>
      <w:lvlText w:val="•"/>
      <w:lvlJc w:val="left"/>
      <w:pPr>
        <w:ind w:left="3426" w:hanging="360"/>
      </w:pPr>
      <w:rPr>
        <w:rFonts w:hint="default"/>
        <w:lang w:val="en-US" w:eastAsia="en-US" w:bidi="ar-SA"/>
      </w:rPr>
    </w:lvl>
    <w:lvl w:ilvl="6" w:tplc="38E40A02">
      <w:numFmt w:val="bullet"/>
      <w:lvlText w:val="•"/>
      <w:lvlJc w:val="left"/>
      <w:pPr>
        <w:ind w:left="4053" w:hanging="360"/>
      </w:pPr>
      <w:rPr>
        <w:rFonts w:hint="default"/>
        <w:lang w:val="en-US" w:eastAsia="en-US" w:bidi="ar-SA"/>
      </w:rPr>
    </w:lvl>
    <w:lvl w:ilvl="7" w:tplc="6D2A3F46">
      <w:numFmt w:val="bullet"/>
      <w:lvlText w:val="•"/>
      <w:lvlJc w:val="left"/>
      <w:pPr>
        <w:ind w:left="4680" w:hanging="360"/>
      </w:pPr>
      <w:rPr>
        <w:rFonts w:hint="default"/>
        <w:lang w:val="en-US" w:eastAsia="en-US" w:bidi="ar-SA"/>
      </w:rPr>
    </w:lvl>
    <w:lvl w:ilvl="8" w:tplc="D344843A">
      <w:numFmt w:val="bullet"/>
      <w:lvlText w:val="•"/>
      <w:lvlJc w:val="left"/>
      <w:pPr>
        <w:ind w:left="5306" w:hanging="360"/>
      </w:pPr>
      <w:rPr>
        <w:rFonts w:hint="default"/>
        <w:lang w:val="en-US" w:eastAsia="en-US" w:bidi="ar-SA"/>
      </w:rPr>
    </w:lvl>
  </w:abstractNum>
  <w:abstractNum w:abstractNumId="201" w15:restartNumberingAfterBreak="0">
    <w:nsid w:val="747208AF"/>
    <w:multiLevelType w:val="hybridMultilevel"/>
    <w:tmpl w:val="C68473CE"/>
    <w:lvl w:ilvl="0" w:tplc="260011B2">
      <w:start w:val="13"/>
      <w:numFmt w:val="decimal"/>
      <w:lvlText w:val="%1)"/>
      <w:lvlJc w:val="left"/>
      <w:pPr>
        <w:ind w:left="684" w:hanging="577"/>
      </w:pPr>
      <w:rPr>
        <w:rFonts w:ascii="Arial" w:eastAsia="Arial" w:hAnsi="Arial" w:cs="Arial" w:hint="default"/>
        <w:b w:val="0"/>
        <w:bCs w:val="0"/>
        <w:i w:val="0"/>
        <w:iCs w:val="0"/>
        <w:spacing w:val="0"/>
        <w:w w:val="99"/>
        <w:sz w:val="22"/>
        <w:szCs w:val="22"/>
        <w:lang w:val="en-US" w:eastAsia="en-US" w:bidi="ar-SA"/>
      </w:rPr>
    </w:lvl>
    <w:lvl w:ilvl="1" w:tplc="19149AA4">
      <w:numFmt w:val="bullet"/>
      <w:lvlText w:val="•"/>
      <w:lvlJc w:val="left"/>
      <w:pPr>
        <w:ind w:left="1304" w:hanging="577"/>
      </w:pPr>
      <w:rPr>
        <w:rFonts w:hint="default"/>
        <w:lang w:val="en-US" w:eastAsia="en-US" w:bidi="ar-SA"/>
      </w:rPr>
    </w:lvl>
    <w:lvl w:ilvl="2" w:tplc="28AA4600">
      <w:numFmt w:val="bullet"/>
      <w:lvlText w:val="•"/>
      <w:lvlJc w:val="left"/>
      <w:pPr>
        <w:ind w:left="1928" w:hanging="577"/>
      </w:pPr>
      <w:rPr>
        <w:rFonts w:hint="default"/>
        <w:lang w:val="en-US" w:eastAsia="en-US" w:bidi="ar-SA"/>
      </w:rPr>
    </w:lvl>
    <w:lvl w:ilvl="3" w:tplc="C38EB2F2">
      <w:numFmt w:val="bullet"/>
      <w:lvlText w:val="•"/>
      <w:lvlJc w:val="left"/>
      <w:pPr>
        <w:ind w:left="2552" w:hanging="577"/>
      </w:pPr>
      <w:rPr>
        <w:rFonts w:hint="default"/>
        <w:lang w:val="en-US" w:eastAsia="en-US" w:bidi="ar-SA"/>
      </w:rPr>
    </w:lvl>
    <w:lvl w:ilvl="4" w:tplc="7B1C48C4">
      <w:numFmt w:val="bullet"/>
      <w:lvlText w:val="•"/>
      <w:lvlJc w:val="left"/>
      <w:pPr>
        <w:ind w:left="3176" w:hanging="577"/>
      </w:pPr>
      <w:rPr>
        <w:rFonts w:hint="default"/>
        <w:lang w:val="en-US" w:eastAsia="en-US" w:bidi="ar-SA"/>
      </w:rPr>
    </w:lvl>
    <w:lvl w:ilvl="5" w:tplc="D86EAC44">
      <w:numFmt w:val="bullet"/>
      <w:lvlText w:val="•"/>
      <w:lvlJc w:val="left"/>
      <w:pPr>
        <w:ind w:left="3800" w:hanging="577"/>
      </w:pPr>
      <w:rPr>
        <w:rFonts w:hint="default"/>
        <w:lang w:val="en-US" w:eastAsia="en-US" w:bidi="ar-SA"/>
      </w:rPr>
    </w:lvl>
    <w:lvl w:ilvl="6" w:tplc="31AC1852">
      <w:numFmt w:val="bullet"/>
      <w:lvlText w:val="•"/>
      <w:lvlJc w:val="left"/>
      <w:pPr>
        <w:ind w:left="4424" w:hanging="577"/>
      </w:pPr>
      <w:rPr>
        <w:rFonts w:hint="default"/>
        <w:lang w:val="en-US" w:eastAsia="en-US" w:bidi="ar-SA"/>
      </w:rPr>
    </w:lvl>
    <w:lvl w:ilvl="7" w:tplc="5808824C">
      <w:numFmt w:val="bullet"/>
      <w:lvlText w:val="•"/>
      <w:lvlJc w:val="left"/>
      <w:pPr>
        <w:ind w:left="5048" w:hanging="577"/>
      </w:pPr>
      <w:rPr>
        <w:rFonts w:hint="default"/>
        <w:lang w:val="en-US" w:eastAsia="en-US" w:bidi="ar-SA"/>
      </w:rPr>
    </w:lvl>
    <w:lvl w:ilvl="8" w:tplc="3CC0FA64">
      <w:numFmt w:val="bullet"/>
      <w:lvlText w:val="•"/>
      <w:lvlJc w:val="left"/>
      <w:pPr>
        <w:ind w:left="5672" w:hanging="577"/>
      </w:pPr>
      <w:rPr>
        <w:rFonts w:hint="default"/>
        <w:lang w:val="en-US" w:eastAsia="en-US" w:bidi="ar-SA"/>
      </w:rPr>
    </w:lvl>
  </w:abstractNum>
  <w:abstractNum w:abstractNumId="202" w15:restartNumberingAfterBreak="0">
    <w:nsid w:val="74D55721"/>
    <w:multiLevelType w:val="hybridMultilevel"/>
    <w:tmpl w:val="95B4C236"/>
    <w:lvl w:ilvl="0" w:tplc="3998DF72">
      <w:start w:val="1"/>
      <w:numFmt w:val="decimal"/>
      <w:lvlText w:val="%1)"/>
      <w:lvlJc w:val="left"/>
      <w:pPr>
        <w:ind w:left="683" w:hanging="577"/>
      </w:pPr>
      <w:rPr>
        <w:rFonts w:ascii="Arial" w:eastAsia="Arial" w:hAnsi="Arial" w:cs="Arial" w:hint="default"/>
        <w:b w:val="0"/>
        <w:bCs w:val="0"/>
        <w:i w:val="0"/>
        <w:iCs w:val="0"/>
        <w:spacing w:val="0"/>
        <w:w w:val="99"/>
        <w:sz w:val="22"/>
        <w:szCs w:val="22"/>
        <w:lang w:val="en-US" w:eastAsia="en-US" w:bidi="ar-SA"/>
      </w:rPr>
    </w:lvl>
    <w:lvl w:ilvl="1" w:tplc="D3FE448A">
      <w:numFmt w:val="bullet"/>
      <w:lvlText w:val="•"/>
      <w:lvlJc w:val="left"/>
      <w:pPr>
        <w:ind w:left="1304" w:hanging="577"/>
      </w:pPr>
      <w:rPr>
        <w:rFonts w:hint="default"/>
        <w:lang w:val="en-US" w:eastAsia="en-US" w:bidi="ar-SA"/>
      </w:rPr>
    </w:lvl>
    <w:lvl w:ilvl="2" w:tplc="E6A85DFC">
      <w:numFmt w:val="bullet"/>
      <w:lvlText w:val="•"/>
      <w:lvlJc w:val="left"/>
      <w:pPr>
        <w:ind w:left="1928" w:hanging="577"/>
      </w:pPr>
      <w:rPr>
        <w:rFonts w:hint="default"/>
        <w:lang w:val="en-US" w:eastAsia="en-US" w:bidi="ar-SA"/>
      </w:rPr>
    </w:lvl>
    <w:lvl w:ilvl="3" w:tplc="FC0AA3E0">
      <w:numFmt w:val="bullet"/>
      <w:lvlText w:val="•"/>
      <w:lvlJc w:val="left"/>
      <w:pPr>
        <w:ind w:left="2552" w:hanging="577"/>
      </w:pPr>
      <w:rPr>
        <w:rFonts w:hint="default"/>
        <w:lang w:val="en-US" w:eastAsia="en-US" w:bidi="ar-SA"/>
      </w:rPr>
    </w:lvl>
    <w:lvl w:ilvl="4" w:tplc="4AB2DD50">
      <w:numFmt w:val="bullet"/>
      <w:lvlText w:val="•"/>
      <w:lvlJc w:val="left"/>
      <w:pPr>
        <w:ind w:left="3176" w:hanging="577"/>
      </w:pPr>
      <w:rPr>
        <w:rFonts w:hint="default"/>
        <w:lang w:val="en-US" w:eastAsia="en-US" w:bidi="ar-SA"/>
      </w:rPr>
    </w:lvl>
    <w:lvl w:ilvl="5" w:tplc="0270E9E2">
      <w:numFmt w:val="bullet"/>
      <w:lvlText w:val="•"/>
      <w:lvlJc w:val="left"/>
      <w:pPr>
        <w:ind w:left="3800" w:hanging="577"/>
      </w:pPr>
      <w:rPr>
        <w:rFonts w:hint="default"/>
        <w:lang w:val="en-US" w:eastAsia="en-US" w:bidi="ar-SA"/>
      </w:rPr>
    </w:lvl>
    <w:lvl w:ilvl="6" w:tplc="0BD8AE5C">
      <w:numFmt w:val="bullet"/>
      <w:lvlText w:val="•"/>
      <w:lvlJc w:val="left"/>
      <w:pPr>
        <w:ind w:left="4424" w:hanging="577"/>
      </w:pPr>
      <w:rPr>
        <w:rFonts w:hint="default"/>
        <w:lang w:val="en-US" w:eastAsia="en-US" w:bidi="ar-SA"/>
      </w:rPr>
    </w:lvl>
    <w:lvl w:ilvl="7" w:tplc="76DEA200">
      <w:numFmt w:val="bullet"/>
      <w:lvlText w:val="•"/>
      <w:lvlJc w:val="left"/>
      <w:pPr>
        <w:ind w:left="5048" w:hanging="577"/>
      </w:pPr>
      <w:rPr>
        <w:rFonts w:hint="default"/>
        <w:lang w:val="en-US" w:eastAsia="en-US" w:bidi="ar-SA"/>
      </w:rPr>
    </w:lvl>
    <w:lvl w:ilvl="8" w:tplc="8C02A35C">
      <w:numFmt w:val="bullet"/>
      <w:lvlText w:val="•"/>
      <w:lvlJc w:val="left"/>
      <w:pPr>
        <w:ind w:left="5672" w:hanging="577"/>
      </w:pPr>
      <w:rPr>
        <w:rFonts w:hint="default"/>
        <w:lang w:val="en-US" w:eastAsia="en-US" w:bidi="ar-SA"/>
      </w:rPr>
    </w:lvl>
  </w:abstractNum>
  <w:abstractNum w:abstractNumId="203" w15:restartNumberingAfterBreak="0">
    <w:nsid w:val="74F52890"/>
    <w:multiLevelType w:val="hybridMultilevel"/>
    <w:tmpl w:val="90D6E00C"/>
    <w:lvl w:ilvl="0" w:tplc="B27851C8">
      <w:start w:val="1"/>
      <w:numFmt w:val="lowerLetter"/>
      <w:lvlText w:val="%1."/>
      <w:lvlJc w:val="left"/>
      <w:pPr>
        <w:ind w:left="1999" w:hanging="360"/>
      </w:pPr>
      <w:rPr>
        <w:rFonts w:ascii="Arial" w:eastAsia="Arial" w:hAnsi="Arial" w:cs="Arial" w:hint="default"/>
        <w:b w:val="0"/>
        <w:bCs w:val="0"/>
        <w:i w:val="0"/>
        <w:iCs w:val="0"/>
        <w:spacing w:val="0"/>
        <w:w w:val="99"/>
        <w:sz w:val="22"/>
        <w:szCs w:val="22"/>
        <w:lang w:val="en-US" w:eastAsia="en-US" w:bidi="ar-SA"/>
      </w:rPr>
    </w:lvl>
    <w:lvl w:ilvl="1" w:tplc="C5142758">
      <w:numFmt w:val="bullet"/>
      <w:lvlText w:val="•"/>
      <w:lvlJc w:val="left"/>
      <w:pPr>
        <w:ind w:left="2790" w:hanging="360"/>
      </w:pPr>
      <w:rPr>
        <w:rFonts w:hint="default"/>
        <w:lang w:val="en-US" w:eastAsia="en-US" w:bidi="ar-SA"/>
      </w:rPr>
    </w:lvl>
    <w:lvl w:ilvl="2" w:tplc="A58EC4C4">
      <w:numFmt w:val="bullet"/>
      <w:lvlText w:val="•"/>
      <w:lvlJc w:val="left"/>
      <w:pPr>
        <w:ind w:left="3580" w:hanging="360"/>
      </w:pPr>
      <w:rPr>
        <w:rFonts w:hint="default"/>
        <w:lang w:val="en-US" w:eastAsia="en-US" w:bidi="ar-SA"/>
      </w:rPr>
    </w:lvl>
    <w:lvl w:ilvl="3" w:tplc="3BBE462E">
      <w:numFmt w:val="bullet"/>
      <w:lvlText w:val="•"/>
      <w:lvlJc w:val="left"/>
      <w:pPr>
        <w:ind w:left="4370" w:hanging="360"/>
      </w:pPr>
      <w:rPr>
        <w:rFonts w:hint="default"/>
        <w:lang w:val="en-US" w:eastAsia="en-US" w:bidi="ar-SA"/>
      </w:rPr>
    </w:lvl>
    <w:lvl w:ilvl="4" w:tplc="ABE6115C">
      <w:numFmt w:val="bullet"/>
      <w:lvlText w:val="•"/>
      <w:lvlJc w:val="left"/>
      <w:pPr>
        <w:ind w:left="5160" w:hanging="360"/>
      </w:pPr>
      <w:rPr>
        <w:rFonts w:hint="default"/>
        <w:lang w:val="en-US" w:eastAsia="en-US" w:bidi="ar-SA"/>
      </w:rPr>
    </w:lvl>
    <w:lvl w:ilvl="5" w:tplc="52AE2E4A">
      <w:numFmt w:val="bullet"/>
      <w:lvlText w:val="•"/>
      <w:lvlJc w:val="left"/>
      <w:pPr>
        <w:ind w:left="5950" w:hanging="360"/>
      </w:pPr>
      <w:rPr>
        <w:rFonts w:hint="default"/>
        <w:lang w:val="en-US" w:eastAsia="en-US" w:bidi="ar-SA"/>
      </w:rPr>
    </w:lvl>
    <w:lvl w:ilvl="6" w:tplc="45B6D9EC">
      <w:numFmt w:val="bullet"/>
      <w:lvlText w:val="•"/>
      <w:lvlJc w:val="left"/>
      <w:pPr>
        <w:ind w:left="6740" w:hanging="360"/>
      </w:pPr>
      <w:rPr>
        <w:rFonts w:hint="default"/>
        <w:lang w:val="en-US" w:eastAsia="en-US" w:bidi="ar-SA"/>
      </w:rPr>
    </w:lvl>
    <w:lvl w:ilvl="7" w:tplc="DEB0B9D2">
      <w:numFmt w:val="bullet"/>
      <w:lvlText w:val="•"/>
      <w:lvlJc w:val="left"/>
      <w:pPr>
        <w:ind w:left="7530" w:hanging="360"/>
      </w:pPr>
      <w:rPr>
        <w:rFonts w:hint="default"/>
        <w:lang w:val="en-US" w:eastAsia="en-US" w:bidi="ar-SA"/>
      </w:rPr>
    </w:lvl>
    <w:lvl w:ilvl="8" w:tplc="44C827A0">
      <w:numFmt w:val="bullet"/>
      <w:lvlText w:val="•"/>
      <w:lvlJc w:val="left"/>
      <w:pPr>
        <w:ind w:left="8320" w:hanging="360"/>
      </w:pPr>
      <w:rPr>
        <w:rFonts w:hint="default"/>
        <w:lang w:val="en-US" w:eastAsia="en-US" w:bidi="ar-SA"/>
      </w:rPr>
    </w:lvl>
  </w:abstractNum>
  <w:abstractNum w:abstractNumId="204" w15:restartNumberingAfterBreak="0">
    <w:nsid w:val="755B7974"/>
    <w:multiLevelType w:val="hybridMultilevel"/>
    <w:tmpl w:val="46440770"/>
    <w:lvl w:ilvl="0" w:tplc="C1B24712">
      <w:start w:val="4"/>
      <w:numFmt w:val="decimal"/>
      <w:lvlText w:val="%1)"/>
      <w:lvlJc w:val="left"/>
      <w:pPr>
        <w:ind w:left="812" w:hanging="504"/>
      </w:pPr>
      <w:rPr>
        <w:rFonts w:ascii="Arial" w:eastAsia="Arial" w:hAnsi="Arial" w:cs="Arial" w:hint="default"/>
        <w:b w:val="0"/>
        <w:bCs w:val="0"/>
        <w:i w:val="0"/>
        <w:iCs w:val="0"/>
        <w:spacing w:val="0"/>
        <w:w w:val="99"/>
        <w:sz w:val="22"/>
        <w:szCs w:val="22"/>
        <w:lang w:val="en-US" w:eastAsia="en-US" w:bidi="ar-SA"/>
      </w:rPr>
    </w:lvl>
    <w:lvl w:ilvl="1" w:tplc="0CBABA82">
      <w:start w:val="1"/>
      <w:numFmt w:val="lowerLetter"/>
      <w:lvlText w:val="%2)"/>
      <w:lvlJc w:val="left"/>
      <w:pPr>
        <w:ind w:left="1244" w:hanging="397"/>
      </w:pPr>
      <w:rPr>
        <w:rFonts w:ascii="Arial" w:eastAsia="Arial" w:hAnsi="Arial" w:cs="Arial" w:hint="default"/>
        <w:b w:val="0"/>
        <w:bCs w:val="0"/>
        <w:i w:val="0"/>
        <w:iCs w:val="0"/>
        <w:spacing w:val="0"/>
        <w:w w:val="99"/>
        <w:sz w:val="22"/>
        <w:szCs w:val="22"/>
        <w:lang w:val="en-US" w:eastAsia="en-US" w:bidi="ar-SA"/>
      </w:rPr>
    </w:lvl>
    <w:lvl w:ilvl="2" w:tplc="BC20CF74">
      <w:start w:val="1"/>
      <w:numFmt w:val="lowerRoman"/>
      <w:lvlText w:val="%3."/>
      <w:lvlJc w:val="left"/>
      <w:pPr>
        <w:ind w:left="1562" w:hanging="381"/>
      </w:pPr>
      <w:rPr>
        <w:rFonts w:ascii="Arial" w:eastAsia="Arial" w:hAnsi="Arial" w:cs="Arial" w:hint="default"/>
        <w:b w:val="0"/>
        <w:bCs w:val="0"/>
        <w:i w:val="0"/>
        <w:iCs w:val="0"/>
        <w:spacing w:val="0"/>
        <w:w w:val="99"/>
        <w:sz w:val="22"/>
        <w:szCs w:val="22"/>
        <w:lang w:val="en-US" w:eastAsia="en-US" w:bidi="ar-SA"/>
      </w:rPr>
    </w:lvl>
    <w:lvl w:ilvl="3" w:tplc="299A48F8">
      <w:numFmt w:val="bullet"/>
      <w:lvlText w:val="•"/>
      <w:lvlJc w:val="left"/>
      <w:pPr>
        <w:ind w:left="2198" w:hanging="381"/>
      </w:pPr>
      <w:rPr>
        <w:rFonts w:hint="default"/>
        <w:lang w:val="en-US" w:eastAsia="en-US" w:bidi="ar-SA"/>
      </w:rPr>
    </w:lvl>
    <w:lvl w:ilvl="4" w:tplc="DB4A59E2">
      <w:numFmt w:val="bullet"/>
      <w:lvlText w:val="•"/>
      <w:lvlJc w:val="left"/>
      <w:pPr>
        <w:ind w:left="2837" w:hanging="381"/>
      </w:pPr>
      <w:rPr>
        <w:rFonts w:hint="default"/>
        <w:lang w:val="en-US" w:eastAsia="en-US" w:bidi="ar-SA"/>
      </w:rPr>
    </w:lvl>
    <w:lvl w:ilvl="5" w:tplc="8D38179A">
      <w:numFmt w:val="bullet"/>
      <w:lvlText w:val="•"/>
      <w:lvlJc w:val="left"/>
      <w:pPr>
        <w:ind w:left="3475" w:hanging="381"/>
      </w:pPr>
      <w:rPr>
        <w:rFonts w:hint="default"/>
        <w:lang w:val="en-US" w:eastAsia="en-US" w:bidi="ar-SA"/>
      </w:rPr>
    </w:lvl>
    <w:lvl w:ilvl="6" w:tplc="B78C0AFA">
      <w:numFmt w:val="bullet"/>
      <w:lvlText w:val="•"/>
      <w:lvlJc w:val="left"/>
      <w:pPr>
        <w:ind w:left="4114" w:hanging="381"/>
      </w:pPr>
      <w:rPr>
        <w:rFonts w:hint="default"/>
        <w:lang w:val="en-US" w:eastAsia="en-US" w:bidi="ar-SA"/>
      </w:rPr>
    </w:lvl>
    <w:lvl w:ilvl="7" w:tplc="542CB6F0">
      <w:numFmt w:val="bullet"/>
      <w:lvlText w:val="•"/>
      <w:lvlJc w:val="left"/>
      <w:pPr>
        <w:ind w:left="4752" w:hanging="381"/>
      </w:pPr>
      <w:rPr>
        <w:rFonts w:hint="default"/>
        <w:lang w:val="en-US" w:eastAsia="en-US" w:bidi="ar-SA"/>
      </w:rPr>
    </w:lvl>
    <w:lvl w:ilvl="8" w:tplc="961AF42A">
      <w:numFmt w:val="bullet"/>
      <w:lvlText w:val="•"/>
      <w:lvlJc w:val="left"/>
      <w:pPr>
        <w:ind w:left="5391" w:hanging="381"/>
      </w:pPr>
      <w:rPr>
        <w:rFonts w:hint="default"/>
        <w:lang w:val="en-US" w:eastAsia="en-US" w:bidi="ar-SA"/>
      </w:rPr>
    </w:lvl>
  </w:abstractNum>
  <w:abstractNum w:abstractNumId="205" w15:restartNumberingAfterBreak="0">
    <w:nsid w:val="75D00A12"/>
    <w:multiLevelType w:val="hybridMultilevel"/>
    <w:tmpl w:val="18D29CB6"/>
    <w:lvl w:ilvl="0" w:tplc="87E877AC">
      <w:start w:val="1"/>
      <w:numFmt w:val="decimal"/>
      <w:lvlText w:val="%1)"/>
      <w:lvlJc w:val="left"/>
      <w:pPr>
        <w:ind w:left="683" w:hanging="577"/>
      </w:pPr>
      <w:rPr>
        <w:rFonts w:ascii="Arial" w:eastAsia="Arial" w:hAnsi="Arial" w:cs="Arial" w:hint="default"/>
        <w:b w:val="0"/>
        <w:bCs w:val="0"/>
        <w:i w:val="0"/>
        <w:iCs w:val="0"/>
        <w:spacing w:val="0"/>
        <w:w w:val="99"/>
        <w:sz w:val="22"/>
        <w:szCs w:val="22"/>
        <w:lang w:val="en-US" w:eastAsia="en-US" w:bidi="ar-SA"/>
      </w:rPr>
    </w:lvl>
    <w:lvl w:ilvl="1" w:tplc="883A8F7A">
      <w:start w:val="1"/>
      <w:numFmt w:val="lowerLetter"/>
      <w:lvlText w:val="%2)"/>
      <w:lvlJc w:val="left"/>
      <w:pPr>
        <w:ind w:left="1259" w:hanging="577"/>
      </w:pPr>
      <w:rPr>
        <w:rFonts w:ascii="Arial" w:eastAsia="Arial" w:hAnsi="Arial" w:cs="Arial" w:hint="default"/>
        <w:b w:val="0"/>
        <w:bCs w:val="0"/>
        <w:i w:val="0"/>
        <w:iCs w:val="0"/>
        <w:spacing w:val="0"/>
        <w:w w:val="99"/>
        <w:sz w:val="22"/>
        <w:szCs w:val="22"/>
        <w:lang w:val="en-US" w:eastAsia="en-US" w:bidi="ar-SA"/>
      </w:rPr>
    </w:lvl>
    <w:lvl w:ilvl="2" w:tplc="CCE8773A">
      <w:numFmt w:val="bullet"/>
      <w:lvlText w:val="•"/>
      <w:lvlJc w:val="left"/>
      <w:pPr>
        <w:ind w:left="1888" w:hanging="577"/>
      </w:pPr>
      <w:rPr>
        <w:rFonts w:hint="default"/>
        <w:lang w:val="en-US" w:eastAsia="en-US" w:bidi="ar-SA"/>
      </w:rPr>
    </w:lvl>
    <w:lvl w:ilvl="3" w:tplc="4AC494F8">
      <w:numFmt w:val="bullet"/>
      <w:lvlText w:val="•"/>
      <w:lvlJc w:val="left"/>
      <w:pPr>
        <w:ind w:left="2517" w:hanging="577"/>
      </w:pPr>
      <w:rPr>
        <w:rFonts w:hint="default"/>
        <w:lang w:val="en-US" w:eastAsia="en-US" w:bidi="ar-SA"/>
      </w:rPr>
    </w:lvl>
    <w:lvl w:ilvl="4" w:tplc="6B10DDD4">
      <w:numFmt w:val="bullet"/>
      <w:lvlText w:val="•"/>
      <w:lvlJc w:val="left"/>
      <w:pPr>
        <w:ind w:left="3146" w:hanging="577"/>
      </w:pPr>
      <w:rPr>
        <w:rFonts w:hint="default"/>
        <w:lang w:val="en-US" w:eastAsia="en-US" w:bidi="ar-SA"/>
      </w:rPr>
    </w:lvl>
    <w:lvl w:ilvl="5" w:tplc="87F2C8EC">
      <w:numFmt w:val="bullet"/>
      <w:lvlText w:val="•"/>
      <w:lvlJc w:val="left"/>
      <w:pPr>
        <w:ind w:left="3775" w:hanging="577"/>
      </w:pPr>
      <w:rPr>
        <w:rFonts w:hint="default"/>
        <w:lang w:val="en-US" w:eastAsia="en-US" w:bidi="ar-SA"/>
      </w:rPr>
    </w:lvl>
    <w:lvl w:ilvl="6" w:tplc="C1A20D28">
      <w:numFmt w:val="bullet"/>
      <w:lvlText w:val="•"/>
      <w:lvlJc w:val="left"/>
      <w:pPr>
        <w:ind w:left="4404" w:hanging="577"/>
      </w:pPr>
      <w:rPr>
        <w:rFonts w:hint="default"/>
        <w:lang w:val="en-US" w:eastAsia="en-US" w:bidi="ar-SA"/>
      </w:rPr>
    </w:lvl>
    <w:lvl w:ilvl="7" w:tplc="1408BE0A">
      <w:numFmt w:val="bullet"/>
      <w:lvlText w:val="•"/>
      <w:lvlJc w:val="left"/>
      <w:pPr>
        <w:ind w:left="5033" w:hanging="577"/>
      </w:pPr>
      <w:rPr>
        <w:rFonts w:hint="default"/>
        <w:lang w:val="en-US" w:eastAsia="en-US" w:bidi="ar-SA"/>
      </w:rPr>
    </w:lvl>
    <w:lvl w:ilvl="8" w:tplc="358821A0">
      <w:numFmt w:val="bullet"/>
      <w:lvlText w:val="•"/>
      <w:lvlJc w:val="left"/>
      <w:pPr>
        <w:ind w:left="5662" w:hanging="577"/>
      </w:pPr>
      <w:rPr>
        <w:rFonts w:hint="default"/>
        <w:lang w:val="en-US" w:eastAsia="en-US" w:bidi="ar-SA"/>
      </w:rPr>
    </w:lvl>
  </w:abstractNum>
  <w:abstractNum w:abstractNumId="206" w15:restartNumberingAfterBreak="0">
    <w:nsid w:val="766C59C4"/>
    <w:multiLevelType w:val="hybridMultilevel"/>
    <w:tmpl w:val="1284C704"/>
    <w:lvl w:ilvl="0" w:tplc="8558E070">
      <w:start w:val="3"/>
      <w:numFmt w:val="decimal"/>
      <w:lvlText w:val="%1."/>
      <w:lvlJc w:val="left"/>
      <w:pPr>
        <w:ind w:left="568" w:hanging="439"/>
      </w:pPr>
      <w:rPr>
        <w:rFonts w:ascii="Arial" w:eastAsia="Arial" w:hAnsi="Arial" w:cs="Arial" w:hint="default"/>
        <w:b w:val="0"/>
        <w:bCs w:val="0"/>
        <w:i w:val="0"/>
        <w:iCs w:val="0"/>
        <w:spacing w:val="0"/>
        <w:w w:val="99"/>
        <w:sz w:val="22"/>
        <w:szCs w:val="22"/>
        <w:lang w:val="en-US" w:eastAsia="en-US" w:bidi="ar-SA"/>
      </w:rPr>
    </w:lvl>
    <w:lvl w:ilvl="1" w:tplc="C2B06412">
      <w:start w:val="1"/>
      <w:numFmt w:val="lowerLetter"/>
      <w:lvlText w:val="(%2)"/>
      <w:lvlJc w:val="left"/>
      <w:pPr>
        <w:ind w:left="1123" w:hanging="531"/>
      </w:pPr>
      <w:rPr>
        <w:rFonts w:ascii="Arial" w:eastAsia="Arial" w:hAnsi="Arial" w:cs="Arial" w:hint="default"/>
        <w:b w:val="0"/>
        <w:bCs w:val="0"/>
        <w:i w:val="0"/>
        <w:iCs w:val="0"/>
        <w:spacing w:val="-1"/>
        <w:w w:val="99"/>
        <w:sz w:val="22"/>
        <w:szCs w:val="22"/>
        <w:lang w:val="en-US" w:eastAsia="en-US" w:bidi="ar-SA"/>
      </w:rPr>
    </w:lvl>
    <w:lvl w:ilvl="2" w:tplc="5CEADFB0">
      <w:numFmt w:val="bullet"/>
      <w:lvlText w:val="•"/>
      <w:lvlJc w:val="left"/>
      <w:pPr>
        <w:ind w:left="1764" w:hanging="531"/>
      </w:pPr>
      <w:rPr>
        <w:rFonts w:hint="default"/>
        <w:lang w:val="en-US" w:eastAsia="en-US" w:bidi="ar-SA"/>
      </w:rPr>
    </w:lvl>
    <w:lvl w:ilvl="3" w:tplc="177E9862">
      <w:numFmt w:val="bullet"/>
      <w:lvlText w:val="•"/>
      <w:lvlJc w:val="left"/>
      <w:pPr>
        <w:ind w:left="2409" w:hanging="531"/>
      </w:pPr>
      <w:rPr>
        <w:rFonts w:hint="default"/>
        <w:lang w:val="en-US" w:eastAsia="en-US" w:bidi="ar-SA"/>
      </w:rPr>
    </w:lvl>
    <w:lvl w:ilvl="4" w:tplc="522A92A4">
      <w:numFmt w:val="bullet"/>
      <w:lvlText w:val="•"/>
      <w:lvlJc w:val="left"/>
      <w:pPr>
        <w:ind w:left="3054" w:hanging="531"/>
      </w:pPr>
      <w:rPr>
        <w:rFonts w:hint="default"/>
        <w:lang w:val="en-US" w:eastAsia="en-US" w:bidi="ar-SA"/>
      </w:rPr>
    </w:lvl>
    <w:lvl w:ilvl="5" w:tplc="FFD8A20C">
      <w:numFmt w:val="bullet"/>
      <w:lvlText w:val="•"/>
      <w:lvlJc w:val="left"/>
      <w:pPr>
        <w:ind w:left="3699" w:hanging="531"/>
      </w:pPr>
      <w:rPr>
        <w:rFonts w:hint="default"/>
        <w:lang w:val="en-US" w:eastAsia="en-US" w:bidi="ar-SA"/>
      </w:rPr>
    </w:lvl>
    <w:lvl w:ilvl="6" w:tplc="52AE5590">
      <w:numFmt w:val="bullet"/>
      <w:lvlText w:val="•"/>
      <w:lvlJc w:val="left"/>
      <w:pPr>
        <w:ind w:left="4343" w:hanging="531"/>
      </w:pPr>
      <w:rPr>
        <w:rFonts w:hint="default"/>
        <w:lang w:val="en-US" w:eastAsia="en-US" w:bidi="ar-SA"/>
      </w:rPr>
    </w:lvl>
    <w:lvl w:ilvl="7" w:tplc="C722F382">
      <w:numFmt w:val="bullet"/>
      <w:lvlText w:val="•"/>
      <w:lvlJc w:val="left"/>
      <w:pPr>
        <w:ind w:left="4988" w:hanging="531"/>
      </w:pPr>
      <w:rPr>
        <w:rFonts w:hint="default"/>
        <w:lang w:val="en-US" w:eastAsia="en-US" w:bidi="ar-SA"/>
      </w:rPr>
    </w:lvl>
    <w:lvl w:ilvl="8" w:tplc="6BD41AAE">
      <w:numFmt w:val="bullet"/>
      <w:lvlText w:val="•"/>
      <w:lvlJc w:val="left"/>
      <w:pPr>
        <w:ind w:left="5633" w:hanging="531"/>
      </w:pPr>
      <w:rPr>
        <w:rFonts w:hint="default"/>
        <w:lang w:val="en-US" w:eastAsia="en-US" w:bidi="ar-SA"/>
      </w:rPr>
    </w:lvl>
  </w:abstractNum>
  <w:abstractNum w:abstractNumId="207" w15:restartNumberingAfterBreak="0">
    <w:nsid w:val="76F15EFF"/>
    <w:multiLevelType w:val="hybridMultilevel"/>
    <w:tmpl w:val="33F6E344"/>
    <w:lvl w:ilvl="0" w:tplc="612AF4B4">
      <w:start w:val="2"/>
      <w:numFmt w:val="lowerLetter"/>
      <w:lvlText w:val="%1."/>
      <w:lvlJc w:val="left"/>
      <w:pPr>
        <w:ind w:left="1204" w:hanging="360"/>
      </w:pPr>
      <w:rPr>
        <w:rFonts w:ascii="Arial" w:eastAsia="Arial" w:hAnsi="Arial" w:cs="Arial" w:hint="default"/>
        <w:b w:val="0"/>
        <w:bCs w:val="0"/>
        <w:i w:val="0"/>
        <w:iCs w:val="0"/>
        <w:color w:val="242424"/>
        <w:spacing w:val="0"/>
        <w:w w:val="99"/>
        <w:sz w:val="22"/>
        <w:szCs w:val="22"/>
        <w:lang w:val="en-US" w:eastAsia="en-US" w:bidi="ar-SA"/>
      </w:rPr>
    </w:lvl>
    <w:lvl w:ilvl="1" w:tplc="46FA40A0">
      <w:start w:val="1"/>
      <w:numFmt w:val="lowerRoman"/>
      <w:lvlText w:val="%2."/>
      <w:lvlJc w:val="left"/>
      <w:pPr>
        <w:ind w:left="1520" w:hanging="291"/>
      </w:pPr>
      <w:rPr>
        <w:rFonts w:ascii="Arial" w:eastAsia="Arial" w:hAnsi="Arial" w:cs="Arial" w:hint="default"/>
        <w:b w:val="0"/>
        <w:bCs w:val="0"/>
        <w:i w:val="0"/>
        <w:iCs w:val="0"/>
        <w:color w:val="242424"/>
        <w:spacing w:val="0"/>
        <w:w w:val="99"/>
        <w:sz w:val="22"/>
        <w:szCs w:val="22"/>
        <w:lang w:val="en-US" w:eastAsia="en-US" w:bidi="ar-SA"/>
      </w:rPr>
    </w:lvl>
    <w:lvl w:ilvl="2" w:tplc="CE6448F6">
      <w:numFmt w:val="bullet"/>
      <w:lvlText w:val=""/>
      <w:lvlJc w:val="left"/>
      <w:pPr>
        <w:ind w:left="1969" w:hanging="360"/>
      </w:pPr>
      <w:rPr>
        <w:rFonts w:ascii="Symbol" w:eastAsia="Symbol" w:hAnsi="Symbol" w:cs="Symbol" w:hint="default"/>
        <w:b w:val="0"/>
        <w:bCs w:val="0"/>
        <w:i w:val="0"/>
        <w:iCs w:val="0"/>
        <w:color w:val="242424"/>
        <w:spacing w:val="0"/>
        <w:w w:val="99"/>
        <w:sz w:val="22"/>
        <w:szCs w:val="22"/>
        <w:lang w:val="en-US" w:eastAsia="en-US" w:bidi="ar-SA"/>
      </w:rPr>
    </w:lvl>
    <w:lvl w:ilvl="3" w:tplc="5770E772">
      <w:numFmt w:val="bullet"/>
      <w:lvlText w:val="•"/>
      <w:lvlJc w:val="left"/>
      <w:pPr>
        <w:ind w:left="2633" w:hanging="360"/>
      </w:pPr>
      <w:rPr>
        <w:rFonts w:hint="default"/>
        <w:lang w:val="en-US" w:eastAsia="en-US" w:bidi="ar-SA"/>
      </w:rPr>
    </w:lvl>
    <w:lvl w:ilvl="4" w:tplc="90DCB2BA">
      <w:numFmt w:val="bullet"/>
      <w:lvlText w:val="•"/>
      <w:lvlJc w:val="left"/>
      <w:pPr>
        <w:ind w:left="3306" w:hanging="360"/>
      </w:pPr>
      <w:rPr>
        <w:rFonts w:hint="default"/>
        <w:lang w:val="en-US" w:eastAsia="en-US" w:bidi="ar-SA"/>
      </w:rPr>
    </w:lvl>
    <w:lvl w:ilvl="5" w:tplc="175A6058">
      <w:numFmt w:val="bullet"/>
      <w:lvlText w:val="•"/>
      <w:lvlJc w:val="left"/>
      <w:pPr>
        <w:ind w:left="3980" w:hanging="360"/>
      </w:pPr>
      <w:rPr>
        <w:rFonts w:hint="default"/>
        <w:lang w:val="en-US" w:eastAsia="en-US" w:bidi="ar-SA"/>
      </w:rPr>
    </w:lvl>
    <w:lvl w:ilvl="6" w:tplc="6F2666CE">
      <w:numFmt w:val="bullet"/>
      <w:lvlText w:val="•"/>
      <w:lvlJc w:val="left"/>
      <w:pPr>
        <w:ind w:left="4653" w:hanging="360"/>
      </w:pPr>
      <w:rPr>
        <w:rFonts w:hint="default"/>
        <w:lang w:val="en-US" w:eastAsia="en-US" w:bidi="ar-SA"/>
      </w:rPr>
    </w:lvl>
    <w:lvl w:ilvl="7" w:tplc="59F0A940">
      <w:numFmt w:val="bullet"/>
      <w:lvlText w:val="•"/>
      <w:lvlJc w:val="left"/>
      <w:pPr>
        <w:ind w:left="5327" w:hanging="360"/>
      </w:pPr>
      <w:rPr>
        <w:rFonts w:hint="default"/>
        <w:lang w:val="en-US" w:eastAsia="en-US" w:bidi="ar-SA"/>
      </w:rPr>
    </w:lvl>
    <w:lvl w:ilvl="8" w:tplc="73E46920">
      <w:numFmt w:val="bullet"/>
      <w:lvlText w:val="•"/>
      <w:lvlJc w:val="left"/>
      <w:pPr>
        <w:ind w:left="6000" w:hanging="360"/>
      </w:pPr>
      <w:rPr>
        <w:rFonts w:hint="default"/>
        <w:lang w:val="en-US" w:eastAsia="en-US" w:bidi="ar-SA"/>
      </w:rPr>
    </w:lvl>
  </w:abstractNum>
  <w:abstractNum w:abstractNumId="208" w15:restartNumberingAfterBreak="0">
    <w:nsid w:val="77776FCC"/>
    <w:multiLevelType w:val="hybridMultilevel"/>
    <w:tmpl w:val="638458AC"/>
    <w:lvl w:ilvl="0" w:tplc="140425EE">
      <w:numFmt w:val="bullet"/>
      <w:lvlText w:val=""/>
      <w:lvlJc w:val="left"/>
      <w:pPr>
        <w:ind w:left="923" w:hanging="360"/>
      </w:pPr>
      <w:rPr>
        <w:rFonts w:ascii="Symbol" w:eastAsia="Symbol" w:hAnsi="Symbol" w:cs="Symbol" w:hint="default"/>
        <w:b w:val="0"/>
        <w:bCs w:val="0"/>
        <w:i w:val="0"/>
        <w:iCs w:val="0"/>
        <w:spacing w:val="0"/>
        <w:w w:val="99"/>
        <w:sz w:val="22"/>
        <w:szCs w:val="22"/>
        <w:lang w:val="en-US" w:eastAsia="en-US" w:bidi="ar-SA"/>
      </w:rPr>
    </w:lvl>
    <w:lvl w:ilvl="1" w:tplc="83108F9A">
      <w:numFmt w:val="bullet"/>
      <w:lvlText w:val="•"/>
      <w:lvlJc w:val="left"/>
      <w:pPr>
        <w:ind w:left="1485" w:hanging="360"/>
      </w:pPr>
      <w:rPr>
        <w:rFonts w:hint="default"/>
        <w:lang w:val="en-US" w:eastAsia="en-US" w:bidi="ar-SA"/>
      </w:rPr>
    </w:lvl>
    <w:lvl w:ilvl="2" w:tplc="AFD866A0">
      <w:numFmt w:val="bullet"/>
      <w:lvlText w:val="•"/>
      <w:lvlJc w:val="left"/>
      <w:pPr>
        <w:ind w:left="2050" w:hanging="360"/>
      </w:pPr>
      <w:rPr>
        <w:rFonts w:hint="default"/>
        <w:lang w:val="en-US" w:eastAsia="en-US" w:bidi="ar-SA"/>
      </w:rPr>
    </w:lvl>
    <w:lvl w:ilvl="3" w:tplc="8E54B35E">
      <w:numFmt w:val="bullet"/>
      <w:lvlText w:val="•"/>
      <w:lvlJc w:val="left"/>
      <w:pPr>
        <w:ind w:left="2615" w:hanging="360"/>
      </w:pPr>
      <w:rPr>
        <w:rFonts w:hint="default"/>
        <w:lang w:val="en-US" w:eastAsia="en-US" w:bidi="ar-SA"/>
      </w:rPr>
    </w:lvl>
    <w:lvl w:ilvl="4" w:tplc="C97C483E">
      <w:numFmt w:val="bullet"/>
      <w:lvlText w:val="•"/>
      <w:lvlJc w:val="left"/>
      <w:pPr>
        <w:ind w:left="3180" w:hanging="360"/>
      </w:pPr>
      <w:rPr>
        <w:rFonts w:hint="default"/>
        <w:lang w:val="en-US" w:eastAsia="en-US" w:bidi="ar-SA"/>
      </w:rPr>
    </w:lvl>
    <w:lvl w:ilvl="5" w:tplc="E7C4EEF4">
      <w:numFmt w:val="bullet"/>
      <w:lvlText w:val="•"/>
      <w:lvlJc w:val="left"/>
      <w:pPr>
        <w:ind w:left="3745" w:hanging="360"/>
      </w:pPr>
      <w:rPr>
        <w:rFonts w:hint="default"/>
        <w:lang w:val="en-US" w:eastAsia="en-US" w:bidi="ar-SA"/>
      </w:rPr>
    </w:lvl>
    <w:lvl w:ilvl="6" w:tplc="B02AAA82">
      <w:numFmt w:val="bullet"/>
      <w:lvlText w:val="•"/>
      <w:lvlJc w:val="left"/>
      <w:pPr>
        <w:ind w:left="4310" w:hanging="360"/>
      </w:pPr>
      <w:rPr>
        <w:rFonts w:hint="default"/>
        <w:lang w:val="en-US" w:eastAsia="en-US" w:bidi="ar-SA"/>
      </w:rPr>
    </w:lvl>
    <w:lvl w:ilvl="7" w:tplc="BDF28518">
      <w:numFmt w:val="bullet"/>
      <w:lvlText w:val="•"/>
      <w:lvlJc w:val="left"/>
      <w:pPr>
        <w:ind w:left="4875" w:hanging="360"/>
      </w:pPr>
      <w:rPr>
        <w:rFonts w:hint="default"/>
        <w:lang w:val="en-US" w:eastAsia="en-US" w:bidi="ar-SA"/>
      </w:rPr>
    </w:lvl>
    <w:lvl w:ilvl="8" w:tplc="70620184">
      <w:numFmt w:val="bullet"/>
      <w:lvlText w:val="•"/>
      <w:lvlJc w:val="left"/>
      <w:pPr>
        <w:ind w:left="5440" w:hanging="360"/>
      </w:pPr>
      <w:rPr>
        <w:rFonts w:hint="default"/>
        <w:lang w:val="en-US" w:eastAsia="en-US" w:bidi="ar-SA"/>
      </w:rPr>
    </w:lvl>
  </w:abstractNum>
  <w:abstractNum w:abstractNumId="209" w15:restartNumberingAfterBreak="0">
    <w:nsid w:val="78A1784B"/>
    <w:multiLevelType w:val="hybridMultilevel"/>
    <w:tmpl w:val="4252B552"/>
    <w:lvl w:ilvl="0" w:tplc="B7DAD276">
      <w:start w:val="10"/>
      <w:numFmt w:val="decimal"/>
      <w:lvlText w:val=".%1"/>
      <w:lvlJc w:val="left"/>
      <w:pPr>
        <w:ind w:left="1860" w:hanging="721"/>
      </w:pPr>
      <w:rPr>
        <w:rFonts w:ascii="Arial" w:eastAsia="Arial" w:hAnsi="Arial" w:cs="Arial" w:hint="default"/>
        <w:b w:val="0"/>
        <w:bCs w:val="0"/>
        <w:i w:val="0"/>
        <w:iCs w:val="0"/>
        <w:spacing w:val="0"/>
        <w:w w:val="99"/>
        <w:sz w:val="22"/>
        <w:szCs w:val="22"/>
        <w:lang w:val="en-US" w:eastAsia="en-US" w:bidi="ar-SA"/>
      </w:rPr>
    </w:lvl>
    <w:lvl w:ilvl="1" w:tplc="83469A18">
      <w:numFmt w:val="bullet"/>
      <w:lvlText w:val=""/>
      <w:lvlJc w:val="left"/>
      <w:pPr>
        <w:ind w:left="2219" w:hanging="360"/>
      </w:pPr>
      <w:rPr>
        <w:rFonts w:ascii="Symbol" w:eastAsia="Symbol" w:hAnsi="Symbol" w:cs="Symbol" w:hint="default"/>
        <w:b w:val="0"/>
        <w:bCs w:val="0"/>
        <w:i w:val="0"/>
        <w:iCs w:val="0"/>
        <w:spacing w:val="0"/>
        <w:w w:val="99"/>
        <w:sz w:val="22"/>
        <w:szCs w:val="22"/>
        <w:lang w:val="en-US" w:eastAsia="en-US" w:bidi="ar-SA"/>
      </w:rPr>
    </w:lvl>
    <w:lvl w:ilvl="2" w:tplc="1F6011A2">
      <w:numFmt w:val="bullet"/>
      <w:lvlText w:val="•"/>
      <w:lvlJc w:val="left"/>
      <w:pPr>
        <w:ind w:left="3115" w:hanging="360"/>
      </w:pPr>
      <w:rPr>
        <w:rFonts w:hint="default"/>
        <w:lang w:val="en-US" w:eastAsia="en-US" w:bidi="ar-SA"/>
      </w:rPr>
    </w:lvl>
    <w:lvl w:ilvl="3" w:tplc="FB3A6E4A">
      <w:numFmt w:val="bullet"/>
      <w:lvlText w:val="•"/>
      <w:lvlJc w:val="left"/>
      <w:pPr>
        <w:ind w:left="4011" w:hanging="360"/>
      </w:pPr>
      <w:rPr>
        <w:rFonts w:hint="default"/>
        <w:lang w:val="en-US" w:eastAsia="en-US" w:bidi="ar-SA"/>
      </w:rPr>
    </w:lvl>
    <w:lvl w:ilvl="4" w:tplc="A10E2BC2">
      <w:numFmt w:val="bullet"/>
      <w:lvlText w:val="•"/>
      <w:lvlJc w:val="left"/>
      <w:pPr>
        <w:ind w:left="4906" w:hanging="360"/>
      </w:pPr>
      <w:rPr>
        <w:rFonts w:hint="default"/>
        <w:lang w:val="en-US" w:eastAsia="en-US" w:bidi="ar-SA"/>
      </w:rPr>
    </w:lvl>
    <w:lvl w:ilvl="5" w:tplc="0E30CBAC">
      <w:numFmt w:val="bullet"/>
      <w:lvlText w:val="•"/>
      <w:lvlJc w:val="left"/>
      <w:pPr>
        <w:ind w:left="5802" w:hanging="360"/>
      </w:pPr>
      <w:rPr>
        <w:rFonts w:hint="default"/>
        <w:lang w:val="en-US" w:eastAsia="en-US" w:bidi="ar-SA"/>
      </w:rPr>
    </w:lvl>
    <w:lvl w:ilvl="6" w:tplc="2D9C15A6">
      <w:numFmt w:val="bullet"/>
      <w:lvlText w:val="•"/>
      <w:lvlJc w:val="left"/>
      <w:pPr>
        <w:ind w:left="6697" w:hanging="360"/>
      </w:pPr>
      <w:rPr>
        <w:rFonts w:hint="default"/>
        <w:lang w:val="en-US" w:eastAsia="en-US" w:bidi="ar-SA"/>
      </w:rPr>
    </w:lvl>
    <w:lvl w:ilvl="7" w:tplc="BFC6C578">
      <w:numFmt w:val="bullet"/>
      <w:lvlText w:val="•"/>
      <w:lvlJc w:val="left"/>
      <w:pPr>
        <w:ind w:left="7593" w:hanging="360"/>
      </w:pPr>
      <w:rPr>
        <w:rFonts w:hint="default"/>
        <w:lang w:val="en-US" w:eastAsia="en-US" w:bidi="ar-SA"/>
      </w:rPr>
    </w:lvl>
    <w:lvl w:ilvl="8" w:tplc="1D6AE196">
      <w:numFmt w:val="bullet"/>
      <w:lvlText w:val="•"/>
      <w:lvlJc w:val="left"/>
      <w:pPr>
        <w:ind w:left="8488" w:hanging="360"/>
      </w:pPr>
      <w:rPr>
        <w:rFonts w:hint="default"/>
        <w:lang w:val="en-US" w:eastAsia="en-US" w:bidi="ar-SA"/>
      </w:rPr>
    </w:lvl>
  </w:abstractNum>
  <w:abstractNum w:abstractNumId="210" w15:restartNumberingAfterBreak="0">
    <w:nsid w:val="78A824D8"/>
    <w:multiLevelType w:val="hybridMultilevel"/>
    <w:tmpl w:val="485EB920"/>
    <w:lvl w:ilvl="0" w:tplc="9D6A7266">
      <w:start w:val="1"/>
      <w:numFmt w:val="decimalZero"/>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1458F6AE">
      <w:numFmt w:val="bullet"/>
      <w:lvlText w:val=""/>
      <w:lvlJc w:val="left"/>
      <w:pPr>
        <w:ind w:left="2000" w:hanging="360"/>
      </w:pPr>
      <w:rPr>
        <w:rFonts w:ascii="Symbol" w:eastAsia="Symbol" w:hAnsi="Symbol" w:cs="Symbol" w:hint="default"/>
        <w:b w:val="0"/>
        <w:bCs w:val="0"/>
        <w:i w:val="0"/>
        <w:iCs w:val="0"/>
        <w:spacing w:val="0"/>
        <w:w w:val="99"/>
        <w:sz w:val="22"/>
        <w:szCs w:val="22"/>
        <w:lang w:val="en-US" w:eastAsia="en-US" w:bidi="ar-SA"/>
      </w:rPr>
    </w:lvl>
    <w:lvl w:ilvl="2" w:tplc="21169CE2">
      <w:numFmt w:val="bullet"/>
      <w:lvlText w:val="•"/>
      <w:lvlJc w:val="left"/>
      <w:pPr>
        <w:ind w:left="2877" w:hanging="360"/>
      </w:pPr>
      <w:rPr>
        <w:rFonts w:hint="default"/>
        <w:lang w:val="en-US" w:eastAsia="en-US" w:bidi="ar-SA"/>
      </w:rPr>
    </w:lvl>
    <w:lvl w:ilvl="3" w:tplc="3B407F74">
      <w:numFmt w:val="bullet"/>
      <w:lvlText w:val="•"/>
      <w:lvlJc w:val="left"/>
      <w:pPr>
        <w:ind w:left="3755" w:hanging="360"/>
      </w:pPr>
      <w:rPr>
        <w:rFonts w:hint="default"/>
        <w:lang w:val="en-US" w:eastAsia="en-US" w:bidi="ar-SA"/>
      </w:rPr>
    </w:lvl>
    <w:lvl w:ilvl="4" w:tplc="E59881A8">
      <w:numFmt w:val="bullet"/>
      <w:lvlText w:val="•"/>
      <w:lvlJc w:val="left"/>
      <w:pPr>
        <w:ind w:left="4633" w:hanging="360"/>
      </w:pPr>
      <w:rPr>
        <w:rFonts w:hint="default"/>
        <w:lang w:val="en-US" w:eastAsia="en-US" w:bidi="ar-SA"/>
      </w:rPr>
    </w:lvl>
    <w:lvl w:ilvl="5" w:tplc="79180814">
      <w:numFmt w:val="bullet"/>
      <w:lvlText w:val="•"/>
      <w:lvlJc w:val="left"/>
      <w:pPr>
        <w:ind w:left="5511" w:hanging="360"/>
      </w:pPr>
      <w:rPr>
        <w:rFonts w:hint="default"/>
        <w:lang w:val="en-US" w:eastAsia="en-US" w:bidi="ar-SA"/>
      </w:rPr>
    </w:lvl>
    <w:lvl w:ilvl="6" w:tplc="24B20DEE">
      <w:numFmt w:val="bullet"/>
      <w:lvlText w:val="•"/>
      <w:lvlJc w:val="left"/>
      <w:pPr>
        <w:ind w:left="6388" w:hanging="360"/>
      </w:pPr>
      <w:rPr>
        <w:rFonts w:hint="default"/>
        <w:lang w:val="en-US" w:eastAsia="en-US" w:bidi="ar-SA"/>
      </w:rPr>
    </w:lvl>
    <w:lvl w:ilvl="7" w:tplc="A1DACF76">
      <w:numFmt w:val="bullet"/>
      <w:lvlText w:val="•"/>
      <w:lvlJc w:val="left"/>
      <w:pPr>
        <w:ind w:left="7266" w:hanging="360"/>
      </w:pPr>
      <w:rPr>
        <w:rFonts w:hint="default"/>
        <w:lang w:val="en-US" w:eastAsia="en-US" w:bidi="ar-SA"/>
      </w:rPr>
    </w:lvl>
    <w:lvl w:ilvl="8" w:tplc="8DCEB144">
      <w:numFmt w:val="bullet"/>
      <w:lvlText w:val="•"/>
      <w:lvlJc w:val="left"/>
      <w:pPr>
        <w:ind w:left="8144" w:hanging="360"/>
      </w:pPr>
      <w:rPr>
        <w:rFonts w:hint="default"/>
        <w:lang w:val="en-US" w:eastAsia="en-US" w:bidi="ar-SA"/>
      </w:rPr>
    </w:lvl>
  </w:abstractNum>
  <w:abstractNum w:abstractNumId="211" w15:restartNumberingAfterBreak="0">
    <w:nsid w:val="790742D0"/>
    <w:multiLevelType w:val="hybridMultilevel"/>
    <w:tmpl w:val="D0FAC77A"/>
    <w:lvl w:ilvl="0" w:tplc="3F3C6844">
      <w:start w:val="1"/>
      <w:numFmt w:val="decimal"/>
      <w:lvlText w:val="%1."/>
      <w:lvlJc w:val="left"/>
      <w:pPr>
        <w:ind w:left="455" w:hanging="360"/>
      </w:pPr>
      <w:rPr>
        <w:rFonts w:ascii="Arial" w:eastAsia="Arial" w:hAnsi="Arial" w:cs="Arial" w:hint="default"/>
        <w:b w:val="0"/>
        <w:bCs w:val="0"/>
        <w:i w:val="0"/>
        <w:iCs w:val="0"/>
        <w:spacing w:val="0"/>
        <w:w w:val="99"/>
        <w:sz w:val="22"/>
        <w:szCs w:val="22"/>
        <w:lang w:val="en-US" w:eastAsia="en-US" w:bidi="ar-SA"/>
      </w:rPr>
    </w:lvl>
    <w:lvl w:ilvl="1" w:tplc="56EE5F4E">
      <w:numFmt w:val="bullet"/>
      <w:lvlText w:val=""/>
      <w:lvlJc w:val="left"/>
      <w:pPr>
        <w:ind w:left="825" w:hanging="360"/>
      </w:pPr>
      <w:rPr>
        <w:rFonts w:ascii="Symbol" w:eastAsia="Symbol" w:hAnsi="Symbol" w:cs="Symbol" w:hint="default"/>
        <w:b w:val="0"/>
        <w:bCs w:val="0"/>
        <w:i w:val="0"/>
        <w:iCs w:val="0"/>
        <w:spacing w:val="0"/>
        <w:w w:val="99"/>
        <w:sz w:val="22"/>
        <w:szCs w:val="22"/>
        <w:lang w:val="en-US" w:eastAsia="en-US" w:bidi="ar-SA"/>
      </w:rPr>
    </w:lvl>
    <w:lvl w:ilvl="2" w:tplc="B1E4EA20">
      <w:numFmt w:val="bullet"/>
      <w:lvlText w:val="•"/>
      <w:lvlJc w:val="left"/>
      <w:pPr>
        <w:ind w:left="1248" w:hanging="360"/>
      </w:pPr>
      <w:rPr>
        <w:rFonts w:hint="default"/>
        <w:lang w:val="en-US" w:eastAsia="en-US" w:bidi="ar-SA"/>
      </w:rPr>
    </w:lvl>
    <w:lvl w:ilvl="3" w:tplc="80A0F40E">
      <w:numFmt w:val="bullet"/>
      <w:lvlText w:val="•"/>
      <w:lvlJc w:val="left"/>
      <w:pPr>
        <w:ind w:left="1676" w:hanging="360"/>
      </w:pPr>
      <w:rPr>
        <w:rFonts w:hint="default"/>
        <w:lang w:val="en-US" w:eastAsia="en-US" w:bidi="ar-SA"/>
      </w:rPr>
    </w:lvl>
    <w:lvl w:ilvl="4" w:tplc="6DF026F6">
      <w:numFmt w:val="bullet"/>
      <w:lvlText w:val="•"/>
      <w:lvlJc w:val="left"/>
      <w:pPr>
        <w:ind w:left="2104" w:hanging="360"/>
      </w:pPr>
      <w:rPr>
        <w:rFonts w:hint="default"/>
        <w:lang w:val="en-US" w:eastAsia="en-US" w:bidi="ar-SA"/>
      </w:rPr>
    </w:lvl>
    <w:lvl w:ilvl="5" w:tplc="191CC1F0">
      <w:numFmt w:val="bullet"/>
      <w:lvlText w:val="•"/>
      <w:lvlJc w:val="left"/>
      <w:pPr>
        <w:ind w:left="2533" w:hanging="360"/>
      </w:pPr>
      <w:rPr>
        <w:rFonts w:hint="default"/>
        <w:lang w:val="en-US" w:eastAsia="en-US" w:bidi="ar-SA"/>
      </w:rPr>
    </w:lvl>
    <w:lvl w:ilvl="6" w:tplc="A2DA35DE">
      <w:numFmt w:val="bullet"/>
      <w:lvlText w:val="•"/>
      <w:lvlJc w:val="left"/>
      <w:pPr>
        <w:ind w:left="2961" w:hanging="360"/>
      </w:pPr>
      <w:rPr>
        <w:rFonts w:hint="default"/>
        <w:lang w:val="en-US" w:eastAsia="en-US" w:bidi="ar-SA"/>
      </w:rPr>
    </w:lvl>
    <w:lvl w:ilvl="7" w:tplc="D66A3FE6">
      <w:numFmt w:val="bullet"/>
      <w:lvlText w:val="•"/>
      <w:lvlJc w:val="left"/>
      <w:pPr>
        <w:ind w:left="3389" w:hanging="360"/>
      </w:pPr>
      <w:rPr>
        <w:rFonts w:hint="default"/>
        <w:lang w:val="en-US" w:eastAsia="en-US" w:bidi="ar-SA"/>
      </w:rPr>
    </w:lvl>
    <w:lvl w:ilvl="8" w:tplc="BAA28FD4">
      <w:numFmt w:val="bullet"/>
      <w:lvlText w:val="•"/>
      <w:lvlJc w:val="left"/>
      <w:pPr>
        <w:ind w:left="3817" w:hanging="360"/>
      </w:pPr>
      <w:rPr>
        <w:rFonts w:hint="default"/>
        <w:lang w:val="en-US" w:eastAsia="en-US" w:bidi="ar-SA"/>
      </w:rPr>
    </w:lvl>
  </w:abstractNum>
  <w:abstractNum w:abstractNumId="212" w15:restartNumberingAfterBreak="0">
    <w:nsid w:val="79213B4B"/>
    <w:multiLevelType w:val="hybridMultilevel"/>
    <w:tmpl w:val="E906410C"/>
    <w:lvl w:ilvl="0" w:tplc="E01E7D10">
      <w:numFmt w:val="bullet"/>
      <w:lvlText w:val=""/>
      <w:lvlJc w:val="left"/>
      <w:pPr>
        <w:ind w:left="1832" w:hanging="360"/>
      </w:pPr>
      <w:rPr>
        <w:rFonts w:ascii="Symbol" w:eastAsia="Symbol" w:hAnsi="Symbol" w:cs="Symbol" w:hint="default"/>
        <w:b w:val="0"/>
        <w:bCs w:val="0"/>
        <w:i w:val="0"/>
        <w:iCs w:val="0"/>
        <w:spacing w:val="0"/>
        <w:w w:val="99"/>
        <w:sz w:val="22"/>
        <w:szCs w:val="22"/>
        <w:lang w:val="en-US" w:eastAsia="en-US" w:bidi="ar-SA"/>
      </w:rPr>
    </w:lvl>
    <w:lvl w:ilvl="1" w:tplc="4C9E9BB6">
      <w:numFmt w:val="bullet"/>
      <w:lvlText w:val="•"/>
      <w:lvlJc w:val="left"/>
      <w:pPr>
        <w:ind w:left="2558" w:hanging="360"/>
      </w:pPr>
      <w:rPr>
        <w:rFonts w:hint="default"/>
        <w:lang w:val="en-US" w:eastAsia="en-US" w:bidi="ar-SA"/>
      </w:rPr>
    </w:lvl>
    <w:lvl w:ilvl="2" w:tplc="2E6C633A">
      <w:numFmt w:val="bullet"/>
      <w:lvlText w:val="•"/>
      <w:lvlJc w:val="left"/>
      <w:pPr>
        <w:ind w:left="3276" w:hanging="360"/>
      </w:pPr>
      <w:rPr>
        <w:rFonts w:hint="default"/>
        <w:lang w:val="en-US" w:eastAsia="en-US" w:bidi="ar-SA"/>
      </w:rPr>
    </w:lvl>
    <w:lvl w:ilvl="3" w:tplc="08E828C6">
      <w:numFmt w:val="bullet"/>
      <w:lvlText w:val="•"/>
      <w:lvlJc w:val="left"/>
      <w:pPr>
        <w:ind w:left="3995" w:hanging="360"/>
      </w:pPr>
      <w:rPr>
        <w:rFonts w:hint="default"/>
        <w:lang w:val="en-US" w:eastAsia="en-US" w:bidi="ar-SA"/>
      </w:rPr>
    </w:lvl>
    <w:lvl w:ilvl="4" w:tplc="AA147084">
      <w:numFmt w:val="bullet"/>
      <w:lvlText w:val="•"/>
      <w:lvlJc w:val="left"/>
      <w:pPr>
        <w:ind w:left="4713" w:hanging="360"/>
      </w:pPr>
      <w:rPr>
        <w:rFonts w:hint="default"/>
        <w:lang w:val="en-US" w:eastAsia="en-US" w:bidi="ar-SA"/>
      </w:rPr>
    </w:lvl>
    <w:lvl w:ilvl="5" w:tplc="F53C9E8C">
      <w:numFmt w:val="bullet"/>
      <w:lvlText w:val="•"/>
      <w:lvlJc w:val="left"/>
      <w:pPr>
        <w:ind w:left="5432" w:hanging="360"/>
      </w:pPr>
      <w:rPr>
        <w:rFonts w:hint="default"/>
        <w:lang w:val="en-US" w:eastAsia="en-US" w:bidi="ar-SA"/>
      </w:rPr>
    </w:lvl>
    <w:lvl w:ilvl="6" w:tplc="F2786BE0">
      <w:numFmt w:val="bullet"/>
      <w:lvlText w:val="•"/>
      <w:lvlJc w:val="left"/>
      <w:pPr>
        <w:ind w:left="6150" w:hanging="360"/>
      </w:pPr>
      <w:rPr>
        <w:rFonts w:hint="default"/>
        <w:lang w:val="en-US" w:eastAsia="en-US" w:bidi="ar-SA"/>
      </w:rPr>
    </w:lvl>
    <w:lvl w:ilvl="7" w:tplc="04881D5C">
      <w:numFmt w:val="bullet"/>
      <w:lvlText w:val="•"/>
      <w:lvlJc w:val="left"/>
      <w:pPr>
        <w:ind w:left="6868" w:hanging="360"/>
      </w:pPr>
      <w:rPr>
        <w:rFonts w:hint="default"/>
        <w:lang w:val="en-US" w:eastAsia="en-US" w:bidi="ar-SA"/>
      </w:rPr>
    </w:lvl>
    <w:lvl w:ilvl="8" w:tplc="AB52EFE0">
      <w:numFmt w:val="bullet"/>
      <w:lvlText w:val="•"/>
      <w:lvlJc w:val="left"/>
      <w:pPr>
        <w:ind w:left="7587" w:hanging="360"/>
      </w:pPr>
      <w:rPr>
        <w:rFonts w:hint="default"/>
        <w:lang w:val="en-US" w:eastAsia="en-US" w:bidi="ar-SA"/>
      </w:rPr>
    </w:lvl>
  </w:abstractNum>
  <w:abstractNum w:abstractNumId="213" w15:restartNumberingAfterBreak="0">
    <w:nsid w:val="796977E9"/>
    <w:multiLevelType w:val="hybridMultilevel"/>
    <w:tmpl w:val="FD30CA76"/>
    <w:lvl w:ilvl="0" w:tplc="A6C0C2B6">
      <w:numFmt w:val="bullet"/>
      <w:lvlText w:val=""/>
      <w:lvlJc w:val="left"/>
      <w:pPr>
        <w:ind w:left="1999" w:hanging="360"/>
      </w:pPr>
      <w:rPr>
        <w:rFonts w:ascii="Symbol" w:eastAsia="Symbol" w:hAnsi="Symbol" w:cs="Symbol" w:hint="default"/>
        <w:b w:val="0"/>
        <w:bCs w:val="0"/>
        <w:i w:val="0"/>
        <w:iCs w:val="0"/>
        <w:spacing w:val="0"/>
        <w:w w:val="99"/>
        <w:sz w:val="22"/>
        <w:szCs w:val="22"/>
        <w:lang w:val="en-US" w:eastAsia="en-US" w:bidi="ar-SA"/>
      </w:rPr>
    </w:lvl>
    <w:lvl w:ilvl="1" w:tplc="77FA1B6C">
      <w:numFmt w:val="bullet"/>
      <w:lvlText w:val="•"/>
      <w:lvlJc w:val="left"/>
      <w:pPr>
        <w:ind w:left="2790" w:hanging="360"/>
      </w:pPr>
      <w:rPr>
        <w:rFonts w:hint="default"/>
        <w:lang w:val="en-US" w:eastAsia="en-US" w:bidi="ar-SA"/>
      </w:rPr>
    </w:lvl>
    <w:lvl w:ilvl="2" w:tplc="660E8BD8">
      <w:numFmt w:val="bullet"/>
      <w:lvlText w:val="•"/>
      <w:lvlJc w:val="left"/>
      <w:pPr>
        <w:ind w:left="3580" w:hanging="360"/>
      </w:pPr>
      <w:rPr>
        <w:rFonts w:hint="default"/>
        <w:lang w:val="en-US" w:eastAsia="en-US" w:bidi="ar-SA"/>
      </w:rPr>
    </w:lvl>
    <w:lvl w:ilvl="3" w:tplc="7986A388">
      <w:numFmt w:val="bullet"/>
      <w:lvlText w:val="•"/>
      <w:lvlJc w:val="left"/>
      <w:pPr>
        <w:ind w:left="4370" w:hanging="360"/>
      </w:pPr>
      <w:rPr>
        <w:rFonts w:hint="default"/>
        <w:lang w:val="en-US" w:eastAsia="en-US" w:bidi="ar-SA"/>
      </w:rPr>
    </w:lvl>
    <w:lvl w:ilvl="4" w:tplc="1204A346">
      <w:numFmt w:val="bullet"/>
      <w:lvlText w:val="•"/>
      <w:lvlJc w:val="left"/>
      <w:pPr>
        <w:ind w:left="5160" w:hanging="360"/>
      </w:pPr>
      <w:rPr>
        <w:rFonts w:hint="default"/>
        <w:lang w:val="en-US" w:eastAsia="en-US" w:bidi="ar-SA"/>
      </w:rPr>
    </w:lvl>
    <w:lvl w:ilvl="5" w:tplc="41244F04">
      <w:numFmt w:val="bullet"/>
      <w:lvlText w:val="•"/>
      <w:lvlJc w:val="left"/>
      <w:pPr>
        <w:ind w:left="5950" w:hanging="360"/>
      </w:pPr>
      <w:rPr>
        <w:rFonts w:hint="default"/>
        <w:lang w:val="en-US" w:eastAsia="en-US" w:bidi="ar-SA"/>
      </w:rPr>
    </w:lvl>
    <w:lvl w:ilvl="6" w:tplc="CC940538">
      <w:numFmt w:val="bullet"/>
      <w:lvlText w:val="•"/>
      <w:lvlJc w:val="left"/>
      <w:pPr>
        <w:ind w:left="6740" w:hanging="360"/>
      </w:pPr>
      <w:rPr>
        <w:rFonts w:hint="default"/>
        <w:lang w:val="en-US" w:eastAsia="en-US" w:bidi="ar-SA"/>
      </w:rPr>
    </w:lvl>
    <w:lvl w:ilvl="7" w:tplc="A9628A68">
      <w:numFmt w:val="bullet"/>
      <w:lvlText w:val="•"/>
      <w:lvlJc w:val="left"/>
      <w:pPr>
        <w:ind w:left="7530" w:hanging="360"/>
      </w:pPr>
      <w:rPr>
        <w:rFonts w:hint="default"/>
        <w:lang w:val="en-US" w:eastAsia="en-US" w:bidi="ar-SA"/>
      </w:rPr>
    </w:lvl>
    <w:lvl w:ilvl="8" w:tplc="4CEC89E4">
      <w:numFmt w:val="bullet"/>
      <w:lvlText w:val="•"/>
      <w:lvlJc w:val="left"/>
      <w:pPr>
        <w:ind w:left="8320" w:hanging="360"/>
      </w:pPr>
      <w:rPr>
        <w:rFonts w:hint="default"/>
        <w:lang w:val="en-US" w:eastAsia="en-US" w:bidi="ar-SA"/>
      </w:rPr>
    </w:lvl>
  </w:abstractNum>
  <w:abstractNum w:abstractNumId="214" w15:restartNumberingAfterBreak="0">
    <w:nsid w:val="7A4A40AF"/>
    <w:multiLevelType w:val="hybridMultilevel"/>
    <w:tmpl w:val="8F8421A6"/>
    <w:lvl w:ilvl="0" w:tplc="4C40A448">
      <w:start w:val="4"/>
      <w:numFmt w:val="decimal"/>
      <w:lvlText w:val="%1)"/>
      <w:lvlJc w:val="left"/>
      <w:pPr>
        <w:ind w:left="705" w:hanging="577"/>
      </w:pPr>
      <w:rPr>
        <w:rFonts w:ascii="Arial" w:eastAsia="Arial" w:hAnsi="Arial" w:cs="Arial" w:hint="default"/>
        <w:b w:val="0"/>
        <w:bCs w:val="0"/>
        <w:i w:val="0"/>
        <w:iCs w:val="0"/>
        <w:spacing w:val="0"/>
        <w:w w:val="99"/>
        <w:sz w:val="22"/>
        <w:szCs w:val="22"/>
        <w:lang w:val="en-US" w:eastAsia="en-US" w:bidi="ar-SA"/>
      </w:rPr>
    </w:lvl>
    <w:lvl w:ilvl="1" w:tplc="EFF2AC56">
      <w:start w:val="1"/>
      <w:numFmt w:val="lowerLetter"/>
      <w:lvlText w:val="%2)"/>
      <w:lvlJc w:val="left"/>
      <w:pPr>
        <w:ind w:left="1281" w:hanging="577"/>
      </w:pPr>
      <w:rPr>
        <w:rFonts w:ascii="Arial" w:eastAsia="Arial" w:hAnsi="Arial" w:cs="Arial" w:hint="default"/>
        <w:b w:val="0"/>
        <w:bCs w:val="0"/>
        <w:i w:val="0"/>
        <w:iCs w:val="0"/>
        <w:spacing w:val="0"/>
        <w:w w:val="99"/>
        <w:sz w:val="22"/>
        <w:szCs w:val="22"/>
        <w:lang w:val="en-US" w:eastAsia="en-US" w:bidi="ar-SA"/>
      </w:rPr>
    </w:lvl>
    <w:lvl w:ilvl="2" w:tplc="F0709414">
      <w:numFmt w:val="bullet"/>
      <w:lvlText w:val="•"/>
      <w:lvlJc w:val="left"/>
      <w:pPr>
        <w:ind w:left="1921" w:hanging="577"/>
      </w:pPr>
      <w:rPr>
        <w:rFonts w:hint="default"/>
        <w:lang w:val="en-US" w:eastAsia="en-US" w:bidi="ar-SA"/>
      </w:rPr>
    </w:lvl>
    <w:lvl w:ilvl="3" w:tplc="3148163C">
      <w:numFmt w:val="bullet"/>
      <w:lvlText w:val="•"/>
      <w:lvlJc w:val="left"/>
      <w:pPr>
        <w:ind w:left="2562" w:hanging="577"/>
      </w:pPr>
      <w:rPr>
        <w:rFonts w:hint="default"/>
        <w:lang w:val="en-US" w:eastAsia="en-US" w:bidi="ar-SA"/>
      </w:rPr>
    </w:lvl>
    <w:lvl w:ilvl="4" w:tplc="805A7BBA">
      <w:numFmt w:val="bullet"/>
      <w:lvlText w:val="•"/>
      <w:lvlJc w:val="left"/>
      <w:pPr>
        <w:ind w:left="3203" w:hanging="577"/>
      </w:pPr>
      <w:rPr>
        <w:rFonts w:hint="default"/>
        <w:lang w:val="en-US" w:eastAsia="en-US" w:bidi="ar-SA"/>
      </w:rPr>
    </w:lvl>
    <w:lvl w:ilvl="5" w:tplc="26A8607E">
      <w:numFmt w:val="bullet"/>
      <w:lvlText w:val="•"/>
      <w:lvlJc w:val="left"/>
      <w:pPr>
        <w:ind w:left="3844" w:hanging="577"/>
      </w:pPr>
      <w:rPr>
        <w:rFonts w:hint="default"/>
        <w:lang w:val="en-US" w:eastAsia="en-US" w:bidi="ar-SA"/>
      </w:rPr>
    </w:lvl>
    <w:lvl w:ilvl="6" w:tplc="26FE49A2">
      <w:numFmt w:val="bullet"/>
      <w:lvlText w:val="•"/>
      <w:lvlJc w:val="left"/>
      <w:pPr>
        <w:ind w:left="4485" w:hanging="577"/>
      </w:pPr>
      <w:rPr>
        <w:rFonts w:hint="default"/>
        <w:lang w:val="en-US" w:eastAsia="en-US" w:bidi="ar-SA"/>
      </w:rPr>
    </w:lvl>
    <w:lvl w:ilvl="7" w:tplc="5D02B1D0">
      <w:numFmt w:val="bullet"/>
      <w:lvlText w:val="•"/>
      <w:lvlJc w:val="left"/>
      <w:pPr>
        <w:ind w:left="5126" w:hanging="577"/>
      </w:pPr>
      <w:rPr>
        <w:rFonts w:hint="default"/>
        <w:lang w:val="en-US" w:eastAsia="en-US" w:bidi="ar-SA"/>
      </w:rPr>
    </w:lvl>
    <w:lvl w:ilvl="8" w:tplc="EF58B6E0">
      <w:numFmt w:val="bullet"/>
      <w:lvlText w:val="•"/>
      <w:lvlJc w:val="left"/>
      <w:pPr>
        <w:ind w:left="5767" w:hanging="577"/>
      </w:pPr>
      <w:rPr>
        <w:rFonts w:hint="default"/>
        <w:lang w:val="en-US" w:eastAsia="en-US" w:bidi="ar-SA"/>
      </w:rPr>
    </w:lvl>
  </w:abstractNum>
  <w:abstractNum w:abstractNumId="215" w15:restartNumberingAfterBreak="0">
    <w:nsid w:val="7BBD4A73"/>
    <w:multiLevelType w:val="hybridMultilevel"/>
    <w:tmpl w:val="B48C15C8"/>
    <w:lvl w:ilvl="0" w:tplc="F594C0F0">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603A2AC0">
      <w:numFmt w:val="bullet"/>
      <w:lvlText w:val="•"/>
      <w:lvlJc w:val="left"/>
      <w:pPr>
        <w:ind w:left="3026" w:hanging="360"/>
      </w:pPr>
      <w:rPr>
        <w:rFonts w:hint="default"/>
        <w:lang w:val="en-US" w:eastAsia="en-US" w:bidi="ar-SA"/>
      </w:rPr>
    </w:lvl>
    <w:lvl w:ilvl="2" w:tplc="667C1590">
      <w:numFmt w:val="bullet"/>
      <w:lvlText w:val="•"/>
      <w:lvlJc w:val="left"/>
      <w:pPr>
        <w:ind w:left="3832" w:hanging="360"/>
      </w:pPr>
      <w:rPr>
        <w:rFonts w:hint="default"/>
        <w:lang w:val="en-US" w:eastAsia="en-US" w:bidi="ar-SA"/>
      </w:rPr>
    </w:lvl>
    <w:lvl w:ilvl="3" w:tplc="7340C942">
      <w:numFmt w:val="bullet"/>
      <w:lvlText w:val="•"/>
      <w:lvlJc w:val="left"/>
      <w:pPr>
        <w:ind w:left="4638" w:hanging="360"/>
      </w:pPr>
      <w:rPr>
        <w:rFonts w:hint="default"/>
        <w:lang w:val="en-US" w:eastAsia="en-US" w:bidi="ar-SA"/>
      </w:rPr>
    </w:lvl>
    <w:lvl w:ilvl="4" w:tplc="A54606A2">
      <w:numFmt w:val="bullet"/>
      <w:lvlText w:val="•"/>
      <w:lvlJc w:val="left"/>
      <w:pPr>
        <w:ind w:left="5444" w:hanging="360"/>
      </w:pPr>
      <w:rPr>
        <w:rFonts w:hint="default"/>
        <w:lang w:val="en-US" w:eastAsia="en-US" w:bidi="ar-SA"/>
      </w:rPr>
    </w:lvl>
    <w:lvl w:ilvl="5" w:tplc="BCF0B398">
      <w:numFmt w:val="bullet"/>
      <w:lvlText w:val="•"/>
      <w:lvlJc w:val="left"/>
      <w:pPr>
        <w:ind w:left="6250" w:hanging="360"/>
      </w:pPr>
      <w:rPr>
        <w:rFonts w:hint="default"/>
        <w:lang w:val="en-US" w:eastAsia="en-US" w:bidi="ar-SA"/>
      </w:rPr>
    </w:lvl>
    <w:lvl w:ilvl="6" w:tplc="55A4C900">
      <w:numFmt w:val="bullet"/>
      <w:lvlText w:val="•"/>
      <w:lvlJc w:val="left"/>
      <w:pPr>
        <w:ind w:left="7056" w:hanging="360"/>
      </w:pPr>
      <w:rPr>
        <w:rFonts w:hint="default"/>
        <w:lang w:val="en-US" w:eastAsia="en-US" w:bidi="ar-SA"/>
      </w:rPr>
    </w:lvl>
    <w:lvl w:ilvl="7" w:tplc="A8124302">
      <w:numFmt w:val="bullet"/>
      <w:lvlText w:val="•"/>
      <w:lvlJc w:val="left"/>
      <w:pPr>
        <w:ind w:left="7862" w:hanging="360"/>
      </w:pPr>
      <w:rPr>
        <w:rFonts w:hint="default"/>
        <w:lang w:val="en-US" w:eastAsia="en-US" w:bidi="ar-SA"/>
      </w:rPr>
    </w:lvl>
    <w:lvl w:ilvl="8" w:tplc="0FB4C77C">
      <w:numFmt w:val="bullet"/>
      <w:lvlText w:val="•"/>
      <w:lvlJc w:val="left"/>
      <w:pPr>
        <w:ind w:left="8668" w:hanging="360"/>
      </w:pPr>
      <w:rPr>
        <w:rFonts w:hint="default"/>
        <w:lang w:val="en-US" w:eastAsia="en-US" w:bidi="ar-SA"/>
      </w:rPr>
    </w:lvl>
  </w:abstractNum>
  <w:abstractNum w:abstractNumId="216" w15:restartNumberingAfterBreak="0">
    <w:nsid w:val="7D394BD8"/>
    <w:multiLevelType w:val="hybridMultilevel"/>
    <w:tmpl w:val="CC8ED828"/>
    <w:lvl w:ilvl="0" w:tplc="17EAB682">
      <w:numFmt w:val="bullet"/>
      <w:lvlText w:val=""/>
      <w:lvlJc w:val="left"/>
      <w:pPr>
        <w:ind w:left="2218" w:hanging="360"/>
      </w:pPr>
      <w:rPr>
        <w:rFonts w:ascii="Symbol" w:eastAsia="Symbol" w:hAnsi="Symbol" w:cs="Symbol" w:hint="default"/>
        <w:b w:val="0"/>
        <w:bCs w:val="0"/>
        <w:i w:val="0"/>
        <w:iCs w:val="0"/>
        <w:spacing w:val="0"/>
        <w:w w:val="99"/>
        <w:sz w:val="22"/>
        <w:szCs w:val="22"/>
        <w:lang w:val="en-US" w:eastAsia="en-US" w:bidi="ar-SA"/>
      </w:rPr>
    </w:lvl>
    <w:lvl w:ilvl="1" w:tplc="1ED8C74E">
      <w:numFmt w:val="bullet"/>
      <w:lvlText w:val="•"/>
      <w:lvlJc w:val="left"/>
      <w:pPr>
        <w:ind w:left="3026" w:hanging="360"/>
      </w:pPr>
      <w:rPr>
        <w:rFonts w:hint="default"/>
        <w:lang w:val="en-US" w:eastAsia="en-US" w:bidi="ar-SA"/>
      </w:rPr>
    </w:lvl>
    <w:lvl w:ilvl="2" w:tplc="84644E60">
      <w:numFmt w:val="bullet"/>
      <w:lvlText w:val="•"/>
      <w:lvlJc w:val="left"/>
      <w:pPr>
        <w:ind w:left="3832" w:hanging="360"/>
      </w:pPr>
      <w:rPr>
        <w:rFonts w:hint="default"/>
        <w:lang w:val="en-US" w:eastAsia="en-US" w:bidi="ar-SA"/>
      </w:rPr>
    </w:lvl>
    <w:lvl w:ilvl="3" w:tplc="4CA49E94">
      <w:numFmt w:val="bullet"/>
      <w:lvlText w:val="•"/>
      <w:lvlJc w:val="left"/>
      <w:pPr>
        <w:ind w:left="4638" w:hanging="360"/>
      </w:pPr>
      <w:rPr>
        <w:rFonts w:hint="default"/>
        <w:lang w:val="en-US" w:eastAsia="en-US" w:bidi="ar-SA"/>
      </w:rPr>
    </w:lvl>
    <w:lvl w:ilvl="4" w:tplc="29C27CBC">
      <w:numFmt w:val="bullet"/>
      <w:lvlText w:val="•"/>
      <w:lvlJc w:val="left"/>
      <w:pPr>
        <w:ind w:left="5444" w:hanging="360"/>
      </w:pPr>
      <w:rPr>
        <w:rFonts w:hint="default"/>
        <w:lang w:val="en-US" w:eastAsia="en-US" w:bidi="ar-SA"/>
      </w:rPr>
    </w:lvl>
    <w:lvl w:ilvl="5" w:tplc="9BB4F618">
      <w:numFmt w:val="bullet"/>
      <w:lvlText w:val="•"/>
      <w:lvlJc w:val="left"/>
      <w:pPr>
        <w:ind w:left="6250" w:hanging="360"/>
      </w:pPr>
      <w:rPr>
        <w:rFonts w:hint="default"/>
        <w:lang w:val="en-US" w:eastAsia="en-US" w:bidi="ar-SA"/>
      </w:rPr>
    </w:lvl>
    <w:lvl w:ilvl="6" w:tplc="8CC00CFA">
      <w:numFmt w:val="bullet"/>
      <w:lvlText w:val="•"/>
      <w:lvlJc w:val="left"/>
      <w:pPr>
        <w:ind w:left="7056" w:hanging="360"/>
      </w:pPr>
      <w:rPr>
        <w:rFonts w:hint="default"/>
        <w:lang w:val="en-US" w:eastAsia="en-US" w:bidi="ar-SA"/>
      </w:rPr>
    </w:lvl>
    <w:lvl w:ilvl="7" w:tplc="593A8BD0">
      <w:numFmt w:val="bullet"/>
      <w:lvlText w:val="•"/>
      <w:lvlJc w:val="left"/>
      <w:pPr>
        <w:ind w:left="7862" w:hanging="360"/>
      </w:pPr>
      <w:rPr>
        <w:rFonts w:hint="default"/>
        <w:lang w:val="en-US" w:eastAsia="en-US" w:bidi="ar-SA"/>
      </w:rPr>
    </w:lvl>
    <w:lvl w:ilvl="8" w:tplc="28CEE554">
      <w:numFmt w:val="bullet"/>
      <w:lvlText w:val="•"/>
      <w:lvlJc w:val="left"/>
      <w:pPr>
        <w:ind w:left="8668" w:hanging="360"/>
      </w:pPr>
      <w:rPr>
        <w:rFonts w:hint="default"/>
        <w:lang w:val="en-US" w:eastAsia="en-US" w:bidi="ar-SA"/>
      </w:rPr>
    </w:lvl>
  </w:abstractNum>
  <w:abstractNum w:abstractNumId="217" w15:restartNumberingAfterBreak="0">
    <w:nsid w:val="7D7D6CD5"/>
    <w:multiLevelType w:val="hybridMultilevel"/>
    <w:tmpl w:val="FE5A845A"/>
    <w:lvl w:ilvl="0" w:tplc="F516EE4E">
      <w:start w:val="10"/>
      <w:numFmt w:val="decimal"/>
      <w:lvlText w:val=".%1"/>
      <w:lvlJc w:val="left"/>
      <w:pPr>
        <w:ind w:left="1640" w:hanging="721"/>
      </w:pPr>
      <w:rPr>
        <w:rFonts w:ascii="Arial" w:eastAsia="Arial" w:hAnsi="Arial" w:cs="Arial" w:hint="default"/>
        <w:b w:val="0"/>
        <w:bCs w:val="0"/>
        <w:i w:val="0"/>
        <w:iCs w:val="0"/>
        <w:spacing w:val="0"/>
        <w:w w:val="99"/>
        <w:sz w:val="22"/>
        <w:szCs w:val="22"/>
        <w:lang w:val="en-US" w:eastAsia="en-US" w:bidi="ar-SA"/>
      </w:rPr>
    </w:lvl>
    <w:lvl w:ilvl="1" w:tplc="CFA8FAD6">
      <w:start w:val="1"/>
      <w:numFmt w:val="lowerLetter"/>
      <w:lvlText w:val="%2."/>
      <w:lvlJc w:val="left"/>
      <w:pPr>
        <w:ind w:left="2000" w:hanging="360"/>
      </w:pPr>
      <w:rPr>
        <w:rFonts w:ascii="Arial" w:eastAsia="Arial" w:hAnsi="Arial" w:cs="Arial" w:hint="default"/>
        <w:b w:val="0"/>
        <w:bCs w:val="0"/>
        <w:i w:val="0"/>
        <w:iCs w:val="0"/>
        <w:spacing w:val="0"/>
        <w:w w:val="99"/>
        <w:sz w:val="22"/>
        <w:szCs w:val="22"/>
        <w:lang w:val="en-US" w:eastAsia="en-US" w:bidi="ar-SA"/>
      </w:rPr>
    </w:lvl>
    <w:lvl w:ilvl="2" w:tplc="82DA4EC6">
      <w:numFmt w:val="bullet"/>
      <w:lvlText w:val=""/>
      <w:lvlJc w:val="left"/>
      <w:pPr>
        <w:ind w:left="2360" w:hanging="360"/>
      </w:pPr>
      <w:rPr>
        <w:rFonts w:ascii="Symbol" w:eastAsia="Symbol" w:hAnsi="Symbol" w:cs="Symbol" w:hint="default"/>
        <w:b w:val="0"/>
        <w:bCs w:val="0"/>
        <w:i w:val="0"/>
        <w:iCs w:val="0"/>
        <w:spacing w:val="0"/>
        <w:w w:val="99"/>
        <w:sz w:val="22"/>
        <w:szCs w:val="22"/>
        <w:lang w:val="en-US" w:eastAsia="en-US" w:bidi="ar-SA"/>
      </w:rPr>
    </w:lvl>
    <w:lvl w:ilvl="3" w:tplc="5CA6DEEA">
      <w:numFmt w:val="bullet"/>
      <w:lvlText w:val="•"/>
      <w:lvlJc w:val="left"/>
      <w:pPr>
        <w:ind w:left="3302" w:hanging="360"/>
      </w:pPr>
      <w:rPr>
        <w:rFonts w:hint="default"/>
        <w:lang w:val="en-US" w:eastAsia="en-US" w:bidi="ar-SA"/>
      </w:rPr>
    </w:lvl>
    <w:lvl w:ilvl="4" w:tplc="59CC3C76">
      <w:numFmt w:val="bullet"/>
      <w:lvlText w:val="•"/>
      <w:lvlJc w:val="left"/>
      <w:pPr>
        <w:ind w:left="4245" w:hanging="360"/>
      </w:pPr>
      <w:rPr>
        <w:rFonts w:hint="default"/>
        <w:lang w:val="en-US" w:eastAsia="en-US" w:bidi="ar-SA"/>
      </w:rPr>
    </w:lvl>
    <w:lvl w:ilvl="5" w:tplc="C338F576">
      <w:numFmt w:val="bullet"/>
      <w:lvlText w:val="•"/>
      <w:lvlJc w:val="left"/>
      <w:pPr>
        <w:ind w:left="5187" w:hanging="360"/>
      </w:pPr>
      <w:rPr>
        <w:rFonts w:hint="default"/>
        <w:lang w:val="en-US" w:eastAsia="en-US" w:bidi="ar-SA"/>
      </w:rPr>
    </w:lvl>
    <w:lvl w:ilvl="6" w:tplc="735AB834">
      <w:numFmt w:val="bullet"/>
      <w:lvlText w:val="•"/>
      <w:lvlJc w:val="left"/>
      <w:pPr>
        <w:ind w:left="6130" w:hanging="360"/>
      </w:pPr>
      <w:rPr>
        <w:rFonts w:hint="default"/>
        <w:lang w:val="en-US" w:eastAsia="en-US" w:bidi="ar-SA"/>
      </w:rPr>
    </w:lvl>
    <w:lvl w:ilvl="7" w:tplc="12488FE4">
      <w:numFmt w:val="bullet"/>
      <w:lvlText w:val="•"/>
      <w:lvlJc w:val="left"/>
      <w:pPr>
        <w:ind w:left="7072" w:hanging="360"/>
      </w:pPr>
      <w:rPr>
        <w:rFonts w:hint="default"/>
        <w:lang w:val="en-US" w:eastAsia="en-US" w:bidi="ar-SA"/>
      </w:rPr>
    </w:lvl>
    <w:lvl w:ilvl="8" w:tplc="BE5C7A96">
      <w:numFmt w:val="bullet"/>
      <w:lvlText w:val="•"/>
      <w:lvlJc w:val="left"/>
      <w:pPr>
        <w:ind w:left="8015" w:hanging="360"/>
      </w:pPr>
      <w:rPr>
        <w:rFonts w:hint="default"/>
        <w:lang w:val="en-US" w:eastAsia="en-US" w:bidi="ar-SA"/>
      </w:rPr>
    </w:lvl>
  </w:abstractNum>
  <w:abstractNum w:abstractNumId="218" w15:restartNumberingAfterBreak="0">
    <w:nsid w:val="7EEA3DB6"/>
    <w:multiLevelType w:val="hybridMultilevel"/>
    <w:tmpl w:val="6FD6DA6A"/>
    <w:lvl w:ilvl="0" w:tplc="D6A87A64">
      <w:start w:val="1"/>
      <w:numFmt w:val="lowerLetter"/>
      <w:lvlText w:val="%1."/>
      <w:lvlJc w:val="left"/>
      <w:pPr>
        <w:ind w:left="1249" w:hanging="360"/>
      </w:pPr>
      <w:rPr>
        <w:rFonts w:ascii="Arial" w:eastAsia="Arial" w:hAnsi="Arial" w:cs="Arial" w:hint="default"/>
        <w:b w:val="0"/>
        <w:bCs w:val="0"/>
        <w:i w:val="0"/>
        <w:iCs w:val="0"/>
        <w:spacing w:val="0"/>
        <w:w w:val="99"/>
        <w:sz w:val="22"/>
        <w:szCs w:val="22"/>
        <w:lang w:val="en-US" w:eastAsia="en-US" w:bidi="ar-SA"/>
      </w:rPr>
    </w:lvl>
    <w:lvl w:ilvl="1" w:tplc="B74E98D6">
      <w:numFmt w:val="bullet"/>
      <w:lvlText w:val=""/>
      <w:lvlJc w:val="left"/>
      <w:pPr>
        <w:ind w:left="1610" w:hanging="360"/>
      </w:pPr>
      <w:rPr>
        <w:rFonts w:ascii="Symbol" w:eastAsia="Symbol" w:hAnsi="Symbol" w:cs="Symbol" w:hint="default"/>
        <w:spacing w:val="0"/>
        <w:w w:val="99"/>
        <w:lang w:val="en-US" w:eastAsia="en-US" w:bidi="ar-SA"/>
      </w:rPr>
    </w:lvl>
    <w:lvl w:ilvl="2" w:tplc="C794EF68">
      <w:numFmt w:val="bullet"/>
      <w:lvlText w:val="•"/>
      <w:lvlJc w:val="left"/>
      <w:pPr>
        <w:ind w:left="2256" w:hanging="360"/>
      </w:pPr>
      <w:rPr>
        <w:rFonts w:hint="default"/>
        <w:lang w:val="en-US" w:eastAsia="en-US" w:bidi="ar-SA"/>
      </w:rPr>
    </w:lvl>
    <w:lvl w:ilvl="3" w:tplc="F11C8A28">
      <w:numFmt w:val="bullet"/>
      <w:lvlText w:val="•"/>
      <w:lvlJc w:val="left"/>
      <w:pPr>
        <w:ind w:left="2893" w:hanging="360"/>
      </w:pPr>
      <w:rPr>
        <w:rFonts w:hint="default"/>
        <w:lang w:val="en-US" w:eastAsia="en-US" w:bidi="ar-SA"/>
      </w:rPr>
    </w:lvl>
    <w:lvl w:ilvl="4" w:tplc="9CB08E54">
      <w:numFmt w:val="bullet"/>
      <w:lvlText w:val="•"/>
      <w:lvlJc w:val="left"/>
      <w:pPr>
        <w:ind w:left="3530" w:hanging="360"/>
      </w:pPr>
      <w:rPr>
        <w:rFonts w:hint="default"/>
        <w:lang w:val="en-US" w:eastAsia="en-US" w:bidi="ar-SA"/>
      </w:rPr>
    </w:lvl>
    <w:lvl w:ilvl="5" w:tplc="9438D3A4">
      <w:numFmt w:val="bullet"/>
      <w:lvlText w:val="•"/>
      <w:lvlJc w:val="left"/>
      <w:pPr>
        <w:ind w:left="4166" w:hanging="360"/>
      </w:pPr>
      <w:rPr>
        <w:rFonts w:hint="default"/>
        <w:lang w:val="en-US" w:eastAsia="en-US" w:bidi="ar-SA"/>
      </w:rPr>
    </w:lvl>
    <w:lvl w:ilvl="6" w:tplc="C7883910">
      <w:numFmt w:val="bullet"/>
      <w:lvlText w:val="•"/>
      <w:lvlJc w:val="left"/>
      <w:pPr>
        <w:ind w:left="4803" w:hanging="360"/>
      </w:pPr>
      <w:rPr>
        <w:rFonts w:hint="default"/>
        <w:lang w:val="en-US" w:eastAsia="en-US" w:bidi="ar-SA"/>
      </w:rPr>
    </w:lvl>
    <w:lvl w:ilvl="7" w:tplc="9F9A79A4">
      <w:numFmt w:val="bullet"/>
      <w:lvlText w:val="•"/>
      <w:lvlJc w:val="left"/>
      <w:pPr>
        <w:ind w:left="5440" w:hanging="360"/>
      </w:pPr>
      <w:rPr>
        <w:rFonts w:hint="default"/>
        <w:lang w:val="en-US" w:eastAsia="en-US" w:bidi="ar-SA"/>
      </w:rPr>
    </w:lvl>
    <w:lvl w:ilvl="8" w:tplc="07300764">
      <w:numFmt w:val="bullet"/>
      <w:lvlText w:val="•"/>
      <w:lvlJc w:val="left"/>
      <w:pPr>
        <w:ind w:left="6076" w:hanging="360"/>
      </w:pPr>
      <w:rPr>
        <w:rFonts w:hint="default"/>
        <w:lang w:val="en-US" w:eastAsia="en-US" w:bidi="ar-SA"/>
      </w:rPr>
    </w:lvl>
  </w:abstractNum>
  <w:abstractNum w:abstractNumId="219" w15:restartNumberingAfterBreak="0">
    <w:nsid w:val="7F16480B"/>
    <w:multiLevelType w:val="hybridMultilevel"/>
    <w:tmpl w:val="2B720F5A"/>
    <w:lvl w:ilvl="0" w:tplc="51F6DAB6">
      <w:start w:val="5"/>
      <w:numFmt w:val="decimal"/>
      <w:lvlText w:val="%1."/>
      <w:lvlJc w:val="left"/>
      <w:pPr>
        <w:ind w:left="600" w:hanging="471"/>
      </w:pPr>
      <w:rPr>
        <w:rFonts w:ascii="Arial" w:eastAsia="Arial" w:hAnsi="Arial" w:cs="Arial" w:hint="default"/>
        <w:b w:val="0"/>
        <w:bCs w:val="0"/>
        <w:i w:val="0"/>
        <w:iCs w:val="0"/>
        <w:spacing w:val="0"/>
        <w:w w:val="99"/>
        <w:sz w:val="22"/>
        <w:szCs w:val="22"/>
        <w:lang w:val="en-US" w:eastAsia="en-US" w:bidi="ar-SA"/>
      </w:rPr>
    </w:lvl>
    <w:lvl w:ilvl="1" w:tplc="1082BF12">
      <w:numFmt w:val="bullet"/>
      <w:lvlText w:val=""/>
      <w:lvlJc w:val="left"/>
      <w:pPr>
        <w:ind w:left="927" w:hanging="360"/>
      </w:pPr>
      <w:rPr>
        <w:rFonts w:ascii="Symbol" w:eastAsia="Symbol" w:hAnsi="Symbol" w:cs="Symbol" w:hint="default"/>
        <w:b w:val="0"/>
        <w:bCs w:val="0"/>
        <w:i w:val="0"/>
        <w:iCs w:val="0"/>
        <w:spacing w:val="0"/>
        <w:w w:val="99"/>
        <w:sz w:val="22"/>
        <w:szCs w:val="22"/>
        <w:lang w:val="en-US" w:eastAsia="en-US" w:bidi="ar-SA"/>
      </w:rPr>
    </w:lvl>
    <w:lvl w:ilvl="2" w:tplc="9698E59E">
      <w:numFmt w:val="bullet"/>
      <w:lvlText w:val="•"/>
      <w:lvlJc w:val="left"/>
      <w:pPr>
        <w:ind w:left="1574" w:hanging="360"/>
      </w:pPr>
      <w:rPr>
        <w:rFonts w:hint="default"/>
        <w:lang w:val="en-US" w:eastAsia="en-US" w:bidi="ar-SA"/>
      </w:rPr>
    </w:lvl>
    <w:lvl w:ilvl="3" w:tplc="92E49B0E">
      <w:numFmt w:val="bullet"/>
      <w:lvlText w:val="•"/>
      <w:lvlJc w:val="left"/>
      <w:pPr>
        <w:ind w:left="2228" w:hanging="360"/>
      </w:pPr>
      <w:rPr>
        <w:rFonts w:hint="default"/>
        <w:lang w:val="en-US" w:eastAsia="en-US" w:bidi="ar-SA"/>
      </w:rPr>
    </w:lvl>
    <w:lvl w:ilvl="4" w:tplc="D7F21614">
      <w:numFmt w:val="bullet"/>
      <w:lvlText w:val="•"/>
      <w:lvlJc w:val="left"/>
      <w:pPr>
        <w:ind w:left="2883" w:hanging="360"/>
      </w:pPr>
      <w:rPr>
        <w:rFonts w:hint="default"/>
        <w:lang w:val="en-US" w:eastAsia="en-US" w:bidi="ar-SA"/>
      </w:rPr>
    </w:lvl>
    <w:lvl w:ilvl="5" w:tplc="5DA6036A">
      <w:numFmt w:val="bullet"/>
      <w:lvlText w:val="•"/>
      <w:lvlJc w:val="left"/>
      <w:pPr>
        <w:ind w:left="3537" w:hanging="360"/>
      </w:pPr>
      <w:rPr>
        <w:rFonts w:hint="default"/>
        <w:lang w:val="en-US" w:eastAsia="en-US" w:bidi="ar-SA"/>
      </w:rPr>
    </w:lvl>
    <w:lvl w:ilvl="6" w:tplc="535EC568">
      <w:numFmt w:val="bullet"/>
      <w:lvlText w:val="•"/>
      <w:lvlJc w:val="left"/>
      <w:pPr>
        <w:ind w:left="4192" w:hanging="360"/>
      </w:pPr>
      <w:rPr>
        <w:rFonts w:hint="default"/>
        <w:lang w:val="en-US" w:eastAsia="en-US" w:bidi="ar-SA"/>
      </w:rPr>
    </w:lvl>
    <w:lvl w:ilvl="7" w:tplc="C71029D6">
      <w:numFmt w:val="bullet"/>
      <w:lvlText w:val="•"/>
      <w:lvlJc w:val="left"/>
      <w:pPr>
        <w:ind w:left="4846" w:hanging="360"/>
      </w:pPr>
      <w:rPr>
        <w:rFonts w:hint="default"/>
        <w:lang w:val="en-US" w:eastAsia="en-US" w:bidi="ar-SA"/>
      </w:rPr>
    </w:lvl>
    <w:lvl w:ilvl="8" w:tplc="78060482">
      <w:numFmt w:val="bullet"/>
      <w:lvlText w:val="•"/>
      <w:lvlJc w:val="left"/>
      <w:pPr>
        <w:ind w:left="5501" w:hanging="360"/>
      </w:pPr>
      <w:rPr>
        <w:rFonts w:hint="default"/>
        <w:lang w:val="en-US" w:eastAsia="en-US" w:bidi="ar-SA"/>
      </w:rPr>
    </w:lvl>
  </w:abstractNum>
  <w:abstractNum w:abstractNumId="220" w15:restartNumberingAfterBreak="0">
    <w:nsid w:val="7F3A1974"/>
    <w:multiLevelType w:val="hybridMultilevel"/>
    <w:tmpl w:val="5554D5FA"/>
    <w:lvl w:ilvl="0" w:tplc="4EB02892">
      <w:start w:val="1"/>
      <w:numFmt w:val="lowerLetter"/>
      <w:lvlText w:val="%1."/>
      <w:lvlJc w:val="left"/>
      <w:pPr>
        <w:ind w:left="2219" w:hanging="360"/>
      </w:pPr>
      <w:rPr>
        <w:rFonts w:ascii="Arial" w:eastAsia="Arial" w:hAnsi="Arial" w:cs="Arial" w:hint="default"/>
        <w:b w:val="0"/>
        <w:bCs w:val="0"/>
        <w:i w:val="0"/>
        <w:iCs w:val="0"/>
        <w:spacing w:val="0"/>
        <w:w w:val="99"/>
        <w:sz w:val="22"/>
        <w:szCs w:val="22"/>
        <w:lang w:val="en-US" w:eastAsia="en-US" w:bidi="ar-SA"/>
      </w:rPr>
    </w:lvl>
    <w:lvl w:ilvl="1" w:tplc="EBDE566A">
      <w:numFmt w:val="bullet"/>
      <w:lvlText w:val="•"/>
      <w:lvlJc w:val="left"/>
      <w:pPr>
        <w:ind w:left="3026" w:hanging="360"/>
      </w:pPr>
      <w:rPr>
        <w:rFonts w:hint="default"/>
        <w:lang w:val="en-US" w:eastAsia="en-US" w:bidi="ar-SA"/>
      </w:rPr>
    </w:lvl>
    <w:lvl w:ilvl="2" w:tplc="B164E80A">
      <w:numFmt w:val="bullet"/>
      <w:lvlText w:val="•"/>
      <w:lvlJc w:val="left"/>
      <w:pPr>
        <w:ind w:left="3832" w:hanging="360"/>
      </w:pPr>
      <w:rPr>
        <w:rFonts w:hint="default"/>
        <w:lang w:val="en-US" w:eastAsia="en-US" w:bidi="ar-SA"/>
      </w:rPr>
    </w:lvl>
    <w:lvl w:ilvl="3" w:tplc="59547602">
      <w:numFmt w:val="bullet"/>
      <w:lvlText w:val="•"/>
      <w:lvlJc w:val="left"/>
      <w:pPr>
        <w:ind w:left="4638" w:hanging="360"/>
      </w:pPr>
      <w:rPr>
        <w:rFonts w:hint="default"/>
        <w:lang w:val="en-US" w:eastAsia="en-US" w:bidi="ar-SA"/>
      </w:rPr>
    </w:lvl>
    <w:lvl w:ilvl="4" w:tplc="A588DE1C">
      <w:numFmt w:val="bullet"/>
      <w:lvlText w:val="•"/>
      <w:lvlJc w:val="left"/>
      <w:pPr>
        <w:ind w:left="5444" w:hanging="360"/>
      </w:pPr>
      <w:rPr>
        <w:rFonts w:hint="default"/>
        <w:lang w:val="en-US" w:eastAsia="en-US" w:bidi="ar-SA"/>
      </w:rPr>
    </w:lvl>
    <w:lvl w:ilvl="5" w:tplc="6736FC56">
      <w:numFmt w:val="bullet"/>
      <w:lvlText w:val="•"/>
      <w:lvlJc w:val="left"/>
      <w:pPr>
        <w:ind w:left="6250" w:hanging="360"/>
      </w:pPr>
      <w:rPr>
        <w:rFonts w:hint="default"/>
        <w:lang w:val="en-US" w:eastAsia="en-US" w:bidi="ar-SA"/>
      </w:rPr>
    </w:lvl>
    <w:lvl w:ilvl="6" w:tplc="F1063CA4">
      <w:numFmt w:val="bullet"/>
      <w:lvlText w:val="•"/>
      <w:lvlJc w:val="left"/>
      <w:pPr>
        <w:ind w:left="7056" w:hanging="360"/>
      </w:pPr>
      <w:rPr>
        <w:rFonts w:hint="default"/>
        <w:lang w:val="en-US" w:eastAsia="en-US" w:bidi="ar-SA"/>
      </w:rPr>
    </w:lvl>
    <w:lvl w:ilvl="7" w:tplc="CBE6ECBE">
      <w:numFmt w:val="bullet"/>
      <w:lvlText w:val="•"/>
      <w:lvlJc w:val="left"/>
      <w:pPr>
        <w:ind w:left="7862" w:hanging="360"/>
      </w:pPr>
      <w:rPr>
        <w:rFonts w:hint="default"/>
        <w:lang w:val="en-US" w:eastAsia="en-US" w:bidi="ar-SA"/>
      </w:rPr>
    </w:lvl>
    <w:lvl w:ilvl="8" w:tplc="F70A0246">
      <w:numFmt w:val="bullet"/>
      <w:lvlText w:val="•"/>
      <w:lvlJc w:val="left"/>
      <w:pPr>
        <w:ind w:left="8668" w:hanging="360"/>
      </w:pPr>
      <w:rPr>
        <w:rFonts w:hint="default"/>
        <w:lang w:val="en-US" w:eastAsia="en-US" w:bidi="ar-SA"/>
      </w:rPr>
    </w:lvl>
  </w:abstractNum>
  <w:num w:numId="1" w16cid:durableId="1964073575">
    <w:abstractNumId w:val="108"/>
  </w:num>
  <w:num w:numId="2" w16cid:durableId="520897415">
    <w:abstractNumId w:val="1"/>
  </w:num>
  <w:num w:numId="3" w16cid:durableId="525825911">
    <w:abstractNumId w:val="142"/>
  </w:num>
  <w:num w:numId="4" w16cid:durableId="1714380833">
    <w:abstractNumId w:val="90"/>
  </w:num>
  <w:num w:numId="5" w16cid:durableId="140580331">
    <w:abstractNumId w:val="109"/>
  </w:num>
  <w:num w:numId="6" w16cid:durableId="769859960">
    <w:abstractNumId w:val="210"/>
  </w:num>
  <w:num w:numId="7" w16cid:durableId="1296839361">
    <w:abstractNumId w:val="80"/>
  </w:num>
  <w:num w:numId="8" w16cid:durableId="1046639928">
    <w:abstractNumId w:val="18"/>
  </w:num>
  <w:num w:numId="9" w16cid:durableId="2010912451">
    <w:abstractNumId w:val="78"/>
  </w:num>
  <w:num w:numId="10" w16cid:durableId="1168517809">
    <w:abstractNumId w:val="174"/>
  </w:num>
  <w:num w:numId="11" w16cid:durableId="145898578">
    <w:abstractNumId w:val="79"/>
  </w:num>
  <w:num w:numId="12" w16cid:durableId="1835873913">
    <w:abstractNumId w:val="179"/>
  </w:num>
  <w:num w:numId="13" w16cid:durableId="1551115905">
    <w:abstractNumId w:val="44"/>
  </w:num>
  <w:num w:numId="14" w16cid:durableId="2118862667">
    <w:abstractNumId w:val="47"/>
  </w:num>
  <w:num w:numId="15" w16cid:durableId="1050418006">
    <w:abstractNumId w:val="178"/>
  </w:num>
  <w:num w:numId="16" w16cid:durableId="1087652243">
    <w:abstractNumId w:val="67"/>
  </w:num>
  <w:num w:numId="17" w16cid:durableId="1743792253">
    <w:abstractNumId w:val="62"/>
  </w:num>
  <w:num w:numId="18" w16cid:durableId="985814365">
    <w:abstractNumId w:val="126"/>
  </w:num>
  <w:num w:numId="19" w16cid:durableId="425736751">
    <w:abstractNumId w:val="100"/>
  </w:num>
  <w:num w:numId="20" w16cid:durableId="1792554658">
    <w:abstractNumId w:val="171"/>
  </w:num>
  <w:num w:numId="21" w16cid:durableId="2017994026">
    <w:abstractNumId w:val="41"/>
  </w:num>
  <w:num w:numId="22" w16cid:durableId="1771388517">
    <w:abstractNumId w:val="195"/>
  </w:num>
  <w:num w:numId="23" w16cid:durableId="1756855800">
    <w:abstractNumId w:val="205"/>
  </w:num>
  <w:num w:numId="24" w16cid:durableId="913005778">
    <w:abstractNumId w:val="139"/>
  </w:num>
  <w:num w:numId="25" w16cid:durableId="384449267">
    <w:abstractNumId w:val="127"/>
  </w:num>
  <w:num w:numId="26" w16cid:durableId="1369797719">
    <w:abstractNumId w:val="201"/>
  </w:num>
  <w:num w:numId="27" w16cid:durableId="1556425391">
    <w:abstractNumId w:val="202"/>
  </w:num>
  <w:num w:numId="28" w16cid:durableId="1433747762">
    <w:abstractNumId w:val="27"/>
  </w:num>
  <w:num w:numId="29" w16cid:durableId="1041905793">
    <w:abstractNumId w:val="133"/>
  </w:num>
  <w:num w:numId="30" w16cid:durableId="2111387780">
    <w:abstractNumId w:val="49"/>
  </w:num>
  <w:num w:numId="31" w16cid:durableId="1329020594">
    <w:abstractNumId w:val="106"/>
  </w:num>
  <w:num w:numId="32" w16cid:durableId="1669018260">
    <w:abstractNumId w:val="82"/>
  </w:num>
  <w:num w:numId="33" w16cid:durableId="555505212">
    <w:abstractNumId w:val="5"/>
  </w:num>
  <w:num w:numId="34" w16cid:durableId="1741052780">
    <w:abstractNumId w:val="66"/>
  </w:num>
  <w:num w:numId="35" w16cid:durableId="2068212930">
    <w:abstractNumId w:val="58"/>
  </w:num>
  <w:num w:numId="36" w16cid:durableId="852459331">
    <w:abstractNumId w:val="29"/>
  </w:num>
  <w:num w:numId="37" w16cid:durableId="1777795805">
    <w:abstractNumId w:val="121"/>
  </w:num>
  <w:num w:numId="38" w16cid:durableId="2037928593">
    <w:abstractNumId w:val="57"/>
  </w:num>
  <w:num w:numId="39" w16cid:durableId="1823889933">
    <w:abstractNumId w:val="24"/>
  </w:num>
  <w:num w:numId="40" w16cid:durableId="310914913">
    <w:abstractNumId w:val="73"/>
  </w:num>
  <w:num w:numId="41" w16cid:durableId="165287378">
    <w:abstractNumId w:val="60"/>
  </w:num>
  <w:num w:numId="42" w16cid:durableId="1569265105">
    <w:abstractNumId w:val="6"/>
  </w:num>
  <w:num w:numId="43" w16cid:durableId="726034290">
    <w:abstractNumId w:val="167"/>
  </w:num>
  <w:num w:numId="44" w16cid:durableId="499391756">
    <w:abstractNumId w:val="64"/>
  </w:num>
  <w:num w:numId="45" w16cid:durableId="1159494110">
    <w:abstractNumId w:val="11"/>
  </w:num>
  <w:num w:numId="46" w16cid:durableId="1814789843">
    <w:abstractNumId w:val="19"/>
  </w:num>
  <w:num w:numId="47" w16cid:durableId="1217085604">
    <w:abstractNumId w:val="145"/>
  </w:num>
  <w:num w:numId="48" w16cid:durableId="1393886276">
    <w:abstractNumId w:val="165"/>
  </w:num>
  <w:num w:numId="49" w16cid:durableId="971515610">
    <w:abstractNumId w:val="76"/>
  </w:num>
  <w:num w:numId="50" w16cid:durableId="794103933">
    <w:abstractNumId w:val="136"/>
  </w:num>
  <w:num w:numId="51" w16cid:durableId="65150731">
    <w:abstractNumId w:val="23"/>
  </w:num>
  <w:num w:numId="52" w16cid:durableId="9913916">
    <w:abstractNumId w:val="91"/>
  </w:num>
  <w:num w:numId="53" w16cid:durableId="1281886588">
    <w:abstractNumId w:val="2"/>
  </w:num>
  <w:num w:numId="54" w16cid:durableId="171913601">
    <w:abstractNumId w:val="207"/>
  </w:num>
  <w:num w:numId="55" w16cid:durableId="196695838">
    <w:abstractNumId w:val="180"/>
  </w:num>
  <w:num w:numId="56" w16cid:durableId="237978911">
    <w:abstractNumId w:val="218"/>
  </w:num>
  <w:num w:numId="57" w16cid:durableId="1787432465">
    <w:abstractNumId w:val="150"/>
  </w:num>
  <w:num w:numId="58" w16cid:durableId="275910859">
    <w:abstractNumId w:val="65"/>
  </w:num>
  <w:num w:numId="59" w16cid:durableId="326639172">
    <w:abstractNumId w:val="31"/>
  </w:num>
  <w:num w:numId="60" w16cid:durableId="467820825">
    <w:abstractNumId w:val="134"/>
  </w:num>
  <w:num w:numId="61" w16cid:durableId="686561304">
    <w:abstractNumId w:val="28"/>
  </w:num>
  <w:num w:numId="62" w16cid:durableId="300968095">
    <w:abstractNumId w:val="117"/>
  </w:num>
  <w:num w:numId="63" w16cid:durableId="944112297">
    <w:abstractNumId w:val="96"/>
  </w:num>
  <w:num w:numId="64" w16cid:durableId="260994114">
    <w:abstractNumId w:val="155"/>
  </w:num>
  <w:num w:numId="65" w16cid:durableId="1422412950">
    <w:abstractNumId w:val="16"/>
  </w:num>
  <w:num w:numId="66" w16cid:durableId="126169753">
    <w:abstractNumId w:val="8"/>
  </w:num>
  <w:num w:numId="67" w16cid:durableId="2130463602">
    <w:abstractNumId w:val="128"/>
  </w:num>
  <w:num w:numId="68" w16cid:durableId="1194537275">
    <w:abstractNumId w:val="168"/>
  </w:num>
  <w:num w:numId="69" w16cid:durableId="1644696413">
    <w:abstractNumId w:val="185"/>
  </w:num>
  <w:num w:numId="70" w16cid:durableId="268582133">
    <w:abstractNumId w:val="77"/>
  </w:num>
  <w:num w:numId="71" w16cid:durableId="766729116">
    <w:abstractNumId w:val="122"/>
  </w:num>
  <w:num w:numId="72" w16cid:durableId="1026100176">
    <w:abstractNumId w:val="17"/>
  </w:num>
  <w:num w:numId="73" w16cid:durableId="811411206">
    <w:abstractNumId w:val="39"/>
  </w:num>
  <w:num w:numId="74" w16cid:durableId="381056522">
    <w:abstractNumId w:val="213"/>
  </w:num>
  <w:num w:numId="75" w16cid:durableId="846747293">
    <w:abstractNumId w:val="7"/>
  </w:num>
  <w:num w:numId="76" w16cid:durableId="398483952">
    <w:abstractNumId w:val="30"/>
  </w:num>
  <w:num w:numId="77" w16cid:durableId="932006448">
    <w:abstractNumId w:val="21"/>
  </w:num>
  <w:num w:numId="78" w16cid:durableId="482896458">
    <w:abstractNumId w:val="4"/>
  </w:num>
  <w:num w:numId="79" w16cid:durableId="1448739126">
    <w:abstractNumId w:val="152"/>
  </w:num>
  <w:num w:numId="80" w16cid:durableId="2002542467">
    <w:abstractNumId w:val="198"/>
  </w:num>
  <w:num w:numId="81" w16cid:durableId="1004279152">
    <w:abstractNumId w:val="110"/>
  </w:num>
  <w:num w:numId="82" w16cid:durableId="1217745201">
    <w:abstractNumId w:val="217"/>
  </w:num>
  <w:num w:numId="83" w16cid:durableId="539705737">
    <w:abstractNumId w:val="194"/>
  </w:num>
  <w:num w:numId="84" w16cid:durableId="9257989">
    <w:abstractNumId w:val="177"/>
  </w:num>
  <w:num w:numId="85" w16cid:durableId="2033607705">
    <w:abstractNumId w:val="46"/>
  </w:num>
  <w:num w:numId="86" w16cid:durableId="561986068">
    <w:abstractNumId w:val="199"/>
  </w:num>
  <w:num w:numId="87" w16cid:durableId="442844660">
    <w:abstractNumId w:val="149"/>
  </w:num>
  <w:num w:numId="88" w16cid:durableId="923301451">
    <w:abstractNumId w:val="52"/>
  </w:num>
  <w:num w:numId="89" w16cid:durableId="987133420">
    <w:abstractNumId w:val="131"/>
  </w:num>
  <w:num w:numId="90" w16cid:durableId="181557267">
    <w:abstractNumId w:val="45"/>
  </w:num>
  <w:num w:numId="91" w16cid:durableId="1177694929">
    <w:abstractNumId w:val="176"/>
  </w:num>
  <w:num w:numId="92" w16cid:durableId="1176919858">
    <w:abstractNumId w:val="129"/>
  </w:num>
  <w:num w:numId="93" w16cid:durableId="967466497">
    <w:abstractNumId w:val="144"/>
  </w:num>
  <w:num w:numId="94" w16cid:durableId="1743795228">
    <w:abstractNumId w:val="203"/>
  </w:num>
  <w:num w:numId="95" w16cid:durableId="1489979405">
    <w:abstractNumId w:val="189"/>
  </w:num>
  <w:num w:numId="96" w16cid:durableId="1851794968">
    <w:abstractNumId w:val="119"/>
  </w:num>
  <w:num w:numId="97" w16cid:durableId="1914123773">
    <w:abstractNumId w:val="125"/>
  </w:num>
  <w:num w:numId="98" w16cid:durableId="1824202584">
    <w:abstractNumId w:val="160"/>
  </w:num>
  <w:num w:numId="99" w16cid:durableId="1514104884">
    <w:abstractNumId w:val="118"/>
  </w:num>
  <w:num w:numId="100" w16cid:durableId="202131323">
    <w:abstractNumId w:val="162"/>
  </w:num>
  <w:num w:numId="101" w16cid:durableId="895042395">
    <w:abstractNumId w:val="10"/>
  </w:num>
  <w:num w:numId="102" w16cid:durableId="1358240618">
    <w:abstractNumId w:val="22"/>
  </w:num>
  <w:num w:numId="103" w16cid:durableId="2008559329">
    <w:abstractNumId w:val="107"/>
  </w:num>
  <w:num w:numId="104" w16cid:durableId="422990565">
    <w:abstractNumId w:val="9"/>
  </w:num>
  <w:num w:numId="105" w16cid:durableId="700591793">
    <w:abstractNumId w:val="138"/>
  </w:num>
  <w:num w:numId="106" w16cid:durableId="1500804429">
    <w:abstractNumId w:val="95"/>
  </w:num>
  <w:num w:numId="107" w16cid:durableId="161162597">
    <w:abstractNumId w:val="115"/>
  </w:num>
  <w:num w:numId="108" w16cid:durableId="1707440128">
    <w:abstractNumId w:val="175"/>
  </w:num>
  <w:num w:numId="109" w16cid:durableId="728919965">
    <w:abstractNumId w:val="74"/>
  </w:num>
  <w:num w:numId="110" w16cid:durableId="1173229509">
    <w:abstractNumId w:val="212"/>
  </w:num>
  <w:num w:numId="111" w16cid:durableId="768160620">
    <w:abstractNumId w:val="75"/>
  </w:num>
  <w:num w:numId="112" w16cid:durableId="1368260826">
    <w:abstractNumId w:val="183"/>
  </w:num>
  <w:num w:numId="113" w16cid:durableId="1824738101">
    <w:abstractNumId w:val="204"/>
  </w:num>
  <w:num w:numId="114" w16cid:durableId="1847090792">
    <w:abstractNumId w:val="124"/>
  </w:num>
  <w:num w:numId="115" w16cid:durableId="1325087018">
    <w:abstractNumId w:val="48"/>
  </w:num>
  <w:num w:numId="116" w16cid:durableId="1142119403">
    <w:abstractNumId w:val="34"/>
  </w:num>
  <w:num w:numId="117" w16cid:durableId="2139057736">
    <w:abstractNumId w:val="32"/>
  </w:num>
  <w:num w:numId="118" w16cid:durableId="1030646048">
    <w:abstractNumId w:val="153"/>
  </w:num>
  <w:num w:numId="119" w16cid:durableId="1103378941">
    <w:abstractNumId w:val="69"/>
  </w:num>
  <w:num w:numId="120" w16cid:durableId="366418581">
    <w:abstractNumId w:val="72"/>
  </w:num>
  <w:num w:numId="121" w16cid:durableId="1561089105">
    <w:abstractNumId w:val="187"/>
  </w:num>
  <w:num w:numId="122" w16cid:durableId="1966957460">
    <w:abstractNumId w:val="154"/>
  </w:num>
  <w:num w:numId="123" w16cid:durableId="395250918">
    <w:abstractNumId w:val="172"/>
  </w:num>
  <w:num w:numId="124" w16cid:durableId="935482178">
    <w:abstractNumId w:val="193"/>
  </w:num>
  <w:num w:numId="125" w16cid:durableId="2118210748">
    <w:abstractNumId w:val="146"/>
  </w:num>
  <w:num w:numId="126" w16cid:durableId="1008023190">
    <w:abstractNumId w:val="192"/>
  </w:num>
  <w:num w:numId="127" w16cid:durableId="1190488216">
    <w:abstractNumId w:val="85"/>
  </w:num>
  <w:num w:numId="128" w16cid:durableId="315033072">
    <w:abstractNumId w:val="99"/>
  </w:num>
  <w:num w:numId="129" w16cid:durableId="780346608">
    <w:abstractNumId w:val="0"/>
  </w:num>
  <w:num w:numId="130" w16cid:durableId="1517303412">
    <w:abstractNumId w:val="13"/>
  </w:num>
  <w:num w:numId="131" w16cid:durableId="1775977796">
    <w:abstractNumId w:val="135"/>
  </w:num>
  <w:num w:numId="132" w16cid:durableId="1639846406">
    <w:abstractNumId w:val="196"/>
  </w:num>
  <w:num w:numId="133" w16cid:durableId="1095977397">
    <w:abstractNumId w:val="200"/>
  </w:num>
  <w:num w:numId="134" w16cid:durableId="1088384780">
    <w:abstractNumId w:val="208"/>
  </w:num>
  <w:num w:numId="135" w16cid:durableId="941645106">
    <w:abstractNumId w:val="20"/>
  </w:num>
  <w:num w:numId="136" w16cid:durableId="1321812">
    <w:abstractNumId w:val="35"/>
  </w:num>
  <w:num w:numId="137" w16cid:durableId="439224364">
    <w:abstractNumId w:val="26"/>
  </w:num>
  <w:num w:numId="138" w16cid:durableId="1642803462">
    <w:abstractNumId w:val="81"/>
  </w:num>
  <w:num w:numId="139" w16cid:durableId="1771005584">
    <w:abstractNumId w:val="156"/>
  </w:num>
  <w:num w:numId="140" w16cid:durableId="489299157">
    <w:abstractNumId w:val="63"/>
  </w:num>
  <w:num w:numId="141" w16cid:durableId="1740785917">
    <w:abstractNumId w:val="89"/>
  </w:num>
  <w:num w:numId="142" w16cid:durableId="1425299951">
    <w:abstractNumId w:val="214"/>
  </w:num>
  <w:num w:numId="143" w16cid:durableId="300770539">
    <w:abstractNumId w:val="151"/>
  </w:num>
  <w:num w:numId="144" w16cid:durableId="992873233">
    <w:abstractNumId w:val="70"/>
  </w:num>
  <w:num w:numId="145" w16cid:durableId="701133356">
    <w:abstractNumId w:val="103"/>
  </w:num>
  <w:num w:numId="146" w16cid:durableId="1917982347">
    <w:abstractNumId w:val="123"/>
  </w:num>
  <w:num w:numId="147" w16cid:durableId="1513448322">
    <w:abstractNumId w:val="186"/>
  </w:num>
  <w:num w:numId="148" w16cid:durableId="1249995101">
    <w:abstractNumId w:val="158"/>
  </w:num>
  <w:num w:numId="149" w16cid:durableId="596719466">
    <w:abstractNumId w:val="206"/>
  </w:num>
  <w:num w:numId="150" w16cid:durableId="124273380">
    <w:abstractNumId w:val="53"/>
  </w:num>
  <w:num w:numId="151" w16cid:durableId="999623131">
    <w:abstractNumId w:val="219"/>
  </w:num>
  <w:num w:numId="152" w16cid:durableId="1248616531">
    <w:abstractNumId w:val="56"/>
  </w:num>
  <w:num w:numId="153" w16cid:durableId="818886459">
    <w:abstractNumId w:val="25"/>
  </w:num>
  <w:num w:numId="154" w16cid:durableId="1240941363">
    <w:abstractNumId w:val="98"/>
  </w:num>
  <w:num w:numId="155" w16cid:durableId="25763877">
    <w:abstractNumId w:val="83"/>
  </w:num>
  <w:num w:numId="156" w16cid:durableId="1949895918">
    <w:abstractNumId w:val="43"/>
  </w:num>
  <w:num w:numId="157" w16cid:durableId="1249584061">
    <w:abstractNumId w:val="130"/>
  </w:num>
  <w:num w:numId="158" w16cid:durableId="1734507023">
    <w:abstractNumId w:val="105"/>
  </w:num>
  <w:num w:numId="159" w16cid:durableId="1594632838">
    <w:abstractNumId w:val="50"/>
  </w:num>
  <w:num w:numId="160" w16cid:durableId="1318798130">
    <w:abstractNumId w:val="132"/>
  </w:num>
  <w:num w:numId="161" w16cid:durableId="1771702343">
    <w:abstractNumId w:val="71"/>
  </w:num>
  <w:num w:numId="162" w16cid:durableId="717777193">
    <w:abstractNumId w:val="102"/>
  </w:num>
  <w:num w:numId="163" w16cid:durableId="1284262338">
    <w:abstractNumId w:val="191"/>
  </w:num>
  <w:num w:numId="164" w16cid:durableId="479272870">
    <w:abstractNumId w:val="112"/>
  </w:num>
  <w:num w:numId="165" w16cid:durableId="591545160">
    <w:abstractNumId w:val="88"/>
  </w:num>
  <w:num w:numId="166" w16cid:durableId="1543253812">
    <w:abstractNumId w:val="140"/>
  </w:num>
  <w:num w:numId="167" w16cid:durableId="1507525109">
    <w:abstractNumId w:val="113"/>
  </w:num>
  <w:num w:numId="168" w16cid:durableId="1847665919">
    <w:abstractNumId w:val="190"/>
  </w:num>
  <w:num w:numId="169" w16cid:durableId="2118792691">
    <w:abstractNumId w:val="148"/>
  </w:num>
  <w:num w:numId="170" w16cid:durableId="1360814075">
    <w:abstractNumId w:val="157"/>
  </w:num>
  <w:num w:numId="171" w16cid:durableId="282273227">
    <w:abstractNumId w:val="94"/>
  </w:num>
  <w:num w:numId="172" w16cid:durableId="439103859">
    <w:abstractNumId w:val="197"/>
  </w:num>
  <w:num w:numId="173" w16cid:durableId="855651967">
    <w:abstractNumId w:val="170"/>
  </w:num>
  <w:num w:numId="174" w16cid:durableId="220792934">
    <w:abstractNumId w:val="141"/>
  </w:num>
  <w:num w:numId="175" w16cid:durableId="605038219">
    <w:abstractNumId w:val="169"/>
  </w:num>
  <w:num w:numId="176" w16cid:durableId="2086872101">
    <w:abstractNumId w:val="104"/>
  </w:num>
  <w:num w:numId="177" w16cid:durableId="875584232">
    <w:abstractNumId w:val="15"/>
  </w:num>
  <w:num w:numId="178" w16cid:durableId="86660334">
    <w:abstractNumId w:val="3"/>
  </w:num>
  <w:num w:numId="179" w16cid:durableId="404306938">
    <w:abstractNumId w:val="14"/>
  </w:num>
  <w:num w:numId="180" w16cid:durableId="1271398636">
    <w:abstractNumId w:val="92"/>
  </w:num>
  <w:num w:numId="181" w16cid:durableId="213860076">
    <w:abstractNumId w:val="159"/>
  </w:num>
  <w:num w:numId="182" w16cid:durableId="530804656">
    <w:abstractNumId w:val="211"/>
  </w:num>
  <w:num w:numId="183" w16cid:durableId="289434934">
    <w:abstractNumId w:val="182"/>
  </w:num>
  <w:num w:numId="184" w16cid:durableId="499076853">
    <w:abstractNumId w:val="184"/>
  </w:num>
  <w:num w:numId="185" w16cid:durableId="1790902599">
    <w:abstractNumId w:val="116"/>
  </w:num>
  <w:num w:numId="186" w16cid:durableId="904687488">
    <w:abstractNumId w:val="51"/>
  </w:num>
  <w:num w:numId="187" w16cid:durableId="244461258">
    <w:abstractNumId w:val="87"/>
  </w:num>
  <w:num w:numId="188" w16cid:durableId="1742025268">
    <w:abstractNumId w:val="147"/>
  </w:num>
  <w:num w:numId="189" w16cid:durableId="1546523818">
    <w:abstractNumId w:val="143"/>
  </w:num>
  <w:num w:numId="190" w16cid:durableId="1978365879">
    <w:abstractNumId w:val="97"/>
  </w:num>
  <w:num w:numId="191" w16cid:durableId="1289047841">
    <w:abstractNumId w:val="164"/>
  </w:num>
  <w:num w:numId="192" w16cid:durableId="1537543747">
    <w:abstractNumId w:val="59"/>
  </w:num>
  <w:num w:numId="193" w16cid:durableId="62797713">
    <w:abstractNumId w:val="120"/>
  </w:num>
  <w:num w:numId="194" w16cid:durableId="860357372">
    <w:abstractNumId w:val="84"/>
  </w:num>
  <w:num w:numId="195" w16cid:durableId="538586957">
    <w:abstractNumId w:val="93"/>
  </w:num>
  <w:num w:numId="196" w16cid:durableId="257060214">
    <w:abstractNumId w:val="68"/>
  </w:num>
  <w:num w:numId="197" w16cid:durableId="1228344820">
    <w:abstractNumId w:val="216"/>
  </w:num>
  <w:num w:numId="198" w16cid:durableId="637537715">
    <w:abstractNumId w:val="61"/>
  </w:num>
  <w:num w:numId="199" w16cid:durableId="1477067999">
    <w:abstractNumId w:val="173"/>
  </w:num>
  <w:num w:numId="200" w16cid:durableId="531577914">
    <w:abstractNumId w:val="33"/>
  </w:num>
  <w:num w:numId="201" w16cid:durableId="597174267">
    <w:abstractNumId w:val="161"/>
  </w:num>
  <w:num w:numId="202" w16cid:durableId="1233085529">
    <w:abstractNumId w:val="114"/>
  </w:num>
  <w:num w:numId="203" w16cid:durableId="600063067">
    <w:abstractNumId w:val="38"/>
  </w:num>
  <w:num w:numId="204" w16cid:durableId="714737005">
    <w:abstractNumId w:val="40"/>
  </w:num>
  <w:num w:numId="205" w16cid:durableId="369426992">
    <w:abstractNumId w:val="101"/>
  </w:num>
  <w:num w:numId="206" w16cid:durableId="1691567357">
    <w:abstractNumId w:val="36"/>
  </w:num>
  <w:num w:numId="207" w16cid:durableId="821889637">
    <w:abstractNumId w:val="12"/>
  </w:num>
  <w:num w:numId="208" w16cid:durableId="588585129">
    <w:abstractNumId w:val="220"/>
  </w:num>
  <w:num w:numId="209" w16cid:durableId="500580401">
    <w:abstractNumId w:val="111"/>
  </w:num>
  <w:num w:numId="210" w16cid:durableId="193620823">
    <w:abstractNumId w:val="42"/>
  </w:num>
  <w:num w:numId="211" w16cid:durableId="1689672144">
    <w:abstractNumId w:val="86"/>
  </w:num>
  <w:num w:numId="212" w16cid:durableId="1913157943">
    <w:abstractNumId w:val="37"/>
  </w:num>
  <w:num w:numId="213" w16cid:durableId="571156839">
    <w:abstractNumId w:val="215"/>
  </w:num>
  <w:num w:numId="214" w16cid:durableId="1566258856">
    <w:abstractNumId w:val="188"/>
  </w:num>
  <w:num w:numId="215" w16cid:durableId="1240212308">
    <w:abstractNumId w:val="166"/>
  </w:num>
  <w:num w:numId="216" w16cid:durableId="1277978868">
    <w:abstractNumId w:val="55"/>
  </w:num>
  <w:num w:numId="217" w16cid:durableId="732699547">
    <w:abstractNumId w:val="181"/>
  </w:num>
  <w:num w:numId="218" w16cid:durableId="251862440">
    <w:abstractNumId w:val="209"/>
  </w:num>
  <w:num w:numId="219" w16cid:durableId="904880745">
    <w:abstractNumId w:val="137"/>
  </w:num>
  <w:num w:numId="220" w16cid:durableId="627970945">
    <w:abstractNumId w:val="54"/>
  </w:num>
  <w:num w:numId="221" w16cid:durableId="962999285">
    <w:abstractNumId w:val="163"/>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300"/>
    <w:rsid w:val="0002743F"/>
    <w:rsid w:val="000D1F63"/>
    <w:rsid w:val="0011560F"/>
    <w:rsid w:val="00166ADE"/>
    <w:rsid w:val="0021786E"/>
    <w:rsid w:val="0022160C"/>
    <w:rsid w:val="002234AD"/>
    <w:rsid w:val="00245300"/>
    <w:rsid w:val="00316F0D"/>
    <w:rsid w:val="00350A92"/>
    <w:rsid w:val="004161F6"/>
    <w:rsid w:val="004472DB"/>
    <w:rsid w:val="005713E7"/>
    <w:rsid w:val="005811FE"/>
    <w:rsid w:val="005D2DFC"/>
    <w:rsid w:val="005D2EB6"/>
    <w:rsid w:val="00647968"/>
    <w:rsid w:val="007575FD"/>
    <w:rsid w:val="00887DF8"/>
    <w:rsid w:val="00900A9E"/>
    <w:rsid w:val="009D5247"/>
    <w:rsid w:val="00AB1F46"/>
    <w:rsid w:val="00AD4D28"/>
    <w:rsid w:val="00DE067E"/>
    <w:rsid w:val="00E71F6F"/>
    <w:rsid w:val="00EC20A0"/>
    <w:rsid w:val="00F17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FCB3"/>
  <w15:docId w15:val="{42818506-A9C8-4B87-A023-9C410DA9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392"/>
      <w:outlineLvl w:val="0"/>
    </w:pPr>
    <w:rPr>
      <w:sz w:val="60"/>
      <w:szCs w:val="60"/>
    </w:rPr>
  </w:style>
  <w:style w:type="paragraph" w:styleId="Heading2">
    <w:name w:val="heading 2"/>
    <w:basedOn w:val="Normal"/>
    <w:uiPriority w:val="9"/>
    <w:unhideWhenUsed/>
    <w:qFormat/>
    <w:pPr>
      <w:jc w:val="right"/>
      <w:outlineLvl w:val="1"/>
    </w:pPr>
    <w:rPr>
      <w:sz w:val="48"/>
      <w:szCs w:val="48"/>
    </w:rPr>
  </w:style>
  <w:style w:type="paragraph" w:styleId="Heading3">
    <w:name w:val="heading 3"/>
    <w:basedOn w:val="Normal"/>
    <w:uiPriority w:val="9"/>
    <w:unhideWhenUsed/>
    <w:qFormat/>
    <w:pPr>
      <w:spacing w:before="361"/>
      <w:ind w:left="120"/>
      <w:outlineLvl w:val="2"/>
    </w:pPr>
    <w:rPr>
      <w:b/>
      <w:bCs/>
      <w:sz w:val="32"/>
      <w:szCs w:val="32"/>
      <w:u w:val="single" w:color="000000"/>
    </w:rPr>
  </w:style>
  <w:style w:type="paragraph" w:styleId="Heading4">
    <w:name w:val="heading 4"/>
    <w:basedOn w:val="Normal"/>
    <w:uiPriority w:val="9"/>
    <w:unhideWhenUsed/>
    <w:qFormat/>
    <w:pPr>
      <w:spacing w:before="240"/>
      <w:ind w:left="420"/>
      <w:outlineLvl w:val="3"/>
    </w:pPr>
    <w:rPr>
      <w:b/>
      <w:bCs/>
      <w:sz w:val="28"/>
      <w:szCs w:val="28"/>
    </w:rPr>
  </w:style>
  <w:style w:type="paragraph" w:styleId="Heading5">
    <w:name w:val="heading 5"/>
    <w:basedOn w:val="Normal"/>
    <w:uiPriority w:val="9"/>
    <w:unhideWhenUsed/>
    <w:qFormat/>
    <w:pPr>
      <w:spacing w:before="241"/>
      <w:ind w:left="920"/>
      <w:outlineLvl w:val="4"/>
    </w:pPr>
    <w:rPr>
      <w:b/>
      <w:bCs/>
      <w:sz w:val="24"/>
      <w:szCs w:val="24"/>
      <w:u w:val="single" w:color="000000"/>
    </w:rPr>
  </w:style>
  <w:style w:type="paragraph" w:styleId="Heading6">
    <w:name w:val="heading 6"/>
    <w:basedOn w:val="Normal"/>
    <w:uiPriority w:val="9"/>
    <w:unhideWhenUsed/>
    <w:qFormat/>
    <w:pPr>
      <w:spacing w:before="240"/>
      <w:ind w:left="2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066" w:lineRule="exact"/>
      <w:ind w:left="120"/>
    </w:pPr>
    <w:rPr>
      <w:rFonts w:ascii="Candara" w:eastAsia="Candara" w:hAnsi="Candara" w:cs="Candara"/>
      <w:b/>
      <w:bCs/>
      <w:sz w:val="102"/>
      <w:szCs w:val="102"/>
    </w:rPr>
  </w:style>
  <w:style w:type="paragraph" w:styleId="ListParagraph">
    <w:name w:val="List Paragraph"/>
    <w:basedOn w:val="Normal"/>
    <w:uiPriority w:val="1"/>
    <w:qFormat/>
    <w:pPr>
      <w:spacing w:before="240"/>
      <w:ind w:left="221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eader" Target="header8.xml"/><Relationship Id="rId42" Type="http://schemas.openxmlformats.org/officeDocument/2006/relationships/hyperlink" Target="https://checkpoint.riag.com/app/find?begParm=y&amp;app.version=14.12&amp;dbName=PROFSTDS&amp;linkType=docloc&amp;locId=ad_610.13&amp;permaId=iPROFSTDS%3A16125.1&amp;tagName=PSSUBSECT&amp;endParm=y" TargetMode="External"/><Relationship Id="rId63" Type="http://schemas.openxmlformats.org/officeDocument/2006/relationships/footer" Target="footer21.xml"/><Relationship Id="rId84" Type="http://schemas.openxmlformats.org/officeDocument/2006/relationships/header" Target="header31.xml"/><Relationship Id="rId138" Type="http://schemas.openxmlformats.org/officeDocument/2006/relationships/header" Target="header57.xml"/><Relationship Id="rId159" Type="http://schemas.openxmlformats.org/officeDocument/2006/relationships/header" Target="header65.xml"/><Relationship Id="rId170" Type="http://schemas.openxmlformats.org/officeDocument/2006/relationships/hyperlink" Target="https://www.fiscal.treasury.gov/reference-guidance/fast-book/" TargetMode="External"/><Relationship Id="rId191" Type="http://schemas.openxmlformats.org/officeDocument/2006/relationships/footer" Target="footer75.xml"/><Relationship Id="rId205" Type="http://schemas.openxmlformats.org/officeDocument/2006/relationships/footer" Target="footer80.xml"/><Relationship Id="rId107" Type="http://schemas.openxmlformats.org/officeDocument/2006/relationships/header" Target="header42.xml"/><Relationship Id="rId11" Type="http://schemas.openxmlformats.org/officeDocument/2006/relationships/header" Target="header3.xml"/><Relationship Id="rId32" Type="http://schemas.openxmlformats.org/officeDocument/2006/relationships/footer" Target="footer11.xml"/><Relationship Id="rId53" Type="http://schemas.openxmlformats.org/officeDocument/2006/relationships/header" Target="header19.xml"/><Relationship Id="rId74" Type="http://schemas.openxmlformats.org/officeDocument/2006/relationships/header" Target="header26.xml"/><Relationship Id="rId128" Type="http://schemas.openxmlformats.org/officeDocument/2006/relationships/footer" Target="footer52.xml"/><Relationship Id="rId149" Type="http://schemas.openxmlformats.org/officeDocument/2006/relationships/hyperlink" Target="https://www.whitehouse.gov/omb/information-for-agencies/circulars/" TargetMode="External"/><Relationship Id="rId5" Type="http://schemas.openxmlformats.org/officeDocument/2006/relationships/footnotes" Target="footnotes.xml"/><Relationship Id="rId95" Type="http://schemas.openxmlformats.org/officeDocument/2006/relationships/footer" Target="footer36.xml"/><Relationship Id="rId160" Type="http://schemas.openxmlformats.org/officeDocument/2006/relationships/footer" Target="footer65.xml"/><Relationship Id="rId181" Type="http://schemas.openxmlformats.org/officeDocument/2006/relationships/footer" Target="footer70.xml"/><Relationship Id="rId22" Type="http://schemas.openxmlformats.org/officeDocument/2006/relationships/footer" Target="footer8.xml"/><Relationship Id="rId43" Type="http://schemas.openxmlformats.org/officeDocument/2006/relationships/hyperlink" Target="https://checkpoint.riag.com/app/find?begParm=y&amp;app.version=14.12&amp;dbName=PROFSTDS&amp;linkType=docloc&amp;locId=ad_610.13&amp;permaId=iPROFSTDS%3A16125.1&amp;tagName=PSSUBSECT&amp;endParm=y" TargetMode="External"/><Relationship Id="rId64" Type="http://schemas.openxmlformats.org/officeDocument/2006/relationships/hyperlink" Target="https://tfx.treasury.gov/tfm/supplements/ussgl" TargetMode="External"/><Relationship Id="rId118" Type="http://schemas.openxmlformats.org/officeDocument/2006/relationships/footer" Target="footer47.xml"/><Relationship Id="rId139" Type="http://schemas.openxmlformats.org/officeDocument/2006/relationships/footer" Target="footer57.xml"/><Relationship Id="rId85" Type="http://schemas.openxmlformats.org/officeDocument/2006/relationships/footer" Target="footer31.xml"/><Relationship Id="rId150" Type="http://schemas.openxmlformats.org/officeDocument/2006/relationships/hyperlink" Target="https://www.whitehouse.gov/omb/information-for-agencies/circulars/" TargetMode="External"/><Relationship Id="rId171" Type="http://schemas.openxmlformats.org/officeDocument/2006/relationships/hyperlink" Target="https://www.fiscal.treasury.gov/files/cars/betc-guidance.xlsx" TargetMode="External"/><Relationship Id="rId192" Type="http://schemas.openxmlformats.org/officeDocument/2006/relationships/header" Target="header76.xml"/><Relationship Id="rId206" Type="http://schemas.openxmlformats.org/officeDocument/2006/relationships/header" Target="header81.xml"/><Relationship Id="rId12" Type="http://schemas.openxmlformats.org/officeDocument/2006/relationships/footer" Target="footer3.xml"/><Relationship Id="rId33" Type="http://schemas.openxmlformats.org/officeDocument/2006/relationships/hyperlink" Target="https://checkpoint.riag.com/app/find?begParm=y&amp;app.version=14.09&amp;dbName=PROFSTDS&amp;linkType=docloc&amp;locId=ad_600.20&amp;permaId=iPROFSTDS%3A16124.1&amp;tagName=PSSUBSECT&amp;endParm=y" TargetMode="External"/><Relationship Id="rId108" Type="http://schemas.openxmlformats.org/officeDocument/2006/relationships/footer" Target="footer42.xml"/><Relationship Id="rId129" Type="http://schemas.openxmlformats.org/officeDocument/2006/relationships/header" Target="header53.xml"/><Relationship Id="rId54" Type="http://schemas.openxmlformats.org/officeDocument/2006/relationships/footer" Target="footer19.xml"/><Relationship Id="rId75" Type="http://schemas.openxmlformats.org/officeDocument/2006/relationships/footer" Target="footer26.xml"/><Relationship Id="rId96" Type="http://schemas.openxmlformats.org/officeDocument/2006/relationships/header" Target="header37.xml"/><Relationship Id="rId140" Type="http://schemas.openxmlformats.org/officeDocument/2006/relationships/hyperlink" Target="https://www.whitehouse.gov/omb/information-for-agencies/circulars/" TargetMode="External"/><Relationship Id="rId161" Type="http://schemas.openxmlformats.org/officeDocument/2006/relationships/hyperlink" Target="https://www.fiscal.treasury.gov/cars/faqs.html" TargetMode="External"/><Relationship Id="rId182" Type="http://schemas.openxmlformats.org/officeDocument/2006/relationships/header" Target="header71.xml"/><Relationship Id="rId6" Type="http://schemas.openxmlformats.org/officeDocument/2006/relationships/endnotes" Target="endnotes.xml"/><Relationship Id="rId23" Type="http://schemas.openxmlformats.org/officeDocument/2006/relationships/hyperlink" Target="https://pcaobus.org/" TargetMode="External"/><Relationship Id="rId119" Type="http://schemas.openxmlformats.org/officeDocument/2006/relationships/header" Target="header48.xml"/><Relationship Id="rId44" Type="http://schemas.openxmlformats.org/officeDocument/2006/relationships/hyperlink" Target="https://checkpoint.riag.com/app/find?begParm=y&amp;app.version=14.12&amp;dbName=PROFSTDS&amp;linkType=docloc&amp;locId=ad_610.27&amp;permaId=iPROFSTDS%3A16125.1&amp;tagName=PSSUBSECT&amp;endParm=y" TargetMode="External"/><Relationship Id="rId65" Type="http://schemas.openxmlformats.org/officeDocument/2006/relationships/hyperlink" Target="https://www.whitehouse.gov/omb/information-for-agencies/bulletins/" TargetMode="External"/><Relationship Id="rId86" Type="http://schemas.openxmlformats.org/officeDocument/2006/relationships/header" Target="header32.xml"/><Relationship Id="rId130" Type="http://schemas.openxmlformats.org/officeDocument/2006/relationships/footer" Target="footer53.xml"/><Relationship Id="rId151" Type="http://schemas.openxmlformats.org/officeDocument/2006/relationships/header" Target="header61.xml"/><Relationship Id="rId172" Type="http://schemas.openxmlformats.org/officeDocument/2006/relationships/header" Target="header66.xml"/><Relationship Id="rId193" Type="http://schemas.openxmlformats.org/officeDocument/2006/relationships/footer" Target="footer76.xml"/><Relationship Id="rId207" Type="http://schemas.openxmlformats.org/officeDocument/2006/relationships/footer" Target="footer81.xml"/><Relationship Id="rId13" Type="http://schemas.openxmlformats.org/officeDocument/2006/relationships/header" Target="header4.xml"/><Relationship Id="rId109" Type="http://schemas.openxmlformats.org/officeDocument/2006/relationships/header" Target="header43.xml"/><Relationship Id="rId34" Type="http://schemas.openxmlformats.org/officeDocument/2006/relationships/hyperlink" Target="https://checkpoint.riag.com/app/find?begParm=y&amp;app.version=14.09&amp;dbName=PROFSTDS&amp;linkType=docloc&amp;locId=ad_600.20&amp;permaId=iPROFSTDS%3A16124.1&amp;tagName=PSSUBSECT&amp;endParm=y" TargetMode="External"/><Relationship Id="rId55" Type="http://schemas.openxmlformats.org/officeDocument/2006/relationships/hyperlink" Target="https://www.whitehouse.gov/omb/information-for-agencies/circulars/" TargetMode="External"/><Relationship Id="rId76" Type="http://schemas.openxmlformats.org/officeDocument/2006/relationships/header" Target="header27.xml"/><Relationship Id="rId97" Type="http://schemas.openxmlformats.org/officeDocument/2006/relationships/footer" Target="footer37.xml"/><Relationship Id="rId120" Type="http://schemas.openxmlformats.org/officeDocument/2006/relationships/footer" Target="footer48.xml"/><Relationship Id="rId141" Type="http://schemas.openxmlformats.org/officeDocument/2006/relationships/hyperlink" Target="https://www.whitehouse.gov/omb/information-for-agencies/circulars/" TargetMode="External"/><Relationship Id="rId7" Type="http://schemas.openxmlformats.org/officeDocument/2006/relationships/header" Target="header1.xml"/><Relationship Id="rId162" Type="http://schemas.openxmlformats.org/officeDocument/2006/relationships/hyperlink" Target="https://www.fiscal.treasury.gov/files/cars/betc-guidance.xlsx" TargetMode="External"/><Relationship Id="rId183" Type="http://schemas.openxmlformats.org/officeDocument/2006/relationships/footer" Target="footer71.xml"/><Relationship Id="rId24" Type="http://schemas.openxmlformats.org/officeDocument/2006/relationships/header" Target="header9.xml"/><Relationship Id="rId45" Type="http://schemas.openxmlformats.org/officeDocument/2006/relationships/header" Target="header15.xml"/><Relationship Id="rId66" Type="http://schemas.openxmlformats.org/officeDocument/2006/relationships/header" Target="header22.xml"/><Relationship Id="rId87" Type="http://schemas.openxmlformats.org/officeDocument/2006/relationships/footer" Target="footer32.xml"/><Relationship Id="rId110" Type="http://schemas.openxmlformats.org/officeDocument/2006/relationships/footer" Target="footer43.xml"/><Relationship Id="rId131" Type="http://schemas.openxmlformats.org/officeDocument/2006/relationships/header" Target="header54.xml"/><Relationship Id="rId152" Type="http://schemas.openxmlformats.org/officeDocument/2006/relationships/footer" Target="footer61.xml"/><Relationship Id="rId173" Type="http://schemas.openxmlformats.org/officeDocument/2006/relationships/footer" Target="footer66.xml"/><Relationship Id="rId194" Type="http://schemas.openxmlformats.org/officeDocument/2006/relationships/hyperlink" Target="https://www.justice.gov/civil/documents-and-forms" TargetMode="External"/><Relationship Id="rId208" Type="http://schemas.openxmlformats.org/officeDocument/2006/relationships/hyperlink" Target="https://www.gao.gov/financial_audit_manual" TargetMode="Externa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hyperlink" Target="https://www.whitehouse.gov/omb/information-for-agencies/bulletins/" TargetMode="External"/><Relationship Id="rId77" Type="http://schemas.openxmlformats.org/officeDocument/2006/relationships/footer" Target="footer27.xml"/><Relationship Id="rId100" Type="http://schemas.openxmlformats.org/officeDocument/2006/relationships/header" Target="header39.xml"/><Relationship Id="rId105" Type="http://schemas.openxmlformats.org/officeDocument/2006/relationships/header" Target="header41.xml"/><Relationship Id="rId126" Type="http://schemas.openxmlformats.org/officeDocument/2006/relationships/footer" Target="footer51.xml"/><Relationship Id="rId147" Type="http://schemas.openxmlformats.org/officeDocument/2006/relationships/header" Target="header60.xml"/><Relationship Id="rId168" Type="http://schemas.openxmlformats.org/officeDocument/2006/relationships/hyperlink" Target="https://tfx.treasury.gov/volume1/part2/chapter-5100-fund-balance-treasury-accounts" TargetMode="External"/><Relationship Id="rId8" Type="http://schemas.openxmlformats.org/officeDocument/2006/relationships/footer" Target="footer1.xml"/><Relationship Id="rId51" Type="http://schemas.openxmlformats.org/officeDocument/2006/relationships/header" Target="header18.xml"/><Relationship Id="rId72" Type="http://schemas.openxmlformats.org/officeDocument/2006/relationships/header" Target="header25.xml"/><Relationship Id="rId93" Type="http://schemas.openxmlformats.org/officeDocument/2006/relationships/footer" Target="footer35.xml"/><Relationship Id="rId98" Type="http://schemas.openxmlformats.org/officeDocument/2006/relationships/header" Target="header38.xml"/><Relationship Id="rId121" Type="http://schemas.openxmlformats.org/officeDocument/2006/relationships/header" Target="header49.xml"/><Relationship Id="rId142" Type="http://schemas.openxmlformats.org/officeDocument/2006/relationships/header" Target="header58.xml"/><Relationship Id="rId163" Type="http://schemas.openxmlformats.org/officeDocument/2006/relationships/hyperlink" Target="https://www.fiscal.treasury.gov/files/cars/betc-guidance.xlsx" TargetMode="External"/><Relationship Id="rId184" Type="http://schemas.openxmlformats.org/officeDocument/2006/relationships/header" Target="header72.xml"/><Relationship Id="rId189" Type="http://schemas.openxmlformats.org/officeDocument/2006/relationships/footer" Target="footer74.xm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footer" Target="footer9.xml"/><Relationship Id="rId46" Type="http://schemas.openxmlformats.org/officeDocument/2006/relationships/footer" Target="footer15.xml"/><Relationship Id="rId67" Type="http://schemas.openxmlformats.org/officeDocument/2006/relationships/footer" Target="footer22.xml"/><Relationship Id="rId116" Type="http://schemas.openxmlformats.org/officeDocument/2006/relationships/footer" Target="footer46.xml"/><Relationship Id="rId137" Type="http://schemas.openxmlformats.org/officeDocument/2006/relationships/footer" Target="footer56.xml"/><Relationship Id="rId158" Type="http://schemas.openxmlformats.org/officeDocument/2006/relationships/footer" Target="footer64.xml"/><Relationship Id="rId20" Type="http://schemas.openxmlformats.org/officeDocument/2006/relationships/footer" Target="footer7.xml"/><Relationship Id="rId41" Type="http://schemas.openxmlformats.org/officeDocument/2006/relationships/footer" Target="footer14.xml"/><Relationship Id="rId62" Type="http://schemas.openxmlformats.org/officeDocument/2006/relationships/header" Target="header21.xml"/><Relationship Id="rId83" Type="http://schemas.openxmlformats.org/officeDocument/2006/relationships/footer" Target="footer30.xml"/><Relationship Id="rId88" Type="http://schemas.openxmlformats.org/officeDocument/2006/relationships/header" Target="header33.xml"/><Relationship Id="rId111" Type="http://schemas.openxmlformats.org/officeDocument/2006/relationships/header" Target="header44.xml"/><Relationship Id="rId132" Type="http://schemas.openxmlformats.org/officeDocument/2006/relationships/footer" Target="footer54.xml"/><Relationship Id="rId153" Type="http://schemas.openxmlformats.org/officeDocument/2006/relationships/header" Target="header62.xml"/><Relationship Id="rId174" Type="http://schemas.openxmlformats.org/officeDocument/2006/relationships/header" Target="header67.xml"/><Relationship Id="rId179" Type="http://schemas.openxmlformats.org/officeDocument/2006/relationships/footer" Target="footer69.xml"/><Relationship Id="rId195" Type="http://schemas.openxmlformats.org/officeDocument/2006/relationships/hyperlink" Target="https://tfx.treasury.gov/tfm/bulletins" TargetMode="External"/><Relationship Id="rId209" Type="http://schemas.openxmlformats.org/officeDocument/2006/relationships/header" Target="header82.xml"/><Relationship Id="rId190" Type="http://schemas.openxmlformats.org/officeDocument/2006/relationships/header" Target="header75.xml"/><Relationship Id="rId204" Type="http://schemas.openxmlformats.org/officeDocument/2006/relationships/header" Target="header80.xml"/><Relationship Id="rId15" Type="http://schemas.openxmlformats.org/officeDocument/2006/relationships/header" Target="header5.xml"/><Relationship Id="rId36" Type="http://schemas.openxmlformats.org/officeDocument/2006/relationships/footer" Target="footer12.xml"/><Relationship Id="rId57" Type="http://schemas.openxmlformats.org/officeDocument/2006/relationships/header" Target="header20.xml"/><Relationship Id="rId106" Type="http://schemas.openxmlformats.org/officeDocument/2006/relationships/footer" Target="footer41.xml"/><Relationship Id="rId127" Type="http://schemas.openxmlformats.org/officeDocument/2006/relationships/header" Target="header52.xm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18.xml"/><Relationship Id="rId73" Type="http://schemas.openxmlformats.org/officeDocument/2006/relationships/footer" Target="footer25.xml"/><Relationship Id="rId78" Type="http://schemas.openxmlformats.org/officeDocument/2006/relationships/header" Target="header28.xml"/><Relationship Id="rId94" Type="http://schemas.openxmlformats.org/officeDocument/2006/relationships/header" Target="header36.xml"/><Relationship Id="rId99" Type="http://schemas.openxmlformats.org/officeDocument/2006/relationships/footer" Target="footer38.xml"/><Relationship Id="rId101" Type="http://schemas.openxmlformats.org/officeDocument/2006/relationships/footer" Target="footer39.xml"/><Relationship Id="rId122" Type="http://schemas.openxmlformats.org/officeDocument/2006/relationships/footer" Target="footer49.xml"/><Relationship Id="rId143" Type="http://schemas.openxmlformats.org/officeDocument/2006/relationships/footer" Target="footer58.xml"/><Relationship Id="rId148" Type="http://schemas.openxmlformats.org/officeDocument/2006/relationships/footer" Target="footer60.xml"/><Relationship Id="rId164" Type="http://schemas.openxmlformats.org/officeDocument/2006/relationships/hyperlink" Target="https://www.fiscal.treasury.gov/cars/" TargetMode="External"/><Relationship Id="rId169" Type="http://schemas.openxmlformats.org/officeDocument/2006/relationships/hyperlink" Target="https://tfx.treasury.gov/volume1/part2/chapter-5100-fund-balance-treasury-accounts" TargetMode="External"/><Relationship Id="rId185" Type="http://schemas.openxmlformats.org/officeDocument/2006/relationships/footer" Target="footer72.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70.xml"/><Relationship Id="rId210" Type="http://schemas.openxmlformats.org/officeDocument/2006/relationships/footer" Target="footer82.xml"/><Relationship Id="rId26" Type="http://schemas.openxmlformats.org/officeDocument/2006/relationships/hyperlink" Target="https://checkpoint.riag.com/app/find?begParm=y&amp;app.version=14.12&amp;dbName=PROFSTDS&amp;linkType=docloc&amp;locId=ad_220&amp;permaId=iPROFSTDS%3A16091.1&amp;tagName=PSSECTION&amp;endParm=y" TargetMode="External"/><Relationship Id="rId47" Type="http://schemas.openxmlformats.org/officeDocument/2006/relationships/header" Target="header16.xml"/><Relationship Id="rId68" Type="http://schemas.openxmlformats.org/officeDocument/2006/relationships/header" Target="header23.xml"/><Relationship Id="rId89" Type="http://schemas.openxmlformats.org/officeDocument/2006/relationships/footer" Target="footer33.xml"/><Relationship Id="rId112" Type="http://schemas.openxmlformats.org/officeDocument/2006/relationships/footer" Target="footer44.xml"/><Relationship Id="rId133" Type="http://schemas.openxmlformats.org/officeDocument/2006/relationships/hyperlink" Target="https://www.opm.gov/retirement-center/publications-forms/benefits-administration-letters/" TargetMode="External"/><Relationship Id="rId154" Type="http://schemas.openxmlformats.org/officeDocument/2006/relationships/footer" Target="footer62.xml"/><Relationship Id="rId175" Type="http://schemas.openxmlformats.org/officeDocument/2006/relationships/footer" Target="footer67.xml"/><Relationship Id="rId196" Type="http://schemas.openxmlformats.org/officeDocument/2006/relationships/header" Target="header77.xml"/><Relationship Id="rId200" Type="http://schemas.openxmlformats.org/officeDocument/2006/relationships/hyperlink" Target="https://www.justice.gov/civil/documents-and-forms" TargetMode="External"/><Relationship Id="rId16" Type="http://schemas.openxmlformats.org/officeDocument/2006/relationships/footer" Target="footer5.xml"/><Relationship Id="rId37" Type="http://schemas.openxmlformats.org/officeDocument/2006/relationships/hyperlink" Target="https://www.whitehouse.gov/omb/information-for-agencies/bulletins/" TargetMode="External"/><Relationship Id="rId58" Type="http://schemas.openxmlformats.org/officeDocument/2006/relationships/footer" Target="footer20.xml"/><Relationship Id="rId79" Type="http://schemas.openxmlformats.org/officeDocument/2006/relationships/footer" Target="footer28.xml"/><Relationship Id="rId102" Type="http://schemas.openxmlformats.org/officeDocument/2006/relationships/hyperlink" Target="https://www.gao.gov/legal/appropriations-law/resources" TargetMode="External"/><Relationship Id="rId123" Type="http://schemas.openxmlformats.org/officeDocument/2006/relationships/header" Target="header50.xml"/><Relationship Id="rId144" Type="http://schemas.openxmlformats.org/officeDocument/2006/relationships/header" Target="header59.xml"/><Relationship Id="rId90" Type="http://schemas.openxmlformats.org/officeDocument/2006/relationships/header" Target="header34.xml"/><Relationship Id="rId165" Type="http://schemas.openxmlformats.org/officeDocument/2006/relationships/hyperlink" Target="https://www.fiscal.treasury.gov/cars/types-of-reconciliations-agencies.html" TargetMode="External"/><Relationship Id="rId186" Type="http://schemas.openxmlformats.org/officeDocument/2006/relationships/header" Target="header73.xml"/><Relationship Id="rId211" Type="http://schemas.openxmlformats.org/officeDocument/2006/relationships/header" Target="header83.xml"/><Relationship Id="rId27" Type="http://schemas.openxmlformats.org/officeDocument/2006/relationships/hyperlink" Target="https://checkpoint.riag.com/app/find?begParm=y&amp;app.version=14.12&amp;dbName=PROFSTDS&amp;linkType=docloc&amp;locId=ad_620.08&amp;permaId=iPROFSTDS%3A16126.1&amp;tagName=PSSUBSECT&amp;endParm=y" TargetMode="External"/><Relationship Id="rId48" Type="http://schemas.openxmlformats.org/officeDocument/2006/relationships/footer" Target="footer16.xml"/><Relationship Id="rId69" Type="http://schemas.openxmlformats.org/officeDocument/2006/relationships/footer" Target="footer23.xml"/><Relationship Id="rId113" Type="http://schemas.openxmlformats.org/officeDocument/2006/relationships/header" Target="header45.xml"/><Relationship Id="rId134" Type="http://schemas.openxmlformats.org/officeDocument/2006/relationships/header" Target="header55.xml"/><Relationship Id="rId80" Type="http://schemas.openxmlformats.org/officeDocument/2006/relationships/header" Target="header29.xml"/><Relationship Id="rId155" Type="http://schemas.openxmlformats.org/officeDocument/2006/relationships/header" Target="header63.xml"/><Relationship Id="rId176" Type="http://schemas.openxmlformats.org/officeDocument/2006/relationships/header" Target="header68.xml"/><Relationship Id="rId197" Type="http://schemas.openxmlformats.org/officeDocument/2006/relationships/footer" Target="footer77.xml"/><Relationship Id="rId201" Type="http://schemas.openxmlformats.org/officeDocument/2006/relationships/hyperlink" Target="https://www.justice.gov/civil/documents-and-forms" TargetMode="External"/><Relationship Id="rId17" Type="http://schemas.openxmlformats.org/officeDocument/2006/relationships/header" Target="header6.xml"/><Relationship Id="rId38" Type="http://schemas.openxmlformats.org/officeDocument/2006/relationships/header" Target="header13.xml"/><Relationship Id="rId59" Type="http://schemas.openxmlformats.org/officeDocument/2006/relationships/hyperlink" Target="https://tfx.treasury.gov/volume1/part6/chapter-9500-revised-federal-financial-management-system-requirements-fiscal" TargetMode="External"/><Relationship Id="rId103" Type="http://schemas.openxmlformats.org/officeDocument/2006/relationships/header" Target="header40.xml"/><Relationship Id="rId124" Type="http://schemas.openxmlformats.org/officeDocument/2006/relationships/footer" Target="footer50.xml"/><Relationship Id="rId70" Type="http://schemas.openxmlformats.org/officeDocument/2006/relationships/header" Target="header24.xml"/><Relationship Id="rId91" Type="http://schemas.openxmlformats.org/officeDocument/2006/relationships/footer" Target="footer34.xml"/><Relationship Id="rId145" Type="http://schemas.openxmlformats.org/officeDocument/2006/relationships/footer" Target="footer59.xml"/><Relationship Id="rId166" Type="http://schemas.openxmlformats.org/officeDocument/2006/relationships/hyperlink" Target="https://www.fiscal.treasury.gov/reports-statements/fbwt/" TargetMode="External"/><Relationship Id="rId187" Type="http://schemas.openxmlformats.org/officeDocument/2006/relationships/footer" Target="footer73.xml"/><Relationship Id="rId1" Type="http://schemas.openxmlformats.org/officeDocument/2006/relationships/numbering" Target="numbering.xml"/><Relationship Id="rId212" Type="http://schemas.openxmlformats.org/officeDocument/2006/relationships/footer" Target="footer83.xml"/><Relationship Id="rId28" Type="http://schemas.openxmlformats.org/officeDocument/2006/relationships/hyperlink" Target="https://checkpoint.riag.com/app/find?begParm=y&amp;app.version=15.03&amp;dbName=PROFSTDS&amp;linkType=docloc&amp;locId=ad_500.08&amp;permaId=iPROFSTDS%3A16109.1&amp;tagName=PSSUBSECT&amp;endParm=y" TargetMode="External"/><Relationship Id="rId49" Type="http://schemas.openxmlformats.org/officeDocument/2006/relationships/header" Target="header17.xml"/><Relationship Id="rId114" Type="http://schemas.openxmlformats.org/officeDocument/2006/relationships/footer" Target="footer45.xml"/><Relationship Id="rId60" Type="http://schemas.openxmlformats.org/officeDocument/2006/relationships/hyperlink" Target="https://tfx.treasury.gov/volume1/part6/chapter-9500-revised-federal-financial-management-system-requirements-fiscal" TargetMode="External"/><Relationship Id="rId81" Type="http://schemas.openxmlformats.org/officeDocument/2006/relationships/footer" Target="footer29.xml"/><Relationship Id="rId135" Type="http://schemas.openxmlformats.org/officeDocument/2006/relationships/footer" Target="footer55.xml"/><Relationship Id="rId156" Type="http://schemas.openxmlformats.org/officeDocument/2006/relationships/footer" Target="footer63.xml"/><Relationship Id="rId177" Type="http://schemas.openxmlformats.org/officeDocument/2006/relationships/footer" Target="footer68.xml"/><Relationship Id="rId198" Type="http://schemas.openxmlformats.org/officeDocument/2006/relationships/header" Target="header78.xml"/><Relationship Id="rId202" Type="http://schemas.openxmlformats.org/officeDocument/2006/relationships/header" Target="header79.xml"/><Relationship Id="rId18" Type="http://schemas.openxmlformats.org/officeDocument/2006/relationships/footer" Target="footer6.xml"/><Relationship Id="rId39" Type="http://schemas.openxmlformats.org/officeDocument/2006/relationships/footer" Target="footer13.xml"/><Relationship Id="rId50" Type="http://schemas.openxmlformats.org/officeDocument/2006/relationships/footer" Target="footer17.xml"/><Relationship Id="rId104" Type="http://schemas.openxmlformats.org/officeDocument/2006/relationships/footer" Target="footer40.xml"/><Relationship Id="rId125" Type="http://schemas.openxmlformats.org/officeDocument/2006/relationships/header" Target="header51.xml"/><Relationship Id="rId146" Type="http://schemas.openxmlformats.org/officeDocument/2006/relationships/hyperlink" Target="https://tfx.treasury.gov/tfm" TargetMode="External"/><Relationship Id="rId167" Type="http://schemas.openxmlformats.org/officeDocument/2006/relationships/hyperlink" Target="https://www.fiscal.treasury.gov/reports-statements/fbwt/" TargetMode="External"/><Relationship Id="rId188" Type="http://schemas.openxmlformats.org/officeDocument/2006/relationships/header" Target="header74.xml"/><Relationship Id="rId71" Type="http://schemas.openxmlformats.org/officeDocument/2006/relationships/footer" Target="footer24.xml"/><Relationship Id="rId92" Type="http://schemas.openxmlformats.org/officeDocument/2006/relationships/header" Target="header35.xm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0.xml"/><Relationship Id="rId40" Type="http://schemas.openxmlformats.org/officeDocument/2006/relationships/header" Target="header14.xml"/><Relationship Id="rId115" Type="http://schemas.openxmlformats.org/officeDocument/2006/relationships/header" Target="header46.xml"/><Relationship Id="rId136" Type="http://schemas.openxmlformats.org/officeDocument/2006/relationships/header" Target="header56.xml"/><Relationship Id="rId157" Type="http://schemas.openxmlformats.org/officeDocument/2006/relationships/header" Target="header64.xml"/><Relationship Id="rId178" Type="http://schemas.openxmlformats.org/officeDocument/2006/relationships/header" Target="header69.xml"/><Relationship Id="rId61" Type="http://schemas.openxmlformats.org/officeDocument/2006/relationships/hyperlink" Target="https://fasab.gov/" TargetMode="External"/><Relationship Id="rId82" Type="http://schemas.openxmlformats.org/officeDocument/2006/relationships/header" Target="header30.xml"/><Relationship Id="rId199" Type="http://schemas.openxmlformats.org/officeDocument/2006/relationships/footer" Target="footer78.xml"/><Relationship Id="rId203" Type="http://schemas.openxmlformats.org/officeDocument/2006/relationships/footer" Target="footer7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2196101-be9e-4fa4-917b-76125218361f}" enabled="0" method="" siteId="{02196101-be9e-4fa4-917b-76125218361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124001</Words>
  <Characters>706810</Characters>
  <Application>Microsoft Office Word</Application>
  <DocSecurity>0</DocSecurity>
  <Lines>5890</Lines>
  <Paragraphs>1658</Paragraphs>
  <ScaleCrop>false</ScaleCrop>
  <Company>GAO</Company>
  <LinksUpToDate>false</LinksUpToDate>
  <CharactersWithSpaces>829153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GAO-24-107279, FINANCIAL AUDIT MANUAL: Volume 2 June 2024</dc:title>
  <dc:creator>U.S. Government Accountability Office, http://www.gao.gov</dc:creator>
  <cp:lastModifiedBy>To, Lien T</cp:lastModifiedBy>
  <cp:revision>2</cp:revision>
  <dcterms:created xsi:type="dcterms:W3CDTF">2025-05-19T17:25:00Z</dcterms:created>
  <dcterms:modified xsi:type="dcterms:W3CDTF">2025-05-19T17:25:00Z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2024-06-18T00:00:00Z</vt:filetime>
  </property>
  <property fmtid="{D5CDD505-2E9C-101B-9397-08002B2CF9AE}" pid="3" name="Creator">
    <vt:lpwstr>Adobe Acrobat Standard (32-bit) 24.2.20759</vt:lpwstr>
  </property>
  <property fmtid="{D5CDD505-2E9C-101B-9397-08002B2CF9AE}" pid="4" name="LastSaved">
    <vt:filetime>2025-05-02T00:00:00Z</vt:filetime>
  </property>
  <property fmtid="{D5CDD505-2E9C-101B-9397-08002B2CF9AE}" pid="5" name="Producer">
    <vt:lpwstr>Adobe Acrobat Standard (32-bit) 24.2.20759</vt:lpwstr>
  </property>
</Properties>
</file>